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footer7.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8.xml" ContentType="application/vnd.openxmlformats-officedocument.wordprocessingml.footer+xml"/>
  <Override PartName="/word/header15.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3.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4.xml" ContentType="application/vnd.openxmlformats-officedocument.wordprocessingml.footer+xml"/>
  <Override PartName="/word/header22.xml" ContentType="application/vnd.openxmlformats-officedocument.wordprocessingml.header+xml"/>
  <Override PartName="/word/footer15.xml" ContentType="application/vnd.openxmlformats-officedocument.wordprocessingml.footer+xml"/>
  <Override PartName="/word/header23.xml" ContentType="application/vnd.openxmlformats-officedocument.wordprocessingml.header+xml"/>
  <Override PartName="/word/footer16.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17.xml" ContentType="application/vnd.openxmlformats-officedocument.wordprocessingml.footer+xml"/>
  <Override PartName="/word/header29.xml" ContentType="application/vnd.openxmlformats-officedocument.wordprocessingml.header+xml"/>
  <Override PartName="/word/footer18.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19.xml" ContentType="application/vnd.openxmlformats-officedocument.wordprocessingml.footer+xml"/>
  <Override PartName="/word/header32.xml" ContentType="application/vnd.openxmlformats-officedocument.wordprocessingml.header+xml"/>
  <Override PartName="/word/footer20.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21.xml" ContentType="application/vnd.openxmlformats-officedocument.wordprocessingml.footer+xml"/>
  <Override PartName="/word/header36.xml" ContentType="application/vnd.openxmlformats-officedocument.wordprocessingml.header+xml"/>
  <Override PartName="/word/footer22.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footer23.xml" ContentType="application/vnd.openxmlformats-officedocument.wordprocessingml.footer+xml"/>
  <Override PartName="/word/header41.xml" ContentType="application/vnd.openxmlformats-officedocument.wordprocessingml.header+xml"/>
  <Override PartName="/word/footer24.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25.xml" ContentType="application/vnd.openxmlformats-officedocument.wordprocessingml.footer+xml"/>
  <Override PartName="/word/header44.xml" ContentType="application/vnd.openxmlformats-officedocument.wordprocessingml.header+xml"/>
  <Override PartName="/word/footer26.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footer27.xml" ContentType="application/vnd.openxmlformats-officedocument.wordprocessingml.footer+xml"/>
  <Override PartName="/word/header56.xml" ContentType="application/vnd.openxmlformats-officedocument.wordprocessingml.header+xml"/>
  <Override PartName="/word/footer28.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footer29.xml" ContentType="application/vnd.openxmlformats-officedocument.wordprocessingml.footer+xml"/>
  <Override PartName="/word/header60.xml" ContentType="application/vnd.openxmlformats-officedocument.wordprocessingml.header+xml"/>
  <Override PartName="/word/footer3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footer31.xml" ContentType="application/vnd.openxmlformats-officedocument.wordprocessingml.footer+xml"/>
  <Override PartName="/word/header71.xml" ContentType="application/vnd.openxmlformats-officedocument.wordprocessingml.header+xml"/>
  <Override PartName="/word/header72.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34.xml" ContentType="application/vnd.openxmlformats-officedocument.wordprocessingml.foot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footer35.xml" ContentType="application/vnd.openxmlformats-officedocument.wordprocessingml.footer+xml"/>
  <Override PartName="/word/header78.xml" ContentType="application/vnd.openxmlformats-officedocument.wordprocessingml.header+xml"/>
  <Override PartName="/word/footer36.xml" ContentType="application/vnd.openxmlformats-officedocument.wordprocessingml.footer+xml"/>
  <Override PartName="/word/header79.xml" ContentType="application/vnd.openxmlformats-officedocument.wordprocessingml.header+xml"/>
  <Override PartName="/word/footer37.xml" ContentType="application/vnd.openxmlformats-officedocument.wordprocessingml.foot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84.xml" ContentType="application/vnd.openxmlformats-officedocument.wordprocessingml.header+xml"/>
  <Override PartName="/word/footer40.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41.xml" ContentType="application/vnd.openxmlformats-officedocument.wordprocessingml.footer+xml"/>
  <Override PartName="/word/header87.xml" ContentType="application/vnd.openxmlformats-officedocument.wordprocessingml.header+xml"/>
  <Override PartName="/word/footer42.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43.xml" ContentType="application/vnd.openxmlformats-officedocument.wordprocessingml.footer+xml"/>
  <Override PartName="/word/header90.xml" ContentType="application/vnd.openxmlformats-officedocument.wordprocessingml.header+xml"/>
  <Override PartName="/word/footer44.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93.xml" ContentType="application/vnd.openxmlformats-officedocument.wordprocessingml.header+xml"/>
  <Override PartName="/word/footer47.xml" ContentType="application/vnd.openxmlformats-officedocument.wordprocessingml.footer+xml"/>
  <Override PartName="/word/header94.xml" ContentType="application/vnd.openxmlformats-officedocument.wordprocessingml.header+xml"/>
  <Override PartName="/word/footer48.xml" ContentType="application/vnd.openxmlformats-officedocument.wordprocessingml.foot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98.xml" ContentType="application/vnd.openxmlformats-officedocument.wordprocessingml.header+xml"/>
  <Override PartName="/word/footer51.xml" ContentType="application/vnd.openxmlformats-officedocument.wordprocessingml.footer+xml"/>
  <Override PartName="/word/header99.xml" ContentType="application/vnd.openxmlformats-officedocument.wordprocessingml.header+xml"/>
  <Override PartName="/word/footer52.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footer53.xml" ContentType="application/vnd.openxmlformats-officedocument.wordprocessingml.footer+xml"/>
  <Override PartName="/word/header110.xml" ContentType="application/vnd.openxmlformats-officedocument.wordprocessingml.header+xml"/>
  <Override PartName="/word/footer54.xml" ContentType="application/vnd.openxmlformats-officedocument.wordprocessingml.foot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137.xml" ContentType="application/vnd.openxmlformats-officedocument.wordprocessingml.header+xml"/>
  <Override PartName="/word/footer57.xml" ContentType="application/vnd.openxmlformats-officedocument.wordprocessingml.footer+xml"/>
  <Override PartName="/word/header138.xml" ContentType="application/vnd.openxmlformats-officedocument.wordprocessingml.header+xml"/>
  <Override PartName="/word/header139.xml" ContentType="application/vnd.openxmlformats-officedocument.wordprocessingml.header+xml"/>
  <Override PartName="/word/footer58.xml" ContentType="application/vnd.openxmlformats-officedocument.wordprocessingml.footer+xml"/>
  <Override PartName="/word/header140.xml" ContentType="application/vnd.openxmlformats-officedocument.wordprocessingml.header+xml"/>
  <Override PartName="/word/header141.xml" ContentType="application/vnd.openxmlformats-officedocument.wordprocessingml.header+xml"/>
  <Override PartName="/word/footer59.xml" ContentType="application/vnd.openxmlformats-officedocument.wordprocessingml.footer+xml"/>
  <Override PartName="/word/header142.xml" ContentType="application/vnd.openxmlformats-officedocument.wordprocessingml.header+xml"/>
  <Override PartName="/word/footer60.xml" ContentType="application/vnd.openxmlformats-officedocument.wordprocessingml.footer+xml"/>
  <Override PartName="/word/header143.xml" ContentType="application/vnd.openxmlformats-officedocument.wordprocessingml.header+xml"/>
  <Override PartName="/word/header144.xml" ContentType="application/vnd.openxmlformats-officedocument.wordprocessingml.header+xml"/>
  <Override PartName="/word/footer61.xml" ContentType="application/vnd.openxmlformats-officedocument.wordprocessingml.footer+xml"/>
  <Override PartName="/word/header145.xml" ContentType="application/vnd.openxmlformats-officedocument.wordprocessingml.header+xml"/>
  <Override PartName="/word/footer62.xml" ContentType="application/vnd.openxmlformats-officedocument.wordprocessingml.footer+xml"/>
  <Override PartName="/word/header146.xml" ContentType="application/vnd.openxmlformats-officedocument.wordprocessingml.header+xml"/>
  <Override PartName="/word/header147.xml" ContentType="application/vnd.openxmlformats-officedocument.wordprocessingml.header+xml"/>
  <Override PartName="/word/footer63.xml" ContentType="application/vnd.openxmlformats-officedocument.wordprocessingml.footer+xml"/>
  <Override PartName="/word/header148.xml" ContentType="application/vnd.openxmlformats-officedocument.wordprocessingml.header+xml"/>
  <Override PartName="/word/header149.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150.xml" ContentType="application/vnd.openxmlformats-officedocument.wordprocessingml.header+xml"/>
  <Override PartName="/word/footer66.xml" ContentType="application/vnd.openxmlformats-officedocument.wordprocessingml.footer+xml"/>
  <Override PartName="/word/header151.xml" ContentType="application/vnd.openxmlformats-officedocument.wordprocessingml.header+xml"/>
  <Override PartName="/word/header152.xml" ContentType="application/vnd.openxmlformats-officedocument.wordprocessingml.header+xml"/>
  <Override PartName="/word/footer67.xml" ContentType="application/vnd.openxmlformats-officedocument.wordprocessingml.footer+xml"/>
  <Override PartName="/word/header153.xml" ContentType="application/vnd.openxmlformats-officedocument.wordprocessingml.header+xml"/>
  <Override PartName="/word/header154.xml" ContentType="application/vnd.openxmlformats-officedocument.wordprocessingml.header+xml"/>
  <Override PartName="/word/footer68.xml" ContentType="application/vnd.openxmlformats-officedocument.wordprocessingml.footer+xml"/>
  <Override PartName="/word/header155.xml" ContentType="application/vnd.openxmlformats-officedocument.wordprocessingml.header+xml"/>
  <Override PartName="/word/header156.xml" ContentType="application/vnd.openxmlformats-officedocument.wordprocessingml.header+xml"/>
  <Override PartName="/word/footer69.xml" ContentType="application/vnd.openxmlformats-officedocument.wordprocessingml.footer+xml"/>
  <Override PartName="/word/footer7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73F2" w14:textId="6C4CFA64" w:rsidR="00150DFB" w:rsidRPr="005D4222" w:rsidRDefault="00CB291A" w:rsidP="00150DFB">
      <w:pPr>
        <w:spacing w:line="216" w:lineRule="auto"/>
        <w:rPr>
          <w:rFonts w:cs="Arial"/>
          <w:b/>
          <w:bCs/>
          <w:sz w:val="24"/>
          <w:szCs w:val="24"/>
        </w:rPr>
      </w:pPr>
      <w:r w:rsidRPr="005D4222">
        <w:rPr>
          <w:rFonts w:cs="Arial"/>
          <w:b/>
          <w:bCs/>
          <w:noProof/>
          <w:sz w:val="24"/>
          <w:szCs w:val="24"/>
        </w:rPr>
        <w:drawing>
          <wp:anchor distT="0" distB="0" distL="114300" distR="114300" simplePos="0" relativeHeight="251658241" behindDoc="0" locked="0" layoutInCell="1" allowOverlap="1" wp14:anchorId="602ECF94" wp14:editId="1781E586">
            <wp:simplePos x="0" y="0"/>
            <wp:positionH relativeFrom="column">
              <wp:posOffset>-1370330</wp:posOffset>
            </wp:positionH>
            <wp:positionV relativeFrom="paragraph">
              <wp:posOffset>-1436321</wp:posOffset>
            </wp:positionV>
            <wp:extent cx="8602393" cy="11132665"/>
            <wp:effectExtent l="0" t="0" r="8255" b="0"/>
            <wp:wrapNone/>
            <wp:docPr id="1091324859" name="Picture 1" descr="A blue cover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24859" name="Picture 1" descr="A blue cover with white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602393" cy="11132665"/>
                    </a:xfrm>
                    <a:prstGeom prst="rect">
                      <a:avLst/>
                    </a:prstGeom>
                  </pic:spPr>
                </pic:pic>
              </a:graphicData>
            </a:graphic>
            <wp14:sizeRelH relativeFrom="margin">
              <wp14:pctWidth>0</wp14:pctWidth>
            </wp14:sizeRelH>
            <wp14:sizeRelV relativeFrom="margin">
              <wp14:pctHeight>0</wp14:pctHeight>
            </wp14:sizeRelV>
          </wp:anchor>
        </w:drawing>
      </w:r>
    </w:p>
    <w:p w14:paraId="7E0F10D9" w14:textId="7356E895" w:rsidR="00440702" w:rsidRPr="005D4222" w:rsidRDefault="00440702" w:rsidP="00834FBA">
      <w:pPr>
        <w:spacing w:line="216" w:lineRule="auto"/>
        <w:rPr>
          <w:rFonts w:cs="Arial"/>
          <w:b/>
          <w:bCs/>
          <w:sz w:val="24"/>
          <w:szCs w:val="24"/>
        </w:rPr>
        <w:sectPr w:rsidR="00440702" w:rsidRPr="005D4222" w:rsidSect="0074514A">
          <w:headerReference w:type="even" r:id="rId12"/>
          <w:footerReference w:type="even" r:id="rId13"/>
          <w:type w:val="nextColumn"/>
          <w:pgSz w:w="12240" w:h="15840" w:code="1"/>
          <w:pgMar w:top="1080" w:right="1080" w:bottom="1080" w:left="1440" w:header="720" w:footer="720" w:gutter="0"/>
          <w:cols w:space="720"/>
        </w:sectPr>
      </w:pPr>
    </w:p>
    <w:p w14:paraId="2663FCC2" w14:textId="543CABF7" w:rsidR="00834FBA" w:rsidRPr="005D4222" w:rsidRDefault="00834FBA" w:rsidP="00834FBA">
      <w:pPr>
        <w:spacing w:line="216" w:lineRule="auto"/>
        <w:rPr>
          <w:rFonts w:cs="Arial"/>
          <w:sz w:val="17"/>
          <w:szCs w:val="17"/>
        </w:rPr>
      </w:pPr>
      <w:r w:rsidRPr="005D4222">
        <w:rPr>
          <w:rFonts w:cs="Arial"/>
          <w:sz w:val="17"/>
          <w:szCs w:val="17"/>
        </w:rPr>
        <w:lastRenderedPageBreak/>
        <w:t>HEDIS</w:t>
      </w:r>
      <w:r w:rsidRPr="005D4222">
        <w:rPr>
          <w:rFonts w:cs="Arial"/>
          <w:sz w:val="17"/>
          <w:szCs w:val="17"/>
          <w:vertAlign w:val="superscript"/>
        </w:rPr>
        <w:t>®</w:t>
      </w:r>
      <w:r w:rsidRPr="005D4222">
        <w:rPr>
          <w:rFonts w:cs="Arial"/>
          <w:sz w:val="17"/>
          <w:szCs w:val="17"/>
        </w:rPr>
        <w:t xml:space="preserve"> is a registered trademark of the National Committee for Quality Assurance (NCQA). The HEDIS measures and specifications were developed by and are owned by NCQA. NCQA holds a copyright in these materials and may rescind or alter these materials at any time. Users of the HEDIS measures and specifications shall not have the right to alter, enhance or otherwise modify the HEDIS measures and specifications, and shall not disassemble, recompile or reverse engineer the HEDIS measures and specifications. Anyone desiring to use or reproduce the materials, subject to licensed user restrictions, without modification for an internal non-commercial purpose may do so without obtaining any approval from NCQA. Use of the Rules for Allowable Adjustments of HEDIS to make permitted adjustments of the materials does not constitute a modification. All other uses, including a commercial use (including but not limited to vendors using the measures and specifications with a product or service to calculate measure results), or any external reproduction, distribution and publication of the HEDIS measures or results (“rates”) therefrom must be approved by NCQA and are subject to a license at the discretion of NCQA. Any use of the materials to identify records or calculate measure results, for example, requires a custom license and may necessitate certification pursuant to NCQA’s Measure Certification Program.</w:t>
      </w:r>
    </w:p>
    <w:p w14:paraId="64E45672" w14:textId="77777777" w:rsidR="00834FBA" w:rsidRPr="005D4222" w:rsidRDefault="00834FBA" w:rsidP="00834FBA">
      <w:pPr>
        <w:spacing w:before="120" w:line="216" w:lineRule="auto"/>
        <w:rPr>
          <w:rFonts w:cs="Arial"/>
          <w:sz w:val="17"/>
          <w:szCs w:val="17"/>
        </w:rPr>
      </w:pPr>
      <w:r w:rsidRPr="005D4222">
        <w:rPr>
          <w:rFonts w:cs="Arial"/>
          <w:sz w:val="17"/>
          <w:szCs w:val="17"/>
        </w:rPr>
        <w:t xml:space="preserve">HEDIS measures and specifications are not clinical guidelines, do not establish a standard of medical care and have not been tested for all potential applications. The measures and specifications are provided “as is” without warranty of any kind. NCQA makes no representations, warranties or endorsements about the quality of any product, test or protocol identified as numerator compliant or otherwise identified as meeting the requirements of a HEDIS measure or specification. NCQA also makes no representations, warranties or endorsements about the quality of any organization or clinician who uses or reports performance measures. NCQA has no liability to anyone who relies on HEDIS measures and specifications or data reflective of performance under such measures and specifications. </w:t>
      </w:r>
    </w:p>
    <w:p w14:paraId="26D5478E" w14:textId="77777777" w:rsidR="00834FBA" w:rsidRPr="005D4222" w:rsidRDefault="00834FBA" w:rsidP="00834FBA">
      <w:pPr>
        <w:spacing w:before="120" w:line="216" w:lineRule="auto"/>
        <w:rPr>
          <w:rFonts w:cs="Arial"/>
          <w:sz w:val="17"/>
          <w:szCs w:val="17"/>
        </w:rPr>
      </w:pPr>
      <w:r w:rsidRPr="005D4222">
        <w:rPr>
          <w:rFonts w:cs="Arial"/>
          <w:sz w:val="17"/>
          <w:szCs w:val="17"/>
        </w:rPr>
        <w:t xml:space="preserve">Limited proprietary coding is contained in the measure specifications for convenience. Users of the proprietary code sets should obtain all necessary licenses from the owners of these code sets. NCQA disclaims all liability for use or accuracy of any coding contained in the specifications. </w:t>
      </w:r>
    </w:p>
    <w:p w14:paraId="5F26DAE4" w14:textId="1F3E67B4" w:rsidR="00834FBA" w:rsidRPr="005D4222" w:rsidRDefault="00834FBA" w:rsidP="00834FBA">
      <w:pPr>
        <w:spacing w:before="120" w:line="216" w:lineRule="auto"/>
        <w:rPr>
          <w:rFonts w:cs="Arial"/>
          <w:sz w:val="17"/>
          <w:szCs w:val="17"/>
        </w:rPr>
      </w:pPr>
      <w:r w:rsidRPr="005D4222">
        <w:rPr>
          <w:rFonts w:cs="Arial"/>
          <w:sz w:val="17"/>
          <w:szCs w:val="17"/>
        </w:rPr>
        <w:t>CPT</w:t>
      </w:r>
      <w:r w:rsidRPr="005D4222">
        <w:rPr>
          <w:rFonts w:cs="Arial"/>
          <w:sz w:val="17"/>
          <w:szCs w:val="17"/>
          <w:vertAlign w:val="superscript"/>
        </w:rPr>
        <w:t>®</w:t>
      </w:r>
      <w:r w:rsidRPr="005D4222">
        <w:rPr>
          <w:rFonts w:cs="Arial"/>
          <w:sz w:val="17"/>
          <w:szCs w:val="17"/>
        </w:rPr>
        <w:t xml:space="preserve"> codes, descriptions and other data are copyright </w:t>
      </w:r>
      <w:r w:rsidR="0086169A" w:rsidRPr="005D4222">
        <w:rPr>
          <w:rFonts w:cs="Arial"/>
          <w:sz w:val="17"/>
          <w:szCs w:val="17"/>
        </w:rPr>
        <w:t xml:space="preserve">2025 </w:t>
      </w:r>
      <w:r w:rsidRPr="005D4222">
        <w:rPr>
          <w:rFonts w:cs="Arial"/>
          <w:sz w:val="17"/>
          <w:szCs w:val="17"/>
        </w:rPr>
        <w:t xml:space="preserve">American Medical Association (AMA). All rights reserved. CPT is a trademark of the AMA. </w:t>
      </w:r>
      <w:r w:rsidRPr="005D4222">
        <w:rPr>
          <w:rFonts w:eastAsia="Calibri" w:cs="Arial"/>
          <w:sz w:val="17"/>
          <w:szCs w:val="17"/>
        </w:rPr>
        <w:t xml:space="preserve">Fee schedules, relative value units, conversion factors and/or related components are not assigned by the AMA, are not part of CPT, and the AMA is not recommending their use. The AMA does not directly or indirectly practice medicine or dispense medical services. </w:t>
      </w:r>
      <w:r w:rsidRPr="005D4222">
        <w:rPr>
          <w:rFonts w:cs="Arial"/>
          <w:sz w:val="17"/>
          <w:szCs w:val="17"/>
        </w:rPr>
        <w:t>The AMA assumes no liability for the data contained herein. Applicable FARS/DFARS restrictions apply to government use.</w:t>
      </w:r>
    </w:p>
    <w:p w14:paraId="70A84187" w14:textId="65B30621" w:rsidR="00834FBA" w:rsidRPr="005D4222" w:rsidRDefault="00834FBA" w:rsidP="00834FBA">
      <w:pPr>
        <w:spacing w:before="120" w:line="216" w:lineRule="auto"/>
        <w:rPr>
          <w:rFonts w:cs="Arial"/>
          <w:sz w:val="17"/>
          <w:szCs w:val="17"/>
        </w:rPr>
      </w:pPr>
      <w:r w:rsidRPr="005D4222">
        <w:rPr>
          <w:rFonts w:cs="Arial"/>
          <w:sz w:val="17"/>
          <w:szCs w:val="17"/>
        </w:rPr>
        <w:t xml:space="preserve">Health Care Provider Taxonomy Code Set codes copyright </w:t>
      </w:r>
      <w:r w:rsidR="0086169A" w:rsidRPr="005D4222">
        <w:rPr>
          <w:rFonts w:cs="Arial"/>
          <w:sz w:val="17"/>
          <w:szCs w:val="17"/>
        </w:rPr>
        <w:t xml:space="preserve">2025 </w:t>
      </w:r>
      <w:r w:rsidRPr="005D4222">
        <w:rPr>
          <w:rFonts w:cs="Arial"/>
          <w:sz w:val="17"/>
          <w:szCs w:val="17"/>
        </w:rPr>
        <w:t>AMA. The codes are published in cooperation with the National Uniform Claim Committee (NUCC) by the AMA. Applicable FARS/DFARS restrictions apply.</w:t>
      </w:r>
    </w:p>
    <w:p w14:paraId="01E6DD0B" w14:textId="77777777" w:rsidR="00834FBA" w:rsidRPr="005D4222" w:rsidRDefault="00834FBA" w:rsidP="00834FBA">
      <w:pPr>
        <w:spacing w:before="120" w:line="216" w:lineRule="auto"/>
        <w:rPr>
          <w:rFonts w:cs="Arial"/>
          <w:sz w:val="17"/>
          <w:szCs w:val="17"/>
        </w:rPr>
      </w:pPr>
      <w:r w:rsidRPr="005D4222">
        <w:rPr>
          <w:rFonts w:cs="Arial"/>
          <w:sz w:val="17"/>
          <w:szCs w:val="17"/>
        </w:rPr>
        <w:t>The American Hospital Association holds a copyright to the Uniform Billing Codes (“UB”) contained in the measure specifications. The UB Codes in the HEDIS specifications are included with the permission of the AHA. All uses of the UB Codes may require a license from the AHA. Specifically, anyone desiring to use the UB Codes in a commercial product to generate HEDIS results, or for any other commercial use, must obtain a commercial use license directly from the AHA. To inquire about licensing, contact ub04@aha.org.</w:t>
      </w:r>
    </w:p>
    <w:p w14:paraId="10BAB25C" w14:textId="77777777" w:rsidR="00834FBA" w:rsidRPr="005D4222" w:rsidRDefault="00834FBA" w:rsidP="00834FBA">
      <w:pPr>
        <w:spacing w:before="120" w:line="216" w:lineRule="auto"/>
        <w:rPr>
          <w:rFonts w:cs="Arial"/>
          <w:sz w:val="17"/>
          <w:szCs w:val="17"/>
        </w:rPr>
      </w:pPr>
      <w:r w:rsidRPr="005D4222">
        <w:rPr>
          <w:rFonts w:cs="Arial"/>
          <w:sz w:val="17"/>
          <w:szCs w:val="17"/>
        </w:rPr>
        <w:t>The American Dental Association (ADA) holds a copyright to the Current Dental Terminology (CDT) codes contained in certain measure specifications. The CDT codes in the HEDIS specifications are included with the permission of the ADA. All uses of the CDT codes require a license from the ADA. No alteration, amendments, or modifications of the CDT or any portion thereof is allowed. Resale, transmission, or distribution of copies of the CDT or other portions of the CDT is also not allowed. To inquire about licensing, contact CDT-SNODENT@ada.org.</w:t>
      </w:r>
    </w:p>
    <w:p w14:paraId="65593236" w14:textId="7C6134A9" w:rsidR="00834FBA" w:rsidRPr="005D4222" w:rsidRDefault="00834FBA" w:rsidP="00834FBA">
      <w:pPr>
        <w:pStyle w:val="FootnoteText"/>
        <w:spacing w:before="120" w:line="216" w:lineRule="auto"/>
        <w:rPr>
          <w:rFonts w:ascii="Arial" w:hAnsi="Arial" w:cs="Arial"/>
          <w:sz w:val="17"/>
          <w:szCs w:val="17"/>
        </w:rPr>
      </w:pPr>
      <w:r w:rsidRPr="005D4222">
        <w:rPr>
          <w:rFonts w:ascii="Arial" w:hAnsi="Arial" w:cs="Arial"/>
          <w:sz w:val="17"/>
          <w:szCs w:val="17"/>
        </w:rPr>
        <w:t>Some measure specifications contain coding from LOINC</w:t>
      </w:r>
      <w:r w:rsidRPr="005D4222">
        <w:rPr>
          <w:rFonts w:ascii="Arial" w:hAnsi="Arial" w:cs="Arial"/>
          <w:sz w:val="17"/>
          <w:szCs w:val="17"/>
          <w:vertAlign w:val="superscript"/>
        </w:rPr>
        <w:t>®</w:t>
      </w:r>
      <w:r w:rsidRPr="005D4222">
        <w:rPr>
          <w:rFonts w:ascii="Arial" w:hAnsi="Arial" w:cs="Arial"/>
          <w:sz w:val="17"/>
          <w:szCs w:val="17"/>
        </w:rPr>
        <w:t xml:space="preserve"> (</w:t>
      </w:r>
      <w:r w:rsidRPr="005D4222">
        <w:rPr>
          <w:rFonts w:ascii="Arial" w:hAnsi="Arial" w:cs="Arial"/>
          <w:sz w:val="18"/>
          <w:szCs w:val="18"/>
        </w:rPr>
        <w:t>https://loinc.org/</w:t>
      </w:r>
      <w:r w:rsidRPr="005D4222">
        <w:rPr>
          <w:rStyle w:val="Hyperlink"/>
          <w:rFonts w:ascii="Arial" w:hAnsi="Arial" w:cs="Arial"/>
          <w:color w:val="000000" w:themeColor="text1"/>
          <w:sz w:val="17"/>
          <w:szCs w:val="17"/>
          <w:u w:val="none"/>
        </w:rPr>
        <w:t>). The LOI</w:t>
      </w:r>
      <w:r w:rsidRPr="005D4222">
        <w:rPr>
          <w:rFonts w:ascii="Arial" w:hAnsi="Arial" w:cs="Arial"/>
          <w:sz w:val="17"/>
          <w:szCs w:val="17"/>
        </w:rPr>
        <w:t>NC table, LOINC codes, LOINC panels and form file, LOINC linguistic variants file, LOINC/RSNA Radiology Playbook, and LOINC/IEEE Medical Device Code Mapping Table are copyright © 1995–202</w:t>
      </w:r>
      <w:r w:rsidR="00DD260C" w:rsidRPr="005D4222">
        <w:rPr>
          <w:rFonts w:ascii="Arial" w:hAnsi="Arial" w:cs="Arial"/>
          <w:sz w:val="17"/>
          <w:szCs w:val="17"/>
        </w:rPr>
        <w:t>5</w:t>
      </w:r>
      <w:r w:rsidRPr="005D4222">
        <w:rPr>
          <w:rFonts w:ascii="Arial" w:hAnsi="Arial" w:cs="Arial"/>
          <w:sz w:val="17"/>
          <w:szCs w:val="17"/>
        </w:rPr>
        <w:t xml:space="preserve"> Regenstrief Institute, Inc. and the Logical Observation Identifiers Names and Codes (LOINC) Committee and are available at no cost under the license at https://loinc.org/kb/license/.</w:t>
      </w:r>
    </w:p>
    <w:p w14:paraId="29E83AB4" w14:textId="77777777" w:rsidR="00834FBA" w:rsidRPr="005D4222" w:rsidRDefault="00834FBA" w:rsidP="00834FBA">
      <w:pPr>
        <w:widowControl w:val="0"/>
        <w:spacing w:before="120" w:line="216" w:lineRule="auto"/>
        <w:rPr>
          <w:rFonts w:cs="Arial"/>
          <w:sz w:val="17"/>
          <w:szCs w:val="17"/>
        </w:rPr>
      </w:pPr>
      <w:r w:rsidRPr="005D4222">
        <w:rPr>
          <w:rFonts w:cs="Arial"/>
          <w:sz w:val="17"/>
          <w:szCs w:val="17"/>
        </w:rPr>
        <w:t>“SNOMED” and “SNOMED CT” are registered trademarks of the International Health Terminology Standards Development Organisation (IHTSDO).</w:t>
      </w:r>
    </w:p>
    <w:p w14:paraId="4D20D33F" w14:textId="77777777" w:rsidR="00834FBA" w:rsidRPr="005D4222" w:rsidRDefault="00834FBA" w:rsidP="00834FBA">
      <w:pPr>
        <w:widowControl w:val="0"/>
        <w:spacing w:before="120" w:line="216" w:lineRule="auto"/>
        <w:rPr>
          <w:rFonts w:cs="Arial"/>
          <w:sz w:val="17"/>
          <w:szCs w:val="17"/>
        </w:rPr>
      </w:pPr>
      <w:r w:rsidRPr="005D4222">
        <w:rPr>
          <w:rFonts w:cs="Arial"/>
          <w:sz w:val="17"/>
          <w:szCs w:val="17"/>
        </w:rPr>
        <w:t>The CDC Race and Ethnicity code system was developed by the U.S. Centers for Disease Control and Prevention (CDC). NCQA’s use of the code system does not imply endorsement by the CDC of NCQA, or its products or services. The code system is otherwise available on the CDC website at no charge.</w:t>
      </w:r>
    </w:p>
    <w:p w14:paraId="7F54F924" w14:textId="6EADC074" w:rsidR="00834FBA" w:rsidRPr="005D4222" w:rsidRDefault="00834FBA" w:rsidP="00834FBA">
      <w:pPr>
        <w:widowControl w:val="0"/>
        <w:spacing w:before="120" w:line="216" w:lineRule="auto"/>
        <w:rPr>
          <w:rFonts w:cs="Arial"/>
          <w:sz w:val="17"/>
          <w:szCs w:val="17"/>
        </w:rPr>
      </w:pPr>
      <w:r w:rsidRPr="005D4222">
        <w:rPr>
          <w:rFonts w:cs="Arial"/>
          <w:sz w:val="17"/>
          <w:szCs w:val="17"/>
        </w:rPr>
        <w:t>Certain NullFlavor codes are owned and copyrighted by Health Level Seven International (HL7</w:t>
      </w:r>
      <w:r w:rsidRPr="005D4222">
        <w:rPr>
          <w:rFonts w:cs="Arial"/>
          <w:sz w:val="17"/>
          <w:szCs w:val="17"/>
          <w:vertAlign w:val="superscript"/>
        </w:rPr>
        <w:t>®</w:t>
      </w:r>
      <w:r w:rsidRPr="005D4222">
        <w:rPr>
          <w:rFonts w:cs="Arial"/>
          <w:sz w:val="17"/>
          <w:szCs w:val="17"/>
        </w:rPr>
        <w:t xml:space="preserve">); </w:t>
      </w:r>
      <w:r w:rsidR="0086169A" w:rsidRPr="005D4222">
        <w:rPr>
          <w:rFonts w:cs="Arial"/>
          <w:sz w:val="17"/>
          <w:szCs w:val="17"/>
        </w:rPr>
        <w:t>2025</w:t>
      </w:r>
      <w:r w:rsidRPr="005D4222">
        <w:rPr>
          <w:rFonts w:cs="Arial"/>
          <w:sz w:val="17"/>
          <w:szCs w:val="17"/>
        </w:rPr>
        <w:t>. “HL7” is a registered trademark of Health Level Seven International.</w:t>
      </w:r>
    </w:p>
    <w:p w14:paraId="79E6D170" w14:textId="2486C514" w:rsidR="00834FBA" w:rsidRPr="005D4222" w:rsidRDefault="00834FBA" w:rsidP="00834FBA">
      <w:pPr>
        <w:widowControl w:val="0"/>
        <w:spacing w:before="120" w:line="216" w:lineRule="auto"/>
        <w:rPr>
          <w:rFonts w:cs="Arial"/>
          <w:sz w:val="17"/>
          <w:szCs w:val="17"/>
        </w:rPr>
      </w:pPr>
      <w:r w:rsidRPr="005D4222">
        <w:rPr>
          <w:rFonts w:cs="Arial"/>
          <w:sz w:val="17"/>
          <w:szCs w:val="17"/>
        </w:rPr>
        <w:t xml:space="preserve">RadLex copyright 2014, The Radiological Society of North America (RSNA), all rights reserved. Licensed under RadLex License Version 2.0. You may obtain a copy of the license at: </w:t>
      </w:r>
      <w:r w:rsidR="002D7A57" w:rsidRPr="005D4222">
        <w:rPr>
          <w:rFonts w:cs="Arial"/>
          <w:sz w:val="17"/>
          <w:szCs w:val="17"/>
        </w:rPr>
        <w:t>https://www.rsna.org/uploadedFiles/RSNA/Content/Informatics/RadLex_License_Agreement_and_Terms_of_Use_V2_Final.pdf</w:t>
      </w:r>
      <w:r w:rsidRPr="005D4222">
        <w:rPr>
          <w:rFonts w:cs="Arial"/>
          <w:sz w:val="17"/>
          <w:szCs w:val="17"/>
        </w:rPr>
        <w:t xml:space="preserve"> This work is distributed under the above noted license on an “AS IS” basis, WITHOUT WARRANTIES OF ANY KIND, either express or implied. Please see the license for complete terms and conditions.</w:t>
      </w:r>
    </w:p>
    <w:p w14:paraId="26FD9D2A" w14:textId="77777777" w:rsidR="00834FBA" w:rsidRPr="005D4222" w:rsidRDefault="00834FBA" w:rsidP="00834FBA">
      <w:pPr>
        <w:spacing w:before="120" w:line="216" w:lineRule="auto"/>
        <w:rPr>
          <w:sz w:val="17"/>
          <w:szCs w:val="17"/>
        </w:rPr>
      </w:pPr>
      <w:r w:rsidRPr="005D4222">
        <w:rPr>
          <w:rFonts w:cs="Arial"/>
          <w:sz w:val="17"/>
          <w:szCs w:val="17"/>
        </w:rPr>
        <w:t>No part of this publication may be reproduced or transmitted in any form or by any means, electronic or mechanical, including photocopy, recording or any information storage and retrieval system, without the written permission of NCQA.</w:t>
      </w:r>
    </w:p>
    <w:p w14:paraId="6A832840" w14:textId="579E14E6" w:rsidR="00834FBA" w:rsidRPr="005D4222" w:rsidRDefault="00834FBA" w:rsidP="00834FBA">
      <w:pPr>
        <w:pStyle w:val="Body"/>
        <w:widowControl w:val="0"/>
        <w:spacing w:before="120" w:line="216" w:lineRule="auto"/>
        <w:rPr>
          <w:i/>
          <w:iCs/>
          <w:sz w:val="17"/>
          <w:szCs w:val="17"/>
        </w:rPr>
      </w:pPr>
      <w:r w:rsidRPr="005D4222">
        <w:rPr>
          <w:sz w:val="17"/>
          <w:szCs w:val="17"/>
        </w:rPr>
        <w:t>©</w:t>
      </w:r>
      <w:r w:rsidRPr="005D4222" w:rsidDel="005A3E7F">
        <w:rPr>
          <w:sz w:val="17"/>
          <w:szCs w:val="17"/>
        </w:rPr>
        <w:t xml:space="preserve"> </w:t>
      </w:r>
      <w:r w:rsidR="005A3E7F" w:rsidRPr="005D4222">
        <w:rPr>
          <w:sz w:val="17"/>
          <w:szCs w:val="17"/>
        </w:rPr>
        <w:t>2025</w:t>
      </w:r>
      <w:r w:rsidRPr="005D4222">
        <w:rPr>
          <w:sz w:val="17"/>
          <w:szCs w:val="17"/>
        </w:rPr>
        <w:t xml:space="preserve"> by the National Committee for Quality Assurance </w:t>
      </w:r>
      <w:r w:rsidRPr="005D4222">
        <w:rPr>
          <w:sz w:val="17"/>
          <w:szCs w:val="17"/>
        </w:rPr>
        <w:br/>
        <w:t xml:space="preserve">1100 13th Street NW, Third Floor, </w:t>
      </w:r>
      <w:r w:rsidRPr="005D4222">
        <w:rPr>
          <w:sz w:val="17"/>
          <w:szCs w:val="17"/>
        </w:rPr>
        <w:br/>
        <w:t>Washington, DC 20005</w:t>
      </w:r>
    </w:p>
    <w:p w14:paraId="44AC10D7" w14:textId="77777777" w:rsidR="00834FBA" w:rsidRPr="005D4222" w:rsidRDefault="00834FBA" w:rsidP="00834FBA">
      <w:pPr>
        <w:pStyle w:val="Body"/>
        <w:widowControl w:val="0"/>
        <w:spacing w:before="120" w:line="216" w:lineRule="auto"/>
        <w:rPr>
          <w:sz w:val="17"/>
          <w:szCs w:val="17"/>
        </w:rPr>
      </w:pPr>
      <w:r w:rsidRPr="005D4222">
        <w:rPr>
          <w:sz w:val="17"/>
          <w:szCs w:val="17"/>
        </w:rPr>
        <w:t xml:space="preserve">All rights reserved. </w:t>
      </w:r>
    </w:p>
    <w:p w14:paraId="180EF009" w14:textId="77777777" w:rsidR="00834FBA" w:rsidRPr="005D4222" w:rsidRDefault="00834FBA" w:rsidP="00834FBA">
      <w:pPr>
        <w:widowControl w:val="0"/>
        <w:spacing w:before="120" w:line="216" w:lineRule="auto"/>
        <w:ind w:right="3960"/>
        <w:rPr>
          <w:sz w:val="17"/>
          <w:szCs w:val="17"/>
        </w:rPr>
      </w:pPr>
      <w:r w:rsidRPr="005D4222">
        <w:rPr>
          <w:sz w:val="17"/>
          <w:szCs w:val="17"/>
        </w:rPr>
        <w:t>NCQA Customer Support: 888-275-7585</w:t>
      </w:r>
      <w:r w:rsidRPr="005D4222">
        <w:rPr>
          <w:sz w:val="17"/>
          <w:szCs w:val="17"/>
        </w:rPr>
        <w:br/>
        <w:t>NCQA Fax: 202-955-3599</w:t>
      </w:r>
      <w:r w:rsidRPr="005D4222">
        <w:rPr>
          <w:sz w:val="17"/>
          <w:szCs w:val="17"/>
        </w:rPr>
        <w:br/>
        <w:t xml:space="preserve">NCQA Website: </w:t>
      </w:r>
      <w:r w:rsidRPr="005D4222">
        <w:rPr>
          <w:sz w:val="17"/>
          <w:szCs w:val="17"/>
          <w:u w:val="single"/>
        </w:rPr>
        <w:t>www.ncqa.org</w:t>
      </w:r>
    </w:p>
    <w:p w14:paraId="101B3A47" w14:textId="77777777" w:rsidR="00834FBA" w:rsidRPr="005D4222" w:rsidRDefault="00834FBA" w:rsidP="00834FBA">
      <w:pPr>
        <w:widowControl w:val="0"/>
        <w:spacing w:before="120" w:line="216" w:lineRule="auto"/>
        <w:rPr>
          <w:rFonts w:cs="Arial"/>
          <w:sz w:val="17"/>
          <w:szCs w:val="17"/>
        </w:rPr>
      </w:pPr>
      <w:r w:rsidRPr="005D4222">
        <w:rPr>
          <w:rFonts w:cs="Arial"/>
          <w:sz w:val="17"/>
          <w:szCs w:val="17"/>
        </w:rPr>
        <w:t>Submit policy clarification support questions via My NCQA (</w:t>
      </w:r>
      <w:hyperlink r:id="rId14" w:history="1">
        <w:r w:rsidRPr="005D4222">
          <w:rPr>
            <w:rStyle w:val="Hyperlink"/>
            <w:sz w:val="17"/>
            <w:szCs w:val="17"/>
          </w:rPr>
          <w:t>https://my.ncqa.org/</w:t>
        </w:r>
      </w:hyperlink>
      <w:r w:rsidRPr="005D4222">
        <w:rPr>
          <w:rFonts w:cs="Arial"/>
          <w:sz w:val="17"/>
          <w:szCs w:val="17"/>
        </w:rPr>
        <w:t>)</w:t>
      </w:r>
    </w:p>
    <w:p w14:paraId="5914ADF1" w14:textId="469B8F32" w:rsidR="00834FBA" w:rsidRPr="005D4222" w:rsidRDefault="3025B29E" w:rsidP="089220A7">
      <w:pPr>
        <w:widowControl w:val="0"/>
        <w:spacing w:before="120" w:line="216" w:lineRule="auto"/>
        <w:rPr>
          <w:rFonts w:cs="Arial"/>
          <w:sz w:val="17"/>
          <w:szCs w:val="17"/>
        </w:rPr>
      </w:pPr>
      <w:r w:rsidRPr="005D4222">
        <w:rPr>
          <w:i/>
          <w:iCs/>
          <w:sz w:val="17"/>
          <w:szCs w:val="17"/>
        </w:rPr>
        <w:t>10273-310-26</w:t>
      </w:r>
    </w:p>
    <w:p w14:paraId="6D7D9B72" w14:textId="77777777" w:rsidR="00834FBA" w:rsidRPr="005D4222" w:rsidRDefault="00834FBA" w:rsidP="00834FBA">
      <w:pPr>
        <w:widowControl w:val="0"/>
        <w:spacing w:before="120" w:line="216" w:lineRule="auto"/>
        <w:rPr>
          <w:rFonts w:cs="Arial"/>
          <w:sz w:val="17"/>
          <w:szCs w:val="17"/>
        </w:rPr>
        <w:sectPr w:rsidR="00834FBA" w:rsidRPr="005D4222" w:rsidSect="0074514A">
          <w:headerReference w:type="default" r:id="rId15"/>
          <w:footerReference w:type="default" r:id="rId16"/>
          <w:type w:val="nextColumn"/>
          <w:pgSz w:w="12240" w:h="15840" w:code="1"/>
          <w:pgMar w:top="1080" w:right="1080" w:bottom="1080" w:left="1440" w:header="720" w:footer="720" w:gutter="0"/>
          <w:cols w:space="720"/>
        </w:sectPr>
      </w:pPr>
    </w:p>
    <w:p w14:paraId="06C14CA5" w14:textId="77777777" w:rsidR="00834FBA" w:rsidRPr="005D4222" w:rsidRDefault="00834FBA" w:rsidP="00834FBA">
      <w:pPr>
        <w:pStyle w:val="Body"/>
        <w:widowControl w:val="0"/>
        <w:spacing w:before="120" w:line="228" w:lineRule="auto"/>
        <w:ind w:right="1296"/>
        <w:jc w:val="center"/>
        <w:rPr>
          <w:b/>
          <w:sz w:val="28"/>
          <w:szCs w:val="28"/>
        </w:rPr>
      </w:pPr>
      <w:r w:rsidRPr="005D4222">
        <w:rPr>
          <w:b/>
          <w:sz w:val="28"/>
          <w:szCs w:val="28"/>
        </w:rPr>
        <w:lastRenderedPageBreak/>
        <w:t>Acknowledgments</w:t>
      </w:r>
    </w:p>
    <w:p w14:paraId="40A5FC88" w14:textId="2E94DC97" w:rsidR="00834FBA" w:rsidRPr="005D4222" w:rsidRDefault="00834FBA" w:rsidP="00834FBA">
      <w:pPr>
        <w:pStyle w:val="Body"/>
        <w:widowControl w:val="0"/>
      </w:pPr>
      <w:r w:rsidRPr="005D4222">
        <w:t xml:space="preserve">NCQA is proud to release the Healthcare Effectiveness Data and Information Set for the </w:t>
      </w:r>
      <w:r w:rsidR="005A3E7F" w:rsidRPr="005D4222">
        <w:rPr>
          <w:bCs/>
          <w:iCs/>
        </w:rPr>
        <w:t>2026</w:t>
      </w:r>
      <w:r w:rsidR="005A3E7F" w:rsidRPr="005D4222" w:rsidDel="00DA6555">
        <w:t xml:space="preserve"> </w:t>
      </w:r>
      <w:r w:rsidRPr="005D4222">
        <w:t xml:space="preserve">measurement year. </w:t>
      </w:r>
      <w:r w:rsidRPr="005D4222">
        <w:rPr>
          <w:bCs/>
          <w:iCs/>
        </w:rPr>
        <w:t xml:space="preserve">HEDIS Measurement Year </w:t>
      </w:r>
      <w:r w:rsidR="005A3E7F" w:rsidRPr="005D4222">
        <w:rPr>
          <w:bCs/>
          <w:iCs/>
        </w:rPr>
        <w:t xml:space="preserve">2026 </w:t>
      </w:r>
      <w:r w:rsidRPr="005D4222">
        <w:rPr>
          <w:bCs/>
          <w:iCs/>
        </w:rPr>
        <w:t xml:space="preserve">(HEDIS MY </w:t>
      </w:r>
      <w:r w:rsidR="005A3E7F" w:rsidRPr="005D4222">
        <w:rPr>
          <w:bCs/>
          <w:iCs/>
        </w:rPr>
        <w:t>2026</w:t>
      </w:r>
      <w:r w:rsidRPr="005D4222">
        <w:rPr>
          <w:bCs/>
          <w:iCs/>
        </w:rPr>
        <w:t>)</w:t>
      </w:r>
      <w:r w:rsidRPr="005D4222">
        <w:t xml:space="preserve"> would not have been possible without the contributions of many stakeholders, external and internal to NCQA. In particular, the members of the Committee on Performance Measurement generously donated their time, energy and intellect toward developing the final HEDIS MY </w:t>
      </w:r>
      <w:r w:rsidR="005A3E7F" w:rsidRPr="005D4222">
        <w:rPr>
          <w:bCs/>
          <w:iCs/>
        </w:rPr>
        <w:t>2026</w:t>
      </w:r>
      <w:r w:rsidR="005A3E7F" w:rsidRPr="005D4222" w:rsidDel="00DA6555">
        <w:t xml:space="preserve"> </w:t>
      </w:r>
      <w:r w:rsidRPr="005D4222">
        <w:t>specifications.</w:t>
      </w:r>
    </w:p>
    <w:p w14:paraId="3AD5B5CA" w14:textId="616C431D" w:rsidR="00834FBA" w:rsidRPr="005D4222" w:rsidRDefault="00834FBA" w:rsidP="00834FBA">
      <w:pPr>
        <w:pStyle w:val="Body"/>
        <w:widowControl w:val="0"/>
      </w:pPr>
      <w:r w:rsidRPr="005D4222">
        <w:t xml:space="preserve">Improvements and enhancements to this volume are the result of a team effort of staff from these NCQA departments: Analysis, Measure </w:t>
      </w:r>
      <w:r w:rsidR="004C5C81" w:rsidRPr="005D4222">
        <w:t>and Data Operations</w:t>
      </w:r>
      <w:r w:rsidRPr="005D4222">
        <w:t>, Information Systems and Performance Measurement.</w:t>
      </w:r>
    </w:p>
    <w:p w14:paraId="33ABCBB1" w14:textId="3791B3BB" w:rsidR="00834FBA" w:rsidRPr="005D4222" w:rsidRDefault="00834FBA" w:rsidP="00834FBA">
      <w:pPr>
        <w:pStyle w:val="Body"/>
        <w:widowControl w:val="0"/>
      </w:pPr>
      <w:r w:rsidRPr="005D4222">
        <w:t xml:space="preserve">HEDIS is produced with contributions of a wide range of collaborators. The members of NCQA’s Measurement Advisory Panels, Technical Measurement Advisory Panel and HEDIS Expert Panels contributed greatly to </w:t>
      </w:r>
      <w:r w:rsidRPr="005D4222">
        <w:rPr>
          <w:bCs/>
          <w:iCs/>
        </w:rPr>
        <w:t xml:space="preserve">HEDIS MY </w:t>
      </w:r>
      <w:r w:rsidR="005A3E7F" w:rsidRPr="005D4222">
        <w:rPr>
          <w:bCs/>
          <w:iCs/>
        </w:rPr>
        <w:t>2026</w:t>
      </w:r>
      <w:r w:rsidRPr="005D4222">
        <w:t xml:space="preserve">. </w:t>
      </w:r>
    </w:p>
    <w:p w14:paraId="60B21FD0" w14:textId="77777777" w:rsidR="00834FBA" w:rsidRPr="005D4222" w:rsidRDefault="00834FBA" w:rsidP="00834FBA">
      <w:pPr>
        <w:pStyle w:val="Body"/>
        <w:widowControl w:val="0"/>
        <w:rPr>
          <w:snapToGrid w:val="0"/>
        </w:rPr>
      </w:pPr>
      <w:r w:rsidRPr="005D4222">
        <w:rPr>
          <w:snapToGrid w:val="0"/>
        </w:rPr>
        <w:t>Sincerely,</w:t>
      </w:r>
    </w:p>
    <w:p w14:paraId="2C7B5896" w14:textId="77777777" w:rsidR="00834FBA" w:rsidRPr="005D4222" w:rsidRDefault="00834FBA" w:rsidP="00834FBA">
      <w:pPr>
        <w:pStyle w:val="Body"/>
        <w:widowControl w:val="0"/>
        <w:spacing w:before="0"/>
      </w:pPr>
      <w:r w:rsidRPr="005D4222">
        <w:rPr>
          <w:noProof/>
        </w:rPr>
        <w:drawing>
          <wp:anchor distT="0" distB="0" distL="114300" distR="114300" simplePos="0" relativeHeight="251658240" behindDoc="0" locked="0" layoutInCell="1" allowOverlap="1" wp14:anchorId="5DEF4953" wp14:editId="3FDCE193">
            <wp:simplePos x="0" y="0"/>
            <wp:positionH relativeFrom="margin">
              <wp:posOffset>3712</wp:posOffset>
            </wp:positionH>
            <wp:positionV relativeFrom="paragraph">
              <wp:posOffset>81525</wp:posOffset>
            </wp:positionV>
            <wp:extent cx="1751330" cy="485140"/>
            <wp:effectExtent l="0" t="0" r="1270" b="0"/>
            <wp:wrapTight wrapText="bothSides">
              <wp:wrapPolygon edited="0">
                <wp:start x="0" y="0"/>
                <wp:lineTo x="0" y="20356"/>
                <wp:lineTo x="21381" y="20356"/>
                <wp:lineTo x="21381" y="0"/>
                <wp:lineTo x="0" y="0"/>
              </wp:wrapPolygon>
            </wp:wrapTight>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51330" cy="485140"/>
                    </a:xfrm>
                    <a:prstGeom prst="rect">
                      <a:avLst/>
                    </a:prstGeom>
                  </pic:spPr>
                </pic:pic>
              </a:graphicData>
            </a:graphic>
            <wp14:sizeRelH relativeFrom="margin">
              <wp14:pctWidth>0</wp14:pctWidth>
            </wp14:sizeRelH>
            <wp14:sizeRelV relativeFrom="margin">
              <wp14:pctHeight>0</wp14:pctHeight>
            </wp14:sizeRelV>
          </wp:anchor>
        </w:drawing>
      </w:r>
    </w:p>
    <w:p w14:paraId="13024D29" w14:textId="77777777" w:rsidR="00834FBA" w:rsidRPr="005D4222" w:rsidRDefault="00834FBA" w:rsidP="00834FBA">
      <w:pPr>
        <w:pStyle w:val="Body"/>
        <w:widowControl w:val="0"/>
        <w:spacing w:before="0"/>
      </w:pPr>
    </w:p>
    <w:p w14:paraId="5A56C920" w14:textId="77777777" w:rsidR="00834FBA" w:rsidRPr="005D4222" w:rsidRDefault="00834FBA" w:rsidP="00834FBA">
      <w:pPr>
        <w:pStyle w:val="Body"/>
        <w:widowControl w:val="0"/>
        <w:spacing w:before="0"/>
      </w:pPr>
    </w:p>
    <w:p w14:paraId="4E6EC969" w14:textId="77777777" w:rsidR="00834FBA" w:rsidRPr="005D4222" w:rsidRDefault="00834FBA" w:rsidP="00834FBA">
      <w:pPr>
        <w:pStyle w:val="Body"/>
        <w:widowControl w:val="0"/>
        <w:spacing w:before="0"/>
      </w:pPr>
    </w:p>
    <w:p w14:paraId="0B31937F" w14:textId="77777777" w:rsidR="00834FBA" w:rsidRPr="005D4222" w:rsidRDefault="00834FBA" w:rsidP="00834FBA">
      <w:pPr>
        <w:pStyle w:val="Body"/>
        <w:widowControl w:val="0"/>
      </w:pPr>
      <w:r w:rsidRPr="005D4222">
        <w:t>Margaret E. O’Kane</w:t>
      </w:r>
      <w:r w:rsidRPr="005D4222">
        <w:br/>
        <w:t>President</w:t>
      </w:r>
    </w:p>
    <w:p w14:paraId="07F41428" w14:textId="77777777" w:rsidR="00834FBA" w:rsidRPr="005D4222" w:rsidRDefault="00834FBA" w:rsidP="00834FBA">
      <w:pPr>
        <w:widowControl w:val="0"/>
      </w:pPr>
    </w:p>
    <w:p w14:paraId="39B5EBAB" w14:textId="77777777" w:rsidR="00834FBA" w:rsidRPr="005D4222" w:rsidRDefault="00834FBA" w:rsidP="00834FBA">
      <w:pPr>
        <w:widowControl w:val="0"/>
        <w:sectPr w:rsidR="00834FBA" w:rsidRPr="005D4222" w:rsidSect="0074514A">
          <w:headerReference w:type="default" r:id="rId18"/>
          <w:footerReference w:type="default" r:id="rId19"/>
          <w:type w:val="nextColumn"/>
          <w:pgSz w:w="12240" w:h="15840" w:code="1"/>
          <w:pgMar w:top="1080" w:right="1080" w:bottom="1080" w:left="1440" w:header="720" w:footer="720" w:gutter="0"/>
          <w:cols w:space="720"/>
        </w:sectPr>
      </w:pPr>
    </w:p>
    <w:p w14:paraId="131ECE40" w14:textId="1F1B2EB0" w:rsidR="00834FBA" w:rsidRPr="005D4222" w:rsidRDefault="00834FBA" w:rsidP="00834FBA">
      <w:pPr>
        <w:spacing w:after="360"/>
        <w:jc w:val="center"/>
        <w:rPr>
          <w:b/>
          <w:bCs/>
          <w:sz w:val="28"/>
          <w:szCs w:val="28"/>
        </w:rPr>
      </w:pPr>
      <w:bookmarkStart w:id="0" w:name="_Toc452170770"/>
      <w:r w:rsidRPr="005D4222">
        <w:rPr>
          <w:b/>
          <w:bCs/>
          <w:sz w:val="28"/>
          <w:szCs w:val="28"/>
        </w:rPr>
        <w:lastRenderedPageBreak/>
        <w:t>Committee on Performance Measurement</w:t>
      </w:r>
      <w:bookmarkEnd w:id="0"/>
    </w:p>
    <w:tbl>
      <w:tblPr>
        <w:tblW w:w="0" w:type="auto"/>
        <w:tblLayout w:type="fixed"/>
        <w:tblLook w:val="0000" w:firstRow="0" w:lastRow="0" w:firstColumn="0" w:lastColumn="0" w:noHBand="0" w:noVBand="0"/>
      </w:tblPr>
      <w:tblGrid>
        <w:gridCol w:w="4883"/>
        <w:gridCol w:w="4837"/>
      </w:tblGrid>
      <w:tr w:rsidR="00834FBA" w:rsidRPr="005D4222" w14:paraId="75A286BE" w14:textId="77777777" w:rsidTr="009F6641">
        <w:tc>
          <w:tcPr>
            <w:tcW w:w="4883" w:type="dxa"/>
            <w:tcMar>
              <w:left w:w="0" w:type="dxa"/>
              <w:right w:w="115" w:type="dxa"/>
            </w:tcMar>
          </w:tcPr>
          <w:p w14:paraId="336F5DA9" w14:textId="5FE80A83" w:rsidR="00834FBA" w:rsidRPr="005D4222" w:rsidRDefault="00834FBA" w:rsidP="009F6641">
            <w:pPr>
              <w:pStyle w:val="Body"/>
              <w:spacing w:before="0"/>
              <w:rPr>
                <w:rStyle w:val="eop"/>
                <w:color w:val="000000" w:themeColor="text1"/>
              </w:rPr>
            </w:pPr>
            <w:r w:rsidRPr="005D4222">
              <w:rPr>
                <w:b/>
              </w:rPr>
              <w:t>Ash Amarnath, MD, MS-SHCD</w:t>
            </w:r>
            <w:r w:rsidR="00D32AC6" w:rsidRPr="005D4222">
              <w:br/>
            </w:r>
            <w:r w:rsidRPr="005D4222">
              <w:rPr>
                <w:color w:val="000000" w:themeColor="text1"/>
              </w:rPr>
              <w:t>California Health Care Safety Net Institute</w:t>
            </w:r>
            <w:r w:rsidRPr="005D4222">
              <w:rPr>
                <w:rStyle w:val="eop"/>
                <w:color w:val="000000" w:themeColor="text1"/>
              </w:rPr>
              <w:t> </w:t>
            </w:r>
          </w:p>
          <w:p w14:paraId="1BB61BC5" w14:textId="4903594E" w:rsidR="00834FBA" w:rsidRPr="005D4222" w:rsidRDefault="00834FBA" w:rsidP="00D32AC6">
            <w:pPr>
              <w:pStyle w:val="Body"/>
              <w:rPr>
                <w:color w:val="000000" w:themeColor="text1"/>
              </w:rPr>
            </w:pPr>
            <w:r w:rsidRPr="005D4222">
              <w:rPr>
                <w:b/>
                <w:color w:val="000000"/>
              </w:rPr>
              <w:t>Palav Babaria, MD, MHS Dr</w:t>
            </w:r>
            <w:r w:rsidR="00D32AC6" w:rsidRPr="005D4222">
              <w:rPr>
                <w:b/>
                <w:color w:val="000000"/>
              </w:rPr>
              <w:br/>
            </w:r>
            <w:r w:rsidRPr="005D4222">
              <w:rPr>
                <w:color w:val="000000" w:themeColor="text1"/>
              </w:rPr>
              <w:t>California Department of Health Care Services</w:t>
            </w:r>
          </w:p>
          <w:p w14:paraId="50D185FE" w14:textId="45CE4E2E" w:rsidR="00834FBA" w:rsidRPr="005D4222" w:rsidRDefault="598B5C2B" w:rsidP="009F6641">
            <w:pPr>
              <w:pStyle w:val="Body"/>
            </w:pPr>
            <w:r w:rsidRPr="005D4222">
              <w:rPr>
                <w:b/>
                <w:bCs/>
              </w:rPr>
              <w:t>Mark Friedberg, MD, MPP</w:t>
            </w:r>
            <w:r w:rsidR="00834FBA" w:rsidRPr="005D4222">
              <w:br/>
            </w:r>
            <w:r w:rsidRPr="005D4222">
              <w:t>Blue Cross Blue Shield of Massachusetts</w:t>
            </w:r>
          </w:p>
          <w:p w14:paraId="63AA4B94" w14:textId="77777777" w:rsidR="00834FBA" w:rsidRPr="005D4222" w:rsidRDefault="00834FBA" w:rsidP="009F6641">
            <w:pPr>
              <w:pStyle w:val="Body"/>
            </w:pPr>
            <w:r w:rsidRPr="005D4222">
              <w:rPr>
                <w:b/>
              </w:rPr>
              <w:t>Sylvia Gates Carlisle, MD, MBA, FACP</w:t>
            </w:r>
            <w:r w:rsidRPr="005D4222">
              <w:rPr>
                <w:b/>
              </w:rPr>
              <w:br/>
            </w:r>
            <w:r w:rsidRPr="005D4222">
              <w:t>McPherson and Sway</w:t>
            </w:r>
          </w:p>
          <w:p w14:paraId="17226A0C" w14:textId="77777777" w:rsidR="00834FBA" w:rsidRPr="005D4222" w:rsidRDefault="00834FBA" w:rsidP="009F6641">
            <w:pPr>
              <w:pStyle w:val="Body"/>
            </w:pPr>
            <w:r w:rsidRPr="005D4222">
              <w:rPr>
                <w:b/>
              </w:rPr>
              <w:t>Andrea Gelzer, MD, MS, FACP</w:t>
            </w:r>
            <w:r w:rsidRPr="005D4222">
              <w:rPr>
                <w:b/>
              </w:rPr>
              <w:br/>
            </w:r>
            <w:r w:rsidRPr="005D4222">
              <w:t>QualIT Strategies</w:t>
            </w:r>
          </w:p>
          <w:p w14:paraId="1E4B1CD0" w14:textId="77777777" w:rsidR="00834FBA" w:rsidRPr="005D4222" w:rsidRDefault="00834FBA" w:rsidP="009F6641">
            <w:pPr>
              <w:pStyle w:val="Body"/>
            </w:pPr>
            <w:r w:rsidRPr="005D4222">
              <w:rPr>
                <w:b/>
              </w:rPr>
              <w:t>David Grossman, MD, MPH</w:t>
            </w:r>
            <w:r w:rsidRPr="005D4222">
              <w:rPr>
                <w:b/>
              </w:rPr>
              <w:br/>
            </w:r>
            <w:r w:rsidRPr="005D4222">
              <w:rPr>
                <w:color w:val="000000"/>
                <w:bdr w:val="none" w:sz="0" w:space="0" w:color="auto" w:frame="1"/>
              </w:rPr>
              <w:t>University of Washington School of Public Health</w:t>
            </w:r>
          </w:p>
          <w:p w14:paraId="70F143CD" w14:textId="77777777" w:rsidR="003A1E14" w:rsidRPr="005D4222" w:rsidRDefault="003A1E14" w:rsidP="003A1E14">
            <w:pPr>
              <w:pStyle w:val="Body"/>
              <w:rPr>
                <w:b/>
              </w:rPr>
            </w:pPr>
            <w:r w:rsidRPr="005D4222">
              <w:rPr>
                <w:b/>
              </w:rPr>
              <w:t xml:space="preserve">Pete Hollmann, MD </w:t>
            </w:r>
          </w:p>
          <w:p w14:paraId="10922205" w14:textId="3E3D889D" w:rsidR="00205AAA" w:rsidRPr="005D4222" w:rsidRDefault="003A1E14" w:rsidP="003A1E14">
            <w:pPr>
              <w:pStyle w:val="Body"/>
              <w:spacing w:before="0"/>
              <w:rPr>
                <w:color w:val="000000"/>
                <w:bdr w:val="none" w:sz="0" w:space="0" w:color="auto" w:frame="1"/>
              </w:rPr>
            </w:pPr>
            <w:r w:rsidRPr="005D4222">
              <w:rPr>
                <w:color w:val="000000"/>
                <w:bdr w:val="none" w:sz="0" w:space="0" w:color="auto" w:frame="1"/>
              </w:rPr>
              <w:t>Brown Medicine</w:t>
            </w:r>
          </w:p>
          <w:p w14:paraId="0B32E694" w14:textId="26E9522B" w:rsidR="003A1E14" w:rsidRPr="005D4222" w:rsidRDefault="003A1E14" w:rsidP="009F6641">
            <w:pPr>
              <w:pStyle w:val="Body"/>
              <w:rPr>
                <w:b/>
              </w:rPr>
            </w:pPr>
            <w:r w:rsidRPr="005D4222">
              <w:rPr>
                <w:b/>
              </w:rPr>
              <w:t>Libby Hoy</w:t>
            </w:r>
          </w:p>
          <w:p w14:paraId="1F2E3CC0" w14:textId="1D671AF4" w:rsidR="003A1E14" w:rsidRPr="005D4222" w:rsidRDefault="0059703D" w:rsidP="003A1E14">
            <w:pPr>
              <w:pStyle w:val="Body"/>
              <w:spacing w:before="0"/>
              <w:rPr>
                <w:color w:val="000000"/>
                <w:bdr w:val="none" w:sz="0" w:space="0" w:color="auto" w:frame="1"/>
              </w:rPr>
            </w:pPr>
            <w:r w:rsidRPr="005D4222">
              <w:rPr>
                <w:color w:val="000000"/>
                <w:bdr w:val="none" w:sz="0" w:space="0" w:color="auto" w:frame="1"/>
              </w:rPr>
              <w:t xml:space="preserve">PFCCpartners   </w:t>
            </w:r>
          </w:p>
          <w:p w14:paraId="429D11DB" w14:textId="0B3F2599" w:rsidR="00834FBA" w:rsidRPr="005D4222" w:rsidRDefault="00834FBA" w:rsidP="009F6641">
            <w:pPr>
              <w:pStyle w:val="Body"/>
              <w:rPr>
                <w:snapToGrid w:val="0"/>
              </w:rPr>
            </w:pPr>
            <w:r w:rsidRPr="005D4222">
              <w:rPr>
                <w:b/>
              </w:rPr>
              <w:t xml:space="preserve">David Kelley, MD, MPA </w:t>
            </w:r>
            <w:r w:rsidRPr="005D4222">
              <w:rPr>
                <w:b/>
              </w:rPr>
              <w:br/>
            </w:r>
            <w:r w:rsidRPr="005D4222">
              <w:rPr>
                <w:snapToGrid w:val="0"/>
              </w:rPr>
              <w:t xml:space="preserve">Pennsylvania Department of Human Services </w:t>
            </w:r>
          </w:p>
          <w:p w14:paraId="1EC2E48A" w14:textId="77777777" w:rsidR="00834FBA" w:rsidRPr="005D4222" w:rsidRDefault="00834FBA" w:rsidP="009F6641">
            <w:pPr>
              <w:pStyle w:val="Body"/>
            </w:pPr>
            <w:r w:rsidRPr="005D4222">
              <w:rPr>
                <w:b/>
              </w:rPr>
              <w:t>Amanda Parsons, MD, MBA (Co-Chair)</w:t>
            </w:r>
            <w:r w:rsidRPr="005D4222">
              <w:rPr>
                <w:b/>
              </w:rPr>
              <w:br/>
            </w:r>
            <w:r w:rsidRPr="005D4222">
              <w:t>HealthFirst Health Plan</w:t>
            </w:r>
          </w:p>
          <w:p w14:paraId="35C63DC7" w14:textId="2A42B421" w:rsidR="00834FBA" w:rsidRPr="005D4222" w:rsidRDefault="00834FBA" w:rsidP="009F6641">
            <w:pPr>
              <w:pStyle w:val="Body"/>
              <w:rPr>
                <w:snapToGrid w:val="0"/>
              </w:rPr>
            </w:pPr>
            <w:r w:rsidRPr="005D4222">
              <w:rPr>
                <w:b/>
              </w:rPr>
              <w:t>Wayne Rawlins, MD, MBA</w:t>
            </w:r>
            <w:r w:rsidRPr="005D4222">
              <w:rPr>
                <w:b/>
              </w:rPr>
              <w:br/>
            </w:r>
            <w:r w:rsidRPr="005D4222">
              <w:rPr>
                <w:snapToGrid w:val="0"/>
              </w:rPr>
              <w:t>Health</w:t>
            </w:r>
            <w:r w:rsidR="002C063A" w:rsidRPr="005D4222">
              <w:rPr>
                <w:snapToGrid w:val="0"/>
              </w:rPr>
              <w:t>NEXT</w:t>
            </w:r>
          </w:p>
          <w:p w14:paraId="3EAE2D85" w14:textId="77777777" w:rsidR="001C4BB5" w:rsidRPr="005D4222" w:rsidRDefault="001C4BB5" w:rsidP="001C4BB5">
            <w:pPr>
              <w:pStyle w:val="Body"/>
              <w:rPr>
                <w:b/>
              </w:rPr>
            </w:pPr>
            <w:r w:rsidRPr="005D4222">
              <w:rPr>
                <w:b/>
              </w:rPr>
              <w:t xml:space="preserve">Rhonda Robinson Beale, MD </w:t>
            </w:r>
          </w:p>
          <w:p w14:paraId="3721EEA3" w14:textId="35B6E0EB" w:rsidR="002C063A" w:rsidRPr="005D4222" w:rsidRDefault="001C4BB5" w:rsidP="001C4BB5">
            <w:pPr>
              <w:pStyle w:val="Body"/>
              <w:spacing w:before="0"/>
            </w:pPr>
            <w:r w:rsidRPr="005D4222">
              <w:rPr>
                <w:bCs/>
              </w:rPr>
              <w:t>UnitedHealth Group</w:t>
            </w:r>
          </w:p>
          <w:p w14:paraId="24004DC0" w14:textId="1982FDB1" w:rsidR="00834FBA" w:rsidRPr="005D4222" w:rsidRDefault="00834FBA" w:rsidP="00921FB8">
            <w:pPr>
              <w:pStyle w:val="Body"/>
              <w:rPr>
                <w:snapToGrid w:val="0"/>
                <w:szCs w:val="21"/>
              </w:rPr>
            </w:pPr>
            <w:r w:rsidRPr="005D4222">
              <w:rPr>
                <w:b/>
              </w:rPr>
              <w:t>Rodolfo Saenz, MD, MMM, FACOG</w:t>
            </w:r>
            <w:r w:rsidRPr="005D4222">
              <w:rPr>
                <w:b/>
              </w:rPr>
              <w:br/>
            </w:r>
            <w:r w:rsidR="006E6B8A" w:rsidRPr="005D4222">
              <w:rPr>
                <w:snapToGrid w:val="0"/>
              </w:rPr>
              <w:t>Astrana Medical Group</w:t>
            </w:r>
          </w:p>
        </w:tc>
        <w:tc>
          <w:tcPr>
            <w:tcW w:w="4837" w:type="dxa"/>
          </w:tcPr>
          <w:p w14:paraId="3FE483BF" w14:textId="77777777" w:rsidR="00881CC2" w:rsidRPr="005D4222" w:rsidRDefault="00881CC2" w:rsidP="00921FB8">
            <w:pPr>
              <w:pStyle w:val="Body"/>
              <w:spacing w:before="0"/>
              <w:rPr>
                <w:snapToGrid w:val="0"/>
              </w:rPr>
            </w:pPr>
            <w:r w:rsidRPr="005D4222">
              <w:rPr>
                <w:b/>
              </w:rPr>
              <w:t>Michelle Schreiber, MD</w:t>
            </w:r>
            <w:r w:rsidRPr="005D4222">
              <w:rPr>
                <w:b/>
              </w:rPr>
              <w:br/>
            </w:r>
            <w:r w:rsidRPr="005D4222">
              <w:rPr>
                <w:snapToGrid w:val="0"/>
              </w:rPr>
              <w:t xml:space="preserve">Centers for Medicare &amp; Medicaid Services </w:t>
            </w:r>
          </w:p>
          <w:p w14:paraId="098E5FAC" w14:textId="7D3C3DB7" w:rsidR="00881CC2" w:rsidRPr="00D81F5D" w:rsidRDefault="00881CC2" w:rsidP="00921FB8">
            <w:pPr>
              <w:pStyle w:val="Body"/>
              <w:rPr>
                <w:b/>
                <w:lang w:val="es-ES"/>
              </w:rPr>
            </w:pPr>
            <w:r w:rsidRPr="00D81F5D">
              <w:rPr>
                <w:b/>
                <w:lang w:val="es-ES"/>
              </w:rPr>
              <w:t>Darren Schulte, MD, MPP</w:t>
            </w:r>
            <w:r w:rsidRPr="00D81F5D">
              <w:rPr>
                <w:b/>
                <w:lang w:val="es-ES"/>
              </w:rPr>
              <w:br/>
            </w:r>
            <w:r w:rsidRPr="00D81F5D">
              <w:rPr>
                <w:lang w:val="es-ES"/>
              </w:rPr>
              <w:t>Vynca</w:t>
            </w:r>
            <w:r w:rsidRPr="00D81F5D">
              <w:rPr>
                <w:b/>
                <w:lang w:val="es-ES"/>
              </w:rPr>
              <w:t xml:space="preserve"> </w:t>
            </w:r>
          </w:p>
          <w:p w14:paraId="14CCA33B" w14:textId="4F99027F" w:rsidR="00834FBA" w:rsidRPr="005D4222" w:rsidRDefault="00834FBA" w:rsidP="00921FB8">
            <w:pPr>
              <w:pStyle w:val="Body"/>
            </w:pPr>
            <w:r w:rsidRPr="00D81F5D">
              <w:rPr>
                <w:b/>
                <w:lang w:val="es-ES"/>
              </w:rPr>
              <w:t>Dorothy Siemon, Esq</w:t>
            </w:r>
            <w:r w:rsidR="00921FB8" w:rsidRPr="00D81F5D">
              <w:rPr>
                <w:b/>
                <w:lang w:val="es-ES"/>
              </w:rPr>
              <w:t>.</w:t>
            </w:r>
            <w:r w:rsidR="00D32AC6" w:rsidRPr="00D81F5D">
              <w:rPr>
                <w:b/>
                <w:lang w:val="es-ES"/>
              </w:rPr>
              <w:br/>
            </w:r>
            <w:r w:rsidRPr="005D4222">
              <w:rPr>
                <w:rFonts w:eastAsia="Calibri,Arial"/>
                <w:bCs/>
              </w:rPr>
              <w:t>American Association of Retired Persons</w:t>
            </w:r>
          </w:p>
          <w:p w14:paraId="099ED552" w14:textId="77777777" w:rsidR="00834FBA" w:rsidRPr="005D4222" w:rsidRDefault="00834FBA" w:rsidP="00921FB8">
            <w:pPr>
              <w:pStyle w:val="Body"/>
              <w:rPr>
                <w:snapToGrid w:val="0"/>
              </w:rPr>
            </w:pPr>
            <w:r w:rsidRPr="005D4222">
              <w:rPr>
                <w:b/>
              </w:rPr>
              <w:t>Marcus Thygeson, MD, MPH (Co-Chair)</w:t>
            </w:r>
            <w:r w:rsidRPr="005D4222">
              <w:rPr>
                <w:b/>
              </w:rPr>
              <w:br/>
            </w:r>
            <w:r w:rsidRPr="005D4222">
              <w:t>Surest</w:t>
            </w:r>
          </w:p>
          <w:p w14:paraId="230531AB" w14:textId="52A6B566" w:rsidR="00834FBA" w:rsidRPr="005D4222" w:rsidRDefault="00834FBA" w:rsidP="00921FB8">
            <w:pPr>
              <w:pStyle w:val="Body"/>
              <w:rPr>
                <w:snapToGrid w:val="0"/>
              </w:rPr>
            </w:pPr>
            <w:r w:rsidRPr="005D4222">
              <w:rPr>
                <w:b/>
              </w:rPr>
              <w:t>David White</w:t>
            </w:r>
            <w:r w:rsidR="00D32AC6" w:rsidRPr="005D4222">
              <w:rPr>
                <w:b/>
                <w:bCs/>
              </w:rPr>
              <w:br/>
            </w:r>
            <w:r w:rsidRPr="005D4222">
              <w:t>Patient/Caregiver Representative</w:t>
            </w:r>
          </w:p>
          <w:p w14:paraId="194F417E" w14:textId="77777777" w:rsidR="00834FBA" w:rsidRPr="005D4222" w:rsidRDefault="00834FBA" w:rsidP="00D32AC6">
            <w:pPr>
              <w:pStyle w:val="Body"/>
              <w:spacing w:before="240" w:after="120"/>
              <w:rPr>
                <w:b/>
                <w:i/>
              </w:rPr>
            </w:pPr>
            <w:r w:rsidRPr="005D4222">
              <w:rPr>
                <w:b/>
                <w:i/>
              </w:rPr>
              <w:t>Liaisons</w:t>
            </w:r>
          </w:p>
          <w:p w14:paraId="54B1277D" w14:textId="4A91F0EC" w:rsidR="00957828" w:rsidRPr="005D4222" w:rsidRDefault="00957828" w:rsidP="00D32AC6">
            <w:pPr>
              <w:pStyle w:val="Body"/>
              <w:spacing w:before="0"/>
              <w:rPr>
                <w:b/>
              </w:rPr>
            </w:pPr>
            <w:r w:rsidRPr="005D4222">
              <w:rPr>
                <w:b/>
              </w:rPr>
              <w:t xml:space="preserve">Alison </w:t>
            </w:r>
            <w:r w:rsidR="00E72288" w:rsidRPr="005D4222">
              <w:rPr>
                <w:b/>
              </w:rPr>
              <w:t>F</w:t>
            </w:r>
            <w:r w:rsidRPr="005D4222">
              <w:rPr>
                <w:b/>
              </w:rPr>
              <w:t>ountian</w:t>
            </w:r>
          </w:p>
          <w:p w14:paraId="1C7347AA" w14:textId="1E8B58CE" w:rsidR="00E72288" w:rsidRPr="005D4222" w:rsidRDefault="00E32DC0" w:rsidP="00D32AC6">
            <w:pPr>
              <w:pStyle w:val="Body"/>
              <w:spacing w:before="0"/>
            </w:pPr>
            <w:r w:rsidRPr="005D4222">
              <w:rPr>
                <w:bCs/>
              </w:rPr>
              <w:t>Centers for Disease Control and Prevention</w:t>
            </w:r>
          </w:p>
          <w:p w14:paraId="1090467C" w14:textId="7E0303AE" w:rsidR="00834FBA" w:rsidRPr="005D4222" w:rsidRDefault="00834FBA" w:rsidP="00921FB8">
            <w:pPr>
              <w:pStyle w:val="Body"/>
            </w:pPr>
            <w:r w:rsidRPr="005D4222">
              <w:rPr>
                <w:b/>
              </w:rPr>
              <w:t>Erin Grace, MHA</w:t>
            </w:r>
            <w:r w:rsidRPr="005D4222">
              <w:rPr>
                <w:b/>
              </w:rPr>
              <w:br/>
            </w:r>
            <w:r w:rsidRPr="005D4222">
              <w:t>Agency for Healthcare Research and Quality</w:t>
            </w:r>
          </w:p>
          <w:p w14:paraId="09ECB002" w14:textId="77777777" w:rsidR="00834FBA" w:rsidRPr="005D4222" w:rsidRDefault="00834FBA" w:rsidP="009F6641">
            <w:pPr>
              <w:pStyle w:val="Body"/>
            </w:pPr>
            <w:r w:rsidRPr="005D4222">
              <w:rPr>
                <w:b/>
              </w:rPr>
              <w:t>Danielle Lloyd, MPH</w:t>
            </w:r>
            <w:r w:rsidRPr="005D4222">
              <w:rPr>
                <w:b/>
              </w:rPr>
              <w:br/>
            </w:r>
            <w:r w:rsidRPr="005D4222">
              <w:t>AHIP</w:t>
            </w:r>
          </w:p>
          <w:p w14:paraId="5828EF9A" w14:textId="77777777" w:rsidR="00834FBA" w:rsidRPr="005D4222" w:rsidRDefault="00834FBA" w:rsidP="009F6641">
            <w:pPr>
              <w:pStyle w:val="Body"/>
            </w:pPr>
            <w:r w:rsidRPr="005D4222">
              <w:rPr>
                <w:b/>
              </w:rPr>
              <w:t xml:space="preserve">Christa-Marie Singleton, MD, MPH, FACPM </w:t>
            </w:r>
            <w:r w:rsidRPr="005D4222">
              <w:rPr>
                <w:b/>
              </w:rPr>
              <w:br/>
            </w:r>
            <w:r w:rsidRPr="005D4222">
              <w:t>Office of Personnel Management</w:t>
            </w:r>
          </w:p>
          <w:p w14:paraId="0FE83A94" w14:textId="0B0D247B" w:rsidR="00834FBA" w:rsidRPr="005D4222" w:rsidRDefault="00834FBA" w:rsidP="00D32AC6">
            <w:pPr>
              <w:pStyle w:val="Body"/>
            </w:pPr>
            <w:r w:rsidRPr="005D4222">
              <w:rPr>
                <w:b/>
              </w:rPr>
              <w:t>Alek Sripipatana, PhD, MPH</w:t>
            </w:r>
            <w:r w:rsidR="00D32AC6" w:rsidRPr="005D4222">
              <w:rPr>
                <w:b/>
                <w:bCs/>
              </w:rPr>
              <w:br/>
            </w:r>
            <w:r w:rsidRPr="005D4222">
              <w:t>Health Resources and Services Administration</w:t>
            </w:r>
          </w:p>
          <w:p w14:paraId="5B1C0AFE" w14:textId="77777777" w:rsidR="00834FBA" w:rsidRPr="005D4222" w:rsidRDefault="00834FBA" w:rsidP="009F6641">
            <w:pPr>
              <w:pStyle w:val="Body"/>
              <w:rPr>
                <w:kern w:val="0"/>
              </w:rPr>
            </w:pPr>
            <w:r w:rsidRPr="005D4222">
              <w:rPr>
                <w:b/>
              </w:rPr>
              <w:t>Anecia Suneja, RN, MSN, ACNS-BC</w:t>
            </w:r>
            <w:r w:rsidRPr="005D4222">
              <w:rPr>
                <w:b/>
              </w:rPr>
              <w:br/>
            </w:r>
            <w:r w:rsidRPr="005D4222">
              <w:rPr>
                <w:kern w:val="0"/>
              </w:rPr>
              <w:t>Veterans Health Administration</w:t>
            </w:r>
          </w:p>
          <w:p w14:paraId="4CEE8649" w14:textId="28B88E0D" w:rsidR="00834FBA" w:rsidRPr="005D4222" w:rsidRDefault="00834FBA" w:rsidP="00921FB8">
            <w:pPr>
              <w:pStyle w:val="Body"/>
              <w:rPr>
                <w:szCs w:val="21"/>
              </w:rPr>
            </w:pPr>
            <w:r w:rsidRPr="005D4222">
              <w:rPr>
                <w:rFonts w:eastAsiaTheme="majorEastAsia"/>
                <w:b/>
              </w:rPr>
              <w:t xml:space="preserve">Asia Woods, RN, MS, MBA </w:t>
            </w:r>
            <w:r w:rsidR="00D32AC6" w:rsidRPr="005D4222">
              <w:rPr>
                <w:b/>
              </w:rPr>
              <w:br/>
            </w:r>
            <w:r w:rsidRPr="005D4222">
              <w:rPr>
                <w:rFonts w:eastAsiaTheme="majorEastAsia"/>
                <w:color w:val="000000"/>
                <w:shd w:val="clear" w:color="auto" w:fill="FFFFFF"/>
              </w:rPr>
              <w:t>Blue Cross Blue Shield Association</w:t>
            </w:r>
          </w:p>
        </w:tc>
      </w:tr>
    </w:tbl>
    <w:p w14:paraId="77181A43" w14:textId="77777777" w:rsidR="00834FBA" w:rsidRPr="005D4222" w:rsidRDefault="00834FBA" w:rsidP="00834FBA"/>
    <w:p w14:paraId="72B46443" w14:textId="77777777" w:rsidR="00834FBA" w:rsidRPr="005D4222" w:rsidRDefault="00834FBA" w:rsidP="00834FBA">
      <w:pPr>
        <w:widowControl w:val="0"/>
        <w:sectPr w:rsidR="00834FBA" w:rsidRPr="005D4222" w:rsidSect="0074514A">
          <w:type w:val="nextColumn"/>
          <w:pgSz w:w="12240" w:h="15840" w:code="1"/>
          <w:pgMar w:top="1080" w:right="1080" w:bottom="1080" w:left="1440" w:header="720" w:footer="720" w:gutter="0"/>
          <w:cols w:space="720"/>
        </w:sectPr>
      </w:pPr>
    </w:p>
    <w:p w14:paraId="0D775C26" w14:textId="65578D9E" w:rsidR="00834FBA" w:rsidRPr="005D4222" w:rsidRDefault="00834FBA" w:rsidP="00834FBA">
      <w:pPr>
        <w:widowControl w:val="0"/>
        <w:spacing w:after="120"/>
        <w:jc w:val="center"/>
        <w:outlineLvl w:val="0"/>
        <w:rPr>
          <w:b/>
          <w:bCs/>
          <w:kern w:val="32"/>
          <w:sz w:val="32"/>
          <w:szCs w:val="32"/>
        </w:rPr>
      </w:pPr>
      <w:bookmarkStart w:id="1" w:name="TOC"/>
      <w:bookmarkStart w:id="2" w:name="_Toc452170772"/>
      <w:r w:rsidRPr="005D4222">
        <w:rPr>
          <w:b/>
          <w:bCs/>
          <w:kern w:val="32"/>
          <w:sz w:val="32"/>
          <w:szCs w:val="32"/>
        </w:rPr>
        <w:lastRenderedPageBreak/>
        <w:t>Table of Contents</w:t>
      </w:r>
    </w:p>
    <w:p w14:paraId="0EF66DFA" w14:textId="77777777" w:rsidR="00834FBA" w:rsidRPr="005D4222" w:rsidRDefault="00834FBA" w:rsidP="00834FBA">
      <w:pPr>
        <w:pStyle w:val="Note"/>
        <w:rPr>
          <w:color w:val="0070C0"/>
        </w:rPr>
      </w:pPr>
      <w:r w:rsidRPr="005D4222">
        <w:rPr>
          <w:color w:val="0070C0"/>
        </w:rPr>
        <w:t>Press Ctrl and click the mouse on a page number to navigate to that page.</w:t>
      </w:r>
    </w:p>
    <w:p w14:paraId="1EE5BF67" w14:textId="128C1008" w:rsidR="00C600B9" w:rsidRPr="00771320" w:rsidRDefault="00C600B9" w:rsidP="00C600B9">
      <w:pPr>
        <w:pStyle w:val="TOC1"/>
        <w:rPr>
          <w:rFonts w:asciiTheme="minorHAnsi" w:eastAsiaTheme="minorEastAsia" w:hAnsiTheme="minorHAnsi" w:cstheme="minorBidi"/>
          <w:b w:val="0"/>
          <w:bCs w:val="0"/>
          <w:kern w:val="2"/>
          <w14:ligatures w14:val="standardContextual"/>
        </w:rPr>
      </w:pPr>
      <w:r w:rsidRPr="00771320">
        <w:rPr>
          <w:noProof w:val="0"/>
        </w:rPr>
        <w:fldChar w:fldCharType="begin"/>
      </w:r>
      <w:r w:rsidRPr="00771320">
        <w:rPr>
          <w:noProof w:val="0"/>
        </w:rPr>
        <w:instrText xml:space="preserve"> TOC \t "Heading 1,3,Heading 2,4,Std Head,5,Sub Head,6,Break page,1,MeasureTitle,4,BreakPage2,2" </w:instrText>
      </w:r>
      <w:r w:rsidRPr="00771320">
        <w:rPr>
          <w:noProof w:val="0"/>
        </w:rPr>
        <w:fldChar w:fldCharType="separate"/>
      </w:r>
      <w:r w:rsidRPr="00771320">
        <w:t>Overview</w:t>
      </w:r>
      <w:r w:rsidRPr="00771320">
        <w:tab/>
      </w:r>
      <w:r w:rsidRPr="00771320">
        <w:fldChar w:fldCharType="begin"/>
      </w:r>
      <w:r w:rsidRPr="00771320">
        <w:instrText xml:space="preserve"> PAGEREF _Toc201813346 \h </w:instrText>
      </w:r>
      <w:r w:rsidRPr="00771320">
        <w:fldChar w:fldCharType="separate"/>
      </w:r>
      <w:r w:rsidR="008D465F">
        <w:t>1</w:t>
      </w:r>
      <w:r w:rsidRPr="00771320">
        <w:fldChar w:fldCharType="end"/>
      </w:r>
    </w:p>
    <w:p w14:paraId="6EEC9301" w14:textId="6A6D38BB" w:rsidR="00C600B9" w:rsidRPr="00771320" w:rsidRDefault="00C600B9" w:rsidP="00C600B9">
      <w:pPr>
        <w:pStyle w:val="TOC3"/>
        <w:rPr>
          <w:rFonts w:asciiTheme="minorHAnsi" w:eastAsiaTheme="minorEastAsia" w:hAnsiTheme="minorHAnsi" w:cstheme="minorBidi"/>
          <w:noProof/>
          <w:kern w:val="2"/>
          <w14:ligatures w14:val="standardContextual"/>
        </w:rPr>
      </w:pPr>
      <w:r w:rsidRPr="00771320">
        <w:rPr>
          <w:noProof/>
        </w:rPr>
        <w:t xml:space="preserve">HEDIS MY </w:t>
      </w:r>
      <w:r w:rsidRPr="00771320">
        <w:rPr>
          <w:iCs/>
          <w:noProof/>
        </w:rPr>
        <w:t>2026</w:t>
      </w:r>
      <w:r w:rsidRPr="00771320">
        <w:rPr>
          <w:noProof/>
        </w:rPr>
        <w:tab/>
      </w:r>
      <w:r w:rsidRPr="00771320">
        <w:rPr>
          <w:noProof/>
        </w:rPr>
        <w:fldChar w:fldCharType="begin"/>
      </w:r>
      <w:r w:rsidRPr="00771320">
        <w:rPr>
          <w:noProof/>
        </w:rPr>
        <w:instrText xml:space="preserve"> PAGEREF _Toc201813347 \h </w:instrText>
      </w:r>
      <w:r w:rsidRPr="00771320">
        <w:rPr>
          <w:noProof/>
        </w:rPr>
      </w:r>
      <w:r w:rsidRPr="00771320">
        <w:rPr>
          <w:noProof/>
        </w:rPr>
        <w:fldChar w:fldCharType="separate"/>
      </w:r>
      <w:r w:rsidR="008D465F">
        <w:rPr>
          <w:noProof/>
        </w:rPr>
        <w:t>2</w:t>
      </w:r>
      <w:r w:rsidRPr="00771320">
        <w:rPr>
          <w:noProof/>
        </w:rPr>
        <w:fldChar w:fldCharType="end"/>
      </w:r>
    </w:p>
    <w:p w14:paraId="04D07D3C" w14:textId="09D3B7F1" w:rsidR="00C600B9" w:rsidRPr="00771320" w:rsidRDefault="00C600B9" w:rsidP="00C600B9">
      <w:pPr>
        <w:pStyle w:val="TOC5"/>
        <w:rPr>
          <w:rFonts w:asciiTheme="minorHAnsi" w:hAnsiTheme="minorHAnsi" w:cstheme="minorBidi"/>
          <w:noProof/>
          <w:kern w:val="2"/>
          <w14:ligatures w14:val="standardContextual"/>
        </w:rPr>
      </w:pPr>
      <w:r w:rsidRPr="00771320">
        <w:rPr>
          <w:noProof/>
        </w:rPr>
        <w:t>How HEDIS Is Developed</w:t>
      </w:r>
      <w:r w:rsidRPr="00771320">
        <w:rPr>
          <w:noProof/>
        </w:rPr>
        <w:tab/>
      </w:r>
      <w:r w:rsidRPr="00771320">
        <w:rPr>
          <w:noProof/>
        </w:rPr>
        <w:fldChar w:fldCharType="begin"/>
      </w:r>
      <w:r w:rsidRPr="00771320">
        <w:rPr>
          <w:noProof/>
        </w:rPr>
        <w:instrText xml:space="preserve"> PAGEREF _Toc201813348 \h </w:instrText>
      </w:r>
      <w:r w:rsidRPr="00771320">
        <w:rPr>
          <w:noProof/>
        </w:rPr>
      </w:r>
      <w:r w:rsidRPr="00771320">
        <w:rPr>
          <w:noProof/>
        </w:rPr>
        <w:fldChar w:fldCharType="separate"/>
      </w:r>
      <w:r w:rsidR="008D465F">
        <w:rPr>
          <w:noProof/>
        </w:rPr>
        <w:t>2</w:t>
      </w:r>
      <w:r w:rsidRPr="00771320">
        <w:rPr>
          <w:noProof/>
        </w:rPr>
        <w:fldChar w:fldCharType="end"/>
      </w:r>
    </w:p>
    <w:p w14:paraId="4D61219D" w14:textId="4AC36797" w:rsidR="00C600B9" w:rsidRPr="00771320" w:rsidRDefault="00C600B9" w:rsidP="00C600B9">
      <w:pPr>
        <w:pStyle w:val="TOC5"/>
        <w:rPr>
          <w:rFonts w:asciiTheme="minorHAnsi" w:hAnsiTheme="minorHAnsi" w:cstheme="minorBidi"/>
          <w:noProof/>
          <w:kern w:val="2"/>
          <w14:ligatures w14:val="standardContextual"/>
        </w:rPr>
      </w:pPr>
      <w:r w:rsidRPr="00771320">
        <w:rPr>
          <w:noProof/>
        </w:rPr>
        <w:t>What’s New in Volume 2?</w:t>
      </w:r>
      <w:r w:rsidRPr="00771320">
        <w:rPr>
          <w:noProof/>
        </w:rPr>
        <w:tab/>
      </w:r>
      <w:r w:rsidRPr="00771320">
        <w:rPr>
          <w:noProof/>
        </w:rPr>
        <w:fldChar w:fldCharType="begin"/>
      </w:r>
      <w:r w:rsidRPr="00771320">
        <w:rPr>
          <w:noProof/>
        </w:rPr>
        <w:instrText xml:space="preserve"> PAGEREF _Toc201813349 \h </w:instrText>
      </w:r>
      <w:r w:rsidRPr="00771320">
        <w:rPr>
          <w:noProof/>
        </w:rPr>
      </w:r>
      <w:r w:rsidRPr="00771320">
        <w:rPr>
          <w:noProof/>
        </w:rPr>
        <w:fldChar w:fldCharType="separate"/>
      </w:r>
      <w:r w:rsidR="008D465F">
        <w:rPr>
          <w:noProof/>
        </w:rPr>
        <w:t>3</w:t>
      </w:r>
      <w:r w:rsidRPr="00771320">
        <w:rPr>
          <w:noProof/>
        </w:rPr>
        <w:fldChar w:fldCharType="end"/>
      </w:r>
    </w:p>
    <w:p w14:paraId="2253746E" w14:textId="0D9A4CF0" w:rsidR="00C600B9" w:rsidRPr="00771320" w:rsidRDefault="00C600B9" w:rsidP="00C600B9">
      <w:pPr>
        <w:pStyle w:val="TOC5"/>
        <w:rPr>
          <w:rFonts w:asciiTheme="minorHAnsi" w:hAnsiTheme="minorHAnsi" w:cstheme="minorBidi"/>
          <w:noProof/>
          <w:kern w:val="2"/>
          <w14:ligatures w14:val="standardContextual"/>
        </w:rPr>
      </w:pPr>
      <w:r w:rsidRPr="00771320">
        <w:rPr>
          <w:noProof/>
        </w:rPr>
        <w:t>Referring to HEDIS Measures and Rates</w:t>
      </w:r>
      <w:r w:rsidRPr="00771320">
        <w:rPr>
          <w:noProof/>
        </w:rPr>
        <w:tab/>
      </w:r>
      <w:r w:rsidRPr="00771320">
        <w:rPr>
          <w:noProof/>
        </w:rPr>
        <w:fldChar w:fldCharType="begin"/>
      </w:r>
      <w:r w:rsidRPr="00771320">
        <w:rPr>
          <w:noProof/>
        </w:rPr>
        <w:instrText xml:space="preserve"> PAGEREF _Toc201813350 \h </w:instrText>
      </w:r>
      <w:r w:rsidRPr="00771320">
        <w:rPr>
          <w:noProof/>
        </w:rPr>
      </w:r>
      <w:r w:rsidRPr="00771320">
        <w:rPr>
          <w:noProof/>
        </w:rPr>
        <w:fldChar w:fldCharType="separate"/>
      </w:r>
      <w:r w:rsidR="008D465F">
        <w:rPr>
          <w:noProof/>
        </w:rPr>
        <w:t>5</w:t>
      </w:r>
      <w:r w:rsidRPr="00771320">
        <w:rPr>
          <w:noProof/>
        </w:rPr>
        <w:fldChar w:fldCharType="end"/>
      </w:r>
    </w:p>
    <w:p w14:paraId="76A6651E" w14:textId="03B31E04" w:rsidR="00C600B9" w:rsidRPr="00771320" w:rsidRDefault="00C600B9" w:rsidP="00C600B9">
      <w:pPr>
        <w:pStyle w:val="TOC5"/>
        <w:rPr>
          <w:rFonts w:asciiTheme="minorHAnsi" w:hAnsiTheme="minorHAnsi" w:cstheme="minorBidi"/>
          <w:noProof/>
          <w:kern w:val="2"/>
          <w14:ligatures w14:val="standardContextual"/>
        </w:rPr>
      </w:pPr>
      <w:r w:rsidRPr="00771320">
        <w:rPr>
          <w:noProof/>
        </w:rPr>
        <w:t>If You Have Questions About the Specifications</w:t>
      </w:r>
      <w:r w:rsidRPr="00771320">
        <w:rPr>
          <w:noProof/>
        </w:rPr>
        <w:tab/>
      </w:r>
      <w:r w:rsidRPr="00771320">
        <w:rPr>
          <w:noProof/>
        </w:rPr>
        <w:fldChar w:fldCharType="begin"/>
      </w:r>
      <w:r w:rsidRPr="00771320">
        <w:rPr>
          <w:noProof/>
        </w:rPr>
        <w:instrText xml:space="preserve"> PAGEREF _Toc201813351 \h </w:instrText>
      </w:r>
      <w:r w:rsidRPr="00771320">
        <w:rPr>
          <w:noProof/>
        </w:rPr>
      </w:r>
      <w:r w:rsidRPr="00771320">
        <w:rPr>
          <w:noProof/>
        </w:rPr>
        <w:fldChar w:fldCharType="separate"/>
      </w:r>
      <w:r w:rsidR="008D465F">
        <w:rPr>
          <w:noProof/>
        </w:rPr>
        <w:t>6</w:t>
      </w:r>
      <w:r w:rsidRPr="00771320">
        <w:rPr>
          <w:noProof/>
        </w:rPr>
        <w:fldChar w:fldCharType="end"/>
      </w:r>
    </w:p>
    <w:p w14:paraId="688222D6" w14:textId="705797A5" w:rsidR="00C600B9" w:rsidRPr="00771320" w:rsidRDefault="00C600B9" w:rsidP="00C600B9">
      <w:pPr>
        <w:pStyle w:val="TOC5"/>
        <w:rPr>
          <w:rFonts w:asciiTheme="minorHAnsi" w:hAnsiTheme="minorHAnsi" w:cstheme="minorBidi"/>
          <w:noProof/>
          <w:kern w:val="2"/>
          <w14:ligatures w14:val="standardContextual"/>
        </w:rPr>
      </w:pPr>
      <w:r w:rsidRPr="00771320">
        <w:rPr>
          <w:noProof/>
        </w:rPr>
        <w:t>Reporting Hotline for Fraud and Misconduct</w:t>
      </w:r>
      <w:r w:rsidRPr="00771320">
        <w:rPr>
          <w:noProof/>
        </w:rPr>
        <w:tab/>
      </w:r>
      <w:r w:rsidRPr="00771320">
        <w:rPr>
          <w:noProof/>
        </w:rPr>
        <w:fldChar w:fldCharType="begin"/>
      </w:r>
      <w:r w:rsidRPr="00771320">
        <w:rPr>
          <w:noProof/>
        </w:rPr>
        <w:instrText xml:space="preserve"> PAGEREF _Toc201813352 \h </w:instrText>
      </w:r>
      <w:r w:rsidRPr="00771320">
        <w:rPr>
          <w:noProof/>
        </w:rPr>
      </w:r>
      <w:r w:rsidRPr="00771320">
        <w:rPr>
          <w:noProof/>
        </w:rPr>
        <w:fldChar w:fldCharType="separate"/>
      </w:r>
      <w:r w:rsidR="008D465F">
        <w:rPr>
          <w:noProof/>
        </w:rPr>
        <w:t>6</w:t>
      </w:r>
      <w:r w:rsidRPr="00771320">
        <w:rPr>
          <w:noProof/>
        </w:rPr>
        <w:fldChar w:fldCharType="end"/>
      </w:r>
    </w:p>
    <w:p w14:paraId="637F5E28" w14:textId="19644109" w:rsidR="00C600B9" w:rsidRPr="00771320" w:rsidRDefault="00C600B9" w:rsidP="00C600B9">
      <w:pPr>
        <w:pStyle w:val="TOC5"/>
        <w:rPr>
          <w:rFonts w:asciiTheme="minorHAnsi" w:hAnsiTheme="minorHAnsi" w:cstheme="minorBidi"/>
          <w:noProof/>
          <w:kern w:val="2"/>
          <w14:ligatures w14:val="standardContextual"/>
        </w:rPr>
      </w:pPr>
      <w:r w:rsidRPr="00771320">
        <w:rPr>
          <w:noProof/>
        </w:rPr>
        <w:t>Reporting Data Errors to NCQA</w:t>
      </w:r>
      <w:r w:rsidRPr="00771320">
        <w:rPr>
          <w:noProof/>
        </w:rPr>
        <w:tab/>
      </w:r>
      <w:r w:rsidRPr="00771320">
        <w:rPr>
          <w:noProof/>
        </w:rPr>
        <w:fldChar w:fldCharType="begin"/>
      </w:r>
      <w:r w:rsidRPr="00771320">
        <w:rPr>
          <w:noProof/>
        </w:rPr>
        <w:instrText xml:space="preserve"> PAGEREF _Toc201813353 \h </w:instrText>
      </w:r>
      <w:r w:rsidRPr="00771320">
        <w:rPr>
          <w:noProof/>
        </w:rPr>
      </w:r>
      <w:r w:rsidRPr="00771320">
        <w:rPr>
          <w:noProof/>
        </w:rPr>
        <w:fldChar w:fldCharType="separate"/>
      </w:r>
      <w:r w:rsidR="008D465F">
        <w:rPr>
          <w:noProof/>
        </w:rPr>
        <w:t>7</w:t>
      </w:r>
      <w:r w:rsidRPr="00771320">
        <w:rPr>
          <w:noProof/>
        </w:rPr>
        <w:fldChar w:fldCharType="end"/>
      </w:r>
    </w:p>
    <w:p w14:paraId="284C0C62" w14:textId="7AD3729F" w:rsidR="00C600B9" w:rsidRPr="00771320" w:rsidRDefault="00C600B9" w:rsidP="00C600B9">
      <w:pPr>
        <w:pStyle w:val="TOC1"/>
        <w:rPr>
          <w:rFonts w:asciiTheme="minorHAnsi" w:eastAsiaTheme="minorEastAsia" w:hAnsiTheme="minorHAnsi" w:cstheme="minorBidi"/>
          <w:b w:val="0"/>
          <w:bCs w:val="0"/>
          <w:kern w:val="2"/>
          <w14:ligatures w14:val="standardContextual"/>
        </w:rPr>
      </w:pPr>
      <w:r w:rsidRPr="00771320">
        <w:t>General Guidelines for Data Collection and Reporting</w:t>
      </w:r>
      <w:r w:rsidRPr="00771320">
        <w:tab/>
      </w:r>
      <w:r w:rsidRPr="00771320">
        <w:fldChar w:fldCharType="begin"/>
      </w:r>
      <w:r w:rsidRPr="00771320">
        <w:instrText xml:space="preserve"> PAGEREF _Toc201813354 \h </w:instrText>
      </w:r>
      <w:r w:rsidRPr="00771320">
        <w:fldChar w:fldCharType="separate"/>
      </w:r>
      <w:r w:rsidR="008D465F">
        <w:t>8</w:t>
      </w:r>
      <w:r w:rsidRPr="00771320">
        <w:fldChar w:fldCharType="end"/>
      </w:r>
    </w:p>
    <w:p w14:paraId="0883DC01" w14:textId="05839BF8" w:rsidR="00C600B9" w:rsidRPr="00771320" w:rsidRDefault="00C600B9" w:rsidP="00C600B9">
      <w:pPr>
        <w:pStyle w:val="TOC5"/>
        <w:rPr>
          <w:rFonts w:asciiTheme="minorHAnsi" w:hAnsiTheme="minorHAnsi" w:cstheme="minorBidi"/>
          <w:noProof/>
          <w:kern w:val="2"/>
          <w14:ligatures w14:val="standardContextual"/>
        </w:rPr>
      </w:pPr>
      <w:r w:rsidRPr="00771320">
        <w:rPr>
          <w:noProof/>
        </w:rPr>
        <w:t>HEDIS Reporting</w:t>
      </w:r>
      <w:r w:rsidRPr="00771320">
        <w:rPr>
          <w:noProof/>
        </w:rPr>
        <w:tab/>
      </w:r>
      <w:r w:rsidRPr="00771320">
        <w:rPr>
          <w:noProof/>
        </w:rPr>
        <w:fldChar w:fldCharType="begin"/>
      </w:r>
      <w:r w:rsidRPr="00771320">
        <w:rPr>
          <w:noProof/>
        </w:rPr>
        <w:instrText xml:space="preserve"> PAGEREF _Toc201813355 \h </w:instrText>
      </w:r>
      <w:r w:rsidRPr="00771320">
        <w:rPr>
          <w:noProof/>
        </w:rPr>
      </w:r>
      <w:r w:rsidRPr="00771320">
        <w:rPr>
          <w:noProof/>
        </w:rPr>
        <w:fldChar w:fldCharType="separate"/>
      </w:r>
      <w:r w:rsidR="008D465F">
        <w:rPr>
          <w:noProof/>
        </w:rPr>
        <w:t>9</w:t>
      </w:r>
      <w:r w:rsidRPr="00771320">
        <w:rPr>
          <w:noProof/>
        </w:rPr>
        <w:fldChar w:fldCharType="end"/>
      </w:r>
    </w:p>
    <w:p w14:paraId="459BC205" w14:textId="03E06517" w:rsidR="00C600B9" w:rsidRPr="00771320" w:rsidRDefault="00C600B9" w:rsidP="00C600B9">
      <w:pPr>
        <w:pStyle w:val="TOC5"/>
        <w:rPr>
          <w:rFonts w:asciiTheme="minorHAnsi" w:hAnsiTheme="minorHAnsi" w:cstheme="minorBidi"/>
          <w:noProof/>
          <w:kern w:val="2"/>
          <w14:ligatures w14:val="standardContextual"/>
        </w:rPr>
      </w:pPr>
      <w:r w:rsidRPr="00771320">
        <w:rPr>
          <w:noProof/>
        </w:rPr>
        <w:t>How NCQA Defines an Organization for Accreditation</w:t>
      </w:r>
      <w:r w:rsidRPr="00771320">
        <w:rPr>
          <w:noProof/>
        </w:rPr>
        <w:tab/>
      </w:r>
      <w:r w:rsidRPr="00771320">
        <w:rPr>
          <w:noProof/>
        </w:rPr>
        <w:fldChar w:fldCharType="begin"/>
      </w:r>
      <w:r w:rsidRPr="00771320">
        <w:rPr>
          <w:noProof/>
        </w:rPr>
        <w:instrText xml:space="preserve"> PAGEREF _Toc201813356 \h </w:instrText>
      </w:r>
      <w:r w:rsidRPr="00771320">
        <w:rPr>
          <w:noProof/>
        </w:rPr>
      </w:r>
      <w:r w:rsidRPr="00771320">
        <w:rPr>
          <w:noProof/>
        </w:rPr>
        <w:fldChar w:fldCharType="separate"/>
      </w:r>
      <w:r w:rsidR="008D465F">
        <w:rPr>
          <w:noProof/>
        </w:rPr>
        <w:t>10</w:t>
      </w:r>
      <w:r w:rsidRPr="00771320">
        <w:rPr>
          <w:noProof/>
        </w:rPr>
        <w:fldChar w:fldCharType="end"/>
      </w:r>
    </w:p>
    <w:p w14:paraId="036F0160" w14:textId="63D2F75F" w:rsidR="00C600B9" w:rsidRPr="00771320" w:rsidRDefault="00C600B9" w:rsidP="00C600B9">
      <w:pPr>
        <w:pStyle w:val="TOC5"/>
        <w:rPr>
          <w:rFonts w:asciiTheme="minorHAnsi" w:hAnsiTheme="minorHAnsi" w:cstheme="minorBidi"/>
          <w:noProof/>
          <w:kern w:val="2"/>
          <w14:ligatures w14:val="standardContextual"/>
        </w:rPr>
      </w:pPr>
      <w:r w:rsidRPr="00771320">
        <w:rPr>
          <w:noProof/>
        </w:rPr>
        <w:t>Health Plan Ratings and Accreditation</w:t>
      </w:r>
      <w:r w:rsidRPr="00771320">
        <w:rPr>
          <w:noProof/>
        </w:rPr>
        <w:tab/>
      </w:r>
      <w:r w:rsidRPr="00771320">
        <w:rPr>
          <w:noProof/>
        </w:rPr>
        <w:fldChar w:fldCharType="begin"/>
      </w:r>
      <w:r w:rsidRPr="00771320">
        <w:rPr>
          <w:noProof/>
        </w:rPr>
        <w:instrText xml:space="preserve"> PAGEREF _Toc201813357 \h </w:instrText>
      </w:r>
      <w:r w:rsidRPr="00771320">
        <w:rPr>
          <w:noProof/>
        </w:rPr>
      </w:r>
      <w:r w:rsidRPr="00771320">
        <w:rPr>
          <w:noProof/>
        </w:rPr>
        <w:fldChar w:fldCharType="separate"/>
      </w:r>
      <w:r w:rsidR="008D465F">
        <w:rPr>
          <w:noProof/>
        </w:rPr>
        <w:t>13</w:t>
      </w:r>
      <w:r w:rsidRPr="00771320">
        <w:rPr>
          <w:noProof/>
        </w:rPr>
        <w:fldChar w:fldCharType="end"/>
      </w:r>
    </w:p>
    <w:p w14:paraId="54948542" w14:textId="6628395A" w:rsidR="00C600B9" w:rsidRPr="00771320" w:rsidRDefault="00C600B9" w:rsidP="00C600B9">
      <w:pPr>
        <w:pStyle w:val="TOC5"/>
        <w:rPr>
          <w:rFonts w:asciiTheme="minorHAnsi" w:hAnsiTheme="minorHAnsi" w:cstheme="minorBidi"/>
          <w:noProof/>
          <w:kern w:val="2"/>
          <w14:ligatures w14:val="standardContextual"/>
        </w:rPr>
      </w:pPr>
      <w:r w:rsidRPr="00771320">
        <w:rPr>
          <w:noProof/>
        </w:rPr>
        <w:t>Annual Reevaluation</w:t>
      </w:r>
      <w:r w:rsidRPr="00771320">
        <w:rPr>
          <w:noProof/>
        </w:rPr>
        <w:tab/>
      </w:r>
      <w:r w:rsidRPr="00771320">
        <w:rPr>
          <w:noProof/>
        </w:rPr>
        <w:fldChar w:fldCharType="begin"/>
      </w:r>
      <w:r w:rsidRPr="00771320">
        <w:rPr>
          <w:noProof/>
        </w:rPr>
        <w:instrText xml:space="preserve"> PAGEREF _Toc201813358 \h </w:instrText>
      </w:r>
      <w:r w:rsidRPr="00771320">
        <w:rPr>
          <w:noProof/>
        </w:rPr>
      </w:r>
      <w:r w:rsidRPr="00771320">
        <w:rPr>
          <w:noProof/>
        </w:rPr>
        <w:fldChar w:fldCharType="separate"/>
      </w:r>
      <w:r w:rsidR="008D465F">
        <w:rPr>
          <w:noProof/>
        </w:rPr>
        <w:t>14</w:t>
      </w:r>
      <w:r w:rsidRPr="00771320">
        <w:rPr>
          <w:noProof/>
        </w:rPr>
        <w:fldChar w:fldCharType="end"/>
      </w:r>
    </w:p>
    <w:p w14:paraId="60C91675" w14:textId="4F5C07AF" w:rsidR="00C600B9" w:rsidRPr="00771320" w:rsidRDefault="00C600B9" w:rsidP="00C600B9">
      <w:pPr>
        <w:pStyle w:val="TOC5"/>
        <w:rPr>
          <w:rFonts w:asciiTheme="minorHAnsi" w:hAnsiTheme="minorHAnsi" w:cstheme="minorBidi"/>
          <w:noProof/>
          <w:kern w:val="2"/>
          <w14:ligatures w14:val="standardContextual"/>
        </w:rPr>
      </w:pPr>
      <w:r w:rsidRPr="00771320">
        <w:rPr>
          <w:noProof/>
        </w:rPr>
        <w:t>Natural Disaster and Cybercrime</w:t>
      </w:r>
      <w:r w:rsidRPr="00771320">
        <w:rPr>
          <w:noProof/>
        </w:rPr>
        <w:tab/>
      </w:r>
      <w:r w:rsidRPr="00771320">
        <w:rPr>
          <w:noProof/>
        </w:rPr>
        <w:fldChar w:fldCharType="begin"/>
      </w:r>
      <w:r w:rsidRPr="00771320">
        <w:rPr>
          <w:noProof/>
        </w:rPr>
        <w:instrText xml:space="preserve"> PAGEREF _Toc201813359 \h </w:instrText>
      </w:r>
      <w:r w:rsidRPr="00771320">
        <w:rPr>
          <w:noProof/>
        </w:rPr>
      </w:r>
      <w:r w:rsidRPr="00771320">
        <w:rPr>
          <w:noProof/>
        </w:rPr>
        <w:fldChar w:fldCharType="separate"/>
      </w:r>
      <w:r w:rsidR="008D465F">
        <w:rPr>
          <w:noProof/>
        </w:rPr>
        <w:t>15</w:t>
      </w:r>
      <w:r w:rsidRPr="00771320">
        <w:rPr>
          <w:noProof/>
        </w:rPr>
        <w:fldChar w:fldCharType="end"/>
      </w:r>
    </w:p>
    <w:p w14:paraId="1D6F6C69" w14:textId="415E99B8" w:rsidR="00C600B9" w:rsidRPr="00771320" w:rsidRDefault="00C600B9" w:rsidP="00C600B9">
      <w:pPr>
        <w:pStyle w:val="TOC5"/>
        <w:rPr>
          <w:rFonts w:asciiTheme="minorHAnsi" w:hAnsiTheme="minorHAnsi" w:cstheme="minorBidi"/>
          <w:noProof/>
          <w:kern w:val="2"/>
          <w14:ligatures w14:val="standardContextual"/>
        </w:rPr>
      </w:pPr>
      <w:r w:rsidRPr="00771320">
        <w:rPr>
          <w:noProof/>
        </w:rPr>
        <w:t>The NCQA HEDIS Compliance Audit</w:t>
      </w:r>
      <w:r w:rsidRPr="00771320">
        <w:rPr>
          <w:rFonts w:eastAsia="Arial" w:cs="Arial"/>
          <w:noProof/>
        </w:rPr>
        <w:t>™</w:t>
      </w:r>
      <w:r w:rsidRPr="00771320">
        <w:rPr>
          <w:noProof/>
        </w:rPr>
        <w:tab/>
      </w:r>
      <w:r w:rsidRPr="00771320">
        <w:rPr>
          <w:noProof/>
        </w:rPr>
        <w:fldChar w:fldCharType="begin"/>
      </w:r>
      <w:r w:rsidRPr="00771320">
        <w:rPr>
          <w:noProof/>
        </w:rPr>
        <w:instrText xml:space="preserve"> PAGEREF _Toc201813360 \h </w:instrText>
      </w:r>
      <w:r w:rsidRPr="00771320">
        <w:rPr>
          <w:noProof/>
        </w:rPr>
      </w:r>
      <w:r w:rsidRPr="00771320">
        <w:rPr>
          <w:noProof/>
        </w:rPr>
        <w:fldChar w:fldCharType="separate"/>
      </w:r>
      <w:r w:rsidR="008D465F">
        <w:rPr>
          <w:noProof/>
        </w:rPr>
        <w:t>15</w:t>
      </w:r>
      <w:r w:rsidRPr="00771320">
        <w:rPr>
          <w:noProof/>
        </w:rPr>
        <w:fldChar w:fldCharType="end"/>
      </w:r>
    </w:p>
    <w:p w14:paraId="569EACD1" w14:textId="4A3EC691" w:rsidR="00C600B9" w:rsidRPr="00771320" w:rsidRDefault="00C600B9" w:rsidP="00C600B9">
      <w:pPr>
        <w:pStyle w:val="TOC5"/>
        <w:rPr>
          <w:rFonts w:asciiTheme="minorHAnsi" w:hAnsiTheme="minorHAnsi" w:cstheme="minorBidi"/>
          <w:noProof/>
          <w:kern w:val="2"/>
          <w14:ligatures w14:val="standardContextual"/>
        </w:rPr>
      </w:pPr>
      <w:r w:rsidRPr="00771320">
        <w:rPr>
          <w:noProof/>
        </w:rPr>
        <w:t>In Which Reports Do HEDIS Members Remain?</w:t>
      </w:r>
      <w:r w:rsidRPr="00771320">
        <w:rPr>
          <w:noProof/>
        </w:rPr>
        <w:tab/>
      </w:r>
      <w:r w:rsidRPr="00771320">
        <w:rPr>
          <w:noProof/>
        </w:rPr>
        <w:fldChar w:fldCharType="begin"/>
      </w:r>
      <w:r w:rsidRPr="00771320">
        <w:rPr>
          <w:noProof/>
        </w:rPr>
        <w:instrText xml:space="preserve"> PAGEREF _Toc201813361 \h </w:instrText>
      </w:r>
      <w:r w:rsidRPr="00771320">
        <w:rPr>
          <w:noProof/>
        </w:rPr>
      </w:r>
      <w:r w:rsidRPr="00771320">
        <w:rPr>
          <w:noProof/>
        </w:rPr>
        <w:fldChar w:fldCharType="separate"/>
      </w:r>
      <w:r w:rsidR="008D465F">
        <w:rPr>
          <w:noProof/>
        </w:rPr>
        <w:t>17</w:t>
      </w:r>
      <w:r w:rsidRPr="00771320">
        <w:rPr>
          <w:noProof/>
        </w:rPr>
        <w:fldChar w:fldCharType="end"/>
      </w:r>
    </w:p>
    <w:p w14:paraId="2058C25E" w14:textId="73C70EA7" w:rsidR="00C600B9" w:rsidRPr="00771320" w:rsidRDefault="00C600B9" w:rsidP="00C600B9">
      <w:pPr>
        <w:pStyle w:val="TOC5"/>
        <w:rPr>
          <w:rFonts w:asciiTheme="minorHAnsi" w:hAnsiTheme="minorHAnsi" w:cstheme="minorBidi"/>
          <w:noProof/>
          <w:kern w:val="2"/>
          <w14:ligatures w14:val="standardContextual"/>
        </w:rPr>
      </w:pPr>
      <w:r w:rsidRPr="00771320">
        <w:rPr>
          <w:noProof/>
        </w:rPr>
        <w:t>Membership Changes</w:t>
      </w:r>
      <w:r w:rsidRPr="00771320">
        <w:rPr>
          <w:noProof/>
        </w:rPr>
        <w:tab/>
      </w:r>
      <w:r w:rsidRPr="00771320">
        <w:rPr>
          <w:noProof/>
        </w:rPr>
        <w:fldChar w:fldCharType="begin"/>
      </w:r>
      <w:r w:rsidRPr="00771320">
        <w:rPr>
          <w:noProof/>
        </w:rPr>
        <w:instrText xml:space="preserve"> PAGEREF _Toc201813362 \h </w:instrText>
      </w:r>
      <w:r w:rsidRPr="00771320">
        <w:rPr>
          <w:noProof/>
        </w:rPr>
      </w:r>
      <w:r w:rsidRPr="00771320">
        <w:rPr>
          <w:noProof/>
        </w:rPr>
        <w:fldChar w:fldCharType="separate"/>
      </w:r>
      <w:r w:rsidR="008D465F">
        <w:rPr>
          <w:noProof/>
        </w:rPr>
        <w:t>19</w:t>
      </w:r>
      <w:r w:rsidRPr="00771320">
        <w:rPr>
          <w:noProof/>
        </w:rPr>
        <w:fldChar w:fldCharType="end"/>
      </w:r>
    </w:p>
    <w:p w14:paraId="08254DF8" w14:textId="68496DCC" w:rsidR="00C600B9" w:rsidRPr="00771320" w:rsidRDefault="00C600B9" w:rsidP="00C600B9">
      <w:pPr>
        <w:pStyle w:val="TOC5"/>
        <w:rPr>
          <w:rFonts w:asciiTheme="minorHAnsi" w:hAnsiTheme="minorHAnsi" w:cstheme="minorBidi"/>
          <w:noProof/>
          <w:kern w:val="2"/>
          <w14:ligatures w14:val="standardContextual"/>
        </w:rPr>
      </w:pPr>
      <w:r w:rsidRPr="00771320">
        <w:rPr>
          <w:noProof/>
        </w:rPr>
        <w:t>Required Enrollment Periods and Benefits</w:t>
      </w:r>
      <w:r w:rsidRPr="00771320">
        <w:rPr>
          <w:noProof/>
        </w:rPr>
        <w:tab/>
      </w:r>
      <w:r w:rsidRPr="00771320">
        <w:rPr>
          <w:noProof/>
        </w:rPr>
        <w:fldChar w:fldCharType="begin"/>
      </w:r>
      <w:r w:rsidRPr="00771320">
        <w:rPr>
          <w:noProof/>
        </w:rPr>
        <w:instrText xml:space="preserve"> PAGEREF _Toc201813363 \h </w:instrText>
      </w:r>
      <w:r w:rsidRPr="00771320">
        <w:rPr>
          <w:noProof/>
        </w:rPr>
      </w:r>
      <w:r w:rsidRPr="00771320">
        <w:rPr>
          <w:noProof/>
        </w:rPr>
        <w:fldChar w:fldCharType="separate"/>
      </w:r>
      <w:r w:rsidR="008D465F">
        <w:rPr>
          <w:noProof/>
        </w:rPr>
        <w:t>20</w:t>
      </w:r>
      <w:r w:rsidRPr="00771320">
        <w:rPr>
          <w:noProof/>
        </w:rPr>
        <w:fldChar w:fldCharType="end"/>
      </w:r>
    </w:p>
    <w:p w14:paraId="1A2CD0F4" w14:textId="5AAD19C3" w:rsidR="00C600B9" w:rsidRPr="00771320" w:rsidRDefault="00C600B9" w:rsidP="00C600B9">
      <w:pPr>
        <w:pStyle w:val="TOC5"/>
        <w:rPr>
          <w:rFonts w:asciiTheme="minorHAnsi" w:hAnsiTheme="minorHAnsi" w:cstheme="minorBidi"/>
          <w:noProof/>
          <w:kern w:val="2"/>
          <w14:ligatures w14:val="standardContextual"/>
        </w:rPr>
      </w:pPr>
      <w:r w:rsidRPr="00771320">
        <w:rPr>
          <w:noProof/>
        </w:rPr>
        <w:t>HEDIS Data Submission and Reporting</w:t>
      </w:r>
      <w:r w:rsidRPr="00771320">
        <w:rPr>
          <w:noProof/>
        </w:rPr>
        <w:tab/>
      </w:r>
      <w:r w:rsidRPr="00771320">
        <w:rPr>
          <w:noProof/>
        </w:rPr>
        <w:fldChar w:fldCharType="begin"/>
      </w:r>
      <w:r w:rsidRPr="00771320">
        <w:rPr>
          <w:noProof/>
        </w:rPr>
        <w:instrText xml:space="preserve"> PAGEREF _Toc201813364 \h </w:instrText>
      </w:r>
      <w:r w:rsidRPr="00771320">
        <w:rPr>
          <w:noProof/>
        </w:rPr>
      </w:r>
      <w:r w:rsidRPr="00771320">
        <w:rPr>
          <w:noProof/>
        </w:rPr>
        <w:fldChar w:fldCharType="separate"/>
      </w:r>
      <w:r w:rsidR="008D465F">
        <w:rPr>
          <w:noProof/>
        </w:rPr>
        <w:t>23</w:t>
      </w:r>
      <w:r w:rsidRPr="00771320">
        <w:rPr>
          <w:noProof/>
        </w:rPr>
        <w:fldChar w:fldCharType="end"/>
      </w:r>
    </w:p>
    <w:p w14:paraId="4458DA69" w14:textId="5C59714E" w:rsidR="00C600B9" w:rsidRPr="00771320" w:rsidRDefault="00C600B9" w:rsidP="00C600B9">
      <w:pPr>
        <w:pStyle w:val="TOC5"/>
        <w:rPr>
          <w:rFonts w:asciiTheme="minorHAnsi" w:hAnsiTheme="minorHAnsi" w:cstheme="minorBidi"/>
          <w:noProof/>
          <w:kern w:val="2"/>
          <w14:ligatures w14:val="standardContextual"/>
        </w:rPr>
      </w:pPr>
      <w:r w:rsidRPr="00771320">
        <w:rPr>
          <w:noProof/>
        </w:rPr>
        <w:t>Data Collection Methods and Data Sources</w:t>
      </w:r>
      <w:r w:rsidRPr="00771320">
        <w:rPr>
          <w:noProof/>
        </w:rPr>
        <w:tab/>
      </w:r>
      <w:r w:rsidRPr="00771320">
        <w:rPr>
          <w:noProof/>
        </w:rPr>
        <w:fldChar w:fldCharType="begin"/>
      </w:r>
      <w:r w:rsidRPr="00771320">
        <w:rPr>
          <w:noProof/>
        </w:rPr>
        <w:instrText xml:space="preserve"> PAGEREF _Toc201813365 \h </w:instrText>
      </w:r>
      <w:r w:rsidRPr="00771320">
        <w:rPr>
          <w:noProof/>
        </w:rPr>
      </w:r>
      <w:r w:rsidRPr="00771320">
        <w:rPr>
          <w:noProof/>
        </w:rPr>
        <w:fldChar w:fldCharType="separate"/>
      </w:r>
      <w:r w:rsidR="008D465F">
        <w:rPr>
          <w:noProof/>
        </w:rPr>
        <w:t>23</w:t>
      </w:r>
      <w:r w:rsidRPr="00771320">
        <w:rPr>
          <w:noProof/>
        </w:rPr>
        <w:fldChar w:fldCharType="end"/>
      </w:r>
    </w:p>
    <w:p w14:paraId="1FBFC9B6" w14:textId="721A7FC4" w:rsidR="00C600B9" w:rsidRPr="00771320" w:rsidRDefault="00C600B9" w:rsidP="00C600B9">
      <w:pPr>
        <w:pStyle w:val="TOC5"/>
        <w:rPr>
          <w:rFonts w:asciiTheme="minorHAnsi" w:hAnsiTheme="minorHAnsi" w:cstheme="minorBidi"/>
          <w:noProof/>
          <w:kern w:val="2"/>
          <w14:ligatures w14:val="standardContextual"/>
        </w:rPr>
      </w:pPr>
      <w:r w:rsidRPr="00771320">
        <w:rPr>
          <w:noProof/>
        </w:rPr>
        <w:t>HEDIS Coding Conventions</w:t>
      </w:r>
      <w:r w:rsidRPr="00771320">
        <w:rPr>
          <w:noProof/>
        </w:rPr>
        <w:tab/>
      </w:r>
      <w:r w:rsidRPr="00771320">
        <w:rPr>
          <w:noProof/>
        </w:rPr>
        <w:fldChar w:fldCharType="begin"/>
      </w:r>
      <w:r w:rsidRPr="00771320">
        <w:rPr>
          <w:noProof/>
        </w:rPr>
        <w:instrText xml:space="preserve"> PAGEREF _Toc201813366 \h </w:instrText>
      </w:r>
      <w:r w:rsidRPr="00771320">
        <w:rPr>
          <w:noProof/>
        </w:rPr>
      </w:r>
      <w:r w:rsidRPr="00771320">
        <w:rPr>
          <w:noProof/>
        </w:rPr>
        <w:fldChar w:fldCharType="separate"/>
      </w:r>
      <w:r w:rsidR="008D465F">
        <w:rPr>
          <w:noProof/>
        </w:rPr>
        <w:t>39</w:t>
      </w:r>
      <w:r w:rsidRPr="00771320">
        <w:rPr>
          <w:noProof/>
        </w:rPr>
        <w:fldChar w:fldCharType="end"/>
      </w:r>
    </w:p>
    <w:p w14:paraId="1BA9FD3F" w14:textId="29207911" w:rsidR="00C600B9" w:rsidRPr="00771320" w:rsidRDefault="00C600B9" w:rsidP="00C600B9">
      <w:pPr>
        <w:pStyle w:val="TOC5"/>
        <w:rPr>
          <w:rFonts w:asciiTheme="minorHAnsi" w:hAnsiTheme="minorHAnsi" w:cstheme="minorBidi"/>
          <w:noProof/>
          <w:kern w:val="2"/>
          <w14:ligatures w14:val="standardContextual"/>
        </w:rPr>
      </w:pPr>
      <w:r w:rsidRPr="00771320">
        <w:rPr>
          <w:noProof/>
        </w:rPr>
        <w:t>HEDIS Specification Tables</w:t>
      </w:r>
      <w:r w:rsidRPr="00771320">
        <w:rPr>
          <w:noProof/>
        </w:rPr>
        <w:tab/>
      </w:r>
      <w:r w:rsidRPr="00771320">
        <w:rPr>
          <w:noProof/>
        </w:rPr>
        <w:fldChar w:fldCharType="begin"/>
      </w:r>
      <w:r w:rsidRPr="00771320">
        <w:rPr>
          <w:noProof/>
        </w:rPr>
        <w:instrText xml:space="preserve"> PAGEREF _Toc201813367 \h </w:instrText>
      </w:r>
      <w:r w:rsidRPr="00771320">
        <w:rPr>
          <w:noProof/>
        </w:rPr>
      </w:r>
      <w:r w:rsidRPr="00771320">
        <w:rPr>
          <w:noProof/>
        </w:rPr>
        <w:fldChar w:fldCharType="separate"/>
      </w:r>
      <w:r w:rsidR="008D465F">
        <w:rPr>
          <w:noProof/>
        </w:rPr>
        <w:t>41</w:t>
      </w:r>
      <w:r w:rsidRPr="00771320">
        <w:rPr>
          <w:noProof/>
        </w:rPr>
        <w:fldChar w:fldCharType="end"/>
      </w:r>
    </w:p>
    <w:p w14:paraId="63652137" w14:textId="42054C7D" w:rsidR="00C600B9" w:rsidRPr="00771320" w:rsidRDefault="00C600B9" w:rsidP="00C600B9">
      <w:pPr>
        <w:pStyle w:val="TOC5"/>
        <w:rPr>
          <w:rFonts w:asciiTheme="minorHAnsi" w:hAnsiTheme="minorHAnsi" w:cstheme="minorBidi"/>
          <w:noProof/>
          <w:kern w:val="2"/>
          <w14:ligatures w14:val="standardContextual"/>
        </w:rPr>
      </w:pPr>
      <w:r w:rsidRPr="00771320">
        <w:rPr>
          <w:noProof/>
        </w:rPr>
        <w:t>Measures Reportable With a Partial Year of Data</w:t>
      </w:r>
      <w:r w:rsidRPr="00771320">
        <w:rPr>
          <w:noProof/>
        </w:rPr>
        <w:tab/>
      </w:r>
      <w:r w:rsidRPr="00771320">
        <w:rPr>
          <w:noProof/>
        </w:rPr>
        <w:fldChar w:fldCharType="begin"/>
      </w:r>
      <w:r w:rsidRPr="00771320">
        <w:rPr>
          <w:noProof/>
        </w:rPr>
        <w:instrText xml:space="preserve"> PAGEREF _Toc201813368 \h </w:instrText>
      </w:r>
      <w:r w:rsidRPr="00771320">
        <w:rPr>
          <w:noProof/>
        </w:rPr>
      </w:r>
      <w:r w:rsidRPr="00771320">
        <w:rPr>
          <w:noProof/>
        </w:rPr>
        <w:fldChar w:fldCharType="separate"/>
      </w:r>
      <w:r w:rsidR="008D465F">
        <w:rPr>
          <w:noProof/>
        </w:rPr>
        <w:t>43</w:t>
      </w:r>
      <w:r w:rsidRPr="00771320">
        <w:rPr>
          <w:noProof/>
        </w:rPr>
        <w:fldChar w:fldCharType="end"/>
      </w:r>
    </w:p>
    <w:p w14:paraId="39B83830" w14:textId="1A56A5E3" w:rsidR="00C600B9" w:rsidRPr="00771320" w:rsidRDefault="00C600B9" w:rsidP="00C600B9">
      <w:pPr>
        <w:pStyle w:val="TOC1"/>
        <w:rPr>
          <w:rFonts w:asciiTheme="minorHAnsi" w:eastAsiaTheme="minorEastAsia" w:hAnsiTheme="minorHAnsi" w:cstheme="minorBidi"/>
          <w:b w:val="0"/>
          <w:bCs w:val="0"/>
          <w:kern w:val="2"/>
          <w14:ligatures w14:val="standardContextual"/>
        </w:rPr>
      </w:pPr>
      <w:r w:rsidRPr="00771320">
        <w:t>Guidelines for Calculations and Sampling</w:t>
      </w:r>
      <w:r w:rsidRPr="00771320">
        <w:tab/>
      </w:r>
      <w:r w:rsidRPr="00771320">
        <w:fldChar w:fldCharType="begin"/>
      </w:r>
      <w:r w:rsidRPr="00771320">
        <w:instrText xml:space="preserve"> PAGEREF _Toc201813369 \h </w:instrText>
      </w:r>
      <w:r w:rsidRPr="00771320">
        <w:fldChar w:fldCharType="separate"/>
      </w:r>
      <w:r w:rsidR="008D465F">
        <w:t>44</w:t>
      </w:r>
      <w:r w:rsidRPr="00771320">
        <w:fldChar w:fldCharType="end"/>
      </w:r>
    </w:p>
    <w:p w14:paraId="6B5050EB" w14:textId="2F030AFF" w:rsidR="00C600B9" w:rsidRPr="00771320" w:rsidRDefault="00C600B9" w:rsidP="00C600B9">
      <w:pPr>
        <w:pStyle w:val="TOC5"/>
        <w:rPr>
          <w:rFonts w:asciiTheme="minorHAnsi" w:hAnsiTheme="minorHAnsi" w:cstheme="minorBidi"/>
          <w:noProof/>
          <w:kern w:val="2"/>
          <w14:ligatures w14:val="standardContextual"/>
        </w:rPr>
      </w:pPr>
      <w:r w:rsidRPr="00771320">
        <w:rPr>
          <w:noProof/>
        </w:rPr>
        <w:t>How to Use the Administrative Method</w:t>
      </w:r>
      <w:r w:rsidRPr="00771320">
        <w:rPr>
          <w:noProof/>
        </w:rPr>
        <w:tab/>
      </w:r>
      <w:r w:rsidRPr="00771320">
        <w:rPr>
          <w:noProof/>
        </w:rPr>
        <w:fldChar w:fldCharType="begin"/>
      </w:r>
      <w:r w:rsidRPr="00771320">
        <w:rPr>
          <w:noProof/>
        </w:rPr>
        <w:instrText xml:space="preserve"> PAGEREF _Toc201813370 \h </w:instrText>
      </w:r>
      <w:r w:rsidRPr="00771320">
        <w:rPr>
          <w:noProof/>
        </w:rPr>
      </w:r>
      <w:r w:rsidRPr="00771320">
        <w:rPr>
          <w:noProof/>
        </w:rPr>
        <w:fldChar w:fldCharType="separate"/>
      </w:r>
      <w:r w:rsidR="008D465F">
        <w:rPr>
          <w:noProof/>
        </w:rPr>
        <w:t>45</w:t>
      </w:r>
      <w:r w:rsidRPr="00771320">
        <w:rPr>
          <w:noProof/>
        </w:rPr>
        <w:fldChar w:fldCharType="end"/>
      </w:r>
    </w:p>
    <w:p w14:paraId="033D2C27" w14:textId="2A80F5A8" w:rsidR="00C600B9" w:rsidRPr="00771320" w:rsidRDefault="00C600B9" w:rsidP="00C600B9">
      <w:pPr>
        <w:pStyle w:val="TOC5"/>
        <w:rPr>
          <w:rFonts w:asciiTheme="minorHAnsi" w:hAnsiTheme="minorHAnsi" w:cstheme="minorBidi"/>
          <w:noProof/>
          <w:kern w:val="2"/>
          <w14:ligatures w14:val="standardContextual"/>
        </w:rPr>
      </w:pPr>
      <w:r w:rsidRPr="00771320">
        <w:rPr>
          <w:noProof/>
        </w:rPr>
        <w:t>Guidelines for the Hybrid Method</w:t>
      </w:r>
      <w:r w:rsidRPr="00771320">
        <w:rPr>
          <w:noProof/>
        </w:rPr>
        <w:tab/>
      </w:r>
      <w:r w:rsidRPr="00771320">
        <w:rPr>
          <w:noProof/>
        </w:rPr>
        <w:fldChar w:fldCharType="begin"/>
      </w:r>
      <w:r w:rsidRPr="00771320">
        <w:rPr>
          <w:noProof/>
        </w:rPr>
        <w:instrText xml:space="preserve"> PAGEREF _Toc201813371 \h </w:instrText>
      </w:r>
      <w:r w:rsidRPr="00771320">
        <w:rPr>
          <w:noProof/>
        </w:rPr>
      </w:r>
      <w:r w:rsidRPr="00771320">
        <w:rPr>
          <w:noProof/>
        </w:rPr>
        <w:fldChar w:fldCharType="separate"/>
      </w:r>
      <w:r w:rsidR="008D465F">
        <w:rPr>
          <w:noProof/>
        </w:rPr>
        <w:t>45</w:t>
      </w:r>
      <w:r w:rsidRPr="00771320">
        <w:rPr>
          <w:noProof/>
        </w:rPr>
        <w:fldChar w:fldCharType="end"/>
      </w:r>
    </w:p>
    <w:p w14:paraId="5CD3937B" w14:textId="77A2BA1E" w:rsidR="00C600B9" w:rsidRPr="00771320" w:rsidRDefault="00C600B9" w:rsidP="00C600B9">
      <w:pPr>
        <w:pStyle w:val="TOC5"/>
        <w:rPr>
          <w:rFonts w:asciiTheme="minorHAnsi" w:hAnsiTheme="minorHAnsi" w:cstheme="minorBidi"/>
          <w:noProof/>
          <w:kern w:val="2"/>
          <w14:ligatures w14:val="standardContextual"/>
        </w:rPr>
      </w:pPr>
      <w:r w:rsidRPr="00771320">
        <w:rPr>
          <w:noProof/>
        </w:rPr>
        <w:t>Systematic Sampling Methodology</w:t>
      </w:r>
      <w:r w:rsidRPr="00771320">
        <w:rPr>
          <w:noProof/>
        </w:rPr>
        <w:tab/>
      </w:r>
      <w:r w:rsidRPr="00771320">
        <w:rPr>
          <w:noProof/>
        </w:rPr>
        <w:fldChar w:fldCharType="begin"/>
      </w:r>
      <w:r w:rsidRPr="00771320">
        <w:rPr>
          <w:noProof/>
        </w:rPr>
        <w:instrText xml:space="preserve"> PAGEREF _Toc201813372 \h </w:instrText>
      </w:r>
      <w:r w:rsidRPr="00771320">
        <w:rPr>
          <w:noProof/>
        </w:rPr>
      </w:r>
      <w:r w:rsidRPr="00771320">
        <w:rPr>
          <w:noProof/>
        </w:rPr>
        <w:fldChar w:fldCharType="separate"/>
      </w:r>
      <w:r w:rsidR="008D465F">
        <w:rPr>
          <w:noProof/>
        </w:rPr>
        <w:t>50</w:t>
      </w:r>
      <w:r w:rsidRPr="00771320">
        <w:rPr>
          <w:noProof/>
        </w:rPr>
        <w:fldChar w:fldCharType="end"/>
      </w:r>
    </w:p>
    <w:p w14:paraId="3BCDC22F" w14:textId="60AF6BF3" w:rsidR="00C600B9" w:rsidRPr="00771320" w:rsidRDefault="00C600B9" w:rsidP="00C600B9">
      <w:pPr>
        <w:pStyle w:val="TOC6"/>
        <w:rPr>
          <w:rFonts w:asciiTheme="minorHAnsi" w:hAnsiTheme="minorHAnsi" w:cstheme="minorBidi"/>
          <w:noProof/>
          <w:kern w:val="2"/>
          <w14:ligatures w14:val="standardContextual"/>
        </w:rPr>
      </w:pPr>
      <w:r w:rsidRPr="00771320">
        <w:rPr>
          <w:noProof/>
        </w:rPr>
        <w:t>Example 1</w:t>
      </w:r>
      <w:r w:rsidRPr="00771320">
        <w:rPr>
          <w:noProof/>
        </w:rPr>
        <w:tab/>
      </w:r>
      <w:r w:rsidRPr="00771320">
        <w:rPr>
          <w:noProof/>
        </w:rPr>
        <w:fldChar w:fldCharType="begin"/>
      </w:r>
      <w:r w:rsidRPr="00771320">
        <w:rPr>
          <w:noProof/>
        </w:rPr>
        <w:instrText xml:space="preserve"> PAGEREF _Toc201813373 \h </w:instrText>
      </w:r>
      <w:r w:rsidRPr="00771320">
        <w:rPr>
          <w:noProof/>
        </w:rPr>
      </w:r>
      <w:r w:rsidRPr="00771320">
        <w:rPr>
          <w:noProof/>
        </w:rPr>
        <w:fldChar w:fldCharType="separate"/>
      </w:r>
      <w:r w:rsidR="008D465F">
        <w:rPr>
          <w:noProof/>
        </w:rPr>
        <w:t>52</w:t>
      </w:r>
      <w:r w:rsidRPr="00771320">
        <w:rPr>
          <w:noProof/>
        </w:rPr>
        <w:fldChar w:fldCharType="end"/>
      </w:r>
    </w:p>
    <w:p w14:paraId="5F9F5027" w14:textId="10527ED6" w:rsidR="00C600B9" w:rsidRPr="00771320" w:rsidRDefault="00C600B9" w:rsidP="00C600B9">
      <w:pPr>
        <w:pStyle w:val="TOC6"/>
        <w:rPr>
          <w:rFonts w:asciiTheme="minorHAnsi" w:hAnsiTheme="minorHAnsi" w:cstheme="minorBidi"/>
          <w:noProof/>
          <w:kern w:val="2"/>
          <w14:ligatures w14:val="standardContextual"/>
        </w:rPr>
      </w:pPr>
      <w:r w:rsidRPr="00771320">
        <w:rPr>
          <w:noProof/>
        </w:rPr>
        <w:t>Example 2</w:t>
      </w:r>
      <w:r w:rsidRPr="00771320">
        <w:rPr>
          <w:noProof/>
        </w:rPr>
        <w:tab/>
      </w:r>
      <w:r w:rsidRPr="00771320">
        <w:rPr>
          <w:noProof/>
        </w:rPr>
        <w:fldChar w:fldCharType="begin"/>
      </w:r>
      <w:r w:rsidRPr="00771320">
        <w:rPr>
          <w:noProof/>
        </w:rPr>
        <w:instrText xml:space="preserve"> PAGEREF _Toc201813374 \h </w:instrText>
      </w:r>
      <w:r w:rsidRPr="00771320">
        <w:rPr>
          <w:noProof/>
        </w:rPr>
      </w:r>
      <w:r w:rsidRPr="00771320">
        <w:rPr>
          <w:noProof/>
        </w:rPr>
        <w:fldChar w:fldCharType="separate"/>
      </w:r>
      <w:r w:rsidR="008D465F">
        <w:rPr>
          <w:noProof/>
        </w:rPr>
        <w:t>53</w:t>
      </w:r>
      <w:r w:rsidRPr="00771320">
        <w:rPr>
          <w:noProof/>
        </w:rPr>
        <w:fldChar w:fldCharType="end"/>
      </w:r>
    </w:p>
    <w:p w14:paraId="7DD2C227" w14:textId="5A3F0B0E" w:rsidR="00C600B9" w:rsidRPr="00771320" w:rsidRDefault="00C600B9" w:rsidP="00C600B9">
      <w:pPr>
        <w:pStyle w:val="TOC6"/>
        <w:rPr>
          <w:rFonts w:asciiTheme="minorHAnsi" w:hAnsiTheme="minorHAnsi" w:cstheme="minorBidi"/>
          <w:noProof/>
          <w:kern w:val="2"/>
          <w14:ligatures w14:val="standardContextual"/>
        </w:rPr>
      </w:pPr>
      <w:r w:rsidRPr="00771320">
        <w:rPr>
          <w:noProof/>
        </w:rPr>
        <w:t>Example 3</w:t>
      </w:r>
      <w:r w:rsidRPr="00771320">
        <w:rPr>
          <w:noProof/>
        </w:rPr>
        <w:tab/>
      </w:r>
      <w:r w:rsidRPr="00771320">
        <w:rPr>
          <w:noProof/>
        </w:rPr>
        <w:fldChar w:fldCharType="begin"/>
      </w:r>
      <w:r w:rsidRPr="00771320">
        <w:rPr>
          <w:noProof/>
        </w:rPr>
        <w:instrText xml:space="preserve"> PAGEREF _Toc201813375 \h </w:instrText>
      </w:r>
      <w:r w:rsidRPr="00771320">
        <w:rPr>
          <w:noProof/>
        </w:rPr>
      </w:r>
      <w:r w:rsidRPr="00771320">
        <w:rPr>
          <w:noProof/>
        </w:rPr>
        <w:fldChar w:fldCharType="separate"/>
      </w:r>
      <w:r w:rsidR="008D465F">
        <w:rPr>
          <w:noProof/>
        </w:rPr>
        <w:t>53</w:t>
      </w:r>
      <w:r w:rsidRPr="00771320">
        <w:rPr>
          <w:noProof/>
        </w:rPr>
        <w:fldChar w:fldCharType="end"/>
      </w:r>
    </w:p>
    <w:p w14:paraId="196F5824" w14:textId="4747D34F" w:rsidR="00C600B9" w:rsidRPr="00771320" w:rsidRDefault="00C600B9" w:rsidP="00C600B9">
      <w:pPr>
        <w:pStyle w:val="TOC6"/>
        <w:rPr>
          <w:rFonts w:asciiTheme="minorHAnsi" w:hAnsiTheme="minorHAnsi" w:cstheme="minorBidi"/>
          <w:noProof/>
          <w:kern w:val="2"/>
          <w14:ligatures w14:val="standardContextual"/>
        </w:rPr>
      </w:pPr>
      <w:r w:rsidRPr="00771320">
        <w:rPr>
          <w:noProof/>
        </w:rPr>
        <w:t>Example 4</w:t>
      </w:r>
      <w:r w:rsidRPr="00771320">
        <w:rPr>
          <w:noProof/>
        </w:rPr>
        <w:tab/>
      </w:r>
      <w:r w:rsidRPr="00771320">
        <w:rPr>
          <w:noProof/>
        </w:rPr>
        <w:fldChar w:fldCharType="begin"/>
      </w:r>
      <w:r w:rsidRPr="00771320">
        <w:rPr>
          <w:noProof/>
        </w:rPr>
        <w:instrText xml:space="preserve"> PAGEREF _Toc201813376 \h </w:instrText>
      </w:r>
      <w:r w:rsidRPr="00771320">
        <w:rPr>
          <w:noProof/>
        </w:rPr>
      </w:r>
      <w:r w:rsidRPr="00771320">
        <w:rPr>
          <w:noProof/>
        </w:rPr>
        <w:fldChar w:fldCharType="separate"/>
      </w:r>
      <w:r w:rsidR="008D465F">
        <w:rPr>
          <w:noProof/>
        </w:rPr>
        <w:t>53</w:t>
      </w:r>
      <w:r w:rsidRPr="00771320">
        <w:rPr>
          <w:noProof/>
        </w:rPr>
        <w:fldChar w:fldCharType="end"/>
      </w:r>
    </w:p>
    <w:p w14:paraId="5F952E39" w14:textId="05E417A6" w:rsidR="00C600B9" w:rsidRPr="00771320" w:rsidRDefault="00C600B9" w:rsidP="00C600B9">
      <w:pPr>
        <w:pStyle w:val="TOC5"/>
        <w:rPr>
          <w:rFonts w:asciiTheme="minorHAnsi" w:hAnsiTheme="minorHAnsi" w:cstheme="minorBidi"/>
          <w:noProof/>
          <w:kern w:val="2"/>
          <w14:ligatures w14:val="standardContextual"/>
        </w:rPr>
      </w:pPr>
      <w:r w:rsidRPr="00771320">
        <w:rPr>
          <w:noProof/>
        </w:rPr>
        <w:t>Complex Probability Sampling</w:t>
      </w:r>
      <w:r w:rsidRPr="00771320">
        <w:rPr>
          <w:noProof/>
        </w:rPr>
        <w:tab/>
      </w:r>
      <w:r w:rsidRPr="00771320">
        <w:rPr>
          <w:noProof/>
        </w:rPr>
        <w:fldChar w:fldCharType="begin"/>
      </w:r>
      <w:r w:rsidRPr="00771320">
        <w:rPr>
          <w:noProof/>
        </w:rPr>
        <w:instrText xml:space="preserve"> PAGEREF _Toc201813377 \h </w:instrText>
      </w:r>
      <w:r w:rsidRPr="00771320">
        <w:rPr>
          <w:noProof/>
        </w:rPr>
      </w:r>
      <w:r w:rsidRPr="00771320">
        <w:rPr>
          <w:noProof/>
        </w:rPr>
        <w:fldChar w:fldCharType="separate"/>
      </w:r>
      <w:r w:rsidR="008D465F">
        <w:rPr>
          <w:noProof/>
        </w:rPr>
        <w:t>54</w:t>
      </w:r>
      <w:r w:rsidRPr="00771320">
        <w:rPr>
          <w:noProof/>
        </w:rPr>
        <w:fldChar w:fldCharType="end"/>
      </w:r>
    </w:p>
    <w:p w14:paraId="791B360B" w14:textId="3960E414" w:rsidR="00C600B9" w:rsidRPr="00771320" w:rsidRDefault="00C600B9" w:rsidP="00C600B9">
      <w:pPr>
        <w:pStyle w:val="TOC5"/>
        <w:rPr>
          <w:rFonts w:asciiTheme="minorHAnsi" w:hAnsiTheme="minorHAnsi" w:cstheme="minorBidi"/>
          <w:noProof/>
          <w:kern w:val="2"/>
          <w14:ligatures w14:val="standardContextual"/>
        </w:rPr>
      </w:pPr>
      <w:r w:rsidRPr="00771320">
        <w:rPr>
          <w:noProof/>
        </w:rPr>
        <w:t>Substituting Medical Records</w:t>
      </w:r>
      <w:r w:rsidRPr="00771320">
        <w:rPr>
          <w:noProof/>
        </w:rPr>
        <w:tab/>
      </w:r>
      <w:r w:rsidRPr="00771320">
        <w:rPr>
          <w:noProof/>
        </w:rPr>
        <w:fldChar w:fldCharType="begin"/>
      </w:r>
      <w:r w:rsidRPr="00771320">
        <w:rPr>
          <w:noProof/>
        </w:rPr>
        <w:instrText xml:space="preserve"> PAGEREF _Toc201813378 \h </w:instrText>
      </w:r>
      <w:r w:rsidRPr="00771320">
        <w:rPr>
          <w:noProof/>
        </w:rPr>
      </w:r>
      <w:r w:rsidRPr="00771320">
        <w:rPr>
          <w:noProof/>
        </w:rPr>
        <w:fldChar w:fldCharType="separate"/>
      </w:r>
      <w:r w:rsidR="008D465F">
        <w:rPr>
          <w:noProof/>
        </w:rPr>
        <w:t>54</w:t>
      </w:r>
      <w:r w:rsidRPr="00771320">
        <w:rPr>
          <w:noProof/>
        </w:rPr>
        <w:fldChar w:fldCharType="end"/>
      </w:r>
    </w:p>
    <w:p w14:paraId="23F52F12" w14:textId="7C080F9F" w:rsidR="00C600B9" w:rsidRPr="00771320" w:rsidRDefault="00C600B9" w:rsidP="00C600B9">
      <w:pPr>
        <w:pStyle w:val="TOC5"/>
        <w:rPr>
          <w:rFonts w:asciiTheme="minorHAnsi" w:hAnsiTheme="minorHAnsi" w:cstheme="minorBidi"/>
          <w:noProof/>
          <w:kern w:val="2"/>
          <w14:ligatures w14:val="standardContextual"/>
        </w:rPr>
      </w:pPr>
      <w:r w:rsidRPr="00771320">
        <w:rPr>
          <w:noProof/>
        </w:rPr>
        <w:t>References</w:t>
      </w:r>
      <w:r w:rsidRPr="00771320">
        <w:rPr>
          <w:noProof/>
        </w:rPr>
        <w:tab/>
      </w:r>
      <w:r w:rsidRPr="00771320">
        <w:rPr>
          <w:noProof/>
        </w:rPr>
        <w:fldChar w:fldCharType="begin"/>
      </w:r>
      <w:r w:rsidRPr="00771320">
        <w:rPr>
          <w:noProof/>
        </w:rPr>
        <w:instrText xml:space="preserve"> PAGEREF _Toc201813379 \h </w:instrText>
      </w:r>
      <w:r w:rsidRPr="00771320">
        <w:rPr>
          <w:noProof/>
        </w:rPr>
      </w:r>
      <w:r w:rsidRPr="00771320">
        <w:rPr>
          <w:noProof/>
        </w:rPr>
        <w:fldChar w:fldCharType="separate"/>
      </w:r>
      <w:r w:rsidR="008D465F">
        <w:rPr>
          <w:noProof/>
        </w:rPr>
        <w:t>55</w:t>
      </w:r>
      <w:r w:rsidRPr="00771320">
        <w:rPr>
          <w:noProof/>
        </w:rPr>
        <w:fldChar w:fldCharType="end"/>
      </w:r>
    </w:p>
    <w:p w14:paraId="101B8EBF" w14:textId="76FD5005" w:rsidR="00C600B9" w:rsidRPr="00771320" w:rsidRDefault="00C600B9" w:rsidP="00C600B9">
      <w:pPr>
        <w:pStyle w:val="TOC1"/>
        <w:rPr>
          <w:rFonts w:asciiTheme="minorHAnsi" w:eastAsiaTheme="minorEastAsia" w:hAnsiTheme="minorHAnsi" w:cstheme="minorBidi"/>
          <w:b w:val="0"/>
          <w:bCs w:val="0"/>
          <w:kern w:val="2"/>
          <w14:ligatures w14:val="standardContextual"/>
        </w:rPr>
      </w:pPr>
      <w:r w:rsidRPr="00771320">
        <w:t>Guidelines for the Rules for Allowable Adjustments of HEDIS</w:t>
      </w:r>
      <w:r w:rsidRPr="00771320">
        <w:tab/>
      </w:r>
      <w:r w:rsidRPr="00771320">
        <w:fldChar w:fldCharType="begin"/>
      </w:r>
      <w:r w:rsidRPr="00771320">
        <w:instrText xml:space="preserve"> PAGEREF _Toc201813380 \h </w:instrText>
      </w:r>
      <w:r w:rsidRPr="00771320">
        <w:fldChar w:fldCharType="separate"/>
      </w:r>
      <w:r w:rsidR="008D465F">
        <w:t>56</w:t>
      </w:r>
      <w:r w:rsidRPr="00771320">
        <w:fldChar w:fldCharType="end"/>
      </w:r>
    </w:p>
    <w:p w14:paraId="0C3FFAA0" w14:textId="1B40B8FA" w:rsidR="00C600B9" w:rsidRPr="00771320" w:rsidRDefault="00C600B9" w:rsidP="00C600B9">
      <w:pPr>
        <w:pStyle w:val="TOC5"/>
        <w:rPr>
          <w:rFonts w:asciiTheme="minorHAnsi" w:hAnsiTheme="minorHAnsi" w:cstheme="minorBidi"/>
          <w:noProof/>
          <w:kern w:val="2"/>
          <w14:ligatures w14:val="standardContextual"/>
        </w:rPr>
      </w:pPr>
      <w:r w:rsidRPr="00771320">
        <w:rPr>
          <w:noProof/>
        </w:rPr>
        <w:t>About the Rules for Allowable Adjustments of HEDIS</w:t>
      </w:r>
      <w:r w:rsidRPr="00771320">
        <w:rPr>
          <w:noProof/>
        </w:rPr>
        <w:tab/>
      </w:r>
      <w:r w:rsidRPr="00771320">
        <w:rPr>
          <w:noProof/>
        </w:rPr>
        <w:fldChar w:fldCharType="begin"/>
      </w:r>
      <w:r w:rsidRPr="00771320">
        <w:rPr>
          <w:noProof/>
        </w:rPr>
        <w:instrText xml:space="preserve"> PAGEREF _Toc201813381 \h </w:instrText>
      </w:r>
      <w:r w:rsidRPr="00771320">
        <w:rPr>
          <w:noProof/>
        </w:rPr>
      </w:r>
      <w:r w:rsidRPr="00771320">
        <w:rPr>
          <w:noProof/>
        </w:rPr>
        <w:fldChar w:fldCharType="separate"/>
      </w:r>
      <w:r w:rsidR="008D465F">
        <w:rPr>
          <w:noProof/>
        </w:rPr>
        <w:t>57</w:t>
      </w:r>
      <w:r w:rsidRPr="00771320">
        <w:rPr>
          <w:noProof/>
        </w:rPr>
        <w:fldChar w:fldCharType="end"/>
      </w:r>
    </w:p>
    <w:p w14:paraId="0D7E794F" w14:textId="651BE4EF" w:rsidR="00C600B9" w:rsidRPr="00771320" w:rsidRDefault="00C600B9" w:rsidP="00C600B9">
      <w:pPr>
        <w:pStyle w:val="TOC5"/>
        <w:rPr>
          <w:rFonts w:asciiTheme="minorHAnsi" w:hAnsiTheme="minorHAnsi" w:cstheme="minorBidi"/>
          <w:noProof/>
          <w:kern w:val="2"/>
          <w14:ligatures w14:val="standardContextual"/>
        </w:rPr>
      </w:pPr>
      <w:r w:rsidRPr="00771320">
        <w:rPr>
          <w:noProof/>
        </w:rPr>
        <w:t>Overview of Rules for Allowable Adjustments</w:t>
      </w:r>
      <w:r w:rsidRPr="00771320">
        <w:rPr>
          <w:noProof/>
        </w:rPr>
        <w:tab/>
      </w:r>
      <w:r w:rsidRPr="00771320">
        <w:rPr>
          <w:noProof/>
        </w:rPr>
        <w:fldChar w:fldCharType="begin"/>
      </w:r>
      <w:r w:rsidRPr="00771320">
        <w:rPr>
          <w:noProof/>
        </w:rPr>
        <w:instrText xml:space="preserve"> PAGEREF _Toc201813382 \h </w:instrText>
      </w:r>
      <w:r w:rsidRPr="00771320">
        <w:rPr>
          <w:noProof/>
        </w:rPr>
      </w:r>
      <w:r w:rsidRPr="00771320">
        <w:rPr>
          <w:noProof/>
        </w:rPr>
        <w:fldChar w:fldCharType="separate"/>
      </w:r>
      <w:r w:rsidR="008D465F">
        <w:rPr>
          <w:noProof/>
        </w:rPr>
        <w:t>57</w:t>
      </w:r>
      <w:r w:rsidRPr="00771320">
        <w:rPr>
          <w:noProof/>
        </w:rPr>
        <w:fldChar w:fldCharType="end"/>
      </w:r>
    </w:p>
    <w:p w14:paraId="4800937B" w14:textId="4D8EB74E" w:rsidR="00C600B9" w:rsidRPr="00771320" w:rsidRDefault="00C600B9" w:rsidP="00C600B9">
      <w:pPr>
        <w:pStyle w:val="TOC5"/>
        <w:rPr>
          <w:rFonts w:asciiTheme="minorHAnsi" w:hAnsiTheme="minorHAnsi" w:cstheme="minorBidi"/>
          <w:noProof/>
          <w:kern w:val="2"/>
          <w14:ligatures w14:val="standardContextual"/>
        </w:rPr>
      </w:pPr>
      <w:r w:rsidRPr="00771320">
        <w:rPr>
          <w:noProof/>
        </w:rPr>
        <w:t>Referring to Adjusted HEDIS Measures and Rates</w:t>
      </w:r>
      <w:r w:rsidRPr="00771320">
        <w:rPr>
          <w:noProof/>
        </w:rPr>
        <w:tab/>
      </w:r>
      <w:r w:rsidRPr="00771320">
        <w:rPr>
          <w:noProof/>
        </w:rPr>
        <w:fldChar w:fldCharType="begin"/>
      </w:r>
      <w:r w:rsidRPr="00771320">
        <w:rPr>
          <w:noProof/>
        </w:rPr>
        <w:instrText xml:space="preserve"> PAGEREF _Toc201813383 \h </w:instrText>
      </w:r>
      <w:r w:rsidRPr="00771320">
        <w:rPr>
          <w:noProof/>
        </w:rPr>
      </w:r>
      <w:r w:rsidRPr="00771320">
        <w:rPr>
          <w:noProof/>
        </w:rPr>
        <w:fldChar w:fldCharType="separate"/>
      </w:r>
      <w:r w:rsidR="008D465F">
        <w:rPr>
          <w:noProof/>
        </w:rPr>
        <w:t>57</w:t>
      </w:r>
      <w:r w:rsidRPr="00771320">
        <w:rPr>
          <w:noProof/>
        </w:rPr>
        <w:fldChar w:fldCharType="end"/>
      </w:r>
    </w:p>
    <w:p w14:paraId="5926AFF9" w14:textId="644BCDE1" w:rsidR="00C600B9" w:rsidRPr="00771320" w:rsidRDefault="00C600B9" w:rsidP="00C600B9">
      <w:pPr>
        <w:pStyle w:val="TOC5"/>
        <w:rPr>
          <w:rFonts w:asciiTheme="minorHAnsi" w:hAnsiTheme="minorHAnsi" w:cstheme="minorBidi"/>
          <w:noProof/>
          <w:kern w:val="2"/>
          <w14:ligatures w14:val="standardContextual"/>
        </w:rPr>
      </w:pPr>
      <w:r w:rsidRPr="00771320">
        <w:rPr>
          <w:noProof/>
        </w:rPr>
        <w:t>Considerations and Guidelines for the Rules for Allowable Adjustments of HEDIS</w:t>
      </w:r>
      <w:r w:rsidRPr="00771320">
        <w:rPr>
          <w:noProof/>
        </w:rPr>
        <w:tab/>
      </w:r>
      <w:r w:rsidRPr="00771320">
        <w:rPr>
          <w:noProof/>
        </w:rPr>
        <w:fldChar w:fldCharType="begin"/>
      </w:r>
      <w:r w:rsidRPr="00771320">
        <w:rPr>
          <w:noProof/>
        </w:rPr>
        <w:instrText xml:space="preserve"> PAGEREF _Toc201813384 \h </w:instrText>
      </w:r>
      <w:r w:rsidRPr="00771320">
        <w:rPr>
          <w:noProof/>
        </w:rPr>
      </w:r>
      <w:r w:rsidRPr="00771320">
        <w:rPr>
          <w:noProof/>
        </w:rPr>
        <w:fldChar w:fldCharType="separate"/>
      </w:r>
      <w:r w:rsidR="008D465F">
        <w:rPr>
          <w:noProof/>
        </w:rPr>
        <w:t>58</w:t>
      </w:r>
      <w:r w:rsidRPr="00771320">
        <w:rPr>
          <w:noProof/>
        </w:rPr>
        <w:fldChar w:fldCharType="end"/>
      </w:r>
    </w:p>
    <w:p w14:paraId="3C39B893" w14:textId="0DFA9B3C" w:rsidR="00C600B9" w:rsidRPr="00771320" w:rsidRDefault="00C600B9" w:rsidP="00C600B9">
      <w:pPr>
        <w:pStyle w:val="TOC1"/>
        <w:rPr>
          <w:rFonts w:asciiTheme="minorHAnsi" w:eastAsiaTheme="minorEastAsia" w:hAnsiTheme="minorHAnsi" w:cstheme="minorBidi"/>
          <w:b w:val="0"/>
          <w:bCs w:val="0"/>
          <w:kern w:val="2"/>
          <w14:ligatures w14:val="standardContextual"/>
        </w:rPr>
      </w:pPr>
      <w:r w:rsidRPr="00771320">
        <w:t>Effectiveness of Care</w:t>
      </w:r>
      <w:r w:rsidR="00E87B8E">
        <w:t xml:space="preserve"> Measures</w:t>
      </w:r>
      <w:r w:rsidRPr="00771320">
        <w:tab/>
      </w:r>
      <w:r w:rsidRPr="00771320">
        <w:fldChar w:fldCharType="begin"/>
      </w:r>
      <w:r w:rsidRPr="00771320">
        <w:instrText xml:space="preserve"> PAGEREF _Toc201813385 \h </w:instrText>
      </w:r>
      <w:r w:rsidRPr="00771320">
        <w:fldChar w:fldCharType="separate"/>
      </w:r>
      <w:r w:rsidR="008D465F">
        <w:t>61</w:t>
      </w:r>
      <w:r w:rsidRPr="00771320">
        <w:fldChar w:fldCharType="end"/>
      </w:r>
    </w:p>
    <w:p w14:paraId="0D6AC66F" w14:textId="4C7A1A39" w:rsidR="00C600B9" w:rsidRPr="00771320" w:rsidRDefault="00C600B9" w:rsidP="00C600B9">
      <w:pPr>
        <w:pStyle w:val="TOC2"/>
        <w:rPr>
          <w:rFonts w:asciiTheme="minorHAnsi" w:eastAsiaTheme="minorEastAsia" w:hAnsiTheme="minorHAnsi" w:cstheme="minorBidi"/>
          <w:b w:val="0"/>
          <w:bCs w:val="0"/>
          <w:i w:val="0"/>
          <w:kern w:val="2"/>
          <w14:ligatures w14:val="standardContextual"/>
        </w:rPr>
      </w:pPr>
      <w:r w:rsidRPr="00771320">
        <w:t>Prevention and Screening</w:t>
      </w:r>
      <w:r w:rsidRPr="00771320">
        <w:tab/>
      </w:r>
      <w:r w:rsidRPr="00771320">
        <w:fldChar w:fldCharType="begin"/>
      </w:r>
      <w:r w:rsidRPr="00771320">
        <w:instrText xml:space="preserve"> PAGEREF _Toc201813386 \h </w:instrText>
      </w:r>
      <w:r w:rsidRPr="00771320">
        <w:fldChar w:fldCharType="separate"/>
      </w:r>
      <w:r w:rsidR="008D465F">
        <w:t>61</w:t>
      </w:r>
      <w:r w:rsidRPr="00771320">
        <w:fldChar w:fldCharType="end"/>
      </w:r>
    </w:p>
    <w:p w14:paraId="544B3A6F" w14:textId="371CFB88"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Weight Assessment and Counseling for Nutrition and Physical Activity for Children/</w:t>
      </w:r>
      <w:r w:rsidRPr="00771320">
        <w:rPr>
          <w:noProof/>
        </w:rPr>
        <w:br/>
        <w:t>Adolescents (WCC)</w:t>
      </w:r>
      <w:r w:rsidRPr="00771320">
        <w:rPr>
          <w:noProof/>
        </w:rPr>
        <w:tab/>
      </w:r>
      <w:r w:rsidRPr="00771320">
        <w:rPr>
          <w:noProof/>
        </w:rPr>
        <w:fldChar w:fldCharType="begin"/>
      </w:r>
      <w:r w:rsidRPr="00771320">
        <w:rPr>
          <w:noProof/>
        </w:rPr>
        <w:instrText xml:space="preserve"> PAGEREF _Toc201813387 \h </w:instrText>
      </w:r>
      <w:r w:rsidRPr="00771320">
        <w:rPr>
          <w:noProof/>
        </w:rPr>
      </w:r>
      <w:r w:rsidRPr="00771320">
        <w:rPr>
          <w:noProof/>
        </w:rPr>
        <w:fldChar w:fldCharType="separate"/>
      </w:r>
      <w:r w:rsidR="008D465F">
        <w:rPr>
          <w:noProof/>
        </w:rPr>
        <w:t>62</w:t>
      </w:r>
      <w:r w:rsidRPr="00771320">
        <w:rPr>
          <w:noProof/>
        </w:rPr>
        <w:fldChar w:fldCharType="end"/>
      </w:r>
    </w:p>
    <w:p w14:paraId="650D914F" w14:textId="52433ADC"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Chlamydia Screening (CHL)</w:t>
      </w:r>
      <w:r w:rsidRPr="00771320">
        <w:rPr>
          <w:noProof/>
        </w:rPr>
        <w:tab/>
      </w:r>
      <w:r w:rsidRPr="00771320">
        <w:rPr>
          <w:noProof/>
        </w:rPr>
        <w:fldChar w:fldCharType="begin"/>
      </w:r>
      <w:r w:rsidRPr="00771320">
        <w:rPr>
          <w:noProof/>
        </w:rPr>
        <w:instrText xml:space="preserve"> PAGEREF _Toc201813388 \h </w:instrText>
      </w:r>
      <w:r w:rsidRPr="00771320">
        <w:rPr>
          <w:noProof/>
        </w:rPr>
      </w:r>
      <w:r w:rsidRPr="00771320">
        <w:rPr>
          <w:noProof/>
        </w:rPr>
        <w:fldChar w:fldCharType="separate"/>
      </w:r>
      <w:r w:rsidR="008D465F">
        <w:rPr>
          <w:noProof/>
        </w:rPr>
        <w:t>69</w:t>
      </w:r>
      <w:r w:rsidRPr="00771320">
        <w:rPr>
          <w:noProof/>
        </w:rPr>
        <w:fldChar w:fldCharType="end"/>
      </w:r>
    </w:p>
    <w:p w14:paraId="548C6D7F" w14:textId="44FF9211"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Care for Older Adults (COA)</w:t>
      </w:r>
      <w:r w:rsidRPr="00771320">
        <w:rPr>
          <w:noProof/>
        </w:rPr>
        <w:tab/>
      </w:r>
      <w:r w:rsidRPr="00771320">
        <w:rPr>
          <w:noProof/>
        </w:rPr>
        <w:fldChar w:fldCharType="begin"/>
      </w:r>
      <w:r w:rsidRPr="00771320">
        <w:rPr>
          <w:noProof/>
        </w:rPr>
        <w:instrText xml:space="preserve"> PAGEREF _Toc201813389 \h </w:instrText>
      </w:r>
      <w:r w:rsidRPr="00771320">
        <w:rPr>
          <w:noProof/>
        </w:rPr>
      </w:r>
      <w:r w:rsidRPr="00771320">
        <w:rPr>
          <w:noProof/>
        </w:rPr>
        <w:fldChar w:fldCharType="separate"/>
      </w:r>
      <w:r w:rsidR="008D465F">
        <w:rPr>
          <w:noProof/>
        </w:rPr>
        <w:t>73</w:t>
      </w:r>
      <w:r w:rsidRPr="00771320">
        <w:rPr>
          <w:noProof/>
        </w:rPr>
        <w:fldChar w:fldCharType="end"/>
      </w:r>
    </w:p>
    <w:p w14:paraId="2A518D43" w14:textId="00C1AC33"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Oral Evaluation, Dental Services (OED)</w:t>
      </w:r>
      <w:r w:rsidRPr="00771320">
        <w:rPr>
          <w:noProof/>
        </w:rPr>
        <w:tab/>
      </w:r>
      <w:r w:rsidRPr="00771320">
        <w:rPr>
          <w:noProof/>
        </w:rPr>
        <w:fldChar w:fldCharType="begin"/>
      </w:r>
      <w:r w:rsidRPr="00771320">
        <w:rPr>
          <w:noProof/>
        </w:rPr>
        <w:instrText xml:space="preserve"> PAGEREF _Toc201813390 \h </w:instrText>
      </w:r>
      <w:r w:rsidRPr="00771320">
        <w:rPr>
          <w:noProof/>
        </w:rPr>
      </w:r>
      <w:r w:rsidRPr="00771320">
        <w:rPr>
          <w:noProof/>
        </w:rPr>
        <w:fldChar w:fldCharType="separate"/>
      </w:r>
      <w:r w:rsidR="008D465F">
        <w:rPr>
          <w:noProof/>
        </w:rPr>
        <w:t>79</w:t>
      </w:r>
      <w:r w:rsidRPr="00771320">
        <w:rPr>
          <w:noProof/>
        </w:rPr>
        <w:fldChar w:fldCharType="end"/>
      </w:r>
    </w:p>
    <w:p w14:paraId="15A4FAF1" w14:textId="5F8430EA"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Topical Fluoride for Children (TFC)</w:t>
      </w:r>
      <w:r w:rsidRPr="00771320">
        <w:rPr>
          <w:noProof/>
        </w:rPr>
        <w:tab/>
      </w:r>
      <w:r w:rsidRPr="00771320">
        <w:rPr>
          <w:noProof/>
        </w:rPr>
        <w:fldChar w:fldCharType="begin"/>
      </w:r>
      <w:r w:rsidRPr="00771320">
        <w:rPr>
          <w:noProof/>
        </w:rPr>
        <w:instrText xml:space="preserve"> PAGEREF _Toc201813391 \h </w:instrText>
      </w:r>
      <w:r w:rsidRPr="00771320">
        <w:rPr>
          <w:noProof/>
        </w:rPr>
      </w:r>
      <w:r w:rsidRPr="00771320">
        <w:rPr>
          <w:noProof/>
        </w:rPr>
        <w:fldChar w:fldCharType="separate"/>
      </w:r>
      <w:r w:rsidR="008D465F">
        <w:rPr>
          <w:noProof/>
        </w:rPr>
        <w:t>82</w:t>
      </w:r>
      <w:r w:rsidRPr="00771320">
        <w:rPr>
          <w:noProof/>
        </w:rPr>
        <w:fldChar w:fldCharType="end"/>
      </w:r>
    </w:p>
    <w:p w14:paraId="72BFF10D" w14:textId="77777777" w:rsidR="00F127DD" w:rsidRPr="00771320" w:rsidRDefault="00F127DD">
      <w:pPr>
        <w:rPr>
          <w:b/>
          <w:bCs/>
          <w:i/>
          <w:noProof/>
          <w:sz w:val="20"/>
        </w:rPr>
      </w:pPr>
      <w:r w:rsidRPr="00771320">
        <w:rPr>
          <w:noProof/>
          <w:sz w:val="20"/>
        </w:rPr>
        <w:br w:type="page"/>
      </w:r>
    </w:p>
    <w:p w14:paraId="0AA263F6" w14:textId="7ED4553D" w:rsidR="00C600B9" w:rsidRPr="00771320" w:rsidRDefault="00C600B9" w:rsidP="00C600B9">
      <w:pPr>
        <w:pStyle w:val="TOC2"/>
        <w:rPr>
          <w:rFonts w:asciiTheme="minorHAnsi" w:eastAsiaTheme="minorEastAsia" w:hAnsiTheme="minorHAnsi" w:cstheme="minorBidi"/>
          <w:b w:val="0"/>
          <w:bCs w:val="0"/>
          <w:i w:val="0"/>
          <w:kern w:val="2"/>
          <w14:ligatures w14:val="standardContextual"/>
        </w:rPr>
      </w:pPr>
      <w:r w:rsidRPr="00771320">
        <w:lastRenderedPageBreak/>
        <w:t>Respiratory Conditions</w:t>
      </w:r>
      <w:r w:rsidRPr="00771320">
        <w:tab/>
      </w:r>
      <w:r w:rsidRPr="00771320">
        <w:fldChar w:fldCharType="begin"/>
      </w:r>
      <w:r w:rsidRPr="00771320">
        <w:instrText xml:space="preserve"> PAGEREF _Toc201813392 \h </w:instrText>
      </w:r>
      <w:r w:rsidRPr="00771320">
        <w:fldChar w:fldCharType="separate"/>
      </w:r>
      <w:r w:rsidR="008D465F">
        <w:t>85</w:t>
      </w:r>
      <w:r w:rsidRPr="00771320">
        <w:fldChar w:fldCharType="end"/>
      </w:r>
    </w:p>
    <w:p w14:paraId="12E190D6" w14:textId="7FEF7BC4"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Appropriate Testing for Pharyngitis (CWP)</w:t>
      </w:r>
      <w:r w:rsidRPr="00771320">
        <w:rPr>
          <w:noProof/>
        </w:rPr>
        <w:tab/>
      </w:r>
      <w:r w:rsidRPr="00771320">
        <w:rPr>
          <w:noProof/>
        </w:rPr>
        <w:fldChar w:fldCharType="begin"/>
      </w:r>
      <w:r w:rsidRPr="00771320">
        <w:rPr>
          <w:noProof/>
        </w:rPr>
        <w:instrText xml:space="preserve"> PAGEREF _Toc201813393 \h </w:instrText>
      </w:r>
      <w:r w:rsidRPr="00771320">
        <w:rPr>
          <w:noProof/>
        </w:rPr>
      </w:r>
      <w:r w:rsidRPr="00771320">
        <w:rPr>
          <w:noProof/>
        </w:rPr>
        <w:fldChar w:fldCharType="separate"/>
      </w:r>
      <w:r w:rsidR="008D465F">
        <w:rPr>
          <w:noProof/>
        </w:rPr>
        <w:t>86</w:t>
      </w:r>
      <w:r w:rsidRPr="00771320">
        <w:rPr>
          <w:noProof/>
        </w:rPr>
        <w:fldChar w:fldCharType="end"/>
      </w:r>
    </w:p>
    <w:p w14:paraId="727E2B9E" w14:textId="4AF58C25"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Pharmacotherapy Management of COPD Exacerbation (PCE)</w:t>
      </w:r>
      <w:r w:rsidRPr="00771320">
        <w:rPr>
          <w:noProof/>
        </w:rPr>
        <w:tab/>
      </w:r>
      <w:r w:rsidRPr="00771320">
        <w:rPr>
          <w:noProof/>
        </w:rPr>
        <w:fldChar w:fldCharType="begin"/>
      </w:r>
      <w:r w:rsidRPr="00771320">
        <w:rPr>
          <w:noProof/>
        </w:rPr>
        <w:instrText xml:space="preserve"> PAGEREF _Toc201813394 \h </w:instrText>
      </w:r>
      <w:r w:rsidRPr="00771320">
        <w:rPr>
          <w:noProof/>
        </w:rPr>
      </w:r>
      <w:r w:rsidRPr="00771320">
        <w:rPr>
          <w:noProof/>
        </w:rPr>
        <w:fldChar w:fldCharType="separate"/>
      </w:r>
      <w:r w:rsidR="008D465F">
        <w:rPr>
          <w:noProof/>
        </w:rPr>
        <w:t>91</w:t>
      </w:r>
      <w:r w:rsidRPr="00771320">
        <w:rPr>
          <w:noProof/>
        </w:rPr>
        <w:fldChar w:fldCharType="end"/>
      </w:r>
    </w:p>
    <w:p w14:paraId="6D5C5058" w14:textId="420DE2C9" w:rsidR="00C600B9" w:rsidRPr="00771320" w:rsidRDefault="00C600B9" w:rsidP="00C600B9">
      <w:pPr>
        <w:pStyle w:val="TOC2"/>
        <w:rPr>
          <w:rFonts w:asciiTheme="minorHAnsi" w:eastAsiaTheme="minorEastAsia" w:hAnsiTheme="minorHAnsi" w:cstheme="minorBidi"/>
          <w:b w:val="0"/>
          <w:bCs w:val="0"/>
          <w:i w:val="0"/>
          <w:kern w:val="2"/>
          <w14:ligatures w14:val="standardContextual"/>
        </w:rPr>
      </w:pPr>
      <w:r w:rsidRPr="00771320">
        <w:t>Cardiovascular Conditions</w:t>
      </w:r>
      <w:r w:rsidRPr="00771320">
        <w:tab/>
      </w:r>
      <w:r w:rsidRPr="00771320">
        <w:fldChar w:fldCharType="begin"/>
      </w:r>
      <w:r w:rsidRPr="00771320">
        <w:instrText xml:space="preserve"> PAGEREF _Toc201813395 \h </w:instrText>
      </w:r>
      <w:r w:rsidRPr="00771320">
        <w:fldChar w:fldCharType="separate"/>
      </w:r>
      <w:r w:rsidR="008D465F">
        <w:t>96</w:t>
      </w:r>
      <w:r w:rsidRPr="00771320">
        <w:fldChar w:fldCharType="end"/>
      </w:r>
    </w:p>
    <w:p w14:paraId="09833B3B" w14:textId="16D8A265"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Controlling High Blood Pressure (CBP)</w:t>
      </w:r>
      <w:r w:rsidRPr="00771320">
        <w:rPr>
          <w:noProof/>
        </w:rPr>
        <w:tab/>
      </w:r>
      <w:r w:rsidRPr="00771320">
        <w:rPr>
          <w:noProof/>
        </w:rPr>
        <w:fldChar w:fldCharType="begin"/>
      </w:r>
      <w:r w:rsidRPr="00771320">
        <w:rPr>
          <w:noProof/>
        </w:rPr>
        <w:instrText xml:space="preserve"> PAGEREF _Toc201813396 \h </w:instrText>
      </w:r>
      <w:r w:rsidRPr="00771320">
        <w:rPr>
          <w:noProof/>
        </w:rPr>
      </w:r>
      <w:r w:rsidRPr="00771320">
        <w:rPr>
          <w:noProof/>
        </w:rPr>
        <w:fldChar w:fldCharType="separate"/>
      </w:r>
      <w:r w:rsidR="008D465F">
        <w:rPr>
          <w:noProof/>
        </w:rPr>
        <w:t>97</w:t>
      </w:r>
      <w:r w:rsidRPr="00771320">
        <w:rPr>
          <w:noProof/>
        </w:rPr>
        <w:fldChar w:fldCharType="end"/>
      </w:r>
    </w:p>
    <w:p w14:paraId="0A83F245" w14:textId="57AD24DD"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Persistence of Beta-Blocker Treatment After a Heart Attack (PBH)</w:t>
      </w:r>
      <w:r w:rsidRPr="00771320">
        <w:rPr>
          <w:noProof/>
        </w:rPr>
        <w:tab/>
      </w:r>
      <w:r w:rsidRPr="00771320">
        <w:rPr>
          <w:noProof/>
        </w:rPr>
        <w:fldChar w:fldCharType="begin"/>
      </w:r>
      <w:r w:rsidRPr="00771320">
        <w:rPr>
          <w:noProof/>
        </w:rPr>
        <w:instrText xml:space="preserve"> PAGEREF _Toc201813397 \h </w:instrText>
      </w:r>
      <w:r w:rsidRPr="00771320">
        <w:rPr>
          <w:noProof/>
        </w:rPr>
      </w:r>
      <w:r w:rsidRPr="00771320">
        <w:rPr>
          <w:noProof/>
        </w:rPr>
        <w:fldChar w:fldCharType="separate"/>
      </w:r>
      <w:r w:rsidR="008D465F">
        <w:rPr>
          <w:noProof/>
        </w:rPr>
        <w:t>106</w:t>
      </w:r>
      <w:r w:rsidRPr="00771320">
        <w:rPr>
          <w:noProof/>
        </w:rPr>
        <w:fldChar w:fldCharType="end"/>
      </w:r>
    </w:p>
    <w:p w14:paraId="02F1FE83" w14:textId="5689BD3B"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Cardiac Rehabilitation (CRE)</w:t>
      </w:r>
      <w:r w:rsidRPr="00771320">
        <w:rPr>
          <w:noProof/>
        </w:rPr>
        <w:tab/>
      </w:r>
      <w:r w:rsidRPr="00771320">
        <w:rPr>
          <w:noProof/>
        </w:rPr>
        <w:fldChar w:fldCharType="begin"/>
      </w:r>
      <w:r w:rsidRPr="00771320">
        <w:rPr>
          <w:noProof/>
        </w:rPr>
        <w:instrText xml:space="preserve"> PAGEREF _Toc201813398 \h </w:instrText>
      </w:r>
      <w:r w:rsidRPr="00771320">
        <w:rPr>
          <w:noProof/>
        </w:rPr>
      </w:r>
      <w:r w:rsidRPr="00771320">
        <w:rPr>
          <w:noProof/>
        </w:rPr>
        <w:fldChar w:fldCharType="separate"/>
      </w:r>
      <w:r w:rsidR="008D465F">
        <w:rPr>
          <w:noProof/>
        </w:rPr>
        <w:t>112</w:t>
      </w:r>
      <w:r w:rsidRPr="00771320">
        <w:rPr>
          <w:noProof/>
        </w:rPr>
        <w:fldChar w:fldCharType="end"/>
      </w:r>
    </w:p>
    <w:p w14:paraId="18BD98F8" w14:textId="53D27439" w:rsidR="00C600B9" w:rsidRPr="00771320" w:rsidRDefault="00C600B9" w:rsidP="00C600B9">
      <w:pPr>
        <w:pStyle w:val="TOC2"/>
        <w:rPr>
          <w:rFonts w:asciiTheme="minorHAnsi" w:eastAsiaTheme="minorEastAsia" w:hAnsiTheme="minorHAnsi" w:cstheme="minorBidi"/>
          <w:b w:val="0"/>
          <w:bCs w:val="0"/>
          <w:i w:val="0"/>
          <w:kern w:val="2"/>
          <w14:ligatures w14:val="standardContextual"/>
        </w:rPr>
      </w:pPr>
      <w:r w:rsidRPr="00771320">
        <w:t>Diabetes</w:t>
      </w:r>
      <w:r w:rsidRPr="00771320">
        <w:tab/>
      </w:r>
      <w:r w:rsidRPr="00771320">
        <w:fldChar w:fldCharType="begin"/>
      </w:r>
      <w:r w:rsidRPr="00771320">
        <w:instrText xml:space="preserve"> PAGEREF _Toc201813399 \h </w:instrText>
      </w:r>
      <w:r w:rsidRPr="00771320">
        <w:fldChar w:fldCharType="separate"/>
      </w:r>
      <w:r w:rsidR="008D465F">
        <w:t>118</w:t>
      </w:r>
      <w:r w:rsidRPr="00771320">
        <w:fldChar w:fldCharType="end"/>
      </w:r>
    </w:p>
    <w:p w14:paraId="3CA23079" w14:textId="5EBC4532"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Glycemic Status Assessment for Patients With Diabetes (GSD)</w:t>
      </w:r>
      <w:r w:rsidRPr="00771320">
        <w:rPr>
          <w:noProof/>
        </w:rPr>
        <w:tab/>
      </w:r>
      <w:r w:rsidRPr="00771320">
        <w:rPr>
          <w:noProof/>
        </w:rPr>
        <w:fldChar w:fldCharType="begin"/>
      </w:r>
      <w:r w:rsidRPr="00771320">
        <w:rPr>
          <w:noProof/>
        </w:rPr>
        <w:instrText xml:space="preserve"> PAGEREF _Toc201813400 \h </w:instrText>
      </w:r>
      <w:r w:rsidRPr="00771320">
        <w:rPr>
          <w:noProof/>
        </w:rPr>
      </w:r>
      <w:r w:rsidRPr="00771320">
        <w:rPr>
          <w:noProof/>
        </w:rPr>
        <w:fldChar w:fldCharType="separate"/>
      </w:r>
      <w:r w:rsidR="008D465F">
        <w:rPr>
          <w:noProof/>
        </w:rPr>
        <w:t>119</w:t>
      </w:r>
      <w:r w:rsidRPr="00771320">
        <w:rPr>
          <w:noProof/>
        </w:rPr>
        <w:fldChar w:fldCharType="end"/>
      </w:r>
    </w:p>
    <w:p w14:paraId="352A5C49" w14:textId="5620F08C"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Blood Pressure Control for Patients With Diabetes (BPD)</w:t>
      </w:r>
      <w:r w:rsidRPr="00771320">
        <w:rPr>
          <w:noProof/>
        </w:rPr>
        <w:tab/>
      </w:r>
      <w:r w:rsidRPr="00771320">
        <w:rPr>
          <w:noProof/>
        </w:rPr>
        <w:fldChar w:fldCharType="begin"/>
      </w:r>
      <w:r w:rsidRPr="00771320">
        <w:rPr>
          <w:noProof/>
        </w:rPr>
        <w:instrText xml:space="preserve"> PAGEREF _Toc201813401 \h </w:instrText>
      </w:r>
      <w:r w:rsidRPr="00771320">
        <w:rPr>
          <w:noProof/>
        </w:rPr>
      </w:r>
      <w:r w:rsidRPr="00771320">
        <w:rPr>
          <w:noProof/>
        </w:rPr>
        <w:fldChar w:fldCharType="separate"/>
      </w:r>
      <w:r w:rsidR="008D465F">
        <w:rPr>
          <w:noProof/>
        </w:rPr>
        <w:t>128</w:t>
      </w:r>
      <w:r w:rsidRPr="00771320">
        <w:rPr>
          <w:noProof/>
        </w:rPr>
        <w:fldChar w:fldCharType="end"/>
      </w:r>
    </w:p>
    <w:p w14:paraId="35233D8D" w14:textId="7D2F961C"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Eye Exam for Patients With Diabetes (EED)</w:t>
      </w:r>
      <w:r w:rsidRPr="00771320">
        <w:rPr>
          <w:noProof/>
        </w:rPr>
        <w:tab/>
      </w:r>
      <w:r w:rsidRPr="00771320">
        <w:rPr>
          <w:noProof/>
        </w:rPr>
        <w:fldChar w:fldCharType="begin"/>
      </w:r>
      <w:r w:rsidRPr="00771320">
        <w:rPr>
          <w:noProof/>
        </w:rPr>
        <w:instrText xml:space="preserve"> PAGEREF _Toc201813402 \h </w:instrText>
      </w:r>
      <w:r w:rsidRPr="00771320">
        <w:rPr>
          <w:noProof/>
        </w:rPr>
      </w:r>
      <w:r w:rsidRPr="00771320">
        <w:rPr>
          <w:noProof/>
        </w:rPr>
        <w:fldChar w:fldCharType="separate"/>
      </w:r>
      <w:r w:rsidR="008D465F">
        <w:rPr>
          <w:noProof/>
        </w:rPr>
        <w:t>135</w:t>
      </w:r>
      <w:r w:rsidRPr="00771320">
        <w:rPr>
          <w:noProof/>
        </w:rPr>
        <w:fldChar w:fldCharType="end"/>
      </w:r>
    </w:p>
    <w:p w14:paraId="23FD2CAE" w14:textId="52F56F3A"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Kidney Health Evaluation for Patients With Diabetes (KED)</w:t>
      </w:r>
      <w:r w:rsidRPr="00771320">
        <w:rPr>
          <w:noProof/>
        </w:rPr>
        <w:tab/>
      </w:r>
      <w:r w:rsidRPr="00771320">
        <w:rPr>
          <w:noProof/>
        </w:rPr>
        <w:fldChar w:fldCharType="begin"/>
      </w:r>
      <w:r w:rsidRPr="00771320">
        <w:rPr>
          <w:noProof/>
        </w:rPr>
        <w:instrText xml:space="preserve"> PAGEREF _Toc201813403 \h </w:instrText>
      </w:r>
      <w:r w:rsidRPr="00771320">
        <w:rPr>
          <w:noProof/>
        </w:rPr>
      </w:r>
      <w:r w:rsidRPr="00771320">
        <w:rPr>
          <w:noProof/>
        </w:rPr>
        <w:fldChar w:fldCharType="separate"/>
      </w:r>
      <w:r w:rsidR="008D465F">
        <w:rPr>
          <w:noProof/>
        </w:rPr>
        <w:t>143</w:t>
      </w:r>
      <w:r w:rsidRPr="00771320">
        <w:rPr>
          <w:noProof/>
        </w:rPr>
        <w:fldChar w:fldCharType="end"/>
      </w:r>
    </w:p>
    <w:p w14:paraId="42A7DC9D" w14:textId="4B0666BD" w:rsidR="00C600B9" w:rsidRPr="00771320" w:rsidRDefault="00C600B9" w:rsidP="00C600B9">
      <w:pPr>
        <w:pStyle w:val="TOC2"/>
        <w:rPr>
          <w:rFonts w:asciiTheme="minorHAnsi" w:eastAsiaTheme="minorEastAsia" w:hAnsiTheme="minorHAnsi" w:cstheme="minorBidi"/>
          <w:b w:val="0"/>
          <w:bCs w:val="0"/>
          <w:i w:val="0"/>
          <w:kern w:val="2"/>
          <w14:ligatures w14:val="standardContextual"/>
        </w:rPr>
      </w:pPr>
      <w:r w:rsidRPr="00771320">
        <w:t>Musculoskeletal Conditions</w:t>
      </w:r>
      <w:r w:rsidRPr="00771320">
        <w:tab/>
      </w:r>
      <w:r w:rsidRPr="00771320">
        <w:fldChar w:fldCharType="begin"/>
      </w:r>
      <w:r w:rsidRPr="00771320">
        <w:instrText xml:space="preserve"> PAGEREF _Toc201813404 \h </w:instrText>
      </w:r>
      <w:r w:rsidRPr="00771320">
        <w:fldChar w:fldCharType="separate"/>
      </w:r>
      <w:r w:rsidR="008D465F">
        <w:t>149</w:t>
      </w:r>
      <w:r w:rsidRPr="00771320">
        <w:fldChar w:fldCharType="end"/>
      </w:r>
    </w:p>
    <w:p w14:paraId="3CC73EDD" w14:textId="51EB26EB"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Osteoporosis Management in Women Who Had a Fracture (OMW)</w:t>
      </w:r>
      <w:r w:rsidRPr="00771320">
        <w:rPr>
          <w:noProof/>
        </w:rPr>
        <w:tab/>
      </w:r>
      <w:r w:rsidRPr="00771320">
        <w:rPr>
          <w:noProof/>
        </w:rPr>
        <w:fldChar w:fldCharType="begin"/>
      </w:r>
      <w:r w:rsidRPr="00771320">
        <w:rPr>
          <w:noProof/>
        </w:rPr>
        <w:instrText xml:space="preserve"> PAGEREF _Toc201813405 \h </w:instrText>
      </w:r>
      <w:r w:rsidRPr="00771320">
        <w:rPr>
          <w:noProof/>
        </w:rPr>
      </w:r>
      <w:r w:rsidRPr="00771320">
        <w:rPr>
          <w:noProof/>
        </w:rPr>
        <w:fldChar w:fldCharType="separate"/>
      </w:r>
      <w:r w:rsidR="008D465F">
        <w:rPr>
          <w:noProof/>
        </w:rPr>
        <w:t>150</w:t>
      </w:r>
      <w:r w:rsidRPr="00771320">
        <w:rPr>
          <w:noProof/>
        </w:rPr>
        <w:fldChar w:fldCharType="end"/>
      </w:r>
    </w:p>
    <w:p w14:paraId="42C3773B" w14:textId="6871A1BD"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Osteoporosis Screening in Older Women (OSW)</w:t>
      </w:r>
      <w:r w:rsidRPr="00771320">
        <w:rPr>
          <w:noProof/>
        </w:rPr>
        <w:tab/>
      </w:r>
      <w:r w:rsidRPr="00771320">
        <w:rPr>
          <w:noProof/>
        </w:rPr>
        <w:fldChar w:fldCharType="begin"/>
      </w:r>
      <w:r w:rsidRPr="00771320">
        <w:rPr>
          <w:noProof/>
        </w:rPr>
        <w:instrText xml:space="preserve"> PAGEREF _Toc201813406 \h </w:instrText>
      </w:r>
      <w:r w:rsidRPr="00771320">
        <w:rPr>
          <w:noProof/>
        </w:rPr>
      </w:r>
      <w:r w:rsidRPr="00771320">
        <w:rPr>
          <w:noProof/>
        </w:rPr>
        <w:fldChar w:fldCharType="separate"/>
      </w:r>
      <w:r w:rsidR="008D465F">
        <w:rPr>
          <w:noProof/>
        </w:rPr>
        <w:t>157</w:t>
      </w:r>
      <w:r w:rsidRPr="00771320">
        <w:rPr>
          <w:noProof/>
        </w:rPr>
        <w:fldChar w:fldCharType="end"/>
      </w:r>
    </w:p>
    <w:p w14:paraId="5FC1EF31" w14:textId="1D68DA5E" w:rsidR="00C600B9" w:rsidRPr="00771320" w:rsidRDefault="00C600B9" w:rsidP="00C600B9">
      <w:pPr>
        <w:pStyle w:val="TOC2"/>
        <w:rPr>
          <w:rFonts w:asciiTheme="minorHAnsi" w:eastAsiaTheme="minorEastAsia" w:hAnsiTheme="minorHAnsi" w:cstheme="minorBidi"/>
          <w:b w:val="0"/>
          <w:bCs w:val="0"/>
          <w:i w:val="0"/>
          <w:kern w:val="2"/>
          <w14:ligatures w14:val="standardContextual"/>
        </w:rPr>
      </w:pPr>
      <w:r w:rsidRPr="00771320">
        <w:t>Behavioral Health</w:t>
      </w:r>
      <w:r w:rsidRPr="00771320">
        <w:tab/>
      </w:r>
      <w:r w:rsidRPr="00771320">
        <w:fldChar w:fldCharType="begin"/>
      </w:r>
      <w:r w:rsidRPr="00771320">
        <w:instrText xml:space="preserve"> PAGEREF _Toc201813407 \h </w:instrText>
      </w:r>
      <w:r w:rsidRPr="00771320">
        <w:fldChar w:fldCharType="separate"/>
      </w:r>
      <w:r w:rsidR="008D465F">
        <w:t>161</w:t>
      </w:r>
      <w:r w:rsidRPr="00771320">
        <w:fldChar w:fldCharType="end"/>
      </w:r>
    </w:p>
    <w:p w14:paraId="2E02260F" w14:textId="16763E38"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Diagnosed Mental Health Disorders (DMH)</w:t>
      </w:r>
      <w:r w:rsidRPr="00771320">
        <w:rPr>
          <w:noProof/>
        </w:rPr>
        <w:tab/>
      </w:r>
      <w:r w:rsidRPr="00771320">
        <w:rPr>
          <w:noProof/>
        </w:rPr>
        <w:fldChar w:fldCharType="begin"/>
      </w:r>
      <w:r w:rsidRPr="00771320">
        <w:rPr>
          <w:noProof/>
        </w:rPr>
        <w:instrText xml:space="preserve"> PAGEREF _Toc201813408 \h </w:instrText>
      </w:r>
      <w:r w:rsidRPr="00771320">
        <w:rPr>
          <w:noProof/>
        </w:rPr>
      </w:r>
      <w:r w:rsidRPr="00771320">
        <w:rPr>
          <w:noProof/>
        </w:rPr>
        <w:fldChar w:fldCharType="separate"/>
      </w:r>
      <w:r w:rsidR="008D465F">
        <w:rPr>
          <w:noProof/>
        </w:rPr>
        <w:t>162</w:t>
      </w:r>
      <w:r w:rsidRPr="00771320">
        <w:rPr>
          <w:noProof/>
        </w:rPr>
        <w:fldChar w:fldCharType="end"/>
      </w:r>
    </w:p>
    <w:p w14:paraId="237ADF93" w14:textId="45496289"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Follow-Up After Hospitalization for Mental Illness (FUH)</w:t>
      </w:r>
      <w:r w:rsidRPr="00771320">
        <w:rPr>
          <w:noProof/>
        </w:rPr>
        <w:tab/>
      </w:r>
      <w:r w:rsidRPr="00771320">
        <w:rPr>
          <w:noProof/>
        </w:rPr>
        <w:fldChar w:fldCharType="begin"/>
      </w:r>
      <w:r w:rsidRPr="00771320">
        <w:rPr>
          <w:noProof/>
        </w:rPr>
        <w:instrText xml:space="preserve"> PAGEREF _Toc201813409 \h </w:instrText>
      </w:r>
      <w:r w:rsidRPr="00771320">
        <w:rPr>
          <w:noProof/>
        </w:rPr>
      </w:r>
      <w:r w:rsidRPr="00771320">
        <w:rPr>
          <w:noProof/>
        </w:rPr>
        <w:fldChar w:fldCharType="separate"/>
      </w:r>
      <w:r w:rsidR="008D465F">
        <w:rPr>
          <w:noProof/>
        </w:rPr>
        <w:t>165</w:t>
      </w:r>
      <w:r w:rsidRPr="00771320">
        <w:rPr>
          <w:noProof/>
        </w:rPr>
        <w:fldChar w:fldCharType="end"/>
      </w:r>
    </w:p>
    <w:p w14:paraId="3BDFC0E0" w14:textId="1E9F2A75"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Follow-Up After Emergency Department Visit for Mental Illness (FUM)</w:t>
      </w:r>
      <w:r w:rsidRPr="00771320">
        <w:rPr>
          <w:noProof/>
        </w:rPr>
        <w:tab/>
      </w:r>
      <w:r w:rsidRPr="00771320">
        <w:rPr>
          <w:noProof/>
        </w:rPr>
        <w:fldChar w:fldCharType="begin"/>
      </w:r>
      <w:r w:rsidRPr="00771320">
        <w:rPr>
          <w:noProof/>
        </w:rPr>
        <w:instrText xml:space="preserve"> PAGEREF _Toc201813410 \h </w:instrText>
      </w:r>
      <w:r w:rsidRPr="00771320">
        <w:rPr>
          <w:noProof/>
        </w:rPr>
      </w:r>
      <w:r w:rsidRPr="00771320">
        <w:rPr>
          <w:noProof/>
        </w:rPr>
        <w:fldChar w:fldCharType="separate"/>
      </w:r>
      <w:r w:rsidR="008D465F">
        <w:rPr>
          <w:noProof/>
        </w:rPr>
        <w:t>172</w:t>
      </w:r>
      <w:r w:rsidRPr="00771320">
        <w:rPr>
          <w:noProof/>
        </w:rPr>
        <w:fldChar w:fldCharType="end"/>
      </w:r>
    </w:p>
    <w:p w14:paraId="11F72D3D" w14:textId="54C47989"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Diagnosed Substance Use Disorders (DSU)</w:t>
      </w:r>
      <w:r w:rsidRPr="00771320">
        <w:rPr>
          <w:noProof/>
        </w:rPr>
        <w:tab/>
      </w:r>
      <w:r w:rsidRPr="00771320">
        <w:rPr>
          <w:noProof/>
        </w:rPr>
        <w:fldChar w:fldCharType="begin"/>
      </w:r>
      <w:r w:rsidRPr="00771320">
        <w:rPr>
          <w:noProof/>
        </w:rPr>
        <w:instrText xml:space="preserve"> PAGEREF _Toc201813411 \h </w:instrText>
      </w:r>
      <w:r w:rsidRPr="00771320">
        <w:rPr>
          <w:noProof/>
        </w:rPr>
      </w:r>
      <w:r w:rsidRPr="00771320">
        <w:rPr>
          <w:noProof/>
        </w:rPr>
        <w:fldChar w:fldCharType="separate"/>
      </w:r>
      <w:r w:rsidR="008D465F">
        <w:rPr>
          <w:noProof/>
        </w:rPr>
        <w:t>179</w:t>
      </w:r>
      <w:r w:rsidRPr="00771320">
        <w:rPr>
          <w:noProof/>
        </w:rPr>
        <w:fldChar w:fldCharType="end"/>
      </w:r>
    </w:p>
    <w:p w14:paraId="528F4B29" w14:textId="4F78B6DE"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Follow-Up After High-Intensity Care for Substance Use Disorder (FUI)</w:t>
      </w:r>
      <w:r w:rsidRPr="00771320">
        <w:rPr>
          <w:noProof/>
        </w:rPr>
        <w:tab/>
      </w:r>
      <w:r w:rsidRPr="00771320">
        <w:rPr>
          <w:noProof/>
        </w:rPr>
        <w:fldChar w:fldCharType="begin"/>
      </w:r>
      <w:r w:rsidRPr="00771320">
        <w:rPr>
          <w:noProof/>
        </w:rPr>
        <w:instrText xml:space="preserve"> PAGEREF _Toc201813412 \h </w:instrText>
      </w:r>
      <w:r w:rsidRPr="00771320">
        <w:rPr>
          <w:noProof/>
        </w:rPr>
      </w:r>
      <w:r w:rsidRPr="00771320">
        <w:rPr>
          <w:noProof/>
        </w:rPr>
        <w:fldChar w:fldCharType="separate"/>
      </w:r>
      <w:r w:rsidR="008D465F">
        <w:rPr>
          <w:noProof/>
        </w:rPr>
        <w:t>183</w:t>
      </w:r>
      <w:r w:rsidRPr="00771320">
        <w:rPr>
          <w:noProof/>
        </w:rPr>
        <w:fldChar w:fldCharType="end"/>
      </w:r>
    </w:p>
    <w:p w14:paraId="5E43411B" w14:textId="20798498"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Follow-Up After Emergency Department Visit for Substance Use (FUA)</w:t>
      </w:r>
      <w:r w:rsidRPr="00771320">
        <w:rPr>
          <w:noProof/>
        </w:rPr>
        <w:tab/>
      </w:r>
      <w:r w:rsidRPr="00771320">
        <w:rPr>
          <w:noProof/>
        </w:rPr>
        <w:fldChar w:fldCharType="begin"/>
      </w:r>
      <w:r w:rsidRPr="00771320">
        <w:rPr>
          <w:noProof/>
        </w:rPr>
        <w:instrText xml:space="preserve"> PAGEREF _Toc201813413 \h </w:instrText>
      </w:r>
      <w:r w:rsidRPr="00771320">
        <w:rPr>
          <w:noProof/>
        </w:rPr>
      </w:r>
      <w:r w:rsidRPr="00771320">
        <w:rPr>
          <w:noProof/>
        </w:rPr>
        <w:fldChar w:fldCharType="separate"/>
      </w:r>
      <w:r w:rsidR="008D465F">
        <w:rPr>
          <w:noProof/>
        </w:rPr>
        <w:t>190</w:t>
      </w:r>
      <w:r w:rsidRPr="00771320">
        <w:rPr>
          <w:noProof/>
        </w:rPr>
        <w:fldChar w:fldCharType="end"/>
      </w:r>
    </w:p>
    <w:p w14:paraId="55258126" w14:textId="702B2FFE"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Pharmacotherapy for Opioid Use Disorder (POD)</w:t>
      </w:r>
      <w:r w:rsidRPr="00771320">
        <w:rPr>
          <w:noProof/>
        </w:rPr>
        <w:tab/>
      </w:r>
      <w:r w:rsidRPr="00771320">
        <w:rPr>
          <w:noProof/>
        </w:rPr>
        <w:fldChar w:fldCharType="begin"/>
      </w:r>
      <w:r w:rsidRPr="00771320">
        <w:rPr>
          <w:noProof/>
        </w:rPr>
        <w:instrText xml:space="preserve"> PAGEREF _Toc201813414 \h </w:instrText>
      </w:r>
      <w:r w:rsidRPr="00771320">
        <w:rPr>
          <w:noProof/>
        </w:rPr>
      </w:r>
      <w:r w:rsidRPr="00771320">
        <w:rPr>
          <w:noProof/>
        </w:rPr>
        <w:fldChar w:fldCharType="separate"/>
      </w:r>
      <w:r w:rsidR="008D465F">
        <w:rPr>
          <w:noProof/>
        </w:rPr>
        <w:t>199</w:t>
      </w:r>
      <w:r w:rsidRPr="00771320">
        <w:rPr>
          <w:noProof/>
        </w:rPr>
        <w:fldChar w:fldCharType="end"/>
      </w:r>
    </w:p>
    <w:p w14:paraId="1AD86E91" w14:textId="14875E01"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Diabetes Screening for People With Schizophrenia or Bipolar Disorder Who Are Using Antipsychotic Medications (SSD)</w:t>
      </w:r>
      <w:r w:rsidRPr="00771320">
        <w:rPr>
          <w:noProof/>
        </w:rPr>
        <w:tab/>
      </w:r>
      <w:r w:rsidRPr="00771320">
        <w:rPr>
          <w:noProof/>
        </w:rPr>
        <w:fldChar w:fldCharType="begin"/>
      </w:r>
      <w:r w:rsidRPr="00771320">
        <w:rPr>
          <w:noProof/>
        </w:rPr>
        <w:instrText xml:space="preserve"> PAGEREF _Toc201813415 \h </w:instrText>
      </w:r>
      <w:r w:rsidRPr="00771320">
        <w:rPr>
          <w:noProof/>
        </w:rPr>
      </w:r>
      <w:r w:rsidRPr="00771320">
        <w:rPr>
          <w:noProof/>
        </w:rPr>
        <w:fldChar w:fldCharType="separate"/>
      </w:r>
      <w:r w:rsidR="008D465F">
        <w:rPr>
          <w:noProof/>
        </w:rPr>
        <w:t>210</w:t>
      </w:r>
      <w:r w:rsidRPr="00771320">
        <w:rPr>
          <w:noProof/>
        </w:rPr>
        <w:fldChar w:fldCharType="end"/>
      </w:r>
    </w:p>
    <w:p w14:paraId="7C166965" w14:textId="073B529A"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Diabetes Monitoring for People With Diabetes and Schizophrenia (SMD)</w:t>
      </w:r>
      <w:r w:rsidRPr="00771320">
        <w:rPr>
          <w:noProof/>
        </w:rPr>
        <w:tab/>
      </w:r>
      <w:r w:rsidRPr="00771320">
        <w:rPr>
          <w:noProof/>
        </w:rPr>
        <w:fldChar w:fldCharType="begin"/>
      </w:r>
      <w:r w:rsidRPr="00771320">
        <w:rPr>
          <w:noProof/>
        </w:rPr>
        <w:instrText xml:space="preserve"> PAGEREF _Toc201813416 \h </w:instrText>
      </w:r>
      <w:r w:rsidRPr="00771320">
        <w:rPr>
          <w:noProof/>
        </w:rPr>
      </w:r>
      <w:r w:rsidRPr="00771320">
        <w:rPr>
          <w:noProof/>
        </w:rPr>
        <w:fldChar w:fldCharType="separate"/>
      </w:r>
      <w:r w:rsidR="008D465F">
        <w:rPr>
          <w:noProof/>
        </w:rPr>
        <w:t>215</w:t>
      </w:r>
      <w:r w:rsidRPr="00771320">
        <w:rPr>
          <w:noProof/>
        </w:rPr>
        <w:fldChar w:fldCharType="end"/>
      </w:r>
    </w:p>
    <w:p w14:paraId="02D634CB" w14:textId="6CBE19AC"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Cardiovascular Monitoring for People With Cardiovascular Disease and Schizophrenia (SMC)</w:t>
      </w:r>
      <w:r w:rsidRPr="00771320">
        <w:rPr>
          <w:noProof/>
        </w:rPr>
        <w:tab/>
      </w:r>
      <w:r w:rsidRPr="00771320">
        <w:rPr>
          <w:noProof/>
        </w:rPr>
        <w:fldChar w:fldCharType="begin"/>
      </w:r>
      <w:r w:rsidRPr="00771320">
        <w:rPr>
          <w:noProof/>
        </w:rPr>
        <w:instrText xml:space="preserve"> PAGEREF _Toc201813417 \h </w:instrText>
      </w:r>
      <w:r w:rsidRPr="00771320">
        <w:rPr>
          <w:noProof/>
        </w:rPr>
      </w:r>
      <w:r w:rsidRPr="00771320">
        <w:rPr>
          <w:noProof/>
        </w:rPr>
        <w:fldChar w:fldCharType="separate"/>
      </w:r>
      <w:r w:rsidR="008D465F">
        <w:rPr>
          <w:noProof/>
        </w:rPr>
        <w:t>220</w:t>
      </w:r>
      <w:r w:rsidRPr="00771320">
        <w:rPr>
          <w:noProof/>
        </w:rPr>
        <w:fldChar w:fldCharType="end"/>
      </w:r>
    </w:p>
    <w:p w14:paraId="6EB3EED7" w14:textId="18FBF069"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Adherence to Antipsychotic Medications for Individuals With Schizophrenia (SAA)</w:t>
      </w:r>
      <w:r w:rsidRPr="00771320">
        <w:rPr>
          <w:noProof/>
        </w:rPr>
        <w:tab/>
      </w:r>
      <w:r w:rsidRPr="00771320">
        <w:rPr>
          <w:noProof/>
        </w:rPr>
        <w:fldChar w:fldCharType="begin"/>
      </w:r>
      <w:r w:rsidRPr="00771320">
        <w:rPr>
          <w:noProof/>
        </w:rPr>
        <w:instrText xml:space="preserve"> PAGEREF _Toc201813418 \h </w:instrText>
      </w:r>
      <w:r w:rsidRPr="00771320">
        <w:rPr>
          <w:noProof/>
        </w:rPr>
      </w:r>
      <w:r w:rsidRPr="00771320">
        <w:rPr>
          <w:noProof/>
        </w:rPr>
        <w:fldChar w:fldCharType="separate"/>
      </w:r>
      <w:r w:rsidR="008D465F">
        <w:rPr>
          <w:noProof/>
        </w:rPr>
        <w:t>225</w:t>
      </w:r>
      <w:r w:rsidRPr="00771320">
        <w:rPr>
          <w:noProof/>
        </w:rPr>
        <w:fldChar w:fldCharType="end"/>
      </w:r>
    </w:p>
    <w:p w14:paraId="07DE9690" w14:textId="5CF4F148" w:rsidR="00C600B9" w:rsidRPr="00771320" w:rsidRDefault="00C600B9" w:rsidP="00C600B9">
      <w:pPr>
        <w:pStyle w:val="TOC2"/>
        <w:rPr>
          <w:rFonts w:asciiTheme="minorHAnsi" w:eastAsiaTheme="minorEastAsia" w:hAnsiTheme="minorHAnsi" w:cstheme="minorBidi"/>
          <w:b w:val="0"/>
          <w:bCs w:val="0"/>
          <w:i w:val="0"/>
          <w:kern w:val="2"/>
          <w14:ligatures w14:val="standardContextual"/>
        </w:rPr>
      </w:pPr>
      <w:r w:rsidRPr="00771320">
        <w:t>Care Coordination</w:t>
      </w:r>
      <w:r w:rsidRPr="00771320">
        <w:tab/>
      </w:r>
      <w:r w:rsidRPr="00771320">
        <w:fldChar w:fldCharType="begin"/>
      </w:r>
      <w:r w:rsidRPr="00771320">
        <w:instrText xml:space="preserve"> PAGEREF _Toc201813419 \h </w:instrText>
      </w:r>
      <w:r w:rsidRPr="00771320">
        <w:fldChar w:fldCharType="separate"/>
      </w:r>
      <w:r w:rsidR="008D465F">
        <w:t>233</w:t>
      </w:r>
      <w:r w:rsidRPr="00771320">
        <w:fldChar w:fldCharType="end"/>
      </w:r>
    </w:p>
    <w:p w14:paraId="0142BE73" w14:textId="1A97A601"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Advance Care Planning (ACP)</w:t>
      </w:r>
      <w:r w:rsidRPr="00771320">
        <w:rPr>
          <w:noProof/>
        </w:rPr>
        <w:tab/>
      </w:r>
      <w:r w:rsidRPr="00771320">
        <w:rPr>
          <w:noProof/>
        </w:rPr>
        <w:fldChar w:fldCharType="begin"/>
      </w:r>
      <w:r w:rsidRPr="00771320">
        <w:rPr>
          <w:noProof/>
        </w:rPr>
        <w:instrText xml:space="preserve"> PAGEREF _Toc201813420 \h </w:instrText>
      </w:r>
      <w:r w:rsidRPr="00771320">
        <w:rPr>
          <w:noProof/>
        </w:rPr>
      </w:r>
      <w:r w:rsidRPr="00771320">
        <w:rPr>
          <w:noProof/>
        </w:rPr>
        <w:fldChar w:fldCharType="separate"/>
      </w:r>
      <w:r w:rsidR="008D465F">
        <w:rPr>
          <w:noProof/>
        </w:rPr>
        <w:t>234</w:t>
      </w:r>
      <w:r w:rsidRPr="00771320">
        <w:rPr>
          <w:noProof/>
        </w:rPr>
        <w:fldChar w:fldCharType="end"/>
      </w:r>
    </w:p>
    <w:p w14:paraId="7890F4BA" w14:textId="08D54776"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Transitions of Care (TRC)</w:t>
      </w:r>
      <w:r w:rsidRPr="00771320">
        <w:rPr>
          <w:noProof/>
        </w:rPr>
        <w:tab/>
      </w:r>
      <w:r w:rsidRPr="00771320">
        <w:rPr>
          <w:noProof/>
        </w:rPr>
        <w:fldChar w:fldCharType="begin"/>
      </w:r>
      <w:r w:rsidRPr="00771320">
        <w:rPr>
          <w:noProof/>
        </w:rPr>
        <w:instrText xml:space="preserve"> PAGEREF _Toc201813421 \h </w:instrText>
      </w:r>
      <w:r w:rsidRPr="00771320">
        <w:rPr>
          <w:noProof/>
        </w:rPr>
      </w:r>
      <w:r w:rsidRPr="00771320">
        <w:rPr>
          <w:noProof/>
        </w:rPr>
        <w:fldChar w:fldCharType="separate"/>
      </w:r>
      <w:r w:rsidR="008D465F">
        <w:rPr>
          <w:noProof/>
        </w:rPr>
        <w:t>239</w:t>
      </w:r>
      <w:r w:rsidRPr="00771320">
        <w:rPr>
          <w:noProof/>
        </w:rPr>
        <w:fldChar w:fldCharType="end"/>
      </w:r>
    </w:p>
    <w:p w14:paraId="6C097130" w14:textId="551F3FAF"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Follow-Up After Emergency Department Visit for People With Multiple High-Risk Chronic Conditions (FMC)</w:t>
      </w:r>
      <w:r w:rsidRPr="00771320">
        <w:rPr>
          <w:noProof/>
        </w:rPr>
        <w:tab/>
      </w:r>
      <w:r w:rsidRPr="00771320">
        <w:rPr>
          <w:noProof/>
        </w:rPr>
        <w:fldChar w:fldCharType="begin"/>
      </w:r>
      <w:r w:rsidRPr="00771320">
        <w:rPr>
          <w:noProof/>
        </w:rPr>
        <w:instrText xml:space="preserve"> PAGEREF _Toc201813422 \h </w:instrText>
      </w:r>
      <w:r w:rsidRPr="00771320">
        <w:rPr>
          <w:noProof/>
        </w:rPr>
      </w:r>
      <w:r w:rsidRPr="00771320">
        <w:rPr>
          <w:noProof/>
        </w:rPr>
        <w:fldChar w:fldCharType="separate"/>
      </w:r>
      <w:r w:rsidR="008D465F">
        <w:rPr>
          <w:noProof/>
        </w:rPr>
        <w:t>249</w:t>
      </w:r>
      <w:r w:rsidRPr="00771320">
        <w:rPr>
          <w:noProof/>
        </w:rPr>
        <w:fldChar w:fldCharType="end"/>
      </w:r>
    </w:p>
    <w:p w14:paraId="4148404A" w14:textId="2E348648" w:rsidR="00C600B9" w:rsidRPr="00771320" w:rsidRDefault="00C600B9" w:rsidP="00C600B9">
      <w:pPr>
        <w:pStyle w:val="TOC2"/>
        <w:rPr>
          <w:rFonts w:asciiTheme="minorHAnsi" w:eastAsiaTheme="minorEastAsia" w:hAnsiTheme="minorHAnsi" w:cstheme="minorBidi"/>
          <w:b w:val="0"/>
          <w:bCs w:val="0"/>
          <w:i w:val="0"/>
          <w:kern w:val="2"/>
          <w14:ligatures w14:val="standardContextual"/>
        </w:rPr>
      </w:pPr>
      <w:r w:rsidRPr="00771320">
        <w:t>Overuse</w:t>
      </w:r>
      <w:r w:rsidR="00F704AA" w:rsidRPr="00771320">
        <w:t>/Appropriateness</w:t>
      </w:r>
      <w:r w:rsidRPr="00771320">
        <w:tab/>
      </w:r>
      <w:r w:rsidRPr="00771320">
        <w:fldChar w:fldCharType="begin"/>
      </w:r>
      <w:r w:rsidRPr="00771320">
        <w:instrText xml:space="preserve"> PAGEREF _Toc201813423 \h </w:instrText>
      </w:r>
      <w:r w:rsidRPr="00771320">
        <w:fldChar w:fldCharType="separate"/>
      </w:r>
      <w:r w:rsidR="008D465F">
        <w:t>255</w:t>
      </w:r>
      <w:r w:rsidRPr="00771320">
        <w:fldChar w:fldCharType="end"/>
      </w:r>
    </w:p>
    <w:p w14:paraId="0BD7287C" w14:textId="7DC1AE52"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Non-Recommended PSA-Based Screening in Older Men (PSA)</w:t>
      </w:r>
      <w:r w:rsidRPr="00771320">
        <w:rPr>
          <w:noProof/>
        </w:rPr>
        <w:tab/>
      </w:r>
      <w:r w:rsidRPr="00771320">
        <w:rPr>
          <w:noProof/>
        </w:rPr>
        <w:fldChar w:fldCharType="begin"/>
      </w:r>
      <w:r w:rsidRPr="00771320">
        <w:rPr>
          <w:noProof/>
        </w:rPr>
        <w:instrText xml:space="preserve"> PAGEREF _Toc201813424 \h </w:instrText>
      </w:r>
      <w:r w:rsidRPr="00771320">
        <w:rPr>
          <w:noProof/>
        </w:rPr>
      </w:r>
      <w:r w:rsidRPr="00771320">
        <w:rPr>
          <w:noProof/>
        </w:rPr>
        <w:fldChar w:fldCharType="separate"/>
      </w:r>
      <w:r w:rsidR="008D465F">
        <w:rPr>
          <w:noProof/>
        </w:rPr>
        <w:t>256</w:t>
      </w:r>
      <w:r w:rsidRPr="00771320">
        <w:rPr>
          <w:noProof/>
        </w:rPr>
        <w:fldChar w:fldCharType="end"/>
      </w:r>
    </w:p>
    <w:p w14:paraId="5838C91B" w14:textId="41D3F89B"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Appropriate Treatment for Upper Respiratory Infection (URI)</w:t>
      </w:r>
      <w:r w:rsidRPr="00771320">
        <w:rPr>
          <w:noProof/>
        </w:rPr>
        <w:tab/>
      </w:r>
      <w:r w:rsidRPr="00771320">
        <w:rPr>
          <w:noProof/>
        </w:rPr>
        <w:fldChar w:fldCharType="begin"/>
      </w:r>
      <w:r w:rsidRPr="00771320">
        <w:rPr>
          <w:noProof/>
        </w:rPr>
        <w:instrText xml:space="preserve"> PAGEREF _Toc201813425 \h </w:instrText>
      </w:r>
      <w:r w:rsidRPr="00771320">
        <w:rPr>
          <w:noProof/>
        </w:rPr>
      </w:r>
      <w:r w:rsidRPr="00771320">
        <w:rPr>
          <w:noProof/>
        </w:rPr>
        <w:fldChar w:fldCharType="separate"/>
      </w:r>
      <w:r w:rsidR="008D465F">
        <w:rPr>
          <w:noProof/>
        </w:rPr>
        <w:t>260</w:t>
      </w:r>
      <w:r w:rsidRPr="00771320">
        <w:rPr>
          <w:noProof/>
        </w:rPr>
        <w:fldChar w:fldCharType="end"/>
      </w:r>
    </w:p>
    <w:p w14:paraId="1587E328" w14:textId="06D9A8EC"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Avoidance of Antibiotic Treatment for Acute Bronchitis/Bronchiolitis (AAB)</w:t>
      </w:r>
      <w:r w:rsidRPr="00771320">
        <w:rPr>
          <w:noProof/>
        </w:rPr>
        <w:tab/>
      </w:r>
      <w:r w:rsidRPr="00771320">
        <w:rPr>
          <w:noProof/>
        </w:rPr>
        <w:fldChar w:fldCharType="begin"/>
      </w:r>
      <w:r w:rsidRPr="00771320">
        <w:rPr>
          <w:noProof/>
        </w:rPr>
        <w:instrText xml:space="preserve"> PAGEREF _Toc201813426 \h </w:instrText>
      </w:r>
      <w:r w:rsidRPr="00771320">
        <w:rPr>
          <w:noProof/>
        </w:rPr>
      </w:r>
      <w:r w:rsidRPr="00771320">
        <w:rPr>
          <w:noProof/>
        </w:rPr>
        <w:fldChar w:fldCharType="separate"/>
      </w:r>
      <w:r w:rsidR="008D465F">
        <w:rPr>
          <w:noProof/>
        </w:rPr>
        <w:t>265</w:t>
      </w:r>
      <w:r w:rsidRPr="00771320">
        <w:rPr>
          <w:noProof/>
        </w:rPr>
        <w:fldChar w:fldCharType="end"/>
      </w:r>
    </w:p>
    <w:p w14:paraId="192240E9" w14:textId="0706C96A"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Use of Imaging Studies for Low Back Pain (LBP)</w:t>
      </w:r>
      <w:r w:rsidRPr="00771320">
        <w:rPr>
          <w:noProof/>
        </w:rPr>
        <w:tab/>
      </w:r>
      <w:r w:rsidRPr="00771320">
        <w:rPr>
          <w:noProof/>
        </w:rPr>
        <w:fldChar w:fldCharType="begin"/>
      </w:r>
      <w:r w:rsidRPr="00771320">
        <w:rPr>
          <w:noProof/>
        </w:rPr>
        <w:instrText xml:space="preserve"> PAGEREF _Toc201813427 \h </w:instrText>
      </w:r>
      <w:r w:rsidRPr="00771320">
        <w:rPr>
          <w:noProof/>
        </w:rPr>
      </w:r>
      <w:r w:rsidRPr="00771320">
        <w:rPr>
          <w:noProof/>
        </w:rPr>
        <w:fldChar w:fldCharType="separate"/>
      </w:r>
      <w:r w:rsidR="008D465F">
        <w:rPr>
          <w:noProof/>
        </w:rPr>
        <w:t>270</w:t>
      </w:r>
      <w:r w:rsidRPr="00771320">
        <w:rPr>
          <w:noProof/>
        </w:rPr>
        <w:fldChar w:fldCharType="end"/>
      </w:r>
    </w:p>
    <w:p w14:paraId="5220FA25" w14:textId="31B8F838"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Potentially Harmful Drug-Disease Interactions in Older Adults (DDE)</w:t>
      </w:r>
      <w:r w:rsidRPr="00771320">
        <w:rPr>
          <w:noProof/>
        </w:rPr>
        <w:tab/>
      </w:r>
      <w:r w:rsidRPr="00771320">
        <w:rPr>
          <w:noProof/>
        </w:rPr>
        <w:fldChar w:fldCharType="begin"/>
      </w:r>
      <w:r w:rsidRPr="00771320">
        <w:rPr>
          <w:noProof/>
        </w:rPr>
        <w:instrText xml:space="preserve"> PAGEREF _Toc201813428 \h </w:instrText>
      </w:r>
      <w:r w:rsidRPr="00771320">
        <w:rPr>
          <w:noProof/>
        </w:rPr>
      </w:r>
      <w:r w:rsidRPr="00771320">
        <w:rPr>
          <w:noProof/>
        </w:rPr>
        <w:fldChar w:fldCharType="separate"/>
      </w:r>
      <w:r w:rsidR="008D465F">
        <w:rPr>
          <w:noProof/>
        </w:rPr>
        <w:t>276</w:t>
      </w:r>
      <w:r w:rsidRPr="00771320">
        <w:rPr>
          <w:noProof/>
        </w:rPr>
        <w:fldChar w:fldCharType="end"/>
      </w:r>
    </w:p>
    <w:p w14:paraId="56292C91" w14:textId="379A7A0B"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Use of High-Risk Medications in Older Adults (DAE)</w:t>
      </w:r>
      <w:r w:rsidRPr="00771320">
        <w:rPr>
          <w:noProof/>
        </w:rPr>
        <w:tab/>
      </w:r>
      <w:r w:rsidRPr="00771320">
        <w:rPr>
          <w:noProof/>
        </w:rPr>
        <w:fldChar w:fldCharType="begin"/>
      </w:r>
      <w:r w:rsidRPr="00771320">
        <w:rPr>
          <w:noProof/>
        </w:rPr>
        <w:instrText xml:space="preserve"> PAGEREF _Toc201813429 \h </w:instrText>
      </w:r>
      <w:r w:rsidRPr="00771320">
        <w:rPr>
          <w:noProof/>
        </w:rPr>
      </w:r>
      <w:r w:rsidRPr="00771320">
        <w:rPr>
          <w:noProof/>
        </w:rPr>
        <w:fldChar w:fldCharType="separate"/>
      </w:r>
      <w:r w:rsidR="008D465F">
        <w:rPr>
          <w:noProof/>
        </w:rPr>
        <w:t>282</w:t>
      </w:r>
      <w:r w:rsidRPr="00771320">
        <w:rPr>
          <w:noProof/>
        </w:rPr>
        <w:fldChar w:fldCharType="end"/>
      </w:r>
    </w:p>
    <w:p w14:paraId="049F8953" w14:textId="508FD173"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Deprescribing of Benzodiazepines in Older Adults (DBO)</w:t>
      </w:r>
      <w:r w:rsidRPr="00771320">
        <w:rPr>
          <w:noProof/>
        </w:rPr>
        <w:tab/>
      </w:r>
      <w:r w:rsidRPr="00771320">
        <w:rPr>
          <w:noProof/>
        </w:rPr>
        <w:fldChar w:fldCharType="begin"/>
      </w:r>
      <w:r w:rsidRPr="00771320">
        <w:rPr>
          <w:noProof/>
        </w:rPr>
        <w:instrText xml:space="preserve"> PAGEREF _Toc201813430 \h </w:instrText>
      </w:r>
      <w:r w:rsidRPr="00771320">
        <w:rPr>
          <w:noProof/>
        </w:rPr>
      </w:r>
      <w:r w:rsidRPr="00771320">
        <w:rPr>
          <w:noProof/>
        </w:rPr>
        <w:fldChar w:fldCharType="separate"/>
      </w:r>
      <w:r w:rsidR="008D465F">
        <w:rPr>
          <w:noProof/>
        </w:rPr>
        <w:t>290</w:t>
      </w:r>
      <w:r w:rsidRPr="00771320">
        <w:rPr>
          <w:noProof/>
        </w:rPr>
        <w:fldChar w:fldCharType="end"/>
      </w:r>
    </w:p>
    <w:p w14:paraId="7763F60A" w14:textId="48880328"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Use of Opioids at High Dosage (HDO)</w:t>
      </w:r>
      <w:r w:rsidRPr="00771320">
        <w:rPr>
          <w:noProof/>
        </w:rPr>
        <w:tab/>
      </w:r>
      <w:r w:rsidRPr="00771320">
        <w:rPr>
          <w:noProof/>
        </w:rPr>
        <w:fldChar w:fldCharType="begin"/>
      </w:r>
      <w:r w:rsidRPr="00771320">
        <w:rPr>
          <w:noProof/>
        </w:rPr>
        <w:instrText xml:space="preserve"> PAGEREF _Toc201813431 \h </w:instrText>
      </w:r>
      <w:r w:rsidRPr="00771320">
        <w:rPr>
          <w:noProof/>
        </w:rPr>
      </w:r>
      <w:r w:rsidRPr="00771320">
        <w:rPr>
          <w:noProof/>
        </w:rPr>
        <w:fldChar w:fldCharType="separate"/>
      </w:r>
      <w:r w:rsidR="008D465F">
        <w:rPr>
          <w:noProof/>
        </w:rPr>
        <w:t>300</w:t>
      </w:r>
      <w:r w:rsidRPr="00771320">
        <w:rPr>
          <w:noProof/>
        </w:rPr>
        <w:fldChar w:fldCharType="end"/>
      </w:r>
    </w:p>
    <w:p w14:paraId="50E2C303" w14:textId="592148DE"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Use of Opioids From Multiple Providers (UOP)</w:t>
      </w:r>
      <w:r w:rsidRPr="00771320">
        <w:rPr>
          <w:noProof/>
        </w:rPr>
        <w:tab/>
      </w:r>
      <w:r w:rsidRPr="00771320">
        <w:rPr>
          <w:noProof/>
        </w:rPr>
        <w:fldChar w:fldCharType="begin"/>
      </w:r>
      <w:r w:rsidRPr="00771320">
        <w:rPr>
          <w:noProof/>
        </w:rPr>
        <w:instrText xml:space="preserve"> PAGEREF _Toc201813432 \h </w:instrText>
      </w:r>
      <w:r w:rsidRPr="00771320">
        <w:rPr>
          <w:noProof/>
        </w:rPr>
      </w:r>
      <w:r w:rsidRPr="00771320">
        <w:rPr>
          <w:noProof/>
        </w:rPr>
        <w:fldChar w:fldCharType="separate"/>
      </w:r>
      <w:r w:rsidR="008D465F">
        <w:rPr>
          <w:noProof/>
        </w:rPr>
        <w:t>311</w:t>
      </w:r>
      <w:r w:rsidRPr="00771320">
        <w:rPr>
          <w:noProof/>
        </w:rPr>
        <w:fldChar w:fldCharType="end"/>
      </w:r>
    </w:p>
    <w:p w14:paraId="26601ACA" w14:textId="1D2D0694"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Risk of Continued Opioid Use (COU)</w:t>
      </w:r>
      <w:r w:rsidRPr="00771320">
        <w:rPr>
          <w:noProof/>
        </w:rPr>
        <w:tab/>
      </w:r>
      <w:r w:rsidRPr="00771320">
        <w:rPr>
          <w:noProof/>
        </w:rPr>
        <w:fldChar w:fldCharType="begin"/>
      </w:r>
      <w:r w:rsidRPr="00771320">
        <w:rPr>
          <w:noProof/>
        </w:rPr>
        <w:instrText xml:space="preserve"> PAGEREF _Toc201813433 \h </w:instrText>
      </w:r>
      <w:r w:rsidRPr="00771320">
        <w:rPr>
          <w:noProof/>
        </w:rPr>
      </w:r>
      <w:r w:rsidRPr="00771320">
        <w:rPr>
          <w:noProof/>
        </w:rPr>
        <w:fldChar w:fldCharType="separate"/>
      </w:r>
      <w:r w:rsidR="008D465F">
        <w:rPr>
          <w:noProof/>
        </w:rPr>
        <w:t>318</w:t>
      </w:r>
      <w:r w:rsidRPr="00771320">
        <w:rPr>
          <w:noProof/>
        </w:rPr>
        <w:fldChar w:fldCharType="end"/>
      </w:r>
    </w:p>
    <w:p w14:paraId="4FF082E9" w14:textId="4617765D" w:rsidR="00C600B9" w:rsidRPr="00771320" w:rsidRDefault="00C600B9" w:rsidP="00C600B9">
      <w:pPr>
        <w:pStyle w:val="TOC1"/>
        <w:rPr>
          <w:rFonts w:asciiTheme="minorHAnsi" w:eastAsiaTheme="minorEastAsia" w:hAnsiTheme="minorHAnsi" w:cstheme="minorBidi"/>
          <w:b w:val="0"/>
          <w:bCs w:val="0"/>
          <w:kern w:val="2"/>
          <w14:ligatures w14:val="standardContextual"/>
        </w:rPr>
      </w:pPr>
      <w:r w:rsidRPr="00771320">
        <w:t>Measures Collected Through the Medicare Health Outcomes Survey</w:t>
      </w:r>
      <w:r w:rsidRPr="00771320">
        <w:tab/>
      </w:r>
      <w:r w:rsidRPr="00771320">
        <w:fldChar w:fldCharType="begin"/>
      </w:r>
      <w:r w:rsidRPr="00771320">
        <w:instrText xml:space="preserve"> PAGEREF _Toc201813434 \h </w:instrText>
      </w:r>
      <w:r w:rsidRPr="00771320">
        <w:fldChar w:fldCharType="separate"/>
      </w:r>
      <w:r w:rsidR="008D465F">
        <w:t>325</w:t>
      </w:r>
      <w:r w:rsidRPr="00771320">
        <w:fldChar w:fldCharType="end"/>
      </w:r>
    </w:p>
    <w:p w14:paraId="58DB0214" w14:textId="54561EBE"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Medicare Health Outcomes Survey (HOS)</w:t>
      </w:r>
      <w:r w:rsidRPr="00771320">
        <w:rPr>
          <w:noProof/>
        </w:rPr>
        <w:tab/>
      </w:r>
      <w:r w:rsidRPr="00771320">
        <w:rPr>
          <w:noProof/>
        </w:rPr>
        <w:fldChar w:fldCharType="begin"/>
      </w:r>
      <w:r w:rsidRPr="00771320">
        <w:rPr>
          <w:noProof/>
        </w:rPr>
        <w:instrText xml:space="preserve"> PAGEREF _Toc201813435 \h </w:instrText>
      </w:r>
      <w:r w:rsidRPr="00771320">
        <w:rPr>
          <w:noProof/>
        </w:rPr>
      </w:r>
      <w:r w:rsidRPr="00771320">
        <w:rPr>
          <w:noProof/>
        </w:rPr>
        <w:fldChar w:fldCharType="separate"/>
      </w:r>
      <w:r w:rsidR="008D465F">
        <w:rPr>
          <w:noProof/>
        </w:rPr>
        <w:t>326</w:t>
      </w:r>
      <w:r w:rsidRPr="00771320">
        <w:rPr>
          <w:noProof/>
        </w:rPr>
        <w:fldChar w:fldCharType="end"/>
      </w:r>
    </w:p>
    <w:p w14:paraId="64EBA682" w14:textId="492BC771"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Fall Risk Management (FRM)</w:t>
      </w:r>
      <w:r w:rsidRPr="00771320">
        <w:rPr>
          <w:noProof/>
        </w:rPr>
        <w:tab/>
      </w:r>
      <w:r w:rsidRPr="00771320">
        <w:rPr>
          <w:noProof/>
        </w:rPr>
        <w:fldChar w:fldCharType="begin"/>
      </w:r>
      <w:r w:rsidRPr="00771320">
        <w:rPr>
          <w:noProof/>
        </w:rPr>
        <w:instrText xml:space="preserve"> PAGEREF _Toc201813436 \h </w:instrText>
      </w:r>
      <w:r w:rsidRPr="00771320">
        <w:rPr>
          <w:noProof/>
        </w:rPr>
      </w:r>
      <w:r w:rsidRPr="00771320">
        <w:rPr>
          <w:noProof/>
        </w:rPr>
        <w:fldChar w:fldCharType="separate"/>
      </w:r>
      <w:r w:rsidR="008D465F">
        <w:rPr>
          <w:noProof/>
        </w:rPr>
        <w:t>327</w:t>
      </w:r>
      <w:r w:rsidRPr="00771320">
        <w:rPr>
          <w:noProof/>
        </w:rPr>
        <w:fldChar w:fldCharType="end"/>
      </w:r>
    </w:p>
    <w:p w14:paraId="3F5FC2FC" w14:textId="1C7140BB"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Management of Urinary Incontinence in Older Adults (MUI)</w:t>
      </w:r>
      <w:r w:rsidRPr="00771320">
        <w:rPr>
          <w:noProof/>
        </w:rPr>
        <w:tab/>
      </w:r>
      <w:r w:rsidRPr="00771320">
        <w:rPr>
          <w:noProof/>
        </w:rPr>
        <w:fldChar w:fldCharType="begin"/>
      </w:r>
      <w:r w:rsidRPr="00771320">
        <w:rPr>
          <w:noProof/>
        </w:rPr>
        <w:instrText xml:space="preserve"> PAGEREF _Toc201813437 \h </w:instrText>
      </w:r>
      <w:r w:rsidRPr="00771320">
        <w:rPr>
          <w:noProof/>
        </w:rPr>
      </w:r>
      <w:r w:rsidRPr="00771320">
        <w:rPr>
          <w:noProof/>
        </w:rPr>
        <w:fldChar w:fldCharType="separate"/>
      </w:r>
      <w:r w:rsidR="008D465F">
        <w:rPr>
          <w:noProof/>
        </w:rPr>
        <w:t>328</w:t>
      </w:r>
      <w:r w:rsidRPr="00771320">
        <w:rPr>
          <w:noProof/>
        </w:rPr>
        <w:fldChar w:fldCharType="end"/>
      </w:r>
    </w:p>
    <w:p w14:paraId="57C81DC1" w14:textId="370FF13B"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Physical Activity in Older Adults (PAO)</w:t>
      </w:r>
      <w:r w:rsidRPr="00771320">
        <w:rPr>
          <w:noProof/>
        </w:rPr>
        <w:tab/>
      </w:r>
      <w:r w:rsidRPr="00771320">
        <w:rPr>
          <w:noProof/>
        </w:rPr>
        <w:fldChar w:fldCharType="begin"/>
      </w:r>
      <w:r w:rsidRPr="00771320">
        <w:rPr>
          <w:noProof/>
        </w:rPr>
        <w:instrText xml:space="preserve"> PAGEREF _Toc201813438 \h </w:instrText>
      </w:r>
      <w:r w:rsidRPr="00771320">
        <w:rPr>
          <w:noProof/>
        </w:rPr>
      </w:r>
      <w:r w:rsidRPr="00771320">
        <w:rPr>
          <w:noProof/>
        </w:rPr>
        <w:fldChar w:fldCharType="separate"/>
      </w:r>
      <w:r w:rsidR="008D465F">
        <w:rPr>
          <w:noProof/>
        </w:rPr>
        <w:t>329</w:t>
      </w:r>
      <w:r w:rsidRPr="00771320">
        <w:rPr>
          <w:noProof/>
        </w:rPr>
        <w:fldChar w:fldCharType="end"/>
      </w:r>
    </w:p>
    <w:p w14:paraId="0BB18DAC" w14:textId="77777777" w:rsidR="00F127DD" w:rsidRPr="00771320" w:rsidRDefault="00F127DD">
      <w:pPr>
        <w:rPr>
          <w:b/>
          <w:bCs/>
          <w:noProof/>
          <w:sz w:val="20"/>
        </w:rPr>
      </w:pPr>
      <w:r w:rsidRPr="00771320">
        <w:rPr>
          <w:noProof/>
          <w:sz w:val="20"/>
        </w:rPr>
        <w:br w:type="page"/>
      </w:r>
    </w:p>
    <w:p w14:paraId="332A57A5" w14:textId="761DBE39" w:rsidR="00C600B9" w:rsidRPr="00771320" w:rsidRDefault="00C600B9" w:rsidP="00C600B9">
      <w:pPr>
        <w:pStyle w:val="TOC1"/>
        <w:rPr>
          <w:rFonts w:asciiTheme="minorHAnsi" w:eastAsiaTheme="minorEastAsia" w:hAnsiTheme="minorHAnsi" w:cstheme="minorBidi"/>
          <w:b w:val="0"/>
          <w:bCs w:val="0"/>
          <w:kern w:val="2"/>
          <w14:ligatures w14:val="standardContextual"/>
        </w:rPr>
      </w:pPr>
      <w:r w:rsidRPr="00771320">
        <w:lastRenderedPageBreak/>
        <w:t>Access/Availability of Care</w:t>
      </w:r>
      <w:r w:rsidR="00EA3030">
        <w:t xml:space="preserve"> Measures</w:t>
      </w:r>
      <w:r w:rsidRPr="00771320">
        <w:tab/>
      </w:r>
      <w:r w:rsidRPr="00771320">
        <w:fldChar w:fldCharType="begin"/>
      </w:r>
      <w:r w:rsidRPr="00771320">
        <w:instrText xml:space="preserve"> PAGEREF _Toc201813439 \h </w:instrText>
      </w:r>
      <w:r w:rsidRPr="00771320">
        <w:fldChar w:fldCharType="separate"/>
      </w:r>
      <w:r w:rsidR="008D465F">
        <w:t>330</w:t>
      </w:r>
      <w:r w:rsidRPr="00771320">
        <w:fldChar w:fldCharType="end"/>
      </w:r>
    </w:p>
    <w:p w14:paraId="7A71294F" w14:textId="19F98291"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Adults’ Access to Preventive/Ambulatory Health Services (AAP)</w:t>
      </w:r>
      <w:r w:rsidRPr="00771320">
        <w:rPr>
          <w:noProof/>
        </w:rPr>
        <w:tab/>
      </w:r>
      <w:r w:rsidRPr="00771320">
        <w:rPr>
          <w:noProof/>
        </w:rPr>
        <w:fldChar w:fldCharType="begin"/>
      </w:r>
      <w:r w:rsidRPr="00771320">
        <w:rPr>
          <w:noProof/>
        </w:rPr>
        <w:instrText xml:space="preserve"> PAGEREF _Toc201813440 \h </w:instrText>
      </w:r>
      <w:r w:rsidRPr="00771320">
        <w:rPr>
          <w:noProof/>
        </w:rPr>
      </w:r>
      <w:r w:rsidRPr="00771320">
        <w:rPr>
          <w:noProof/>
        </w:rPr>
        <w:fldChar w:fldCharType="separate"/>
      </w:r>
      <w:r w:rsidR="008D465F">
        <w:rPr>
          <w:noProof/>
        </w:rPr>
        <w:t>331</w:t>
      </w:r>
      <w:r w:rsidRPr="00771320">
        <w:rPr>
          <w:noProof/>
        </w:rPr>
        <w:fldChar w:fldCharType="end"/>
      </w:r>
    </w:p>
    <w:p w14:paraId="624AA9C4" w14:textId="2AD53153"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Initiation and Engagement of Substance Use Disorder Treatment (IET)</w:t>
      </w:r>
      <w:r w:rsidRPr="00771320">
        <w:rPr>
          <w:noProof/>
        </w:rPr>
        <w:tab/>
      </w:r>
      <w:r w:rsidRPr="00771320">
        <w:rPr>
          <w:noProof/>
        </w:rPr>
        <w:fldChar w:fldCharType="begin"/>
      </w:r>
      <w:r w:rsidRPr="00771320">
        <w:rPr>
          <w:noProof/>
        </w:rPr>
        <w:instrText xml:space="preserve"> PAGEREF _Toc201813441 \h </w:instrText>
      </w:r>
      <w:r w:rsidRPr="00771320">
        <w:rPr>
          <w:noProof/>
        </w:rPr>
      </w:r>
      <w:r w:rsidRPr="00771320">
        <w:rPr>
          <w:noProof/>
        </w:rPr>
        <w:fldChar w:fldCharType="separate"/>
      </w:r>
      <w:r w:rsidR="008D465F">
        <w:rPr>
          <w:noProof/>
        </w:rPr>
        <w:t>335</w:t>
      </w:r>
      <w:r w:rsidRPr="00771320">
        <w:rPr>
          <w:noProof/>
        </w:rPr>
        <w:fldChar w:fldCharType="end"/>
      </w:r>
    </w:p>
    <w:p w14:paraId="655FBDF6" w14:textId="473F3D2C"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Prenatal and Postpartum Care (PPC)</w:t>
      </w:r>
      <w:r w:rsidRPr="00771320">
        <w:rPr>
          <w:noProof/>
        </w:rPr>
        <w:tab/>
      </w:r>
      <w:r w:rsidRPr="00771320">
        <w:rPr>
          <w:noProof/>
        </w:rPr>
        <w:fldChar w:fldCharType="begin"/>
      </w:r>
      <w:r w:rsidRPr="00771320">
        <w:rPr>
          <w:noProof/>
        </w:rPr>
        <w:instrText xml:space="preserve"> PAGEREF _Toc201813442 \h </w:instrText>
      </w:r>
      <w:r w:rsidRPr="00771320">
        <w:rPr>
          <w:noProof/>
        </w:rPr>
      </w:r>
      <w:r w:rsidRPr="00771320">
        <w:rPr>
          <w:noProof/>
        </w:rPr>
        <w:fldChar w:fldCharType="separate"/>
      </w:r>
      <w:r w:rsidR="008D465F">
        <w:rPr>
          <w:noProof/>
        </w:rPr>
        <w:t>349</w:t>
      </w:r>
      <w:r w:rsidRPr="00771320">
        <w:rPr>
          <w:noProof/>
        </w:rPr>
        <w:fldChar w:fldCharType="end"/>
      </w:r>
    </w:p>
    <w:p w14:paraId="25076694" w14:textId="793950BC"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Use of First-Line Psychosocial Care for Children and Adolescents on Antipsychotics (APP)</w:t>
      </w:r>
      <w:r w:rsidRPr="00771320">
        <w:rPr>
          <w:noProof/>
        </w:rPr>
        <w:tab/>
      </w:r>
      <w:r w:rsidRPr="00771320">
        <w:rPr>
          <w:noProof/>
        </w:rPr>
        <w:fldChar w:fldCharType="begin"/>
      </w:r>
      <w:r w:rsidRPr="00771320">
        <w:rPr>
          <w:noProof/>
        </w:rPr>
        <w:instrText xml:space="preserve"> PAGEREF _Toc201813443 \h </w:instrText>
      </w:r>
      <w:r w:rsidRPr="00771320">
        <w:rPr>
          <w:noProof/>
        </w:rPr>
      </w:r>
      <w:r w:rsidRPr="00771320">
        <w:rPr>
          <w:noProof/>
        </w:rPr>
        <w:fldChar w:fldCharType="separate"/>
      </w:r>
      <w:r w:rsidR="008D465F">
        <w:rPr>
          <w:noProof/>
        </w:rPr>
        <w:t>359</w:t>
      </w:r>
      <w:r w:rsidRPr="00771320">
        <w:rPr>
          <w:noProof/>
        </w:rPr>
        <w:fldChar w:fldCharType="end"/>
      </w:r>
    </w:p>
    <w:p w14:paraId="27F6F7EF" w14:textId="401AB55F" w:rsidR="00C600B9" w:rsidRPr="00771320" w:rsidRDefault="00C600B9" w:rsidP="00C600B9">
      <w:pPr>
        <w:pStyle w:val="TOC1"/>
        <w:rPr>
          <w:rFonts w:asciiTheme="minorHAnsi" w:eastAsiaTheme="minorEastAsia" w:hAnsiTheme="minorHAnsi" w:cstheme="minorBidi"/>
          <w:b w:val="0"/>
          <w:bCs w:val="0"/>
          <w:kern w:val="2"/>
          <w14:ligatures w14:val="standardContextual"/>
        </w:rPr>
      </w:pPr>
      <w:r w:rsidRPr="00771320">
        <w:rPr>
          <w:rFonts w:eastAsia="Calibri"/>
        </w:rPr>
        <w:t>Experience of Care</w:t>
      </w:r>
      <w:r w:rsidR="00EA3030">
        <w:rPr>
          <w:rFonts w:eastAsia="Calibri"/>
        </w:rPr>
        <w:t xml:space="preserve"> Measures</w:t>
      </w:r>
      <w:r w:rsidRPr="00771320">
        <w:tab/>
      </w:r>
      <w:r w:rsidRPr="00771320">
        <w:fldChar w:fldCharType="begin"/>
      </w:r>
      <w:r w:rsidRPr="00771320">
        <w:instrText xml:space="preserve"> PAGEREF _Toc201813444 \h </w:instrText>
      </w:r>
      <w:r w:rsidRPr="00771320">
        <w:fldChar w:fldCharType="separate"/>
      </w:r>
      <w:r w:rsidR="008D465F">
        <w:t>363</w:t>
      </w:r>
      <w:r w:rsidRPr="00771320">
        <w:fldChar w:fldCharType="end"/>
      </w:r>
    </w:p>
    <w:p w14:paraId="48926031" w14:textId="12B43384"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rFonts w:eastAsia="Calibri" w:cs="Arial"/>
          <w:bCs/>
          <w:iCs/>
          <w:noProof/>
          <w:color w:val="000000" w:themeColor="text1"/>
        </w:rPr>
        <w:t>CAHPS Health Plan Survey 5.1H, Adult Version (CPA)</w:t>
      </w:r>
      <w:r w:rsidRPr="00771320">
        <w:rPr>
          <w:noProof/>
        </w:rPr>
        <w:tab/>
      </w:r>
      <w:r w:rsidRPr="00771320">
        <w:rPr>
          <w:noProof/>
        </w:rPr>
        <w:fldChar w:fldCharType="begin"/>
      </w:r>
      <w:r w:rsidRPr="00771320">
        <w:rPr>
          <w:noProof/>
        </w:rPr>
        <w:instrText xml:space="preserve"> PAGEREF _Toc201813445 \h </w:instrText>
      </w:r>
      <w:r w:rsidRPr="00771320">
        <w:rPr>
          <w:noProof/>
        </w:rPr>
      </w:r>
      <w:r w:rsidRPr="00771320">
        <w:rPr>
          <w:noProof/>
        </w:rPr>
        <w:fldChar w:fldCharType="separate"/>
      </w:r>
      <w:r w:rsidR="008D465F">
        <w:rPr>
          <w:noProof/>
        </w:rPr>
        <w:t>364</w:t>
      </w:r>
      <w:r w:rsidRPr="00771320">
        <w:rPr>
          <w:noProof/>
        </w:rPr>
        <w:fldChar w:fldCharType="end"/>
      </w:r>
    </w:p>
    <w:p w14:paraId="328125DF" w14:textId="0D5AB2A1"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rFonts w:eastAsia="Calibri" w:cs="Arial"/>
          <w:bCs/>
          <w:iCs/>
          <w:noProof/>
          <w:color w:val="000000" w:themeColor="text1"/>
        </w:rPr>
        <w:t>CAHPS Health Plan Survey 5.1H, Child Version (CPC)</w:t>
      </w:r>
      <w:r w:rsidRPr="00771320">
        <w:rPr>
          <w:noProof/>
        </w:rPr>
        <w:tab/>
      </w:r>
      <w:r w:rsidRPr="00771320">
        <w:rPr>
          <w:noProof/>
        </w:rPr>
        <w:fldChar w:fldCharType="begin"/>
      </w:r>
      <w:r w:rsidRPr="00771320">
        <w:rPr>
          <w:noProof/>
        </w:rPr>
        <w:instrText xml:space="preserve"> PAGEREF _Toc201813446 \h </w:instrText>
      </w:r>
      <w:r w:rsidRPr="00771320">
        <w:rPr>
          <w:noProof/>
        </w:rPr>
      </w:r>
      <w:r w:rsidRPr="00771320">
        <w:rPr>
          <w:noProof/>
        </w:rPr>
        <w:fldChar w:fldCharType="separate"/>
      </w:r>
      <w:r w:rsidR="008D465F">
        <w:rPr>
          <w:noProof/>
        </w:rPr>
        <w:t>365</w:t>
      </w:r>
      <w:r w:rsidRPr="00771320">
        <w:rPr>
          <w:noProof/>
        </w:rPr>
        <w:fldChar w:fldCharType="end"/>
      </w:r>
    </w:p>
    <w:p w14:paraId="1F96AF56" w14:textId="2F339684"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rFonts w:eastAsia="Calibri" w:cs="Arial"/>
          <w:bCs/>
          <w:iCs/>
          <w:noProof/>
          <w:color w:val="000000" w:themeColor="text1"/>
        </w:rPr>
        <w:t>Children With Chronic Conditions (CCC)</w:t>
      </w:r>
      <w:r w:rsidRPr="00771320">
        <w:rPr>
          <w:noProof/>
        </w:rPr>
        <w:tab/>
      </w:r>
      <w:r w:rsidRPr="00771320">
        <w:rPr>
          <w:noProof/>
        </w:rPr>
        <w:fldChar w:fldCharType="begin"/>
      </w:r>
      <w:r w:rsidRPr="00771320">
        <w:rPr>
          <w:noProof/>
        </w:rPr>
        <w:instrText xml:space="preserve"> PAGEREF _Toc201813447 \h </w:instrText>
      </w:r>
      <w:r w:rsidRPr="00771320">
        <w:rPr>
          <w:noProof/>
        </w:rPr>
      </w:r>
      <w:r w:rsidRPr="00771320">
        <w:rPr>
          <w:noProof/>
        </w:rPr>
        <w:fldChar w:fldCharType="separate"/>
      </w:r>
      <w:r w:rsidR="008D465F">
        <w:rPr>
          <w:noProof/>
        </w:rPr>
        <w:t>366</w:t>
      </w:r>
      <w:r w:rsidRPr="00771320">
        <w:rPr>
          <w:noProof/>
        </w:rPr>
        <w:fldChar w:fldCharType="end"/>
      </w:r>
    </w:p>
    <w:p w14:paraId="72D1291E" w14:textId="59EEA5AA" w:rsidR="00C600B9" w:rsidRPr="00771320" w:rsidRDefault="00C600B9" w:rsidP="00C600B9">
      <w:pPr>
        <w:pStyle w:val="TOC1"/>
        <w:rPr>
          <w:rFonts w:asciiTheme="minorHAnsi" w:eastAsiaTheme="minorEastAsia" w:hAnsiTheme="minorHAnsi" w:cstheme="minorBidi"/>
          <w:b w:val="0"/>
          <w:bCs w:val="0"/>
          <w:kern w:val="2"/>
          <w14:ligatures w14:val="standardContextual"/>
        </w:rPr>
      </w:pPr>
      <w:r w:rsidRPr="00771320">
        <w:rPr>
          <w:rFonts w:eastAsia="Calibri"/>
        </w:rPr>
        <w:t>Utilization</w:t>
      </w:r>
      <w:r w:rsidR="00EA3030">
        <w:rPr>
          <w:rFonts w:eastAsia="Calibri"/>
        </w:rPr>
        <w:t xml:space="preserve"> Measures</w:t>
      </w:r>
      <w:r w:rsidRPr="00771320">
        <w:tab/>
      </w:r>
      <w:r w:rsidRPr="00771320">
        <w:fldChar w:fldCharType="begin"/>
      </w:r>
      <w:r w:rsidRPr="00771320">
        <w:instrText xml:space="preserve"> PAGEREF _Toc201813448 \h </w:instrText>
      </w:r>
      <w:r w:rsidRPr="00771320">
        <w:fldChar w:fldCharType="separate"/>
      </w:r>
      <w:r w:rsidR="008D465F">
        <w:t>367</w:t>
      </w:r>
      <w:r w:rsidRPr="00771320">
        <w:fldChar w:fldCharType="end"/>
      </w:r>
    </w:p>
    <w:p w14:paraId="5D234A8C" w14:textId="0F25382C"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Well-Child Visits in the First 30 Months of Life (W30)</w:t>
      </w:r>
      <w:r w:rsidRPr="00771320">
        <w:rPr>
          <w:noProof/>
        </w:rPr>
        <w:tab/>
      </w:r>
      <w:r w:rsidRPr="00771320">
        <w:rPr>
          <w:noProof/>
        </w:rPr>
        <w:fldChar w:fldCharType="begin"/>
      </w:r>
      <w:r w:rsidRPr="00771320">
        <w:rPr>
          <w:noProof/>
        </w:rPr>
        <w:instrText xml:space="preserve"> PAGEREF _Toc201813449 \h </w:instrText>
      </w:r>
      <w:r w:rsidRPr="00771320">
        <w:rPr>
          <w:noProof/>
        </w:rPr>
      </w:r>
      <w:r w:rsidRPr="00771320">
        <w:rPr>
          <w:noProof/>
        </w:rPr>
        <w:fldChar w:fldCharType="separate"/>
      </w:r>
      <w:r w:rsidR="008D465F">
        <w:rPr>
          <w:noProof/>
        </w:rPr>
        <w:t>368</w:t>
      </w:r>
      <w:r w:rsidRPr="00771320">
        <w:rPr>
          <w:noProof/>
        </w:rPr>
        <w:fldChar w:fldCharType="end"/>
      </w:r>
    </w:p>
    <w:p w14:paraId="2DEFD75E" w14:textId="753B32E1"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Child and Adolescent Well-Care Visits (WCV)</w:t>
      </w:r>
      <w:r w:rsidRPr="00771320">
        <w:rPr>
          <w:noProof/>
        </w:rPr>
        <w:tab/>
      </w:r>
      <w:r w:rsidRPr="00771320">
        <w:rPr>
          <w:noProof/>
        </w:rPr>
        <w:fldChar w:fldCharType="begin"/>
      </w:r>
      <w:r w:rsidRPr="00771320">
        <w:rPr>
          <w:noProof/>
        </w:rPr>
        <w:instrText xml:space="preserve"> PAGEREF _Toc201813450 \h </w:instrText>
      </w:r>
      <w:r w:rsidRPr="00771320">
        <w:rPr>
          <w:noProof/>
        </w:rPr>
      </w:r>
      <w:r w:rsidRPr="00771320">
        <w:rPr>
          <w:noProof/>
        </w:rPr>
        <w:fldChar w:fldCharType="separate"/>
      </w:r>
      <w:r w:rsidR="008D465F">
        <w:rPr>
          <w:noProof/>
        </w:rPr>
        <w:t>373</w:t>
      </w:r>
      <w:r w:rsidRPr="00771320">
        <w:rPr>
          <w:noProof/>
        </w:rPr>
        <w:fldChar w:fldCharType="end"/>
      </w:r>
    </w:p>
    <w:p w14:paraId="65260A50" w14:textId="7869E447"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Antibiotic Utilization for Respiratory Conditions (AXR)</w:t>
      </w:r>
      <w:r w:rsidRPr="00771320">
        <w:rPr>
          <w:noProof/>
        </w:rPr>
        <w:tab/>
      </w:r>
      <w:r w:rsidRPr="00771320">
        <w:rPr>
          <w:noProof/>
        </w:rPr>
        <w:fldChar w:fldCharType="begin"/>
      </w:r>
      <w:r w:rsidRPr="00771320">
        <w:rPr>
          <w:noProof/>
        </w:rPr>
        <w:instrText xml:space="preserve"> PAGEREF _Toc201813451 \h </w:instrText>
      </w:r>
      <w:r w:rsidRPr="00771320">
        <w:rPr>
          <w:noProof/>
        </w:rPr>
      </w:r>
      <w:r w:rsidRPr="00771320">
        <w:rPr>
          <w:noProof/>
        </w:rPr>
        <w:fldChar w:fldCharType="separate"/>
      </w:r>
      <w:r w:rsidR="008D465F">
        <w:rPr>
          <w:noProof/>
        </w:rPr>
        <w:t>378</w:t>
      </w:r>
      <w:r w:rsidRPr="00771320">
        <w:rPr>
          <w:noProof/>
        </w:rPr>
        <w:fldChar w:fldCharType="end"/>
      </w:r>
    </w:p>
    <w:p w14:paraId="7F667EBE" w14:textId="46A4A3B7" w:rsidR="00C600B9" w:rsidRPr="00771320" w:rsidRDefault="00C600B9" w:rsidP="00C600B9">
      <w:pPr>
        <w:pStyle w:val="TOC1"/>
        <w:rPr>
          <w:rFonts w:asciiTheme="minorHAnsi" w:eastAsiaTheme="minorEastAsia" w:hAnsiTheme="minorHAnsi" w:cstheme="minorBidi"/>
          <w:b w:val="0"/>
          <w:bCs w:val="0"/>
          <w:kern w:val="2"/>
          <w14:ligatures w14:val="standardContextual"/>
        </w:rPr>
      </w:pPr>
      <w:r w:rsidRPr="00771320">
        <w:rPr>
          <w:rFonts w:eastAsia="Calibri"/>
        </w:rPr>
        <w:t>Risk Adjust</w:t>
      </w:r>
      <w:r w:rsidR="002412BB" w:rsidRPr="00771320">
        <w:rPr>
          <w:rFonts w:eastAsia="Calibri"/>
        </w:rPr>
        <w:t>ed</w:t>
      </w:r>
      <w:r w:rsidRPr="00771320">
        <w:rPr>
          <w:rFonts w:eastAsia="Calibri"/>
        </w:rPr>
        <w:t xml:space="preserve"> Utilization</w:t>
      </w:r>
      <w:r w:rsidR="00EA3030">
        <w:rPr>
          <w:rFonts w:eastAsia="Calibri"/>
        </w:rPr>
        <w:t xml:space="preserve"> Measures</w:t>
      </w:r>
      <w:r w:rsidRPr="00771320">
        <w:tab/>
      </w:r>
      <w:r w:rsidRPr="00771320">
        <w:fldChar w:fldCharType="begin"/>
      </w:r>
      <w:r w:rsidRPr="00771320">
        <w:instrText xml:space="preserve"> PAGEREF _Toc201813452 \h </w:instrText>
      </w:r>
      <w:r w:rsidRPr="00771320">
        <w:fldChar w:fldCharType="separate"/>
      </w:r>
      <w:r w:rsidR="008D465F">
        <w:t>383</w:t>
      </w:r>
      <w:r w:rsidRPr="00771320">
        <w:fldChar w:fldCharType="end"/>
      </w:r>
    </w:p>
    <w:p w14:paraId="1A193D81" w14:textId="13DEE2C8"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Plan All-Cause Readmissions (PCR)</w:t>
      </w:r>
      <w:r w:rsidRPr="00771320">
        <w:rPr>
          <w:noProof/>
        </w:rPr>
        <w:tab/>
      </w:r>
      <w:r w:rsidRPr="00771320">
        <w:rPr>
          <w:noProof/>
        </w:rPr>
        <w:fldChar w:fldCharType="begin"/>
      </w:r>
      <w:r w:rsidRPr="00771320">
        <w:rPr>
          <w:noProof/>
        </w:rPr>
        <w:instrText xml:space="preserve"> PAGEREF _Toc201813453 \h </w:instrText>
      </w:r>
      <w:r w:rsidRPr="00771320">
        <w:rPr>
          <w:noProof/>
        </w:rPr>
      </w:r>
      <w:r w:rsidRPr="00771320">
        <w:rPr>
          <w:noProof/>
        </w:rPr>
        <w:fldChar w:fldCharType="separate"/>
      </w:r>
      <w:r w:rsidR="008D465F">
        <w:rPr>
          <w:noProof/>
        </w:rPr>
        <w:t>384</w:t>
      </w:r>
      <w:r w:rsidRPr="00771320">
        <w:rPr>
          <w:noProof/>
        </w:rPr>
        <w:fldChar w:fldCharType="end"/>
      </w:r>
    </w:p>
    <w:p w14:paraId="555948B7" w14:textId="175AD0D7"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Hospitalization Following Discharge From a Skilled Nursing Facility (HFS)</w:t>
      </w:r>
      <w:r w:rsidRPr="00771320">
        <w:rPr>
          <w:noProof/>
        </w:rPr>
        <w:tab/>
      </w:r>
      <w:r w:rsidRPr="00771320">
        <w:rPr>
          <w:noProof/>
        </w:rPr>
        <w:fldChar w:fldCharType="begin"/>
      </w:r>
      <w:r w:rsidRPr="00771320">
        <w:rPr>
          <w:noProof/>
        </w:rPr>
        <w:instrText xml:space="preserve"> PAGEREF _Toc201813454 \h </w:instrText>
      </w:r>
      <w:r w:rsidRPr="00771320">
        <w:rPr>
          <w:noProof/>
        </w:rPr>
      </w:r>
      <w:r w:rsidRPr="00771320">
        <w:rPr>
          <w:noProof/>
        </w:rPr>
        <w:fldChar w:fldCharType="separate"/>
      </w:r>
      <w:r w:rsidR="008D465F">
        <w:rPr>
          <w:noProof/>
        </w:rPr>
        <w:t>401</w:t>
      </w:r>
      <w:r w:rsidRPr="00771320">
        <w:rPr>
          <w:noProof/>
        </w:rPr>
        <w:fldChar w:fldCharType="end"/>
      </w:r>
    </w:p>
    <w:p w14:paraId="5D477FED" w14:textId="39BA97B4"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lang w:eastAsia="zh-CN"/>
        </w:rPr>
        <w:t>Acute Hospitalizations Following Outpatient Colonoscopy (HFC)</w:t>
      </w:r>
      <w:r w:rsidRPr="00771320">
        <w:rPr>
          <w:noProof/>
        </w:rPr>
        <w:tab/>
      </w:r>
      <w:r w:rsidRPr="00771320">
        <w:rPr>
          <w:noProof/>
        </w:rPr>
        <w:fldChar w:fldCharType="begin"/>
      </w:r>
      <w:r w:rsidRPr="00771320">
        <w:rPr>
          <w:noProof/>
        </w:rPr>
        <w:instrText xml:space="preserve"> PAGEREF _Toc201813455 \h </w:instrText>
      </w:r>
      <w:r w:rsidRPr="00771320">
        <w:rPr>
          <w:noProof/>
        </w:rPr>
      </w:r>
      <w:r w:rsidRPr="00771320">
        <w:rPr>
          <w:noProof/>
        </w:rPr>
        <w:fldChar w:fldCharType="separate"/>
      </w:r>
      <w:r w:rsidR="008D465F">
        <w:rPr>
          <w:noProof/>
        </w:rPr>
        <w:t>413</w:t>
      </w:r>
      <w:r w:rsidRPr="00771320">
        <w:rPr>
          <w:noProof/>
        </w:rPr>
        <w:fldChar w:fldCharType="end"/>
      </w:r>
    </w:p>
    <w:p w14:paraId="1B039312" w14:textId="1ECF8B23"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Acute Hospitalizations Following Outpatient General Surgery (HFG)</w:t>
      </w:r>
      <w:r w:rsidRPr="00771320">
        <w:rPr>
          <w:noProof/>
        </w:rPr>
        <w:tab/>
      </w:r>
      <w:r w:rsidRPr="00771320">
        <w:rPr>
          <w:noProof/>
        </w:rPr>
        <w:fldChar w:fldCharType="begin"/>
      </w:r>
      <w:r w:rsidRPr="00771320">
        <w:rPr>
          <w:noProof/>
        </w:rPr>
        <w:instrText xml:space="preserve"> PAGEREF _Toc201813456 \h </w:instrText>
      </w:r>
      <w:r w:rsidRPr="00771320">
        <w:rPr>
          <w:noProof/>
        </w:rPr>
      </w:r>
      <w:r w:rsidRPr="00771320">
        <w:rPr>
          <w:noProof/>
        </w:rPr>
        <w:fldChar w:fldCharType="separate"/>
      </w:r>
      <w:r w:rsidR="008D465F">
        <w:rPr>
          <w:noProof/>
        </w:rPr>
        <w:t>424</w:t>
      </w:r>
      <w:r w:rsidRPr="00771320">
        <w:rPr>
          <w:noProof/>
        </w:rPr>
        <w:fldChar w:fldCharType="end"/>
      </w:r>
    </w:p>
    <w:p w14:paraId="732DE98F" w14:textId="39F897E5"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Acute Hospitalizations Following Outpatient Orthopedic Surgery (HFO)</w:t>
      </w:r>
      <w:r w:rsidRPr="00771320">
        <w:rPr>
          <w:noProof/>
        </w:rPr>
        <w:tab/>
      </w:r>
      <w:r w:rsidRPr="00771320">
        <w:rPr>
          <w:noProof/>
        </w:rPr>
        <w:fldChar w:fldCharType="begin"/>
      </w:r>
      <w:r w:rsidRPr="00771320">
        <w:rPr>
          <w:noProof/>
        </w:rPr>
        <w:instrText xml:space="preserve"> PAGEREF _Toc201813457 \h </w:instrText>
      </w:r>
      <w:r w:rsidRPr="00771320">
        <w:rPr>
          <w:noProof/>
        </w:rPr>
      </w:r>
      <w:r w:rsidRPr="00771320">
        <w:rPr>
          <w:noProof/>
        </w:rPr>
        <w:fldChar w:fldCharType="separate"/>
      </w:r>
      <w:r w:rsidR="008D465F">
        <w:rPr>
          <w:noProof/>
        </w:rPr>
        <w:t>435</w:t>
      </w:r>
      <w:r w:rsidRPr="00771320">
        <w:rPr>
          <w:noProof/>
        </w:rPr>
        <w:fldChar w:fldCharType="end"/>
      </w:r>
    </w:p>
    <w:p w14:paraId="436612DA" w14:textId="31364754"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Acute Hospitalizations Following Outpatient Urologic Surgery (HFU)</w:t>
      </w:r>
      <w:r w:rsidRPr="00771320">
        <w:rPr>
          <w:noProof/>
        </w:rPr>
        <w:tab/>
      </w:r>
      <w:r w:rsidRPr="00771320">
        <w:rPr>
          <w:noProof/>
        </w:rPr>
        <w:fldChar w:fldCharType="begin"/>
      </w:r>
      <w:r w:rsidRPr="00771320">
        <w:rPr>
          <w:noProof/>
        </w:rPr>
        <w:instrText xml:space="preserve"> PAGEREF _Toc201813458 \h </w:instrText>
      </w:r>
      <w:r w:rsidRPr="00771320">
        <w:rPr>
          <w:noProof/>
        </w:rPr>
      </w:r>
      <w:r w:rsidRPr="00771320">
        <w:rPr>
          <w:noProof/>
        </w:rPr>
        <w:fldChar w:fldCharType="separate"/>
      </w:r>
      <w:r w:rsidR="008D465F">
        <w:rPr>
          <w:noProof/>
        </w:rPr>
        <w:t>446</w:t>
      </w:r>
      <w:r w:rsidRPr="00771320">
        <w:rPr>
          <w:noProof/>
        </w:rPr>
        <w:fldChar w:fldCharType="end"/>
      </w:r>
    </w:p>
    <w:p w14:paraId="3DEE116F" w14:textId="66F2DB65"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Acute Hospital Utilization (AHU)</w:t>
      </w:r>
      <w:r w:rsidRPr="00771320">
        <w:rPr>
          <w:noProof/>
        </w:rPr>
        <w:tab/>
      </w:r>
      <w:r w:rsidRPr="00771320">
        <w:rPr>
          <w:noProof/>
        </w:rPr>
        <w:fldChar w:fldCharType="begin"/>
      </w:r>
      <w:r w:rsidRPr="00771320">
        <w:rPr>
          <w:noProof/>
        </w:rPr>
        <w:instrText xml:space="preserve"> PAGEREF _Toc201813459 \h </w:instrText>
      </w:r>
      <w:r w:rsidRPr="00771320">
        <w:rPr>
          <w:noProof/>
        </w:rPr>
      </w:r>
      <w:r w:rsidRPr="00771320">
        <w:rPr>
          <w:noProof/>
        </w:rPr>
        <w:fldChar w:fldCharType="separate"/>
      </w:r>
      <w:r w:rsidR="008D465F">
        <w:rPr>
          <w:noProof/>
        </w:rPr>
        <w:t>457</w:t>
      </w:r>
      <w:r w:rsidRPr="00771320">
        <w:rPr>
          <w:noProof/>
        </w:rPr>
        <w:fldChar w:fldCharType="end"/>
      </w:r>
    </w:p>
    <w:p w14:paraId="711F99CD" w14:textId="24C82746"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Emergency Department Utilization (EDU)</w:t>
      </w:r>
      <w:r w:rsidRPr="00771320">
        <w:rPr>
          <w:noProof/>
        </w:rPr>
        <w:tab/>
      </w:r>
      <w:r w:rsidRPr="00771320">
        <w:rPr>
          <w:noProof/>
        </w:rPr>
        <w:fldChar w:fldCharType="begin"/>
      </w:r>
      <w:r w:rsidRPr="00771320">
        <w:rPr>
          <w:noProof/>
        </w:rPr>
        <w:instrText xml:space="preserve"> PAGEREF _Toc201813460 \h </w:instrText>
      </w:r>
      <w:r w:rsidRPr="00771320">
        <w:rPr>
          <w:noProof/>
        </w:rPr>
      </w:r>
      <w:r w:rsidRPr="00771320">
        <w:rPr>
          <w:noProof/>
        </w:rPr>
        <w:fldChar w:fldCharType="separate"/>
      </w:r>
      <w:r w:rsidR="008D465F">
        <w:rPr>
          <w:noProof/>
        </w:rPr>
        <w:t>470</w:t>
      </w:r>
      <w:r w:rsidRPr="00771320">
        <w:rPr>
          <w:noProof/>
        </w:rPr>
        <w:fldChar w:fldCharType="end"/>
      </w:r>
    </w:p>
    <w:p w14:paraId="645C3C71" w14:textId="2528E860"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Hospitalization for Potentially Preventable Complications (HPC)</w:t>
      </w:r>
      <w:r w:rsidRPr="00771320">
        <w:rPr>
          <w:noProof/>
        </w:rPr>
        <w:tab/>
      </w:r>
      <w:r w:rsidRPr="00771320">
        <w:rPr>
          <w:noProof/>
        </w:rPr>
        <w:fldChar w:fldCharType="begin"/>
      </w:r>
      <w:r w:rsidRPr="00771320">
        <w:rPr>
          <w:noProof/>
        </w:rPr>
        <w:instrText xml:space="preserve"> PAGEREF _Toc201813461 \h </w:instrText>
      </w:r>
      <w:r w:rsidRPr="00771320">
        <w:rPr>
          <w:noProof/>
        </w:rPr>
      </w:r>
      <w:r w:rsidRPr="00771320">
        <w:rPr>
          <w:noProof/>
        </w:rPr>
        <w:fldChar w:fldCharType="separate"/>
      </w:r>
      <w:r w:rsidR="008D465F">
        <w:rPr>
          <w:noProof/>
        </w:rPr>
        <w:t>481</w:t>
      </w:r>
      <w:r w:rsidRPr="00771320">
        <w:rPr>
          <w:noProof/>
        </w:rPr>
        <w:fldChar w:fldCharType="end"/>
      </w:r>
    </w:p>
    <w:p w14:paraId="41879557" w14:textId="730883F1"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Emergency Department Visits for Hypoglycemia in Older Adults With Diabetes (EDH)</w:t>
      </w:r>
      <w:r w:rsidRPr="00771320">
        <w:rPr>
          <w:noProof/>
        </w:rPr>
        <w:tab/>
      </w:r>
      <w:r w:rsidRPr="00771320">
        <w:rPr>
          <w:noProof/>
        </w:rPr>
        <w:fldChar w:fldCharType="begin"/>
      </w:r>
      <w:r w:rsidRPr="00771320">
        <w:rPr>
          <w:noProof/>
        </w:rPr>
        <w:instrText xml:space="preserve"> PAGEREF _Toc201813462 \h </w:instrText>
      </w:r>
      <w:r w:rsidRPr="00771320">
        <w:rPr>
          <w:noProof/>
        </w:rPr>
      </w:r>
      <w:r w:rsidRPr="00771320">
        <w:rPr>
          <w:noProof/>
        </w:rPr>
        <w:fldChar w:fldCharType="separate"/>
      </w:r>
      <w:r w:rsidR="008D465F">
        <w:rPr>
          <w:noProof/>
        </w:rPr>
        <w:t>495</w:t>
      </w:r>
      <w:r w:rsidRPr="00771320">
        <w:rPr>
          <w:noProof/>
        </w:rPr>
        <w:fldChar w:fldCharType="end"/>
      </w:r>
    </w:p>
    <w:p w14:paraId="0978FFBA" w14:textId="19F22D1D" w:rsidR="00C600B9" w:rsidRPr="00771320" w:rsidRDefault="00C600B9" w:rsidP="00C600B9">
      <w:pPr>
        <w:pStyle w:val="TOC1"/>
        <w:rPr>
          <w:rFonts w:asciiTheme="minorHAnsi" w:eastAsiaTheme="minorEastAsia" w:hAnsiTheme="minorHAnsi" w:cstheme="minorBidi"/>
          <w:b w:val="0"/>
          <w:bCs w:val="0"/>
          <w:kern w:val="2"/>
          <w14:ligatures w14:val="standardContextual"/>
        </w:rPr>
      </w:pPr>
      <w:r w:rsidRPr="00771320">
        <w:t>Measures Reported Using Electronic Clinical Data Systems</w:t>
      </w:r>
      <w:r w:rsidRPr="00771320">
        <w:tab/>
      </w:r>
      <w:r w:rsidRPr="00771320">
        <w:fldChar w:fldCharType="begin"/>
      </w:r>
      <w:r w:rsidRPr="00771320">
        <w:instrText xml:space="preserve"> PAGEREF _Toc201813463 \h </w:instrText>
      </w:r>
      <w:r w:rsidRPr="00771320">
        <w:fldChar w:fldCharType="separate"/>
      </w:r>
      <w:r w:rsidR="008D465F">
        <w:t>507</w:t>
      </w:r>
      <w:r w:rsidRPr="00771320">
        <w:fldChar w:fldCharType="end"/>
      </w:r>
    </w:p>
    <w:p w14:paraId="01F7433D" w14:textId="353F9772"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Childhood Immunization Status (CIS-E)</w:t>
      </w:r>
      <w:r w:rsidRPr="00771320">
        <w:rPr>
          <w:noProof/>
        </w:rPr>
        <w:tab/>
      </w:r>
      <w:r w:rsidRPr="00771320">
        <w:rPr>
          <w:noProof/>
        </w:rPr>
        <w:fldChar w:fldCharType="begin"/>
      </w:r>
      <w:r w:rsidRPr="00771320">
        <w:rPr>
          <w:noProof/>
        </w:rPr>
        <w:instrText xml:space="preserve"> PAGEREF _Toc201813464 \h </w:instrText>
      </w:r>
      <w:r w:rsidRPr="00771320">
        <w:rPr>
          <w:noProof/>
        </w:rPr>
      </w:r>
      <w:r w:rsidRPr="00771320">
        <w:rPr>
          <w:noProof/>
        </w:rPr>
        <w:fldChar w:fldCharType="separate"/>
      </w:r>
      <w:r w:rsidR="008D465F">
        <w:rPr>
          <w:noProof/>
        </w:rPr>
        <w:t>508</w:t>
      </w:r>
      <w:r w:rsidRPr="00771320">
        <w:rPr>
          <w:noProof/>
        </w:rPr>
        <w:fldChar w:fldCharType="end"/>
      </w:r>
    </w:p>
    <w:p w14:paraId="05DB2546" w14:textId="4D5259E5"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Immunizations for Adolescents (IMA-E)</w:t>
      </w:r>
      <w:r w:rsidRPr="00771320">
        <w:rPr>
          <w:noProof/>
        </w:rPr>
        <w:tab/>
      </w:r>
      <w:r w:rsidRPr="00771320">
        <w:rPr>
          <w:noProof/>
        </w:rPr>
        <w:fldChar w:fldCharType="begin"/>
      </w:r>
      <w:r w:rsidRPr="00771320">
        <w:rPr>
          <w:noProof/>
        </w:rPr>
        <w:instrText xml:space="preserve"> PAGEREF _Toc201813465 \h </w:instrText>
      </w:r>
      <w:r w:rsidRPr="00771320">
        <w:rPr>
          <w:noProof/>
        </w:rPr>
      </w:r>
      <w:r w:rsidRPr="00771320">
        <w:rPr>
          <w:noProof/>
        </w:rPr>
        <w:fldChar w:fldCharType="separate"/>
      </w:r>
      <w:r w:rsidR="008D465F">
        <w:rPr>
          <w:noProof/>
        </w:rPr>
        <w:t>516</w:t>
      </w:r>
      <w:r w:rsidRPr="00771320">
        <w:rPr>
          <w:noProof/>
        </w:rPr>
        <w:fldChar w:fldCharType="end"/>
      </w:r>
    </w:p>
    <w:p w14:paraId="4331A50E" w14:textId="62519733"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Lead Screening in Children (LSC-E)</w:t>
      </w:r>
      <w:r w:rsidRPr="00771320">
        <w:rPr>
          <w:noProof/>
        </w:rPr>
        <w:tab/>
      </w:r>
      <w:r w:rsidRPr="00771320">
        <w:rPr>
          <w:noProof/>
        </w:rPr>
        <w:fldChar w:fldCharType="begin"/>
      </w:r>
      <w:r w:rsidRPr="00771320">
        <w:rPr>
          <w:noProof/>
        </w:rPr>
        <w:instrText xml:space="preserve"> PAGEREF _Toc201813466 \h </w:instrText>
      </w:r>
      <w:r w:rsidRPr="00771320">
        <w:rPr>
          <w:noProof/>
        </w:rPr>
      </w:r>
      <w:r w:rsidRPr="00771320">
        <w:rPr>
          <w:noProof/>
        </w:rPr>
        <w:fldChar w:fldCharType="separate"/>
      </w:r>
      <w:r w:rsidR="008D465F">
        <w:rPr>
          <w:noProof/>
        </w:rPr>
        <w:t>522</w:t>
      </w:r>
      <w:r w:rsidRPr="00771320">
        <w:rPr>
          <w:noProof/>
        </w:rPr>
        <w:fldChar w:fldCharType="end"/>
      </w:r>
    </w:p>
    <w:p w14:paraId="6295E483" w14:textId="16719E4D"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Breast Cancer Screening (BCS-E)</w:t>
      </w:r>
      <w:r w:rsidRPr="00771320">
        <w:rPr>
          <w:noProof/>
        </w:rPr>
        <w:tab/>
      </w:r>
      <w:r w:rsidRPr="00771320">
        <w:rPr>
          <w:noProof/>
        </w:rPr>
        <w:fldChar w:fldCharType="begin"/>
      </w:r>
      <w:r w:rsidRPr="00771320">
        <w:rPr>
          <w:noProof/>
        </w:rPr>
        <w:instrText xml:space="preserve"> PAGEREF _Toc201813467 \h </w:instrText>
      </w:r>
      <w:r w:rsidRPr="00771320">
        <w:rPr>
          <w:noProof/>
        </w:rPr>
      </w:r>
      <w:r w:rsidRPr="00771320">
        <w:rPr>
          <w:noProof/>
        </w:rPr>
        <w:fldChar w:fldCharType="separate"/>
      </w:r>
      <w:r w:rsidR="008D465F">
        <w:rPr>
          <w:noProof/>
        </w:rPr>
        <w:t>525</w:t>
      </w:r>
      <w:r w:rsidRPr="00771320">
        <w:rPr>
          <w:noProof/>
        </w:rPr>
        <w:fldChar w:fldCharType="end"/>
      </w:r>
    </w:p>
    <w:p w14:paraId="2B6C6FB9" w14:textId="72841A07"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lang w:eastAsia="zh-CN"/>
        </w:rPr>
        <w:t>Documented Assessment After Mammogram (DBM-E)</w:t>
      </w:r>
      <w:r w:rsidRPr="00771320">
        <w:rPr>
          <w:noProof/>
        </w:rPr>
        <w:tab/>
      </w:r>
      <w:r w:rsidRPr="00771320">
        <w:rPr>
          <w:noProof/>
        </w:rPr>
        <w:fldChar w:fldCharType="begin"/>
      </w:r>
      <w:r w:rsidRPr="00771320">
        <w:rPr>
          <w:noProof/>
        </w:rPr>
        <w:instrText xml:space="preserve"> PAGEREF _Toc201813468 \h </w:instrText>
      </w:r>
      <w:r w:rsidRPr="00771320">
        <w:rPr>
          <w:noProof/>
        </w:rPr>
      </w:r>
      <w:r w:rsidRPr="00771320">
        <w:rPr>
          <w:noProof/>
        </w:rPr>
        <w:fldChar w:fldCharType="separate"/>
      </w:r>
      <w:r w:rsidR="008D465F">
        <w:rPr>
          <w:noProof/>
        </w:rPr>
        <w:t>532</w:t>
      </w:r>
      <w:r w:rsidRPr="00771320">
        <w:rPr>
          <w:noProof/>
        </w:rPr>
        <w:fldChar w:fldCharType="end"/>
      </w:r>
    </w:p>
    <w:p w14:paraId="7A06E8E4" w14:textId="5A8C076D"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lang w:eastAsia="zh-CN"/>
        </w:rPr>
        <w:t>Follow-Up After Abnormal Mammogram Assessment (FMA-E)</w:t>
      </w:r>
      <w:r w:rsidRPr="00771320">
        <w:rPr>
          <w:noProof/>
        </w:rPr>
        <w:tab/>
      </w:r>
      <w:r w:rsidRPr="00771320">
        <w:rPr>
          <w:noProof/>
        </w:rPr>
        <w:fldChar w:fldCharType="begin"/>
      </w:r>
      <w:r w:rsidRPr="00771320">
        <w:rPr>
          <w:noProof/>
        </w:rPr>
        <w:instrText xml:space="preserve"> PAGEREF _Toc201813469 \h </w:instrText>
      </w:r>
      <w:r w:rsidRPr="00771320">
        <w:rPr>
          <w:noProof/>
        </w:rPr>
      </w:r>
      <w:r w:rsidRPr="00771320">
        <w:rPr>
          <w:noProof/>
        </w:rPr>
        <w:fldChar w:fldCharType="separate"/>
      </w:r>
      <w:r w:rsidR="008D465F">
        <w:rPr>
          <w:noProof/>
        </w:rPr>
        <w:t>536</w:t>
      </w:r>
      <w:r w:rsidRPr="00771320">
        <w:rPr>
          <w:noProof/>
        </w:rPr>
        <w:fldChar w:fldCharType="end"/>
      </w:r>
    </w:p>
    <w:p w14:paraId="7621671D" w14:textId="7FDBDDAB"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Cervical Cancer Screening (CCS-E)</w:t>
      </w:r>
      <w:r w:rsidRPr="00771320">
        <w:rPr>
          <w:noProof/>
        </w:rPr>
        <w:tab/>
      </w:r>
      <w:r w:rsidRPr="00771320">
        <w:rPr>
          <w:noProof/>
        </w:rPr>
        <w:fldChar w:fldCharType="begin"/>
      </w:r>
      <w:r w:rsidRPr="00771320">
        <w:rPr>
          <w:noProof/>
        </w:rPr>
        <w:instrText xml:space="preserve"> PAGEREF _Toc201813470 \h </w:instrText>
      </w:r>
      <w:r w:rsidRPr="00771320">
        <w:rPr>
          <w:noProof/>
        </w:rPr>
      </w:r>
      <w:r w:rsidRPr="00771320">
        <w:rPr>
          <w:noProof/>
        </w:rPr>
        <w:fldChar w:fldCharType="separate"/>
      </w:r>
      <w:r w:rsidR="008D465F">
        <w:rPr>
          <w:noProof/>
        </w:rPr>
        <w:t>540</w:t>
      </w:r>
      <w:r w:rsidRPr="00771320">
        <w:rPr>
          <w:noProof/>
        </w:rPr>
        <w:fldChar w:fldCharType="end"/>
      </w:r>
    </w:p>
    <w:p w14:paraId="7A7DC023" w14:textId="4DDE7923"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Colorectal Cancer Screening (COL-E)</w:t>
      </w:r>
      <w:r w:rsidRPr="00771320">
        <w:rPr>
          <w:noProof/>
        </w:rPr>
        <w:tab/>
      </w:r>
      <w:r w:rsidRPr="00771320">
        <w:rPr>
          <w:noProof/>
        </w:rPr>
        <w:fldChar w:fldCharType="begin"/>
      </w:r>
      <w:r w:rsidRPr="00771320">
        <w:rPr>
          <w:noProof/>
        </w:rPr>
        <w:instrText xml:space="preserve"> PAGEREF _Toc201813471 \h </w:instrText>
      </w:r>
      <w:r w:rsidRPr="00771320">
        <w:rPr>
          <w:noProof/>
        </w:rPr>
      </w:r>
      <w:r w:rsidRPr="00771320">
        <w:rPr>
          <w:noProof/>
        </w:rPr>
        <w:fldChar w:fldCharType="separate"/>
      </w:r>
      <w:r w:rsidR="008D465F">
        <w:rPr>
          <w:noProof/>
        </w:rPr>
        <w:t>547</w:t>
      </w:r>
      <w:r w:rsidRPr="00771320">
        <w:rPr>
          <w:noProof/>
        </w:rPr>
        <w:fldChar w:fldCharType="end"/>
      </w:r>
    </w:p>
    <w:p w14:paraId="4541019D" w14:textId="4974FBB3"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Follow-Up After Acute and Urgent Care Visits for Asthma (AAF-E)</w:t>
      </w:r>
      <w:r w:rsidRPr="00771320">
        <w:rPr>
          <w:noProof/>
        </w:rPr>
        <w:tab/>
      </w:r>
      <w:r w:rsidRPr="00771320">
        <w:rPr>
          <w:noProof/>
        </w:rPr>
        <w:fldChar w:fldCharType="begin"/>
      </w:r>
      <w:r w:rsidRPr="00771320">
        <w:rPr>
          <w:noProof/>
        </w:rPr>
        <w:instrText xml:space="preserve"> PAGEREF _Toc201813472 \h </w:instrText>
      </w:r>
      <w:r w:rsidRPr="00771320">
        <w:rPr>
          <w:noProof/>
        </w:rPr>
      </w:r>
      <w:r w:rsidRPr="00771320">
        <w:rPr>
          <w:noProof/>
        </w:rPr>
        <w:fldChar w:fldCharType="separate"/>
      </w:r>
      <w:r w:rsidR="008D465F">
        <w:rPr>
          <w:noProof/>
        </w:rPr>
        <w:t>553</w:t>
      </w:r>
      <w:r w:rsidRPr="00771320">
        <w:rPr>
          <w:noProof/>
        </w:rPr>
        <w:fldChar w:fldCharType="end"/>
      </w:r>
    </w:p>
    <w:p w14:paraId="69E7CA76" w14:textId="2A507072"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Blood Pressure Control for Patients With Hypertension (BPC-E)</w:t>
      </w:r>
      <w:r w:rsidRPr="00771320">
        <w:rPr>
          <w:noProof/>
        </w:rPr>
        <w:tab/>
      </w:r>
      <w:r w:rsidRPr="00771320">
        <w:rPr>
          <w:noProof/>
        </w:rPr>
        <w:fldChar w:fldCharType="begin"/>
      </w:r>
      <w:r w:rsidRPr="00771320">
        <w:rPr>
          <w:noProof/>
        </w:rPr>
        <w:instrText xml:space="preserve"> PAGEREF _Toc201813473 \h </w:instrText>
      </w:r>
      <w:r w:rsidRPr="00771320">
        <w:rPr>
          <w:noProof/>
        </w:rPr>
      </w:r>
      <w:r w:rsidRPr="00771320">
        <w:rPr>
          <w:noProof/>
        </w:rPr>
        <w:fldChar w:fldCharType="separate"/>
      </w:r>
      <w:r w:rsidR="008D465F">
        <w:rPr>
          <w:noProof/>
        </w:rPr>
        <w:t>560</w:t>
      </w:r>
      <w:r w:rsidRPr="00771320">
        <w:rPr>
          <w:noProof/>
        </w:rPr>
        <w:fldChar w:fldCharType="end"/>
      </w:r>
    </w:p>
    <w:p w14:paraId="7C4EF651" w14:textId="0DD60580"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Statin Therapy for Patients With Cardiovascular Disease (SPC-E)</w:t>
      </w:r>
      <w:r w:rsidRPr="00771320">
        <w:rPr>
          <w:noProof/>
        </w:rPr>
        <w:tab/>
      </w:r>
      <w:r w:rsidRPr="00771320">
        <w:rPr>
          <w:noProof/>
        </w:rPr>
        <w:fldChar w:fldCharType="begin"/>
      </w:r>
      <w:r w:rsidRPr="00771320">
        <w:rPr>
          <w:noProof/>
        </w:rPr>
        <w:instrText xml:space="preserve"> PAGEREF _Toc201813474 \h </w:instrText>
      </w:r>
      <w:r w:rsidRPr="00771320">
        <w:rPr>
          <w:noProof/>
        </w:rPr>
      </w:r>
      <w:r w:rsidRPr="00771320">
        <w:rPr>
          <w:noProof/>
        </w:rPr>
        <w:fldChar w:fldCharType="separate"/>
      </w:r>
      <w:r w:rsidR="008D465F">
        <w:rPr>
          <w:noProof/>
        </w:rPr>
        <w:t>567</w:t>
      </w:r>
      <w:r w:rsidRPr="00771320">
        <w:rPr>
          <w:noProof/>
        </w:rPr>
        <w:fldChar w:fldCharType="end"/>
      </w:r>
    </w:p>
    <w:p w14:paraId="7C4C7F60" w14:textId="4DF5CF51"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Blood Pressure Control for Patients With Diabetes (BPD-E)</w:t>
      </w:r>
      <w:r w:rsidRPr="00771320">
        <w:rPr>
          <w:noProof/>
        </w:rPr>
        <w:tab/>
      </w:r>
      <w:r w:rsidRPr="00771320">
        <w:rPr>
          <w:noProof/>
        </w:rPr>
        <w:fldChar w:fldCharType="begin"/>
      </w:r>
      <w:r w:rsidRPr="00771320">
        <w:rPr>
          <w:noProof/>
        </w:rPr>
        <w:instrText xml:space="preserve"> PAGEREF _Toc201813475 \h </w:instrText>
      </w:r>
      <w:r w:rsidRPr="00771320">
        <w:rPr>
          <w:noProof/>
        </w:rPr>
      </w:r>
      <w:r w:rsidRPr="00771320">
        <w:rPr>
          <w:noProof/>
        </w:rPr>
        <w:fldChar w:fldCharType="separate"/>
      </w:r>
      <w:r w:rsidR="008D465F">
        <w:rPr>
          <w:noProof/>
        </w:rPr>
        <w:t>574</w:t>
      </w:r>
      <w:r w:rsidRPr="00771320">
        <w:rPr>
          <w:noProof/>
        </w:rPr>
        <w:fldChar w:fldCharType="end"/>
      </w:r>
    </w:p>
    <w:p w14:paraId="1DBF931E" w14:textId="483841A3"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Statin Therapy for Patients With Diabetes (SPD-E)</w:t>
      </w:r>
      <w:r w:rsidRPr="00771320">
        <w:rPr>
          <w:noProof/>
        </w:rPr>
        <w:tab/>
      </w:r>
      <w:r w:rsidRPr="00771320">
        <w:rPr>
          <w:noProof/>
        </w:rPr>
        <w:fldChar w:fldCharType="begin"/>
      </w:r>
      <w:r w:rsidRPr="00771320">
        <w:rPr>
          <w:noProof/>
        </w:rPr>
        <w:instrText xml:space="preserve"> PAGEREF _Toc201813476 \h </w:instrText>
      </w:r>
      <w:r w:rsidRPr="00771320">
        <w:rPr>
          <w:noProof/>
        </w:rPr>
      </w:r>
      <w:r w:rsidRPr="00771320">
        <w:rPr>
          <w:noProof/>
        </w:rPr>
        <w:fldChar w:fldCharType="separate"/>
      </w:r>
      <w:r w:rsidR="008D465F">
        <w:rPr>
          <w:noProof/>
        </w:rPr>
        <w:t>579</w:t>
      </w:r>
      <w:r w:rsidRPr="00771320">
        <w:rPr>
          <w:noProof/>
        </w:rPr>
        <w:fldChar w:fldCharType="end"/>
      </w:r>
    </w:p>
    <w:p w14:paraId="597BA882" w14:textId="395D5501"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Follow-Up Care for Children Prescribed ADHD Medication (ADD-E)</w:t>
      </w:r>
      <w:r w:rsidRPr="00771320">
        <w:rPr>
          <w:noProof/>
        </w:rPr>
        <w:tab/>
      </w:r>
      <w:r w:rsidRPr="00771320">
        <w:rPr>
          <w:noProof/>
        </w:rPr>
        <w:fldChar w:fldCharType="begin"/>
      </w:r>
      <w:r w:rsidRPr="00771320">
        <w:rPr>
          <w:noProof/>
        </w:rPr>
        <w:instrText xml:space="preserve"> PAGEREF _Toc201813477 \h </w:instrText>
      </w:r>
      <w:r w:rsidRPr="00771320">
        <w:rPr>
          <w:noProof/>
        </w:rPr>
      </w:r>
      <w:r w:rsidRPr="00771320">
        <w:rPr>
          <w:noProof/>
        </w:rPr>
        <w:fldChar w:fldCharType="separate"/>
      </w:r>
      <w:r w:rsidR="008D465F">
        <w:rPr>
          <w:noProof/>
        </w:rPr>
        <w:t>587</w:t>
      </w:r>
      <w:r w:rsidRPr="00771320">
        <w:rPr>
          <w:noProof/>
        </w:rPr>
        <w:fldChar w:fldCharType="end"/>
      </w:r>
    </w:p>
    <w:p w14:paraId="77FC6F6C" w14:textId="36C2BD00"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Metabolic Monitoring for Children and Adolescents on Antipsychotics (APM-E)</w:t>
      </w:r>
      <w:r w:rsidRPr="00771320">
        <w:rPr>
          <w:noProof/>
        </w:rPr>
        <w:tab/>
      </w:r>
      <w:r w:rsidRPr="00771320">
        <w:rPr>
          <w:noProof/>
        </w:rPr>
        <w:fldChar w:fldCharType="begin"/>
      </w:r>
      <w:r w:rsidRPr="00771320">
        <w:rPr>
          <w:noProof/>
        </w:rPr>
        <w:instrText xml:space="preserve"> PAGEREF _Toc201813478 \h </w:instrText>
      </w:r>
      <w:r w:rsidRPr="00771320">
        <w:rPr>
          <w:noProof/>
        </w:rPr>
      </w:r>
      <w:r w:rsidRPr="00771320">
        <w:rPr>
          <w:noProof/>
        </w:rPr>
        <w:fldChar w:fldCharType="separate"/>
      </w:r>
      <w:r w:rsidR="008D465F">
        <w:rPr>
          <w:noProof/>
        </w:rPr>
        <w:t>595</w:t>
      </w:r>
      <w:r w:rsidRPr="00771320">
        <w:rPr>
          <w:noProof/>
        </w:rPr>
        <w:fldChar w:fldCharType="end"/>
      </w:r>
    </w:p>
    <w:p w14:paraId="2A4B672A" w14:textId="1B2A6A0F"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Depression Screening and Follow-Up for Adolescents and Adults (DSF-E)</w:t>
      </w:r>
      <w:r w:rsidRPr="00771320">
        <w:rPr>
          <w:noProof/>
        </w:rPr>
        <w:tab/>
      </w:r>
      <w:r w:rsidRPr="00771320">
        <w:rPr>
          <w:noProof/>
        </w:rPr>
        <w:fldChar w:fldCharType="begin"/>
      </w:r>
      <w:r w:rsidRPr="00771320">
        <w:rPr>
          <w:noProof/>
        </w:rPr>
        <w:instrText xml:space="preserve"> PAGEREF _Toc201813479 \h </w:instrText>
      </w:r>
      <w:r w:rsidRPr="00771320">
        <w:rPr>
          <w:noProof/>
        </w:rPr>
      </w:r>
      <w:r w:rsidRPr="00771320">
        <w:rPr>
          <w:noProof/>
        </w:rPr>
        <w:fldChar w:fldCharType="separate"/>
      </w:r>
      <w:r w:rsidR="008D465F">
        <w:rPr>
          <w:noProof/>
        </w:rPr>
        <w:t>599</w:t>
      </w:r>
      <w:r w:rsidRPr="00771320">
        <w:rPr>
          <w:noProof/>
        </w:rPr>
        <w:fldChar w:fldCharType="end"/>
      </w:r>
    </w:p>
    <w:p w14:paraId="29C18383" w14:textId="669D05C7"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 xml:space="preserve">Utilization of the PHQ-9 to Monitor Depression Symptoms for Adolescents </w:t>
      </w:r>
      <w:r w:rsidR="00F127DD" w:rsidRPr="00771320">
        <w:rPr>
          <w:noProof/>
        </w:rPr>
        <w:br/>
      </w:r>
      <w:r w:rsidRPr="00771320">
        <w:rPr>
          <w:noProof/>
        </w:rPr>
        <w:t>and Adults (DMS-E)</w:t>
      </w:r>
      <w:r w:rsidRPr="00771320">
        <w:rPr>
          <w:noProof/>
        </w:rPr>
        <w:tab/>
      </w:r>
      <w:r w:rsidRPr="00771320">
        <w:rPr>
          <w:noProof/>
        </w:rPr>
        <w:fldChar w:fldCharType="begin"/>
      </w:r>
      <w:r w:rsidRPr="00771320">
        <w:rPr>
          <w:noProof/>
        </w:rPr>
        <w:instrText xml:space="preserve"> PAGEREF _Toc201813480 \h </w:instrText>
      </w:r>
      <w:r w:rsidRPr="00771320">
        <w:rPr>
          <w:noProof/>
        </w:rPr>
      </w:r>
      <w:r w:rsidRPr="00771320">
        <w:rPr>
          <w:noProof/>
        </w:rPr>
        <w:fldChar w:fldCharType="separate"/>
      </w:r>
      <w:r w:rsidR="008D465F">
        <w:rPr>
          <w:noProof/>
        </w:rPr>
        <w:t>605</w:t>
      </w:r>
      <w:r w:rsidRPr="00771320">
        <w:rPr>
          <w:noProof/>
        </w:rPr>
        <w:fldChar w:fldCharType="end"/>
      </w:r>
    </w:p>
    <w:p w14:paraId="7FDEF67A" w14:textId="0CB49DBF"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Depression Remission or Response for Adolescents and Adults (DRR-E)</w:t>
      </w:r>
      <w:r w:rsidRPr="00771320">
        <w:rPr>
          <w:noProof/>
        </w:rPr>
        <w:tab/>
      </w:r>
      <w:r w:rsidRPr="00771320">
        <w:rPr>
          <w:noProof/>
        </w:rPr>
        <w:fldChar w:fldCharType="begin"/>
      </w:r>
      <w:r w:rsidRPr="00771320">
        <w:rPr>
          <w:noProof/>
        </w:rPr>
        <w:instrText xml:space="preserve"> PAGEREF _Toc201813481 \h </w:instrText>
      </w:r>
      <w:r w:rsidRPr="00771320">
        <w:rPr>
          <w:noProof/>
        </w:rPr>
      </w:r>
      <w:r w:rsidRPr="00771320">
        <w:rPr>
          <w:noProof/>
        </w:rPr>
        <w:fldChar w:fldCharType="separate"/>
      </w:r>
      <w:r w:rsidR="008D465F">
        <w:rPr>
          <w:noProof/>
        </w:rPr>
        <w:t>610</w:t>
      </w:r>
      <w:r w:rsidRPr="00771320">
        <w:rPr>
          <w:noProof/>
        </w:rPr>
        <w:fldChar w:fldCharType="end"/>
      </w:r>
    </w:p>
    <w:p w14:paraId="27A2A7E0" w14:textId="0E8850CF"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Unhealthy Alcohol Use Screening and Follow-Up (ASF-E)</w:t>
      </w:r>
      <w:r w:rsidRPr="00771320">
        <w:rPr>
          <w:noProof/>
        </w:rPr>
        <w:tab/>
      </w:r>
      <w:r w:rsidRPr="00771320">
        <w:rPr>
          <w:noProof/>
        </w:rPr>
        <w:fldChar w:fldCharType="begin"/>
      </w:r>
      <w:r w:rsidRPr="00771320">
        <w:rPr>
          <w:noProof/>
        </w:rPr>
        <w:instrText xml:space="preserve"> PAGEREF _Toc201813482 \h </w:instrText>
      </w:r>
      <w:r w:rsidRPr="00771320">
        <w:rPr>
          <w:noProof/>
        </w:rPr>
      </w:r>
      <w:r w:rsidRPr="00771320">
        <w:rPr>
          <w:noProof/>
        </w:rPr>
        <w:fldChar w:fldCharType="separate"/>
      </w:r>
      <w:r w:rsidR="008D465F">
        <w:rPr>
          <w:noProof/>
        </w:rPr>
        <w:t>615</w:t>
      </w:r>
      <w:r w:rsidRPr="00771320">
        <w:rPr>
          <w:noProof/>
        </w:rPr>
        <w:fldChar w:fldCharType="end"/>
      </w:r>
    </w:p>
    <w:p w14:paraId="260EF21A" w14:textId="325B72F0"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rFonts w:eastAsia="Arial"/>
          <w:noProof/>
        </w:rPr>
        <w:t>Tobacco Use Screening and Cessation Intervention (TSC-E)</w:t>
      </w:r>
      <w:r w:rsidRPr="00771320">
        <w:rPr>
          <w:noProof/>
        </w:rPr>
        <w:tab/>
      </w:r>
      <w:r w:rsidRPr="00771320">
        <w:rPr>
          <w:noProof/>
        </w:rPr>
        <w:fldChar w:fldCharType="begin"/>
      </w:r>
      <w:r w:rsidRPr="00771320">
        <w:rPr>
          <w:noProof/>
        </w:rPr>
        <w:instrText xml:space="preserve"> PAGEREF _Toc201813483 \h </w:instrText>
      </w:r>
      <w:r w:rsidRPr="00771320">
        <w:rPr>
          <w:noProof/>
        </w:rPr>
      </w:r>
      <w:r w:rsidRPr="00771320">
        <w:rPr>
          <w:noProof/>
        </w:rPr>
        <w:fldChar w:fldCharType="separate"/>
      </w:r>
      <w:r w:rsidR="008D465F">
        <w:rPr>
          <w:noProof/>
        </w:rPr>
        <w:t>620</w:t>
      </w:r>
      <w:r w:rsidRPr="00771320">
        <w:rPr>
          <w:noProof/>
        </w:rPr>
        <w:fldChar w:fldCharType="end"/>
      </w:r>
    </w:p>
    <w:p w14:paraId="266A8BFD" w14:textId="51C13B83"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Adult Immunization Status (AIS-E)</w:t>
      </w:r>
      <w:r w:rsidRPr="00771320">
        <w:rPr>
          <w:noProof/>
        </w:rPr>
        <w:tab/>
      </w:r>
      <w:r w:rsidRPr="00771320">
        <w:rPr>
          <w:noProof/>
        </w:rPr>
        <w:fldChar w:fldCharType="begin"/>
      </w:r>
      <w:r w:rsidRPr="00771320">
        <w:rPr>
          <w:noProof/>
        </w:rPr>
        <w:instrText xml:space="preserve"> PAGEREF _Toc201813484 \h </w:instrText>
      </w:r>
      <w:r w:rsidRPr="00771320">
        <w:rPr>
          <w:noProof/>
        </w:rPr>
      </w:r>
      <w:r w:rsidRPr="00771320">
        <w:rPr>
          <w:noProof/>
        </w:rPr>
        <w:fldChar w:fldCharType="separate"/>
      </w:r>
      <w:r w:rsidR="008D465F">
        <w:rPr>
          <w:noProof/>
        </w:rPr>
        <w:t>626</w:t>
      </w:r>
      <w:r w:rsidRPr="00771320">
        <w:rPr>
          <w:noProof/>
        </w:rPr>
        <w:fldChar w:fldCharType="end"/>
      </w:r>
    </w:p>
    <w:p w14:paraId="608939C2" w14:textId="2901B226"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Prenatal Immunization Status (PRS-E)</w:t>
      </w:r>
      <w:r w:rsidRPr="00771320">
        <w:rPr>
          <w:noProof/>
        </w:rPr>
        <w:tab/>
      </w:r>
      <w:r w:rsidRPr="00771320">
        <w:rPr>
          <w:noProof/>
        </w:rPr>
        <w:fldChar w:fldCharType="begin"/>
      </w:r>
      <w:r w:rsidRPr="00771320">
        <w:rPr>
          <w:noProof/>
        </w:rPr>
        <w:instrText xml:space="preserve"> PAGEREF _Toc201813485 \h </w:instrText>
      </w:r>
      <w:r w:rsidRPr="00771320">
        <w:rPr>
          <w:noProof/>
        </w:rPr>
      </w:r>
      <w:r w:rsidRPr="00771320">
        <w:rPr>
          <w:noProof/>
        </w:rPr>
        <w:fldChar w:fldCharType="separate"/>
      </w:r>
      <w:r w:rsidR="008D465F">
        <w:rPr>
          <w:noProof/>
        </w:rPr>
        <w:t>634</w:t>
      </w:r>
      <w:r w:rsidRPr="00771320">
        <w:rPr>
          <w:noProof/>
        </w:rPr>
        <w:fldChar w:fldCharType="end"/>
      </w:r>
    </w:p>
    <w:p w14:paraId="0B79A0F2" w14:textId="6F62EDB8"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Prenatal Depression Screening and Follow-Up (PND-E)</w:t>
      </w:r>
      <w:r w:rsidRPr="00771320">
        <w:rPr>
          <w:noProof/>
        </w:rPr>
        <w:tab/>
      </w:r>
      <w:r w:rsidRPr="00771320">
        <w:rPr>
          <w:noProof/>
        </w:rPr>
        <w:fldChar w:fldCharType="begin"/>
      </w:r>
      <w:r w:rsidRPr="00771320">
        <w:rPr>
          <w:noProof/>
        </w:rPr>
        <w:instrText xml:space="preserve"> PAGEREF _Toc201813486 \h </w:instrText>
      </w:r>
      <w:r w:rsidRPr="00771320">
        <w:rPr>
          <w:noProof/>
        </w:rPr>
      </w:r>
      <w:r w:rsidRPr="00771320">
        <w:rPr>
          <w:noProof/>
        </w:rPr>
        <w:fldChar w:fldCharType="separate"/>
      </w:r>
      <w:r w:rsidR="008D465F">
        <w:rPr>
          <w:noProof/>
        </w:rPr>
        <w:t>640</w:t>
      </w:r>
      <w:r w:rsidRPr="00771320">
        <w:rPr>
          <w:noProof/>
        </w:rPr>
        <w:fldChar w:fldCharType="end"/>
      </w:r>
    </w:p>
    <w:p w14:paraId="542012BE" w14:textId="4C51FBFD"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Postpartum Depression Screening and Follow-Up (PDS-E)</w:t>
      </w:r>
      <w:r w:rsidRPr="00771320">
        <w:rPr>
          <w:noProof/>
        </w:rPr>
        <w:tab/>
      </w:r>
      <w:r w:rsidRPr="00771320">
        <w:rPr>
          <w:noProof/>
        </w:rPr>
        <w:fldChar w:fldCharType="begin"/>
      </w:r>
      <w:r w:rsidRPr="00771320">
        <w:rPr>
          <w:noProof/>
        </w:rPr>
        <w:instrText xml:space="preserve"> PAGEREF _Toc201813487 \h </w:instrText>
      </w:r>
      <w:r w:rsidRPr="00771320">
        <w:rPr>
          <w:noProof/>
        </w:rPr>
      </w:r>
      <w:r w:rsidRPr="00771320">
        <w:rPr>
          <w:noProof/>
        </w:rPr>
        <w:fldChar w:fldCharType="separate"/>
      </w:r>
      <w:r w:rsidR="008D465F">
        <w:rPr>
          <w:noProof/>
        </w:rPr>
        <w:t>648</w:t>
      </w:r>
      <w:r w:rsidRPr="00771320">
        <w:rPr>
          <w:noProof/>
        </w:rPr>
        <w:fldChar w:fldCharType="end"/>
      </w:r>
    </w:p>
    <w:p w14:paraId="6D7BF104" w14:textId="3F084C9A"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rPr>
        <w:t>Social Need Screening and Intervention (SNS-E)</w:t>
      </w:r>
      <w:r w:rsidRPr="00771320">
        <w:rPr>
          <w:noProof/>
        </w:rPr>
        <w:tab/>
      </w:r>
      <w:r w:rsidRPr="00771320">
        <w:rPr>
          <w:noProof/>
        </w:rPr>
        <w:fldChar w:fldCharType="begin"/>
      </w:r>
      <w:r w:rsidRPr="00771320">
        <w:rPr>
          <w:noProof/>
        </w:rPr>
        <w:instrText xml:space="preserve"> PAGEREF _Toc201813488 \h </w:instrText>
      </w:r>
      <w:r w:rsidRPr="00771320">
        <w:rPr>
          <w:noProof/>
        </w:rPr>
      </w:r>
      <w:r w:rsidRPr="00771320">
        <w:rPr>
          <w:noProof/>
        </w:rPr>
        <w:fldChar w:fldCharType="separate"/>
      </w:r>
      <w:r w:rsidR="008D465F">
        <w:rPr>
          <w:noProof/>
        </w:rPr>
        <w:t>655</w:t>
      </w:r>
      <w:r w:rsidRPr="00771320">
        <w:rPr>
          <w:noProof/>
        </w:rPr>
        <w:fldChar w:fldCharType="end"/>
      </w:r>
    </w:p>
    <w:p w14:paraId="7DF2D089" w14:textId="77777777" w:rsidR="00F127DD" w:rsidRPr="00771320" w:rsidRDefault="00F127DD">
      <w:pPr>
        <w:rPr>
          <w:b/>
          <w:bCs/>
          <w:noProof/>
          <w:kern w:val="20"/>
          <w:sz w:val="20"/>
        </w:rPr>
      </w:pPr>
      <w:r w:rsidRPr="00771320">
        <w:rPr>
          <w:noProof/>
          <w:kern w:val="20"/>
          <w:sz w:val="20"/>
        </w:rPr>
        <w:br w:type="page"/>
      </w:r>
    </w:p>
    <w:p w14:paraId="46DA192B" w14:textId="1C427862" w:rsidR="00C600B9" w:rsidRPr="00771320" w:rsidRDefault="00C600B9" w:rsidP="00C600B9">
      <w:pPr>
        <w:pStyle w:val="TOC1"/>
        <w:rPr>
          <w:rFonts w:asciiTheme="minorHAnsi" w:eastAsiaTheme="minorEastAsia" w:hAnsiTheme="minorHAnsi" w:cstheme="minorBidi"/>
          <w:b w:val="0"/>
          <w:bCs w:val="0"/>
          <w:kern w:val="2"/>
          <w14:ligatures w14:val="standardContextual"/>
        </w:rPr>
      </w:pPr>
      <w:r w:rsidRPr="00771320">
        <w:rPr>
          <w:kern w:val="20"/>
        </w:rPr>
        <w:lastRenderedPageBreak/>
        <w:t>Health Plan Descriptive Information</w:t>
      </w:r>
      <w:r w:rsidR="00145CFF">
        <w:rPr>
          <w:kern w:val="20"/>
        </w:rPr>
        <w:t xml:space="preserve"> Measures</w:t>
      </w:r>
      <w:r w:rsidRPr="00771320">
        <w:tab/>
      </w:r>
      <w:r w:rsidRPr="00771320">
        <w:fldChar w:fldCharType="begin"/>
      </w:r>
      <w:r w:rsidRPr="00771320">
        <w:instrText xml:space="preserve"> PAGEREF _Toc201813489 \h </w:instrText>
      </w:r>
      <w:r w:rsidRPr="00771320">
        <w:fldChar w:fldCharType="separate"/>
      </w:r>
      <w:r w:rsidR="008D465F">
        <w:t>664</w:t>
      </w:r>
      <w:r w:rsidRPr="00771320">
        <w:fldChar w:fldCharType="end"/>
      </w:r>
    </w:p>
    <w:p w14:paraId="3804640F" w14:textId="53AD2FB3"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kern w:val="20"/>
        </w:rPr>
        <w:t>Enrollment by Product Line (ENP)</w:t>
      </w:r>
      <w:r w:rsidRPr="00771320">
        <w:rPr>
          <w:noProof/>
        </w:rPr>
        <w:tab/>
      </w:r>
      <w:r w:rsidRPr="00771320">
        <w:rPr>
          <w:noProof/>
        </w:rPr>
        <w:fldChar w:fldCharType="begin"/>
      </w:r>
      <w:r w:rsidRPr="00771320">
        <w:rPr>
          <w:noProof/>
        </w:rPr>
        <w:instrText xml:space="preserve"> PAGEREF _Toc201813490 \h </w:instrText>
      </w:r>
      <w:r w:rsidRPr="00771320">
        <w:rPr>
          <w:noProof/>
        </w:rPr>
      </w:r>
      <w:r w:rsidRPr="00771320">
        <w:rPr>
          <w:noProof/>
        </w:rPr>
        <w:fldChar w:fldCharType="separate"/>
      </w:r>
      <w:r w:rsidR="008D465F">
        <w:rPr>
          <w:noProof/>
        </w:rPr>
        <w:t>665</w:t>
      </w:r>
      <w:r w:rsidRPr="00771320">
        <w:rPr>
          <w:noProof/>
        </w:rPr>
        <w:fldChar w:fldCharType="end"/>
      </w:r>
    </w:p>
    <w:p w14:paraId="1B7F5A55" w14:textId="7B569E9F"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kern w:val="20"/>
        </w:rPr>
        <w:t xml:space="preserve">Language </w:t>
      </w:r>
      <w:r w:rsidRPr="00771320">
        <w:rPr>
          <w:noProof/>
        </w:rPr>
        <w:t>Description</w:t>
      </w:r>
      <w:r w:rsidRPr="00771320">
        <w:rPr>
          <w:noProof/>
          <w:kern w:val="20"/>
        </w:rPr>
        <w:t xml:space="preserve"> of Membership (LDM)</w:t>
      </w:r>
      <w:r w:rsidRPr="00771320">
        <w:rPr>
          <w:noProof/>
        </w:rPr>
        <w:tab/>
      </w:r>
      <w:r w:rsidRPr="00771320">
        <w:rPr>
          <w:noProof/>
        </w:rPr>
        <w:fldChar w:fldCharType="begin"/>
      </w:r>
      <w:r w:rsidRPr="00771320">
        <w:rPr>
          <w:noProof/>
        </w:rPr>
        <w:instrText xml:space="preserve"> PAGEREF _Toc201813491 \h </w:instrText>
      </w:r>
      <w:r w:rsidRPr="00771320">
        <w:rPr>
          <w:noProof/>
        </w:rPr>
      </w:r>
      <w:r w:rsidRPr="00771320">
        <w:rPr>
          <w:noProof/>
        </w:rPr>
        <w:fldChar w:fldCharType="separate"/>
      </w:r>
      <w:r w:rsidR="008D465F">
        <w:rPr>
          <w:noProof/>
        </w:rPr>
        <w:t>667</w:t>
      </w:r>
      <w:r w:rsidRPr="00771320">
        <w:rPr>
          <w:noProof/>
        </w:rPr>
        <w:fldChar w:fldCharType="end"/>
      </w:r>
    </w:p>
    <w:p w14:paraId="7FB94245" w14:textId="170E92A0"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noProof/>
          <w:kern w:val="20"/>
        </w:rPr>
        <w:t xml:space="preserve">Race/Ethnicity </w:t>
      </w:r>
      <w:r w:rsidRPr="00771320">
        <w:rPr>
          <w:noProof/>
        </w:rPr>
        <w:t>Description</w:t>
      </w:r>
      <w:r w:rsidRPr="00771320">
        <w:rPr>
          <w:noProof/>
          <w:kern w:val="20"/>
        </w:rPr>
        <w:t xml:space="preserve"> of Membership (RDM)</w:t>
      </w:r>
      <w:r w:rsidRPr="00771320">
        <w:rPr>
          <w:noProof/>
        </w:rPr>
        <w:tab/>
      </w:r>
      <w:r w:rsidRPr="00771320">
        <w:rPr>
          <w:noProof/>
        </w:rPr>
        <w:fldChar w:fldCharType="begin"/>
      </w:r>
      <w:r w:rsidRPr="00771320">
        <w:rPr>
          <w:noProof/>
        </w:rPr>
        <w:instrText xml:space="preserve"> PAGEREF _Toc201813492 \h </w:instrText>
      </w:r>
      <w:r w:rsidRPr="00771320">
        <w:rPr>
          <w:noProof/>
        </w:rPr>
      </w:r>
      <w:r w:rsidRPr="00771320">
        <w:rPr>
          <w:noProof/>
        </w:rPr>
        <w:fldChar w:fldCharType="separate"/>
      </w:r>
      <w:r w:rsidR="008D465F">
        <w:rPr>
          <w:noProof/>
        </w:rPr>
        <w:t>670</w:t>
      </w:r>
      <w:r w:rsidRPr="00771320">
        <w:rPr>
          <w:noProof/>
        </w:rPr>
        <w:fldChar w:fldCharType="end"/>
      </w:r>
    </w:p>
    <w:p w14:paraId="013057A4" w14:textId="35A6E65D" w:rsidR="00C600B9" w:rsidRPr="00771320" w:rsidRDefault="00C600B9" w:rsidP="00C600B9">
      <w:pPr>
        <w:pStyle w:val="TOC4"/>
        <w:rPr>
          <w:rFonts w:asciiTheme="minorHAnsi" w:eastAsiaTheme="minorEastAsia" w:hAnsiTheme="minorHAnsi" w:cstheme="minorBidi"/>
          <w:noProof/>
          <w:kern w:val="2"/>
          <w14:ligatures w14:val="standardContextual"/>
        </w:rPr>
      </w:pPr>
      <w:r w:rsidRPr="00771320">
        <w:rPr>
          <w:rFonts w:cs="Arial"/>
          <w:bCs/>
          <w:iCs/>
          <w:noProof/>
        </w:rPr>
        <w:t>Disability Description of Membership (DDM)</w:t>
      </w:r>
      <w:r w:rsidRPr="00771320">
        <w:rPr>
          <w:noProof/>
        </w:rPr>
        <w:tab/>
      </w:r>
      <w:r w:rsidRPr="00771320">
        <w:rPr>
          <w:noProof/>
        </w:rPr>
        <w:fldChar w:fldCharType="begin"/>
      </w:r>
      <w:r w:rsidRPr="00771320">
        <w:rPr>
          <w:noProof/>
        </w:rPr>
        <w:instrText xml:space="preserve"> PAGEREF _Toc201813493 \h </w:instrText>
      </w:r>
      <w:r w:rsidRPr="00771320">
        <w:rPr>
          <w:noProof/>
        </w:rPr>
      </w:r>
      <w:r w:rsidRPr="00771320">
        <w:rPr>
          <w:noProof/>
        </w:rPr>
        <w:fldChar w:fldCharType="separate"/>
      </w:r>
      <w:r w:rsidR="008D465F">
        <w:rPr>
          <w:noProof/>
        </w:rPr>
        <w:t>673</w:t>
      </w:r>
      <w:r w:rsidRPr="00771320">
        <w:rPr>
          <w:noProof/>
        </w:rPr>
        <w:fldChar w:fldCharType="end"/>
      </w:r>
    </w:p>
    <w:p w14:paraId="369EEABF" w14:textId="0AB49B6E" w:rsidR="00834FBA" w:rsidRPr="005D4222" w:rsidRDefault="00C600B9" w:rsidP="00834FBA">
      <w:pPr>
        <w:tabs>
          <w:tab w:val="right" w:leader="dot" w:pos="9720"/>
        </w:tabs>
        <w:spacing w:before="240"/>
        <w:rPr>
          <w:b/>
          <w:bCs/>
          <w:szCs w:val="26"/>
        </w:rPr>
      </w:pPr>
      <w:r w:rsidRPr="00771320">
        <w:rPr>
          <w:sz w:val="20"/>
        </w:rPr>
        <w:fldChar w:fldCharType="end"/>
      </w:r>
      <w:r w:rsidR="00834FBA" w:rsidRPr="005D4222">
        <w:rPr>
          <w:b/>
          <w:bCs/>
          <w:szCs w:val="26"/>
        </w:rPr>
        <w:t>Appendices</w:t>
      </w:r>
    </w:p>
    <w:p w14:paraId="09A075C3" w14:textId="77777777" w:rsidR="00834FBA" w:rsidRPr="005D4222" w:rsidRDefault="00834FBA" w:rsidP="001A2B00">
      <w:pPr>
        <w:pStyle w:val="Note"/>
        <w:spacing w:after="120"/>
        <w:rPr>
          <w:color w:val="0070C0"/>
        </w:rPr>
      </w:pPr>
      <w:r w:rsidRPr="005D4222">
        <w:rPr>
          <w:color w:val="0070C0"/>
        </w:rPr>
        <w:t>Press Ctrl and click the mouse on an appendix name to navigate to the appendix.</w:t>
      </w:r>
    </w:p>
    <w:p w14:paraId="6BD266A5" w14:textId="3092247F" w:rsidR="00834FBA" w:rsidRPr="005D4222" w:rsidRDefault="00834FBA" w:rsidP="00834FBA">
      <w:pPr>
        <w:widowControl w:val="0"/>
        <w:tabs>
          <w:tab w:val="right" w:leader="dot" w:pos="9720"/>
        </w:tabs>
        <w:ind w:left="187" w:hanging="187"/>
      </w:pPr>
      <w:hyperlink w:anchor="Appendix_1" w:history="1">
        <w:r w:rsidRPr="005D4222">
          <w:rPr>
            <w:rStyle w:val="Hyperlink"/>
            <w:color w:val="auto"/>
            <w:u w:val="none"/>
          </w:rPr>
          <w:t xml:space="preserve">Appendix </w:t>
        </w:r>
        <w:r w:rsidR="003016F9" w:rsidRPr="005D4222">
          <w:rPr>
            <w:rStyle w:val="Hyperlink"/>
            <w:color w:val="auto"/>
            <w:u w:val="none"/>
          </w:rPr>
          <w:t>1</w:t>
        </w:r>
        <w:r w:rsidR="00A10991">
          <w:rPr>
            <w:rStyle w:val="Hyperlink"/>
            <w:color w:val="auto"/>
            <w:u w:val="none"/>
          </w:rPr>
          <w:t xml:space="preserve">: </w:t>
        </w:r>
        <w:r w:rsidRPr="005D4222">
          <w:rPr>
            <w:rStyle w:val="Hyperlink"/>
            <w:color w:val="auto"/>
            <w:u w:val="none"/>
          </w:rPr>
          <w:t>Glossary</w:t>
        </w:r>
      </w:hyperlink>
    </w:p>
    <w:p w14:paraId="01B8B99D" w14:textId="33C243CE" w:rsidR="00834FBA" w:rsidRPr="005D4222" w:rsidRDefault="00C600B9" w:rsidP="00834FBA">
      <w:pPr>
        <w:widowControl w:val="0"/>
        <w:tabs>
          <w:tab w:val="right" w:leader="dot" w:pos="9720"/>
        </w:tabs>
        <w:ind w:left="187" w:hanging="187"/>
      </w:pPr>
      <w:hyperlink w:anchor="Appendix4" w:history="1">
        <w:r w:rsidRPr="005D4222">
          <w:rPr>
            <w:rStyle w:val="Hyperlink"/>
            <w:color w:val="auto"/>
            <w:u w:val="none"/>
          </w:rPr>
          <w:t>Appendix 2</w:t>
        </w:r>
        <w:r w:rsidR="00A10991">
          <w:rPr>
            <w:rStyle w:val="Hyperlink"/>
            <w:color w:val="auto"/>
            <w:u w:val="none"/>
          </w:rPr>
          <w:t xml:space="preserve">: </w:t>
        </w:r>
        <w:r w:rsidRPr="005D4222">
          <w:rPr>
            <w:rStyle w:val="Hyperlink"/>
            <w:color w:val="auto"/>
            <w:u w:val="none"/>
          </w:rPr>
          <w:t>Data Element Definitions</w:t>
        </w:r>
      </w:hyperlink>
    </w:p>
    <w:p w14:paraId="26B55E47" w14:textId="55EF5960" w:rsidR="00834FBA" w:rsidRPr="005D4222" w:rsidRDefault="00834FBA" w:rsidP="00834FBA">
      <w:pPr>
        <w:widowControl w:val="0"/>
        <w:tabs>
          <w:tab w:val="right" w:leader="dot" w:pos="9720"/>
        </w:tabs>
        <w:ind w:left="187" w:hanging="187"/>
      </w:pPr>
      <w:hyperlink w:anchor="Appendix_3" w:history="1">
        <w:r w:rsidRPr="005D4222">
          <w:rPr>
            <w:rStyle w:val="Hyperlink"/>
            <w:color w:val="auto"/>
            <w:u w:val="none"/>
          </w:rPr>
          <w:t xml:space="preserve">Appendix </w:t>
        </w:r>
        <w:r w:rsidR="00CF7B1B" w:rsidRPr="005D4222">
          <w:rPr>
            <w:rStyle w:val="Hyperlink"/>
            <w:color w:val="auto"/>
            <w:u w:val="none"/>
          </w:rPr>
          <w:t>3</w:t>
        </w:r>
        <w:r w:rsidR="00A10991">
          <w:rPr>
            <w:rStyle w:val="Hyperlink"/>
            <w:color w:val="auto"/>
            <w:u w:val="none"/>
          </w:rPr>
          <w:t xml:space="preserve">: </w:t>
        </w:r>
        <w:r w:rsidRPr="005D4222">
          <w:rPr>
            <w:rStyle w:val="Hyperlink"/>
            <w:color w:val="auto"/>
            <w:u w:val="none"/>
          </w:rPr>
          <w:t>Contributors</w:t>
        </w:r>
      </w:hyperlink>
    </w:p>
    <w:p w14:paraId="16EEA403" w14:textId="77777777" w:rsidR="00834FBA" w:rsidRPr="005D4222" w:rsidRDefault="00834FBA" w:rsidP="00834FBA">
      <w:pPr>
        <w:sectPr w:rsidR="00834FBA" w:rsidRPr="005D4222" w:rsidSect="0074514A">
          <w:headerReference w:type="even" r:id="rId20"/>
          <w:headerReference w:type="default" r:id="rId21"/>
          <w:headerReference w:type="first" r:id="rId22"/>
          <w:type w:val="nextColumn"/>
          <w:pgSz w:w="12240" w:h="15840" w:code="1"/>
          <w:pgMar w:top="1080" w:right="1080" w:bottom="1080" w:left="1440" w:header="720" w:footer="720" w:gutter="0"/>
          <w:cols w:space="720"/>
        </w:sectPr>
      </w:pPr>
    </w:p>
    <w:p w14:paraId="528E6444" w14:textId="77777777" w:rsidR="00834FBA" w:rsidRPr="005D4222" w:rsidRDefault="00834FBA" w:rsidP="00834FBA">
      <w:pPr>
        <w:pStyle w:val="Breakpage"/>
      </w:pPr>
      <w:bookmarkStart w:id="3" w:name="_Toc74747838"/>
      <w:bookmarkStart w:id="4" w:name="_Toc171402926"/>
      <w:bookmarkStart w:id="5" w:name="_Toc201813346"/>
      <w:bookmarkEnd w:id="1"/>
      <w:bookmarkEnd w:id="2"/>
      <w:r w:rsidRPr="005D4222">
        <w:lastRenderedPageBreak/>
        <w:t>Overview</w:t>
      </w:r>
      <w:bookmarkEnd w:id="3"/>
      <w:bookmarkEnd w:id="4"/>
      <w:bookmarkEnd w:id="5"/>
    </w:p>
    <w:p w14:paraId="511DC635" w14:textId="77777777" w:rsidR="009329F0" w:rsidRPr="005D4222" w:rsidRDefault="009329F0" w:rsidP="00834FBA">
      <w:pPr>
        <w:pStyle w:val="Breakpage"/>
      </w:pPr>
    </w:p>
    <w:p w14:paraId="3F675767" w14:textId="77777777" w:rsidR="009329F0" w:rsidRPr="005D4222" w:rsidRDefault="009329F0" w:rsidP="009329F0"/>
    <w:p w14:paraId="67FA57B9" w14:textId="77777777" w:rsidR="00834FBA" w:rsidRPr="005D4222" w:rsidRDefault="00834FBA" w:rsidP="009329F0">
      <w:pPr>
        <w:sectPr w:rsidR="00834FBA" w:rsidRPr="005D4222" w:rsidSect="0074514A">
          <w:headerReference w:type="even" r:id="rId23"/>
          <w:headerReference w:type="default" r:id="rId24"/>
          <w:footerReference w:type="default" r:id="rId25"/>
          <w:type w:val="nextColumn"/>
          <w:pgSz w:w="12240" w:h="15840" w:code="1"/>
          <w:pgMar w:top="1080" w:right="1080" w:bottom="1080" w:left="1440" w:header="720" w:footer="720" w:gutter="0"/>
          <w:pgNumType w:start="1"/>
          <w:cols w:space="720"/>
        </w:sectPr>
      </w:pPr>
    </w:p>
    <w:p w14:paraId="6E9C49A3" w14:textId="47099AA6" w:rsidR="00834FBA" w:rsidRPr="005D4222" w:rsidRDefault="00834FBA" w:rsidP="00834FBA">
      <w:pPr>
        <w:pStyle w:val="Heading1"/>
      </w:pPr>
      <w:bookmarkStart w:id="6" w:name="_Toc400546014"/>
      <w:bookmarkStart w:id="7" w:name="HEDIS2017"/>
      <w:bookmarkStart w:id="8" w:name="_Toc171402927"/>
      <w:bookmarkStart w:id="9" w:name="_Toc201813347"/>
      <w:r w:rsidRPr="005D4222">
        <w:lastRenderedPageBreak/>
        <w:t xml:space="preserve">HEDIS </w:t>
      </w:r>
      <w:bookmarkEnd w:id="6"/>
      <w:bookmarkEnd w:id="7"/>
      <w:r w:rsidRPr="005D4222">
        <w:t xml:space="preserve">MY </w:t>
      </w:r>
      <w:bookmarkEnd w:id="8"/>
      <w:r w:rsidR="00271D7A" w:rsidRPr="005D4222">
        <w:rPr>
          <w:iCs/>
        </w:rPr>
        <w:t>2026</w:t>
      </w:r>
      <w:bookmarkEnd w:id="9"/>
    </w:p>
    <w:p w14:paraId="7CC1D7D0" w14:textId="777F535F" w:rsidR="00834FBA" w:rsidRPr="005D4222" w:rsidRDefault="00834FBA" w:rsidP="00834FBA">
      <w:pPr>
        <w:pStyle w:val="Body"/>
        <w:widowControl w:val="0"/>
        <w:tabs>
          <w:tab w:val="left" w:pos="5526"/>
        </w:tabs>
        <w:spacing w:before="0"/>
      </w:pPr>
      <w:r w:rsidRPr="005D4222">
        <w:t xml:space="preserve">The Healthcare Effectiveness Data and Information Set (HEDIS) is one of the most widely used sets </w:t>
      </w:r>
      <w:r w:rsidRPr="005D4222">
        <w:br/>
        <w:t xml:space="preserve">of health care performance measures in the United States. </w:t>
      </w:r>
      <w:r w:rsidRPr="005D4222">
        <w:rPr>
          <w:rFonts w:cs="Arial"/>
        </w:rPr>
        <w:t xml:space="preserve">HEDIS tracks how well health care organizations perform when providing or facilitating the use of important health services to enrolled populations. </w:t>
      </w:r>
      <w:r w:rsidRPr="005D4222">
        <w:t>HEDIS</w:t>
      </w:r>
      <w:r w:rsidRPr="005D4222" w:rsidDel="001818FE">
        <w:t xml:space="preserve"> </w:t>
      </w:r>
      <w:r w:rsidRPr="005D4222">
        <w:t>is published across several volumes. HEDIS MY</w:t>
      </w:r>
      <w:r w:rsidRPr="005D4222" w:rsidDel="00271D7A">
        <w:t xml:space="preserve"> </w:t>
      </w:r>
      <w:r w:rsidR="00271D7A" w:rsidRPr="005D4222">
        <w:rPr>
          <w:bCs/>
          <w:iCs/>
        </w:rPr>
        <w:t>2026</w:t>
      </w:r>
      <w:r w:rsidRPr="005D4222">
        <w:t xml:space="preserve"> includes</w:t>
      </w:r>
      <w:r w:rsidRPr="005D4222" w:rsidDel="00E56A0E">
        <w:rPr>
          <w:rFonts w:eastAsia="Arial"/>
        </w:rPr>
        <w:t xml:space="preserve"> </w:t>
      </w:r>
      <w:r w:rsidR="007434EF" w:rsidRPr="005D4222">
        <w:rPr>
          <w:rFonts w:eastAsia="Arial"/>
        </w:rPr>
        <w:t>93</w:t>
      </w:r>
      <w:r w:rsidRPr="005D4222">
        <w:rPr>
          <w:rFonts w:eastAsia="Arial"/>
        </w:rPr>
        <w:t xml:space="preserve"> </w:t>
      </w:r>
      <w:r w:rsidRPr="005D4222">
        <w:t xml:space="preserve">measures </w:t>
      </w:r>
      <w:r w:rsidR="00D00CDC" w:rsidRPr="005D4222">
        <w:br/>
      </w:r>
      <w:r w:rsidRPr="005D4222">
        <w:t>across 6 domains: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2"/>
        <w:gridCol w:w="978"/>
        <w:gridCol w:w="6120"/>
      </w:tblGrid>
      <w:tr w:rsidR="00834FBA" w:rsidRPr="005D4222" w14:paraId="2A78A7A3" w14:textId="77777777" w:rsidTr="00275F82">
        <w:tc>
          <w:tcPr>
            <w:tcW w:w="3600" w:type="dxa"/>
            <w:gridSpan w:val="2"/>
            <w:tcBorders>
              <w:top w:val="nil"/>
              <w:left w:val="nil"/>
              <w:bottom w:val="nil"/>
              <w:right w:val="nil"/>
            </w:tcBorders>
          </w:tcPr>
          <w:p w14:paraId="33815274" w14:textId="77777777" w:rsidR="00834FBA" w:rsidRPr="005D4222" w:rsidRDefault="00834FBA" w:rsidP="009F6641">
            <w:pPr>
              <w:pStyle w:val="Bullet"/>
            </w:pPr>
            <w:r w:rsidRPr="005D4222">
              <w:t>Effectiveness of Care.</w:t>
            </w:r>
          </w:p>
          <w:p w14:paraId="03450AC7" w14:textId="77777777" w:rsidR="00834FBA" w:rsidRPr="005D4222" w:rsidRDefault="00834FBA" w:rsidP="009F6641">
            <w:pPr>
              <w:pStyle w:val="Bullet"/>
            </w:pPr>
            <w:r w:rsidRPr="005D4222">
              <w:t>Access/Availability of Care.</w:t>
            </w:r>
          </w:p>
          <w:p w14:paraId="0ABB3795" w14:textId="77777777" w:rsidR="00834FBA" w:rsidRPr="005D4222" w:rsidRDefault="00834FBA" w:rsidP="004F7575">
            <w:pPr>
              <w:pStyle w:val="Bullet"/>
              <w:spacing w:after="60"/>
            </w:pPr>
            <w:r w:rsidRPr="005D4222">
              <w:t xml:space="preserve">Experience of Care. </w:t>
            </w:r>
          </w:p>
        </w:tc>
        <w:tc>
          <w:tcPr>
            <w:tcW w:w="6120" w:type="dxa"/>
            <w:tcBorders>
              <w:top w:val="nil"/>
              <w:left w:val="nil"/>
              <w:bottom w:val="nil"/>
              <w:right w:val="nil"/>
            </w:tcBorders>
          </w:tcPr>
          <w:p w14:paraId="4B5006F4" w14:textId="77777777" w:rsidR="00834FBA" w:rsidRPr="005D4222" w:rsidRDefault="00834FBA" w:rsidP="009F6641">
            <w:pPr>
              <w:pStyle w:val="ProcessBullet"/>
            </w:pPr>
            <w:r w:rsidRPr="005D4222">
              <w:t xml:space="preserve">Utilization and Risk Adjusted Utilization. </w:t>
            </w:r>
          </w:p>
          <w:p w14:paraId="58279579" w14:textId="77777777" w:rsidR="00834FBA" w:rsidRPr="005D4222" w:rsidRDefault="00834FBA" w:rsidP="009F6641">
            <w:pPr>
              <w:pStyle w:val="ProcessBullet"/>
            </w:pPr>
            <w:r w:rsidRPr="005D4222">
              <w:t>Health Plan Descriptive Information.</w:t>
            </w:r>
          </w:p>
          <w:p w14:paraId="019E2185" w14:textId="26674DD1" w:rsidR="005A39E0" w:rsidRPr="005D4222" w:rsidRDefault="00834FBA" w:rsidP="009175E3">
            <w:pPr>
              <w:pStyle w:val="ProcessBullet"/>
              <w:spacing w:after="120"/>
            </w:pPr>
            <w:r w:rsidRPr="005D4222">
              <w:t>Measures Reported Using Electronic Clinical Data Systems.</w:t>
            </w:r>
          </w:p>
        </w:tc>
      </w:tr>
      <w:tr w:rsidR="00834FBA" w:rsidRPr="005D4222" w14:paraId="11C273F5" w14:textId="77777777" w:rsidTr="00275F8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2622" w:type="dxa"/>
            <w:tcBorders>
              <w:bottom w:val="single" w:sz="4" w:space="0" w:color="808080" w:themeColor="background1" w:themeShade="80"/>
            </w:tcBorders>
            <w:tcMar>
              <w:left w:w="0" w:type="dxa"/>
              <w:right w:w="115" w:type="dxa"/>
            </w:tcMar>
          </w:tcPr>
          <w:p w14:paraId="48F1B2FE" w14:textId="77777777" w:rsidR="00834FBA" w:rsidRPr="005D4222" w:rsidRDefault="00834FBA" w:rsidP="009175E3">
            <w:pPr>
              <w:pStyle w:val="MarginSubhead"/>
              <w:spacing w:after="120"/>
              <w:ind w:left="0"/>
            </w:pPr>
            <w:r w:rsidRPr="005D4222">
              <w:rPr>
                <w:i/>
              </w:rPr>
              <w:t xml:space="preserve">Volume 2: </w:t>
            </w:r>
            <w:r w:rsidRPr="005D4222">
              <w:rPr>
                <w:bCs/>
                <w:iCs/>
              </w:rPr>
              <w:t xml:space="preserve">Technical </w:t>
            </w:r>
            <w:r w:rsidRPr="005D4222">
              <w:rPr>
                <w:bCs/>
                <w:iCs/>
              </w:rPr>
              <w:br/>
              <w:t>Specifications for Health Plans</w:t>
            </w:r>
          </w:p>
        </w:tc>
        <w:tc>
          <w:tcPr>
            <w:tcW w:w="7098" w:type="dxa"/>
            <w:gridSpan w:val="2"/>
            <w:tcBorders>
              <w:bottom w:val="single" w:sz="4" w:space="0" w:color="808080" w:themeColor="background1" w:themeShade="80"/>
            </w:tcBorders>
          </w:tcPr>
          <w:p w14:paraId="7B6CA352" w14:textId="77777777" w:rsidR="00834FBA" w:rsidRPr="005D4222" w:rsidRDefault="00834FBA" w:rsidP="009175E3">
            <w:pPr>
              <w:pStyle w:val="Body"/>
              <w:spacing w:after="120"/>
            </w:pPr>
            <w:r w:rsidRPr="005D4222">
              <w:t xml:space="preserve">The technical specifications for the HEDIS measures for organizations, including instructions on data collection for each measure and general guidelines for calculations and sampling. </w:t>
            </w:r>
          </w:p>
        </w:tc>
      </w:tr>
      <w:tr w:rsidR="00834FBA" w:rsidRPr="005D4222" w14:paraId="7CE1A914" w14:textId="77777777" w:rsidTr="009F6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2622" w:type="dxa"/>
            <w:tcBorders>
              <w:top w:val="single" w:sz="4" w:space="0" w:color="808080" w:themeColor="background1" w:themeShade="80"/>
              <w:bottom w:val="single" w:sz="4" w:space="0" w:color="808080" w:themeColor="background1" w:themeShade="80"/>
            </w:tcBorders>
            <w:tcMar>
              <w:left w:w="0" w:type="dxa"/>
              <w:right w:w="115" w:type="dxa"/>
            </w:tcMar>
          </w:tcPr>
          <w:p w14:paraId="52BFBE10" w14:textId="77777777" w:rsidR="00834FBA" w:rsidRPr="005D4222" w:rsidRDefault="00834FBA" w:rsidP="009175E3">
            <w:pPr>
              <w:pStyle w:val="MarginSubhead"/>
              <w:spacing w:after="120"/>
              <w:ind w:left="0"/>
            </w:pPr>
            <w:r w:rsidRPr="005D4222">
              <w:rPr>
                <w:i/>
              </w:rPr>
              <w:t>Volume 3:</w:t>
            </w:r>
            <w:r w:rsidRPr="005D4222">
              <w:t xml:space="preserve"> </w:t>
            </w:r>
            <w:r w:rsidRPr="005D4222">
              <w:rPr>
                <w:bCs/>
                <w:iCs/>
              </w:rPr>
              <w:t>Specifications for Survey Measures</w:t>
            </w:r>
          </w:p>
        </w:tc>
        <w:tc>
          <w:tcPr>
            <w:tcW w:w="7098" w:type="dxa"/>
            <w:gridSpan w:val="2"/>
            <w:tcBorders>
              <w:top w:val="single" w:sz="4" w:space="0" w:color="808080" w:themeColor="background1" w:themeShade="80"/>
              <w:bottom w:val="single" w:sz="4" w:space="0" w:color="808080" w:themeColor="background1" w:themeShade="80"/>
            </w:tcBorders>
          </w:tcPr>
          <w:p w14:paraId="20EB45CE" w14:textId="77777777" w:rsidR="00834FBA" w:rsidRPr="005D4222" w:rsidRDefault="00834FBA" w:rsidP="009175E3">
            <w:pPr>
              <w:pStyle w:val="Body"/>
              <w:spacing w:after="120"/>
            </w:pPr>
            <w:r w:rsidRPr="005D4222">
              <w:t>The technical specifications for HEDIS survey measures and standardized surveys from the Consumer Assessment of Healthcare Providers and Systems (CAHPS</w:t>
            </w:r>
            <w:r w:rsidRPr="005D4222">
              <w:rPr>
                <w:rStyle w:val="FootnoteReference"/>
              </w:rPr>
              <w:footnoteReference w:id="2"/>
            </w:r>
            <w:r w:rsidRPr="005D4222">
              <w:t>) program.</w:t>
            </w:r>
          </w:p>
        </w:tc>
      </w:tr>
      <w:tr w:rsidR="00834FBA" w:rsidRPr="005D4222" w14:paraId="6712EBB8" w14:textId="77777777" w:rsidTr="009F6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2622" w:type="dxa"/>
            <w:tcBorders>
              <w:top w:val="single" w:sz="4" w:space="0" w:color="808080" w:themeColor="background1" w:themeShade="80"/>
              <w:bottom w:val="single" w:sz="4" w:space="0" w:color="808080" w:themeColor="background1" w:themeShade="80"/>
            </w:tcBorders>
            <w:tcMar>
              <w:left w:w="0" w:type="dxa"/>
              <w:right w:w="115" w:type="dxa"/>
            </w:tcMar>
          </w:tcPr>
          <w:p w14:paraId="78205BC6" w14:textId="77777777" w:rsidR="00834FBA" w:rsidRPr="005D4222" w:rsidRDefault="00834FBA" w:rsidP="009175E3">
            <w:pPr>
              <w:pStyle w:val="MarginSubhead"/>
              <w:spacing w:after="120"/>
              <w:ind w:left="0"/>
            </w:pPr>
            <w:r w:rsidRPr="005D4222">
              <w:rPr>
                <w:i/>
              </w:rPr>
              <w:t>Volume 5:</w:t>
            </w:r>
            <w:r w:rsidRPr="005D4222">
              <w:t xml:space="preserve"> </w:t>
            </w:r>
            <w:r w:rsidRPr="005D4222">
              <w:rPr>
                <w:bCs/>
                <w:iCs/>
              </w:rPr>
              <w:t>HEDIS Compliance Audit: Standards, Policies and Procedures</w:t>
            </w:r>
          </w:p>
        </w:tc>
        <w:tc>
          <w:tcPr>
            <w:tcW w:w="7098" w:type="dxa"/>
            <w:gridSpan w:val="2"/>
            <w:tcBorders>
              <w:top w:val="single" w:sz="4" w:space="0" w:color="808080" w:themeColor="background1" w:themeShade="80"/>
              <w:bottom w:val="single" w:sz="4" w:space="0" w:color="808080" w:themeColor="background1" w:themeShade="80"/>
            </w:tcBorders>
          </w:tcPr>
          <w:p w14:paraId="0C6DB059" w14:textId="77777777" w:rsidR="00834FBA" w:rsidRPr="005D4222" w:rsidRDefault="00834FBA" w:rsidP="009175E3">
            <w:pPr>
              <w:pStyle w:val="Body"/>
              <w:spacing w:after="120"/>
            </w:pPr>
            <w:r w:rsidRPr="005D4222">
              <w:t>The accepted method for auditing the HEDIS production process, including an information systems capabilities assessment and an evaluation of compliance with HEDIS specifications. Standards that Certified HEDIS Compliance Auditors must use when conducting a HEDIS audit.</w:t>
            </w:r>
          </w:p>
        </w:tc>
      </w:tr>
      <w:tr w:rsidR="00834FBA" w:rsidRPr="005D4222" w14:paraId="5A47EE86" w14:textId="77777777" w:rsidTr="009F6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2622" w:type="dxa"/>
            <w:tcBorders>
              <w:top w:val="single" w:sz="4" w:space="0" w:color="808080" w:themeColor="background1" w:themeShade="80"/>
              <w:bottom w:val="single" w:sz="4" w:space="0" w:color="808080" w:themeColor="background1" w:themeShade="80"/>
            </w:tcBorders>
            <w:tcMar>
              <w:left w:w="0" w:type="dxa"/>
              <w:right w:w="115" w:type="dxa"/>
            </w:tcMar>
          </w:tcPr>
          <w:p w14:paraId="5BE9E42F" w14:textId="77777777" w:rsidR="00834FBA" w:rsidRPr="005D4222" w:rsidRDefault="00834FBA" w:rsidP="009175E3">
            <w:pPr>
              <w:pStyle w:val="MarginSubhead"/>
              <w:spacing w:after="120"/>
              <w:ind w:left="0"/>
            </w:pPr>
            <w:r w:rsidRPr="005D4222">
              <w:rPr>
                <w:i/>
              </w:rPr>
              <w:t>Volume 6:</w:t>
            </w:r>
            <w:r w:rsidRPr="005D4222">
              <w:t xml:space="preserve"> </w:t>
            </w:r>
            <w:r w:rsidRPr="005D4222">
              <w:rPr>
                <w:bCs/>
                <w:iCs/>
              </w:rPr>
              <w:t>Specifications for the Medicare Health Outcomes Survey</w:t>
            </w:r>
          </w:p>
        </w:tc>
        <w:tc>
          <w:tcPr>
            <w:tcW w:w="7098" w:type="dxa"/>
            <w:gridSpan w:val="2"/>
            <w:tcBorders>
              <w:top w:val="single" w:sz="4" w:space="0" w:color="808080" w:themeColor="background1" w:themeShade="80"/>
              <w:bottom w:val="single" w:sz="4" w:space="0" w:color="808080" w:themeColor="background1" w:themeShade="80"/>
            </w:tcBorders>
          </w:tcPr>
          <w:p w14:paraId="36E3BFF5" w14:textId="77777777" w:rsidR="00834FBA" w:rsidRPr="005D4222" w:rsidRDefault="00834FBA" w:rsidP="009175E3">
            <w:pPr>
              <w:pStyle w:val="Body"/>
              <w:spacing w:after="120"/>
            </w:pPr>
            <w:r w:rsidRPr="005D4222">
              <w:t xml:space="preserve">The technical specifications for the Health Outcomes Survey (HOS). </w:t>
            </w:r>
          </w:p>
        </w:tc>
      </w:tr>
      <w:tr w:rsidR="00834FBA" w:rsidRPr="005D4222" w14:paraId="00F3806D" w14:textId="77777777" w:rsidTr="009F6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2622" w:type="dxa"/>
            <w:tcBorders>
              <w:top w:val="single" w:sz="4" w:space="0" w:color="808080" w:themeColor="background1" w:themeShade="80"/>
            </w:tcBorders>
            <w:tcMar>
              <w:left w:w="0" w:type="dxa"/>
              <w:right w:w="115" w:type="dxa"/>
            </w:tcMar>
          </w:tcPr>
          <w:p w14:paraId="14966053" w14:textId="5E286A43" w:rsidR="00834FBA" w:rsidRPr="005D4222" w:rsidRDefault="00834FBA" w:rsidP="009F6641">
            <w:pPr>
              <w:pStyle w:val="MarginSubhead"/>
              <w:ind w:left="0"/>
              <w:rPr>
                <w:i/>
              </w:rPr>
            </w:pPr>
            <w:r w:rsidRPr="005D4222">
              <w:rPr>
                <w:bCs/>
                <w:iCs/>
              </w:rPr>
              <w:t>HEDIS Technical Specifications for Long-Term Services and Support</w:t>
            </w:r>
            <w:r w:rsidR="007F490E">
              <w:rPr>
                <w:bCs/>
                <w:iCs/>
              </w:rPr>
              <w:t>s</w:t>
            </w:r>
            <w:r w:rsidRPr="005D4222">
              <w:rPr>
                <w:bCs/>
                <w:iCs/>
              </w:rPr>
              <w:t xml:space="preserve"> Measures</w:t>
            </w:r>
          </w:p>
        </w:tc>
        <w:tc>
          <w:tcPr>
            <w:tcW w:w="7098" w:type="dxa"/>
            <w:gridSpan w:val="2"/>
            <w:tcBorders>
              <w:top w:val="single" w:sz="4" w:space="0" w:color="808080" w:themeColor="background1" w:themeShade="80"/>
            </w:tcBorders>
          </w:tcPr>
          <w:p w14:paraId="67FA1B3A" w14:textId="285A6DDD" w:rsidR="00834FBA" w:rsidRPr="005D4222" w:rsidRDefault="00834FBA" w:rsidP="009F6641">
            <w:pPr>
              <w:pStyle w:val="Body"/>
              <w:widowControl w:val="0"/>
            </w:pPr>
            <w:r w:rsidRPr="005D4222">
              <w:t>The technical specifications for organizations providing Medicaid LTSS.</w:t>
            </w:r>
          </w:p>
        </w:tc>
      </w:tr>
    </w:tbl>
    <w:p w14:paraId="18928ED8" w14:textId="77777777" w:rsidR="00834FBA" w:rsidRPr="005D4222" w:rsidRDefault="00834FBA" w:rsidP="00A00C3C">
      <w:pPr>
        <w:pStyle w:val="StdHead"/>
      </w:pPr>
      <w:bookmarkStart w:id="10" w:name="_Toc74747839"/>
      <w:bookmarkStart w:id="11" w:name="_Toc171402928"/>
      <w:bookmarkStart w:id="12" w:name="_Toc201813348"/>
      <w:bookmarkStart w:id="13" w:name="_Toc400546015"/>
      <w:bookmarkStart w:id="14" w:name="HowHEDIS"/>
      <w:r w:rsidRPr="005D4222">
        <w:t>How HEDIS Is Developed</w:t>
      </w:r>
      <w:bookmarkEnd w:id="10"/>
      <w:bookmarkEnd w:id="11"/>
      <w:bookmarkEnd w:id="12"/>
    </w:p>
    <w:p w14:paraId="497EC59E" w14:textId="0F570DE0" w:rsidR="00834FBA" w:rsidRPr="005D4222" w:rsidRDefault="00834FBA" w:rsidP="00834FBA">
      <w:pPr>
        <w:pStyle w:val="Body"/>
        <w:widowControl w:val="0"/>
      </w:pPr>
      <w:r w:rsidRPr="005D4222">
        <w:t>NCQA’s Committee on Performance Measurement</w:t>
      </w:r>
      <w:r w:rsidRPr="005D4222" w:rsidDel="008378CC">
        <w:t xml:space="preserve"> (CPM)</w:t>
      </w:r>
      <w:r w:rsidRPr="005D4222">
        <w:t>, which includes representation from purchasers, consumers, health plans, clinicians and policy makers, oversees the evolution of the measurement set. Multiple Measurement Advisory Panels</w:t>
      </w:r>
      <w:r w:rsidRPr="005D4222" w:rsidDel="00A27EDF">
        <w:t xml:space="preserve"> (MAP)</w:t>
      </w:r>
      <w:r w:rsidRPr="005D4222">
        <w:t xml:space="preserve"> provide clinical and technical knowledge required to develop the measures. Additional HEDIS Expert Panels and the Technical Measurement Advisory Panel </w:t>
      </w:r>
      <w:r w:rsidRPr="005D4222" w:rsidDel="00A27EDF">
        <w:t xml:space="preserve">(TMAP) </w:t>
      </w:r>
      <w:r w:rsidRPr="005D4222">
        <w:t xml:space="preserve">provide invaluable assistance by identifying methodological issues and providing feedback on new and existing measures. </w:t>
      </w:r>
    </w:p>
    <w:p w14:paraId="1F7018E0" w14:textId="77777777" w:rsidR="00834FBA" w:rsidRPr="005D4222" w:rsidRDefault="00834FBA" w:rsidP="00834FBA">
      <w:pPr>
        <w:sectPr w:rsidR="00834FBA" w:rsidRPr="005D4222" w:rsidSect="0074514A">
          <w:headerReference w:type="default" r:id="rId26"/>
          <w:footerReference w:type="default" r:id="rId27"/>
          <w:type w:val="nextColumn"/>
          <w:pgSz w:w="12240" w:h="15840" w:code="1"/>
          <w:pgMar w:top="1080" w:right="1080" w:bottom="1080" w:left="1440" w:header="720" w:footer="720" w:gutter="0"/>
          <w:pgNumType w:start="2"/>
          <w:cols w:space="720"/>
        </w:sectPr>
      </w:pPr>
    </w:p>
    <w:p w14:paraId="2A771CB2" w14:textId="77777777" w:rsidR="00834FBA" w:rsidRPr="005D4222" w:rsidRDefault="00834FBA" w:rsidP="00A00C3C">
      <w:pPr>
        <w:pStyle w:val="StdHead"/>
        <w:spacing w:before="120"/>
      </w:pPr>
      <w:bookmarkStart w:id="15" w:name="WhatsNew"/>
      <w:bookmarkStart w:id="16" w:name="_Toc400546016"/>
      <w:bookmarkStart w:id="17" w:name="_Toc74747840"/>
      <w:bookmarkStart w:id="18" w:name="_Toc171402929"/>
      <w:bookmarkStart w:id="19" w:name="_Toc201813349"/>
      <w:bookmarkEnd w:id="13"/>
      <w:bookmarkEnd w:id="14"/>
      <w:r w:rsidRPr="005D4222">
        <w:lastRenderedPageBreak/>
        <w:t>What’s New in Volume 2</w:t>
      </w:r>
      <w:bookmarkEnd w:id="15"/>
      <w:r w:rsidRPr="005D4222">
        <w:t>?</w:t>
      </w:r>
      <w:bookmarkEnd w:id="16"/>
      <w:bookmarkEnd w:id="17"/>
      <w:bookmarkEnd w:id="18"/>
      <w:bookmarkEnd w:id="19"/>
    </w:p>
    <w:tbl>
      <w:tblPr>
        <w:tblW w:w="9756" w:type="dxa"/>
        <w:tblInd w:w="18" w:type="dxa"/>
        <w:tblLayout w:type="fixed"/>
        <w:tblLook w:val="0000" w:firstRow="0" w:lastRow="0" w:firstColumn="0" w:lastColumn="0" w:noHBand="0" w:noVBand="0"/>
      </w:tblPr>
      <w:tblGrid>
        <w:gridCol w:w="2340"/>
        <w:gridCol w:w="7416"/>
      </w:tblGrid>
      <w:tr w:rsidR="00834FBA" w:rsidRPr="005D4222" w14:paraId="77254186" w14:textId="77777777" w:rsidTr="00DE7D68">
        <w:trPr>
          <w:trHeight w:val="870"/>
        </w:trPr>
        <w:tc>
          <w:tcPr>
            <w:tcW w:w="2340" w:type="dxa"/>
            <w:tcMar>
              <w:left w:w="0" w:type="dxa"/>
              <w:right w:w="115" w:type="dxa"/>
            </w:tcMar>
          </w:tcPr>
          <w:p w14:paraId="3694B1E8" w14:textId="77777777" w:rsidR="00834FBA" w:rsidRPr="005D4222" w:rsidRDefault="00834FBA" w:rsidP="009F6641">
            <w:pPr>
              <w:pStyle w:val="MarginSubhead"/>
              <w:widowControl w:val="0"/>
            </w:pPr>
            <w:r w:rsidRPr="005D4222">
              <w:t xml:space="preserve">New measures </w:t>
            </w:r>
          </w:p>
        </w:tc>
        <w:tc>
          <w:tcPr>
            <w:tcW w:w="7416" w:type="dxa"/>
          </w:tcPr>
          <w:p w14:paraId="1F65F4CB" w14:textId="5ADC393F" w:rsidR="00305EA2" w:rsidRPr="005D4222" w:rsidRDefault="00305EA2" w:rsidP="00A10991">
            <w:pPr>
              <w:pStyle w:val="ProcessBullet"/>
              <w:spacing w:before="180"/>
              <w:rPr>
                <w:rFonts w:eastAsia="Arial"/>
              </w:rPr>
            </w:pPr>
            <w:r w:rsidRPr="005D4222">
              <w:rPr>
                <w:rFonts w:eastAsia="Arial"/>
              </w:rPr>
              <w:t>Acute Hospitalizations Following Outpatient Colonoscopy (HFC)</w:t>
            </w:r>
          </w:p>
          <w:p w14:paraId="72AEED63" w14:textId="7E98EF80" w:rsidR="003123CD" w:rsidRPr="003123CD" w:rsidRDefault="003123CD" w:rsidP="003123CD">
            <w:pPr>
              <w:pStyle w:val="ProcessBullet"/>
              <w:rPr>
                <w:rFonts w:eastAsia="Arial"/>
              </w:rPr>
            </w:pPr>
            <w:r w:rsidRPr="005D4222">
              <w:rPr>
                <w:rFonts w:eastAsia="Arial"/>
              </w:rPr>
              <w:t>Acute Hospitalizations Following Outpatient General Surgery (HFG</w:t>
            </w:r>
            <w:r>
              <w:rPr>
                <w:rFonts w:eastAsia="Arial"/>
              </w:rPr>
              <w:t>)</w:t>
            </w:r>
          </w:p>
          <w:p w14:paraId="7288AFE5" w14:textId="35B40ED0" w:rsidR="00834FBA" w:rsidRPr="005D4222" w:rsidRDefault="00114134" w:rsidP="00A10991">
            <w:pPr>
              <w:pStyle w:val="ProcessBullet"/>
              <w:rPr>
                <w:rFonts w:eastAsia="Arial"/>
              </w:rPr>
            </w:pPr>
            <w:r w:rsidRPr="005D4222">
              <w:rPr>
                <w:rFonts w:eastAsia="Arial"/>
              </w:rPr>
              <w:t xml:space="preserve">Acute Hospitalizations </w:t>
            </w:r>
            <w:r w:rsidR="001E385D" w:rsidRPr="005D4222">
              <w:rPr>
                <w:rFonts w:eastAsia="Arial"/>
              </w:rPr>
              <w:t>Following Outpatient</w:t>
            </w:r>
            <w:r w:rsidR="004C7674" w:rsidRPr="005D4222">
              <w:rPr>
                <w:rFonts w:eastAsia="Arial"/>
              </w:rPr>
              <w:t xml:space="preserve"> Orthopedic </w:t>
            </w:r>
            <w:r w:rsidR="001E385D" w:rsidRPr="005D4222">
              <w:rPr>
                <w:rFonts w:eastAsia="Arial"/>
              </w:rPr>
              <w:t>Surgery (HFO)</w:t>
            </w:r>
          </w:p>
          <w:p w14:paraId="0414E4A7" w14:textId="1FE44646" w:rsidR="009D5D6A" w:rsidRPr="005D4222" w:rsidRDefault="00114134" w:rsidP="00DE7D68">
            <w:pPr>
              <w:pStyle w:val="ProcessBullet"/>
              <w:rPr>
                <w:rFonts w:eastAsia="Arial"/>
              </w:rPr>
            </w:pPr>
            <w:r w:rsidRPr="005D4222">
              <w:rPr>
                <w:rFonts w:eastAsia="Arial"/>
              </w:rPr>
              <w:t xml:space="preserve">Acute Hospitalizations </w:t>
            </w:r>
            <w:r w:rsidR="00013836" w:rsidRPr="005D4222">
              <w:rPr>
                <w:rFonts w:eastAsia="Arial"/>
              </w:rPr>
              <w:t>Following Outpatient Urologic Surgery (HFU)</w:t>
            </w:r>
          </w:p>
          <w:p w14:paraId="638B63D9" w14:textId="56562BAD" w:rsidR="001A7845" w:rsidRPr="005D4222" w:rsidRDefault="001A7845" w:rsidP="00DE7D68">
            <w:pPr>
              <w:pStyle w:val="ProcessBullet"/>
              <w:rPr>
                <w:rFonts w:eastAsia="Arial"/>
              </w:rPr>
            </w:pPr>
            <w:r w:rsidRPr="005D4222">
              <w:rPr>
                <w:rFonts w:eastAsia="Arial"/>
              </w:rPr>
              <w:t>Lead Screening in Children (LSC-E)</w:t>
            </w:r>
          </w:p>
          <w:p w14:paraId="54335B0B" w14:textId="1C958919" w:rsidR="000D1DE6" w:rsidRPr="005D4222" w:rsidRDefault="000D1DE6" w:rsidP="00DE7D68">
            <w:pPr>
              <w:pStyle w:val="ProcessBullet"/>
              <w:rPr>
                <w:rFonts w:eastAsia="Arial"/>
              </w:rPr>
            </w:pPr>
            <w:r w:rsidRPr="005D4222">
              <w:rPr>
                <w:rFonts w:eastAsia="Arial"/>
              </w:rPr>
              <w:t>Follow-</w:t>
            </w:r>
            <w:r w:rsidR="004141C3" w:rsidRPr="005D4222">
              <w:rPr>
                <w:rFonts w:eastAsia="Arial"/>
              </w:rPr>
              <w:t>U</w:t>
            </w:r>
            <w:r w:rsidRPr="005D4222">
              <w:rPr>
                <w:rFonts w:eastAsia="Arial"/>
              </w:rPr>
              <w:t xml:space="preserve">p After Acute </w:t>
            </w:r>
            <w:r w:rsidR="454EEC88" w:rsidRPr="005D4222">
              <w:rPr>
                <w:rFonts w:eastAsia="Arial"/>
              </w:rPr>
              <w:t xml:space="preserve">and Urgent Care </w:t>
            </w:r>
            <w:r w:rsidRPr="005D4222">
              <w:rPr>
                <w:rFonts w:eastAsia="Arial"/>
              </w:rPr>
              <w:t>Visits for Asthma (AAF-E)</w:t>
            </w:r>
          </w:p>
          <w:p w14:paraId="2356B979" w14:textId="2C83F703" w:rsidR="00B02933" w:rsidRPr="005D4222" w:rsidRDefault="00B02933" w:rsidP="00A76CCA">
            <w:pPr>
              <w:pStyle w:val="ProcessBullet"/>
              <w:rPr>
                <w:rFonts w:eastAsia="Arial"/>
              </w:rPr>
            </w:pPr>
            <w:r w:rsidRPr="005D4222">
              <w:rPr>
                <w:rFonts w:eastAsia="Arial"/>
              </w:rPr>
              <w:t>Statin Therapy for Patients With Cardiovascular Disease (SPC-E</w:t>
            </w:r>
            <w:r w:rsidR="00A76CCA" w:rsidRPr="005D4222">
              <w:rPr>
                <w:rFonts w:eastAsia="Arial"/>
              </w:rPr>
              <w:t>)</w:t>
            </w:r>
          </w:p>
          <w:p w14:paraId="3F8BAE23" w14:textId="37AE869A" w:rsidR="00834FBA" w:rsidRPr="005D4222" w:rsidRDefault="0069340B" w:rsidP="00DE7D68">
            <w:pPr>
              <w:pStyle w:val="ProcessBullet"/>
              <w:rPr>
                <w:rFonts w:eastAsia="Arial"/>
              </w:rPr>
            </w:pPr>
            <w:r w:rsidRPr="005D4222">
              <w:rPr>
                <w:rFonts w:eastAsia="Arial"/>
              </w:rPr>
              <w:t>Blood Pressure Control for Patients With Diabetes (BPD-E)</w:t>
            </w:r>
          </w:p>
          <w:p w14:paraId="65637618" w14:textId="3D6E9A49" w:rsidR="00834FBA" w:rsidRPr="005D4222" w:rsidRDefault="00746362" w:rsidP="00DE7D68">
            <w:pPr>
              <w:pStyle w:val="ProcessBullet"/>
              <w:rPr>
                <w:rFonts w:eastAsia="Arial"/>
              </w:rPr>
            </w:pPr>
            <w:r w:rsidRPr="005D4222">
              <w:rPr>
                <w:rFonts w:eastAsia="Arial"/>
              </w:rPr>
              <w:t>Statin Therapy for Patients With Diabetes (SPD-E)</w:t>
            </w:r>
          </w:p>
          <w:p w14:paraId="55090E1C" w14:textId="26645493" w:rsidR="009E7202" w:rsidRPr="005D4222" w:rsidRDefault="009E7202" w:rsidP="009E7202">
            <w:pPr>
              <w:pStyle w:val="ProcessBullet"/>
              <w:rPr>
                <w:rFonts w:eastAsia="Arial"/>
              </w:rPr>
            </w:pPr>
            <w:r w:rsidRPr="005D4222">
              <w:rPr>
                <w:rFonts w:eastAsia="Arial"/>
              </w:rPr>
              <w:t xml:space="preserve">Tobacco Use Screening and Cessation </w:t>
            </w:r>
            <w:r w:rsidR="003D2D87" w:rsidRPr="005D4222">
              <w:rPr>
                <w:rFonts w:eastAsia="Arial"/>
              </w:rPr>
              <w:t>Intervention</w:t>
            </w:r>
            <w:r w:rsidRPr="005D4222">
              <w:rPr>
                <w:rFonts w:eastAsia="Arial"/>
              </w:rPr>
              <w:t xml:space="preserve"> (TSC-E)</w:t>
            </w:r>
          </w:p>
          <w:p w14:paraId="2479FE80" w14:textId="005FD302" w:rsidR="009E7202" w:rsidRPr="005D4222" w:rsidRDefault="00667536" w:rsidP="003D2D87">
            <w:pPr>
              <w:pStyle w:val="ProcessBullet"/>
              <w:rPr>
                <w:rFonts w:eastAsia="Arial"/>
              </w:rPr>
            </w:pPr>
            <w:r w:rsidRPr="005D4222">
              <w:rPr>
                <w:rFonts w:eastAsia="Arial"/>
              </w:rPr>
              <w:t>Disability Description of Membership (DDM)</w:t>
            </w:r>
          </w:p>
        </w:tc>
      </w:tr>
      <w:tr w:rsidR="00834FBA" w:rsidRPr="005D4222" w14:paraId="693B0BF7" w14:textId="77777777" w:rsidTr="5784B13A">
        <w:tc>
          <w:tcPr>
            <w:tcW w:w="2340" w:type="dxa"/>
            <w:tcMar>
              <w:left w:w="0" w:type="dxa"/>
              <w:right w:w="115" w:type="dxa"/>
            </w:tcMar>
          </w:tcPr>
          <w:p w14:paraId="6B4FA764" w14:textId="77777777" w:rsidR="00834FBA" w:rsidRPr="005D4222" w:rsidRDefault="00834FBA" w:rsidP="009F6641">
            <w:pPr>
              <w:pStyle w:val="MarginSubhead"/>
              <w:widowControl w:val="0"/>
            </w:pPr>
            <w:r w:rsidRPr="005D4222">
              <w:t>Retired measures</w:t>
            </w:r>
          </w:p>
        </w:tc>
        <w:tc>
          <w:tcPr>
            <w:tcW w:w="7416" w:type="dxa"/>
          </w:tcPr>
          <w:p w14:paraId="10011EB2" w14:textId="15E7B7D6" w:rsidR="00E3370A" w:rsidRPr="005D4222" w:rsidRDefault="00E3370A" w:rsidP="003811DF">
            <w:pPr>
              <w:pStyle w:val="ProcessBullet"/>
              <w:numPr>
                <w:ilvl w:val="0"/>
                <w:numId w:val="18"/>
              </w:numPr>
              <w:spacing w:before="180"/>
              <w:ind w:left="216" w:hanging="216"/>
              <w:rPr>
                <w:rFonts w:eastAsia="Arial"/>
              </w:rPr>
            </w:pPr>
            <w:r w:rsidRPr="005D4222">
              <w:rPr>
                <w:rFonts w:eastAsia="Arial"/>
              </w:rPr>
              <w:t>Lead Screening in Children (LSC)</w:t>
            </w:r>
            <w:r w:rsidR="00D60134" w:rsidRPr="005D4222">
              <w:rPr>
                <w:rFonts w:eastAsia="Arial"/>
              </w:rPr>
              <w:t>*</w:t>
            </w:r>
          </w:p>
          <w:p w14:paraId="74AA94B4" w14:textId="75845798" w:rsidR="00BB092F" w:rsidRPr="005D4222" w:rsidRDefault="00BB092F" w:rsidP="00FC3835">
            <w:pPr>
              <w:pStyle w:val="ProcessBullet"/>
              <w:rPr>
                <w:rFonts w:eastAsia="Arial"/>
                <w:i/>
                <w:iCs/>
              </w:rPr>
            </w:pPr>
            <w:r w:rsidRPr="005D4222">
              <w:rPr>
                <w:rFonts w:eastAsia="Arial"/>
              </w:rPr>
              <w:t>Asthma Medication Ratio (AMR</w:t>
            </w:r>
            <w:r w:rsidRPr="005D4222">
              <w:rPr>
                <w:rFonts w:eastAsia="Arial"/>
                <w:iCs/>
              </w:rPr>
              <w:t>)</w:t>
            </w:r>
          </w:p>
          <w:p w14:paraId="121DAEDD" w14:textId="71214DAA" w:rsidR="00E3370A" w:rsidRPr="005D4222" w:rsidRDefault="00E3370A" w:rsidP="00FC3835">
            <w:pPr>
              <w:pStyle w:val="ProcessBullet"/>
              <w:rPr>
                <w:rFonts w:eastAsia="Arial"/>
                <w:i/>
                <w:iCs/>
              </w:rPr>
            </w:pPr>
            <w:r w:rsidRPr="005D4222">
              <w:rPr>
                <w:rFonts w:eastAsia="Arial"/>
              </w:rPr>
              <w:t>Statin Therapy for Patients With Cardiovascular Disease</w:t>
            </w:r>
            <w:r w:rsidRPr="005D4222">
              <w:rPr>
                <w:rFonts w:eastAsia="Arial"/>
                <w:iCs/>
              </w:rPr>
              <w:t xml:space="preserve"> (SPC)</w:t>
            </w:r>
            <w:r w:rsidR="00D60134" w:rsidRPr="005D4222">
              <w:rPr>
                <w:rFonts w:eastAsia="Arial"/>
                <w:iCs/>
              </w:rPr>
              <w:t>*</w:t>
            </w:r>
          </w:p>
          <w:p w14:paraId="1EF84CC9" w14:textId="25AD5EE2" w:rsidR="00834FBA" w:rsidRPr="005D4222" w:rsidRDefault="00746362" w:rsidP="00FC3835">
            <w:pPr>
              <w:pStyle w:val="ProcessBullet"/>
              <w:rPr>
                <w:rFonts w:eastAsia="Arial"/>
                <w:i/>
                <w:iCs/>
              </w:rPr>
            </w:pPr>
            <w:r w:rsidRPr="005D4222">
              <w:t>Statin Therapy for Patients With Diabetes</w:t>
            </w:r>
            <w:r w:rsidRPr="005D4222">
              <w:rPr>
                <w:iCs/>
              </w:rPr>
              <w:t xml:space="preserve"> (SPD)</w:t>
            </w:r>
            <w:r w:rsidR="00D60134" w:rsidRPr="005D4222">
              <w:rPr>
                <w:iCs/>
              </w:rPr>
              <w:t>*</w:t>
            </w:r>
          </w:p>
          <w:p w14:paraId="56686FCB" w14:textId="071DBBC7" w:rsidR="00BC39A7" w:rsidRPr="005D4222" w:rsidRDefault="00BC39A7" w:rsidP="00FC3835">
            <w:pPr>
              <w:pStyle w:val="ProcessBullet"/>
              <w:rPr>
                <w:rFonts w:eastAsia="Arial"/>
              </w:rPr>
            </w:pPr>
            <w:r w:rsidRPr="005D4222">
              <w:rPr>
                <w:rFonts w:eastAsia="Arial"/>
              </w:rPr>
              <w:t>Medical Assistance With Smoking and Tobacco Use Cessation (MSC)</w:t>
            </w:r>
          </w:p>
          <w:p w14:paraId="78622BE6" w14:textId="5174E923" w:rsidR="00834FBA" w:rsidRPr="005D4222" w:rsidRDefault="00D60134" w:rsidP="00FC3835">
            <w:pPr>
              <w:pStyle w:val="Note"/>
              <w:rPr>
                <w:rFonts w:eastAsia="Arial"/>
              </w:rPr>
            </w:pPr>
            <w:r w:rsidRPr="005D4222">
              <w:rPr>
                <w:b/>
              </w:rPr>
              <w:t>*</w:t>
            </w:r>
            <w:r w:rsidRPr="005D4222">
              <w:t xml:space="preserve">Only the LSC-E, SPC-E and SPD-E measures will be reported. </w:t>
            </w:r>
          </w:p>
        </w:tc>
      </w:tr>
      <w:tr w:rsidR="00834FBA" w:rsidRPr="005D4222" w14:paraId="7B5B8A14" w14:textId="77777777" w:rsidTr="5784B13A">
        <w:tc>
          <w:tcPr>
            <w:tcW w:w="2340" w:type="dxa"/>
            <w:tcMar>
              <w:left w:w="0" w:type="dxa"/>
              <w:right w:w="115" w:type="dxa"/>
            </w:tcMar>
          </w:tcPr>
          <w:p w14:paraId="1946F4D9" w14:textId="77777777" w:rsidR="00834FBA" w:rsidRPr="005D4222" w:rsidRDefault="00834FBA" w:rsidP="009F6641">
            <w:pPr>
              <w:pStyle w:val="MarginSubhead"/>
              <w:widowControl w:val="0"/>
            </w:pPr>
            <w:r w:rsidRPr="005D4222">
              <w:t>Revised measures</w:t>
            </w:r>
          </w:p>
        </w:tc>
        <w:tc>
          <w:tcPr>
            <w:tcW w:w="7416" w:type="dxa"/>
          </w:tcPr>
          <w:p w14:paraId="522BF4CF" w14:textId="6F2E67EF" w:rsidR="001704FB" w:rsidRPr="005D4222" w:rsidRDefault="00834FBA" w:rsidP="009D7355">
            <w:pPr>
              <w:pStyle w:val="Body"/>
              <w:widowControl w:val="0"/>
            </w:pPr>
            <w:r w:rsidRPr="005D4222">
              <w:t xml:space="preserve">For specific revisions, refer to each measure’s </w:t>
            </w:r>
            <w:r w:rsidRPr="005D4222">
              <w:rPr>
                <w:i/>
                <w:iCs/>
              </w:rPr>
              <w:t>Summary of Changes</w:t>
            </w:r>
            <w:r w:rsidRPr="005D4222">
              <w:t xml:space="preserve"> for a complete summary.</w:t>
            </w:r>
          </w:p>
        </w:tc>
      </w:tr>
      <w:tr w:rsidR="00C23D96" w:rsidRPr="005D4222" w14:paraId="0BC37386" w14:textId="77777777" w:rsidTr="00C23D96">
        <w:tc>
          <w:tcPr>
            <w:tcW w:w="2340" w:type="dxa"/>
            <w:tcMar>
              <w:left w:w="0" w:type="dxa"/>
              <w:right w:w="115" w:type="dxa"/>
            </w:tcMar>
          </w:tcPr>
          <w:p w14:paraId="7B33AF6F" w14:textId="77777777" w:rsidR="00C23D96" w:rsidRPr="005D4222" w:rsidRDefault="00C23D96" w:rsidP="007C20B9">
            <w:pPr>
              <w:pStyle w:val="MarginSubhead"/>
              <w:widowControl w:val="0"/>
            </w:pPr>
            <w:r w:rsidRPr="005D4222">
              <w:t>Overall changes</w:t>
            </w:r>
          </w:p>
        </w:tc>
        <w:tc>
          <w:tcPr>
            <w:tcW w:w="7416" w:type="dxa"/>
          </w:tcPr>
          <w:p w14:paraId="08DE4065" w14:textId="53AD90F3" w:rsidR="00C23D96" w:rsidRPr="005D4222" w:rsidRDefault="00C23D96" w:rsidP="007C20B9">
            <w:pPr>
              <w:pStyle w:val="ProcessBullet"/>
              <w:spacing w:before="180"/>
              <w:rPr>
                <w:kern w:val="24"/>
                <w:szCs w:val="20"/>
              </w:rPr>
            </w:pPr>
            <w:r w:rsidRPr="005D4222">
              <w:rPr>
                <w:kern w:val="24"/>
                <w:szCs w:val="20"/>
              </w:rPr>
              <w:t>Updated the formatting of all HEDIS measures (with the exception of Health Plan Descriptive Measures and Survey Measures) to align with the FHIR</w:t>
            </w:r>
            <w:r w:rsidRPr="005D4222">
              <w:rPr>
                <w:kern w:val="24"/>
                <w:szCs w:val="20"/>
                <w:vertAlign w:val="superscript"/>
              </w:rPr>
              <w:t>®</w:t>
            </w:r>
            <w:r w:rsidRPr="005D4222">
              <w:rPr>
                <w:kern w:val="24"/>
                <w:szCs w:val="20"/>
              </w:rPr>
              <w:t xml:space="preserve"> standard. These changes are intended to enable future interoperability of human-readable technical specifications</w:t>
            </w:r>
            <w:r w:rsidR="00645566" w:rsidRPr="005D4222">
              <w:rPr>
                <w:kern w:val="24"/>
                <w:szCs w:val="20"/>
              </w:rPr>
              <w:t>,</w:t>
            </w:r>
            <w:r w:rsidRPr="005D4222">
              <w:rPr>
                <w:kern w:val="24"/>
                <w:szCs w:val="20"/>
              </w:rPr>
              <w:t xml:space="preserve"> and do not modify the intent or calculation of a measure. </w:t>
            </w:r>
          </w:p>
          <w:p w14:paraId="51591AF6" w14:textId="449EA832" w:rsidR="00C23D96" w:rsidRPr="005D4222" w:rsidRDefault="00C23D96" w:rsidP="007C20B9">
            <w:pPr>
              <w:pStyle w:val="ProcessDash"/>
              <w:rPr>
                <w:kern w:val="24"/>
              </w:rPr>
            </w:pPr>
            <w:r w:rsidRPr="005D4222">
              <w:rPr>
                <w:kern w:val="24"/>
              </w:rPr>
              <w:t>Added measurement period, copyright and disclaimer notice, clinical recommendation statement/rationale and characteristic sections.</w:t>
            </w:r>
          </w:p>
          <w:p w14:paraId="626C3904" w14:textId="39532691" w:rsidR="00C23D96" w:rsidRPr="005D4222" w:rsidRDefault="00C23D96" w:rsidP="007C20B9">
            <w:pPr>
              <w:pStyle w:val="ProcessDash"/>
              <w:rPr>
                <w:kern w:val="24"/>
              </w:rPr>
            </w:pPr>
            <w:r w:rsidRPr="005D4222">
              <w:rPr>
                <w:kern w:val="24"/>
              </w:rPr>
              <w:t>Updated terminology (</w:t>
            </w:r>
            <w:r w:rsidR="007A2647" w:rsidRPr="005D4222">
              <w:rPr>
                <w:kern w:val="24"/>
              </w:rPr>
              <w:t>replaced</w:t>
            </w:r>
            <w:r w:rsidRPr="005D4222">
              <w:rPr>
                <w:kern w:val="24"/>
              </w:rPr>
              <w:t xml:space="preserve"> “measurement year” with “measurement period</w:t>
            </w:r>
            <w:r w:rsidR="005E6E45" w:rsidRPr="005D4222">
              <w:rPr>
                <w:kern w:val="24"/>
              </w:rPr>
              <w:t>”;</w:t>
            </w:r>
            <w:r w:rsidRPr="005D4222">
              <w:rPr>
                <w:kern w:val="24"/>
              </w:rPr>
              <w:t xml:space="preserve"> “members” with “persons</w:t>
            </w:r>
            <w:r w:rsidR="005E6E45" w:rsidRPr="005D4222">
              <w:rPr>
                <w:kern w:val="24"/>
              </w:rPr>
              <w:t>”;</w:t>
            </w:r>
            <w:r w:rsidRPr="005D4222">
              <w:rPr>
                <w:kern w:val="24"/>
              </w:rPr>
              <w:t xml:space="preserve"> “eligible population” with “initial population</w:t>
            </w:r>
            <w:r w:rsidR="005E6E45" w:rsidRPr="005D4222">
              <w:rPr>
                <w:kern w:val="24"/>
              </w:rPr>
              <w:t>”;</w:t>
            </w:r>
            <w:r w:rsidRPr="005D4222">
              <w:rPr>
                <w:kern w:val="24"/>
              </w:rPr>
              <w:t xml:space="preserve"> “required exclusions” with “denominator exclusions”). </w:t>
            </w:r>
          </w:p>
          <w:p w14:paraId="6CD42CA3" w14:textId="77777777" w:rsidR="00C23D96" w:rsidRPr="005D4222" w:rsidRDefault="00C23D96" w:rsidP="007C20B9">
            <w:pPr>
              <w:pStyle w:val="ProcessDash"/>
              <w:rPr>
                <w:kern w:val="24"/>
              </w:rPr>
            </w:pPr>
            <w:r w:rsidRPr="005D4222">
              <w:rPr>
                <w:kern w:val="24"/>
              </w:rPr>
              <w:t>Reformatted the initial population section. Attribution now describes health plan enrollment criteria.</w:t>
            </w:r>
          </w:p>
          <w:p w14:paraId="22C14F6B" w14:textId="77777777" w:rsidR="00C23D96" w:rsidRPr="005D4222" w:rsidRDefault="00C23D96" w:rsidP="007C20B9">
            <w:pPr>
              <w:pStyle w:val="ProcessDash"/>
              <w:rPr>
                <w:kern w:val="24"/>
              </w:rPr>
            </w:pPr>
            <w:r w:rsidRPr="005D4222">
              <w:rPr>
                <w:kern w:val="24"/>
              </w:rPr>
              <w:t xml:space="preserve">Removed medication list tables, where applicable. This information can be found in the Medication List Directory (MLD). The medication list tables remain only in measures where the information in the tables is required for measure calculation. </w:t>
            </w:r>
          </w:p>
          <w:p w14:paraId="6D108C6B" w14:textId="77777777" w:rsidR="00C23D96" w:rsidRPr="005D4222" w:rsidRDefault="00C23D96" w:rsidP="007C20B9">
            <w:pPr>
              <w:pStyle w:val="ProcessDash"/>
              <w:rPr>
                <w:kern w:val="24"/>
              </w:rPr>
            </w:pPr>
            <w:r w:rsidRPr="005D4222">
              <w:rPr>
                <w:kern w:val="24"/>
              </w:rPr>
              <w:t xml:space="preserve">Reformatted the </w:t>
            </w:r>
            <w:r w:rsidRPr="005D4222">
              <w:rPr>
                <w:i/>
                <w:kern w:val="24"/>
              </w:rPr>
              <w:t>Rules for Allowable Adjustments</w:t>
            </w:r>
            <w:r w:rsidRPr="005D4222">
              <w:rPr>
                <w:kern w:val="24"/>
              </w:rPr>
              <w:t xml:space="preserve"> sections.</w:t>
            </w:r>
          </w:p>
          <w:p w14:paraId="2EE7C8D4" w14:textId="6C264A93" w:rsidR="00C23D96" w:rsidRPr="005D4222" w:rsidRDefault="00C23D96" w:rsidP="007C20B9">
            <w:pPr>
              <w:pStyle w:val="ProcessDash"/>
              <w:rPr>
                <w:kern w:val="24"/>
              </w:rPr>
            </w:pPr>
            <w:r w:rsidRPr="005D4222">
              <w:rPr>
                <w:kern w:val="24"/>
              </w:rPr>
              <w:t xml:space="preserve">For measures using the hybrid methodology, </w:t>
            </w:r>
            <w:r w:rsidR="00C865E5" w:rsidRPr="005D4222">
              <w:rPr>
                <w:kern w:val="24"/>
              </w:rPr>
              <w:t xml:space="preserve">replaced </w:t>
            </w:r>
            <w:r w:rsidRPr="005D4222">
              <w:rPr>
                <w:kern w:val="24"/>
              </w:rPr>
              <w:t>“denominator identified via administrative specifications” with “administrative denominator</w:t>
            </w:r>
            <w:r w:rsidR="005E6E45" w:rsidRPr="005D4222">
              <w:rPr>
                <w:kern w:val="24"/>
              </w:rPr>
              <w:t>.”</w:t>
            </w:r>
            <w:r w:rsidRPr="005D4222">
              <w:rPr>
                <w:kern w:val="24"/>
              </w:rPr>
              <w:t xml:space="preserve">  </w:t>
            </w:r>
          </w:p>
          <w:p w14:paraId="0D102C7C" w14:textId="77777777" w:rsidR="00C23D96" w:rsidRPr="005D4222" w:rsidRDefault="00C23D96" w:rsidP="002340C3">
            <w:pPr>
              <w:pStyle w:val="ProcessBullet"/>
              <w:spacing w:before="0"/>
              <w:rPr>
                <w:kern w:val="24"/>
                <w:szCs w:val="20"/>
              </w:rPr>
            </w:pPr>
            <w:r w:rsidRPr="005D4222">
              <w:rPr>
                <w:kern w:val="24"/>
                <w:szCs w:val="20"/>
              </w:rPr>
              <w:lastRenderedPageBreak/>
              <w:t>Updated the data element tables to align with changes to the measure format.</w:t>
            </w:r>
          </w:p>
          <w:p w14:paraId="40873EC1" w14:textId="77777777" w:rsidR="00C23D96" w:rsidRPr="005D4222" w:rsidRDefault="00C23D96" w:rsidP="002340C3">
            <w:pPr>
              <w:pStyle w:val="ProcessBullet"/>
              <w:rPr>
                <w:kern w:val="24"/>
                <w:szCs w:val="20"/>
              </w:rPr>
            </w:pPr>
            <w:r w:rsidRPr="005D4222">
              <w:rPr>
                <w:kern w:val="24"/>
                <w:szCs w:val="20"/>
              </w:rPr>
              <w:t>Removed Source System of Record (SSoR) reporting from all ECDS reported measures.</w:t>
            </w:r>
          </w:p>
          <w:p w14:paraId="1F7F4450" w14:textId="1B87E364" w:rsidR="00C23D96" w:rsidRPr="005D4222" w:rsidRDefault="00C23D96" w:rsidP="007C20B9">
            <w:pPr>
              <w:pStyle w:val="ProcessBullet"/>
              <w:rPr>
                <w:kern w:val="24"/>
                <w:szCs w:val="20"/>
              </w:rPr>
            </w:pPr>
            <w:r w:rsidRPr="005D4222">
              <w:rPr>
                <w:kern w:val="24"/>
                <w:szCs w:val="20"/>
              </w:rPr>
              <w:t xml:space="preserve">Removed the Effectiveness of Care subdomain “Measures Collected Through the CAHPS Health Plan Survey” </w:t>
            </w:r>
            <w:r w:rsidR="00FA16C7" w:rsidRPr="005D4222">
              <w:rPr>
                <w:kern w:val="24"/>
                <w:szCs w:val="20"/>
              </w:rPr>
              <w:t>because its</w:t>
            </w:r>
            <w:r w:rsidRPr="005D4222">
              <w:rPr>
                <w:kern w:val="24"/>
                <w:szCs w:val="20"/>
              </w:rPr>
              <w:t xml:space="preserve"> measures </w:t>
            </w:r>
            <w:r w:rsidR="00FA16C7" w:rsidRPr="005D4222">
              <w:rPr>
                <w:kern w:val="24"/>
                <w:szCs w:val="20"/>
              </w:rPr>
              <w:t>were</w:t>
            </w:r>
            <w:r w:rsidRPr="005D4222">
              <w:rPr>
                <w:kern w:val="24"/>
                <w:szCs w:val="20"/>
              </w:rPr>
              <w:t xml:space="preserve"> retired.</w:t>
            </w:r>
          </w:p>
          <w:p w14:paraId="706C6E80" w14:textId="77777777" w:rsidR="00C23D96" w:rsidRPr="005D4222" w:rsidRDefault="00C23D96" w:rsidP="007C20B9">
            <w:pPr>
              <w:pStyle w:val="ProcessBullet"/>
              <w:rPr>
                <w:kern w:val="24"/>
                <w:szCs w:val="20"/>
              </w:rPr>
            </w:pPr>
            <w:r w:rsidRPr="005D4222">
              <w:rPr>
                <w:kern w:val="24"/>
                <w:szCs w:val="20"/>
              </w:rPr>
              <w:t>Moved the Health Plan Descriptive Information measure domain to fall after the ECDS measure domain.</w:t>
            </w:r>
          </w:p>
          <w:p w14:paraId="0AD8229C" w14:textId="77777777" w:rsidR="00C23D96" w:rsidRPr="005D4222" w:rsidRDefault="00C23D96" w:rsidP="007C20B9">
            <w:pPr>
              <w:pStyle w:val="ProcessBullet"/>
              <w:rPr>
                <w:kern w:val="24"/>
                <w:szCs w:val="20"/>
              </w:rPr>
            </w:pPr>
            <w:r w:rsidRPr="005D4222">
              <w:rPr>
                <w:kern w:val="24"/>
                <w:szCs w:val="20"/>
              </w:rPr>
              <w:t>Removed the domain-specific guidelines for Effective of Care Measures, Access/Availability of Care Measures, Risk Adjusted Utilization and ECDS measures. Moved the applicable guidelines to the measure narratives.</w:t>
            </w:r>
          </w:p>
          <w:p w14:paraId="7CCE1E0F" w14:textId="5BC7D839" w:rsidR="000B209C" w:rsidRPr="005D4222" w:rsidRDefault="00C23D96" w:rsidP="007C20B9">
            <w:pPr>
              <w:pStyle w:val="ProcessBullet"/>
              <w:rPr>
                <w:kern w:val="24"/>
                <w:szCs w:val="20"/>
              </w:rPr>
            </w:pPr>
            <w:r w:rsidRPr="005D4222">
              <w:rPr>
                <w:kern w:val="24"/>
                <w:szCs w:val="20"/>
              </w:rPr>
              <w:t>Removed</w:t>
            </w:r>
            <w:r w:rsidR="00ED31E0" w:rsidRPr="005D4222">
              <w:rPr>
                <w:kern w:val="24"/>
                <w:szCs w:val="20"/>
              </w:rPr>
              <w:t xml:space="preserve"> the following</w:t>
            </w:r>
            <w:r w:rsidRPr="005D4222">
              <w:rPr>
                <w:kern w:val="24"/>
                <w:szCs w:val="20"/>
              </w:rPr>
              <w:t xml:space="preserve"> </w:t>
            </w:r>
            <w:r w:rsidR="000B209C" w:rsidRPr="005D4222">
              <w:rPr>
                <w:kern w:val="24"/>
                <w:szCs w:val="20"/>
              </w:rPr>
              <w:t>appendices from the specifications:</w:t>
            </w:r>
          </w:p>
          <w:p w14:paraId="503E3E4C" w14:textId="77777777" w:rsidR="000B209C" w:rsidRPr="005D4222" w:rsidRDefault="00C23D96" w:rsidP="000B209C">
            <w:pPr>
              <w:pStyle w:val="ProcessDash"/>
            </w:pPr>
            <w:r w:rsidRPr="005D4222">
              <w:t>Appendix 1: Summary Table of Measures, Product Lines</w:t>
            </w:r>
            <w:r w:rsidR="000B209C" w:rsidRPr="005D4222">
              <w:t>.</w:t>
            </w:r>
          </w:p>
          <w:p w14:paraId="50FFC0FB" w14:textId="77777777" w:rsidR="000B209C" w:rsidRPr="005D4222" w:rsidRDefault="00C23D96" w:rsidP="000B209C">
            <w:pPr>
              <w:pStyle w:val="ProcessDash"/>
            </w:pPr>
            <w:r w:rsidRPr="005D4222">
              <w:t>Appendix 2: Technical Considerations for New Measures</w:t>
            </w:r>
            <w:r w:rsidR="000B209C" w:rsidRPr="005D4222">
              <w:t>.</w:t>
            </w:r>
          </w:p>
          <w:p w14:paraId="41B6E0F2" w14:textId="77777777" w:rsidR="000B209C" w:rsidRPr="005D4222" w:rsidRDefault="00C23D96" w:rsidP="000B209C">
            <w:pPr>
              <w:pStyle w:val="ProcessDash"/>
            </w:pPr>
            <w:r w:rsidRPr="005D4222">
              <w:t>Appendix 6: Alphabetized List of HEDIS Measures</w:t>
            </w:r>
            <w:r w:rsidR="000B209C" w:rsidRPr="005D4222">
              <w:t>.</w:t>
            </w:r>
          </w:p>
          <w:p w14:paraId="20B462C3" w14:textId="016E3483" w:rsidR="00C23D96" w:rsidRPr="005D4222" w:rsidRDefault="00C23D96" w:rsidP="000B209C">
            <w:pPr>
              <w:pStyle w:val="ProcessDash"/>
            </w:pPr>
            <w:r w:rsidRPr="005D4222">
              <w:t>Appendix 7: Logical Measure Groups.</w:t>
            </w:r>
          </w:p>
          <w:p w14:paraId="433D8D22" w14:textId="07056702" w:rsidR="00C23D96" w:rsidRPr="005D4222" w:rsidRDefault="000B209C" w:rsidP="007C20B9">
            <w:pPr>
              <w:pStyle w:val="ProcessBullet"/>
              <w:rPr>
                <w:kern w:val="24"/>
                <w:szCs w:val="20"/>
              </w:rPr>
            </w:pPr>
            <w:r w:rsidRPr="005D4222">
              <w:rPr>
                <w:kern w:val="24"/>
                <w:szCs w:val="20"/>
              </w:rPr>
              <w:t>“</w:t>
            </w:r>
            <w:r w:rsidR="00C23D96" w:rsidRPr="005D4222">
              <w:rPr>
                <w:kern w:val="24"/>
                <w:szCs w:val="20"/>
              </w:rPr>
              <w:t>Appendix 3: Glossary</w:t>
            </w:r>
            <w:r w:rsidRPr="005D4222">
              <w:rPr>
                <w:kern w:val="24"/>
                <w:szCs w:val="20"/>
              </w:rPr>
              <w:t>”</w:t>
            </w:r>
            <w:r w:rsidR="00C23D96" w:rsidRPr="005D4222">
              <w:rPr>
                <w:kern w:val="24"/>
                <w:szCs w:val="20"/>
              </w:rPr>
              <w:t xml:space="preserve"> is now </w:t>
            </w:r>
            <w:r w:rsidRPr="005D4222">
              <w:rPr>
                <w:kern w:val="24"/>
                <w:szCs w:val="20"/>
              </w:rPr>
              <w:t>“</w:t>
            </w:r>
            <w:r w:rsidR="00C23D96" w:rsidRPr="005D4222">
              <w:rPr>
                <w:kern w:val="24"/>
                <w:szCs w:val="20"/>
              </w:rPr>
              <w:t>Appendix 1: Glossary</w:t>
            </w:r>
            <w:r w:rsidR="00CB05A7" w:rsidRPr="005D4222">
              <w:rPr>
                <w:kern w:val="24"/>
                <w:szCs w:val="20"/>
              </w:rPr>
              <w:t>”</w:t>
            </w:r>
            <w:r w:rsidR="00C23D96" w:rsidRPr="005D4222">
              <w:rPr>
                <w:kern w:val="24"/>
                <w:szCs w:val="20"/>
              </w:rPr>
              <w:t xml:space="preserve">; </w:t>
            </w:r>
            <w:r w:rsidR="00CB05A7" w:rsidRPr="005D4222">
              <w:rPr>
                <w:kern w:val="24"/>
                <w:szCs w:val="20"/>
              </w:rPr>
              <w:t>“</w:t>
            </w:r>
            <w:r w:rsidR="00C23D96" w:rsidRPr="005D4222">
              <w:rPr>
                <w:kern w:val="24"/>
                <w:szCs w:val="20"/>
              </w:rPr>
              <w:t>Appendix 4: Data Element Tables</w:t>
            </w:r>
            <w:r w:rsidR="00CB05A7" w:rsidRPr="005D4222">
              <w:rPr>
                <w:kern w:val="24"/>
                <w:szCs w:val="20"/>
              </w:rPr>
              <w:t>”</w:t>
            </w:r>
            <w:r w:rsidR="00C23D96" w:rsidRPr="005D4222">
              <w:rPr>
                <w:kern w:val="24"/>
                <w:szCs w:val="20"/>
              </w:rPr>
              <w:t xml:space="preserve"> is now </w:t>
            </w:r>
            <w:r w:rsidR="00CB05A7" w:rsidRPr="005D4222">
              <w:rPr>
                <w:kern w:val="24"/>
                <w:szCs w:val="20"/>
              </w:rPr>
              <w:t>“</w:t>
            </w:r>
            <w:r w:rsidR="00C23D96" w:rsidRPr="005D4222">
              <w:rPr>
                <w:kern w:val="24"/>
                <w:szCs w:val="20"/>
              </w:rPr>
              <w:t xml:space="preserve">Appendix 2: Data Element </w:t>
            </w:r>
            <w:r w:rsidR="008852EA" w:rsidRPr="005D4222">
              <w:rPr>
                <w:kern w:val="24"/>
                <w:szCs w:val="20"/>
              </w:rPr>
              <w:t>Definitions</w:t>
            </w:r>
            <w:r w:rsidR="00CB05A7" w:rsidRPr="005D4222">
              <w:rPr>
                <w:kern w:val="24"/>
                <w:szCs w:val="20"/>
              </w:rPr>
              <w:t>”</w:t>
            </w:r>
            <w:r w:rsidR="00C23D96" w:rsidRPr="005D4222">
              <w:rPr>
                <w:kern w:val="24"/>
                <w:szCs w:val="20"/>
              </w:rPr>
              <w:t xml:space="preserve">; </w:t>
            </w:r>
            <w:r w:rsidR="00CB05A7" w:rsidRPr="005D4222">
              <w:rPr>
                <w:kern w:val="24"/>
                <w:szCs w:val="20"/>
              </w:rPr>
              <w:t>“</w:t>
            </w:r>
            <w:r w:rsidR="00C23D96" w:rsidRPr="005D4222">
              <w:rPr>
                <w:kern w:val="24"/>
                <w:szCs w:val="20"/>
              </w:rPr>
              <w:t>Appendix 5: Contributors</w:t>
            </w:r>
            <w:r w:rsidR="00CB05A7" w:rsidRPr="005D4222">
              <w:rPr>
                <w:kern w:val="24"/>
                <w:szCs w:val="20"/>
              </w:rPr>
              <w:t>”</w:t>
            </w:r>
            <w:r w:rsidR="00C23D96" w:rsidRPr="005D4222">
              <w:rPr>
                <w:kern w:val="24"/>
                <w:szCs w:val="20"/>
              </w:rPr>
              <w:t xml:space="preserve"> is now Appendix 3: Contributors.</w:t>
            </w:r>
          </w:p>
          <w:p w14:paraId="2B5C3755" w14:textId="77777777" w:rsidR="00C23D96" w:rsidRPr="005D4222" w:rsidRDefault="00C23D96" w:rsidP="007C20B9">
            <w:pPr>
              <w:pStyle w:val="ProcessBullet"/>
              <w:rPr>
                <w:kern w:val="24"/>
                <w:szCs w:val="20"/>
              </w:rPr>
            </w:pPr>
            <w:r w:rsidRPr="005D4222">
              <w:rPr>
                <w:kern w:val="24"/>
                <w:szCs w:val="20"/>
              </w:rPr>
              <w:t>Added, removed and edited glossary terms in Appendix 1 (formerly Appendix 3). Separated provider type requirements from general glossary terms.</w:t>
            </w:r>
          </w:p>
        </w:tc>
      </w:tr>
      <w:tr w:rsidR="00834FBA" w:rsidRPr="005D4222" w14:paraId="0E7C7F41" w14:textId="77777777" w:rsidTr="5784B13A">
        <w:tc>
          <w:tcPr>
            <w:tcW w:w="2340" w:type="dxa"/>
            <w:tcBorders>
              <w:bottom w:val="nil"/>
            </w:tcBorders>
            <w:tcMar>
              <w:left w:w="0" w:type="dxa"/>
              <w:right w:w="115" w:type="dxa"/>
            </w:tcMar>
          </w:tcPr>
          <w:p w14:paraId="01CD1C27" w14:textId="7BD69E60" w:rsidR="00834FBA" w:rsidRPr="005D4222" w:rsidRDefault="00834FBA" w:rsidP="009F6641">
            <w:pPr>
              <w:pStyle w:val="MarginSubhead"/>
            </w:pPr>
            <w:r w:rsidRPr="005D4222">
              <w:lastRenderedPageBreak/>
              <w:t>Technical specification updates—</w:t>
            </w:r>
            <w:r w:rsidRPr="005D4222">
              <w:br/>
              <w:t xml:space="preserve">HEDIS MY </w:t>
            </w:r>
            <w:r w:rsidR="005645CE" w:rsidRPr="005D4222">
              <w:rPr>
                <w:bCs/>
                <w:iCs/>
              </w:rPr>
              <w:t>2026</w:t>
            </w:r>
          </w:p>
        </w:tc>
        <w:tc>
          <w:tcPr>
            <w:tcW w:w="7416" w:type="dxa"/>
            <w:tcBorders>
              <w:bottom w:val="nil"/>
            </w:tcBorders>
          </w:tcPr>
          <w:p w14:paraId="34BDB373" w14:textId="15FFADE7" w:rsidR="00834FBA" w:rsidRPr="005D4222" w:rsidRDefault="00834FBA" w:rsidP="009F6641">
            <w:pPr>
              <w:pStyle w:val="Body"/>
              <w:rPr>
                <w:rFonts w:cs="Arial"/>
                <w:szCs w:val="21"/>
              </w:rPr>
            </w:pPr>
            <w:r w:rsidRPr="005D4222">
              <w:rPr>
                <w:rFonts w:cs="Arial"/>
                <w:szCs w:val="21"/>
              </w:rPr>
              <w:t xml:space="preserve">NCQA will freeze the specifications for MY </w:t>
            </w:r>
            <w:r w:rsidR="00271D7A" w:rsidRPr="005D4222">
              <w:rPr>
                <w:rFonts w:cs="Arial"/>
                <w:szCs w:val="21"/>
              </w:rPr>
              <w:t xml:space="preserve">2026 </w:t>
            </w:r>
            <w:r w:rsidRPr="005D4222">
              <w:rPr>
                <w:rFonts w:cs="Arial"/>
                <w:szCs w:val="21"/>
              </w:rPr>
              <w:t>on</w:t>
            </w:r>
            <w:r w:rsidRPr="005D4222" w:rsidDel="00A97D10">
              <w:rPr>
                <w:rFonts w:cs="Arial"/>
                <w:szCs w:val="21"/>
              </w:rPr>
              <w:t xml:space="preserve"> </w:t>
            </w:r>
            <w:r w:rsidRPr="005D4222">
              <w:rPr>
                <w:rFonts w:cs="Arial"/>
                <w:szCs w:val="21"/>
              </w:rPr>
              <w:t xml:space="preserve">March 31, </w:t>
            </w:r>
            <w:r w:rsidR="0040250E" w:rsidRPr="005D4222">
              <w:rPr>
                <w:rFonts w:cs="Arial"/>
                <w:szCs w:val="21"/>
              </w:rPr>
              <w:t>2026</w:t>
            </w:r>
            <w:r w:rsidRPr="005D4222">
              <w:rPr>
                <w:rFonts w:cs="Arial"/>
                <w:szCs w:val="21"/>
              </w:rPr>
              <w:t xml:space="preserve">, with the </w:t>
            </w:r>
            <w:r w:rsidRPr="005D4222">
              <w:rPr>
                <w:rFonts w:cs="Arial"/>
                <w:i/>
                <w:szCs w:val="21"/>
              </w:rPr>
              <w:t xml:space="preserve">HEDIS MY </w:t>
            </w:r>
            <w:r w:rsidR="0040250E" w:rsidRPr="005D4222">
              <w:rPr>
                <w:rFonts w:cs="Arial"/>
                <w:i/>
                <w:szCs w:val="21"/>
              </w:rPr>
              <w:t>2026</w:t>
            </w:r>
            <w:r w:rsidR="0040250E" w:rsidRPr="005D4222">
              <w:rPr>
                <w:rFonts w:cs="Arial"/>
                <w:szCs w:val="21"/>
              </w:rPr>
              <w:t xml:space="preserve"> </w:t>
            </w:r>
            <w:r w:rsidRPr="005D4222">
              <w:rPr>
                <w:rFonts w:cs="Arial"/>
                <w:i/>
                <w:szCs w:val="21"/>
              </w:rPr>
              <w:t>Volume 2 Technical Update</w:t>
            </w:r>
            <w:r w:rsidR="00F519D1" w:rsidRPr="005D4222">
              <w:rPr>
                <w:rFonts w:cs="Arial"/>
                <w:i/>
                <w:szCs w:val="21"/>
              </w:rPr>
              <w:t>.</w:t>
            </w:r>
          </w:p>
          <w:p w14:paraId="0373BB4A" w14:textId="2102565F" w:rsidR="00046A1A" w:rsidRPr="005D4222" w:rsidRDefault="00046A1A" w:rsidP="00AD3B2E">
            <w:pPr>
              <w:pStyle w:val="Body"/>
              <w:rPr>
                <w:rFonts w:cs="Arial"/>
                <w:szCs w:val="21"/>
              </w:rPr>
            </w:pPr>
            <w:r w:rsidRPr="005D4222">
              <w:rPr>
                <w:rFonts w:cs="Arial"/>
                <w:i/>
                <w:szCs w:val="21"/>
              </w:rPr>
              <w:t>HEDIS MY 202</w:t>
            </w:r>
            <w:r w:rsidR="00584DFD" w:rsidRPr="005D4222">
              <w:rPr>
                <w:rFonts w:cs="Arial"/>
                <w:i/>
                <w:szCs w:val="21"/>
              </w:rPr>
              <w:t>6</w:t>
            </w:r>
            <w:r w:rsidRPr="005D4222">
              <w:rPr>
                <w:rFonts w:cs="Arial"/>
                <w:szCs w:val="21"/>
              </w:rPr>
              <w:t xml:space="preserve"> </w:t>
            </w:r>
            <w:r w:rsidRPr="005D4222">
              <w:rPr>
                <w:rFonts w:cs="Arial"/>
                <w:i/>
                <w:szCs w:val="21"/>
              </w:rPr>
              <w:t xml:space="preserve">Volume 2 Technical Update </w:t>
            </w:r>
            <w:r w:rsidRPr="005D4222">
              <w:rPr>
                <w:rFonts w:cs="Arial"/>
                <w:iCs/>
                <w:szCs w:val="21"/>
              </w:rPr>
              <w:t xml:space="preserve">and </w:t>
            </w:r>
            <w:r w:rsidRPr="005D4222">
              <w:rPr>
                <w:rFonts w:cs="Arial"/>
                <w:i/>
                <w:szCs w:val="21"/>
              </w:rPr>
              <w:t>Value Set Directory (3/31/202</w:t>
            </w:r>
            <w:r w:rsidR="00865FF4" w:rsidRPr="005D4222">
              <w:rPr>
                <w:rFonts w:cs="Arial"/>
                <w:i/>
                <w:szCs w:val="21"/>
              </w:rPr>
              <w:t>6</w:t>
            </w:r>
            <w:r w:rsidRPr="005D4222">
              <w:rPr>
                <w:rFonts w:cs="Arial"/>
                <w:szCs w:val="21"/>
              </w:rPr>
              <w:t xml:space="preserve"> </w:t>
            </w:r>
            <w:r w:rsidRPr="005D4222">
              <w:rPr>
                <w:rFonts w:cs="Arial"/>
                <w:i/>
                <w:szCs w:val="21"/>
              </w:rPr>
              <w:t>release)</w:t>
            </w:r>
            <w:r w:rsidRPr="005D4222">
              <w:rPr>
                <w:rFonts w:cs="Arial"/>
                <w:iCs/>
                <w:szCs w:val="21"/>
              </w:rPr>
              <w:t xml:space="preserve"> </w:t>
            </w:r>
            <w:r w:rsidR="00B153BC" w:rsidRPr="005D4222">
              <w:rPr>
                <w:rFonts w:cs="Arial"/>
                <w:iCs/>
                <w:szCs w:val="21"/>
              </w:rPr>
              <w:t>will be</w:t>
            </w:r>
            <w:r w:rsidRPr="005D4222">
              <w:rPr>
                <w:rFonts w:cs="Arial"/>
                <w:iCs/>
                <w:szCs w:val="21"/>
              </w:rPr>
              <w:t xml:space="preserve"> </w:t>
            </w:r>
            <w:r w:rsidRPr="005D4222">
              <w:rPr>
                <w:rFonts w:cs="Arial"/>
                <w:szCs w:val="21"/>
              </w:rPr>
              <w:t>available for download by customers with access to the HEDIS MY 202</w:t>
            </w:r>
            <w:r w:rsidR="00865FF4" w:rsidRPr="005D4222">
              <w:rPr>
                <w:rFonts w:cs="Arial"/>
                <w:szCs w:val="21"/>
              </w:rPr>
              <w:t>6</w:t>
            </w:r>
            <w:r w:rsidRPr="005D4222">
              <w:rPr>
                <w:rFonts w:cs="Arial"/>
                <w:szCs w:val="21"/>
              </w:rPr>
              <w:t xml:space="preserve"> Volume 2 e-pub. Go to the </w:t>
            </w:r>
            <w:r w:rsidR="00AD3B2E" w:rsidRPr="005D4222">
              <w:rPr>
                <w:rFonts w:cs="Arial"/>
                <w:szCs w:val="21"/>
              </w:rPr>
              <w:t>“</w:t>
            </w:r>
            <w:hyperlink r:id="rId28">
              <w:r w:rsidRPr="005D4222">
                <w:rPr>
                  <w:rStyle w:val="Hyperlink"/>
                  <w:rFonts w:eastAsiaTheme="majorEastAsia" w:cs="Arial"/>
                  <w:szCs w:val="21"/>
                </w:rPr>
                <w:t>My Downloads</w:t>
              </w:r>
            </w:hyperlink>
            <w:r w:rsidR="00AD3B2E" w:rsidRPr="005D4222">
              <w:rPr>
                <w:rStyle w:val="Hyperlink"/>
                <w:rFonts w:eastAsiaTheme="majorEastAsia" w:cs="Arial"/>
                <w:szCs w:val="21"/>
              </w:rPr>
              <w:t>”</w:t>
            </w:r>
            <w:r w:rsidRPr="005D4222">
              <w:rPr>
                <w:rFonts w:cs="Arial"/>
                <w:szCs w:val="21"/>
              </w:rPr>
              <w:t xml:space="preserve"> section of </w:t>
            </w:r>
            <w:hyperlink r:id="rId29" w:history="1">
              <w:r w:rsidR="00440199" w:rsidRPr="005D4222">
                <w:rPr>
                  <w:rStyle w:val="Hyperlink"/>
                </w:rPr>
                <w:t>My NCQA</w:t>
              </w:r>
            </w:hyperlink>
            <w:r w:rsidRPr="005D4222">
              <w:rPr>
                <w:rFonts w:cs="Arial"/>
                <w:szCs w:val="21"/>
              </w:rPr>
              <w:t xml:space="preserve"> and download the</w:t>
            </w:r>
            <w:r w:rsidRPr="005D4222">
              <w:rPr>
                <w:rFonts w:cs="Arial"/>
                <w:i/>
                <w:szCs w:val="21"/>
              </w:rPr>
              <w:t xml:space="preserve"> MY 202</w:t>
            </w:r>
            <w:r w:rsidR="00865FF4" w:rsidRPr="005D4222">
              <w:rPr>
                <w:rFonts w:cs="Arial"/>
                <w:i/>
                <w:szCs w:val="21"/>
              </w:rPr>
              <w:t>6</w:t>
            </w:r>
            <w:r w:rsidRPr="005D4222">
              <w:rPr>
                <w:rFonts w:cs="Arial"/>
                <w:i/>
                <w:szCs w:val="21"/>
              </w:rPr>
              <w:t xml:space="preserve"> Volume 2 (epub</w:t>
            </w:r>
            <w:r w:rsidRPr="005D4222">
              <w:rPr>
                <w:rFonts w:cs="Arial"/>
                <w:szCs w:val="21"/>
              </w:rPr>
              <w:t xml:space="preserve">) zipped folder, which contains the updated </w:t>
            </w:r>
            <w:r w:rsidRPr="005D4222">
              <w:rPr>
                <w:rFonts w:cs="Arial"/>
                <w:i/>
                <w:szCs w:val="21"/>
              </w:rPr>
              <w:t>MY 202</w:t>
            </w:r>
            <w:r w:rsidR="00865FF4" w:rsidRPr="005D4222">
              <w:rPr>
                <w:rFonts w:cs="Arial"/>
                <w:i/>
                <w:szCs w:val="21"/>
              </w:rPr>
              <w:t>6</w:t>
            </w:r>
            <w:r w:rsidRPr="005D4222">
              <w:rPr>
                <w:rFonts w:cs="Arial"/>
                <w:i/>
                <w:szCs w:val="21"/>
              </w:rPr>
              <w:t xml:space="preserve"> Volume 2</w:t>
            </w:r>
            <w:r w:rsidRPr="005D4222">
              <w:rPr>
                <w:rFonts w:cs="Arial"/>
                <w:szCs w:val="21"/>
              </w:rPr>
              <w:t xml:space="preserve"> file and </w:t>
            </w:r>
            <w:r w:rsidR="00AD3B2E" w:rsidRPr="005D4222">
              <w:rPr>
                <w:rFonts w:cs="Arial"/>
                <w:szCs w:val="21"/>
              </w:rPr>
              <w:t>the</w:t>
            </w:r>
            <w:r w:rsidRPr="005D4222">
              <w:rPr>
                <w:rFonts w:cs="Arial"/>
                <w:szCs w:val="21"/>
              </w:rPr>
              <w:t xml:space="preserve"> Value Set Directory.</w:t>
            </w:r>
          </w:p>
          <w:p w14:paraId="791AA6C3" w14:textId="77777777" w:rsidR="00834FBA" w:rsidRPr="005D4222" w:rsidRDefault="00834FBA" w:rsidP="009F6641">
            <w:pPr>
              <w:pStyle w:val="Body"/>
              <w:rPr>
                <w:rFonts w:cs="Arial"/>
                <w:szCs w:val="21"/>
              </w:rPr>
            </w:pPr>
            <w:r w:rsidRPr="005D4222">
              <w:rPr>
                <w:rFonts w:cs="Arial"/>
                <w:szCs w:val="21"/>
              </w:rPr>
              <w:t xml:space="preserve">Organizations are accountable for all changes included in the </w:t>
            </w:r>
            <w:r w:rsidRPr="005D4222">
              <w:rPr>
                <w:rFonts w:cs="Arial"/>
                <w:i/>
                <w:szCs w:val="21"/>
              </w:rPr>
              <w:t>Technical Update</w:t>
            </w:r>
            <w:r w:rsidRPr="005D4222">
              <w:rPr>
                <w:rFonts w:cs="Arial"/>
                <w:szCs w:val="21"/>
              </w:rPr>
              <w:t>.</w:t>
            </w:r>
          </w:p>
        </w:tc>
      </w:tr>
      <w:tr w:rsidR="001609EC" w:rsidRPr="005D4222" w14:paraId="1460E117" w14:textId="77777777" w:rsidTr="5784B13A">
        <w:tc>
          <w:tcPr>
            <w:tcW w:w="2340" w:type="dxa"/>
            <w:tcMar>
              <w:left w:w="0" w:type="dxa"/>
              <w:right w:w="115" w:type="dxa"/>
            </w:tcMar>
          </w:tcPr>
          <w:p w14:paraId="75C6CAEB" w14:textId="23269B95" w:rsidR="001609EC" w:rsidRPr="005D4222" w:rsidRDefault="001609EC" w:rsidP="001609EC">
            <w:pPr>
              <w:pStyle w:val="MarginSubhead"/>
            </w:pPr>
            <w:bookmarkStart w:id="20" w:name="RAND"/>
            <w:r w:rsidRPr="005D4222">
              <w:t>Random Number (RAND) table— HEDIS MY 202</w:t>
            </w:r>
            <w:r w:rsidR="000A1078" w:rsidRPr="005D4222">
              <w:t>6</w:t>
            </w:r>
            <w:bookmarkEnd w:id="20"/>
          </w:p>
        </w:tc>
        <w:tc>
          <w:tcPr>
            <w:tcW w:w="7416" w:type="dxa"/>
          </w:tcPr>
          <w:p w14:paraId="66638E8F" w14:textId="21007728" w:rsidR="001609EC" w:rsidRPr="005D4222" w:rsidRDefault="001609EC" w:rsidP="001609EC">
            <w:pPr>
              <w:pStyle w:val="Body"/>
            </w:pPr>
            <w:r w:rsidRPr="005D4222">
              <w:t>The HEDIS MY 202</w:t>
            </w:r>
            <w:r w:rsidR="000A1078" w:rsidRPr="005D4222">
              <w:t>6</w:t>
            </w:r>
            <w:r w:rsidRPr="005D4222">
              <w:t xml:space="preserve"> RAND table</w:t>
            </w:r>
            <w:r w:rsidRPr="005D4222">
              <w:rPr>
                <w:i/>
              </w:rPr>
              <w:t xml:space="preserve"> </w:t>
            </w:r>
            <w:r w:rsidRPr="005D4222">
              <w:t>will be available to purchasers of Volume 2 on October 15, 202</w:t>
            </w:r>
            <w:r w:rsidR="000A1078" w:rsidRPr="005D4222">
              <w:t>6</w:t>
            </w:r>
            <w:r w:rsidRPr="005D4222">
              <w:t xml:space="preserve">. In the </w:t>
            </w:r>
            <w:hyperlink r:id="rId30">
              <w:r w:rsidRPr="005D4222">
                <w:rPr>
                  <w:rStyle w:val="Hyperlink"/>
                </w:rPr>
                <w:t>My Downloads</w:t>
              </w:r>
            </w:hyperlink>
            <w:r w:rsidRPr="005D4222">
              <w:rPr>
                <w:rStyle w:val="Hyperlink"/>
                <w:u w:val="none"/>
              </w:rPr>
              <w:t xml:space="preserve"> </w:t>
            </w:r>
            <w:r w:rsidRPr="005D4222">
              <w:t xml:space="preserve">section of </w:t>
            </w:r>
            <w:hyperlink r:id="rId31" w:history="1">
              <w:r w:rsidRPr="005D4222">
                <w:rPr>
                  <w:rStyle w:val="Hyperlink"/>
                </w:rPr>
                <w:t>My NCQA</w:t>
              </w:r>
            </w:hyperlink>
            <w:r w:rsidRPr="005D4222">
              <w:t xml:space="preserve">, download the </w:t>
            </w:r>
            <w:r w:rsidRPr="005D4222">
              <w:rPr>
                <w:i/>
                <w:iCs/>
              </w:rPr>
              <w:t>MY 202</w:t>
            </w:r>
            <w:r w:rsidR="000A1078" w:rsidRPr="005D4222">
              <w:rPr>
                <w:i/>
                <w:iCs/>
              </w:rPr>
              <w:t>6</w:t>
            </w:r>
            <w:r w:rsidRPr="005D4222">
              <w:rPr>
                <w:i/>
                <w:iCs/>
              </w:rPr>
              <w:t xml:space="preserve"> Volume 2 (epub)</w:t>
            </w:r>
            <w:r w:rsidRPr="005D4222">
              <w:t xml:space="preserve"> zipped folder, which contains the MY 202</w:t>
            </w:r>
            <w:r w:rsidR="000A1078" w:rsidRPr="005D4222">
              <w:t>6</w:t>
            </w:r>
            <w:r w:rsidRPr="005D4222">
              <w:t xml:space="preserve"> RAND table.</w:t>
            </w:r>
          </w:p>
        </w:tc>
      </w:tr>
      <w:tr w:rsidR="00834FBA" w:rsidRPr="005D4222" w14:paraId="3D0A269C" w14:textId="77777777" w:rsidTr="5784B13A">
        <w:tc>
          <w:tcPr>
            <w:tcW w:w="2340" w:type="dxa"/>
            <w:tcMar>
              <w:left w:w="0" w:type="dxa"/>
              <w:right w:w="115" w:type="dxa"/>
            </w:tcMar>
          </w:tcPr>
          <w:p w14:paraId="592A9031" w14:textId="4314FCB4" w:rsidR="00834FBA" w:rsidRPr="005D4222" w:rsidRDefault="00834FBA" w:rsidP="009F6641">
            <w:pPr>
              <w:pStyle w:val="MarginSubhead"/>
            </w:pPr>
            <w:r w:rsidRPr="005D4222">
              <w:t>Medication List Directory—</w:t>
            </w:r>
            <w:r w:rsidRPr="005D4222">
              <w:br/>
              <w:t xml:space="preserve">HEDIS MY </w:t>
            </w:r>
            <w:r w:rsidR="005645CE" w:rsidRPr="005D4222">
              <w:rPr>
                <w:bCs/>
                <w:iCs/>
              </w:rPr>
              <w:t>2026</w:t>
            </w:r>
          </w:p>
        </w:tc>
        <w:tc>
          <w:tcPr>
            <w:tcW w:w="7416" w:type="dxa"/>
          </w:tcPr>
          <w:p w14:paraId="50EA8EC0" w14:textId="5109CE48" w:rsidR="00834FBA" w:rsidRPr="005D4222" w:rsidRDefault="00834FBA" w:rsidP="009F6641">
            <w:pPr>
              <w:pStyle w:val="Body"/>
            </w:pPr>
            <w:r w:rsidRPr="005D4222">
              <w:t xml:space="preserve">The Medication List Directory is available for free in the </w:t>
            </w:r>
            <w:hyperlink r:id="rId32" w:history="1">
              <w:r w:rsidRPr="005D4222">
                <w:rPr>
                  <w:rStyle w:val="Hyperlink"/>
                </w:rPr>
                <w:t>NCQA Store</w:t>
              </w:r>
            </w:hyperlink>
            <w:r w:rsidRPr="005D4222">
              <w:t>.</w:t>
            </w:r>
            <w:r w:rsidRPr="005D4222" w:rsidDel="00957C09">
              <w:t xml:space="preserve"> </w:t>
            </w:r>
          </w:p>
          <w:p w14:paraId="51734B9E" w14:textId="77E34B89" w:rsidR="00834FBA" w:rsidRPr="005D4222" w:rsidRDefault="00834FBA" w:rsidP="009F6641">
            <w:pPr>
              <w:pStyle w:val="Body"/>
            </w:pPr>
            <w:r w:rsidRPr="005D4222">
              <w:t xml:space="preserve">Once ordered, the Medication List Directory for HEDIS MY </w:t>
            </w:r>
            <w:r w:rsidR="005645CE" w:rsidRPr="005D4222">
              <w:t xml:space="preserve">2026 </w:t>
            </w:r>
            <w:r w:rsidRPr="005D4222">
              <w:t xml:space="preserve">will be available in the </w:t>
            </w:r>
            <w:hyperlink r:id="rId33">
              <w:r w:rsidRPr="005D4222">
                <w:rPr>
                  <w:rStyle w:val="Hyperlink"/>
                </w:rPr>
                <w:t>My Downloads</w:t>
              </w:r>
            </w:hyperlink>
            <w:r w:rsidRPr="005D4222">
              <w:t xml:space="preserve"> section of </w:t>
            </w:r>
            <w:hyperlink r:id="rId34">
              <w:r w:rsidRPr="005D4222">
                <w:rPr>
                  <w:rStyle w:val="Hyperlink"/>
                </w:rPr>
                <w:t>My NCQA</w:t>
              </w:r>
            </w:hyperlink>
            <w:r w:rsidRPr="005D4222">
              <w:t xml:space="preserve">. </w:t>
            </w:r>
          </w:p>
          <w:p w14:paraId="6B60B749" w14:textId="48B6F565" w:rsidR="00834FBA" w:rsidRPr="005D4222" w:rsidRDefault="00834FBA" w:rsidP="009F6641">
            <w:pPr>
              <w:pStyle w:val="Body"/>
            </w:pPr>
            <w:r w:rsidRPr="005D4222">
              <w:t xml:space="preserve">The initial release will be available August 1, </w:t>
            </w:r>
            <w:r w:rsidR="00865B70" w:rsidRPr="005D4222">
              <w:t>2025</w:t>
            </w:r>
            <w:r w:rsidRPr="005D4222">
              <w:t>.</w:t>
            </w:r>
            <w:r w:rsidR="00731752" w:rsidRPr="005D4222">
              <w:t xml:space="preserve"> </w:t>
            </w:r>
            <w:r w:rsidRPr="005D4222">
              <w:t xml:space="preserve">The final release will be available March 31, </w:t>
            </w:r>
            <w:r w:rsidR="00865B70" w:rsidRPr="005D4222">
              <w:t>2026</w:t>
            </w:r>
            <w:r w:rsidRPr="005D4222">
              <w:t xml:space="preserve">. </w:t>
            </w:r>
          </w:p>
          <w:p w14:paraId="78645B29" w14:textId="658DFD7A" w:rsidR="00834FBA" w:rsidRPr="005D4222" w:rsidRDefault="00834FBA" w:rsidP="009F6641">
            <w:pPr>
              <w:pStyle w:val="Body"/>
            </w:pPr>
            <w:r w:rsidRPr="005D4222">
              <w:t xml:space="preserve">Final medication list changes, if needed, will be communicated in the </w:t>
            </w:r>
            <w:r w:rsidRPr="005D4222">
              <w:rPr>
                <w:i/>
                <w:iCs/>
              </w:rPr>
              <w:t>HEDIS MY</w:t>
            </w:r>
            <w:r w:rsidRPr="005D4222">
              <w:rPr>
                <w:i/>
              </w:rPr>
              <w:t xml:space="preserve"> </w:t>
            </w:r>
            <w:r w:rsidR="003747FE" w:rsidRPr="005D4222">
              <w:rPr>
                <w:bCs/>
                <w:i/>
              </w:rPr>
              <w:t xml:space="preserve">2026 </w:t>
            </w:r>
            <w:r w:rsidRPr="005D4222">
              <w:rPr>
                <w:i/>
                <w:iCs/>
              </w:rPr>
              <w:t>Volume 2 Technical Update (3/31/</w:t>
            </w:r>
            <w:r w:rsidR="003747FE" w:rsidRPr="005D4222">
              <w:rPr>
                <w:i/>
                <w:iCs/>
              </w:rPr>
              <w:t>2026</w:t>
            </w:r>
            <w:r w:rsidR="003747FE" w:rsidRPr="005D4222">
              <w:rPr>
                <w:bCs/>
                <w:i/>
                <w:iCs/>
              </w:rPr>
              <w:t xml:space="preserve"> </w:t>
            </w:r>
            <w:r w:rsidRPr="005D4222">
              <w:rPr>
                <w:i/>
                <w:iCs/>
              </w:rPr>
              <w:t>release).</w:t>
            </w:r>
          </w:p>
        </w:tc>
      </w:tr>
      <w:tr w:rsidR="00834FBA" w:rsidRPr="005D4222" w14:paraId="5273C7E4" w14:textId="77777777" w:rsidTr="5784B13A">
        <w:tc>
          <w:tcPr>
            <w:tcW w:w="2340" w:type="dxa"/>
            <w:tcMar>
              <w:left w:w="0" w:type="dxa"/>
              <w:right w:w="115" w:type="dxa"/>
            </w:tcMar>
          </w:tcPr>
          <w:p w14:paraId="49780C1B" w14:textId="609E2CFE" w:rsidR="00834FBA" w:rsidRPr="005D4222" w:rsidRDefault="00834FBA" w:rsidP="00C63DFB">
            <w:pPr>
              <w:pStyle w:val="MarginSubhead"/>
              <w:spacing w:before="0"/>
            </w:pPr>
            <w:r w:rsidRPr="005D4222">
              <w:lastRenderedPageBreak/>
              <w:t>HCC Risk Adjustment tables—</w:t>
            </w:r>
            <w:r w:rsidRPr="005D4222">
              <w:br/>
              <w:t xml:space="preserve">HEDIS MY </w:t>
            </w:r>
            <w:r w:rsidR="003747FE" w:rsidRPr="005D4222">
              <w:rPr>
                <w:bCs/>
                <w:iCs/>
              </w:rPr>
              <w:t>2026</w:t>
            </w:r>
          </w:p>
        </w:tc>
        <w:tc>
          <w:tcPr>
            <w:tcW w:w="7416" w:type="dxa"/>
            <w:shd w:val="clear" w:color="auto" w:fill="FFFFFF" w:themeFill="background1"/>
          </w:tcPr>
          <w:p w14:paraId="1D75550E" w14:textId="693817A8" w:rsidR="00834FBA" w:rsidRPr="005D4222" w:rsidRDefault="00834FBA" w:rsidP="00C63DFB">
            <w:pPr>
              <w:pStyle w:val="Body"/>
              <w:spacing w:before="0"/>
            </w:pPr>
            <w:r w:rsidRPr="005D4222">
              <w:t xml:space="preserve">The HCC Risk Adjustment tables are available for free in the </w:t>
            </w:r>
            <w:hyperlink r:id="rId35">
              <w:r w:rsidRPr="005D4222">
                <w:rPr>
                  <w:rStyle w:val="Hyperlink"/>
                </w:rPr>
                <w:t>NCQA Store</w:t>
              </w:r>
            </w:hyperlink>
            <w:r w:rsidRPr="005D4222">
              <w:t xml:space="preserve">. </w:t>
            </w:r>
          </w:p>
          <w:p w14:paraId="394CCD7B" w14:textId="51218990" w:rsidR="00834FBA" w:rsidRPr="005D4222" w:rsidRDefault="00834FBA" w:rsidP="009F6641">
            <w:pPr>
              <w:pStyle w:val="Body"/>
            </w:pPr>
            <w:r w:rsidRPr="005D4222">
              <w:t xml:space="preserve">Once ordered, the HCC Risk Adjustment tables for HEDIS MY </w:t>
            </w:r>
            <w:r w:rsidR="003747FE" w:rsidRPr="005D4222">
              <w:t>2026</w:t>
            </w:r>
            <w:r w:rsidR="003747FE" w:rsidRPr="005D4222" w:rsidDel="00DA6555">
              <w:t xml:space="preserve"> </w:t>
            </w:r>
            <w:r w:rsidRPr="005D4222">
              <w:t xml:space="preserve">will </w:t>
            </w:r>
            <w:r w:rsidR="00C63DFB" w:rsidRPr="005D4222">
              <w:br/>
            </w:r>
            <w:r w:rsidRPr="005D4222">
              <w:t xml:space="preserve">be made available in the </w:t>
            </w:r>
            <w:hyperlink r:id="rId36" w:history="1">
              <w:r w:rsidRPr="005D4222">
                <w:rPr>
                  <w:rStyle w:val="Hyperlink"/>
                </w:rPr>
                <w:t>My Downloads</w:t>
              </w:r>
            </w:hyperlink>
            <w:r w:rsidRPr="005D4222">
              <w:t xml:space="preserve"> section of </w:t>
            </w:r>
            <w:hyperlink r:id="rId37" w:history="1">
              <w:r w:rsidRPr="005D4222">
                <w:rPr>
                  <w:rStyle w:val="Hyperlink"/>
                </w:rPr>
                <w:t>My NCQA</w:t>
              </w:r>
            </w:hyperlink>
            <w:r w:rsidRPr="005D4222">
              <w:t xml:space="preserve"> by</w:t>
            </w:r>
            <w:r w:rsidRPr="005D4222" w:rsidDel="00633037">
              <w:t xml:space="preserve"> </w:t>
            </w:r>
            <w:r w:rsidR="00C63DFB" w:rsidRPr="005D4222">
              <w:br/>
            </w:r>
            <w:r w:rsidRPr="005D4222">
              <w:t xml:space="preserve">March 31, </w:t>
            </w:r>
            <w:r w:rsidR="003747FE" w:rsidRPr="005D4222">
              <w:t>2026</w:t>
            </w:r>
            <w:r w:rsidRPr="005D4222">
              <w:t>.</w:t>
            </w:r>
          </w:p>
        </w:tc>
      </w:tr>
      <w:tr w:rsidR="00834FBA" w:rsidRPr="005D4222" w14:paraId="3AD9B976" w14:textId="77777777" w:rsidTr="5784B13A">
        <w:tc>
          <w:tcPr>
            <w:tcW w:w="2340" w:type="dxa"/>
            <w:tcMar>
              <w:left w:w="0" w:type="dxa"/>
              <w:right w:w="115" w:type="dxa"/>
            </w:tcMar>
          </w:tcPr>
          <w:p w14:paraId="3EC8585C" w14:textId="1C52802A" w:rsidR="00834FBA" w:rsidRPr="005D4222" w:rsidRDefault="00834FBA" w:rsidP="009F6641">
            <w:pPr>
              <w:pStyle w:val="MarginSubhead"/>
            </w:pPr>
            <w:r w:rsidRPr="005D4222">
              <w:br w:type="page"/>
              <w:t xml:space="preserve">HEDIS MY </w:t>
            </w:r>
            <w:r w:rsidR="003747FE" w:rsidRPr="005D4222">
              <w:rPr>
                <w:bCs/>
                <w:iCs/>
              </w:rPr>
              <w:t xml:space="preserve">2026 </w:t>
            </w:r>
            <w:r w:rsidRPr="005D4222">
              <w:t xml:space="preserve">first-year measure evaluation </w:t>
            </w:r>
          </w:p>
        </w:tc>
        <w:tc>
          <w:tcPr>
            <w:tcW w:w="7416" w:type="dxa"/>
            <w:shd w:val="clear" w:color="auto" w:fill="FFFFFF" w:themeFill="background1"/>
          </w:tcPr>
          <w:p w14:paraId="26F295CB" w14:textId="7AD58CC7" w:rsidR="00834FBA" w:rsidRPr="005D4222" w:rsidRDefault="00834FBA" w:rsidP="009F6641">
            <w:pPr>
              <w:pStyle w:val="Body"/>
              <w:rPr>
                <w:rFonts w:ascii="Arial Narrow" w:hAnsi="Arial Narrow" w:cs="Arial Narrow"/>
                <w:i/>
                <w:u w:val="single"/>
              </w:rPr>
            </w:pPr>
            <w:r w:rsidRPr="005D4222">
              <w:t xml:space="preserve">At the conclusion of the HEDIS MY </w:t>
            </w:r>
            <w:r w:rsidR="003747FE" w:rsidRPr="005D4222">
              <w:rPr>
                <w:bCs/>
                <w:iCs/>
              </w:rPr>
              <w:t xml:space="preserve">2026 </w:t>
            </w:r>
            <w:r w:rsidRPr="005D4222">
              <w:t xml:space="preserve">data collection period, NCQA will evaluate first-year status measures/indicators to determine if they will be publicly reported. </w:t>
            </w:r>
          </w:p>
          <w:p w14:paraId="43695474" w14:textId="3210EA78" w:rsidR="00834FBA" w:rsidRPr="005D4222" w:rsidRDefault="00834FBA" w:rsidP="009F6641">
            <w:pPr>
              <w:pStyle w:val="Body"/>
            </w:pPr>
            <w:r w:rsidRPr="005D4222" w:rsidDel="00096BBA">
              <w:t>Any c</w:t>
            </w:r>
            <w:r w:rsidRPr="005D4222">
              <w:t xml:space="preserve">hanges to the HEDIS MY </w:t>
            </w:r>
            <w:r w:rsidR="003747FE" w:rsidRPr="005D4222">
              <w:rPr>
                <w:bCs/>
                <w:iCs/>
              </w:rPr>
              <w:t xml:space="preserve">2026 </w:t>
            </w:r>
            <w:r w:rsidRPr="005D4222">
              <w:t xml:space="preserve">first-year status measures/indicators will be communicated in a public reporting memo released on </w:t>
            </w:r>
            <w:r w:rsidRPr="005D4222" w:rsidDel="00633037">
              <w:t xml:space="preserve">October </w:t>
            </w:r>
            <w:r w:rsidRPr="005D4222">
              <w:t xml:space="preserve">1, </w:t>
            </w:r>
            <w:r w:rsidR="00B95B42" w:rsidRPr="005D4222">
              <w:t>2027</w:t>
            </w:r>
            <w:r w:rsidRPr="005D4222">
              <w:t>.</w:t>
            </w:r>
          </w:p>
        </w:tc>
      </w:tr>
    </w:tbl>
    <w:p w14:paraId="76DF9B75" w14:textId="77777777" w:rsidR="00834FBA" w:rsidRPr="005D4222" w:rsidRDefault="00834FBA" w:rsidP="00A00C3C">
      <w:pPr>
        <w:pStyle w:val="StdHead"/>
      </w:pPr>
      <w:bookmarkStart w:id="21" w:name="_Toc74747841"/>
      <w:bookmarkStart w:id="22" w:name="_Toc171402930"/>
      <w:bookmarkStart w:id="23" w:name="_Toc201813350"/>
      <w:r w:rsidRPr="005D4222">
        <w:t>Referring to HEDIS Measures and Rates</w:t>
      </w:r>
      <w:bookmarkEnd w:id="21"/>
      <w:bookmarkEnd w:id="22"/>
      <w:bookmarkEnd w:id="23"/>
    </w:p>
    <w:p w14:paraId="7B5BD1DC" w14:textId="77777777" w:rsidR="00834FBA" w:rsidRPr="005D4222" w:rsidRDefault="00834FBA" w:rsidP="00834FBA">
      <w:pPr>
        <w:pStyle w:val="Body"/>
        <w:rPr>
          <w:rFonts w:cs="Arial"/>
        </w:rPr>
      </w:pPr>
      <w:r w:rsidRPr="005D4222">
        <w:t>HEDIS measures and resulting rates must always retain the HEDIS name. Specifically, for unadjusted measures:</w:t>
      </w:r>
    </w:p>
    <w:p w14:paraId="0C8ED697" w14:textId="77777777" w:rsidR="00834FBA" w:rsidRPr="005D4222" w:rsidRDefault="00834FBA" w:rsidP="00834FBA">
      <w:pPr>
        <w:pStyle w:val="Bullet"/>
      </w:pPr>
      <w:r w:rsidRPr="005D4222">
        <w:t xml:space="preserve">Refer to all </w:t>
      </w:r>
      <w:r w:rsidRPr="005D4222">
        <w:rPr>
          <w:i/>
          <w:iCs/>
        </w:rPr>
        <w:t>unadjusted</w:t>
      </w:r>
      <w:r w:rsidRPr="005D4222">
        <w:t xml:space="preserve"> HEDIS measures as </w:t>
      </w:r>
      <w:r w:rsidRPr="005D4222">
        <w:rPr>
          <w:b/>
          <w:bCs/>
        </w:rPr>
        <w:t>“HEDIS Health Plan measures.”</w:t>
      </w:r>
    </w:p>
    <w:p w14:paraId="5ECB2776" w14:textId="77777777" w:rsidR="00834FBA" w:rsidRPr="005D4222" w:rsidRDefault="00834FBA" w:rsidP="00834FBA">
      <w:pPr>
        <w:pStyle w:val="Bullet"/>
      </w:pPr>
      <w:r w:rsidRPr="005D4222">
        <w:t xml:space="preserve">Calculated measure rates that are based on </w:t>
      </w:r>
      <w:r w:rsidRPr="005D4222">
        <w:rPr>
          <w:i/>
          <w:iCs/>
        </w:rPr>
        <w:t>unadjusted</w:t>
      </w:r>
      <w:r w:rsidRPr="005D4222">
        <w:t xml:space="preserve"> HEDIS specifications and </w:t>
      </w:r>
      <w:r w:rsidRPr="005D4222">
        <w:rPr>
          <w:i/>
          <w:iCs/>
        </w:rPr>
        <w:t>have not</w:t>
      </w:r>
      <w:r w:rsidRPr="005D4222">
        <w:t xml:space="preserve"> been certified through NCQA’s Measure Certification Program may not be called “Health Plan HEDIS rates” until they are audited and designated reportable by an NCQA-Certified HEDIS Compliance Auditor. Refer to these rates as </w:t>
      </w:r>
      <w:r w:rsidRPr="005D4222">
        <w:rPr>
          <w:b/>
          <w:bCs/>
        </w:rPr>
        <w:t>“Uncertified, Unaudited Health Plan HEDIS Rates.”</w:t>
      </w:r>
      <w:r w:rsidRPr="005D4222">
        <w:t xml:space="preserve"> Such uncertified rates </w:t>
      </w:r>
      <w:r w:rsidRPr="005D4222">
        <w:rPr>
          <w:i/>
          <w:iCs/>
        </w:rPr>
        <w:t>may only be used for internal, quality improvement purposes</w:t>
      </w:r>
      <w:r w:rsidRPr="005D4222">
        <w:t xml:space="preserve"> (e.g., trend analysis) and no incentive payments may be made on such rates.</w:t>
      </w:r>
    </w:p>
    <w:p w14:paraId="32B5B415" w14:textId="77777777" w:rsidR="00834FBA" w:rsidRPr="005D4222" w:rsidRDefault="00834FBA" w:rsidP="00834FBA">
      <w:pPr>
        <w:pStyle w:val="Bullet"/>
        <w:rPr>
          <w:rFonts w:eastAsia="Arial" w:cs="Arial"/>
          <w:b/>
          <w:szCs w:val="21"/>
        </w:rPr>
      </w:pPr>
      <w:r w:rsidRPr="005D4222">
        <w:t xml:space="preserve">Calculated measure rates that are based on </w:t>
      </w:r>
      <w:r w:rsidRPr="005D4222">
        <w:rPr>
          <w:i/>
          <w:iCs/>
        </w:rPr>
        <w:t>unadjusted</w:t>
      </w:r>
      <w:r w:rsidRPr="005D4222">
        <w:t xml:space="preserve"> HEDIS specifications and have</w:t>
      </w:r>
      <w:r w:rsidRPr="005D4222">
        <w:rPr>
          <w:i/>
          <w:iCs/>
        </w:rPr>
        <w:t xml:space="preserve"> </w:t>
      </w:r>
      <w:r w:rsidRPr="005D4222">
        <w:t xml:space="preserve">been certified through NCQA’s Measure Certification Program may not be called “Health Plan HEDIS rates” until they are audited and designated reportable by an NCQA-Certified Auditor. Refer to these rates as </w:t>
      </w:r>
      <w:r w:rsidRPr="005D4222">
        <w:rPr>
          <w:b/>
          <w:bCs/>
        </w:rPr>
        <w:t>“Unaudited Health Plan HEDIS rates.”</w:t>
      </w:r>
    </w:p>
    <w:p w14:paraId="7FCA57C7" w14:textId="77777777" w:rsidR="00834FBA" w:rsidRPr="005D4222" w:rsidRDefault="00834FBA" w:rsidP="00834FBA">
      <w:pPr>
        <w:pStyle w:val="Body"/>
      </w:pPr>
      <w:r w:rsidRPr="005D4222">
        <w:t xml:space="preserve">Organizations that need assistance in determining the correct naming convention for HEDIS measures/ rates should contact NCQA through </w:t>
      </w:r>
      <w:hyperlink r:id="rId38" w:history="1">
        <w:r w:rsidRPr="005D4222">
          <w:rPr>
            <w:rStyle w:val="Hyperlink"/>
          </w:rPr>
          <w:t>My NCQA</w:t>
        </w:r>
      </w:hyperlink>
      <w:r w:rsidRPr="005D4222">
        <w:t>.</w:t>
      </w:r>
    </w:p>
    <w:p w14:paraId="10965872" w14:textId="77777777" w:rsidR="00834FBA" w:rsidRPr="005D4222" w:rsidRDefault="00834FBA" w:rsidP="00834FBA">
      <w:pPr>
        <w:pStyle w:val="Body"/>
      </w:pPr>
      <w:r w:rsidRPr="005D4222">
        <w:rPr>
          <w:rFonts w:eastAsia="Arial"/>
        </w:rPr>
        <w:t xml:space="preserve">Specifically, for </w:t>
      </w:r>
      <w:r w:rsidRPr="005D4222">
        <w:rPr>
          <w:rFonts w:eastAsia="Arial" w:cs="Arial"/>
          <w:i/>
          <w:szCs w:val="21"/>
        </w:rPr>
        <w:t>adjusted</w:t>
      </w:r>
      <w:r w:rsidRPr="005D4222">
        <w:rPr>
          <w:rFonts w:eastAsia="Arial" w:cs="Arial"/>
          <w:szCs w:val="21"/>
        </w:rPr>
        <w:t xml:space="preserve"> measures pursuant to NCQA’s Rules for Allowable Adjustment of HEDIS:</w:t>
      </w:r>
    </w:p>
    <w:p w14:paraId="72CBB74C" w14:textId="77777777" w:rsidR="00834FBA" w:rsidRPr="005D4222" w:rsidRDefault="00834FBA" w:rsidP="00834FBA">
      <w:pPr>
        <w:pStyle w:val="Bullet"/>
        <w:rPr>
          <w:rFonts w:eastAsia="Arial" w:cs="Arial"/>
          <w:b/>
        </w:rPr>
      </w:pPr>
      <w:r w:rsidRPr="005D4222">
        <w:rPr>
          <w:rFonts w:eastAsia="Arial" w:cs="Arial"/>
        </w:rPr>
        <w:t xml:space="preserve">Refer to all </w:t>
      </w:r>
      <w:r w:rsidRPr="005D4222">
        <w:rPr>
          <w:rFonts w:eastAsia="Arial" w:cs="Arial"/>
          <w:i/>
          <w:iCs/>
        </w:rPr>
        <w:t>adjusted</w:t>
      </w:r>
      <w:r w:rsidRPr="005D4222">
        <w:rPr>
          <w:rFonts w:eastAsia="Arial" w:cs="Arial"/>
        </w:rPr>
        <w:t xml:space="preserve"> HEDIS measures as </w:t>
      </w:r>
      <w:r w:rsidRPr="005D4222">
        <w:rPr>
          <w:rFonts w:eastAsia="Arial" w:cs="Arial"/>
          <w:b/>
          <w:bCs/>
        </w:rPr>
        <w:t>“Adjusted HEDIS measures.”</w:t>
      </w:r>
    </w:p>
    <w:p w14:paraId="0C43CD0F" w14:textId="77777777" w:rsidR="00834FBA" w:rsidRPr="005D4222" w:rsidRDefault="00834FBA" w:rsidP="00834FBA">
      <w:pPr>
        <w:pStyle w:val="Bullet"/>
        <w:rPr>
          <w:rFonts w:eastAsia="Arial" w:cs="Arial"/>
        </w:rPr>
      </w:pPr>
      <w:r w:rsidRPr="005D4222">
        <w:rPr>
          <w:rFonts w:eastAsia="Arial" w:cs="Arial"/>
        </w:rPr>
        <w:t xml:space="preserve">Calculated measure rates that are based on </w:t>
      </w:r>
      <w:r w:rsidRPr="005D4222">
        <w:rPr>
          <w:rFonts w:eastAsia="Arial" w:cs="Arial"/>
          <w:i/>
          <w:iCs/>
        </w:rPr>
        <w:t>adjusted</w:t>
      </w:r>
      <w:r w:rsidRPr="005D4222">
        <w:rPr>
          <w:rFonts w:eastAsia="Arial" w:cs="Arial"/>
        </w:rPr>
        <w:t xml:space="preserve"> HEDIS specifications and </w:t>
      </w:r>
      <w:r w:rsidRPr="005D4222">
        <w:rPr>
          <w:rFonts w:eastAsia="Arial" w:cs="Arial"/>
          <w:i/>
          <w:iCs/>
        </w:rPr>
        <w:t>have not</w:t>
      </w:r>
      <w:r w:rsidRPr="005D4222">
        <w:rPr>
          <w:rFonts w:eastAsia="Arial" w:cs="Arial"/>
        </w:rPr>
        <w:t xml:space="preserve"> been certified through NCQA’s Measure Certification Program may not be called “adjusted HEDIS rates” until they are audited and designated reportable by an NCQA-Certified HEDIS Compliance Auditor. Refer to these rates as </w:t>
      </w:r>
      <w:r w:rsidRPr="005D4222">
        <w:rPr>
          <w:rFonts w:eastAsia="Arial" w:cs="Arial"/>
          <w:b/>
          <w:bCs/>
        </w:rPr>
        <w:t>“Adjusted, Uncertified, Unaudited HEDIS rates.”</w:t>
      </w:r>
      <w:r w:rsidRPr="005D4222">
        <w:rPr>
          <w:rFonts w:eastAsia="Arial" w:cs="Arial"/>
        </w:rPr>
        <w:t xml:space="preserve"> Such </w:t>
      </w:r>
      <w:r w:rsidRPr="005D4222">
        <w:rPr>
          <w:rFonts w:eastAsia="Arial" w:cs="Arial"/>
          <w:b/>
          <w:bCs/>
          <w:u w:val="single"/>
        </w:rPr>
        <w:t>uncertified</w:t>
      </w:r>
      <w:r w:rsidRPr="005D4222">
        <w:rPr>
          <w:rFonts w:eastAsia="Arial" w:cs="Arial"/>
        </w:rPr>
        <w:t xml:space="preserve"> rates </w:t>
      </w:r>
      <w:r w:rsidRPr="005D4222">
        <w:rPr>
          <w:rFonts w:eastAsia="Arial" w:cs="Arial"/>
          <w:i/>
          <w:iCs/>
        </w:rPr>
        <w:t>may only be used for internal, quality improvement purposes</w:t>
      </w:r>
      <w:r w:rsidRPr="005D4222">
        <w:rPr>
          <w:rFonts w:eastAsia="Arial" w:cs="Arial"/>
        </w:rPr>
        <w:t xml:space="preserve"> (e.g., trend analysis) </w:t>
      </w:r>
      <w:r w:rsidRPr="005D4222">
        <w:t>and no incentive payments may be made on such rates</w:t>
      </w:r>
      <w:r w:rsidRPr="005D4222">
        <w:rPr>
          <w:rFonts w:eastAsia="Arial" w:cs="Arial"/>
        </w:rPr>
        <w:t>.</w:t>
      </w:r>
    </w:p>
    <w:p w14:paraId="201E6209" w14:textId="6396CBE2" w:rsidR="00C63DFB" w:rsidRPr="005D4222" w:rsidRDefault="00834FBA" w:rsidP="00834FBA">
      <w:pPr>
        <w:pStyle w:val="Bullet"/>
        <w:rPr>
          <w:rFonts w:eastAsia="Arial" w:cs="Arial"/>
          <w:b/>
          <w:bCs/>
        </w:rPr>
      </w:pPr>
      <w:r w:rsidRPr="005D4222">
        <w:rPr>
          <w:rFonts w:eastAsia="Arial" w:cs="Arial"/>
        </w:rPr>
        <w:t xml:space="preserve">Calculated measure rates that are based on </w:t>
      </w:r>
      <w:r w:rsidRPr="005D4222">
        <w:rPr>
          <w:rFonts w:eastAsia="Arial" w:cs="Arial"/>
          <w:i/>
          <w:iCs/>
        </w:rPr>
        <w:t>adjusted</w:t>
      </w:r>
      <w:r w:rsidRPr="005D4222">
        <w:rPr>
          <w:rFonts w:eastAsia="Arial" w:cs="Arial"/>
        </w:rPr>
        <w:t xml:space="preserve"> HEDIS specifications </w:t>
      </w:r>
      <w:r w:rsidRPr="005D4222">
        <w:t xml:space="preserve">and </w:t>
      </w:r>
      <w:r w:rsidRPr="005D4222">
        <w:rPr>
          <w:i/>
          <w:iCs/>
        </w:rPr>
        <w:t>have</w:t>
      </w:r>
      <w:r w:rsidRPr="005D4222">
        <w:t xml:space="preserve"> been certified through NCQA’s Measure Certification Program</w:t>
      </w:r>
      <w:r w:rsidRPr="005D4222">
        <w:rPr>
          <w:rFonts w:eastAsia="Arial" w:cs="Arial"/>
        </w:rPr>
        <w:t xml:space="preserve"> may not be called “adjusted HEDIS rates” until they are audited and designated reportable by an NCQA-Certified Auditor. Refer to these rates as </w:t>
      </w:r>
      <w:r w:rsidRPr="005D4222">
        <w:rPr>
          <w:rFonts w:eastAsia="Arial" w:cs="Arial"/>
          <w:b/>
          <w:bCs/>
        </w:rPr>
        <w:t>“Adjusted, Unaudited HEDIS rates.”</w:t>
      </w:r>
    </w:p>
    <w:p w14:paraId="2B18791D" w14:textId="77777777" w:rsidR="00C63DFB" w:rsidRPr="005D4222" w:rsidRDefault="00C63DFB">
      <w:pPr>
        <w:spacing w:after="160" w:line="259" w:lineRule="auto"/>
        <w:rPr>
          <w:rFonts w:eastAsia="Arial" w:cs="Arial"/>
          <w:b/>
          <w:bCs/>
          <w:szCs w:val="24"/>
        </w:rPr>
      </w:pPr>
      <w:r w:rsidRPr="005D4222">
        <w:rPr>
          <w:rFonts w:eastAsia="Arial" w:cs="Arial"/>
          <w:b/>
          <w:bCs/>
        </w:rPr>
        <w:br w:type="page"/>
      </w:r>
    </w:p>
    <w:p w14:paraId="48A3C5D7" w14:textId="77777777" w:rsidR="00834FBA" w:rsidRPr="005D4222" w:rsidRDefault="00834FBA" w:rsidP="00A00C3C">
      <w:pPr>
        <w:pStyle w:val="StdHead"/>
      </w:pPr>
      <w:bookmarkStart w:id="24" w:name="_Toc400546017"/>
      <w:bookmarkStart w:id="25" w:name="_Toc74747842"/>
      <w:bookmarkStart w:id="26" w:name="_Toc171402931"/>
      <w:bookmarkStart w:id="27" w:name="_Toc201813351"/>
      <w:bookmarkStart w:id="28" w:name="Questions"/>
      <w:r w:rsidRPr="005D4222">
        <w:lastRenderedPageBreak/>
        <w:t>If You Have Questions About the Specifications</w:t>
      </w:r>
      <w:bookmarkEnd w:id="24"/>
      <w:bookmarkEnd w:id="25"/>
      <w:bookmarkEnd w:id="26"/>
      <w:bookmarkEnd w:id="27"/>
    </w:p>
    <w:p w14:paraId="4DE9A963" w14:textId="7229EE37" w:rsidR="00834FBA" w:rsidRPr="005D4222" w:rsidRDefault="00834FBA" w:rsidP="00834FBA">
      <w:pPr>
        <w:pStyle w:val="SubHeadNoTOC"/>
      </w:pPr>
      <w:bookmarkStart w:id="29" w:name="_Toc400546018"/>
      <w:bookmarkEnd w:id="28"/>
      <w:r w:rsidRPr="005D4222">
        <w:t>Policy Clarification Support</w:t>
      </w:r>
      <w:bookmarkEnd w:id="29"/>
      <w:r w:rsidRPr="005D4222">
        <w:t xml:space="preserve"> </w:t>
      </w:r>
    </w:p>
    <w:p w14:paraId="18142477" w14:textId="665FE3FE" w:rsidR="00834FBA" w:rsidRPr="005D4222" w:rsidRDefault="00834FBA" w:rsidP="00834FBA">
      <w:pPr>
        <w:pStyle w:val="Body"/>
        <w:widowControl w:val="0"/>
      </w:pPr>
      <w:r w:rsidRPr="005D4222">
        <w:rPr>
          <w:rFonts w:cs="Arial"/>
          <w:szCs w:val="21"/>
        </w:rPr>
        <w:t xml:space="preserve">NCQA provides policy support to customers, including a function that allows customers to submit </w:t>
      </w:r>
      <w:r w:rsidR="006F3770" w:rsidRPr="005D4222">
        <w:rPr>
          <w:rFonts w:cs="Arial"/>
          <w:szCs w:val="21"/>
        </w:rPr>
        <w:t xml:space="preserve">questions about </w:t>
      </w:r>
      <w:r w:rsidRPr="005D4222">
        <w:rPr>
          <w:rFonts w:cs="Arial"/>
          <w:szCs w:val="21"/>
        </w:rPr>
        <w:t xml:space="preserve">policy interpretation to NCQA staff through </w:t>
      </w:r>
      <w:hyperlink r:id="rId39" w:history="1">
        <w:r w:rsidRPr="005D4222">
          <w:rPr>
            <w:rStyle w:val="Hyperlink"/>
            <w:rFonts w:cs="Arial"/>
            <w:szCs w:val="21"/>
          </w:rPr>
          <w:t>My NCQA</w:t>
        </w:r>
      </w:hyperlink>
      <w:r w:rsidRPr="005D4222">
        <w:t xml:space="preserve">. </w:t>
      </w:r>
    </w:p>
    <w:p w14:paraId="57C7B97A" w14:textId="77777777" w:rsidR="00834FBA" w:rsidRPr="005D4222" w:rsidRDefault="00834FBA" w:rsidP="00834FBA">
      <w:pPr>
        <w:pStyle w:val="SubHeadNoTOC"/>
      </w:pPr>
      <w:bookmarkStart w:id="30" w:name="_Toc400546019"/>
      <w:r w:rsidRPr="005D4222">
        <w:t>FAQs and Policy Updates</w:t>
      </w:r>
      <w:bookmarkEnd w:id="30"/>
    </w:p>
    <w:p w14:paraId="24236BC4" w14:textId="77777777" w:rsidR="00834FBA" w:rsidRPr="005D4222" w:rsidRDefault="00834FBA" w:rsidP="00834FBA">
      <w:pPr>
        <w:pStyle w:val="Body"/>
        <w:widowControl w:val="0"/>
      </w:pPr>
      <w:r w:rsidRPr="005D4222">
        <w:t xml:space="preserve">The FAQs and Policy Updates clarify HEDIS uses and specifications, and are posted to the </w:t>
      </w:r>
      <w:hyperlink r:id="rId40" w:history="1">
        <w:r w:rsidRPr="005D4222">
          <w:rPr>
            <w:rStyle w:val="Hyperlink"/>
          </w:rPr>
          <w:t>NCQA website</w:t>
        </w:r>
      </w:hyperlink>
      <w:r w:rsidRPr="005D4222">
        <w:t xml:space="preserve"> on the 15th of each month.</w:t>
      </w:r>
    </w:p>
    <w:p w14:paraId="7DEA0E00" w14:textId="77777777" w:rsidR="00834FBA" w:rsidRPr="005D4222" w:rsidRDefault="00834FBA" w:rsidP="00834FBA">
      <w:pPr>
        <w:pStyle w:val="SubHeadNoTOC"/>
      </w:pPr>
      <w:bookmarkStart w:id="31" w:name="_Toc400546020"/>
      <w:r w:rsidRPr="005D4222">
        <w:t>Additional Resources</w:t>
      </w:r>
      <w:bookmarkEnd w:id="31"/>
    </w:p>
    <w:p w14:paraId="17280100" w14:textId="0A66487C" w:rsidR="00834FBA" w:rsidRPr="005D4222" w:rsidRDefault="00834FBA" w:rsidP="00834FBA">
      <w:pPr>
        <w:pStyle w:val="Body"/>
        <w:widowControl w:val="0"/>
      </w:pPr>
      <w:r w:rsidRPr="005D4222">
        <w:t xml:space="preserve">NCQA provides resources to help organizations understand measure specifications, collect data and report audited HEDIS results: </w:t>
      </w:r>
    </w:p>
    <w:p w14:paraId="74BB1F29" w14:textId="1066E941" w:rsidR="00834FBA" w:rsidRPr="005D4222" w:rsidRDefault="00834FBA" w:rsidP="005314EE">
      <w:pPr>
        <w:pStyle w:val="Bullet"/>
        <w:spacing w:before="120"/>
      </w:pPr>
      <w:r w:rsidRPr="005D4222">
        <w:t xml:space="preserve">Each organization implementing HEDIS is strongly encouraged to join NCQA’s HEDIS Users Group for technical assistance and guidance on interpreting the specifications. Membership benefits include NCQA HEDIS and Accreditation publications, newsletters, online seminars and discount vouchers for HEDIS conferences and publications. For more information, email </w:t>
      </w:r>
      <w:hyperlink r:id="rId41">
        <w:r w:rsidRPr="005D4222">
          <w:rPr>
            <w:rStyle w:val="Hyperlink"/>
          </w:rPr>
          <w:t>hug@ncqa.org</w:t>
        </w:r>
      </w:hyperlink>
      <w:r w:rsidRPr="005D4222">
        <w:t xml:space="preserve">. </w:t>
      </w:r>
    </w:p>
    <w:p w14:paraId="49A750A5" w14:textId="6FDC6D5F" w:rsidR="00834FBA" w:rsidRPr="005D4222" w:rsidRDefault="00834FBA" w:rsidP="005314EE">
      <w:pPr>
        <w:pStyle w:val="Bullet"/>
        <w:spacing w:before="120"/>
      </w:pPr>
      <w:r w:rsidRPr="005D4222">
        <w:t xml:space="preserve">HEDIS publications are available </w:t>
      </w:r>
      <w:r w:rsidR="0073142A" w:rsidRPr="005D4222">
        <w:t>for download as</w:t>
      </w:r>
      <w:r w:rsidRPr="005D4222" w:rsidDel="0073142A">
        <w:t xml:space="preserve"> </w:t>
      </w:r>
      <w:r w:rsidRPr="005D4222">
        <w:t>electronic publication</w:t>
      </w:r>
      <w:r w:rsidR="0073142A" w:rsidRPr="005D4222">
        <w:t>s</w:t>
      </w:r>
      <w:r w:rsidRPr="005D4222">
        <w:t xml:space="preserve"> (“e-pub”) and are sold by user license tiers in the </w:t>
      </w:r>
      <w:hyperlink r:id="rId42">
        <w:r w:rsidRPr="005D4222">
          <w:rPr>
            <w:rStyle w:val="Hyperlink"/>
          </w:rPr>
          <w:t>NCQA Store</w:t>
        </w:r>
      </w:hyperlink>
      <w:r w:rsidRPr="005D4222">
        <w:t>. Publications are protected Microsoft Word and Excel files</w:t>
      </w:r>
      <w:r w:rsidRPr="005D4222" w:rsidDel="00427C63">
        <w:t xml:space="preserve"> displaying the publication’s </w:t>
      </w:r>
      <w:r w:rsidRPr="005D4222">
        <w:t>content.</w:t>
      </w:r>
    </w:p>
    <w:p w14:paraId="32CDA162" w14:textId="362B6CF3" w:rsidR="00834FBA" w:rsidRPr="005D4222" w:rsidRDefault="00834FBA" w:rsidP="005314EE">
      <w:pPr>
        <w:pStyle w:val="Bullet"/>
        <w:spacing w:before="120"/>
      </w:pPr>
      <w:r w:rsidRPr="005D4222">
        <w:t>NCQA publications are relevant to organizations and physicians interested in improving the quality of health care. To obtain a list</w:t>
      </w:r>
      <w:r w:rsidR="00B32440" w:rsidRPr="005D4222">
        <w:t>,</w:t>
      </w:r>
      <w:r w:rsidRPr="005D4222">
        <w:t xml:space="preserve"> or to order publications, go to the </w:t>
      </w:r>
      <w:hyperlink r:id="rId43">
        <w:r w:rsidRPr="005D4222">
          <w:rPr>
            <w:rStyle w:val="Hyperlink"/>
          </w:rPr>
          <w:t>NCQA Store</w:t>
        </w:r>
      </w:hyperlink>
      <w:r w:rsidRPr="005D4222">
        <w:t xml:space="preserve"> or call Customer Support at 888-275-7585.</w:t>
      </w:r>
    </w:p>
    <w:p w14:paraId="15B50578" w14:textId="3E89F327" w:rsidR="00834FBA" w:rsidRPr="005D4222" w:rsidRDefault="00834FBA" w:rsidP="005314EE">
      <w:pPr>
        <w:pStyle w:val="Bullet"/>
        <w:spacing w:before="120"/>
      </w:pPr>
      <w:r w:rsidRPr="005D4222">
        <w:t xml:space="preserve">An important part of quality improvement is keeping up with the latest </w:t>
      </w:r>
      <w:r w:rsidR="005D175B" w:rsidRPr="005D4222">
        <w:t>advancements</w:t>
      </w:r>
      <w:r w:rsidRPr="005D4222">
        <w:t xml:space="preserve"> in health care and best practices. NCQA provides education and training opportunities to help organizations reach their quality improvement goals</w:t>
      </w:r>
      <w:r w:rsidR="00602904" w:rsidRPr="005D4222">
        <w:t xml:space="preserve">, in </w:t>
      </w:r>
      <w:r w:rsidRPr="005D4222">
        <w:t>learning formats</w:t>
      </w:r>
      <w:r w:rsidRPr="005D4222" w:rsidDel="00CA3D4E">
        <w:t xml:space="preserve"> </w:t>
      </w:r>
      <w:r w:rsidRPr="005D4222">
        <w:t xml:space="preserve">to suit all needs. Visit the </w:t>
      </w:r>
      <w:hyperlink r:id="rId44" w:history="1">
        <w:r w:rsidRPr="005D4222">
          <w:rPr>
            <w:rStyle w:val="Hyperlink"/>
          </w:rPr>
          <w:t>NCQA Education &amp; Training page</w:t>
        </w:r>
      </w:hyperlink>
      <w:r w:rsidRPr="005D4222">
        <w:t>, or call NCQA Customer Support at 888-275-7585.</w:t>
      </w:r>
    </w:p>
    <w:p w14:paraId="5C9F9067" w14:textId="77777777" w:rsidR="00834FBA" w:rsidRPr="005D4222" w:rsidRDefault="00834FBA" w:rsidP="00A00C3C">
      <w:pPr>
        <w:pStyle w:val="StdHead"/>
      </w:pPr>
      <w:bookmarkStart w:id="32" w:name="_Toc74747843"/>
      <w:bookmarkStart w:id="33" w:name="_Toc138164040"/>
      <w:bookmarkStart w:id="34" w:name="_Toc171402932"/>
      <w:bookmarkStart w:id="35" w:name="_Toc201813352"/>
      <w:bookmarkStart w:id="36" w:name="Hotline"/>
      <w:r w:rsidRPr="005D4222">
        <w:t>Reporting Hotline for Fraud and Misconduct</w:t>
      </w:r>
      <w:bookmarkEnd w:id="32"/>
      <w:bookmarkEnd w:id="33"/>
      <w:bookmarkEnd w:id="34"/>
      <w:bookmarkEnd w:id="35"/>
    </w:p>
    <w:bookmarkEnd w:id="36"/>
    <w:p w14:paraId="533465A7" w14:textId="77777777" w:rsidR="00196C55" w:rsidRPr="005D4222" w:rsidRDefault="00196C55" w:rsidP="00196C55">
      <w:pPr>
        <w:pStyle w:val="Body"/>
      </w:pPr>
      <w:r w:rsidRPr="005D4222">
        <w:t xml:space="preserve">NCQA does not tolerate submission of fraudulent, misleading or improper information by organizations as part of their survey process or for any NCQA program. </w:t>
      </w:r>
      <w:r w:rsidRPr="005D4222">
        <w:rPr>
          <w:rFonts w:cs="Arial"/>
          <w:shd w:val="clear" w:color="auto" w:fill="FAF9F8"/>
        </w:rPr>
        <w:t>NCQA reserves the right to publicly display the information on the reported issue, including, but not limited to, the affected organization, the specific data error and the associated resolution. We will display the information on a dedicated public-facing webpage on the NCQA website (</w:t>
      </w:r>
      <w:hyperlink r:id="rId45" w:history="1">
        <w:r w:rsidRPr="005D4222">
          <w:rPr>
            <w:rStyle w:val="Hyperlink"/>
            <w:rFonts w:cs="Arial"/>
            <w:shd w:val="clear" w:color="auto" w:fill="FAF9F8"/>
          </w:rPr>
          <w:t>www.ncqa.org</w:t>
        </w:r>
      </w:hyperlink>
      <w:r w:rsidRPr="005D4222">
        <w:rPr>
          <w:rFonts w:cs="Arial"/>
          <w:shd w:val="clear" w:color="auto" w:fill="FAF9F8"/>
        </w:rPr>
        <w:t>). NCQA may also revise affected products.</w:t>
      </w:r>
      <w:r w:rsidRPr="005D4222">
        <w:t xml:space="preserve"> </w:t>
      </w:r>
    </w:p>
    <w:p w14:paraId="1C2C9BED" w14:textId="43AB4428" w:rsidR="00196C55" w:rsidRPr="005D4222" w:rsidRDefault="00196C55" w:rsidP="00196C55">
      <w:pPr>
        <w:pStyle w:val="Body"/>
      </w:pPr>
      <w:r w:rsidRPr="005D4222">
        <w:t>NCQA has a confidential and anonymous Reporting Hotline to provide a secure method for reporting perceived fraud or misconduct, including submission of falsified documents or fraudulent information to NCQA that could affect NCQA-related operations (including, but not limited to, the survey process, the HEDIS measures and determination of NCQA status and status level).</w:t>
      </w:r>
    </w:p>
    <w:p w14:paraId="772B183A" w14:textId="77777777" w:rsidR="00834FBA" w:rsidRPr="005D4222" w:rsidRDefault="00834FBA" w:rsidP="00834FBA">
      <w:pPr>
        <w:pStyle w:val="Body"/>
        <w:rPr>
          <w:b/>
          <w:i/>
        </w:rPr>
      </w:pPr>
      <w:r w:rsidRPr="005D4222">
        <w:rPr>
          <w:b/>
          <w:i/>
        </w:rPr>
        <w:t>How to Report</w:t>
      </w:r>
    </w:p>
    <w:p w14:paraId="4B4D61B4" w14:textId="77777777" w:rsidR="00834FBA" w:rsidRPr="005D4222" w:rsidRDefault="00834FBA" w:rsidP="00834FBA">
      <w:pPr>
        <w:pStyle w:val="ProcessBullet"/>
        <w:rPr>
          <w:b/>
          <w:bCs/>
        </w:rPr>
      </w:pPr>
      <w:r w:rsidRPr="005D4222">
        <w:rPr>
          <w:b/>
          <w:bCs/>
        </w:rPr>
        <w:t>Toll-Free Telephone:</w:t>
      </w:r>
    </w:p>
    <w:p w14:paraId="72AA214F" w14:textId="77777777" w:rsidR="00834FBA" w:rsidRPr="005D4222" w:rsidRDefault="00834FBA" w:rsidP="00834FBA">
      <w:pPr>
        <w:pStyle w:val="ProcessDash"/>
      </w:pPr>
      <w:r w:rsidRPr="005D4222">
        <w:t>English-speaking USA and Canada: 844-440-0077 (not available from Mexico).</w:t>
      </w:r>
    </w:p>
    <w:p w14:paraId="03CCDBA0" w14:textId="77777777" w:rsidR="00834FBA" w:rsidRPr="005D4222" w:rsidRDefault="00834FBA" w:rsidP="00834FBA">
      <w:pPr>
        <w:pStyle w:val="ProcessDash"/>
      </w:pPr>
      <w:r w:rsidRPr="005D4222">
        <w:t xml:space="preserve">Spanish-speaking North America: 800-216-1288 (from Mexico, user must dial 001-800-216-1288). </w:t>
      </w:r>
    </w:p>
    <w:p w14:paraId="6512296B" w14:textId="77777777" w:rsidR="00834FBA" w:rsidRPr="005D4222" w:rsidRDefault="00834FBA" w:rsidP="00834FBA">
      <w:pPr>
        <w:pStyle w:val="Bullet"/>
        <w:ind w:left="216"/>
        <w:rPr>
          <w:rStyle w:val="Hyperlink"/>
          <w:rFonts w:cs="Arial"/>
        </w:rPr>
      </w:pPr>
      <w:r w:rsidRPr="005D4222">
        <w:rPr>
          <w:rFonts w:cs="Arial"/>
          <w:b/>
          <w:bCs/>
        </w:rPr>
        <w:lastRenderedPageBreak/>
        <w:t>Website:</w:t>
      </w:r>
      <w:r w:rsidRPr="005D4222">
        <w:rPr>
          <w:rFonts w:cs="Arial"/>
        </w:rPr>
        <w:t xml:space="preserve"> </w:t>
      </w:r>
      <w:hyperlink r:id="rId46">
        <w:r w:rsidRPr="005D4222">
          <w:rPr>
            <w:rStyle w:val="Hyperlink"/>
            <w:rFonts w:cs="Arial"/>
          </w:rPr>
          <w:t>https://www.lighthouse-services.com/ncqa.</w:t>
        </w:r>
      </w:hyperlink>
    </w:p>
    <w:p w14:paraId="04CBD2BA" w14:textId="77777777" w:rsidR="00834FBA" w:rsidRPr="005D4222" w:rsidRDefault="00834FBA" w:rsidP="00834FBA">
      <w:pPr>
        <w:pStyle w:val="Bullet"/>
        <w:ind w:left="216"/>
        <w:rPr>
          <w:rFonts w:cs="Arial"/>
        </w:rPr>
      </w:pPr>
      <w:r w:rsidRPr="005D4222">
        <w:rPr>
          <w:rFonts w:cs="Arial"/>
          <w:b/>
          <w:bCs/>
        </w:rPr>
        <w:t>Email:</w:t>
      </w:r>
      <w:r w:rsidRPr="005D4222">
        <w:rPr>
          <w:rFonts w:cs="Arial"/>
        </w:rPr>
        <w:t xml:space="preserve"> </w:t>
      </w:r>
      <w:hyperlink r:id="rId47">
        <w:r w:rsidRPr="005D4222">
          <w:rPr>
            <w:rStyle w:val="Hyperlink"/>
            <w:rFonts w:cs="Arial"/>
          </w:rPr>
          <w:t>reports@lighthouse-services.com</w:t>
        </w:r>
      </w:hyperlink>
      <w:r w:rsidRPr="005D4222">
        <w:rPr>
          <w:rFonts w:cs="Arial"/>
        </w:rPr>
        <w:t xml:space="preserve"> (must include NCQA’s name with the report).</w:t>
      </w:r>
    </w:p>
    <w:p w14:paraId="1A5FEFC8" w14:textId="77777777" w:rsidR="00834FBA" w:rsidRPr="005D4222" w:rsidRDefault="00834FBA" w:rsidP="00834FBA">
      <w:pPr>
        <w:pStyle w:val="Bullet"/>
        <w:ind w:left="216"/>
        <w:rPr>
          <w:rFonts w:cs="Arial"/>
        </w:rPr>
      </w:pPr>
      <w:r w:rsidRPr="005D4222">
        <w:rPr>
          <w:rFonts w:cs="Arial"/>
          <w:b/>
          <w:bCs/>
        </w:rPr>
        <w:t>Fax:</w:t>
      </w:r>
      <w:r w:rsidRPr="005D4222">
        <w:rPr>
          <w:rFonts w:cs="Arial"/>
        </w:rPr>
        <w:t xml:space="preserve"> 215-689-3885 (must include NCQA’s name with the report). </w:t>
      </w:r>
    </w:p>
    <w:p w14:paraId="6D7E86B3" w14:textId="77777777" w:rsidR="00834FBA" w:rsidRPr="005D4222" w:rsidRDefault="00834FBA" w:rsidP="00A00C3C">
      <w:pPr>
        <w:pStyle w:val="StdHead"/>
      </w:pPr>
      <w:bookmarkStart w:id="37" w:name="Errors"/>
      <w:bookmarkStart w:id="38" w:name="_Toc74747844"/>
      <w:bookmarkStart w:id="39" w:name="_Toc171402933"/>
      <w:bookmarkStart w:id="40" w:name="_Toc201813353"/>
      <w:r w:rsidRPr="005D4222">
        <w:t>Reporting Data Errors to NCQA</w:t>
      </w:r>
      <w:bookmarkEnd w:id="37"/>
      <w:bookmarkEnd w:id="38"/>
      <w:bookmarkEnd w:id="39"/>
      <w:bookmarkEnd w:id="40"/>
    </w:p>
    <w:p w14:paraId="2A025FF7" w14:textId="77777777" w:rsidR="00834FBA" w:rsidRPr="005D4222" w:rsidRDefault="00834FBA" w:rsidP="00834FBA">
      <w:pPr>
        <w:pStyle w:val="Body"/>
        <w:rPr>
          <w:rFonts w:ascii="Calibri" w:hAnsi="Calibri"/>
          <w:szCs w:val="22"/>
        </w:rPr>
      </w:pPr>
      <w:r w:rsidRPr="005D4222">
        <w:t xml:space="preserve">Because audited HEDIS data are used to establish plans’ Accreditation status and in many NCQA programs and products, NCQA must be </w:t>
      </w:r>
      <w:r w:rsidRPr="005D4222" w:rsidDel="00700222">
        <w:t xml:space="preserve">made </w:t>
      </w:r>
      <w:r w:rsidRPr="005D4222">
        <w:t xml:space="preserve">aware of data problems in any previously reported rate. </w:t>
      </w:r>
    </w:p>
    <w:p w14:paraId="38283F9A" w14:textId="465D2C6F" w:rsidR="00834FBA" w:rsidRPr="005D4222" w:rsidRDefault="00834FBA" w:rsidP="00834FBA">
      <w:pPr>
        <w:pStyle w:val="Body"/>
      </w:pPr>
      <w:r w:rsidRPr="005D4222">
        <w:t xml:space="preserve">Organizations must immediately report any error in a measure rate or in its component (in any previous submission, regardless of timing) that is &gt;5% higher or lower than what was reported originally. These should be reported to NCQA via </w:t>
      </w:r>
      <w:hyperlink r:id="rId48" w:history="1">
        <w:r w:rsidRPr="005D4222" w:rsidDel="00CC24BE">
          <w:rPr>
            <w:rStyle w:val="Hyperlink"/>
          </w:rPr>
          <w:t>My</w:t>
        </w:r>
        <w:r w:rsidRPr="005D4222">
          <w:rPr>
            <w:rStyle w:val="Hyperlink"/>
          </w:rPr>
          <w:t xml:space="preserve"> NCQA</w:t>
        </w:r>
      </w:hyperlink>
      <w:r w:rsidRPr="005D4222">
        <w:t xml:space="preserve"> by selecting the Product/Program Type as “HEDIS Audit” and the General Content Area as “Data Errors.” The report to NCQA must include:</w:t>
      </w:r>
    </w:p>
    <w:p w14:paraId="1ABC299E" w14:textId="77777777" w:rsidR="00834FBA" w:rsidRPr="005D4222" w:rsidRDefault="00834FBA" w:rsidP="00834FBA">
      <w:pPr>
        <w:pStyle w:val="Bullet"/>
      </w:pPr>
      <w:r w:rsidRPr="005D4222">
        <w:t xml:space="preserve">A description of the issue that includes: </w:t>
      </w:r>
    </w:p>
    <w:p w14:paraId="3F95554F" w14:textId="77777777" w:rsidR="00834FBA" w:rsidRPr="005D4222" w:rsidRDefault="00834FBA" w:rsidP="00834FBA">
      <w:pPr>
        <w:pStyle w:val="Dash"/>
      </w:pPr>
      <w:r w:rsidRPr="005D4222">
        <w:t>The correct rate.</w:t>
      </w:r>
    </w:p>
    <w:p w14:paraId="5EF69967" w14:textId="77777777" w:rsidR="00834FBA" w:rsidRPr="005D4222" w:rsidRDefault="00834FBA" w:rsidP="00834FBA">
      <w:pPr>
        <w:pStyle w:val="Dash"/>
      </w:pPr>
      <w:r w:rsidRPr="005D4222">
        <w:t>The error’s cause.</w:t>
      </w:r>
    </w:p>
    <w:p w14:paraId="3567FF3A" w14:textId="77777777" w:rsidR="00834FBA" w:rsidRPr="005D4222" w:rsidRDefault="00834FBA" w:rsidP="00834FBA">
      <w:pPr>
        <w:pStyle w:val="Dash"/>
      </w:pPr>
      <w:r w:rsidRPr="005D4222">
        <w:t>How the error was discovered.</w:t>
      </w:r>
    </w:p>
    <w:p w14:paraId="71B722BE" w14:textId="77777777" w:rsidR="00834FBA" w:rsidRPr="005D4222" w:rsidRDefault="00834FBA" w:rsidP="00834FBA">
      <w:pPr>
        <w:pStyle w:val="Dash"/>
      </w:pPr>
      <w:r w:rsidRPr="005D4222">
        <w:t>How the error was corrected.</w:t>
      </w:r>
    </w:p>
    <w:p w14:paraId="19BCC897" w14:textId="77777777" w:rsidR="00834FBA" w:rsidRPr="005D4222" w:rsidRDefault="00834FBA" w:rsidP="00834FBA">
      <w:pPr>
        <w:pStyle w:val="Bullet"/>
      </w:pPr>
      <w:r w:rsidRPr="005D4222">
        <w:t>The HEDIS measure year and the measures affected.</w:t>
      </w:r>
    </w:p>
    <w:p w14:paraId="7A67FC2E" w14:textId="77777777" w:rsidR="00834FBA" w:rsidRPr="005D4222" w:rsidRDefault="00834FBA" w:rsidP="00834FBA">
      <w:pPr>
        <w:pStyle w:val="Bullet"/>
      </w:pPr>
      <w:r w:rsidRPr="005D4222">
        <w:t>The submissions affected.</w:t>
      </w:r>
    </w:p>
    <w:p w14:paraId="02425AD0" w14:textId="77777777" w:rsidR="00834FBA" w:rsidRPr="005D4222" w:rsidRDefault="00834FBA" w:rsidP="00834FBA">
      <w:pPr>
        <w:pStyle w:val="Bullet"/>
      </w:pPr>
      <w:r w:rsidRPr="005D4222">
        <w:t>The impact on reported rates.</w:t>
      </w:r>
    </w:p>
    <w:p w14:paraId="46A298D5" w14:textId="72F89EF7" w:rsidR="00834FBA" w:rsidRPr="005D4222" w:rsidRDefault="00834FBA" w:rsidP="00834FBA">
      <w:pPr>
        <w:pStyle w:val="Body"/>
        <w:sectPr w:rsidR="00834FBA" w:rsidRPr="005D4222" w:rsidSect="0074514A">
          <w:headerReference w:type="even" r:id="rId49"/>
          <w:headerReference w:type="first" r:id="rId50"/>
          <w:footerReference w:type="first" r:id="rId51"/>
          <w:type w:val="nextColumn"/>
          <w:pgSz w:w="12240" w:h="15840" w:code="1"/>
          <w:pgMar w:top="1080" w:right="1080" w:bottom="1080" w:left="1440" w:header="720" w:footer="720" w:gutter="0"/>
          <w:cols w:space="720"/>
        </w:sectPr>
      </w:pPr>
      <w:r w:rsidRPr="005D4222">
        <w:t xml:space="preserve">Auditors must document all findings for the year in question and the current year’s corrections. </w:t>
      </w:r>
      <w:r w:rsidR="00DE6DB7" w:rsidRPr="005D4222">
        <w:t xml:space="preserve">Organizations are not required to submit corrected rates for additional </w:t>
      </w:r>
      <w:r w:rsidR="003F3297" w:rsidRPr="005D4222">
        <w:t xml:space="preserve">impacted </w:t>
      </w:r>
      <w:r w:rsidR="00DE6DB7" w:rsidRPr="005D4222">
        <w:t xml:space="preserve">data years unless requested by NCQA. </w:t>
      </w:r>
      <w:r w:rsidRPr="005D4222">
        <w:t>Findings must be included in the work papers, and must be noted in detail in the organization’s Final Audit Report.</w:t>
      </w:r>
    </w:p>
    <w:p w14:paraId="6D0DA891" w14:textId="77777777" w:rsidR="00834FBA" w:rsidRPr="005D4222" w:rsidRDefault="00834FBA" w:rsidP="00834FBA">
      <w:pPr>
        <w:pStyle w:val="Breakpage"/>
      </w:pPr>
      <w:bookmarkStart w:id="41" w:name="General_Guidelines"/>
      <w:bookmarkStart w:id="42" w:name="_Toc74747845"/>
      <w:bookmarkStart w:id="43" w:name="_Toc171402934"/>
      <w:bookmarkStart w:id="44" w:name="_Toc201813354"/>
      <w:r w:rsidRPr="005D4222">
        <w:lastRenderedPageBreak/>
        <w:t>General Guidelines</w:t>
      </w:r>
      <w:bookmarkEnd w:id="41"/>
      <w:r w:rsidRPr="005D4222">
        <w:t xml:space="preserve"> for</w:t>
      </w:r>
      <w:r w:rsidRPr="005D4222">
        <w:br/>
        <w:t>Data Collection and Reporting</w:t>
      </w:r>
      <w:bookmarkEnd w:id="42"/>
      <w:bookmarkEnd w:id="43"/>
      <w:bookmarkEnd w:id="44"/>
    </w:p>
    <w:p w14:paraId="4008A582" w14:textId="77777777" w:rsidR="00834FBA" w:rsidRPr="005D4222" w:rsidRDefault="00834FBA" w:rsidP="00834FBA">
      <w:pPr>
        <w:pStyle w:val="Breakpage"/>
        <w:sectPr w:rsidR="00834FBA" w:rsidRPr="005D4222" w:rsidSect="0074514A">
          <w:headerReference w:type="default" r:id="rId52"/>
          <w:footerReference w:type="default" r:id="rId53"/>
          <w:type w:val="nextColumn"/>
          <w:pgSz w:w="12240" w:h="15840" w:code="1"/>
          <w:pgMar w:top="1080" w:right="1080" w:bottom="1080" w:left="1440" w:header="720" w:footer="720" w:gutter="0"/>
          <w:cols w:space="720"/>
        </w:sectPr>
      </w:pPr>
    </w:p>
    <w:p w14:paraId="26C2362F" w14:textId="17C53630" w:rsidR="00834FBA" w:rsidRPr="005D4222" w:rsidRDefault="00834FBA" w:rsidP="00834FBA">
      <w:pPr>
        <w:pStyle w:val="SOC"/>
        <w:pBdr>
          <w:top w:val="single" w:sz="6" w:space="0" w:color="auto"/>
        </w:pBdr>
        <w:spacing w:after="40"/>
      </w:pPr>
      <w:bookmarkStart w:id="45" w:name="_Toc74747846"/>
      <w:bookmarkStart w:id="46" w:name="_Toc452170787"/>
      <w:r w:rsidRPr="005D4222">
        <w:lastRenderedPageBreak/>
        <w:t xml:space="preserve">Summary of Changes to HEDIS MY </w:t>
      </w:r>
      <w:r w:rsidRPr="005D4222">
        <w:rPr>
          <w:bCs/>
          <w:iCs/>
        </w:rPr>
        <w:t>202</w:t>
      </w:r>
      <w:r w:rsidR="00F80954" w:rsidRPr="005D4222">
        <w:rPr>
          <w:bCs/>
          <w:iCs/>
        </w:rPr>
        <w:t>6</w:t>
      </w:r>
      <w:bookmarkEnd w:id="45"/>
    </w:p>
    <w:bookmarkEnd w:id="46"/>
    <w:p w14:paraId="6EF506D6" w14:textId="5348CDBB" w:rsidR="00055530" w:rsidRPr="005D4222" w:rsidRDefault="00C111A0" w:rsidP="00F507FA">
      <w:pPr>
        <w:pStyle w:val="ProcessBullet"/>
        <w:spacing w:before="120"/>
        <w:rPr>
          <w:rFonts w:eastAsia="Arial"/>
        </w:rPr>
      </w:pPr>
      <w:r w:rsidRPr="005D4222">
        <w:rPr>
          <w:rFonts w:eastAsia="Arial"/>
        </w:rPr>
        <w:t xml:space="preserve">Removed references </w:t>
      </w:r>
      <w:r w:rsidR="001E3236" w:rsidRPr="005D4222">
        <w:rPr>
          <w:rFonts w:eastAsia="Arial"/>
        </w:rPr>
        <w:t>to</w:t>
      </w:r>
      <w:r w:rsidR="00E60F1F" w:rsidRPr="005D4222">
        <w:rPr>
          <w:rFonts w:eastAsia="Arial"/>
        </w:rPr>
        <w:t xml:space="preserve"> Medicare</w:t>
      </w:r>
      <w:r w:rsidR="004F594B" w:rsidRPr="005D4222">
        <w:rPr>
          <w:rFonts w:eastAsia="Arial"/>
        </w:rPr>
        <w:t>-Medicaid (MMP)</w:t>
      </w:r>
      <w:r w:rsidR="00C06A31" w:rsidRPr="005D4222">
        <w:rPr>
          <w:rFonts w:eastAsia="Arial"/>
        </w:rPr>
        <w:t xml:space="preserve"> plans</w:t>
      </w:r>
      <w:r w:rsidR="00A640F9" w:rsidRPr="005D4222">
        <w:rPr>
          <w:rFonts w:eastAsia="Arial"/>
        </w:rPr>
        <w:t xml:space="preserve"> because</w:t>
      </w:r>
      <w:r w:rsidR="00C06A31" w:rsidRPr="005D4222" w:rsidDel="00A640F9">
        <w:rPr>
          <w:rFonts w:eastAsia="Arial"/>
        </w:rPr>
        <w:t xml:space="preserve"> </w:t>
      </w:r>
      <w:r w:rsidR="005052D3" w:rsidRPr="005D4222">
        <w:rPr>
          <w:rFonts w:eastAsia="Arial"/>
        </w:rPr>
        <w:t>this is no longer a reporting option for MY 2026.</w:t>
      </w:r>
      <w:r w:rsidR="00D25922" w:rsidRPr="005D4222">
        <w:rPr>
          <w:rFonts w:eastAsia="Arial"/>
        </w:rPr>
        <w:t xml:space="preserve"> </w:t>
      </w:r>
    </w:p>
    <w:p w14:paraId="554F51F5" w14:textId="3D847754" w:rsidR="00C96D70" w:rsidRPr="005D4222" w:rsidRDefault="00C96D70" w:rsidP="002C35E2">
      <w:pPr>
        <w:pStyle w:val="ProcessBullet"/>
        <w:rPr>
          <w:rFonts w:eastAsia="Arial"/>
        </w:rPr>
      </w:pPr>
      <w:r w:rsidRPr="005D4222">
        <w:rPr>
          <w:rFonts w:eastAsia="Arial"/>
        </w:rPr>
        <w:t xml:space="preserve">Deleted </w:t>
      </w:r>
      <w:r w:rsidRPr="005D4222">
        <w:rPr>
          <w:rFonts w:eastAsia="Arial"/>
          <w:i/>
          <w:iCs/>
        </w:rPr>
        <w:t>General Guideline: Date Specificity;</w:t>
      </w:r>
      <w:r w:rsidRPr="005D4222">
        <w:rPr>
          <w:rFonts w:eastAsia="Arial"/>
        </w:rPr>
        <w:t xml:space="preserve"> requirements are included in each applicable measure.</w:t>
      </w:r>
    </w:p>
    <w:p w14:paraId="4F42E4C0" w14:textId="31DC7A94" w:rsidR="006661BE" w:rsidRPr="005D4222" w:rsidRDefault="000814FB" w:rsidP="002C35E2">
      <w:pPr>
        <w:pStyle w:val="ProcessBullet"/>
        <w:rPr>
          <w:rFonts w:eastAsia="Arial"/>
        </w:rPr>
      </w:pPr>
      <w:r w:rsidRPr="005D4222">
        <w:rPr>
          <w:rFonts w:eastAsia="Arial"/>
        </w:rPr>
        <w:t xml:space="preserve">Added </w:t>
      </w:r>
      <w:r w:rsidRPr="005D4222">
        <w:rPr>
          <w:rFonts w:eastAsia="Arial"/>
          <w:i/>
          <w:iCs/>
        </w:rPr>
        <w:t>General Guideline: Which Services Count</w:t>
      </w:r>
      <w:r w:rsidRPr="005D4222">
        <w:rPr>
          <w:rFonts w:eastAsia="Arial"/>
        </w:rPr>
        <w:t xml:space="preserve"> to the </w:t>
      </w:r>
      <w:r w:rsidRPr="005D4222">
        <w:rPr>
          <w:rFonts w:eastAsia="Arial"/>
          <w:i/>
          <w:iCs/>
        </w:rPr>
        <w:t>Data Collection Methods and Data Sources</w:t>
      </w:r>
      <w:r w:rsidRPr="005D4222">
        <w:rPr>
          <w:rFonts w:eastAsia="Arial"/>
        </w:rPr>
        <w:t xml:space="preserve"> section.  </w:t>
      </w:r>
    </w:p>
    <w:p w14:paraId="791A4658" w14:textId="77777777" w:rsidR="000C5C7E" w:rsidRPr="00B8470B" w:rsidRDefault="000C5C7E" w:rsidP="000C5C7E">
      <w:pPr>
        <w:pStyle w:val="ProcessBullet"/>
      </w:pPr>
      <w:r>
        <w:t xml:space="preserve">Updated </w:t>
      </w:r>
      <w:r>
        <w:rPr>
          <w:i/>
          <w:iCs/>
        </w:rPr>
        <w:t xml:space="preserve">General Guideline: Race and Ethnicity Stratifications </w:t>
      </w:r>
      <w:r>
        <w:t>to align with the March 2024 updates to the Office of Management and Budget Standards for Maintaining, Collecting, and Presenting Federal Data on Race and Ethnicity.</w:t>
      </w:r>
    </w:p>
    <w:p w14:paraId="2F966041" w14:textId="6CD19AFA" w:rsidR="00DB1FD3" w:rsidRPr="005D4222" w:rsidRDefault="006B7702" w:rsidP="002C35E2">
      <w:pPr>
        <w:pStyle w:val="ProcessBullet"/>
        <w:rPr>
          <w:rFonts w:eastAsia="Arial"/>
          <w:i/>
          <w:iCs/>
        </w:rPr>
      </w:pPr>
      <w:r w:rsidRPr="005D4222">
        <w:rPr>
          <w:rFonts w:eastAsia="Arial"/>
        </w:rPr>
        <w:t xml:space="preserve">Added text to </w:t>
      </w:r>
      <w:r w:rsidRPr="005D4222">
        <w:rPr>
          <w:i/>
          <w:iCs/>
        </w:rPr>
        <w:t>Data refresh for the systematic sample</w:t>
      </w:r>
      <w:r w:rsidRPr="005D4222">
        <w:rPr>
          <w:rFonts w:eastAsia="Arial"/>
        </w:rPr>
        <w:t xml:space="preserve"> </w:t>
      </w:r>
      <w:r w:rsidR="000E5FE9" w:rsidRPr="005D4222">
        <w:rPr>
          <w:rFonts w:eastAsia="Arial"/>
        </w:rPr>
        <w:t xml:space="preserve">in </w:t>
      </w:r>
      <w:r w:rsidR="003B054F" w:rsidRPr="005D4222">
        <w:rPr>
          <w:rFonts w:eastAsia="Arial"/>
          <w:i/>
        </w:rPr>
        <w:t>General Guideline</w:t>
      </w:r>
      <w:r w:rsidR="00471192" w:rsidRPr="005D4222">
        <w:rPr>
          <w:rFonts w:eastAsia="Arial"/>
          <w:i/>
          <w:iCs/>
        </w:rPr>
        <w:t>:</w:t>
      </w:r>
      <w:r w:rsidR="00471192" w:rsidRPr="005D4222">
        <w:rPr>
          <w:rFonts w:eastAsia="Arial"/>
        </w:rPr>
        <w:t xml:space="preserve"> </w:t>
      </w:r>
      <w:r w:rsidR="00471192" w:rsidRPr="005D4222">
        <w:rPr>
          <w:rFonts w:eastAsia="Arial"/>
          <w:i/>
          <w:iCs/>
        </w:rPr>
        <w:t>Obtaining Information for the Systematic Sample</w:t>
      </w:r>
      <w:r w:rsidR="009E7DCB" w:rsidRPr="005D4222">
        <w:rPr>
          <w:rFonts w:eastAsia="Arial"/>
          <w:i/>
          <w:iCs/>
        </w:rPr>
        <w:t>.</w:t>
      </w:r>
    </w:p>
    <w:p w14:paraId="2AE41177" w14:textId="0DE843AC" w:rsidR="0098306D" w:rsidRPr="005D4222" w:rsidRDefault="003B054F" w:rsidP="002C35E2">
      <w:pPr>
        <w:pStyle w:val="ProcessBullet"/>
        <w:rPr>
          <w:rFonts w:eastAsia="Arial"/>
        </w:rPr>
      </w:pPr>
      <w:r w:rsidRPr="005D4222">
        <w:rPr>
          <w:rFonts w:eastAsia="Arial"/>
        </w:rPr>
        <w:t xml:space="preserve">Deleted </w:t>
      </w:r>
      <w:r w:rsidRPr="005D4222">
        <w:rPr>
          <w:rFonts w:eastAsia="Arial"/>
          <w:i/>
        </w:rPr>
        <w:t>General Guideline</w:t>
      </w:r>
      <w:r w:rsidR="00C15EDA" w:rsidRPr="005D4222">
        <w:rPr>
          <w:rFonts w:eastAsia="Arial"/>
          <w:i/>
        </w:rPr>
        <w:t>:</w:t>
      </w:r>
      <w:r w:rsidRPr="005D4222">
        <w:rPr>
          <w:rFonts w:eastAsia="Arial"/>
          <w:i/>
        </w:rPr>
        <w:t xml:space="preserve"> </w:t>
      </w:r>
      <w:r w:rsidR="00F12B2A" w:rsidRPr="005D4222">
        <w:rPr>
          <w:rFonts w:eastAsia="Arial"/>
          <w:i/>
        </w:rPr>
        <w:t>Measures That Use Medication Lists</w:t>
      </w:r>
      <w:r w:rsidR="0098306D" w:rsidRPr="005D4222">
        <w:rPr>
          <w:rFonts w:eastAsia="Arial"/>
          <w:i/>
        </w:rPr>
        <w:t>;</w:t>
      </w:r>
      <w:r w:rsidRPr="005D4222">
        <w:rPr>
          <w:rFonts w:eastAsia="Arial"/>
        </w:rPr>
        <w:t xml:space="preserve"> requirements </w:t>
      </w:r>
      <w:r w:rsidR="00F507FA" w:rsidRPr="005D4222">
        <w:rPr>
          <w:rFonts w:eastAsia="Arial"/>
        </w:rPr>
        <w:t>are</w:t>
      </w:r>
      <w:r w:rsidRPr="005D4222">
        <w:rPr>
          <w:rFonts w:eastAsia="Arial"/>
        </w:rPr>
        <w:t xml:space="preserve"> included in each </w:t>
      </w:r>
      <w:r w:rsidR="00F12B2A" w:rsidRPr="005D4222">
        <w:rPr>
          <w:rFonts w:eastAsia="Arial"/>
        </w:rPr>
        <w:t xml:space="preserve">applicable </w:t>
      </w:r>
      <w:r w:rsidRPr="005D4222">
        <w:rPr>
          <w:rFonts w:eastAsia="Arial"/>
        </w:rPr>
        <w:t>measure.</w:t>
      </w:r>
    </w:p>
    <w:p w14:paraId="1A7E5A7E" w14:textId="5ABFBDC6" w:rsidR="005B27F6" w:rsidRPr="005D4222" w:rsidRDefault="005B27F6" w:rsidP="002C35E2">
      <w:pPr>
        <w:pStyle w:val="ProcessBullet"/>
        <w:rPr>
          <w:rFonts w:eastAsia="Arial"/>
        </w:rPr>
      </w:pPr>
      <w:r w:rsidRPr="005D4222">
        <w:rPr>
          <w:rFonts w:eastAsia="Arial"/>
        </w:rPr>
        <w:t xml:space="preserve">Deleted </w:t>
      </w:r>
      <w:r w:rsidRPr="005D4222">
        <w:rPr>
          <w:rFonts w:eastAsia="Arial"/>
          <w:i/>
        </w:rPr>
        <w:t>General Guideline: Anchor Dates</w:t>
      </w:r>
      <w:r w:rsidR="002E407D" w:rsidRPr="005D4222">
        <w:rPr>
          <w:rFonts w:eastAsia="Arial"/>
          <w:i/>
          <w:iCs/>
        </w:rPr>
        <w:t>;</w:t>
      </w:r>
      <w:r w:rsidRPr="005D4222">
        <w:rPr>
          <w:rFonts w:eastAsia="Arial"/>
        </w:rPr>
        <w:t xml:space="preserve"> requirements </w:t>
      </w:r>
      <w:r w:rsidR="002E407D" w:rsidRPr="005D4222">
        <w:rPr>
          <w:rFonts w:eastAsia="Arial"/>
        </w:rPr>
        <w:t xml:space="preserve">are included in </w:t>
      </w:r>
      <w:r w:rsidR="002F5E43" w:rsidRPr="005D4222">
        <w:rPr>
          <w:rFonts w:eastAsia="Arial"/>
          <w:i/>
          <w:iCs/>
        </w:rPr>
        <w:t>General Guideline: Continuous Enrollment</w:t>
      </w:r>
      <w:r w:rsidR="002E407D" w:rsidRPr="005D4222">
        <w:rPr>
          <w:rFonts w:eastAsia="Arial"/>
        </w:rPr>
        <w:t>.</w:t>
      </w:r>
    </w:p>
    <w:p w14:paraId="1FAF3FF5" w14:textId="5D128CA3" w:rsidR="004300A9" w:rsidRPr="005D4222" w:rsidRDefault="004300A9" w:rsidP="002C35E2">
      <w:pPr>
        <w:pStyle w:val="ProcessBullet"/>
        <w:rPr>
          <w:rFonts w:eastAsia="Arial"/>
        </w:rPr>
      </w:pPr>
      <w:r w:rsidRPr="005D4222">
        <w:rPr>
          <w:rFonts w:eastAsia="Arial"/>
        </w:rPr>
        <w:t xml:space="preserve">Updated </w:t>
      </w:r>
      <w:r w:rsidRPr="005D4222">
        <w:rPr>
          <w:rFonts w:eastAsia="Arial"/>
          <w:i/>
          <w:iCs/>
        </w:rPr>
        <w:t>General Guideline: Data Collection Methods</w:t>
      </w:r>
      <w:r w:rsidRPr="005D4222">
        <w:rPr>
          <w:rFonts w:eastAsia="Arial"/>
        </w:rPr>
        <w:t xml:space="preserve"> to include information regarding the electronic method of reporting. </w:t>
      </w:r>
    </w:p>
    <w:p w14:paraId="04E535BB" w14:textId="795BB122" w:rsidR="0098306D" w:rsidRDefault="0098306D" w:rsidP="002C35E2">
      <w:pPr>
        <w:pStyle w:val="ProcessBullet"/>
        <w:rPr>
          <w:rFonts w:eastAsia="Arial"/>
        </w:rPr>
      </w:pPr>
      <w:r w:rsidRPr="005D4222">
        <w:rPr>
          <w:rFonts w:eastAsia="Arial"/>
        </w:rPr>
        <w:t xml:space="preserve">Deleted </w:t>
      </w:r>
      <w:r w:rsidRPr="005D4222">
        <w:rPr>
          <w:rFonts w:eastAsia="Arial"/>
          <w:i/>
        </w:rPr>
        <w:t>General Guideline</w:t>
      </w:r>
      <w:r w:rsidR="00C12C0B" w:rsidRPr="005D4222">
        <w:rPr>
          <w:rFonts w:eastAsia="Arial"/>
          <w:i/>
        </w:rPr>
        <w:t>:</w:t>
      </w:r>
      <w:r w:rsidRPr="005D4222">
        <w:rPr>
          <w:i/>
        </w:rPr>
        <w:t xml:space="preserve"> </w:t>
      </w:r>
      <w:r w:rsidRPr="005D4222">
        <w:rPr>
          <w:rFonts w:eastAsia="Arial"/>
          <w:i/>
        </w:rPr>
        <w:t>SNOMED Codes</w:t>
      </w:r>
      <w:r w:rsidRPr="005D4222">
        <w:rPr>
          <w:rFonts w:eastAsia="Arial"/>
        </w:rPr>
        <w:t>.</w:t>
      </w:r>
    </w:p>
    <w:p w14:paraId="7751DFF9" w14:textId="234E05E4" w:rsidR="00834FBA" w:rsidRPr="005D4222" w:rsidRDefault="00834FBA" w:rsidP="00A00C3C">
      <w:pPr>
        <w:pStyle w:val="StdHead"/>
      </w:pPr>
      <w:bookmarkStart w:id="47" w:name="_Toc400546022"/>
      <w:bookmarkStart w:id="48" w:name="HEDISReporting"/>
      <w:bookmarkStart w:id="49" w:name="_Toc74747847"/>
      <w:bookmarkStart w:id="50" w:name="_Toc171402935"/>
      <w:bookmarkStart w:id="51" w:name="_Toc201813355"/>
      <w:r w:rsidRPr="005D4222">
        <w:t>HEDIS Reporting</w:t>
      </w:r>
      <w:bookmarkEnd w:id="47"/>
      <w:bookmarkEnd w:id="48"/>
      <w:bookmarkEnd w:id="49"/>
      <w:bookmarkEnd w:id="50"/>
      <w:bookmarkEnd w:id="51"/>
    </w:p>
    <w:p w14:paraId="1B0A4E31" w14:textId="77777777" w:rsidR="00834FBA" w:rsidRPr="005D4222" w:rsidRDefault="00834FBA" w:rsidP="00834FBA">
      <w:pPr>
        <w:pStyle w:val="SubHeadNoTOC"/>
        <w:spacing w:before="240"/>
      </w:pPr>
      <w:bookmarkStart w:id="52" w:name="_Toc400546023"/>
      <w:r w:rsidRPr="005D4222">
        <w:rPr>
          <w:bCs/>
          <w:i/>
        </w:rPr>
        <w:t>General Guideline:</w:t>
      </w:r>
      <w:r w:rsidRPr="005D4222">
        <w:t xml:space="preserve"> Product-Line Reporting</w:t>
      </w:r>
      <w:bookmarkEnd w:id="52"/>
    </w:p>
    <w:p w14:paraId="756675A7" w14:textId="77777777" w:rsidR="00834FBA" w:rsidRPr="005D4222" w:rsidRDefault="00834FBA" w:rsidP="00834FBA">
      <w:pPr>
        <w:pStyle w:val="Body"/>
        <w:widowControl w:val="0"/>
      </w:pPr>
      <w:r w:rsidRPr="005D4222">
        <w:t>Audited HEDIS results are collected and reported separately for populations covered by commercial insurance, Medicaid and Medicare.</w:t>
      </w:r>
    </w:p>
    <w:p w14:paraId="76BC8F49" w14:textId="77777777" w:rsidR="00834FBA" w:rsidRPr="005D4222" w:rsidRDefault="00834FBA" w:rsidP="00834FBA">
      <w:pPr>
        <w:pStyle w:val="Note"/>
      </w:pPr>
      <w:r w:rsidRPr="005D4222">
        <w:rPr>
          <w:b/>
          <w:bCs/>
        </w:rPr>
        <w:t xml:space="preserve">Note: </w:t>
      </w:r>
      <w:r w:rsidRPr="005D4222">
        <w:t>A subset of HEDIS measures is collected and reported for the Exchange product line. For reporting requirements and measure specifications for Exchange reporting, refer to the</w:t>
      </w:r>
      <w:r w:rsidRPr="005D4222" w:rsidDel="007A4514">
        <w:t xml:space="preserve"> </w:t>
      </w:r>
      <w:r w:rsidRPr="005D4222">
        <w:t>Quality Rating System (QRS) Measure Technical Specifications on the CMS website. These reporting requirements must be used for only QRS reporting; Volume 2 may not be used for QRS-specific reporting.</w:t>
      </w:r>
    </w:p>
    <w:p w14:paraId="3AD1DB08" w14:textId="77777777" w:rsidR="00834FBA" w:rsidRPr="005D4222" w:rsidRDefault="00834FBA" w:rsidP="00834FBA">
      <w:pPr>
        <w:pStyle w:val="SubHeadNoTOC"/>
        <w:spacing w:before="240"/>
      </w:pPr>
      <w:bookmarkStart w:id="53" w:name="_Toc400546024"/>
      <w:r w:rsidRPr="005D4222">
        <w:rPr>
          <w:bCs/>
          <w:i/>
        </w:rPr>
        <w:t>General Guideline:</w:t>
      </w:r>
      <w:r w:rsidRPr="005D4222">
        <w:t xml:space="preserve"> Product-Specific Reporting</w:t>
      </w:r>
      <w:bookmarkEnd w:id="53"/>
      <w:r w:rsidRPr="005D4222">
        <w:t xml:space="preserve"> </w:t>
      </w:r>
    </w:p>
    <w:p w14:paraId="1FCC90F5" w14:textId="77777777" w:rsidR="00834FBA" w:rsidRPr="005D4222" w:rsidRDefault="00834FBA" w:rsidP="00834FBA">
      <w:pPr>
        <w:pStyle w:val="Body"/>
        <w:rPr>
          <w:i/>
          <w:iCs/>
        </w:rPr>
      </w:pPr>
      <w:r w:rsidRPr="005D4222">
        <w:t>Audited HEDIS results may be reported separately by product (HMO, POS, PPO, EPO</w:t>
      </w:r>
      <w:r w:rsidRPr="005D4222" w:rsidDel="00B4073D">
        <w:t xml:space="preserve">) or </w:t>
      </w:r>
      <w:r w:rsidRPr="005D4222">
        <w:t xml:space="preserve">combined (HMO/POS or PPO/EPO). To report a PPO or EPO product combined with an HMO or POS product, submit a written request for approval to PCS via </w:t>
      </w:r>
      <w:hyperlink r:id="rId54" w:history="1">
        <w:r w:rsidRPr="005D4222" w:rsidDel="00CC24BE">
          <w:rPr>
            <w:rStyle w:val="Hyperlink"/>
          </w:rPr>
          <w:t>My</w:t>
        </w:r>
        <w:r w:rsidRPr="005D4222">
          <w:rPr>
            <w:rStyle w:val="Hyperlink"/>
          </w:rPr>
          <w:t xml:space="preserve"> NCQA</w:t>
        </w:r>
      </w:hyperlink>
      <w:r w:rsidRPr="005D4222">
        <w:t>. The request must address all the elements in</w:t>
      </w:r>
      <w:r w:rsidRPr="005D4222">
        <w:rPr>
          <w:i/>
        </w:rPr>
        <w:t xml:space="preserve"> General Guideline</w:t>
      </w:r>
      <w:r w:rsidRPr="005D4222">
        <w:rPr>
          <w:i/>
          <w:iCs/>
        </w:rPr>
        <w:t>:</w:t>
      </w:r>
      <w:r w:rsidRPr="005D4222">
        <w:rPr>
          <w:i/>
        </w:rPr>
        <w:t xml:space="preserve"> </w:t>
      </w:r>
      <w:r w:rsidRPr="005D4222">
        <w:rPr>
          <w:i/>
          <w:iCs/>
        </w:rPr>
        <w:t>HEDIS Submission for Organizations Seeking Accreditation.</w:t>
      </w:r>
    </w:p>
    <w:p w14:paraId="05E1D2AF" w14:textId="6D0060E9" w:rsidR="00834FBA" w:rsidRPr="005D4222" w:rsidRDefault="00834FBA" w:rsidP="00834FBA">
      <w:pPr>
        <w:pStyle w:val="Body"/>
        <w:rPr>
          <w:rFonts w:eastAsia="Arial Narrow"/>
        </w:rPr>
      </w:pPr>
      <w:r w:rsidRPr="005D4222">
        <w:t xml:space="preserve">The organization must submit data for all members for an entire product. Refer to </w:t>
      </w:r>
      <w:hyperlink w:anchor="GG_Reporting_ASO_SelfInsured" w:history="1">
        <w:r w:rsidRPr="005D4222">
          <w:rPr>
            <w:rStyle w:val="Hyperlink"/>
            <w:i/>
          </w:rPr>
          <w:t>General Guideline</w:t>
        </w:r>
        <w:r w:rsidRPr="005D4222">
          <w:rPr>
            <w:rStyle w:val="Hyperlink"/>
            <w:i/>
            <w:iCs/>
          </w:rPr>
          <w:t>: Reporting ASO and Self-Insured Members</w:t>
        </w:r>
      </w:hyperlink>
      <w:r w:rsidRPr="005D4222">
        <w:t xml:space="preserve"> for more information on allowable population exclusions.</w:t>
      </w:r>
      <w:r w:rsidRPr="005D4222">
        <w:rPr>
          <w:rFonts w:eastAsia="Arial Narrow"/>
        </w:rPr>
        <w:t xml:space="preserve"> </w:t>
      </w:r>
    </w:p>
    <w:tbl>
      <w:tblPr>
        <w:tblW w:w="9864" w:type="dxa"/>
        <w:tblInd w:w="-90" w:type="dxa"/>
        <w:tblLayout w:type="fixed"/>
        <w:tblLook w:val="0000" w:firstRow="0" w:lastRow="0" w:firstColumn="0" w:lastColumn="0" w:noHBand="0" w:noVBand="0"/>
      </w:tblPr>
      <w:tblGrid>
        <w:gridCol w:w="2160"/>
        <w:gridCol w:w="7704"/>
      </w:tblGrid>
      <w:tr w:rsidR="00834FBA" w:rsidRPr="005D4222" w14:paraId="6DF0297E" w14:textId="77777777" w:rsidTr="009F6641">
        <w:tc>
          <w:tcPr>
            <w:tcW w:w="2160" w:type="dxa"/>
          </w:tcPr>
          <w:p w14:paraId="435C4895" w14:textId="77777777" w:rsidR="00834FBA" w:rsidRPr="005D4222" w:rsidRDefault="00834FBA" w:rsidP="009F6641">
            <w:pPr>
              <w:pStyle w:val="MarginSubhead"/>
            </w:pPr>
            <w:r w:rsidRPr="005D4222">
              <w:t>Definitions</w:t>
            </w:r>
          </w:p>
        </w:tc>
        <w:tc>
          <w:tcPr>
            <w:tcW w:w="7704" w:type="dxa"/>
          </w:tcPr>
          <w:p w14:paraId="46596122" w14:textId="77777777" w:rsidR="00834FBA" w:rsidRPr="005D4222" w:rsidRDefault="00834FBA" w:rsidP="009F6641">
            <w:pPr>
              <w:pStyle w:val="Body"/>
            </w:pPr>
          </w:p>
        </w:tc>
      </w:tr>
      <w:tr w:rsidR="00834FBA" w:rsidRPr="005D4222" w14:paraId="7FD47070" w14:textId="77777777" w:rsidTr="009F6641">
        <w:tc>
          <w:tcPr>
            <w:tcW w:w="2160" w:type="dxa"/>
          </w:tcPr>
          <w:p w14:paraId="3174C64D" w14:textId="77777777" w:rsidR="00834FBA" w:rsidRPr="005D4222" w:rsidRDefault="00834FBA" w:rsidP="009F6641">
            <w:pPr>
              <w:pStyle w:val="MarginSubhead"/>
              <w:widowControl w:val="0"/>
              <w:spacing w:before="120"/>
              <w:jc w:val="right"/>
              <w:rPr>
                <w:i/>
              </w:rPr>
            </w:pPr>
            <w:r w:rsidRPr="005D4222">
              <w:rPr>
                <w:i/>
              </w:rPr>
              <w:t>HMO</w:t>
            </w:r>
          </w:p>
        </w:tc>
        <w:tc>
          <w:tcPr>
            <w:tcW w:w="7704" w:type="dxa"/>
          </w:tcPr>
          <w:p w14:paraId="67E857CE" w14:textId="7B4995DF" w:rsidR="0090115E" w:rsidRPr="005D4222" w:rsidRDefault="00834FBA" w:rsidP="0090115E">
            <w:pPr>
              <w:pStyle w:val="Body"/>
              <w:widowControl w:val="0"/>
              <w:spacing w:before="120"/>
            </w:pPr>
            <w:r w:rsidRPr="005D4222">
              <w:t xml:space="preserve">Health maintenance organization. An organized health care system that is accountable for both the financing and delivery of a broad range of comprehensive health services to an enrolled population. An HMO is accountable for assessing access and ensuring quality and appropriate care. </w:t>
            </w:r>
          </w:p>
          <w:p w14:paraId="577D5FE3" w14:textId="2F2AC4EC" w:rsidR="00834FBA" w:rsidRPr="005D4222" w:rsidRDefault="00834FBA" w:rsidP="009F6641">
            <w:pPr>
              <w:pStyle w:val="Body"/>
              <w:widowControl w:val="0"/>
              <w:spacing w:before="120"/>
            </w:pPr>
          </w:p>
        </w:tc>
      </w:tr>
    </w:tbl>
    <w:p w14:paraId="4ADCA624" w14:textId="77777777" w:rsidR="0090115E" w:rsidRDefault="0090115E"/>
    <w:tbl>
      <w:tblPr>
        <w:tblW w:w="9864" w:type="dxa"/>
        <w:tblInd w:w="-90" w:type="dxa"/>
        <w:tblLayout w:type="fixed"/>
        <w:tblLook w:val="0000" w:firstRow="0" w:lastRow="0" w:firstColumn="0" w:lastColumn="0" w:noHBand="0" w:noVBand="0"/>
      </w:tblPr>
      <w:tblGrid>
        <w:gridCol w:w="2160"/>
        <w:gridCol w:w="7704"/>
      </w:tblGrid>
      <w:tr w:rsidR="0090115E" w:rsidRPr="005D4222" w14:paraId="120C5521" w14:textId="77777777" w:rsidTr="009F6641">
        <w:tc>
          <w:tcPr>
            <w:tcW w:w="2160" w:type="dxa"/>
          </w:tcPr>
          <w:p w14:paraId="395B1B23" w14:textId="77777777" w:rsidR="0090115E" w:rsidRPr="005D4222" w:rsidRDefault="0090115E" w:rsidP="009F6641">
            <w:pPr>
              <w:pStyle w:val="MarginSubhead"/>
              <w:widowControl w:val="0"/>
              <w:spacing w:before="120"/>
              <w:jc w:val="right"/>
              <w:rPr>
                <w:i/>
              </w:rPr>
            </w:pPr>
          </w:p>
        </w:tc>
        <w:tc>
          <w:tcPr>
            <w:tcW w:w="7704" w:type="dxa"/>
          </w:tcPr>
          <w:p w14:paraId="5107926F" w14:textId="77777777" w:rsidR="0090115E" w:rsidRPr="005D4222" w:rsidRDefault="0090115E" w:rsidP="0090115E">
            <w:pPr>
              <w:pStyle w:val="Body"/>
              <w:widowControl w:val="0"/>
              <w:spacing w:before="0"/>
            </w:pPr>
            <w:r w:rsidRPr="005D4222">
              <w:t xml:space="preserve">Practitioners affiliated with the health care system render health care services. In this type of organization, members must obtain all services from affiliated practitioners and must usually comply with a predefined authorization system to receive reimbursement. </w:t>
            </w:r>
          </w:p>
          <w:p w14:paraId="772CF051" w14:textId="2A898112" w:rsidR="0090115E" w:rsidRPr="005D4222" w:rsidRDefault="0090115E" w:rsidP="0090115E">
            <w:pPr>
              <w:pStyle w:val="Body"/>
              <w:widowControl w:val="0"/>
              <w:spacing w:before="120"/>
            </w:pPr>
            <w:r w:rsidRPr="005D4222">
              <w:t xml:space="preserve">A </w:t>
            </w:r>
            <w:r w:rsidRPr="005D4222">
              <w:rPr>
                <w:b/>
              </w:rPr>
              <w:t>practitioner</w:t>
            </w:r>
            <w:r w:rsidRPr="005D4222">
              <w:t xml:space="preserve"> is a professional who provides health care services and is usually required to be licensed as defined by law.</w:t>
            </w:r>
          </w:p>
        </w:tc>
      </w:tr>
      <w:tr w:rsidR="00834FBA" w:rsidRPr="005D4222" w14:paraId="3E241D51" w14:textId="77777777" w:rsidTr="009F6641">
        <w:tc>
          <w:tcPr>
            <w:tcW w:w="2160" w:type="dxa"/>
          </w:tcPr>
          <w:p w14:paraId="222D1708" w14:textId="1AA206C8" w:rsidR="00834FBA" w:rsidRPr="005D4222" w:rsidRDefault="00834FBA" w:rsidP="0090115E">
            <w:pPr>
              <w:pStyle w:val="MarginSubhead"/>
              <w:widowControl w:val="0"/>
              <w:jc w:val="right"/>
              <w:rPr>
                <w:i/>
              </w:rPr>
            </w:pPr>
            <w:r w:rsidRPr="005D4222">
              <w:rPr>
                <w:i/>
              </w:rPr>
              <w:t>POS</w:t>
            </w:r>
          </w:p>
        </w:tc>
        <w:tc>
          <w:tcPr>
            <w:tcW w:w="7704" w:type="dxa"/>
          </w:tcPr>
          <w:p w14:paraId="36D95B15" w14:textId="48E38F4A" w:rsidR="00834FBA" w:rsidRPr="005D4222" w:rsidRDefault="00834FBA" w:rsidP="0090115E">
            <w:pPr>
              <w:pStyle w:val="Body"/>
              <w:widowControl w:val="0"/>
            </w:pPr>
            <w:r w:rsidRPr="005D4222">
              <w:t>Point of service. An HMO with an opt-out option. In this type of organization, members may choose to receive services either within the organization’s health care system (e.g., an in-network practitioner) or outside the organization’s health care delivery system (e.g., an out-of-network practitioner).</w:t>
            </w:r>
          </w:p>
          <w:p w14:paraId="4B8811EA" w14:textId="77777777" w:rsidR="00834FBA" w:rsidRPr="005D4222" w:rsidRDefault="00834FBA" w:rsidP="0090115E">
            <w:pPr>
              <w:pStyle w:val="Body"/>
              <w:widowControl w:val="0"/>
            </w:pPr>
            <w:r w:rsidRPr="005D4222">
              <w:t>The level of benefits or reimbursement is generally determined by whether the member uses in-network or out-of-network services. Common uses of “POS” include references to products that enroll each member in both an HMO (or HMO-like) system and in an indemnity product. A POS product is also referred to as an “HMO swing-out organization,” an “out-of-organization benefits rider to an HMO” or an “open-ended HMO.”</w:t>
            </w:r>
          </w:p>
        </w:tc>
      </w:tr>
      <w:tr w:rsidR="00834FBA" w:rsidRPr="005D4222" w14:paraId="042119A5" w14:textId="77777777" w:rsidTr="009F6641">
        <w:tc>
          <w:tcPr>
            <w:tcW w:w="2160" w:type="dxa"/>
          </w:tcPr>
          <w:p w14:paraId="0A858811" w14:textId="77777777" w:rsidR="00834FBA" w:rsidRPr="005D4222" w:rsidRDefault="00834FBA" w:rsidP="009F6641">
            <w:pPr>
              <w:pStyle w:val="MarginSubhead"/>
              <w:widowControl w:val="0"/>
              <w:jc w:val="right"/>
              <w:rPr>
                <w:i/>
              </w:rPr>
            </w:pPr>
            <w:r w:rsidRPr="005D4222">
              <w:rPr>
                <w:i/>
              </w:rPr>
              <w:t>PPO</w:t>
            </w:r>
          </w:p>
        </w:tc>
        <w:tc>
          <w:tcPr>
            <w:tcW w:w="7704" w:type="dxa"/>
          </w:tcPr>
          <w:p w14:paraId="3FC1AD45" w14:textId="77777777" w:rsidR="00834FBA" w:rsidRPr="005D4222" w:rsidRDefault="00834FBA" w:rsidP="009F6641">
            <w:pPr>
              <w:pStyle w:val="Body"/>
              <w:widowControl w:val="0"/>
            </w:pPr>
            <w:r w:rsidRPr="005D4222">
              <w:t>Preferred provider organization. PPOs are responsible for providing health benefits-related services to covered individuals and for managing a practitioner network. They may administer health benefits programs for employers by assuming insurance risk or by providing only administrative services.</w:t>
            </w:r>
          </w:p>
        </w:tc>
      </w:tr>
      <w:tr w:rsidR="00834FBA" w:rsidRPr="005D4222" w14:paraId="796177B6" w14:textId="77777777" w:rsidTr="009F6641">
        <w:tc>
          <w:tcPr>
            <w:tcW w:w="2160" w:type="dxa"/>
          </w:tcPr>
          <w:p w14:paraId="04E17FCC" w14:textId="77777777" w:rsidR="00834FBA" w:rsidRPr="005D4222" w:rsidRDefault="00834FBA" w:rsidP="009F6641">
            <w:pPr>
              <w:pStyle w:val="MarginSubhead"/>
              <w:widowControl w:val="0"/>
              <w:jc w:val="right"/>
              <w:rPr>
                <w:i/>
              </w:rPr>
            </w:pPr>
            <w:r w:rsidRPr="005D4222">
              <w:rPr>
                <w:i/>
              </w:rPr>
              <w:t>EPO</w:t>
            </w:r>
          </w:p>
        </w:tc>
        <w:tc>
          <w:tcPr>
            <w:tcW w:w="7704" w:type="dxa"/>
          </w:tcPr>
          <w:p w14:paraId="59F07911" w14:textId="77777777" w:rsidR="00834FBA" w:rsidRPr="005D4222" w:rsidRDefault="00834FBA" w:rsidP="009F6641">
            <w:pPr>
              <w:pStyle w:val="Body"/>
              <w:widowControl w:val="0"/>
            </w:pPr>
            <w:r w:rsidRPr="005D4222">
              <w:t>Exclusive provider organization. A type of health insurance product that usually limits coverage to care from providers, or groups of providers, who have contracts with the health insurance issuer to be part of a network of participating providers. EPO members will generally not be reimbursed or receive benefits for out-of-network services; however, some EPOs will provide partial reimbursement for emergency situations.</w:t>
            </w:r>
          </w:p>
        </w:tc>
      </w:tr>
    </w:tbl>
    <w:p w14:paraId="2B3A6898" w14:textId="51211132" w:rsidR="00834FBA" w:rsidRPr="005D4222" w:rsidRDefault="00834FBA" w:rsidP="00834FBA">
      <w:pPr>
        <w:pStyle w:val="SubHeadNoTOC"/>
      </w:pPr>
      <w:bookmarkStart w:id="54" w:name="_Toc400546025"/>
      <w:r w:rsidRPr="005D4222">
        <w:rPr>
          <w:bCs/>
          <w:i/>
        </w:rPr>
        <w:t>General Guideline</w:t>
      </w:r>
      <w:r w:rsidRPr="005D4222">
        <w:rPr>
          <w:i/>
        </w:rPr>
        <w:t>:</w:t>
      </w:r>
      <w:r w:rsidRPr="005D4222">
        <w:t xml:space="preserve"> </w:t>
      </w:r>
      <w:bookmarkStart w:id="55" w:name="HEDISSubmission"/>
      <w:r w:rsidRPr="005D4222">
        <w:t>HEDIS Submission for Organizations Seeking Accreditation</w:t>
      </w:r>
      <w:bookmarkEnd w:id="54"/>
      <w:bookmarkEnd w:id="55"/>
      <w:r w:rsidRPr="005D4222">
        <w:t xml:space="preserve"> </w:t>
      </w:r>
    </w:p>
    <w:p w14:paraId="7ACB6336" w14:textId="77777777" w:rsidR="00834FBA" w:rsidRPr="005D4222" w:rsidRDefault="00834FBA" w:rsidP="00834FBA">
      <w:pPr>
        <w:pStyle w:val="Body"/>
        <w:widowControl w:val="0"/>
        <w:tabs>
          <w:tab w:val="left" w:pos="2358"/>
        </w:tabs>
      </w:pPr>
      <w:r w:rsidRPr="005D4222">
        <w:t xml:space="preserve">Audited HEDIS results must correspond with the product line/product combination for which the organization seeks Accreditation. NCQA defines the organization for Accreditation and HEDIS reporting as part of the Accreditation application process. </w:t>
      </w:r>
    </w:p>
    <w:p w14:paraId="67AA0035" w14:textId="7C9D7F88" w:rsidR="00834FBA" w:rsidRPr="005D4222" w:rsidRDefault="00834FBA" w:rsidP="00A00C3C">
      <w:pPr>
        <w:pStyle w:val="StdHead"/>
      </w:pPr>
      <w:bookmarkStart w:id="56" w:name="_Toc400546026"/>
      <w:bookmarkStart w:id="57" w:name="Defining"/>
      <w:bookmarkStart w:id="58" w:name="_Toc74747848"/>
      <w:bookmarkStart w:id="59" w:name="_Toc171402936"/>
      <w:bookmarkStart w:id="60" w:name="_Toc201813356"/>
      <w:r w:rsidRPr="005D4222">
        <w:t>How NCQA Defines an Organization for Accreditation</w:t>
      </w:r>
      <w:bookmarkEnd w:id="56"/>
      <w:bookmarkEnd w:id="57"/>
      <w:bookmarkEnd w:id="58"/>
      <w:bookmarkEnd w:id="59"/>
      <w:bookmarkEnd w:id="60"/>
    </w:p>
    <w:p w14:paraId="7FD6D92D" w14:textId="77777777" w:rsidR="00834FBA" w:rsidRPr="005D4222" w:rsidRDefault="00834FBA" w:rsidP="00834FBA">
      <w:pPr>
        <w:pStyle w:val="Body"/>
        <w:widowControl w:val="0"/>
      </w:pPr>
      <w:r w:rsidRPr="005D4222">
        <w:t>NCQA considers the following when determining the Accreditable entity.</w:t>
      </w:r>
    </w:p>
    <w:tbl>
      <w:tblPr>
        <w:tblW w:w="9832" w:type="dxa"/>
        <w:tblInd w:w="-9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80" w:type="dxa"/>
          <w:right w:w="180" w:type="dxa"/>
        </w:tblCellMar>
        <w:tblLook w:val="0000" w:firstRow="0" w:lastRow="0" w:firstColumn="0" w:lastColumn="0" w:noHBand="0" w:noVBand="0"/>
      </w:tblPr>
      <w:tblGrid>
        <w:gridCol w:w="2153"/>
        <w:gridCol w:w="7679"/>
      </w:tblGrid>
      <w:tr w:rsidR="00834FBA" w:rsidRPr="005D4222" w14:paraId="36A3C6EE" w14:textId="77777777" w:rsidTr="009F6641">
        <w:tc>
          <w:tcPr>
            <w:tcW w:w="2153" w:type="dxa"/>
            <w:tcBorders>
              <w:top w:val="nil"/>
              <w:left w:val="nil"/>
              <w:bottom w:val="nil"/>
              <w:right w:val="nil"/>
            </w:tcBorders>
            <w:tcMar>
              <w:left w:w="115" w:type="dxa"/>
              <w:right w:w="115" w:type="dxa"/>
            </w:tcMar>
          </w:tcPr>
          <w:p w14:paraId="70569113" w14:textId="77777777" w:rsidR="00834FBA" w:rsidRPr="005D4222" w:rsidRDefault="00834FBA" w:rsidP="009F6641">
            <w:pPr>
              <w:pStyle w:val="MarginSubhead"/>
              <w:widowControl w:val="0"/>
              <w:ind w:left="288" w:hanging="288"/>
            </w:pPr>
            <w:r w:rsidRPr="005D4222">
              <w:t>1.</w:t>
            </w:r>
            <w:r w:rsidRPr="005D4222">
              <w:tab/>
              <w:t>Legal entity</w:t>
            </w:r>
          </w:p>
        </w:tc>
        <w:tc>
          <w:tcPr>
            <w:tcW w:w="7679" w:type="dxa"/>
            <w:tcBorders>
              <w:top w:val="nil"/>
              <w:left w:val="nil"/>
              <w:bottom w:val="nil"/>
              <w:right w:val="nil"/>
            </w:tcBorders>
            <w:tcMar>
              <w:left w:w="115" w:type="dxa"/>
              <w:right w:w="115" w:type="dxa"/>
            </w:tcMar>
          </w:tcPr>
          <w:p w14:paraId="44087E50" w14:textId="77777777" w:rsidR="00834FBA" w:rsidRPr="005D4222" w:rsidDel="0006450B" w:rsidRDefault="00834FBA" w:rsidP="009F6641">
            <w:pPr>
              <w:pStyle w:val="Body"/>
              <w:widowControl w:val="0"/>
            </w:pPr>
            <w:r w:rsidRPr="005D4222">
              <w:t>NCQA’s goal is to identify</w:t>
            </w:r>
            <w:r w:rsidRPr="005D4222" w:rsidDel="0006450B">
              <w:t xml:space="preserve"> the legal entity that issues a contract for insurance for a defined population or contracts with an employer to provide managed care services to a self-insured population.</w:t>
            </w:r>
          </w:p>
          <w:p w14:paraId="14E29902" w14:textId="2AB0080D" w:rsidR="0090115E" w:rsidRPr="005D4222" w:rsidRDefault="00834FBA" w:rsidP="0090115E">
            <w:pPr>
              <w:pStyle w:val="Body"/>
              <w:widowControl w:val="0"/>
            </w:pPr>
            <w:r w:rsidRPr="005D4222">
              <w:t xml:space="preserve">If the legal entity operates in multiple states but otherwise operates as a centralized organization (same oversight and management structure; same staff, same policies and procedures, all functions addressed in standards performed under a corporate or central structure), NCQA conducts one survey for the legal entity; however, the legal entity is required to report HEDIS/ CAHPS by geographic unit, as defined below. For multiple legal entities, NCQA </w:t>
            </w:r>
          </w:p>
          <w:p w14:paraId="5414A250" w14:textId="51BFBFB5" w:rsidR="00834FBA" w:rsidRPr="005D4222" w:rsidRDefault="00834FBA" w:rsidP="009F6641">
            <w:pPr>
              <w:pStyle w:val="Body"/>
            </w:pPr>
          </w:p>
        </w:tc>
      </w:tr>
    </w:tbl>
    <w:p w14:paraId="44137991" w14:textId="6D3EF229" w:rsidR="00834FBA" w:rsidRPr="005D4222" w:rsidRDefault="00834FBA" w:rsidP="0090115E"/>
    <w:tbl>
      <w:tblPr>
        <w:tblW w:w="9832" w:type="dxa"/>
        <w:tblInd w:w="-9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80" w:type="dxa"/>
          <w:right w:w="180" w:type="dxa"/>
        </w:tblCellMar>
        <w:tblLook w:val="0000" w:firstRow="0" w:lastRow="0" w:firstColumn="0" w:lastColumn="0" w:noHBand="0" w:noVBand="0"/>
      </w:tblPr>
      <w:tblGrid>
        <w:gridCol w:w="2153"/>
        <w:gridCol w:w="7679"/>
      </w:tblGrid>
      <w:tr w:rsidR="00834FBA" w:rsidRPr="005D4222" w14:paraId="3243355B" w14:textId="77777777" w:rsidTr="009F6641">
        <w:tc>
          <w:tcPr>
            <w:tcW w:w="2153" w:type="dxa"/>
            <w:tcBorders>
              <w:top w:val="nil"/>
              <w:left w:val="nil"/>
              <w:bottom w:val="nil"/>
              <w:right w:val="nil"/>
            </w:tcBorders>
            <w:tcMar>
              <w:left w:w="115" w:type="dxa"/>
              <w:right w:w="115" w:type="dxa"/>
            </w:tcMar>
          </w:tcPr>
          <w:p w14:paraId="3A2B991A" w14:textId="77777777" w:rsidR="00834FBA" w:rsidRPr="005D4222" w:rsidRDefault="00834FBA" w:rsidP="009F6641">
            <w:pPr>
              <w:pStyle w:val="MarginSubhead"/>
              <w:widowControl w:val="0"/>
              <w:spacing w:before="0"/>
              <w:ind w:left="288" w:hanging="288"/>
            </w:pPr>
          </w:p>
        </w:tc>
        <w:tc>
          <w:tcPr>
            <w:tcW w:w="7679" w:type="dxa"/>
            <w:tcBorders>
              <w:top w:val="nil"/>
              <w:left w:val="nil"/>
              <w:bottom w:val="nil"/>
              <w:right w:val="nil"/>
            </w:tcBorders>
            <w:tcMar>
              <w:left w:w="115" w:type="dxa"/>
              <w:right w:w="115" w:type="dxa"/>
            </w:tcMar>
          </w:tcPr>
          <w:p w14:paraId="22DCF181" w14:textId="77777777" w:rsidR="0090115E" w:rsidRPr="005D4222" w:rsidRDefault="0090115E" w:rsidP="0090115E">
            <w:pPr>
              <w:pStyle w:val="Body"/>
              <w:widowControl w:val="0"/>
              <w:spacing w:before="0"/>
            </w:pPr>
            <w:r w:rsidRPr="005D4222">
              <w:t>may consider each legal entity as an Accreditable entity. For a legal entity without centralized operations, NCQA may determine that distinct operating units or service areas are the Accreditable entity.</w:t>
            </w:r>
          </w:p>
          <w:p w14:paraId="359D43BA" w14:textId="614E0F1A" w:rsidR="00834FBA" w:rsidRPr="005D4222" w:rsidDel="0006450B" w:rsidRDefault="0090115E" w:rsidP="0090115E">
            <w:pPr>
              <w:pStyle w:val="Body"/>
            </w:pPr>
            <w:r w:rsidRPr="005D4222" w:rsidDel="0006450B">
              <w:t xml:space="preserve">If the organization </w:t>
            </w:r>
            <w:r w:rsidRPr="005D4222">
              <w:t>consists</w:t>
            </w:r>
            <w:r w:rsidRPr="005D4222" w:rsidDel="0006450B">
              <w:t xml:space="preserve"> of multiple legal entities </w:t>
            </w:r>
            <w:r w:rsidRPr="005D4222">
              <w:t>with</w:t>
            </w:r>
            <w:r w:rsidRPr="005D4222" w:rsidDel="0006450B">
              <w:t>in a state</w:t>
            </w:r>
            <w:r w:rsidRPr="005D4222">
              <w:t>,</w:t>
            </w:r>
            <w:r w:rsidRPr="005D4222" w:rsidDel="0006450B">
              <w:t xml:space="preserve"> but otherwise operates as a single statewide organization (same management structure; </w:t>
            </w:r>
            <w:r w:rsidRPr="005D4222">
              <w:t xml:space="preserve">a </w:t>
            </w:r>
            <w:r w:rsidRPr="005D4222" w:rsidDel="0006450B">
              <w:t xml:space="preserve">single practitioner/provider network for the entire state; centralized key functions, including quality improvement, credentialing and utilization management), NCQA awards Accreditation </w:t>
            </w:r>
            <w:r w:rsidRPr="005D4222">
              <w:t>status to</w:t>
            </w:r>
            <w:r w:rsidRPr="005D4222" w:rsidDel="0006450B">
              <w:t xml:space="preserve"> each legal entity.</w:t>
            </w:r>
            <w:r w:rsidRPr="005D4222">
              <w:t xml:space="preserve"> </w:t>
            </w:r>
            <w:r w:rsidRPr="005D4222" w:rsidDel="0006450B">
              <w:t>With</w:t>
            </w:r>
            <w:r>
              <w:t xml:space="preserve"> </w:t>
            </w:r>
            <w:r w:rsidR="00834FBA" w:rsidRPr="005D4222" w:rsidDel="0006450B">
              <w:t>NCQA approval, the organization may submit one statewide HEDIS submission that is applied to each legal entity.</w:t>
            </w:r>
          </w:p>
          <w:p w14:paraId="6D3C02C5" w14:textId="77777777" w:rsidR="00834FBA" w:rsidRPr="005D4222" w:rsidRDefault="00834FBA" w:rsidP="009F6641">
            <w:pPr>
              <w:pStyle w:val="Body"/>
            </w:pPr>
            <w:r w:rsidRPr="005D4222" w:rsidDel="0006450B">
              <w:rPr>
                <w:rFonts w:eastAsia="Arial" w:cs="Arial"/>
              </w:rPr>
              <w:t>NCQA reserves the right to determine</w:t>
            </w:r>
            <w:r w:rsidRPr="005D4222">
              <w:rPr>
                <w:rFonts w:eastAsia="Arial" w:cs="Arial"/>
              </w:rPr>
              <w:t>,</w:t>
            </w:r>
            <w:r w:rsidRPr="005D4222" w:rsidDel="0006450B">
              <w:rPr>
                <w:rFonts w:eastAsia="Arial" w:cs="Arial"/>
              </w:rPr>
              <w:t xml:space="preserve"> at its sole discretion</w:t>
            </w:r>
            <w:r w:rsidRPr="005D4222">
              <w:rPr>
                <w:rFonts w:eastAsia="Arial" w:cs="Arial"/>
              </w:rPr>
              <w:t>,</w:t>
            </w:r>
            <w:r w:rsidRPr="005D4222" w:rsidDel="0006450B">
              <w:rPr>
                <w:rFonts w:eastAsia="Arial" w:cs="Arial"/>
              </w:rPr>
              <w:t xml:space="preserve"> an entity or organization</w:t>
            </w:r>
            <w:r w:rsidRPr="005D4222">
              <w:rPr>
                <w:rFonts w:eastAsia="Arial" w:cs="Arial"/>
              </w:rPr>
              <w:t>’s eligibility</w:t>
            </w:r>
            <w:r w:rsidRPr="005D4222" w:rsidDel="0006450B">
              <w:rPr>
                <w:rFonts w:eastAsia="Arial" w:cs="Arial"/>
              </w:rPr>
              <w:t xml:space="preserve"> for Accreditation</w:t>
            </w:r>
            <w:r w:rsidRPr="005D4222">
              <w:rPr>
                <w:rFonts w:eastAsia="Arial" w:cs="Arial"/>
              </w:rPr>
              <w:t>, and must approve an organization to be surveyed as one legal entity or multiple legal entities</w:t>
            </w:r>
            <w:r w:rsidRPr="005D4222" w:rsidDel="0006450B">
              <w:rPr>
                <w:rFonts w:eastAsia="Arial" w:cs="Arial"/>
              </w:rPr>
              <w:t>.</w:t>
            </w:r>
          </w:p>
        </w:tc>
      </w:tr>
      <w:tr w:rsidR="00834FBA" w:rsidRPr="005D4222" w14:paraId="71AEB150" w14:textId="77777777" w:rsidTr="009F6641">
        <w:tc>
          <w:tcPr>
            <w:tcW w:w="2153" w:type="dxa"/>
            <w:tcBorders>
              <w:top w:val="nil"/>
              <w:left w:val="nil"/>
              <w:bottom w:val="nil"/>
              <w:right w:val="nil"/>
            </w:tcBorders>
            <w:tcMar>
              <w:left w:w="115" w:type="dxa"/>
              <w:right w:w="115" w:type="dxa"/>
            </w:tcMar>
          </w:tcPr>
          <w:p w14:paraId="5762AC37" w14:textId="77777777" w:rsidR="00834FBA" w:rsidRPr="005D4222" w:rsidRDefault="00834FBA" w:rsidP="009F6641">
            <w:pPr>
              <w:pStyle w:val="MarginSubhead"/>
              <w:widowControl w:val="0"/>
              <w:ind w:left="288" w:hanging="288"/>
            </w:pPr>
            <w:r w:rsidRPr="005D4222">
              <w:t>2.</w:t>
            </w:r>
            <w:r w:rsidRPr="005D4222">
              <w:tab/>
              <w:t xml:space="preserve">Practitioner </w:t>
            </w:r>
            <w:r w:rsidRPr="005D4222">
              <w:br/>
              <w:t>and provider network</w:t>
            </w:r>
          </w:p>
        </w:tc>
        <w:tc>
          <w:tcPr>
            <w:tcW w:w="7679" w:type="dxa"/>
            <w:tcBorders>
              <w:top w:val="nil"/>
              <w:left w:val="nil"/>
              <w:bottom w:val="nil"/>
              <w:right w:val="nil"/>
            </w:tcBorders>
            <w:tcMar>
              <w:left w:w="115" w:type="dxa"/>
              <w:right w:w="115" w:type="dxa"/>
            </w:tcMar>
          </w:tcPr>
          <w:p w14:paraId="7F7590BE" w14:textId="77777777" w:rsidR="00834FBA" w:rsidRPr="005D4222" w:rsidRDefault="00834FBA" w:rsidP="009F6641">
            <w:pPr>
              <w:pStyle w:val="Body"/>
            </w:pPr>
            <w:r w:rsidRPr="005D4222">
              <w:t>The organization must have a single practitioner or provider network. If there are separate and distinct practitioner or provider networks, NCQA may consider each network (along with the accompanying management structure) to be a different Accreditable entity.</w:t>
            </w:r>
          </w:p>
          <w:p w14:paraId="5C3ED643" w14:textId="77777777" w:rsidR="00834FBA" w:rsidRPr="005D4222" w:rsidRDefault="00834FBA" w:rsidP="009F6641">
            <w:pPr>
              <w:pStyle w:val="Body"/>
              <w:widowControl w:val="0"/>
            </w:pPr>
            <w:r w:rsidRPr="005D4222">
              <w:rPr>
                <w:rFonts w:cs="Arial"/>
                <w:szCs w:val="21"/>
              </w:rPr>
              <w:t>NCQA recognizes that organizations sometimes market individual products with practitioner or provider networks that are subsets of a larger network. In this case</w:t>
            </w:r>
            <w:r w:rsidRPr="005D4222">
              <w:t>, NCQA may define the Accreditable entity at the level of the broader network.</w:t>
            </w:r>
          </w:p>
        </w:tc>
      </w:tr>
      <w:tr w:rsidR="00834FBA" w:rsidRPr="005D4222" w14:paraId="6B6B9F75" w14:textId="77777777" w:rsidTr="009F6641">
        <w:tc>
          <w:tcPr>
            <w:tcW w:w="2153" w:type="dxa"/>
            <w:tcBorders>
              <w:top w:val="nil"/>
              <w:left w:val="nil"/>
              <w:bottom w:val="nil"/>
              <w:right w:val="nil"/>
            </w:tcBorders>
            <w:tcMar>
              <w:left w:w="115" w:type="dxa"/>
              <w:right w:w="115" w:type="dxa"/>
            </w:tcMar>
          </w:tcPr>
          <w:p w14:paraId="55D53642" w14:textId="77777777" w:rsidR="00834FBA" w:rsidRPr="005D4222" w:rsidRDefault="00834FBA" w:rsidP="009F6641">
            <w:pPr>
              <w:pStyle w:val="MarginSubhead"/>
              <w:widowControl w:val="0"/>
              <w:ind w:left="288" w:hanging="288"/>
            </w:pPr>
            <w:r w:rsidRPr="005D4222">
              <w:t>3.</w:t>
            </w:r>
            <w:r w:rsidRPr="005D4222">
              <w:tab/>
              <w:t>Centralization</w:t>
            </w:r>
          </w:p>
        </w:tc>
        <w:tc>
          <w:tcPr>
            <w:tcW w:w="7679" w:type="dxa"/>
            <w:tcBorders>
              <w:top w:val="nil"/>
              <w:left w:val="nil"/>
              <w:bottom w:val="nil"/>
              <w:right w:val="nil"/>
            </w:tcBorders>
            <w:tcMar>
              <w:left w:w="115" w:type="dxa"/>
              <w:right w:w="115" w:type="dxa"/>
            </w:tcMar>
          </w:tcPr>
          <w:p w14:paraId="6F8F66E7" w14:textId="5CFCD6FC" w:rsidR="00834FBA" w:rsidRPr="005D4222" w:rsidRDefault="00834FBA" w:rsidP="009F6641">
            <w:pPr>
              <w:pStyle w:val="Body"/>
            </w:pPr>
            <w:r w:rsidRPr="005D4222">
              <w:t>NCQA considers the degree of centralization of key functions assessed by the Accreditation standards. The organization has a single QI program and a single set of policies and procedures for the functions evaluated by the standards, including population health management utilization management credentialing managing member complaints and appeals and developing member materials. If key functions are decentralized, with distinct policies and procedures, NCQA may determine that there is more than one Accreditable entity.</w:t>
            </w:r>
          </w:p>
        </w:tc>
      </w:tr>
      <w:tr w:rsidR="00834FBA" w:rsidRPr="005D4222" w14:paraId="0E7B9198" w14:textId="77777777" w:rsidTr="009F6641">
        <w:tc>
          <w:tcPr>
            <w:tcW w:w="2153" w:type="dxa"/>
            <w:tcBorders>
              <w:top w:val="nil"/>
              <w:left w:val="nil"/>
              <w:bottom w:val="nil"/>
              <w:right w:val="nil"/>
            </w:tcBorders>
            <w:tcMar>
              <w:left w:w="115" w:type="dxa"/>
              <w:right w:w="115" w:type="dxa"/>
            </w:tcMar>
          </w:tcPr>
          <w:p w14:paraId="1AD128F1" w14:textId="77777777" w:rsidR="00834FBA" w:rsidRPr="005D4222" w:rsidRDefault="00834FBA" w:rsidP="009F6641">
            <w:pPr>
              <w:pStyle w:val="MarginSubhead"/>
              <w:widowControl w:val="0"/>
              <w:ind w:left="288" w:hanging="288"/>
            </w:pPr>
            <w:r w:rsidRPr="005D4222">
              <w:t>4.</w:t>
            </w:r>
            <w:r w:rsidRPr="005D4222">
              <w:tab/>
              <w:t>Licensure</w:t>
            </w:r>
          </w:p>
        </w:tc>
        <w:tc>
          <w:tcPr>
            <w:tcW w:w="7679" w:type="dxa"/>
            <w:tcBorders>
              <w:top w:val="nil"/>
              <w:left w:val="nil"/>
              <w:bottom w:val="nil"/>
              <w:right w:val="nil"/>
            </w:tcBorders>
            <w:tcMar>
              <w:left w:w="115" w:type="dxa"/>
              <w:right w:w="115" w:type="dxa"/>
            </w:tcMar>
          </w:tcPr>
          <w:p w14:paraId="651C6C82" w14:textId="77777777" w:rsidR="00834FBA" w:rsidRPr="005D4222" w:rsidRDefault="00834FBA" w:rsidP="009F6641">
            <w:pPr>
              <w:pStyle w:val="Body"/>
              <w:widowControl w:val="0"/>
            </w:pPr>
            <w:r w:rsidRPr="005D4222">
              <w:t xml:space="preserve">The organization may have multiple licenses, especially if its service area crosses state lines. </w:t>
            </w:r>
          </w:p>
        </w:tc>
      </w:tr>
      <w:tr w:rsidR="00834FBA" w:rsidRPr="005D4222" w14:paraId="1C058A5B" w14:textId="77777777" w:rsidTr="009F6641">
        <w:tc>
          <w:tcPr>
            <w:tcW w:w="2153" w:type="dxa"/>
            <w:tcBorders>
              <w:top w:val="nil"/>
              <w:left w:val="nil"/>
              <w:bottom w:val="nil"/>
              <w:right w:val="nil"/>
            </w:tcBorders>
            <w:tcMar>
              <w:left w:w="115" w:type="dxa"/>
              <w:right w:w="115" w:type="dxa"/>
            </w:tcMar>
          </w:tcPr>
          <w:p w14:paraId="358D29F1" w14:textId="77777777" w:rsidR="00834FBA" w:rsidRPr="005D4222" w:rsidRDefault="00834FBA" w:rsidP="009F6641">
            <w:pPr>
              <w:pStyle w:val="MarginSubhead"/>
              <w:widowControl w:val="0"/>
              <w:ind w:left="288" w:hanging="288"/>
            </w:pPr>
            <w:r w:rsidRPr="005D4222">
              <w:t>5.</w:t>
            </w:r>
            <w:r w:rsidRPr="005D4222">
              <w:tab/>
              <w:t>HEDIS/CAHPS reporting unit</w:t>
            </w:r>
          </w:p>
        </w:tc>
        <w:tc>
          <w:tcPr>
            <w:tcW w:w="7679" w:type="dxa"/>
            <w:tcBorders>
              <w:top w:val="nil"/>
              <w:left w:val="nil"/>
              <w:bottom w:val="nil"/>
              <w:right w:val="nil"/>
            </w:tcBorders>
            <w:tcMar>
              <w:left w:w="115" w:type="dxa"/>
              <w:right w:w="115" w:type="dxa"/>
            </w:tcMar>
          </w:tcPr>
          <w:p w14:paraId="038EE576" w14:textId="77777777" w:rsidR="00834FBA" w:rsidRPr="005D4222" w:rsidRDefault="00834FBA" w:rsidP="009F6641">
            <w:pPr>
              <w:pStyle w:val="Body"/>
              <w:widowControl w:val="0"/>
            </w:pPr>
            <w:r w:rsidRPr="005D4222">
              <w:t xml:space="preserve">In general, because evaluation of HEDIS/CAHPS results is required for Accreditation and NCQA issues a unique status for each HEDIS/CAHPS reporting unit, the Accreditable entity is the same as the HEDIS/CAHPS reporting unit. </w:t>
            </w:r>
          </w:p>
        </w:tc>
      </w:tr>
      <w:tr w:rsidR="00834FBA" w:rsidRPr="005D4222" w14:paraId="28CED1E6" w14:textId="77777777" w:rsidTr="009F6641">
        <w:tc>
          <w:tcPr>
            <w:tcW w:w="2153" w:type="dxa"/>
            <w:tcBorders>
              <w:top w:val="nil"/>
              <w:left w:val="nil"/>
              <w:bottom w:val="nil"/>
              <w:right w:val="nil"/>
            </w:tcBorders>
            <w:tcMar>
              <w:left w:w="115" w:type="dxa"/>
              <w:right w:w="115" w:type="dxa"/>
            </w:tcMar>
          </w:tcPr>
          <w:p w14:paraId="1B99782A" w14:textId="77777777" w:rsidR="00834FBA" w:rsidRPr="005D4222" w:rsidRDefault="00834FBA" w:rsidP="009F6641">
            <w:pPr>
              <w:pStyle w:val="MarginSubhead"/>
              <w:widowControl w:val="0"/>
              <w:ind w:left="274" w:hanging="274"/>
            </w:pPr>
            <w:r w:rsidRPr="005D4222">
              <w:t>6.</w:t>
            </w:r>
            <w:r w:rsidRPr="005D4222">
              <w:tab/>
              <w:t>Product/ product line</w:t>
            </w:r>
          </w:p>
        </w:tc>
        <w:tc>
          <w:tcPr>
            <w:tcW w:w="7679" w:type="dxa"/>
            <w:tcBorders>
              <w:top w:val="nil"/>
              <w:left w:val="nil"/>
              <w:bottom w:val="nil"/>
              <w:right w:val="nil"/>
            </w:tcBorders>
            <w:tcMar>
              <w:left w:w="115" w:type="dxa"/>
              <w:right w:w="115" w:type="dxa"/>
            </w:tcMar>
          </w:tcPr>
          <w:p w14:paraId="69A39216" w14:textId="77777777" w:rsidR="00834FBA" w:rsidRPr="005D4222" w:rsidRDefault="00834FBA" w:rsidP="009F6641">
            <w:pPr>
              <w:pStyle w:val="Body"/>
              <w:widowControl w:val="0"/>
            </w:pPr>
            <w:r w:rsidRPr="005D4222">
              <w:t>Product lines reflect the different populations an organization serves. HEDIS/ CAHPS results must be collected and reported separately for populations covered by the following product lines: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88"/>
              <w:gridCol w:w="4851"/>
            </w:tblGrid>
            <w:tr w:rsidR="00190BC7" w:rsidRPr="005D4222" w14:paraId="7DE0437A" w14:textId="77777777" w:rsidTr="00190BC7">
              <w:tc>
                <w:tcPr>
                  <w:tcW w:w="2588" w:type="dxa"/>
                </w:tcPr>
                <w:p w14:paraId="363D64A5" w14:textId="77777777" w:rsidR="00190BC7" w:rsidRPr="005D4222" w:rsidRDefault="00190BC7" w:rsidP="00190BC7">
                  <w:pPr>
                    <w:pStyle w:val="Bullet"/>
                    <w:widowControl w:val="0"/>
                  </w:pPr>
                  <w:r w:rsidRPr="005D4222">
                    <w:t>Commercial.</w:t>
                  </w:r>
                </w:p>
                <w:p w14:paraId="7D49F196" w14:textId="5BEDCAB0" w:rsidR="00190BC7" w:rsidRPr="005D4222" w:rsidRDefault="00190BC7" w:rsidP="00190BC7">
                  <w:pPr>
                    <w:pStyle w:val="Bullet"/>
                    <w:widowControl w:val="0"/>
                  </w:pPr>
                  <w:r w:rsidRPr="005D4222">
                    <w:t>Exchange.</w:t>
                  </w:r>
                </w:p>
              </w:tc>
              <w:tc>
                <w:tcPr>
                  <w:tcW w:w="4851" w:type="dxa"/>
                </w:tcPr>
                <w:p w14:paraId="0DDF073D" w14:textId="77777777" w:rsidR="00190BC7" w:rsidRPr="005D4222" w:rsidRDefault="00190BC7" w:rsidP="00190BC7">
                  <w:pPr>
                    <w:pStyle w:val="Bullet"/>
                    <w:widowControl w:val="0"/>
                    <w:ind w:left="216"/>
                  </w:pPr>
                  <w:r w:rsidRPr="005D4222">
                    <w:t>Medicaid.</w:t>
                  </w:r>
                </w:p>
                <w:p w14:paraId="18C5F8A3" w14:textId="605723F7" w:rsidR="00190BC7" w:rsidRPr="005D4222" w:rsidRDefault="00190BC7" w:rsidP="00190BC7">
                  <w:pPr>
                    <w:pStyle w:val="Bullet"/>
                    <w:widowControl w:val="0"/>
                    <w:ind w:left="216"/>
                  </w:pPr>
                  <w:r w:rsidRPr="005D4222">
                    <w:t>Medicare.</w:t>
                  </w:r>
                </w:p>
              </w:tc>
            </w:tr>
          </w:tbl>
          <w:p w14:paraId="738A1CAA" w14:textId="77777777" w:rsidR="00834FBA" w:rsidRPr="005D4222" w:rsidRDefault="00834FBA" w:rsidP="009F6641">
            <w:pPr>
              <w:pStyle w:val="Body"/>
              <w:widowControl w:val="0"/>
            </w:pPr>
            <w:r w:rsidRPr="005D4222">
              <w:t>Off-Exchange products must be included in the commercial product line, not in the Exchange product line.</w:t>
            </w:r>
          </w:p>
          <w:p w14:paraId="147AAAC2" w14:textId="77777777" w:rsidR="00834FBA" w:rsidRPr="005D4222" w:rsidRDefault="00834FBA" w:rsidP="009F6641">
            <w:pPr>
              <w:pStyle w:val="Body"/>
              <w:widowControl w:val="0"/>
            </w:pPr>
            <w:r w:rsidRPr="005D4222">
              <w:t>The Federal Employee Program and Tricare programs are included in the commercial product line.</w:t>
            </w:r>
          </w:p>
          <w:p w14:paraId="40F597D6" w14:textId="5083E62C" w:rsidR="00834FBA" w:rsidRPr="005D4222" w:rsidRDefault="00834FBA" w:rsidP="0090115E">
            <w:pPr>
              <w:pStyle w:val="Body"/>
            </w:pPr>
          </w:p>
        </w:tc>
      </w:tr>
      <w:tr w:rsidR="00834FBA" w:rsidRPr="005D4222" w14:paraId="2A03D41F" w14:textId="77777777" w:rsidTr="009F6641">
        <w:tc>
          <w:tcPr>
            <w:tcW w:w="2153" w:type="dxa"/>
            <w:tcBorders>
              <w:top w:val="nil"/>
              <w:left w:val="nil"/>
              <w:bottom w:val="nil"/>
              <w:right w:val="nil"/>
            </w:tcBorders>
            <w:tcMar>
              <w:left w:w="115" w:type="dxa"/>
              <w:right w:w="115" w:type="dxa"/>
            </w:tcMar>
          </w:tcPr>
          <w:p w14:paraId="21572046" w14:textId="77777777" w:rsidR="00834FBA" w:rsidRPr="005D4222" w:rsidRDefault="00834FBA" w:rsidP="009F6641">
            <w:pPr>
              <w:pStyle w:val="MarginSubhead"/>
              <w:widowControl w:val="0"/>
              <w:ind w:left="274" w:hanging="274"/>
            </w:pPr>
          </w:p>
        </w:tc>
        <w:tc>
          <w:tcPr>
            <w:tcW w:w="7679" w:type="dxa"/>
            <w:tcBorders>
              <w:top w:val="nil"/>
              <w:left w:val="nil"/>
              <w:bottom w:val="nil"/>
              <w:right w:val="nil"/>
            </w:tcBorders>
            <w:tcMar>
              <w:left w:w="115" w:type="dxa"/>
              <w:right w:w="115" w:type="dxa"/>
            </w:tcMar>
          </w:tcPr>
          <w:p w14:paraId="7FD395C2" w14:textId="77777777" w:rsidR="0090115E" w:rsidRPr="005D4222" w:rsidRDefault="0090115E" w:rsidP="0090115E">
            <w:pPr>
              <w:pStyle w:val="Body"/>
              <w:spacing w:before="0"/>
            </w:pPr>
            <w:r w:rsidRPr="005D4222">
              <w:t>An organization that is responsible for both the Medicare and Medicaid components for dual-eligible members may select Medicare or Medicaid (or both) for Accreditation purposes. Dual-eligible members must be included in the product lines selected. An organization that manages Medicaid fee-for-service members may exclude those members from its Medicaid product line. Members who have Medicare Private Fee-for-Service (PFFS) through another organization, or have unknown Medicare coverage as their primary insurer, may be excluded from the Medicaid report.</w:t>
            </w:r>
          </w:p>
          <w:p w14:paraId="482DD321" w14:textId="40478B93" w:rsidR="00834FBA" w:rsidRPr="005D4222" w:rsidRDefault="00834FBA" w:rsidP="0090115E">
            <w:pPr>
              <w:pStyle w:val="Body"/>
              <w:widowControl w:val="0"/>
            </w:pPr>
            <w:r w:rsidRPr="005D4222">
              <w:t xml:space="preserve">Products reflect the organizational structure (e.g., network), services and benefits offered by the organization and include HMO, POS, PPO and EPO products. </w:t>
            </w:r>
          </w:p>
          <w:p w14:paraId="21096A10" w14:textId="50984D80" w:rsidR="00834FBA" w:rsidRPr="005D4222" w:rsidRDefault="00834FBA" w:rsidP="009F6641">
            <w:pPr>
              <w:pStyle w:val="Body"/>
              <w:widowControl w:val="0"/>
            </w:pPr>
            <w:r w:rsidRPr="005D4222">
              <w:t xml:space="preserve">Because HEDIS reporting must match the product line for which an organization seeks Accreditation, an organization with a Children’s Health Insurance Program (CHIP) population must include those members in its Medicaid product line, using Medicaid measure specifications, even if it needs separate HEDIS submissions for other purposes (e.g., state reporting). The organization must exclude CHIP members from its commercial product line to avoid affecting organization-to-organization comparison. </w:t>
            </w:r>
          </w:p>
          <w:p w14:paraId="0136AFD3" w14:textId="77777777" w:rsidR="00834FBA" w:rsidRPr="005D4222" w:rsidRDefault="00834FBA" w:rsidP="009F6641">
            <w:pPr>
              <w:pStyle w:val="Body"/>
              <w:widowControl w:val="0"/>
            </w:pPr>
            <w:r w:rsidRPr="005D4222">
              <w:t>If the state requires the organization to report CHIP members separately, a second, state-specific CHIP-only HEDIS/CAHPS submission is required. The organization must note this state-specific requirement in the Health Organization Questionnaire (HOQ).</w:t>
            </w:r>
          </w:p>
        </w:tc>
      </w:tr>
      <w:tr w:rsidR="00834FBA" w:rsidRPr="005D4222" w14:paraId="7B615FDD" w14:textId="77777777" w:rsidTr="009F6641">
        <w:tc>
          <w:tcPr>
            <w:tcW w:w="2153" w:type="dxa"/>
            <w:tcBorders>
              <w:top w:val="nil"/>
              <w:left w:val="nil"/>
              <w:bottom w:val="nil"/>
              <w:right w:val="nil"/>
            </w:tcBorders>
            <w:tcMar>
              <w:left w:w="115" w:type="dxa"/>
              <w:right w:w="115" w:type="dxa"/>
            </w:tcMar>
          </w:tcPr>
          <w:p w14:paraId="6FED7204" w14:textId="77777777" w:rsidR="00834FBA" w:rsidRPr="005D4222" w:rsidRDefault="00834FBA" w:rsidP="009F6641">
            <w:pPr>
              <w:pStyle w:val="MarginSubhead"/>
              <w:widowControl w:val="0"/>
              <w:ind w:left="274" w:hanging="274"/>
            </w:pPr>
            <w:r w:rsidRPr="005D4222">
              <w:t>7.</w:t>
            </w:r>
            <w:r w:rsidRPr="005D4222">
              <w:tab/>
              <w:t>Geographic unit</w:t>
            </w:r>
          </w:p>
        </w:tc>
        <w:tc>
          <w:tcPr>
            <w:tcW w:w="7679" w:type="dxa"/>
            <w:tcBorders>
              <w:top w:val="nil"/>
              <w:left w:val="nil"/>
              <w:bottom w:val="nil"/>
              <w:right w:val="nil"/>
            </w:tcBorders>
            <w:tcMar>
              <w:left w:w="115" w:type="dxa"/>
              <w:right w:w="115" w:type="dxa"/>
            </w:tcMar>
          </w:tcPr>
          <w:p w14:paraId="033BF71C" w14:textId="77777777" w:rsidR="00834FBA" w:rsidRPr="005D4222" w:rsidRDefault="00834FBA" w:rsidP="009F6641">
            <w:pPr>
              <w:pStyle w:val="Body"/>
            </w:pPr>
            <w:r w:rsidRPr="005D4222">
              <w:t xml:space="preserve">HEDIS performance varies geographically throughout the United States. To be meaningful to consumers and purchasers, results must reflect geographic variation. </w:t>
            </w:r>
          </w:p>
          <w:p w14:paraId="2E839B67" w14:textId="77777777" w:rsidR="00834FBA" w:rsidRPr="005D4222" w:rsidRDefault="00834FBA" w:rsidP="009F6641">
            <w:pPr>
              <w:pStyle w:val="Body"/>
              <w:rPr>
                <w:rFonts w:cs="Arial"/>
              </w:rPr>
            </w:pPr>
            <w:r w:rsidRPr="005D4222">
              <w:rPr>
                <w:rFonts w:cs="Arial"/>
              </w:rPr>
              <w:t xml:space="preserve">For organizations with HMO, POS and EPO products—which are generally incorporated locally and regulated individually by states—the size of the geographic unit is determined by the legal entity. </w:t>
            </w:r>
          </w:p>
          <w:p w14:paraId="09ED9B09" w14:textId="77777777" w:rsidR="00834FBA" w:rsidRPr="005D4222" w:rsidRDefault="00834FBA" w:rsidP="009F6641">
            <w:pPr>
              <w:pStyle w:val="Body"/>
            </w:pPr>
            <w:r w:rsidRPr="005D4222">
              <w:t>For PPO products—which may have a service area larger than a single state—the organization is required to report HEDIS/CAHPS results for geographic regions no larger than a state.</w:t>
            </w:r>
          </w:p>
        </w:tc>
      </w:tr>
      <w:tr w:rsidR="00834FBA" w:rsidRPr="005D4222" w14:paraId="20EEBDD2" w14:textId="77777777" w:rsidTr="009F6641">
        <w:tc>
          <w:tcPr>
            <w:tcW w:w="2153" w:type="dxa"/>
            <w:tcBorders>
              <w:top w:val="nil"/>
              <w:left w:val="nil"/>
              <w:bottom w:val="nil"/>
              <w:right w:val="nil"/>
            </w:tcBorders>
            <w:tcMar>
              <w:left w:w="115" w:type="dxa"/>
              <w:right w:w="115" w:type="dxa"/>
            </w:tcMar>
          </w:tcPr>
          <w:p w14:paraId="61A798F2" w14:textId="77777777" w:rsidR="00834FBA" w:rsidRPr="005D4222" w:rsidRDefault="00834FBA" w:rsidP="009F6641">
            <w:pPr>
              <w:pStyle w:val="MarginSubhead"/>
              <w:widowControl w:val="0"/>
              <w:ind w:left="274" w:hanging="274"/>
              <w:rPr>
                <w:b w:val="0"/>
                <w:i/>
                <w:szCs w:val="21"/>
              </w:rPr>
            </w:pPr>
            <w:r w:rsidRPr="005D4222">
              <w:t>8.</w:t>
            </w:r>
            <w:r w:rsidRPr="005D4222">
              <w:tab/>
              <w:t>Limiting states included</w:t>
            </w:r>
            <w:r w:rsidRPr="005D4222">
              <w:br/>
              <w:t>in NCQA Accreditation</w:t>
            </w:r>
          </w:p>
        </w:tc>
        <w:tc>
          <w:tcPr>
            <w:tcW w:w="7679" w:type="dxa"/>
            <w:tcBorders>
              <w:top w:val="nil"/>
              <w:left w:val="nil"/>
              <w:bottom w:val="nil"/>
              <w:right w:val="nil"/>
            </w:tcBorders>
            <w:tcMar>
              <w:left w:w="115" w:type="dxa"/>
              <w:right w:w="115" w:type="dxa"/>
            </w:tcMar>
          </w:tcPr>
          <w:p w14:paraId="75A358E6" w14:textId="77777777" w:rsidR="00834FBA" w:rsidRPr="005D4222" w:rsidRDefault="00834FBA" w:rsidP="009F6641">
            <w:pPr>
              <w:pStyle w:val="Body"/>
              <w:rPr>
                <w:rFonts w:eastAsia="Arial"/>
              </w:rPr>
            </w:pPr>
            <w:r w:rsidRPr="005D4222">
              <w:rPr>
                <w:rFonts w:eastAsia="Arial"/>
              </w:rPr>
              <w:t>If an organization licensed to operate in multiple states seeks Accreditation for a limited geographic area, it may not represent that an excluded state is covered by the Accreditation. For example, an organization may have most of its membership in New York and the rest in a national account in Texas. If the organization is Accredited only for New York, it may not state that it is also Accredited for Texas.</w:t>
            </w:r>
            <w:r w:rsidRPr="005D4222" w:rsidDel="0005366A">
              <w:rPr>
                <w:rFonts w:eastAsia="Arial"/>
              </w:rPr>
              <w:t xml:space="preserve"> </w:t>
            </w:r>
          </w:p>
          <w:p w14:paraId="1696595B" w14:textId="77777777" w:rsidR="00834FBA" w:rsidRPr="005D4222" w:rsidRDefault="00834FBA" w:rsidP="009F6641">
            <w:pPr>
              <w:pStyle w:val="Body"/>
              <w:widowControl w:val="0"/>
            </w:pPr>
            <w:r w:rsidRPr="005D4222">
              <w:rPr>
                <w:rFonts w:eastAsia="Arial" w:cs="Arial"/>
              </w:rPr>
              <w:t>An organization with membership in a state where it is not licensed to operate includes those members in the “home” state where it is licensed to operate and has its main membership.</w:t>
            </w:r>
          </w:p>
        </w:tc>
      </w:tr>
    </w:tbl>
    <w:p w14:paraId="154CCD0B" w14:textId="77777777" w:rsidR="0090115E" w:rsidRDefault="0090115E">
      <w:pPr>
        <w:rPr>
          <w:b/>
          <w:color w:val="FFFFFF"/>
          <w:sz w:val="22"/>
          <w:szCs w:val="28"/>
        </w:rPr>
      </w:pPr>
      <w:bookmarkStart w:id="61" w:name="_Toc400546027"/>
      <w:bookmarkStart w:id="62" w:name="ReportforAccred"/>
      <w:bookmarkStart w:id="63" w:name="_Toc74747849"/>
      <w:bookmarkStart w:id="64" w:name="_Toc171402937"/>
      <w:bookmarkStart w:id="65" w:name="_Toc201813357"/>
      <w:r>
        <w:br w:type="page"/>
      </w:r>
    </w:p>
    <w:p w14:paraId="01F4D8E4" w14:textId="21675C4D" w:rsidR="00834FBA" w:rsidRPr="005D4222" w:rsidRDefault="00834FBA" w:rsidP="00BE08C8">
      <w:pPr>
        <w:pStyle w:val="StdHead"/>
      </w:pPr>
      <w:r w:rsidRPr="005D4222">
        <w:lastRenderedPageBreak/>
        <w:t>Health Plan Ratings and Accreditation</w:t>
      </w:r>
      <w:bookmarkEnd w:id="61"/>
      <w:bookmarkEnd w:id="62"/>
      <w:bookmarkEnd w:id="63"/>
      <w:bookmarkEnd w:id="64"/>
      <w:bookmarkEnd w:id="65"/>
    </w:p>
    <w:p w14:paraId="29314DC4" w14:textId="77777777" w:rsidR="00834FBA" w:rsidRPr="005D4222" w:rsidRDefault="00834FBA" w:rsidP="00834FBA">
      <w:pPr>
        <w:pStyle w:val="Body"/>
        <w:rPr>
          <w:rFonts w:cs="Arial"/>
        </w:rPr>
      </w:pPr>
      <w:r w:rsidRPr="005D4222">
        <w:rPr>
          <w:rFonts w:cs="Arial"/>
        </w:rPr>
        <w:t xml:space="preserve">Evaluation of HEDIS/CAHPS performance is separate from standards scoring. In addition to Accreditation status, Health Plan Ratings will be displayed on the NCQA Report Card as the indicator of HEDIS/CAHPS performance. </w:t>
      </w:r>
    </w:p>
    <w:p w14:paraId="63810EC0" w14:textId="3556C6A9" w:rsidR="00834FBA" w:rsidRPr="005D4222" w:rsidRDefault="00834FBA" w:rsidP="00834FBA">
      <w:pPr>
        <w:pStyle w:val="Body"/>
        <w:rPr>
          <w:rFonts w:cs="Arial"/>
        </w:rPr>
      </w:pPr>
      <w:r w:rsidRPr="005D4222">
        <w:rPr>
          <w:rFonts w:cs="Arial"/>
        </w:rPr>
        <w:t>Based on the methodology, organizations earn a star rating of 0–5 (in .5-star increments) for the HEDIS/</w:t>
      </w:r>
      <w:r w:rsidR="00F507FA" w:rsidRPr="005D4222">
        <w:rPr>
          <w:rFonts w:cs="Arial"/>
        </w:rPr>
        <w:t xml:space="preserve"> </w:t>
      </w:r>
      <w:r w:rsidRPr="005D4222">
        <w:rPr>
          <w:rFonts w:cs="Arial"/>
        </w:rPr>
        <w:t xml:space="preserve">CAHPS portion of Accreditation. The methodology includes a distinct set of measures for each product line. Each measure is classified in one of three weighted categories: </w:t>
      </w:r>
    </w:p>
    <w:p w14:paraId="05519C4F" w14:textId="77777777" w:rsidR="00834FBA" w:rsidRPr="005D4222" w:rsidRDefault="00834FBA" w:rsidP="00834FBA">
      <w:pPr>
        <w:pStyle w:val="Body"/>
        <w:tabs>
          <w:tab w:val="right" w:pos="4320"/>
        </w:tabs>
        <w:spacing w:before="120"/>
        <w:rPr>
          <w:rFonts w:cs="Arial"/>
          <w:b/>
          <w:bCs/>
          <w:i/>
          <w:iCs/>
        </w:rPr>
      </w:pPr>
      <w:r w:rsidRPr="005D4222">
        <w:rPr>
          <w:rFonts w:cs="Arial"/>
        </w:rPr>
        <w:tab/>
      </w:r>
      <w:r w:rsidRPr="005D4222">
        <w:rPr>
          <w:rFonts w:cs="Arial"/>
          <w:b/>
          <w:bCs/>
          <w:i/>
          <w:iCs/>
        </w:rPr>
        <w:t>Weight</w:t>
      </w:r>
    </w:p>
    <w:p w14:paraId="26E63ABF" w14:textId="77777777" w:rsidR="00834FBA" w:rsidRPr="005D4222" w:rsidRDefault="00834FBA" w:rsidP="009C3EB2">
      <w:pPr>
        <w:pStyle w:val="Bullet"/>
        <w:numPr>
          <w:ilvl w:val="0"/>
          <w:numId w:val="14"/>
        </w:numPr>
        <w:tabs>
          <w:tab w:val="right" w:pos="4140"/>
        </w:tabs>
        <w:ind w:left="576" w:hanging="216"/>
      </w:pPr>
      <w:r w:rsidRPr="005D4222">
        <w:t>Process measures</w:t>
      </w:r>
      <w:r w:rsidRPr="005D4222">
        <w:tab/>
        <w:t>1</w:t>
      </w:r>
    </w:p>
    <w:p w14:paraId="69688621" w14:textId="77777777" w:rsidR="00834FBA" w:rsidRPr="005D4222" w:rsidRDefault="00834FBA" w:rsidP="009C3EB2">
      <w:pPr>
        <w:pStyle w:val="Bullet"/>
        <w:numPr>
          <w:ilvl w:val="0"/>
          <w:numId w:val="14"/>
        </w:numPr>
        <w:tabs>
          <w:tab w:val="right" w:pos="4140"/>
        </w:tabs>
        <w:ind w:left="576" w:hanging="216"/>
      </w:pPr>
      <w:r w:rsidRPr="005D4222">
        <w:t>Patient experience measures</w:t>
      </w:r>
      <w:r w:rsidRPr="005D4222">
        <w:tab/>
        <w:t>1.5</w:t>
      </w:r>
    </w:p>
    <w:p w14:paraId="69EE8A89" w14:textId="785EC5C3" w:rsidR="00834FBA" w:rsidRPr="005D4222" w:rsidRDefault="00834FBA" w:rsidP="009C3EB2">
      <w:pPr>
        <w:pStyle w:val="Bullet"/>
        <w:numPr>
          <w:ilvl w:val="0"/>
          <w:numId w:val="14"/>
        </w:numPr>
        <w:tabs>
          <w:tab w:val="right" w:pos="4140"/>
        </w:tabs>
        <w:ind w:left="576" w:hanging="216"/>
      </w:pPr>
      <w:r w:rsidRPr="005D4222">
        <w:t>Outcome measures</w:t>
      </w:r>
      <w:r w:rsidRPr="005D4222">
        <w:tab/>
        <w:t>3</w:t>
      </w:r>
    </w:p>
    <w:p w14:paraId="7F458ED8" w14:textId="77777777" w:rsidR="00834FBA" w:rsidRPr="005D4222" w:rsidRDefault="00834FBA" w:rsidP="00834FBA">
      <w:pPr>
        <w:pStyle w:val="Body"/>
      </w:pPr>
      <w:r w:rsidRPr="005D4222">
        <w:t xml:space="preserve">The overall rating is the weighted average of an organization’s HEDIS and CAHPS measure ratings, plus Accreditation bonus points (if the organization has NCQA Accreditation), rounded to the nearest half point. </w:t>
      </w:r>
    </w:p>
    <w:p w14:paraId="2A85F5F2" w14:textId="77777777" w:rsidR="00834FBA" w:rsidRPr="005D4222" w:rsidRDefault="00834FBA" w:rsidP="00834FBA">
      <w:pPr>
        <w:pStyle w:val="Body"/>
      </w:pPr>
      <w:r w:rsidRPr="005D4222">
        <w:t xml:space="preserve">Overall performance is measured in three subcategories (scored 0–5 in 0.5 increments and displayed as stars): </w:t>
      </w:r>
    </w:p>
    <w:p w14:paraId="703919F4" w14:textId="77777777" w:rsidR="00834FBA" w:rsidRPr="005D4222" w:rsidRDefault="00834FBA" w:rsidP="009C3EB2">
      <w:pPr>
        <w:pStyle w:val="Bullet"/>
        <w:numPr>
          <w:ilvl w:val="0"/>
          <w:numId w:val="9"/>
        </w:numPr>
        <w:spacing w:before="120"/>
        <w:ind w:left="576" w:hanging="216"/>
      </w:pPr>
      <w:r w:rsidRPr="005D4222">
        <w:rPr>
          <w:b/>
          <w:bCs/>
        </w:rPr>
        <w:t xml:space="preserve">Patient Experience. </w:t>
      </w:r>
      <w:r w:rsidRPr="005D4222">
        <w:t xml:space="preserve">Patient-reported experience of care, including experience with doctors, services and customer service (measures in the Patient Experience category). </w:t>
      </w:r>
    </w:p>
    <w:p w14:paraId="59A5AC10" w14:textId="14F96932" w:rsidR="00834FBA" w:rsidRPr="005D4222" w:rsidRDefault="00834FBA" w:rsidP="009C3EB2">
      <w:pPr>
        <w:pStyle w:val="Bullet"/>
        <w:numPr>
          <w:ilvl w:val="0"/>
          <w:numId w:val="9"/>
        </w:numPr>
        <w:spacing w:before="120"/>
        <w:ind w:left="576" w:hanging="216"/>
      </w:pPr>
      <w:r w:rsidRPr="005D4222">
        <w:rPr>
          <w:b/>
        </w:rPr>
        <w:t xml:space="preserve">Rates for Clinical Measures. </w:t>
      </w:r>
      <w:r w:rsidRPr="005D4222">
        <w:t xml:space="preserve">The proportion of eligible members who received preventive services (prevention measures) and the proportion of eligible members who received recommended care for certain conditions (treatment measures). </w:t>
      </w:r>
    </w:p>
    <w:p w14:paraId="43C6B68E" w14:textId="77777777" w:rsidR="00834FBA" w:rsidRPr="005D4222" w:rsidRDefault="00834FBA" w:rsidP="009C3EB2">
      <w:pPr>
        <w:pStyle w:val="Bullet"/>
        <w:numPr>
          <w:ilvl w:val="0"/>
          <w:numId w:val="9"/>
        </w:numPr>
        <w:spacing w:before="120"/>
        <w:ind w:left="576" w:hanging="216"/>
      </w:pPr>
      <w:r w:rsidRPr="005D4222">
        <w:rPr>
          <w:b/>
        </w:rPr>
        <w:t>NCQA Accreditation Standards Score.</w:t>
      </w:r>
      <w:r w:rsidRPr="005D4222">
        <w:t xml:space="preserve"> For an organization with an Accredited or Provisional status, 0.5 bonus points are added to the overall rating before rounding to the nearest half point. An organization with an Interim status receives 0.15 bonus points before rounding to the nearest 0.5 point. </w:t>
      </w:r>
    </w:p>
    <w:p w14:paraId="39565022" w14:textId="77777777" w:rsidR="00834FBA" w:rsidRPr="005D4222" w:rsidRDefault="00834FBA" w:rsidP="00834FBA">
      <w:pPr>
        <w:pStyle w:val="SubHeadNoTOC"/>
      </w:pPr>
      <w:r w:rsidRPr="005D4222">
        <w:rPr>
          <w:bCs/>
          <w:i/>
        </w:rPr>
        <w:t>Note</w:t>
      </w:r>
      <w:r w:rsidRPr="005D4222">
        <w:rPr>
          <w:i/>
          <w:iCs w:val="0"/>
        </w:rPr>
        <w:t xml:space="preserve"> </w:t>
      </w:r>
    </w:p>
    <w:p w14:paraId="3F4D0D6E" w14:textId="77777777" w:rsidR="00834FBA" w:rsidRPr="005D4222" w:rsidRDefault="00834FBA" w:rsidP="00834FBA">
      <w:pPr>
        <w:pStyle w:val="ProcessBullet"/>
        <w:rPr>
          <w:i/>
          <w:szCs w:val="21"/>
        </w:rPr>
      </w:pPr>
      <w:r w:rsidRPr="005D4222">
        <w:rPr>
          <w:i/>
          <w:szCs w:val="21"/>
        </w:rPr>
        <w:t xml:space="preserve">If an organization chooses to publicly report performance data on the HEDIS Attestation, it is scored on the data submitted and receives the Accreditation bonus points (displayed as stars). </w:t>
      </w:r>
    </w:p>
    <w:p w14:paraId="0A091014" w14:textId="77777777" w:rsidR="00834FBA" w:rsidRPr="005D4222" w:rsidRDefault="00834FBA" w:rsidP="00834FBA">
      <w:pPr>
        <w:pStyle w:val="ProcessBullet"/>
        <w:rPr>
          <w:i/>
          <w:szCs w:val="21"/>
        </w:rPr>
      </w:pPr>
      <w:r w:rsidRPr="005D4222">
        <w:rPr>
          <w:i/>
          <w:szCs w:val="21"/>
        </w:rPr>
        <w:t>If an organization Accredited on standards only chooses not to publicly report performance data, it is not scored based on performance measurement results and is not awarded Accreditation bonus points.</w:t>
      </w:r>
    </w:p>
    <w:p w14:paraId="18BA7DF3" w14:textId="77777777" w:rsidR="00834FBA" w:rsidRPr="005D4222" w:rsidRDefault="00834FBA" w:rsidP="00834FBA">
      <w:pPr>
        <w:pStyle w:val="ProcessBullet"/>
        <w:rPr>
          <w:i/>
          <w:szCs w:val="21"/>
        </w:rPr>
      </w:pPr>
      <w:r w:rsidRPr="005D4222">
        <w:rPr>
          <w:i/>
          <w:szCs w:val="21"/>
        </w:rPr>
        <w:t>If an organization’s membership for a reporting unit is less than 15,000, the organization:</w:t>
      </w:r>
    </w:p>
    <w:p w14:paraId="457E8CF9" w14:textId="77777777" w:rsidR="00834FBA" w:rsidRPr="005D4222" w:rsidRDefault="00834FBA" w:rsidP="00834FBA">
      <w:pPr>
        <w:pStyle w:val="ProcessDash"/>
        <w:rPr>
          <w:i/>
          <w:szCs w:val="21"/>
        </w:rPr>
      </w:pPr>
      <w:r w:rsidRPr="005D4222">
        <w:rPr>
          <w:i/>
          <w:szCs w:val="21"/>
        </w:rPr>
        <w:t xml:space="preserve">May be scored on standards only. </w:t>
      </w:r>
    </w:p>
    <w:p w14:paraId="22F3010E" w14:textId="77777777" w:rsidR="00834FBA" w:rsidRPr="005D4222" w:rsidRDefault="00834FBA" w:rsidP="00834FBA">
      <w:pPr>
        <w:pStyle w:val="ProcessDash"/>
        <w:rPr>
          <w:i/>
          <w:szCs w:val="21"/>
        </w:rPr>
      </w:pPr>
      <w:r w:rsidRPr="005D4222">
        <w:rPr>
          <w:i/>
          <w:szCs w:val="21"/>
        </w:rPr>
        <w:t xml:space="preserve">May combine its membership with another HEDIS/CAHPS reporting unit to achieve the minimum reporting threshold. </w:t>
      </w:r>
    </w:p>
    <w:p w14:paraId="5F7C2C55" w14:textId="77777777" w:rsidR="00834FBA" w:rsidRPr="005D4222" w:rsidRDefault="00834FBA" w:rsidP="00834FBA">
      <w:pPr>
        <w:pStyle w:val="ProcessDash"/>
        <w:rPr>
          <w:i/>
          <w:szCs w:val="21"/>
        </w:rPr>
      </w:pPr>
      <w:r w:rsidRPr="005D4222">
        <w:rPr>
          <w:i/>
          <w:szCs w:val="21"/>
        </w:rPr>
        <w:t xml:space="preserve">May choose to be scored on HEDIS/CAHPS without meeting the minimum reporting threshold. </w:t>
      </w:r>
    </w:p>
    <w:p w14:paraId="39BDA633" w14:textId="16B04CE7" w:rsidR="0090115E" w:rsidRDefault="00834FBA" w:rsidP="00834FBA">
      <w:pPr>
        <w:pStyle w:val="Note"/>
        <w:rPr>
          <w:rFonts w:cs="Arial"/>
          <w:sz w:val="21"/>
          <w:szCs w:val="21"/>
        </w:rPr>
      </w:pPr>
      <w:r w:rsidRPr="005D4222">
        <w:rPr>
          <w:sz w:val="21"/>
          <w:szCs w:val="21"/>
        </w:rPr>
        <w:t xml:space="preserve">Refer to the applicable ratings year on the </w:t>
      </w:r>
      <w:hyperlink r:id="rId55" w:history="1">
        <w:r w:rsidRPr="005D4222">
          <w:rPr>
            <w:rStyle w:val="Hyperlink"/>
            <w:sz w:val="21"/>
            <w:szCs w:val="21"/>
          </w:rPr>
          <w:t>NCQA Health Plan Ratings</w:t>
        </w:r>
      </w:hyperlink>
      <w:r w:rsidRPr="005D4222">
        <w:rPr>
          <w:sz w:val="21"/>
          <w:szCs w:val="21"/>
        </w:rPr>
        <w:t xml:space="preserve"> page</w:t>
      </w:r>
      <w:r w:rsidRPr="005D4222">
        <w:rPr>
          <w:sz w:val="21"/>
          <w:szCs w:val="21"/>
        </w:rPr>
        <w:fldChar w:fldCharType="begin"/>
      </w:r>
      <w:r w:rsidRPr="005D4222">
        <w:rPr>
          <w:sz w:val="21"/>
          <w:szCs w:val="21"/>
        </w:rPr>
        <w:fldChar w:fldCharType="separate"/>
      </w:r>
      <w:r w:rsidRPr="005D4222">
        <w:rPr>
          <w:rStyle w:val="Hyperlink"/>
          <w:sz w:val="21"/>
          <w:szCs w:val="21"/>
        </w:rPr>
        <w:t>Health Plan Ratings</w:t>
      </w:r>
      <w:r w:rsidRPr="005D4222">
        <w:rPr>
          <w:rStyle w:val="Hyperlink"/>
          <w:sz w:val="21"/>
          <w:szCs w:val="21"/>
        </w:rPr>
        <w:fldChar w:fldCharType="begin"/>
      </w:r>
      <w:r w:rsidRPr="005D4222">
        <w:rPr>
          <w:rStyle w:val="Hyperlink"/>
          <w:sz w:val="21"/>
          <w:szCs w:val="21"/>
        </w:rPr>
        <w:fldChar w:fldCharType="separate"/>
      </w:r>
      <w:r w:rsidRPr="005D4222">
        <w:rPr>
          <w:rStyle w:val="Hyperlink"/>
          <w:iCs/>
          <w:sz w:val="21"/>
          <w:szCs w:val="21"/>
        </w:rPr>
        <w:t>Health Plan Ratings</w:t>
      </w:r>
      <w:r w:rsidRPr="005D4222">
        <w:rPr>
          <w:rStyle w:val="Hyperlink"/>
          <w:sz w:val="21"/>
          <w:szCs w:val="21"/>
        </w:rPr>
        <w:fldChar w:fldCharType="end"/>
      </w:r>
      <w:r w:rsidRPr="005D4222">
        <w:rPr>
          <w:rStyle w:val="Hyperlink"/>
          <w:sz w:val="21"/>
          <w:szCs w:val="21"/>
        </w:rPr>
        <w:t xml:space="preserve"> page</w:t>
      </w:r>
      <w:r w:rsidRPr="005D4222">
        <w:rPr>
          <w:sz w:val="21"/>
          <w:szCs w:val="21"/>
        </w:rPr>
        <w:fldChar w:fldCharType="end"/>
      </w:r>
      <w:r w:rsidRPr="005D4222">
        <w:rPr>
          <w:sz w:val="21"/>
          <w:szCs w:val="21"/>
        </w:rPr>
        <w:t xml:space="preserve"> for details and policies for combining entities.</w:t>
      </w:r>
      <w:r w:rsidRPr="005D4222">
        <w:rPr>
          <w:rFonts w:cs="Arial"/>
          <w:sz w:val="21"/>
          <w:szCs w:val="21"/>
        </w:rPr>
        <w:t xml:space="preserve"> </w:t>
      </w:r>
    </w:p>
    <w:p w14:paraId="0482F7BD" w14:textId="77777777" w:rsidR="0090115E" w:rsidRDefault="0090115E">
      <w:pPr>
        <w:rPr>
          <w:rFonts w:cs="Arial"/>
          <w:i/>
          <w:szCs w:val="21"/>
        </w:rPr>
      </w:pPr>
      <w:r>
        <w:rPr>
          <w:rFonts w:cs="Arial"/>
          <w:szCs w:val="21"/>
        </w:rPr>
        <w:br w:type="page"/>
      </w:r>
    </w:p>
    <w:p w14:paraId="3B9DCCE4" w14:textId="475E85B7" w:rsidR="00834FBA" w:rsidRPr="005D4222" w:rsidRDefault="00834FBA" w:rsidP="00BE08C8">
      <w:pPr>
        <w:pStyle w:val="StdHead"/>
      </w:pPr>
      <w:bookmarkStart w:id="66" w:name="_Toc74747850"/>
      <w:bookmarkStart w:id="67" w:name="_Toc171402938"/>
      <w:bookmarkStart w:id="68" w:name="_Toc201813358"/>
      <w:r w:rsidRPr="005D4222">
        <w:lastRenderedPageBreak/>
        <w:t>Annual Reevaluation</w:t>
      </w:r>
      <w:bookmarkEnd w:id="66"/>
      <w:bookmarkEnd w:id="67"/>
      <w:bookmarkEnd w:id="68"/>
      <w:r w:rsidRPr="005D4222">
        <w:t xml:space="preserve"> </w:t>
      </w:r>
    </w:p>
    <w:p w14:paraId="2FCA22EB" w14:textId="6237DD82" w:rsidR="00834FBA" w:rsidRPr="005D4222" w:rsidRDefault="00834FBA" w:rsidP="00834FBA">
      <w:pPr>
        <w:pStyle w:val="Body"/>
        <w:rPr>
          <w:iCs/>
        </w:rPr>
      </w:pPr>
      <w:r w:rsidRPr="005D4222">
        <w:t xml:space="preserve">For organizations required to submit HEDIS/CAHPS results, NCQA recalculates </w:t>
      </w:r>
      <w:r w:rsidR="00DD1B9C" w:rsidRPr="005D4222">
        <w:t xml:space="preserve">Health Plan </w:t>
      </w:r>
      <w:r w:rsidRPr="005D4222">
        <w:t xml:space="preserve">Ratings annually by product/product line, on the set of measures identified for each reporting year. Organizations must submit audited HEDIS results to NCQA each year by the reporting date specified in </w:t>
      </w:r>
      <w:r w:rsidRPr="005D4222">
        <w:rPr>
          <w:iCs/>
        </w:rPr>
        <w:t>General Guideline: HEDIS Reporting Date.</w:t>
      </w:r>
      <w:r w:rsidR="008419E2" w:rsidRPr="005D4222">
        <w:rPr>
          <w:iCs/>
        </w:rPr>
        <w:t xml:space="preserve"> </w:t>
      </w:r>
      <w:r w:rsidRPr="005D4222">
        <w:rPr>
          <w:rFonts w:cs="Arial"/>
        </w:rPr>
        <w:t xml:space="preserve">Refer to the applicable </w:t>
      </w:r>
      <w:r w:rsidR="004F6D6A" w:rsidRPr="005D4222">
        <w:rPr>
          <w:rFonts w:cs="Arial"/>
        </w:rPr>
        <w:t>r</w:t>
      </w:r>
      <w:r w:rsidRPr="005D4222">
        <w:rPr>
          <w:rFonts w:cs="Arial"/>
        </w:rPr>
        <w:t xml:space="preserve">atings year on the </w:t>
      </w:r>
      <w:hyperlink r:id="rId56" w:history="1">
        <w:r w:rsidRPr="005D4222">
          <w:rPr>
            <w:rStyle w:val="Hyperlink"/>
          </w:rPr>
          <w:t>Health Plan Ratings page</w:t>
        </w:r>
      </w:hyperlink>
      <w:r w:rsidRPr="005D4222">
        <w:t xml:space="preserve"> for the list of required measures.</w:t>
      </w:r>
      <w:r w:rsidRPr="005D4222" w:rsidDel="00477D7B">
        <w:rPr>
          <w:i/>
        </w:rPr>
        <w:t xml:space="preserve"> </w:t>
      </w:r>
    </w:p>
    <w:p w14:paraId="78AA4DE9" w14:textId="77777777" w:rsidR="00834FBA" w:rsidRPr="005D4222" w:rsidRDefault="00834FBA" w:rsidP="00834FBA">
      <w:pPr>
        <w:pStyle w:val="Body"/>
      </w:pPr>
      <w:r w:rsidRPr="005D4222">
        <w:t>NCQA reserves the right to modify its approach for evaluating HEDIS/CAHPS to address measure issues (e.g., retirement). NCQA gives advance notice of such changes.</w:t>
      </w:r>
    </w:p>
    <w:p w14:paraId="0287DD1A" w14:textId="77777777" w:rsidR="00834FBA" w:rsidRPr="005D4222" w:rsidRDefault="00834FBA" w:rsidP="00834FBA">
      <w:pPr>
        <w:pStyle w:val="SubHeadNoTOC"/>
        <w:rPr>
          <w:i/>
        </w:rPr>
      </w:pPr>
      <w:bookmarkStart w:id="69" w:name="_Toc400546028"/>
      <w:r w:rsidRPr="005D4222">
        <w:rPr>
          <w:bCs/>
          <w:i/>
        </w:rPr>
        <w:t>General Guideline:</w:t>
      </w:r>
      <w:r w:rsidRPr="005D4222">
        <w:t xml:space="preserve"> HEDIS Submission for Organizations Not Seeking Accreditation</w:t>
      </w:r>
      <w:bookmarkEnd w:id="69"/>
      <w:r w:rsidRPr="005D4222">
        <w:rPr>
          <w:i/>
        </w:rPr>
        <w:t xml:space="preserve"> </w:t>
      </w:r>
    </w:p>
    <w:p w14:paraId="3139E43F" w14:textId="6DF5AA5E" w:rsidR="00834FBA" w:rsidRPr="005D4222" w:rsidRDefault="00834FBA" w:rsidP="00834FBA">
      <w:pPr>
        <w:pStyle w:val="Body"/>
        <w:widowControl w:val="0"/>
      </w:pPr>
      <w:r w:rsidRPr="005D4222">
        <w:t>To determine how many HEDIS reports to produce, an organization defines itself using the criteria described above. If an organization cannot determine the HEDIS reporting entity, it must submit written documentation regarding the criteria described in the</w:t>
      </w:r>
      <w:r w:rsidRPr="005D4222">
        <w:rPr>
          <w:i/>
        </w:rPr>
        <w:t xml:space="preserve"> General Guideline</w:t>
      </w:r>
      <w:r w:rsidRPr="005D4222">
        <w:rPr>
          <w:i/>
          <w:iCs/>
        </w:rPr>
        <w:t>:</w:t>
      </w:r>
      <w:r w:rsidRPr="005D4222" w:rsidDel="003272E9">
        <w:t xml:space="preserve"> </w:t>
      </w:r>
      <w:r w:rsidRPr="005D4222">
        <w:rPr>
          <w:i/>
          <w:iCs/>
        </w:rPr>
        <w:t>HEDIS Submission for Organizations Seeking Accreditation,</w:t>
      </w:r>
      <w:r w:rsidRPr="005D4222">
        <w:t xml:space="preserve"> to the NCQA Policy Department via PCS at </w:t>
      </w:r>
      <w:hyperlink r:id="rId57" w:history="1">
        <w:r w:rsidRPr="005D4222" w:rsidDel="00CC24BE">
          <w:rPr>
            <w:rStyle w:val="Hyperlink"/>
          </w:rPr>
          <w:t>My</w:t>
        </w:r>
        <w:r w:rsidRPr="005D4222">
          <w:rPr>
            <w:rStyle w:val="Hyperlink"/>
          </w:rPr>
          <w:t xml:space="preserve"> NCQA</w:t>
        </w:r>
      </w:hyperlink>
      <w:r w:rsidRPr="005D4222">
        <w:t>. NCQA review</w:t>
      </w:r>
      <w:r w:rsidR="004F6D6A" w:rsidRPr="005D4222">
        <w:t>s</w:t>
      </w:r>
      <w:r w:rsidRPr="005D4222">
        <w:t xml:space="preserve"> the organization’s structure and make</w:t>
      </w:r>
      <w:r w:rsidR="004F6D6A" w:rsidRPr="005D4222">
        <w:t>s</w:t>
      </w:r>
      <w:r w:rsidRPr="005D4222">
        <w:t xml:space="preserve"> a determination.</w:t>
      </w:r>
    </w:p>
    <w:p w14:paraId="14F60867" w14:textId="77777777" w:rsidR="00834FBA" w:rsidRPr="005D4222" w:rsidRDefault="00834FBA" w:rsidP="00834FBA">
      <w:pPr>
        <w:pStyle w:val="SubHeadNoTOC"/>
      </w:pPr>
      <w:r w:rsidRPr="005D4222">
        <w:rPr>
          <w:bCs/>
          <w:i/>
        </w:rPr>
        <w:t>General Guideline:</w:t>
      </w:r>
      <w:r w:rsidRPr="005D4222">
        <w:t xml:space="preserve"> </w:t>
      </w:r>
      <w:bookmarkStart w:id="70" w:name="_Toc400546030"/>
      <w:r w:rsidRPr="005D4222">
        <w:t>Reporting HEDIS for Medicaid</w:t>
      </w:r>
      <w:bookmarkEnd w:id="70"/>
    </w:p>
    <w:p w14:paraId="3DAD14C9" w14:textId="77777777" w:rsidR="00834FBA" w:rsidRPr="005D4222" w:rsidRDefault="00834FBA" w:rsidP="00834FBA">
      <w:pPr>
        <w:pStyle w:val="Body"/>
        <w:widowControl w:val="0"/>
      </w:pPr>
      <w:r w:rsidRPr="005D4222">
        <w:t xml:space="preserve">Separate Medicaid HEDIS reports must be produced for each state with which an organization has a Medicaid contract. </w:t>
      </w:r>
    </w:p>
    <w:p w14:paraId="340333CB" w14:textId="77777777" w:rsidR="00834FBA" w:rsidRPr="005D4222" w:rsidRDefault="00834FBA" w:rsidP="00834FBA">
      <w:pPr>
        <w:pStyle w:val="Body"/>
        <w:widowControl w:val="0"/>
        <w:tabs>
          <w:tab w:val="left" w:pos="2358"/>
        </w:tabs>
      </w:pPr>
      <w:r w:rsidRPr="005D4222">
        <w:t xml:space="preserve">If an organization contracts with a </w:t>
      </w:r>
      <w:r w:rsidRPr="005D4222" w:rsidDel="0043198E">
        <w:t>local entity (</w:t>
      </w:r>
      <w:r w:rsidRPr="005D4222" w:rsidDel="00E23234">
        <w:t xml:space="preserve">i.e., </w:t>
      </w:r>
      <w:r w:rsidRPr="005D4222" w:rsidDel="0043198E">
        <w:t xml:space="preserve">with a </w:t>
      </w:r>
      <w:r w:rsidRPr="005D4222">
        <w:t>county, rather than with a state</w:t>
      </w:r>
      <w:r w:rsidRPr="005D4222" w:rsidDel="0043198E">
        <w:t>)</w:t>
      </w:r>
      <w:r w:rsidRPr="005D4222">
        <w:t xml:space="preserve"> and with each locality where it provides service, the state and the organization may consider providing a comprehensive Medicaid HEDIS report that encompasses all geographic areas in the state that are served by the organization.</w:t>
      </w:r>
    </w:p>
    <w:p w14:paraId="79E6C53D" w14:textId="77777777" w:rsidR="00834FBA" w:rsidRPr="005D4222" w:rsidRDefault="00834FBA" w:rsidP="00834FBA">
      <w:pPr>
        <w:pStyle w:val="SubHeadNoTOC"/>
      </w:pPr>
      <w:bookmarkStart w:id="71" w:name="_Toc400546031"/>
      <w:bookmarkStart w:id="72" w:name="_Hlk511128323"/>
      <w:bookmarkStart w:id="73" w:name="_Hlk3122183"/>
      <w:r w:rsidRPr="005D4222">
        <w:rPr>
          <w:bCs/>
          <w:i/>
        </w:rPr>
        <w:t>General Guideline:</w:t>
      </w:r>
      <w:r w:rsidRPr="005D4222">
        <w:t xml:space="preserve"> Reporting HEDIS for Medicare</w:t>
      </w:r>
      <w:bookmarkEnd w:id="71"/>
    </w:p>
    <w:p w14:paraId="2529B4D7" w14:textId="27A0C8D3" w:rsidR="00834FBA" w:rsidRPr="005D4222" w:rsidRDefault="00834FBA" w:rsidP="00834FBA">
      <w:pPr>
        <w:pStyle w:val="Body"/>
      </w:pPr>
      <w:bookmarkStart w:id="74" w:name="_Hlk511128309"/>
      <w:bookmarkEnd w:id="72"/>
      <w:r w:rsidRPr="005D4222">
        <w:t>CMS annually issues the reporting requirements for HEDIS, HOS and CAHPS to all MA organizations in a CMS memorandum addressed to all entities that must fulfill these reporting requirements. The following organizations and plan benefit packages listed below are required to report HEDIS measures for their members:</w:t>
      </w:r>
    </w:p>
    <w:p w14:paraId="4C0B635D" w14:textId="77777777" w:rsidR="00834FBA" w:rsidRPr="005D4222" w:rsidRDefault="00834FBA" w:rsidP="00834FBA">
      <w:pPr>
        <w:pStyle w:val="Bullet"/>
      </w:pPr>
      <w:r w:rsidRPr="005D4222">
        <w:t>Medicare Advantage (MA) organizations:</w:t>
      </w:r>
    </w:p>
    <w:p w14:paraId="6BEFB6A8" w14:textId="77777777" w:rsidR="00834FBA" w:rsidRPr="005D4222" w:rsidRDefault="00834FBA" w:rsidP="00834FBA">
      <w:pPr>
        <w:pStyle w:val="Dash"/>
      </w:pPr>
      <w:r w:rsidRPr="005D4222">
        <w:t>Coordinated Care Plan (CCP) (local, regional, employer and religious fraternal benefit) organizations.</w:t>
      </w:r>
    </w:p>
    <w:p w14:paraId="663F3CFF" w14:textId="77777777" w:rsidR="00834FBA" w:rsidRPr="005D4222" w:rsidRDefault="00834FBA" w:rsidP="00834FBA">
      <w:pPr>
        <w:pStyle w:val="Dash"/>
      </w:pPr>
      <w:r w:rsidRPr="005D4222">
        <w:t>Special Needs Plan (SNP) benefit packages, including all SNP types (Dual Eligible, Chronic or Disabling Conditions and Institutional, which includes FI-SNPs, HI-SNPs and IE-SNPs).</w:t>
      </w:r>
    </w:p>
    <w:p w14:paraId="2313E71E" w14:textId="77777777" w:rsidR="00834FBA" w:rsidRPr="005D4222" w:rsidRDefault="00834FBA" w:rsidP="00834FBA">
      <w:pPr>
        <w:pStyle w:val="Dash"/>
      </w:pPr>
      <w:r w:rsidRPr="005D4222">
        <w:t>Private Fee-for-Service (PFFS) (including local, employer and religious fraternal benefit) organizations.</w:t>
      </w:r>
    </w:p>
    <w:p w14:paraId="4D9633A1" w14:textId="77777777" w:rsidR="00834FBA" w:rsidRPr="005D4222" w:rsidRDefault="00834FBA" w:rsidP="00834FBA">
      <w:pPr>
        <w:pStyle w:val="Dash"/>
        <w:spacing w:before="0"/>
      </w:pPr>
      <w:r w:rsidRPr="005D4222">
        <w:t>Medical Savings Account (MSA) contracts.</w:t>
      </w:r>
    </w:p>
    <w:p w14:paraId="4EB256C6" w14:textId="6F9FBAB1" w:rsidR="00834FBA" w:rsidRPr="005D4222" w:rsidRDefault="00834FBA" w:rsidP="00834FBA">
      <w:pPr>
        <w:pStyle w:val="Bullet"/>
      </w:pPr>
      <w:r w:rsidRPr="005D4222">
        <w:t>Section 1876 cost organizations.</w:t>
      </w:r>
    </w:p>
    <w:p w14:paraId="2AB7DAB3" w14:textId="19E9FC4A" w:rsidR="00834FBA" w:rsidRPr="005D4222" w:rsidRDefault="00834FBA" w:rsidP="00834FBA">
      <w:pPr>
        <w:pStyle w:val="Body"/>
      </w:pPr>
      <w:r w:rsidRPr="005D4222">
        <w:t xml:space="preserve">MA organizations that offer SNP benefit packages submit an additional subset of HEDIS measures that are listed in the CMS Memo. The CMS </w:t>
      </w:r>
      <w:r w:rsidRPr="005D4222" w:rsidDel="00C55363">
        <w:t>M</w:t>
      </w:r>
      <w:r w:rsidRPr="005D4222">
        <w:t xml:space="preserve">emo also lists the required HEDIS measures by organizational type because some MA organizations report fewer HEDIS measures. CMS strongly advises that all MA organizations refer to the </w:t>
      </w:r>
      <w:r w:rsidRPr="005D4222" w:rsidDel="000D1A80">
        <w:t xml:space="preserve">CMS </w:t>
      </w:r>
      <w:r w:rsidRPr="005D4222" w:rsidDel="00AE3BD2">
        <w:t>M</w:t>
      </w:r>
      <w:r w:rsidRPr="005D4222">
        <w:t>emo to determine which HEDIS measures are required for their organization.</w:t>
      </w:r>
    </w:p>
    <w:p w14:paraId="6A4DC6AA" w14:textId="19E2F724" w:rsidR="00834FBA" w:rsidRPr="005D4222" w:rsidRDefault="00834FBA" w:rsidP="00834FBA">
      <w:pPr>
        <w:pStyle w:val="Note"/>
        <w:rPr>
          <w:i w:val="0"/>
        </w:rPr>
      </w:pPr>
      <w:bookmarkStart w:id="75" w:name="_Hlk511128294"/>
      <w:bookmarkEnd w:id="74"/>
      <w:r w:rsidRPr="005D4222">
        <w:rPr>
          <w:b/>
        </w:rPr>
        <w:t xml:space="preserve">Note: </w:t>
      </w:r>
      <w:r w:rsidRPr="005D4222">
        <w:t xml:space="preserve">Members in hospice are excluded from HEDIS reporting. </w:t>
      </w:r>
    </w:p>
    <w:p w14:paraId="44CB4618" w14:textId="77777777" w:rsidR="00834FBA" w:rsidRPr="005D4222" w:rsidRDefault="00834FBA" w:rsidP="00834FBA">
      <w:pPr>
        <w:pStyle w:val="SubHeadNoTOC"/>
      </w:pPr>
      <w:bookmarkStart w:id="76" w:name="_Toc400546032"/>
      <w:bookmarkEnd w:id="73"/>
      <w:bookmarkEnd w:id="75"/>
      <w:r w:rsidRPr="005D4222">
        <w:rPr>
          <w:bCs/>
          <w:i/>
        </w:rPr>
        <w:lastRenderedPageBreak/>
        <w:t>General Guideline:</w:t>
      </w:r>
      <w:r w:rsidRPr="005D4222">
        <w:t xml:space="preserve"> </w:t>
      </w:r>
      <w:bookmarkStart w:id="77" w:name="ReportingHEDISforCHIP"/>
      <w:r w:rsidRPr="005D4222">
        <w:t xml:space="preserve">Reporting HEDIS for </w:t>
      </w:r>
      <w:bookmarkEnd w:id="76"/>
      <w:r w:rsidRPr="005D4222">
        <w:t>CHIP</w:t>
      </w:r>
      <w:bookmarkEnd w:id="77"/>
      <w:r w:rsidRPr="005D4222">
        <w:t xml:space="preserve"> </w:t>
      </w:r>
    </w:p>
    <w:tbl>
      <w:tblPr>
        <w:tblW w:w="9864" w:type="dxa"/>
        <w:tblLayout w:type="fixed"/>
        <w:tblLook w:val="0000" w:firstRow="0" w:lastRow="0" w:firstColumn="0" w:lastColumn="0" w:noHBand="0" w:noVBand="0"/>
      </w:tblPr>
      <w:tblGrid>
        <w:gridCol w:w="2160"/>
        <w:gridCol w:w="7704"/>
      </w:tblGrid>
      <w:tr w:rsidR="00834FBA" w:rsidRPr="005D4222" w14:paraId="7C62D7C0" w14:textId="77777777" w:rsidTr="009F6641">
        <w:trPr>
          <w:cantSplit/>
        </w:trPr>
        <w:tc>
          <w:tcPr>
            <w:tcW w:w="2160" w:type="dxa"/>
            <w:tcBorders>
              <w:bottom w:val="nil"/>
            </w:tcBorders>
          </w:tcPr>
          <w:p w14:paraId="454CD47F" w14:textId="77777777" w:rsidR="00834FBA" w:rsidRPr="005D4222" w:rsidRDefault="00834FBA" w:rsidP="009F6641">
            <w:pPr>
              <w:pStyle w:val="MarginSubhead"/>
              <w:widowControl w:val="0"/>
            </w:pPr>
            <w:r w:rsidRPr="005D4222">
              <w:t>CHIP</w:t>
            </w:r>
          </w:p>
        </w:tc>
        <w:tc>
          <w:tcPr>
            <w:tcW w:w="7704" w:type="dxa"/>
            <w:tcBorders>
              <w:bottom w:val="nil"/>
            </w:tcBorders>
          </w:tcPr>
          <w:p w14:paraId="2F80D472" w14:textId="332FEBFB" w:rsidR="00834FBA" w:rsidRPr="005D4222" w:rsidRDefault="00834FBA" w:rsidP="009F6641">
            <w:pPr>
              <w:pStyle w:val="Body"/>
              <w:widowControl w:val="0"/>
            </w:pPr>
            <w:r w:rsidRPr="005D4222">
              <w:t xml:space="preserve">States may contract with an organization to provide care to CHIP members as part of the organization’s Medicaid product line or a CHIP-only product. The state enables the contracting organization to identify CHIP members, when possible. </w:t>
            </w:r>
          </w:p>
        </w:tc>
      </w:tr>
      <w:tr w:rsidR="00834FBA" w:rsidRPr="005D4222" w14:paraId="7B14487A" w14:textId="77777777" w:rsidTr="00C204E3">
        <w:tc>
          <w:tcPr>
            <w:tcW w:w="2160" w:type="dxa"/>
          </w:tcPr>
          <w:p w14:paraId="38A9BA1C" w14:textId="77777777" w:rsidR="00834FBA" w:rsidRPr="005D4222" w:rsidRDefault="00834FBA" w:rsidP="00C204E3">
            <w:pPr>
              <w:pStyle w:val="MarginSubhead"/>
              <w:widowControl w:val="0"/>
            </w:pPr>
            <w:r w:rsidRPr="005D4222">
              <w:t>Reporting guidelines</w:t>
            </w:r>
          </w:p>
        </w:tc>
        <w:tc>
          <w:tcPr>
            <w:tcW w:w="7704" w:type="dxa"/>
          </w:tcPr>
          <w:p w14:paraId="6255A966" w14:textId="77777777" w:rsidR="00834FBA" w:rsidRPr="005D4222" w:rsidRDefault="00834FBA" w:rsidP="00D1553A">
            <w:pPr>
              <w:pStyle w:val="Body"/>
            </w:pPr>
            <w:r w:rsidRPr="005D4222">
              <w:t xml:space="preserve">For NCQA HEDIS/CAHPS reporting purposes, CHIP products must be included in the organization’s Medicaid product line using Medicaid measure specifications. This applies for organizations that have other Medicaid products as well as organizations that have only CHIP products. </w:t>
            </w:r>
          </w:p>
          <w:p w14:paraId="0B50971C" w14:textId="77777777" w:rsidR="00834FBA" w:rsidRPr="005D4222" w:rsidRDefault="00834FBA" w:rsidP="00D1553A">
            <w:pPr>
              <w:pStyle w:val="Body"/>
            </w:pPr>
            <w:r w:rsidRPr="005D4222">
              <w:t xml:space="preserve">If the state requires contracting organizations to report CHIP products separately, a second, state-specific CHIP-only HEDIS/CAHPS submission is required. Organizations must note this </w:t>
            </w:r>
            <w:r w:rsidRPr="005D4222" w:rsidDel="00C53948">
              <w:t>state</w:t>
            </w:r>
            <w:r w:rsidRPr="005D4222">
              <w:t>-</w:t>
            </w:r>
            <w:r w:rsidRPr="005D4222" w:rsidDel="00C53948">
              <w:t xml:space="preserve">specific </w:t>
            </w:r>
            <w:r w:rsidRPr="005D4222">
              <w:t xml:space="preserve">requirement in the Health Organization Questionnaire (HOQ). </w:t>
            </w:r>
          </w:p>
          <w:p w14:paraId="2DC1B39D" w14:textId="1B83745A" w:rsidR="00834FBA" w:rsidRPr="005D4222" w:rsidRDefault="0090115E" w:rsidP="00D1553A">
            <w:pPr>
              <w:pStyle w:val="Body"/>
            </w:pPr>
            <w:r w:rsidRPr="005D4222">
              <w:t>The organization must exclude CHIP products from its commercial product-line reports because including CHIP products in HEDIS reports for commercially enrolled populations may affect organization-to-organization comparison.</w:t>
            </w:r>
          </w:p>
        </w:tc>
      </w:tr>
    </w:tbl>
    <w:p w14:paraId="542D643C" w14:textId="507CD619" w:rsidR="00834FBA" w:rsidRPr="005D4222" w:rsidRDefault="00834FBA" w:rsidP="00BE08C8">
      <w:pPr>
        <w:pStyle w:val="StdHead"/>
      </w:pPr>
      <w:bookmarkStart w:id="78" w:name="_Toc74747851"/>
      <w:bookmarkStart w:id="79" w:name="_Toc171402939"/>
      <w:bookmarkStart w:id="80" w:name="_Toc201813359"/>
      <w:bookmarkStart w:id="81" w:name="_Hlk4925268"/>
      <w:bookmarkStart w:id="82" w:name="_Toc400546033"/>
      <w:bookmarkStart w:id="83" w:name="Audit"/>
      <w:bookmarkStart w:id="84" w:name="_Toc452170788"/>
      <w:r w:rsidRPr="005D4222">
        <w:t>Natural Disaster and Cybercrime</w:t>
      </w:r>
      <w:bookmarkEnd w:id="78"/>
      <w:bookmarkEnd w:id="79"/>
      <w:bookmarkEnd w:id="80"/>
    </w:p>
    <w:bookmarkEnd w:id="81"/>
    <w:p w14:paraId="5884D291" w14:textId="77777777" w:rsidR="001657EF" w:rsidRPr="005D4222" w:rsidRDefault="00834FBA" w:rsidP="00834FBA">
      <w:pPr>
        <w:pStyle w:val="Body"/>
        <w:rPr>
          <w:i/>
          <w:iCs/>
        </w:rPr>
      </w:pPr>
      <w:r w:rsidRPr="005D4222">
        <w:rPr>
          <w:i/>
        </w:rPr>
        <w:t xml:space="preserve">This section of the specifications applies only to organizations whose operations were destroyed or severely disrupted due to natural disaster or cybercrime (e.g., impact on access to claims/enrollment files, encrypted or changed data). </w:t>
      </w:r>
    </w:p>
    <w:p w14:paraId="6C6B2BA2" w14:textId="61CA0704" w:rsidR="00834FBA" w:rsidRPr="005D4222" w:rsidRDefault="00834FBA" w:rsidP="00834FBA">
      <w:pPr>
        <w:pStyle w:val="Body"/>
      </w:pPr>
      <w:r w:rsidRPr="005D4222">
        <w:t>These organizations must report this to NCQA</w:t>
      </w:r>
      <w:r w:rsidR="00526610" w:rsidRPr="005D4222">
        <w:t>,</w:t>
      </w:r>
      <w:r w:rsidRPr="005D4222">
        <w:t xml:space="preserve"> and should contact their auditors to discuss the current state of their operations and the availability of documentation needed to meet NCQA program requirements. Specific relief will be determined on a case-by-case basis. Organizations should provide a measure</w:t>
      </w:r>
      <w:r w:rsidR="00526610" w:rsidRPr="005D4222">
        <w:t>-</w:t>
      </w:r>
      <w:r w:rsidRPr="005D4222">
        <w:t>specific assessment of the following areas, as applicable:</w:t>
      </w:r>
    </w:p>
    <w:p w14:paraId="6675DDE2" w14:textId="77777777" w:rsidR="00834FBA" w:rsidRPr="005D4222" w:rsidRDefault="00834FBA" w:rsidP="00834FBA">
      <w:pPr>
        <w:pStyle w:val="Bullet"/>
      </w:pPr>
      <w:r w:rsidRPr="005D4222">
        <w:t>HEDIS and CAHPS reporting.</w:t>
      </w:r>
    </w:p>
    <w:p w14:paraId="52CE2701" w14:textId="77777777" w:rsidR="00834FBA" w:rsidRPr="005D4222" w:rsidRDefault="00834FBA" w:rsidP="00834FBA">
      <w:pPr>
        <w:pStyle w:val="Dash"/>
      </w:pPr>
      <w:r w:rsidRPr="005D4222">
        <w:t>Seek guidance from CMS about CAHPS for Medicare Advantage and Part D organizations.</w:t>
      </w:r>
    </w:p>
    <w:p w14:paraId="49BB2D86" w14:textId="77777777" w:rsidR="00834FBA" w:rsidRPr="005D4222" w:rsidRDefault="00834FBA" w:rsidP="00834FBA">
      <w:pPr>
        <w:pStyle w:val="Bullet"/>
      </w:pPr>
      <w:r w:rsidRPr="005D4222">
        <w:t>Access and availability of practitioners or practitioner records or data systems.</w:t>
      </w:r>
    </w:p>
    <w:p w14:paraId="2CCE578E" w14:textId="764B033E" w:rsidR="00834FBA" w:rsidRPr="005D4222" w:rsidRDefault="00834FBA" w:rsidP="00834FBA">
      <w:pPr>
        <w:pStyle w:val="Body"/>
      </w:pPr>
      <w:r w:rsidRPr="005D4222">
        <w:t>Based on the information provided, NCQA will work with the organization to determine the appropriate level of modification for the HEDIS reporting year.</w:t>
      </w:r>
    </w:p>
    <w:p w14:paraId="0301AF51" w14:textId="103C9DB1" w:rsidR="00834FBA" w:rsidRPr="005D4222" w:rsidRDefault="00834FBA" w:rsidP="00BE08C8">
      <w:pPr>
        <w:pStyle w:val="StdHead"/>
      </w:pPr>
      <w:bookmarkStart w:id="85" w:name="_Toc74747852"/>
      <w:bookmarkStart w:id="86" w:name="_Toc171402940"/>
      <w:bookmarkStart w:id="87" w:name="_Toc201813360"/>
      <w:r w:rsidRPr="005D4222">
        <w:t>The NCQA HEDIS Compliance Audit</w:t>
      </w:r>
      <w:bookmarkEnd w:id="82"/>
      <w:r w:rsidRPr="005D4222">
        <w:rPr>
          <w:rFonts w:eastAsia="Arial" w:cs="Arial"/>
        </w:rPr>
        <w:t>™</w:t>
      </w:r>
      <w:bookmarkEnd w:id="83"/>
      <w:bookmarkEnd w:id="85"/>
      <w:bookmarkEnd w:id="86"/>
      <w:bookmarkEnd w:id="87"/>
      <w:r w:rsidRPr="005D4222">
        <w:t xml:space="preserve"> </w:t>
      </w:r>
    </w:p>
    <w:p w14:paraId="72AF69E6" w14:textId="77777777" w:rsidR="00834FBA" w:rsidRPr="005D4222" w:rsidRDefault="00834FBA" w:rsidP="00834FBA">
      <w:pPr>
        <w:pStyle w:val="Body"/>
        <w:rPr>
          <w:rFonts w:ascii="Times New Roman" w:hAnsi="Times New Roman"/>
          <w:strike/>
          <w:sz w:val="24"/>
        </w:rPr>
      </w:pPr>
      <w:r w:rsidRPr="005D4222">
        <w:t xml:space="preserve">The HEDIS Compliance Audit runs concurrent with the data collection process. The audit allows comparability across organizations and ensures validity and integrity of reported HEDIS data. </w:t>
      </w:r>
    </w:p>
    <w:p w14:paraId="4E7E9497" w14:textId="77777777" w:rsidR="00834FBA" w:rsidRPr="005D4222" w:rsidRDefault="00834FBA" w:rsidP="00834FBA">
      <w:pPr>
        <w:pStyle w:val="Body"/>
        <w:widowControl w:val="0"/>
      </w:pPr>
      <w:r w:rsidRPr="005D4222">
        <w:t>The audit is required for organizations seeking NCQA Accreditation or for reporting in NCQA public reporting products, including Quality Compass</w:t>
      </w:r>
      <w:r w:rsidRPr="005D4222">
        <w:rPr>
          <w:rFonts w:cs="Arial"/>
        </w:rPr>
        <w:t>, and by</w:t>
      </w:r>
      <w:r w:rsidRPr="005D4222">
        <w:t xml:space="preserve"> CMS and many states and employer groups. </w:t>
      </w:r>
    </w:p>
    <w:p w14:paraId="20C5F6C7" w14:textId="77777777" w:rsidR="004D5C07" w:rsidRDefault="004D5C07">
      <w:pPr>
        <w:rPr>
          <w:b/>
          <w:bCs/>
          <w:i/>
          <w:iCs/>
          <w:sz w:val="22"/>
        </w:rPr>
      </w:pPr>
      <w:bookmarkStart w:id="88" w:name="_Toc400546034"/>
      <w:r>
        <w:rPr>
          <w:bCs/>
          <w:i/>
        </w:rPr>
        <w:br w:type="page"/>
      </w:r>
    </w:p>
    <w:p w14:paraId="69175552" w14:textId="43EAC64B" w:rsidR="00834FBA" w:rsidRPr="005D4222" w:rsidRDefault="00834FBA" w:rsidP="00834FBA">
      <w:pPr>
        <w:pStyle w:val="SubHeadNoTOC"/>
      </w:pPr>
      <w:r w:rsidRPr="005D4222">
        <w:rPr>
          <w:bCs/>
          <w:i/>
        </w:rPr>
        <w:lastRenderedPageBreak/>
        <w:t>General Guideline:</w:t>
      </w:r>
      <w:r w:rsidRPr="005D4222">
        <w:t xml:space="preserve"> Audit Preparation</w:t>
      </w:r>
      <w:bookmarkEnd w:id="88"/>
    </w:p>
    <w:tbl>
      <w:tblPr>
        <w:tblW w:w="9864" w:type="dxa"/>
        <w:tblLook w:val="01E0" w:firstRow="1" w:lastRow="1" w:firstColumn="1" w:lastColumn="1" w:noHBand="0" w:noVBand="0"/>
      </w:tblPr>
      <w:tblGrid>
        <w:gridCol w:w="2160"/>
        <w:gridCol w:w="7704"/>
      </w:tblGrid>
      <w:tr w:rsidR="00834FBA" w:rsidRPr="005D4222" w14:paraId="718AA59C" w14:textId="77777777" w:rsidTr="009F6641">
        <w:tc>
          <w:tcPr>
            <w:tcW w:w="2160" w:type="dxa"/>
          </w:tcPr>
          <w:p w14:paraId="3F311D48" w14:textId="77777777" w:rsidR="00834FBA" w:rsidRPr="005D4222" w:rsidRDefault="00834FBA" w:rsidP="009F6641">
            <w:pPr>
              <w:pStyle w:val="MarginSubhead"/>
              <w:widowControl w:val="0"/>
            </w:pPr>
            <w:r w:rsidRPr="005D4222">
              <w:t>Contract with an audit firm</w:t>
            </w:r>
          </w:p>
        </w:tc>
        <w:tc>
          <w:tcPr>
            <w:tcW w:w="7704" w:type="dxa"/>
          </w:tcPr>
          <w:p w14:paraId="5A3D1B9C" w14:textId="1392FCFA" w:rsidR="00834FBA" w:rsidRPr="005D4222" w:rsidRDefault="00834FBA" w:rsidP="009F6641">
            <w:pPr>
              <w:pStyle w:val="Body"/>
              <w:widowControl w:val="0"/>
            </w:pPr>
            <w:r w:rsidRPr="005D4222">
              <w:t xml:space="preserve">The organization requests an application for a HEDIS Audit from an </w:t>
            </w:r>
            <w:hyperlink r:id="rId58" w:history="1">
              <w:r w:rsidRPr="005D4222">
                <w:rPr>
                  <w:rStyle w:val="Hyperlink"/>
                </w:rPr>
                <w:t>NCQA Licensed Organization</w:t>
              </w:r>
            </w:hyperlink>
            <w:r w:rsidRPr="005D4222" w:rsidDel="00CB5D54">
              <w:t xml:space="preserve"> </w:t>
            </w:r>
            <w:r w:rsidRPr="005D4222">
              <w:t xml:space="preserve">and is responsible for determining fees and entering into contracts. The first activity in audit preparation is contract execution. An organization contacts NCQA </w:t>
            </w:r>
            <w:r w:rsidR="00C837F8" w:rsidRPr="005D4222">
              <w:t>Licensed Organizations</w:t>
            </w:r>
            <w:r w:rsidRPr="005D4222">
              <w:t xml:space="preserve"> for bids and selects a firm to conduct the HEDIS audit.</w:t>
            </w:r>
          </w:p>
          <w:p w14:paraId="7559224F" w14:textId="77777777" w:rsidR="00834FBA" w:rsidRPr="005D4222" w:rsidRDefault="00834FBA" w:rsidP="009F6641">
            <w:pPr>
              <w:pStyle w:val="Body"/>
            </w:pPr>
            <w:r w:rsidRPr="005D4222">
              <w:t xml:space="preserve">The contracting phase includes assessing measures to report, executing the contract with all the necessary ancillary agreements (e.g., confidentiality and conflict of interest) and negotiating a timeline. </w:t>
            </w:r>
          </w:p>
          <w:p w14:paraId="77862D74" w14:textId="7831D080" w:rsidR="00834FBA" w:rsidRPr="005D4222" w:rsidRDefault="00834FBA" w:rsidP="009F6641">
            <w:pPr>
              <w:pStyle w:val="Body"/>
              <w:widowControl w:val="0"/>
              <w:rPr>
                <w:b/>
                <w:bCs/>
              </w:rPr>
            </w:pPr>
            <w:r w:rsidRPr="005D4222">
              <w:t>All L</w:t>
            </w:r>
            <w:r w:rsidR="00C837F8" w:rsidRPr="005D4222">
              <w:t xml:space="preserve">icensed </w:t>
            </w:r>
            <w:r w:rsidRPr="005D4222">
              <w:t>O</w:t>
            </w:r>
            <w:r w:rsidR="00C837F8" w:rsidRPr="005D4222">
              <w:t>rganization</w:t>
            </w:r>
            <w:r w:rsidRPr="005D4222">
              <w:t>s employ or contract with Certified HEDIS Compliance Auditors (CHCA) and select an audit team for the organization.</w:t>
            </w:r>
          </w:p>
        </w:tc>
      </w:tr>
      <w:tr w:rsidR="00834FBA" w:rsidRPr="005D4222" w14:paraId="2B9E135B" w14:textId="77777777" w:rsidTr="009F6641">
        <w:tc>
          <w:tcPr>
            <w:tcW w:w="2160" w:type="dxa"/>
          </w:tcPr>
          <w:p w14:paraId="6F005638" w14:textId="77777777" w:rsidR="00834FBA" w:rsidRPr="005D4222" w:rsidRDefault="00834FBA" w:rsidP="004D5A83">
            <w:pPr>
              <w:pStyle w:val="MarginSubhead"/>
            </w:pPr>
            <w:r w:rsidRPr="005D4222">
              <w:t>HEDIS Roadmap</w:t>
            </w:r>
          </w:p>
        </w:tc>
        <w:tc>
          <w:tcPr>
            <w:tcW w:w="7704" w:type="dxa"/>
          </w:tcPr>
          <w:p w14:paraId="7AF8889E" w14:textId="77777777" w:rsidR="00834FBA" w:rsidRPr="005D4222" w:rsidRDefault="00834FBA" w:rsidP="004D5A83">
            <w:pPr>
              <w:pStyle w:val="Body"/>
            </w:pPr>
            <w:r w:rsidRPr="005D4222">
              <w:t>Each organization must complete the HEDIS Record of Administration, Data Management and Processes (Roadmap). The Roadmap contains questions about all audit standards, and describes the operational and organizational structure of the organization. Auditors use the HEDIS Roadmap to review information about an organization’s systems for collecting and processing data used to produce HEDIS reports and to organize the audit review.</w:t>
            </w:r>
          </w:p>
        </w:tc>
      </w:tr>
      <w:tr w:rsidR="00834FBA" w:rsidRPr="005D4222" w14:paraId="4266FB6A" w14:textId="77777777" w:rsidTr="009F6641">
        <w:tc>
          <w:tcPr>
            <w:tcW w:w="2160" w:type="dxa"/>
          </w:tcPr>
          <w:p w14:paraId="6A594A92" w14:textId="77777777" w:rsidR="00834FBA" w:rsidRPr="005D4222" w:rsidRDefault="00834FBA" w:rsidP="004D5C07">
            <w:pPr>
              <w:pStyle w:val="MarginSubhead"/>
            </w:pPr>
            <w:r w:rsidRPr="005D4222">
              <w:t>Medical record review validation</w:t>
            </w:r>
          </w:p>
        </w:tc>
        <w:tc>
          <w:tcPr>
            <w:tcW w:w="7704" w:type="dxa"/>
          </w:tcPr>
          <w:p w14:paraId="7E8EABEF" w14:textId="77777777" w:rsidR="00834FBA" w:rsidRPr="005D4222" w:rsidRDefault="00834FBA" w:rsidP="004D5C07">
            <w:pPr>
              <w:pStyle w:val="Body"/>
            </w:pPr>
            <w:r w:rsidRPr="005D4222">
              <w:t xml:space="preserve">The medical record review validation (MRRV) process uses like-measure groupings for measure validation; includes hybrid measure exclusions; applies a different statistical test to the process; and defines MRR milestones clearly to ensure consistency across organizations. Refer to </w:t>
            </w:r>
            <w:r w:rsidRPr="005D4222">
              <w:rPr>
                <w:i/>
                <w:iCs/>
              </w:rPr>
              <w:t>Volume 5, HEDIS Compliance Audit: Standards, Policies and Procedures.</w:t>
            </w:r>
            <w:r w:rsidRPr="005D4222">
              <w:t xml:space="preserve"> </w:t>
            </w:r>
          </w:p>
        </w:tc>
      </w:tr>
      <w:tr w:rsidR="00834FBA" w:rsidRPr="005D4222" w14:paraId="1B106C73" w14:textId="77777777" w:rsidTr="009F6641">
        <w:tc>
          <w:tcPr>
            <w:tcW w:w="2160" w:type="dxa"/>
          </w:tcPr>
          <w:p w14:paraId="03C7FAA3" w14:textId="77777777" w:rsidR="00834FBA" w:rsidRPr="005D4222" w:rsidRDefault="00834FBA" w:rsidP="009F6641">
            <w:pPr>
              <w:pStyle w:val="MarginSubhead"/>
            </w:pPr>
            <w:r w:rsidRPr="005D4222">
              <w:t>HEDIS Audit Timeline</w:t>
            </w:r>
          </w:p>
        </w:tc>
        <w:tc>
          <w:tcPr>
            <w:tcW w:w="7704" w:type="dxa"/>
          </w:tcPr>
          <w:p w14:paraId="29E6ECA0" w14:textId="7AED0ADA" w:rsidR="00834FBA" w:rsidRPr="005D4222" w:rsidRDefault="00834FBA" w:rsidP="009F6641">
            <w:pPr>
              <w:pStyle w:val="Body"/>
            </w:pPr>
            <w:r w:rsidRPr="005D4222">
              <w:t xml:space="preserve">Organizations must follow the HEDIS Audit Timeline, which will be posted on the </w:t>
            </w:r>
            <w:hyperlink r:id="rId59" w:history="1">
              <w:r w:rsidRPr="005D4222">
                <w:rPr>
                  <w:rStyle w:val="Hyperlink"/>
                </w:rPr>
                <w:t>NCQA website</w:t>
              </w:r>
            </w:hyperlink>
            <w:r w:rsidRPr="005D4222">
              <w:t xml:space="preserve"> on March 31, </w:t>
            </w:r>
            <w:r w:rsidR="00A73B53" w:rsidRPr="005D4222">
              <w:t>2026</w:t>
            </w:r>
            <w:r w:rsidRPr="005D4222">
              <w:t xml:space="preserve">, and is published in </w:t>
            </w:r>
            <w:r w:rsidRPr="005D4222">
              <w:rPr>
                <w:i/>
              </w:rPr>
              <w:t xml:space="preserve">Volume 5, HEDIS Compliance Audit: Standards, Policies and Procedures. </w:t>
            </w:r>
          </w:p>
        </w:tc>
      </w:tr>
    </w:tbl>
    <w:p w14:paraId="601D45B3" w14:textId="77777777" w:rsidR="00834FBA" w:rsidRPr="005D4222" w:rsidRDefault="00834FBA" w:rsidP="00834FBA">
      <w:pPr>
        <w:pStyle w:val="SubHeadNoTOC"/>
      </w:pPr>
      <w:bookmarkStart w:id="89" w:name="_Toc400546035"/>
      <w:r w:rsidRPr="005D4222">
        <w:rPr>
          <w:i/>
          <w:iCs w:val="0"/>
        </w:rPr>
        <w:t xml:space="preserve">General Guideline: </w:t>
      </w:r>
      <w:bookmarkStart w:id="90" w:name="Reporting"/>
      <w:r w:rsidRPr="005D4222">
        <w:t>Reporting</w:t>
      </w:r>
      <w:bookmarkEnd w:id="89"/>
      <w:bookmarkEnd w:id="90"/>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7704"/>
      </w:tblGrid>
      <w:tr w:rsidR="00834FBA" w:rsidRPr="005D4222" w14:paraId="3F577372" w14:textId="77777777" w:rsidTr="009F6641">
        <w:tc>
          <w:tcPr>
            <w:tcW w:w="2160" w:type="dxa"/>
            <w:tcBorders>
              <w:top w:val="nil"/>
              <w:left w:val="nil"/>
              <w:bottom w:val="nil"/>
              <w:right w:val="nil"/>
            </w:tcBorders>
          </w:tcPr>
          <w:p w14:paraId="5E07E0A2" w14:textId="77777777" w:rsidR="00834FBA" w:rsidRPr="005D4222" w:rsidRDefault="00834FBA" w:rsidP="009F6641">
            <w:pPr>
              <w:pStyle w:val="MarginSubhead"/>
              <w:widowControl w:val="0"/>
            </w:pPr>
            <w:r w:rsidRPr="005D4222">
              <w:t>Audit results</w:t>
            </w:r>
          </w:p>
        </w:tc>
        <w:tc>
          <w:tcPr>
            <w:tcW w:w="7704" w:type="dxa"/>
            <w:tcBorders>
              <w:top w:val="nil"/>
              <w:left w:val="nil"/>
              <w:bottom w:val="nil"/>
              <w:right w:val="nil"/>
            </w:tcBorders>
          </w:tcPr>
          <w:p w14:paraId="6F41834F" w14:textId="77777777" w:rsidR="00834FBA" w:rsidRPr="005D4222" w:rsidRDefault="00834FBA" w:rsidP="009F6641">
            <w:pPr>
              <w:pStyle w:val="Body"/>
              <w:widowControl w:val="0"/>
            </w:pPr>
            <w:r w:rsidRPr="005D4222">
              <w:t>HEDIS Compliance Audits result in audited rates or calculations at the measure and indicator level, and indicate if the measures can be publicly reported. All measures selected for public reporting must have a final, audited result. The auditor approves the rate or report status of each measure and survey included in the audit, as shown below.</w:t>
            </w:r>
          </w:p>
        </w:tc>
      </w:tr>
    </w:tbl>
    <w:p w14:paraId="18F4BF19" w14:textId="7F946A1C" w:rsidR="00834FBA" w:rsidRPr="005D4222" w:rsidRDefault="00834FBA" w:rsidP="00834FBA">
      <w:pPr>
        <w:pStyle w:val="Heading3"/>
        <w:rPr>
          <w:sz w:val="21"/>
          <w:szCs w:val="21"/>
        </w:rPr>
      </w:pPr>
      <w:r w:rsidRPr="005D4222">
        <w:rPr>
          <w:sz w:val="21"/>
          <w:szCs w:val="21"/>
        </w:rPr>
        <w:t>For Performance Measures</w:t>
      </w:r>
    </w:p>
    <w:tbl>
      <w:tblPr>
        <w:tblW w:w="5000" w:type="pct"/>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317"/>
        <w:gridCol w:w="8387"/>
      </w:tblGrid>
      <w:tr w:rsidR="00834FBA" w:rsidRPr="005D4222" w14:paraId="4A178ACC" w14:textId="77777777" w:rsidTr="009F6641">
        <w:trPr>
          <w:tblHeader/>
        </w:trPr>
        <w:tc>
          <w:tcPr>
            <w:tcW w:w="1" w:type="pct"/>
            <w:tcBorders>
              <w:left w:val="single" w:sz="6" w:space="0" w:color="000000" w:themeColor="text1"/>
              <w:right w:val="single" w:sz="6" w:space="0" w:color="FFFFFF" w:themeColor="background1"/>
            </w:tcBorders>
            <w:shd w:val="clear" w:color="auto" w:fill="000000" w:themeFill="text1"/>
          </w:tcPr>
          <w:p w14:paraId="0053DE07" w14:textId="77777777" w:rsidR="00834FBA" w:rsidRPr="005D4222" w:rsidRDefault="00834FBA" w:rsidP="00C44F63">
            <w:pPr>
              <w:pStyle w:val="StyleTableHeadArialNarrow"/>
              <w:spacing w:line="240" w:lineRule="auto"/>
              <w:rPr>
                <w:rFonts w:ascii="Arial" w:hAnsi="Arial" w:cs="Arial"/>
                <w:color w:val="auto"/>
                <w:sz w:val="20"/>
              </w:rPr>
            </w:pPr>
            <w:r w:rsidRPr="005D4222">
              <w:rPr>
                <w:rFonts w:ascii="Arial" w:hAnsi="Arial" w:cs="Arial"/>
                <w:color w:val="auto"/>
                <w:sz w:val="20"/>
              </w:rPr>
              <w:t>Rate/Result</w:t>
            </w:r>
          </w:p>
        </w:tc>
        <w:tc>
          <w:tcPr>
            <w:tcW w:w="4352" w:type="pct"/>
            <w:tcBorders>
              <w:left w:val="single" w:sz="6" w:space="0" w:color="FFFFFF" w:themeColor="background1"/>
              <w:right w:val="single" w:sz="6" w:space="0" w:color="auto"/>
            </w:tcBorders>
            <w:shd w:val="clear" w:color="auto" w:fill="000000" w:themeFill="text1"/>
          </w:tcPr>
          <w:p w14:paraId="2C797202" w14:textId="77777777" w:rsidR="00834FBA" w:rsidRPr="005D4222" w:rsidRDefault="00834FBA" w:rsidP="00C44F63">
            <w:pPr>
              <w:pStyle w:val="StyleTableHeadArialNarrow"/>
              <w:spacing w:line="240" w:lineRule="auto"/>
              <w:rPr>
                <w:rFonts w:ascii="Arial" w:hAnsi="Arial" w:cs="Arial"/>
                <w:color w:val="auto"/>
                <w:sz w:val="20"/>
              </w:rPr>
            </w:pPr>
            <w:r w:rsidRPr="005D4222">
              <w:rPr>
                <w:rFonts w:ascii="Arial" w:hAnsi="Arial" w:cs="Arial"/>
                <w:color w:val="auto"/>
                <w:sz w:val="20"/>
              </w:rPr>
              <w:t>Comment</w:t>
            </w:r>
          </w:p>
        </w:tc>
      </w:tr>
      <w:tr w:rsidR="00834FBA" w:rsidRPr="005D4222" w14:paraId="5BF2A1D3" w14:textId="77777777" w:rsidTr="009F6641">
        <w:tc>
          <w:tcPr>
            <w:tcW w:w="1" w:type="pct"/>
          </w:tcPr>
          <w:p w14:paraId="043494B2" w14:textId="77777777" w:rsidR="00834FBA" w:rsidRPr="005D4222" w:rsidRDefault="00834FBA" w:rsidP="00C44F63">
            <w:pPr>
              <w:pStyle w:val="TableText"/>
              <w:spacing w:line="240" w:lineRule="auto"/>
              <w:ind w:left="288"/>
              <w:rPr>
                <w:rFonts w:ascii="Arial" w:hAnsi="Arial" w:cs="Arial"/>
                <w:b/>
                <w:sz w:val="20"/>
                <w:szCs w:val="20"/>
              </w:rPr>
            </w:pPr>
            <w:r w:rsidRPr="005D4222">
              <w:rPr>
                <w:rFonts w:ascii="Arial" w:hAnsi="Arial" w:cs="Arial"/>
                <w:b/>
                <w:iCs/>
                <w:sz w:val="20"/>
                <w:szCs w:val="20"/>
              </w:rPr>
              <w:t>R</w:t>
            </w:r>
          </w:p>
        </w:tc>
        <w:tc>
          <w:tcPr>
            <w:tcW w:w="4352" w:type="pct"/>
          </w:tcPr>
          <w:p w14:paraId="7039294F" w14:textId="77777777" w:rsidR="00834FBA" w:rsidRPr="005D4222" w:rsidRDefault="00834FBA" w:rsidP="00C44F63">
            <w:pPr>
              <w:pStyle w:val="TableText"/>
              <w:spacing w:line="240" w:lineRule="auto"/>
              <w:rPr>
                <w:rFonts w:ascii="Arial" w:hAnsi="Arial" w:cs="Arial"/>
                <w:sz w:val="20"/>
                <w:szCs w:val="20"/>
              </w:rPr>
            </w:pPr>
            <w:r w:rsidRPr="005D4222">
              <w:rPr>
                <w:rFonts w:ascii="Arial" w:hAnsi="Arial" w:cs="Arial"/>
                <w:i/>
                <w:sz w:val="20"/>
                <w:szCs w:val="20"/>
              </w:rPr>
              <w:t>Reportable.</w:t>
            </w:r>
            <w:r w:rsidRPr="005D4222">
              <w:rPr>
                <w:rFonts w:ascii="Arial" w:hAnsi="Arial" w:cs="Arial"/>
                <w:sz w:val="20"/>
                <w:szCs w:val="20"/>
              </w:rPr>
              <w:t xml:space="preserve"> A reportable rate was submitted for the measure.</w:t>
            </w:r>
          </w:p>
        </w:tc>
      </w:tr>
      <w:tr w:rsidR="00834FBA" w:rsidRPr="005D4222" w14:paraId="311E6F24" w14:textId="77777777" w:rsidTr="009F6641">
        <w:tc>
          <w:tcPr>
            <w:tcW w:w="1" w:type="pct"/>
            <w:shd w:val="clear" w:color="auto" w:fill="FFFFFF" w:themeFill="background1"/>
          </w:tcPr>
          <w:p w14:paraId="06370BAD" w14:textId="77777777" w:rsidR="00834FBA" w:rsidRPr="005D4222" w:rsidRDefault="00834FBA" w:rsidP="00C44F63">
            <w:pPr>
              <w:pStyle w:val="TableText"/>
              <w:spacing w:line="240" w:lineRule="auto"/>
              <w:ind w:left="288"/>
              <w:rPr>
                <w:rFonts w:ascii="Arial" w:hAnsi="Arial" w:cs="Arial"/>
                <w:b/>
                <w:iCs/>
                <w:sz w:val="20"/>
                <w:szCs w:val="20"/>
              </w:rPr>
            </w:pPr>
            <w:r w:rsidRPr="005D4222">
              <w:rPr>
                <w:rFonts w:ascii="Arial" w:hAnsi="Arial" w:cs="Arial"/>
                <w:b/>
                <w:iCs/>
                <w:sz w:val="20"/>
                <w:szCs w:val="20"/>
              </w:rPr>
              <w:t>NA</w:t>
            </w:r>
          </w:p>
        </w:tc>
        <w:tc>
          <w:tcPr>
            <w:tcW w:w="4352" w:type="pct"/>
            <w:shd w:val="clear" w:color="auto" w:fill="FFFFFF" w:themeFill="background1"/>
          </w:tcPr>
          <w:p w14:paraId="08C78E2B" w14:textId="77777777" w:rsidR="00834FBA" w:rsidRPr="005D4222" w:rsidRDefault="00834FBA" w:rsidP="00C44F63">
            <w:pPr>
              <w:pStyle w:val="TableText"/>
              <w:spacing w:line="240" w:lineRule="auto"/>
              <w:rPr>
                <w:rFonts w:ascii="Arial" w:hAnsi="Arial" w:cs="Arial"/>
                <w:sz w:val="20"/>
                <w:szCs w:val="20"/>
              </w:rPr>
            </w:pPr>
            <w:r w:rsidRPr="005D4222">
              <w:rPr>
                <w:rFonts w:ascii="Arial" w:hAnsi="Arial" w:cs="Arial"/>
                <w:i/>
                <w:iCs/>
                <w:sz w:val="20"/>
                <w:szCs w:val="20"/>
              </w:rPr>
              <w:t>Small Denominator</w:t>
            </w:r>
            <w:r w:rsidRPr="005D4222">
              <w:rPr>
                <w:rFonts w:ascii="Arial" w:hAnsi="Arial" w:cs="Arial"/>
                <w:sz w:val="20"/>
                <w:szCs w:val="20"/>
              </w:rPr>
              <w:t>. The organization followed the specifications, but the denominator was too small (e.g., less than 30) to report a valid rate.</w:t>
            </w:r>
          </w:p>
          <w:p w14:paraId="6AA5C270" w14:textId="77777777" w:rsidR="00834FBA" w:rsidRPr="005D4222" w:rsidRDefault="00834FBA" w:rsidP="00C44F63">
            <w:pPr>
              <w:pStyle w:val="TableText"/>
              <w:spacing w:line="240" w:lineRule="auto"/>
              <w:ind w:left="216" w:hanging="216"/>
              <w:rPr>
                <w:rFonts w:ascii="Arial" w:hAnsi="Arial" w:cs="Arial"/>
                <w:sz w:val="20"/>
                <w:szCs w:val="20"/>
              </w:rPr>
            </w:pPr>
            <w:r w:rsidRPr="005D4222">
              <w:rPr>
                <w:rFonts w:ascii="Arial" w:hAnsi="Arial" w:cs="Arial"/>
                <w:sz w:val="20"/>
                <w:szCs w:val="20"/>
              </w:rPr>
              <w:t>a.</w:t>
            </w:r>
            <w:r w:rsidRPr="005D4222">
              <w:rPr>
                <w:rFonts w:ascii="Arial" w:hAnsi="Arial" w:cs="Arial"/>
                <w:sz w:val="20"/>
                <w:szCs w:val="20"/>
              </w:rPr>
              <w:tab/>
              <w:t>For Effectiveness of Care (EOC) measures,</w:t>
            </w:r>
            <w:r w:rsidRPr="005D4222" w:rsidDel="003703AB">
              <w:rPr>
                <w:rFonts w:ascii="Arial" w:hAnsi="Arial" w:cs="Arial"/>
                <w:sz w:val="20"/>
                <w:szCs w:val="20"/>
              </w:rPr>
              <w:t xml:space="preserve"> </w:t>
            </w:r>
            <w:r w:rsidRPr="005D4222">
              <w:rPr>
                <w:rFonts w:ascii="Arial" w:hAnsi="Arial" w:cs="Arial"/>
                <w:sz w:val="20"/>
                <w:szCs w:val="20"/>
              </w:rPr>
              <w:t>EOC-like measures and the Antibiotic Utilization for Respiratory Conditions measure, when the denominator is less than 30.</w:t>
            </w:r>
          </w:p>
          <w:p w14:paraId="74213314" w14:textId="77777777" w:rsidR="00834FBA" w:rsidRPr="005D4222" w:rsidRDefault="00834FBA" w:rsidP="00C44F63">
            <w:pPr>
              <w:pStyle w:val="TableText"/>
              <w:spacing w:line="240" w:lineRule="auto"/>
              <w:ind w:left="216" w:hanging="216"/>
              <w:rPr>
                <w:rFonts w:ascii="Arial" w:hAnsi="Arial" w:cs="Arial"/>
                <w:sz w:val="20"/>
                <w:szCs w:val="20"/>
              </w:rPr>
            </w:pPr>
            <w:r w:rsidRPr="005D4222">
              <w:rPr>
                <w:rFonts w:ascii="Arial" w:hAnsi="Arial" w:cs="Arial"/>
                <w:sz w:val="20"/>
                <w:szCs w:val="20"/>
              </w:rPr>
              <w:t>b.</w:t>
            </w:r>
            <w:r w:rsidRPr="005D4222">
              <w:rPr>
                <w:rFonts w:ascii="Arial" w:hAnsi="Arial" w:cs="Arial"/>
                <w:sz w:val="20"/>
                <w:szCs w:val="20"/>
              </w:rPr>
              <w:tab/>
              <w:t xml:space="preserve">For all Risk Adjusted Utilization measures, when the denominator is less than 150. </w:t>
            </w:r>
          </w:p>
          <w:p w14:paraId="38B171CA" w14:textId="77777777" w:rsidR="00834FBA" w:rsidRPr="005D4222" w:rsidRDefault="00834FBA" w:rsidP="00C44F63">
            <w:pPr>
              <w:pStyle w:val="TableText"/>
              <w:spacing w:line="240" w:lineRule="auto"/>
              <w:ind w:left="216" w:hanging="216"/>
              <w:rPr>
                <w:rFonts w:ascii="Arial" w:hAnsi="Arial" w:cs="Arial"/>
                <w:sz w:val="20"/>
                <w:szCs w:val="20"/>
              </w:rPr>
            </w:pPr>
            <w:r w:rsidRPr="005D4222">
              <w:rPr>
                <w:rFonts w:ascii="Arial" w:hAnsi="Arial" w:cs="Arial"/>
                <w:sz w:val="20"/>
                <w:szCs w:val="20"/>
              </w:rPr>
              <w:t>c.</w:t>
            </w:r>
            <w:r w:rsidRPr="005D4222">
              <w:rPr>
                <w:rFonts w:ascii="Arial" w:hAnsi="Arial" w:cs="Arial"/>
                <w:sz w:val="20"/>
                <w:szCs w:val="20"/>
              </w:rPr>
              <w:tab/>
              <w:t>For measures reported using electronic clinical data systems (ECDS), when the denominator is less than 30.</w:t>
            </w:r>
          </w:p>
          <w:p w14:paraId="0A671F0A" w14:textId="77777777" w:rsidR="00834FBA" w:rsidRPr="005D4222" w:rsidRDefault="00834FBA" w:rsidP="00C44F63">
            <w:pPr>
              <w:pStyle w:val="TableText"/>
              <w:spacing w:line="240" w:lineRule="auto"/>
              <w:rPr>
                <w:rFonts w:ascii="Arial" w:hAnsi="Arial" w:cs="Arial"/>
                <w:sz w:val="20"/>
                <w:szCs w:val="20"/>
              </w:rPr>
            </w:pPr>
            <w:r w:rsidRPr="005D4222">
              <w:rPr>
                <w:rFonts w:ascii="Arial" w:hAnsi="Arial" w:cs="Arial"/>
                <w:i/>
                <w:iCs/>
                <w:sz w:val="20"/>
                <w:szCs w:val="20"/>
              </w:rPr>
              <w:t>NA (Not Applicable)</w:t>
            </w:r>
            <w:r w:rsidRPr="005D4222">
              <w:rPr>
                <w:rFonts w:ascii="Arial" w:hAnsi="Arial" w:cs="Arial"/>
                <w:sz w:val="20"/>
                <w:szCs w:val="20"/>
              </w:rPr>
              <w:t xml:space="preserve"> is a status, not an audit designation. Measure rates that result in NA are considered Reportable (R), but the denominator is too small to report.</w:t>
            </w:r>
          </w:p>
        </w:tc>
      </w:tr>
      <w:tr w:rsidR="00834FBA" w:rsidRPr="005D4222" w14:paraId="04C9C252" w14:textId="77777777" w:rsidTr="009F6641">
        <w:tc>
          <w:tcPr>
            <w:tcW w:w="1" w:type="pct"/>
            <w:shd w:val="clear" w:color="auto" w:fill="FFFFFF" w:themeFill="background1"/>
          </w:tcPr>
          <w:p w14:paraId="779A8DDE" w14:textId="77777777" w:rsidR="00834FBA" w:rsidRPr="005D4222" w:rsidRDefault="00834FBA" w:rsidP="00C44F63">
            <w:pPr>
              <w:pStyle w:val="TableText"/>
              <w:spacing w:line="240" w:lineRule="auto"/>
              <w:ind w:left="288"/>
              <w:rPr>
                <w:rFonts w:ascii="Arial" w:hAnsi="Arial" w:cs="Arial"/>
                <w:b/>
                <w:iCs/>
                <w:sz w:val="20"/>
                <w:szCs w:val="20"/>
              </w:rPr>
            </w:pPr>
            <w:r w:rsidRPr="005D4222">
              <w:rPr>
                <w:rFonts w:ascii="Arial" w:hAnsi="Arial" w:cs="Arial"/>
                <w:b/>
                <w:iCs/>
                <w:sz w:val="20"/>
                <w:szCs w:val="20"/>
              </w:rPr>
              <w:lastRenderedPageBreak/>
              <w:t>NB</w:t>
            </w:r>
          </w:p>
        </w:tc>
        <w:tc>
          <w:tcPr>
            <w:tcW w:w="4352" w:type="pct"/>
            <w:shd w:val="clear" w:color="auto" w:fill="FFFFFF" w:themeFill="background1"/>
          </w:tcPr>
          <w:p w14:paraId="7F417D06" w14:textId="1A63BE5C" w:rsidR="00834FBA" w:rsidRPr="005D4222" w:rsidRDefault="00834FBA" w:rsidP="00C44F63">
            <w:pPr>
              <w:pStyle w:val="TableText"/>
              <w:spacing w:line="240" w:lineRule="auto"/>
              <w:rPr>
                <w:rFonts w:ascii="Arial" w:hAnsi="Arial" w:cs="Arial"/>
                <w:sz w:val="20"/>
                <w:szCs w:val="20"/>
              </w:rPr>
            </w:pPr>
            <w:r w:rsidRPr="005D4222">
              <w:rPr>
                <w:rFonts w:ascii="Arial" w:hAnsi="Arial" w:cs="Arial"/>
                <w:i/>
                <w:sz w:val="20"/>
                <w:szCs w:val="20"/>
              </w:rPr>
              <w:t xml:space="preserve">No </w:t>
            </w:r>
            <w:r w:rsidR="00BC5A58" w:rsidRPr="005D4222">
              <w:rPr>
                <w:rFonts w:ascii="Arial" w:hAnsi="Arial" w:cs="Arial"/>
                <w:i/>
                <w:iCs/>
                <w:sz w:val="20"/>
                <w:szCs w:val="20"/>
              </w:rPr>
              <w:t>Benefits.</w:t>
            </w:r>
            <w:r w:rsidRPr="005D4222">
              <w:rPr>
                <w:rFonts w:ascii="Arial" w:hAnsi="Arial" w:cs="Arial"/>
                <w:sz w:val="20"/>
                <w:szCs w:val="20"/>
              </w:rPr>
              <w:t xml:space="preserve"> The organization did not offer the health benefit required by the measure (e.g., mental health, chemical dependency).</w:t>
            </w:r>
          </w:p>
          <w:p w14:paraId="0E66474B" w14:textId="77777777" w:rsidR="00834FBA" w:rsidRPr="005D4222" w:rsidRDefault="00834FBA" w:rsidP="00C44F63">
            <w:pPr>
              <w:pStyle w:val="TableText"/>
              <w:spacing w:line="240" w:lineRule="auto"/>
              <w:rPr>
                <w:rFonts w:ascii="Arial" w:hAnsi="Arial" w:cs="Arial"/>
                <w:sz w:val="20"/>
                <w:szCs w:val="20"/>
              </w:rPr>
            </w:pPr>
            <w:r w:rsidRPr="005D4222">
              <w:rPr>
                <w:rFonts w:ascii="Arial" w:hAnsi="Arial" w:cs="Arial"/>
                <w:sz w:val="20"/>
                <w:szCs w:val="20"/>
              </w:rPr>
              <w:t xml:space="preserve">Benefits are assessed at the global level, not the service level (refer to </w:t>
            </w:r>
            <w:r w:rsidRPr="005D4222">
              <w:rPr>
                <w:rFonts w:ascii="Arial" w:hAnsi="Arial" w:cs="Arial"/>
                <w:i/>
                <w:sz w:val="20"/>
                <w:szCs w:val="20"/>
              </w:rPr>
              <w:t>General Guideline: Required Benefits</w:t>
            </w:r>
            <w:r w:rsidRPr="005D4222">
              <w:rPr>
                <w:rFonts w:ascii="Arial" w:hAnsi="Arial" w:cs="Arial"/>
                <w:sz w:val="20"/>
                <w:szCs w:val="20"/>
              </w:rPr>
              <w:t>).</w:t>
            </w:r>
          </w:p>
        </w:tc>
      </w:tr>
      <w:tr w:rsidR="00834FBA" w:rsidRPr="005D4222" w14:paraId="107D000F" w14:textId="77777777" w:rsidTr="009F6641">
        <w:tc>
          <w:tcPr>
            <w:tcW w:w="1" w:type="pct"/>
            <w:shd w:val="clear" w:color="auto" w:fill="FFFFFF" w:themeFill="background1"/>
          </w:tcPr>
          <w:p w14:paraId="4B306E7F" w14:textId="77777777" w:rsidR="00834FBA" w:rsidRPr="005D4222" w:rsidRDefault="00834FBA" w:rsidP="00C44F63">
            <w:pPr>
              <w:pStyle w:val="TableText"/>
              <w:spacing w:line="240" w:lineRule="auto"/>
              <w:ind w:left="288"/>
              <w:rPr>
                <w:rFonts w:ascii="Arial" w:hAnsi="Arial" w:cs="Arial"/>
                <w:b/>
                <w:iCs/>
                <w:sz w:val="20"/>
                <w:szCs w:val="20"/>
              </w:rPr>
            </w:pPr>
            <w:r w:rsidRPr="005D4222">
              <w:rPr>
                <w:rFonts w:ascii="Arial" w:hAnsi="Arial" w:cs="Arial"/>
                <w:b/>
                <w:iCs/>
                <w:sz w:val="20"/>
                <w:szCs w:val="20"/>
              </w:rPr>
              <w:t>NR</w:t>
            </w:r>
          </w:p>
        </w:tc>
        <w:tc>
          <w:tcPr>
            <w:tcW w:w="4352" w:type="pct"/>
            <w:shd w:val="clear" w:color="auto" w:fill="FFFFFF" w:themeFill="background1"/>
          </w:tcPr>
          <w:p w14:paraId="1C0BEC82" w14:textId="77777777" w:rsidR="00834FBA" w:rsidRPr="005D4222" w:rsidRDefault="00834FBA" w:rsidP="00C44F63">
            <w:pPr>
              <w:pStyle w:val="TableText"/>
              <w:spacing w:line="240" w:lineRule="auto"/>
              <w:rPr>
                <w:rFonts w:ascii="Arial" w:hAnsi="Arial" w:cs="Arial"/>
                <w:sz w:val="20"/>
                <w:szCs w:val="20"/>
              </w:rPr>
            </w:pPr>
            <w:r w:rsidRPr="005D4222">
              <w:rPr>
                <w:rFonts w:ascii="Arial" w:hAnsi="Arial" w:cs="Arial"/>
                <w:i/>
                <w:sz w:val="20"/>
                <w:szCs w:val="20"/>
              </w:rPr>
              <w:t>Not Reported</w:t>
            </w:r>
            <w:r w:rsidRPr="005D4222">
              <w:rPr>
                <w:rFonts w:ascii="Arial" w:hAnsi="Arial" w:cs="Arial"/>
                <w:sz w:val="20"/>
                <w:szCs w:val="20"/>
              </w:rPr>
              <w:t>. The organization chose not to report the measure.</w:t>
            </w:r>
          </w:p>
        </w:tc>
      </w:tr>
      <w:tr w:rsidR="00834FBA" w:rsidRPr="005D4222" w14:paraId="4A4E1BD0" w14:textId="77777777" w:rsidTr="009F6641">
        <w:tc>
          <w:tcPr>
            <w:tcW w:w="1" w:type="pct"/>
            <w:shd w:val="clear" w:color="auto" w:fill="FFFFFF" w:themeFill="background1"/>
          </w:tcPr>
          <w:p w14:paraId="26780835" w14:textId="77777777" w:rsidR="00834FBA" w:rsidRPr="005D4222" w:rsidRDefault="00834FBA" w:rsidP="00C44F63">
            <w:pPr>
              <w:pStyle w:val="TableText"/>
              <w:spacing w:line="240" w:lineRule="auto"/>
              <w:ind w:left="288"/>
              <w:rPr>
                <w:rFonts w:ascii="Arial" w:hAnsi="Arial" w:cs="Arial"/>
                <w:b/>
                <w:sz w:val="20"/>
                <w:szCs w:val="20"/>
              </w:rPr>
            </w:pPr>
            <w:r w:rsidRPr="005D4222">
              <w:rPr>
                <w:rFonts w:ascii="Arial" w:hAnsi="Arial" w:cs="Arial"/>
                <w:b/>
                <w:sz w:val="20"/>
                <w:szCs w:val="20"/>
              </w:rPr>
              <w:t>NQ</w:t>
            </w:r>
          </w:p>
        </w:tc>
        <w:tc>
          <w:tcPr>
            <w:tcW w:w="4352" w:type="pct"/>
            <w:shd w:val="clear" w:color="auto" w:fill="FFFFFF" w:themeFill="background1"/>
          </w:tcPr>
          <w:p w14:paraId="65DF9B0A" w14:textId="77777777" w:rsidR="00834FBA" w:rsidRPr="005D4222" w:rsidRDefault="00834FBA" w:rsidP="00C44F63">
            <w:pPr>
              <w:pStyle w:val="TableText"/>
              <w:spacing w:line="240" w:lineRule="auto"/>
              <w:rPr>
                <w:rFonts w:ascii="Arial" w:hAnsi="Arial" w:cs="Arial"/>
                <w:sz w:val="20"/>
                <w:szCs w:val="20"/>
              </w:rPr>
            </w:pPr>
            <w:r w:rsidRPr="005D4222">
              <w:rPr>
                <w:rFonts w:ascii="Arial" w:hAnsi="Arial" w:cs="Arial"/>
                <w:i/>
                <w:sz w:val="20"/>
                <w:szCs w:val="20"/>
              </w:rPr>
              <w:t xml:space="preserve">Not Required. </w:t>
            </w:r>
            <w:r w:rsidRPr="005D4222">
              <w:rPr>
                <w:rFonts w:ascii="Arial" w:hAnsi="Arial" w:cs="Arial"/>
                <w:sz w:val="20"/>
                <w:szCs w:val="20"/>
              </w:rPr>
              <w:t>The organization was not required to report the measure.</w:t>
            </w:r>
          </w:p>
          <w:p w14:paraId="4E4BBAE7" w14:textId="77777777" w:rsidR="00834FBA" w:rsidRPr="005D4222" w:rsidRDefault="00834FBA" w:rsidP="00C44F63">
            <w:pPr>
              <w:pStyle w:val="TableText"/>
              <w:spacing w:line="240" w:lineRule="auto"/>
              <w:rPr>
                <w:rFonts w:ascii="Arial" w:hAnsi="Arial" w:cs="Arial"/>
                <w:sz w:val="20"/>
                <w:szCs w:val="20"/>
              </w:rPr>
            </w:pPr>
            <w:r w:rsidRPr="005D4222">
              <w:rPr>
                <w:rFonts w:ascii="Arial" w:hAnsi="Arial" w:cs="Arial"/>
                <w:sz w:val="20"/>
                <w:szCs w:val="20"/>
              </w:rPr>
              <w:t>NQ is not an option for required Medicare, Exchange or Accreditation measures.</w:t>
            </w:r>
          </w:p>
        </w:tc>
      </w:tr>
      <w:tr w:rsidR="00834FBA" w:rsidRPr="005D4222" w14:paraId="7F107D41" w14:textId="77777777" w:rsidTr="009F6641">
        <w:tc>
          <w:tcPr>
            <w:tcW w:w="1" w:type="pct"/>
            <w:shd w:val="clear" w:color="auto" w:fill="FFFFFF" w:themeFill="background1"/>
          </w:tcPr>
          <w:p w14:paraId="318DE9FB" w14:textId="77777777" w:rsidR="00834FBA" w:rsidRPr="005D4222" w:rsidRDefault="00834FBA" w:rsidP="00C44F63">
            <w:pPr>
              <w:pStyle w:val="TableText"/>
              <w:spacing w:line="240" w:lineRule="auto"/>
              <w:ind w:left="288"/>
              <w:rPr>
                <w:rFonts w:ascii="Arial" w:hAnsi="Arial" w:cs="Arial"/>
                <w:b/>
                <w:iCs/>
                <w:sz w:val="20"/>
                <w:szCs w:val="20"/>
              </w:rPr>
            </w:pPr>
            <w:r w:rsidRPr="005D4222">
              <w:rPr>
                <w:rFonts w:ascii="Arial" w:hAnsi="Arial" w:cs="Arial"/>
                <w:b/>
                <w:iCs/>
                <w:sz w:val="20"/>
                <w:szCs w:val="20"/>
              </w:rPr>
              <w:t>BR</w:t>
            </w:r>
          </w:p>
        </w:tc>
        <w:tc>
          <w:tcPr>
            <w:tcW w:w="4352" w:type="pct"/>
            <w:shd w:val="clear" w:color="auto" w:fill="FFFFFF" w:themeFill="background1"/>
          </w:tcPr>
          <w:p w14:paraId="2C561FD8" w14:textId="77777777" w:rsidR="00834FBA" w:rsidRPr="005D4222" w:rsidRDefault="00834FBA" w:rsidP="00C44F63">
            <w:pPr>
              <w:pStyle w:val="TableText"/>
              <w:spacing w:line="240" w:lineRule="auto"/>
              <w:rPr>
                <w:rFonts w:ascii="Arial" w:hAnsi="Arial" w:cs="Arial"/>
                <w:sz w:val="20"/>
                <w:szCs w:val="20"/>
              </w:rPr>
            </w:pPr>
            <w:r w:rsidRPr="005D4222">
              <w:rPr>
                <w:rFonts w:ascii="Arial" w:hAnsi="Arial" w:cs="Arial"/>
                <w:i/>
                <w:sz w:val="20"/>
                <w:szCs w:val="20"/>
              </w:rPr>
              <w:t xml:space="preserve">Biased Rate. </w:t>
            </w:r>
            <w:r w:rsidRPr="005D4222">
              <w:rPr>
                <w:rFonts w:ascii="Arial" w:hAnsi="Arial" w:cs="Arial"/>
                <w:sz w:val="20"/>
                <w:szCs w:val="20"/>
              </w:rPr>
              <w:t>The calculated rate was materially biased.</w:t>
            </w:r>
          </w:p>
        </w:tc>
      </w:tr>
      <w:tr w:rsidR="00834FBA" w:rsidRPr="005D4222" w14:paraId="5DB2816A" w14:textId="77777777" w:rsidTr="009F6641">
        <w:tc>
          <w:tcPr>
            <w:tcW w:w="1" w:type="pct"/>
            <w:shd w:val="clear" w:color="auto" w:fill="FFFFFF" w:themeFill="background1"/>
          </w:tcPr>
          <w:p w14:paraId="36A21402" w14:textId="77777777" w:rsidR="00834FBA" w:rsidRPr="005D4222" w:rsidRDefault="00834FBA" w:rsidP="00C44F63">
            <w:pPr>
              <w:pStyle w:val="TableText"/>
              <w:spacing w:line="240" w:lineRule="auto"/>
              <w:ind w:left="288"/>
              <w:rPr>
                <w:rFonts w:ascii="Arial" w:hAnsi="Arial" w:cs="Arial"/>
                <w:b/>
                <w:iCs/>
                <w:sz w:val="20"/>
                <w:szCs w:val="20"/>
              </w:rPr>
            </w:pPr>
            <w:r w:rsidRPr="005D4222">
              <w:rPr>
                <w:rFonts w:ascii="Arial" w:hAnsi="Arial" w:cs="Arial"/>
                <w:b/>
                <w:iCs/>
                <w:sz w:val="20"/>
                <w:szCs w:val="20"/>
              </w:rPr>
              <w:t>UN</w:t>
            </w:r>
          </w:p>
        </w:tc>
        <w:tc>
          <w:tcPr>
            <w:tcW w:w="4352" w:type="pct"/>
            <w:shd w:val="clear" w:color="auto" w:fill="FFFFFF" w:themeFill="background1"/>
          </w:tcPr>
          <w:p w14:paraId="02E67210" w14:textId="77777777" w:rsidR="00834FBA" w:rsidRPr="005D4222" w:rsidRDefault="00834FBA" w:rsidP="00C44F63">
            <w:pPr>
              <w:pStyle w:val="TableText"/>
              <w:spacing w:line="240" w:lineRule="auto"/>
              <w:rPr>
                <w:rFonts w:ascii="Arial" w:hAnsi="Arial" w:cs="Arial"/>
                <w:sz w:val="20"/>
                <w:szCs w:val="20"/>
              </w:rPr>
            </w:pPr>
            <w:r w:rsidRPr="005D4222">
              <w:rPr>
                <w:rFonts w:ascii="Arial" w:hAnsi="Arial" w:cs="Arial"/>
                <w:i/>
                <w:iCs/>
                <w:sz w:val="20"/>
                <w:szCs w:val="20"/>
              </w:rPr>
              <w:t xml:space="preserve">Unaudited. </w:t>
            </w:r>
            <w:r w:rsidRPr="005D4222">
              <w:rPr>
                <w:rFonts w:ascii="Arial" w:hAnsi="Arial" w:cs="Arial"/>
                <w:sz w:val="20"/>
                <w:szCs w:val="20"/>
              </w:rPr>
              <w:t xml:space="preserve">The organization chose to report a measure that is not required to be audited. This result only applies when permitted by NCQA. </w:t>
            </w:r>
          </w:p>
        </w:tc>
      </w:tr>
    </w:tbl>
    <w:p w14:paraId="241BA2CB" w14:textId="77777777" w:rsidR="00834FBA" w:rsidRPr="005D4222" w:rsidRDefault="00834FBA" w:rsidP="00834FBA"/>
    <w:tbl>
      <w:tblPr>
        <w:tblW w:w="5000" w:type="pct"/>
        <w:tblInd w:w="-8" w:type="dxa"/>
        <w:tblLook w:val="01E0" w:firstRow="1" w:lastRow="1" w:firstColumn="1" w:lastColumn="1" w:noHBand="0" w:noVBand="0"/>
      </w:tblPr>
      <w:tblGrid>
        <w:gridCol w:w="2144"/>
        <w:gridCol w:w="7576"/>
      </w:tblGrid>
      <w:tr w:rsidR="00834FBA" w:rsidRPr="005D4222" w14:paraId="08E03853" w14:textId="77777777" w:rsidTr="009F6641">
        <w:tc>
          <w:tcPr>
            <w:tcW w:w="1103" w:type="pct"/>
          </w:tcPr>
          <w:p w14:paraId="534103B6" w14:textId="77777777" w:rsidR="00834FBA" w:rsidRPr="005D4222" w:rsidRDefault="00834FBA" w:rsidP="009F6641">
            <w:pPr>
              <w:pStyle w:val="MarginSubhead"/>
              <w:widowControl w:val="0"/>
              <w:spacing w:before="0"/>
            </w:pPr>
            <w:r w:rsidRPr="005D4222">
              <w:t>Material bias</w:t>
            </w:r>
          </w:p>
        </w:tc>
        <w:tc>
          <w:tcPr>
            <w:tcW w:w="3897" w:type="pct"/>
          </w:tcPr>
          <w:p w14:paraId="00383F47" w14:textId="77777777" w:rsidR="00834FBA" w:rsidRPr="005D4222" w:rsidRDefault="00834FBA" w:rsidP="009F6641">
            <w:pPr>
              <w:pStyle w:val="Body"/>
              <w:widowControl w:val="0"/>
              <w:spacing w:before="0"/>
            </w:pPr>
            <w:r w:rsidRPr="005D4222">
              <w:t xml:space="preserve">Bias differs by measure and domain and is determined by the degree of data completeness for the data collection method used. Organizations may not report a rate for a measure that the auditor determines is biased. Auditors use a standardized set of bias assessments found in the Bias Determination appendix in </w:t>
            </w:r>
            <w:r w:rsidRPr="005D4222">
              <w:rPr>
                <w:i/>
              </w:rPr>
              <w:t>Volume 5,</w:t>
            </w:r>
            <w:r w:rsidRPr="005D4222">
              <w:t xml:space="preserve"> </w:t>
            </w:r>
            <w:r w:rsidRPr="005D4222">
              <w:rPr>
                <w:i/>
              </w:rPr>
              <w:t>HEDIS Compliance Audit: Standards, Policies and Procedures</w:t>
            </w:r>
            <w:r w:rsidRPr="005D4222">
              <w:t>.</w:t>
            </w:r>
          </w:p>
        </w:tc>
      </w:tr>
    </w:tbl>
    <w:p w14:paraId="1CDD7E1B" w14:textId="6D177A3C" w:rsidR="00834FBA" w:rsidRPr="005D4222" w:rsidRDefault="00834FBA" w:rsidP="00834FBA">
      <w:pPr>
        <w:pStyle w:val="SubHeadNoTOC"/>
      </w:pPr>
      <w:bookmarkStart w:id="91" w:name="_Toc400546036"/>
      <w:r w:rsidRPr="005D4222">
        <w:rPr>
          <w:i/>
          <w:iCs w:val="0"/>
        </w:rPr>
        <w:t xml:space="preserve">General Guideline: </w:t>
      </w:r>
      <w:r w:rsidRPr="005D4222">
        <w:t>Marketing</w:t>
      </w:r>
      <w:bookmarkEnd w:id="91"/>
    </w:p>
    <w:p w14:paraId="783B8B44" w14:textId="77777777" w:rsidR="00834FBA" w:rsidRPr="005D4222" w:rsidRDefault="00834FBA" w:rsidP="00834FBA">
      <w:pPr>
        <w:pStyle w:val="Body"/>
        <w:widowControl w:val="0"/>
      </w:pPr>
      <w:r w:rsidRPr="005D4222">
        <w:t xml:space="preserve">Release of HEDIS Audit results must be in accordance with NCQA’s </w:t>
      </w:r>
      <w:r w:rsidRPr="005D4222">
        <w:rPr>
          <w:i/>
          <w:iCs/>
        </w:rPr>
        <w:t xml:space="preserve">Guidelines for Advertising and Marketing, </w:t>
      </w:r>
      <w:r w:rsidRPr="005D4222">
        <w:t xml:space="preserve">posted on the </w:t>
      </w:r>
      <w:hyperlink r:id="rId60" w:history="1">
        <w:r w:rsidRPr="005D4222">
          <w:rPr>
            <w:rStyle w:val="Hyperlink"/>
          </w:rPr>
          <w:t>NCQA website</w:t>
        </w:r>
      </w:hyperlink>
      <w:r w:rsidRPr="005D4222">
        <w:t>. Organizations may release the entire Final Audit Report without prior authorization from NCQA, but must obtain written authorization from NCQA before releasing abridged, summarized or quoted information from the Final Audit Report.</w:t>
      </w:r>
    </w:p>
    <w:p w14:paraId="1F5AACE0" w14:textId="77777777" w:rsidR="00834FBA" w:rsidRPr="005D4222" w:rsidRDefault="00834FBA" w:rsidP="00834FBA">
      <w:pPr>
        <w:pStyle w:val="Body"/>
      </w:pPr>
      <w:r w:rsidRPr="005D4222">
        <w:t>Organizations that refer to the HEDIS Audit or any HEDIS data audited by a Certified HEDIS Compliance Auditor must adhere to the Guidelines.</w:t>
      </w:r>
    </w:p>
    <w:p w14:paraId="74A6BE4D" w14:textId="3B0D4369" w:rsidR="00834FBA" w:rsidRPr="005D4222" w:rsidRDefault="00834FBA" w:rsidP="00BE08C8">
      <w:pPr>
        <w:pStyle w:val="StdHead"/>
      </w:pPr>
      <w:bookmarkStart w:id="92" w:name="_Toc400546043"/>
      <w:bookmarkStart w:id="93" w:name="WhichReport"/>
      <w:bookmarkStart w:id="94" w:name="_Toc74747853"/>
      <w:bookmarkStart w:id="95" w:name="_Toc171402941"/>
      <w:bookmarkStart w:id="96" w:name="_Toc201813361"/>
      <w:bookmarkEnd w:id="84"/>
      <w:r w:rsidRPr="005D4222">
        <w:t>In Which Reports Do HEDIS Members Remain?</w:t>
      </w:r>
      <w:bookmarkEnd w:id="92"/>
      <w:bookmarkEnd w:id="93"/>
      <w:bookmarkEnd w:id="94"/>
      <w:bookmarkEnd w:id="95"/>
      <w:bookmarkEnd w:id="96"/>
    </w:p>
    <w:p w14:paraId="3BDF8144" w14:textId="77777777" w:rsidR="00834FBA" w:rsidRPr="005D4222" w:rsidRDefault="00834FBA" w:rsidP="00834FBA">
      <w:pPr>
        <w:pStyle w:val="SubHeadNoTOC"/>
      </w:pPr>
      <w:bookmarkStart w:id="97" w:name="_Toc400546045"/>
      <w:r w:rsidRPr="005D4222">
        <w:rPr>
          <w:bCs/>
          <w:i/>
          <w:iCs w:val="0"/>
        </w:rPr>
        <w:t>General Guideline:</w:t>
      </w:r>
      <w:r w:rsidRPr="005D4222">
        <w:t xml:space="preserve"> Commercial Members</w:t>
      </w:r>
      <w:bookmarkEnd w:id="97"/>
    </w:p>
    <w:p w14:paraId="086ED9C2" w14:textId="77777777" w:rsidR="00834FBA" w:rsidRPr="005D4222" w:rsidRDefault="00834FBA" w:rsidP="00834FBA">
      <w:pPr>
        <w:pStyle w:val="Body"/>
        <w:widowControl w:val="0"/>
      </w:pPr>
      <w:r w:rsidRPr="005D4222">
        <w:t xml:space="preserve">Include members enrolled through an employer group policy or through an individual or family policy in the commercial HEDIS report. Per </w:t>
      </w:r>
      <w:r w:rsidRPr="005D4222">
        <w:rPr>
          <w:i/>
        </w:rPr>
        <w:t>General Guideline</w:t>
      </w:r>
      <w:r w:rsidRPr="005D4222">
        <w:rPr>
          <w:i/>
          <w:iCs/>
        </w:rPr>
        <w:t>:</w:t>
      </w:r>
      <w:r w:rsidRPr="005D4222">
        <w:t xml:space="preserve"> </w:t>
      </w:r>
      <w:r w:rsidRPr="005D4222">
        <w:rPr>
          <w:i/>
          <w:iCs/>
        </w:rPr>
        <w:t>Reporting HEDIS for CHIP,</w:t>
      </w:r>
      <w:r w:rsidRPr="005D4222">
        <w:t xml:space="preserve"> organizations must exclude CHIP members from their commercial product-line reports because including CHIP members in HEDIS reports for commercially enrolled populations may affect organization-to-organization comparison.</w:t>
      </w:r>
    </w:p>
    <w:p w14:paraId="1FA4A8F7" w14:textId="77777777" w:rsidR="00834FBA" w:rsidRPr="005D4222" w:rsidRDefault="00834FBA" w:rsidP="00834FBA">
      <w:pPr>
        <w:pStyle w:val="SubHeadNoTOC"/>
      </w:pPr>
      <w:r w:rsidRPr="005D4222">
        <w:rPr>
          <w:bCs/>
          <w:i/>
        </w:rPr>
        <w:t>General Guideline:</w:t>
      </w:r>
      <w:r w:rsidRPr="005D4222">
        <w:rPr>
          <w:i/>
        </w:rPr>
        <w:t xml:space="preserve"> </w:t>
      </w:r>
      <w:bookmarkStart w:id="98" w:name="MembersWithDualEnrollment"/>
      <w:r w:rsidRPr="005D4222">
        <w:t>Members With Dual Enrollment</w:t>
      </w:r>
      <w:bookmarkEnd w:id="98"/>
    </w:p>
    <w:p w14:paraId="0AF2DC22" w14:textId="77777777" w:rsidR="00834FBA" w:rsidRPr="005D4222" w:rsidRDefault="00834FBA" w:rsidP="00834FBA">
      <w:pPr>
        <w:pStyle w:val="Body"/>
      </w:pPr>
      <w:r w:rsidRPr="005D4222">
        <w:t xml:space="preserve">Dual enrollment is assessed using the continuous enrollment criteria in each measure. To meet criteria for dual enrollment, members must have dual enrollment at the end of the continuous enrollment period. Per </w:t>
      </w:r>
      <w:r w:rsidRPr="005D4222">
        <w:rPr>
          <w:i/>
        </w:rPr>
        <w:t>General Guideline</w:t>
      </w:r>
      <w:r w:rsidRPr="005D4222">
        <w:rPr>
          <w:i/>
          <w:iCs/>
        </w:rPr>
        <w:t>:</w:t>
      </w:r>
      <w:r w:rsidRPr="005D4222">
        <w:t xml:space="preserve"> </w:t>
      </w:r>
      <w:r w:rsidRPr="005D4222">
        <w:rPr>
          <w:i/>
          <w:iCs/>
        </w:rPr>
        <w:t>Members Who Switch Products/Product Lines,</w:t>
      </w:r>
      <w:r w:rsidRPr="005D4222">
        <w:t xml:space="preserve"> if a measure allows a gap at the end of the continuous enrollment period, members must have dual enrollment as of the last enrollment segment. For measures without a continuous enrollment requirement, members must have dual enrollment on the date of service or the date of discharge. </w:t>
      </w:r>
    </w:p>
    <w:p w14:paraId="21F3B402" w14:textId="77777777" w:rsidR="00834FBA" w:rsidRPr="005D4222" w:rsidRDefault="00834FBA" w:rsidP="00834FBA">
      <w:pPr>
        <w:pStyle w:val="Body"/>
      </w:pPr>
      <w:r w:rsidRPr="005D4222">
        <w:t>Medicare members who have only Part D coverage do not qualify for dual enrollment.</w:t>
      </w:r>
    </w:p>
    <w:p w14:paraId="1D4D7849" w14:textId="77777777" w:rsidR="00834FBA" w:rsidRPr="005D4222" w:rsidRDefault="00834FBA" w:rsidP="00834FBA">
      <w:pPr>
        <w:pStyle w:val="Note"/>
      </w:pPr>
      <w:r w:rsidRPr="005D4222">
        <w:lastRenderedPageBreak/>
        <w:t>This guideline must be applied to the following enrollment situations; all decisions based on the guideline must be used consistently across all measures.</w:t>
      </w:r>
    </w:p>
    <w:tbl>
      <w:tblPr>
        <w:tblStyle w:val="TableGrid"/>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7200"/>
      </w:tblGrid>
      <w:tr w:rsidR="00834FBA" w:rsidRPr="005D4222" w14:paraId="20B5800B" w14:textId="77777777" w:rsidTr="009F6641">
        <w:tc>
          <w:tcPr>
            <w:tcW w:w="2520" w:type="dxa"/>
          </w:tcPr>
          <w:p w14:paraId="400C4DE7" w14:textId="77777777" w:rsidR="00834FBA" w:rsidRPr="005D4222" w:rsidRDefault="00834FBA" w:rsidP="009F6641">
            <w:pPr>
              <w:pStyle w:val="MarginSubhead"/>
            </w:pPr>
            <w:r w:rsidRPr="005D4222">
              <w:t>Dual commercial/ Medicaid enrollment</w:t>
            </w:r>
          </w:p>
        </w:tc>
        <w:tc>
          <w:tcPr>
            <w:tcW w:w="7200" w:type="dxa"/>
          </w:tcPr>
          <w:p w14:paraId="33157867" w14:textId="77777777" w:rsidR="00834FBA" w:rsidRPr="005D4222" w:rsidRDefault="00834FBA" w:rsidP="009F6641">
            <w:pPr>
              <w:pStyle w:val="Body"/>
              <w:rPr>
                <w:b/>
              </w:rPr>
            </w:pPr>
            <w:r w:rsidRPr="005D4222">
              <w:t xml:space="preserve">Members with dual commercial and Medicaid enrollment must be reported in the commercial HEDIS reports. These members may be excluded from the Medicaid HEDIS reports. </w:t>
            </w:r>
          </w:p>
          <w:p w14:paraId="59B8C6F5" w14:textId="77777777" w:rsidR="00834FBA" w:rsidRPr="005D4222" w:rsidRDefault="00834FBA" w:rsidP="009F6641">
            <w:pPr>
              <w:pStyle w:val="Body"/>
              <w:rPr>
                <w:b/>
                <w:szCs w:val="23"/>
              </w:rPr>
            </w:pPr>
            <w:r w:rsidRPr="005D4222">
              <w:rPr>
                <w:iCs/>
                <w:szCs w:val="23"/>
              </w:rPr>
              <w:t>For Plan All-Cause Readmissions and Acute Hospital Utilization, remove these members from Medicaid reporting and only include them in commercial reporting.</w:t>
            </w:r>
          </w:p>
        </w:tc>
      </w:tr>
      <w:tr w:rsidR="00834FBA" w:rsidRPr="005D4222" w14:paraId="259E7924" w14:textId="77777777" w:rsidTr="009F6641">
        <w:tc>
          <w:tcPr>
            <w:tcW w:w="2520" w:type="dxa"/>
          </w:tcPr>
          <w:p w14:paraId="6DFDF412" w14:textId="77777777" w:rsidR="00834FBA" w:rsidRPr="005D4222" w:rsidRDefault="00834FBA" w:rsidP="009F6641">
            <w:pPr>
              <w:pStyle w:val="MarginSubhead"/>
            </w:pPr>
            <w:r w:rsidRPr="005D4222">
              <w:t xml:space="preserve">Dual Medicaid enrollment </w:t>
            </w:r>
          </w:p>
        </w:tc>
        <w:tc>
          <w:tcPr>
            <w:tcW w:w="7200" w:type="dxa"/>
          </w:tcPr>
          <w:p w14:paraId="42893AB8" w14:textId="77777777" w:rsidR="00834FBA" w:rsidRPr="005D4222" w:rsidRDefault="00834FBA" w:rsidP="009F6641">
            <w:pPr>
              <w:pStyle w:val="Body"/>
            </w:pPr>
            <w:r w:rsidRPr="005D4222">
              <w:t xml:space="preserve">Members </w:t>
            </w:r>
            <w:r w:rsidRPr="005D4222" w:rsidDel="006601E3">
              <w:t xml:space="preserve">dually </w:t>
            </w:r>
            <w:r w:rsidRPr="005D4222">
              <w:t>enrolled in two Medicaid plans must be reported in the primary Medicaid HEDIS report. The secondary Medicaid payer may exclude a member whose primary Medicaid enrollment was offered through a different organization.</w:t>
            </w:r>
          </w:p>
        </w:tc>
      </w:tr>
      <w:tr w:rsidR="00834FBA" w:rsidRPr="005D4222" w14:paraId="0B9936DC" w14:textId="77777777" w:rsidTr="009F6641">
        <w:tc>
          <w:tcPr>
            <w:tcW w:w="2520" w:type="dxa"/>
          </w:tcPr>
          <w:p w14:paraId="4B9A1AD1" w14:textId="77777777" w:rsidR="00834FBA" w:rsidRPr="005D4222" w:rsidRDefault="00834FBA" w:rsidP="004D5A83">
            <w:pPr>
              <w:pStyle w:val="MarginSubhead"/>
            </w:pPr>
            <w:r w:rsidRPr="005D4222">
              <w:t>Dual commercial enrollment</w:t>
            </w:r>
          </w:p>
        </w:tc>
        <w:tc>
          <w:tcPr>
            <w:tcW w:w="7200" w:type="dxa"/>
          </w:tcPr>
          <w:p w14:paraId="72039B5D" w14:textId="77777777" w:rsidR="00834FBA" w:rsidRPr="005D4222" w:rsidRDefault="00834FBA" w:rsidP="004D5A83">
            <w:pPr>
              <w:pStyle w:val="Body"/>
            </w:pPr>
            <w:r w:rsidRPr="005D4222">
              <w:rPr>
                <w:b/>
              </w:rPr>
              <w:t>Enrollment in different organizations:</w:t>
            </w:r>
            <w:r w:rsidRPr="005D4222">
              <w:t xml:space="preserve"> Do not account for coordination of benefits with other insurance carriers. If members have commercial enrollment in two organizations, both organizations must include the members in their HEDIS reports, regardless of the primary insurer. For example, dependent children who are enrolled in one organization’s commercial product line under the mother’s insurance, and in another organization’s commercial product line under the father’s insurance, are included in both HEDIS reports.</w:t>
            </w:r>
          </w:p>
          <w:p w14:paraId="0F6C3E04" w14:textId="77777777" w:rsidR="00834FBA" w:rsidRPr="005D4222" w:rsidRDefault="00834FBA" w:rsidP="009F6641">
            <w:pPr>
              <w:pStyle w:val="Body"/>
            </w:pPr>
            <w:r w:rsidRPr="005D4222">
              <w:rPr>
                <w:b/>
              </w:rPr>
              <w:t xml:space="preserve">Enrollment in the same organization: </w:t>
            </w:r>
            <w:r w:rsidRPr="005D4222">
              <w:t>Adhere to the following criteria for members with dual enrollment (e.g., children enrolled under each parent):</w:t>
            </w:r>
          </w:p>
          <w:p w14:paraId="4693E36A" w14:textId="77777777" w:rsidR="00834FBA" w:rsidRPr="005D4222" w:rsidRDefault="00834FBA" w:rsidP="00834FBA">
            <w:pPr>
              <w:pStyle w:val="Bullet"/>
              <w:widowControl w:val="0"/>
            </w:pPr>
            <w:r w:rsidRPr="005D4222">
              <w:rPr>
                <w:i/>
                <w:iCs/>
              </w:rPr>
              <w:t>If members are enrolled twice in the same product and there is only one HEDIS submission,</w:t>
            </w:r>
            <w:r w:rsidRPr="005D4222">
              <w:t xml:space="preserve"> include them only once in the submission.</w:t>
            </w:r>
          </w:p>
          <w:p w14:paraId="328829AF" w14:textId="77777777" w:rsidR="00834FBA" w:rsidRPr="005D4222" w:rsidRDefault="00834FBA" w:rsidP="00834FBA">
            <w:pPr>
              <w:pStyle w:val="Bullet"/>
              <w:widowControl w:val="0"/>
            </w:pPr>
            <w:r w:rsidRPr="005D4222">
              <w:rPr>
                <w:i/>
                <w:iCs/>
              </w:rPr>
              <w:t>If products are reported separately,</w:t>
            </w:r>
            <w:r w:rsidRPr="005D4222">
              <w:t xml:space="preserve"> include members with dual enrollment in both products in both HEDIS submissions. </w:t>
            </w:r>
          </w:p>
          <w:p w14:paraId="2CB3DFB0" w14:textId="77777777" w:rsidR="00834FBA" w:rsidRPr="005D4222" w:rsidRDefault="00834FBA" w:rsidP="00834FBA">
            <w:pPr>
              <w:pStyle w:val="Bullet"/>
              <w:widowControl w:val="0"/>
            </w:pPr>
            <w:r w:rsidRPr="005D4222">
              <w:rPr>
                <w:i/>
                <w:iCs/>
              </w:rPr>
              <w:t>If the different product types are reported combined,</w:t>
            </w:r>
            <w:r w:rsidRPr="005D4222">
              <w:t xml:space="preserve"> include members once in the combined submission.</w:t>
            </w:r>
          </w:p>
        </w:tc>
      </w:tr>
      <w:tr w:rsidR="00834FBA" w:rsidRPr="005D4222" w14:paraId="2F1F2378" w14:textId="77777777" w:rsidTr="009F6641">
        <w:tc>
          <w:tcPr>
            <w:tcW w:w="2520" w:type="dxa"/>
          </w:tcPr>
          <w:p w14:paraId="0FDA5A2F" w14:textId="77777777" w:rsidR="00834FBA" w:rsidRPr="005D4222" w:rsidRDefault="00834FBA" w:rsidP="009F6641">
            <w:pPr>
              <w:pStyle w:val="MarginSubhead"/>
            </w:pPr>
            <w:r w:rsidRPr="005D4222">
              <w:t>Dual commercial/ Medicare enrollment</w:t>
            </w:r>
          </w:p>
        </w:tc>
        <w:tc>
          <w:tcPr>
            <w:tcW w:w="7200" w:type="dxa"/>
          </w:tcPr>
          <w:p w14:paraId="46C282C2" w14:textId="77777777" w:rsidR="00834FBA" w:rsidRPr="005D4222" w:rsidRDefault="00834FBA" w:rsidP="009F6641">
            <w:pPr>
              <w:pStyle w:val="Body"/>
              <w:widowControl w:val="0"/>
            </w:pPr>
            <w:r w:rsidRPr="005D4222" w:rsidDel="00891A8B">
              <w:t>M</w:t>
            </w:r>
            <w:r w:rsidRPr="005D4222">
              <w:t xml:space="preserve">embers with dual commercial and Medicare enrollment </w:t>
            </w:r>
            <w:r w:rsidRPr="005D4222" w:rsidDel="00891A8B">
              <w:t xml:space="preserve">must be included </w:t>
            </w:r>
            <w:r w:rsidRPr="005D4222">
              <w:t xml:space="preserve">only in the product line that provides their primary enrollment (commercial or Medicare). </w:t>
            </w:r>
          </w:p>
        </w:tc>
      </w:tr>
      <w:tr w:rsidR="00834FBA" w:rsidRPr="005D4222" w14:paraId="3A35FBA0" w14:textId="77777777" w:rsidTr="009F6641">
        <w:trPr>
          <w:trHeight w:val="2775"/>
        </w:trPr>
        <w:tc>
          <w:tcPr>
            <w:tcW w:w="2520" w:type="dxa"/>
          </w:tcPr>
          <w:p w14:paraId="58A08803" w14:textId="70865646" w:rsidR="00834FBA" w:rsidRPr="005D4222" w:rsidRDefault="00834FBA" w:rsidP="009F6641">
            <w:pPr>
              <w:pStyle w:val="MarginSubhead"/>
            </w:pPr>
            <w:r w:rsidRPr="005D4222">
              <w:t>Dual Medicaid/ Medicare enrollment “dual eligible”</w:t>
            </w:r>
          </w:p>
        </w:tc>
        <w:tc>
          <w:tcPr>
            <w:tcW w:w="7200" w:type="dxa"/>
          </w:tcPr>
          <w:p w14:paraId="218EB7A1" w14:textId="77777777" w:rsidR="00834FBA" w:rsidRPr="005D4222" w:rsidRDefault="00834FBA" w:rsidP="009F6641">
            <w:pPr>
              <w:pStyle w:val="Body"/>
            </w:pPr>
            <w:r w:rsidRPr="005D4222">
              <w:t xml:space="preserve">Include these members in </w:t>
            </w:r>
            <w:r w:rsidRPr="005D4222">
              <w:rPr>
                <w:i/>
              </w:rPr>
              <w:t>both</w:t>
            </w:r>
            <w:r w:rsidRPr="005D4222">
              <w:t xml:space="preserve"> the Medicaid and Medicare HEDIS reports </w:t>
            </w:r>
            <w:r w:rsidRPr="005D4222">
              <w:rPr>
                <w:i/>
              </w:rPr>
              <w:t>only</w:t>
            </w:r>
            <w:r w:rsidRPr="005D4222">
              <w:t xml:space="preserve"> if they are enrolled in the organization’s Medicare contract required to report HEDIS </w:t>
            </w:r>
            <w:r w:rsidRPr="005D4222">
              <w:rPr>
                <w:i/>
              </w:rPr>
              <w:t>and</w:t>
            </w:r>
            <w:r w:rsidRPr="005D4222">
              <w:t xml:space="preserve"> in the organization’s Medicaid managed-care contract. An organization with a Dual-Eligible SNP benefit package must also include these members in its SNP submission.</w:t>
            </w:r>
          </w:p>
          <w:p w14:paraId="7B275B79" w14:textId="77777777" w:rsidR="00834FBA" w:rsidRPr="005D4222" w:rsidRDefault="00834FBA" w:rsidP="009F6641">
            <w:pPr>
              <w:pStyle w:val="Body"/>
              <w:rPr>
                <w:b/>
                <w:bCs/>
              </w:rPr>
            </w:pPr>
            <w:r w:rsidRPr="005D4222">
              <w:t xml:space="preserve">For Plan All-Cause Readmission and Acute Hospital Utilization, remove these members from Medicaid reporting and only include them in Medicare reporting. </w:t>
            </w:r>
          </w:p>
          <w:p w14:paraId="2FED35CE" w14:textId="77777777" w:rsidR="00834FBA" w:rsidRPr="005D4222" w:rsidRDefault="00834FBA" w:rsidP="009F6641">
            <w:pPr>
              <w:pStyle w:val="Body"/>
              <w:rPr>
                <w:b/>
              </w:rPr>
            </w:pPr>
            <w:r w:rsidRPr="005D4222">
              <w:t xml:space="preserve">Members who have Medicare </w:t>
            </w:r>
            <w:r w:rsidRPr="005D4222" w:rsidDel="00727C00">
              <w:t>Private Fee-for-Service (</w:t>
            </w:r>
            <w:r w:rsidRPr="005D4222">
              <w:t>PFFS</w:t>
            </w:r>
            <w:r w:rsidRPr="005D4222" w:rsidDel="00727C00">
              <w:t>)</w:t>
            </w:r>
            <w:r w:rsidRPr="005D4222">
              <w:t xml:space="preserve"> through another organization or have unknown Medicare coverage as their primary insurer may be excluded from the Medicaid report.</w:t>
            </w:r>
          </w:p>
        </w:tc>
      </w:tr>
    </w:tbl>
    <w:p w14:paraId="69C4309F" w14:textId="77777777" w:rsidR="004D5C07" w:rsidRDefault="004D5C07">
      <w:pPr>
        <w:rPr>
          <w:b/>
          <w:bCs/>
          <w:i/>
          <w:iCs/>
          <w:sz w:val="22"/>
        </w:rPr>
      </w:pPr>
      <w:bookmarkStart w:id="99" w:name="GG_Reporting_ASO_SelfInsured"/>
      <w:bookmarkStart w:id="100" w:name="_Toc400546051"/>
      <w:r>
        <w:rPr>
          <w:bCs/>
          <w:i/>
        </w:rPr>
        <w:br w:type="page"/>
      </w:r>
    </w:p>
    <w:p w14:paraId="5FA7F1BB" w14:textId="579E2A28" w:rsidR="00834FBA" w:rsidRPr="005D4222" w:rsidRDefault="00834FBA" w:rsidP="00834FBA">
      <w:pPr>
        <w:pStyle w:val="SubHeadNoTOC"/>
      </w:pPr>
      <w:r w:rsidRPr="005D4222">
        <w:rPr>
          <w:bCs/>
          <w:i/>
        </w:rPr>
        <w:lastRenderedPageBreak/>
        <w:t>General Guideline:</w:t>
      </w:r>
      <w:r w:rsidRPr="005D4222">
        <w:t xml:space="preserve"> </w:t>
      </w:r>
      <w:bookmarkStart w:id="101" w:name="ReportingASO"/>
      <w:r w:rsidRPr="005D4222">
        <w:t>Reporting ASO and Self-Insured Members</w:t>
      </w:r>
      <w:bookmarkEnd w:id="99"/>
      <w:bookmarkEnd w:id="101"/>
    </w:p>
    <w:tbl>
      <w:tblPr>
        <w:tblW w:w="9720" w:type="dxa"/>
        <w:tblLayout w:type="fixed"/>
        <w:tblLook w:val="0000" w:firstRow="0" w:lastRow="0" w:firstColumn="0" w:lastColumn="0" w:noHBand="0" w:noVBand="0"/>
      </w:tblPr>
      <w:tblGrid>
        <w:gridCol w:w="2520"/>
        <w:gridCol w:w="7200"/>
      </w:tblGrid>
      <w:tr w:rsidR="00834FBA" w:rsidRPr="005D4222" w14:paraId="4C39BA95" w14:textId="77777777" w:rsidTr="0077401E">
        <w:tc>
          <w:tcPr>
            <w:tcW w:w="2520" w:type="dxa"/>
          </w:tcPr>
          <w:p w14:paraId="48F17E28" w14:textId="2C031EF3" w:rsidR="00834FBA" w:rsidRPr="005D4222" w:rsidRDefault="00834FBA" w:rsidP="009F6641">
            <w:pPr>
              <w:pStyle w:val="MarginSubhead"/>
              <w:widowControl w:val="0"/>
            </w:pPr>
            <w:r w:rsidRPr="005D4222">
              <w:t>Administrative services only (ASO) and self-insured members</w:t>
            </w:r>
          </w:p>
        </w:tc>
        <w:tc>
          <w:tcPr>
            <w:tcW w:w="7200" w:type="dxa"/>
          </w:tcPr>
          <w:p w14:paraId="73819B98" w14:textId="598B8830" w:rsidR="00834FBA" w:rsidRPr="005D4222" w:rsidRDefault="00834FBA" w:rsidP="009F6641">
            <w:pPr>
              <w:pStyle w:val="Body"/>
            </w:pPr>
            <w:bookmarkStart w:id="102" w:name="_Hlk505253935"/>
            <w:r w:rsidRPr="005D4222">
              <w:t>Include ASO and self-insured members in HEDIS/CAHPS reports. Organizations may use different terms for these members, including, but not limited to “no-touch,” “self-funded” or “third party administrator</w:t>
            </w:r>
            <w:r w:rsidRPr="005D4222" w:rsidDel="00D72B75">
              <w:t xml:space="preserve"> (TPA)</w:t>
            </w:r>
            <w:r w:rsidRPr="005D4222">
              <w:t xml:space="preserve">.” Organizations may exclude these members from HEDIS/CAHPS reports only in either of the following situations and only with </w:t>
            </w:r>
            <w:r w:rsidRPr="005D4222">
              <w:rPr>
                <w:b/>
              </w:rPr>
              <w:t>auditor approval:</w:t>
            </w:r>
            <w:r w:rsidRPr="005D4222">
              <w:t xml:space="preserve"> </w:t>
            </w:r>
            <w:bookmarkEnd w:id="102"/>
          </w:p>
          <w:p w14:paraId="52FFEA07" w14:textId="77777777" w:rsidR="00834FBA" w:rsidRPr="005D4222" w:rsidRDefault="00834FBA" w:rsidP="004D5C07">
            <w:pPr>
              <w:pStyle w:val="Dash"/>
              <w:rPr>
                <w:b/>
              </w:rPr>
            </w:pPr>
            <w:r w:rsidRPr="005D4222">
              <w:t xml:space="preserve">The contract prohibits the organization from contacting members for any reason. </w:t>
            </w:r>
          </w:p>
          <w:p w14:paraId="43A73F3E" w14:textId="77777777" w:rsidR="0077401E" w:rsidRPr="005D4222" w:rsidRDefault="0077401E" w:rsidP="004D5C07">
            <w:pPr>
              <w:pStyle w:val="Dash"/>
              <w:rPr>
                <w:b/>
              </w:rPr>
            </w:pPr>
            <w:r w:rsidRPr="005D4222">
              <w:rPr>
                <w:bCs/>
              </w:rPr>
              <w:t xml:space="preserve">The </w:t>
            </w:r>
            <w:r w:rsidRPr="005D4222">
              <w:rPr>
                <w:b/>
                <w:bCs/>
              </w:rPr>
              <w:t>contractual agreement</w:t>
            </w:r>
            <w:r w:rsidRPr="005D4222">
              <w:rPr>
                <w:bCs/>
              </w:rPr>
              <w:t>, which</w:t>
            </w:r>
            <w:r w:rsidRPr="005D4222">
              <w:t xml:space="preserve"> is a contract or other written agreement between the organization (HMO, PPO, EPO) and the ASO client (e.g., employer), states that the organization may not contact these ASO and self-insured members under any circumstances or include them in HEDIS/CAHPS reporting.</w:t>
            </w:r>
          </w:p>
          <w:p w14:paraId="0232045F" w14:textId="0A74C762" w:rsidR="0077401E" w:rsidRPr="005D4222" w:rsidRDefault="0077401E" w:rsidP="00DE10E1">
            <w:pPr>
              <w:pStyle w:val="Note"/>
              <w:spacing w:before="80"/>
              <w:ind w:left="792"/>
              <w:rPr>
                <w:rStyle w:val="NoteChar"/>
                <w:i/>
              </w:rPr>
            </w:pPr>
            <w:r w:rsidRPr="005D4222">
              <w:rPr>
                <w:rStyle w:val="NoteChar"/>
                <w:b/>
                <w:bCs/>
                <w:i/>
              </w:rPr>
              <w:t>Note:</w:t>
            </w:r>
            <w:r w:rsidRPr="005D4222">
              <w:rPr>
                <w:rStyle w:val="NoteChar"/>
                <w:i/>
              </w:rPr>
              <w:t xml:space="preserve"> Exclusion from disease management, case management or quality improvement projects does not meet criteria for exclusion from HEDIS/CAHPS.</w:t>
            </w:r>
          </w:p>
          <w:p w14:paraId="7403EBD8" w14:textId="77777777" w:rsidR="00942669" w:rsidRPr="004D5C07" w:rsidRDefault="0077401E" w:rsidP="004D5C07">
            <w:pPr>
              <w:pStyle w:val="Dash"/>
              <w:rPr>
                <w:b/>
              </w:rPr>
            </w:pPr>
            <w:r w:rsidRPr="005D4222">
              <w:t xml:space="preserve">The agreement to exclude members in the reporting year must be in place (fully executed by both parties, in the case of a contract, or communicated, in the case of a written agreement) by January 1 of the measurement year. </w:t>
            </w:r>
          </w:p>
          <w:p w14:paraId="0C8873CD" w14:textId="77777777" w:rsidR="004D5C07" w:rsidRPr="005D4222" w:rsidRDefault="004D5C07" w:rsidP="004D5C07">
            <w:pPr>
              <w:pStyle w:val="Bullet"/>
              <w:rPr>
                <w:b/>
              </w:rPr>
            </w:pPr>
            <w:r w:rsidRPr="005D4222">
              <w:t>The organization is not responsible for administering both in-network and out-of-network claims for ASO and self-insured members (employer carve-out for both in-network and out-of-network claims).</w:t>
            </w:r>
          </w:p>
          <w:p w14:paraId="69CF447B" w14:textId="77777777" w:rsidR="004D5C07" w:rsidRPr="005D4222" w:rsidRDefault="004D5C07" w:rsidP="004D5C07">
            <w:pPr>
              <w:pStyle w:val="Bullet"/>
              <w:numPr>
                <w:ilvl w:val="0"/>
                <w:numId w:val="0"/>
              </w:numPr>
              <w:ind w:left="576"/>
              <w:rPr>
                <w:b/>
              </w:rPr>
            </w:pPr>
            <w:r w:rsidRPr="005D4222">
              <w:rPr>
                <w:b/>
                <w:bCs/>
                <w:i/>
                <w:iCs/>
                <w:sz w:val="20"/>
                <w:szCs w:val="20"/>
              </w:rPr>
              <w:t xml:space="preserve">Note: </w:t>
            </w:r>
            <w:r w:rsidRPr="005D4222">
              <w:rPr>
                <w:i/>
                <w:iCs/>
                <w:sz w:val="20"/>
                <w:szCs w:val="20"/>
              </w:rPr>
              <w:t>If claims are administered through a third party on behalf of an organization (i.e., a claims delegation arrangement), the organization is considered responsible for administering claims and members may not be excluded.</w:t>
            </w:r>
            <w:r w:rsidRPr="005D4222">
              <w:rPr>
                <w:sz w:val="20"/>
                <w:szCs w:val="20"/>
              </w:rPr>
              <w:t xml:space="preserve"> </w:t>
            </w:r>
          </w:p>
          <w:p w14:paraId="4F8307B0" w14:textId="77777777" w:rsidR="004D5C07" w:rsidRPr="005D4222" w:rsidRDefault="004D5C07" w:rsidP="004D5C07">
            <w:pPr>
              <w:pStyle w:val="Body"/>
            </w:pPr>
            <w:r w:rsidRPr="005D4222">
              <w:t xml:space="preserve">Organizations may not exclude members who cannot be reached (e.g., overseas military or Foreign Service members), unless one of the above situations applies. Non-ASO members may not be excluded under this guideline. Federal government instructions and guidance supersede the requirements in this guideline. </w:t>
            </w:r>
          </w:p>
          <w:p w14:paraId="4E3B18F8" w14:textId="70CABF14" w:rsidR="004D5C07" w:rsidRPr="005D4222" w:rsidRDefault="004D5C07" w:rsidP="004D5C07">
            <w:pPr>
              <w:pStyle w:val="Body"/>
              <w:rPr>
                <w:b/>
              </w:rPr>
            </w:pPr>
            <w:r w:rsidRPr="005D4222">
              <w:t>Exclusion of these members must be reviewed with the auditor, and contracts should be provided to the auditor to review and approve the exclusion. If</w:t>
            </w:r>
            <w:r w:rsidRPr="005D4222" w:rsidDel="008B0504">
              <w:t xml:space="preserve"> </w:t>
            </w:r>
            <w:r w:rsidRPr="005D4222">
              <w:t>ASO and self-insured members are excluded, they must also be excluded</w:t>
            </w:r>
            <w:r w:rsidRPr="005D4222" w:rsidDel="008B0504">
              <w:t xml:space="preserve"> </w:t>
            </w:r>
            <w:r w:rsidRPr="005D4222">
              <w:t>from HEDIS/CAHPS and from Accreditation.</w:t>
            </w:r>
          </w:p>
        </w:tc>
      </w:tr>
    </w:tbl>
    <w:p w14:paraId="1E6C29CD" w14:textId="5ED6DE75" w:rsidR="00834FBA" w:rsidRPr="005D4222" w:rsidRDefault="00834FBA" w:rsidP="00BE08C8">
      <w:pPr>
        <w:pStyle w:val="StdHead"/>
      </w:pPr>
      <w:bookmarkStart w:id="103" w:name="_Toc400546052"/>
      <w:bookmarkStart w:id="104" w:name="Changes"/>
      <w:bookmarkStart w:id="105" w:name="_Toc74747854"/>
      <w:bookmarkStart w:id="106" w:name="_Toc171402942"/>
      <w:bookmarkStart w:id="107" w:name="_Toc201813362"/>
      <w:bookmarkEnd w:id="100"/>
      <w:r w:rsidRPr="005D4222">
        <w:t>Membership Changes</w:t>
      </w:r>
      <w:bookmarkEnd w:id="103"/>
      <w:bookmarkEnd w:id="104"/>
      <w:bookmarkEnd w:id="105"/>
      <w:bookmarkEnd w:id="106"/>
      <w:bookmarkEnd w:id="107"/>
    </w:p>
    <w:p w14:paraId="368C71EB" w14:textId="77777777" w:rsidR="00834FBA" w:rsidRPr="005D4222" w:rsidRDefault="00834FBA" w:rsidP="00834FBA">
      <w:pPr>
        <w:pStyle w:val="SubHeadNoTOC"/>
      </w:pPr>
      <w:bookmarkStart w:id="108" w:name="_Toc400546053"/>
      <w:r w:rsidRPr="005D4222">
        <w:rPr>
          <w:bCs/>
          <w:i/>
        </w:rPr>
        <w:t>General Guideline:</w:t>
      </w:r>
      <w:r w:rsidRPr="005D4222">
        <w:t xml:space="preserve"> Members Who Switch Organizations</w:t>
      </w:r>
      <w:bookmarkEnd w:id="108"/>
      <w:r w:rsidRPr="005D4222">
        <w:t xml:space="preserve"> </w:t>
      </w:r>
    </w:p>
    <w:p w14:paraId="44FB130C" w14:textId="54C3F2E0" w:rsidR="004D5C07" w:rsidRDefault="00834FBA" w:rsidP="00834FBA">
      <w:pPr>
        <w:pStyle w:val="Body"/>
        <w:widowControl w:val="0"/>
        <w:rPr>
          <w:strike/>
        </w:rPr>
      </w:pPr>
      <w:r w:rsidRPr="005D4222">
        <w:t>Members who switch to different organizations or to a sister organization may be counted as continuously enrolled if they joined an organization that assumes ownership of or responsibility for members’ administrative data and medical records for the entire period of continuous enrollment specified in the measure.</w:t>
      </w:r>
      <w:r w:rsidRPr="005D4222">
        <w:rPr>
          <w:strike/>
        </w:rPr>
        <w:t xml:space="preserve"> </w:t>
      </w:r>
    </w:p>
    <w:p w14:paraId="7C4960AD" w14:textId="77777777" w:rsidR="004D5C07" w:rsidRDefault="004D5C07">
      <w:pPr>
        <w:rPr>
          <w:strike/>
          <w:kern w:val="24"/>
        </w:rPr>
      </w:pPr>
      <w:r>
        <w:rPr>
          <w:strike/>
        </w:rPr>
        <w:br w:type="page"/>
      </w:r>
    </w:p>
    <w:p w14:paraId="6F16828E" w14:textId="77777777" w:rsidR="00834FBA" w:rsidRPr="005D4222" w:rsidRDefault="00834FBA" w:rsidP="00834FBA">
      <w:pPr>
        <w:pStyle w:val="Body"/>
        <w:widowControl w:val="0"/>
      </w:pPr>
      <w:r w:rsidRPr="005D4222">
        <w:lastRenderedPageBreak/>
        <w:t>If an organization reports these members as continuously enrolled, it follows the definition of “continuous enrollment” in General Guideline</w:t>
      </w:r>
      <w:r w:rsidRPr="005D4222">
        <w:rPr>
          <w:i/>
          <w:iCs/>
        </w:rPr>
        <w:t xml:space="preserve"> </w:t>
      </w:r>
      <w:r w:rsidRPr="005D4222">
        <w:rPr>
          <w:i/>
        </w:rPr>
        <w:t>Continuous Enrollment</w:t>
      </w:r>
      <w:r w:rsidRPr="005D4222">
        <w:t>, and all other guidelines affecting continuous enrollment (allow switching between products [HMO, POS, PPO, EPO] or product lines [Medicaid, commercial, Medicare]) consistently, across all measures.</w:t>
      </w:r>
    </w:p>
    <w:p w14:paraId="4D9B8190" w14:textId="77777777" w:rsidR="00834FBA" w:rsidRPr="005D4222" w:rsidRDefault="00834FBA" w:rsidP="00834FBA">
      <w:pPr>
        <w:pStyle w:val="SubHeadNoTOC"/>
      </w:pPr>
      <w:bookmarkStart w:id="109" w:name="_Toc400546054"/>
      <w:r w:rsidRPr="005D4222">
        <w:rPr>
          <w:bCs/>
          <w:i/>
        </w:rPr>
        <w:t>General Guideline:</w:t>
      </w:r>
      <w:r w:rsidRPr="005D4222">
        <w:t xml:space="preserve"> Members Who Switch Organizations as a Result of a Merger or Acquisition</w:t>
      </w:r>
      <w:bookmarkEnd w:id="109"/>
      <w:r w:rsidRPr="005D4222">
        <w:t xml:space="preserve"> </w:t>
      </w:r>
    </w:p>
    <w:tbl>
      <w:tblPr>
        <w:tblW w:w="0" w:type="auto"/>
        <w:tblLayout w:type="fixed"/>
        <w:tblLook w:val="0000" w:firstRow="0" w:lastRow="0" w:firstColumn="0" w:lastColumn="0" w:noHBand="0" w:noVBand="0"/>
      </w:tblPr>
      <w:tblGrid>
        <w:gridCol w:w="2358"/>
        <w:gridCol w:w="7362"/>
      </w:tblGrid>
      <w:tr w:rsidR="00834FBA" w:rsidRPr="005D4222" w14:paraId="3F35A3F0" w14:textId="77777777" w:rsidTr="009F6641">
        <w:tc>
          <w:tcPr>
            <w:tcW w:w="2358" w:type="dxa"/>
          </w:tcPr>
          <w:p w14:paraId="61C65471" w14:textId="77777777" w:rsidR="00834FBA" w:rsidRPr="005D4222" w:rsidRDefault="00834FBA" w:rsidP="009F6641">
            <w:pPr>
              <w:pStyle w:val="MarginSubhead"/>
              <w:widowControl w:val="0"/>
            </w:pPr>
            <w:r w:rsidRPr="005D4222">
              <w:t xml:space="preserve">Measures with </w:t>
            </w:r>
            <w:r w:rsidRPr="005D4222">
              <w:br/>
              <w:t>a continuous enrollment period</w:t>
            </w:r>
          </w:p>
        </w:tc>
        <w:tc>
          <w:tcPr>
            <w:tcW w:w="7362" w:type="dxa"/>
          </w:tcPr>
          <w:p w14:paraId="10A258CE" w14:textId="74211275" w:rsidR="00834FBA" w:rsidRPr="005D4222" w:rsidRDefault="00834FBA" w:rsidP="009F6641">
            <w:pPr>
              <w:pStyle w:val="Body"/>
              <w:widowControl w:val="0"/>
            </w:pPr>
            <w:r w:rsidRPr="005D4222">
              <w:t xml:space="preserve">Members who switch organizations because of a merger </w:t>
            </w:r>
            <w:r w:rsidRPr="005D4222" w:rsidDel="006B689F">
              <w:t xml:space="preserve">that occurred </w:t>
            </w:r>
            <w:r w:rsidRPr="005D4222">
              <w:t xml:space="preserve">during the measurement </w:t>
            </w:r>
            <w:r w:rsidRPr="005D4222" w:rsidDel="00737007">
              <w:t xml:space="preserve">year </w:t>
            </w:r>
            <w:r w:rsidRPr="005D4222">
              <w:t xml:space="preserve">may be counted as continuously enrolled. </w:t>
            </w:r>
          </w:p>
        </w:tc>
      </w:tr>
      <w:tr w:rsidR="00834FBA" w:rsidRPr="005D4222" w14:paraId="0E2A9483" w14:textId="77777777" w:rsidTr="009F6641">
        <w:tc>
          <w:tcPr>
            <w:tcW w:w="2358" w:type="dxa"/>
          </w:tcPr>
          <w:p w14:paraId="07DF0482" w14:textId="77777777" w:rsidR="00834FBA" w:rsidRPr="005D4222" w:rsidRDefault="00834FBA" w:rsidP="00942669">
            <w:pPr>
              <w:pStyle w:val="MarginSubhead"/>
              <w:widowControl w:val="0"/>
            </w:pPr>
            <w:r w:rsidRPr="005D4222">
              <w:t xml:space="preserve">Measures without </w:t>
            </w:r>
            <w:r w:rsidRPr="005D4222">
              <w:br/>
              <w:t>a continuous enrollment period</w:t>
            </w:r>
          </w:p>
        </w:tc>
        <w:tc>
          <w:tcPr>
            <w:tcW w:w="7362" w:type="dxa"/>
          </w:tcPr>
          <w:p w14:paraId="11BCAC4C" w14:textId="6BA998C3" w:rsidR="00834FBA" w:rsidRPr="005D4222" w:rsidRDefault="00834FBA" w:rsidP="00942669">
            <w:pPr>
              <w:pStyle w:val="Body"/>
              <w:widowControl w:val="0"/>
            </w:pPr>
            <w:r w:rsidRPr="005D4222">
              <w:t xml:space="preserve">The surviving organization may include members from the non-surviving entity in the </w:t>
            </w:r>
            <w:r w:rsidR="00E758BE" w:rsidRPr="005D4222">
              <w:t>initial</w:t>
            </w:r>
            <w:r w:rsidR="00E758BE" w:rsidRPr="005D4222" w:rsidDel="003272E9">
              <w:t xml:space="preserve"> </w:t>
            </w:r>
            <w:r w:rsidRPr="005D4222" w:rsidDel="003272E9">
              <w:t>population</w:t>
            </w:r>
            <w:r w:rsidRPr="005D4222">
              <w:t xml:space="preserve">, starting on the official date of the merger or acquisition. For example, if the merger or acquisition occurred on March 1 of the measurement </w:t>
            </w:r>
            <w:r w:rsidRPr="005D4222" w:rsidDel="004E49CA">
              <w:t>year</w:t>
            </w:r>
            <w:r w:rsidRPr="005D4222">
              <w:t xml:space="preserve">, the surviving organization excludes members acquired from the non-surviving entity from the </w:t>
            </w:r>
            <w:r w:rsidR="0083104E" w:rsidRPr="005D4222">
              <w:t>init</w:t>
            </w:r>
            <w:r w:rsidR="00746440" w:rsidRPr="005D4222">
              <w:t>i</w:t>
            </w:r>
            <w:r w:rsidR="0083104E" w:rsidRPr="005D4222">
              <w:t>al</w:t>
            </w:r>
            <w:r w:rsidR="0083104E" w:rsidRPr="005D4222" w:rsidDel="003272E9">
              <w:t xml:space="preserve"> </w:t>
            </w:r>
            <w:r w:rsidRPr="005D4222" w:rsidDel="003272E9">
              <w:t>population</w:t>
            </w:r>
            <w:r w:rsidRPr="005D4222">
              <w:t xml:space="preserve"> for January and February. </w:t>
            </w:r>
          </w:p>
        </w:tc>
      </w:tr>
    </w:tbl>
    <w:p w14:paraId="12902236" w14:textId="46456A2E" w:rsidR="00942669" w:rsidRPr="005D4222" w:rsidRDefault="00834FBA" w:rsidP="00834FBA">
      <w:pPr>
        <w:pStyle w:val="Body"/>
      </w:pPr>
      <w:r w:rsidRPr="005D4222" w:rsidDel="005232BD">
        <w:t>This guideline must be used consistently across all measures.</w:t>
      </w:r>
    </w:p>
    <w:p w14:paraId="3E7D2312" w14:textId="77777777" w:rsidR="00834FBA" w:rsidRPr="005D4222" w:rsidRDefault="00834FBA" w:rsidP="00834FBA">
      <w:pPr>
        <w:pStyle w:val="SubHeadNoTOC"/>
      </w:pPr>
      <w:bookmarkStart w:id="110" w:name="_Toc400546056"/>
      <w:bookmarkStart w:id="111" w:name="_Hlk8899047"/>
      <w:r w:rsidRPr="005D4222">
        <w:rPr>
          <w:bCs/>
          <w:i/>
        </w:rPr>
        <w:t>General Guideline:</w:t>
      </w:r>
      <w:r w:rsidRPr="005D4222">
        <w:t xml:space="preserve"> </w:t>
      </w:r>
      <w:bookmarkStart w:id="112" w:name="MembersWhoSwitchProducts"/>
      <w:r w:rsidRPr="005D4222">
        <w:t>Members Who Switch Products</w:t>
      </w:r>
      <w:bookmarkEnd w:id="110"/>
      <w:r w:rsidRPr="005D4222">
        <w:t>/Product Lines</w:t>
      </w:r>
      <w:bookmarkEnd w:id="112"/>
      <w:r w:rsidRPr="005D4222">
        <w:t xml:space="preserve"> </w:t>
      </w:r>
      <w:bookmarkEnd w:id="111"/>
    </w:p>
    <w:tbl>
      <w:tblPr>
        <w:tblW w:w="9747" w:type="dxa"/>
        <w:tblLayout w:type="fixed"/>
        <w:tblLook w:val="0000" w:firstRow="0" w:lastRow="0" w:firstColumn="0" w:lastColumn="0" w:noHBand="0" w:noVBand="0"/>
      </w:tblPr>
      <w:tblGrid>
        <w:gridCol w:w="2358"/>
        <w:gridCol w:w="7389"/>
      </w:tblGrid>
      <w:tr w:rsidR="00834FBA" w:rsidRPr="005D4222" w14:paraId="3A758854" w14:textId="77777777" w:rsidTr="009F6641">
        <w:tc>
          <w:tcPr>
            <w:tcW w:w="2358" w:type="dxa"/>
          </w:tcPr>
          <w:p w14:paraId="61B73EE1" w14:textId="77777777" w:rsidR="00834FBA" w:rsidRPr="005D4222" w:rsidRDefault="00834FBA" w:rsidP="009F6641">
            <w:pPr>
              <w:pStyle w:val="MarginSubhead"/>
              <w:widowControl w:val="0"/>
            </w:pPr>
            <w:r w:rsidRPr="005D4222">
              <w:t xml:space="preserve">Measures with </w:t>
            </w:r>
            <w:r w:rsidRPr="005D4222">
              <w:br/>
              <w:t>a continuous enrollment requirement</w:t>
            </w:r>
          </w:p>
        </w:tc>
        <w:tc>
          <w:tcPr>
            <w:tcW w:w="7362" w:type="dxa"/>
          </w:tcPr>
          <w:p w14:paraId="4DF439AB" w14:textId="77777777" w:rsidR="00834FBA" w:rsidRPr="005D4222" w:rsidRDefault="00834FBA" w:rsidP="009F6641">
            <w:pPr>
              <w:pStyle w:val="Body"/>
              <w:widowControl w:val="0"/>
            </w:pPr>
            <w:r w:rsidRPr="005D4222">
              <w:t xml:space="preserve">Members who enrolled in different </w:t>
            </w:r>
            <w:r w:rsidRPr="005D4222">
              <w:rPr>
                <w:bCs/>
              </w:rPr>
              <w:t>products or product lines</w:t>
            </w:r>
            <w:r w:rsidRPr="005D4222">
              <w:t xml:space="preserve"> in the time specified for continuous enrollment for a measure are continuously enrolled, </w:t>
            </w:r>
            <w:r w:rsidRPr="005D4222">
              <w:br/>
              <w:t xml:space="preserve">and are included in the product and product-line specific HEDIS report in which they were enrolled as of the end of the continuous enrollment period. For example, a member enrolled in the Medicaid product line who switches to the commercial product line during the continuous enrollment period is reported in the commercial HEDIS report. If a measure allows a gap at the end of the continuous enrollment period, report members in the product and product line-specific HEDIS report in which they were enrolled as of the last enrollment segment. </w:t>
            </w:r>
          </w:p>
          <w:p w14:paraId="2D553F98" w14:textId="77777777" w:rsidR="00834FBA" w:rsidRPr="005D4222" w:rsidRDefault="00834FBA" w:rsidP="009F6641">
            <w:pPr>
              <w:pStyle w:val="Body"/>
            </w:pPr>
            <w:r w:rsidRPr="005D4222">
              <w:t>Members who “age in” to a Medicare product line mid-year are considered continuously enrolled if they were members of the organization through another product line (e.g., commercial) during the continuous enrollment period and their enrollment did not exceed allowable gaps. The organization must use claims data from all products/product lines, even when there is a gap in enrollment.</w:t>
            </w:r>
          </w:p>
        </w:tc>
      </w:tr>
      <w:tr w:rsidR="00834FBA" w:rsidRPr="005D4222" w14:paraId="11FF6374" w14:textId="77777777" w:rsidTr="009F6641">
        <w:tc>
          <w:tcPr>
            <w:tcW w:w="2358" w:type="dxa"/>
          </w:tcPr>
          <w:p w14:paraId="49FBDDC0" w14:textId="77777777" w:rsidR="00834FBA" w:rsidRPr="005D4222" w:rsidRDefault="00834FBA" w:rsidP="009F6641">
            <w:pPr>
              <w:pStyle w:val="MarginSubhead"/>
              <w:widowControl w:val="0"/>
            </w:pPr>
            <w:r w:rsidRPr="005D4222">
              <w:t xml:space="preserve">Measures without </w:t>
            </w:r>
            <w:r w:rsidRPr="005D4222">
              <w:br/>
              <w:t>a continuous enrollment requirement</w:t>
            </w:r>
          </w:p>
        </w:tc>
        <w:tc>
          <w:tcPr>
            <w:tcW w:w="7389" w:type="dxa"/>
          </w:tcPr>
          <w:p w14:paraId="5E76E36B" w14:textId="77777777" w:rsidR="00834FBA" w:rsidRPr="005D4222" w:rsidRDefault="00834FBA" w:rsidP="009F6641">
            <w:pPr>
              <w:pStyle w:val="Body"/>
              <w:widowControl w:val="0"/>
            </w:pPr>
            <w:r w:rsidRPr="005D4222">
              <w:t>Members who enrolled in different products or product lines are reported in the product and product line-specific HEDIS report in which they were enrolled on the date of service (visits) or date of discharge (inpatient stays).</w:t>
            </w:r>
          </w:p>
        </w:tc>
      </w:tr>
    </w:tbl>
    <w:p w14:paraId="0D971BFB" w14:textId="571AE70B" w:rsidR="00834FBA" w:rsidRPr="005D4222" w:rsidRDefault="00834FBA" w:rsidP="00BE08C8">
      <w:pPr>
        <w:pStyle w:val="StdHead"/>
      </w:pPr>
      <w:bookmarkStart w:id="113" w:name="_Toc400546057"/>
      <w:bookmarkStart w:id="114" w:name="EnrollmentPeriods"/>
      <w:bookmarkStart w:id="115" w:name="_Toc74747855"/>
      <w:bookmarkStart w:id="116" w:name="_Toc171402943"/>
      <w:bookmarkStart w:id="117" w:name="_Toc201813363"/>
      <w:r w:rsidRPr="005D4222">
        <w:t>Required Enrollment Periods and Benefits</w:t>
      </w:r>
      <w:bookmarkEnd w:id="113"/>
      <w:bookmarkEnd w:id="114"/>
      <w:bookmarkEnd w:id="115"/>
      <w:bookmarkEnd w:id="116"/>
      <w:bookmarkEnd w:id="117"/>
    </w:p>
    <w:p w14:paraId="7919208E" w14:textId="77777777" w:rsidR="00834FBA" w:rsidRPr="005D4222" w:rsidRDefault="00834FBA" w:rsidP="00834FBA">
      <w:pPr>
        <w:pStyle w:val="SubHeadNoTOC"/>
        <w:spacing w:before="180"/>
      </w:pPr>
      <w:bookmarkStart w:id="118" w:name="_Toc400546058"/>
      <w:r w:rsidRPr="005D4222">
        <w:rPr>
          <w:bCs/>
          <w:i/>
        </w:rPr>
        <w:t>General Guideline:</w:t>
      </w:r>
      <w:r w:rsidRPr="005D4222">
        <w:t xml:space="preserve"> </w:t>
      </w:r>
      <w:bookmarkStart w:id="119" w:name="_Hlk8899113"/>
      <w:bookmarkStart w:id="120" w:name="ContinuousEnrollment"/>
      <w:r w:rsidRPr="005D4222">
        <w:t>Continuous Enrollment</w:t>
      </w:r>
      <w:bookmarkEnd w:id="118"/>
      <w:bookmarkEnd w:id="119"/>
      <w:bookmarkEnd w:id="120"/>
    </w:p>
    <w:p w14:paraId="5402E683" w14:textId="77777777" w:rsidR="00834FBA" w:rsidRPr="005D4222" w:rsidRDefault="00834FBA" w:rsidP="00834FBA">
      <w:pPr>
        <w:pStyle w:val="Body"/>
        <w:widowControl w:val="0"/>
        <w:outlineLvl w:val="0"/>
      </w:pPr>
      <w:r w:rsidRPr="005D4222">
        <w:rPr>
          <w:b/>
        </w:rPr>
        <w:t xml:space="preserve">Continuous enrollment </w:t>
      </w:r>
      <w:r w:rsidRPr="005D4222">
        <w:t xml:space="preserve">specifies the minimum amount of time that a member must be enrolled in an organization before becoming eligible for a measure. It ensures that the organization has enough time to render services. The continuous enrollment period and allowable gaps are specified in each measure. </w:t>
      </w:r>
      <w:r w:rsidRPr="005D4222">
        <w:lastRenderedPageBreak/>
        <w:t>To be considered continuously enrolled, a member must also be continuously enrolled with the benefit specified for each measure (e.g., pharmacy or mental health), accounting for any allowable gap.</w:t>
      </w:r>
    </w:p>
    <w:p w14:paraId="0E522468" w14:textId="77777777" w:rsidR="00834FBA" w:rsidRPr="005D4222" w:rsidRDefault="00834FBA" w:rsidP="00834FBA">
      <w:pPr>
        <w:pStyle w:val="Body"/>
        <w:widowControl w:val="0"/>
      </w:pPr>
      <w:r w:rsidRPr="005D4222">
        <w:t xml:space="preserve">A </w:t>
      </w:r>
      <w:r w:rsidRPr="005D4222">
        <w:rPr>
          <w:b/>
        </w:rPr>
        <w:t>gap</w:t>
      </w:r>
      <w:r w:rsidRPr="005D4222">
        <w:t xml:space="preserve"> is the time when a member is not covered by the organization</w:t>
      </w:r>
      <w:r w:rsidRPr="005D4222" w:rsidDel="008E1681">
        <w:t xml:space="preserve"> (</w:t>
      </w:r>
      <w:r w:rsidRPr="005D4222" w:rsidDel="003B3A16">
        <w:t xml:space="preserve">i.e., </w:t>
      </w:r>
      <w:r w:rsidRPr="005D4222" w:rsidDel="00172143">
        <w:t xml:space="preserve">the time </w:t>
      </w:r>
      <w:r w:rsidRPr="005D4222" w:rsidDel="008E1681">
        <w:t>between disenrollment and reenrollment)</w:t>
      </w:r>
      <w:r w:rsidRPr="005D4222">
        <w:t xml:space="preserve">. For example, if a member disenrolls on June 30 and reenrolls on </w:t>
      </w:r>
      <w:r w:rsidRPr="005D4222">
        <w:br/>
        <w:t>July 1, there is no gap, because the member is covered by the organization on both June 30 and July 1. If the member disenrolls on June 30 and reenrolls on July 2, there is a 1-day gap because the member is without coverage on July 1.</w:t>
      </w:r>
    </w:p>
    <w:p w14:paraId="004B6414" w14:textId="521C245B" w:rsidR="00834FBA" w:rsidRPr="005D4222" w:rsidRDefault="00834FBA" w:rsidP="00834FBA">
      <w:pPr>
        <w:pStyle w:val="Body"/>
      </w:pPr>
      <w:r w:rsidRPr="005D4222">
        <w:t xml:space="preserve">An </w:t>
      </w:r>
      <w:r w:rsidRPr="005D4222">
        <w:rPr>
          <w:b/>
        </w:rPr>
        <w:t>allowable gap</w:t>
      </w:r>
      <w:r w:rsidRPr="005D4222">
        <w:t xml:space="preserve"> can occur any time during continuous enrollment. For example, the Child and Adolescent Well-Care Visits</w:t>
      </w:r>
      <w:r w:rsidRPr="005D4222" w:rsidDel="00E8585D">
        <w:t xml:space="preserve"> </w:t>
      </w:r>
      <w:r w:rsidRPr="005D4222">
        <w:t>measure requires continuous enrollment throughout the measurement year (January 1–December 31), and allows one gap in enrollment of up to 45 days. A member who enrolls for the first time on February 8 of the measurement year is considered continuously enrolled as long as there are no other gaps in enrollment throughout the remainder of the measurement year. The member has one 38-day gap (January 1–February 7).</w:t>
      </w:r>
    </w:p>
    <w:p w14:paraId="7DD204C0" w14:textId="4AF4984C" w:rsidR="00813656" w:rsidRPr="005D4222" w:rsidRDefault="00813656" w:rsidP="006207CA">
      <w:pPr>
        <w:pStyle w:val="Body"/>
        <w:widowControl w:val="0"/>
        <w:outlineLvl w:val="0"/>
      </w:pPr>
      <w:r w:rsidRPr="005D4222">
        <w:t xml:space="preserve">If a measure requires a member to be enrolled and have a benefit on a specific date, the allowable gap must not include that date; the member must also have the benefit on that date. For example, a </w:t>
      </w:r>
      <w:r w:rsidRPr="005D4222">
        <w:br/>
        <w:t xml:space="preserve">70-year-old member who has only one gap in enrollment from November 30 </w:t>
      </w:r>
      <w:r w:rsidR="00E344A5" w:rsidRPr="005D4222">
        <w:t>through December 31</w:t>
      </w:r>
      <w:r w:rsidRPr="005D4222">
        <w:t xml:space="preserve"> of the measurement </w:t>
      </w:r>
      <w:r w:rsidR="002E5C18" w:rsidRPr="005D4222">
        <w:t>year</w:t>
      </w:r>
      <w:r w:rsidRPr="005D4222">
        <w:t xml:space="preserve"> is not eligible for the Osteoporosis Screening in Older Women measure. Although the</w:t>
      </w:r>
      <w:r w:rsidR="00E344A5" w:rsidRPr="005D4222">
        <w:t xml:space="preserve"> member</w:t>
      </w:r>
      <w:r w:rsidRPr="005D4222">
        <w:t xml:space="preserve"> meet</w:t>
      </w:r>
      <w:r w:rsidR="00E344A5" w:rsidRPr="005D4222">
        <w:t>s</w:t>
      </w:r>
      <w:r w:rsidRPr="005D4222">
        <w:t xml:space="preserve"> the continuous enrollment criteria, they do not meet the</w:t>
      </w:r>
      <w:r w:rsidR="00117EE3" w:rsidRPr="005D4222">
        <w:t xml:space="preserve"> allowable gap </w:t>
      </w:r>
      <w:r w:rsidRPr="005D4222">
        <w:t>criteri</w:t>
      </w:r>
      <w:r w:rsidR="00DA2138" w:rsidRPr="005D4222">
        <w:t>on</w:t>
      </w:r>
      <w:r w:rsidRPr="005D4222">
        <w:t>, which requires enrollment as of</w:t>
      </w:r>
      <w:r w:rsidR="00117EE3" w:rsidRPr="005D4222">
        <w:t xml:space="preserve"> the last day of the measurement </w:t>
      </w:r>
      <w:r w:rsidR="002E5C18" w:rsidRPr="005D4222">
        <w:t>year</w:t>
      </w:r>
      <w:r w:rsidR="00117EE3" w:rsidRPr="005D4222">
        <w:t>.</w:t>
      </w:r>
    </w:p>
    <w:p w14:paraId="674B12E1" w14:textId="77777777" w:rsidR="00834FBA" w:rsidRPr="005D4222" w:rsidRDefault="00834FBA" w:rsidP="00834FBA">
      <w:pPr>
        <w:pStyle w:val="SubHeadNoTOC"/>
      </w:pPr>
      <w:bookmarkStart w:id="121" w:name="_Toc400546059"/>
      <w:r w:rsidRPr="005D4222">
        <w:rPr>
          <w:bCs/>
          <w:i/>
        </w:rPr>
        <w:t>General Guideline:</w:t>
      </w:r>
      <w:r w:rsidRPr="005D4222">
        <w:t xml:space="preserve"> Medicaid Continuous Enrollment</w:t>
      </w:r>
      <w:bookmarkEnd w:id="121"/>
    </w:p>
    <w:p w14:paraId="462023BF" w14:textId="77777777" w:rsidR="00834FBA" w:rsidRPr="005D4222" w:rsidRDefault="00834FBA" w:rsidP="00834FBA">
      <w:pPr>
        <w:pStyle w:val="Body"/>
        <w:widowControl w:val="0"/>
      </w:pPr>
      <w:r w:rsidRPr="005D4222">
        <w:t>If the organization applies a full-month eligibility criterion to Medicaid beneficiaries and verifies enrollment prospectively in monthly intervals (in 1-month increments), the one gap in enrollment during the continuous enrollment period may not exceed 45 days. For example, a member whose coverage lapses for 2 months (60 days) is not considered continuously enrolled.</w:t>
      </w:r>
    </w:p>
    <w:p w14:paraId="5A082EBA" w14:textId="77777777" w:rsidR="00834FBA" w:rsidRPr="005D4222" w:rsidRDefault="00834FBA" w:rsidP="00834FBA">
      <w:pPr>
        <w:pStyle w:val="Body"/>
        <w:widowControl w:val="0"/>
      </w:pPr>
      <w:r w:rsidRPr="005D4222">
        <w:t>If the organization is notified of prospective member enrollment, use the actual date of enrollment to calculate continuous enrollment, not the notification date.</w:t>
      </w:r>
    </w:p>
    <w:tbl>
      <w:tblPr>
        <w:tblW w:w="9547" w:type="dxa"/>
        <w:tblLayout w:type="fixed"/>
        <w:tblLook w:val="0000" w:firstRow="0" w:lastRow="0" w:firstColumn="0" w:lastColumn="0" w:noHBand="0" w:noVBand="0"/>
      </w:tblPr>
      <w:tblGrid>
        <w:gridCol w:w="2160"/>
        <w:gridCol w:w="7387"/>
      </w:tblGrid>
      <w:tr w:rsidR="00834FBA" w:rsidRPr="005D4222" w14:paraId="33DB38AE" w14:textId="77777777" w:rsidTr="009F6641">
        <w:tc>
          <w:tcPr>
            <w:tcW w:w="2160" w:type="dxa"/>
            <w:tcBorders>
              <w:bottom w:val="nil"/>
            </w:tcBorders>
          </w:tcPr>
          <w:p w14:paraId="06F57555" w14:textId="77777777" w:rsidR="00834FBA" w:rsidRPr="005D4222" w:rsidRDefault="00834FBA" w:rsidP="009F6641">
            <w:pPr>
              <w:pStyle w:val="MarginSubhead"/>
              <w:widowControl w:val="0"/>
            </w:pPr>
            <w:r w:rsidRPr="005D4222">
              <w:t>Retroactive eligibility</w:t>
            </w:r>
          </w:p>
        </w:tc>
        <w:tc>
          <w:tcPr>
            <w:tcW w:w="7387" w:type="dxa"/>
            <w:tcBorders>
              <w:bottom w:val="nil"/>
            </w:tcBorders>
          </w:tcPr>
          <w:p w14:paraId="11A2F69A" w14:textId="77777777" w:rsidR="00834FBA" w:rsidRPr="005D4222" w:rsidRDefault="00834FBA" w:rsidP="009F6641">
            <w:pPr>
              <w:pStyle w:val="Body"/>
              <w:widowControl w:val="0"/>
            </w:pPr>
            <w:r w:rsidRPr="005D4222">
              <w:t>The elapsed time between the actual date when the organization became financially responsible for the Medicaid member and the date when it received notification of the new member. For measures with a continuous enrollment requirement, members may be excluded if the retroactive eligibility period exceeds the allowable gap requirement. This guideline must be used consistently across all measures.</w:t>
            </w:r>
          </w:p>
        </w:tc>
      </w:tr>
    </w:tbl>
    <w:p w14:paraId="7C1A30AB" w14:textId="3E1E850F" w:rsidR="00834FBA" w:rsidRPr="005D4222" w:rsidRDefault="00834FBA" w:rsidP="00834FBA">
      <w:pPr>
        <w:pStyle w:val="SubHeadNoTOC"/>
      </w:pPr>
      <w:bookmarkStart w:id="122" w:name="_Toc400546060"/>
      <w:r w:rsidRPr="005D4222">
        <w:rPr>
          <w:bCs/>
          <w:i/>
        </w:rPr>
        <w:t>General Guideline:</w:t>
      </w:r>
      <w:r w:rsidRPr="005D4222">
        <w:t xml:space="preserve"> Continuous Enrollment Over Multiple Years</w:t>
      </w:r>
      <w:bookmarkEnd w:id="122"/>
    </w:p>
    <w:p w14:paraId="4D4A4571" w14:textId="01B69C9E" w:rsidR="004D5C07" w:rsidRDefault="00834FBA" w:rsidP="00E83178">
      <w:pPr>
        <w:pStyle w:val="Body"/>
        <w:widowControl w:val="0"/>
      </w:pPr>
      <w:r w:rsidRPr="005D4222">
        <w:t xml:space="preserve">Unless otherwise specified, for measures that span more than 1 year, members are allowed one gap </w:t>
      </w:r>
      <w:r w:rsidRPr="005D4222">
        <w:br/>
        <w:t xml:space="preserve">in enrollment of up to 45 days during each year of continuous enrollment. A gap in enrollment that extends over multiple years of a continuous enrollment period may exceed 45 days. For example, in the </w:t>
      </w:r>
      <w:r w:rsidRPr="005D4222">
        <w:rPr>
          <w:iCs/>
        </w:rPr>
        <w:t>Statin Therapy for Patients With Cardiovascular Disease</w:t>
      </w:r>
      <w:r w:rsidRPr="005D4222" w:rsidDel="0036635D">
        <w:rPr>
          <w:iCs/>
        </w:rPr>
        <w:t xml:space="preserve"> </w:t>
      </w:r>
      <w:r w:rsidRPr="005D4222">
        <w:t>measure (which requires 2 years of continuous enrollment), a member who disenrolls on November 30 of the year prior to the measurement year and reenrolls on February 1 of the measurement year is considered continuously enrolled as long as there are no other gaps in enrollment during either year. The member has one gap of 31 days (December 1–31) in the year prior to the measurement year and one gap of 31 days (January 1–31) in the measurement year.</w:t>
      </w:r>
    </w:p>
    <w:p w14:paraId="55A3023C" w14:textId="77777777" w:rsidR="004D5C07" w:rsidRDefault="004D5C07">
      <w:pPr>
        <w:rPr>
          <w:kern w:val="24"/>
        </w:rPr>
      </w:pPr>
      <w:r>
        <w:br w:type="page"/>
      </w:r>
    </w:p>
    <w:p w14:paraId="3556E8BA" w14:textId="77777777" w:rsidR="00834FBA" w:rsidRPr="005D4222" w:rsidRDefault="00834FBA" w:rsidP="00834FBA">
      <w:pPr>
        <w:pStyle w:val="SubHeadNoTOC"/>
      </w:pPr>
      <w:bookmarkStart w:id="123" w:name="_Toc400546062"/>
      <w:r w:rsidRPr="005D4222">
        <w:rPr>
          <w:bCs/>
          <w:i/>
        </w:rPr>
        <w:lastRenderedPageBreak/>
        <w:t>General Guideline:</w:t>
      </w:r>
      <w:r w:rsidRPr="005D4222">
        <w:t xml:space="preserve"> Required Benefits</w:t>
      </w:r>
      <w:bookmarkEnd w:id="123"/>
    </w:p>
    <w:p w14:paraId="622AF7E4" w14:textId="77777777" w:rsidR="00834FBA" w:rsidRPr="005D4222" w:rsidRDefault="00834FBA" w:rsidP="00834FBA">
      <w:pPr>
        <w:pStyle w:val="Body"/>
      </w:pPr>
      <w:r w:rsidRPr="005D4222">
        <w:t>HEDIS measures evaluate performance and hold organizations accountable for services provided in their members’ benefits package. Measure specifications include benefits (medical, pharmacy, mental health, chemical dependency) required during the continuous enrollment period. HEDIS measures do not define benefits at the service level</w:t>
      </w:r>
      <w:r w:rsidRPr="005D4222" w:rsidDel="0090762C">
        <w:t xml:space="preserve"> (e.g., </w:t>
      </w:r>
      <w:r w:rsidRPr="005D4222">
        <w:t>if the organization offers a pharmacy benefit but does not cover a specific medication class, the member has a pharmacy benefit and is included in the applicable measures requiring this benefit</w:t>
      </w:r>
      <w:r w:rsidRPr="005D4222" w:rsidDel="004F72D2">
        <w:t>, s</w:t>
      </w:r>
      <w:r w:rsidRPr="005D4222">
        <w:t xml:space="preserve">imilarly </w:t>
      </w:r>
      <w:r w:rsidRPr="005D4222" w:rsidDel="004F72D2">
        <w:t xml:space="preserve">if the </w:t>
      </w:r>
      <w:r w:rsidRPr="005D4222">
        <w:t>member has partial coverage of mental health services (either by service or diagnosis),</w:t>
      </w:r>
      <w:r w:rsidRPr="005D4222" w:rsidDel="004F72D2">
        <w:t xml:space="preserve"> they are</w:t>
      </w:r>
      <w:r w:rsidRPr="005D4222">
        <w:t xml:space="preserve"> included as having a mental health benefit</w:t>
      </w:r>
      <w:r w:rsidRPr="005D4222" w:rsidDel="0090762C">
        <w:t>)</w:t>
      </w:r>
      <w:r w:rsidRPr="005D4222">
        <w:t>.</w:t>
      </w:r>
      <w:r w:rsidRPr="005D4222">
        <w:rPr>
          <w:rFonts w:eastAsia="Arial" w:cs="Arial"/>
        </w:rPr>
        <w:t xml:space="preserve"> Organizations must assess benefits first at the organization level and then at the individual member level using continuous enrollment data.</w:t>
      </w:r>
    </w:p>
    <w:tbl>
      <w:tblPr>
        <w:tblW w:w="9792" w:type="dxa"/>
        <w:tblLayout w:type="fixed"/>
        <w:tblLook w:val="0000" w:firstRow="0" w:lastRow="0" w:firstColumn="0" w:lastColumn="0" w:noHBand="0" w:noVBand="0"/>
      </w:tblPr>
      <w:tblGrid>
        <w:gridCol w:w="2160"/>
        <w:gridCol w:w="7632"/>
      </w:tblGrid>
      <w:tr w:rsidR="00834FBA" w:rsidRPr="005D4222" w14:paraId="0B6D27E4" w14:textId="77777777" w:rsidTr="009F6641">
        <w:tc>
          <w:tcPr>
            <w:tcW w:w="2160" w:type="dxa"/>
          </w:tcPr>
          <w:p w14:paraId="2574DB3E" w14:textId="77777777" w:rsidR="00834FBA" w:rsidRPr="005D4222" w:rsidRDefault="00834FBA" w:rsidP="00942669">
            <w:pPr>
              <w:pStyle w:val="MarginSubhead"/>
              <w:widowControl w:val="0"/>
              <w:spacing w:before="120"/>
              <w:jc w:val="right"/>
              <w:rPr>
                <w:i/>
              </w:rPr>
            </w:pPr>
            <w:r w:rsidRPr="005D4222">
              <w:rPr>
                <w:i/>
              </w:rPr>
              <w:t>…at the organization level</w:t>
            </w:r>
          </w:p>
        </w:tc>
        <w:tc>
          <w:tcPr>
            <w:tcW w:w="7632" w:type="dxa"/>
          </w:tcPr>
          <w:p w14:paraId="0F0BA534" w14:textId="77777777" w:rsidR="00834FBA" w:rsidRPr="005D4222" w:rsidRDefault="00834FBA" w:rsidP="00942669">
            <w:pPr>
              <w:pStyle w:val="Body"/>
              <w:spacing w:before="120"/>
            </w:pPr>
            <w:r w:rsidRPr="005D4222">
              <w:t>Organizations report HEDIS measures requiring a specific benefit provided to members directly or through a contractor.</w:t>
            </w:r>
          </w:p>
          <w:p w14:paraId="4CCD80E6" w14:textId="77777777" w:rsidR="00834FBA" w:rsidRPr="005D4222" w:rsidRDefault="00834FBA" w:rsidP="009F6641">
            <w:pPr>
              <w:pStyle w:val="Body"/>
              <w:spacing w:before="160"/>
              <w:rPr>
                <w:rFonts w:eastAsia="Arial"/>
              </w:rPr>
            </w:pPr>
            <w:r w:rsidRPr="005D4222">
              <w:t xml:space="preserve">Organizations are not required to report HEDIS measures specifying a benefit </w:t>
            </w:r>
            <w:r w:rsidRPr="005D4222" w:rsidDel="00E37E83">
              <w:t xml:space="preserve">that </w:t>
            </w:r>
            <w:r w:rsidRPr="005D4222" w:rsidDel="00427A35">
              <w:t>it does</w:t>
            </w:r>
            <w:r w:rsidRPr="005D4222">
              <w:t xml:space="preserve"> not offer. </w:t>
            </w:r>
          </w:p>
          <w:p w14:paraId="02D6DC90" w14:textId="77777777" w:rsidR="00834FBA" w:rsidRPr="005D4222" w:rsidDel="003A211A" w:rsidRDefault="00834FBA" w:rsidP="009F6641">
            <w:pPr>
              <w:pStyle w:val="Body"/>
              <w:spacing w:before="160"/>
            </w:pPr>
            <w:r w:rsidRPr="005D4222">
              <w:t xml:space="preserve">Before reporting a measure specifying a benefit, </w:t>
            </w:r>
            <w:r w:rsidRPr="005D4222" w:rsidDel="003A211A">
              <w:t xml:space="preserve">the </w:t>
            </w:r>
            <w:r w:rsidRPr="005D4222">
              <w:t>organization must be able to determine if a member has the required benefit.</w:t>
            </w:r>
          </w:p>
          <w:p w14:paraId="07D82E19" w14:textId="77777777" w:rsidR="00834FBA" w:rsidRPr="005D4222" w:rsidRDefault="00834FBA" w:rsidP="009F6641">
            <w:pPr>
              <w:pStyle w:val="Body"/>
              <w:spacing w:before="160"/>
            </w:pPr>
            <w:r w:rsidRPr="005D4222">
              <w:rPr>
                <w:rFonts w:eastAsia="Arial"/>
              </w:rPr>
              <w:t xml:space="preserve">If the </w:t>
            </w:r>
            <w:r w:rsidRPr="005D4222" w:rsidDel="00003BEE">
              <w:rPr>
                <w:rFonts w:eastAsia="Arial"/>
              </w:rPr>
              <w:t>organization does not offer the benefit, the plan</w:t>
            </w:r>
            <w:r w:rsidRPr="005D4222">
              <w:rPr>
                <w:rFonts w:eastAsia="Arial"/>
              </w:rPr>
              <w:t xml:space="preserve"> does not report the measure and receives an NB (No Benefit) audit designation. No member assessment is necessary.</w:t>
            </w:r>
          </w:p>
        </w:tc>
      </w:tr>
      <w:tr w:rsidR="00834FBA" w:rsidRPr="005D4222" w14:paraId="0BD51BC7" w14:textId="77777777" w:rsidTr="009F6641">
        <w:tc>
          <w:tcPr>
            <w:tcW w:w="2160" w:type="dxa"/>
          </w:tcPr>
          <w:p w14:paraId="759FFFC7" w14:textId="77777777" w:rsidR="00834FBA" w:rsidRPr="005D4222" w:rsidRDefault="00834FBA" w:rsidP="004D5C07">
            <w:pPr>
              <w:pStyle w:val="MarginSubhead"/>
              <w:widowControl w:val="0"/>
              <w:jc w:val="right"/>
              <w:rPr>
                <w:i/>
              </w:rPr>
            </w:pPr>
            <w:r w:rsidRPr="005D4222">
              <w:rPr>
                <w:i/>
              </w:rPr>
              <w:t xml:space="preserve">…at the </w:t>
            </w:r>
            <w:r w:rsidRPr="005D4222">
              <w:rPr>
                <w:i/>
              </w:rPr>
              <w:br/>
              <w:t>member level</w:t>
            </w:r>
          </w:p>
        </w:tc>
        <w:tc>
          <w:tcPr>
            <w:tcW w:w="7632" w:type="dxa"/>
          </w:tcPr>
          <w:p w14:paraId="16245B74" w14:textId="6EB9ABD3" w:rsidR="00834FBA" w:rsidRPr="005D4222" w:rsidRDefault="00834FBA" w:rsidP="004D5C07">
            <w:pPr>
              <w:pStyle w:val="Body"/>
              <w:widowControl w:val="0"/>
            </w:pPr>
            <w:r w:rsidRPr="005D4222">
              <w:t>Members who do not have a specified benefit are not counted in the measure. For example</w:t>
            </w:r>
            <w:r w:rsidRPr="005D4222">
              <w:rPr>
                <w:i/>
                <w:iCs/>
              </w:rPr>
              <w:t xml:space="preserve">, </w:t>
            </w:r>
            <w:r w:rsidRPr="005D4222">
              <w:t xml:space="preserve">exclude members without a pharmacy benefit from the </w:t>
            </w:r>
            <w:r w:rsidR="001D21B1" w:rsidRPr="005D4222">
              <w:rPr>
                <w:i/>
                <w:iCs/>
              </w:rPr>
              <w:t xml:space="preserve">Pharmacotherapy for Opioid Use Disorder </w:t>
            </w:r>
            <w:r w:rsidRPr="005D4222">
              <w:t xml:space="preserve">measure. When members are dual enrolled, organizations must assess the benefit requirements based on the submission in which the member is included, refer to General Guideline </w:t>
            </w:r>
            <w:r w:rsidRPr="005D4222">
              <w:rPr>
                <w:i/>
              </w:rPr>
              <w:t>Members With Dual Enrollment</w:t>
            </w:r>
            <w:r w:rsidRPr="005D4222">
              <w:t>.</w:t>
            </w:r>
          </w:p>
        </w:tc>
      </w:tr>
      <w:tr w:rsidR="00834FBA" w:rsidRPr="005D4222" w14:paraId="2FAF8026" w14:textId="77777777" w:rsidTr="009F6641">
        <w:tc>
          <w:tcPr>
            <w:tcW w:w="2160" w:type="dxa"/>
          </w:tcPr>
          <w:p w14:paraId="09976256" w14:textId="77777777" w:rsidR="00834FBA" w:rsidRPr="005D4222" w:rsidRDefault="00834FBA" w:rsidP="009F6641">
            <w:pPr>
              <w:pStyle w:val="MarginSubhead"/>
              <w:spacing w:before="160"/>
            </w:pPr>
            <w:r w:rsidRPr="005D4222">
              <w:t xml:space="preserve">Exhausted benefits </w:t>
            </w:r>
            <w:r w:rsidRPr="005D4222">
              <w:rPr>
                <w:i/>
              </w:rPr>
              <w:t>(optional)</w:t>
            </w:r>
          </w:p>
        </w:tc>
        <w:tc>
          <w:tcPr>
            <w:tcW w:w="7632" w:type="dxa"/>
          </w:tcPr>
          <w:p w14:paraId="0FA423D5" w14:textId="77777777" w:rsidR="00834FBA" w:rsidRPr="005D4222" w:rsidRDefault="00834FBA" w:rsidP="009F6641">
            <w:pPr>
              <w:pStyle w:val="Body"/>
              <w:spacing w:before="160"/>
            </w:pPr>
            <w:r w:rsidRPr="005D4222">
              <w:rPr>
                <w:i/>
              </w:rPr>
              <w:t xml:space="preserve">For measures without a continuous enrollment criterion, </w:t>
            </w:r>
            <w:r w:rsidRPr="005D4222">
              <w:t>include only services or procedures that occurred while the member had a benefit. For a member whose benefit is lost or exhausted during the time specified in the measure, include services or procedures that occurred while the member had the benefit.</w:t>
            </w:r>
          </w:p>
          <w:p w14:paraId="26FF6AC3" w14:textId="5584A78F" w:rsidR="00834FBA" w:rsidRPr="005D4222" w:rsidRDefault="00834FBA" w:rsidP="009F6641">
            <w:pPr>
              <w:pStyle w:val="Body"/>
              <w:spacing w:before="160"/>
            </w:pPr>
            <w:r w:rsidRPr="005D4222">
              <w:rPr>
                <w:i/>
              </w:rPr>
              <w:t>For measures with a continuous enrollment criterion</w:t>
            </w:r>
            <w:r w:rsidRPr="005D4222">
              <w:t xml:space="preserve">, the required benefits must be active for the period of continuous enrollment, accounting for any allowable gap. Exclude a member if the period when the benefit is exhausted exceeds any allowable gap. For example, the </w:t>
            </w:r>
            <w:r w:rsidR="00B23FB1" w:rsidRPr="005D4222">
              <w:t>Osteoporosis Screening in Older Women</w:t>
            </w:r>
            <w:r w:rsidRPr="005D4222">
              <w:t xml:space="preserve"> measure requires a pharmacy benefit during the measurement year</w:t>
            </w:r>
            <w:r w:rsidR="00B23FB1" w:rsidRPr="005D4222">
              <w:t xml:space="preserve"> and the year prior to the measurement year</w:t>
            </w:r>
            <w:r w:rsidRPr="005D4222">
              <w:t>. Exclude a member whose pharmacy benefit is exhausted in September of the measurement year, because this exceeds the 45-day allowable gap period.</w:t>
            </w:r>
          </w:p>
        </w:tc>
      </w:tr>
      <w:tr w:rsidR="00834FBA" w:rsidRPr="005D4222" w14:paraId="1C7F3B85" w14:textId="77777777" w:rsidTr="009F6641">
        <w:tc>
          <w:tcPr>
            <w:tcW w:w="2160" w:type="dxa"/>
          </w:tcPr>
          <w:p w14:paraId="7AD40C51" w14:textId="77777777" w:rsidR="00834FBA" w:rsidRPr="005D4222" w:rsidRDefault="00834FBA" w:rsidP="009F6641">
            <w:pPr>
              <w:pStyle w:val="MarginSubhead"/>
              <w:spacing w:before="160"/>
            </w:pPr>
            <w:r w:rsidRPr="005D4222">
              <w:t xml:space="preserve">Carved-out benefits </w:t>
            </w:r>
            <w:r w:rsidRPr="005D4222">
              <w:rPr>
                <w:i/>
              </w:rPr>
              <w:t>(optional)</w:t>
            </w:r>
          </w:p>
        </w:tc>
        <w:tc>
          <w:tcPr>
            <w:tcW w:w="7632" w:type="dxa"/>
          </w:tcPr>
          <w:p w14:paraId="33E96973" w14:textId="77777777" w:rsidR="00834FBA" w:rsidRPr="005D4222" w:rsidRDefault="00834FBA" w:rsidP="009F6641">
            <w:pPr>
              <w:pStyle w:val="Body"/>
              <w:spacing w:before="160"/>
              <w:rPr>
                <w:i/>
              </w:rPr>
            </w:pPr>
            <w:r w:rsidRPr="005D4222">
              <w:t>Some organizations can obtain the necessary information from a carved-out entity and may include these members in their measures. For example, an employer contracts directly with a pharmacy benefit manager (PBM), which shares pharmacy information with the organization. The employer’s members may be included in the measure.</w:t>
            </w:r>
          </w:p>
        </w:tc>
      </w:tr>
    </w:tbl>
    <w:p w14:paraId="581B0F84" w14:textId="106C01C5" w:rsidR="004D5C07" w:rsidRDefault="00834FBA" w:rsidP="00834FBA">
      <w:pPr>
        <w:pStyle w:val="Body"/>
      </w:pPr>
      <w:r w:rsidRPr="005D4222" w:rsidDel="000C2257">
        <w:t>This guideline must be used consistently across all measures.</w:t>
      </w:r>
    </w:p>
    <w:p w14:paraId="1A8C95AC" w14:textId="77777777" w:rsidR="004D5C07" w:rsidRDefault="004D5C07">
      <w:pPr>
        <w:rPr>
          <w:kern w:val="24"/>
        </w:rPr>
      </w:pPr>
      <w:r>
        <w:br w:type="page"/>
      </w:r>
    </w:p>
    <w:p w14:paraId="212F2F9E" w14:textId="77777777" w:rsidR="00834FBA" w:rsidRPr="005D4222" w:rsidRDefault="00834FBA" w:rsidP="00834FBA">
      <w:pPr>
        <w:pStyle w:val="SubHeadNoTOC"/>
        <w:spacing w:before="200"/>
      </w:pPr>
      <w:bookmarkStart w:id="124" w:name="_Toc400546063"/>
      <w:r w:rsidRPr="005D4222">
        <w:rPr>
          <w:bCs/>
          <w:i/>
        </w:rPr>
        <w:lastRenderedPageBreak/>
        <w:t>General Guideline:</w:t>
      </w:r>
      <w:r w:rsidRPr="005D4222">
        <w:rPr>
          <w:i/>
        </w:rPr>
        <w:t xml:space="preserve"> </w:t>
      </w:r>
      <w:r w:rsidRPr="005D4222">
        <w:t>Accessing Medical Records Prior to Enrollment</w:t>
      </w:r>
      <w:bookmarkEnd w:id="124"/>
    </w:p>
    <w:p w14:paraId="2994A9AC" w14:textId="50561C0B" w:rsidR="00DA27FA" w:rsidRPr="005D4222" w:rsidRDefault="00834FBA" w:rsidP="00F8004C">
      <w:pPr>
        <w:pStyle w:val="Body"/>
        <w:widowControl w:val="0"/>
      </w:pPr>
      <w:r w:rsidRPr="005D4222">
        <w:t>Data that can be accessed from a medical record are used to calculate a measure. If data from a medical record cannot be accessed because data were updated before the member was enrolled, the organization calculates the measure with the data that are available.</w:t>
      </w:r>
    </w:p>
    <w:p w14:paraId="5712D41E" w14:textId="25D5660C" w:rsidR="00834FBA" w:rsidRPr="005D4222" w:rsidRDefault="00834FBA" w:rsidP="00BE08C8">
      <w:pPr>
        <w:pStyle w:val="StdHead"/>
      </w:pPr>
      <w:bookmarkStart w:id="125" w:name="_Toc400546064"/>
      <w:bookmarkStart w:id="126" w:name="SubmissionReporting"/>
      <w:bookmarkStart w:id="127" w:name="_Toc74747856"/>
      <w:bookmarkStart w:id="128" w:name="_Toc171402944"/>
      <w:bookmarkStart w:id="129" w:name="_Toc201813364"/>
      <w:r w:rsidRPr="005D4222">
        <w:t xml:space="preserve">HEDIS </w:t>
      </w:r>
      <w:bookmarkStart w:id="130" w:name="_Toc452170789"/>
      <w:r w:rsidRPr="005D4222">
        <w:t>Data Submission and Reporting</w:t>
      </w:r>
      <w:bookmarkEnd w:id="125"/>
      <w:bookmarkEnd w:id="126"/>
      <w:bookmarkEnd w:id="127"/>
      <w:bookmarkEnd w:id="128"/>
      <w:bookmarkEnd w:id="129"/>
      <w:bookmarkEnd w:id="130"/>
      <w:r w:rsidRPr="005D4222">
        <w:t xml:space="preserve"> </w:t>
      </w:r>
    </w:p>
    <w:p w14:paraId="08606429" w14:textId="77777777" w:rsidR="00834FBA" w:rsidRPr="005D4222" w:rsidRDefault="00834FBA" w:rsidP="00834FBA">
      <w:pPr>
        <w:pStyle w:val="SubHeadNoTOC"/>
        <w:spacing w:before="180"/>
      </w:pPr>
      <w:bookmarkStart w:id="131" w:name="_Toc400546065"/>
      <w:r w:rsidRPr="005D4222">
        <w:rPr>
          <w:bCs/>
          <w:i/>
        </w:rPr>
        <w:t>General Guideline:</w:t>
      </w:r>
      <w:r w:rsidRPr="005D4222">
        <w:t xml:space="preserve"> </w:t>
      </w:r>
      <w:bookmarkStart w:id="132" w:name="HEDISReportingDate"/>
      <w:r w:rsidRPr="005D4222">
        <w:t>HEDIS Reporting Date</w:t>
      </w:r>
      <w:bookmarkEnd w:id="131"/>
      <w:bookmarkEnd w:id="132"/>
    </w:p>
    <w:p w14:paraId="74EF2387" w14:textId="666CFC70" w:rsidR="00834FBA" w:rsidRPr="005D4222" w:rsidRDefault="00834FBA" w:rsidP="00834FBA">
      <w:pPr>
        <w:pStyle w:val="Body"/>
        <w:widowControl w:val="0"/>
      </w:pPr>
      <w:r w:rsidRPr="005D4222">
        <w:t xml:space="preserve">For HEDIS MY </w:t>
      </w:r>
      <w:r w:rsidR="00D675B0" w:rsidRPr="005D4222">
        <w:t>20</w:t>
      </w:r>
      <w:r w:rsidR="00196AD2" w:rsidRPr="005D4222">
        <w:t>26</w:t>
      </w:r>
      <w:r w:rsidRPr="005D4222">
        <w:t xml:space="preserve">, all organizations reporting audited data to NCQA through the IDSS must submit data on or before </w:t>
      </w:r>
      <w:r w:rsidRPr="005D4222">
        <w:rPr>
          <w:b/>
          <w:bCs/>
        </w:rPr>
        <w:t xml:space="preserve">June 15, </w:t>
      </w:r>
      <w:r w:rsidR="00196AD2" w:rsidRPr="005D4222">
        <w:rPr>
          <w:b/>
          <w:bCs/>
        </w:rPr>
        <w:t>2027</w:t>
      </w:r>
      <w:r w:rsidRPr="005D4222">
        <w:rPr>
          <w:b/>
          <w:bCs/>
        </w:rPr>
        <w:t>.</w:t>
      </w:r>
      <w:r w:rsidRPr="005D4222">
        <w:t xml:space="preserve"> </w:t>
      </w:r>
    </w:p>
    <w:p w14:paraId="1532D972" w14:textId="68F702C7" w:rsidR="00834FBA" w:rsidRPr="005D4222" w:rsidRDefault="00834FBA" w:rsidP="00834FBA">
      <w:pPr>
        <w:pStyle w:val="Note"/>
        <w:widowControl w:val="0"/>
        <w:rPr>
          <w:b/>
          <w:bCs/>
        </w:rPr>
      </w:pPr>
      <w:r w:rsidRPr="005D4222">
        <w:rPr>
          <w:b/>
          <w:bCs/>
        </w:rPr>
        <w:t>Note:</w:t>
      </w:r>
      <w:r w:rsidRPr="005D4222">
        <w:t xml:space="preserve"> Organizations must submit and “plan-lock” audited HEDIS data to allow auditors sufficient time to review, approve and audit lock all submissions by the June 15 deadline. For HEDIS MY </w:t>
      </w:r>
      <w:r w:rsidR="006E3650" w:rsidRPr="005D4222">
        <w:t xml:space="preserve">2026 </w:t>
      </w:r>
      <w:r w:rsidRPr="005D4222">
        <w:t xml:space="preserve">reporting, organizations are required to “plan-lock” audited HEDIS data no later than </w:t>
      </w:r>
      <w:r w:rsidRPr="005D4222">
        <w:rPr>
          <w:b/>
          <w:bCs/>
        </w:rPr>
        <w:t xml:space="preserve">June 1, </w:t>
      </w:r>
      <w:r w:rsidR="006E3650" w:rsidRPr="005D4222">
        <w:rPr>
          <w:b/>
          <w:bCs/>
        </w:rPr>
        <w:t>2027</w:t>
      </w:r>
      <w:r w:rsidRPr="005D4222">
        <w:rPr>
          <w:b/>
          <w:bCs/>
        </w:rPr>
        <w:t>.</w:t>
      </w:r>
    </w:p>
    <w:p w14:paraId="5ACCB75D" w14:textId="58D343DC" w:rsidR="00834FBA" w:rsidRPr="005D4222" w:rsidRDefault="00834FBA" w:rsidP="00BE08C8">
      <w:pPr>
        <w:pStyle w:val="StdHead"/>
      </w:pPr>
      <w:bookmarkStart w:id="133" w:name="_Toc452170790"/>
      <w:bookmarkStart w:id="134" w:name="_Toc400546068"/>
      <w:bookmarkStart w:id="135" w:name="MethodsandSources"/>
      <w:bookmarkStart w:id="136" w:name="_Toc74747857"/>
      <w:bookmarkStart w:id="137" w:name="_Toc171402945"/>
      <w:bookmarkStart w:id="138" w:name="_Toc201813365"/>
      <w:r w:rsidRPr="005D4222">
        <w:t>Data Collection</w:t>
      </w:r>
      <w:bookmarkEnd w:id="133"/>
      <w:r w:rsidRPr="005D4222">
        <w:t xml:space="preserve"> Methods and Data Sources</w:t>
      </w:r>
      <w:bookmarkEnd w:id="134"/>
      <w:bookmarkEnd w:id="135"/>
      <w:bookmarkEnd w:id="136"/>
      <w:bookmarkEnd w:id="137"/>
      <w:bookmarkEnd w:id="138"/>
    </w:p>
    <w:p w14:paraId="7AA35987" w14:textId="3BDF2DEE" w:rsidR="00834FBA" w:rsidRPr="005D4222" w:rsidRDefault="00834FBA" w:rsidP="00834FBA">
      <w:pPr>
        <w:pStyle w:val="SubHeadNoTOC"/>
        <w:spacing w:before="240"/>
      </w:pPr>
      <w:bookmarkStart w:id="139" w:name="_Toc400546069"/>
      <w:bookmarkStart w:id="140" w:name="General_Guideline_Data_Collection_Method"/>
      <w:r w:rsidRPr="005D4222">
        <w:rPr>
          <w:bCs/>
          <w:i/>
        </w:rPr>
        <w:t>General Guideline:</w:t>
      </w:r>
      <w:r w:rsidRPr="005D4222">
        <w:t xml:space="preserve"> Data Collection Methods</w:t>
      </w:r>
      <w:bookmarkEnd w:id="139"/>
      <w:bookmarkEnd w:id="140"/>
    </w:p>
    <w:p w14:paraId="67AE7BB6" w14:textId="77777777" w:rsidR="00834FBA" w:rsidRPr="005D4222" w:rsidRDefault="00834FBA" w:rsidP="00834FBA">
      <w:pPr>
        <w:pStyle w:val="Body"/>
        <w:widowControl w:val="0"/>
      </w:pPr>
      <w:r w:rsidRPr="005D4222">
        <w:t>HEDIS measures are specified for one or more data collection methods:</w:t>
      </w:r>
    </w:p>
    <w:p w14:paraId="2BCCF612" w14:textId="77777777" w:rsidR="00834FBA" w:rsidRPr="005D4222" w:rsidRDefault="00834FBA" w:rsidP="00834FBA">
      <w:pPr>
        <w:pStyle w:val="Bullet"/>
        <w:widowControl w:val="0"/>
      </w:pPr>
      <w:r w:rsidRPr="005D4222">
        <w:t>Administrative Method.</w:t>
      </w:r>
    </w:p>
    <w:p w14:paraId="7108DB2A" w14:textId="77777777" w:rsidR="00834FBA" w:rsidRPr="005D4222" w:rsidRDefault="00834FBA" w:rsidP="00834FBA">
      <w:pPr>
        <w:pStyle w:val="Bullet"/>
        <w:widowControl w:val="0"/>
      </w:pPr>
      <w:r w:rsidRPr="005D4222">
        <w:t>Hybrid Method.</w:t>
      </w:r>
    </w:p>
    <w:p w14:paraId="7BCCD729" w14:textId="77777777" w:rsidR="00834FBA" w:rsidRPr="005D4222" w:rsidRDefault="00834FBA" w:rsidP="00834FBA">
      <w:pPr>
        <w:pStyle w:val="Bullet"/>
        <w:widowControl w:val="0"/>
      </w:pPr>
      <w:r w:rsidRPr="005D4222">
        <w:t>Survey Method.</w:t>
      </w:r>
    </w:p>
    <w:p w14:paraId="7C67384D" w14:textId="66572F87" w:rsidR="00834FBA" w:rsidRPr="005D4222" w:rsidRDefault="00834FBA" w:rsidP="00834FBA">
      <w:pPr>
        <w:pStyle w:val="Bullet"/>
        <w:widowControl w:val="0"/>
      </w:pPr>
      <w:r w:rsidRPr="005D4222">
        <w:t>Electronic</w:t>
      </w:r>
      <w:r w:rsidRPr="005D4222" w:rsidDel="00373CA8">
        <w:t xml:space="preserve"> </w:t>
      </w:r>
      <w:r w:rsidR="00484894" w:rsidRPr="005D4222">
        <w:t>Clinical</w:t>
      </w:r>
      <w:r w:rsidRPr="005D4222">
        <w:t xml:space="preserve"> Data Systems (ECDS)</w:t>
      </w:r>
      <w:r w:rsidR="003767FD" w:rsidRPr="005D4222">
        <w:t xml:space="preserve"> Method</w:t>
      </w:r>
      <w:r w:rsidRPr="005D4222">
        <w:t>.</w:t>
      </w:r>
    </w:p>
    <w:p w14:paraId="1EE7DE48" w14:textId="77777777" w:rsidR="00834FBA" w:rsidRPr="005D4222" w:rsidRDefault="00834FBA" w:rsidP="00834FBA">
      <w:pPr>
        <w:pStyle w:val="Body"/>
        <w:widowControl w:val="0"/>
      </w:pPr>
      <w:r w:rsidRPr="005D4222">
        <w:t>Each measure specifies the data collection methods that must be used. If a measure includes both the Administrative and Hybrid Methods, either method may be used.</w:t>
      </w:r>
    </w:p>
    <w:tbl>
      <w:tblPr>
        <w:tblW w:w="9792" w:type="dxa"/>
        <w:tblLayout w:type="fixed"/>
        <w:tblLook w:val="0000" w:firstRow="0" w:lastRow="0" w:firstColumn="0" w:lastColumn="0" w:noHBand="0" w:noVBand="0"/>
      </w:tblPr>
      <w:tblGrid>
        <w:gridCol w:w="2160"/>
        <w:gridCol w:w="7632"/>
      </w:tblGrid>
      <w:tr w:rsidR="00834FBA" w:rsidRPr="005D4222" w14:paraId="6344EDD3" w14:textId="77777777" w:rsidTr="009F6641">
        <w:tc>
          <w:tcPr>
            <w:tcW w:w="2160" w:type="dxa"/>
            <w:tcBorders>
              <w:bottom w:val="nil"/>
            </w:tcBorders>
          </w:tcPr>
          <w:p w14:paraId="404730D2" w14:textId="77777777" w:rsidR="00834FBA" w:rsidRPr="005D4222" w:rsidRDefault="00834FBA" w:rsidP="009F6641">
            <w:pPr>
              <w:pStyle w:val="MarginSubhead"/>
            </w:pPr>
            <w:r w:rsidRPr="005D4222">
              <w:t>Administrative Method</w:t>
            </w:r>
          </w:p>
        </w:tc>
        <w:tc>
          <w:tcPr>
            <w:tcW w:w="7632" w:type="dxa"/>
            <w:tcBorders>
              <w:bottom w:val="nil"/>
            </w:tcBorders>
          </w:tcPr>
          <w:p w14:paraId="0628B8C4" w14:textId="5BA4A841" w:rsidR="00834FBA" w:rsidRPr="005D4222" w:rsidRDefault="00834FBA" w:rsidP="009F6641">
            <w:pPr>
              <w:pStyle w:val="Body"/>
            </w:pPr>
            <w:r w:rsidRPr="005D4222">
              <w:t xml:space="preserve">Transaction data or other administrative data are used to identify the </w:t>
            </w:r>
            <w:r w:rsidR="00A45772" w:rsidRPr="005D4222">
              <w:t>initial</w:t>
            </w:r>
            <w:r w:rsidR="00A45772" w:rsidRPr="005D4222" w:rsidDel="003272E9">
              <w:t xml:space="preserve"> </w:t>
            </w:r>
            <w:r w:rsidRPr="005D4222" w:rsidDel="003272E9">
              <w:t>population</w:t>
            </w:r>
            <w:r w:rsidR="00DB3363" w:rsidRPr="005D4222">
              <w:t xml:space="preserve">, </w:t>
            </w:r>
            <w:r w:rsidR="00E44A0D" w:rsidRPr="005D4222">
              <w:t xml:space="preserve">denominator </w:t>
            </w:r>
            <w:r w:rsidR="308F9013" w:rsidRPr="005D4222">
              <w:t xml:space="preserve">exclusions, </w:t>
            </w:r>
            <w:r w:rsidR="00DB3363" w:rsidRPr="005D4222">
              <w:t>denominator</w:t>
            </w:r>
            <w:r w:rsidRPr="005D4222">
              <w:t xml:space="preserve"> and numerator. The reported rate is based on all members who meet the</w:t>
            </w:r>
            <w:r w:rsidRPr="005D4222" w:rsidDel="003272E9">
              <w:t xml:space="preserve"> </w:t>
            </w:r>
            <w:r w:rsidR="00DB3363" w:rsidRPr="005D4222">
              <w:t>denominator</w:t>
            </w:r>
            <w:r w:rsidRPr="005D4222">
              <w:t xml:space="preserve"> criteria and who are found through administrative data to have received the service required for the numerator.</w:t>
            </w:r>
          </w:p>
        </w:tc>
      </w:tr>
      <w:tr w:rsidR="00834FBA" w:rsidRPr="005D4222" w14:paraId="3DCCE984" w14:textId="77777777" w:rsidTr="009F6641">
        <w:tc>
          <w:tcPr>
            <w:tcW w:w="2160" w:type="dxa"/>
          </w:tcPr>
          <w:p w14:paraId="6664A173" w14:textId="77777777" w:rsidR="00834FBA" w:rsidRPr="005D4222" w:rsidRDefault="00834FBA" w:rsidP="009F6641">
            <w:pPr>
              <w:pStyle w:val="MarginSubhead"/>
            </w:pPr>
            <w:r w:rsidRPr="005D4222">
              <w:t>Hybrid Method</w:t>
            </w:r>
          </w:p>
        </w:tc>
        <w:tc>
          <w:tcPr>
            <w:tcW w:w="7632" w:type="dxa"/>
          </w:tcPr>
          <w:p w14:paraId="3D92A4E6" w14:textId="537BCACD" w:rsidR="00834FBA" w:rsidRPr="005D4222" w:rsidRDefault="00834FBA" w:rsidP="009F6641">
            <w:pPr>
              <w:pStyle w:val="Body"/>
            </w:pPr>
            <w:r w:rsidRPr="005D4222">
              <w:t xml:space="preserve">Organizations look for numerator compliance in both administrative and medical record data. The </w:t>
            </w:r>
            <w:r w:rsidR="28D0FF58" w:rsidRPr="005D4222">
              <w:t>hybrid</w:t>
            </w:r>
            <w:r w:rsidRPr="005D4222">
              <w:t xml:space="preserve"> denominator consists of a systematic sample of members drawn from the measure’s </w:t>
            </w:r>
            <w:r w:rsidR="29FC5B3F" w:rsidRPr="005D4222">
              <w:t xml:space="preserve">administrative </w:t>
            </w:r>
            <w:r w:rsidR="005776A4" w:rsidRPr="005D4222">
              <w:t>denominator</w:t>
            </w:r>
            <w:r w:rsidR="00711FFE" w:rsidRPr="005D4222">
              <w:t>.</w:t>
            </w:r>
            <w:r w:rsidRPr="005D4222">
              <w:rPr>
                <w:rStyle w:val="FootnoteReference"/>
              </w:rPr>
              <w:footnoteReference w:id="3"/>
            </w:r>
            <w:r w:rsidRPr="005D4222">
              <w:t xml:space="preserve"> Organizations review administrative data to determine if members in the systematic sample received the service and review medical record data for members who do not meet the numerator criteria through administrative data. The reported rate is based on members in the sample who received the service required for the numerator. </w:t>
            </w:r>
          </w:p>
        </w:tc>
      </w:tr>
      <w:tr w:rsidR="00834FBA" w:rsidRPr="005D4222" w14:paraId="48957E86" w14:textId="77777777" w:rsidTr="009F6641">
        <w:tc>
          <w:tcPr>
            <w:tcW w:w="2160" w:type="dxa"/>
          </w:tcPr>
          <w:p w14:paraId="79273E3F" w14:textId="77777777" w:rsidR="00834FBA" w:rsidRPr="005D4222" w:rsidRDefault="00834FBA" w:rsidP="009F6641">
            <w:pPr>
              <w:pStyle w:val="MarginSubhead"/>
              <w:widowControl w:val="0"/>
            </w:pPr>
            <w:r w:rsidRPr="005D4222">
              <w:t>Survey Method</w:t>
            </w:r>
          </w:p>
        </w:tc>
        <w:tc>
          <w:tcPr>
            <w:tcW w:w="7632" w:type="dxa"/>
          </w:tcPr>
          <w:p w14:paraId="2208D9BA" w14:textId="6629EE97" w:rsidR="00834FBA" w:rsidRPr="005D4222" w:rsidRDefault="00834FBA" w:rsidP="00BE4763">
            <w:pPr>
              <w:pStyle w:val="Body"/>
            </w:pPr>
            <w:r w:rsidRPr="005D4222">
              <w:t xml:space="preserve">Requires organizations to collect data through a survey. Specifications for survey measures are included in </w:t>
            </w:r>
            <w:r w:rsidRPr="005D4222">
              <w:rPr>
                <w:i/>
                <w:iCs/>
              </w:rPr>
              <w:t xml:space="preserve">HEDIS </w:t>
            </w:r>
            <w:r w:rsidRPr="005D4222">
              <w:rPr>
                <w:i/>
              </w:rPr>
              <w:t>Volume 3: Specifications for Survey Measures</w:t>
            </w:r>
            <w:r w:rsidRPr="005D4222">
              <w:t xml:space="preserve"> and </w:t>
            </w:r>
            <w:r w:rsidRPr="005D4222">
              <w:rPr>
                <w:i/>
                <w:iCs/>
              </w:rPr>
              <w:t xml:space="preserve">HEDIS </w:t>
            </w:r>
            <w:r w:rsidRPr="005D4222">
              <w:rPr>
                <w:i/>
              </w:rPr>
              <w:t xml:space="preserve">Volume 6: Specifications for the Medicare Health Outcomes Survey. </w:t>
            </w:r>
          </w:p>
        </w:tc>
      </w:tr>
      <w:tr w:rsidR="00834FBA" w:rsidRPr="005D4222" w14:paraId="29B3A0AB" w14:textId="77777777" w:rsidTr="009F6641">
        <w:tc>
          <w:tcPr>
            <w:tcW w:w="2160" w:type="dxa"/>
          </w:tcPr>
          <w:p w14:paraId="2A23BF3C" w14:textId="1795BE07" w:rsidR="00834FBA" w:rsidRPr="005D4222" w:rsidRDefault="00834FBA" w:rsidP="004D5C07">
            <w:pPr>
              <w:pStyle w:val="MarginSubhead"/>
              <w:widowControl w:val="0"/>
              <w:spacing w:before="0"/>
            </w:pPr>
            <w:r w:rsidRPr="005D4222">
              <w:lastRenderedPageBreak/>
              <w:t>ECDS</w:t>
            </w:r>
            <w:r w:rsidRPr="005D4222" w:rsidDel="00186258">
              <w:t xml:space="preserve"> </w:t>
            </w:r>
            <w:r w:rsidRPr="005D4222">
              <w:t>Method</w:t>
            </w:r>
          </w:p>
        </w:tc>
        <w:tc>
          <w:tcPr>
            <w:tcW w:w="7632" w:type="dxa"/>
          </w:tcPr>
          <w:p w14:paraId="446F645B" w14:textId="44012066" w:rsidR="000E02E4" w:rsidRPr="005D4222" w:rsidRDefault="000E02E4" w:rsidP="004D5C07">
            <w:pPr>
              <w:pStyle w:val="Body"/>
              <w:spacing w:before="0"/>
              <w:rPr>
                <w:kern w:val="20"/>
              </w:rPr>
            </w:pPr>
            <w:r w:rsidRPr="005D4222">
              <w:rPr>
                <w:kern w:val="20"/>
              </w:rPr>
              <w:t xml:space="preserve">Measures reported using ECDS are specified for the </w:t>
            </w:r>
            <w:r w:rsidR="00165EEF" w:rsidRPr="005D4222">
              <w:rPr>
                <w:kern w:val="20"/>
              </w:rPr>
              <w:t>e</w:t>
            </w:r>
            <w:r w:rsidRPr="005D4222">
              <w:rPr>
                <w:kern w:val="20"/>
              </w:rPr>
              <w:t xml:space="preserve">lectronic </w:t>
            </w:r>
            <w:r w:rsidR="00165EEF" w:rsidRPr="005D4222">
              <w:rPr>
                <w:kern w:val="20"/>
              </w:rPr>
              <w:t>m</w:t>
            </w:r>
            <w:r w:rsidRPr="005D4222">
              <w:rPr>
                <w:kern w:val="20"/>
              </w:rPr>
              <w:t>ethod of data collection.</w:t>
            </w:r>
          </w:p>
          <w:p w14:paraId="4B90DA7E" w14:textId="28A28659" w:rsidR="004044DA" w:rsidRPr="005D4222" w:rsidRDefault="000E02E4" w:rsidP="004044DA">
            <w:pPr>
              <w:pStyle w:val="Body"/>
              <w:rPr>
                <w:kern w:val="20"/>
              </w:rPr>
            </w:pPr>
            <w:r w:rsidRPr="005D4222">
              <w:rPr>
                <w:kern w:val="20"/>
              </w:rPr>
              <w:t>Data sets for ECDS reporting must contain data that ha</w:t>
            </w:r>
            <w:r w:rsidR="004A66EA" w:rsidRPr="005D4222">
              <w:rPr>
                <w:kern w:val="20"/>
              </w:rPr>
              <w:t>ve</w:t>
            </w:r>
            <w:r w:rsidRPr="005D4222">
              <w:rPr>
                <w:kern w:val="20"/>
              </w:rPr>
              <w:t xml:space="preserve"> been structured </w:t>
            </w:r>
            <w:r w:rsidR="004A66EA" w:rsidRPr="005D4222">
              <w:rPr>
                <w:kern w:val="20"/>
              </w:rPr>
              <w:t>to be able to</w:t>
            </w:r>
            <w:r w:rsidRPr="005D4222">
              <w:rPr>
                <w:kern w:val="20"/>
              </w:rPr>
              <w:t xml:space="preserve"> be queried by a HEDIS digital quality measure (dQM).</w:t>
            </w:r>
            <w:r w:rsidR="00AA1520" w:rsidRPr="005D4222">
              <w:rPr>
                <w:kern w:val="20"/>
              </w:rPr>
              <w:t xml:space="preserve"> </w:t>
            </w:r>
            <w:r w:rsidR="004044DA" w:rsidRPr="005D4222">
              <w:rPr>
                <w:kern w:val="20"/>
              </w:rPr>
              <w:t>Each electronic data source used for HEDIS ECDS reporting must have:</w:t>
            </w:r>
          </w:p>
          <w:p w14:paraId="0F1AF1D0" w14:textId="1C076B0F" w:rsidR="004044DA" w:rsidRPr="005D4222" w:rsidRDefault="004044DA" w:rsidP="001A131B">
            <w:pPr>
              <w:pStyle w:val="Bullet"/>
            </w:pPr>
            <w:r w:rsidRPr="005D4222">
              <w:t>Policies and procedures for establishing and maintaining database management systems.</w:t>
            </w:r>
          </w:p>
          <w:p w14:paraId="17BB6A78" w14:textId="66A8E7E1" w:rsidR="004044DA" w:rsidRPr="005D4222" w:rsidRDefault="004044DA" w:rsidP="001A131B">
            <w:pPr>
              <w:pStyle w:val="Bullet"/>
            </w:pPr>
            <w:r w:rsidRPr="005D4222">
              <w:t xml:space="preserve">Standard layout requirements. </w:t>
            </w:r>
          </w:p>
          <w:p w14:paraId="15FFE52F" w14:textId="1AA2638C" w:rsidR="004044DA" w:rsidRPr="005D4222" w:rsidRDefault="004044DA" w:rsidP="001A131B">
            <w:pPr>
              <w:pStyle w:val="Bullet"/>
            </w:pPr>
            <w:r w:rsidRPr="005D4222">
              <w:t xml:space="preserve">An automated process for extraction, transformation and loading of all data elements to the master file. </w:t>
            </w:r>
          </w:p>
          <w:p w14:paraId="0069D9F8" w14:textId="39D75C62" w:rsidR="000E02E4" w:rsidRPr="005D4222" w:rsidRDefault="00A86B41" w:rsidP="000E02E4">
            <w:pPr>
              <w:pStyle w:val="Body"/>
              <w:rPr>
                <w:i/>
                <w:iCs/>
                <w:kern w:val="20"/>
              </w:rPr>
            </w:pPr>
            <w:r w:rsidRPr="005D4222">
              <w:rPr>
                <w:kern w:val="20"/>
              </w:rPr>
              <w:t xml:space="preserve">The </w:t>
            </w:r>
            <w:r w:rsidR="00063B4C" w:rsidRPr="005D4222">
              <w:rPr>
                <w:kern w:val="20"/>
              </w:rPr>
              <w:t xml:space="preserve">proof-of-service and </w:t>
            </w:r>
            <w:r w:rsidRPr="005D4222">
              <w:rPr>
                <w:kern w:val="20"/>
              </w:rPr>
              <w:t xml:space="preserve">validation requirements are outlined in </w:t>
            </w:r>
            <w:r w:rsidR="00FF6C11" w:rsidRPr="005D4222">
              <w:rPr>
                <w:i/>
                <w:iCs/>
                <w:kern w:val="20"/>
              </w:rPr>
              <w:t>General Guideline:</w:t>
            </w:r>
            <w:r w:rsidR="004074A1" w:rsidRPr="005D4222">
              <w:rPr>
                <w:i/>
                <w:iCs/>
                <w:kern w:val="20"/>
              </w:rPr>
              <w:t xml:space="preserve"> Supplemental Data</w:t>
            </w:r>
            <w:r w:rsidR="00063B4C" w:rsidRPr="005D4222">
              <w:rPr>
                <w:i/>
                <w:iCs/>
                <w:kern w:val="20"/>
              </w:rPr>
              <w:t>.</w:t>
            </w:r>
          </w:p>
          <w:p w14:paraId="026339DD" w14:textId="77777777" w:rsidR="00C07D67" w:rsidRPr="005D4222" w:rsidRDefault="00C07D67" w:rsidP="00C07D67">
            <w:pPr>
              <w:pStyle w:val="Body"/>
            </w:pPr>
            <w:r w:rsidRPr="005D4222">
              <w:t>Administrative and non-administrative data may be used to identify the initial population.</w:t>
            </w:r>
          </w:p>
          <w:p w14:paraId="33AF9287" w14:textId="4C6DEC87" w:rsidR="00C07D67" w:rsidRPr="005D4222" w:rsidRDefault="00C07D67" w:rsidP="00C07D67">
            <w:pPr>
              <w:pStyle w:val="Body"/>
            </w:pPr>
            <w:r w:rsidRPr="005D4222">
              <w:t>To qualify for HEDIS ECDS reporting, data must use standard layouts, meet the measure</w:t>
            </w:r>
            <w:r w:rsidR="004A66EA" w:rsidRPr="005D4222">
              <w:t>’s</w:t>
            </w:r>
            <w:r w:rsidRPr="005D4222">
              <w:t xml:space="preserve"> technical specification requirements and be accessible by the care team upon request. Organizations meet this requirement if they </w:t>
            </w:r>
            <w:r w:rsidR="00ED65B1" w:rsidRPr="005D4222">
              <w:t>can</w:t>
            </w:r>
            <w:r w:rsidRPr="005D4222">
              <w:t xml:space="preserve"> provide the requested information (e.g., phone, secure email, direct feed, provider portal, file request) to providers</w:t>
            </w:r>
            <w:r w:rsidR="004B253E" w:rsidRPr="005D4222">
              <w:t>.</w:t>
            </w:r>
            <w:r w:rsidRPr="005D4222">
              <w:t xml:space="preserve"> Organizations should have documented processes for tracking these requests</w:t>
            </w:r>
            <w:r w:rsidR="004B253E" w:rsidRPr="005D4222">
              <w:t>,</w:t>
            </w:r>
            <w:r w:rsidRPr="005D4222">
              <w:t xml:space="preserve"> to be reviewed as part of the HEDIS audit.</w:t>
            </w:r>
          </w:p>
          <w:p w14:paraId="6584B9BF" w14:textId="0A30E78B" w:rsidR="000E02E4" w:rsidRPr="005D4222" w:rsidRDefault="00C07D67" w:rsidP="00F95F89">
            <w:pPr>
              <w:pStyle w:val="Body"/>
              <w:spacing w:before="0"/>
            </w:pPr>
            <w:r w:rsidRPr="005D4222">
              <w:t xml:space="preserve">Practitioners or practitioner groups that are accountable for clinical services provided to </w:t>
            </w:r>
            <w:r w:rsidR="00CF4FD8" w:rsidRPr="005D4222">
              <w:t>individuals</w:t>
            </w:r>
            <w:r w:rsidRPr="005D4222">
              <w:t xml:space="preserve"> must not be prevented from accessing data used by a</w:t>
            </w:r>
            <w:r w:rsidR="00B4085F" w:rsidRPr="005D4222">
              <w:t>n organization</w:t>
            </w:r>
            <w:r w:rsidRPr="005D4222">
              <w:t xml:space="preserve"> for quality measure reporting.</w:t>
            </w:r>
          </w:p>
          <w:p w14:paraId="6E4EFA87" w14:textId="5AB18E0D" w:rsidR="006C1CE8" w:rsidRPr="005D4222" w:rsidRDefault="00305D0C" w:rsidP="00F95F89">
            <w:pPr>
              <w:pStyle w:val="Body"/>
              <w:rPr>
                <w:szCs w:val="21"/>
              </w:rPr>
            </w:pPr>
            <w:r w:rsidRPr="005D4222">
              <w:rPr>
                <w:kern w:val="20"/>
              </w:rPr>
              <w:t xml:space="preserve">Organizations may use several data sources to provide complete information about the quality of health services. Data systems that may be eligible for HEDIS ECDS reporting include, but are not limited to, member eligibility files, EHRs, </w:t>
            </w:r>
            <w:r w:rsidR="00E0373C" w:rsidRPr="005D4222">
              <w:rPr>
                <w:kern w:val="20"/>
              </w:rPr>
              <w:t>personal health records (</w:t>
            </w:r>
            <w:r w:rsidRPr="005D4222">
              <w:rPr>
                <w:kern w:val="20"/>
              </w:rPr>
              <w:t>PHR</w:t>
            </w:r>
            <w:r w:rsidR="00E0373C" w:rsidRPr="005D4222">
              <w:rPr>
                <w:kern w:val="20"/>
              </w:rPr>
              <w:t>)</w:t>
            </w:r>
            <w:r w:rsidRPr="005D4222">
              <w:rPr>
                <w:kern w:val="20"/>
              </w:rPr>
              <w:t xml:space="preserve">, clinical registries, </w:t>
            </w:r>
            <w:r w:rsidR="007660D2" w:rsidRPr="005D4222">
              <w:rPr>
                <w:kern w:val="20"/>
              </w:rPr>
              <w:t>health information exchanges (</w:t>
            </w:r>
            <w:r w:rsidRPr="005D4222">
              <w:rPr>
                <w:kern w:val="20"/>
              </w:rPr>
              <w:t>HIE</w:t>
            </w:r>
            <w:r w:rsidR="007660D2" w:rsidRPr="005D4222">
              <w:rPr>
                <w:kern w:val="20"/>
              </w:rPr>
              <w:t>)</w:t>
            </w:r>
            <w:r w:rsidRPr="005D4222">
              <w:rPr>
                <w:kern w:val="20"/>
              </w:rPr>
              <w:t xml:space="preserve">, administrative claims systems, electronic laboratory reports (ELR), electronic pharmacy systems, immunization information systems (IIS) and disease/case management registries. </w:t>
            </w:r>
          </w:p>
          <w:p w14:paraId="386C317F" w14:textId="7DF18275" w:rsidR="00305D0C" w:rsidRPr="005D4222" w:rsidRDefault="00305D0C" w:rsidP="00F95F89">
            <w:pPr>
              <w:pStyle w:val="Body"/>
            </w:pPr>
            <w:r w:rsidRPr="005D4222">
              <w:rPr>
                <w:kern w:val="20"/>
              </w:rPr>
              <w:t xml:space="preserve">The data in these systems come in a variety of formats. The format type determines how the source is audited. </w:t>
            </w:r>
            <w:r w:rsidR="0046112F" w:rsidRPr="005D4222">
              <w:rPr>
                <w:kern w:val="20"/>
              </w:rPr>
              <w:t>Self</w:t>
            </w:r>
            <w:r w:rsidRPr="005D4222">
              <w:rPr>
                <w:kern w:val="20"/>
              </w:rPr>
              <w:t xml:space="preserve">-reported services are acceptable if the information is recorded, dated and maintained in the legal health record. The </w:t>
            </w:r>
            <w:r w:rsidR="00D779CE" w:rsidRPr="005D4222">
              <w:rPr>
                <w:kern w:val="20"/>
              </w:rPr>
              <w:t>self</w:t>
            </w:r>
            <w:r w:rsidRPr="005D4222">
              <w:rPr>
                <w:kern w:val="20"/>
              </w:rPr>
              <w:t xml:space="preserve">-reported data must follow </w:t>
            </w:r>
            <w:r w:rsidRPr="005D4222">
              <w:rPr>
                <w:i/>
                <w:kern w:val="20"/>
              </w:rPr>
              <w:t xml:space="preserve">General Guideline: </w:t>
            </w:r>
            <w:r w:rsidR="00172D36" w:rsidRPr="005D4222">
              <w:rPr>
                <w:i/>
                <w:kern w:val="20"/>
              </w:rPr>
              <w:t>Self</w:t>
            </w:r>
            <w:r w:rsidRPr="005D4222">
              <w:rPr>
                <w:i/>
                <w:kern w:val="20"/>
              </w:rPr>
              <w:t>-Reported Services and Biometric Values.</w:t>
            </w:r>
          </w:p>
        </w:tc>
      </w:tr>
    </w:tbl>
    <w:p w14:paraId="6B277731" w14:textId="7A863A6D" w:rsidR="00834FBA" w:rsidRPr="005D4222" w:rsidRDefault="00834FBA" w:rsidP="00834FBA">
      <w:pPr>
        <w:pStyle w:val="SubHeadNoTOC"/>
      </w:pPr>
      <w:r w:rsidRPr="005D4222">
        <w:rPr>
          <w:bCs/>
          <w:i/>
        </w:rPr>
        <w:t>Note</w:t>
      </w:r>
      <w:r w:rsidRPr="005D4222">
        <w:rPr>
          <w:i/>
          <w:iCs w:val="0"/>
        </w:rPr>
        <w:t xml:space="preserve"> </w:t>
      </w:r>
    </w:p>
    <w:p w14:paraId="6414800B" w14:textId="5DB04B0F" w:rsidR="00834FBA" w:rsidRPr="005D4222" w:rsidRDefault="004F3B22" w:rsidP="00834FBA">
      <w:pPr>
        <w:pStyle w:val="ProcessBullet"/>
        <w:rPr>
          <w:i/>
        </w:rPr>
      </w:pPr>
      <w:r w:rsidRPr="005D4222">
        <w:rPr>
          <w:i/>
          <w:iCs/>
        </w:rPr>
        <w:t xml:space="preserve">For </w:t>
      </w:r>
      <w:r w:rsidR="005A1365" w:rsidRPr="005D4222">
        <w:rPr>
          <w:i/>
          <w:iCs/>
        </w:rPr>
        <w:t>a</w:t>
      </w:r>
      <w:r w:rsidRPr="005D4222">
        <w:rPr>
          <w:i/>
          <w:iCs/>
        </w:rPr>
        <w:t xml:space="preserve">dministrative and </w:t>
      </w:r>
      <w:r w:rsidR="005A1365" w:rsidRPr="005D4222">
        <w:rPr>
          <w:i/>
          <w:iCs/>
        </w:rPr>
        <w:t>h</w:t>
      </w:r>
      <w:r w:rsidRPr="005D4222">
        <w:rPr>
          <w:i/>
          <w:iCs/>
        </w:rPr>
        <w:t>ybrid methods, s</w:t>
      </w:r>
      <w:r w:rsidR="00834FBA" w:rsidRPr="005D4222">
        <w:rPr>
          <w:i/>
          <w:iCs/>
        </w:rPr>
        <w:t xml:space="preserve">upplemental data are considered an administrative data source; however, for the EOC measures and Utilization measures similar to EOC (W30 and WCV), numerator events identified using supplemental data are reported separately from numerator events identified by administrative (claims/ encounter) and medical record data, as indicated in the applicable Data Elements for Reporting tables. </w:t>
      </w:r>
    </w:p>
    <w:p w14:paraId="01811FE9" w14:textId="3C8C4A93" w:rsidR="00834FBA" w:rsidRPr="005D4222" w:rsidRDefault="001900AB" w:rsidP="00834FBA">
      <w:pPr>
        <w:pStyle w:val="ProcessBullet"/>
      </w:pPr>
      <w:r w:rsidRPr="005D4222">
        <w:rPr>
          <w:i/>
          <w:iCs/>
        </w:rPr>
        <w:t xml:space="preserve">For </w:t>
      </w:r>
      <w:r w:rsidR="005A1365" w:rsidRPr="005D4222">
        <w:rPr>
          <w:i/>
          <w:iCs/>
        </w:rPr>
        <w:t>a</w:t>
      </w:r>
      <w:r w:rsidRPr="005D4222">
        <w:rPr>
          <w:i/>
          <w:iCs/>
        </w:rPr>
        <w:t>dmini</w:t>
      </w:r>
      <w:r w:rsidR="00E9465F" w:rsidRPr="005D4222">
        <w:rPr>
          <w:i/>
          <w:iCs/>
        </w:rPr>
        <w:t xml:space="preserve">strative and </w:t>
      </w:r>
      <w:r w:rsidR="005A1365" w:rsidRPr="005D4222">
        <w:rPr>
          <w:i/>
          <w:iCs/>
        </w:rPr>
        <w:t>h</w:t>
      </w:r>
      <w:r w:rsidR="00E9465F" w:rsidRPr="005D4222">
        <w:rPr>
          <w:i/>
          <w:iCs/>
        </w:rPr>
        <w:t>ybrid methods, a</w:t>
      </w:r>
      <w:r w:rsidR="00834FBA" w:rsidRPr="005D4222">
        <w:rPr>
          <w:i/>
          <w:iCs/>
        </w:rPr>
        <w:t xml:space="preserve">ny data found in a supplemental data source are considered a supplemental data hit if the </w:t>
      </w:r>
      <w:r w:rsidR="00354F28" w:rsidRPr="005D4222">
        <w:rPr>
          <w:i/>
          <w:iCs/>
        </w:rPr>
        <w:t>person</w:t>
      </w:r>
      <w:r w:rsidR="00834FBA" w:rsidRPr="005D4222">
        <w:rPr>
          <w:i/>
          <w:iCs/>
        </w:rPr>
        <w:t xml:space="preserve"> would not be compliant for the measure/indicator without the data source. If supplemental data are not used, report zero in the “Numerator events by supplemental data” element. For all other measures, numerator events identified using supplemental data are </w:t>
      </w:r>
      <w:r w:rsidR="00834FBA" w:rsidRPr="005D4222">
        <w:rPr>
          <w:i/>
          <w:iCs/>
        </w:rPr>
        <w:lastRenderedPageBreak/>
        <w:t xml:space="preserve">reported in the “Numerator events by administrative data” element. Refer to </w:t>
      </w:r>
      <w:hyperlink w:anchor="GG_SupplementalData" w:history="1">
        <w:r w:rsidR="00834FBA" w:rsidRPr="005D4222">
          <w:rPr>
            <w:rStyle w:val="Hyperlink"/>
          </w:rPr>
          <w:t>General Guideline: Supplemental Data</w:t>
        </w:r>
      </w:hyperlink>
      <w:r w:rsidR="00834FBA" w:rsidRPr="005D4222">
        <w:t>.</w:t>
      </w:r>
    </w:p>
    <w:p w14:paraId="51B1CF10" w14:textId="77777777" w:rsidR="00834FBA" w:rsidRPr="005D4222" w:rsidRDefault="00834FBA" w:rsidP="00834FBA">
      <w:pPr>
        <w:pStyle w:val="ProcessBullet"/>
        <w:rPr>
          <w:i/>
          <w:iCs/>
        </w:rPr>
      </w:pPr>
      <w:r w:rsidRPr="005D4222">
        <w:rPr>
          <w:i/>
          <w:iCs/>
        </w:rPr>
        <w:t>For the Transitions of Care measure, there are two numerators where administrative reporting is not available; only medical record data or supplemental data may be used. Supplemental data must include all elements required by the measure’s hybrid specifications for these indicators; once they are validated, the organization must determine how to integrate the results for reporting. Organizations should work with their vendors and the process should be reviewed and approved by the auditor. Supplemental data for Notification of Inpatient Admission and Receipt of Discharge Information indicators must be reported in the “Numerator events by supplemental data” data element in IDSS.</w:t>
      </w:r>
    </w:p>
    <w:p w14:paraId="2D61731B" w14:textId="7BF1E996" w:rsidR="00834FBA" w:rsidRPr="005D4222" w:rsidRDefault="00834FBA" w:rsidP="00834FBA">
      <w:pPr>
        <w:pStyle w:val="SubHeadNoTOC"/>
      </w:pPr>
      <w:bookmarkStart w:id="141" w:name="GG_SupplementalData"/>
      <w:bookmarkStart w:id="142" w:name="_Toc400546070"/>
      <w:r w:rsidRPr="005D4222">
        <w:rPr>
          <w:bCs/>
          <w:i/>
        </w:rPr>
        <w:t>General Guideline:</w:t>
      </w:r>
      <w:r w:rsidRPr="005D4222">
        <w:t xml:space="preserve"> </w:t>
      </w:r>
      <w:bookmarkStart w:id="143" w:name="SupplementalData"/>
      <w:r w:rsidRPr="005D4222">
        <w:t>Supplemental Data</w:t>
      </w:r>
      <w:bookmarkEnd w:id="141"/>
      <w:bookmarkEnd w:id="143"/>
    </w:p>
    <w:tbl>
      <w:tblPr>
        <w:tblW w:w="9792" w:type="dxa"/>
        <w:tblLayout w:type="fixed"/>
        <w:tblLook w:val="0000" w:firstRow="0" w:lastRow="0" w:firstColumn="0" w:lastColumn="0" w:noHBand="0" w:noVBand="0"/>
      </w:tblPr>
      <w:tblGrid>
        <w:gridCol w:w="2160"/>
        <w:gridCol w:w="7632"/>
      </w:tblGrid>
      <w:tr w:rsidR="00834FBA" w:rsidRPr="005D4222" w14:paraId="52C51546" w14:textId="77777777" w:rsidTr="009F6641">
        <w:tc>
          <w:tcPr>
            <w:tcW w:w="2160" w:type="dxa"/>
          </w:tcPr>
          <w:p w14:paraId="0E898D08" w14:textId="77777777" w:rsidR="00834FBA" w:rsidRPr="005D4222" w:rsidRDefault="00834FBA" w:rsidP="009F6641">
            <w:pPr>
              <w:pStyle w:val="MarginSubhead"/>
              <w:widowControl w:val="0"/>
              <w:rPr>
                <w:i/>
              </w:rPr>
            </w:pPr>
            <w:r w:rsidRPr="005D4222">
              <w:t>Supplemental data uses</w:t>
            </w:r>
          </w:p>
        </w:tc>
        <w:tc>
          <w:tcPr>
            <w:tcW w:w="7632" w:type="dxa"/>
          </w:tcPr>
          <w:p w14:paraId="4DF4248D" w14:textId="69723CB7" w:rsidR="00834FBA" w:rsidRPr="005D4222" w:rsidRDefault="00834FBA" w:rsidP="009F6641">
            <w:pPr>
              <w:pStyle w:val="Body"/>
              <w:rPr>
                <w:rFonts w:eastAsiaTheme="minorHAnsi"/>
              </w:rPr>
            </w:pPr>
            <w:r w:rsidRPr="005D4222">
              <w:rPr>
                <w:rFonts w:eastAsiaTheme="minorHAnsi"/>
              </w:rPr>
              <w:t xml:space="preserve">Organizations may find information about services in administrative data, medical records and other data sources. When evidence to support the measure is found in multiple data sources, a hierarchy is applied. Supplemental data are considered last as long as the specifications are followed as written (e.g., if the organization uses a combination of data sources to identify the Glycemic Status &lt;8.0% indicator in the Glycemic Status Assessment for Patients With Diabetes measure, the most recent test must be used, regardless of data source). </w:t>
            </w:r>
          </w:p>
          <w:p w14:paraId="2A2B1B5A" w14:textId="77777777" w:rsidR="00834FBA" w:rsidRPr="005D4222" w:rsidRDefault="00834FBA" w:rsidP="009F6641">
            <w:pPr>
              <w:pStyle w:val="Body"/>
            </w:pPr>
            <w:r w:rsidRPr="005D4222">
              <w:rPr>
                <w:rFonts w:eastAsiaTheme="minorHAnsi"/>
              </w:rPr>
              <w:t>For administrative-only measures, medical record data are considered supplemental data.</w:t>
            </w:r>
          </w:p>
        </w:tc>
      </w:tr>
      <w:tr w:rsidR="00834FBA" w:rsidRPr="005D4222" w14:paraId="32DF9A24" w14:textId="77777777" w:rsidTr="009F6641">
        <w:tc>
          <w:tcPr>
            <w:tcW w:w="2160" w:type="dxa"/>
          </w:tcPr>
          <w:p w14:paraId="6DCE0681" w14:textId="77777777" w:rsidR="00834FBA" w:rsidRPr="005D4222" w:rsidRDefault="00834FBA" w:rsidP="004D5C07">
            <w:pPr>
              <w:pStyle w:val="MarginSubhead"/>
              <w:widowControl w:val="0"/>
              <w:jc w:val="right"/>
              <w:rPr>
                <w:i/>
              </w:rPr>
            </w:pPr>
            <w:r w:rsidRPr="005D4222">
              <w:rPr>
                <w:i/>
              </w:rPr>
              <w:t>Supplemental data may help determine:</w:t>
            </w:r>
          </w:p>
        </w:tc>
        <w:tc>
          <w:tcPr>
            <w:tcW w:w="7632" w:type="dxa"/>
          </w:tcPr>
          <w:p w14:paraId="13DC682B" w14:textId="77777777" w:rsidR="00834FBA" w:rsidRPr="005D4222" w:rsidRDefault="00834FBA" w:rsidP="004D5C07">
            <w:pPr>
              <w:pStyle w:val="ProcessBullet"/>
              <w:spacing w:before="180"/>
            </w:pPr>
            <w:r w:rsidRPr="005D4222">
              <w:t xml:space="preserve">Numerators that are labeled as </w:t>
            </w:r>
            <w:r w:rsidRPr="005D4222">
              <w:rPr>
                <w:i/>
                <w:iCs/>
              </w:rPr>
              <w:t>numerators</w:t>
            </w:r>
            <w:r w:rsidRPr="005D4222">
              <w:t xml:space="preserve"> in the specification. </w:t>
            </w:r>
          </w:p>
          <w:p w14:paraId="09950347" w14:textId="6AE53786" w:rsidR="00834FBA" w:rsidRPr="005D4222" w:rsidRDefault="00AD28C4" w:rsidP="009F6641">
            <w:pPr>
              <w:pStyle w:val="ProcessBullet"/>
            </w:pPr>
            <w:r w:rsidRPr="005D4222">
              <w:t>Persons</w:t>
            </w:r>
            <w:r w:rsidR="00834FBA" w:rsidRPr="005D4222">
              <w:t xml:space="preserve"> in hospice and </w:t>
            </w:r>
            <w:r w:rsidRPr="005D4222">
              <w:t>persons</w:t>
            </w:r>
            <w:r w:rsidR="00834FBA" w:rsidRPr="005D4222">
              <w:t xml:space="preserve"> who have died.</w:t>
            </w:r>
          </w:p>
          <w:p w14:paraId="34AB8379" w14:textId="7DFF3FC8" w:rsidR="00834FBA" w:rsidRPr="005D4222" w:rsidRDefault="00E825F4" w:rsidP="009F6641">
            <w:pPr>
              <w:pStyle w:val="ProcessBullet"/>
            </w:pPr>
            <w:r w:rsidRPr="005D4222">
              <w:t>E</w:t>
            </w:r>
            <w:r w:rsidR="00834FBA" w:rsidRPr="005D4222">
              <w:t>xclusions</w:t>
            </w:r>
            <w:r w:rsidR="00834FBA" w:rsidRPr="005D4222" w:rsidDel="0023280B">
              <w:t xml:space="preserve"> that are labeled as </w:t>
            </w:r>
            <w:r w:rsidR="0066687D" w:rsidRPr="005D4222">
              <w:rPr>
                <w:i/>
              </w:rPr>
              <w:t>denominator</w:t>
            </w:r>
            <w:r w:rsidR="0066687D" w:rsidRPr="005D4222" w:rsidDel="0023280B">
              <w:rPr>
                <w:i/>
              </w:rPr>
              <w:t xml:space="preserve"> </w:t>
            </w:r>
            <w:r w:rsidR="00834FBA" w:rsidRPr="005D4222" w:rsidDel="0023280B">
              <w:rPr>
                <w:i/>
              </w:rPr>
              <w:t>exclusions</w:t>
            </w:r>
            <w:r w:rsidR="00834FBA" w:rsidRPr="005D4222" w:rsidDel="0023280B">
              <w:rPr>
                <w:i/>
                <w:iCs/>
              </w:rPr>
              <w:t xml:space="preserve"> </w:t>
            </w:r>
            <w:r w:rsidR="00834FBA" w:rsidRPr="005D4222" w:rsidDel="0023280B">
              <w:t>in the specification</w:t>
            </w:r>
            <w:r w:rsidR="00834FBA" w:rsidRPr="005D4222">
              <w:t xml:space="preserve">. </w:t>
            </w:r>
          </w:p>
        </w:tc>
      </w:tr>
      <w:tr w:rsidR="00834FBA" w:rsidRPr="005D4222" w14:paraId="3CDBAD4E" w14:textId="77777777" w:rsidTr="009F6641">
        <w:tc>
          <w:tcPr>
            <w:tcW w:w="2160" w:type="dxa"/>
          </w:tcPr>
          <w:p w14:paraId="4729211B" w14:textId="77777777" w:rsidR="00834FBA" w:rsidRPr="005D4222" w:rsidRDefault="00834FBA" w:rsidP="009F6641">
            <w:pPr>
              <w:pStyle w:val="MarginSubhead"/>
              <w:jc w:val="right"/>
              <w:rPr>
                <w:i/>
              </w:rPr>
            </w:pPr>
            <w:r w:rsidRPr="005D4222">
              <w:rPr>
                <w:i/>
              </w:rPr>
              <w:t xml:space="preserve">Supplemental data </w:t>
            </w:r>
            <w:r w:rsidRPr="005D4222">
              <w:rPr>
                <w:bCs/>
              </w:rPr>
              <w:t>may not</w:t>
            </w:r>
            <w:r w:rsidRPr="005D4222">
              <w:rPr>
                <w:i/>
              </w:rPr>
              <w:t xml:space="preserve"> be used for:</w:t>
            </w:r>
          </w:p>
        </w:tc>
        <w:tc>
          <w:tcPr>
            <w:tcW w:w="7632" w:type="dxa"/>
          </w:tcPr>
          <w:p w14:paraId="0FE7F455" w14:textId="2A5D86AF" w:rsidR="00834FBA" w:rsidRPr="005D4222" w:rsidRDefault="00B34C22" w:rsidP="009F6641">
            <w:pPr>
              <w:pStyle w:val="ProcessBullet"/>
              <w:spacing w:before="180"/>
            </w:pPr>
            <w:r w:rsidRPr="005D4222">
              <w:t>Initial population</w:t>
            </w:r>
            <w:r w:rsidR="00834FBA" w:rsidRPr="005D4222">
              <w:t xml:space="preserve"> events. Organizations may not create and use records to identify </w:t>
            </w:r>
            <w:r w:rsidR="00CA480F" w:rsidRPr="005D4222">
              <w:t xml:space="preserve">initial population </w:t>
            </w:r>
            <w:r w:rsidR="00834FBA" w:rsidRPr="005D4222">
              <w:t xml:space="preserve">events, other than for </w:t>
            </w:r>
            <w:r w:rsidR="00C45D1A" w:rsidRPr="005D4222">
              <w:t xml:space="preserve">denominator </w:t>
            </w:r>
            <w:r w:rsidR="00834FBA" w:rsidRPr="005D4222">
              <w:t xml:space="preserve">exclusions. </w:t>
            </w:r>
          </w:p>
          <w:p w14:paraId="50952D74" w14:textId="77777777" w:rsidR="00834FBA" w:rsidRPr="005D4222" w:rsidRDefault="00834FBA" w:rsidP="009F6641">
            <w:pPr>
              <w:pStyle w:val="ProcessBullet"/>
            </w:pPr>
            <w:r w:rsidRPr="005D4222">
              <w:t>Clinical conditions that change. Organizations may not create and use records, on an ongoing basis, for exclusions for clinical conditions that change.</w:t>
            </w:r>
          </w:p>
          <w:p w14:paraId="05FDAD69" w14:textId="77777777" w:rsidR="00834FBA" w:rsidRPr="005D4222" w:rsidRDefault="00834FBA" w:rsidP="009F6641">
            <w:pPr>
              <w:pStyle w:val="ProcessBullet"/>
            </w:pPr>
            <w:r w:rsidRPr="005D4222">
              <w:t xml:space="preserve">Correcting bills or identifying valid data errors. Organizations may not use supplemental data to adjust incorrect billing practices or to identify valid data errors. This practice results in a change in claims data and is not allowed. </w:t>
            </w:r>
          </w:p>
          <w:p w14:paraId="6FF248B1" w14:textId="3743AB26" w:rsidR="00834FBA" w:rsidRPr="005D4222" w:rsidRDefault="00834FBA" w:rsidP="009F6641">
            <w:pPr>
              <w:pStyle w:val="ProcessBullet"/>
            </w:pPr>
            <w:r w:rsidRPr="005D4222" w:rsidDel="00744BDC">
              <w:t>M</w:t>
            </w:r>
            <w:r w:rsidRPr="005D4222">
              <w:t xml:space="preserve">easures where the specification </w:t>
            </w:r>
            <w:r w:rsidRPr="005D4222" w:rsidDel="006B4D2A">
              <w:t>specifically indicates</w:t>
            </w:r>
            <w:r w:rsidRPr="005D4222">
              <w:t xml:space="preserve"> supplemental data</w:t>
            </w:r>
            <w:r w:rsidRPr="005D4222" w:rsidDel="00744BDC">
              <w:t xml:space="preserve"> </w:t>
            </w:r>
            <w:r w:rsidRPr="005D4222" w:rsidDel="003A7AED">
              <w:t>can</w:t>
            </w:r>
            <w:r w:rsidRPr="005D4222" w:rsidDel="00744BDC">
              <w:t>not be used</w:t>
            </w:r>
            <w:r w:rsidRPr="005D4222">
              <w:t xml:space="preserve">, except </w:t>
            </w:r>
            <w:r w:rsidRPr="005D4222" w:rsidDel="006B4D2A">
              <w:t>for applying</w:t>
            </w:r>
            <w:r w:rsidRPr="005D4222" w:rsidDel="00F10870">
              <w:t xml:space="preserve"> the hospice exclusion and </w:t>
            </w:r>
            <w:r w:rsidR="00316F16" w:rsidRPr="005D4222">
              <w:t>the death exclusion</w:t>
            </w:r>
            <w:r w:rsidRPr="005D4222">
              <w:t>.</w:t>
            </w:r>
          </w:p>
        </w:tc>
      </w:tr>
    </w:tbl>
    <w:p w14:paraId="52945EAE" w14:textId="77777777" w:rsidR="00834FBA" w:rsidRPr="005D4222" w:rsidRDefault="00834FBA" w:rsidP="00834FBA">
      <w:pPr>
        <w:pStyle w:val="Heading3"/>
        <w:spacing w:after="0"/>
        <w:rPr>
          <w:sz w:val="21"/>
          <w:szCs w:val="21"/>
        </w:rPr>
      </w:pPr>
      <w:r w:rsidRPr="005D4222">
        <w:rPr>
          <w:sz w:val="21"/>
          <w:szCs w:val="21"/>
        </w:rPr>
        <w:t>Supplemental Data Definitions</w:t>
      </w:r>
    </w:p>
    <w:p w14:paraId="21010EC8" w14:textId="77777777" w:rsidR="00834FBA" w:rsidRPr="005D4222" w:rsidRDefault="00834FBA" w:rsidP="00834FBA">
      <w:pPr>
        <w:pStyle w:val="Body"/>
        <w:tabs>
          <w:tab w:val="left" w:pos="2268"/>
        </w:tabs>
      </w:pPr>
      <w:r w:rsidRPr="005D4222">
        <w:t xml:space="preserve">The auditor determines the classification of all supplemental data, not the organization. </w:t>
      </w:r>
    </w:p>
    <w:tbl>
      <w:tblPr>
        <w:tblW w:w="9724" w:type="dxa"/>
        <w:tblLayout w:type="fixed"/>
        <w:tblLook w:val="0000" w:firstRow="0" w:lastRow="0" w:firstColumn="0" w:lastColumn="0" w:noHBand="0" w:noVBand="0"/>
      </w:tblPr>
      <w:tblGrid>
        <w:gridCol w:w="2160"/>
        <w:gridCol w:w="7564"/>
      </w:tblGrid>
      <w:tr w:rsidR="00834FBA" w:rsidRPr="005D4222" w14:paraId="566C1E3E" w14:textId="77777777" w:rsidTr="009F6641">
        <w:tc>
          <w:tcPr>
            <w:tcW w:w="2160" w:type="dxa"/>
          </w:tcPr>
          <w:p w14:paraId="40A0D2C4" w14:textId="77777777" w:rsidR="00834FBA" w:rsidRPr="005D4222" w:rsidRDefault="00834FBA" w:rsidP="009F6641">
            <w:pPr>
              <w:pStyle w:val="MarginSubhead"/>
              <w:widowControl w:val="0"/>
              <w:jc w:val="right"/>
              <w:rPr>
                <w:i/>
              </w:rPr>
            </w:pPr>
            <w:r w:rsidRPr="005D4222">
              <w:rPr>
                <w:i/>
              </w:rPr>
              <w:t>Standard supplemental data</w:t>
            </w:r>
          </w:p>
        </w:tc>
        <w:tc>
          <w:tcPr>
            <w:tcW w:w="7564" w:type="dxa"/>
          </w:tcPr>
          <w:p w14:paraId="74C2874F" w14:textId="77777777" w:rsidR="00834FBA" w:rsidRPr="005D4222" w:rsidRDefault="00834FBA" w:rsidP="009F6641">
            <w:pPr>
              <w:pStyle w:val="Body"/>
            </w:pPr>
            <w:r w:rsidRPr="005D4222">
              <w:t xml:space="preserve">Electronically generated files that come from service providers (providers who rendered the service). Production of these files follows clear policies and procedures; standard file layouts remain stable from year to year. </w:t>
            </w:r>
          </w:p>
          <w:p w14:paraId="65CDE74B" w14:textId="77777777" w:rsidR="00834FBA" w:rsidRPr="005D4222" w:rsidRDefault="00834FBA" w:rsidP="009F6641">
            <w:pPr>
              <w:pStyle w:val="Body"/>
            </w:pPr>
            <w:r w:rsidRPr="005D4222">
              <w:rPr>
                <w:b/>
              </w:rPr>
              <w:t xml:space="preserve">Audit requirements. </w:t>
            </w:r>
            <w:r w:rsidRPr="005D4222">
              <w:t>Standard supplemental data are not required to be accompanied by proof-of-service documents and the audit does not require primary source verification, unless requested by the auditor.</w:t>
            </w:r>
          </w:p>
          <w:p w14:paraId="272F235B" w14:textId="77777777" w:rsidR="00834FBA" w:rsidRPr="005D4222" w:rsidRDefault="00834FBA" w:rsidP="004D5C07">
            <w:pPr>
              <w:pStyle w:val="Note"/>
              <w:spacing w:before="0"/>
              <w:rPr>
                <w:b/>
                <w:bCs/>
                <w:strike/>
              </w:rPr>
            </w:pPr>
            <w:r w:rsidRPr="005D4222">
              <w:rPr>
                <w:b/>
                <w:bCs/>
                <w:iCs/>
              </w:rPr>
              <w:lastRenderedPageBreak/>
              <w:t xml:space="preserve">Note: </w:t>
            </w:r>
            <w:r w:rsidRPr="005D4222">
              <w:rPr>
                <w:bCs/>
                <w:iCs/>
              </w:rPr>
              <w:t>Prior years’ validated historic hybrid medical record result files are loaded as administrative data.</w:t>
            </w:r>
          </w:p>
        </w:tc>
      </w:tr>
      <w:tr w:rsidR="00834FBA" w:rsidRPr="005D4222" w14:paraId="119FCABD" w14:textId="77777777" w:rsidTr="009F6641">
        <w:tc>
          <w:tcPr>
            <w:tcW w:w="2160" w:type="dxa"/>
          </w:tcPr>
          <w:p w14:paraId="0CD1159B" w14:textId="77777777" w:rsidR="00834FBA" w:rsidRPr="005D4222" w:rsidRDefault="00834FBA" w:rsidP="009F6641">
            <w:pPr>
              <w:pStyle w:val="MarginSubhead"/>
              <w:widowControl w:val="0"/>
              <w:jc w:val="right"/>
              <w:rPr>
                <w:i/>
              </w:rPr>
            </w:pPr>
            <w:r w:rsidRPr="005D4222">
              <w:rPr>
                <w:i/>
              </w:rPr>
              <w:lastRenderedPageBreak/>
              <w:t>Nonstandard supplemental data</w:t>
            </w:r>
          </w:p>
        </w:tc>
        <w:tc>
          <w:tcPr>
            <w:tcW w:w="7564" w:type="dxa"/>
          </w:tcPr>
          <w:p w14:paraId="4C36900F" w14:textId="77777777" w:rsidR="00834FBA" w:rsidRPr="005D4222" w:rsidRDefault="00834FBA" w:rsidP="009F6641">
            <w:pPr>
              <w:pStyle w:val="Body"/>
            </w:pPr>
            <w:r w:rsidRPr="005D4222">
              <w:t>Data used to capture missing service data not received through administrative sources (claims or encounters) or in the standard electronically generated files described above, whether collected by a plan, an organization, a provider or a contracted vendor. These types of data might be collected from sources on an irregular basis and could be in files or formats that are not stable over time.</w:t>
            </w:r>
            <w:r w:rsidRPr="005D4222" w:rsidDel="00EB077E">
              <w:t xml:space="preserve"> </w:t>
            </w:r>
          </w:p>
          <w:p w14:paraId="6441647E" w14:textId="77777777" w:rsidR="00834FBA" w:rsidRPr="005D4222" w:rsidRDefault="00834FBA" w:rsidP="009F6641">
            <w:pPr>
              <w:pStyle w:val="Body"/>
            </w:pPr>
            <w:r w:rsidRPr="005D4222">
              <w:t xml:space="preserve">Organizations must have clear policies and procedures that describe how the data are collected and by whom, how they are validated and used for HEDIS reporting. </w:t>
            </w:r>
          </w:p>
          <w:p w14:paraId="3BB915D5" w14:textId="1328E3DC" w:rsidR="00834FBA" w:rsidRPr="005D4222" w:rsidRDefault="00834FBA" w:rsidP="009F6641">
            <w:pPr>
              <w:pStyle w:val="Body"/>
            </w:pPr>
            <w:r w:rsidRPr="005D4222">
              <w:t xml:space="preserve">Organizations </w:t>
            </w:r>
            <w:r w:rsidRPr="005D4222">
              <w:rPr>
                <w:i/>
                <w:iCs/>
              </w:rPr>
              <w:t>may not</w:t>
            </w:r>
            <w:r w:rsidRPr="005D4222">
              <w:t xml:space="preserve"> conduct phone calls to </w:t>
            </w:r>
            <w:r w:rsidR="0001415F" w:rsidRPr="005D4222">
              <w:t>individuals</w:t>
            </w:r>
            <w:r w:rsidRPr="005D4222">
              <w:t xml:space="preserve"> or providers to collect information about services already rendered.</w:t>
            </w:r>
          </w:p>
          <w:p w14:paraId="468760F9" w14:textId="77777777" w:rsidR="00834FBA" w:rsidRPr="005D4222" w:rsidRDefault="00834FBA" w:rsidP="009F6641">
            <w:pPr>
              <w:pStyle w:val="Body"/>
            </w:pPr>
            <w:r w:rsidRPr="005D4222">
              <w:rPr>
                <w:b/>
              </w:rPr>
              <w:t xml:space="preserve">Audit requirements. </w:t>
            </w:r>
            <w:r w:rsidRPr="005D4222">
              <w:t>All nonstandard supplemental data must be substantiated by proof-of-service documentation from the legal health record. Proof-of-service documentation is required for only a sample, selected by the auditor, as part of the audit’s annual primary source verification.</w:t>
            </w:r>
          </w:p>
          <w:p w14:paraId="52A00D11" w14:textId="77777777" w:rsidR="00834FBA" w:rsidRPr="005D4222" w:rsidRDefault="00834FBA" w:rsidP="009F6641">
            <w:pPr>
              <w:pStyle w:val="Body"/>
            </w:pPr>
            <w:r w:rsidRPr="005D4222">
              <w:t xml:space="preserve">Proof-of-service documentation that </w:t>
            </w:r>
            <w:r w:rsidRPr="005D4222">
              <w:rPr>
                <w:i/>
              </w:rPr>
              <w:t>is</w:t>
            </w:r>
            <w:r w:rsidRPr="005D4222">
              <w:t xml:space="preserve"> </w:t>
            </w:r>
            <w:r w:rsidRPr="005D4222">
              <w:rPr>
                <w:i/>
              </w:rPr>
              <w:t xml:space="preserve">allowed </w:t>
            </w:r>
            <w:r w:rsidRPr="005D4222">
              <w:t>for primary source verification:</w:t>
            </w:r>
          </w:p>
          <w:p w14:paraId="6122327F" w14:textId="68D7F2B6" w:rsidR="00834FBA" w:rsidRPr="005D4222" w:rsidRDefault="00834FBA" w:rsidP="009F6641">
            <w:pPr>
              <w:pStyle w:val="Bullet"/>
            </w:pPr>
            <w:r w:rsidRPr="005D4222">
              <w:t xml:space="preserve">A copy of the information from the </w:t>
            </w:r>
            <w:r w:rsidR="00425525" w:rsidRPr="005D4222">
              <w:t>individual’s</w:t>
            </w:r>
            <w:r w:rsidRPr="005D4222">
              <w:t xml:space="preserve"> chart from the service provider or the PCP.</w:t>
            </w:r>
          </w:p>
          <w:p w14:paraId="77F80C7F" w14:textId="77777777" w:rsidR="00834FBA" w:rsidRPr="005D4222" w:rsidRDefault="00834FBA" w:rsidP="006F115F">
            <w:pPr>
              <w:pStyle w:val="Bullet"/>
              <w:spacing w:before="0"/>
            </w:pPr>
            <w:r w:rsidRPr="005D4222">
              <w:t>A copy of the clinical report or clinical summary from the visit for service, such as lab or radiology reports (i.e., forms from the rendering provider proving the service occurred).</w:t>
            </w:r>
          </w:p>
          <w:p w14:paraId="02046697" w14:textId="77777777" w:rsidR="00834FBA" w:rsidRPr="005D4222" w:rsidRDefault="00834FBA" w:rsidP="009F6641">
            <w:pPr>
              <w:pStyle w:val="Bullet"/>
            </w:pPr>
            <w:r w:rsidRPr="005D4222">
              <w:t>A screen shot of:</w:t>
            </w:r>
          </w:p>
          <w:p w14:paraId="7DE06B78" w14:textId="4F839220" w:rsidR="00834FBA" w:rsidRPr="005D4222" w:rsidRDefault="00834FBA" w:rsidP="009F6641">
            <w:pPr>
              <w:pStyle w:val="Dash"/>
            </w:pPr>
            <w:r w:rsidRPr="005D4222">
              <w:t xml:space="preserve">Online EHR records. </w:t>
            </w:r>
          </w:p>
          <w:p w14:paraId="2587D8C7" w14:textId="77777777" w:rsidR="00834FBA" w:rsidRPr="005D4222" w:rsidRDefault="00834FBA" w:rsidP="009F6641">
            <w:pPr>
              <w:pStyle w:val="Dash"/>
            </w:pPr>
            <w:r w:rsidRPr="005D4222">
              <w:t>State- or county-sponsored immunization registry records.</w:t>
            </w:r>
          </w:p>
          <w:p w14:paraId="67941059" w14:textId="77777777" w:rsidR="00834FBA" w:rsidRPr="005D4222" w:rsidRDefault="00834FBA" w:rsidP="009F6641">
            <w:pPr>
              <w:pStyle w:val="Body"/>
            </w:pPr>
            <w:r w:rsidRPr="005D4222">
              <w:t xml:space="preserve">Proof-of-service documentation that is </w:t>
            </w:r>
            <w:r w:rsidRPr="005D4222">
              <w:rPr>
                <w:i/>
              </w:rPr>
              <w:t>not allowed</w:t>
            </w:r>
            <w:r w:rsidRPr="005D4222">
              <w:rPr>
                <w:iCs/>
              </w:rPr>
              <w:t xml:space="preserve"> for primary source verification</w:t>
            </w:r>
            <w:r w:rsidRPr="005D4222">
              <w:rPr>
                <w:i/>
              </w:rPr>
              <w:t>:</w:t>
            </w:r>
          </w:p>
          <w:p w14:paraId="3644202B" w14:textId="4DF146B8" w:rsidR="00834FBA" w:rsidRPr="005D4222" w:rsidRDefault="00425525" w:rsidP="009F6641">
            <w:pPr>
              <w:pStyle w:val="Bullet"/>
              <w:rPr>
                <w:rFonts w:cs="Arial"/>
                <w:b/>
                <w:bCs/>
                <w:sz w:val="22"/>
                <w:szCs w:val="26"/>
              </w:rPr>
            </w:pPr>
            <w:r w:rsidRPr="005D4222">
              <w:rPr>
                <w:rFonts w:eastAsiaTheme="minorEastAsia"/>
              </w:rPr>
              <w:t>S</w:t>
            </w:r>
            <w:r w:rsidR="00834FBA" w:rsidRPr="005D4222">
              <w:rPr>
                <w:rFonts w:eastAsiaTheme="minorEastAsia"/>
              </w:rPr>
              <w:t xml:space="preserve">urveys. Organizations and providers may not use information obtained from surveys or other documents completed by the </w:t>
            </w:r>
            <w:r w:rsidRPr="005D4222">
              <w:rPr>
                <w:rFonts w:eastAsiaTheme="minorEastAsia"/>
              </w:rPr>
              <w:t>individual</w:t>
            </w:r>
            <w:r w:rsidR="00834FBA" w:rsidRPr="005D4222">
              <w:rPr>
                <w:rFonts w:eastAsiaTheme="minorEastAsia"/>
              </w:rPr>
              <w:t xml:space="preserve">, except for data collected for Language </w:t>
            </w:r>
            <w:r w:rsidR="007C1883" w:rsidRPr="005D4222">
              <w:t>Description</w:t>
            </w:r>
            <w:r w:rsidR="00834FBA" w:rsidRPr="005D4222">
              <w:rPr>
                <w:rFonts w:eastAsiaTheme="minorEastAsia"/>
              </w:rPr>
              <w:t xml:space="preserve"> of Membership and Race/</w:t>
            </w:r>
            <w:r w:rsidR="00300FEF" w:rsidRPr="005D4222">
              <w:rPr>
                <w:rFonts w:eastAsiaTheme="minorEastAsia"/>
              </w:rPr>
              <w:t xml:space="preserve"> </w:t>
            </w:r>
            <w:r w:rsidR="00834FBA" w:rsidRPr="005D4222">
              <w:rPr>
                <w:rFonts w:eastAsiaTheme="minorEastAsia"/>
              </w:rPr>
              <w:t xml:space="preserve">Ethnicity </w:t>
            </w:r>
            <w:r w:rsidR="007C1883" w:rsidRPr="005D4222">
              <w:t>Description</w:t>
            </w:r>
            <w:r w:rsidR="00834FBA" w:rsidRPr="005D4222">
              <w:rPr>
                <w:rFonts w:eastAsiaTheme="minorEastAsia"/>
              </w:rPr>
              <w:t xml:space="preserve"> of Membership.</w:t>
            </w:r>
          </w:p>
          <w:p w14:paraId="6E92D26E" w14:textId="77777777" w:rsidR="00834FBA" w:rsidRPr="005D4222" w:rsidRDefault="00834FBA" w:rsidP="009F6641">
            <w:pPr>
              <w:pStyle w:val="Bullet"/>
            </w:pPr>
            <w:r w:rsidRPr="005D4222">
              <w:t xml:space="preserve">Phone calls. Recorded phone calls to collect information about services rendered are not proof of service. </w:t>
            </w:r>
          </w:p>
        </w:tc>
      </w:tr>
      <w:tr w:rsidR="00834FBA" w:rsidRPr="005D4222" w14:paraId="75334BC4" w14:textId="77777777" w:rsidTr="009F6641">
        <w:tc>
          <w:tcPr>
            <w:tcW w:w="2160" w:type="dxa"/>
          </w:tcPr>
          <w:p w14:paraId="3A31630B" w14:textId="77777777" w:rsidR="00834FBA" w:rsidRPr="005D4222" w:rsidRDefault="00834FBA" w:rsidP="009F6641">
            <w:pPr>
              <w:pStyle w:val="MarginSubhead"/>
              <w:widowControl w:val="0"/>
              <w:jc w:val="right"/>
              <w:rPr>
                <w:i/>
              </w:rPr>
            </w:pPr>
            <w:r w:rsidRPr="005D4222">
              <w:rPr>
                <w:i/>
              </w:rPr>
              <w:t>CCD</w:t>
            </w:r>
            <w:r w:rsidRPr="005D4222" w:rsidDel="008050DF">
              <w:rPr>
                <w:i/>
              </w:rPr>
              <w:t>s</w:t>
            </w:r>
          </w:p>
        </w:tc>
        <w:tc>
          <w:tcPr>
            <w:tcW w:w="7564" w:type="dxa"/>
          </w:tcPr>
          <w:p w14:paraId="13B1612F" w14:textId="77777777" w:rsidR="00834FBA" w:rsidRPr="005D4222" w:rsidRDefault="00834FBA" w:rsidP="009F6641">
            <w:pPr>
              <w:pStyle w:val="Body"/>
            </w:pPr>
            <w:r w:rsidRPr="005D4222">
              <w:t>Continuity of Care Documents. CCDs are used for the electronic exchange of clinical data without loss of meaning. The files provide a summary of a patient’s care as a snapshot in time, but they are not a replacement for an EHR. These files are typically XML-based and are considered nonstandard supplemental data for at least the first year of use. The organization must demonstrate the accuracy of these (through PSV) to ensure that the data in the file match the EHR. This data source must meet both criteria:</w:t>
            </w:r>
          </w:p>
          <w:p w14:paraId="16EA06CB" w14:textId="77777777" w:rsidR="00834FBA" w:rsidRPr="005D4222" w:rsidRDefault="00834FBA" w:rsidP="009F6641">
            <w:pPr>
              <w:pStyle w:val="Bullet"/>
            </w:pPr>
            <w:r w:rsidRPr="005D4222">
              <w:t xml:space="preserve">There is completed Roadmap documentation. </w:t>
            </w:r>
          </w:p>
          <w:p w14:paraId="2B134E7F" w14:textId="77777777" w:rsidR="00834FBA" w:rsidRPr="005D4222" w:rsidRDefault="00834FBA" w:rsidP="009F6641">
            <w:pPr>
              <w:pStyle w:val="Bullet"/>
            </w:pPr>
            <w:r w:rsidRPr="005D4222">
              <w:t xml:space="preserve">The Roadmap must include a description of how the CCD is created and by whom (e.g., produced by the provider in the office and sent to the plan or created by a vendor), the validation process and how the data are transmitted. </w:t>
            </w:r>
          </w:p>
          <w:p w14:paraId="1EB7332F" w14:textId="77777777" w:rsidR="00834FBA" w:rsidRPr="005D4222" w:rsidRDefault="00834FBA" w:rsidP="004D5C07">
            <w:pPr>
              <w:pStyle w:val="Body"/>
              <w:spacing w:before="0"/>
            </w:pPr>
            <w:r w:rsidRPr="005D4222">
              <w:rPr>
                <w:b/>
              </w:rPr>
              <w:lastRenderedPageBreak/>
              <w:t>Audit requirements</w:t>
            </w:r>
            <w:r w:rsidRPr="005D4222">
              <w:rPr>
                <w:b/>
                <w:bCs/>
              </w:rPr>
              <w:t>.</w:t>
            </w:r>
            <w:r w:rsidRPr="005D4222">
              <w:t xml:space="preserve"> The auditor confirms that the data meet all requirements. Primary source verification is required (e.g., go back to each unique EHR) to validate the CCDs’ accuracy. This level of validation is required for at least the first year, or the first submission by the EHR, but may continue in subsequent years until the auditor is certain the data are accurate, reliable and unchanged.</w:t>
            </w:r>
          </w:p>
        </w:tc>
      </w:tr>
      <w:tr w:rsidR="00834FBA" w:rsidRPr="005D4222" w14:paraId="0830BB7A" w14:textId="77777777" w:rsidTr="009F6641">
        <w:tc>
          <w:tcPr>
            <w:tcW w:w="2160" w:type="dxa"/>
          </w:tcPr>
          <w:p w14:paraId="4BEE9929" w14:textId="350E9186" w:rsidR="00834FBA" w:rsidRPr="005D4222" w:rsidRDefault="00834FBA" w:rsidP="00571582">
            <w:pPr>
              <w:pStyle w:val="MarginSubhead"/>
              <w:widowControl w:val="0"/>
              <w:jc w:val="right"/>
              <w:rPr>
                <w:i/>
              </w:rPr>
            </w:pPr>
            <w:r w:rsidRPr="005D4222">
              <w:rPr>
                <w:i/>
              </w:rPr>
              <w:lastRenderedPageBreak/>
              <w:t>NCQA DAV data</w:t>
            </w:r>
          </w:p>
        </w:tc>
        <w:tc>
          <w:tcPr>
            <w:tcW w:w="7564" w:type="dxa"/>
          </w:tcPr>
          <w:p w14:paraId="1B769695" w14:textId="77777777" w:rsidR="00834FBA" w:rsidRPr="005D4222" w:rsidRDefault="00834FBA" w:rsidP="00571582">
            <w:pPr>
              <w:pStyle w:val="Body"/>
            </w:pPr>
            <w:r w:rsidRPr="005D4222">
              <w:t xml:space="preserve">For data from an NCQA-Validated Data Aggregator Validation </w:t>
            </w:r>
            <w:r w:rsidRPr="005D4222" w:rsidDel="00A75946">
              <w:t xml:space="preserve">(DAV) </w:t>
            </w:r>
            <w:r w:rsidRPr="005D4222">
              <w:t xml:space="preserve">entity, the auditor must: </w:t>
            </w:r>
          </w:p>
          <w:p w14:paraId="2F7BA00E" w14:textId="3FC1239B" w:rsidR="00834FBA" w:rsidRPr="005D4222" w:rsidRDefault="00834FBA" w:rsidP="009F6641">
            <w:pPr>
              <w:pStyle w:val="Bullet"/>
            </w:pPr>
            <w:r w:rsidRPr="005D4222">
              <w:t xml:space="preserve">Receive completed Roadmap documentation from the reporting entity using the data. The Roadmap must explain how data from the validated </w:t>
            </w:r>
            <w:r w:rsidRPr="005D4222" w:rsidDel="00A75946">
              <w:t xml:space="preserve">DAV </w:t>
            </w:r>
            <w:r w:rsidRPr="005D4222">
              <w:t xml:space="preserve">entity </w:t>
            </w:r>
            <w:r w:rsidR="7F5D8AA3" w:rsidRPr="005D4222">
              <w:t xml:space="preserve">are </w:t>
            </w:r>
            <w:r w:rsidRPr="005D4222">
              <w:t xml:space="preserve">transferred </w:t>
            </w:r>
            <w:r w:rsidR="229E4589" w:rsidRPr="005D4222">
              <w:t xml:space="preserve">in an outbound file </w:t>
            </w:r>
            <w:r w:rsidRPr="005D4222">
              <w:t xml:space="preserve">to the </w:t>
            </w:r>
            <w:r w:rsidR="5BF9A147" w:rsidRPr="005D4222">
              <w:t>organization</w:t>
            </w:r>
            <w:r w:rsidR="00670051" w:rsidRPr="005D4222">
              <w:t>,</w:t>
            </w:r>
            <w:r w:rsidRPr="005D4222">
              <w:t xml:space="preserve"> and what </w:t>
            </w:r>
            <w:r w:rsidR="7FD7D093" w:rsidRPr="005D4222">
              <w:t>is done</w:t>
            </w:r>
            <w:r w:rsidRPr="005D4222">
              <w:t xml:space="preserve"> to the data. </w:t>
            </w:r>
            <w:r w:rsidR="18DDA0D8" w:rsidRPr="005D4222">
              <w:t xml:space="preserve">No documentation is required from the </w:t>
            </w:r>
            <w:r w:rsidR="18DDA0D8" w:rsidRPr="005D4222" w:rsidDel="00A75946">
              <w:t xml:space="preserve">DAV </w:t>
            </w:r>
            <w:r w:rsidR="18DDA0D8" w:rsidRPr="005D4222">
              <w:t xml:space="preserve">validated </w:t>
            </w:r>
            <w:r w:rsidR="00670051" w:rsidRPr="005D4222">
              <w:t>entity</w:t>
            </w:r>
            <w:r w:rsidR="18DDA0D8" w:rsidRPr="005D4222">
              <w:t xml:space="preserve"> unless </w:t>
            </w:r>
            <w:r w:rsidR="00973EF3" w:rsidRPr="005D4222">
              <w:t>the entity</w:t>
            </w:r>
            <w:r w:rsidR="18DDA0D8" w:rsidRPr="005D4222">
              <w:t xml:space="preserve"> processes the validated CCD.</w:t>
            </w:r>
          </w:p>
          <w:p w14:paraId="34B80F54" w14:textId="14A3981E" w:rsidR="00834FBA" w:rsidRPr="005D4222" w:rsidRDefault="00834FBA" w:rsidP="009F6641">
            <w:pPr>
              <w:pStyle w:val="Dash"/>
            </w:pPr>
            <w:r w:rsidRPr="005D4222">
              <w:t xml:space="preserve">If the validated CCD </w:t>
            </w:r>
            <w:r w:rsidR="0FE6A72E" w:rsidRPr="005D4222">
              <w:t>is processed</w:t>
            </w:r>
            <w:r w:rsidRPr="005D4222">
              <w:t xml:space="preserve"> in any way after receipt, the auditor may </w:t>
            </w:r>
            <w:r w:rsidR="73BE1AA7" w:rsidRPr="005D4222">
              <w:t>(but is not required to)</w:t>
            </w:r>
            <w:r w:rsidRPr="005D4222">
              <w:t xml:space="preserve"> perform secondary source validation (SSV): </w:t>
            </w:r>
            <w:r w:rsidR="12B23949" w:rsidRPr="005D4222">
              <w:t xml:space="preserve">examine </w:t>
            </w:r>
            <w:r w:rsidRPr="005D4222">
              <w:t>processed data back to the validated and conformed CCD files. SSV does not include PSV back to the original source on any of these data sources. PSV is not to be performed.</w:t>
            </w:r>
          </w:p>
          <w:p w14:paraId="62BB01C9" w14:textId="6D432E03" w:rsidR="121BC3B8" w:rsidRPr="005D4222" w:rsidRDefault="121BC3B8" w:rsidP="54BAFF4A">
            <w:pPr>
              <w:pStyle w:val="Dash"/>
              <w:numPr>
                <w:ilvl w:val="0"/>
                <w:numId w:val="0"/>
              </w:numPr>
              <w:ind w:left="792"/>
              <w:rPr>
                <w:i/>
                <w:iCs/>
                <w:sz w:val="20"/>
              </w:rPr>
            </w:pPr>
            <w:r w:rsidRPr="005D4222">
              <w:rPr>
                <w:b/>
                <w:bCs/>
                <w:i/>
                <w:iCs/>
                <w:sz w:val="20"/>
              </w:rPr>
              <w:t>Note:</w:t>
            </w:r>
            <w:r w:rsidRPr="005D4222">
              <w:rPr>
                <w:i/>
                <w:iCs/>
                <w:sz w:val="20"/>
              </w:rPr>
              <w:t xml:space="preserve"> This applies only to CCDs.</w:t>
            </w:r>
          </w:p>
          <w:p w14:paraId="1430E5FB" w14:textId="26C52905" w:rsidR="00834FBA" w:rsidRPr="005D4222" w:rsidRDefault="00834FBA" w:rsidP="009F6641">
            <w:pPr>
              <w:pStyle w:val="Dash"/>
            </w:pPr>
            <w:r w:rsidRPr="005D4222">
              <w:t xml:space="preserve">If the reporting entity receives validated data formatted using FHIR standards from the </w:t>
            </w:r>
            <w:r w:rsidRPr="005D4222" w:rsidDel="00B97742">
              <w:t>DAV</w:t>
            </w:r>
            <w:r w:rsidRPr="005D4222">
              <w:t xml:space="preserve"> entity, the conformed data formatted using FHIR standards cannot be processed in any way. Processing the data formatted using FHIR standards to another format compromises the </w:t>
            </w:r>
            <w:r w:rsidRPr="005D4222" w:rsidDel="00B97742">
              <w:t xml:space="preserve">DAV </w:t>
            </w:r>
            <w:r w:rsidRPr="005D4222">
              <w:t xml:space="preserve">status. </w:t>
            </w:r>
          </w:p>
          <w:p w14:paraId="32F38735" w14:textId="434FF7A9" w:rsidR="00834FBA" w:rsidRPr="005D4222" w:rsidRDefault="00834FBA" w:rsidP="009F6641">
            <w:pPr>
              <w:pStyle w:val="Bullet"/>
            </w:pPr>
            <w:r w:rsidRPr="005D4222">
              <w:t xml:space="preserve">Receive the final validation report </w:t>
            </w:r>
            <w:r w:rsidR="77795D05" w:rsidRPr="005D4222">
              <w:t>of</w:t>
            </w:r>
            <w:r w:rsidRPr="005D4222">
              <w:t xml:space="preserve"> validated data cases and clusters</w:t>
            </w:r>
            <w:r w:rsidR="05EB4D01" w:rsidRPr="005D4222">
              <w:t>,</w:t>
            </w:r>
            <w:r w:rsidRPr="005D4222">
              <w:t xml:space="preserve"> and the date when they were validated. </w:t>
            </w:r>
          </w:p>
          <w:p w14:paraId="37E93002" w14:textId="16B8307D" w:rsidR="5CE2D199" w:rsidRPr="005D4222" w:rsidRDefault="5CE2D199" w:rsidP="54BAFF4A">
            <w:pPr>
              <w:pStyle w:val="Bullet"/>
            </w:pPr>
            <w:r w:rsidRPr="005D4222">
              <w:t xml:space="preserve">Refer to </w:t>
            </w:r>
            <w:hyperlink r:id="rId61" w:history="1">
              <w:r w:rsidRPr="005D4222">
                <w:t>NCQA’s Data Aggregator Validation</w:t>
              </w:r>
              <w:r w:rsidRPr="005D4222">
                <w:rPr>
                  <w:rStyle w:val="Hyperlink"/>
                </w:rPr>
                <w:t xml:space="preserve"> directory</w:t>
              </w:r>
            </w:hyperlink>
            <w:r w:rsidRPr="005D4222">
              <w:t xml:space="preserve"> to ensure that the NCQA validated entity is approved to share validated data. Organizations with a “Validated Data St</w:t>
            </w:r>
            <w:r w:rsidR="00A32307" w:rsidRPr="005D4222">
              <w:t>r</w:t>
            </w:r>
            <w:r w:rsidRPr="005D4222">
              <w:t xml:space="preserve">eam” </w:t>
            </w:r>
            <w:r w:rsidR="00D86787" w:rsidRPr="005D4222">
              <w:t>e</w:t>
            </w:r>
            <w:r w:rsidRPr="005D4222">
              <w:t xml:space="preserve">valuation </w:t>
            </w:r>
            <w:r w:rsidR="00D86787" w:rsidRPr="005D4222">
              <w:t>p</w:t>
            </w:r>
            <w:r w:rsidRPr="005D4222">
              <w:t xml:space="preserve">roduct with a validated status and expiration date may share data and contribute to reducing audit burden. Organizations with a “Certified Data Partner” </w:t>
            </w:r>
            <w:r w:rsidR="00D86787" w:rsidRPr="005D4222">
              <w:t>e</w:t>
            </w:r>
            <w:r w:rsidRPr="005D4222">
              <w:t xml:space="preserve">valuation </w:t>
            </w:r>
            <w:r w:rsidR="00D86787" w:rsidRPr="005D4222">
              <w:t>p</w:t>
            </w:r>
            <w:r w:rsidRPr="005D4222">
              <w:t>roduct may not share data</w:t>
            </w:r>
            <w:r w:rsidR="00B72042" w:rsidRPr="005D4222">
              <w:t>.</w:t>
            </w:r>
          </w:p>
          <w:p w14:paraId="4396B87F" w14:textId="77777777" w:rsidR="00834FBA" w:rsidRPr="005D4222" w:rsidRDefault="00834FBA" w:rsidP="009F6641">
            <w:pPr>
              <w:pStyle w:val="Body"/>
              <w:rPr>
                <w:rFonts w:eastAsia="Arial" w:cs="Arial"/>
                <w:szCs w:val="21"/>
              </w:rPr>
            </w:pPr>
            <w:r w:rsidRPr="005D4222">
              <w:rPr>
                <w:rFonts w:eastAsia="Arial" w:cs="Arial"/>
                <w:szCs w:val="21"/>
              </w:rPr>
              <w:t>Data from ingestion sites or clusters that failed validation may not be shared as standard supplemental data. These data are considered nonstandard supplemental data, and must be audited accordingly.</w:t>
            </w:r>
          </w:p>
        </w:tc>
      </w:tr>
    </w:tbl>
    <w:p w14:paraId="5094FAE8" w14:textId="77777777" w:rsidR="00834FBA" w:rsidRPr="005D4222" w:rsidRDefault="00834FBA" w:rsidP="00834FBA">
      <w:pPr>
        <w:pStyle w:val="Heading3"/>
        <w:rPr>
          <w:sz w:val="21"/>
          <w:szCs w:val="21"/>
        </w:rPr>
      </w:pPr>
      <w:r w:rsidRPr="005D4222">
        <w:rPr>
          <w:sz w:val="21"/>
          <w:szCs w:val="21"/>
        </w:rPr>
        <w:t>Required Data Elements</w:t>
      </w:r>
    </w:p>
    <w:tbl>
      <w:tblPr>
        <w:tblW w:w="9792" w:type="dxa"/>
        <w:tblLayout w:type="fixed"/>
        <w:tblLook w:val="0000" w:firstRow="0" w:lastRow="0" w:firstColumn="0" w:lastColumn="0" w:noHBand="0" w:noVBand="0"/>
      </w:tblPr>
      <w:tblGrid>
        <w:gridCol w:w="2160"/>
        <w:gridCol w:w="7632"/>
      </w:tblGrid>
      <w:tr w:rsidR="00834FBA" w:rsidRPr="005D4222" w14:paraId="1BC08D2F" w14:textId="77777777" w:rsidTr="009F6641">
        <w:tc>
          <w:tcPr>
            <w:tcW w:w="2160" w:type="dxa"/>
          </w:tcPr>
          <w:p w14:paraId="7E6A69F9" w14:textId="77777777" w:rsidR="00834FBA" w:rsidRPr="005D4222" w:rsidDel="00C5260A" w:rsidRDefault="00834FBA" w:rsidP="009F6641">
            <w:pPr>
              <w:pStyle w:val="MarginSubhead"/>
            </w:pPr>
            <w:r w:rsidRPr="005D4222">
              <w:t>Standard supplemental data</w:t>
            </w:r>
          </w:p>
        </w:tc>
        <w:tc>
          <w:tcPr>
            <w:tcW w:w="7632" w:type="dxa"/>
          </w:tcPr>
          <w:p w14:paraId="5370718A" w14:textId="77777777" w:rsidR="00834FBA" w:rsidRPr="005D4222" w:rsidDel="00C5260A" w:rsidRDefault="00834FBA" w:rsidP="009F6641">
            <w:pPr>
              <w:pStyle w:val="Body"/>
            </w:pPr>
            <w:r w:rsidRPr="005D4222">
              <w:t xml:space="preserve">Organizations must have policies and procedures for using data files as standard supplemental data. Data files must have standard file layouts, standard data fields and industry standard codes, and must include all elements required by </w:t>
            </w:r>
            <w:r w:rsidRPr="005D4222" w:rsidDel="00540523">
              <w:t>measure</w:t>
            </w:r>
            <w:r w:rsidRPr="005D4222">
              <w:t xml:space="preserve"> specifications, including payment status when applicable, and evidence that tests or services were performed and not merely ordered. </w:t>
            </w:r>
          </w:p>
        </w:tc>
      </w:tr>
      <w:tr w:rsidR="00834FBA" w:rsidRPr="005D4222" w14:paraId="1B63B030" w14:textId="77777777" w:rsidTr="009F6641">
        <w:trPr>
          <w:trHeight w:val="1152"/>
        </w:trPr>
        <w:tc>
          <w:tcPr>
            <w:tcW w:w="2160" w:type="dxa"/>
          </w:tcPr>
          <w:p w14:paraId="44F4F394" w14:textId="77777777" w:rsidR="00834FBA" w:rsidRPr="005D4222" w:rsidDel="00C5260A" w:rsidRDefault="00834FBA" w:rsidP="009F6641">
            <w:pPr>
              <w:pStyle w:val="MarginSubhead"/>
            </w:pPr>
            <w:r w:rsidRPr="005D4222">
              <w:t>Nonstandard supplemental data</w:t>
            </w:r>
          </w:p>
        </w:tc>
        <w:tc>
          <w:tcPr>
            <w:tcW w:w="7632" w:type="dxa"/>
          </w:tcPr>
          <w:p w14:paraId="043154C1" w14:textId="77777777" w:rsidR="00834FBA" w:rsidRPr="005D4222" w:rsidRDefault="00834FBA" w:rsidP="009F6641">
            <w:pPr>
              <w:pStyle w:val="Body"/>
            </w:pPr>
            <w:r w:rsidRPr="005D4222">
              <w:t>Nonstandard supplemental data must have all data elements required to meet criteria specified by the measure specifications, including:</w:t>
            </w:r>
          </w:p>
          <w:p w14:paraId="738D175F" w14:textId="77777777" w:rsidR="00834FBA" w:rsidRPr="005D4222" w:rsidRDefault="00834FBA" w:rsidP="009F6641">
            <w:pPr>
              <w:pStyle w:val="Bullet"/>
            </w:pPr>
            <w:r w:rsidRPr="005D4222">
              <w:t>Payment status when applicable.</w:t>
            </w:r>
          </w:p>
          <w:p w14:paraId="06C69E9C" w14:textId="77777777" w:rsidR="00834FBA" w:rsidRPr="005D4222" w:rsidRDefault="00834FBA" w:rsidP="009F6641">
            <w:pPr>
              <w:pStyle w:val="Bullet"/>
            </w:pPr>
            <w:r w:rsidRPr="005D4222">
              <w:t xml:space="preserve">Evidence that tests or services were performed, not just ordered. </w:t>
            </w:r>
          </w:p>
          <w:p w14:paraId="0CBF8D55" w14:textId="77777777" w:rsidR="00834FBA" w:rsidRPr="005D4222" w:rsidRDefault="00834FBA" w:rsidP="009F6641">
            <w:pPr>
              <w:pStyle w:val="Dash"/>
            </w:pPr>
            <w:r w:rsidRPr="005D4222">
              <w:t>When data are</w:t>
            </w:r>
            <w:r w:rsidRPr="005D4222" w:rsidDel="00DA263D">
              <w:t xml:space="preserve"> </w:t>
            </w:r>
            <w:r w:rsidRPr="005D4222">
              <w:t xml:space="preserve">abstracted from medical record sources to be used as supplemental data, codes alone (without additional documentation of </w:t>
            </w:r>
            <w:r w:rsidRPr="005D4222">
              <w:lastRenderedPageBreak/>
              <w:t>the service provided) do not meet criteria for proof of service. If a provider performs a service, it is expected that there is additional documentation</w:t>
            </w:r>
            <w:r w:rsidRPr="005D4222" w:rsidDel="00DA263D">
              <w:t xml:space="preserve"> </w:t>
            </w:r>
            <w:r w:rsidRPr="005D4222">
              <w:t>in the medical record or in the primary source document. Auditors must validate, through primary source verification, all elements required by the measure specification.</w:t>
            </w:r>
          </w:p>
          <w:p w14:paraId="2B9DB45F" w14:textId="77777777" w:rsidR="00834FBA" w:rsidRPr="005D4222" w:rsidRDefault="00834FBA" w:rsidP="009F6641">
            <w:pPr>
              <w:pStyle w:val="Bullet"/>
            </w:pPr>
            <w:r w:rsidRPr="005D4222">
              <w:t xml:space="preserve">Evidence of provider accountability from the practitioner or practitioner group (signed contracts with accountability tied to passwords, signatures or TIN/NPI data). For home visits, if clinical services are rendered, </w:t>
            </w:r>
            <w:r w:rsidRPr="005D4222">
              <w:br/>
              <w:t>there must be evidence of accountability by the practitioner, and at a minimum include the date, name and signature on each in-home form. Documentation of the practitioner’s TIN/NPI is not required; however, documentation of TIN/NPI with date, name and signature is preferred.</w:t>
            </w:r>
          </w:p>
          <w:p w14:paraId="5C1D66B8" w14:textId="77777777" w:rsidR="00834FBA" w:rsidRPr="005D4222" w:rsidRDefault="00834FBA" w:rsidP="00C02336">
            <w:pPr>
              <w:pStyle w:val="Bullet"/>
            </w:pPr>
            <w:r w:rsidRPr="005D4222">
              <w:t xml:space="preserve">More than a simple yes or no attestation on provider forms. Forms must have all necessary data elements and be signed by the rendering practitioner. </w:t>
            </w:r>
          </w:p>
          <w:p w14:paraId="6EFA823F" w14:textId="7AB62F06" w:rsidR="00834FBA" w:rsidRPr="005D4222" w:rsidDel="00C5260A" w:rsidRDefault="00834FBA" w:rsidP="009F6641">
            <w:pPr>
              <w:pStyle w:val="Bullet"/>
            </w:pPr>
            <w:r w:rsidRPr="005D4222">
              <w:t xml:space="preserve">All data elements for a measure must be captured for </w:t>
            </w:r>
            <w:r w:rsidR="000B6CEB" w:rsidRPr="005D4222">
              <w:t>self</w:t>
            </w:r>
            <w:r w:rsidRPr="005D4222">
              <w:t xml:space="preserve">-reported services (date and place of service, procedure, prescription, test result or finding, practitioner type). When using supplemental data derived from medical records to meet administrative specifications, documentation must be clinically synonymous with the codes included in the measure’s value sets. Refer to </w:t>
            </w:r>
            <w:hyperlink w:anchor="GG_SelfReported_and_BiometricValues" w:history="1">
              <w:r w:rsidRPr="005D4222">
                <w:rPr>
                  <w:rStyle w:val="Hyperlink"/>
                  <w:i/>
                </w:rPr>
                <w:t xml:space="preserve">General Guideline: </w:t>
              </w:r>
              <w:r w:rsidR="00270CF2" w:rsidRPr="005D4222">
                <w:rPr>
                  <w:rStyle w:val="Hyperlink"/>
                  <w:i/>
                </w:rPr>
                <w:t>Self</w:t>
              </w:r>
              <w:r w:rsidRPr="005D4222">
                <w:rPr>
                  <w:rStyle w:val="Hyperlink"/>
                  <w:i/>
                </w:rPr>
                <w:t xml:space="preserve">-Reported Services </w:t>
              </w:r>
              <w:r w:rsidRPr="005D4222">
                <w:rPr>
                  <w:rStyle w:val="Hyperlink"/>
                  <w:i/>
                  <w:iCs/>
                </w:rPr>
                <w:t>and Biometric Values</w:t>
              </w:r>
            </w:hyperlink>
            <w:r w:rsidRPr="005D4222">
              <w:t xml:space="preserve">. </w:t>
            </w:r>
          </w:p>
        </w:tc>
      </w:tr>
      <w:tr w:rsidR="00834FBA" w:rsidRPr="005D4222" w14:paraId="4CB2DA4E" w14:textId="77777777" w:rsidTr="009F6641">
        <w:tc>
          <w:tcPr>
            <w:tcW w:w="2160" w:type="dxa"/>
          </w:tcPr>
          <w:p w14:paraId="5A6ADA4F" w14:textId="77777777" w:rsidR="00834FBA" w:rsidRPr="005D4222" w:rsidDel="00C5260A" w:rsidRDefault="00834FBA" w:rsidP="00CE7BC2">
            <w:pPr>
              <w:pStyle w:val="MarginSubhead"/>
            </w:pPr>
            <w:r w:rsidRPr="005D4222">
              <w:lastRenderedPageBreak/>
              <w:t>All supplemental data</w:t>
            </w:r>
          </w:p>
        </w:tc>
        <w:tc>
          <w:tcPr>
            <w:tcW w:w="7632" w:type="dxa"/>
          </w:tcPr>
          <w:p w14:paraId="5045DD5E" w14:textId="62FD3BCE" w:rsidR="00834FBA" w:rsidRPr="005D4222" w:rsidRDefault="00834FBA" w:rsidP="00CE7BC2">
            <w:pPr>
              <w:pStyle w:val="Body"/>
            </w:pPr>
            <w:r w:rsidRPr="005D4222">
              <w:t xml:space="preserve">All proof-of-service documents must show that services were rendered by the deadline established for the measure. </w:t>
            </w:r>
          </w:p>
          <w:p w14:paraId="234A42BB" w14:textId="52D9E45D" w:rsidR="00834FBA" w:rsidRPr="005D4222" w:rsidRDefault="00834FBA" w:rsidP="00CE7BC2">
            <w:pPr>
              <w:pStyle w:val="Body"/>
            </w:pPr>
            <w:r w:rsidRPr="005D4222">
              <w:t xml:space="preserve">When pharmacy data are classified as supplemental data, all of the following data elements must be present: the generic name (or brand name), strength/ dose, route and date when the medication was dispensed or shipped to the </w:t>
            </w:r>
            <w:r w:rsidR="00CA62B5" w:rsidRPr="005D4222">
              <w:t>person</w:t>
            </w:r>
            <w:r w:rsidRPr="005D4222">
              <w:t xml:space="preserve">. </w:t>
            </w:r>
            <w:r w:rsidRPr="005D4222">
              <w:rPr>
                <w:szCs w:val="21"/>
              </w:rPr>
              <w:t>For mail order prescriptions “shipped date” meets criteria for dispense date.</w:t>
            </w:r>
            <w:r w:rsidRPr="005D4222">
              <w:t xml:space="preserve"> “Start date” documented in the medical record does not meet criteria. Data elements must map to a medication listed in the Medication List Directory to be eligible for use. Generic documentation in the medical record (e.g., that a patient “was prescribed” or “is taking” a medication) that does not include drug name, strength/dose and dispense date does not meet criteria.</w:t>
            </w:r>
          </w:p>
          <w:p w14:paraId="72EEC2C4" w14:textId="77777777" w:rsidR="00834FBA" w:rsidRPr="005D4222" w:rsidDel="00C5260A" w:rsidRDefault="00834FBA" w:rsidP="00CE7BC2">
            <w:pPr>
              <w:pStyle w:val="Body"/>
            </w:pPr>
            <w:r w:rsidRPr="005D4222">
              <w:t>All supplemental data used to show eligibility for exclusions must follow the requirements for exclusions in each measure.</w:t>
            </w:r>
          </w:p>
        </w:tc>
      </w:tr>
    </w:tbl>
    <w:p w14:paraId="046DBAFB" w14:textId="77777777" w:rsidR="00834FBA" w:rsidRPr="005D4222" w:rsidRDefault="00834FBA" w:rsidP="00834FBA">
      <w:pPr>
        <w:pStyle w:val="Heading3"/>
        <w:spacing w:after="0"/>
        <w:rPr>
          <w:sz w:val="21"/>
          <w:szCs w:val="21"/>
        </w:rPr>
      </w:pPr>
      <w:r w:rsidRPr="005D4222">
        <w:rPr>
          <w:sz w:val="21"/>
          <w:szCs w:val="21"/>
        </w:rPr>
        <w:t xml:space="preserve">Supplemental Data Timeline </w:t>
      </w:r>
    </w:p>
    <w:p w14:paraId="00AADE18" w14:textId="2515BA23" w:rsidR="00834FBA" w:rsidRPr="005D4222" w:rsidRDefault="00834FBA" w:rsidP="00834FBA">
      <w:pPr>
        <w:pStyle w:val="Body"/>
        <w:spacing w:before="120"/>
      </w:pPr>
      <w:r w:rsidRPr="005D4222">
        <w:t xml:space="preserve">Supplemental data may be collected during the measurement year and into the beginning of the reporting year. Supplemental data collection and use must adhere to all applicable deadlines in the Audit Timeline posted on NCQA’s website on March 31, </w:t>
      </w:r>
      <w:r w:rsidR="00B25649" w:rsidRPr="005D4222">
        <w:t>2026</w:t>
      </w:r>
      <w:r w:rsidRPr="005D4222">
        <w:t>.</w:t>
      </w:r>
    </w:p>
    <w:p w14:paraId="3616E6F5" w14:textId="77777777" w:rsidR="00834FBA" w:rsidRPr="005D4222" w:rsidRDefault="00834FBA" w:rsidP="00834FBA">
      <w:pPr>
        <w:pStyle w:val="Heading3"/>
        <w:spacing w:after="0"/>
        <w:rPr>
          <w:sz w:val="21"/>
          <w:szCs w:val="21"/>
        </w:rPr>
      </w:pPr>
      <w:r w:rsidRPr="005D4222">
        <w:rPr>
          <w:sz w:val="21"/>
          <w:szCs w:val="21"/>
        </w:rPr>
        <w:t xml:space="preserve">Identifying and Validating Supplemental Data </w:t>
      </w:r>
    </w:p>
    <w:p w14:paraId="27A70D3D" w14:textId="77777777" w:rsidR="00834FBA" w:rsidRPr="005D4222" w:rsidRDefault="00834FBA" w:rsidP="00834FBA">
      <w:pPr>
        <w:pStyle w:val="Body"/>
        <w:spacing w:before="120"/>
      </w:pPr>
      <w:r w:rsidRPr="005D4222">
        <w:t xml:space="preserve">All supplemental data (standard and nonstandard) must be identifiable. Because supplemental data can affect reporting and incentives, plans or vendors that use supplemental data for HEDIS reporting must mark the data files, regardless of the source. Auditors must be able to assess the contribution of each supplemental data source to the applicable components of the measure (numerator events or appropriate exclusions). </w:t>
      </w:r>
    </w:p>
    <w:p w14:paraId="4EB39FFF" w14:textId="77777777" w:rsidR="00834FBA" w:rsidRPr="005D4222" w:rsidRDefault="00834FBA" w:rsidP="00834FBA">
      <w:pPr>
        <w:pStyle w:val="Body"/>
      </w:pPr>
      <w:r w:rsidRPr="005D4222">
        <w:lastRenderedPageBreak/>
        <w:t>Auditors must review all supplemental data annually—there are no exceptions. At a minimum, the annual review includes the following for each supplemental data source:</w:t>
      </w:r>
    </w:p>
    <w:p w14:paraId="5C0DD460" w14:textId="77777777" w:rsidR="00834FBA" w:rsidRPr="005D4222" w:rsidRDefault="00834FBA" w:rsidP="00834FBA">
      <w:pPr>
        <w:pStyle w:val="Bullet"/>
      </w:pPr>
      <w:r w:rsidRPr="005D4222">
        <w:t>Completed HEDIS Roadmap documentation.</w:t>
      </w:r>
    </w:p>
    <w:p w14:paraId="19993F71" w14:textId="77777777" w:rsidR="00834FBA" w:rsidRPr="005D4222" w:rsidRDefault="00834FBA" w:rsidP="00834FBA">
      <w:pPr>
        <w:pStyle w:val="Bullet"/>
      </w:pPr>
      <w:r w:rsidRPr="005D4222">
        <w:t>Impact of supplemental data source by measure (e.g., lists of numerator-positive hits from the supplemental data, by measure; year-to-year comparisons of percentage increases associated with supplemental data; proportion of numerator compliance from supplemental data).</w:t>
      </w:r>
    </w:p>
    <w:p w14:paraId="2723A05A" w14:textId="77777777" w:rsidR="00834FBA" w:rsidRPr="005D4222" w:rsidRDefault="00834FBA" w:rsidP="00834FBA">
      <w:pPr>
        <w:pStyle w:val="Bullet"/>
      </w:pPr>
      <w:r w:rsidRPr="005D4222">
        <w:t xml:space="preserve">Primary source verification where required or requested by the auditor. </w:t>
      </w:r>
    </w:p>
    <w:p w14:paraId="1CCB6F6B" w14:textId="77777777" w:rsidR="00834FBA" w:rsidRPr="005D4222" w:rsidRDefault="00834FBA" w:rsidP="00834FBA">
      <w:pPr>
        <w:pStyle w:val="Body"/>
      </w:pPr>
      <w:r w:rsidRPr="005D4222">
        <w:t>Supplemental data that do not pass all audit validation steps by the deadline may not be used to calculate HEDIS rates. Organizations may wait to load supplemental data until primary source verification is complete and the source is approved.</w:t>
      </w:r>
    </w:p>
    <w:p w14:paraId="437E23BA" w14:textId="77777777" w:rsidR="00834FBA" w:rsidRPr="005D4222" w:rsidRDefault="00834FBA" w:rsidP="00834FBA">
      <w:pPr>
        <w:pStyle w:val="Body"/>
        <w:rPr>
          <w:i/>
        </w:rPr>
      </w:pPr>
      <w:r w:rsidRPr="005D4222">
        <w:t xml:space="preserve">For additional information about audit requirements for supplemental data, refer to </w:t>
      </w:r>
      <w:r w:rsidRPr="005D4222">
        <w:rPr>
          <w:i/>
        </w:rPr>
        <w:t>Volume 5, HEDIS Compliance Audit: Standards, Policies and Procedures.</w:t>
      </w:r>
    </w:p>
    <w:p w14:paraId="1BF18C15" w14:textId="0A77D324" w:rsidR="00F8004C" w:rsidRPr="005D4222" w:rsidRDefault="00F8004C" w:rsidP="00F8004C">
      <w:pPr>
        <w:pStyle w:val="SubHeadNoTOC"/>
        <w:spacing w:before="180"/>
      </w:pPr>
      <w:r w:rsidRPr="005D4222">
        <w:rPr>
          <w:bCs/>
          <w:i/>
        </w:rPr>
        <w:t>General Guideline:</w:t>
      </w:r>
      <w:r w:rsidRPr="005D4222">
        <w:t xml:space="preserve"> Which Services Count</w:t>
      </w:r>
      <w:r w:rsidR="001D7907" w:rsidRPr="005D4222">
        <w:t>?</w:t>
      </w:r>
    </w:p>
    <w:p w14:paraId="1C97BB8D" w14:textId="22CF4C00" w:rsidR="00F8004C" w:rsidRPr="005D4222" w:rsidRDefault="002E0279" w:rsidP="00F8004C">
      <w:pPr>
        <w:pStyle w:val="Body"/>
      </w:pPr>
      <w:r w:rsidRPr="005D4222">
        <w:t>Each measure has its own requirements for</w:t>
      </w:r>
      <w:r w:rsidR="00F8004C" w:rsidRPr="005D4222">
        <w:t xml:space="preserve"> using transactional data and administrative claims to report </w:t>
      </w:r>
      <w:r w:rsidR="00E0209F" w:rsidRPr="005D4222">
        <w:t xml:space="preserve">measure </w:t>
      </w:r>
      <w:r w:rsidR="00A75223" w:rsidRPr="005D4222">
        <w:t>components</w:t>
      </w:r>
      <w:r w:rsidR="00E0209F" w:rsidRPr="005D4222">
        <w:t xml:space="preserve">. </w:t>
      </w:r>
      <w:r w:rsidR="00A75223" w:rsidRPr="005D4222">
        <w:t xml:space="preserve"> </w:t>
      </w:r>
      <w:r w:rsidR="00F8004C" w:rsidRPr="005D4222">
        <w:t>In</w:t>
      </w:r>
      <w:r w:rsidRPr="005D4222">
        <w:t>formation</w:t>
      </w:r>
      <w:r w:rsidR="00F8004C" w:rsidRPr="005D4222">
        <w:t xml:space="preserve"> on which services count are </w:t>
      </w:r>
      <w:r w:rsidR="00FF175B" w:rsidRPr="005D4222">
        <w:t>located</w:t>
      </w:r>
      <w:r w:rsidR="00F8004C" w:rsidRPr="005D4222">
        <w:t xml:space="preserve"> in the </w:t>
      </w:r>
      <w:r w:rsidR="00786FCB" w:rsidRPr="005D4222">
        <w:t>measure’s</w:t>
      </w:r>
      <w:r w:rsidR="00F8004C" w:rsidRPr="005D4222">
        <w:t xml:space="preserve"> </w:t>
      </w:r>
      <w:r w:rsidR="00786FCB" w:rsidRPr="005D4222">
        <w:rPr>
          <w:i/>
          <w:iCs/>
        </w:rPr>
        <w:t>G</w:t>
      </w:r>
      <w:r w:rsidR="00F8004C" w:rsidRPr="005D4222">
        <w:rPr>
          <w:i/>
          <w:iCs/>
        </w:rPr>
        <w:t>uidance</w:t>
      </w:r>
      <w:r w:rsidR="00F8004C" w:rsidRPr="005D4222">
        <w:t xml:space="preserve"> section</w:t>
      </w:r>
      <w:r w:rsidR="00786FCB" w:rsidRPr="005D4222">
        <w:t>.</w:t>
      </w:r>
      <w:r w:rsidR="00F8004C" w:rsidRPr="005D4222">
        <w:t xml:space="preserve"> </w:t>
      </w:r>
    </w:p>
    <w:p w14:paraId="0402E1C0" w14:textId="7F82E674" w:rsidR="00F8004C" w:rsidRPr="005D4222" w:rsidRDefault="00786FCB" w:rsidP="00F8004C">
      <w:pPr>
        <w:pStyle w:val="Body"/>
      </w:pPr>
      <w:r w:rsidRPr="005D4222">
        <w:t>If</w:t>
      </w:r>
      <w:r w:rsidR="00F8004C" w:rsidRPr="005D4222">
        <w:t xml:space="preserve"> a measure requires that all paid, suspended, pending and denied claims be used for reporting, report all services</w:t>
      </w:r>
      <w:r w:rsidR="008E6DB6" w:rsidRPr="005D4222">
        <w:t>,</w:t>
      </w:r>
      <w:r w:rsidR="00F8004C" w:rsidRPr="005D4222">
        <w:t xml:space="preserve"> whether or not the organization paid for them. For example, report services paid for by a third party, such as a community center</w:t>
      </w:r>
      <w:r w:rsidR="008E6DB6" w:rsidRPr="005D4222">
        <w:t>,</w:t>
      </w:r>
      <w:r w:rsidR="00F8004C" w:rsidRPr="005D4222">
        <w:t xml:space="preserve"> or services for which payment was denied because they were not authorized. </w:t>
      </w:r>
    </w:p>
    <w:p w14:paraId="7D9B27D6" w14:textId="77777777" w:rsidR="00F8004C" w:rsidRPr="005D4222" w:rsidRDefault="00F8004C" w:rsidP="00F8004C">
      <w:pPr>
        <w:pStyle w:val="Body"/>
        <w:rPr>
          <w:rFonts w:eastAsiaTheme="minorHAnsi"/>
          <w:szCs w:val="21"/>
          <w14:ligatures w14:val="standardContextual"/>
        </w:rPr>
      </w:pPr>
      <w:r w:rsidRPr="005D4222">
        <w:rPr>
          <w:rFonts w:eastAsiaTheme="minorHAnsi"/>
          <w:i/>
        </w:rPr>
        <w:t xml:space="preserve">Count the service as paid or expected to be paid if: </w:t>
      </w:r>
    </w:p>
    <w:p w14:paraId="44543993" w14:textId="0578E002" w:rsidR="00F8004C" w:rsidRPr="005D4222" w:rsidRDefault="00F8004C" w:rsidP="00F8004C">
      <w:pPr>
        <w:pStyle w:val="Bullet"/>
        <w:rPr>
          <w:rFonts w:eastAsiaTheme="minorHAnsi"/>
        </w:rPr>
      </w:pPr>
      <w:r w:rsidRPr="005D4222">
        <w:rPr>
          <w:rFonts w:eastAsiaTheme="minorHAnsi"/>
        </w:rPr>
        <w:t xml:space="preserve">The organization paid the full amount </w:t>
      </w:r>
      <w:r w:rsidRPr="005D4222">
        <w:rPr>
          <w:rFonts w:eastAsiaTheme="minorHAnsi"/>
          <w:b/>
          <w:i/>
        </w:rPr>
        <w:t xml:space="preserve">or </w:t>
      </w:r>
      <w:r w:rsidRPr="005D4222">
        <w:rPr>
          <w:rFonts w:eastAsiaTheme="minorHAnsi"/>
        </w:rPr>
        <w:t>a portion of the amount</w:t>
      </w:r>
      <w:r w:rsidR="00E0209F" w:rsidRPr="005D4222">
        <w:rPr>
          <w:rFonts w:eastAsiaTheme="minorHAnsi"/>
        </w:rPr>
        <w:t>.</w:t>
      </w:r>
      <w:r w:rsidRPr="005D4222">
        <w:rPr>
          <w:rFonts w:eastAsiaTheme="minorHAnsi"/>
        </w:rPr>
        <w:t xml:space="preserve"> </w:t>
      </w:r>
    </w:p>
    <w:p w14:paraId="6E31878E" w14:textId="77777777" w:rsidR="00F8004C" w:rsidRPr="005D4222" w:rsidRDefault="00F8004C" w:rsidP="00F8004C">
      <w:pPr>
        <w:pStyle w:val="Bullet"/>
        <w:rPr>
          <w:rFonts w:eastAsiaTheme="minorHAnsi"/>
        </w:rPr>
      </w:pPr>
      <w:r w:rsidRPr="005D4222">
        <w:rPr>
          <w:rFonts w:eastAsiaTheme="minorHAnsi"/>
        </w:rPr>
        <w:t xml:space="preserve">The member paid for the service as part of the benefit offering (e.g., to meet a deductible), </w:t>
      </w:r>
      <w:r w:rsidRPr="005D4222">
        <w:rPr>
          <w:rFonts w:eastAsiaTheme="minorHAnsi"/>
          <w:b/>
          <w:i/>
        </w:rPr>
        <w:t xml:space="preserve">or </w:t>
      </w:r>
    </w:p>
    <w:p w14:paraId="7D2A338A" w14:textId="77777777" w:rsidR="00F8004C" w:rsidRPr="005D4222" w:rsidRDefault="00F8004C" w:rsidP="00F8004C">
      <w:pPr>
        <w:pStyle w:val="Bullet"/>
        <w:rPr>
          <w:rFonts w:eastAsiaTheme="minorHAnsi"/>
        </w:rPr>
      </w:pPr>
      <w:r w:rsidRPr="005D4222">
        <w:rPr>
          <w:rFonts w:eastAsiaTheme="minorHAnsi"/>
        </w:rPr>
        <w:t xml:space="preserve">The service was covered under a PMPM payment. </w:t>
      </w:r>
    </w:p>
    <w:p w14:paraId="57083722" w14:textId="77777777" w:rsidR="00F8004C" w:rsidRPr="005D4222" w:rsidRDefault="00F8004C" w:rsidP="00F8004C">
      <w:pPr>
        <w:pStyle w:val="Body"/>
        <w:rPr>
          <w:rFonts w:eastAsiaTheme="minorHAnsi"/>
          <w:i/>
        </w:rPr>
      </w:pPr>
      <w:r w:rsidRPr="005D4222">
        <w:rPr>
          <w:rFonts w:eastAsiaTheme="minorHAnsi"/>
          <w:i/>
        </w:rPr>
        <w:t xml:space="preserve">Count the service as denied if: </w:t>
      </w:r>
    </w:p>
    <w:p w14:paraId="7137F2E2" w14:textId="77777777" w:rsidR="00F8004C" w:rsidRPr="005D4222" w:rsidRDefault="00F8004C" w:rsidP="00F8004C">
      <w:pPr>
        <w:pStyle w:val="Bullet"/>
        <w:rPr>
          <w:rFonts w:eastAsiaTheme="minorHAnsi"/>
        </w:rPr>
      </w:pPr>
      <w:r w:rsidRPr="005D4222">
        <w:rPr>
          <w:rFonts w:eastAsiaTheme="minorHAnsi"/>
        </w:rPr>
        <w:t xml:space="preserve">The organization denied the service for any reason, unless the member paid for the service as part of the benefit offering (e.g., to meet a deductible), </w:t>
      </w:r>
      <w:r w:rsidRPr="005D4222">
        <w:rPr>
          <w:rFonts w:eastAsiaTheme="minorHAnsi"/>
          <w:b/>
          <w:i/>
        </w:rPr>
        <w:t xml:space="preserve">or </w:t>
      </w:r>
    </w:p>
    <w:p w14:paraId="0A6DB8A6" w14:textId="02FC1D34" w:rsidR="00F8004C" w:rsidRPr="005D4222" w:rsidRDefault="00F8004C" w:rsidP="00F8004C">
      <w:pPr>
        <w:pStyle w:val="Bullet"/>
        <w:rPr>
          <w:rFonts w:eastAsiaTheme="minorHAnsi"/>
        </w:rPr>
      </w:pPr>
      <w:r w:rsidRPr="005D4222">
        <w:rPr>
          <w:rFonts w:eastAsiaTheme="minorHAnsi"/>
        </w:rPr>
        <w:t>The claim for the service was rejected because it was missing information</w:t>
      </w:r>
      <w:r w:rsidR="002342C8" w:rsidRPr="005D4222">
        <w:rPr>
          <w:rFonts w:eastAsiaTheme="minorHAnsi"/>
        </w:rPr>
        <w:t>,</w:t>
      </w:r>
      <w:r w:rsidRPr="005D4222">
        <w:rPr>
          <w:rFonts w:eastAsiaTheme="minorHAnsi"/>
        </w:rPr>
        <w:t xml:space="preserve"> or was invalid for another reason. </w:t>
      </w:r>
    </w:p>
    <w:p w14:paraId="17D3D175" w14:textId="2A76C942" w:rsidR="007532D3" w:rsidRPr="005D4222" w:rsidRDefault="00F8004C" w:rsidP="00834FBA">
      <w:pPr>
        <w:pStyle w:val="Body"/>
      </w:pPr>
      <w:r w:rsidRPr="005D4222">
        <w:t xml:space="preserve">Organizations may </w:t>
      </w:r>
      <w:r w:rsidR="000C455F" w:rsidRPr="005D4222">
        <w:t>decide</w:t>
      </w:r>
      <w:r w:rsidRPr="005D4222">
        <w:t xml:space="preserve"> to include reversed claims when reporting services. If an organization includes reversals, it must include the</w:t>
      </w:r>
      <w:r w:rsidR="00483B47" w:rsidRPr="005D4222">
        <w:t>se</w:t>
      </w:r>
      <w:r w:rsidRPr="005D4222">
        <w:t xml:space="preserve"> claims in all measures</w:t>
      </w:r>
      <w:r w:rsidR="002A2CD9" w:rsidRPr="005D4222">
        <w:t>,</w:t>
      </w:r>
      <w:r w:rsidRPr="005D4222">
        <w:t xml:space="preserve"> and avoid double counting services (e.g., if a subsequent claim is filed, use only the corrected or adjudicated claim).</w:t>
      </w:r>
    </w:p>
    <w:p w14:paraId="592D77D3" w14:textId="0A9B0F70" w:rsidR="00834FBA" w:rsidRPr="005D4222" w:rsidRDefault="00834FBA" w:rsidP="00834FBA">
      <w:pPr>
        <w:pStyle w:val="SubHeadNoTOC"/>
      </w:pPr>
      <w:bookmarkStart w:id="144" w:name="_Toc400546071"/>
      <w:bookmarkStart w:id="145" w:name="_Hlk506466455"/>
      <w:bookmarkEnd w:id="142"/>
      <w:r w:rsidRPr="005D4222">
        <w:rPr>
          <w:bCs/>
          <w:i/>
        </w:rPr>
        <w:t>General Guideline:</w:t>
      </w:r>
      <w:r w:rsidRPr="005D4222">
        <w:t xml:space="preserve"> Obtaining Information for the Systematic Sample</w:t>
      </w:r>
      <w:bookmarkEnd w:id="144"/>
    </w:p>
    <w:p w14:paraId="405AD103" w14:textId="77777777" w:rsidR="00834FBA" w:rsidRPr="005D4222" w:rsidRDefault="00834FBA" w:rsidP="00834FBA">
      <w:pPr>
        <w:pStyle w:val="Body"/>
        <w:widowControl w:val="0"/>
      </w:pPr>
      <w:r w:rsidRPr="005D4222">
        <w:t xml:space="preserve">Organizations (and their contractors) that use the Hybrid Method are responsible for determining compliance with HEDIS measurement specifications. Information may be abstracted from the member’s legal health record by designated medical record review (MRR) staff. Abstraction of data for members in the systematic sample is performed by entities or vendors who adhere to training, policies and procedures, use of appropriate tools, oversight and all other audit components. </w:t>
      </w:r>
    </w:p>
    <w:p w14:paraId="7711477D" w14:textId="77777777" w:rsidR="00834FBA" w:rsidRPr="005D4222" w:rsidRDefault="00834FBA" w:rsidP="00834FBA">
      <w:pPr>
        <w:pStyle w:val="Body"/>
        <w:rPr>
          <w:iCs/>
        </w:rPr>
      </w:pPr>
      <w:r w:rsidRPr="005D4222">
        <w:t xml:space="preserve">MRR abstractors count a service if the legal health record contains the date of the service and evidence that the service occurred. All services must be rendered and documented in the medical record by the deadline established in the measure. </w:t>
      </w:r>
    </w:p>
    <w:bookmarkEnd w:id="145"/>
    <w:p w14:paraId="6CF079B9" w14:textId="77777777" w:rsidR="00834FBA" w:rsidRPr="005D4222" w:rsidRDefault="00834FBA" w:rsidP="00834FBA">
      <w:pPr>
        <w:pStyle w:val="Body"/>
      </w:pPr>
      <w:r w:rsidRPr="005D4222">
        <w:lastRenderedPageBreak/>
        <w:t xml:space="preserve">Organizations must be able to determine that a test or service was </w:t>
      </w:r>
      <w:r w:rsidRPr="005D4222">
        <w:rPr>
          <w:i/>
          <w:iCs/>
        </w:rPr>
        <w:t>performed</w:t>
      </w:r>
      <w:r w:rsidRPr="005D4222">
        <w:t xml:space="preserve"> within the time frame specified, not merely ordered. Only completed events count toward HEDIS compliance. Documentation in a medical record of a diagnosis or procedure code alone does not comply with the numerator criteria.</w:t>
      </w:r>
    </w:p>
    <w:p w14:paraId="607A9D06" w14:textId="77777777" w:rsidR="00834FBA" w:rsidRPr="005D4222" w:rsidRDefault="00834FBA" w:rsidP="00834FBA">
      <w:pPr>
        <w:pStyle w:val="Body"/>
        <w:widowControl w:val="0"/>
      </w:pPr>
      <w:r w:rsidRPr="005D4222">
        <w:t xml:space="preserve">Processes used to determine the validity and integrity of abstracted data, including interrater reliability, quality control and rater-to-standard results, are reviewed by the certified HEDIS Compliance Auditor. </w:t>
      </w:r>
    </w:p>
    <w:tbl>
      <w:tblPr>
        <w:tblW w:w="9792" w:type="dxa"/>
        <w:tblLayout w:type="fixed"/>
        <w:tblLook w:val="0000" w:firstRow="0" w:lastRow="0" w:firstColumn="0" w:lastColumn="0" w:noHBand="0" w:noVBand="0"/>
      </w:tblPr>
      <w:tblGrid>
        <w:gridCol w:w="2160"/>
        <w:gridCol w:w="7632"/>
      </w:tblGrid>
      <w:tr w:rsidR="00834FBA" w:rsidRPr="005D4222" w14:paraId="6556BD49" w14:textId="77777777" w:rsidTr="009F6641">
        <w:trPr>
          <w:cantSplit/>
        </w:trPr>
        <w:tc>
          <w:tcPr>
            <w:tcW w:w="2160" w:type="dxa"/>
          </w:tcPr>
          <w:p w14:paraId="5AE6E1E5" w14:textId="77777777" w:rsidR="00834FBA" w:rsidRPr="005D4222" w:rsidRDefault="00834FBA" w:rsidP="009F6641">
            <w:pPr>
              <w:pStyle w:val="MarginSubhead"/>
            </w:pPr>
            <w:r w:rsidRPr="005D4222">
              <w:t>Data refresh for the systematic sample</w:t>
            </w:r>
          </w:p>
        </w:tc>
        <w:tc>
          <w:tcPr>
            <w:tcW w:w="7632" w:type="dxa"/>
          </w:tcPr>
          <w:p w14:paraId="6674EB8D" w14:textId="77777777" w:rsidR="00834FBA" w:rsidRPr="005D4222" w:rsidRDefault="00834FBA" w:rsidP="009F6641">
            <w:pPr>
              <w:pStyle w:val="Body"/>
              <w:rPr>
                <w:shd w:val="clear" w:color="auto" w:fill="FFFFFF"/>
              </w:rPr>
            </w:pPr>
            <w:r w:rsidRPr="005D4222">
              <w:t xml:space="preserve">Because NCQA requires that the systematic sample be stable and reproducible, organizations may not change the sample after it is created. If an organization refreshes the HEDIS repository after the sample is drawn and chart review is in progress, it should follow the guidelines below to use the newer administrative data for all </w:t>
            </w:r>
            <w:r w:rsidRPr="005D4222">
              <w:rPr>
                <w:shd w:val="clear" w:color="auto" w:fill="FFFFFF"/>
              </w:rPr>
              <w:t>hybrid measures.</w:t>
            </w:r>
          </w:p>
          <w:p w14:paraId="43B6B3FC" w14:textId="029091FA" w:rsidR="00567A64" w:rsidRPr="005D4222" w:rsidRDefault="008F1ADA" w:rsidP="00567A64">
            <w:pPr>
              <w:pStyle w:val="Body"/>
              <w:rPr>
                <w:shd w:val="clear" w:color="auto" w:fill="FFFFFF"/>
              </w:rPr>
            </w:pPr>
            <w:r w:rsidRPr="005D4222">
              <w:rPr>
                <w:shd w:val="clear" w:color="auto" w:fill="FFFFFF"/>
              </w:rPr>
              <w:t xml:space="preserve">The </w:t>
            </w:r>
            <w:r w:rsidR="00267E7D" w:rsidRPr="005D4222">
              <w:rPr>
                <w:shd w:val="clear" w:color="auto" w:fill="FFFFFF"/>
              </w:rPr>
              <w:t>I</w:t>
            </w:r>
            <w:r w:rsidR="00EC23B1" w:rsidRPr="005D4222">
              <w:rPr>
                <w:shd w:val="clear" w:color="auto" w:fill="FFFFFF"/>
              </w:rPr>
              <w:t>nitial</w:t>
            </w:r>
            <w:r w:rsidR="00267E7D" w:rsidRPr="005D4222">
              <w:rPr>
                <w:shd w:val="clear" w:color="auto" w:fill="FFFFFF"/>
              </w:rPr>
              <w:t>P</w:t>
            </w:r>
            <w:r w:rsidR="00EC23B1" w:rsidRPr="005D4222">
              <w:rPr>
                <w:shd w:val="clear" w:color="auto" w:fill="FFFFFF"/>
              </w:rPr>
              <w:t>opulation, N</w:t>
            </w:r>
            <w:r w:rsidRPr="005D4222">
              <w:rPr>
                <w:shd w:val="clear" w:color="auto" w:fill="FFFFFF"/>
              </w:rPr>
              <w:t>umeratorByAdmin</w:t>
            </w:r>
            <w:r w:rsidR="00BD681D" w:rsidRPr="005D4222">
              <w:rPr>
                <w:shd w:val="clear" w:color="auto" w:fill="FFFFFF"/>
              </w:rPr>
              <w:t>Denom</w:t>
            </w:r>
            <w:r w:rsidRPr="005D4222">
              <w:rPr>
                <w:shd w:val="clear" w:color="auto" w:fill="FFFFFF"/>
              </w:rPr>
              <w:t xml:space="preserve"> and Exclusion</w:t>
            </w:r>
            <w:r w:rsidR="005666AD" w:rsidRPr="005D4222">
              <w:rPr>
                <w:shd w:val="clear" w:color="auto" w:fill="FFFFFF"/>
              </w:rPr>
              <w:t>s</w:t>
            </w:r>
            <w:r w:rsidRPr="005D4222">
              <w:rPr>
                <w:shd w:val="clear" w:color="auto" w:fill="FFFFFF"/>
              </w:rPr>
              <w:t xml:space="preserve"> data elements should be locked after the sample is pulled</w:t>
            </w:r>
            <w:r w:rsidR="00783FF2" w:rsidRPr="005D4222">
              <w:rPr>
                <w:shd w:val="clear" w:color="auto" w:fill="FFFFFF"/>
              </w:rPr>
              <w:t>; the</w:t>
            </w:r>
            <w:r w:rsidR="003757E2" w:rsidRPr="005D4222">
              <w:rPr>
                <w:shd w:val="clear" w:color="auto" w:fill="FFFFFF"/>
              </w:rPr>
              <w:t xml:space="preserve"> MRSS is fixed</w:t>
            </w:r>
            <w:r w:rsidR="00490628" w:rsidRPr="005D4222">
              <w:rPr>
                <w:shd w:val="clear" w:color="auto" w:fill="FFFFFF"/>
              </w:rPr>
              <w:t>,</w:t>
            </w:r>
            <w:r w:rsidR="003757E2" w:rsidRPr="005D4222">
              <w:rPr>
                <w:shd w:val="clear" w:color="auto" w:fill="FFFFFF"/>
              </w:rPr>
              <w:t xml:space="preserve"> and </w:t>
            </w:r>
            <w:r w:rsidR="00A177DA" w:rsidRPr="005D4222">
              <w:rPr>
                <w:shd w:val="clear" w:color="auto" w:fill="FFFFFF"/>
              </w:rPr>
              <w:t>these administrative data elements</w:t>
            </w:r>
            <w:r w:rsidR="003757E2" w:rsidRPr="005D4222">
              <w:rPr>
                <w:shd w:val="clear" w:color="auto" w:fill="FFFFFF"/>
              </w:rPr>
              <w:t xml:space="preserve"> must not </w:t>
            </w:r>
            <w:r w:rsidRPr="005D4222">
              <w:rPr>
                <w:shd w:val="clear" w:color="auto" w:fill="FFFFFF"/>
              </w:rPr>
              <w:t xml:space="preserve">change during </w:t>
            </w:r>
            <w:r w:rsidR="0007428A" w:rsidRPr="005D4222">
              <w:rPr>
                <w:shd w:val="clear" w:color="auto" w:fill="FFFFFF"/>
              </w:rPr>
              <w:t xml:space="preserve">an </w:t>
            </w:r>
            <w:r w:rsidRPr="005D4222">
              <w:rPr>
                <w:shd w:val="clear" w:color="auto" w:fill="FFFFFF"/>
              </w:rPr>
              <w:t>administrative</w:t>
            </w:r>
            <w:r w:rsidR="00AD5828" w:rsidRPr="005D4222">
              <w:rPr>
                <w:shd w:val="clear" w:color="auto" w:fill="FFFFFF"/>
              </w:rPr>
              <w:t xml:space="preserve"> data</w:t>
            </w:r>
            <w:r w:rsidRPr="005D4222">
              <w:rPr>
                <w:shd w:val="clear" w:color="auto" w:fill="FFFFFF"/>
              </w:rPr>
              <w:t xml:space="preserve"> refresh. </w:t>
            </w:r>
          </w:p>
          <w:p w14:paraId="4165A458" w14:textId="49344C33" w:rsidR="008F1ADA" w:rsidRPr="005D4222" w:rsidRDefault="00834FBA" w:rsidP="009F6641">
            <w:pPr>
              <w:pStyle w:val="Body"/>
              <w:rPr>
                <w:shd w:val="clear" w:color="auto" w:fill="FFFFFF"/>
              </w:rPr>
            </w:pPr>
            <w:r w:rsidRPr="005D4222">
              <w:t>Exclusions found through administrative data in a data refresh must be reported in the “ExclusionValidDataErrors” data element.</w:t>
            </w:r>
            <w:r w:rsidR="00502250" w:rsidRPr="005D4222">
              <w:t xml:space="preserve"> Members identified as valid data errors must </w:t>
            </w:r>
            <w:r w:rsidR="006E222D" w:rsidRPr="005D4222">
              <w:t>be reported in the InitialPopulation data element</w:t>
            </w:r>
            <w:r w:rsidR="00490628" w:rsidRPr="005D4222">
              <w:t>,</w:t>
            </w:r>
            <w:r w:rsidR="00502250" w:rsidRPr="005D4222">
              <w:t xml:space="preserve"> but are removed from the sample.</w:t>
            </w:r>
          </w:p>
          <w:p w14:paraId="1BD21405" w14:textId="454FBC94" w:rsidR="00834FBA" w:rsidRPr="005D4222" w:rsidRDefault="00834FBA" w:rsidP="009F6641">
            <w:pPr>
              <w:pStyle w:val="Note"/>
              <w:rPr>
                <w:b/>
              </w:rPr>
            </w:pPr>
            <w:r w:rsidRPr="005D4222">
              <w:rPr>
                <w:b/>
                <w:bCs/>
                <w:shd w:val="clear" w:color="auto" w:fill="FFFFFF"/>
              </w:rPr>
              <w:t xml:space="preserve">Note: </w:t>
            </w:r>
            <w:r w:rsidRPr="005D4222">
              <w:t>Organizations may elect to refresh data for administrative-only measures</w:t>
            </w:r>
            <w:r w:rsidR="00490628" w:rsidRPr="005D4222">
              <w:t>,</w:t>
            </w:r>
            <w:r w:rsidRPr="005D4222">
              <w:t xml:space="preserve"> but must apply the refresh to all applicable measures.</w:t>
            </w:r>
          </w:p>
        </w:tc>
      </w:tr>
      <w:tr w:rsidR="00834FBA" w:rsidRPr="005D4222" w14:paraId="69026D72" w14:textId="77777777" w:rsidTr="009F6641">
        <w:tc>
          <w:tcPr>
            <w:tcW w:w="2160" w:type="dxa"/>
          </w:tcPr>
          <w:p w14:paraId="4BA87F92" w14:textId="77777777" w:rsidR="00834FBA" w:rsidRPr="005D4222" w:rsidRDefault="00834FBA" w:rsidP="00CE7BC2">
            <w:pPr>
              <w:pStyle w:val="MarginSubhead"/>
              <w:widowControl w:val="0"/>
              <w:jc w:val="right"/>
              <w:rPr>
                <w:i/>
              </w:rPr>
            </w:pPr>
            <w:r w:rsidRPr="005D4222">
              <w:rPr>
                <w:i/>
              </w:rPr>
              <w:t>Manually updating the sample</w:t>
            </w:r>
          </w:p>
        </w:tc>
        <w:tc>
          <w:tcPr>
            <w:tcW w:w="7632" w:type="dxa"/>
          </w:tcPr>
          <w:p w14:paraId="1A32ED04" w14:textId="5A5981E4" w:rsidR="00834FBA" w:rsidRPr="005D4222" w:rsidRDefault="00834FBA" w:rsidP="00CE7BC2">
            <w:pPr>
              <w:pStyle w:val="Body"/>
            </w:pPr>
            <w:r w:rsidRPr="005D4222">
              <w:t xml:space="preserve">Organizations may compare only the numerator-negative members in the sample to screen shots of the refreshed data; they are not required to update every measure manually or to reassess denominator compliance for every member in the sample. </w:t>
            </w:r>
          </w:p>
          <w:p w14:paraId="2EBB784A" w14:textId="77777777" w:rsidR="00834FBA" w:rsidRPr="005D4222" w:rsidRDefault="00834FBA" w:rsidP="00CE7BC2">
            <w:pPr>
              <w:pStyle w:val="Body"/>
            </w:pPr>
            <w:r w:rsidRPr="005D4222">
              <w:t>Records used for numerator compliance are subject to medical record review validation.</w:t>
            </w:r>
          </w:p>
        </w:tc>
      </w:tr>
      <w:tr w:rsidR="00834FBA" w:rsidRPr="005D4222" w14:paraId="028C9B93" w14:textId="77777777" w:rsidTr="009F6641">
        <w:tc>
          <w:tcPr>
            <w:tcW w:w="2160" w:type="dxa"/>
          </w:tcPr>
          <w:p w14:paraId="1D2DA1F5" w14:textId="77777777" w:rsidR="00834FBA" w:rsidRPr="005D4222" w:rsidRDefault="00834FBA" w:rsidP="009F6641">
            <w:pPr>
              <w:pStyle w:val="MarginSubhead"/>
              <w:jc w:val="right"/>
              <w:rPr>
                <w:i/>
              </w:rPr>
            </w:pPr>
            <w:r w:rsidRPr="005D4222">
              <w:rPr>
                <w:i/>
              </w:rPr>
              <w:t>Automated updates to the sample</w:t>
            </w:r>
          </w:p>
        </w:tc>
        <w:tc>
          <w:tcPr>
            <w:tcW w:w="7632" w:type="dxa"/>
          </w:tcPr>
          <w:p w14:paraId="7AAAEAEC" w14:textId="77777777" w:rsidR="00834FBA" w:rsidRPr="005D4222" w:rsidRDefault="00834FBA" w:rsidP="009F6641">
            <w:pPr>
              <w:pStyle w:val="Body"/>
            </w:pPr>
            <w:r w:rsidRPr="005D4222">
              <w:t xml:space="preserve">Organizations may use an automated process that loads the entire sample for each measure and compares it to the refreshed data. All data must be used consistently in the samples. </w:t>
            </w:r>
          </w:p>
          <w:p w14:paraId="0A036569" w14:textId="77777777" w:rsidR="00834FBA" w:rsidRPr="005D4222" w:rsidRDefault="00834FBA" w:rsidP="009F6641">
            <w:pPr>
              <w:pStyle w:val="Bullet"/>
            </w:pPr>
            <w:r w:rsidRPr="005D4222">
              <w:t>If recent data contradict numerator compliance, those data must be used.</w:t>
            </w:r>
          </w:p>
          <w:p w14:paraId="3F56226B" w14:textId="77777777" w:rsidR="00834FBA" w:rsidRPr="005D4222" w:rsidRDefault="00834FBA" w:rsidP="009F6641">
            <w:pPr>
              <w:pStyle w:val="Bullet"/>
            </w:pPr>
            <w:r w:rsidRPr="005D4222">
              <w:t>If recent data exclude a member, those data must be used and the oversample must provide a substitute member.</w:t>
            </w:r>
          </w:p>
          <w:p w14:paraId="66734254" w14:textId="77777777" w:rsidR="00834FBA" w:rsidRPr="005D4222" w:rsidRDefault="00834FBA" w:rsidP="009F6641">
            <w:pPr>
              <w:pStyle w:val="Bullet"/>
            </w:pPr>
            <w:r w:rsidRPr="005D4222">
              <w:t>If the oversample is exhausted, the organization must use the Sampling Guidelines to ensure meeting the minimum required sample size (MRSS) is possible.</w:t>
            </w:r>
          </w:p>
          <w:p w14:paraId="6EC47A16" w14:textId="77777777" w:rsidR="00834FBA" w:rsidRPr="005D4222" w:rsidRDefault="00834FBA" w:rsidP="009F6641">
            <w:pPr>
              <w:pStyle w:val="Bullet"/>
            </w:pPr>
            <w:r w:rsidRPr="005D4222">
              <w:t>The auditor must review and approve the timing, processes and results of the refresh, but does not need to include the records used for numerator compliance in the medical record review validation.</w:t>
            </w:r>
          </w:p>
        </w:tc>
      </w:tr>
    </w:tbl>
    <w:p w14:paraId="11140581" w14:textId="77777777" w:rsidR="00CE7BC2" w:rsidRDefault="00CE7BC2">
      <w:pPr>
        <w:rPr>
          <w:b/>
          <w:bCs/>
          <w:i/>
          <w:iCs/>
          <w:sz w:val="22"/>
        </w:rPr>
      </w:pPr>
      <w:bookmarkStart w:id="146" w:name="GG_Race_and_Ethnicity"/>
      <w:bookmarkStart w:id="147" w:name="_Toc400546072"/>
      <w:r>
        <w:rPr>
          <w:bCs/>
          <w:i/>
        </w:rPr>
        <w:br w:type="page"/>
      </w:r>
    </w:p>
    <w:p w14:paraId="67391A5C" w14:textId="4D1A9D5E" w:rsidR="00834FBA" w:rsidRPr="005D4222" w:rsidRDefault="00834FBA" w:rsidP="00834FBA">
      <w:pPr>
        <w:pStyle w:val="SubHeadNoTOC"/>
      </w:pPr>
      <w:r w:rsidRPr="005D4222">
        <w:rPr>
          <w:bCs/>
          <w:i/>
        </w:rPr>
        <w:lastRenderedPageBreak/>
        <w:t>General Guideline:</w:t>
      </w:r>
      <w:r w:rsidRPr="005D4222">
        <w:t xml:space="preserve"> Race and Ethnicity </w:t>
      </w:r>
      <w:r w:rsidR="00B51CDC" w:rsidRPr="005D4222">
        <w:t>Stratifications</w:t>
      </w:r>
      <w:bookmarkEnd w:id="146"/>
    </w:p>
    <w:p w14:paraId="14B531F7" w14:textId="3020CAD9" w:rsidR="00834FBA" w:rsidRPr="005D4222" w:rsidRDefault="00834FBA" w:rsidP="00834FBA">
      <w:pPr>
        <w:pStyle w:val="Body"/>
      </w:pPr>
      <w:r w:rsidRPr="005D4222">
        <w:t>This guideline provides instructions on how organizations categorize Medicare, Medicaid and commercial members by the race and ethnicity stratification (RES) when it is included in a measure.</w:t>
      </w:r>
    </w:p>
    <w:tbl>
      <w:tblPr>
        <w:tblStyle w:val="TableGrid"/>
        <w:tblW w:w="9734" w:type="dxa"/>
        <w:tblLook w:val="04A0" w:firstRow="1" w:lastRow="0" w:firstColumn="1" w:lastColumn="0" w:noHBand="0" w:noVBand="1"/>
      </w:tblPr>
      <w:tblGrid>
        <w:gridCol w:w="2160"/>
        <w:gridCol w:w="7574"/>
      </w:tblGrid>
      <w:tr w:rsidR="00834FBA" w:rsidRPr="005D4222" w14:paraId="43328643" w14:textId="77777777" w:rsidTr="009F6641">
        <w:tc>
          <w:tcPr>
            <w:tcW w:w="2160" w:type="dxa"/>
            <w:tcBorders>
              <w:top w:val="nil"/>
              <w:left w:val="nil"/>
              <w:bottom w:val="nil"/>
              <w:right w:val="nil"/>
            </w:tcBorders>
          </w:tcPr>
          <w:p w14:paraId="064A827D" w14:textId="77777777" w:rsidR="00834FBA" w:rsidRPr="005D4222" w:rsidRDefault="00834FBA" w:rsidP="009F6641">
            <w:pPr>
              <w:pStyle w:val="MarginSubhead"/>
            </w:pPr>
            <w:r w:rsidRPr="005D4222">
              <w:t>Reporting categories</w:t>
            </w:r>
          </w:p>
        </w:tc>
        <w:tc>
          <w:tcPr>
            <w:tcW w:w="7574" w:type="dxa"/>
            <w:tcBorders>
              <w:top w:val="nil"/>
              <w:left w:val="nil"/>
              <w:bottom w:val="nil"/>
              <w:right w:val="nil"/>
            </w:tcBorders>
          </w:tcPr>
          <w:p w14:paraId="737C99E6" w14:textId="489351C6" w:rsidR="00834FBA" w:rsidRPr="005D4222" w:rsidRDefault="00834FBA" w:rsidP="009F6641">
            <w:pPr>
              <w:pStyle w:val="Body"/>
            </w:pPr>
            <w:r w:rsidRPr="005D4222">
              <w:t xml:space="preserve">NCQA requires reporting race and ethnicity as defined by the Office of Management and Budget (OMB) </w:t>
            </w:r>
            <w:r w:rsidR="003F1FEB" w:rsidRPr="005D4222">
              <w:t>1997</w:t>
            </w:r>
            <w:r w:rsidR="00D0078C" w:rsidRPr="005D4222">
              <w:t xml:space="preserve"> and </w:t>
            </w:r>
            <w:r w:rsidR="00F56F98" w:rsidRPr="005D4222">
              <w:t>2024</w:t>
            </w:r>
            <w:r w:rsidRPr="005D4222">
              <w:t xml:space="preserve"> Standards for Maintaining, Collecting, and Presenting Federal Data on Race and Ethnicity</w:t>
            </w:r>
            <w:r w:rsidR="00D34030" w:rsidRPr="005D4222">
              <w:t>,</w:t>
            </w:r>
            <w:r w:rsidR="003F1FEB" w:rsidRPr="005D4222">
              <w:t xml:space="preserve"> and best practices identified in the March 2024 updates</w:t>
            </w:r>
            <w:r w:rsidRPr="005D4222">
              <w:t>.</w:t>
            </w:r>
            <w:r w:rsidRPr="005D4222">
              <w:rPr>
                <w:rStyle w:val="FootnoteReference"/>
              </w:rPr>
              <w:footnoteReference w:id="4"/>
            </w:r>
            <w:r w:rsidRPr="005D4222">
              <w:rPr>
                <w:vertAlign w:val="superscript"/>
              </w:rPr>
              <w:t>,</w:t>
            </w:r>
            <w:r w:rsidRPr="005D4222">
              <w:rPr>
                <w:rStyle w:val="FootnoteReference"/>
              </w:rPr>
              <w:footnoteReference w:id="5"/>
            </w:r>
            <w:r w:rsidRPr="005D4222">
              <w:t xml:space="preserve"> </w:t>
            </w:r>
          </w:p>
          <w:p w14:paraId="54BF041F" w14:textId="7C686072" w:rsidR="00834FBA" w:rsidRPr="005D4222" w:rsidRDefault="00834FBA" w:rsidP="009F6641">
            <w:pPr>
              <w:pStyle w:val="Body"/>
            </w:pPr>
            <w:r w:rsidRPr="005D4222">
              <w:t xml:space="preserve">Race and ethnicity values must be rolled up into the OMB categories specified in this guideline. </w:t>
            </w:r>
            <w:r w:rsidR="00C01D74" w:rsidRPr="005D4222">
              <w:t xml:space="preserve">NCQA supports efforts to collect </w:t>
            </w:r>
            <w:r w:rsidR="00F96F55" w:rsidRPr="005D4222">
              <w:t xml:space="preserve">data that </w:t>
            </w:r>
            <w:r w:rsidR="001864C2" w:rsidRPr="005D4222">
              <w:t>are</w:t>
            </w:r>
            <w:r w:rsidR="00F96F55" w:rsidRPr="005D4222">
              <w:t xml:space="preserve"> more detailed than </w:t>
            </w:r>
            <w:r w:rsidR="00C01D74" w:rsidRPr="005D4222">
              <w:t xml:space="preserve">the minimum OMB reporting categories. </w:t>
            </w:r>
            <w:r w:rsidRPr="005D4222">
              <w:t xml:space="preserve">If more detailed race </w:t>
            </w:r>
            <w:r w:rsidR="00C01D74" w:rsidRPr="005D4222">
              <w:t>and</w:t>
            </w:r>
            <w:r w:rsidRPr="005D4222">
              <w:t xml:space="preserve"> ethnicity </w:t>
            </w:r>
            <w:r w:rsidR="00C7539B" w:rsidRPr="005D4222">
              <w:t>data are</w:t>
            </w:r>
            <w:r w:rsidRPr="005D4222">
              <w:t xml:space="preserve"> collected, data must be aggregated and reported in the categories provided. For health plans using the CMS classification scheme for race and ethnicity, refer to </w:t>
            </w:r>
            <w:bookmarkStart w:id="148" w:name="_Hlk187300942"/>
            <w:r w:rsidRPr="005D4222">
              <w:t xml:space="preserve">Table RES-A-1/2/3 </w:t>
            </w:r>
            <w:bookmarkEnd w:id="148"/>
            <w:r w:rsidRPr="005D4222">
              <w:t>for a crosswalk to HEDIS reporting. Report member race and ethnicity separately. If a combined race/ethnicity category question is used to collect data, data must be disaggregated, and race and ethnicity categories must be reported separately. When using the combined race/ethnicity data format for collection, refer to Table RES-B-1/2/3 for a crosswalk of reporting categories.</w:t>
            </w:r>
          </w:p>
          <w:p w14:paraId="3F0DF739" w14:textId="246CFE8E" w:rsidR="00834FBA" w:rsidRPr="005D4222" w:rsidRDefault="00834FBA" w:rsidP="009F6641">
            <w:pPr>
              <w:pStyle w:val="Body"/>
            </w:pPr>
            <w:r w:rsidRPr="005D4222">
              <w:t>Tables RES-C-1/2/3 and RES-D-1/2/3 crosswalk</w:t>
            </w:r>
            <w:r w:rsidRPr="005D4222" w:rsidDel="00792CDD">
              <w:t xml:space="preserve"> </w:t>
            </w:r>
            <w:r w:rsidRPr="005D4222">
              <w:t xml:space="preserve">the HEDIS reporting categories to code values specified by the Race and Ethnicity extensions of the HL7 US Core Implementation Guide. Organizations must use or map to the documented </w:t>
            </w:r>
            <w:r w:rsidR="00106B23" w:rsidRPr="005D4222">
              <w:t>d</w:t>
            </w:r>
            <w:r w:rsidRPr="005D4222">
              <w:t xml:space="preserve">irect reference codes and </w:t>
            </w:r>
            <w:r w:rsidR="00106B23" w:rsidRPr="005D4222">
              <w:t>v</w:t>
            </w:r>
            <w:r w:rsidRPr="005D4222">
              <w:t>alue sets described here. Code values originate from two code systems:</w:t>
            </w:r>
          </w:p>
          <w:p w14:paraId="15D21702" w14:textId="593C612A" w:rsidR="00834FBA" w:rsidRPr="005D4222" w:rsidRDefault="00834FBA" w:rsidP="00E72683">
            <w:pPr>
              <w:pStyle w:val="Bullet"/>
              <w:spacing w:before="0"/>
            </w:pPr>
            <w:r w:rsidRPr="005D4222">
              <w:t xml:space="preserve">“Race &amp; Ethnicity – CDC” (CDCREC) is used to report race and ethnicity categories. </w:t>
            </w:r>
          </w:p>
          <w:p w14:paraId="37C95E46" w14:textId="12AF3E7A" w:rsidR="00834FBA" w:rsidRPr="005D4222" w:rsidRDefault="00834FBA" w:rsidP="00834FBA">
            <w:pPr>
              <w:pStyle w:val="Bullet"/>
            </w:pPr>
            <w:r w:rsidRPr="005D4222">
              <w:t xml:space="preserve">“Asked But No Answer” and “Unknown” use the HL7 version 3 NullFlavor code system. </w:t>
            </w:r>
          </w:p>
        </w:tc>
      </w:tr>
      <w:tr w:rsidR="00834FBA" w:rsidRPr="005D4222" w14:paraId="7B876AD7" w14:textId="77777777" w:rsidTr="009F6641">
        <w:tc>
          <w:tcPr>
            <w:tcW w:w="2160" w:type="dxa"/>
            <w:tcBorders>
              <w:top w:val="nil"/>
              <w:left w:val="nil"/>
              <w:bottom w:val="nil"/>
              <w:right w:val="nil"/>
            </w:tcBorders>
          </w:tcPr>
          <w:p w14:paraId="04558239" w14:textId="0DDB6F07" w:rsidR="00834FBA" w:rsidRPr="005D4222" w:rsidRDefault="00834FBA" w:rsidP="009F6641">
            <w:pPr>
              <w:pStyle w:val="MarginSubhead"/>
            </w:pPr>
            <w:r w:rsidRPr="005D4222">
              <w:t>Determining race reporting category</w:t>
            </w:r>
          </w:p>
        </w:tc>
        <w:tc>
          <w:tcPr>
            <w:tcW w:w="7574" w:type="dxa"/>
            <w:tcBorders>
              <w:top w:val="nil"/>
              <w:left w:val="nil"/>
              <w:bottom w:val="nil"/>
              <w:right w:val="nil"/>
            </w:tcBorders>
          </w:tcPr>
          <w:p w14:paraId="5F717BED" w14:textId="6407058B" w:rsidR="00834FBA" w:rsidRPr="005D4222" w:rsidRDefault="00834FBA" w:rsidP="009F6641">
            <w:pPr>
              <w:pStyle w:val="Body"/>
            </w:pPr>
            <w:r w:rsidRPr="005D4222">
              <w:t xml:space="preserve">For each product line, report members in only one of the </w:t>
            </w:r>
            <w:r w:rsidR="003F1FEB" w:rsidRPr="005D4222">
              <w:t>ten</w:t>
            </w:r>
            <w:r w:rsidRPr="005D4222">
              <w:t xml:space="preserve"> race stratifications listed below and the total.</w:t>
            </w:r>
            <w:r w:rsidRPr="005D4222">
              <w:rPr>
                <w:i/>
                <w:iCs/>
                <w:kern w:val="0"/>
                <w:sz w:val="20"/>
              </w:rPr>
              <w:t xml:space="preserve"> </w:t>
            </w:r>
          </w:p>
          <w:p w14:paraId="1FAC2E48" w14:textId="380017FD" w:rsidR="00834FBA" w:rsidRPr="005D4222" w:rsidRDefault="00834FBA" w:rsidP="00834FBA">
            <w:pPr>
              <w:pStyle w:val="Bullet"/>
            </w:pPr>
            <w:r w:rsidRPr="005D4222">
              <w:rPr>
                <w:i/>
                <w:iCs/>
              </w:rPr>
              <w:t>American Indian or Alaska Native</w:t>
            </w:r>
            <w:r w:rsidRPr="005D4222">
              <w:t>: Identification with any of the original peoples of North</w:t>
            </w:r>
            <w:r w:rsidR="00432EA4" w:rsidRPr="005D4222">
              <w:t>, Central</w:t>
            </w:r>
            <w:r w:rsidRPr="005D4222">
              <w:t xml:space="preserve"> and South America. </w:t>
            </w:r>
            <w:r w:rsidR="00432EA4" w:rsidRPr="005D4222">
              <w:t>Examples of these groups include, but are not limited to,</w:t>
            </w:r>
            <w:r w:rsidRPr="005D4222">
              <w:t xml:space="preserve"> people who identify as “American Indian” or “Alaska Native” and includes groups such as Navajo Nation, Blackfeet Tribe</w:t>
            </w:r>
            <w:r w:rsidR="0073518B" w:rsidRPr="005D4222">
              <w:t xml:space="preserve"> of the Blackfeet Indian Reservation of Montana</w:t>
            </w:r>
            <w:r w:rsidRPr="005D4222">
              <w:t xml:space="preserve">, </w:t>
            </w:r>
            <w:r w:rsidR="00F0180D" w:rsidRPr="005D4222">
              <w:t>Native Village of Barrow Inu</w:t>
            </w:r>
            <w:r w:rsidR="000E3D19" w:rsidRPr="005D4222">
              <w:t>piat Traditional Government</w:t>
            </w:r>
            <w:r w:rsidR="008A2122" w:rsidRPr="005D4222">
              <w:t>, Nome Eskimo Community</w:t>
            </w:r>
            <w:r w:rsidR="005F30E9" w:rsidRPr="005D4222">
              <w:t>,</w:t>
            </w:r>
            <w:r w:rsidR="00A54EC4" w:rsidRPr="005D4222">
              <w:t xml:space="preserve"> Aztec and</w:t>
            </w:r>
            <w:r w:rsidRPr="005D4222">
              <w:t xml:space="preserve"> Maya.</w:t>
            </w:r>
          </w:p>
          <w:p w14:paraId="2B784B50" w14:textId="7E86872C" w:rsidR="00834FBA" w:rsidRPr="005D4222" w:rsidRDefault="00834FBA" w:rsidP="00834FBA">
            <w:pPr>
              <w:pStyle w:val="Bullet"/>
            </w:pPr>
            <w:r w:rsidRPr="005D4222">
              <w:rPr>
                <w:i/>
                <w:iCs/>
              </w:rPr>
              <w:t>Asian</w:t>
            </w:r>
            <w:r w:rsidRPr="005D4222">
              <w:t xml:space="preserve">: Identification with one or more nationalities or ethnic groups originating in </w:t>
            </w:r>
            <w:r w:rsidR="00432EA4" w:rsidRPr="005D4222">
              <w:t xml:space="preserve">any of the original peoples of Central, </w:t>
            </w:r>
            <w:r w:rsidRPr="005D4222">
              <w:t xml:space="preserve">East, Southeast </w:t>
            </w:r>
            <w:r w:rsidR="00432EA4" w:rsidRPr="005D4222">
              <w:t>or South</w:t>
            </w:r>
            <w:r w:rsidRPr="005D4222">
              <w:t xml:space="preserve"> Asia. Examples of these groups include, but are not limited to, Chinese, Asian Indian, </w:t>
            </w:r>
            <w:r w:rsidR="00DB5ABD" w:rsidRPr="005D4222">
              <w:t>Filipino,</w:t>
            </w:r>
            <w:r w:rsidRPr="005D4222">
              <w:t xml:space="preserve"> Vietnamese, Korean</w:t>
            </w:r>
            <w:r w:rsidR="00432EA4" w:rsidRPr="005D4222">
              <w:t>,</w:t>
            </w:r>
            <w:r w:rsidRPr="005D4222">
              <w:t xml:space="preserve"> Japanese</w:t>
            </w:r>
            <w:r w:rsidR="00432EA4" w:rsidRPr="005D4222">
              <w:t>,</w:t>
            </w:r>
            <w:r w:rsidRPr="005D4222">
              <w:t xml:space="preserve"> Pakistani, Cambodian, Hmong, Thai, Bengali </w:t>
            </w:r>
            <w:r w:rsidR="00CC7806" w:rsidRPr="005D4222">
              <w:t xml:space="preserve">and </w:t>
            </w:r>
            <w:r w:rsidRPr="005D4222">
              <w:t>Mien.</w:t>
            </w:r>
          </w:p>
          <w:p w14:paraId="40EDF6A8" w14:textId="23765D94" w:rsidR="00834FBA" w:rsidRPr="005D4222" w:rsidRDefault="00834FBA" w:rsidP="00A32CD9">
            <w:pPr>
              <w:pStyle w:val="Bullet"/>
            </w:pPr>
            <w:r w:rsidRPr="005D4222">
              <w:rPr>
                <w:i/>
                <w:iCs/>
              </w:rPr>
              <w:t>Black or African American</w:t>
            </w:r>
            <w:r w:rsidRPr="005D4222">
              <w:t xml:space="preserve">: Identification with one or more nationalities or ethnic groups originating in any of the Black racial groups of Africa. </w:t>
            </w:r>
            <w:r w:rsidRPr="005D4222">
              <w:lastRenderedPageBreak/>
              <w:t>Examples of these groups include, but are not limited to, African American, Jamaican, Haitian, Nigerian, Ethiopian</w:t>
            </w:r>
            <w:r w:rsidR="00432EA4" w:rsidRPr="005D4222">
              <w:t>,</w:t>
            </w:r>
            <w:r w:rsidRPr="005D4222">
              <w:t xml:space="preserve"> Somali</w:t>
            </w:r>
            <w:r w:rsidR="00432EA4" w:rsidRPr="005D4222">
              <w:t>,</w:t>
            </w:r>
            <w:r w:rsidRPr="005D4222">
              <w:t xml:space="preserve"> Ghanaian, South African, Barbadian, Kenyan, Liberian and Bahamian.</w:t>
            </w:r>
          </w:p>
          <w:p w14:paraId="623913C3" w14:textId="77777777" w:rsidR="00432EA4" w:rsidRPr="005D4222" w:rsidRDefault="00432EA4" w:rsidP="00432EA4">
            <w:pPr>
              <w:pStyle w:val="Bullet"/>
            </w:pPr>
            <w:r w:rsidRPr="005D4222">
              <w:rPr>
                <w:i/>
                <w:iCs/>
              </w:rPr>
              <w:t>Middle Eastern or North African</w:t>
            </w:r>
            <w:r w:rsidRPr="005D4222">
              <w:t>: Identification with one or more nationalities or ethnic groups originating in the Middle East or North Africa. Examples of these groups include, but are not limited to, Lebanese, Iranian, Egyptian, Syrian, Iraqi and Israeli.</w:t>
            </w:r>
          </w:p>
          <w:p w14:paraId="041C6686" w14:textId="0F36A2BB" w:rsidR="00834FBA" w:rsidRPr="005D4222" w:rsidRDefault="00834FBA" w:rsidP="00834FBA">
            <w:pPr>
              <w:pStyle w:val="Bullet"/>
            </w:pPr>
            <w:r w:rsidRPr="005D4222">
              <w:rPr>
                <w:i/>
                <w:iCs/>
              </w:rPr>
              <w:t>Native Hawaiian or Pacific Islander</w:t>
            </w:r>
            <w:r w:rsidRPr="005D4222">
              <w:t>: Identification with one or more nationalities or ethnic groups originating in Hawaii, Guam, Samoa, or other Pacific Islands. Examples of these groups include, but are not limited to, Native Hawaiian, Samoan, Chamorro, Tongan, Fijian</w:t>
            </w:r>
            <w:r w:rsidR="00432EA4" w:rsidRPr="005D4222">
              <w:t>,</w:t>
            </w:r>
            <w:r w:rsidRPr="005D4222">
              <w:t xml:space="preserve"> Marshallese</w:t>
            </w:r>
            <w:r w:rsidR="00432EA4" w:rsidRPr="005D4222">
              <w:t>,</w:t>
            </w:r>
            <w:r w:rsidRPr="005D4222">
              <w:t xml:space="preserve"> Palauan, Tahitian, Chuukese, Pohnpeian, Saipanese </w:t>
            </w:r>
            <w:r w:rsidR="00432EA4" w:rsidRPr="005D4222">
              <w:t>and</w:t>
            </w:r>
            <w:r w:rsidRPr="005D4222">
              <w:t xml:space="preserve"> Yapese.</w:t>
            </w:r>
          </w:p>
          <w:p w14:paraId="5095CDD6" w14:textId="7F56759E" w:rsidR="00834FBA" w:rsidRPr="005D4222" w:rsidRDefault="00834FBA" w:rsidP="00834FBA">
            <w:pPr>
              <w:pStyle w:val="Bullet"/>
            </w:pPr>
            <w:r w:rsidRPr="005D4222">
              <w:rPr>
                <w:i/>
                <w:iCs/>
              </w:rPr>
              <w:t>White</w:t>
            </w:r>
            <w:r w:rsidRPr="005D4222">
              <w:t xml:space="preserve">: Identification with one or more nationalities or ethnic groups originating in Europe. Examples of these groups include, but are not limited to, </w:t>
            </w:r>
            <w:r w:rsidR="00A71392" w:rsidRPr="005D4222">
              <w:t xml:space="preserve">English, </w:t>
            </w:r>
            <w:r w:rsidRPr="005D4222">
              <w:t xml:space="preserve">German, Irish, Italian, Polish, </w:t>
            </w:r>
            <w:r w:rsidR="00DF6A59" w:rsidRPr="005D4222">
              <w:t xml:space="preserve">Scottish, </w:t>
            </w:r>
            <w:r w:rsidRPr="005D4222">
              <w:t>French, Slavic</w:t>
            </w:r>
            <w:r w:rsidR="00432EA4" w:rsidRPr="005D4222">
              <w:t xml:space="preserve"> and</w:t>
            </w:r>
            <w:r w:rsidRPr="005D4222">
              <w:t xml:space="preserve"> Cajun. </w:t>
            </w:r>
          </w:p>
          <w:p w14:paraId="1E067C90" w14:textId="0310D5A3" w:rsidR="00834FBA" w:rsidRPr="005D4222" w:rsidRDefault="00834FBA" w:rsidP="00834FBA">
            <w:pPr>
              <w:pStyle w:val="Bullet"/>
            </w:pPr>
            <w:r w:rsidRPr="005D4222">
              <w:rPr>
                <w:i/>
                <w:iCs/>
              </w:rPr>
              <w:t>Some Other Race</w:t>
            </w:r>
            <w:r w:rsidRPr="005D4222">
              <w:t xml:space="preserve">: People whose race information has been collected but does not fit into any of the </w:t>
            </w:r>
            <w:r w:rsidR="00FF3318" w:rsidRPr="005D4222">
              <w:t>specified</w:t>
            </w:r>
            <w:r w:rsidRPr="005D4222">
              <w:t xml:space="preserve"> race categories. </w:t>
            </w:r>
          </w:p>
          <w:p w14:paraId="79E5506A" w14:textId="6A4F1DA7" w:rsidR="00834FBA" w:rsidRPr="005D4222" w:rsidRDefault="00834FBA" w:rsidP="00834FBA">
            <w:pPr>
              <w:pStyle w:val="Bullet"/>
            </w:pPr>
            <w:r w:rsidRPr="005D4222">
              <w:rPr>
                <w:i/>
                <w:iCs/>
              </w:rPr>
              <w:t>Two or More Races</w:t>
            </w:r>
            <w:r w:rsidRPr="005D4222">
              <w:t>: People with any combination of races, including “Some Other Race.”</w:t>
            </w:r>
          </w:p>
          <w:p w14:paraId="6D4AE3DF" w14:textId="2D0FADA7" w:rsidR="00834FBA" w:rsidRPr="005D4222" w:rsidRDefault="00834FBA" w:rsidP="00834FBA">
            <w:pPr>
              <w:pStyle w:val="Bullet"/>
            </w:pPr>
            <w:r w:rsidRPr="005D4222">
              <w:rPr>
                <w:i/>
                <w:iCs/>
              </w:rPr>
              <w:t xml:space="preserve">Asked But No Answer: </w:t>
            </w:r>
            <w:r w:rsidRPr="005D4222">
              <w:t>People who the organization asked to identify race but who declined to provide a response.</w:t>
            </w:r>
          </w:p>
          <w:p w14:paraId="6D14DB78" w14:textId="1FCE808C" w:rsidR="00834FBA" w:rsidRPr="005D4222" w:rsidRDefault="00834FBA" w:rsidP="00834FBA">
            <w:pPr>
              <w:pStyle w:val="Bullet"/>
            </w:pPr>
            <w:r w:rsidRPr="005D4222">
              <w:rPr>
                <w:i/>
                <w:iCs/>
              </w:rPr>
              <w:t xml:space="preserve">Unknown: </w:t>
            </w:r>
            <w:r w:rsidRPr="005D4222">
              <w:t>People for whom the organization did not obtain race information and for whom the organization did not receive a declined response (“Asked But No Answer”).</w:t>
            </w:r>
          </w:p>
          <w:p w14:paraId="5434755E" w14:textId="77777777" w:rsidR="00834FBA" w:rsidRPr="005D4222" w:rsidRDefault="00834FBA" w:rsidP="00834FBA">
            <w:pPr>
              <w:pStyle w:val="Bullet"/>
            </w:pPr>
            <w:r w:rsidRPr="005D4222">
              <w:rPr>
                <w:i/>
                <w:iCs/>
              </w:rPr>
              <w:t>Total:</w:t>
            </w:r>
            <w:r w:rsidRPr="005D4222">
              <w:t xml:space="preserve"> Total of all categories above.</w:t>
            </w:r>
          </w:p>
        </w:tc>
      </w:tr>
      <w:tr w:rsidR="00834FBA" w:rsidRPr="005D4222" w14:paraId="060E0052" w14:textId="77777777" w:rsidTr="009F6641">
        <w:tc>
          <w:tcPr>
            <w:tcW w:w="2160" w:type="dxa"/>
            <w:tcBorders>
              <w:top w:val="nil"/>
              <w:left w:val="nil"/>
              <w:bottom w:val="nil"/>
              <w:right w:val="nil"/>
            </w:tcBorders>
          </w:tcPr>
          <w:p w14:paraId="151AB631" w14:textId="77777777" w:rsidR="00834FBA" w:rsidRPr="005D4222" w:rsidRDefault="00834FBA" w:rsidP="00CE7BC2">
            <w:pPr>
              <w:pStyle w:val="MarginSubhead"/>
            </w:pPr>
            <w:r w:rsidRPr="005D4222">
              <w:lastRenderedPageBreak/>
              <w:t>Determining ethnicity</w:t>
            </w:r>
            <w:r w:rsidRPr="005D4222">
              <w:rPr>
                <w:bCs/>
              </w:rPr>
              <w:t xml:space="preserve"> reporting category</w:t>
            </w:r>
          </w:p>
        </w:tc>
        <w:tc>
          <w:tcPr>
            <w:tcW w:w="7574" w:type="dxa"/>
            <w:tcBorders>
              <w:top w:val="nil"/>
              <w:left w:val="nil"/>
              <w:bottom w:val="nil"/>
              <w:right w:val="nil"/>
            </w:tcBorders>
          </w:tcPr>
          <w:p w14:paraId="3CCC217C" w14:textId="77777777" w:rsidR="00834FBA" w:rsidRPr="005D4222" w:rsidRDefault="00834FBA" w:rsidP="00CE7BC2">
            <w:pPr>
              <w:pStyle w:val="Body"/>
              <w:rPr>
                <w:i/>
                <w:iCs/>
              </w:rPr>
            </w:pPr>
            <w:r w:rsidRPr="005D4222">
              <w:t xml:space="preserve">For each product line, report members in only one of the four ethnicity stratifications listed below and the total. </w:t>
            </w:r>
          </w:p>
          <w:p w14:paraId="7E2D67E9" w14:textId="28050244" w:rsidR="00834FBA" w:rsidRPr="005D4222" w:rsidRDefault="00834FBA" w:rsidP="00834FBA">
            <w:pPr>
              <w:pStyle w:val="Bullet"/>
            </w:pPr>
            <w:r w:rsidRPr="005D4222">
              <w:rPr>
                <w:i/>
                <w:iCs/>
              </w:rPr>
              <w:t>Hispanic or Latino</w:t>
            </w:r>
            <w:r w:rsidRPr="005D4222">
              <w:t xml:space="preserve">: Identification with one or more nationalities or ethnic groups originating in Mexico, Puerto Rico, </w:t>
            </w:r>
            <w:r w:rsidR="00012F10" w:rsidRPr="005D4222">
              <w:t xml:space="preserve">El Salvador, </w:t>
            </w:r>
            <w:r w:rsidRPr="005D4222">
              <w:t xml:space="preserve">Cuba, </w:t>
            </w:r>
            <w:r w:rsidR="00012F10" w:rsidRPr="005D4222">
              <w:t>Dominican Republic, Guatemala</w:t>
            </w:r>
            <w:r w:rsidR="003F1FEB" w:rsidRPr="005D4222">
              <w:t xml:space="preserve"> and other</w:t>
            </w:r>
            <w:r w:rsidR="004E2D94" w:rsidRPr="005D4222">
              <w:t xml:space="preserve"> </w:t>
            </w:r>
            <w:r w:rsidRPr="005D4222">
              <w:t>Central and South America</w:t>
            </w:r>
            <w:r w:rsidR="003F1FEB" w:rsidRPr="005D4222">
              <w:t>n countries</w:t>
            </w:r>
            <w:r w:rsidRPr="005D4222">
              <w:t xml:space="preserve"> and other Spanish cultures. Examples of these groups include, but are not limited to, Mexican or Mexican American, Puerto Rican, Salvadoran, Cuban,</w:t>
            </w:r>
            <w:r w:rsidRPr="005D4222" w:rsidDel="001864C2">
              <w:t xml:space="preserve"> </w:t>
            </w:r>
            <w:r w:rsidRPr="005D4222">
              <w:t>Dominican</w:t>
            </w:r>
            <w:r w:rsidR="003F1FEB" w:rsidRPr="005D4222">
              <w:t>,</w:t>
            </w:r>
            <w:r w:rsidRPr="005D4222" w:rsidDel="002251F2">
              <w:t xml:space="preserve"> </w:t>
            </w:r>
            <w:r w:rsidR="00E456DD" w:rsidRPr="005D4222">
              <w:t>Guatemalan</w:t>
            </w:r>
            <w:r w:rsidR="001864C2" w:rsidRPr="005D4222">
              <w:t xml:space="preserve"> </w:t>
            </w:r>
            <w:r w:rsidRPr="005D4222">
              <w:t xml:space="preserve">and Colombian. </w:t>
            </w:r>
          </w:p>
          <w:p w14:paraId="2EF85BFE" w14:textId="77777777" w:rsidR="00834FBA" w:rsidRPr="005D4222" w:rsidRDefault="00834FBA" w:rsidP="00834FBA">
            <w:pPr>
              <w:pStyle w:val="Bullet"/>
            </w:pPr>
            <w:r w:rsidRPr="005D4222">
              <w:rPr>
                <w:i/>
                <w:iCs/>
              </w:rPr>
              <w:t>Not Hispanic or Latino</w:t>
            </w:r>
            <w:r w:rsidRPr="005D4222">
              <w:t>: People not of Hispanic, Latino or Spanish culture or origin.</w:t>
            </w:r>
          </w:p>
          <w:p w14:paraId="08EDECFA" w14:textId="77777777" w:rsidR="00834FBA" w:rsidRPr="005D4222" w:rsidRDefault="00834FBA" w:rsidP="00834FBA">
            <w:pPr>
              <w:pStyle w:val="Bullet"/>
            </w:pPr>
            <w:r w:rsidRPr="005D4222">
              <w:rPr>
                <w:i/>
                <w:iCs/>
              </w:rPr>
              <w:t xml:space="preserve">Asked But No Answer: </w:t>
            </w:r>
            <w:r w:rsidRPr="005D4222">
              <w:t>People who the organization asked to identify ethnicity but who declined to provide a response.</w:t>
            </w:r>
            <w:r w:rsidRPr="005D4222">
              <w:rPr>
                <w:rFonts w:cs="Arial"/>
                <w:color w:val="032D60"/>
                <w:sz w:val="18"/>
                <w:szCs w:val="18"/>
              </w:rPr>
              <w:t xml:space="preserve"> </w:t>
            </w:r>
          </w:p>
          <w:p w14:paraId="2AA8F429" w14:textId="3F9C96A9" w:rsidR="00834FBA" w:rsidRPr="005D4222" w:rsidRDefault="00834FBA" w:rsidP="00834FBA">
            <w:pPr>
              <w:pStyle w:val="Bullet"/>
            </w:pPr>
            <w:r w:rsidRPr="005D4222">
              <w:rPr>
                <w:i/>
                <w:iCs/>
              </w:rPr>
              <w:t xml:space="preserve">Unknown: </w:t>
            </w:r>
            <w:r w:rsidRPr="005D4222">
              <w:t>People for whom the organization did not obtain ethnicity information and for whom the organization did not receive a declined response (“Asked But No Answer”).</w:t>
            </w:r>
          </w:p>
          <w:p w14:paraId="2EAB8B5B" w14:textId="77777777" w:rsidR="00834FBA" w:rsidRPr="005D4222" w:rsidRDefault="00834FBA" w:rsidP="00834FBA">
            <w:pPr>
              <w:pStyle w:val="Bullet"/>
            </w:pPr>
            <w:r w:rsidRPr="005D4222">
              <w:rPr>
                <w:i/>
                <w:iCs/>
              </w:rPr>
              <w:t>Total:</w:t>
            </w:r>
            <w:r w:rsidRPr="005D4222">
              <w:t xml:space="preserve"> Total of all categories above.</w:t>
            </w:r>
            <w:r w:rsidRPr="005D4222">
              <w:rPr>
                <w:b/>
                <w:bCs/>
                <w:i/>
                <w:iCs/>
              </w:rPr>
              <w:t xml:space="preserve"> </w:t>
            </w:r>
          </w:p>
        </w:tc>
      </w:tr>
    </w:tbl>
    <w:p w14:paraId="17129AB0" w14:textId="77777777" w:rsidR="00CE7BC2" w:rsidRDefault="00CE7BC2">
      <w:r>
        <w:br w:type="page"/>
      </w:r>
    </w:p>
    <w:tbl>
      <w:tblPr>
        <w:tblStyle w:val="TableGrid"/>
        <w:tblW w:w="9734" w:type="dxa"/>
        <w:tblLook w:val="04A0" w:firstRow="1" w:lastRow="0" w:firstColumn="1" w:lastColumn="0" w:noHBand="0" w:noVBand="1"/>
      </w:tblPr>
      <w:tblGrid>
        <w:gridCol w:w="2160"/>
        <w:gridCol w:w="7574"/>
      </w:tblGrid>
      <w:tr w:rsidR="00834FBA" w:rsidRPr="005D4222" w14:paraId="3F6EABBD" w14:textId="77777777" w:rsidTr="009F6641">
        <w:tc>
          <w:tcPr>
            <w:tcW w:w="2160" w:type="dxa"/>
            <w:tcBorders>
              <w:top w:val="nil"/>
              <w:left w:val="nil"/>
              <w:bottom w:val="nil"/>
              <w:right w:val="nil"/>
            </w:tcBorders>
          </w:tcPr>
          <w:p w14:paraId="429C8A02" w14:textId="77777777" w:rsidR="00834FBA" w:rsidRPr="005D4222" w:rsidRDefault="00834FBA" w:rsidP="00CE7BC2">
            <w:pPr>
              <w:pStyle w:val="MarginSubhead"/>
              <w:spacing w:before="0"/>
            </w:pPr>
            <w:r w:rsidRPr="005D4222">
              <w:lastRenderedPageBreak/>
              <w:t>Data source</w:t>
            </w:r>
          </w:p>
        </w:tc>
        <w:tc>
          <w:tcPr>
            <w:tcW w:w="7574" w:type="dxa"/>
            <w:tcBorders>
              <w:top w:val="nil"/>
              <w:left w:val="nil"/>
              <w:bottom w:val="nil"/>
              <w:right w:val="nil"/>
            </w:tcBorders>
          </w:tcPr>
          <w:p w14:paraId="0A67530F" w14:textId="04845F88" w:rsidR="00834FBA" w:rsidRPr="005D4222" w:rsidRDefault="00834FBA" w:rsidP="00CE7BC2">
            <w:pPr>
              <w:pStyle w:val="Body"/>
              <w:spacing w:before="0"/>
            </w:pPr>
            <w:r w:rsidRPr="005D4222">
              <w:rPr>
                <w:rFonts w:cs="Arial"/>
              </w:rPr>
              <w:t>Reporting the data collection source is only required for the</w:t>
            </w:r>
            <w:r w:rsidRPr="005D4222">
              <w:rPr>
                <w:rFonts w:cs="Arial"/>
                <w:i/>
              </w:rPr>
              <w:t xml:space="preserve"> </w:t>
            </w:r>
            <w:r w:rsidRPr="005D4222">
              <w:rPr>
                <w:rFonts w:cs="Arial"/>
                <w:iCs/>
              </w:rPr>
              <w:t xml:space="preserve">Race/Ethnicity </w:t>
            </w:r>
            <w:r w:rsidR="007C1883" w:rsidRPr="005D4222">
              <w:t>Description</w:t>
            </w:r>
            <w:r w:rsidRPr="005D4222">
              <w:rPr>
                <w:rFonts w:cs="Arial"/>
                <w:iCs/>
              </w:rPr>
              <w:t xml:space="preserve"> of Membership</w:t>
            </w:r>
            <w:r w:rsidRPr="005D4222" w:rsidDel="007B49B0">
              <w:rPr>
                <w:rFonts w:cs="Arial"/>
                <w:i/>
              </w:rPr>
              <w:t xml:space="preserve"> </w:t>
            </w:r>
            <w:r w:rsidRPr="005D4222" w:rsidDel="007B49B0">
              <w:rPr>
                <w:rFonts w:cs="Arial"/>
                <w:iCs/>
              </w:rPr>
              <w:t>(RDM)</w:t>
            </w:r>
            <w:r w:rsidRPr="005D4222">
              <w:rPr>
                <w:rFonts w:cs="Arial"/>
                <w:i/>
              </w:rPr>
              <w:t xml:space="preserve"> </w:t>
            </w:r>
            <w:r w:rsidRPr="005D4222">
              <w:rPr>
                <w:rFonts w:cs="Arial"/>
                <w:iCs/>
              </w:rPr>
              <w:t>measure</w:t>
            </w:r>
            <w:r w:rsidRPr="005D4222">
              <w:t>.</w:t>
            </w:r>
          </w:p>
          <w:p w14:paraId="38EA223E" w14:textId="7C1CCF78" w:rsidR="00834FBA" w:rsidRPr="005D4222" w:rsidDel="00AC6042" w:rsidRDefault="00834FBA" w:rsidP="00E72683">
            <w:pPr>
              <w:pStyle w:val="Body"/>
            </w:pPr>
            <w:r w:rsidRPr="005D4222">
              <w:t xml:space="preserve">Approved data sources include data collected directly from members and data obtained through imputation methods. </w:t>
            </w:r>
            <w:r w:rsidRPr="005D4222" w:rsidDel="00AD2D3A">
              <w:t xml:space="preserve">In cases where a plan </w:t>
            </w:r>
            <w:r w:rsidRPr="005D4222" w:rsidDel="00164FF5">
              <w:t xml:space="preserve">has </w:t>
            </w:r>
            <w:r w:rsidRPr="005D4222">
              <w:t xml:space="preserve">a race or ethnicity value but no data source, </w:t>
            </w:r>
            <w:r w:rsidRPr="005D4222" w:rsidDel="00AD2D3A">
              <w:t>the plan</w:t>
            </w:r>
            <w:r w:rsidRPr="005D4222" w:rsidDel="005F5192">
              <w:t xml:space="preserve"> </w:t>
            </w:r>
            <w:r w:rsidRPr="005D4222" w:rsidDel="00164FF5">
              <w:t xml:space="preserve">must </w:t>
            </w:r>
            <w:r w:rsidRPr="005D4222">
              <w:t>report using the “</w:t>
            </w:r>
            <w:r w:rsidR="00E47343" w:rsidRPr="005D4222">
              <w:t>U</w:t>
            </w:r>
            <w:r w:rsidRPr="005D4222">
              <w:t xml:space="preserve">nknown” data source category. </w:t>
            </w:r>
            <w:r w:rsidRPr="005D4222" w:rsidDel="0056336E">
              <w:t>In cases where</w:t>
            </w:r>
            <w:r w:rsidRPr="005D4222">
              <w:t xml:space="preserve"> the race or ethnicity value and the source are missing, </w:t>
            </w:r>
            <w:r w:rsidRPr="005D4222" w:rsidDel="00920123">
              <w:t xml:space="preserve">plans </w:t>
            </w:r>
            <w:r w:rsidRPr="005D4222" w:rsidDel="005F5192">
              <w:t xml:space="preserve">must record </w:t>
            </w:r>
            <w:r w:rsidRPr="005D4222">
              <w:t>this as no data</w:t>
            </w:r>
            <w:r w:rsidRPr="005D4222" w:rsidDel="00920123">
              <w:t>.</w:t>
            </w:r>
            <w:r w:rsidRPr="005D4222">
              <w:t xml:space="preserve"> </w:t>
            </w:r>
            <w:r w:rsidRPr="005D4222" w:rsidDel="00AC6042">
              <w:t xml:space="preserve">NCQA strongly encourages </w:t>
            </w:r>
            <w:r w:rsidRPr="005D4222" w:rsidDel="00791E68">
              <w:t xml:space="preserve">plans </w:t>
            </w:r>
            <w:r w:rsidRPr="005D4222" w:rsidDel="00AC6042">
              <w:t xml:space="preserve">to report directly collected data when available and </w:t>
            </w:r>
            <w:r w:rsidRPr="005D4222" w:rsidDel="00791E68">
              <w:t xml:space="preserve">emphasizes the importance of improving completeness of directly collected member race and ethnicity data. Additionally, NCQA strongly encourages plans </w:t>
            </w:r>
            <w:r w:rsidRPr="005D4222" w:rsidDel="00AC6042">
              <w:t xml:space="preserve">to track the source of </w:t>
            </w:r>
            <w:r w:rsidRPr="005D4222" w:rsidDel="00791E68">
              <w:t xml:space="preserve">their </w:t>
            </w:r>
            <w:r w:rsidRPr="005D4222" w:rsidDel="00AC6042">
              <w:t xml:space="preserve">race and ethnicity data in order to facilitate valid disparities assessments. </w:t>
            </w:r>
          </w:p>
          <w:p w14:paraId="09307C6B" w14:textId="0FC16C38" w:rsidR="00834FBA" w:rsidRPr="005D4222" w:rsidRDefault="00834FBA" w:rsidP="00E72683">
            <w:pPr>
              <w:pStyle w:val="Body"/>
            </w:pPr>
            <w:r w:rsidRPr="005D4222">
              <w:t>For the RDM measure</w:t>
            </w:r>
            <w:r w:rsidRPr="005D4222" w:rsidDel="0066717F">
              <w:t xml:space="preserve">, plans will report each race and ethnicity value by data source. Plans will </w:t>
            </w:r>
            <w:r w:rsidRPr="005D4222">
              <w:t>report the number of members from the direct, imputed, unknown and no data source categories</w:t>
            </w:r>
            <w:r w:rsidRPr="005D4222" w:rsidDel="00641083">
              <w:t>.</w:t>
            </w:r>
            <w:r w:rsidRPr="005D4222">
              <w:t xml:space="preserve"> IDSS will calculate the </w:t>
            </w:r>
            <w:r w:rsidR="001D54E7" w:rsidRPr="005D4222">
              <w:t xml:space="preserve">direct </w:t>
            </w:r>
            <w:r w:rsidRPr="005D4222">
              <w:t>total</w:t>
            </w:r>
            <w:r w:rsidR="001D54E7" w:rsidRPr="005D4222">
              <w:t xml:space="preserve"> for source and the </w:t>
            </w:r>
            <w:r w:rsidR="00194B24" w:rsidRPr="005D4222">
              <w:t>total for the measure.</w:t>
            </w:r>
            <w:r w:rsidRPr="005D4222">
              <w:t xml:space="preserve"> </w:t>
            </w:r>
          </w:p>
          <w:p w14:paraId="2421CAD2" w14:textId="77777777" w:rsidR="00834FBA" w:rsidRPr="005D4222" w:rsidRDefault="00834FBA" w:rsidP="00E72683">
            <w:pPr>
              <w:pStyle w:val="Body"/>
            </w:pPr>
            <w:r w:rsidRPr="005D4222">
              <w:t>Supplemental data may be used as a data source for the race and ethnicity stratification.</w:t>
            </w:r>
          </w:p>
        </w:tc>
      </w:tr>
      <w:tr w:rsidR="00834FBA" w:rsidRPr="005D4222" w14:paraId="018B708E" w14:textId="77777777" w:rsidTr="009F6641">
        <w:tc>
          <w:tcPr>
            <w:tcW w:w="2160" w:type="dxa"/>
            <w:tcBorders>
              <w:top w:val="nil"/>
              <w:left w:val="nil"/>
              <w:bottom w:val="nil"/>
              <w:right w:val="nil"/>
            </w:tcBorders>
          </w:tcPr>
          <w:p w14:paraId="13BF3626" w14:textId="77777777" w:rsidR="00834FBA" w:rsidRPr="005D4222" w:rsidRDefault="00834FBA" w:rsidP="009F6641">
            <w:pPr>
              <w:pStyle w:val="MarginSubhead"/>
              <w:jc w:val="right"/>
              <w:rPr>
                <w:b w:val="0"/>
                <w:bCs/>
                <w:i/>
                <w:iCs/>
              </w:rPr>
            </w:pPr>
            <w:r w:rsidRPr="005D4222">
              <w:rPr>
                <w:bCs/>
                <w:i/>
                <w:iCs/>
              </w:rPr>
              <w:t>Direct data</w:t>
            </w:r>
          </w:p>
        </w:tc>
        <w:tc>
          <w:tcPr>
            <w:tcW w:w="7574" w:type="dxa"/>
            <w:tcBorders>
              <w:top w:val="nil"/>
              <w:left w:val="nil"/>
              <w:bottom w:val="nil"/>
              <w:right w:val="nil"/>
            </w:tcBorders>
          </w:tcPr>
          <w:p w14:paraId="298D0408" w14:textId="77777777" w:rsidR="00834FBA" w:rsidRPr="005D4222" w:rsidRDefault="00834FBA" w:rsidP="009F6641">
            <w:pPr>
              <w:pStyle w:val="Body"/>
            </w:pPr>
            <w:r w:rsidRPr="005D4222">
              <w:t>Data collected directly from members method reflects members’ self-identification and is the preferred data source.</w:t>
            </w:r>
          </w:p>
          <w:p w14:paraId="21E07189" w14:textId="52185A1F" w:rsidR="00834FBA" w:rsidRPr="005D4222" w:rsidRDefault="00834FBA" w:rsidP="009F6641">
            <w:pPr>
              <w:pStyle w:val="Body"/>
            </w:pPr>
            <w:r w:rsidRPr="005D4222">
              <w:t xml:space="preserve">Directly collected data include any source for which the member self-identified race or ethnicity. This includes member self-reported data collected directly from members </w:t>
            </w:r>
            <w:r w:rsidRPr="005D4222" w:rsidDel="00FC6187">
              <w:t xml:space="preserve">under the full control of the health plan (i.e., no data were obtained </w:t>
            </w:r>
            <w:r w:rsidRPr="005D4222">
              <w:t>through an</w:t>
            </w:r>
            <w:r w:rsidRPr="005D4222" w:rsidDel="00DC16BC">
              <w:t xml:space="preserve"> intermediary</w:t>
            </w:r>
            <w:r w:rsidRPr="005D4222" w:rsidDel="00FC6187">
              <w:t>)</w:t>
            </w:r>
            <w:r w:rsidRPr="005D4222">
              <w:t xml:space="preserve">, as well as third-party data collected directly from </w:t>
            </w:r>
            <w:r w:rsidRPr="005D4222" w:rsidDel="0084173C">
              <w:t xml:space="preserve">a </w:t>
            </w:r>
            <w:r w:rsidRPr="005D4222">
              <w:t>member by another entity (e.g., the state, CMS, Health Information Exchanges [HIE] or clinical feeds). Direct sources may include, but are not limited to:</w:t>
            </w:r>
          </w:p>
          <w:p w14:paraId="3A706B50" w14:textId="77777777" w:rsidR="00834FBA" w:rsidRPr="005D4222" w:rsidRDefault="00834FBA" w:rsidP="00A32CD9">
            <w:pPr>
              <w:pStyle w:val="Bullet"/>
            </w:pPr>
            <w:r w:rsidRPr="005D4222">
              <w:t>Surveys.</w:t>
            </w:r>
          </w:p>
          <w:p w14:paraId="05D1AE0A" w14:textId="77777777" w:rsidR="00834FBA" w:rsidRPr="005D4222" w:rsidRDefault="00834FBA" w:rsidP="00834FBA">
            <w:pPr>
              <w:pStyle w:val="Bullet"/>
            </w:pPr>
            <w:r w:rsidRPr="005D4222">
              <w:t>Health risk assessments.</w:t>
            </w:r>
          </w:p>
          <w:p w14:paraId="580E5E2B" w14:textId="77777777" w:rsidR="00834FBA" w:rsidRPr="005D4222" w:rsidRDefault="00834FBA" w:rsidP="00834FBA">
            <w:pPr>
              <w:pStyle w:val="Bullet"/>
            </w:pPr>
            <w:r w:rsidRPr="005D4222">
              <w:t>Disease management registries.</w:t>
            </w:r>
          </w:p>
          <w:p w14:paraId="3A3F7BBA" w14:textId="77777777" w:rsidR="00834FBA" w:rsidRPr="005D4222" w:rsidRDefault="00834FBA" w:rsidP="00060344">
            <w:pPr>
              <w:pStyle w:val="Bullet"/>
              <w:spacing w:before="0"/>
            </w:pPr>
            <w:r w:rsidRPr="005D4222">
              <w:t>Case management systems.</w:t>
            </w:r>
          </w:p>
          <w:p w14:paraId="307A5BD3" w14:textId="77777777" w:rsidR="00834FBA" w:rsidRPr="005D4222" w:rsidRDefault="00834FBA" w:rsidP="00834FBA">
            <w:pPr>
              <w:pStyle w:val="Bullet"/>
            </w:pPr>
            <w:r w:rsidRPr="005D4222">
              <w:t>EHRs.</w:t>
            </w:r>
          </w:p>
          <w:p w14:paraId="61216B8B" w14:textId="77777777" w:rsidR="00834FBA" w:rsidRPr="005D4222" w:rsidRDefault="00834FBA" w:rsidP="00834FBA">
            <w:pPr>
              <w:pStyle w:val="Bullet"/>
            </w:pPr>
            <w:r w:rsidRPr="005D4222">
              <w:t>CMS/state databases.</w:t>
            </w:r>
          </w:p>
          <w:p w14:paraId="5A278EAF" w14:textId="77777777" w:rsidR="00834FBA" w:rsidRPr="005D4222" w:rsidRDefault="00834FBA" w:rsidP="00834FBA">
            <w:pPr>
              <w:pStyle w:val="Bullet"/>
            </w:pPr>
            <w:r w:rsidRPr="005D4222">
              <w:t>Enrollment information furnished by enrolling entities (e.g., state Medicaid agencies, employers).</w:t>
            </w:r>
          </w:p>
          <w:p w14:paraId="3A99AB96" w14:textId="77777777" w:rsidR="00834FBA" w:rsidRPr="005D4222" w:rsidRDefault="00834FBA" w:rsidP="00834FBA">
            <w:pPr>
              <w:pStyle w:val="Bullet"/>
            </w:pPr>
            <w:r w:rsidRPr="005D4222">
              <w:t>CCDs.</w:t>
            </w:r>
          </w:p>
          <w:p w14:paraId="3458756E" w14:textId="77777777" w:rsidR="00834FBA" w:rsidRPr="005D4222" w:rsidRDefault="00834FBA" w:rsidP="00834FBA">
            <w:pPr>
              <w:pStyle w:val="Bullet"/>
            </w:pPr>
            <w:r w:rsidRPr="005D4222">
              <w:t>HIEs.</w:t>
            </w:r>
          </w:p>
          <w:p w14:paraId="409DD1EE" w14:textId="77777777" w:rsidR="00834FBA" w:rsidRPr="005D4222" w:rsidRDefault="00834FBA" w:rsidP="009F6641">
            <w:pPr>
              <w:pStyle w:val="Note"/>
              <w:rPr>
                <w:szCs w:val="21"/>
              </w:rPr>
            </w:pPr>
            <w:r w:rsidRPr="005D4222">
              <w:rPr>
                <w:b/>
                <w:bCs/>
              </w:rPr>
              <w:t>Note:</w:t>
            </w:r>
            <w:r w:rsidRPr="005D4222">
              <w:t xml:space="preserve"> The “Asked But No Answer” category is only reported using direct data.</w:t>
            </w:r>
          </w:p>
        </w:tc>
      </w:tr>
      <w:tr w:rsidR="00834FBA" w:rsidRPr="005D4222" w14:paraId="055B31F4" w14:textId="77777777" w:rsidTr="009F6641">
        <w:tc>
          <w:tcPr>
            <w:tcW w:w="2160" w:type="dxa"/>
            <w:tcBorders>
              <w:top w:val="nil"/>
              <w:left w:val="nil"/>
              <w:bottom w:val="nil"/>
              <w:right w:val="nil"/>
            </w:tcBorders>
          </w:tcPr>
          <w:p w14:paraId="5D69A9F0" w14:textId="77777777" w:rsidR="00834FBA" w:rsidRPr="005D4222" w:rsidRDefault="00834FBA" w:rsidP="009F6641">
            <w:pPr>
              <w:pStyle w:val="MarginSubhead"/>
              <w:jc w:val="right"/>
              <w:rPr>
                <w:b w:val="0"/>
                <w:bCs/>
                <w:i/>
                <w:iCs/>
              </w:rPr>
            </w:pPr>
            <w:r w:rsidRPr="005D4222">
              <w:rPr>
                <w:bCs/>
                <w:i/>
                <w:iCs/>
              </w:rPr>
              <w:t>Imputed data</w:t>
            </w:r>
          </w:p>
        </w:tc>
        <w:tc>
          <w:tcPr>
            <w:tcW w:w="7574" w:type="dxa"/>
            <w:tcBorders>
              <w:top w:val="nil"/>
              <w:left w:val="nil"/>
              <w:bottom w:val="nil"/>
              <w:right w:val="nil"/>
            </w:tcBorders>
          </w:tcPr>
          <w:p w14:paraId="39A9386D" w14:textId="77777777" w:rsidR="00834FBA" w:rsidRPr="005D4222" w:rsidRDefault="00834FBA" w:rsidP="009F6641">
            <w:pPr>
              <w:pStyle w:val="Body"/>
            </w:pPr>
            <w:r w:rsidRPr="005D4222">
              <w:t>Plans may choose to report race and ethnicity data supplemented by imputed methods. Imputed assignment of race and ethnicity values include using an alternate data source (e.g.,</w:t>
            </w:r>
            <w:r w:rsidRPr="005D4222" w:rsidDel="00842248">
              <w:t xml:space="preserve"> </w:t>
            </w:r>
            <w:r w:rsidRPr="005D4222">
              <w:t>nationally representative data obtained from databases like the American Community Survey) to assign a race or ethnicity value to a member based on their primary location of residence. Some commonly used imputed methods combine geographic data with additional imputation methods such as surname analysis.</w:t>
            </w:r>
          </w:p>
          <w:p w14:paraId="2BE6838B" w14:textId="77777777" w:rsidR="00834FBA" w:rsidRPr="005D4222" w:rsidRDefault="00834FBA" w:rsidP="00CE7BC2">
            <w:pPr>
              <w:pStyle w:val="Body"/>
              <w:spacing w:before="0"/>
            </w:pPr>
            <w:r w:rsidRPr="005D4222">
              <w:lastRenderedPageBreak/>
              <w:t>NCQA reiterates that directly collected race and ethnicity is considered the gold standard and is highly preferred to imputed race and ethnicity. For plans choosing to use imputed methods to report the HEDIS race and ethnicity stratification, NCQA emphasizes the following:</w:t>
            </w:r>
          </w:p>
          <w:p w14:paraId="45512C16" w14:textId="77777777" w:rsidR="00834FBA" w:rsidRPr="005D4222" w:rsidRDefault="00834FBA" w:rsidP="00834FBA">
            <w:pPr>
              <w:pStyle w:val="Bullet"/>
            </w:pPr>
            <w:r w:rsidRPr="005D4222">
              <w:t xml:space="preserve">When applying imputed methods that involve assignment of race or ethnicity based on geographic data and member’s location of residence, the smallest geographic unit possible is preferred. For example, geographic assignment at the census block level is likely to be more accurate than assignment using census tract or ZIP code-level data. </w:t>
            </w:r>
          </w:p>
          <w:p w14:paraId="5615117F" w14:textId="77777777" w:rsidR="00834FBA" w:rsidRPr="005D4222" w:rsidRDefault="00834FBA" w:rsidP="00834FBA">
            <w:pPr>
              <w:pStyle w:val="Bullet"/>
            </w:pPr>
            <w:r w:rsidRPr="005D4222">
              <w:t>Imputed data sources and methods should be evaluated for reliability and validity and selection of a source and method should be prioritized based on demonstrated validity and reliability for the population in which it will be applied (e.g., age group, geography, product line).</w:t>
            </w:r>
          </w:p>
          <w:p w14:paraId="014D163F" w14:textId="77777777" w:rsidR="00834FBA" w:rsidRPr="005D4222" w:rsidRDefault="00834FBA" w:rsidP="00834FBA">
            <w:pPr>
              <w:pStyle w:val="Bullet"/>
            </w:pPr>
            <w:r w:rsidRPr="005D4222">
              <w:t xml:space="preserve">Imputed methods of race and ethnicity assignment are to be used for population-level reporting and analysis but are not appropriate for member-level intervention. </w:t>
            </w:r>
          </w:p>
        </w:tc>
      </w:tr>
      <w:tr w:rsidR="00834FBA" w:rsidRPr="005D4222" w14:paraId="022EC7C2" w14:textId="77777777" w:rsidTr="009F6641">
        <w:tc>
          <w:tcPr>
            <w:tcW w:w="2160" w:type="dxa"/>
            <w:tcBorders>
              <w:top w:val="nil"/>
              <w:left w:val="nil"/>
              <w:bottom w:val="nil"/>
              <w:right w:val="nil"/>
            </w:tcBorders>
          </w:tcPr>
          <w:p w14:paraId="16980090" w14:textId="77777777" w:rsidR="00834FBA" w:rsidRPr="005D4222" w:rsidRDefault="00834FBA" w:rsidP="009F6641">
            <w:pPr>
              <w:pStyle w:val="MarginSubhead"/>
              <w:jc w:val="right"/>
              <w:rPr>
                <w:bCs/>
                <w:i/>
                <w:iCs/>
              </w:rPr>
            </w:pPr>
            <w:r w:rsidRPr="005D4222">
              <w:rPr>
                <w:bCs/>
                <w:i/>
                <w:iCs/>
              </w:rPr>
              <w:lastRenderedPageBreak/>
              <w:t>Unknown data</w:t>
            </w:r>
          </w:p>
        </w:tc>
        <w:tc>
          <w:tcPr>
            <w:tcW w:w="7574" w:type="dxa"/>
            <w:tcBorders>
              <w:top w:val="nil"/>
              <w:left w:val="nil"/>
              <w:bottom w:val="nil"/>
              <w:right w:val="nil"/>
            </w:tcBorders>
          </w:tcPr>
          <w:p w14:paraId="605A45A5" w14:textId="77777777" w:rsidR="00834FBA" w:rsidRPr="005D4222" w:rsidRDefault="00834FBA" w:rsidP="009F6641">
            <w:pPr>
              <w:pStyle w:val="Body"/>
            </w:pPr>
            <w:r w:rsidRPr="005D4222">
              <w:t>When the reported value for race or for ethnicity is known, but the source is unknown (i.e., cases where an organization has a race or ethnicity value on file from a legacy system but does not know the source).</w:t>
            </w:r>
          </w:p>
        </w:tc>
      </w:tr>
      <w:tr w:rsidR="00834FBA" w:rsidRPr="005D4222" w14:paraId="63BB85CE" w14:textId="77777777" w:rsidTr="009F6641">
        <w:tc>
          <w:tcPr>
            <w:tcW w:w="2160" w:type="dxa"/>
            <w:tcBorders>
              <w:top w:val="nil"/>
              <w:left w:val="nil"/>
              <w:bottom w:val="nil"/>
              <w:right w:val="nil"/>
            </w:tcBorders>
          </w:tcPr>
          <w:p w14:paraId="57B209FC" w14:textId="77777777" w:rsidR="00834FBA" w:rsidRPr="005D4222" w:rsidRDefault="00834FBA" w:rsidP="009F6641">
            <w:pPr>
              <w:pStyle w:val="MarginSubhead"/>
              <w:jc w:val="right"/>
              <w:rPr>
                <w:bCs/>
                <w:i/>
                <w:iCs/>
              </w:rPr>
            </w:pPr>
            <w:r w:rsidRPr="005D4222">
              <w:rPr>
                <w:bCs/>
                <w:i/>
                <w:iCs/>
              </w:rPr>
              <w:t>No data</w:t>
            </w:r>
          </w:p>
        </w:tc>
        <w:tc>
          <w:tcPr>
            <w:tcW w:w="7574" w:type="dxa"/>
            <w:tcBorders>
              <w:top w:val="nil"/>
              <w:left w:val="nil"/>
              <w:bottom w:val="nil"/>
              <w:right w:val="nil"/>
            </w:tcBorders>
          </w:tcPr>
          <w:p w14:paraId="6435DE57" w14:textId="77777777" w:rsidR="00834FBA" w:rsidRPr="005D4222" w:rsidRDefault="00834FBA" w:rsidP="009F6641">
            <w:pPr>
              <w:pStyle w:val="Body"/>
            </w:pPr>
            <w:r w:rsidRPr="005D4222">
              <w:t>When both the race or ethnicity value and the source are missing.</w:t>
            </w:r>
          </w:p>
          <w:p w14:paraId="019F9FA1" w14:textId="234BA2AA" w:rsidR="00834FBA" w:rsidRPr="005D4222" w:rsidRDefault="00834FBA" w:rsidP="009F6641">
            <w:pPr>
              <w:pStyle w:val="Note"/>
            </w:pPr>
            <w:r w:rsidRPr="005D4222">
              <w:rPr>
                <w:b/>
                <w:bCs/>
              </w:rPr>
              <w:t>Note:</w:t>
            </w:r>
            <w:r w:rsidRPr="005D4222">
              <w:t xml:space="preserve"> The “</w:t>
            </w:r>
            <w:r w:rsidR="00E47343" w:rsidRPr="005D4222">
              <w:t>U</w:t>
            </w:r>
            <w:r w:rsidRPr="005D4222">
              <w:t>nknown” category is only reported using the “</w:t>
            </w:r>
            <w:r w:rsidR="00E47343" w:rsidRPr="005D4222">
              <w:t>N</w:t>
            </w:r>
            <w:r w:rsidRPr="005D4222">
              <w:t xml:space="preserve">o </w:t>
            </w:r>
            <w:r w:rsidR="00E47343" w:rsidRPr="005D4222">
              <w:t>D</w:t>
            </w:r>
            <w:r w:rsidRPr="005D4222">
              <w:t xml:space="preserve">ata </w:t>
            </w:r>
            <w:r w:rsidR="00E47343" w:rsidRPr="005D4222">
              <w:t>S</w:t>
            </w:r>
            <w:r w:rsidRPr="005D4222">
              <w:t xml:space="preserve">ource” category because unknown values cannot be attributed to a </w:t>
            </w:r>
            <w:r w:rsidRPr="005D4222" w:rsidDel="00842248">
              <w:t xml:space="preserve">particular </w:t>
            </w:r>
            <w:r w:rsidRPr="005D4222">
              <w:t>data source.</w:t>
            </w:r>
          </w:p>
        </w:tc>
      </w:tr>
      <w:tr w:rsidR="00834FBA" w:rsidRPr="005D4222" w14:paraId="66D13434" w14:textId="77777777" w:rsidTr="009F6641">
        <w:tc>
          <w:tcPr>
            <w:tcW w:w="2160" w:type="dxa"/>
            <w:tcBorders>
              <w:top w:val="nil"/>
              <w:left w:val="nil"/>
              <w:bottom w:val="nil"/>
              <w:right w:val="nil"/>
            </w:tcBorders>
          </w:tcPr>
          <w:p w14:paraId="2C091105" w14:textId="77777777" w:rsidR="00834FBA" w:rsidRPr="005D4222" w:rsidRDefault="00834FBA" w:rsidP="009F6641">
            <w:pPr>
              <w:pStyle w:val="MarginSubhead"/>
              <w:jc w:val="right"/>
            </w:pPr>
            <w:r w:rsidRPr="005D4222">
              <w:t>Sampling</w:t>
            </w:r>
          </w:p>
        </w:tc>
        <w:tc>
          <w:tcPr>
            <w:tcW w:w="7574" w:type="dxa"/>
            <w:tcBorders>
              <w:top w:val="nil"/>
              <w:left w:val="nil"/>
              <w:bottom w:val="nil"/>
              <w:right w:val="nil"/>
            </w:tcBorders>
          </w:tcPr>
          <w:p w14:paraId="72DEC24F" w14:textId="676C78AD" w:rsidR="00834FBA" w:rsidRPr="005D4222" w:rsidRDefault="00834FBA" w:rsidP="009F6641">
            <w:pPr>
              <w:pStyle w:val="Body"/>
            </w:pPr>
            <w:r w:rsidRPr="005D4222">
              <w:t xml:space="preserve">For measures collected using the Hybrid Method with the race and ethnicity stratification, follow the guidelines for sampling outlined in </w:t>
            </w:r>
            <w:r w:rsidRPr="005D4222">
              <w:rPr>
                <w:i/>
                <w:iCs/>
              </w:rPr>
              <w:t>Guidelines for Calculation</w:t>
            </w:r>
            <w:r w:rsidRPr="005D4222">
              <w:t xml:space="preserve"> and </w:t>
            </w:r>
            <w:r w:rsidRPr="005D4222">
              <w:rPr>
                <w:i/>
                <w:iCs/>
              </w:rPr>
              <w:t xml:space="preserve">Sampling Guidelines for the Hybrid Method. </w:t>
            </w:r>
            <w:r w:rsidRPr="005D4222">
              <w:t>The race and ethnicity stratifications are applied to the denominator after hybrid sampling.</w:t>
            </w:r>
          </w:p>
        </w:tc>
      </w:tr>
      <w:tr w:rsidR="00834FBA" w:rsidRPr="005D4222" w14:paraId="72B14A74" w14:textId="77777777" w:rsidTr="009F6641">
        <w:tc>
          <w:tcPr>
            <w:tcW w:w="2160" w:type="dxa"/>
            <w:tcBorders>
              <w:top w:val="nil"/>
              <w:left w:val="nil"/>
              <w:bottom w:val="nil"/>
              <w:right w:val="nil"/>
            </w:tcBorders>
          </w:tcPr>
          <w:p w14:paraId="02CC9120" w14:textId="77777777" w:rsidR="00834FBA" w:rsidRPr="005D4222" w:rsidRDefault="00834FBA" w:rsidP="009F6641">
            <w:pPr>
              <w:pStyle w:val="MarginSubhead"/>
              <w:jc w:val="right"/>
            </w:pPr>
            <w:r w:rsidRPr="005D4222">
              <w:t>Reporting</w:t>
            </w:r>
          </w:p>
        </w:tc>
        <w:tc>
          <w:tcPr>
            <w:tcW w:w="7574" w:type="dxa"/>
            <w:tcBorders>
              <w:top w:val="nil"/>
              <w:left w:val="nil"/>
              <w:bottom w:val="nil"/>
              <w:right w:val="nil"/>
            </w:tcBorders>
          </w:tcPr>
          <w:p w14:paraId="7CE8311E" w14:textId="77777777" w:rsidR="00834FBA" w:rsidRPr="005D4222" w:rsidRDefault="00834FBA" w:rsidP="009F6641">
            <w:pPr>
              <w:pStyle w:val="Body"/>
            </w:pPr>
            <w:r w:rsidRPr="005D4222">
              <w:t xml:space="preserve">Reporting of the race and ethnicity stratification follows the parameters for denominator size outlined in </w:t>
            </w:r>
            <w:r w:rsidRPr="005D4222">
              <w:rPr>
                <w:i/>
                <w:iCs/>
              </w:rPr>
              <w:t xml:space="preserve">General Guideline: </w:t>
            </w:r>
            <w:r w:rsidRPr="005D4222">
              <w:rPr>
                <w:i/>
              </w:rPr>
              <w:t>Reporting</w:t>
            </w:r>
            <w:r w:rsidRPr="005D4222">
              <w:t>.</w:t>
            </w:r>
          </w:p>
        </w:tc>
      </w:tr>
    </w:tbl>
    <w:p w14:paraId="16822CF8" w14:textId="079B75CB" w:rsidR="00834FBA" w:rsidRPr="005D4222" w:rsidRDefault="00834FBA" w:rsidP="00834FBA">
      <w:pPr>
        <w:pStyle w:val="Heading3"/>
      </w:pPr>
      <w:r w:rsidRPr="005D4222">
        <w:t>Table RES-A-1/2/3: CMS Categories Crosswalked to HEDIS/OMB Race and Ethnicity</w:t>
      </w:r>
    </w:p>
    <w:tbl>
      <w:tblPr>
        <w:tblW w:w="0" w:type="auto"/>
        <w:tblLayout w:type="fixed"/>
        <w:tblCellMar>
          <w:left w:w="0" w:type="dxa"/>
          <w:right w:w="0" w:type="dxa"/>
        </w:tblCellMar>
        <w:tblLook w:val="04A0" w:firstRow="1" w:lastRow="0" w:firstColumn="1" w:lastColumn="0" w:noHBand="0" w:noVBand="1"/>
      </w:tblPr>
      <w:tblGrid>
        <w:gridCol w:w="3412"/>
        <w:gridCol w:w="3469"/>
        <w:gridCol w:w="2819"/>
      </w:tblGrid>
      <w:tr w:rsidR="00834FBA" w:rsidRPr="005D4222" w14:paraId="507357B1" w14:textId="77777777" w:rsidTr="009F6641">
        <w:trPr>
          <w:tblHeader/>
        </w:trPr>
        <w:tc>
          <w:tcPr>
            <w:tcW w:w="3412" w:type="dxa"/>
            <w:tcBorders>
              <w:top w:val="single" w:sz="8" w:space="0" w:color="auto"/>
              <w:left w:val="single" w:sz="8" w:space="0" w:color="auto"/>
              <w:bottom w:val="single" w:sz="4" w:space="0" w:color="auto"/>
              <w:right w:val="single" w:sz="8" w:space="0" w:color="FFFFFF" w:themeColor="background1"/>
            </w:tcBorders>
            <w:shd w:val="clear" w:color="auto" w:fill="000000" w:themeFill="text1"/>
            <w:tcMar>
              <w:left w:w="43" w:type="dxa"/>
            </w:tcMar>
            <w:hideMark/>
          </w:tcPr>
          <w:p w14:paraId="1B03DE11" w14:textId="77777777" w:rsidR="00834FBA" w:rsidRPr="005D4222" w:rsidRDefault="00834FBA" w:rsidP="009F6641">
            <w:pPr>
              <w:pStyle w:val="TableHead"/>
              <w:spacing w:before="50" w:after="50"/>
              <w:rPr>
                <w:rFonts w:ascii="Arial" w:hAnsi="Arial" w:cs="Arial"/>
                <w:color w:val="auto"/>
                <w:sz w:val="20"/>
              </w:rPr>
            </w:pPr>
            <w:r w:rsidRPr="005D4222">
              <w:rPr>
                <w:rFonts w:ascii="Arial" w:hAnsi="Arial" w:cs="Arial"/>
                <w:color w:val="auto"/>
                <w:sz w:val="20"/>
              </w:rPr>
              <w:t>CMS Category</w:t>
            </w:r>
          </w:p>
        </w:tc>
        <w:tc>
          <w:tcPr>
            <w:tcW w:w="3469" w:type="dxa"/>
            <w:tcBorders>
              <w:top w:val="single" w:sz="8" w:space="0" w:color="auto"/>
              <w:left w:val="nil"/>
              <w:bottom w:val="single" w:sz="4" w:space="0" w:color="auto"/>
              <w:right w:val="single" w:sz="8" w:space="0" w:color="FFFFFF" w:themeColor="background1"/>
            </w:tcBorders>
            <w:shd w:val="clear" w:color="auto" w:fill="000000" w:themeFill="text1"/>
            <w:noWrap/>
            <w:tcMar>
              <w:top w:w="19" w:type="dxa"/>
              <w:left w:w="43" w:type="dxa"/>
              <w:bottom w:w="0" w:type="dxa"/>
              <w:right w:w="19" w:type="dxa"/>
            </w:tcMar>
            <w:vAlign w:val="bottom"/>
            <w:hideMark/>
          </w:tcPr>
          <w:p w14:paraId="7E6AFFF3" w14:textId="77777777" w:rsidR="00834FBA" w:rsidRPr="005D4222" w:rsidRDefault="00834FBA" w:rsidP="009F6641">
            <w:pPr>
              <w:pStyle w:val="TableHead"/>
              <w:spacing w:before="50" w:after="50"/>
              <w:rPr>
                <w:rFonts w:ascii="Arial" w:hAnsi="Arial" w:cs="Arial"/>
                <w:color w:val="auto"/>
                <w:sz w:val="20"/>
              </w:rPr>
            </w:pPr>
            <w:r w:rsidRPr="005D4222">
              <w:rPr>
                <w:rFonts w:ascii="Arial" w:hAnsi="Arial" w:cs="Arial"/>
                <w:color w:val="auto"/>
                <w:sz w:val="20"/>
              </w:rPr>
              <w:t>HEDIS/OMB Race</w:t>
            </w:r>
          </w:p>
        </w:tc>
        <w:tc>
          <w:tcPr>
            <w:tcW w:w="2819" w:type="dxa"/>
            <w:tcBorders>
              <w:top w:val="single" w:sz="8" w:space="0" w:color="auto"/>
              <w:left w:val="nil"/>
              <w:bottom w:val="single" w:sz="4" w:space="0" w:color="auto"/>
              <w:right w:val="single" w:sz="8" w:space="0" w:color="auto"/>
            </w:tcBorders>
            <w:shd w:val="clear" w:color="auto" w:fill="000000" w:themeFill="text1"/>
            <w:noWrap/>
            <w:tcMar>
              <w:top w:w="19" w:type="dxa"/>
              <w:left w:w="43" w:type="dxa"/>
              <w:bottom w:w="0" w:type="dxa"/>
              <w:right w:w="19" w:type="dxa"/>
            </w:tcMar>
            <w:vAlign w:val="bottom"/>
            <w:hideMark/>
          </w:tcPr>
          <w:p w14:paraId="69E9FBF2" w14:textId="77777777" w:rsidR="00834FBA" w:rsidRPr="005D4222" w:rsidRDefault="00834FBA" w:rsidP="009F6641">
            <w:pPr>
              <w:pStyle w:val="TableHead"/>
              <w:spacing w:before="50" w:after="50"/>
              <w:rPr>
                <w:rFonts w:ascii="Arial" w:hAnsi="Arial" w:cs="Arial"/>
                <w:color w:val="auto"/>
                <w:sz w:val="20"/>
              </w:rPr>
            </w:pPr>
            <w:r w:rsidRPr="005D4222">
              <w:rPr>
                <w:rFonts w:ascii="Arial" w:hAnsi="Arial" w:cs="Arial"/>
                <w:color w:val="auto"/>
                <w:sz w:val="20"/>
              </w:rPr>
              <w:t>HEDIS/OMB Ethnicity</w:t>
            </w:r>
          </w:p>
        </w:tc>
      </w:tr>
      <w:tr w:rsidR="00834FBA" w:rsidRPr="005D4222" w14:paraId="0AB55303" w14:textId="77777777" w:rsidTr="009F6641">
        <w:tc>
          <w:tcPr>
            <w:tcW w:w="3412" w:type="dxa"/>
            <w:tcBorders>
              <w:top w:val="single" w:sz="4" w:space="0" w:color="auto"/>
              <w:left w:val="single" w:sz="4" w:space="0" w:color="auto"/>
              <w:bottom w:val="single" w:sz="4" w:space="0" w:color="auto"/>
              <w:right w:val="single" w:sz="4" w:space="0" w:color="auto"/>
            </w:tcBorders>
            <w:tcMar>
              <w:left w:w="115" w:type="dxa"/>
            </w:tcMar>
            <w:hideMark/>
          </w:tcPr>
          <w:p w14:paraId="73F806E7" w14:textId="77777777" w:rsidR="00834FBA" w:rsidRPr="005D4222" w:rsidRDefault="00834FBA" w:rsidP="009F6641">
            <w:pPr>
              <w:pStyle w:val="TableText"/>
              <w:spacing w:before="50" w:after="50"/>
              <w:rPr>
                <w:rFonts w:ascii="Arial" w:hAnsi="Arial" w:cs="Arial"/>
                <w:sz w:val="20"/>
                <w:szCs w:val="20"/>
              </w:rPr>
            </w:pPr>
            <w:r w:rsidRPr="005D4222">
              <w:rPr>
                <w:rFonts w:ascii="Arial" w:hAnsi="Arial" w:cs="Arial"/>
                <w:sz w:val="20"/>
                <w:szCs w:val="20"/>
              </w:rPr>
              <w:t>American Indian/Alaska Native</w:t>
            </w:r>
          </w:p>
        </w:tc>
        <w:tc>
          <w:tcPr>
            <w:tcW w:w="3469"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hideMark/>
          </w:tcPr>
          <w:p w14:paraId="0D2DB173" w14:textId="77777777" w:rsidR="00834FBA" w:rsidRPr="005D4222" w:rsidRDefault="00834FBA" w:rsidP="009F6641">
            <w:pPr>
              <w:pStyle w:val="TableText"/>
              <w:spacing w:before="50" w:after="50"/>
              <w:rPr>
                <w:rFonts w:ascii="Arial" w:hAnsi="Arial" w:cs="Arial"/>
                <w:sz w:val="20"/>
                <w:szCs w:val="20"/>
              </w:rPr>
            </w:pPr>
            <w:r w:rsidRPr="005D4222">
              <w:rPr>
                <w:rFonts w:ascii="Arial" w:hAnsi="Arial" w:cs="Arial"/>
                <w:sz w:val="20"/>
                <w:szCs w:val="20"/>
              </w:rPr>
              <w:t>American Indian or Alaska Native</w:t>
            </w:r>
          </w:p>
        </w:tc>
        <w:tc>
          <w:tcPr>
            <w:tcW w:w="2819"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hideMark/>
          </w:tcPr>
          <w:p w14:paraId="2CFD410D" w14:textId="77777777" w:rsidR="00834FBA" w:rsidRPr="005D4222" w:rsidRDefault="00834FBA" w:rsidP="009F6641">
            <w:pPr>
              <w:pStyle w:val="TableText"/>
              <w:spacing w:before="50" w:after="50"/>
              <w:rPr>
                <w:rFonts w:ascii="Arial" w:hAnsi="Arial" w:cs="Arial"/>
                <w:sz w:val="20"/>
                <w:szCs w:val="20"/>
              </w:rPr>
            </w:pPr>
            <w:r w:rsidRPr="005D4222">
              <w:rPr>
                <w:rFonts w:ascii="Arial" w:hAnsi="Arial" w:cs="Arial"/>
                <w:sz w:val="20"/>
                <w:szCs w:val="20"/>
              </w:rPr>
              <w:t>Unknown</w:t>
            </w:r>
          </w:p>
        </w:tc>
      </w:tr>
      <w:tr w:rsidR="00834FBA" w:rsidRPr="005D4222" w14:paraId="0ACB3332" w14:textId="77777777" w:rsidTr="009F6641">
        <w:tc>
          <w:tcPr>
            <w:tcW w:w="3412" w:type="dxa"/>
            <w:tcBorders>
              <w:top w:val="single" w:sz="4" w:space="0" w:color="auto"/>
              <w:left w:val="single" w:sz="4" w:space="0" w:color="auto"/>
              <w:bottom w:val="single" w:sz="4" w:space="0" w:color="auto"/>
              <w:right w:val="single" w:sz="4" w:space="0" w:color="auto"/>
            </w:tcBorders>
            <w:tcMar>
              <w:left w:w="115" w:type="dxa"/>
            </w:tcMar>
            <w:hideMark/>
          </w:tcPr>
          <w:p w14:paraId="693E51E9" w14:textId="77777777" w:rsidR="00834FBA" w:rsidRPr="005D4222" w:rsidRDefault="00834FBA" w:rsidP="009F6641">
            <w:pPr>
              <w:pStyle w:val="TableText"/>
              <w:spacing w:before="50" w:after="50"/>
              <w:rPr>
                <w:rFonts w:ascii="Arial" w:hAnsi="Arial" w:cs="Arial"/>
                <w:sz w:val="20"/>
                <w:szCs w:val="20"/>
              </w:rPr>
            </w:pPr>
            <w:r w:rsidRPr="005D4222">
              <w:rPr>
                <w:rFonts w:ascii="Arial" w:hAnsi="Arial" w:cs="Arial"/>
                <w:sz w:val="20"/>
                <w:szCs w:val="20"/>
              </w:rPr>
              <w:t>Asian/Pacific Islander</w:t>
            </w:r>
          </w:p>
        </w:tc>
        <w:tc>
          <w:tcPr>
            <w:tcW w:w="3469"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hideMark/>
          </w:tcPr>
          <w:p w14:paraId="16D93DD9" w14:textId="77777777" w:rsidR="00834FBA" w:rsidRPr="005D4222" w:rsidRDefault="00834FBA" w:rsidP="009F6641">
            <w:pPr>
              <w:pStyle w:val="TableText"/>
              <w:spacing w:before="50" w:after="50"/>
              <w:rPr>
                <w:rFonts w:ascii="Arial" w:hAnsi="Arial" w:cs="Arial"/>
                <w:sz w:val="20"/>
                <w:szCs w:val="20"/>
              </w:rPr>
            </w:pPr>
            <w:r w:rsidRPr="005D4222">
              <w:rPr>
                <w:rFonts w:ascii="Arial" w:hAnsi="Arial" w:cs="Arial"/>
                <w:sz w:val="20"/>
                <w:szCs w:val="20"/>
              </w:rPr>
              <w:t>Asian</w:t>
            </w:r>
          </w:p>
        </w:tc>
        <w:tc>
          <w:tcPr>
            <w:tcW w:w="2819"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hideMark/>
          </w:tcPr>
          <w:p w14:paraId="27267E62" w14:textId="77777777" w:rsidR="00834FBA" w:rsidRPr="005D4222" w:rsidRDefault="00834FBA" w:rsidP="009F6641">
            <w:pPr>
              <w:pStyle w:val="TableText"/>
              <w:spacing w:before="50" w:after="50"/>
              <w:rPr>
                <w:rFonts w:ascii="Arial" w:hAnsi="Arial" w:cs="Arial"/>
                <w:sz w:val="20"/>
                <w:szCs w:val="20"/>
              </w:rPr>
            </w:pPr>
            <w:r w:rsidRPr="005D4222">
              <w:rPr>
                <w:rFonts w:ascii="Arial" w:hAnsi="Arial" w:cs="Arial"/>
                <w:sz w:val="20"/>
                <w:szCs w:val="20"/>
              </w:rPr>
              <w:t>Unknown</w:t>
            </w:r>
          </w:p>
        </w:tc>
      </w:tr>
      <w:tr w:rsidR="00834FBA" w:rsidRPr="005D4222" w14:paraId="390976EB" w14:textId="77777777" w:rsidTr="009F6641">
        <w:tc>
          <w:tcPr>
            <w:tcW w:w="3412" w:type="dxa"/>
            <w:tcBorders>
              <w:top w:val="single" w:sz="4" w:space="0" w:color="auto"/>
              <w:left w:val="single" w:sz="4" w:space="0" w:color="auto"/>
              <w:bottom w:val="single" w:sz="4" w:space="0" w:color="auto"/>
              <w:right w:val="single" w:sz="4" w:space="0" w:color="auto"/>
            </w:tcBorders>
            <w:tcMar>
              <w:left w:w="115" w:type="dxa"/>
            </w:tcMar>
          </w:tcPr>
          <w:p w14:paraId="3077C47B" w14:textId="77777777" w:rsidR="00834FBA" w:rsidRPr="005D4222" w:rsidRDefault="00834FBA" w:rsidP="009F6641">
            <w:pPr>
              <w:pStyle w:val="TableText"/>
              <w:spacing w:before="50" w:after="50"/>
              <w:rPr>
                <w:rFonts w:ascii="Arial" w:hAnsi="Arial" w:cs="Arial"/>
                <w:sz w:val="20"/>
                <w:szCs w:val="20"/>
              </w:rPr>
            </w:pPr>
            <w:r w:rsidRPr="005D4222">
              <w:rPr>
                <w:rFonts w:ascii="Arial" w:hAnsi="Arial" w:cs="Arial"/>
                <w:sz w:val="20"/>
                <w:szCs w:val="20"/>
              </w:rPr>
              <w:t>Black</w:t>
            </w:r>
          </w:p>
        </w:tc>
        <w:tc>
          <w:tcPr>
            <w:tcW w:w="3469"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tcPr>
          <w:p w14:paraId="7DB968D0" w14:textId="77777777" w:rsidR="00834FBA" w:rsidRPr="005D4222" w:rsidRDefault="00834FBA" w:rsidP="009F6641">
            <w:pPr>
              <w:pStyle w:val="TableText"/>
              <w:spacing w:before="50" w:after="50"/>
              <w:rPr>
                <w:rFonts w:ascii="Arial" w:hAnsi="Arial" w:cs="Arial"/>
                <w:sz w:val="20"/>
                <w:szCs w:val="20"/>
              </w:rPr>
            </w:pPr>
            <w:r w:rsidRPr="005D4222">
              <w:rPr>
                <w:rFonts w:ascii="Arial" w:hAnsi="Arial" w:cs="Arial"/>
                <w:sz w:val="20"/>
                <w:szCs w:val="20"/>
              </w:rPr>
              <w:t>Black</w:t>
            </w:r>
          </w:p>
        </w:tc>
        <w:tc>
          <w:tcPr>
            <w:tcW w:w="2819"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tcPr>
          <w:p w14:paraId="4CF6F45D" w14:textId="77777777" w:rsidR="00834FBA" w:rsidRPr="005D4222" w:rsidRDefault="00834FBA" w:rsidP="009F6641">
            <w:pPr>
              <w:pStyle w:val="TableText"/>
              <w:spacing w:before="50" w:after="50"/>
              <w:rPr>
                <w:rFonts w:ascii="Arial" w:hAnsi="Arial" w:cs="Arial"/>
                <w:sz w:val="20"/>
                <w:szCs w:val="20"/>
              </w:rPr>
            </w:pPr>
            <w:r w:rsidRPr="005D4222">
              <w:rPr>
                <w:rFonts w:ascii="Arial" w:hAnsi="Arial" w:cs="Arial"/>
                <w:sz w:val="20"/>
                <w:szCs w:val="20"/>
              </w:rPr>
              <w:t>Unknown</w:t>
            </w:r>
          </w:p>
        </w:tc>
      </w:tr>
      <w:tr w:rsidR="003F1FEB" w:rsidRPr="005D4222" w14:paraId="2E2FB3E9" w14:textId="77777777" w:rsidTr="009F6641">
        <w:tc>
          <w:tcPr>
            <w:tcW w:w="3412" w:type="dxa"/>
            <w:tcBorders>
              <w:top w:val="single" w:sz="4" w:space="0" w:color="auto"/>
              <w:left w:val="single" w:sz="4" w:space="0" w:color="auto"/>
              <w:bottom w:val="single" w:sz="4" w:space="0" w:color="auto"/>
              <w:right w:val="single" w:sz="4" w:space="0" w:color="auto"/>
            </w:tcBorders>
            <w:tcMar>
              <w:left w:w="115" w:type="dxa"/>
            </w:tcMar>
          </w:tcPr>
          <w:p w14:paraId="5152ACA4" w14:textId="06CD3ECF" w:rsidR="003F1FEB" w:rsidRPr="005D4222" w:rsidRDefault="003F1FEB" w:rsidP="009F6641">
            <w:pPr>
              <w:pStyle w:val="TableText"/>
              <w:spacing w:before="50" w:after="50"/>
              <w:rPr>
                <w:rFonts w:ascii="Arial" w:hAnsi="Arial" w:cs="Arial"/>
                <w:sz w:val="20"/>
                <w:szCs w:val="20"/>
              </w:rPr>
            </w:pPr>
            <w:r w:rsidRPr="005D4222">
              <w:rPr>
                <w:rFonts w:ascii="Arial" w:hAnsi="Arial" w:cs="Arial"/>
                <w:sz w:val="20"/>
                <w:szCs w:val="20"/>
              </w:rPr>
              <w:t>(No equivalent category)</w:t>
            </w:r>
          </w:p>
        </w:tc>
        <w:tc>
          <w:tcPr>
            <w:tcW w:w="3469"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tcPr>
          <w:p w14:paraId="6BB5DDCD" w14:textId="5BEAADDC" w:rsidR="003F1FEB" w:rsidRPr="005D4222" w:rsidRDefault="003F1FEB" w:rsidP="009F6641">
            <w:pPr>
              <w:pStyle w:val="TableText"/>
              <w:spacing w:before="50" w:after="50"/>
              <w:rPr>
                <w:rFonts w:ascii="Arial" w:hAnsi="Arial" w:cs="Arial"/>
                <w:sz w:val="20"/>
                <w:szCs w:val="20"/>
              </w:rPr>
            </w:pPr>
            <w:r w:rsidRPr="005D4222">
              <w:rPr>
                <w:rFonts w:ascii="Arial" w:hAnsi="Arial" w:cs="Arial"/>
                <w:sz w:val="20"/>
                <w:szCs w:val="20"/>
              </w:rPr>
              <w:t>Middle Eastern or North African</w:t>
            </w:r>
          </w:p>
        </w:tc>
        <w:tc>
          <w:tcPr>
            <w:tcW w:w="2819"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tcPr>
          <w:p w14:paraId="3B0AF397" w14:textId="7E4EDC40" w:rsidR="003F1FEB" w:rsidRPr="005D4222" w:rsidRDefault="003F1FEB" w:rsidP="009F6641">
            <w:pPr>
              <w:pStyle w:val="TableText"/>
              <w:spacing w:before="50" w:after="50"/>
              <w:rPr>
                <w:rFonts w:ascii="Arial" w:hAnsi="Arial" w:cs="Arial"/>
                <w:sz w:val="20"/>
                <w:szCs w:val="20"/>
              </w:rPr>
            </w:pPr>
            <w:r w:rsidRPr="005D4222">
              <w:rPr>
                <w:rFonts w:ascii="Arial" w:hAnsi="Arial" w:cs="Arial"/>
                <w:sz w:val="20"/>
                <w:szCs w:val="20"/>
              </w:rPr>
              <w:t>Unknown</w:t>
            </w:r>
          </w:p>
        </w:tc>
      </w:tr>
      <w:tr w:rsidR="00834FBA" w:rsidRPr="005D4222" w14:paraId="360A8014" w14:textId="77777777" w:rsidTr="009F6641">
        <w:tc>
          <w:tcPr>
            <w:tcW w:w="3412" w:type="dxa"/>
            <w:tcBorders>
              <w:top w:val="single" w:sz="4" w:space="0" w:color="auto"/>
              <w:left w:val="single" w:sz="4" w:space="0" w:color="auto"/>
              <w:bottom w:val="single" w:sz="4" w:space="0" w:color="auto"/>
              <w:right w:val="single" w:sz="4" w:space="0" w:color="auto"/>
            </w:tcBorders>
            <w:tcMar>
              <w:left w:w="115" w:type="dxa"/>
            </w:tcMar>
          </w:tcPr>
          <w:p w14:paraId="3B23D4C3" w14:textId="77777777" w:rsidR="00834FBA" w:rsidRPr="005D4222" w:rsidRDefault="00834FBA" w:rsidP="009F6641">
            <w:pPr>
              <w:pStyle w:val="TableText"/>
              <w:spacing w:before="50" w:after="50"/>
              <w:rPr>
                <w:rFonts w:ascii="Arial" w:hAnsi="Arial" w:cs="Arial"/>
                <w:sz w:val="20"/>
                <w:szCs w:val="20"/>
              </w:rPr>
            </w:pPr>
            <w:r w:rsidRPr="005D4222">
              <w:rPr>
                <w:rFonts w:ascii="Arial" w:hAnsi="Arial" w:cs="Arial"/>
                <w:sz w:val="20"/>
                <w:szCs w:val="20"/>
              </w:rPr>
              <w:t>White</w:t>
            </w:r>
          </w:p>
        </w:tc>
        <w:tc>
          <w:tcPr>
            <w:tcW w:w="3469"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tcPr>
          <w:p w14:paraId="68A609F0" w14:textId="77777777" w:rsidR="00834FBA" w:rsidRPr="005D4222" w:rsidRDefault="00834FBA" w:rsidP="009F6641">
            <w:pPr>
              <w:pStyle w:val="TableText"/>
              <w:spacing w:before="50" w:after="50"/>
              <w:rPr>
                <w:rFonts w:ascii="Arial" w:hAnsi="Arial" w:cs="Arial"/>
                <w:sz w:val="20"/>
                <w:szCs w:val="20"/>
              </w:rPr>
            </w:pPr>
            <w:r w:rsidRPr="005D4222">
              <w:rPr>
                <w:rFonts w:ascii="Arial" w:hAnsi="Arial" w:cs="Arial"/>
                <w:sz w:val="20"/>
                <w:szCs w:val="20"/>
              </w:rPr>
              <w:t>White</w:t>
            </w:r>
          </w:p>
        </w:tc>
        <w:tc>
          <w:tcPr>
            <w:tcW w:w="2819"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tcPr>
          <w:p w14:paraId="44D838DE" w14:textId="77777777" w:rsidR="00834FBA" w:rsidRPr="005D4222" w:rsidRDefault="00834FBA" w:rsidP="009F6641">
            <w:pPr>
              <w:pStyle w:val="TableText"/>
              <w:spacing w:before="50" w:after="50"/>
              <w:rPr>
                <w:rFonts w:ascii="Arial" w:hAnsi="Arial" w:cs="Arial"/>
                <w:sz w:val="20"/>
                <w:szCs w:val="20"/>
              </w:rPr>
            </w:pPr>
            <w:r w:rsidRPr="005D4222">
              <w:rPr>
                <w:rFonts w:ascii="Arial" w:hAnsi="Arial" w:cs="Arial"/>
                <w:sz w:val="20"/>
                <w:szCs w:val="20"/>
              </w:rPr>
              <w:t>Unknown</w:t>
            </w:r>
          </w:p>
        </w:tc>
      </w:tr>
      <w:tr w:rsidR="00834FBA" w:rsidRPr="005D4222" w14:paraId="0B1704FC" w14:textId="77777777" w:rsidTr="009F6641">
        <w:tc>
          <w:tcPr>
            <w:tcW w:w="3412" w:type="dxa"/>
            <w:tcBorders>
              <w:top w:val="single" w:sz="4" w:space="0" w:color="auto"/>
              <w:left w:val="single" w:sz="4" w:space="0" w:color="auto"/>
              <w:bottom w:val="single" w:sz="4" w:space="0" w:color="auto"/>
              <w:right w:val="single" w:sz="4" w:space="0" w:color="auto"/>
            </w:tcBorders>
            <w:tcMar>
              <w:left w:w="115" w:type="dxa"/>
            </w:tcMar>
            <w:hideMark/>
          </w:tcPr>
          <w:p w14:paraId="4BE05A87" w14:textId="77777777" w:rsidR="00834FBA" w:rsidRPr="005D4222" w:rsidRDefault="00834FBA" w:rsidP="009F6641">
            <w:pPr>
              <w:pStyle w:val="TableText"/>
              <w:spacing w:before="50" w:after="50"/>
              <w:rPr>
                <w:rFonts w:ascii="Arial" w:hAnsi="Arial" w:cs="Arial"/>
                <w:sz w:val="20"/>
                <w:szCs w:val="20"/>
              </w:rPr>
            </w:pPr>
            <w:r w:rsidRPr="005D4222">
              <w:rPr>
                <w:rFonts w:ascii="Arial" w:hAnsi="Arial" w:cs="Arial"/>
                <w:sz w:val="20"/>
                <w:szCs w:val="20"/>
              </w:rPr>
              <w:t>Hispanic</w:t>
            </w:r>
          </w:p>
        </w:tc>
        <w:tc>
          <w:tcPr>
            <w:tcW w:w="3469"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hideMark/>
          </w:tcPr>
          <w:p w14:paraId="78FDD005" w14:textId="77777777" w:rsidR="00834FBA" w:rsidRPr="005D4222" w:rsidRDefault="00834FBA" w:rsidP="009F6641">
            <w:pPr>
              <w:pStyle w:val="TableText"/>
              <w:spacing w:before="50" w:after="50"/>
              <w:rPr>
                <w:rFonts w:ascii="Arial" w:hAnsi="Arial" w:cs="Arial"/>
                <w:sz w:val="20"/>
                <w:szCs w:val="20"/>
              </w:rPr>
            </w:pPr>
            <w:r w:rsidRPr="005D4222">
              <w:rPr>
                <w:rFonts w:ascii="Arial" w:hAnsi="Arial" w:cs="Arial"/>
                <w:sz w:val="20"/>
                <w:szCs w:val="20"/>
              </w:rPr>
              <w:t>Unknown</w:t>
            </w:r>
          </w:p>
        </w:tc>
        <w:tc>
          <w:tcPr>
            <w:tcW w:w="2819"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hideMark/>
          </w:tcPr>
          <w:p w14:paraId="3C224DFF" w14:textId="77777777" w:rsidR="00834FBA" w:rsidRPr="005D4222" w:rsidRDefault="00834FBA" w:rsidP="009F6641">
            <w:pPr>
              <w:pStyle w:val="TableText"/>
              <w:spacing w:before="50" w:after="50"/>
              <w:rPr>
                <w:rFonts w:ascii="Arial" w:hAnsi="Arial" w:cs="Arial"/>
                <w:sz w:val="20"/>
                <w:szCs w:val="20"/>
              </w:rPr>
            </w:pPr>
            <w:r w:rsidRPr="005D4222">
              <w:rPr>
                <w:rFonts w:ascii="Arial" w:hAnsi="Arial" w:cs="Arial"/>
                <w:sz w:val="20"/>
                <w:szCs w:val="20"/>
              </w:rPr>
              <w:t>Hispanic or Latino</w:t>
            </w:r>
          </w:p>
        </w:tc>
      </w:tr>
      <w:tr w:rsidR="00834FBA" w:rsidRPr="005D4222" w14:paraId="4180A729" w14:textId="77777777" w:rsidTr="009F6641">
        <w:tc>
          <w:tcPr>
            <w:tcW w:w="3412" w:type="dxa"/>
            <w:tcBorders>
              <w:top w:val="single" w:sz="4" w:space="0" w:color="auto"/>
              <w:left w:val="single" w:sz="4" w:space="0" w:color="auto"/>
              <w:bottom w:val="single" w:sz="4" w:space="0" w:color="auto"/>
              <w:right w:val="single" w:sz="4" w:space="0" w:color="auto"/>
            </w:tcBorders>
            <w:tcMar>
              <w:left w:w="115" w:type="dxa"/>
            </w:tcMar>
            <w:hideMark/>
          </w:tcPr>
          <w:p w14:paraId="0D26E6C1" w14:textId="77777777" w:rsidR="00834FBA" w:rsidRPr="005D4222" w:rsidRDefault="00834FBA" w:rsidP="009F6641">
            <w:pPr>
              <w:pStyle w:val="TableText"/>
              <w:spacing w:before="50" w:after="50"/>
              <w:rPr>
                <w:rFonts w:ascii="Arial" w:hAnsi="Arial" w:cs="Arial"/>
                <w:sz w:val="20"/>
                <w:szCs w:val="20"/>
              </w:rPr>
            </w:pPr>
            <w:r w:rsidRPr="005D4222">
              <w:rPr>
                <w:rFonts w:ascii="Arial" w:hAnsi="Arial" w:cs="Arial"/>
                <w:sz w:val="20"/>
                <w:szCs w:val="20"/>
              </w:rPr>
              <w:t>Other</w:t>
            </w:r>
          </w:p>
        </w:tc>
        <w:tc>
          <w:tcPr>
            <w:tcW w:w="3469"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hideMark/>
          </w:tcPr>
          <w:p w14:paraId="286F3E3A" w14:textId="77777777" w:rsidR="00834FBA" w:rsidRPr="005D4222" w:rsidRDefault="00834FBA" w:rsidP="009F6641">
            <w:pPr>
              <w:pStyle w:val="TableText"/>
              <w:spacing w:before="50" w:after="50"/>
              <w:rPr>
                <w:rFonts w:ascii="Arial" w:hAnsi="Arial" w:cs="Arial"/>
                <w:sz w:val="20"/>
                <w:szCs w:val="20"/>
              </w:rPr>
            </w:pPr>
            <w:r w:rsidRPr="005D4222">
              <w:rPr>
                <w:rFonts w:ascii="Arial" w:hAnsi="Arial" w:cs="Arial"/>
                <w:sz w:val="20"/>
                <w:szCs w:val="20"/>
              </w:rPr>
              <w:t>Some Other Race</w:t>
            </w:r>
          </w:p>
        </w:tc>
        <w:tc>
          <w:tcPr>
            <w:tcW w:w="2819"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hideMark/>
          </w:tcPr>
          <w:p w14:paraId="4EB2EED1" w14:textId="77777777" w:rsidR="00834FBA" w:rsidRPr="005D4222" w:rsidRDefault="00834FBA" w:rsidP="009F6641">
            <w:pPr>
              <w:pStyle w:val="TableText"/>
              <w:spacing w:before="50" w:after="50"/>
              <w:rPr>
                <w:rFonts w:ascii="Arial" w:hAnsi="Arial" w:cs="Arial"/>
                <w:sz w:val="20"/>
                <w:szCs w:val="20"/>
              </w:rPr>
            </w:pPr>
            <w:r w:rsidRPr="005D4222">
              <w:rPr>
                <w:rFonts w:ascii="Arial" w:hAnsi="Arial" w:cs="Arial"/>
                <w:sz w:val="20"/>
                <w:szCs w:val="20"/>
              </w:rPr>
              <w:t>Unknown</w:t>
            </w:r>
          </w:p>
        </w:tc>
      </w:tr>
      <w:tr w:rsidR="00834FBA" w:rsidRPr="005D4222" w14:paraId="332DAE27" w14:textId="77777777" w:rsidTr="009F6641">
        <w:tc>
          <w:tcPr>
            <w:tcW w:w="3412" w:type="dxa"/>
            <w:tcBorders>
              <w:top w:val="single" w:sz="4" w:space="0" w:color="auto"/>
              <w:left w:val="single" w:sz="4" w:space="0" w:color="auto"/>
              <w:bottom w:val="single" w:sz="4" w:space="0" w:color="auto"/>
              <w:right w:val="single" w:sz="4" w:space="0" w:color="auto"/>
            </w:tcBorders>
            <w:tcMar>
              <w:left w:w="115" w:type="dxa"/>
            </w:tcMar>
            <w:hideMark/>
          </w:tcPr>
          <w:p w14:paraId="7F99A48F" w14:textId="77777777" w:rsidR="00834FBA" w:rsidRPr="005D4222" w:rsidRDefault="00834FBA" w:rsidP="009F6641">
            <w:pPr>
              <w:pStyle w:val="TableText"/>
              <w:spacing w:before="50" w:after="50"/>
              <w:rPr>
                <w:rFonts w:ascii="Arial" w:hAnsi="Arial" w:cs="Arial"/>
                <w:sz w:val="20"/>
                <w:szCs w:val="20"/>
              </w:rPr>
            </w:pPr>
            <w:r w:rsidRPr="005D4222">
              <w:rPr>
                <w:rFonts w:ascii="Arial" w:hAnsi="Arial" w:cs="Arial"/>
                <w:sz w:val="20"/>
                <w:szCs w:val="20"/>
              </w:rPr>
              <w:t>Unknown</w:t>
            </w:r>
          </w:p>
        </w:tc>
        <w:tc>
          <w:tcPr>
            <w:tcW w:w="3469"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hideMark/>
          </w:tcPr>
          <w:p w14:paraId="444B0BE4" w14:textId="77777777" w:rsidR="00834FBA" w:rsidRPr="005D4222" w:rsidRDefault="00834FBA" w:rsidP="009F6641">
            <w:pPr>
              <w:pStyle w:val="TableText"/>
              <w:spacing w:before="50" w:after="50"/>
              <w:rPr>
                <w:rFonts w:ascii="Arial" w:hAnsi="Arial" w:cs="Arial"/>
                <w:sz w:val="20"/>
                <w:szCs w:val="20"/>
              </w:rPr>
            </w:pPr>
            <w:r w:rsidRPr="005D4222">
              <w:rPr>
                <w:rFonts w:ascii="Arial" w:hAnsi="Arial" w:cs="Arial"/>
                <w:sz w:val="20"/>
                <w:szCs w:val="20"/>
              </w:rPr>
              <w:t>Unknown</w:t>
            </w:r>
          </w:p>
        </w:tc>
        <w:tc>
          <w:tcPr>
            <w:tcW w:w="2819"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hideMark/>
          </w:tcPr>
          <w:p w14:paraId="0E14131B" w14:textId="77777777" w:rsidR="00834FBA" w:rsidRPr="005D4222" w:rsidRDefault="00834FBA" w:rsidP="009F6641">
            <w:pPr>
              <w:pStyle w:val="TableText"/>
              <w:spacing w:before="50" w:after="50"/>
              <w:rPr>
                <w:rFonts w:ascii="Arial" w:hAnsi="Arial" w:cs="Arial"/>
                <w:sz w:val="20"/>
                <w:szCs w:val="20"/>
              </w:rPr>
            </w:pPr>
            <w:r w:rsidRPr="005D4222">
              <w:rPr>
                <w:rFonts w:ascii="Arial" w:hAnsi="Arial" w:cs="Arial"/>
                <w:sz w:val="20"/>
                <w:szCs w:val="20"/>
              </w:rPr>
              <w:t>Unknown</w:t>
            </w:r>
          </w:p>
        </w:tc>
      </w:tr>
      <w:tr w:rsidR="00834FBA" w:rsidRPr="005D4222" w14:paraId="441E84DB" w14:textId="77777777" w:rsidTr="009F6641">
        <w:tc>
          <w:tcPr>
            <w:tcW w:w="3412" w:type="dxa"/>
            <w:tcBorders>
              <w:top w:val="single" w:sz="4" w:space="0" w:color="auto"/>
              <w:left w:val="single" w:sz="4" w:space="0" w:color="auto"/>
              <w:bottom w:val="single" w:sz="4" w:space="0" w:color="auto"/>
              <w:right w:val="single" w:sz="4" w:space="0" w:color="auto"/>
            </w:tcBorders>
            <w:tcMar>
              <w:left w:w="115" w:type="dxa"/>
            </w:tcMar>
            <w:hideMark/>
          </w:tcPr>
          <w:p w14:paraId="7A7EE29C" w14:textId="77777777" w:rsidR="00834FBA" w:rsidRPr="005D4222" w:rsidRDefault="00834FBA" w:rsidP="009F6641">
            <w:pPr>
              <w:pStyle w:val="TableText"/>
              <w:spacing w:before="50" w:after="50"/>
              <w:rPr>
                <w:rFonts w:ascii="Arial" w:hAnsi="Arial" w:cs="Arial"/>
                <w:sz w:val="20"/>
                <w:szCs w:val="20"/>
              </w:rPr>
            </w:pPr>
            <w:r w:rsidRPr="005D4222">
              <w:rPr>
                <w:rFonts w:ascii="Arial" w:hAnsi="Arial" w:cs="Arial"/>
                <w:sz w:val="20"/>
                <w:szCs w:val="20"/>
              </w:rPr>
              <w:t>(No equivalent category)</w:t>
            </w:r>
          </w:p>
        </w:tc>
        <w:tc>
          <w:tcPr>
            <w:tcW w:w="3469"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hideMark/>
          </w:tcPr>
          <w:p w14:paraId="70C86FB5" w14:textId="2D648E4E" w:rsidR="00834FBA" w:rsidRPr="005D4222" w:rsidRDefault="00834FBA" w:rsidP="009F6641">
            <w:pPr>
              <w:pStyle w:val="TableText"/>
              <w:spacing w:before="50" w:after="50"/>
              <w:rPr>
                <w:rFonts w:ascii="Arial" w:hAnsi="Arial" w:cs="Arial"/>
                <w:sz w:val="20"/>
                <w:szCs w:val="20"/>
              </w:rPr>
            </w:pPr>
            <w:r w:rsidRPr="005D4222">
              <w:rPr>
                <w:rFonts w:ascii="Arial" w:hAnsi="Arial" w:cs="Arial"/>
                <w:sz w:val="20"/>
                <w:szCs w:val="20"/>
              </w:rPr>
              <w:t>Native Hawaiian or Pacific Islander</w:t>
            </w:r>
          </w:p>
        </w:tc>
        <w:tc>
          <w:tcPr>
            <w:tcW w:w="2819"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hideMark/>
          </w:tcPr>
          <w:p w14:paraId="54726877" w14:textId="77777777" w:rsidR="00834FBA" w:rsidRPr="005D4222" w:rsidRDefault="00834FBA" w:rsidP="009F6641">
            <w:pPr>
              <w:pStyle w:val="TableText"/>
              <w:spacing w:before="50" w:after="50"/>
              <w:rPr>
                <w:rFonts w:ascii="Arial" w:hAnsi="Arial" w:cs="Arial"/>
                <w:sz w:val="20"/>
                <w:szCs w:val="20"/>
              </w:rPr>
            </w:pPr>
            <w:r w:rsidRPr="005D4222">
              <w:rPr>
                <w:rFonts w:ascii="Arial" w:hAnsi="Arial" w:cs="Arial"/>
                <w:sz w:val="20"/>
                <w:szCs w:val="20"/>
              </w:rPr>
              <w:t>Unknown</w:t>
            </w:r>
          </w:p>
        </w:tc>
      </w:tr>
      <w:tr w:rsidR="00834FBA" w:rsidRPr="005D4222" w14:paraId="5DF68E49" w14:textId="77777777" w:rsidTr="009F6641">
        <w:tc>
          <w:tcPr>
            <w:tcW w:w="3412" w:type="dxa"/>
            <w:tcBorders>
              <w:top w:val="single" w:sz="4" w:space="0" w:color="auto"/>
              <w:left w:val="single" w:sz="4" w:space="0" w:color="auto"/>
              <w:bottom w:val="single" w:sz="4" w:space="0" w:color="auto"/>
              <w:right w:val="single" w:sz="4" w:space="0" w:color="auto"/>
            </w:tcBorders>
            <w:tcMar>
              <w:left w:w="115" w:type="dxa"/>
            </w:tcMar>
            <w:hideMark/>
          </w:tcPr>
          <w:p w14:paraId="61DBA76A" w14:textId="77777777" w:rsidR="00834FBA" w:rsidRPr="005D4222" w:rsidRDefault="00834FBA" w:rsidP="009F6641">
            <w:pPr>
              <w:pStyle w:val="TableText"/>
              <w:spacing w:before="50" w:after="50"/>
              <w:rPr>
                <w:rFonts w:ascii="Arial" w:hAnsi="Arial" w:cs="Arial"/>
                <w:sz w:val="20"/>
                <w:szCs w:val="20"/>
              </w:rPr>
            </w:pPr>
            <w:r w:rsidRPr="005D4222">
              <w:rPr>
                <w:rFonts w:ascii="Arial" w:hAnsi="Arial" w:cs="Arial"/>
                <w:sz w:val="20"/>
                <w:szCs w:val="20"/>
              </w:rPr>
              <w:t>(No equivalent category)</w:t>
            </w:r>
          </w:p>
        </w:tc>
        <w:tc>
          <w:tcPr>
            <w:tcW w:w="3469"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hideMark/>
          </w:tcPr>
          <w:p w14:paraId="42B26FE4" w14:textId="77777777" w:rsidR="00834FBA" w:rsidRPr="005D4222" w:rsidRDefault="00834FBA" w:rsidP="009F6641">
            <w:pPr>
              <w:pStyle w:val="TableText"/>
              <w:spacing w:before="50" w:after="50"/>
              <w:rPr>
                <w:rFonts w:ascii="Arial" w:hAnsi="Arial" w:cs="Arial"/>
                <w:sz w:val="20"/>
                <w:szCs w:val="20"/>
              </w:rPr>
            </w:pPr>
            <w:r w:rsidRPr="005D4222">
              <w:rPr>
                <w:rFonts w:ascii="Arial" w:hAnsi="Arial" w:cs="Arial"/>
                <w:sz w:val="20"/>
                <w:szCs w:val="20"/>
              </w:rPr>
              <w:t>Two or more races</w:t>
            </w:r>
          </w:p>
        </w:tc>
        <w:tc>
          <w:tcPr>
            <w:tcW w:w="2819"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hideMark/>
          </w:tcPr>
          <w:p w14:paraId="527B4443" w14:textId="77777777" w:rsidR="00834FBA" w:rsidRPr="005D4222" w:rsidRDefault="00834FBA" w:rsidP="009F6641">
            <w:pPr>
              <w:pStyle w:val="TableText"/>
              <w:spacing w:before="50" w:after="50"/>
              <w:rPr>
                <w:rFonts w:ascii="Arial" w:hAnsi="Arial" w:cs="Arial"/>
                <w:sz w:val="20"/>
                <w:szCs w:val="20"/>
              </w:rPr>
            </w:pPr>
            <w:r w:rsidRPr="005D4222">
              <w:rPr>
                <w:rFonts w:ascii="Arial" w:hAnsi="Arial" w:cs="Arial"/>
                <w:sz w:val="20"/>
                <w:szCs w:val="20"/>
              </w:rPr>
              <w:t>Unknown</w:t>
            </w:r>
          </w:p>
        </w:tc>
      </w:tr>
    </w:tbl>
    <w:p w14:paraId="56BD7F74" w14:textId="77777777" w:rsidR="00834FBA" w:rsidRPr="005D4222" w:rsidRDefault="00834FBA" w:rsidP="00834FBA">
      <w:pPr>
        <w:pStyle w:val="Heading3"/>
      </w:pPr>
      <w:r w:rsidRPr="005D4222">
        <w:lastRenderedPageBreak/>
        <w:t>Table RES-B-1/2/3: Combined Categories Crosswalked to HEDIS/OMB Race and Ethnicity</w:t>
      </w:r>
    </w:p>
    <w:tbl>
      <w:tblPr>
        <w:tblW w:w="0" w:type="auto"/>
        <w:tblLayout w:type="fixed"/>
        <w:tblCellMar>
          <w:left w:w="0" w:type="dxa"/>
          <w:right w:w="0" w:type="dxa"/>
        </w:tblCellMar>
        <w:tblLook w:val="04A0" w:firstRow="1" w:lastRow="0" w:firstColumn="1" w:lastColumn="0" w:noHBand="0" w:noVBand="1"/>
      </w:tblPr>
      <w:tblGrid>
        <w:gridCol w:w="3410"/>
        <w:gridCol w:w="3510"/>
        <w:gridCol w:w="2780"/>
      </w:tblGrid>
      <w:tr w:rsidR="00834FBA" w:rsidRPr="005D4222" w14:paraId="3AF21FF1" w14:textId="77777777" w:rsidTr="003C0AF7">
        <w:trPr>
          <w:trHeight w:val="206"/>
          <w:tblHeader/>
        </w:trPr>
        <w:tc>
          <w:tcPr>
            <w:tcW w:w="3410" w:type="dxa"/>
            <w:tcBorders>
              <w:top w:val="single" w:sz="6" w:space="0" w:color="auto"/>
              <w:left w:val="single" w:sz="8" w:space="0" w:color="auto"/>
              <w:bottom w:val="single" w:sz="4" w:space="0" w:color="auto"/>
              <w:right w:val="single" w:sz="6" w:space="0" w:color="FFFFFF" w:themeColor="background1"/>
            </w:tcBorders>
            <w:shd w:val="clear" w:color="auto" w:fill="000000" w:themeFill="text1"/>
            <w:tcMar>
              <w:left w:w="43" w:type="dxa"/>
            </w:tcMar>
            <w:vAlign w:val="bottom"/>
            <w:hideMark/>
          </w:tcPr>
          <w:p w14:paraId="3ECF656D" w14:textId="6B00F16A" w:rsidR="00834FBA" w:rsidRPr="005D4222" w:rsidRDefault="00834FBA" w:rsidP="009F6641">
            <w:pPr>
              <w:pStyle w:val="TableHead"/>
              <w:rPr>
                <w:rFonts w:ascii="Arial" w:hAnsi="Arial" w:cs="Arial"/>
                <w:color w:val="auto"/>
                <w:sz w:val="20"/>
              </w:rPr>
            </w:pPr>
            <w:r w:rsidRPr="005D4222">
              <w:rPr>
                <w:rFonts w:ascii="Arial" w:hAnsi="Arial" w:cs="Arial"/>
                <w:color w:val="auto"/>
                <w:sz w:val="20"/>
              </w:rPr>
              <w:t>Race/Ethnicity</w:t>
            </w:r>
            <w:r w:rsidRPr="005D4222">
              <w:rPr>
                <w:rFonts w:ascii="Arial" w:hAnsi="Arial" w:cs="Arial"/>
                <w:color w:val="auto"/>
                <w:sz w:val="20"/>
              </w:rPr>
              <w:br/>
              <w:t>Combined Category</w:t>
            </w:r>
            <w:r w:rsidR="008D0852" w:rsidRPr="005D4222">
              <w:rPr>
                <w:rFonts w:ascii="Arial" w:hAnsi="Arial" w:cs="Arial"/>
                <w:color w:val="auto"/>
                <w:sz w:val="20"/>
              </w:rPr>
              <w:t xml:space="preserve"> (examples)</w:t>
            </w:r>
            <w:r w:rsidR="008D0852" w:rsidRPr="005D4222">
              <w:rPr>
                <w:rStyle w:val="FootnoteReference"/>
                <w:rFonts w:ascii="Arial" w:hAnsi="Arial" w:cs="Arial"/>
                <w:color w:val="auto"/>
                <w:sz w:val="20"/>
              </w:rPr>
              <w:footnoteReference w:id="6"/>
            </w:r>
          </w:p>
        </w:tc>
        <w:tc>
          <w:tcPr>
            <w:tcW w:w="3510" w:type="dxa"/>
            <w:tcBorders>
              <w:top w:val="single" w:sz="6" w:space="0" w:color="auto"/>
              <w:left w:val="single" w:sz="6" w:space="0" w:color="FFFFFF" w:themeColor="background1"/>
              <w:bottom w:val="single" w:sz="4" w:space="0" w:color="auto"/>
              <w:right w:val="single" w:sz="6" w:space="0" w:color="FFFFFF" w:themeColor="background1"/>
            </w:tcBorders>
            <w:shd w:val="clear" w:color="auto" w:fill="000000" w:themeFill="text1"/>
            <w:noWrap/>
            <w:tcMar>
              <w:top w:w="19" w:type="dxa"/>
              <w:left w:w="43" w:type="dxa"/>
              <w:bottom w:w="0" w:type="dxa"/>
              <w:right w:w="19" w:type="dxa"/>
            </w:tcMar>
            <w:vAlign w:val="bottom"/>
            <w:hideMark/>
          </w:tcPr>
          <w:p w14:paraId="3572C9BC" w14:textId="77777777" w:rsidR="00834FBA" w:rsidRPr="005D4222" w:rsidRDefault="00834FBA" w:rsidP="009F6641">
            <w:pPr>
              <w:pStyle w:val="TableHead"/>
              <w:rPr>
                <w:rFonts w:ascii="Arial" w:hAnsi="Arial" w:cs="Arial"/>
                <w:color w:val="auto"/>
                <w:sz w:val="20"/>
              </w:rPr>
            </w:pPr>
            <w:r w:rsidRPr="005D4222">
              <w:rPr>
                <w:rFonts w:ascii="Arial" w:hAnsi="Arial" w:cs="Arial"/>
                <w:color w:val="auto"/>
                <w:sz w:val="20"/>
              </w:rPr>
              <w:t>HEDIS/OMB Race</w:t>
            </w:r>
          </w:p>
        </w:tc>
        <w:tc>
          <w:tcPr>
            <w:tcW w:w="2780" w:type="dxa"/>
            <w:tcBorders>
              <w:top w:val="single" w:sz="6" w:space="0" w:color="auto"/>
              <w:left w:val="single" w:sz="6" w:space="0" w:color="FFFFFF" w:themeColor="background1"/>
              <w:bottom w:val="single" w:sz="4" w:space="0" w:color="auto"/>
              <w:right w:val="single" w:sz="8" w:space="0" w:color="auto"/>
            </w:tcBorders>
            <w:shd w:val="clear" w:color="auto" w:fill="000000" w:themeFill="text1"/>
            <w:noWrap/>
            <w:tcMar>
              <w:top w:w="19" w:type="dxa"/>
              <w:left w:w="43" w:type="dxa"/>
              <w:bottom w:w="0" w:type="dxa"/>
              <w:right w:w="19" w:type="dxa"/>
            </w:tcMar>
            <w:vAlign w:val="bottom"/>
            <w:hideMark/>
          </w:tcPr>
          <w:p w14:paraId="0FB2018C" w14:textId="77777777" w:rsidR="00834FBA" w:rsidRPr="005D4222" w:rsidRDefault="00834FBA" w:rsidP="009F6641">
            <w:pPr>
              <w:pStyle w:val="TableHead"/>
              <w:rPr>
                <w:rFonts w:ascii="Arial" w:hAnsi="Arial" w:cs="Arial"/>
                <w:color w:val="auto"/>
                <w:sz w:val="20"/>
              </w:rPr>
            </w:pPr>
            <w:r w:rsidRPr="005D4222">
              <w:rPr>
                <w:rFonts w:ascii="Arial" w:hAnsi="Arial" w:cs="Arial"/>
                <w:color w:val="auto"/>
                <w:sz w:val="20"/>
              </w:rPr>
              <w:t>HEDIS/OMB Ethnicity</w:t>
            </w:r>
          </w:p>
        </w:tc>
      </w:tr>
      <w:tr w:rsidR="00834FBA" w:rsidRPr="005D4222" w14:paraId="67068461" w14:textId="77777777" w:rsidTr="009F6641">
        <w:trPr>
          <w:trHeight w:val="206"/>
        </w:trPr>
        <w:tc>
          <w:tcPr>
            <w:tcW w:w="3410" w:type="dxa"/>
            <w:tcBorders>
              <w:top w:val="single" w:sz="4" w:space="0" w:color="auto"/>
              <w:left w:val="single" w:sz="4" w:space="0" w:color="auto"/>
              <w:bottom w:val="single" w:sz="4" w:space="0" w:color="auto"/>
              <w:right w:val="single" w:sz="4" w:space="0" w:color="auto"/>
            </w:tcBorders>
            <w:tcMar>
              <w:left w:w="115" w:type="dxa"/>
            </w:tcMar>
            <w:hideMark/>
          </w:tcPr>
          <w:p w14:paraId="75C03059"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American Indian/Alaska Native</w:t>
            </w:r>
          </w:p>
        </w:tc>
        <w:tc>
          <w:tcPr>
            <w:tcW w:w="3510"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hideMark/>
          </w:tcPr>
          <w:p w14:paraId="690BB154"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American Indian or Alaska Native</w:t>
            </w:r>
          </w:p>
        </w:tc>
        <w:tc>
          <w:tcPr>
            <w:tcW w:w="2780"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hideMark/>
          </w:tcPr>
          <w:p w14:paraId="009ECC0B" w14:textId="77777777" w:rsidR="00834FBA" w:rsidRPr="005D4222" w:rsidRDefault="00834FBA" w:rsidP="009F6641">
            <w:pPr>
              <w:pStyle w:val="TableText"/>
              <w:rPr>
                <w:rFonts w:ascii="Arial" w:hAnsi="Arial" w:cs="Arial"/>
                <w:strike/>
                <w:sz w:val="20"/>
                <w:szCs w:val="20"/>
              </w:rPr>
            </w:pPr>
            <w:r w:rsidRPr="005D4222">
              <w:rPr>
                <w:rFonts w:ascii="Arial" w:hAnsi="Arial" w:cs="Arial"/>
                <w:sz w:val="20"/>
                <w:szCs w:val="20"/>
              </w:rPr>
              <w:t>Not Hispanic or Latino</w:t>
            </w:r>
          </w:p>
        </w:tc>
      </w:tr>
      <w:tr w:rsidR="00834FBA" w:rsidRPr="005D4222" w14:paraId="289AA6D3" w14:textId="77777777" w:rsidTr="009F6641">
        <w:trPr>
          <w:trHeight w:val="206"/>
        </w:trPr>
        <w:tc>
          <w:tcPr>
            <w:tcW w:w="3410" w:type="dxa"/>
            <w:tcBorders>
              <w:top w:val="single" w:sz="4" w:space="0" w:color="auto"/>
              <w:left w:val="single" w:sz="4" w:space="0" w:color="auto"/>
              <w:bottom w:val="single" w:sz="4" w:space="0" w:color="auto"/>
              <w:right w:val="single" w:sz="4" w:space="0" w:color="auto"/>
            </w:tcBorders>
            <w:tcMar>
              <w:left w:w="115" w:type="dxa"/>
            </w:tcMar>
            <w:hideMark/>
          </w:tcPr>
          <w:p w14:paraId="00117AE6"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Asian</w:t>
            </w:r>
          </w:p>
        </w:tc>
        <w:tc>
          <w:tcPr>
            <w:tcW w:w="3510"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hideMark/>
          </w:tcPr>
          <w:p w14:paraId="39A47996"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Asian</w:t>
            </w:r>
          </w:p>
        </w:tc>
        <w:tc>
          <w:tcPr>
            <w:tcW w:w="2780"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hideMark/>
          </w:tcPr>
          <w:p w14:paraId="75D93387"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Not Hispanic or Latino</w:t>
            </w:r>
          </w:p>
        </w:tc>
      </w:tr>
      <w:tr w:rsidR="00834FBA" w:rsidRPr="005D4222" w14:paraId="638CA45B" w14:textId="77777777" w:rsidTr="009F6641">
        <w:trPr>
          <w:trHeight w:val="206"/>
        </w:trPr>
        <w:tc>
          <w:tcPr>
            <w:tcW w:w="3410" w:type="dxa"/>
            <w:tcBorders>
              <w:top w:val="single" w:sz="4" w:space="0" w:color="auto"/>
              <w:left w:val="single" w:sz="4" w:space="0" w:color="auto"/>
              <w:bottom w:val="single" w:sz="4" w:space="0" w:color="auto"/>
              <w:right w:val="single" w:sz="4" w:space="0" w:color="auto"/>
            </w:tcBorders>
            <w:tcMar>
              <w:left w:w="115" w:type="dxa"/>
            </w:tcMar>
          </w:tcPr>
          <w:p w14:paraId="4FFEABF7"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Black</w:t>
            </w:r>
          </w:p>
        </w:tc>
        <w:tc>
          <w:tcPr>
            <w:tcW w:w="3510"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tcPr>
          <w:p w14:paraId="78180F39"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Black</w:t>
            </w:r>
          </w:p>
        </w:tc>
        <w:tc>
          <w:tcPr>
            <w:tcW w:w="2780"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tcPr>
          <w:p w14:paraId="4E0CFE82"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Not Hispanic or Latino</w:t>
            </w:r>
          </w:p>
        </w:tc>
      </w:tr>
      <w:tr w:rsidR="003F1FEB" w:rsidRPr="005D4222" w14:paraId="7EA77F87" w14:textId="77777777" w:rsidTr="009F6641">
        <w:trPr>
          <w:trHeight w:val="219"/>
        </w:trPr>
        <w:tc>
          <w:tcPr>
            <w:tcW w:w="3410" w:type="dxa"/>
            <w:tcBorders>
              <w:top w:val="single" w:sz="4" w:space="0" w:color="auto"/>
              <w:left w:val="single" w:sz="4" w:space="0" w:color="auto"/>
              <w:bottom w:val="single" w:sz="4" w:space="0" w:color="auto"/>
              <w:right w:val="single" w:sz="4" w:space="0" w:color="auto"/>
            </w:tcBorders>
            <w:tcMar>
              <w:left w:w="115" w:type="dxa"/>
            </w:tcMar>
          </w:tcPr>
          <w:p w14:paraId="08B6D19B" w14:textId="777CA81F" w:rsidR="003F1FEB" w:rsidRPr="005D4222" w:rsidRDefault="003F1FEB" w:rsidP="009F6641">
            <w:pPr>
              <w:pStyle w:val="TableText"/>
              <w:rPr>
                <w:rFonts w:ascii="Arial" w:hAnsi="Arial" w:cs="Arial"/>
                <w:sz w:val="20"/>
                <w:szCs w:val="20"/>
              </w:rPr>
            </w:pPr>
            <w:r w:rsidRPr="005D4222">
              <w:rPr>
                <w:rFonts w:ascii="Arial" w:hAnsi="Arial" w:cs="Arial"/>
                <w:sz w:val="20"/>
                <w:szCs w:val="20"/>
              </w:rPr>
              <w:t>Middle Eastern or North African</w:t>
            </w:r>
          </w:p>
        </w:tc>
        <w:tc>
          <w:tcPr>
            <w:tcW w:w="3510"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tcPr>
          <w:p w14:paraId="6893D40A" w14:textId="21067AC1" w:rsidR="003F1FEB" w:rsidRPr="005D4222" w:rsidRDefault="003F1FEB" w:rsidP="009F6641">
            <w:pPr>
              <w:pStyle w:val="TableText"/>
              <w:rPr>
                <w:rFonts w:ascii="Arial" w:hAnsi="Arial" w:cs="Arial"/>
                <w:sz w:val="20"/>
                <w:szCs w:val="20"/>
              </w:rPr>
            </w:pPr>
            <w:r w:rsidRPr="005D4222">
              <w:rPr>
                <w:rFonts w:ascii="Arial" w:hAnsi="Arial" w:cs="Arial"/>
                <w:sz w:val="20"/>
                <w:szCs w:val="20"/>
              </w:rPr>
              <w:t>Middle Eastern or North African</w:t>
            </w:r>
          </w:p>
        </w:tc>
        <w:tc>
          <w:tcPr>
            <w:tcW w:w="2780"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tcPr>
          <w:p w14:paraId="0A3A6E56" w14:textId="6DE4E226" w:rsidR="003F1FEB" w:rsidRPr="005D4222" w:rsidRDefault="003F1FEB" w:rsidP="009F6641">
            <w:pPr>
              <w:pStyle w:val="TableText"/>
              <w:rPr>
                <w:rFonts w:ascii="Arial" w:hAnsi="Arial" w:cs="Arial"/>
                <w:sz w:val="20"/>
                <w:szCs w:val="20"/>
              </w:rPr>
            </w:pPr>
            <w:r w:rsidRPr="005D4222">
              <w:rPr>
                <w:rFonts w:ascii="Arial" w:hAnsi="Arial" w:cs="Arial"/>
                <w:sz w:val="20"/>
                <w:szCs w:val="20"/>
              </w:rPr>
              <w:t>Not Hispanic or Latino</w:t>
            </w:r>
          </w:p>
        </w:tc>
      </w:tr>
      <w:tr w:rsidR="00834FBA" w:rsidRPr="005D4222" w14:paraId="310B1055" w14:textId="77777777" w:rsidTr="009F6641">
        <w:trPr>
          <w:trHeight w:val="219"/>
        </w:trPr>
        <w:tc>
          <w:tcPr>
            <w:tcW w:w="3410" w:type="dxa"/>
            <w:tcBorders>
              <w:top w:val="single" w:sz="4" w:space="0" w:color="auto"/>
              <w:left w:val="single" w:sz="4" w:space="0" w:color="auto"/>
              <w:bottom w:val="single" w:sz="4" w:space="0" w:color="auto"/>
              <w:right w:val="single" w:sz="4" w:space="0" w:color="auto"/>
            </w:tcBorders>
            <w:tcMar>
              <w:left w:w="115" w:type="dxa"/>
            </w:tcMar>
            <w:hideMark/>
          </w:tcPr>
          <w:p w14:paraId="258A1CD0" w14:textId="48FC0ECC" w:rsidR="00834FBA" w:rsidRPr="005D4222" w:rsidRDefault="00834FBA" w:rsidP="009F6641">
            <w:pPr>
              <w:pStyle w:val="TableText"/>
              <w:rPr>
                <w:rFonts w:ascii="Arial" w:hAnsi="Arial" w:cs="Arial"/>
                <w:sz w:val="20"/>
                <w:szCs w:val="20"/>
              </w:rPr>
            </w:pPr>
            <w:r w:rsidRPr="005D4222">
              <w:rPr>
                <w:rFonts w:ascii="Arial" w:hAnsi="Arial" w:cs="Arial"/>
                <w:sz w:val="20"/>
                <w:szCs w:val="20"/>
              </w:rPr>
              <w:t xml:space="preserve">Native Hawaiian </w:t>
            </w:r>
            <w:r w:rsidR="0033490E" w:rsidRPr="005D4222">
              <w:rPr>
                <w:rFonts w:ascii="Arial" w:hAnsi="Arial" w:cs="Arial"/>
                <w:sz w:val="20"/>
                <w:szCs w:val="20"/>
              </w:rPr>
              <w:t>or</w:t>
            </w:r>
            <w:r w:rsidRPr="005D4222">
              <w:rPr>
                <w:rFonts w:ascii="Arial" w:hAnsi="Arial" w:cs="Arial"/>
                <w:sz w:val="20"/>
                <w:szCs w:val="20"/>
              </w:rPr>
              <w:t xml:space="preserve"> Pacific Islander</w:t>
            </w:r>
          </w:p>
        </w:tc>
        <w:tc>
          <w:tcPr>
            <w:tcW w:w="3510"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hideMark/>
          </w:tcPr>
          <w:p w14:paraId="3E8024AA" w14:textId="08D0882C" w:rsidR="00834FBA" w:rsidRPr="005D4222" w:rsidRDefault="00834FBA" w:rsidP="009F6641">
            <w:pPr>
              <w:pStyle w:val="TableText"/>
              <w:rPr>
                <w:rFonts w:ascii="Arial" w:hAnsi="Arial" w:cs="Arial"/>
                <w:sz w:val="20"/>
                <w:szCs w:val="20"/>
              </w:rPr>
            </w:pPr>
            <w:r w:rsidRPr="005D4222">
              <w:rPr>
                <w:rFonts w:ascii="Arial" w:hAnsi="Arial" w:cs="Arial"/>
                <w:sz w:val="20"/>
                <w:szCs w:val="20"/>
              </w:rPr>
              <w:t>Native Hawaiian or Pacific Islander</w:t>
            </w:r>
          </w:p>
        </w:tc>
        <w:tc>
          <w:tcPr>
            <w:tcW w:w="2780"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hideMark/>
          </w:tcPr>
          <w:p w14:paraId="550B6413"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Not Hispanic or Latino</w:t>
            </w:r>
          </w:p>
        </w:tc>
      </w:tr>
      <w:tr w:rsidR="00834FBA" w:rsidRPr="005D4222" w14:paraId="7136F10B" w14:textId="77777777" w:rsidTr="009F6641">
        <w:trPr>
          <w:trHeight w:val="219"/>
        </w:trPr>
        <w:tc>
          <w:tcPr>
            <w:tcW w:w="3410" w:type="dxa"/>
            <w:tcBorders>
              <w:top w:val="single" w:sz="4" w:space="0" w:color="auto"/>
              <w:left w:val="single" w:sz="4" w:space="0" w:color="auto"/>
              <w:bottom w:val="single" w:sz="4" w:space="0" w:color="auto"/>
              <w:right w:val="single" w:sz="4" w:space="0" w:color="auto"/>
            </w:tcBorders>
            <w:tcMar>
              <w:left w:w="115" w:type="dxa"/>
            </w:tcMar>
          </w:tcPr>
          <w:p w14:paraId="107E6825"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White</w:t>
            </w:r>
          </w:p>
        </w:tc>
        <w:tc>
          <w:tcPr>
            <w:tcW w:w="3510"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tcPr>
          <w:p w14:paraId="5C6E100F"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White</w:t>
            </w:r>
          </w:p>
        </w:tc>
        <w:tc>
          <w:tcPr>
            <w:tcW w:w="2780"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tcPr>
          <w:p w14:paraId="056AE745"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Not Hispanic or Latino</w:t>
            </w:r>
          </w:p>
        </w:tc>
      </w:tr>
      <w:tr w:rsidR="003F1FEB" w:rsidRPr="005D4222" w14:paraId="5E018D32" w14:textId="77777777" w:rsidTr="009F6641">
        <w:trPr>
          <w:trHeight w:val="219"/>
        </w:trPr>
        <w:tc>
          <w:tcPr>
            <w:tcW w:w="3410" w:type="dxa"/>
            <w:tcBorders>
              <w:top w:val="single" w:sz="4" w:space="0" w:color="auto"/>
              <w:left w:val="single" w:sz="4" w:space="0" w:color="auto"/>
              <w:bottom w:val="single" w:sz="4" w:space="0" w:color="auto"/>
              <w:right w:val="single" w:sz="4" w:space="0" w:color="auto"/>
            </w:tcBorders>
            <w:tcMar>
              <w:left w:w="115" w:type="dxa"/>
            </w:tcMar>
          </w:tcPr>
          <w:p w14:paraId="4AFD2BFF" w14:textId="6D0348B6" w:rsidR="003F1FEB" w:rsidRPr="005D4222" w:rsidRDefault="003F1FEB" w:rsidP="009F6641">
            <w:pPr>
              <w:pStyle w:val="TableText"/>
              <w:rPr>
                <w:rFonts w:ascii="Arial" w:hAnsi="Arial" w:cs="Arial"/>
                <w:sz w:val="20"/>
                <w:szCs w:val="20"/>
              </w:rPr>
            </w:pPr>
            <w:r w:rsidRPr="005D4222">
              <w:rPr>
                <w:rFonts w:ascii="Arial" w:hAnsi="Arial" w:cs="Arial"/>
                <w:sz w:val="20"/>
                <w:szCs w:val="20"/>
              </w:rPr>
              <w:t>Hispanic/Latino</w:t>
            </w:r>
          </w:p>
        </w:tc>
        <w:tc>
          <w:tcPr>
            <w:tcW w:w="3510"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tcPr>
          <w:p w14:paraId="6D8DB804" w14:textId="413FAE47" w:rsidR="003F1FEB" w:rsidRPr="005D4222" w:rsidRDefault="003F1FEB" w:rsidP="009F6641">
            <w:pPr>
              <w:pStyle w:val="TableText"/>
              <w:rPr>
                <w:rFonts w:ascii="Arial" w:hAnsi="Arial" w:cs="Arial"/>
                <w:sz w:val="20"/>
                <w:szCs w:val="20"/>
              </w:rPr>
            </w:pPr>
            <w:r w:rsidRPr="005D4222">
              <w:rPr>
                <w:rFonts w:ascii="Arial" w:hAnsi="Arial" w:cs="Arial"/>
                <w:sz w:val="20"/>
                <w:szCs w:val="20"/>
              </w:rPr>
              <w:t>Some Other Race</w:t>
            </w:r>
          </w:p>
        </w:tc>
        <w:tc>
          <w:tcPr>
            <w:tcW w:w="2780"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tcPr>
          <w:p w14:paraId="70D95E3F" w14:textId="51FA834D" w:rsidR="003F1FEB" w:rsidRPr="005D4222" w:rsidRDefault="003F1FEB" w:rsidP="009F6641">
            <w:pPr>
              <w:pStyle w:val="TableText"/>
              <w:rPr>
                <w:rFonts w:ascii="Arial" w:hAnsi="Arial" w:cs="Arial"/>
                <w:sz w:val="20"/>
                <w:szCs w:val="20"/>
              </w:rPr>
            </w:pPr>
            <w:r w:rsidRPr="005D4222">
              <w:rPr>
                <w:rFonts w:ascii="Arial" w:hAnsi="Arial" w:cs="Arial"/>
                <w:sz w:val="20"/>
                <w:szCs w:val="20"/>
              </w:rPr>
              <w:t>Hispanic or Latino</w:t>
            </w:r>
          </w:p>
        </w:tc>
      </w:tr>
      <w:tr w:rsidR="00834FBA" w:rsidRPr="005D4222" w14:paraId="78B80BD1" w14:textId="77777777" w:rsidTr="009F6641">
        <w:trPr>
          <w:trHeight w:val="219"/>
        </w:trPr>
        <w:tc>
          <w:tcPr>
            <w:tcW w:w="3410" w:type="dxa"/>
            <w:tcBorders>
              <w:top w:val="single" w:sz="4" w:space="0" w:color="auto"/>
              <w:left w:val="single" w:sz="4" w:space="0" w:color="auto"/>
              <w:bottom w:val="single" w:sz="4" w:space="0" w:color="auto"/>
              <w:right w:val="single" w:sz="4" w:space="0" w:color="auto"/>
            </w:tcBorders>
            <w:tcMar>
              <w:left w:w="115" w:type="dxa"/>
            </w:tcMar>
            <w:hideMark/>
          </w:tcPr>
          <w:p w14:paraId="63CA2EED"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Hispanic/Latino/Black</w:t>
            </w:r>
          </w:p>
        </w:tc>
        <w:tc>
          <w:tcPr>
            <w:tcW w:w="3510"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hideMark/>
          </w:tcPr>
          <w:p w14:paraId="5E7724B8" w14:textId="77777777" w:rsidR="00834FBA" w:rsidRPr="005D4222" w:rsidRDefault="00834FBA" w:rsidP="009F6641">
            <w:pPr>
              <w:pStyle w:val="TableText"/>
              <w:rPr>
                <w:rFonts w:ascii="Arial" w:hAnsi="Arial" w:cs="Arial"/>
                <w:strike/>
                <w:sz w:val="20"/>
                <w:szCs w:val="20"/>
              </w:rPr>
            </w:pPr>
            <w:r w:rsidRPr="005D4222">
              <w:rPr>
                <w:rFonts w:ascii="Arial" w:hAnsi="Arial" w:cs="Arial"/>
                <w:sz w:val="20"/>
                <w:szCs w:val="20"/>
              </w:rPr>
              <w:t>Black</w:t>
            </w:r>
          </w:p>
        </w:tc>
        <w:tc>
          <w:tcPr>
            <w:tcW w:w="2780"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hideMark/>
          </w:tcPr>
          <w:p w14:paraId="1BC892E5"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Hispanic or Latino</w:t>
            </w:r>
          </w:p>
        </w:tc>
      </w:tr>
      <w:tr w:rsidR="00834FBA" w:rsidRPr="005D4222" w14:paraId="737F1D6E" w14:textId="77777777" w:rsidTr="009F6641">
        <w:trPr>
          <w:trHeight w:val="219"/>
        </w:trPr>
        <w:tc>
          <w:tcPr>
            <w:tcW w:w="3410" w:type="dxa"/>
            <w:tcBorders>
              <w:top w:val="single" w:sz="4" w:space="0" w:color="auto"/>
              <w:left w:val="single" w:sz="4" w:space="0" w:color="auto"/>
              <w:bottom w:val="single" w:sz="4" w:space="0" w:color="auto"/>
              <w:right w:val="single" w:sz="4" w:space="0" w:color="auto"/>
            </w:tcBorders>
            <w:tcMar>
              <w:left w:w="115" w:type="dxa"/>
            </w:tcMar>
          </w:tcPr>
          <w:p w14:paraId="47AA4CB5"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Hispanic/Latino/White</w:t>
            </w:r>
          </w:p>
        </w:tc>
        <w:tc>
          <w:tcPr>
            <w:tcW w:w="3510"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tcPr>
          <w:p w14:paraId="6B4D984A"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White</w:t>
            </w:r>
          </w:p>
        </w:tc>
        <w:tc>
          <w:tcPr>
            <w:tcW w:w="2780"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tcPr>
          <w:p w14:paraId="1AD8353D"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Hispanic or Latino</w:t>
            </w:r>
          </w:p>
        </w:tc>
      </w:tr>
      <w:tr w:rsidR="00834FBA" w:rsidRPr="005D4222" w14:paraId="40A68C1D" w14:textId="77777777" w:rsidTr="009F6641">
        <w:trPr>
          <w:trHeight w:val="219"/>
        </w:trPr>
        <w:tc>
          <w:tcPr>
            <w:tcW w:w="3410" w:type="dxa"/>
            <w:tcBorders>
              <w:top w:val="single" w:sz="4" w:space="0" w:color="auto"/>
              <w:left w:val="single" w:sz="4" w:space="0" w:color="auto"/>
              <w:bottom w:val="single" w:sz="4" w:space="0" w:color="auto"/>
              <w:right w:val="single" w:sz="4" w:space="0" w:color="auto"/>
            </w:tcBorders>
            <w:tcMar>
              <w:left w:w="115" w:type="dxa"/>
            </w:tcMar>
            <w:hideMark/>
          </w:tcPr>
          <w:p w14:paraId="6E98EE9B"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Other</w:t>
            </w:r>
          </w:p>
        </w:tc>
        <w:tc>
          <w:tcPr>
            <w:tcW w:w="3510"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hideMark/>
          </w:tcPr>
          <w:p w14:paraId="7C06B501"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Some Other Race</w:t>
            </w:r>
          </w:p>
        </w:tc>
        <w:tc>
          <w:tcPr>
            <w:tcW w:w="2780"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hideMark/>
          </w:tcPr>
          <w:p w14:paraId="285ADB94" w14:textId="77777777" w:rsidR="00834FBA" w:rsidRPr="005D4222" w:rsidRDefault="00834FBA" w:rsidP="009F6641">
            <w:pPr>
              <w:pStyle w:val="TableText"/>
              <w:rPr>
                <w:rFonts w:ascii="Arial" w:eastAsia="Calibri" w:hAnsi="Arial" w:cs="Arial"/>
                <w:sz w:val="20"/>
                <w:szCs w:val="20"/>
              </w:rPr>
            </w:pPr>
            <w:r w:rsidRPr="005D4222">
              <w:rPr>
                <w:rFonts w:ascii="Arial" w:hAnsi="Arial" w:cs="Arial"/>
                <w:sz w:val="20"/>
                <w:szCs w:val="20"/>
              </w:rPr>
              <w:t>Unknown</w:t>
            </w:r>
          </w:p>
        </w:tc>
      </w:tr>
      <w:tr w:rsidR="00834FBA" w:rsidRPr="005D4222" w14:paraId="77D7D894" w14:textId="77777777" w:rsidTr="009F6641">
        <w:trPr>
          <w:trHeight w:val="219"/>
        </w:trPr>
        <w:tc>
          <w:tcPr>
            <w:tcW w:w="3410" w:type="dxa"/>
            <w:tcBorders>
              <w:top w:val="single" w:sz="4" w:space="0" w:color="auto"/>
              <w:left w:val="single" w:sz="4" w:space="0" w:color="auto"/>
              <w:bottom w:val="single" w:sz="4" w:space="0" w:color="auto"/>
              <w:right w:val="single" w:sz="4" w:space="0" w:color="auto"/>
            </w:tcBorders>
            <w:tcMar>
              <w:left w:w="115" w:type="dxa"/>
            </w:tcMar>
            <w:hideMark/>
          </w:tcPr>
          <w:p w14:paraId="505A1C16"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Multiple races marked</w:t>
            </w:r>
          </w:p>
        </w:tc>
        <w:tc>
          <w:tcPr>
            <w:tcW w:w="3510"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hideMark/>
          </w:tcPr>
          <w:p w14:paraId="2BF452E2"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Two or More Races</w:t>
            </w:r>
          </w:p>
        </w:tc>
        <w:tc>
          <w:tcPr>
            <w:tcW w:w="2780"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hideMark/>
          </w:tcPr>
          <w:p w14:paraId="571C683D" w14:textId="77777777" w:rsidR="00834FBA" w:rsidRPr="005D4222" w:rsidRDefault="00834FBA" w:rsidP="009F6641">
            <w:pPr>
              <w:pStyle w:val="TableText"/>
              <w:rPr>
                <w:rFonts w:ascii="Arial" w:eastAsia="Calibri" w:hAnsi="Arial" w:cs="Arial"/>
                <w:sz w:val="20"/>
                <w:szCs w:val="20"/>
              </w:rPr>
            </w:pPr>
            <w:r w:rsidRPr="005D4222">
              <w:rPr>
                <w:rFonts w:ascii="Arial" w:hAnsi="Arial" w:cs="Arial"/>
                <w:sz w:val="20"/>
                <w:szCs w:val="20"/>
              </w:rPr>
              <w:t>Unknown</w:t>
            </w:r>
          </w:p>
        </w:tc>
      </w:tr>
      <w:tr w:rsidR="00834FBA" w:rsidRPr="005D4222" w14:paraId="50846BFD" w14:textId="77777777" w:rsidTr="009F6641">
        <w:trPr>
          <w:trHeight w:val="60"/>
        </w:trPr>
        <w:tc>
          <w:tcPr>
            <w:tcW w:w="3410" w:type="dxa"/>
            <w:tcBorders>
              <w:top w:val="single" w:sz="4" w:space="0" w:color="auto"/>
              <w:left w:val="single" w:sz="4" w:space="0" w:color="auto"/>
              <w:bottom w:val="single" w:sz="4" w:space="0" w:color="auto"/>
              <w:right w:val="single" w:sz="4" w:space="0" w:color="auto"/>
            </w:tcBorders>
            <w:tcMar>
              <w:left w:w="115" w:type="dxa"/>
            </w:tcMar>
            <w:hideMark/>
          </w:tcPr>
          <w:p w14:paraId="2E9C9F9A"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Unknown</w:t>
            </w:r>
          </w:p>
        </w:tc>
        <w:tc>
          <w:tcPr>
            <w:tcW w:w="3510"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hideMark/>
          </w:tcPr>
          <w:p w14:paraId="49A397E8"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Unknown</w:t>
            </w:r>
          </w:p>
        </w:tc>
        <w:tc>
          <w:tcPr>
            <w:tcW w:w="2780" w:type="dxa"/>
            <w:tcBorders>
              <w:top w:val="single" w:sz="4" w:space="0" w:color="auto"/>
              <w:left w:val="single" w:sz="4" w:space="0" w:color="auto"/>
              <w:bottom w:val="single" w:sz="4" w:space="0" w:color="auto"/>
              <w:right w:val="single" w:sz="4" w:space="0" w:color="auto"/>
            </w:tcBorders>
            <w:noWrap/>
            <w:tcMar>
              <w:top w:w="19" w:type="dxa"/>
              <w:left w:w="115" w:type="dxa"/>
              <w:bottom w:w="0" w:type="dxa"/>
              <w:right w:w="19" w:type="dxa"/>
            </w:tcMar>
            <w:hideMark/>
          </w:tcPr>
          <w:p w14:paraId="24078BA1" w14:textId="77777777" w:rsidR="00834FBA" w:rsidRPr="005D4222" w:rsidRDefault="00834FBA" w:rsidP="009F6641">
            <w:pPr>
              <w:pStyle w:val="TableText"/>
              <w:rPr>
                <w:rFonts w:ascii="Arial" w:eastAsia="Calibri" w:hAnsi="Arial" w:cs="Arial"/>
                <w:sz w:val="20"/>
                <w:szCs w:val="20"/>
              </w:rPr>
            </w:pPr>
            <w:r w:rsidRPr="005D4222">
              <w:rPr>
                <w:rFonts w:ascii="Arial" w:hAnsi="Arial" w:cs="Arial"/>
                <w:sz w:val="20"/>
                <w:szCs w:val="20"/>
              </w:rPr>
              <w:t>Unknown</w:t>
            </w:r>
          </w:p>
        </w:tc>
      </w:tr>
    </w:tbl>
    <w:p w14:paraId="032FB436" w14:textId="4C0138E9" w:rsidR="00834FBA" w:rsidRPr="005D4222" w:rsidRDefault="00834FBA" w:rsidP="00834FBA">
      <w:pPr>
        <w:pStyle w:val="Heading3"/>
      </w:pPr>
      <w:r w:rsidRPr="005D4222">
        <w:t xml:space="preserve">Table RES-C-1/2/3: HEDIS/OMB Race Crosswalked for Use With HEDIS Reporting Categories </w:t>
      </w:r>
    </w:p>
    <w:tbl>
      <w:tblPr>
        <w:tblW w:w="9705" w:type="dxa"/>
        <w:tblInd w:w="2" w:type="dxa"/>
        <w:tblLayout w:type="fixed"/>
        <w:tblCellMar>
          <w:left w:w="0" w:type="dxa"/>
          <w:right w:w="0" w:type="dxa"/>
        </w:tblCellMar>
        <w:tblLook w:val="04A0" w:firstRow="1" w:lastRow="0" w:firstColumn="1" w:lastColumn="0" w:noHBand="0" w:noVBand="1"/>
      </w:tblPr>
      <w:tblGrid>
        <w:gridCol w:w="3227"/>
        <w:gridCol w:w="2807"/>
        <w:gridCol w:w="3671"/>
      </w:tblGrid>
      <w:tr w:rsidR="00834FBA" w:rsidRPr="005D4222" w14:paraId="2889EAB9" w14:textId="77777777" w:rsidTr="009F6641">
        <w:trPr>
          <w:trHeight w:val="206"/>
          <w:tblHeader/>
        </w:trPr>
        <w:tc>
          <w:tcPr>
            <w:tcW w:w="3227" w:type="dxa"/>
            <w:tcBorders>
              <w:top w:val="single" w:sz="6" w:space="0" w:color="auto"/>
              <w:left w:val="single" w:sz="4" w:space="0" w:color="auto"/>
              <w:bottom w:val="single" w:sz="4" w:space="0" w:color="auto"/>
              <w:right w:val="single" w:sz="6" w:space="0" w:color="FFFFFF" w:themeColor="background1"/>
            </w:tcBorders>
            <w:shd w:val="clear" w:color="auto" w:fill="000000" w:themeFill="text1"/>
            <w:noWrap/>
            <w:tcMar>
              <w:top w:w="19" w:type="dxa"/>
              <w:left w:w="86" w:type="dxa"/>
              <w:bottom w:w="0" w:type="dxa"/>
              <w:right w:w="86" w:type="dxa"/>
            </w:tcMar>
            <w:vAlign w:val="bottom"/>
            <w:hideMark/>
          </w:tcPr>
          <w:p w14:paraId="5821334A" w14:textId="77777777" w:rsidR="00834FBA" w:rsidRPr="005D4222" w:rsidRDefault="00834FBA" w:rsidP="009F6641">
            <w:pPr>
              <w:pStyle w:val="TableHead"/>
              <w:rPr>
                <w:rFonts w:ascii="Arial" w:hAnsi="Arial" w:cs="Arial"/>
                <w:color w:val="auto"/>
                <w:sz w:val="20"/>
              </w:rPr>
            </w:pPr>
            <w:r w:rsidRPr="005D4222">
              <w:rPr>
                <w:rFonts w:ascii="Arial" w:hAnsi="Arial" w:cs="Arial"/>
                <w:color w:val="auto"/>
                <w:sz w:val="20"/>
              </w:rPr>
              <w:t>HEDIS/OMB Race</w:t>
            </w:r>
          </w:p>
        </w:tc>
        <w:tc>
          <w:tcPr>
            <w:tcW w:w="2807" w:type="dxa"/>
            <w:tcBorders>
              <w:top w:val="single" w:sz="6" w:space="0" w:color="auto"/>
              <w:left w:val="single" w:sz="6" w:space="0" w:color="FFFFFF" w:themeColor="background1"/>
              <w:bottom w:val="single" w:sz="4" w:space="0" w:color="auto"/>
              <w:right w:val="single" w:sz="4" w:space="0" w:color="FFFFFF" w:themeColor="background1"/>
            </w:tcBorders>
            <w:shd w:val="clear" w:color="auto" w:fill="000000" w:themeFill="text1"/>
            <w:noWrap/>
            <w:tcMar>
              <w:top w:w="19" w:type="dxa"/>
              <w:left w:w="86" w:type="dxa"/>
              <w:bottom w:w="0" w:type="dxa"/>
              <w:right w:w="86" w:type="dxa"/>
            </w:tcMar>
            <w:vAlign w:val="bottom"/>
          </w:tcPr>
          <w:p w14:paraId="0CB97627" w14:textId="77777777" w:rsidR="00834FBA" w:rsidRPr="005D4222" w:rsidRDefault="00834FBA" w:rsidP="009F6641">
            <w:pPr>
              <w:pStyle w:val="TableHead"/>
              <w:rPr>
                <w:rFonts w:ascii="Arial" w:hAnsi="Arial" w:cs="Arial"/>
                <w:color w:val="auto"/>
                <w:sz w:val="20"/>
              </w:rPr>
            </w:pPr>
            <w:r w:rsidRPr="005D4222">
              <w:rPr>
                <w:rFonts w:ascii="Arial" w:hAnsi="Arial" w:cs="Arial"/>
                <w:color w:val="auto"/>
                <w:sz w:val="20"/>
              </w:rPr>
              <w:t>CDCREC OMB Category:</w:t>
            </w:r>
            <w:r w:rsidRPr="005D4222">
              <w:rPr>
                <w:rFonts w:ascii="Arial" w:hAnsi="Arial" w:cs="Arial"/>
                <w:color w:val="auto"/>
                <w:sz w:val="20"/>
              </w:rPr>
              <w:br/>
              <w:t>Direct Reference Code*</w:t>
            </w:r>
          </w:p>
        </w:tc>
        <w:tc>
          <w:tcPr>
            <w:tcW w:w="3671" w:type="dxa"/>
            <w:tcBorders>
              <w:top w:val="single" w:sz="6" w:space="0" w:color="auto"/>
              <w:left w:val="single" w:sz="4" w:space="0" w:color="FFFFFF" w:themeColor="background1"/>
              <w:bottom w:val="single" w:sz="4" w:space="0" w:color="auto"/>
              <w:right w:val="single" w:sz="8" w:space="0" w:color="auto"/>
            </w:tcBorders>
            <w:shd w:val="clear" w:color="auto" w:fill="000000" w:themeFill="text1"/>
            <w:tcMar>
              <w:left w:w="86" w:type="dxa"/>
              <w:right w:w="86" w:type="dxa"/>
            </w:tcMar>
          </w:tcPr>
          <w:p w14:paraId="41F67F99" w14:textId="77777777" w:rsidR="00834FBA" w:rsidRPr="005D4222" w:rsidRDefault="00834FBA" w:rsidP="009F6641">
            <w:pPr>
              <w:pStyle w:val="TableHead"/>
              <w:rPr>
                <w:rFonts w:ascii="Arial" w:hAnsi="Arial" w:cs="Arial"/>
                <w:color w:val="auto"/>
                <w:sz w:val="20"/>
              </w:rPr>
            </w:pPr>
            <w:r w:rsidRPr="005D4222">
              <w:rPr>
                <w:rFonts w:ascii="Arial" w:hAnsi="Arial" w:cs="Arial"/>
                <w:color w:val="auto"/>
                <w:sz w:val="20"/>
              </w:rPr>
              <w:t>CDCREC Detailed Category:</w:t>
            </w:r>
            <w:r w:rsidRPr="005D4222">
              <w:rPr>
                <w:rFonts w:ascii="Arial" w:hAnsi="Arial" w:cs="Arial"/>
                <w:color w:val="auto"/>
                <w:sz w:val="20"/>
              </w:rPr>
              <w:br/>
              <w:t>Value Set</w:t>
            </w:r>
          </w:p>
        </w:tc>
      </w:tr>
      <w:tr w:rsidR="00834FBA" w:rsidRPr="005D4222" w14:paraId="74418258" w14:textId="77777777" w:rsidTr="009F6641">
        <w:trPr>
          <w:trHeight w:val="206"/>
        </w:trPr>
        <w:tc>
          <w:tcPr>
            <w:tcW w:w="3227" w:type="dxa"/>
            <w:tcBorders>
              <w:top w:val="single" w:sz="4" w:space="0" w:color="auto"/>
              <w:left w:val="single" w:sz="4" w:space="0" w:color="auto"/>
              <w:bottom w:val="single" w:sz="4" w:space="0" w:color="auto"/>
              <w:right w:val="single" w:sz="4" w:space="0" w:color="auto"/>
            </w:tcBorders>
            <w:noWrap/>
            <w:tcMar>
              <w:top w:w="19" w:type="dxa"/>
              <w:left w:w="86" w:type="dxa"/>
              <w:bottom w:w="0" w:type="dxa"/>
              <w:right w:w="86" w:type="dxa"/>
            </w:tcMar>
            <w:hideMark/>
          </w:tcPr>
          <w:p w14:paraId="4DFE8263"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American Indian or Alaska Native</w:t>
            </w:r>
          </w:p>
        </w:tc>
        <w:tc>
          <w:tcPr>
            <w:tcW w:w="2807" w:type="dxa"/>
            <w:tcBorders>
              <w:top w:val="single" w:sz="4" w:space="0" w:color="auto"/>
              <w:left w:val="single" w:sz="4" w:space="0" w:color="auto"/>
              <w:bottom w:val="single" w:sz="4" w:space="0" w:color="auto"/>
              <w:right w:val="single" w:sz="4" w:space="0" w:color="auto"/>
            </w:tcBorders>
            <w:noWrap/>
            <w:tcMar>
              <w:top w:w="19" w:type="dxa"/>
              <w:left w:w="86" w:type="dxa"/>
              <w:bottom w:w="0" w:type="dxa"/>
              <w:right w:w="86" w:type="dxa"/>
            </w:tcMar>
          </w:tcPr>
          <w:p w14:paraId="37DCFF3C" w14:textId="77777777" w:rsidR="00834FBA" w:rsidRPr="005D4222" w:rsidRDefault="00834FBA" w:rsidP="009F6641">
            <w:pPr>
              <w:pStyle w:val="TableText"/>
              <w:rPr>
                <w:rFonts w:ascii="Arial" w:hAnsi="Arial" w:cs="Arial"/>
                <w:strike/>
                <w:sz w:val="20"/>
                <w:szCs w:val="20"/>
              </w:rPr>
            </w:pPr>
            <w:r w:rsidRPr="005D4222">
              <w:rPr>
                <w:rFonts w:ascii="Arial" w:hAnsi="Arial" w:cs="Arial"/>
                <w:sz w:val="20"/>
                <w:szCs w:val="20"/>
              </w:rPr>
              <w:t>1002-5</w:t>
            </w:r>
          </w:p>
        </w:tc>
        <w:tc>
          <w:tcPr>
            <w:tcW w:w="3671" w:type="dxa"/>
            <w:tcBorders>
              <w:top w:val="single" w:sz="4" w:space="0" w:color="auto"/>
              <w:left w:val="single" w:sz="4" w:space="0" w:color="auto"/>
              <w:bottom w:val="single" w:sz="4" w:space="0" w:color="auto"/>
              <w:right w:val="single" w:sz="4" w:space="0" w:color="auto"/>
            </w:tcBorders>
            <w:tcMar>
              <w:left w:w="86" w:type="dxa"/>
              <w:right w:w="86" w:type="dxa"/>
            </w:tcMar>
          </w:tcPr>
          <w:p w14:paraId="34387086"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u w:val="single"/>
              </w:rPr>
              <w:t>American Indian or Alaska Native Detailed Race Value Set</w:t>
            </w:r>
          </w:p>
        </w:tc>
      </w:tr>
      <w:tr w:rsidR="00834FBA" w:rsidRPr="005D4222" w14:paraId="1C1EBD79" w14:textId="77777777" w:rsidTr="009F6641">
        <w:trPr>
          <w:trHeight w:val="206"/>
        </w:trPr>
        <w:tc>
          <w:tcPr>
            <w:tcW w:w="3227" w:type="dxa"/>
            <w:tcBorders>
              <w:top w:val="single" w:sz="4" w:space="0" w:color="auto"/>
              <w:left w:val="single" w:sz="4" w:space="0" w:color="auto"/>
              <w:bottom w:val="single" w:sz="4" w:space="0" w:color="auto"/>
              <w:right w:val="single" w:sz="4" w:space="0" w:color="auto"/>
            </w:tcBorders>
            <w:noWrap/>
            <w:tcMar>
              <w:top w:w="19" w:type="dxa"/>
              <w:left w:w="86" w:type="dxa"/>
              <w:bottom w:w="0" w:type="dxa"/>
              <w:right w:w="86" w:type="dxa"/>
            </w:tcMar>
            <w:hideMark/>
          </w:tcPr>
          <w:p w14:paraId="1032569E"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Asian</w:t>
            </w:r>
          </w:p>
        </w:tc>
        <w:tc>
          <w:tcPr>
            <w:tcW w:w="2807" w:type="dxa"/>
            <w:tcBorders>
              <w:top w:val="single" w:sz="4" w:space="0" w:color="auto"/>
              <w:left w:val="single" w:sz="4" w:space="0" w:color="auto"/>
              <w:bottom w:val="single" w:sz="4" w:space="0" w:color="auto"/>
              <w:right w:val="single" w:sz="4" w:space="0" w:color="auto"/>
            </w:tcBorders>
            <w:noWrap/>
            <w:tcMar>
              <w:top w:w="19" w:type="dxa"/>
              <w:left w:w="86" w:type="dxa"/>
              <w:bottom w:w="0" w:type="dxa"/>
              <w:right w:w="86" w:type="dxa"/>
            </w:tcMar>
          </w:tcPr>
          <w:p w14:paraId="7631AD8F"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2028-9</w:t>
            </w:r>
          </w:p>
        </w:tc>
        <w:tc>
          <w:tcPr>
            <w:tcW w:w="3671" w:type="dxa"/>
            <w:tcBorders>
              <w:top w:val="single" w:sz="4" w:space="0" w:color="auto"/>
              <w:left w:val="single" w:sz="4" w:space="0" w:color="auto"/>
              <w:bottom w:val="single" w:sz="4" w:space="0" w:color="auto"/>
              <w:right w:val="single" w:sz="4" w:space="0" w:color="auto"/>
            </w:tcBorders>
            <w:tcMar>
              <w:left w:w="86" w:type="dxa"/>
              <w:right w:w="86" w:type="dxa"/>
            </w:tcMar>
          </w:tcPr>
          <w:p w14:paraId="6ADC2FB2"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u w:val="single"/>
              </w:rPr>
              <w:t>Asian Detailed Race Value Set</w:t>
            </w:r>
          </w:p>
        </w:tc>
      </w:tr>
      <w:tr w:rsidR="00834FBA" w:rsidRPr="005D4222" w14:paraId="5E92A955" w14:textId="77777777" w:rsidTr="009F6641">
        <w:trPr>
          <w:trHeight w:val="206"/>
        </w:trPr>
        <w:tc>
          <w:tcPr>
            <w:tcW w:w="3227" w:type="dxa"/>
            <w:tcBorders>
              <w:top w:val="single" w:sz="4" w:space="0" w:color="auto"/>
              <w:left w:val="single" w:sz="4" w:space="0" w:color="auto"/>
              <w:bottom w:val="single" w:sz="4" w:space="0" w:color="auto"/>
              <w:right w:val="single" w:sz="4" w:space="0" w:color="auto"/>
            </w:tcBorders>
            <w:noWrap/>
            <w:tcMar>
              <w:top w:w="19" w:type="dxa"/>
              <w:left w:w="86" w:type="dxa"/>
              <w:bottom w:w="0" w:type="dxa"/>
              <w:right w:w="86" w:type="dxa"/>
            </w:tcMar>
          </w:tcPr>
          <w:p w14:paraId="62577D88"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Black</w:t>
            </w:r>
          </w:p>
        </w:tc>
        <w:tc>
          <w:tcPr>
            <w:tcW w:w="2807" w:type="dxa"/>
            <w:tcBorders>
              <w:top w:val="single" w:sz="4" w:space="0" w:color="auto"/>
              <w:left w:val="single" w:sz="4" w:space="0" w:color="auto"/>
              <w:bottom w:val="single" w:sz="4" w:space="0" w:color="auto"/>
              <w:right w:val="single" w:sz="4" w:space="0" w:color="auto"/>
            </w:tcBorders>
            <w:noWrap/>
            <w:tcMar>
              <w:top w:w="19" w:type="dxa"/>
              <w:left w:w="86" w:type="dxa"/>
              <w:bottom w:w="0" w:type="dxa"/>
              <w:right w:w="86" w:type="dxa"/>
            </w:tcMar>
          </w:tcPr>
          <w:p w14:paraId="5177BB8C"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2054-5</w:t>
            </w:r>
          </w:p>
        </w:tc>
        <w:tc>
          <w:tcPr>
            <w:tcW w:w="3671" w:type="dxa"/>
            <w:tcBorders>
              <w:top w:val="single" w:sz="4" w:space="0" w:color="auto"/>
              <w:left w:val="single" w:sz="4" w:space="0" w:color="auto"/>
              <w:bottom w:val="single" w:sz="4" w:space="0" w:color="auto"/>
              <w:right w:val="single" w:sz="4" w:space="0" w:color="auto"/>
            </w:tcBorders>
            <w:tcMar>
              <w:left w:w="86" w:type="dxa"/>
              <w:right w:w="86" w:type="dxa"/>
            </w:tcMar>
          </w:tcPr>
          <w:p w14:paraId="7962CE56" w14:textId="77777777" w:rsidR="00834FBA" w:rsidRPr="005D4222" w:rsidRDefault="00834FBA" w:rsidP="009F6641">
            <w:pPr>
              <w:pStyle w:val="TableText"/>
              <w:rPr>
                <w:rFonts w:ascii="Arial" w:hAnsi="Arial" w:cs="Arial"/>
                <w:sz w:val="20"/>
                <w:szCs w:val="20"/>
                <w:u w:val="single"/>
              </w:rPr>
            </w:pPr>
            <w:r w:rsidRPr="005D4222">
              <w:rPr>
                <w:rFonts w:ascii="Arial" w:hAnsi="Arial" w:cs="Arial"/>
                <w:sz w:val="20"/>
                <w:szCs w:val="20"/>
                <w:u w:val="single"/>
              </w:rPr>
              <w:t>Black or African American Detailed Race Value Set</w:t>
            </w:r>
          </w:p>
        </w:tc>
      </w:tr>
      <w:tr w:rsidR="00E1032B" w:rsidRPr="005D4222" w14:paraId="6FF2A39D" w14:textId="77777777" w:rsidTr="009F6641">
        <w:trPr>
          <w:trHeight w:val="206"/>
        </w:trPr>
        <w:tc>
          <w:tcPr>
            <w:tcW w:w="3227" w:type="dxa"/>
            <w:tcBorders>
              <w:top w:val="single" w:sz="4" w:space="0" w:color="auto"/>
              <w:left w:val="single" w:sz="4" w:space="0" w:color="auto"/>
              <w:bottom w:val="single" w:sz="4" w:space="0" w:color="auto"/>
              <w:right w:val="single" w:sz="4" w:space="0" w:color="auto"/>
            </w:tcBorders>
            <w:noWrap/>
            <w:tcMar>
              <w:top w:w="19" w:type="dxa"/>
              <w:left w:w="86" w:type="dxa"/>
              <w:bottom w:w="0" w:type="dxa"/>
              <w:right w:w="86" w:type="dxa"/>
            </w:tcMar>
          </w:tcPr>
          <w:p w14:paraId="04114C43" w14:textId="25FEAB0C" w:rsidR="00E1032B" w:rsidRPr="005D4222" w:rsidRDefault="00E1032B" w:rsidP="009F6641">
            <w:pPr>
              <w:pStyle w:val="TableText"/>
              <w:rPr>
                <w:rFonts w:ascii="Arial" w:hAnsi="Arial" w:cs="Arial"/>
                <w:sz w:val="20"/>
                <w:szCs w:val="20"/>
              </w:rPr>
            </w:pPr>
            <w:r w:rsidRPr="005D4222">
              <w:rPr>
                <w:rFonts w:ascii="Arial" w:hAnsi="Arial" w:cs="Arial"/>
                <w:sz w:val="20"/>
                <w:szCs w:val="20"/>
              </w:rPr>
              <w:t>Middle Eastern or North African</w:t>
            </w:r>
          </w:p>
        </w:tc>
        <w:tc>
          <w:tcPr>
            <w:tcW w:w="2807" w:type="dxa"/>
            <w:tcBorders>
              <w:top w:val="single" w:sz="4" w:space="0" w:color="auto"/>
              <w:left w:val="single" w:sz="4" w:space="0" w:color="auto"/>
              <w:bottom w:val="single" w:sz="4" w:space="0" w:color="auto"/>
              <w:right w:val="single" w:sz="4" w:space="0" w:color="auto"/>
            </w:tcBorders>
            <w:noWrap/>
            <w:tcMar>
              <w:top w:w="19" w:type="dxa"/>
              <w:left w:w="86" w:type="dxa"/>
              <w:bottom w:w="0" w:type="dxa"/>
              <w:right w:w="86" w:type="dxa"/>
            </w:tcMar>
          </w:tcPr>
          <w:p w14:paraId="26A75D7D" w14:textId="11E087F9" w:rsidR="00E1032B" w:rsidRPr="005D4222" w:rsidRDefault="00941778" w:rsidP="009F6641">
            <w:pPr>
              <w:pStyle w:val="TableText"/>
              <w:rPr>
                <w:rFonts w:ascii="Arial" w:hAnsi="Arial" w:cs="Arial"/>
                <w:sz w:val="20"/>
                <w:szCs w:val="20"/>
              </w:rPr>
            </w:pPr>
            <w:r w:rsidRPr="005D4222">
              <w:rPr>
                <w:rFonts w:ascii="Arial" w:hAnsi="Arial" w:cs="Arial"/>
                <w:sz w:val="20"/>
                <w:szCs w:val="20"/>
              </w:rPr>
              <w:t>NA</w:t>
            </w:r>
          </w:p>
        </w:tc>
        <w:tc>
          <w:tcPr>
            <w:tcW w:w="3671" w:type="dxa"/>
            <w:tcBorders>
              <w:top w:val="single" w:sz="4" w:space="0" w:color="auto"/>
              <w:left w:val="single" w:sz="4" w:space="0" w:color="auto"/>
              <w:bottom w:val="single" w:sz="4" w:space="0" w:color="auto"/>
              <w:right w:val="single" w:sz="4" w:space="0" w:color="auto"/>
            </w:tcBorders>
            <w:tcMar>
              <w:left w:w="86" w:type="dxa"/>
              <w:right w:w="86" w:type="dxa"/>
            </w:tcMar>
          </w:tcPr>
          <w:p w14:paraId="7DBA5242" w14:textId="4F2A413F" w:rsidR="00E1032B" w:rsidRPr="005D4222" w:rsidRDefault="00E1032B" w:rsidP="009F6641">
            <w:pPr>
              <w:pStyle w:val="TableText"/>
              <w:rPr>
                <w:rFonts w:ascii="Arial" w:hAnsi="Arial" w:cs="Arial"/>
                <w:sz w:val="20"/>
                <w:szCs w:val="20"/>
                <w:u w:val="single"/>
              </w:rPr>
            </w:pPr>
            <w:r w:rsidRPr="005D4222">
              <w:rPr>
                <w:rFonts w:ascii="Arial" w:hAnsi="Arial" w:cs="Arial"/>
                <w:sz w:val="20"/>
                <w:szCs w:val="20"/>
                <w:u w:val="single"/>
              </w:rPr>
              <w:t>Middle Eastern or North African Detailed Race Value Set</w:t>
            </w:r>
          </w:p>
        </w:tc>
      </w:tr>
      <w:tr w:rsidR="00834FBA" w:rsidRPr="005D4222" w14:paraId="64E5B26F" w14:textId="77777777" w:rsidTr="009F6641">
        <w:trPr>
          <w:trHeight w:val="219"/>
        </w:trPr>
        <w:tc>
          <w:tcPr>
            <w:tcW w:w="3227" w:type="dxa"/>
            <w:tcBorders>
              <w:top w:val="single" w:sz="4" w:space="0" w:color="auto"/>
              <w:left w:val="single" w:sz="4" w:space="0" w:color="auto"/>
              <w:bottom w:val="single" w:sz="4" w:space="0" w:color="auto"/>
              <w:right w:val="single" w:sz="4" w:space="0" w:color="auto"/>
            </w:tcBorders>
            <w:noWrap/>
            <w:tcMar>
              <w:top w:w="19" w:type="dxa"/>
              <w:left w:w="86" w:type="dxa"/>
              <w:bottom w:w="0" w:type="dxa"/>
              <w:right w:w="86" w:type="dxa"/>
            </w:tcMar>
            <w:hideMark/>
          </w:tcPr>
          <w:p w14:paraId="3B7717E4" w14:textId="6F527207" w:rsidR="00834FBA" w:rsidRPr="005D4222" w:rsidRDefault="00834FBA" w:rsidP="009F6641">
            <w:pPr>
              <w:pStyle w:val="TableText"/>
              <w:rPr>
                <w:rFonts w:ascii="Arial" w:hAnsi="Arial" w:cs="Arial"/>
                <w:sz w:val="20"/>
                <w:szCs w:val="20"/>
              </w:rPr>
            </w:pPr>
            <w:r w:rsidRPr="005D4222">
              <w:rPr>
                <w:rFonts w:ascii="Arial" w:hAnsi="Arial" w:cs="Arial"/>
                <w:sz w:val="20"/>
                <w:szCs w:val="20"/>
              </w:rPr>
              <w:t>Native Hawaiian or</w:t>
            </w:r>
            <w:r w:rsidR="00014358" w:rsidRPr="005D4222">
              <w:rPr>
                <w:rFonts w:ascii="Arial" w:hAnsi="Arial" w:cs="Arial"/>
                <w:sz w:val="20"/>
                <w:szCs w:val="20"/>
              </w:rPr>
              <w:t xml:space="preserve"> </w:t>
            </w:r>
            <w:r w:rsidRPr="005D4222">
              <w:rPr>
                <w:rFonts w:ascii="Arial" w:hAnsi="Arial" w:cs="Arial"/>
                <w:sz w:val="20"/>
                <w:szCs w:val="20"/>
              </w:rPr>
              <w:t>Pacific Islander</w:t>
            </w:r>
          </w:p>
        </w:tc>
        <w:tc>
          <w:tcPr>
            <w:tcW w:w="2807" w:type="dxa"/>
            <w:tcBorders>
              <w:top w:val="single" w:sz="4" w:space="0" w:color="auto"/>
              <w:left w:val="single" w:sz="4" w:space="0" w:color="auto"/>
              <w:bottom w:val="single" w:sz="4" w:space="0" w:color="auto"/>
              <w:right w:val="single" w:sz="4" w:space="0" w:color="auto"/>
            </w:tcBorders>
            <w:noWrap/>
            <w:tcMar>
              <w:top w:w="19" w:type="dxa"/>
              <w:left w:w="86" w:type="dxa"/>
              <w:bottom w:w="0" w:type="dxa"/>
              <w:right w:w="86" w:type="dxa"/>
            </w:tcMar>
          </w:tcPr>
          <w:p w14:paraId="62DC62E3"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2076-8</w:t>
            </w:r>
          </w:p>
        </w:tc>
        <w:tc>
          <w:tcPr>
            <w:tcW w:w="3671" w:type="dxa"/>
            <w:tcBorders>
              <w:top w:val="single" w:sz="4" w:space="0" w:color="auto"/>
              <w:left w:val="single" w:sz="4" w:space="0" w:color="auto"/>
              <w:bottom w:val="single" w:sz="4" w:space="0" w:color="auto"/>
              <w:right w:val="single" w:sz="4" w:space="0" w:color="auto"/>
            </w:tcBorders>
            <w:tcMar>
              <w:left w:w="86" w:type="dxa"/>
              <w:right w:w="86" w:type="dxa"/>
            </w:tcMar>
          </w:tcPr>
          <w:p w14:paraId="3BCA8F3C" w14:textId="56BDE87B" w:rsidR="00834FBA" w:rsidRPr="005D4222" w:rsidRDefault="00834FBA" w:rsidP="009F6641">
            <w:pPr>
              <w:pStyle w:val="TableText"/>
              <w:rPr>
                <w:rFonts w:ascii="Arial" w:hAnsi="Arial" w:cs="Arial"/>
                <w:sz w:val="20"/>
                <w:szCs w:val="20"/>
                <w:u w:val="single"/>
              </w:rPr>
            </w:pPr>
            <w:r w:rsidRPr="005D4222">
              <w:rPr>
                <w:rFonts w:ascii="Arial" w:hAnsi="Arial" w:cs="Arial"/>
                <w:sz w:val="20"/>
                <w:szCs w:val="20"/>
                <w:u w:val="single"/>
              </w:rPr>
              <w:t>Native Hawaiian or</w:t>
            </w:r>
            <w:r w:rsidR="00014358" w:rsidRPr="005D4222">
              <w:rPr>
                <w:rFonts w:ascii="Arial" w:hAnsi="Arial" w:cs="Arial"/>
                <w:sz w:val="20"/>
                <w:szCs w:val="20"/>
                <w:u w:val="single"/>
              </w:rPr>
              <w:t xml:space="preserve"> </w:t>
            </w:r>
            <w:r w:rsidRPr="005D4222">
              <w:rPr>
                <w:rFonts w:ascii="Arial" w:hAnsi="Arial" w:cs="Arial"/>
                <w:sz w:val="20"/>
                <w:szCs w:val="20"/>
                <w:u w:val="single"/>
              </w:rPr>
              <w:t>Pacific Islander Detailed Race Value Set</w:t>
            </w:r>
          </w:p>
        </w:tc>
      </w:tr>
      <w:tr w:rsidR="00834FBA" w:rsidRPr="005D4222" w14:paraId="056696AA" w14:textId="77777777" w:rsidTr="009F6641">
        <w:trPr>
          <w:trHeight w:val="219"/>
        </w:trPr>
        <w:tc>
          <w:tcPr>
            <w:tcW w:w="3227" w:type="dxa"/>
            <w:tcBorders>
              <w:top w:val="single" w:sz="4" w:space="0" w:color="auto"/>
              <w:left w:val="single" w:sz="4" w:space="0" w:color="auto"/>
              <w:bottom w:val="single" w:sz="4" w:space="0" w:color="auto"/>
              <w:right w:val="single" w:sz="4" w:space="0" w:color="auto"/>
            </w:tcBorders>
            <w:noWrap/>
            <w:tcMar>
              <w:top w:w="19" w:type="dxa"/>
              <w:left w:w="86" w:type="dxa"/>
              <w:bottom w:w="0" w:type="dxa"/>
              <w:right w:w="86" w:type="dxa"/>
            </w:tcMar>
          </w:tcPr>
          <w:p w14:paraId="5AFB2AA8"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White</w:t>
            </w:r>
          </w:p>
        </w:tc>
        <w:tc>
          <w:tcPr>
            <w:tcW w:w="2807" w:type="dxa"/>
            <w:tcBorders>
              <w:top w:val="single" w:sz="4" w:space="0" w:color="auto"/>
              <w:left w:val="single" w:sz="4" w:space="0" w:color="auto"/>
              <w:bottom w:val="single" w:sz="4" w:space="0" w:color="auto"/>
              <w:right w:val="single" w:sz="4" w:space="0" w:color="auto"/>
            </w:tcBorders>
            <w:noWrap/>
            <w:tcMar>
              <w:top w:w="19" w:type="dxa"/>
              <w:left w:w="86" w:type="dxa"/>
              <w:bottom w:w="0" w:type="dxa"/>
              <w:right w:w="86" w:type="dxa"/>
            </w:tcMar>
          </w:tcPr>
          <w:p w14:paraId="70A0632B"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2106-3</w:t>
            </w:r>
          </w:p>
        </w:tc>
        <w:tc>
          <w:tcPr>
            <w:tcW w:w="3671" w:type="dxa"/>
            <w:tcBorders>
              <w:top w:val="single" w:sz="4" w:space="0" w:color="auto"/>
              <w:left w:val="single" w:sz="4" w:space="0" w:color="auto"/>
              <w:bottom w:val="single" w:sz="4" w:space="0" w:color="auto"/>
              <w:right w:val="single" w:sz="4" w:space="0" w:color="auto"/>
            </w:tcBorders>
            <w:tcMar>
              <w:left w:w="86" w:type="dxa"/>
              <w:right w:w="86" w:type="dxa"/>
            </w:tcMar>
          </w:tcPr>
          <w:p w14:paraId="5409574A" w14:textId="4BFC9F53" w:rsidR="00834FBA" w:rsidRPr="005D4222" w:rsidRDefault="00834FBA" w:rsidP="009F6641">
            <w:pPr>
              <w:pStyle w:val="TableText"/>
              <w:rPr>
                <w:rFonts w:ascii="Arial" w:hAnsi="Arial" w:cs="Arial"/>
                <w:sz w:val="20"/>
                <w:szCs w:val="20"/>
                <w:u w:val="single"/>
              </w:rPr>
            </w:pPr>
            <w:r w:rsidRPr="005D4222">
              <w:rPr>
                <w:rFonts w:ascii="Arial" w:hAnsi="Arial" w:cs="Arial"/>
                <w:sz w:val="20"/>
                <w:szCs w:val="20"/>
                <w:u w:val="single"/>
              </w:rPr>
              <w:t>White Detailed Race Value Set</w:t>
            </w:r>
          </w:p>
        </w:tc>
      </w:tr>
      <w:tr w:rsidR="00834FBA" w:rsidRPr="005D4222" w14:paraId="3E9EA39B" w14:textId="77777777" w:rsidTr="009F6641">
        <w:trPr>
          <w:trHeight w:val="219"/>
        </w:trPr>
        <w:tc>
          <w:tcPr>
            <w:tcW w:w="3227" w:type="dxa"/>
            <w:tcBorders>
              <w:top w:val="single" w:sz="4" w:space="0" w:color="auto"/>
              <w:left w:val="single" w:sz="4" w:space="0" w:color="auto"/>
              <w:bottom w:val="single" w:sz="4" w:space="0" w:color="auto"/>
              <w:right w:val="single" w:sz="4" w:space="0" w:color="auto"/>
            </w:tcBorders>
            <w:noWrap/>
            <w:tcMar>
              <w:top w:w="19" w:type="dxa"/>
              <w:left w:w="86" w:type="dxa"/>
              <w:bottom w:w="0" w:type="dxa"/>
              <w:right w:w="86" w:type="dxa"/>
            </w:tcMar>
            <w:hideMark/>
          </w:tcPr>
          <w:p w14:paraId="4BAEB6FF"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Some Other Race</w:t>
            </w:r>
          </w:p>
        </w:tc>
        <w:tc>
          <w:tcPr>
            <w:tcW w:w="2807" w:type="dxa"/>
            <w:tcBorders>
              <w:top w:val="single" w:sz="4" w:space="0" w:color="auto"/>
              <w:left w:val="single" w:sz="4" w:space="0" w:color="auto"/>
              <w:bottom w:val="single" w:sz="4" w:space="0" w:color="auto"/>
              <w:right w:val="single" w:sz="4" w:space="0" w:color="auto"/>
            </w:tcBorders>
            <w:noWrap/>
            <w:tcMar>
              <w:top w:w="19" w:type="dxa"/>
              <w:left w:w="86" w:type="dxa"/>
              <w:bottom w:w="0" w:type="dxa"/>
              <w:right w:w="86" w:type="dxa"/>
            </w:tcMar>
          </w:tcPr>
          <w:p w14:paraId="08AF3A2B" w14:textId="63363834" w:rsidR="00834FBA" w:rsidRPr="005D4222" w:rsidRDefault="001571A2" w:rsidP="009F6641">
            <w:pPr>
              <w:pStyle w:val="TableText"/>
              <w:rPr>
                <w:rFonts w:ascii="Arial" w:hAnsi="Arial" w:cs="Arial"/>
                <w:sz w:val="20"/>
                <w:szCs w:val="20"/>
              </w:rPr>
            </w:pPr>
            <w:r w:rsidRPr="005D4222">
              <w:rPr>
                <w:rFonts w:ascii="Arial" w:hAnsi="Arial" w:cs="Arial"/>
                <w:sz w:val="20"/>
                <w:szCs w:val="20"/>
              </w:rPr>
              <w:t>2131-1</w:t>
            </w:r>
          </w:p>
        </w:tc>
        <w:tc>
          <w:tcPr>
            <w:tcW w:w="3671" w:type="dxa"/>
            <w:tcBorders>
              <w:top w:val="single" w:sz="4" w:space="0" w:color="auto"/>
              <w:left w:val="single" w:sz="4" w:space="0" w:color="auto"/>
              <w:bottom w:val="single" w:sz="4" w:space="0" w:color="auto"/>
              <w:right w:val="single" w:sz="4" w:space="0" w:color="auto"/>
            </w:tcBorders>
            <w:tcMar>
              <w:left w:w="86" w:type="dxa"/>
              <w:right w:w="86" w:type="dxa"/>
            </w:tcMar>
          </w:tcPr>
          <w:p w14:paraId="45573BD1"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NA</w:t>
            </w:r>
          </w:p>
        </w:tc>
      </w:tr>
      <w:tr w:rsidR="00834FBA" w:rsidRPr="005D4222" w14:paraId="38B8CA41" w14:textId="77777777" w:rsidTr="009F6641">
        <w:trPr>
          <w:trHeight w:val="219"/>
        </w:trPr>
        <w:tc>
          <w:tcPr>
            <w:tcW w:w="3227" w:type="dxa"/>
            <w:tcBorders>
              <w:top w:val="single" w:sz="4" w:space="0" w:color="auto"/>
              <w:left w:val="single" w:sz="4" w:space="0" w:color="auto"/>
              <w:bottom w:val="single" w:sz="4" w:space="0" w:color="auto"/>
              <w:right w:val="single" w:sz="4" w:space="0" w:color="auto"/>
            </w:tcBorders>
            <w:noWrap/>
            <w:tcMar>
              <w:top w:w="19" w:type="dxa"/>
              <w:left w:w="86" w:type="dxa"/>
              <w:bottom w:w="0" w:type="dxa"/>
              <w:right w:w="86" w:type="dxa"/>
            </w:tcMar>
            <w:hideMark/>
          </w:tcPr>
          <w:p w14:paraId="66F7539D"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Two or More Races</w:t>
            </w:r>
          </w:p>
        </w:tc>
        <w:tc>
          <w:tcPr>
            <w:tcW w:w="2807" w:type="dxa"/>
            <w:tcBorders>
              <w:top w:val="single" w:sz="4" w:space="0" w:color="auto"/>
              <w:left w:val="single" w:sz="4" w:space="0" w:color="auto"/>
              <w:bottom w:val="single" w:sz="4" w:space="0" w:color="auto"/>
              <w:right w:val="single" w:sz="4" w:space="0" w:color="auto"/>
            </w:tcBorders>
            <w:noWrap/>
            <w:tcMar>
              <w:top w:w="19" w:type="dxa"/>
              <w:left w:w="86" w:type="dxa"/>
              <w:bottom w:w="0" w:type="dxa"/>
              <w:right w:w="86" w:type="dxa"/>
            </w:tcMar>
          </w:tcPr>
          <w:p w14:paraId="394F93DD"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NA</w:t>
            </w:r>
            <w:r w:rsidRPr="005D4222">
              <w:rPr>
                <w:rFonts w:ascii="Arial" w:hAnsi="Arial" w:cs="Arial"/>
                <w:b/>
                <w:bCs/>
                <w:sz w:val="20"/>
                <w:szCs w:val="20"/>
              </w:rPr>
              <w:t>***</w:t>
            </w:r>
          </w:p>
        </w:tc>
        <w:tc>
          <w:tcPr>
            <w:tcW w:w="3671" w:type="dxa"/>
            <w:tcBorders>
              <w:top w:val="single" w:sz="4" w:space="0" w:color="auto"/>
              <w:left w:val="single" w:sz="4" w:space="0" w:color="auto"/>
              <w:bottom w:val="single" w:sz="4" w:space="0" w:color="auto"/>
              <w:right w:val="single" w:sz="4" w:space="0" w:color="auto"/>
            </w:tcBorders>
            <w:tcMar>
              <w:left w:w="86" w:type="dxa"/>
              <w:right w:w="86" w:type="dxa"/>
            </w:tcMar>
          </w:tcPr>
          <w:p w14:paraId="3CE8595B"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NA</w:t>
            </w:r>
          </w:p>
        </w:tc>
      </w:tr>
      <w:tr w:rsidR="00834FBA" w:rsidRPr="005D4222" w14:paraId="675565FB" w14:textId="77777777" w:rsidTr="009F6641">
        <w:trPr>
          <w:trHeight w:val="60"/>
        </w:trPr>
        <w:tc>
          <w:tcPr>
            <w:tcW w:w="3227" w:type="dxa"/>
            <w:tcBorders>
              <w:top w:val="single" w:sz="4" w:space="0" w:color="auto"/>
              <w:left w:val="single" w:sz="4" w:space="0" w:color="auto"/>
              <w:bottom w:val="single" w:sz="4" w:space="0" w:color="auto"/>
              <w:right w:val="single" w:sz="4" w:space="0" w:color="auto"/>
            </w:tcBorders>
            <w:noWrap/>
            <w:tcMar>
              <w:top w:w="19" w:type="dxa"/>
              <w:left w:w="86" w:type="dxa"/>
              <w:bottom w:w="0" w:type="dxa"/>
              <w:right w:w="86" w:type="dxa"/>
            </w:tcMar>
          </w:tcPr>
          <w:p w14:paraId="2434036B"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Asked But No Answer</w:t>
            </w:r>
          </w:p>
        </w:tc>
        <w:tc>
          <w:tcPr>
            <w:tcW w:w="2807" w:type="dxa"/>
            <w:tcBorders>
              <w:top w:val="single" w:sz="4" w:space="0" w:color="auto"/>
              <w:left w:val="single" w:sz="4" w:space="0" w:color="auto"/>
              <w:bottom w:val="single" w:sz="4" w:space="0" w:color="auto"/>
              <w:right w:val="single" w:sz="4" w:space="0" w:color="auto"/>
            </w:tcBorders>
            <w:noWrap/>
            <w:tcMar>
              <w:top w:w="19" w:type="dxa"/>
              <w:left w:w="86" w:type="dxa"/>
              <w:bottom w:w="0" w:type="dxa"/>
              <w:right w:w="86" w:type="dxa"/>
            </w:tcMar>
          </w:tcPr>
          <w:p w14:paraId="7A73F79C"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ASKU</w:t>
            </w:r>
            <w:r w:rsidRPr="005D4222">
              <w:rPr>
                <w:rFonts w:ascii="Arial" w:hAnsi="Arial" w:cs="Arial"/>
                <w:b/>
                <w:bCs/>
                <w:sz w:val="20"/>
                <w:szCs w:val="20"/>
              </w:rPr>
              <w:t>**</w:t>
            </w:r>
          </w:p>
        </w:tc>
        <w:tc>
          <w:tcPr>
            <w:tcW w:w="3671" w:type="dxa"/>
            <w:tcBorders>
              <w:top w:val="single" w:sz="4" w:space="0" w:color="auto"/>
              <w:left w:val="single" w:sz="4" w:space="0" w:color="auto"/>
              <w:bottom w:val="single" w:sz="4" w:space="0" w:color="auto"/>
              <w:right w:val="single" w:sz="4" w:space="0" w:color="auto"/>
            </w:tcBorders>
            <w:tcMar>
              <w:left w:w="86" w:type="dxa"/>
              <w:right w:w="86" w:type="dxa"/>
            </w:tcMar>
          </w:tcPr>
          <w:p w14:paraId="4DEF1069"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NA</w:t>
            </w:r>
          </w:p>
        </w:tc>
      </w:tr>
      <w:tr w:rsidR="00834FBA" w:rsidRPr="005D4222" w14:paraId="3694F56F" w14:textId="77777777" w:rsidTr="009F6641">
        <w:trPr>
          <w:trHeight w:val="60"/>
        </w:trPr>
        <w:tc>
          <w:tcPr>
            <w:tcW w:w="3227" w:type="dxa"/>
            <w:tcBorders>
              <w:top w:val="single" w:sz="4" w:space="0" w:color="auto"/>
              <w:left w:val="single" w:sz="4" w:space="0" w:color="auto"/>
              <w:bottom w:val="single" w:sz="4" w:space="0" w:color="auto"/>
              <w:right w:val="single" w:sz="4" w:space="0" w:color="auto"/>
            </w:tcBorders>
            <w:noWrap/>
            <w:tcMar>
              <w:top w:w="19" w:type="dxa"/>
              <w:left w:w="86" w:type="dxa"/>
              <w:bottom w:w="0" w:type="dxa"/>
              <w:right w:w="86" w:type="dxa"/>
            </w:tcMar>
            <w:hideMark/>
          </w:tcPr>
          <w:p w14:paraId="52364638"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Unknown</w:t>
            </w:r>
          </w:p>
        </w:tc>
        <w:tc>
          <w:tcPr>
            <w:tcW w:w="2807" w:type="dxa"/>
            <w:tcBorders>
              <w:top w:val="single" w:sz="4" w:space="0" w:color="auto"/>
              <w:left w:val="single" w:sz="4" w:space="0" w:color="auto"/>
              <w:bottom w:val="single" w:sz="4" w:space="0" w:color="auto"/>
              <w:right w:val="single" w:sz="4" w:space="0" w:color="auto"/>
            </w:tcBorders>
            <w:noWrap/>
            <w:tcMar>
              <w:top w:w="19" w:type="dxa"/>
              <w:left w:w="86" w:type="dxa"/>
              <w:bottom w:w="0" w:type="dxa"/>
              <w:right w:w="86" w:type="dxa"/>
            </w:tcMar>
          </w:tcPr>
          <w:p w14:paraId="0730ABBD"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UNK</w:t>
            </w:r>
            <w:r w:rsidRPr="005D4222">
              <w:rPr>
                <w:rFonts w:ascii="Arial" w:hAnsi="Arial" w:cs="Arial"/>
                <w:b/>
                <w:bCs/>
                <w:sz w:val="20"/>
                <w:szCs w:val="20"/>
              </w:rPr>
              <w:t>**</w:t>
            </w:r>
          </w:p>
        </w:tc>
        <w:tc>
          <w:tcPr>
            <w:tcW w:w="3671" w:type="dxa"/>
            <w:tcBorders>
              <w:top w:val="single" w:sz="4" w:space="0" w:color="auto"/>
              <w:left w:val="single" w:sz="4" w:space="0" w:color="auto"/>
              <w:bottom w:val="single" w:sz="4" w:space="0" w:color="auto"/>
              <w:right w:val="single" w:sz="4" w:space="0" w:color="auto"/>
            </w:tcBorders>
            <w:tcMar>
              <w:left w:w="86" w:type="dxa"/>
              <w:right w:w="86" w:type="dxa"/>
            </w:tcMar>
          </w:tcPr>
          <w:p w14:paraId="71391985"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NA</w:t>
            </w:r>
          </w:p>
        </w:tc>
      </w:tr>
    </w:tbl>
    <w:p w14:paraId="0B986F61" w14:textId="77777777" w:rsidR="00834FBA" w:rsidRPr="005D4222" w:rsidRDefault="00834FBA" w:rsidP="000273B0">
      <w:pPr>
        <w:pStyle w:val="Heading3"/>
        <w:keepNext w:val="0"/>
        <w:widowControl w:val="0"/>
        <w:spacing w:before="120" w:after="0"/>
        <w:ind w:left="230" w:hanging="86"/>
        <w:rPr>
          <w:b w:val="0"/>
          <w:i w:val="0"/>
          <w:szCs w:val="18"/>
        </w:rPr>
      </w:pPr>
      <w:r w:rsidRPr="005D4222">
        <w:rPr>
          <w:i w:val="0"/>
          <w:szCs w:val="18"/>
        </w:rPr>
        <w:t>*</w:t>
      </w:r>
      <w:r w:rsidRPr="005D4222">
        <w:rPr>
          <w:b w:val="0"/>
          <w:i w:val="0"/>
          <w:szCs w:val="18"/>
        </w:rPr>
        <w:t xml:space="preserve">Codes to identify race and ethnicity are from the CDC Race and Ethnicity code system developed by the U.S. Centers for Disease Control and Prevention (CDC). They resemble, but are not, LOINC codes. </w:t>
      </w:r>
    </w:p>
    <w:p w14:paraId="71F59DB9" w14:textId="77777777" w:rsidR="00834FBA" w:rsidRPr="005D4222" w:rsidRDefault="00834FBA" w:rsidP="000273B0">
      <w:pPr>
        <w:pStyle w:val="Heading3"/>
        <w:keepNext w:val="0"/>
        <w:widowControl w:val="0"/>
        <w:spacing w:before="60"/>
        <w:ind w:left="180" w:hanging="108"/>
        <w:rPr>
          <w:b w:val="0"/>
          <w:i w:val="0"/>
          <w:szCs w:val="18"/>
        </w:rPr>
      </w:pPr>
      <w:r w:rsidRPr="005D4222">
        <w:rPr>
          <w:i w:val="0"/>
          <w:szCs w:val="18"/>
        </w:rPr>
        <w:t>**</w:t>
      </w:r>
      <w:r w:rsidRPr="005D4222">
        <w:rPr>
          <w:b w:val="0"/>
          <w:i w:val="0"/>
          <w:szCs w:val="18"/>
        </w:rPr>
        <w:t>HL7 v3 Code System NullFlavor.</w:t>
      </w:r>
    </w:p>
    <w:p w14:paraId="76B0B8F7" w14:textId="77777777" w:rsidR="00834FBA" w:rsidRPr="005D4222" w:rsidRDefault="00834FBA" w:rsidP="000273B0">
      <w:pPr>
        <w:pStyle w:val="Heading3"/>
        <w:keepNext w:val="0"/>
        <w:widowControl w:val="0"/>
        <w:spacing w:before="0"/>
        <w:ind w:left="216" w:hanging="216"/>
        <w:rPr>
          <w:b w:val="0"/>
          <w:i w:val="0"/>
          <w:szCs w:val="18"/>
        </w:rPr>
      </w:pPr>
      <w:r w:rsidRPr="005D4222">
        <w:rPr>
          <w:i w:val="0"/>
          <w:szCs w:val="18"/>
        </w:rPr>
        <w:t>***</w:t>
      </w:r>
      <w:r w:rsidRPr="005D4222">
        <w:rPr>
          <w:b w:val="0"/>
          <w:i w:val="0"/>
          <w:szCs w:val="18"/>
        </w:rPr>
        <w:t>This value is defined by the measure calculation logic as the presence of two or more distinct CDCREC category codes and does not map to a specific direct reference code or value set.</w:t>
      </w:r>
    </w:p>
    <w:p w14:paraId="58D67809" w14:textId="6BBAC601" w:rsidR="00834FBA" w:rsidRPr="005D4222" w:rsidRDefault="00834FBA" w:rsidP="00834FBA">
      <w:pPr>
        <w:pStyle w:val="Heading3"/>
      </w:pPr>
      <w:r w:rsidRPr="005D4222">
        <w:lastRenderedPageBreak/>
        <w:t>Table RES-D-1/2/3: HEDIS/OMB Ethnicity Crosswalked for Use With HEDIS Reporting Categories</w:t>
      </w:r>
    </w:p>
    <w:tbl>
      <w:tblPr>
        <w:tblW w:w="9705" w:type="dxa"/>
        <w:tblInd w:w="2" w:type="dxa"/>
        <w:tblLayout w:type="fixed"/>
        <w:tblCellMar>
          <w:left w:w="0" w:type="dxa"/>
          <w:right w:w="0" w:type="dxa"/>
        </w:tblCellMar>
        <w:tblLook w:val="04A0" w:firstRow="1" w:lastRow="0" w:firstColumn="1" w:lastColumn="0" w:noHBand="0" w:noVBand="1"/>
      </w:tblPr>
      <w:tblGrid>
        <w:gridCol w:w="3233"/>
        <w:gridCol w:w="2790"/>
        <w:gridCol w:w="3682"/>
      </w:tblGrid>
      <w:tr w:rsidR="00834FBA" w:rsidRPr="005D4222" w14:paraId="4BB52B84" w14:textId="77777777" w:rsidTr="009F6641">
        <w:trPr>
          <w:trHeight w:val="206"/>
        </w:trPr>
        <w:tc>
          <w:tcPr>
            <w:tcW w:w="3233" w:type="dxa"/>
            <w:tcBorders>
              <w:top w:val="single" w:sz="6" w:space="0" w:color="auto"/>
              <w:left w:val="single" w:sz="4" w:space="0" w:color="auto"/>
              <w:bottom w:val="single" w:sz="4" w:space="0" w:color="auto"/>
              <w:right w:val="single" w:sz="6" w:space="0" w:color="FFFFFF" w:themeColor="background1"/>
            </w:tcBorders>
            <w:shd w:val="clear" w:color="auto" w:fill="000000" w:themeFill="text1"/>
            <w:noWrap/>
            <w:tcMar>
              <w:top w:w="19" w:type="dxa"/>
              <w:left w:w="86" w:type="dxa"/>
              <w:bottom w:w="0" w:type="dxa"/>
              <w:right w:w="86" w:type="dxa"/>
            </w:tcMar>
            <w:vAlign w:val="bottom"/>
            <w:hideMark/>
          </w:tcPr>
          <w:p w14:paraId="36C7DFF1" w14:textId="77777777" w:rsidR="00834FBA" w:rsidRPr="005D4222" w:rsidRDefault="00834FBA" w:rsidP="009F6641">
            <w:pPr>
              <w:pStyle w:val="TableHead"/>
              <w:rPr>
                <w:rFonts w:ascii="Arial" w:hAnsi="Arial" w:cs="Arial"/>
                <w:color w:val="auto"/>
                <w:sz w:val="20"/>
              </w:rPr>
            </w:pPr>
            <w:r w:rsidRPr="005D4222">
              <w:rPr>
                <w:rFonts w:ascii="Arial" w:hAnsi="Arial" w:cs="Arial"/>
                <w:color w:val="auto"/>
                <w:sz w:val="20"/>
              </w:rPr>
              <w:t>HEDIS/OMB Race</w:t>
            </w:r>
          </w:p>
        </w:tc>
        <w:tc>
          <w:tcPr>
            <w:tcW w:w="2790" w:type="dxa"/>
            <w:tcBorders>
              <w:top w:val="single" w:sz="6" w:space="0" w:color="auto"/>
              <w:left w:val="single" w:sz="6" w:space="0" w:color="FFFFFF" w:themeColor="background1"/>
              <w:bottom w:val="single" w:sz="4" w:space="0" w:color="auto"/>
              <w:right w:val="single" w:sz="4" w:space="0" w:color="FFFFFF" w:themeColor="background1"/>
            </w:tcBorders>
            <w:shd w:val="clear" w:color="auto" w:fill="000000" w:themeFill="text1"/>
            <w:noWrap/>
            <w:tcMar>
              <w:top w:w="19" w:type="dxa"/>
              <w:left w:w="86" w:type="dxa"/>
              <w:bottom w:w="0" w:type="dxa"/>
              <w:right w:w="86" w:type="dxa"/>
            </w:tcMar>
            <w:vAlign w:val="bottom"/>
          </w:tcPr>
          <w:p w14:paraId="2CE6DEE5" w14:textId="77777777" w:rsidR="00834FBA" w:rsidRPr="005D4222" w:rsidRDefault="00834FBA" w:rsidP="009F6641">
            <w:pPr>
              <w:pStyle w:val="TableHead"/>
              <w:rPr>
                <w:rFonts w:ascii="Arial" w:hAnsi="Arial" w:cs="Arial"/>
                <w:color w:val="auto"/>
                <w:sz w:val="20"/>
              </w:rPr>
            </w:pPr>
            <w:r w:rsidRPr="005D4222">
              <w:rPr>
                <w:rFonts w:ascii="Arial" w:hAnsi="Arial" w:cs="Arial"/>
                <w:color w:val="auto"/>
                <w:sz w:val="20"/>
              </w:rPr>
              <w:t>CDCREC OMB Category:</w:t>
            </w:r>
            <w:r w:rsidRPr="005D4222">
              <w:rPr>
                <w:rFonts w:ascii="Arial" w:hAnsi="Arial" w:cs="Arial"/>
                <w:color w:val="auto"/>
                <w:sz w:val="20"/>
              </w:rPr>
              <w:br/>
              <w:t>Direct Reference Code*</w:t>
            </w:r>
          </w:p>
        </w:tc>
        <w:tc>
          <w:tcPr>
            <w:tcW w:w="3682" w:type="dxa"/>
            <w:tcBorders>
              <w:top w:val="single" w:sz="6" w:space="0" w:color="auto"/>
              <w:left w:val="single" w:sz="4" w:space="0" w:color="FFFFFF" w:themeColor="background1"/>
              <w:bottom w:val="single" w:sz="4" w:space="0" w:color="auto"/>
              <w:right w:val="single" w:sz="8" w:space="0" w:color="auto"/>
            </w:tcBorders>
            <w:shd w:val="clear" w:color="auto" w:fill="000000" w:themeFill="text1"/>
            <w:tcMar>
              <w:left w:w="86" w:type="dxa"/>
              <w:right w:w="86" w:type="dxa"/>
            </w:tcMar>
          </w:tcPr>
          <w:p w14:paraId="3001AF77" w14:textId="77777777" w:rsidR="00834FBA" w:rsidRPr="005D4222" w:rsidRDefault="00834FBA" w:rsidP="009F6641">
            <w:pPr>
              <w:pStyle w:val="TableHead"/>
              <w:rPr>
                <w:rFonts w:ascii="Arial" w:hAnsi="Arial" w:cs="Arial"/>
                <w:color w:val="auto"/>
                <w:sz w:val="20"/>
              </w:rPr>
            </w:pPr>
            <w:r w:rsidRPr="005D4222">
              <w:rPr>
                <w:rFonts w:ascii="Arial" w:hAnsi="Arial" w:cs="Arial"/>
                <w:color w:val="auto"/>
                <w:sz w:val="20"/>
              </w:rPr>
              <w:t>CDCREC Detailed Category:</w:t>
            </w:r>
            <w:r w:rsidRPr="005D4222">
              <w:rPr>
                <w:rFonts w:ascii="Arial" w:hAnsi="Arial" w:cs="Arial"/>
                <w:color w:val="auto"/>
                <w:sz w:val="20"/>
              </w:rPr>
              <w:br/>
              <w:t>Value Set</w:t>
            </w:r>
          </w:p>
        </w:tc>
      </w:tr>
      <w:tr w:rsidR="00834FBA" w:rsidRPr="005D4222" w14:paraId="0D0751B2" w14:textId="77777777" w:rsidTr="009F6641">
        <w:trPr>
          <w:trHeight w:val="206"/>
        </w:trPr>
        <w:tc>
          <w:tcPr>
            <w:tcW w:w="3233" w:type="dxa"/>
            <w:tcBorders>
              <w:top w:val="single" w:sz="4" w:space="0" w:color="auto"/>
              <w:left w:val="single" w:sz="4" w:space="0" w:color="auto"/>
              <w:bottom w:val="single" w:sz="4" w:space="0" w:color="auto"/>
              <w:right w:val="single" w:sz="4" w:space="0" w:color="auto"/>
            </w:tcBorders>
            <w:noWrap/>
            <w:tcMar>
              <w:top w:w="19" w:type="dxa"/>
              <w:left w:w="86" w:type="dxa"/>
              <w:bottom w:w="0" w:type="dxa"/>
              <w:right w:w="86" w:type="dxa"/>
            </w:tcMar>
            <w:hideMark/>
          </w:tcPr>
          <w:p w14:paraId="00534524"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Hispanic or Latino</w:t>
            </w:r>
          </w:p>
        </w:tc>
        <w:tc>
          <w:tcPr>
            <w:tcW w:w="2790" w:type="dxa"/>
            <w:tcBorders>
              <w:top w:val="single" w:sz="4" w:space="0" w:color="auto"/>
              <w:left w:val="single" w:sz="4" w:space="0" w:color="auto"/>
              <w:bottom w:val="single" w:sz="4" w:space="0" w:color="auto"/>
              <w:right w:val="single" w:sz="4" w:space="0" w:color="auto"/>
            </w:tcBorders>
            <w:noWrap/>
            <w:tcMar>
              <w:top w:w="19" w:type="dxa"/>
              <w:left w:w="86" w:type="dxa"/>
              <w:bottom w:w="0" w:type="dxa"/>
              <w:right w:w="86" w:type="dxa"/>
            </w:tcMar>
          </w:tcPr>
          <w:p w14:paraId="159035EC"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2135-2</w:t>
            </w:r>
          </w:p>
        </w:tc>
        <w:tc>
          <w:tcPr>
            <w:tcW w:w="3682" w:type="dxa"/>
            <w:tcBorders>
              <w:top w:val="single" w:sz="4" w:space="0" w:color="auto"/>
              <w:left w:val="single" w:sz="4" w:space="0" w:color="auto"/>
              <w:bottom w:val="single" w:sz="4" w:space="0" w:color="auto"/>
              <w:right w:val="single" w:sz="4" w:space="0" w:color="auto"/>
            </w:tcBorders>
            <w:tcMar>
              <w:left w:w="86" w:type="dxa"/>
              <w:right w:w="86" w:type="dxa"/>
            </w:tcMar>
          </w:tcPr>
          <w:p w14:paraId="587148EB"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u w:val="single"/>
              </w:rPr>
              <w:t>Hispanic or Latino Detailed Ethnicity</w:t>
            </w:r>
          </w:p>
        </w:tc>
      </w:tr>
      <w:tr w:rsidR="00834FBA" w:rsidRPr="005D4222" w14:paraId="539F9586" w14:textId="77777777" w:rsidTr="009F6641">
        <w:trPr>
          <w:trHeight w:val="219"/>
        </w:trPr>
        <w:tc>
          <w:tcPr>
            <w:tcW w:w="3233" w:type="dxa"/>
            <w:tcBorders>
              <w:top w:val="single" w:sz="4" w:space="0" w:color="auto"/>
              <w:left w:val="single" w:sz="4" w:space="0" w:color="auto"/>
              <w:bottom w:val="single" w:sz="4" w:space="0" w:color="auto"/>
              <w:right w:val="single" w:sz="4" w:space="0" w:color="auto"/>
            </w:tcBorders>
            <w:noWrap/>
            <w:tcMar>
              <w:top w:w="19" w:type="dxa"/>
              <w:left w:w="86" w:type="dxa"/>
              <w:bottom w:w="0" w:type="dxa"/>
              <w:right w:w="86" w:type="dxa"/>
            </w:tcMar>
            <w:hideMark/>
          </w:tcPr>
          <w:p w14:paraId="6CD5DC0C"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Not Hispanic or Latino</w:t>
            </w:r>
          </w:p>
        </w:tc>
        <w:tc>
          <w:tcPr>
            <w:tcW w:w="2790" w:type="dxa"/>
            <w:tcBorders>
              <w:top w:val="single" w:sz="4" w:space="0" w:color="auto"/>
              <w:left w:val="single" w:sz="4" w:space="0" w:color="auto"/>
              <w:bottom w:val="single" w:sz="4" w:space="0" w:color="auto"/>
              <w:right w:val="single" w:sz="4" w:space="0" w:color="auto"/>
            </w:tcBorders>
            <w:noWrap/>
            <w:tcMar>
              <w:top w:w="19" w:type="dxa"/>
              <w:left w:w="86" w:type="dxa"/>
              <w:bottom w:w="0" w:type="dxa"/>
              <w:right w:w="86" w:type="dxa"/>
            </w:tcMar>
          </w:tcPr>
          <w:p w14:paraId="6367B603"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2186-5</w:t>
            </w:r>
          </w:p>
        </w:tc>
        <w:tc>
          <w:tcPr>
            <w:tcW w:w="3682" w:type="dxa"/>
            <w:tcBorders>
              <w:top w:val="single" w:sz="4" w:space="0" w:color="auto"/>
              <w:left w:val="single" w:sz="4" w:space="0" w:color="auto"/>
              <w:bottom w:val="single" w:sz="4" w:space="0" w:color="auto"/>
              <w:right w:val="single" w:sz="4" w:space="0" w:color="auto"/>
            </w:tcBorders>
            <w:tcMar>
              <w:left w:w="86" w:type="dxa"/>
              <w:right w:w="86" w:type="dxa"/>
            </w:tcMar>
          </w:tcPr>
          <w:p w14:paraId="1CBE8275"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NA</w:t>
            </w:r>
          </w:p>
        </w:tc>
      </w:tr>
      <w:tr w:rsidR="00834FBA" w:rsidRPr="005D4222" w14:paraId="395DCC0A" w14:textId="77777777" w:rsidTr="009F6641">
        <w:trPr>
          <w:trHeight w:val="206"/>
        </w:trPr>
        <w:tc>
          <w:tcPr>
            <w:tcW w:w="3233" w:type="dxa"/>
            <w:tcBorders>
              <w:top w:val="single" w:sz="4" w:space="0" w:color="auto"/>
              <w:left w:val="single" w:sz="4" w:space="0" w:color="auto"/>
              <w:bottom w:val="single" w:sz="4" w:space="0" w:color="auto"/>
              <w:right w:val="single" w:sz="4" w:space="0" w:color="auto"/>
            </w:tcBorders>
            <w:noWrap/>
            <w:tcMar>
              <w:top w:w="19" w:type="dxa"/>
              <w:left w:w="86" w:type="dxa"/>
              <w:bottom w:w="0" w:type="dxa"/>
              <w:right w:w="86" w:type="dxa"/>
            </w:tcMar>
            <w:hideMark/>
          </w:tcPr>
          <w:p w14:paraId="2C381969"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Asked But No Answer</w:t>
            </w:r>
          </w:p>
        </w:tc>
        <w:tc>
          <w:tcPr>
            <w:tcW w:w="2790" w:type="dxa"/>
            <w:tcBorders>
              <w:top w:val="single" w:sz="4" w:space="0" w:color="auto"/>
              <w:left w:val="single" w:sz="4" w:space="0" w:color="auto"/>
              <w:bottom w:val="single" w:sz="4" w:space="0" w:color="auto"/>
              <w:right w:val="single" w:sz="4" w:space="0" w:color="auto"/>
            </w:tcBorders>
            <w:noWrap/>
            <w:tcMar>
              <w:top w:w="19" w:type="dxa"/>
              <w:left w:w="86" w:type="dxa"/>
              <w:bottom w:w="0" w:type="dxa"/>
              <w:right w:w="86" w:type="dxa"/>
            </w:tcMar>
          </w:tcPr>
          <w:p w14:paraId="7F33A1EA" w14:textId="77777777" w:rsidR="00834FBA" w:rsidRPr="005D4222" w:rsidRDefault="00834FBA" w:rsidP="009F6641">
            <w:pPr>
              <w:pStyle w:val="TableText"/>
              <w:rPr>
                <w:rFonts w:ascii="Arial" w:hAnsi="Arial" w:cs="Arial"/>
                <w:strike/>
                <w:sz w:val="20"/>
                <w:szCs w:val="20"/>
              </w:rPr>
            </w:pPr>
            <w:r w:rsidRPr="005D4222">
              <w:rPr>
                <w:rFonts w:ascii="Arial" w:hAnsi="Arial" w:cs="Arial"/>
                <w:sz w:val="20"/>
                <w:szCs w:val="20"/>
              </w:rPr>
              <w:t>ASKU</w:t>
            </w:r>
            <w:r w:rsidRPr="005D4222">
              <w:rPr>
                <w:rFonts w:ascii="Arial" w:hAnsi="Arial" w:cs="Arial"/>
                <w:b/>
                <w:bCs/>
                <w:sz w:val="20"/>
                <w:szCs w:val="20"/>
              </w:rPr>
              <w:t>**</w:t>
            </w:r>
          </w:p>
        </w:tc>
        <w:tc>
          <w:tcPr>
            <w:tcW w:w="3682" w:type="dxa"/>
            <w:tcBorders>
              <w:top w:val="single" w:sz="4" w:space="0" w:color="auto"/>
              <w:left w:val="single" w:sz="4" w:space="0" w:color="auto"/>
              <w:bottom w:val="single" w:sz="4" w:space="0" w:color="auto"/>
              <w:right w:val="single" w:sz="4" w:space="0" w:color="auto"/>
            </w:tcBorders>
            <w:tcMar>
              <w:left w:w="86" w:type="dxa"/>
              <w:right w:w="86" w:type="dxa"/>
            </w:tcMar>
          </w:tcPr>
          <w:p w14:paraId="7AD786DD"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NA</w:t>
            </w:r>
          </w:p>
        </w:tc>
      </w:tr>
      <w:tr w:rsidR="00834FBA" w:rsidRPr="005D4222" w14:paraId="14D5CFBE" w14:textId="77777777" w:rsidTr="009F6641">
        <w:trPr>
          <w:trHeight w:val="60"/>
        </w:trPr>
        <w:tc>
          <w:tcPr>
            <w:tcW w:w="3233" w:type="dxa"/>
            <w:tcBorders>
              <w:top w:val="single" w:sz="4" w:space="0" w:color="auto"/>
              <w:left w:val="single" w:sz="4" w:space="0" w:color="auto"/>
              <w:bottom w:val="single" w:sz="4" w:space="0" w:color="auto"/>
              <w:right w:val="single" w:sz="4" w:space="0" w:color="auto"/>
            </w:tcBorders>
            <w:noWrap/>
            <w:tcMar>
              <w:top w:w="19" w:type="dxa"/>
              <w:left w:w="86" w:type="dxa"/>
              <w:bottom w:w="0" w:type="dxa"/>
              <w:right w:w="86" w:type="dxa"/>
            </w:tcMar>
            <w:hideMark/>
          </w:tcPr>
          <w:p w14:paraId="5E6969EE"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Unknown</w:t>
            </w:r>
          </w:p>
        </w:tc>
        <w:tc>
          <w:tcPr>
            <w:tcW w:w="2790" w:type="dxa"/>
            <w:tcBorders>
              <w:top w:val="single" w:sz="4" w:space="0" w:color="auto"/>
              <w:left w:val="single" w:sz="4" w:space="0" w:color="auto"/>
              <w:bottom w:val="single" w:sz="4" w:space="0" w:color="auto"/>
              <w:right w:val="single" w:sz="4" w:space="0" w:color="auto"/>
            </w:tcBorders>
            <w:noWrap/>
            <w:tcMar>
              <w:top w:w="19" w:type="dxa"/>
              <w:left w:w="86" w:type="dxa"/>
              <w:bottom w:w="0" w:type="dxa"/>
              <w:right w:w="86" w:type="dxa"/>
            </w:tcMar>
          </w:tcPr>
          <w:p w14:paraId="0D11C88C"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UNK</w:t>
            </w:r>
            <w:r w:rsidRPr="005D4222">
              <w:rPr>
                <w:rFonts w:ascii="Arial" w:hAnsi="Arial" w:cs="Arial"/>
                <w:b/>
                <w:bCs/>
                <w:sz w:val="20"/>
                <w:szCs w:val="20"/>
              </w:rPr>
              <w:t>**</w:t>
            </w:r>
          </w:p>
        </w:tc>
        <w:tc>
          <w:tcPr>
            <w:tcW w:w="3682" w:type="dxa"/>
            <w:tcBorders>
              <w:top w:val="single" w:sz="4" w:space="0" w:color="auto"/>
              <w:left w:val="single" w:sz="4" w:space="0" w:color="auto"/>
              <w:bottom w:val="single" w:sz="4" w:space="0" w:color="auto"/>
              <w:right w:val="single" w:sz="4" w:space="0" w:color="auto"/>
            </w:tcBorders>
            <w:tcMar>
              <w:left w:w="86" w:type="dxa"/>
              <w:right w:w="86" w:type="dxa"/>
            </w:tcMar>
          </w:tcPr>
          <w:p w14:paraId="7E476AB6" w14:textId="77777777" w:rsidR="00834FBA" w:rsidRPr="005D4222" w:rsidRDefault="00834FBA" w:rsidP="009F6641">
            <w:pPr>
              <w:pStyle w:val="TableText"/>
              <w:rPr>
                <w:rFonts w:ascii="Arial" w:hAnsi="Arial" w:cs="Arial"/>
                <w:sz w:val="20"/>
                <w:szCs w:val="20"/>
              </w:rPr>
            </w:pPr>
            <w:r w:rsidRPr="005D4222">
              <w:rPr>
                <w:rFonts w:ascii="Arial" w:hAnsi="Arial" w:cs="Arial"/>
                <w:sz w:val="20"/>
                <w:szCs w:val="20"/>
              </w:rPr>
              <w:t>NA</w:t>
            </w:r>
          </w:p>
        </w:tc>
      </w:tr>
    </w:tbl>
    <w:p w14:paraId="698F56CE" w14:textId="77777777" w:rsidR="00834FBA" w:rsidRPr="005D4222" w:rsidRDefault="00834FBA" w:rsidP="00834FBA">
      <w:pPr>
        <w:pStyle w:val="Heading3"/>
        <w:keepNext w:val="0"/>
        <w:spacing w:before="120" w:after="0" w:line="216" w:lineRule="auto"/>
        <w:ind w:left="172" w:hanging="86"/>
        <w:rPr>
          <w:b w:val="0"/>
          <w:i w:val="0"/>
          <w:szCs w:val="18"/>
        </w:rPr>
      </w:pPr>
      <w:r w:rsidRPr="005D4222">
        <w:rPr>
          <w:i w:val="0"/>
          <w:szCs w:val="18"/>
        </w:rPr>
        <w:t>*</w:t>
      </w:r>
      <w:r w:rsidRPr="005D4222">
        <w:rPr>
          <w:b w:val="0"/>
          <w:i w:val="0"/>
          <w:szCs w:val="18"/>
        </w:rPr>
        <w:t>Codes to identify race and ethnicity are from the CDC Race and Ethnicity code system developed by the U.S. Centers for Disease Control and Prevention (CDC). They resemble, but are not, LOINC codes.</w:t>
      </w:r>
    </w:p>
    <w:p w14:paraId="3B02122D" w14:textId="77777777" w:rsidR="00834FBA" w:rsidRPr="005D4222" w:rsidRDefault="00834FBA" w:rsidP="00834FBA">
      <w:pPr>
        <w:pStyle w:val="TableText"/>
        <w:ind w:left="144" w:hanging="144"/>
        <w:rPr>
          <w:rFonts w:ascii="Arial" w:hAnsi="Arial" w:cs="Arial"/>
          <w:b/>
          <w:i/>
          <w:sz w:val="18"/>
          <w:szCs w:val="18"/>
        </w:rPr>
      </w:pPr>
      <w:r w:rsidRPr="005D4222">
        <w:rPr>
          <w:rFonts w:ascii="Arial" w:hAnsi="Arial" w:cs="Arial"/>
          <w:b/>
          <w:bCs/>
          <w:sz w:val="18"/>
          <w:szCs w:val="18"/>
        </w:rPr>
        <w:t>**</w:t>
      </w:r>
      <w:r w:rsidRPr="005D4222">
        <w:rPr>
          <w:rFonts w:ascii="Arial" w:hAnsi="Arial" w:cs="Arial"/>
          <w:sz w:val="18"/>
          <w:szCs w:val="18"/>
        </w:rPr>
        <w:t>The NullFlavor concepts “Asked But No Answer” and “Unknown” are not included in the terminology binding for the US Core Ethnicity FHIR extension on which this digital logic is structured. NCQA allows these concepts to express ethnicity data to align with bound values fo</w:t>
      </w:r>
      <w:r w:rsidRPr="005D4222">
        <w:rPr>
          <w:rFonts w:ascii="Arial" w:hAnsi="Arial" w:cs="Arial"/>
          <w:bCs/>
          <w:iCs/>
          <w:sz w:val="18"/>
          <w:szCs w:val="18"/>
        </w:rPr>
        <w:t>r the US Core Race extension.</w:t>
      </w:r>
      <w:r w:rsidRPr="005D4222" w:rsidDel="00AB557A">
        <w:rPr>
          <w:rFonts w:ascii="Arial" w:hAnsi="Arial" w:cs="Arial"/>
          <w:i/>
          <w:sz w:val="18"/>
          <w:szCs w:val="18"/>
        </w:rPr>
        <w:t xml:space="preserve"> </w:t>
      </w:r>
    </w:p>
    <w:p w14:paraId="59800D0E" w14:textId="77777777" w:rsidR="00834FBA" w:rsidRPr="005D4222" w:rsidRDefault="00834FBA" w:rsidP="00834FBA">
      <w:pPr>
        <w:pStyle w:val="SubHeadNoTOC"/>
      </w:pPr>
      <w:r w:rsidRPr="005D4222">
        <w:rPr>
          <w:bCs/>
          <w:i/>
        </w:rPr>
        <w:t>Note</w:t>
      </w:r>
    </w:p>
    <w:p w14:paraId="2081C195" w14:textId="735B5386" w:rsidR="00834FBA" w:rsidRPr="005D4222" w:rsidRDefault="00834FBA" w:rsidP="00834FBA">
      <w:pPr>
        <w:pStyle w:val="ProcessBullet"/>
        <w:rPr>
          <w:i/>
          <w:iCs/>
        </w:rPr>
      </w:pPr>
      <w:r w:rsidRPr="005D4222">
        <w:rPr>
          <w:i/>
          <w:iCs/>
        </w:rPr>
        <w:t xml:space="preserve">Race </w:t>
      </w:r>
      <w:r w:rsidR="0073518B" w:rsidRPr="005D4222">
        <w:rPr>
          <w:i/>
          <w:iCs/>
        </w:rPr>
        <w:t>and ethnicity</w:t>
      </w:r>
      <w:r w:rsidRPr="005D4222">
        <w:rPr>
          <w:i/>
          <w:iCs/>
        </w:rPr>
        <w:t xml:space="preserve"> a</w:t>
      </w:r>
      <w:r w:rsidR="0073518B" w:rsidRPr="005D4222">
        <w:rPr>
          <w:i/>
          <w:iCs/>
        </w:rPr>
        <w:t>re</w:t>
      </w:r>
      <w:r w:rsidRPr="005D4222">
        <w:rPr>
          <w:i/>
          <w:iCs/>
        </w:rPr>
        <w:t xml:space="preserve"> social construct</w:t>
      </w:r>
      <w:r w:rsidR="0073518B" w:rsidRPr="005D4222">
        <w:rPr>
          <w:i/>
          <w:iCs/>
        </w:rPr>
        <w:t>s</w:t>
      </w:r>
      <w:r w:rsidRPr="005D4222">
        <w:rPr>
          <w:i/>
          <w:iCs/>
        </w:rPr>
        <w:t xml:space="preserve">, not biological; stratifying HEDIS measures by race and ethnicity is intended to further understanding of racial and ethnic disparities in care and to hold health plans accountable to address such disparities, with the goal of achieving equitable health care and outcomes. Data are not to be used to further bias in health care or </w:t>
      </w:r>
      <w:r w:rsidR="005B0CD8" w:rsidRPr="005D4222">
        <w:rPr>
          <w:i/>
          <w:iCs/>
        </w:rPr>
        <w:t xml:space="preserve">to </w:t>
      </w:r>
      <w:r w:rsidRPr="005D4222">
        <w:rPr>
          <w:i/>
          <w:iCs/>
        </w:rPr>
        <w:t>suggest that race and ethnicity are biological determinants of health.</w:t>
      </w:r>
    </w:p>
    <w:p w14:paraId="2CEC2F65" w14:textId="77777777" w:rsidR="00834FBA" w:rsidRPr="005D4222" w:rsidRDefault="00834FBA" w:rsidP="00834FBA">
      <w:pPr>
        <w:pStyle w:val="ProcessBullet"/>
        <w:rPr>
          <w:i/>
          <w:iCs/>
        </w:rPr>
      </w:pPr>
      <w:r w:rsidRPr="005D4222">
        <w:rPr>
          <w:i/>
          <w:iCs/>
        </w:rPr>
        <w:t xml:space="preserve">When multiple sources of data are used for race and ethnicity, there may be disagreements in the data collected. When this happens, data sources should be prioritized based on evaluation of anticipated accuracy. </w:t>
      </w:r>
      <w:r w:rsidRPr="005D4222" w:rsidDel="00580E6E">
        <w:rPr>
          <w:i/>
          <w:iCs/>
        </w:rPr>
        <w:t>This includes use of specific categories over nonspecific categories, most frequent or consistently reported category and selection of data with clear provenance (source, method of collection) over data without clear provenance.</w:t>
      </w:r>
      <w:r w:rsidRPr="005D4222">
        <w:rPr>
          <w:i/>
          <w:iCs/>
        </w:rPr>
        <w:t xml:space="preserve"> Known data sources should be prioritized over unknown data sources, and data collected directly by the organization should be prioritized over all other data sources.</w:t>
      </w:r>
    </w:p>
    <w:p w14:paraId="7BE30D5B" w14:textId="77777777" w:rsidR="00834FBA" w:rsidRPr="005D4222" w:rsidRDefault="00834FBA" w:rsidP="00834FBA">
      <w:pPr>
        <w:pStyle w:val="ProcessBullet"/>
        <w:rPr>
          <w:i/>
          <w:iCs/>
        </w:rPr>
      </w:pPr>
      <w:r w:rsidRPr="005D4222">
        <w:rPr>
          <w:i/>
          <w:iCs/>
        </w:rPr>
        <w:t>Race and ethnicity data may come from different categories of data source (direct, imputed, unknown, no data). In such cases, use the data source that applies to the data element (race, ethnicity). If the same data element is received from two different data sources, prioritize data sources based on the second bullet above.</w:t>
      </w:r>
    </w:p>
    <w:p w14:paraId="508449D4" w14:textId="7C941604" w:rsidR="00834FBA" w:rsidRPr="005D4222" w:rsidRDefault="00834FBA" w:rsidP="00834FBA">
      <w:pPr>
        <w:pStyle w:val="SubHeadNoTOC"/>
      </w:pPr>
      <w:bookmarkStart w:id="149" w:name="GG_Medicare_Socioeconomic"/>
      <w:r w:rsidRPr="005D4222">
        <w:rPr>
          <w:bCs/>
          <w:i/>
        </w:rPr>
        <w:t>General Guideline:</w:t>
      </w:r>
      <w:r w:rsidRPr="005D4222">
        <w:t xml:space="preserve"> Medicare Socioeconomic Status </w:t>
      </w:r>
      <w:r w:rsidR="00B51CDC" w:rsidRPr="005D4222">
        <w:t>Stratifications</w:t>
      </w:r>
      <w:bookmarkEnd w:id="149"/>
      <w:r w:rsidRPr="005D4222">
        <w:t xml:space="preserve"> </w:t>
      </w:r>
    </w:p>
    <w:tbl>
      <w:tblPr>
        <w:tblW w:w="9810" w:type="dxa"/>
        <w:tblLayout w:type="fixed"/>
        <w:tblLook w:val="0000" w:firstRow="0" w:lastRow="0" w:firstColumn="0" w:lastColumn="0" w:noHBand="0" w:noVBand="0"/>
      </w:tblPr>
      <w:tblGrid>
        <w:gridCol w:w="2184"/>
        <w:gridCol w:w="7626"/>
      </w:tblGrid>
      <w:tr w:rsidR="00834FBA" w:rsidRPr="005D4222" w14:paraId="1534D526" w14:textId="77777777" w:rsidTr="009F6641">
        <w:tc>
          <w:tcPr>
            <w:tcW w:w="2184" w:type="dxa"/>
          </w:tcPr>
          <w:p w14:paraId="7E1127E6" w14:textId="77777777" w:rsidR="00834FBA" w:rsidRPr="005D4222" w:rsidRDefault="00834FBA" w:rsidP="009F6641">
            <w:pPr>
              <w:pStyle w:val="MarginSubhead"/>
            </w:pPr>
            <w:r w:rsidRPr="005D4222">
              <w:t>SES stratification</w:t>
            </w:r>
          </w:p>
        </w:tc>
        <w:tc>
          <w:tcPr>
            <w:tcW w:w="7626" w:type="dxa"/>
          </w:tcPr>
          <w:p w14:paraId="7334933E" w14:textId="77777777" w:rsidR="00834FBA" w:rsidRPr="005D4222" w:rsidRDefault="00834FBA" w:rsidP="009F6641">
            <w:pPr>
              <w:pStyle w:val="Body"/>
            </w:pPr>
            <w:r w:rsidRPr="005D4222">
              <w:t>The following measures instruct the organization to categorize Medicare members by socioeconomic status (SES) stratification.</w:t>
            </w:r>
          </w:p>
          <w:p w14:paraId="4301B8EB" w14:textId="77777777" w:rsidR="00834FBA" w:rsidRPr="005D4222" w:rsidRDefault="00834FBA" w:rsidP="009C3EB2">
            <w:pPr>
              <w:pStyle w:val="StyleBulletItalic"/>
              <w:numPr>
                <w:ilvl w:val="0"/>
                <w:numId w:val="4"/>
              </w:numPr>
              <w:ind w:left="576" w:hanging="216"/>
              <w:rPr>
                <w:i w:val="0"/>
                <w:iCs w:val="0"/>
              </w:rPr>
            </w:pPr>
            <w:r w:rsidRPr="005D4222">
              <w:rPr>
                <w:i w:val="0"/>
                <w:iCs w:val="0"/>
              </w:rPr>
              <w:t xml:space="preserve">Breast Cancer Screening. </w:t>
            </w:r>
          </w:p>
          <w:p w14:paraId="341FF1E7" w14:textId="77777777" w:rsidR="00834FBA" w:rsidRPr="005D4222" w:rsidRDefault="00834FBA" w:rsidP="009C3EB2">
            <w:pPr>
              <w:pStyle w:val="StyleBulletItalic"/>
              <w:numPr>
                <w:ilvl w:val="0"/>
                <w:numId w:val="4"/>
              </w:numPr>
              <w:ind w:left="576" w:hanging="216"/>
              <w:rPr>
                <w:i w:val="0"/>
                <w:iCs w:val="0"/>
              </w:rPr>
            </w:pPr>
            <w:r w:rsidRPr="005D4222">
              <w:rPr>
                <w:i w:val="0"/>
                <w:iCs w:val="0"/>
              </w:rPr>
              <w:t>Colorectal Cancer Screening.</w:t>
            </w:r>
          </w:p>
          <w:p w14:paraId="488FFF49" w14:textId="77777777" w:rsidR="00834FBA" w:rsidRPr="005D4222" w:rsidRDefault="00834FBA" w:rsidP="009C3EB2">
            <w:pPr>
              <w:pStyle w:val="StyleBulletItalic"/>
              <w:numPr>
                <w:ilvl w:val="0"/>
                <w:numId w:val="4"/>
              </w:numPr>
              <w:ind w:left="576" w:hanging="216"/>
              <w:rPr>
                <w:i w:val="0"/>
              </w:rPr>
            </w:pPr>
            <w:r w:rsidRPr="005D4222" w:rsidDel="0099591B">
              <w:rPr>
                <w:i w:val="0"/>
                <w:iCs w:val="0"/>
              </w:rPr>
              <w:t>Eye Exam for Patients With Diabetes</w:t>
            </w:r>
            <w:r w:rsidRPr="005D4222">
              <w:rPr>
                <w:i w:val="0"/>
                <w:iCs w:val="0"/>
              </w:rPr>
              <w:t>.</w:t>
            </w:r>
          </w:p>
          <w:p w14:paraId="57418197" w14:textId="77777777" w:rsidR="00834FBA" w:rsidRPr="005D4222" w:rsidRDefault="00834FBA" w:rsidP="009C3EB2">
            <w:pPr>
              <w:pStyle w:val="StyleBulletItalic"/>
              <w:numPr>
                <w:ilvl w:val="0"/>
                <w:numId w:val="4"/>
              </w:numPr>
              <w:ind w:left="576" w:hanging="216"/>
              <w:rPr>
                <w:i w:val="0"/>
              </w:rPr>
            </w:pPr>
            <w:r w:rsidRPr="005D4222">
              <w:rPr>
                <w:i w:val="0"/>
                <w:iCs w:val="0"/>
              </w:rPr>
              <w:t>Plan All-Cause Readmissions.</w:t>
            </w:r>
          </w:p>
          <w:p w14:paraId="0715512E" w14:textId="77777777" w:rsidR="00834FBA" w:rsidRPr="005D4222" w:rsidRDefault="00834FBA" w:rsidP="009F6641">
            <w:pPr>
              <w:pStyle w:val="Body"/>
            </w:pPr>
            <w:r w:rsidRPr="005D4222">
              <w:t xml:space="preserve">Report Medicare members in only one of the six stratifications listed below. Use the LIS History (LISHIST) file corresponding to the continuous enrollment period to assess if the member meets the definition for the LIS/DE status. </w:t>
            </w:r>
          </w:p>
          <w:p w14:paraId="57471A4A" w14:textId="77777777" w:rsidR="00834FBA" w:rsidRPr="005D4222" w:rsidRDefault="00834FBA" w:rsidP="009F6641">
            <w:pPr>
              <w:pStyle w:val="Body"/>
            </w:pPr>
            <w:r w:rsidRPr="005D4222">
              <w:t xml:space="preserve">Use the Monthly Membership Detail Data Report (MMDR) file for the Original Reason for Entitlement Code (OREC) Item 48 to determine age and disability status. </w:t>
            </w:r>
          </w:p>
          <w:p w14:paraId="48F1CBBE" w14:textId="77777777" w:rsidR="0088645B" w:rsidRPr="005D4222" w:rsidRDefault="0088645B" w:rsidP="0088645B">
            <w:pPr>
              <w:pStyle w:val="Body"/>
            </w:pPr>
            <w:r w:rsidRPr="005D4222">
              <w:t xml:space="preserve">Assess continuous enrollment eligibility before assessing SES stratification. </w:t>
            </w:r>
          </w:p>
          <w:p w14:paraId="7F22086B" w14:textId="77777777" w:rsidR="0088645B" w:rsidRPr="005D4222" w:rsidRDefault="0088645B" w:rsidP="000273B0">
            <w:pPr>
              <w:pStyle w:val="StyleBulletItalic"/>
              <w:numPr>
                <w:ilvl w:val="0"/>
                <w:numId w:val="4"/>
              </w:numPr>
              <w:spacing w:before="0"/>
              <w:ind w:left="576" w:hanging="216"/>
              <w:rPr>
                <w:i w:val="0"/>
              </w:rPr>
            </w:pPr>
            <w:r w:rsidRPr="005D4222">
              <w:lastRenderedPageBreak/>
              <w:t xml:space="preserve">Non-LIS/DE, Non-disability: </w:t>
            </w:r>
            <w:r w:rsidRPr="005D4222">
              <w:rPr>
                <w:i w:val="0"/>
                <w:iCs w:val="0"/>
              </w:rPr>
              <w:t>Member is eligible for Medicare due to age only (does not receive LIS, is not DE for Medicaid, does not have disability status).</w:t>
            </w:r>
          </w:p>
          <w:p w14:paraId="57A9ED40" w14:textId="77777777" w:rsidR="0088645B" w:rsidRPr="005D4222" w:rsidRDefault="0088645B" w:rsidP="0088645B">
            <w:pPr>
              <w:pStyle w:val="Bullet"/>
              <w:rPr>
                <w:iCs/>
              </w:rPr>
            </w:pPr>
            <w:r w:rsidRPr="005D4222">
              <w:rPr>
                <w:i/>
                <w:iCs/>
              </w:rPr>
              <w:t>LIS/DE:</w:t>
            </w:r>
            <w:r w:rsidRPr="005D4222">
              <w:rPr>
                <w:iCs/>
              </w:rPr>
              <w:t xml:space="preserve"> Member is eligible for Medicare due to age</w:t>
            </w:r>
            <w:r w:rsidRPr="005D4222" w:rsidDel="008B4022">
              <w:rPr>
                <w:iCs/>
              </w:rPr>
              <w:t xml:space="preserve"> and</w:t>
            </w:r>
            <w:r w:rsidRPr="005D4222">
              <w:rPr>
                <w:iCs/>
              </w:rPr>
              <w:t xml:space="preserve"> receives LIS (includes members eligible for Medicare due to DE) and does not have disability status. </w:t>
            </w:r>
          </w:p>
          <w:p w14:paraId="2CFF9E2C" w14:textId="77777777" w:rsidR="0088645B" w:rsidRPr="005D4222" w:rsidRDefault="0088645B" w:rsidP="009C3EB2">
            <w:pPr>
              <w:pStyle w:val="StyleBulletItalic"/>
              <w:numPr>
                <w:ilvl w:val="0"/>
                <w:numId w:val="4"/>
              </w:numPr>
              <w:ind w:left="576" w:hanging="216"/>
              <w:rPr>
                <w:i w:val="0"/>
              </w:rPr>
            </w:pPr>
            <w:r w:rsidRPr="005D4222">
              <w:t xml:space="preserve">Disability: </w:t>
            </w:r>
            <w:r w:rsidRPr="005D4222">
              <w:rPr>
                <w:i w:val="0"/>
                <w:iCs w:val="0"/>
              </w:rPr>
              <w:t xml:space="preserve">Member is eligible for Medicare due to disability status only. </w:t>
            </w:r>
          </w:p>
          <w:p w14:paraId="6563C35E" w14:textId="77777777" w:rsidR="0088645B" w:rsidRPr="005D4222" w:rsidRDefault="0088645B" w:rsidP="009C3EB2">
            <w:pPr>
              <w:pStyle w:val="StyleBulletItalic"/>
              <w:numPr>
                <w:ilvl w:val="0"/>
                <w:numId w:val="4"/>
              </w:numPr>
              <w:ind w:left="576" w:hanging="216"/>
              <w:rPr>
                <w:i w:val="0"/>
              </w:rPr>
            </w:pPr>
            <w:r w:rsidRPr="005D4222">
              <w:t>LIS/DE and Disability:</w:t>
            </w:r>
            <w:r w:rsidRPr="005D4222">
              <w:rPr>
                <w:i w:val="0"/>
                <w:iCs w:val="0"/>
              </w:rPr>
              <w:t xml:space="preserve"> Member is eligible for Medicare due to age, receives LIS </w:t>
            </w:r>
            <w:r w:rsidRPr="005D4222">
              <w:rPr>
                <w:b/>
                <w:bCs/>
              </w:rPr>
              <w:t>and</w:t>
            </w:r>
            <w:r w:rsidRPr="005D4222">
              <w:rPr>
                <w:i w:val="0"/>
                <w:iCs w:val="0"/>
              </w:rPr>
              <w:t xml:space="preserve"> has disability status.</w:t>
            </w:r>
          </w:p>
          <w:p w14:paraId="3F4ACEA1" w14:textId="77777777" w:rsidR="0088645B" w:rsidRPr="005D4222" w:rsidRDefault="0088645B" w:rsidP="009C3EB2">
            <w:pPr>
              <w:pStyle w:val="StyleBulletItalic"/>
              <w:numPr>
                <w:ilvl w:val="0"/>
                <w:numId w:val="4"/>
              </w:numPr>
              <w:ind w:left="576" w:hanging="216"/>
            </w:pPr>
            <w:r w:rsidRPr="005D4222">
              <w:t>Other:</w:t>
            </w:r>
            <w:r w:rsidRPr="005D4222">
              <w:rPr>
                <w:i w:val="0"/>
                <w:iCs w:val="0"/>
              </w:rPr>
              <w:t xml:space="preserve"> Member has ESRD-only status or is assigned “9—none of the above.”</w:t>
            </w:r>
          </w:p>
          <w:p w14:paraId="33E5DC64" w14:textId="77777777" w:rsidR="0088645B" w:rsidRPr="005D4222" w:rsidRDefault="0088645B" w:rsidP="009C3EB2">
            <w:pPr>
              <w:pStyle w:val="StyleBulletItalic"/>
              <w:numPr>
                <w:ilvl w:val="0"/>
                <w:numId w:val="4"/>
              </w:numPr>
              <w:ind w:left="576" w:hanging="216"/>
              <w:rPr>
                <w:i w:val="0"/>
              </w:rPr>
            </w:pPr>
            <w:r w:rsidRPr="005D4222">
              <w:t xml:space="preserve">Unknown: </w:t>
            </w:r>
            <w:r w:rsidRPr="005D4222">
              <w:rPr>
                <w:i w:val="0"/>
                <w:iCs w:val="0"/>
              </w:rPr>
              <w:t>Member’s SES is unknown. May be &gt;0 only for Puerto Rico plans, or if the auditor approved a small number of unassigned members*.</w:t>
            </w:r>
          </w:p>
          <w:p w14:paraId="1444C35E" w14:textId="77777777" w:rsidR="0088645B" w:rsidRPr="005D4222" w:rsidRDefault="0088645B" w:rsidP="009C3EB2">
            <w:pPr>
              <w:pStyle w:val="StyleBulletItalic"/>
              <w:numPr>
                <w:ilvl w:val="0"/>
                <w:numId w:val="4"/>
              </w:numPr>
              <w:ind w:left="576" w:hanging="216"/>
            </w:pPr>
            <w:r w:rsidRPr="005D4222">
              <w:t xml:space="preserve">Total Medicare: </w:t>
            </w:r>
            <w:r w:rsidRPr="005D4222">
              <w:rPr>
                <w:i w:val="0"/>
                <w:iCs w:val="0"/>
              </w:rPr>
              <w:t>Total of all categories above.</w:t>
            </w:r>
          </w:p>
          <w:p w14:paraId="2D07BB3A" w14:textId="77777777" w:rsidR="0088645B" w:rsidRPr="005D4222" w:rsidRDefault="0088645B" w:rsidP="0088645B">
            <w:pPr>
              <w:pStyle w:val="Note"/>
              <w:ind w:left="86" w:hanging="86"/>
            </w:pPr>
            <w:r w:rsidRPr="005D4222">
              <w:rPr>
                <w:b/>
                <w:bCs/>
              </w:rPr>
              <w:t>*</w:t>
            </w:r>
            <w:r w:rsidRPr="005D4222">
              <w:t>Plans must work with auditors to uncover anomalies early (e.g., during preliminary rate review) and attempt to resolve the cause. Medicare members in Puerto Rico must be counted in the “Unknown” category.</w:t>
            </w:r>
          </w:p>
          <w:p w14:paraId="57D80496" w14:textId="6DBF07F4" w:rsidR="0088645B" w:rsidRPr="005D4222" w:rsidRDefault="0088645B" w:rsidP="0088645B">
            <w:pPr>
              <w:pStyle w:val="Note"/>
              <w:ind w:left="58"/>
              <w:rPr>
                <w:strike/>
              </w:rPr>
            </w:pPr>
            <w:r w:rsidRPr="005D4222">
              <w:t>Except for plans in Puerto Rico, which report all members in “Unknown,” it is expected that the member count in this category will be at or below 1%. If more than 1% of eligible members are assigned to “Unknown,” the plan must work with the auditor to identify why members are being categorized as “Unknown.”</w:t>
            </w:r>
          </w:p>
        </w:tc>
      </w:tr>
      <w:tr w:rsidR="00834FBA" w:rsidRPr="005D4222" w14:paraId="57E8F4FE" w14:textId="77777777" w:rsidTr="009F6641">
        <w:tc>
          <w:tcPr>
            <w:tcW w:w="2184" w:type="dxa"/>
          </w:tcPr>
          <w:p w14:paraId="26E1C070" w14:textId="77777777" w:rsidR="00834FBA" w:rsidRPr="005D4222" w:rsidRDefault="00834FBA" w:rsidP="009F6641">
            <w:pPr>
              <w:pStyle w:val="MarginSubhead"/>
            </w:pPr>
          </w:p>
        </w:tc>
        <w:tc>
          <w:tcPr>
            <w:tcW w:w="7626" w:type="dxa"/>
          </w:tcPr>
          <w:p w14:paraId="05FD0D04" w14:textId="77777777" w:rsidR="00834FBA" w:rsidRPr="005D4222" w:rsidRDefault="00834FBA" w:rsidP="009F6641">
            <w:pPr>
              <w:pStyle w:val="Body"/>
            </w:pPr>
            <w:r w:rsidRPr="005D4222">
              <w:t>Use the SES Stratification Logic table below to determine the member’s stratification at any time during the measure’s continuous enrollment period.</w:t>
            </w:r>
          </w:p>
        </w:tc>
      </w:tr>
    </w:tbl>
    <w:p w14:paraId="1F0BAA5D" w14:textId="040D65D0" w:rsidR="00834FBA" w:rsidRPr="005D4222" w:rsidRDefault="00834FBA" w:rsidP="00834FBA">
      <w:pPr>
        <w:pStyle w:val="Heading3"/>
      </w:pPr>
      <w:r w:rsidRPr="005D4222">
        <w:t xml:space="preserve">Table 1: SES </w:t>
      </w:r>
      <w:r w:rsidR="00B51CDC" w:rsidRPr="005D4222">
        <w:t>Stratifications</w:t>
      </w:r>
      <w:r w:rsidRPr="005D4222">
        <w:t xml:space="preserve"> Logic Using the MMDR </w:t>
      </w:r>
      <w:r w:rsidRPr="005D4222">
        <w:rPr>
          <w:iCs/>
        </w:rPr>
        <w:t xml:space="preserve">(for OREC) </w:t>
      </w:r>
      <w:r w:rsidRPr="005D4222">
        <w:t>and the LISHIST File (for LIS)</w:t>
      </w:r>
    </w:p>
    <w:tbl>
      <w:tblPr>
        <w:tblStyle w:val="TableGrid1"/>
        <w:tblW w:w="0" w:type="auto"/>
        <w:tblLook w:val="04A0" w:firstRow="1" w:lastRow="0" w:firstColumn="1" w:lastColumn="0" w:noHBand="0" w:noVBand="1"/>
      </w:tblPr>
      <w:tblGrid>
        <w:gridCol w:w="2155"/>
        <w:gridCol w:w="3870"/>
        <w:gridCol w:w="3685"/>
      </w:tblGrid>
      <w:tr w:rsidR="00834FBA" w:rsidRPr="005D4222" w14:paraId="6BEE297C" w14:textId="77777777" w:rsidTr="00F90ED2">
        <w:tc>
          <w:tcPr>
            <w:tcW w:w="2155" w:type="dxa"/>
            <w:tcBorders>
              <w:right w:val="single" w:sz="6" w:space="0" w:color="FFFFFF" w:themeColor="background1"/>
            </w:tcBorders>
            <w:shd w:val="clear" w:color="auto" w:fill="000000" w:themeFill="text1"/>
            <w:tcMar>
              <w:left w:w="86" w:type="dxa"/>
              <w:right w:w="86" w:type="dxa"/>
            </w:tcMar>
          </w:tcPr>
          <w:p w14:paraId="1D936F74" w14:textId="77777777" w:rsidR="00834FBA" w:rsidRPr="005D4222" w:rsidRDefault="00834FBA" w:rsidP="00D646F2">
            <w:pPr>
              <w:pStyle w:val="TableHead"/>
              <w:spacing w:before="50" w:after="50" w:line="240" w:lineRule="auto"/>
              <w:rPr>
                <w:rFonts w:ascii="Arial" w:hAnsi="Arial" w:cs="Arial"/>
                <w:szCs w:val="20"/>
              </w:rPr>
            </w:pPr>
            <w:r w:rsidRPr="005D4222">
              <w:rPr>
                <w:rFonts w:ascii="Arial" w:hAnsi="Arial" w:cs="Arial"/>
                <w:szCs w:val="20"/>
              </w:rPr>
              <w:t>Strata</w:t>
            </w:r>
          </w:p>
        </w:tc>
        <w:tc>
          <w:tcPr>
            <w:tcW w:w="3870" w:type="dxa"/>
            <w:tcBorders>
              <w:left w:val="single" w:sz="6" w:space="0" w:color="FFFFFF" w:themeColor="background1"/>
              <w:right w:val="single" w:sz="6" w:space="0" w:color="FFFFFF" w:themeColor="background1"/>
            </w:tcBorders>
            <w:shd w:val="clear" w:color="auto" w:fill="000000" w:themeFill="text1"/>
            <w:tcMar>
              <w:left w:w="86" w:type="dxa"/>
              <w:right w:w="86" w:type="dxa"/>
            </w:tcMar>
          </w:tcPr>
          <w:p w14:paraId="3C277B6D" w14:textId="77777777" w:rsidR="00834FBA" w:rsidRPr="005D4222" w:rsidRDefault="00834FBA" w:rsidP="00D646F2">
            <w:pPr>
              <w:pStyle w:val="TableHead"/>
              <w:spacing w:before="50" w:after="50" w:line="240" w:lineRule="auto"/>
              <w:rPr>
                <w:rFonts w:ascii="Arial" w:hAnsi="Arial" w:cs="Arial"/>
                <w:szCs w:val="20"/>
              </w:rPr>
            </w:pPr>
            <w:r w:rsidRPr="005D4222">
              <w:rPr>
                <w:rFonts w:ascii="Arial" w:hAnsi="Arial" w:cs="Arial"/>
                <w:szCs w:val="20"/>
              </w:rPr>
              <w:t>Logic</w:t>
            </w:r>
          </w:p>
        </w:tc>
        <w:tc>
          <w:tcPr>
            <w:tcW w:w="3685" w:type="dxa"/>
            <w:tcBorders>
              <w:left w:val="single" w:sz="6" w:space="0" w:color="FFFFFF" w:themeColor="background1"/>
            </w:tcBorders>
            <w:shd w:val="clear" w:color="auto" w:fill="000000" w:themeFill="text1"/>
            <w:tcMar>
              <w:left w:w="86" w:type="dxa"/>
              <w:right w:w="86" w:type="dxa"/>
            </w:tcMar>
          </w:tcPr>
          <w:p w14:paraId="51B6C69C" w14:textId="77777777" w:rsidR="00834FBA" w:rsidRPr="005D4222" w:rsidRDefault="00834FBA" w:rsidP="00D646F2">
            <w:pPr>
              <w:pStyle w:val="TableHead"/>
              <w:spacing w:before="50" w:after="50" w:line="240" w:lineRule="auto"/>
              <w:rPr>
                <w:rFonts w:ascii="Arial" w:hAnsi="Arial" w:cs="Arial"/>
                <w:szCs w:val="20"/>
              </w:rPr>
            </w:pPr>
            <w:r w:rsidRPr="005D4222">
              <w:rPr>
                <w:rFonts w:ascii="Arial" w:hAnsi="Arial" w:cs="Arial"/>
                <w:szCs w:val="20"/>
              </w:rPr>
              <w:t>Rationale</w:t>
            </w:r>
          </w:p>
        </w:tc>
      </w:tr>
      <w:tr w:rsidR="00834FBA" w:rsidRPr="005D4222" w14:paraId="6E617055" w14:textId="77777777" w:rsidTr="00F90ED2">
        <w:tc>
          <w:tcPr>
            <w:tcW w:w="2155" w:type="dxa"/>
            <w:tcMar>
              <w:left w:w="86" w:type="dxa"/>
              <w:right w:w="86" w:type="dxa"/>
            </w:tcMar>
          </w:tcPr>
          <w:p w14:paraId="2ABA5995" w14:textId="77777777" w:rsidR="00834FBA" w:rsidRPr="003123CD" w:rsidRDefault="00834FBA" w:rsidP="00B36424">
            <w:pPr>
              <w:pStyle w:val="TableText"/>
              <w:spacing w:line="240" w:lineRule="auto"/>
              <w:rPr>
                <w:rFonts w:ascii="Arial" w:hAnsi="Arial" w:cs="Arial"/>
                <w:szCs w:val="20"/>
                <w:lang w:val="fr-FR"/>
              </w:rPr>
            </w:pPr>
            <w:r w:rsidRPr="003123CD">
              <w:rPr>
                <w:rFonts w:ascii="Arial" w:hAnsi="Arial" w:cs="Arial"/>
                <w:szCs w:val="20"/>
                <w:lang w:val="fr-FR"/>
              </w:rPr>
              <w:t>Non-LIS/DE, Non-disability</w:t>
            </w:r>
          </w:p>
        </w:tc>
        <w:tc>
          <w:tcPr>
            <w:tcW w:w="3870" w:type="dxa"/>
            <w:tcMar>
              <w:left w:w="86" w:type="dxa"/>
              <w:right w:w="86" w:type="dxa"/>
            </w:tcMar>
          </w:tcPr>
          <w:p w14:paraId="4A0B7362" w14:textId="77777777" w:rsidR="00834FBA" w:rsidRPr="005D4222" w:rsidRDefault="00834FBA" w:rsidP="00B36424">
            <w:pPr>
              <w:pStyle w:val="TableText"/>
              <w:spacing w:line="240" w:lineRule="auto"/>
              <w:rPr>
                <w:rFonts w:ascii="Arial" w:hAnsi="Arial" w:cs="Arial"/>
                <w:szCs w:val="20"/>
              </w:rPr>
            </w:pPr>
            <w:r w:rsidRPr="005D4222">
              <w:rPr>
                <w:rFonts w:ascii="Arial" w:hAnsi="Arial" w:cs="Arial"/>
                <w:szCs w:val="20"/>
              </w:rPr>
              <w:t xml:space="preserve">No LISHIST record and item 48 = 0 </w:t>
            </w:r>
          </w:p>
        </w:tc>
        <w:tc>
          <w:tcPr>
            <w:tcW w:w="3685" w:type="dxa"/>
            <w:tcMar>
              <w:left w:w="86" w:type="dxa"/>
              <w:right w:w="86" w:type="dxa"/>
            </w:tcMar>
          </w:tcPr>
          <w:p w14:paraId="345650AB" w14:textId="77777777" w:rsidR="00834FBA" w:rsidRPr="005D4222" w:rsidRDefault="00834FBA" w:rsidP="00B36424">
            <w:pPr>
              <w:pStyle w:val="TableText"/>
              <w:spacing w:line="240" w:lineRule="auto"/>
              <w:rPr>
                <w:rFonts w:ascii="Arial" w:hAnsi="Arial" w:cs="Arial"/>
                <w:szCs w:val="20"/>
              </w:rPr>
            </w:pPr>
            <w:r w:rsidRPr="005D4222">
              <w:rPr>
                <w:rFonts w:ascii="Arial" w:hAnsi="Arial" w:cs="Arial"/>
                <w:szCs w:val="20"/>
              </w:rPr>
              <w:t>No LISHIST record, no disability status, no ESRD.</w:t>
            </w:r>
          </w:p>
        </w:tc>
      </w:tr>
      <w:tr w:rsidR="00834FBA" w:rsidRPr="005D4222" w14:paraId="6B58327C" w14:textId="77777777" w:rsidTr="00F90ED2">
        <w:tc>
          <w:tcPr>
            <w:tcW w:w="2155" w:type="dxa"/>
            <w:shd w:val="clear" w:color="auto" w:fill="FFFFFF" w:themeFill="background1"/>
            <w:tcMar>
              <w:left w:w="86" w:type="dxa"/>
              <w:right w:w="86" w:type="dxa"/>
            </w:tcMar>
          </w:tcPr>
          <w:p w14:paraId="2B1F6045" w14:textId="77777777" w:rsidR="00834FBA" w:rsidRPr="005D4222" w:rsidRDefault="00834FBA" w:rsidP="00B36424">
            <w:pPr>
              <w:pStyle w:val="TableText"/>
              <w:spacing w:line="240" w:lineRule="auto"/>
              <w:rPr>
                <w:rFonts w:ascii="Arial" w:hAnsi="Arial" w:cs="Arial"/>
                <w:szCs w:val="20"/>
              </w:rPr>
            </w:pPr>
            <w:r w:rsidRPr="005D4222">
              <w:rPr>
                <w:rFonts w:ascii="Arial" w:hAnsi="Arial" w:cs="Arial"/>
                <w:szCs w:val="20"/>
              </w:rPr>
              <w:t xml:space="preserve">LIS/DE </w:t>
            </w:r>
          </w:p>
        </w:tc>
        <w:tc>
          <w:tcPr>
            <w:tcW w:w="3870" w:type="dxa"/>
            <w:shd w:val="clear" w:color="auto" w:fill="FFFFFF" w:themeFill="background1"/>
            <w:tcMar>
              <w:left w:w="86" w:type="dxa"/>
              <w:right w:w="86" w:type="dxa"/>
            </w:tcMar>
          </w:tcPr>
          <w:p w14:paraId="6DBD066A" w14:textId="77777777" w:rsidR="00834FBA" w:rsidRPr="005D4222" w:rsidRDefault="00834FBA" w:rsidP="00B36424">
            <w:pPr>
              <w:pStyle w:val="TableText"/>
              <w:spacing w:line="240" w:lineRule="auto"/>
              <w:rPr>
                <w:rFonts w:ascii="Arial" w:hAnsi="Arial" w:cs="Arial"/>
                <w:szCs w:val="20"/>
              </w:rPr>
            </w:pPr>
            <w:r w:rsidRPr="005D4222">
              <w:rPr>
                <w:rFonts w:ascii="Arial" w:hAnsi="Arial" w:cs="Arial"/>
                <w:szCs w:val="20"/>
              </w:rPr>
              <w:t>LISHIST record and item 48 = 0</w:t>
            </w:r>
          </w:p>
        </w:tc>
        <w:tc>
          <w:tcPr>
            <w:tcW w:w="3685" w:type="dxa"/>
            <w:shd w:val="clear" w:color="auto" w:fill="FFFFFF" w:themeFill="background1"/>
            <w:tcMar>
              <w:left w:w="86" w:type="dxa"/>
              <w:right w:w="86" w:type="dxa"/>
            </w:tcMar>
          </w:tcPr>
          <w:p w14:paraId="07ABF810" w14:textId="77777777" w:rsidR="00834FBA" w:rsidRPr="005D4222" w:rsidRDefault="00834FBA" w:rsidP="00B36424">
            <w:pPr>
              <w:pStyle w:val="TableText"/>
              <w:spacing w:line="240" w:lineRule="auto"/>
              <w:rPr>
                <w:rFonts w:ascii="Arial" w:hAnsi="Arial" w:cs="Arial"/>
                <w:szCs w:val="20"/>
              </w:rPr>
            </w:pPr>
            <w:r w:rsidRPr="005D4222">
              <w:rPr>
                <w:rFonts w:ascii="Arial" w:hAnsi="Arial" w:cs="Arial"/>
                <w:szCs w:val="20"/>
              </w:rPr>
              <w:t>LISHIST record; counts only payments due to age.</w:t>
            </w:r>
          </w:p>
        </w:tc>
      </w:tr>
      <w:tr w:rsidR="00834FBA" w:rsidRPr="005D4222" w14:paraId="44039BCC" w14:textId="77777777" w:rsidTr="00F90ED2">
        <w:tc>
          <w:tcPr>
            <w:tcW w:w="2155" w:type="dxa"/>
            <w:shd w:val="clear" w:color="auto" w:fill="FFFFFF" w:themeFill="background1"/>
            <w:tcMar>
              <w:left w:w="86" w:type="dxa"/>
              <w:right w:w="86" w:type="dxa"/>
            </w:tcMar>
          </w:tcPr>
          <w:p w14:paraId="3195B37D" w14:textId="77777777" w:rsidR="00834FBA" w:rsidRPr="005D4222" w:rsidRDefault="00834FBA" w:rsidP="00B36424">
            <w:pPr>
              <w:pStyle w:val="TableText"/>
              <w:spacing w:line="240" w:lineRule="auto"/>
              <w:rPr>
                <w:rFonts w:ascii="Arial" w:hAnsi="Arial" w:cs="Arial"/>
                <w:szCs w:val="20"/>
              </w:rPr>
            </w:pPr>
            <w:r w:rsidRPr="005D4222">
              <w:rPr>
                <w:rFonts w:ascii="Arial" w:hAnsi="Arial" w:cs="Arial"/>
                <w:szCs w:val="20"/>
              </w:rPr>
              <w:t>Disability</w:t>
            </w:r>
          </w:p>
        </w:tc>
        <w:tc>
          <w:tcPr>
            <w:tcW w:w="3870" w:type="dxa"/>
            <w:shd w:val="clear" w:color="auto" w:fill="FFFFFF" w:themeFill="background1"/>
            <w:tcMar>
              <w:left w:w="86" w:type="dxa"/>
              <w:right w:w="86" w:type="dxa"/>
            </w:tcMar>
          </w:tcPr>
          <w:p w14:paraId="57138060" w14:textId="777C7173" w:rsidR="00834FBA" w:rsidRPr="005D4222" w:rsidRDefault="00834FBA" w:rsidP="00B36424">
            <w:pPr>
              <w:pStyle w:val="TableText"/>
              <w:spacing w:line="240" w:lineRule="auto"/>
              <w:rPr>
                <w:rFonts w:ascii="Arial" w:hAnsi="Arial" w:cs="Arial"/>
                <w:szCs w:val="20"/>
              </w:rPr>
            </w:pPr>
            <w:r w:rsidRPr="005D4222">
              <w:rPr>
                <w:rFonts w:ascii="Arial" w:hAnsi="Arial" w:cs="Arial"/>
                <w:szCs w:val="20"/>
              </w:rPr>
              <w:t xml:space="preserve">No LISHIST record and item 48 = 1 or 3 </w:t>
            </w:r>
          </w:p>
        </w:tc>
        <w:tc>
          <w:tcPr>
            <w:tcW w:w="3685" w:type="dxa"/>
            <w:shd w:val="clear" w:color="auto" w:fill="FFFFFF" w:themeFill="background1"/>
            <w:tcMar>
              <w:left w:w="86" w:type="dxa"/>
              <w:right w:w="86" w:type="dxa"/>
            </w:tcMar>
          </w:tcPr>
          <w:p w14:paraId="2230C509" w14:textId="25A81473" w:rsidR="00834FBA" w:rsidRPr="005D4222" w:rsidRDefault="00834FBA" w:rsidP="00B36424">
            <w:pPr>
              <w:pStyle w:val="TableText"/>
              <w:spacing w:line="240" w:lineRule="auto"/>
              <w:rPr>
                <w:rFonts w:ascii="Arial" w:hAnsi="Arial" w:cs="Arial"/>
                <w:szCs w:val="20"/>
              </w:rPr>
            </w:pPr>
            <w:r w:rsidRPr="005D4222">
              <w:rPr>
                <w:rFonts w:ascii="Arial" w:hAnsi="Arial" w:cs="Arial"/>
                <w:szCs w:val="20"/>
              </w:rPr>
              <w:t xml:space="preserve">No LISHIST record; counts only payments with disability status (code </w:t>
            </w:r>
            <w:r w:rsidR="00F90ED2" w:rsidRPr="005D4222">
              <w:rPr>
                <w:rFonts w:ascii="Arial" w:hAnsi="Arial" w:cs="Arial"/>
                <w:szCs w:val="20"/>
              </w:rPr>
              <w:br/>
            </w:r>
            <w:r w:rsidRPr="005D4222">
              <w:rPr>
                <w:rFonts w:ascii="Arial" w:hAnsi="Arial" w:cs="Arial"/>
                <w:szCs w:val="20"/>
              </w:rPr>
              <w:t>1 or 3).</w:t>
            </w:r>
          </w:p>
        </w:tc>
      </w:tr>
      <w:tr w:rsidR="00834FBA" w:rsidRPr="005D4222" w14:paraId="6ECA1109" w14:textId="77777777" w:rsidTr="00F90ED2">
        <w:tc>
          <w:tcPr>
            <w:tcW w:w="2155" w:type="dxa"/>
            <w:shd w:val="clear" w:color="auto" w:fill="FFFFFF" w:themeFill="background1"/>
            <w:tcMar>
              <w:left w:w="86" w:type="dxa"/>
              <w:right w:w="86" w:type="dxa"/>
            </w:tcMar>
          </w:tcPr>
          <w:p w14:paraId="597CBD6B" w14:textId="77777777" w:rsidR="00834FBA" w:rsidRPr="005D4222" w:rsidRDefault="00834FBA" w:rsidP="00B36424">
            <w:pPr>
              <w:pStyle w:val="TableText"/>
              <w:spacing w:line="240" w:lineRule="auto"/>
              <w:rPr>
                <w:rFonts w:ascii="Arial" w:hAnsi="Arial" w:cs="Arial"/>
                <w:szCs w:val="20"/>
              </w:rPr>
            </w:pPr>
            <w:r w:rsidRPr="005D4222">
              <w:rPr>
                <w:rFonts w:ascii="Arial" w:hAnsi="Arial" w:cs="Arial"/>
                <w:szCs w:val="20"/>
              </w:rPr>
              <w:t>LIS/DE and Disability</w:t>
            </w:r>
          </w:p>
        </w:tc>
        <w:tc>
          <w:tcPr>
            <w:tcW w:w="3870" w:type="dxa"/>
            <w:shd w:val="clear" w:color="auto" w:fill="FFFFFF" w:themeFill="background1"/>
            <w:tcMar>
              <w:left w:w="86" w:type="dxa"/>
              <w:right w:w="86" w:type="dxa"/>
            </w:tcMar>
          </w:tcPr>
          <w:p w14:paraId="217BA9AF" w14:textId="77777777" w:rsidR="00834FBA" w:rsidRPr="005D4222" w:rsidRDefault="00834FBA" w:rsidP="00B36424">
            <w:pPr>
              <w:pStyle w:val="TableText"/>
              <w:spacing w:line="240" w:lineRule="auto"/>
              <w:rPr>
                <w:rFonts w:ascii="Arial" w:hAnsi="Arial" w:cs="Arial"/>
                <w:szCs w:val="20"/>
              </w:rPr>
            </w:pPr>
            <w:r w:rsidRPr="005D4222">
              <w:rPr>
                <w:rFonts w:ascii="Arial" w:hAnsi="Arial" w:cs="Arial"/>
                <w:szCs w:val="20"/>
              </w:rPr>
              <w:t xml:space="preserve">LISHIST record and item 48 = 1 or 3 </w:t>
            </w:r>
          </w:p>
        </w:tc>
        <w:tc>
          <w:tcPr>
            <w:tcW w:w="3685" w:type="dxa"/>
            <w:shd w:val="clear" w:color="auto" w:fill="FFFFFF" w:themeFill="background1"/>
            <w:tcMar>
              <w:left w:w="86" w:type="dxa"/>
              <w:right w:w="86" w:type="dxa"/>
            </w:tcMar>
          </w:tcPr>
          <w:p w14:paraId="20296310" w14:textId="77777777" w:rsidR="00834FBA" w:rsidRPr="005D4222" w:rsidRDefault="00834FBA" w:rsidP="00B36424">
            <w:pPr>
              <w:pStyle w:val="TableText"/>
              <w:spacing w:line="240" w:lineRule="auto"/>
              <w:rPr>
                <w:rFonts w:ascii="Arial" w:hAnsi="Arial" w:cs="Arial"/>
                <w:szCs w:val="20"/>
              </w:rPr>
            </w:pPr>
            <w:r w:rsidRPr="005D4222">
              <w:rPr>
                <w:rFonts w:ascii="Arial" w:hAnsi="Arial" w:cs="Arial"/>
                <w:szCs w:val="20"/>
              </w:rPr>
              <w:t>LISHIST record; counts only payments with disability status (code 1 or 3).</w:t>
            </w:r>
          </w:p>
        </w:tc>
      </w:tr>
      <w:tr w:rsidR="00834FBA" w:rsidRPr="005D4222" w14:paraId="4061CACD" w14:textId="77777777" w:rsidTr="00F90ED2">
        <w:tc>
          <w:tcPr>
            <w:tcW w:w="2155" w:type="dxa"/>
            <w:shd w:val="clear" w:color="auto" w:fill="FFFFFF" w:themeFill="background1"/>
            <w:tcMar>
              <w:left w:w="86" w:type="dxa"/>
              <w:right w:w="86" w:type="dxa"/>
            </w:tcMar>
          </w:tcPr>
          <w:p w14:paraId="58FC7743" w14:textId="77777777" w:rsidR="00834FBA" w:rsidRPr="005D4222" w:rsidRDefault="00834FBA" w:rsidP="00B36424">
            <w:pPr>
              <w:pStyle w:val="TableText"/>
              <w:spacing w:line="240" w:lineRule="auto"/>
              <w:rPr>
                <w:rFonts w:ascii="Arial" w:hAnsi="Arial" w:cs="Arial"/>
                <w:szCs w:val="20"/>
              </w:rPr>
            </w:pPr>
            <w:r w:rsidRPr="005D4222">
              <w:rPr>
                <w:rFonts w:ascii="Arial" w:hAnsi="Arial" w:cs="Arial"/>
                <w:szCs w:val="20"/>
              </w:rPr>
              <w:t>Other</w:t>
            </w:r>
          </w:p>
        </w:tc>
        <w:tc>
          <w:tcPr>
            <w:tcW w:w="3870" w:type="dxa"/>
            <w:shd w:val="clear" w:color="auto" w:fill="FFFFFF" w:themeFill="background1"/>
            <w:tcMar>
              <w:left w:w="86" w:type="dxa"/>
              <w:right w:w="86" w:type="dxa"/>
            </w:tcMar>
          </w:tcPr>
          <w:p w14:paraId="68781BE1" w14:textId="77777777" w:rsidR="00834FBA" w:rsidRPr="005D4222" w:rsidRDefault="00834FBA" w:rsidP="00B36424">
            <w:pPr>
              <w:pStyle w:val="TableText"/>
              <w:spacing w:line="240" w:lineRule="auto"/>
              <w:rPr>
                <w:rFonts w:ascii="Arial" w:hAnsi="Arial" w:cs="Arial"/>
                <w:szCs w:val="20"/>
              </w:rPr>
            </w:pPr>
            <w:r w:rsidRPr="005D4222">
              <w:rPr>
                <w:rFonts w:ascii="Arial" w:hAnsi="Arial" w:cs="Arial"/>
                <w:szCs w:val="20"/>
              </w:rPr>
              <w:t>Item 48 = 2 (ESRD) or 9 (None of the above)</w:t>
            </w:r>
          </w:p>
        </w:tc>
        <w:tc>
          <w:tcPr>
            <w:tcW w:w="3685" w:type="dxa"/>
            <w:shd w:val="clear" w:color="auto" w:fill="FFFFFF" w:themeFill="background1"/>
            <w:tcMar>
              <w:left w:w="86" w:type="dxa"/>
              <w:right w:w="86" w:type="dxa"/>
            </w:tcMar>
          </w:tcPr>
          <w:p w14:paraId="62D27F12" w14:textId="77777777" w:rsidR="00834FBA" w:rsidRPr="005D4222" w:rsidRDefault="00834FBA" w:rsidP="00B36424">
            <w:pPr>
              <w:pStyle w:val="TableText"/>
              <w:spacing w:line="240" w:lineRule="auto"/>
              <w:rPr>
                <w:rFonts w:ascii="Arial" w:hAnsi="Arial" w:cs="Arial"/>
                <w:szCs w:val="20"/>
              </w:rPr>
            </w:pPr>
            <w:r w:rsidRPr="005D4222">
              <w:rPr>
                <w:rFonts w:ascii="Arial" w:hAnsi="Arial" w:cs="Arial"/>
                <w:szCs w:val="20"/>
              </w:rPr>
              <w:t>Counts ESRD and 9 (None of the above). LISHIST does not get evaluated if item 48 = 2 or 9.</w:t>
            </w:r>
          </w:p>
        </w:tc>
      </w:tr>
      <w:tr w:rsidR="00834FBA" w:rsidRPr="005D4222" w14:paraId="2C3883F2" w14:textId="77777777" w:rsidTr="00F90ED2">
        <w:tc>
          <w:tcPr>
            <w:tcW w:w="2155" w:type="dxa"/>
            <w:shd w:val="clear" w:color="auto" w:fill="FFFFFF" w:themeFill="background1"/>
            <w:tcMar>
              <w:left w:w="86" w:type="dxa"/>
              <w:right w:w="86" w:type="dxa"/>
            </w:tcMar>
          </w:tcPr>
          <w:p w14:paraId="02ADFE95" w14:textId="77777777" w:rsidR="00834FBA" w:rsidRPr="005D4222" w:rsidRDefault="00834FBA" w:rsidP="00B36424">
            <w:pPr>
              <w:pStyle w:val="TableText"/>
              <w:spacing w:line="240" w:lineRule="auto"/>
              <w:rPr>
                <w:rFonts w:ascii="Arial" w:hAnsi="Arial" w:cs="Arial"/>
                <w:szCs w:val="20"/>
              </w:rPr>
            </w:pPr>
            <w:r w:rsidRPr="005D4222">
              <w:rPr>
                <w:rFonts w:ascii="Arial" w:hAnsi="Arial" w:cs="Arial"/>
                <w:szCs w:val="20"/>
              </w:rPr>
              <w:t>Unknown</w:t>
            </w:r>
          </w:p>
        </w:tc>
        <w:tc>
          <w:tcPr>
            <w:tcW w:w="3870" w:type="dxa"/>
            <w:shd w:val="clear" w:color="auto" w:fill="FFFFFF" w:themeFill="background1"/>
            <w:tcMar>
              <w:left w:w="86" w:type="dxa"/>
              <w:right w:w="86" w:type="dxa"/>
            </w:tcMar>
          </w:tcPr>
          <w:p w14:paraId="680C4104" w14:textId="77777777" w:rsidR="00834FBA" w:rsidRPr="005D4222" w:rsidRDefault="00834FBA" w:rsidP="00B36424">
            <w:pPr>
              <w:pStyle w:val="TableText"/>
              <w:spacing w:line="240" w:lineRule="auto"/>
              <w:rPr>
                <w:rFonts w:ascii="Arial" w:hAnsi="Arial" w:cs="Arial"/>
                <w:szCs w:val="20"/>
                <w:highlight w:val="yellow"/>
              </w:rPr>
            </w:pPr>
            <w:r w:rsidRPr="005D4222">
              <w:rPr>
                <w:rFonts w:ascii="Arial" w:hAnsi="Arial" w:cs="Arial"/>
                <w:szCs w:val="20"/>
              </w:rPr>
              <w:t xml:space="preserve">Item 48 = blank </w:t>
            </w:r>
          </w:p>
        </w:tc>
        <w:tc>
          <w:tcPr>
            <w:tcW w:w="3685" w:type="dxa"/>
            <w:shd w:val="clear" w:color="auto" w:fill="FFFFFF" w:themeFill="background1"/>
            <w:tcMar>
              <w:left w:w="86" w:type="dxa"/>
              <w:right w:w="86" w:type="dxa"/>
            </w:tcMar>
          </w:tcPr>
          <w:p w14:paraId="39271AB6" w14:textId="77777777" w:rsidR="00834FBA" w:rsidRPr="005D4222" w:rsidRDefault="00834FBA" w:rsidP="00B36424">
            <w:pPr>
              <w:pStyle w:val="TableText"/>
              <w:spacing w:line="240" w:lineRule="auto"/>
              <w:rPr>
                <w:rFonts w:ascii="Arial" w:hAnsi="Arial" w:cs="Arial"/>
                <w:szCs w:val="20"/>
              </w:rPr>
            </w:pPr>
            <w:r w:rsidRPr="005D4222">
              <w:rPr>
                <w:rFonts w:ascii="Arial" w:hAnsi="Arial" w:cs="Arial"/>
                <w:szCs w:val="20"/>
              </w:rPr>
              <w:t>Count members with no values assigned in the MMDR. Subject to auditor review and approval.</w:t>
            </w:r>
          </w:p>
        </w:tc>
      </w:tr>
      <w:tr w:rsidR="00834FBA" w:rsidRPr="005D4222" w14:paraId="56DFB8CA" w14:textId="77777777" w:rsidTr="00F90ED2">
        <w:tc>
          <w:tcPr>
            <w:tcW w:w="2155" w:type="dxa"/>
            <w:shd w:val="clear" w:color="auto" w:fill="FFFFFF" w:themeFill="background1"/>
            <w:tcMar>
              <w:left w:w="86" w:type="dxa"/>
              <w:right w:w="86" w:type="dxa"/>
            </w:tcMar>
          </w:tcPr>
          <w:p w14:paraId="0F2AADDD" w14:textId="77777777" w:rsidR="00834FBA" w:rsidRPr="005D4222" w:rsidRDefault="00834FBA" w:rsidP="00B36424">
            <w:pPr>
              <w:pStyle w:val="TableText"/>
              <w:spacing w:line="240" w:lineRule="auto"/>
              <w:rPr>
                <w:rFonts w:ascii="Arial" w:hAnsi="Arial" w:cs="Arial"/>
                <w:szCs w:val="20"/>
              </w:rPr>
            </w:pPr>
            <w:r w:rsidRPr="005D4222">
              <w:rPr>
                <w:rFonts w:ascii="Arial" w:hAnsi="Arial" w:cs="Arial"/>
                <w:szCs w:val="20"/>
              </w:rPr>
              <w:t>Total</w:t>
            </w:r>
          </w:p>
        </w:tc>
        <w:tc>
          <w:tcPr>
            <w:tcW w:w="3870" w:type="dxa"/>
            <w:shd w:val="clear" w:color="auto" w:fill="FFFFFF" w:themeFill="background1"/>
            <w:tcMar>
              <w:left w:w="86" w:type="dxa"/>
              <w:right w:w="86" w:type="dxa"/>
            </w:tcMar>
          </w:tcPr>
          <w:p w14:paraId="735CADAE" w14:textId="77777777" w:rsidR="00834FBA" w:rsidRPr="005D4222" w:rsidRDefault="00834FBA" w:rsidP="00B36424">
            <w:pPr>
              <w:pStyle w:val="TableText"/>
              <w:spacing w:line="240" w:lineRule="auto"/>
              <w:rPr>
                <w:rFonts w:ascii="Arial" w:hAnsi="Arial" w:cs="Arial"/>
                <w:szCs w:val="20"/>
              </w:rPr>
            </w:pPr>
            <w:r w:rsidRPr="005D4222">
              <w:rPr>
                <w:rFonts w:ascii="Arial" w:hAnsi="Arial" w:cs="Arial"/>
                <w:szCs w:val="20"/>
              </w:rPr>
              <w:t>Sum of the above.</w:t>
            </w:r>
          </w:p>
        </w:tc>
        <w:tc>
          <w:tcPr>
            <w:tcW w:w="3685" w:type="dxa"/>
            <w:shd w:val="clear" w:color="auto" w:fill="FFFFFF" w:themeFill="background1"/>
            <w:tcMar>
              <w:left w:w="86" w:type="dxa"/>
              <w:right w:w="86" w:type="dxa"/>
            </w:tcMar>
          </w:tcPr>
          <w:p w14:paraId="457FE778" w14:textId="77777777" w:rsidR="00834FBA" w:rsidRPr="005D4222" w:rsidRDefault="00834FBA" w:rsidP="00B36424">
            <w:pPr>
              <w:pStyle w:val="TableText"/>
              <w:spacing w:line="240" w:lineRule="auto"/>
              <w:rPr>
                <w:rFonts w:ascii="Arial" w:hAnsi="Arial" w:cs="Arial"/>
                <w:szCs w:val="20"/>
              </w:rPr>
            </w:pPr>
          </w:p>
        </w:tc>
      </w:tr>
    </w:tbl>
    <w:p w14:paraId="4ABCCD15" w14:textId="77777777" w:rsidR="000273B0" w:rsidRDefault="000273B0">
      <w:pPr>
        <w:rPr>
          <w:b/>
          <w:bCs/>
          <w:i/>
          <w:iCs/>
          <w:kern w:val="24"/>
        </w:rPr>
      </w:pPr>
      <w:r>
        <w:rPr>
          <w:b/>
          <w:bCs/>
          <w:i/>
          <w:iCs/>
        </w:rPr>
        <w:br w:type="page"/>
      </w:r>
    </w:p>
    <w:p w14:paraId="5FC10130" w14:textId="52A623EB" w:rsidR="00834FBA" w:rsidRPr="005D4222" w:rsidRDefault="00834FBA" w:rsidP="00834FBA">
      <w:pPr>
        <w:pStyle w:val="Body"/>
        <w:spacing w:before="240"/>
        <w:rPr>
          <w:b/>
          <w:bCs/>
          <w:i/>
          <w:iCs/>
        </w:rPr>
      </w:pPr>
      <w:r w:rsidRPr="005D4222">
        <w:rPr>
          <w:b/>
          <w:bCs/>
          <w:i/>
          <w:iCs/>
        </w:rPr>
        <w:lastRenderedPageBreak/>
        <w:t>Determining LIS Status</w:t>
      </w:r>
    </w:p>
    <w:p w14:paraId="0A57662F" w14:textId="77777777" w:rsidR="00834FBA" w:rsidRPr="005D4222" w:rsidRDefault="00834FBA" w:rsidP="00834FBA">
      <w:pPr>
        <w:pStyle w:val="Body"/>
        <w:spacing w:before="120"/>
      </w:pPr>
      <w:r w:rsidRPr="005D4222">
        <w:t xml:space="preserve">To determine the LIS status, use the monthly LISHIST file. This file provides a comprehensive list of an organization’s current LIS membership, with a record for every enrollee who has a subsidy. The data in the record about each beneficiary spans through the most recent 36 consecutive months of contract enrollment. This report also informs organizations whether a beneficiary is LIS in the next calendar year. </w:t>
      </w:r>
    </w:p>
    <w:p w14:paraId="55F7C116" w14:textId="77777777" w:rsidR="00834FBA" w:rsidRPr="005D4222" w:rsidRDefault="00834FBA" w:rsidP="00834FBA">
      <w:pPr>
        <w:pStyle w:val="Body"/>
      </w:pPr>
      <w:r w:rsidRPr="005D4222">
        <w:t xml:space="preserve">The LISHIST file will contain only beneficiaries (past, present and future) who are or were deemed eligible for a low-income subsidy. The file will not show beneficiaries who do not or have not had any </w:t>
      </w:r>
      <w:r w:rsidRPr="005D4222">
        <w:br/>
        <w:t xml:space="preserve">LIS periods. </w:t>
      </w:r>
    </w:p>
    <w:p w14:paraId="1CB742AF" w14:textId="77777777" w:rsidR="00834FBA" w:rsidRPr="005D4222" w:rsidRDefault="00834FBA" w:rsidP="00834FBA">
      <w:pPr>
        <w:pStyle w:val="Body"/>
      </w:pPr>
      <w:r w:rsidRPr="005D4222">
        <w:t>To use the LISHIST file, select the last monthly file issued during the measure’s continuous enrollment period. If the member is in the LISHIST file and the “Low Income Period End Date” is blank or falls within the continuous enrollment period, count the member as LIS eligible. If the member has no record in the LISHIST file or their end date is before the continuous enrollment period, count the member as not eligible.</w:t>
      </w:r>
    </w:p>
    <w:p w14:paraId="3D85F74F" w14:textId="77777777" w:rsidR="00834FBA" w:rsidRPr="005D4222" w:rsidRDefault="00834FBA" w:rsidP="00834FBA">
      <w:pPr>
        <w:pStyle w:val="Body"/>
        <w:rPr>
          <w:b/>
          <w:bCs/>
          <w:i/>
          <w:iCs/>
        </w:rPr>
      </w:pPr>
      <w:r w:rsidRPr="005D4222">
        <w:rPr>
          <w:b/>
          <w:bCs/>
          <w:i/>
          <w:iCs/>
        </w:rPr>
        <w:t xml:space="preserve">Determining OREC </w:t>
      </w:r>
    </w:p>
    <w:p w14:paraId="576D7354" w14:textId="77777777" w:rsidR="00834FBA" w:rsidRPr="005D4222" w:rsidRDefault="00834FBA" w:rsidP="00834FBA">
      <w:pPr>
        <w:pStyle w:val="Body"/>
        <w:spacing w:before="120"/>
      </w:pPr>
      <w:r w:rsidRPr="005D4222">
        <w:t>To determine the OREC value, select the files in the MMDR issued during the measure’s continuous enrollment period, based on the file’s run date. Following the guidance in the Logic Table above, use Item 48 in that file to determine the OREC value and count the member in the appropriate SES strata.</w:t>
      </w:r>
    </w:p>
    <w:p w14:paraId="1CEE515B" w14:textId="77777777" w:rsidR="00834FBA" w:rsidRPr="005D4222" w:rsidRDefault="00834FBA" w:rsidP="00834FBA">
      <w:pPr>
        <w:pStyle w:val="Note"/>
        <w:rPr>
          <w:b/>
        </w:rPr>
      </w:pPr>
      <w:r w:rsidRPr="005D4222">
        <w:rPr>
          <w:b/>
        </w:rPr>
        <w:t>Note:</w:t>
      </w:r>
      <w:r w:rsidRPr="005D4222">
        <w:t xml:space="preserve"> Although it is rare that a beneficiary’s OREC value is blank or changes during the continuous enrollment period, if the last month’s value is missing, use the last available value during the continuous enrollment period.</w:t>
      </w:r>
    </w:p>
    <w:p w14:paraId="7DB3E2DA" w14:textId="79ABFD8C" w:rsidR="00834FBA" w:rsidRPr="005D4222" w:rsidRDefault="00834FBA" w:rsidP="00834FBA">
      <w:pPr>
        <w:pStyle w:val="SubHeadNoTOC"/>
      </w:pPr>
      <w:r w:rsidRPr="005D4222">
        <w:rPr>
          <w:bCs/>
          <w:i/>
        </w:rPr>
        <w:t>General Guideline:</w:t>
      </w:r>
      <w:r w:rsidRPr="005D4222">
        <w:t xml:space="preserve"> Date of Service for Laboratory Tests</w:t>
      </w:r>
    </w:p>
    <w:p w14:paraId="7912BA61" w14:textId="77777777" w:rsidR="00834FBA" w:rsidRPr="005D4222" w:rsidRDefault="00834FBA" w:rsidP="00834FBA">
      <w:pPr>
        <w:pStyle w:val="Body"/>
      </w:pPr>
      <w:r w:rsidRPr="005D4222">
        <w:t>Laboratory tests can have multiple dates of service: an order date (the date when the provider ordered the test), a collection date (the date when the specimen was drawn), a result/reported date (the date when results were calculated and reported), a claim date (the date of service on the claim) and a documented date (the date when the provider documented the result in the medical record).</w:t>
      </w:r>
    </w:p>
    <w:p w14:paraId="5E851EBC" w14:textId="77777777" w:rsidR="00834FBA" w:rsidRPr="005D4222" w:rsidRDefault="00834FBA" w:rsidP="00834FBA">
      <w:pPr>
        <w:pStyle w:val="Body"/>
      </w:pPr>
      <w:r w:rsidRPr="005D4222">
        <w:t xml:space="preserve">Order date and documented date are not eligible for use in HEDIS reporting. </w:t>
      </w:r>
    </w:p>
    <w:p w14:paraId="33F90A1C" w14:textId="77777777" w:rsidR="00834FBA" w:rsidRPr="005D4222" w:rsidRDefault="00834FBA" w:rsidP="00834FBA">
      <w:pPr>
        <w:pStyle w:val="Body"/>
      </w:pPr>
      <w:r w:rsidRPr="005D4222">
        <w:t xml:space="preserve">For laboratory tests identified using claims data (numerator events by administrative data), use the claim date of service. </w:t>
      </w:r>
    </w:p>
    <w:p w14:paraId="740598A7" w14:textId="77777777" w:rsidR="00834FBA" w:rsidRPr="005D4222" w:rsidRDefault="00834FBA" w:rsidP="00834FBA">
      <w:pPr>
        <w:pStyle w:val="Body"/>
      </w:pPr>
      <w:r w:rsidRPr="005D4222">
        <w:t>When abstracting laboratory tests from the medical record for use in hybrid reporting or for nonstandard supplemental data, the documentation must include the test date and the result (or evidence that the test was performed). The result/reported date may be used as the test date.</w:t>
      </w:r>
    </w:p>
    <w:p w14:paraId="15BE3F9F" w14:textId="77777777" w:rsidR="00834FBA" w:rsidRPr="005D4222" w:rsidRDefault="00834FBA" w:rsidP="00834FBA">
      <w:pPr>
        <w:pStyle w:val="Body"/>
      </w:pPr>
      <w:r w:rsidRPr="005D4222">
        <w:t>Organizations may consider all events with dates no more than 7 days apart to be the same test and may use the collected date for reporting. For example:</w:t>
      </w:r>
    </w:p>
    <w:p w14:paraId="3E9B8177" w14:textId="6D5C4C50" w:rsidR="00834FBA" w:rsidRPr="005D4222" w:rsidRDefault="00834FBA" w:rsidP="00834FBA">
      <w:pPr>
        <w:pStyle w:val="Bullet"/>
      </w:pPr>
      <w:r w:rsidRPr="005D4222">
        <w:t xml:space="preserve">If a sample </w:t>
      </w:r>
      <w:r w:rsidR="00023996" w:rsidRPr="005D4222">
        <w:t xml:space="preserve">is </w:t>
      </w:r>
      <w:r w:rsidRPr="005D4222">
        <w:t xml:space="preserve">collected on December 28 of the measurement year and </w:t>
      </w:r>
      <w:r w:rsidR="00023996" w:rsidRPr="005D4222">
        <w:t xml:space="preserve">the </w:t>
      </w:r>
      <w:r w:rsidRPr="005D4222">
        <w:t xml:space="preserve">result </w:t>
      </w:r>
      <w:r w:rsidR="00023996" w:rsidRPr="005D4222">
        <w:t>is documented</w:t>
      </w:r>
      <w:r w:rsidRPr="005D4222">
        <w:t xml:space="preserve"> on January 2 of the year after the measurement year, the dates are within 7 days and can be considered the same test. The result is present and the collection date is eligible for use, making the </w:t>
      </w:r>
      <w:r w:rsidR="001E7DCD" w:rsidRPr="005D4222">
        <w:t>person</w:t>
      </w:r>
      <w:r w:rsidRPr="005D4222">
        <w:t xml:space="preserve"> numerator compliant.</w:t>
      </w:r>
    </w:p>
    <w:p w14:paraId="6EC28FBD" w14:textId="0AE69099" w:rsidR="00834FBA" w:rsidRPr="005D4222" w:rsidRDefault="00834FBA" w:rsidP="00834FBA">
      <w:pPr>
        <w:pStyle w:val="Bullet"/>
      </w:pPr>
      <w:r w:rsidRPr="005D4222">
        <w:t xml:space="preserve">If a sample </w:t>
      </w:r>
      <w:r w:rsidR="003D322E" w:rsidRPr="005D4222">
        <w:t>is</w:t>
      </w:r>
      <w:r w:rsidRPr="005D4222">
        <w:t xml:space="preserve"> collected on December 28 of the measurement year and </w:t>
      </w:r>
      <w:r w:rsidR="003D322E" w:rsidRPr="005D4222">
        <w:t xml:space="preserve">the </w:t>
      </w:r>
      <w:r w:rsidRPr="005D4222">
        <w:t xml:space="preserve">result </w:t>
      </w:r>
      <w:r w:rsidR="003D322E" w:rsidRPr="005D4222">
        <w:t>is documented</w:t>
      </w:r>
      <w:r w:rsidRPr="005D4222">
        <w:t xml:space="preserve"> on January 15 of the year after the measurement year, the dates are not within 7 days and cannot be considered the same test. There is no result for the lead test collected on December 28 and the </w:t>
      </w:r>
      <w:r w:rsidR="001E7DCD" w:rsidRPr="005D4222">
        <w:t>person</w:t>
      </w:r>
      <w:r w:rsidRPr="005D4222">
        <w:t xml:space="preserve"> is not numerator compliant.</w:t>
      </w:r>
    </w:p>
    <w:p w14:paraId="391139E0" w14:textId="77777777" w:rsidR="00834FBA" w:rsidRPr="005D4222" w:rsidRDefault="00834FBA" w:rsidP="00834FBA">
      <w:pPr>
        <w:pStyle w:val="Bullet"/>
      </w:pPr>
      <w:r w:rsidRPr="005D4222">
        <w:t>If a test had a collection date of December 1 and a reported date of December 8, these dates are not more than 7 days apart and can be considered the same test.</w:t>
      </w:r>
    </w:p>
    <w:p w14:paraId="64E615B9" w14:textId="77777777" w:rsidR="00834FBA" w:rsidRPr="005D4222" w:rsidRDefault="00834FBA" w:rsidP="00834FBA">
      <w:pPr>
        <w:pStyle w:val="Bullet"/>
      </w:pPr>
      <w:r w:rsidRPr="005D4222">
        <w:lastRenderedPageBreak/>
        <w:t xml:space="preserve">If a test had a collection date of December 1 and a reported date of December 9, these dates are more than 7 days apart and cannot be considered the same test. </w:t>
      </w:r>
    </w:p>
    <w:p w14:paraId="41B5A7DD" w14:textId="7E4EEB1B" w:rsidR="00834FBA" w:rsidRPr="005D4222" w:rsidDel="006E6957" w:rsidRDefault="00834FBA" w:rsidP="00834FBA">
      <w:pPr>
        <w:pStyle w:val="SubHeadNoTOC"/>
      </w:pPr>
      <w:bookmarkStart w:id="150" w:name="_Toc400546075"/>
      <w:bookmarkEnd w:id="147"/>
      <w:r w:rsidRPr="005D4222" w:rsidDel="006E6957">
        <w:rPr>
          <w:bCs/>
          <w:i/>
        </w:rPr>
        <w:t>General Guideline:</w:t>
      </w:r>
      <w:r w:rsidRPr="005D4222" w:rsidDel="006E6957">
        <w:t xml:space="preserve"> Collecting Data for Measures With Multiple Numerator Events</w:t>
      </w:r>
      <w:bookmarkEnd w:id="150"/>
    </w:p>
    <w:p w14:paraId="70F5A392" w14:textId="77777777" w:rsidR="00834FBA" w:rsidRPr="005D4222" w:rsidDel="006E6957" w:rsidRDefault="00834FBA" w:rsidP="00834FBA">
      <w:pPr>
        <w:pStyle w:val="Body"/>
        <w:widowControl w:val="0"/>
      </w:pPr>
      <w:r w:rsidRPr="005D4222" w:rsidDel="006E6957">
        <w:t>The following measures require more than one event to satisfy the numerator:</w:t>
      </w:r>
    </w:p>
    <w:p w14:paraId="0C5ACD29" w14:textId="75A29DAE" w:rsidR="001B2A63" w:rsidRPr="005D4222" w:rsidRDefault="001B2A63" w:rsidP="001B2A63">
      <w:pPr>
        <w:pStyle w:val="Bullet"/>
        <w:rPr>
          <w:iCs/>
        </w:rPr>
      </w:pPr>
      <w:r w:rsidRPr="005D4222">
        <w:rPr>
          <w:iCs/>
        </w:rPr>
        <w:t>Adult Immunization Status.</w:t>
      </w:r>
    </w:p>
    <w:p w14:paraId="1A911386" w14:textId="07922324" w:rsidR="00834FBA" w:rsidRPr="005D4222" w:rsidDel="006E6957" w:rsidRDefault="00834FBA" w:rsidP="00834FBA">
      <w:pPr>
        <w:pStyle w:val="Bullet"/>
        <w:rPr>
          <w:iCs/>
        </w:rPr>
      </w:pPr>
      <w:r w:rsidRPr="005D4222" w:rsidDel="006E6957">
        <w:rPr>
          <w:iCs/>
        </w:rPr>
        <w:t>Childhood Immunization Status.</w:t>
      </w:r>
    </w:p>
    <w:p w14:paraId="4AA6BC58" w14:textId="77777777" w:rsidR="00834FBA" w:rsidRPr="005D4222" w:rsidDel="006E6957" w:rsidRDefault="00834FBA" w:rsidP="00834FBA">
      <w:pPr>
        <w:pStyle w:val="Bullet"/>
        <w:rPr>
          <w:iCs/>
        </w:rPr>
      </w:pPr>
      <w:r w:rsidRPr="005D4222" w:rsidDel="006E6957">
        <w:rPr>
          <w:iCs/>
        </w:rPr>
        <w:t>Immunizations for Adolescents.</w:t>
      </w:r>
    </w:p>
    <w:p w14:paraId="79944C70" w14:textId="77777777" w:rsidR="00834FBA" w:rsidRPr="005D4222" w:rsidDel="006E6957" w:rsidRDefault="00834FBA" w:rsidP="00834FBA">
      <w:pPr>
        <w:pStyle w:val="Bullet"/>
        <w:rPr>
          <w:iCs/>
        </w:rPr>
      </w:pPr>
      <w:r w:rsidRPr="005D4222" w:rsidDel="006E6957">
        <w:rPr>
          <w:iCs/>
        </w:rPr>
        <w:t>Topical Fluoride for Children.</w:t>
      </w:r>
    </w:p>
    <w:p w14:paraId="49456809" w14:textId="77777777" w:rsidR="00834FBA" w:rsidRPr="005D4222" w:rsidRDefault="00834FBA" w:rsidP="00834FBA">
      <w:pPr>
        <w:pStyle w:val="Bullet"/>
        <w:rPr>
          <w:iCs/>
        </w:rPr>
      </w:pPr>
      <w:r w:rsidRPr="005D4222" w:rsidDel="006E6957">
        <w:rPr>
          <w:iCs/>
        </w:rPr>
        <w:t>Well-Child Visits in the First 30 Months of Life.</w:t>
      </w:r>
    </w:p>
    <w:p w14:paraId="06B50B26" w14:textId="2178C297" w:rsidR="00834FBA" w:rsidRPr="005D4222" w:rsidDel="006E6957" w:rsidRDefault="00834FBA" w:rsidP="00834FBA">
      <w:pPr>
        <w:pStyle w:val="Body"/>
      </w:pPr>
      <w:r w:rsidRPr="005D4222" w:rsidDel="006E6957">
        <w:t xml:space="preserve">For only the measures listed above, all events must be at least 14 days apart. </w:t>
      </w:r>
    </w:p>
    <w:p w14:paraId="65C30E89" w14:textId="400CEB79" w:rsidR="00834FBA" w:rsidRPr="005D4222" w:rsidDel="00DD48CF" w:rsidRDefault="00834FBA" w:rsidP="004F213D">
      <w:pPr>
        <w:pStyle w:val="Body"/>
      </w:pPr>
      <w:r w:rsidRPr="005D4222" w:rsidDel="006E6957">
        <w:t xml:space="preserve">For example, the organization may count two influenza vaccines identified through administrative data if the dates of service are at least 14 days apart; if the service date for the first vaccine was February 1, then the service date for the second vaccine must be on or after February 15. </w:t>
      </w:r>
      <w:r w:rsidRPr="005D4222" w:rsidDel="00DD48CF">
        <w:t xml:space="preserve"> </w:t>
      </w:r>
    </w:p>
    <w:p w14:paraId="49D4EBE8" w14:textId="4974E2A5" w:rsidR="00834FBA" w:rsidRPr="005D4222" w:rsidRDefault="00834FBA" w:rsidP="00834FBA">
      <w:pPr>
        <w:pStyle w:val="SubHeadNoTOC"/>
      </w:pPr>
      <w:bookmarkStart w:id="151" w:name="_Toc400546078"/>
      <w:bookmarkStart w:id="152" w:name="_Toc452170791"/>
      <w:r w:rsidRPr="005D4222">
        <w:rPr>
          <w:bCs/>
          <w:i/>
        </w:rPr>
        <w:t>General Guideline:</w:t>
      </w:r>
      <w:r w:rsidRPr="005D4222">
        <w:rPr>
          <w:i/>
        </w:rPr>
        <w:t xml:space="preserve"> </w:t>
      </w:r>
      <w:r w:rsidR="00201804" w:rsidRPr="005D4222">
        <w:t>Self</w:t>
      </w:r>
      <w:r w:rsidRPr="005D4222">
        <w:t xml:space="preserve">-Collected Samples </w:t>
      </w:r>
      <w:bookmarkEnd w:id="151"/>
    </w:p>
    <w:p w14:paraId="086AEF0A" w14:textId="10129C1C" w:rsidR="00834FBA" w:rsidRPr="005D4222" w:rsidRDefault="00834FBA" w:rsidP="00834FBA">
      <w:pPr>
        <w:pStyle w:val="Body"/>
        <w:widowControl w:val="0"/>
      </w:pPr>
      <w:r w:rsidRPr="005D4222">
        <w:t xml:space="preserve">Test results from </w:t>
      </w:r>
      <w:r w:rsidR="00F33BDA" w:rsidRPr="005D4222">
        <w:t>self</w:t>
      </w:r>
      <w:r w:rsidRPr="005D4222">
        <w:t xml:space="preserve">-collected samples processed by a laboratory or provider’s office may be used for reporting. </w:t>
      </w:r>
    </w:p>
    <w:p w14:paraId="0960F840" w14:textId="56CD946C" w:rsidR="00834FBA" w:rsidRPr="005D4222" w:rsidRDefault="00834FBA" w:rsidP="00834FBA">
      <w:pPr>
        <w:pStyle w:val="SubHeadNoTOC"/>
      </w:pPr>
      <w:bookmarkStart w:id="153" w:name="GG_SelfReported_and_BiometricValues"/>
      <w:r w:rsidRPr="005D4222">
        <w:rPr>
          <w:bCs/>
          <w:i/>
        </w:rPr>
        <w:t>General Guideline:</w:t>
      </w:r>
      <w:r w:rsidRPr="005D4222">
        <w:t xml:space="preserve"> </w:t>
      </w:r>
      <w:bookmarkStart w:id="154" w:name="MemberReportedServices"/>
      <w:r w:rsidR="006069FD" w:rsidRPr="005D4222">
        <w:t>Self</w:t>
      </w:r>
      <w:r w:rsidRPr="005D4222">
        <w:t>-Reported Services and Biometric Values</w:t>
      </w:r>
      <w:bookmarkEnd w:id="153"/>
      <w:bookmarkEnd w:id="154"/>
      <w:r w:rsidRPr="005D4222">
        <w:t xml:space="preserve"> </w:t>
      </w:r>
    </w:p>
    <w:p w14:paraId="682069C4" w14:textId="2361CF59" w:rsidR="00834FBA" w:rsidRPr="005D4222" w:rsidRDefault="006069FD" w:rsidP="00834FBA">
      <w:pPr>
        <w:pStyle w:val="Body"/>
      </w:pPr>
      <w:r w:rsidRPr="005D4222">
        <w:t>Self</w:t>
      </w:r>
      <w:r w:rsidR="00834FBA" w:rsidRPr="005D4222">
        <w:t xml:space="preserve">-reported services and biometric values (height, weight, BMI percentile) are acceptable only if the information is collected by a primary care practitioner (refer to </w:t>
      </w:r>
      <w:hyperlink w:anchor="Appendix_1" w:history="1">
        <w:r w:rsidR="00834FBA" w:rsidRPr="005D4222">
          <w:rPr>
            <w:rStyle w:val="Hyperlink"/>
          </w:rPr>
          <w:t xml:space="preserve">Appendix </w:t>
        </w:r>
        <w:r w:rsidR="00BF0FBA" w:rsidRPr="005D4222">
          <w:rPr>
            <w:rStyle w:val="Hyperlink"/>
          </w:rPr>
          <w:t>1</w:t>
        </w:r>
      </w:hyperlink>
      <w:r w:rsidR="00834FBA" w:rsidRPr="005D4222">
        <w:t xml:space="preserve"> for the definition of </w:t>
      </w:r>
      <w:r w:rsidR="00834FBA" w:rsidRPr="005D4222">
        <w:rPr>
          <w:i/>
        </w:rPr>
        <w:t>PCP</w:t>
      </w:r>
      <w:r w:rsidR="00834FBA" w:rsidRPr="005D4222">
        <w:t xml:space="preserve">) or specialist, if the specialist is providing a primary care service related to the condition being assessed while taking a patient’s history. The information must be recorded, dated and maintained in the </w:t>
      </w:r>
      <w:r w:rsidR="003D748D" w:rsidRPr="005D4222">
        <w:t>person</w:t>
      </w:r>
      <w:r w:rsidR="00834FBA" w:rsidRPr="005D4222">
        <w:t>’s legal health record.</w:t>
      </w:r>
    </w:p>
    <w:p w14:paraId="3E867F16" w14:textId="02772964" w:rsidR="00834FBA" w:rsidRPr="005D4222" w:rsidRDefault="00834FBA" w:rsidP="00834FBA">
      <w:pPr>
        <w:pStyle w:val="Note"/>
      </w:pPr>
      <w:r w:rsidRPr="005D4222">
        <w:rPr>
          <w:b/>
        </w:rPr>
        <w:t>Note:</w:t>
      </w:r>
      <w:r w:rsidRPr="005D4222">
        <w:t xml:space="preserve"> It is a best practice to collect data directly from members for the Language </w:t>
      </w:r>
      <w:r w:rsidR="007C1883" w:rsidRPr="005D4222">
        <w:t>Description</w:t>
      </w:r>
      <w:r w:rsidRPr="005D4222">
        <w:t xml:space="preserve"> of Membership</w:t>
      </w:r>
      <w:r w:rsidR="007364DE" w:rsidRPr="005D4222">
        <w:t xml:space="preserve">, </w:t>
      </w:r>
      <w:r w:rsidRPr="005D4222">
        <w:t xml:space="preserve">Race/Ethnicity </w:t>
      </w:r>
      <w:r w:rsidR="007C1883" w:rsidRPr="005D4222">
        <w:t>Description</w:t>
      </w:r>
      <w:r w:rsidRPr="005D4222">
        <w:t xml:space="preserve"> of Membership</w:t>
      </w:r>
      <w:r w:rsidR="007364DE" w:rsidRPr="005D4222">
        <w:t xml:space="preserve"> and Disability Description of Membership</w:t>
      </w:r>
      <w:r w:rsidRPr="005D4222">
        <w:t xml:space="preserve"> measures; therefore, </w:t>
      </w:r>
      <w:r w:rsidR="0041557F" w:rsidRPr="005D4222">
        <w:br/>
      </w:r>
      <w:r w:rsidRPr="005D4222">
        <w:t xml:space="preserve">a PCP or specialist is not required to collect this information as part of </w:t>
      </w:r>
      <w:r w:rsidR="00F16F93" w:rsidRPr="005D4222">
        <w:t xml:space="preserve">the </w:t>
      </w:r>
      <w:r w:rsidRPr="005D4222">
        <w:t xml:space="preserve">patient’s history for these </w:t>
      </w:r>
      <w:r w:rsidR="0041557F" w:rsidRPr="005D4222">
        <w:br/>
      </w:r>
      <w:r w:rsidRPr="005D4222">
        <w:t>measures only.</w:t>
      </w:r>
    </w:p>
    <w:p w14:paraId="48C644A3" w14:textId="235A789A" w:rsidR="00834FBA" w:rsidRPr="005D4222" w:rsidRDefault="00834FBA" w:rsidP="00BE08C8">
      <w:pPr>
        <w:pStyle w:val="StdHead"/>
      </w:pPr>
      <w:bookmarkStart w:id="155" w:name="_Toc400546079"/>
      <w:bookmarkStart w:id="156" w:name="_Toc74747858"/>
      <w:bookmarkStart w:id="157" w:name="_Toc171402946"/>
      <w:bookmarkStart w:id="158" w:name="_Toc201813366"/>
      <w:bookmarkStart w:id="159" w:name="CodingConventions"/>
      <w:r w:rsidRPr="005D4222">
        <w:t>HEDIS Coding Conventions</w:t>
      </w:r>
      <w:bookmarkEnd w:id="152"/>
      <w:bookmarkEnd w:id="155"/>
      <w:bookmarkEnd w:id="156"/>
      <w:bookmarkEnd w:id="157"/>
      <w:bookmarkEnd w:id="158"/>
    </w:p>
    <w:p w14:paraId="7943EC4A" w14:textId="77777777" w:rsidR="00834FBA" w:rsidRPr="005D4222" w:rsidRDefault="00834FBA" w:rsidP="0049435A">
      <w:pPr>
        <w:pStyle w:val="SubHeadNoTOC"/>
        <w:spacing w:before="180"/>
      </w:pPr>
      <w:bookmarkStart w:id="160" w:name="_Toc400546082"/>
      <w:bookmarkEnd w:id="159"/>
      <w:r w:rsidRPr="005D4222">
        <w:rPr>
          <w:bCs/>
          <w:i/>
        </w:rPr>
        <w:t>General Guideline:</w:t>
      </w:r>
      <w:r w:rsidRPr="005D4222">
        <w:t xml:space="preserve"> Using Claims to Identify Events in Conjunction With Diagnoses or other Events</w:t>
      </w:r>
    </w:p>
    <w:p w14:paraId="3DCCD33C" w14:textId="77777777" w:rsidR="00834FBA" w:rsidRPr="005D4222" w:rsidRDefault="00834FBA" w:rsidP="00834FBA">
      <w:pPr>
        <w:pStyle w:val="Body"/>
        <w:rPr>
          <w:i/>
        </w:rPr>
      </w:pPr>
      <w:r w:rsidRPr="005D4222">
        <w:t xml:space="preserve">Many measures’ administrative specifications require that a visit code or procedure code be used in conjunction with a diagnosis code. Some measures (e.g., Osteoporosis Management in Women Who Had a Fracture) require that a visit code be used in conjunction with another procedure code (e.g., fracture fixation). </w:t>
      </w:r>
    </w:p>
    <w:p w14:paraId="75D0847A" w14:textId="77777777" w:rsidR="00834FBA" w:rsidRPr="005D4222" w:rsidRDefault="00834FBA" w:rsidP="00834FBA">
      <w:pPr>
        <w:pStyle w:val="Body"/>
      </w:pPr>
      <w:r w:rsidRPr="005D4222">
        <w:t>Except for inpatient stays (as described below) and unless noted otherwise</w:t>
      </w:r>
      <w:r w:rsidRPr="005D4222" w:rsidDel="006B3E81">
        <w:t xml:space="preserve"> </w:t>
      </w:r>
      <w:r w:rsidRPr="005D4222">
        <w:t xml:space="preserve">in a measure specification, when a measure requires a code be in conjunction with another code the codes must be from the same visit. The organization develops a method for identifying claims from the same visit (e.g., the same outpatient visit, the same inpatient stay). The method is subject to review by the HEDIS auditor. </w:t>
      </w:r>
    </w:p>
    <w:p w14:paraId="5B773ACC" w14:textId="77777777" w:rsidR="00834FBA" w:rsidRPr="005D4222" w:rsidRDefault="00834FBA" w:rsidP="00834FBA">
      <w:pPr>
        <w:pStyle w:val="Body"/>
      </w:pPr>
      <w:r w:rsidRPr="005D4222">
        <w:lastRenderedPageBreak/>
        <w:t xml:space="preserve">Identifying acute or nonacute inpatient stays is a two-step process. The first step uses the </w:t>
      </w:r>
      <w:r w:rsidRPr="005D4222">
        <w:rPr>
          <w:u w:val="single"/>
        </w:rPr>
        <w:t>Inpatient Stay Value Set</w:t>
      </w:r>
      <w:r w:rsidRPr="005D4222">
        <w:t xml:space="preserve"> to identify all acute and nonacute inpatient stays. The second step uses the </w:t>
      </w:r>
      <w:r w:rsidRPr="005D4222">
        <w:rPr>
          <w:u w:val="single"/>
        </w:rPr>
        <w:t>Nonacute Inpatient Stay Value Set</w:t>
      </w:r>
      <w:r w:rsidRPr="005D4222">
        <w:t xml:space="preserve"> to identify stays that were nonacute. When identifying nonacute codes in </w:t>
      </w:r>
      <w:r w:rsidRPr="005D4222">
        <w:br/>
        <w:t>step 2, the nonacute code must be on the same claim that was identified in step 1. In addition, any required diagnosis or procedure must be on the same claim.</w:t>
      </w:r>
    </w:p>
    <w:p w14:paraId="08179554" w14:textId="77777777" w:rsidR="00834FBA" w:rsidRPr="005D4222" w:rsidRDefault="00834FBA" w:rsidP="00834FBA">
      <w:pPr>
        <w:pStyle w:val="SubHeadNoTOC"/>
      </w:pPr>
      <w:r w:rsidRPr="005D4222">
        <w:rPr>
          <w:bCs/>
          <w:i/>
        </w:rPr>
        <w:t>General Guideline:</w:t>
      </w:r>
      <w:r w:rsidRPr="005D4222">
        <w:t xml:space="preserve"> Visits That Result in an Inpatient Stay</w:t>
      </w:r>
    </w:p>
    <w:p w14:paraId="0BC87C9A" w14:textId="77777777" w:rsidR="00834FBA" w:rsidRPr="005D4222" w:rsidRDefault="00834FBA" w:rsidP="00834FBA">
      <w:pPr>
        <w:pStyle w:val="Body"/>
        <w:rPr>
          <w:i/>
          <w:iCs/>
        </w:rPr>
      </w:pPr>
      <w:r w:rsidRPr="005D4222">
        <w:t xml:space="preserve">Some measures require exclusion of visits that result in an inpatient stay or observation stay. </w:t>
      </w:r>
    </w:p>
    <w:p w14:paraId="2560E58E" w14:textId="77777777" w:rsidR="00834FBA" w:rsidRPr="005D4222" w:rsidRDefault="00834FBA" w:rsidP="00834FBA">
      <w:pPr>
        <w:pStyle w:val="Body"/>
      </w:pPr>
      <w:r w:rsidRPr="005D4222">
        <w:t>A visit results in a</w:t>
      </w:r>
      <w:r w:rsidRPr="005D4222" w:rsidDel="003C2E66">
        <w:t xml:space="preserve"> </w:t>
      </w:r>
      <w:r w:rsidRPr="005D4222">
        <w:t xml:space="preserve">stay when the visit date of service occurs on the day prior to the admission date or any time during the admission (admission date through discharge date). </w:t>
      </w:r>
    </w:p>
    <w:p w14:paraId="1153489D" w14:textId="77777777" w:rsidR="00834FBA" w:rsidRPr="005D4222" w:rsidRDefault="00834FBA" w:rsidP="00834FBA">
      <w:pPr>
        <w:pStyle w:val="SubHeadNoTOC"/>
      </w:pPr>
      <w:r w:rsidRPr="005D4222">
        <w:rPr>
          <w:bCs/>
          <w:i/>
        </w:rPr>
        <w:t>General Guideline:</w:t>
      </w:r>
      <w:r w:rsidRPr="005D4222">
        <w:t xml:space="preserve"> Principal vs. Secondary Diagnosis</w:t>
      </w:r>
      <w:bookmarkEnd w:id="160"/>
    </w:p>
    <w:p w14:paraId="20FCF52B" w14:textId="3DC748EB" w:rsidR="00834FBA" w:rsidRPr="005D4222" w:rsidRDefault="00834FBA" w:rsidP="00834FBA">
      <w:pPr>
        <w:pStyle w:val="Body"/>
        <w:widowControl w:val="0"/>
      </w:pPr>
      <w:r w:rsidRPr="005D4222">
        <w:t xml:space="preserve">Principal and secondary diagnoses are mentioned throughout HEDIS. Generally, a </w:t>
      </w:r>
      <w:r w:rsidRPr="005D4222">
        <w:rPr>
          <w:b/>
        </w:rPr>
        <w:t xml:space="preserve">principal diagnosis </w:t>
      </w:r>
      <w:r w:rsidRPr="005D4222">
        <w:t xml:space="preserve">(or primary diagnosis) is the diagnosis given at discharge and the one listed first on a claim form. </w:t>
      </w:r>
      <w:r w:rsidRPr="005D4222">
        <w:br/>
        <w:t xml:space="preserve">A diagnosis listed on a claim or encounter form that is not classified as the principal diagnosis is a </w:t>
      </w:r>
      <w:r w:rsidRPr="005D4222">
        <w:rPr>
          <w:b/>
        </w:rPr>
        <w:t>secondary diagnosis.</w:t>
      </w:r>
      <w:r w:rsidRPr="005D4222">
        <w:t xml:space="preserve"> A claim form can contain multiple secondary diagnoses. Organizations follow the measure specifications to determine whether a diagnosis must be principal or can be secondary. If </w:t>
      </w:r>
      <w:r w:rsidRPr="005D4222">
        <w:br/>
        <w:t xml:space="preserve">the specification does not specify that the principal diagnosis must be used, any applicable diagnosis </w:t>
      </w:r>
      <w:r w:rsidRPr="005D4222">
        <w:br/>
        <w:t>is used.</w:t>
      </w:r>
    </w:p>
    <w:p w14:paraId="23563F5A" w14:textId="307B9900" w:rsidR="00834FBA" w:rsidRPr="005D4222" w:rsidRDefault="00834FBA" w:rsidP="00834FBA">
      <w:pPr>
        <w:pStyle w:val="Body"/>
      </w:pPr>
      <w:r w:rsidRPr="005D4222">
        <w:t xml:space="preserve">Some measures require a specific principal diagnosis for eligibility; other measures allow any diagnosis (principal or secondary). For example, Persistence of Beta-Blocker Treatment After a Heart Attack specifies that any diagnosis of an AMI is eligible. If a </w:t>
      </w:r>
      <w:r w:rsidR="00BA0503" w:rsidRPr="005D4222">
        <w:t>person</w:t>
      </w:r>
      <w:r w:rsidRPr="005D4222">
        <w:t xml:space="preserve">’s claim lists the principal diagnosis as “severe head injury trauma,” but an AMI is listed as a secondary diagnosis on the same claim form, the </w:t>
      </w:r>
      <w:r w:rsidR="00BA0503" w:rsidRPr="005D4222">
        <w:t>person</w:t>
      </w:r>
      <w:r w:rsidRPr="005D4222">
        <w:t xml:space="preserve"> is included in the measure.</w:t>
      </w:r>
    </w:p>
    <w:p w14:paraId="3EC9132C" w14:textId="77777777" w:rsidR="00834FBA" w:rsidRPr="005D4222" w:rsidRDefault="00834FBA" w:rsidP="00834FBA">
      <w:pPr>
        <w:pStyle w:val="Body"/>
      </w:pPr>
      <w:r w:rsidRPr="005D4222">
        <w:t xml:space="preserve">The concept of “principal” and “secondary” diagnoses is unique to claims data. Supplemental data (such as EHR data) may not include this concept. Therefore, when using supplemental data to identify a “principal” diagnosis, use any diagnosis. </w:t>
      </w:r>
    </w:p>
    <w:p w14:paraId="42F150A8" w14:textId="77777777" w:rsidR="00834FBA" w:rsidRPr="005D4222" w:rsidRDefault="00834FBA" w:rsidP="00834FBA">
      <w:pPr>
        <w:pStyle w:val="SubHeadNoTOC"/>
      </w:pPr>
      <w:bookmarkStart w:id="161" w:name="_Toc400546083"/>
      <w:bookmarkStart w:id="162" w:name="_Toc452170794"/>
      <w:r w:rsidRPr="005D4222">
        <w:rPr>
          <w:i/>
          <w:iCs w:val="0"/>
        </w:rPr>
        <w:t>General Guideline:</w:t>
      </w:r>
      <w:r w:rsidRPr="005D4222">
        <w:t xml:space="preserve"> Code Modifiers</w:t>
      </w:r>
      <w:bookmarkEnd w:id="161"/>
    </w:p>
    <w:bookmarkEnd w:id="162"/>
    <w:p w14:paraId="3EB0166C" w14:textId="77777777" w:rsidR="00834FBA" w:rsidRPr="005D4222" w:rsidRDefault="00834FBA" w:rsidP="00834FBA">
      <w:pPr>
        <w:pStyle w:val="Body"/>
        <w:widowControl w:val="0"/>
      </w:pPr>
      <w:r w:rsidRPr="005D4222">
        <w:rPr>
          <w:b/>
        </w:rPr>
        <w:t>Modifiers</w:t>
      </w:r>
      <w:r w:rsidRPr="005D4222">
        <w:t xml:space="preserve"> are two-digit extensions that, when added to CPT or HCPCS codes, provide additional information about a service or procedure. </w:t>
      </w:r>
    </w:p>
    <w:p w14:paraId="0458FB77" w14:textId="77777777" w:rsidR="00834FBA" w:rsidRPr="005D4222" w:rsidRDefault="00834FBA" w:rsidP="00834FBA">
      <w:pPr>
        <w:pStyle w:val="Body"/>
      </w:pPr>
      <w:r w:rsidRPr="005D4222">
        <w:t>Unless otherwise specified, if a CPT or HCPCS code specified in HEDIS appears in the organization’s database with any modifier, the code may be counted in the HEDIS measure.</w:t>
      </w:r>
    </w:p>
    <w:p w14:paraId="32E5A78B" w14:textId="272E9A3D" w:rsidR="00834FBA" w:rsidRPr="005D4222" w:rsidRDefault="00834FBA" w:rsidP="00834FBA">
      <w:pPr>
        <w:pStyle w:val="SubHeadNoTOC"/>
      </w:pPr>
      <w:bookmarkStart w:id="163" w:name="_Toc400546084"/>
      <w:r w:rsidRPr="005D4222">
        <w:rPr>
          <w:bCs/>
          <w:i/>
        </w:rPr>
        <w:t>General Guideline:</w:t>
      </w:r>
      <w:r w:rsidRPr="005D4222">
        <w:t xml:space="preserve"> Uniform Bill Code Specificity</w:t>
      </w:r>
      <w:bookmarkEnd w:id="163"/>
    </w:p>
    <w:p w14:paraId="2F595404" w14:textId="77777777" w:rsidR="00834FBA" w:rsidRPr="005D4222" w:rsidRDefault="00834FBA" w:rsidP="00834FBA">
      <w:pPr>
        <w:pStyle w:val="Body"/>
        <w:widowControl w:val="0"/>
        <w:outlineLvl w:val="0"/>
      </w:pPr>
      <w:r w:rsidRPr="005D4222">
        <w:t xml:space="preserve">HEDIS reporting requires the four-digit version of Uniform Bill (UB) type of bill codes. Organizations whose data includes three-digit versions of the codes must convert the codes to four-digit codes by adding a leading zero. </w:t>
      </w:r>
    </w:p>
    <w:p w14:paraId="10F8F319" w14:textId="77777777" w:rsidR="00834FBA" w:rsidRPr="005D4222" w:rsidRDefault="00834FBA" w:rsidP="00834FBA">
      <w:pPr>
        <w:pStyle w:val="SubHeadNoTOC"/>
      </w:pPr>
      <w:bookmarkStart w:id="164" w:name="_Toc400546085"/>
      <w:bookmarkStart w:id="165" w:name="_Toc452170796"/>
      <w:r w:rsidRPr="005D4222">
        <w:rPr>
          <w:bCs/>
          <w:i/>
        </w:rPr>
        <w:t>General Guideline:</w:t>
      </w:r>
      <w:r w:rsidRPr="005D4222">
        <w:t xml:space="preserve"> Mapping Proprietary or Other Codes</w:t>
      </w:r>
      <w:bookmarkEnd w:id="164"/>
    </w:p>
    <w:p w14:paraId="3992D129" w14:textId="77777777" w:rsidR="00834FBA" w:rsidRPr="005D4222" w:rsidRDefault="00834FBA" w:rsidP="00834FBA">
      <w:pPr>
        <w:pStyle w:val="Body"/>
        <w:widowControl w:val="0"/>
        <w:rPr>
          <w:rFonts w:eastAsia="Arial" w:cs="Arial"/>
        </w:rPr>
      </w:pPr>
      <w:r w:rsidRPr="005D4222">
        <w:rPr>
          <w:rFonts w:eastAsia="Arial" w:cs="Arial"/>
        </w:rPr>
        <w:t>Organizations may only map the following codes for use in HEDIS reporting:</w:t>
      </w:r>
    </w:p>
    <w:p w14:paraId="506EEBE2" w14:textId="77777777" w:rsidR="00834FBA" w:rsidRPr="005D4222" w:rsidRDefault="00834FBA" w:rsidP="00834FBA">
      <w:pPr>
        <w:pStyle w:val="Bullet"/>
        <w:rPr>
          <w:rFonts w:eastAsia="Arial"/>
        </w:rPr>
      </w:pPr>
      <w:r w:rsidRPr="005D4222">
        <w:rPr>
          <w:rFonts w:eastAsia="Arial"/>
          <w:i/>
          <w:iCs/>
        </w:rPr>
        <w:t xml:space="preserve">State-specific codes. </w:t>
      </w:r>
      <w:r w:rsidRPr="005D4222">
        <w:rPr>
          <w:rFonts w:eastAsia="Arial"/>
        </w:rPr>
        <w:t xml:space="preserve">The organization must provide the auditor with evidence that the codes are required by the state. </w:t>
      </w:r>
    </w:p>
    <w:p w14:paraId="4A5C1CB6" w14:textId="77777777" w:rsidR="00834FBA" w:rsidRPr="005D4222" w:rsidRDefault="00834FBA" w:rsidP="00834FBA">
      <w:pPr>
        <w:pStyle w:val="Bullet"/>
        <w:rPr>
          <w:rFonts w:eastAsia="Arial"/>
        </w:rPr>
      </w:pPr>
      <w:r w:rsidRPr="005D4222">
        <w:rPr>
          <w:rFonts w:eastAsia="Arial"/>
          <w:i/>
          <w:iCs/>
        </w:rPr>
        <w:lastRenderedPageBreak/>
        <w:t>NDC codes.</w:t>
      </w:r>
      <w:r w:rsidRPr="005D4222">
        <w:rPr>
          <w:rFonts w:eastAsia="Arial"/>
        </w:rPr>
        <w:t xml:space="preserve"> An NDC code that is not in a medication list can be mapped if its generic name (or brand name), strength/dose and route match those of a code in the medication list. NDC codes that identify immunizations can be mapped to codes in value sets that identify immunizations. </w:t>
      </w:r>
    </w:p>
    <w:p w14:paraId="4AC64344" w14:textId="77777777" w:rsidR="00834FBA" w:rsidRPr="005D4222" w:rsidRDefault="00834FBA" w:rsidP="00834FBA">
      <w:pPr>
        <w:pStyle w:val="Bullet"/>
        <w:rPr>
          <w:rFonts w:eastAsia="Arial"/>
        </w:rPr>
      </w:pPr>
      <w:r w:rsidRPr="005D4222">
        <w:rPr>
          <w:rFonts w:eastAsia="Arial"/>
          <w:i/>
          <w:iCs/>
        </w:rPr>
        <w:t>RxNorm codes</w:t>
      </w:r>
      <w:r w:rsidRPr="005D4222">
        <w:rPr>
          <w:rFonts w:eastAsia="Arial"/>
        </w:rPr>
        <w:t>. An RxNorm code that is not in the medication list can</w:t>
      </w:r>
      <w:r w:rsidRPr="005D4222" w:rsidDel="003272E9">
        <w:rPr>
          <w:rFonts w:eastAsia="Arial"/>
        </w:rPr>
        <w:t xml:space="preserve"> </w:t>
      </w:r>
      <w:r w:rsidRPr="005D4222">
        <w:rPr>
          <w:rFonts w:eastAsia="Arial"/>
        </w:rPr>
        <w:t>be mapped if its generic name (or brand name), strength/dose and route match those of a code in the medication list.</w:t>
      </w:r>
    </w:p>
    <w:p w14:paraId="5AF4736D" w14:textId="25EF7F17" w:rsidR="00E05B99" w:rsidRPr="005D4222" w:rsidRDefault="00E05B99" w:rsidP="00834FBA">
      <w:pPr>
        <w:pStyle w:val="Bullet"/>
        <w:rPr>
          <w:rFonts w:eastAsia="Arial"/>
        </w:rPr>
      </w:pPr>
      <w:r w:rsidRPr="005D4222">
        <w:rPr>
          <w:rFonts w:eastAsia="Arial"/>
          <w:i/>
          <w:iCs/>
        </w:rPr>
        <w:t>ICD</w:t>
      </w:r>
      <w:r w:rsidRPr="005D4222">
        <w:rPr>
          <w:rFonts w:eastAsia="Arial"/>
        </w:rPr>
        <w:t xml:space="preserve">-9 </w:t>
      </w:r>
      <w:r w:rsidRPr="005D4222">
        <w:rPr>
          <w:rFonts w:eastAsia="Arial"/>
          <w:i/>
          <w:iCs/>
        </w:rPr>
        <w:t>codes</w:t>
      </w:r>
      <w:r w:rsidRPr="005D4222">
        <w:rPr>
          <w:rFonts w:eastAsia="Arial"/>
          <w:i/>
        </w:rPr>
        <w:t>:</w:t>
      </w:r>
      <w:r w:rsidRPr="005D4222">
        <w:rPr>
          <w:rFonts w:eastAsia="Arial"/>
        </w:rPr>
        <w:t xml:space="preserve"> </w:t>
      </w:r>
      <w:r w:rsidR="00DD60AA" w:rsidRPr="005D4222">
        <w:rPr>
          <w:rFonts w:eastAsia="Arial"/>
        </w:rPr>
        <w:t>ICD-9 codes can be mapped to ICD-10 codes only for concepts with a time frame that looks back “any time during the person’s history.”</w:t>
      </w:r>
    </w:p>
    <w:p w14:paraId="330F56AE" w14:textId="77777777" w:rsidR="00834FBA" w:rsidRPr="005D4222" w:rsidRDefault="00834FBA" w:rsidP="00834FBA">
      <w:pPr>
        <w:pStyle w:val="Body"/>
      </w:pPr>
      <w:bookmarkStart w:id="166" w:name="_Toc400546086"/>
      <w:r w:rsidRPr="005D4222">
        <w:t xml:space="preserve">For audit purposes, the organization documents the method used to map codes. At a minimum, documentation includes a crosswalk containing the relevant codes, descriptions and clinical information. </w:t>
      </w:r>
    </w:p>
    <w:p w14:paraId="6E7D15EB" w14:textId="77777777" w:rsidR="00834FBA" w:rsidRPr="005D4222" w:rsidRDefault="00834FBA" w:rsidP="00834FBA">
      <w:pPr>
        <w:pStyle w:val="Body"/>
      </w:pPr>
      <w:r w:rsidRPr="005D4222">
        <w:t>The organization documents the process for implementing codes. Auditors may request additional information.</w:t>
      </w:r>
    </w:p>
    <w:p w14:paraId="65064DE9" w14:textId="77777777" w:rsidR="00834FBA" w:rsidRPr="005D4222" w:rsidRDefault="00834FBA" w:rsidP="00834FBA">
      <w:pPr>
        <w:pStyle w:val="SubHeadNoTOC"/>
      </w:pPr>
      <w:r w:rsidRPr="005D4222">
        <w:rPr>
          <w:i/>
          <w:iCs w:val="0"/>
        </w:rPr>
        <w:t>General Guideline:</w:t>
      </w:r>
      <w:r w:rsidRPr="005D4222">
        <w:t xml:space="preserve"> Retiring Codes</w:t>
      </w:r>
      <w:bookmarkEnd w:id="166"/>
    </w:p>
    <w:p w14:paraId="3DE7E1AD" w14:textId="33515B45" w:rsidR="0041557F" w:rsidRPr="005D4222" w:rsidRDefault="00834FBA" w:rsidP="00834FBA">
      <w:pPr>
        <w:pStyle w:val="Body"/>
      </w:pPr>
      <w:r w:rsidRPr="005D4222">
        <w:t xml:space="preserve">NCQA annually tracks codes that are designated obsolete. NCQA does not remove codes in the year </w:t>
      </w:r>
      <w:r w:rsidR="00855E45" w:rsidRPr="005D4222">
        <w:br/>
      </w:r>
      <w:r w:rsidRPr="005D4222">
        <w:t xml:space="preserve">in which they receive the designation of obsolete because of the look-back period in many HEDIS measures. Obsolete codes are deleted from the HEDIS specifications after the look-back period has passed. </w:t>
      </w:r>
    </w:p>
    <w:p w14:paraId="620AA86C" w14:textId="77777777" w:rsidR="00834FBA" w:rsidRPr="005D4222" w:rsidRDefault="00834FBA" w:rsidP="0049435A">
      <w:pPr>
        <w:pStyle w:val="StdHead"/>
      </w:pPr>
      <w:bookmarkStart w:id="167" w:name="_Toc74747859"/>
      <w:bookmarkStart w:id="168" w:name="_Toc171402947"/>
      <w:bookmarkStart w:id="169" w:name="_Toc201813367"/>
      <w:bookmarkStart w:id="170" w:name="_Toc400546087"/>
      <w:r w:rsidRPr="005D4222">
        <w:t>HEDIS Specification Tables</w:t>
      </w:r>
      <w:bookmarkEnd w:id="167"/>
      <w:bookmarkEnd w:id="168"/>
      <w:bookmarkEnd w:id="169"/>
    </w:p>
    <w:p w14:paraId="4DEC20F5" w14:textId="77777777" w:rsidR="00834FBA" w:rsidRPr="005D4222" w:rsidRDefault="00834FBA" w:rsidP="00834FBA">
      <w:pPr>
        <w:pStyle w:val="SubHeadNoTOC"/>
        <w:spacing w:before="180"/>
      </w:pPr>
      <w:r w:rsidRPr="005D4222">
        <w:rPr>
          <w:i/>
          <w:iCs w:val="0"/>
        </w:rPr>
        <w:t xml:space="preserve">General Guideline: </w:t>
      </w:r>
      <w:r w:rsidRPr="005D4222">
        <w:t>Table Names</w:t>
      </w:r>
      <w:bookmarkEnd w:id="170"/>
    </w:p>
    <w:p w14:paraId="76B93C27" w14:textId="77777777" w:rsidR="00834FBA" w:rsidRPr="005D4222" w:rsidRDefault="00834FBA" w:rsidP="00834FBA">
      <w:pPr>
        <w:pStyle w:val="Body"/>
        <w:widowControl w:val="0"/>
        <w:rPr>
          <w:b/>
        </w:rPr>
      </w:pPr>
      <w:r w:rsidRPr="005D4222">
        <w:t xml:space="preserve">Measure specifications contain two types of tables: one to present medication lists and one used by organizations to submit data. Tables use a standardized naming system. </w:t>
      </w:r>
    </w:p>
    <w:tbl>
      <w:tblPr>
        <w:tblW w:w="9864" w:type="dxa"/>
        <w:tblLayout w:type="fixed"/>
        <w:tblLook w:val="0000" w:firstRow="0" w:lastRow="0" w:firstColumn="0" w:lastColumn="0" w:noHBand="0" w:noVBand="0"/>
      </w:tblPr>
      <w:tblGrid>
        <w:gridCol w:w="2160"/>
        <w:gridCol w:w="7704"/>
      </w:tblGrid>
      <w:tr w:rsidR="00834FBA" w:rsidRPr="005D4222" w14:paraId="2A021E4F" w14:textId="77777777" w:rsidTr="009F6641">
        <w:tc>
          <w:tcPr>
            <w:tcW w:w="2160" w:type="dxa"/>
          </w:tcPr>
          <w:p w14:paraId="3B45AC9D" w14:textId="77777777" w:rsidR="00834FBA" w:rsidRPr="005D4222" w:rsidRDefault="00834FBA" w:rsidP="009F6641">
            <w:pPr>
              <w:pStyle w:val="MarginSubhead"/>
              <w:widowControl w:val="0"/>
            </w:pPr>
            <w:r w:rsidRPr="005D4222">
              <w:t>Medication tables</w:t>
            </w:r>
          </w:p>
        </w:tc>
        <w:tc>
          <w:tcPr>
            <w:tcW w:w="7704" w:type="dxa"/>
            <w:tcBorders>
              <w:bottom w:val="nil"/>
            </w:tcBorders>
          </w:tcPr>
          <w:p w14:paraId="7AFBD408" w14:textId="06E7D3B8" w:rsidR="00834FBA" w:rsidRPr="005D4222" w:rsidRDefault="00834FBA" w:rsidP="009F6641">
            <w:pPr>
              <w:pStyle w:val="Body"/>
              <w:rPr>
                <w:b/>
              </w:rPr>
            </w:pPr>
            <w:r w:rsidRPr="005D4222">
              <w:t xml:space="preserve">Medication tables are labeled with the corresponding medication list name found in the Medication List Directory. </w:t>
            </w:r>
          </w:p>
        </w:tc>
      </w:tr>
      <w:tr w:rsidR="00834FBA" w:rsidRPr="005D4222" w14:paraId="77DBC127" w14:textId="77777777" w:rsidTr="009F6641">
        <w:tc>
          <w:tcPr>
            <w:tcW w:w="2160" w:type="dxa"/>
          </w:tcPr>
          <w:p w14:paraId="2E5189A7" w14:textId="77777777" w:rsidR="00834FBA" w:rsidRPr="005D4222" w:rsidRDefault="00834FBA" w:rsidP="009F6641">
            <w:pPr>
              <w:pStyle w:val="MarginSubhead"/>
            </w:pPr>
            <w:r w:rsidRPr="005D4222">
              <w:t>Reporting tables</w:t>
            </w:r>
          </w:p>
        </w:tc>
        <w:tc>
          <w:tcPr>
            <w:tcW w:w="7704" w:type="dxa"/>
          </w:tcPr>
          <w:p w14:paraId="091A940D" w14:textId="77777777" w:rsidR="00834FBA" w:rsidRPr="005D4222" w:rsidRDefault="00834FBA" w:rsidP="009F6641">
            <w:pPr>
              <w:pStyle w:val="Body"/>
            </w:pPr>
            <w:r w:rsidRPr="005D4222">
              <w:t xml:space="preserve">Data element tables begin with the measure’s three-character abbreviation. Each product line is assigned a number; for example: </w:t>
            </w:r>
          </w:p>
          <w:p w14:paraId="5BAE7C08" w14:textId="280103FA" w:rsidR="00834FBA" w:rsidRPr="005D4222" w:rsidRDefault="002D35DF" w:rsidP="009F6641">
            <w:pPr>
              <w:pStyle w:val="Bullet"/>
              <w:widowControl w:val="0"/>
              <w:rPr>
                <w:kern w:val="24"/>
                <w:szCs w:val="20"/>
              </w:rPr>
            </w:pPr>
            <w:r w:rsidRPr="005D4222">
              <w:rPr>
                <w:kern w:val="24"/>
              </w:rPr>
              <w:t>AAB</w:t>
            </w:r>
            <w:r w:rsidR="00834FBA" w:rsidRPr="005D4222">
              <w:rPr>
                <w:kern w:val="24"/>
              </w:rPr>
              <w:t>-1 (Medicaid).</w:t>
            </w:r>
          </w:p>
          <w:p w14:paraId="4FD9196B" w14:textId="47859461" w:rsidR="00834FBA" w:rsidRPr="005D4222" w:rsidRDefault="002D35DF" w:rsidP="009F6641">
            <w:pPr>
              <w:pStyle w:val="Bullet"/>
              <w:widowControl w:val="0"/>
              <w:rPr>
                <w:kern w:val="24"/>
                <w:szCs w:val="20"/>
              </w:rPr>
            </w:pPr>
            <w:r w:rsidRPr="005D4222">
              <w:rPr>
                <w:kern w:val="24"/>
              </w:rPr>
              <w:t>AAB</w:t>
            </w:r>
            <w:r w:rsidR="00834FBA" w:rsidRPr="005D4222">
              <w:rPr>
                <w:kern w:val="24"/>
              </w:rPr>
              <w:t>-2 (commercial).</w:t>
            </w:r>
          </w:p>
          <w:p w14:paraId="56B107E5" w14:textId="60B916BA" w:rsidR="00834FBA" w:rsidRPr="005D4222" w:rsidRDefault="002D35DF" w:rsidP="009F6641">
            <w:pPr>
              <w:pStyle w:val="Bullet"/>
              <w:widowControl w:val="0"/>
              <w:rPr>
                <w:kern w:val="24"/>
                <w:szCs w:val="20"/>
              </w:rPr>
            </w:pPr>
            <w:r w:rsidRPr="005D4222">
              <w:rPr>
                <w:kern w:val="24"/>
              </w:rPr>
              <w:t>AAB</w:t>
            </w:r>
            <w:r w:rsidR="00834FBA" w:rsidRPr="005D4222">
              <w:rPr>
                <w:kern w:val="24"/>
              </w:rPr>
              <w:t>-3 (Medicare).</w:t>
            </w:r>
          </w:p>
          <w:p w14:paraId="6088B6DA" w14:textId="77777777" w:rsidR="00834FBA" w:rsidRPr="005D4222" w:rsidRDefault="00834FBA" w:rsidP="009F6641">
            <w:pPr>
              <w:pStyle w:val="Body"/>
            </w:pPr>
            <w:r w:rsidRPr="005D4222">
              <w:t>If more than one table will be reported for a product line, the table is assigned an uppercase letter. For example</w:t>
            </w:r>
            <w:r w:rsidRPr="005D4222">
              <w:rPr>
                <w:i/>
              </w:rPr>
              <w:t>,</w:t>
            </w:r>
            <w:r w:rsidRPr="005D4222">
              <w:t xml:space="preserve"> the tables for the</w:t>
            </w:r>
            <w:r w:rsidRPr="005D4222" w:rsidDel="00CA7891">
              <w:t xml:space="preserve"> </w:t>
            </w:r>
            <w:r w:rsidRPr="005D4222">
              <w:t>Controlling High Blood Pressure</w:t>
            </w:r>
            <w:r w:rsidRPr="005D4222" w:rsidDel="00CA7891">
              <w:t xml:space="preserve"> </w:t>
            </w:r>
            <w:r w:rsidRPr="005D4222">
              <w:t>measure are CBP-A-1/2/3, CBP-B-1/2/3 and CBP-C-1/2/3.</w:t>
            </w:r>
          </w:p>
        </w:tc>
      </w:tr>
    </w:tbl>
    <w:p w14:paraId="448DEDF4" w14:textId="77777777" w:rsidR="00834FBA" w:rsidRPr="005D4222" w:rsidRDefault="00834FBA" w:rsidP="00834FBA">
      <w:pPr>
        <w:pStyle w:val="SubHeadNoTOC"/>
      </w:pPr>
      <w:bookmarkStart w:id="171" w:name="_Toc400546088"/>
      <w:bookmarkStart w:id="172" w:name="PartialYear"/>
      <w:bookmarkEnd w:id="165"/>
      <w:r w:rsidRPr="005D4222">
        <w:rPr>
          <w:i/>
          <w:iCs w:val="0"/>
        </w:rPr>
        <w:t>General Guideline:</w:t>
      </w:r>
      <w:r w:rsidRPr="005D4222">
        <w:t xml:space="preserve"> Reporting Tables</w:t>
      </w:r>
    </w:p>
    <w:p w14:paraId="13EE7BFD" w14:textId="426F8A97" w:rsidR="00834FBA" w:rsidRPr="005D4222" w:rsidRDefault="00834FBA" w:rsidP="00834FBA">
      <w:pPr>
        <w:pStyle w:val="Body"/>
      </w:pPr>
      <w:r w:rsidRPr="005D4222">
        <w:t xml:space="preserve">The reporting tables in the measure specifications outline the data elements required for reporting. Refer to </w:t>
      </w:r>
      <w:r w:rsidRPr="005D4222">
        <w:rPr>
          <w:i/>
          <w:iCs/>
        </w:rPr>
        <w:t xml:space="preserve">Appendix </w:t>
      </w:r>
      <w:r w:rsidR="003F4CC2" w:rsidRPr="005D4222">
        <w:rPr>
          <w:i/>
          <w:iCs/>
        </w:rPr>
        <w:t>2</w:t>
      </w:r>
      <w:r w:rsidRPr="005D4222">
        <w:rPr>
          <w:i/>
          <w:iCs/>
        </w:rPr>
        <w:t xml:space="preserve">: Data Element </w:t>
      </w:r>
      <w:r w:rsidRPr="005D4222" w:rsidDel="00472D78">
        <w:rPr>
          <w:i/>
          <w:iCs/>
        </w:rPr>
        <w:t>Definitions</w:t>
      </w:r>
      <w:r w:rsidRPr="005D4222">
        <w:t>.</w:t>
      </w:r>
    </w:p>
    <w:tbl>
      <w:tblPr>
        <w:tblW w:w="9864" w:type="dxa"/>
        <w:tblLayout w:type="fixed"/>
        <w:tblLook w:val="0000" w:firstRow="0" w:lastRow="0" w:firstColumn="0" w:lastColumn="0" w:noHBand="0" w:noVBand="0"/>
      </w:tblPr>
      <w:tblGrid>
        <w:gridCol w:w="2160"/>
        <w:gridCol w:w="7704"/>
      </w:tblGrid>
      <w:tr w:rsidR="00834FBA" w:rsidRPr="005D4222" w14:paraId="31EB509A" w14:textId="77777777" w:rsidTr="001077C1">
        <w:tc>
          <w:tcPr>
            <w:tcW w:w="2160" w:type="dxa"/>
          </w:tcPr>
          <w:p w14:paraId="3F17644A" w14:textId="77777777" w:rsidR="00834FBA" w:rsidRPr="005D4222" w:rsidRDefault="00834FBA" w:rsidP="009F6641">
            <w:pPr>
              <w:pStyle w:val="MarginSubhead"/>
              <w:widowControl w:val="0"/>
            </w:pPr>
            <w:r w:rsidRPr="005D4222">
              <w:t>Format</w:t>
            </w:r>
          </w:p>
        </w:tc>
        <w:tc>
          <w:tcPr>
            <w:tcW w:w="7704" w:type="dxa"/>
            <w:tcBorders>
              <w:bottom w:val="nil"/>
            </w:tcBorders>
          </w:tcPr>
          <w:p w14:paraId="7F6F3A61" w14:textId="77777777" w:rsidR="00834FBA" w:rsidRPr="005D4222" w:rsidRDefault="00834FBA" w:rsidP="009F6641">
            <w:pPr>
              <w:pStyle w:val="Body"/>
            </w:pPr>
            <w:r w:rsidRPr="005D4222">
              <w:t>The reporting tables in the measure specifications follow a standard format corresponding to the structure of the IDSS submission XML file:</w:t>
            </w:r>
          </w:p>
          <w:p w14:paraId="691F90B9" w14:textId="69400004" w:rsidR="00834FBA" w:rsidRPr="005D4222" w:rsidRDefault="00834FBA" w:rsidP="009F6641">
            <w:pPr>
              <w:pStyle w:val="Bullet"/>
            </w:pPr>
            <w:r w:rsidRPr="005D4222">
              <w:rPr>
                <w:i/>
                <w:iCs/>
              </w:rPr>
              <w:t>Metric</w:t>
            </w:r>
            <w:r w:rsidRPr="005D4222">
              <w:t xml:space="preserve">: For single-metric measures, the metric describes the subject of the measure. For multi-metric measures, the metrics describe the various </w:t>
            </w:r>
            <w:r w:rsidRPr="005D4222">
              <w:lastRenderedPageBreak/>
              <w:t xml:space="preserve">concepts evaluated in the measure (e.g., Screening, Follow-up, Influenza, Tdap). For wide tables, the metric column may be shown above the table. </w:t>
            </w:r>
          </w:p>
          <w:p w14:paraId="7B000237" w14:textId="77777777" w:rsidR="00834FBA" w:rsidRPr="005D4222" w:rsidRDefault="00834FBA" w:rsidP="009F6641">
            <w:pPr>
              <w:pStyle w:val="Bullet"/>
            </w:pPr>
            <w:r w:rsidRPr="005D4222">
              <w:rPr>
                <w:i/>
                <w:iCs/>
              </w:rPr>
              <w:t>Stratification</w:t>
            </w:r>
            <w:r w:rsidRPr="005D4222">
              <w:t>: Only applies to measures that include one or more stratifications (e.g., age, gender). For measures with multiple stratifications, the reporting instructions apply for all stratification combinations.</w:t>
            </w:r>
          </w:p>
          <w:p w14:paraId="4A61DF3B" w14:textId="77777777" w:rsidR="00834FBA" w:rsidRPr="005D4222" w:rsidRDefault="00834FBA" w:rsidP="009F6641">
            <w:pPr>
              <w:pStyle w:val="Bullet"/>
            </w:pPr>
            <w:r w:rsidRPr="005D4222">
              <w:rPr>
                <w:i/>
                <w:iCs/>
              </w:rPr>
              <w:t>Data Element</w:t>
            </w:r>
            <w:r w:rsidRPr="005D4222">
              <w:t xml:space="preserve">: The data elements required for reporting (depending on data collection method). </w:t>
            </w:r>
          </w:p>
          <w:p w14:paraId="27BDBFF7" w14:textId="77777777" w:rsidR="00834FBA" w:rsidRPr="005D4222" w:rsidRDefault="00834FBA" w:rsidP="00855E45">
            <w:pPr>
              <w:pStyle w:val="Bullet"/>
            </w:pPr>
            <w:r w:rsidRPr="005D4222">
              <w:rPr>
                <w:i/>
                <w:iCs/>
              </w:rPr>
              <w:t>Reporting Instructions</w:t>
            </w:r>
            <w:r w:rsidRPr="005D4222">
              <w:t xml:space="preserve">: Specify how the data elements must be reported (e.g., for each metric, repeat per metric), or the units or formula for IDSS calculated data elements. </w:t>
            </w:r>
          </w:p>
          <w:p w14:paraId="357A1EED" w14:textId="77777777" w:rsidR="00834FBA" w:rsidRPr="005D4222" w:rsidRDefault="00834FBA" w:rsidP="009F6641">
            <w:pPr>
              <w:pStyle w:val="Bullet"/>
            </w:pPr>
            <w:r w:rsidRPr="005D4222">
              <w:rPr>
                <w:i/>
                <w:iCs/>
              </w:rPr>
              <w:t>Column A</w:t>
            </w:r>
            <w:r w:rsidRPr="005D4222">
              <w:t>: Used in hybrid measures to indicate which data elements are required for Administrative Method reporting. All data elements must be reported for the Hybrid Method unless otherwise specified in the measure specifications.</w:t>
            </w:r>
          </w:p>
          <w:p w14:paraId="29014CC8" w14:textId="77777777" w:rsidR="00834FBA" w:rsidRPr="005D4222" w:rsidRDefault="00834FBA" w:rsidP="009F6641">
            <w:pPr>
              <w:pStyle w:val="Bullet"/>
            </w:pPr>
            <w:r w:rsidRPr="005D4222">
              <w:t>For administrative-only measures</w:t>
            </w:r>
            <w:r w:rsidRPr="005D4222" w:rsidDel="006658A3">
              <w:t xml:space="preserve">, all data elements must be reported. </w:t>
            </w:r>
          </w:p>
        </w:tc>
      </w:tr>
      <w:tr w:rsidR="00834FBA" w:rsidRPr="005D4222" w14:paraId="040FF281" w14:textId="77777777" w:rsidTr="009F6641">
        <w:tc>
          <w:tcPr>
            <w:tcW w:w="2160" w:type="dxa"/>
          </w:tcPr>
          <w:p w14:paraId="2B7FE369" w14:textId="77777777" w:rsidR="00834FBA" w:rsidRPr="005D4222" w:rsidRDefault="00834FBA" w:rsidP="000273B0">
            <w:pPr>
              <w:pStyle w:val="MarginSubhead"/>
              <w:widowControl w:val="0"/>
            </w:pPr>
            <w:r w:rsidRPr="005D4222">
              <w:lastRenderedPageBreak/>
              <w:t xml:space="preserve">Coding </w:t>
            </w:r>
          </w:p>
        </w:tc>
        <w:tc>
          <w:tcPr>
            <w:tcW w:w="7704" w:type="dxa"/>
            <w:tcBorders>
              <w:bottom w:val="nil"/>
            </w:tcBorders>
          </w:tcPr>
          <w:p w14:paraId="64440736" w14:textId="77777777" w:rsidR="00834FBA" w:rsidRPr="005D4222" w:rsidRDefault="00834FBA" w:rsidP="000273B0">
            <w:pPr>
              <w:pStyle w:val="Heading3"/>
              <w:spacing w:before="180"/>
            </w:pPr>
            <w:r w:rsidRPr="005D4222">
              <w:t>Example Data Elements for Reporting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795"/>
              <w:gridCol w:w="1379"/>
              <w:gridCol w:w="1379"/>
              <w:gridCol w:w="1322"/>
              <w:gridCol w:w="2077"/>
              <w:gridCol w:w="395"/>
            </w:tblGrid>
            <w:tr w:rsidR="00834FBA" w:rsidRPr="005D4222" w14:paraId="365CD2C8" w14:textId="77777777" w:rsidTr="008E5242">
              <w:trPr>
                <w:cantSplit/>
              </w:trPr>
              <w:tc>
                <w:tcPr>
                  <w:tcW w:w="795" w:type="dxa"/>
                  <w:tcBorders>
                    <w:top w:val="single" w:sz="4" w:space="0" w:color="auto"/>
                    <w:left w:val="single" w:sz="4" w:space="0" w:color="auto"/>
                    <w:bottom w:val="single" w:sz="4" w:space="0" w:color="auto"/>
                    <w:right w:val="single" w:sz="4" w:space="0" w:color="FFFFFF" w:themeColor="background1"/>
                  </w:tcBorders>
                  <w:shd w:val="clear" w:color="auto" w:fill="000000" w:themeFill="text1"/>
                  <w:tcMar>
                    <w:left w:w="72" w:type="dxa"/>
                    <w:right w:w="72" w:type="dxa"/>
                  </w:tcMar>
                  <w:vAlign w:val="bottom"/>
                  <w:hideMark/>
                </w:tcPr>
                <w:p w14:paraId="20D59B2E" w14:textId="77777777" w:rsidR="00834FBA" w:rsidRPr="005D4222" w:rsidRDefault="00834FBA" w:rsidP="008E5242">
                  <w:pPr>
                    <w:pStyle w:val="TableHead"/>
                    <w:spacing w:before="40" w:after="40"/>
                    <w:rPr>
                      <w:rFonts w:eastAsia="Arial Narrow"/>
                      <w:color w:val="auto"/>
                    </w:rPr>
                  </w:pPr>
                  <w:r w:rsidRPr="005D4222">
                    <w:rPr>
                      <w:rFonts w:eastAsia="Arial Narrow"/>
                      <w:color w:val="auto"/>
                    </w:rPr>
                    <w:t>Metric</w:t>
                  </w:r>
                </w:p>
              </w:tc>
              <w:tc>
                <w:tcPr>
                  <w:tcW w:w="1379"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cMar>
                    <w:left w:w="72" w:type="dxa"/>
                    <w:right w:w="72" w:type="dxa"/>
                  </w:tcMar>
                  <w:vAlign w:val="bottom"/>
                  <w:hideMark/>
                </w:tcPr>
                <w:p w14:paraId="3DAEF127" w14:textId="6875D517" w:rsidR="00834FBA" w:rsidRPr="005D4222" w:rsidRDefault="00B51CDC" w:rsidP="008E5242">
                  <w:pPr>
                    <w:pStyle w:val="TableHead"/>
                    <w:spacing w:before="40" w:after="40"/>
                    <w:rPr>
                      <w:rFonts w:eastAsia="Arial Narrow"/>
                      <w:color w:val="auto"/>
                    </w:rPr>
                  </w:pPr>
                  <w:r w:rsidRPr="005D4222">
                    <w:rPr>
                      <w:rFonts w:eastAsia="Arial Narrow"/>
                      <w:color w:val="auto"/>
                    </w:rPr>
                    <w:t>Stratifications</w:t>
                  </w:r>
                  <w:r w:rsidR="00834FBA" w:rsidRPr="005D4222">
                    <w:rPr>
                      <w:rFonts w:eastAsia="Arial Narrow"/>
                      <w:color w:val="auto"/>
                    </w:rPr>
                    <w:t>1</w:t>
                  </w:r>
                </w:p>
              </w:tc>
              <w:tc>
                <w:tcPr>
                  <w:tcW w:w="1379"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cMar>
                    <w:left w:w="72" w:type="dxa"/>
                    <w:right w:w="72" w:type="dxa"/>
                  </w:tcMar>
                  <w:vAlign w:val="bottom"/>
                  <w:hideMark/>
                </w:tcPr>
                <w:p w14:paraId="7B663CE8" w14:textId="4B7CECC6" w:rsidR="00834FBA" w:rsidRPr="005D4222" w:rsidRDefault="00B51CDC" w:rsidP="008E5242">
                  <w:pPr>
                    <w:pStyle w:val="TableHead"/>
                    <w:spacing w:before="40" w:after="40"/>
                    <w:rPr>
                      <w:rFonts w:eastAsia="Arial Narrow"/>
                      <w:color w:val="auto"/>
                    </w:rPr>
                  </w:pPr>
                  <w:r w:rsidRPr="005D4222">
                    <w:rPr>
                      <w:rFonts w:eastAsia="Arial Narrow"/>
                      <w:color w:val="auto"/>
                    </w:rPr>
                    <w:t>Stratifications</w:t>
                  </w:r>
                  <w:r w:rsidR="00834FBA" w:rsidRPr="005D4222">
                    <w:rPr>
                      <w:rFonts w:eastAsia="Arial Narrow"/>
                      <w:color w:val="auto"/>
                    </w:rPr>
                    <w:t>2</w:t>
                  </w:r>
                </w:p>
              </w:tc>
              <w:tc>
                <w:tcPr>
                  <w:tcW w:w="1322" w:type="dxa"/>
                  <w:tcBorders>
                    <w:top w:val="single" w:sz="4" w:space="0" w:color="auto"/>
                    <w:left w:val="single" w:sz="4" w:space="0" w:color="FFFFFF" w:themeColor="background1"/>
                    <w:bottom w:val="single" w:sz="4" w:space="0" w:color="auto"/>
                    <w:right w:val="single" w:sz="6" w:space="0" w:color="FFFFFF" w:themeColor="background1"/>
                  </w:tcBorders>
                  <w:shd w:val="clear" w:color="auto" w:fill="000000" w:themeFill="text1"/>
                  <w:tcMar>
                    <w:left w:w="72" w:type="dxa"/>
                    <w:right w:w="72" w:type="dxa"/>
                  </w:tcMar>
                  <w:vAlign w:val="bottom"/>
                  <w:hideMark/>
                </w:tcPr>
                <w:p w14:paraId="1C3B8506" w14:textId="357A84DA" w:rsidR="00834FBA" w:rsidRPr="005D4222" w:rsidRDefault="00834FBA" w:rsidP="008E5242">
                  <w:pPr>
                    <w:pStyle w:val="TableHead"/>
                    <w:spacing w:before="40" w:after="40"/>
                    <w:rPr>
                      <w:rFonts w:eastAsia="Arial Narrow"/>
                      <w:color w:val="auto"/>
                    </w:rPr>
                  </w:pPr>
                  <w:r w:rsidRPr="005D4222">
                    <w:rPr>
                      <w:rFonts w:eastAsia="Arial Narrow"/>
                      <w:color w:val="auto"/>
                    </w:rPr>
                    <w:t>Data Element</w:t>
                  </w:r>
                </w:p>
              </w:tc>
              <w:tc>
                <w:tcPr>
                  <w:tcW w:w="2077" w:type="dxa"/>
                  <w:tcBorders>
                    <w:top w:val="single" w:sz="4" w:space="0" w:color="auto"/>
                    <w:left w:val="single" w:sz="6" w:space="0" w:color="FFFFFF" w:themeColor="background1"/>
                    <w:bottom w:val="single" w:sz="4" w:space="0" w:color="auto"/>
                    <w:right w:val="single" w:sz="4" w:space="0" w:color="auto"/>
                  </w:tcBorders>
                  <w:shd w:val="clear" w:color="auto" w:fill="000000" w:themeFill="text1"/>
                  <w:tcMar>
                    <w:left w:w="72" w:type="dxa"/>
                    <w:right w:w="72" w:type="dxa"/>
                  </w:tcMar>
                  <w:vAlign w:val="bottom"/>
                  <w:hideMark/>
                </w:tcPr>
                <w:p w14:paraId="326AEAA8" w14:textId="77777777" w:rsidR="00834FBA" w:rsidRPr="005D4222" w:rsidRDefault="00834FBA" w:rsidP="008E5242">
                  <w:pPr>
                    <w:pStyle w:val="TableHead"/>
                    <w:spacing w:before="40" w:after="40"/>
                    <w:rPr>
                      <w:rFonts w:eastAsia="Arial Narrow"/>
                      <w:color w:val="auto"/>
                    </w:rPr>
                  </w:pPr>
                  <w:r w:rsidRPr="005D4222">
                    <w:rPr>
                      <w:rFonts w:eastAsia="Arial Narrow"/>
                      <w:color w:val="auto"/>
                    </w:rPr>
                    <w:t>Reporting Instructions</w:t>
                  </w:r>
                </w:p>
              </w:tc>
              <w:tc>
                <w:tcPr>
                  <w:tcW w:w="395" w:type="dxa"/>
                  <w:tcBorders>
                    <w:top w:val="single" w:sz="4" w:space="0" w:color="auto"/>
                    <w:left w:val="single" w:sz="6" w:space="0" w:color="FFFFFF" w:themeColor="background1"/>
                    <w:bottom w:val="single" w:sz="4" w:space="0" w:color="auto"/>
                    <w:right w:val="single" w:sz="4" w:space="0" w:color="auto"/>
                  </w:tcBorders>
                  <w:shd w:val="clear" w:color="auto" w:fill="000000" w:themeFill="text1"/>
                  <w:tcMar>
                    <w:left w:w="72" w:type="dxa"/>
                    <w:right w:w="72" w:type="dxa"/>
                  </w:tcMar>
                  <w:vAlign w:val="bottom"/>
                  <w:hideMark/>
                </w:tcPr>
                <w:p w14:paraId="4AB900B4" w14:textId="77777777" w:rsidR="00834FBA" w:rsidRPr="005D4222" w:rsidRDefault="00834FBA" w:rsidP="008E5242">
                  <w:pPr>
                    <w:pStyle w:val="TableHead"/>
                    <w:spacing w:before="40" w:after="40"/>
                    <w:rPr>
                      <w:rFonts w:eastAsia="Arial Narrow"/>
                      <w:color w:val="auto"/>
                    </w:rPr>
                  </w:pPr>
                  <w:r w:rsidRPr="005D4222">
                    <w:rPr>
                      <w:rFonts w:eastAsia="Arial Narrow"/>
                      <w:color w:val="auto"/>
                    </w:rPr>
                    <w:t>A</w:t>
                  </w:r>
                </w:p>
              </w:tc>
            </w:tr>
            <w:tr w:rsidR="00834FBA" w:rsidRPr="005D4222" w14:paraId="42DEA8B5" w14:textId="77777777" w:rsidTr="009F6641">
              <w:trPr>
                <w:cantSplit/>
              </w:trPr>
              <w:tc>
                <w:tcPr>
                  <w:tcW w:w="795"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220F10E2" w14:textId="77777777" w:rsidR="00834FBA" w:rsidRPr="005D4222" w:rsidRDefault="00834FBA" w:rsidP="008E5242">
                  <w:pPr>
                    <w:pStyle w:val="TableText"/>
                    <w:spacing w:before="40" w:after="40"/>
                    <w:rPr>
                      <w:rFonts w:eastAsia="Arial Narrow"/>
                    </w:rPr>
                  </w:pPr>
                  <w:r w:rsidRPr="005D4222">
                    <w:rPr>
                      <w:rFonts w:eastAsia="Arial Narrow"/>
                    </w:rPr>
                    <w:t>Metric1</w:t>
                  </w:r>
                </w:p>
              </w:tc>
              <w:tc>
                <w:tcPr>
                  <w:tcW w:w="1379"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370779DB" w14:textId="77777777" w:rsidR="00834FBA" w:rsidRPr="005D4222" w:rsidRDefault="00834FBA" w:rsidP="008E5242">
                  <w:pPr>
                    <w:pStyle w:val="TableText"/>
                    <w:spacing w:before="40" w:after="40"/>
                    <w:rPr>
                      <w:rFonts w:eastAsia="Arial Narrow"/>
                    </w:rPr>
                  </w:pPr>
                  <w:r w:rsidRPr="005D4222">
                    <w:rPr>
                      <w:rFonts w:eastAsia="Arial Narrow"/>
                    </w:rPr>
                    <w:t>Level1</w:t>
                  </w:r>
                </w:p>
              </w:tc>
              <w:tc>
                <w:tcPr>
                  <w:tcW w:w="1379"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34DA9289" w14:textId="77777777" w:rsidR="00834FBA" w:rsidRPr="005D4222" w:rsidRDefault="00834FBA" w:rsidP="008E5242">
                  <w:pPr>
                    <w:pStyle w:val="TableText"/>
                    <w:spacing w:before="40" w:after="40"/>
                    <w:rPr>
                      <w:rFonts w:eastAsia="Arial Narrow"/>
                    </w:rPr>
                  </w:pPr>
                  <w:r w:rsidRPr="005D4222">
                    <w:rPr>
                      <w:rFonts w:eastAsia="Arial Narrow"/>
                    </w:rPr>
                    <w:t>Level1</w:t>
                  </w:r>
                </w:p>
              </w:tc>
              <w:tc>
                <w:tcPr>
                  <w:tcW w:w="1322" w:type="dxa"/>
                  <w:tcBorders>
                    <w:top w:val="single" w:sz="4" w:space="0" w:color="auto"/>
                    <w:left w:val="single" w:sz="4" w:space="0" w:color="auto"/>
                    <w:bottom w:val="single" w:sz="4" w:space="0" w:color="auto"/>
                    <w:right w:val="single" w:sz="4" w:space="0" w:color="auto"/>
                  </w:tcBorders>
                  <w:tcMar>
                    <w:left w:w="72" w:type="dxa"/>
                    <w:right w:w="72" w:type="dxa"/>
                  </w:tcMar>
                  <w:vAlign w:val="center"/>
                  <w:hideMark/>
                </w:tcPr>
                <w:p w14:paraId="403472A7" w14:textId="77777777" w:rsidR="00834FBA" w:rsidRPr="005D4222" w:rsidRDefault="00834FBA" w:rsidP="008E5242">
                  <w:pPr>
                    <w:pStyle w:val="TableText"/>
                    <w:spacing w:before="40" w:after="40"/>
                    <w:rPr>
                      <w:rFonts w:eastAsia="Arial Narrow"/>
                    </w:rPr>
                  </w:pPr>
                  <w:r w:rsidRPr="005D4222">
                    <w:rPr>
                      <w:rFonts w:eastAsia="Arial Narrow"/>
                    </w:rPr>
                    <w:t>DataElement1</w:t>
                  </w:r>
                </w:p>
              </w:tc>
              <w:tc>
                <w:tcPr>
                  <w:tcW w:w="2077" w:type="dxa"/>
                  <w:tcBorders>
                    <w:top w:val="single" w:sz="4" w:space="0" w:color="auto"/>
                    <w:left w:val="single" w:sz="4" w:space="0" w:color="auto"/>
                    <w:bottom w:val="single" w:sz="4" w:space="0" w:color="auto"/>
                    <w:right w:val="single" w:sz="4" w:space="0" w:color="auto"/>
                  </w:tcBorders>
                  <w:tcMar>
                    <w:left w:w="72" w:type="dxa"/>
                    <w:right w:w="72" w:type="dxa"/>
                  </w:tcMar>
                  <w:vAlign w:val="center"/>
                  <w:hideMark/>
                </w:tcPr>
                <w:p w14:paraId="371F4530" w14:textId="77777777" w:rsidR="00834FBA" w:rsidRPr="005D4222" w:rsidRDefault="00834FBA" w:rsidP="008E5242">
                  <w:pPr>
                    <w:pStyle w:val="TableText"/>
                    <w:spacing w:before="40" w:after="40"/>
                    <w:rPr>
                      <w:rFonts w:eastAsia="Arial Narrow"/>
                    </w:rPr>
                  </w:pPr>
                  <w:r w:rsidRPr="005D4222">
                    <w:rPr>
                      <w:rFonts w:eastAsia="Arial Narrow"/>
                    </w:rPr>
                    <w:t>Instruction1</w:t>
                  </w:r>
                </w:p>
              </w:tc>
              <w:tc>
                <w:tcPr>
                  <w:tcW w:w="395"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45AE1815" w14:textId="0BE1AB7B" w:rsidR="00834FBA" w:rsidRPr="005D4222" w:rsidRDefault="00233911" w:rsidP="008E5242">
                  <w:pPr>
                    <w:pStyle w:val="TableText"/>
                    <w:spacing w:before="40" w:after="40"/>
                    <w:jc w:val="center"/>
                    <w:rPr>
                      <w:rFonts w:eastAsia="Arial Narrow"/>
                    </w:rPr>
                  </w:pPr>
                  <w:r w:rsidRPr="005D4222">
                    <w:rPr>
                      <w:rFonts w:ascii="Wingdings" w:eastAsia="Wingdings" w:hAnsi="Wingdings" w:cs="Wingdings"/>
                    </w:rPr>
                    <w:t></w:t>
                  </w:r>
                </w:p>
              </w:tc>
            </w:tr>
            <w:tr w:rsidR="00834FBA" w:rsidRPr="005D4222" w14:paraId="1E50042F" w14:textId="77777777" w:rsidTr="009F6641">
              <w:trPr>
                <w:cantSplit/>
              </w:trPr>
              <w:tc>
                <w:tcPr>
                  <w:tcW w:w="795"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72FB01BD" w14:textId="77777777" w:rsidR="00834FBA" w:rsidRPr="005D4222" w:rsidRDefault="00834FBA" w:rsidP="008E5242">
                  <w:pPr>
                    <w:pStyle w:val="TableText"/>
                    <w:spacing w:before="40" w:after="40"/>
                    <w:rPr>
                      <w:rFonts w:eastAsia="Arial Narrow"/>
                    </w:rPr>
                  </w:pPr>
                  <w:r w:rsidRPr="005D4222">
                    <w:rPr>
                      <w:rFonts w:eastAsia="Arial Narrow"/>
                    </w:rPr>
                    <w:t>Metric2</w:t>
                  </w:r>
                </w:p>
              </w:tc>
              <w:tc>
                <w:tcPr>
                  <w:tcW w:w="1379"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227EB5A2" w14:textId="77777777" w:rsidR="00834FBA" w:rsidRPr="005D4222" w:rsidRDefault="00834FBA" w:rsidP="008E5242">
                  <w:pPr>
                    <w:pStyle w:val="TableText"/>
                    <w:spacing w:before="40" w:after="40"/>
                    <w:rPr>
                      <w:rFonts w:eastAsia="Arial Narrow"/>
                    </w:rPr>
                  </w:pPr>
                  <w:r w:rsidRPr="005D4222">
                    <w:rPr>
                      <w:rFonts w:eastAsia="Arial Narrow"/>
                    </w:rPr>
                    <w:t>Level2</w:t>
                  </w:r>
                </w:p>
              </w:tc>
              <w:tc>
                <w:tcPr>
                  <w:tcW w:w="1379"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720AD8FF" w14:textId="77777777" w:rsidR="00834FBA" w:rsidRPr="005D4222" w:rsidRDefault="00834FBA" w:rsidP="008E5242">
                  <w:pPr>
                    <w:pStyle w:val="TableText"/>
                    <w:spacing w:before="40" w:after="40"/>
                  </w:pPr>
                  <w:r w:rsidRPr="005D4222">
                    <w:t>Level2</w:t>
                  </w:r>
                </w:p>
              </w:tc>
              <w:tc>
                <w:tcPr>
                  <w:tcW w:w="1322"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2533A3FA" w14:textId="77777777" w:rsidR="00834FBA" w:rsidRPr="005D4222" w:rsidRDefault="00834FBA" w:rsidP="008E5242">
                  <w:pPr>
                    <w:pStyle w:val="TableText"/>
                    <w:spacing w:before="40" w:after="40"/>
                    <w:rPr>
                      <w:rFonts w:eastAsia="Arial Narrow"/>
                    </w:rPr>
                  </w:pPr>
                  <w:r w:rsidRPr="005D4222">
                    <w:t>DataElement2</w:t>
                  </w:r>
                </w:p>
              </w:tc>
              <w:tc>
                <w:tcPr>
                  <w:tcW w:w="2077"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492672AE" w14:textId="77777777" w:rsidR="00834FBA" w:rsidRPr="005D4222" w:rsidRDefault="00834FBA" w:rsidP="008E5242">
                  <w:pPr>
                    <w:pStyle w:val="TableText"/>
                    <w:spacing w:before="40" w:after="40"/>
                    <w:rPr>
                      <w:rFonts w:eastAsia="Arial Narrow"/>
                    </w:rPr>
                  </w:pPr>
                  <w:r w:rsidRPr="005D4222">
                    <w:rPr>
                      <w:rFonts w:eastAsia="Arial Narrow"/>
                    </w:rPr>
                    <w:t>Instruction2</w:t>
                  </w:r>
                </w:p>
              </w:tc>
              <w:tc>
                <w:tcPr>
                  <w:tcW w:w="395"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630A5447" w14:textId="18D9B3B3" w:rsidR="00834FBA" w:rsidRPr="005D4222" w:rsidRDefault="00233911" w:rsidP="008E5242">
                  <w:pPr>
                    <w:pStyle w:val="TableText"/>
                    <w:spacing w:before="40" w:after="40"/>
                    <w:jc w:val="center"/>
                    <w:rPr>
                      <w:rFonts w:eastAsia="Arial Narrow"/>
                    </w:rPr>
                  </w:pPr>
                  <w:r w:rsidRPr="005D4222">
                    <w:rPr>
                      <w:rFonts w:ascii="Wingdings" w:eastAsia="Wingdings" w:hAnsi="Wingdings" w:cs="Wingdings"/>
                    </w:rPr>
                    <w:t></w:t>
                  </w:r>
                </w:p>
              </w:tc>
            </w:tr>
            <w:tr w:rsidR="00834FBA" w:rsidRPr="005D4222" w14:paraId="48B71C73" w14:textId="77777777" w:rsidTr="009F6641">
              <w:trPr>
                <w:cantSplit/>
              </w:trPr>
              <w:tc>
                <w:tcPr>
                  <w:tcW w:w="795" w:type="dxa"/>
                  <w:tcBorders>
                    <w:top w:val="single" w:sz="4" w:space="0" w:color="auto"/>
                    <w:left w:val="nil"/>
                    <w:bottom w:val="nil"/>
                    <w:right w:val="single" w:sz="4" w:space="0" w:color="auto"/>
                  </w:tcBorders>
                  <w:tcMar>
                    <w:left w:w="72" w:type="dxa"/>
                    <w:right w:w="72" w:type="dxa"/>
                  </w:tcMar>
                </w:tcPr>
                <w:p w14:paraId="7EBD311F" w14:textId="77777777" w:rsidR="00834FBA" w:rsidRPr="005D4222" w:rsidRDefault="00834FBA" w:rsidP="008E5242">
                  <w:pPr>
                    <w:pStyle w:val="TableText"/>
                    <w:spacing w:before="40" w:after="40"/>
                    <w:rPr>
                      <w:rFonts w:eastAsia="Arial Narrow"/>
                    </w:rPr>
                  </w:pPr>
                </w:p>
              </w:tc>
              <w:tc>
                <w:tcPr>
                  <w:tcW w:w="13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3B127F5A" w14:textId="77777777" w:rsidR="00834FBA" w:rsidRPr="005D4222" w:rsidRDefault="00834FBA" w:rsidP="008E5242">
                  <w:pPr>
                    <w:pStyle w:val="TableText"/>
                    <w:spacing w:before="40" w:after="40"/>
                  </w:pPr>
                  <w:r w:rsidRPr="005D4222">
                    <w:t>Total</w:t>
                  </w:r>
                </w:p>
              </w:tc>
              <w:tc>
                <w:tcPr>
                  <w:tcW w:w="1379"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4FAC7ABC" w14:textId="77777777" w:rsidR="00834FBA" w:rsidRPr="005D4222" w:rsidRDefault="00834FBA" w:rsidP="008E5242">
                  <w:pPr>
                    <w:pStyle w:val="TableText"/>
                    <w:spacing w:before="40" w:after="40"/>
                  </w:pPr>
                  <w:r w:rsidRPr="005D4222">
                    <w:t>Level3</w:t>
                  </w:r>
                </w:p>
              </w:tc>
              <w:tc>
                <w:tcPr>
                  <w:tcW w:w="1322"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vAlign w:val="center"/>
                  <w:hideMark/>
                </w:tcPr>
                <w:p w14:paraId="26ED4C60" w14:textId="77777777" w:rsidR="00834FBA" w:rsidRPr="005D4222" w:rsidRDefault="00834FBA" w:rsidP="008E5242">
                  <w:pPr>
                    <w:pStyle w:val="TableText"/>
                    <w:spacing w:before="40" w:after="40"/>
                  </w:pPr>
                  <w:r w:rsidRPr="005D4222">
                    <w:rPr>
                      <w:rFonts w:eastAsia="Arial Narrow"/>
                    </w:rPr>
                    <w:t>DataElement3</w:t>
                  </w:r>
                </w:p>
              </w:tc>
              <w:tc>
                <w:tcPr>
                  <w:tcW w:w="2077"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vAlign w:val="center"/>
                  <w:hideMark/>
                </w:tcPr>
                <w:p w14:paraId="7897BCB0" w14:textId="77777777" w:rsidR="00834FBA" w:rsidRPr="005D4222" w:rsidRDefault="00834FBA" w:rsidP="008E5242">
                  <w:pPr>
                    <w:pStyle w:val="TableText"/>
                    <w:spacing w:before="40" w:after="40"/>
                    <w:rPr>
                      <w:rFonts w:eastAsia="Arial Narrow"/>
                    </w:rPr>
                  </w:pPr>
                  <w:r w:rsidRPr="005D4222">
                    <w:rPr>
                      <w:rFonts w:eastAsia="Arial Narrow"/>
                    </w:rPr>
                    <w:t>Instruction3</w:t>
                  </w:r>
                </w:p>
              </w:tc>
              <w:tc>
                <w:tcPr>
                  <w:tcW w:w="395" w:type="dxa"/>
                  <w:tcBorders>
                    <w:top w:val="single" w:sz="4" w:space="0" w:color="auto"/>
                    <w:left w:val="single" w:sz="4" w:space="0" w:color="auto"/>
                    <w:bottom w:val="single" w:sz="4" w:space="0" w:color="auto"/>
                    <w:right w:val="single" w:sz="4" w:space="0" w:color="auto"/>
                  </w:tcBorders>
                  <w:tcMar>
                    <w:left w:w="72" w:type="dxa"/>
                    <w:right w:w="72" w:type="dxa"/>
                  </w:tcMar>
                </w:tcPr>
                <w:p w14:paraId="702EA684" w14:textId="77777777" w:rsidR="00834FBA" w:rsidRPr="005D4222" w:rsidRDefault="00834FBA" w:rsidP="008E5242">
                  <w:pPr>
                    <w:pStyle w:val="TableText"/>
                    <w:spacing w:before="40" w:after="40"/>
                    <w:jc w:val="center"/>
                    <w:rPr>
                      <w:rFonts w:eastAsia="Arial Narrow"/>
                    </w:rPr>
                  </w:pPr>
                </w:p>
              </w:tc>
            </w:tr>
            <w:tr w:rsidR="00834FBA" w:rsidRPr="005D4222" w14:paraId="6907B440" w14:textId="77777777" w:rsidTr="009F6641">
              <w:trPr>
                <w:cantSplit/>
              </w:trPr>
              <w:tc>
                <w:tcPr>
                  <w:tcW w:w="795" w:type="dxa"/>
                  <w:tcBorders>
                    <w:top w:val="nil"/>
                    <w:left w:val="nil"/>
                    <w:bottom w:val="nil"/>
                    <w:right w:val="nil"/>
                  </w:tcBorders>
                  <w:tcMar>
                    <w:left w:w="72" w:type="dxa"/>
                    <w:right w:w="72" w:type="dxa"/>
                  </w:tcMar>
                </w:tcPr>
                <w:p w14:paraId="33CB436A" w14:textId="77777777" w:rsidR="00834FBA" w:rsidRPr="005D4222" w:rsidRDefault="00834FBA" w:rsidP="008E5242">
                  <w:pPr>
                    <w:pStyle w:val="TableText"/>
                    <w:spacing w:before="40" w:after="40"/>
                    <w:rPr>
                      <w:rFonts w:eastAsia="Arial Narrow"/>
                    </w:rPr>
                  </w:pPr>
                </w:p>
              </w:tc>
              <w:tc>
                <w:tcPr>
                  <w:tcW w:w="1379" w:type="dxa"/>
                  <w:tcBorders>
                    <w:top w:val="single" w:sz="4" w:space="0" w:color="auto"/>
                    <w:left w:val="nil"/>
                    <w:bottom w:val="nil"/>
                    <w:right w:val="single" w:sz="4" w:space="0" w:color="auto"/>
                  </w:tcBorders>
                  <w:tcMar>
                    <w:left w:w="72" w:type="dxa"/>
                    <w:right w:w="72" w:type="dxa"/>
                  </w:tcMar>
                </w:tcPr>
                <w:p w14:paraId="17E618F8" w14:textId="77777777" w:rsidR="00834FBA" w:rsidRPr="005D4222" w:rsidRDefault="00834FBA" w:rsidP="008E5242">
                  <w:pPr>
                    <w:pStyle w:val="TableText"/>
                    <w:spacing w:before="40" w:after="40"/>
                  </w:pPr>
                </w:p>
              </w:tc>
              <w:tc>
                <w:tcPr>
                  <w:tcW w:w="1379"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7158A54D" w14:textId="77777777" w:rsidR="00834FBA" w:rsidRPr="005D4222" w:rsidRDefault="00834FBA" w:rsidP="008E5242">
                  <w:pPr>
                    <w:pStyle w:val="TableText"/>
                    <w:spacing w:before="40" w:after="40"/>
                  </w:pPr>
                  <w:r w:rsidRPr="005D4222">
                    <w:t>Total</w:t>
                  </w:r>
                </w:p>
              </w:tc>
              <w:tc>
                <w:tcPr>
                  <w:tcW w:w="1322"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70CA788D" w14:textId="77777777" w:rsidR="00834FBA" w:rsidRPr="005D4222" w:rsidRDefault="00834FBA" w:rsidP="008E5242">
                  <w:pPr>
                    <w:pStyle w:val="TableText"/>
                    <w:spacing w:before="40" w:after="40"/>
                  </w:pPr>
                  <w:r w:rsidRPr="005D4222">
                    <w:t>DataElement4</w:t>
                  </w:r>
                </w:p>
              </w:tc>
              <w:tc>
                <w:tcPr>
                  <w:tcW w:w="2077"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227FA38C" w14:textId="77777777" w:rsidR="00834FBA" w:rsidRPr="005D4222" w:rsidRDefault="00834FBA" w:rsidP="008E5242">
                  <w:pPr>
                    <w:pStyle w:val="TableText"/>
                    <w:spacing w:before="40" w:after="40"/>
                    <w:rPr>
                      <w:rFonts w:eastAsia="Arial Narrow"/>
                    </w:rPr>
                  </w:pPr>
                  <w:r w:rsidRPr="005D4222">
                    <w:rPr>
                      <w:rFonts w:eastAsia="Arial Narrow"/>
                    </w:rPr>
                    <w:t>Instruction4</w:t>
                  </w:r>
                </w:p>
              </w:tc>
              <w:tc>
                <w:tcPr>
                  <w:tcW w:w="395" w:type="dxa"/>
                  <w:tcBorders>
                    <w:top w:val="single" w:sz="4" w:space="0" w:color="auto"/>
                    <w:left w:val="single" w:sz="4" w:space="0" w:color="auto"/>
                    <w:bottom w:val="single" w:sz="4" w:space="0" w:color="auto"/>
                    <w:right w:val="single" w:sz="4" w:space="0" w:color="auto"/>
                  </w:tcBorders>
                  <w:tcMar>
                    <w:left w:w="72" w:type="dxa"/>
                    <w:right w:w="72" w:type="dxa"/>
                  </w:tcMar>
                </w:tcPr>
                <w:p w14:paraId="15B2021C" w14:textId="77777777" w:rsidR="00834FBA" w:rsidRPr="005D4222" w:rsidRDefault="00834FBA" w:rsidP="008E5242">
                  <w:pPr>
                    <w:pStyle w:val="TableText"/>
                    <w:spacing w:before="40" w:after="40"/>
                    <w:jc w:val="center"/>
                    <w:rPr>
                      <w:rFonts w:eastAsia="Arial Narrow"/>
                    </w:rPr>
                  </w:pPr>
                </w:p>
              </w:tc>
            </w:tr>
            <w:tr w:rsidR="00834FBA" w:rsidRPr="005D4222" w14:paraId="5CAB41E0" w14:textId="77777777" w:rsidTr="009F6641">
              <w:trPr>
                <w:cantSplit/>
              </w:trPr>
              <w:tc>
                <w:tcPr>
                  <w:tcW w:w="795" w:type="dxa"/>
                  <w:tcBorders>
                    <w:top w:val="nil"/>
                    <w:left w:val="nil"/>
                    <w:bottom w:val="nil"/>
                    <w:right w:val="nil"/>
                  </w:tcBorders>
                  <w:tcMar>
                    <w:left w:w="72" w:type="dxa"/>
                    <w:right w:w="72" w:type="dxa"/>
                  </w:tcMar>
                </w:tcPr>
                <w:p w14:paraId="679AF169" w14:textId="77777777" w:rsidR="00834FBA" w:rsidRPr="005D4222" w:rsidRDefault="00834FBA" w:rsidP="008E5242">
                  <w:pPr>
                    <w:pStyle w:val="TableText"/>
                    <w:spacing w:before="40" w:after="40"/>
                    <w:rPr>
                      <w:rFonts w:eastAsia="Arial Narrow"/>
                    </w:rPr>
                  </w:pPr>
                </w:p>
              </w:tc>
              <w:tc>
                <w:tcPr>
                  <w:tcW w:w="1379" w:type="dxa"/>
                  <w:tcBorders>
                    <w:top w:val="nil"/>
                    <w:left w:val="nil"/>
                    <w:bottom w:val="nil"/>
                    <w:right w:val="nil"/>
                  </w:tcBorders>
                  <w:tcMar>
                    <w:left w:w="72" w:type="dxa"/>
                    <w:right w:w="72" w:type="dxa"/>
                  </w:tcMar>
                </w:tcPr>
                <w:p w14:paraId="3E2C3424" w14:textId="77777777" w:rsidR="00834FBA" w:rsidRPr="005D4222" w:rsidRDefault="00834FBA" w:rsidP="008E5242">
                  <w:pPr>
                    <w:pStyle w:val="TableText"/>
                    <w:spacing w:before="40" w:after="40"/>
                  </w:pPr>
                </w:p>
              </w:tc>
              <w:tc>
                <w:tcPr>
                  <w:tcW w:w="1379" w:type="dxa"/>
                  <w:tcBorders>
                    <w:top w:val="single" w:sz="4" w:space="0" w:color="auto"/>
                    <w:left w:val="nil"/>
                    <w:bottom w:val="nil"/>
                    <w:right w:val="single" w:sz="4" w:space="0" w:color="auto"/>
                  </w:tcBorders>
                  <w:tcMar>
                    <w:left w:w="72" w:type="dxa"/>
                    <w:right w:w="72" w:type="dxa"/>
                  </w:tcMar>
                </w:tcPr>
                <w:p w14:paraId="40D9319A" w14:textId="77777777" w:rsidR="00834FBA" w:rsidRPr="005D4222" w:rsidRDefault="00834FBA" w:rsidP="008E5242">
                  <w:pPr>
                    <w:pStyle w:val="TableText"/>
                    <w:spacing w:before="40" w:after="40"/>
                  </w:pPr>
                </w:p>
              </w:tc>
              <w:tc>
                <w:tcPr>
                  <w:tcW w:w="1322" w:type="dxa"/>
                  <w:tcBorders>
                    <w:top w:val="single" w:sz="4" w:space="0" w:color="auto"/>
                    <w:left w:val="single" w:sz="4" w:space="0" w:color="auto"/>
                    <w:bottom w:val="single" w:sz="4" w:space="0" w:color="auto"/>
                    <w:right w:val="single" w:sz="4" w:space="0" w:color="auto"/>
                  </w:tcBorders>
                  <w:tcMar>
                    <w:left w:w="72" w:type="dxa"/>
                    <w:right w:w="72" w:type="dxa"/>
                  </w:tcMar>
                  <w:vAlign w:val="center"/>
                  <w:hideMark/>
                </w:tcPr>
                <w:p w14:paraId="6750C9B1" w14:textId="77777777" w:rsidR="00834FBA" w:rsidRPr="005D4222" w:rsidRDefault="00834FBA" w:rsidP="008E5242">
                  <w:pPr>
                    <w:pStyle w:val="TableText"/>
                    <w:spacing w:before="40" w:after="40"/>
                  </w:pPr>
                  <w:r w:rsidRPr="005D4222">
                    <w:rPr>
                      <w:rFonts w:eastAsia="Arial Narrow"/>
                    </w:rPr>
                    <w:t>DataElement5</w:t>
                  </w:r>
                </w:p>
              </w:tc>
              <w:tc>
                <w:tcPr>
                  <w:tcW w:w="2077" w:type="dxa"/>
                  <w:tcBorders>
                    <w:top w:val="single" w:sz="4" w:space="0" w:color="auto"/>
                    <w:left w:val="single" w:sz="4" w:space="0" w:color="auto"/>
                    <w:bottom w:val="single" w:sz="4" w:space="0" w:color="auto"/>
                    <w:right w:val="single" w:sz="4" w:space="0" w:color="auto"/>
                  </w:tcBorders>
                  <w:tcMar>
                    <w:left w:w="72" w:type="dxa"/>
                    <w:right w:w="72" w:type="dxa"/>
                  </w:tcMar>
                  <w:vAlign w:val="center"/>
                  <w:hideMark/>
                </w:tcPr>
                <w:p w14:paraId="215688F5" w14:textId="77777777" w:rsidR="00834FBA" w:rsidRPr="005D4222" w:rsidRDefault="00834FBA" w:rsidP="008E5242">
                  <w:pPr>
                    <w:pStyle w:val="TableText"/>
                    <w:spacing w:before="40" w:after="40"/>
                    <w:rPr>
                      <w:rFonts w:eastAsia="Arial Narrow"/>
                    </w:rPr>
                  </w:pPr>
                  <w:r w:rsidRPr="005D4222">
                    <w:rPr>
                      <w:rFonts w:eastAsia="Arial Narrow"/>
                    </w:rPr>
                    <w:t>Instruction5</w:t>
                  </w:r>
                </w:p>
              </w:tc>
              <w:tc>
                <w:tcPr>
                  <w:tcW w:w="395"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0FD0E9EF" w14:textId="20041912" w:rsidR="00834FBA" w:rsidRPr="005D4222" w:rsidRDefault="00233911" w:rsidP="008E5242">
                  <w:pPr>
                    <w:pStyle w:val="TableText"/>
                    <w:spacing w:before="40" w:after="40"/>
                    <w:jc w:val="center"/>
                    <w:rPr>
                      <w:rFonts w:eastAsia="Arial Narrow"/>
                    </w:rPr>
                  </w:pPr>
                  <w:r w:rsidRPr="005D4222">
                    <w:rPr>
                      <w:rFonts w:ascii="Wingdings" w:eastAsia="Wingdings" w:hAnsi="Wingdings" w:cs="Wingdings"/>
                    </w:rPr>
                    <w:t></w:t>
                  </w:r>
                </w:p>
              </w:tc>
            </w:tr>
            <w:tr w:rsidR="00834FBA" w:rsidRPr="005D4222" w14:paraId="6D4EE27F" w14:textId="77777777" w:rsidTr="009F6641">
              <w:trPr>
                <w:cantSplit/>
              </w:trPr>
              <w:tc>
                <w:tcPr>
                  <w:tcW w:w="795" w:type="dxa"/>
                  <w:tcBorders>
                    <w:top w:val="nil"/>
                    <w:left w:val="nil"/>
                    <w:bottom w:val="nil"/>
                    <w:right w:val="nil"/>
                  </w:tcBorders>
                  <w:tcMar>
                    <w:left w:w="72" w:type="dxa"/>
                    <w:right w:w="72" w:type="dxa"/>
                  </w:tcMar>
                </w:tcPr>
                <w:p w14:paraId="310B163A" w14:textId="77777777" w:rsidR="00834FBA" w:rsidRPr="005D4222" w:rsidRDefault="00834FBA" w:rsidP="008E5242">
                  <w:pPr>
                    <w:pStyle w:val="TableText"/>
                    <w:spacing w:before="40" w:after="40"/>
                    <w:rPr>
                      <w:rFonts w:eastAsia="Arial Narrow"/>
                    </w:rPr>
                  </w:pPr>
                </w:p>
              </w:tc>
              <w:tc>
                <w:tcPr>
                  <w:tcW w:w="1379" w:type="dxa"/>
                  <w:tcBorders>
                    <w:top w:val="nil"/>
                    <w:left w:val="nil"/>
                    <w:bottom w:val="nil"/>
                    <w:right w:val="nil"/>
                  </w:tcBorders>
                  <w:tcMar>
                    <w:left w:w="72" w:type="dxa"/>
                    <w:right w:w="72" w:type="dxa"/>
                  </w:tcMar>
                </w:tcPr>
                <w:p w14:paraId="11607F79" w14:textId="77777777" w:rsidR="00834FBA" w:rsidRPr="005D4222" w:rsidRDefault="00834FBA" w:rsidP="008E5242">
                  <w:pPr>
                    <w:pStyle w:val="TableText"/>
                    <w:spacing w:before="40" w:after="40"/>
                  </w:pPr>
                </w:p>
              </w:tc>
              <w:tc>
                <w:tcPr>
                  <w:tcW w:w="1379" w:type="dxa"/>
                  <w:tcBorders>
                    <w:top w:val="nil"/>
                    <w:left w:val="nil"/>
                    <w:bottom w:val="nil"/>
                    <w:right w:val="single" w:sz="4" w:space="0" w:color="auto"/>
                  </w:tcBorders>
                  <w:tcMar>
                    <w:left w:w="72" w:type="dxa"/>
                    <w:right w:w="72" w:type="dxa"/>
                  </w:tcMar>
                </w:tcPr>
                <w:p w14:paraId="3E06F49D" w14:textId="77777777" w:rsidR="00834FBA" w:rsidRPr="005D4222" w:rsidRDefault="00834FBA" w:rsidP="008E5242">
                  <w:pPr>
                    <w:pStyle w:val="TableText"/>
                    <w:spacing w:before="40" w:after="40"/>
                  </w:pPr>
                </w:p>
              </w:tc>
              <w:tc>
                <w:tcPr>
                  <w:tcW w:w="1322"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2BE2F298" w14:textId="77777777" w:rsidR="00834FBA" w:rsidRPr="005D4222" w:rsidRDefault="00834FBA" w:rsidP="008E5242">
                  <w:pPr>
                    <w:pStyle w:val="TableText"/>
                    <w:spacing w:before="40" w:after="40"/>
                  </w:pPr>
                  <w:r w:rsidRPr="005D4222">
                    <w:t>DataElement6</w:t>
                  </w:r>
                </w:p>
              </w:tc>
              <w:tc>
                <w:tcPr>
                  <w:tcW w:w="2077"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3C81769A" w14:textId="77777777" w:rsidR="00834FBA" w:rsidRPr="005D4222" w:rsidRDefault="00834FBA" w:rsidP="008E5242">
                  <w:pPr>
                    <w:pStyle w:val="TableText"/>
                    <w:spacing w:before="40" w:after="40"/>
                    <w:rPr>
                      <w:rFonts w:eastAsia="Arial Narrow"/>
                    </w:rPr>
                  </w:pPr>
                  <w:r w:rsidRPr="005D4222">
                    <w:rPr>
                      <w:rFonts w:eastAsia="Arial Narrow"/>
                    </w:rPr>
                    <w:t>Instruction6</w:t>
                  </w:r>
                </w:p>
              </w:tc>
              <w:tc>
                <w:tcPr>
                  <w:tcW w:w="395" w:type="dxa"/>
                  <w:tcBorders>
                    <w:top w:val="single" w:sz="4" w:space="0" w:color="auto"/>
                    <w:left w:val="single" w:sz="4" w:space="0" w:color="auto"/>
                    <w:bottom w:val="single" w:sz="4" w:space="0" w:color="auto"/>
                    <w:right w:val="single" w:sz="4" w:space="0" w:color="auto"/>
                  </w:tcBorders>
                  <w:tcMar>
                    <w:left w:w="72" w:type="dxa"/>
                    <w:right w:w="72" w:type="dxa"/>
                  </w:tcMar>
                </w:tcPr>
                <w:p w14:paraId="4DAFD36D" w14:textId="77777777" w:rsidR="00834FBA" w:rsidRPr="005D4222" w:rsidRDefault="00834FBA" w:rsidP="008E5242">
                  <w:pPr>
                    <w:pStyle w:val="TableText"/>
                    <w:spacing w:before="40" w:after="40"/>
                    <w:jc w:val="center"/>
                    <w:rPr>
                      <w:rFonts w:eastAsia="Arial Narrow"/>
                    </w:rPr>
                  </w:pPr>
                </w:p>
              </w:tc>
            </w:tr>
            <w:tr w:rsidR="00834FBA" w:rsidRPr="005D4222" w14:paraId="4AD6581E" w14:textId="77777777" w:rsidTr="009F6641">
              <w:trPr>
                <w:cantSplit/>
              </w:trPr>
              <w:tc>
                <w:tcPr>
                  <w:tcW w:w="795" w:type="dxa"/>
                  <w:tcBorders>
                    <w:top w:val="nil"/>
                    <w:left w:val="nil"/>
                    <w:bottom w:val="nil"/>
                    <w:right w:val="nil"/>
                  </w:tcBorders>
                  <w:tcMar>
                    <w:left w:w="72" w:type="dxa"/>
                    <w:right w:w="72" w:type="dxa"/>
                  </w:tcMar>
                </w:tcPr>
                <w:p w14:paraId="0654238B" w14:textId="77777777" w:rsidR="00834FBA" w:rsidRPr="005D4222" w:rsidRDefault="00834FBA" w:rsidP="008E5242">
                  <w:pPr>
                    <w:pStyle w:val="TableText"/>
                    <w:spacing w:before="40" w:after="40"/>
                    <w:rPr>
                      <w:rFonts w:eastAsia="Arial Narrow"/>
                    </w:rPr>
                  </w:pPr>
                </w:p>
              </w:tc>
              <w:tc>
                <w:tcPr>
                  <w:tcW w:w="1379" w:type="dxa"/>
                  <w:tcBorders>
                    <w:top w:val="nil"/>
                    <w:left w:val="nil"/>
                    <w:bottom w:val="nil"/>
                    <w:right w:val="nil"/>
                  </w:tcBorders>
                  <w:tcMar>
                    <w:left w:w="72" w:type="dxa"/>
                    <w:right w:w="72" w:type="dxa"/>
                  </w:tcMar>
                </w:tcPr>
                <w:p w14:paraId="64E43348" w14:textId="77777777" w:rsidR="00834FBA" w:rsidRPr="005D4222" w:rsidRDefault="00834FBA" w:rsidP="008E5242">
                  <w:pPr>
                    <w:pStyle w:val="TableText"/>
                    <w:spacing w:before="40" w:after="40"/>
                  </w:pPr>
                </w:p>
              </w:tc>
              <w:tc>
                <w:tcPr>
                  <w:tcW w:w="1379" w:type="dxa"/>
                  <w:tcBorders>
                    <w:top w:val="nil"/>
                    <w:left w:val="nil"/>
                    <w:bottom w:val="nil"/>
                    <w:right w:val="single" w:sz="4" w:space="0" w:color="auto"/>
                  </w:tcBorders>
                  <w:tcMar>
                    <w:left w:w="72" w:type="dxa"/>
                    <w:right w:w="72" w:type="dxa"/>
                  </w:tcMar>
                </w:tcPr>
                <w:p w14:paraId="21903C4E" w14:textId="77777777" w:rsidR="00834FBA" w:rsidRPr="005D4222" w:rsidRDefault="00834FBA" w:rsidP="008E5242">
                  <w:pPr>
                    <w:pStyle w:val="TableText"/>
                    <w:spacing w:before="40" w:after="40"/>
                  </w:pPr>
                </w:p>
              </w:tc>
              <w:tc>
                <w:tcPr>
                  <w:tcW w:w="13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35664C6F" w14:textId="77777777" w:rsidR="00834FBA" w:rsidRPr="005D4222" w:rsidRDefault="00834FBA" w:rsidP="008E5242">
                  <w:pPr>
                    <w:pStyle w:val="TableText"/>
                    <w:spacing w:before="40" w:after="40"/>
                  </w:pPr>
                  <w:r w:rsidRPr="005D4222">
                    <w:t>Rate</w:t>
                  </w:r>
                </w:p>
              </w:tc>
              <w:tc>
                <w:tcPr>
                  <w:tcW w:w="207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308F1ED5" w14:textId="77777777" w:rsidR="00834FBA" w:rsidRPr="005D4222" w:rsidRDefault="00834FBA" w:rsidP="008E5242">
                  <w:pPr>
                    <w:pStyle w:val="TableText"/>
                    <w:spacing w:before="40" w:after="40"/>
                    <w:rPr>
                      <w:rFonts w:eastAsia="Arial Narrow"/>
                    </w:rPr>
                  </w:pPr>
                  <w:r w:rsidRPr="005D4222">
                    <w:rPr>
                      <w:rFonts w:eastAsia="Arial Narrow"/>
                    </w:rPr>
                    <w:t>Calculation / (Units)</w:t>
                  </w:r>
                </w:p>
              </w:tc>
              <w:tc>
                <w:tcPr>
                  <w:tcW w:w="3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7D9EA96B" w14:textId="0D027143" w:rsidR="00834FBA" w:rsidRPr="005D4222" w:rsidRDefault="00233911" w:rsidP="008E5242">
                  <w:pPr>
                    <w:pStyle w:val="TableText"/>
                    <w:spacing w:before="40" w:after="40"/>
                    <w:jc w:val="center"/>
                    <w:rPr>
                      <w:rFonts w:eastAsia="Arial Narrow"/>
                    </w:rPr>
                  </w:pPr>
                  <w:r w:rsidRPr="005D4222">
                    <w:rPr>
                      <w:rFonts w:ascii="Wingdings" w:eastAsia="Wingdings" w:hAnsi="Wingdings" w:cs="Wingdings"/>
                    </w:rPr>
                    <w:t></w:t>
                  </w:r>
                </w:p>
              </w:tc>
            </w:tr>
          </w:tbl>
          <w:p w14:paraId="1BFF669E" w14:textId="77777777" w:rsidR="00834FBA" w:rsidRPr="005D4222" w:rsidRDefault="00834FBA" w:rsidP="009F6641">
            <w:pPr>
              <w:pStyle w:val="Body"/>
            </w:pPr>
            <w:r w:rsidRPr="005D4222">
              <w:t xml:space="preserve">HEDIS measures consist of one-to-many indicators for reporting. Each indicator corresponds to a unique combination of a metric and any stratifications (if applicable). For example, a measure with </w:t>
            </w:r>
            <w:r w:rsidRPr="005D4222" w:rsidDel="00370308">
              <w:t>two</w:t>
            </w:r>
            <w:r w:rsidRPr="005D4222">
              <w:t xml:space="preserve"> metrics, </w:t>
            </w:r>
            <w:r w:rsidRPr="005D4222" w:rsidDel="00370308">
              <w:t>three</w:t>
            </w:r>
            <w:r w:rsidRPr="005D4222">
              <w:t xml:space="preserve"> age stratifications and a total, and </w:t>
            </w:r>
            <w:r w:rsidRPr="005D4222" w:rsidDel="0058480D">
              <w:t>two</w:t>
            </w:r>
            <w:r w:rsidRPr="005D4222">
              <w:t xml:space="preserve"> gender stratifications and a total </w:t>
            </w:r>
            <w:r w:rsidRPr="005D4222" w:rsidDel="00BE0D8C">
              <w:t>consists of twenty-four</w:t>
            </w:r>
            <w:r w:rsidRPr="005D4222">
              <w:t xml:space="preserve"> indicators. </w:t>
            </w:r>
          </w:p>
          <w:p w14:paraId="30108E92" w14:textId="77777777" w:rsidR="00834FBA" w:rsidRPr="005D4222" w:rsidRDefault="00834FBA" w:rsidP="009F6641">
            <w:pPr>
              <w:pStyle w:val="Body"/>
              <w:spacing w:before="120"/>
              <w:rPr>
                <w:i/>
                <w:iCs/>
              </w:rPr>
            </w:pPr>
            <w:r w:rsidRPr="005D4222">
              <w:rPr>
                <w:i/>
                <w:iCs/>
              </w:rPr>
              <w:t>Example:</w:t>
            </w:r>
          </w:p>
          <w:p w14:paraId="063A4259" w14:textId="77777777" w:rsidR="00834FBA" w:rsidRPr="005D4222" w:rsidRDefault="00834FBA" w:rsidP="009F6641">
            <w:pPr>
              <w:pStyle w:val="Body"/>
              <w:spacing w:before="80"/>
              <w:jc w:val="center"/>
            </w:pPr>
            <w:r w:rsidRPr="005D4222">
              <w:t xml:space="preserve"># of indicators = # of metrics X (# of stratifications 1 + total) X </w:t>
            </w:r>
            <w:r w:rsidRPr="005D4222">
              <w:br/>
              <w:t>(# of stratifications 2 + total)</w:t>
            </w:r>
          </w:p>
        </w:tc>
      </w:tr>
      <w:tr w:rsidR="00834FBA" w:rsidRPr="005D4222" w14:paraId="2617A0D6" w14:textId="77777777" w:rsidTr="009F6641">
        <w:tc>
          <w:tcPr>
            <w:tcW w:w="2160" w:type="dxa"/>
          </w:tcPr>
          <w:p w14:paraId="72D6EBBE" w14:textId="77777777" w:rsidR="00834FBA" w:rsidRPr="005D4222" w:rsidRDefault="00834FBA" w:rsidP="009F6641">
            <w:pPr>
              <w:pStyle w:val="MarginSubhead"/>
              <w:widowControl w:val="0"/>
            </w:pPr>
            <w:r w:rsidRPr="005D4222">
              <w:t>Shading</w:t>
            </w:r>
          </w:p>
        </w:tc>
        <w:tc>
          <w:tcPr>
            <w:tcW w:w="7704" w:type="dxa"/>
            <w:tcBorders>
              <w:bottom w:val="nil"/>
            </w:tcBorders>
          </w:tcPr>
          <w:p w14:paraId="3A1ED0A9" w14:textId="77777777" w:rsidR="00834FBA" w:rsidRPr="005D4222" w:rsidRDefault="00834FBA" w:rsidP="009F6641">
            <w:pPr>
              <w:pStyle w:val="Body"/>
              <w:widowControl w:val="0"/>
            </w:pPr>
            <w:r w:rsidRPr="005D4222">
              <w:t>Cells in the data element tables are shaded according to how data are reported:</w:t>
            </w:r>
          </w:p>
          <w:p w14:paraId="4B37A7F4" w14:textId="77777777" w:rsidR="00834FBA" w:rsidRPr="005D4222" w:rsidRDefault="00834FBA" w:rsidP="009F6641">
            <w:pPr>
              <w:pStyle w:val="Bullet"/>
            </w:pPr>
            <w:r w:rsidRPr="005D4222">
              <w:rPr>
                <w:i/>
                <w:iCs/>
              </w:rPr>
              <w:t xml:space="preserve">No shading: </w:t>
            </w:r>
            <w:r w:rsidRPr="005D4222">
              <w:t>Data</w:t>
            </w:r>
            <w:r w:rsidRPr="005D4222">
              <w:rPr>
                <w:i/>
                <w:iCs/>
              </w:rPr>
              <w:t xml:space="preserve"> </w:t>
            </w:r>
            <w:r w:rsidRPr="005D4222">
              <w:t>are reported by the organization.</w:t>
            </w:r>
          </w:p>
          <w:p w14:paraId="31331D33" w14:textId="77777777" w:rsidR="00834FBA" w:rsidRPr="005D4222" w:rsidRDefault="00834FBA" w:rsidP="009F6641">
            <w:pPr>
              <w:pStyle w:val="Bullet"/>
            </w:pPr>
            <w:r w:rsidRPr="005D4222">
              <w:rPr>
                <w:i/>
                <w:iCs/>
              </w:rPr>
              <w:t xml:space="preserve">Light gray shading: </w:t>
            </w:r>
            <w:r w:rsidRPr="005D4222">
              <w:t>Data are calculated by IDSS.</w:t>
            </w:r>
          </w:p>
          <w:p w14:paraId="10F3F40A" w14:textId="77777777" w:rsidR="00834FBA" w:rsidRPr="005D4222" w:rsidRDefault="00834FBA" w:rsidP="000273B0">
            <w:pPr>
              <w:pStyle w:val="Bullet"/>
              <w:spacing w:after="120"/>
              <w:rPr>
                <w:b/>
                <w:bCs/>
              </w:rPr>
            </w:pPr>
            <w:r w:rsidRPr="005D4222">
              <w:rPr>
                <w:i/>
                <w:iCs/>
              </w:rPr>
              <w:t xml:space="preserve">Solid black shading: </w:t>
            </w:r>
            <w:r w:rsidRPr="005D4222">
              <w:t>Data are not used or reported.</w:t>
            </w:r>
            <w:r w:rsidRPr="005D4222">
              <w:rPr>
                <w:i/>
                <w:iCs/>
              </w:rPr>
              <w:t xml:space="preserve"> </w:t>
            </w:r>
          </w:p>
          <w:tbl>
            <w:tblPr>
              <w:tblW w:w="0" w:type="auto"/>
              <w:tblInd w:w="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32"/>
            </w:tblGrid>
            <w:tr w:rsidR="00834FBA" w:rsidRPr="005D4222" w14:paraId="010A03E4" w14:textId="77777777" w:rsidTr="000273B0">
              <w:tc>
                <w:tcPr>
                  <w:tcW w:w="5332" w:type="dxa"/>
                  <w:shd w:val="clear" w:color="auto" w:fill="FFFFFF" w:themeFill="background1"/>
                </w:tcPr>
                <w:p w14:paraId="79E5D42F" w14:textId="77777777" w:rsidR="00834FBA" w:rsidRPr="005D4222" w:rsidRDefault="00834FBA" w:rsidP="008E5242">
                  <w:pPr>
                    <w:pStyle w:val="Bullet"/>
                    <w:numPr>
                      <w:ilvl w:val="0"/>
                      <w:numId w:val="0"/>
                    </w:numPr>
                    <w:spacing w:before="40" w:after="40"/>
                    <w:jc w:val="center"/>
                  </w:pPr>
                  <w:r w:rsidRPr="005D4222">
                    <w:t>Reported by the organization</w:t>
                  </w:r>
                </w:p>
              </w:tc>
            </w:tr>
            <w:tr w:rsidR="00834FBA" w:rsidRPr="005D4222" w14:paraId="632EF71C" w14:textId="77777777" w:rsidTr="000273B0">
              <w:tc>
                <w:tcPr>
                  <w:tcW w:w="5332" w:type="dxa"/>
                  <w:shd w:val="clear" w:color="auto" w:fill="D9D9D9" w:themeFill="background1" w:themeFillShade="D9"/>
                </w:tcPr>
                <w:p w14:paraId="7843FC32" w14:textId="77777777" w:rsidR="00834FBA" w:rsidRPr="005D4222" w:rsidRDefault="00834FBA" w:rsidP="008E5242">
                  <w:pPr>
                    <w:pStyle w:val="Bullet"/>
                    <w:numPr>
                      <w:ilvl w:val="0"/>
                      <w:numId w:val="0"/>
                    </w:numPr>
                    <w:spacing w:before="40" w:after="40"/>
                    <w:jc w:val="center"/>
                  </w:pPr>
                  <w:r w:rsidRPr="005D4222">
                    <w:t>Calculated by IDSS</w:t>
                  </w:r>
                </w:p>
              </w:tc>
            </w:tr>
            <w:tr w:rsidR="00834FBA" w:rsidRPr="005D4222" w14:paraId="4F9774DC" w14:textId="77777777" w:rsidTr="000273B0">
              <w:tc>
                <w:tcPr>
                  <w:tcW w:w="5332" w:type="dxa"/>
                  <w:shd w:val="clear" w:color="auto" w:fill="000000" w:themeFill="text1"/>
                </w:tcPr>
                <w:p w14:paraId="1BCAD699" w14:textId="77777777" w:rsidR="00834FBA" w:rsidRPr="005D4222" w:rsidRDefault="00834FBA" w:rsidP="008E5242">
                  <w:pPr>
                    <w:pStyle w:val="Bullet"/>
                    <w:numPr>
                      <w:ilvl w:val="0"/>
                      <w:numId w:val="0"/>
                    </w:numPr>
                    <w:spacing w:before="40" w:after="40"/>
                    <w:jc w:val="center"/>
                  </w:pPr>
                  <w:r w:rsidRPr="005D4222">
                    <w:t>Data not used</w:t>
                  </w:r>
                </w:p>
              </w:tc>
            </w:tr>
          </w:tbl>
          <w:p w14:paraId="006B0E7E" w14:textId="77777777" w:rsidR="00834FBA" w:rsidRPr="005D4222" w:rsidRDefault="00834FBA" w:rsidP="009F6641">
            <w:pPr>
              <w:pStyle w:val="Body"/>
              <w:widowControl w:val="0"/>
              <w:spacing w:line="220" w:lineRule="exact"/>
              <w:rPr>
                <w:b/>
              </w:rPr>
            </w:pPr>
          </w:p>
        </w:tc>
      </w:tr>
    </w:tbl>
    <w:p w14:paraId="7381F9E6" w14:textId="77777777" w:rsidR="00834FBA" w:rsidRPr="005D4222" w:rsidRDefault="00834FBA" w:rsidP="0049435A">
      <w:pPr>
        <w:pStyle w:val="StdHead"/>
      </w:pPr>
      <w:bookmarkStart w:id="173" w:name="_Toc74747860"/>
      <w:bookmarkStart w:id="174" w:name="_Toc171402948"/>
      <w:bookmarkStart w:id="175" w:name="_Toc201813368"/>
      <w:r w:rsidRPr="005D4222">
        <w:lastRenderedPageBreak/>
        <w:t>Measures Reportable With a Partial Year of Data</w:t>
      </w:r>
      <w:bookmarkEnd w:id="171"/>
      <w:bookmarkEnd w:id="173"/>
      <w:bookmarkEnd w:id="174"/>
      <w:bookmarkEnd w:id="175"/>
    </w:p>
    <w:bookmarkEnd w:id="172"/>
    <w:p w14:paraId="45FE0309" w14:textId="423FEEB3" w:rsidR="000441B2" w:rsidRPr="005D4222" w:rsidRDefault="00834FBA" w:rsidP="00A2668A">
      <w:pPr>
        <w:pStyle w:val="Body"/>
        <w:sectPr w:rsidR="000441B2" w:rsidRPr="005D4222" w:rsidSect="0074514A">
          <w:headerReference w:type="even" r:id="rId62"/>
          <w:headerReference w:type="default" r:id="rId63"/>
          <w:footerReference w:type="default" r:id="rId64"/>
          <w:type w:val="nextColumn"/>
          <w:pgSz w:w="12240" w:h="15840" w:code="1"/>
          <w:pgMar w:top="1080" w:right="1080" w:bottom="1080" w:left="1440" w:header="720" w:footer="720" w:gutter="0"/>
          <w:cols w:space="720"/>
        </w:sectPr>
      </w:pPr>
      <w:r w:rsidRPr="005D4222">
        <w:t xml:space="preserve">If an organization licenses a new product or product line during the measurement period, a number of HEDIS measures may be reported with a partial year of data. In general, a measure without a continuous enrollment requirement is reportable with less than a full measurement period of data. </w:t>
      </w:r>
    </w:p>
    <w:p w14:paraId="652167D3" w14:textId="11F506DC" w:rsidR="006C3E10" w:rsidRPr="005D4222" w:rsidRDefault="006C3E10" w:rsidP="006C3E10">
      <w:pPr>
        <w:pStyle w:val="Breakpage"/>
      </w:pPr>
      <w:bookmarkStart w:id="176" w:name="Guidelines_for_Sampling"/>
      <w:bookmarkStart w:id="177" w:name="_Toc452170799"/>
      <w:bookmarkStart w:id="178" w:name="_Toc74747861"/>
      <w:bookmarkStart w:id="179" w:name="_Toc171402949"/>
      <w:bookmarkStart w:id="180" w:name="_Toc201813369"/>
      <w:r w:rsidRPr="005D4222">
        <w:lastRenderedPageBreak/>
        <w:t>Guidelines</w:t>
      </w:r>
      <w:bookmarkEnd w:id="176"/>
      <w:r w:rsidRPr="005D4222">
        <w:t xml:space="preserve"> for </w:t>
      </w:r>
      <w:bookmarkEnd w:id="177"/>
      <w:r w:rsidRPr="005D4222">
        <w:t xml:space="preserve">Calculations </w:t>
      </w:r>
      <w:bookmarkStart w:id="181" w:name="_Toc452170800"/>
      <w:r w:rsidRPr="005D4222">
        <w:br/>
        <w:t xml:space="preserve">and </w:t>
      </w:r>
      <w:bookmarkEnd w:id="181"/>
      <w:r w:rsidRPr="005D4222">
        <w:t>Sampling</w:t>
      </w:r>
      <w:bookmarkEnd w:id="178"/>
      <w:bookmarkEnd w:id="179"/>
      <w:bookmarkEnd w:id="180"/>
    </w:p>
    <w:p w14:paraId="4D98EA62" w14:textId="77777777" w:rsidR="006C3E10" w:rsidRPr="005D4222" w:rsidRDefault="006C3E10" w:rsidP="006C3E10">
      <w:pPr>
        <w:widowControl w:val="0"/>
      </w:pPr>
    </w:p>
    <w:p w14:paraId="7E649E8B" w14:textId="77777777" w:rsidR="006C3E10" w:rsidRPr="005D4222" w:rsidRDefault="006C3E10" w:rsidP="006C3E10">
      <w:pPr>
        <w:widowControl w:val="0"/>
      </w:pPr>
    </w:p>
    <w:p w14:paraId="75233EBE" w14:textId="77777777" w:rsidR="006C3E10" w:rsidRPr="005D4222" w:rsidRDefault="006C3E10" w:rsidP="006C3E10">
      <w:pPr>
        <w:widowControl w:val="0"/>
      </w:pPr>
    </w:p>
    <w:p w14:paraId="642AEFCA" w14:textId="77777777" w:rsidR="006C3E10" w:rsidRPr="005D4222" w:rsidRDefault="006C3E10" w:rsidP="006C3E10">
      <w:pPr>
        <w:pStyle w:val="Heading2"/>
        <w:keepNext w:val="0"/>
        <w:widowControl w:val="0"/>
        <w:spacing w:before="60" w:after="60"/>
        <w:sectPr w:rsidR="006C3E10" w:rsidRPr="005D4222" w:rsidSect="0074514A">
          <w:headerReference w:type="default" r:id="rId65"/>
          <w:footerReference w:type="default" r:id="rId66"/>
          <w:type w:val="nextColumn"/>
          <w:pgSz w:w="12240" w:h="15840" w:code="1"/>
          <w:pgMar w:top="1080" w:right="1080" w:bottom="1080" w:left="1440" w:header="720" w:footer="720" w:gutter="0"/>
          <w:cols w:space="720"/>
        </w:sectPr>
      </w:pPr>
      <w:bookmarkStart w:id="182" w:name="_Toc452170801"/>
    </w:p>
    <w:p w14:paraId="5E3E0075" w14:textId="3DCF0A90" w:rsidR="006C3E10" w:rsidRPr="005D4222" w:rsidRDefault="006C3E10" w:rsidP="006C3E10">
      <w:pPr>
        <w:pStyle w:val="Body"/>
        <w:spacing w:before="0" w:after="240"/>
      </w:pPr>
      <w:bookmarkStart w:id="183" w:name="_Toc452170802"/>
      <w:bookmarkEnd w:id="182"/>
      <w:r w:rsidRPr="005D4222">
        <w:lastRenderedPageBreak/>
        <w:t>This section contains guidelines for calculating rates based on the Administrative and Hybrid Methods, as well as specifications for sampling when using the Hybrid Method. Organizations that use the Hybrid Method must follow the systematic sampling methodology described in this section or receive written authorization from NCQA for an alternative sort or sampling method; written authorization from NCQA is required annually. Proper use and implementation of these methods is assessed as part of NCQA’s HEDIS Compliance Audit.</w:t>
      </w:r>
      <w:bookmarkEnd w:id="183"/>
    </w:p>
    <w:p w14:paraId="3E1567DB" w14:textId="1E0D4E73" w:rsidR="006C3E10" w:rsidRPr="005D4222" w:rsidRDefault="006C3E10" w:rsidP="00117E62">
      <w:pPr>
        <w:pStyle w:val="SOC"/>
        <w:pBdr>
          <w:top w:val="single" w:sz="6" w:space="0" w:color="auto"/>
        </w:pBdr>
      </w:pPr>
      <w:bookmarkStart w:id="184" w:name="_Toc74747862"/>
      <w:bookmarkStart w:id="185" w:name="_Toc452170803"/>
      <w:bookmarkStart w:id="186" w:name="_Toc400546090"/>
      <w:r w:rsidRPr="005D4222">
        <w:t xml:space="preserve">Summary of Changes to HEDIS MY </w:t>
      </w:r>
      <w:bookmarkEnd w:id="184"/>
      <w:r w:rsidR="000D0774" w:rsidRPr="005D4222">
        <w:t>2026</w:t>
      </w:r>
    </w:p>
    <w:p w14:paraId="0087D683" w14:textId="1994613A" w:rsidR="00B1791E" w:rsidRPr="005D4222" w:rsidRDefault="006C3E10" w:rsidP="009C3EB2">
      <w:pPr>
        <w:pStyle w:val="ProcessBullet"/>
        <w:numPr>
          <w:ilvl w:val="0"/>
          <w:numId w:val="5"/>
        </w:numPr>
        <w:spacing w:before="120"/>
        <w:ind w:left="216" w:hanging="216"/>
        <w:rPr>
          <w:i/>
        </w:rPr>
      </w:pPr>
      <w:r w:rsidRPr="005D4222">
        <w:t xml:space="preserve">Updated </w:t>
      </w:r>
      <w:r w:rsidR="00BE5055" w:rsidRPr="005D4222">
        <w:t xml:space="preserve">the steps in </w:t>
      </w:r>
      <w:r w:rsidR="00BE5055" w:rsidRPr="005D4222">
        <w:rPr>
          <w:i/>
        </w:rPr>
        <w:t>How to Use the Administrative Method</w:t>
      </w:r>
      <w:r w:rsidR="00BE5055" w:rsidRPr="005D4222">
        <w:t xml:space="preserve"> to align with </w:t>
      </w:r>
      <w:r w:rsidR="00A433F9" w:rsidRPr="005D4222">
        <w:t xml:space="preserve">changes to the measure templates. </w:t>
      </w:r>
    </w:p>
    <w:p w14:paraId="563E053D" w14:textId="7A0CD4AD" w:rsidR="006C3E10" w:rsidRPr="005D4222" w:rsidRDefault="00DD64F0" w:rsidP="009C3EB2">
      <w:pPr>
        <w:pStyle w:val="ProcessBullet"/>
        <w:numPr>
          <w:ilvl w:val="0"/>
          <w:numId w:val="5"/>
        </w:numPr>
        <w:ind w:left="216" w:hanging="216"/>
        <w:rPr>
          <w:i/>
        </w:rPr>
      </w:pPr>
      <w:r w:rsidRPr="005D4222">
        <w:rPr>
          <w:iCs/>
        </w:rPr>
        <w:t xml:space="preserve">Replaced references </w:t>
      </w:r>
      <w:r w:rsidR="00A2668A" w:rsidRPr="005D4222">
        <w:rPr>
          <w:iCs/>
        </w:rPr>
        <w:t>to</w:t>
      </w:r>
      <w:r w:rsidRPr="005D4222">
        <w:rPr>
          <w:iCs/>
        </w:rPr>
        <w:t xml:space="preserve"> “eligible population” </w:t>
      </w:r>
      <w:r w:rsidR="00A2668A" w:rsidRPr="005D4222">
        <w:rPr>
          <w:iCs/>
        </w:rPr>
        <w:t>with</w:t>
      </w:r>
      <w:r w:rsidRPr="005D4222">
        <w:rPr>
          <w:iCs/>
        </w:rPr>
        <w:t xml:space="preserve"> “denominator” in the </w:t>
      </w:r>
      <w:r w:rsidRPr="005D4222">
        <w:rPr>
          <w:i/>
        </w:rPr>
        <w:t xml:space="preserve">Guidelines </w:t>
      </w:r>
      <w:r w:rsidR="00CF1CD6" w:rsidRPr="005D4222">
        <w:rPr>
          <w:i/>
        </w:rPr>
        <w:t>f</w:t>
      </w:r>
      <w:r w:rsidRPr="005D4222">
        <w:rPr>
          <w:i/>
        </w:rPr>
        <w:t xml:space="preserve">or </w:t>
      </w:r>
      <w:r w:rsidR="00CF1CD6" w:rsidRPr="005D4222">
        <w:rPr>
          <w:i/>
        </w:rPr>
        <w:t>t</w:t>
      </w:r>
      <w:r w:rsidRPr="005D4222">
        <w:rPr>
          <w:i/>
        </w:rPr>
        <w:t>he Hybrid Method</w:t>
      </w:r>
      <w:r w:rsidRPr="005D4222">
        <w:rPr>
          <w:iCs/>
        </w:rPr>
        <w:t xml:space="preserve">. </w:t>
      </w:r>
    </w:p>
    <w:p w14:paraId="0896AFC3" w14:textId="307B9688" w:rsidR="00BE0B28" w:rsidRPr="005D4222" w:rsidRDefault="00BE0B28" w:rsidP="009C3EB2">
      <w:pPr>
        <w:pStyle w:val="ProcessBullet"/>
        <w:numPr>
          <w:ilvl w:val="0"/>
          <w:numId w:val="5"/>
        </w:numPr>
        <w:ind w:left="216" w:hanging="216"/>
        <w:rPr>
          <w:i/>
        </w:rPr>
      </w:pPr>
      <w:r w:rsidRPr="005D4222">
        <w:rPr>
          <w:iCs/>
        </w:rPr>
        <w:t>Removed references to the Lead Screening in Children measure from the</w:t>
      </w:r>
      <w:r w:rsidRPr="005D4222">
        <w:rPr>
          <w:i/>
        </w:rPr>
        <w:t xml:space="preserve"> </w:t>
      </w:r>
      <w:r w:rsidR="00C839FA" w:rsidRPr="005D4222">
        <w:rPr>
          <w:i/>
        </w:rPr>
        <w:t>Guidelines for Calculations and Sampling</w:t>
      </w:r>
      <w:r w:rsidRPr="005D4222">
        <w:rPr>
          <w:iCs/>
        </w:rPr>
        <w:t xml:space="preserve"> because this measure no longer includes the Hybrid reporting method.</w:t>
      </w:r>
    </w:p>
    <w:p w14:paraId="300EB0FC" w14:textId="19AA4667" w:rsidR="00DD64F0" w:rsidRPr="005D4222" w:rsidRDefault="00DD64F0" w:rsidP="009C3EB2">
      <w:pPr>
        <w:pStyle w:val="ProcessBullet"/>
        <w:numPr>
          <w:ilvl w:val="0"/>
          <w:numId w:val="5"/>
        </w:numPr>
        <w:ind w:left="216" w:hanging="216"/>
        <w:rPr>
          <w:i/>
        </w:rPr>
      </w:pPr>
      <w:r w:rsidRPr="005D4222">
        <w:rPr>
          <w:iCs/>
        </w:rPr>
        <w:t xml:space="preserve">In </w:t>
      </w:r>
      <w:r w:rsidR="001279C1" w:rsidRPr="005D4222">
        <w:rPr>
          <w:i/>
          <w:iCs/>
        </w:rPr>
        <w:t>D</w:t>
      </w:r>
      <w:r w:rsidRPr="005D4222">
        <w:rPr>
          <w:i/>
          <w:iCs/>
        </w:rPr>
        <w:t>etermining</w:t>
      </w:r>
      <w:r w:rsidRPr="005D4222">
        <w:rPr>
          <w:i/>
        </w:rPr>
        <w:t xml:space="preserve"> the required sample size</w:t>
      </w:r>
      <w:r w:rsidR="001279C1" w:rsidRPr="005D4222">
        <w:rPr>
          <w:i/>
          <w:iCs/>
        </w:rPr>
        <w:t>,</w:t>
      </w:r>
      <w:r w:rsidRPr="005D4222">
        <w:rPr>
          <w:i/>
        </w:rPr>
        <w:t xml:space="preserve"> </w:t>
      </w:r>
      <w:r w:rsidR="00534F26" w:rsidRPr="005D4222">
        <w:t>clarified that the sample is drawn from the administrative denominator</w:t>
      </w:r>
      <w:r w:rsidR="00D169EA" w:rsidRPr="005D4222">
        <w:t>.</w:t>
      </w:r>
    </w:p>
    <w:p w14:paraId="71143E8A" w14:textId="25D4E533" w:rsidR="00BE0B28" w:rsidRPr="005D4222" w:rsidRDefault="00D169EA" w:rsidP="009C3EB2">
      <w:pPr>
        <w:pStyle w:val="ProcessBullet"/>
        <w:numPr>
          <w:ilvl w:val="0"/>
          <w:numId w:val="5"/>
        </w:numPr>
        <w:ind w:left="216" w:hanging="216"/>
        <w:rPr>
          <w:i/>
        </w:rPr>
      </w:pPr>
      <w:r w:rsidRPr="005D4222">
        <w:t>Renamed “eligible member (EM)” to “administrative denominator member (ADM)</w:t>
      </w:r>
      <w:r w:rsidR="007374E3" w:rsidRPr="005D4222">
        <w:t>.</w:t>
      </w:r>
      <w:r w:rsidRPr="005D4222">
        <w:t>”</w:t>
      </w:r>
    </w:p>
    <w:p w14:paraId="5DC8779A" w14:textId="61D939DA" w:rsidR="00D505FD" w:rsidRPr="005D4222" w:rsidRDefault="00D505FD" w:rsidP="009C3EB2">
      <w:pPr>
        <w:pStyle w:val="ProcessBullet"/>
        <w:numPr>
          <w:ilvl w:val="0"/>
          <w:numId w:val="5"/>
        </w:numPr>
        <w:ind w:left="216" w:hanging="216"/>
        <w:rPr>
          <w:i/>
        </w:rPr>
      </w:pPr>
      <w:r w:rsidRPr="005D4222">
        <w:t xml:space="preserve">Removed the oversample requests to NCQA </w:t>
      </w:r>
      <w:r w:rsidR="00C40160" w:rsidRPr="005D4222">
        <w:t>requirement in the Systematic Sampling Methodology.</w:t>
      </w:r>
    </w:p>
    <w:p w14:paraId="723AB7FF" w14:textId="503BB39C" w:rsidR="006C3E10" w:rsidRPr="005D4222" w:rsidRDefault="006C3E10" w:rsidP="00B21563">
      <w:pPr>
        <w:pStyle w:val="StdHead"/>
      </w:pPr>
      <w:bookmarkStart w:id="187" w:name="_Toc74747863"/>
      <w:bookmarkStart w:id="188" w:name="_Toc171402950"/>
      <w:bookmarkStart w:id="189" w:name="_Toc201813370"/>
      <w:bookmarkStart w:id="190" w:name="AdminMethod"/>
      <w:r w:rsidRPr="005D4222">
        <w:t>How to Use the Administrative</w:t>
      </w:r>
      <w:bookmarkEnd w:id="185"/>
      <w:r w:rsidRPr="005D4222">
        <w:t xml:space="preserve"> Method</w:t>
      </w:r>
      <w:bookmarkEnd w:id="186"/>
      <w:bookmarkEnd w:id="187"/>
      <w:bookmarkEnd w:id="188"/>
      <w:bookmarkEnd w:id="189"/>
    </w:p>
    <w:tbl>
      <w:tblPr>
        <w:tblW w:w="9810" w:type="dxa"/>
        <w:tblInd w:w="-9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80" w:type="dxa"/>
          <w:right w:w="180" w:type="dxa"/>
        </w:tblCellMar>
        <w:tblLook w:val="0000" w:firstRow="0" w:lastRow="0" w:firstColumn="0" w:lastColumn="0" w:noHBand="0" w:noVBand="0"/>
      </w:tblPr>
      <w:tblGrid>
        <w:gridCol w:w="900"/>
        <w:gridCol w:w="8910"/>
      </w:tblGrid>
      <w:tr w:rsidR="006C3E10" w:rsidRPr="005D4222" w14:paraId="29269FBB" w14:textId="77777777" w:rsidTr="009F6641">
        <w:tc>
          <w:tcPr>
            <w:tcW w:w="900" w:type="dxa"/>
            <w:tcBorders>
              <w:top w:val="nil"/>
              <w:left w:val="nil"/>
              <w:bottom w:val="nil"/>
              <w:right w:val="nil"/>
            </w:tcBorders>
            <w:tcMar>
              <w:left w:w="115" w:type="dxa"/>
              <w:right w:w="115" w:type="dxa"/>
            </w:tcMar>
          </w:tcPr>
          <w:bookmarkEnd w:id="190"/>
          <w:p w14:paraId="51B19D28" w14:textId="77777777" w:rsidR="006C3E10" w:rsidRPr="005D4222" w:rsidRDefault="006C3E10" w:rsidP="001E380E">
            <w:pPr>
              <w:pStyle w:val="MarginSubhead"/>
              <w:widowControl w:val="0"/>
              <w:ind w:left="0"/>
              <w:jc w:val="right"/>
              <w:rPr>
                <w:i/>
              </w:rPr>
            </w:pPr>
            <w:r w:rsidRPr="005D4222">
              <w:rPr>
                <w:i/>
              </w:rPr>
              <w:t>Step 1</w:t>
            </w:r>
          </w:p>
        </w:tc>
        <w:tc>
          <w:tcPr>
            <w:tcW w:w="8910" w:type="dxa"/>
            <w:tcBorders>
              <w:top w:val="nil"/>
              <w:left w:val="nil"/>
              <w:bottom w:val="nil"/>
              <w:right w:val="nil"/>
            </w:tcBorders>
            <w:tcMar>
              <w:left w:w="115" w:type="dxa"/>
              <w:right w:w="115" w:type="dxa"/>
            </w:tcMar>
          </w:tcPr>
          <w:p w14:paraId="25E6FA8C" w14:textId="65AA9F1D" w:rsidR="006C3E10" w:rsidRPr="005D4222" w:rsidRDefault="006C3E10" w:rsidP="001E380E">
            <w:pPr>
              <w:pStyle w:val="Body"/>
              <w:widowControl w:val="0"/>
            </w:pPr>
            <w:r w:rsidRPr="005D4222">
              <w:t xml:space="preserve">Identify the </w:t>
            </w:r>
            <w:r w:rsidR="00522039" w:rsidRPr="005D4222">
              <w:t>initial</w:t>
            </w:r>
            <w:r w:rsidR="00522039" w:rsidRPr="005D4222" w:rsidDel="003272E9">
              <w:t xml:space="preserve"> </w:t>
            </w:r>
            <w:r w:rsidRPr="005D4222" w:rsidDel="003272E9">
              <w:t>population</w:t>
            </w:r>
            <w:r w:rsidR="00B97800" w:rsidRPr="005D4222">
              <w:t>.</w:t>
            </w:r>
            <w:r w:rsidRPr="005D4222" w:rsidDel="00B97800">
              <w:t xml:space="preserve"> </w:t>
            </w:r>
            <w:r w:rsidRPr="005D4222">
              <w:t xml:space="preserve"> </w:t>
            </w:r>
          </w:p>
        </w:tc>
      </w:tr>
      <w:tr w:rsidR="00F3445A" w:rsidRPr="005D4222" w14:paraId="2506DEC0" w14:textId="77777777" w:rsidTr="009F6641">
        <w:tc>
          <w:tcPr>
            <w:tcW w:w="900" w:type="dxa"/>
            <w:tcBorders>
              <w:top w:val="nil"/>
              <w:left w:val="nil"/>
              <w:bottom w:val="nil"/>
              <w:right w:val="nil"/>
            </w:tcBorders>
            <w:tcMar>
              <w:left w:w="115" w:type="dxa"/>
              <w:right w:w="115" w:type="dxa"/>
            </w:tcMar>
          </w:tcPr>
          <w:p w14:paraId="0A2E9AE0" w14:textId="34B230AE" w:rsidR="00F3445A" w:rsidRPr="005D4222" w:rsidRDefault="00F3445A" w:rsidP="001E380E">
            <w:pPr>
              <w:pStyle w:val="MarginSubhead"/>
              <w:widowControl w:val="0"/>
              <w:ind w:left="0"/>
              <w:jc w:val="right"/>
              <w:rPr>
                <w:i/>
              </w:rPr>
            </w:pPr>
            <w:r w:rsidRPr="005D4222">
              <w:rPr>
                <w:i/>
              </w:rPr>
              <w:t>Step 2</w:t>
            </w:r>
          </w:p>
        </w:tc>
        <w:tc>
          <w:tcPr>
            <w:tcW w:w="8910" w:type="dxa"/>
            <w:tcBorders>
              <w:top w:val="nil"/>
              <w:left w:val="nil"/>
              <w:bottom w:val="nil"/>
              <w:right w:val="nil"/>
            </w:tcBorders>
            <w:tcMar>
              <w:left w:w="115" w:type="dxa"/>
              <w:right w:w="115" w:type="dxa"/>
            </w:tcMar>
          </w:tcPr>
          <w:p w14:paraId="38F8349B" w14:textId="3BCC2FD0" w:rsidR="00F3445A" w:rsidRPr="005D4222" w:rsidRDefault="00D743A3" w:rsidP="001E380E">
            <w:pPr>
              <w:pStyle w:val="Body"/>
              <w:widowControl w:val="0"/>
            </w:pPr>
            <w:r w:rsidRPr="005D4222">
              <w:t>Identify</w:t>
            </w:r>
            <w:r w:rsidR="003851C3" w:rsidRPr="005D4222">
              <w:t xml:space="preserve"> </w:t>
            </w:r>
            <w:r w:rsidR="008608F4" w:rsidRPr="005D4222">
              <w:t>denominator exclusion</w:t>
            </w:r>
            <w:r w:rsidR="008470E5" w:rsidRPr="005D4222">
              <w:t>s</w:t>
            </w:r>
            <w:r w:rsidR="009F3C66" w:rsidRPr="005D4222">
              <w:t>.</w:t>
            </w:r>
            <w:r w:rsidRPr="005D4222">
              <w:t xml:space="preserve"> </w:t>
            </w:r>
          </w:p>
        </w:tc>
      </w:tr>
      <w:tr w:rsidR="004F1224" w:rsidRPr="005D4222" w14:paraId="7DC161F8" w14:textId="77777777" w:rsidTr="009F6641">
        <w:tc>
          <w:tcPr>
            <w:tcW w:w="900" w:type="dxa"/>
            <w:tcBorders>
              <w:top w:val="nil"/>
              <w:left w:val="nil"/>
              <w:bottom w:val="nil"/>
              <w:right w:val="nil"/>
            </w:tcBorders>
            <w:tcMar>
              <w:left w:w="115" w:type="dxa"/>
              <w:right w:w="115" w:type="dxa"/>
            </w:tcMar>
          </w:tcPr>
          <w:p w14:paraId="2E8A375B" w14:textId="430E0BB2" w:rsidR="004F1224" w:rsidRPr="005D4222" w:rsidRDefault="004F1224" w:rsidP="001E380E">
            <w:pPr>
              <w:pStyle w:val="MarginSubhead"/>
              <w:widowControl w:val="0"/>
              <w:ind w:left="0"/>
              <w:jc w:val="right"/>
              <w:rPr>
                <w:i/>
              </w:rPr>
            </w:pPr>
            <w:r w:rsidRPr="005D4222">
              <w:rPr>
                <w:i/>
              </w:rPr>
              <w:t>Step 3</w:t>
            </w:r>
          </w:p>
        </w:tc>
        <w:tc>
          <w:tcPr>
            <w:tcW w:w="8910" w:type="dxa"/>
            <w:tcBorders>
              <w:top w:val="nil"/>
              <w:left w:val="nil"/>
              <w:bottom w:val="nil"/>
              <w:right w:val="nil"/>
            </w:tcBorders>
            <w:tcMar>
              <w:left w:w="115" w:type="dxa"/>
              <w:right w:w="115" w:type="dxa"/>
            </w:tcMar>
          </w:tcPr>
          <w:p w14:paraId="077A66AB" w14:textId="47B1387E" w:rsidR="004F1224" w:rsidRPr="005D4222" w:rsidRDefault="008D6BDE" w:rsidP="001E380E">
            <w:pPr>
              <w:pStyle w:val="Body"/>
              <w:widowControl w:val="0"/>
            </w:pPr>
            <w:r w:rsidRPr="005D4222">
              <w:t>Subtract denominator exclusions from the initial population to identify the final denominator.</w:t>
            </w:r>
          </w:p>
        </w:tc>
      </w:tr>
      <w:tr w:rsidR="006C3E10" w:rsidRPr="005D4222" w14:paraId="6CFA323D" w14:textId="77777777" w:rsidTr="009F6641">
        <w:tc>
          <w:tcPr>
            <w:tcW w:w="900" w:type="dxa"/>
            <w:tcBorders>
              <w:top w:val="nil"/>
              <w:left w:val="nil"/>
              <w:bottom w:val="nil"/>
              <w:right w:val="nil"/>
            </w:tcBorders>
            <w:tcMar>
              <w:left w:w="115" w:type="dxa"/>
              <w:right w:w="115" w:type="dxa"/>
            </w:tcMar>
          </w:tcPr>
          <w:p w14:paraId="49CA9EBA" w14:textId="71B0D58D" w:rsidR="006C3E10" w:rsidRPr="005D4222" w:rsidRDefault="006C3E10" w:rsidP="001E380E">
            <w:pPr>
              <w:pStyle w:val="MarginSubhead"/>
              <w:widowControl w:val="0"/>
              <w:ind w:left="0"/>
              <w:jc w:val="right"/>
              <w:rPr>
                <w:i/>
              </w:rPr>
            </w:pPr>
            <w:r w:rsidRPr="005D4222">
              <w:rPr>
                <w:i/>
              </w:rPr>
              <w:t xml:space="preserve">Step </w:t>
            </w:r>
            <w:r w:rsidR="00A87905" w:rsidRPr="005D4222">
              <w:rPr>
                <w:i/>
              </w:rPr>
              <w:t>4</w:t>
            </w:r>
          </w:p>
        </w:tc>
        <w:tc>
          <w:tcPr>
            <w:tcW w:w="8910" w:type="dxa"/>
            <w:tcBorders>
              <w:top w:val="nil"/>
              <w:left w:val="nil"/>
              <w:bottom w:val="nil"/>
              <w:right w:val="nil"/>
            </w:tcBorders>
            <w:tcMar>
              <w:left w:w="115" w:type="dxa"/>
              <w:right w:w="115" w:type="dxa"/>
            </w:tcMar>
          </w:tcPr>
          <w:p w14:paraId="7D381E95" w14:textId="356BAA89" w:rsidR="006C3E10" w:rsidRPr="005D4222" w:rsidRDefault="006C3E10" w:rsidP="001E380E">
            <w:pPr>
              <w:pStyle w:val="Body"/>
              <w:widowControl w:val="0"/>
            </w:pPr>
            <w:r w:rsidRPr="005D4222">
              <w:t>Search administrative systems to identify numerator events for all members</w:t>
            </w:r>
            <w:r w:rsidRPr="005D4222" w:rsidDel="0084610D">
              <w:t xml:space="preserve"> </w:t>
            </w:r>
            <w:r w:rsidRPr="005D4222">
              <w:t xml:space="preserve">in the </w:t>
            </w:r>
            <w:r w:rsidR="00522039" w:rsidRPr="005D4222">
              <w:t>denominator</w:t>
            </w:r>
            <w:r w:rsidRPr="005D4222">
              <w:t>.</w:t>
            </w:r>
          </w:p>
        </w:tc>
      </w:tr>
      <w:tr w:rsidR="006C3E10" w:rsidRPr="005D4222" w14:paraId="0EC93B20" w14:textId="77777777" w:rsidTr="009F6641">
        <w:tc>
          <w:tcPr>
            <w:tcW w:w="900" w:type="dxa"/>
            <w:tcBorders>
              <w:top w:val="nil"/>
              <w:left w:val="nil"/>
              <w:bottom w:val="nil"/>
              <w:right w:val="nil"/>
            </w:tcBorders>
            <w:tcMar>
              <w:left w:w="115" w:type="dxa"/>
              <w:right w:w="115" w:type="dxa"/>
            </w:tcMar>
          </w:tcPr>
          <w:p w14:paraId="55662E98" w14:textId="6816E621" w:rsidR="006C3E10" w:rsidRPr="005D4222" w:rsidRDefault="006C3E10" w:rsidP="001E380E">
            <w:pPr>
              <w:pStyle w:val="MarginSubhead"/>
              <w:widowControl w:val="0"/>
              <w:ind w:left="0"/>
              <w:jc w:val="right"/>
              <w:rPr>
                <w:i/>
              </w:rPr>
            </w:pPr>
            <w:r w:rsidRPr="005D4222">
              <w:rPr>
                <w:i/>
              </w:rPr>
              <w:t xml:space="preserve">Step </w:t>
            </w:r>
            <w:r w:rsidR="00A87905" w:rsidRPr="005D4222">
              <w:rPr>
                <w:i/>
              </w:rPr>
              <w:t>5</w:t>
            </w:r>
          </w:p>
        </w:tc>
        <w:tc>
          <w:tcPr>
            <w:tcW w:w="8910" w:type="dxa"/>
            <w:tcBorders>
              <w:top w:val="nil"/>
              <w:left w:val="nil"/>
              <w:bottom w:val="nil"/>
              <w:right w:val="nil"/>
            </w:tcBorders>
            <w:tcMar>
              <w:left w:w="115" w:type="dxa"/>
              <w:right w:w="115" w:type="dxa"/>
            </w:tcMar>
          </w:tcPr>
          <w:p w14:paraId="4C164E5E" w14:textId="77777777" w:rsidR="006C3E10" w:rsidRPr="005D4222" w:rsidRDefault="006C3E10" w:rsidP="001E380E">
            <w:pPr>
              <w:pStyle w:val="Body"/>
              <w:widowControl w:val="0"/>
            </w:pPr>
            <w:r w:rsidRPr="005D4222">
              <w:t>Calculate the rate.</w:t>
            </w:r>
          </w:p>
        </w:tc>
      </w:tr>
    </w:tbl>
    <w:p w14:paraId="58EDFF55" w14:textId="77777777" w:rsidR="006C3E10" w:rsidRPr="005D4222" w:rsidRDefault="006C3E10" w:rsidP="00B21563">
      <w:pPr>
        <w:pStyle w:val="StdHead"/>
      </w:pPr>
      <w:bookmarkStart w:id="191" w:name="_Toc400546091"/>
      <w:bookmarkStart w:id="192" w:name="_Toc74747864"/>
      <w:bookmarkStart w:id="193" w:name="_Toc171402951"/>
      <w:bookmarkStart w:id="194" w:name="_Toc201813371"/>
      <w:bookmarkStart w:id="195" w:name="HybridGuidelines"/>
      <w:r w:rsidRPr="005D4222">
        <w:t>Guidelines for the Hybrid Method</w:t>
      </w:r>
      <w:bookmarkEnd w:id="191"/>
      <w:bookmarkEnd w:id="192"/>
      <w:bookmarkEnd w:id="193"/>
      <w:bookmarkEnd w:id="194"/>
    </w:p>
    <w:bookmarkEnd w:id="195"/>
    <w:p w14:paraId="3D694F5F" w14:textId="77777777" w:rsidR="006C3E10" w:rsidRPr="005D4222" w:rsidRDefault="006C3E10" w:rsidP="006C3E10">
      <w:pPr>
        <w:pStyle w:val="Body"/>
        <w:widowControl w:val="0"/>
      </w:pPr>
      <w:r w:rsidRPr="005D4222">
        <w:t>Measures that can be collected using the Hybrid Method are listed in Table 1. Each hybrid measure can be classified into one of the following categories:</w:t>
      </w:r>
    </w:p>
    <w:p w14:paraId="0C16D425" w14:textId="0F128707" w:rsidR="006C3E10" w:rsidRPr="005D4222" w:rsidRDefault="006C3E10" w:rsidP="006C3E10">
      <w:pPr>
        <w:pStyle w:val="Bullet"/>
        <w:widowControl w:val="0"/>
      </w:pPr>
      <w:r w:rsidRPr="005D4222">
        <w:rPr>
          <w:i/>
          <w:iCs/>
        </w:rPr>
        <w:t>Membership-dependent denominator</w:t>
      </w:r>
      <w:r w:rsidR="006258AD" w:rsidRPr="005D4222">
        <w:rPr>
          <w:i/>
          <w:iCs/>
        </w:rPr>
        <w:t xml:space="preserve">. </w:t>
      </w:r>
      <w:r w:rsidRPr="005D4222">
        <w:t xml:space="preserve">Defined by membership data only (e.g., members 66 years of age and older, for Care for Older Adults), </w:t>
      </w:r>
      <w:r w:rsidRPr="005D4222">
        <w:rPr>
          <w:b/>
          <w:bCs/>
          <w:i/>
          <w:iCs/>
        </w:rPr>
        <w:t>or</w:t>
      </w:r>
    </w:p>
    <w:p w14:paraId="62D540BE" w14:textId="1B84D678" w:rsidR="006C3E10" w:rsidRPr="005D4222" w:rsidRDefault="006C3E10" w:rsidP="006C3E10">
      <w:pPr>
        <w:pStyle w:val="Bullet"/>
        <w:widowControl w:val="0"/>
      </w:pPr>
      <w:r w:rsidRPr="005D4222">
        <w:rPr>
          <w:i/>
          <w:iCs/>
        </w:rPr>
        <w:t>Claims-dependent denominator</w:t>
      </w:r>
      <w:r w:rsidR="006258AD" w:rsidRPr="005D4222">
        <w:rPr>
          <w:i/>
          <w:iCs/>
        </w:rPr>
        <w:t xml:space="preserve">. </w:t>
      </w:r>
      <w:r w:rsidRPr="005D4222">
        <w:t xml:space="preserve">Defined by membership and claims data (e.g., members who were diagnosed with hypertension, for Controlling High Blood Pressure). </w:t>
      </w:r>
    </w:p>
    <w:tbl>
      <w:tblPr>
        <w:tblW w:w="9900" w:type="dxa"/>
        <w:tblInd w:w="-90" w:type="dxa"/>
        <w:tblLayout w:type="fixed"/>
        <w:tblCellMar>
          <w:left w:w="180" w:type="dxa"/>
          <w:right w:w="180" w:type="dxa"/>
        </w:tblCellMar>
        <w:tblLook w:val="0000" w:firstRow="0" w:lastRow="0" w:firstColumn="0" w:lastColumn="0" w:noHBand="0" w:noVBand="0"/>
      </w:tblPr>
      <w:tblGrid>
        <w:gridCol w:w="2160"/>
        <w:gridCol w:w="7740"/>
      </w:tblGrid>
      <w:tr w:rsidR="006C3E10" w:rsidRPr="005D4222" w14:paraId="390417DA" w14:textId="77777777" w:rsidTr="002B23C9">
        <w:tc>
          <w:tcPr>
            <w:tcW w:w="2160" w:type="dxa"/>
            <w:tcMar>
              <w:left w:w="115" w:type="dxa"/>
              <w:right w:w="115" w:type="dxa"/>
            </w:tcMar>
          </w:tcPr>
          <w:p w14:paraId="2A21A6CC" w14:textId="77777777" w:rsidR="006C3E10" w:rsidRPr="005D4222" w:rsidRDefault="006C3E10" w:rsidP="00DF5401">
            <w:pPr>
              <w:pStyle w:val="MarginSubhead"/>
              <w:widowControl w:val="0"/>
            </w:pPr>
            <w:bookmarkStart w:id="196" w:name="DrawSample"/>
            <w:r w:rsidRPr="005D4222">
              <w:t>Drawing the sample prior to the reporting year</w:t>
            </w:r>
            <w:bookmarkEnd w:id="196"/>
          </w:p>
        </w:tc>
        <w:tc>
          <w:tcPr>
            <w:tcW w:w="7740" w:type="dxa"/>
            <w:tcMar>
              <w:left w:w="115" w:type="dxa"/>
              <w:right w:w="115" w:type="dxa"/>
            </w:tcMar>
          </w:tcPr>
          <w:p w14:paraId="6808978E" w14:textId="4835430A" w:rsidR="006C3E10" w:rsidRPr="005D4222" w:rsidRDefault="006C3E10" w:rsidP="00DF5401">
            <w:pPr>
              <w:pStyle w:val="Body"/>
              <w:widowControl w:val="0"/>
            </w:pPr>
            <w:r w:rsidRPr="005D4222">
              <w:t xml:space="preserve">Organizations are strongly encouraged to draw samples no earlier than January </w:t>
            </w:r>
            <w:r w:rsidR="000D0774" w:rsidRPr="005D4222">
              <w:t xml:space="preserve">2027 </w:t>
            </w:r>
            <w:r w:rsidRPr="005D4222">
              <w:t xml:space="preserve">for the </w:t>
            </w:r>
            <w:r w:rsidR="000D0774" w:rsidRPr="005D4222">
              <w:t xml:space="preserve">2026 </w:t>
            </w:r>
            <w:r w:rsidRPr="005D4222">
              <w:t xml:space="preserve">measurement </w:t>
            </w:r>
            <w:r w:rsidRPr="005D4222" w:rsidDel="006E2062">
              <w:t>year</w:t>
            </w:r>
            <w:r w:rsidRPr="005D4222">
              <w:t xml:space="preserve">. This increases the accuracy and completeness of the </w:t>
            </w:r>
            <w:r w:rsidR="00766128" w:rsidRPr="005D4222">
              <w:t xml:space="preserve">denominator </w:t>
            </w:r>
            <w:r w:rsidRPr="005D4222">
              <w:t>from which the sample is drawn.</w:t>
            </w:r>
          </w:p>
          <w:p w14:paraId="2CAB0C50" w14:textId="77777777" w:rsidR="006C3E10" w:rsidRPr="005D4222" w:rsidRDefault="006C3E10" w:rsidP="00DF5401">
            <w:pPr>
              <w:pStyle w:val="Body"/>
              <w:widowControl w:val="0"/>
            </w:pPr>
            <w:r w:rsidRPr="005D4222">
              <w:t>Organizations must adhere to the following guidelines if samples are drawn prior to these dates.</w:t>
            </w:r>
          </w:p>
        </w:tc>
      </w:tr>
    </w:tbl>
    <w:p w14:paraId="67F86150" w14:textId="77777777" w:rsidR="002B23C9" w:rsidRPr="005D4222" w:rsidRDefault="002B23C9">
      <w:pPr>
        <w:spacing w:after="160" w:line="259" w:lineRule="auto"/>
      </w:pPr>
      <w:r w:rsidRPr="005D4222">
        <w:br w:type="page"/>
      </w:r>
    </w:p>
    <w:tbl>
      <w:tblPr>
        <w:tblW w:w="9900" w:type="dxa"/>
        <w:tblInd w:w="-90" w:type="dxa"/>
        <w:tblLayout w:type="fixed"/>
        <w:tblLook w:val="0000" w:firstRow="0" w:lastRow="0" w:firstColumn="0" w:lastColumn="0" w:noHBand="0" w:noVBand="0"/>
      </w:tblPr>
      <w:tblGrid>
        <w:gridCol w:w="2160"/>
        <w:gridCol w:w="7740"/>
      </w:tblGrid>
      <w:tr w:rsidR="002B23C9" w:rsidRPr="005D4222" w14:paraId="1C57B91F" w14:textId="77777777" w:rsidTr="002B23C9">
        <w:tc>
          <w:tcPr>
            <w:tcW w:w="2160" w:type="dxa"/>
          </w:tcPr>
          <w:p w14:paraId="6D13E846" w14:textId="77777777" w:rsidR="002B23C9" w:rsidRPr="005D4222" w:rsidRDefault="002B23C9" w:rsidP="00DF5401">
            <w:pPr>
              <w:pStyle w:val="MarginSubhead"/>
              <w:spacing w:before="0"/>
            </w:pPr>
            <w:bookmarkStart w:id="197" w:name="MembershipDependent"/>
            <w:r w:rsidRPr="005D4222">
              <w:lastRenderedPageBreak/>
              <w:t>Membership-dependent denominators</w:t>
            </w:r>
            <w:bookmarkEnd w:id="197"/>
          </w:p>
        </w:tc>
        <w:tc>
          <w:tcPr>
            <w:tcW w:w="7740" w:type="dxa"/>
          </w:tcPr>
          <w:p w14:paraId="5CCE98E9" w14:textId="25CB5EFC" w:rsidR="002B23C9" w:rsidRPr="005D4222" w:rsidRDefault="002B23C9" w:rsidP="00DF5401">
            <w:pPr>
              <w:pStyle w:val="Body"/>
              <w:spacing w:before="0"/>
            </w:pPr>
            <w:r w:rsidRPr="005D4222">
              <w:t>The denominator for the following measure is determined through membership data. Do not draw the sample prior to December 1 of the measurement year.</w:t>
            </w:r>
          </w:p>
          <w:p w14:paraId="7CCD1A14" w14:textId="77777777" w:rsidR="002B23C9" w:rsidRPr="005D4222" w:rsidRDefault="002B23C9" w:rsidP="009F6641">
            <w:pPr>
              <w:pStyle w:val="Bullet"/>
              <w:widowControl w:val="0"/>
              <w:spacing w:before="60"/>
            </w:pPr>
            <w:r w:rsidRPr="005D4222">
              <w:t>Care for Older Adults.</w:t>
            </w:r>
          </w:p>
          <w:p w14:paraId="2842CC40" w14:textId="77777777" w:rsidR="002B23C9" w:rsidRPr="005D4222" w:rsidRDefault="002B23C9" w:rsidP="009F6641">
            <w:pPr>
              <w:pStyle w:val="Body"/>
            </w:pPr>
            <w:r w:rsidRPr="005D4222">
              <w:t xml:space="preserve">An organization that draws its sample on or between December 1 and December 31 of the measurement </w:t>
            </w:r>
            <w:r w:rsidRPr="005D4222" w:rsidDel="00942DB5">
              <w:t xml:space="preserve">year </w:t>
            </w:r>
            <w:r w:rsidRPr="005D4222">
              <w:t>must perform the following tasks:</w:t>
            </w:r>
          </w:p>
          <w:p w14:paraId="25A271AB" w14:textId="77777777" w:rsidR="002B23C9" w:rsidRPr="005D4222" w:rsidRDefault="002B23C9" w:rsidP="002B23C9">
            <w:pPr>
              <w:pStyle w:val="Bullet"/>
            </w:pPr>
            <w:r w:rsidRPr="005D4222">
              <w:t>Oversample to account for individuals included in the sample who were found to be noncompliant with the denominator criteria, subsequent to December 31 of the measurement year.</w:t>
            </w:r>
          </w:p>
          <w:p w14:paraId="63EF835D" w14:textId="77777777" w:rsidR="002B23C9" w:rsidRPr="005D4222" w:rsidRDefault="002B23C9" w:rsidP="009F6641">
            <w:pPr>
              <w:pStyle w:val="Bullet"/>
              <w:widowControl w:val="0"/>
              <w:rPr>
                <w:b/>
              </w:rPr>
            </w:pPr>
            <w:r w:rsidRPr="005D4222">
              <w:t>On or after December 31 of the measurement year, verify that members included in the sample remain eligible for the particular measure. Another record must be substituted for a member who does not meet all the denominator criteria.</w:t>
            </w:r>
          </w:p>
          <w:p w14:paraId="768F633E" w14:textId="7CF9B4A3" w:rsidR="002B23C9" w:rsidRPr="005D4222" w:rsidRDefault="002B23C9" w:rsidP="009F6641">
            <w:pPr>
              <w:pStyle w:val="Dash"/>
              <w:spacing w:before="60"/>
              <w:rPr>
                <w:b/>
              </w:rPr>
            </w:pPr>
            <w:r w:rsidRPr="005D4222">
              <w:rPr>
                <w:i/>
                <w:iCs/>
              </w:rPr>
              <w:t xml:space="preserve">For example, </w:t>
            </w:r>
            <w:r w:rsidRPr="005D4222">
              <w:t xml:space="preserve">on December 5 of the measurement year, an organization draws a sample. On or after December 31 of the measurement year, the organization must ensure that all members included in the sample remain eligible for the measure. </w:t>
            </w:r>
          </w:p>
          <w:p w14:paraId="636E5FA2" w14:textId="75DF4744" w:rsidR="002B23C9" w:rsidRPr="005D4222" w:rsidRDefault="002B4D9D" w:rsidP="002B4D9D">
            <w:pPr>
              <w:pStyle w:val="Dash"/>
              <w:spacing w:before="60"/>
              <w:rPr>
                <w:bCs/>
              </w:rPr>
            </w:pPr>
            <w:r w:rsidRPr="005D4222">
              <w:rPr>
                <w:bCs/>
              </w:rPr>
              <w:t>Any ineligible member (i.e., does not meet one or more denominator criteria) must be excluded and replaced by an eligible member from the oversample group.</w:t>
            </w:r>
          </w:p>
        </w:tc>
      </w:tr>
      <w:tr w:rsidR="006C3E10" w:rsidRPr="005D4222" w14:paraId="611EA861" w14:textId="77777777" w:rsidTr="002B23C9">
        <w:tblPrEx>
          <w:tblCellMar>
            <w:left w:w="180" w:type="dxa"/>
            <w:right w:w="180" w:type="dxa"/>
          </w:tblCellMar>
        </w:tblPrEx>
        <w:trPr>
          <w:trHeight w:val="300"/>
        </w:trPr>
        <w:tc>
          <w:tcPr>
            <w:tcW w:w="2160" w:type="dxa"/>
          </w:tcPr>
          <w:p w14:paraId="0AFE0BD4" w14:textId="77777777" w:rsidR="006C3E10" w:rsidRPr="005D4222" w:rsidRDefault="006C3E10" w:rsidP="009F6641">
            <w:pPr>
              <w:pStyle w:val="MarginSubhead"/>
              <w:widowControl w:val="0"/>
            </w:pPr>
            <w:bookmarkStart w:id="198" w:name="ClaimDependent"/>
            <w:r w:rsidRPr="005D4222">
              <w:t>Claim-dependent denominators</w:t>
            </w:r>
            <w:bookmarkEnd w:id="198"/>
          </w:p>
        </w:tc>
        <w:tc>
          <w:tcPr>
            <w:tcW w:w="7740" w:type="dxa"/>
          </w:tcPr>
          <w:p w14:paraId="4F188A39" w14:textId="404D3F8C" w:rsidR="006C3E10" w:rsidRPr="005D4222" w:rsidRDefault="006C3E10" w:rsidP="009F6641">
            <w:pPr>
              <w:pStyle w:val="Body"/>
              <w:widowControl w:val="0"/>
              <w:outlineLvl w:val="0"/>
            </w:pPr>
            <w:r w:rsidRPr="005D4222">
              <w:t xml:space="preserve">The </w:t>
            </w:r>
            <w:r w:rsidR="00BD77C2" w:rsidRPr="005D4222">
              <w:t>denominator</w:t>
            </w:r>
            <w:r w:rsidRPr="005D4222">
              <w:t xml:space="preserve"> for the following measure is determined through membership data and claims data. Do not draw the sample before the end of the measurement </w:t>
            </w:r>
            <w:r w:rsidRPr="005D4222" w:rsidDel="00AA3867">
              <w:t>year</w:t>
            </w:r>
            <w:r w:rsidRPr="005D4222">
              <w:t xml:space="preserve">. </w:t>
            </w:r>
          </w:p>
          <w:p w14:paraId="7B7B8E1C" w14:textId="77777777" w:rsidR="006C3E10" w:rsidRPr="005D4222" w:rsidRDefault="006C3E10" w:rsidP="009F6641">
            <w:pPr>
              <w:pStyle w:val="Bullet"/>
              <w:widowControl w:val="0"/>
              <w:rPr>
                <w:iCs/>
              </w:rPr>
            </w:pPr>
            <w:r w:rsidRPr="005D4222">
              <w:t>Transitions of Care.</w:t>
            </w:r>
          </w:p>
          <w:p w14:paraId="4E07CD78" w14:textId="1B6CFAA3" w:rsidR="006C3E10" w:rsidRPr="005D4222" w:rsidRDefault="006C3E10" w:rsidP="009F6641">
            <w:pPr>
              <w:pStyle w:val="Body"/>
              <w:widowControl w:val="0"/>
              <w:outlineLvl w:val="0"/>
            </w:pPr>
            <w:r w:rsidRPr="005D4222">
              <w:t xml:space="preserve">To be drawn from a complete </w:t>
            </w:r>
            <w:r w:rsidR="005F36BF" w:rsidRPr="005D4222">
              <w:t>denominator</w:t>
            </w:r>
            <w:r w:rsidRPr="005D4222">
              <w:t>, the sample must be selected no earlier than January of the reporting year. Allow claims incurred through December 31 to be captured in administrative systems before identifying the</w:t>
            </w:r>
            <w:r w:rsidRPr="005D4222" w:rsidDel="003272E9">
              <w:t xml:space="preserve"> </w:t>
            </w:r>
            <w:r w:rsidR="00766128" w:rsidRPr="005D4222">
              <w:t xml:space="preserve">denominator </w:t>
            </w:r>
            <w:r w:rsidRPr="005D4222">
              <w:t>and drawing the sample.</w:t>
            </w:r>
          </w:p>
          <w:p w14:paraId="1C6253D5" w14:textId="6F924D78" w:rsidR="006C3E10" w:rsidRPr="005D4222" w:rsidRDefault="006C3E10" w:rsidP="009F6641">
            <w:pPr>
              <w:pStyle w:val="Body"/>
            </w:pPr>
            <w:r w:rsidRPr="005D4222">
              <w:t xml:space="preserve">The </w:t>
            </w:r>
            <w:r w:rsidR="00F17166" w:rsidRPr="005D4222">
              <w:t>denominator</w:t>
            </w:r>
            <w:r w:rsidRPr="005D4222">
              <w:t xml:space="preserve"> for the following measures is determined through membership data and claims data. Organizations may draw the sample for these measures as early as December 1 of the measurement year. If an organization draws the sample on or between December 1 and December 31 of the measurement year, it must perform the tasks in </w:t>
            </w:r>
            <w:hyperlink w:anchor="MembershipDependent" w:history="1">
              <w:r w:rsidRPr="005D4222">
                <w:rPr>
                  <w:rStyle w:val="Hyperlink"/>
                  <w:i/>
                  <w:iCs/>
                </w:rPr>
                <w:t>Membership-dependent denominators</w:t>
              </w:r>
            </w:hyperlink>
            <w:r w:rsidRPr="005D4222">
              <w:t xml:space="preserve"> (oversample as necessary and verify that members remain eligible on or after December 31 of the measurement year):</w:t>
            </w:r>
          </w:p>
          <w:p w14:paraId="0336C0B0" w14:textId="77777777" w:rsidR="006C3E10" w:rsidRPr="005D4222" w:rsidRDefault="006C3E10" w:rsidP="009F6641">
            <w:pPr>
              <w:pStyle w:val="Bullet"/>
            </w:pPr>
            <w:r w:rsidRPr="005D4222">
              <w:t>Weight Assessment and Counseling for Nutrition and Physical Activity for Children/Adolescents.</w:t>
            </w:r>
          </w:p>
          <w:p w14:paraId="668ADD27" w14:textId="77777777" w:rsidR="006C3E10" w:rsidRPr="005D4222" w:rsidRDefault="006C3E10" w:rsidP="009F6641">
            <w:pPr>
              <w:pStyle w:val="Bullet"/>
            </w:pPr>
            <w:r w:rsidRPr="005D4222">
              <w:t>Controlling High Blood Pressure.</w:t>
            </w:r>
          </w:p>
          <w:p w14:paraId="78530A5E" w14:textId="77777777" w:rsidR="006C3E10" w:rsidRPr="005D4222" w:rsidRDefault="006C3E10" w:rsidP="009F6641">
            <w:pPr>
              <w:pStyle w:val="Bullet"/>
              <w:widowControl w:val="0"/>
            </w:pPr>
            <w:r w:rsidRPr="005D4222">
              <w:t xml:space="preserve">Glycemic Status Assessment for Patients With </w:t>
            </w:r>
            <w:r w:rsidRPr="005D4222" w:rsidDel="00012040">
              <w:t>Diabetes</w:t>
            </w:r>
            <w:r w:rsidRPr="005D4222">
              <w:t>.</w:t>
            </w:r>
          </w:p>
          <w:p w14:paraId="24C1A9E4" w14:textId="77777777" w:rsidR="006C3E10" w:rsidRPr="005D4222" w:rsidRDefault="006C3E10" w:rsidP="009F6641">
            <w:pPr>
              <w:pStyle w:val="Bullet"/>
              <w:widowControl w:val="0"/>
            </w:pPr>
            <w:r w:rsidRPr="005D4222">
              <w:t>Blood Pressure Control for Patients With Diabetes.</w:t>
            </w:r>
          </w:p>
          <w:p w14:paraId="349F5F7A" w14:textId="77777777" w:rsidR="006C3E10" w:rsidRPr="005D4222" w:rsidRDefault="006C3E10" w:rsidP="009F6641">
            <w:pPr>
              <w:pStyle w:val="Bullet"/>
              <w:widowControl w:val="0"/>
            </w:pPr>
            <w:r w:rsidRPr="005D4222">
              <w:t>Prenatal and Postpartum Care.</w:t>
            </w:r>
          </w:p>
        </w:tc>
      </w:tr>
      <w:tr w:rsidR="006C3E10" w:rsidRPr="005D4222" w14:paraId="476AF61F" w14:textId="77777777" w:rsidTr="002B23C9">
        <w:tblPrEx>
          <w:tblCellMar>
            <w:left w:w="180" w:type="dxa"/>
            <w:right w:w="180" w:type="dxa"/>
          </w:tblCellMar>
        </w:tblPrEx>
        <w:trPr>
          <w:trHeight w:val="300"/>
        </w:trPr>
        <w:tc>
          <w:tcPr>
            <w:tcW w:w="2160" w:type="dxa"/>
          </w:tcPr>
          <w:p w14:paraId="702E8201" w14:textId="77777777" w:rsidR="006C3E10" w:rsidRPr="005D4222" w:rsidRDefault="006C3E10" w:rsidP="009F6641">
            <w:pPr>
              <w:pStyle w:val="MarginSubhead"/>
              <w:widowControl w:val="0"/>
            </w:pPr>
            <w:bookmarkStart w:id="199" w:name="DetermineRSS"/>
            <w:r w:rsidRPr="005D4222">
              <w:t>Determining the required sample size</w:t>
            </w:r>
            <w:bookmarkEnd w:id="199"/>
          </w:p>
        </w:tc>
        <w:tc>
          <w:tcPr>
            <w:tcW w:w="7740" w:type="dxa"/>
          </w:tcPr>
          <w:p w14:paraId="3A65F7D7" w14:textId="72AD8D26" w:rsidR="00F85042" w:rsidRPr="005D4222" w:rsidRDefault="006C3E10" w:rsidP="009F6641">
            <w:pPr>
              <w:pStyle w:val="Body"/>
              <w:widowControl w:val="0"/>
            </w:pPr>
            <w:r w:rsidRPr="005D4222">
              <w:t xml:space="preserve">Using the Hybrid Method to collect and report a measure requires a sample to be drawn from the </w:t>
            </w:r>
            <w:r w:rsidR="5E15F206" w:rsidRPr="005D4222">
              <w:t xml:space="preserve">administrative </w:t>
            </w:r>
            <w:r w:rsidR="00F17166" w:rsidRPr="005D4222">
              <w:t>denominator</w:t>
            </w:r>
            <w:r w:rsidRPr="005D4222">
              <w:t xml:space="preserve">. Use Table 1 to determine the appropriate sample size for measures. </w:t>
            </w:r>
          </w:p>
          <w:p w14:paraId="69DEF8F2" w14:textId="77777777" w:rsidR="00F85042" w:rsidRPr="005D4222" w:rsidRDefault="006C3E10" w:rsidP="00DF5401">
            <w:pPr>
              <w:pStyle w:val="Bullet"/>
              <w:spacing w:before="0"/>
              <w:rPr>
                <w:rFonts w:cs="Arial"/>
                <w:color w:val="000000" w:themeColor="text1"/>
              </w:rPr>
            </w:pPr>
            <w:r w:rsidRPr="005D4222">
              <w:lastRenderedPageBreak/>
              <w:t xml:space="preserve">For hybrid measures reported in the prior year, use the last column of Table 1 to determine whether the prior year’s audited result can be used to reduce the current year’s sample size. </w:t>
            </w:r>
          </w:p>
          <w:p w14:paraId="76F53C21" w14:textId="77777777" w:rsidR="00F85042" w:rsidRPr="005D4222" w:rsidRDefault="006C3E10" w:rsidP="00F85042">
            <w:pPr>
              <w:pStyle w:val="Bullet"/>
              <w:rPr>
                <w:rFonts w:cs="Arial"/>
                <w:color w:val="000000" w:themeColor="text1"/>
              </w:rPr>
            </w:pPr>
            <w:r w:rsidRPr="005D4222">
              <w:rPr>
                <w:rFonts w:cs="Arial"/>
                <w:color w:val="000000" w:themeColor="text1"/>
              </w:rPr>
              <w:t xml:space="preserve">For measures with stratifications, use the total rate when reducing sample sizes. </w:t>
            </w:r>
          </w:p>
          <w:p w14:paraId="7E92A05B" w14:textId="77777777" w:rsidR="006C3E10" w:rsidRPr="005D4222" w:rsidRDefault="006C3E10" w:rsidP="00F85042">
            <w:pPr>
              <w:pStyle w:val="Bullet"/>
              <w:rPr>
                <w:rFonts w:cs="Arial"/>
                <w:color w:val="000000" w:themeColor="text1"/>
              </w:rPr>
            </w:pPr>
            <w:r w:rsidRPr="005D4222">
              <w:rPr>
                <w:rFonts w:cs="Arial"/>
                <w:color w:val="000000" w:themeColor="text1"/>
              </w:rPr>
              <w:t>For measures with multiple indicators and stratifications, use the lowest total rate across indicators when reducing sample sizes.</w:t>
            </w:r>
          </w:p>
          <w:p w14:paraId="41712A31" w14:textId="77777777" w:rsidR="00DF5401" w:rsidRPr="005D4222" w:rsidRDefault="00DF5401" w:rsidP="00DF5401">
            <w:pPr>
              <w:pStyle w:val="Body"/>
            </w:pPr>
            <w:r w:rsidRPr="005D4222">
              <w:t xml:space="preserve">Use Table 2 if the prior year’s rate is used to determine the current year’s sample. The organization may also use the product line-specific rate derived from administrative data for the current measurement year and Table 2 to reduce the required sample size. The required sample size decreases as the organization’s rate improves. </w:t>
            </w:r>
          </w:p>
          <w:p w14:paraId="433E485D" w14:textId="4C3BDB5F" w:rsidR="00DF5401" w:rsidRPr="005D4222" w:rsidRDefault="00DF5401" w:rsidP="00DF5401">
            <w:pPr>
              <w:pStyle w:val="Body"/>
            </w:pPr>
            <w:r w:rsidRPr="005D4222">
              <w:t xml:space="preserve">For example, the organization calculates a 77% administrative rate for the commercial product line for a new measure and decides to implement the Hybrid Method. Instead of using a sample size of 411, the organization reduces the sample size for </w:t>
            </w:r>
            <w:r w:rsidRPr="005D4222" w:rsidDel="00D46834">
              <w:t xml:space="preserve">this measure for </w:t>
            </w:r>
            <w:r w:rsidRPr="005D4222">
              <w:t xml:space="preserve">its commercial product line by using the 77% administrative rate and Table 2. According to Table 2, the minimum required sample size is 296. The sample size can be reduced even </w:t>
            </w:r>
            <w:r w:rsidRPr="005D4222" w:rsidDel="00D12479">
              <w:t xml:space="preserve">when </w:t>
            </w:r>
            <w:r w:rsidRPr="005D4222">
              <w:br/>
              <w:t>the original administrative denominator</w:t>
            </w:r>
            <w:r w:rsidRPr="005D4222">
              <w:rPr>
                <w:rStyle w:val="FootnoteReference"/>
              </w:rPr>
              <w:footnoteReference w:id="7"/>
            </w:r>
            <w:r w:rsidRPr="005D4222">
              <w:t xml:space="preserve"> member (ADM) population is less </w:t>
            </w:r>
            <w:r w:rsidRPr="005D4222">
              <w:br/>
              <w:t>than 411.</w:t>
            </w:r>
          </w:p>
        </w:tc>
      </w:tr>
      <w:tr w:rsidR="006C3E10" w:rsidRPr="005D4222" w14:paraId="72F7D8E6" w14:textId="77777777" w:rsidTr="002B23C9">
        <w:tblPrEx>
          <w:tblCellMar>
            <w:left w:w="180" w:type="dxa"/>
            <w:right w:w="180" w:type="dxa"/>
          </w:tblCellMar>
        </w:tblPrEx>
        <w:trPr>
          <w:trHeight w:val="300"/>
        </w:trPr>
        <w:tc>
          <w:tcPr>
            <w:tcW w:w="2160" w:type="dxa"/>
          </w:tcPr>
          <w:p w14:paraId="45CD3E68" w14:textId="77777777" w:rsidR="006C3E10" w:rsidRPr="005D4222" w:rsidRDefault="006C3E10" w:rsidP="009F6641">
            <w:pPr>
              <w:pStyle w:val="MarginSubhead"/>
            </w:pPr>
            <w:bookmarkStart w:id="200" w:name="OLE_LINK5"/>
            <w:bookmarkStart w:id="201" w:name="OLE_LINK6"/>
            <w:bookmarkStart w:id="202" w:name="Chartreview"/>
            <w:bookmarkStart w:id="203" w:name="_Toc452170807"/>
            <w:r w:rsidRPr="005D4222">
              <w:lastRenderedPageBreak/>
              <w:t>Organization responsibility for chart review</w:t>
            </w:r>
            <w:bookmarkEnd w:id="200"/>
            <w:bookmarkEnd w:id="201"/>
            <w:bookmarkEnd w:id="202"/>
          </w:p>
        </w:tc>
        <w:tc>
          <w:tcPr>
            <w:tcW w:w="7740" w:type="dxa"/>
          </w:tcPr>
          <w:p w14:paraId="6DDFFA57" w14:textId="77777777" w:rsidR="006C3E10" w:rsidRPr="005D4222" w:rsidRDefault="006C3E10" w:rsidP="009F6641">
            <w:pPr>
              <w:pStyle w:val="Body"/>
              <w:rPr>
                <w:rFonts w:eastAsia="Calibri"/>
              </w:rPr>
            </w:pPr>
            <w:r w:rsidRPr="005D4222">
              <w:t>An organization that uses the Hybrid Method for a measure should attempt to pursue charts for all noncompliant members in the systematic sample, to preserve the integrity of the sample and its representative rate. Chart pursuit is recommended, but is determined by the organization.</w:t>
            </w:r>
          </w:p>
          <w:p w14:paraId="4493BE49" w14:textId="77777777" w:rsidR="006C3E10" w:rsidRPr="005D4222" w:rsidRDefault="006C3E10" w:rsidP="009F6641">
            <w:pPr>
              <w:pStyle w:val="Body"/>
            </w:pPr>
            <w:r w:rsidRPr="005D4222">
              <w:t xml:space="preserve">After the systematic sample is generated and chart pursuit has started, the sample may be reduced on rare occasions, such as after a natural disaster. Removing uninvestigated members from the sample in this situation is an alternative sampling method, </w:t>
            </w:r>
            <w:r w:rsidRPr="005D4222" w:rsidDel="005E6A64">
              <w:t xml:space="preserve">and </w:t>
            </w:r>
            <w:r w:rsidRPr="005D4222">
              <w:t xml:space="preserve">the organization must submit a request for approval to PCS via </w:t>
            </w:r>
            <w:hyperlink r:id="rId67" w:history="1">
              <w:r w:rsidRPr="005D4222" w:rsidDel="00CC24BE">
                <w:rPr>
                  <w:rStyle w:val="Hyperlink"/>
                </w:rPr>
                <w:t>My</w:t>
              </w:r>
              <w:r w:rsidRPr="005D4222">
                <w:rPr>
                  <w:rStyle w:val="Hyperlink"/>
                </w:rPr>
                <w:t xml:space="preserve"> NCQA</w:t>
              </w:r>
            </w:hyperlink>
            <w:r w:rsidRPr="005D4222">
              <w:t xml:space="preserve"> that includes the reason for not completing chart review, and the auditor’s approval showing that the members to be removed are distributed systematically across the larger sample and the hybrid results from the reduced sample are reportable.</w:t>
            </w:r>
          </w:p>
        </w:tc>
      </w:tr>
      <w:tr w:rsidR="006C3E10" w:rsidRPr="005D4222" w14:paraId="7E9A5605" w14:textId="77777777" w:rsidTr="002B23C9">
        <w:tblPrEx>
          <w:tblCellMar>
            <w:left w:w="180" w:type="dxa"/>
            <w:right w:w="180" w:type="dxa"/>
          </w:tblCellMar>
        </w:tblPrEx>
        <w:trPr>
          <w:trHeight w:val="300"/>
        </w:trPr>
        <w:tc>
          <w:tcPr>
            <w:tcW w:w="2160" w:type="dxa"/>
          </w:tcPr>
          <w:p w14:paraId="2948DC5A" w14:textId="77777777" w:rsidR="006C3E10" w:rsidRPr="005D4222" w:rsidRDefault="006C3E10" w:rsidP="009F6641">
            <w:pPr>
              <w:pStyle w:val="MarginSubhead"/>
            </w:pPr>
            <w:bookmarkStart w:id="204" w:name="Statisticalassumptions"/>
            <w:r w:rsidRPr="005D4222">
              <w:t>Statistical assumptions for sample size</w:t>
            </w:r>
            <w:bookmarkEnd w:id="204"/>
          </w:p>
        </w:tc>
        <w:tc>
          <w:tcPr>
            <w:tcW w:w="7740" w:type="dxa"/>
          </w:tcPr>
          <w:p w14:paraId="6B3A38A4" w14:textId="77777777" w:rsidR="006C3E10" w:rsidRPr="005D4222" w:rsidRDefault="006C3E10" w:rsidP="009F6641">
            <w:pPr>
              <w:pStyle w:val="Body"/>
            </w:pPr>
            <w:r w:rsidRPr="005D4222">
              <w:t>Sample size is calculated assuming a two-tailed test of significance between two proportions (</w:t>
            </w:r>
            <w:r w:rsidRPr="005D4222">
              <w:rPr>
                <w:rFonts w:ascii="Symbol" w:eastAsia="Symbol" w:hAnsi="Symbol" w:cs="Symbol"/>
              </w:rPr>
              <w:t></w:t>
            </w:r>
            <w:r w:rsidRPr="005D4222">
              <w:t xml:space="preserve"> = .05, 80% power, two-tailed test of significance). A normal approximation to the binomial with a continuity correction was employed in the sample size calculation. The worst-case assumption of a 50% expected value was assumed.</w:t>
            </w:r>
          </w:p>
          <w:p w14:paraId="339BE483" w14:textId="77777777" w:rsidR="006C3E10" w:rsidRPr="005D4222" w:rsidRDefault="006C3E10" w:rsidP="009F6641">
            <w:pPr>
              <w:pStyle w:val="Body"/>
            </w:pPr>
            <w:r w:rsidRPr="005D4222">
              <w:t>The detectable difference for most measures is 10 percentage points. This was chosen because it is a big enough difference to be actionable, it is not a burden for data collection and it is not so small as to be “swamped” by nonsampling error.</w:t>
            </w:r>
          </w:p>
        </w:tc>
      </w:tr>
    </w:tbl>
    <w:p w14:paraId="5A43411C" w14:textId="77777777" w:rsidR="00DF5401" w:rsidRPr="005D4222" w:rsidRDefault="00DF5401">
      <w:pPr>
        <w:spacing w:after="160" w:line="259" w:lineRule="auto"/>
        <w:rPr>
          <w:rFonts w:cs="Arial"/>
          <w:b/>
          <w:bCs/>
          <w:i/>
          <w:sz w:val="18"/>
          <w:szCs w:val="26"/>
        </w:rPr>
      </w:pPr>
      <w:bookmarkStart w:id="205" w:name="_Toc452170812"/>
      <w:bookmarkEnd w:id="203"/>
      <w:r w:rsidRPr="005D4222">
        <w:br w:type="page"/>
      </w:r>
    </w:p>
    <w:p w14:paraId="1F2A0A57" w14:textId="4DF63B9F" w:rsidR="006C3E10" w:rsidRPr="005D4222" w:rsidRDefault="006C3E10" w:rsidP="006C3E10">
      <w:pPr>
        <w:pStyle w:val="Heading3"/>
        <w:keepNext w:val="0"/>
        <w:widowControl w:val="0"/>
      </w:pPr>
      <w:r w:rsidRPr="005D4222">
        <w:lastRenderedPageBreak/>
        <w:t>Table 1: Sample Size Information for Hybrid Measures</w:t>
      </w:r>
      <w:bookmarkEnd w:id="205"/>
    </w:p>
    <w:tbl>
      <w:tblPr>
        <w:tblW w:w="9720" w:type="dxa"/>
        <w:tblInd w:w="-8" w:type="dxa"/>
        <w:tblLayout w:type="fixed"/>
        <w:tblLook w:val="0000" w:firstRow="0" w:lastRow="0" w:firstColumn="0" w:lastColumn="0" w:noHBand="0" w:noVBand="0"/>
      </w:tblPr>
      <w:tblGrid>
        <w:gridCol w:w="3780"/>
        <w:gridCol w:w="1260"/>
        <w:gridCol w:w="1350"/>
        <w:gridCol w:w="1191"/>
        <w:gridCol w:w="2139"/>
      </w:tblGrid>
      <w:tr w:rsidR="006439AD" w:rsidRPr="005D4222" w14:paraId="1D909041" w14:textId="77777777" w:rsidTr="009D46FD">
        <w:trPr>
          <w:tblHeader/>
        </w:trPr>
        <w:tc>
          <w:tcPr>
            <w:tcW w:w="3780" w:type="dxa"/>
            <w:tcBorders>
              <w:top w:val="single" w:sz="6" w:space="0" w:color="auto"/>
              <w:left w:val="single" w:sz="6" w:space="0" w:color="auto"/>
              <w:bottom w:val="single" w:sz="6" w:space="0" w:color="auto"/>
              <w:right w:val="single" w:sz="4" w:space="0" w:color="FFFFFF" w:themeColor="background1"/>
            </w:tcBorders>
            <w:shd w:val="clear" w:color="auto" w:fill="000000" w:themeFill="text1"/>
            <w:tcMar>
              <w:left w:w="86" w:type="dxa"/>
              <w:right w:w="86" w:type="dxa"/>
            </w:tcMar>
            <w:vAlign w:val="bottom"/>
          </w:tcPr>
          <w:p w14:paraId="2ADB5CD6" w14:textId="77777777" w:rsidR="006C3E10" w:rsidRPr="005D4222" w:rsidRDefault="006C3E10" w:rsidP="009D46FD">
            <w:pPr>
              <w:pStyle w:val="TableHead"/>
              <w:spacing w:line="240" w:lineRule="auto"/>
              <w:rPr>
                <w:rFonts w:ascii="Arial" w:hAnsi="Arial" w:cs="Arial"/>
                <w:sz w:val="20"/>
              </w:rPr>
            </w:pPr>
            <w:r w:rsidRPr="005D4222">
              <w:rPr>
                <w:rFonts w:ascii="Arial" w:hAnsi="Arial" w:cs="Arial"/>
                <w:sz w:val="20"/>
              </w:rPr>
              <w:t>Measure</w:t>
            </w:r>
          </w:p>
        </w:tc>
        <w:tc>
          <w:tcPr>
            <w:tcW w:w="1260" w:type="dxa"/>
            <w:tcBorders>
              <w:top w:val="single" w:sz="6" w:space="0" w:color="auto"/>
              <w:left w:val="single" w:sz="4" w:space="0" w:color="FFFFFF" w:themeColor="background1"/>
              <w:bottom w:val="single" w:sz="6" w:space="0" w:color="auto"/>
              <w:right w:val="single" w:sz="4" w:space="0" w:color="FFFFFF" w:themeColor="background1"/>
            </w:tcBorders>
            <w:shd w:val="clear" w:color="auto" w:fill="000000" w:themeFill="text1"/>
            <w:tcMar>
              <w:left w:w="86" w:type="dxa"/>
              <w:right w:w="86" w:type="dxa"/>
            </w:tcMar>
            <w:vAlign w:val="bottom"/>
          </w:tcPr>
          <w:p w14:paraId="3C853E2E" w14:textId="77777777" w:rsidR="006C3E10" w:rsidRPr="005D4222" w:rsidRDefault="006C3E10" w:rsidP="009D46FD">
            <w:pPr>
              <w:pStyle w:val="TableHead"/>
              <w:spacing w:line="240" w:lineRule="auto"/>
              <w:rPr>
                <w:rFonts w:ascii="Arial" w:hAnsi="Arial" w:cs="Arial"/>
                <w:sz w:val="20"/>
              </w:rPr>
            </w:pPr>
            <w:r w:rsidRPr="005D4222">
              <w:rPr>
                <w:rFonts w:ascii="Arial" w:hAnsi="Arial" w:cs="Arial"/>
                <w:sz w:val="20"/>
              </w:rPr>
              <w:t>Medicaid</w:t>
            </w:r>
          </w:p>
        </w:tc>
        <w:tc>
          <w:tcPr>
            <w:tcW w:w="1350" w:type="dxa"/>
            <w:tcBorders>
              <w:top w:val="single" w:sz="6" w:space="0" w:color="auto"/>
              <w:left w:val="single" w:sz="4" w:space="0" w:color="FFFFFF" w:themeColor="background1"/>
              <w:bottom w:val="single" w:sz="6" w:space="0" w:color="auto"/>
              <w:right w:val="single" w:sz="4" w:space="0" w:color="FFFFFF" w:themeColor="background1"/>
            </w:tcBorders>
            <w:shd w:val="clear" w:color="auto" w:fill="000000" w:themeFill="text1"/>
            <w:tcMar>
              <w:left w:w="86" w:type="dxa"/>
              <w:right w:w="86" w:type="dxa"/>
            </w:tcMar>
            <w:vAlign w:val="bottom"/>
          </w:tcPr>
          <w:p w14:paraId="5EAF4CA4" w14:textId="77777777" w:rsidR="006C3E10" w:rsidRPr="005D4222" w:rsidRDefault="006C3E10" w:rsidP="009D46FD">
            <w:pPr>
              <w:pStyle w:val="TableHead"/>
              <w:spacing w:line="240" w:lineRule="auto"/>
              <w:rPr>
                <w:rFonts w:ascii="Arial" w:hAnsi="Arial" w:cs="Arial"/>
                <w:sz w:val="20"/>
              </w:rPr>
            </w:pPr>
            <w:r w:rsidRPr="005D4222">
              <w:rPr>
                <w:rFonts w:ascii="Arial" w:hAnsi="Arial" w:cs="Arial"/>
                <w:sz w:val="20"/>
              </w:rPr>
              <w:t>Commercial</w:t>
            </w:r>
          </w:p>
        </w:tc>
        <w:tc>
          <w:tcPr>
            <w:tcW w:w="1191" w:type="dxa"/>
            <w:tcBorders>
              <w:top w:val="single" w:sz="6" w:space="0" w:color="auto"/>
              <w:left w:val="single" w:sz="4" w:space="0" w:color="FFFFFF" w:themeColor="background1"/>
              <w:bottom w:val="single" w:sz="6" w:space="0" w:color="auto"/>
              <w:right w:val="single" w:sz="4" w:space="0" w:color="FFFFFF" w:themeColor="background1"/>
            </w:tcBorders>
            <w:shd w:val="clear" w:color="auto" w:fill="000000" w:themeFill="text1"/>
            <w:tcMar>
              <w:left w:w="86" w:type="dxa"/>
              <w:right w:w="86" w:type="dxa"/>
            </w:tcMar>
            <w:vAlign w:val="bottom"/>
          </w:tcPr>
          <w:p w14:paraId="061C18EE" w14:textId="77777777" w:rsidR="006C3E10" w:rsidRPr="005D4222" w:rsidRDefault="006C3E10" w:rsidP="009D46FD">
            <w:pPr>
              <w:pStyle w:val="TableHead"/>
              <w:spacing w:line="240" w:lineRule="auto"/>
              <w:rPr>
                <w:rFonts w:ascii="Arial" w:hAnsi="Arial" w:cs="Arial"/>
                <w:sz w:val="20"/>
              </w:rPr>
            </w:pPr>
            <w:r w:rsidRPr="005D4222">
              <w:rPr>
                <w:rFonts w:ascii="Arial" w:hAnsi="Arial" w:cs="Arial"/>
                <w:sz w:val="20"/>
              </w:rPr>
              <w:t>Medicare</w:t>
            </w:r>
          </w:p>
        </w:tc>
        <w:tc>
          <w:tcPr>
            <w:tcW w:w="2139" w:type="dxa"/>
            <w:tcBorders>
              <w:top w:val="single" w:sz="6" w:space="0" w:color="auto"/>
              <w:left w:val="single" w:sz="4" w:space="0" w:color="FFFFFF" w:themeColor="background1"/>
              <w:bottom w:val="single" w:sz="6" w:space="0" w:color="auto"/>
              <w:right w:val="single" w:sz="4" w:space="0" w:color="auto"/>
            </w:tcBorders>
            <w:shd w:val="clear" w:color="auto" w:fill="000000" w:themeFill="text1"/>
            <w:tcMar>
              <w:left w:w="86" w:type="dxa"/>
              <w:right w:w="86" w:type="dxa"/>
            </w:tcMar>
            <w:vAlign w:val="bottom"/>
          </w:tcPr>
          <w:p w14:paraId="7EF524C5" w14:textId="1E70E449" w:rsidR="006C3E10" w:rsidRPr="005D4222" w:rsidRDefault="006C3E10" w:rsidP="009D46FD">
            <w:pPr>
              <w:pStyle w:val="TableHead"/>
              <w:spacing w:line="240" w:lineRule="auto"/>
              <w:rPr>
                <w:rFonts w:ascii="Arial" w:hAnsi="Arial" w:cs="Arial"/>
                <w:sz w:val="20"/>
              </w:rPr>
            </w:pPr>
            <w:r w:rsidRPr="005D4222">
              <w:rPr>
                <w:rFonts w:ascii="Arial" w:hAnsi="Arial" w:cs="Arial"/>
                <w:sz w:val="20"/>
              </w:rPr>
              <w:t xml:space="preserve">Prior Year’s Rate May Be Used to Reduce MY </w:t>
            </w:r>
            <w:r w:rsidR="000D0774" w:rsidRPr="005D4222">
              <w:rPr>
                <w:rFonts w:ascii="Arial" w:hAnsi="Arial" w:cs="Arial"/>
                <w:sz w:val="20"/>
              </w:rPr>
              <w:t>2026</w:t>
            </w:r>
            <w:r w:rsidR="000D0774" w:rsidRPr="005D4222" w:rsidDel="00C0444B">
              <w:rPr>
                <w:rFonts w:ascii="Arial" w:hAnsi="Arial" w:cs="Arial"/>
                <w:sz w:val="20"/>
              </w:rPr>
              <w:t xml:space="preserve"> </w:t>
            </w:r>
            <w:r w:rsidRPr="005D4222">
              <w:rPr>
                <w:rFonts w:ascii="Arial" w:hAnsi="Arial" w:cs="Arial"/>
                <w:sz w:val="20"/>
              </w:rPr>
              <w:t>Sample Size</w:t>
            </w:r>
            <w:r w:rsidRPr="005D4222">
              <w:rPr>
                <w:rFonts w:ascii="Arial" w:hAnsi="Arial" w:cs="Arial"/>
                <w:sz w:val="20"/>
                <w:vertAlign w:val="superscript"/>
              </w:rPr>
              <w:t>1</w:t>
            </w:r>
          </w:p>
        </w:tc>
      </w:tr>
      <w:tr w:rsidR="006C3E10" w:rsidRPr="005D4222" w14:paraId="2BF03170" w14:textId="77777777" w:rsidTr="009F6641">
        <w:tc>
          <w:tcPr>
            <w:tcW w:w="9720" w:type="dxa"/>
            <w:gridSpan w:val="5"/>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86" w:type="dxa"/>
              <w:right w:w="86" w:type="dxa"/>
            </w:tcMar>
          </w:tcPr>
          <w:p w14:paraId="4DFADCA9" w14:textId="77777777" w:rsidR="006C3E10" w:rsidRPr="005D4222" w:rsidRDefault="006C3E10" w:rsidP="009D46FD">
            <w:pPr>
              <w:pStyle w:val="TableText"/>
              <w:widowControl w:val="0"/>
              <w:spacing w:before="40" w:after="40" w:line="240" w:lineRule="auto"/>
              <w:rPr>
                <w:rFonts w:ascii="Arial" w:hAnsi="Arial" w:cs="Arial"/>
                <w:b/>
                <w:sz w:val="20"/>
                <w:szCs w:val="20"/>
              </w:rPr>
            </w:pPr>
            <w:r w:rsidRPr="005D4222">
              <w:rPr>
                <w:rFonts w:ascii="Arial" w:hAnsi="Arial" w:cs="Arial"/>
                <w:b/>
                <w:sz w:val="20"/>
                <w:szCs w:val="20"/>
              </w:rPr>
              <w:t>Effectiveness of Care</w:t>
            </w:r>
          </w:p>
        </w:tc>
      </w:tr>
      <w:tr w:rsidR="006C3E10" w:rsidRPr="005D4222" w14:paraId="4220B0FF" w14:textId="77777777" w:rsidTr="009D46FD">
        <w:tc>
          <w:tcPr>
            <w:tcW w:w="3780" w:type="dxa"/>
            <w:tcBorders>
              <w:top w:val="single" w:sz="6" w:space="0" w:color="auto"/>
              <w:left w:val="single" w:sz="6" w:space="0" w:color="auto"/>
              <w:bottom w:val="single" w:sz="6" w:space="0" w:color="auto"/>
              <w:right w:val="single" w:sz="6" w:space="0" w:color="auto"/>
            </w:tcBorders>
            <w:tcMar>
              <w:left w:w="86" w:type="dxa"/>
              <w:right w:w="86" w:type="dxa"/>
            </w:tcMar>
          </w:tcPr>
          <w:p w14:paraId="38A55AB2" w14:textId="77777777" w:rsidR="006C3E10" w:rsidRPr="005D4222" w:rsidRDefault="006C3E10" w:rsidP="009D46FD">
            <w:pPr>
              <w:pStyle w:val="TableText"/>
              <w:widowControl w:val="0"/>
              <w:spacing w:before="40" w:after="40" w:line="240" w:lineRule="auto"/>
              <w:rPr>
                <w:rFonts w:ascii="Arial" w:hAnsi="Arial" w:cs="Arial"/>
                <w:sz w:val="20"/>
                <w:szCs w:val="20"/>
              </w:rPr>
            </w:pPr>
            <w:r w:rsidRPr="005D4222">
              <w:rPr>
                <w:rFonts w:ascii="Arial" w:hAnsi="Arial" w:cs="Arial"/>
                <w:sz w:val="20"/>
                <w:szCs w:val="20"/>
              </w:rPr>
              <w:t>Weight Assessment and Counseling for Nutrition and Physical Activity for Children/Adolescents</w:t>
            </w:r>
          </w:p>
        </w:tc>
        <w:tc>
          <w:tcPr>
            <w:tcW w:w="1260" w:type="dxa"/>
            <w:tcBorders>
              <w:top w:val="single" w:sz="6" w:space="0" w:color="auto"/>
              <w:left w:val="single" w:sz="6" w:space="0" w:color="auto"/>
              <w:bottom w:val="single" w:sz="6" w:space="0" w:color="auto"/>
              <w:right w:val="single" w:sz="6" w:space="0" w:color="auto"/>
            </w:tcBorders>
            <w:tcMar>
              <w:left w:w="86" w:type="dxa"/>
              <w:right w:w="86" w:type="dxa"/>
            </w:tcMar>
            <w:vAlign w:val="center"/>
          </w:tcPr>
          <w:p w14:paraId="3A9543AB" w14:textId="77777777" w:rsidR="006C3E10" w:rsidRPr="005D4222" w:rsidRDefault="006C3E10" w:rsidP="009D46FD">
            <w:pPr>
              <w:pStyle w:val="TableText"/>
              <w:widowControl w:val="0"/>
              <w:spacing w:before="40" w:after="40" w:line="240" w:lineRule="auto"/>
              <w:jc w:val="center"/>
              <w:rPr>
                <w:rFonts w:ascii="Arial" w:hAnsi="Arial" w:cs="Arial"/>
                <w:sz w:val="20"/>
                <w:szCs w:val="20"/>
              </w:rPr>
            </w:pPr>
            <w:r w:rsidRPr="005D4222">
              <w:rPr>
                <w:rFonts w:ascii="Arial" w:hAnsi="Arial" w:cs="Arial"/>
                <w:sz w:val="20"/>
                <w:szCs w:val="20"/>
              </w:rPr>
              <w:t>411</w:t>
            </w:r>
          </w:p>
        </w:tc>
        <w:tc>
          <w:tcPr>
            <w:tcW w:w="1350" w:type="dxa"/>
            <w:tcBorders>
              <w:top w:val="single" w:sz="6" w:space="0" w:color="auto"/>
              <w:left w:val="single" w:sz="6" w:space="0" w:color="auto"/>
              <w:bottom w:val="single" w:sz="6" w:space="0" w:color="auto"/>
              <w:right w:val="single" w:sz="6" w:space="0" w:color="auto"/>
            </w:tcBorders>
            <w:tcMar>
              <w:left w:w="86" w:type="dxa"/>
              <w:right w:w="86" w:type="dxa"/>
            </w:tcMar>
            <w:vAlign w:val="center"/>
          </w:tcPr>
          <w:p w14:paraId="0B51CB45" w14:textId="77777777" w:rsidR="006C3E10" w:rsidRPr="005D4222" w:rsidRDefault="006C3E10" w:rsidP="009D46FD">
            <w:pPr>
              <w:pStyle w:val="TableText"/>
              <w:widowControl w:val="0"/>
              <w:spacing w:before="40" w:after="40" w:line="240" w:lineRule="auto"/>
              <w:jc w:val="center"/>
              <w:rPr>
                <w:rFonts w:ascii="Arial" w:hAnsi="Arial" w:cs="Arial"/>
                <w:sz w:val="20"/>
                <w:szCs w:val="20"/>
              </w:rPr>
            </w:pPr>
            <w:r w:rsidRPr="005D4222">
              <w:rPr>
                <w:rFonts w:ascii="Arial" w:hAnsi="Arial" w:cs="Arial"/>
                <w:sz w:val="20"/>
                <w:szCs w:val="20"/>
              </w:rPr>
              <w:t>411</w:t>
            </w:r>
          </w:p>
        </w:tc>
        <w:tc>
          <w:tcPr>
            <w:tcW w:w="1191" w:type="dxa"/>
            <w:tcBorders>
              <w:top w:val="single" w:sz="6" w:space="0" w:color="auto"/>
              <w:left w:val="single" w:sz="6" w:space="0" w:color="auto"/>
              <w:bottom w:val="single" w:sz="6" w:space="0" w:color="auto"/>
              <w:right w:val="single" w:sz="6" w:space="0" w:color="auto"/>
            </w:tcBorders>
            <w:tcMar>
              <w:left w:w="86" w:type="dxa"/>
              <w:right w:w="86" w:type="dxa"/>
            </w:tcMar>
            <w:vAlign w:val="center"/>
          </w:tcPr>
          <w:p w14:paraId="5BEFC8DE" w14:textId="77777777" w:rsidR="006C3E10" w:rsidRPr="005D4222" w:rsidRDefault="006C3E10" w:rsidP="009D46FD">
            <w:pPr>
              <w:pStyle w:val="TableText"/>
              <w:widowControl w:val="0"/>
              <w:spacing w:before="40" w:after="40" w:line="240" w:lineRule="auto"/>
              <w:jc w:val="center"/>
              <w:rPr>
                <w:rFonts w:ascii="Arial" w:hAnsi="Arial" w:cs="Arial"/>
                <w:sz w:val="20"/>
                <w:szCs w:val="20"/>
              </w:rPr>
            </w:pPr>
            <w:r w:rsidRPr="005D4222">
              <w:rPr>
                <w:rFonts w:ascii="Arial" w:hAnsi="Arial" w:cs="Arial"/>
                <w:sz w:val="20"/>
                <w:szCs w:val="20"/>
              </w:rPr>
              <w:t>NA</w:t>
            </w:r>
          </w:p>
        </w:tc>
        <w:tc>
          <w:tcPr>
            <w:tcW w:w="2139" w:type="dxa"/>
            <w:tcBorders>
              <w:top w:val="single" w:sz="6" w:space="0" w:color="auto"/>
              <w:left w:val="single" w:sz="6" w:space="0" w:color="auto"/>
              <w:bottom w:val="single" w:sz="6" w:space="0" w:color="auto"/>
              <w:right w:val="single" w:sz="6" w:space="0" w:color="auto"/>
            </w:tcBorders>
            <w:tcMar>
              <w:left w:w="86" w:type="dxa"/>
              <w:right w:w="86" w:type="dxa"/>
            </w:tcMar>
            <w:vAlign w:val="center"/>
          </w:tcPr>
          <w:p w14:paraId="18F9CC56" w14:textId="77777777" w:rsidR="006C3E10" w:rsidRPr="005D4222" w:rsidRDefault="006C3E10" w:rsidP="009D46FD">
            <w:pPr>
              <w:pStyle w:val="TableText"/>
              <w:widowControl w:val="0"/>
              <w:spacing w:before="40" w:after="40" w:line="240" w:lineRule="auto"/>
              <w:ind w:firstLine="882"/>
              <w:rPr>
                <w:rFonts w:ascii="Arial" w:hAnsi="Arial" w:cs="Arial"/>
                <w:sz w:val="20"/>
                <w:szCs w:val="20"/>
              </w:rPr>
            </w:pPr>
            <w:r w:rsidRPr="005D4222">
              <w:rPr>
                <w:rFonts w:ascii="Arial" w:hAnsi="Arial" w:cs="Arial"/>
                <w:sz w:val="20"/>
                <w:szCs w:val="20"/>
              </w:rPr>
              <w:t>Y</w:t>
            </w:r>
            <w:r w:rsidRPr="005D4222">
              <w:rPr>
                <w:rFonts w:ascii="Arial" w:hAnsi="Arial" w:cs="Arial"/>
                <w:sz w:val="20"/>
                <w:szCs w:val="20"/>
                <w:vertAlign w:val="superscript"/>
              </w:rPr>
              <w:t>2,5</w:t>
            </w:r>
          </w:p>
        </w:tc>
      </w:tr>
      <w:tr w:rsidR="006C3E10" w:rsidRPr="005D4222" w14:paraId="07371E10" w14:textId="77777777" w:rsidTr="009D46FD">
        <w:tc>
          <w:tcPr>
            <w:tcW w:w="3780" w:type="dxa"/>
            <w:tcBorders>
              <w:top w:val="single" w:sz="6" w:space="0" w:color="auto"/>
              <w:left w:val="single" w:sz="6" w:space="0" w:color="auto"/>
              <w:bottom w:val="single" w:sz="6" w:space="0" w:color="auto"/>
              <w:right w:val="single" w:sz="6" w:space="0" w:color="auto"/>
            </w:tcBorders>
            <w:tcMar>
              <w:left w:w="86" w:type="dxa"/>
              <w:right w:w="86" w:type="dxa"/>
            </w:tcMar>
          </w:tcPr>
          <w:p w14:paraId="03EB1437" w14:textId="77777777" w:rsidR="006C3E10" w:rsidRPr="005D4222" w:rsidRDefault="006C3E10" w:rsidP="009D46FD">
            <w:pPr>
              <w:pStyle w:val="TableText"/>
              <w:widowControl w:val="0"/>
              <w:spacing w:before="40" w:after="40" w:line="240" w:lineRule="auto"/>
              <w:rPr>
                <w:rFonts w:ascii="Arial" w:hAnsi="Arial" w:cs="Arial"/>
                <w:sz w:val="20"/>
                <w:szCs w:val="20"/>
              </w:rPr>
            </w:pPr>
            <w:r w:rsidRPr="005D4222">
              <w:rPr>
                <w:rFonts w:ascii="Arial" w:hAnsi="Arial" w:cs="Arial"/>
                <w:sz w:val="20"/>
                <w:szCs w:val="20"/>
              </w:rPr>
              <w:t>Care for Older Adults</w:t>
            </w:r>
          </w:p>
        </w:tc>
        <w:tc>
          <w:tcPr>
            <w:tcW w:w="1260" w:type="dxa"/>
            <w:tcBorders>
              <w:top w:val="single" w:sz="6" w:space="0" w:color="auto"/>
              <w:left w:val="single" w:sz="6" w:space="0" w:color="auto"/>
              <w:bottom w:val="single" w:sz="6" w:space="0" w:color="auto"/>
              <w:right w:val="single" w:sz="6" w:space="0" w:color="auto"/>
            </w:tcBorders>
            <w:tcMar>
              <w:left w:w="86" w:type="dxa"/>
              <w:right w:w="86" w:type="dxa"/>
            </w:tcMar>
            <w:vAlign w:val="center"/>
          </w:tcPr>
          <w:p w14:paraId="6C7321F9" w14:textId="77777777" w:rsidR="006C3E10" w:rsidRPr="005D4222" w:rsidRDefault="006C3E10" w:rsidP="009D46FD">
            <w:pPr>
              <w:pStyle w:val="TableText"/>
              <w:widowControl w:val="0"/>
              <w:spacing w:before="40" w:after="40" w:line="240" w:lineRule="auto"/>
              <w:jc w:val="center"/>
              <w:rPr>
                <w:rFonts w:ascii="Arial" w:hAnsi="Arial" w:cs="Arial"/>
                <w:sz w:val="20"/>
                <w:szCs w:val="20"/>
              </w:rPr>
            </w:pPr>
            <w:r w:rsidRPr="005D4222">
              <w:rPr>
                <w:rFonts w:ascii="Arial" w:hAnsi="Arial" w:cs="Arial"/>
                <w:sz w:val="20"/>
                <w:szCs w:val="20"/>
              </w:rPr>
              <w:t>NA</w:t>
            </w:r>
          </w:p>
        </w:tc>
        <w:tc>
          <w:tcPr>
            <w:tcW w:w="1350" w:type="dxa"/>
            <w:tcBorders>
              <w:top w:val="single" w:sz="6" w:space="0" w:color="auto"/>
              <w:left w:val="single" w:sz="6" w:space="0" w:color="auto"/>
              <w:bottom w:val="single" w:sz="6" w:space="0" w:color="auto"/>
              <w:right w:val="single" w:sz="6" w:space="0" w:color="auto"/>
            </w:tcBorders>
            <w:tcMar>
              <w:left w:w="86" w:type="dxa"/>
              <w:right w:w="86" w:type="dxa"/>
            </w:tcMar>
            <w:vAlign w:val="center"/>
          </w:tcPr>
          <w:p w14:paraId="17EB3CCE" w14:textId="77777777" w:rsidR="006C3E10" w:rsidRPr="005D4222" w:rsidRDefault="006C3E10" w:rsidP="009D46FD">
            <w:pPr>
              <w:pStyle w:val="TableText"/>
              <w:widowControl w:val="0"/>
              <w:spacing w:before="40" w:after="40" w:line="240" w:lineRule="auto"/>
              <w:jc w:val="center"/>
              <w:rPr>
                <w:rFonts w:ascii="Arial" w:hAnsi="Arial" w:cs="Arial"/>
                <w:sz w:val="20"/>
                <w:szCs w:val="20"/>
              </w:rPr>
            </w:pPr>
            <w:r w:rsidRPr="005D4222">
              <w:rPr>
                <w:rFonts w:ascii="Arial" w:hAnsi="Arial" w:cs="Arial"/>
                <w:sz w:val="20"/>
                <w:szCs w:val="20"/>
              </w:rPr>
              <w:t>NA</w:t>
            </w:r>
          </w:p>
        </w:tc>
        <w:tc>
          <w:tcPr>
            <w:tcW w:w="1191" w:type="dxa"/>
            <w:tcBorders>
              <w:top w:val="single" w:sz="6" w:space="0" w:color="auto"/>
              <w:left w:val="single" w:sz="6" w:space="0" w:color="auto"/>
              <w:bottom w:val="single" w:sz="6" w:space="0" w:color="auto"/>
              <w:right w:val="single" w:sz="6" w:space="0" w:color="auto"/>
            </w:tcBorders>
            <w:tcMar>
              <w:left w:w="86" w:type="dxa"/>
              <w:right w:w="86" w:type="dxa"/>
            </w:tcMar>
            <w:vAlign w:val="center"/>
          </w:tcPr>
          <w:p w14:paraId="36885B51" w14:textId="77777777" w:rsidR="006C3E10" w:rsidRPr="005D4222" w:rsidRDefault="006C3E10" w:rsidP="009D46FD">
            <w:pPr>
              <w:pStyle w:val="TableText"/>
              <w:widowControl w:val="0"/>
              <w:spacing w:before="40" w:after="40" w:line="240" w:lineRule="auto"/>
              <w:jc w:val="center"/>
              <w:rPr>
                <w:rFonts w:ascii="Arial" w:hAnsi="Arial" w:cs="Arial"/>
                <w:sz w:val="20"/>
                <w:szCs w:val="20"/>
              </w:rPr>
            </w:pPr>
            <w:r w:rsidRPr="005D4222">
              <w:rPr>
                <w:rFonts w:ascii="Arial" w:hAnsi="Arial" w:cs="Arial"/>
                <w:sz w:val="20"/>
                <w:szCs w:val="20"/>
              </w:rPr>
              <w:t>411</w:t>
            </w:r>
          </w:p>
        </w:tc>
        <w:tc>
          <w:tcPr>
            <w:tcW w:w="2139" w:type="dxa"/>
            <w:tcBorders>
              <w:top w:val="single" w:sz="6" w:space="0" w:color="auto"/>
              <w:left w:val="single" w:sz="6" w:space="0" w:color="auto"/>
              <w:bottom w:val="single" w:sz="6" w:space="0" w:color="auto"/>
              <w:right w:val="single" w:sz="6" w:space="0" w:color="auto"/>
            </w:tcBorders>
            <w:tcMar>
              <w:left w:w="86" w:type="dxa"/>
              <w:right w:w="86" w:type="dxa"/>
            </w:tcMar>
            <w:vAlign w:val="center"/>
          </w:tcPr>
          <w:p w14:paraId="2823F9E9" w14:textId="77777777" w:rsidR="006C3E10" w:rsidRPr="005D4222" w:rsidRDefault="006C3E10" w:rsidP="009D46FD">
            <w:pPr>
              <w:pStyle w:val="TableText"/>
              <w:widowControl w:val="0"/>
              <w:spacing w:before="40" w:after="40" w:line="240" w:lineRule="auto"/>
              <w:ind w:firstLine="882"/>
              <w:rPr>
                <w:rFonts w:ascii="Arial" w:hAnsi="Arial" w:cs="Arial"/>
                <w:sz w:val="20"/>
                <w:szCs w:val="20"/>
              </w:rPr>
            </w:pPr>
            <w:r w:rsidRPr="005D4222">
              <w:rPr>
                <w:rFonts w:ascii="Arial" w:hAnsi="Arial" w:cs="Arial"/>
                <w:sz w:val="20"/>
                <w:szCs w:val="20"/>
              </w:rPr>
              <w:t>Y</w:t>
            </w:r>
            <w:r w:rsidRPr="005D4222">
              <w:rPr>
                <w:rFonts w:ascii="Arial" w:hAnsi="Arial" w:cs="Arial"/>
                <w:sz w:val="20"/>
                <w:szCs w:val="20"/>
                <w:vertAlign w:val="superscript"/>
              </w:rPr>
              <w:t>2,5</w:t>
            </w:r>
          </w:p>
        </w:tc>
      </w:tr>
      <w:tr w:rsidR="006C3E10" w:rsidRPr="005D4222" w14:paraId="513A809B" w14:textId="77777777" w:rsidTr="009D46FD">
        <w:tc>
          <w:tcPr>
            <w:tcW w:w="3780" w:type="dxa"/>
            <w:tcBorders>
              <w:top w:val="single" w:sz="6" w:space="0" w:color="auto"/>
              <w:left w:val="single" w:sz="6" w:space="0" w:color="auto"/>
              <w:bottom w:val="single" w:sz="6" w:space="0" w:color="auto"/>
              <w:right w:val="single" w:sz="6" w:space="0" w:color="auto"/>
            </w:tcBorders>
            <w:tcMar>
              <w:left w:w="86" w:type="dxa"/>
              <w:right w:w="86" w:type="dxa"/>
            </w:tcMar>
          </w:tcPr>
          <w:p w14:paraId="68890B0D" w14:textId="77777777" w:rsidR="006C3E10" w:rsidRPr="005D4222" w:rsidRDefault="006C3E10" w:rsidP="009D46FD">
            <w:pPr>
              <w:pStyle w:val="TableText"/>
              <w:widowControl w:val="0"/>
              <w:spacing w:before="40" w:after="40" w:line="240" w:lineRule="auto"/>
              <w:rPr>
                <w:rFonts w:ascii="Arial" w:hAnsi="Arial" w:cs="Arial"/>
                <w:sz w:val="20"/>
                <w:szCs w:val="20"/>
                <w:highlight w:val="yellow"/>
              </w:rPr>
            </w:pPr>
            <w:r w:rsidRPr="005D4222">
              <w:rPr>
                <w:rFonts w:ascii="Arial" w:hAnsi="Arial" w:cs="Arial"/>
                <w:sz w:val="20"/>
                <w:szCs w:val="20"/>
              </w:rPr>
              <w:t>Controlling High Blood Pressure</w:t>
            </w:r>
          </w:p>
        </w:tc>
        <w:tc>
          <w:tcPr>
            <w:tcW w:w="1260" w:type="dxa"/>
            <w:tcBorders>
              <w:top w:val="single" w:sz="6" w:space="0" w:color="auto"/>
              <w:left w:val="single" w:sz="6" w:space="0" w:color="auto"/>
              <w:bottom w:val="single" w:sz="6" w:space="0" w:color="auto"/>
              <w:right w:val="single" w:sz="6" w:space="0" w:color="auto"/>
            </w:tcBorders>
            <w:tcMar>
              <w:left w:w="86" w:type="dxa"/>
              <w:right w:w="86" w:type="dxa"/>
            </w:tcMar>
            <w:vAlign w:val="center"/>
          </w:tcPr>
          <w:p w14:paraId="6C79D740" w14:textId="77777777" w:rsidR="006C3E10" w:rsidRPr="005D4222" w:rsidRDefault="006C3E10" w:rsidP="009D46FD">
            <w:pPr>
              <w:pStyle w:val="TableText"/>
              <w:widowControl w:val="0"/>
              <w:spacing w:before="40" w:after="40" w:line="240" w:lineRule="auto"/>
              <w:jc w:val="center"/>
              <w:rPr>
                <w:rFonts w:ascii="Arial" w:hAnsi="Arial" w:cs="Arial"/>
                <w:sz w:val="20"/>
                <w:szCs w:val="20"/>
              </w:rPr>
            </w:pPr>
            <w:r w:rsidRPr="005D4222">
              <w:rPr>
                <w:rFonts w:ascii="Arial" w:hAnsi="Arial" w:cs="Arial"/>
                <w:sz w:val="20"/>
                <w:szCs w:val="20"/>
              </w:rPr>
              <w:t>411</w:t>
            </w:r>
          </w:p>
        </w:tc>
        <w:tc>
          <w:tcPr>
            <w:tcW w:w="1350" w:type="dxa"/>
            <w:tcBorders>
              <w:top w:val="single" w:sz="6" w:space="0" w:color="auto"/>
              <w:left w:val="single" w:sz="6" w:space="0" w:color="auto"/>
              <w:bottom w:val="single" w:sz="6" w:space="0" w:color="auto"/>
              <w:right w:val="single" w:sz="6" w:space="0" w:color="auto"/>
            </w:tcBorders>
            <w:tcMar>
              <w:left w:w="86" w:type="dxa"/>
              <w:right w:w="86" w:type="dxa"/>
            </w:tcMar>
            <w:vAlign w:val="center"/>
          </w:tcPr>
          <w:p w14:paraId="194390D0" w14:textId="77777777" w:rsidR="006C3E10" w:rsidRPr="005D4222" w:rsidRDefault="006C3E10" w:rsidP="009D46FD">
            <w:pPr>
              <w:pStyle w:val="TableText"/>
              <w:widowControl w:val="0"/>
              <w:spacing w:before="40" w:after="40" w:line="240" w:lineRule="auto"/>
              <w:jc w:val="center"/>
              <w:rPr>
                <w:rFonts w:ascii="Arial" w:hAnsi="Arial" w:cs="Arial"/>
                <w:sz w:val="20"/>
                <w:szCs w:val="20"/>
              </w:rPr>
            </w:pPr>
            <w:r w:rsidRPr="005D4222">
              <w:rPr>
                <w:rFonts w:ascii="Arial" w:hAnsi="Arial" w:cs="Arial"/>
                <w:sz w:val="20"/>
                <w:szCs w:val="20"/>
              </w:rPr>
              <w:t>411</w:t>
            </w:r>
          </w:p>
        </w:tc>
        <w:tc>
          <w:tcPr>
            <w:tcW w:w="1191" w:type="dxa"/>
            <w:tcBorders>
              <w:top w:val="single" w:sz="6" w:space="0" w:color="auto"/>
              <w:left w:val="single" w:sz="6" w:space="0" w:color="auto"/>
              <w:bottom w:val="single" w:sz="6" w:space="0" w:color="auto"/>
              <w:right w:val="single" w:sz="6" w:space="0" w:color="auto"/>
            </w:tcBorders>
            <w:tcMar>
              <w:left w:w="86" w:type="dxa"/>
              <w:right w:w="86" w:type="dxa"/>
            </w:tcMar>
            <w:vAlign w:val="center"/>
          </w:tcPr>
          <w:p w14:paraId="50173807" w14:textId="77777777" w:rsidR="006C3E10" w:rsidRPr="005D4222" w:rsidRDefault="006C3E10" w:rsidP="009D46FD">
            <w:pPr>
              <w:pStyle w:val="TableText"/>
              <w:widowControl w:val="0"/>
              <w:spacing w:before="40" w:after="40" w:line="240" w:lineRule="auto"/>
              <w:jc w:val="center"/>
              <w:rPr>
                <w:rFonts w:ascii="Arial" w:hAnsi="Arial" w:cs="Arial"/>
                <w:sz w:val="20"/>
                <w:szCs w:val="20"/>
              </w:rPr>
            </w:pPr>
            <w:r w:rsidRPr="005D4222">
              <w:rPr>
                <w:rFonts w:ascii="Arial" w:hAnsi="Arial" w:cs="Arial"/>
                <w:sz w:val="20"/>
                <w:szCs w:val="20"/>
              </w:rPr>
              <w:t>411</w:t>
            </w:r>
          </w:p>
        </w:tc>
        <w:tc>
          <w:tcPr>
            <w:tcW w:w="2139" w:type="dxa"/>
            <w:tcBorders>
              <w:top w:val="single" w:sz="6" w:space="0" w:color="auto"/>
              <w:left w:val="single" w:sz="6" w:space="0" w:color="auto"/>
              <w:bottom w:val="single" w:sz="6" w:space="0" w:color="auto"/>
              <w:right w:val="single" w:sz="6" w:space="0" w:color="auto"/>
            </w:tcBorders>
            <w:tcMar>
              <w:left w:w="86" w:type="dxa"/>
              <w:right w:w="86" w:type="dxa"/>
            </w:tcMar>
            <w:vAlign w:val="center"/>
          </w:tcPr>
          <w:p w14:paraId="25CD54CA" w14:textId="77777777" w:rsidR="006C3E10" w:rsidRPr="005D4222" w:rsidRDefault="006C3E10" w:rsidP="009D46FD">
            <w:pPr>
              <w:pStyle w:val="TableText"/>
              <w:widowControl w:val="0"/>
              <w:spacing w:before="40" w:after="40" w:line="240" w:lineRule="auto"/>
              <w:ind w:firstLine="882"/>
              <w:rPr>
                <w:rFonts w:ascii="Arial" w:hAnsi="Arial" w:cs="Arial"/>
                <w:sz w:val="20"/>
                <w:szCs w:val="20"/>
              </w:rPr>
            </w:pPr>
            <w:r w:rsidRPr="005D4222">
              <w:rPr>
                <w:rFonts w:ascii="Arial" w:hAnsi="Arial" w:cs="Arial"/>
                <w:sz w:val="20"/>
                <w:szCs w:val="20"/>
              </w:rPr>
              <w:t>Y</w:t>
            </w:r>
            <w:r w:rsidRPr="005D4222">
              <w:rPr>
                <w:rFonts w:ascii="Arial" w:hAnsi="Arial" w:cs="Arial"/>
                <w:sz w:val="20"/>
                <w:szCs w:val="20"/>
                <w:vertAlign w:val="superscript"/>
              </w:rPr>
              <w:t>5</w:t>
            </w:r>
          </w:p>
        </w:tc>
      </w:tr>
      <w:tr w:rsidR="006C3E10" w:rsidRPr="005D4222" w14:paraId="58586166" w14:textId="77777777" w:rsidTr="009D46FD">
        <w:tc>
          <w:tcPr>
            <w:tcW w:w="3780" w:type="dxa"/>
            <w:tcBorders>
              <w:top w:val="single" w:sz="6" w:space="0" w:color="auto"/>
              <w:left w:val="single" w:sz="6" w:space="0" w:color="auto"/>
              <w:bottom w:val="single" w:sz="6" w:space="0" w:color="auto"/>
              <w:right w:val="single" w:sz="6" w:space="0" w:color="auto"/>
            </w:tcBorders>
            <w:tcMar>
              <w:left w:w="86" w:type="dxa"/>
              <w:right w:w="86" w:type="dxa"/>
            </w:tcMar>
          </w:tcPr>
          <w:p w14:paraId="4C648F21" w14:textId="77777777" w:rsidR="006C3E10" w:rsidRPr="005D4222" w:rsidRDefault="006C3E10" w:rsidP="009D46FD">
            <w:pPr>
              <w:pStyle w:val="TableText"/>
              <w:widowControl w:val="0"/>
              <w:spacing w:before="40" w:after="40" w:line="240" w:lineRule="auto"/>
              <w:rPr>
                <w:rFonts w:ascii="Arial" w:hAnsi="Arial" w:cs="Arial"/>
                <w:sz w:val="20"/>
                <w:szCs w:val="20"/>
                <w:highlight w:val="yellow"/>
              </w:rPr>
            </w:pPr>
            <w:r w:rsidRPr="005D4222">
              <w:rPr>
                <w:rFonts w:ascii="Arial" w:hAnsi="Arial" w:cs="Arial"/>
                <w:sz w:val="20"/>
                <w:szCs w:val="20"/>
              </w:rPr>
              <w:t>Glycemic Status Assessment for Patients With</w:t>
            </w:r>
            <w:r w:rsidRPr="005D4222" w:rsidDel="00012040">
              <w:rPr>
                <w:rFonts w:ascii="Arial" w:hAnsi="Arial" w:cs="Arial"/>
                <w:sz w:val="20"/>
                <w:szCs w:val="20"/>
              </w:rPr>
              <w:t xml:space="preserve"> Diabetes</w:t>
            </w:r>
          </w:p>
        </w:tc>
        <w:tc>
          <w:tcPr>
            <w:tcW w:w="1260" w:type="dxa"/>
            <w:tcBorders>
              <w:top w:val="single" w:sz="6" w:space="0" w:color="auto"/>
              <w:left w:val="single" w:sz="6" w:space="0" w:color="auto"/>
              <w:bottom w:val="single" w:sz="6" w:space="0" w:color="auto"/>
              <w:right w:val="single" w:sz="6" w:space="0" w:color="auto"/>
            </w:tcBorders>
            <w:tcMar>
              <w:left w:w="86" w:type="dxa"/>
              <w:right w:w="86" w:type="dxa"/>
            </w:tcMar>
            <w:vAlign w:val="center"/>
          </w:tcPr>
          <w:p w14:paraId="48D3B024" w14:textId="77777777" w:rsidR="006C3E10" w:rsidRPr="005D4222" w:rsidRDefault="006C3E10" w:rsidP="009D46FD">
            <w:pPr>
              <w:pStyle w:val="TableText"/>
              <w:widowControl w:val="0"/>
              <w:spacing w:before="40" w:after="40" w:line="240" w:lineRule="auto"/>
              <w:jc w:val="center"/>
              <w:rPr>
                <w:rFonts w:ascii="Arial" w:hAnsi="Arial" w:cs="Arial"/>
                <w:sz w:val="20"/>
                <w:szCs w:val="20"/>
              </w:rPr>
            </w:pPr>
            <w:r w:rsidRPr="005D4222">
              <w:rPr>
                <w:rFonts w:ascii="Arial" w:hAnsi="Arial" w:cs="Arial"/>
                <w:sz w:val="20"/>
                <w:szCs w:val="20"/>
              </w:rPr>
              <w:t>411</w:t>
            </w:r>
          </w:p>
        </w:tc>
        <w:tc>
          <w:tcPr>
            <w:tcW w:w="1350" w:type="dxa"/>
            <w:tcBorders>
              <w:top w:val="single" w:sz="6" w:space="0" w:color="auto"/>
              <w:left w:val="single" w:sz="6" w:space="0" w:color="auto"/>
              <w:bottom w:val="single" w:sz="6" w:space="0" w:color="auto"/>
              <w:right w:val="single" w:sz="6" w:space="0" w:color="auto"/>
            </w:tcBorders>
            <w:tcMar>
              <w:left w:w="86" w:type="dxa"/>
              <w:right w:w="86" w:type="dxa"/>
            </w:tcMar>
            <w:vAlign w:val="center"/>
          </w:tcPr>
          <w:p w14:paraId="7C193608" w14:textId="77777777" w:rsidR="006C3E10" w:rsidRPr="005D4222" w:rsidRDefault="006C3E10" w:rsidP="009D46FD">
            <w:pPr>
              <w:pStyle w:val="TableText"/>
              <w:widowControl w:val="0"/>
              <w:spacing w:before="40" w:after="40" w:line="240" w:lineRule="auto"/>
              <w:jc w:val="center"/>
              <w:rPr>
                <w:rFonts w:ascii="Arial" w:hAnsi="Arial" w:cs="Arial"/>
                <w:sz w:val="20"/>
                <w:szCs w:val="20"/>
              </w:rPr>
            </w:pPr>
            <w:r w:rsidRPr="005D4222">
              <w:rPr>
                <w:rFonts w:ascii="Arial" w:hAnsi="Arial" w:cs="Arial"/>
                <w:sz w:val="20"/>
                <w:szCs w:val="20"/>
              </w:rPr>
              <w:t>411</w:t>
            </w:r>
          </w:p>
        </w:tc>
        <w:tc>
          <w:tcPr>
            <w:tcW w:w="1191" w:type="dxa"/>
            <w:tcBorders>
              <w:top w:val="single" w:sz="6" w:space="0" w:color="auto"/>
              <w:left w:val="single" w:sz="6" w:space="0" w:color="auto"/>
              <w:bottom w:val="single" w:sz="6" w:space="0" w:color="auto"/>
              <w:right w:val="single" w:sz="6" w:space="0" w:color="auto"/>
            </w:tcBorders>
            <w:tcMar>
              <w:left w:w="86" w:type="dxa"/>
              <w:right w:w="86" w:type="dxa"/>
            </w:tcMar>
            <w:vAlign w:val="center"/>
          </w:tcPr>
          <w:p w14:paraId="6E3AD2C1" w14:textId="77777777" w:rsidR="006C3E10" w:rsidRPr="005D4222" w:rsidRDefault="006C3E10" w:rsidP="009D46FD">
            <w:pPr>
              <w:pStyle w:val="TableText"/>
              <w:widowControl w:val="0"/>
              <w:spacing w:before="40" w:after="40" w:line="240" w:lineRule="auto"/>
              <w:jc w:val="center"/>
              <w:rPr>
                <w:rFonts w:ascii="Arial" w:hAnsi="Arial" w:cs="Arial"/>
                <w:sz w:val="20"/>
                <w:szCs w:val="20"/>
              </w:rPr>
            </w:pPr>
            <w:r w:rsidRPr="005D4222">
              <w:rPr>
                <w:rFonts w:ascii="Arial" w:hAnsi="Arial" w:cs="Arial"/>
                <w:sz w:val="20"/>
                <w:szCs w:val="20"/>
              </w:rPr>
              <w:t>411</w:t>
            </w:r>
          </w:p>
        </w:tc>
        <w:tc>
          <w:tcPr>
            <w:tcW w:w="2139" w:type="dxa"/>
            <w:tcBorders>
              <w:top w:val="single" w:sz="6" w:space="0" w:color="auto"/>
              <w:left w:val="single" w:sz="6" w:space="0" w:color="auto"/>
              <w:bottom w:val="single" w:sz="6" w:space="0" w:color="auto"/>
              <w:right w:val="single" w:sz="6" w:space="0" w:color="auto"/>
            </w:tcBorders>
            <w:tcMar>
              <w:left w:w="86" w:type="dxa"/>
              <w:right w:w="86" w:type="dxa"/>
            </w:tcMar>
            <w:vAlign w:val="center"/>
          </w:tcPr>
          <w:p w14:paraId="61B42E12" w14:textId="77777777" w:rsidR="006C3E10" w:rsidRPr="005D4222" w:rsidRDefault="006C3E10" w:rsidP="009D46FD">
            <w:pPr>
              <w:pStyle w:val="TableText"/>
              <w:widowControl w:val="0"/>
              <w:spacing w:before="40" w:after="40" w:line="240" w:lineRule="auto"/>
              <w:ind w:firstLine="882"/>
              <w:rPr>
                <w:rFonts w:ascii="Arial" w:hAnsi="Arial" w:cs="Arial"/>
                <w:sz w:val="20"/>
                <w:szCs w:val="20"/>
              </w:rPr>
            </w:pPr>
            <w:r w:rsidRPr="005D4222">
              <w:rPr>
                <w:rFonts w:ascii="Arial" w:hAnsi="Arial" w:cs="Arial"/>
                <w:sz w:val="20"/>
                <w:szCs w:val="20"/>
              </w:rPr>
              <w:t>Y</w:t>
            </w:r>
            <w:r w:rsidRPr="005D4222">
              <w:rPr>
                <w:rFonts w:ascii="Arial" w:hAnsi="Arial" w:cs="Arial"/>
                <w:sz w:val="20"/>
                <w:szCs w:val="20"/>
                <w:vertAlign w:val="superscript"/>
              </w:rPr>
              <w:t>3,5</w:t>
            </w:r>
          </w:p>
        </w:tc>
      </w:tr>
      <w:tr w:rsidR="006C3E10" w:rsidRPr="005D4222" w14:paraId="565413AA" w14:textId="77777777" w:rsidTr="009D46FD">
        <w:tc>
          <w:tcPr>
            <w:tcW w:w="3780" w:type="dxa"/>
            <w:tcBorders>
              <w:top w:val="single" w:sz="6" w:space="0" w:color="auto"/>
              <w:left w:val="single" w:sz="6" w:space="0" w:color="auto"/>
              <w:bottom w:val="single" w:sz="6" w:space="0" w:color="auto"/>
              <w:right w:val="single" w:sz="6" w:space="0" w:color="auto"/>
            </w:tcBorders>
            <w:tcMar>
              <w:left w:w="86" w:type="dxa"/>
              <w:right w:w="86" w:type="dxa"/>
            </w:tcMar>
          </w:tcPr>
          <w:p w14:paraId="519D5F5E" w14:textId="77777777" w:rsidR="006C3E10" w:rsidRPr="005D4222" w:rsidRDefault="006C3E10" w:rsidP="009D46FD">
            <w:pPr>
              <w:pStyle w:val="TableText"/>
              <w:widowControl w:val="0"/>
              <w:spacing w:before="40" w:after="40" w:line="240" w:lineRule="auto"/>
              <w:rPr>
                <w:rFonts w:ascii="Arial" w:hAnsi="Arial" w:cs="Arial"/>
                <w:sz w:val="20"/>
                <w:szCs w:val="20"/>
              </w:rPr>
            </w:pPr>
            <w:r w:rsidRPr="005D4222">
              <w:rPr>
                <w:rFonts w:ascii="Arial" w:hAnsi="Arial" w:cs="Arial"/>
                <w:sz w:val="20"/>
                <w:szCs w:val="20"/>
              </w:rPr>
              <w:t>Blood Pressure Control for Patients With Diabetes</w:t>
            </w:r>
          </w:p>
        </w:tc>
        <w:tc>
          <w:tcPr>
            <w:tcW w:w="1260" w:type="dxa"/>
            <w:tcBorders>
              <w:top w:val="single" w:sz="6" w:space="0" w:color="auto"/>
              <w:left w:val="single" w:sz="6" w:space="0" w:color="auto"/>
              <w:bottom w:val="single" w:sz="6" w:space="0" w:color="auto"/>
              <w:right w:val="single" w:sz="6" w:space="0" w:color="auto"/>
            </w:tcBorders>
            <w:tcMar>
              <w:left w:w="86" w:type="dxa"/>
              <w:right w:w="86" w:type="dxa"/>
            </w:tcMar>
            <w:vAlign w:val="center"/>
          </w:tcPr>
          <w:p w14:paraId="1D6086C5" w14:textId="77777777" w:rsidR="006C3E10" w:rsidRPr="005D4222" w:rsidRDefault="006C3E10" w:rsidP="009D46FD">
            <w:pPr>
              <w:pStyle w:val="TableText"/>
              <w:widowControl w:val="0"/>
              <w:spacing w:before="40" w:after="40" w:line="240" w:lineRule="auto"/>
              <w:jc w:val="center"/>
              <w:rPr>
                <w:rFonts w:ascii="Arial" w:hAnsi="Arial" w:cs="Arial"/>
                <w:sz w:val="20"/>
                <w:szCs w:val="20"/>
              </w:rPr>
            </w:pPr>
            <w:r w:rsidRPr="005D4222">
              <w:rPr>
                <w:rFonts w:ascii="Arial" w:hAnsi="Arial" w:cs="Arial"/>
                <w:sz w:val="20"/>
                <w:szCs w:val="20"/>
              </w:rPr>
              <w:t>411</w:t>
            </w:r>
          </w:p>
        </w:tc>
        <w:tc>
          <w:tcPr>
            <w:tcW w:w="1350" w:type="dxa"/>
            <w:tcBorders>
              <w:top w:val="single" w:sz="6" w:space="0" w:color="auto"/>
              <w:left w:val="single" w:sz="6" w:space="0" w:color="auto"/>
              <w:bottom w:val="single" w:sz="6" w:space="0" w:color="auto"/>
              <w:right w:val="single" w:sz="6" w:space="0" w:color="auto"/>
            </w:tcBorders>
            <w:tcMar>
              <w:left w:w="86" w:type="dxa"/>
              <w:right w:w="86" w:type="dxa"/>
            </w:tcMar>
            <w:vAlign w:val="center"/>
          </w:tcPr>
          <w:p w14:paraId="1B1F0371" w14:textId="77777777" w:rsidR="006C3E10" w:rsidRPr="005D4222" w:rsidRDefault="006C3E10" w:rsidP="009D46FD">
            <w:pPr>
              <w:pStyle w:val="TableText"/>
              <w:widowControl w:val="0"/>
              <w:spacing w:before="40" w:after="40" w:line="240" w:lineRule="auto"/>
              <w:jc w:val="center"/>
              <w:rPr>
                <w:rFonts w:ascii="Arial" w:hAnsi="Arial" w:cs="Arial"/>
                <w:sz w:val="20"/>
                <w:szCs w:val="20"/>
              </w:rPr>
            </w:pPr>
            <w:r w:rsidRPr="005D4222">
              <w:rPr>
                <w:rFonts w:ascii="Arial" w:hAnsi="Arial" w:cs="Arial"/>
                <w:sz w:val="20"/>
                <w:szCs w:val="20"/>
              </w:rPr>
              <w:t>411</w:t>
            </w:r>
          </w:p>
        </w:tc>
        <w:tc>
          <w:tcPr>
            <w:tcW w:w="1191" w:type="dxa"/>
            <w:tcBorders>
              <w:top w:val="single" w:sz="6" w:space="0" w:color="auto"/>
              <w:left w:val="single" w:sz="6" w:space="0" w:color="auto"/>
              <w:bottom w:val="single" w:sz="6" w:space="0" w:color="auto"/>
              <w:right w:val="single" w:sz="6" w:space="0" w:color="auto"/>
            </w:tcBorders>
            <w:tcMar>
              <w:left w:w="86" w:type="dxa"/>
              <w:right w:w="86" w:type="dxa"/>
            </w:tcMar>
            <w:vAlign w:val="center"/>
          </w:tcPr>
          <w:p w14:paraId="0FD3D1A8" w14:textId="77777777" w:rsidR="006C3E10" w:rsidRPr="005D4222" w:rsidRDefault="006C3E10" w:rsidP="009D46FD">
            <w:pPr>
              <w:pStyle w:val="TableText"/>
              <w:widowControl w:val="0"/>
              <w:spacing w:before="40" w:after="40" w:line="240" w:lineRule="auto"/>
              <w:jc w:val="center"/>
              <w:rPr>
                <w:rFonts w:ascii="Arial" w:hAnsi="Arial" w:cs="Arial"/>
                <w:sz w:val="20"/>
                <w:szCs w:val="20"/>
              </w:rPr>
            </w:pPr>
            <w:r w:rsidRPr="005D4222">
              <w:rPr>
                <w:rFonts w:ascii="Arial" w:hAnsi="Arial" w:cs="Arial"/>
                <w:sz w:val="20"/>
                <w:szCs w:val="20"/>
              </w:rPr>
              <w:t>411</w:t>
            </w:r>
          </w:p>
        </w:tc>
        <w:tc>
          <w:tcPr>
            <w:tcW w:w="2139" w:type="dxa"/>
            <w:tcBorders>
              <w:top w:val="single" w:sz="6" w:space="0" w:color="auto"/>
              <w:left w:val="single" w:sz="6" w:space="0" w:color="auto"/>
              <w:bottom w:val="single" w:sz="6" w:space="0" w:color="auto"/>
              <w:right w:val="single" w:sz="6" w:space="0" w:color="auto"/>
            </w:tcBorders>
            <w:tcMar>
              <w:left w:w="86" w:type="dxa"/>
              <w:right w:w="86" w:type="dxa"/>
            </w:tcMar>
            <w:vAlign w:val="center"/>
          </w:tcPr>
          <w:p w14:paraId="4C1ED812" w14:textId="77777777" w:rsidR="006C3E10" w:rsidRPr="005D4222" w:rsidRDefault="006C3E10" w:rsidP="009D46FD">
            <w:pPr>
              <w:pStyle w:val="TableText"/>
              <w:widowControl w:val="0"/>
              <w:spacing w:before="40" w:after="40" w:line="240" w:lineRule="auto"/>
              <w:ind w:firstLine="882"/>
              <w:rPr>
                <w:rFonts w:ascii="Arial" w:hAnsi="Arial" w:cs="Arial"/>
                <w:sz w:val="20"/>
                <w:szCs w:val="20"/>
              </w:rPr>
            </w:pPr>
            <w:r w:rsidRPr="005D4222">
              <w:rPr>
                <w:rFonts w:ascii="Arial" w:hAnsi="Arial" w:cs="Arial"/>
                <w:sz w:val="20"/>
                <w:szCs w:val="20"/>
              </w:rPr>
              <w:t>Y</w:t>
            </w:r>
            <w:r w:rsidRPr="005D4222">
              <w:rPr>
                <w:rFonts w:ascii="Arial" w:hAnsi="Arial" w:cs="Arial"/>
                <w:sz w:val="20"/>
                <w:szCs w:val="20"/>
                <w:vertAlign w:val="superscript"/>
              </w:rPr>
              <w:t>3</w:t>
            </w:r>
          </w:p>
        </w:tc>
      </w:tr>
      <w:tr w:rsidR="006C3E10" w:rsidRPr="005D4222" w14:paraId="07D0B56F" w14:textId="77777777" w:rsidTr="009D46FD">
        <w:tc>
          <w:tcPr>
            <w:tcW w:w="3780" w:type="dxa"/>
            <w:tcBorders>
              <w:top w:val="single" w:sz="6" w:space="0" w:color="auto"/>
              <w:left w:val="single" w:sz="6" w:space="0" w:color="auto"/>
              <w:bottom w:val="single" w:sz="6" w:space="0" w:color="auto"/>
              <w:right w:val="single" w:sz="6" w:space="0" w:color="auto"/>
            </w:tcBorders>
            <w:tcMar>
              <w:left w:w="86" w:type="dxa"/>
              <w:right w:w="86" w:type="dxa"/>
            </w:tcMar>
          </w:tcPr>
          <w:p w14:paraId="72833486" w14:textId="77777777" w:rsidR="006C3E10" w:rsidRPr="005D4222" w:rsidRDefault="006C3E10" w:rsidP="009D46FD">
            <w:pPr>
              <w:pStyle w:val="TableText"/>
              <w:widowControl w:val="0"/>
              <w:spacing w:before="40" w:after="40" w:line="240" w:lineRule="auto"/>
              <w:rPr>
                <w:rFonts w:ascii="Arial" w:hAnsi="Arial" w:cs="Arial"/>
                <w:sz w:val="20"/>
                <w:szCs w:val="20"/>
              </w:rPr>
            </w:pPr>
            <w:r w:rsidRPr="005D4222">
              <w:rPr>
                <w:rFonts w:ascii="Arial" w:hAnsi="Arial" w:cs="Arial"/>
                <w:sz w:val="20"/>
                <w:szCs w:val="20"/>
              </w:rPr>
              <w:t>Transitions of Care</w:t>
            </w:r>
          </w:p>
        </w:tc>
        <w:tc>
          <w:tcPr>
            <w:tcW w:w="1260" w:type="dxa"/>
            <w:tcBorders>
              <w:top w:val="single" w:sz="6" w:space="0" w:color="auto"/>
              <w:left w:val="single" w:sz="6" w:space="0" w:color="auto"/>
              <w:bottom w:val="single" w:sz="6" w:space="0" w:color="auto"/>
              <w:right w:val="single" w:sz="6" w:space="0" w:color="auto"/>
            </w:tcBorders>
            <w:tcMar>
              <w:left w:w="86" w:type="dxa"/>
              <w:right w:w="86" w:type="dxa"/>
            </w:tcMar>
            <w:vAlign w:val="center"/>
          </w:tcPr>
          <w:p w14:paraId="2E82FBBB" w14:textId="77777777" w:rsidR="006C3E10" w:rsidRPr="005D4222" w:rsidRDefault="006C3E10" w:rsidP="009D46FD">
            <w:pPr>
              <w:pStyle w:val="TableText"/>
              <w:widowControl w:val="0"/>
              <w:spacing w:before="40" w:after="40" w:line="240" w:lineRule="auto"/>
              <w:jc w:val="center"/>
              <w:rPr>
                <w:rFonts w:ascii="Arial" w:hAnsi="Arial" w:cs="Arial"/>
                <w:sz w:val="20"/>
                <w:szCs w:val="20"/>
              </w:rPr>
            </w:pPr>
            <w:r w:rsidRPr="005D4222">
              <w:rPr>
                <w:rFonts w:ascii="Arial" w:hAnsi="Arial" w:cs="Arial"/>
                <w:sz w:val="20"/>
                <w:szCs w:val="20"/>
              </w:rPr>
              <w:t>NA</w:t>
            </w:r>
          </w:p>
        </w:tc>
        <w:tc>
          <w:tcPr>
            <w:tcW w:w="1350" w:type="dxa"/>
            <w:tcBorders>
              <w:top w:val="single" w:sz="6" w:space="0" w:color="auto"/>
              <w:left w:val="single" w:sz="6" w:space="0" w:color="auto"/>
              <w:bottom w:val="single" w:sz="6" w:space="0" w:color="auto"/>
              <w:right w:val="single" w:sz="6" w:space="0" w:color="auto"/>
            </w:tcBorders>
            <w:tcMar>
              <w:left w:w="86" w:type="dxa"/>
              <w:right w:w="86" w:type="dxa"/>
            </w:tcMar>
            <w:vAlign w:val="center"/>
          </w:tcPr>
          <w:p w14:paraId="720002EE" w14:textId="77777777" w:rsidR="006C3E10" w:rsidRPr="005D4222" w:rsidRDefault="006C3E10" w:rsidP="009D46FD">
            <w:pPr>
              <w:pStyle w:val="TableText"/>
              <w:widowControl w:val="0"/>
              <w:spacing w:before="40" w:after="40" w:line="240" w:lineRule="auto"/>
              <w:jc w:val="center"/>
              <w:rPr>
                <w:rFonts w:ascii="Arial" w:hAnsi="Arial" w:cs="Arial"/>
                <w:sz w:val="20"/>
                <w:szCs w:val="20"/>
              </w:rPr>
            </w:pPr>
            <w:r w:rsidRPr="005D4222">
              <w:rPr>
                <w:rFonts w:ascii="Arial" w:hAnsi="Arial" w:cs="Arial"/>
                <w:sz w:val="20"/>
                <w:szCs w:val="20"/>
              </w:rPr>
              <w:t>NA</w:t>
            </w:r>
          </w:p>
        </w:tc>
        <w:tc>
          <w:tcPr>
            <w:tcW w:w="1191" w:type="dxa"/>
            <w:tcBorders>
              <w:top w:val="single" w:sz="6" w:space="0" w:color="auto"/>
              <w:left w:val="single" w:sz="6" w:space="0" w:color="auto"/>
              <w:bottom w:val="single" w:sz="6" w:space="0" w:color="auto"/>
              <w:right w:val="single" w:sz="6" w:space="0" w:color="auto"/>
            </w:tcBorders>
            <w:tcMar>
              <w:left w:w="86" w:type="dxa"/>
              <w:right w:w="86" w:type="dxa"/>
            </w:tcMar>
            <w:vAlign w:val="center"/>
          </w:tcPr>
          <w:p w14:paraId="057D680A" w14:textId="77777777" w:rsidR="006C3E10" w:rsidRPr="005D4222" w:rsidRDefault="006C3E10" w:rsidP="009D46FD">
            <w:pPr>
              <w:pStyle w:val="TableText"/>
              <w:widowControl w:val="0"/>
              <w:spacing w:before="40" w:after="40" w:line="240" w:lineRule="auto"/>
              <w:jc w:val="center"/>
              <w:rPr>
                <w:rFonts w:ascii="Arial" w:hAnsi="Arial" w:cs="Arial"/>
                <w:sz w:val="20"/>
                <w:szCs w:val="20"/>
              </w:rPr>
            </w:pPr>
            <w:r w:rsidRPr="005D4222">
              <w:rPr>
                <w:rFonts w:ascii="Arial" w:hAnsi="Arial" w:cs="Arial"/>
                <w:sz w:val="20"/>
                <w:szCs w:val="20"/>
              </w:rPr>
              <w:t>411</w:t>
            </w:r>
          </w:p>
        </w:tc>
        <w:tc>
          <w:tcPr>
            <w:tcW w:w="2139" w:type="dxa"/>
            <w:tcBorders>
              <w:top w:val="single" w:sz="6" w:space="0" w:color="auto"/>
              <w:left w:val="single" w:sz="6" w:space="0" w:color="auto"/>
              <w:bottom w:val="single" w:sz="6" w:space="0" w:color="auto"/>
              <w:right w:val="single" w:sz="6" w:space="0" w:color="auto"/>
            </w:tcBorders>
            <w:tcMar>
              <w:left w:w="86" w:type="dxa"/>
              <w:right w:w="86" w:type="dxa"/>
            </w:tcMar>
            <w:vAlign w:val="center"/>
          </w:tcPr>
          <w:p w14:paraId="370CF99C" w14:textId="77777777" w:rsidR="006C3E10" w:rsidRPr="005D4222" w:rsidRDefault="006C3E10" w:rsidP="009D46FD">
            <w:pPr>
              <w:pStyle w:val="TableText"/>
              <w:widowControl w:val="0"/>
              <w:spacing w:before="40" w:after="40" w:line="240" w:lineRule="auto"/>
              <w:ind w:firstLine="882"/>
              <w:rPr>
                <w:rFonts w:ascii="Arial" w:hAnsi="Arial" w:cs="Arial"/>
                <w:sz w:val="20"/>
                <w:szCs w:val="20"/>
              </w:rPr>
            </w:pPr>
            <w:r w:rsidRPr="005D4222">
              <w:rPr>
                <w:rFonts w:ascii="Arial" w:hAnsi="Arial" w:cs="Arial"/>
                <w:sz w:val="20"/>
                <w:szCs w:val="20"/>
              </w:rPr>
              <w:t>Y</w:t>
            </w:r>
            <w:r w:rsidRPr="005D4222">
              <w:rPr>
                <w:rFonts w:ascii="Arial" w:hAnsi="Arial" w:cs="Arial"/>
                <w:sz w:val="20"/>
                <w:szCs w:val="20"/>
                <w:vertAlign w:val="superscript"/>
              </w:rPr>
              <w:t>4,5</w:t>
            </w:r>
          </w:p>
        </w:tc>
      </w:tr>
      <w:tr w:rsidR="006C3E10" w:rsidRPr="005D4222" w14:paraId="13B9BF18" w14:textId="77777777" w:rsidTr="009F6641">
        <w:tc>
          <w:tcPr>
            <w:tcW w:w="9720" w:type="dxa"/>
            <w:gridSpan w:val="5"/>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86" w:type="dxa"/>
              <w:right w:w="86" w:type="dxa"/>
            </w:tcMar>
          </w:tcPr>
          <w:p w14:paraId="6CCD1C0B" w14:textId="77777777" w:rsidR="006C3E10" w:rsidRPr="005D4222" w:rsidRDefault="006C3E10" w:rsidP="009D46FD">
            <w:pPr>
              <w:pStyle w:val="TableText"/>
              <w:widowControl w:val="0"/>
              <w:spacing w:before="40" w:after="40" w:line="240" w:lineRule="auto"/>
              <w:rPr>
                <w:rFonts w:ascii="Arial" w:hAnsi="Arial" w:cs="Arial"/>
                <w:b/>
                <w:sz w:val="20"/>
                <w:szCs w:val="20"/>
              </w:rPr>
            </w:pPr>
            <w:r w:rsidRPr="005D4222">
              <w:rPr>
                <w:rFonts w:ascii="Arial" w:hAnsi="Arial" w:cs="Arial"/>
                <w:b/>
                <w:sz w:val="20"/>
                <w:szCs w:val="20"/>
              </w:rPr>
              <w:t>Access/Availability of Care</w:t>
            </w:r>
          </w:p>
        </w:tc>
      </w:tr>
      <w:tr w:rsidR="006C3E10" w:rsidRPr="005D4222" w14:paraId="40DC01BB" w14:textId="77777777" w:rsidTr="009D46FD">
        <w:tc>
          <w:tcPr>
            <w:tcW w:w="3780" w:type="dxa"/>
            <w:tcBorders>
              <w:top w:val="single" w:sz="6" w:space="0" w:color="auto"/>
              <w:left w:val="single" w:sz="6" w:space="0" w:color="auto"/>
              <w:bottom w:val="single" w:sz="6" w:space="0" w:color="auto"/>
              <w:right w:val="single" w:sz="6" w:space="0" w:color="auto"/>
            </w:tcBorders>
            <w:tcMar>
              <w:left w:w="86" w:type="dxa"/>
              <w:right w:w="86" w:type="dxa"/>
            </w:tcMar>
          </w:tcPr>
          <w:p w14:paraId="57E4C12D" w14:textId="77777777" w:rsidR="006C3E10" w:rsidRPr="005D4222" w:rsidRDefault="006C3E10" w:rsidP="009D46FD">
            <w:pPr>
              <w:pStyle w:val="TableText"/>
              <w:widowControl w:val="0"/>
              <w:spacing w:before="40" w:after="40" w:line="240" w:lineRule="auto"/>
              <w:rPr>
                <w:rFonts w:ascii="Arial" w:hAnsi="Arial" w:cs="Arial"/>
                <w:sz w:val="20"/>
                <w:szCs w:val="20"/>
              </w:rPr>
            </w:pPr>
            <w:r w:rsidRPr="005D4222">
              <w:rPr>
                <w:rFonts w:ascii="Arial" w:hAnsi="Arial" w:cs="Arial"/>
                <w:sz w:val="20"/>
                <w:szCs w:val="20"/>
              </w:rPr>
              <w:t>Prenatal and Postpartum Care</w:t>
            </w:r>
          </w:p>
        </w:tc>
        <w:tc>
          <w:tcPr>
            <w:tcW w:w="1260" w:type="dxa"/>
            <w:tcBorders>
              <w:top w:val="single" w:sz="6" w:space="0" w:color="auto"/>
              <w:left w:val="single" w:sz="6" w:space="0" w:color="auto"/>
              <w:bottom w:val="single" w:sz="6" w:space="0" w:color="auto"/>
              <w:right w:val="single" w:sz="6" w:space="0" w:color="auto"/>
            </w:tcBorders>
            <w:tcMar>
              <w:left w:w="86" w:type="dxa"/>
              <w:right w:w="86" w:type="dxa"/>
            </w:tcMar>
          </w:tcPr>
          <w:p w14:paraId="7DD3C3CB" w14:textId="77777777" w:rsidR="006C3E10" w:rsidRPr="005D4222" w:rsidRDefault="006C3E10" w:rsidP="009D46FD">
            <w:pPr>
              <w:pStyle w:val="TableText"/>
              <w:widowControl w:val="0"/>
              <w:spacing w:before="40" w:after="40" w:line="240" w:lineRule="auto"/>
              <w:jc w:val="center"/>
              <w:rPr>
                <w:rFonts w:ascii="Arial" w:hAnsi="Arial" w:cs="Arial"/>
                <w:sz w:val="20"/>
                <w:szCs w:val="20"/>
              </w:rPr>
            </w:pPr>
            <w:r w:rsidRPr="005D4222">
              <w:rPr>
                <w:rFonts w:ascii="Arial" w:hAnsi="Arial" w:cs="Arial"/>
                <w:sz w:val="20"/>
                <w:szCs w:val="20"/>
              </w:rPr>
              <w:t>411</w:t>
            </w:r>
          </w:p>
        </w:tc>
        <w:tc>
          <w:tcPr>
            <w:tcW w:w="1350" w:type="dxa"/>
            <w:tcBorders>
              <w:top w:val="single" w:sz="6" w:space="0" w:color="auto"/>
              <w:left w:val="single" w:sz="6" w:space="0" w:color="auto"/>
              <w:bottom w:val="single" w:sz="6" w:space="0" w:color="auto"/>
              <w:right w:val="single" w:sz="6" w:space="0" w:color="auto"/>
            </w:tcBorders>
            <w:tcMar>
              <w:left w:w="86" w:type="dxa"/>
              <w:right w:w="86" w:type="dxa"/>
            </w:tcMar>
          </w:tcPr>
          <w:p w14:paraId="400B4AE4" w14:textId="77777777" w:rsidR="006C3E10" w:rsidRPr="005D4222" w:rsidRDefault="006C3E10" w:rsidP="009D46FD">
            <w:pPr>
              <w:pStyle w:val="TableText"/>
              <w:widowControl w:val="0"/>
              <w:spacing w:before="40" w:after="40" w:line="240" w:lineRule="auto"/>
              <w:jc w:val="center"/>
              <w:rPr>
                <w:rFonts w:ascii="Arial" w:hAnsi="Arial" w:cs="Arial"/>
                <w:sz w:val="20"/>
                <w:szCs w:val="20"/>
              </w:rPr>
            </w:pPr>
            <w:r w:rsidRPr="005D4222">
              <w:rPr>
                <w:rFonts w:ascii="Arial" w:hAnsi="Arial" w:cs="Arial"/>
                <w:sz w:val="20"/>
                <w:szCs w:val="20"/>
              </w:rPr>
              <w:t>411</w:t>
            </w:r>
          </w:p>
        </w:tc>
        <w:tc>
          <w:tcPr>
            <w:tcW w:w="1191" w:type="dxa"/>
            <w:tcBorders>
              <w:top w:val="single" w:sz="6" w:space="0" w:color="auto"/>
              <w:left w:val="single" w:sz="6" w:space="0" w:color="auto"/>
              <w:bottom w:val="single" w:sz="6" w:space="0" w:color="auto"/>
              <w:right w:val="single" w:sz="6" w:space="0" w:color="auto"/>
            </w:tcBorders>
            <w:tcMar>
              <w:left w:w="86" w:type="dxa"/>
              <w:right w:w="86" w:type="dxa"/>
            </w:tcMar>
          </w:tcPr>
          <w:p w14:paraId="0C44E852" w14:textId="77777777" w:rsidR="006C3E10" w:rsidRPr="005D4222" w:rsidRDefault="006C3E10" w:rsidP="009D46FD">
            <w:pPr>
              <w:pStyle w:val="TableText"/>
              <w:widowControl w:val="0"/>
              <w:spacing w:before="40" w:after="40" w:line="240" w:lineRule="auto"/>
              <w:jc w:val="center"/>
              <w:rPr>
                <w:rFonts w:ascii="Arial" w:hAnsi="Arial" w:cs="Arial"/>
                <w:sz w:val="20"/>
                <w:szCs w:val="20"/>
              </w:rPr>
            </w:pPr>
            <w:r w:rsidRPr="005D4222">
              <w:rPr>
                <w:rFonts w:ascii="Arial" w:hAnsi="Arial" w:cs="Arial"/>
                <w:sz w:val="20"/>
                <w:szCs w:val="20"/>
              </w:rPr>
              <w:t>NA</w:t>
            </w:r>
          </w:p>
        </w:tc>
        <w:tc>
          <w:tcPr>
            <w:tcW w:w="2139" w:type="dxa"/>
            <w:tcBorders>
              <w:top w:val="single" w:sz="6" w:space="0" w:color="auto"/>
              <w:left w:val="single" w:sz="6" w:space="0" w:color="auto"/>
              <w:bottom w:val="single" w:sz="6" w:space="0" w:color="auto"/>
              <w:right w:val="single" w:sz="6" w:space="0" w:color="auto"/>
            </w:tcBorders>
            <w:tcMar>
              <w:left w:w="86" w:type="dxa"/>
              <w:right w:w="86" w:type="dxa"/>
            </w:tcMar>
          </w:tcPr>
          <w:p w14:paraId="4A913CF3" w14:textId="77777777" w:rsidR="006C3E10" w:rsidRPr="005D4222" w:rsidRDefault="006C3E10" w:rsidP="009D46FD">
            <w:pPr>
              <w:pStyle w:val="TableText"/>
              <w:widowControl w:val="0"/>
              <w:spacing w:before="40" w:after="40" w:line="240" w:lineRule="auto"/>
              <w:ind w:firstLine="882"/>
              <w:rPr>
                <w:rFonts w:ascii="Arial" w:hAnsi="Arial" w:cs="Arial"/>
                <w:sz w:val="20"/>
                <w:szCs w:val="20"/>
              </w:rPr>
            </w:pPr>
            <w:r w:rsidRPr="005D4222">
              <w:rPr>
                <w:rFonts w:ascii="Arial" w:hAnsi="Arial" w:cs="Arial"/>
                <w:sz w:val="20"/>
                <w:szCs w:val="20"/>
              </w:rPr>
              <w:t>Y</w:t>
            </w:r>
            <w:r w:rsidRPr="005D4222">
              <w:rPr>
                <w:rFonts w:ascii="Arial" w:hAnsi="Arial" w:cs="Arial"/>
                <w:sz w:val="20"/>
                <w:szCs w:val="20"/>
                <w:vertAlign w:val="superscript"/>
              </w:rPr>
              <w:t>2,5</w:t>
            </w:r>
          </w:p>
        </w:tc>
      </w:tr>
    </w:tbl>
    <w:p w14:paraId="533B3966" w14:textId="77777777" w:rsidR="006C3E10" w:rsidRPr="005D4222" w:rsidRDefault="006C3E10" w:rsidP="006C3E10">
      <w:pPr>
        <w:pStyle w:val="TableText"/>
        <w:widowControl w:val="0"/>
        <w:spacing w:before="120" w:after="0"/>
        <w:ind w:left="86" w:hanging="86"/>
        <w:rPr>
          <w:rFonts w:ascii="Arial" w:hAnsi="Arial" w:cs="Arial"/>
          <w:sz w:val="18"/>
          <w:szCs w:val="18"/>
        </w:rPr>
      </w:pPr>
      <w:r w:rsidRPr="005D4222">
        <w:rPr>
          <w:rFonts w:ascii="Arial" w:hAnsi="Arial" w:cs="Arial"/>
          <w:sz w:val="18"/>
          <w:szCs w:val="18"/>
          <w:vertAlign w:val="superscript"/>
        </w:rPr>
        <w:t>1</w:t>
      </w:r>
      <w:r w:rsidRPr="005D4222">
        <w:rPr>
          <w:rFonts w:ascii="Arial" w:hAnsi="Arial" w:cs="Arial"/>
          <w:sz w:val="18"/>
          <w:szCs w:val="18"/>
          <w:vertAlign w:val="superscript"/>
        </w:rPr>
        <w:tab/>
      </w:r>
      <w:r w:rsidRPr="005D4222">
        <w:rPr>
          <w:rFonts w:ascii="Arial" w:hAnsi="Arial" w:cs="Arial"/>
          <w:sz w:val="18"/>
          <w:szCs w:val="18"/>
        </w:rPr>
        <w:t xml:space="preserve">Refer to </w:t>
      </w:r>
      <w:r w:rsidRPr="005D4222">
        <w:rPr>
          <w:rFonts w:ascii="Arial" w:hAnsi="Arial" w:cs="Arial"/>
          <w:i/>
          <w:sz w:val="18"/>
          <w:szCs w:val="18"/>
        </w:rPr>
        <w:t>Table 2: Sample Sizes When Data Are Available on the Product Line Being Measured</w:t>
      </w:r>
      <w:r w:rsidRPr="005D4222">
        <w:rPr>
          <w:rFonts w:ascii="Arial" w:hAnsi="Arial" w:cs="Arial"/>
          <w:sz w:val="18"/>
          <w:szCs w:val="18"/>
        </w:rPr>
        <w:t xml:space="preserve"> in this section to determine the minimum required sample size. </w:t>
      </w:r>
    </w:p>
    <w:p w14:paraId="2215EF6C" w14:textId="77777777" w:rsidR="006C3E10" w:rsidRPr="005D4222" w:rsidRDefault="006C3E10" w:rsidP="006C3E10">
      <w:pPr>
        <w:pStyle w:val="TableText"/>
        <w:widowControl w:val="0"/>
        <w:spacing w:after="0"/>
        <w:ind w:left="86" w:hanging="86"/>
        <w:rPr>
          <w:rFonts w:ascii="Arial" w:hAnsi="Arial" w:cs="Arial"/>
          <w:sz w:val="18"/>
          <w:szCs w:val="18"/>
        </w:rPr>
      </w:pPr>
      <w:r w:rsidRPr="005D4222">
        <w:rPr>
          <w:rFonts w:ascii="Arial" w:hAnsi="Arial" w:cs="Arial"/>
          <w:sz w:val="18"/>
          <w:szCs w:val="18"/>
          <w:vertAlign w:val="superscript"/>
        </w:rPr>
        <w:t>2</w:t>
      </w:r>
      <w:r w:rsidRPr="005D4222">
        <w:rPr>
          <w:rFonts w:ascii="Arial" w:hAnsi="Arial" w:cs="Arial"/>
          <w:sz w:val="18"/>
          <w:szCs w:val="18"/>
          <w:vertAlign w:val="superscript"/>
        </w:rPr>
        <w:tab/>
      </w:r>
      <w:r w:rsidRPr="005D4222">
        <w:rPr>
          <w:rFonts w:ascii="Arial" w:hAnsi="Arial" w:cs="Arial"/>
          <w:sz w:val="18"/>
          <w:szCs w:val="18"/>
        </w:rPr>
        <w:t>If reducing the sample size based on the current year’s administrative rate or the prior year’s product line-specific rate for this measure</w:t>
      </w:r>
      <w:r w:rsidRPr="005D4222">
        <w:rPr>
          <w:rFonts w:ascii="Arial" w:hAnsi="Arial" w:cs="Arial"/>
          <w:i/>
          <w:sz w:val="18"/>
          <w:szCs w:val="18"/>
        </w:rPr>
        <w:t xml:space="preserve">, </w:t>
      </w:r>
      <w:r w:rsidRPr="005D4222">
        <w:rPr>
          <w:rFonts w:ascii="Arial" w:hAnsi="Arial" w:cs="Arial"/>
          <w:sz w:val="18"/>
          <w:szCs w:val="18"/>
        </w:rPr>
        <w:t>the lowest rate from all the indicators must be used.</w:t>
      </w:r>
      <w:r w:rsidRPr="005D4222">
        <w:rPr>
          <w:rFonts w:ascii="Arial" w:hAnsi="Arial" w:cs="Arial"/>
          <w:sz w:val="18"/>
          <w:szCs w:val="18"/>
          <w:vertAlign w:val="superscript"/>
        </w:rPr>
        <w:t xml:space="preserve"> </w:t>
      </w:r>
    </w:p>
    <w:p w14:paraId="3E8ED541" w14:textId="648776FC" w:rsidR="006C3E10" w:rsidRPr="005D4222" w:rsidRDefault="006C3E10" w:rsidP="006C3E10">
      <w:pPr>
        <w:pStyle w:val="TableText"/>
        <w:widowControl w:val="0"/>
        <w:spacing w:after="0"/>
        <w:ind w:left="86" w:hanging="86"/>
        <w:rPr>
          <w:rFonts w:ascii="Arial" w:hAnsi="Arial" w:cs="Arial"/>
          <w:sz w:val="18"/>
          <w:szCs w:val="18"/>
        </w:rPr>
      </w:pPr>
      <w:r w:rsidRPr="005D4222">
        <w:rPr>
          <w:rFonts w:ascii="Arial" w:hAnsi="Arial" w:cs="Arial"/>
          <w:sz w:val="18"/>
          <w:szCs w:val="18"/>
          <w:vertAlign w:val="superscript"/>
        </w:rPr>
        <w:t>3</w:t>
      </w:r>
      <w:r w:rsidRPr="005D4222">
        <w:rPr>
          <w:rFonts w:ascii="Arial" w:hAnsi="Arial" w:cs="Arial"/>
          <w:sz w:val="18"/>
          <w:szCs w:val="18"/>
        </w:rPr>
        <w:t xml:space="preserve"> </w:t>
      </w:r>
      <w:r w:rsidRPr="005D4222" w:rsidDel="00FD1B89">
        <w:rPr>
          <w:rFonts w:ascii="Arial" w:hAnsi="Arial" w:cs="Arial"/>
          <w:sz w:val="18"/>
          <w:szCs w:val="18"/>
        </w:rPr>
        <w:t xml:space="preserve">If the same sample </w:t>
      </w:r>
      <w:r w:rsidRPr="005D4222">
        <w:rPr>
          <w:rFonts w:ascii="Arial" w:hAnsi="Arial" w:cs="Arial"/>
          <w:sz w:val="18"/>
          <w:szCs w:val="18"/>
        </w:rPr>
        <w:t>is used for the</w:t>
      </w:r>
      <w:r w:rsidRPr="005D4222" w:rsidDel="00FD1B89">
        <w:rPr>
          <w:rFonts w:ascii="Arial" w:hAnsi="Arial" w:cs="Arial"/>
          <w:sz w:val="18"/>
          <w:szCs w:val="18"/>
        </w:rPr>
        <w:t xml:space="preserve"> </w:t>
      </w:r>
      <w:r w:rsidRPr="005D4222">
        <w:rPr>
          <w:rFonts w:ascii="Arial" w:hAnsi="Arial" w:cs="Arial"/>
          <w:sz w:val="18"/>
          <w:szCs w:val="18"/>
        </w:rPr>
        <w:t>two</w:t>
      </w:r>
      <w:r w:rsidRPr="005D4222" w:rsidDel="00086AAF">
        <w:rPr>
          <w:rFonts w:ascii="Arial" w:hAnsi="Arial" w:cs="Arial"/>
          <w:sz w:val="18"/>
          <w:szCs w:val="18"/>
        </w:rPr>
        <w:t xml:space="preserve"> </w:t>
      </w:r>
      <w:r w:rsidRPr="005D4222">
        <w:rPr>
          <w:rFonts w:ascii="Arial" w:hAnsi="Arial" w:cs="Arial"/>
          <w:sz w:val="18"/>
          <w:szCs w:val="18"/>
        </w:rPr>
        <w:t>diabetes measures, the organization must first take the inverse of the Glycemic Status</w:t>
      </w:r>
      <w:r w:rsidR="006E66D9" w:rsidRPr="005D4222">
        <w:rPr>
          <w:rFonts w:ascii="Arial" w:hAnsi="Arial" w:cs="Arial"/>
          <w:sz w:val="18"/>
          <w:szCs w:val="18"/>
        </w:rPr>
        <w:t xml:space="preserve"> </w:t>
      </w:r>
      <w:r w:rsidRPr="005D4222">
        <w:rPr>
          <w:rFonts w:ascii="Arial" w:hAnsi="Arial" w:cs="Arial"/>
          <w:sz w:val="18"/>
          <w:szCs w:val="18"/>
        </w:rPr>
        <w:t>&gt;9.0% rate (100 minus the Glycemic Status &gt;9.0% rate) and then reduce using the lowest rate among all the reported indicators of the two</w:t>
      </w:r>
      <w:r w:rsidRPr="005D4222" w:rsidDel="008075ED">
        <w:rPr>
          <w:rFonts w:ascii="Arial" w:hAnsi="Arial" w:cs="Arial"/>
          <w:sz w:val="18"/>
          <w:szCs w:val="18"/>
        </w:rPr>
        <w:t xml:space="preserve"> </w:t>
      </w:r>
      <w:r w:rsidRPr="005D4222">
        <w:rPr>
          <w:rFonts w:ascii="Arial" w:hAnsi="Arial" w:cs="Arial"/>
          <w:sz w:val="18"/>
          <w:szCs w:val="18"/>
        </w:rPr>
        <w:t xml:space="preserve">diabetes measures (the Glycemic Status &lt;8.0%, Glycemic Status &gt;9.0% indicators of the GSD measure and the BPD measure). If separate samples are used for these measures, organizations may reduce the sample based on the product line-specific current measurement year’s administrative rate or the prior year’s audited, product line-specific rate for the measure. </w:t>
      </w:r>
    </w:p>
    <w:p w14:paraId="08980259" w14:textId="77777777" w:rsidR="006C3E10" w:rsidRPr="005D4222" w:rsidRDefault="006C3E10" w:rsidP="006C3E10">
      <w:pPr>
        <w:pStyle w:val="TableText"/>
        <w:widowControl w:val="0"/>
        <w:spacing w:after="0"/>
        <w:ind w:left="90" w:hanging="86"/>
        <w:rPr>
          <w:rFonts w:ascii="Arial" w:hAnsi="Arial" w:cs="Arial"/>
          <w:sz w:val="18"/>
          <w:szCs w:val="18"/>
        </w:rPr>
      </w:pPr>
      <w:r w:rsidRPr="005D4222">
        <w:rPr>
          <w:rFonts w:ascii="Arial" w:hAnsi="Arial" w:cs="Arial"/>
          <w:sz w:val="18"/>
          <w:szCs w:val="18"/>
          <w:vertAlign w:val="superscript"/>
        </w:rPr>
        <w:t>4</w:t>
      </w:r>
      <w:r w:rsidRPr="005D4222">
        <w:rPr>
          <w:rFonts w:ascii="Arial" w:hAnsi="Arial" w:cs="Arial"/>
          <w:sz w:val="18"/>
          <w:szCs w:val="18"/>
          <w:vertAlign w:val="superscript"/>
        </w:rPr>
        <w:tab/>
      </w:r>
      <w:r w:rsidRPr="005D4222">
        <w:rPr>
          <w:rFonts w:ascii="Arial" w:hAnsi="Arial" w:cs="Arial"/>
          <w:sz w:val="18"/>
          <w:szCs w:val="18"/>
        </w:rPr>
        <w:t xml:space="preserve">Organizations may reduce the sample size based only on the prior year’s audited, product line-specific rate for the lowest rate of all TRC indicators. The current year’s administrative rate may not be used for sample size reduction. </w:t>
      </w:r>
    </w:p>
    <w:p w14:paraId="4A9EBABE" w14:textId="77777777" w:rsidR="006C3E10" w:rsidRPr="005D4222" w:rsidRDefault="006C3E10" w:rsidP="006C3E10">
      <w:pPr>
        <w:pStyle w:val="TableText"/>
        <w:spacing w:after="0"/>
        <w:ind w:left="90" w:hanging="86"/>
        <w:rPr>
          <w:rFonts w:ascii="Arial" w:hAnsi="Arial" w:cs="Arial"/>
          <w:sz w:val="18"/>
          <w:szCs w:val="18"/>
        </w:rPr>
      </w:pPr>
      <w:r w:rsidRPr="005D4222">
        <w:rPr>
          <w:rFonts w:ascii="Arial" w:hAnsi="Arial" w:cs="Arial"/>
          <w:sz w:val="18"/>
          <w:szCs w:val="18"/>
          <w:vertAlign w:val="superscript"/>
        </w:rPr>
        <w:t>5</w:t>
      </w:r>
      <w:r w:rsidRPr="005D4222">
        <w:rPr>
          <w:rFonts w:ascii="Arial" w:hAnsi="Arial" w:cs="Arial"/>
          <w:sz w:val="18"/>
          <w:szCs w:val="18"/>
        </w:rPr>
        <w:tab/>
        <w:t>For measures with stratifications, use the total rate for reducing sample sizes. For measures with multiple indicators and stratifications, use the lowest total rate across indicators when reducing sample sizes.</w:t>
      </w:r>
    </w:p>
    <w:p w14:paraId="466EDD85" w14:textId="77777777" w:rsidR="006C3E10" w:rsidRPr="005D4222" w:rsidRDefault="006C3E10" w:rsidP="006C3E10">
      <w:pPr>
        <w:pStyle w:val="TableText"/>
        <w:widowControl w:val="0"/>
        <w:spacing w:after="0"/>
        <w:ind w:left="90" w:hanging="90"/>
        <w:rPr>
          <w:szCs w:val="21"/>
          <w:vertAlign w:val="superscript"/>
        </w:rPr>
      </w:pPr>
    </w:p>
    <w:p w14:paraId="263510A2" w14:textId="77777777" w:rsidR="006C3E10" w:rsidRPr="005D4222" w:rsidRDefault="006C3E10" w:rsidP="006C3E10">
      <w:pPr>
        <w:pStyle w:val="TableText"/>
        <w:widowControl w:val="0"/>
        <w:spacing w:before="0" w:after="0"/>
        <w:ind w:left="90" w:hanging="90"/>
        <w:rPr>
          <w:sz w:val="17"/>
          <w:szCs w:val="17"/>
        </w:rPr>
      </w:pPr>
    </w:p>
    <w:p w14:paraId="5CCBDE1B" w14:textId="77777777" w:rsidR="006C3E10" w:rsidRPr="005D4222" w:rsidRDefault="006C3E10" w:rsidP="006C3E10">
      <w:pPr>
        <w:pStyle w:val="TableText"/>
        <w:widowControl w:val="0"/>
        <w:spacing w:before="0"/>
        <w:ind w:left="90" w:hanging="90"/>
        <w:rPr>
          <w:b/>
          <w:sz w:val="17"/>
          <w:szCs w:val="17"/>
        </w:rPr>
      </w:pPr>
    </w:p>
    <w:p w14:paraId="1414A80C" w14:textId="77777777" w:rsidR="006C3E10" w:rsidRPr="005D4222" w:rsidRDefault="006C3E10" w:rsidP="006C3E10">
      <w:pPr>
        <w:pStyle w:val="TableText"/>
        <w:widowControl w:val="0"/>
        <w:ind w:left="90" w:hanging="90"/>
        <w:rPr>
          <w:b/>
          <w:i/>
          <w:sz w:val="19"/>
        </w:rPr>
        <w:sectPr w:rsidR="006C3E10" w:rsidRPr="005D4222" w:rsidSect="0074514A">
          <w:headerReference w:type="even" r:id="rId68"/>
          <w:headerReference w:type="default" r:id="rId69"/>
          <w:footerReference w:type="even" r:id="rId70"/>
          <w:footerReference w:type="default" r:id="rId71"/>
          <w:footerReference w:type="first" r:id="rId72"/>
          <w:type w:val="nextColumn"/>
          <w:pgSz w:w="12240" w:h="15840" w:code="1"/>
          <w:pgMar w:top="1080" w:right="1080" w:bottom="1080" w:left="1440" w:header="720" w:footer="720" w:gutter="0"/>
          <w:cols w:space="720"/>
          <w:docGrid w:linePitch="272"/>
        </w:sectPr>
      </w:pPr>
      <w:bookmarkStart w:id="206" w:name="_Toc452170813"/>
    </w:p>
    <w:bookmarkEnd w:id="206"/>
    <w:p w14:paraId="777F9FF5" w14:textId="196937C8" w:rsidR="006C3E10" w:rsidRPr="005D4222" w:rsidRDefault="006C3E10" w:rsidP="006C3E10">
      <w:pPr>
        <w:pStyle w:val="Body"/>
        <w:widowControl w:val="0"/>
        <w:spacing w:before="0" w:after="240"/>
        <w:rPr>
          <w:i/>
          <w:iCs/>
        </w:rPr>
      </w:pPr>
      <w:r w:rsidRPr="005D4222">
        <w:lastRenderedPageBreak/>
        <w:t>Organizations may use a rate calculated from the current year’s administrative rate or the prior year’s reported rate to determine the sample size. Table 1</w:t>
      </w:r>
      <w:r w:rsidRPr="005D4222" w:rsidDel="008206EE">
        <w:t>: Sample Size Information for Hybrid Measures</w:t>
      </w:r>
      <w:r w:rsidRPr="005D4222">
        <w:t xml:space="preserve"> must be used first to determine if a prior year’s rate can be used to reduce the sample size</w:t>
      </w:r>
      <w:r w:rsidRPr="005D4222" w:rsidDel="00992B88">
        <w:t xml:space="preserve"> for a particular measure</w:t>
      </w:r>
      <w:r w:rsidRPr="005D4222">
        <w:t>.</w:t>
      </w:r>
      <w:r w:rsidRPr="005D4222">
        <w:rPr>
          <w:i/>
          <w:iCs/>
        </w:rPr>
        <w:t xml:space="preserve"> </w:t>
      </w:r>
    </w:p>
    <w:p w14:paraId="762884C5" w14:textId="77777777" w:rsidR="006C3E10" w:rsidRPr="005D4222" w:rsidRDefault="006C3E10" w:rsidP="006C3E10">
      <w:pPr>
        <w:pStyle w:val="Heading3"/>
        <w:keepNext w:val="0"/>
        <w:widowControl w:val="0"/>
        <w:spacing w:before="0"/>
        <w:rPr>
          <w:szCs w:val="18"/>
        </w:rPr>
      </w:pPr>
      <w:r w:rsidRPr="005D4222" w:rsidDel="00086979">
        <w:rPr>
          <w:szCs w:val="18"/>
        </w:rPr>
        <w:t>Table 2: Sample Sizes When Data Are Available on the Product Line Being Measured</w:t>
      </w:r>
    </w:p>
    <w:tbl>
      <w:tblPr>
        <w:tblW w:w="972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1602"/>
        <w:gridCol w:w="360"/>
        <w:gridCol w:w="3078"/>
        <w:gridCol w:w="1620"/>
      </w:tblGrid>
      <w:tr w:rsidR="004E7974" w:rsidRPr="005D4222" w14:paraId="0036885B" w14:textId="77777777" w:rsidTr="00C1102C">
        <w:trPr>
          <w:cantSplit/>
        </w:trPr>
        <w:tc>
          <w:tcPr>
            <w:tcW w:w="3060" w:type="dxa"/>
            <w:tcBorders>
              <w:bottom w:val="single" w:sz="6" w:space="0" w:color="auto"/>
              <w:right w:val="single" w:sz="6" w:space="0" w:color="FFFFFF" w:themeColor="background1"/>
            </w:tcBorders>
            <w:shd w:val="clear" w:color="auto" w:fill="000000" w:themeFill="text1"/>
            <w:vAlign w:val="bottom"/>
          </w:tcPr>
          <w:p w14:paraId="0B7A62B2" w14:textId="77777777" w:rsidR="006C3E10" w:rsidRPr="005D4222" w:rsidRDefault="006C3E10" w:rsidP="009F6641">
            <w:pPr>
              <w:pStyle w:val="TableHead"/>
              <w:widowControl w:val="0"/>
              <w:rPr>
                <w:rFonts w:ascii="Arial" w:hAnsi="Arial" w:cs="Arial"/>
                <w:color w:val="auto"/>
                <w:sz w:val="20"/>
              </w:rPr>
            </w:pPr>
            <w:r w:rsidRPr="005D4222">
              <w:rPr>
                <w:rFonts w:ascii="Arial" w:hAnsi="Arial" w:cs="Arial"/>
                <w:color w:val="auto"/>
                <w:sz w:val="20"/>
              </w:rPr>
              <w:t>If the Current Year’s Administrative Rate or the Prior Year’s Reported Rate Is…</w:t>
            </w:r>
          </w:p>
        </w:tc>
        <w:tc>
          <w:tcPr>
            <w:tcW w:w="1602" w:type="dxa"/>
            <w:tcBorders>
              <w:left w:val="nil"/>
              <w:bottom w:val="single" w:sz="6" w:space="0" w:color="auto"/>
              <w:right w:val="single" w:sz="4" w:space="0" w:color="auto"/>
            </w:tcBorders>
            <w:shd w:val="clear" w:color="auto" w:fill="000000" w:themeFill="text1"/>
            <w:vAlign w:val="bottom"/>
          </w:tcPr>
          <w:p w14:paraId="7128F425" w14:textId="77777777" w:rsidR="006C3E10" w:rsidRPr="005D4222" w:rsidRDefault="006C3E10" w:rsidP="009F6641">
            <w:pPr>
              <w:pStyle w:val="TableHead"/>
              <w:widowControl w:val="0"/>
              <w:rPr>
                <w:rFonts w:ascii="Arial" w:hAnsi="Arial" w:cs="Arial"/>
                <w:color w:val="auto"/>
                <w:sz w:val="20"/>
              </w:rPr>
            </w:pPr>
            <w:r w:rsidRPr="005D4222">
              <w:rPr>
                <w:rFonts w:ascii="Arial" w:hAnsi="Arial" w:cs="Arial"/>
                <w:color w:val="auto"/>
                <w:sz w:val="20"/>
              </w:rPr>
              <w:t>…the Minimum Sample Size Is:</w:t>
            </w:r>
          </w:p>
        </w:tc>
        <w:tc>
          <w:tcPr>
            <w:tcW w:w="360" w:type="dxa"/>
            <w:vMerge w:val="restart"/>
            <w:tcBorders>
              <w:top w:val="nil"/>
              <w:left w:val="nil"/>
              <w:bottom w:val="nil"/>
              <w:right w:val="nil"/>
            </w:tcBorders>
            <w:shd w:val="clear" w:color="auto" w:fill="FFFFFF" w:themeFill="background1"/>
          </w:tcPr>
          <w:p w14:paraId="4B2B1318" w14:textId="77777777" w:rsidR="006C3E10" w:rsidRPr="005D4222" w:rsidRDefault="006C3E10" w:rsidP="009F6641">
            <w:pPr>
              <w:pStyle w:val="TableHead"/>
              <w:widowControl w:val="0"/>
              <w:spacing w:before="0" w:after="0"/>
              <w:rPr>
                <w:rFonts w:ascii="Arial" w:hAnsi="Arial" w:cs="Arial"/>
                <w:color w:val="auto"/>
                <w:sz w:val="20"/>
              </w:rPr>
            </w:pPr>
          </w:p>
        </w:tc>
        <w:tc>
          <w:tcPr>
            <w:tcW w:w="3078" w:type="dxa"/>
            <w:tcBorders>
              <w:left w:val="single" w:sz="4" w:space="0" w:color="auto"/>
              <w:bottom w:val="single" w:sz="6" w:space="0" w:color="auto"/>
              <w:right w:val="single" w:sz="6" w:space="0" w:color="FFFFFF" w:themeColor="background1"/>
            </w:tcBorders>
            <w:shd w:val="clear" w:color="auto" w:fill="000000" w:themeFill="text1"/>
            <w:vAlign w:val="bottom"/>
          </w:tcPr>
          <w:p w14:paraId="4E887009" w14:textId="77777777" w:rsidR="006C3E10" w:rsidRPr="005D4222" w:rsidRDefault="006C3E10" w:rsidP="009F6641">
            <w:pPr>
              <w:pStyle w:val="TableHead"/>
              <w:widowControl w:val="0"/>
              <w:rPr>
                <w:rFonts w:ascii="Arial" w:hAnsi="Arial" w:cs="Arial"/>
                <w:color w:val="auto"/>
                <w:sz w:val="20"/>
              </w:rPr>
            </w:pPr>
            <w:r w:rsidRPr="005D4222">
              <w:rPr>
                <w:rFonts w:ascii="Arial" w:hAnsi="Arial" w:cs="Arial"/>
                <w:color w:val="auto"/>
                <w:sz w:val="20"/>
              </w:rPr>
              <w:t>If the Current Year’s Administrative Rate or the Prior Year’s Reported Rate Is…</w:t>
            </w:r>
          </w:p>
        </w:tc>
        <w:tc>
          <w:tcPr>
            <w:tcW w:w="1620" w:type="dxa"/>
            <w:tcBorders>
              <w:left w:val="nil"/>
              <w:bottom w:val="single" w:sz="6" w:space="0" w:color="auto"/>
              <w:right w:val="single" w:sz="4" w:space="0" w:color="auto"/>
            </w:tcBorders>
            <w:shd w:val="clear" w:color="auto" w:fill="000000" w:themeFill="text1"/>
            <w:vAlign w:val="bottom"/>
          </w:tcPr>
          <w:p w14:paraId="633EEDD2" w14:textId="77777777" w:rsidR="006C3E10" w:rsidRPr="005D4222" w:rsidRDefault="006C3E10" w:rsidP="009F6641">
            <w:pPr>
              <w:pStyle w:val="TableHead"/>
              <w:widowControl w:val="0"/>
              <w:rPr>
                <w:rFonts w:ascii="Arial" w:hAnsi="Arial" w:cs="Arial"/>
                <w:color w:val="auto"/>
                <w:sz w:val="20"/>
              </w:rPr>
            </w:pPr>
            <w:r w:rsidRPr="005D4222">
              <w:rPr>
                <w:rFonts w:ascii="Arial" w:hAnsi="Arial" w:cs="Arial"/>
                <w:color w:val="auto"/>
                <w:sz w:val="20"/>
              </w:rPr>
              <w:t>…the Minimum Sample Size Is:</w:t>
            </w:r>
          </w:p>
        </w:tc>
      </w:tr>
      <w:tr w:rsidR="006C3E10" w:rsidRPr="005D4222" w14:paraId="572C31A3" w14:textId="77777777" w:rsidTr="00C1102C">
        <w:trPr>
          <w:cantSplit/>
        </w:trPr>
        <w:tc>
          <w:tcPr>
            <w:tcW w:w="3060" w:type="dxa"/>
            <w:tcBorders>
              <w:top w:val="nil"/>
              <w:bottom w:val="nil"/>
            </w:tcBorders>
          </w:tcPr>
          <w:p w14:paraId="4719B039" w14:textId="77777777" w:rsidR="006C3E10" w:rsidRPr="005D4222" w:rsidRDefault="006C3E10" w:rsidP="009F6641">
            <w:pPr>
              <w:pStyle w:val="TableText"/>
              <w:widowControl w:val="0"/>
              <w:ind w:right="1109"/>
              <w:jc w:val="right"/>
              <w:rPr>
                <w:rFonts w:ascii="Arial" w:hAnsi="Arial" w:cs="Arial"/>
                <w:sz w:val="20"/>
                <w:szCs w:val="20"/>
              </w:rPr>
            </w:pPr>
            <w:r w:rsidRPr="005D4222">
              <w:rPr>
                <w:rFonts w:ascii="Arial" w:hAnsi="Arial" w:cs="Arial"/>
                <w:sz w:val="20"/>
                <w:szCs w:val="20"/>
              </w:rPr>
              <w:t>≤51%</w:t>
            </w:r>
          </w:p>
        </w:tc>
        <w:tc>
          <w:tcPr>
            <w:tcW w:w="1602" w:type="dxa"/>
            <w:tcBorders>
              <w:top w:val="nil"/>
              <w:bottom w:val="nil"/>
              <w:right w:val="single" w:sz="4" w:space="0" w:color="auto"/>
            </w:tcBorders>
          </w:tcPr>
          <w:p w14:paraId="3F8A5825"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411</w:t>
            </w:r>
          </w:p>
        </w:tc>
        <w:tc>
          <w:tcPr>
            <w:tcW w:w="360" w:type="dxa"/>
            <w:vMerge/>
            <w:tcBorders>
              <w:bottom w:val="nil"/>
            </w:tcBorders>
          </w:tcPr>
          <w:p w14:paraId="396458B6" w14:textId="77777777" w:rsidR="006C3E10" w:rsidRPr="005D4222" w:rsidRDefault="006C3E10" w:rsidP="009F6641">
            <w:pPr>
              <w:pStyle w:val="TableText"/>
              <w:widowControl w:val="0"/>
              <w:jc w:val="center"/>
              <w:rPr>
                <w:rFonts w:ascii="Arial" w:hAnsi="Arial" w:cs="Arial"/>
                <w:sz w:val="20"/>
                <w:szCs w:val="20"/>
              </w:rPr>
            </w:pPr>
          </w:p>
        </w:tc>
        <w:tc>
          <w:tcPr>
            <w:tcW w:w="3078" w:type="dxa"/>
            <w:tcBorders>
              <w:top w:val="nil"/>
              <w:left w:val="single" w:sz="4" w:space="0" w:color="auto"/>
              <w:bottom w:val="nil"/>
            </w:tcBorders>
          </w:tcPr>
          <w:p w14:paraId="59AC0CB7"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74%</w:t>
            </w:r>
          </w:p>
        </w:tc>
        <w:tc>
          <w:tcPr>
            <w:tcW w:w="1620" w:type="dxa"/>
            <w:tcBorders>
              <w:top w:val="nil"/>
              <w:bottom w:val="nil"/>
            </w:tcBorders>
          </w:tcPr>
          <w:p w14:paraId="3870B713"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321</w:t>
            </w:r>
          </w:p>
        </w:tc>
      </w:tr>
      <w:tr w:rsidR="006439AD" w:rsidRPr="005D4222" w14:paraId="403AE7D5" w14:textId="77777777" w:rsidTr="00C1102C">
        <w:trPr>
          <w:cantSplit/>
        </w:trPr>
        <w:tc>
          <w:tcPr>
            <w:tcW w:w="3060" w:type="dxa"/>
            <w:shd w:val="clear" w:color="auto" w:fill="FFFFFF" w:themeFill="background1"/>
          </w:tcPr>
          <w:p w14:paraId="55791CF8" w14:textId="77777777" w:rsidR="006C3E10" w:rsidRPr="005D4222" w:rsidRDefault="006C3E10" w:rsidP="009F6641">
            <w:pPr>
              <w:pStyle w:val="TableText"/>
              <w:widowControl w:val="0"/>
              <w:tabs>
                <w:tab w:val="right" w:pos="1512"/>
              </w:tabs>
              <w:jc w:val="center"/>
              <w:rPr>
                <w:rFonts w:ascii="Arial" w:hAnsi="Arial" w:cs="Arial"/>
                <w:sz w:val="20"/>
                <w:szCs w:val="20"/>
              </w:rPr>
            </w:pPr>
            <w:r w:rsidRPr="005D4222">
              <w:rPr>
                <w:rFonts w:ascii="Arial" w:hAnsi="Arial" w:cs="Arial"/>
                <w:sz w:val="20"/>
                <w:szCs w:val="20"/>
              </w:rPr>
              <w:t>52%</w:t>
            </w:r>
          </w:p>
        </w:tc>
        <w:tc>
          <w:tcPr>
            <w:tcW w:w="1602" w:type="dxa"/>
            <w:tcBorders>
              <w:right w:val="single" w:sz="4" w:space="0" w:color="auto"/>
            </w:tcBorders>
            <w:shd w:val="clear" w:color="auto" w:fill="FFFFFF" w:themeFill="background1"/>
          </w:tcPr>
          <w:p w14:paraId="22593F5F"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410</w:t>
            </w:r>
          </w:p>
        </w:tc>
        <w:tc>
          <w:tcPr>
            <w:tcW w:w="360" w:type="dxa"/>
            <w:vMerge/>
            <w:tcBorders>
              <w:bottom w:val="nil"/>
            </w:tcBorders>
          </w:tcPr>
          <w:p w14:paraId="54E0DADB" w14:textId="77777777" w:rsidR="006C3E10" w:rsidRPr="005D4222" w:rsidRDefault="006C3E10" w:rsidP="009F6641">
            <w:pPr>
              <w:pStyle w:val="TableText"/>
              <w:widowControl w:val="0"/>
              <w:jc w:val="center"/>
              <w:rPr>
                <w:rFonts w:ascii="Arial" w:hAnsi="Arial" w:cs="Arial"/>
                <w:sz w:val="20"/>
                <w:szCs w:val="20"/>
              </w:rPr>
            </w:pPr>
          </w:p>
        </w:tc>
        <w:tc>
          <w:tcPr>
            <w:tcW w:w="3078" w:type="dxa"/>
            <w:tcBorders>
              <w:left w:val="single" w:sz="4" w:space="0" w:color="auto"/>
            </w:tcBorders>
            <w:shd w:val="clear" w:color="auto" w:fill="FFFFFF" w:themeFill="background1"/>
          </w:tcPr>
          <w:p w14:paraId="5138D801"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75%</w:t>
            </w:r>
          </w:p>
        </w:tc>
        <w:tc>
          <w:tcPr>
            <w:tcW w:w="1620" w:type="dxa"/>
            <w:shd w:val="clear" w:color="auto" w:fill="FFFFFF" w:themeFill="background1"/>
          </w:tcPr>
          <w:p w14:paraId="0CC36D0B"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313</w:t>
            </w:r>
          </w:p>
        </w:tc>
      </w:tr>
      <w:tr w:rsidR="006C3E10" w:rsidRPr="005D4222" w14:paraId="75F17020" w14:textId="77777777" w:rsidTr="00C1102C">
        <w:trPr>
          <w:cantSplit/>
        </w:trPr>
        <w:tc>
          <w:tcPr>
            <w:tcW w:w="3060" w:type="dxa"/>
            <w:tcBorders>
              <w:bottom w:val="nil"/>
            </w:tcBorders>
          </w:tcPr>
          <w:p w14:paraId="2EDCAFFF" w14:textId="77777777" w:rsidR="006C3E10" w:rsidRPr="005D4222" w:rsidRDefault="006C3E10" w:rsidP="009F6641">
            <w:pPr>
              <w:pStyle w:val="TableText"/>
              <w:widowControl w:val="0"/>
              <w:tabs>
                <w:tab w:val="right" w:pos="1512"/>
              </w:tabs>
              <w:jc w:val="center"/>
              <w:rPr>
                <w:rFonts w:ascii="Arial" w:hAnsi="Arial" w:cs="Arial"/>
                <w:sz w:val="20"/>
                <w:szCs w:val="20"/>
              </w:rPr>
            </w:pPr>
            <w:r w:rsidRPr="005D4222">
              <w:rPr>
                <w:rFonts w:ascii="Arial" w:hAnsi="Arial" w:cs="Arial"/>
                <w:sz w:val="20"/>
                <w:szCs w:val="20"/>
              </w:rPr>
              <w:t>53%</w:t>
            </w:r>
          </w:p>
        </w:tc>
        <w:tc>
          <w:tcPr>
            <w:tcW w:w="1602" w:type="dxa"/>
            <w:tcBorders>
              <w:bottom w:val="nil"/>
              <w:right w:val="single" w:sz="4" w:space="0" w:color="auto"/>
            </w:tcBorders>
          </w:tcPr>
          <w:p w14:paraId="63588667"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410</w:t>
            </w:r>
          </w:p>
        </w:tc>
        <w:tc>
          <w:tcPr>
            <w:tcW w:w="360" w:type="dxa"/>
            <w:vMerge/>
            <w:tcBorders>
              <w:bottom w:val="nil"/>
            </w:tcBorders>
          </w:tcPr>
          <w:p w14:paraId="5629032B" w14:textId="77777777" w:rsidR="006C3E10" w:rsidRPr="005D4222" w:rsidRDefault="006C3E10" w:rsidP="009F6641">
            <w:pPr>
              <w:pStyle w:val="TableText"/>
              <w:widowControl w:val="0"/>
              <w:jc w:val="center"/>
              <w:rPr>
                <w:rFonts w:ascii="Arial" w:hAnsi="Arial" w:cs="Arial"/>
                <w:sz w:val="20"/>
                <w:szCs w:val="20"/>
              </w:rPr>
            </w:pPr>
          </w:p>
        </w:tc>
        <w:tc>
          <w:tcPr>
            <w:tcW w:w="3078" w:type="dxa"/>
            <w:tcBorders>
              <w:left w:val="single" w:sz="4" w:space="0" w:color="auto"/>
              <w:bottom w:val="nil"/>
            </w:tcBorders>
          </w:tcPr>
          <w:p w14:paraId="7E6B7C15"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76%</w:t>
            </w:r>
          </w:p>
        </w:tc>
        <w:tc>
          <w:tcPr>
            <w:tcW w:w="1620" w:type="dxa"/>
            <w:tcBorders>
              <w:bottom w:val="nil"/>
            </w:tcBorders>
          </w:tcPr>
          <w:p w14:paraId="7C842E4E"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305</w:t>
            </w:r>
          </w:p>
        </w:tc>
      </w:tr>
      <w:tr w:rsidR="006439AD" w:rsidRPr="005D4222" w14:paraId="475C2D8D" w14:textId="77777777" w:rsidTr="00C1102C">
        <w:trPr>
          <w:cantSplit/>
        </w:trPr>
        <w:tc>
          <w:tcPr>
            <w:tcW w:w="3060" w:type="dxa"/>
            <w:shd w:val="clear" w:color="auto" w:fill="FFFFFF" w:themeFill="background1"/>
          </w:tcPr>
          <w:p w14:paraId="4A677D53" w14:textId="77777777" w:rsidR="006C3E10" w:rsidRPr="005D4222" w:rsidRDefault="006C3E10" w:rsidP="009F6641">
            <w:pPr>
              <w:pStyle w:val="TableText"/>
              <w:widowControl w:val="0"/>
              <w:tabs>
                <w:tab w:val="right" w:pos="1512"/>
              </w:tabs>
              <w:jc w:val="center"/>
              <w:rPr>
                <w:rFonts w:ascii="Arial" w:hAnsi="Arial" w:cs="Arial"/>
                <w:sz w:val="20"/>
                <w:szCs w:val="20"/>
              </w:rPr>
            </w:pPr>
            <w:r w:rsidRPr="005D4222">
              <w:rPr>
                <w:rFonts w:ascii="Arial" w:hAnsi="Arial" w:cs="Arial"/>
                <w:sz w:val="20"/>
                <w:szCs w:val="20"/>
              </w:rPr>
              <w:t>54%</w:t>
            </w:r>
          </w:p>
        </w:tc>
        <w:tc>
          <w:tcPr>
            <w:tcW w:w="1602" w:type="dxa"/>
            <w:tcBorders>
              <w:right w:val="single" w:sz="4" w:space="0" w:color="auto"/>
            </w:tcBorders>
            <w:shd w:val="clear" w:color="auto" w:fill="FFFFFF" w:themeFill="background1"/>
          </w:tcPr>
          <w:p w14:paraId="7F3FC32C"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409</w:t>
            </w:r>
          </w:p>
        </w:tc>
        <w:tc>
          <w:tcPr>
            <w:tcW w:w="360" w:type="dxa"/>
            <w:vMerge/>
            <w:tcBorders>
              <w:bottom w:val="nil"/>
            </w:tcBorders>
          </w:tcPr>
          <w:p w14:paraId="4C2F7003" w14:textId="77777777" w:rsidR="006C3E10" w:rsidRPr="005D4222" w:rsidRDefault="006C3E10" w:rsidP="009F6641">
            <w:pPr>
              <w:pStyle w:val="TableText"/>
              <w:widowControl w:val="0"/>
              <w:jc w:val="center"/>
              <w:rPr>
                <w:rFonts w:ascii="Arial" w:hAnsi="Arial" w:cs="Arial"/>
                <w:sz w:val="20"/>
                <w:szCs w:val="20"/>
              </w:rPr>
            </w:pPr>
          </w:p>
        </w:tc>
        <w:tc>
          <w:tcPr>
            <w:tcW w:w="3078" w:type="dxa"/>
            <w:tcBorders>
              <w:left w:val="single" w:sz="4" w:space="0" w:color="auto"/>
            </w:tcBorders>
            <w:shd w:val="clear" w:color="auto" w:fill="FFFFFF" w:themeFill="background1"/>
          </w:tcPr>
          <w:p w14:paraId="52E8F4D6"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77%</w:t>
            </w:r>
          </w:p>
        </w:tc>
        <w:tc>
          <w:tcPr>
            <w:tcW w:w="1620" w:type="dxa"/>
            <w:shd w:val="clear" w:color="auto" w:fill="FFFFFF" w:themeFill="background1"/>
          </w:tcPr>
          <w:p w14:paraId="4E059619"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296</w:t>
            </w:r>
          </w:p>
        </w:tc>
      </w:tr>
      <w:tr w:rsidR="006C3E10" w:rsidRPr="005D4222" w14:paraId="2187B3F1" w14:textId="77777777" w:rsidTr="00C1102C">
        <w:trPr>
          <w:cantSplit/>
        </w:trPr>
        <w:tc>
          <w:tcPr>
            <w:tcW w:w="3060" w:type="dxa"/>
            <w:tcBorders>
              <w:bottom w:val="nil"/>
            </w:tcBorders>
          </w:tcPr>
          <w:p w14:paraId="364C465A" w14:textId="77777777" w:rsidR="006C3E10" w:rsidRPr="005D4222" w:rsidRDefault="006C3E10" w:rsidP="009F6641">
            <w:pPr>
              <w:pStyle w:val="TableText"/>
              <w:widowControl w:val="0"/>
              <w:tabs>
                <w:tab w:val="right" w:pos="1512"/>
              </w:tabs>
              <w:jc w:val="center"/>
              <w:rPr>
                <w:rFonts w:ascii="Arial" w:hAnsi="Arial" w:cs="Arial"/>
                <w:sz w:val="20"/>
                <w:szCs w:val="20"/>
              </w:rPr>
            </w:pPr>
            <w:r w:rsidRPr="005D4222">
              <w:rPr>
                <w:rFonts w:ascii="Arial" w:hAnsi="Arial" w:cs="Arial"/>
                <w:sz w:val="20"/>
                <w:szCs w:val="20"/>
              </w:rPr>
              <w:t>55%</w:t>
            </w:r>
          </w:p>
        </w:tc>
        <w:tc>
          <w:tcPr>
            <w:tcW w:w="1602" w:type="dxa"/>
            <w:tcBorders>
              <w:bottom w:val="nil"/>
              <w:right w:val="single" w:sz="4" w:space="0" w:color="auto"/>
            </w:tcBorders>
          </w:tcPr>
          <w:p w14:paraId="2733B327"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407</w:t>
            </w:r>
          </w:p>
        </w:tc>
        <w:tc>
          <w:tcPr>
            <w:tcW w:w="360" w:type="dxa"/>
            <w:vMerge/>
            <w:tcBorders>
              <w:bottom w:val="nil"/>
            </w:tcBorders>
          </w:tcPr>
          <w:p w14:paraId="056CAB73" w14:textId="77777777" w:rsidR="006C3E10" w:rsidRPr="005D4222" w:rsidRDefault="006C3E10" w:rsidP="009F6641">
            <w:pPr>
              <w:pStyle w:val="TableText"/>
              <w:widowControl w:val="0"/>
              <w:jc w:val="center"/>
              <w:rPr>
                <w:rFonts w:ascii="Arial" w:hAnsi="Arial" w:cs="Arial"/>
                <w:sz w:val="20"/>
                <w:szCs w:val="20"/>
              </w:rPr>
            </w:pPr>
          </w:p>
        </w:tc>
        <w:tc>
          <w:tcPr>
            <w:tcW w:w="3078" w:type="dxa"/>
            <w:tcBorders>
              <w:left w:val="single" w:sz="4" w:space="0" w:color="auto"/>
              <w:bottom w:val="nil"/>
            </w:tcBorders>
          </w:tcPr>
          <w:p w14:paraId="34FA0ACF"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78%</w:t>
            </w:r>
          </w:p>
        </w:tc>
        <w:tc>
          <w:tcPr>
            <w:tcW w:w="1620" w:type="dxa"/>
            <w:tcBorders>
              <w:bottom w:val="nil"/>
            </w:tcBorders>
          </w:tcPr>
          <w:p w14:paraId="777D6B3B"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288</w:t>
            </w:r>
          </w:p>
        </w:tc>
      </w:tr>
      <w:tr w:rsidR="006439AD" w:rsidRPr="005D4222" w14:paraId="7D3B2BE9" w14:textId="77777777" w:rsidTr="00C1102C">
        <w:trPr>
          <w:cantSplit/>
        </w:trPr>
        <w:tc>
          <w:tcPr>
            <w:tcW w:w="3060" w:type="dxa"/>
            <w:shd w:val="clear" w:color="auto" w:fill="FFFFFF" w:themeFill="background1"/>
          </w:tcPr>
          <w:p w14:paraId="6E0EE19D" w14:textId="77777777" w:rsidR="006C3E10" w:rsidRPr="005D4222" w:rsidRDefault="006C3E10" w:rsidP="009F6641">
            <w:pPr>
              <w:pStyle w:val="TableText"/>
              <w:widowControl w:val="0"/>
              <w:tabs>
                <w:tab w:val="right" w:pos="1512"/>
              </w:tabs>
              <w:jc w:val="center"/>
              <w:rPr>
                <w:rFonts w:ascii="Arial" w:hAnsi="Arial" w:cs="Arial"/>
                <w:sz w:val="20"/>
                <w:szCs w:val="20"/>
              </w:rPr>
            </w:pPr>
            <w:r w:rsidRPr="005D4222">
              <w:rPr>
                <w:rFonts w:ascii="Arial" w:hAnsi="Arial" w:cs="Arial"/>
                <w:sz w:val="20"/>
                <w:szCs w:val="20"/>
              </w:rPr>
              <w:t>56%</w:t>
            </w:r>
          </w:p>
        </w:tc>
        <w:tc>
          <w:tcPr>
            <w:tcW w:w="1602" w:type="dxa"/>
            <w:tcBorders>
              <w:right w:val="single" w:sz="4" w:space="0" w:color="auto"/>
            </w:tcBorders>
            <w:shd w:val="clear" w:color="auto" w:fill="FFFFFF" w:themeFill="background1"/>
          </w:tcPr>
          <w:p w14:paraId="4BF245A9"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405</w:t>
            </w:r>
          </w:p>
        </w:tc>
        <w:tc>
          <w:tcPr>
            <w:tcW w:w="360" w:type="dxa"/>
            <w:vMerge/>
            <w:tcBorders>
              <w:bottom w:val="nil"/>
            </w:tcBorders>
          </w:tcPr>
          <w:p w14:paraId="28674787" w14:textId="77777777" w:rsidR="006C3E10" w:rsidRPr="005D4222" w:rsidRDefault="006C3E10" w:rsidP="009F6641">
            <w:pPr>
              <w:pStyle w:val="TableText"/>
              <w:widowControl w:val="0"/>
              <w:jc w:val="center"/>
              <w:rPr>
                <w:rFonts w:ascii="Arial" w:hAnsi="Arial" w:cs="Arial"/>
                <w:sz w:val="20"/>
                <w:szCs w:val="20"/>
              </w:rPr>
            </w:pPr>
          </w:p>
        </w:tc>
        <w:tc>
          <w:tcPr>
            <w:tcW w:w="3078" w:type="dxa"/>
            <w:tcBorders>
              <w:left w:val="single" w:sz="4" w:space="0" w:color="auto"/>
            </w:tcBorders>
            <w:shd w:val="clear" w:color="auto" w:fill="FFFFFF" w:themeFill="background1"/>
          </w:tcPr>
          <w:p w14:paraId="1D2FC56F"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79%</w:t>
            </w:r>
          </w:p>
        </w:tc>
        <w:tc>
          <w:tcPr>
            <w:tcW w:w="1620" w:type="dxa"/>
            <w:shd w:val="clear" w:color="auto" w:fill="FFFFFF" w:themeFill="background1"/>
          </w:tcPr>
          <w:p w14:paraId="4CB6006D"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279</w:t>
            </w:r>
          </w:p>
        </w:tc>
      </w:tr>
      <w:tr w:rsidR="006C3E10" w:rsidRPr="005D4222" w14:paraId="50273A4B" w14:textId="77777777" w:rsidTr="00C1102C">
        <w:trPr>
          <w:cantSplit/>
        </w:trPr>
        <w:tc>
          <w:tcPr>
            <w:tcW w:w="3060" w:type="dxa"/>
            <w:tcBorders>
              <w:bottom w:val="nil"/>
            </w:tcBorders>
          </w:tcPr>
          <w:p w14:paraId="62109370" w14:textId="77777777" w:rsidR="006C3E10" w:rsidRPr="005D4222" w:rsidRDefault="006C3E10" w:rsidP="009F6641">
            <w:pPr>
              <w:pStyle w:val="TableText"/>
              <w:widowControl w:val="0"/>
              <w:tabs>
                <w:tab w:val="right" w:pos="1512"/>
              </w:tabs>
              <w:jc w:val="center"/>
              <w:rPr>
                <w:rFonts w:ascii="Arial" w:hAnsi="Arial" w:cs="Arial"/>
                <w:sz w:val="20"/>
                <w:szCs w:val="20"/>
              </w:rPr>
            </w:pPr>
            <w:r w:rsidRPr="005D4222">
              <w:rPr>
                <w:rFonts w:ascii="Arial" w:hAnsi="Arial" w:cs="Arial"/>
                <w:sz w:val="20"/>
                <w:szCs w:val="20"/>
              </w:rPr>
              <w:t>57%</w:t>
            </w:r>
          </w:p>
        </w:tc>
        <w:tc>
          <w:tcPr>
            <w:tcW w:w="1602" w:type="dxa"/>
            <w:tcBorders>
              <w:bottom w:val="nil"/>
              <w:right w:val="single" w:sz="4" w:space="0" w:color="auto"/>
            </w:tcBorders>
          </w:tcPr>
          <w:p w14:paraId="30F50B07"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403</w:t>
            </w:r>
          </w:p>
        </w:tc>
        <w:tc>
          <w:tcPr>
            <w:tcW w:w="360" w:type="dxa"/>
            <w:vMerge/>
            <w:tcBorders>
              <w:bottom w:val="nil"/>
            </w:tcBorders>
          </w:tcPr>
          <w:p w14:paraId="43B4CF21" w14:textId="77777777" w:rsidR="006C3E10" w:rsidRPr="005D4222" w:rsidRDefault="006C3E10" w:rsidP="009F6641">
            <w:pPr>
              <w:pStyle w:val="TableText"/>
              <w:widowControl w:val="0"/>
              <w:jc w:val="center"/>
              <w:rPr>
                <w:rFonts w:ascii="Arial" w:hAnsi="Arial" w:cs="Arial"/>
                <w:sz w:val="20"/>
                <w:szCs w:val="20"/>
              </w:rPr>
            </w:pPr>
          </w:p>
        </w:tc>
        <w:tc>
          <w:tcPr>
            <w:tcW w:w="3078" w:type="dxa"/>
            <w:tcBorders>
              <w:left w:val="single" w:sz="4" w:space="0" w:color="auto"/>
              <w:bottom w:val="nil"/>
            </w:tcBorders>
          </w:tcPr>
          <w:p w14:paraId="0A7AF8B0"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80%</w:t>
            </w:r>
          </w:p>
        </w:tc>
        <w:tc>
          <w:tcPr>
            <w:tcW w:w="1620" w:type="dxa"/>
            <w:tcBorders>
              <w:bottom w:val="nil"/>
            </w:tcBorders>
          </w:tcPr>
          <w:p w14:paraId="2AA3274B"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270</w:t>
            </w:r>
          </w:p>
        </w:tc>
      </w:tr>
      <w:tr w:rsidR="006439AD" w:rsidRPr="005D4222" w14:paraId="425A4C55" w14:textId="77777777" w:rsidTr="00C1102C">
        <w:trPr>
          <w:cantSplit/>
        </w:trPr>
        <w:tc>
          <w:tcPr>
            <w:tcW w:w="3060" w:type="dxa"/>
            <w:shd w:val="clear" w:color="auto" w:fill="FFFFFF" w:themeFill="background1"/>
          </w:tcPr>
          <w:p w14:paraId="0BF4251E" w14:textId="77777777" w:rsidR="006C3E10" w:rsidRPr="005D4222" w:rsidRDefault="006C3E10" w:rsidP="009F6641">
            <w:pPr>
              <w:pStyle w:val="TableText"/>
              <w:widowControl w:val="0"/>
              <w:tabs>
                <w:tab w:val="right" w:pos="1512"/>
              </w:tabs>
              <w:jc w:val="center"/>
              <w:rPr>
                <w:rFonts w:ascii="Arial" w:hAnsi="Arial" w:cs="Arial"/>
                <w:sz w:val="20"/>
                <w:szCs w:val="20"/>
              </w:rPr>
            </w:pPr>
            <w:r w:rsidRPr="005D4222">
              <w:rPr>
                <w:rFonts w:ascii="Arial" w:hAnsi="Arial" w:cs="Arial"/>
                <w:sz w:val="20"/>
                <w:szCs w:val="20"/>
              </w:rPr>
              <w:t>58%</w:t>
            </w:r>
          </w:p>
        </w:tc>
        <w:tc>
          <w:tcPr>
            <w:tcW w:w="1602" w:type="dxa"/>
            <w:tcBorders>
              <w:right w:val="single" w:sz="4" w:space="0" w:color="auto"/>
            </w:tcBorders>
            <w:shd w:val="clear" w:color="auto" w:fill="FFFFFF" w:themeFill="background1"/>
          </w:tcPr>
          <w:p w14:paraId="3040A985"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401</w:t>
            </w:r>
          </w:p>
        </w:tc>
        <w:tc>
          <w:tcPr>
            <w:tcW w:w="360" w:type="dxa"/>
            <w:vMerge/>
            <w:tcBorders>
              <w:bottom w:val="nil"/>
            </w:tcBorders>
          </w:tcPr>
          <w:p w14:paraId="3BB420F1" w14:textId="77777777" w:rsidR="006C3E10" w:rsidRPr="005D4222" w:rsidRDefault="006C3E10" w:rsidP="009F6641">
            <w:pPr>
              <w:pStyle w:val="TableText"/>
              <w:widowControl w:val="0"/>
              <w:jc w:val="center"/>
              <w:rPr>
                <w:rFonts w:ascii="Arial" w:hAnsi="Arial" w:cs="Arial"/>
                <w:sz w:val="20"/>
                <w:szCs w:val="20"/>
              </w:rPr>
            </w:pPr>
          </w:p>
        </w:tc>
        <w:tc>
          <w:tcPr>
            <w:tcW w:w="3078" w:type="dxa"/>
            <w:tcBorders>
              <w:left w:val="single" w:sz="4" w:space="0" w:color="auto"/>
            </w:tcBorders>
            <w:shd w:val="clear" w:color="auto" w:fill="FFFFFF" w:themeFill="background1"/>
          </w:tcPr>
          <w:p w14:paraId="08609E49"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81%</w:t>
            </w:r>
          </w:p>
        </w:tc>
        <w:tc>
          <w:tcPr>
            <w:tcW w:w="1620" w:type="dxa"/>
            <w:shd w:val="clear" w:color="auto" w:fill="FFFFFF" w:themeFill="background1"/>
          </w:tcPr>
          <w:p w14:paraId="7DA51D19"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260</w:t>
            </w:r>
          </w:p>
        </w:tc>
      </w:tr>
      <w:tr w:rsidR="006C3E10" w:rsidRPr="005D4222" w14:paraId="7A13329E" w14:textId="77777777" w:rsidTr="00C1102C">
        <w:trPr>
          <w:cantSplit/>
        </w:trPr>
        <w:tc>
          <w:tcPr>
            <w:tcW w:w="3060" w:type="dxa"/>
            <w:tcBorders>
              <w:bottom w:val="nil"/>
            </w:tcBorders>
          </w:tcPr>
          <w:p w14:paraId="1D2F2349" w14:textId="77777777" w:rsidR="006C3E10" w:rsidRPr="005D4222" w:rsidRDefault="006C3E10" w:rsidP="009F6641">
            <w:pPr>
              <w:pStyle w:val="TableText"/>
              <w:widowControl w:val="0"/>
              <w:tabs>
                <w:tab w:val="right" w:pos="1512"/>
              </w:tabs>
              <w:jc w:val="center"/>
              <w:rPr>
                <w:rFonts w:ascii="Arial" w:hAnsi="Arial" w:cs="Arial"/>
                <w:sz w:val="20"/>
                <w:szCs w:val="20"/>
              </w:rPr>
            </w:pPr>
            <w:r w:rsidRPr="005D4222">
              <w:rPr>
                <w:rFonts w:ascii="Arial" w:hAnsi="Arial" w:cs="Arial"/>
                <w:sz w:val="20"/>
                <w:szCs w:val="20"/>
              </w:rPr>
              <w:t>59%</w:t>
            </w:r>
          </w:p>
        </w:tc>
        <w:tc>
          <w:tcPr>
            <w:tcW w:w="1602" w:type="dxa"/>
            <w:tcBorders>
              <w:bottom w:val="nil"/>
              <w:right w:val="single" w:sz="4" w:space="0" w:color="auto"/>
            </w:tcBorders>
          </w:tcPr>
          <w:p w14:paraId="34696928"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398</w:t>
            </w:r>
          </w:p>
        </w:tc>
        <w:tc>
          <w:tcPr>
            <w:tcW w:w="360" w:type="dxa"/>
            <w:vMerge/>
            <w:tcBorders>
              <w:bottom w:val="nil"/>
            </w:tcBorders>
          </w:tcPr>
          <w:p w14:paraId="4AF401DE" w14:textId="77777777" w:rsidR="006C3E10" w:rsidRPr="005D4222" w:rsidRDefault="006C3E10" w:rsidP="009F6641">
            <w:pPr>
              <w:pStyle w:val="TableText"/>
              <w:widowControl w:val="0"/>
              <w:jc w:val="center"/>
              <w:rPr>
                <w:rFonts w:ascii="Arial" w:hAnsi="Arial" w:cs="Arial"/>
                <w:sz w:val="20"/>
                <w:szCs w:val="20"/>
              </w:rPr>
            </w:pPr>
          </w:p>
        </w:tc>
        <w:tc>
          <w:tcPr>
            <w:tcW w:w="3078" w:type="dxa"/>
            <w:tcBorders>
              <w:left w:val="single" w:sz="4" w:space="0" w:color="auto"/>
              <w:bottom w:val="nil"/>
            </w:tcBorders>
          </w:tcPr>
          <w:p w14:paraId="0DF86F6D"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82%</w:t>
            </w:r>
          </w:p>
        </w:tc>
        <w:tc>
          <w:tcPr>
            <w:tcW w:w="1620" w:type="dxa"/>
            <w:tcBorders>
              <w:bottom w:val="nil"/>
            </w:tcBorders>
          </w:tcPr>
          <w:p w14:paraId="0ED770E8"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250</w:t>
            </w:r>
          </w:p>
        </w:tc>
      </w:tr>
      <w:tr w:rsidR="006439AD" w:rsidRPr="005D4222" w14:paraId="252B37F5" w14:textId="77777777" w:rsidTr="00C1102C">
        <w:trPr>
          <w:cantSplit/>
        </w:trPr>
        <w:tc>
          <w:tcPr>
            <w:tcW w:w="3060" w:type="dxa"/>
            <w:shd w:val="clear" w:color="auto" w:fill="FFFFFF" w:themeFill="background1"/>
          </w:tcPr>
          <w:p w14:paraId="4D89DC65" w14:textId="77777777" w:rsidR="006C3E10" w:rsidRPr="005D4222" w:rsidRDefault="006C3E10" w:rsidP="009F6641">
            <w:pPr>
              <w:pStyle w:val="TableText"/>
              <w:widowControl w:val="0"/>
              <w:tabs>
                <w:tab w:val="right" w:pos="1512"/>
              </w:tabs>
              <w:jc w:val="center"/>
              <w:rPr>
                <w:rFonts w:ascii="Arial" w:hAnsi="Arial" w:cs="Arial"/>
                <w:sz w:val="20"/>
                <w:szCs w:val="20"/>
              </w:rPr>
            </w:pPr>
            <w:r w:rsidRPr="005D4222">
              <w:rPr>
                <w:rFonts w:ascii="Arial" w:hAnsi="Arial" w:cs="Arial"/>
                <w:sz w:val="20"/>
                <w:szCs w:val="20"/>
              </w:rPr>
              <w:t>60%</w:t>
            </w:r>
          </w:p>
        </w:tc>
        <w:tc>
          <w:tcPr>
            <w:tcW w:w="1602" w:type="dxa"/>
            <w:tcBorders>
              <w:right w:val="single" w:sz="4" w:space="0" w:color="auto"/>
            </w:tcBorders>
            <w:shd w:val="clear" w:color="auto" w:fill="FFFFFF" w:themeFill="background1"/>
          </w:tcPr>
          <w:p w14:paraId="3CD8F86A"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395</w:t>
            </w:r>
          </w:p>
        </w:tc>
        <w:tc>
          <w:tcPr>
            <w:tcW w:w="360" w:type="dxa"/>
            <w:vMerge/>
            <w:tcBorders>
              <w:bottom w:val="nil"/>
            </w:tcBorders>
          </w:tcPr>
          <w:p w14:paraId="6ABEDFA9" w14:textId="77777777" w:rsidR="006C3E10" w:rsidRPr="005D4222" w:rsidRDefault="006C3E10" w:rsidP="009F6641">
            <w:pPr>
              <w:pStyle w:val="TableText"/>
              <w:widowControl w:val="0"/>
              <w:jc w:val="center"/>
              <w:rPr>
                <w:rFonts w:ascii="Arial" w:hAnsi="Arial" w:cs="Arial"/>
                <w:sz w:val="20"/>
                <w:szCs w:val="20"/>
              </w:rPr>
            </w:pPr>
          </w:p>
        </w:tc>
        <w:tc>
          <w:tcPr>
            <w:tcW w:w="3078" w:type="dxa"/>
            <w:tcBorders>
              <w:left w:val="single" w:sz="4" w:space="0" w:color="auto"/>
            </w:tcBorders>
            <w:shd w:val="clear" w:color="auto" w:fill="FFFFFF" w:themeFill="background1"/>
          </w:tcPr>
          <w:p w14:paraId="3797387A"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83%</w:t>
            </w:r>
          </w:p>
        </w:tc>
        <w:tc>
          <w:tcPr>
            <w:tcW w:w="1620" w:type="dxa"/>
            <w:shd w:val="clear" w:color="auto" w:fill="FFFFFF" w:themeFill="background1"/>
          </w:tcPr>
          <w:p w14:paraId="3F5E713E"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240</w:t>
            </w:r>
          </w:p>
        </w:tc>
      </w:tr>
      <w:tr w:rsidR="006C3E10" w:rsidRPr="005D4222" w14:paraId="759C57CA" w14:textId="77777777" w:rsidTr="00C1102C">
        <w:trPr>
          <w:cantSplit/>
        </w:trPr>
        <w:tc>
          <w:tcPr>
            <w:tcW w:w="3060" w:type="dxa"/>
            <w:tcBorders>
              <w:bottom w:val="nil"/>
            </w:tcBorders>
          </w:tcPr>
          <w:p w14:paraId="060E8315" w14:textId="77777777" w:rsidR="006C3E10" w:rsidRPr="005D4222" w:rsidRDefault="006C3E10" w:rsidP="009F6641">
            <w:pPr>
              <w:pStyle w:val="TableText"/>
              <w:widowControl w:val="0"/>
              <w:tabs>
                <w:tab w:val="right" w:pos="1512"/>
              </w:tabs>
              <w:jc w:val="center"/>
              <w:rPr>
                <w:rFonts w:ascii="Arial" w:hAnsi="Arial" w:cs="Arial"/>
                <w:sz w:val="20"/>
                <w:szCs w:val="20"/>
              </w:rPr>
            </w:pPr>
            <w:r w:rsidRPr="005D4222">
              <w:rPr>
                <w:rFonts w:ascii="Arial" w:hAnsi="Arial" w:cs="Arial"/>
                <w:sz w:val="20"/>
                <w:szCs w:val="20"/>
              </w:rPr>
              <w:t>61%</w:t>
            </w:r>
          </w:p>
        </w:tc>
        <w:tc>
          <w:tcPr>
            <w:tcW w:w="1602" w:type="dxa"/>
            <w:tcBorders>
              <w:bottom w:val="nil"/>
              <w:right w:val="single" w:sz="4" w:space="0" w:color="auto"/>
            </w:tcBorders>
          </w:tcPr>
          <w:p w14:paraId="75C75E45"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392</w:t>
            </w:r>
          </w:p>
        </w:tc>
        <w:tc>
          <w:tcPr>
            <w:tcW w:w="360" w:type="dxa"/>
            <w:vMerge/>
            <w:tcBorders>
              <w:bottom w:val="nil"/>
            </w:tcBorders>
          </w:tcPr>
          <w:p w14:paraId="7C786C42" w14:textId="77777777" w:rsidR="006C3E10" w:rsidRPr="005D4222" w:rsidRDefault="006C3E10" w:rsidP="009F6641">
            <w:pPr>
              <w:pStyle w:val="TableText"/>
              <w:widowControl w:val="0"/>
              <w:jc w:val="center"/>
              <w:rPr>
                <w:rFonts w:ascii="Arial" w:hAnsi="Arial" w:cs="Arial"/>
                <w:sz w:val="20"/>
                <w:szCs w:val="20"/>
              </w:rPr>
            </w:pPr>
          </w:p>
        </w:tc>
        <w:tc>
          <w:tcPr>
            <w:tcW w:w="3078" w:type="dxa"/>
            <w:tcBorders>
              <w:left w:val="single" w:sz="4" w:space="0" w:color="auto"/>
              <w:bottom w:val="nil"/>
            </w:tcBorders>
          </w:tcPr>
          <w:p w14:paraId="32DE0F19"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84%</w:t>
            </w:r>
          </w:p>
        </w:tc>
        <w:tc>
          <w:tcPr>
            <w:tcW w:w="1620" w:type="dxa"/>
            <w:tcBorders>
              <w:bottom w:val="nil"/>
            </w:tcBorders>
          </w:tcPr>
          <w:p w14:paraId="0BF5F3F3"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229</w:t>
            </w:r>
          </w:p>
        </w:tc>
      </w:tr>
      <w:tr w:rsidR="006439AD" w:rsidRPr="005D4222" w14:paraId="37D5ABBE" w14:textId="77777777" w:rsidTr="00C1102C">
        <w:trPr>
          <w:cantSplit/>
        </w:trPr>
        <w:tc>
          <w:tcPr>
            <w:tcW w:w="3060" w:type="dxa"/>
            <w:shd w:val="clear" w:color="auto" w:fill="FFFFFF" w:themeFill="background1"/>
          </w:tcPr>
          <w:p w14:paraId="09E0C82A" w14:textId="77777777" w:rsidR="006C3E10" w:rsidRPr="005D4222" w:rsidRDefault="006C3E10" w:rsidP="009F6641">
            <w:pPr>
              <w:pStyle w:val="TableText"/>
              <w:widowControl w:val="0"/>
              <w:tabs>
                <w:tab w:val="right" w:pos="1512"/>
              </w:tabs>
              <w:jc w:val="center"/>
              <w:rPr>
                <w:rFonts w:ascii="Arial" w:hAnsi="Arial" w:cs="Arial"/>
                <w:sz w:val="20"/>
                <w:szCs w:val="20"/>
              </w:rPr>
            </w:pPr>
            <w:r w:rsidRPr="005D4222">
              <w:rPr>
                <w:rFonts w:ascii="Arial" w:hAnsi="Arial" w:cs="Arial"/>
                <w:sz w:val="20"/>
                <w:szCs w:val="20"/>
              </w:rPr>
              <w:t>62%</w:t>
            </w:r>
          </w:p>
        </w:tc>
        <w:tc>
          <w:tcPr>
            <w:tcW w:w="1602" w:type="dxa"/>
            <w:tcBorders>
              <w:right w:val="single" w:sz="4" w:space="0" w:color="auto"/>
            </w:tcBorders>
            <w:shd w:val="clear" w:color="auto" w:fill="FFFFFF" w:themeFill="background1"/>
          </w:tcPr>
          <w:p w14:paraId="0F6B9667"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388</w:t>
            </w:r>
          </w:p>
        </w:tc>
        <w:tc>
          <w:tcPr>
            <w:tcW w:w="360" w:type="dxa"/>
            <w:vMerge/>
            <w:tcBorders>
              <w:bottom w:val="nil"/>
            </w:tcBorders>
          </w:tcPr>
          <w:p w14:paraId="2D75A82A" w14:textId="77777777" w:rsidR="006C3E10" w:rsidRPr="005D4222" w:rsidRDefault="006C3E10" w:rsidP="009F6641">
            <w:pPr>
              <w:pStyle w:val="TableText"/>
              <w:widowControl w:val="0"/>
              <w:jc w:val="center"/>
              <w:rPr>
                <w:rFonts w:ascii="Arial" w:hAnsi="Arial" w:cs="Arial"/>
                <w:sz w:val="20"/>
                <w:szCs w:val="20"/>
              </w:rPr>
            </w:pPr>
          </w:p>
        </w:tc>
        <w:tc>
          <w:tcPr>
            <w:tcW w:w="3078" w:type="dxa"/>
            <w:tcBorders>
              <w:left w:val="single" w:sz="4" w:space="0" w:color="auto"/>
            </w:tcBorders>
            <w:shd w:val="clear" w:color="auto" w:fill="FFFFFF" w:themeFill="background1"/>
          </w:tcPr>
          <w:p w14:paraId="15C11652"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85%</w:t>
            </w:r>
          </w:p>
        </w:tc>
        <w:tc>
          <w:tcPr>
            <w:tcW w:w="1620" w:type="dxa"/>
            <w:shd w:val="clear" w:color="auto" w:fill="FFFFFF" w:themeFill="background1"/>
          </w:tcPr>
          <w:p w14:paraId="2B821112"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219</w:t>
            </w:r>
          </w:p>
        </w:tc>
      </w:tr>
      <w:tr w:rsidR="006C3E10" w:rsidRPr="005D4222" w14:paraId="60F5569B" w14:textId="77777777" w:rsidTr="00C1102C">
        <w:trPr>
          <w:cantSplit/>
        </w:trPr>
        <w:tc>
          <w:tcPr>
            <w:tcW w:w="3060" w:type="dxa"/>
            <w:tcBorders>
              <w:bottom w:val="nil"/>
            </w:tcBorders>
          </w:tcPr>
          <w:p w14:paraId="1B2A6773" w14:textId="77777777" w:rsidR="006C3E10" w:rsidRPr="005D4222" w:rsidRDefault="006C3E10" w:rsidP="009F6641">
            <w:pPr>
              <w:pStyle w:val="TableText"/>
              <w:widowControl w:val="0"/>
              <w:tabs>
                <w:tab w:val="right" w:pos="1512"/>
              </w:tabs>
              <w:jc w:val="center"/>
              <w:rPr>
                <w:rFonts w:ascii="Arial" w:hAnsi="Arial" w:cs="Arial"/>
                <w:sz w:val="20"/>
                <w:szCs w:val="20"/>
              </w:rPr>
            </w:pPr>
            <w:r w:rsidRPr="005D4222">
              <w:rPr>
                <w:rFonts w:ascii="Arial" w:hAnsi="Arial" w:cs="Arial"/>
                <w:sz w:val="20"/>
                <w:szCs w:val="20"/>
              </w:rPr>
              <w:t>63%</w:t>
            </w:r>
          </w:p>
        </w:tc>
        <w:tc>
          <w:tcPr>
            <w:tcW w:w="1602" w:type="dxa"/>
            <w:tcBorders>
              <w:bottom w:val="nil"/>
              <w:right w:val="single" w:sz="4" w:space="0" w:color="auto"/>
            </w:tcBorders>
          </w:tcPr>
          <w:p w14:paraId="44CF6EEF"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384</w:t>
            </w:r>
          </w:p>
        </w:tc>
        <w:tc>
          <w:tcPr>
            <w:tcW w:w="360" w:type="dxa"/>
            <w:vMerge/>
            <w:tcBorders>
              <w:bottom w:val="nil"/>
            </w:tcBorders>
          </w:tcPr>
          <w:p w14:paraId="64DF9D97" w14:textId="77777777" w:rsidR="006C3E10" w:rsidRPr="005D4222" w:rsidRDefault="006C3E10" w:rsidP="009F6641">
            <w:pPr>
              <w:pStyle w:val="TableText"/>
              <w:widowControl w:val="0"/>
              <w:jc w:val="center"/>
              <w:rPr>
                <w:rFonts w:ascii="Arial" w:hAnsi="Arial" w:cs="Arial"/>
                <w:sz w:val="20"/>
                <w:szCs w:val="20"/>
              </w:rPr>
            </w:pPr>
          </w:p>
        </w:tc>
        <w:tc>
          <w:tcPr>
            <w:tcW w:w="3078" w:type="dxa"/>
            <w:tcBorders>
              <w:left w:val="single" w:sz="4" w:space="0" w:color="auto"/>
              <w:bottom w:val="nil"/>
            </w:tcBorders>
          </w:tcPr>
          <w:p w14:paraId="71AD90BB"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86%</w:t>
            </w:r>
          </w:p>
        </w:tc>
        <w:tc>
          <w:tcPr>
            <w:tcW w:w="1620" w:type="dxa"/>
            <w:tcBorders>
              <w:bottom w:val="nil"/>
            </w:tcBorders>
          </w:tcPr>
          <w:p w14:paraId="2A963ED6"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207</w:t>
            </w:r>
          </w:p>
        </w:tc>
      </w:tr>
      <w:tr w:rsidR="006439AD" w:rsidRPr="005D4222" w14:paraId="3951D810" w14:textId="77777777" w:rsidTr="00C1102C">
        <w:trPr>
          <w:cantSplit/>
        </w:trPr>
        <w:tc>
          <w:tcPr>
            <w:tcW w:w="3060" w:type="dxa"/>
            <w:shd w:val="clear" w:color="auto" w:fill="FFFFFF" w:themeFill="background1"/>
          </w:tcPr>
          <w:p w14:paraId="3F08615C" w14:textId="77777777" w:rsidR="006C3E10" w:rsidRPr="005D4222" w:rsidRDefault="006C3E10" w:rsidP="009F6641">
            <w:pPr>
              <w:pStyle w:val="TableText"/>
              <w:widowControl w:val="0"/>
              <w:tabs>
                <w:tab w:val="right" w:pos="1512"/>
              </w:tabs>
              <w:jc w:val="center"/>
              <w:rPr>
                <w:rFonts w:ascii="Arial" w:hAnsi="Arial" w:cs="Arial"/>
                <w:sz w:val="20"/>
                <w:szCs w:val="20"/>
              </w:rPr>
            </w:pPr>
            <w:r w:rsidRPr="005D4222">
              <w:rPr>
                <w:rFonts w:ascii="Arial" w:hAnsi="Arial" w:cs="Arial"/>
                <w:sz w:val="20"/>
                <w:szCs w:val="20"/>
              </w:rPr>
              <w:t>64%</w:t>
            </w:r>
          </w:p>
        </w:tc>
        <w:tc>
          <w:tcPr>
            <w:tcW w:w="1602" w:type="dxa"/>
            <w:tcBorders>
              <w:right w:val="single" w:sz="4" w:space="0" w:color="auto"/>
            </w:tcBorders>
            <w:shd w:val="clear" w:color="auto" w:fill="FFFFFF" w:themeFill="background1"/>
          </w:tcPr>
          <w:p w14:paraId="3F8BD339"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380</w:t>
            </w:r>
          </w:p>
        </w:tc>
        <w:tc>
          <w:tcPr>
            <w:tcW w:w="360" w:type="dxa"/>
            <w:vMerge/>
            <w:tcBorders>
              <w:bottom w:val="nil"/>
            </w:tcBorders>
          </w:tcPr>
          <w:p w14:paraId="72331283" w14:textId="77777777" w:rsidR="006C3E10" w:rsidRPr="005D4222" w:rsidRDefault="006C3E10" w:rsidP="009F6641">
            <w:pPr>
              <w:pStyle w:val="TableText"/>
              <w:widowControl w:val="0"/>
              <w:jc w:val="center"/>
              <w:rPr>
                <w:rFonts w:ascii="Arial" w:hAnsi="Arial" w:cs="Arial"/>
                <w:sz w:val="20"/>
                <w:szCs w:val="20"/>
              </w:rPr>
            </w:pPr>
          </w:p>
        </w:tc>
        <w:tc>
          <w:tcPr>
            <w:tcW w:w="3078" w:type="dxa"/>
            <w:tcBorders>
              <w:left w:val="single" w:sz="4" w:space="0" w:color="auto"/>
            </w:tcBorders>
            <w:shd w:val="clear" w:color="auto" w:fill="FFFFFF" w:themeFill="background1"/>
          </w:tcPr>
          <w:p w14:paraId="2C5A1F81"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87%</w:t>
            </w:r>
          </w:p>
        </w:tc>
        <w:tc>
          <w:tcPr>
            <w:tcW w:w="1620" w:type="dxa"/>
            <w:shd w:val="clear" w:color="auto" w:fill="FFFFFF" w:themeFill="background1"/>
          </w:tcPr>
          <w:p w14:paraId="187771B4"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196</w:t>
            </w:r>
          </w:p>
        </w:tc>
      </w:tr>
      <w:tr w:rsidR="006C3E10" w:rsidRPr="005D4222" w14:paraId="65D30D2B" w14:textId="77777777" w:rsidTr="00C1102C">
        <w:trPr>
          <w:cantSplit/>
        </w:trPr>
        <w:tc>
          <w:tcPr>
            <w:tcW w:w="3060" w:type="dxa"/>
            <w:tcBorders>
              <w:bottom w:val="nil"/>
            </w:tcBorders>
          </w:tcPr>
          <w:p w14:paraId="13DAB734" w14:textId="77777777" w:rsidR="006C3E10" w:rsidRPr="005D4222" w:rsidRDefault="006C3E10" w:rsidP="009F6641">
            <w:pPr>
              <w:pStyle w:val="TableText"/>
              <w:widowControl w:val="0"/>
              <w:tabs>
                <w:tab w:val="right" w:pos="1512"/>
              </w:tabs>
              <w:jc w:val="center"/>
              <w:rPr>
                <w:rFonts w:ascii="Arial" w:hAnsi="Arial" w:cs="Arial"/>
                <w:sz w:val="20"/>
                <w:szCs w:val="20"/>
              </w:rPr>
            </w:pPr>
            <w:r w:rsidRPr="005D4222">
              <w:rPr>
                <w:rFonts w:ascii="Arial" w:hAnsi="Arial" w:cs="Arial"/>
                <w:sz w:val="20"/>
                <w:szCs w:val="20"/>
              </w:rPr>
              <w:t>65%</w:t>
            </w:r>
          </w:p>
        </w:tc>
        <w:tc>
          <w:tcPr>
            <w:tcW w:w="1602" w:type="dxa"/>
            <w:tcBorders>
              <w:bottom w:val="nil"/>
              <w:right w:val="single" w:sz="4" w:space="0" w:color="auto"/>
            </w:tcBorders>
          </w:tcPr>
          <w:p w14:paraId="48B3141E"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376</w:t>
            </w:r>
          </w:p>
        </w:tc>
        <w:tc>
          <w:tcPr>
            <w:tcW w:w="360" w:type="dxa"/>
            <w:vMerge/>
            <w:tcBorders>
              <w:bottom w:val="nil"/>
            </w:tcBorders>
          </w:tcPr>
          <w:p w14:paraId="19178EA7" w14:textId="77777777" w:rsidR="006C3E10" w:rsidRPr="005D4222" w:rsidRDefault="006C3E10" w:rsidP="009F6641">
            <w:pPr>
              <w:pStyle w:val="TableText"/>
              <w:widowControl w:val="0"/>
              <w:jc w:val="center"/>
              <w:rPr>
                <w:rFonts w:ascii="Arial" w:hAnsi="Arial" w:cs="Arial"/>
                <w:sz w:val="20"/>
                <w:szCs w:val="20"/>
              </w:rPr>
            </w:pPr>
          </w:p>
        </w:tc>
        <w:tc>
          <w:tcPr>
            <w:tcW w:w="3078" w:type="dxa"/>
            <w:tcBorders>
              <w:left w:val="single" w:sz="4" w:space="0" w:color="auto"/>
              <w:bottom w:val="nil"/>
            </w:tcBorders>
          </w:tcPr>
          <w:p w14:paraId="37C868A5"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88%</w:t>
            </w:r>
          </w:p>
        </w:tc>
        <w:tc>
          <w:tcPr>
            <w:tcW w:w="1620" w:type="dxa"/>
            <w:tcBorders>
              <w:bottom w:val="nil"/>
            </w:tcBorders>
          </w:tcPr>
          <w:p w14:paraId="1E6362D3"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184</w:t>
            </w:r>
          </w:p>
        </w:tc>
      </w:tr>
      <w:tr w:rsidR="006439AD" w:rsidRPr="005D4222" w14:paraId="03C94BBC" w14:textId="77777777" w:rsidTr="00C1102C">
        <w:trPr>
          <w:cantSplit/>
        </w:trPr>
        <w:tc>
          <w:tcPr>
            <w:tcW w:w="3060" w:type="dxa"/>
            <w:shd w:val="clear" w:color="auto" w:fill="FFFFFF" w:themeFill="background1"/>
          </w:tcPr>
          <w:p w14:paraId="6CAD26A0" w14:textId="77777777" w:rsidR="006C3E10" w:rsidRPr="005D4222" w:rsidRDefault="006C3E10" w:rsidP="009F6641">
            <w:pPr>
              <w:pStyle w:val="TableText"/>
              <w:widowControl w:val="0"/>
              <w:tabs>
                <w:tab w:val="right" w:pos="1512"/>
              </w:tabs>
              <w:jc w:val="center"/>
              <w:rPr>
                <w:rFonts w:ascii="Arial" w:hAnsi="Arial" w:cs="Arial"/>
                <w:sz w:val="20"/>
                <w:szCs w:val="20"/>
              </w:rPr>
            </w:pPr>
            <w:r w:rsidRPr="005D4222">
              <w:rPr>
                <w:rFonts w:ascii="Arial" w:hAnsi="Arial" w:cs="Arial"/>
                <w:sz w:val="20"/>
                <w:szCs w:val="20"/>
              </w:rPr>
              <w:t>66%</w:t>
            </w:r>
          </w:p>
        </w:tc>
        <w:tc>
          <w:tcPr>
            <w:tcW w:w="1602" w:type="dxa"/>
            <w:tcBorders>
              <w:right w:val="single" w:sz="4" w:space="0" w:color="auto"/>
            </w:tcBorders>
            <w:shd w:val="clear" w:color="auto" w:fill="FFFFFF" w:themeFill="background1"/>
          </w:tcPr>
          <w:p w14:paraId="49AFB991"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371</w:t>
            </w:r>
          </w:p>
        </w:tc>
        <w:tc>
          <w:tcPr>
            <w:tcW w:w="360" w:type="dxa"/>
            <w:vMerge/>
            <w:tcBorders>
              <w:bottom w:val="nil"/>
            </w:tcBorders>
          </w:tcPr>
          <w:p w14:paraId="756EC9D0" w14:textId="77777777" w:rsidR="006C3E10" w:rsidRPr="005D4222" w:rsidRDefault="006C3E10" w:rsidP="009F6641">
            <w:pPr>
              <w:pStyle w:val="TableText"/>
              <w:widowControl w:val="0"/>
              <w:jc w:val="center"/>
              <w:rPr>
                <w:rFonts w:ascii="Arial" w:hAnsi="Arial" w:cs="Arial"/>
                <w:sz w:val="20"/>
                <w:szCs w:val="20"/>
              </w:rPr>
            </w:pPr>
          </w:p>
        </w:tc>
        <w:tc>
          <w:tcPr>
            <w:tcW w:w="3078" w:type="dxa"/>
            <w:tcBorders>
              <w:left w:val="single" w:sz="4" w:space="0" w:color="auto"/>
            </w:tcBorders>
            <w:shd w:val="clear" w:color="auto" w:fill="FFFFFF" w:themeFill="background1"/>
          </w:tcPr>
          <w:p w14:paraId="36411E1C"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89%</w:t>
            </w:r>
          </w:p>
        </w:tc>
        <w:tc>
          <w:tcPr>
            <w:tcW w:w="1620" w:type="dxa"/>
            <w:shd w:val="clear" w:color="auto" w:fill="FFFFFF" w:themeFill="background1"/>
          </w:tcPr>
          <w:p w14:paraId="7B2CE139"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172</w:t>
            </w:r>
          </w:p>
        </w:tc>
      </w:tr>
      <w:tr w:rsidR="006C3E10" w:rsidRPr="005D4222" w14:paraId="32E42BB1" w14:textId="77777777" w:rsidTr="00C1102C">
        <w:trPr>
          <w:cantSplit/>
        </w:trPr>
        <w:tc>
          <w:tcPr>
            <w:tcW w:w="3060" w:type="dxa"/>
            <w:tcBorders>
              <w:bottom w:val="nil"/>
            </w:tcBorders>
          </w:tcPr>
          <w:p w14:paraId="5C6B20DF" w14:textId="77777777" w:rsidR="006C3E10" w:rsidRPr="005D4222" w:rsidRDefault="006C3E10" w:rsidP="009F6641">
            <w:pPr>
              <w:pStyle w:val="TableText"/>
              <w:widowControl w:val="0"/>
              <w:tabs>
                <w:tab w:val="right" w:pos="1512"/>
              </w:tabs>
              <w:jc w:val="center"/>
              <w:rPr>
                <w:rFonts w:ascii="Arial" w:hAnsi="Arial" w:cs="Arial"/>
                <w:sz w:val="20"/>
                <w:szCs w:val="20"/>
              </w:rPr>
            </w:pPr>
            <w:r w:rsidRPr="005D4222">
              <w:rPr>
                <w:rFonts w:ascii="Arial" w:hAnsi="Arial" w:cs="Arial"/>
                <w:sz w:val="20"/>
                <w:szCs w:val="20"/>
              </w:rPr>
              <w:t>67%</w:t>
            </w:r>
          </w:p>
        </w:tc>
        <w:tc>
          <w:tcPr>
            <w:tcW w:w="1602" w:type="dxa"/>
            <w:tcBorders>
              <w:bottom w:val="nil"/>
              <w:right w:val="single" w:sz="4" w:space="0" w:color="auto"/>
            </w:tcBorders>
          </w:tcPr>
          <w:p w14:paraId="14D8DFFC"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366</w:t>
            </w:r>
          </w:p>
        </w:tc>
        <w:tc>
          <w:tcPr>
            <w:tcW w:w="360" w:type="dxa"/>
            <w:vMerge/>
            <w:tcBorders>
              <w:bottom w:val="nil"/>
            </w:tcBorders>
          </w:tcPr>
          <w:p w14:paraId="5F157946" w14:textId="77777777" w:rsidR="006C3E10" w:rsidRPr="005D4222" w:rsidRDefault="006C3E10" w:rsidP="009F6641">
            <w:pPr>
              <w:pStyle w:val="TableText"/>
              <w:widowControl w:val="0"/>
              <w:jc w:val="center"/>
              <w:rPr>
                <w:rFonts w:ascii="Arial" w:hAnsi="Arial" w:cs="Arial"/>
                <w:sz w:val="20"/>
                <w:szCs w:val="20"/>
              </w:rPr>
            </w:pPr>
          </w:p>
        </w:tc>
        <w:tc>
          <w:tcPr>
            <w:tcW w:w="3078" w:type="dxa"/>
            <w:tcBorders>
              <w:left w:val="single" w:sz="4" w:space="0" w:color="auto"/>
              <w:bottom w:val="nil"/>
            </w:tcBorders>
          </w:tcPr>
          <w:p w14:paraId="55DA4B25"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90%</w:t>
            </w:r>
          </w:p>
        </w:tc>
        <w:tc>
          <w:tcPr>
            <w:tcW w:w="1620" w:type="dxa"/>
            <w:tcBorders>
              <w:bottom w:val="nil"/>
            </w:tcBorders>
          </w:tcPr>
          <w:p w14:paraId="3281A6AE"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159</w:t>
            </w:r>
          </w:p>
        </w:tc>
      </w:tr>
      <w:tr w:rsidR="006439AD" w:rsidRPr="005D4222" w14:paraId="0E3A7CDB" w14:textId="77777777" w:rsidTr="00C1102C">
        <w:trPr>
          <w:cantSplit/>
        </w:trPr>
        <w:tc>
          <w:tcPr>
            <w:tcW w:w="3060" w:type="dxa"/>
            <w:shd w:val="clear" w:color="auto" w:fill="FFFFFF" w:themeFill="background1"/>
          </w:tcPr>
          <w:p w14:paraId="766CEDE7" w14:textId="77777777" w:rsidR="006C3E10" w:rsidRPr="005D4222" w:rsidRDefault="006C3E10" w:rsidP="009F6641">
            <w:pPr>
              <w:pStyle w:val="TableText"/>
              <w:widowControl w:val="0"/>
              <w:tabs>
                <w:tab w:val="right" w:pos="1512"/>
              </w:tabs>
              <w:jc w:val="center"/>
              <w:rPr>
                <w:rFonts w:ascii="Arial" w:hAnsi="Arial" w:cs="Arial"/>
                <w:sz w:val="20"/>
                <w:szCs w:val="20"/>
              </w:rPr>
            </w:pPr>
            <w:r w:rsidRPr="005D4222">
              <w:rPr>
                <w:rFonts w:ascii="Arial" w:hAnsi="Arial" w:cs="Arial"/>
                <w:sz w:val="20"/>
                <w:szCs w:val="20"/>
              </w:rPr>
              <w:t>68%</w:t>
            </w:r>
          </w:p>
        </w:tc>
        <w:tc>
          <w:tcPr>
            <w:tcW w:w="1602" w:type="dxa"/>
            <w:tcBorders>
              <w:right w:val="single" w:sz="4" w:space="0" w:color="auto"/>
            </w:tcBorders>
            <w:shd w:val="clear" w:color="auto" w:fill="FFFFFF" w:themeFill="background1"/>
          </w:tcPr>
          <w:p w14:paraId="4BEFB77F"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360</w:t>
            </w:r>
          </w:p>
        </w:tc>
        <w:tc>
          <w:tcPr>
            <w:tcW w:w="360" w:type="dxa"/>
            <w:vMerge/>
            <w:tcBorders>
              <w:bottom w:val="nil"/>
            </w:tcBorders>
          </w:tcPr>
          <w:p w14:paraId="465F5149" w14:textId="77777777" w:rsidR="006C3E10" w:rsidRPr="005D4222" w:rsidRDefault="006C3E10" w:rsidP="009F6641">
            <w:pPr>
              <w:pStyle w:val="TableText"/>
              <w:widowControl w:val="0"/>
              <w:jc w:val="center"/>
              <w:rPr>
                <w:rFonts w:ascii="Arial" w:hAnsi="Arial" w:cs="Arial"/>
                <w:sz w:val="20"/>
                <w:szCs w:val="20"/>
              </w:rPr>
            </w:pPr>
          </w:p>
        </w:tc>
        <w:tc>
          <w:tcPr>
            <w:tcW w:w="3078" w:type="dxa"/>
            <w:tcBorders>
              <w:left w:val="single" w:sz="4" w:space="0" w:color="auto"/>
            </w:tcBorders>
            <w:shd w:val="clear" w:color="auto" w:fill="FFFFFF" w:themeFill="background1"/>
          </w:tcPr>
          <w:p w14:paraId="51BE48AB"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91%</w:t>
            </w:r>
          </w:p>
        </w:tc>
        <w:tc>
          <w:tcPr>
            <w:tcW w:w="1620" w:type="dxa"/>
            <w:shd w:val="clear" w:color="auto" w:fill="FFFFFF" w:themeFill="background1"/>
          </w:tcPr>
          <w:p w14:paraId="0BF69839"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147</w:t>
            </w:r>
          </w:p>
        </w:tc>
      </w:tr>
      <w:tr w:rsidR="006C3E10" w:rsidRPr="005D4222" w14:paraId="3AC930FD" w14:textId="77777777" w:rsidTr="00C1102C">
        <w:trPr>
          <w:cantSplit/>
        </w:trPr>
        <w:tc>
          <w:tcPr>
            <w:tcW w:w="3060" w:type="dxa"/>
            <w:tcBorders>
              <w:bottom w:val="nil"/>
            </w:tcBorders>
          </w:tcPr>
          <w:p w14:paraId="74D48F3C" w14:textId="77777777" w:rsidR="006C3E10" w:rsidRPr="005D4222" w:rsidRDefault="006C3E10" w:rsidP="009F6641">
            <w:pPr>
              <w:pStyle w:val="TableText"/>
              <w:widowControl w:val="0"/>
              <w:tabs>
                <w:tab w:val="right" w:pos="1512"/>
              </w:tabs>
              <w:jc w:val="center"/>
              <w:rPr>
                <w:rFonts w:ascii="Arial" w:hAnsi="Arial" w:cs="Arial"/>
                <w:sz w:val="20"/>
                <w:szCs w:val="20"/>
              </w:rPr>
            </w:pPr>
            <w:r w:rsidRPr="005D4222">
              <w:rPr>
                <w:rFonts w:ascii="Arial" w:hAnsi="Arial" w:cs="Arial"/>
                <w:sz w:val="20"/>
                <w:szCs w:val="20"/>
              </w:rPr>
              <w:t>69%</w:t>
            </w:r>
          </w:p>
        </w:tc>
        <w:tc>
          <w:tcPr>
            <w:tcW w:w="1602" w:type="dxa"/>
            <w:tcBorders>
              <w:bottom w:val="nil"/>
              <w:right w:val="single" w:sz="4" w:space="0" w:color="auto"/>
            </w:tcBorders>
          </w:tcPr>
          <w:p w14:paraId="1987DB0C"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354</w:t>
            </w:r>
          </w:p>
        </w:tc>
        <w:tc>
          <w:tcPr>
            <w:tcW w:w="360" w:type="dxa"/>
            <w:vMerge/>
            <w:tcBorders>
              <w:bottom w:val="nil"/>
            </w:tcBorders>
          </w:tcPr>
          <w:p w14:paraId="0BEB24B8" w14:textId="77777777" w:rsidR="006C3E10" w:rsidRPr="005D4222" w:rsidRDefault="006C3E10" w:rsidP="009F6641">
            <w:pPr>
              <w:pStyle w:val="TableText"/>
              <w:widowControl w:val="0"/>
              <w:jc w:val="center"/>
              <w:rPr>
                <w:rFonts w:ascii="Arial" w:hAnsi="Arial" w:cs="Arial"/>
                <w:sz w:val="20"/>
                <w:szCs w:val="20"/>
              </w:rPr>
            </w:pPr>
          </w:p>
        </w:tc>
        <w:tc>
          <w:tcPr>
            <w:tcW w:w="3078" w:type="dxa"/>
            <w:tcBorders>
              <w:left w:val="single" w:sz="4" w:space="0" w:color="auto"/>
              <w:bottom w:val="nil"/>
            </w:tcBorders>
          </w:tcPr>
          <w:p w14:paraId="56EC53A6"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92%</w:t>
            </w:r>
          </w:p>
        </w:tc>
        <w:tc>
          <w:tcPr>
            <w:tcW w:w="1620" w:type="dxa"/>
            <w:tcBorders>
              <w:bottom w:val="nil"/>
            </w:tcBorders>
          </w:tcPr>
          <w:p w14:paraId="4351F8F9"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134</w:t>
            </w:r>
          </w:p>
        </w:tc>
      </w:tr>
      <w:tr w:rsidR="006439AD" w:rsidRPr="005D4222" w14:paraId="611ADDFC" w14:textId="77777777" w:rsidTr="00C1102C">
        <w:trPr>
          <w:cantSplit/>
        </w:trPr>
        <w:tc>
          <w:tcPr>
            <w:tcW w:w="3060" w:type="dxa"/>
            <w:shd w:val="clear" w:color="auto" w:fill="FFFFFF" w:themeFill="background1"/>
          </w:tcPr>
          <w:p w14:paraId="53692D28" w14:textId="77777777" w:rsidR="006C3E10" w:rsidRPr="005D4222" w:rsidRDefault="006C3E10" w:rsidP="009F6641">
            <w:pPr>
              <w:pStyle w:val="TableText"/>
              <w:widowControl w:val="0"/>
              <w:tabs>
                <w:tab w:val="right" w:pos="1512"/>
              </w:tabs>
              <w:jc w:val="center"/>
              <w:rPr>
                <w:rFonts w:ascii="Arial" w:hAnsi="Arial" w:cs="Arial"/>
                <w:sz w:val="20"/>
                <w:szCs w:val="20"/>
              </w:rPr>
            </w:pPr>
            <w:r w:rsidRPr="005D4222">
              <w:rPr>
                <w:rFonts w:ascii="Arial" w:hAnsi="Arial" w:cs="Arial"/>
                <w:sz w:val="20"/>
                <w:szCs w:val="20"/>
              </w:rPr>
              <w:t>70%</w:t>
            </w:r>
          </w:p>
        </w:tc>
        <w:tc>
          <w:tcPr>
            <w:tcW w:w="1602" w:type="dxa"/>
            <w:tcBorders>
              <w:right w:val="single" w:sz="4" w:space="0" w:color="auto"/>
            </w:tcBorders>
            <w:shd w:val="clear" w:color="auto" w:fill="FFFFFF" w:themeFill="background1"/>
          </w:tcPr>
          <w:p w14:paraId="04F629CE"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348</w:t>
            </w:r>
          </w:p>
        </w:tc>
        <w:tc>
          <w:tcPr>
            <w:tcW w:w="360" w:type="dxa"/>
            <w:vMerge/>
            <w:tcBorders>
              <w:bottom w:val="nil"/>
            </w:tcBorders>
          </w:tcPr>
          <w:p w14:paraId="72AE883E" w14:textId="77777777" w:rsidR="006C3E10" w:rsidRPr="005D4222" w:rsidRDefault="006C3E10" w:rsidP="009F6641">
            <w:pPr>
              <w:pStyle w:val="TableText"/>
              <w:widowControl w:val="0"/>
              <w:jc w:val="center"/>
              <w:rPr>
                <w:rFonts w:ascii="Arial" w:hAnsi="Arial" w:cs="Arial"/>
                <w:sz w:val="20"/>
                <w:szCs w:val="20"/>
              </w:rPr>
            </w:pPr>
          </w:p>
        </w:tc>
        <w:tc>
          <w:tcPr>
            <w:tcW w:w="3078" w:type="dxa"/>
            <w:tcBorders>
              <w:left w:val="single" w:sz="4" w:space="0" w:color="auto"/>
            </w:tcBorders>
            <w:shd w:val="clear" w:color="auto" w:fill="FFFFFF" w:themeFill="background1"/>
          </w:tcPr>
          <w:p w14:paraId="2CADAC82"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93%</w:t>
            </w:r>
          </w:p>
        </w:tc>
        <w:tc>
          <w:tcPr>
            <w:tcW w:w="1620" w:type="dxa"/>
            <w:shd w:val="clear" w:color="auto" w:fill="FFFFFF" w:themeFill="background1"/>
          </w:tcPr>
          <w:p w14:paraId="1DBFC5FB"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120</w:t>
            </w:r>
          </w:p>
        </w:tc>
      </w:tr>
      <w:tr w:rsidR="006C3E10" w:rsidRPr="005D4222" w14:paraId="46E70412" w14:textId="77777777" w:rsidTr="00C1102C">
        <w:trPr>
          <w:cantSplit/>
        </w:trPr>
        <w:tc>
          <w:tcPr>
            <w:tcW w:w="3060" w:type="dxa"/>
            <w:tcBorders>
              <w:bottom w:val="nil"/>
            </w:tcBorders>
          </w:tcPr>
          <w:p w14:paraId="5EC30867" w14:textId="77777777" w:rsidR="006C3E10" w:rsidRPr="005D4222" w:rsidRDefault="006C3E10" w:rsidP="009F6641">
            <w:pPr>
              <w:pStyle w:val="TableText"/>
              <w:widowControl w:val="0"/>
              <w:tabs>
                <w:tab w:val="right" w:pos="1512"/>
              </w:tabs>
              <w:jc w:val="center"/>
              <w:rPr>
                <w:rFonts w:ascii="Arial" w:hAnsi="Arial" w:cs="Arial"/>
                <w:sz w:val="20"/>
                <w:szCs w:val="20"/>
              </w:rPr>
            </w:pPr>
            <w:r w:rsidRPr="005D4222">
              <w:rPr>
                <w:rFonts w:ascii="Arial" w:hAnsi="Arial" w:cs="Arial"/>
                <w:sz w:val="20"/>
                <w:szCs w:val="20"/>
              </w:rPr>
              <w:t>71%</w:t>
            </w:r>
          </w:p>
        </w:tc>
        <w:tc>
          <w:tcPr>
            <w:tcW w:w="1602" w:type="dxa"/>
            <w:tcBorders>
              <w:bottom w:val="nil"/>
              <w:right w:val="single" w:sz="4" w:space="0" w:color="auto"/>
            </w:tcBorders>
          </w:tcPr>
          <w:p w14:paraId="7B263AEB"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342</w:t>
            </w:r>
          </w:p>
        </w:tc>
        <w:tc>
          <w:tcPr>
            <w:tcW w:w="360" w:type="dxa"/>
            <w:vMerge/>
            <w:tcBorders>
              <w:bottom w:val="nil"/>
            </w:tcBorders>
          </w:tcPr>
          <w:p w14:paraId="04AF51F8" w14:textId="77777777" w:rsidR="006C3E10" w:rsidRPr="005D4222" w:rsidRDefault="006C3E10" w:rsidP="009F6641">
            <w:pPr>
              <w:pStyle w:val="TableText"/>
              <w:widowControl w:val="0"/>
              <w:jc w:val="center"/>
              <w:rPr>
                <w:rFonts w:ascii="Arial" w:hAnsi="Arial" w:cs="Arial"/>
                <w:sz w:val="20"/>
                <w:szCs w:val="20"/>
              </w:rPr>
            </w:pPr>
          </w:p>
        </w:tc>
        <w:tc>
          <w:tcPr>
            <w:tcW w:w="3078" w:type="dxa"/>
            <w:tcBorders>
              <w:left w:val="single" w:sz="4" w:space="0" w:color="auto"/>
              <w:bottom w:val="nil"/>
            </w:tcBorders>
          </w:tcPr>
          <w:p w14:paraId="54E84FAA"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94%</w:t>
            </w:r>
          </w:p>
        </w:tc>
        <w:tc>
          <w:tcPr>
            <w:tcW w:w="1620" w:type="dxa"/>
            <w:tcBorders>
              <w:bottom w:val="nil"/>
            </w:tcBorders>
          </w:tcPr>
          <w:p w14:paraId="6F450BEA"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106</w:t>
            </w:r>
          </w:p>
        </w:tc>
      </w:tr>
      <w:tr w:rsidR="006439AD" w:rsidRPr="005D4222" w14:paraId="1D2B713E" w14:textId="77777777" w:rsidTr="00C1102C">
        <w:trPr>
          <w:cantSplit/>
        </w:trPr>
        <w:tc>
          <w:tcPr>
            <w:tcW w:w="3060" w:type="dxa"/>
            <w:tcBorders>
              <w:bottom w:val="single" w:sz="6" w:space="0" w:color="auto"/>
            </w:tcBorders>
            <w:shd w:val="clear" w:color="auto" w:fill="FFFFFF" w:themeFill="background1"/>
          </w:tcPr>
          <w:p w14:paraId="27940E51" w14:textId="77777777" w:rsidR="006C3E10" w:rsidRPr="005D4222" w:rsidRDefault="006C3E10" w:rsidP="009F6641">
            <w:pPr>
              <w:pStyle w:val="TableText"/>
              <w:widowControl w:val="0"/>
              <w:tabs>
                <w:tab w:val="right" w:pos="1512"/>
              </w:tabs>
              <w:jc w:val="center"/>
              <w:rPr>
                <w:rFonts w:ascii="Arial" w:hAnsi="Arial" w:cs="Arial"/>
                <w:sz w:val="20"/>
                <w:szCs w:val="20"/>
              </w:rPr>
            </w:pPr>
            <w:r w:rsidRPr="005D4222">
              <w:rPr>
                <w:rFonts w:ascii="Arial" w:hAnsi="Arial" w:cs="Arial"/>
                <w:sz w:val="20"/>
                <w:szCs w:val="20"/>
              </w:rPr>
              <w:t>72%</w:t>
            </w:r>
          </w:p>
        </w:tc>
        <w:tc>
          <w:tcPr>
            <w:tcW w:w="1602" w:type="dxa"/>
            <w:tcBorders>
              <w:bottom w:val="single" w:sz="6" w:space="0" w:color="auto"/>
              <w:right w:val="single" w:sz="4" w:space="0" w:color="auto"/>
            </w:tcBorders>
            <w:shd w:val="clear" w:color="auto" w:fill="FFFFFF" w:themeFill="background1"/>
          </w:tcPr>
          <w:p w14:paraId="75F602DA"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335</w:t>
            </w:r>
          </w:p>
        </w:tc>
        <w:tc>
          <w:tcPr>
            <w:tcW w:w="360" w:type="dxa"/>
            <w:vMerge/>
            <w:tcBorders>
              <w:bottom w:val="nil"/>
            </w:tcBorders>
          </w:tcPr>
          <w:p w14:paraId="79D865B2" w14:textId="77777777" w:rsidR="006C3E10" w:rsidRPr="005D4222" w:rsidRDefault="006C3E10" w:rsidP="009F6641">
            <w:pPr>
              <w:pStyle w:val="TableText"/>
              <w:widowControl w:val="0"/>
              <w:jc w:val="center"/>
              <w:rPr>
                <w:rFonts w:ascii="Arial" w:hAnsi="Arial" w:cs="Arial"/>
                <w:sz w:val="20"/>
                <w:szCs w:val="20"/>
              </w:rPr>
            </w:pPr>
          </w:p>
        </w:tc>
        <w:tc>
          <w:tcPr>
            <w:tcW w:w="3078" w:type="dxa"/>
            <w:tcBorders>
              <w:left w:val="single" w:sz="4" w:space="0" w:color="auto"/>
              <w:bottom w:val="single" w:sz="6" w:space="0" w:color="auto"/>
            </w:tcBorders>
            <w:shd w:val="clear" w:color="auto" w:fill="FFFFFF" w:themeFill="background1"/>
          </w:tcPr>
          <w:p w14:paraId="7DC24B48" w14:textId="77777777" w:rsidR="006C3E10" w:rsidRPr="005D4222" w:rsidRDefault="006C3E10" w:rsidP="009F6641">
            <w:pPr>
              <w:pStyle w:val="TableText"/>
              <w:widowControl w:val="0"/>
              <w:ind w:right="144"/>
              <w:jc w:val="center"/>
              <w:rPr>
                <w:rFonts w:ascii="Arial" w:hAnsi="Arial" w:cs="Arial"/>
                <w:sz w:val="20"/>
                <w:szCs w:val="20"/>
              </w:rPr>
            </w:pPr>
            <w:r w:rsidRPr="005D4222">
              <w:rPr>
                <w:rFonts w:ascii="Arial" w:hAnsi="Arial" w:cs="Arial"/>
                <w:sz w:val="20"/>
                <w:szCs w:val="20"/>
              </w:rPr>
              <w:t>≥95%</w:t>
            </w:r>
          </w:p>
        </w:tc>
        <w:tc>
          <w:tcPr>
            <w:tcW w:w="1620" w:type="dxa"/>
            <w:tcBorders>
              <w:bottom w:val="single" w:sz="6" w:space="0" w:color="auto"/>
            </w:tcBorders>
            <w:shd w:val="clear" w:color="auto" w:fill="FFFFFF" w:themeFill="background1"/>
          </w:tcPr>
          <w:p w14:paraId="21CEFF78"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100</w:t>
            </w:r>
          </w:p>
        </w:tc>
      </w:tr>
      <w:tr w:rsidR="006C3E10" w:rsidRPr="005D4222" w14:paraId="36F61B7B" w14:textId="77777777" w:rsidTr="00C1102C">
        <w:trPr>
          <w:cantSplit/>
        </w:trPr>
        <w:tc>
          <w:tcPr>
            <w:tcW w:w="3060" w:type="dxa"/>
            <w:tcBorders>
              <w:bottom w:val="single" w:sz="4" w:space="0" w:color="auto"/>
            </w:tcBorders>
          </w:tcPr>
          <w:p w14:paraId="26A4186A" w14:textId="77777777" w:rsidR="006C3E10" w:rsidRPr="005D4222" w:rsidRDefault="006C3E10" w:rsidP="009F6641">
            <w:pPr>
              <w:pStyle w:val="TableText"/>
              <w:widowControl w:val="0"/>
              <w:tabs>
                <w:tab w:val="right" w:pos="1512"/>
              </w:tabs>
              <w:jc w:val="center"/>
              <w:rPr>
                <w:rFonts w:ascii="Arial" w:hAnsi="Arial" w:cs="Arial"/>
                <w:sz w:val="20"/>
                <w:szCs w:val="20"/>
              </w:rPr>
            </w:pPr>
            <w:r w:rsidRPr="005D4222">
              <w:rPr>
                <w:rFonts w:ascii="Arial" w:hAnsi="Arial" w:cs="Arial"/>
                <w:sz w:val="20"/>
                <w:szCs w:val="20"/>
              </w:rPr>
              <w:t>73%</w:t>
            </w:r>
          </w:p>
        </w:tc>
        <w:tc>
          <w:tcPr>
            <w:tcW w:w="1602" w:type="dxa"/>
            <w:tcBorders>
              <w:bottom w:val="single" w:sz="4" w:space="0" w:color="auto"/>
              <w:right w:val="single" w:sz="4" w:space="0" w:color="auto"/>
            </w:tcBorders>
          </w:tcPr>
          <w:p w14:paraId="00495987" w14:textId="77777777" w:rsidR="006C3E10" w:rsidRPr="005D4222" w:rsidRDefault="006C3E10" w:rsidP="009F6641">
            <w:pPr>
              <w:pStyle w:val="TableText"/>
              <w:widowControl w:val="0"/>
              <w:jc w:val="center"/>
              <w:rPr>
                <w:rFonts w:ascii="Arial" w:hAnsi="Arial" w:cs="Arial"/>
                <w:sz w:val="20"/>
                <w:szCs w:val="20"/>
              </w:rPr>
            </w:pPr>
            <w:r w:rsidRPr="005D4222">
              <w:rPr>
                <w:rFonts w:ascii="Arial" w:hAnsi="Arial" w:cs="Arial"/>
                <w:sz w:val="20"/>
                <w:szCs w:val="20"/>
              </w:rPr>
              <w:t>328</w:t>
            </w:r>
          </w:p>
        </w:tc>
        <w:tc>
          <w:tcPr>
            <w:tcW w:w="360" w:type="dxa"/>
            <w:vMerge/>
            <w:tcBorders>
              <w:bottom w:val="nil"/>
              <w:right w:val="nil"/>
            </w:tcBorders>
          </w:tcPr>
          <w:p w14:paraId="18FC3A4E" w14:textId="77777777" w:rsidR="006C3E10" w:rsidRPr="005D4222" w:rsidRDefault="006C3E10" w:rsidP="009F6641">
            <w:pPr>
              <w:pStyle w:val="TableText"/>
              <w:widowControl w:val="0"/>
              <w:jc w:val="center"/>
              <w:rPr>
                <w:rFonts w:ascii="Arial" w:hAnsi="Arial" w:cs="Arial"/>
                <w:sz w:val="20"/>
                <w:szCs w:val="20"/>
              </w:rPr>
            </w:pPr>
          </w:p>
        </w:tc>
        <w:tc>
          <w:tcPr>
            <w:tcW w:w="3078" w:type="dxa"/>
            <w:tcBorders>
              <w:left w:val="nil"/>
              <w:bottom w:val="nil"/>
              <w:right w:val="nil"/>
            </w:tcBorders>
          </w:tcPr>
          <w:p w14:paraId="1F5586E6" w14:textId="77777777" w:rsidR="006C3E10" w:rsidRPr="005D4222" w:rsidRDefault="006C3E10" w:rsidP="009F6641">
            <w:pPr>
              <w:pStyle w:val="TableText"/>
              <w:widowControl w:val="0"/>
              <w:ind w:right="1080"/>
              <w:jc w:val="right"/>
              <w:rPr>
                <w:rFonts w:ascii="Arial" w:hAnsi="Arial" w:cs="Arial"/>
                <w:sz w:val="20"/>
                <w:szCs w:val="20"/>
              </w:rPr>
            </w:pPr>
          </w:p>
        </w:tc>
        <w:tc>
          <w:tcPr>
            <w:tcW w:w="1620" w:type="dxa"/>
            <w:tcBorders>
              <w:left w:val="nil"/>
              <w:bottom w:val="nil"/>
              <w:right w:val="nil"/>
            </w:tcBorders>
          </w:tcPr>
          <w:p w14:paraId="2F24EF1E" w14:textId="77777777" w:rsidR="006C3E10" w:rsidRPr="005D4222" w:rsidRDefault="006C3E10" w:rsidP="009F6641">
            <w:pPr>
              <w:pStyle w:val="TableText"/>
              <w:widowControl w:val="0"/>
              <w:jc w:val="center"/>
              <w:rPr>
                <w:rFonts w:ascii="Arial" w:hAnsi="Arial" w:cs="Arial"/>
                <w:sz w:val="20"/>
                <w:szCs w:val="20"/>
              </w:rPr>
            </w:pPr>
          </w:p>
        </w:tc>
      </w:tr>
    </w:tbl>
    <w:p w14:paraId="1A88FF66" w14:textId="77777777" w:rsidR="006C3E10" w:rsidRPr="005D4222" w:rsidRDefault="006C3E10" w:rsidP="006C3E10">
      <w:pPr>
        <w:pStyle w:val="SubHeadNoTOC"/>
      </w:pPr>
      <w:r w:rsidRPr="005D4222">
        <w:rPr>
          <w:bCs/>
          <w:i/>
        </w:rPr>
        <w:t>Note</w:t>
      </w:r>
    </w:p>
    <w:p w14:paraId="14BAAAFF" w14:textId="77777777" w:rsidR="006C3E10" w:rsidRPr="005D4222" w:rsidRDefault="006C3E10" w:rsidP="006C3E10">
      <w:pPr>
        <w:pStyle w:val="ProcessBullet"/>
        <w:rPr>
          <w:i/>
          <w:iCs/>
        </w:rPr>
      </w:pPr>
      <w:r w:rsidRPr="005D4222">
        <w:rPr>
          <w:i/>
          <w:iCs/>
        </w:rPr>
        <w:t xml:space="preserve">Table 2 reflects the MRSS. When reducing, an organization’s sample size may be between the allowed minimum sample size in Table 2 and 411. </w:t>
      </w:r>
    </w:p>
    <w:p w14:paraId="583EC24A" w14:textId="4FEE3FE3" w:rsidR="00B925E5" w:rsidRPr="005D4222" w:rsidRDefault="006C3E10" w:rsidP="006C3E10">
      <w:pPr>
        <w:pStyle w:val="ProcessBullet"/>
        <w:rPr>
          <w:i/>
          <w:iCs/>
        </w:rPr>
      </w:pPr>
      <w:r w:rsidRPr="005D4222">
        <w:rPr>
          <w:i/>
          <w:iCs/>
        </w:rPr>
        <w:t>Truncate the decimal portion of the rate to obtain a whole number.</w:t>
      </w:r>
    </w:p>
    <w:p w14:paraId="0215CE92" w14:textId="77777777" w:rsidR="00B925E5" w:rsidRPr="005D4222" w:rsidRDefault="00B925E5">
      <w:pPr>
        <w:spacing w:after="160" w:line="259" w:lineRule="auto"/>
        <w:rPr>
          <w:i/>
          <w:iCs/>
          <w:szCs w:val="24"/>
        </w:rPr>
      </w:pPr>
      <w:r w:rsidRPr="005D4222">
        <w:rPr>
          <w:i/>
          <w:iCs/>
        </w:rPr>
        <w:br w:type="page"/>
      </w:r>
    </w:p>
    <w:p w14:paraId="60288847" w14:textId="77777777" w:rsidR="006C3E10" w:rsidRPr="005D4222" w:rsidRDefault="006C3E10" w:rsidP="00B21563">
      <w:pPr>
        <w:pStyle w:val="StdHead"/>
      </w:pPr>
      <w:bookmarkStart w:id="207" w:name="_Toc452170815"/>
      <w:bookmarkStart w:id="208" w:name="_Toc400546092"/>
      <w:bookmarkStart w:id="209" w:name="SystematicMethodology"/>
      <w:bookmarkStart w:id="210" w:name="_Toc74747865"/>
      <w:bookmarkStart w:id="211" w:name="_Toc171402952"/>
      <w:bookmarkStart w:id="212" w:name="_Toc201813372"/>
      <w:r w:rsidRPr="005D4222">
        <w:lastRenderedPageBreak/>
        <w:t>Systematic Sampling Methodology</w:t>
      </w:r>
      <w:bookmarkEnd w:id="207"/>
      <w:bookmarkEnd w:id="208"/>
      <w:bookmarkEnd w:id="209"/>
      <w:bookmarkEnd w:id="210"/>
      <w:bookmarkEnd w:id="211"/>
      <w:bookmarkEnd w:id="212"/>
    </w:p>
    <w:p w14:paraId="0E00FC44" w14:textId="77777777" w:rsidR="006C3E10" w:rsidRPr="005D4222" w:rsidRDefault="006C3E10" w:rsidP="006C3E10">
      <w:pPr>
        <w:pStyle w:val="Body"/>
        <w:widowControl w:val="0"/>
        <w:tabs>
          <w:tab w:val="left" w:pos="1638"/>
        </w:tabs>
      </w:pPr>
      <w:bookmarkStart w:id="213" w:name="_Toc452170816"/>
      <w:r w:rsidRPr="005D4222">
        <w:t>NCQA implemented a systematic sampling methodology for the Hybrid Method. Proper use and implementation of this method ensures ongoing integrity of collected data and supports increasing requests for audited data. Complete the following steps for each hybrid measure.</w:t>
      </w:r>
    </w:p>
    <w:tbl>
      <w:tblPr>
        <w:tblW w:w="9828" w:type="dxa"/>
        <w:tblLayout w:type="fixed"/>
        <w:tblLook w:val="0000" w:firstRow="0" w:lastRow="0" w:firstColumn="0" w:lastColumn="0" w:noHBand="0" w:noVBand="0"/>
      </w:tblPr>
      <w:tblGrid>
        <w:gridCol w:w="900"/>
        <w:gridCol w:w="8820"/>
        <w:gridCol w:w="108"/>
      </w:tblGrid>
      <w:tr w:rsidR="006C3E10" w:rsidRPr="005D4222" w14:paraId="1024E501" w14:textId="77777777" w:rsidTr="009F6641">
        <w:trPr>
          <w:gridAfter w:val="1"/>
          <w:wAfter w:w="108" w:type="dxa"/>
        </w:trPr>
        <w:tc>
          <w:tcPr>
            <w:tcW w:w="900" w:type="dxa"/>
          </w:tcPr>
          <w:p w14:paraId="56DA6277" w14:textId="77777777" w:rsidR="006C3E10" w:rsidRPr="005D4222" w:rsidRDefault="006C3E10" w:rsidP="009F6641">
            <w:pPr>
              <w:pStyle w:val="MarginSubhead"/>
              <w:widowControl w:val="0"/>
              <w:ind w:left="0"/>
              <w:jc w:val="right"/>
              <w:rPr>
                <w:i/>
              </w:rPr>
            </w:pPr>
            <w:r w:rsidRPr="005D4222">
              <w:rPr>
                <w:i/>
              </w:rPr>
              <w:t>Step 1</w:t>
            </w:r>
          </w:p>
        </w:tc>
        <w:tc>
          <w:tcPr>
            <w:tcW w:w="8820" w:type="dxa"/>
          </w:tcPr>
          <w:p w14:paraId="13005E0D" w14:textId="5EDCCC10" w:rsidR="006C3E10" w:rsidRPr="005D4222" w:rsidRDefault="006C3E10" w:rsidP="009F6641">
            <w:pPr>
              <w:pStyle w:val="Body"/>
              <w:widowControl w:val="0"/>
            </w:pPr>
            <w:r w:rsidRPr="005D4222">
              <w:t xml:space="preserve">Determine the </w:t>
            </w:r>
            <w:r w:rsidR="00E11288" w:rsidRPr="005D4222">
              <w:t>ADM</w:t>
            </w:r>
            <w:r w:rsidRPr="005D4222">
              <w:t xml:space="preserve"> population. Develop a list of</w:t>
            </w:r>
            <w:r w:rsidRPr="005D4222" w:rsidDel="00E11288">
              <w:t xml:space="preserve"> </w:t>
            </w:r>
            <w:r w:rsidR="00E11288" w:rsidRPr="005D4222">
              <w:t>ADMs</w:t>
            </w:r>
            <w:r w:rsidRPr="005D4222">
              <w:t>, including full name (last, first), date of birth and event (if applicable). An organization that reports on combined HMO/POS or HMO/POS/PPO/EPO products must include all</w:t>
            </w:r>
            <w:r w:rsidR="00E11288" w:rsidRPr="005D4222">
              <w:t xml:space="preserve"> ADMs</w:t>
            </w:r>
            <w:r w:rsidRPr="005D4222">
              <w:t xml:space="preserve"> from all products.</w:t>
            </w:r>
          </w:p>
        </w:tc>
      </w:tr>
      <w:tr w:rsidR="006C3E10" w:rsidRPr="005D4222" w14:paraId="165E007A" w14:textId="77777777" w:rsidTr="009F6641">
        <w:trPr>
          <w:gridAfter w:val="1"/>
          <w:wAfter w:w="108" w:type="dxa"/>
        </w:trPr>
        <w:tc>
          <w:tcPr>
            <w:tcW w:w="900" w:type="dxa"/>
          </w:tcPr>
          <w:p w14:paraId="72720764" w14:textId="77777777" w:rsidR="006C3E10" w:rsidRPr="005D4222" w:rsidRDefault="006C3E10" w:rsidP="009F6641">
            <w:pPr>
              <w:pStyle w:val="MarginSubhead"/>
              <w:widowControl w:val="0"/>
              <w:ind w:left="0"/>
              <w:jc w:val="right"/>
              <w:rPr>
                <w:i/>
              </w:rPr>
            </w:pPr>
            <w:r w:rsidRPr="005D4222">
              <w:rPr>
                <w:i/>
              </w:rPr>
              <w:t>Step 2</w:t>
            </w:r>
          </w:p>
        </w:tc>
        <w:tc>
          <w:tcPr>
            <w:tcW w:w="8820" w:type="dxa"/>
          </w:tcPr>
          <w:p w14:paraId="1B9271BB" w14:textId="5769CF4F" w:rsidR="006C3E10" w:rsidRPr="005D4222" w:rsidRDefault="006C3E10" w:rsidP="009F6641">
            <w:pPr>
              <w:pStyle w:val="Body"/>
              <w:widowControl w:val="0"/>
            </w:pPr>
            <w:r w:rsidRPr="005D4222">
              <w:t xml:space="preserve">Determine the MRSS from Table 1 or Table 2. This number becomes the </w:t>
            </w:r>
            <w:r w:rsidR="00383CDF" w:rsidRPr="005D4222">
              <w:t xml:space="preserve">hybrid </w:t>
            </w:r>
            <w:r w:rsidRPr="005D4222">
              <w:t xml:space="preserve">denominator for the measure. Use either Table 1 or Table 2, as appropriate, to determine the MRSS. (Refer to </w:t>
            </w:r>
            <w:hyperlink w:anchor="DetermineRSS">
              <w:r w:rsidRPr="005D4222">
                <w:rPr>
                  <w:rStyle w:val="Hyperlink"/>
                  <w:i/>
                  <w:iCs/>
                </w:rPr>
                <w:t>Determining the required sample size</w:t>
              </w:r>
            </w:hyperlink>
            <w:r w:rsidRPr="005D4222">
              <w:t xml:space="preserve"> for instructions.) If the </w:t>
            </w:r>
            <w:r w:rsidR="00383CDF" w:rsidRPr="005D4222">
              <w:t>ADM</w:t>
            </w:r>
            <w:r w:rsidRPr="005D4222">
              <w:t xml:space="preserve"> is </w:t>
            </w:r>
            <w:r w:rsidRPr="005D4222">
              <w:rPr>
                <w:rFonts w:eastAsia="Symbol" w:cs="Arial"/>
              </w:rPr>
              <w:t>≤</w:t>
            </w:r>
            <w:r w:rsidRPr="005D4222">
              <w:t>MRSS, proceed to step 4.</w:t>
            </w:r>
          </w:p>
          <w:p w14:paraId="5C21C3B6" w14:textId="77777777" w:rsidR="006C3E10" w:rsidRPr="005D4222" w:rsidRDefault="006C3E10" w:rsidP="009F6641">
            <w:pPr>
              <w:pStyle w:val="Note"/>
              <w:widowControl w:val="0"/>
              <w:rPr>
                <w:i w:val="0"/>
                <w:sz w:val="21"/>
                <w:szCs w:val="21"/>
              </w:rPr>
            </w:pPr>
            <w:r w:rsidRPr="005D4222">
              <w:rPr>
                <w:i w:val="0"/>
                <w:sz w:val="21"/>
                <w:szCs w:val="21"/>
              </w:rPr>
              <w:t>To use a larger MRSS, an organization must provide written rationale to NCQA through PCS</w:t>
            </w:r>
            <w:r w:rsidRPr="005D4222" w:rsidDel="000A1BF7">
              <w:rPr>
                <w:i w:val="0"/>
                <w:sz w:val="21"/>
                <w:szCs w:val="21"/>
              </w:rPr>
              <w:t xml:space="preserve"> </w:t>
            </w:r>
            <w:r w:rsidRPr="005D4222">
              <w:rPr>
                <w:i w:val="0"/>
                <w:sz w:val="21"/>
                <w:szCs w:val="21"/>
              </w:rPr>
              <w:t xml:space="preserve">via </w:t>
            </w:r>
            <w:hyperlink r:id="rId73" w:history="1">
              <w:r w:rsidRPr="005D4222" w:rsidDel="00CC24BE">
                <w:rPr>
                  <w:rStyle w:val="Hyperlink"/>
                  <w:i w:val="0"/>
                  <w:sz w:val="21"/>
                  <w:szCs w:val="21"/>
                </w:rPr>
                <w:t>My</w:t>
              </w:r>
              <w:r w:rsidRPr="005D4222">
                <w:rPr>
                  <w:rStyle w:val="Hyperlink"/>
                  <w:i w:val="0"/>
                  <w:sz w:val="21"/>
                  <w:szCs w:val="21"/>
                </w:rPr>
                <w:t xml:space="preserve"> NCQA</w:t>
              </w:r>
            </w:hyperlink>
            <w:r w:rsidRPr="005D4222">
              <w:rPr>
                <w:i w:val="0"/>
                <w:sz w:val="21"/>
                <w:szCs w:val="21"/>
              </w:rPr>
              <w:t>.</w:t>
            </w:r>
          </w:p>
        </w:tc>
      </w:tr>
      <w:bookmarkEnd w:id="213"/>
      <w:tr w:rsidR="006C3E10" w:rsidRPr="005D4222" w14:paraId="0DF6B2F1" w14:textId="77777777" w:rsidTr="009F6641">
        <w:trPr>
          <w:gridAfter w:val="1"/>
          <w:wAfter w:w="108" w:type="dxa"/>
        </w:trPr>
        <w:tc>
          <w:tcPr>
            <w:tcW w:w="900" w:type="dxa"/>
          </w:tcPr>
          <w:p w14:paraId="2F44F641" w14:textId="77777777" w:rsidR="006C3E10" w:rsidRPr="005D4222" w:rsidRDefault="006C3E10" w:rsidP="009F6641">
            <w:pPr>
              <w:pStyle w:val="MarginSubhead"/>
              <w:widowControl w:val="0"/>
              <w:ind w:left="0"/>
              <w:jc w:val="right"/>
              <w:rPr>
                <w:i/>
              </w:rPr>
            </w:pPr>
            <w:r w:rsidRPr="005D4222">
              <w:rPr>
                <w:i/>
              </w:rPr>
              <w:t>Step 3</w:t>
            </w:r>
          </w:p>
        </w:tc>
        <w:tc>
          <w:tcPr>
            <w:tcW w:w="8820" w:type="dxa"/>
          </w:tcPr>
          <w:p w14:paraId="03A7DC5B" w14:textId="77777777" w:rsidR="006C3E10" w:rsidRPr="005D4222" w:rsidRDefault="006C3E10" w:rsidP="009F6641">
            <w:pPr>
              <w:pStyle w:val="Body"/>
              <w:widowControl w:val="0"/>
            </w:pPr>
            <w:r w:rsidRPr="005D4222">
              <w:t xml:space="preserve">Determine the oversample. The oversample should be an adequate number of additional records to make substitutions. Oversample only enough to guarantee that the MRSS is met; keep substitution criteria in mind. </w:t>
            </w:r>
          </w:p>
          <w:p w14:paraId="4C525794" w14:textId="77777777" w:rsidR="006C3E10" w:rsidRPr="005D4222" w:rsidRDefault="006C3E10" w:rsidP="009F6641">
            <w:pPr>
              <w:pStyle w:val="Body"/>
              <w:widowControl w:val="0"/>
              <w:spacing w:before="120"/>
            </w:pPr>
            <w:r w:rsidRPr="005D4222">
              <w:t xml:space="preserve">The oversample records should be used, and reported, only to replace cases taken out of the MRSS because of valid data errors, false positives and so on; otherwise, these records should not be reported </w:t>
            </w:r>
            <w:r w:rsidRPr="005D4222" w:rsidDel="00CC0E97">
              <w:t xml:space="preserve">on </w:t>
            </w:r>
            <w:r w:rsidRPr="005D4222">
              <w:t xml:space="preserve">in the final denominator. </w:t>
            </w:r>
          </w:p>
        </w:tc>
      </w:tr>
      <w:tr w:rsidR="006C3E10" w:rsidRPr="005D4222" w14:paraId="71894C1A" w14:textId="77777777" w:rsidTr="009F6641">
        <w:trPr>
          <w:gridAfter w:val="1"/>
          <w:wAfter w:w="108" w:type="dxa"/>
        </w:trPr>
        <w:tc>
          <w:tcPr>
            <w:tcW w:w="900" w:type="dxa"/>
          </w:tcPr>
          <w:p w14:paraId="4C3B89C9" w14:textId="77777777" w:rsidR="006C3E10" w:rsidRPr="005D4222" w:rsidRDefault="006C3E10" w:rsidP="009F6641">
            <w:pPr>
              <w:pStyle w:val="MarginSubhead"/>
              <w:widowControl w:val="0"/>
              <w:ind w:left="0"/>
              <w:jc w:val="right"/>
              <w:rPr>
                <w:i/>
              </w:rPr>
            </w:pPr>
            <w:r w:rsidRPr="005D4222">
              <w:rPr>
                <w:i/>
              </w:rPr>
              <w:t>Step 4</w:t>
            </w:r>
          </w:p>
        </w:tc>
        <w:tc>
          <w:tcPr>
            <w:tcW w:w="8820" w:type="dxa"/>
          </w:tcPr>
          <w:p w14:paraId="2321D3BD" w14:textId="63C794CC" w:rsidR="006C3E10" w:rsidRPr="005D4222" w:rsidRDefault="006C3E10" w:rsidP="009F6641">
            <w:pPr>
              <w:pStyle w:val="ProcessBullet"/>
              <w:spacing w:before="180"/>
            </w:pPr>
            <w:r w:rsidRPr="005D4222">
              <w:t xml:space="preserve">If </w:t>
            </w:r>
            <w:r w:rsidR="00F812E2" w:rsidRPr="005D4222">
              <w:t>ADM</w:t>
            </w:r>
            <w:r w:rsidRPr="005D4222">
              <w:t xml:space="preserve"> </w:t>
            </w:r>
            <w:r w:rsidRPr="005D4222">
              <w:rPr>
                <w:rFonts w:eastAsia="Symbol" w:cs="Arial"/>
              </w:rPr>
              <w:t>≤</w:t>
            </w:r>
            <w:r w:rsidRPr="005D4222">
              <w:t xml:space="preserve">MRSS, all </w:t>
            </w:r>
            <w:r w:rsidR="00352E81" w:rsidRPr="005D4222">
              <w:t>ADMs</w:t>
            </w:r>
            <w:r w:rsidRPr="005D4222">
              <w:t xml:space="preserve"> are included in the sample. The MRSS must be reported as the </w:t>
            </w:r>
            <w:r w:rsidR="00F812E2" w:rsidRPr="005D4222">
              <w:t>ADM</w:t>
            </w:r>
            <w:r w:rsidRPr="005D4222">
              <w:t>.</w:t>
            </w:r>
          </w:p>
          <w:p w14:paraId="63C4CCD4" w14:textId="42D83739" w:rsidR="006C3E10" w:rsidRPr="005D4222" w:rsidRDefault="006C3E10" w:rsidP="009F6641">
            <w:pPr>
              <w:pStyle w:val="ProcessBullet"/>
              <w:rPr>
                <w:i/>
                <w:iCs/>
              </w:rPr>
            </w:pPr>
            <w:r w:rsidRPr="005D4222">
              <w:t xml:space="preserve">If </w:t>
            </w:r>
            <w:r w:rsidR="00F812E2" w:rsidRPr="005D4222">
              <w:t>ADM</w:t>
            </w:r>
            <w:r w:rsidRPr="005D4222">
              <w:t xml:space="preserve"> &gt;MRSS + all oversample records, go to step 5.</w:t>
            </w:r>
            <w:r w:rsidRPr="005D4222">
              <w:rPr>
                <w:i/>
                <w:iCs/>
              </w:rPr>
              <w:t xml:space="preserve"> </w:t>
            </w:r>
          </w:p>
          <w:p w14:paraId="0FF2D2AF" w14:textId="6DFD4BF7" w:rsidR="006C3E10" w:rsidRPr="005D4222" w:rsidRDefault="006C3E10" w:rsidP="009F6641">
            <w:pPr>
              <w:pStyle w:val="ProcessBullet"/>
            </w:pPr>
            <w:r w:rsidRPr="005D4222">
              <w:t>If MRSS &lt;</w:t>
            </w:r>
            <w:r w:rsidR="00F812E2" w:rsidRPr="005D4222">
              <w:t>ADM</w:t>
            </w:r>
            <w:r w:rsidRPr="005D4222">
              <w:t xml:space="preserve"> </w:t>
            </w:r>
            <w:r w:rsidRPr="005D4222">
              <w:rPr>
                <w:rFonts w:eastAsia="Symbol" w:cs="Arial"/>
              </w:rPr>
              <w:t>≤</w:t>
            </w:r>
            <w:r w:rsidRPr="005D4222">
              <w:t>MRSS + all oversample records, proceed to step 8.</w:t>
            </w:r>
          </w:p>
        </w:tc>
      </w:tr>
      <w:tr w:rsidR="006C3E10" w:rsidRPr="005D4222" w14:paraId="551CBB49" w14:textId="77777777" w:rsidTr="009F6641">
        <w:trPr>
          <w:gridAfter w:val="1"/>
          <w:wAfter w:w="108" w:type="dxa"/>
        </w:trPr>
        <w:tc>
          <w:tcPr>
            <w:tcW w:w="900" w:type="dxa"/>
          </w:tcPr>
          <w:p w14:paraId="3B397B0E" w14:textId="77777777" w:rsidR="006C3E10" w:rsidRPr="005D4222" w:rsidRDefault="006C3E10" w:rsidP="009F6641">
            <w:pPr>
              <w:pStyle w:val="MarginSubhead"/>
              <w:widowControl w:val="0"/>
              <w:ind w:left="0"/>
              <w:jc w:val="right"/>
              <w:rPr>
                <w:i/>
              </w:rPr>
            </w:pPr>
            <w:r w:rsidRPr="005D4222">
              <w:br w:type="page"/>
            </w:r>
            <w:r w:rsidRPr="005D4222">
              <w:rPr>
                <w:i/>
              </w:rPr>
              <w:t>Step 5</w:t>
            </w:r>
          </w:p>
        </w:tc>
        <w:tc>
          <w:tcPr>
            <w:tcW w:w="8820" w:type="dxa"/>
          </w:tcPr>
          <w:p w14:paraId="27329A6F" w14:textId="6FF8B5AB" w:rsidR="006C3E10" w:rsidRPr="005D4222" w:rsidRDefault="006C3E10" w:rsidP="009F6641">
            <w:pPr>
              <w:pStyle w:val="Body"/>
              <w:widowControl w:val="0"/>
            </w:pPr>
            <w:r w:rsidRPr="005D4222">
              <w:t xml:space="preserve">Sort the list of </w:t>
            </w:r>
            <w:r w:rsidR="00EC5CEC" w:rsidRPr="005D4222">
              <w:t>ADM</w:t>
            </w:r>
            <w:r w:rsidRPr="005D4222">
              <w:t xml:space="preserve">s in alphabetical order (by applicable measurement year) by last name, first name, date of birth and event (if applicable). If the organization reports on combined products, it must alphabetize the combined </w:t>
            </w:r>
            <w:r w:rsidR="00EC5CEC" w:rsidRPr="005D4222">
              <w:t>ADM</w:t>
            </w:r>
            <w:r w:rsidRPr="005D4222">
              <w:t xml:space="preserve"> population.</w:t>
            </w:r>
          </w:p>
          <w:p w14:paraId="5B5B5FB3" w14:textId="64AC796C" w:rsidR="006C3E10" w:rsidRPr="005D4222" w:rsidRDefault="006C3E10" w:rsidP="009F6641">
            <w:pPr>
              <w:pStyle w:val="Body"/>
              <w:spacing w:before="160"/>
            </w:pPr>
            <w:r w:rsidRPr="005D4222">
              <w:t xml:space="preserve">Sort </w:t>
            </w:r>
            <w:r w:rsidR="00EC5CEC" w:rsidRPr="005D4222">
              <w:t>ADM</w:t>
            </w:r>
            <w:r w:rsidRPr="005D4222">
              <w:t xml:space="preserve">s from A to Z in even measurement years and from Z to A in odd measurement years. </w:t>
            </w:r>
          </w:p>
          <w:p w14:paraId="5B734BE3" w14:textId="1ED14792" w:rsidR="006C3E10" w:rsidRPr="005D4222" w:rsidRDefault="006C3E10" w:rsidP="009F6641">
            <w:pPr>
              <w:pStyle w:val="Body"/>
              <w:spacing w:before="160"/>
            </w:pPr>
            <w:r w:rsidRPr="005D4222">
              <w:t xml:space="preserve">For example, for HEDIS MY </w:t>
            </w:r>
            <w:r w:rsidR="002B3FD1" w:rsidRPr="005D4222">
              <w:t>2026</w:t>
            </w:r>
            <w:r w:rsidRPr="005D4222">
              <w:t xml:space="preserve">, sort the list of </w:t>
            </w:r>
            <w:r w:rsidR="00EC5CEC" w:rsidRPr="005D4222">
              <w:t>ADM</w:t>
            </w:r>
            <w:r w:rsidRPr="005D4222">
              <w:t xml:space="preserve">s from </w:t>
            </w:r>
            <w:r w:rsidR="00165431" w:rsidRPr="005D4222">
              <w:t>A</w:t>
            </w:r>
            <w:r w:rsidRPr="005D4222">
              <w:t xml:space="preserve"> to </w:t>
            </w:r>
            <w:r w:rsidR="00165431" w:rsidRPr="005D4222">
              <w:t>Z</w:t>
            </w:r>
            <w:r w:rsidRPr="005D4222">
              <w:t xml:space="preserve">. For HEDIS MY </w:t>
            </w:r>
            <w:r w:rsidR="002B3FD1" w:rsidRPr="005D4222">
              <w:t>2027</w:t>
            </w:r>
            <w:r w:rsidRPr="005D4222">
              <w:t xml:space="preserve">, sort the list from </w:t>
            </w:r>
            <w:r w:rsidR="00165431" w:rsidRPr="005D4222">
              <w:t>Z</w:t>
            </w:r>
            <w:r w:rsidRPr="005D4222">
              <w:t xml:space="preserve"> to </w:t>
            </w:r>
            <w:r w:rsidR="00165431" w:rsidRPr="005D4222">
              <w:rPr>
                <w:caps/>
              </w:rPr>
              <w:t>A</w:t>
            </w:r>
            <w:r w:rsidRPr="005D4222">
              <w:t>.</w:t>
            </w:r>
          </w:p>
          <w:p w14:paraId="00FE97A1" w14:textId="32CA190F" w:rsidR="00C7241E" w:rsidRPr="005D4222" w:rsidRDefault="006C3E10" w:rsidP="009F6641">
            <w:pPr>
              <w:pStyle w:val="Note"/>
              <w:rPr>
                <w:szCs w:val="20"/>
              </w:rPr>
            </w:pPr>
            <w:r w:rsidRPr="005D4222">
              <w:rPr>
                <w:b/>
                <w:bCs/>
              </w:rPr>
              <w:t xml:space="preserve">Note: </w:t>
            </w:r>
            <w:r w:rsidRPr="005D4222">
              <w:rPr>
                <w:szCs w:val="20"/>
              </w:rPr>
              <w:t xml:space="preserve">Sort order applies to all components. For HEDIS MY </w:t>
            </w:r>
            <w:r w:rsidR="002B3FD1" w:rsidRPr="005D4222">
              <w:rPr>
                <w:szCs w:val="20"/>
              </w:rPr>
              <w:t>2026</w:t>
            </w:r>
            <w:r w:rsidRPr="005D4222">
              <w:rPr>
                <w:szCs w:val="20"/>
              </w:rPr>
              <w:t xml:space="preserve">, sort all fields by </w:t>
            </w:r>
          </w:p>
          <w:p w14:paraId="713338F3" w14:textId="1D848CAA" w:rsidR="006C3E10" w:rsidRPr="005D4222" w:rsidRDefault="00C7241E" w:rsidP="00093426">
            <w:pPr>
              <w:pStyle w:val="Default"/>
              <w:rPr>
                <w:sz w:val="20"/>
              </w:rPr>
            </w:pPr>
            <w:r w:rsidRPr="005D4222">
              <w:rPr>
                <w:i/>
                <w:sz w:val="20"/>
                <w:szCs w:val="20"/>
              </w:rPr>
              <w:t xml:space="preserve">ascending </w:t>
            </w:r>
            <w:r w:rsidR="006C3E10" w:rsidRPr="005D4222">
              <w:rPr>
                <w:i/>
                <w:sz w:val="20"/>
                <w:szCs w:val="20"/>
              </w:rPr>
              <w:t xml:space="preserve">order (i.e., last name </w:t>
            </w:r>
            <w:r w:rsidR="00093426" w:rsidRPr="005D4222">
              <w:rPr>
                <w:i/>
                <w:sz w:val="20"/>
                <w:szCs w:val="20"/>
              </w:rPr>
              <w:t>ascending</w:t>
            </w:r>
            <w:r w:rsidR="006C3E10" w:rsidRPr="005D4222">
              <w:rPr>
                <w:i/>
                <w:sz w:val="20"/>
                <w:szCs w:val="20"/>
              </w:rPr>
              <w:t xml:space="preserve">, first name </w:t>
            </w:r>
            <w:r w:rsidR="00093426" w:rsidRPr="005D4222">
              <w:rPr>
                <w:i/>
                <w:sz w:val="20"/>
                <w:szCs w:val="20"/>
              </w:rPr>
              <w:t>ascending</w:t>
            </w:r>
            <w:r w:rsidR="006C3E10" w:rsidRPr="005D4222">
              <w:rPr>
                <w:i/>
                <w:sz w:val="20"/>
                <w:szCs w:val="20"/>
              </w:rPr>
              <w:t xml:space="preserve">, date of birth </w:t>
            </w:r>
            <w:r w:rsidR="00093426" w:rsidRPr="005D4222">
              <w:rPr>
                <w:i/>
                <w:sz w:val="20"/>
                <w:szCs w:val="20"/>
              </w:rPr>
              <w:t>ascending</w:t>
            </w:r>
            <w:r w:rsidR="006C3E10" w:rsidRPr="005D4222">
              <w:rPr>
                <w:i/>
                <w:sz w:val="20"/>
                <w:szCs w:val="20"/>
              </w:rPr>
              <w:t xml:space="preserve">, event </w:t>
            </w:r>
            <w:r w:rsidR="00093426" w:rsidRPr="005D4222">
              <w:rPr>
                <w:i/>
                <w:sz w:val="20"/>
                <w:szCs w:val="20"/>
              </w:rPr>
              <w:t>ascending</w:t>
            </w:r>
            <w:r w:rsidR="006C3E10" w:rsidRPr="005D4222">
              <w:rPr>
                <w:i/>
                <w:sz w:val="20"/>
                <w:szCs w:val="20"/>
              </w:rPr>
              <w:t>).</w:t>
            </w:r>
            <w:r w:rsidR="006C3E10" w:rsidRPr="005D4222">
              <w:t xml:space="preserve"> </w:t>
            </w:r>
          </w:p>
        </w:tc>
      </w:tr>
      <w:tr w:rsidR="006C3E10" w:rsidRPr="005D4222" w14:paraId="082B2A57" w14:textId="77777777" w:rsidTr="009F6641">
        <w:tc>
          <w:tcPr>
            <w:tcW w:w="900" w:type="dxa"/>
          </w:tcPr>
          <w:p w14:paraId="4A49C6D8" w14:textId="77777777" w:rsidR="006C3E10" w:rsidRPr="005D4222" w:rsidRDefault="006C3E10" w:rsidP="009F6641">
            <w:pPr>
              <w:pStyle w:val="MarginSubhead"/>
              <w:widowControl w:val="0"/>
              <w:ind w:left="0"/>
              <w:jc w:val="right"/>
              <w:rPr>
                <w:i/>
              </w:rPr>
            </w:pPr>
            <w:r w:rsidRPr="005D4222">
              <w:rPr>
                <w:i/>
              </w:rPr>
              <w:t>Step 6</w:t>
            </w:r>
          </w:p>
        </w:tc>
        <w:tc>
          <w:tcPr>
            <w:tcW w:w="8928" w:type="dxa"/>
            <w:gridSpan w:val="2"/>
          </w:tcPr>
          <w:p w14:paraId="0B5E38D2" w14:textId="5DBBBEF9" w:rsidR="006C3E10" w:rsidRPr="005D4222" w:rsidRDefault="006C3E10" w:rsidP="009F6641">
            <w:pPr>
              <w:pStyle w:val="Body"/>
            </w:pPr>
            <w:r w:rsidRPr="005D4222">
              <w:t xml:space="preserve">Calculate N = </w:t>
            </w:r>
            <w:r w:rsidR="008266E8" w:rsidRPr="005D4222">
              <w:t>ADM</w:t>
            </w:r>
            <w:r w:rsidRPr="005D4222">
              <w:t xml:space="preserve">/(MRSS + all oversample records). Round </w:t>
            </w:r>
            <w:r w:rsidRPr="005D4222">
              <w:rPr>
                <w:i/>
                <w:iCs/>
              </w:rPr>
              <w:t>down</w:t>
            </w:r>
            <w:r w:rsidRPr="005D4222">
              <w:t xml:space="preserve"> to a whole number. </w:t>
            </w:r>
          </w:p>
          <w:p w14:paraId="38B6766E" w14:textId="77777777" w:rsidR="006C3E10" w:rsidRPr="005D4222" w:rsidRDefault="006C3E10" w:rsidP="009F6641">
            <w:pPr>
              <w:pStyle w:val="Body"/>
              <w:spacing w:before="160"/>
            </w:pPr>
            <w:r w:rsidRPr="005D4222">
              <w:t xml:space="preserve">Determine N, which is used in the formula to determine which member will start your sample. </w:t>
            </w:r>
            <w:r w:rsidRPr="005D4222">
              <w:br/>
              <w:t>N is calculated using the equation:</w:t>
            </w:r>
          </w:p>
          <w:p w14:paraId="4AEA1EE5" w14:textId="546D656F" w:rsidR="006C3E10" w:rsidRPr="005D4222" w:rsidRDefault="006C3E10" w:rsidP="009F6641">
            <w:pPr>
              <w:pStyle w:val="Body"/>
              <w:widowControl w:val="0"/>
              <w:spacing w:before="120"/>
              <w:jc w:val="center"/>
            </w:pPr>
            <w:r w:rsidRPr="005D4222">
              <w:t xml:space="preserve">N = </w:t>
            </w:r>
            <w:r w:rsidR="00EC5CEC" w:rsidRPr="005D4222">
              <w:t>ADM</w:t>
            </w:r>
            <w:r w:rsidRPr="005D4222">
              <w:t>/(MRSS + all oversample records)</w:t>
            </w:r>
          </w:p>
          <w:p w14:paraId="12B0153B" w14:textId="01C6FA84" w:rsidR="006C3E10" w:rsidRPr="005D4222" w:rsidRDefault="006C3E10" w:rsidP="002C6F88">
            <w:pPr>
              <w:pStyle w:val="Body"/>
              <w:spacing w:before="120" w:after="240"/>
            </w:pPr>
            <w:r w:rsidRPr="005D4222">
              <w:t xml:space="preserve">where </w:t>
            </w:r>
            <w:r w:rsidR="00EC5CEC" w:rsidRPr="005D4222">
              <w:t>ADM</w:t>
            </w:r>
            <w:r w:rsidRPr="005D4222">
              <w:t xml:space="preserve"> = the </w:t>
            </w:r>
            <w:r w:rsidR="00EC5CEC" w:rsidRPr="005D4222">
              <w:t>administrative denominator</w:t>
            </w:r>
            <w:r w:rsidRPr="005D4222">
              <w:t xml:space="preserve"> (step 1) and MRSS = the minimum required sample size (step 2).</w:t>
            </w:r>
          </w:p>
        </w:tc>
      </w:tr>
      <w:tr w:rsidR="006C3E10" w:rsidRPr="005D4222" w14:paraId="753E7F22" w14:textId="77777777" w:rsidTr="009F6641">
        <w:tc>
          <w:tcPr>
            <w:tcW w:w="900" w:type="dxa"/>
          </w:tcPr>
          <w:p w14:paraId="7B03FE07" w14:textId="77777777" w:rsidR="006C3E10" w:rsidRPr="005D4222" w:rsidRDefault="006C3E10" w:rsidP="009F6641">
            <w:pPr>
              <w:pStyle w:val="MarginSubhead"/>
              <w:widowControl w:val="0"/>
              <w:spacing w:before="0"/>
              <w:ind w:left="0"/>
              <w:jc w:val="right"/>
              <w:rPr>
                <w:i/>
              </w:rPr>
            </w:pPr>
            <w:r w:rsidRPr="005D4222">
              <w:rPr>
                <w:i/>
              </w:rPr>
              <w:lastRenderedPageBreak/>
              <w:t>Step 7</w:t>
            </w:r>
          </w:p>
        </w:tc>
        <w:tc>
          <w:tcPr>
            <w:tcW w:w="8928" w:type="dxa"/>
            <w:gridSpan w:val="2"/>
          </w:tcPr>
          <w:p w14:paraId="63355C1C" w14:textId="77777777" w:rsidR="006C3E10" w:rsidRPr="005D4222" w:rsidRDefault="006C3E10" w:rsidP="009F6641">
            <w:pPr>
              <w:pStyle w:val="Body"/>
              <w:spacing w:before="0"/>
            </w:pPr>
            <w:r w:rsidRPr="005D4222">
              <w:t xml:space="preserve">Calculate START = (RAND </w:t>
            </w:r>
            <w:r w:rsidRPr="005D4222">
              <w:rPr>
                <w:rFonts w:ascii="Symbol" w:eastAsia="Symbol" w:hAnsi="Symbol" w:cs="Symbol"/>
              </w:rPr>
              <w:t></w:t>
            </w:r>
            <w:r w:rsidRPr="005D4222">
              <w:t xml:space="preserve"> N).</w:t>
            </w:r>
            <w:r w:rsidRPr="005D4222">
              <w:rPr>
                <w:i/>
              </w:rPr>
              <w:t xml:space="preserve"> </w:t>
            </w:r>
            <w:r w:rsidRPr="005D4222">
              <w:t>Before choosing members, determine the member to start with (START). It is important that the sample be selected from a single pass through the member list. START can have many values and still allow only one pass.</w:t>
            </w:r>
          </w:p>
          <w:p w14:paraId="111B8AE5" w14:textId="64FBF6F7" w:rsidR="006C3E10" w:rsidRPr="005D4222" w:rsidDel="0048012C" w:rsidRDefault="006C3E10" w:rsidP="009F6641">
            <w:pPr>
              <w:pStyle w:val="Body"/>
              <w:spacing w:before="160"/>
            </w:pPr>
            <w:hyperlink w:anchor="RAND" w:history="1">
              <w:r w:rsidRPr="005D4222">
                <w:rPr>
                  <w:rStyle w:val="Hyperlink"/>
                </w:rPr>
                <w:t>Use the Random Number (RAND) table</w:t>
              </w:r>
            </w:hyperlink>
            <w:r w:rsidRPr="005D4222">
              <w:t xml:space="preserve"> for the appropriate measurement year that lists a value between 0 and 1 for each measure where the Hybrid Method is applicable. Refer to this table to determine the RAND to be used when determining START. The RAND for each measure is used to calculate the starting point from which to draw the final sample</w:t>
            </w:r>
            <w:r w:rsidRPr="005D4222" w:rsidDel="0048012C">
              <w:t>.</w:t>
            </w:r>
          </w:p>
          <w:p w14:paraId="68AC3C2B" w14:textId="77777777" w:rsidR="006C3E10" w:rsidRPr="005D4222" w:rsidRDefault="006C3E10" w:rsidP="009F6641">
            <w:pPr>
              <w:pStyle w:val="Body"/>
              <w:spacing w:before="160"/>
            </w:pPr>
            <w:r w:rsidRPr="005D4222" w:rsidDel="0048012C">
              <w:t>Calculate the number from which to start drawing the final sample as follows</w:t>
            </w:r>
            <w:r w:rsidRPr="005D4222">
              <w:t>:</w:t>
            </w:r>
          </w:p>
          <w:p w14:paraId="328D3AAD" w14:textId="77777777" w:rsidR="006C3E10" w:rsidRPr="005D4222" w:rsidRDefault="006C3E10" w:rsidP="009F6641">
            <w:pPr>
              <w:pStyle w:val="Body"/>
              <w:widowControl w:val="0"/>
              <w:spacing w:before="120"/>
              <w:jc w:val="center"/>
            </w:pPr>
            <w:r w:rsidRPr="005D4222">
              <w:t xml:space="preserve">START = (RAND </w:t>
            </w:r>
            <w:r w:rsidRPr="005D4222">
              <w:rPr>
                <w:rFonts w:ascii="Symbol" w:eastAsia="Symbol" w:hAnsi="Symbol" w:cs="Symbol"/>
              </w:rPr>
              <w:t></w:t>
            </w:r>
            <w:r w:rsidRPr="005D4222">
              <w:t xml:space="preserve"> N)</w:t>
            </w:r>
          </w:p>
          <w:p w14:paraId="6F10DEC1" w14:textId="77777777" w:rsidR="006C3E10" w:rsidRPr="005D4222" w:rsidRDefault="006C3E10" w:rsidP="009F6641">
            <w:pPr>
              <w:pStyle w:val="Body"/>
              <w:widowControl w:val="0"/>
              <w:spacing w:before="120"/>
              <w:rPr>
                <w:i/>
                <w:iCs/>
              </w:rPr>
            </w:pPr>
            <w:r w:rsidRPr="005D4222">
              <w:t>(round per the .5 rule to the nearest whole number greater than 0), where RAND = the random number for each respective measure identified in the RAND table</w:t>
            </w:r>
            <w:r w:rsidRPr="005D4222">
              <w:rPr>
                <w:i/>
                <w:iCs/>
              </w:rPr>
              <w:t xml:space="preserve">. </w:t>
            </w:r>
          </w:p>
        </w:tc>
      </w:tr>
      <w:tr w:rsidR="006C3E10" w:rsidRPr="005D4222" w14:paraId="267BB766" w14:textId="77777777" w:rsidTr="009F6641">
        <w:tc>
          <w:tcPr>
            <w:tcW w:w="900" w:type="dxa"/>
          </w:tcPr>
          <w:p w14:paraId="79A02047" w14:textId="77777777" w:rsidR="006C3E10" w:rsidRPr="005D4222" w:rsidRDefault="006C3E10" w:rsidP="009F6641">
            <w:pPr>
              <w:pStyle w:val="MarginSubhead"/>
              <w:widowControl w:val="0"/>
              <w:spacing w:before="160"/>
              <w:ind w:left="0"/>
              <w:jc w:val="right"/>
              <w:rPr>
                <w:i/>
              </w:rPr>
            </w:pPr>
            <w:r w:rsidRPr="005D4222">
              <w:rPr>
                <w:i/>
              </w:rPr>
              <w:t>Step 8</w:t>
            </w:r>
          </w:p>
        </w:tc>
        <w:tc>
          <w:tcPr>
            <w:tcW w:w="8928" w:type="dxa"/>
            <w:gridSpan w:val="2"/>
          </w:tcPr>
          <w:p w14:paraId="0F033769" w14:textId="77777777" w:rsidR="006C3E10" w:rsidRPr="005D4222" w:rsidRDefault="006C3E10" w:rsidP="009F6641">
            <w:pPr>
              <w:pStyle w:val="Body"/>
              <w:spacing w:before="160"/>
            </w:pPr>
            <w:r w:rsidRPr="005D4222">
              <w:t>Select the sample, choosing every i</w:t>
            </w:r>
            <w:r w:rsidRPr="005D4222">
              <w:rPr>
                <w:vertAlign w:val="superscript"/>
              </w:rPr>
              <w:t>th</w:t>
            </w:r>
            <w:r w:rsidRPr="005D4222">
              <w:t xml:space="preserve"> member using the formula:</w:t>
            </w:r>
          </w:p>
          <w:p w14:paraId="0971751D" w14:textId="4B435A76" w:rsidR="006C3E10" w:rsidRPr="005D4222" w:rsidRDefault="006C3E10" w:rsidP="009F6641">
            <w:pPr>
              <w:pStyle w:val="Body"/>
              <w:widowControl w:val="0"/>
              <w:spacing w:before="120"/>
              <w:jc w:val="center"/>
            </w:pPr>
            <w:r w:rsidRPr="005D4222">
              <w:t>i</w:t>
            </w:r>
            <w:r w:rsidRPr="005D4222">
              <w:rPr>
                <w:vertAlign w:val="superscript"/>
              </w:rPr>
              <w:t>th</w:t>
            </w:r>
            <w:r w:rsidRPr="005D4222">
              <w:t xml:space="preserve"> member = START + [(i-1) x </w:t>
            </w:r>
            <w:r w:rsidR="00056723" w:rsidRPr="005D4222">
              <w:t>ADM</w:t>
            </w:r>
            <w:r w:rsidRPr="005D4222">
              <w:t>/(MRSS + all oversample records)]</w:t>
            </w:r>
          </w:p>
          <w:p w14:paraId="60A69554" w14:textId="0886D41B" w:rsidR="006C3E10" w:rsidRPr="005D4222" w:rsidRDefault="006C3E10" w:rsidP="009F6641">
            <w:pPr>
              <w:pStyle w:val="Body"/>
              <w:widowControl w:val="0"/>
              <w:spacing w:before="120"/>
            </w:pPr>
            <w:r w:rsidRPr="005D4222">
              <w:t>(rounding [(i-1) x (</w:t>
            </w:r>
            <w:r w:rsidR="00056723" w:rsidRPr="005D4222">
              <w:t>ADM</w:t>
            </w:r>
            <w:r w:rsidRPr="005D4222">
              <w:t>/MRSS + all oversample records)] per the .5 rule to the nearest whole number greater than 0).</w:t>
            </w:r>
          </w:p>
          <w:p w14:paraId="71BB8F67" w14:textId="5A7AD552" w:rsidR="006C3E10" w:rsidRPr="005D4222" w:rsidRDefault="006C3E10" w:rsidP="009F6641">
            <w:pPr>
              <w:pStyle w:val="Body"/>
              <w:spacing w:before="160"/>
            </w:pPr>
            <w:r w:rsidRPr="005D4222">
              <w:t xml:space="preserve">For i = 2,3,4, …, MRSS where </w:t>
            </w:r>
            <w:r w:rsidR="00056723" w:rsidRPr="005D4222">
              <w:t>ADM</w:t>
            </w:r>
            <w:r w:rsidRPr="005D4222">
              <w:t xml:space="preserve"> = </w:t>
            </w:r>
            <w:r w:rsidR="00056723" w:rsidRPr="005D4222">
              <w:t>administrative denominator</w:t>
            </w:r>
            <w:r w:rsidRPr="005D4222">
              <w:t xml:space="preserve"> (step 1). MRSS = the minimum required sample size (step 2).</w:t>
            </w:r>
          </w:p>
          <w:p w14:paraId="43796518" w14:textId="77777777" w:rsidR="006C3E10" w:rsidRPr="005D4222" w:rsidRDefault="006C3E10" w:rsidP="009F6641">
            <w:pPr>
              <w:pStyle w:val="Body"/>
              <w:spacing w:before="160"/>
            </w:pPr>
            <w:r w:rsidRPr="005D4222">
              <w:t>Starting with the member corresponding to the number START, choose every i</w:t>
            </w:r>
            <w:r w:rsidRPr="005D4222">
              <w:rPr>
                <w:vertAlign w:val="superscript"/>
              </w:rPr>
              <w:t>th</w:t>
            </w:r>
            <w:r w:rsidRPr="005D4222">
              <w:t xml:space="preserve"> member until the MRSS is met. This becomes the primary list of sampled members. </w:t>
            </w:r>
          </w:p>
          <w:p w14:paraId="23281B2B" w14:textId="77777777" w:rsidR="006C3E10" w:rsidRPr="005D4222" w:rsidRDefault="006C3E10" w:rsidP="009F6641">
            <w:pPr>
              <w:pStyle w:val="Body"/>
              <w:spacing w:before="160"/>
            </w:pPr>
            <w:r w:rsidRPr="005D4222">
              <w:t>Continue choosing every i</w:t>
            </w:r>
            <w:r w:rsidRPr="005D4222">
              <w:rPr>
                <w:vertAlign w:val="superscript"/>
              </w:rPr>
              <w:t>th</w:t>
            </w:r>
            <w:r w:rsidRPr="005D4222">
              <w:t xml:space="preserve"> member until the oversample is met. This set of members becomes the oversample. The oversample records should be used and reported only to replace cases taken out of the MRSS because of valid data errors, false positives and so on; otherwise, these records should not be reported in the final denominator.</w:t>
            </w:r>
          </w:p>
          <w:p w14:paraId="54A7051B" w14:textId="1FA9AE75" w:rsidR="006C3E10" w:rsidRPr="005D4222" w:rsidRDefault="006C3E10" w:rsidP="009F6641">
            <w:pPr>
              <w:pStyle w:val="Note"/>
            </w:pPr>
            <w:r w:rsidRPr="005D4222">
              <w:rPr>
                <w:b/>
                <w:bCs/>
              </w:rPr>
              <w:t>Note:</w:t>
            </w:r>
            <w:r w:rsidRPr="005D4222">
              <w:t xml:space="preserve"> From step 4, if MRSS &lt;</w:t>
            </w:r>
            <w:r w:rsidR="00056723" w:rsidRPr="005D4222">
              <w:t>ADM</w:t>
            </w:r>
            <w:r w:rsidR="00E351C3" w:rsidRPr="005D4222">
              <w:t xml:space="preserve"> </w:t>
            </w:r>
            <w:r w:rsidRPr="005D4222">
              <w:rPr>
                <w:rFonts w:eastAsia="Arial" w:cs="Arial"/>
              </w:rPr>
              <w:t>≤</w:t>
            </w:r>
            <w:r w:rsidRPr="005D4222">
              <w:t xml:space="preserve">MRSS + all oversample records, sort the </w:t>
            </w:r>
            <w:r w:rsidR="00312C7D" w:rsidRPr="005D4222">
              <w:t>ADM</w:t>
            </w:r>
            <w:r w:rsidRPr="005D4222">
              <w:t xml:space="preserve">s in alphabetical order (by applicable measurement year) by last name, first name, date of birth and event (if applicable). Choose the first MRSS </w:t>
            </w:r>
            <w:r w:rsidR="00312C7D" w:rsidRPr="005D4222">
              <w:t>ADM</w:t>
            </w:r>
            <w:r w:rsidRPr="005D4222">
              <w:t>as the primary sample and the remaining s as the oversample.</w:t>
            </w:r>
          </w:p>
        </w:tc>
      </w:tr>
    </w:tbl>
    <w:p w14:paraId="73378EAE" w14:textId="77777777" w:rsidR="006C3E10" w:rsidRPr="005D4222" w:rsidRDefault="006C3E10" w:rsidP="006C3E10">
      <w:pPr>
        <w:pStyle w:val="Body"/>
        <w:widowControl w:val="0"/>
      </w:pPr>
      <w:r w:rsidRPr="005D4222">
        <w:t>The oversample list is only used to replace exclusions. All exclusions must be documented because they may be subject to audit.</w:t>
      </w:r>
    </w:p>
    <w:tbl>
      <w:tblPr>
        <w:tblW w:w="9792" w:type="dxa"/>
        <w:tblInd w:w="18" w:type="dxa"/>
        <w:tblLayout w:type="fixed"/>
        <w:tblLook w:val="0000" w:firstRow="0" w:lastRow="0" w:firstColumn="0" w:lastColumn="0" w:noHBand="0" w:noVBand="0"/>
      </w:tblPr>
      <w:tblGrid>
        <w:gridCol w:w="2160"/>
        <w:gridCol w:w="7632"/>
      </w:tblGrid>
      <w:tr w:rsidR="006C3E10" w:rsidRPr="005D4222" w14:paraId="431245C7" w14:textId="77777777" w:rsidTr="00A62768">
        <w:tc>
          <w:tcPr>
            <w:tcW w:w="2160" w:type="dxa"/>
          </w:tcPr>
          <w:p w14:paraId="70A89034" w14:textId="77777777" w:rsidR="006C3E10" w:rsidRPr="005D4222" w:rsidRDefault="006C3E10" w:rsidP="009F6641">
            <w:pPr>
              <w:pStyle w:val="MarginSubhead"/>
            </w:pPr>
            <w:bookmarkStart w:id="214" w:name="OversampleMethod"/>
            <w:r w:rsidRPr="005D4222">
              <w:t xml:space="preserve">Oversampling methodology </w:t>
            </w:r>
            <w:bookmarkEnd w:id="214"/>
          </w:p>
        </w:tc>
        <w:tc>
          <w:tcPr>
            <w:tcW w:w="7632" w:type="dxa"/>
          </w:tcPr>
          <w:p w14:paraId="0DB0FBA0" w14:textId="77777777" w:rsidR="006C3E10" w:rsidRPr="005D4222" w:rsidRDefault="006C3E10" w:rsidP="009F6641">
            <w:pPr>
              <w:pStyle w:val="Body"/>
            </w:pPr>
            <w:r w:rsidRPr="005D4222">
              <w:t>For hybrid measures, the starting sample size must be higher than the designated sample size because medical records must be substituted if a member is ineligible for the measure; for example, if a member was incorrectly identified as a diabetic through administrative data or meets exclusion criteria for the measure.</w:t>
            </w:r>
          </w:p>
          <w:p w14:paraId="59B1EFC8" w14:textId="77777777" w:rsidR="006C3E10" w:rsidRPr="005D4222" w:rsidRDefault="006C3E10" w:rsidP="009F6641">
            <w:pPr>
              <w:pStyle w:val="Body"/>
              <w:widowControl w:val="0"/>
            </w:pPr>
            <w:r w:rsidRPr="005D4222">
              <w:t xml:space="preserve">To adjust for this, divide the sample size by the percentage of charts expected to be inappropriate for review. Suppose 10% of charts are expected to be inappropriate for the measure. </w:t>
            </w:r>
          </w:p>
          <w:p w14:paraId="1A48B083" w14:textId="77777777" w:rsidR="006C3E10" w:rsidRPr="005D4222" w:rsidRDefault="006C3E10" w:rsidP="00CD724F">
            <w:pPr>
              <w:pStyle w:val="Body"/>
            </w:pPr>
            <w:r w:rsidRPr="005D4222">
              <w:t>To determine the oversample, multiply the MRSS by the oversample percentage and round up to the nearest whole number.</w:t>
            </w:r>
          </w:p>
          <w:p w14:paraId="71A857CC" w14:textId="77777777" w:rsidR="006C3E10" w:rsidRPr="005D4222" w:rsidRDefault="006C3E10" w:rsidP="009F6641">
            <w:pPr>
              <w:pStyle w:val="Body"/>
              <w:widowControl w:val="0"/>
              <w:spacing w:before="120"/>
              <w:jc w:val="center"/>
              <w:rPr>
                <w:iCs/>
              </w:rPr>
            </w:pPr>
            <w:r w:rsidRPr="005D4222">
              <w:rPr>
                <w:iCs/>
              </w:rPr>
              <w:t xml:space="preserve">411 x 0.10 = 41.1 </w:t>
            </w:r>
          </w:p>
          <w:p w14:paraId="623D0E84" w14:textId="77777777" w:rsidR="006C3E10" w:rsidRPr="005D4222" w:rsidRDefault="006C3E10" w:rsidP="009F6641">
            <w:pPr>
              <w:pStyle w:val="Body"/>
              <w:widowControl w:val="0"/>
              <w:spacing w:before="0"/>
              <w:jc w:val="center"/>
              <w:rPr>
                <w:iCs/>
              </w:rPr>
            </w:pPr>
            <w:r w:rsidRPr="005D4222">
              <w:rPr>
                <w:iCs/>
              </w:rPr>
              <w:t>(rounded up to 42 = oversample).</w:t>
            </w:r>
          </w:p>
          <w:p w14:paraId="17235F78" w14:textId="2F19DF19" w:rsidR="006C3E10" w:rsidRPr="005D4222" w:rsidRDefault="006C3E10" w:rsidP="009F6641">
            <w:pPr>
              <w:pStyle w:val="Note"/>
            </w:pPr>
          </w:p>
        </w:tc>
      </w:tr>
    </w:tbl>
    <w:p w14:paraId="4054030A" w14:textId="77777777" w:rsidR="00A62768" w:rsidRPr="005D4222" w:rsidRDefault="00A62768">
      <w:pPr>
        <w:spacing w:after="160" w:line="259" w:lineRule="auto"/>
      </w:pPr>
      <w:r w:rsidRPr="005D4222">
        <w:br w:type="page"/>
      </w:r>
    </w:p>
    <w:tbl>
      <w:tblPr>
        <w:tblW w:w="9792" w:type="dxa"/>
        <w:tblInd w:w="18" w:type="dxa"/>
        <w:tblLayout w:type="fixed"/>
        <w:tblLook w:val="0000" w:firstRow="0" w:lastRow="0" w:firstColumn="0" w:lastColumn="0" w:noHBand="0" w:noVBand="0"/>
      </w:tblPr>
      <w:tblGrid>
        <w:gridCol w:w="2160"/>
        <w:gridCol w:w="7632"/>
      </w:tblGrid>
      <w:tr w:rsidR="00A62768" w:rsidRPr="005D4222" w14:paraId="2E8A7B09" w14:textId="77777777" w:rsidTr="009F6641">
        <w:tc>
          <w:tcPr>
            <w:tcW w:w="2160" w:type="dxa"/>
            <w:tcBorders>
              <w:bottom w:val="nil"/>
            </w:tcBorders>
          </w:tcPr>
          <w:p w14:paraId="238A4781" w14:textId="77777777" w:rsidR="00A62768" w:rsidRPr="005D4222" w:rsidRDefault="00A62768" w:rsidP="009F6641">
            <w:pPr>
              <w:pStyle w:val="MarginSubhead"/>
            </w:pPr>
          </w:p>
        </w:tc>
        <w:tc>
          <w:tcPr>
            <w:tcW w:w="7632" w:type="dxa"/>
            <w:tcBorders>
              <w:bottom w:val="nil"/>
            </w:tcBorders>
          </w:tcPr>
          <w:p w14:paraId="0E9087B2" w14:textId="77777777" w:rsidR="00A62768" w:rsidRPr="005D4222" w:rsidRDefault="00A62768" w:rsidP="00A62768">
            <w:pPr>
              <w:pStyle w:val="Body"/>
              <w:widowControl w:val="0"/>
              <w:spacing w:before="0"/>
            </w:pPr>
            <w:r w:rsidRPr="005D4222">
              <w:t>The recommended methodology for substitution is:</w:t>
            </w:r>
          </w:p>
          <w:p w14:paraId="59B26153" w14:textId="77777777" w:rsidR="00A62768" w:rsidRPr="005D4222" w:rsidRDefault="00A62768" w:rsidP="00A62768">
            <w:pPr>
              <w:pStyle w:val="Bullet"/>
              <w:widowControl w:val="0"/>
            </w:pPr>
            <w:r w:rsidRPr="005D4222">
              <w:t>Replace the member’s chart with that of the first member in the oversample list.</w:t>
            </w:r>
          </w:p>
          <w:p w14:paraId="2B4C86B1" w14:textId="77777777" w:rsidR="00A62768" w:rsidRPr="005D4222" w:rsidRDefault="00A62768" w:rsidP="00A62768">
            <w:pPr>
              <w:pStyle w:val="Bullet"/>
              <w:widowControl w:val="0"/>
            </w:pPr>
            <w:r w:rsidRPr="005D4222">
              <w:t>Continue replacing each ineligible member with the next consecutive member of the oversample list.</w:t>
            </w:r>
          </w:p>
          <w:p w14:paraId="31D81077" w14:textId="77777777" w:rsidR="00A62768" w:rsidRPr="005D4222" w:rsidRDefault="00A62768" w:rsidP="00A62768">
            <w:pPr>
              <w:pStyle w:val="Body"/>
            </w:pPr>
            <w:r w:rsidRPr="005D4222">
              <w:t>Organizations must only use the oversample for substitution and must report all measures using their MRSS.</w:t>
            </w:r>
            <w:r w:rsidRPr="005D4222" w:rsidDel="008307ED">
              <w:t xml:space="preserve"> </w:t>
            </w:r>
          </w:p>
          <w:p w14:paraId="0AE5D78A" w14:textId="48FC68BE" w:rsidR="00A62768" w:rsidRPr="005D4222" w:rsidRDefault="00A62768" w:rsidP="00A62768">
            <w:pPr>
              <w:pStyle w:val="Note"/>
            </w:pPr>
            <w:r w:rsidRPr="005D4222">
              <w:rPr>
                <w:b/>
                <w:bCs/>
              </w:rPr>
              <w:t>Note:</w:t>
            </w:r>
            <w:r w:rsidRPr="005D4222">
              <w:t xml:space="preserve"> Many factors must be considered when determining the initial sample size and oversampling percentage—such as previous years’ data, frequency of exclusions and claims lag.</w:t>
            </w:r>
          </w:p>
        </w:tc>
      </w:tr>
    </w:tbl>
    <w:p w14:paraId="61A0979D" w14:textId="77777777" w:rsidR="006C3E10" w:rsidRPr="005D4222" w:rsidRDefault="006C3E10" w:rsidP="006C3E10">
      <w:pPr>
        <w:pStyle w:val="SubHead"/>
      </w:pPr>
      <w:bookmarkStart w:id="215" w:name="_Toc400546093"/>
      <w:bookmarkStart w:id="216" w:name="_Toc171402953"/>
      <w:bookmarkStart w:id="217" w:name="_Toc201813373"/>
      <w:r w:rsidRPr="005D4222">
        <w:t>Example 1</w:t>
      </w:r>
      <w:bookmarkEnd w:id="215"/>
      <w:bookmarkEnd w:id="216"/>
      <w:bookmarkEnd w:id="217"/>
    </w:p>
    <w:p w14:paraId="68E55293" w14:textId="0131D85E" w:rsidR="006C3E10" w:rsidRPr="005D4222" w:rsidRDefault="006C3E10" w:rsidP="006C3E10">
      <w:pPr>
        <w:pStyle w:val="Body"/>
        <w:widowControl w:val="0"/>
        <w:tabs>
          <w:tab w:val="left" w:pos="1890"/>
        </w:tabs>
      </w:pPr>
      <w:r w:rsidRPr="005D4222">
        <w:t xml:space="preserve">The </w:t>
      </w:r>
      <w:r w:rsidR="007B4F70" w:rsidRPr="005D4222">
        <w:t>ADM</w:t>
      </w:r>
      <w:r w:rsidRPr="005D4222">
        <w:t xml:space="preserve"> for the commercial product line for Prenatal and Postpartum Care</w:t>
      </w:r>
      <w:r w:rsidRPr="005D4222" w:rsidDel="000004D2">
        <w:t xml:space="preserve"> </w:t>
      </w:r>
      <w:r w:rsidRPr="005D4222">
        <w:t xml:space="preserve">is 9,000. Reduce the minimum required sample size using the commercial rate from the prior year’s HEDIS submission, which was 77%. Based on experience, estimate a 5% oversample rate. Follow the systematic sampling methodology. </w:t>
      </w:r>
    </w:p>
    <w:tbl>
      <w:tblPr>
        <w:tblW w:w="0" w:type="auto"/>
        <w:tblInd w:w="-9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80" w:type="dxa"/>
          <w:right w:w="180" w:type="dxa"/>
        </w:tblCellMar>
        <w:tblLook w:val="0000" w:firstRow="0" w:lastRow="0" w:firstColumn="0" w:lastColumn="0" w:noHBand="0" w:noVBand="0"/>
      </w:tblPr>
      <w:tblGrid>
        <w:gridCol w:w="990"/>
        <w:gridCol w:w="8820"/>
      </w:tblGrid>
      <w:tr w:rsidR="006C3E10" w:rsidRPr="005D4222" w14:paraId="3A61546A" w14:textId="77777777" w:rsidTr="009F6641">
        <w:tc>
          <w:tcPr>
            <w:tcW w:w="990" w:type="dxa"/>
            <w:tcBorders>
              <w:top w:val="nil"/>
              <w:left w:val="nil"/>
              <w:bottom w:val="nil"/>
              <w:right w:val="nil"/>
            </w:tcBorders>
            <w:tcMar>
              <w:left w:w="115" w:type="dxa"/>
              <w:right w:w="115" w:type="dxa"/>
            </w:tcMar>
          </w:tcPr>
          <w:p w14:paraId="409DCADD" w14:textId="77777777" w:rsidR="006C3E10" w:rsidRPr="005D4222" w:rsidRDefault="006C3E10" w:rsidP="009F6641">
            <w:pPr>
              <w:pStyle w:val="MarginSubhead"/>
              <w:widowControl w:val="0"/>
              <w:ind w:left="68"/>
              <w:jc w:val="right"/>
              <w:rPr>
                <w:i/>
                <w:iCs/>
                <w:szCs w:val="21"/>
              </w:rPr>
            </w:pPr>
            <w:r w:rsidRPr="005D4222">
              <w:rPr>
                <w:i/>
                <w:iCs/>
                <w:szCs w:val="21"/>
              </w:rPr>
              <w:t>Step 1</w:t>
            </w:r>
          </w:p>
        </w:tc>
        <w:tc>
          <w:tcPr>
            <w:tcW w:w="8820" w:type="dxa"/>
            <w:tcBorders>
              <w:top w:val="nil"/>
              <w:left w:val="nil"/>
              <w:bottom w:val="nil"/>
              <w:right w:val="nil"/>
            </w:tcBorders>
            <w:tcMar>
              <w:left w:w="115" w:type="dxa"/>
              <w:right w:w="115" w:type="dxa"/>
            </w:tcMar>
          </w:tcPr>
          <w:p w14:paraId="007C44A0" w14:textId="70463B07" w:rsidR="006C3E10" w:rsidRPr="005D4222" w:rsidRDefault="00C83474" w:rsidP="009F6641">
            <w:pPr>
              <w:pStyle w:val="Body"/>
              <w:widowControl w:val="0"/>
            </w:pPr>
            <w:r w:rsidRPr="005D4222">
              <w:t>AD</w:t>
            </w:r>
            <w:r w:rsidR="00133573" w:rsidRPr="005D4222">
              <w:t>M</w:t>
            </w:r>
            <w:r w:rsidR="006C3E10" w:rsidRPr="005D4222">
              <w:t xml:space="preserve"> = 9,000.</w:t>
            </w:r>
          </w:p>
        </w:tc>
      </w:tr>
      <w:tr w:rsidR="006C3E10" w:rsidRPr="005D4222" w14:paraId="75831C22" w14:textId="77777777" w:rsidTr="009F6641">
        <w:tc>
          <w:tcPr>
            <w:tcW w:w="990" w:type="dxa"/>
            <w:tcBorders>
              <w:top w:val="nil"/>
              <w:left w:val="nil"/>
              <w:bottom w:val="nil"/>
              <w:right w:val="nil"/>
            </w:tcBorders>
            <w:tcMar>
              <w:left w:w="115" w:type="dxa"/>
              <w:right w:w="115" w:type="dxa"/>
            </w:tcMar>
          </w:tcPr>
          <w:p w14:paraId="42F03961" w14:textId="77777777" w:rsidR="006C3E10" w:rsidRPr="005D4222" w:rsidRDefault="006C3E10" w:rsidP="009F6641">
            <w:pPr>
              <w:pStyle w:val="MarginHead"/>
              <w:widowControl w:val="0"/>
              <w:ind w:left="68"/>
              <w:jc w:val="right"/>
              <w:rPr>
                <w:i/>
                <w:iCs/>
                <w:sz w:val="21"/>
                <w:szCs w:val="21"/>
              </w:rPr>
            </w:pPr>
            <w:r w:rsidRPr="005D4222">
              <w:rPr>
                <w:i/>
                <w:iCs/>
                <w:sz w:val="21"/>
                <w:szCs w:val="21"/>
              </w:rPr>
              <w:t>Step 2</w:t>
            </w:r>
          </w:p>
        </w:tc>
        <w:tc>
          <w:tcPr>
            <w:tcW w:w="8820" w:type="dxa"/>
            <w:tcBorders>
              <w:top w:val="nil"/>
              <w:left w:val="nil"/>
              <w:bottom w:val="nil"/>
              <w:right w:val="nil"/>
            </w:tcBorders>
            <w:tcMar>
              <w:left w:w="115" w:type="dxa"/>
              <w:right w:w="115" w:type="dxa"/>
            </w:tcMar>
          </w:tcPr>
          <w:p w14:paraId="14D61F80" w14:textId="77777777" w:rsidR="006C3E10" w:rsidRPr="005D4222" w:rsidRDefault="006C3E10" w:rsidP="009F6641">
            <w:pPr>
              <w:pStyle w:val="Body"/>
              <w:widowControl w:val="0"/>
            </w:pPr>
            <w:r w:rsidRPr="005D4222">
              <w:t>From Table 2, the MRSS is 296.</w:t>
            </w:r>
          </w:p>
        </w:tc>
      </w:tr>
      <w:tr w:rsidR="006C3E10" w:rsidRPr="005D4222" w14:paraId="43814C8E" w14:textId="77777777" w:rsidTr="009F6641">
        <w:tc>
          <w:tcPr>
            <w:tcW w:w="990" w:type="dxa"/>
            <w:tcBorders>
              <w:top w:val="nil"/>
              <w:left w:val="nil"/>
              <w:bottom w:val="nil"/>
              <w:right w:val="nil"/>
            </w:tcBorders>
            <w:tcMar>
              <w:left w:w="115" w:type="dxa"/>
              <w:right w:w="115" w:type="dxa"/>
            </w:tcMar>
          </w:tcPr>
          <w:p w14:paraId="41DB2BC1" w14:textId="77777777" w:rsidR="006C3E10" w:rsidRPr="005D4222" w:rsidRDefault="006C3E10" w:rsidP="009F6641">
            <w:pPr>
              <w:pStyle w:val="MarginHead"/>
              <w:widowControl w:val="0"/>
              <w:ind w:left="68"/>
              <w:jc w:val="right"/>
              <w:rPr>
                <w:i/>
                <w:iCs/>
                <w:sz w:val="21"/>
                <w:szCs w:val="21"/>
              </w:rPr>
            </w:pPr>
            <w:r w:rsidRPr="005D4222">
              <w:rPr>
                <w:i/>
                <w:iCs/>
                <w:sz w:val="21"/>
                <w:szCs w:val="21"/>
              </w:rPr>
              <w:t>Step 3</w:t>
            </w:r>
          </w:p>
        </w:tc>
        <w:tc>
          <w:tcPr>
            <w:tcW w:w="8820" w:type="dxa"/>
            <w:tcBorders>
              <w:top w:val="nil"/>
              <w:left w:val="nil"/>
              <w:bottom w:val="nil"/>
              <w:right w:val="nil"/>
            </w:tcBorders>
            <w:tcMar>
              <w:left w:w="115" w:type="dxa"/>
              <w:right w:w="115" w:type="dxa"/>
            </w:tcMar>
          </w:tcPr>
          <w:p w14:paraId="102A5811" w14:textId="77777777" w:rsidR="006C3E10" w:rsidRPr="005D4222" w:rsidRDefault="006C3E10" w:rsidP="009F6641">
            <w:pPr>
              <w:pStyle w:val="Body"/>
              <w:widowControl w:val="0"/>
            </w:pPr>
            <w:r w:rsidRPr="005D4222">
              <w:t xml:space="preserve">Oversample = 296 </w:t>
            </w:r>
            <w:r w:rsidRPr="005D4222">
              <w:rPr>
                <w:rFonts w:eastAsia="Symbol" w:cs="Arial"/>
              </w:rPr>
              <w:t>x</w:t>
            </w:r>
            <w:r w:rsidRPr="005D4222">
              <w:t xml:space="preserve"> .05 = 14.8 (the next whole number </w:t>
            </w:r>
            <w:r w:rsidRPr="005D4222">
              <w:rPr>
                <w:i/>
                <w:iCs/>
              </w:rPr>
              <w:t>above</w:t>
            </w:r>
            <w:r w:rsidRPr="005D4222">
              <w:t xml:space="preserve"> is 15, so oversample = 15).</w:t>
            </w:r>
          </w:p>
        </w:tc>
      </w:tr>
      <w:tr w:rsidR="006C3E10" w:rsidRPr="005D4222" w14:paraId="65FE326F" w14:textId="77777777" w:rsidTr="009F6641">
        <w:tc>
          <w:tcPr>
            <w:tcW w:w="990" w:type="dxa"/>
            <w:tcBorders>
              <w:top w:val="nil"/>
              <w:left w:val="nil"/>
              <w:bottom w:val="nil"/>
              <w:right w:val="nil"/>
            </w:tcBorders>
            <w:tcMar>
              <w:left w:w="115" w:type="dxa"/>
              <w:right w:w="115" w:type="dxa"/>
            </w:tcMar>
          </w:tcPr>
          <w:p w14:paraId="5262CF42" w14:textId="77777777" w:rsidR="006C3E10" w:rsidRPr="005D4222" w:rsidRDefault="006C3E10" w:rsidP="009F6641">
            <w:pPr>
              <w:pStyle w:val="MarginHead"/>
              <w:widowControl w:val="0"/>
              <w:ind w:left="68"/>
              <w:jc w:val="right"/>
              <w:rPr>
                <w:i/>
                <w:iCs/>
                <w:sz w:val="21"/>
                <w:szCs w:val="21"/>
              </w:rPr>
            </w:pPr>
            <w:r w:rsidRPr="005D4222">
              <w:rPr>
                <w:i/>
                <w:iCs/>
                <w:sz w:val="21"/>
                <w:szCs w:val="21"/>
              </w:rPr>
              <w:t>Step 4</w:t>
            </w:r>
          </w:p>
        </w:tc>
        <w:tc>
          <w:tcPr>
            <w:tcW w:w="8820" w:type="dxa"/>
            <w:tcBorders>
              <w:top w:val="nil"/>
              <w:left w:val="nil"/>
              <w:bottom w:val="nil"/>
              <w:right w:val="nil"/>
            </w:tcBorders>
            <w:tcMar>
              <w:left w:w="115" w:type="dxa"/>
              <w:right w:w="115" w:type="dxa"/>
            </w:tcMar>
          </w:tcPr>
          <w:p w14:paraId="33B5F17E" w14:textId="77777777" w:rsidR="006C3E10" w:rsidRPr="005D4222" w:rsidRDefault="006C3E10" w:rsidP="009F6641">
            <w:pPr>
              <w:pStyle w:val="Body"/>
              <w:widowControl w:val="0"/>
            </w:pPr>
            <w:r w:rsidRPr="005D4222">
              <w:t>Because 9,000 &gt; 296 (MRSS) and 311 (296 + oversample), go to step 5.</w:t>
            </w:r>
          </w:p>
        </w:tc>
      </w:tr>
      <w:tr w:rsidR="006C3E10" w:rsidRPr="005D4222" w14:paraId="620992A5" w14:textId="77777777" w:rsidTr="009F6641">
        <w:tc>
          <w:tcPr>
            <w:tcW w:w="990" w:type="dxa"/>
            <w:tcBorders>
              <w:top w:val="nil"/>
              <w:left w:val="nil"/>
              <w:bottom w:val="nil"/>
              <w:right w:val="nil"/>
            </w:tcBorders>
            <w:tcMar>
              <w:left w:w="115" w:type="dxa"/>
              <w:right w:w="115" w:type="dxa"/>
            </w:tcMar>
          </w:tcPr>
          <w:p w14:paraId="63E1A6FC" w14:textId="77777777" w:rsidR="006C3E10" w:rsidRPr="005D4222" w:rsidRDefault="006C3E10" w:rsidP="009F6641">
            <w:pPr>
              <w:pStyle w:val="MarginHead"/>
              <w:widowControl w:val="0"/>
              <w:ind w:left="68"/>
              <w:jc w:val="right"/>
              <w:rPr>
                <w:i/>
                <w:iCs/>
                <w:sz w:val="21"/>
                <w:szCs w:val="21"/>
              </w:rPr>
            </w:pPr>
            <w:r w:rsidRPr="005D4222">
              <w:rPr>
                <w:i/>
                <w:iCs/>
                <w:sz w:val="21"/>
                <w:szCs w:val="21"/>
              </w:rPr>
              <w:t>Step 5</w:t>
            </w:r>
          </w:p>
        </w:tc>
        <w:tc>
          <w:tcPr>
            <w:tcW w:w="8820" w:type="dxa"/>
            <w:tcBorders>
              <w:top w:val="nil"/>
              <w:left w:val="nil"/>
              <w:bottom w:val="nil"/>
              <w:right w:val="nil"/>
            </w:tcBorders>
            <w:tcMar>
              <w:left w:w="115" w:type="dxa"/>
              <w:right w:w="115" w:type="dxa"/>
            </w:tcMar>
          </w:tcPr>
          <w:p w14:paraId="62D00981" w14:textId="77777777" w:rsidR="006C3E10" w:rsidRPr="005D4222" w:rsidRDefault="006C3E10" w:rsidP="009F6641">
            <w:pPr>
              <w:pStyle w:val="Body"/>
              <w:widowControl w:val="0"/>
            </w:pPr>
            <w:r w:rsidRPr="005D4222">
              <w:t>Sort the list alphabetically and in this order: last name, first name, date of birth.</w:t>
            </w:r>
          </w:p>
        </w:tc>
      </w:tr>
      <w:tr w:rsidR="006C3E10" w:rsidRPr="005D4222" w14:paraId="423A81DC" w14:textId="77777777" w:rsidTr="009F6641">
        <w:tc>
          <w:tcPr>
            <w:tcW w:w="990" w:type="dxa"/>
            <w:tcBorders>
              <w:top w:val="nil"/>
              <w:left w:val="nil"/>
              <w:bottom w:val="nil"/>
              <w:right w:val="nil"/>
            </w:tcBorders>
            <w:tcMar>
              <w:left w:w="115" w:type="dxa"/>
              <w:right w:w="115" w:type="dxa"/>
            </w:tcMar>
          </w:tcPr>
          <w:p w14:paraId="244BBCA7" w14:textId="77777777" w:rsidR="006C3E10" w:rsidRPr="005D4222" w:rsidRDefault="006C3E10" w:rsidP="00380D89">
            <w:pPr>
              <w:pStyle w:val="MarginHead"/>
              <w:widowControl w:val="0"/>
              <w:ind w:left="68"/>
              <w:jc w:val="right"/>
              <w:rPr>
                <w:i/>
                <w:iCs/>
                <w:sz w:val="21"/>
                <w:szCs w:val="21"/>
              </w:rPr>
            </w:pPr>
            <w:r w:rsidRPr="005D4222">
              <w:rPr>
                <w:i/>
                <w:iCs/>
                <w:sz w:val="21"/>
                <w:szCs w:val="21"/>
              </w:rPr>
              <w:t>Step 6</w:t>
            </w:r>
          </w:p>
        </w:tc>
        <w:tc>
          <w:tcPr>
            <w:tcW w:w="8820" w:type="dxa"/>
            <w:tcBorders>
              <w:top w:val="nil"/>
              <w:left w:val="nil"/>
              <w:bottom w:val="nil"/>
              <w:right w:val="nil"/>
            </w:tcBorders>
            <w:tcMar>
              <w:left w:w="115" w:type="dxa"/>
              <w:right w:w="115" w:type="dxa"/>
            </w:tcMar>
          </w:tcPr>
          <w:p w14:paraId="08911E0D" w14:textId="77777777" w:rsidR="006C3E10" w:rsidRPr="005D4222" w:rsidRDefault="006C3E10" w:rsidP="00380D89">
            <w:pPr>
              <w:pStyle w:val="Body"/>
              <w:widowControl w:val="0"/>
            </w:pPr>
            <w:r w:rsidRPr="005D4222">
              <w:t>N = 9,000/311 (MRSS + oversample) = 28.</w:t>
            </w:r>
          </w:p>
        </w:tc>
      </w:tr>
      <w:tr w:rsidR="006C3E10" w:rsidRPr="005D4222" w14:paraId="2B5539E9" w14:textId="77777777" w:rsidTr="009F6641">
        <w:tc>
          <w:tcPr>
            <w:tcW w:w="990" w:type="dxa"/>
            <w:tcBorders>
              <w:top w:val="nil"/>
              <w:left w:val="nil"/>
              <w:bottom w:val="nil"/>
              <w:right w:val="nil"/>
            </w:tcBorders>
            <w:tcMar>
              <w:left w:w="115" w:type="dxa"/>
              <w:right w:w="115" w:type="dxa"/>
            </w:tcMar>
          </w:tcPr>
          <w:p w14:paraId="5994A40B" w14:textId="77777777" w:rsidR="006C3E10" w:rsidRPr="005D4222" w:rsidRDefault="006C3E10" w:rsidP="009F6641">
            <w:pPr>
              <w:pStyle w:val="MarginHead"/>
              <w:widowControl w:val="0"/>
              <w:ind w:left="68"/>
              <w:jc w:val="right"/>
              <w:rPr>
                <w:i/>
                <w:iCs/>
                <w:sz w:val="21"/>
                <w:szCs w:val="21"/>
              </w:rPr>
            </w:pPr>
            <w:r w:rsidRPr="005D4222">
              <w:rPr>
                <w:i/>
                <w:iCs/>
                <w:sz w:val="21"/>
                <w:szCs w:val="21"/>
              </w:rPr>
              <w:t>Step 7</w:t>
            </w:r>
          </w:p>
        </w:tc>
        <w:tc>
          <w:tcPr>
            <w:tcW w:w="8820" w:type="dxa"/>
            <w:tcBorders>
              <w:top w:val="nil"/>
              <w:left w:val="nil"/>
              <w:bottom w:val="nil"/>
              <w:right w:val="nil"/>
            </w:tcBorders>
            <w:tcMar>
              <w:left w:w="115" w:type="dxa"/>
              <w:right w:w="115" w:type="dxa"/>
            </w:tcMar>
          </w:tcPr>
          <w:p w14:paraId="36663302" w14:textId="77777777" w:rsidR="006C3E10" w:rsidRPr="005D4222" w:rsidRDefault="006C3E10" w:rsidP="009F6641">
            <w:pPr>
              <w:pStyle w:val="Body"/>
            </w:pPr>
            <w:r w:rsidRPr="005D4222">
              <w:t>For this example, assume that RAND = 0.66, so START = 0.66 x 28 = 18.48.</w:t>
            </w:r>
          </w:p>
          <w:p w14:paraId="09BF949E" w14:textId="77777777" w:rsidR="006C3E10" w:rsidRPr="005D4222" w:rsidRDefault="006C3E10" w:rsidP="009F6641">
            <w:pPr>
              <w:pStyle w:val="Bullet"/>
              <w:widowControl w:val="0"/>
            </w:pPr>
            <w:r w:rsidRPr="005D4222">
              <w:t>Rounding using the .5 rule, START = 18.</w:t>
            </w:r>
          </w:p>
          <w:p w14:paraId="15B5306B" w14:textId="77777777" w:rsidR="006C3E10" w:rsidRPr="005D4222" w:rsidRDefault="006C3E10" w:rsidP="009F6641">
            <w:pPr>
              <w:pStyle w:val="Bullet"/>
              <w:widowControl w:val="0"/>
            </w:pPr>
            <w:r w:rsidRPr="005D4222">
              <w:t xml:space="preserve">The 18th sorted member is chosen </w:t>
            </w:r>
            <w:r w:rsidRPr="005D4222">
              <w:rPr>
                <w:i/>
                <w:iCs/>
              </w:rPr>
              <w:t>first.</w:t>
            </w:r>
          </w:p>
          <w:p w14:paraId="630F2321" w14:textId="77777777" w:rsidR="006C3E10" w:rsidRPr="005D4222" w:rsidRDefault="006C3E10" w:rsidP="009F6641">
            <w:pPr>
              <w:pStyle w:val="Bullet"/>
              <w:widowControl w:val="0"/>
            </w:pPr>
            <w:r w:rsidRPr="005D4222">
              <w:t>The 2nd member chosen is the 18 + [(2-1) x (9,000/311)] = 18 + 29 = 47th sorted member, after rounding the term [(2-1) x (9,000/311)] to 29, using the .5 rule.</w:t>
            </w:r>
          </w:p>
          <w:p w14:paraId="56C393E9" w14:textId="77777777" w:rsidR="006C3E10" w:rsidRPr="005D4222" w:rsidRDefault="006C3E10" w:rsidP="009F6641">
            <w:pPr>
              <w:pStyle w:val="Bullet"/>
            </w:pPr>
            <w:r w:rsidRPr="005D4222">
              <w:t>The 3rd member chosen is the 18 + [(3-1) x (9,000/311)] = 18 + 58 = 76th sorted member.</w:t>
            </w:r>
          </w:p>
          <w:p w14:paraId="280E3334" w14:textId="77777777" w:rsidR="006C3E10" w:rsidRPr="005D4222" w:rsidRDefault="006C3E10" w:rsidP="009F6641">
            <w:pPr>
              <w:pStyle w:val="Bullet"/>
            </w:pPr>
            <w:r w:rsidRPr="005D4222">
              <w:t>The 296th member (the last one in the primary list) is the 18 + [(296-1) x (9,000/311)] = 18 + 8,537 = 8,555th sorted member.</w:t>
            </w:r>
          </w:p>
          <w:p w14:paraId="43CF1866" w14:textId="77777777" w:rsidR="006C3E10" w:rsidRPr="005D4222" w:rsidRDefault="006C3E10" w:rsidP="009F6641">
            <w:pPr>
              <w:pStyle w:val="Bullet"/>
              <w:widowControl w:val="0"/>
            </w:pPr>
            <w:r w:rsidRPr="005D4222">
              <w:t>The last member in the oversample* is the 18 + [(311-1) x (9,000/311)] = 18 + 8,971 = 8,989th sorted member.</w:t>
            </w:r>
          </w:p>
          <w:p w14:paraId="7AE7D7F8" w14:textId="77777777" w:rsidR="006C3E10" w:rsidRPr="005D4222" w:rsidRDefault="006C3E10" w:rsidP="009F6641">
            <w:pPr>
              <w:pStyle w:val="Note"/>
              <w:rPr>
                <w:sz w:val="18"/>
                <w:szCs w:val="18"/>
              </w:rPr>
            </w:pPr>
            <w:r w:rsidRPr="005D4222">
              <w:rPr>
                <w:sz w:val="18"/>
                <w:szCs w:val="18"/>
              </w:rPr>
              <w:t>*Remember, members in the oversample are used only to replace members excluded from the sample.</w:t>
            </w:r>
          </w:p>
        </w:tc>
      </w:tr>
    </w:tbl>
    <w:p w14:paraId="2F055F90" w14:textId="77777777" w:rsidR="00A62768" w:rsidRPr="005D4222" w:rsidRDefault="00A62768">
      <w:pPr>
        <w:spacing w:after="160" w:line="259" w:lineRule="auto"/>
        <w:rPr>
          <w:b/>
          <w:sz w:val="22"/>
        </w:rPr>
      </w:pPr>
      <w:bookmarkStart w:id="218" w:name="_Toc400546094"/>
      <w:bookmarkStart w:id="219" w:name="_Toc171402954"/>
      <w:r w:rsidRPr="005D4222">
        <w:br w:type="page"/>
      </w:r>
    </w:p>
    <w:p w14:paraId="7F9B5A03" w14:textId="6332CD93" w:rsidR="006C3E10" w:rsidRPr="005D4222" w:rsidRDefault="006C3E10" w:rsidP="006C3E10">
      <w:pPr>
        <w:pStyle w:val="SubHead"/>
      </w:pPr>
      <w:bookmarkStart w:id="220" w:name="_Toc201813374"/>
      <w:r w:rsidRPr="005D4222">
        <w:lastRenderedPageBreak/>
        <w:t>Example 2</w:t>
      </w:r>
      <w:bookmarkEnd w:id="218"/>
      <w:bookmarkEnd w:id="219"/>
      <w:bookmarkEnd w:id="220"/>
    </w:p>
    <w:p w14:paraId="05D9120A" w14:textId="61309DF7" w:rsidR="006C3E10" w:rsidRPr="005D4222" w:rsidRDefault="006C3E10" w:rsidP="006C3E10">
      <w:pPr>
        <w:pStyle w:val="Body"/>
        <w:widowControl w:val="0"/>
        <w:tabs>
          <w:tab w:val="left" w:pos="1800"/>
        </w:tabs>
      </w:pPr>
      <w:r w:rsidRPr="005D4222">
        <w:t xml:space="preserve">The </w:t>
      </w:r>
      <w:r w:rsidR="00F00808" w:rsidRPr="005D4222">
        <w:t>ADM</w:t>
      </w:r>
      <w:r w:rsidRPr="005D4222">
        <w:t xml:space="preserve"> for </w:t>
      </w:r>
      <w:r w:rsidRPr="005D4222">
        <w:rPr>
          <w:iCs/>
        </w:rPr>
        <w:t>Controlling High Blood Pressure</w:t>
      </w:r>
      <w:r w:rsidRPr="005D4222" w:rsidDel="00CC2573">
        <w:rPr>
          <w:iCs/>
        </w:rPr>
        <w:t xml:space="preserve"> </w:t>
      </w:r>
      <w:r w:rsidRPr="005D4222">
        <w:rPr>
          <w:iCs/>
        </w:rPr>
        <w:t>i</w:t>
      </w:r>
      <w:r w:rsidRPr="005D4222">
        <w:t>s 389. This measure was not collected last year, nor will the administrative rate from this year be used to reduce the sample size. Follow the systematic sampling methodology.</w:t>
      </w:r>
    </w:p>
    <w:tbl>
      <w:tblPr>
        <w:tblW w:w="9727" w:type="dxa"/>
        <w:tblInd w:w="-9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80" w:type="dxa"/>
          <w:right w:w="180" w:type="dxa"/>
        </w:tblCellMar>
        <w:tblLook w:val="0000" w:firstRow="0" w:lastRow="0" w:firstColumn="0" w:lastColumn="0" w:noHBand="0" w:noVBand="0"/>
      </w:tblPr>
      <w:tblGrid>
        <w:gridCol w:w="907"/>
        <w:gridCol w:w="8820"/>
      </w:tblGrid>
      <w:tr w:rsidR="006C3E10" w:rsidRPr="005D4222" w14:paraId="664EDDE2" w14:textId="77777777" w:rsidTr="00F30483">
        <w:tc>
          <w:tcPr>
            <w:tcW w:w="907" w:type="dxa"/>
            <w:tcBorders>
              <w:top w:val="nil"/>
              <w:left w:val="nil"/>
              <w:bottom w:val="nil"/>
              <w:right w:val="nil"/>
            </w:tcBorders>
            <w:tcMar>
              <w:left w:w="115" w:type="dxa"/>
              <w:right w:w="115" w:type="dxa"/>
            </w:tcMar>
          </w:tcPr>
          <w:p w14:paraId="7395C14D" w14:textId="77777777" w:rsidR="006C3E10" w:rsidRPr="005D4222" w:rsidRDefault="006C3E10" w:rsidP="009F6641">
            <w:pPr>
              <w:pStyle w:val="MarginHead"/>
              <w:widowControl w:val="0"/>
              <w:spacing w:before="140"/>
              <w:jc w:val="right"/>
              <w:rPr>
                <w:i/>
                <w:iCs/>
                <w:sz w:val="21"/>
                <w:szCs w:val="21"/>
              </w:rPr>
            </w:pPr>
            <w:r w:rsidRPr="005D4222">
              <w:rPr>
                <w:i/>
                <w:iCs/>
                <w:sz w:val="21"/>
                <w:szCs w:val="21"/>
              </w:rPr>
              <w:t>Step 1</w:t>
            </w:r>
          </w:p>
        </w:tc>
        <w:tc>
          <w:tcPr>
            <w:tcW w:w="8820" w:type="dxa"/>
            <w:tcBorders>
              <w:top w:val="nil"/>
              <w:left w:val="nil"/>
              <w:bottom w:val="nil"/>
              <w:right w:val="nil"/>
            </w:tcBorders>
            <w:tcMar>
              <w:left w:w="115" w:type="dxa"/>
              <w:right w:w="115" w:type="dxa"/>
            </w:tcMar>
          </w:tcPr>
          <w:p w14:paraId="5325A59A" w14:textId="2128ED04" w:rsidR="006C3E10" w:rsidRPr="005D4222" w:rsidRDefault="00AA30B2" w:rsidP="009F6641">
            <w:pPr>
              <w:pStyle w:val="Body"/>
              <w:widowControl w:val="0"/>
              <w:spacing w:before="140"/>
            </w:pPr>
            <w:r w:rsidRPr="005D4222">
              <w:t>ADM</w:t>
            </w:r>
            <w:r w:rsidR="006C3E10" w:rsidRPr="005D4222">
              <w:t xml:space="preserve"> = 389.</w:t>
            </w:r>
          </w:p>
        </w:tc>
      </w:tr>
      <w:tr w:rsidR="006C3E10" w:rsidRPr="005D4222" w14:paraId="57DBDB2B" w14:textId="77777777" w:rsidTr="00F30483">
        <w:tc>
          <w:tcPr>
            <w:tcW w:w="907" w:type="dxa"/>
            <w:tcBorders>
              <w:top w:val="nil"/>
              <w:left w:val="nil"/>
              <w:bottom w:val="nil"/>
              <w:right w:val="nil"/>
            </w:tcBorders>
            <w:tcMar>
              <w:left w:w="115" w:type="dxa"/>
              <w:right w:w="115" w:type="dxa"/>
            </w:tcMar>
          </w:tcPr>
          <w:p w14:paraId="7AA3183D" w14:textId="77777777" w:rsidR="006C3E10" w:rsidRPr="005D4222" w:rsidRDefault="006C3E10" w:rsidP="009F6641">
            <w:pPr>
              <w:pStyle w:val="MarginHead"/>
              <w:widowControl w:val="0"/>
              <w:spacing w:before="140"/>
              <w:jc w:val="right"/>
              <w:rPr>
                <w:i/>
                <w:iCs/>
                <w:sz w:val="21"/>
                <w:szCs w:val="21"/>
              </w:rPr>
            </w:pPr>
            <w:r w:rsidRPr="005D4222">
              <w:rPr>
                <w:i/>
                <w:iCs/>
                <w:sz w:val="21"/>
                <w:szCs w:val="21"/>
              </w:rPr>
              <w:t>Step 2</w:t>
            </w:r>
          </w:p>
        </w:tc>
        <w:tc>
          <w:tcPr>
            <w:tcW w:w="8820" w:type="dxa"/>
            <w:tcBorders>
              <w:top w:val="nil"/>
              <w:left w:val="nil"/>
              <w:bottom w:val="nil"/>
              <w:right w:val="nil"/>
            </w:tcBorders>
            <w:tcMar>
              <w:left w:w="115" w:type="dxa"/>
              <w:right w:w="115" w:type="dxa"/>
            </w:tcMar>
          </w:tcPr>
          <w:p w14:paraId="5DE5E700" w14:textId="4056D829" w:rsidR="006C3E10" w:rsidRPr="005D4222" w:rsidRDefault="006C3E10" w:rsidP="009F6641">
            <w:pPr>
              <w:pStyle w:val="Body"/>
              <w:widowControl w:val="0"/>
              <w:spacing w:before="140"/>
            </w:pPr>
            <w:r w:rsidRPr="005D4222">
              <w:t xml:space="preserve">From Table 1, the MRSS is 411. </w:t>
            </w:r>
            <w:r w:rsidR="001D345F" w:rsidRPr="005D4222">
              <w:t>Because</w:t>
            </w:r>
            <w:r w:rsidRPr="005D4222">
              <w:t xml:space="preserve"> 389 &lt;</w:t>
            </w:r>
            <w:r w:rsidR="001D345F" w:rsidRPr="005D4222">
              <w:t xml:space="preserve"> </w:t>
            </w:r>
            <w:r w:rsidRPr="005D4222">
              <w:t>411, skip to step 4.</w:t>
            </w:r>
          </w:p>
        </w:tc>
      </w:tr>
      <w:tr w:rsidR="006C3E10" w:rsidRPr="005D4222" w14:paraId="674A6839" w14:textId="77777777" w:rsidTr="00F30483">
        <w:tc>
          <w:tcPr>
            <w:tcW w:w="907" w:type="dxa"/>
            <w:tcBorders>
              <w:top w:val="nil"/>
              <w:left w:val="nil"/>
              <w:bottom w:val="nil"/>
              <w:right w:val="nil"/>
            </w:tcBorders>
            <w:tcMar>
              <w:left w:w="115" w:type="dxa"/>
              <w:right w:w="115" w:type="dxa"/>
            </w:tcMar>
          </w:tcPr>
          <w:p w14:paraId="2873D73D" w14:textId="77777777" w:rsidR="006C3E10" w:rsidRPr="005D4222" w:rsidRDefault="006C3E10" w:rsidP="009F6641">
            <w:pPr>
              <w:pStyle w:val="MarginHead"/>
              <w:widowControl w:val="0"/>
              <w:spacing w:before="140"/>
              <w:jc w:val="right"/>
              <w:rPr>
                <w:i/>
                <w:iCs/>
                <w:sz w:val="21"/>
                <w:szCs w:val="21"/>
              </w:rPr>
            </w:pPr>
            <w:r w:rsidRPr="005D4222">
              <w:rPr>
                <w:i/>
                <w:iCs/>
                <w:sz w:val="21"/>
                <w:szCs w:val="21"/>
              </w:rPr>
              <w:t>Step 3</w:t>
            </w:r>
          </w:p>
        </w:tc>
        <w:tc>
          <w:tcPr>
            <w:tcW w:w="8820" w:type="dxa"/>
            <w:tcBorders>
              <w:top w:val="nil"/>
              <w:left w:val="nil"/>
              <w:bottom w:val="nil"/>
              <w:right w:val="nil"/>
            </w:tcBorders>
            <w:tcMar>
              <w:left w:w="115" w:type="dxa"/>
              <w:right w:w="115" w:type="dxa"/>
            </w:tcMar>
          </w:tcPr>
          <w:p w14:paraId="7F151819" w14:textId="77777777" w:rsidR="006C3E10" w:rsidRPr="005D4222" w:rsidRDefault="006C3E10" w:rsidP="009F6641">
            <w:pPr>
              <w:pStyle w:val="Body"/>
              <w:widowControl w:val="0"/>
              <w:spacing w:before="140"/>
            </w:pPr>
            <w:r w:rsidRPr="005D4222">
              <w:rPr>
                <w:i/>
              </w:rPr>
              <w:t>Skip this step.</w:t>
            </w:r>
          </w:p>
        </w:tc>
      </w:tr>
      <w:tr w:rsidR="006C3E10" w:rsidRPr="005D4222" w14:paraId="0A9F730E" w14:textId="77777777" w:rsidTr="00F30483">
        <w:tc>
          <w:tcPr>
            <w:tcW w:w="907" w:type="dxa"/>
            <w:tcBorders>
              <w:top w:val="nil"/>
              <w:left w:val="nil"/>
              <w:bottom w:val="nil"/>
              <w:right w:val="nil"/>
            </w:tcBorders>
            <w:tcMar>
              <w:left w:w="115" w:type="dxa"/>
              <w:right w:w="115" w:type="dxa"/>
            </w:tcMar>
          </w:tcPr>
          <w:p w14:paraId="2C8D3756" w14:textId="77777777" w:rsidR="006C3E10" w:rsidRPr="005D4222" w:rsidRDefault="006C3E10" w:rsidP="009F6641">
            <w:pPr>
              <w:pStyle w:val="MarginHead"/>
              <w:widowControl w:val="0"/>
              <w:spacing w:before="140"/>
              <w:jc w:val="right"/>
              <w:rPr>
                <w:i/>
                <w:iCs/>
                <w:sz w:val="21"/>
                <w:szCs w:val="21"/>
              </w:rPr>
            </w:pPr>
            <w:r w:rsidRPr="005D4222">
              <w:rPr>
                <w:i/>
                <w:iCs/>
                <w:sz w:val="21"/>
                <w:szCs w:val="21"/>
              </w:rPr>
              <w:t>Step 4</w:t>
            </w:r>
          </w:p>
        </w:tc>
        <w:tc>
          <w:tcPr>
            <w:tcW w:w="8820" w:type="dxa"/>
            <w:tcBorders>
              <w:top w:val="nil"/>
              <w:left w:val="nil"/>
              <w:bottom w:val="nil"/>
              <w:right w:val="nil"/>
            </w:tcBorders>
            <w:tcMar>
              <w:left w:w="115" w:type="dxa"/>
              <w:right w:w="115" w:type="dxa"/>
            </w:tcMar>
          </w:tcPr>
          <w:p w14:paraId="4090B5E9" w14:textId="77777777" w:rsidR="006C3E10" w:rsidRPr="005D4222" w:rsidRDefault="006C3E10" w:rsidP="009F6641">
            <w:pPr>
              <w:pStyle w:val="Body"/>
              <w:widowControl w:val="0"/>
              <w:spacing w:before="140"/>
              <w:rPr>
                <w:i/>
              </w:rPr>
            </w:pPr>
            <w:r w:rsidRPr="005D4222">
              <w:t>Include all 389 members in your primary list.</w:t>
            </w:r>
          </w:p>
        </w:tc>
      </w:tr>
    </w:tbl>
    <w:p w14:paraId="220D9789" w14:textId="77777777" w:rsidR="006C3E10" w:rsidRPr="005D4222" w:rsidRDefault="006C3E10" w:rsidP="006C3E10">
      <w:pPr>
        <w:pStyle w:val="SubHead"/>
      </w:pPr>
      <w:bookmarkStart w:id="221" w:name="_Toc400546095"/>
      <w:bookmarkStart w:id="222" w:name="_Toc171402955"/>
      <w:bookmarkStart w:id="223" w:name="_Toc201813375"/>
      <w:r w:rsidRPr="005D4222">
        <w:t>Example 3</w:t>
      </w:r>
      <w:bookmarkEnd w:id="221"/>
      <w:bookmarkEnd w:id="222"/>
      <w:bookmarkEnd w:id="223"/>
    </w:p>
    <w:p w14:paraId="7E7B2620" w14:textId="6E14BDE3" w:rsidR="006C3E10" w:rsidRPr="005D4222" w:rsidRDefault="006C3E10" w:rsidP="006C3E10">
      <w:pPr>
        <w:pStyle w:val="Body"/>
        <w:widowControl w:val="0"/>
        <w:tabs>
          <w:tab w:val="left" w:pos="2340"/>
        </w:tabs>
      </w:pPr>
      <w:r w:rsidRPr="005D4222">
        <w:t xml:space="preserve">The </w:t>
      </w:r>
      <w:r w:rsidR="00F00808" w:rsidRPr="005D4222">
        <w:t>ADM</w:t>
      </w:r>
      <w:r w:rsidRPr="005D4222">
        <w:t xml:space="preserve"> for Care for Older Adults</w:t>
      </w:r>
      <w:r w:rsidRPr="005D4222" w:rsidDel="000004D2">
        <w:t xml:space="preserve"> </w:t>
      </w:r>
      <w:r w:rsidRPr="005D4222">
        <w:t>is 436. The sample size will not be adjusted using this year’s administrative rate. Based on experience with this population, about 10% of the members from the primary sample will have to be excluded. Follow the systematic sampling methodology.</w:t>
      </w:r>
    </w:p>
    <w:tbl>
      <w:tblPr>
        <w:tblW w:w="9810" w:type="dxa"/>
        <w:tblInd w:w="-9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80" w:type="dxa"/>
          <w:right w:w="180" w:type="dxa"/>
        </w:tblCellMar>
        <w:tblLook w:val="0000" w:firstRow="0" w:lastRow="0" w:firstColumn="0" w:lastColumn="0" w:noHBand="0" w:noVBand="0"/>
      </w:tblPr>
      <w:tblGrid>
        <w:gridCol w:w="900"/>
        <w:gridCol w:w="8910"/>
      </w:tblGrid>
      <w:tr w:rsidR="006C3E10" w:rsidRPr="005D4222" w14:paraId="7D1B0D8E" w14:textId="77777777" w:rsidTr="009F6641">
        <w:tc>
          <w:tcPr>
            <w:tcW w:w="900" w:type="dxa"/>
            <w:tcBorders>
              <w:top w:val="nil"/>
              <w:left w:val="nil"/>
              <w:bottom w:val="nil"/>
              <w:right w:val="nil"/>
            </w:tcBorders>
            <w:tcMar>
              <w:left w:w="115" w:type="dxa"/>
              <w:right w:w="115" w:type="dxa"/>
            </w:tcMar>
          </w:tcPr>
          <w:p w14:paraId="5572A524" w14:textId="77777777" w:rsidR="006C3E10" w:rsidRPr="005D4222" w:rsidRDefault="006C3E10" w:rsidP="009F6641">
            <w:pPr>
              <w:pStyle w:val="MarginHead"/>
              <w:widowControl w:val="0"/>
              <w:jc w:val="right"/>
              <w:rPr>
                <w:i/>
                <w:iCs/>
                <w:sz w:val="21"/>
                <w:szCs w:val="21"/>
              </w:rPr>
            </w:pPr>
            <w:r w:rsidRPr="005D4222">
              <w:rPr>
                <w:i/>
                <w:iCs/>
                <w:sz w:val="21"/>
                <w:szCs w:val="21"/>
              </w:rPr>
              <w:t>Step 1</w:t>
            </w:r>
          </w:p>
        </w:tc>
        <w:tc>
          <w:tcPr>
            <w:tcW w:w="8910" w:type="dxa"/>
            <w:tcBorders>
              <w:top w:val="nil"/>
              <w:left w:val="nil"/>
              <w:bottom w:val="nil"/>
              <w:right w:val="nil"/>
            </w:tcBorders>
            <w:tcMar>
              <w:left w:w="115" w:type="dxa"/>
              <w:right w:w="115" w:type="dxa"/>
            </w:tcMar>
          </w:tcPr>
          <w:p w14:paraId="2A363850" w14:textId="2CC5A3C7" w:rsidR="006C3E10" w:rsidRPr="005D4222" w:rsidRDefault="00AA30B2" w:rsidP="009F6641">
            <w:pPr>
              <w:pStyle w:val="Body"/>
              <w:widowControl w:val="0"/>
            </w:pPr>
            <w:r w:rsidRPr="005D4222">
              <w:t>ADM</w:t>
            </w:r>
            <w:r w:rsidR="006C3E10" w:rsidRPr="005D4222">
              <w:t xml:space="preserve"> = 436.</w:t>
            </w:r>
          </w:p>
        </w:tc>
      </w:tr>
      <w:tr w:rsidR="006C3E10" w:rsidRPr="005D4222" w14:paraId="451A13C0" w14:textId="77777777" w:rsidTr="009F6641">
        <w:tc>
          <w:tcPr>
            <w:tcW w:w="900" w:type="dxa"/>
            <w:tcBorders>
              <w:top w:val="nil"/>
              <w:left w:val="nil"/>
              <w:bottom w:val="nil"/>
              <w:right w:val="nil"/>
            </w:tcBorders>
            <w:tcMar>
              <w:left w:w="115" w:type="dxa"/>
              <w:right w:w="115" w:type="dxa"/>
            </w:tcMar>
          </w:tcPr>
          <w:p w14:paraId="11E3FF25" w14:textId="77777777" w:rsidR="006C3E10" w:rsidRPr="005D4222" w:rsidRDefault="006C3E10" w:rsidP="009F6641">
            <w:pPr>
              <w:pStyle w:val="MarginHead"/>
              <w:widowControl w:val="0"/>
              <w:spacing w:before="140"/>
              <w:jc w:val="right"/>
              <w:rPr>
                <w:i/>
                <w:iCs/>
                <w:sz w:val="21"/>
                <w:szCs w:val="21"/>
              </w:rPr>
            </w:pPr>
            <w:r w:rsidRPr="005D4222">
              <w:rPr>
                <w:i/>
                <w:iCs/>
                <w:sz w:val="21"/>
                <w:szCs w:val="21"/>
              </w:rPr>
              <w:t>Step 2</w:t>
            </w:r>
          </w:p>
        </w:tc>
        <w:tc>
          <w:tcPr>
            <w:tcW w:w="8910" w:type="dxa"/>
            <w:tcBorders>
              <w:top w:val="nil"/>
              <w:left w:val="nil"/>
              <w:bottom w:val="nil"/>
              <w:right w:val="nil"/>
            </w:tcBorders>
            <w:tcMar>
              <w:left w:w="115" w:type="dxa"/>
              <w:right w:w="115" w:type="dxa"/>
            </w:tcMar>
          </w:tcPr>
          <w:p w14:paraId="72BFD9F9" w14:textId="77777777" w:rsidR="006C3E10" w:rsidRPr="005D4222" w:rsidRDefault="006C3E10" w:rsidP="009F6641">
            <w:pPr>
              <w:pStyle w:val="Body"/>
              <w:widowControl w:val="0"/>
              <w:spacing w:before="140"/>
            </w:pPr>
            <w:r w:rsidRPr="005D4222">
              <w:t>From Table 1, the MRSS is 411.</w:t>
            </w:r>
          </w:p>
        </w:tc>
      </w:tr>
      <w:tr w:rsidR="006C3E10" w:rsidRPr="005D4222" w14:paraId="7F281F70" w14:textId="77777777" w:rsidTr="009F6641">
        <w:tc>
          <w:tcPr>
            <w:tcW w:w="900" w:type="dxa"/>
            <w:tcBorders>
              <w:top w:val="nil"/>
              <w:left w:val="nil"/>
              <w:bottom w:val="nil"/>
              <w:right w:val="nil"/>
            </w:tcBorders>
            <w:tcMar>
              <w:left w:w="115" w:type="dxa"/>
              <w:right w:w="115" w:type="dxa"/>
            </w:tcMar>
          </w:tcPr>
          <w:p w14:paraId="147494FA" w14:textId="77777777" w:rsidR="006C3E10" w:rsidRPr="005D4222" w:rsidRDefault="006C3E10" w:rsidP="009F6641">
            <w:pPr>
              <w:pStyle w:val="MarginHead"/>
              <w:widowControl w:val="0"/>
              <w:spacing w:before="140"/>
              <w:jc w:val="right"/>
              <w:rPr>
                <w:i/>
                <w:iCs/>
                <w:sz w:val="21"/>
                <w:szCs w:val="21"/>
              </w:rPr>
            </w:pPr>
            <w:r w:rsidRPr="005D4222">
              <w:rPr>
                <w:i/>
                <w:iCs/>
                <w:sz w:val="21"/>
                <w:szCs w:val="21"/>
              </w:rPr>
              <w:t>Step 3</w:t>
            </w:r>
          </w:p>
        </w:tc>
        <w:tc>
          <w:tcPr>
            <w:tcW w:w="8910" w:type="dxa"/>
            <w:tcBorders>
              <w:top w:val="nil"/>
              <w:left w:val="nil"/>
              <w:bottom w:val="nil"/>
              <w:right w:val="nil"/>
            </w:tcBorders>
            <w:tcMar>
              <w:left w:w="115" w:type="dxa"/>
              <w:right w:w="115" w:type="dxa"/>
            </w:tcMar>
          </w:tcPr>
          <w:p w14:paraId="578407B2" w14:textId="77777777" w:rsidR="006C3E10" w:rsidRPr="005D4222" w:rsidRDefault="006C3E10" w:rsidP="009F6641">
            <w:pPr>
              <w:pStyle w:val="Body"/>
              <w:widowControl w:val="0"/>
              <w:spacing w:before="140"/>
            </w:pPr>
            <w:r w:rsidRPr="005D4222">
              <w:t xml:space="preserve">Oversample = 411 </w:t>
            </w:r>
            <w:r w:rsidRPr="005D4222">
              <w:rPr>
                <w:rFonts w:eastAsia="Symbol" w:cs="Arial"/>
              </w:rPr>
              <w:t>x</w:t>
            </w:r>
            <w:r w:rsidRPr="005D4222">
              <w:t xml:space="preserve"> .10 = 41.1 (the next whole number </w:t>
            </w:r>
            <w:r w:rsidRPr="005D4222">
              <w:rPr>
                <w:i/>
                <w:iCs/>
              </w:rPr>
              <w:t>above</w:t>
            </w:r>
            <w:r w:rsidRPr="005D4222">
              <w:t xml:space="preserve"> is 42, so oversample = 42).</w:t>
            </w:r>
          </w:p>
        </w:tc>
      </w:tr>
      <w:tr w:rsidR="006C3E10" w:rsidRPr="005D4222" w14:paraId="7E67A0D5" w14:textId="77777777" w:rsidTr="009F6641">
        <w:tc>
          <w:tcPr>
            <w:tcW w:w="900" w:type="dxa"/>
            <w:tcBorders>
              <w:top w:val="nil"/>
              <w:left w:val="nil"/>
              <w:bottom w:val="nil"/>
              <w:right w:val="nil"/>
            </w:tcBorders>
            <w:tcMar>
              <w:left w:w="115" w:type="dxa"/>
              <w:right w:w="115" w:type="dxa"/>
            </w:tcMar>
          </w:tcPr>
          <w:p w14:paraId="414AFB7B" w14:textId="77777777" w:rsidR="006C3E10" w:rsidRPr="005D4222" w:rsidRDefault="006C3E10" w:rsidP="009F6641">
            <w:pPr>
              <w:pStyle w:val="MarginHead"/>
              <w:widowControl w:val="0"/>
              <w:spacing w:before="140"/>
              <w:jc w:val="right"/>
              <w:rPr>
                <w:i/>
                <w:iCs/>
                <w:sz w:val="21"/>
                <w:szCs w:val="21"/>
              </w:rPr>
            </w:pPr>
            <w:r w:rsidRPr="005D4222">
              <w:rPr>
                <w:i/>
                <w:iCs/>
                <w:sz w:val="21"/>
                <w:szCs w:val="21"/>
              </w:rPr>
              <w:t>Step 4</w:t>
            </w:r>
          </w:p>
        </w:tc>
        <w:tc>
          <w:tcPr>
            <w:tcW w:w="8910" w:type="dxa"/>
            <w:tcBorders>
              <w:top w:val="nil"/>
              <w:left w:val="nil"/>
              <w:bottom w:val="nil"/>
              <w:right w:val="nil"/>
            </w:tcBorders>
            <w:tcMar>
              <w:left w:w="115" w:type="dxa"/>
              <w:right w:w="115" w:type="dxa"/>
            </w:tcMar>
          </w:tcPr>
          <w:p w14:paraId="749E77D2" w14:textId="3B6387E5" w:rsidR="006C3E10" w:rsidRPr="005D4222" w:rsidRDefault="006C3E10" w:rsidP="009F6641">
            <w:pPr>
              <w:pStyle w:val="Body"/>
              <w:widowControl w:val="0"/>
              <w:spacing w:before="140"/>
              <w:rPr>
                <w:b/>
                <w:bCs/>
              </w:rPr>
            </w:pPr>
            <w:r w:rsidRPr="005D4222">
              <w:t>Because 411 &lt;</w:t>
            </w:r>
            <w:r w:rsidR="006E4A4A" w:rsidRPr="005D4222">
              <w:t xml:space="preserve"> </w:t>
            </w:r>
            <w:r w:rsidRPr="005D4222">
              <w:t xml:space="preserve">436 ≤ (411 + 42), skip to step 8. </w:t>
            </w:r>
          </w:p>
        </w:tc>
      </w:tr>
      <w:tr w:rsidR="006C3E10" w:rsidRPr="005D4222" w14:paraId="529DDE39" w14:textId="77777777" w:rsidTr="009F6641">
        <w:tc>
          <w:tcPr>
            <w:tcW w:w="900" w:type="dxa"/>
            <w:tcBorders>
              <w:top w:val="nil"/>
              <w:left w:val="nil"/>
              <w:bottom w:val="nil"/>
              <w:right w:val="nil"/>
            </w:tcBorders>
            <w:tcMar>
              <w:left w:w="115" w:type="dxa"/>
              <w:right w:w="115" w:type="dxa"/>
            </w:tcMar>
          </w:tcPr>
          <w:p w14:paraId="6891FACC" w14:textId="77777777" w:rsidR="006C3E10" w:rsidRPr="005D4222" w:rsidRDefault="006C3E10" w:rsidP="009F6641">
            <w:pPr>
              <w:pStyle w:val="MarginHead"/>
              <w:widowControl w:val="0"/>
              <w:spacing w:before="140"/>
              <w:jc w:val="right"/>
              <w:rPr>
                <w:i/>
                <w:iCs/>
                <w:sz w:val="21"/>
                <w:szCs w:val="21"/>
              </w:rPr>
            </w:pPr>
            <w:r w:rsidRPr="005D4222">
              <w:rPr>
                <w:i/>
                <w:iCs/>
                <w:sz w:val="21"/>
                <w:szCs w:val="21"/>
              </w:rPr>
              <w:t>Step 5</w:t>
            </w:r>
          </w:p>
        </w:tc>
        <w:tc>
          <w:tcPr>
            <w:tcW w:w="8910" w:type="dxa"/>
            <w:tcBorders>
              <w:top w:val="nil"/>
              <w:left w:val="nil"/>
              <w:bottom w:val="nil"/>
              <w:right w:val="nil"/>
            </w:tcBorders>
            <w:tcMar>
              <w:left w:w="115" w:type="dxa"/>
              <w:right w:w="115" w:type="dxa"/>
            </w:tcMar>
          </w:tcPr>
          <w:p w14:paraId="434F41D8" w14:textId="77777777" w:rsidR="006C3E10" w:rsidRPr="005D4222" w:rsidRDefault="006C3E10" w:rsidP="009F6641">
            <w:pPr>
              <w:pStyle w:val="Body"/>
              <w:widowControl w:val="0"/>
              <w:spacing w:before="140"/>
            </w:pPr>
            <w:r w:rsidRPr="005D4222">
              <w:rPr>
                <w:i/>
              </w:rPr>
              <w:t>Skip this step.</w:t>
            </w:r>
          </w:p>
        </w:tc>
      </w:tr>
      <w:tr w:rsidR="006C3E10" w:rsidRPr="005D4222" w14:paraId="4E7E6646" w14:textId="77777777" w:rsidTr="009F6641">
        <w:tc>
          <w:tcPr>
            <w:tcW w:w="900" w:type="dxa"/>
            <w:tcBorders>
              <w:top w:val="nil"/>
              <w:left w:val="nil"/>
              <w:bottom w:val="nil"/>
              <w:right w:val="nil"/>
            </w:tcBorders>
            <w:tcMar>
              <w:left w:w="115" w:type="dxa"/>
              <w:right w:w="115" w:type="dxa"/>
            </w:tcMar>
          </w:tcPr>
          <w:p w14:paraId="0D6319FC" w14:textId="77777777" w:rsidR="006C3E10" w:rsidRPr="005D4222" w:rsidRDefault="006C3E10" w:rsidP="009F6641">
            <w:pPr>
              <w:pStyle w:val="MarginHead"/>
              <w:widowControl w:val="0"/>
              <w:spacing w:before="140"/>
              <w:jc w:val="right"/>
              <w:rPr>
                <w:i/>
                <w:iCs/>
                <w:sz w:val="21"/>
                <w:szCs w:val="21"/>
              </w:rPr>
            </w:pPr>
            <w:r w:rsidRPr="005D4222">
              <w:rPr>
                <w:i/>
                <w:iCs/>
                <w:sz w:val="21"/>
                <w:szCs w:val="21"/>
              </w:rPr>
              <w:t>Step 6</w:t>
            </w:r>
          </w:p>
        </w:tc>
        <w:tc>
          <w:tcPr>
            <w:tcW w:w="8910" w:type="dxa"/>
            <w:tcBorders>
              <w:top w:val="nil"/>
              <w:left w:val="nil"/>
              <w:bottom w:val="nil"/>
              <w:right w:val="nil"/>
            </w:tcBorders>
            <w:tcMar>
              <w:left w:w="115" w:type="dxa"/>
              <w:right w:w="115" w:type="dxa"/>
            </w:tcMar>
          </w:tcPr>
          <w:p w14:paraId="2DE893E4" w14:textId="77777777" w:rsidR="006C3E10" w:rsidRPr="005D4222" w:rsidRDefault="006C3E10" w:rsidP="009F6641">
            <w:pPr>
              <w:pStyle w:val="Body"/>
              <w:widowControl w:val="0"/>
              <w:spacing w:before="140"/>
              <w:rPr>
                <w:i/>
                <w:iCs/>
              </w:rPr>
            </w:pPr>
            <w:r w:rsidRPr="005D4222">
              <w:rPr>
                <w:i/>
              </w:rPr>
              <w:t xml:space="preserve">Skip this step. </w:t>
            </w:r>
          </w:p>
        </w:tc>
      </w:tr>
      <w:tr w:rsidR="006C3E10" w:rsidRPr="005D4222" w14:paraId="773D5F56" w14:textId="77777777" w:rsidTr="009F6641">
        <w:tc>
          <w:tcPr>
            <w:tcW w:w="900" w:type="dxa"/>
            <w:tcBorders>
              <w:top w:val="nil"/>
              <w:left w:val="nil"/>
              <w:bottom w:val="nil"/>
              <w:right w:val="nil"/>
            </w:tcBorders>
            <w:tcMar>
              <w:left w:w="115" w:type="dxa"/>
              <w:right w:w="115" w:type="dxa"/>
            </w:tcMar>
          </w:tcPr>
          <w:p w14:paraId="62265A1A" w14:textId="77777777" w:rsidR="006C3E10" w:rsidRPr="005D4222" w:rsidRDefault="006C3E10" w:rsidP="009F6641">
            <w:pPr>
              <w:pStyle w:val="MarginHead"/>
              <w:widowControl w:val="0"/>
              <w:spacing w:before="140"/>
              <w:jc w:val="right"/>
              <w:rPr>
                <w:i/>
                <w:iCs/>
                <w:sz w:val="21"/>
                <w:szCs w:val="21"/>
              </w:rPr>
            </w:pPr>
            <w:r w:rsidRPr="005D4222">
              <w:rPr>
                <w:i/>
                <w:iCs/>
                <w:sz w:val="21"/>
                <w:szCs w:val="21"/>
              </w:rPr>
              <w:t>Step 7</w:t>
            </w:r>
          </w:p>
        </w:tc>
        <w:tc>
          <w:tcPr>
            <w:tcW w:w="8910" w:type="dxa"/>
            <w:tcBorders>
              <w:top w:val="nil"/>
              <w:left w:val="nil"/>
              <w:bottom w:val="nil"/>
              <w:right w:val="nil"/>
            </w:tcBorders>
            <w:tcMar>
              <w:left w:w="115" w:type="dxa"/>
              <w:right w:w="115" w:type="dxa"/>
            </w:tcMar>
          </w:tcPr>
          <w:p w14:paraId="745B8D01" w14:textId="77777777" w:rsidR="006C3E10" w:rsidRPr="005D4222" w:rsidRDefault="006C3E10" w:rsidP="009F6641">
            <w:pPr>
              <w:pStyle w:val="Body"/>
              <w:widowControl w:val="0"/>
              <w:spacing w:before="140"/>
              <w:rPr>
                <w:i/>
              </w:rPr>
            </w:pPr>
            <w:r w:rsidRPr="005D4222">
              <w:rPr>
                <w:i/>
              </w:rPr>
              <w:t>Skip this step.</w:t>
            </w:r>
          </w:p>
        </w:tc>
      </w:tr>
      <w:tr w:rsidR="006C3E10" w:rsidRPr="005D4222" w14:paraId="57E68EDC" w14:textId="77777777" w:rsidTr="009F6641">
        <w:tc>
          <w:tcPr>
            <w:tcW w:w="900" w:type="dxa"/>
            <w:tcBorders>
              <w:top w:val="nil"/>
              <w:left w:val="nil"/>
              <w:bottom w:val="nil"/>
              <w:right w:val="nil"/>
            </w:tcBorders>
            <w:tcMar>
              <w:left w:w="115" w:type="dxa"/>
              <w:right w:w="115" w:type="dxa"/>
            </w:tcMar>
          </w:tcPr>
          <w:p w14:paraId="087F6FBD" w14:textId="77777777" w:rsidR="006C3E10" w:rsidRPr="005D4222" w:rsidRDefault="006C3E10" w:rsidP="009F6641">
            <w:pPr>
              <w:pStyle w:val="MarginHead"/>
              <w:widowControl w:val="0"/>
              <w:spacing w:before="140"/>
              <w:jc w:val="right"/>
              <w:rPr>
                <w:i/>
                <w:iCs/>
                <w:sz w:val="21"/>
                <w:szCs w:val="21"/>
              </w:rPr>
            </w:pPr>
            <w:r w:rsidRPr="005D4222">
              <w:rPr>
                <w:i/>
                <w:iCs/>
                <w:sz w:val="21"/>
                <w:szCs w:val="21"/>
              </w:rPr>
              <w:t>Step 8</w:t>
            </w:r>
          </w:p>
        </w:tc>
        <w:tc>
          <w:tcPr>
            <w:tcW w:w="8910" w:type="dxa"/>
            <w:tcBorders>
              <w:top w:val="nil"/>
              <w:left w:val="nil"/>
              <w:bottom w:val="nil"/>
              <w:right w:val="nil"/>
            </w:tcBorders>
            <w:tcMar>
              <w:left w:w="115" w:type="dxa"/>
              <w:right w:w="115" w:type="dxa"/>
            </w:tcMar>
          </w:tcPr>
          <w:p w14:paraId="1BEE6520" w14:textId="77777777" w:rsidR="006C3E10" w:rsidRPr="005D4222" w:rsidRDefault="006C3E10" w:rsidP="009F6641">
            <w:pPr>
              <w:pStyle w:val="Body"/>
              <w:spacing w:before="140"/>
            </w:pPr>
            <w:r w:rsidRPr="005D4222">
              <w:t>Sort the list and choose the first 411 as the primary list. The remaining 25 members become the oversample list</w:t>
            </w:r>
            <w:r w:rsidRPr="005D4222">
              <w:rPr>
                <w:b/>
                <w:bCs/>
              </w:rPr>
              <w:t>*</w:t>
            </w:r>
            <w:r w:rsidRPr="005D4222">
              <w:t>.</w:t>
            </w:r>
          </w:p>
          <w:p w14:paraId="23AA50B2" w14:textId="77777777" w:rsidR="006C3E10" w:rsidRPr="005D4222" w:rsidRDefault="006C3E10" w:rsidP="009F6641">
            <w:pPr>
              <w:pStyle w:val="Note"/>
              <w:spacing w:before="140"/>
              <w:ind w:left="115" w:hanging="115"/>
            </w:pPr>
            <w:r w:rsidRPr="005D4222">
              <w:rPr>
                <w:b/>
                <w:bCs/>
                <w:szCs w:val="21"/>
              </w:rPr>
              <w:t>*</w:t>
            </w:r>
            <w:r w:rsidRPr="005D4222">
              <w:rPr>
                <w:sz w:val="18"/>
                <w:szCs w:val="18"/>
              </w:rPr>
              <w:t>Remember, members in the oversample are used only to replace members excluded from the sample.</w:t>
            </w:r>
          </w:p>
        </w:tc>
      </w:tr>
    </w:tbl>
    <w:p w14:paraId="762EC44F" w14:textId="77777777" w:rsidR="006C3E10" w:rsidRPr="005D4222" w:rsidRDefault="006C3E10" w:rsidP="006C3E10">
      <w:pPr>
        <w:pStyle w:val="SubHead"/>
      </w:pPr>
      <w:bookmarkStart w:id="224" w:name="_Toc171402956"/>
      <w:bookmarkStart w:id="225" w:name="_Toc201813376"/>
      <w:r w:rsidRPr="005D4222">
        <w:t>Example 4</w:t>
      </w:r>
      <w:bookmarkEnd w:id="224"/>
      <w:bookmarkEnd w:id="225"/>
    </w:p>
    <w:p w14:paraId="7B2DFF6F" w14:textId="08954712" w:rsidR="006C3E10" w:rsidRPr="005D4222" w:rsidRDefault="006C3E10" w:rsidP="006C3E10">
      <w:pPr>
        <w:pStyle w:val="Body"/>
        <w:widowControl w:val="0"/>
        <w:tabs>
          <w:tab w:val="left" w:pos="1890"/>
        </w:tabs>
      </w:pPr>
      <w:r w:rsidRPr="005D4222">
        <w:t xml:space="preserve">The </w:t>
      </w:r>
      <w:r w:rsidR="00F00808" w:rsidRPr="005D4222">
        <w:t>ADM</w:t>
      </w:r>
      <w:r w:rsidRPr="005D4222">
        <w:t xml:space="preserve"> for the commercial product line for Blood Pressure Control for Patients With Diabetes</w:t>
      </w:r>
      <w:r w:rsidRPr="005D4222" w:rsidDel="000004D2">
        <w:t xml:space="preserve"> </w:t>
      </w:r>
      <w:r w:rsidRPr="005D4222">
        <w:t>is 400. Reduce the minimum required sample size using the commercial rate from the prior year’s HEDIS submission, which was 62%. Based on experience, estimate a 5% oversample rate. Follow the systematic sampling methodology.</w:t>
      </w:r>
    </w:p>
    <w:tbl>
      <w:tblPr>
        <w:tblW w:w="9814" w:type="dxa"/>
        <w:tblInd w:w="-9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80" w:type="dxa"/>
          <w:right w:w="180" w:type="dxa"/>
        </w:tblCellMar>
        <w:tblLook w:val="0000" w:firstRow="0" w:lastRow="0" w:firstColumn="0" w:lastColumn="0" w:noHBand="0" w:noVBand="0"/>
      </w:tblPr>
      <w:tblGrid>
        <w:gridCol w:w="900"/>
        <w:gridCol w:w="8914"/>
      </w:tblGrid>
      <w:tr w:rsidR="006C3E10" w:rsidRPr="005D4222" w14:paraId="6AF0AEBD" w14:textId="77777777" w:rsidTr="009F6641">
        <w:tc>
          <w:tcPr>
            <w:tcW w:w="900" w:type="dxa"/>
            <w:tcBorders>
              <w:top w:val="nil"/>
              <w:left w:val="nil"/>
              <w:bottom w:val="nil"/>
              <w:right w:val="nil"/>
            </w:tcBorders>
            <w:tcMar>
              <w:left w:w="115" w:type="dxa"/>
              <w:right w:w="115" w:type="dxa"/>
            </w:tcMar>
          </w:tcPr>
          <w:p w14:paraId="2EAD4587" w14:textId="77777777" w:rsidR="006C3E10" w:rsidRPr="005D4222" w:rsidRDefault="006C3E10" w:rsidP="009F6641">
            <w:pPr>
              <w:pStyle w:val="Body"/>
              <w:jc w:val="right"/>
              <w:rPr>
                <w:b/>
                <w:i/>
                <w:iCs/>
              </w:rPr>
            </w:pPr>
            <w:r w:rsidRPr="005D4222">
              <w:rPr>
                <w:b/>
                <w:i/>
                <w:iCs/>
              </w:rPr>
              <w:t>Step 1</w:t>
            </w:r>
          </w:p>
        </w:tc>
        <w:tc>
          <w:tcPr>
            <w:tcW w:w="8914" w:type="dxa"/>
            <w:tcBorders>
              <w:top w:val="nil"/>
              <w:left w:val="nil"/>
              <w:bottom w:val="nil"/>
              <w:right w:val="nil"/>
            </w:tcBorders>
            <w:tcMar>
              <w:left w:w="115" w:type="dxa"/>
              <w:right w:w="115" w:type="dxa"/>
            </w:tcMar>
          </w:tcPr>
          <w:p w14:paraId="48511DCA" w14:textId="61D427DF" w:rsidR="006C3E10" w:rsidRPr="005D4222" w:rsidRDefault="00AA30B2" w:rsidP="009F6641">
            <w:pPr>
              <w:pStyle w:val="Body"/>
            </w:pPr>
            <w:r w:rsidRPr="005D4222">
              <w:t>ADM</w:t>
            </w:r>
            <w:r w:rsidR="006C3E10" w:rsidRPr="005D4222">
              <w:t xml:space="preserve"> = 400.</w:t>
            </w:r>
          </w:p>
        </w:tc>
      </w:tr>
      <w:tr w:rsidR="006C3E10" w:rsidRPr="005D4222" w14:paraId="623A2E39" w14:textId="77777777" w:rsidTr="009F6641">
        <w:tc>
          <w:tcPr>
            <w:tcW w:w="900" w:type="dxa"/>
            <w:tcBorders>
              <w:top w:val="nil"/>
              <w:left w:val="nil"/>
              <w:bottom w:val="nil"/>
              <w:right w:val="nil"/>
            </w:tcBorders>
            <w:tcMar>
              <w:left w:w="115" w:type="dxa"/>
              <w:right w:w="115" w:type="dxa"/>
            </w:tcMar>
          </w:tcPr>
          <w:p w14:paraId="2E6C7921" w14:textId="77777777" w:rsidR="006C3E10" w:rsidRPr="005D4222" w:rsidRDefault="006C3E10" w:rsidP="009F6641">
            <w:pPr>
              <w:pStyle w:val="Body"/>
              <w:jc w:val="right"/>
              <w:rPr>
                <w:b/>
                <w:i/>
                <w:iCs/>
              </w:rPr>
            </w:pPr>
            <w:r w:rsidRPr="005D4222">
              <w:rPr>
                <w:b/>
                <w:i/>
                <w:iCs/>
              </w:rPr>
              <w:t>Step 2</w:t>
            </w:r>
          </w:p>
        </w:tc>
        <w:tc>
          <w:tcPr>
            <w:tcW w:w="8914" w:type="dxa"/>
            <w:tcBorders>
              <w:top w:val="nil"/>
              <w:left w:val="nil"/>
              <w:bottom w:val="nil"/>
              <w:right w:val="nil"/>
            </w:tcBorders>
            <w:tcMar>
              <w:left w:w="115" w:type="dxa"/>
              <w:right w:w="115" w:type="dxa"/>
            </w:tcMar>
          </w:tcPr>
          <w:p w14:paraId="126FB332" w14:textId="77777777" w:rsidR="006C3E10" w:rsidRPr="005D4222" w:rsidRDefault="006C3E10" w:rsidP="009F6641">
            <w:pPr>
              <w:pStyle w:val="Body"/>
            </w:pPr>
            <w:r w:rsidRPr="005D4222">
              <w:t xml:space="preserve">From Table 2, the MRSS is 388. </w:t>
            </w:r>
          </w:p>
        </w:tc>
      </w:tr>
      <w:tr w:rsidR="006C3E10" w:rsidRPr="005D4222" w14:paraId="524CEAC5" w14:textId="77777777" w:rsidTr="009F6641">
        <w:tc>
          <w:tcPr>
            <w:tcW w:w="900" w:type="dxa"/>
            <w:tcBorders>
              <w:top w:val="nil"/>
              <w:left w:val="nil"/>
              <w:bottom w:val="nil"/>
              <w:right w:val="nil"/>
            </w:tcBorders>
            <w:tcMar>
              <w:left w:w="115" w:type="dxa"/>
              <w:right w:w="115" w:type="dxa"/>
            </w:tcMar>
          </w:tcPr>
          <w:p w14:paraId="6D0C2F39" w14:textId="77777777" w:rsidR="006C3E10" w:rsidRPr="005D4222" w:rsidRDefault="006C3E10" w:rsidP="009F6641">
            <w:pPr>
              <w:pStyle w:val="Body"/>
              <w:jc w:val="right"/>
              <w:rPr>
                <w:b/>
                <w:i/>
                <w:iCs/>
              </w:rPr>
            </w:pPr>
            <w:r w:rsidRPr="005D4222">
              <w:rPr>
                <w:b/>
                <w:i/>
                <w:iCs/>
              </w:rPr>
              <w:t>Step 3</w:t>
            </w:r>
          </w:p>
        </w:tc>
        <w:tc>
          <w:tcPr>
            <w:tcW w:w="8914" w:type="dxa"/>
            <w:tcBorders>
              <w:top w:val="nil"/>
              <w:left w:val="nil"/>
              <w:bottom w:val="nil"/>
              <w:right w:val="nil"/>
            </w:tcBorders>
            <w:tcMar>
              <w:left w:w="115" w:type="dxa"/>
              <w:right w:w="115" w:type="dxa"/>
            </w:tcMar>
          </w:tcPr>
          <w:p w14:paraId="077C9AD7" w14:textId="77777777" w:rsidR="006C3E10" w:rsidRPr="005D4222" w:rsidRDefault="006C3E10" w:rsidP="009F6641">
            <w:pPr>
              <w:pStyle w:val="Body"/>
            </w:pPr>
            <w:r w:rsidRPr="005D4222">
              <w:t xml:space="preserve">Oversample = 388 </w:t>
            </w:r>
            <w:r w:rsidRPr="005D4222">
              <w:rPr>
                <w:rFonts w:eastAsia="Symbol" w:cs="Arial"/>
              </w:rPr>
              <w:t>x</w:t>
            </w:r>
            <w:r w:rsidRPr="005D4222">
              <w:t xml:space="preserve"> .05 = 19.4 (the next whole number </w:t>
            </w:r>
            <w:r w:rsidRPr="005D4222">
              <w:rPr>
                <w:i/>
                <w:iCs/>
              </w:rPr>
              <w:t>above</w:t>
            </w:r>
            <w:r w:rsidRPr="005D4222">
              <w:t xml:space="preserve"> is 20, so oversample = 20)</w:t>
            </w:r>
            <w:r w:rsidRPr="005D4222">
              <w:rPr>
                <w:i/>
              </w:rPr>
              <w:t>.</w:t>
            </w:r>
          </w:p>
        </w:tc>
      </w:tr>
      <w:tr w:rsidR="006C3E10" w:rsidRPr="005D4222" w14:paraId="61101B45" w14:textId="77777777" w:rsidTr="009F6641">
        <w:tc>
          <w:tcPr>
            <w:tcW w:w="900" w:type="dxa"/>
            <w:tcBorders>
              <w:top w:val="nil"/>
              <w:left w:val="nil"/>
              <w:bottom w:val="nil"/>
              <w:right w:val="nil"/>
            </w:tcBorders>
            <w:tcMar>
              <w:left w:w="115" w:type="dxa"/>
              <w:right w:w="115" w:type="dxa"/>
            </w:tcMar>
          </w:tcPr>
          <w:p w14:paraId="6BD75809" w14:textId="77777777" w:rsidR="006C3E10" w:rsidRPr="005D4222" w:rsidRDefault="006C3E10" w:rsidP="009F6641">
            <w:pPr>
              <w:pStyle w:val="Body"/>
              <w:jc w:val="right"/>
              <w:rPr>
                <w:b/>
                <w:i/>
                <w:iCs/>
              </w:rPr>
            </w:pPr>
            <w:r w:rsidRPr="005D4222">
              <w:rPr>
                <w:b/>
                <w:i/>
                <w:iCs/>
              </w:rPr>
              <w:t>Step 4</w:t>
            </w:r>
          </w:p>
        </w:tc>
        <w:tc>
          <w:tcPr>
            <w:tcW w:w="8914" w:type="dxa"/>
            <w:tcBorders>
              <w:top w:val="nil"/>
              <w:left w:val="nil"/>
              <w:bottom w:val="nil"/>
              <w:right w:val="nil"/>
            </w:tcBorders>
            <w:tcMar>
              <w:left w:w="115" w:type="dxa"/>
              <w:right w:w="115" w:type="dxa"/>
            </w:tcMar>
          </w:tcPr>
          <w:p w14:paraId="3F59549F" w14:textId="77777777" w:rsidR="006C3E10" w:rsidRPr="005D4222" w:rsidRDefault="006C3E10" w:rsidP="009F6641">
            <w:pPr>
              <w:pStyle w:val="Body"/>
              <w:rPr>
                <w:i/>
              </w:rPr>
            </w:pPr>
            <w:r w:rsidRPr="005D4222">
              <w:t>Because 388 &lt; 400 ≤ (388 + 20), skip to step 8.</w:t>
            </w:r>
          </w:p>
        </w:tc>
      </w:tr>
      <w:tr w:rsidR="006C3E10" w:rsidRPr="005D4222" w14:paraId="2557272F" w14:textId="77777777" w:rsidTr="009F6641">
        <w:tc>
          <w:tcPr>
            <w:tcW w:w="900" w:type="dxa"/>
            <w:tcBorders>
              <w:top w:val="nil"/>
              <w:left w:val="nil"/>
              <w:bottom w:val="nil"/>
              <w:right w:val="nil"/>
            </w:tcBorders>
            <w:tcMar>
              <w:left w:w="115" w:type="dxa"/>
              <w:right w:w="115" w:type="dxa"/>
            </w:tcMar>
          </w:tcPr>
          <w:p w14:paraId="41F31928" w14:textId="77777777" w:rsidR="006C3E10" w:rsidRPr="005D4222" w:rsidRDefault="006C3E10" w:rsidP="009F6641">
            <w:pPr>
              <w:pStyle w:val="Body"/>
              <w:jc w:val="right"/>
              <w:rPr>
                <w:b/>
                <w:i/>
                <w:iCs/>
              </w:rPr>
            </w:pPr>
            <w:r w:rsidRPr="005D4222">
              <w:rPr>
                <w:b/>
                <w:i/>
                <w:iCs/>
              </w:rPr>
              <w:t>Step 5</w:t>
            </w:r>
          </w:p>
        </w:tc>
        <w:tc>
          <w:tcPr>
            <w:tcW w:w="8914" w:type="dxa"/>
            <w:tcBorders>
              <w:top w:val="nil"/>
              <w:left w:val="nil"/>
              <w:bottom w:val="nil"/>
              <w:right w:val="nil"/>
            </w:tcBorders>
            <w:tcMar>
              <w:left w:w="115" w:type="dxa"/>
              <w:right w:w="115" w:type="dxa"/>
            </w:tcMar>
          </w:tcPr>
          <w:p w14:paraId="2618ED5F" w14:textId="77777777" w:rsidR="006C3E10" w:rsidRPr="005D4222" w:rsidRDefault="006C3E10" w:rsidP="009F6641">
            <w:pPr>
              <w:pStyle w:val="Body"/>
            </w:pPr>
            <w:r w:rsidRPr="005D4222">
              <w:rPr>
                <w:i/>
              </w:rPr>
              <w:t>Skip this step.</w:t>
            </w:r>
          </w:p>
        </w:tc>
      </w:tr>
      <w:tr w:rsidR="006C3E10" w:rsidRPr="005D4222" w14:paraId="058F5243" w14:textId="77777777" w:rsidTr="009F6641">
        <w:tc>
          <w:tcPr>
            <w:tcW w:w="900" w:type="dxa"/>
            <w:tcBorders>
              <w:top w:val="nil"/>
              <w:left w:val="nil"/>
              <w:bottom w:val="nil"/>
              <w:right w:val="nil"/>
            </w:tcBorders>
            <w:tcMar>
              <w:left w:w="115" w:type="dxa"/>
              <w:right w:w="115" w:type="dxa"/>
            </w:tcMar>
          </w:tcPr>
          <w:p w14:paraId="1B870F77" w14:textId="77777777" w:rsidR="006C3E10" w:rsidRPr="005D4222" w:rsidRDefault="006C3E10" w:rsidP="009F6641">
            <w:pPr>
              <w:pStyle w:val="Body"/>
              <w:jc w:val="right"/>
              <w:rPr>
                <w:b/>
                <w:i/>
                <w:iCs/>
              </w:rPr>
            </w:pPr>
            <w:r w:rsidRPr="005D4222">
              <w:rPr>
                <w:b/>
                <w:i/>
                <w:iCs/>
              </w:rPr>
              <w:t>Step 6</w:t>
            </w:r>
          </w:p>
        </w:tc>
        <w:tc>
          <w:tcPr>
            <w:tcW w:w="8914" w:type="dxa"/>
            <w:tcBorders>
              <w:top w:val="nil"/>
              <w:left w:val="nil"/>
              <w:bottom w:val="nil"/>
              <w:right w:val="nil"/>
            </w:tcBorders>
            <w:tcMar>
              <w:left w:w="115" w:type="dxa"/>
              <w:right w:w="115" w:type="dxa"/>
            </w:tcMar>
          </w:tcPr>
          <w:p w14:paraId="27691675" w14:textId="77777777" w:rsidR="006C3E10" w:rsidRPr="005D4222" w:rsidRDefault="006C3E10" w:rsidP="009F6641">
            <w:pPr>
              <w:pStyle w:val="Body"/>
            </w:pPr>
            <w:r w:rsidRPr="005D4222">
              <w:rPr>
                <w:i/>
              </w:rPr>
              <w:t>Skip this step.</w:t>
            </w:r>
          </w:p>
        </w:tc>
      </w:tr>
      <w:tr w:rsidR="006C3E10" w:rsidRPr="005D4222" w14:paraId="11BBF734" w14:textId="77777777" w:rsidTr="009F6641">
        <w:tc>
          <w:tcPr>
            <w:tcW w:w="900" w:type="dxa"/>
            <w:tcBorders>
              <w:top w:val="nil"/>
              <w:left w:val="nil"/>
              <w:bottom w:val="nil"/>
              <w:right w:val="nil"/>
            </w:tcBorders>
            <w:tcMar>
              <w:left w:w="115" w:type="dxa"/>
              <w:right w:w="115" w:type="dxa"/>
            </w:tcMar>
          </w:tcPr>
          <w:p w14:paraId="665379F4" w14:textId="77777777" w:rsidR="006C3E10" w:rsidRPr="005D4222" w:rsidRDefault="006C3E10" w:rsidP="009F6641">
            <w:pPr>
              <w:pStyle w:val="Body"/>
              <w:jc w:val="right"/>
              <w:rPr>
                <w:b/>
                <w:i/>
                <w:iCs/>
              </w:rPr>
            </w:pPr>
            <w:r w:rsidRPr="005D4222">
              <w:rPr>
                <w:b/>
                <w:i/>
                <w:iCs/>
              </w:rPr>
              <w:t>Step 7</w:t>
            </w:r>
          </w:p>
        </w:tc>
        <w:tc>
          <w:tcPr>
            <w:tcW w:w="8914" w:type="dxa"/>
            <w:tcBorders>
              <w:top w:val="nil"/>
              <w:left w:val="nil"/>
              <w:bottom w:val="nil"/>
              <w:right w:val="nil"/>
            </w:tcBorders>
            <w:tcMar>
              <w:left w:w="115" w:type="dxa"/>
              <w:right w:w="115" w:type="dxa"/>
            </w:tcMar>
          </w:tcPr>
          <w:p w14:paraId="2B7A6686" w14:textId="77777777" w:rsidR="006C3E10" w:rsidRPr="005D4222" w:rsidRDefault="006C3E10" w:rsidP="009F6641">
            <w:pPr>
              <w:pStyle w:val="Body"/>
            </w:pPr>
            <w:r w:rsidRPr="005D4222">
              <w:rPr>
                <w:i/>
              </w:rPr>
              <w:t>Skip this step.</w:t>
            </w:r>
          </w:p>
        </w:tc>
      </w:tr>
      <w:tr w:rsidR="006C3E10" w:rsidRPr="005D4222" w14:paraId="31F0FEE6" w14:textId="77777777" w:rsidTr="009F6641">
        <w:tc>
          <w:tcPr>
            <w:tcW w:w="900" w:type="dxa"/>
            <w:tcBorders>
              <w:top w:val="nil"/>
              <w:left w:val="nil"/>
              <w:bottom w:val="nil"/>
              <w:right w:val="nil"/>
            </w:tcBorders>
            <w:tcMar>
              <w:left w:w="115" w:type="dxa"/>
              <w:right w:w="115" w:type="dxa"/>
            </w:tcMar>
          </w:tcPr>
          <w:p w14:paraId="7307352B" w14:textId="77777777" w:rsidR="006C3E10" w:rsidRPr="005D4222" w:rsidRDefault="006C3E10" w:rsidP="001F3160">
            <w:pPr>
              <w:pStyle w:val="Body"/>
              <w:spacing w:before="0"/>
              <w:jc w:val="right"/>
              <w:rPr>
                <w:b/>
                <w:i/>
                <w:iCs/>
              </w:rPr>
            </w:pPr>
            <w:r w:rsidRPr="005D4222">
              <w:rPr>
                <w:b/>
                <w:i/>
                <w:iCs/>
              </w:rPr>
              <w:lastRenderedPageBreak/>
              <w:t>Step 8</w:t>
            </w:r>
          </w:p>
        </w:tc>
        <w:tc>
          <w:tcPr>
            <w:tcW w:w="8914" w:type="dxa"/>
            <w:tcBorders>
              <w:top w:val="nil"/>
              <w:left w:val="nil"/>
              <w:bottom w:val="nil"/>
              <w:right w:val="nil"/>
            </w:tcBorders>
            <w:tcMar>
              <w:left w:w="115" w:type="dxa"/>
              <w:right w:w="115" w:type="dxa"/>
            </w:tcMar>
          </w:tcPr>
          <w:p w14:paraId="768FA40F" w14:textId="77777777" w:rsidR="006C3E10" w:rsidRPr="005D4222" w:rsidRDefault="006C3E10" w:rsidP="001F3160">
            <w:pPr>
              <w:pStyle w:val="Body"/>
              <w:spacing w:before="0"/>
            </w:pPr>
            <w:r w:rsidRPr="005D4222">
              <w:t>Sort the list and choose the first 388 as the primary list. The remaining 12 members become the oversample list</w:t>
            </w:r>
            <w:r w:rsidRPr="005D4222">
              <w:rPr>
                <w:b/>
                <w:bCs/>
              </w:rPr>
              <w:t>*</w:t>
            </w:r>
            <w:r w:rsidRPr="005D4222">
              <w:t>.</w:t>
            </w:r>
          </w:p>
          <w:p w14:paraId="7F95D3F3" w14:textId="77777777" w:rsidR="006C3E10" w:rsidRPr="005D4222" w:rsidRDefault="006C3E10" w:rsidP="009F6641">
            <w:pPr>
              <w:pStyle w:val="Bullet"/>
              <w:numPr>
                <w:ilvl w:val="0"/>
                <w:numId w:val="0"/>
              </w:numPr>
              <w:rPr>
                <w:kern w:val="24"/>
              </w:rPr>
            </w:pPr>
            <w:r w:rsidRPr="005D4222">
              <w:rPr>
                <w:rStyle w:val="NoteChar"/>
                <w:b/>
                <w:bCs/>
                <w:iCs/>
                <w:kern w:val="24"/>
              </w:rPr>
              <w:t>*</w:t>
            </w:r>
            <w:r w:rsidRPr="005D4222">
              <w:rPr>
                <w:rStyle w:val="NoteChar"/>
                <w:sz w:val="18"/>
                <w:szCs w:val="18"/>
              </w:rPr>
              <w:t>Remember, members in the oversample are used only to replace members excluded from the sample.</w:t>
            </w:r>
          </w:p>
        </w:tc>
      </w:tr>
    </w:tbl>
    <w:p w14:paraId="056F8D82" w14:textId="77777777" w:rsidR="006C3E10" w:rsidRPr="005D4222" w:rsidRDefault="006C3E10" w:rsidP="00660B72">
      <w:pPr>
        <w:pStyle w:val="StdHead"/>
      </w:pPr>
      <w:bookmarkStart w:id="226" w:name="_Toc400546096"/>
      <w:bookmarkStart w:id="227" w:name="_Toc74747866"/>
      <w:bookmarkStart w:id="228" w:name="_Toc171402957"/>
      <w:bookmarkStart w:id="229" w:name="_Toc201813377"/>
      <w:bookmarkStart w:id="230" w:name="ComplexSampling"/>
      <w:bookmarkStart w:id="231" w:name="_Toc452170819"/>
      <w:r w:rsidRPr="005D4222">
        <w:t>Complex Probability Sampling</w:t>
      </w:r>
      <w:bookmarkEnd w:id="226"/>
      <w:bookmarkEnd w:id="227"/>
      <w:bookmarkEnd w:id="228"/>
      <w:bookmarkEnd w:id="229"/>
    </w:p>
    <w:tbl>
      <w:tblPr>
        <w:tblW w:w="9990" w:type="dxa"/>
        <w:tblInd w:w="-180" w:type="dxa"/>
        <w:tblLayout w:type="fixed"/>
        <w:tblLook w:val="0000" w:firstRow="0" w:lastRow="0" w:firstColumn="0" w:lastColumn="0" w:noHBand="0" w:noVBand="0"/>
      </w:tblPr>
      <w:tblGrid>
        <w:gridCol w:w="2304"/>
        <w:gridCol w:w="7686"/>
      </w:tblGrid>
      <w:tr w:rsidR="006C3E10" w:rsidRPr="005D4222" w14:paraId="0FC4C9F0" w14:textId="77777777" w:rsidTr="009F6641">
        <w:tc>
          <w:tcPr>
            <w:tcW w:w="2304" w:type="dxa"/>
          </w:tcPr>
          <w:p w14:paraId="23946070" w14:textId="77777777" w:rsidR="006C3E10" w:rsidRPr="005D4222" w:rsidRDefault="006C3E10" w:rsidP="009F6641">
            <w:pPr>
              <w:pStyle w:val="MarginSubhead"/>
              <w:widowControl w:val="0"/>
            </w:pPr>
            <w:bookmarkStart w:id="232" w:name="Orgresponsibility"/>
            <w:bookmarkEnd w:id="230"/>
            <w:r w:rsidRPr="005D4222">
              <w:t>Organization responsibility</w:t>
            </w:r>
            <w:bookmarkEnd w:id="232"/>
          </w:p>
        </w:tc>
        <w:tc>
          <w:tcPr>
            <w:tcW w:w="7686" w:type="dxa"/>
          </w:tcPr>
          <w:p w14:paraId="0E44629C" w14:textId="675B72B3" w:rsidR="006C3E10" w:rsidRPr="005D4222" w:rsidRDefault="006C3E10" w:rsidP="009F6641">
            <w:pPr>
              <w:pStyle w:val="Body"/>
              <w:widowControl w:val="0"/>
            </w:pPr>
            <w:r w:rsidRPr="005D4222">
              <w:t>Properly applied, other techniques (e.g., stratified sampling, cluster sampling and other complex probability approaches) can improve precision and increase sampling efficiency. To use a probability sampling approach different from the one specified, submit a written rationale and documentation of the approach to NCQA through PCS</w:t>
            </w:r>
            <w:r w:rsidRPr="005D4222" w:rsidDel="000A1BF7">
              <w:t xml:space="preserve"> </w:t>
            </w:r>
            <w:r w:rsidRPr="005D4222">
              <w:t xml:space="preserve">via </w:t>
            </w:r>
            <w:hyperlink r:id="rId74" w:history="1">
              <w:r w:rsidRPr="005D4222" w:rsidDel="00CC24BE">
                <w:rPr>
                  <w:rStyle w:val="Hyperlink"/>
                </w:rPr>
                <w:t>My</w:t>
              </w:r>
              <w:r w:rsidRPr="005D4222">
                <w:rPr>
                  <w:rStyle w:val="Hyperlink"/>
                </w:rPr>
                <w:t xml:space="preserve"> NCQA</w:t>
              </w:r>
            </w:hyperlink>
            <w:r w:rsidRPr="005D4222">
              <w:t xml:space="preserve">. The organization must demonstrate that the sampling approach is auditable and does not introduce bias against </w:t>
            </w:r>
            <w:bookmarkStart w:id="233" w:name="_Toc452170820"/>
            <w:r w:rsidRPr="005D4222">
              <w:t>specific members. A</w:t>
            </w:r>
            <w:r w:rsidR="00F55018" w:rsidRPr="005D4222">
              <w:t>n NCQA</w:t>
            </w:r>
            <w:r w:rsidRPr="005D4222">
              <w:t xml:space="preserve"> committee of statisticians and health policy experts reviews the approach. Written notification of NCQA approval or disapproval is provided within 10 business days.</w:t>
            </w:r>
          </w:p>
          <w:bookmarkEnd w:id="233"/>
          <w:p w14:paraId="7087BDCE" w14:textId="77777777" w:rsidR="006C3E10" w:rsidRPr="005D4222" w:rsidRDefault="006C3E10" w:rsidP="009F6641">
            <w:pPr>
              <w:pStyle w:val="Body"/>
              <w:widowControl w:val="0"/>
            </w:pPr>
            <w:r w:rsidRPr="005D4222">
              <w:t>If complex sampling methods are used, report the estimated rate, in addition to any information required to perform a valid test of significance between that rate and another organization’s rate.</w:t>
            </w:r>
          </w:p>
          <w:p w14:paraId="22897E73" w14:textId="77777777" w:rsidR="006C3E10" w:rsidRPr="005D4222" w:rsidRDefault="006C3E10" w:rsidP="009F6641">
            <w:pPr>
              <w:pStyle w:val="Body"/>
              <w:widowControl w:val="0"/>
            </w:pPr>
            <w:r w:rsidRPr="005D4222">
              <w:t>Report the sample size (if different from the HEDIS recommendation) and document the method used in the calculation (including software used, if applicable). Consult a statistician before implementing a complex sampling methodology.</w:t>
            </w:r>
          </w:p>
        </w:tc>
      </w:tr>
    </w:tbl>
    <w:p w14:paraId="0B83AC98" w14:textId="77777777" w:rsidR="006C3E10" w:rsidRPr="005D4222" w:rsidRDefault="006C3E10" w:rsidP="00660B72">
      <w:pPr>
        <w:pStyle w:val="StdHead"/>
      </w:pPr>
      <w:bookmarkStart w:id="234" w:name="_Toc400546097"/>
      <w:bookmarkStart w:id="235" w:name="_Toc74747867"/>
      <w:bookmarkStart w:id="236" w:name="_Toc171402958"/>
      <w:bookmarkStart w:id="237" w:name="_Toc201813378"/>
      <w:bookmarkStart w:id="238" w:name="SubstituteMedicalRecords"/>
      <w:bookmarkStart w:id="239" w:name="_Toc452170821"/>
      <w:bookmarkEnd w:id="231"/>
      <w:r w:rsidRPr="005D4222">
        <w:t>Substituting Medical Records</w:t>
      </w:r>
      <w:bookmarkEnd w:id="234"/>
      <w:bookmarkEnd w:id="235"/>
      <w:bookmarkEnd w:id="236"/>
      <w:bookmarkEnd w:id="237"/>
    </w:p>
    <w:tbl>
      <w:tblPr>
        <w:tblW w:w="10008" w:type="dxa"/>
        <w:tblInd w:w="-180" w:type="dxa"/>
        <w:tblLayout w:type="fixed"/>
        <w:tblLook w:val="0000" w:firstRow="0" w:lastRow="0" w:firstColumn="0" w:lastColumn="0" w:noHBand="0" w:noVBand="0"/>
      </w:tblPr>
      <w:tblGrid>
        <w:gridCol w:w="2304"/>
        <w:gridCol w:w="7704"/>
      </w:tblGrid>
      <w:tr w:rsidR="002116F4" w:rsidRPr="005D4222" w14:paraId="4C3C6C9A" w14:textId="77777777" w:rsidTr="002116F4">
        <w:tc>
          <w:tcPr>
            <w:tcW w:w="2304" w:type="dxa"/>
          </w:tcPr>
          <w:p w14:paraId="5A73FC92" w14:textId="67283875" w:rsidR="002116F4" w:rsidRPr="005D4222" w:rsidRDefault="002116F4" w:rsidP="001F3160">
            <w:pPr>
              <w:pStyle w:val="MarginSubhead"/>
              <w:widowControl w:val="0"/>
            </w:pPr>
            <w:r w:rsidRPr="005D4222">
              <w:t>Acceptable circumstances for substitution</w:t>
            </w:r>
          </w:p>
        </w:tc>
        <w:tc>
          <w:tcPr>
            <w:tcW w:w="7704" w:type="dxa"/>
          </w:tcPr>
          <w:p w14:paraId="2EAD5FAE" w14:textId="12DD52B0" w:rsidR="002116F4" w:rsidRPr="005D4222" w:rsidRDefault="002116F4" w:rsidP="009F6641">
            <w:pPr>
              <w:pStyle w:val="Body"/>
              <w:widowControl w:val="0"/>
            </w:pPr>
            <w:r w:rsidRPr="005D4222">
              <w:t>Organizations must specify the number of substituted records. Members who are noncompliant because they refused the service or because the organization cannot access their chart may not be substituted. Unless otherwise noted in the specifications for a particular measure, members or events may not be dropped from the sample or substituted, except under the following circumstances described below.</w:t>
            </w:r>
          </w:p>
        </w:tc>
      </w:tr>
      <w:bookmarkEnd w:id="238"/>
      <w:tr w:rsidR="001F3160" w:rsidRPr="005D4222" w14:paraId="2AE1A19C" w14:textId="77777777" w:rsidTr="002116F4">
        <w:tc>
          <w:tcPr>
            <w:tcW w:w="2304" w:type="dxa"/>
          </w:tcPr>
          <w:p w14:paraId="558103BB" w14:textId="31832C94" w:rsidR="001F3160" w:rsidRPr="005D4222" w:rsidRDefault="001F3160" w:rsidP="002116F4">
            <w:pPr>
              <w:pStyle w:val="MarginSubhead"/>
              <w:widowControl w:val="0"/>
              <w:ind w:left="450" w:hanging="234"/>
            </w:pPr>
            <w:r w:rsidRPr="005D4222">
              <w:rPr>
                <w:i/>
              </w:rPr>
              <w:t xml:space="preserve">1. </w:t>
            </w:r>
            <w:r w:rsidRPr="005D4222">
              <w:rPr>
                <w:i/>
              </w:rPr>
              <w:tab/>
              <w:t>Errors in sampling data</w:t>
            </w:r>
          </w:p>
        </w:tc>
        <w:tc>
          <w:tcPr>
            <w:tcW w:w="7704" w:type="dxa"/>
          </w:tcPr>
          <w:p w14:paraId="4A4333B0" w14:textId="77777777" w:rsidR="001F3160" w:rsidRPr="005D4222" w:rsidRDefault="001F3160" w:rsidP="001F3160">
            <w:pPr>
              <w:pStyle w:val="Body"/>
            </w:pPr>
            <w:r w:rsidRPr="005D4222">
              <w:t>Chart review reveals that a member or event does not meet the eligibility criteria for inclusion in the sample. Data errors can be caused by incorrect member or clinical information. Examples of valid data errors:</w:t>
            </w:r>
          </w:p>
          <w:p w14:paraId="0F22C6ED" w14:textId="68909E81" w:rsidR="001F3160" w:rsidRPr="005D4222" w:rsidRDefault="001F3160" w:rsidP="009F6641">
            <w:pPr>
              <w:pStyle w:val="Bullet"/>
              <w:widowControl w:val="0"/>
            </w:pPr>
            <w:r w:rsidRPr="005D4222">
              <w:t>A member selected for the Care for Older Adults</w:t>
            </w:r>
            <w:r w:rsidRPr="005D4222" w:rsidDel="000004D2">
              <w:t xml:space="preserve"> </w:t>
            </w:r>
            <w:r w:rsidRPr="005D4222">
              <w:t xml:space="preserve">sample is found to be </w:t>
            </w:r>
            <w:r w:rsidR="00C52D70" w:rsidRPr="005D4222">
              <w:br/>
            </w:r>
            <w:r w:rsidRPr="005D4222">
              <w:t>22 years old.</w:t>
            </w:r>
          </w:p>
          <w:p w14:paraId="4436195C" w14:textId="77777777" w:rsidR="001F3160" w:rsidRPr="005D4222" w:rsidRDefault="001F3160" w:rsidP="009F6641">
            <w:pPr>
              <w:pStyle w:val="Bullet"/>
              <w:widowControl w:val="0"/>
            </w:pPr>
            <w:r w:rsidRPr="005D4222">
              <w:t>A member in the sample for any measure has a notation entered by the deadline established for the measure, explaining the reason for the erroneous inclusion and stating the member does not have the condition.</w:t>
            </w:r>
          </w:p>
          <w:p w14:paraId="6A77BF27" w14:textId="77777777" w:rsidR="001F3160" w:rsidRPr="005D4222" w:rsidRDefault="001F3160" w:rsidP="009F6641">
            <w:pPr>
              <w:pStyle w:val="Body"/>
              <w:widowControl w:val="0"/>
              <w:spacing w:before="120"/>
            </w:pPr>
            <w:r w:rsidRPr="005D4222">
              <w:t xml:space="preserve">The medical record must have evidence that a member does not meet the criteria for the measure. A chart that does not contain a notation that substantiates or refutes the diagnosis is not evidence that the member does not have the condition being measured. </w:t>
            </w:r>
          </w:p>
          <w:p w14:paraId="517905D5" w14:textId="0EED281E" w:rsidR="001F3160" w:rsidRPr="005D4222" w:rsidRDefault="001F3160" w:rsidP="009F6641">
            <w:pPr>
              <w:pStyle w:val="Body"/>
              <w:widowControl w:val="0"/>
              <w:spacing w:before="120"/>
            </w:pPr>
            <w:r w:rsidRPr="005D4222">
              <w:t>Members may also be identified as valid data errors if administrative data refresh finds they meet exclusion criteria. Report these members as valid data errors.</w:t>
            </w:r>
          </w:p>
        </w:tc>
      </w:tr>
    </w:tbl>
    <w:p w14:paraId="49F8735C" w14:textId="77777777" w:rsidR="001F3160" w:rsidRPr="005D4222" w:rsidRDefault="001F3160"/>
    <w:tbl>
      <w:tblPr>
        <w:tblW w:w="10008" w:type="dxa"/>
        <w:tblInd w:w="-180" w:type="dxa"/>
        <w:tblLayout w:type="fixed"/>
        <w:tblLook w:val="0000" w:firstRow="0" w:lastRow="0" w:firstColumn="0" w:lastColumn="0" w:noHBand="0" w:noVBand="0"/>
      </w:tblPr>
      <w:tblGrid>
        <w:gridCol w:w="2304"/>
        <w:gridCol w:w="7704"/>
      </w:tblGrid>
      <w:tr w:rsidR="006C3E10" w:rsidRPr="005D4222" w14:paraId="21BF977B" w14:textId="77777777" w:rsidTr="009F6641">
        <w:tc>
          <w:tcPr>
            <w:tcW w:w="2304" w:type="dxa"/>
          </w:tcPr>
          <w:p w14:paraId="11D6C2B3" w14:textId="77777777" w:rsidR="006C3E10" w:rsidRPr="005D4222" w:rsidRDefault="006C3E10" w:rsidP="00C52D70">
            <w:pPr>
              <w:pStyle w:val="MarginSubhead"/>
              <w:widowControl w:val="0"/>
              <w:spacing w:before="0"/>
              <w:ind w:left="450" w:hanging="234"/>
              <w:rPr>
                <w:i/>
              </w:rPr>
            </w:pPr>
            <w:r w:rsidRPr="005D4222">
              <w:rPr>
                <w:i/>
              </w:rPr>
              <w:lastRenderedPageBreak/>
              <w:t xml:space="preserve">2. </w:t>
            </w:r>
            <w:r w:rsidRPr="005D4222">
              <w:rPr>
                <w:i/>
              </w:rPr>
              <w:tab/>
              <w:t>Employee/ dependent was selected for the sample</w:t>
            </w:r>
          </w:p>
        </w:tc>
        <w:tc>
          <w:tcPr>
            <w:tcW w:w="7704" w:type="dxa"/>
          </w:tcPr>
          <w:p w14:paraId="76F7F6AF" w14:textId="6869B595" w:rsidR="006C3E10" w:rsidRPr="005D4222" w:rsidRDefault="006C3E10" w:rsidP="00C52D70">
            <w:pPr>
              <w:pStyle w:val="Body"/>
              <w:widowControl w:val="0"/>
              <w:spacing w:before="0"/>
            </w:pPr>
            <w:r w:rsidRPr="005D4222">
              <w:t>An employee of the organization or the vendor, or the employee’s dependent, was selected for the sample, and the medical record must be reviewed to determine compliance with the measure. The organization or vendor may exclude employees and their dependents in this situation</w:t>
            </w:r>
            <w:r w:rsidRPr="005D4222">
              <w:rPr>
                <w:i/>
              </w:rPr>
              <w:t xml:space="preserve"> only</w:t>
            </w:r>
            <w:r w:rsidRPr="005D4222">
              <w:t>. Employee</w:t>
            </w:r>
            <w:r w:rsidR="002C0D17" w:rsidRPr="005D4222">
              <w:t>s</w:t>
            </w:r>
            <w:r w:rsidRPr="005D4222">
              <w:t xml:space="preserve"> and employee dependents are not excluded from administrative reporting</w:t>
            </w:r>
            <w:r w:rsidR="00F55018" w:rsidRPr="005D4222">
              <w:t>,</w:t>
            </w:r>
            <w:r w:rsidRPr="005D4222">
              <w:t xml:space="preserve"> and should not be removed before the sample is drawn.</w:t>
            </w:r>
          </w:p>
        </w:tc>
      </w:tr>
    </w:tbl>
    <w:p w14:paraId="4E22FF8E" w14:textId="77777777" w:rsidR="006C3E10" w:rsidRPr="005D4222" w:rsidRDefault="006C3E10" w:rsidP="00660B72">
      <w:pPr>
        <w:pStyle w:val="StdHead"/>
      </w:pPr>
      <w:bookmarkStart w:id="240" w:name="_Toc400546099"/>
      <w:bookmarkStart w:id="241" w:name="_Toc74747869"/>
      <w:bookmarkStart w:id="242" w:name="_Toc171402959"/>
      <w:bookmarkStart w:id="243" w:name="_Toc201813379"/>
      <w:bookmarkStart w:id="244" w:name="References"/>
      <w:bookmarkEnd w:id="239"/>
      <w:r w:rsidRPr="005D4222">
        <w:t>References</w:t>
      </w:r>
      <w:bookmarkEnd w:id="240"/>
      <w:bookmarkEnd w:id="241"/>
      <w:bookmarkEnd w:id="242"/>
      <w:bookmarkEnd w:id="243"/>
    </w:p>
    <w:bookmarkEnd w:id="244"/>
    <w:p w14:paraId="2FB2DB6E" w14:textId="77777777" w:rsidR="006C3E10" w:rsidRPr="005D4222" w:rsidRDefault="006C3E10" w:rsidP="006C3E10">
      <w:pPr>
        <w:pStyle w:val="Body"/>
        <w:widowControl w:val="0"/>
        <w:ind w:left="360" w:hanging="360"/>
      </w:pPr>
      <w:r w:rsidRPr="005D4222">
        <w:t xml:space="preserve">Deming, W.E. On the interpretation of censuses as samples. 1941. </w:t>
      </w:r>
      <w:r w:rsidRPr="005D4222">
        <w:rPr>
          <w:i/>
        </w:rPr>
        <w:t xml:space="preserve">Journal of the American Statistical Association. </w:t>
      </w:r>
      <w:r w:rsidRPr="005D4222">
        <w:t>36: 45–9.</w:t>
      </w:r>
    </w:p>
    <w:p w14:paraId="7B98D390" w14:textId="77777777" w:rsidR="006C3E10" w:rsidRPr="005D4222" w:rsidRDefault="006C3E10" w:rsidP="006C3E10">
      <w:pPr>
        <w:pStyle w:val="Body"/>
        <w:widowControl w:val="0"/>
        <w:spacing w:before="0"/>
        <w:ind w:left="360" w:hanging="360"/>
      </w:pPr>
      <w:r w:rsidRPr="005D4222">
        <w:t xml:space="preserve">Fleiss, L. </w:t>
      </w:r>
      <w:r w:rsidRPr="005D4222">
        <w:rPr>
          <w:i/>
        </w:rPr>
        <w:t>Statistical Methods for Rates and Proportions.</w:t>
      </w:r>
      <w:r w:rsidRPr="005D4222">
        <w:t xml:space="preserve"> 2nd Ed. (New York: John Wiley &amp; Sons, Inc.): 38–42.</w:t>
      </w:r>
    </w:p>
    <w:p w14:paraId="30F93BE4" w14:textId="77777777" w:rsidR="006C3E10" w:rsidRPr="005D4222" w:rsidRDefault="006C3E10" w:rsidP="006C3E10">
      <w:pPr>
        <w:pStyle w:val="Body"/>
        <w:widowControl w:val="0"/>
        <w:spacing w:before="0"/>
        <w:ind w:left="360" w:hanging="360"/>
      </w:pPr>
    </w:p>
    <w:p w14:paraId="647B67FA" w14:textId="77777777" w:rsidR="006C3E10" w:rsidRPr="005D4222" w:rsidRDefault="006C3E10" w:rsidP="006C3E10">
      <w:pPr>
        <w:pStyle w:val="Body"/>
        <w:widowControl w:val="0"/>
        <w:spacing w:before="0"/>
        <w:ind w:left="360" w:hanging="360"/>
        <w:sectPr w:rsidR="006C3E10" w:rsidRPr="005D4222" w:rsidSect="0074514A">
          <w:type w:val="nextColumn"/>
          <w:pgSz w:w="12240" w:h="15840" w:code="1"/>
          <w:pgMar w:top="1080" w:right="1080" w:bottom="1080" w:left="1440" w:header="720" w:footer="720" w:gutter="0"/>
          <w:cols w:space="720"/>
        </w:sectPr>
      </w:pPr>
    </w:p>
    <w:p w14:paraId="285A7C0E" w14:textId="179BDA01" w:rsidR="006C3E10" w:rsidRPr="005D4222" w:rsidRDefault="006C3E10" w:rsidP="006C3E10">
      <w:pPr>
        <w:pStyle w:val="Breakpage"/>
        <w:rPr>
          <w:bCs/>
          <w:szCs w:val="48"/>
        </w:rPr>
        <w:sectPr w:rsidR="006C3E10" w:rsidRPr="005D4222" w:rsidSect="0074514A">
          <w:headerReference w:type="even" r:id="rId75"/>
          <w:headerReference w:type="default" r:id="rId76"/>
          <w:footerReference w:type="default" r:id="rId77"/>
          <w:type w:val="nextColumn"/>
          <w:pgSz w:w="12240" w:h="15840" w:code="1"/>
          <w:pgMar w:top="1080" w:right="1080" w:bottom="1080" w:left="1440" w:header="720" w:footer="720" w:gutter="0"/>
          <w:cols w:space="720"/>
        </w:sectPr>
      </w:pPr>
      <w:bookmarkStart w:id="245" w:name="Rules_for_Allowable_Adjustments"/>
      <w:bookmarkStart w:id="246" w:name="_Toc74747870"/>
      <w:bookmarkStart w:id="247" w:name="_Toc171402960"/>
      <w:bookmarkStart w:id="248" w:name="_Toc201813380"/>
      <w:r w:rsidRPr="005D4222">
        <w:rPr>
          <w:bCs/>
          <w:szCs w:val="48"/>
        </w:rPr>
        <w:lastRenderedPageBreak/>
        <w:t>Guidelines</w:t>
      </w:r>
      <w:bookmarkEnd w:id="245"/>
      <w:r w:rsidRPr="005D4222">
        <w:rPr>
          <w:bCs/>
          <w:szCs w:val="48"/>
        </w:rPr>
        <w:t xml:space="preserve"> for the Rules for </w:t>
      </w:r>
      <w:r w:rsidR="00C1102C" w:rsidRPr="005D4222">
        <w:rPr>
          <w:bCs/>
          <w:szCs w:val="48"/>
        </w:rPr>
        <w:br/>
      </w:r>
      <w:r w:rsidRPr="005D4222">
        <w:rPr>
          <w:bCs/>
          <w:szCs w:val="48"/>
        </w:rPr>
        <w:t>Allowable Adjustments of HEDIS</w:t>
      </w:r>
      <w:bookmarkEnd w:id="246"/>
      <w:bookmarkEnd w:id="247"/>
      <w:bookmarkEnd w:id="248"/>
    </w:p>
    <w:p w14:paraId="3255E6CD" w14:textId="0AD48566" w:rsidR="006C3E10" w:rsidRPr="005D4222" w:rsidRDefault="006C3E10" w:rsidP="006C3E10">
      <w:pPr>
        <w:pStyle w:val="SOC"/>
        <w:pBdr>
          <w:top w:val="single" w:sz="6" w:space="0" w:color="auto"/>
        </w:pBdr>
        <w:spacing w:after="40"/>
        <w:rPr>
          <w:szCs w:val="22"/>
        </w:rPr>
      </w:pPr>
      <w:bookmarkStart w:id="249" w:name="_Toc74747871"/>
      <w:r w:rsidRPr="005D4222">
        <w:rPr>
          <w:szCs w:val="22"/>
        </w:rPr>
        <w:lastRenderedPageBreak/>
        <w:t xml:space="preserve">Summary of Changes to HEDIS MY </w:t>
      </w:r>
      <w:bookmarkEnd w:id="249"/>
      <w:r w:rsidR="005B19A4" w:rsidRPr="005D4222">
        <w:rPr>
          <w:bCs/>
          <w:iCs/>
        </w:rPr>
        <w:t>2026</w:t>
      </w:r>
    </w:p>
    <w:p w14:paraId="2484056A" w14:textId="59CC77A3" w:rsidR="006C3E10" w:rsidRPr="005D4222" w:rsidRDefault="00E06882" w:rsidP="00C52D70">
      <w:pPr>
        <w:pStyle w:val="ProcessBullet"/>
        <w:spacing w:before="120"/>
      </w:pPr>
      <w:bookmarkStart w:id="250" w:name="_Toc74747872"/>
      <w:bookmarkStart w:id="251" w:name="_Hlk11008149"/>
      <w:r w:rsidRPr="005D4222">
        <w:t>Removed</w:t>
      </w:r>
      <w:r w:rsidRPr="005D4222">
        <w:rPr>
          <w:i/>
          <w:iCs/>
        </w:rPr>
        <w:t xml:space="preserve"> Guideline 3: Stratifications for Telehealth Services</w:t>
      </w:r>
      <w:r w:rsidR="000B21C7" w:rsidRPr="005D4222">
        <w:t xml:space="preserve">, </w:t>
      </w:r>
      <w:r w:rsidR="000B21C7" w:rsidRPr="005D4222">
        <w:rPr>
          <w:i/>
          <w:iCs/>
        </w:rPr>
        <w:t>Guideline 6: Supplemental Data</w:t>
      </w:r>
      <w:r w:rsidR="00033062" w:rsidRPr="005D4222">
        <w:rPr>
          <w:i/>
          <w:iCs/>
        </w:rPr>
        <w:t>, Guideline 13: Allowable Adjustments for Risk Adjusted Utilization Measures</w:t>
      </w:r>
      <w:r w:rsidR="00106945" w:rsidRPr="005D4222">
        <w:rPr>
          <w:i/>
          <w:iCs/>
        </w:rPr>
        <w:t>,</w:t>
      </w:r>
      <w:r w:rsidR="00033062" w:rsidRPr="005D4222">
        <w:t xml:space="preserve"> </w:t>
      </w:r>
      <w:r w:rsidRPr="005D4222">
        <w:t>and incorporated th</w:t>
      </w:r>
      <w:r w:rsidR="000B21C7" w:rsidRPr="005D4222">
        <w:t>ese</w:t>
      </w:r>
      <w:r w:rsidRPr="005D4222">
        <w:t xml:space="preserve"> into the measure’s </w:t>
      </w:r>
      <w:r w:rsidR="009C00B1" w:rsidRPr="005D4222">
        <w:t>A</w:t>
      </w:r>
      <w:r w:rsidRPr="005D4222">
        <w:t xml:space="preserve">llowable </w:t>
      </w:r>
      <w:r w:rsidR="009C00B1" w:rsidRPr="005D4222">
        <w:t>A</w:t>
      </w:r>
      <w:r w:rsidRPr="005D4222">
        <w:t>djustment</w:t>
      </w:r>
      <w:r w:rsidR="009C00B1" w:rsidRPr="005D4222">
        <w:t>s</w:t>
      </w:r>
      <w:r w:rsidRPr="005D4222">
        <w:t xml:space="preserve"> sections. </w:t>
      </w:r>
      <w:r w:rsidR="00033062" w:rsidRPr="005D4222">
        <w:t xml:space="preserve">Renumbered </w:t>
      </w:r>
      <w:r w:rsidR="007933E7" w:rsidRPr="005D4222">
        <w:t xml:space="preserve">remaining guidelines. </w:t>
      </w:r>
    </w:p>
    <w:p w14:paraId="77D07D29" w14:textId="77777777" w:rsidR="006C3E10" w:rsidRPr="005D4222" w:rsidRDefault="006C3E10" w:rsidP="00660B72">
      <w:pPr>
        <w:pStyle w:val="StdHead"/>
      </w:pPr>
      <w:bookmarkStart w:id="252" w:name="_Toc171402961"/>
      <w:bookmarkStart w:id="253" w:name="_Toc201813381"/>
      <w:r w:rsidRPr="005D4222">
        <w:t>About the Rules for Allowable Adjustments of HEDIS</w:t>
      </w:r>
      <w:bookmarkEnd w:id="250"/>
      <w:bookmarkEnd w:id="252"/>
      <w:bookmarkEnd w:id="253"/>
    </w:p>
    <w:bookmarkEnd w:id="251"/>
    <w:p w14:paraId="145E7CF1" w14:textId="77777777" w:rsidR="006C3E10" w:rsidRPr="005D4222" w:rsidRDefault="006C3E10" w:rsidP="006C3E10">
      <w:pPr>
        <w:spacing w:before="180"/>
        <w:rPr>
          <w:kern w:val="24"/>
          <w:szCs w:val="21"/>
        </w:rPr>
      </w:pPr>
      <w:r w:rsidRPr="005D4222">
        <w:rPr>
          <w:kern w:val="24"/>
          <w:szCs w:val="21"/>
        </w:rPr>
        <w:t xml:space="preserve">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07EBE486" w14:textId="77777777" w:rsidR="006C3E10" w:rsidRPr="005D4222" w:rsidRDefault="006C3E10" w:rsidP="006C3E10">
      <w:pPr>
        <w:pStyle w:val="Note"/>
      </w:pPr>
      <w:r w:rsidRPr="005D4222">
        <w:rPr>
          <w:b/>
        </w:rPr>
        <w:t>Note</w:t>
      </w:r>
      <w:r w:rsidRPr="005D4222">
        <w:rPr>
          <w:b/>
          <w:bCs/>
        </w:rPr>
        <w:t>:</w:t>
      </w:r>
      <w:r w:rsidRPr="005D4222">
        <w:t xml:space="preserve"> Measures that do not include Rules for Allowable Adjustments may not be adjusted. </w:t>
      </w:r>
    </w:p>
    <w:p w14:paraId="7FAA9A47" w14:textId="77777777" w:rsidR="006C3E10" w:rsidRPr="005D4222" w:rsidRDefault="006C3E10" w:rsidP="00660B72">
      <w:pPr>
        <w:pStyle w:val="StdHead"/>
      </w:pPr>
      <w:bookmarkStart w:id="254" w:name="_Toc74747873"/>
      <w:bookmarkStart w:id="255" w:name="_Toc171402962"/>
      <w:bookmarkStart w:id="256" w:name="_Toc201813382"/>
      <w:r w:rsidRPr="005D4222">
        <w:t>Overview of Rules for Allowable Adjustments</w:t>
      </w:r>
      <w:bookmarkEnd w:id="254"/>
      <w:bookmarkEnd w:id="255"/>
      <w:bookmarkEnd w:id="256"/>
    </w:p>
    <w:p w14:paraId="4EED9F70" w14:textId="080F04DF" w:rsidR="006C3E10" w:rsidRPr="005D4222" w:rsidRDefault="006C3E10" w:rsidP="006C3E10">
      <w:pPr>
        <w:pStyle w:val="Body"/>
      </w:pPr>
      <w:r w:rsidRPr="005D4222">
        <w:t xml:space="preserve">A HEDIS measure specification consists of defined sets and subsets of criteria needed to identify and calculate the concept being measured. At a basic level, a measure includes a description of services counted (the numerator), the definition of an </w:t>
      </w:r>
      <w:r w:rsidR="009120A0" w:rsidRPr="005D4222">
        <w:t xml:space="preserve">initial </w:t>
      </w:r>
      <w:r w:rsidRPr="005D4222" w:rsidDel="003272E9">
        <w:t>population</w:t>
      </w:r>
      <w:r w:rsidRPr="005D4222">
        <w:t>, a list of exclusions, coding or value sets for each factor, reporting instructions and calculation logic. Each measure component is subject to assessment of importance (evidence), reliability, validity, feasibility and usability during development</w:t>
      </w:r>
      <w:r w:rsidR="001D1564" w:rsidRPr="005D4222">
        <w:t>,</w:t>
      </w:r>
      <w:r w:rsidRPr="005D4222">
        <w:t xml:space="preserve"> and is monitored over time. Adjustments to any measure component may pose threats to the methodological soundness and evidence alignment of a measure.</w:t>
      </w:r>
    </w:p>
    <w:p w14:paraId="0D0A5918" w14:textId="77777777" w:rsidR="006C3E10" w:rsidRPr="005D4222" w:rsidRDefault="006C3E10" w:rsidP="006C3E10">
      <w:pPr>
        <w:pStyle w:val="Body"/>
      </w:pPr>
      <w:bookmarkStart w:id="257" w:name="_Hlk2090323"/>
      <w:r w:rsidRPr="005D4222">
        <w:t>HEDIS measures were originally developed, tested and specified at the health plan level. These Rules specify how HEDIS measures may be adapted for use outside the traditional health plan setting for different purposes and levels of analysis (e.g., population health management, quality improvement) and still maintain their clinical intent. The Rules also note where measure specifications may not be adjusted to ensure they maintain alignment with the intended specifications and related clinical guidelines.</w:t>
      </w:r>
    </w:p>
    <w:p w14:paraId="6108932E" w14:textId="15E2F68E" w:rsidR="006C3E10" w:rsidRPr="005D4222" w:rsidRDefault="006C3E10" w:rsidP="00660B72">
      <w:pPr>
        <w:pStyle w:val="StdHead"/>
      </w:pPr>
      <w:bookmarkStart w:id="258" w:name="_Toc74747874"/>
      <w:bookmarkStart w:id="259" w:name="_Toc171402963"/>
      <w:bookmarkStart w:id="260" w:name="_Toc201813383"/>
      <w:bookmarkStart w:id="261" w:name="_Hlk11008264"/>
      <w:bookmarkEnd w:id="257"/>
      <w:r w:rsidRPr="005D4222">
        <w:t>Referring to Adjusted HEDIS Measures and Rates</w:t>
      </w:r>
      <w:bookmarkEnd w:id="258"/>
      <w:bookmarkEnd w:id="259"/>
      <w:bookmarkEnd w:id="260"/>
    </w:p>
    <w:bookmarkEnd w:id="261"/>
    <w:p w14:paraId="21034506" w14:textId="77777777" w:rsidR="006C3E10" w:rsidRPr="005D4222" w:rsidRDefault="006C3E10" w:rsidP="006C3E10">
      <w:pPr>
        <w:pStyle w:val="Body"/>
      </w:pPr>
      <w:r w:rsidRPr="005D4222">
        <w:t xml:space="preserve">Any measure may be explained in terms of the components needed to produce it, specifically for collecting, calculating and reporting. Only when a measure is used as prescribed by its HEDIS specifications can it be used for auditing and reporting to NCQA and other NCQA-approved programs (e.g., state Medicaid or commercial reports). </w:t>
      </w:r>
    </w:p>
    <w:p w14:paraId="157BAD95" w14:textId="77777777" w:rsidR="006C3E10" w:rsidRPr="005D4222" w:rsidRDefault="006C3E10" w:rsidP="006C3E10">
      <w:pPr>
        <w:pStyle w:val="Body"/>
        <w:rPr>
          <w:b/>
        </w:rPr>
      </w:pPr>
      <w:r w:rsidRPr="005D4222">
        <w:rPr>
          <w:b/>
        </w:rPr>
        <w:t xml:space="preserve">Calculated HEDIS measure results (“rates”) from </w:t>
      </w:r>
      <w:r w:rsidRPr="005D4222">
        <w:rPr>
          <w:b/>
          <w:i/>
        </w:rPr>
        <w:t>adjusted</w:t>
      </w:r>
      <w:r w:rsidRPr="005D4222">
        <w:rPr>
          <w:b/>
        </w:rPr>
        <w:t xml:space="preserve"> HEDIS measures may </w:t>
      </w:r>
      <w:r w:rsidRPr="005D4222">
        <w:rPr>
          <w:b/>
          <w:i/>
        </w:rPr>
        <w:t>not</w:t>
      </w:r>
      <w:r w:rsidRPr="005D4222">
        <w:rPr>
          <w:b/>
        </w:rPr>
        <w:t xml:space="preserve"> be used for HEDIS reporting and comparison. Additionally, any HEDIS measure</w:t>
      </w:r>
      <w:r w:rsidRPr="005D4222" w:rsidDel="002915EB">
        <w:rPr>
          <w:b/>
        </w:rPr>
        <w:t xml:space="preserve"> </w:t>
      </w:r>
      <w:r w:rsidRPr="005D4222">
        <w:rPr>
          <w:b/>
        </w:rPr>
        <w:t>rates, including those from adjusted HEDIS measures, may not be reported or displayed externally without first obtaining an appropriate license with, or permission from, NCQA.</w:t>
      </w:r>
    </w:p>
    <w:p w14:paraId="44BEDBA9" w14:textId="77777777" w:rsidR="006C3E10" w:rsidRPr="005D4222" w:rsidRDefault="006C3E10" w:rsidP="006C3E10">
      <w:pPr>
        <w:pStyle w:val="Body"/>
      </w:pPr>
      <w:r w:rsidRPr="005D4222">
        <w:t xml:space="preserve">Further, </w:t>
      </w:r>
      <w:bookmarkStart w:id="262" w:name="_Hlk2090718"/>
      <w:r w:rsidRPr="005D4222">
        <w:t>the Rules ensure that adjusted measures and resulting rates can maintain the HEDIS name:</w:t>
      </w:r>
    </w:p>
    <w:p w14:paraId="68FDB484" w14:textId="77777777" w:rsidR="006C3E10" w:rsidRPr="005D4222" w:rsidRDefault="006C3E10" w:rsidP="006C3E10">
      <w:pPr>
        <w:pStyle w:val="Bullet"/>
      </w:pPr>
      <w:r w:rsidRPr="005D4222">
        <w:t xml:space="preserve">All HEDIS measures adjusted according to the Rules should be referred to as </w:t>
      </w:r>
      <w:r w:rsidRPr="005D4222">
        <w:rPr>
          <w:b/>
          <w:bCs/>
        </w:rPr>
        <w:t>“Adjusted HEDIS measures.”</w:t>
      </w:r>
    </w:p>
    <w:p w14:paraId="680308CA" w14:textId="77777777" w:rsidR="006C3E10" w:rsidRPr="005D4222" w:rsidRDefault="006C3E10" w:rsidP="006C3E10">
      <w:pPr>
        <w:pStyle w:val="Bullet"/>
        <w:rPr>
          <w:rFonts w:eastAsia="Arial" w:cs="Arial"/>
          <w:szCs w:val="21"/>
        </w:rPr>
      </w:pPr>
      <w:r w:rsidRPr="005D4222">
        <w:t xml:space="preserve">A calculated measure result rate from a HEDIS measure that has not been certified via NCQA’s Measure Certification Program, and is based on </w:t>
      </w:r>
      <w:r w:rsidRPr="005D4222">
        <w:rPr>
          <w:i/>
          <w:iCs/>
        </w:rPr>
        <w:t>adjusted</w:t>
      </w:r>
      <w:r w:rsidRPr="005D4222">
        <w:t xml:space="preserve"> HEDIS specifications, may not be called an </w:t>
      </w:r>
      <w:r w:rsidRPr="005D4222">
        <w:rPr>
          <w:b/>
          <w:bCs/>
        </w:rPr>
        <w:t>“Adjusted HEDIS rate”</w:t>
      </w:r>
      <w:r w:rsidRPr="005D4222">
        <w:t xml:space="preserve"> until it is audited and designated reportable by an NCQA-Certified HEDIS Compliance Auditor. Until such time, such measure rates shall be designated or referred </w:t>
      </w:r>
      <w:r w:rsidRPr="005D4222">
        <w:br/>
        <w:t xml:space="preserve">to as </w:t>
      </w:r>
      <w:r w:rsidRPr="005D4222">
        <w:rPr>
          <w:b/>
          <w:bCs/>
        </w:rPr>
        <w:t>“Adjusted, Uncertified, Unaudited HEDIS rates”</w:t>
      </w:r>
      <w:r w:rsidRPr="005D4222">
        <w:t xml:space="preserve"> and may only be used for internal, </w:t>
      </w:r>
      <w:r w:rsidRPr="005D4222">
        <w:br/>
      </w:r>
      <w:r w:rsidRPr="005D4222">
        <w:lastRenderedPageBreak/>
        <w:t>quality improvement purposes (e.g., trend analysis) and no incentive payments may be made on such rates.</w:t>
      </w:r>
    </w:p>
    <w:p w14:paraId="5775093E" w14:textId="77777777" w:rsidR="006C3E10" w:rsidRPr="005D4222" w:rsidRDefault="006C3E10" w:rsidP="006C3E10">
      <w:pPr>
        <w:pStyle w:val="Bullet"/>
      </w:pPr>
      <w:r w:rsidRPr="005D4222">
        <w:t xml:space="preserve">A calculated measure rate from a HEDIS measure that has been certified via NCQA’s Measure Certification Program, and is based on </w:t>
      </w:r>
      <w:r w:rsidRPr="005D4222">
        <w:rPr>
          <w:i/>
          <w:iCs/>
        </w:rPr>
        <w:t>adjusted</w:t>
      </w:r>
      <w:r w:rsidRPr="005D4222">
        <w:t xml:space="preserve"> HEDIS specifications, may not be called an </w:t>
      </w:r>
      <w:r w:rsidRPr="005D4222">
        <w:rPr>
          <w:b/>
          <w:bCs/>
        </w:rPr>
        <w:t>“Adjusted HEDIS rate”</w:t>
      </w:r>
      <w:r w:rsidRPr="005D4222">
        <w:t xml:space="preserve"> until it is audited and designated reportable by an NCQA-Certified HEDIS Compliance Auditor. Until such time, applicable measure rates shall be designated or referred to as </w:t>
      </w:r>
      <w:r w:rsidRPr="005D4222">
        <w:rPr>
          <w:b/>
          <w:bCs/>
        </w:rPr>
        <w:t>“Adjusted, Unaudited HEDIS rates.”</w:t>
      </w:r>
      <w:r w:rsidRPr="005D4222">
        <w:t xml:space="preserve"> </w:t>
      </w:r>
    </w:p>
    <w:p w14:paraId="3FF083E3" w14:textId="77777777" w:rsidR="006C3E10" w:rsidRPr="005D4222" w:rsidRDefault="006C3E10" w:rsidP="00660B72">
      <w:pPr>
        <w:pStyle w:val="StdHead"/>
      </w:pPr>
      <w:bookmarkStart w:id="263" w:name="_Toc74747875"/>
      <w:bookmarkStart w:id="264" w:name="_Toc171402964"/>
      <w:bookmarkStart w:id="265" w:name="_Toc201813384"/>
      <w:bookmarkEnd w:id="262"/>
      <w:r w:rsidRPr="005D4222">
        <w:t>Considerations and Guidelines for the Rules for Allowable Adjustments of HEDIS</w:t>
      </w:r>
      <w:bookmarkEnd w:id="263"/>
      <w:bookmarkEnd w:id="264"/>
      <w:bookmarkEnd w:id="265"/>
    </w:p>
    <w:p w14:paraId="090078AE" w14:textId="77777777" w:rsidR="006C3E10" w:rsidRPr="005D4222" w:rsidRDefault="006C3E10" w:rsidP="006C3E10">
      <w:pPr>
        <w:pStyle w:val="Body"/>
      </w:pPr>
      <w:r w:rsidRPr="005D4222">
        <w:t>Organizations must consider all HEDIS General Guidelines and the specific guidelines below when using the Rules. The following are guidelines about measure criteria that may be adjusted; however, each measure that is allowed to be adjusted must be considered individually with respect to national clinical guidelines.</w:t>
      </w:r>
    </w:p>
    <w:p w14:paraId="72225D2F" w14:textId="77777777" w:rsidR="006C3E10" w:rsidRPr="005D4222" w:rsidRDefault="006C3E10" w:rsidP="00271FB5">
      <w:pPr>
        <w:pStyle w:val="SubHeadNoTOC"/>
        <w:spacing w:before="240"/>
      </w:pPr>
      <w:r w:rsidRPr="005D4222">
        <w:t>1. Allowable Adjustment Measure Structure</w:t>
      </w:r>
    </w:p>
    <w:p w14:paraId="2B5DDA33" w14:textId="77777777" w:rsidR="006C3E10" w:rsidRPr="005D4222" w:rsidRDefault="006C3E10" w:rsidP="006C3E10">
      <w:pPr>
        <w:pStyle w:val="Body"/>
      </w:pPr>
      <w:r w:rsidRPr="005D4222">
        <w:t>The Rules for Allowable Adjustments of HEDIS tables in applicable measures consist of both clinical and nonclinical components:</w:t>
      </w:r>
    </w:p>
    <w:p w14:paraId="4A888F66" w14:textId="77777777" w:rsidR="006C3E10" w:rsidRPr="005D4222" w:rsidRDefault="006C3E10" w:rsidP="006C3E10">
      <w:pPr>
        <w:pStyle w:val="Body"/>
        <w:spacing w:before="120"/>
        <w:ind w:left="648" w:hanging="288"/>
        <w:rPr>
          <w:i/>
          <w:iCs/>
        </w:rPr>
      </w:pPr>
      <w:r w:rsidRPr="005D4222">
        <w:t>1.</w:t>
      </w:r>
      <w:r w:rsidRPr="005D4222">
        <w:tab/>
      </w:r>
      <w:r w:rsidRPr="005D4222">
        <w:rPr>
          <w:i/>
          <w:iCs/>
        </w:rPr>
        <w:t>Nonclinical components</w:t>
      </w:r>
    </w:p>
    <w:p w14:paraId="73F210B9" w14:textId="16A8D0CD" w:rsidR="006C3E10" w:rsidRPr="005D4222" w:rsidRDefault="006C3E10" w:rsidP="006C3E10">
      <w:pPr>
        <w:pStyle w:val="Bullet"/>
        <w:ind w:left="864"/>
      </w:pPr>
      <w:r w:rsidRPr="005D4222">
        <w:t xml:space="preserve">Nonclinical </w:t>
      </w:r>
      <w:r w:rsidR="009120A0" w:rsidRPr="005D4222">
        <w:t>initial</w:t>
      </w:r>
      <w:r w:rsidRPr="005D4222" w:rsidDel="003272E9">
        <w:t xml:space="preserve"> population</w:t>
      </w:r>
      <w:r w:rsidRPr="005D4222">
        <w:t xml:space="preserve"> criteria:</w:t>
      </w:r>
    </w:p>
    <w:p w14:paraId="28786CCA" w14:textId="77777777" w:rsidR="006C3E10" w:rsidRPr="005D4222" w:rsidRDefault="006C3E10" w:rsidP="009C00B1">
      <w:pPr>
        <w:pStyle w:val="Dash"/>
        <w:ind w:left="1080"/>
      </w:pPr>
      <w:r w:rsidRPr="005D4222">
        <w:t>Product lines.</w:t>
      </w:r>
    </w:p>
    <w:p w14:paraId="02F0ADAC" w14:textId="7060B67D" w:rsidR="006C3E10" w:rsidRPr="005D4222" w:rsidRDefault="006760B0" w:rsidP="009C00B1">
      <w:pPr>
        <w:pStyle w:val="Dash"/>
        <w:ind w:left="1080"/>
      </w:pPr>
      <w:r w:rsidRPr="005D4222">
        <w:t>Attribution basis (benefits, c</w:t>
      </w:r>
      <w:r w:rsidR="006C3E10" w:rsidRPr="005D4222">
        <w:t>ontinuous enrollment</w:t>
      </w:r>
      <w:r w:rsidRPr="005D4222">
        <w:t>, allowable gaps)</w:t>
      </w:r>
      <w:r w:rsidR="006C3E10" w:rsidRPr="005D4222">
        <w:t>.</w:t>
      </w:r>
    </w:p>
    <w:p w14:paraId="66434878" w14:textId="77777777" w:rsidR="006C3E10" w:rsidRPr="005D4222" w:rsidRDefault="006C3E10" w:rsidP="006C3E10">
      <w:pPr>
        <w:pStyle w:val="Body"/>
        <w:spacing w:before="120"/>
        <w:ind w:left="648" w:hanging="288"/>
        <w:rPr>
          <w:i/>
          <w:iCs/>
        </w:rPr>
      </w:pPr>
      <w:r w:rsidRPr="005D4222">
        <w:t>2.</w:t>
      </w:r>
      <w:r w:rsidRPr="005D4222">
        <w:tab/>
      </w:r>
      <w:r w:rsidRPr="005D4222">
        <w:rPr>
          <w:i/>
          <w:iCs/>
        </w:rPr>
        <w:t>Clinical components</w:t>
      </w:r>
    </w:p>
    <w:p w14:paraId="3E400B26" w14:textId="769CB6EF" w:rsidR="006C3E10" w:rsidRPr="005D4222" w:rsidRDefault="006C3E10" w:rsidP="006C3E10">
      <w:pPr>
        <w:pStyle w:val="Bullet"/>
        <w:ind w:left="864"/>
      </w:pPr>
      <w:r w:rsidRPr="005D4222">
        <w:t>Clinical criteria:</w:t>
      </w:r>
    </w:p>
    <w:p w14:paraId="4B01C265" w14:textId="49160E5F" w:rsidR="00A92099" w:rsidRPr="005D4222" w:rsidRDefault="00A92099" w:rsidP="009C00B1">
      <w:pPr>
        <w:pStyle w:val="Dash"/>
        <w:ind w:left="1080"/>
      </w:pPr>
      <w:r w:rsidRPr="005D4222">
        <w:t xml:space="preserve">Initial </w:t>
      </w:r>
      <w:r w:rsidR="0016622F" w:rsidRPr="005D4222">
        <w:t>p</w:t>
      </w:r>
      <w:r w:rsidRPr="005D4222">
        <w:t xml:space="preserve">opulation event criteria. </w:t>
      </w:r>
    </w:p>
    <w:p w14:paraId="11BDD36E" w14:textId="0969A0CB" w:rsidR="0035710D" w:rsidRPr="005D4222" w:rsidRDefault="0035710D" w:rsidP="009C00B1">
      <w:pPr>
        <w:pStyle w:val="Dash"/>
        <w:ind w:left="1080"/>
      </w:pPr>
      <w:r w:rsidRPr="005D4222">
        <w:t>Ages.</w:t>
      </w:r>
    </w:p>
    <w:p w14:paraId="39F87C55" w14:textId="795B2BF7" w:rsidR="006C3E10" w:rsidRPr="005D4222" w:rsidRDefault="0035710D" w:rsidP="009C00B1">
      <w:pPr>
        <w:pStyle w:val="Dash"/>
        <w:ind w:left="1080"/>
      </w:pPr>
      <w:r w:rsidRPr="005D4222">
        <w:t>Denominator e</w:t>
      </w:r>
      <w:r w:rsidR="006C3E10" w:rsidRPr="005D4222">
        <w:t>xclusion criteria.</w:t>
      </w:r>
    </w:p>
    <w:p w14:paraId="0CC6A651" w14:textId="77777777" w:rsidR="006C3E10" w:rsidRPr="005D4222" w:rsidRDefault="006C3E10" w:rsidP="009C00B1">
      <w:pPr>
        <w:pStyle w:val="Dash"/>
        <w:ind w:left="1080"/>
      </w:pPr>
      <w:r w:rsidRPr="005D4222">
        <w:t>Numerator criteria.</w:t>
      </w:r>
    </w:p>
    <w:p w14:paraId="3BE7384F" w14:textId="77777777" w:rsidR="006C3E10" w:rsidRPr="005D4222" w:rsidRDefault="006C3E10" w:rsidP="009C00B1">
      <w:pPr>
        <w:pStyle w:val="Dash"/>
        <w:ind w:left="1080"/>
      </w:pPr>
      <w:r w:rsidRPr="005D4222">
        <w:t>Value sets.</w:t>
      </w:r>
    </w:p>
    <w:p w14:paraId="30680218" w14:textId="77777777" w:rsidR="006C3E10" w:rsidRPr="005D4222" w:rsidRDefault="006C3E10" w:rsidP="009C00B1">
      <w:pPr>
        <w:pStyle w:val="Dash"/>
        <w:ind w:left="1080"/>
      </w:pPr>
      <w:r w:rsidRPr="005D4222">
        <w:t>Medication lists.</w:t>
      </w:r>
    </w:p>
    <w:p w14:paraId="5F65F937" w14:textId="1FD43FC3" w:rsidR="0059749B" w:rsidRPr="005D4222" w:rsidRDefault="0059749B" w:rsidP="009C00B1">
      <w:pPr>
        <w:pStyle w:val="Dash"/>
        <w:ind w:left="1080"/>
      </w:pPr>
      <w:r w:rsidRPr="005D4222">
        <w:t xml:space="preserve">Direct reference codes. </w:t>
      </w:r>
    </w:p>
    <w:p w14:paraId="212532EE" w14:textId="77777777" w:rsidR="006C3E10" w:rsidRPr="005D4222" w:rsidRDefault="006C3E10" w:rsidP="006C3E10">
      <w:pPr>
        <w:pStyle w:val="Body"/>
      </w:pPr>
      <w:r w:rsidRPr="005D4222">
        <w:t xml:space="preserve">Each measure in this volume that is allowed to be adjusted has a section titled </w:t>
      </w:r>
      <w:r w:rsidRPr="005D4222">
        <w:rPr>
          <w:i/>
          <w:iCs/>
        </w:rPr>
        <w:t>Rules for Allowable Adjustments of HEDIS,</w:t>
      </w:r>
      <w:r w:rsidRPr="005D4222">
        <w:t xml:space="preserve"> which includes a table that identifies components that may be adjusted without changing the measure’s intention or underlying clinical logic. </w:t>
      </w:r>
    </w:p>
    <w:p w14:paraId="2B1F90A1" w14:textId="77777777" w:rsidR="006C3E10" w:rsidRPr="005D4222" w:rsidRDefault="006C3E10" w:rsidP="006C3E10">
      <w:pPr>
        <w:pStyle w:val="SubHeadNoTOC"/>
      </w:pPr>
      <w:r w:rsidRPr="005D4222">
        <w:t>2. Non-Adjustable Measure Components Steps</w:t>
      </w:r>
    </w:p>
    <w:p w14:paraId="74FC44DB" w14:textId="77777777" w:rsidR="006C3E10" w:rsidRPr="005D4222" w:rsidRDefault="006C3E10" w:rsidP="006C3E10">
      <w:pPr>
        <w:pStyle w:val="Body"/>
      </w:pPr>
      <w:r w:rsidRPr="005D4222">
        <w:t>To protect the integrity of the measure and ensure alignment with clinical guidelines, the following components may not be changed:</w:t>
      </w:r>
    </w:p>
    <w:p w14:paraId="0CEA73A2" w14:textId="25A606F6" w:rsidR="006C3E10" w:rsidRPr="005D4222" w:rsidRDefault="006C3E10" w:rsidP="006C3E10">
      <w:pPr>
        <w:pStyle w:val="Bullet"/>
      </w:pPr>
      <w:r w:rsidRPr="005D4222">
        <w:rPr>
          <w:i/>
          <w:iCs/>
        </w:rPr>
        <w:t>Event:</w:t>
      </w:r>
      <w:r w:rsidRPr="005D4222">
        <w:t xml:space="preserve"> In determining the </w:t>
      </w:r>
      <w:r w:rsidR="00352AEA" w:rsidRPr="005D4222">
        <w:t>initial</w:t>
      </w:r>
      <w:r w:rsidR="00352AEA" w:rsidRPr="005D4222" w:rsidDel="003272E9">
        <w:t xml:space="preserve"> </w:t>
      </w:r>
      <w:r w:rsidRPr="005D4222" w:rsidDel="003272E9">
        <w:t>population,</w:t>
      </w:r>
      <w:r w:rsidRPr="005D4222">
        <w:t xml:space="preserve"> the clinical criteria (</w:t>
      </w:r>
      <w:r w:rsidR="0035710D" w:rsidRPr="005D4222">
        <w:t xml:space="preserve">ages, </w:t>
      </w:r>
      <w:r w:rsidRPr="005D4222">
        <w:t>value sets, medication lists [if applicable] and logic) may not be changed.</w:t>
      </w:r>
    </w:p>
    <w:p w14:paraId="1962BAE3" w14:textId="77777777" w:rsidR="006C3E10" w:rsidRPr="005D4222" w:rsidRDefault="006C3E10" w:rsidP="006C3E10">
      <w:pPr>
        <w:pStyle w:val="Bullet"/>
      </w:pPr>
      <w:r w:rsidRPr="005D4222">
        <w:rPr>
          <w:i/>
          <w:iCs/>
        </w:rPr>
        <w:t>Numerators:</w:t>
      </w:r>
      <w:r w:rsidRPr="005D4222">
        <w:t xml:space="preserve"> The value sets, medication lists (if applicable) and associated logic may not be changed. </w:t>
      </w:r>
    </w:p>
    <w:p w14:paraId="7BA8504E" w14:textId="46EBCCE3" w:rsidR="006C3E10" w:rsidRPr="005D4222" w:rsidRDefault="006C3E10" w:rsidP="006C3E10">
      <w:pPr>
        <w:pStyle w:val="Bullet"/>
      </w:pPr>
      <w:r w:rsidRPr="005D4222">
        <w:rPr>
          <w:i/>
          <w:iCs/>
        </w:rPr>
        <w:t>Hybrid Method:</w:t>
      </w:r>
      <w:r w:rsidRPr="005D4222">
        <w:t xml:space="preserve"> The Rules do not apply to the hybrid portion of the measure; only the administrative sections may be changed.</w:t>
      </w:r>
    </w:p>
    <w:p w14:paraId="031DC93C" w14:textId="30E0CF45" w:rsidR="006C3E10" w:rsidRPr="005D4222" w:rsidRDefault="006C3E10" w:rsidP="006C3E10">
      <w:pPr>
        <w:pStyle w:val="Note"/>
      </w:pPr>
      <w:r w:rsidRPr="005D4222">
        <w:rPr>
          <w:b/>
        </w:rPr>
        <w:lastRenderedPageBreak/>
        <w:t>Note:</w:t>
      </w:r>
      <w:r w:rsidRPr="005D4222">
        <w:t xml:space="preserve"> In general, organizations may not adjust any clinical logic to identify the </w:t>
      </w:r>
      <w:r w:rsidR="00582EFF" w:rsidRPr="005D4222">
        <w:t xml:space="preserve">initial </w:t>
      </w:r>
      <w:r w:rsidR="00243049" w:rsidRPr="005D4222">
        <w:t>population</w:t>
      </w:r>
      <w:r w:rsidR="00582EFF" w:rsidRPr="005D4222">
        <w:t xml:space="preserve"> </w:t>
      </w:r>
      <w:r w:rsidR="0039150A" w:rsidRPr="005D4222">
        <w:t xml:space="preserve">event </w:t>
      </w:r>
      <w:r w:rsidRPr="005D4222">
        <w:t>or the numerator; however, narrowing the population to a subset is acceptable. For example, organizations may choose to assess children with only one or two vaccines already administered, for the Childhood Immunization Status measure, or assess children at 1 year of age to determine if lead screening has been performed, for the Lead Screening in Children measure. Using the clinical criteria, but looking at an appropriate subset, is allowed.</w:t>
      </w:r>
    </w:p>
    <w:p w14:paraId="71F664AA" w14:textId="7F84B0FE" w:rsidR="006C3E10" w:rsidRPr="005D4222" w:rsidRDefault="007933E7" w:rsidP="006C3E10">
      <w:pPr>
        <w:pStyle w:val="SubHeadNoTOC"/>
      </w:pPr>
      <w:r w:rsidRPr="005D4222">
        <w:t>3</w:t>
      </w:r>
      <w:r w:rsidR="006C3E10" w:rsidRPr="005D4222">
        <w:t>. Exclusions</w:t>
      </w:r>
    </w:p>
    <w:p w14:paraId="1480B1B7" w14:textId="03951793" w:rsidR="006C3E10" w:rsidRPr="005D4222" w:rsidRDefault="00E06882" w:rsidP="006C3E10">
      <w:pPr>
        <w:pStyle w:val="Body"/>
      </w:pPr>
      <w:r w:rsidRPr="005D4222">
        <w:rPr>
          <w:i/>
        </w:rPr>
        <w:t xml:space="preserve">Denominator </w:t>
      </w:r>
      <w:r w:rsidR="006C3E10" w:rsidRPr="005D4222">
        <w:rPr>
          <w:i/>
        </w:rPr>
        <w:t>exclusions:</w:t>
      </w:r>
      <w:r w:rsidR="006C3E10" w:rsidRPr="005D4222">
        <w:t xml:space="preserve"> For measures with </w:t>
      </w:r>
      <w:r w:rsidRPr="005D4222">
        <w:t xml:space="preserve">denominator </w:t>
      </w:r>
      <w:r w:rsidR="006C3E10" w:rsidRPr="005D4222">
        <w:t xml:space="preserve">exclusions, exclusions must be applied as written as part of identifying the denominator. </w:t>
      </w:r>
    </w:p>
    <w:p w14:paraId="282E78F2" w14:textId="68EA3BDE" w:rsidR="006C3E10" w:rsidRPr="005D4222" w:rsidRDefault="006C3E10" w:rsidP="006C3E10">
      <w:pPr>
        <w:pStyle w:val="Body"/>
      </w:pPr>
      <w:r w:rsidRPr="005D4222">
        <w:rPr>
          <w:i/>
        </w:rPr>
        <w:t xml:space="preserve">Exclusions for hospice, </w:t>
      </w:r>
      <w:r w:rsidR="00361A8C" w:rsidRPr="005D4222">
        <w:rPr>
          <w:i/>
        </w:rPr>
        <w:t>death</w:t>
      </w:r>
      <w:r w:rsidRPr="005D4222">
        <w:rPr>
          <w:i/>
        </w:rPr>
        <w:t xml:space="preserve">, palliative care, I-SNP, LTI, advanced illness and/or frailty: </w:t>
      </w:r>
      <w:r w:rsidRPr="005D4222">
        <w:t>The palliative care, advanced illness, frailty and long-term nursing home residence exclusions are specified in HEDIS measures where the services being captured may not be of benefit for this population or may not be in line with patients’ goals of care. These exclusions may be removed, but organizations should first consider why they apply to HEDIS measures. If organizations choose to apply these exclusions, they must be applied as written in the specifications.</w:t>
      </w:r>
    </w:p>
    <w:p w14:paraId="19E2AFFC" w14:textId="2FB339BF" w:rsidR="006C3E10" w:rsidRPr="005D4222" w:rsidRDefault="006C3E10" w:rsidP="006C3E10">
      <w:pPr>
        <w:pStyle w:val="Note"/>
      </w:pPr>
      <w:r w:rsidRPr="005D4222">
        <w:rPr>
          <w:b/>
          <w:bCs/>
        </w:rPr>
        <w:t>Note:</w:t>
      </w:r>
      <w:r w:rsidRPr="005D4222">
        <w:t xml:space="preserve"> For Risk Adjusted Utilization measures, hospice, </w:t>
      </w:r>
      <w:r w:rsidR="00361A8C" w:rsidRPr="005D4222">
        <w:t>death</w:t>
      </w:r>
      <w:r w:rsidRPr="005D4222">
        <w:t xml:space="preserve">, palliative care, I-SNP, LTI, advanced illness and/or frailty exclusions (where applicable) must be applied to the Rules for Allowable Adjustments for Risk-Adjusted Measurement, but may be removed from the Rules for Allowable Adjustments for Observed Measurement for Risk Adjusted Utilization measures. </w:t>
      </w:r>
    </w:p>
    <w:p w14:paraId="288628BF" w14:textId="17498A8D" w:rsidR="006C3E10" w:rsidRPr="005D4222" w:rsidRDefault="007933E7" w:rsidP="006C3E10">
      <w:pPr>
        <w:pStyle w:val="SubHeadNoTOC"/>
      </w:pPr>
      <w:r w:rsidRPr="005D4222">
        <w:t>4</w:t>
      </w:r>
      <w:r w:rsidR="006C3E10" w:rsidRPr="005D4222">
        <w:t>. Age Adjustments</w:t>
      </w:r>
    </w:p>
    <w:p w14:paraId="3DD5E4D4" w14:textId="334D98F4" w:rsidR="006C3E10" w:rsidRPr="005D4222" w:rsidRDefault="006C3E10" w:rsidP="006C3E10">
      <w:pPr>
        <w:pStyle w:val="Body"/>
      </w:pPr>
      <w:r w:rsidRPr="005D4222">
        <w:t xml:space="preserve">For the majority of HEDIS measures, NCQA specifies age ranges based on current clinical guidelines and recommendations for the specific treatment or condition. These recommendations often align with U.S. Preventive Services Task Force (USPSTF) Preventive Care Recommendations or other guidelines. </w:t>
      </w:r>
    </w:p>
    <w:p w14:paraId="51B870C2" w14:textId="1EC8CED6" w:rsidR="006C3E10" w:rsidRPr="005D4222" w:rsidRDefault="006C3E10" w:rsidP="006C3E10">
      <w:pPr>
        <w:pStyle w:val="Body"/>
      </w:pPr>
      <w:r w:rsidRPr="005D4222">
        <w:t xml:space="preserve">Determining age ranges for any measure is based on the best available clinical evidence and is intended to promote standards of care and accuracy in interpreting evidence. For allowed adjustments, organizations may change determination dates (e.g., age 18 by </w:t>
      </w:r>
      <w:r w:rsidR="009F496F" w:rsidRPr="005D4222">
        <w:t>the last day of the</w:t>
      </w:r>
      <w:r w:rsidRPr="005D4222">
        <w:t xml:space="preserve"> measurement </w:t>
      </w:r>
      <w:r w:rsidR="00C53CB3" w:rsidRPr="005D4222">
        <w:t>period</w:t>
      </w:r>
      <w:r w:rsidRPr="005D4222">
        <w:t xml:space="preserve">); but to maintain alignment with clinical guidelines and the approved measure specifications, adjustments to age ranges outside of those stated in the HEDIS specifications may be made only if specified in a measure’s Rules for Allowable Adjustments. </w:t>
      </w:r>
    </w:p>
    <w:p w14:paraId="2BCA90DA" w14:textId="77777777" w:rsidR="006C3E10" w:rsidRPr="005D4222" w:rsidRDefault="006C3E10" w:rsidP="006C3E10">
      <w:pPr>
        <w:pStyle w:val="Body"/>
      </w:pPr>
      <w:r w:rsidRPr="005D4222">
        <w:t xml:space="preserve">An organization may choose different age groups within a specified age range or remove the age stratification within a measure but should not adjust the actual age range limits unless otherwise specified. </w:t>
      </w:r>
    </w:p>
    <w:p w14:paraId="1523D4E3" w14:textId="77777777" w:rsidR="006C3E10" w:rsidRPr="005D4222" w:rsidRDefault="006C3E10" w:rsidP="006C3E10">
      <w:pPr>
        <w:pStyle w:val="Body"/>
      </w:pPr>
      <w:r w:rsidRPr="005D4222">
        <w:t>For measures that include medications, the organization should account for FDA labels when considering an age adjustment.</w:t>
      </w:r>
    </w:p>
    <w:p w14:paraId="1AAACC34" w14:textId="77777777" w:rsidR="006C3E10" w:rsidRPr="005D4222" w:rsidRDefault="006C3E10" w:rsidP="006C3E10">
      <w:pPr>
        <w:pStyle w:val="Body"/>
      </w:pPr>
      <w:r w:rsidRPr="005D4222">
        <w:t xml:space="preserve">When changing a measurement period, an organization may also affect the age determination date (e.g., in Appropriate Testing for Pharyngitis, the age determination day is July 1). Changing the measurement period or its determination date can affect other date-dependent events. Organizations should account for the impact of any change. </w:t>
      </w:r>
    </w:p>
    <w:p w14:paraId="3CEDA5D1" w14:textId="1857DED7" w:rsidR="006C3E10" w:rsidRPr="005D4222" w:rsidRDefault="007933E7" w:rsidP="006C3E10">
      <w:pPr>
        <w:pStyle w:val="SubHeadNoTOC"/>
      </w:pPr>
      <w:r w:rsidRPr="005D4222">
        <w:t>5</w:t>
      </w:r>
      <w:r w:rsidR="006C3E10" w:rsidRPr="005D4222">
        <w:t xml:space="preserve">. Measurement Period Adjustments </w:t>
      </w:r>
    </w:p>
    <w:p w14:paraId="03FF144D" w14:textId="65B33E2C" w:rsidR="006C3E10" w:rsidRPr="005D4222" w:rsidRDefault="006C3E10" w:rsidP="006C3E10">
      <w:pPr>
        <w:pStyle w:val="Body"/>
      </w:pPr>
      <w:r w:rsidRPr="005D4222">
        <w:t xml:space="preserve">HEDIS recognizes the need to identify and address care gaps, and allows adjustments to the measurement period; however, changes to this parameter may affect the logic in the </w:t>
      </w:r>
      <w:r w:rsidR="007D4B79" w:rsidRPr="005D4222">
        <w:t>events/diagnoses</w:t>
      </w:r>
      <w:r w:rsidRPr="005D4222">
        <w:t xml:space="preserve"> determination and the numerator events. Changes must consider relative timing. </w:t>
      </w:r>
    </w:p>
    <w:p w14:paraId="6BBA8B7D" w14:textId="77777777" w:rsidR="006C3E10" w:rsidRPr="005D4222" w:rsidRDefault="006C3E10" w:rsidP="006C3E10">
      <w:pPr>
        <w:pStyle w:val="Body"/>
        <w:rPr>
          <w:i/>
          <w:iCs/>
        </w:rPr>
      </w:pPr>
      <w:r w:rsidRPr="005D4222">
        <w:lastRenderedPageBreak/>
        <w:t>If organizations make changes to the measurement period, results should be used with caution.</w:t>
      </w:r>
      <w:r w:rsidRPr="005D4222">
        <w:rPr>
          <w:rStyle w:val="CommentReference"/>
        </w:rPr>
        <w:t xml:space="preserve"> </w:t>
      </w:r>
      <w:r w:rsidRPr="005D4222">
        <w:t xml:space="preserve">For Risk Adjusted Utilization measures, organizations may only change the measurement period and associated classification periods by 1 year. </w:t>
      </w:r>
    </w:p>
    <w:p w14:paraId="6E86191E" w14:textId="33B7EA8D" w:rsidR="006C3E10" w:rsidRPr="005D4222" w:rsidRDefault="007933E7" w:rsidP="006C3E10">
      <w:pPr>
        <w:pStyle w:val="SubHeadNoTOC"/>
      </w:pPr>
      <w:r w:rsidRPr="005D4222">
        <w:t>6</w:t>
      </w:r>
      <w:r w:rsidR="006C3E10" w:rsidRPr="005D4222">
        <w:t>. Timing Relationships</w:t>
      </w:r>
    </w:p>
    <w:p w14:paraId="297E8484" w14:textId="77777777" w:rsidR="006C3E10" w:rsidRPr="005D4222" w:rsidRDefault="006C3E10" w:rsidP="006C3E10">
      <w:pPr>
        <w:pStyle w:val="Body"/>
      </w:pPr>
      <w:r w:rsidRPr="005D4222">
        <w:t xml:space="preserve">Measures that use events with relative timing (e.g., events tied to a specific episode of care) include specific guidance for allowed changes. Some measures allow adjustments to measure elements, but the order and relationship of dependent events may not be modified (e.g., the duration of a negative medication history after an episode). Changing the relationship of events would change the intent of the measure and is not allowed. </w:t>
      </w:r>
    </w:p>
    <w:p w14:paraId="75AE9617" w14:textId="34109B4D" w:rsidR="006C3E10" w:rsidRPr="005D4222" w:rsidRDefault="007933E7" w:rsidP="006C3E10">
      <w:pPr>
        <w:pStyle w:val="SubHeadNoTOC"/>
      </w:pPr>
      <w:r w:rsidRPr="005D4222">
        <w:t>7</w:t>
      </w:r>
      <w:r w:rsidR="006C3E10" w:rsidRPr="005D4222">
        <w:t>. Measures With Multiple Rates</w:t>
      </w:r>
    </w:p>
    <w:p w14:paraId="45C0DDE7" w14:textId="77777777" w:rsidR="006C3E10" w:rsidRPr="005D4222" w:rsidRDefault="006C3E10" w:rsidP="006C3E10">
      <w:pPr>
        <w:pStyle w:val="Body"/>
      </w:pPr>
      <w:r w:rsidRPr="005D4222">
        <w:t>For measures with multiple rates (indicators), organizations may calculate a single rate or a combination of rates. For example, an organization may choose to calculate only the BMI Percentile rate within the Weight Assessment and Counseling for Nutrition and Physical Activity for Children/Adolescents measure.</w:t>
      </w:r>
    </w:p>
    <w:p w14:paraId="130DAFFA" w14:textId="77777777" w:rsidR="006C3E10" w:rsidRPr="005D4222" w:rsidRDefault="006C3E10" w:rsidP="006C3E10">
      <w:pPr>
        <w:pStyle w:val="Note"/>
      </w:pPr>
      <w:r w:rsidRPr="005D4222">
        <w:rPr>
          <w:b/>
          <w:bCs/>
        </w:rPr>
        <w:t>Note:</w:t>
      </w:r>
      <w:r w:rsidRPr="005D4222">
        <w:rPr>
          <w:b/>
        </w:rPr>
        <w:t xml:space="preserve"> </w:t>
      </w:r>
      <w:r w:rsidRPr="005D4222">
        <w:t>Organizations should consider whether the rates in a measure are dependent on each other. For example, for the Statin Therapy for Patients With Cardiovascular Disease measure, the denominator for the Rate 2—Statin Adherence 80% indicator relies on the numerator for Rate 1—Received Statin Therapy indicator. These indicators should not be calculated separately.</w:t>
      </w:r>
    </w:p>
    <w:p w14:paraId="0F24C11F" w14:textId="0D7CCAF9" w:rsidR="006C3E10" w:rsidRPr="005D4222" w:rsidRDefault="007933E7" w:rsidP="006C3E10">
      <w:pPr>
        <w:pStyle w:val="SubHeadNoTOC"/>
      </w:pPr>
      <w:r w:rsidRPr="005D4222">
        <w:t>8</w:t>
      </w:r>
      <w:r w:rsidR="006C3E10" w:rsidRPr="005D4222">
        <w:t>. Denominator Size</w:t>
      </w:r>
    </w:p>
    <w:p w14:paraId="101177B0" w14:textId="77777777" w:rsidR="006C3E10" w:rsidRPr="005D4222" w:rsidRDefault="006C3E10" w:rsidP="006C3E10">
      <w:pPr>
        <w:pStyle w:val="Body"/>
      </w:pPr>
      <w:r w:rsidRPr="005D4222">
        <w:t>Organizations should assess reliability when the denominator is less than 30 for all measures except Risk Adjusted Utilization measures. For Risk-Adjusted Utilization measures, organizations should assess reliability when the denominator is less than 150</w:t>
      </w:r>
      <w:r w:rsidRPr="005D4222" w:rsidDel="00A262CB">
        <w:t>.</w:t>
      </w:r>
    </w:p>
    <w:p w14:paraId="092961F9" w14:textId="7B653925" w:rsidR="006C3E10" w:rsidRPr="005D4222" w:rsidRDefault="007933E7" w:rsidP="00834ECA">
      <w:pPr>
        <w:pStyle w:val="SubHeadNoTOC"/>
        <w:spacing w:before="240"/>
      </w:pPr>
      <w:r w:rsidRPr="005D4222">
        <w:t>9</w:t>
      </w:r>
      <w:r w:rsidR="006C3E10" w:rsidRPr="005D4222">
        <w:t>. Measure Trending</w:t>
      </w:r>
    </w:p>
    <w:p w14:paraId="13A0486E" w14:textId="6EDF1A23" w:rsidR="006C3E10" w:rsidRPr="005D4222" w:rsidRDefault="006C3E10" w:rsidP="006C3E10">
      <w:pPr>
        <w:pStyle w:val="Body"/>
      </w:pPr>
      <w:r w:rsidRPr="005D4222">
        <w:t xml:space="preserve">NCQA encourages consistent adjustments and assessments of measures to trend performance over time. Organizations that use </w:t>
      </w:r>
      <w:r w:rsidR="00E07D55" w:rsidRPr="005D4222">
        <w:t>a</w:t>
      </w:r>
      <w:r w:rsidRPr="005D4222">
        <w:t xml:space="preserve">llowable </w:t>
      </w:r>
      <w:r w:rsidR="00E07D55" w:rsidRPr="005D4222">
        <w:t>a</w:t>
      </w:r>
      <w:r w:rsidRPr="005D4222">
        <w:t xml:space="preserve">djustments should use caution when trending across multiple years. </w:t>
      </w:r>
    </w:p>
    <w:p w14:paraId="07075591" w14:textId="250ECC29" w:rsidR="006C3E10" w:rsidRPr="005D4222" w:rsidRDefault="007933E7" w:rsidP="00834ECA">
      <w:pPr>
        <w:pStyle w:val="SubHeadNoTOC"/>
        <w:spacing w:before="240"/>
      </w:pPr>
      <w:r w:rsidRPr="005D4222">
        <w:t>10</w:t>
      </w:r>
      <w:r w:rsidR="006C3E10" w:rsidRPr="005D4222">
        <w:t>. Measures With Special Considerations for Allowable Adjustments</w:t>
      </w:r>
    </w:p>
    <w:p w14:paraId="3F6A5898" w14:textId="77777777" w:rsidR="006C3E10" w:rsidRPr="005D4222" w:rsidRDefault="006C3E10" w:rsidP="006C3E10">
      <w:pPr>
        <w:pStyle w:val="Body"/>
      </w:pPr>
      <w:r w:rsidRPr="005D4222">
        <w:t>The Rules for Allowable Adjustments do not apply and were not added to:</w:t>
      </w:r>
    </w:p>
    <w:p w14:paraId="6DD58C8B" w14:textId="77777777" w:rsidR="006C3E10" w:rsidRPr="005D4222" w:rsidRDefault="006C3E10" w:rsidP="006C3E10">
      <w:pPr>
        <w:pStyle w:val="Bullet"/>
      </w:pPr>
      <w:r w:rsidRPr="005D4222">
        <w:t>Survey measures.</w:t>
      </w:r>
    </w:p>
    <w:p w14:paraId="347D9BB8" w14:textId="77777777" w:rsidR="006C3E10" w:rsidRPr="005D4222" w:rsidRDefault="006C3E10" w:rsidP="006C3E10">
      <w:pPr>
        <w:pStyle w:val="Bullet"/>
      </w:pPr>
      <w:r w:rsidRPr="005D4222">
        <w:t>Health Plan Descriptive Information measures.</w:t>
      </w:r>
    </w:p>
    <w:p w14:paraId="55E52002" w14:textId="773EC519" w:rsidR="006C3E10" w:rsidRPr="005D4222" w:rsidRDefault="007933E7" w:rsidP="00834ECA">
      <w:pPr>
        <w:pStyle w:val="SubHeadNoTOC"/>
        <w:spacing w:before="240"/>
      </w:pPr>
      <w:r w:rsidRPr="005D4222">
        <w:t>11</w:t>
      </w:r>
      <w:r w:rsidR="006C3E10" w:rsidRPr="005D4222">
        <w:t>. Attribution Methods</w:t>
      </w:r>
    </w:p>
    <w:p w14:paraId="210FF9FA" w14:textId="77777777" w:rsidR="00F942A3" w:rsidRPr="005D4222" w:rsidRDefault="006C3E10" w:rsidP="00834ECA">
      <w:pPr>
        <w:pStyle w:val="Body"/>
        <w:widowControl w:val="0"/>
        <w:sectPr w:rsidR="00F942A3" w:rsidRPr="005D4222" w:rsidSect="0074514A">
          <w:headerReference w:type="even" r:id="rId78"/>
          <w:headerReference w:type="default" r:id="rId79"/>
          <w:footerReference w:type="default" r:id="rId80"/>
          <w:type w:val="nextColumn"/>
          <w:pgSz w:w="12240" w:h="15840" w:code="1"/>
          <w:pgMar w:top="1080" w:right="1080" w:bottom="1080" w:left="1440" w:header="720" w:footer="720" w:gutter="0"/>
          <w:cols w:space="720"/>
          <w:docGrid w:linePitch="360"/>
        </w:sectPr>
      </w:pPr>
      <w:r w:rsidRPr="005D4222">
        <w:t xml:space="preserve">NCQA does not specify, test or approve any attribution methods at this time. The organization defines how it attributes patient services to clinicians, practices or medical groups, including for PCPs and specialists. Organizations often use different methods for attributing care to clinicians for cost, resource use or utilization analyses and for quality analyses. For quality of care attribution, methods may differ between PCPs and specialists. </w:t>
      </w:r>
    </w:p>
    <w:p w14:paraId="61E5E024" w14:textId="7B9C276C" w:rsidR="000A5874" w:rsidRPr="005D4222" w:rsidRDefault="000A5874" w:rsidP="000A5874">
      <w:pPr>
        <w:pStyle w:val="Breakpage"/>
      </w:pPr>
      <w:bookmarkStart w:id="266" w:name="_Toc201813385"/>
      <w:r w:rsidRPr="005D4222">
        <w:lastRenderedPageBreak/>
        <w:t>Effectiveness of Care</w:t>
      </w:r>
      <w:bookmarkEnd w:id="266"/>
      <w:r w:rsidR="00E87B8E">
        <w:t xml:space="preserve"> Measures</w:t>
      </w:r>
    </w:p>
    <w:p w14:paraId="0B3A65D4" w14:textId="77777777" w:rsidR="000A5874" w:rsidRPr="005D4222" w:rsidRDefault="000A5874" w:rsidP="000A5874">
      <w:pPr>
        <w:pStyle w:val="Breakpage"/>
      </w:pPr>
    </w:p>
    <w:p w14:paraId="5B062984" w14:textId="3B66AA6C" w:rsidR="000A5874" w:rsidRPr="005D4222" w:rsidRDefault="000A5874" w:rsidP="00966DCB">
      <w:pPr>
        <w:pStyle w:val="BreakPage2"/>
        <w:rPr>
          <w:i w:val="0"/>
          <w:iCs w:val="0"/>
        </w:rPr>
      </w:pPr>
      <w:bookmarkStart w:id="267" w:name="_Toc201813386"/>
      <w:r w:rsidRPr="005D4222">
        <w:t>Prevention and Screening</w:t>
      </w:r>
      <w:bookmarkEnd w:id="267"/>
    </w:p>
    <w:p w14:paraId="1D67567B" w14:textId="77777777" w:rsidR="00A86F26" w:rsidRPr="005D4222" w:rsidRDefault="00A86F26" w:rsidP="00966DCB">
      <w:pPr>
        <w:pStyle w:val="BreakPage2"/>
        <w:sectPr w:rsidR="00A86F26" w:rsidRPr="005D4222" w:rsidSect="0074514A">
          <w:headerReference w:type="default" r:id="rId81"/>
          <w:footerReference w:type="default" r:id="rId82"/>
          <w:type w:val="nextColumn"/>
          <w:pgSz w:w="12240" w:h="15840" w:code="1"/>
          <w:pgMar w:top="1080" w:right="1080" w:bottom="1080" w:left="1440" w:header="720" w:footer="720" w:gutter="0"/>
          <w:cols w:space="720"/>
          <w:docGrid w:linePitch="360"/>
        </w:sectPr>
      </w:pPr>
    </w:p>
    <w:p w14:paraId="3546A8E4" w14:textId="38D114FE" w:rsidR="00684087" w:rsidRPr="005D4222" w:rsidRDefault="00DD103F" w:rsidP="0032019F">
      <w:pPr>
        <w:pStyle w:val="MeasureTitle"/>
      </w:pPr>
      <w:bookmarkStart w:id="268" w:name="_Toc201813387"/>
      <w:r w:rsidRPr="005D4222">
        <w:lastRenderedPageBreak/>
        <w:t>Weight Assessment and Counseling for Nutrition and Physical Activity for Children/Adolescents</w:t>
      </w:r>
      <w:r w:rsidR="004C0737" w:rsidRPr="005D4222">
        <w:t xml:space="preserve"> (WCC)</w:t>
      </w:r>
      <w:bookmarkEnd w:id="268"/>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081"/>
        <w:gridCol w:w="5207"/>
        <w:gridCol w:w="1350"/>
        <w:gridCol w:w="1076"/>
      </w:tblGrid>
      <w:tr w:rsidR="00043C86" w:rsidRPr="005D4222" w14:paraId="6C60AF8C" w14:textId="77777777" w:rsidTr="005E5954">
        <w:tc>
          <w:tcPr>
            <w:tcW w:w="1071" w:type="pct"/>
            <w:shd w:val="clear" w:color="auto" w:fill="BFBFBF" w:themeFill="background1" w:themeFillShade="BF"/>
            <w:tcMar>
              <w:top w:w="0" w:type="dxa"/>
              <w:left w:w="86" w:type="dxa"/>
              <w:bottom w:w="43" w:type="dxa"/>
              <w:right w:w="86" w:type="dxa"/>
            </w:tcMar>
            <w:hideMark/>
          </w:tcPr>
          <w:p w14:paraId="4F47B531" w14:textId="77777777" w:rsidR="00043C86" w:rsidRPr="005D4222" w:rsidRDefault="00043C86">
            <w:pPr>
              <w:pStyle w:val="ECDSMarginHead"/>
            </w:pPr>
            <w:r w:rsidRPr="005D4222">
              <w:t>Measure title</w:t>
            </w:r>
          </w:p>
        </w:tc>
        <w:tc>
          <w:tcPr>
            <w:tcW w:w="2680" w:type="pct"/>
            <w:tcMar>
              <w:top w:w="0" w:type="dxa"/>
              <w:left w:w="86" w:type="dxa"/>
              <w:bottom w:w="43" w:type="dxa"/>
              <w:right w:w="86" w:type="dxa"/>
            </w:tcMar>
          </w:tcPr>
          <w:p w14:paraId="0CFF06E0" w14:textId="77777777" w:rsidR="00043C86" w:rsidRPr="005D4222" w:rsidRDefault="00043C86">
            <w:pPr>
              <w:pStyle w:val="ECDSBody"/>
            </w:pPr>
            <w:r w:rsidRPr="005D4222">
              <w:t>Weight Assessment and Counseling for Nutrition and Physical Activity for Children/Adolescents</w:t>
            </w:r>
          </w:p>
        </w:tc>
        <w:tc>
          <w:tcPr>
            <w:tcW w:w="695" w:type="pct"/>
            <w:shd w:val="clear" w:color="auto" w:fill="BFBFBF" w:themeFill="background1" w:themeFillShade="BF"/>
            <w:tcMar>
              <w:top w:w="86" w:type="dxa"/>
              <w:left w:w="86" w:type="dxa"/>
              <w:bottom w:w="43" w:type="dxa"/>
              <w:right w:w="86" w:type="dxa"/>
            </w:tcMar>
          </w:tcPr>
          <w:p w14:paraId="2EB76C55" w14:textId="77777777" w:rsidR="00043C86" w:rsidRPr="005D4222" w:rsidRDefault="00043C86">
            <w:pPr>
              <w:pStyle w:val="ECDSMarginHead"/>
            </w:pPr>
            <w:r w:rsidRPr="005D4222">
              <w:t>Measure ID</w:t>
            </w:r>
          </w:p>
        </w:tc>
        <w:tc>
          <w:tcPr>
            <w:tcW w:w="554" w:type="pct"/>
            <w:tcMar>
              <w:top w:w="0" w:type="dxa"/>
              <w:left w:w="86" w:type="dxa"/>
              <w:bottom w:w="43" w:type="dxa"/>
              <w:right w:w="86" w:type="dxa"/>
            </w:tcMar>
          </w:tcPr>
          <w:p w14:paraId="4DC3D21E" w14:textId="77777777" w:rsidR="00043C86" w:rsidRPr="005D4222" w:rsidRDefault="00043C86" w:rsidP="005E5954">
            <w:pPr>
              <w:pStyle w:val="ECDSBody"/>
              <w:rPr>
                <w:bCs w:val="0"/>
              </w:rPr>
            </w:pPr>
            <w:r w:rsidRPr="005D4222">
              <w:t>WCC</w:t>
            </w:r>
          </w:p>
        </w:tc>
      </w:tr>
      <w:tr w:rsidR="00043C86" w:rsidRPr="005D4222" w14:paraId="1F749EAB" w14:textId="77777777">
        <w:trPr>
          <w:trHeight w:val="300"/>
        </w:trPr>
        <w:tc>
          <w:tcPr>
            <w:tcW w:w="1071" w:type="pct"/>
            <w:shd w:val="clear" w:color="auto" w:fill="BFBFBF" w:themeFill="background1" w:themeFillShade="BF"/>
            <w:tcMar>
              <w:top w:w="0" w:type="dxa"/>
              <w:left w:w="86" w:type="dxa"/>
              <w:bottom w:w="43" w:type="dxa"/>
              <w:right w:w="86" w:type="dxa"/>
            </w:tcMar>
            <w:hideMark/>
          </w:tcPr>
          <w:p w14:paraId="543B8837" w14:textId="77777777" w:rsidR="00043C86" w:rsidRPr="005D4222" w:rsidRDefault="00043C86">
            <w:pPr>
              <w:pStyle w:val="MarginHead"/>
            </w:pPr>
            <w:r w:rsidRPr="005D4222">
              <w:t>Description</w:t>
            </w:r>
          </w:p>
        </w:tc>
        <w:tc>
          <w:tcPr>
            <w:tcW w:w="3929" w:type="pct"/>
            <w:gridSpan w:val="3"/>
            <w:tcMar>
              <w:top w:w="0" w:type="dxa"/>
              <w:left w:w="86" w:type="dxa"/>
              <w:bottom w:w="43" w:type="dxa"/>
              <w:right w:w="86" w:type="dxa"/>
            </w:tcMar>
          </w:tcPr>
          <w:p w14:paraId="0AE597A6" w14:textId="77777777" w:rsidR="00043C86" w:rsidRPr="005D4222" w:rsidRDefault="00043C86">
            <w:pPr>
              <w:pStyle w:val="ECDSBody"/>
            </w:pPr>
            <w:r w:rsidRPr="005D4222">
              <w:t>The percentage of persons 3–17 years of age who had an outpatient visit with a PCP or OB/GYN and who had evidence of the following during the measurement period:</w:t>
            </w:r>
          </w:p>
          <w:p w14:paraId="24F783D6" w14:textId="77777777" w:rsidR="00043C86" w:rsidRPr="005D4222" w:rsidRDefault="00043C86" w:rsidP="009C3EB2">
            <w:pPr>
              <w:pStyle w:val="Bullet"/>
              <w:numPr>
                <w:ilvl w:val="0"/>
                <w:numId w:val="4"/>
              </w:numPr>
              <w:tabs>
                <w:tab w:val="left" w:pos="360"/>
                <w:tab w:val="left" w:pos="576"/>
              </w:tabs>
              <w:ind w:left="576" w:hanging="216"/>
              <w:rPr>
                <w:szCs w:val="21"/>
              </w:rPr>
            </w:pPr>
            <w:r w:rsidRPr="005D4222">
              <w:rPr>
                <w:szCs w:val="21"/>
              </w:rPr>
              <w:t>BMI Percentile</w:t>
            </w:r>
            <w:r w:rsidRPr="005D4222">
              <w:rPr>
                <w:b/>
                <w:bCs/>
                <w:szCs w:val="21"/>
              </w:rPr>
              <w:t>*</w:t>
            </w:r>
            <w:r w:rsidRPr="005D4222">
              <w:rPr>
                <w:szCs w:val="21"/>
              </w:rPr>
              <w:t xml:space="preserve">. </w:t>
            </w:r>
          </w:p>
          <w:p w14:paraId="46897BFD" w14:textId="77777777" w:rsidR="00043C86" w:rsidRPr="005D4222" w:rsidRDefault="00043C86" w:rsidP="009C3EB2">
            <w:pPr>
              <w:pStyle w:val="Bullet"/>
              <w:numPr>
                <w:ilvl w:val="0"/>
                <w:numId w:val="4"/>
              </w:numPr>
              <w:tabs>
                <w:tab w:val="left" w:pos="360"/>
                <w:tab w:val="left" w:pos="576"/>
              </w:tabs>
              <w:ind w:left="576" w:hanging="216"/>
              <w:rPr>
                <w:szCs w:val="21"/>
              </w:rPr>
            </w:pPr>
            <w:r w:rsidRPr="005D4222">
              <w:rPr>
                <w:szCs w:val="21"/>
              </w:rPr>
              <w:t xml:space="preserve">Counseling for Nutrition. </w:t>
            </w:r>
          </w:p>
          <w:p w14:paraId="23666B2F" w14:textId="77777777" w:rsidR="00043C86" w:rsidRPr="005D4222" w:rsidRDefault="00043C86" w:rsidP="009C3EB2">
            <w:pPr>
              <w:pStyle w:val="Bullet"/>
              <w:numPr>
                <w:ilvl w:val="0"/>
                <w:numId w:val="4"/>
              </w:numPr>
              <w:tabs>
                <w:tab w:val="left" w:pos="360"/>
                <w:tab w:val="left" w:pos="576"/>
              </w:tabs>
              <w:ind w:left="576" w:hanging="216"/>
              <w:rPr>
                <w:szCs w:val="21"/>
              </w:rPr>
            </w:pPr>
            <w:r w:rsidRPr="005D4222">
              <w:rPr>
                <w:szCs w:val="21"/>
              </w:rPr>
              <w:t xml:space="preserve">Counseling for Physical Activity. </w:t>
            </w:r>
          </w:p>
          <w:p w14:paraId="2B2AAE7C" w14:textId="77777777" w:rsidR="00043C86" w:rsidRPr="005D4222" w:rsidRDefault="00043C86">
            <w:pPr>
              <w:pStyle w:val="Body"/>
              <w:ind w:left="86" w:hanging="86"/>
              <w:rPr>
                <w:i/>
                <w:sz w:val="18"/>
                <w:szCs w:val="18"/>
              </w:rPr>
            </w:pPr>
            <w:r w:rsidRPr="005D4222">
              <w:rPr>
                <w:rFonts w:cs="Arial"/>
                <w:i/>
                <w:szCs w:val="21"/>
              </w:rPr>
              <w:t>*</w:t>
            </w:r>
            <w:r w:rsidRPr="005D4222">
              <w:rPr>
                <w:rFonts w:cs="Arial"/>
                <w:i/>
                <w:szCs w:val="21"/>
              </w:rPr>
              <w:tab/>
            </w:r>
            <w:r w:rsidRPr="005D4222">
              <w:rPr>
                <w:rStyle w:val="NoteChar"/>
              </w:rPr>
              <w:t>Because BMI norms for youth vary with age and gender, this measure evaluates whether BMI percentile is assessed rather than an absolute BMI value.</w:t>
            </w:r>
          </w:p>
        </w:tc>
      </w:tr>
      <w:tr w:rsidR="00043C86" w:rsidRPr="005D4222" w14:paraId="0DA0CB35" w14:textId="77777777">
        <w:trPr>
          <w:trHeight w:val="300"/>
        </w:trPr>
        <w:tc>
          <w:tcPr>
            <w:tcW w:w="1071" w:type="pct"/>
            <w:shd w:val="clear" w:color="auto" w:fill="BFBFBF" w:themeFill="background1" w:themeFillShade="BF"/>
            <w:tcMar>
              <w:top w:w="0" w:type="dxa"/>
              <w:left w:w="86" w:type="dxa"/>
              <w:bottom w:w="43" w:type="dxa"/>
              <w:right w:w="86" w:type="dxa"/>
            </w:tcMar>
          </w:tcPr>
          <w:p w14:paraId="57F7D4DF" w14:textId="77777777" w:rsidR="00043C86" w:rsidRPr="005D4222" w:rsidRDefault="00043C86">
            <w:pPr>
              <w:pStyle w:val="ECDSMarginHead"/>
            </w:pPr>
            <w:r w:rsidRPr="005D4222">
              <w:t>Measurement period</w:t>
            </w:r>
          </w:p>
        </w:tc>
        <w:tc>
          <w:tcPr>
            <w:tcW w:w="3929" w:type="pct"/>
            <w:gridSpan w:val="3"/>
            <w:tcMar>
              <w:top w:w="0" w:type="dxa"/>
              <w:left w:w="86" w:type="dxa"/>
              <w:bottom w:w="43" w:type="dxa"/>
              <w:right w:w="86" w:type="dxa"/>
            </w:tcMar>
          </w:tcPr>
          <w:p w14:paraId="59AE452E" w14:textId="77777777" w:rsidR="00043C86" w:rsidRPr="005D4222" w:rsidRDefault="00043C86">
            <w:pPr>
              <w:pStyle w:val="ECDSBody"/>
            </w:pPr>
            <w:r w:rsidRPr="005D4222">
              <w:t>January 1–December 31.</w:t>
            </w:r>
          </w:p>
        </w:tc>
      </w:tr>
      <w:tr w:rsidR="00043C86" w:rsidRPr="005D4222" w14:paraId="7998E7DB" w14:textId="77777777">
        <w:trPr>
          <w:trHeight w:val="300"/>
        </w:trPr>
        <w:tc>
          <w:tcPr>
            <w:tcW w:w="1071" w:type="pct"/>
            <w:shd w:val="clear" w:color="auto" w:fill="BFBFBF" w:themeFill="background1" w:themeFillShade="BF"/>
            <w:tcMar>
              <w:top w:w="0" w:type="dxa"/>
              <w:left w:w="86" w:type="dxa"/>
              <w:bottom w:w="43" w:type="dxa"/>
              <w:right w:w="86" w:type="dxa"/>
            </w:tcMar>
            <w:hideMark/>
          </w:tcPr>
          <w:p w14:paraId="6CA06D65" w14:textId="77777777" w:rsidR="00043C86" w:rsidRPr="005D4222" w:rsidRDefault="00043C86">
            <w:pPr>
              <w:pStyle w:val="ECDSMarginHead"/>
              <w:rPr>
                <w:rFonts w:eastAsia="Arial"/>
              </w:rPr>
            </w:pPr>
            <w:r w:rsidRPr="005D4222">
              <w:rPr>
                <w:rFonts w:eastAsia="Arial"/>
              </w:rPr>
              <w:t>Copyright and disclaimer notice</w:t>
            </w:r>
          </w:p>
        </w:tc>
        <w:tc>
          <w:tcPr>
            <w:tcW w:w="3929" w:type="pct"/>
            <w:gridSpan w:val="3"/>
            <w:tcMar>
              <w:top w:w="0" w:type="dxa"/>
              <w:left w:w="86" w:type="dxa"/>
              <w:bottom w:w="43" w:type="dxa"/>
              <w:right w:w="86" w:type="dxa"/>
            </w:tcMar>
          </w:tcPr>
          <w:p w14:paraId="61919DEC" w14:textId="77777777" w:rsidR="00043C86" w:rsidRPr="005D4222" w:rsidRDefault="00043C86">
            <w:pPr>
              <w:pStyle w:val="ECDSBody"/>
            </w:pPr>
            <w:r w:rsidRPr="005D4222">
              <w:t xml:space="preserve">Refer to the complete copyright and disclaimer information at the front of this publication. </w:t>
            </w:r>
          </w:p>
          <w:p w14:paraId="2A6445AC" w14:textId="77777777" w:rsidR="00043C86" w:rsidRPr="005D4222" w:rsidRDefault="00043C86">
            <w:pPr>
              <w:pStyle w:val="ECDSBody"/>
            </w:pPr>
            <w:r w:rsidRPr="005D4222">
              <w:t xml:space="preserve">NCQA website: </w:t>
            </w:r>
            <w:r w:rsidRPr="005D4222">
              <w:rPr>
                <w:u w:val="single"/>
              </w:rPr>
              <w:t>www.ncqa.org</w:t>
            </w:r>
            <w:r w:rsidRPr="005D4222">
              <w:rPr>
                <w:rStyle w:val="Hyperlink"/>
              </w:rPr>
              <w:t>.</w:t>
            </w:r>
            <w:r w:rsidRPr="005D4222">
              <w:t xml:space="preserve"> </w:t>
            </w:r>
          </w:p>
          <w:p w14:paraId="63D19047" w14:textId="77777777" w:rsidR="00043C86" w:rsidRPr="005D4222" w:rsidRDefault="00043C86">
            <w:pPr>
              <w:pStyle w:val="ECDSBody"/>
              <w:rPr>
                <w:sz w:val="18"/>
                <w:szCs w:val="18"/>
              </w:rPr>
            </w:pPr>
            <w:r w:rsidRPr="005D4222">
              <w:t>Submit policy clarification support questions via My NCQA (</w:t>
            </w:r>
            <w:r w:rsidRPr="005D4222">
              <w:rPr>
                <w:u w:val="single"/>
              </w:rPr>
              <w:t>https://my.ncqa.org</w:t>
            </w:r>
            <w:r w:rsidRPr="005D4222">
              <w:t xml:space="preserve">). </w:t>
            </w:r>
          </w:p>
        </w:tc>
      </w:tr>
      <w:tr w:rsidR="00043C86" w:rsidRPr="005D4222" w14:paraId="2DAB76CF" w14:textId="77777777">
        <w:trPr>
          <w:trHeight w:val="655"/>
        </w:trPr>
        <w:tc>
          <w:tcPr>
            <w:tcW w:w="1071" w:type="pct"/>
            <w:shd w:val="clear" w:color="auto" w:fill="BFBFBF" w:themeFill="background1" w:themeFillShade="BF"/>
            <w:tcMar>
              <w:top w:w="86" w:type="dxa"/>
              <w:left w:w="86" w:type="dxa"/>
              <w:bottom w:w="43" w:type="dxa"/>
              <w:right w:w="86" w:type="dxa"/>
            </w:tcMar>
            <w:hideMark/>
          </w:tcPr>
          <w:p w14:paraId="7A03A442" w14:textId="77777777" w:rsidR="00043C86" w:rsidRPr="005D4222" w:rsidRDefault="00043C86">
            <w:pPr>
              <w:pStyle w:val="ECDSMarginHead"/>
            </w:pPr>
            <w:r w:rsidRPr="005D4222">
              <w:t>Clinical recommendation statement/ rationale</w:t>
            </w:r>
          </w:p>
        </w:tc>
        <w:tc>
          <w:tcPr>
            <w:tcW w:w="3929" w:type="pct"/>
            <w:gridSpan w:val="3"/>
            <w:tcMar>
              <w:top w:w="86" w:type="dxa"/>
              <w:left w:w="86" w:type="dxa"/>
              <w:bottom w:w="43" w:type="dxa"/>
              <w:right w:w="86" w:type="dxa"/>
            </w:tcMar>
          </w:tcPr>
          <w:p w14:paraId="78C160CC" w14:textId="0019A898" w:rsidR="00043C86" w:rsidRPr="005D4222" w:rsidRDefault="00043C86">
            <w:pPr>
              <w:pStyle w:val="ECDSBody"/>
            </w:pPr>
            <w:r w:rsidRPr="005D4222">
              <w:t>The American Academy of Pediatrics (AAP) recommend</w:t>
            </w:r>
            <w:r w:rsidR="00CF717A" w:rsidRPr="005D4222">
              <w:t>s</w:t>
            </w:r>
            <w:r w:rsidRPr="005D4222">
              <w:t xml:space="preserve"> providers assess the BMI percentile, nutrition, and physical activity status of children and adolescents aged 3 to 17 to promote healthy weight management and activity. The Centers for Disease Control and Prevention (CDC) and the AAP recommend that health care practitioners in primary care settings in the United States use the 2000 CDC Growth Reference Charts to monitor the growth of children and teens aged between 2 and 20 years.</w:t>
            </w:r>
          </w:p>
        </w:tc>
      </w:tr>
      <w:tr w:rsidR="00043C86" w:rsidRPr="005D4222" w14:paraId="67499C6D" w14:textId="77777777">
        <w:trPr>
          <w:trHeight w:val="300"/>
        </w:trPr>
        <w:tc>
          <w:tcPr>
            <w:tcW w:w="1071" w:type="pct"/>
            <w:shd w:val="clear" w:color="auto" w:fill="BFBFBF" w:themeFill="background1" w:themeFillShade="BF"/>
            <w:tcMar>
              <w:top w:w="86" w:type="dxa"/>
              <w:left w:w="86" w:type="dxa"/>
              <w:bottom w:w="43" w:type="dxa"/>
              <w:right w:w="86" w:type="dxa"/>
            </w:tcMar>
          </w:tcPr>
          <w:p w14:paraId="25F9B10D" w14:textId="77777777" w:rsidR="00043C86" w:rsidRPr="005D4222" w:rsidRDefault="00043C86">
            <w:pPr>
              <w:pStyle w:val="ECDSMarginHead"/>
            </w:pPr>
            <w:r w:rsidRPr="005D4222">
              <w:t>Citations</w:t>
            </w:r>
          </w:p>
        </w:tc>
        <w:tc>
          <w:tcPr>
            <w:tcW w:w="3929" w:type="pct"/>
            <w:gridSpan w:val="3"/>
            <w:tcMar>
              <w:top w:w="86" w:type="dxa"/>
              <w:left w:w="86" w:type="dxa"/>
              <w:bottom w:w="43" w:type="dxa"/>
              <w:right w:w="86" w:type="dxa"/>
            </w:tcMar>
          </w:tcPr>
          <w:p w14:paraId="770A0EFE" w14:textId="77777777" w:rsidR="00043C86" w:rsidRPr="005D4222" w:rsidRDefault="00043C86">
            <w:pPr>
              <w:pStyle w:val="ECDSBody"/>
            </w:pPr>
            <w:r w:rsidRPr="005D4222">
              <w:t xml:space="preserve">Hagan, J.F., J.S. Shaw, and P.M. Duncan, eds. </w:t>
            </w:r>
            <w:r w:rsidRPr="005D4222">
              <w:rPr>
                <w:i/>
              </w:rPr>
              <w:t>Bright Futures: Guidelines for Health Supervision of Infants, Children, and Adolescents</w:t>
            </w:r>
            <w:r w:rsidRPr="005D4222">
              <w:t>. Fourth edition. Elk Grove Village, IL: Bright Futures/American Academy of Pediatrics, 2017.</w:t>
            </w:r>
          </w:p>
          <w:p w14:paraId="57EE2D38" w14:textId="77777777" w:rsidR="00043C86" w:rsidRPr="005D4222" w:rsidRDefault="00043C86">
            <w:pPr>
              <w:pStyle w:val="ECDSBody"/>
            </w:pPr>
            <w:r w:rsidRPr="005D4222">
              <w:t>“Overview of the CDC Growth Charts for Use in the United States Among Children and Teens Aged 2 Years to 20 Years CDC,” December 13, 2022. https://www.cdc.gov/nccdphp/dnpao/growthcharts/training/overview/index.html</w:t>
            </w:r>
          </w:p>
        </w:tc>
      </w:tr>
      <w:tr w:rsidR="00043C86" w:rsidRPr="005D4222" w14:paraId="218BE820" w14:textId="77777777">
        <w:trPr>
          <w:trHeight w:val="300"/>
        </w:trPr>
        <w:tc>
          <w:tcPr>
            <w:tcW w:w="5000" w:type="pct"/>
            <w:gridSpan w:val="4"/>
            <w:tcBorders>
              <w:bottom w:val="single" w:sz="4" w:space="0" w:color="auto"/>
            </w:tcBorders>
            <w:shd w:val="clear" w:color="auto" w:fill="BFBFBF" w:themeFill="background1" w:themeFillShade="BF"/>
            <w:tcMar>
              <w:top w:w="86" w:type="dxa"/>
              <w:left w:w="86" w:type="dxa"/>
              <w:bottom w:w="43" w:type="dxa"/>
              <w:right w:w="86" w:type="dxa"/>
            </w:tcMar>
          </w:tcPr>
          <w:p w14:paraId="0E02EEB2" w14:textId="77777777" w:rsidR="00043C86" w:rsidRPr="005D4222" w:rsidRDefault="00043C86">
            <w:pPr>
              <w:pStyle w:val="ECDSMarginHead"/>
            </w:pPr>
            <w:r w:rsidRPr="005D4222">
              <w:t>Characteristics</w:t>
            </w:r>
          </w:p>
        </w:tc>
      </w:tr>
      <w:tr w:rsidR="00043C86" w:rsidRPr="005D4222" w14:paraId="046BBAF9" w14:textId="77777777" w:rsidTr="005E407D">
        <w:trPr>
          <w:trHeight w:val="300"/>
        </w:trPr>
        <w:tc>
          <w:tcPr>
            <w:tcW w:w="1071" w:type="pct"/>
            <w:tcBorders>
              <w:top w:val="single" w:sz="4" w:space="0" w:color="auto"/>
              <w:left w:val="single" w:sz="4" w:space="0" w:color="auto"/>
              <w:bottom w:val="nil"/>
              <w:right w:val="single" w:sz="4" w:space="0" w:color="auto"/>
            </w:tcBorders>
            <w:tcMar>
              <w:top w:w="0" w:type="dxa"/>
              <w:left w:w="86" w:type="dxa"/>
              <w:bottom w:w="43" w:type="dxa"/>
              <w:right w:w="86" w:type="dxa"/>
            </w:tcMar>
          </w:tcPr>
          <w:p w14:paraId="0F54D5B7" w14:textId="77777777" w:rsidR="00043C86" w:rsidRPr="005D4222" w:rsidRDefault="00043C86">
            <w:pPr>
              <w:pStyle w:val="ECDSSubhead"/>
            </w:pPr>
            <w:r w:rsidRPr="005D4222">
              <w:t>Scoring</w:t>
            </w:r>
          </w:p>
        </w:tc>
        <w:tc>
          <w:tcPr>
            <w:tcW w:w="3929" w:type="pct"/>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449788E6" w14:textId="77777777" w:rsidR="00043C86" w:rsidRPr="005D4222" w:rsidRDefault="00043C86">
            <w:pPr>
              <w:pStyle w:val="ECDSBody"/>
              <w:spacing w:after="0"/>
            </w:pPr>
            <w:r w:rsidRPr="005D4222">
              <w:t>Proportion.</w:t>
            </w:r>
          </w:p>
        </w:tc>
      </w:tr>
      <w:tr w:rsidR="00043C86" w:rsidRPr="005D4222" w14:paraId="64A056D4" w14:textId="77777777" w:rsidTr="005E407D">
        <w:trPr>
          <w:trHeight w:val="300"/>
        </w:trPr>
        <w:tc>
          <w:tcPr>
            <w:tcW w:w="1071" w:type="pct"/>
            <w:tcBorders>
              <w:top w:val="nil"/>
              <w:left w:val="single" w:sz="4" w:space="0" w:color="auto"/>
              <w:bottom w:val="single" w:sz="4" w:space="0" w:color="auto"/>
              <w:right w:val="single" w:sz="4" w:space="0" w:color="auto"/>
            </w:tcBorders>
            <w:tcMar>
              <w:top w:w="0" w:type="dxa"/>
              <w:left w:w="86" w:type="dxa"/>
              <w:bottom w:w="43" w:type="dxa"/>
              <w:right w:w="86" w:type="dxa"/>
            </w:tcMar>
          </w:tcPr>
          <w:p w14:paraId="33F086A6" w14:textId="77777777" w:rsidR="00043C86" w:rsidRPr="005D4222" w:rsidRDefault="00043C86" w:rsidP="0029463C">
            <w:pPr>
              <w:pStyle w:val="ECDSSubhead"/>
              <w:spacing w:after="80"/>
            </w:pPr>
            <w:r w:rsidRPr="005D4222">
              <w:t>Type</w:t>
            </w:r>
          </w:p>
        </w:tc>
        <w:tc>
          <w:tcPr>
            <w:tcW w:w="3929" w:type="pct"/>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2D6A5DE1" w14:textId="77777777" w:rsidR="00043C86" w:rsidRPr="005D4222" w:rsidRDefault="00043C86" w:rsidP="0029463C">
            <w:pPr>
              <w:pStyle w:val="ECDSBody"/>
            </w:pPr>
            <w:r w:rsidRPr="005D4222">
              <w:t>Process.</w:t>
            </w:r>
          </w:p>
        </w:tc>
      </w:tr>
    </w:tbl>
    <w:p w14:paraId="359327B0" w14:textId="30C61B14" w:rsidR="0029463C" w:rsidRPr="005D4222" w:rsidRDefault="0029463C">
      <w:r w:rsidRPr="005D4222">
        <w:br w:type="page"/>
      </w:r>
    </w:p>
    <w:tbl>
      <w:tblPr>
        <w:tblW w:w="5002"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15" w:type="dxa"/>
          <w:bottom w:w="40" w:type="dxa"/>
          <w:right w:w="15" w:type="dxa"/>
        </w:tblCellMar>
        <w:tblLook w:val="04A0" w:firstRow="1" w:lastRow="0" w:firstColumn="1" w:lastColumn="0" w:noHBand="0" w:noVBand="1"/>
      </w:tblPr>
      <w:tblGrid>
        <w:gridCol w:w="2081"/>
        <w:gridCol w:w="7633"/>
      </w:tblGrid>
      <w:tr w:rsidR="00043C86" w:rsidRPr="005D4222" w14:paraId="7CC89CF2" w14:textId="77777777" w:rsidTr="0032019F">
        <w:trPr>
          <w:trHeight w:val="300"/>
        </w:trPr>
        <w:tc>
          <w:tcPr>
            <w:tcW w:w="1071" w:type="pct"/>
            <w:tcBorders>
              <w:bottom w:val="nil"/>
            </w:tcBorders>
            <w:tcMar>
              <w:top w:w="0" w:type="dxa"/>
              <w:left w:w="86" w:type="dxa"/>
              <w:bottom w:w="43" w:type="dxa"/>
              <w:right w:w="86" w:type="dxa"/>
            </w:tcMar>
          </w:tcPr>
          <w:p w14:paraId="762FF7E7" w14:textId="684F68E0" w:rsidR="00043C86" w:rsidRPr="005D4222" w:rsidRDefault="00B51CDC" w:rsidP="0032019F">
            <w:pPr>
              <w:pStyle w:val="ECDSSubhead"/>
            </w:pPr>
            <w:r w:rsidRPr="005D4222">
              <w:lastRenderedPageBreak/>
              <w:t>Product lines</w:t>
            </w:r>
          </w:p>
        </w:tc>
        <w:tc>
          <w:tcPr>
            <w:tcW w:w="3929" w:type="pct"/>
            <w:tcBorders>
              <w:bottom w:val="nil"/>
            </w:tcBorders>
            <w:tcMar>
              <w:top w:w="0" w:type="dxa"/>
              <w:left w:w="86" w:type="dxa"/>
              <w:bottom w:w="43" w:type="dxa"/>
              <w:right w:w="86" w:type="dxa"/>
            </w:tcMar>
          </w:tcPr>
          <w:p w14:paraId="2946408C" w14:textId="77777777" w:rsidR="00043C86" w:rsidRPr="005D4222" w:rsidRDefault="00043C86" w:rsidP="0032019F">
            <w:pPr>
              <w:pStyle w:val="ProcessBullet"/>
            </w:pPr>
            <w:r w:rsidRPr="005D4222">
              <w:t>Commercial.</w:t>
            </w:r>
          </w:p>
          <w:p w14:paraId="0726F66E" w14:textId="77777777" w:rsidR="00043C86" w:rsidRPr="005D4222" w:rsidRDefault="00043C86" w:rsidP="0032019F">
            <w:pPr>
              <w:pStyle w:val="ProcessBullet"/>
            </w:pPr>
            <w:r w:rsidRPr="005D4222">
              <w:t>Medicaid.</w:t>
            </w:r>
          </w:p>
        </w:tc>
      </w:tr>
      <w:tr w:rsidR="00043C86" w:rsidRPr="005D4222" w14:paraId="0A62D77A" w14:textId="77777777" w:rsidTr="0032019F">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300"/>
        </w:trPr>
        <w:tc>
          <w:tcPr>
            <w:tcW w:w="1071" w:type="pct"/>
            <w:tcBorders>
              <w:top w:val="nil"/>
              <w:left w:val="single" w:sz="4" w:space="0" w:color="auto"/>
              <w:bottom w:val="nil"/>
              <w:right w:val="single" w:sz="4" w:space="0" w:color="auto"/>
            </w:tcBorders>
            <w:tcMar>
              <w:top w:w="0" w:type="dxa"/>
              <w:left w:w="86" w:type="dxa"/>
              <w:bottom w:w="43" w:type="dxa"/>
              <w:right w:w="86" w:type="dxa"/>
            </w:tcMar>
          </w:tcPr>
          <w:p w14:paraId="729F38A1" w14:textId="676DC677" w:rsidR="00043C86" w:rsidRPr="005D4222" w:rsidRDefault="00B51CDC">
            <w:pPr>
              <w:pStyle w:val="ECDSSubhead"/>
            </w:pPr>
            <w:r w:rsidRPr="005D4222">
              <w:t>Stratifications</w:t>
            </w:r>
            <w:r w:rsidR="00043C86" w:rsidRPr="005D4222">
              <w:t xml:space="preserve"> </w:t>
            </w:r>
          </w:p>
        </w:tc>
        <w:tc>
          <w:tcPr>
            <w:tcW w:w="3929" w:type="pct"/>
            <w:tcBorders>
              <w:top w:val="nil"/>
              <w:left w:val="single" w:sz="4" w:space="0" w:color="auto"/>
              <w:bottom w:val="nil"/>
              <w:right w:val="single" w:sz="4" w:space="0" w:color="auto"/>
            </w:tcBorders>
            <w:tcMar>
              <w:top w:w="0" w:type="dxa"/>
              <w:left w:w="86" w:type="dxa"/>
              <w:bottom w:w="43" w:type="dxa"/>
              <w:right w:w="86" w:type="dxa"/>
            </w:tcMar>
            <w:hideMark/>
          </w:tcPr>
          <w:p w14:paraId="614C6668" w14:textId="77777777" w:rsidR="00043C86" w:rsidRPr="005D4222" w:rsidRDefault="00043C86">
            <w:pPr>
              <w:pStyle w:val="ECDSBody"/>
              <w:rPr>
                <w:i/>
              </w:rPr>
            </w:pPr>
            <w:r w:rsidRPr="005D4222">
              <w:rPr>
                <w:iCs/>
              </w:rPr>
              <w:t>Age</w:t>
            </w:r>
            <w:r w:rsidRPr="005D4222">
              <w:t xml:space="preserve"> as of the last day of the measurement period.</w:t>
            </w:r>
          </w:p>
          <w:p w14:paraId="4B018F9A" w14:textId="77777777" w:rsidR="00043C86" w:rsidRPr="005D4222" w:rsidRDefault="00043C86" w:rsidP="00043C86">
            <w:pPr>
              <w:pStyle w:val="Bullet"/>
              <w:tabs>
                <w:tab w:val="left" w:pos="360"/>
                <w:tab w:val="left" w:pos="576"/>
              </w:tabs>
            </w:pPr>
            <w:r w:rsidRPr="005D4222">
              <w:t>3–11 years.</w:t>
            </w:r>
          </w:p>
          <w:p w14:paraId="15EEEF66" w14:textId="77777777" w:rsidR="00043C86" w:rsidRPr="005D4222" w:rsidRDefault="00043C86" w:rsidP="00043C86">
            <w:pPr>
              <w:pStyle w:val="Bullet"/>
              <w:tabs>
                <w:tab w:val="left" w:pos="360"/>
                <w:tab w:val="left" w:pos="576"/>
              </w:tabs>
              <w:rPr>
                <w:rFonts w:cs="Arial"/>
              </w:rPr>
            </w:pPr>
            <w:r w:rsidRPr="005D4222">
              <w:t xml:space="preserve">12–17 years. </w:t>
            </w:r>
          </w:p>
        </w:tc>
      </w:tr>
      <w:tr w:rsidR="00043C86" w:rsidRPr="005D4222" w14:paraId="06EEBEC1" w14:textId="7777777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300"/>
        </w:trPr>
        <w:tc>
          <w:tcPr>
            <w:tcW w:w="1071" w:type="pct"/>
            <w:tcBorders>
              <w:top w:val="nil"/>
              <w:left w:val="single" w:sz="4" w:space="0" w:color="auto"/>
              <w:bottom w:val="nil"/>
              <w:right w:val="single" w:sz="4" w:space="0" w:color="auto"/>
            </w:tcBorders>
            <w:tcMar>
              <w:top w:w="0" w:type="dxa"/>
              <w:left w:w="86" w:type="dxa"/>
              <w:bottom w:w="43" w:type="dxa"/>
              <w:right w:w="86" w:type="dxa"/>
            </w:tcMar>
          </w:tcPr>
          <w:p w14:paraId="0CF1185F" w14:textId="77777777" w:rsidR="00043C86" w:rsidRPr="005D4222" w:rsidRDefault="00043C86">
            <w:pPr>
              <w:pStyle w:val="ECDSSubhead"/>
            </w:pPr>
            <w:r w:rsidRPr="005D4222">
              <w:t>Risk adjustment</w:t>
            </w:r>
          </w:p>
        </w:tc>
        <w:tc>
          <w:tcPr>
            <w:tcW w:w="3929" w:type="pct"/>
            <w:tcBorders>
              <w:top w:val="nil"/>
              <w:left w:val="single" w:sz="4" w:space="0" w:color="auto"/>
              <w:bottom w:val="nil"/>
              <w:right w:val="single" w:sz="4" w:space="0" w:color="auto"/>
            </w:tcBorders>
            <w:tcMar>
              <w:top w:w="0" w:type="dxa"/>
              <w:left w:w="86" w:type="dxa"/>
              <w:bottom w:w="43" w:type="dxa"/>
              <w:right w:w="86" w:type="dxa"/>
            </w:tcMar>
            <w:hideMark/>
          </w:tcPr>
          <w:p w14:paraId="1840BF11" w14:textId="77777777" w:rsidR="00043C86" w:rsidRPr="005D4222" w:rsidRDefault="00043C86">
            <w:pPr>
              <w:pStyle w:val="ECDSBody"/>
              <w:spacing w:after="0"/>
            </w:pPr>
            <w:r w:rsidRPr="005D4222">
              <w:t>None.</w:t>
            </w:r>
          </w:p>
        </w:tc>
      </w:tr>
      <w:tr w:rsidR="00043C86" w:rsidRPr="005D4222" w14:paraId="20575CE7" w14:textId="7777777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300"/>
        </w:trPr>
        <w:tc>
          <w:tcPr>
            <w:tcW w:w="1071" w:type="pct"/>
            <w:tcBorders>
              <w:top w:val="nil"/>
              <w:left w:val="single" w:sz="4" w:space="0" w:color="auto"/>
              <w:bottom w:val="nil"/>
              <w:right w:val="single" w:sz="4" w:space="0" w:color="auto"/>
            </w:tcBorders>
            <w:tcMar>
              <w:top w:w="0" w:type="dxa"/>
              <w:left w:w="86" w:type="dxa"/>
              <w:bottom w:w="43" w:type="dxa"/>
              <w:right w:w="86" w:type="dxa"/>
            </w:tcMar>
          </w:tcPr>
          <w:p w14:paraId="1018A1D9" w14:textId="77777777" w:rsidR="00043C86" w:rsidRPr="005D4222" w:rsidRDefault="00043C86">
            <w:pPr>
              <w:pStyle w:val="ECDSSubhead"/>
            </w:pPr>
            <w:r w:rsidRPr="005D4222">
              <w:t>Improvement notation</w:t>
            </w:r>
          </w:p>
        </w:tc>
        <w:tc>
          <w:tcPr>
            <w:tcW w:w="3929" w:type="pct"/>
            <w:tcBorders>
              <w:top w:val="nil"/>
              <w:left w:val="single" w:sz="4" w:space="0" w:color="auto"/>
              <w:bottom w:val="nil"/>
              <w:right w:val="single" w:sz="4" w:space="0" w:color="auto"/>
            </w:tcBorders>
            <w:tcMar>
              <w:top w:w="0" w:type="dxa"/>
              <w:left w:w="86" w:type="dxa"/>
              <w:bottom w:w="43" w:type="dxa"/>
              <w:right w:w="86" w:type="dxa"/>
            </w:tcMar>
            <w:hideMark/>
          </w:tcPr>
          <w:p w14:paraId="1C05A9FF" w14:textId="77777777" w:rsidR="00043C86" w:rsidRPr="005D4222" w:rsidRDefault="00043C86">
            <w:pPr>
              <w:pStyle w:val="ECDSBody"/>
              <w:spacing w:after="0"/>
            </w:pPr>
            <w:r w:rsidRPr="005D4222">
              <w:t>Increased score indicates improvement.</w:t>
            </w:r>
          </w:p>
        </w:tc>
      </w:tr>
      <w:tr w:rsidR="00043C86" w:rsidRPr="005D4222" w14:paraId="719C6E7F" w14:textId="7777777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1732"/>
        </w:trPr>
        <w:tc>
          <w:tcPr>
            <w:tcW w:w="1071" w:type="pct"/>
            <w:tcBorders>
              <w:top w:val="nil"/>
              <w:left w:val="single" w:sz="4" w:space="0" w:color="auto"/>
              <w:bottom w:val="single" w:sz="4" w:space="0" w:color="auto"/>
              <w:right w:val="single" w:sz="4" w:space="0" w:color="auto"/>
            </w:tcBorders>
            <w:tcMar>
              <w:top w:w="0" w:type="dxa"/>
              <w:left w:w="86" w:type="dxa"/>
              <w:bottom w:w="43" w:type="dxa"/>
              <w:right w:w="86" w:type="dxa"/>
            </w:tcMar>
          </w:tcPr>
          <w:p w14:paraId="5293C569" w14:textId="77777777" w:rsidR="00043C86" w:rsidRPr="005D4222" w:rsidRDefault="00043C86">
            <w:pPr>
              <w:pStyle w:val="ECDSSubhead"/>
            </w:pPr>
            <w:r w:rsidRPr="005D4222">
              <w:t>Guidance</w:t>
            </w:r>
          </w:p>
        </w:tc>
        <w:tc>
          <w:tcPr>
            <w:tcW w:w="3929" w:type="pct"/>
            <w:tcBorders>
              <w:top w:val="nil"/>
              <w:left w:val="single" w:sz="4" w:space="0" w:color="auto"/>
              <w:bottom w:val="single" w:sz="4" w:space="0" w:color="auto"/>
              <w:right w:val="single" w:sz="4" w:space="0" w:color="auto"/>
            </w:tcBorders>
            <w:tcMar>
              <w:top w:w="0" w:type="dxa"/>
              <w:left w:w="86" w:type="dxa"/>
              <w:bottom w:w="43" w:type="dxa"/>
              <w:right w:w="86" w:type="dxa"/>
            </w:tcMar>
          </w:tcPr>
          <w:p w14:paraId="0A092F87" w14:textId="347C12B6" w:rsidR="00043C86" w:rsidRPr="005D4222" w:rsidRDefault="00043C86">
            <w:pPr>
              <w:pStyle w:val="ECDSBody"/>
            </w:pPr>
            <w:r w:rsidRPr="005D4222">
              <w:rPr>
                <w:b/>
              </w:rPr>
              <w:t>Data collection methodology:</w:t>
            </w:r>
            <w:r w:rsidRPr="005D4222">
              <w:t xml:space="preserve"> Administrative and hybrid. </w:t>
            </w:r>
            <w:r w:rsidRPr="005D4222" w:rsidDel="00A445D2">
              <w:t xml:space="preserve">Refer to </w:t>
            </w:r>
            <w:hyperlink w:anchor="General_Guideline_Data_Collection_Method" w:history="1">
              <w:r w:rsidRPr="005D4222" w:rsidDel="00A445D2">
                <w:rPr>
                  <w:rStyle w:val="Hyperlink"/>
                  <w:i/>
                  <w:iCs/>
                </w:rPr>
                <w:t>General Guideline: Data Collection Methods</w:t>
              </w:r>
            </w:hyperlink>
            <w:r w:rsidRPr="005D4222" w:rsidDel="00A445D2">
              <w:t xml:space="preserve"> for additional information.</w:t>
            </w:r>
          </w:p>
          <w:p w14:paraId="1D71147A" w14:textId="77777777" w:rsidR="00043C86" w:rsidRPr="005D4222" w:rsidRDefault="00043C86">
            <w:pPr>
              <w:pStyle w:val="ECDSBody"/>
            </w:pPr>
            <w:r w:rsidRPr="005D4222">
              <w:rPr>
                <w:b/>
              </w:rPr>
              <w:t xml:space="preserve">Date specificity: </w:t>
            </w:r>
            <w:r w:rsidRPr="005D4222">
              <w:t>Dates must be specific enough to determine the event occurred in the period being measured.</w:t>
            </w:r>
          </w:p>
          <w:p w14:paraId="162B5C46" w14:textId="77777777" w:rsidR="00043C86" w:rsidRPr="005D4222" w:rsidRDefault="00043C86">
            <w:pPr>
              <w:pStyle w:val="ECDSBody"/>
            </w:pPr>
            <w:r w:rsidRPr="005D4222">
              <w:rPr>
                <w:b/>
              </w:rPr>
              <w:t xml:space="preserve">Which services count? </w:t>
            </w:r>
            <w:r w:rsidRPr="005D4222">
              <w:t xml:space="preserve">When using claims, include all paid, suspended, pending and denied claims. </w:t>
            </w:r>
          </w:p>
          <w:p w14:paraId="187F95A4" w14:textId="4E947138" w:rsidR="00043C86" w:rsidRPr="005D4222" w:rsidRDefault="00043C86">
            <w:pPr>
              <w:pStyle w:val="ECDSBody"/>
              <w:rPr>
                <w:szCs w:val="21"/>
              </w:rPr>
            </w:pPr>
            <w:r w:rsidRPr="005D4222">
              <w:rPr>
                <w:b/>
                <w:szCs w:val="21"/>
              </w:rPr>
              <w:t xml:space="preserve">Other guidance: </w:t>
            </w:r>
            <w:r w:rsidRPr="005D4222">
              <w:rPr>
                <w:szCs w:val="21"/>
              </w:rPr>
              <w:t xml:space="preserve">Refer to </w:t>
            </w:r>
            <w:hyperlink w:anchor="Appendix_1" w:history="1">
              <w:r w:rsidRPr="005D4222">
                <w:rPr>
                  <w:rStyle w:val="Hyperlink"/>
                  <w:szCs w:val="21"/>
                </w:rPr>
                <w:t>Appendix 1</w:t>
              </w:r>
            </w:hyperlink>
            <w:r w:rsidRPr="005D4222">
              <w:rPr>
                <w:szCs w:val="21"/>
              </w:rPr>
              <w:t xml:space="preserve"> for the definition of </w:t>
            </w:r>
            <w:r w:rsidRPr="005D4222">
              <w:rPr>
                <w:i/>
                <w:szCs w:val="21"/>
              </w:rPr>
              <w:t>PCP</w:t>
            </w:r>
            <w:r w:rsidRPr="005D4222">
              <w:rPr>
                <w:szCs w:val="21"/>
              </w:rPr>
              <w:t xml:space="preserve"> and </w:t>
            </w:r>
            <w:r w:rsidRPr="005D4222">
              <w:rPr>
                <w:i/>
                <w:szCs w:val="21"/>
              </w:rPr>
              <w:t xml:space="preserve">OB/GYN and other prenatal care practitioner. </w:t>
            </w:r>
          </w:p>
        </w:tc>
      </w:tr>
      <w:tr w:rsidR="00043C86" w:rsidRPr="005D4222" w14:paraId="768E2876" w14:textId="77777777" w:rsidTr="004473B4">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300"/>
        </w:trPr>
        <w:tc>
          <w:tcPr>
            <w:tcW w:w="5000" w:type="pct"/>
            <w:gridSpan w:val="2"/>
            <w:tcBorders>
              <w:top w:val="single" w:sz="4" w:space="0" w:color="auto"/>
              <w:bottom w:val="nil"/>
            </w:tcBorders>
            <w:shd w:val="clear" w:color="auto" w:fill="BFBFBF" w:themeFill="background1" w:themeFillShade="BF"/>
            <w:tcMar>
              <w:top w:w="0" w:type="dxa"/>
              <w:left w:w="86" w:type="dxa"/>
              <w:bottom w:w="43" w:type="dxa"/>
              <w:right w:w="86" w:type="dxa"/>
            </w:tcMar>
          </w:tcPr>
          <w:p w14:paraId="1947E7A3" w14:textId="77777777" w:rsidR="00043C86" w:rsidRPr="005D4222" w:rsidRDefault="00043C86">
            <w:pPr>
              <w:pStyle w:val="ECDSMarginHead"/>
            </w:pPr>
            <w:r w:rsidRPr="005D4222">
              <w:t xml:space="preserve">Definitions </w:t>
            </w:r>
          </w:p>
        </w:tc>
      </w:tr>
      <w:tr w:rsidR="00043C86" w:rsidRPr="005D4222" w14:paraId="0176CBAA" w14:textId="77777777" w:rsidTr="004473B4">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300"/>
        </w:trPr>
        <w:tc>
          <w:tcPr>
            <w:tcW w:w="1071" w:type="pct"/>
            <w:tcBorders>
              <w:top w:val="single" w:sz="4" w:space="0" w:color="auto"/>
              <w:bottom w:val="nil"/>
              <w:right w:val="single" w:sz="4" w:space="0" w:color="auto"/>
            </w:tcBorders>
            <w:tcMar>
              <w:top w:w="0" w:type="dxa"/>
              <w:left w:w="86" w:type="dxa"/>
              <w:bottom w:w="43" w:type="dxa"/>
              <w:right w:w="86" w:type="dxa"/>
            </w:tcMar>
          </w:tcPr>
          <w:p w14:paraId="46B32550" w14:textId="77777777" w:rsidR="00043C86" w:rsidRPr="005D4222" w:rsidRDefault="00043C86">
            <w:pPr>
              <w:pStyle w:val="ECDSSubhead"/>
            </w:pPr>
            <w:r w:rsidRPr="005D4222">
              <w:t>BMI percentile</w:t>
            </w:r>
          </w:p>
        </w:tc>
        <w:tc>
          <w:tcPr>
            <w:tcW w:w="3929" w:type="pct"/>
            <w:tcBorders>
              <w:top w:val="single" w:sz="4" w:space="0" w:color="auto"/>
              <w:left w:val="single" w:sz="4" w:space="0" w:color="auto"/>
              <w:bottom w:val="nil"/>
            </w:tcBorders>
            <w:tcMar>
              <w:left w:w="86" w:type="dxa"/>
              <w:bottom w:w="43" w:type="dxa"/>
              <w:right w:w="86" w:type="dxa"/>
            </w:tcMar>
          </w:tcPr>
          <w:p w14:paraId="61AB3E02" w14:textId="77777777" w:rsidR="00043C86" w:rsidRPr="005D4222" w:rsidRDefault="00043C86">
            <w:pPr>
              <w:pStyle w:val="ECDSBody"/>
              <w:rPr>
                <w:b/>
              </w:rPr>
            </w:pPr>
            <w:r w:rsidRPr="005D4222">
              <w:t>The percentile ranking based on the CDC’s BMI-for-age growth charts, which indicates the relative position of a person’s BMI number among others of the same gender and age.</w:t>
            </w:r>
          </w:p>
        </w:tc>
      </w:tr>
      <w:tr w:rsidR="00043C86" w:rsidRPr="005D4222" w14:paraId="32DCB7A5" w14:textId="77777777" w:rsidTr="004473B4">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320"/>
        </w:trPr>
        <w:tc>
          <w:tcPr>
            <w:tcW w:w="1071" w:type="pct"/>
            <w:shd w:val="clear" w:color="auto" w:fill="BFBFBF" w:themeFill="background1" w:themeFillShade="BF"/>
            <w:tcMar>
              <w:top w:w="0" w:type="dxa"/>
              <w:left w:w="86" w:type="dxa"/>
              <w:bottom w:w="43" w:type="dxa"/>
              <w:right w:w="86" w:type="dxa"/>
            </w:tcMar>
          </w:tcPr>
          <w:p w14:paraId="456FF2AD" w14:textId="77777777" w:rsidR="00043C86" w:rsidRPr="005D4222" w:rsidRDefault="00043C86">
            <w:pPr>
              <w:pStyle w:val="ECDSMarginHead"/>
            </w:pPr>
            <w:r w:rsidRPr="005D4222">
              <w:t>Initial population</w:t>
            </w:r>
          </w:p>
        </w:tc>
        <w:tc>
          <w:tcPr>
            <w:tcW w:w="3929"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2BDC058" w14:textId="77777777" w:rsidR="00043C86" w:rsidRPr="005D4222" w:rsidRDefault="00043C86">
            <w:pPr>
              <w:pStyle w:val="ECDSBody"/>
            </w:pPr>
            <w:r w:rsidRPr="005D4222">
              <w:rPr>
                <w:i/>
                <w:iCs/>
              </w:rPr>
              <w:t xml:space="preserve">Measure item count: </w:t>
            </w:r>
            <w:r w:rsidRPr="005D4222">
              <w:t>Person.</w:t>
            </w:r>
          </w:p>
          <w:p w14:paraId="7488F20B" w14:textId="77777777" w:rsidR="00043C86" w:rsidRPr="005D4222" w:rsidRDefault="00043C86">
            <w:pPr>
              <w:pStyle w:val="ECDSBody"/>
            </w:pPr>
            <w:r w:rsidRPr="005D4222">
              <w:rPr>
                <w:i/>
                <w:iCs/>
              </w:rPr>
              <w:t xml:space="preserve">Attribution basis: </w:t>
            </w:r>
            <w:r w:rsidRPr="005D4222">
              <w:t>Enrollment.</w:t>
            </w:r>
          </w:p>
          <w:p w14:paraId="44BA766C" w14:textId="77777777" w:rsidR="00043C86" w:rsidRPr="005D4222" w:rsidRDefault="00043C86" w:rsidP="00043C86">
            <w:pPr>
              <w:pStyle w:val="Bullet"/>
              <w:tabs>
                <w:tab w:val="left" w:pos="360"/>
                <w:tab w:val="left" w:pos="576"/>
              </w:tabs>
            </w:pPr>
            <w:r w:rsidRPr="005D4222">
              <w:rPr>
                <w:i/>
                <w:iCs/>
              </w:rPr>
              <w:t>Benefits:</w:t>
            </w:r>
            <w:r w:rsidRPr="005D4222">
              <w:t xml:space="preserve"> Medical.</w:t>
            </w:r>
          </w:p>
          <w:p w14:paraId="405DF2C3" w14:textId="77777777" w:rsidR="00043C86" w:rsidRPr="005D4222" w:rsidRDefault="00043C86" w:rsidP="00043C86">
            <w:pPr>
              <w:pStyle w:val="Bullet"/>
              <w:tabs>
                <w:tab w:val="left" w:pos="360"/>
                <w:tab w:val="left" w:pos="576"/>
              </w:tabs>
            </w:pPr>
            <w:r w:rsidRPr="005D4222">
              <w:rPr>
                <w:i/>
                <w:iCs/>
              </w:rPr>
              <w:t>Continuous enrollment:</w:t>
            </w:r>
            <w:r w:rsidRPr="005D4222">
              <w:t xml:space="preserve"> The measurement period.</w:t>
            </w:r>
          </w:p>
          <w:p w14:paraId="6F370166" w14:textId="77777777" w:rsidR="00043C86" w:rsidRPr="005D4222" w:rsidRDefault="00043C86" w:rsidP="00043C86">
            <w:pPr>
              <w:pStyle w:val="Bullet"/>
              <w:tabs>
                <w:tab w:val="left" w:pos="360"/>
                <w:tab w:val="left" w:pos="576"/>
              </w:tabs>
            </w:pPr>
            <w:r w:rsidRPr="005D4222">
              <w:rPr>
                <w:i/>
                <w:iCs/>
              </w:rPr>
              <w:t xml:space="preserve">Allowable gap: </w:t>
            </w:r>
            <w:r w:rsidRPr="005D4222">
              <w:t>No more than one gap of ≤45 days during the measurement period. No gaps on the last day of the measurement period.</w:t>
            </w:r>
          </w:p>
          <w:p w14:paraId="2C3D88BD" w14:textId="77777777" w:rsidR="00043C86" w:rsidRPr="005D4222" w:rsidRDefault="00043C86">
            <w:pPr>
              <w:pStyle w:val="ECDSBody"/>
            </w:pPr>
            <w:r w:rsidRPr="005D4222">
              <w:rPr>
                <w:i/>
                <w:iCs/>
              </w:rPr>
              <w:t>Ages:</w:t>
            </w:r>
            <w:r w:rsidRPr="005D4222">
              <w:t xml:space="preserve"> 3–17 years of age as of the last day of the measurement period.</w:t>
            </w:r>
          </w:p>
          <w:p w14:paraId="2DAB84A9" w14:textId="77777777" w:rsidR="00DD52A4" w:rsidRPr="005D4222" w:rsidRDefault="00043C86">
            <w:pPr>
              <w:pStyle w:val="ECDSBody"/>
              <w:rPr>
                <w:b/>
                <w:bCs w:val="0"/>
              </w:rPr>
            </w:pPr>
            <w:r w:rsidRPr="005D4222">
              <w:rPr>
                <w:i/>
                <w:iCs/>
              </w:rPr>
              <w:t>Event:</w:t>
            </w:r>
            <w:r w:rsidRPr="005D4222">
              <w:rPr>
                <w:b/>
                <w:bCs w:val="0"/>
                <w:i/>
                <w:iCs/>
              </w:rPr>
              <w:t xml:space="preserve"> </w:t>
            </w:r>
            <w:r w:rsidRPr="005D4222">
              <w:rPr>
                <w:b/>
                <w:bCs w:val="0"/>
              </w:rPr>
              <w:t>Persons with an outpatient visit with a PCP or an OB/GYN.</w:t>
            </w:r>
          </w:p>
          <w:p w14:paraId="4FB376AD" w14:textId="6F01A889" w:rsidR="00043C86" w:rsidRPr="005D4222" w:rsidRDefault="00043C86">
            <w:pPr>
              <w:pStyle w:val="ECDSBody"/>
            </w:pPr>
            <w:r w:rsidRPr="005D4222">
              <w:t>An outpatient visit (</w:t>
            </w:r>
            <w:r w:rsidRPr="005D4222">
              <w:rPr>
                <w:u w:val="single"/>
              </w:rPr>
              <w:t>Outpatient Value Set</w:t>
            </w:r>
            <w:r w:rsidRPr="005D4222">
              <w:t>) with a PCP or an OB/GYN during the measurement period.</w:t>
            </w:r>
          </w:p>
        </w:tc>
      </w:tr>
      <w:tr w:rsidR="00043C86" w:rsidRPr="005D4222" w14:paraId="67AE6AD0" w14:textId="7777777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300"/>
        </w:trPr>
        <w:tc>
          <w:tcPr>
            <w:tcW w:w="1071" w:type="pct"/>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87E04E4" w14:textId="77777777" w:rsidR="00043C86" w:rsidRPr="005D4222" w:rsidRDefault="00043C86">
            <w:pPr>
              <w:pStyle w:val="ECDSMarginHead"/>
            </w:pPr>
            <w:r w:rsidRPr="005D4222">
              <w:t xml:space="preserve">Denominator exclusions </w:t>
            </w:r>
          </w:p>
        </w:tc>
        <w:tc>
          <w:tcPr>
            <w:tcW w:w="3929"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74A13656" w14:textId="51154ED3" w:rsidR="005E407D" w:rsidRPr="005D4222" w:rsidRDefault="00043C86" w:rsidP="005E407D">
            <w:pPr>
              <w:pStyle w:val="ECDSBody"/>
              <w:rPr>
                <w:rFonts w:eastAsiaTheme="majorEastAsia"/>
              </w:rPr>
            </w:pPr>
            <w:bookmarkStart w:id="269" w:name="_Hlk137669212"/>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w:t>
            </w:r>
            <w:bookmarkEnd w:id="269"/>
          </w:p>
        </w:tc>
      </w:tr>
    </w:tbl>
    <w:p w14:paraId="48395181" w14:textId="77777777" w:rsidR="005E407D" w:rsidRPr="005D4222" w:rsidRDefault="005E407D">
      <w:pPr>
        <w:spacing w:after="160" w:line="259" w:lineRule="auto"/>
      </w:pPr>
      <w:r w:rsidRPr="005D4222">
        <w:br w:type="page"/>
      </w:r>
    </w:p>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081"/>
        <w:gridCol w:w="7633"/>
      </w:tblGrid>
      <w:tr w:rsidR="00043C86" w:rsidRPr="005D4222" w14:paraId="0C736D2C" w14:textId="77777777" w:rsidTr="005E407D">
        <w:trPr>
          <w:trHeight w:val="300"/>
        </w:trPr>
        <w:tc>
          <w:tcPr>
            <w:tcW w:w="1071" w:type="pct"/>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944AB38" w14:textId="77777777" w:rsidR="00043C86" w:rsidRPr="005D4222" w:rsidRDefault="00043C86">
            <w:pPr>
              <w:pStyle w:val="ECDSBody"/>
            </w:pPr>
          </w:p>
        </w:tc>
        <w:tc>
          <w:tcPr>
            <w:tcW w:w="3929"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5CE55313" w14:textId="77777777" w:rsidR="005E407D" w:rsidRPr="005D4222" w:rsidRDefault="005E407D" w:rsidP="005E407D">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4A694E46" w14:textId="6059ABC8" w:rsidR="00043C86" w:rsidRPr="005D4222" w:rsidRDefault="00900750">
            <w:pPr>
              <w:pStyle w:val="ECDSBody"/>
              <w:rPr>
                <w:rFonts w:eastAsia="Arial,Arial,Arial,Arial,Arial,A"/>
                <w:b/>
              </w:rPr>
            </w:pPr>
            <w:r w:rsidRPr="005D4222">
              <w:rPr>
                <w:rFonts w:eastAsia="Arial,Arial,Arial,Arial,Arial,A"/>
                <w:b/>
              </w:rPr>
              <w:t>D</w:t>
            </w:r>
            <w:r w:rsidR="00043C86" w:rsidRPr="005D4222">
              <w:rPr>
                <w:rFonts w:eastAsia="Arial,Arial,Arial,Arial,Arial,A"/>
                <w:b/>
              </w:rPr>
              <w:t>iagnosis of pregnanc</w:t>
            </w:r>
            <w:r w:rsidRPr="005D4222">
              <w:rPr>
                <w:rFonts w:eastAsia="Arial,Arial,Arial,Arial,Arial,A"/>
                <w:b/>
              </w:rPr>
              <w:t>y</w:t>
            </w:r>
            <w:r w:rsidR="00043C86" w:rsidRPr="005D4222">
              <w:rPr>
                <w:rFonts w:eastAsia="Arial,Arial,Arial,Arial,Arial,A"/>
                <w:b/>
              </w:rPr>
              <w:t>.</w:t>
            </w:r>
            <w:r w:rsidR="00043C86" w:rsidRPr="005D4222">
              <w:rPr>
                <w:rFonts w:eastAsia="Arial,Arial,Arial,Arial,Arial,A"/>
                <w:b/>
              </w:rPr>
              <w:br/>
            </w:r>
            <w:r w:rsidR="00043C86" w:rsidRPr="005D4222">
              <w:rPr>
                <w:rFonts w:eastAsia="Arial,Arial,Arial,Arial,Arial,A"/>
              </w:rPr>
              <w:t xml:space="preserve">Persons with a diagnosis of pregnancy </w:t>
            </w:r>
            <w:r w:rsidR="00043C86" w:rsidRPr="005D4222">
              <w:t>(</w:t>
            </w:r>
            <w:r w:rsidR="00043C86" w:rsidRPr="005D4222">
              <w:rPr>
                <w:u w:val="single"/>
              </w:rPr>
              <w:t>Pregnancy Value Set</w:t>
            </w:r>
            <w:r w:rsidR="00043C86" w:rsidRPr="005D4222">
              <w:t>*) any time during the measurement period.</w:t>
            </w:r>
          </w:p>
          <w:p w14:paraId="44EC9F7B" w14:textId="77777777" w:rsidR="00043C86" w:rsidRPr="005D4222" w:rsidRDefault="00043C86">
            <w:pPr>
              <w:pStyle w:val="ECDSBody"/>
              <w:spacing w:after="0"/>
              <w:rPr>
                <w:b/>
                <w:bCs w:val="0"/>
              </w:rPr>
            </w:pPr>
            <w:r w:rsidRPr="005D4222">
              <w:rPr>
                <w:b/>
                <w:bCs w:val="0"/>
              </w:rPr>
              <w:t>Coding Guidance</w:t>
            </w:r>
          </w:p>
          <w:p w14:paraId="44AF1989" w14:textId="77777777" w:rsidR="00043C86" w:rsidRPr="005D4222" w:rsidRDefault="00043C86">
            <w:pPr>
              <w:pStyle w:val="ECDSBody"/>
              <w:spacing w:before="0"/>
              <w:rPr>
                <w:b/>
              </w:rPr>
            </w:pPr>
            <w:r w:rsidRPr="005D4222">
              <w:rPr>
                <w:rFonts w:eastAsia="Arial,Arial,Arial,Arial,Arial,A"/>
              </w:rPr>
              <w:t>*Do not include laboratory claims (claims with POS code 81).</w:t>
            </w:r>
          </w:p>
        </w:tc>
      </w:tr>
      <w:tr w:rsidR="00043C86" w:rsidRPr="005D4222" w14:paraId="594BEFE4" w14:textId="77777777" w:rsidTr="005E407D">
        <w:trPr>
          <w:trHeight w:val="417"/>
        </w:trPr>
        <w:tc>
          <w:tcPr>
            <w:tcW w:w="1071"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32FE0A4" w14:textId="77777777" w:rsidR="00043C86" w:rsidRPr="005D4222" w:rsidRDefault="00043C86">
            <w:pPr>
              <w:pStyle w:val="ECDSMarginHead"/>
            </w:pPr>
            <w:r w:rsidRPr="005D4222">
              <w:t>Denominator</w:t>
            </w:r>
          </w:p>
        </w:tc>
        <w:tc>
          <w:tcPr>
            <w:tcW w:w="3929"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EC9BB23" w14:textId="77777777" w:rsidR="00043C86" w:rsidRPr="005D4222" w:rsidRDefault="00043C86">
            <w:pPr>
              <w:pStyle w:val="Admin"/>
            </w:pPr>
            <w:r w:rsidRPr="005D4222">
              <w:t xml:space="preserve">ADMINISTRATIVE </w:t>
            </w:r>
          </w:p>
          <w:p w14:paraId="3C1CF319" w14:textId="77777777" w:rsidR="00043C86" w:rsidRPr="005D4222" w:rsidRDefault="00043C86">
            <w:pPr>
              <w:pStyle w:val="ECDSBody"/>
              <w:spacing w:before="0"/>
              <w:rPr>
                <w:rFonts w:eastAsia="Arial,Arial,Arial,Arial,Arial,A"/>
              </w:rPr>
            </w:pPr>
            <w:r w:rsidRPr="005D4222">
              <w:rPr>
                <w:rFonts w:eastAsia="Arial,Arial,Arial,Arial,Arial,A"/>
              </w:rPr>
              <w:t>The initial population minus denominator exclusions.</w:t>
            </w:r>
          </w:p>
          <w:p w14:paraId="3DA6E790" w14:textId="77777777" w:rsidR="00043C86" w:rsidRPr="005D4222" w:rsidRDefault="00043C86">
            <w:pPr>
              <w:pStyle w:val="Admin"/>
              <w:spacing w:before="180"/>
            </w:pPr>
            <w:r w:rsidRPr="005D4222">
              <w:t xml:space="preserve">HYBRID </w:t>
            </w:r>
          </w:p>
          <w:p w14:paraId="470E6537" w14:textId="77777777" w:rsidR="00043C86" w:rsidRPr="005D4222" w:rsidRDefault="00043C86">
            <w:pPr>
              <w:pStyle w:val="ECDSBody"/>
              <w:spacing w:before="0"/>
              <w:rPr>
                <w:rFonts w:eastAsia="Arial,Arial,Arial,Arial,Arial,A"/>
              </w:rPr>
            </w:pPr>
            <w:r w:rsidRPr="005D4222">
              <w:rPr>
                <w:rFonts w:eastAsia="Arial,Arial,Arial,Arial,Arial,A"/>
              </w:rPr>
              <w:t>A systematic sample drawn from the administrative denominator for each product line for the total age band (3–17 years). The total sample is stratified by age to report rates for the 3–11 and 12–17 age stratifications.</w:t>
            </w:r>
          </w:p>
          <w:p w14:paraId="0E4DCA06" w14:textId="098710CD" w:rsidR="00043C86" w:rsidRPr="005D4222" w:rsidRDefault="00043C86">
            <w:pPr>
              <w:pStyle w:val="ECDSBody"/>
              <w:rPr>
                <w:b/>
              </w:rPr>
            </w:pPr>
            <w:r w:rsidRPr="005D4222">
              <w:rPr>
                <w:rFonts w:eastAsia="Arial,Arial,Arial,Arial,Arial,A"/>
                <w:szCs w:val="21"/>
              </w:rPr>
              <w:t xml:space="preserve">Organizations may reduce the sample size using the current year’s administrative rate or the prior year’s audited, product line-specific rate for the lowest of the three indicator rates for the total age band. Refer to the </w:t>
            </w:r>
            <w:hyperlink w:anchor="Guidelines_for_Sampling" w:history="1">
              <w:r w:rsidRPr="005D4222">
                <w:rPr>
                  <w:rStyle w:val="Hyperlink"/>
                  <w:rFonts w:eastAsia="Arial,Arial,Arial,Arial,Arial,A"/>
                  <w:i/>
                  <w:iCs/>
                  <w:szCs w:val="21"/>
                </w:rPr>
                <w:t>Guidelines for Calculations and Sampling</w:t>
              </w:r>
            </w:hyperlink>
            <w:r w:rsidRPr="005D4222">
              <w:rPr>
                <w:rFonts w:eastAsia="Arial,Arial,Arial,Arial,Arial,A"/>
                <w:szCs w:val="21"/>
              </w:rPr>
              <w:t xml:space="preserve"> for information on reducing the sample size.</w:t>
            </w:r>
          </w:p>
        </w:tc>
      </w:tr>
      <w:tr w:rsidR="00043C86" w:rsidRPr="005D4222" w14:paraId="1181BE00" w14:textId="77777777" w:rsidTr="005E407D">
        <w:trPr>
          <w:trHeight w:val="417"/>
        </w:trPr>
        <w:tc>
          <w:tcPr>
            <w:tcW w:w="1071"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13EE202" w14:textId="77777777" w:rsidR="00043C86" w:rsidRPr="005D4222" w:rsidRDefault="00043C86">
            <w:pPr>
              <w:pStyle w:val="ECDSMarginHead"/>
            </w:pPr>
            <w:r w:rsidRPr="005D4222">
              <w:t xml:space="preserve">Numerator </w:t>
            </w:r>
          </w:p>
        </w:tc>
        <w:tc>
          <w:tcPr>
            <w:tcW w:w="3929"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74713AF1" w14:textId="77777777" w:rsidR="00043C86" w:rsidRPr="005D4222" w:rsidRDefault="00043C86">
            <w:pPr>
              <w:pStyle w:val="Admin"/>
            </w:pPr>
            <w:r w:rsidRPr="005D4222">
              <w:t xml:space="preserve">ADMINISTRATIVE </w:t>
            </w:r>
          </w:p>
          <w:p w14:paraId="36EF360C" w14:textId="77777777" w:rsidR="00043C86" w:rsidRPr="005D4222" w:rsidRDefault="00043C86">
            <w:pPr>
              <w:pStyle w:val="ECDSBody"/>
            </w:pPr>
            <w:r w:rsidRPr="005D4222">
              <w:rPr>
                <w:b/>
              </w:rPr>
              <w:t>Numerator 1:</w:t>
            </w:r>
            <w:r w:rsidRPr="005D4222">
              <w:rPr>
                <w:b/>
                <w:i/>
                <w:iCs/>
              </w:rPr>
              <w:t xml:space="preserve"> </w:t>
            </w:r>
            <w:r w:rsidRPr="005D4222">
              <w:rPr>
                <w:b/>
              </w:rPr>
              <w:t>BMI percentile.</w:t>
            </w:r>
            <w:r w:rsidRPr="005D4222">
              <w:rPr>
                <w:b/>
              </w:rPr>
              <w:br/>
            </w:r>
            <w:r w:rsidRPr="005D4222">
              <w:t>Persons with BMI percentile (</w:t>
            </w:r>
            <w:r w:rsidRPr="005D4222">
              <w:rPr>
                <w:u w:val="single"/>
              </w:rPr>
              <w:t>BMI Percentile Value Set</w:t>
            </w:r>
            <w:r w:rsidRPr="005D4222">
              <w:t>*) assessed during the measurement period.</w:t>
            </w:r>
          </w:p>
          <w:p w14:paraId="11F94600" w14:textId="77777777" w:rsidR="00043C86" w:rsidRPr="005D4222" w:rsidRDefault="00043C86">
            <w:pPr>
              <w:pStyle w:val="ECDSBody"/>
            </w:pPr>
            <w:r w:rsidRPr="005D4222">
              <w:rPr>
                <w:b/>
              </w:rPr>
              <w:t>Numerator 2</w:t>
            </w:r>
            <w:r w:rsidRPr="005D4222">
              <w:rPr>
                <w:b/>
                <w:i/>
                <w:iCs/>
              </w:rPr>
              <w:t xml:space="preserve">: </w:t>
            </w:r>
            <w:r w:rsidRPr="005D4222">
              <w:rPr>
                <w:b/>
              </w:rPr>
              <w:t>Counseling for nutrition.</w:t>
            </w:r>
            <w:r w:rsidRPr="005D4222">
              <w:rPr>
                <w:b/>
              </w:rPr>
              <w:br/>
            </w:r>
            <w:r w:rsidRPr="005D4222">
              <w:t>Persons who received counseling for nutrition (</w:t>
            </w:r>
            <w:r w:rsidRPr="005D4222">
              <w:rPr>
                <w:u w:val="single"/>
              </w:rPr>
              <w:t>Nutrition Counseling Value Set</w:t>
            </w:r>
            <w:r w:rsidRPr="005D4222">
              <w:t>, ICD10CM code Z71.3*) during the measurement period.</w:t>
            </w:r>
          </w:p>
          <w:p w14:paraId="22FF2719" w14:textId="77777777" w:rsidR="00043C86" w:rsidRPr="005D4222" w:rsidRDefault="00043C86">
            <w:pPr>
              <w:pStyle w:val="ECDSBody"/>
            </w:pPr>
            <w:r w:rsidRPr="005D4222">
              <w:rPr>
                <w:b/>
              </w:rPr>
              <w:t>Numerator 3</w:t>
            </w:r>
            <w:r w:rsidRPr="005D4222">
              <w:rPr>
                <w:b/>
                <w:i/>
                <w:iCs/>
              </w:rPr>
              <w:t xml:space="preserve">: </w:t>
            </w:r>
            <w:r w:rsidRPr="005D4222">
              <w:rPr>
                <w:b/>
              </w:rPr>
              <w:t>Counseling for physical activity.</w:t>
            </w:r>
            <w:r w:rsidRPr="005D4222">
              <w:rPr>
                <w:b/>
              </w:rPr>
              <w:br/>
            </w:r>
            <w:r w:rsidRPr="005D4222">
              <w:t>Persons who received counseling for physical activity (</w:t>
            </w:r>
            <w:r w:rsidRPr="005D4222">
              <w:rPr>
                <w:u w:val="single"/>
              </w:rPr>
              <w:t>Physical Activity Counseling Value Set</w:t>
            </w:r>
            <w:r w:rsidRPr="005D4222">
              <w:t xml:space="preserve">, </w:t>
            </w:r>
            <w:r w:rsidRPr="005D4222">
              <w:rPr>
                <w:u w:val="single"/>
              </w:rPr>
              <w:t>Encounter for Physical Activity Counseling Value Set</w:t>
            </w:r>
            <w:r w:rsidRPr="005D4222">
              <w:t>*) during the measurement period.</w:t>
            </w:r>
          </w:p>
          <w:p w14:paraId="318BAD4B" w14:textId="77777777" w:rsidR="00043C86" w:rsidRPr="005D4222" w:rsidRDefault="00043C86">
            <w:pPr>
              <w:pStyle w:val="ECDSBody"/>
              <w:spacing w:after="0"/>
              <w:rPr>
                <w:b/>
              </w:rPr>
            </w:pPr>
            <w:r w:rsidRPr="005D4222">
              <w:rPr>
                <w:b/>
              </w:rPr>
              <w:t>Coding Guidance</w:t>
            </w:r>
          </w:p>
          <w:p w14:paraId="5683ED76" w14:textId="77777777" w:rsidR="00043C86" w:rsidRPr="005D4222" w:rsidRDefault="00043C86" w:rsidP="00DD52A4">
            <w:pPr>
              <w:pStyle w:val="ECDSBody"/>
              <w:spacing w:before="0"/>
              <w:rPr>
                <w:rFonts w:eastAsia="Arial,Arial,Arial,Arial,Arial,A"/>
              </w:rPr>
            </w:pPr>
            <w:r w:rsidRPr="005D4222">
              <w:rPr>
                <w:rFonts w:eastAsia="Arial,Arial,Arial,Arial,Arial,A"/>
                <w:b/>
              </w:rPr>
              <w:t>*</w:t>
            </w:r>
            <w:r w:rsidRPr="005D4222">
              <w:rPr>
                <w:rFonts w:eastAsia="Arial,Arial,Arial,Arial,Arial,A"/>
              </w:rPr>
              <w:t>Do not include laboratory claims (claims with POS code 81).</w:t>
            </w:r>
          </w:p>
          <w:p w14:paraId="1E39B231" w14:textId="77777777" w:rsidR="00043C86" w:rsidRPr="005D4222" w:rsidRDefault="00043C86">
            <w:pPr>
              <w:pStyle w:val="Admin"/>
              <w:spacing w:before="180"/>
            </w:pPr>
            <w:r w:rsidRPr="005D4222">
              <w:t xml:space="preserve">HYBRID </w:t>
            </w:r>
          </w:p>
          <w:p w14:paraId="2675D1FA" w14:textId="77777777" w:rsidR="00043C86" w:rsidRPr="005D4222" w:rsidRDefault="00043C86">
            <w:pPr>
              <w:pStyle w:val="ECDSBody"/>
              <w:rPr>
                <w:b/>
                <w:shd w:val="clear" w:color="auto" w:fill="FFFFFF"/>
              </w:rPr>
            </w:pPr>
            <w:r w:rsidRPr="005D4222">
              <w:rPr>
                <w:i/>
                <w:iCs/>
              </w:rPr>
              <w:t>Administrative:</w:t>
            </w:r>
            <w:r w:rsidRPr="005D4222">
              <w:t xml:space="preserve"> Refer to the administrative specifications to identify positive numerator hits from administrative data.</w:t>
            </w:r>
          </w:p>
          <w:p w14:paraId="110524F0" w14:textId="77777777" w:rsidR="00043C86" w:rsidRPr="005D4222" w:rsidDel="00AC6A5D" w:rsidRDefault="00043C86">
            <w:pPr>
              <w:pStyle w:val="ECDSBody"/>
              <w:rPr>
                <w:shd w:val="clear" w:color="auto" w:fill="FFFFFF"/>
              </w:rPr>
            </w:pPr>
            <w:r w:rsidRPr="005D4222">
              <w:rPr>
                <w:b/>
                <w:shd w:val="clear" w:color="auto" w:fill="FFFFFF"/>
              </w:rPr>
              <w:t>Numerator 1: BMI percentile.</w:t>
            </w:r>
            <w:r w:rsidRPr="005D4222">
              <w:rPr>
                <w:b/>
                <w:shd w:val="clear" w:color="auto" w:fill="FFFFFF"/>
              </w:rPr>
              <w:br/>
            </w:r>
            <w:r w:rsidRPr="005D4222">
              <w:rPr>
                <w:bCs w:val="0"/>
                <w:shd w:val="clear" w:color="auto" w:fill="FFFFFF"/>
              </w:rPr>
              <w:t xml:space="preserve">BMI percentile during the measurement period as identified by administrative data or medical record review. </w:t>
            </w:r>
          </w:p>
          <w:p w14:paraId="0D66B8BF" w14:textId="77777777" w:rsidR="00043C86" w:rsidRPr="005D4222" w:rsidRDefault="00043C86">
            <w:pPr>
              <w:pStyle w:val="ECDSBody"/>
              <w:rPr>
                <w:shd w:val="clear" w:color="auto" w:fill="FFFFFF"/>
              </w:rPr>
            </w:pPr>
            <w:r w:rsidRPr="005D4222">
              <w:rPr>
                <w:i/>
                <w:iCs/>
                <w:shd w:val="clear" w:color="auto" w:fill="FFFFFF"/>
              </w:rPr>
              <w:t>Medical record:</w:t>
            </w:r>
            <w:r w:rsidRPr="005D4222">
              <w:rPr>
                <w:shd w:val="clear" w:color="auto" w:fill="FFFFFF"/>
              </w:rPr>
              <w:t xml:space="preserve"> Documentation must include height, weight and BMI percentile during the measurement period. The height, weight and BMI percentile must be from the same data source. </w:t>
            </w:r>
          </w:p>
          <w:p w14:paraId="38CA3BA6" w14:textId="77777777" w:rsidR="00043C86" w:rsidRPr="005D4222" w:rsidRDefault="00043C86">
            <w:pPr>
              <w:pStyle w:val="ECDSBody"/>
              <w:spacing w:before="180"/>
              <w:rPr>
                <w:shd w:val="clear" w:color="auto" w:fill="FFFFFF"/>
              </w:rPr>
            </w:pPr>
            <w:r w:rsidRPr="005D4222">
              <w:rPr>
                <w:shd w:val="clear" w:color="auto" w:fill="FFFFFF"/>
              </w:rPr>
              <w:lastRenderedPageBreak/>
              <w:t>Either of the following meets criteria for BMI percentile:</w:t>
            </w:r>
          </w:p>
          <w:p w14:paraId="415F14FD" w14:textId="77777777" w:rsidR="00043C86" w:rsidRPr="005D4222" w:rsidRDefault="00043C86" w:rsidP="00043C86">
            <w:pPr>
              <w:pStyle w:val="Bullet"/>
              <w:tabs>
                <w:tab w:val="left" w:pos="360"/>
                <w:tab w:val="left" w:pos="576"/>
              </w:tabs>
              <w:rPr>
                <w:shd w:val="clear" w:color="auto" w:fill="FFFFFF"/>
              </w:rPr>
            </w:pPr>
            <w:r w:rsidRPr="005D4222">
              <w:rPr>
                <w:shd w:val="clear" w:color="auto" w:fill="FFFFFF"/>
              </w:rPr>
              <w:t>BMI percentile documented as a value (e.g., 85th percentile).</w:t>
            </w:r>
          </w:p>
          <w:p w14:paraId="77B504E6" w14:textId="77777777" w:rsidR="00043C86" w:rsidRPr="005D4222" w:rsidRDefault="00043C86" w:rsidP="00043C86">
            <w:pPr>
              <w:pStyle w:val="Bullet"/>
              <w:tabs>
                <w:tab w:val="left" w:pos="360"/>
                <w:tab w:val="left" w:pos="576"/>
              </w:tabs>
              <w:spacing w:after="80"/>
            </w:pPr>
            <w:r w:rsidRPr="005D4222">
              <w:rPr>
                <w:shd w:val="clear" w:color="auto" w:fill="FFFFFF"/>
              </w:rPr>
              <w:t>BMI percentile plotted on an age-growth chart.</w:t>
            </w:r>
          </w:p>
          <w:p w14:paraId="7689E755" w14:textId="77777777" w:rsidR="00043C86" w:rsidRPr="005D4222" w:rsidRDefault="00043C86">
            <w:pPr>
              <w:pStyle w:val="ECDSBody"/>
              <w:spacing w:before="180"/>
              <w:rPr>
                <w:shd w:val="clear" w:color="auto" w:fill="FFFFFF"/>
              </w:rPr>
            </w:pPr>
            <w:r w:rsidRPr="005D4222">
              <w:rPr>
                <w:shd w:val="clear" w:color="auto" w:fill="FFFFFF"/>
              </w:rPr>
              <w:t xml:space="preserve">Only evidence of the BMI percentile or BMI percentile plotted on an age-growth chart meets criteria. </w:t>
            </w:r>
          </w:p>
          <w:p w14:paraId="237CAAC8" w14:textId="77777777" w:rsidR="00043C86" w:rsidRPr="005D4222" w:rsidRDefault="00043C86">
            <w:pPr>
              <w:pStyle w:val="ECDSBody"/>
            </w:pPr>
            <w:r w:rsidRPr="005D4222">
              <w:t xml:space="preserve">Member-collected biometric values (height, weight, BMI percentile) that meet the requirements of </w:t>
            </w:r>
            <w:r w:rsidRPr="005D4222">
              <w:rPr>
                <w:i/>
                <w:iCs/>
              </w:rPr>
              <w:t>General Guideline: Self-Reported Services and Biometric Values</w:t>
            </w:r>
            <w:r w:rsidRPr="005D4222">
              <w:t xml:space="preserve"> are eligible for use in reporting. </w:t>
            </w:r>
          </w:p>
          <w:p w14:paraId="00B07AB9" w14:textId="77777777" w:rsidR="00043C86" w:rsidRPr="005D4222" w:rsidRDefault="00043C86">
            <w:pPr>
              <w:pStyle w:val="ECDSBody"/>
            </w:pPr>
            <w:r w:rsidRPr="005D4222">
              <w:t xml:space="preserve">Ranges and thresholds do not meet criteria for this indicator. A distinct BMI percentile is required for numerator compliance. Documentation of &gt;99% or &lt;1% meets criteria because a distinct BMI percentile is evident (i.e., 100% </w:t>
            </w:r>
            <w:r w:rsidRPr="005D4222">
              <w:br/>
              <w:t>or 0%).</w:t>
            </w:r>
          </w:p>
          <w:p w14:paraId="0D60CA4D" w14:textId="77777777" w:rsidR="00043C86" w:rsidRPr="005D4222" w:rsidRDefault="00043C86">
            <w:pPr>
              <w:pStyle w:val="ECDSBody"/>
              <w:spacing w:before="180"/>
            </w:pPr>
            <w:r w:rsidRPr="005D4222">
              <w:rPr>
                <w:b/>
              </w:rPr>
              <w:t>Numerator 2:</w:t>
            </w:r>
            <w:r w:rsidRPr="005D4222">
              <w:rPr>
                <w:b/>
                <w:i/>
                <w:iCs/>
              </w:rPr>
              <w:t xml:space="preserve"> </w:t>
            </w:r>
            <w:r w:rsidRPr="005D4222">
              <w:rPr>
                <w:b/>
              </w:rPr>
              <w:t>Counseling for nutrition.</w:t>
            </w:r>
            <w:r w:rsidRPr="005D4222">
              <w:rPr>
                <w:b/>
              </w:rPr>
              <w:br/>
            </w:r>
            <w:r w:rsidRPr="005D4222">
              <w:rPr>
                <w:bCs w:val="0"/>
              </w:rPr>
              <w:t>Documentation of counseling for nutrition or referral for nutrition education during the measurement period as identified by administrative data or medical record review.</w:t>
            </w:r>
          </w:p>
          <w:p w14:paraId="553D9D33" w14:textId="77777777" w:rsidR="00043C86" w:rsidRPr="005D4222" w:rsidRDefault="00043C86">
            <w:pPr>
              <w:pStyle w:val="ECDSBody"/>
            </w:pPr>
            <w:r w:rsidRPr="005D4222">
              <w:rPr>
                <w:i/>
                <w:iCs/>
              </w:rPr>
              <w:t>Medical record:</w:t>
            </w:r>
            <w:r w:rsidRPr="005D4222">
              <w:t xml:space="preserve"> Documentation must include a note indicating the date and at least one of the following:</w:t>
            </w:r>
          </w:p>
          <w:p w14:paraId="37C49FD5" w14:textId="77777777" w:rsidR="00043C86" w:rsidRPr="005D4222" w:rsidRDefault="00043C86" w:rsidP="00043C86">
            <w:pPr>
              <w:pStyle w:val="Bullet"/>
              <w:tabs>
                <w:tab w:val="left" w:pos="360"/>
                <w:tab w:val="left" w:pos="576"/>
              </w:tabs>
            </w:pPr>
            <w:r w:rsidRPr="005D4222">
              <w:t>Discussion of current nutrition behaviors (e.g., eating habits, dieting behaviors).</w:t>
            </w:r>
          </w:p>
          <w:p w14:paraId="0D347890" w14:textId="77777777" w:rsidR="00043C86" w:rsidRPr="005D4222" w:rsidRDefault="00043C86" w:rsidP="00043C86">
            <w:pPr>
              <w:pStyle w:val="Bullet"/>
              <w:tabs>
                <w:tab w:val="left" w:pos="360"/>
                <w:tab w:val="left" w:pos="576"/>
              </w:tabs>
            </w:pPr>
            <w:r w:rsidRPr="005D4222">
              <w:t>Checklist indicating nutrition was addressed.</w:t>
            </w:r>
          </w:p>
          <w:p w14:paraId="3101D90C" w14:textId="77777777" w:rsidR="00043C86" w:rsidRPr="005D4222" w:rsidRDefault="00043C86" w:rsidP="00043C86">
            <w:pPr>
              <w:pStyle w:val="Bullet"/>
              <w:tabs>
                <w:tab w:val="left" w:pos="360"/>
                <w:tab w:val="left" w:pos="576"/>
              </w:tabs>
            </w:pPr>
            <w:r w:rsidRPr="005D4222">
              <w:t>Counseling or referral for nutrition education.</w:t>
            </w:r>
          </w:p>
          <w:p w14:paraId="2EF065B2" w14:textId="77777777" w:rsidR="00043C86" w:rsidRPr="005D4222" w:rsidRDefault="00043C86" w:rsidP="00043C86">
            <w:pPr>
              <w:pStyle w:val="Bullet"/>
              <w:tabs>
                <w:tab w:val="left" w:pos="360"/>
                <w:tab w:val="left" w:pos="576"/>
              </w:tabs>
            </w:pPr>
            <w:r w:rsidRPr="005D4222">
              <w:t>Received educational materials on nutrition during a face-to-face visit.</w:t>
            </w:r>
          </w:p>
          <w:p w14:paraId="577A2A51" w14:textId="77777777" w:rsidR="00043C86" w:rsidRPr="005D4222" w:rsidRDefault="00043C86" w:rsidP="00043C86">
            <w:pPr>
              <w:pStyle w:val="Bullet"/>
              <w:tabs>
                <w:tab w:val="left" w:pos="360"/>
                <w:tab w:val="left" w:pos="576"/>
              </w:tabs>
            </w:pPr>
            <w:r w:rsidRPr="005D4222">
              <w:t>Anticipatory guidance specific to nutrition.</w:t>
            </w:r>
          </w:p>
          <w:p w14:paraId="04B6384D" w14:textId="77777777" w:rsidR="00043C86" w:rsidRPr="005D4222" w:rsidRDefault="00043C86" w:rsidP="00043C86">
            <w:pPr>
              <w:pStyle w:val="Bullet"/>
              <w:tabs>
                <w:tab w:val="left" w:pos="360"/>
                <w:tab w:val="left" w:pos="576"/>
              </w:tabs>
            </w:pPr>
            <w:r w:rsidRPr="005D4222">
              <w:t>Weight or obesity counseling.</w:t>
            </w:r>
          </w:p>
          <w:p w14:paraId="5D9A9167" w14:textId="77777777" w:rsidR="00043C86" w:rsidRPr="005D4222" w:rsidRDefault="00043C86">
            <w:pPr>
              <w:pStyle w:val="ECDSBody"/>
              <w:spacing w:before="180"/>
            </w:pPr>
            <w:r w:rsidRPr="005D4222">
              <w:rPr>
                <w:b/>
                <w:bCs w:val="0"/>
              </w:rPr>
              <w:t>Numerator 3</w:t>
            </w:r>
            <w:r w:rsidRPr="005D4222">
              <w:rPr>
                <w:b/>
                <w:bCs w:val="0"/>
                <w:i/>
                <w:iCs/>
              </w:rPr>
              <w:t xml:space="preserve">: </w:t>
            </w:r>
            <w:r w:rsidRPr="005D4222">
              <w:rPr>
                <w:b/>
                <w:bCs w:val="0"/>
              </w:rPr>
              <w:t>Counseling for physical activity.</w:t>
            </w:r>
            <w:r w:rsidRPr="005D4222">
              <w:rPr>
                <w:b/>
                <w:bCs w:val="0"/>
              </w:rPr>
              <w:br/>
            </w:r>
            <w:r w:rsidRPr="005D4222">
              <w:t>Documentation of counseling for physical activity or referral for physical activity during the measurement period as identified by administrative data or medical record review.</w:t>
            </w:r>
          </w:p>
          <w:p w14:paraId="0DC8F570" w14:textId="77777777" w:rsidR="00043C86" w:rsidRPr="005D4222" w:rsidRDefault="00043C86">
            <w:pPr>
              <w:pStyle w:val="ECDSBody"/>
            </w:pPr>
            <w:r w:rsidRPr="005D4222">
              <w:rPr>
                <w:i/>
                <w:iCs/>
              </w:rPr>
              <w:t>Medical record:</w:t>
            </w:r>
            <w:r w:rsidRPr="005D4222">
              <w:t xml:space="preserve"> Documentation must include a note indicating the date and at least one of the following:</w:t>
            </w:r>
          </w:p>
          <w:p w14:paraId="717C7511" w14:textId="77777777" w:rsidR="00043C86" w:rsidRPr="005D4222" w:rsidRDefault="00043C86" w:rsidP="00043C86">
            <w:pPr>
              <w:pStyle w:val="Bullet"/>
              <w:tabs>
                <w:tab w:val="left" w:pos="360"/>
                <w:tab w:val="left" w:pos="576"/>
              </w:tabs>
            </w:pPr>
            <w:r w:rsidRPr="005D4222">
              <w:t>Discussion of current physical activity behaviors (e.g., exercise routine, participation in sports activities, exam for sports participation).</w:t>
            </w:r>
          </w:p>
          <w:p w14:paraId="4EA413E5" w14:textId="77777777" w:rsidR="00043C86" w:rsidRPr="005D4222" w:rsidRDefault="00043C86" w:rsidP="00043C86">
            <w:pPr>
              <w:pStyle w:val="Bullet"/>
              <w:tabs>
                <w:tab w:val="left" w:pos="360"/>
                <w:tab w:val="left" w:pos="576"/>
              </w:tabs>
              <w:rPr>
                <w:rFonts w:eastAsia="Arial,Arial,Arial,Arial,Arial,A"/>
              </w:rPr>
            </w:pPr>
            <w:r w:rsidRPr="005D4222">
              <w:t>Checklist indicating physical activity was addressed.</w:t>
            </w:r>
          </w:p>
          <w:p w14:paraId="079C28D0" w14:textId="77777777" w:rsidR="00043C86" w:rsidRPr="005D4222" w:rsidRDefault="00043C86" w:rsidP="00043C86">
            <w:pPr>
              <w:pStyle w:val="Bullet"/>
              <w:tabs>
                <w:tab w:val="left" w:pos="360"/>
                <w:tab w:val="left" w:pos="576"/>
              </w:tabs>
              <w:rPr>
                <w:rFonts w:eastAsia="Arial,Arial,Arial,Arial,Arial,A"/>
              </w:rPr>
            </w:pPr>
            <w:r w:rsidRPr="005D4222">
              <w:t>Counseling or referral for physical activity.</w:t>
            </w:r>
          </w:p>
          <w:p w14:paraId="0CD66744" w14:textId="77777777" w:rsidR="00043C86" w:rsidRPr="005D4222" w:rsidRDefault="00043C86" w:rsidP="00043C86">
            <w:pPr>
              <w:pStyle w:val="Bullet"/>
              <w:tabs>
                <w:tab w:val="left" w:pos="360"/>
                <w:tab w:val="left" w:pos="576"/>
              </w:tabs>
            </w:pPr>
            <w:r w:rsidRPr="005D4222">
              <w:t>Received educational materials on physical activity during a face-to-face visit.</w:t>
            </w:r>
          </w:p>
          <w:p w14:paraId="18445BEB" w14:textId="77777777" w:rsidR="00043C86" w:rsidRPr="005D4222" w:rsidRDefault="00043C86" w:rsidP="00043C86">
            <w:pPr>
              <w:pStyle w:val="Bullet"/>
              <w:tabs>
                <w:tab w:val="left" w:pos="360"/>
                <w:tab w:val="left" w:pos="576"/>
              </w:tabs>
            </w:pPr>
            <w:r w:rsidRPr="005D4222">
              <w:t xml:space="preserve">Anticipatory guidance specific to physical activity. </w:t>
            </w:r>
          </w:p>
          <w:p w14:paraId="11EB78B0" w14:textId="61939C29" w:rsidR="005E407D" w:rsidRPr="005D4222" w:rsidRDefault="00043C86" w:rsidP="005E407D">
            <w:pPr>
              <w:pStyle w:val="Bullet"/>
              <w:tabs>
                <w:tab w:val="left" w:pos="360"/>
                <w:tab w:val="left" w:pos="576"/>
              </w:tabs>
              <w:spacing w:after="80"/>
            </w:pPr>
            <w:r w:rsidRPr="005D4222">
              <w:t>Weight or obesity counseling.</w:t>
            </w:r>
          </w:p>
        </w:tc>
      </w:tr>
    </w:tbl>
    <w:p w14:paraId="37EE92DC" w14:textId="77777777" w:rsidR="005E407D" w:rsidRPr="005D4222" w:rsidRDefault="005E407D">
      <w:pPr>
        <w:spacing w:after="160" w:line="259" w:lineRule="auto"/>
      </w:pPr>
      <w:r w:rsidRPr="005D4222">
        <w:lastRenderedPageBreak/>
        <w:br w:type="page"/>
      </w:r>
    </w:p>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081"/>
        <w:gridCol w:w="7633"/>
      </w:tblGrid>
      <w:tr w:rsidR="00043C86" w:rsidRPr="005D4222" w14:paraId="3C4A4A94" w14:textId="77777777" w:rsidTr="00627AD2">
        <w:trPr>
          <w:trHeight w:val="417"/>
        </w:trPr>
        <w:tc>
          <w:tcPr>
            <w:tcW w:w="1071"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962B31C" w14:textId="77777777" w:rsidR="00043C86" w:rsidRPr="005D4222" w:rsidRDefault="00043C86">
            <w:pPr>
              <w:pStyle w:val="ECDSMarginHead"/>
            </w:pPr>
          </w:p>
        </w:tc>
        <w:tc>
          <w:tcPr>
            <w:tcW w:w="3929"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E4D7C62" w14:textId="77777777" w:rsidR="005E407D" w:rsidRPr="005D4222" w:rsidRDefault="005E407D" w:rsidP="00627AD2">
            <w:pPr>
              <w:pStyle w:val="Body"/>
              <w:spacing w:before="120"/>
              <w:rPr>
                <w:b/>
                <w:bCs/>
                <w:i/>
                <w:iCs/>
                <w:szCs w:val="21"/>
              </w:rPr>
            </w:pPr>
            <w:r w:rsidRPr="005D4222">
              <w:rPr>
                <w:b/>
                <w:bCs/>
                <w:i/>
                <w:iCs/>
                <w:szCs w:val="21"/>
              </w:rPr>
              <w:t>Note</w:t>
            </w:r>
          </w:p>
          <w:p w14:paraId="3DA97E10" w14:textId="77777777" w:rsidR="005E407D" w:rsidRPr="005D4222" w:rsidRDefault="005E407D" w:rsidP="005E407D">
            <w:pPr>
              <w:pStyle w:val="ProcessBullet"/>
              <w:rPr>
                <w:rFonts w:eastAsiaTheme="minorEastAsia"/>
                <w:i/>
                <w:iCs/>
                <w:sz w:val="20"/>
                <w:szCs w:val="20"/>
                <w:lang w:eastAsia="zh-CN"/>
              </w:rPr>
            </w:pPr>
            <w:r w:rsidRPr="005D4222">
              <w:rPr>
                <w:rFonts w:eastAsiaTheme="minorEastAsia"/>
                <w:i/>
                <w:iCs/>
                <w:sz w:val="20"/>
                <w:szCs w:val="20"/>
                <w:lang w:eastAsia="zh-CN"/>
              </w:rPr>
              <w:t xml:space="preserve">The following notations or examples of documentation do not count as numerator compliant: </w:t>
            </w:r>
          </w:p>
          <w:p w14:paraId="2A560A13" w14:textId="77777777" w:rsidR="005E407D" w:rsidRPr="005D4222" w:rsidRDefault="005E407D" w:rsidP="005E407D">
            <w:pPr>
              <w:pStyle w:val="ProcessDash"/>
              <w:spacing w:after="40"/>
              <w:rPr>
                <w:rFonts w:eastAsiaTheme="minorEastAsia"/>
                <w:b/>
                <w:bCs/>
                <w:i/>
                <w:iCs/>
                <w:sz w:val="20"/>
                <w:lang w:eastAsia="zh-CN"/>
              </w:rPr>
            </w:pPr>
            <w:r w:rsidRPr="005D4222">
              <w:rPr>
                <w:rFonts w:eastAsiaTheme="minorEastAsia"/>
                <w:b/>
                <w:bCs/>
                <w:i/>
                <w:iCs/>
                <w:sz w:val="20"/>
                <w:lang w:eastAsia="zh-CN"/>
              </w:rPr>
              <w:t xml:space="preserve">BMI </w:t>
            </w:r>
          </w:p>
          <w:p w14:paraId="41CD41B6" w14:textId="77777777" w:rsidR="005E407D" w:rsidRPr="005D4222" w:rsidRDefault="005E407D" w:rsidP="005E407D">
            <w:pPr>
              <w:pStyle w:val="SquareBullet"/>
              <w:spacing w:after="40"/>
            </w:pPr>
            <w:r w:rsidRPr="005D4222">
              <w:rPr>
                <w:rFonts w:eastAsiaTheme="minorEastAsia"/>
                <w:i/>
                <w:iCs/>
                <w:sz w:val="20"/>
                <w:szCs w:val="20"/>
                <w:lang w:eastAsia="zh-CN"/>
              </w:rPr>
              <w:t xml:space="preserve">No BMI percentile documented in medical record or plotted on age-growth chart. </w:t>
            </w:r>
          </w:p>
          <w:p w14:paraId="1A7DF9FD" w14:textId="77777777" w:rsidR="00043C86" w:rsidRPr="005D4222" w:rsidRDefault="00043C86" w:rsidP="00043C86">
            <w:pPr>
              <w:pStyle w:val="SquareBullet"/>
              <w:spacing w:before="120" w:after="40"/>
              <w:rPr>
                <w:rFonts w:eastAsiaTheme="minorEastAsia"/>
                <w:i/>
                <w:iCs/>
                <w:sz w:val="20"/>
                <w:szCs w:val="20"/>
                <w:lang w:eastAsia="zh-CN"/>
              </w:rPr>
            </w:pPr>
            <w:r w:rsidRPr="005D4222">
              <w:rPr>
                <w:rFonts w:eastAsiaTheme="minorEastAsia"/>
                <w:i/>
                <w:iCs/>
                <w:sz w:val="20"/>
                <w:szCs w:val="20"/>
                <w:lang w:eastAsia="zh-CN"/>
              </w:rPr>
              <w:t xml:space="preserve">Notation of BMI value only. </w:t>
            </w:r>
          </w:p>
          <w:p w14:paraId="6DEC16F4" w14:textId="77777777" w:rsidR="00043C86" w:rsidRPr="005D4222" w:rsidRDefault="00043C86" w:rsidP="00043C86">
            <w:pPr>
              <w:pStyle w:val="SquareBullet"/>
              <w:spacing w:after="40"/>
              <w:rPr>
                <w:rFonts w:eastAsiaTheme="minorEastAsia"/>
                <w:i/>
                <w:iCs/>
                <w:sz w:val="20"/>
                <w:szCs w:val="20"/>
                <w:lang w:eastAsia="zh-CN"/>
              </w:rPr>
            </w:pPr>
            <w:r w:rsidRPr="005D4222">
              <w:rPr>
                <w:rFonts w:eastAsiaTheme="minorEastAsia"/>
                <w:i/>
                <w:iCs/>
                <w:sz w:val="20"/>
                <w:szCs w:val="20"/>
                <w:lang w:eastAsia="zh-CN"/>
              </w:rPr>
              <w:t xml:space="preserve">Notation of height and weight only. </w:t>
            </w:r>
          </w:p>
          <w:p w14:paraId="153989C0" w14:textId="77777777" w:rsidR="00043C86" w:rsidRPr="005D4222" w:rsidRDefault="00043C86" w:rsidP="00043C86">
            <w:pPr>
              <w:pStyle w:val="ProcessDash"/>
              <w:spacing w:after="40"/>
              <w:rPr>
                <w:rFonts w:eastAsiaTheme="minorEastAsia"/>
                <w:b/>
                <w:bCs/>
                <w:i/>
                <w:iCs/>
                <w:sz w:val="20"/>
                <w:lang w:eastAsia="zh-CN"/>
              </w:rPr>
            </w:pPr>
            <w:r w:rsidRPr="005D4222">
              <w:rPr>
                <w:rFonts w:eastAsiaTheme="minorEastAsia"/>
                <w:b/>
                <w:bCs/>
                <w:i/>
                <w:iCs/>
                <w:sz w:val="20"/>
                <w:lang w:eastAsia="zh-CN"/>
              </w:rPr>
              <w:t xml:space="preserve">Nutrition </w:t>
            </w:r>
          </w:p>
          <w:p w14:paraId="5B664F02" w14:textId="77777777" w:rsidR="00043C86" w:rsidRPr="005D4222" w:rsidRDefault="00043C86" w:rsidP="00043C86">
            <w:pPr>
              <w:pStyle w:val="SquareBullet"/>
              <w:spacing w:after="40"/>
              <w:rPr>
                <w:rFonts w:eastAsiaTheme="minorEastAsia"/>
                <w:i/>
                <w:iCs/>
                <w:sz w:val="20"/>
                <w:szCs w:val="20"/>
                <w:lang w:eastAsia="zh-CN"/>
              </w:rPr>
            </w:pPr>
            <w:r w:rsidRPr="005D4222">
              <w:rPr>
                <w:rFonts w:eastAsiaTheme="minorEastAsia"/>
                <w:i/>
                <w:iCs/>
                <w:sz w:val="20"/>
                <w:szCs w:val="20"/>
                <w:lang w:eastAsia="zh-CN"/>
              </w:rPr>
              <w:t xml:space="preserve">No counseling/education on nutrition and diet. </w:t>
            </w:r>
          </w:p>
          <w:p w14:paraId="7EF1EBC5" w14:textId="77777777" w:rsidR="00043C86" w:rsidRPr="005D4222" w:rsidRDefault="00043C86" w:rsidP="00043C86">
            <w:pPr>
              <w:pStyle w:val="SquareBullet"/>
              <w:spacing w:after="40"/>
              <w:rPr>
                <w:rFonts w:eastAsiaTheme="minorEastAsia"/>
                <w:i/>
                <w:iCs/>
                <w:sz w:val="20"/>
                <w:szCs w:val="20"/>
                <w:lang w:eastAsia="zh-CN"/>
              </w:rPr>
            </w:pPr>
            <w:r w:rsidRPr="005D4222">
              <w:rPr>
                <w:rFonts w:eastAsiaTheme="minorEastAsia"/>
                <w:i/>
                <w:iCs/>
                <w:sz w:val="20"/>
                <w:szCs w:val="20"/>
                <w:lang w:eastAsia="zh-CN"/>
              </w:rPr>
              <w:t xml:space="preserve">Counseling/education before or after the measurement period. </w:t>
            </w:r>
          </w:p>
          <w:p w14:paraId="21EEE1EC" w14:textId="77777777" w:rsidR="00043C86" w:rsidRPr="005D4222" w:rsidRDefault="00043C86" w:rsidP="00043C86">
            <w:pPr>
              <w:pStyle w:val="SquareBullet"/>
              <w:spacing w:after="40"/>
              <w:rPr>
                <w:rFonts w:eastAsiaTheme="minorEastAsia"/>
                <w:i/>
                <w:iCs/>
                <w:sz w:val="20"/>
                <w:szCs w:val="20"/>
                <w:lang w:eastAsia="zh-CN"/>
              </w:rPr>
            </w:pPr>
            <w:r w:rsidRPr="005D4222">
              <w:rPr>
                <w:rFonts w:eastAsiaTheme="minorEastAsia"/>
                <w:i/>
                <w:iCs/>
                <w:sz w:val="20"/>
                <w:szCs w:val="20"/>
                <w:lang w:eastAsia="zh-CN"/>
              </w:rPr>
              <w:t xml:space="preserve">Notation of “health education” or “anticipatory guidance” without specific mention of nutrition. </w:t>
            </w:r>
          </w:p>
          <w:p w14:paraId="645DF03A" w14:textId="77777777" w:rsidR="00043C86" w:rsidRPr="005D4222" w:rsidRDefault="00043C86" w:rsidP="00043C86">
            <w:pPr>
              <w:pStyle w:val="SquareBullet"/>
              <w:spacing w:after="40"/>
              <w:rPr>
                <w:rFonts w:eastAsiaTheme="minorEastAsia"/>
                <w:i/>
                <w:iCs/>
                <w:sz w:val="20"/>
                <w:szCs w:val="20"/>
                <w:lang w:eastAsia="zh-CN"/>
              </w:rPr>
            </w:pPr>
            <w:r w:rsidRPr="005D4222">
              <w:rPr>
                <w:rFonts w:eastAsiaTheme="minorEastAsia"/>
                <w:i/>
                <w:iCs/>
                <w:sz w:val="20"/>
                <w:szCs w:val="20"/>
                <w:lang w:eastAsia="zh-CN"/>
              </w:rPr>
              <w:t xml:space="preserve">A physical exam finding or observation alone (e.g., well-nourished) is not compliant because it does not indicate counseling for nutrition. </w:t>
            </w:r>
          </w:p>
          <w:p w14:paraId="02D5C494" w14:textId="77777777" w:rsidR="00043C86" w:rsidRPr="005D4222" w:rsidRDefault="00043C86" w:rsidP="00043C86">
            <w:pPr>
              <w:pStyle w:val="SquareBullet"/>
              <w:spacing w:after="40"/>
              <w:rPr>
                <w:rFonts w:eastAsiaTheme="minorEastAsia"/>
                <w:i/>
                <w:iCs/>
                <w:sz w:val="20"/>
                <w:szCs w:val="20"/>
                <w:lang w:eastAsia="zh-CN"/>
              </w:rPr>
            </w:pPr>
            <w:r w:rsidRPr="005D4222">
              <w:rPr>
                <w:rFonts w:eastAsiaTheme="minorEastAsia"/>
                <w:i/>
                <w:iCs/>
                <w:sz w:val="20"/>
                <w:szCs w:val="20"/>
                <w:lang w:eastAsia="zh-CN"/>
              </w:rPr>
              <w:t xml:space="preserve">Documentation related to “appetite” does not meet criteria. </w:t>
            </w:r>
          </w:p>
          <w:p w14:paraId="5DE31DA2" w14:textId="77777777" w:rsidR="00043C86" w:rsidRPr="005D4222" w:rsidRDefault="00043C86" w:rsidP="00043C86">
            <w:pPr>
              <w:pStyle w:val="ProcessDash"/>
              <w:spacing w:after="40"/>
              <w:rPr>
                <w:rFonts w:eastAsiaTheme="minorEastAsia"/>
                <w:b/>
                <w:bCs/>
                <w:i/>
                <w:iCs/>
                <w:sz w:val="20"/>
                <w:lang w:eastAsia="zh-CN"/>
              </w:rPr>
            </w:pPr>
            <w:r w:rsidRPr="005D4222">
              <w:rPr>
                <w:rFonts w:eastAsiaTheme="minorEastAsia"/>
                <w:b/>
                <w:bCs/>
                <w:i/>
                <w:iCs/>
                <w:sz w:val="20"/>
                <w:lang w:eastAsia="zh-CN"/>
              </w:rPr>
              <w:t xml:space="preserve">Physical Activity </w:t>
            </w:r>
          </w:p>
          <w:p w14:paraId="6CF4AEB6" w14:textId="77777777" w:rsidR="00043C86" w:rsidRPr="005D4222" w:rsidRDefault="00043C86" w:rsidP="00043C86">
            <w:pPr>
              <w:pStyle w:val="SquareBullet"/>
              <w:spacing w:after="40"/>
              <w:rPr>
                <w:rFonts w:eastAsiaTheme="minorEastAsia"/>
                <w:i/>
                <w:iCs/>
                <w:sz w:val="20"/>
                <w:szCs w:val="20"/>
                <w:lang w:eastAsia="zh-CN"/>
              </w:rPr>
            </w:pPr>
            <w:r w:rsidRPr="005D4222">
              <w:rPr>
                <w:rFonts w:eastAsiaTheme="minorEastAsia"/>
                <w:i/>
                <w:iCs/>
                <w:sz w:val="20"/>
                <w:szCs w:val="20"/>
                <w:lang w:eastAsia="zh-CN"/>
              </w:rPr>
              <w:t xml:space="preserve">No counseling/education on physical activity. </w:t>
            </w:r>
          </w:p>
          <w:p w14:paraId="01DF6B51" w14:textId="77777777" w:rsidR="00043C86" w:rsidRPr="005D4222" w:rsidRDefault="00043C86" w:rsidP="00043C86">
            <w:pPr>
              <w:pStyle w:val="SquareBullet"/>
              <w:spacing w:after="40"/>
              <w:rPr>
                <w:rFonts w:eastAsiaTheme="minorEastAsia"/>
                <w:i/>
                <w:iCs/>
                <w:sz w:val="20"/>
                <w:szCs w:val="20"/>
                <w:lang w:eastAsia="zh-CN"/>
              </w:rPr>
            </w:pPr>
            <w:r w:rsidRPr="005D4222">
              <w:rPr>
                <w:rFonts w:eastAsiaTheme="minorEastAsia"/>
                <w:i/>
                <w:iCs/>
                <w:sz w:val="20"/>
                <w:szCs w:val="20"/>
                <w:lang w:eastAsia="zh-CN"/>
              </w:rPr>
              <w:t xml:space="preserve">Notation of “cleared for gym class” alone without documentation of a discussion. </w:t>
            </w:r>
          </w:p>
          <w:p w14:paraId="7324A4D1" w14:textId="77777777" w:rsidR="00043C86" w:rsidRPr="005D4222" w:rsidRDefault="00043C86" w:rsidP="00043C86">
            <w:pPr>
              <w:pStyle w:val="SquareBullet"/>
              <w:spacing w:after="40"/>
              <w:rPr>
                <w:rFonts w:eastAsiaTheme="minorEastAsia"/>
                <w:i/>
                <w:iCs/>
                <w:sz w:val="20"/>
                <w:szCs w:val="20"/>
                <w:lang w:eastAsia="zh-CN"/>
              </w:rPr>
            </w:pPr>
            <w:r w:rsidRPr="005D4222">
              <w:rPr>
                <w:rFonts w:eastAsiaTheme="minorEastAsia"/>
                <w:i/>
                <w:iCs/>
                <w:sz w:val="20"/>
                <w:szCs w:val="20"/>
                <w:lang w:eastAsia="zh-CN"/>
              </w:rPr>
              <w:t xml:space="preserve">Counseling/education before or after the measurement period. </w:t>
            </w:r>
          </w:p>
          <w:p w14:paraId="5FD3CE14" w14:textId="77777777" w:rsidR="00043C86" w:rsidRPr="005D4222" w:rsidRDefault="00043C86" w:rsidP="00043C86">
            <w:pPr>
              <w:pStyle w:val="SquareBullet"/>
              <w:spacing w:after="40"/>
              <w:rPr>
                <w:rFonts w:eastAsiaTheme="minorEastAsia"/>
                <w:i/>
                <w:iCs/>
                <w:sz w:val="20"/>
                <w:szCs w:val="20"/>
                <w:lang w:eastAsia="zh-CN"/>
              </w:rPr>
            </w:pPr>
            <w:r w:rsidRPr="005D4222">
              <w:rPr>
                <w:rFonts w:eastAsiaTheme="minorEastAsia"/>
                <w:i/>
                <w:iCs/>
                <w:sz w:val="20"/>
                <w:szCs w:val="20"/>
                <w:lang w:eastAsia="zh-CN"/>
              </w:rPr>
              <w:t xml:space="preserve">Notation of “health education” or “anticipatory guidance” without specific mention of physical activity. </w:t>
            </w:r>
          </w:p>
          <w:p w14:paraId="5B95B240" w14:textId="77777777" w:rsidR="00043C86" w:rsidRPr="005D4222" w:rsidRDefault="00043C86" w:rsidP="00043C86">
            <w:pPr>
              <w:pStyle w:val="SquareBullet"/>
              <w:spacing w:after="40"/>
              <w:rPr>
                <w:rFonts w:eastAsiaTheme="minorEastAsia"/>
                <w:i/>
                <w:iCs/>
                <w:sz w:val="20"/>
                <w:szCs w:val="20"/>
                <w:lang w:eastAsia="zh-CN"/>
              </w:rPr>
            </w:pPr>
            <w:r w:rsidRPr="005D4222">
              <w:rPr>
                <w:rFonts w:eastAsiaTheme="minorEastAsia"/>
                <w:i/>
                <w:iCs/>
                <w:sz w:val="20"/>
                <w:szCs w:val="20"/>
                <w:lang w:eastAsia="zh-CN"/>
              </w:rPr>
              <w:t xml:space="preserve">Notation of anticipatory guidance related solely to safety (e.g., wears helmet or water safety) without specific mention of physical activity recommendations. </w:t>
            </w:r>
          </w:p>
          <w:p w14:paraId="18E42B0D" w14:textId="77777777" w:rsidR="00043C86" w:rsidRPr="005D4222" w:rsidRDefault="00043C86" w:rsidP="00043C86">
            <w:pPr>
              <w:pStyle w:val="SquareBullet"/>
              <w:spacing w:after="40"/>
              <w:rPr>
                <w:rFonts w:eastAsiaTheme="minorEastAsia"/>
                <w:i/>
                <w:iCs/>
                <w:sz w:val="20"/>
                <w:szCs w:val="20"/>
                <w:lang w:eastAsia="zh-CN"/>
              </w:rPr>
            </w:pPr>
            <w:r w:rsidRPr="005D4222">
              <w:rPr>
                <w:rFonts w:eastAsiaTheme="minorEastAsia"/>
                <w:i/>
                <w:iCs/>
                <w:sz w:val="20"/>
                <w:szCs w:val="20"/>
                <w:lang w:eastAsia="zh-CN"/>
              </w:rPr>
              <w:t xml:space="preserve">Notation solely related to screen time (computer or television) without specific mention of physical activity. </w:t>
            </w:r>
          </w:p>
          <w:p w14:paraId="0454577C" w14:textId="77777777" w:rsidR="00043C86" w:rsidRPr="005D4222" w:rsidRDefault="00043C86" w:rsidP="00F93979">
            <w:pPr>
              <w:pStyle w:val="ProcessBullet"/>
              <w:rPr>
                <w:rFonts w:eastAsiaTheme="minorEastAsia"/>
                <w:i/>
                <w:iCs/>
                <w:sz w:val="20"/>
                <w:szCs w:val="20"/>
              </w:rPr>
            </w:pPr>
            <w:r w:rsidRPr="005D4222">
              <w:rPr>
                <w:rFonts w:eastAsiaTheme="minorEastAsia"/>
                <w:i/>
                <w:iCs/>
                <w:sz w:val="20"/>
                <w:szCs w:val="20"/>
              </w:rPr>
              <w:t xml:space="preserve">Services may be rendered during a visit other than a well-child visit. These services count if the specified documentation is present, regardless of the primary intent of the visit; however, services specific to the assessment or treatment of an acute or chronic condition do not count toward the Counseling for Nutrition and Counseling for Physical Activity indicators. </w:t>
            </w:r>
          </w:p>
          <w:p w14:paraId="32ACE7A5" w14:textId="77777777" w:rsidR="00043C86" w:rsidRPr="005D4222" w:rsidRDefault="00043C86" w:rsidP="00F93979">
            <w:pPr>
              <w:pStyle w:val="ProcessBullet"/>
              <w:rPr>
                <w:rFonts w:eastAsiaTheme="minorEastAsia"/>
                <w:i/>
                <w:iCs/>
                <w:sz w:val="20"/>
                <w:szCs w:val="20"/>
              </w:rPr>
            </w:pPr>
            <w:r w:rsidRPr="005D4222">
              <w:rPr>
                <w:rFonts w:eastAsiaTheme="minorEastAsia"/>
                <w:i/>
                <w:iCs/>
                <w:sz w:val="20"/>
                <w:szCs w:val="20"/>
              </w:rPr>
              <w:t xml:space="preserve">The following documentation is specific to the assessment or treatment of an acute or chronic condition and does not meet criteria: </w:t>
            </w:r>
          </w:p>
          <w:p w14:paraId="2E3F763D" w14:textId="77777777" w:rsidR="00043C86" w:rsidRPr="005D4222" w:rsidRDefault="00043C86" w:rsidP="00043C86">
            <w:pPr>
              <w:pStyle w:val="ProcessDash"/>
              <w:spacing w:after="40"/>
              <w:rPr>
                <w:rFonts w:eastAsiaTheme="minorEastAsia"/>
                <w:i/>
                <w:iCs/>
                <w:sz w:val="20"/>
                <w:lang w:eastAsia="zh-CN"/>
              </w:rPr>
            </w:pPr>
            <w:r w:rsidRPr="005D4222">
              <w:rPr>
                <w:rFonts w:eastAsiaTheme="minorEastAsia"/>
                <w:i/>
                <w:iCs/>
                <w:sz w:val="20"/>
                <w:lang w:eastAsia="zh-CN"/>
              </w:rPr>
              <w:t xml:space="preserve">Notation that a person with chronic knee pain is able to run without limping. </w:t>
            </w:r>
          </w:p>
          <w:p w14:paraId="53A7DF12" w14:textId="77777777" w:rsidR="00043C86" w:rsidRPr="005D4222" w:rsidRDefault="00043C86" w:rsidP="00043C86">
            <w:pPr>
              <w:pStyle w:val="ProcessDash"/>
              <w:spacing w:after="40"/>
              <w:rPr>
                <w:rFonts w:eastAsiaTheme="minorEastAsia"/>
                <w:i/>
                <w:iCs/>
                <w:sz w:val="20"/>
                <w:lang w:eastAsia="zh-CN"/>
              </w:rPr>
            </w:pPr>
            <w:r w:rsidRPr="005D4222">
              <w:rPr>
                <w:rFonts w:eastAsiaTheme="minorEastAsia"/>
                <w:i/>
                <w:iCs/>
                <w:sz w:val="20"/>
                <w:lang w:eastAsia="zh-CN"/>
              </w:rPr>
              <w:t xml:space="preserve">Notation that a person has exercise-induced asthma. </w:t>
            </w:r>
          </w:p>
          <w:p w14:paraId="6A25985E" w14:textId="77777777" w:rsidR="00043C86" w:rsidRPr="005D4222" w:rsidRDefault="00043C86" w:rsidP="00043C86">
            <w:pPr>
              <w:pStyle w:val="ProcessDash"/>
              <w:spacing w:after="40"/>
              <w:rPr>
                <w:rFonts w:eastAsiaTheme="minorEastAsia"/>
                <w:i/>
                <w:iCs/>
                <w:sz w:val="20"/>
                <w:lang w:eastAsia="zh-CN"/>
              </w:rPr>
            </w:pPr>
            <w:r w:rsidRPr="005D4222">
              <w:rPr>
                <w:rFonts w:eastAsiaTheme="minorEastAsia"/>
                <w:i/>
                <w:iCs/>
                <w:sz w:val="20"/>
                <w:lang w:eastAsia="zh-CN"/>
              </w:rPr>
              <w:t xml:space="preserve">Notation that a person with diarrhea is following the BRAT diet. </w:t>
            </w:r>
          </w:p>
          <w:p w14:paraId="3F533E64" w14:textId="77777777" w:rsidR="00043C86" w:rsidRPr="005D4222" w:rsidRDefault="00043C86" w:rsidP="00043C86">
            <w:pPr>
              <w:pStyle w:val="ProcessDash"/>
              <w:spacing w:after="40"/>
              <w:rPr>
                <w:rFonts w:eastAsiaTheme="minorEastAsia"/>
                <w:i/>
                <w:iCs/>
                <w:sz w:val="20"/>
                <w:lang w:eastAsia="zh-CN"/>
              </w:rPr>
            </w:pPr>
            <w:r w:rsidRPr="005D4222">
              <w:rPr>
                <w:rFonts w:eastAsiaTheme="minorEastAsia"/>
                <w:i/>
                <w:iCs/>
                <w:sz w:val="20"/>
                <w:lang w:eastAsia="zh-CN"/>
              </w:rPr>
              <w:t xml:space="preserve">Notation that a person has decreased appetite as a result of an acute or chronic condition. </w:t>
            </w:r>
          </w:p>
          <w:p w14:paraId="778D5FE9" w14:textId="77777777" w:rsidR="00043C86" w:rsidRPr="005D4222" w:rsidRDefault="00043C86" w:rsidP="00F93979">
            <w:pPr>
              <w:pStyle w:val="ProcessBullet"/>
              <w:rPr>
                <w:rFonts w:eastAsiaTheme="minorEastAsia"/>
                <w:i/>
                <w:iCs/>
                <w:sz w:val="20"/>
                <w:szCs w:val="20"/>
              </w:rPr>
            </w:pPr>
            <w:r w:rsidRPr="005D4222">
              <w:rPr>
                <w:rFonts w:eastAsiaTheme="minorEastAsia"/>
                <w:i/>
                <w:iCs/>
                <w:sz w:val="20"/>
                <w:szCs w:val="20"/>
              </w:rPr>
              <w:t xml:space="preserve">Services rendered for obesity or eating disorders may be used to meet criteria for the Counseling for Nutrition and Counseling for Physical Activity indicators if the specified documentation is present. </w:t>
            </w:r>
          </w:p>
          <w:p w14:paraId="35B3582B" w14:textId="6181593B" w:rsidR="00C10805" w:rsidRPr="005D4222" w:rsidRDefault="00043C86" w:rsidP="00C10805">
            <w:pPr>
              <w:pStyle w:val="ProcessBullet"/>
              <w:spacing w:after="80"/>
              <w:rPr>
                <w:i/>
                <w:iCs/>
              </w:rPr>
            </w:pPr>
            <w:r w:rsidRPr="005D4222">
              <w:rPr>
                <w:rFonts w:eastAsiaTheme="minorEastAsia"/>
                <w:i/>
                <w:iCs/>
                <w:sz w:val="20"/>
                <w:szCs w:val="20"/>
              </w:rPr>
              <w:t xml:space="preserve">Referral to the Special Supplemental Nutrition Program for Women, Infants and Children (WIC) may be used to meet criteria for the Counseling for Nutrition indicator. </w:t>
            </w:r>
          </w:p>
        </w:tc>
      </w:tr>
    </w:tbl>
    <w:p w14:paraId="3A4915A2" w14:textId="77777777" w:rsidR="00C10805" w:rsidRPr="005D4222" w:rsidRDefault="00C10805"/>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081"/>
        <w:gridCol w:w="7633"/>
      </w:tblGrid>
      <w:tr w:rsidR="00C10805" w:rsidRPr="005D4222" w14:paraId="3F7B8A03" w14:textId="77777777" w:rsidTr="005E407D">
        <w:trPr>
          <w:trHeight w:val="417"/>
        </w:trPr>
        <w:tc>
          <w:tcPr>
            <w:tcW w:w="1071"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F498AA3" w14:textId="77777777" w:rsidR="00C10805" w:rsidRPr="005D4222" w:rsidRDefault="00C10805">
            <w:pPr>
              <w:pStyle w:val="ECDSMarginHead"/>
            </w:pPr>
          </w:p>
        </w:tc>
        <w:tc>
          <w:tcPr>
            <w:tcW w:w="3929"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135859D9" w14:textId="1E158CDB" w:rsidR="00C10805" w:rsidRPr="005D4222" w:rsidRDefault="00C10805" w:rsidP="00C10805">
            <w:pPr>
              <w:pStyle w:val="ProcessBullet"/>
              <w:spacing w:after="80"/>
              <w:rPr>
                <w:b/>
                <w:bCs/>
                <w:i/>
                <w:iCs/>
                <w:szCs w:val="21"/>
              </w:rPr>
            </w:pPr>
            <w:r w:rsidRPr="005D4222">
              <w:rPr>
                <w:i/>
                <w:iCs/>
              </w:rPr>
              <w:t>The BMI Percentile, Counseling for Nutrition and Counseling for Physical Activity indicators do not require a specific setting; therefore, services rendered during a telephone visit, e-visit or virtual check-in meet criteria.</w:t>
            </w:r>
          </w:p>
        </w:tc>
      </w:tr>
      <w:tr w:rsidR="00043C86" w:rsidRPr="005D4222" w14:paraId="63E8802A" w14:textId="77777777" w:rsidTr="005E407D">
        <w:tc>
          <w:tcPr>
            <w:tcW w:w="1071"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91BEB42" w14:textId="77777777" w:rsidR="00043C86" w:rsidRPr="005D4222" w:rsidRDefault="00043C86">
            <w:pPr>
              <w:pStyle w:val="ECDSMarginHead"/>
            </w:pPr>
            <w:r w:rsidRPr="005D4222">
              <w:t>Summary of changes</w:t>
            </w:r>
          </w:p>
        </w:tc>
        <w:tc>
          <w:tcPr>
            <w:tcW w:w="3929"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F1CEE23" w14:textId="77777777" w:rsidR="00043C86" w:rsidRPr="005D4222" w:rsidRDefault="00043C86" w:rsidP="00F93979">
            <w:pPr>
              <w:pStyle w:val="ProcessBullet"/>
              <w:spacing w:before="120"/>
            </w:pPr>
            <w:r w:rsidRPr="005D4222">
              <w:t>No changes to this measure.</w:t>
            </w:r>
          </w:p>
        </w:tc>
      </w:tr>
      <w:tr w:rsidR="00043C86" w:rsidRPr="005D4222" w14:paraId="4259209C" w14:textId="77777777" w:rsidTr="00F93979">
        <w:trPr>
          <w:trHeight w:val="45"/>
        </w:trPr>
        <w:tc>
          <w:tcPr>
            <w:tcW w:w="1071"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989C816" w14:textId="77777777" w:rsidR="00043C86" w:rsidRPr="005D4222" w:rsidRDefault="00043C86">
            <w:pPr>
              <w:pStyle w:val="ECDSMarginHead"/>
            </w:pPr>
            <w:r w:rsidRPr="005D4222">
              <w:t>Data element tables</w:t>
            </w:r>
          </w:p>
        </w:tc>
        <w:tc>
          <w:tcPr>
            <w:tcW w:w="3929"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5CDE55B" w14:textId="77777777" w:rsidR="00043C86" w:rsidRPr="005D4222" w:rsidRDefault="00043C86">
            <w:pPr>
              <w:pStyle w:val="ECDSBody"/>
            </w:pPr>
            <w:r w:rsidRPr="005D4222">
              <w:t>Organizations that submit HEDIS data to NCQA must provide the following data elements.</w:t>
            </w:r>
          </w:p>
          <w:p w14:paraId="26E4CD72" w14:textId="77777777" w:rsidR="00043C86" w:rsidRPr="005D4222" w:rsidRDefault="00043C86">
            <w:pPr>
              <w:pStyle w:val="Heading3"/>
              <w:spacing w:before="120"/>
            </w:pPr>
            <w:r w:rsidRPr="005D4222">
              <w:t>Table WCC-1/2: Data Elements for Weight Assessment and Counseling for Nutrition and Physical Activity for Children/Adolescents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3"/>
              <w:gridCol w:w="630"/>
              <w:gridCol w:w="2413"/>
              <w:gridCol w:w="1680"/>
              <w:gridCol w:w="405"/>
            </w:tblGrid>
            <w:tr w:rsidR="00043C86" w:rsidRPr="005D4222" w14:paraId="4F10E4BB" w14:textId="77777777" w:rsidTr="00171EC5">
              <w:trPr>
                <w:cantSplit/>
              </w:trPr>
              <w:tc>
                <w:tcPr>
                  <w:tcW w:w="2323" w:type="dxa"/>
                  <w:tcBorders>
                    <w:top w:val="single" w:sz="4" w:space="0" w:color="auto"/>
                    <w:left w:val="single" w:sz="4" w:space="0" w:color="auto"/>
                    <w:bottom w:val="single" w:sz="4" w:space="0" w:color="auto"/>
                    <w:right w:val="single" w:sz="4" w:space="0" w:color="FFFFFF" w:themeColor="background1"/>
                  </w:tcBorders>
                  <w:shd w:val="clear" w:color="auto" w:fill="000000" w:themeFill="text1"/>
                  <w:tcMar>
                    <w:left w:w="72" w:type="dxa"/>
                    <w:right w:w="72" w:type="dxa"/>
                  </w:tcMar>
                  <w:vAlign w:val="bottom"/>
                  <w:hideMark/>
                </w:tcPr>
                <w:p w14:paraId="32AA4BC8" w14:textId="77777777" w:rsidR="00043C86" w:rsidRPr="005D4222" w:rsidRDefault="00043C86">
                  <w:pPr>
                    <w:pStyle w:val="TableHead"/>
                    <w:spacing w:before="40" w:after="40"/>
                    <w:rPr>
                      <w:rFonts w:eastAsia="Arial Narrow" w:cs="Arial"/>
                    </w:rPr>
                  </w:pPr>
                </w:p>
              </w:tc>
              <w:tc>
                <w:tcPr>
                  <w:tcW w:w="63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cMar>
                    <w:left w:w="72" w:type="dxa"/>
                    <w:right w:w="72" w:type="dxa"/>
                  </w:tcMar>
                  <w:vAlign w:val="bottom"/>
                  <w:hideMark/>
                </w:tcPr>
                <w:p w14:paraId="4A2A086E" w14:textId="77777777" w:rsidR="00043C86" w:rsidRPr="005D4222" w:rsidRDefault="00043C86">
                  <w:pPr>
                    <w:pStyle w:val="TableHead"/>
                    <w:spacing w:before="40" w:after="40"/>
                    <w:rPr>
                      <w:rFonts w:eastAsia="Arial Narrow" w:cs="Arial"/>
                    </w:rPr>
                  </w:pPr>
                  <w:r w:rsidRPr="005D4222">
                    <w:rPr>
                      <w:rFonts w:eastAsia="Arial Narrow" w:cs="Arial"/>
                    </w:rPr>
                    <w:t>Age</w:t>
                  </w:r>
                </w:p>
              </w:tc>
              <w:tc>
                <w:tcPr>
                  <w:tcW w:w="241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cMar>
                    <w:left w:w="72" w:type="dxa"/>
                    <w:right w:w="72" w:type="dxa"/>
                  </w:tcMar>
                  <w:vAlign w:val="bottom"/>
                  <w:hideMark/>
                </w:tcPr>
                <w:p w14:paraId="49923675" w14:textId="77777777" w:rsidR="00043C86" w:rsidRPr="005D4222" w:rsidRDefault="00043C86">
                  <w:pPr>
                    <w:pStyle w:val="TableHead"/>
                    <w:spacing w:before="40" w:after="40"/>
                    <w:rPr>
                      <w:rFonts w:eastAsia="Arial Narrow" w:cs="Arial"/>
                    </w:rPr>
                  </w:pPr>
                  <w:r w:rsidRPr="005D4222">
                    <w:rPr>
                      <w:rFonts w:eastAsia="Arial Narrow" w:cs="Arial"/>
                    </w:rPr>
                    <w:t>Data Element</w:t>
                  </w:r>
                </w:p>
              </w:tc>
              <w:tc>
                <w:tcPr>
                  <w:tcW w:w="168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cMar>
                    <w:left w:w="72" w:type="dxa"/>
                    <w:right w:w="72" w:type="dxa"/>
                  </w:tcMar>
                  <w:vAlign w:val="bottom"/>
                  <w:hideMark/>
                </w:tcPr>
                <w:p w14:paraId="093FFFD2" w14:textId="77777777" w:rsidR="00043C86" w:rsidRPr="005D4222" w:rsidRDefault="00043C86">
                  <w:pPr>
                    <w:pStyle w:val="TableHead"/>
                    <w:spacing w:before="40" w:after="40"/>
                    <w:rPr>
                      <w:rFonts w:eastAsia="Arial Narrow" w:cs="Arial"/>
                    </w:rPr>
                  </w:pPr>
                  <w:r w:rsidRPr="005D4222">
                    <w:rPr>
                      <w:rFonts w:eastAsia="Arial Narrow" w:cs="Arial"/>
                    </w:rPr>
                    <w:t>Reporting Instructions</w:t>
                  </w:r>
                </w:p>
              </w:tc>
              <w:tc>
                <w:tcPr>
                  <w:tcW w:w="405" w:type="dxa"/>
                  <w:tcBorders>
                    <w:top w:val="single" w:sz="4" w:space="0" w:color="auto"/>
                    <w:left w:val="single" w:sz="4" w:space="0" w:color="FFFFFF" w:themeColor="background1"/>
                    <w:bottom w:val="single" w:sz="4" w:space="0" w:color="auto"/>
                    <w:right w:val="single" w:sz="4" w:space="0" w:color="auto"/>
                  </w:tcBorders>
                  <w:shd w:val="clear" w:color="auto" w:fill="000000" w:themeFill="text1"/>
                  <w:tcMar>
                    <w:left w:w="72" w:type="dxa"/>
                    <w:right w:w="72" w:type="dxa"/>
                  </w:tcMar>
                  <w:vAlign w:val="bottom"/>
                  <w:hideMark/>
                </w:tcPr>
                <w:p w14:paraId="7745E28B" w14:textId="77777777" w:rsidR="00043C86" w:rsidRPr="005D4222" w:rsidRDefault="00043C86">
                  <w:pPr>
                    <w:pStyle w:val="TableHead"/>
                    <w:spacing w:before="40" w:after="40"/>
                    <w:rPr>
                      <w:rFonts w:eastAsia="Arial Narrow" w:cs="Arial"/>
                    </w:rPr>
                  </w:pPr>
                  <w:r w:rsidRPr="005D4222">
                    <w:rPr>
                      <w:rFonts w:eastAsia="Arial Narrow" w:cs="Arial"/>
                    </w:rPr>
                    <w:t>A</w:t>
                  </w:r>
                </w:p>
              </w:tc>
            </w:tr>
            <w:tr w:rsidR="00043C86" w:rsidRPr="005D4222" w14:paraId="6C6F78FE" w14:textId="77777777" w:rsidTr="00171EC5">
              <w:trPr>
                <w:cantSplit/>
              </w:trPr>
              <w:tc>
                <w:tcPr>
                  <w:tcW w:w="2323"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5623CC0C" w14:textId="77777777" w:rsidR="00043C86" w:rsidRPr="005D4222" w:rsidRDefault="00043C86">
                  <w:pPr>
                    <w:pStyle w:val="TableText"/>
                    <w:spacing w:before="40" w:after="40"/>
                    <w:rPr>
                      <w:rFonts w:eastAsia="Arial Narrow" w:cs="Arial"/>
                      <w:szCs w:val="21"/>
                    </w:rPr>
                  </w:pPr>
                  <w:r w:rsidRPr="005D4222">
                    <w:rPr>
                      <w:rFonts w:eastAsia="Arial Narrow" w:cs="Arial"/>
                      <w:szCs w:val="21"/>
                    </w:rPr>
                    <w:t>BMIPercentile</w:t>
                  </w:r>
                </w:p>
              </w:tc>
              <w:tc>
                <w:tcPr>
                  <w:tcW w:w="63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3657DAB3" w14:textId="77777777" w:rsidR="00043C86" w:rsidRPr="005D4222" w:rsidRDefault="00043C86">
                  <w:pPr>
                    <w:pStyle w:val="TableText"/>
                    <w:spacing w:before="40" w:after="40"/>
                    <w:rPr>
                      <w:rFonts w:eastAsia="Arial Narrow" w:cs="Arial"/>
                      <w:szCs w:val="21"/>
                    </w:rPr>
                  </w:pPr>
                  <w:r w:rsidRPr="005D4222">
                    <w:rPr>
                      <w:rFonts w:eastAsia="Arial Narrow" w:cs="Arial"/>
                      <w:szCs w:val="21"/>
                    </w:rPr>
                    <w:t>3-11</w:t>
                  </w:r>
                </w:p>
              </w:tc>
              <w:tc>
                <w:tcPr>
                  <w:tcW w:w="2413"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636DE5E8" w14:textId="77777777" w:rsidR="00043C86" w:rsidRPr="005D4222" w:rsidRDefault="00043C86">
                  <w:pPr>
                    <w:pStyle w:val="TableText"/>
                    <w:spacing w:before="40" w:after="40"/>
                    <w:rPr>
                      <w:rFonts w:eastAsia="Arial Narrow" w:cs="Arial"/>
                      <w:szCs w:val="21"/>
                    </w:rPr>
                  </w:pPr>
                  <w:r w:rsidRPr="005D4222">
                    <w:rPr>
                      <w:rFonts w:eastAsia="Arial Narrow" w:cs="Arial"/>
                      <w:szCs w:val="21"/>
                    </w:rPr>
                    <w:t>CollectionMethod</w:t>
                  </w:r>
                </w:p>
              </w:tc>
              <w:tc>
                <w:tcPr>
                  <w:tcW w:w="168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0A19F02B" w14:textId="77777777" w:rsidR="00043C86" w:rsidRPr="005D4222" w:rsidRDefault="00043C86">
                  <w:pPr>
                    <w:pStyle w:val="TableText"/>
                    <w:spacing w:before="40" w:after="40"/>
                    <w:rPr>
                      <w:rFonts w:eastAsia="Arial Narrow" w:cs="Arial"/>
                      <w:szCs w:val="21"/>
                    </w:rPr>
                  </w:pPr>
                  <w:r w:rsidRPr="005D4222">
                    <w:rPr>
                      <w:rFonts w:eastAsia="Arial Narrow" w:cs="Arial"/>
                      <w:szCs w:val="21"/>
                    </w:rPr>
                    <w:t>For each Metric, repeat per Stratification</w:t>
                  </w:r>
                </w:p>
              </w:tc>
              <w:tc>
                <w:tcPr>
                  <w:tcW w:w="405"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201F50E7" w14:textId="2613C2C1" w:rsidR="00043C86" w:rsidRPr="005D4222" w:rsidRDefault="00233911" w:rsidP="00233911">
                  <w:pPr>
                    <w:pStyle w:val="TableText"/>
                    <w:spacing w:before="40" w:after="40"/>
                    <w:jc w:val="center"/>
                    <w:rPr>
                      <w:rFonts w:ascii="Wingdings" w:eastAsia="Arial Narrow" w:hAnsi="Wingdings" w:cs="Arial"/>
                      <w:szCs w:val="21"/>
                    </w:rPr>
                  </w:pPr>
                  <w:r w:rsidRPr="005D4222">
                    <w:rPr>
                      <w:rFonts w:ascii="Wingdings" w:eastAsia="Wingdings" w:hAnsi="Wingdings" w:cs="Arial"/>
                      <w:szCs w:val="21"/>
                    </w:rPr>
                    <w:t></w:t>
                  </w:r>
                </w:p>
              </w:tc>
            </w:tr>
            <w:tr w:rsidR="00043C86" w:rsidRPr="005D4222" w14:paraId="5077E322" w14:textId="77777777" w:rsidTr="00171EC5">
              <w:trPr>
                <w:cantSplit/>
              </w:trPr>
              <w:tc>
                <w:tcPr>
                  <w:tcW w:w="2323"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0B81A8A1" w14:textId="77777777" w:rsidR="00043C86" w:rsidRPr="005D4222" w:rsidRDefault="00043C86">
                  <w:pPr>
                    <w:pStyle w:val="TableText"/>
                    <w:spacing w:before="40" w:after="40"/>
                    <w:rPr>
                      <w:rFonts w:eastAsia="Arial Narrow" w:cs="Arial"/>
                      <w:szCs w:val="21"/>
                    </w:rPr>
                  </w:pPr>
                  <w:r w:rsidRPr="005D4222">
                    <w:rPr>
                      <w:rFonts w:eastAsia="Arial Narrow" w:cs="Arial"/>
                      <w:szCs w:val="21"/>
                    </w:rPr>
                    <w:t>NutritionCounseling</w:t>
                  </w:r>
                </w:p>
              </w:tc>
              <w:tc>
                <w:tcPr>
                  <w:tcW w:w="63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082EE1D0" w14:textId="77777777" w:rsidR="00043C86" w:rsidRPr="005D4222" w:rsidRDefault="00043C86">
                  <w:pPr>
                    <w:pStyle w:val="TableText"/>
                    <w:spacing w:before="40" w:after="40"/>
                    <w:rPr>
                      <w:rFonts w:eastAsia="Arial Narrow" w:cs="Arial"/>
                      <w:szCs w:val="21"/>
                    </w:rPr>
                  </w:pPr>
                  <w:r w:rsidRPr="005D4222">
                    <w:rPr>
                      <w:rFonts w:eastAsia="Arial Narrow" w:cs="Arial"/>
                      <w:szCs w:val="21"/>
                    </w:rPr>
                    <w:t>12-17</w:t>
                  </w:r>
                </w:p>
              </w:tc>
              <w:tc>
                <w:tcPr>
                  <w:tcW w:w="2413"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09999A52" w14:textId="77777777" w:rsidR="00043C86" w:rsidRPr="005D4222" w:rsidRDefault="00043C86">
                  <w:pPr>
                    <w:pStyle w:val="TableText"/>
                    <w:spacing w:before="40" w:after="40"/>
                    <w:rPr>
                      <w:rFonts w:eastAsia="Arial Narrow" w:cs="Arial"/>
                    </w:rPr>
                  </w:pPr>
                  <w:r w:rsidRPr="005D4222">
                    <w:rPr>
                      <w:rFonts w:eastAsia="Arial Narrow" w:cs="Arial"/>
                    </w:rPr>
                    <w:t>InitialPopulation</w:t>
                  </w:r>
                  <w:r w:rsidRPr="005D4222">
                    <w:rPr>
                      <w:rFonts w:eastAsia="Arial Narrow" w:cs="Arial"/>
                      <w:b/>
                      <w:bCs/>
                    </w:rPr>
                    <w:t>*</w:t>
                  </w:r>
                </w:p>
              </w:tc>
              <w:tc>
                <w:tcPr>
                  <w:tcW w:w="168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64C1E047" w14:textId="77777777" w:rsidR="00043C86" w:rsidRPr="005D4222" w:rsidRDefault="00043C86">
                  <w:pPr>
                    <w:pStyle w:val="TableText"/>
                    <w:spacing w:before="40" w:after="40"/>
                    <w:rPr>
                      <w:rFonts w:eastAsia="Arial Narrow" w:cs="Arial"/>
                      <w:szCs w:val="21"/>
                    </w:rPr>
                  </w:pPr>
                  <w:r w:rsidRPr="005D4222">
                    <w:rPr>
                      <w:rFonts w:eastAsia="Arial Narrow" w:cs="Arial"/>
                      <w:szCs w:val="21"/>
                    </w:rPr>
                    <w:t>For each Metric and Stratification</w:t>
                  </w:r>
                </w:p>
              </w:tc>
              <w:tc>
                <w:tcPr>
                  <w:tcW w:w="405"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7CC5EF3D" w14:textId="64315E24" w:rsidR="00043C86" w:rsidRPr="005D4222" w:rsidRDefault="00233911" w:rsidP="00233911">
                  <w:pPr>
                    <w:pStyle w:val="TableText"/>
                    <w:spacing w:before="40" w:after="40"/>
                    <w:jc w:val="center"/>
                    <w:rPr>
                      <w:rFonts w:ascii="Wingdings" w:eastAsia="Arial Narrow" w:hAnsi="Wingdings" w:cs="Arial"/>
                      <w:szCs w:val="21"/>
                    </w:rPr>
                  </w:pPr>
                  <w:r w:rsidRPr="005D4222">
                    <w:rPr>
                      <w:rFonts w:ascii="Wingdings" w:eastAsia="Wingdings" w:hAnsi="Wingdings" w:cs="Arial"/>
                      <w:szCs w:val="21"/>
                    </w:rPr>
                    <w:t></w:t>
                  </w:r>
                </w:p>
              </w:tc>
            </w:tr>
            <w:tr w:rsidR="00043C86" w:rsidRPr="005D4222" w14:paraId="185A599C" w14:textId="77777777" w:rsidTr="002C4118">
              <w:trPr>
                <w:cantSplit/>
              </w:trPr>
              <w:tc>
                <w:tcPr>
                  <w:tcW w:w="2323"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22515F74" w14:textId="77777777" w:rsidR="00043C86" w:rsidRPr="005D4222" w:rsidRDefault="00043C86">
                  <w:pPr>
                    <w:pStyle w:val="TableText"/>
                    <w:spacing w:before="40" w:after="40"/>
                    <w:rPr>
                      <w:rFonts w:eastAsia="Arial Narrow" w:cs="Arial"/>
                      <w:szCs w:val="21"/>
                    </w:rPr>
                  </w:pPr>
                  <w:r w:rsidRPr="005D4222">
                    <w:rPr>
                      <w:rFonts w:eastAsia="Arial Narrow" w:cs="Arial"/>
                      <w:szCs w:val="21"/>
                    </w:rPr>
                    <w:t>PhysicalActivityCounseling</w:t>
                  </w:r>
                </w:p>
              </w:tc>
              <w:tc>
                <w:tcPr>
                  <w:tcW w:w="6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26C79F49" w14:textId="77777777" w:rsidR="00043C86" w:rsidRPr="005D4222" w:rsidRDefault="00043C86">
                  <w:pPr>
                    <w:pStyle w:val="TableText"/>
                    <w:spacing w:before="40" w:after="40"/>
                    <w:rPr>
                      <w:rFonts w:cs="Arial"/>
                      <w:szCs w:val="21"/>
                    </w:rPr>
                  </w:pPr>
                  <w:r w:rsidRPr="005D4222">
                    <w:rPr>
                      <w:rFonts w:cs="Arial"/>
                      <w:szCs w:val="21"/>
                    </w:rPr>
                    <w:t>Total</w:t>
                  </w:r>
                </w:p>
              </w:tc>
              <w:tc>
                <w:tcPr>
                  <w:tcW w:w="2413"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53368B8F" w14:textId="77777777" w:rsidR="00043C86" w:rsidRPr="005D4222" w:rsidRDefault="00043C86">
                  <w:pPr>
                    <w:pStyle w:val="TableText"/>
                    <w:spacing w:before="40" w:after="40"/>
                    <w:rPr>
                      <w:rFonts w:cs="Arial"/>
                    </w:rPr>
                  </w:pPr>
                  <w:r w:rsidRPr="005D4222">
                    <w:rPr>
                      <w:rFonts w:cs="Arial"/>
                    </w:rPr>
                    <w:t>Exclusions</w:t>
                  </w:r>
                  <w:r w:rsidRPr="005D4222">
                    <w:rPr>
                      <w:rFonts w:cs="Arial"/>
                      <w:b/>
                      <w:bCs/>
                    </w:rPr>
                    <w:t>*</w:t>
                  </w:r>
                </w:p>
              </w:tc>
              <w:tc>
                <w:tcPr>
                  <w:tcW w:w="168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6E94D732" w14:textId="77777777" w:rsidR="00043C86" w:rsidRPr="005D4222" w:rsidRDefault="00043C86">
                  <w:pPr>
                    <w:pStyle w:val="TableText"/>
                    <w:spacing w:before="40" w:after="40"/>
                    <w:rPr>
                      <w:rFonts w:eastAsia="Arial Narrow" w:cs="Arial"/>
                      <w:szCs w:val="21"/>
                    </w:rPr>
                  </w:pPr>
                  <w:r w:rsidRPr="005D4222">
                    <w:rPr>
                      <w:rFonts w:eastAsia="Arial Narrow" w:cs="Arial"/>
                      <w:szCs w:val="21"/>
                    </w:rPr>
                    <w:t>For each Metric and Stratification</w:t>
                  </w:r>
                </w:p>
              </w:tc>
              <w:tc>
                <w:tcPr>
                  <w:tcW w:w="405"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5F1088BB" w14:textId="68B3F46F" w:rsidR="00043C86" w:rsidRPr="005D4222" w:rsidRDefault="00233911" w:rsidP="00233911">
                  <w:pPr>
                    <w:pStyle w:val="TableText"/>
                    <w:spacing w:before="40" w:after="40"/>
                    <w:jc w:val="center"/>
                    <w:rPr>
                      <w:rFonts w:ascii="Wingdings" w:eastAsia="Arial Narrow" w:hAnsi="Wingdings" w:cs="Arial"/>
                      <w:szCs w:val="21"/>
                    </w:rPr>
                  </w:pPr>
                  <w:r w:rsidRPr="005D4222">
                    <w:rPr>
                      <w:rFonts w:ascii="Wingdings" w:eastAsia="Wingdings" w:hAnsi="Wingdings" w:cs="Arial"/>
                      <w:szCs w:val="21"/>
                    </w:rPr>
                    <w:t></w:t>
                  </w:r>
                </w:p>
              </w:tc>
            </w:tr>
            <w:tr w:rsidR="00171EC5" w:rsidRPr="005D4222" w14:paraId="45DB69A4" w14:textId="77777777" w:rsidTr="002C4118">
              <w:trPr>
                <w:cantSplit/>
              </w:trPr>
              <w:tc>
                <w:tcPr>
                  <w:tcW w:w="2323" w:type="dxa"/>
                  <w:tcBorders>
                    <w:top w:val="single" w:sz="4" w:space="0" w:color="auto"/>
                    <w:left w:val="nil"/>
                    <w:bottom w:val="nil"/>
                    <w:right w:val="nil"/>
                  </w:tcBorders>
                  <w:shd w:val="clear" w:color="auto" w:fill="FFFFFF" w:themeFill="background1"/>
                  <w:tcMar>
                    <w:left w:w="72" w:type="dxa"/>
                    <w:right w:w="72" w:type="dxa"/>
                  </w:tcMar>
                </w:tcPr>
                <w:p w14:paraId="467CE616" w14:textId="77777777" w:rsidR="00171EC5" w:rsidRPr="005D4222" w:rsidRDefault="00171EC5" w:rsidP="00171EC5">
                  <w:pPr>
                    <w:pStyle w:val="TableText"/>
                    <w:spacing w:before="40" w:after="40"/>
                    <w:rPr>
                      <w:rFonts w:eastAsia="Arial Narrow" w:cs="Arial"/>
                      <w:szCs w:val="21"/>
                    </w:rPr>
                  </w:pPr>
                </w:p>
              </w:tc>
              <w:tc>
                <w:tcPr>
                  <w:tcW w:w="630" w:type="dxa"/>
                  <w:tcBorders>
                    <w:top w:val="single" w:sz="4" w:space="0" w:color="auto"/>
                    <w:left w:val="nil"/>
                    <w:bottom w:val="nil"/>
                    <w:right w:val="single" w:sz="4" w:space="0" w:color="auto"/>
                  </w:tcBorders>
                  <w:shd w:val="clear" w:color="auto" w:fill="FFFFFF" w:themeFill="background1"/>
                  <w:tcMar>
                    <w:left w:w="72" w:type="dxa"/>
                    <w:right w:w="72" w:type="dxa"/>
                  </w:tcMar>
                </w:tcPr>
                <w:p w14:paraId="4093C13E" w14:textId="77777777" w:rsidR="00171EC5" w:rsidRPr="005D4222" w:rsidRDefault="00171EC5" w:rsidP="00171EC5">
                  <w:pPr>
                    <w:pStyle w:val="TableText"/>
                    <w:spacing w:before="40" w:after="40"/>
                    <w:rPr>
                      <w:rFonts w:cs="Arial"/>
                      <w:szCs w:val="21"/>
                    </w:rPr>
                  </w:pPr>
                </w:p>
              </w:tc>
              <w:tc>
                <w:tcPr>
                  <w:tcW w:w="2413" w:type="dxa"/>
                  <w:tcBorders>
                    <w:top w:val="single" w:sz="4" w:space="0" w:color="auto"/>
                    <w:left w:val="single" w:sz="4" w:space="0" w:color="auto"/>
                    <w:bottom w:val="single" w:sz="4" w:space="0" w:color="auto"/>
                    <w:right w:val="single" w:sz="4" w:space="0" w:color="auto"/>
                  </w:tcBorders>
                  <w:tcMar>
                    <w:left w:w="72" w:type="dxa"/>
                    <w:right w:w="72" w:type="dxa"/>
                  </w:tcMar>
                </w:tcPr>
                <w:p w14:paraId="7F694CE6" w14:textId="0A23CEA4" w:rsidR="00171EC5" w:rsidRPr="005D4222" w:rsidRDefault="00171EC5" w:rsidP="00171EC5">
                  <w:pPr>
                    <w:pStyle w:val="TableText"/>
                    <w:spacing w:before="40" w:after="40"/>
                    <w:rPr>
                      <w:rFonts w:cs="Arial"/>
                    </w:rPr>
                  </w:pPr>
                  <w:r w:rsidRPr="005D4222">
                    <w:rPr>
                      <w:rFonts w:cs="Arial"/>
                    </w:rPr>
                    <w:t>Denominator</w:t>
                  </w:r>
                  <w:r w:rsidRPr="005D4222">
                    <w:rPr>
                      <w:rFonts w:cs="Arial"/>
                      <w:b/>
                      <w:bCs/>
                    </w:rPr>
                    <w:t>*</w:t>
                  </w:r>
                </w:p>
              </w:tc>
              <w:tc>
                <w:tcPr>
                  <w:tcW w:w="1680" w:type="dxa"/>
                  <w:tcBorders>
                    <w:top w:val="single" w:sz="4" w:space="0" w:color="auto"/>
                    <w:left w:val="single" w:sz="4" w:space="0" w:color="auto"/>
                    <w:bottom w:val="single" w:sz="4" w:space="0" w:color="auto"/>
                    <w:right w:val="single" w:sz="4" w:space="0" w:color="auto"/>
                  </w:tcBorders>
                  <w:tcMar>
                    <w:left w:w="72" w:type="dxa"/>
                    <w:right w:w="72" w:type="dxa"/>
                  </w:tcMar>
                </w:tcPr>
                <w:p w14:paraId="05B80A8B" w14:textId="1ABB1A22" w:rsidR="00171EC5" w:rsidRPr="005D4222" w:rsidRDefault="00171EC5" w:rsidP="00171EC5">
                  <w:pPr>
                    <w:pStyle w:val="TableText"/>
                    <w:spacing w:before="40" w:after="40"/>
                    <w:rPr>
                      <w:rFonts w:eastAsia="Arial Narrow" w:cs="Arial"/>
                      <w:szCs w:val="21"/>
                    </w:rPr>
                  </w:pPr>
                  <w:r w:rsidRPr="005D4222">
                    <w:rPr>
                      <w:rFonts w:eastAsia="Arial Narrow" w:cs="Arial"/>
                      <w:szCs w:val="21"/>
                    </w:rPr>
                    <w:t>For each Stratification, repeat per Metric</w:t>
                  </w:r>
                </w:p>
              </w:tc>
              <w:tc>
                <w:tcPr>
                  <w:tcW w:w="405" w:type="dxa"/>
                  <w:tcBorders>
                    <w:top w:val="single" w:sz="4" w:space="0" w:color="auto"/>
                    <w:left w:val="single" w:sz="4" w:space="0" w:color="auto"/>
                    <w:bottom w:val="single" w:sz="4" w:space="0" w:color="auto"/>
                    <w:right w:val="single" w:sz="4" w:space="0" w:color="auto"/>
                  </w:tcBorders>
                  <w:tcMar>
                    <w:left w:w="72" w:type="dxa"/>
                    <w:right w:w="72" w:type="dxa"/>
                  </w:tcMar>
                </w:tcPr>
                <w:p w14:paraId="00793B0F" w14:textId="731B2BDB" w:rsidR="00171EC5" w:rsidRPr="005D4222" w:rsidRDefault="00233911" w:rsidP="00233911">
                  <w:pPr>
                    <w:pStyle w:val="TableText"/>
                    <w:spacing w:before="40" w:after="40"/>
                    <w:jc w:val="center"/>
                    <w:rPr>
                      <w:rFonts w:ascii="Wingdings" w:eastAsia="Wingdings" w:hAnsi="Wingdings" w:cs="Arial"/>
                      <w:szCs w:val="21"/>
                    </w:rPr>
                  </w:pPr>
                  <w:r w:rsidRPr="005D4222">
                    <w:rPr>
                      <w:rFonts w:ascii="Wingdings" w:eastAsia="Wingdings" w:hAnsi="Wingdings" w:cs="Arial"/>
                      <w:szCs w:val="21"/>
                    </w:rPr>
                    <w:t></w:t>
                  </w:r>
                </w:p>
              </w:tc>
            </w:tr>
            <w:tr w:rsidR="00171EC5" w:rsidRPr="005D4222" w14:paraId="0057AAB5" w14:textId="77777777" w:rsidTr="00171EC5">
              <w:trPr>
                <w:cantSplit/>
              </w:trPr>
              <w:tc>
                <w:tcPr>
                  <w:tcW w:w="2323" w:type="dxa"/>
                  <w:tcBorders>
                    <w:top w:val="nil"/>
                    <w:left w:val="nil"/>
                    <w:bottom w:val="nil"/>
                    <w:right w:val="nil"/>
                  </w:tcBorders>
                  <w:tcMar>
                    <w:left w:w="72" w:type="dxa"/>
                    <w:right w:w="72" w:type="dxa"/>
                  </w:tcMar>
                </w:tcPr>
                <w:p w14:paraId="1710EE59" w14:textId="77777777" w:rsidR="00171EC5" w:rsidRPr="005D4222" w:rsidRDefault="00171EC5" w:rsidP="00171EC5">
                  <w:pPr>
                    <w:pStyle w:val="TableText"/>
                    <w:spacing w:before="40" w:after="40"/>
                    <w:rPr>
                      <w:rFonts w:eastAsia="Arial Narrow" w:cs="Arial"/>
                      <w:szCs w:val="21"/>
                    </w:rPr>
                  </w:pPr>
                </w:p>
              </w:tc>
              <w:tc>
                <w:tcPr>
                  <w:tcW w:w="630" w:type="dxa"/>
                  <w:tcBorders>
                    <w:top w:val="nil"/>
                    <w:left w:val="nil"/>
                    <w:bottom w:val="nil"/>
                    <w:right w:val="single" w:sz="4" w:space="0" w:color="auto"/>
                  </w:tcBorders>
                  <w:tcMar>
                    <w:left w:w="72" w:type="dxa"/>
                    <w:right w:w="72" w:type="dxa"/>
                  </w:tcMar>
                </w:tcPr>
                <w:p w14:paraId="7F949BD4" w14:textId="77777777" w:rsidR="00171EC5" w:rsidRPr="005D4222" w:rsidRDefault="00171EC5" w:rsidP="00171EC5">
                  <w:pPr>
                    <w:pStyle w:val="TableText"/>
                    <w:spacing w:before="40" w:after="40"/>
                    <w:rPr>
                      <w:rFonts w:cs="Arial"/>
                      <w:szCs w:val="21"/>
                    </w:rPr>
                  </w:pPr>
                </w:p>
              </w:tc>
              <w:tc>
                <w:tcPr>
                  <w:tcW w:w="2413"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032B0982" w14:textId="77777777" w:rsidR="00171EC5" w:rsidRPr="005D4222" w:rsidRDefault="00171EC5" w:rsidP="00171EC5">
                  <w:pPr>
                    <w:pStyle w:val="TableText"/>
                    <w:spacing w:before="40" w:after="40"/>
                    <w:rPr>
                      <w:rFonts w:cs="Arial"/>
                    </w:rPr>
                  </w:pPr>
                  <w:r w:rsidRPr="005D4222">
                    <w:rPr>
                      <w:rFonts w:cs="Arial"/>
                    </w:rPr>
                    <w:t>NumeratorByAdminDenom</w:t>
                  </w:r>
                </w:p>
              </w:tc>
              <w:tc>
                <w:tcPr>
                  <w:tcW w:w="168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25186C83" w14:textId="77777777" w:rsidR="00171EC5" w:rsidRPr="005D4222" w:rsidRDefault="00171EC5" w:rsidP="00171EC5">
                  <w:pPr>
                    <w:pStyle w:val="TableText"/>
                    <w:spacing w:before="40" w:after="40"/>
                    <w:rPr>
                      <w:rFonts w:eastAsia="Arial Narrow" w:cs="Arial"/>
                      <w:szCs w:val="21"/>
                    </w:rPr>
                  </w:pPr>
                  <w:r w:rsidRPr="005D4222">
                    <w:rPr>
                      <w:rFonts w:eastAsia="Arial Narrow" w:cs="Arial"/>
                      <w:szCs w:val="21"/>
                    </w:rPr>
                    <w:t>For each Metric and Stratification</w:t>
                  </w:r>
                </w:p>
              </w:tc>
              <w:tc>
                <w:tcPr>
                  <w:tcW w:w="405" w:type="dxa"/>
                  <w:tcBorders>
                    <w:top w:val="single" w:sz="4" w:space="0" w:color="auto"/>
                    <w:left w:val="single" w:sz="4" w:space="0" w:color="auto"/>
                    <w:bottom w:val="single" w:sz="4" w:space="0" w:color="auto"/>
                    <w:right w:val="single" w:sz="4" w:space="0" w:color="auto"/>
                  </w:tcBorders>
                  <w:tcMar>
                    <w:left w:w="72" w:type="dxa"/>
                    <w:right w:w="72" w:type="dxa"/>
                  </w:tcMar>
                </w:tcPr>
                <w:p w14:paraId="35079E7B" w14:textId="77777777" w:rsidR="00171EC5" w:rsidRPr="005D4222" w:rsidRDefault="00171EC5" w:rsidP="00171EC5">
                  <w:pPr>
                    <w:pStyle w:val="TableText"/>
                    <w:spacing w:before="40" w:after="40"/>
                    <w:rPr>
                      <w:rFonts w:ascii="Wingdings" w:eastAsia="Arial Narrow" w:hAnsi="Wingdings" w:cs="Arial"/>
                      <w:szCs w:val="21"/>
                    </w:rPr>
                  </w:pPr>
                </w:p>
              </w:tc>
            </w:tr>
            <w:tr w:rsidR="00171EC5" w:rsidRPr="005D4222" w14:paraId="59E7D263" w14:textId="77777777" w:rsidTr="00171EC5">
              <w:trPr>
                <w:cantSplit/>
              </w:trPr>
              <w:tc>
                <w:tcPr>
                  <w:tcW w:w="2323" w:type="dxa"/>
                  <w:tcBorders>
                    <w:top w:val="nil"/>
                    <w:left w:val="nil"/>
                    <w:bottom w:val="nil"/>
                    <w:right w:val="nil"/>
                  </w:tcBorders>
                  <w:tcMar>
                    <w:left w:w="72" w:type="dxa"/>
                    <w:right w:w="72" w:type="dxa"/>
                  </w:tcMar>
                </w:tcPr>
                <w:p w14:paraId="3E3C82F3" w14:textId="77777777" w:rsidR="00171EC5" w:rsidRPr="005D4222" w:rsidRDefault="00171EC5" w:rsidP="00171EC5">
                  <w:pPr>
                    <w:pStyle w:val="TableText"/>
                    <w:spacing w:before="40" w:after="40"/>
                    <w:rPr>
                      <w:rFonts w:eastAsia="Arial Narrow" w:cs="Arial"/>
                      <w:szCs w:val="21"/>
                    </w:rPr>
                  </w:pPr>
                </w:p>
              </w:tc>
              <w:tc>
                <w:tcPr>
                  <w:tcW w:w="630" w:type="dxa"/>
                  <w:tcBorders>
                    <w:top w:val="nil"/>
                    <w:left w:val="nil"/>
                    <w:bottom w:val="nil"/>
                    <w:right w:val="single" w:sz="4" w:space="0" w:color="auto"/>
                  </w:tcBorders>
                  <w:tcMar>
                    <w:left w:w="72" w:type="dxa"/>
                    <w:right w:w="72" w:type="dxa"/>
                  </w:tcMar>
                </w:tcPr>
                <w:p w14:paraId="327869AA" w14:textId="77777777" w:rsidR="00171EC5" w:rsidRPr="005D4222" w:rsidRDefault="00171EC5" w:rsidP="00171EC5">
                  <w:pPr>
                    <w:pStyle w:val="TableText"/>
                    <w:spacing w:before="40" w:after="40"/>
                    <w:rPr>
                      <w:rFonts w:cs="Arial"/>
                      <w:szCs w:val="21"/>
                    </w:rPr>
                  </w:pPr>
                </w:p>
              </w:tc>
              <w:tc>
                <w:tcPr>
                  <w:tcW w:w="241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507A6843" w14:textId="77777777" w:rsidR="00171EC5" w:rsidRPr="005D4222" w:rsidRDefault="00171EC5" w:rsidP="00171EC5">
                  <w:pPr>
                    <w:pStyle w:val="TableText"/>
                    <w:spacing w:before="40" w:after="40"/>
                    <w:rPr>
                      <w:rFonts w:cs="Arial"/>
                    </w:rPr>
                  </w:pPr>
                  <w:r w:rsidRPr="005D4222">
                    <w:rPr>
                      <w:rFonts w:cs="Arial"/>
                    </w:rPr>
                    <w:t>CYAR</w:t>
                  </w:r>
                </w:p>
              </w:tc>
              <w:tc>
                <w:tcPr>
                  <w:tcW w:w="16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02FEB373" w14:textId="77777777" w:rsidR="00171EC5" w:rsidRPr="005D4222" w:rsidRDefault="00171EC5" w:rsidP="00171EC5">
                  <w:pPr>
                    <w:pStyle w:val="TableText"/>
                    <w:spacing w:before="40" w:after="40"/>
                    <w:rPr>
                      <w:rFonts w:eastAsia="Arial Narrow" w:cs="Arial"/>
                      <w:szCs w:val="21"/>
                    </w:rPr>
                  </w:pPr>
                  <w:r w:rsidRPr="005D4222">
                    <w:rPr>
                      <w:rFonts w:eastAsia="Wingdings" w:cs="Arial"/>
                      <w:szCs w:val="21"/>
                    </w:rPr>
                    <w:t>Only for Total (Percent)</w:t>
                  </w:r>
                </w:p>
              </w:tc>
              <w:tc>
                <w:tcPr>
                  <w:tcW w:w="4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003705D8" w14:textId="77777777" w:rsidR="00171EC5" w:rsidRPr="005D4222" w:rsidRDefault="00171EC5" w:rsidP="00171EC5">
                  <w:pPr>
                    <w:pStyle w:val="TableText"/>
                    <w:spacing w:before="40" w:after="40"/>
                    <w:rPr>
                      <w:rFonts w:ascii="Wingdings" w:eastAsia="Arial Narrow" w:hAnsi="Wingdings" w:cs="Arial"/>
                      <w:szCs w:val="21"/>
                    </w:rPr>
                  </w:pPr>
                </w:p>
              </w:tc>
            </w:tr>
            <w:tr w:rsidR="00171EC5" w:rsidRPr="005D4222" w14:paraId="3B9049EA" w14:textId="77777777" w:rsidTr="00171EC5">
              <w:trPr>
                <w:cantSplit/>
              </w:trPr>
              <w:tc>
                <w:tcPr>
                  <w:tcW w:w="2323" w:type="dxa"/>
                  <w:tcBorders>
                    <w:top w:val="nil"/>
                    <w:left w:val="nil"/>
                    <w:bottom w:val="nil"/>
                    <w:right w:val="nil"/>
                  </w:tcBorders>
                  <w:tcMar>
                    <w:left w:w="72" w:type="dxa"/>
                    <w:right w:w="72" w:type="dxa"/>
                  </w:tcMar>
                </w:tcPr>
                <w:p w14:paraId="2D7F032A" w14:textId="77777777" w:rsidR="00171EC5" w:rsidRPr="005D4222" w:rsidRDefault="00171EC5" w:rsidP="00171EC5">
                  <w:pPr>
                    <w:pStyle w:val="TableText"/>
                    <w:spacing w:before="40" w:after="40"/>
                    <w:rPr>
                      <w:rFonts w:eastAsia="Arial Narrow" w:cs="Arial"/>
                      <w:szCs w:val="21"/>
                    </w:rPr>
                  </w:pPr>
                </w:p>
              </w:tc>
              <w:tc>
                <w:tcPr>
                  <w:tcW w:w="630" w:type="dxa"/>
                  <w:tcBorders>
                    <w:top w:val="nil"/>
                    <w:left w:val="nil"/>
                    <w:bottom w:val="nil"/>
                    <w:right w:val="single" w:sz="4" w:space="0" w:color="auto"/>
                  </w:tcBorders>
                  <w:tcMar>
                    <w:left w:w="72" w:type="dxa"/>
                    <w:right w:w="72" w:type="dxa"/>
                  </w:tcMar>
                </w:tcPr>
                <w:p w14:paraId="7CA93EB7" w14:textId="77777777" w:rsidR="00171EC5" w:rsidRPr="005D4222" w:rsidRDefault="00171EC5" w:rsidP="00171EC5">
                  <w:pPr>
                    <w:pStyle w:val="TableText"/>
                    <w:spacing w:before="40" w:after="40"/>
                    <w:rPr>
                      <w:rFonts w:cs="Arial"/>
                      <w:szCs w:val="21"/>
                    </w:rPr>
                  </w:pPr>
                </w:p>
              </w:tc>
              <w:tc>
                <w:tcPr>
                  <w:tcW w:w="2413"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03D7F83B" w14:textId="77777777" w:rsidR="00171EC5" w:rsidRPr="005D4222" w:rsidRDefault="00171EC5" w:rsidP="00171EC5">
                  <w:pPr>
                    <w:pStyle w:val="TableText"/>
                    <w:spacing w:before="40" w:after="40"/>
                    <w:rPr>
                      <w:rFonts w:eastAsia="Arial Narrow" w:cs="Arial"/>
                      <w:szCs w:val="21"/>
                    </w:rPr>
                  </w:pPr>
                  <w:r w:rsidRPr="005D4222">
                    <w:rPr>
                      <w:rFonts w:cs="Arial"/>
                      <w:szCs w:val="21"/>
                    </w:rPr>
                    <w:t>MinReqSampleSize</w:t>
                  </w:r>
                </w:p>
              </w:tc>
              <w:tc>
                <w:tcPr>
                  <w:tcW w:w="168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0F5AABC1" w14:textId="77777777" w:rsidR="00171EC5" w:rsidRPr="005D4222" w:rsidRDefault="00171EC5" w:rsidP="00171EC5">
                  <w:pPr>
                    <w:pStyle w:val="TableText"/>
                    <w:spacing w:before="40" w:after="40"/>
                    <w:rPr>
                      <w:rFonts w:eastAsia="Arial Narrow" w:cs="Arial"/>
                      <w:szCs w:val="21"/>
                    </w:rPr>
                  </w:pPr>
                  <w:r w:rsidRPr="005D4222">
                    <w:rPr>
                      <w:rFonts w:eastAsia="Arial Narrow" w:cs="Arial"/>
                      <w:szCs w:val="21"/>
                    </w:rPr>
                    <w:t xml:space="preserve">Repeat per Metric and Stratification </w:t>
                  </w:r>
                </w:p>
              </w:tc>
              <w:tc>
                <w:tcPr>
                  <w:tcW w:w="405" w:type="dxa"/>
                  <w:tcBorders>
                    <w:top w:val="single" w:sz="4" w:space="0" w:color="auto"/>
                    <w:left w:val="single" w:sz="4" w:space="0" w:color="auto"/>
                    <w:bottom w:val="single" w:sz="4" w:space="0" w:color="auto"/>
                    <w:right w:val="single" w:sz="4" w:space="0" w:color="auto"/>
                  </w:tcBorders>
                  <w:tcMar>
                    <w:left w:w="72" w:type="dxa"/>
                    <w:right w:w="72" w:type="dxa"/>
                  </w:tcMar>
                </w:tcPr>
                <w:p w14:paraId="247BC70F" w14:textId="77777777" w:rsidR="00171EC5" w:rsidRPr="005D4222" w:rsidRDefault="00171EC5" w:rsidP="00171EC5">
                  <w:pPr>
                    <w:pStyle w:val="TableText"/>
                    <w:spacing w:before="40" w:after="40"/>
                    <w:rPr>
                      <w:rFonts w:ascii="Wingdings" w:eastAsia="Arial Narrow" w:hAnsi="Wingdings" w:cs="Arial"/>
                      <w:szCs w:val="21"/>
                    </w:rPr>
                  </w:pPr>
                </w:p>
              </w:tc>
            </w:tr>
            <w:tr w:rsidR="00171EC5" w:rsidRPr="005D4222" w14:paraId="2452BD1B" w14:textId="77777777" w:rsidTr="00171EC5">
              <w:trPr>
                <w:cantSplit/>
              </w:trPr>
              <w:tc>
                <w:tcPr>
                  <w:tcW w:w="2323" w:type="dxa"/>
                  <w:tcBorders>
                    <w:top w:val="nil"/>
                    <w:left w:val="nil"/>
                    <w:bottom w:val="nil"/>
                    <w:right w:val="nil"/>
                  </w:tcBorders>
                  <w:tcMar>
                    <w:left w:w="72" w:type="dxa"/>
                    <w:right w:w="72" w:type="dxa"/>
                  </w:tcMar>
                </w:tcPr>
                <w:p w14:paraId="29706A14" w14:textId="77777777" w:rsidR="00171EC5" w:rsidRPr="005D4222" w:rsidRDefault="00171EC5" w:rsidP="00171EC5">
                  <w:pPr>
                    <w:pStyle w:val="TableText"/>
                    <w:spacing w:before="40" w:after="40"/>
                    <w:rPr>
                      <w:rFonts w:eastAsia="Arial Narrow" w:cs="Arial"/>
                      <w:szCs w:val="21"/>
                    </w:rPr>
                  </w:pPr>
                </w:p>
              </w:tc>
              <w:tc>
                <w:tcPr>
                  <w:tcW w:w="630" w:type="dxa"/>
                  <w:tcBorders>
                    <w:top w:val="nil"/>
                    <w:left w:val="nil"/>
                    <w:bottom w:val="nil"/>
                    <w:right w:val="single" w:sz="4" w:space="0" w:color="auto"/>
                  </w:tcBorders>
                  <w:tcMar>
                    <w:left w:w="72" w:type="dxa"/>
                    <w:right w:w="72" w:type="dxa"/>
                  </w:tcMar>
                </w:tcPr>
                <w:p w14:paraId="58A25376" w14:textId="77777777" w:rsidR="00171EC5" w:rsidRPr="005D4222" w:rsidRDefault="00171EC5" w:rsidP="00171EC5">
                  <w:pPr>
                    <w:pStyle w:val="TableText"/>
                    <w:spacing w:before="40" w:after="40"/>
                    <w:rPr>
                      <w:rFonts w:cs="Arial"/>
                      <w:szCs w:val="21"/>
                    </w:rPr>
                  </w:pPr>
                </w:p>
              </w:tc>
              <w:tc>
                <w:tcPr>
                  <w:tcW w:w="2413"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6668B9AB" w14:textId="77777777" w:rsidR="00171EC5" w:rsidRPr="005D4222" w:rsidRDefault="00171EC5" w:rsidP="00171EC5">
                  <w:pPr>
                    <w:pStyle w:val="TableText"/>
                    <w:spacing w:before="40" w:after="40"/>
                    <w:rPr>
                      <w:rFonts w:cs="Arial"/>
                      <w:szCs w:val="21"/>
                    </w:rPr>
                  </w:pPr>
                  <w:r w:rsidRPr="005D4222">
                    <w:rPr>
                      <w:rFonts w:eastAsia="Arial Narrow" w:cs="Arial"/>
                      <w:szCs w:val="21"/>
                    </w:rPr>
                    <w:t>OversampleRate</w:t>
                  </w:r>
                </w:p>
              </w:tc>
              <w:tc>
                <w:tcPr>
                  <w:tcW w:w="168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5AA7D339" w14:textId="77777777" w:rsidR="00171EC5" w:rsidRPr="005D4222" w:rsidRDefault="00171EC5" w:rsidP="00171EC5">
                  <w:pPr>
                    <w:pStyle w:val="TableText"/>
                    <w:spacing w:before="40" w:after="40"/>
                    <w:rPr>
                      <w:rFonts w:eastAsia="Arial Narrow" w:cs="Arial"/>
                      <w:szCs w:val="21"/>
                    </w:rPr>
                  </w:pPr>
                  <w:r w:rsidRPr="005D4222">
                    <w:rPr>
                      <w:rFonts w:eastAsia="Arial Narrow" w:cs="Arial"/>
                      <w:szCs w:val="21"/>
                    </w:rPr>
                    <w:t>Repeat per Metric and Stratification</w:t>
                  </w:r>
                </w:p>
              </w:tc>
              <w:tc>
                <w:tcPr>
                  <w:tcW w:w="405" w:type="dxa"/>
                  <w:tcBorders>
                    <w:top w:val="single" w:sz="4" w:space="0" w:color="auto"/>
                    <w:left w:val="single" w:sz="4" w:space="0" w:color="auto"/>
                    <w:bottom w:val="single" w:sz="4" w:space="0" w:color="auto"/>
                    <w:right w:val="single" w:sz="4" w:space="0" w:color="auto"/>
                  </w:tcBorders>
                  <w:tcMar>
                    <w:left w:w="72" w:type="dxa"/>
                    <w:right w:w="72" w:type="dxa"/>
                  </w:tcMar>
                </w:tcPr>
                <w:p w14:paraId="735F2671" w14:textId="77777777" w:rsidR="00171EC5" w:rsidRPr="005D4222" w:rsidRDefault="00171EC5" w:rsidP="00171EC5">
                  <w:pPr>
                    <w:pStyle w:val="TableText"/>
                    <w:spacing w:before="40" w:after="40"/>
                    <w:rPr>
                      <w:rFonts w:ascii="Wingdings" w:eastAsia="Arial Narrow" w:hAnsi="Wingdings" w:cs="Arial"/>
                      <w:szCs w:val="21"/>
                    </w:rPr>
                  </w:pPr>
                </w:p>
              </w:tc>
            </w:tr>
            <w:tr w:rsidR="00171EC5" w:rsidRPr="005D4222" w14:paraId="62AE1630" w14:textId="77777777" w:rsidTr="00171EC5">
              <w:trPr>
                <w:cantSplit/>
              </w:trPr>
              <w:tc>
                <w:tcPr>
                  <w:tcW w:w="2323" w:type="dxa"/>
                  <w:tcBorders>
                    <w:top w:val="nil"/>
                    <w:left w:val="nil"/>
                    <w:bottom w:val="nil"/>
                    <w:right w:val="nil"/>
                  </w:tcBorders>
                  <w:tcMar>
                    <w:left w:w="72" w:type="dxa"/>
                    <w:right w:w="72" w:type="dxa"/>
                  </w:tcMar>
                </w:tcPr>
                <w:p w14:paraId="152D789F" w14:textId="77777777" w:rsidR="00171EC5" w:rsidRPr="005D4222" w:rsidRDefault="00171EC5" w:rsidP="00171EC5">
                  <w:pPr>
                    <w:pStyle w:val="TableText"/>
                    <w:spacing w:before="40" w:after="40"/>
                    <w:rPr>
                      <w:rFonts w:eastAsia="Arial Narrow" w:cs="Arial"/>
                      <w:szCs w:val="21"/>
                    </w:rPr>
                  </w:pPr>
                </w:p>
              </w:tc>
              <w:tc>
                <w:tcPr>
                  <w:tcW w:w="630" w:type="dxa"/>
                  <w:tcBorders>
                    <w:top w:val="nil"/>
                    <w:left w:val="nil"/>
                    <w:bottom w:val="nil"/>
                    <w:right w:val="single" w:sz="4" w:space="0" w:color="auto"/>
                  </w:tcBorders>
                  <w:tcMar>
                    <w:left w:w="72" w:type="dxa"/>
                    <w:right w:w="72" w:type="dxa"/>
                  </w:tcMar>
                </w:tcPr>
                <w:p w14:paraId="0C792E00" w14:textId="77777777" w:rsidR="00171EC5" w:rsidRPr="005D4222" w:rsidRDefault="00171EC5" w:rsidP="00171EC5">
                  <w:pPr>
                    <w:pStyle w:val="TableText"/>
                    <w:spacing w:before="40" w:after="40"/>
                    <w:rPr>
                      <w:rFonts w:cs="Arial"/>
                      <w:szCs w:val="21"/>
                    </w:rPr>
                  </w:pPr>
                </w:p>
              </w:tc>
              <w:tc>
                <w:tcPr>
                  <w:tcW w:w="241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1FE67F5B" w14:textId="77777777" w:rsidR="00171EC5" w:rsidRPr="005D4222" w:rsidRDefault="00171EC5" w:rsidP="00171EC5">
                  <w:pPr>
                    <w:pStyle w:val="TableText"/>
                    <w:spacing w:before="40" w:after="40"/>
                    <w:rPr>
                      <w:rFonts w:cs="Arial"/>
                      <w:szCs w:val="21"/>
                    </w:rPr>
                  </w:pPr>
                  <w:r w:rsidRPr="005D4222">
                    <w:rPr>
                      <w:rFonts w:cs="Arial"/>
                      <w:szCs w:val="21"/>
                    </w:rPr>
                    <w:t>OversampleRecordsNumber</w:t>
                  </w:r>
                </w:p>
              </w:tc>
              <w:tc>
                <w:tcPr>
                  <w:tcW w:w="16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68B0993A" w14:textId="77777777" w:rsidR="00171EC5" w:rsidRPr="005D4222" w:rsidRDefault="00171EC5" w:rsidP="00171EC5">
                  <w:pPr>
                    <w:pStyle w:val="TableText"/>
                    <w:spacing w:before="40" w:after="40"/>
                    <w:rPr>
                      <w:rFonts w:eastAsia="Arial Narrow" w:cs="Arial"/>
                      <w:szCs w:val="21"/>
                    </w:rPr>
                  </w:pPr>
                  <w:r w:rsidRPr="005D4222">
                    <w:rPr>
                      <w:rFonts w:eastAsia="Arial Narrow" w:cs="Arial"/>
                      <w:szCs w:val="21"/>
                    </w:rPr>
                    <w:t>(Count)</w:t>
                  </w:r>
                </w:p>
              </w:tc>
              <w:tc>
                <w:tcPr>
                  <w:tcW w:w="4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59F337BC" w14:textId="77777777" w:rsidR="00171EC5" w:rsidRPr="005D4222" w:rsidRDefault="00171EC5" w:rsidP="00171EC5">
                  <w:pPr>
                    <w:pStyle w:val="TableText"/>
                    <w:spacing w:before="40" w:after="40"/>
                    <w:rPr>
                      <w:rFonts w:ascii="Wingdings" w:eastAsia="Arial Narrow" w:hAnsi="Wingdings" w:cs="Arial"/>
                      <w:szCs w:val="21"/>
                    </w:rPr>
                  </w:pPr>
                </w:p>
              </w:tc>
            </w:tr>
            <w:tr w:rsidR="00171EC5" w:rsidRPr="005D4222" w14:paraId="44B38024" w14:textId="77777777" w:rsidTr="00171EC5">
              <w:trPr>
                <w:cantSplit/>
              </w:trPr>
              <w:tc>
                <w:tcPr>
                  <w:tcW w:w="2323" w:type="dxa"/>
                  <w:tcBorders>
                    <w:top w:val="nil"/>
                    <w:left w:val="nil"/>
                    <w:bottom w:val="nil"/>
                    <w:right w:val="nil"/>
                  </w:tcBorders>
                  <w:tcMar>
                    <w:left w:w="72" w:type="dxa"/>
                    <w:right w:w="72" w:type="dxa"/>
                  </w:tcMar>
                </w:tcPr>
                <w:p w14:paraId="4B96290C" w14:textId="77777777" w:rsidR="00171EC5" w:rsidRPr="005D4222" w:rsidRDefault="00171EC5" w:rsidP="00171EC5">
                  <w:pPr>
                    <w:pStyle w:val="TableText"/>
                    <w:spacing w:before="40" w:after="40"/>
                    <w:rPr>
                      <w:rFonts w:eastAsia="Arial Narrow" w:cs="Arial"/>
                      <w:szCs w:val="21"/>
                    </w:rPr>
                  </w:pPr>
                </w:p>
              </w:tc>
              <w:tc>
                <w:tcPr>
                  <w:tcW w:w="630" w:type="dxa"/>
                  <w:tcBorders>
                    <w:top w:val="nil"/>
                    <w:left w:val="nil"/>
                    <w:bottom w:val="nil"/>
                    <w:right w:val="single" w:sz="4" w:space="0" w:color="auto"/>
                  </w:tcBorders>
                  <w:tcMar>
                    <w:left w:w="72" w:type="dxa"/>
                    <w:right w:w="72" w:type="dxa"/>
                  </w:tcMar>
                </w:tcPr>
                <w:p w14:paraId="5AB183A1" w14:textId="77777777" w:rsidR="00171EC5" w:rsidRPr="005D4222" w:rsidRDefault="00171EC5" w:rsidP="00171EC5">
                  <w:pPr>
                    <w:pStyle w:val="TableText"/>
                    <w:spacing w:before="40" w:after="40"/>
                    <w:rPr>
                      <w:rFonts w:cs="Arial"/>
                      <w:szCs w:val="21"/>
                    </w:rPr>
                  </w:pPr>
                </w:p>
              </w:tc>
              <w:tc>
                <w:tcPr>
                  <w:tcW w:w="2413"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6713A242" w14:textId="77777777" w:rsidR="00171EC5" w:rsidRPr="005D4222" w:rsidRDefault="00171EC5" w:rsidP="00171EC5">
                  <w:pPr>
                    <w:pStyle w:val="TableText"/>
                    <w:spacing w:before="40" w:after="40"/>
                    <w:rPr>
                      <w:rFonts w:eastAsia="Arial Narrow" w:cs="Arial"/>
                      <w:szCs w:val="21"/>
                    </w:rPr>
                  </w:pPr>
                  <w:r w:rsidRPr="005D4222">
                    <w:rPr>
                      <w:rFonts w:eastAsia="Arial Narrow" w:cs="Arial"/>
                      <w:szCs w:val="21"/>
                    </w:rPr>
                    <w:t>ExclusionValidDataErrors</w:t>
                  </w:r>
                </w:p>
              </w:tc>
              <w:tc>
                <w:tcPr>
                  <w:tcW w:w="168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7744B7F5" w14:textId="77777777" w:rsidR="00171EC5" w:rsidRPr="005D4222" w:rsidRDefault="00171EC5" w:rsidP="00171EC5">
                  <w:pPr>
                    <w:pStyle w:val="TableText"/>
                    <w:spacing w:before="40" w:after="40"/>
                    <w:rPr>
                      <w:rFonts w:eastAsia="Arial Narrow" w:cs="Arial"/>
                      <w:szCs w:val="21"/>
                    </w:rPr>
                  </w:pPr>
                  <w:r w:rsidRPr="005D4222">
                    <w:rPr>
                      <w:rFonts w:eastAsia="Arial Narrow" w:cs="Arial"/>
                      <w:szCs w:val="21"/>
                    </w:rPr>
                    <w:t>Repeat per Metric and Stratification</w:t>
                  </w:r>
                </w:p>
              </w:tc>
              <w:tc>
                <w:tcPr>
                  <w:tcW w:w="405" w:type="dxa"/>
                  <w:tcBorders>
                    <w:top w:val="single" w:sz="4" w:space="0" w:color="auto"/>
                    <w:left w:val="single" w:sz="4" w:space="0" w:color="auto"/>
                    <w:bottom w:val="single" w:sz="4" w:space="0" w:color="auto"/>
                    <w:right w:val="single" w:sz="4" w:space="0" w:color="auto"/>
                  </w:tcBorders>
                  <w:tcMar>
                    <w:left w:w="72" w:type="dxa"/>
                    <w:right w:w="72" w:type="dxa"/>
                  </w:tcMar>
                </w:tcPr>
                <w:p w14:paraId="2252271E" w14:textId="77777777" w:rsidR="00171EC5" w:rsidRPr="005D4222" w:rsidRDefault="00171EC5" w:rsidP="00171EC5">
                  <w:pPr>
                    <w:pStyle w:val="TableText"/>
                    <w:spacing w:before="40" w:after="40"/>
                    <w:rPr>
                      <w:rFonts w:ascii="Wingdings" w:eastAsia="Arial Narrow" w:hAnsi="Wingdings" w:cs="Arial"/>
                      <w:szCs w:val="21"/>
                    </w:rPr>
                  </w:pPr>
                </w:p>
              </w:tc>
            </w:tr>
            <w:tr w:rsidR="00171EC5" w:rsidRPr="005D4222" w14:paraId="35B16E4A" w14:textId="77777777" w:rsidTr="00171EC5">
              <w:trPr>
                <w:cantSplit/>
              </w:trPr>
              <w:tc>
                <w:tcPr>
                  <w:tcW w:w="2323" w:type="dxa"/>
                  <w:tcBorders>
                    <w:top w:val="nil"/>
                    <w:left w:val="nil"/>
                    <w:bottom w:val="nil"/>
                    <w:right w:val="nil"/>
                  </w:tcBorders>
                  <w:tcMar>
                    <w:left w:w="72" w:type="dxa"/>
                    <w:right w:w="72" w:type="dxa"/>
                  </w:tcMar>
                </w:tcPr>
                <w:p w14:paraId="3547C18A" w14:textId="77777777" w:rsidR="00171EC5" w:rsidRPr="005D4222" w:rsidRDefault="00171EC5" w:rsidP="00171EC5">
                  <w:pPr>
                    <w:pStyle w:val="TableText"/>
                    <w:spacing w:before="40" w:after="40"/>
                    <w:rPr>
                      <w:rFonts w:eastAsia="Arial Narrow" w:cs="Arial"/>
                      <w:szCs w:val="21"/>
                    </w:rPr>
                  </w:pPr>
                </w:p>
              </w:tc>
              <w:tc>
                <w:tcPr>
                  <w:tcW w:w="630" w:type="dxa"/>
                  <w:tcBorders>
                    <w:top w:val="nil"/>
                    <w:left w:val="nil"/>
                    <w:bottom w:val="nil"/>
                    <w:right w:val="single" w:sz="4" w:space="0" w:color="auto"/>
                  </w:tcBorders>
                  <w:tcMar>
                    <w:left w:w="72" w:type="dxa"/>
                    <w:right w:w="72" w:type="dxa"/>
                  </w:tcMar>
                </w:tcPr>
                <w:p w14:paraId="1CD8AA85" w14:textId="77777777" w:rsidR="00171EC5" w:rsidRPr="005D4222" w:rsidRDefault="00171EC5" w:rsidP="00171EC5">
                  <w:pPr>
                    <w:pStyle w:val="TableText"/>
                    <w:spacing w:before="40" w:after="40"/>
                    <w:rPr>
                      <w:rFonts w:eastAsia="Arial Narrow" w:cs="Arial"/>
                      <w:szCs w:val="21"/>
                    </w:rPr>
                  </w:pPr>
                </w:p>
              </w:tc>
              <w:tc>
                <w:tcPr>
                  <w:tcW w:w="2413"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3F126C8F" w14:textId="77777777" w:rsidR="00171EC5" w:rsidRPr="005D4222" w:rsidRDefault="00171EC5" w:rsidP="00171EC5">
                  <w:pPr>
                    <w:pStyle w:val="TableText"/>
                    <w:spacing w:before="40" w:after="40"/>
                    <w:rPr>
                      <w:rFonts w:eastAsia="Arial Narrow" w:cs="Arial"/>
                      <w:szCs w:val="21"/>
                    </w:rPr>
                  </w:pPr>
                  <w:r w:rsidRPr="005D4222">
                    <w:rPr>
                      <w:rFonts w:cs="Arial"/>
                      <w:szCs w:val="21"/>
                    </w:rPr>
                    <w:t>ExclusionEmployeeOrDep</w:t>
                  </w:r>
                </w:p>
              </w:tc>
              <w:tc>
                <w:tcPr>
                  <w:tcW w:w="168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40DB8549" w14:textId="77777777" w:rsidR="00171EC5" w:rsidRPr="005D4222" w:rsidRDefault="00171EC5" w:rsidP="00171EC5">
                  <w:pPr>
                    <w:pStyle w:val="TableText"/>
                    <w:spacing w:before="40" w:after="40"/>
                    <w:rPr>
                      <w:rFonts w:eastAsia="Arial Narrow" w:cs="Arial"/>
                      <w:szCs w:val="21"/>
                    </w:rPr>
                  </w:pPr>
                  <w:r w:rsidRPr="005D4222">
                    <w:rPr>
                      <w:rFonts w:eastAsia="Arial Narrow" w:cs="Arial"/>
                      <w:szCs w:val="21"/>
                    </w:rPr>
                    <w:t>Repeat per Metric and Stratification</w:t>
                  </w:r>
                </w:p>
              </w:tc>
              <w:tc>
                <w:tcPr>
                  <w:tcW w:w="405"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40952B78" w14:textId="77777777" w:rsidR="00171EC5" w:rsidRPr="005D4222" w:rsidRDefault="00171EC5" w:rsidP="00171EC5">
                  <w:pPr>
                    <w:pStyle w:val="TableText"/>
                    <w:spacing w:before="40" w:after="40"/>
                    <w:rPr>
                      <w:rFonts w:ascii="Wingdings" w:eastAsia="Arial Narrow" w:hAnsi="Wingdings" w:cs="Arial"/>
                      <w:szCs w:val="21"/>
                    </w:rPr>
                  </w:pPr>
                </w:p>
              </w:tc>
            </w:tr>
            <w:tr w:rsidR="00171EC5" w:rsidRPr="005D4222" w14:paraId="21135AA0" w14:textId="77777777" w:rsidTr="00171EC5">
              <w:trPr>
                <w:cantSplit/>
              </w:trPr>
              <w:tc>
                <w:tcPr>
                  <w:tcW w:w="2323" w:type="dxa"/>
                  <w:tcBorders>
                    <w:top w:val="nil"/>
                    <w:left w:val="nil"/>
                    <w:bottom w:val="nil"/>
                    <w:right w:val="nil"/>
                  </w:tcBorders>
                  <w:tcMar>
                    <w:left w:w="72" w:type="dxa"/>
                    <w:right w:w="72" w:type="dxa"/>
                  </w:tcMar>
                </w:tcPr>
                <w:p w14:paraId="72E0E299" w14:textId="77777777" w:rsidR="00171EC5" w:rsidRPr="005D4222" w:rsidRDefault="00171EC5" w:rsidP="00171EC5">
                  <w:pPr>
                    <w:pStyle w:val="TableText"/>
                    <w:spacing w:before="40" w:after="40"/>
                    <w:rPr>
                      <w:rFonts w:eastAsia="Arial Narrow" w:cs="Arial"/>
                      <w:szCs w:val="21"/>
                    </w:rPr>
                  </w:pPr>
                </w:p>
              </w:tc>
              <w:tc>
                <w:tcPr>
                  <w:tcW w:w="630" w:type="dxa"/>
                  <w:tcBorders>
                    <w:top w:val="nil"/>
                    <w:left w:val="nil"/>
                    <w:bottom w:val="nil"/>
                    <w:right w:val="single" w:sz="4" w:space="0" w:color="auto"/>
                  </w:tcBorders>
                  <w:tcMar>
                    <w:left w:w="72" w:type="dxa"/>
                    <w:right w:w="72" w:type="dxa"/>
                  </w:tcMar>
                </w:tcPr>
                <w:p w14:paraId="3861FFFE" w14:textId="77777777" w:rsidR="00171EC5" w:rsidRPr="005D4222" w:rsidRDefault="00171EC5" w:rsidP="00171EC5">
                  <w:pPr>
                    <w:pStyle w:val="TableText"/>
                    <w:spacing w:before="40" w:after="40"/>
                    <w:rPr>
                      <w:rFonts w:eastAsia="Arial Narrow" w:cs="Arial"/>
                      <w:szCs w:val="21"/>
                    </w:rPr>
                  </w:pPr>
                </w:p>
              </w:tc>
              <w:tc>
                <w:tcPr>
                  <w:tcW w:w="2413"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22A68938" w14:textId="77777777" w:rsidR="00171EC5" w:rsidRPr="005D4222" w:rsidRDefault="00171EC5" w:rsidP="00171EC5">
                  <w:pPr>
                    <w:pStyle w:val="TableText"/>
                    <w:spacing w:before="40" w:after="40"/>
                    <w:rPr>
                      <w:rFonts w:eastAsia="Arial Narrow" w:cs="Arial"/>
                      <w:szCs w:val="21"/>
                    </w:rPr>
                  </w:pPr>
                  <w:r w:rsidRPr="005D4222">
                    <w:rPr>
                      <w:rFonts w:eastAsia="Arial Narrow" w:cs="Arial"/>
                      <w:szCs w:val="21"/>
                    </w:rPr>
                    <w:t>OversampleRecsAdded</w:t>
                  </w:r>
                </w:p>
              </w:tc>
              <w:tc>
                <w:tcPr>
                  <w:tcW w:w="168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69EAE9EE" w14:textId="77777777" w:rsidR="00171EC5" w:rsidRPr="005D4222" w:rsidRDefault="00171EC5" w:rsidP="00171EC5">
                  <w:pPr>
                    <w:pStyle w:val="TableText"/>
                    <w:spacing w:before="40" w:after="40"/>
                    <w:rPr>
                      <w:rFonts w:eastAsia="Arial Narrow" w:cs="Arial"/>
                      <w:szCs w:val="21"/>
                    </w:rPr>
                  </w:pPr>
                  <w:r w:rsidRPr="005D4222">
                    <w:rPr>
                      <w:rFonts w:eastAsia="Arial Narrow" w:cs="Arial"/>
                      <w:szCs w:val="21"/>
                    </w:rPr>
                    <w:t>Repeat per Metric and Stratification</w:t>
                  </w:r>
                </w:p>
              </w:tc>
              <w:tc>
                <w:tcPr>
                  <w:tcW w:w="405" w:type="dxa"/>
                  <w:tcBorders>
                    <w:top w:val="single" w:sz="4" w:space="0" w:color="auto"/>
                    <w:left w:val="single" w:sz="4" w:space="0" w:color="auto"/>
                    <w:bottom w:val="single" w:sz="4" w:space="0" w:color="auto"/>
                    <w:right w:val="single" w:sz="4" w:space="0" w:color="auto"/>
                  </w:tcBorders>
                  <w:tcMar>
                    <w:left w:w="72" w:type="dxa"/>
                    <w:right w:w="72" w:type="dxa"/>
                  </w:tcMar>
                </w:tcPr>
                <w:p w14:paraId="741D3F53" w14:textId="77777777" w:rsidR="00171EC5" w:rsidRPr="005D4222" w:rsidRDefault="00171EC5" w:rsidP="00171EC5">
                  <w:pPr>
                    <w:pStyle w:val="TableText"/>
                    <w:spacing w:before="40" w:after="40"/>
                    <w:rPr>
                      <w:rFonts w:ascii="Wingdings" w:eastAsia="Arial Narrow" w:hAnsi="Wingdings" w:cs="Arial"/>
                      <w:szCs w:val="21"/>
                    </w:rPr>
                  </w:pPr>
                </w:p>
              </w:tc>
            </w:tr>
            <w:tr w:rsidR="00171EC5" w:rsidRPr="005D4222" w14:paraId="162C8B86" w14:textId="77777777" w:rsidTr="00171EC5">
              <w:trPr>
                <w:cantSplit/>
              </w:trPr>
              <w:tc>
                <w:tcPr>
                  <w:tcW w:w="2323" w:type="dxa"/>
                  <w:tcBorders>
                    <w:top w:val="nil"/>
                    <w:left w:val="nil"/>
                    <w:bottom w:val="nil"/>
                    <w:right w:val="nil"/>
                  </w:tcBorders>
                  <w:tcMar>
                    <w:left w:w="72" w:type="dxa"/>
                    <w:right w:w="72" w:type="dxa"/>
                  </w:tcMar>
                </w:tcPr>
                <w:p w14:paraId="7E886F2F" w14:textId="77777777" w:rsidR="00171EC5" w:rsidRPr="005D4222" w:rsidRDefault="00171EC5" w:rsidP="00171EC5">
                  <w:pPr>
                    <w:pStyle w:val="TableText"/>
                    <w:spacing w:before="40" w:after="40"/>
                    <w:rPr>
                      <w:rFonts w:eastAsia="Arial Narrow" w:cs="Arial"/>
                      <w:szCs w:val="21"/>
                    </w:rPr>
                  </w:pPr>
                </w:p>
              </w:tc>
              <w:tc>
                <w:tcPr>
                  <w:tcW w:w="630" w:type="dxa"/>
                  <w:tcBorders>
                    <w:top w:val="nil"/>
                    <w:left w:val="nil"/>
                    <w:bottom w:val="nil"/>
                    <w:right w:val="single" w:sz="4" w:space="0" w:color="auto"/>
                  </w:tcBorders>
                  <w:tcMar>
                    <w:left w:w="72" w:type="dxa"/>
                    <w:right w:w="72" w:type="dxa"/>
                  </w:tcMar>
                </w:tcPr>
                <w:p w14:paraId="531E4DB7" w14:textId="77777777" w:rsidR="00171EC5" w:rsidRPr="005D4222" w:rsidRDefault="00171EC5" w:rsidP="00171EC5">
                  <w:pPr>
                    <w:pStyle w:val="TableText"/>
                    <w:spacing w:before="40" w:after="40"/>
                    <w:rPr>
                      <w:rFonts w:cs="Arial"/>
                      <w:szCs w:val="21"/>
                    </w:rPr>
                  </w:pPr>
                </w:p>
              </w:tc>
              <w:tc>
                <w:tcPr>
                  <w:tcW w:w="2413"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4C985832" w14:textId="77777777" w:rsidR="00171EC5" w:rsidRPr="005D4222" w:rsidRDefault="00171EC5" w:rsidP="00171EC5">
                  <w:pPr>
                    <w:pStyle w:val="TableText"/>
                    <w:spacing w:before="40" w:after="40"/>
                    <w:rPr>
                      <w:rFonts w:eastAsia="Arial Narrow" w:cs="Arial"/>
                      <w:szCs w:val="21"/>
                    </w:rPr>
                  </w:pPr>
                  <w:r w:rsidRPr="005D4222">
                    <w:rPr>
                      <w:rFonts w:cs="Arial"/>
                      <w:szCs w:val="21"/>
                    </w:rPr>
                    <w:t>NumeratorByAdmin</w:t>
                  </w:r>
                </w:p>
              </w:tc>
              <w:tc>
                <w:tcPr>
                  <w:tcW w:w="168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0B7C5387" w14:textId="77777777" w:rsidR="00171EC5" w:rsidRPr="005D4222" w:rsidRDefault="00171EC5" w:rsidP="00171EC5">
                  <w:pPr>
                    <w:pStyle w:val="TableText"/>
                    <w:spacing w:before="40" w:after="40"/>
                    <w:rPr>
                      <w:rFonts w:eastAsia="Arial Narrow" w:cs="Arial"/>
                      <w:szCs w:val="21"/>
                    </w:rPr>
                  </w:pPr>
                  <w:r w:rsidRPr="005D4222">
                    <w:rPr>
                      <w:rFonts w:eastAsia="Arial Narrow" w:cs="Arial"/>
                      <w:szCs w:val="21"/>
                    </w:rPr>
                    <w:t>For each Metric and Stratification</w:t>
                  </w:r>
                </w:p>
              </w:tc>
              <w:tc>
                <w:tcPr>
                  <w:tcW w:w="405"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3B9D21F5" w14:textId="4ACF0743" w:rsidR="00171EC5" w:rsidRPr="005D4222" w:rsidRDefault="00233911" w:rsidP="00233911">
                  <w:pPr>
                    <w:pStyle w:val="TableText"/>
                    <w:spacing w:before="40" w:after="40"/>
                    <w:jc w:val="center"/>
                    <w:rPr>
                      <w:rFonts w:ascii="Wingdings" w:eastAsia="Arial Narrow" w:hAnsi="Wingdings" w:cs="Arial"/>
                      <w:szCs w:val="21"/>
                    </w:rPr>
                  </w:pPr>
                  <w:r w:rsidRPr="005D4222">
                    <w:rPr>
                      <w:rFonts w:ascii="Wingdings" w:eastAsia="Wingdings" w:hAnsi="Wingdings" w:cs="Arial"/>
                      <w:szCs w:val="21"/>
                    </w:rPr>
                    <w:t></w:t>
                  </w:r>
                </w:p>
              </w:tc>
            </w:tr>
            <w:tr w:rsidR="00171EC5" w:rsidRPr="005D4222" w14:paraId="73211D8C" w14:textId="77777777" w:rsidTr="00171EC5">
              <w:trPr>
                <w:cantSplit/>
              </w:trPr>
              <w:tc>
                <w:tcPr>
                  <w:tcW w:w="2323" w:type="dxa"/>
                  <w:tcBorders>
                    <w:top w:val="nil"/>
                    <w:left w:val="nil"/>
                    <w:bottom w:val="nil"/>
                    <w:right w:val="nil"/>
                  </w:tcBorders>
                  <w:tcMar>
                    <w:left w:w="72" w:type="dxa"/>
                    <w:right w:w="72" w:type="dxa"/>
                  </w:tcMar>
                </w:tcPr>
                <w:p w14:paraId="45F14D26" w14:textId="77777777" w:rsidR="00171EC5" w:rsidRPr="005D4222" w:rsidRDefault="00171EC5" w:rsidP="00171EC5">
                  <w:pPr>
                    <w:pStyle w:val="TableText"/>
                    <w:spacing w:before="40" w:after="40"/>
                    <w:rPr>
                      <w:rFonts w:eastAsia="Arial Narrow" w:cs="Arial"/>
                      <w:szCs w:val="21"/>
                    </w:rPr>
                  </w:pPr>
                </w:p>
              </w:tc>
              <w:tc>
                <w:tcPr>
                  <w:tcW w:w="630" w:type="dxa"/>
                  <w:tcBorders>
                    <w:top w:val="nil"/>
                    <w:left w:val="nil"/>
                    <w:bottom w:val="nil"/>
                    <w:right w:val="single" w:sz="4" w:space="0" w:color="auto"/>
                  </w:tcBorders>
                  <w:tcMar>
                    <w:left w:w="72" w:type="dxa"/>
                    <w:right w:w="72" w:type="dxa"/>
                  </w:tcMar>
                </w:tcPr>
                <w:p w14:paraId="552990DB" w14:textId="77777777" w:rsidR="00171EC5" w:rsidRPr="005D4222" w:rsidRDefault="00171EC5" w:rsidP="00171EC5">
                  <w:pPr>
                    <w:pStyle w:val="TableText"/>
                    <w:spacing w:before="40" w:after="40"/>
                    <w:rPr>
                      <w:rFonts w:cs="Arial"/>
                      <w:szCs w:val="21"/>
                    </w:rPr>
                  </w:pPr>
                </w:p>
              </w:tc>
              <w:tc>
                <w:tcPr>
                  <w:tcW w:w="2413"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36A70A89" w14:textId="77777777" w:rsidR="00171EC5" w:rsidRPr="005D4222" w:rsidRDefault="00171EC5" w:rsidP="00171EC5">
                  <w:pPr>
                    <w:pStyle w:val="TableText"/>
                    <w:spacing w:before="40" w:after="40"/>
                    <w:rPr>
                      <w:rFonts w:eastAsia="Arial Narrow" w:cs="Arial"/>
                      <w:szCs w:val="21"/>
                    </w:rPr>
                  </w:pPr>
                  <w:r w:rsidRPr="005D4222">
                    <w:rPr>
                      <w:rFonts w:cs="Arial"/>
                      <w:szCs w:val="21"/>
                    </w:rPr>
                    <w:t>NumeratorByMedicalRecords</w:t>
                  </w:r>
                </w:p>
              </w:tc>
              <w:tc>
                <w:tcPr>
                  <w:tcW w:w="168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414BEF9A" w14:textId="77777777" w:rsidR="00171EC5" w:rsidRPr="005D4222" w:rsidRDefault="00171EC5" w:rsidP="00171EC5">
                  <w:pPr>
                    <w:pStyle w:val="TableText"/>
                    <w:spacing w:before="40" w:after="40"/>
                    <w:rPr>
                      <w:rFonts w:eastAsia="Arial Narrow" w:cs="Arial"/>
                      <w:szCs w:val="21"/>
                    </w:rPr>
                  </w:pPr>
                  <w:r w:rsidRPr="005D4222">
                    <w:rPr>
                      <w:rFonts w:eastAsia="Arial Narrow" w:cs="Arial"/>
                      <w:szCs w:val="21"/>
                    </w:rPr>
                    <w:t>For each Metric and Stratification</w:t>
                  </w:r>
                </w:p>
              </w:tc>
              <w:tc>
                <w:tcPr>
                  <w:tcW w:w="405" w:type="dxa"/>
                  <w:tcBorders>
                    <w:top w:val="single" w:sz="4" w:space="0" w:color="auto"/>
                    <w:left w:val="single" w:sz="4" w:space="0" w:color="auto"/>
                    <w:bottom w:val="single" w:sz="4" w:space="0" w:color="auto"/>
                    <w:right w:val="single" w:sz="4" w:space="0" w:color="auto"/>
                  </w:tcBorders>
                  <w:tcMar>
                    <w:left w:w="72" w:type="dxa"/>
                    <w:right w:w="72" w:type="dxa"/>
                  </w:tcMar>
                </w:tcPr>
                <w:p w14:paraId="1933CBE0" w14:textId="77777777" w:rsidR="00171EC5" w:rsidRPr="005D4222" w:rsidRDefault="00171EC5" w:rsidP="00171EC5">
                  <w:pPr>
                    <w:pStyle w:val="TableText"/>
                    <w:spacing w:before="40" w:after="40"/>
                    <w:rPr>
                      <w:rFonts w:ascii="Wingdings" w:eastAsia="Arial Narrow" w:hAnsi="Wingdings" w:cs="Arial"/>
                      <w:szCs w:val="21"/>
                    </w:rPr>
                  </w:pPr>
                </w:p>
              </w:tc>
            </w:tr>
            <w:tr w:rsidR="00171EC5" w:rsidRPr="005D4222" w14:paraId="64DDD4E1" w14:textId="77777777" w:rsidTr="00171EC5">
              <w:trPr>
                <w:cantSplit/>
              </w:trPr>
              <w:tc>
                <w:tcPr>
                  <w:tcW w:w="2323" w:type="dxa"/>
                  <w:tcBorders>
                    <w:top w:val="nil"/>
                    <w:left w:val="nil"/>
                    <w:bottom w:val="nil"/>
                    <w:right w:val="nil"/>
                  </w:tcBorders>
                  <w:tcMar>
                    <w:left w:w="72" w:type="dxa"/>
                    <w:right w:w="72" w:type="dxa"/>
                  </w:tcMar>
                </w:tcPr>
                <w:p w14:paraId="58778782" w14:textId="77777777" w:rsidR="00171EC5" w:rsidRPr="005D4222" w:rsidRDefault="00171EC5" w:rsidP="00171EC5">
                  <w:pPr>
                    <w:pStyle w:val="TableText"/>
                    <w:spacing w:before="40" w:after="40"/>
                    <w:rPr>
                      <w:rFonts w:eastAsia="Arial Narrow" w:cs="Arial"/>
                      <w:szCs w:val="21"/>
                    </w:rPr>
                  </w:pPr>
                </w:p>
              </w:tc>
              <w:tc>
                <w:tcPr>
                  <w:tcW w:w="630" w:type="dxa"/>
                  <w:tcBorders>
                    <w:top w:val="nil"/>
                    <w:left w:val="nil"/>
                    <w:bottom w:val="nil"/>
                    <w:right w:val="single" w:sz="4" w:space="0" w:color="auto"/>
                  </w:tcBorders>
                  <w:tcMar>
                    <w:left w:w="72" w:type="dxa"/>
                    <w:right w:w="72" w:type="dxa"/>
                  </w:tcMar>
                </w:tcPr>
                <w:p w14:paraId="7C96659B" w14:textId="77777777" w:rsidR="00171EC5" w:rsidRPr="005D4222" w:rsidRDefault="00171EC5" w:rsidP="00171EC5">
                  <w:pPr>
                    <w:pStyle w:val="TableText"/>
                    <w:spacing w:before="40" w:after="40"/>
                    <w:rPr>
                      <w:rFonts w:cs="Arial"/>
                      <w:szCs w:val="21"/>
                    </w:rPr>
                  </w:pPr>
                </w:p>
              </w:tc>
              <w:tc>
                <w:tcPr>
                  <w:tcW w:w="2413"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30C4F447" w14:textId="77777777" w:rsidR="00171EC5" w:rsidRPr="005D4222" w:rsidRDefault="00171EC5" w:rsidP="00171EC5">
                  <w:pPr>
                    <w:pStyle w:val="TableText"/>
                    <w:spacing w:before="40" w:after="40"/>
                    <w:rPr>
                      <w:rFonts w:eastAsia="Arial Narrow" w:cs="Arial"/>
                      <w:szCs w:val="21"/>
                    </w:rPr>
                  </w:pPr>
                  <w:r w:rsidRPr="005D4222">
                    <w:rPr>
                      <w:rFonts w:cs="Arial"/>
                      <w:szCs w:val="21"/>
                    </w:rPr>
                    <w:t>NumeratorBySupplemental</w:t>
                  </w:r>
                </w:p>
              </w:tc>
              <w:tc>
                <w:tcPr>
                  <w:tcW w:w="168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0EDC2322" w14:textId="77777777" w:rsidR="00171EC5" w:rsidRPr="005D4222" w:rsidRDefault="00171EC5" w:rsidP="00171EC5">
                  <w:pPr>
                    <w:pStyle w:val="TableText"/>
                    <w:spacing w:before="40" w:after="40"/>
                    <w:rPr>
                      <w:rFonts w:eastAsia="Arial Narrow" w:cs="Arial"/>
                      <w:szCs w:val="21"/>
                    </w:rPr>
                  </w:pPr>
                  <w:r w:rsidRPr="005D4222">
                    <w:rPr>
                      <w:rFonts w:eastAsia="Arial Narrow" w:cs="Arial"/>
                      <w:szCs w:val="21"/>
                    </w:rPr>
                    <w:t>For each Metric and Stratification</w:t>
                  </w:r>
                </w:p>
              </w:tc>
              <w:tc>
                <w:tcPr>
                  <w:tcW w:w="405"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2E3C92F0" w14:textId="24395D4D" w:rsidR="00171EC5" w:rsidRPr="005D4222" w:rsidRDefault="00233911" w:rsidP="00233911">
                  <w:pPr>
                    <w:pStyle w:val="TableText"/>
                    <w:spacing w:before="40" w:after="40"/>
                    <w:jc w:val="center"/>
                    <w:rPr>
                      <w:rFonts w:ascii="Wingdings" w:eastAsia="Arial Narrow" w:hAnsi="Wingdings" w:cs="Arial"/>
                      <w:szCs w:val="21"/>
                    </w:rPr>
                  </w:pPr>
                  <w:r w:rsidRPr="005D4222">
                    <w:rPr>
                      <w:rFonts w:ascii="Wingdings" w:eastAsia="Wingdings" w:hAnsi="Wingdings" w:cs="Arial"/>
                      <w:szCs w:val="21"/>
                    </w:rPr>
                    <w:t></w:t>
                  </w:r>
                </w:p>
              </w:tc>
            </w:tr>
            <w:tr w:rsidR="00171EC5" w:rsidRPr="005D4222" w14:paraId="39736F23" w14:textId="77777777" w:rsidTr="00171EC5">
              <w:trPr>
                <w:cantSplit/>
              </w:trPr>
              <w:tc>
                <w:tcPr>
                  <w:tcW w:w="2323" w:type="dxa"/>
                  <w:tcBorders>
                    <w:top w:val="nil"/>
                    <w:left w:val="nil"/>
                    <w:bottom w:val="nil"/>
                    <w:right w:val="nil"/>
                  </w:tcBorders>
                  <w:tcMar>
                    <w:left w:w="72" w:type="dxa"/>
                    <w:right w:w="72" w:type="dxa"/>
                  </w:tcMar>
                </w:tcPr>
                <w:p w14:paraId="2D3CB7D2" w14:textId="77777777" w:rsidR="00171EC5" w:rsidRPr="005D4222" w:rsidRDefault="00171EC5" w:rsidP="00171EC5">
                  <w:pPr>
                    <w:pStyle w:val="TableText"/>
                    <w:spacing w:before="40" w:after="40"/>
                    <w:rPr>
                      <w:rFonts w:eastAsia="Arial Narrow" w:cs="Arial"/>
                      <w:szCs w:val="21"/>
                    </w:rPr>
                  </w:pPr>
                </w:p>
              </w:tc>
              <w:tc>
                <w:tcPr>
                  <w:tcW w:w="630" w:type="dxa"/>
                  <w:tcBorders>
                    <w:top w:val="nil"/>
                    <w:left w:val="nil"/>
                    <w:bottom w:val="nil"/>
                    <w:right w:val="single" w:sz="4" w:space="0" w:color="auto"/>
                  </w:tcBorders>
                  <w:tcMar>
                    <w:left w:w="72" w:type="dxa"/>
                    <w:right w:w="72" w:type="dxa"/>
                  </w:tcMar>
                </w:tcPr>
                <w:p w14:paraId="0D64C557" w14:textId="77777777" w:rsidR="00171EC5" w:rsidRPr="005D4222" w:rsidRDefault="00171EC5" w:rsidP="00171EC5">
                  <w:pPr>
                    <w:pStyle w:val="TableText"/>
                    <w:spacing w:before="40" w:after="40"/>
                    <w:rPr>
                      <w:rFonts w:cs="Arial"/>
                      <w:szCs w:val="21"/>
                    </w:rPr>
                  </w:pPr>
                </w:p>
              </w:tc>
              <w:tc>
                <w:tcPr>
                  <w:tcW w:w="241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6DF34A1C" w14:textId="77777777" w:rsidR="00171EC5" w:rsidRPr="005D4222" w:rsidRDefault="00171EC5" w:rsidP="00171EC5">
                  <w:pPr>
                    <w:pStyle w:val="TableText"/>
                    <w:spacing w:before="40" w:after="40"/>
                    <w:rPr>
                      <w:rFonts w:cs="Arial"/>
                      <w:szCs w:val="21"/>
                    </w:rPr>
                  </w:pPr>
                  <w:r w:rsidRPr="005D4222">
                    <w:rPr>
                      <w:rFonts w:cs="Arial"/>
                      <w:szCs w:val="21"/>
                    </w:rPr>
                    <w:t>Rate</w:t>
                  </w:r>
                </w:p>
              </w:tc>
              <w:tc>
                <w:tcPr>
                  <w:tcW w:w="16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296EF428" w14:textId="77777777" w:rsidR="00171EC5" w:rsidRPr="005D4222" w:rsidRDefault="00171EC5" w:rsidP="00171EC5">
                  <w:pPr>
                    <w:pStyle w:val="TableText"/>
                    <w:spacing w:before="40" w:after="40"/>
                    <w:rPr>
                      <w:rFonts w:eastAsia="Arial Narrow" w:cs="Arial"/>
                      <w:szCs w:val="21"/>
                    </w:rPr>
                  </w:pPr>
                  <w:r w:rsidRPr="005D4222">
                    <w:rPr>
                      <w:rFonts w:eastAsia="Arial Narrow" w:cs="Arial"/>
                      <w:szCs w:val="21"/>
                    </w:rPr>
                    <w:t>(Percent)</w:t>
                  </w:r>
                </w:p>
              </w:tc>
              <w:tc>
                <w:tcPr>
                  <w:tcW w:w="4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2099703C" w14:textId="3CBB1846" w:rsidR="00171EC5" w:rsidRPr="005D4222" w:rsidRDefault="00233911" w:rsidP="00233911">
                  <w:pPr>
                    <w:pStyle w:val="TableText"/>
                    <w:spacing w:before="40" w:after="40"/>
                    <w:jc w:val="center"/>
                    <w:rPr>
                      <w:rFonts w:ascii="Wingdings" w:eastAsia="Arial Narrow" w:hAnsi="Wingdings" w:cs="Arial"/>
                      <w:szCs w:val="21"/>
                    </w:rPr>
                  </w:pPr>
                  <w:r w:rsidRPr="005D4222">
                    <w:rPr>
                      <w:rFonts w:ascii="Wingdings" w:eastAsia="Wingdings" w:hAnsi="Wingdings" w:cs="Arial"/>
                      <w:szCs w:val="21"/>
                    </w:rPr>
                    <w:t></w:t>
                  </w:r>
                </w:p>
              </w:tc>
            </w:tr>
          </w:tbl>
          <w:p w14:paraId="1C7B542E" w14:textId="77777777" w:rsidR="00043C86" w:rsidRPr="005D4222" w:rsidRDefault="00043C86" w:rsidP="00C10805">
            <w:pPr>
              <w:pStyle w:val="ProcessDash"/>
              <w:numPr>
                <w:ilvl w:val="0"/>
                <w:numId w:val="0"/>
              </w:numPr>
              <w:spacing w:before="80" w:after="80"/>
              <w:ind w:left="80" w:hanging="80"/>
              <w:rPr>
                <w:color w:val="000000" w:themeColor="text1"/>
                <w:highlight w:val="yellow"/>
              </w:rPr>
            </w:pPr>
            <w:r w:rsidRPr="005D4222">
              <w:rPr>
                <w:rFonts w:cs="Arial"/>
                <w:b/>
                <w:bCs/>
              </w:rPr>
              <w:t>*</w:t>
            </w:r>
            <w:r w:rsidRPr="005D4222">
              <w:rPr>
                <w:rStyle w:val="TableTextChar"/>
              </w:rPr>
              <w:t>Repeat the InitialPopulation, Exclusions and Denominator values for metrics using the Administrative Method.</w:t>
            </w:r>
          </w:p>
        </w:tc>
      </w:tr>
      <w:tr w:rsidR="00043C86" w:rsidRPr="005D4222" w14:paraId="73BBECD1" w14:textId="77777777" w:rsidTr="00F93979">
        <w:trPr>
          <w:trHeight w:val="45"/>
        </w:trPr>
        <w:tc>
          <w:tcPr>
            <w:tcW w:w="1071"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044C77A" w14:textId="77777777" w:rsidR="00043C86" w:rsidRPr="005D4222" w:rsidRDefault="00043C86">
            <w:pPr>
              <w:pStyle w:val="ECDSMarginHead"/>
            </w:pPr>
            <w:r w:rsidRPr="005D4222">
              <w:lastRenderedPageBreak/>
              <w:t>Rules for Allowable Adjustments</w:t>
            </w:r>
          </w:p>
        </w:tc>
        <w:tc>
          <w:tcPr>
            <w:tcW w:w="3929"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9A5861D" w14:textId="77777777" w:rsidR="00043C86" w:rsidRPr="005D4222" w:rsidRDefault="00043C86">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7E16C47F" w14:textId="77777777" w:rsidR="00043C86" w:rsidRPr="005D4222" w:rsidRDefault="00043C86">
            <w:pPr>
              <w:pStyle w:val="ECDSBody"/>
              <w:rPr>
                <w:b/>
              </w:rPr>
            </w:pPr>
            <w:r w:rsidRPr="005D4222">
              <w:rPr>
                <w:b/>
              </w:rPr>
              <w:t>Adjusted HEDIS measures may not be used for HEDIS health plan reporting.</w:t>
            </w:r>
          </w:p>
          <w:p w14:paraId="4A7D44A8" w14:textId="77777777" w:rsidR="00043C86" w:rsidRPr="005D4222" w:rsidRDefault="00043C86">
            <w:pPr>
              <w:pStyle w:val="ECDSBody"/>
              <w:spacing w:before="180"/>
              <w:rPr>
                <w:b/>
              </w:rPr>
            </w:pPr>
            <w:r w:rsidRPr="005D4222">
              <w:rPr>
                <w:b/>
                <w:szCs w:val="21"/>
              </w:rPr>
              <w:t>The Rules do not apply to the hybrid portion of the measure; only the administrative sections may be changed.</w:t>
            </w:r>
          </w:p>
          <w:p w14:paraId="42BFB912" w14:textId="77777777" w:rsidR="00043C86" w:rsidRPr="005D4222" w:rsidRDefault="00043C86">
            <w:pPr>
              <w:pStyle w:val="Adjustments"/>
            </w:pPr>
            <w:r w:rsidRPr="005D4222">
              <w:t>ADJUSTMENTS</w:t>
            </w:r>
            <w:r w:rsidRPr="005D4222">
              <w:rPr>
                <w:bCs/>
              </w:rPr>
              <w:t xml:space="preserve"> A</w:t>
            </w:r>
            <w:r w:rsidRPr="005D4222">
              <w:t>LLOWED</w:t>
            </w:r>
          </w:p>
          <w:p w14:paraId="502BD1C9" w14:textId="05E54054" w:rsidR="00043C86" w:rsidRPr="005D4222" w:rsidRDefault="00043C86" w:rsidP="00D367F9">
            <w:pPr>
              <w:pStyle w:val="ProcessBullet"/>
            </w:pPr>
            <w:r w:rsidRPr="005D4222">
              <w:rPr>
                <w:i/>
                <w:iCs/>
              </w:rPr>
              <w:t xml:space="preserve">Product lines. </w:t>
            </w:r>
            <w:r w:rsidRPr="005D4222">
              <w:rPr>
                <w:rFonts w:eastAsia="Arial"/>
              </w:rPr>
              <w:t>Organizations are not required to use product line criteria; product lines may be combined</w:t>
            </w:r>
            <w:r w:rsidR="00E8671F" w:rsidRPr="005D4222">
              <w:rPr>
                <w:rFonts w:eastAsia="Arial"/>
              </w:rPr>
              <w:t>,</w:t>
            </w:r>
            <w:r w:rsidRPr="005D4222">
              <w:rPr>
                <w:rFonts w:eastAsia="Arial"/>
              </w:rPr>
              <w:t xml:space="preserve"> and all (or no) product line criteria may be used.</w:t>
            </w:r>
          </w:p>
          <w:p w14:paraId="3C1BFB97" w14:textId="77777777" w:rsidR="00043C86" w:rsidRPr="005D4222" w:rsidRDefault="00043C86" w:rsidP="00D367F9">
            <w:pPr>
              <w:pStyle w:val="ProcessBullet"/>
            </w:pPr>
            <w:r w:rsidRPr="005D4222">
              <w:rPr>
                <w:i/>
                <w:iCs/>
              </w:rPr>
              <w:t>Attribution.</w:t>
            </w:r>
            <w:r w:rsidRPr="005D4222">
              <w:t xml:space="preserve"> Organizations are not required to use enrollment criteria. </w:t>
            </w:r>
          </w:p>
          <w:p w14:paraId="188F9518" w14:textId="00EBF64C" w:rsidR="00043C86" w:rsidRPr="005D4222" w:rsidRDefault="00BC5A58" w:rsidP="00D367F9">
            <w:pPr>
              <w:pStyle w:val="ProcessBullet"/>
            </w:pPr>
            <w:r w:rsidRPr="005D4222">
              <w:rPr>
                <w:i/>
                <w:iCs/>
              </w:rPr>
              <w:t>Benefits.</w:t>
            </w:r>
            <w:r w:rsidR="00043C86" w:rsidRPr="005D4222">
              <w:t xml:space="preserve"> Organizations are not required to use a benefit.</w:t>
            </w:r>
          </w:p>
          <w:p w14:paraId="575766E6" w14:textId="77777777" w:rsidR="00043C86" w:rsidRPr="005D4222" w:rsidRDefault="00043C86" w:rsidP="00D367F9">
            <w:pPr>
              <w:pStyle w:val="ProcessBullet"/>
            </w:pPr>
            <w:r w:rsidRPr="005D4222">
              <w:rPr>
                <w:i/>
                <w:iCs/>
              </w:rPr>
              <w:t>Other.</w:t>
            </w:r>
            <w:r w:rsidRPr="005D4222">
              <w:t xml:space="preserve"> Organizations may use additional initial population criteria to focus on an area of interest defined by gender, race, ethnicity, socioeconomic or sociodemographic characteristics, geographic region or another characteristic.</w:t>
            </w:r>
          </w:p>
          <w:p w14:paraId="4F1373B3" w14:textId="77777777" w:rsidR="00043C86" w:rsidRPr="005D4222" w:rsidRDefault="00043C86" w:rsidP="000A0080">
            <w:pPr>
              <w:pStyle w:val="ProcessBullet"/>
            </w:pPr>
            <w:r w:rsidRPr="005D4222">
              <w:rPr>
                <w:i/>
                <w:iCs/>
              </w:rPr>
              <w:t xml:space="preserve">Measurement period adjustments. </w:t>
            </w:r>
            <w:r w:rsidRPr="005D4222">
              <w:t xml:space="preserve">Organizations may adjust the measurement period. </w:t>
            </w:r>
          </w:p>
          <w:p w14:paraId="384A7451" w14:textId="77777777" w:rsidR="00043C86" w:rsidRPr="005D4222" w:rsidRDefault="00043C86" w:rsidP="00DA55E6">
            <w:pPr>
              <w:pStyle w:val="ProcessBullet"/>
            </w:pPr>
            <w:r w:rsidRPr="005D4222">
              <w:rPr>
                <w:i/>
                <w:iCs/>
              </w:rPr>
              <w:t>Exclusions.</w:t>
            </w:r>
            <w:r w:rsidRPr="005D4222">
              <w:t xml:space="preserve"> Hospice and deceased persons exclusions are not required. </w:t>
            </w:r>
          </w:p>
          <w:p w14:paraId="1B5D1C8C" w14:textId="77777777" w:rsidR="00043C86" w:rsidRPr="005D4222" w:rsidRDefault="00043C86" w:rsidP="00DA55E6">
            <w:pPr>
              <w:pStyle w:val="ProcessBullet"/>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numerators and exclusions that do not allow the use of telehealth.</w:t>
            </w:r>
          </w:p>
          <w:p w14:paraId="5E1CE785" w14:textId="77777777" w:rsidR="00043C86" w:rsidRPr="005D4222" w:rsidRDefault="00043C86" w:rsidP="00DA55E6">
            <w:pPr>
              <w:pStyle w:val="ProcessBullet"/>
            </w:pPr>
            <w:r w:rsidRPr="005D4222">
              <w:rPr>
                <w:i/>
                <w:iCs/>
              </w:rPr>
              <w:t>Supplemental data.</w:t>
            </w:r>
            <w:r w:rsidRPr="005D4222">
              <w:t xml:space="preserve"> Supplemental data may be used to identify initial population, denominator, exclusion and numerator events.</w:t>
            </w:r>
          </w:p>
          <w:p w14:paraId="15EAD028" w14:textId="77777777" w:rsidR="00043C86" w:rsidRPr="005D4222" w:rsidRDefault="00043C86">
            <w:pPr>
              <w:pStyle w:val="Adjustments"/>
            </w:pPr>
            <w:r w:rsidRPr="005D4222">
              <w:t>ADJUSTMENTS ALLOWED WITH LIMITS</w:t>
            </w:r>
          </w:p>
          <w:p w14:paraId="6C404527" w14:textId="0362790C" w:rsidR="00043C86" w:rsidRPr="005D4222" w:rsidRDefault="00043C86" w:rsidP="00495F53">
            <w:pPr>
              <w:pStyle w:val="ProcessBullet"/>
              <w:rPr>
                <w:rFonts w:eastAsia="Arial" w:cs="Arial"/>
                <w:szCs w:val="19"/>
              </w:rPr>
            </w:pPr>
            <w:r w:rsidRPr="005D4222">
              <w:rPr>
                <w:i/>
                <w:iCs/>
              </w:rPr>
              <w:t xml:space="preserve">Ages. </w:t>
            </w:r>
            <w:r w:rsidRPr="005D4222">
              <w:t xml:space="preserve">Organizations must consult </w:t>
            </w:r>
            <w:r w:rsidR="00996DE8" w:rsidRPr="005D4222">
              <w:t>US</w:t>
            </w:r>
            <w:r w:rsidR="00A46C18" w:rsidRPr="005D4222">
              <w:t>PSTF</w:t>
            </w:r>
            <w:r w:rsidRPr="005D4222">
              <w:t xml:space="preserve"> guidelines when considering whether to expand age ranges outside the current thresholds. Age determination dates may be changed (e.g., select, “age as of June 30”). The denominator age may be changed if the range is within the specified age range (3–17 years). </w:t>
            </w:r>
          </w:p>
          <w:p w14:paraId="78A9D2F7" w14:textId="77777777" w:rsidR="00043C86" w:rsidRPr="005D4222" w:rsidRDefault="00043C86">
            <w:pPr>
              <w:pStyle w:val="Adjustments"/>
            </w:pPr>
            <w:r w:rsidRPr="005D4222">
              <w:t>ADJUSTMENTS NOT ALLOWED</w:t>
            </w:r>
          </w:p>
          <w:p w14:paraId="260F39DB" w14:textId="77777777" w:rsidR="00043C86" w:rsidRPr="005D4222" w:rsidRDefault="00043C86" w:rsidP="00495F53">
            <w:pPr>
              <w:pStyle w:val="ProcessBullet"/>
            </w:pPr>
            <w:r w:rsidRPr="005D4222">
              <w:rPr>
                <w:i/>
                <w:iCs/>
              </w:rPr>
              <w:t xml:space="preserve">Initial population: </w:t>
            </w:r>
            <w:r w:rsidRPr="005D4222">
              <w:rPr>
                <w:iCs/>
              </w:rPr>
              <w:t xml:space="preserve">Event. </w:t>
            </w:r>
            <w:r w:rsidRPr="005D4222">
              <w:t>Value sets and logic may not be changed.</w:t>
            </w:r>
          </w:p>
          <w:p w14:paraId="312B3E3B" w14:textId="77777777" w:rsidR="00043C86" w:rsidRPr="005D4222" w:rsidRDefault="00043C86" w:rsidP="00495F53">
            <w:pPr>
              <w:pStyle w:val="ProcessBullet"/>
            </w:pPr>
            <w:r w:rsidRPr="005D4222">
              <w:rPr>
                <w:i/>
                <w:iCs/>
              </w:rPr>
              <w:t xml:space="preserve">Exclusions. </w:t>
            </w:r>
            <w:r w:rsidRPr="005D4222">
              <w:t>The pregnancy exclusion must be applied. Value sets may not be changed.</w:t>
            </w:r>
          </w:p>
          <w:p w14:paraId="62FF35B3" w14:textId="77777777" w:rsidR="00043C86" w:rsidRPr="005D4222" w:rsidRDefault="00043C86" w:rsidP="00495F53">
            <w:pPr>
              <w:pStyle w:val="ProcessBullet"/>
              <w:spacing w:after="80"/>
              <w:rPr>
                <w:b/>
              </w:rPr>
            </w:pPr>
            <w:r w:rsidRPr="005D4222">
              <w:rPr>
                <w:i/>
                <w:iCs/>
              </w:rPr>
              <w:t xml:space="preserve">Numerator. </w:t>
            </w:r>
            <w:r w:rsidRPr="005D4222">
              <w:t xml:space="preserve">Value sets and logic may not be changed. </w:t>
            </w:r>
          </w:p>
        </w:tc>
      </w:tr>
    </w:tbl>
    <w:p w14:paraId="7C4D0328" w14:textId="77777777" w:rsidR="00495F53" w:rsidRPr="005D4222" w:rsidRDefault="00495F53" w:rsidP="00043C86">
      <w:pPr>
        <w:sectPr w:rsidR="00495F53" w:rsidRPr="005D4222" w:rsidSect="0074514A">
          <w:headerReference w:type="default" r:id="rId83"/>
          <w:footerReference w:type="default" r:id="rId84"/>
          <w:type w:val="nextColumn"/>
          <w:pgSz w:w="12240" w:h="15840" w:code="1"/>
          <w:pgMar w:top="1080" w:right="1080" w:bottom="1080" w:left="1440" w:header="720" w:footer="720" w:gutter="0"/>
          <w:cols w:space="720"/>
          <w:docGrid w:linePitch="360"/>
        </w:sectPr>
      </w:pPr>
    </w:p>
    <w:p w14:paraId="20CFC298" w14:textId="74A9A17F" w:rsidR="00C10805" w:rsidRPr="005D4222" w:rsidRDefault="009513D8" w:rsidP="000F142F">
      <w:pPr>
        <w:pStyle w:val="MeasureTitle"/>
      </w:pPr>
      <w:bookmarkStart w:id="270" w:name="_Toc201813388"/>
      <w:r w:rsidRPr="005D4222">
        <w:lastRenderedPageBreak/>
        <w:t>Chlamydia Screening</w:t>
      </w:r>
      <w:r w:rsidR="004C0737" w:rsidRPr="005D4222">
        <w:t xml:space="preserve"> (CHL)</w:t>
      </w:r>
      <w:bookmarkEnd w:id="270"/>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3" w:type="dxa"/>
          <w:right w:w="86" w:type="dxa"/>
        </w:tblCellMar>
        <w:tblLook w:val="04A0" w:firstRow="1" w:lastRow="0" w:firstColumn="1" w:lastColumn="0" w:noHBand="0" w:noVBand="1"/>
      </w:tblPr>
      <w:tblGrid>
        <w:gridCol w:w="2157"/>
        <w:gridCol w:w="4507"/>
        <w:gridCol w:w="1428"/>
        <w:gridCol w:w="1622"/>
      </w:tblGrid>
      <w:tr w:rsidR="00651836" w:rsidRPr="005D4222" w14:paraId="2FCBBAAA" w14:textId="77777777">
        <w:tc>
          <w:tcPr>
            <w:tcW w:w="1110" w:type="pct"/>
            <w:shd w:val="clear" w:color="auto" w:fill="BFBFBF" w:themeFill="background1" w:themeFillShade="BF"/>
            <w:tcMar>
              <w:top w:w="0" w:type="dxa"/>
              <w:left w:w="86" w:type="dxa"/>
              <w:bottom w:w="43" w:type="dxa"/>
              <w:right w:w="86" w:type="dxa"/>
            </w:tcMar>
            <w:hideMark/>
          </w:tcPr>
          <w:p w14:paraId="568DA36A" w14:textId="77777777" w:rsidR="00651836" w:rsidRPr="005D4222" w:rsidRDefault="00651836" w:rsidP="003652FC">
            <w:pPr>
              <w:pStyle w:val="ECDSMarginHead"/>
            </w:pPr>
            <w:r w:rsidRPr="005D4222">
              <w:t>Measure title</w:t>
            </w:r>
          </w:p>
        </w:tc>
        <w:tc>
          <w:tcPr>
            <w:tcW w:w="2320" w:type="pct"/>
            <w:tcMar>
              <w:top w:w="0" w:type="dxa"/>
              <w:left w:w="86" w:type="dxa"/>
              <w:bottom w:w="43" w:type="dxa"/>
              <w:right w:w="86" w:type="dxa"/>
            </w:tcMar>
          </w:tcPr>
          <w:p w14:paraId="12C30183" w14:textId="77777777" w:rsidR="00651836" w:rsidRPr="005D4222" w:rsidRDefault="00651836" w:rsidP="009513D8">
            <w:pPr>
              <w:pStyle w:val="ECDSBody"/>
            </w:pPr>
            <w:bookmarkStart w:id="271" w:name="OLE_LINK1"/>
            <w:r w:rsidRPr="005D4222">
              <w:t>Chlamydia Screening</w:t>
            </w:r>
            <w:bookmarkEnd w:id="271"/>
          </w:p>
        </w:tc>
        <w:tc>
          <w:tcPr>
            <w:tcW w:w="735" w:type="pct"/>
            <w:shd w:val="clear" w:color="auto" w:fill="BFBFBF" w:themeFill="background1" w:themeFillShade="BF"/>
            <w:tcMar>
              <w:top w:w="0" w:type="dxa"/>
              <w:left w:w="86" w:type="dxa"/>
              <w:bottom w:w="43" w:type="dxa"/>
              <w:right w:w="86" w:type="dxa"/>
            </w:tcMar>
          </w:tcPr>
          <w:p w14:paraId="5E1DB68F" w14:textId="77777777" w:rsidR="00651836" w:rsidRPr="005D4222" w:rsidRDefault="00651836" w:rsidP="003652FC">
            <w:pPr>
              <w:pStyle w:val="ECDSMarginHead"/>
            </w:pPr>
            <w:r w:rsidRPr="005D4222">
              <w:t>Measure ID</w:t>
            </w:r>
          </w:p>
        </w:tc>
        <w:tc>
          <w:tcPr>
            <w:tcW w:w="835" w:type="pct"/>
            <w:tcMar>
              <w:top w:w="0" w:type="dxa"/>
              <w:left w:w="86" w:type="dxa"/>
              <w:bottom w:w="43" w:type="dxa"/>
              <w:right w:w="86" w:type="dxa"/>
            </w:tcMar>
          </w:tcPr>
          <w:p w14:paraId="34F18017" w14:textId="77777777" w:rsidR="00651836" w:rsidRPr="005D4222" w:rsidRDefault="00651836" w:rsidP="009513D8">
            <w:pPr>
              <w:pStyle w:val="ECDSBody"/>
            </w:pPr>
            <w:r w:rsidRPr="005D4222">
              <w:t>CHL</w:t>
            </w:r>
          </w:p>
        </w:tc>
      </w:tr>
      <w:tr w:rsidR="00651836" w:rsidRPr="005D4222" w14:paraId="1E23F922" w14:textId="77777777">
        <w:tc>
          <w:tcPr>
            <w:tcW w:w="1110" w:type="pct"/>
            <w:shd w:val="clear" w:color="auto" w:fill="BFBFBF" w:themeFill="background1" w:themeFillShade="BF"/>
            <w:tcMar>
              <w:top w:w="0" w:type="dxa"/>
              <w:left w:w="86" w:type="dxa"/>
              <w:bottom w:w="43" w:type="dxa"/>
              <w:right w:w="86" w:type="dxa"/>
            </w:tcMar>
            <w:hideMark/>
          </w:tcPr>
          <w:p w14:paraId="35C4CA19" w14:textId="77777777" w:rsidR="00651836" w:rsidRPr="005D4222" w:rsidRDefault="00651836" w:rsidP="003652FC">
            <w:pPr>
              <w:pStyle w:val="ECDSMarginHead"/>
            </w:pPr>
            <w:r w:rsidRPr="005D4222">
              <w:t>Description</w:t>
            </w:r>
          </w:p>
        </w:tc>
        <w:tc>
          <w:tcPr>
            <w:tcW w:w="3890" w:type="pct"/>
            <w:gridSpan w:val="3"/>
            <w:tcMar>
              <w:top w:w="0" w:type="dxa"/>
              <w:left w:w="86" w:type="dxa"/>
              <w:bottom w:w="43" w:type="dxa"/>
              <w:right w:w="86" w:type="dxa"/>
            </w:tcMar>
          </w:tcPr>
          <w:p w14:paraId="5989FFB7" w14:textId="77777777" w:rsidR="00651836" w:rsidRPr="005D4222" w:rsidRDefault="00651836" w:rsidP="009513D8">
            <w:pPr>
              <w:pStyle w:val="ECDSBody"/>
            </w:pPr>
            <w:r w:rsidRPr="005D4222">
              <w:t>The percentage of persons 16–24 years of age who were recommended for routine chlamydia screening, were identified as sexually active and had at least one test for chlamydia during the measurement period.</w:t>
            </w:r>
          </w:p>
        </w:tc>
      </w:tr>
      <w:tr w:rsidR="00651836" w:rsidRPr="005D4222" w14:paraId="59A4F4FC" w14:textId="77777777">
        <w:tc>
          <w:tcPr>
            <w:tcW w:w="1110" w:type="pct"/>
            <w:shd w:val="clear" w:color="auto" w:fill="BFBFBF" w:themeFill="background1" w:themeFillShade="BF"/>
            <w:tcMar>
              <w:top w:w="0" w:type="dxa"/>
              <w:left w:w="86" w:type="dxa"/>
              <w:bottom w:w="43" w:type="dxa"/>
              <w:right w:w="86" w:type="dxa"/>
            </w:tcMar>
          </w:tcPr>
          <w:p w14:paraId="6519452C" w14:textId="77777777" w:rsidR="00651836" w:rsidRPr="005D4222" w:rsidRDefault="00651836" w:rsidP="003652FC">
            <w:pPr>
              <w:pStyle w:val="ECDSMarginHead"/>
            </w:pPr>
            <w:r w:rsidRPr="005D4222">
              <w:t>Measurement period</w:t>
            </w:r>
          </w:p>
        </w:tc>
        <w:tc>
          <w:tcPr>
            <w:tcW w:w="3890" w:type="pct"/>
            <w:gridSpan w:val="3"/>
            <w:tcMar>
              <w:top w:w="0" w:type="dxa"/>
              <w:left w:w="86" w:type="dxa"/>
              <w:bottom w:w="43" w:type="dxa"/>
              <w:right w:w="86" w:type="dxa"/>
            </w:tcMar>
          </w:tcPr>
          <w:p w14:paraId="157F8F31" w14:textId="77777777" w:rsidR="00651836" w:rsidRPr="005D4222" w:rsidRDefault="00651836" w:rsidP="009513D8">
            <w:pPr>
              <w:pStyle w:val="ECDSBody"/>
            </w:pPr>
            <w:r w:rsidRPr="005D4222">
              <w:t>January 1–December 31.</w:t>
            </w:r>
          </w:p>
        </w:tc>
      </w:tr>
      <w:tr w:rsidR="00651836" w:rsidRPr="005D4222" w14:paraId="4F911856" w14:textId="77777777">
        <w:tc>
          <w:tcPr>
            <w:tcW w:w="1110" w:type="pct"/>
            <w:shd w:val="clear" w:color="auto" w:fill="BFBFBF" w:themeFill="background1" w:themeFillShade="BF"/>
            <w:tcMar>
              <w:top w:w="0" w:type="dxa"/>
              <w:left w:w="86" w:type="dxa"/>
              <w:bottom w:w="43" w:type="dxa"/>
              <w:right w:w="86" w:type="dxa"/>
            </w:tcMar>
            <w:hideMark/>
          </w:tcPr>
          <w:p w14:paraId="28574B81" w14:textId="77777777" w:rsidR="00651836" w:rsidRPr="005D4222" w:rsidRDefault="00651836" w:rsidP="003652FC">
            <w:pPr>
              <w:pStyle w:val="ECDSMarginHead"/>
              <w:rPr>
                <w:rFonts w:eastAsia="Arial"/>
              </w:rPr>
            </w:pPr>
            <w:r w:rsidRPr="005D4222">
              <w:rPr>
                <w:rFonts w:eastAsia="Arial"/>
              </w:rPr>
              <w:t>Copyright and disclaimer notice</w:t>
            </w:r>
          </w:p>
        </w:tc>
        <w:tc>
          <w:tcPr>
            <w:tcW w:w="3890" w:type="pct"/>
            <w:gridSpan w:val="3"/>
            <w:tcMar>
              <w:top w:w="0" w:type="dxa"/>
              <w:left w:w="86" w:type="dxa"/>
              <w:bottom w:w="43" w:type="dxa"/>
              <w:right w:w="86" w:type="dxa"/>
            </w:tcMar>
          </w:tcPr>
          <w:p w14:paraId="37F8532E" w14:textId="77777777" w:rsidR="00651836" w:rsidRPr="005D4222" w:rsidRDefault="00651836" w:rsidP="009513D8">
            <w:pPr>
              <w:pStyle w:val="ECDSBody"/>
            </w:pPr>
            <w:r w:rsidRPr="005D4222">
              <w:t xml:space="preserve">Refer to the complete copyright and disclaimer information at the front of this publication. </w:t>
            </w:r>
          </w:p>
          <w:p w14:paraId="4C9BD1D8" w14:textId="77777777" w:rsidR="00651836" w:rsidRPr="005D4222" w:rsidRDefault="00651836" w:rsidP="009513D8">
            <w:pPr>
              <w:pStyle w:val="ECDSBody"/>
            </w:pPr>
            <w:r w:rsidRPr="005D4222">
              <w:t xml:space="preserve">NCQA website: </w:t>
            </w:r>
            <w:r w:rsidRPr="005D4222">
              <w:rPr>
                <w:u w:val="single"/>
              </w:rPr>
              <w:t>www.ncqa.org</w:t>
            </w:r>
            <w:r w:rsidRPr="005D4222">
              <w:t xml:space="preserve">.   </w:t>
            </w:r>
          </w:p>
          <w:p w14:paraId="10CE25E9" w14:textId="77777777" w:rsidR="00651836" w:rsidRPr="005D4222" w:rsidRDefault="00651836" w:rsidP="009513D8">
            <w:pPr>
              <w:pStyle w:val="ECDSBody"/>
            </w:pPr>
            <w:r w:rsidRPr="005D4222">
              <w:t>Submit policy clarification support questions via My NCQA (</w:t>
            </w:r>
            <w:r w:rsidRPr="005D4222">
              <w:rPr>
                <w:u w:val="single"/>
              </w:rPr>
              <w:t>https://my.ncqa.org</w:t>
            </w:r>
            <w:r w:rsidRPr="005D4222">
              <w:t>).</w:t>
            </w:r>
          </w:p>
        </w:tc>
      </w:tr>
      <w:tr w:rsidR="00651836" w:rsidRPr="005D4222" w14:paraId="380A4826" w14:textId="77777777">
        <w:tc>
          <w:tcPr>
            <w:tcW w:w="1110" w:type="pct"/>
            <w:shd w:val="clear" w:color="auto" w:fill="BFBFBF" w:themeFill="background1" w:themeFillShade="BF"/>
            <w:tcMar>
              <w:top w:w="0" w:type="dxa"/>
              <w:left w:w="86" w:type="dxa"/>
              <w:bottom w:w="43" w:type="dxa"/>
              <w:right w:w="86" w:type="dxa"/>
            </w:tcMar>
            <w:hideMark/>
          </w:tcPr>
          <w:p w14:paraId="0C5F7A08" w14:textId="77777777" w:rsidR="00651836" w:rsidRPr="005D4222" w:rsidRDefault="00651836" w:rsidP="003652FC">
            <w:pPr>
              <w:pStyle w:val="ECDSMarginHead"/>
            </w:pPr>
            <w:r w:rsidRPr="005D4222">
              <w:t>Clinical recommendation statement/ rationale</w:t>
            </w:r>
          </w:p>
        </w:tc>
        <w:tc>
          <w:tcPr>
            <w:tcW w:w="3890" w:type="pct"/>
            <w:gridSpan w:val="3"/>
            <w:tcMar>
              <w:top w:w="0" w:type="dxa"/>
              <w:left w:w="86" w:type="dxa"/>
              <w:bottom w:w="43" w:type="dxa"/>
              <w:right w:w="86" w:type="dxa"/>
            </w:tcMar>
          </w:tcPr>
          <w:p w14:paraId="45D92FC4" w14:textId="77777777" w:rsidR="00651836" w:rsidRPr="005D4222" w:rsidRDefault="00651836" w:rsidP="009513D8">
            <w:pPr>
              <w:pStyle w:val="ECDSBody"/>
              <w:rPr>
                <w:szCs w:val="21"/>
              </w:rPr>
            </w:pPr>
            <w:r w:rsidRPr="005D4222">
              <w:t>The U.S. Preventive Services Task Force recommends screening for chlamydia in all sexually active women 24 years or younger and in women 25 years or older who are at increased risk for infection.</w:t>
            </w:r>
            <w:r w:rsidRPr="005D4222">
              <w:rPr>
                <w:rFonts w:eastAsia="Arial"/>
              </w:rPr>
              <w:t xml:space="preserve"> </w:t>
            </w:r>
            <w:r w:rsidRPr="005D4222">
              <w:rPr>
                <w:rFonts w:eastAsia="Arial"/>
                <w:szCs w:val="21"/>
              </w:rPr>
              <w:t>(B recommendation)</w:t>
            </w:r>
          </w:p>
        </w:tc>
      </w:tr>
      <w:tr w:rsidR="00651836" w:rsidRPr="005D4222" w14:paraId="39B2F741" w14:textId="77777777">
        <w:tc>
          <w:tcPr>
            <w:tcW w:w="1110" w:type="pct"/>
            <w:shd w:val="clear" w:color="auto" w:fill="BFBFBF" w:themeFill="background1" w:themeFillShade="BF"/>
            <w:tcMar>
              <w:top w:w="0" w:type="dxa"/>
              <w:left w:w="86" w:type="dxa"/>
              <w:bottom w:w="43" w:type="dxa"/>
              <w:right w:w="86" w:type="dxa"/>
            </w:tcMar>
          </w:tcPr>
          <w:p w14:paraId="7D7E9A64" w14:textId="77777777" w:rsidR="00651836" w:rsidRPr="005D4222" w:rsidRDefault="00651836" w:rsidP="003652FC">
            <w:pPr>
              <w:pStyle w:val="ECDSMarginHead"/>
            </w:pPr>
            <w:r w:rsidRPr="005D4222">
              <w:t>Citations</w:t>
            </w:r>
          </w:p>
        </w:tc>
        <w:tc>
          <w:tcPr>
            <w:tcW w:w="3890" w:type="pct"/>
            <w:gridSpan w:val="3"/>
            <w:tcMar>
              <w:top w:w="0" w:type="dxa"/>
              <w:left w:w="86" w:type="dxa"/>
              <w:bottom w:w="43" w:type="dxa"/>
              <w:right w:w="86" w:type="dxa"/>
            </w:tcMar>
          </w:tcPr>
          <w:p w14:paraId="7CF5DE31" w14:textId="77777777" w:rsidR="00651836" w:rsidRPr="005D4222" w:rsidRDefault="00651836" w:rsidP="009513D8">
            <w:pPr>
              <w:pStyle w:val="ECDSBody"/>
              <w:rPr>
                <w:szCs w:val="21"/>
              </w:rPr>
            </w:pPr>
            <w:r w:rsidRPr="005D4222">
              <w:rPr>
                <w:szCs w:val="21"/>
              </w:rPr>
              <w:t xml:space="preserve">U.S. Preventive Services Task Force. September 14, 2021. “Screening for Chlamydia and Gonorrhea: US Preventive Services Task Force Recommendation Statement,” </w:t>
            </w:r>
            <w:r w:rsidRPr="005D4222">
              <w:rPr>
                <w:i/>
                <w:szCs w:val="21"/>
              </w:rPr>
              <w:t>JAMA</w:t>
            </w:r>
            <w:r w:rsidRPr="005D4222">
              <w:rPr>
                <w:szCs w:val="21"/>
              </w:rPr>
              <w:t xml:space="preserve"> 326, no. 10: 949–56, https://doi.org/10.1001/jama.2021.14081</w:t>
            </w:r>
          </w:p>
          <w:p w14:paraId="7F5A0558" w14:textId="77777777" w:rsidR="00651836" w:rsidRPr="005D4222" w:rsidRDefault="00651836" w:rsidP="009513D8">
            <w:pPr>
              <w:pStyle w:val="ECDSBody"/>
            </w:pPr>
            <w:r w:rsidRPr="005D4222">
              <w:t>Centers for Disease Control and Prevention. 2019. “Sexually Transmitted Disease Surveillance 2018.” Atlanta: U.S. Department of Health and Human Services. https://doi.org/10.15620/cdc.79370</w:t>
            </w:r>
          </w:p>
          <w:p w14:paraId="3B8BF170" w14:textId="77777777" w:rsidR="00651836" w:rsidRPr="005D4222" w:rsidRDefault="00651836" w:rsidP="009513D8">
            <w:pPr>
              <w:pStyle w:val="ECDSBody"/>
            </w:pPr>
            <w:r w:rsidRPr="005D4222">
              <w:t xml:space="preserve">Thompson, J. March 2021. “Medical Care of Trans and Gender Diverse Adults” (Boston: Fenway Health). </w:t>
            </w:r>
          </w:p>
          <w:p w14:paraId="02BA21E5" w14:textId="77777777" w:rsidR="00651836" w:rsidRPr="005D4222" w:rsidRDefault="00651836" w:rsidP="009513D8">
            <w:pPr>
              <w:pStyle w:val="ECDSBody"/>
            </w:pPr>
            <w:r w:rsidRPr="003123CD">
              <w:rPr>
                <w:lang w:val="fr-FR"/>
              </w:rPr>
              <w:t xml:space="preserve">E. Coleman et al. August 19, 2022. </w:t>
            </w:r>
            <w:r w:rsidRPr="005D4222">
              <w:t xml:space="preserve">“Standards of Care for the Health of Transgender and Gender Diverse People, Version 8.” </w:t>
            </w:r>
            <w:r w:rsidRPr="005D4222">
              <w:rPr>
                <w:i/>
              </w:rPr>
              <w:t>International Journal of Transgender Health</w:t>
            </w:r>
            <w:r w:rsidRPr="005D4222">
              <w:t xml:space="preserve"> 23, no. sup1: S1–259. https://doi.org/10.1080/26895269.2022.2100644 </w:t>
            </w:r>
          </w:p>
        </w:tc>
      </w:tr>
      <w:tr w:rsidR="00651836" w:rsidRPr="005D4222" w14:paraId="00F5B357" w14:textId="77777777">
        <w:tc>
          <w:tcPr>
            <w:tcW w:w="5000" w:type="pct"/>
            <w:gridSpan w:val="4"/>
            <w:tcBorders>
              <w:bottom w:val="single" w:sz="4" w:space="0" w:color="auto"/>
            </w:tcBorders>
            <w:shd w:val="clear" w:color="auto" w:fill="BFBFBF" w:themeFill="background1" w:themeFillShade="BF"/>
            <w:tcMar>
              <w:top w:w="0" w:type="dxa"/>
              <w:left w:w="86" w:type="dxa"/>
              <w:bottom w:w="43" w:type="dxa"/>
              <w:right w:w="86" w:type="dxa"/>
            </w:tcMar>
          </w:tcPr>
          <w:p w14:paraId="21C440C6" w14:textId="77777777" w:rsidR="00651836" w:rsidRPr="005D4222" w:rsidRDefault="00651836" w:rsidP="003652FC">
            <w:pPr>
              <w:pStyle w:val="ECDSMarginHead"/>
            </w:pPr>
            <w:r w:rsidRPr="005D4222">
              <w:t>Characteristics</w:t>
            </w:r>
          </w:p>
        </w:tc>
      </w:tr>
      <w:tr w:rsidR="00651836" w:rsidRPr="005D4222" w14:paraId="6F85FA2E" w14:textId="77777777">
        <w:tc>
          <w:tcPr>
            <w:tcW w:w="1110" w:type="pct"/>
            <w:tcBorders>
              <w:top w:val="single" w:sz="4" w:space="0" w:color="auto"/>
              <w:left w:val="single" w:sz="4" w:space="0" w:color="auto"/>
              <w:bottom w:val="nil"/>
              <w:right w:val="single" w:sz="4" w:space="0" w:color="auto"/>
            </w:tcBorders>
            <w:tcMar>
              <w:top w:w="0" w:type="dxa"/>
              <w:left w:w="86" w:type="dxa"/>
              <w:bottom w:w="43" w:type="dxa"/>
              <w:right w:w="86" w:type="dxa"/>
            </w:tcMar>
          </w:tcPr>
          <w:p w14:paraId="6CEDC80D" w14:textId="77777777" w:rsidR="00651836" w:rsidRPr="005D4222" w:rsidRDefault="00651836" w:rsidP="003652FC">
            <w:pPr>
              <w:pStyle w:val="ECDSSubhead"/>
            </w:pPr>
            <w:r w:rsidRPr="005D4222">
              <w:t>Scoring</w:t>
            </w:r>
          </w:p>
        </w:tc>
        <w:tc>
          <w:tcPr>
            <w:tcW w:w="3890" w:type="pct"/>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79208472" w14:textId="77777777" w:rsidR="00651836" w:rsidRPr="005D4222" w:rsidRDefault="00651836" w:rsidP="00E128E6">
            <w:pPr>
              <w:pStyle w:val="ECDSBody"/>
              <w:spacing w:after="0"/>
            </w:pPr>
            <w:r w:rsidRPr="005D4222">
              <w:t>Proportion.</w:t>
            </w:r>
          </w:p>
        </w:tc>
      </w:tr>
      <w:tr w:rsidR="00651836" w:rsidRPr="005D4222" w14:paraId="57699BAE" w14:textId="77777777">
        <w:tc>
          <w:tcPr>
            <w:tcW w:w="1110" w:type="pct"/>
            <w:tcBorders>
              <w:top w:val="nil"/>
              <w:left w:val="single" w:sz="4" w:space="0" w:color="auto"/>
              <w:bottom w:val="nil"/>
              <w:right w:val="single" w:sz="4" w:space="0" w:color="auto"/>
            </w:tcBorders>
            <w:tcMar>
              <w:top w:w="0" w:type="dxa"/>
              <w:left w:w="86" w:type="dxa"/>
              <w:bottom w:w="43" w:type="dxa"/>
              <w:right w:w="86" w:type="dxa"/>
            </w:tcMar>
          </w:tcPr>
          <w:p w14:paraId="01DB9ECA" w14:textId="77777777" w:rsidR="00651836" w:rsidRPr="005D4222" w:rsidRDefault="00651836" w:rsidP="003652FC">
            <w:pPr>
              <w:pStyle w:val="ECDSSubhead"/>
            </w:pPr>
            <w:r w:rsidRPr="005D4222">
              <w:t>Type</w:t>
            </w:r>
          </w:p>
        </w:tc>
        <w:tc>
          <w:tcPr>
            <w:tcW w:w="3890" w:type="pct"/>
            <w:gridSpan w:val="3"/>
            <w:tcBorders>
              <w:top w:val="nil"/>
              <w:left w:val="single" w:sz="4" w:space="0" w:color="auto"/>
              <w:bottom w:val="nil"/>
              <w:right w:val="single" w:sz="4" w:space="0" w:color="auto"/>
            </w:tcBorders>
            <w:tcMar>
              <w:top w:w="0" w:type="dxa"/>
              <w:left w:w="86" w:type="dxa"/>
              <w:bottom w:w="43" w:type="dxa"/>
              <w:right w:w="86" w:type="dxa"/>
            </w:tcMar>
          </w:tcPr>
          <w:p w14:paraId="61676A65" w14:textId="77777777" w:rsidR="00651836" w:rsidRPr="005D4222" w:rsidRDefault="00651836" w:rsidP="00E128E6">
            <w:pPr>
              <w:pStyle w:val="ECDSBody"/>
              <w:spacing w:after="0"/>
            </w:pPr>
            <w:r w:rsidRPr="005D4222">
              <w:t>Process.</w:t>
            </w:r>
          </w:p>
        </w:tc>
      </w:tr>
      <w:tr w:rsidR="00651836" w:rsidRPr="005D4222" w14:paraId="4B48C484" w14:textId="77777777" w:rsidTr="009513D8">
        <w:tc>
          <w:tcPr>
            <w:tcW w:w="1110" w:type="pct"/>
            <w:tcBorders>
              <w:top w:val="nil"/>
              <w:left w:val="single" w:sz="4" w:space="0" w:color="auto"/>
              <w:bottom w:val="nil"/>
              <w:right w:val="single" w:sz="4" w:space="0" w:color="auto"/>
            </w:tcBorders>
            <w:tcMar>
              <w:top w:w="0" w:type="dxa"/>
              <w:left w:w="86" w:type="dxa"/>
              <w:bottom w:w="43" w:type="dxa"/>
              <w:right w:w="86" w:type="dxa"/>
            </w:tcMar>
          </w:tcPr>
          <w:p w14:paraId="09863DC7" w14:textId="7DC66D35" w:rsidR="00651836" w:rsidRPr="005D4222" w:rsidRDefault="00B51CDC" w:rsidP="003652FC">
            <w:pPr>
              <w:pStyle w:val="ECDSSubhead"/>
            </w:pPr>
            <w:r w:rsidRPr="005D4222">
              <w:t>Product lines</w:t>
            </w:r>
          </w:p>
        </w:tc>
        <w:tc>
          <w:tcPr>
            <w:tcW w:w="3890" w:type="pct"/>
            <w:gridSpan w:val="3"/>
            <w:tcBorders>
              <w:top w:val="nil"/>
              <w:left w:val="single" w:sz="4" w:space="0" w:color="auto"/>
              <w:bottom w:val="nil"/>
              <w:right w:val="single" w:sz="4" w:space="0" w:color="auto"/>
            </w:tcBorders>
            <w:tcMar>
              <w:top w:w="0" w:type="dxa"/>
              <w:left w:w="86" w:type="dxa"/>
              <w:bottom w:w="43" w:type="dxa"/>
              <w:right w:w="86" w:type="dxa"/>
            </w:tcMar>
          </w:tcPr>
          <w:p w14:paraId="7DFCAD6B" w14:textId="77777777" w:rsidR="00651836" w:rsidRPr="005D4222" w:rsidRDefault="00651836" w:rsidP="009513D8">
            <w:pPr>
              <w:pStyle w:val="ProcessBullet"/>
            </w:pPr>
            <w:r w:rsidRPr="005D4222">
              <w:t>Commercial.</w:t>
            </w:r>
          </w:p>
          <w:p w14:paraId="6195CF90" w14:textId="77777777" w:rsidR="00651836" w:rsidRPr="005D4222" w:rsidRDefault="00651836" w:rsidP="009513D8">
            <w:pPr>
              <w:pStyle w:val="ProcessBullet"/>
            </w:pPr>
            <w:r w:rsidRPr="005D4222">
              <w:t>Medicaid.</w:t>
            </w:r>
          </w:p>
        </w:tc>
      </w:tr>
      <w:tr w:rsidR="00651836" w:rsidRPr="005D4222" w14:paraId="51FF25F3" w14:textId="77777777" w:rsidTr="003652FC">
        <w:tc>
          <w:tcPr>
            <w:tcW w:w="1110" w:type="pct"/>
            <w:tcBorders>
              <w:top w:val="nil"/>
              <w:left w:val="single" w:sz="4" w:space="0" w:color="auto"/>
              <w:bottom w:val="single" w:sz="4" w:space="0" w:color="auto"/>
              <w:right w:val="single" w:sz="4" w:space="0" w:color="auto"/>
            </w:tcBorders>
            <w:tcMar>
              <w:top w:w="0" w:type="dxa"/>
              <w:left w:w="86" w:type="dxa"/>
              <w:bottom w:w="43" w:type="dxa"/>
              <w:right w:w="86" w:type="dxa"/>
            </w:tcMar>
          </w:tcPr>
          <w:p w14:paraId="41A7E9CC" w14:textId="7E96014F" w:rsidR="00651836" w:rsidRPr="005D4222" w:rsidRDefault="00B51CDC" w:rsidP="003652FC">
            <w:pPr>
              <w:pStyle w:val="ECDSSubhead"/>
            </w:pPr>
            <w:r w:rsidRPr="005D4222">
              <w:t>Stratifications</w:t>
            </w:r>
            <w:r w:rsidR="00651836" w:rsidRPr="005D4222">
              <w:t xml:space="preserve"> </w:t>
            </w:r>
          </w:p>
        </w:tc>
        <w:tc>
          <w:tcPr>
            <w:tcW w:w="3890" w:type="pct"/>
            <w:gridSpan w:val="3"/>
            <w:tcBorders>
              <w:top w:val="nil"/>
              <w:left w:val="single" w:sz="4" w:space="0" w:color="auto"/>
              <w:bottom w:val="single" w:sz="4" w:space="0" w:color="auto"/>
              <w:right w:val="single" w:sz="4" w:space="0" w:color="auto"/>
            </w:tcBorders>
            <w:tcMar>
              <w:top w:w="0" w:type="dxa"/>
              <w:left w:w="86" w:type="dxa"/>
              <w:bottom w:w="43" w:type="dxa"/>
              <w:right w:w="86" w:type="dxa"/>
            </w:tcMar>
            <w:hideMark/>
          </w:tcPr>
          <w:p w14:paraId="61C11BE3" w14:textId="77777777" w:rsidR="00651836" w:rsidRPr="005D4222" w:rsidRDefault="00651836" w:rsidP="009513D8">
            <w:pPr>
              <w:pStyle w:val="ECDSBody"/>
            </w:pPr>
            <w:r w:rsidRPr="005D4222">
              <w:t>Age as of the last day of the measurement period.</w:t>
            </w:r>
          </w:p>
          <w:p w14:paraId="4857B911" w14:textId="77777777" w:rsidR="00651836" w:rsidRPr="005D4222" w:rsidRDefault="00651836" w:rsidP="009513D8">
            <w:pPr>
              <w:pStyle w:val="Bullet"/>
              <w:rPr>
                <w:rFonts w:eastAsia="Arial,Arial,Arial,Arial,Arial,A"/>
              </w:rPr>
            </w:pPr>
            <w:r w:rsidRPr="005D4222">
              <w:rPr>
                <w:rFonts w:eastAsia="Arial,Arial,Arial,Arial,Arial,A"/>
              </w:rPr>
              <w:t>16–20 years.</w:t>
            </w:r>
          </w:p>
          <w:p w14:paraId="6863A6B4" w14:textId="77777777" w:rsidR="00651836" w:rsidRPr="005D4222" w:rsidRDefault="00651836" w:rsidP="00E128E6">
            <w:pPr>
              <w:pStyle w:val="Bullet"/>
              <w:spacing w:after="80"/>
              <w:rPr>
                <w:rFonts w:eastAsia="Arial,Arial,Arial,Arial,Arial,A"/>
              </w:rPr>
            </w:pPr>
            <w:r w:rsidRPr="005D4222">
              <w:rPr>
                <w:rFonts w:eastAsia="Arial,Arial,Arial,Arial,Arial,A"/>
              </w:rPr>
              <w:t>21–24 years.</w:t>
            </w:r>
          </w:p>
        </w:tc>
      </w:tr>
      <w:tr w:rsidR="00651836" w:rsidRPr="005D4222" w14:paraId="3987B687" w14:textId="77777777" w:rsidTr="003652FC">
        <w:tc>
          <w:tcPr>
            <w:tcW w:w="1110" w:type="pct"/>
            <w:tcBorders>
              <w:top w:val="single" w:sz="4" w:space="0" w:color="auto"/>
              <w:left w:val="single" w:sz="4" w:space="0" w:color="auto"/>
              <w:bottom w:val="nil"/>
              <w:right w:val="single" w:sz="4" w:space="0" w:color="auto"/>
            </w:tcBorders>
            <w:tcMar>
              <w:top w:w="0" w:type="dxa"/>
              <w:left w:w="86" w:type="dxa"/>
              <w:bottom w:w="43" w:type="dxa"/>
              <w:right w:w="86" w:type="dxa"/>
            </w:tcMar>
          </w:tcPr>
          <w:p w14:paraId="445FBDF5" w14:textId="77777777" w:rsidR="00651836" w:rsidRPr="005D4222" w:rsidRDefault="00651836" w:rsidP="003652FC">
            <w:pPr>
              <w:tabs>
                <w:tab w:val="left" w:pos="1368"/>
              </w:tabs>
              <w:spacing w:before="120"/>
              <w:rPr>
                <w:rFonts w:cs="Arial"/>
                <w:b/>
                <w:sz w:val="22"/>
                <w:szCs w:val="26"/>
              </w:rPr>
            </w:pPr>
            <w:r w:rsidRPr="005D4222">
              <w:rPr>
                <w:rFonts w:cs="Arial"/>
                <w:b/>
                <w:sz w:val="22"/>
                <w:szCs w:val="26"/>
              </w:rPr>
              <w:lastRenderedPageBreak/>
              <w:t>Risk adjustment</w:t>
            </w:r>
          </w:p>
        </w:tc>
        <w:tc>
          <w:tcPr>
            <w:tcW w:w="3890" w:type="pct"/>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28074250" w14:textId="77777777" w:rsidR="00651836" w:rsidRPr="005D4222" w:rsidRDefault="00651836" w:rsidP="003652FC">
            <w:pPr>
              <w:pStyle w:val="ECDSBody"/>
              <w:spacing w:after="0"/>
            </w:pPr>
            <w:r w:rsidRPr="005D4222">
              <w:t>None.</w:t>
            </w:r>
          </w:p>
        </w:tc>
      </w:tr>
      <w:tr w:rsidR="00651836" w:rsidRPr="005D4222" w14:paraId="0A7F80BE" w14:textId="77777777" w:rsidTr="003652FC">
        <w:tc>
          <w:tcPr>
            <w:tcW w:w="1110" w:type="pct"/>
            <w:tcBorders>
              <w:top w:val="nil"/>
              <w:left w:val="single" w:sz="4" w:space="0" w:color="auto"/>
              <w:bottom w:val="nil"/>
              <w:right w:val="single" w:sz="4" w:space="0" w:color="auto"/>
            </w:tcBorders>
            <w:tcMar>
              <w:top w:w="0" w:type="dxa"/>
              <w:left w:w="86" w:type="dxa"/>
              <w:bottom w:w="43" w:type="dxa"/>
              <w:right w:w="86" w:type="dxa"/>
            </w:tcMar>
          </w:tcPr>
          <w:p w14:paraId="26722D1D" w14:textId="77777777" w:rsidR="00651836" w:rsidRPr="005D4222" w:rsidRDefault="00651836" w:rsidP="00651836">
            <w:pPr>
              <w:tabs>
                <w:tab w:val="left" w:pos="1368"/>
              </w:tabs>
              <w:spacing w:before="120"/>
              <w:rPr>
                <w:rFonts w:cs="Arial"/>
                <w:b/>
                <w:sz w:val="22"/>
                <w:szCs w:val="26"/>
              </w:rPr>
            </w:pPr>
            <w:r w:rsidRPr="005D4222">
              <w:rPr>
                <w:rFonts w:cs="Arial"/>
                <w:b/>
                <w:sz w:val="22"/>
                <w:szCs w:val="26"/>
              </w:rPr>
              <w:t>Improvement notation</w:t>
            </w:r>
          </w:p>
        </w:tc>
        <w:tc>
          <w:tcPr>
            <w:tcW w:w="3890" w:type="pct"/>
            <w:gridSpan w:val="3"/>
            <w:tcBorders>
              <w:top w:val="nil"/>
              <w:left w:val="single" w:sz="4" w:space="0" w:color="auto"/>
              <w:bottom w:val="nil"/>
              <w:right w:val="single" w:sz="4" w:space="0" w:color="auto"/>
            </w:tcBorders>
            <w:tcMar>
              <w:top w:w="0" w:type="dxa"/>
              <w:left w:w="86" w:type="dxa"/>
              <w:bottom w:w="43" w:type="dxa"/>
              <w:right w:w="86" w:type="dxa"/>
            </w:tcMar>
            <w:hideMark/>
          </w:tcPr>
          <w:p w14:paraId="053983BC" w14:textId="77777777" w:rsidR="00651836" w:rsidRPr="005D4222" w:rsidRDefault="00651836" w:rsidP="003652FC">
            <w:pPr>
              <w:pStyle w:val="ECDSBody"/>
            </w:pPr>
            <w:r w:rsidRPr="005D4222">
              <w:t>Increased score indicates improvement.</w:t>
            </w:r>
          </w:p>
        </w:tc>
      </w:tr>
      <w:tr w:rsidR="00651836" w:rsidRPr="005D4222" w14:paraId="1FB2D705" w14:textId="77777777">
        <w:tc>
          <w:tcPr>
            <w:tcW w:w="1110" w:type="pct"/>
            <w:tcBorders>
              <w:top w:val="nil"/>
              <w:left w:val="single" w:sz="4" w:space="0" w:color="auto"/>
              <w:bottom w:val="single" w:sz="4" w:space="0" w:color="auto"/>
              <w:right w:val="single" w:sz="4" w:space="0" w:color="auto"/>
            </w:tcBorders>
            <w:tcMar>
              <w:top w:w="0" w:type="dxa"/>
              <w:left w:w="86" w:type="dxa"/>
              <w:bottom w:w="43" w:type="dxa"/>
              <w:right w:w="86" w:type="dxa"/>
            </w:tcMar>
          </w:tcPr>
          <w:p w14:paraId="587AAA66" w14:textId="77777777" w:rsidR="00651836" w:rsidRPr="005D4222" w:rsidRDefault="00651836" w:rsidP="00651836">
            <w:pPr>
              <w:spacing w:before="120"/>
              <w:rPr>
                <w:rFonts w:cs="Arial"/>
                <w:b/>
                <w:sz w:val="22"/>
                <w:szCs w:val="21"/>
              </w:rPr>
            </w:pPr>
            <w:r w:rsidRPr="005D4222">
              <w:rPr>
                <w:rFonts w:cs="Arial"/>
                <w:b/>
                <w:sz w:val="22"/>
                <w:szCs w:val="21"/>
              </w:rPr>
              <w:t>Guidance</w:t>
            </w:r>
          </w:p>
        </w:tc>
        <w:tc>
          <w:tcPr>
            <w:tcW w:w="3890" w:type="pct"/>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74E7FFCA" w14:textId="30E0490A" w:rsidR="00651836" w:rsidRPr="005D4222" w:rsidRDefault="00651836" w:rsidP="003652FC">
            <w:pPr>
              <w:pStyle w:val="ECDSBody"/>
            </w:pPr>
            <w:r w:rsidRPr="005D4222">
              <w:rPr>
                <w:b/>
              </w:rPr>
              <w:t>Data collection methodology:</w:t>
            </w:r>
            <w:r w:rsidRPr="005D4222">
              <w:t xml:space="preserve"> Administrative. Refer to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034CE870" w14:textId="77777777" w:rsidR="00651836" w:rsidRPr="005D4222" w:rsidRDefault="00651836" w:rsidP="003652FC">
            <w:pPr>
              <w:pStyle w:val="ECDSBody"/>
            </w:pPr>
            <w:r w:rsidRPr="005D4222">
              <w:rPr>
                <w:b/>
              </w:rPr>
              <w:t xml:space="preserve">Date specificity: </w:t>
            </w:r>
            <w:r w:rsidRPr="005D4222">
              <w:t xml:space="preserve">Dates must be specific enough to determine the event occurred in the period being measured. </w:t>
            </w:r>
          </w:p>
          <w:p w14:paraId="387DD480" w14:textId="77777777" w:rsidR="00651836" w:rsidRPr="005D4222" w:rsidRDefault="00651836" w:rsidP="003652FC">
            <w:pPr>
              <w:pStyle w:val="ECDSBody"/>
            </w:pPr>
            <w:r w:rsidRPr="005D4222">
              <w:rPr>
                <w:b/>
              </w:rPr>
              <w:t xml:space="preserve">Which services count? </w:t>
            </w:r>
            <w:r w:rsidRPr="005D4222">
              <w:t>When using claims, include all paid, suspended, pending and denied claims.</w:t>
            </w:r>
          </w:p>
          <w:p w14:paraId="4E4DF4BD" w14:textId="77777777" w:rsidR="00651836" w:rsidRPr="005D4222" w:rsidRDefault="00651836" w:rsidP="003652FC">
            <w:pPr>
              <w:pStyle w:val="ECDSBody"/>
            </w:pPr>
            <w:r w:rsidRPr="005D4222">
              <w:rPr>
                <w:b/>
              </w:rPr>
              <w:t xml:space="preserve">Supplemental data exceptions: </w:t>
            </w:r>
            <w:r w:rsidRPr="005D4222">
              <w:t>Do not include supplemental data when identifying the initial population, except when identifying the gender/sex criteria (persons recommended for routine chlamydia screening).</w:t>
            </w:r>
          </w:p>
        </w:tc>
      </w:tr>
      <w:tr w:rsidR="00651836" w:rsidRPr="005D4222" w14:paraId="6EFF0DFE" w14:textId="77777777">
        <w:tc>
          <w:tcPr>
            <w:tcW w:w="1110" w:type="pct"/>
            <w:shd w:val="clear" w:color="auto" w:fill="BFBFBF" w:themeFill="background1" w:themeFillShade="BF"/>
            <w:tcMar>
              <w:top w:w="0" w:type="dxa"/>
              <w:left w:w="86" w:type="dxa"/>
              <w:bottom w:w="43" w:type="dxa"/>
              <w:right w:w="86" w:type="dxa"/>
            </w:tcMar>
          </w:tcPr>
          <w:p w14:paraId="2AEFA4EC" w14:textId="77777777" w:rsidR="00651836" w:rsidRPr="005D4222" w:rsidRDefault="00651836" w:rsidP="00651836">
            <w:pPr>
              <w:spacing w:before="120" w:after="80"/>
              <w:rPr>
                <w:b/>
                <w:sz w:val="22"/>
                <w:szCs w:val="21"/>
              </w:rPr>
            </w:pPr>
            <w:r w:rsidRPr="005D4222">
              <w:rPr>
                <w:b/>
                <w:sz w:val="22"/>
                <w:szCs w:val="21"/>
              </w:rPr>
              <w:t>Initial population</w:t>
            </w:r>
          </w:p>
        </w:tc>
        <w:tc>
          <w:tcPr>
            <w:tcW w:w="3890" w:type="pct"/>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696BDDD" w14:textId="77777777" w:rsidR="00651836" w:rsidRPr="005D4222" w:rsidRDefault="00651836" w:rsidP="00353AF2">
            <w:pPr>
              <w:pStyle w:val="ECDSBody"/>
            </w:pPr>
            <w:r w:rsidRPr="005D4222">
              <w:rPr>
                <w:i/>
                <w:iCs/>
              </w:rPr>
              <w:t xml:space="preserve">Measure item count: </w:t>
            </w:r>
            <w:r w:rsidRPr="005D4222">
              <w:t>Person.</w:t>
            </w:r>
          </w:p>
          <w:p w14:paraId="1FFE8FBE" w14:textId="77777777" w:rsidR="00651836" w:rsidRPr="005D4222" w:rsidRDefault="00651836" w:rsidP="00353AF2">
            <w:pPr>
              <w:pStyle w:val="ECDSBody"/>
            </w:pPr>
            <w:r w:rsidRPr="005D4222">
              <w:rPr>
                <w:i/>
                <w:iCs/>
              </w:rPr>
              <w:t>Attribution basis:</w:t>
            </w:r>
            <w:r w:rsidRPr="005D4222">
              <w:t xml:space="preserve"> Enrollment.</w:t>
            </w:r>
          </w:p>
          <w:p w14:paraId="03DD384E" w14:textId="77777777" w:rsidR="00651836" w:rsidRPr="005D4222" w:rsidRDefault="00651836" w:rsidP="00353AF2">
            <w:pPr>
              <w:pStyle w:val="Bullet"/>
            </w:pPr>
            <w:r w:rsidRPr="005D4222">
              <w:rPr>
                <w:i/>
                <w:iCs/>
              </w:rPr>
              <w:t>Benefits:</w:t>
            </w:r>
            <w:r w:rsidRPr="005D4222">
              <w:t xml:space="preserve"> Medical.</w:t>
            </w:r>
          </w:p>
          <w:p w14:paraId="58C5B85D" w14:textId="77777777" w:rsidR="00651836" w:rsidRPr="005D4222" w:rsidRDefault="00651836" w:rsidP="00353AF2">
            <w:pPr>
              <w:pStyle w:val="Bullet"/>
            </w:pPr>
            <w:r w:rsidRPr="005D4222">
              <w:rPr>
                <w:i/>
                <w:iCs/>
              </w:rPr>
              <w:t>Continuous enrollment:</w:t>
            </w:r>
            <w:r w:rsidRPr="005D4222">
              <w:t xml:space="preserve"> The measurement period. </w:t>
            </w:r>
          </w:p>
          <w:p w14:paraId="343EB22F" w14:textId="77777777" w:rsidR="00651836" w:rsidRPr="005D4222" w:rsidRDefault="00651836" w:rsidP="00353AF2">
            <w:pPr>
              <w:pStyle w:val="Bullet"/>
            </w:pPr>
            <w:r w:rsidRPr="005D4222">
              <w:rPr>
                <w:i/>
                <w:iCs/>
              </w:rPr>
              <w:t>Allowable gap:</w:t>
            </w:r>
            <w:r w:rsidRPr="005D4222">
              <w:t xml:space="preserve"> No more than one gap of ≤45 days during the measurement period. No gaps on the last day of the measurement period.  </w:t>
            </w:r>
          </w:p>
          <w:p w14:paraId="64468C37" w14:textId="77777777" w:rsidR="00651836" w:rsidRPr="005D4222" w:rsidRDefault="00651836" w:rsidP="00651836">
            <w:pPr>
              <w:tabs>
                <w:tab w:val="left" w:pos="1368"/>
              </w:tabs>
              <w:spacing w:before="120" w:after="80"/>
              <w:rPr>
                <w:rFonts w:cs="Arial"/>
                <w:bCs/>
                <w:szCs w:val="26"/>
              </w:rPr>
            </w:pPr>
            <w:r w:rsidRPr="005D4222">
              <w:rPr>
                <w:rFonts w:cs="Arial"/>
                <w:bCs/>
                <w:i/>
                <w:iCs/>
                <w:szCs w:val="26"/>
              </w:rPr>
              <w:t>Ages:</w:t>
            </w:r>
            <w:r w:rsidRPr="005D4222">
              <w:rPr>
                <w:rFonts w:cs="Arial"/>
                <w:bCs/>
                <w:szCs w:val="26"/>
              </w:rPr>
              <w:t xml:space="preserve"> 16–24 years of age as of the last day of the measurement period. </w:t>
            </w:r>
          </w:p>
          <w:p w14:paraId="017DFD57" w14:textId="77777777" w:rsidR="00651836" w:rsidRPr="005D4222" w:rsidRDefault="00651836" w:rsidP="00353AF2">
            <w:pPr>
              <w:pStyle w:val="ECDSBody"/>
              <w:rPr>
                <w:i/>
                <w:iCs/>
              </w:rPr>
            </w:pPr>
            <w:r w:rsidRPr="005D4222">
              <w:rPr>
                <w:i/>
                <w:iCs/>
              </w:rPr>
              <w:t>Gender/sex criteria (persons recommended for routine chlamydia screening):</w:t>
            </w:r>
          </w:p>
          <w:p w14:paraId="596CA089" w14:textId="77777777" w:rsidR="00651836" w:rsidRPr="005D4222" w:rsidRDefault="00651836" w:rsidP="00353AF2">
            <w:pPr>
              <w:pStyle w:val="Bullet"/>
              <w:rPr>
                <w:rFonts w:eastAsia="Arial"/>
              </w:rPr>
            </w:pPr>
            <w:r w:rsidRPr="005D4222">
              <w:rPr>
                <w:iCs/>
              </w:rPr>
              <w:t>Administrative Gender of</w:t>
            </w:r>
            <w:r w:rsidRPr="005D4222">
              <w:rPr>
                <w:rFonts w:eastAsia="Arial"/>
              </w:rPr>
              <w:t xml:space="preserve"> Female (AdministrativeGender code Female) any time in the person’s history. </w:t>
            </w:r>
          </w:p>
          <w:p w14:paraId="37578EDF" w14:textId="77777777" w:rsidR="00651836" w:rsidRPr="005D4222" w:rsidRDefault="00651836" w:rsidP="00353AF2">
            <w:pPr>
              <w:pStyle w:val="Bullet"/>
              <w:rPr>
                <w:rFonts w:eastAsia="Arial"/>
                <w:u w:val="single"/>
              </w:rPr>
            </w:pPr>
            <w:r w:rsidRPr="005D4222">
              <w:rPr>
                <w:rFonts w:eastAsia="Arial"/>
              </w:rPr>
              <w:t>Sex assigned at birth (LOINC code 76689-9) of Female (</w:t>
            </w:r>
            <w:r w:rsidRPr="005D4222">
              <w:rPr>
                <w:rFonts w:eastAsia="Arial"/>
                <w:u w:val="single"/>
              </w:rPr>
              <w:t>Female Value Set</w:t>
            </w:r>
            <w:r w:rsidRPr="005D4222">
              <w:rPr>
                <w:rFonts w:eastAsia="Arial"/>
              </w:rPr>
              <w:t>) any time in the person’s history.</w:t>
            </w:r>
            <w:r w:rsidRPr="005D4222">
              <w:rPr>
                <w:rFonts w:eastAsia="Arial"/>
                <w:u w:val="single"/>
              </w:rPr>
              <w:t xml:space="preserve"> </w:t>
            </w:r>
          </w:p>
          <w:p w14:paraId="3510E3EB" w14:textId="77777777" w:rsidR="00651836" w:rsidRPr="005D4222" w:rsidRDefault="00651836" w:rsidP="00353AF2">
            <w:pPr>
              <w:pStyle w:val="Bullet"/>
              <w:rPr>
                <w:rFonts w:eastAsia="Arial"/>
                <w:u w:val="single"/>
              </w:rPr>
            </w:pPr>
            <w:r w:rsidRPr="005D4222" w:rsidDel="00A50A9E">
              <w:rPr>
                <w:iCs/>
              </w:rPr>
              <w:t xml:space="preserve">Sex </w:t>
            </w:r>
            <w:r w:rsidRPr="005D4222">
              <w:rPr>
                <w:iCs/>
              </w:rPr>
              <w:t>P</w:t>
            </w:r>
            <w:r w:rsidRPr="005D4222" w:rsidDel="00A50A9E">
              <w:rPr>
                <w:iCs/>
              </w:rPr>
              <w:t xml:space="preserve">arameter for </w:t>
            </w:r>
            <w:r w:rsidRPr="005D4222">
              <w:rPr>
                <w:iCs/>
              </w:rPr>
              <w:t>C</w:t>
            </w:r>
            <w:r w:rsidRPr="005D4222" w:rsidDel="00A50A9E">
              <w:rPr>
                <w:iCs/>
              </w:rPr>
              <w:t xml:space="preserve">linical </w:t>
            </w:r>
            <w:r w:rsidRPr="005D4222">
              <w:rPr>
                <w:iCs/>
              </w:rPr>
              <w:t>U</w:t>
            </w:r>
            <w:r w:rsidRPr="005D4222" w:rsidDel="00A50A9E">
              <w:rPr>
                <w:iCs/>
              </w:rPr>
              <w:t>se</w:t>
            </w:r>
            <w:r w:rsidRPr="005D4222">
              <w:rPr>
                <w:iCs/>
              </w:rPr>
              <w:t xml:space="preserve"> of Female</w:t>
            </w:r>
            <w:r w:rsidRPr="005D4222">
              <w:rPr>
                <w:rFonts w:eastAsia="Arial"/>
              </w:rPr>
              <w:t xml:space="preserve"> (SexParameterForClinicalUse code female-typical) during the measurement period.  </w:t>
            </w:r>
          </w:p>
          <w:p w14:paraId="64047F38" w14:textId="77777777" w:rsidR="00651836" w:rsidRPr="005D4222" w:rsidRDefault="00651836" w:rsidP="00353AF2">
            <w:pPr>
              <w:pStyle w:val="ECDSBody"/>
              <w:rPr>
                <w:i/>
              </w:rPr>
            </w:pPr>
            <w:r w:rsidRPr="005D4222">
              <w:rPr>
                <w:i/>
              </w:rPr>
              <w:t>Event</w:t>
            </w:r>
            <w:r w:rsidRPr="005D4222" w:rsidDel="00611D01">
              <w:rPr>
                <w:i/>
              </w:rPr>
              <w:t>:</w:t>
            </w:r>
            <w:r w:rsidRPr="005D4222">
              <w:rPr>
                <w:i/>
              </w:rPr>
              <w:t xml:space="preserve"> </w:t>
            </w:r>
            <w:r w:rsidRPr="005D4222">
              <w:rPr>
                <w:b/>
                <w:bCs w:val="0"/>
              </w:rPr>
              <w:t>Persons recommended for routine chlamydia screening.</w:t>
            </w:r>
          </w:p>
          <w:p w14:paraId="1B9160D0" w14:textId="77777777" w:rsidR="00651836" w:rsidRPr="005D4222" w:rsidRDefault="00651836" w:rsidP="00353AF2">
            <w:pPr>
              <w:pStyle w:val="ECDSBody"/>
              <w:rPr>
                <w:b/>
                <w:i/>
                <w:iCs/>
              </w:rPr>
            </w:pPr>
            <w:r w:rsidRPr="005D4222">
              <w:rPr>
                <w:b/>
              </w:rPr>
              <w:t>Step 1.</w:t>
            </w:r>
            <w:r w:rsidRPr="005D4222">
              <w:rPr>
                <w:b/>
                <w:i/>
                <w:iCs/>
              </w:rPr>
              <w:t xml:space="preserve"> </w:t>
            </w:r>
            <w:r w:rsidRPr="005D4222">
              <w:t>Identify persons who were recommended for routine chlamydia screening and are sexually active. Either of the following meets criteria:</w:t>
            </w:r>
          </w:p>
          <w:p w14:paraId="333BBA65" w14:textId="77777777" w:rsidR="00651836" w:rsidRPr="005D4222" w:rsidRDefault="00651836" w:rsidP="00353AF2">
            <w:pPr>
              <w:pStyle w:val="Bullet"/>
            </w:pPr>
            <w:r w:rsidRPr="005D4222">
              <w:rPr>
                <w:i/>
                <w:iCs/>
              </w:rPr>
              <w:t>Claim/encounter data</w:t>
            </w:r>
            <w:r w:rsidRPr="005D4222">
              <w:t>. Persons with a claim or encounter indicating sexual activity (</w:t>
            </w:r>
            <w:r w:rsidRPr="005D4222">
              <w:rPr>
                <w:u w:val="single"/>
              </w:rPr>
              <w:t>Diagnoses Indicating Sexual Activity Value Set</w:t>
            </w:r>
            <w:r w:rsidRPr="005D4222">
              <w:t xml:space="preserve">*, </w:t>
            </w:r>
            <w:r w:rsidRPr="005D4222">
              <w:rPr>
                <w:u w:val="single"/>
              </w:rPr>
              <w:t>Procedures Indicating Sexual Activity Value Set</w:t>
            </w:r>
            <w:r w:rsidRPr="005D4222">
              <w:t xml:space="preserve">, </w:t>
            </w:r>
            <w:r w:rsidRPr="005D4222">
              <w:rPr>
                <w:u w:val="single"/>
              </w:rPr>
              <w:t>Pregnancy Tests Value Set</w:t>
            </w:r>
            <w:r w:rsidRPr="005D4222">
              <w:t xml:space="preserve">) during the measurement period. </w:t>
            </w:r>
          </w:p>
          <w:p w14:paraId="156A7C53" w14:textId="77777777" w:rsidR="00651836" w:rsidRPr="005D4222" w:rsidRDefault="00651836" w:rsidP="00353AF2">
            <w:pPr>
              <w:pStyle w:val="Bullet"/>
            </w:pPr>
            <w:r w:rsidRPr="005D4222">
              <w:rPr>
                <w:i/>
                <w:iCs/>
              </w:rPr>
              <w:t>Pharmacy data</w:t>
            </w:r>
            <w:r w:rsidRPr="005D4222">
              <w:t>. Persons with at least one contraceptive medication dispensing event (</w:t>
            </w:r>
            <w:r w:rsidRPr="005D4222">
              <w:rPr>
                <w:u w:val="single"/>
              </w:rPr>
              <w:t>Contraceptive Medications List</w:t>
            </w:r>
            <w:r w:rsidRPr="005D4222">
              <w:t xml:space="preserve">) during the measurement period. </w:t>
            </w:r>
          </w:p>
          <w:p w14:paraId="31304881" w14:textId="77777777" w:rsidR="00651836" w:rsidRPr="005D4222" w:rsidRDefault="00651836" w:rsidP="00353AF2">
            <w:pPr>
              <w:pStyle w:val="ECDSBody"/>
            </w:pPr>
            <w:r w:rsidRPr="005D4222">
              <w:rPr>
                <w:b/>
              </w:rPr>
              <w:t>Step 2</w:t>
            </w:r>
            <w:r w:rsidRPr="005D4222">
              <w:rPr>
                <w:b/>
                <w:i/>
                <w:iCs/>
              </w:rPr>
              <w:t>.</w:t>
            </w:r>
            <w:r w:rsidRPr="005D4222">
              <w:rPr>
                <w:b/>
              </w:rPr>
              <w:t xml:space="preserve"> </w:t>
            </w:r>
            <w:r w:rsidRPr="005D4222">
              <w:t>For persons identified</w:t>
            </w:r>
            <w:r w:rsidRPr="005D4222" w:rsidDel="000B0110">
              <w:t xml:space="preserve"> </w:t>
            </w:r>
            <w:r w:rsidRPr="005D4222">
              <w:t xml:space="preserve">in step 1 based on </w:t>
            </w:r>
            <w:r w:rsidRPr="005D4222">
              <w:rPr>
                <w:u w:val="single"/>
              </w:rPr>
              <w:t>Pregnancy Tests Value Set</w:t>
            </w:r>
            <w:r w:rsidRPr="005D4222">
              <w:t xml:space="preserve"> alone, remove persons with either of the following:</w:t>
            </w:r>
          </w:p>
          <w:p w14:paraId="210C46A6" w14:textId="3DBC092D" w:rsidR="00651836" w:rsidRPr="005D4222" w:rsidRDefault="00651836" w:rsidP="003A30A8">
            <w:pPr>
              <w:pStyle w:val="Bullet"/>
              <w:spacing w:after="80"/>
            </w:pPr>
            <w:r w:rsidRPr="005D4222">
              <w:t>A pregnancy test (</w:t>
            </w:r>
            <w:r w:rsidRPr="005D4222">
              <w:rPr>
                <w:u w:val="single"/>
              </w:rPr>
              <w:t>Pregnancy Tests Value Set</w:t>
            </w:r>
            <w:r w:rsidRPr="005D4222">
              <w:t>) during the measurement period and a prescription for isotretinoin (</w:t>
            </w:r>
            <w:r w:rsidRPr="005D4222">
              <w:rPr>
                <w:u w:val="single"/>
              </w:rPr>
              <w:t>Retinoid Medications List</w:t>
            </w:r>
            <w:r w:rsidRPr="005D4222">
              <w:t xml:space="preserve">) on the date of the pregnancy test through 6 days after the pregnancy test. </w:t>
            </w:r>
          </w:p>
        </w:tc>
      </w:tr>
      <w:tr w:rsidR="003A30A8" w:rsidRPr="005D4222" w14:paraId="0DD8594C" w14:textId="77777777">
        <w:tc>
          <w:tcPr>
            <w:tcW w:w="1110" w:type="pct"/>
            <w:shd w:val="clear" w:color="auto" w:fill="BFBFBF" w:themeFill="background1" w:themeFillShade="BF"/>
            <w:tcMar>
              <w:top w:w="0" w:type="dxa"/>
              <w:left w:w="86" w:type="dxa"/>
              <w:bottom w:w="43" w:type="dxa"/>
              <w:right w:w="86" w:type="dxa"/>
            </w:tcMar>
          </w:tcPr>
          <w:p w14:paraId="3BD43823" w14:textId="77777777" w:rsidR="003A30A8" w:rsidRPr="005D4222" w:rsidRDefault="003A30A8" w:rsidP="00651836">
            <w:pPr>
              <w:spacing w:before="120" w:after="80"/>
              <w:rPr>
                <w:b/>
                <w:sz w:val="22"/>
                <w:szCs w:val="21"/>
              </w:rPr>
            </w:pPr>
          </w:p>
        </w:tc>
        <w:tc>
          <w:tcPr>
            <w:tcW w:w="3890" w:type="pct"/>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E2AA352" w14:textId="77777777" w:rsidR="003A30A8" w:rsidRPr="005D4222" w:rsidRDefault="003A30A8" w:rsidP="003A30A8">
            <w:pPr>
              <w:pStyle w:val="Bullet"/>
              <w:spacing w:before="120"/>
              <w:rPr>
                <w:b/>
                <w:bCs/>
              </w:rPr>
            </w:pPr>
            <w:r w:rsidRPr="005D4222">
              <w:t>A pregnancy test (</w:t>
            </w:r>
            <w:r w:rsidRPr="005D4222">
              <w:rPr>
                <w:u w:val="single"/>
              </w:rPr>
              <w:t>Pregnancy Tests Value Set</w:t>
            </w:r>
            <w:r w:rsidRPr="005D4222">
              <w:t>) during the measurement period and an x-ray (</w:t>
            </w:r>
            <w:r w:rsidRPr="005D4222">
              <w:rPr>
                <w:u w:val="single"/>
              </w:rPr>
              <w:t>Diagnostic Radiology Value Set</w:t>
            </w:r>
            <w:r w:rsidRPr="005D4222">
              <w:t>) on the date of the pregnancy test through 6 days after the pregnancy test.</w:t>
            </w:r>
          </w:p>
          <w:p w14:paraId="74C86351" w14:textId="77777777" w:rsidR="003A30A8" w:rsidRPr="005D4222" w:rsidRDefault="003A30A8" w:rsidP="003A30A8">
            <w:pPr>
              <w:pStyle w:val="ECDSBody"/>
              <w:spacing w:after="0"/>
              <w:rPr>
                <w:b/>
                <w:bCs w:val="0"/>
              </w:rPr>
            </w:pPr>
            <w:r w:rsidRPr="005D4222">
              <w:rPr>
                <w:b/>
                <w:bCs w:val="0"/>
              </w:rPr>
              <w:t>Coding Guidance</w:t>
            </w:r>
          </w:p>
          <w:p w14:paraId="577A6743" w14:textId="4697153C" w:rsidR="003A30A8" w:rsidRPr="005D4222" w:rsidRDefault="003A30A8" w:rsidP="003A30A8">
            <w:pPr>
              <w:pStyle w:val="ECDSBody"/>
              <w:spacing w:before="0"/>
              <w:rPr>
                <w:i/>
                <w:iCs/>
              </w:rPr>
            </w:pPr>
            <w:r w:rsidRPr="005D4222">
              <w:rPr>
                <w:b/>
                <w:bCs w:val="0"/>
              </w:rPr>
              <w:t>*</w:t>
            </w:r>
            <w:r w:rsidRPr="005D4222">
              <w:t>Do not include laboratory claims (claims with POS code 81).</w:t>
            </w:r>
          </w:p>
        </w:tc>
      </w:tr>
      <w:tr w:rsidR="00651836" w:rsidRPr="005D4222" w14:paraId="7F18651C" w14:textId="77777777">
        <w:trPr>
          <w:trHeight w:val="2240"/>
        </w:trPr>
        <w:tc>
          <w:tcPr>
            <w:tcW w:w="1110" w:type="pct"/>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9C8B23F" w14:textId="77777777" w:rsidR="00651836" w:rsidRPr="005D4222" w:rsidRDefault="00651836" w:rsidP="00651836">
            <w:pPr>
              <w:spacing w:before="120" w:after="80"/>
              <w:rPr>
                <w:b/>
                <w:sz w:val="22"/>
                <w:szCs w:val="21"/>
              </w:rPr>
            </w:pPr>
            <w:r w:rsidRPr="005D4222">
              <w:rPr>
                <w:b/>
                <w:sz w:val="22"/>
                <w:szCs w:val="21"/>
              </w:rPr>
              <w:t xml:space="preserve">Denominator exclusions </w:t>
            </w:r>
          </w:p>
        </w:tc>
        <w:tc>
          <w:tcPr>
            <w:tcW w:w="3890" w:type="pct"/>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36B0729" w14:textId="77777777" w:rsidR="00651836" w:rsidRPr="005D4222" w:rsidRDefault="00651836" w:rsidP="00E44B36">
            <w:pPr>
              <w:pStyle w:val="ECDSBody"/>
              <w:rPr>
                <w:rFonts w:cs="Segoe UI"/>
                <w:szCs w:val="18"/>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p w14:paraId="2BFE756E" w14:textId="77777777" w:rsidR="00651836" w:rsidRPr="005D4222" w:rsidRDefault="00651836" w:rsidP="00E44B36">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5BEBC604" w14:textId="77777777" w:rsidR="00651836" w:rsidRPr="005D4222" w:rsidRDefault="00651836" w:rsidP="00E44B36">
            <w:pPr>
              <w:pStyle w:val="ECDSBody"/>
              <w:rPr>
                <w:rFonts w:eastAsia="Arial,Arial,Arial,Arial,Arial,A"/>
              </w:rPr>
            </w:pPr>
            <w:r w:rsidRPr="005D4222">
              <w:rPr>
                <w:b/>
              </w:rPr>
              <w:t>Persons with a sex assigned at birth of male.</w:t>
            </w:r>
            <w:r w:rsidRPr="005D4222">
              <w:rPr>
                <w:b/>
              </w:rPr>
              <w:br/>
            </w:r>
            <w:r w:rsidRPr="005D4222">
              <w:rPr>
                <w:rFonts w:eastAsia="Arial,Arial,Arial,Arial,Arial,A"/>
              </w:rPr>
              <w:t>Sex Assigned at Birth (LOINC code 76689-9) Male (</w:t>
            </w:r>
            <w:r w:rsidRPr="005D4222">
              <w:rPr>
                <w:rFonts w:eastAsia="Arial,Arial,Arial,Arial,Arial,A"/>
                <w:u w:val="single"/>
              </w:rPr>
              <w:t>Male Value Set</w:t>
            </w:r>
            <w:r w:rsidRPr="005D4222">
              <w:rPr>
                <w:rFonts w:eastAsia="Arial,Arial,Arial,Arial,Arial,A"/>
              </w:rPr>
              <w:t>) any time in the person’s history through the last day of the measurement period.</w:t>
            </w:r>
          </w:p>
        </w:tc>
      </w:tr>
      <w:tr w:rsidR="00651836" w:rsidRPr="005D4222" w14:paraId="3AB19447" w14:textId="77777777">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5EBE552" w14:textId="77777777" w:rsidR="00651836" w:rsidRPr="005D4222" w:rsidRDefault="00651836" w:rsidP="00651836">
            <w:pPr>
              <w:spacing w:before="120" w:after="80"/>
              <w:rPr>
                <w:b/>
                <w:sz w:val="22"/>
                <w:szCs w:val="21"/>
              </w:rPr>
            </w:pPr>
            <w:r w:rsidRPr="005D4222">
              <w:rPr>
                <w:b/>
                <w:sz w:val="22"/>
                <w:szCs w:val="21"/>
              </w:rPr>
              <w:t>Denominator</w:t>
            </w:r>
          </w:p>
        </w:tc>
        <w:tc>
          <w:tcPr>
            <w:tcW w:w="3890" w:type="pct"/>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5C96843" w14:textId="77777777" w:rsidR="00651836" w:rsidRPr="005D4222" w:rsidRDefault="00651836" w:rsidP="00C6128F">
            <w:pPr>
              <w:pStyle w:val="ECDSBody"/>
              <w:rPr>
                <w:b/>
              </w:rPr>
            </w:pPr>
            <w:r w:rsidRPr="005D4222">
              <w:rPr>
                <w:rFonts w:eastAsia="Arial,Arial,Arial,Arial,Arial,A"/>
              </w:rPr>
              <w:t>The initial population minus denominator exclusions.</w:t>
            </w:r>
          </w:p>
        </w:tc>
      </w:tr>
      <w:tr w:rsidR="00651836" w:rsidRPr="005D4222" w14:paraId="3FFB97D1" w14:textId="77777777">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9923BA3" w14:textId="77777777" w:rsidR="00651836" w:rsidRPr="005D4222" w:rsidRDefault="00651836" w:rsidP="00651836">
            <w:pPr>
              <w:spacing w:before="120" w:after="80"/>
              <w:rPr>
                <w:b/>
                <w:sz w:val="22"/>
                <w:szCs w:val="21"/>
              </w:rPr>
            </w:pPr>
            <w:r w:rsidRPr="005D4222">
              <w:rPr>
                <w:b/>
                <w:sz w:val="22"/>
                <w:szCs w:val="21"/>
              </w:rPr>
              <w:t>Numerator</w:t>
            </w:r>
          </w:p>
        </w:tc>
        <w:tc>
          <w:tcPr>
            <w:tcW w:w="3890" w:type="pct"/>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A06BFE0" w14:textId="77777777" w:rsidR="00651836" w:rsidRPr="005D4222" w:rsidRDefault="00651836" w:rsidP="00C6128F">
            <w:pPr>
              <w:pStyle w:val="ECDSBody"/>
              <w:rPr>
                <w:rFonts w:eastAsia="Arial,Arial,Arial,Arial,Arial,A"/>
                <w:color w:val="000000" w:themeColor="text1"/>
              </w:rPr>
            </w:pPr>
            <w:r w:rsidRPr="005D4222">
              <w:rPr>
                <w:b/>
              </w:rPr>
              <w:t xml:space="preserve">Persons with a chlamydia test. </w:t>
            </w:r>
            <w:r w:rsidRPr="005D4222">
              <w:rPr>
                <w:b/>
              </w:rPr>
              <w:br/>
            </w:r>
            <w:r w:rsidRPr="005D4222">
              <w:t>At least one chlamydia test (</w:t>
            </w:r>
            <w:r w:rsidRPr="005D4222">
              <w:rPr>
                <w:u w:val="single"/>
              </w:rPr>
              <w:t>Chlamydia Tests Value Set</w:t>
            </w:r>
            <w:r w:rsidRPr="005D4222">
              <w:t>) during the measurement period.</w:t>
            </w:r>
          </w:p>
        </w:tc>
      </w:tr>
      <w:tr w:rsidR="00651836" w:rsidRPr="005D4222" w14:paraId="001CC778" w14:textId="77777777">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1FC038B" w14:textId="77777777" w:rsidR="00651836" w:rsidRPr="005D4222" w:rsidRDefault="00651836" w:rsidP="00651836">
            <w:pPr>
              <w:spacing w:before="120" w:after="80"/>
              <w:rPr>
                <w:b/>
                <w:sz w:val="22"/>
                <w:szCs w:val="21"/>
              </w:rPr>
            </w:pPr>
            <w:r w:rsidRPr="005D4222">
              <w:rPr>
                <w:b/>
                <w:sz w:val="22"/>
                <w:szCs w:val="21"/>
              </w:rPr>
              <w:t>Summary of changes</w:t>
            </w:r>
          </w:p>
        </w:tc>
        <w:tc>
          <w:tcPr>
            <w:tcW w:w="3890" w:type="pct"/>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C20C470" w14:textId="77777777" w:rsidR="00651836" w:rsidRPr="005D4222" w:rsidRDefault="00651836" w:rsidP="00C6128F">
            <w:pPr>
              <w:pStyle w:val="ProcessBullet"/>
              <w:spacing w:before="120"/>
            </w:pPr>
            <w:r w:rsidRPr="005D4222">
              <w:t>No changes to this measure.</w:t>
            </w:r>
          </w:p>
        </w:tc>
      </w:tr>
      <w:tr w:rsidR="00651836" w:rsidRPr="005D4222" w14:paraId="0D816763" w14:textId="77777777">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B1D04B5" w14:textId="77777777" w:rsidR="00651836" w:rsidRPr="005D4222" w:rsidRDefault="00651836" w:rsidP="00651836">
            <w:pPr>
              <w:spacing w:before="120" w:after="80"/>
              <w:rPr>
                <w:b/>
                <w:sz w:val="22"/>
                <w:szCs w:val="21"/>
              </w:rPr>
            </w:pPr>
            <w:r w:rsidRPr="005D4222">
              <w:rPr>
                <w:b/>
                <w:sz w:val="22"/>
                <w:szCs w:val="21"/>
              </w:rPr>
              <w:t>Data element tables</w:t>
            </w:r>
          </w:p>
        </w:tc>
        <w:tc>
          <w:tcPr>
            <w:tcW w:w="3890" w:type="pct"/>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34A83D9" w14:textId="77777777" w:rsidR="00651836" w:rsidRPr="005D4222" w:rsidRDefault="00651836" w:rsidP="00651836">
            <w:pPr>
              <w:tabs>
                <w:tab w:val="left" w:pos="1368"/>
              </w:tabs>
              <w:spacing w:before="120" w:after="80"/>
              <w:rPr>
                <w:rFonts w:cs="Arial"/>
                <w:bCs/>
                <w:szCs w:val="26"/>
              </w:rPr>
            </w:pPr>
            <w:r w:rsidRPr="005D4222">
              <w:rPr>
                <w:rFonts w:cs="Arial"/>
                <w:bCs/>
                <w:szCs w:val="26"/>
              </w:rPr>
              <w:t>Organizations that submit HEDIS data to NCQA must provide the following data elements.</w:t>
            </w:r>
          </w:p>
          <w:p w14:paraId="6CB0F9DD" w14:textId="77777777" w:rsidR="00651836" w:rsidRPr="005D4222" w:rsidRDefault="00651836" w:rsidP="00C6128F">
            <w:pPr>
              <w:pStyle w:val="Heading3"/>
              <w:spacing w:before="120"/>
            </w:pPr>
            <w:r w:rsidRPr="005D4222">
              <w:t>Table CHL-1/2: Data Elements for Chlamydia Screening</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93"/>
              <w:gridCol w:w="870"/>
              <w:gridCol w:w="2338"/>
              <w:gridCol w:w="2166"/>
              <w:gridCol w:w="8"/>
            </w:tblGrid>
            <w:tr w:rsidR="00651836" w:rsidRPr="005D4222" w14:paraId="7578F87A" w14:textId="77777777">
              <w:trPr>
                <w:gridAfter w:val="1"/>
                <w:wAfter w:w="8" w:type="dxa"/>
              </w:trPr>
              <w:tc>
                <w:tcPr>
                  <w:tcW w:w="2068"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tcMar>
                    <w:left w:w="72" w:type="dxa"/>
                    <w:right w:w="72" w:type="dxa"/>
                  </w:tcMar>
                  <w:vAlign w:val="bottom"/>
                </w:tcPr>
                <w:p w14:paraId="5C6E91EA" w14:textId="77777777" w:rsidR="00651836" w:rsidRPr="005D4222" w:rsidRDefault="00651836" w:rsidP="00C6128F">
                  <w:pPr>
                    <w:pStyle w:val="TableHead"/>
                  </w:pPr>
                  <w:r w:rsidRPr="005D4222">
                    <w:t>Metric</w:t>
                  </w:r>
                </w:p>
              </w:tc>
              <w:tc>
                <w:tcPr>
                  <w:tcW w:w="899"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72" w:type="dxa"/>
                    <w:right w:w="72" w:type="dxa"/>
                  </w:tcMar>
                  <w:vAlign w:val="bottom"/>
                </w:tcPr>
                <w:p w14:paraId="18E096F3" w14:textId="77777777" w:rsidR="00651836" w:rsidRPr="005D4222" w:rsidRDefault="00651836" w:rsidP="00C6128F">
                  <w:pPr>
                    <w:pStyle w:val="TableHead"/>
                  </w:pPr>
                  <w:r w:rsidRPr="005D4222">
                    <w:t>Age</w:t>
                  </w:r>
                </w:p>
              </w:tc>
              <w:tc>
                <w:tcPr>
                  <w:tcW w:w="2427"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72" w:type="dxa"/>
                    <w:right w:w="72" w:type="dxa"/>
                  </w:tcMar>
                  <w:vAlign w:val="bottom"/>
                </w:tcPr>
                <w:p w14:paraId="7B0BB30D" w14:textId="77777777" w:rsidR="00651836" w:rsidRPr="005D4222" w:rsidRDefault="00651836" w:rsidP="00C6128F">
                  <w:pPr>
                    <w:pStyle w:val="TableHead"/>
                  </w:pPr>
                  <w:r w:rsidRPr="005D4222">
                    <w:t>Data Element</w:t>
                  </w:r>
                </w:p>
              </w:tc>
              <w:tc>
                <w:tcPr>
                  <w:tcW w:w="2248"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tcMar>
                    <w:left w:w="72" w:type="dxa"/>
                    <w:right w:w="72" w:type="dxa"/>
                  </w:tcMar>
                  <w:vAlign w:val="bottom"/>
                </w:tcPr>
                <w:p w14:paraId="0AE10491" w14:textId="77777777" w:rsidR="00651836" w:rsidRPr="005D4222" w:rsidRDefault="00651836" w:rsidP="00C6128F">
                  <w:pPr>
                    <w:pStyle w:val="TableHead"/>
                  </w:pPr>
                  <w:r w:rsidRPr="005D4222">
                    <w:t>Reporting Instructions</w:t>
                  </w:r>
                </w:p>
              </w:tc>
            </w:tr>
            <w:tr w:rsidR="00651836" w:rsidRPr="005D4222" w14:paraId="48E5D93B" w14:textId="77777777">
              <w:trPr>
                <w:gridAfter w:val="1"/>
                <w:wAfter w:w="8" w:type="dxa"/>
              </w:trPr>
              <w:tc>
                <w:tcPr>
                  <w:tcW w:w="2068" w:type="dxa"/>
                  <w:tcBorders>
                    <w:top w:val="single" w:sz="4" w:space="0" w:color="000000" w:themeColor="text1"/>
                    <w:left w:val="single" w:sz="4" w:space="0" w:color="auto"/>
                    <w:bottom w:val="single" w:sz="4" w:space="0" w:color="auto"/>
                    <w:right w:val="single" w:sz="4" w:space="0" w:color="auto"/>
                  </w:tcBorders>
                  <w:tcMar>
                    <w:left w:w="72" w:type="dxa"/>
                    <w:right w:w="72" w:type="dxa"/>
                  </w:tcMar>
                </w:tcPr>
                <w:p w14:paraId="3CE15D4D" w14:textId="77777777" w:rsidR="00651836" w:rsidRPr="005D4222" w:rsidRDefault="00651836" w:rsidP="00C6128F">
                  <w:pPr>
                    <w:pStyle w:val="TableText"/>
                  </w:pPr>
                  <w:r w:rsidRPr="005D4222">
                    <w:t>ChlamydiaScreening</w:t>
                  </w:r>
                </w:p>
              </w:tc>
              <w:tc>
                <w:tcPr>
                  <w:tcW w:w="899" w:type="dxa"/>
                  <w:tcBorders>
                    <w:top w:val="single" w:sz="4" w:space="0" w:color="000000" w:themeColor="text1"/>
                    <w:left w:val="single" w:sz="4" w:space="0" w:color="auto"/>
                    <w:bottom w:val="single" w:sz="4" w:space="0" w:color="auto"/>
                    <w:right w:val="single" w:sz="4" w:space="0" w:color="auto"/>
                  </w:tcBorders>
                  <w:tcMar>
                    <w:left w:w="72" w:type="dxa"/>
                    <w:right w:w="72" w:type="dxa"/>
                  </w:tcMar>
                </w:tcPr>
                <w:p w14:paraId="2CC52BEA" w14:textId="77777777" w:rsidR="00651836" w:rsidRPr="005D4222" w:rsidRDefault="00651836" w:rsidP="00C6128F">
                  <w:pPr>
                    <w:pStyle w:val="TableText"/>
                  </w:pPr>
                  <w:r w:rsidRPr="005D4222">
                    <w:t>16-20</w:t>
                  </w:r>
                </w:p>
              </w:tc>
              <w:tc>
                <w:tcPr>
                  <w:tcW w:w="2427" w:type="dxa"/>
                  <w:tcBorders>
                    <w:top w:val="single" w:sz="4" w:space="0" w:color="000000" w:themeColor="text1"/>
                    <w:left w:val="single" w:sz="4" w:space="0" w:color="auto"/>
                    <w:bottom w:val="single" w:sz="4" w:space="0" w:color="auto"/>
                    <w:right w:val="single" w:sz="4" w:space="0" w:color="auto"/>
                  </w:tcBorders>
                  <w:tcMar>
                    <w:left w:w="72" w:type="dxa"/>
                    <w:right w:w="72" w:type="dxa"/>
                  </w:tcMar>
                </w:tcPr>
                <w:p w14:paraId="23327ACA" w14:textId="77777777" w:rsidR="00651836" w:rsidRPr="005D4222" w:rsidRDefault="00651836" w:rsidP="00C6128F">
                  <w:pPr>
                    <w:pStyle w:val="TableText"/>
                  </w:pPr>
                  <w:r w:rsidRPr="005D4222">
                    <w:t xml:space="preserve">InitialPopulation </w:t>
                  </w:r>
                </w:p>
              </w:tc>
              <w:tc>
                <w:tcPr>
                  <w:tcW w:w="2248" w:type="dxa"/>
                  <w:tcBorders>
                    <w:top w:val="single" w:sz="4" w:space="0" w:color="000000" w:themeColor="text1"/>
                    <w:left w:val="single" w:sz="4" w:space="0" w:color="auto"/>
                    <w:bottom w:val="single" w:sz="6" w:space="0" w:color="auto"/>
                    <w:right w:val="single" w:sz="4" w:space="0" w:color="auto"/>
                  </w:tcBorders>
                  <w:tcMar>
                    <w:left w:w="72" w:type="dxa"/>
                    <w:right w:w="72" w:type="dxa"/>
                  </w:tcMar>
                </w:tcPr>
                <w:p w14:paraId="629D557F" w14:textId="77777777" w:rsidR="00651836" w:rsidRPr="005D4222" w:rsidRDefault="00651836" w:rsidP="00C6128F">
                  <w:pPr>
                    <w:pStyle w:val="TableText"/>
                    <w:rPr>
                      <w:rFonts w:eastAsia="Wingdings"/>
                    </w:rPr>
                  </w:pPr>
                  <w:r w:rsidRPr="005D4222">
                    <w:rPr>
                      <w:rFonts w:eastAsia="Wingdings"/>
                    </w:rPr>
                    <w:t>For each Stratification</w:t>
                  </w:r>
                </w:p>
              </w:tc>
            </w:tr>
            <w:tr w:rsidR="00651836" w:rsidRPr="005D4222" w14:paraId="13D38D8A" w14:textId="77777777">
              <w:tc>
                <w:tcPr>
                  <w:tcW w:w="2068" w:type="dxa"/>
                  <w:tcBorders>
                    <w:top w:val="single" w:sz="4" w:space="0" w:color="auto"/>
                    <w:left w:val="nil"/>
                    <w:bottom w:val="nil"/>
                    <w:right w:val="single" w:sz="4" w:space="0" w:color="auto"/>
                  </w:tcBorders>
                  <w:shd w:val="clear" w:color="auto" w:fill="FFFFFF" w:themeFill="background1"/>
                  <w:tcMar>
                    <w:left w:w="72" w:type="dxa"/>
                    <w:right w:w="72" w:type="dxa"/>
                  </w:tcMar>
                </w:tcPr>
                <w:p w14:paraId="34CB7C15" w14:textId="77777777" w:rsidR="00651836" w:rsidRPr="005D4222" w:rsidRDefault="00651836" w:rsidP="00C6128F">
                  <w:pPr>
                    <w:pStyle w:val="TableText"/>
                  </w:pPr>
                </w:p>
              </w:tc>
              <w:tc>
                <w:tcPr>
                  <w:tcW w:w="899"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7D640EB0" w14:textId="77777777" w:rsidR="00651836" w:rsidRPr="005D4222" w:rsidRDefault="00651836" w:rsidP="00C6128F">
                  <w:pPr>
                    <w:pStyle w:val="TableText"/>
                  </w:pPr>
                  <w:r w:rsidRPr="005D4222">
                    <w:t>21-24</w:t>
                  </w:r>
                </w:p>
              </w:tc>
              <w:tc>
                <w:tcPr>
                  <w:tcW w:w="2427"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029466B5" w14:textId="77777777" w:rsidR="00651836" w:rsidRPr="005D4222" w:rsidRDefault="00651836" w:rsidP="00C6128F">
                  <w:pPr>
                    <w:pStyle w:val="TableText"/>
                  </w:pPr>
                  <w:r w:rsidRPr="005D4222">
                    <w:t>Exclusions</w:t>
                  </w:r>
                </w:p>
              </w:tc>
              <w:tc>
                <w:tcPr>
                  <w:tcW w:w="2248" w:type="dxa"/>
                  <w:gridSpan w:val="2"/>
                  <w:tcBorders>
                    <w:left w:val="single" w:sz="4" w:space="0" w:color="auto"/>
                    <w:right w:val="single" w:sz="4" w:space="0" w:color="auto"/>
                  </w:tcBorders>
                  <w:shd w:val="clear" w:color="auto" w:fill="FFFFFF" w:themeFill="background1"/>
                  <w:tcMar>
                    <w:left w:w="72" w:type="dxa"/>
                    <w:right w:w="72" w:type="dxa"/>
                  </w:tcMar>
                </w:tcPr>
                <w:p w14:paraId="1234EF78" w14:textId="77777777" w:rsidR="00651836" w:rsidRPr="005D4222" w:rsidRDefault="00651836" w:rsidP="00C6128F">
                  <w:pPr>
                    <w:pStyle w:val="TableText"/>
                    <w:rPr>
                      <w:rFonts w:eastAsia="Wingdings"/>
                    </w:rPr>
                  </w:pPr>
                  <w:r w:rsidRPr="005D4222">
                    <w:rPr>
                      <w:rFonts w:eastAsia="Wingdings"/>
                    </w:rPr>
                    <w:t>For each Stratification</w:t>
                  </w:r>
                </w:p>
              </w:tc>
            </w:tr>
            <w:tr w:rsidR="00651836" w:rsidRPr="005D4222" w14:paraId="3DECDAA3" w14:textId="77777777">
              <w:tc>
                <w:tcPr>
                  <w:tcW w:w="2068" w:type="dxa"/>
                  <w:tcBorders>
                    <w:top w:val="nil"/>
                    <w:left w:val="nil"/>
                    <w:bottom w:val="nil"/>
                    <w:right w:val="single" w:sz="4" w:space="0" w:color="auto"/>
                  </w:tcBorders>
                  <w:shd w:val="clear" w:color="auto" w:fill="FFFFFF" w:themeFill="background1"/>
                  <w:tcMar>
                    <w:left w:w="72" w:type="dxa"/>
                    <w:right w:w="72" w:type="dxa"/>
                  </w:tcMar>
                </w:tcPr>
                <w:p w14:paraId="35E9A16E" w14:textId="77777777" w:rsidR="00651836" w:rsidRPr="005D4222" w:rsidRDefault="00651836" w:rsidP="00C6128F">
                  <w:pPr>
                    <w:pStyle w:val="TableText"/>
                  </w:pPr>
                </w:p>
              </w:tc>
              <w:tc>
                <w:tcPr>
                  <w:tcW w:w="89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5EE2B893" w14:textId="77777777" w:rsidR="00651836" w:rsidRPr="005D4222" w:rsidRDefault="00651836" w:rsidP="00C6128F">
                  <w:pPr>
                    <w:pStyle w:val="TableText"/>
                  </w:pPr>
                  <w:r w:rsidRPr="005D4222">
                    <w:t>Total</w:t>
                  </w:r>
                </w:p>
              </w:tc>
              <w:tc>
                <w:tcPr>
                  <w:tcW w:w="2427"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3ACFC169" w14:textId="77777777" w:rsidR="00651836" w:rsidRPr="005D4222" w:rsidRDefault="00651836" w:rsidP="00C6128F">
                  <w:pPr>
                    <w:pStyle w:val="TableText"/>
                  </w:pPr>
                  <w:r w:rsidRPr="005D4222">
                    <w:t>Denominator</w:t>
                  </w:r>
                </w:p>
              </w:tc>
              <w:tc>
                <w:tcPr>
                  <w:tcW w:w="2248" w:type="dxa"/>
                  <w:gridSpan w:val="2"/>
                  <w:tcBorders>
                    <w:left w:val="single" w:sz="4" w:space="0" w:color="auto"/>
                    <w:bottom w:val="single" w:sz="6" w:space="0" w:color="auto"/>
                    <w:right w:val="single" w:sz="4" w:space="0" w:color="auto"/>
                  </w:tcBorders>
                  <w:shd w:val="clear" w:color="auto" w:fill="FFFFFF" w:themeFill="background1"/>
                  <w:tcMar>
                    <w:left w:w="72" w:type="dxa"/>
                    <w:right w:w="72" w:type="dxa"/>
                  </w:tcMar>
                </w:tcPr>
                <w:p w14:paraId="4F3BA319" w14:textId="77777777" w:rsidR="00651836" w:rsidRPr="005D4222" w:rsidRDefault="00651836" w:rsidP="00C6128F">
                  <w:pPr>
                    <w:pStyle w:val="TableText"/>
                    <w:rPr>
                      <w:rFonts w:eastAsia="Wingdings"/>
                    </w:rPr>
                  </w:pPr>
                  <w:r w:rsidRPr="005D4222">
                    <w:rPr>
                      <w:rFonts w:eastAsia="Wingdings"/>
                    </w:rPr>
                    <w:t>For each Stratification</w:t>
                  </w:r>
                </w:p>
              </w:tc>
            </w:tr>
            <w:tr w:rsidR="00651836" w:rsidRPr="005D4222" w14:paraId="49D1221C" w14:textId="77777777">
              <w:tc>
                <w:tcPr>
                  <w:tcW w:w="2068" w:type="dxa"/>
                  <w:tcBorders>
                    <w:top w:val="nil"/>
                    <w:left w:val="nil"/>
                    <w:bottom w:val="nil"/>
                    <w:right w:val="nil"/>
                  </w:tcBorders>
                  <w:shd w:val="clear" w:color="auto" w:fill="FFFFFF" w:themeFill="background1"/>
                  <w:tcMar>
                    <w:left w:w="72" w:type="dxa"/>
                    <w:right w:w="72" w:type="dxa"/>
                  </w:tcMar>
                </w:tcPr>
                <w:p w14:paraId="428C6FEA" w14:textId="77777777" w:rsidR="00651836" w:rsidRPr="005D4222" w:rsidRDefault="00651836" w:rsidP="00C6128F">
                  <w:pPr>
                    <w:pStyle w:val="TableText"/>
                  </w:pPr>
                </w:p>
              </w:tc>
              <w:tc>
                <w:tcPr>
                  <w:tcW w:w="899" w:type="dxa"/>
                  <w:tcBorders>
                    <w:top w:val="single" w:sz="4" w:space="0" w:color="auto"/>
                    <w:left w:val="nil"/>
                    <w:bottom w:val="nil"/>
                    <w:right w:val="single" w:sz="4" w:space="0" w:color="auto"/>
                  </w:tcBorders>
                  <w:tcMar>
                    <w:left w:w="72" w:type="dxa"/>
                    <w:right w:w="72" w:type="dxa"/>
                  </w:tcMar>
                </w:tcPr>
                <w:p w14:paraId="20AE2F8A" w14:textId="77777777" w:rsidR="00651836" w:rsidRPr="005D4222" w:rsidRDefault="00651836" w:rsidP="00C6128F">
                  <w:pPr>
                    <w:pStyle w:val="TableText"/>
                  </w:pPr>
                </w:p>
              </w:tc>
              <w:tc>
                <w:tcPr>
                  <w:tcW w:w="2427"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55627834" w14:textId="77777777" w:rsidR="00651836" w:rsidRPr="005D4222" w:rsidRDefault="00651836" w:rsidP="00C6128F">
                  <w:pPr>
                    <w:pStyle w:val="TableText"/>
                  </w:pPr>
                  <w:r w:rsidRPr="005D4222">
                    <w:t>NumeratorByAdmin</w:t>
                  </w:r>
                  <w:r w:rsidRPr="005D4222" w:rsidDel="0044149F">
                    <w:t xml:space="preserve"> </w:t>
                  </w:r>
                </w:p>
              </w:tc>
              <w:tc>
                <w:tcPr>
                  <w:tcW w:w="2248" w:type="dxa"/>
                  <w:gridSpan w:val="2"/>
                  <w:tcBorders>
                    <w:left w:val="single" w:sz="4" w:space="0" w:color="auto"/>
                    <w:bottom w:val="single" w:sz="6" w:space="0" w:color="auto"/>
                    <w:right w:val="single" w:sz="4" w:space="0" w:color="auto"/>
                  </w:tcBorders>
                  <w:shd w:val="clear" w:color="auto" w:fill="FFFFFF" w:themeFill="background1"/>
                  <w:tcMar>
                    <w:left w:w="72" w:type="dxa"/>
                    <w:right w:w="72" w:type="dxa"/>
                  </w:tcMar>
                </w:tcPr>
                <w:p w14:paraId="3DAA5023" w14:textId="77777777" w:rsidR="00651836" w:rsidRPr="005D4222" w:rsidRDefault="00651836" w:rsidP="00C6128F">
                  <w:pPr>
                    <w:pStyle w:val="TableText"/>
                    <w:rPr>
                      <w:rFonts w:eastAsia="Wingdings"/>
                    </w:rPr>
                  </w:pPr>
                  <w:r w:rsidRPr="005D4222">
                    <w:rPr>
                      <w:rFonts w:eastAsia="Wingdings"/>
                    </w:rPr>
                    <w:t>For each Stratification</w:t>
                  </w:r>
                </w:p>
              </w:tc>
            </w:tr>
            <w:tr w:rsidR="00651836" w:rsidRPr="005D4222" w14:paraId="0836B868" w14:textId="77777777">
              <w:trPr>
                <w:gridAfter w:val="1"/>
                <w:wAfter w:w="8" w:type="dxa"/>
              </w:trPr>
              <w:tc>
                <w:tcPr>
                  <w:tcW w:w="2068" w:type="dxa"/>
                  <w:tcBorders>
                    <w:top w:val="nil"/>
                    <w:left w:val="nil"/>
                    <w:bottom w:val="nil"/>
                    <w:right w:val="nil"/>
                  </w:tcBorders>
                  <w:shd w:val="clear" w:color="auto" w:fill="FFFFFF" w:themeFill="background1"/>
                  <w:tcMar>
                    <w:left w:w="72" w:type="dxa"/>
                    <w:right w:w="72" w:type="dxa"/>
                  </w:tcMar>
                </w:tcPr>
                <w:p w14:paraId="77166C60" w14:textId="77777777" w:rsidR="00651836" w:rsidRPr="005D4222" w:rsidRDefault="00651836" w:rsidP="00C6128F">
                  <w:pPr>
                    <w:pStyle w:val="TableText"/>
                  </w:pPr>
                </w:p>
              </w:tc>
              <w:tc>
                <w:tcPr>
                  <w:tcW w:w="899" w:type="dxa"/>
                  <w:tcBorders>
                    <w:top w:val="nil"/>
                    <w:left w:val="nil"/>
                    <w:bottom w:val="nil"/>
                    <w:right w:val="single" w:sz="4" w:space="0" w:color="auto"/>
                  </w:tcBorders>
                  <w:shd w:val="clear" w:color="auto" w:fill="FFFFFF" w:themeFill="background1"/>
                  <w:tcMar>
                    <w:left w:w="72" w:type="dxa"/>
                    <w:right w:w="72" w:type="dxa"/>
                  </w:tcMar>
                </w:tcPr>
                <w:p w14:paraId="3248A7C5" w14:textId="77777777" w:rsidR="00651836" w:rsidRPr="005D4222" w:rsidRDefault="00651836" w:rsidP="00C6128F">
                  <w:pPr>
                    <w:pStyle w:val="TableText"/>
                  </w:pPr>
                </w:p>
              </w:tc>
              <w:tc>
                <w:tcPr>
                  <w:tcW w:w="2427"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28590503" w14:textId="77777777" w:rsidR="00651836" w:rsidRPr="005D4222" w:rsidRDefault="00651836" w:rsidP="00C6128F">
                  <w:pPr>
                    <w:pStyle w:val="TableText"/>
                  </w:pPr>
                  <w:r w:rsidRPr="005D4222">
                    <w:t>NumeratorBySupplemental</w:t>
                  </w:r>
                </w:p>
              </w:tc>
              <w:tc>
                <w:tcPr>
                  <w:tcW w:w="2248" w:type="dxa"/>
                  <w:tcBorders>
                    <w:left w:val="single" w:sz="4" w:space="0" w:color="auto"/>
                    <w:bottom w:val="single" w:sz="6" w:space="0" w:color="auto"/>
                    <w:right w:val="single" w:sz="4" w:space="0" w:color="auto"/>
                  </w:tcBorders>
                  <w:shd w:val="clear" w:color="auto" w:fill="FFFFFF" w:themeFill="background1"/>
                  <w:tcMar>
                    <w:left w:w="72" w:type="dxa"/>
                    <w:right w:w="72" w:type="dxa"/>
                  </w:tcMar>
                </w:tcPr>
                <w:p w14:paraId="7A2212C3" w14:textId="77777777" w:rsidR="00651836" w:rsidRPr="005D4222" w:rsidRDefault="00651836" w:rsidP="00C6128F">
                  <w:pPr>
                    <w:pStyle w:val="TableText"/>
                    <w:rPr>
                      <w:rFonts w:eastAsia="Wingdings"/>
                    </w:rPr>
                  </w:pPr>
                  <w:r w:rsidRPr="005D4222">
                    <w:rPr>
                      <w:rFonts w:eastAsia="Wingdings"/>
                    </w:rPr>
                    <w:t>For each Stratification</w:t>
                  </w:r>
                </w:p>
              </w:tc>
            </w:tr>
            <w:tr w:rsidR="00651836" w:rsidRPr="005D4222" w14:paraId="69AC54D7" w14:textId="77777777">
              <w:tc>
                <w:tcPr>
                  <w:tcW w:w="2068" w:type="dxa"/>
                  <w:tcBorders>
                    <w:top w:val="nil"/>
                    <w:left w:val="nil"/>
                    <w:bottom w:val="nil"/>
                    <w:right w:val="nil"/>
                  </w:tcBorders>
                  <w:shd w:val="clear" w:color="auto" w:fill="FFFFFF" w:themeFill="background1"/>
                  <w:tcMar>
                    <w:left w:w="72" w:type="dxa"/>
                    <w:right w:w="72" w:type="dxa"/>
                  </w:tcMar>
                </w:tcPr>
                <w:p w14:paraId="364D211C" w14:textId="77777777" w:rsidR="00651836" w:rsidRPr="005D4222" w:rsidRDefault="00651836" w:rsidP="00C6128F">
                  <w:pPr>
                    <w:pStyle w:val="TableText"/>
                  </w:pPr>
                </w:p>
              </w:tc>
              <w:tc>
                <w:tcPr>
                  <w:tcW w:w="899" w:type="dxa"/>
                  <w:tcBorders>
                    <w:top w:val="nil"/>
                    <w:left w:val="nil"/>
                    <w:bottom w:val="nil"/>
                    <w:right w:val="single" w:sz="4" w:space="0" w:color="auto"/>
                  </w:tcBorders>
                  <w:shd w:val="clear" w:color="auto" w:fill="FFFFFF" w:themeFill="background1"/>
                  <w:tcMar>
                    <w:left w:w="72" w:type="dxa"/>
                    <w:right w:w="72" w:type="dxa"/>
                  </w:tcMar>
                </w:tcPr>
                <w:p w14:paraId="47FBF2E8" w14:textId="77777777" w:rsidR="00651836" w:rsidRPr="005D4222" w:rsidRDefault="00651836" w:rsidP="00C6128F">
                  <w:pPr>
                    <w:pStyle w:val="TableText"/>
                  </w:pPr>
                </w:p>
              </w:tc>
              <w:tc>
                <w:tcPr>
                  <w:tcW w:w="242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27A28FEA" w14:textId="77777777" w:rsidR="00651836" w:rsidRPr="005D4222" w:rsidRDefault="00651836" w:rsidP="00C6128F">
                  <w:pPr>
                    <w:pStyle w:val="TableText"/>
                  </w:pPr>
                  <w:r w:rsidRPr="005D4222">
                    <w:t>Rate</w:t>
                  </w:r>
                </w:p>
              </w:tc>
              <w:tc>
                <w:tcPr>
                  <w:tcW w:w="2256" w:type="dxa"/>
                  <w:gridSpan w:val="2"/>
                  <w:tcBorders>
                    <w:left w:val="single" w:sz="4" w:space="0" w:color="auto"/>
                    <w:bottom w:val="single" w:sz="6" w:space="0" w:color="auto"/>
                    <w:right w:val="single" w:sz="4" w:space="0" w:color="auto"/>
                  </w:tcBorders>
                  <w:shd w:val="clear" w:color="auto" w:fill="D9D9D9" w:themeFill="background1" w:themeFillShade="D9"/>
                  <w:tcMar>
                    <w:left w:w="72" w:type="dxa"/>
                    <w:right w:w="72" w:type="dxa"/>
                  </w:tcMar>
                </w:tcPr>
                <w:p w14:paraId="2277D17C" w14:textId="77777777" w:rsidR="00651836" w:rsidRPr="005D4222" w:rsidRDefault="00651836" w:rsidP="00C6128F">
                  <w:pPr>
                    <w:pStyle w:val="TableText"/>
                    <w:rPr>
                      <w:rFonts w:eastAsia="Wingdings"/>
                    </w:rPr>
                  </w:pPr>
                  <w:r w:rsidRPr="005D4222">
                    <w:rPr>
                      <w:rFonts w:eastAsia="Wingdings"/>
                    </w:rPr>
                    <w:t>(Percent)</w:t>
                  </w:r>
                </w:p>
              </w:tc>
            </w:tr>
          </w:tbl>
          <w:p w14:paraId="133FB14C" w14:textId="77777777" w:rsidR="00651836" w:rsidRPr="005D4222" w:rsidRDefault="00651836" w:rsidP="00651836">
            <w:pPr>
              <w:tabs>
                <w:tab w:val="left" w:pos="432"/>
              </w:tabs>
              <w:spacing w:before="40" w:after="40"/>
              <w:rPr>
                <w:color w:val="000000" w:themeColor="text1"/>
                <w:szCs w:val="21"/>
                <w:highlight w:val="yellow"/>
              </w:rPr>
            </w:pPr>
          </w:p>
        </w:tc>
      </w:tr>
      <w:tr w:rsidR="00651836" w:rsidRPr="005D4222" w14:paraId="16BC3D73" w14:textId="77777777">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867EBF9" w14:textId="77777777" w:rsidR="00651836" w:rsidRPr="005D4222" w:rsidRDefault="00651836" w:rsidP="00651836">
            <w:pPr>
              <w:spacing w:before="120" w:after="80"/>
              <w:rPr>
                <w:b/>
                <w:sz w:val="22"/>
                <w:szCs w:val="21"/>
              </w:rPr>
            </w:pPr>
            <w:r w:rsidRPr="005D4222">
              <w:rPr>
                <w:b/>
                <w:sz w:val="22"/>
                <w:szCs w:val="21"/>
              </w:rPr>
              <w:t>Rules for Allowable Adjustments</w:t>
            </w:r>
          </w:p>
        </w:tc>
        <w:tc>
          <w:tcPr>
            <w:tcW w:w="3890" w:type="pct"/>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5D49357" w14:textId="77777777" w:rsidR="00651836" w:rsidRPr="005D4222" w:rsidRDefault="00651836" w:rsidP="00C6128F">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472528F4" w14:textId="77777777" w:rsidR="00651836" w:rsidRPr="005D4222" w:rsidRDefault="00651836" w:rsidP="00C6128F">
            <w:pPr>
              <w:pStyle w:val="ECDSBody"/>
              <w:rPr>
                <w:b/>
                <w:bCs w:val="0"/>
              </w:rPr>
            </w:pPr>
            <w:r w:rsidRPr="005D4222">
              <w:rPr>
                <w:b/>
                <w:bCs w:val="0"/>
              </w:rPr>
              <w:t>Adjusted HEDIS measures may not be used for HEDIS health plan reporting.</w:t>
            </w:r>
          </w:p>
          <w:p w14:paraId="77A0E2E4" w14:textId="77777777" w:rsidR="00651836" w:rsidRPr="005D4222" w:rsidRDefault="00651836" w:rsidP="00C6128F">
            <w:pPr>
              <w:pStyle w:val="Adjustments"/>
            </w:pPr>
            <w:r w:rsidRPr="005D4222">
              <w:lastRenderedPageBreak/>
              <w:t>Adjustments</w:t>
            </w:r>
            <w:r w:rsidRPr="005D4222">
              <w:rPr>
                <w:bCs/>
              </w:rPr>
              <w:t xml:space="preserve"> a</w:t>
            </w:r>
            <w:r w:rsidRPr="005D4222">
              <w:t>llowed</w:t>
            </w:r>
          </w:p>
          <w:p w14:paraId="722D4541" w14:textId="539A7C6A" w:rsidR="00651836" w:rsidRPr="005D4222" w:rsidRDefault="00651836" w:rsidP="00C6128F">
            <w:pPr>
              <w:pStyle w:val="ProcessBullet"/>
            </w:pPr>
            <w:r w:rsidRPr="005D4222">
              <w:rPr>
                <w:i/>
                <w:iCs/>
              </w:rPr>
              <w:t>Product lines.</w:t>
            </w:r>
            <w:r w:rsidRPr="005D4222">
              <w:t xml:space="preserve"> Organizations are not required to use product line criteria; product lines may be combined</w:t>
            </w:r>
            <w:r w:rsidR="00E8671F" w:rsidRPr="005D4222">
              <w:t>,</w:t>
            </w:r>
            <w:r w:rsidRPr="005D4222">
              <w:t xml:space="preserve"> and all (or no) product line criteria may be used.</w:t>
            </w:r>
          </w:p>
          <w:p w14:paraId="4DC6B557" w14:textId="77777777" w:rsidR="00651836" w:rsidRPr="005D4222" w:rsidRDefault="00651836" w:rsidP="00C6128F">
            <w:pPr>
              <w:pStyle w:val="ProcessBullet"/>
            </w:pPr>
            <w:r w:rsidRPr="005D4222">
              <w:rPr>
                <w:i/>
                <w:iCs/>
              </w:rPr>
              <w:t>Attribution.</w:t>
            </w:r>
            <w:r w:rsidRPr="005D4222">
              <w:t xml:space="preserve"> Organizations are not required to use enrollment criteria. </w:t>
            </w:r>
          </w:p>
          <w:p w14:paraId="5B27A5A4" w14:textId="119335A3" w:rsidR="00651836" w:rsidRPr="005D4222" w:rsidRDefault="00362E76" w:rsidP="00C6128F">
            <w:pPr>
              <w:pStyle w:val="ProcessBullet"/>
            </w:pPr>
            <w:r w:rsidRPr="005D4222">
              <w:rPr>
                <w:i/>
                <w:iCs/>
              </w:rPr>
              <w:t>Benefits.</w:t>
            </w:r>
            <w:r w:rsidR="00651836" w:rsidRPr="005D4222">
              <w:rPr>
                <w:i/>
                <w:iCs/>
              </w:rPr>
              <w:t xml:space="preserve"> </w:t>
            </w:r>
            <w:r w:rsidR="00651836" w:rsidRPr="005D4222">
              <w:t>Organizations are not required to use a benefit.</w:t>
            </w:r>
          </w:p>
          <w:p w14:paraId="1B0A7905" w14:textId="2C9B997D" w:rsidR="00651836" w:rsidRPr="005D4222" w:rsidRDefault="00651836" w:rsidP="00C6128F">
            <w:pPr>
              <w:pStyle w:val="ProcessBullet"/>
            </w:pPr>
            <w:r w:rsidRPr="005D4222">
              <w:rPr>
                <w:i/>
                <w:iCs/>
              </w:rPr>
              <w:t>Other.</w:t>
            </w:r>
            <w:r w:rsidRPr="005D4222">
              <w:t xml:space="preserve"> Organizations may use additional initial population criteria to focus on an area of interest defined by gender, race, ethnicity, socioeconomic or sociodemographic </w:t>
            </w:r>
            <w:r w:rsidR="00F31C68" w:rsidRPr="005D4222">
              <w:t>characteristics</w:t>
            </w:r>
            <w:r w:rsidRPr="005D4222">
              <w:t>, geographic region, or another characteristic.</w:t>
            </w:r>
          </w:p>
          <w:p w14:paraId="7BD172A1" w14:textId="77777777" w:rsidR="00651836" w:rsidRPr="005D4222" w:rsidRDefault="00651836" w:rsidP="00C6128F">
            <w:pPr>
              <w:pStyle w:val="ProcessBullet"/>
            </w:pPr>
            <w:r w:rsidRPr="005D4222">
              <w:rPr>
                <w:i/>
                <w:iCs/>
              </w:rPr>
              <w:t xml:space="preserve">Measurement period adjustments. </w:t>
            </w:r>
            <w:r w:rsidRPr="005D4222">
              <w:t xml:space="preserve">Organizations may adjust the measurement period. </w:t>
            </w:r>
          </w:p>
          <w:p w14:paraId="2D278513" w14:textId="3EBE37DA" w:rsidR="00651836" w:rsidRPr="005D4222" w:rsidRDefault="00651836" w:rsidP="00C6128F">
            <w:pPr>
              <w:pStyle w:val="ProcessBullet"/>
            </w:pPr>
            <w:r w:rsidRPr="005D4222">
              <w:rPr>
                <w:i/>
                <w:iCs/>
              </w:rPr>
              <w:t xml:space="preserve">Exclusions. </w:t>
            </w:r>
            <w:r w:rsidRPr="005D4222">
              <w:t xml:space="preserve">Hospice and deceased </w:t>
            </w:r>
            <w:r w:rsidR="002B5FBD" w:rsidRPr="005D4222">
              <w:t xml:space="preserve">persons </w:t>
            </w:r>
            <w:r w:rsidRPr="005D4222">
              <w:t xml:space="preserve">exclusions are not required. </w:t>
            </w:r>
          </w:p>
          <w:p w14:paraId="6028E3AC" w14:textId="77777777" w:rsidR="00651836" w:rsidRPr="005D4222" w:rsidRDefault="00651836" w:rsidP="00C6128F">
            <w:pPr>
              <w:pStyle w:val="ProcessBullet"/>
            </w:pPr>
            <w:r w:rsidRPr="005D4222">
              <w:rPr>
                <w:i/>
                <w:iCs/>
              </w:rPr>
              <w:t xml:space="preserve">Telehealth. </w:t>
            </w:r>
            <w:r w:rsidRPr="005D4222">
              <w:t>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1BB3190D" w14:textId="77777777" w:rsidR="00651836" w:rsidRPr="005D4222" w:rsidRDefault="00651836" w:rsidP="00C6128F">
            <w:pPr>
              <w:pStyle w:val="ProcessBullet"/>
              <w:rPr>
                <w:color w:val="000000" w:themeColor="text1"/>
              </w:rPr>
            </w:pPr>
            <w:r w:rsidRPr="005D4222">
              <w:rPr>
                <w:i/>
                <w:iCs/>
              </w:rPr>
              <w:t xml:space="preserve">Supplemental data. </w:t>
            </w:r>
            <w:r w:rsidRPr="005D4222">
              <w:t>Supplemental data may be used to identify initial population, denominator, exclusion and numerator events.</w:t>
            </w:r>
          </w:p>
          <w:p w14:paraId="40D4B9DA" w14:textId="77777777" w:rsidR="00651836" w:rsidRPr="005D4222" w:rsidRDefault="00651836" w:rsidP="00C6128F">
            <w:pPr>
              <w:pStyle w:val="Adjustments"/>
            </w:pPr>
            <w:r w:rsidRPr="005D4222">
              <w:t xml:space="preserve">Adjustments </w:t>
            </w:r>
            <w:r w:rsidRPr="005D4222">
              <w:rPr>
                <w:bCs/>
              </w:rPr>
              <w:t>a</w:t>
            </w:r>
            <w:r w:rsidRPr="005D4222">
              <w:t xml:space="preserve">llowed with </w:t>
            </w:r>
            <w:r w:rsidRPr="005D4222">
              <w:rPr>
                <w:bCs/>
              </w:rPr>
              <w:t>l</w:t>
            </w:r>
            <w:r w:rsidRPr="005D4222">
              <w:t>imits</w:t>
            </w:r>
          </w:p>
          <w:p w14:paraId="3BEAA787" w14:textId="77777777" w:rsidR="00651836" w:rsidRPr="005D4222" w:rsidRDefault="00651836" w:rsidP="00C6128F">
            <w:pPr>
              <w:pStyle w:val="ProcessBullet"/>
              <w:rPr>
                <w:sz w:val="24"/>
              </w:rPr>
            </w:pPr>
            <w:r w:rsidRPr="005D4222">
              <w:rPr>
                <w:i/>
              </w:rPr>
              <w:t>Ages.</w:t>
            </w:r>
            <w:r w:rsidRPr="005D4222">
              <w:t xml:space="preserve"> Age determination dates may be changed (e.g., select, “age as of June 30”). The denominator age range may not be expanded. </w:t>
            </w:r>
          </w:p>
          <w:p w14:paraId="3429BCE3" w14:textId="77777777" w:rsidR="00651836" w:rsidRPr="005D4222" w:rsidRDefault="00651836" w:rsidP="00C6128F">
            <w:pPr>
              <w:pStyle w:val="ProcessBullet"/>
              <w:rPr>
                <w:sz w:val="24"/>
              </w:rPr>
            </w:pPr>
            <w:r w:rsidRPr="005D4222">
              <w:rPr>
                <w:i/>
              </w:rPr>
              <w:t xml:space="preserve">Initial population: </w:t>
            </w:r>
            <w:r w:rsidRPr="005D4222">
              <w:rPr>
                <w:iCs/>
              </w:rPr>
              <w:t>Event.</w:t>
            </w:r>
            <w:r w:rsidRPr="005D4222">
              <w:rPr>
                <w:iCs/>
                <w:sz w:val="24"/>
              </w:rPr>
              <w:t xml:space="preserve"> </w:t>
            </w:r>
            <w:r w:rsidRPr="005D4222">
              <w:t xml:space="preserve">Organizations may choose to only use one method to identify sexual activity (only claims/ encounter data </w:t>
            </w:r>
            <w:r w:rsidRPr="005D4222">
              <w:rPr>
                <w:b/>
                <w:bCs/>
                <w:i/>
                <w:iCs/>
              </w:rPr>
              <w:t>or</w:t>
            </w:r>
            <w:r w:rsidRPr="005D4222">
              <w:t xml:space="preserve"> only pharmacy data). Only events that contain (or map to) codes in medication lists and value sets may be used to identify sexual activity. Medication lists, value sets and logic may not be changed. </w:t>
            </w:r>
          </w:p>
          <w:p w14:paraId="404017F2" w14:textId="77777777" w:rsidR="00651836" w:rsidRPr="005D4222" w:rsidRDefault="00651836" w:rsidP="00C6128F">
            <w:pPr>
              <w:pStyle w:val="Adjustments"/>
            </w:pPr>
            <w:r w:rsidRPr="005D4222">
              <w:t xml:space="preserve">Adjustments </w:t>
            </w:r>
            <w:r w:rsidRPr="005D4222">
              <w:rPr>
                <w:bCs/>
              </w:rPr>
              <w:t>not allowed</w:t>
            </w:r>
          </w:p>
          <w:p w14:paraId="75E383B1" w14:textId="77777777" w:rsidR="00651836" w:rsidRPr="005D4222" w:rsidRDefault="00651836" w:rsidP="00C6128F">
            <w:pPr>
              <w:pStyle w:val="ProcessBullet"/>
            </w:pPr>
            <w:r w:rsidRPr="005D4222">
              <w:rPr>
                <w:i/>
                <w:iCs/>
              </w:rPr>
              <w:t xml:space="preserve">Exclusions. </w:t>
            </w:r>
            <w:r w:rsidRPr="005D4222">
              <w:t>The male sex assigned at birth exclusion must be applied.</w:t>
            </w:r>
          </w:p>
          <w:p w14:paraId="344002E8" w14:textId="77777777" w:rsidR="00651836" w:rsidRPr="005D4222" w:rsidRDefault="00651836" w:rsidP="00C6128F">
            <w:pPr>
              <w:pStyle w:val="ProcessBullet"/>
              <w:spacing w:after="80"/>
              <w:rPr>
                <w:b/>
                <w:bCs/>
              </w:rPr>
            </w:pPr>
            <w:r w:rsidRPr="005D4222">
              <w:rPr>
                <w:i/>
                <w:iCs/>
              </w:rPr>
              <w:t xml:space="preserve">Numerator. </w:t>
            </w:r>
            <w:r w:rsidRPr="005D4222">
              <w:t>The logic may not be changed.</w:t>
            </w:r>
          </w:p>
        </w:tc>
      </w:tr>
    </w:tbl>
    <w:p w14:paraId="38A2EC21" w14:textId="77777777" w:rsidR="00C6128F" w:rsidRPr="005D4222" w:rsidRDefault="00C6128F" w:rsidP="00043C86">
      <w:pPr>
        <w:sectPr w:rsidR="00C6128F" w:rsidRPr="005D4222" w:rsidSect="0074514A">
          <w:headerReference w:type="default" r:id="rId85"/>
          <w:type w:val="nextColumn"/>
          <w:pgSz w:w="12240" w:h="15840" w:code="1"/>
          <w:pgMar w:top="1080" w:right="1080" w:bottom="1080" w:left="1440" w:header="720" w:footer="720" w:gutter="0"/>
          <w:cols w:space="720"/>
          <w:docGrid w:linePitch="360"/>
        </w:sectPr>
      </w:pPr>
    </w:p>
    <w:p w14:paraId="3E0693F8" w14:textId="421508B1" w:rsidR="00A86F26" w:rsidRPr="005D4222" w:rsidRDefault="000F142F" w:rsidP="000F142F">
      <w:pPr>
        <w:pStyle w:val="MeasureTitle"/>
      </w:pPr>
      <w:bookmarkStart w:id="272" w:name="_Toc201813389"/>
      <w:r w:rsidRPr="005D4222">
        <w:lastRenderedPageBreak/>
        <w:t>Care for Older Adults</w:t>
      </w:r>
      <w:r w:rsidR="004C0737" w:rsidRPr="005D4222">
        <w:t xml:space="preserve"> (COA)</w:t>
      </w:r>
      <w:bookmarkEnd w:id="272"/>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4968"/>
        <w:gridCol w:w="1406"/>
        <w:gridCol w:w="1186"/>
      </w:tblGrid>
      <w:tr w:rsidR="008432EB" w:rsidRPr="005D4222" w14:paraId="1295899A" w14:textId="77777777">
        <w:tc>
          <w:tcPr>
            <w:tcW w:w="2157" w:type="dxa"/>
            <w:shd w:val="clear" w:color="auto" w:fill="BFBFBF" w:themeFill="background1" w:themeFillShade="BF"/>
            <w:tcMar>
              <w:top w:w="0" w:type="dxa"/>
              <w:left w:w="86" w:type="dxa"/>
              <w:bottom w:w="43" w:type="dxa"/>
              <w:right w:w="86" w:type="dxa"/>
            </w:tcMar>
            <w:hideMark/>
          </w:tcPr>
          <w:p w14:paraId="43C0FA91" w14:textId="77777777" w:rsidR="008432EB" w:rsidRPr="005D4222" w:rsidRDefault="008432EB">
            <w:pPr>
              <w:pStyle w:val="ECDSMarginHead"/>
            </w:pPr>
            <w:r w:rsidRPr="005D4222">
              <w:t>Measure title</w:t>
            </w:r>
          </w:p>
        </w:tc>
        <w:tc>
          <w:tcPr>
            <w:tcW w:w="4968" w:type="dxa"/>
            <w:tcMar>
              <w:top w:w="0" w:type="dxa"/>
              <w:left w:w="86" w:type="dxa"/>
              <w:bottom w:w="43" w:type="dxa"/>
              <w:right w:w="86" w:type="dxa"/>
            </w:tcMar>
          </w:tcPr>
          <w:p w14:paraId="5D59774C" w14:textId="77777777" w:rsidR="008432EB" w:rsidRPr="005D4222" w:rsidRDefault="008432EB">
            <w:pPr>
              <w:pStyle w:val="ECDSBody"/>
            </w:pPr>
            <w:r w:rsidRPr="005D4222">
              <w:t xml:space="preserve">Care for Older Adults </w:t>
            </w:r>
          </w:p>
        </w:tc>
        <w:tc>
          <w:tcPr>
            <w:tcW w:w="1406" w:type="dxa"/>
            <w:shd w:val="clear" w:color="auto" w:fill="BFBFBF" w:themeFill="background1" w:themeFillShade="BF"/>
            <w:tcMar>
              <w:top w:w="0" w:type="dxa"/>
              <w:left w:w="86" w:type="dxa"/>
              <w:bottom w:w="43" w:type="dxa"/>
              <w:right w:w="86" w:type="dxa"/>
            </w:tcMar>
          </w:tcPr>
          <w:p w14:paraId="4C428AA8" w14:textId="77777777" w:rsidR="008432EB" w:rsidRPr="005D4222" w:rsidRDefault="008432EB">
            <w:pPr>
              <w:pStyle w:val="ECDSMarginHead"/>
            </w:pPr>
            <w:r w:rsidRPr="005D4222">
              <w:t>Measure ID</w:t>
            </w:r>
          </w:p>
        </w:tc>
        <w:tc>
          <w:tcPr>
            <w:tcW w:w="1186" w:type="dxa"/>
            <w:tcMar>
              <w:top w:w="0" w:type="dxa"/>
              <w:left w:w="86" w:type="dxa"/>
              <w:bottom w:w="43" w:type="dxa"/>
              <w:right w:w="86" w:type="dxa"/>
            </w:tcMar>
          </w:tcPr>
          <w:p w14:paraId="2FCE2606" w14:textId="77777777" w:rsidR="008432EB" w:rsidRPr="005D4222" w:rsidRDefault="008432EB">
            <w:pPr>
              <w:pStyle w:val="ECDSBody"/>
            </w:pPr>
            <w:r w:rsidRPr="005D4222">
              <w:t>COA</w:t>
            </w:r>
          </w:p>
        </w:tc>
      </w:tr>
      <w:tr w:rsidR="008432EB" w:rsidRPr="005D4222" w14:paraId="02F39007" w14:textId="77777777">
        <w:trPr>
          <w:trHeight w:val="445"/>
        </w:trPr>
        <w:tc>
          <w:tcPr>
            <w:tcW w:w="2157" w:type="dxa"/>
            <w:shd w:val="clear" w:color="auto" w:fill="BFBFBF" w:themeFill="background1" w:themeFillShade="BF"/>
            <w:tcMar>
              <w:top w:w="0" w:type="dxa"/>
              <w:left w:w="86" w:type="dxa"/>
              <w:bottom w:w="43" w:type="dxa"/>
              <w:right w:w="86" w:type="dxa"/>
            </w:tcMar>
            <w:hideMark/>
          </w:tcPr>
          <w:p w14:paraId="0DCC8F1F" w14:textId="77777777" w:rsidR="008432EB" w:rsidRPr="005D4222" w:rsidRDefault="008432EB">
            <w:pPr>
              <w:pStyle w:val="ECDSMarginHead"/>
            </w:pPr>
            <w:r w:rsidRPr="005D4222">
              <w:t>Description</w:t>
            </w:r>
          </w:p>
        </w:tc>
        <w:tc>
          <w:tcPr>
            <w:tcW w:w="7560" w:type="dxa"/>
            <w:gridSpan w:val="3"/>
            <w:tcMar>
              <w:top w:w="0" w:type="dxa"/>
              <w:left w:w="86" w:type="dxa"/>
              <w:bottom w:w="43" w:type="dxa"/>
              <w:right w:w="86" w:type="dxa"/>
            </w:tcMar>
          </w:tcPr>
          <w:p w14:paraId="7B9B583F" w14:textId="77777777" w:rsidR="008432EB" w:rsidRPr="005D4222" w:rsidRDefault="008432EB">
            <w:pPr>
              <w:pStyle w:val="ECDSBody"/>
            </w:pPr>
            <w:r w:rsidRPr="005D4222">
              <w:t>The percentage of persons 66 years of age and older who had both of the following during the measurement period:</w:t>
            </w:r>
          </w:p>
          <w:p w14:paraId="11956DBD" w14:textId="77777777" w:rsidR="008432EB" w:rsidRPr="005D4222" w:rsidRDefault="008432EB" w:rsidP="009C3EB2">
            <w:pPr>
              <w:pStyle w:val="Bullet"/>
              <w:numPr>
                <w:ilvl w:val="0"/>
                <w:numId w:val="4"/>
              </w:numPr>
              <w:tabs>
                <w:tab w:val="left" w:pos="360"/>
                <w:tab w:val="left" w:pos="576"/>
              </w:tabs>
              <w:ind w:left="576" w:hanging="216"/>
            </w:pPr>
            <w:r w:rsidRPr="005D4222">
              <w:t>Medication Review.</w:t>
            </w:r>
          </w:p>
          <w:p w14:paraId="2C9FA116" w14:textId="77777777" w:rsidR="008432EB" w:rsidRPr="005D4222" w:rsidRDefault="008432EB" w:rsidP="009C3EB2">
            <w:pPr>
              <w:pStyle w:val="Bullet"/>
              <w:numPr>
                <w:ilvl w:val="0"/>
                <w:numId w:val="4"/>
              </w:numPr>
              <w:tabs>
                <w:tab w:val="left" w:pos="360"/>
                <w:tab w:val="left" w:pos="576"/>
              </w:tabs>
              <w:spacing w:after="80"/>
              <w:ind w:left="576" w:hanging="216"/>
            </w:pPr>
            <w:r w:rsidRPr="005D4222">
              <w:t>Functional Status Assessment.</w:t>
            </w:r>
          </w:p>
        </w:tc>
      </w:tr>
      <w:tr w:rsidR="008432EB" w:rsidRPr="005D4222" w14:paraId="31E245DF" w14:textId="77777777">
        <w:tc>
          <w:tcPr>
            <w:tcW w:w="2157" w:type="dxa"/>
            <w:shd w:val="clear" w:color="auto" w:fill="BFBFBF" w:themeFill="background1" w:themeFillShade="BF"/>
            <w:tcMar>
              <w:top w:w="0" w:type="dxa"/>
              <w:left w:w="86" w:type="dxa"/>
              <w:bottom w:w="43" w:type="dxa"/>
              <w:right w:w="86" w:type="dxa"/>
            </w:tcMar>
          </w:tcPr>
          <w:p w14:paraId="54E91783" w14:textId="77777777" w:rsidR="008432EB" w:rsidRPr="005D4222" w:rsidRDefault="008432EB">
            <w:pPr>
              <w:pStyle w:val="ECDSMarginHead"/>
            </w:pPr>
            <w:r w:rsidRPr="005D4222">
              <w:t>Measurement period</w:t>
            </w:r>
          </w:p>
        </w:tc>
        <w:tc>
          <w:tcPr>
            <w:tcW w:w="7560" w:type="dxa"/>
            <w:gridSpan w:val="3"/>
            <w:tcMar>
              <w:top w:w="0" w:type="dxa"/>
              <w:left w:w="86" w:type="dxa"/>
              <w:bottom w:w="43" w:type="dxa"/>
              <w:right w:w="86" w:type="dxa"/>
            </w:tcMar>
          </w:tcPr>
          <w:p w14:paraId="0D37D490" w14:textId="77777777" w:rsidR="008432EB" w:rsidRPr="005D4222" w:rsidRDefault="008432EB">
            <w:pPr>
              <w:pStyle w:val="ECDSBody"/>
            </w:pPr>
            <w:r w:rsidRPr="005D4222">
              <w:t>January 1–December 31.</w:t>
            </w:r>
          </w:p>
        </w:tc>
      </w:tr>
      <w:tr w:rsidR="008432EB" w:rsidRPr="005D4222" w14:paraId="3141D168" w14:textId="77777777">
        <w:tc>
          <w:tcPr>
            <w:tcW w:w="2157" w:type="dxa"/>
            <w:shd w:val="clear" w:color="auto" w:fill="BFBFBF" w:themeFill="background1" w:themeFillShade="BF"/>
            <w:tcMar>
              <w:top w:w="0" w:type="dxa"/>
              <w:left w:w="86" w:type="dxa"/>
              <w:bottom w:w="43" w:type="dxa"/>
              <w:right w:w="86" w:type="dxa"/>
            </w:tcMar>
            <w:hideMark/>
          </w:tcPr>
          <w:p w14:paraId="509F4045" w14:textId="77777777" w:rsidR="008432EB" w:rsidRPr="005D4222" w:rsidRDefault="008432EB">
            <w:pPr>
              <w:pStyle w:val="ECDSMarginHead"/>
              <w:rPr>
                <w:rFonts w:eastAsia="Arial"/>
              </w:rPr>
            </w:pPr>
            <w:r w:rsidRPr="005D4222">
              <w:rPr>
                <w:rFonts w:eastAsia="Arial"/>
              </w:rPr>
              <w:t>Copyright and disclaimer notice</w:t>
            </w:r>
          </w:p>
        </w:tc>
        <w:tc>
          <w:tcPr>
            <w:tcW w:w="7560" w:type="dxa"/>
            <w:gridSpan w:val="3"/>
            <w:tcMar>
              <w:top w:w="0" w:type="dxa"/>
              <w:left w:w="86" w:type="dxa"/>
              <w:bottom w:w="43" w:type="dxa"/>
              <w:right w:w="86" w:type="dxa"/>
            </w:tcMar>
          </w:tcPr>
          <w:p w14:paraId="0871831E" w14:textId="77777777" w:rsidR="008432EB" w:rsidRPr="005D4222" w:rsidRDefault="008432EB">
            <w:pPr>
              <w:pStyle w:val="ECDSBody"/>
            </w:pPr>
            <w:r w:rsidRPr="005D4222">
              <w:t>Refer to the complete copyright and disclaimer information at the front of this publication.</w:t>
            </w:r>
          </w:p>
          <w:p w14:paraId="05BFC688" w14:textId="77777777" w:rsidR="008432EB" w:rsidRPr="005D4222" w:rsidRDefault="008432EB">
            <w:pPr>
              <w:pStyle w:val="ECDSBody"/>
              <w:spacing w:before="80"/>
            </w:pPr>
            <w:r w:rsidRPr="005D4222">
              <w:t xml:space="preserve">NCQA website: </w:t>
            </w:r>
            <w:r w:rsidRPr="005D4222">
              <w:rPr>
                <w:szCs w:val="21"/>
                <w:u w:val="single"/>
              </w:rPr>
              <w:t>www.ncqa.org</w:t>
            </w:r>
            <w:r w:rsidRPr="005D4222">
              <w:t>. </w:t>
            </w:r>
          </w:p>
          <w:p w14:paraId="292FFE77" w14:textId="77777777" w:rsidR="008432EB" w:rsidRPr="005D4222" w:rsidRDefault="008432EB">
            <w:pPr>
              <w:pStyle w:val="ECDSBody"/>
              <w:spacing w:before="80"/>
              <w:rPr>
                <w:sz w:val="18"/>
                <w:szCs w:val="18"/>
              </w:rPr>
            </w:pPr>
            <w:r w:rsidRPr="005D4222">
              <w:t>Submit policy clarification support questions via My NCQA (</w:t>
            </w:r>
            <w:r w:rsidRPr="005D4222">
              <w:rPr>
                <w:szCs w:val="21"/>
                <w:u w:val="single"/>
              </w:rPr>
              <w:t>https://my.ncqa.org</w:t>
            </w:r>
            <w:r w:rsidRPr="005D4222">
              <w:t>).</w:t>
            </w:r>
          </w:p>
        </w:tc>
      </w:tr>
      <w:tr w:rsidR="008432EB" w:rsidRPr="005D4222" w14:paraId="68F72CC0" w14:textId="77777777">
        <w:trPr>
          <w:trHeight w:val="655"/>
        </w:trPr>
        <w:tc>
          <w:tcPr>
            <w:tcW w:w="2157" w:type="dxa"/>
            <w:shd w:val="clear" w:color="auto" w:fill="BFBFBF" w:themeFill="background1" w:themeFillShade="BF"/>
            <w:tcMar>
              <w:top w:w="0" w:type="dxa"/>
              <w:left w:w="86" w:type="dxa"/>
              <w:bottom w:w="43" w:type="dxa"/>
              <w:right w:w="86" w:type="dxa"/>
            </w:tcMar>
            <w:hideMark/>
          </w:tcPr>
          <w:p w14:paraId="450B42C5" w14:textId="77777777" w:rsidR="008432EB" w:rsidRPr="005D4222" w:rsidRDefault="008432EB">
            <w:pPr>
              <w:pStyle w:val="ECDSMarginHead"/>
            </w:pPr>
            <w:r w:rsidRPr="005D4222">
              <w:t>Clinical recommendation statement/ rationale</w:t>
            </w:r>
          </w:p>
        </w:tc>
        <w:tc>
          <w:tcPr>
            <w:tcW w:w="7560" w:type="dxa"/>
            <w:gridSpan w:val="3"/>
            <w:tcMar>
              <w:top w:w="0" w:type="dxa"/>
              <w:left w:w="86" w:type="dxa"/>
              <w:bottom w:w="43" w:type="dxa"/>
              <w:right w:w="86" w:type="dxa"/>
            </w:tcMar>
          </w:tcPr>
          <w:p w14:paraId="5C0D5E0D" w14:textId="77777777" w:rsidR="008432EB" w:rsidRPr="005D4222" w:rsidRDefault="008432EB">
            <w:pPr>
              <w:pStyle w:val="ECDSBody"/>
              <w:rPr>
                <w:szCs w:val="21"/>
              </w:rPr>
            </w:pPr>
            <w:r w:rsidRPr="005D4222">
              <w:rPr>
                <w:szCs w:val="21"/>
              </w:rPr>
              <w:t>As the population ages, physical function decreases and cognitive ability can decrease. Decline in physical function is often an initial symptom of illness in older people, and early detection of functional decline allows earlier treatment or intervention.</w:t>
            </w:r>
          </w:p>
          <w:p w14:paraId="07DDF470" w14:textId="77777777" w:rsidR="008432EB" w:rsidRPr="005D4222" w:rsidRDefault="008432EB">
            <w:pPr>
              <w:pStyle w:val="ECDSBody"/>
            </w:pPr>
            <w:r w:rsidRPr="005D4222">
              <w:rPr>
                <w:szCs w:val="21"/>
              </w:rPr>
              <w:t>Poor medication management can lead to adverse drug events, overdoses and underutilization of drugs; all can result in increased hospitalizations. Assessing functional status and completing a medication review can ensure that older adults receive comprehensive care that prevents further health status decline and considers their wishes.</w:t>
            </w:r>
          </w:p>
        </w:tc>
      </w:tr>
      <w:tr w:rsidR="008432EB" w:rsidRPr="005D4222" w14:paraId="7DB1E60F" w14:textId="77777777">
        <w:trPr>
          <w:trHeight w:val="1935"/>
        </w:trPr>
        <w:tc>
          <w:tcPr>
            <w:tcW w:w="2157" w:type="dxa"/>
            <w:shd w:val="clear" w:color="auto" w:fill="BFBFBF" w:themeFill="background1" w:themeFillShade="BF"/>
            <w:tcMar>
              <w:top w:w="0" w:type="dxa"/>
              <w:left w:w="86" w:type="dxa"/>
              <w:bottom w:w="43" w:type="dxa"/>
              <w:right w:w="86" w:type="dxa"/>
            </w:tcMar>
          </w:tcPr>
          <w:p w14:paraId="6D7CA733" w14:textId="77777777" w:rsidR="008432EB" w:rsidRPr="005D4222" w:rsidRDefault="008432EB">
            <w:pPr>
              <w:pStyle w:val="ECDSMarginHead"/>
            </w:pPr>
            <w:r w:rsidRPr="005D4222">
              <w:t>Citations</w:t>
            </w:r>
          </w:p>
        </w:tc>
        <w:tc>
          <w:tcPr>
            <w:tcW w:w="7560" w:type="dxa"/>
            <w:gridSpan w:val="3"/>
            <w:tcMar>
              <w:top w:w="0" w:type="dxa"/>
              <w:left w:w="86" w:type="dxa"/>
              <w:bottom w:w="43" w:type="dxa"/>
              <w:right w:w="86" w:type="dxa"/>
            </w:tcMar>
          </w:tcPr>
          <w:p w14:paraId="62274D7B" w14:textId="77777777" w:rsidR="008432EB" w:rsidRPr="005D4222" w:rsidRDefault="008432EB">
            <w:pPr>
              <w:pStyle w:val="ECDSBody"/>
            </w:pPr>
            <w:r w:rsidRPr="005D4222">
              <w:t>Brown, Rebecca T., Kara Zamora, Anael Rizzo, Malena J. Spar, Kathy Z. Fung, Lea Santiago, Annie Campbell, and Francesca M. Nicosia. 2024. “Improving Measurement of Functional Status among Older Adults in Primary Care: A Pilot Study.” PLOS ONE 19 (5): e0303402. https://doi.org/10.1371/journal.pone.0303402</w:t>
            </w:r>
          </w:p>
          <w:p w14:paraId="18D44E90" w14:textId="77777777" w:rsidR="008432EB" w:rsidRPr="005D4222" w:rsidRDefault="008432EB">
            <w:pPr>
              <w:pStyle w:val="ECDSBody"/>
            </w:pPr>
            <w:r w:rsidRPr="005D4222">
              <w:t>Frangos, Emilia, Christophe Graf, and Nikolaos Samaras. 2023. “Functional Aging: Integrating Functionality to a Multidimensional Assessment of Healthy Aging.” Current Gerontology and Geriatrics Research 2023 (January):9409918. https://doi.org/10.1155/2023/9409918</w:t>
            </w:r>
          </w:p>
          <w:p w14:paraId="23D6ACDA" w14:textId="77777777" w:rsidR="008432EB" w:rsidRPr="005D4222" w:rsidRDefault="008432EB">
            <w:pPr>
              <w:pStyle w:val="ECDSBody"/>
            </w:pPr>
            <w:r w:rsidRPr="005D4222">
              <w:t>Kiel, Whitney J., and Shaun W. Phillips. 2017. “Impact of Pharmacist-Conducted Comprehensive Medication Reviews for Older Adult Patients to Reduce Medication Related Problems.” Pharmacy: Journal of Pharmacy Education and Practice 6 (1): 2. https://doi.org/10.3390/pharmacy6010002</w:t>
            </w:r>
          </w:p>
        </w:tc>
      </w:tr>
      <w:tr w:rsidR="008432EB" w:rsidRPr="005D4222" w14:paraId="510D1973" w14:textId="77777777">
        <w:tc>
          <w:tcPr>
            <w:tcW w:w="9717"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2CD3B680" w14:textId="77777777" w:rsidR="008432EB" w:rsidRPr="005D4222" w:rsidRDefault="008432EB">
            <w:pPr>
              <w:pStyle w:val="ECDSMarginHead"/>
            </w:pPr>
            <w:r w:rsidRPr="005D4222">
              <w:t>Characteristics</w:t>
            </w:r>
          </w:p>
        </w:tc>
      </w:tr>
      <w:tr w:rsidR="008432EB" w:rsidRPr="005D4222" w14:paraId="27D21080" w14:textId="77777777" w:rsidTr="0032019F">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7E963F85" w14:textId="77777777" w:rsidR="008432EB" w:rsidRPr="005D4222" w:rsidRDefault="008432EB" w:rsidP="005A674B">
            <w:pPr>
              <w:pStyle w:val="ECDSMarginSubhead"/>
              <w:spacing w:after="0"/>
            </w:pPr>
            <w:r w:rsidRPr="005D4222">
              <w:t>Scoring</w:t>
            </w:r>
          </w:p>
        </w:tc>
        <w:tc>
          <w:tcPr>
            <w:tcW w:w="7560"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650FBCFD" w14:textId="77777777" w:rsidR="008432EB" w:rsidRPr="005D4222" w:rsidRDefault="008432EB">
            <w:pPr>
              <w:pStyle w:val="ECDSBody"/>
              <w:spacing w:after="0"/>
            </w:pPr>
            <w:r w:rsidRPr="005D4222">
              <w:t>Proportion.</w:t>
            </w:r>
          </w:p>
        </w:tc>
      </w:tr>
      <w:tr w:rsidR="008432EB" w:rsidRPr="005D4222" w14:paraId="55D0AC60" w14:textId="77777777" w:rsidTr="0032019F">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40CFC921" w14:textId="77777777" w:rsidR="008432EB" w:rsidRPr="005D4222" w:rsidRDefault="008432EB">
            <w:pPr>
              <w:pStyle w:val="ECDSMarginSubhead"/>
            </w:pPr>
            <w:r w:rsidRPr="005D4222">
              <w:t>Type</w:t>
            </w:r>
          </w:p>
        </w:tc>
        <w:tc>
          <w:tcPr>
            <w:tcW w:w="7560"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7E63CD87" w14:textId="77777777" w:rsidR="008432EB" w:rsidRPr="005D4222" w:rsidRDefault="008432EB">
            <w:pPr>
              <w:pStyle w:val="ECDSBody"/>
              <w:spacing w:after="0"/>
            </w:pPr>
            <w:r w:rsidRPr="005D4222">
              <w:t>Process.</w:t>
            </w:r>
          </w:p>
        </w:tc>
      </w:tr>
      <w:tr w:rsidR="008432EB" w:rsidRPr="005D4222" w14:paraId="163EE753" w14:textId="77777777" w:rsidTr="0032019F">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4171D44A" w14:textId="209C12A1" w:rsidR="008432EB" w:rsidRPr="005D4222" w:rsidRDefault="00B51CDC" w:rsidP="0032019F">
            <w:pPr>
              <w:pStyle w:val="ECDSMarginSubhead"/>
              <w:spacing w:after="0"/>
            </w:pPr>
            <w:r w:rsidRPr="005D4222">
              <w:lastRenderedPageBreak/>
              <w:t>Product lines</w:t>
            </w:r>
          </w:p>
        </w:tc>
        <w:tc>
          <w:tcPr>
            <w:tcW w:w="7560"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tcPr>
          <w:p w14:paraId="46E9E68F" w14:textId="77777777" w:rsidR="008432EB" w:rsidRPr="005D4222" w:rsidRDefault="008432EB" w:rsidP="0032019F">
            <w:pPr>
              <w:pStyle w:val="ECDSBody"/>
              <w:spacing w:after="0"/>
            </w:pPr>
            <w:r w:rsidRPr="005D4222">
              <w:t xml:space="preserve">Medicare (only SNP </w:t>
            </w:r>
            <w:r w:rsidRPr="005D4222" w:rsidDel="00B32764">
              <w:t>benefit packages).</w:t>
            </w:r>
          </w:p>
        </w:tc>
      </w:tr>
      <w:tr w:rsidR="008432EB" w:rsidRPr="005D4222" w14:paraId="0DAC87FF" w14:textId="77777777" w:rsidTr="0032019F">
        <w:tc>
          <w:tcPr>
            <w:tcW w:w="2157" w:type="dxa"/>
            <w:tcBorders>
              <w:top w:val="nil"/>
              <w:left w:val="single" w:sz="4" w:space="0" w:color="auto"/>
              <w:bottom w:val="nil"/>
              <w:right w:val="single" w:sz="4" w:space="0" w:color="auto"/>
            </w:tcBorders>
            <w:tcMar>
              <w:top w:w="0" w:type="dxa"/>
              <w:left w:w="86" w:type="dxa"/>
              <w:bottom w:w="43" w:type="dxa"/>
              <w:right w:w="86" w:type="dxa"/>
            </w:tcMar>
          </w:tcPr>
          <w:p w14:paraId="063D19CC" w14:textId="051DEF6D" w:rsidR="008432EB" w:rsidRPr="005D4222" w:rsidRDefault="00B51CDC" w:rsidP="0032019F">
            <w:pPr>
              <w:pStyle w:val="ECDSMarginSubhead"/>
              <w:spacing w:after="0"/>
            </w:pPr>
            <w:r w:rsidRPr="005D4222">
              <w:t>Stratifications</w:t>
            </w:r>
            <w:r w:rsidR="008432EB" w:rsidRPr="005D4222">
              <w:t xml:space="preserve"> </w:t>
            </w:r>
          </w:p>
        </w:tc>
        <w:tc>
          <w:tcPr>
            <w:tcW w:w="7560"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711354E3" w14:textId="77777777" w:rsidR="008432EB" w:rsidRPr="005D4222" w:rsidRDefault="008432EB" w:rsidP="0032019F">
            <w:pPr>
              <w:pStyle w:val="ECDSBody"/>
              <w:spacing w:after="0"/>
            </w:pPr>
            <w:r w:rsidRPr="005D4222">
              <w:t>None.</w:t>
            </w:r>
          </w:p>
        </w:tc>
      </w:tr>
      <w:tr w:rsidR="008432EB" w:rsidRPr="005D4222" w14:paraId="4D2080E5" w14:textId="77777777" w:rsidTr="0032019F">
        <w:tc>
          <w:tcPr>
            <w:tcW w:w="2157" w:type="dxa"/>
            <w:tcBorders>
              <w:top w:val="nil"/>
              <w:left w:val="single" w:sz="4" w:space="0" w:color="auto"/>
              <w:bottom w:val="nil"/>
              <w:right w:val="single" w:sz="4" w:space="0" w:color="auto"/>
            </w:tcBorders>
            <w:tcMar>
              <w:top w:w="0" w:type="dxa"/>
              <w:left w:w="86" w:type="dxa"/>
              <w:bottom w:w="43" w:type="dxa"/>
              <w:right w:w="86" w:type="dxa"/>
            </w:tcMar>
          </w:tcPr>
          <w:p w14:paraId="2EE9FB1C" w14:textId="77777777" w:rsidR="008432EB" w:rsidRPr="005D4222" w:rsidRDefault="008432EB" w:rsidP="0032019F">
            <w:pPr>
              <w:pStyle w:val="ECDSMarginSubhead"/>
              <w:spacing w:after="0"/>
            </w:pPr>
            <w:r w:rsidRPr="005D4222">
              <w:t>Risk adjustment</w:t>
            </w:r>
          </w:p>
        </w:tc>
        <w:tc>
          <w:tcPr>
            <w:tcW w:w="7560"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615320DC" w14:textId="77777777" w:rsidR="008432EB" w:rsidRPr="005D4222" w:rsidRDefault="008432EB" w:rsidP="0032019F">
            <w:pPr>
              <w:pStyle w:val="ECDSBody"/>
              <w:spacing w:after="0"/>
            </w:pPr>
            <w:r w:rsidRPr="005D4222">
              <w:t>None.</w:t>
            </w:r>
          </w:p>
        </w:tc>
      </w:tr>
      <w:tr w:rsidR="008432EB" w:rsidRPr="005D4222" w14:paraId="32A01572"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72FDBD63" w14:textId="77777777" w:rsidR="008432EB" w:rsidRPr="005D4222" w:rsidRDefault="008432EB" w:rsidP="0032019F">
            <w:pPr>
              <w:pStyle w:val="ECDSMarginSubhead"/>
              <w:spacing w:after="0"/>
            </w:pPr>
            <w:r w:rsidRPr="005D4222">
              <w:t>Improvement notation</w:t>
            </w:r>
          </w:p>
        </w:tc>
        <w:tc>
          <w:tcPr>
            <w:tcW w:w="7560"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0B5763E6" w14:textId="77777777" w:rsidR="008432EB" w:rsidRPr="005D4222" w:rsidRDefault="008432EB" w:rsidP="0032019F">
            <w:pPr>
              <w:pStyle w:val="ECDSBody"/>
              <w:spacing w:after="0"/>
            </w:pPr>
            <w:r w:rsidRPr="005D4222">
              <w:rPr>
                <w:szCs w:val="21"/>
              </w:rPr>
              <w:t xml:space="preserve">Increased score indicates improvement. </w:t>
            </w:r>
          </w:p>
        </w:tc>
      </w:tr>
      <w:tr w:rsidR="008432EB" w:rsidRPr="005D4222" w14:paraId="01A6C115" w14:textId="77777777">
        <w:trPr>
          <w:trHeight w:val="633"/>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4263744E" w14:textId="77777777" w:rsidR="008432EB" w:rsidRPr="005D4222" w:rsidRDefault="008432EB" w:rsidP="0032019F">
            <w:pPr>
              <w:pStyle w:val="ECDSMarginSubhead"/>
            </w:pPr>
            <w:r w:rsidRPr="005D4222">
              <w:t>Guidance</w:t>
            </w:r>
          </w:p>
        </w:tc>
        <w:tc>
          <w:tcPr>
            <w:tcW w:w="7560"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7C71AF85" w14:textId="7D37959A" w:rsidR="008432EB" w:rsidRPr="005D4222" w:rsidRDefault="008432EB">
            <w:pPr>
              <w:pStyle w:val="ECDSBody"/>
              <w:rPr>
                <w:rStyle w:val="eop"/>
                <w:rFonts w:eastAsiaTheme="majorEastAsia"/>
                <w:color w:val="000000"/>
                <w:shd w:val="clear" w:color="auto" w:fill="FFFFFF"/>
              </w:rPr>
            </w:pPr>
            <w:r w:rsidRPr="005D4222">
              <w:rPr>
                <w:b/>
                <w:color w:val="000000"/>
                <w:shd w:val="clear" w:color="auto" w:fill="FFFFFF"/>
              </w:rPr>
              <w:t>Data collection methodology</w:t>
            </w:r>
            <w:r w:rsidRPr="005D4222">
              <w:rPr>
                <w:color w:val="000000"/>
                <w:shd w:val="clear" w:color="auto" w:fill="FFFFFF"/>
              </w:rPr>
              <w:t xml:space="preserve">: Administrative and hybrid. Refer to </w:t>
            </w:r>
            <w:hyperlink w:anchor="General_Guideline_Data_Collection_Method" w:history="1">
              <w:r w:rsidRPr="005D4222">
                <w:rPr>
                  <w:rStyle w:val="Hyperlink"/>
                  <w:i/>
                  <w:shd w:val="clear" w:color="auto" w:fill="FFFFFF"/>
                </w:rPr>
                <w:t>General Guideline: Data Collection Methods</w:t>
              </w:r>
            </w:hyperlink>
            <w:r w:rsidRPr="005D4222">
              <w:rPr>
                <w:color w:val="000000"/>
                <w:shd w:val="clear" w:color="auto" w:fill="FFFFFF"/>
              </w:rPr>
              <w:t xml:space="preserve"> for additional information. </w:t>
            </w:r>
            <w:r w:rsidRPr="005D4222">
              <w:rPr>
                <w:rStyle w:val="eop"/>
                <w:rFonts w:eastAsiaTheme="majorEastAsia"/>
                <w:color w:val="000000"/>
                <w:shd w:val="clear" w:color="auto" w:fill="FFFFFF"/>
              </w:rPr>
              <w:t> </w:t>
            </w:r>
          </w:p>
          <w:p w14:paraId="306783B1" w14:textId="77777777" w:rsidR="008432EB" w:rsidRPr="005D4222" w:rsidRDefault="008432EB">
            <w:pPr>
              <w:pStyle w:val="ECDSBody"/>
            </w:pPr>
            <w:r w:rsidRPr="005D4222">
              <w:rPr>
                <w:b/>
                <w:bCs w:val="0"/>
              </w:rPr>
              <w:t xml:space="preserve">Date specificity: </w:t>
            </w:r>
            <w:r w:rsidRPr="005D4222">
              <w:t>Dates must be specific enough to determine the event occurred in the period being measured.</w:t>
            </w:r>
          </w:p>
          <w:p w14:paraId="0E33F93E" w14:textId="77777777" w:rsidR="008432EB" w:rsidRPr="005D4222" w:rsidRDefault="008432EB">
            <w:pPr>
              <w:pStyle w:val="ECDSBody"/>
            </w:pPr>
            <w:r w:rsidRPr="005D4222">
              <w:rPr>
                <w:b/>
                <w:bCs w:val="0"/>
              </w:rPr>
              <w:t xml:space="preserve">Which services count? </w:t>
            </w:r>
            <w:r w:rsidRPr="005D4222">
              <w:t>When using claims, include all paid, suspended, pending and denied claims.</w:t>
            </w:r>
          </w:p>
          <w:p w14:paraId="7AED6E20" w14:textId="11547CDD" w:rsidR="008432EB" w:rsidRPr="005D4222" w:rsidRDefault="008432EB">
            <w:pPr>
              <w:pStyle w:val="ECDSBody"/>
            </w:pPr>
            <w:r w:rsidRPr="005D4222">
              <w:rPr>
                <w:b/>
                <w:bCs w:val="0"/>
              </w:rPr>
              <w:t>Other guidance:</w:t>
            </w:r>
            <w:r w:rsidRPr="005D4222">
              <w:t xml:space="preserve"> Refer to </w:t>
            </w:r>
            <w:hyperlink w:anchor="Appendix_1" w:history="1">
              <w:r w:rsidRPr="005D4222">
                <w:rPr>
                  <w:rStyle w:val="Hyperlink"/>
                </w:rPr>
                <w:t>Appendix 1</w:t>
              </w:r>
            </w:hyperlink>
            <w:r w:rsidRPr="005D4222">
              <w:t xml:space="preserve"> for the definition of </w:t>
            </w:r>
            <w:r w:rsidRPr="005D4222">
              <w:rPr>
                <w:i/>
              </w:rPr>
              <w:t>clinical pharmacist</w:t>
            </w:r>
            <w:r w:rsidRPr="005D4222">
              <w:t xml:space="preserve"> and </w:t>
            </w:r>
            <w:r w:rsidRPr="005D4222">
              <w:rPr>
                <w:i/>
              </w:rPr>
              <w:t>prescribing practitioner</w:t>
            </w:r>
            <w:r w:rsidRPr="005D4222">
              <w:t xml:space="preserve">. </w:t>
            </w:r>
          </w:p>
        </w:tc>
      </w:tr>
      <w:tr w:rsidR="008432EB" w:rsidRPr="005D4222" w14:paraId="314AFD4B" w14:textId="77777777">
        <w:tc>
          <w:tcPr>
            <w:tcW w:w="9717" w:type="dxa"/>
            <w:gridSpan w:val="4"/>
            <w:tcBorders>
              <w:top w:val="single" w:sz="4" w:space="0" w:color="auto"/>
              <w:bottom w:val="nil"/>
            </w:tcBorders>
            <w:shd w:val="clear" w:color="auto" w:fill="BFBFBF" w:themeFill="background1" w:themeFillShade="BF"/>
            <w:tcMar>
              <w:top w:w="0" w:type="dxa"/>
              <w:left w:w="86" w:type="dxa"/>
              <w:bottom w:w="43" w:type="dxa"/>
              <w:right w:w="86" w:type="dxa"/>
            </w:tcMar>
          </w:tcPr>
          <w:p w14:paraId="7549F50D" w14:textId="77777777" w:rsidR="008432EB" w:rsidRPr="005D4222" w:rsidRDefault="008432EB" w:rsidP="0032019F">
            <w:pPr>
              <w:pStyle w:val="ECDSMarginHead"/>
            </w:pPr>
            <w:r w:rsidRPr="005D4222">
              <w:t xml:space="preserve">Definitions </w:t>
            </w:r>
          </w:p>
        </w:tc>
      </w:tr>
      <w:tr w:rsidR="008432EB" w:rsidRPr="005D4222" w14:paraId="762B03BC" w14:textId="77777777">
        <w:trPr>
          <w:trHeight w:val="320"/>
        </w:trPr>
        <w:tc>
          <w:tcPr>
            <w:tcW w:w="2157" w:type="dxa"/>
            <w:tcBorders>
              <w:bottom w:val="nil"/>
            </w:tcBorders>
            <w:tcMar>
              <w:top w:w="0" w:type="dxa"/>
              <w:left w:w="86" w:type="dxa"/>
              <w:bottom w:w="43" w:type="dxa"/>
              <w:right w:w="86" w:type="dxa"/>
            </w:tcMar>
          </w:tcPr>
          <w:p w14:paraId="24E3F825" w14:textId="77777777" w:rsidR="008432EB" w:rsidRPr="005D4222" w:rsidRDefault="008432EB">
            <w:pPr>
              <w:pStyle w:val="ECDSMarginSubhead"/>
            </w:pPr>
            <w:r w:rsidRPr="005D4222">
              <w:t>Medication list</w:t>
            </w:r>
          </w:p>
        </w:tc>
        <w:tc>
          <w:tcPr>
            <w:tcW w:w="7560"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tcPr>
          <w:p w14:paraId="58B36B5F" w14:textId="77777777" w:rsidR="008432EB" w:rsidRPr="005D4222" w:rsidRDefault="008432EB">
            <w:pPr>
              <w:pStyle w:val="ECDSBody"/>
              <w:spacing w:after="0"/>
              <w:rPr>
                <w:szCs w:val="21"/>
              </w:rPr>
            </w:pPr>
            <w:r w:rsidRPr="005D4222">
              <w:t>A list of medications in the medical record. May include medication names, or may include dosages, frequency, over-the-counter (OTC) medications and herbal or supplemental therapies.</w:t>
            </w:r>
          </w:p>
        </w:tc>
      </w:tr>
      <w:tr w:rsidR="008432EB" w:rsidRPr="005D4222" w14:paraId="1F223D1C" w14:textId="77777777">
        <w:trPr>
          <w:trHeight w:val="320"/>
        </w:trPr>
        <w:tc>
          <w:tcPr>
            <w:tcW w:w="2157" w:type="dxa"/>
            <w:tcBorders>
              <w:top w:val="nil"/>
              <w:bottom w:val="nil"/>
            </w:tcBorders>
            <w:tcMar>
              <w:top w:w="0" w:type="dxa"/>
              <w:left w:w="86" w:type="dxa"/>
              <w:bottom w:w="43" w:type="dxa"/>
              <w:right w:w="86" w:type="dxa"/>
            </w:tcMar>
          </w:tcPr>
          <w:p w14:paraId="6B3B3689" w14:textId="77777777" w:rsidR="008432EB" w:rsidRPr="005D4222" w:rsidRDefault="008432EB">
            <w:pPr>
              <w:pStyle w:val="ECDSMarginSubhead"/>
            </w:pPr>
            <w:r w:rsidRPr="005D4222">
              <w:t>Medication review</w:t>
            </w:r>
          </w:p>
        </w:tc>
        <w:tc>
          <w:tcPr>
            <w:tcW w:w="7560" w:type="dxa"/>
            <w:gridSpan w:val="3"/>
            <w:tcBorders>
              <w:top w:val="nil"/>
              <w:left w:val="single" w:sz="4" w:space="0" w:color="auto"/>
              <w:bottom w:val="nil"/>
              <w:right w:val="single" w:sz="4" w:space="0" w:color="auto"/>
            </w:tcBorders>
            <w:tcMar>
              <w:top w:w="0" w:type="dxa"/>
              <w:left w:w="86" w:type="dxa"/>
              <w:bottom w:w="43" w:type="dxa"/>
              <w:right w:w="86" w:type="dxa"/>
            </w:tcMar>
          </w:tcPr>
          <w:p w14:paraId="59A80DB2" w14:textId="77777777" w:rsidR="008432EB" w:rsidRPr="005D4222" w:rsidRDefault="008432EB">
            <w:pPr>
              <w:pStyle w:val="ECDSBody"/>
              <w:spacing w:after="0"/>
            </w:pPr>
            <w:r w:rsidRPr="005D4222">
              <w:t>A review of all the person’s medications, including prescription medications, OTC medications and herbal or supplemental therapies.</w:t>
            </w:r>
          </w:p>
        </w:tc>
      </w:tr>
      <w:tr w:rsidR="008432EB" w:rsidRPr="005D4222" w14:paraId="2D3E3AB5" w14:textId="77777777">
        <w:trPr>
          <w:trHeight w:val="320"/>
        </w:trPr>
        <w:tc>
          <w:tcPr>
            <w:tcW w:w="2157" w:type="dxa"/>
            <w:tcBorders>
              <w:top w:val="nil"/>
            </w:tcBorders>
            <w:tcMar>
              <w:top w:w="0" w:type="dxa"/>
              <w:left w:w="86" w:type="dxa"/>
              <w:bottom w:w="43" w:type="dxa"/>
              <w:right w:w="86" w:type="dxa"/>
            </w:tcMar>
          </w:tcPr>
          <w:p w14:paraId="7F8F0DAC" w14:textId="77777777" w:rsidR="008432EB" w:rsidRPr="005D4222" w:rsidRDefault="008432EB">
            <w:pPr>
              <w:pStyle w:val="ECDSMarginSubhead"/>
            </w:pPr>
            <w:r w:rsidRPr="005D4222">
              <w:t>Standardized tool</w:t>
            </w:r>
          </w:p>
        </w:tc>
        <w:tc>
          <w:tcPr>
            <w:tcW w:w="7560"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2E0C69A9" w14:textId="77777777" w:rsidR="008432EB" w:rsidRPr="005D4222" w:rsidRDefault="008432EB">
            <w:pPr>
              <w:pStyle w:val="ECDSBody"/>
              <w:rPr>
                <w:szCs w:val="21"/>
              </w:rPr>
            </w:pPr>
            <w:r w:rsidRPr="005D4222">
              <w:rPr>
                <w:szCs w:val="21"/>
              </w:rPr>
              <w:t>A set of structured questions that elicit the person’s information. May include person-reported outcome measures, screening or assessment tools or standardized questionnaires developed by the health plan to assess risks and needs.</w:t>
            </w:r>
          </w:p>
        </w:tc>
      </w:tr>
      <w:tr w:rsidR="008432EB" w:rsidRPr="005D4222" w14:paraId="62FC2610" w14:textId="77777777">
        <w:trPr>
          <w:trHeight w:val="320"/>
        </w:trPr>
        <w:tc>
          <w:tcPr>
            <w:tcW w:w="2157" w:type="dxa"/>
            <w:shd w:val="clear" w:color="auto" w:fill="BFBFBF" w:themeFill="background1" w:themeFillShade="BF"/>
            <w:tcMar>
              <w:top w:w="0" w:type="dxa"/>
              <w:left w:w="86" w:type="dxa"/>
              <w:bottom w:w="43" w:type="dxa"/>
              <w:right w:w="86" w:type="dxa"/>
            </w:tcMar>
          </w:tcPr>
          <w:p w14:paraId="475F0214" w14:textId="77777777" w:rsidR="008432EB" w:rsidRPr="005D4222" w:rsidRDefault="008432EB">
            <w:pPr>
              <w:pStyle w:val="ECDSMarginHead"/>
            </w:pPr>
            <w:r w:rsidRPr="005D4222">
              <w:t>Initial population</w:t>
            </w:r>
          </w:p>
        </w:tc>
        <w:tc>
          <w:tcPr>
            <w:tcW w:w="7560"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2DF8851" w14:textId="77777777" w:rsidR="008432EB" w:rsidRPr="005D4222" w:rsidRDefault="008432EB">
            <w:pPr>
              <w:pStyle w:val="ECDSBody"/>
            </w:pPr>
            <w:r w:rsidRPr="005D4222">
              <w:rPr>
                <w:i/>
              </w:rPr>
              <w:t>Measure item count:</w:t>
            </w:r>
            <w:r w:rsidRPr="005D4222">
              <w:t xml:space="preserve"> Person.</w:t>
            </w:r>
          </w:p>
          <w:p w14:paraId="747D571A" w14:textId="77777777" w:rsidR="008432EB" w:rsidRPr="005D4222" w:rsidRDefault="008432EB">
            <w:pPr>
              <w:pStyle w:val="ECDSBody"/>
            </w:pPr>
            <w:r w:rsidRPr="005D4222">
              <w:rPr>
                <w:i/>
              </w:rPr>
              <w:t>Attribution basis:</w:t>
            </w:r>
            <w:r w:rsidRPr="005D4222">
              <w:t xml:space="preserve"> Enrollment.</w:t>
            </w:r>
          </w:p>
          <w:p w14:paraId="07836BD2" w14:textId="77777777" w:rsidR="008432EB" w:rsidRPr="005D4222" w:rsidRDefault="008432EB" w:rsidP="008432EB">
            <w:pPr>
              <w:pStyle w:val="Bullet"/>
              <w:tabs>
                <w:tab w:val="left" w:pos="360"/>
                <w:tab w:val="left" w:pos="576"/>
              </w:tabs>
            </w:pPr>
            <w:r w:rsidRPr="005D4222">
              <w:rPr>
                <w:i/>
              </w:rPr>
              <w:t>Benefits</w:t>
            </w:r>
            <w:r w:rsidRPr="005D4222">
              <w:t>: Medical.</w:t>
            </w:r>
          </w:p>
          <w:p w14:paraId="57CC1601" w14:textId="77777777" w:rsidR="008432EB" w:rsidRPr="005D4222" w:rsidRDefault="008432EB" w:rsidP="008432EB">
            <w:pPr>
              <w:pStyle w:val="Bullet"/>
              <w:tabs>
                <w:tab w:val="left" w:pos="360"/>
                <w:tab w:val="left" w:pos="576"/>
              </w:tabs>
            </w:pPr>
            <w:r w:rsidRPr="005D4222">
              <w:rPr>
                <w:i/>
              </w:rPr>
              <w:t>Continuous enrollment:</w:t>
            </w:r>
            <w:r w:rsidRPr="005D4222">
              <w:t xml:space="preserve"> The measurement period.</w:t>
            </w:r>
          </w:p>
          <w:p w14:paraId="4B74FF7A" w14:textId="487E85C3" w:rsidR="008432EB" w:rsidRPr="005D4222" w:rsidRDefault="008432EB" w:rsidP="008432EB">
            <w:pPr>
              <w:pStyle w:val="Bullet"/>
              <w:tabs>
                <w:tab w:val="left" w:pos="360"/>
                <w:tab w:val="left" w:pos="576"/>
              </w:tabs>
            </w:pPr>
            <w:r w:rsidRPr="005D4222">
              <w:rPr>
                <w:i/>
              </w:rPr>
              <w:t>Allowable gap</w:t>
            </w:r>
            <w:r w:rsidRPr="005D4222">
              <w:t>: No more than one gap of ≤45 days during the measurement period. No gaps on the last day of the measurement period.</w:t>
            </w:r>
          </w:p>
          <w:p w14:paraId="6279C05D" w14:textId="77777777" w:rsidR="008432EB" w:rsidRPr="005D4222" w:rsidRDefault="008432EB">
            <w:pPr>
              <w:pStyle w:val="ECDSBody"/>
            </w:pPr>
            <w:r w:rsidRPr="005D4222">
              <w:rPr>
                <w:i/>
              </w:rPr>
              <w:t>Ages</w:t>
            </w:r>
            <w:r w:rsidRPr="005D4222">
              <w:t>: 66 years of age and older as of the last day of the measurement period.</w:t>
            </w:r>
          </w:p>
          <w:p w14:paraId="73D58FD7" w14:textId="77777777" w:rsidR="008432EB" w:rsidRPr="005D4222" w:rsidRDefault="008432EB">
            <w:pPr>
              <w:pStyle w:val="ECDSBody"/>
            </w:pPr>
            <w:r w:rsidRPr="005D4222">
              <w:rPr>
                <w:i/>
              </w:rPr>
              <w:t>Event</w:t>
            </w:r>
            <w:r w:rsidRPr="005D4222">
              <w:t>: None.</w:t>
            </w:r>
          </w:p>
        </w:tc>
      </w:tr>
      <w:tr w:rsidR="008432EB" w:rsidRPr="005D4222" w14:paraId="1251DFA5" w14:textId="77777777" w:rsidTr="0032019F">
        <w:tc>
          <w:tcPr>
            <w:tcW w:w="2157" w:type="dxa"/>
            <w:tcBorders>
              <w:top w:val="single" w:sz="2" w:space="0" w:color="auto"/>
              <w:left w:val="single" w:sz="2" w:space="0" w:color="auto"/>
              <w:bottom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7E4D107F" w14:textId="77777777" w:rsidR="008432EB" w:rsidRPr="005D4222" w:rsidRDefault="008432EB">
            <w:pPr>
              <w:pStyle w:val="ECDSMarginHead"/>
            </w:pPr>
            <w:r w:rsidRPr="005D4222">
              <w:t xml:space="preserve">Denominator exclusions </w:t>
            </w:r>
          </w:p>
        </w:tc>
        <w:tc>
          <w:tcPr>
            <w:tcW w:w="7560"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347547D7" w14:textId="045114B9" w:rsidR="008432EB" w:rsidRPr="005D4222" w:rsidRDefault="008432EB" w:rsidP="0032019F">
            <w:pPr>
              <w:pStyle w:val="ECDSBody"/>
              <w:rPr>
                <w:rFonts w:eastAsia="Arial,Arial,Arial,Arial,Arial,A"/>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tc>
      </w:tr>
    </w:tbl>
    <w:p w14:paraId="6B5936E3" w14:textId="77777777" w:rsidR="0032019F" w:rsidRPr="005D4222" w:rsidRDefault="0032019F">
      <w:r w:rsidRPr="005D4222">
        <w:br w:type="page"/>
      </w:r>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60"/>
      </w:tblGrid>
      <w:tr w:rsidR="0032019F" w:rsidRPr="005D4222" w14:paraId="1B5F2047" w14:textId="77777777">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F6802A2" w14:textId="77777777" w:rsidR="0032019F" w:rsidRPr="005D4222" w:rsidRDefault="0032019F">
            <w:pPr>
              <w:pStyle w:val="ECDSMarginHead"/>
            </w:pP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6439E04F" w14:textId="72873BFF" w:rsidR="0032019F" w:rsidRPr="005D4222" w:rsidRDefault="0032019F">
            <w:pPr>
              <w:pStyle w:val="ECDSBody"/>
              <w:rPr>
                <w:b/>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8432EB" w:rsidRPr="005D4222" w14:paraId="670A4C7D" w14:textId="77777777">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CAE94F2" w14:textId="77777777" w:rsidR="008432EB" w:rsidRPr="005D4222" w:rsidRDefault="008432EB">
            <w:pPr>
              <w:pStyle w:val="ECDSMarginHead"/>
            </w:pPr>
            <w:r w:rsidRPr="005D4222">
              <w:t>Denominator</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094E3A1" w14:textId="77777777" w:rsidR="008432EB" w:rsidRPr="005D4222" w:rsidRDefault="008432EB">
            <w:pPr>
              <w:pStyle w:val="Admin"/>
              <w:rPr>
                <w:i w:val="0"/>
                <w:iCs w:val="0"/>
              </w:rPr>
            </w:pPr>
            <w:r w:rsidRPr="005D4222">
              <w:t xml:space="preserve">ADMINISTRATIVE </w:t>
            </w:r>
          </w:p>
          <w:p w14:paraId="3AED578D" w14:textId="77777777" w:rsidR="008432EB" w:rsidRPr="005D4222" w:rsidRDefault="008432EB">
            <w:pPr>
              <w:pStyle w:val="ECDSBody"/>
              <w:spacing w:before="0"/>
              <w:rPr>
                <w:rFonts w:eastAsia="Arial,Arial,Arial,Arial,Arial,A"/>
              </w:rPr>
            </w:pPr>
            <w:r w:rsidRPr="005D4222">
              <w:rPr>
                <w:rFonts w:eastAsia="Arial,Arial,Arial,Arial,Arial,A"/>
              </w:rPr>
              <w:t>The initial population minus denominator exclusions.</w:t>
            </w:r>
          </w:p>
          <w:p w14:paraId="3E44A1AD" w14:textId="77777777" w:rsidR="008432EB" w:rsidRPr="005D4222" w:rsidRDefault="008432EB">
            <w:pPr>
              <w:pStyle w:val="Admin"/>
              <w:spacing w:before="180"/>
              <w:rPr>
                <w:rFonts w:cs="Arial"/>
                <w:b w:val="0"/>
                <w:bCs w:val="0"/>
                <w:i w:val="0"/>
                <w:iCs w:val="0"/>
              </w:rPr>
            </w:pPr>
            <w:r w:rsidRPr="005D4222">
              <w:t xml:space="preserve">HYBRID </w:t>
            </w:r>
          </w:p>
          <w:p w14:paraId="69FB4170" w14:textId="7EF60E7F" w:rsidR="008432EB" w:rsidRPr="005D4222" w:rsidRDefault="008432EB">
            <w:pPr>
              <w:pStyle w:val="ECDSBody"/>
              <w:spacing w:before="0"/>
              <w:rPr>
                <w:b/>
              </w:rPr>
            </w:pPr>
            <w:r w:rsidRPr="005D4222">
              <w:t xml:space="preserve">A systematic sample drawn from the </w:t>
            </w:r>
            <w:r w:rsidRPr="005D4222">
              <w:rPr>
                <w:rFonts w:eastAsia="Arial,Arial,Arial,Arial,Arial,A"/>
                <w:szCs w:val="21"/>
              </w:rPr>
              <w:t>administrative denominator</w:t>
            </w:r>
            <w:r w:rsidRPr="005D4222">
              <w:t>. Organizations may reduce the sample size using the current year’s administrative rate or the prior year’s audited, product line-specific rate.</w:t>
            </w:r>
            <w:r w:rsidR="00166369" w:rsidRPr="005D4222">
              <w:rPr>
                <w:rFonts w:eastAsia="Arial,Arial,Arial,Arial,Arial,A"/>
                <w:szCs w:val="21"/>
              </w:rPr>
              <w:t xml:space="preserve"> Refer to the </w:t>
            </w:r>
            <w:hyperlink w:anchor="Guidelines_for_Sampling" w:history="1">
              <w:r w:rsidR="00166369" w:rsidRPr="005D4222">
                <w:rPr>
                  <w:rStyle w:val="Hyperlink"/>
                  <w:rFonts w:eastAsia="Arial,Arial,Arial,Arial,Arial,A"/>
                  <w:i/>
                  <w:iCs/>
                  <w:szCs w:val="21"/>
                </w:rPr>
                <w:t>Guidelines for Calculations and Sampling</w:t>
              </w:r>
            </w:hyperlink>
            <w:r w:rsidR="00166369" w:rsidRPr="005D4222">
              <w:rPr>
                <w:rFonts w:eastAsia="Arial,Arial,Arial,Arial,Arial,A"/>
                <w:szCs w:val="21"/>
              </w:rPr>
              <w:t xml:space="preserve"> for information on reducing the sample size.</w:t>
            </w:r>
          </w:p>
        </w:tc>
      </w:tr>
      <w:tr w:rsidR="008432EB" w:rsidRPr="005D4222" w14:paraId="685F6240" w14:textId="77777777">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1253958" w14:textId="77777777" w:rsidR="008432EB" w:rsidRPr="005D4222" w:rsidRDefault="008432EB">
            <w:pPr>
              <w:pStyle w:val="ECDSMarginHead"/>
            </w:pPr>
            <w:r w:rsidRPr="005D4222">
              <w:t xml:space="preserve">Numerator </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5C15A7F4" w14:textId="77777777" w:rsidR="008432EB" w:rsidRPr="005D4222" w:rsidRDefault="008432EB">
            <w:pPr>
              <w:pStyle w:val="Admin"/>
              <w:rPr>
                <w:b w:val="0"/>
                <w:bCs w:val="0"/>
                <w:i w:val="0"/>
                <w:iCs w:val="0"/>
              </w:rPr>
            </w:pPr>
            <w:r w:rsidRPr="005D4222">
              <w:t xml:space="preserve">ADMINISTRATIVE </w:t>
            </w:r>
          </w:p>
          <w:p w14:paraId="45D92451" w14:textId="079B363D" w:rsidR="008432EB" w:rsidRPr="005D4222" w:rsidRDefault="008432EB">
            <w:pPr>
              <w:pStyle w:val="ECDSBody"/>
              <w:spacing w:before="0"/>
              <w:rPr>
                <w:bCs w:val="0"/>
              </w:rPr>
            </w:pPr>
            <w:r w:rsidRPr="005D4222">
              <w:rPr>
                <w:b/>
              </w:rPr>
              <w:t xml:space="preserve">Numerator 1: </w:t>
            </w:r>
            <w:r w:rsidR="00055710" w:rsidRPr="005D4222">
              <w:rPr>
                <w:b/>
              </w:rPr>
              <w:t>M</w:t>
            </w:r>
            <w:r w:rsidRPr="005D4222">
              <w:rPr>
                <w:b/>
              </w:rPr>
              <w:t xml:space="preserve">edication review. </w:t>
            </w:r>
            <w:r w:rsidRPr="005D4222">
              <w:rPr>
                <w:b/>
                <w:bCs w:val="0"/>
              </w:rPr>
              <w:br/>
            </w:r>
            <w:r w:rsidRPr="005D4222">
              <w:rPr>
                <w:bCs w:val="0"/>
              </w:rPr>
              <w:t>Either of the following meets numerator criteria:</w:t>
            </w:r>
          </w:p>
          <w:p w14:paraId="365307C0" w14:textId="77777777" w:rsidR="008432EB" w:rsidRPr="005D4222" w:rsidRDefault="008432EB" w:rsidP="008432EB">
            <w:pPr>
              <w:pStyle w:val="Bullet"/>
              <w:tabs>
                <w:tab w:val="left" w:pos="360"/>
                <w:tab w:val="left" w:pos="576"/>
              </w:tabs>
              <w:rPr>
                <w:rFonts w:ascii="Times New Roman" w:eastAsiaTheme="minorHAnsi" w:hAnsi="Times New Roman"/>
                <w:sz w:val="24"/>
              </w:rPr>
            </w:pPr>
            <w:r w:rsidRPr="005D4222">
              <w:t>Both of the following during the same visit during the measurement period where the provider type is a prescribing practitioner or clinical pharmacist:</w:t>
            </w:r>
          </w:p>
          <w:p w14:paraId="2A5D1FCD" w14:textId="77777777" w:rsidR="008432EB" w:rsidRPr="005D4222" w:rsidRDefault="008432EB" w:rsidP="008432EB">
            <w:pPr>
              <w:pStyle w:val="Dash"/>
              <w:tabs>
                <w:tab w:val="left" w:pos="576"/>
                <w:tab w:val="left" w:pos="792"/>
              </w:tabs>
              <w:spacing w:after="0"/>
            </w:pPr>
            <w:r w:rsidRPr="005D4222">
              <w:t>At least one medication review (</w:t>
            </w:r>
            <w:r w:rsidRPr="005D4222">
              <w:rPr>
                <w:u w:val="single"/>
              </w:rPr>
              <w:t>Medication Review Value Set</w:t>
            </w:r>
            <w:r w:rsidRPr="005D4222">
              <w:rPr>
                <w:color w:val="000000"/>
                <w:position w:val="4"/>
                <w:bdr w:val="none" w:sz="0" w:space="0" w:color="auto" w:frame="1"/>
              </w:rPr>
              <w:t>†</w:t>
            </w:r>
            <w:r w:rsidRPr="005D4222">
              <w:t>).</w:t>
            </w:r>
          </w:p>
          <w:p w14:paraId="5199C726" w14:textId="77777777" w:rsidR="008432EB" w:rsidRPr="005D4222" w:rsidRDefault="008432EB" w:rsidP="008432EB">
            <w:pPr>
              <w:pStyle w:val="Dash"/>
              <w:tabs>
                <w:tab w:val="left" w:pos="576"/>
                <w:tab w:val="left" w:pos="792"/>
              </w:tabs>
              <w:spacing w:after="0"/>
              <w:rPr>
                <w:rFonts w:eastAsia="SymbolMT"/>
              </w:rPr>
            </w:pPr>
            <w:r w:rsidRPr="005D4222">
              <w:t>The presence of a medication list in the medical record (</w:t>
            </w:r>
            <w:r w:rsidRPr="005D4222">
              <w:rPr>
                <w:u w:val="single"/>
              </w:rPr>
              <w:t>Medication List Value Set</w:t>
            </w:r>
            <w:r w:rsidRPr="005D4222">
              <w:rPr>
                <w:color w:val="000000"/>
                <w:position w:val="4"/>
                <w:bdr w:val="none" w:sz="0" w:space="0" w:color="auto" w:frame="1"/>
              </w:rPr>
              <w:t>†</w:t>
            </w:r>
            <w:r w:rsidRPr="005D4222">
              <w:t>).</w:t>
            </w:r>
          </w:p>
          <w:p w14:paraId="1379E82E" w14:textId="77777777" w:rsidR="008432EB" w:rsidRPr="005D4222" w:rsidRDefault="008432EB" w:rsidP="008432EB">
            <w:pPr>
              <w:pStyle w:val="Bullet"/>
              <w:tabs>
                <w:tab w:val="left" w:pos="360"/>
                <w:tab w:val="left" w:pos="576"/>
              </w:tabs>
            </w:pPr>
            <w:r w:rsidRPr="005D4222">
              <w:t>Transitional care management services (</w:t>
            </w:r>
            <w:r w:rsidRPr="005D4222">
              <w:rPr>
                <w:u w:val="single"/>
              </w:rPr>
              <w:t>Transitional Care Management Services Value Set</w:t>
            </w:r>
            <w:r w:rsidRPr="005D4222">
              <w:t>) during the measurement period.</w:t>
            </w:r>
          </w:p>
          <w:p w14:paraId="46CCEB5A" w14:textId="77777777" w:rsidR="008432EB" w:rsidRPr="005D4222" w:rsidRDefault="008432EB">
            <w:pPr>
              <w:pStyle w:val="ECDSBody"/>
            </w:pPr>
            <w:r w:rsidRPr="005D4222">
              <w:t>Do not include services provided in an acute inpatient setting (</w:t>
            </w:r>
            <w:r w:rsidRPr="005D4222">
              <w:rPr>
                <w:u w:val="single"/>
              </w:rPr>
              <w:t>Acute Inpatient Value Set</w:t>
            </w:r>
            <w:r w:rsidRPr="005D4222">
              <w:t xml:space="preserve">; </w:t>
            </w:r>
            <w:r w:rsidRPr="005D4222">
              <w:rPr>
                <w:u w:val="single"/>
              </w:rPr>
              <w:t>Acute Inpatient POS Value Set</w:t>
            </w:r>
            <w:r w:rsidRPr="005D4222">
              <w:t>).</w:t>
            </w:r>
          </w:p>
          <w:p w14:paraId="3E6DAFD7" w14:textId="6F1CE86A" w:rsidR="008432EB" w:rsidRPr="005D4222" w:rsidRDefault="008432EB">
            <w:pPr>
              <w:pStyle w:val="ECDSBody"/>
              <w:spacing w:before="180"/>
              <w:rPr>
                <w:iCs/>
              </w:rPr>
            </w:pPr>
            <w:r w:rsidRPr="005D4222">
              <w:rPr>
                <w:b/>
                <w:color w:val="000000" w:themeColor="text1"/>
              </w:rPr>
              <w:t xml:space="preserve">Numerator 2: </w:t>
            </w:r>
            <w:r w:rsidR="00055710" w:rsidRPr="005D4222">
              <w:rPr>
                <w:b/>
              </w:rPr>
              <w:t>F</w:t>
            </w:r>
            <w:r w:rsidRPr="005D4222">
              <w:rPr>
                <w:b/>
              </w:rPr>
              <w:t>unctional status assessment.</w:t>
            </w:r>
            <w:r w:rsidRPr="005D4222">
              <w:rPr>
                <w:b/>
                <w:bCs w:val="0"/>
              </w:rPr>
              <w:br/>
            </w:r>
            <w:r w:rsidRPr="005D4222">
              <w:rPr>
                <w:iCs/>
              </w:rPr>
              <w:t>Functional status assessment (</w:t>
            </w:r>
            <w:r w:rsidRPr="005D4222">
              <w:rPr>
                <w:iCs/>
                <w:u w:val="single"/>
              </w:rPr>
              <w:t>Functional Status Assessment Value Set</w:t>
            </w:r>
            <w:r w:rsidRPr="005D4222">
              <w:rPr>
                <w:color w:val="000000"/>
                <w:position w:val="4"/>
                <w:szCs w:val="21"/>
                <w:bdr w:val="none" w:sz="0" w:space="0" w:color="auto" w:frame="1"/>
              </w:rPr>
              <w:t>†</w:t>
            </w:r>
            <w:r w:rsidRPr="005D4222">
              <w:rPr>
                <w:iCs/>
              </w:rPr>
              <w:t>)</w:t>
            </w:r>
            <w:r w:rsidRPr="005D4222">
              <w:rPr>
                <w:color w:val="000000"/>
                <w:position w:val="4"/>
                <w:szCs w:val="21"/>
                <w:bdr w:val="none" w:sz="0" w:space="0" w:color="auto" w:frame="1"/>
              </w:rPr>
              <w:t xml:space="preserve"> </w:t>
            </w:r>
            <w:r w:rsidRPr="005D4222">
              <w:rPr>
                <w:iCs/>
              </w:rPr>
              <w:t xml:space="preserve">during the measurement period. </w:t>
            </w:r>
          </w:p>
          <w:p w14:paraId="10FFA446" w14:textId="77777777" w:rsidR="008432EB" w:rsidRPr="005D4222" w:rsidRDefault="008432EB">
            <w:pPr>
              <w:pStyle w:val="ECDSBody"/>
            </w:pPr>
            <w:r w:rsidRPr="005D4222">
              <w:t>Do not include services provided in an acute inpatient setting (</w:t>
            </w:r>
            <w:r w:rsidRPr="005D4222">
              <w:rPr>
                <w:u w:val="single"/>
              </w:rPr>
              <w:t>Acute Inpatient Value Set</w:t>
            </w:r>
            <w:r w:rsidRPr="005D4222">
              <w:t xml:space="preserve">; </w:t>
            </w:r>
            <w:r w:rsidRPr="005D4222">
              <w:rPr>
                <w:u w:val="single"/>
              </w:rPr>
              <w:t>Acute Inpatient POS Value Set</w:t>
            </w:r>
            <w:r w:rsidRPr="005D4222">
              <w:t>).</w:t>
            </w:r>
          </w:p>
          <w:p w14:paraId="3A4DCAC0" w14:textId="77777777" w:rsidR="008432EB" w:rsidRPr="005D4222" w:rsidRDefault="008432EB">
            <w:pPr>
              <w:pStyle w:val="ECDSBody"/>
              <w:spacing w:after="0"/>
              <w:rPr>
                <w:b/>
                <w:bCs w:val="0"/>
              </w:rPr>
            </w:pPr>
            <w:r w:rsidRPr="005D4222">
              <w:rPr>
                <w:b/>
                <w:bCs w:val="0"/>
              </w:rPr>
              <w:t>Coding Guidance</w:t>
            </w:r>
          </w:p>
          <w:p w14:paraId="5567FFDD" w14:textId="77777777" w:rsidR="008432EB" w:rsidRPr="005D4222" w:rsidRDefault="008432EB">
            <w:pPr>
              <w:pStyle w:val="ECDSBody"/>
              <w:spacing w:before="0"/>
            </w:pPr>
            <w:r w:rsidRPr="005D4222">
              <w:rPr>
                <w:color w:val="000000"/>
                <w:position w:val="4"/>
                <w:szCs w:val="21"/>
                <w:bdr w:val="none" w:sz="0" w:space="0" w:color="auto" w:frame="1"/>
              </w:rPr>
              <w:t>†</w:t>
            </w:r>
            <w:r w:rsidRPr="005D4222">
              <w:t>Do not use codes with a modifier (</w:t>
            </w:r>
            <w:r w:rsidRPr="005D4222">
              <w:rPr>
                <w:u w:val="single"/>
              </w:rPr>
              <w:t>CPT CAT II Modifier Value Set</w:t>
            </w:r>
            <w:r w:rsidRPr="005D4222">
              <w:t>).</w:t>
            </w:r>
          </w:p>
          <w:p w14:paraId="11CFB281" w14:textId="77777777" w:rsidR="008432EB" w:rsidRPr="005D4222" w:rsidRDefault="008432EB">
            <w:pPr>
              <w:pStyle w:val="Admin"/>
              <w:rPr>
                <w:u w:val="single"/>
              </w:rPr>
            </w:pPr>
            <w:r w:rsidRPr="005D4222">
              <w:t>HYBRID</w:t>
            </w:r>
            <w:r w:rsidRPr="005D4222">
              <w:rPr>
                <w:u w:val="single"/>
              </w:rPr>
              <w:t xml:space="preserve"> </w:t>
            </w:r>
          </w:p>
          <w:p w14:paraId="67FFC3F2" w14:textId="77777777" w:rsidR="008432EB" w:rsidRPr="005D4222" w:rsidRDefault="008432EB">
            <w:pPr>
              <w:pStyle w:val="ECDSBody"/>
              <w:rPr>
                <w:b/>
              </w:rPr>
            </w:pPr>
            <w:r w:rsidRPr="005D4222">
              <w:rPr>
                <w:i/>
                <w:iCs/>
              </w:rPr>
              <w:t xml:space="preserve">Administrative: </w:t>
            </w:r>
            <w:r w:rsidRPr="005D4222">
              <w:t>Refer to the administrative specifications to identify positive numerator hits from administrative data.</w:t>
            </w:r>
          </w:p>
          <w:p w14:paraId="35891E62" w14:textId="69A84B3F" w:rsidR="008432EB" w:rsidRPr="005D4222" w:rsidRDefault="008432EB" w:rsidP="00246AF3">
            <w:pPr>
              <w:pStyle w:val="ECDSBody"/>
              <w:rPr>
                <w:i/>
                <w:iCs/>
                <w:sz w:val="20"/>
                <w:szCs w:val="20"/>
              </w:rPr>
            </w:pPr>
            <w:r w:rsidRPr="005D4222">
              <w:rPr>
                <w:b/>
              </w:rPr>
              <w:t xml:space="preserve">Numerator 1: </w:t>
            </w:r>
            <w:r w:rsidR="00055710" w:rsidRPr="005D4222">
              <w:rPr>
                <w:b/>
              </w:rPr>
              <w:t>M</w:t>
            </w:r>
            <w:r w:rsidRPr="005D4222">
              <w:rPr>
                <w:b/>
              </w:rPr>
              <w:t>edication review.</w:t>
            </w:r>
            <w:r w:rsidRPr="005D4222">
              <w:rPr>
                <w:b/>
              </w:rPr>
              <w:br/>
            </w:r>
            <w:r w:rsidRPr="005D4222">
              <w:t xml:space="preserve">At least one medication review conducted by a prescribing practitioner or clinical pharmacist during the measurement period </w:t>
            </w:r>
            <w:r w:rsidRPr="005D4222">
              <w:rPr>
                <w:b/>
                <w:i/>
              </w:rPr>
              <w:t>and</w:t>
            </w:r>
            <w:r w:rsidRPr="005D4222">
              <w:t xml:space="preserve"> the presence of a medication list in the medical record, as documented through either administrative data or medical record review. </w:t>
            </w:r>
          </w:p>
        </w:tc>
      </w:tr>
    </w:tbl>
    <w:p w14:paraId="2DB18446" w14:textId="77777777" w:rsidR="00246AF3" w:rsidRPr="005D4222" w:rsidRDefault="00246AF3">
      <w:r w:rsidRPr="005D4222">
        <w:br w:type="page"/>
      </w:r>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60"/>
      </w:tblGrid>
      <w:tr w:rsidR="0032019F" w:rsidRPr="005D4222" w14:paraId="6E10307C" w14:textId="77777777">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72FF648" w14:textId="77777777" w:rsidR="0032019F" w:rsidRPr="005D4222" w:rsidRDefault="0032019F">
            <w:pPr>
              <w:pStyle w:val="ECDSMarginHead"/>
            </w:pP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1754863A" w14:textId="77777777" w:rsidR="0032019F" w:rsidRPr="005D4222" w:rsidRDefault="0032019F" w:rsidP="0032019F">
            <w:pPr>
              <w:pStyle w:val="ECDSBody"/>
            </w:pPr>
            <w:r w:rsidRPr="005D4222">
              <w:t>A medication list, signed and dated during the measurement period by the appropriate practitioner type (prescribing practitioner or clinical pharmacist), meets criteria (the practitioner’s signature is considered evidence that the medications were reviewed).</w:t>
            </w:r>
          </w:p>
          <w:p w14:paraId="20AE16AB" w14:textId="77777777" w:rsidR="0032019F" w:rsidRPr="005D4222" w:rsidRDefault="0032019F" w:rsidP="0032019F">
            <w:pPr>
              <w:pStyle w:val="ECDSBody"/>
            </w:pPr>
            <w:r w:rsidRPr="005D4222">
              <w:rPr>
                <w:i/>
                <w:shd w:val="clear" w:color="auto" w:fill="FFFFFF"/>
              </w:rPr>
              <w:t>Medical record:</w:t>
            </w:r>
            <w:r w:rsidRPr="005D4222">
              <w:rPr>
                <w:b/>
              </w:rPr>
              <w:t xml:space="preserve"> </w:t>
            </w:r>
            <w:r w:rsidRPr="005D4222">
              <w:t>Documentation must come from the same medical record and must include one of the following:</w:t>
            </w:r>
          </w:p>
          <w:p w14:paraId="51A86F6B" w14:textId="77777777" w:rsidR="0032019F" w:rsidRPr="005D4222" w:rsidRDefault="0032019F" w:rsidP="0032019F">
            <w:pPr>
              <w:pStyle w:val="Bullet"/>
              <w:tabs>
                <w:tab w:val="left" w:pos="360"/>
                <w:tab w:val="left" w:pos="576"/>
              </w:tabs>
            </w:pPr>
            <w:r w:rsidRPr="005D4222">
              <w:t xml:space="preserve">A medication list in the medical record </w:t>
            </w:r>
            <w:r w:rsidRPr="005D4222">
              <w:rPr>
                <w:b/>
                <w:i/>
              </w:rPr>
              <w:t xml:space="preserve">and </w:t>
            </w:r>
            <w:r w:rsidRPr="005D4222">
              <w:t xml:space="preserve">evidence of a medication review by a prescribing practitioner or clinical pharmacist and the date when it was performed. </w:t>
            </w:r>
          </w:p>
          <w:p w14:paraId="45C738C8" w14:textId="77777777" w:rsidR="0032019F" w:rsidRPr="005D4222" w:rsidRDefault="0032019F" w:rsidP="0032019F">
            <w:pPr>
              <w:pStyle w:val="Bullet"/>
              <w:tabs>
                <w:tab w:val="left" w:pos="360"/>
                <w:tab w:val="left" w:pos="576"/>
              </w:tabs>
            </w:pPr>
            <w:r w:rsidRPr="005D4222">
              <w:t>Notation that the person is not taking any medication and the date when it was noted.</w:t>
            </w:r>
          </w:p>
          <w:p w14:paraId="06DA337E" w14:textId="77777777" w:rsidR="0032019F" w:rsidRPr="005D4222" w:rsidRDefault="0032019F" w:rsidP="0032019F">
            <w:pPr>
              <w:pStyle w:val="ECDSBody"/>
              <w:rPr>
                <w:b/>
              </w:rPr>
            </w:pPr>
            <w:r w:rsidRPr="005D4222">
              <w:t>A review of side effects for a single medication at the time of prescription alone is not sufficient. An outpatient visit is not required to meet criteria. Do not include medication lists or medication reviews performed in an acute inpatient setting.</w:t>
            </w:r>
          </w:p>
          <w:p w14:paraId="7BF60C49" w14:textId="77777777" w:rsidR="0032019F" w:rsidRPr="005D4222" w:rsidRDefault="0032019F" w:rsidP="0032019F">
            <w:pPr>
              <w:pStyle w:val="Note"/>
              <w:rPr>
                <w:b/>
                <w:i w:val="0"/>
              </w:rPr>
            </w:pPr>
            <w:r w:rsidRPr="005D4222">
              <w:rPr>
                <w:b/>
              </w:rPr>
              <w:t xml:space="preserve">Note: </w:t>
            </w:r>
            <w:r w:rsidRPr="005D4222">
              <w:t>A medication review performed without the person present meets criteria.</w:t>
            </w:r>
          </w:p>
          <w:p w14:paraId="29425078" w14:textId="40C538BA" w:rsidR="0032019F" w:rsidRPr="005D4222" w:rsidRDefault="0032019F" w:rsidP="0032019F">
            <w:pPr>
              <w:pStyle w:val="Body"/>
            </w:pPr>
            <w:r w:rsidRPr="005D4222">
              <w:rPr>
                <w:b/>
                <w:color w:val="000000" w:themeColor="text1"/>
              </w:rPr>
              <w:t xml:space="preserve">Numerator 2: </w:t>
            </w:r>
            <w:r w:rsidR="00055710" w:rsidRPr="005D4222">
              <w:rPr>
                <w:b/>
              </w:rPr>
              <w:t>F</w:t>
            </w:r>
            <w:r w:rsidRPr="005D4222">
              <w:rPr>
                <w:b/>
              </w:rPr>
              <w:t>unctional status assessment.</w:t>
            </w:r>
            <w:r w:rsidRPr="005D4222">
              <w:rPr>
                <w:b/>
              </w:rPr>
              <w:br/>
            </w:r>
            <w:r w:rsidRPr="005D4222">
              <w:rPr>
                <w:szCs w:val="21"/>
              </w:rPr>
              <w:t xml:space="preserve">At least one functional status assessment during the measurement period, as documented through either administrative data or medical record review. </w:t>
            </w:r>
          </w:p>
          <w:p w14:paraId="7015E07C" w14:textId="77777777" w:rsidR="0032019F" w:rsidRPr="005D4222" w:rsidRDefault="0032019F" w:rsidP="0032019F">
            <w:pPr>
              <w:pStyle w:val="Body"/>
            </w:pPr>
            <w:r w:rsidRPr="005D4222">
              <w:rPr>
                <w:i/>
                <w:iCs/>
                <w:shd w:val="clear" w:color="auto" w:fill="FFFFFF"/>
              </w:rPr>
              <w:t>Medical record:</w:t>
            </w:r>
            <w:r w:rsidRPr="005D4222">
              <w:rPr>
                <w:b/>
                <w:bCs/>
              </w:rPr>
              <w:t xml:space="preserve"> </w:t>
            </w:r>
            <w:r w:rsidRPr="005D4222">
              <w:rPr>
                <w:szCs w:val="21"/>
              </w:rPr>
              <w:t xml:space="preserve">Documentation in the medical record must include evidence of a complete functional status assessment and the date when it was performed. </w:t>
            </w:r>
          </w:p>
          <w:p w14:paraId="1251ED89" w14:textId="77777777" w:rsidR="0032019F" w:rsidRPr="005D4222" w:rsidRDefault="0032019F" w:rsidP="0032019F">
            <w:pPr>
              <w:pStyle w:val="ECDSBody"/>
            </w:pPr>
            <w:r w:rsidRPr="005D4222">
              <w:t xml:space="preserve">Notations for a </w:t>
            </w:r>
            <w:r w:rsidRPr="005D4222">
              <w:rPr>
                <w:shd w:val="clear" w:color="auto" w:fill="FFFFFF"/>
              </w:rPr>
              <w:t xml:space="preserve">complete functional status assessment </w:t>
            </w:r>
            <w:r w:rsidRPr="005D4222">
              <w:t xml:space="preserve">must include one of the following: </w:t>
            </w:r>
          </w:p>
          <w:p w14:paraId="6C12573D" w14:textId="0A429082" w:rsidR="0032019F" w:rsidRPr="005D4222" w:rsidRDefault="0032019F" w:rsidP="0032019F">
            <w:pPr>
              <w:pStyle w:val="Bullet"/>
              <w:tabs>
                <w:tab w:val="left" w:pos="360"/>
                <w:tab w:val="left" w:pos="576"/>
              </w:tabs>
            </w:pPr>
            <w:r w:rsidRPr="005D4222">
              <w:t xml:space="preserve">Notation that Activities of Daily Living (ADL) were assessed or that at least five of the following were assessed: bathing, dressing, eating, transferring </w:t>
            </w:r>
            <w:r w:rsidR="00045446" w:rsidRPr="005D4222">
              <w:t>(</w:t>
            </w:r>
            <w:r w:rsidRPr="005D4222">
              <w:t>e.g., getting in and out of chairs</w:t>
            </w:r>
            <w:r w:rsidR="00045446" w:rsidRPr="005D4222">
              <w:t>)</w:t>
            </w:r>
            <w:r w:rsidRPr="005D4222">
              <w:t>, using toilet, walking.</w:t>
            </w:r>
          </w:p>
          <w:p w14:paraId="16A9C163" w14:textId="77777777" w:rsidR="0032019F" w:rsidRPr="005D4222" w:rsidRDefault="0032019F" w:rsidP="0032019F">
            <w:pPr>
              <w:pStyle w:val="Bullet"/>
              <w:tabs>
                <w:tab w:val="left" w:pos="360"/>
                <w:tab w:val="left" w:pos="576"/>
              </w:tabs>
            </w:pPr>
            <w:r w:rsidRPr="005D4222">
              <w:t xml:space="preserve">Notation that Instrumental Activities of Daily Living (IADL) were assessed or at least four of the following were assessed: shopping for groceries, driving or using public transportation, using the telephone, cooking or meal preparation, housework, home repair, laundry, taking medications, handling finances. </w:t>
            </w:r>
          </w:p>
          <w:p w14:paraId="096CC11E" w14:textId="77777777" w:rsidR="0032019F" w:rsidRPr="005D4222" w:rsidRDefault="0032019F" w:rsidP="0032019F">
            <w:pPr>
              <w:pStyle w:val="Bullet"/>
              <w:tabs>
                <w:tab w:val="left" w:pos="360"/>
                <w:tab w:val="left" w:pos="576"/>
              </w:tabs>
            </w:pPr>
            <w:r w:rsidRPr="005D4222">
              <w:t>Result of assessment using a standardized functional status assessment tool, not limited to:</w:t>
            </w:r>
          </w:p>
          <w:p w14:paraId="2C3960AF" w14:textId="77777777" w:rsidR="0032019F" w:rsidRPr="005D4222" w:rsidRDefault="0032019F" w:rsidP="0032019F">
            <w:pPr>
              <w:pStyle w:val="Dash"/>
              <w:tabs>
                <w:tab w:val="left" w:pos="576"/>
                <w:tab w:val="left" w:pos="792"/>
              </w:tabs>
            </w:pPr>
            <w:r w:rsidRPr="005D4222">
              <w:t>SF-36</w:t>
            </w:r>
            <w:r w:rsidRPr="005D4222">
              <w:rPr>
                <w:vertAlign w:val="superscript"/>
              </w:rPr>
              <w:t>®</w:t>
            </w:r>
            <w:r w:rsidRPr="005D4222">
              <w:t>.</w:t>
            </w:r>
          </w:p>
          <w:p w14:paraId="303EE9AD" w14:textId="77777777" w:rsidR="0032019F" w:rsidRPr="005D4222" w:rsidRDefault="0032019F" w:rsidP="0032019F">
            <w:pPr>
              <w:pStyle w:val="Dash"/>
              <w:tabs>
                <w:tab w:val="left" w:pos="576"/>
                <w:tab w:val="left" w:pos="792"/>
              </w:tabs>
            </w:pPr>
            <w:r w:rsidRPr="005D4222">
              <w:t>Assessment of Living Skills and Resources (ALSAR).</w:t>
            </w:r>
          </w:p>
          <w:p w14:paraId="78974BFD" w14:textId="77777777" w:rsidR="0032019F" w:rsidRPr="005D4222" w:rsidRDefault="0032019F" w:rsidP="0032019F">
            <w:pPr>
              <w:pStyle w:val="Dash"/>
              <w:tabs>
                <w:tab w:val="left" w:pos="576"/>
                <w:tab w:val="left" w:pos="792"/>
              </w:tabs>
            </w:pPr>
            <w:r w:rsidRPr="005D4222">
              <w:t>Barthel ADL Index Physical Self-Maintenance (ADLS) Scale</w:t>
            </w:r>
            <w:r w:rsidRPr="005D4222">
              <w:rPr>
                <w:vertAlign w:val="superscript"/>
              </w:rPr>
              <w:t>©</w:t>
            </w:r>
            <w:r w:rsidRPr="005D4222">
              <w:t xml:space="preserve">. </w:t>
            </w:r>
          </w:p>
          <w:p w14:paraId="5F4B2750" w14:textId="77777777" w:rsidR="0032019F" w:rsidRPr="005D4222" w:rsidRDefault="0032019F" w:rsidP="0032019F">
            <w:pPr>
              <w:pStyle w:val="Dash"/>
              <w:tabs>
                <w:tab w:val="left" w:pos="576"/>
                <w:tab w:val="left" w:pos="792"/>
              </w:tabs>
            </w:pPr>
            <w:r w:rsidRPr="005D4222">
              <w:t xml:space="preserve">Bayer ADL (B-ADL) Scale. </w:t>
            </w:r>
          </w:p>
          <w:p w14:paraId="61301262" w14:textId="77777777" w:rsidR="0032019F" w:rsidRPr="005D4222" w:rsidRDefault="0032019F" w:rsidP="0032019F">
            <w:pPr>
              <w:pStyle w:val="Dash"/>
              <w:tabs>
                <w:tab w:val="left" w:pos="576"/>
                <w:tab w:val="left" w:pos="792"/>
              </w:tabs>
            </w:pPr>
            <w:r w:rsidRPr="005D4222">
              <w:t>Barthel Index</w:t>
            </w:r>
            <w:r w:rsidRPr="005D4222">
              <w:rPr>
                <w:vertAlign w:val="superscript"/>
              </w:rPr>
              <w:t>©</w:t>
            </w:r>
            <w:r w:rsidRPr="005D4222">
              <w:t>.</w:t>
            </w:r>
          </w:p>
          <w:p w14:paraId="0C3E3024" w14:textId="77777777" w:rsidR="0032019F" w:rsidRPr="005D4222" w:rsidRDefault="0032019F" w:rsidP="0032019F">
            <w:pPr>
              <w:pStyle w:val="Dash"/>
              <w:tabs>
                <w:tab w:val="left" w:pos="576"/>
                <w:tab w:val="left" w:pos="792"/>
              </w:tabs>
            </w:pPr>
            <w:r w:rsidRPr="005D4222">
              <w:t>Edmonton Frail Scale</w:t>
            </w:r>
            <w:r w:rsidRPr="005D4222">
              <w:rPr>
                <w:vertAlign w:val="superscript"/>
              </w:rPr>
              <w:t>©</w:t>
            </w:r>
            <w:r w:rsidRPr="005D4222">
              <w:t>.</w:t>
            </w:r>
          </w:p>
          <w:p w14:paraId="48C99631" w14:textId="77777777" w:rsidR="0032019F" w:rsidRPr="005D4222" w:rsidRDefault="0032019F" w:rsidP="0032019F">
            <w:pPr>
              <w:pStyle w:val="Dash"/>
              <w:tabs>
                <w:tab w:val="left" w:pos="576"/>
                <w:tab w:val="left" w:pos="792"/>
              </w:tabs>
            </w:pPr>
            <w:r w:rsidRPr="005D4222">
              <w:t>Extended ADL (EADL) Scale.</w:t>
            </w:r>
          </w:p>
          <w:p w14:paraId="7893A9B8" w14:textId="77777777" w:rsidR="0032019F" w:rsidRPr="005D4222" w:rsidRDefault="0032019F" w:rsidP="0032019F">
            <w:pPr>
              <w:pStyle w:val="Dash"/>
              <w:tabs>
                <w:tab w:val="left" w:pos="576"/>
                <w:tab w:val="left" w:pos="792"/>
              </w:tabs>
            </w:pPr>
            <w:r w:rsidRPr="005D4222">
              <w:t>Groningen Frailty Index.</w:t>
            </w:r>
          </w:p>
          <w:p w14:paraId="53E2E277" w14:textId="77777777" w:rsidR="0032019F" w:rsidRPr="005D4222" w:rsidRDefault="0032019F" w:rsidP="0032019F">
            <w:pPr>
              <w:pStyle w:val="Dash"/>
              <w:tabs>
                <w:tab w:val="left" w:pos="576"/>
                <w:tab w:val="left" w:pos="792"/>
              </w:tabs>
            </w:pPr>
            <w:r w:rsidRPr="005D4222">
              <w:t>Independent Living Scale (ILS).</w:t>
            </w:r>
          </w:p>
          <w:p w14:paraId="36080E0F" w14:textId="769C4FEA" w:rsidR="0032019F" w:rsidRPr="005D4222" w:rsidRDefault="0032019F" w:rsidP="00667222">
            <w:pPr>
              <w:pStyle w:val="Dash"/>
              <w:tabs>
                <w:tab w:val="left" w:pos="576"/>
                <w:tab w:val="left" w:pos="792"/>
              </w:tabs>
              <w:spacing w:after="80"/>
            </w:pPr>
            <w:r w:rsidRPr="005D4222">
              <w:t>Katz Index of Independence in ADL</w:t>
            </w:r>
            <w:r w:rsidRPr="005D4222">
              <w:rPr>
                <w:vertAlign w:val="superscript"/>
              </w:rPr>
              <w:t>©</w:t>
            </w:r>
            <w:r w:rsidRPr="005D4222">
              <w:t>.</w:t>
            </w:r>
          </w:p>
        </w:tc>
      </w:tr>
      <w:tr w:rsidR="0032019F" w:rsidRPr="005D4222" w14:paraId="0EA14D51" w14:textId="77777777">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838BB1B" w14:textId="77777777" w:rsidR="0032019F" w:rsidRPr="005D4222" w:rsidRDefault="0032019F">
            <w:pPr>
              <w:pStyle w:val="ECDSMarginHead"/>
            </w:pP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1DD0054E" w14:textId="77777777" w:rsidR="0032019F" w:rsidRPr="005D4222" w:rsidRDefault="0032019F" w:rsidP="0032019F">
            <w:pPr>
              <w:pStyle w:val="Dash"/>
              <w:tabs>
                <w:tab w:val="left" w:pos="576"/>
                <w:tab w:val="left" w:pos="792"/>
              </w:tabs>
            </w:pPr>
            <w:r w:rsidRPr="005D4222">
              <w:t>Kenny Self-Care Evaluation.</w:t>
            </w:r>
          </w:p>
          <w:p w14:paraId="506832F0" w14:textId="77777777" w:rsidR="0032019F" w:rsidRPr="005D4222" w:rsidRDefault="0032019F" w:rsidP="0032019F">
            <w:pPr>
              <w:pStyle w:val="Dash"/>
              <w:tabs>
                <w:tab w:val="left" w:pos="576"/>
                <w:tab w:val="left" w:pos="792"/>
              </w:tabs>
            </w:pPr>
            <w:r w:rsidRPr="005D4222">
              <w:t xml:space="preserve">Klein-Bell ADL Scale. </w:t>
            </w:r>
          </w:p>
          <w:p w14:paraId="48770478" w14:textId="77777777" w:rsidR="0032019F" w:rsidRPr="005D4222" w:rsidRDefault="0032019F" w:rsidP="0032019F">
            <w:pPr>
              <w:pStyle w:val="Dash"/>
              <w:tabs>
                <w:tab w:val="left" w:pos="576"/>
                <w:tab w:val="left" w:pos="792"/>
              </w:tabs>
            </w:pPr>
            <w:r w:rsidRPr="005D4222">
              <w:t>Kohlman Evaluation of Living Skills (KELS).</w:t>
            </w:r>
          </w:p>
          <w:p w14:paraId="18F33CEC" w14:textId="77777777" w:rsidR="0032019F" w:rsidRPr="005D4222" w:rsidRDefault="0032019F" w:rsidP="0032019F">
            <w:pPr>
              <w:pStyle w:val="Dash"/>
              <w:tabs>
                <w:tab w:val="left" w:pos="576"/>
                <w:tab w:val="left" w:pos="792"/>
              </w:tabs>
              <w:spacing w:after="80"/>
              <w:rPr>
                <w:i/>
                <w:iCs/>
                <w:sz w:val="20"/>
              </w:rPr>
            </w:pPr>
            <w:r w:rsidRPr="005D4222">
              <w:t>Lawton &amp; Brody’s IADL scales</w:t>
            </w:r>
            <w:r w:rsidRPr="005D4222">
              <w:rPr>
                <w:vertAlign w:val="superscript"/>
              </w:rPr>
              <w:t>©</w:t>
            </w:r>
            <w:r w:rsidRPr="005D4222">
              <w:t>.</w:t>
            </w:r>
          </w:p>
          <w:p w14:paraId="4674EE98" w14:textId="77777777" w:rsidR="0032019F" w:rsidRPr="005D4222" w:rsidRDefault="0032019F" w:rsidP="0032019F">
            <w:pPr>
              <w:pStyle w:val="Dash"/>
              <w:tabs>
                <w:tab w:val="left" w:pos="576"/>
                <w:tab w:val="left" w:pos="792"/>
              </w:tabs>
              <w:spacing w:after="80"/>
              <w:rPr>
                <w:i/>
                <w:iCs/>
                <w:sz w:val="20"/>
              </w:rPr>
            </w:pPr>
            <w:r w:rsidRPr="005D4222">
              <w:t>Patient Reported Outcome Measurement Information System (PROMIS) Global or Physical Function Scales</w:t>
            </w:r>
            <w:r w:rsidRPr="005D4222">
              <w:rPr>
                <w:vertAlign w:val="superscript"/>
              </w:rPr>
              <w:t>©</w:t>
            </w:r>
            <w:r w:rsidRPr="005D4222">
              <w:t xml:space="preserve">. </w:t>
            </w:r>
          </w:p>
          <w:p w14:paraId="0EF2144A" w14:textId="77777777" w:rsidR="0032019F" w:rsidRPr="005D4222" w:rsidRDefault="0032019F" w:rsidP="00667222">
            <w:pPr>
              <w:pStyle w:val="ECDSBody"/>
            </w:pPr>
            <w:r w:rsidRPr="005D4222">
              <w:t>A functional status assessment limited to an acute or single condition, event or body system (e.g., lower back, leg) does not meet criteria for a comprehensive functional status assessment.</w:t>
            </w:r>
            <w:r w:rsidRPr="005D4222">
              <w:rPr>
                <w:i/>
              </w:rPr>
              <w:t xml:space="preserve"> </w:t>
            </w:r>
            <w:r w:rsidRPr="005D4222">
              <w:t>The components of the functional status assessment numerator may take place during separate visits within the measurement period. Do not include comprehensive functional status assessments performed in an acute inpatient setting.</w:t>
            </w:r>
          </w:p>
          <w:p w14:paraId="436ED9AB" w14:textId="780110E7" w:rsidR="0032019F" w:rsidRPr="005D4222" w:rsidRDefault="0032019F" w:rsidP="0032019F">
            <w:pPr>
              <w:pStyle w:val="Note"/>
              <w:spacing w:after="80"/>
            </w:pPr>
            <w:r w:rsidRPr="005D4222">
              <w:rPr>
                <w:b/>
              </w:rPr>
              <w:t>Note</w:t>
            </w:r>
            <w:r w:rsidRPr="005D4222" w:rsidDel="00FD56B2">
              <w:rPr>
                <w:b/>
              </w:rPr>
              <w:t xml:space="preserve">: </w:t>
            </w:r>
            <w:r w:rsidRPr="005D4222">
              <w:t>The Functional Status Assessment indicator does not require a specific setting; therefore, services rendered during a telephone visit, e-visit or virtual check-in meet criteria.</w:t>
            </w:r>
          </w:p>
        </w:tc>
      </w:tr>
      <w:tr w:rsidR="008432EB" w:rsidRPr="005D4222" w14:paraId="50C68D1F" w14:textId="77777777">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E492A7C" w14:textId="77777777" w:rsidR="008432EB" w:rsidRPr="005D4222" w:rsidRDefault="008432EB">
            <w:pPr>
              <w:pStyle w:val="ECDSMarginHead"/>
            </w:pPr>
            <w:r w:rsidRPr="005D4222">
              <w:t>Summary of changes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7EFACD7" w14:textId="77777777" w:rsidR="008432EB" w:rsidRPr="005D4222" w:rsidRDefault="008432EB">
            <w:pPr>
              <w:pStyle w:val="ProcessBullet"/>
              <w:spacing w:before="120"/>
            </w:pPr>
            <w:r w:rsidRPr="005D4222">
              <w:t xml:space="preserve">Removed MMP benefit packages. </w:t>
            </w:r>
          </w:p>
        </w:tc>
      </w:tr>
      <w:tr w:rsidR="008432EB" w:rsidRPr="005D4222" w14:paraId="6A86D097" w14:textId="77777777">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C20B002" w14:textId="77777777" w:rsidR="008432EB" w:rsidRPr="005D4222" w:rsidRDefault="008432EB">
            <w:pPr>
              <w:pStyle w:val="ECDSMarginHead"/>
            </w:pPr>
            <w:r w:rsidRPr="005D4222">
              <w:t>Data element tables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D0D1D16" w14:textId="77777777" w:rsidR="008432EB" w:rsidRPr="005D4222" w:rsidRDefault="008432EB">
            <w:pPr>
              <w:pStyle w:val="ECDSBody"/>
            </w:pPr>
            <w:r w:rsidRPr="005D4222">
              <w:t>Organizations that submit HEDIS data to NCQA must provide the following data elements.</w:t>
            </w:r>
          </w:p>
          <w:p w14:paraId="3B219F3F" w14:textId="77777777" w:rsidR="008432EB" w:rsidRPr="005D4222" w:rsidRDefault="008432EB">
            <w:pPr>
              <w:pStyle w:val="Heading3"/>
              <w:spacing w:before="120"/>
              <w:rPr>
                <w:b w:val="0"/>
                <w:bCs w:val="0"/>
                <w:i w:val="0"/>
                <w:szCs w:val="21"/>
              </w:rPr>
            </w:pPr>
            <w:r w:rsidRPr="005D4222">
              <w:t>Table COA-3: Data Elements for Care for Older Adults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2"/>
              <w:gridCol w:w="2494"/>
              <w:gridCol w:w="1710"/>
              <w:gridCol w:w="630"/>
            </w:tblGrid>
            <w:tr w:rsidR="008432EB" w:rsidRPr="005D4222" w14:paraId="6E9EDFA7" w14:textId="77777777" w:rsidTr="009C3EB2">
              <w:trPr>
                <w:cantSplit/>
              </w:trPr>
              <w:tc>
                <w:tcPr>
                  <w:tcW w:w="2542"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tcMar>
                    <w:left w:w="72" w:type="dxa"/>
                    <w:right w:w="72" w:type="dxa"/>
                  </w:tcMar>
                  <w:vAlign w:val="bottom"/>
                  <w:hideMark/>
                </w:tcPr>
                <w:p w14:paraId="13E70DF4" w14:textId="77777777" w:rsidR="008432EB" w:rsidRPr="005D4222" w:rsidRDefault="008432EB" w:rsidP="009C3EB2">
                  <w:pPr>
                    <w:pStyle w:val="TableHead"/>
                    <w:spacing w:before="40" w:after="40"/>
                    <w:rPr>
                      <w:rFonts w:eastAsia="Arial Narrow"/>
                    </w:rPr>
                  </w:pPr>
                  <w:r w:rsidRPr="005D4222">
                    <w:rPr>
                      <w:rFonts w:eastAsia="Arial Narrow"/>
                    </w:rPr>
                    <w:t>Metric</w:t>
                  </w:r>
                </w:p>
              </w:tc>
              <w:tc>
                <w:tcPr>
                  <w:tcW w:w="2494"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72" w:type="dxa"/>
                    <w:right w:w="72" w:type="dxa"/>
                  </w:tcMar>
                  <w:vAlign w:val="bottom"/>
                  <w:hideMark/>
                </w:tcPr>
                <w:p w14:paraId="220F09DB" w14:textId="77777777" w:rsidR="008432EB" w:rsidRPr="005D4222" w:rsidRDefault="008432EB" w:rsidP="009C3EB2">
                  <w:pPr>
                    <w:pStyle w:val="TableHead"/>
                    <w:spacing w:before="40" w:after="40"/>
                    <w:rPr>
                      <w:rFonts w:eastAsia="Arial Narrow"/>
                    </w:rPr>
                  </w:pPr>
                  <w:r w:rsidRPr="005D4222">
                    <w:rPr>
                      <w:rFonts w:eastAsia="Arial Narrow"/>
                    </w:rPr>
                    <w:t>Data Element</w:t>
                  </w:r>
                </w:p>
              </w:tc>
              <w:tc>
                <w:tcPr>
                  <w:tcW w:w="171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72" w:type="dxa"/>
                    <w:right w:w="72" w:type="dxa"/>
                  </w:tcMar>
                  <w:vAlign w:val="bottom"/>
                  <w:hideMark/>
                </w:tcPr>
                <w:p w14:paraId="35F9E396" w14:textId="77777777" w:rsidR="008432EB" w:rsidRPr="005D4222" w:rsidRDefault="008432EB" w:rsidP="009C3EB2">
                  <w:pPr>
                    <w:pStyle w:val="TableHead"/>
                    <w:spacing w:before="40" w:after="40"/>
                    <w:rPr>
                      <w:rFonts w:eastAsia="Arial Narrow"/>
                    </w:rPr>
                  </w:pPr>
                  <w:r w:rsidRPr="005D4222">
                    <w:rPr>
                      <w:rFonts w:eastAsia="Arial Narrow"/>
                    </w:rPr>
                    <w:t>Reporting Instructions</w:t>
                  </w:r>
                </w:p>
              </w:tc>
              <w:tc>
                <w:tcPr>
                  <w:tcW w:w="630"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tcMar>
                    <w:left w:w="72" w:type="dxa"/>
                    <w:right w:w="72" w:type="dxa"/>
                  </w:tcMar>
                  <w:vAlign w:val="bottom"/>
                  <w:hideMark/>
                </w:tcPr>
                <w:p w14:paraId="4E9CC0D7" w14:textId="77777777" w:rsidR="008432EB" w:rsidRPr="005D4222" w:rsidRDefault="008432EB" w:rsidP="009C3EB2">
                  <w:pPr>
                    <w:pStyle w:val="TableHead"/>
                    <w:spacing w:before="40" w:after="40"/>
                    <w:rPr>
                      <w:rFonts w:eastAsia="Arial Narrow"/>
                    </w:rPr>
                  </w:pPr>
                  <w:r w:rsidRPr="005D4222">
                    <w:rPr>
                      <w:rFonts w:eastAsia="Arial Narrow"/>
                    </w:rPr>
                    <w:t>A</w:t>
                  </w:r>
                </w:p>
              </w:tc>
            </w:tr>
            <w:tr w:rsidR="008432EB" w:rsidRPr="005D4222" w14:paraId="51742E20" w14:textId="77777777" w:rsidTr="009C3EB2">
              <w:trPr>
                <w:cantSplit/>
              </w:trPr>
              <w:tc>
                <w:tcPr>
                  <w:tcW w:w="2542" w:type="dxa"/>
                  <w:tcBorders>
                    <w:top w:val="single" w:sz="4" w:space="0" w:color="000000" w:themeColor="text1"/>
                    <w:left w:val="single" w:sz="4" w:space="0" w:color="auto"/>
                    <w:bottom w:val="single" w:sz="4" w:space="0" w:color="auto"/>
                    <w:right w:val="single" w:sz="4" w:space="0" w:color="auto"/>
                  </w:tcBorders>
                  <w:tcMar>
                    <w:left w:w="72" w:type="dxa"/>
                    <w:right w:w="72" w:type="dxa"/>
                  </w:tcMar>
                  <w:hideMark/>
                </w:tcPr>
                <w:p w14:paraId="5FF70AEB" w14:textId="77777777" w:rsidR="008432EB" w:rsidRPr="005D4222" w:rsidRDefault="008432EB" w:rsidP="009C3EB2">
                  <w:pPr>
                    <w:pStyle w:val="TableText"/>
                    <w:spacing w:before="40" w:after="40"/>
                    <w:rPr>
                      <w:rFonts w:eastAsia="Arial Narrow" w:cs="Arial"/>
                      <w:szCs w:val="21"/>
                    </w:rPr>
                  </w:pPr>
                  <w:r w:rsidRPr="005D4222">
                    <w:rPr>
                      <w:rFonts w:cs="Arial"/>
                      <w:szCs w:val="21"/>
                    </w:rPr>
                    <w:t>MedicationReview</w:t>
                  </w:r>
                </w:p>
              </w:tc>
              <w:tc>
                <w:tcPr>
                  <w:tcW w:w="2494" w:type="dxa"/>
                  <w:tcBorders>
                    <w:top w:val="single" w:sz="4" w:space="0" w:color="000000" w:themeColor="text1"/>
                    <w:left w:val="single" w:sz="4" w:space="0" w:color="auto"/>
                    <w:bottom w:val="single" w:sz="4" w:space="0" w:color="auto"/>
                    <w:right w:val="single" w:sz="4" w:space="0" w:color="auto"/>
                  </w:tcBorders>
                  <w:tcMar>
                    <w:left w:w="72" w:type="dxa"/>
                    <w:right w:w="72" w:type="dxa"/>
                  </w:tcMar>
                  <w:hideMark/>
                </w:tcPr>
                <w:p w14:paraId="236ABFF3" w14:textId="77777777" w:rsidR="008432EB" w:rsidRPr="005D4222" w:rsidRDefault="008432EB" w:rsidP="009C3EB2">
                  <w:pPr>
                    <w:pStyle w:val="TableText"/>
                    <w:spacing w:before="40" w:after="40"/>
                    <w:rPr>
                      <w:rFonts w:eastAsia="Arial Narrow" w:cs="Arial"/>
                      <w:szCs w:val="21"/>
                    </w:rPr>
                  </w:pPr>
                  <w:r w:rsidRPr="005D4222">
                    <w:rPr>
                      <w:rFonts w:eastAsia="Arial Narrow" w:cs="Arial"/>
                      <w:szCs w:val="21"/>
                    </w:rPr>
                    <w:t>CollectionMethod</w:t>
                  </w:r>
                </w:p>
              </w:tc>
              <w:tc>
                <w:tcPr>
                  <w:tcW w:w="1710" w:type="dxa"/>
                  <w:tcBorders>
                    <w:top w:val="single" w:sz="4" w:space="0" w:color="000000" w:themeColor="text1"/>
                    <w:left w:val="single" w:sz="4" w:space="0" w:color="auto"/>
                    <w:bottom w:val="single" w:sz="4" w:space="0" w:color="auto"/>
                    <w:right w:val="single" w:sz="4" w:space="0" w:color="auto"/>
                  </w:tcBorders>
                  <w:tcMar>
                    <w:left w:w="72" w:type="dxa"/>
                    <w:right w:w="72" w:type="dxa"/>
                  </w:tcMar>
                  <w:hideMark/>
                </w:tcPr>
                <w:p w14:paraId="51529A4E" w14:textId="77777777" w:rsidR="008432EB" w:rsidRPr="005D4222" w:rsidRDefault="008432EB" w:rsidP="009C3EB2">
                  <w:pPr>
                    <w:pStyle w:val="TableText"/>
                    <w:spacing w:before="40" w:after="40"/>
                    <w:rPr>
                      <w:rFonts w:eastAsia="Arial Narrow" w:cs="Arial"/>
                      <w:szCs w:val="21"/>
                    </w:rPr>
                  </w:pPr>
                  <w:r w:rsidRPr="005D4222">
                    <w:rPr>
                      <w:rFonts w:eastAsia="Arial Narrow" w:cs="Arial"/>
                      <w:szCs w:val="21"/>
                    </w:rPr>
                    <w:t>For each Metric</w:t>
                  </w:r>
                </w:p>
              </w:tc>
              <w:tc>
                <w:tcPr>
                  <w:tcW w:w="630" w:type="dxa"/>
                  <w:tcBorders>
                    <w:top w:val="single" w:sz="4" w:space="0" w:color="000000" w:themeColor="text1"/>
                    <w:left w:val="single" w:sz="4" w:space="0" w:color="auto"/>
                    <w:bottom w:val="single" w:sz="4" w:space="0" w:color="auto"/>
                    <w:right w:val="single" w:sz="4" w:space="0" w:color="auto"/>
                  </w:tcBorders>
                  <w:tcMar>
                    <w:left w:w="72" w:type="dxa"/>
                    <w:right w:w="72" w:type="dxa"/>
                  </w:tcMar>
                  <w:hideMark/>
                </w:tcPr>
                <w:p w14:paraId="68F671AF" w14:textId="1FC66B00" w:rsidR="008432EB" w:rsidRPr="005D4222" w:rsidRDefault="00233911" w:rsidP="00233911">
                  <w:pPr>
                    <w:spacing w:before="40" w:after="40" w:line="216" w:lineRule="auto"/>
                    <w:jc w:val="center"/>
                    <w:rPr>
                      <w:rFonts w:ascii="Wingdings" w:eastAsia="Arial Narrow" w:hAnsi="Wingdings" w:cs="Arial"/>
                    </w:rPr>
                  </w:pPr>
                  <w:r w:rsidRPr="005D4222">
                    <w:rPr>
                      <w:rFonts w:ascii="Wingdings" w:eastAsia="Wingdings" w:hAnsi="Wingdings" w:cs="Arial"/>
                    </w:rPr>
                    <w:t></w:t>
                  </w:r>
                </w:p>
              </w:tc>
            </w:tr>
            <w:tr w:rsidR="008432EB" w:rsidRPr="005D4222" w14:paraId="40D1A304" w14:textId="77777777" w:rsidTr="009C3EB2">
              <w:trPr>
                <w:cantSplit/>
              </w:trPr>
              <w:tc>
                <w:tcPr>
                  <w:tcW w:w="2542"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711A5C83" w14:textId="77777777" w:rsidR="008432EB" w:rsidRPr="005D4222" w:rsidRDefault="008432EB" w:rsidP="009C3EB2">
                  <w:pPr>
                    <w:pStyle w:val="TableText"/>
                    <w:spacing w:before="40" w:after="40"/>
                    <w:rPr>
                      <w:rFonts w:eastAsia="Arial Narrow" w:cs="Arial"/>
                      <w:szCs w:val="21"/>
                    </w:rPr>
                  </w:pPr>
                  <w:r w:rsidRPr="005D4222">
                    <w:rPr>
                      <w:rFonts w:cs="Arial"/>
                      <w:szCs w:val="21"/>
                    </w:rPr>
                    <w:t>FunctionalStatusAssessment</w:t>
                  </w:r>
                </w:p>
              </w:tc>
              <w:tc>
                <w:tcPr>
                  <w:tcW w:w="2494"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1B5BF418" w14:textId="77777777" w:rsidR="008432EB" w:rsidRPr="005D4222" w:rsidRDefault="008432EB" w:rsidP="009C3EB2">
                  <w:pPr>
                    <w:pStyle w:val="TableText"/>
                    <w:spacing w:before="40" w:after="40"/>
                    <w:rPr>
                      <w:rFonts w:eastAsia="Arial Narrow" w:cs="Arial"/>
                      <w:szCs w:val="21"/>
                    </w:rPr>
                  </w:pPr>
                  <w:r w:rsidRPr="005D4222">
                    <w:rPr>
                      <w:rFonts w:eastAsia="Arial Narrow" w:cs="Arial"/>
                      <w:szCs w:val="21"/>
                    </w:rPr>
                    <w:t>InitialPopulation</w:t>
                  </w:r>
                  <w:r w:rsidRPr="005D4222">
                    <w:rPr>
                      <w:rFonts w:eastAsia="Arial Narrow" w:cs="Arial"/>
                      <w:b/>
                      <w:bCs/>
                      <w:szCs w:val="21"/>
                    </w:rPr>
                    <w:t>*</w:t>
                  </w:r>
                </w:p>
              </w:tc>
              <w:tc>
                <w:tcPr>
                  <w:tcW w:w="171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31B002C7" w14:textId="77777777" w:rsidR="008432EB" w:rsidRPr="005D4222" w:rsidRDefault="008432EB" w:rsidP="009C3EB2">
                  <w:pPr>
                    <w:pStyle w:val="TableText"/>
                    <w:spacing w:before="40" w:after="40"/>
                    <w:rPr>
                      <w:rFonts w:eastAsia="Arial Narrow" w:cs="Arial"/>
                      <w:szCs w:val="21"/>
                    </w:rPr>
                  </w:pPr>
                  <w:r w:rsidRPr="005D4222">
                    <w:rPr>
                      <w:rFonts w:eastAsia="Arial Narrow" w:cs="Arial"/>
                      <w:szCs w:val="21"/>
                    </w:rPr>
                    <w:t>For each Metric</w:t>
                  </w:r>
                </w:p>
              </w:tc>
              <w:tc>
                <w:tcPr>
                  <w:tcW w:w="63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48675FC3" w14:textId="19E87806" w:rsidR="008432EB" w:rsidRPr="005D4222" w:rsidRDefault="00233911" w:rsidP="00233911">
                  <w:pPr>
                    <w:spacing w:before="40" w:after="40" w:line="216" w:lineRule="auto"/>
                    <w:jc w:val="center"/>
                    <w:rPr>
                      <w:rFonts w:ascii="Wingdings" w:eastAsia="Arial Narrow" w:hAnsi="Wingdings" w:cs="Arial"/>
                    </w:rPr>
                  </w:pPr>
                  <w:r w:rsidRPr="005D4222">
                    <w:rPr>
                      <w:rFonts w:ascii="Wingdings" w:eastAsia="Wingdings" w:hAnsi="Wingdings" w:cs="Arial"/>
                    </w:rPr>
                    <w:t></w:t>
                  </w:r>
                </w:p>
              </w:tc>
            </w:tr>
            <w:tr w:rsidR="008432EB" w:rsidRPr="005D4222" w14:paraId="0AADD471" w14:textId="77777777" w:rsidTr="009C3EB2">
              <w:trPr>
                <w:cantSplit/>
              </w:trPr>
              <w:tc>
                <w:tcPr>
                  <w:tcW w:w="2542" w:type="dxa"/>
                  <w:tcBorders>
                    <w:top w:val="single" w:sz="4" w:space="0" w:color="auto"/>
                    <w:left w:val="nil"/>
                    <w:bottom w:val="nil"/>
                    <w:right w:val="single" w:sz="4" w:space="0" w:color="auto"/>
                  </w:tcBorders>
                  <w:tcMar>
                    <w:left w:w="72" w:type="dxa"/>
                    <w:right w:w="72" w:type="dxa"/>
                  </w:tcMar>
                  <w:hideMark/>
                </w:tcPr>
                <w:p w14:paraId="4567AEDD" w14:textId="77777777" w:rsidR="008432EB" w:rsidRPr="005D4222" w:rsidRDefault="008432EB" w:rsidP="009C3EB2">
                  <w:pPr>
                    <w:pStyle w:val="TableText"/>
                    <w:spacing w:before="40" w:after="40"/>
                    <w:rPr>
                      <w:rFonts w:eastAsia="Arial Narrow" w:cs="Arial"/>
                      <w:szCs w:val="21"/>
                    </w:rPr>
                  </w:pPr>
                </w:p>
              </w:tc>
              <w:tc>
                <w:tcPr>
                  <w:tcW w:w="2494" w:type="dxa"/>
                  <w:tcBorders>
                    <w:top w:val="single" w:sz="4" w:space="0" w:color="auto"/>
                    <w:left w:val="single" w:sz="4" w:space="0" w:color="auto"/>
                    <w:bottom w:val="single" w:sz="4" w:space="0" w:color="auto"/>
                    <w:right w:val="single" w:sz="4" w:space="0" w:color="auto"/>
                  </w:tcBorders>
                  <w:tcMar>
                    <w:left w:w="72" w:type="dxa"/>
                    <w:right w:w="72" w:type="dxa"/>
                  </w:tcMar>
                  <w:vAlign w:val="center"/>
                  <w:hideMark/>
                </w:tcPr>
                <w:p w14:paraId="35AC2908" w14:textId="77777777" w:rsidR="008432EB" w:rsidRPr="005D4222" w:rsidRDefault="008432EB" w:rsidP="009C3EB2">
                  <w:pPr>
                    <w:pStyle w:val="TableText"/>
                    <w:spacing w:before="40" w:after="40"/>
                    <w:rPr>
                      <w:rFonts w:cs="Arial"/>
                      <w:b/>
                      <w:bCs/>
                    </w:rPr>
                  </w:pPr>
                  <w:r w:rsidRPr="005D4222">
                    <w:rPr>
                      <w:rFonts w:eastAsia="Arial Narrow" w:cs="Arial"/>
                    </w:rPr>
                    <w:t>Exclusions</w:t>
                  </w:r>
                  <w:r w:rsidRPr="005D4222">
                    <w:rPr>
                      <w:rFonts w:eastAsia="Arial Narrow" w:cs="Arial"/>
                      <w:b/>
                      <w:bCs/>
                    </w:rPr>
                    <w:t>*</w:t>
                  </w:r>
                </w:p>
              </w:tc>
              <w:tc>
                <w:tcPr>
                  <w:tcW w:w="1710" w:type="dxa"/>
                  <w:tcBorders>
                    <w:top w:val="single" w:sz="4" w:space="0" w:color="auto"/>
                    <w:left w:val="single" w:sz="4" w:space="0" w:color="auto"/>
                    <w:bottom w:val="single" w:sz="4" w:space="0" w:color="auto"/>
                    <w:right w:val="single" w:sz="4" w:space="0" w:color="auto"/>
                  </w:tcBorders>
                  <w:tcMar>
                    <w:left w:w="72" w:type="dxa"/>
                    <w:right w:w="72" w:type="dxa"/>
                  </w:tcMar>
                  <w:vAlign w:val="center"/>
                  <w:hideMark/>
                </w:tcPr>
                <w:p w14:paraId="28AEDC18" w14:textId="77777777" w:rsidR="008432EB" w:rsidRPr="005D4222" w:rsidRDefault="008432EB" w:rsidP="009C3EB2">
                  <w:pPr>
                    <w:pStyle w:val="TableText"/>
                    <w:spacing w:before="40" w:after="40"/>
                    <w:rPr>
                      <w:rFonts w:eastAsia="Arial Narrow" w:cs="Arial"/>
                      <w:szCs w:val="21"/>
                    </w:rPr>
                  </w:pPr>
                  <w:r w:rsidRPr="005D4222">
                    <w:rPr>
                      <w:rFonts w:eastAsia="Arial Narrow" w:cs="Arial"/>
                      <w:szCs w:val="21"/>
                    </w:rPr>
                    <w:t>For each Metric</w:t>
                  </w:r>
                </w:p>
              </w:tc>
              <w:tc>
                <w:tcPr>
                  <w:tcW w:w="63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573E436F" w14:textId="7696ECEC" w:rsidR="008432EB" w:rsidRPr="005D4222" w:rsidRDefault="00233911" w:rsidP="00233911">
                  <w:pPr>
                    <w:spacing w:before="40" w:after="40" w:line="216" w:lineRule="auto"/>
                    <w:jc w:val="center"/>
                    <w:rPr>
                      <w:rFonts w:ascii="Wingdings" w:eastAsia="Arial Narrow" w:hAnsi="Wingdings" w:cs="Arial"/>
                    </w:rPr>
                  </w:pPr>
                  <w:r w:rsidRPr="005D4222">
                    <w:rPr>
                      <w:rFonts w:ascii="Wingdings" w:eastAsia="Wingdings" w:hAnsi="Wingdings" w:cs="Arial"/>
                    </w:rPr>
                    <w:t></w:t>
                  </w:r>
                </w:p>
              </w:tc>
            </w:tr>
            <w:tr w:rsidR="008432EB" w:rsidRPr="005D4222" w14:paraId="66B1BC4B" w14:textId="77777777" w:rsidTr="009C3EB2">
              <w:trPr>
                <w:cantSplit/>
              </w:trPr>
              <w:tc>
                <w:tcPr>
                  <w:tcW w:w="2542" w:type="dxa"/>
                  <w:tcBorders>
                    <w:top w:val="nil"/>
                    <w:left w:val="nil"/>
                    <w:bottom w:val="nil"/>
                    <w:right w:val="single" w:sz="4" w:space="0" w:color="auto"/>
                  </w:tcBorders>
                  <w:tcMar>
                    <w:left w:w="72" w:type="dxa"/>
                    <w:right w:w="72" w:type="dxa"/>
                  </w:tcMar>
                </w:tcPr>
                <w:p w14:paraId="49BBA1BB" w14:textId="77777777" w:rsidR="008432EB" w:rsidRPr="005D4222" w:rsidRDefault="008432EB" w:rsidP="009C3EB2">
                  <w:pPr>
                    <w:pStyle w:val="TableText"/>
                    <w:spacing w:before="40" w:after="40"/>
                    <w:rPr>
                      <w:rFonts w:eastAsia="Arial Narrow" w:cs="Arial"/>
                      <w:szCs w:val="21"/>
                    </w:rPr>
                  </w:pPr>
                </w:p>
              </w:tc>
              <w:tc>
                <w:tcPr>
                  <w:tcW w:w="2494" w:type="dxa"/>
                  <w:tcBorders>
                    <w:top w:val="single" w:sz="4" w:space="0" w:color="auto"/>
                    <w:left w:val="single" w:sz="4" w:space="0" w:color="auto"/>
                    <w:bottom w:val="single" w:sz="4" w:space="0" w:color="auto"/>
                    <w:right w:val="single" w:sz="4" w:space="0" w:color="auto"/>
                  </w:tcBorders>
                  <w:tcMar>
                    <w:left w:w="72" w:type="dxa"/>
                    <w:right w:w="72" w:type="dxa"/>
                  </w:tcMar>
                  <w:vAlign w:val="center"/>
                </w:tcPr>
                <w:p w14:paraId="3E3862FE" w14:textId="77777777" w:rsidR="008432EB" w:rsidRPr="005D4222" w:rsidRDefault="008432EB" w:rsidP="009C3EB2">
                  <w:pPr>
                    <w:pStyle w:val="TableText"/>
                    <w:spacing w:before="40" w:after="40"/>
                    <w:rPr>
                      <w:rFonts w:eastAsia="Arial Narrow" w:cs="Arial"/>
                    </w:rPr>
                  </w:pPr>
                  <w:r w:rsidRPr="005D4222">
                    <w:rPr>
                      <w:rFonts w:eastAsia="Arial Narrow" w:cs="Arial"/>
                    </w:rPr>
                    <w:t>Denominator</w:t>
                  </w:r>
                  <w:r w:rsidRPr="005D4222">
                    <w:rPr>
                      <w:rFonts w:eastAsia="Arial Narrow" w:cs="Arial"/>
                      <w:b/>
                      <w:bCs/>
                    </w:rPr>
                    <w:t>*</w:t>
                  </w:r>
                </w:p>
              </w:tc>
              <w:tc>
                <w:tcPr>
                  <w:tcW w:w="1710" w:type="dxa"/>
                  <w:tcBorders>
                    <w:top w:val="single" w:sz="4" w:space="0" w:color="auto"/>
                    <w:left w:val="single" w:sz="4" w:space="0" w:color="auto"/>
                    <w:bottom w:val="single" w:sz="4" w:space="0" w:color="auto"/>
                    <w:right w:val="single" w:sz="4" w:space="0" w:color="auto"/>
                  </w:tcBorders>
                  <w:tcMar>
                    <w:left w:w="72" w:type="dxa"/>
                    <w:right w:w="72" w:type="dxa"/>
                  </w:tcMar>
                  <w:vAlign w:val="center"/>
                </w:tcPr>
                <w:p w14:paraId="143A7EDF" w14:textId="77777777" w:rsidR="008432EB" w:rsidRPr="005D4222" w:rsidRDefault="008432EB" w:rsidP="009C3EB2">
                  <w:pPr>
                    <w:pStyle w:val="TableText"/>
                    <w:spacing w:before="40" w:after="40"/>
                    <w:rPr>
                      <w:rFonts w:eastAsia="Arial Narrow" w:cs="Arial"/>
                      <w:szCs w:val="21"/>
                    </w:rPr>
                  </w:pPr>
                  <w:r w:rsidRPr="005D4222">
                    <w:rPr>
                      <w:rFonts w:eastAsia="Arial Narrow" w:cs="Arial"/>
                      <w:szCs w:val="21"/>
                    </w:rPr>
                    <w:t>Repeat each Metric</w:t>
                  </w:r>
                </w:p>
              </w:tc>
              <w:tc>
                <w:tcPr>
                  <w:tcW w:w="630" w:type="dxa"/>
                  <w:tcBorders>
                    <w:top w:val="single" w:sz="4" w:space="0" w:color="auto"/>
                    <w:left w:val="single" w:sz="4" w:space="0" w:color="auto"/>
                    <w:bottom w:val="single" w:sz="4" w:space="0" w:color="auto"/>
                    <w:right w:val="single" w:sz="4" w:space="0" w:color="auto"/>
                  </w:tcBorders>
                  <w:tcMar>
                    <w:left w:w="72" w:type="dxa"/>
                    <w:right w:w="72" w:type="dxa"/>
                  </w:tcMar>
                </w:tcPr>
                <w:p w14:paraId="2321E743" w14:textId="42F90437" w:rsidR="008432EB" w:rsidRPr="005D4222" w:rsidRDefault="00233911" w:rsidP="00233911">
                  <w:pPr>
                    <w:spacing w:before="40" w:after="40" w:line="216" w:lineRule="auto"/>
                    <w:jc w:val="center"/>
                    <w:rPr>
                      <w:rFonts w:ascii="Wingdings" w:eastAsia="Wingdings" w:hAnsi="Wingdings" w:cs="Arial"/>
                    </w:rPr>
                  </w:pPr>
                  <w:r w:rsidRPr="005D4222">
                    <w:rPr>
                      <w:rFonts w:ascii="Wingdings" w:eastAsia="Wingdings" w:hAnsi="Wingdings" w:cs="Arial"/>
                    </w:rPr>
                    <w:t></w:t>
                  </w:r>
                </w:p>
              </w:tc>
            </w:tr>
            <w:tr w:rsidR="008432EB" w:rsidRPr="005D4222" w14:paraId="3EB8AE3E" w14:textId="77777777" w:rsidTr="009C3EB2">
              <w:trPr>
                <w:cantSplit/>
              </w:trPr>
              <w:tc>
                <w:tcPr>
                  <w:tcW w:w="2542" w:type="dxa"/>
                  <w:tcBorders>
                    <w:top w:val="nil"/>
                    <w:left w:val="nil"/>
                    <w:bottom w:val="nil"/>
                    <w:right w:val="single" w:sz="4" w:space="0" w:color="auto"/>
                  </w:tcBorders>
                  <w:tcMar>
                    <w:left w:w="72" w:type="dxa"/>
                    <w:right w:w="72" w:type="dxa"/>
                  </w:tcMar>
                </w:tcPr>
                <w:p w14:paraId="4B9189F9" w14:textId="77777777" w:rsidR="008432EB" w:rsidRPr="005D4222" w:rsidRDefault="008432EB" w:rsidP="009C3EB2">
                  <w:pPr>
                    <w:pStyle w:val="TableText"/>
                    <w:spacing w:before="40" w:after="40"/>
                    <w:rPr>
                      <w:rFonts w:eastAsia="Arial Narrow" w:cs="Arial"/>
                      <w:szCs w:val="21"/>
                    </w:rPr>
                  </w:pPr>
                </w:p>
              </w:tc>
              <w:tc>
                <w:tcPr>
                  <w:tcW w:w="2494"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2966F18C" w14:textId="77777777" w:rsidR="008432EB" w:rsidRPr="005D4222" w:rsidRDefault="008432EB" w:rsidP="009C3EB2">
                  <w:pPr>
                    <w:pStyle w:val="TableText"/>
                    <w:spacing w:before="40" w:after="40"/>
                    <w:rPr>
                      <w:rFonts w:eastAsia="Arial Narrow" w:cs="Arial"/>
                      <w:szCs w:val="21"/>
                    </w:rPr>
                  </w:pPr>
                  <w:r w:rsidRPr="005D4222">
                    <w:rPr>
                      <w:rFonts w:cs="Arial"/>
                      <w:szCs w:val="21"/>
                    </w:rPr>
                    <w:t>NumeratorByAdminDenom</w:t>
                  </w:r>
                </w:p>
              </w:tc>
              <w:tc>
                <w:tcPr>
                  <w:tcW w:w="171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6D4D4466" w14:textId="77777777" w:rsidR="008432EB" w:rsidRPr="005D4222" w:rsidRDefault="008432EB" w:rsidP="009C3EB2">
                  <w:pPr>
                    <w:pStyle w:val="TableText"/>
                    <w:spacing w:before="40" w:after="40"/>
                    <w:rPr>
                      <w:rFonts w:eastAsia="Arial Narrow" w:cs="Arial"/>
                      <w:szCs w:val="21"/>
                    </w:rPr>
                  </w:pPr>
                  <w:r w:rsidRPr="005D4222">
                    <w:rPr>
                      <w:rFonts w:eastAsia="Arial Narrow" w:cs="Arial"/>
                      <w:szCs w:val="21"/>
                    </w:rPr>
                    <w:t>For each Metric</w:t>
                  </w:r>
                </w:p>
              </w:tc>
              <w:tc>
                <w:tcPr>
                  <w:tcW w:w="630" w:type="dxa"/>
                  <w:tcBorders>
                    <w:top w:val="single" w:sz="4" w:space="0" w:color="auto"/>
                    <w:left w:val="single" w:sz="4" w:space="0" w:color="auto"/>
                    <w:bottom w:val="single" w:sz="4" w:space="0" w:color="auto"/>
                    <w:right w:val="single" w:sz="4" w:space="0" w:color="auto"/>
                  </w:tcBorders>
                  <w:tcMar>
                    <w:left w:w="72" w:type="dxa"/>
                    <w:right w:w="72" w:type="dxa"/>
                  </w:tcMar>
                </w:tcPr>
                <w:p w14:paraId="4845F444" w14:textId="77777777" w:rsidR="008432EB" w:rsidRPr="005D4222" w:rsidRDefault="008432EB" w:rsidP="009C3EB2">
                  <w:pPr>
                    <w:spacing w:before="40" w:after="40" w:line="216" w:lineRule="auto"/>
                    <w:jc w:val="center"/>
                    <w:rPr>
                      <w:rFonts w:ascii="Wingdings" w:eastAsia="Arial Narrow" w:hAnsi="Wingdings" w:cs="Arial"/>
                    </w:rPr>
                  </w:pPr>
                </w:p>
              </w:tc>
            </w:tr>
            <w:tr w:rsidR="008432EB" w:rsidRPr="005D4222" w14:paraId="5A649410" w14:textId="77777777" w:rsidTr="009C3EB2">
              <w:trPr>
                <w:cantSplit/>
              </w:trPr>
              <w:tc>
                <w:tcPr>
                  <w:tcW w:w="2542" w:type="dxa"/>
                  <w:tcBorders>
                    <w:top w:val="nil"/>
                    <w:left w:val="nil"/>
                    <w:bottom w:val="nil"/>
                    <w:right w:val="single" w:sz="4" w:space="0" w:color="auto"/>
                  </w:tcBorders>
                  <w:tcMar>
                    <w:left w:w="72" w:type="dxa"/>
                    <w:right w:w="72" w:type="dxa"/>
                  </w:tcMar>
                </w:tcPr>
                <w:p w14:paraId="4E015CAF" w14:textId="77777777" w:rsidR="008432EB" w:rsidRPr="005D4222" w:rsidRDefault="008432EB" w:rsidP="009C3EB2">
                  <w:pPr>
                    <w:pStyle w:val="TableText"/>
                    <w:spacing w:before="40" w:after="40"/>
                    <w:rPr>
                      <w:rFonts w:eastAsia="Arial Narrow" w:cs="Arial"/>
                      <w:szCs w:val="21"/>
                    </w:rPr>
                  </w:pPr>
                </w:p>
              </w:tc>
              <w:tc>
                <w:tcPr>
                  <w:tcW w:w="249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254D8F73" w14:textId="77777777" w:rsidR="008432EB" w:rsidRPr="005D4222" w:rsidRDefault="008432EB" w:rsidP="009C3EB2">
                  <w:pPr>
                    <w:pStyle w:val="TableText"/>
                    <w:spacing w:before="40" w:after="40"/>
                    <w:rPr>
                      <w:rFonts w:cs="Arial"/>
                      <w:szCs w:val="21"/>
                    </w:rPr>
                  </w:pPr>
                  <w:r w:rsidRPr="005D4222">
                    <w:rPr>
                      <w:rFonts w:cs="Arial"/>
                      <w:szCs w:val="21"/>
                    </w:rPr>
                    <w:t>CYAR</w:t>
                  </w:r>
                </w:p>
              </w:tc>
              <w:tc>
                <w:tcPr>
                  <w:tcW w:w="17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2B84FB81" w14:textId="77777777" w:rsidR="008432EB" w:rsidRPr="005D4222" w:rsidRDefault="008432EB" w:rsidP="009C3EB2">
                  <w:pPr>
                    <w:pStyle w:val="TableText"/>
                    <w:spacing w:before="40" w:after="40"/>
                    <w:rPr>
                      <w:rFonts w:eastAsia="Arial Narrow" w:cs="Arial"/>
                      <w:szCs w:val="21"/>
                    </w:rPr>
                  </w:pPr>
                  <w:r w:rsidRPr="005D4222">
                    <w:rPr>
                      <w:rFonts w:eastAsia="Wingdings" w:cs="Arial"/>
                      <w:szCs w:val="21"/>
                    </w:rPr>
                    <w:t>(Percent)</w:t>
                  </w:r>
                </w:p>
              </w:tc>
              <w:tc>
                <w:tcPr>
                  <w:tcW w:w="6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27B15DB4" w14:textId="77777777" w:rsidR="008432EB" w:rsidRPr="005D4222" w:rsidRDefault="008432EB" w:rsidP="009C3EB2">
                  <w:pPr>
                    <w:spacing w:before="40" w:after="40" w:line="216" w:lineRule="auto"/>
                    <w:jc w:val="center"/>
                    <w:rPr>
                      <w:rFonts w:ascii="Wingdings" w:eastAsia="Arial Narrow" w:hAnsi="Wingdings" w:cs="Arial"/>
                    </w:rPr>
                  </w:pPr>
                </w:p>
              </w:tc>
            </w:tr>
            <w:tr w:rsidR="008432EB" w:rsidRPr="005D4222" w14:paraId="46CB6ED3" w14:textId="77777777" w:rsidTr="009C3EB2">
              <w:trPr>
                <w:cantSplit/>
              </w:trPr>
              <w:tc>
                <w:tcPr>
                  <w:tcW w:w="2542" w:type="dxa"/>
                  <w:tcBorders>
                    <w:top w:val="nil"/>
                    <w:left w:val="nil"/>
                    <w:bottom w:val="nil"/>
                    <w:right w:val="nil"/>
                  </w:tcBorders>
                  <w:tcMar>
                    <w:left w:w="72" w:type="dxa"/>
                    <w:right w:w="72" w:type="dxa"/>
                  </w:tcMar>
                </w:tcPr>
                <w:p w14:paraId="5F910333" w14:textId="77777777" w:rsidR="008432EB" w:rsidRPr="005D4222" w:rsidRDefault="008432EB" w:rsidP="009C3EB2">
                  <w:pPr>
                    <w:pStyle w:val="TableText"/>
                    <w:spacing w:before="40" w:after="40"/>
                    <w:rPr>
                      <w:rFonts w:eastAsia="Arial Narrow" w:cs="Arial"/>
                      <w:szCs w:val="21"/>
                    </w:rPr>
                  </w:pPr>
                </w:p>
              </w:tc>
              <w:tc>
                <w:tcPr>
                  <w:tcW w:w="2494"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5934B01D" w14:textId="77777777" w:rsidR="008432EB" w:rsidRPr="005D4222" w:rsidRDefault="008432EB" w:rsidP="009C3EB2">
                  <w:pPr>
                    <w:pStyle w:val="TableText"/>
                    <w:spacing w:before="40" w:after="40"/>
                    <w:rPr>
                      <w:rFonts w:eastAsia="Arial Narrow" w:cs="Arial"/>
                      <w:szCs w:val="21"/>
                    </w:rPr>
                  </w:pPr>
                  <w:r w:rsidRPr="005D4222">
                    <w:rPr>
                      <w:rFonts w:cs="Arial"/>
                      <w:szCs w:val="21"/>
                    </w:rPr>
                    <w:t>MinReqSampleSize</w:t>
                  </w:r>
                </w:p>
              </w:tc>
              <w:tc>
                <w:tcPr>
                  <w:tcW w:w="171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55553AA6" w14:textId="77777777" w:rsidR="008432EB" w:rsidRPr="005D4222" w:rsidRDefault="008432EB" w:rsidP="009C3EB2">
                  <w:pPr>
                    <w:pStyle w:val="TableText"/>
                    <w:spacing w:before="40" w:after="40"/>
                    <w:rPr>
                      <w:rFonts w:eastAsia="Arial Narrow" w:cs="Arial"/>
                      <w:szCs w:val="21"/>
                    </w:rPr>
                  </w:pPr>
                  <w:r w:rsidRPr="005D4222">
                    <w:rPr>
                      <w:rFonts w:eastAsia="Arial Narrow" w:cs="Arial"/>
                      <w:szCs w:val="21"/>
                    </w:rPr>
                    <w:t>Repeat per Metric</w:t>
                  </w:r>
                </w:p>
              </w:tc>
              <w:tc>
                <w:tcPr>
                  <w:tcW w:w="630" w:type="dxa"/>
                  <w:tcBorders>
                    <w:top w:val="single" w:sz="4" w:space="0" w:color="auto"/>
                    <w:left w:val="single" w:sz="4" w:space="0" w:color="auto"/>
                    <w:bottom w:val="single" w:sz="4" w:space="0" w:color="auto"/>
                    <w:right w:val="single" w:sz="4" w:space="0" w:color="auto"/>
                  </w:tcBorders>
                  <w:tcMar>
                    <w:left w:w="72" w:type="dxa"/>
                    <w:right w:w="72" w:type="dxa"/>
                  </w:tcMar>
                </w:tcPr>
                <w:p w14:paraId="41B7E4A5" w14:textId="77777777" w:rsidR="008432EB" w:rsidRPr="005D4222" w:rsidRDefault="008432EB" w:rsidP="009C3EB2">
                  <w:pPr>
                    <w:spacing w:before="40" w:after="40" w:line="216" w:lineRule="auto"/>
                    <w:jc w:val="center"/>
                    <w:rPr>
                      <w:rFonts w:ascii="Wingdings" w:eastAsia="Arial Narrow" w:hAnsi="Wingdings" w:cs="Arial"/>
                    </w:rPr>
                  </w:pPr>
                </w:p>
              </w:tc>
            </w:tr>
            <w:tr w:rsidR="008432EB" w:rsidRPr="005D4222" w14:paraId="2F643A1C" w14:textId="77777777" w:rsidTr="009C3EB2">
              <w:trPr>
                <w:cantSplit/>
              </w:trPr>
              <w:tc>
                <w:tcPr>
                  <w:tcW w:w="2542" w:type="dxa"/>
                  <w:tcBorders>
                    <w:top w:val="nil"/>
                    <w:left w:val="nil"/>
                    <w:bottom w:val="nil"/>
                    <w:right w:val="nil"/>
                  </w:tcBorders>
                  <w:tcMar>
                    <w:left w:w="72" w:type="dxa"/>
                    <w:right w:w="72" w:type="dxa"/>
                  </w:tcMar>
                </w:tcPr>
                <w:p w14:paraId="0567692D" w14:textId="77777777" w:rsidR="008432EB" w:rsidRPr="005D4222" w:rsidRDefault="008432EB" w:rsidP="009C3EB2">
                  <w:pPr>
                    <w:pStyle w:val="TableText"/>
                    <w:spacing w:before="40" w:after="40"/>
                    <w:rPr>
                      <w:rFonts w:eastAsia="Arial Narrow" w:cs="Arial"/>
                      <w:szCs w:val="21"/>
                    </w:rPr>
                  </w:pPr>
                </w:p>
              </w:tc>
              <w:tc>
                <w:tcPr>
                  <w:tcW w:w="2494"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6B3A92A0" w14:textId="77777777" w:rsidR="008432EB" w:rsidRPr="005D4222" w:rsidRDefault="008432EB" w:rsidP="009C3EB2">
                  <w:pPr>
                    <w:pStyle w:val="TableText"/>
                    <w:spacing w:before="40" w:after="40"/>
                    <w:rPr>
                      <w:rFonts w:cs="Arial"/>
                      <w:szCs w:val="21"/>
                    </w:rPr>
                  </w:pPr>
                  <w:r w:rsidRPr="005D4222">
                    <w:rPr>
                      <w:rFonts w:eastAsia="Arial Narrow" w:cs="Arial"/>
                      <w:szCs w:val="21"/>
                    </w:rPr>
                    <w:t>OversampleRate</w:t>
                  </w:r>
                </w:p>
              </w:tc>
              <w:tc>
                <w:tcPr>
                  <w:tcW w:w="171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4117F591" w14:textId="77777777" w:rsidR="008432EB" w:rsidRPr="005D4222" w:rsidRDefault="008432EB" w:rsidP="009C3EB2">
                  <w:pPr>
                    <w:pStyle w:val="TableText"/>
                    <w:spacing w:before="40" w:after="40"/>
                    <w:rPr>
                      <w:rFonts w:eastAsia="Arial Narrow" w:cs="Arial"/>
                      <w:szCs w:val="21"/>
                    </w:rPr>
                  </w:pPr>
                  <w:r w:rsidRPr="005D4222">
                    <w:rPr>
                      <w:rFonts w:eastAsia="Arial Narrow" w:cs="Arial"/>
                      <w:szCs w:val="21"/>
                    </w:rPr>
                    <w:t>Repeat per Metric</w:t>
                  </w:r>
                </w:p>
              </w:tc>
              <w:tc>
                <w:tcPr>
                  <w:tcW w:w="630" w:type="dxa"/>
                  <w:tcBorders>
                    <w:top w:val="single" w:sz="4" w:space="0" w:color="auto"/>
                    <w:left w:val="single" w:sz="4" w:space="0" w:color="auto"/>
                    <w:bottom w:val="single" w:sz="4" w:space="0" w:color="auto"/>
                    <w:right w:val="single" w:sz="4" w:space="0" w:color="auto"/>
                  </w:tcBorders>
                  <w:tcMar>
                    <w:left w:w="72" w:type="dxa"/>
                    <w:right w:w="72" w:type="dxa"/>
                  </w:tcMar>
                </w:tcPr>
                <w:p w14:paraId="4F3495D0" w14:textId="77777777" w:rsidR="008432EB" w:rsidRPr="005D4222" w:rsidRDefault="008432EB" w:rsidP="009C3EB2">
                  <w:pPr>
                    <w:spacing w:before="40" w:after="40" w:line="216" w:lineRule="auto"/>
                    <w:jc w:val="center"/>
                    <w:rPr>
                      <w:rFonts w:ascii="Wingdings" w:eastAsia="Arial Narrow" w:hAnsi="Wingdings" w:cs="Arial"/>
                    </w:rPr>
                  </w:pPr>
                </w:p>
              </w:tc>
            </w:tr>
            <w:tr w:rsidR="008432EB" w:rsidRPr="005D4222" w14:paraId="6B5AC29F" w14:textId="77777777" w:rsidTr="009C3EB2">
              <w:trPr>
                <w:cantSplit/>
              </w:trPr>
              <w:tc>
                <w:tcPr>
                  <w:tcW w:w="2542" w:type="dxa"/>
                  <w:tcBorders>
                    <w:top w:val="nil"/>
                    <w:left w:val="nil"/>
                    <w:bottom w:val="nil"/>
                    <w:right w:val="nil"/>
                  </w:tcBorders>
                  <w:tcMar>
                    <w:left w:w="72" w:type="dxa"/>
                    <w:right w:w="72" w:type="dxa"/>
                  </w:tcMar>
                </w:tcPr>
                <w:p w14:paraId="33160D14" w14:textId="77777777" w:rsidR="008432EB" w:rsidRPr="005D4222" w:rsidRDefault="008432EB" w:rsidP="009C3EB2">
                  <w:pPr>
                    <w:pStyle w:val="TableText"/>
                    <w:spacing w:before="40" w:after="40"/>
                    <w:rPr>
                      <w:rFonts w:eastAsia="Arial Narrow" w:cs="Arial"/>
                      <w:szCs w:val="21"/>
                    </w:rPr>
                  </w:pPr>
                </w:p>
              </w:tc>
              <w:tc>
                <w:tcPr>
                  <w:tcW w:w="249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700087FD" w14:textId="77777777" w:rsidR="008432EB" w:rsidRPr="005D4222" w:rsidRDefault="008432EB" w:rsidP="009C3EB2">
                  <w:pPr>
                    <w:pStyle w:val="TableText"/>
                    <w:spacing w:before="40" w:after="40"/>
                    <w:rPr>
                      <w:rFonts w:cs="Arial"/>
                      <w:szCs w:val="21"/>
                    </w:rPr>
                  </w:pPr>
                  <w:r w:rsidRPr="005D4222">
                    <w:rPr>
                      <w:rFonts w:cs="Arial"/>
                      <w:szCs w:val="21"/>
                    </w:rPr>
                    <w:t>OversampleRecordsNumber</w:t>
                  </w:r>
                </w:p>
              </w:tc>
              <w:tc>
                <w:tcPr>
                  <w:tcW w:w="17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vAlign w:val="center"/>
                  <w:hideMark/>
                </w:tcPr>
                <w:p w14:paraId="5F6DD8F0" w14:textId="77777777" w:rsidR="008432EB" w:rsidRPr="005D4222" w:rsidRDefault="008432EB" w:rsidP="009C3EB2">
                  <w:pPr>
                    <w:pStyle w:val="TableText"/>
                    <w:spacing w:before="40" w:after="40"/>
                    <w:rPr>
                      <w:rFonts w:eastAsia="Arial Narrow" w:cs="Arial"/>
                      <w:szCs w:val="21"/>
                    </w:rPr>
                  </w:pPr>
                  <w:r w:rsidRPr="005D4222">
                    <w:rPr>
                      <w:rFonts w:eastAsia="Arial Narrow" w:cs="Arial"/>
                      <w:szCs w:val="21"/>
                    </w:rPr>
                    <w:t>(Count)</w:t>
                  </w:r>
                </w:p>
              </w:tc>
              <w:tc>
                <w:tcPr>
                  <w:tcW w:w="6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14285BE9" w14:textId="77777777" w:rsidR="008432EB" w:rsidRPr="005D4222" w:rsidRDefault="008432EB" w:rsidP="009C3EB2">
                  <w:pPr>
                    <w:spacing w:before="40" w:after="40" w:line="216" w:lineRule="auto"/>
                    <w:jc w:val="center"/>
                    <w:rPr>
                      <w:rFonts w:ascii="Wingdings" w:eastAsia="Arial Narrow" w:hAnsi="Wingdings" w:cs="Arial"/>
                    </w:rPr>
                  </w:pPr>
                </w:p>
              </w:tc>
            </w:tr>
            <w:tr w:rsidR="008432EB" w:rsidRPr="005D4222" w14:paraId="0F74510F" w14:textId="77777777" w:rsidTr="009C3EB2">
              <w:trPr>
                <w:cantSplit/>
              </w:trPr>
              <w:tc>
                <w:tcPr>
                  <w:tcW w:w="2542" w:type="dxa"/>
                  <w:tcBorders>
                    <w:top w:val="nil"/>
                    <w:left w:val="nil"/>
                    <w:bottom w:val="nil"/>
                    <w:right w:val="nil"/>
                  </w:tcBorders>
                  <w:tcMar>
                    <w:left w:w="72" w:type="dxa"/>
                    <w:right w:w="72" w:type="dxa"/>
                  </w:tcMar>
                </w:tcPr>
                <w:p w14:paraId="13E94AD2" w14:textId="77777777" w:rsidR="008432EB" w:rsidRPr="005D4222" w:rsidRDefault="008432EB" w:rsidP="009C3EB2">
                  <w:pPr>
                    <w:pStyle w:val="TableText"/>
                    <w:spacing w:before="40" w:after="40"/>
                    <w:rPr>
                      <w:rFonts w:eastAsia="Arial Narrow" w:cs="Arial"/>
                      <w:szCs w:val="21"/>
                    </w:rPr>
                  </w:pPr>
                </w:p>
              </w:tc>
              <w:tc>
                <w:tcPr>
                  <w:tcW w:w="2494"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77E813E8" w14:textId="77777777" w:rsidR="008432EB" w:rsidRPr="005D4222" w:rsidRDefault="008432EB" w:rsidP="009C3EB2">
                  <w:pPr>
                    <w:pStyle w:val="TableText"/>
                    <w:spacing w:before="40" w:after="40"/>
                    <w:rPr>
                      <w:rFonts w:eastAsia="Arial Narrow" w:cs="Arial"/>
                      <w:szCs w:val="21"/>
                    </w:rPr>
                  </w:pPr>
                  <w:r w:rsidRPr="005D4222">
                    <w:rPr>
                      <w:rFonts w:eastAsia="Arial Narrow" w:cs="Arial"/>
                      <w:szCs w:val="21"/>
                    </w:rPr>
                    <w:t>ExclusionValidDataErrors</w:t>
                  </w:r>
                </w:p>
              </w:tc>
              <w:tc>
                <w:tcPr>
                  <w:tcW w:w="171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1D509F46" w14:textId="77777777" w:rsidR="008432EB" w:rsidRPr="005D4222" w:rsidRDefault="008432EB" w:rsidP="009C3EB2">
                  <w:pPr>
                    <w:pStyle w:val="TableText"/>
                    <w:spacing w:before="40" w:after="40"/>
                    <w:rPr>
                      <w:rFonts w:eastAsia="Arial Narrow" w:cs="Arial"/>
                      <w:szCs w:val="21"/>
                    </w:rPr>
                  </w:pPr>
                  <w:r w:rsidRPr="005D4222">
                    <w:rPr>
                      <w:rFonts w:eastAsia="Arial Narrow" w:cs="Arial"/>
                      <w:szCs w:val="21"/>
                    </w:rPr>
                    <w:t>Repeat per Metric</w:t>
                  </w:r>
                </w:p>
              </w:tc>
              <w:tc>
                <w:tcPr>
                  <w:tcW w:w="630" w:type="dxa"/>
                  <w:tcBorders>
                    <w:top w:val="single" w:sz="4" w:space="0" w:color="auto"/>
                    <w:left w:val="single" w:sz="4" w:space="0" w:color="auto"/>
                    <w:bottom w:val="single" w:sz="4" w:space="0" w:color="auto"/>
                    <w:right w:val="single" w:sz="4" w:space="0" w:color="auto"/>
                  </w:tcBorders>
                  <w:tcMar>
                    <w:left w:w="72" w:type="dxa"/>
                    <w:right w:w="72" w:type="dxa"/>
                  </w:tcMar>
                </w:tcPr>
                <w:p w14:paraId="38FAFACD" w14:textId="77777777" w:rsidR="008432EB" w:rsidRPr="005D4222" w:rsidRDefault="008432EB" w:rsidP="009C3EB2">
                  <w:pPr>
                    <w:spacing w:before="40" w:after="40" w:line="216" w:lineRule="auto"/>
                    <w:jc w:val="center"/>
                    <w:rPr>
                      <w:rFonts w:ascii="Wingdings" w:eastAsia="Arial Narrow" w:hAnsi="Wingdings" w:cs="Arial"/>
                    </w:rPr>
                  </w:pPr>
                </w:p>
              </w:tc>
            </w:tr>
            <w:tr w:rsidR="008432EB" w:rsidRPr="005D4222" w14:paraId="757E681C" w14:textId="77777777" w:rsidTr="009C3EB2">
              <w:trPr>
                <w:cantSplit/>
              </w:trPr>
              <w:tc>
                <w:tcPr>
                  <w:tcW w:w="2542" w:type="dxa"/>
                  <w:tcBorders>
                    <w:top w:val="nil"/>
                    <w:left w:val="nil"/>
                    <w:bottom w:val="nil"/>
                    <w:right w:val="nil"/>
                  </w:tcBorders>
                  <w:tcMar>
                    <w:left w:w="72" w:type="dxa"/>
                    <w:right w:w="72" w:type="dxa"/>
                  </w:tcMar>
                </w:tcPr>
                <w:p w14:paraId="7C5663F8" w14:textId="77777777" w:rsidR="008432EB" w:rsidRPr="005D4222" w:rsidRDefault="008432EB" w:rsidP="009C3EB2">
                  <w:pPr>
                    <w:pStyle w:val="TableText"/>
                    <w:spacing w:before="40" w:after="40"/>
                    <w:rPr>
                      <w:rFonts w:eastAsia="Arial Narrow" w:cs="Arial"/>
                      <w:szCs w:val="21"/>
                    </w:rPr>
                  </w:pPr>
                </w:p>
              </w:tc>
              <w:tc>
                <w:tcPr>
                  <w:tcW w:w="2494"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194611CA" w14:textId="77777777" w:rsidR="008432EB" w:rsidRPr="005D4222" w:rsidRDefault="008432EB" w:rsidP="009C3EB2">
                  <w:pPr>
                    <w:pStyle w:val="TableText"/>
                    <w:spacing w:before="40" w:after="40"/>
                    <w:rPr>
                      <w:rFonts w:eastAsia="Arial Narrow" w:cs="Arial"/>
                      <w:szCs w:val="21"/>
                    </w:rPr>
                  </w:pPr>
                  <w:r w:rsidRPr="005D4222">
                    <w:rPr>
                      <w:rFonts w:cs="Arial"/>
                      <w:szCs w:val="21"/>
                    </w:rPr>
                    <w:t>ExclusionEmployeeOrDep</w:t>
                  </w:r>
                </w:p>
              </w:tc>
              <w:tc>
                <w:tcPr>
                  <w:tcW w:w="171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30252D0E" w14:textId="77777777" w:rsidR="008432EB" w:rsidRPr="005D4222" w:rsidRDefault="008432EB" w:rsidP="009C3EB2">
                  <w:pPr>
                    <w:pStyle w:val="TableText"/>
                    <w:spacing w:before="40" w:after="40"/>
                    <w:rPr>
                      <w:rFonts w:eastAsia="Arial Narrow" w:cs="Arial"/>
                      <w:szCs w:val="21"/>
                    </w:rPr>
                  </w:pPr>
                  <w:r w:rsidRPr="005D4222">
                    <w:rPr>
                      <w:rFonts w:eastAsia="Arial Narrow" w:cs="Arial"/>
                      <w:szCs w:val="21"/>
                    </w:rPr>
                    <w:t>Repeat per Metric</w:t>
                  </w:r>
                </w:p>
              </w:tc>
              <w:tc>
                <w:tcPr>
                  <w:tcW w:w="630" w:type="dxa"/>
                  <w:tcBorders>
                    <w:top w:val="single" w:sz="4" w:space="0" w:color="auto"/>
                    <w:left w:val="single" w:sz="4" w:space="0" w:color="auto"/>
                    <w:bottom w:val="single" w:sz="4" w:space="0" w:color="auto"/>
                    <w:right w:val="single" w:sz="4" w:space="0" w:color="auto"/>
                  </w:tcBorders>
                  <w:tcMar>
                    <w:left w:w="72" w:type="dxa"/>
                    <w:right w:w="72" w:type="dxa"/>
                  </w:tcMar>
                </w:tcPr>
                <w:p w14:paraId="1D3E2E2E" w14:textId="77777777" w:rsidR="008432EB" w:rsidRPr="005D4222" w:rsidRDefault="008432EB" w:rsidP="009C3EB2">
                  <w:pPr>
                    <w:spacing w:before="40" w:after="40" w:line="216" w:lineRule="auto"/>
                    <w:jc w:val="center"/>
                    <w:rPr>
                      <w:rFonts w:ascii="Wingdings" w:eastAsia="Arial Narrow" w:hAnsi="Wingdings" w:cs="Arial"/>
                    </w:rPr>
                  </w:pPr>
                </w:p>
              </w:tc>
            </w:tr>
            <w:tr w:rsidR="008432EB" w:rsidRPr="005D4222" w14:paraId="138C0526" w14:textId="77777777" w:rsidTr="009C3EB2">
              <w:trPr>
                <w:cantSplit/>
              </w:trPr>
              <w:tc>
                <w:tcPr>
                  <w:tcW w:w="2542" w:type="dxa"/>
                  <w:tcBorders>
                    <w:top w:val="nil"/>
                    <w:left w:val="nil"/>
                    <w:bottom w:val="nil"/>
                    <w:right w:val="nil"/>
                  </w:tcBorders>
                  <w:tcMar>
                    <w:left w:w="72" w:type="dxa"/>
                    <w:right w:w="72" w:type="dxa"/>
                  </w:tcMar>
                </w:tcPr>
                <w:p w14:paraId="0D6CEC5E" w14:textId="77777777" w:rsidR="008432EB" w:rsidRPr="005D4222" w:rsidRDefault="008432EB" w:rsidP="009C3EB2">
                  <w:pPr>
                    <w:pStyle w:val="TableText"/>
                    <w:spacing w:before="40" w:after="40"/>
                    <w:rPr>
                      <w:rFonts w:eastAsia="Arial Narrow" w:cs="Arial"/>
                      <w:szCs w:val="21"/>
                    </w:rPr>
                  </w:pPr>
                </w:p>
              </w:tc>
              <w:tc>
                <w:tcPr>
                  <w:tcW w:w="2494"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26B47EBC" w14:textId="77777777" w:rsidR="008432EB" w:rsidRPr="005D4222" w:rsidRDefault="008432EB" w:rsidP="009C3EB2">
                  <w:pPr>
                    <w:pStyle w:val="TableText"/>
                    <w:spacing w:before="40" w:after="40"/>
                    <w:rPr>
                      <w:rFonts w:eastAsia="Arial Narrow" w:cs="Arial"/>
                      <w:szCs w:val="21"/>
                    </w:rPr>
                  </w:pPr>
                  <w:r w:rsidRPr="005D4222">
                    <w:rPr>
                      <w:rFonts w:eastAsia="Arial Narrow" w:cs="Arial"/>
                      <w:szCs w:val="21"/>
                    </w:rPr>
                    <w:t>OversampleRecsAdded</w:t>
                  </w:r>
                </w:p>
              </w:tc>
              <w:tc>
                <w:tcPr>
                  <w:tcW w:w="171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756EA8B1" w14:textId="77777777" w:rsidR="008432EB" w:rsidRPr="005D4222" w:rsidRDefault="008432EB" w:rsidP="009C3EB2">
                  <w:pPr>
                    <w:pStyle w:val="TableText"/>
                    <w:spacing w:before="40" w:after="40"/>
                    <w:rPr>
                      <w:rFonts w:eastAsia="Arial Narrow" w:cs="Arial"/>
                      <w:szCs w:val="21"/>
                    </w:rPr>
                  </w:pPr>
                  <w:r w:rsidRPr="005D4222">
                    <w:rPr>
                      <w:rFonts w:eastAsia="Arial Narrow" w:cs="Arial"/>
                      <w:szCs w:val="21"/>
                    </w:rPr>
                    <w:t>Repeat per Metric</w:t>
                  </w:r>
                </w:p>
              </w:tc>
              <w:tc>
                <w:tcPr>
                  <w:tcW w:w="630" w:type="dxa"/>
                  <w:tcBorders>
                    <w:top w:val="single" w:sz="4" w:space="0" w:color="auto"/>
                    <w:left w:val="single" w:sz="4" w:space="0" w:color="auto"/>
                    <w:bottom w:val="single" w:sz="4" w:space="0" w:color="auto"/>
                    <w:right w:val="single" w:sz="4" w:space="0" w:color="auto"/>
                  </w:tcBorders>
                  <w:tcMar>
                    <w:left w:w="72" w:type="dxa"/>
                    <w:right w:w="72" w:type="dxa"/>
                  </w:tcMar>
                </w:tcPr>
                <w:p w14:paraId="314A898F" w14:textId="77777777" w:rsidR="008432EB" w:rsidRPr="005D4222" w:rsidRDefault="008432EB" w:rsidP="009C3EB2">
                  <w:pPr>
                    <w:spacing w:before="40" w:after="40" w:line="216" w:lineRule="auto"/>
                    <w:jc w:val="center"/>
                    <w:rPr>
                      <w:rFonts w:ascii="Wingdings" w:eastAsia="Arial Narrow" w:hAnsi="Wingdings" w:cs="Arial"/>
                    </w:rPr>
                  </w:pPr>
                </w:p>
              </w:tc>
            </w:tr>
            <w:tr w:rsidR="008432EB" w:rsidRPr="005D4222" w14:paraId="603BE572" w14:textId="77777777" w:rsidTr="009C3EB2">
              <w:trPr>
                <w:cantSplit/>
              </w:trPr>
              <w:tc>
                <w:tcPr>
                  <w:tcW w:w="2542" w:type="dxa"/>
                  <w:tcBorders>
                    <w:top w:val="nil"/>
                    <w:left w:val="nil"/>
                    <w:bottom w:val="nil"/>
                    <w:right w:val="nil"/>
                  </w:tcBorders>
                  <w:tcMar>
                    <w:left w:w="72" w:type="dxa"/>
                    <w:right w:w="72" w:type="dxa"/>
                  </w:tcMar>
                </w:tcPr>
                <w:p w14:paraId="7DAE403E" w14:textId="77777777" w:rsidR="008432EB" w:rsidRPr="005D4222" w:rsidRDefault="008432EB" w:rsidP="009C3EB2">
                  <w:pPr>
                    <w:pStyle w:val="TableText"/>
                    <w:spacing w:before="40" w:after="40"/>
                    <w:rPr>
                      <w:rFonts w:eastAsia="Arial Narrow" w:cs="Arial"/>
                      <w:szCs w:val="21"/>
                    </w:rPr>
                  </w:pPr>
                </w:p>
              </w:tc>
              <w:tc>
                <w:tcPr>
                  <w:tcW w:w="2494"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20E388A1" w14:textId="77777777" w:rsidR="008432EB" w:rsidRPr="005D4222" w:rsidRDefault="008432EB" w:rsidP="009C3EB2">
                  <w:pPr>
                    <w:pStyle w:val="TableText"/>
                    <w:spacing w:before="40" w:after="40"/>
                    <w:rPr>
                      <w:rFonts w:eastAsia="Arial Narrow" w:cs="Arial"/>
                      <w:szCs w:val="21"/>
                    </w:rPr>
                  </w:pPr>
                  <w:r w:rsidRPr="005D4222">
                    <w:rPr>
                      <w:rFonts w:cs="Arial"/>
                      <w:szCs w:val="21"/>
                    </w:rPr>
                    <w:t>NumeratorByAdmin</w:t>
                  </w:r>
                </w:p>
              </w:tc>
              <w:tc>
                <w:tcPr>
                  <w:tcW w:w="171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53FD56F0" w14:textId="77777777" w:rsidR="008432EB" w:rsidRPr="005D4222" w:rsidRDefault="008432EB" w:rsidP="009C3EB2">
                  <w:pPr>
                    <w:pStyle w:val="TableText"/>
                    <w:spacing w:before="40" w:after="40"/>
                    <w:rPr>
                      <w:rFonts w:eastAsia="Arial Narrow" w:cs="Arial"/>
                      <w:szCs w:val="21"/>
                    </w:rPr>
                  </w:pPr>
                  <w:r w:rsidRPr="005D4222">
                    <w:rPr>
                      <w:rFonts w:eastAsia="Arial Narrow" w:cs="Arial"/>
                      <w:szCs w:val="21"/>
                    </w:rPr>
                    <w:t>For each Metric</w:t>
                  </w:r>
                </w:p>
              </w:tc>
              <w:tc>
                <w:tcPr>
                  <w:tcW w:w="63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38FD15D9" w14:textId="7C86EB28" w:rsidR="008432EB" w:rsidRPr="005D4222" w:rsidRDefault="00233911" w:rsidP="00233911">
                  <w:pPr>
                    <w:spacing w:before="40" w:after="40" w:line="216" w:lineRule="auto"/>
                    <w:jc w:val="center"/>
                    <w:rPr>
                      <w:rFonts w:ascii="Wingdings" w:eastAsia="Arial Narrow" w:hAnsi="Wingdings" w:cs="Arial"/>
                    </w:rPr>
                  </w:pPr>
                  <w:r w:rsidRPr="005D4222">
                    <w:rPr>
                      <w:rFonts w:ascii="Wingdings" w:eastAsia="Wingdings" w:hAnsi="Wingdings" w:cs="Arial"/>
                    </w:rPr>
                    <w:t></w:t>
                  </w:r>
                </w:p>
              </w:tc>
            </w:tr>
            <w:tr w:rsidR="008432EB" w:rsidRPr="005D4222" w14:paraId="6A08E7E0" w14:textId="77777777" w:rsidTr="009C3EB2">
              <w:trPr>
                <w:cantSplit/>
              </w:trPr>
              <w:tc>
                <w:tcPr>
                  <w:tcW w:w="2542" w:type="dxa"/>
                  <w:tcBorders>
                    <w:top w:val="nil"/>
                    <w:left w:val="nil"/>
                    <w:bottom w:val="nil"/>
                    <w:right w:val="nil"/>
                  </w:tcBorders>
                  <w:tcMar>
                    <w:left w:w="72" w:type="dxa"/>
                    <w:right w:w="72" w:type="dxa"/>
                  </w:tcMar>
                </w:tcPr>
                <w:p w14:paraId="74DE286B" w14:textId="77777777" w:rsidR="008432EB" w:rsidRPr="005D4222" w:rsidRDefault="008432EB" w:rsidP="009C3EB2">
                  <w:pPr>
                    <w:pStyle w:val="TableText"/>
                    <w:spacing w:before="40" w:after="40"/>
                    <w:rPr>
                      <w:rFonts w:eastAsia="Arial Narrow" w:cs="Arial"/>
                      <w:szCs w:val="21"/>
                    </w:rPr>
                  </w:pPr>
                </w:p>
              </w:tc>
              <w:tc>
                <w:tcPr>
                  <w:tcW w:w="2494"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09C18131" w14:textId="77777777" w:rsidR="008432EB" w:rsidRPr="005D4222" w:rsidRDefault="008432EB" w:rsidP="009C3EB2">
                  <w:pPr>
                    <w:pStyle w:val="TableText"/>
                    <w:spacing w:before="40" w:after="40"/>
                    <w:rPr>
                      <w:rFonts w:eastAsia="Arial Narrow" w:cs="Arial"/>
                      <w:szCs w:val="21"/>
                    </w:rPr>
                  </w:pPr>
                  <w:r w:rsidRPr="005D4222">
                    <w:rPr>
                      <w:rFonts w:cs="Arial"/>
                      <w:szCs w:val="21"/>
                    </w:rPr>
                    <w:t>NumeratorByMedicalRecords</w:t>
                  </w:r>
                </w:p>
              </w:tc>
              <w:tc>
                <w:tcPr>
                  <w:tcW w:w="171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5F85F311" w14:textId="77777777" w:rsidR="008432EB" w:rsidRPr="005D4222" w:rsidRDefault="008432EB" w:rsidP="009C3EB2">
                  <w:pPr>
                    <w:pStyle w:val="TableText"/>
                    <w:spacing w:before="40" w:after="40"/>
                    <w:rPr>
                      <w:rFonts w:eastAsia="Arial Narrow" w:cs="Arial"/>
                      <w:szCs w:val="21"/>
                    </w:rPr>
                  </w:pPr>
                  <w:r w:rsidRPr="005D4222">
                    <w:rPr>
                      <w:rFonts w:eastAsia="Arial Narrow" w:cs="Arial"/>
                      <w:szCs w:val="21"/>
                    </w:rPr>
                    <w:t>For each Metric</w:t>
                  </w:r>
                </w:p>
              </w:tc>
              <w:tc>
                <w:tcPr>
                  <w:tcW w:w="630" w:type="dxa"/>
                  <w:tcBorders>
                    <w:top w:val="single" w:sz="4" w:space="0" w:color="auto"/>
                    <w:left w:val="single" w:sz="4" w:space="0" w:color="auto"/>
                    <w:bottom w:val="single" w:sz="4" w:space="0" w:color="auto"/>
                    <w:right w:val="single" w:sz="4" w:space="0" w:color="auto"/>
                  </w:tcBorders>
                  <w:tcMar>
                    <w:left w:w="72" w:type="dxa"/>
                    <w:right w:w="72" w:type="dxa"/>
                  </w:tcMar>
                </w:tcPr>
                <w:p w14:paraId="30CAAAD8" w14:textId="77777777" w:rsidR="008432EB" w:rsidRPr="005D4222" w:rsidRDefault="008432EB" w:rsidP="009C3EB2">
                  <w:pPr>
                    <w:spacing w:before="40" w:after="40" w:line="216" w:lineRule="auto"/>
                    <w:jc w:val="center"/>
                    <w:rPr>
                      <w:rFonts w:ascii="Wingdings" w:eastAsia="Arial Narrow" w:hAnsi="Wingdings" w:cs="Arial"/>
                    </w:rPr>
                  </w:pPr>
                </w:p>
              </w:tc>
            </w:tr>
            <w:tr w:rsidR="008432EB" w:rsidRPr="005D4222" w14:paraId="2C31D30D" w14:textId="77777777" w:rsidTr="009C3EB2">
              <w:trPr>
                <w:cantSplit/>
              </w:trPr>
              <w:tc>
                <w:tcPr>
                  <w:tcW w:w="2542" w:type="dxa"/>
                  <w:tcBorders>
                    <w:top w:val="nil"/>
                    <w:left w:val="nil"/>
                    <w:bottom w:val="nil"/>
                    <w:right w:val="nil"/>
                  </w:tcBorders>
                  <w:tcMar>
                    <w:left w:w="72" w:type="dxa"/>
                    <w:right w:w="72" w:type="dxa"/>
                  </w:tcMar>
                </w:tcPr>
                <w:p w14:paraId="72B45A2F" w14:textId="77777777" w:rsidR="008432EB" w:rsidRPr="005D4222" w:rsidRDefault="008432EB" w:rsidP="009C3EB2">
                  <w:pPr>
                    <w:pStyle w:val="TableText"/>
                    <w:spacing w:before="40" w:after="40"/>
                    <w:rPr>
                      <w:rFonts w:eastAsia="Arial Narrow" w:cs="Arial"/>
                      <w:szCs w:val="21"/>
                    </w:rPr>
                  </w:pPr>
                </w:p>
              </w:tc>
              <w:tc>
                <w:tcPr>
                  <w:tcW w:w="2494"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0BF4A6CD" w14:textId="77777777" w:rsidR="008432EB" w:rsidRPr="005D4222" w:rsidRDefault="008432EB" w:rsidP="009C3EB2">
                  <w:pPr>
                    <w:pStyle w:val="TableText"/>
                    <w:spacing w:before="40" w:after="40"/>
                    <w:rPr>
                      <w:rFonts w:eastAsia="Arial Narrow" w:cs="Arial"/>
                      <w:szCs w:val="21"/>
                    </w:rPr>
                  </w:pPr>
                  <w:r w:rsidRPr="005D4222">
                    <w:rPr>
                      <w:rFonts w:cs="Arial"/>
                      <w:szCs w:val="21"/>
                    </w:rPr>
                    <w:t>NumeratorBySupplemental</w:t>
                  </w:r>
                </w:p>
              </w:tc>
              <w:tc>
                <w:tcPr>
                  <w:tcW w:w="171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43AFC556" w14:textId="77777777" w:rsidR="008432EB" w:rsidRPr="005D4222" w:rsidRDefault="008432EB" w:rsidP="009C3EB2">
                  <w:pPr>
                    <w:pStyle w:val="TableText"/>
                    <w:spacing w:before="40" w:after="40"/>
                    <w:rPr>
                      <w:rFonts w:eastAsia="Arial Narrow" w:cs="Arial"/>
                      <w:szCs w:val="21"/>
                    </w:rPr>
                  </w:pPr>
                  <w:r w:rsidRPr="005D4222">
                    <w:rPr>
                      <w:rFonts w:eastAsia="Arial Narrow" w:cs="Arial"/>
                      <w:szCs w:val="21"/>
                    </w:rPr>
                    <w:t>For each Metric</w:t>
                  </w:r>
                </w:p>
              </w:tc>
              <w:tc>
                <w:tcPr>
                  <w:tcW w:w="63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49325D4B" w14:textId="781FB340" w:rsidR="008432EB" w:rsidRPr="005D4222" w:rsidRDefault="00233911" w:rsidP="00233911">
                  <w:pPr>
                    <w:spacing w:before="40" w:after="40" w:line="216" w:lineRule="auto"/>
                    <w:jc w:val="center"/>
                    <w:rPr>
                      <w:rFonts w:ascii="Wingdings" w:eastAsia="Arial Narrow" w:hAnsi="Wingdings" w:cs="Arial"/>
                    </w:rPr>
                  </w:pPr>
                  <w:r w:rsidRPr="005D4222">
                    <w:rPr>
                      <w:rFonts w:ascii="Wingdings" w:eastAsia="Wingdings" w:hAnsi="Wingdings" w:cs="Arial"/>
                    </w:rPr>
                    <w:t></w:t>
                  </w:r>
                </w:p>
              </w:tc>
            </w:tr>
            <w:tr w:rsidR="008432EB" w:rsidRPr="005D4222" w14:paraId="178B17A7" w14:textId="77777777" w:rsidTr="009C3EB2">
              <w:trPr>
                <w:cantSplit/>
              </w:trPr>
              <w:tc>
                <w:tcPr>
                  <w:tcW w:w="2542" w:type="dxa"/>
                  <w:tcBorders>
                    <w:top w:val="nil"/>
                    <w:left w:val="nil"/>
                    <w:bottom w:val="nil"/>
                    <w:right w:val="nil"/>
                  </w:tcBorders>
                  <w:tcMar>
                    <w:left w:w="72" w:type="dxa"/>
                    <w:right w:w="72" w:type="dxa"/>
                  </w:tcMar>
                </w:tcPr>
                <w:p w14:paraId="0E7A542C" w14:textId="77777777" w:rsidR="008432EB" w:rsidRPr="005D4222" w:rsidRDefault="008432EB" w:rsidP="009C3EB2">
                  <w:pPr>
                    <w:pStyle w:val="TableText"/>
                    <w:spacing w:before="40" w:after="40"/>
                    <w:rPr>
                      <w:rFonts w:eastAsia="Arial Narrow" w:cs="Arial"/>
                      <w:szCs w:val="21"/>
                    </w:rPr>
                  </w:pPr>
                </w:p>
              </w:tc>
              <w:tc>
                <w:tcPr>
                  <w:tcW w:w="249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05FBC32D" w14:textId="77777777" w:rsidR="008432EB" w:rsidRPr="005D4222" w:rsidRDefault="008432EB" w:rsidP="009C3EB2">
                  <w:pPr>
                    <w:pStyle w:val="TableText"/>
                    <w:spacing w:before="40" w:after="40"/>
                    <w:rPr>
                      <w:rFonts w:cs="Arial"/>
                      <w:szCs w:val="21"/>
                    </w:rPr>
                  </w:pPr>
                  <w:r w:rsidRPr="005D4222">
                    <w:rPr>
                      <w:rFonts w:cs="Arial"/>
                      <w:szCs w:val="21"/>
                    </w:rPr>
                    <w:t>Rate</w:t>
                  </w:r>
                </w:p>
              </w:tc>
              <w:tc>
                <w:tcPr>
                  <w:tcW w:w="17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267B48C0" w14:textId="77777777" w:rsidR="008432EB" w:rsidRPr="005D4222" w:rsidRDefault="008432EB" w:rsidP="009C3EB2">
                  <w:pPr>
                    <w:pStyle w:val="TableText"/>
                    <w:spacing w:before="40" w:after="40"/>
                    <w:rPr>
                      <w:rFonts w:eastAsia="Arial Narrow" w:cs="Arial"/>
                      <w:szCs w:val="21"/>
                    </w:rPr>
                  </w:pPr>
                  <w:r w:rsidRPr="005D4222">
                    <w:rPr>
                      <w:rFonts w:eastAsia="Arial Narrow" w:cs="Arial"/>
                      <w:szCs w:val="21"/>
                    </w:rPr>
                    <w:t>(Percent)</w:t>
                  </w:r>
                </w:p>
              </w:tc>
              <w:tc>
                <w:tcPr>
                  <w:tcW w:w="6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62A2B874" w14:textId="12E42D2A" w:rsidR="008432EB" w:rsidRPr="005D4222" w:rsidRDefault="00233911" w:rsidP="00233911">
                  <w:pPr>
                    <w:spacing w:before="40" w:after="40" w:line="216" w:lineRule="auto"/>
                    <w:jc w:val="center"/>
                    <w:rPr>
                      <w:rFonts w:ascii="Wingdings" w:eastAsia="Arial Narrow" w:hAnsi="Wingdings" w:cs="Arial"/>
                    </w:rPr>
                  </w:pPr>
                  <w:r w:rsidRPr="005D4222">
                    <w:rPr>
                      <w:rFonts w:ascii="Wingdings" w:eastAsia="Wingdings" w:hAnsi="Wingdings" w:cs="Arial"/>
                    </w:rPr>
                    <w:t></w:t>
                  </w:r>
                </w:p>
              </w:tc>
            </w:tr>
          </w:tbl>
          <w:p w14:paraId="4E172F85" w14:textId="77777777" w:rsidR="008432EB" w:rsidRPr="005D4222" w:rsidRDefault="008432EB">
            <w:pPr>
              <w:pStyle w:val="TableText"/>
              <w:ind w:left="86" w:hanging="86"/>
              <w:rPr>
                <w:color w:val="000000" w:themeColor="text1"/>
                <w:highlight w:val="yellow"/>
              </w:rPr>
            </w:pPr>
            <w:r w:rsidRPr="005D4222">
              <w:rPr>
                <w:b/>
              </w:rPr>
              <w:t>*</w:t>
            </w:r>
            <w:r w:rsidRPr="005D4222">
              <w:tab/>
              <w:t>Repeat the InitialPopulation, Exclusions and Denominator values for metrics using the Administrative Method.</w:t>
            </w:r>
          </w:p>
        </w:tc>
      </w:tr>
    </w:tbl>
    <w:p w14:paraId="1792D4B3" w14:textId="77777777" w:rsidR="008432EB" w:rsidRPr="005D4222" w:rsidRDefault="008432EB" w:rsidP="008432EB">
      <w:pPr>
        <w:spacing w:after="160" w:line="259" w:lineRule="auto"/>
      </w:pPr>
      <w:r w:rsidRPr="005D4222">
        <w:br w:type="page"/>
      </w:r>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60"/>
      </w:tblGrid>
      <w:tr w:rsidR="008432EB" w:rsidRPr="005D4222" w14:paraId="106C608B" w14:textId="77777777">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6F696CA" w14:textId="77777777" w:rsidR="008432EB" w:rsidRPr="005D4222" w:rsidRDefault="008432EB">
            <w:pPr>
              <w:pStyle w:val="ECDSMarginHead"/>
            </w:pPr>
            <w:r w:rsidRPr="005D4222">
              <w:lastRenderedPageBreak/>
              <w:t>Rules for Allowable Adjustments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D03B353" w14:textId="77777777" w:rsidR="008432EB" w:rsidRPr="005D4222" w:rsidRDefault="008432EB">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w:t>
            </w:r>
          </w:p>
          <w:p w14:paraId="42035F61" w14:textId="77777777" w:rsidR="008432EB" w:rsidRPr="005D4222" w:rsidRDefault="008432EB">
            <w:pPr>
              <w:pStyle w:val="ECDSBody"/>
              <w:rPr>
                <w:b/>
                <w:bCs w:val="0"/>
              </w:rPr>
            </w:pPr>
            <w:r w:rsidRPr="005D4222">
              <w:rPr>
                <w:b/>
                <w:color w:val="000000"/>
                <w:szCs w:val="21"/>
              </w:rPr>
              <w:t>The Rules do not apply to the hybrid portion of the measure; only the administrative sections may be changed.</w:t>
            </w:r>
            <w:r w:rsidRPr="005D4222">
              <w:rPr>
                <w:b/>
                <w:bCs w:val="0"/>
              </w:rPr>
              <w:t xml:space="preserve"> </w:t>
            </w:r>
          </w:p>
          <w:p w14:paraId="166ED931" w14:textId="77777777" w:rsidR="008432EB" w:rsidRPr="005D4222" w:rsidRDefault="008432EB">
            <w:pPr>
              <w:pStyle w:val="ECDSBody"/>
              <w:rPr>
                <w:b/>
              </w:rPr>
            </w:pPr>
            <w:r w:rsidRPr="005D4222">
              <w:rPr>
                <w:b/>
              </w:rPr>
              <w:t>Adjusted HEDIS measures may not be used for HEDIS health plan reporting.</w:t>
            </w:r>
          </w:p>
          <w:p w14:paraId="358EF52F" w14:textId="77777777" w:rsidR="008432EB" w:rsidRPr="005D4222" w:rsidRDefault="008432EB">
            <w:pPr>
              <w:pStyle w:val="Adjustments"/>
              <w:rPr>
                <w:b w:val="0"/>
              </w:rPr>
            </w:pPr>
            <w:r w:rsidRPr="005D4222">
              <w:t>Adjustments allowed</w:t>
            </w:r>
          </w:p>
          <w:p w14:paraId="4860D162" w14:textId="6D415BE6" w:rsidR="008432EB" w:rsidRPr="005D4222" w:rsidRDefault="008432EB">
            <w:pPr>
              <w:pStyle w:val="ProcessBullet"/>
            </w:pPr>
            <w:r w:rsidRPr="005D4222">
              <w:rPr>
                <w:i/>
                <w:iCs/>
              </w:rPr>
              <w:t xml:space="preserve">Product lines. </w:t>
            </w:r>
            <w:r w:rsidRPr="005D4222">
              <w:rPr>
                <w:rStyle w:val="ProcessBulletChar"/>
              </w:rPr>
              <w:t>Organizations are not required to use product line criteria; product lines may be combined</w:t>
            </w:r>
            <w:r w:rsidR="00E8671F" w:rsidRPr="005D4222">
              <w:rPr>
                <w:rStyle w:val="ProcessBulletChar"/>
              </w:rPr>
              <w:t>,</w:t>
            </w:r>
            <w:r w:rsidRPr="005D4222">
              <w:rPr>
                <w:rStyle w:val="ProcessBulletChar"/>
              </w:rPr>
              <w:t xml:space="preserve"> and all (or no) product line criteria may be used.</w:t>
            </w:r>
          </w:p>
          <w:p w14:paraId="454D771D" w14:textId="77777777" w:rsidR="008432EB" w:rsidRPr="005D4222" w:rsidRDefault="008432EB">
            <w:pPr>
              <w:pStyle w:val="ProcessBullet"/>
            </w:pPr>
            <w:r w:rsidRPr="005D4222">
              <w:rPr>
                <w:i/>
                <w:iCs/>
              </w:rPr>
              <w:t>Attribution.</w:t>
            </w:r>
            <w:r w:rsidRPr="005D4222">
              <w:t xml:space="preserve"> Organizations are not required to use enrollment criteria.</w:t>
            </w:r>
          </w:p>
          <w:p w14:paraId="47DF7D8F" w14:textId="7FDA57D0" w:rsidR="008432EB" w:rsidRPr="005D4222" w:rsidRDefault="00362E76">
            <w:pPr>
              <w:pStyle w:val="ProcessBullet"/>
            </w:pPr>
            <w:r w:rsidRPr="005D4222">
              <w:rPr>
                <w:i/>
                <w:iCs/>
              </w:rPr>
              <w:t>Benefits.</w:t>
            </w:r>
            <w:r w:rsidR="008432EB" w:rsidRPr="005D4222">
              <w:t xml:space="preserve"> Organizations are not required to use a benefit.</w:t>
            </w:r>
          </w:p>
          <w:p w14:paraId="63E0B19C" w14:textId="77777777" w:rsidR="008432EB" w:rsidRPr="005D4222" w:rsidRDefault="008432EB">
            <w:pPr>
              <w:pStyle w:val="ProcessBullet"/>
            </w:pPr>
            <w:r w:rsidRPr="005D4222">
              <w:rPr>
                <w:i/>
                <w:iCs/>
              </w:rPr>
              <w:t xml:space="preserve">Other. </w:t>
            </w:r>
            <w:r w:rsidRPr="005D4222">
              <w:t>Organizations may use additional initial population criteria to focus on an area of interest defined by gender, race, ethnicity, socioeconomic or sociodemographic characteristics, geographic region or another characteristic.</w:t>
            </w:r>
          </w:p>
          <w:p w14:paraId="3E0AA5A2" w14:textId="77777777" w:rsidR="008432EB" w:rsidRPr="005D4222" w:rsidRDefault="008432EB">
            <w:pPr>
              <w:pStyle w:val="ProcessBullet"/>
            </w:pPr>
            <w:r w:rsidRPr="005D4222">
              <w:rPr>
                <w:i/>
                <w:iCs/>
              </w:rPr>
              <w:t xml:space="preserve">Measurement period adjustments. </w:t>
            </w:r>
            <w:r w:rsidRPr="005D4222">
              <w:t xml:space="preserve">Organizations may adjust the measurement period. </w:t>
            </w:r>
          </w:p>
          <w:p w14:paraId="39810A46" w14:textId="77777777" w:rsidR="008432EB" w:rsidRPr="005D4222" w:rsidRDefault="008432EB">
            <w:pPr>
              <w:pStyle w:val="ProcessBullet"/>
            </w:pPr>
            <w:r w:rsidRPr="005D4222">
              <w:rPr>
                <w:i/>
                <w:iCs/>
              </w:rPr>
              <w:t xml:space="preserve">Exclusions. </w:t>
            </w:r>
            <w:r w:rsidRPr="005D4222">
              <w:t xml:space="preserve">Hospice and deceased person exclusions are not required. </w:t>
            </w:r>
          </w:p>
          <w:p w14:paraId="2673F1C7" w14:textId="77777777" w:rsidR="008432EB" w:rsidRPr="005D4222" w:rsidRDefault="008432EB">
            <w:pPr>
              <w:pStyle w:val="ProcessBullet"/>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490F2AAC" w14:textId="77777777" w:rsidR="008432EB" w:rsidRPr="005D4222" w:rsidRDefault="008432EB">
            <w:pPr>
              <w:pStyle w:val="ProcessBullet"/>
            </w:pPr>
            <w:r w:rsidRPr="005D4222">
              <w:rPr>
                <w:i/>
                <w:iCs/>
              </w:rPr>
              <w:t>Supplemental data.</w:t>
            </w:r>
            <w:r w:rsidRPr="005D4222">
              <w:t xml:space="preserve"> Supplemental data may be used to identify initial population, denominator, exclusion and numerator events.</w:t>
            </w:r>
          </w:p>
          <w:p w14:paraId="65E4D7FB" w14:textId="77777777" w:rsidR="008432EB" w:rsidRPr="005D4222" w:rsidRDefault="008432EB">
            <w:pPr>
              <w:pStyle w:val="Adjustments"/>
              <w:rPr>
                <w:b w:val="0"/>
              </w:rPr>
            </w:pPr>
            <w:r w:rsidRPr="005D4222">
              <w:t>Adjustments allowed with limits</w:t>
            </w:r>
          </w:p>
          <w:p w14:paraId="173EADAD" w14:textId="390D06AC" w:rsidR="008432EB" w:rsidRPr="005D4222" w:rsidRDefault="008432EB">
            <w:pPr>
              <w:pStyle w:val="ProcessBullet"/>
            </w:pPr>
            <w:r w:rsidRPr="005D4222">
              <w:rPr>
                <w:i/>
              </w:rPr>
              <w:t>Ages</w:t>
            </w:r>
            <w:r w:rsidRPr="005D4222">
              <w:t xml:space="preserve">. Age determination dates may be changed (e.g., select, “age as of June 30”). The denominator age for both indicators may be changed within the specified age range (66 years and older). The denominator age for the </w:t>
            </w:r>
            <w:r w:rsidR="00076F43" w:rsidRPr="005D4222">
              <w:t xml:space="preserve">measure </w:t>
            </w:r>
            <w:r w:rsidRPr="005D4222">
              <w:t>may be expanded to 18 years of age and older only for dual-eligible enrollees and Medicaid LTSS enrollees.</w:t>
            </w:r>
          </w:p>
          <w:p w14:paraId="5A997221" w14:textId="77777777" w:rsidR="008432EB" w:rsidRPr="005D4222" w:rsidRDefault="008432EB">
            <w:pPr>
              <w:pStyle w:val="Adjustments"/>
              <w:rPr>
                <w:b w:val="0"/>
              </w:rPr>
            </w:pPr>
            <w:r w:rsidRPr="005D4222">
              <w:t>Adjustments not allowed</w:t>
            </w:r>
          </w:p>
          <w:p w14:paraId="4BBC433D" w14:textId="77777777" w:rsidR="008432EB" w:rsidRPr="005D4222" w:rsidRDefault="008432EB">
            <w:pPr>
              <w:pStyle w:val="ProcessBullet"/>
              <w:spacing w:after="80"/>
              <w:rPr>
                <w:i/>
                <w:iCs/>
              </w:rPr>
            </w:pPr>
            <w:r w:rsidRPr="005D4222">
              <w:rPr>
                <w:i/>
                <w:iCs/>
              </w:rPr>
              <w:t>Numerator</w:t>
            </w:r>
            <w:r w:rsidRPr="005D4222">
              <w:t>. Value sets and logic may not be changed.</w:t>
            </w:r>
          </w:p>
        </w:tc>
      </w:tr>
    </w:tbl>
    <w:p w14:paraId="79A97BF4" w14:textId="77777777" w:rsidR="00DF6C06" w:rsidRPr="005D4222" w:rsidRDefault="00DF6C06" w:rsidP="00043C86">
      <w:pPr>
        <w:sectPr w:rsidR="00DF6C06" w:rsidRPr="005D4222" w:rsidSect="0074514A">
          <w:headerReference w:type="default" r:id="rId86"/>
          <w:type w:val="nextColumn"/>
          <w:pgSz w:w="12240" w:h="15840" w:code="1"/>
          <w:pgMar w:top="1080" w:right="1080" w:bottom="1080" w:left="1440" w:header="720" w:footer="720" w:gutter="0"/>
          <w:cols w:space="720"/>
          <w:docGrid w:linePitch="360"/>
        </w:sectPr>
      </w:pPr>
    </w:p>
    <w:p w14:paraId="15A48406" w14:textId="639533B2" w:rsidR="00C337F9" w:rsidRPr="005D4222" w:rsidRDefault="00112BA1" w:rsidP="00112BA1">
      <w:pPr>
        <w:pStyle w:val="MeasureTitle"/>
      </w:pPr>
      <w:bookmarkStart w:id="273" w:name="_Toc201813390"/>
      <w:r w:rsidRPr="005D4222">
        <w:lastRenderedPageBreak/>
        <w:t>Oral Evaluation, Dental Services</w:t>
      </w:r>
      <w:r w:rsidR="004C0737" w:rsidRPr="005D4222">
        <w:t xml:space="preserve"> (OED)</w:t>
      </w:r>
      <w:bookmarkEnd w:id="273"/>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6"/>
        <w:gridCol w:w="4402"/>
        <w:gridCol w:w="1407"/>
        <w:gridCol w:w="1749"/>
      </w:tblGrid>
      <w:tr w:rsidR="00734593" w:rsidRPr="005D4222" w14:paraId="0E7E5A81" w14:textId="77777777">
        <w:tc>
          <w:tcPr>
            <w:tcW w:w="1110" w:type="pct"/>
            <w:shd w:val="clear" w:color="auto" w:fill="BFBFBF" w:themeFill="background1" w:themeFillShade="BF"/>
            <w:tcMar>
              <w:top w:w="0" w:type="dxa"/>
              <w:left w:w="86" w:type="dxa"/>
              <w:bottom w:w="43" w:type="dxa"/>
              <w:right w:w="86" w:type="dxa"/>
            </w:tcMar>
            <w:hideMark/>
          </w:tcPr>
          <w:p w14:paraId="67479278" w14:textId="77777777" w:rsidR="00734593" w:rsidRPr="005D4222" w:rsidRDefault="00734593" w:rsidP="00246AF3">
            <w:pPr>
              <w:pStyle w:val="ECDSMarginHead"/>
            </w:pPr>
            <w:r w:rsidRPr="005D4222">
              <w:t>Measure title</w:t>
            </w:r>
          </w:p>
        </w:tc>
        <w:tc>
          <w:tcPr>
            <w:tcW w:w="2266" w:type="pct"/>
            <w:tcMar>
              <w:top w:w="0" w:type="dxa"/>
              <w:left w:w="86" w:type="dxa"/>
              <w:bottom w:w="43" w:type="dxa"/>
              <w:right w:w="86" w:type="dxa"/>
            </w:tcMar>
          </w:tcPr>
          <w:p w14:paraId="3FCAE308" w14:textId="6E577052" w:rsidR="00734593" w:rsidRPr="005D4222" w:rsidRDefault="00734593" w:rsidP="00246AF3">
            <w:pPr>
              <w:pStyle w:val="ECDSBody"/>
            </w:pPr>
            <w:r w:rsidRPr="005D4222">
              <w:rPr>
                <w:rFonts w:eastAsiaTheme="majorEastAsia"/>
              </w:rPr>
              <w:t>Oral Evaluation, Dental Services</w:t>
            </w:r>
            <w:r w:rsidRPr="005D4222">
              <w:rPr>
                <w:rFonts w:eastAsiaTheme="majorEastAsia"/>
                <w:b/>
              </w:rPr>
              <w:t>*</w:t>
            </w:r>
          </w:p>
        </w:tc>
        <w:tc>
          <w:tcPr>
            <w:tcW w:w="724" w:type="pct"/>
            <w:shd w:val="clear" w:color="auto" w:fill="BFBFBF" w:themeFill="background1" w:themeFillShade="BF"/>
            <w:tcMar>
              <w:top w:w="0" w:type="dxa"/>
              <w:left w:w="86" w:type="dxa"/>
              <w:bottom w:w="43" w:type="dxa"/>
              <w:right w:w="86" w:type="dxa"/>
            </w:tcMar>
          </w:tcPr>
          <w:p w14:paraId="657470C9" w14:textId="77777777" w:rsidR="00734593" w:rsidRPr="005D4222" w:rsidRDefault="00734593" w:rsidP="00246AF3">
            <w:pPr>
              <w:pStyle w:val="ECDSMarginHead"/>
            </w:pPr>
            <w:r w:rsidRPr="005D4222">
              <w:t>Measure ID</w:t>
            </w:r>
          </w:p>
        </w:tc>
        <w:tc>
          <w:tcPr>
            <w:tcW w:w="900" w:type="pct"/>
            <w:tcMar>
              <w:top w:w="0" w:type="dxa"/>
              <w:left w:w="86" w:type="dxa"/>
              <w:bottom w:w="43" w:type="dxa"/>
              <w:right w:w="86" w:type="dxa"/>
            </w:tcMar>
          </w:tcPr>
          <w:p w14:paraId="3F17C8C7" w14:textId="77777777" w:rsidR="00734593" w:rsidRPr="005D4222" w:rsidRDefault="00734593" w:rsidP="00F1766C">
            <w:pPr>
              <w:pStyle w:val="ECDSBody"/>
            </w:pPr>
            <w:r w:rsidRPr="005D4222">
              <w:t>OED</w:t>
            </w:r>
          </w:p>
        </w:tc>
      </w:tr>
      <w:tr w:rsidR="00734593" w:rsidRPr="005D4222" w14:paraId="58BC1180" w14:textId="77777777">
        <w:tc>
          <w:tcPr>
            <w:tcW w:w="1110" w:type="pct"/>
            <w:shd w:val="clear" w:color="auto" w:fill="BFBFBF" w:themeFill="background1" w:themeFillShade="BF"/>
            <w:tcMar>
              <w:top w:w="0" w:type="dxa"/>
              <w:left w:w="86" w:type="dxa"/>
              <w:bottom w:w="43" w:type="dxa"/>
              <w:right w:w="86" w:type="dxa"/>
            </w:tcMar>
            <w:hideMark/>
          </w:tcPr>
          <w:p w14:paraId="2062C308" w14:textId="77777777" w:rsidR="00734593" w:rsidRPr="005D4222" w:rsidRDefault="00734593" w:rsidP="00246AF3">
            <w:pPr>
              <w:pStyle w:val="ECDSMarginHead"/>
            </w:pPr>
            <w:r w:rsidRPr="005D4222">
              <w:t>Description</w:t>
            </w:r>
          </w:p>
        </w:tc>
        <w:tc>
          <w:tcPr>
            <w:tcW w:w="3890" w:type="pct"/>
            <w:gridSpan w:val="3"/>
            <w:tcMar>
              <w:top w:w="0" w:type="dxa"/>
              <w:left w:w="86" w:type="dxa"/>
              <w:bottom w:w="43" w:type="dxa"/>
              <w:right w:w="86" w:type="dxa"/>
            </w:tcMar>
          </w:tcPr>
          <w:p w14:paraId="07E0DE47" w14:textId="77777777" w:rsidR="00734593" w:rsidRPr="005D4222" w:rsidRDefault="00734593" w:rsidP="00F1766C">
            <w:pPr>
              <w:pStyle w:val="ECDSBody"/>
            </w:pPr>
            <w:r w:rsidRPr="005D4222">
              <w:t xml:space="preserve">The percentage of persons under 21 years of age who received a comprehensive or periodic oral evaluation with a dental provider during the measurement period. </w:t>
            </w:r>
          </w:p>
        </w:tc>
      </w:tr>
      <w:tr w:rsidR="00734593" w:rsidRPr="005D4222" w14:paraId="6612ACB1" w14:textId="77777777">
        <w:tc>
          <w:tcPr>
            <w:tcW w:w="1110" w:type="pct"/>
            <w:shd w:val="clear" w:color="auto" w:fill="BFBFBF" w:themeFill="background1" w:themeFillShade="BF"/>
            <w:tcMar>
              <w:top w:w="0" w:type="dxa"/>
              <w:left w:w="86" w:type="dxa"/>
              <w:bottom w:w="43" w:type="dxa"/>
              <w:right w:w="86" w:type="dxa"/>
            </w:tcMar>
          </w:tcPr>
          <w:p w14:paraId="41F82ED2" w14:textId="77777777" w:rsidR="00734593" w:rsidRPr="005D4222" w:rsidRDefault="00734593" w:rsidP="00246AF3">
            <w:pPr>
              <w:pStyle w:val="ECDSMarginHead"/>
            </w:pPr>
            <w:r w:rsidRPr="005D4222">
              <w:t>Measurement period</w:t>
            </w:r>
          </w:p>
        </w:tc>
        <w:tc>
          <w:tcPr>
            <w:tcW w:w="3890" w:type="pct"/>
            <w:gridSpan w:val="3"/>
            <w:tcMar>
              <w:top w:w="0" w:type="dxa"/>
              <w:left w:w="86" w:type="dxa"/>
              <w:bottom w:w="43" w:type="dxa"/>
              <w:right w:w="86" w:type="dxa"/>
            </w:tcMar>
          </w:tcPr>
          <w:p w14:paraId="69290787" w14:textId="77777777" w:rsidR="00734593" w:rsidRPr="005D4222" w:rsidRDefault="00734593" w:rsidP="00F1766C">
            <w:pPr>
              <w:pStyle w:val="ECDSBody"/>
            </w:pPr>
            <w:r w:rsidRPr="005D4222">
              <w:t>January 1–December 31.</w:t>
            </w:r>
          </w:p>
        </w:tc>
      </w:tr>
      <w:tr w:rsidR="00734593" w:rsidRPr="005D4222" w14:paraId="24D85F8C" w14:textId="77777777">
        <w:tc>
          <w:tcPr>
            <w:tcW w:w="1110" w:type="pct"/>
            <w:shd w:val="clear" w:color="auto" w:fill="BFBFBF" w:themeFill="background1" w:themeFillShade="BF"/>
            <w:tcMar>
              <w:top w:w="0" w:type="dxa"/>
              <w:left w:w="86" w:type="dxa"/>
              <w:bottom w:w="43" w:type="dxa"/>
              <w:right w:w="86" w:type="dxa"/>
            </w:tcMar>
            <w:hideMark/>
          </w:tcPr>
          <w:p w14:paraId="7577FCA8" w14:textId="77777777" w:rsidR="00734593" w:rsidRPr="005D4222" w:rsidRDefault="00734593" w:rsidP="00246AF3">
            <w:pPr>
              <w:pStyle w:val="ECDSMarginHead"/>
              <w:rPr>
                <w:rFonts w:eastAsia="Arial"/>
              </w:rPr>
            </w:pPr>
            <w:r w:rsidRPr="005D4222">
              <w:rPr>
                <w:rFonts w:eastAsia="Arial"/>
              </w:rPr>
              <w:t>Copyright and disclaimer notice</w:t>
            </w:r>
          </w:p>
        </w:tc>
        <w:tc>
          <w:tcPr>
            <w:tcW w:w="3890" w:type="pct"/>
            <w:gridSpan w:val="3"/>
            <w:tcMar>
              <w:top w:w="0" w:type="dxa"/>
              <w:left w:w="86" w:type="dxa"/>
              <w:bottom w:w="43" w:type="dxa"/>
              <w:right w:w="86" w:type="dxa"/>
            </w:tcMar>
          </w:tcPr>
          <w:p w14:paraId="2EF7DB6E" w14:textId="785270BB" w:rsidR="00FA251D" w:rsidRPr="005D4222" w:rsidRDefault="00734593" w:rsidP="00FA251D">
            <w:pPr>
              <w:pStyle w:val="ECDSBody"/>
              <w:ind w:left="92" w:hanging="92"/>
              <w:rPr>
                <w:i/>
                <w:iCs/>
                <w:kern w:val="24"/>
              </w:rPr>
            </w:pPr>
            <w:r w:rsidRPr="005D4222">
              <w:rPr>
                <w:i/>
                <w:iCs/>
              </w:rPr>
              <w:t>*</w:t>
            </w:r>
            <w:r w:rsidR="00FA251D" w:rsidRPr="005D4222">
              <w:rPr>
                <w:i/>
                <w:iCs/>
              </w:rPr>
              <w:t>T</w:t>
            </w:r>
            <w:r w:rsidR="00FA251D" w:rsidRPr="005D4222">
              <w:rPr>
                <w:i/>
                <w:iCs/>
                <w:kern w:val="24"/>
              </w:rPr>
              <w:t>his measure has been adapted for HEDIS, with permission, from a measure owned by the American Dental Association (ADA) on behalf of the Dental Quality Alliance (DQA). ©ADA (on behalf of DQA).</w:t>
            </w:r>
          </w:p>
          <w:p w14:paraId="74B27DAF" w14:textId="77777777" w:rsidR="00734593" w:rsidRPr="005D4222" w:rsidRDefault="00734593" w:rsidP="00F1766C">
            <w:pPr>
              <w:pStyle w:val="ECDSBody"/>
            </w:pPr>
            <w:r w:rsidRPr="005D4222">
              <w:t>Refer to the complete copyright and disclaimer information at the front of this publication.</w:t>
            </w:r>
          </w:p>
          <w:p w14:paraId="7E8CA04D" w14:textId="77777777" w:rsidR="00734593" w:rsidRPr="005D4222" w:rsidRDefault="00734593" w:rsidP="00F1766C">
            <w:pPr>
              <w:pStyle w:val="ECDSBody"/>
            </w:pPr>
            <w:r w:rsidRPr="005D4222">
              <w:t xml:space="preserve">NCQA website: </w:t>
            </w:r>
            <w:r w:rsidRPr="005D4222">
              <w:rPr>
                <w:szCs w:val="21"/>
                <w:u w:val="single"/>
              </w:rPr>
              <w:t>www.ncqa.org</w:t>
            </w:r>
            <w:r w:rsidRPr="005D4222">
              <w:t>.</w:t>
            </w:r>
          </w:p>
          <w:p w14:paraId="73EEA261" w14:textId="77777777" w:rsidR="00734593" w:rsidRPr="005D4222" w:rsidRDefault="00734593" w:rsidP="00F1766C">
            <w:pPr>
              <w:pStyle w:val="ECDSBody"/>
              <w:rPr>
                <w:sz w:val="18"/>
                <w:szCs w:val="18"/>
              </w:rPr>
            </w:pPr>
            <w:r w:rsidRPr="005D4222">
              <w:t>Submit policy clarification support questions via My NCQA (</w:t>
            </w:r>
            <w:r w:rsidRPr="005D4222">
              <w:rPr>
                <w:szCs w:val="21"/>
                <w:u w:val="single"/>
              </w:rPr>
              <w:t>https://my.ncqa.org</w:t>
            </w:r>
            <w:r w:rsidRPr="005D4222">
              <w:t>).</w:t>
            </w:r>
          </w:p>
        </w:tc>
      </w:tr>
      <w:tr w:rsidR="00734593" w:rsidRPr="005D4222" w14:paraId="21009428" w14:textId="77777777">
        <w:tc>
          <w:tcPr>
            <w:tcW w:w="1110" w:type="pct"/>
            <w:shd w:val="clear" w:color="auto" w:fill="BFBFBF" w:themeFill="background1" w:themeFillShade="BF"/>
            <w:tcMar>
              <w:top w:w="0" w:type="dxa"/>
              <w:left w:w="86" w:type="dxa"/>
              <w:bottom w:w="43" w:type="dxa"/>
              <w:right w:w="86" w:type="dxa"/>
            </w:tcMar>
            <w:hideMark/>
          </w:tcPr>
          <w:p w14:paraId="1BD63E86" w14:textId="77777777" w:rsidR="00734593" w:rsidRPr="005D4222" w:rsidRDefault="00734593" w:rsidP="00246AF3">
            <w:pPr>
              <w:pStyle w:val="ECDSMarginHead"/>
            </w:pPr>
            <w:r w:rsidRPr="005D4222">
              <w:t>Clinical recommendation statement/</w:t>
            </w:r>
            <w:r w:rsidRPr="005D4222" w:rsidDel="000C637A">
              <w:t xml:space="preserve"> </w:t>
            </w:r>
            <w:r w:rsidRPr="005D4222">
              <w:t>rationale</w:t>
            </w:r>
          </w:p>
        </w:tc>
        <w:tc>
          <w:tcPr>
            <w:tcW w:w="3890" w:type="pct"/>
            <w:gridSpan w:val="3"/>
            <w:tcMar>
              <w:top w:w="0" w:type="dxa"/>
              <w:left w:w="86" w:type="dxa"/>
              <w:bottom w:w="43" w:type="dxa"/>
              <w:right w:w="86" w:type="dxa"/>
            </w:tcMar>
          </w:tcPr>
          <w:p w14:paraId="05296B28" w14:textId="77777777" w:rsidR="00734593" w:rsidRPr="005D4222" w:rsidRDefault="00734593" w:rsidP="00F1766C">
            <w:pPr>
              <w:pStyle w:val="ECDSBody"/>
            </w:pPr>
            <w:r w:rsidRPr="005D4222">
              <w:t xml:space="preserve">The American Academy of Pediatric Dentistry (AAPD) recommends that children receive their first clinical oral examination at the time of their first tooth eruption and no later than their first birthday; thereafter, it is recommended that the frequency of examinations be based on the child’s individual needs and susceptibility to disease. </w:t>
            </w:r>
          </w:p>
        </w:tc>
      </w:tr>
      <w:tr w:rsidR="00734593" w:rsidRPr="005D4222" w14:paraId="13A4C929" w14:textId="77777777">
        <w:tc>
          <w:tcPr>
            <w:tcW w:w="1110" w:type="pct"/>
            <w:shd w:val="clear" w:color="auto" w:fill="BFBFBF" w:themeFill="background1" w:themeFillShade="BF"/>
            <w:tcMar>
              <w:top w:w="0" w:type="dxa"/>
              <w:left w:w="86" w:type="dxa"/>
              <w:bottom w:w="43" w:type="dxa"/>
              <w:right w:w="86" w:type="dxa"/>
            </w:tcMar>
          </w:tcPr>
          <w:p w14:paraId="2E4085F8" w14:textId="77777777" w:rsidR="00734593" w:rsidRPr="005D4222" w:rsidRDefault="00734593" w:rsidP="00246AF3">
            <w:pPr>
              <w:pStyle w:val="ECDSMarginHead"/>
            </w:pPr>
            <w:r w:rsidRPr="005D4222">
              <w:t>Citations</w:t>
            </w:r>
          </w:p>
        </w:tc>
        <w:tc>
          <w:tcPr>
            <w:tcW w:w="3890" w:type="pct"/>
            <w:gridSpan w:val="3"/>
            <w:tcMar>
              <w:top w:w="0" w:type="dxa"/>
              <w:left w:w="86" w:type="dxa"/>
              <w:bottom w:w="43" w:type="dxa"/>
              <w:right w:w="86" w:type="dxa"/>
            </w:tcMar>
          </w:tcPr>
          <w:p w14:paraId="7C6040D9" w14:textId="77777777" w:rsidR="00734593" w:rsidRPr="005D4222" w:rsidRDefault="00734593" w:rsidP="00F1766C">
            <w:pPr>
              <w:pStyle w:val="ECDSBody"/>
            </w:pPr>
            <w:r w:rsidRPr="005D4222">
              <w:t xml:space="preserve">AAPD. 2018. Periodicity of Examination, Preventive Dental Services, “Anticipatory Guidance/Counseling, and Oral Treatment for Infants, Children, and Adolescents.” </w:t>
            </w:r>
            <w:r w:rsidRPr="005D4222">
              <w:rPr>
                <w:i/>
              </w:rPr>
              <w:t>The Reference Manual of Pediatric Dentistry</w:t>
            </w:r>
            <w:r w:rsidRPr="005D4222">
              <w:t xml:space="preserve"> 232–42.</w:t>
            </w:r>
          </w:p>
        </w:tc>
      </w:tr>
      <w:tr w:rsidR="00734593" w:rsidRPr="005D4222" w14:paraId="478865AB" w14:textId="77777777">
        <w:tc>
          <w:tcPr>
            <w:tcW w:w="5000" w:type="pct"/>
            <w:gridSpan w:val="4"/>
            <w:tcBorders>
              <w:bottom w:val="single" w:sz="4" w:space="0" w:color="auto"/>
            </w:tcBorders>
            <w:shd w:val="clear" w:color="auto" w:fill="BFBFBF" w:themeFill="background1" w:themeFillShade="BF"/>
            <w:tcMar>
              <w:top w:w="0" w:type="dxa"/>
              <w:left w:w="86" w:type="dxa"/>
              <w:bottom w:w="43" w:type="dxa"/>
              <w:right w:w="86" w:type="dxa"/>
            </w:tcMar>
          </w:tcPr>
          <w:p w14:paraId="33C5D4FB" w14:textId="77777777" w:rsidR="00734593" w:rsidRPr="005D4222" w:rsidRDefault="00734593" w:rsidP="00246AF3">
            <w:pPr>
              <w:pStyle w:val="ECDSMarginHead"/>
            </w:pPr>
            <w:r w:rsidRPr="005D4222">
              <w:t>Characteristics</w:t>
            </w:r>
          </w:p>
        </w:tc>
      </w:tr>
      <w:tr w:rsidR="00734593" w:rsidRPr="005D4222" w14:paraId="5DF108ED" w14:textId="77777777">
        <w:tc>
          <w:tcPr>
            <w:tcW w:w="1110" w:type="pct"/>
            <w:tcBorders>
              <w:top w:val="single" w:sz="4" w:space="0" w:color="auto"/>
              <w:left w:val="single" w:sz="4" w:space="0" w:color="auto"/>
              <w:bottom w:val="nil"/>
              <w:right w:val="single" w:sz="4" w:space="0" w:color="auto"/>
            </w:tcBorders>
            <w:tcMar>
              <w:top w:w="0" w:type="dxa"/>
              <w:left w:w="86" w:type="dxa"/>
              <w:bottom w:w="43" w:type="dxa"/>
              <w:right w:w="86" w:type="dxa"/>
            </w:tcMar>
          </w:tcPr>
          <w:p w14:paraId="56B12BB5" w14:textId="77777777" w:rsidR="00734593" w:rsidRPr="005D4222" w:rsidRDefault="00734593" w:rsidP="00F1766C">
            <w:pPr>
              <w:pStyle w:val="ECDSSubhead"/>
            </w:pPr>
            <w:r w:rsidRPr="005D4222">
              <w:t>Scoring</w:t>
            </w:r>
          </w:p>
        </w:tc>
        <w:tc>
          <w:tcPr>
            <w:tcW w:w="3890" w:type="pct"/>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65E6AFBE" w14:textId="77777777" w:rsidR="00734593" w:rsidRPr="005D4222" w:rsidRDefault="00734593" w:rsidP="00F1766C">
            <w:pPr>
              <w:pStyle w:val="ECDSBody"/>
              <w:spacing w:after="0"/>
            </w:pPr>
            <w:r w:rsidRPr="005D4222">
              <w:t>Proportion.</w:t>
            </w:r>
          </w:p>
        </w:tc>
      </w:tr>
      <w:tr w:rsidR="00734593" w:rsidRPr="005D4222" w14:paraId="381FFFD0" w14:textId="77777777">
        <w:tc>
          <w:tcPr>
            <w:tcW w:w="1110" w:type="pct"/>
            <w:tcBorders>
              <w:top w:val="nil"/>
              <w:left w:val="single" w:sz="4" w:space="0" w:color="auto"/>
              <w:bottom w:val="nil"/>
              <w:right w:val="single" w:sz="4" w:space="0" w:color="auto"/>
            </w:tcBorders>
            <w:tcMar>
              <w:top w:w="0" w:type="dxa"/>
              <w:left w:w="86" w:type="dxa"/>
              <w:bottom w:w="43" w:type="dxa"/>
              <w:right w:w="86" w:type="dxa"/>
            </w:tcMar>
          </w:tcPr>
          <w:p w14:paraId="02F06470" w14:textId="77777777" w:rsidR="00734593" w:rsidRPr="005D4222" w:rsidRDefault="00734593" w:rsidP="00F1766C">
            <w:pPr>
              <w:pStyle w:val="ECDSSubhead"/>
            </w:pPr>
            <w:r w:rsidRPr="005D4222">
              <w:t>Type</w:t>
            </w:r>
          </w:p>
        </w:tc>
        <w:tc>
          <w:tcPr>
            <w:tcW w:w="3890" w:type="pct"/>
            <w:gridSpan w:val="3"/>
            <w:tcBorders>
              <w:top w:val="nil"/>
              <w:left w:val="single" w:sz="4" w:space="0" w:color="auto"/>
              <w:bottom w:val="nil"/>
              <w:right w:val="single" w:sz="4" w:space="0" w:color="auto"/>
            </w:tcBorders>
            <w:tcMar>
              <w:top w:w="0" w:type="dxa"/>
              <w:left w:w="86" w:type="dxa"/>
              <w:bottom w:w="43" w:type="dxa"/>
              <w:right w:w="86" w:type="dxa"/>
            </w:tcMar>
          </w:tcPr>
          <w:p w14:paraId="5B49C539" w14:textId="77777777" w:rsidR="00734593" w:rsidRPr="005D4222" w:rsidRDefault="00734593" w:rsidP="00F1766C">
            <w:pPr>
              <w:pStyle w:val="ECDSBody"/>
              <w:spacing w:after="0"/>
            </w:pPr>
            <w:r w:rsidRPr="005D4222">
              <w:t>Process.</w:t>
            </w:r>
          </w:p>
        </w:tc>
      </w:tr>
      <w:tr w:rsidR="00734593" w:rsidRPr="005D4222" w14:paraId="5B4E4F8C" w14:textId="77777777">
        <w:tc>
          <w:tcPr>
            <w:tcW w:w="1110" w:type="pct"/>
            <w:tcBorders>
              <w:top w:val="nil"/>
              <w:left w:val="single" w:sz="4" w:space="0" w:color="auto"/>
              <w:bottom w:val="nil"/>
              <w:right w:val="single" w:sz="4" w:space="0" w:color="auto"/>
            </w:tcBorders>
            <w:tcMar>
              <w:top w:w="0" w:type="dxa"/>
              <w:left w:w="86" w:type="dxa"/>
              <w:bottom w:w="43" w:type="dxa"/>
              <w:right w:w="86" w:type="dxa"/>
            </w:tcMar>
          </w:tcPr>
          <w:p w14:paraId="3EA5B2D1" w14:textId="326AAAE0" w:rsidR="00734593" w:rsidRPr="005D4222" w:rsidRDefault="00B51CDC" w:rsidP="00F1766C">
            <w:pPr>
              <w:pStyle w:val="ECDSSubhead"/>
            </w:pPr>
            <w:r w:rsidRPr="005D4222">
              <w:t>Product lines</w:t>
            </w:r>
          </w:p>
        </w:tc>
        <w:tc>
          <w:tcPr>
            <w:tcW w:w="3890" w:type="pct"/>
            <w:gridSpan w:val="3"/>
            <w:tcBorders>
              <w:top w:val="nil"/>
              <w:left w:val="single" w:sz="4" w:space="0" w:color="auto"/>
              <w:bottom w:val="nil"/>
              <w:right w:val="single" w:sz="4" w:space="0" w:color="auto"/>
            </w:tcBorders>
            <w:tcMar>
              <w:top w:w="0" w:type="dxa"/>
              <w:left w:w="86" w:type="dxa"/>
              <w:bottom w:w="43" w:type="dxa"/>
              <w:right w:w="86" w:type="dxa"/>
            </w:tcMar>
          </w:tcPr>
          <w:p w14:paraId="75C9D71C" w14:textId="77777777" w:rsidR="00734593" w:rsidRPr="005D4222" w:rsidRDefault="00734593" w:rsidP="00F1766C">
            <w:pPr>
              <w:pStyle w:val="ECDSBody"/>
              <w:spacing w:after="0"/>
            </w:pPr>
            <w:r w:rsidRPr="005D4222">
              <w:t>Medicaid.</w:t>
            </w:r>
          </w:p>
        </w:tc>
      </w:tr>
      <w:tr w:rsidR="00734593" w:rsidRPr="005D4222" w14:paraId="03967726" w14:textId="77777777">
        <w:tc>
          <w:tcPr>
            <w:tcW w:w="1110" w:type="pct"/>
            <w:tcBorders>
              <w:top w:val="nil"/>
              <w:left w:val="single" w:sz="4" w:space="0" w:color="auto"/>
              <w:bottom w:val="nil"/>
              <w:right w:val="single" w:sz="4" w:space="0" w:color="auto"/>
            </w:tcBorders>
            <w:tcMar>
              <w:top w:w="0" w:type="dxa"/>
              <w:left w:w="86" w:type="dxa"/>
              <w:bottom w:w="43" w:type="dxa"/>
              <w:right w:w="86" w:type="dxa"/>
            </w:tcMar>
          </w:tcPr>
          <w:p w14:paraId="664E89CB" w14:textId="33C8AC5C" w:rsidR="00734593" w:rsidRPr="005D4222" w:rsidRDefault="00B51CDC" w:rsidP="00246AF3">
            <w:pPr>
              <w:pStyle w:val="ECDSSubhead"/>
            </w:pPr>
            <w:r w:rsidRPr="005D4222">
              <w:t>Stratifications</w:t>
            </w:r>
            <w:r w:rsidR="00734593" w:rsidRPr="005D4222">
              <w:t xml:space="preserve"> </w:t>
            </w:r>
          </w:p>
        </w:tc>
        <w:tc>
          <w:tcPr>
            <w:tcW w:w="3890" w:type="pct"/>
            <w:gridSpan w:val="3"/>
            <w:tcBorders>
              <w:top w:val="nil"/>
              <w:left w:val="single" w:sz="4" w:space="0" w:color="auto"/>
              <w:bottom w:val="nil"/>
              <w:right w:val="single" w:sz="4" w:space="0" w:color="auto"/>
            </w:tcBorders>
            <w:tcMar>
              <w:top w:w="0" w:type="dxa"/>
              <w:left w:w="86" w:type="dxa"/>
              <w:bottom w:w="43" w:type="dxa"/>
              <w:right w:w="86" w:type="dxa"/>
            </w:tcMar>
            <w:hideMark/>
          </w:tcPr>
          <w:p w14:paraId="6E092C13" w14:textId="77777777" w:rsidR="00734593" w:rsidRPr="005D4222" w:rsidRDefault="00734593" w:rsidP="00734593">
            <w:pPr>
              <w:tabs>
                <w:tab w:val="left" w:pos="1368"/>
              </w:tabs>
              <w:spacing w:before="120" w:after="80"/>
              <w:rPr>
                <w:rFonts w:eastAsia="Arial,Arial,Arial,Arial,Arial,A" w:cs="Arial"/>
                <w:bCs/>
                <w:szCs w:val="26"/>
              </w:rPr>
            </w:pPr>
            <w:r w:rsidRPr="005D4222">
              <w:rPr>
                <w:rFonts w:eastAsia="Arial,Arial,Arial,Arial,Arial,A" w:cs="Arial"/>
                <w:bCs/>
                <w:szCs w:val="26"/>
              </w:rPr>
              <w:t>Age as of the last day of the measurement period.</w:t>
            </w:r>
          </w:p>
          <w:p w14:paraId="70ECD45A" w14:textId="77777777" w:rsidR="00734593" w:rsidRPr="005D4222" w:rsidRDefault="00734593" w:rsidP="00F1766C">
            <w:pPr>
              <w:pStyle w:val="Bullet"/>
              <w:rPr>
                <w:rFonts w:eastAsia="Arial,Arial,Times New Roman"/>
              </w:rPr>
            </w:pPr>
            <w:r w:rsidRPr="005D4222">
              <w:t xml:space="preserve">0–2 </w:t>
            </w:r>
            <w:r w:rsidRPr="005D4222">
              <w:rPr>
                <w:rFonts w:eastAsia="Arial,Arial,Times New Roman"/>
              </w:rPr>
              <w:t>years.</w:t>
            </w:r>
          </w:p>
          <w:p w14:paraId="489B7FD9" w14:textId="77777777" w:rsidR="00734593" w:rsidRPr="005D4222" w:rsidRDefault="00734593" w:rsidP="00F1766C">
            <w:pPr>
              <w:pStyle w:val="Bullet"/>
              <w:rPr>
                <w:rFonts w:eastAsia="Arial,Arial,Arial,Arial,Arial,A"/>
              </w:rPr>
            </w:pPr>
            <w:r w:rsidRPr="005D4222">
              <w:rPr>
                <w:rFonts w:eastAsia="Arial,Arial,Arial,Arial,Arial,A"/>
              </w:rPr>
              <w:t>3–5 years.</w:t>
            </w:r>
          </w:p>
          <w:p w14:paraId="10848B1E" w14:textId="77777777" w:rsidR="00734593" w:rsidRPr="005D4222" w:rsidRDefault="00734593" w:rsidP="00F1766C">
            <w:pPr>
              <w:pStyle w:val="Bullet"/>
              <w:rPr>
                <w:rFonts w:eastAsia="Arial,Arial,Arial,Arial,Arial,A"/>
              </w:rPr>
            </w:pPr>
            <w:r w:rsidRPr="005D4222">
              <w:rPr>
                <w:rFonts w:eastAsia="Arial,Arial,Arial,Arial,Arial,A"/>
              </w:rPr>
              <w:t>6–14 years.</w:t>
            </w:r>
          </w:p>
          <w:p w14:paraId="47D9A4DC" w14:textId="77777777" w:rsidR="00734593" w:rsidRPr="005D4222" w:rsidRDefault="00734593" w:rsidP="00F1766C">
            <w:pPr>
              <w:pStyle w:val="Bullet"/>
              <w:rPr>
                <w:rFonts w:eastAsia="Arial,Arial,Arial,Arial,Arial,A"/>
              </w:rPr>
            </w:pPr>
            <w:r w:rsidRPr="005D4222">
              <w:rPr>
                <w:rFonts w:eastAsia="Arial,Arial,Arial,Arial,Arial,A"/>
              </w:rPr>
              <w:t>15–20 years.</w:t>
            </w:r>
          </w:p>
        </w:tc>
      </w:tr>
      <w:tr w:rsidR="00734593" w:rsidRPr="005D4222" w14:paraId="687F3F73" w14:textId="77777777" w:rsidTr="00F1766C">
        <w:tc>
          <w:tcPr>
            <w:tcW w:w="1110" w:type="pct"/>
            <w:tcBorders>
              <w:top w:val="nil"/>
              <w:left w:val="single" w:sz="4" w:space="0" w:color="auto"/>
              <w:bottom w:val="nil"/>
              <w:right w:val="single" w:sz="4" w:space="0" w:color="auto"/>
            </w:tcBorders>
            <w:tcMar>
              <w:top w:w="0" w:type="dxa"/>
              <w:left w:w="86" w:type="dxa"/>
              <w:bottom w:w="43" w:type="dxa"/>
              <w:right w:w="86" w:type="dxa"/>
            </w:tcMar>
          </w:tcPr>
          <w:p w14:paraId="3E659D82" w14:textId="77777777" w:rsidR="00734593" w:rsidRPr="005D4222" w:rsidRDefault="00734593" w:rsidP="00F1766C">
            <w:pPr>
              <w:pStyle w:val="ECDSSubhead"/>
            </w:pPr>
            <w:r w:rsidRPr="005D4222">
              <w:t>Risk adjustment</w:t>
            </w:r>
          </w:p>
        </w:tc>
        <w:tc>
          <w:tcPr>
            <w:tcW w:w="3890" w:type="pct"/>
            <w:gridSpan w:val="3"/>
            <w:tcBorders>
              <w:top w:val="nil"/>
              <w:left w:val="single" w:sz="4" w:space="0" w:color="auto"/>
              <w:bottom w:val="nil"/>
              <w:right w:val="single" w:sz="4" w:space="0" w:color="auto"/>
            </w:tcBorders>
            <w:tcMar>
              <w:top w:w="0" w:type="dxa"/>
              <w:left w:w="86" w:type="dxa"/>
              <w:bottom w:w="43" w:type="dxa"/>
              <w:right w:w="86" w:type="dxa"/>
            </w:tcMar>
            <w:hideMark/>
          </w:tcPr>
          <w:p w14:paraId="5B58609D" w14:textId="77777777" w:rsidR="00734593" w:rsidRPr="005D4222" w:rsidRDefault="00734593" w:rsidP="00F1766C">
            <w:pPr>
              <w:pStyle w:val="ECDSBody"/>
              <w:spacing w:after="0"/>
            </w:pPr>
            <w:r w:rsidRPr="005D4222">
              <w:t>None.</w:t>
            </w:r>
          </w:p>
        </w:tc>
      </w:tr>
      <w:tr w:rsidR="00734593" w:rsidRPr="005D4222" w14:paraId="054E8C47" w14:textId="77777777" w:rsidTr="00F1766C">
        <w:tc>
          <w:tcPr>
            <w:tcW w:w="1110" w:type="pct"/>
            <w:tcBorders>
              <w:top w:val="nil"/>
              <w:left w:val="single" w:sz="4" w:space="0" w:color="auto"/>
              <w:bottom w:val="single" w:sz="4" w:space="0" w:color="auto"/>
              <w:right w:val="single" w:sz="4" w:space="0" w:color="auto"/>
            </w:tcBorders>
            <w:tcMar>
              <w:top w:w="0" w:type="dxa"/>
              <w:left w:w="86" w:type="dxa"/>
              <w:bottom w:w="43" w:type="dxa"/>
              <w:right w:w="86" w:type="dxa"/>
            </w:tcMar>
          </w:tcPr>
          <w:p w14:paraId="74B20580" w14:textId="77777777" w:rsidR="00734593" w:rsidRPr="005D4222" w:rsidRDefault="00734593" w:rsidP="004424AB">
            <w:pPr>
              <w:pStyle w:val="ECDSSubhead"/>
              <w:spacing w:after="80"/>
            </w:pPr>
            <w:r w:rsidRPr="005D4222">
              <w:t>Improvement notation</w:t>
            </w:r>
          </w:p>
        </w:tc>
        <w:tc>
          <w:tcPr>
            <w:tcW w:w="3890" w:type="pct"/>
            <w:gridSpan w:val="3"/>
            <w:tcBorders>
              <w:top w:val="nil"/>
              <w:left w:val="single" w:sz="4" w:space="0" w:color="auto"/>
              <w:bottom w:val="single" w:sz="4" w:space="0" w:color="auto"/>
              <w:right w:val="single" w:sz="4" w:space="0" w:color="auto"/>
            </w:tcBorders>
            <w:tcMar>
              <w:top w:w="0" w:type="dxa"/>
              <w:left w:w="86" w:type="dxa"/>
              <w:bottom w:w="43" w:type="dxa"/>
              <w:right w:w="86" w:type="dxa"/>
            </w:tcMar>
            <w:hideMark/>
          </w:tcPr>
          <w:p w14:paraId="6C8A00D3" w14:textId="77777777" w:rsidR="00734593" w:rsidRPr="005D4222" w:rsidRDefault="00734593" w:rsidP="00F1766C">
            <w:pPr>
              <w:pStyle w:val="ECDSBody"/>
            </w:pPr>
            <w:r w:rsidRPr="005D4222">
              <w:rPr>
                <w:iCs/>
              </w:rPr>
              <w:t>Increased score indicates better performance.</w:t>
            </w:r>
          </w:p>
        </w:tc>
      </w:tr>
    </w:tbl>
    <w:p w14:paraId="5DBEF7B0" w14:textId="77777777" w:rsidR="00F1766C" w:rsidRPr="005D4222" w:rsidRDefault="00F1766C">
      <w:r w:rsidRPr="005D4222">
        <w:br w:type="page"/>
      </w:r>
    </w:p>
    <w:tbl>
      <w:tblPr>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F1766C" w:rsidRPr="005D4222" w14:paraId="4BAB257B" w14:textId="77777777" w:rsidTr="00F1766C">
        <w:tc>
          <w:tcPr>
            <w:tcW w:w="1110" w:type="pct"/>
            <w:tcBorders>
              <w:top w:val="single" w:sz="4" w:space="0" w:color="auto"/>
              <w:left w:val="single" w:sz="4" w:space="0" w:color="auto"/>
              <w:right w:val="single" w:sz="4" w:space="0" w:color="auto"/>
            </w:tcBorders>
            <w:tcMar>
              <w:top w:w="0" w:type="dxa"/>
              <w:left w:w="86" w:type="dxa"/>
              <w:bottom w:w="43" w:type="dxa"/>
              <w:right w:w="86" w:type="dxa"/>
            </w:tcMar>
          </w:tcPr>
          <w:p w14:paraId="31682961" w14:textId="77777777" w:rsidR="00F1766C" w:rsidRPr="005D4222" w:rsidRDefault="00F1766C" w:rsidP="00246AF3">
            <w:pPr>
              <w:pStyle w:val="ECDSSubhead"/>
            </w:pPr>
            <w:r w:rsidRPr="005D4222">
              <w:lastRenderedPageBreak/>
              <w:t>Guidance</w:t>
            </w:r>
          </w:p>
        </w:tc>
        <w:tc>
          <w:tcPr>
            <w:tcW w:w="3890" w:type="pct"/>
            <w:tcBorders>
              <w:top w:val="single" w:sz="4" w:space="0" w:color="auto"/>
              <w:left w:val="single" w:sz="4" w:space="0" w:color="auto"/>
              <w:right w:val="single" w:sz="4" w:space="0" w:color="auto"/>
            </w:tcBorders>
            <w:tcMar>
              <w:top w:w="0" w:type="dxa"/>
              <w:left w:w="86" w:type="dxa"/>
              <w:bottom w:w="43" w:type="dxa"/>
              <w:right w:w="86" w:type="dxa"/>
            </w:tcMar>
          </w:tcPr>
          <w:p w14:paraId="038EA493" w14:textId="5E1E7093" w:rsidR="00F1766C" w:rsidRPr="005D4222" w:rsidRDefault="00F1766C" w:rsidP="00F1766C">
            <w:pPr>
              <w:pStyle w:val="ECDSBody"/>
            </w:pPr>
            <w:r w:rsidRPr="005D4222">
              <w:rPr>
                <w:b/>
                <w:shd w:val="clear" w:color="auto" w:fill="FFFFFF"/>
              </w:rPr>
              <w:t>Data collection methodology:</w:t>
            </w:r>
            <w:r w:rsidRPr="005D4222">
              <w:rPr>
                <w:shd w:val="clear" w:color="auto" w:fill="FFFFFF"/>
              </w:rPr>
              <w:t xml:space="preserve"> Administrative. Refer to </w:t>
            </w:r>
            <w:hyperlink w:anchor="General_Guideline_Data_Collection_Method" w:history="1">
              <w:r w:rsidRPr="005D4222">
                <w:rPr>
                  <w:rStyle w:val="Hyperlink"/>
                  <w:i/>
                  <w:iCs/>
                  <w:shd w:val="clear" w:color="auto" w:fill="FFFFFF"/>
                </w:rPr>
                <w:t>General Guideline: Data Collection Methods</w:t>
              </w:r>
            </w:hyperlink>
            <w:r w:rsidRPr="005D4222">
              <w:rPr>
                <w:shd w:val="clear" w:color="auto" w:fill="FFFFFF"/>
              </w:rPr>
              <w:t xml:space="preserve"> for additional information.  </w:t>
            </w:r>
          </w:p>
          <w:p w14:paraId="124C5447" w14:textId="77777777" w:rsidR="00F1766C" w:rsidRPr="005D4222" w:rsidRDefault="00F1766C" w:rsidP="00F1766C">
            <w:pPr>
              <w:pStyle w:val="ECDSBody"/>
            </w:pPr>
            <w:r w:rsidRPr="005D4222">
              <w:rPr>
                <w:b/>
              </w:rPr>
              <w:t xml:space="preserve">Date specificity: </w:t>
            </w:r>
            <w:r w:rsidRPr="005D4222">
              <w:t>Dates must be specific enough to determine the event occurred in the period being measured.</w:t>
            </w:r>
          </w:p>
          <w:p w14:paraId="1549D61A" w14:textId="77777777" w:rsidR="00F1766C" w:rsidRPr="005D4222" w:rsidRDefault="00F1766C" w:rsidP="00F1766C">
            <w:pPr>
              <w:pStyle w:val="ECDSBody"/>
              <w:rPr>
                <w:b/>
                <w:color w:val="000000" w:themeColor="text1"/>
              </w:rPr>
            </w:pPr>
            <w:r w:rsidRPr="005D4222">
              <w:rPr>
                <w:b/>
              </w:rPr>
              <w:t xml:space="preserve">Which services count? </w:t>
            </w:r>
            <w:r w:rsidRPr="005D4222">
              <w:t>Use all paid, suspended, pending and denied claims.</w:t>
            </w:r>
          </w:p>
          <w:p w14:paraId="040840D0" w14:textId="64E64B21" w:rsidR="00F1766C" w:rsidRPr="005D4222" w:rsidRDefault="00F1766C" w:rsidP="00F1766C">
            <w:pPr>
              <w:pStyle w:val="ECDSBody"/>
            </w:pPr>
            <w:r w:rsidRPr="005D4222">
              <w:rPr>
                <w:b/>
              </w:rPr>
              <w:t xml:space="preserve">Other </w:t>
            </w:r>
            <w:r w:rsidR="00347EB7" w:rsidRPr="005D4222">
              <w:rPr>
                <w:b/>
              </w:rPr>
              <w:t>g</w:t>
            </w:r>
            <w:r w:rsidRPr="005D4222">
              <w:rPr>
                <w:b/>
              </w:rPr>
              <w:t>uidance</w:t>
            </w:r>
            <w:r w:rsidRPr="005D4222">
              <w:rPr>
                <w:b/>
                <w:bCs w:val="0"/>
              </w:rPr>
              <w:t>:</w:t>
            </w:r>
            <w:r w:rsidRPr="005D4222">
              <w:t xml:space="preserve"> For persons who meet the 180-day continuous enrollment requirement for two different Medicaid products in the measurement period, report them in both HEDIS reports.</w:t>
            </w:r>
          </w:p>
        </w:tc>
      </w:tr>
      <w:tr w:rsidR="00734593" w:rsidRPr="005D4222" w14:paraId="2D1C2E45" w14:textId="77777777" w:rsidTr="00F1766C">
        <w:tc>
          <w:tcPr>
            <w:tcW w:w="1110" w:type="pct"/>
            <w:shd w:val="clear" w:color="auto" w:fill="BFBFBF" w:themeFill="background1" w:themeFillShade="BF"/>
            <w:tcMar>
              <w:top w:w="0" w:type="dxa"/>
              <w:left w:w="86" w:type="dxa"/>
              <w:bottom w:w="43" w:type="dxa"/>
              <w:right w:w="86" w:type="dxa"/>
            </w:tcMar>
          </w:tcPr>
          <w:p w14:paraId="7B7E7798" w14:textId="77777777" w:rsidR="00734593" w:rsidRPr="005D4222" w:rsidRDefault="00734593" w:rsidP="00246AF3">
            <w:pPr>
              <w:pStyle w:val="ECDSMarginHead"/>
            </w:pPr>
            <w:r w:rsidRPr="005D4222">
              <w:t>Initial population</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DBF0E43" w14:textId="77777777" w:rsidR="00734593" w:rsidRPr="005D4222" w:rsidRDefault="00734593" w:rsidP="00347EB7">
            <w:pPr>
              <w:pStyle w:val="ECDSBody"/>
            </w:pPr>
            <w:r w:rsidRPr="005D4222">
              <w:rPr>
                <w:i/>
                <w:iCs/>
              </w:rPr>
              <w:t>Measure item count:</w:t>
            </w:r>
            <w:r w:rsidRPr="005D4222">
              <w:t xml:space="preserve"> Person.</w:t>
            </w:r>
          </w:p>
          <w:p w14:paraId="6592E68C" w14:textId="77777777" w:rsidR="00734593" w:rsidRPr="005D4222" w:rsidRDefault="00734593" w:rsidP="00347EB7">
            <w:pPr>
              <w:pStyle w:val="ECDSBody"/>
            </w:pPr>
            <w:r w:rsidRPr="005D4222">
              <w:rPr>
                <w:i/>
                <w:iCs/>
              </w:rPr>
              <w:t>Attribution basis:</w:t>
            </w:r>
            <w:r w:rsidRPr="005D4222">
              <w:t xml:space="preserve"> Enrollment.</w:t>
            </w:r>
          </w:p>
          <w:p w14:paraId="4FA36A44" w14:textId="77777777" w:rsidR="00734593" w:rsidRPr="005D4222" w:rsidRDefault="00734593" w:rsidP="00347EB7">
            <w:pPr>
              <w:pStyle w:val="Bullet"/>
            </w:pPr>
            <w:r w:rsidRPr="005D4222">
              <w:rPr>
                <w:i/>
                <w:iCs/>
              </w:rPr>
              <w:t>Benefits:</w:t>
            </w:r>
            <w:r w:rsidRPr="005D4222">
              <w:t xml:space="preserve"> Dental.</w:t>
            </w:r>
          </w:p>
          <w:p w14:paraId="4B3091A3" w14:textId="77777777" w:rsidR="00734593" w:rsidRPr="005D4222" w:rsidRDefault="00734593" w:rsidP="00347EB7">
            <w:pPr>
              <w:pStyle w:val="Bullet"/>
            </w:pPr>
            <w:r w:rsidRPr="005D4222">
              <w:rPr>
                <w:i/>
              </w:rPr>
              <w:t>Continuous enrollment:</w:t>
            </w:r>
            <w:r w:rsidRPr="005D4222">
              <w:t xml:space="preserve"> 180 days during the measurement period.</w:t>
            </w:r>
          </w:p>
          <w:p w14:paraId="214FF960" w14:textId="77777777" w:rsidR="00734593" w:rsidRPr="005D4222" w:rsidRDefault="00734593" w:rsidP="00347EB7">
            <w:pPr>
              <w:pStyle w:val="Bullet"/>
            </w:pPr>
            <w:r w:rsidRPr="005D4222">
              <w:rPr>
                <w:i/>
                <w:iCs/>
              </w:rPr>
              <w:t>Allowable gap:</w:t>
            </w:r>
            <w:r w:rsidRPr="005D4222">
              <w:t xml:space="preserve"> None.</w:t>
            </w:r>
          </w:p>
          <w:p w14:paraId="141EA594" w14:textId="77777777" w:rsidR="00734593" w:rsidRPr="005D4222" w:rsidRDefault="00734593" w:rsidP="00347EB7">
            <w:pPr>
              <w:pStyle w:val="ECDSBody"/>
            </w:pPr>
            <w:r w:rsidRPr="005D4222">
              <w:rPr>
                <w:i/>
                <w:iCs/>
              </w:rPr>
              <w:t>Ages:</w:t>
            </w:r>
            <w:r w:rsidRPr="005D4222">
              <w:t xml:space="preserve"> Under 21 years of age as of the last day of the measurement period.</w:t>
            </w:r>
          </w:p>
          <w:p w14:paraId="76C2E01A" w14:textId="77777777" w:rsidR="00734593" w:rsidRPr="005D4222" w:rsidRDefault="00734593" w:rsidP="00347EB7">
            <w:pPr>
              <w:pStyle w:val="ECDSBody"/>
            </w:pPr>
            <w:r w:rsidRPr="005D4222">
              <w:rPr>
                <w:i/>
                <w:iCs/>
              </w:rPr>
              <w:t>Event:</w:t>
            </w:r>
            <w:r w:rsidRPr="005D4222">
              <w:t xml:space="preserve"> None.</w:t>
            </w:r>
          </w:p>
        </w:tc>
      </w:tr>
      <w:tr w:rsidR="00734593" w:rsidRPr="005D4222" w14:paraId="5B74CA5F" w14:textId="77777777" w:rsidTr="00F1766C">
        <w:tc>
          <w:tcPr>
            <w:tcW w:w="1110" w:type="pct"/>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D27EB67" w14:textId="77777777" w:rsidR="00734593" w:rsidRPr="005D4222" w:rsidRDefault="00734593" w:rsidP="00246AF3">
            <w:pPr>
              <w:pStyle w:val="ECDSMarginHead"/>
              <w:rPr>
                <w:i/>
                <w:iCs/>
              </w:rPr>
            </w:pPr>
            <w:r w:rsidRPr="005D4222">
              <w:t xml:space="preserve">Denominator exclusions </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6F7E9C31" w14:textId="77777777" w:rsidR="00734593" w:rsidRPr="005D4222" w:rsidRDefault="00734593" w:rsidP="00347EB7">
            <w:pPr>
              <w:pStyle w:val="ECDSBody"/>
              <w:rPr>
                <w:rFonts w:cs="Segoe UI"/>
                <w:szCs w:val="18"/>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p w14:paraId="673AF278" w14:textId="77777777" w:rsidR="00734593" w:rsidRPr="005D4222" w:rsidRDefault="00734593" w:rsidP="00347EB7">
            <w:pPr>
              <w:pStyle w:val="ECDSBody"/>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734593" w:rsidRPr="005D4222" w14:paraId="33066E60" w14:textId="77777777" w:rsidTr="00F1766C">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A84841E" w14:textId="77777777" w:rsidR="00734593" w:rsidRPr="005D4222" w:rsidRDefault="00734593" w:rsidP="00246AF3">
            <w:pPr>
              <w:pStyle w:val="ECDSMarginHead"/>
            </w:pPr>
            <w:r w:rsidRPr="005D4222">
              <w:t>Denominator</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8CD3210" w14:textId="77777777" w:rsidR="00734593" w:rsidRPr="005D4222" w:rsidRDefault="00734593" w:rsidP="00347EB7">
            <w:pPr>
              <w:pStyle w:val="ECDSBody"/>
            </w:pPr>
            <w:r w:rsidRPr="005D4222">
              <w:rPr>
                <w:rFonts w:eastAsia="Arial,Arial,Arial,Arial,Arial,A"/>
              </w:rPr>
              <w:t>The initial population minus denominator exclusions.</w:t>
            </w:r>
          </w:p>
        </w:tc>
      </w:tr>
      <w:tr w:rsidR="00734593" w:rsidRPr="005D4222" w14:paraId="104480A4" w14:textId="77777777" w:rsidTr="00F1766C">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8C51532" w14:textId="77777777" w:rsidR="00734593" w:rsidRPr="005D4222" w:rsidRDefault="00734593" w:rsidP="00246AF3">
            <w:pPr>
              <w:pStyle w:val="ECDSMarginHead"/>
            </w:pPr>
            <w:r w:rsidRPr="005D4222">
              <w:t>Numerator</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5BCADB1B" w14:textId="77777777" w:rsidR="00734593" w:rsidRPr="005D4222" w:rsidRDefault="00734593" w:rsidP="00347EB7">
            <w:pPr>
              <w:pStyle w:val="ECDSBody"/>
              <w:rPr>
                <w:rFonts w:eastAsia="Arial,Arial,Arial,Arial,Arial,A"/>
                <w:color w:val="000000" w:themeColor="text1"/>
                <w:highlight w:val="yellow"/>
              </w:rPr>
            </w:pPr>
            <w:r w:rsidRPr="005D4222">
              <w:rPr>
                <w:b/>
              </w:rPr>
              <w:t>A comprehensive or periodic oral evaluation.</w:t>
            </w:r>
            <w:r w:rsidRPr="005D4222">
              <w:rPr>
                <w:b/>
              </w:rPr>
              <w:br/>
            </w:r>
            <w:r w:rsidRPr="005D4222">
              <w:t>A comprehensive or periodic oral evaluation (</w:t>
            </w:r>
            <w:r w:rsidRPr="005D4222">
              <w:rPr>
                <w:u w:val="single"/>
              </w:rPr>
              <w:t>Oral Evaluation Value Set</w:t>
            </w:r>
            <w:r w:rsidRPr="005D4222">
              <w:t>) with a dental provider (</w:t>
            </w:r>
            <w:r w:rsidRPr="005D4222">
              <w:rPr>
                <w:u w:val="single"/>
              </w:rPr>
              <w:t>Dental Provider Value Set</w:t>
            </w:r>
            <w:r w:rsidRPr="005D4222">
              <w:t xml:space="preserve">) during the measurement period. </w:t>
            </w:r>
            <w:r w:rsidRPr="005D4222">
              <w:rPr>
                <w:rFonts w:eastAsia="Arial,Arial,Arial,Arial,Arial,A"/>
                <w:color w:val="000000" w:themeColor="text1"/>
                <w:highlight w:val="yellow"/>
              </w:rPr>
              <w:t xml:space="preserve"> </w:t>
            </w:r>
          </w:p>
        </w:tc>
      </w:tr>
      <w:tr w:rsidR="00734593" w:rsidRPr="005D4222" w14:paraId="1F29534A" w14:textId="77777777" w:rsidTr="00F1766C">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F07C149" w14:textId="77777777" w:rsidR="00734593" w:rsidRPr="005D4222" w:rsidRDefault="00734593" w:rsidP="00246AF3">
            <w:pPr>
              <w:pStyle w:val="ECDSMarginHead"/>
            </w:pPr>
            <w:r w:rsidRPr="005D4222">
              <w:t>Summary of changes</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78EDFB7" w14:textId="77777777" w:rsidR="00734593" w:rsidRPr="005D4222" w:rsidRDefault="00734593" w:rsidP="00347EB7">
            <w:pPr>
              <w:pStyle w:val="ProcessBullet"/>
              <w:spacing w:before="120"/>
            </w:pPr>
            <w:r w:rsidRPr="005D4222">
              <w:t xml:space="preserve">Revised the continuous enrollment criteria.  </w:t>
            </w:r>
          </w:p>
        </w:tc>
      </w:tr>
      <w:tr w:rsidR="00734593" w:rsidRPr="005D4222" w14:paraId="5B784977" w14:textId="77777777" w:rsidTr="00F1766C">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F6CEF44" w14:textId="77777777" w:rsidR="00734593" w:rsidRPr="005D4222" w:rsidRDefault="00734593" w:rsidP="00246AF3">
            <w:pPr>
              <w:pStyle w:val="ECDSMarginHead"/>
            </w:pPr>
            <w:r w:rsidRPr="005D4222">
              <w:t>Data element tables</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123ABB7" w14:textId="77777777" w:rsidR="00734593" w:rsidRPr="005D4222" w:rsidRDefault="00734593" w:rsidP="00734593">
            <w:pPr>
              <w:tabs>
                <w:tab w:val="left" w:pos="1368"/>
              </w:tabs>
              <w:spacing w:before="120" w:after="80"/>
              <w:rPr>
                <w:rFonts w:cs="Arial"/>
                <w:bCs/>
                <w:szCs w:val="26"/>
              </w:rPr>
            </w:pPr>
            <w:r w:rsidRPr="005D4222">
              <w:rPr>
                <w:rFonts w:cs="Arial"/>
                <w:bCs/>
                <w:szCs w:val="26"/>
              </w:rPr>
              <w:t>Organizations that submit HEDIS data to NCQA must provide the following data elements.</w:t>
            </w:r>
          </w:p>
          <w:p w14:paraId="307F652C" w14:textId="77777777" w:rsidR="00734593" w:rsidRPr="005D4222" w:rsidRDefault="00734593" w:rsidP="00734593">
            <w:pPr>
              <w:keepNext/>
              <w:spacing w:before="120" w:after="60"/>
              <w:outlineLvl w:val="2"/>
              <w:rPr>
                <w:rFonts w:cs="Arial"/>
                <w:b/>
                <w:bCs/>
                <w:i/>
                <w:sz w:val="18"/>
                <w:szCs w:val="26"/>
              </w:rPr>
            </w:pPr>
            <w:r w:rsidRPr="005D4222">
              <w:rPr>
                <w:rFonts w:cs="Arial"/>
                <w:b/>
                <w:bCs/>
                <w:i/>
                <w:sz w:val="18"/>
                <w:szCs w:val="26"/>
              </w:rPr>
              <w:t>Table OED-1: Data Elements for Oral Evaluation, Dental Services</w:t>
            </w:r>
          </w:p>
          <w:tbl>
            <w:tblPr>
              <w:tblW w:w="7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4"/>
              <w:gridCol w:w="715"/>
              <w:gridCol w:w="2239"/>
              <w:gridCol w:w="1881"/>
            </w:tblGrid>
            <w:tr w:rsidR="00734593" w:rsidRPr="005D4222" w14:paraId="70A4741A" w14:textId="77777777">
              <w:trPr>
                <w:cantSplit/>
                <w:trHeight w:val="557"/>
                <w:tblHeader/>
              </w:trPr>
              <w:tc>
                <w:tcPr>
                  <w:tcW w:w="2504"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tcMar>
                    <w:left w:w="72" w:type="dxa"/>
                    <w:right w:w="72" w:type="dxa"/>
                  </w:tcMar>
                  <w:vAlign w:val="bottom"/>
                  <w:hideMark/>
                </w:tcPr>
                <w:p w14:paraId="22590CB9" w14:textId="77777777" w:rsidR="00734593" w:rsidRPr="005D4222" w:rsidRDefault="00734593" w:rsidP="00246AF3">
                  <w:pPr>
                    <w:pStyle w:val="TableHead"/>
                    <w:rPr>
                      <w:rFonts w:eastAsia="Arial Narrow"/>
                    </w:rPr>
                  </w:pPr>
                  <w:r w:rsidRPr="005D4222">
                    <w:rPr>
                      <w:rFonts w:eastAsia="Arial Narrow"/>
                    </w:rPr>
                    <w:t>Metric</w:t>
                  </w:r>
                </w:p>
              </w:tc>
              <w:tc>
                <w:tcPr>
                  <w:tcW w:w="715"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72" w:type="dxa"/>
                    <w:right w:w="72" w:type="dxa"/>
                  </w:tcMar>
                  <w:vAlign w:val="bottom"/>
                  <w:hideMark/>
                </w:tcPr>
                <w:p w14:paraId="4D49D07A" w14:textId="77777777" w:rsidR="00734593" w:rsidRPr="005D4222" w:rsidRDefault="00734593" w:rsidP="00246AF3">
                  <w:pPr>
                    <w:pStyle w:val="TableHead"/>
                    <w:rPr>
                      <w:rFonts w:eastAsia="Arial Narrow"/>
                    </w:rPr>
                  </w:pPr>
                  <w:r w:rsidRPr="005D4222">
                    <w:rPr>
                      <w:rFonts w:eastAsia="Arial Narrow"/>
                    </w:rPr>
                    <w:t>Age</w:t>
                  </w:r>
                </w:p>
              </w:tc>
              <w:tc>
                <w:tcPr>
                  <w:tcW w:w="2239"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72" w:type="dxa"/>
                    <w:right w:w="72" w:type="dxa"/>
                  </w:tcMar>
                  <w:vAlign w:val="bottom"/>
                  <w:hideMark/>
                </w:tcPr>
                <w:p w14:paraId="23CFA5CC" w14:textId="77777777" w:rsidR="00734593" w:rsidRPr="005D4222" w:rsidRDefault="00734593" w:rsidP="00246AF3">
                  <w:pPr>
                    <w:pStyle w:val="TableHead"/>
                    <w:rPr>
                      <w:rFonts w:eastAsia="Arial Narrow"/>
                    </w:rPr>
                  </w:pPr>
                  <w:r w:rsidRPr="005D4222">
                    <w:rPr>
                      <w:rFonts w:eastAsia="Arial Narrow"/>
                    </w:rPr>
                    <w:t>Data Element</w:t>
                  </w:r>
                </w:p>
              </w:tc>
              <w:tc>
                <w:tcPr>
                  <w:tcW w:w="1881" w:type="dxa"/>
                  <w:tcBorders>
                    <w:top w:val="single" w:sz="4" w:space="0" w:color="000000" w:themeColor="text1"/>
                    <w:left w:val="single" w:sz="4" w:space="0" w:color="FFFFFF" w:themeColor="background1"/>
                    <w:bottom w:val="single" w:sz="4" w:space="0" w:color="000000" w:themeColor="text1"/>
                    <w:right w:val="single" w:sz="4" w:space="0" w:color="auto"/>
                  </w:tcBorders>
                  <w:shd w:val="clear" w:color="auto" w:fill="000000" w:themeFill="text1"/>
                  <w:tcMar>
                    <w:left w:w="72" w:type="dxa"/>
                    <w:right w:w="72" w:type="dxa"/>
                  </w:tcMar>
                  <w:vAlign w:val="bottom"/>
                  <w:hideMark/>
                </w:tcPr>
                <w:p w14:paraId="701855E7" w14:textId="77777777" w:rsidR="00734593" w:rsidRPr="005D4222" w:rsidRDefault="00734593" w:rsidP="00246AF3">
                  <w:pPr>
                    <w:pStyle w:val="TableHead"/>
                    <w:rPr>
                      <w:rFonts w:eastAsia="Arial Narrow"/>
                    </w:rPr>
                  </w:pPr>
                  <w:r w:rsidRPr="005D4222">
                    <w:rPr>
                      <w:rFonts w:eastAsia="Arial Narrow"/>
                    </w:rPr>
                    <w:t>Reporting Instructions</w:t>
                  </w:r>
                </w:p>
              </w:tc>
            </w:tr>
            <w:tr w:rsidR="00734593" w:rsidRPr="005D4222" w14:paraId="17ECB78E" w14:textId="77777777">
              <w:trPr>
                <w:cantSplit/>
              </w:trPr>
              <w:tc>
                <w:tcPr>
                  <w:tcW w:w="2504" w:type="dxa"/>
                  <w:tcBorders>
                    <w:top w:val="single" w:sz="4" w:space="0" w:color="000000" w:themeColor="text1"/>
                    <w:left w:val="single" w:sz="4" w:space="0" w:color="auto"/>
                    <w:bottom w:val="single" w:sz="4" w:space="0" w:color="auto"/>
                    <w:right w:val="single" w:sz="4" w:space="0" w:color="auto"/>
                  </w:tcBorders>
                  <w:tcMar>
                    <w:left w:w="72" w:type="dxa"/>
                    <w:right w:w="72" w:type="dxa"/>
                  </w:tcMar>
                  <w:hideMark/>
                </w:tcPr>
                <w:p w14:paraId="70070CF1" w14:textId="77777777" w:rsidR="00734593" w:rsidRPr="005D4222" w:rsidRDefault="00734593" w:rsidP="00347EB7">
                  <w:pPr>
                    <w:pStyle w:val="TableText"/>
                    <w:rPr>
                      <w:rFonts w:eastAsia="Arial Narrow"/>
                    </w:rPr>
                  </w:pPr>
                  <w:r w:rsidRPr="005D4222">
                    <w:t>OralEvaluationDentalServices</w:t>
                  </w:r>
                </w:p>
              </w:tc>
              <w:tc>
                <w:tcPr>
                  <w:tcW w:w="715" w:type="dxa"/>
                  <w:tcBorders>
                    <w:top w:val="single" w:sz="4" w:space="0" w:color="000000" w:themeColor="text1"/>
                    <w:left w:val="single" w:sz="4" w:space="0" w:color="auto"/>
                    <w:bottom w:val="single" w:sz="4" w:space="0" w:color="auto"/>
                    <w:right w:val="single" w:sz="4" w:space="0" w:color="auto"/>
                  </w:tcBorders>
                  <w:tcMar>
                    <w:left w:w="72" w:type="dxa"/>
                    <w:right w:w="72" w:type="dxa"/>
                  </w:tcMar>
                  <w:hideMark/>
                </w:tcPr>
                <w:p w14:paraId="5988715C" w14:textId="77777777" w:rsidR="00734593" w:rsidRPr="005D4222" w:rsidRDefault="00734593" w:rsidP="00347EB7">
                  <w:pPr>
                    <w:pStyle w:val="TableText"/>
                    <w:rPr>
                      <w:rFonts w:eastAsia="Arial Narrow"/>
                    </w:rPr>
                  </w:pPr>
                  <w:r w:rsidRPr="005D4222">
                    <w:t>0-2</w:t>
                  </w:r>
                </w:p>
              </w:tc>
              <w:tc>
                <w:tcPr>
                  <w:tcW w:w="2239"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6271C158" w14:textId="77777777" w:rsidR="00734593" w:rsidRPr="005D4222" w:rsidRDefault="00734593" w:rsidP="00347EB7">
                  <w:pPr>
                    <w:pStyle w:val="TableText"/>
                    <w:rPr>
                      <w:rFonts w:eastAsia="Arial Narrow"/>
                    </w:rPr>
                  </w:pPr>
                  <w:r w:rsidRPr="005D4222">
                    <w:t>Benefit</w:t>
                  </w:r>
                </w:p>
              </w:tc>
              <w:tc>
                <w:tcPr>
                  <w:tcW w:w="1881"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41132E87" w14:textId="77777777" w:rsidR="00734593" w:rsidRPr="005D4222" w:rsidRDefault="00734593" w:rsidP="00347EB7">
                  <w:pPr>
                    <w:pStyle w:val="TableText"/>
                    <w:rPr>
                      <w:rFonts w:eastAsia="Arial Narrow"/>
                    </w:rPr>
                  </w:pPr>
                  <w:r w:rsidRPr="005D4222">
                    <w:rPr>
                      <w:rFonts w:eastAsia="Wingdings"/>
                    </w:rPr>
                    <w:t>Metadata</w:t>
                  </w:r>
                </w:p>
              </w:tc>
            </w:tr>
            <w:tr w:rsidR="00734593" w:rsidRPr="005D4222" w14:paraId="2764BC43" w14:textId="77777777">
              <w:trPr>
                <w:cantSplit/>
              </w:trPr>
              <w:tc>
                <w:tcPr>
                  <w:tcW w:w="2504" w:type="dxa"/>
                  <w:tcBorders>
                    <w:top w:val="single" w:sz="4" w:space="0" w:color="auto"/>
                    <w:left w:val="nil"/>
                    <w:bottom w:val="nil"/>
                    <w:right w:val="single" w:sz="4" w:space="0" w:color="auto"/>
                  </w:tcBorders>
                  <w:tcMar>
                    <w:left w:w="72" w:type="dxa"/>
                    <w:right w:w="72" w:type="dxa"/>
                  </w:tcMar>
                </w:tcPr>
                <w:p w14:paraId="6F4A7323" w14:textId="77777777" w:rsidR="00734593" w:rsidRPr="005D4222" w:rsidRDefault="00734593" w:rsidP="00347EB7">
                  <w:pPr>
                    <w:pStyle w:val="TableText"/>
                    <w:rPr>
                      <w:rFonts w:eastAsia="Arial Narrow"/>
                    </w:rPr>
                  </w:pPr>
                </w:p>
              </w:tc>
              <w:tc>
                <w:tcPr>
                  <w:tcW w:w="715"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162FFA88" w14:textId="77777777" w:rsidR="00734593" w:rsidRPr="005D4222" w:rsidRDefault="00734593" w:rsidP="00347EB7">
                  <w:pPr>
                    <w:pStyle w:val="TableText"/>
                    <w:rPr>
                      <w:rFonts w:eastAsia="Arial Narrow"/>
                    </w:rPr>
                  </w:pPr>
                  <w:r w:rsidRPr="005D4222">
                    <w:t>3-5</w:t>
                  </w:r>
                </w:p>
              </w:tc>
              <w:tc>
                <w:tcPr>
                  <w:tcW w:w="2239"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49AAEDC6" w14:textId="77777777" w:rsidR="00734593" w:rsidRPr="005D4222" w:rsidRDefault="00734593" w:rsidP="00347EB7">
                  <w:pPr>
                    <w:pStyle w:val="TableText"/>
                    <w:rPr>
                      <w:rFonts w:eastAsia="Arial Narrow"/>
                    </w:rPr>
                  </w:pPr>
                  <w:r w:rsidRPr="005D4222">
                    <w:t>InitialPopulation</w:t>
                  </w:r>
                </w:p>
              </w:tc>
              <w:tc>
                <w:tcPr>
                  <w:tcW w:w="1881"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3D70B1E0" w14:textId="77777777" w:rsidR="00734593" w:rsidRPr="005D4222" w:rsidRDefault="00734593" w:rsidP="00347EB7">
                  <w:pPr>
                    <w:pStyle w:val="TableText"/>
                    <w:rPr>
                      <w:rFonts w:eastAsia="Arial Narrow"/>
                    </w:rPr>
                  </w:pPr>
                  <w:r w:rsidRPr="005D4222">
                    <w:rPr>
                      <w:rFonts w:eastAsia="Wingdings"/>
                    </w:rPr>
                    <w:t>For each Stratification</w:t>
                  </w:r>
                </w:p>
              </w:tc>
            </w:tr>
            <w:tr w:rsidR="00734593" w:rsidRPr="005D4222" w14:paraId="3ED700DF" w14:textId="77777777">
              <w:trPr>
                <w:cantSplit/>
              </w:trPr>
              <w:tc>
                <w:tcPr>
                  <w:tcW w:w="2504" w:type="dxa"/>
                  <w:tcBorders>
                    <w:top w:val="nil"/>
                    <w:left w:val="nil"/>
                    <w:bottom w:val="nil"/>
                    <w:right w:val="single" w:sz="4" w:space="0" w:color="auto"/>
                  </w:tcBorders>
                  <w:tcMar>
                    <w:left w:w="72" w:type="dxa"/>
                    <w:right w:w="72" w:type="dxa"/>
                  </w:tcMar>
                </w:tcPr>
                <w:p w14:paraId="5E9720AB" w14:textId="77777777" w:rsidR="00734593" w:rsidRPr="005D4222" w:rsidRDefault="00734593" w:rsidP="00347EB7">
                  <w:pPr>
                    <w:pStyle w:val="TableText"/>
                    <w:rPr>
                      <w:rFonts w:eastAsia="Arial Narrow"/>
                    </w:rPr>
                  </w:pPr>
                </w:p>
              </w:tc>
              <w:tc>
                <w:tcPr>
                  <w:tcW w:w="715"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66CD2127" w14:textId="77777777" w:rsidR="00734593" w:rsidRPr="005D4222" w:rsidRDefault="00734593" w:rsidP="00347EB7">
                  <w:pPr>
                    <w:pStyle w:val="TableText"/>
                    <w:rPr>
                      <w:rFonts w:eastAsia="Arial Narrow"/>
                    </w:rPr>
                  </w:pPr>
                  <w:r w:rsidRPr="005D4222">
                    <w:t>6-14</w:t>
                  </w:r>
                </w:p>
              </w:tc>
              <w:tc>
                <w:tcPr>
                  <w:tcW w:w="2239"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667DB79F" w14:textId="77777777" w:rsidR="00734593" w:rsidRPr="005D4222" w:rsidRDefault="00734593" w:rsidP="00347EB7">
                  <w:pPr>
                    <w:pStyle w:val="TableText"/>
                  </w:pPr>
                  <w:r w:rsidRPr="005D4222">
                    <w:t>Exclusions</w:t>
                  </w:r>
                </w:p>
              </w:tc>
              <w:tc>
                <w:tcPr>
                  <w:tcW w:w="1881"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7FFA4286" w14:textId="77777777" w:rsidR="00734593" w:rsidRPr="005D4222" w:rsidRDefault="00734593" w:rsidP="00347EB7">
                  <w:pPr>
                    <w:pStyle w:val="TableText"/>
                    <w:rPr>
                      <w:rFonts w:eastAsia="Arial Narrow"/>
                    </w:rPr>
                  </w:pPr>
                  <w:r w:rsidRPr="005D4222">
                    <w:rPr>
                      <w:rFonts w:eastAsia="Wingdings"/>
                    </w:rPr>
                    <w:t>For each Stratification</w:t>
                  </w:r>
                </w:p>
              </w:tc>
            </w:tr>
            <w:tr w:rsidR="00734593" w:rsidRPr="005D4222" w14:paraId="164BD4BB" w14:textId="77777777">
              <w:trPr>
                <w:cantSplit/>
              </w:trPr>
              <w:tc>
                <w:tcPr>
                  <w:tcW w:w="2504" w:type="dxa"/>
                  <w:tcBorders>
                    <w:top w:val="nil"/>
                    <w:left w:val="nil"/>
                    <w:bottom w:val="nil"/>
                    <w:right w:val="single" w:sz="4" w:space="0" w:color="auto"/>
                  </w:tcBorders>
                  <w:tcMar>
                    <w:left w:w="72" w:type="dxa"/>
                    <w:right w:w="72" w:type="dxa"/>
                  </w:tcMar>
                </w:tcPr>
                <w:p w14:paraId="59493DF5" w14:textId="77777777" w:rsidR="00734593" w:rsidRPr="005D4222" w:rsidRDefault="00734593" w:rsidP="00347EB7">
                  <w:pPr>
                    <w:pStyle w:val="TableText"/>
                    <w:rPr>
                      <w:rFonts w:eastAsia="Arial Narrow"/>
                    </w:rPr>
                  </w:pPr>
                </w:p>
              </w:tc>
              <w:tc>
                <w:tcPr>
                  <w:tcW w:w="715" w:type="dxa"/>
                  <w:tcBorders>
                    <w:top w:val="single" w:sz="4" w:space="0" w:color="auto"/>
                    <w:left w:val="single" w:sz="4" w:space="0" w:color="auto"/>
                    <w:bottom w:val="single" w:sz="4" w:space="0" w:color="auto"/>
                    <w:right w:val="single" w:sz="4" w:space="0" w:color="auto"/>
                  </w:tcBorders>
                  <w:tcMar>
                    <w:left w:w="72" w:type="dxa"/>
                    <w:right w:w="72" w:type="dxa"/>
                  </w:tcMar>
                </w:tcPr>
                <w:p w14:paraId="69DABCC3" w14:textId="77777777" w:rsidR="00734593" w:rsidRPr="005D4222" w:rsidRDefault="00734593" w:rsidP="00347EB7">
                  <w:pPr>
                    <w:pStyle w:val="TableText"/>
                  </w:pPr>
                  <w:r w:rsidRPr="005D4222">
                    <w:t xml:space="preserve">15-20 </w:t>
                  </w:r>
                </w:p>
              </w:tc>
              <w:tc>
                <w:tcPr>
                  <w:tcW w:w="2239" w:type="dxa"/>
                  <w:tcBorders>
                    <w:top w:val="single" w:sz="4" w:space="0" w:color="auto"/>
                    <w:left w:val="single" w:sz="4" w:space="0" w:color="auto"/>
                    <w:bottom w:val="single" w:sz="4" w:space="0" w:color="auto"/>
                    <w:right w:val="single" w:sz="4" w:space="0" w:color="auto"/>
                  </w:tcBorders>
                  <w:tcMar>
                    <w:left w:w="72" w:type="dxa"/>
                    <w:right w:w="72" w:type="dxa"/>
                  </w:tcMar>
                </w:tcPr>
                <w:p w14:paraId="0788801A" w14:textId="77777777" w:rsidR="00734593" w:rsidRPr="005D4222" w:rsidRDefault="00734593" w:rsidP="00347EB7">
                  <w:pPr>
                    <w:pStyle w:val="TableText"/>
                  </w:pPr>
                  <w:r w:rsidRPr="005D4222">
                    <w:t>Denominator</w:t>
                  </w:r>
                </w:p>
              </w:tc>
              <w:tc>
                <w:tcPr>
                  <w:tcW w:w="1881" w:type="dxa"/>
                  <w:tcBorders>
                    <w:top w:val="single" w:sz="4" w:space="0" w:color="auto"/>
                    <w:left w:val="single" w:sz="4" w:space="0" w:color="auto"/>
                    <w:bottom w:val="single" w:sz="4" w:space="0" w:color="auto"/>
                    <w:right w:val="single" w:sz="4" w:space="0" w:color="auto"/>
                  </w:tcBorders>
                  <w:tcMar>
                    <w:left w:w="72" w:type="dxa"/>
                    <w:right w:w="72" w:type="dxa"/>
                  </w:tcMar>
                </w:tcPr>
                <w:p w14:paraId="1AA71135" w14:textId="77777777" w:rsidR="00734593" w:rsidRPr="005D4222" w:rsidRDefault="00734593" w:rsidP="00347EB7">
                  <w:pPr>
                    <w:pStyle w:val="TableText"/>
                    <w:rPr>
                      <w:rFonts w:eastAsia="Wingdings"/>
                    </w:rPr>
                  </w:pPr>
                  <w:r w:rsidRPr="005D4222">
                    <w:rPr>
                      <w:rFonts w:eastAsia="Wingdings"/>
                    </w:rPr>
                    <w:t>For each Stratification</w:t>
                  </w:r>
                </w:p>
              </w:tc>
            </w:tr>
          </w:tbl>
          <w:p w14:paraId="7BA11F5F" w14:textId="77777777" w:rsidR="00294CCC" w:rsidRPr="005D4222" w:rsidRDefault="00294CCC">
            <w:pPr>
              <w:rPr>
                <w:sz w:val="10"/>
                <w:szCs w:val="10"/>
              </w:rPr>
            </w:pPr>
          </w:p>
          <w:tbl>
            <w:tblPr>
              <w:tblW w:w="7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4"/>
              <w:gridCol w:w="715"/>
              <w:gridCol w:w="2239"/>
              <w:gridCol w:w="1881"/>
            </w:tblGrid>
            <w:tr w:rsidR="00294CCC" w:rsidRPr="005D4222" w14:paraId="6B805861" w14:textId="77777777" w:rsidTr="00294CCC">
              <w:trPr>
                <w:cantSplit/>
                <w:trHeight w:val="557"/>
                <w:tblHeader/>
              </w:trPr>
              <w:tc>
                <w:tcPr>
                  <w:tcW w:w="2504"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tcMar>
                    <w:left w:w="72" w:type="dxa"/>
                    <w:right w:w="72" w:type="dxa"/>
                  </w:tcMar>
                  <w:vAlign w:val="bottom"/>
                  <w:hideMark/>
                </w:tcPr>
                <w:p w14:paraId="3538D037" w14:textId="77777777" w:rsidR="00294CCC" w:rsidRPr="005D4222" w:rsidRDefault="00294CCC" w:rsidP="00294CCC">
                  <w:pPr>
                    <w:pStyle w:val="TableHead"/>
                    <w:rPr>
                      <w:rFonts w:eastAsia="Arial Narrow"/>
                    </w:rPr>
                  </w:pPr>
                  <w:r w:rsidRPr="005D4222">
                    <w:rPr>
                      <w:rFonts w:eastAsia="Arial Narrow"/>
                    </w:rPr>
                    <w:t>Metric</w:t>
                  </w:r>
                </w:p>
              </w:tc>
              <w:tc>
                <w:tcPr>
                  <w:tcW w:w="715"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72" w:type="dxa"/>
                    <w:right w:w="72" w:type="dxa"/>
                  </w:tcMar>
                  <w:vAlign w:val="bottom"/>
                  <w:hideMark/>
                </w:tcPr>
                <w:p w14:paraId="5F98923D" w14:textId="77777777" w:rsidR="00294CCC" w:rsidRPr="005D4222" w:rsidRDefault="00294CCC" w:rsidP="00294CCC">
                  <w:pPr>
                    <w:pStyle w:val="TableHead"/>
                    <w:rPr>
                      <w:rFonts w:eastAsia="Arial Narrow"/>
                    </w:rPr>
                  </w:pPr>
                  <w:r w:rsidRPr="005D4222">
                    <w:rPr>
                      <w:rFonts w:eastAsia="Arial Narrow"/>
                    </w:rPr>
                    <w:t>Age</w:t>
                  </w:r>
                </w:p>
              </w:tc>
              <w:tc>
                <w:tcPr>
                  <w:tcW w:w="2239"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72" w:type="dxa"/>
                    <w:right w:w="72" w:type="dxa"/>
                  </w:tcMar>
                  <w:vAlign w:val="bottom"/>
                  <w:hideMark/>
                </w:tcPr>
                <w:p w14:paraId="7B2F1A34" w14:textId="77777777" w:rsidR="00294CCC" w:rsidRPr="005D4222" w:rsidRDefault="00294CCC" w:rsidP="00294CCC">
                  <w:pPr>
                    <w:pStyle w:val="TableHead"/>
                    <w:rPr>
                      <w:rFonts w:eastAsia="Arial Narrow"/>
                    </w:rPr>
                  </w:pPr>
                  <w:r w:rsidRPr="005D4222">
                    <w:rPr>
                      <w:rFonts w:eastAsia="Arial Narrow"/>
                    </w:rPr>
                    <w:t>Data Element</w:t>
                  </w:r>
                </w:p>
              </w:tc>
              <w:tc>
                <w:tcPr>
                  <w:tcW w:w="1881" w:type="dxa"/>
                  <w:tcBorders>
                    <w:top w:val="single" w:sz="4" w:space="0" w:color="000000" w:themeColor="text1"/>
                    <w:left w:val="single" w:sz="4" w:space="0" w:color="FFFFFF" w:themeColor="background1"/>
                    <w:bottom w:val="single" w:sz="4" w:space="0" w:color="000000" w:themeColor="text1"/>
                    <w:right w:val="single" w:sz="4" w:space="0" w:color="auto"/>
                  </w:tcBorders>
                  <w:shd w:val="clear" w:color="auto" w:fill="000000" w:themeFill="text1"/>
                  <w:tcMar>
                    <w:left w:w="72" w:type="dxa"/>
                    <w:right w:w="72" w:type="dxa"/>
                  </w:tcMar>
                  <w:vAlign w:val="bottom"/>
                  <w:hideMark/>
                </w:tcPr>
                <w:p w14:paraId="590D3A3F" w14:textId="77777777" w:rsidR="00294CCC" w:rsidRPr="005D4222" w:rsidRDefault="00294CCC" w:rsidP="00294CCC">
                  <w:pPr>
                    <w:pStyle w:val="TableHead"/>
                    <w:rPr>
                      <w:rFonts w:eastAsia="Arial Narrow"/>
                    </w:rPr>
                  </w:pPr>
                  <w:r w:rsidRPr="005D4222">
                    <w:rPr>
                      <w:rFonts w:eastAsia="Arial Narrow"/>
                    </w:rPr>
                    <w:t>Reporting Instructions</w:t>
                  </w:r>
                </w:p>
              </w:tc>
            </w:tr>
            <w:tr w:rsidR="00734593" w:rsidRPr="005D4222" w14:paraId="75ED5145" w14:textId="77777777" w:rsidTr="00294CCC">
              <w:trPr>
                <w:cantSplit/>
              </w:trPr>
              <w:tc>
                <w:tcPr>
                  <w:tcW w:w="2504" w:type="dxa"/>
                  <w:tcBorders>
                    <w:top w:val="nil"/>
                    <w:left w:val="nil"/>
                    <w:bottom w:val="nil"/>
                    <w:right w:val="single" w:sz="4" w:space="0" w:color="auto"/>
                  </w:tcBorders>
                  <w:tcMar>
                    <w:left w:w="72" w:type="dxa"/>
                    <w:right w:w="72" w:type="dxa"/>
                  </w:tcMar>
                </w:tcPr>
                <w:p w14:paraId="762CBF6E" w14:textId="77777777" w:rsidR="00734593" w:rsidRPr="005D4222" w:rsidRDefault="00734593" w:rsidP="00347EB7">
                  <w:pPr>
                    <w:pStyle w:val="TableText"/>
                    <w:rPr>
                      <w:rFonts w:eastAsia="Arial Narrow"/>
                    </w:rPr>
                  </w:pPr>
                </w:p>
              </w:tc>
              <w:tc>
                <w:tcPr>
                  <w:tcW w:w="71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Mar>
                    <w:left w:w="72" w:type="dxa"/>
                    <w:right w:w="72" w:type="dxa"/>
                  </w:tcMar>
                </w:tcPr>
                <w:p w14:paraId="2DB8D353" w14:textId="77777777" w:rsidR="00734593" w:rsidRPr="005D4222" w:rsidRDefault="00734593" w:rsidP="00347EB7">
                  <w:pPr>
                    <w:pStyle w:val="TableText"/>
                  </w:pPr>
                  <w:r w:rsidRPr="005D4222">
                    <w:t>Total</w:t>
                  </w:r>
                </w:p>
              </w:tc>
              <w:tc>
                <w:tcPr>
                  <w:tcW w:w="2239" w:type="dxa"/>
                  <w:tcBorders>
                    <w:top w:val="single" w:sz="4" w:space="0" w:color="auto"/>
                    <w:left w:val="single" w:sz="4" w:space="0" w:color="auto"/>
                    <w:bottom w:val="single" w:sz="4" w:space="0" w:color="auto"/>
                    <w:right w:val="single" w:sz="4" w:space="0" w:color="auto"/>
                  </w:tcBorders>
                  <w:tcMar>
                    <w:left w:w="72" w:type="dxa"/>
                    <w:right w:w="72" w:type="dxa"/>
                  </w:tcMar>
                </w:tcPr>
                <w:p w14:paraId="268FF471" w14:textId="77777777" w:rsidR="00734593" w:rsidRPr="005D4222" w:rsidRDefault="00734593" w:rsidP="00347EB7">
                  <w:pPr>
                    <w:pStyle w:val="TableText"/>
                  </w:pPr>
                  <w:r w:rsidRPr="005D4222">
                    <w:t>NumeratorByAdmin</w:t>
                  </w:r>
                </w:p>
              </w:tc>
              <w:tc>
                <w:tcPr>
                  <w:tcW w:w="1881" w:type="dxa"/>
                  <w:tcBorders>
                    <w:top w:val="single" w:sz="4" w:space="0" w:color="auto"/>
                    <w:left w:val="single" w:sz="4" w:space="0" w:color="auto"/>
                    <w:bottom w:val="single" w:sz="4" w:space="0" w:color="auto"/>
                    <w:right w:val="single" w:sz="4" w:space="0" w:color="auto"/>
                  </w:tcBorders>
                  <w:tcMar>
                    <w:left w:w="72" w:type="dxa"/>
                    <w:right w:w="72" w:type="dxa"/>
                  </w:tcMar>
                </w:tcPr>
                <w:p w14:paraId="7BA14BFE" w14:textId="77777777" w:rsidR="00734593" w:rsidRPr="005D4222" w:rsidRDefault="00734593" w:rsidP="00347EB7">
                  <w:pPr>
                    <w:pStyle w:val="TableText"/>
                    <w:rPr>
                      <w:rFonts w:eastAsia="Wingdings"/>
                    </w:rPr>
                  </w:pPr>
                  <w:r w:rsidRPr="005D4222">
                    <w:rPr>
                      <w:rFonts w:eastAsia="Wingdings"/>
                    </w:rPr>
                    <w:t>For each Stratification</w:t>
                  </w:r>
                </w:p>
              </w:tc>
            </w:tr>
            <w:tr w:rsidR="00734593" w:rsidRPr="005D4222" w14:paraId="22DB8E48" w14:textId="77777777" w:rsidTr="00294CCC">
              <w:trPr>
                <w:cantSplit/>
              </w:trPr>
              <w:tc>
                <w:tcPr>
                  <w:tcW w:w="2504" w:type="dxa"/>
                  <w:tcBorders>
                    <w:top w:val="nil"/>
                    <w:left w:val="nil"/>
                    <w:bottom w:val="nil"/>
                    <w:right w:val="nil"/>
                  </w:tcBorders>
                  <w:tcMar>
                    <w:left w:w="72" w:type="dxa"/>
                    <w:right w:w="72" w:type="dxa"/>
                  </w:tcMar>
                </w:tcPr>
                <w:p w14:paraId="2C53C9F7" w14:textId="77777777" w:rsidR="00734593" w:rsidRPr="005D4222" w:rsidRDefault="00734593" w:rsidP="00347EB7">
                  <w:pPr>
                    <w:pStyle w:val="TableText"/>
                    <w:rPr>
                      <w:rFonts w:eastAsia="Arial Narrow"/>
                    </w:rPr>
                  </w:pPr>
                </w:p>
              </w:tc>
              <w:tc>
                <w:tcPr>
                  <w:tcW w:w="715" w:type="dxa"/>
                  <w:tcBorders>
                    <w:top w:val="single" w:sz="4" w:space="0" w:color="auto"/>
                    <w:left w:val="nil"/>
                    <w:bottom w:val="nil"/>
                    <w:right w:val="single" w:sz="4" w:space="0" w:color="auto"/>
                  </w:tcBorders>
                  <w:shd w:val="clear" w:color="auto" w:fill="FFFFFF" w:themeFill="background1"/>
                  <w:tcMar>
                    <w:left w:w="72" w:type="dxa"/>
                    <w:right w:w="72" w:type="dxa"/>
                  </w:tcMar>
                </w:tcPr>
                <w:p w14:paraId="2577D2FD" w14:textId="77777777" w:rsidR="00734593" w:rsidRPr="005D4222" w:rsidRDefault="00734593" w:rsidP="00347EB7">
                  <w:pPr>
                    <w:pStyle w:val="TableText"/>
                  </w:pPr>
                </w:p>
              </w:tc>
              <w:tc>
                <w:tcPr>
                  <w:tcW w:w="2239" w:type="dxa"/>
                  <w:tcBorders>
                    <w:top w:val="single" w:sz="4" w:space="0" w:color="auto"/>
                    <w:left w:val="single" w:sz="4" w:space="0" w:color="auto"/>
                    <w:bottom w:val="single" w:sz="4" w:space="0" w:color="auto"/>
                    <w:right w:val="single" w:sz="4" w:space="0" w:color="auto"/>
                  </w:tcBorders>
                  <w:tcMar>
                    <w:left w:w="72" w:type="dxa"/>
                    <w:right w:w="72" w:type="dxa"/>
                  </w:tcMar>
                </w:tcPr>
                <w:p w14:paraId="00E5E79D" w14:textId="77777777" w:rsidR="00734593" w:rsidRPr="005D4222" w:rsidRDefault="00734593" w:rsidP="00347EB7">
                  <w:pPr>
                    <w:pStyle w:val="TableText"/>
                  </w:pPr>
                  <w:r w:rsidRPr="005D4222">
                    <w:t xml:space="preserve">NumeratorBySupplemental </w:t>
                  </w:r>
                </w:p>
              </w:tc>
              <w:tc>
                <w:tcPr>
                  <w:tcW w:w="1881" w:type="dxa"/>
                  <w:tcBorders>
                    <w:top w:val="single" w:sz="4" w:space="0" w:color="auto"/>
                    <w:left w:val="single" w:sz="4" w:space="0" w:color="auto"/>
                    <w:bottom w:val="single" w:sz="4" w:space="0" w:color="auto"/>
                    <w:right w:val="single" w:sz="4" w:space="0" w:color="auto"/>
                  </w:tcBorders>
                  <w:tcMar>
                    <w:left w:w="72" w:type="dxa"/>
                    <w:right w:w="72" w:type="dxa"/>
                  </w:tcMar>
                </w:tcPr>
                <w:p w14:paraId="0EF33241" w14:textId="77777777" w:rsidR="00734593" w:rsidRPr="005D4222" w:rsidRDefault="00734593" w:rsidP="00347EB7">
                  <w:pPr>
                    <w:pStyle w:val="TableText"/>
                    <w:rPr>
                      <w:rFonts w:eastAsia="Wingdings"/>
                    </w:rPr>
                  </w:pPr>
                  <w:r w:rsidRPr="005D4222">
                    <w:t>For each Stratification</w:t>
                  </w:r>
                </w:p>
              </w:tc>
            </w:tr>
            <w:tr w:rsidR="00734593" w:rsidRPr="005D4222" w14:paraId="0F30AA7F" w14:textId="77777777" w:rsidTr="00294CCC">
              <w:trPr>
                <w:cantSplit/>
              </w:trPr>
              <w:tc>
                <w:tcPr>
                  <w:tcW w:w="2504" w:type="dxa"/>
                  <w:tcBorders>
                    <w:top w:val="nil"/>
                    <w:left w:val="nil"/>
                    <w:bottom w:val="nil"/>
                    <w:right w:val="nil"/>
                  </w:tcBorders>
                  <w:tcMar>
                    <w:left w:w="72" w:type="dxa"/>
                    <w:right w:w="72" w:type="dxa"/>
                  </w:tcMar>
                </w:tcPr>
                <w:p w14:paraId="5BEE14A4" w14:textId="77777777" w:rsidR="00734593" w:rsidRPr="005D4222" w:rsidRDefault="00734593" w:rsidP="00347EB7">
                  <w:pPr>
                    <w:pStyle w:val="TableText"/>
                    <w:rPr>
                      <w:rFonts w:eastAsia="Arial Narrow"/>
                    </w:rPr>
                  </w:pPr>
                </w:p>
              </w:tc>
              <w:tc>
                <w:tcPr>
                  <w:tcW w:w="715" w:type="dxa"/>
                  <w:tcBorders>
                    <w:top w:val="nil"/>
                    <w:left w:val="nil"/>
                    <w:bottom w:val="nil"/>
                    <w:right w:val="single" w:sz="4" w:space="0" w:color="auto"/>
                  </w:tcBorders>
                  <w:shd w:val="clear" w:color="auto" w:fill="FFFFFF" w:themeFill="background1"/>
                  <w:tcMar>
                    <w:left w:w="72" w:type="dxa"/>
                    <w:right w:w="72" w:type="dxa"/>
                  </w:tcMar>
                </w:tcPr>
                <w:p w14:paraId="579ACDC7" w14:textId="77777777" w:rsidR="00734593" w:rsidRPr="005D4222" w:rsidRDefault="00734593" w:rsidP="00347EB7">
                  <w:pPr>
                    <w:pStyle w:val="TableText"/>
                  </w:pPr>
                </w:p>
              </w:tc>
              <w:tc>
                <w:tcPr>
                  <w:tcW w:w="22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68D5268E" w14:textId="77777777" w:rsidR="00734593" w:rsidRPr="005D4222" w:rsidRDefault="00734593" w:rsidP="00347EB7">
                  <w:pPr>
                    <w:pStyle w:val="TableText"/>
                  </w:pPr>
                  <w:r w:rsidRPr="005D4222">
                    <w:t>Rate</w:t>
                  </w:r>
                </w:p>
              </w:tc>
              <w:tc>
                <w:tcPr>
                  <w:tcW w:w="188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5434F891" w14:textId="24E19E13" w:rsidR="00734593" w:rsidRPr="005D4222" w:rsidRDefault="00734593" w:rsidP="00347EB7">
                  <w:pPr>
                    <w:pStyle w:val="TableText"/>
                  </w:pPr>
                  <w:r w:rsidRPr="005D4222">
                    <w:rPr>
                      <w:rFonts w:eastAsia="Wingdings"/>
                    </w:rPr>
                    <w:t>(Percent)</w:t>
                  </w:r>
                </w:p>
              </w:tc>
            </w:tr>
          </w:tbl>
          <w:p w14:paraId="5909791E" w14:textId="77777777" w:rsidR="00734593" w:rsidRPr="005D4222" w:rsidRDefault="00734593" w:rsidP="00734593">
            <w:pPr>
              <w:tabs>
                <w:tab w:val="left" w:pos="432"/>
              </w:tabs>
              <w:spacing w:before="40" w:after="40"/>
              <w:rPr>
                <w:rFonts w:cs="Arial"/>
                <w:color w:val="000000" w:themeColor="text1"/>
                <w:szCs w:val="21"/>
                <w:highlight w:val="yellow"/>
              </w:rPr>
            </w:pPr>
          </w:p>
        </w:tc>
      </w:tr>
      <w:tr w:rsidR="00734593" w:rsidRPr="005D4222" w14:paraId="4571DCF4" w14:textId="77777777" w:rsidTr="00F1766C">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0A744B4" w14:textId="77777777" w:rsidR="00734593" w:rsidRPr="005D4222" w:rsidRDefault="00734593" w:rsidP="00246AF3">
            <w:pPr>
              <w:pStyle w:val="ECDSMarginHead"/>
            </w:pPr>
            <w:r w:rsidRPr="005D4222">
              <w:lastRenderedPageBreak/>
              <w:t>Rules for Allowable Adjustments</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C038B81" w14:textId="77777777" w:rsidR="00734593" w:rsidRPr="005D4222" w:rsidRDefault="00734593" w:rsidP="00294CC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4F0B8CBC" w14:textId="77777777" w:rsidR="00734593" w:rsidRPr="005D4222" w:rsidRDefault="00734593" w:rsidP="00294CCC">
            <w:pPr>
              <w:pStyle w:val="ECDSBody"/>
              <w:rPr>
                <w:b/>
                <w:bCs w:val="0"/>
              </w:rPr>
            </w:pPr>
            <w:r w:rsidRPr="005D4222">
              <w:rPr>
                <w:b/>
                <w:bCs w:val="0"/>
              </w:rPr>
              <w:t>Adjusted HEDIS measures may not be used for HEDIS health plan reporting.</w:t>
            </w:r>
          </w:p>
          <w:p w14:paraId="0922DCF8" w14:textId="77777777" w:rsidR="00734593" w:rsidRPr="005D4222" w:rsidRDefault="00734593" w:rsidP="00246AF3">
            <w:pPr>
              <w:pStyle w:val="Adjustments"/>
            </w:pPr>
            <w:r w:rsidRPr="005D4222">
              <w:t>Adjustments</w:t>
            </w:r>
            <w:r w:rsidRPr="005D4222">
              <w:rPr>
                <w:bCs/>
              </w:rPr>
              <w:t xml:space="preserve"> a</w:t>
            </w:r>
            <w:r w:rsidRPr="005D4222">
              <w:t>llowed</w:t>
            </w:r>
          </w:p>
          <w:p w14:paraId="1983D350" w14:textId="73D3DAC2" w:rsidR="00734593" w:rsidRPr="005D4222" w:rsidRDefault="00734593" w:rsidP="00294CCC">
            <w:pPr>
              <w:pStyle w:val="ProcessBullet"/>
              <w:rPr>
                <w:b/>
              </w:rPr>
            </w:pPr>
            <w:r w:rsidRPr="005D4222">
              <w:rPr>
                <w:i/>
                <w:iCs/>
              </w:rPr>
              <w:t>Product lines</w:t>
            </w:r>
            <w:r w:rsidRPr="005D4222">
              <w:t>. Organizations are not required to use product line criteria; product lines may be combined</w:t>
            </w:r>
            <w:r w:rsidR="00E8671F" w:rsidRPr="005D4222">
              <w:t>,</w:t>
            </w:r>
            <w:r w:rsidRPr="005D4222">
              <w:t xml:space="preserve"> and all (or no) product line criteria may be used.</w:t>
            </w:r>
          </w:p>
          <w:p w14:paraId="714E66E5" w14:textId="77777777" w:rsidR="00734593" w:rsidRPr="005D4222" w:rsidRDefault="00734593" w:rsidP="00294CCC">
            <w:pPr>
              <w:pStyle w:val="ProcessBullet"/>
              <w:rPr>
                <w:color w:val="000000" w:themeColor="text1"/>
                <w:sz w:val="20"/>
              </w:rPr>
            </w:pPr>
            <w:r w:rsidRPr="005D4222">
              <w:rPr>
                <w:i/>
                <w:iCs/>
              </w:rPr>
              <w:t>Attribution.</w:t>
            </w:r>
            <w:r w:rsidRPr="005D4222">
              <w:t xml:space="preserve"> Organizations are not required to use enrollment criteria.</w:t>
            </w:r>
          </w:p>
          <w:p w14:paraId="67CE604A" w14:textId="084687AD" w:rsidR="00734593" w:rsidRPr="005D4222" w:rsidRDefault="00362E76" w:rsidP="00294CCC">
            <w:pPr>
              <w:pStyle w:val="ProcessBullet"/>
              <w:rPr>
                <w:b/>
                <w:bCs/>
                <w:color w:val="000000" w:themeColor="text1"/>
              </w:rPr>
            </w:pPr>
            <w:r w:rsidRPr="005D4222">
              <w:rPr>
                <w:i/>
                <w:iCs/>
              </w:rPr>
              <w:t>Benefits.</w:t>
            </w:r>
            <w:r w:rsidR="00734593" w:rsidRPr="005D4222">
              <w:t xml:space="preserve"> Organizations are not required to use a benefit.</w:t>
            </w:r>
          </w:p>
          <w:p w14:paraId="7350F5E2" w14:textId="77777777" w:rsidR="00734593" w:rsidRPr="005D4222" w:rsidRDefault="00734593" w:rsidP="00294CCC">
            <w:pPr>
              <w:pStyle w:val="ProcessBullet"/>
              <w:rPr>
                <w:i/>
                <w:iCs/>
              </w:rPr>
            </w:pPr>
            <w:r w:rsidRPr="005D4222">
              <w:rPr>
                <w:i/>
                <w:iCs/>
              </w:rPr>
              <w:t xml:space="preserve">Ages. </w:t>
            </w:r>
            <w:r w:rsidRPr="005D4222">
              <w:t xml:space="preserve">The denominator age range may be expanded. The age determination dates may be changed (e.g., select, “age as of June 30”). </w:t>
            </w:r>
          </w:p>
          <w:p w14:paraId="03F5DABD" w14:textId="73795FC5" w:rsidR="00734593" w:rsidRPr="005D4222" w:rsidRDefault="00734593" w:rsidP="00294CCC">
            <w:pPr>
              <w:pStyle w:val="ProcessBullet"/>
              <w:rPr>
                <w:b/>
                <w:bCs/>
                <w:color w:val="000000" w:themeColor="text1"/>
              </w:rPr>
            </w:pPr>
            <w:r w:rsidRPr="005D4222">
              <w:rPr>
                <w:i/>
                <w:iCs/>
              </w:rPr>
              <w:t>Other.</w:t>
            </w:r>
            <w:r w:rsidRPr="005D4222">
              <w:t xml:space="preserve"> Organizations may use additional initial population criteria to focus on an area of interest defined by gender, race</w:t>
            </w:r>
            <w:r w:rsidR="0061318E" w:rsidRPr="005D4222">
              <w:t>,</w:t>
            </w:r>
            <w:r w:rsidRPr="005D4222">
              <w:t xml:space="preserve"> ethnicity, socioeconomic</w:t>
            </w:r>
            <w:r w:rsidR="0061318E" w:rsidRPr="005D4222">
              <w:t xml:space="preserve"> or</w:t>
            </w:r>
            <w:r w:rsidRPr="005D4222">
              <w:t xml:space="preserve"> sociodemographic </w:t>
            </w:r>
            <w:r w:rsidR="00F31C68" w:rsidRPr="005D4222">
              <w:t>characteristics</w:t>
            </w:r>
            <w:r w:rsidRPr="005D4222">
              <w:t>, geographic region or another characteristic.</w:t>
            </w:r>
          </w:p>
          <w:p w14:paraId="09D52D0D" w14:textId="77777777" w:rsidR="00734593" w:rsidRPr="005D4222" w:rsidRDefault="00734593" w:rsidP="00294CCC">
            <w:pPr>
              <w:pStyle w:val="ProcessBullet"/>
              <w:rPr>
                <w:b/>
                <w:bCs/>
                <w:color w:val="000000" w:themeColor="text1"/>
              </w:rPr>
            </w:pPr>
            <w:r w:rsidRPr="005D4222">
              <w:rPr>
                <w:i/>
                <w:iCs/>
              </w:rPr>
              <w:t>Measurement period adjustments.</w:t>
            </w:r>
            <w:r w:rsidRPr="005D4222">
              <w:t xml:space="preserve"> Organizations may adjust the measurement period. </w:t>
            </w:r>
          </w:p>
          <w:p w14:paraId="522DFB87" w14:textId="294F739A" w:rsidR="00734593" w:rsidRPr="005D4222" w:rsidRDefault="00734593" w:rsidP="00294CCC">
            <w:pPr>
              <w:pStyle w:val="ProcessBullet"/>
              <w:rPr>
                <w:b/>
                <w:bCs/>
                <w:color w:val="000000" w:themeColor="text1"/>
              </w:rPr>
            </w:pPr>
            <w:r w:rsidRPr="005D4222">
              <w:rPr>
                <w:i/>
                <w:iCs/>
              </w:rPr>
              <w:t>Exclusions.</w:t>
            </w:r>
            <w:r w:rsidRPr="005D4222">
              <w:t xml:space="preserve"> </w:t>
            </w:r>
            <w:r w:rsidR="006C4038" w:rsidRPr="005D4222">
              <w:t>The h</w:t>
            </w:r>
            <w:r w:rsidRPr="005D4222">
              <w:t xml:space="preserve">ospice and deceased person exclusions are not required. </w:t>
            </w:r>
          </w:p>
          <w:p w14:paraId="49173F89" w14:textId="77EBF0D1" w:rsidR="00734593" w:rsidRPr="005D4222" w:rsidRDefault="00734593" w:rsidP="00294CCC">
            <w:pPr>
              <w:pStyle w:val="ProcessBullet"/>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w:t>
            </w:r>
            <w:r w:rsidR="00F45777" w:rsidRPr="005D4222">
              <w:t>events</w:t>
            </w:r>
            <w:r w:rsidRPr="005D4222">
              <w:t>, numerators and exclusions that do not allow the use of telehealth.</w:t>
            </w:r>
          </w:p>
          <w:p w14:paraId="1BED4E47" w14:textId="77777777" w:rsidR="00734593" w:rsidRPr="005D4222" w:rsidRDefault="00734593" w:rsidP="00294CCC">
            <w:pPr>
              <w:pStyle w:val="ProcessBullet"/>
            </w:pPr>
            <w:r w:rsidRPr="005D4222">
              <w:rPr>
                <w:i/>
                <w:iCs/>
              </w:rPr>
              <w:t>Supplemental data.</w:t>
            </w:r>
            <w:r w:rsidRPr="005D4222">
              <w:t xml:space="preserve"> Supplemental data may be used to identify initial population, denominator, exclusion and numerator events.</w:t>
            </w:r>
          </w:p>
          <w:p w14:paraId="79E0B5A8" w14:textId="77777777" w:rsidR="00734593" w:rsidRPr="005D4222" w:rsidRDefault="00734593" w:rsidP="00246AF3">
            <w:pPr>
              <w:pStyle w:val="Adjustments"/>
            </w:pPr>
            <w:r w:rsidRPr="005D4222">
              <w:t>Adjustments not allowed</w:t>
            </w:r>
          </w:p>
          <w:p w14:paraId="3CA5F341" w14:textId="77777777" w:rsidR="00734593" w:rsidRPr="005D4222" w:rsidRDefault="00734593" w:rsidP="00294CCC">
            <w:pPr>
              <w:pStyle w:val="ProcessBullet"/>
              <w:spacing w:after="80"/>
            </w:pPr>
            <w:r w:rsidRPr="005D4222">
              <w:rPr>
                <w:i/>
                <w:iCs/>
              </w:rPr>
              <w:t xml:space="preserve">Numerator. </w:t>
            </w:r>
            <w:r w:rsidRPr="005D4222">
              <w:t>The value sets and logic may not be changed.</w:t>
            </w:r>
          </w:p>
        </w:tc>
      </w:tr>
    </w:tbl>
    <w:p w14:paraId="3C00AE95" w14:textId="77777777" w:rsidR="00076ADF" w:rsidRPr="005D4222" w:rsidRDefault="00076ADF" w:rsidP="00112BA1">
      <w:pPr>
        <w:sectPr w:rsidR="00076ADF" w:rsidRPr="005D4222" w:rsidSect="0074514A">
          <w:headerReference w:type="default" r:id="rId87"/>
          <w:type w:val="nextColumn"/>
          <w:pgSz w:w="12240" w:h="15840" w:code="1"/>
          <w:pgMar w:top="1080" w:right="1080" w:bottom="1080" w:left="1440" w:header="720" w:footer="720" w:gutter="0"/>
          <w:cols w:space="720"/>
          <w:docGrid w:linePitch="360"/>
        </w:sectPr>
      </w:pPr>
    </w:p>
    <w:p w14:paraId="52823C1F" w14:textId="6B3D10A1" w:rsidR="00112BA1" w:rsidRPr="005D4222" w:rsidRDefault="00DD3DF2" w:rsidP="00DD3DF2">
      <w:pPr>
        <w:pStyle w:val="MeasureTitle"/>
      </w:pPr>
      <w:bookmarkStart w:id="274" w:name="_Toc201813391"/>
      <w:r w:rsidRPr="005D4222">
        <w:lastRenderedPageBreak/>
        <w:t>Topical Fluoride for Children</w:t>
      </w:r>
      <w:r w:rsidR="004C0737" w:rsidRPr="005D4222">
        <w:t xml:space="preserve"> (TFC)</w:t>
      </w:r>
      <w:bookmarkEnd w:id="274"/>
    </w:p>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4526"/>
        <w:gridCol w:w="1432"/>
        <w:gridCol w:w="1601"/>
      </w:tblGrid>
      <w:tr w:rsidR="00915B26" w:rsidRPr="005D4222" w14:paraId="515D9BBB" w14:textId="77777777" w:rsidTr="00915B26">
        <w:tc>
          <w:tcPr>
            <w:tcW w:w="1110" w:type="pct"/>
            <w:shd w:val="clear" w:color="auto" w:fill="BFBFBF" w:themeFill="background1" w:themeFillShade="BF"/>
            <w:tcMar>
              <w:top w:w="0" w:type="dxa"/>
              <w:left w:w="86" w:type="dxa"/>
              <w:bottom w:w="43" w:type="dxa"/>
              <w:right w:w="86" w:type="dxa"/>
            </w:tcMar>
            <w:hideMark/>
          </w:tcPr>
          <w:p w14:paraId="19862EBC" w14:textId="77777777" w:rsidR="00915B26" w:rsidRPr="005D4222" w:rsidRDefault="00915B26" w:rsidP="00915B26">
            <w:pPr>
              <w:pStyle w:val="ECDSMarginHead"/>
            </w:pPr>
            <w:r w:rsidRPr="005D4222">
              <w:t>Measure title</w:t>
            </w:r>
          </w:p>
        </w:tc>
        <w:tc>
          <w:tcPr>
            <w:tcW w:w="2329" w:type="pct"/>
            <w:tcMar>
              <w:top w:w="0" w:type="dxa"/>
              <w:left w:w="86" w:type="dxa"/>
              <w:bottom w:w="43" w:type="dxa"/>
              <w:right w:w="86" w:type="dxa"/>
            </w:tcMar>
          </w:tcPr>
          <w:p w14:paraId="4BBB9CE4" w14:textId="77777777" w:rsidR="00915B26" w:rsidRPr="005D4222" w:rsidRDefault="00915B26" w:rsidP="00915B26">
            <w:pPr>
              <w:pStyle w:val="ECDSBody"/>
            </w:pPr>
            <w:r w:rsidRPr="005D4222">
              <w:t>Topical Fluoride for Children</w:t>
            </w:r>
            <w:r w:rsidRPr="005D4222">
              <w:rPr>
                <w:b/>
              </w:rPr>
              <w:t>*</w:t>
            </w:r>
          </w:p>
        </w:tc>
        <w:tc>
          <w:tcPr>
            <w:tcW w:w="737" w:type="pct"/>
            <w:shd w:val="clear" w:color="auto" w:fill="BFBFBF" w:themeFill="background1" w:themeFillShade="BF"/>
            <w:tcMar>
              <w:top w:w="0" w:type="dxa"/>
              <w:left w:w="86" w:type="dxa"/>
              <w:bottom w:w="43" w:type="dxa"/>
              <w:right w:w="86" w:type="dxa"/>
            </w:tcMar>
          </w:tcPr>
          <w:p w14:paraId="777EB250" w14:textId="77777777" w:rsidR="00915B26" w:rsidRPr="005D4222" w:rsidRDefault="00915B26" w:rsidP="00915B26">
            <w:pPr>
              <w:pStyle w:val="ECDSMarginHead"/>
            </w:pPr>
            <w:r w:rsidRPr="005D4222">
              <w:t>Measure ID</w:t>
            </w:r>
          </w:p>
        </w:tc>
        <w:tc>
          <w:tcPr>
            <w:tcW w:w="824" w:type="pct"/>
            <w:tcMar>
              <w:top w:w="0" w:type="dxa"/>
              <w:left w:w="86" w:type="dxa"/>
              <w:bottom w:w="43" w:type="dxa"/>
              <w:right w:w="86" w:type="dxa"/>
            </w:tcMar>
          </w:tcPr>
          <w:p w14:paraId="528B9EF2" w14:textId="77777777" w:rsidR="00915B26" w:rsidRPr="005D4222" w:rsidRDefault="00915B26" w:rsidP="00915B26">
            <w:pPr>
              <w:pStyle w:val="ECDSBody"/>
            </w:pPr>
            <w:r w:rsidRPr="005D4222">
              <w:t>TFC</w:t>
            </w:r>
          </w:p>
        </w:tc>
      </w:tr>
      <w:tr w:rsidR="00915B26" w:rsidRPr="005D4222" w14:paraId="3F66D741" w14:textId="77777777" w:rsidTr="00915B26">
        <w:tc>
          <w:tcPr>
            <w:tcW w:w="1110" w:type="pct"/>
            <w:shd w:val="clear" w:color="auto" w:fill="BFBFBF" w:themeFill="background1" w:themeFillShade="BF"/>
            <w:tcMar>
              <w:top w:w="0" w:type="dxa"/>
              <w:left w:w="86" w:type="dxa"/>
              <w:bottom w:w="43" w:type="dxa"/>
              <w:right w:w="86" w:type="dxa"/>
            </w:tcMar>
            <w:hideMark/>
          </w:tcPr>
          <w:p w14:paraId="0F2C2B67" w14:textId="77777777" w:rsidR="00915B26" w:rsidRPr="005D4222" w:rsidRDefault="00915B26" w:rsidP="00915B26">
            <w:pPr>
              <w:pStyle w:val="ECDSMarginHead"/>
            </w:pPr>
            <w:r w:rsidRPr="005D4222">
              <w:t>Description</w:t>
            </w:r>
          </w:p>
        </w:tc>
        <w:tc>
          <w:tcPr>
            <w:tcW w:w="3890" w:type="pct"/>
            <w:gridSpan w:val="3"/>
            <w:tcMar>
              <w:top w:w="0" w:type="dxa"/>
              <w:left w:w="86" w:type="dxa"/>
              <w:bottom w:w="43" w:type="dxa"/>
              <w:right w:w="86" w:type="dxa"/>
            </w:tcMar>
          </w:tcPr>
          <w:p w14:paraId="2C89D96C" w14:textId="77777777" w:rsidR="00915B26" w:rsidRPr="005D4222" w:rsidRDefault="00915B26" w:rsidP="00915B26">
            <w:pPr>
              <w:pStyle w:val="ECDSBody"/>
            </w:pPr>
            <w:r w:rsidRPr="005D4222">
              <w:t>The percentage of persons 1–4 years of age who received at least two fluoride varnish applications during the measurement period.</w:t>
            </w:r>
          </w:p>
        </w:tc>
      </w:tr>
      <w:tr w:rsidR="00915B26" w:rsidRPr="005D4222" w14:paraId="3236E785" w14:textId="77777777" w:rsidTr="00915B26">
        <w:tc>
          <w:tcPr>
            <w:tcW w:w="1110" w:type="pct"/>
            <w:shd w:val="clear" w:color="auto" w:fill="BFBFBF" w:themeFill="background1" w:themeFillShade="BF"/>
            <w:tcMar>
              <w:top w:w="0" w:type="dxa"/>
              <w:left w:w="86" w:type="dxa"/>
              <w:bottom w:w="43" w:type="dxa"/>
              <w:right w:w="86" w:type="dxa"/>
            </w:tcMar>
          </w:tcPr>
          <w:p w14:paraId="675CBC57" w14:textId="77777777" w:rsidR="00915B26" w:rsidRPr="005D4222" w:rsidRDefault="00915B26" w:rsidP="00915B26">
            <w:pPr>
              <w:pStyle w:val="ECDSMarginHead"/>
            </w:pPr>
            <w:r w:rsidRPr="005D4222">
              <w:t>Measurement period</w:t>
            </w:r>
          </w:p>
        </w:tc>
        <w:tc>
          <w:tcPr>
            <w:tcW w:w="3890" w:type="pct"/>
            <w:gridSpan w:val="3"/>
            <w:tcMar>
              <w:top w:w="0" w:type="dxa"/>
              <w:left w:w="86" w:type="dxa"/>
              <w:bottom w:w="43" w:type="dxa"/>
              <w:right w:w="86" w:type="dxa"/>
            </w:tcMar>
          </w:tcPr>
          <w:p w14:paraId="6BB24CBD" w14:textId="77777777" w:rsidR="00915B26" w:rsidRPr="005D4222" w:rsidRDefault="00915B26" w:rsidP="00915B26">
            <w:pPr>
              <w:pStyle w:val="ECDSBody"/>
            </w:pPr>
            <w:r w:rsidRPr="005D4222">
              <w:t>January 1–December 31.</w:t>
            </w:r>
          </w:p>
        </w:tc>
      </w:tr>
      <w:tr w:rsidR="00915B26" w:rsidRPr="005D4222" w14:paraId="14899F9A" w14:textId="77777777" w:rsidTr="00915B26">
        <w:tc>
          <w:tcPr>
            <w:tcW w:w="1110" w:type="pct"/>
            <w:shd w:val="clear" w:color="auto" w:fill="BFBFBF" w:themeFill="background1" w:themeFillShade="BF"/>
            <w:tcMar>
              <w:top w:w="0" w:type="dxa"/>
              <w:left w:w="86" w:type="dxa"/>
              <w:bottom w:w="43" w:type="dxa"/>
              <w:right w:w="86" w:type="dxa"/>
            </w:tcMar>
            <w:hideMark/>
          </w:tcPr>
          <w:p w14:paraId="7F5CB2B4" w14:textId="77777777" w:rsidR="00915B26" w:rsidRPr="005D4222" w:rsidRDefault="00915B26" w:rsidP="00915B26">
            <w:pPr>
              <w:pStyle w:val="ECDSMarginHead"/>
              <w:rPr>
                <w:rFonts w:eastAsia="Arial"/>
              </w:rPr>
            </w:pPr>
            <w:r w:rsidRPr="005D4222">
              <w:rPr>
                <w:rFonts w:eastAsia="Arial"/>
              </w:rPr>
              <w:t>Copyright and disclaimer notice</w:t>
            </w:r>
          </w:p>
        </w:tc>
        <w:tc>
          <w:tcPr>
            <w:tcW w:w="3890" w:type="pct"/>
            <w:gridSpan w:val="3"/>
            <w:tcMar>
              <w:top w:w="0" w:type="dxa"/>
              <w:left w:w="86" w:type="dxa"/>
              <w:bottom w:w="43" w:type="dxa"/>
              <w:right w:w="86" w:type="dxa"/>
            </w:tcMar>
          </w:tcPr>
          <w:p w14:paraId="224097FB" w14:textId="1B1E1D52" w:rsidR="00915B26" w:rsidRPr="005D4222" w:rsidRDefault="00915B26" w:rsidP="00915B26">
            <w:pPr>
              <w:pStyle w:val="ECDSBody"/>
              <w:ind w:left="92" w:hanging="92"/>
              <w:rPr>
                <w:szCs w:val="21"/>
              </w:rPr>
            </w:pPr>
            <w:r w:rsidRPr="005D4222">
              <w:rPr>
                <w:szCs w:val="21"/>
              </w:rPr>
              <w:t>*</w:t>
            </w:r>
            <w:r w:rsidR="00DF4539" w:rsidRPr="005D4222">
              <w:t xml:space="preserve"> </w:t>
            </w:r>
            <w:r w:rsidR="00DF4539" w:rsidRPr="005D4222">
              <w:rPr>
                <w:i/>
                <w:iCs/>
                <w:szCs w:val="21"/>
              </w:rPr>
              <w:t>This measure has been adapted for HEDIS, with permission, from a measure owned by the American Dental Association (ADA) on behalf of the Dental Quality Alliance (DQA). ©ADA (on behalf of DQA).</w:t>
            </w:r>
          </w:p>
          <w:p w14:paraId="231343F0" w14:textId="77777777" w:rsidR="00915B26" w:rsidRPr="005D4222" w:rsidRDefault="00915B26" w:rsidP="00915B26">
            <w:pPr>
              <w:pStyle w:val="ECDSBody"/>
            </w:pPr>
            <w:r w:rsidRPr="005D4222">
              <w:t>Refer to the complete copyright and disclaimer information at the front of this publication.</w:t>
            </w:r>
          </w:p>
          <w:p w14:paraId="35221A2A" w14:textId="77777777" w:rsidR="00915B26" w:rsidRPr="005D4222" w:rsidRDefault="00915B26" w:rsidP="00915B26">
            <w:pPr>
              <w:pStyle w:val="ECDSBody"/>
            </w:pPr>
            <w:r w:rsidRPr="005D4222">
              <w:t xml:space="preserve">NCQA website: </w:t>
            </w:r>
            <w:r w:rsidRPr="005D4222">
              <w:rPr>
                <w:szCs w:val="21"/>
                <w:u w:val="single"/>
              </w:rPr>
              <w:t>www.ncqa.org</w:t>
            </w:r>
            <w:r w:rsidRPr="005D4222">
              <w:t>.</w:t>
            </w:r>
          </w:p>
          <w:p w14:paraId="78529E23" w14:textId="77777777" w:rsidR="00915B26" w:rsidRPr="005D4222" w:rsidRDefault="00915B26" w:rsidP="00915B26">
            <w:pPr>
              <w:pStyle w:val="ECDSBody"/>
              <w:rPr>
                <w:szCs w:val="21"/>
              </w:rPr>
            </w:pPr>
            <w:r w:rsidRPr="005D4222">
              <w:t>Submit policy clarification support questions via My NCQA (</w:t>
            </w:r>
            <w:r w:rsidRPr="005D4222">
              <w:rPr>
                <w:szCs w:val="21"/>
                <w:u w:val="single"/>
              </w:rPr>
              <w:t>https://my.ncqa.org</w:t>
            </w:r>
            <w:r w:rsidRPr="005D4222">
              <w:t>).</w:t>
            </w:r>
          </w:p>
        </w:tc>
      </w:tr>
      <w:tr w:rsidR="00915B26" w:rsidRPr="005D4222" w14:paraId="4D3BCDF1" w14:textId="77777777" w:rsidTr="00915B26">
        <w:tc>
          <w:tcPr>
            <w:tcW w:w="1110" w:type="pct"/>
            <w:shd w:val="clear" w:color="auto" w:fill="BFBFBF" w:themeFill="background1" w:themeFillShade="BF"/>
            <w:tcMar>
              <w:top w:w="0" w:type="dxa"/>
              <w:left w:w="86" w:type="dxa"/>
              <w:bottom w:w="43" w:type="dxa"/>
              <w:right w:w="86" w:type="dxa"/>
            </w:tcMar>
            <w:hideMark/>
          </w:tcPr>
          <w:p w14:paraId="7EBC8639" w14:textId="77777777" w:rsidR="00915B26" w:rsidRPr="005D4222" w:rsidRDefault="00915B26" w:rsidP="00915B26">
            <w:pPr>
              <w:pStyle w:val="ECDSMarginHead"/>
            </w:pPr>
            <w:r w:rsidRPr="005D4222">
              <w:t>Clinical recommendation statement/ rationale</w:t>
            </w:r>
          </w:p>
        </w:tc>
        <w:tc>
          <w:tcPr>
            <w:tcW w:w="3890" w:type="pct"/>
            <w:gridSpan w:val="3"/>
            <w:tcMar>
              <w:top w:w="0" w:type="dxa"/>
              <w:left w:w="86" w:type="dxa"/>
              <w:bottom w:w="43" w:type="dxa"/>
              <w:right w:w="86" w:type="dxa"/>
            </w:tcMar>
          </w:tcPr>
          <w:p w14:paraId="21762A27" w14:textId="77777777" w:rsidR="00915B26" w:rsidRPr="005D4222" w:rsidRDefault="00915B26" w:rsidP="00915B26">
            <w:pPr>
              <w:pStyle w:val="ECDSBody"/>
              <w:rPr>
                <w:szCs w:val="21"/>
              </w:rPr>
            </w:pPr>
            <w:r w:rsidRPr="005D4222">
              <w:rPr>
                <w:szCs w:val="21"/>
              </w:rPr>
              <w:t xml:space="preserve">The U.S. Preventive Services Task Force (USPSTF) recommends that primary care clinicians prescribe oral fluoride supplementation for children younger </w:t>
            </w:r>
            <w:r w:rsidRPr="005D4222">
              <w:rPr>
                <w:szCs w:val="21"/>
              </w:rPr>
              <w:br/>
              <w:t xml:space="preserve">than 5, starting at 6 months for those whose water supply is deficient in fluoride, and apply varnish to the primary teeth of all infants and children, starting at the age of primary tooth eruption. The AAPD recommends that topical fluoride treatments be provided every 6 months, or at an interval appropriate to the child’s individual needs, starting at 12–24 months and continuing into adolescence.  </w:t>
            </w:r>
          </w:p>
        </w:tc>
      </w:tr>
      <w:tr w:rsidR="00915B26" w:rsidRPr="005D4222" w14:paraId="5787F2E2" w14:textId="77777777" w:rsidTr="00915B26">
        <w:tc>
          <w:tcPr>
            <w:tcW w:w="1110" w:type="pct"/>
            <w:shd w:val="clear" w:color="auto" w:fill="BFBFBF" w:themeFill="background1" w:themeFillShade="BF"/>
            <w:tcMar>
              <w:top w:w="0" w:type="dxa"/>
              <w:left w:w="86" w:type="dxa"/>
              <w:bottom w:w="43" w:type="dxa"/>
              <w:right w:w="86" w:type="dxa"/>
            </w:tcMar>
          </w:tcPr>
          <w:p w14:paraId="0A588419" w14:textId="77777777" w:rsidR="00915B26" w:rsidRPr="005D4222" w:rsidRDefault="00915B26" w:rsidP="00915B26">
            <w:pPr>
              <w:pStyle w:val="ECDSMarginHead"/>
            </w:pPr>
            <w:r w:rsidRPr="005D4222">
              <w:t>Citations</w:t>
            </w:r>
          </w:p>
        </w:tc>
        <w:tc>
          <w:tcPr>
            <w:tcW w:w="3890" w:type="pct"/>
            <w:gridSpan w:val="3"/>
            <w:tcMar>
              <w:top w:w="0" w:type="dxa"/>
              <w:left w:w="86" w:type="dxa"/>
              <w:bottom w:w="43" w:type="dxa"/>
              <w:right w:w="86" w:type="dxa"/>
            </w:tcMar>
          </w:tcPr>
          <w:p w14:paraId="00D07BFE" w14:textId="77777777" w:rsidR="00915B26" w:rsidRPr="005D4222" w:rsidRDefault="00915B26" w:rsidP="00915B26">
            <w:pPr>
              <w:pStyle w:val="ECDSBody"/>
            </w:pPr>
            <w:r w:rsidRPr="005D4222">
              <w:t xml:space="preserve">United States Preventive Services Taskforce. December 7, 2021. </w:t>
            </w:r>
            <w:r w:rsidRPr="005D4222">
              <w:rPr>
                <w:i/>
                <w:iCs/>
              </w:rPr>
              <w:t>Final Recommendation: Prevention of Dental Caries in Children Younger Than 5 Years: Screening and Interventions</w:t>
            </w:r>
            <w:r w:rsidRPr="005D4222">
              <w:t>. https://www.uspreventiveservicestaskforce.org/uspstf/draft-recommendation/prevention-of-dental-caries-in-children-younger-than-age-5-years-screening-and-interventions1</w:t>
            </w:r>
          </w:p>
          <w:p w14:paraId="593168A2" w14:textId="77777777" w:rsidR="00915B26" w:rsidRPr="005D4222" w:rsidRDefault="00915B26" w:rsidP="00915B26">
            <w:pPr>
              <w:pStyle w:val="ECDSBody"/>
              <w:rPr>
                <w:szCs w:val="18"/>
              </w:rPr>
            </w:pPr>
            <w:r w:rsidRPr="005D4222">
              <w:t xml:space="preserve">AAPD. 2018. “Periodicity of Examination, Preventive Dental Services, Anticipatory Guidance/Counseling, and Oral Treatment for Infants, Children, and Adolescents.” </w:t>
            </w:r>
            <w:r w:rsidRPr="005D4222">
              <w:rPr>
                <w:i/>
                <w:iCs/>
              </w:rPr>
              <w:t>The Reference Manual of Pediatric Dentistry</w:t>
            </w:r>
            <w:r w:rsidRPr="005D4222">
              <w:t xml:space="preserve"> 232–42.</w:t>
            </w:r>
            <w:r w:rsidRPr="005D4222">
              <w:rPr>
                <w:szCs w:val="18"/>
              </w:rPr>
              <w:t xml:space="preserve"> </w:t>
            </w:r>
          </w:p>
        </w:tc>
      </w:tr>
      <w:tr w:rsidR="00915B26" w:rsidRPr="005D4222" w14:paraId="0E83FA31" w14:textId="77777777" w:rsidTr="00915B26">
        <w:tc>
          <w:tcPr>
            <w:tcW w:w="5000" w:type="pct"/>
            <w:gridSpan w:val="4"/>
            <w:tcBorders>
              <w:bottom w:val="single" w:sz="4" w:space="0" w:color="auto"/>
            </w:tcBorders>
            <w:shd w:val="clear" w:color="auto" w:fill="BFBFBF" w:themeFill="background1" w:themeFillShade="BF"/>
            <w:tcMar>
              <w:top w:w="0" w:type="dxa"/>
              <w:left w:w="86" w:type="dxa"/>
              <w:bottom w:w="43" w:type="dxa"/>
              <w:right w:w="86" w:type="dxa"/>
            </w:tcMar>
          </w:tcPr>
          <w:p w14:paraId="157D99DA" w14:textId="77777777" w:rsidR="00915B26" w:rsidRPr="005D4222" w:rsidRDefault="00915B26" w:rsidP="00915B26">
            <w:pPr>
              <w:pStyle w:val="ECDSMarginHead"/>
            </w:pPr>
            <w:r w:rsidRPr="005D4222">
              <w:t>Characteristics</w:t>
            </w:r>
          </w:p>
        </w:tc>
      </w:tr>
      <w:tr w:rsidR="00915B26" w:rsidRPr="005D4222" w14:paraId="3AD29F9A" w14:textId="77777777" w:rsidTr="00915B26">
        <w:tc>
          <w:tcPr>
            <w:tcW w:w="1110" w:type="pct"/>
            <w:tcBorders>
              <w:top w:val="single" w:sz="4" w:space="0" w:color="auto"/>
              <w:left w:val="single" w:sz="4" w:space="0" w:color="auto"/>
              <w:bottom w:val="nil"/>
              <w:right w:val="single" w:sz="4" w:space="0" w:color="auto"/>
            </w:tcBorders>
            <w:tcMar>
              <w:top w:w="0" w:type="dxa"/>
              <w:left w:w="86" w:type="dxa"/>
              <w:bottom w:w="43" w:type="dxa"/>
              <w:right w:w="86" w:type="dxa"/>
            </w:tcMar>
          </w:tcPr>
          <w:p w14:paraId="7821F3E7" w14:textId="77777777" w:rsidR="00915B26" w:rsidRPr="005D4222" w:rsidRDefault="00915B26" w:rsidP="00915B26">
            <w:pPr>
              <w:pStyle w:val="ECDSSubhead"/>
            </w:pPr>
            <w:r w:rsidRPr="005D4222">
              <w:t>Scoring</w:t>
            </w:r>
          </w:p>
        </w:tc>
        <w:tc>
          <w:tcPr>
            <w:tcW w:w="3890" w:type="pct"/>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4996D768" w14:textId="77777777" w:rsidR="00915B26" w:rsidRPr="005D4222" w:rsidRDefault="00915B26" w:rsidP="00915B26">
            <w:pPr>
              <w:pStyle w:val="ECDSBody"/>
              <w:spacing w:after="0"/>
            </w:pPr>
            <w:r w:rsidRPr="005D4222">
              <w:t xml:space="preserve">Proportion. </w:t>
            </w:r>
          </w:p>
        </w:tc>
      </w:tr>
      <w:tr w:rsidR="00915B26" w:rsidRPr="005D4222" w14:paraId="491AE17B" w14:textId="77777777" w:rsidTr="00915B26">
        <w:tc>
          <w:tcPr>
            <w:tcW w:w="1110" w:type="pct"/>
            <w:tcBorders>
              <w:top w:val="nil"/>
              <w:left w:val="single" w:sz="4" w:space="0" w:color="auto"/>
              <w:bottom w:val="nil"/>
              <w:right w:val="single" w:sz="4" w:space="0" w:color="auto"/>
            </w:tcBorders>
            <w:tcMar>
              <w:top w:w="0" w:type="dxa"/>
              <w:left w:w="86" w:type="dxa"/>
              <w:bottom w:w="43" w:type="dxa"/>
              <w:right w:w="86" w:type="dxa"/>
            </w:tcMar>
          </w:tcPr>
          <w:p w14:paraId="3D41A339" w14:textId="77777777" w:rsidR="00915B26" w:rsidRPr="005D4222" w:rsidRDefault="00915B26" w:rsidP="00915B26">
            <w:pPr>
              <w:pStyle w:val="ECDSSubhead"/>
            </w:pPr>
            <w:r w:rsidRPr="005D4222">
              <w:t>Type</w:t>
            </w:r>
          </w:p>
        </w:tc>
        <w:tc>
          <w:tcPr>
            <w:tcW w:w="3890" w:type="pct"/>
            <w:gridSpan w:val="3"/>
            <w:tcBorders>
              <w:top w:val="nil"/>
              <w:left w:val="single" w:sz="4" w:space="0" w:color="auto"/>
              <w:bottom w:val="nil"/>
              <w:right w:val="single" w:sz="4" w:space="0" w:color="auto"/>
            </w:tcBorders>
            <w:tcMar>
              <w:top w:w="0" w:type="dxa"/>
              <w:left w:w="86" w:type="dxa"/>
              <w:bottom w:w="43" w:type="dxa"/>
              <w:right w:w="86" w:type="dxa"/>
            </w:tcMar>
          </w:tcPr>
          <w:p w14:paraId="1A1F981A" w14:textId="77777777" w:rsidR="00915B26" w:rsidRPr="005D4222" w:rsidRDefault="00915B26" w:rsidP="00915B26">
            <w:pPr>
              <w:pStyle w:val="ECDSBody"/>
              <w:spacing w:after="0"/>
            </w:pPr>
            <w:r w:rsidRPr="005D4222">
              <w:t>Process.</w:t>
            </w:r>
          </w:p>
        </w:tc>
      </w:tr>
      <w:tr w:rsidR="00915B26" w:rsidRPr="005D4222" w14:paraId="5250ED05" w14:textId="77777777" w:rsidTr="00915B26">
        <w:tc>
          <w:tcPr>
            <w:tcW w:w="1110" w:type="pct"/>
            <w:tcBorders>
              <w:top w:val="nil"/>
              <w:left w:val="single" w:sz="4" w:space="0" w:color="auto"/>
              <w:bottom w:val="nil"/>
              <w:right w:val="single" w:sz="4" w:space="0" w:color="auto"/>
            </w:tcBorders>
            <w:tcMar>
              <w:top w:w="0" w:type="dxa"/>
              <w:left w:w="86" w:type="dxa"/>
              <w:bottom w:w="43" w:type="dxa"/>
              <w:right w:w="86" w:type="dxa"/>
            </w:tcMar>
          </w:tcPr>
          <w:p w14:paraId="274902D4" w14:textId="08BF580C" w:rsidR="00915B26" w:rsidRPr="005D4222" w:rsidRDefault="00B51CDC" w:rsidP="00915B26">
            <w:pPr>
              <w:pStyle w:val="ECDSSubhead"/>
            </w:pPr>
            <w:r w:rsidRPr="005D4222">
              <w:t>Product lines</w:t>
            </w:r>
          </w:p>
        </w:tc>
        <w:tc>
          <w:tcPr>
            <w:tcW w:w="3890" w:type="pct"/>
            <w:gridSpan w:val="3"/>
            <w:tcBorders>
              <w:top w:val="nil"/>
              <w:left w:val="single" w:sz="4" w:space="0" w:color="auto"/>
              <w:bottom w:val="nil"/>
              <w:right w:val="single" w:sz="4" w:space="0" w:color="auto"/>
            </w:tcBorders>
            <w:tcMar>
              <w:top w:w="0" w:type="dxa"/>
              <w:left w:w="86" w:type="dxa"/>
              <w:bottom w:w="43" w:type="dxa"/>
              <w:right w:w="86" w:type="dxa"/>
            </w:tcMar>
          </w:tcPr>
          <w:p w14:paraId="36FE3C02" w14:textId="77777777" w:rsidR="00915B26" w:rsidRPr="005D4222" w:rsidRDefault="00915B26" w:rsidP="00915B26">
            <w:pPr>
              <w:pStyle w:val="ECDSBody"/>
              <w:spacing w:after="0"/>
            </w:pPr>
            <w:r w:rsidRPr="005D4222">
              <w:t>Medicaid.</w:t>
            </w:r>
          </w:p>
        </w:tc>
      </w:tr>
      <w:tr w:rsidR="00915B26" w:rsidRPr="005D4222" w14:paraId="466DAA3E" w14:textId="77777777" w:rsidTr="00915B26">
        <w:tc>
          <w:tcPr>
            <w:tcW w:w="1110" w:type="pct"/>
            <w:tcBorders>
              <w:top w:val="nil"/>
              <w:left w:val="single" w:sz="4" w:space="0" w:color="auto"/>
              <w:bottom w:val="single" w:sz="4" w:space="0" w:color="auto"/>
              <w:right w:val="single" w:sz="4" w:space="0" w:color="auto"/>
            </w:tcBorders>
            <w:tcMar>
              <w:top w:w="0" w:type="dxa"/>
              <w:left w:w="86" w:type="dxa"/>
              <w:bottom w:w="43" w:type="dxa"/>
              <w:right w:w="86" w:type="dxa"/>
            </w:tcMar>
          </w:tcPr>
          <w:p w14:paraId="05A1BFEC" w14:textId="08A41FFE" w:rsidR="00915B26" w:rsidRPr="005D4222" w:rsidRDefault="00B51CDC" w:rsidP="00915B26">
            <w:pPr>
              <w:pStyle w:val="ECDSSubhead"/>
            </w:pPr>
            <w:r w:rsidRPr="005D4222">
              <w:t>Stratifications</w:t>
            </w:r>
            <w:r w:rsidR="00915B26" w:rsidRPr="005D4222">
              <w:t xml:space="preserve"> </w:t>
            </w:r>
          </w:p>
        </w:tc>
        <w:tc>
          <w:tcPr>
            <w:tcW w:w="3890" w:type="pct"/>
            <w:gridSpan w:val="3"/>
            <w:tcBorders>
              <w:top w:val="nil"/>
              <w:left w:val="single" w:sz="4" w:space="0" w:color="auto"/>
              <w:bottom w:val="single" w:sz="4" w:space="0" w:color="auto"/>
              <w:right w:val="single" w:sz="4" w:space="0" w:color="auto"/>
            </w:tcBorders>
            <w:tcMar>
              <w:top w:w="0" w:type="dxa"/>
              <w:left w:w="86" w:type="dxa"/>
              <w:bottom w:w="43" w:type="dxa"/>
              <w:right w:w="86" w:type="dxa"/>
            </w:tcMar>
            <w:hideMark/>
          </w:tcPr>
          <w:p w14:paraId="294C71D0" w14:textId="77777777" w:rsidR="00915B26" w:rsidRPr="005D4222" w:rsidRDefault="00915B26" w:rsidP="00915B26">
            <w:pPr>
              <w:pStyle w:val="ECDSBody"/>
              <w:rPr>
                <w:rFonts w:eastAsia="Arial,Arial,Arial,Arial,Arial,A"/>
              </w:rPr>
            </w:pPr>
            <w:r w:rsidRPr="005D4222">
              <w:rPr>
                <w:rFonts w:eastAsia="Arial,Arial,Arial,Arial,Arial,A"/>
              </w:rPr>
              <w:t>Age as of the last day of the measurement period.</w:t>
            </w:r>
          </w:p>
          <w:p w14:paraId="74B7116D" w14:textId="77777777" w:rsidR="00915B26" w:rsidRPr="005D4222" w:rsidRDefault="00915B26" w:rsidP="00915B26">
            <w:pPr>
              <w:pStyle w:val="Bullet"/>
              <w:rPr>
                <w:rFonts w:eastAsia="Arial,Arial,Arial,Arial,Arial,A"/>
              </w:rPr>
            </w:pPr>
            <w:r w:rsidRPr="005D4222">
              <w:rPr>
                <w:rFonts w:eastAsia="Arial,Arial,Arial,Arial,Arial,A"/>
              </w:rPr>
              <w:t>1–2 years.</w:t>
            </w:r>
          </w:p>
          <w:p w14:paraId="2E246CC6" w14:textId="77777777" w:rsidR="00915B26" w:rsidRPr="005D4222" w:rsidRDefault="00915B26" w:rsidP="00915B26">
            <w:pPr>
              <w:pStyle w:val="Bullet"/>
              <w:spacing w:after="80"/>
              <w:rPr>
                <w:rFonts w:cs="Arial"/>
              </w:rPr>
            </w:pPr>
            <w:r w:rsidRPr="005D4222">
              <w:rPr>
                <w:rFonts w:eastAsia="Arial,Arial,Arial,Arial,Arial,A"/>
              </w:rPr>
              <w:t>3–4 years.</w:t>
            </w:r>
          </w:p>
        </w:tc>
      </w:tr>
      <w:tr w:rsidR="00915B26" w:rsidRPr="005D4222" w14:paraId="5B788CDA" w14:textId="77777777" w:rsidTr="00915B26">
        <w:tc>
          <w:tcPr>
            <w:tcW w:w="1110" w:type="pct"/>
            <w:tcBorders>
              <w:top w:val="single" w:sz="4" w:space="0" w:color="auto"/>
              <w:left w:val="single" w:sz="4" w:space="0" w:color="auto"/>
              <w:bottom w:val="nil"/>
              <w:right w:val="single" w:sz="4" w:space="0" w:color="auto"/>
            </w:tcBorders>
            <w:tcMar>
              <w:top w:w="0" w:type="dxa"/>
              <w:left w:w="86" w:type="dxa"/>
              <w:bottom w:w="43" w:type="dxa"/>
              <w:right w:w="86" w:type="dxa"/>
            </w:tcMar>
          </w:tcPr>
          <w:p w14:paraId="7828DCD8" w14:textId="77777777" w:rsidR="00915B26" w:rsidRPr="005D4222" w:rsidRDefault="00915B26" w:rsidP="00915B26">
            <w:pPr>
              <w:tabs>
                <w:tab w:val="left" w:pos="1368"/>
              </w:tabs>
              <w:spacing w:before="120"/>
              <w:rPr>
                <w:rFonts w:cs="Arial"/>
                <w:b/>
                <w:sz w:val="22"/>
                <w:szCs w:val="26"/>
              </w:rPr>
            </w:pPr>
            <w:r w:rsidRPr="005D4222">
              <w:rPr>
                <w:rFonts w:cs="Arial"/>
                <w:b/>
                <w:sz w:val="22"/>
                <w:szCs w:val="26"/>
              </w:rPr>
              <w:lastRenderedPageBreak/>
              <w:t>Risk adjustment</w:t>
            </w:r>
          </w:p>
        </w:tc>
        <w:tc>
          <w:tcPr>
            <w:tcW w:w="3890" w:type="pct"/>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52AD3FE1" w14:textId="77777777" w:rsidR="00915B26" w:rsidRPr="005D4222" w:rsidRDefault="00915B26" w:rsidP="00915B26">
            <w:pPr>
              <w:pStyle w:val="ECDSBody"/>
              <w:spacing w:after="0"/>
            </w:pPr>
            <w:r w:rsidRPr="005D4222">
              <w:t>None.</w:t>
            </w:r>
          </w:p>
        </w:tc>
      </w:tr>
      <w:tr w:rsidR="00915B26" w:rsidRPr="005D4222" w14:paraId="64A39B14" w14:textId="77777777" w:rsidTr="00915B26">
        <w:tc>
          <w:tcPr>
            <w:tcW w:w="1110" w:type="pct"/>
            <w:tcBorders>
              <w:top w:val="nil"/>
              <w:left w:val="single" w:sz="4" w:space="0" w:color="auto"/>
              <w:bottom w:val="nil"/>
              <w:right w:val="single" w:sz="4" w:space="0" w:color="auto"/>
            </w:tcBorders>
            <w:tcMar>
              <w:top w:w="0" w:type="dxa"/>
              <w:left w:w="86" w:type="dxa"/>
              <w:bottom w:w="43" w:type="dxa"/>
              <w:right w:w="86" w:type="dxa"/>
            </w:tcMar>
          </w:tcPr>
          <w:p w14:paraId="05035DA8" w14:textId="77777777" w:rsidR="00915B26" w:rsidRPr="005D4222" w:rsidRDefault="00915B26" w:rsidP="00915B26">
            <w:pPr>
              <w:tabs>
                <w:tab w:val="left" w:pos="1368"/>
              </w:tabs>
              <w:spacing w:before="120"/>
              <w:rPr>
                <w:rFonts w:cs="Arial"/>
                <w:b/>
                <w:sz w:val="22"/>
                <w:szCs w:val="26"/>
              </w:rPr>
            </w:pPr>
            <w:r w:rsidRPr="005D4222">
              <w:rPr>
                <w:rFonts w:cs="Arial"/>
                <w:b/>
                <w:sz w:val="22"/>
                <w:szCs w:val="26"/>
              </w:rPr>
              <w:t>Improvement notation</w:t>
            </w:r>
          </w:p>
        </w:tc>
        <w:tc>
          <w:tcPr>
            <w:tcW w:w="3890" w:type="pct"/>
            <w:gridSpan w:val="3"/>
            <w:tcBorders>
              <w:top w:val="nil"/>
              <w:left w:val="single" w:sz="4" w:space="0" w:color="auto"/>
              <w:bottom w:val="nil"/>
              <w:right w:val="single" w:sz="4" w:space="0" w:color="auto"/>
            </w:tcBorders>
            <w:tcMar>
              <w:top w:w="0" w:type="dxa"/>
              <w:left w:w="86" w:type="dxa"/>
              <w:bottom w:w="43" w:type="dxa"/>
              <w:right w:w="86" w:type="dxa"/>
            </w:tcMar>
            <w:hideMark/>
          </w:tcPr>
          <w:p w14:paraId="6D2CA42F" w14:textId="77777777" w:rsidR="00915B26" w:rsidRPr="005D4222" w:rsidRDefault="00915B26" w:rsidP="00915B26">
            <w:pPr>
              <w:pStyle w:val="ECDSBody"/>
              <w:spacing w:after="0"/>
            </w:pPr>
            <w:r w:rsidRPr="005D4222">
              <w:t>Increased score indicates improvement.</w:t>
            </w:r>
          </w:p>
        </w:tc>
      </w:tr>
      <w:tr w:rsidR="00915B26" w:rsidRPr="005D4222" w14:paraId="07DF9647" w14:textId="77777777" w:rsidTr="00915B26">
        <w:tc>
          <w:tcPr>
            <w:tcW w:w="1110" w:type="pct"/>
            <w:tcBorders>
              <w:top w:val="nil"/>
              <w:left w:val="single" w:sz="4" w:space="0" w:color="auto"/>
              <w:bottom w:val="single" w:sz="4" w:space="0" w:color="auto"/>
              <w:right w:val="single" w:sz="4" w:space="0" w:color="auto"/>
            </w:tcBorders>
            <w:tcMar>
              <w:top w:w="0" w:type="dxa"/>
              <w:left w:w="86" w:type="dxa"/>
              <w:bottom w:w="43" w:type="dxa"/>
              <w:right w:w="86" w:type="dxa"/>
            </w:tcMar>
          </w:tcPr>
          <w:p w14:paraId="73813FC7" w14:textId="77777777" w:rsidR="00915B26" w:rsidRPr="005D4222" w:rsidRDefault="00915B26" w:rsidP="00915B26">
            <w:pPr>
              <w:tabs>
                <w:tab w:val="left" w:pos="1368"/>
              </w:tabs>
              <w:spacing w:before="120"/>
              <w:rPr>
                <w:rFonts w:cs="Arial"/>
                <w:b/>
                <w:sz w:val="22"/>
                <w:szCs w:val="26"/>
              </w:rPr>
            </w:pPr>
            <w:r w:rsidRPr="005D4222">
              <w:rPr>
                <w:rFonts w:cs="Arial"/>
                <w:b/>
                <w:sz w:val="22"/>
                <w:szCs w:val="26"/>
              </w:rPr>
              <w:t>Guidance</w:t>
            </w:r>
          </w:p>
        </w:tc>
        <w:tc>
          <w:tcPr>
            <w:tcW w:w="3890" w:type="pct"/>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4078BC9D" w14:textId="08831ACA" w:rsidR="00915B26" w:rsidRPr="005D4222" w:rsidRDefault="00915B26" w:rsidP="00915B26">
            <w:pPr>
              <w:pStyle w:val="ECDSBody"/>
              <w:rPr>
                <w:color w:val="000000"/>
                <w:szCs w:val="21"/>
                <w:shd w:val="clear" w:color="auto" w:fill="FFFFFF"/>
              </w:rPr>
            </w:pPr>
            <w:r w:rsidRPr="005D4222">
              <w:rPr>
                <w:b/>
                <w:color w:val="000000"/>
                <w:szCs w:val="21"/>
                <w:shd w:val="clear" w:color="auto" w:fill="FFFFFF"/>
              </w:rPr>
              <w:t>Data collection methodology:</w:t>
            </w:r>
            <w:r w:rsidRPr="005D4222">
              <w:rPr>
                <w:color w:val="000000"/>
                <w:szCs w:val="21"/>
                <w:shd w:val="clear" w:color="auto" w:fill="FFFFFF"/>
              </w:rPr>
              <w:t xml:space="preserve"> Administrative. Refer to </w:t>
            </w:r>
            <w:hyperlink w:anchor="General_Guideline_Data_Collection_Method" w:history="1">
              <w:r w:rsidRPr="005D4222">
                <w:rPr>
                  <w:rStyle w:val="Hyperlink"/>
                  <w:i/>
                  <w:iCs/>
                  <w:szCs w:val="21"/>
                  <w:shd w:val="clear" w:color="auto" w:fill="FFFFFF"/>
                </w:rPr>
                <w:t>General Guideline: Data Collection Methods</w:t>
              </w:r>
            </w:hyperlink>
            <w:r w:rsidRPr="005D4222">
              <w:rPr>
                <w:color w:val="000000"/>
                <w:szCs w:val="21"/>
                <w:shd w:val="clear" w:color="auto" w:fill="FFFFFF"/>
              </w:rPr>
              <w:t xml:space="preserve"> for additional information.  </w:t>
            </w:r>
          </w:p>
          <w:p w14:paraId="72E8AEAB" w14:textId="77777777" w:rsidR="00915B26" w:rsidRPr="005D4222" w:rsidRDefault="00915B26" w:rsidP="00915B26">
            <w:pPr>
              <w:pStyle w:val="ECDSBody"/>
            </w:pPr>
            <w:r w:rsidRPr="005D4222">
              <w:rPr>
                <w:b/>
              </w:rPr>
              <w:t xml:space="preserve">Date specificity: </w:t>
            </w:r>
            <w:r w:rsidRPr="005D4222">
              <w:t>Dates must be specific enough to determine the event occurred in the period being measured.</w:t>
            </w:r>
          </w:p>
          <w:p w14:paraId="6381DBF1" w14:textId="77777777" w:rsidR="00915B26" w:rsidRPr="005D4222" w:rsidRDefault="00915B26" w:rsidP="00915B26">
            <w:pPr>
              <w:pStyle w:val="ECDSBody"/>
            </w:pPr>
            <w:r w:rsidRPr="005D4222">
              <w:rPr>
                <w:b/>
              </w:rPr>
              <w:t>Which services count?</w:t>
            </w:r>
            <w:r w:rsidRPr="005D4222">
              <w:t xml:space="preserve"> When using claims, include all paid, suspended, pending and denied claims.</w:t>
            </w:r>
          </w:p>
        </w:tc>
      </w:tr>
      <w:tr w:rsidR="00915B26" w:rsidRPr="005D4222" w14:paraId="33A8F20E" w14:textId="77777777" w:rsidTr="00915B26">
        <w:tc>
          <w:tcPr>
            <w:tcW w:w="1110" w:type="pct"/>
            <w:shd w:val="clear" w:color="auto" w:fill="BFBFBF" w:themeFill="background1" w:themeFillShade="BF"/>
            <w:tcMar>
              <w:top w:w="0" w:type="dxa"/>
              <w:left w:w="86" w:type="dxa"/>
              <w:bottom w:w="43" w:type="dxa"/>
              <w:right w:w="86" w:type="dxa"/>
            </w:tcMar>
          </w:tcPr>
          <w:p w14:paraId="2794E096" w14:textId="77777777" w:rsidR="00915B26" w:rsidRPr="005D4222" w:rsidRDefault="00915B26" w:rsidP="00915B26">
            <w:pPr>
              <w:pStyle w:val="ECDSMarginHead"/>
            </w:pPr>
            <w:r w:rsidRPr="005D4222">
              <w:t>Initial population</w:t>
            </w:r>
          </w:p>
        </w:tc>
        <w:tc>
          <w:tcPr>
            <w:tcW w:w="3890" w:type="pct"/>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5789637" w14:textId="77777777" w:rsidR="00915B26" w:rsidRPr="005D4222" w:rsidRDefault="00915B26" w:rsidP="00915B26">
            <w:pPr>
              <w:pStyle w:val="ECDSBody"/>
            </w:pPr>
            <w:r w:rsidRPr="005D4222">
              <w:rPr>
                <w:i/>
                <w:iCs/>
              </w:rPr>
              <w:t xml:space="preserve">Measure item count: </w:t>
            </w:r>
            <w:r w:rsidRPr="005D4222">
              <w:t>Person.</w:t>
            </w:r>
          </w:p>
          <w:p w14:paraId="4E27668A" w14:textId="77777777" w:rsidR="00915B26" w:rsidRPr="005D4222" w:rsidRDefault="00915B26" w:rsidP="00915B26">
            <w:pPr>
              <w:pStyle w:val="ECDSBody"/>
            </w:pPr>
            <w:r w:rsidRPr="005D4222">
              <w:rPr>
                <w:i/>
                <w:iCs/>
              </w:rPr>
              <w:t xml:space="preserve">Attribution basis: </w:t>
            </w:r>
            <w:r w:rsidRPr="005D4222">
              <w:t>Enrollment.</w:t>
            </w:r>
          </w:p>
          <w:p w14:paraId="58959C90" w14:textId="77777777" w:rsidR="00915B26" w:rsidRPr="005D4222" w:rsidRDefault="00915B26" w:rsidP="00915B26">
            <w:pPr>
              <w:pStyle w:val="Bullet"/>
            </w:pPr>
            <w:r w:rsidRPr="005D4222">
              <w:rPr>
                <w:i/>
                <w:iCs/>
              </w:rPr>
              <w:t>Benefits:</w:t>
            </w:r>
            <w:r w:rsidRPr="005D4222">
              <w:t xml:space="preserve"> Medical or Dental.</w:t>
            </w:r>
          </w:p>
          <w:p w14:paraId="7EA437BF" w14:textId="77777777" w:rsidR="00915B26" w:rsidRPr="005D4222" w:rsidRDefault="00915B26" w:rsidP="00915B26">
            <w:pPr>
              <w:pStyle w:val="Bullet"/>
            </w:pPr>
            <w:r w:rsidRPr="005D4222">
              <w:rPr>
                <w:i/>
                <w:iCs/>
              </w:rPr>
              <w:t>Continuous enrollment:</w:t>
            </w:r>
            <w:r w:rsidRPr="005D4222">
              <w:t xml:space="preserve"> The measurement period.</w:t>
            </w:r>
          </w:p>
          <w:p w14:paraId="7CFB88C1" w14:textId="77777777" w:rsidR="00915B26" w:rsidRPr="005D4222" w:rsidRDefault="00915B26" w:rsidP="00915B26">
            <w:pPr>
              <w:pStyle w:val="Bullet"/>
              <w:rPr>
                <w:i/>
                <w:iCs/>
              </w:rPr>
            </w:pPr>
            <w:r w:rsidRPr="005D4222">
              <w:rPr>
                <w:i/>
                <w:iCs/>
              </w:rPr>
              <w:t>Allowable gap:</w:t>
            </w:r>
            <w:r w:rsidRPr="005D4222">
              <w:t xml:space="preserve"> No more than one gap of ≤45 days during the measurement period. No gaps on the last day of the measurement period.</w:t>
            </w:r>
          </w:p>
          <w:p w14:paraId="58BA4361" w14:textId="77777777" w:rsidR="00915B26" w:rsidRPr="005D4222" w:rsidRDefault="00915B26" w:rsidP="00915B26">
            <w:pPr>
              <w:pStyle w:val="ECDSBody"/>
            </w:pPr>
            <w:r w:rsidRPr="005D4222">
              <w:rPr>
                <w:i/>
              </w:rPr>
              <w:t>Ages:</w:t>
            </w:r>
            <w:r w:rsidRPr="005D4222">
              <w:t xml:space="preserve"> 1–4 years of age as of the last day of the measurement period.</w:t>
            </w:r>
          </w:p>
          <w:p w14:paraId="7CB7D666" w14:textId="77777777" w:rsidR="00915B26" w:rsidRPr="005D4222" w:rsidRDefault="00915B26" w:rsidP="00915B26">
            <w:pPr>
              <w:pStyle w:val="ECDSBody"/>
            </w:pPr>
            <w:r w:rsidRPr="005D4222">
              <w:rPr>
                <w:i/>
                <w:iCs/>
              </w:rPr>
              <w:t>Event:</w:t>
            </w:r>
            <w:r w:rsidRPr="005D4222">
              <w:t xml:space="preserve"> None.</w:t>
            </w:r>
          </w:p>
        </w:tc>
      </w:tr>
      <w:tr w:rsidR="00915B26" w:rsidRPr="005D4222" w14:paraId="34B673F9" w14:textId="77777777" w:rsidTr="00915B26">
        <w:tc>
          <w:tcPr>
            <w:tcW w:w="1110" w:type="pct"/>
            <w:shd w:val="clear" w:color="auto" w:fill="BFBFBF" w:themeFill="background1" w:themeFillShade="BF"/>
            <w:tcMar>
              <w:top w:w="0" w:type="dxa"/>
              <w:left w:w="86" w:type="dxa"/>
              <w:bottom w:w="43" w:type="dxa"/>
              <w:right w:w="86" w:type="dxa"/>
            </w:tcMar>
          </w:tcPr>
          <w:p w14:paraId="735AC53F" w14:textId="77777777" w:rsidR="00915B26" w:rsidRPr="005D4222" w:rsidRDefault="00915B26" w:rsidP="00915B26">
            <w:pPr>
              <w:pStyle w:val="ECDSMarginHead"/>
            </w:pPr>
            <w:r w:rsidRPr="005D4222">
              <w:t xml:space="preserve">Denominator exclusions </w:t>
            </w:r>
          </w:p>
        </w:tc>
        <w:tc>
          <w:tcPr>
            <w:tcW w:w="3890" w:type="pct"/>
            <w:gridSpan w:val="3"/>
            <w:tcMar>
              <w:top w:w="0" w:type="dxa"/>
              <w:left w:w="86" w:type="dxa"/>
              <w:bottom w:w="43" w:type="dxa"/>
              <w:right w:w="86" w:type="dxa"/>
            </w:tcMar>
            <w:vAlign w:val="center"/>
          </w:tcPr>
          <w:p w14:paraId="7C4DEAA2" w14:textId="77777777" w:rsidR="00915B26" w:rsidRPr="005D4222" w:rsidRDefault="00915B26" w:rsidP="00915B26">
            <w:pPr>
              <w:pStyle w:val="ECDSBody"/>
              <w:rPr>
                <w:rFonts w:cs="Segoe UI"/>
                <w:szCs w:val="18"/>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p w14:paraId="542F46A8" w14:textId="77777777" w:rsidR="00915B26" w:rsidRPr="005D4222" w:rsidRDefault="00915B26" w:rsidP="00915B26">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915B26" w:rsidRPr="005D4222" w14:paraId="0944F987" w14:textId="77777777" w:rsidTr="00915B26">
        <w:tc>
          <w:tcPr>
            <w:tcW w:w="1110" w:type="pct"/>
            <w:shd w:val="clear" w:color="auto" w:fill="BFBFBF" w:themeFill="background1" w:themeFillShade="BF"/>
            <w:tcMar>
              <w:top w:w="0" w:type="dxa"/>
              <w:left w:w="86" w:type="dxa"/>
              <w:bottom w:w="43" w:type="dxa"/>
              <w:right w:w="86" w:type="dxa"/>
            </w:tcMar>
          </w:tcPr>
          <w:p w14:paraId="568BE23C" w14:textId="77777777" w:rsidR="00915B26" w:rsidRPr="005D4222" w:rsidRDefault="00915B26" w:rsidP="00915B26">
            <w:pPr>
              <w:pStyle w:val="ECDSMarginHead"/>
            </w:pPr>
            <w:r w:rsidRPr="005D4222">
              <w:t>Denominator</w:t>
            </w:r>
          </w:p>
        </w:tc>
        <w:tc>
          <w:tcPr>
            <w:tcW w:w="3890" w:type="pct"/>
            <w:gridSpan w:val="3"/>
            <w:tcMar>
              <w:top w:w="0" w:type="dxa"/>
              <w:left w:w="86" w:type="dxa"/>
              <w:bottom w:w="43" w:type="dxa"/>
              <w:right w:w="86" w:type="dxa"/>
            </w:tcMar>
          </w:tcPr>
          <w:p w14:paraId="4F72FC46" w14:textId="77777777" w:rsidR="00915B26" w:rsidRPr="005D4222" w:rsidRDefault="00915B26" w:rsidP="00915B26">
            <w:pPr>
              <w:pStyle w:val="ECDSBody"/>
              <w:rPr>
                <w:rFonts w:eastAsia="Arial,Arial,Arial,Arial,Arial,A"/>
              </w:rPr>
            </w:pPr>
            <w:r w:rsidRPr="005D4222">
              <w:rPr>
                <w:rFonts w:eastAsia="Arial,Arial,Arial,Arial,Arial,A"/>
              </w:rPr>
              <w:t>The initial population minus denominator exclusions.</w:t>
            </w:r>
          </w:p>
        </w:tc>
      </w:tr>
      <w:tr w:rsidR="00915B26" w:rsidRPr="005D4222" w14:paraId="377BA02C" w14:textId="77777777" w:rsidTr="00915B26">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6255954" w14:textId="77777777" w:rsidR="00915B26" w:rsidRPr="005D4222" w:rsidRDefault="00915B26" w:rsidP="00915B26">
            <w:pPr>
              <w:pStyle w:val="ECDSMarginHead"/>
            </w:pPr>
            <w:r w:rsidRPr="005D4222">
              <w:t>Numerator</w:t>
            </w:r>
          </w:p>
        </w:tc>
        <w:tc>
          <w:tcPr>
            <w:tcW w:w="3890" w:type="pct"/>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51E0C893" w14:textId="77777777" w:rsidR="00915B26" w:rsidRPr="005D4222" w:rsidRDefault="00915B26" w:rsidP="00915B26">
            <w:pPr>
              <w:pStyle w:val="ECDSBody"/>
              <w:rPr>
                <w:rFonts w:eastAsia="Arial,Arial,Arial,Arial,Arial,A"/>
                <w:color w:val="000000" w:themeColor="text1"/>
                <w:highlight w:val="yellow"/>
              </w:rPr>
            </w:pPr>
            <w:r w:rsidRPr="005D4222">
              <w:rPr>
                <w:b/>
              </w:rPr>
              <w:t xml:space="preserve">Persons with two or more fluoride varnish applications. </w:t>
            </w:r>
            <w:r w:rsidRPr="005D4222">
              <w:rPr>
                <w:b/>
              </w:rPr>
              <w:br/>
            </w:r>
            <w:r w:rsidRPr="005D4222">
              <w:t>Persons with two or more fluoride varnish applications (</w:t>
            </w:r>
            <w:r w:rsidRPr="005D4222">
              <w:rPr>
                <w:u w:val="single"/>
              </w:rPr>
              <w:t>Application of Fluoride Varnish Value Set</w:t>
            </w:r>
            <w:r w:rsidRPr="005D4222">
              <w:t>) during the measurement period, on different dates of service.</w:t>
            </w:r>
          </w:p>
        </w:tc>
      </w:tr>
      <w:tr w:rsidR="00915B26" w:rsidRPr="005D4222" w14:paraId="662137DB" w14:textId="77777777" w:rsidTr="00915B26">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CBC79A0" w14:textId="77777777" w:rsidR="00915B26" w:rsidRPr="005D4222" w:rsidRDefault="00915B26" w:rsidP="00915B26">
            <w:pPr>
              <w:pStyle w:val="ECDSMarginHead"/>
            </w:pPr>
            <w:r w:rsidRPr="005D4222">
              <w:t>Summary of changes</w:t>
            </w:r>
          </w:p>
        </w:tc>
        <w:tc>
          <w:tcPr>
            <w:tcW w:w="3890" w:type="pct"/>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592A71A" w14:textId="77777777" w:rsidR="00915B26" w:rsidRPr="005D4222" w:rsidRDefault="00915B26" w:rsidP="00915B26">
            <w:pPr>
              <w:pStyle w:val="ProcessBullet"/>
              <w:spacing w:before="120"/>
              <w:rPr>
                <w:color w:val="000000" w:themeColor="text1"/>
              </w:rPr>
            </w:pPr>
            <w:r w:rsidRPr="005D4222">
              <w:t>No changes to this measure.</w:t>
            </w:r>
          </w:p>
        </w:tc>
      </w:tr>
    </w:tbl>
    <w:p w14:paraId="03E384C7" w14:textId="77777777" w:rsidR="00915B26" w:rsidRPr="005D4222" w:rsidRDefault="00915B26" w:rsidP="00915B26">
      <w:pPr>
        <w:spacing w:after="160" w:line="259" w:lineRule="auto"/>
        <w:rPr>
          <w:szCs w:val="21"/>
        </w:rPr>
      </w:pPr>
      <w:r w:rsidRPr="005D4222">
        <w:rPr>
          <w:szCs w:val="21"/>
        </w:rPr>
        <w:br w:type="page"/>
      </w:r>
    </w:p>
    <w:tbl>
      <w:tblPr>
        <w:tblW w:w="5002"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9"/>
      </w:tblGrid>
      <w:tr w:rsidR="00915B26" w:rsidRPr="005D4222" w14:paraId="31208ED2" w14:textId="77777777">
        <w:tc>
          <w:tcPr>
            <w:tcW w:w="1110" w:type="pct"/>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4A697E90" w14:textId="77777777" w:rsidR="00915B26" w:rsidRPr="005D4222" w:rsidRDefault="00915B26" w:rsidP="00915B26">
            <w:pPr>
              <w:pStyle w:val="ECDSMarginHead"/>
            </w:pPr>
            <w:r w:rsidRPr="005D4222">
              <w:lastRenderedPageBreak/>
              <w:t>Data element tables</w:t>
            </w:r>
          </w:p>
        </w:tc>
        <w:tc>
          <w:tcPr>
            <w:tcW w:w="3890" w:type="pct"/>
            <w:tcBorders>
              <w:top w:val="single" w:sz="4" w:space="0" w:color="auto"/>
              <w:left w:val="single" w:sz="4" w:space="0" w:color="auto"/>
              <w:right w:val="single" w:sz="4" w:space="0" w:color="auto"/>
            </w:tcBorders>
            <w:tcMar>
              <w:top w:w="0" w:type="dxa"/>
              <w:left w:w="86" w:type="dxa"/>
              <w:bottom w:w="43" w:type="dxa"/>
              <w:right w:w="86" w:type="dxa"/>
            </w:tcMar>
          </w:tcPr>
          <w:p w14:paraId="4C2943F6" w14:textId="77777777" w:rsidR="00915B26" w:rsidRPr="005D4222" w:rsidRDefault="00915B26" w:rsidP="00915B26">
            <w:pPr>
              <w:pStyle w:val="ECDSBody"/>
            </w:pPr>
            <w:r w:rsidRPr="005D4222">
              <w:t>Organizations that submit HEDIS data to NCQA must provide the following data elements.</w:t>
            </w:r>
          </w:p>
          <w:p w14:paraId="6621128D" w14:textId="77777777" w:rsidR="00915B26" w:rsidRPr="005D4222" w:rsidRDefault="00915B26" w:rsidP="00915B26">
            <w:pPr>
              <w:pStyle w:val="Heading3"/>
              <w:spacing w:before="120"/>
            </w:pPr>
            <w:r w:rsidRPr="005D4222">
              <w:t>Table TFC-1: Data Elements for Topical Fluoride for Children</w:t>
            </w:r>
          </w:p>
          <w:tbl>
            <w:tblPr>
              <w:tblW w:w="7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6"/>
              <w:gridCol w:w="775"/>
              <w:gridCol w:w="2226"/>
              <w:gridCol w:w="2044"/>
            </w:tblGrid>
            <w:tr w:rsidR="00915B26" w:rsidRPr="005D4222" w14:paraId="349630A5" w14:textId="77777777">
              <w:trPr>
                <w:cantSplit/>
                <w:trHeight w:val="192"/>
                <w:tblHeader/>
              </w:trPr>
              <w:tc>
                <w:tcPr>
                  <w:tcW w:w="2336"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tcMar>
                    <w:left w:w="72" w:type="dxa"/>
                    <w:right w:w="72" w:type="dxa"/>
                  </w:tcMar>
                  <w:hideMark/>
                </w:tcPr>
                <w:p w14:paraId="1DD1916D" w14:textId="77777777" w:rsidR="00915B26" w:rsidRPr="005D4222" w:rsidRDefault="00915B26" w:rsidP="00915B26">
                  <w:pPr>
                    <w:pStyle w:val="TableHead"/>
                    <w:rPr>
                      <w:rFonts w:eastAsia="Arial Narrow"/>
                    </w:rPr>
                  </w:pPr>
                  <w:r w:rsidRPr="005D4222">
                    <w:rPr>
                      <w:rFonts w:eastAsia="Arial Narrow"/>
                    </w:rPr>
                    <w:t>Metric</w:t>
                  </w:r>
                </w:p>
              </w:tc>
              <w:tc>
                <w:tcPr>
                  <w:tcW w:w="775"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72" w:type="dxa"/>
                    <w:right w:w="72" w:type="dxa"/>
                  </w:tcMar>
                  <w:hideMark/>
                </w:tcPr>
                <w:p w14:paraId="0BC4D326" w14:textId="77777777" w:rsidR="00915B26" w:rsidRPr="005D4222" w:rsidRDefault="00915B26" w:rsidP="00915B26">
                  <w:pPr>
                    <w:pStyle w:val="TableHead"/>
                    <w:rPr>
                      <w:rFonts w:eastAsia="Arial Narrow"/>
                    </w:rPr>
                  </w:pPr>
                  <w:r w:rsidRPr="005D4222">
                    <w:rPr>
                      <w:rFonts w:eastAsia="Arial Narrow"/>
                    </w:rPr>
                    <w:t>Age</w:t>
                  </w:r>
                </w:p>
              </w:tc>
              <w:tc>
                <w:tcPr>
                  <w:tcW w:w="2226"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72" w:type="dxa"/>
                    <w:right w:w="72" w:type="dxa"/>
                  </w:tcMar>
                  <w:vAlign w:val="bottom"/>
                  <w:hideMark/>
                </w:tcPr>
                <w:p w14:paraId="18E51666" w14:textId="77777777" w:rsidR="00915B26" w:rsidRPr="005D4222" w:rsidRDefault="00915B26" w:rsidP="00915B26">
                  <w:pPr>
                    <w:pStyle w:val="TableHead"/>
                    <w:rPr>
                      <w:rFonts w:eastAsia="Arial Narrow"/>
                    </w:rPr>
                  </w:pPr>
                  <w:r w:rsidRPr="005D4222">
                    <w:rPr>
                      <w:rFonts w:eastAsia="Arial Narrow"/>
                    </w:rPr>
                    <w:t xml:space="preserve">Data Element </w:t>
                  </w:r>
                </w:p>
              </w:tc>
              <w:tc>
                <w:tcPr>
                  <w:tcW w:w="2044" w:type="dxa"/>
                  <w:tcBorders>
                    <w:top w:val="single" w:sz="4" w:space="0" w:color="000000" w:themeColor="text1"/>
                    <w:left w:val="single" w:sz="4" w:space="0" w:color="FFFFFF" w:themeColor="background1"/>
                    <w:bottom w:val="single" w:sz="4" w:space="0" w:color="000000" w:themeColor="text1"/>
                    <w:right w:val="single" w:sz="4" w:space="0" w:color="auto"/>
                  </w:tcBorders>
                  <w:shd w:val="clear" w:color="auto" w:fill="000000" w:themeFill="text1"/>
                  <w:tcMar>
                    <w:left w:w="72" w:type="dxa"/>
                    <w:right w:w="72" w:type="dxa"/>
                  </w:tcMar>
                  <w:vAlign w:val="bottom"/>
                  <w:hideMark/>
                </w:tcPr>
                <w:p w14:paraId="2799065F" w14:textId="77777777" w:rsidR="00915B26" w:rsidRPr="005D4222" w:rsidRDefault="00915B26" w:rsidP="00915B26">
                  <w:pPr>
                    <w:pStyle w:val="TableHead"/>
                    <w:rPr>
                      <w:rFonts w:eastAsia="Arial Narrow"/>
                    </w:rPr>
                  </w:pPr>
                  <w:r w:rsidRPr="005D4222">
                    <w:rPr>
                      <w:rFonts w:eastAsia="Arial Narrow"/>
                    </w:rPr>
                    <w:t>Reporting Instructions</w:t>
                  </w:r>
                </w:p>
              </w:tc>
            </w:tr>
            <w:tr w:rsidR="00915B26" w:rsidRPr="005D4222" w14:paraId="5681D41E" w14:textId="77777777">
              <w:trPr>
                <w:cantSplit/>
                <w:trHeight w:val="253"/>
              </w:trPr>
              <w:tc>
                <w:tcPr>
                  <w:tcW w:w="2336" w:type="dxa"/>
                  <w:tcBorders>
                    <w:top w:val="single" w:sz="4" w:space="0" w:color="000000" w:themeColor="text1"/>
                    <w:left w:val="single" w:sz="4" w:space="0" w:color="auto"/>
                    <w:bottom w:val="single" w:sz="4" w:space="0" w:color="auto"/>
                    <w:right w:val="single" w:sz="4" w:space="0" w:color="auto"/>
                  </w:tcBorders>
                  <w:tcMar>
                    <w:left w:w="72" w:type="dxa"/>
                    <w:right w:w="72" w:type="dxa"/>
                  </w:tcMar>
                  <w:hideMark/>
                </w:tcPr>
                <w:p w14:paraId="00D50462" w14:textId="77777777" w:rsidR="00915B26" w:rsidRPr="005D4222" w:rsidRDefault="00915B26" w:rsidP="00915B26">
                  <w:pPr>
                    <w:pStyle w:val="TableText"/>
                    <w:rPr>
                      <w:rFonts w:eastAsia="Arial Narrow"/>
                    </w:rPr>
                  </w:pPr>
                  <w:r w:rsidRPr="005D4222">
                    <w:t>TopicalFluorideForChildren</w:t>
                  </w:r>
                </w:p>
              </w:tc>
              <w:tc>
                <w:tcPr>
                  <w:tcW w:w="775" w:type="dxa"/>
                  <w:tcBorders>
                    <w:top w:val="single" w:sz="4" w:space="0" w:color="000000" w:themeColor="text1"/>
                    <w:left w:val="single" w:sz="4" w:space="0" w:color="auto"/>
                    <w:bottom w:val="single" w:sz="4" w:space="0" w:color="auto"/>
                    <w:right w:val="single" w:sz="4" w:space="0" w:color="auto"/>
                  </w:tcBorders>
                  <w:tcMar>
                    <w:left w:w="72" w:type="dxa"/>
                    <w:right w:w="72" w:type="dxa"/>
                  </w:tcMar>
                  <w:hideMark/>
                </w:tcPr>
                <w:p w14:paraId="0715E04C" w14:textId="77777777" w:rsidR="00915B26" w:rsidRPr="005D4222" w:rsidRDefault="00915B26" w:rsidP="00915B26">
                  <w:pPr>
                    <w:pStyle w:val="TableText"/>
                    <w:rPr>
                      <w:rFonts w:eastAsia="Arial Narrow"/>
                    </w:rPr>
                  </w:pPr>
                  <w:r w:rsidRPr="005D4222">
                    <w:t>1-2</w:t>
                  </w:r>
                </w:p>
              </w:tc>
              <w:tc>
                <w:tcPr>
                  <w:tcW w:w="2226"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6D4A7C07" w14:textId="77777777" w:rsidR="00915B26" w:rsidRPr="005D4222" w:rsidRDefault="00915B26" w:rsidP="00915B26">
                  <w:pPr>
                    <w:pStyle w:val="TableText"/>
                    <w:rPr>
                      <w:rFonts w:eastAsia="Arial Narrow"/>
                    </w:rPr>
                  </w:pPr>
                  <w:r w:rsidRPr="005D4222">
                    <w:t>InitialPopulation</w:t>
                  </w:r>
                </w:p>
              </w:tc>
              <w:tc>
                <w:tcPr>
                  <w:tcW w:w="2044" w:type="dxa"/>
                  <w:tcBorders>
                    <w:top w:val="single" w:sz="4" w:space="0" w:color="auto"/>
                    <w:left w:val="single" w:sz="4" w:space="0" w:color="auto"/>
                    <w:bottom w:val="single" w:sz="4" w:space="0" w:color="auto"/>
                    <w:right w:val="single" w:sz="4" w:space="0" w:color="auto"/>
                  </w:tcBorders>
                  <w:tcMar>
                    <w:left w:w="72" w:type="dxa"/>
                    <w:right w:w="72" w:type="dxa"/>
                  </w:tcMar>
                  <w:vAlign w:val="center"/>
                  <w:hideMark/>
                </w:tcPr>
                <w:p w14:paraId="5D851BA1" w14:textId="77777777" w:rsidR="00915B26" w:rsidRPr="005D4222" w:rsidRDefault="00915B26" w:rsidP="00915B26">
                  <w:pPr>
                    <w:pStyle w:val="TableText"/>
                    <w:rPr>
                      <w:rFonts w:eastAsia="Arial Narrow"/>
                    </w:rPr>
                  </w:pPr>
                  <w:r w:rsidRPr="005D4222">
                    <w:rPr>
                      <w:rFonts w:eastAsia="Wingdings"/>
                    </w:rPr>
                    <w:t>For each Stratification</w:t>
                  </w:r>
                </w:p>
              </w:tc>
            </w:tr>
            <w:tr w:rsidR="00915B26" w:rsidRPr="005D4222" w14:paraId="27FAAA4D" w14:textId="77777777">
              <w:trPr>
                <w:cantSplit/>
                <w:trHeight w:val="253"/>
              </w:trPr>
              <w:tc>
                <w:tcPr>
                  <w:tcW w:w="2336" w:type="dxa"/>
                  <w:tcBorders>
                    <w:top w:val="single" w:sz="4" w:space="0" w:color="auto"/>
                    <w:left w:val="nil"/>
                    <w:bottom w:val="nil"/>
                    <w:right w:val="single" w:sz="4" w:space="0" w:color="auto"/>
                  </w:tcBorders>
                  <w:tcMar>
                    <w:left w:w="72" w:type="dxa"/>
                    <w:right w:w="72" w:type="dxa"/>
                  </w:tcMar>
                </w:tcPr>
                <w:p w14:paraId="4DB35A90" w14:textId="77777777" w:rsidR="00915B26" w:rsidRPr="005D4222" w:rsidRDefault="00915B26" w:rsidP="00915B26">
                  <w:pPr>
                    <w:pStyle w:val="TableText"/>
                    <w:rPr>
                      <w:rFonts w:eastAsia="Arial Narrow"/>
                    </w:rPr>
                  </w:pPr>
                </w:p>
              </w:tc>
              <w:tc>
                <w:tcPr>
                  <w:tcW w:w="775"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74A63414" w14:textId="77777777" w:rsidR="00915B26" w:rsidRPr="005D4222" w:rsidRDefault="00915B26" w:rsidP="00915B26">
                  <w:pPr>
                    <w:pStyle w:val="TableText"/>
                    <w:rPr>
                      <w:rFonts w:eastAsia="Arial Narrow"/>
                    </w:rPr>
                  </w:pPr>
                  <w:r w:rsidRPr="005D4222">
                    <w:t>3-4</w:t>
                  </w:r>
                </w:p>
              </w:tc>
              <w:tc>
                <w:tcPr>
                  <w:tcW w:w="2226"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2728E771" w14:textId="77777777" w:rsidR="00915B26" w:rsidRPr="005D4222" w:rsidRDefault="00915B26" w:rsidP="00915B26">
                  <w:pPr>
                    <w:pStyle w:val="TableText"/>
                    <w:rPr>
                      <w:rFonts w:eastAsia="Arial Narrow"/>
                    </w:rPr>
                  </w:pPr>
                  <w:r w:rsidRPr="005D4222">
                    <w:t>Exclusions</w:t>
                  </w:r>
                </w:p>
              </w:tc>
              <w:tc>
                <w:tcPr>
                  <w:tcW w:w="2044"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67439D69" w14:textId="77777777" w:rsidR="00915B26" w:rsidRPr="005D4222" w:rsidRDefault="00915B26" w:rsidP="00915B26">
                  <w:pPr>
                    <w:pStyle w:val="TableText"/>
                    <w:rPr>
                      <w:rFonts w:eastAsia="Arial Narrow"/>
                    </w:rPr>
                  </w:pPr>
                  <w:r w:rsidRPr="005D4222">
                    <w:rPr>
                      <w:rFonts w:eastAsia="Wingdings"/>
                    </w:rPr>
                    <w:t>For each Stratification</w:t>
                  </w:r>
                </w:p>
              </w:tc>
            </w:tr>
            <w:tr w:rsidR="00915B26" w:rsidRPr="005D4222" w14:paraId="2CBBAB2D" w14:textId="77777777">
              <w:trPr>
                <w:cantSplit/>
                <w:trHeight w:val="242"/>
              </w:trPr>
              <w:tc>
                <w:tcPr>
                  <w:tcW w:w="2336" w:type="dxa"/>
                  <w:tcBorders>
                    <w:top w:val="nil"/>
                    <w:left w:val="nil"/>
                    <w:bottom w:val="nil"/>
                    <w:right w:val="nil"/>
                  </w:tcBorders>
                  <w:tcMar>
                    <w:left w:w="72" w:type="dxa"/>
                    <w:right w:w="72" w:type="dxa"/>
                  </w:tcMar>
                </w:tcPr>
                <w:p w14:paraId="566407B1" w14:textId="77777777" w:rsidR="00915B26" w:rsidRPr="005D4222" w:rsidRDefault="00915B26" w:rsidP="00915B26">
                  <w:pPr>
                    <w:pStyle w:val="TableText"/>
                    <w:rPr>
                      <w:rFonts w:eastAsia="Arial Narrow"/>
                    </w:rPr>
                  </w:pPr>
                </w:p>
              </w:tc>
              <w:tc>
                <w:tcPr>
                  <w:tcW w:w="7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5687E239" w14:textId="77777777" w:rsidR="00915B26" w:rsidRPr="005D4222" w:rsidRDefault="00915B26" w:rsidP="00915B26">
                  <w:pPr>
                    <w:pStyle w:val="TableText"/>
                  </w:pPr>
                  <w:r w:rsidRPr="005D4222">
                    <w:t>Total</w:t>
                  </w:r>
                </w:p>
              </w:tc>
              <w:tc>
                <w:tcPr>
                  <w:tcW w:w="2226" w:type="dxa"/>
                  <w:tcBorders>
                    <w:top w:val="single" w:sz="4" w:space="0" w:color="auto"/>
                    <w:left w:val="single" w:sz="4" w:space="0" w:color="auto"/>
                    <w:bottom w:val="single" w:sz="4" w:space="0" w:color="auto"/>
                    <w:right w:val="single" w:sz="4" w:space="0" w:color="auto"/>
                  </w:tcBorders>
                  <w:tcMar>
                    <w:left w:w="72" w:type="dxa"/>
                    <w:right w:w="72" w:type="dxa"/>
                  </w:tcMar>
                </w:tcPr>
                <w:p w14:paraId="35FE8524" w14:textId="77777777" w:rsidR="00915B26" w:rsidRPr="005D4222" w:rsidRDefault="00915B26" w:rsidP="00915B26">
                  <w:pPr>
                    <w:pStyle w:val="TableText"/>
                  </w:pPr>
                  <w:r w:rsidRPr="005D4222">
                    <w:t>Denominator</w:t>
                  </w:r>
                </w:p>
              </w:tc>
              <w:tc>
                <w:tcPr>
                  <w:tcW w:w="2044" w:type="dxa"/>
                  <w:tcBorders>
                    <w:top w:val="single" w:sz="4" w:space="0" w:color="auto"/>
                    <w:left w:val="single" w:sz="4" w:space="0" w:color="auto"/>
                    <w:bottom w:val="single" w:sz="4" w:space="0" w:color="auto"/>
                    <w:right w:val="single" w:sz="4" w:space="0" w:color="auto"/>
                  </w:tcBorders>
                  <w:tcMar>
                    <w:left w:w="72" w:type="dxa"/>
                    <w:right w:w="72" w:type="dxa"/>
                  </w:tcMar>
                </w:tcPr>
                <w:p w14:paraId="00468728" w14:textId="77777777" w:rsidR="00915B26" w:rsidRPr="005D4222" w:rsidRDefault="00915B26" w:rsidP="00915B26">
                  <w:pPr>
                    <w:pStyle w:val="TableText"/>
                    <w:rPr>
                      <w:rFonts w:eastAsia="Wingdings"/>
                    </w:rPr>
                  </w:pPr>
                  <w:r w:rsidRPr="005D4222">
                    <w:rPr>
                      <w:rFonts w:eastAsia="Wingdings"/>
                    </w:rPr>
                    <w:t>For each Stratification</w:t>
                  </w:r>
                </w:p>
              </w:tc>
            </w:tr>
            <w:tr w:rsidR="00915B26" w:rsidRPr="005D4222" w14:paraId="497D5B0E" w14:textId="77777777">
              <w:trPr>
                <w:cantSplit/>
                <w:trHeight w:val="253"/>
              </w:trPr>
              <w:tc>
                <w:tcPr>
                  <w:tcW w:w="2336" w:type="dxa"/>
                  <w:tcBorders>
                    <w:top w:val="nil"/>
                    <w:left w:val="nil"/>
                    <w:bottom w:val="nil"/>
                    <w:right w:val="nil"/>
                  </w:tcBorders>
                  <w:tcMar>
                    <w:left w:w="72" w:type="dxa"/>
                    <w:right w:w="72" w:type="dxa"/>
                  </w:tcMar>
                </w:tcPr>
                <w:p w14:paraId="36A2A62E" w14:textId="77777777" w:rsidR="00915B26" w:rsidRPr="005D4222" w:rsidRDefault="00915B26" w:rsidP="00915B26">
                  <w:pPr>
                    <w:pStyle w:val="TableText"/>
                    <w:rPr>
                      <w:rFonts w:eastAsia="Arial Narrow"/>
                    </w:rPr>
                  </w:pPr>
                </w:p>
              </w:tc>
              <w:tc>
                <w:tcPr>
                  <w:tcW w:w="775" w:type="dxa"/>
                  <w:tcBorders>
                    <w:top w:val="single" w:sz="4" w:space="0" w:color="auto"/>
                    <w:left w:val="nil"/>
                    <w:bottom w:val="nil"/>
                    <w:right w:val="single" w:sz="4" w:space="0" w:color="auto"/>
                  </w:tcBorders>
                  <w:tcMar>
                    <w:left w:w="72" w:type="dxa"/>
                    <w:right w:w="72" w:type="dxa"/>
                  </w:tcMar>
                  <w:hideMark/>
                </w:tcPr>
                <w:p w14:paraId="18CE09DB" w14:textId="77777777" w:rsidR="00915B26" w:rsidRPr="005D4222" w:rsidRDefault="00915B26" w:rsidP="00915B26">
                  <w:pPr>
                    <w:pStyle w:val="TableText"/>
                    <w:rPr>
                      <w:rFonts w:eastAsia="Arial Narrow"/>
                    </w:rPr>
                  </w:pPr>
                </w:p>
              </w:tc>
              <w:tc>
                <w:tcPr>
                  <w:tcW w:w="2226"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335CD38D" w14:textId="77777777" w:rsidR="00915B26" w:rsidRPr="005D4222" w:rsidRDefault="00915B26" w:rsidP="00915B26">
                  <w:pPr>
                    <w:pStyle w:val="TableText"/>
                  </w:pPr>
                  <w:r w:rsidRPr="005D4222">
                    <w:t>NumeratorByAdmin</w:t>
                  </w:r>
                </w:p>
              </w:tc>
              <w:tc>
                <w:tcPr>
                  <w:tcW w:w="2044"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0B2C9C85" w14:textId="77777777" w:rsidR="00915B26" w:rsidRPr="005D4222" w:rsidRDefault="00915B26" w:rsidP="00915B26">
                  <w:pPr>
                    <w:pStyle w:val="TableText"/>
                    <w:rPr>
                      <w:rFonts w:eastAsia="Arial Narrow"/>
                    </w:rPr>
                  </w:pPr>
                  <w:r w:rsidRPr="005D4222">
                    <w:rPr>
                      <w:rFonts w:eastAsia="Wingdings"/>
                    </w:rPr>
                    <w:t>For each Stratification</w:t>
                  </w:r>
                </w:p>
              </w:tc>
            </w:tr>
            <w:tr w:rsidR="00915B26" w:rsidRPr="005D4222" w14:paraId="652C5060" w14:textId="77777777">
              <w:trPr>
                <w:cantSplit/>
                <w:trHeight w:val="253"/>
              </w:trPr>
              <w:tc>
                <w:tcPr>
                  <w:tcW w:w="2336" w:type="dxa"/>
                  <w:tcBorders>
                    <w:top w:val="nil"/>
                    <w:left w:val="nil"/>
                    <w:bottom w:val="nil"/>
                    <w:right w:val="nil"/>
                  </w:tcBorders>
                  <w:tcMar>
                    <w:left w:w="72" w:type="dxa"/>
                    <w:right w:w="72" w:type="dxa"/>
                  </w:tcMar>
                </w:tcPr>
                <w:p w14:paraId="691AFF86" w14:textId="77777777" w:rsidR="00915B26" w:rsidRPr="005D4222" w:rsidRDefault="00915B26" w:rsidP="00915B26">
                  <w:pPr>
                    <w:pStyle w:val="TableText"/>
                    <w:rPr>
                      <w:rFonts w:eastAsia="Arial Narrow"/>
                    </w:rPr>
                  </w:pPr>
                </w:p>
              </w:tc>
              <w:tc>
                <w:tcPr>
                  <w:tcW w:w="775" w:type="dxa"/>
                  <w:tcBorders>
                    <w:top w:val="nil"/>
                    <w:left w:val="nil"/>
                    <w:bottom w:val="nil"/>
                    <w:right w:val="single" w:sz="4" w:space="0" w:color="auto"/>
                  </w:tcBorders>
                  <w:tcMar>
                    <w:left w:w="72" w:type="dxa"/>
                    <w:right w:w="72" w:type="dxa"/>
                  </w:tcMar>
                </w:tcPr>
                <w:p w14:paraId="4BC9B6E8" w14:textId="77777777" w:rsidR="00915B26" w:rsidRPr="005D4222" w:rsidRDefault="00915B26" w:rsidP="00915B26">
                  <w:pPr>
                    <w:pStyle w:val="TableText"/>
                    <w:rPr>
                      <w:rFonts w:eastAsia="Arial Narrow"/>
                    </w:rPr>
                  </w:pPr>
                </w:p>
              </w:tc>
              <w:tc>
                <w:tcPr>
                  <w:tcW w:w="2226" w:type="dxa"/>
                  <w:tcBorders>
                    <w:top w:val="single" w:sz="4" w:space="0" w:color="auto"/>
                    <w:left w:val="single" w:sz="4" w:space="0" w:color="auto"/>
                    <w:bottom w:val="single" w:sz="4" w:space="0" w:color="auto"/>
                    <w:right w:val="single" w:sz="4" w:space="0" w:color="auto"/>
                  </w:tcBorders>
                  <w:tcMar>
                    <w:left w:w="72" w:type="dxa"/>
                    <w:right w:w="72" w:type="dxa"/>
                  </w:tcMar>
                </w:tcPr>
                <w:p w14:paraId="147ACC75" w14:textId="77777777" w:rsidR="00915B26" w:rsidRPr="005D4222" w:rsidRDefault="00915B26" w:rsidP="00915B26">
                  <w:pPr>
                    <w:pStyle w:val="TableText"/>
                  </w:pPr>
                  <w:r w:rsidRPr="005D4222">
                    <w:t>NumeratorBySupplemental</w:t>
                  </w:r>
                </w:p>
              </w:tc>
              <w:tc>
                <w:tcPr>
                  <w:tcW w:w="2044" w:type="dxa"/>
                  <w:tcBorders>
                    <w:top w:val="single" w:sz="4" w:space="0" w:color="auto"/>
                    <w:left w:val="single" w:sz="4" w:space="0" w:color="auto"/>
                    <w:bottom w:val="single" w:sz="4" w:space="0" w:color="auto"/>
                    <w:right w:val="single" w:sz="4" w:space="0" w:color="auto"/>
                  </w:tcBorders>
                  <w:tcMar>
                    <w:left w:w="72" w:type="dxa"/>
                    <w:right w:w="72" w:type="dxa"/>
                  </w:tcMar>
                </w:tcPr>
                <w:p w14:paraId="460266BE" w14:textId="77777777" w:rsidR="00915B26" w:rsidRPr="005D4222" w:rsidRDefault="00915B26" w:rsidP="00915B26">
                  <w:pPr>
                    <w:pStyle w:val="TableText"/>
                    <w:rPr>
                      <w:rFonts w:eastAsia="Wingdings"/>
                    </w:rPr>
                  </w:pPr>
                  <w:r w:rsidRPr="005D4222">
                    <w:t>For each Stratification</w:t>
                  </w:r>
                </w:p>
              </w:tc>
            </w:tr>
            <w:tr w:rsidR="00915B26" w:rsidRPr="005D4222" w14:paraId="482ED813" w14:textId="77777777">
              <w:trPr>
                <w:cantSplit/>
                <w:trHeight w:val="242"/>
              </w:trPr>
              <w:tc>
                <w:tcPr>
                  <w:tcW w:w="2336" w:type="dxa"/>
                  <w:tcBorders>
                    <w:top w:val="nil"/>
                    <w:left w:val="nil"/>
                    <w:bottom w:val="nil"/>
                    <w:right w:val="nil"/>
                  </w:tcBorders>
                  <w:tcMar>
                    <w:left w:w="72" w:type="dxa"/>
                    <w:right w:w="72" w:type="dxa"/>
                  </w:tcMar>
                </w:tcPr>
                <w:p w14:paraId="70146C68" w14:textId="77777777" w:rsidR="00915B26" w:rsidRPr="005D4222" w:rsidRDefault="00915B26" w:rsidP="00915B26">
                  <w:pPr>
                    <w:pStyle w:val="TableText"/>
                    <w:rPr>
                      <w:rFonts w:eastAsia="Arial Narrow"/>
                    </w:rPr>
                  </w:pPr>
                </w:p>
              </w:tc>
              <w:tc>
                <w:tcPr>
                  <w:tcW w:w="775" w:type="dxa"/>
                  <w:tcBorders>
                    <w:top w:val="nil"/>
                    <w:left w:val="nil"/>
                    <w:bottom w:val="nil"/>
                    <w:right w:val="single" w:sz="4" w:space="0" w:color="auto"/>
                  </w:tcBorders>
                  <w:tcMar>
                    <w:left w:w="72" w:type="dxa"/>
                    <w:right w:w="72" w:type="dxa"/>
                  </w:tcMar>
                </w:tcPr>
                <w:p w14:paraId="5A8FC372" w14:textId="77777777" w:rsidR="00915B26" w:rsidRPr="005D4222" w:rsidRDefault="00915B26" w:rsidP="00915B26">
                  <w:pPr>
                    <w:pStyle w:val="TableText"/>
                  </w:pPr>
                </w:p>
              </w:tc>
              <w:tc>
                <w:tcPr>
                  <w:tcW w:w="22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5849DB62" w14:textId="77777777" w:rsidR="00915B26" w:rsidRPr="005D4222" w:rsidRDefault="00915B26" w:rsidP="00915B26">
                  <w:pPr>
                    <w:pStyle w:val="TableText"/>
                    <w:rPr>
                      <w:rFonts w:eastAsia="Arial Narrow"/>
                    </w:rPr>
                  </w:pPr>
                  <w:r w:rsidRPr="005D4222">
                    <w:t>Rate</w:t>
                  </w:r>
                </w:p>
              </w:tc>
              <w:tc>
                <w:tcPr>
                  <w:tcW w:w="204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247218D1" w14:textId="77777777" w:rsidR="00915B26" w:rsidRPr="005D4222" w:rsidRDefault="00915B26" w:rsidP="00915B26">
                  <w:pPr>
                    <w:pStyle w:val="TableText"/>
                    <w:rPr>
                      <w:rFonts w:eastAsia="Arial Narrow"/>
                    </w:rPr>
                  </w:pPr>
                  <w:r w:rsidRPr="005D4222">
                    <w:rPr>
                      <w:rFonts w:eastAsia="Wingdings"/>
                    </w:rPr>
                    <w:t>(Percent)</w:t>
                  </w:r>
                </w:p>
              </w:tc>
            </w:tr>
          </w:tbl>
          <w:p w14:paraId="48243C0D" w14:textId="77777777" w:rsidR="00915B26" w:rsidRPr="005D4222" w:rsidRDefault="00915B26" w:rsidP="00915B26">
            <w:pPr>
              <w:tabs>
                <w:tab w:val="left" w:pos="1368"/>
              </w:tabs>
              <w:spacing w:before="120" w:after="80"/>
              <w:rPr>
                <w:rFonts w:cs="Arial"/>
                <w:bCs/>
                <w:szCs w:val="26"/>
              </w:rPr>
            </w:pPr>
          </w:p>
        </w:tc>
      </w:tr>
      <w:tr w:rsidR="00915B26" w:rsidRPr="005D4222" w14:paraId="250D6E3D" w14:textId="77777777">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913EECC" w14:textId="77777777" w:rsidR="00915B26" w:rsidRPr="005D4222" w:rsidRDefault="00915B26" w:rsidP="00915B26">
            <w:pPr>
              <w:pStyle w:val="ECDSMarginHead"/>
            </w:pPr>
            <w:r w:rsidRPr="005D4222">
              <w:t>Rules for Allowable Adjustments</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CBCE027" w14:textId="77777777" w:rsidR="00915B26" w:rsidRPr="005D4222" w:rsidRDefault="00915B26" w:rsidP="00915B26">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14EFFC0E" w14:textId="77777777" w:rsidR="00915B26" w:rsidRPr="005D4222" w:rsidRDefault="00915B26" w:rsidP="00915B26">
            <w:pPr>
              <w:pStyle w:val="ECDSBody"/>
              <w:rPr>
                <w:b/>
              </w:rPr>
            </w:pPr>
            <w:r w:rsidRPr="005D4222">
              <w:rPr>
                <w:b/>
              </w:rPr>
              <w:t>Adjusted HEDIS measures may not be used for HEDIS health plan reporting.</w:t>
            </w:r>
          </w:p>
          <w:p w14:paraId="55A56E4A" w14:textId="77777777" w:rsidR="00915B26" w:rsidRPr="005D4222" w:rsidRDefault="00915B26" w:rsidP="00915B26">
            <w:pPr>
              <w:pStyle w:val="Adjustments"/>
            </w:pPr>
            <w:r w:rsidRPr="005D4222">
              <w:t>Adjustments allowed</w:t>
            </w:r>
          </w:p>
          <w:p w14:paraId="4684F87B" w14:textId="332509D8" w:rsidR="00915B26" w:rsidRPr="005D4222" w:rsidRDefault="00915B26" w:rsidP="00915B26">
            <w:pPr>
              <w:pStyle w:val="ProcessBullet"/>
              <w:rPr>
                <w:b/>
              </w:rPr>
            </w:pPr>
            <w:r w:rsidRPr="005D4222">
              <w:rPr>
                <w:i/>
                <w:iCs/>
              </w:rPr>
              <w:t>Product lines</w:t>
            </w:r>
            <w:r w:rsidRPr="005D4222">
              <w:t>. Organizations are not required to use product line criteria; product lines may be combined</w:t>
            </w:r>
            <w:r w:rsidR="00E8671F" w:rsidRPr="005D4222">
              <w:t>,</w:t>
            </w:r>
            <w:r w:rsidRPr="005D4222">
              <w:t xml:space="preserve"> and all (or no) product line criteria may be used.</w:t>
            </w:r>
          </w:p>
          <w:p w14:paraId="763D5A3A" w14:textId="77777777" w:rsidR="00915B26" w:rsidRPr="005D4222" w:rsidRDefault="00915B26" w:rsidP="00915B26">
            <w:pPr>
              <w:pStyle w:val="ProcessBullet"/>
              <w:rPr>
                <w:i/>
              </w:rPr>
            </w:pPr>
            <w:r w:rsidRPr="005D4222">
              <w:rPr>
                <w:i/>
                <w:iCs/>
              </w:rPr>
              <w:t xml:space="preserve">Attribution. </w:t>
            </w:r>
            <w:r w:rsidRPr="005D4222">
              <w:t>Organizations are not required to use enrollment criteria.</w:t>
            </w:r>
          </w:p>
          <w:p w14:paraId="2ABB5137" w14:textId="77777777" w:rsidR="00915B26" w:rsidRPr="005D4222" w:rsidRDefault="00915B26" w:rsidP="00915B26">
            <w:pPr>
              <w:pStyle w:val="ProcessBullet"/>
            </w:pPr>
            <w:r w:rsidRPr="005D4222">
              <w:rPr>
                <w:i/>
                <w:iCs/>
              </w:rPr>
              <w:t>Benefits.</w:t>
            </w:r>
            <w:r w:rsidRPr="005D4222">
              <w:t xml:space="preserve"> Organizations are not required to use a benefit.</w:t>
            </w:r>
          </w:p>
          <w:p w14:paraId="6F27856B" w14:textId="77777777" w:rsidR="00915B26" w:rsidRPr="005D4222" w:rsidRDefault="00915B26" w:rsidP="00915B26">
            <w:pPr>
              <w:pStyle w:val="ProcessBullet"/>
              <w:rPr>
                <w:i/>
              </w:rPr>
            </w:pPr>
            <w:r w:rsidRPr="005D4222">
              <w:rPr>
                <w:i/>
                <w:iCs/>
              </w:rPr>
              <w:t xml:space="preserve">Ages. </w:t>
            </w:r>
            <w:r w:rsidRPr="005D4222">
              <w:rPr>
                <w:rFonts w:cs="Arial"/>
                <w:color w:val="000000"/>
                <w:shd w:val="clear" w:color="auto" w:fill="FFFFFF"/>
              </w:rPr>
              <w:t>The denominator age range may be expanded. </w:t>
            </w:r>
            <w:r w:rsidRPr="005D4222">
              <w:t xml:space="preserve">The age determination dates may be changed (e.g., select, “age as of June 30”). </w:t>
            </w:r>
          </w:p>
          <w:p w14:paraId="5A363CED" w14:textId="77777777" w:rsidR="00915B26" w:rsidRPr="005D4222" w:rsidRDefault="00915B26" w:rsidP="00915B26">
            <w:pPr>
              <w:pStyle w:val="ProcessBullet"/>
            </w:pPr>
            <w:r w:rsidRPr="005D4222">
              <w:rPr>
                <w:i/>
                <w:iCs/>
              </w:rPr>
              <w:t>Other.</w:t>
            </w:r>
            <w:r w:rsidRPr="005D4222">
              <w:t xml:space="preserve"> Organizations may use additional initial population criteria to focus on an area of interest defined by gender, race, ethnicity, socioeconomic or sociodemographic characteristics, geographic region or another characteristic.  </w:t>
            </w:r>
          </w:p>
          <w:p w14:paraId="6DCC2F08" w14:textId="77777777" w:rsidR="00915B26" w:rsidRPr="005D4222" w:rsidRDefault="00915B26" w:rsidP="00915B26">
            <w:pPr>
              <w:pStyle w:val="ProcessBullet"/>
            </w:pPr>
            <w:r w:rsidRPr="005D4222">
              <w:rPr>
                <w:i/>
                <w:iCs/>
              </w:rPr>
              <w:t>Exclusions.</w:t>
            </w:r>
            <w:r w:rsidRPr="005D4222">
              <w:t xml:space="preserve"> The hospice and deceased person exclusions are not required. </w:t>
            </w:r>
          </w:p>
          <w:p w14:paraId="4D352511" w14:textId="72DBCAF1" w:rsidR="00915B26" w:rsidRPr="005D4222" w:rsidRDefault="00915B26" w:rsidP="00915B26">
            <w:pPr>
              <w:pStyle w:val="ProcessBullet"/>
            </w:pPr>
            <w:r w:rsidRPr="005D4222">
              <w:rPr>
                <w:i/>
                <w:iCs/>
              </w:rPr>
              <w:t xml:space="preserve">Telehealth. </w:t>
            </w:r>
            <w:r w:rsidRPr="005D4222">
              <w:t xml:space="preserve">Services/events that allow the use of synchronous telehealth visits, telephone visits and asynchronous telehealth (e-visits, virtual check-ins) may be stratified to identify services performed via telehealth. This adjustment is not allowed for </w:t>
            </w:r>
            <w:r w:rsidR="00F45777" w:rsidRPr="005D4222">
              <w:t>events</w:t>
            </w:r>
            <w:r w:rsidRPr="005D4222">
              <w:t>, numerators and exclusions that do not allow the use of telehealth.</w:t>
            </w:r>
          </w:p>
          <w:p w14:paraId="0ADBCB08" w14:textId="77777777" w:rsidR="00915B26" w:rsidRPr="005D4222" w:rsidRDefault="00915B26" w:rsidP="00915B26">
            <w:pPr>
              <w:pStyle w:val="ProcessBullet"/>
            </w:pPr>
            <w:r w:rsidRPr="005D4222">
              <w:rPr>
                <w:i/>
                <w:iCs/>
              </w:rPr>
              <w:t>Supplemental data.</w:t>
            </w:r>
            <w:r w:rsidRPr="005D4222">
              <w:t xml:space="preserve"> Supplemental data may be used to identify initial population, denominator, exclusion and numerator events.</w:t>
            </w:r>
          </w:p>
          <w:p w14:paraId="2D089AD2" w14:textId="77777777" w:rsidR="00915B26" w:rsidRPr="005D4222" w:rsidRDefault="00915B26" w:rsidP="00915B26">
            <w:pPr>
              <w:pStyle w:val="Adjustments"/>
              <w:rPr>
                <w:bCs/>
              </w:rPr>
            </w:pPr>
            <w:r w:rsidRPr="005D4222">
              <w:t>Adjustments not allowed</w:t>
            </w:r>
          </w:p>
          <w:p w14:paraId="3E282482" w14:textId="77777777" w:rsidR="00915B26" w:rsidRPr="005D4222" w:rsidRDefault="00915B26" w:rsidP="00915B26">
            <w:pPr>
              <w:pStyle w:val="ProcessBullet"/>
              <w:spacing w:after="80"/>
              <w:rPr>
                <w:b/>
                <w:color w:val="000000" w:themeColor="text1"/>
              </w:rPr>
            </w:pPr>
            <w:r w:rsidRPr="005D4222">
              <w:rPr>
                <w:i/>
                <w:iCs/>
              </w:rPr>
              <w:t>Numerator</w:t>
            </w:r>
            <w:r w:rsidRPr="005D4222">
              <w:t>. Value sets and logic may not be changed.</w:t>
            </w:r>
          </w:p>
        </w:tc>
      </w:tr>
    </w:tbl>
    <w:p w14:paraId="5A411BEE" w14:textId="77777777" w:rsidR="00915B26" w:rsidRPr="005D4222" w:rsidRDefault="00915B26" w:rsidP="00915B26">
      <w:pPr>
        <w:sectPr w:rsidR="00915B26" w:rsidRPr="005D4222" w:rsidSect="0074514A">
          <w:headerReference w:type="default" r:id="rId88"/>
          <w:type w:val="nextColumn"/>
          <w:pgSz w:w="12240" w:h="15840" w:code="1"/>
          <w:pgMar w:top="1080" w:right="1080" w:bottom="1080" w:left="1440" w:header="720" w:footer="720" w:gutter="0"/>
          <w:cols w:space="720"/>
          <w:docGrid w:linePitch="360"/>
        </w:sectPr>
      </w:pPr>
    </w:p>
    <w:p w14:paraId="0525C965" w14:textId="77777777" w:rsidR="00087465" w:rsidRPr="005D4222" w:rsidRDefault="000A0757" w:rsidP="00966DCB">
      <w:pPr>
        <w:pStyle w:val="BreakPage2"/>
        <w:rPr>
          <w:i w:val="0"/>
          <w:iCs w:val="0"/>
        </w:rPr>
        <w:sectPr w:rsidR="00087465" w:rsidRPr="005D4222" w:rsidSect="0074514A">
          <w:headerReference w:type="default" r:id="rId89"/>
          <w:footerReference w:type="default" r:id="rId90"/>
          <w:type w:val="nextColumn"/>
          <w:pgSz w:w="12240" w:h="15840" w:code="1"/>
          <w:pgMar w:top="1080" w:right="1080" w:bottom="1080" w:left="1440" w:header="720" w:footer="720" w:gutter="0"/>
          <w:cols w:space="720"/>
          <w:docGrid w:linePitch="360"/>
        </w:sectPr>
      </w:pPr>
      <w:bookmarkStart w:id="275" w:name="_Toc201813392"/>
      <w:r w:rsidRPr="005D4222">
        <w:lastRenderedPageBreak/>
        <w:t>Respiratory Conditions</w:t>
      </w:r>
      <w:bookmarkEnd w:id="275"/>
    </w:p>
    <w:p w14:paraId="2EA24E9A" w14:textId="6A5A4271" w:rsidR="000A0757" w:rsidRPr="005D4222" w:rsidRDefault="007A4AA3" w:rsidP="007A4AA3">
      <w:pPr>
        <w:pStyle w:val="MeasureTitle"/>
      </w:pPr>
      <w:bookmarkStart w:id="276" w:name="_Toc201813393"/>
      <w:r w:rsidRPr="005D4222">
        <w:lastRenderedPageBreak/>
        <w:t>Appropriate Testing for Pharyngitis</w:t>
      </w:r>
      <w:r w:rsidR="004C0737" w:rsidRPr="005D4222">
        <w:t xml:space="preserve"> (CWP)</w:t>
      </w:r>
      <w:bookmarkEnd w:id="276"/>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6"/>
        <w:gridCol w:w="4871"/>
        <w:gridCol w:w="1475"/>
        <w:gridCol w:w="1212"/>
      </w:tblGrid>
      <w:tr w:rsidR="00A15BC3" w:rsidRPr="005D4222" w14:paraId="754937D0" w14:textId="77777777">
        <w:tc>
          <w:tcPr>
            <w:tcW w:w="1110" w:type="pct"/>
            <w:shd w:val="clear" w:color="auto" w:fill="BFBFBF" w:themeFill="background1" w:themeFillShade="BF"/>
            <w:tcMar>
              <w:top w:w="0" w:type="dxa"/>
              <w:left w:w="86" w:type="dxa"/>
              <w:bottom w:w="43" w:type="dxa"/>
              <w:right w:w="86" w:type="dxa"/>
            </w:tcMar>
            <w:hideMark/>
          </w:tcPr>
          <w:p w14:paraId="266A82FF" w14:textId="77777777" w:rsidR="00A15BC3" w:rsidRPr="005D4222" w:rsidRDefault="00A15BC3" w:rsidP="00F05A21">
            <w:pPr>
              <w:pStyle w:val="ECDSMarginHead"/>
            </w:pPr>
            <w:r w:rsidRPr="005D4222">
              <w:t>Measure title</w:t>
            </w:r>
          </w:p>
        </w:tc>
        <w:tc>
          <w:tcPr>
            <w:tcW w:w="2507" w:type="pct"/>
            <w:tcMar>
              <w:top w:w="0" w:type="dxa"/>
              <w:left w:w="86" w:type="dxa"/>
              <w:bottom w:w="43" w:type="dxa"/>
              <w:right w:w="86" w:type="dxa"/>
            </w:tcMar>
          </w:tcPr>
          <w:p w14:paraId="5F3035B8" w14:textId="77777777" w:rsidR="00A15BC3" w:rsidRPr="005D4222" w:rsidRDefault="00A15BC3" w:rsidP="00A15BC3">
            <w:pPr>
              <w:pStyle w:val="ECDSBody"/>
            </w:pPr>
            <w:r w:rsidRPr="005D4222">
              <w:t>Appropriate Testing for Pharyngitis</w:t>
            </w:r>
          </w:p>
        </w:tc>
        <w:tc>
          <w:tcPr>
            <w:tcW w:w="759" w:type="pct"/>
            <w:shd w:val="clear" w:color="auto" w:fill="BFBFBF" w:themeFill="background1" w:themeFillShade="BF"/>
            <w:tcMar>
              <w:top w:w="0" w:type="dxa"/>
              <w:left w:w="86" w:type="dxa"/>
              <w:bottom w:w="43" w:type="dxa"/>
              <w:right w:w="86" w:type="dxa"/>
            </w:tcMar>
          </w:tcPr>
          <w:p w14:paraId="5789BFD0" w14:textId="77777777" w:rsidR="00A15BC3" w:rsidRPr="005D4222" w:rsidRDefault="00A15BC3" w:rsidP="00FB669B">
            <w:pPr>
              <w:pStyle w:val="ECDSMarginHead"/>
            </w:pPr>
            <w:r w:rsidRPr="005D4222">
              <w:t>Measure ID</w:t>
            </w:r>
          </w:p>
        </w:tc>
        <w:tc>
          <w:tcPr>
            <w:tcW w:w="624" w:type="pct"/>
            <w:tcMar>
              <w:top w:w="0" w:type="dxa"/>
              <w:left w:w="86" w:type="dxa"/>
              <w:bottom w:w="43" w:type="dxa"/>
              <w:right w:w="86" w:type="dxa"/>
            </w:tcMar>
          </w:tcPr>
          <w:p w14:paraId="5A9084F3" w14:textId="77777777" w:rsidR="00A15BC3" w:rsidRPr="005D4222" w:rsidRDefault="00A15BC3" w:rsidP="00A15BC3">
            <w:pPr>
              <w:pStyle w:val="ECDSBody"/>
            </w:pPr>
            <w:r w:rsidRPr="005D4222">
              <w:t>CWP</w:t>
            </w:r>
          </w:p>
        </w:tc>
      </w:tr>
      <w:tr w:rsidR="00A15BC3" w:rsidRPr="005D4222" w14:paraId="7001431D" w14:textId="77777777">
        <w:tc>
          <w:tcPr>
            <w:tcW w:w="1110" w:type="pct"/>
            <w:shd w:val="clear" w:color="auto" w:fill="BFBFBF" w:themeFill="background1" w:themeFillShade="BF"/>
            <w:tcMar>
              <w:top w:w="0" w:type="dxa"/>
              <w:left w:w="86" w:type="dxa"/>
              <w:bottom w:w="43" w:type="dxa"/>
              <w:right w:w="86" w:type="dxa"/>
            </w:tcMar>
            <w:hideMark/>
          </w:tcPr>
          <w:p w14:paraId="14EF2917" w14:textId="77777777" w:rsidR="00A15BC3" w:rsidRPr="005D4222" w:rsidRDefault="00A15BC3" w:rsidP="00F05A21">
            <w:pPr>
              <w:pStyle w:val="ECDSMarginHead"/>
            </w:pPr>
            <w:r w:rsidRPr="005D4222">
              <w:t>Description</w:t>
            </w:r>
          </w:p>
        </w:tc>
        <w:tc>
          <w:tcPr>
            <w:tcW w:w="3890" w:type="pct"/>
            <w:gridSpan w:val="3"/>
            <w:tcMar>
              <w:top w:w="0" w:type="dxa"/>
              <w:left w:w="86" w:type="dxa"/>
              <w:bottom w:w="43" w:type="dxa"/>
              <w:right w:w="86" w:type="dxa"/>
            </w:tcMar>
          </w:tcPr>
          <w:p w14:paraId="36081B04" w14:textId="77777777" w:rsidR="00A15BC3" w:rsidRPr="005D4222" w:rsidRDefault="00A15BC3" w:rsidP="00A15BC3">
            <w:pPr>
              <w:pStyle w:val="ECDSBody"/>
            </w:pPr>
            <w:r w:rsidRPr="005D4222">
              <w:t>The percentage of episodes for persons 3 years and older where the person was diagnosed with pharyngitis, dispensed an antibiotic and received a group A streptococcus (strep) test for the episode.</w:t>
            </w:r>
          </w:p>
        </w:tc>
      </w:tr>
      <w:tr w:rsidR="00A15BC3" w:rsidRPr="005D4222" w14:paraId="4E19713E" w14:textId="77777777">
        <w:tc>
          <w:tcPr>
            <w:tcW w:w="1110" w:type="pct"/>
            <w:shd w:val="clear" w:color="auto" w:fill="BFBFBF" w:themeFill="background1" w:themeFillShade="BF"/>
            <w:tcMar>
              <w:top w:w="0" w:type="dxa"/>
              <w:left w:w="86" w:type="dxa"/>
              <w:bottom w:w="43" w:type="dxa"/>
              <w:right w:w="86" w:type="dxa"/>
            </w:tcMar>
          </w:tcPr>
          <w:p w14:paraId="7B78A77E" w14:textId="77777777" w:rsidR="00A15BC3" w:rsidRPr="005D4222" w:rsidRDefault="00A15BC3" w:rsidP="00F05A21">
            <w:pPr>
              <w:pStyle w:val="ECDSMarginHead"/>
            </w:pPr>
            <w:r w:rsidRPr="005D4222">
              <w:t>Measurement period</w:t>
            </w:r>
          </w:p>
        </w:tc>
        <w:tc>
          <w:tcPr>
            <w:tcW w:w="3890" w:type="pct"/>
            <w:gridSpan w:val="3"/>
            <w:tcMar>
              <w:top w:w="0" w:type="dxa"/>
              <w:left w:w="86" w:type="dxa"/>
              <w:bottom w:w="43" w:type="dxa"/>
              <w:right w:w="86" w:type="dxa"/>
            </w:tcMar>
          </w:tcPr>
          <w:p w14:paraId="5EBE85A2" w14:textId="77777777" w:rsidR="00A15BC3" w:rsidRPr="005D4222" w:rsidRDefault="00A15BC3" w:rsidP="00A15BC3">
            <w:pPr>
              <w:pStyle w:val="ECDSBody"/>
            </w:pPr>
            <w:r w:rsidRPr="005D4222">
              <w:t>January 1–December 31.</w:t>
            </w:r>
          </w:p>
        </w:tc>
      </w:tr>
      <w:tr w:rsidR="00A15BC3" w:rsidRPr="005D4222" w14:paraId="5F50A06D" w14:textId="77777777">
        <w:tc>
          <w:tcPr>
            <w:tcW w:w="1110" w:type="pct"/>
            <w:shd w:val="clear" w:color="auto" w:fill="BFBFBF" w:themeFill="background1" w:themeFillShade="BF"/>
            <w:tcMar>
              <w:top w:w="0" w:type="dxa"/>
              <w:left w:w="86" w:type="dxa"/>
              <w:bottom w:w="43" w:type="dxa"/>
              <w:right w:w="86" w:type="dxa"/>
            </w:tcMar>
            <w:hideMark/>
          </w:tcPr>
          <w:p w14:paraId="411A25C0" w14:textId="77777777" w:rsidR="00A15BC3" w:rsidRPr="005D4222" w:rsidRDefault="00A15BC3" w:rsidP="00F05A21">
            <w:pPr>
              <w:pStyle w:val="ECDSMarginHead"/>
            </w:pPr>
            <w:r w:rsidRPr="005D4222">
              <w:t>Copyright and disclaimer notice</w:t>
            </w:r>
          </w:p>
        </w:tc>
        <w:tc>
          <w:tcPr>
            <w:tcW w:w="3890" w:type="pct"/>
            <w:gridSpan w:val="3"/>
            <w:tcMar>
              <w:top w:w="0" w:type="dxa"/>
              <w:left w:w="86" w:type="dxa"/>
              <w:bottom w:w="43" w:type="dxa"/>
              <w:right w:w="86" w:type="dxa"/>
            </w:tcMar>
          </w:tcPr>
          <w:p w14:paraId="23270281" w14:textId="77777777" w:rsidR="00A15BC3" w:rsidRPr="005D4222" w:rsidRDefault="00A15BC3" w:rsidP="00A15BC3">
            <w:pPr>
              <w:pStyle w:val="ECDSBody"/>
            </w:pPr>
            <w:r w:rsidRPr="005D4222">
              <w:t>Refer to the complete copyright and disclaimer information at the front of this publication.</w:t>
            </w:r>
          </w:p>
          <w:p w14:paraId="2A97DAD8" w14:textId="77777777" w:rsidR="00A15BC3" w:rsidRPr="005D4222" w:rsidRDefault="00A15BC3" w:rsidP="00A15BC3">
            <w:pPr>
              <w:pStyle w:val="ECDSBody"/>
            </w:pPr>
            <w:r w:rsidRPr="005D4222">
              <w:t xml:space="preserve">NCQA website: </w:t>
            </w:r>
            <w:r w:rsidRPr="005D4222">
              <w:rPr>
                <w:u w:val="single"/>
              </w:rPr>
              <w:t>www.ncqa.org</w:t>
            </w:r>
            <w:r w:rsidRPr="005D4222">
              <w:t>.</w:t>
            </w:r>
          </w:p>
          <w:p w14:paraId="1EB34AFD" w14:textId="77777777" w:rsidR="00A15BC3" w:rsidRPr="005D4222" w:rsidRDefault="00A15BC3" w:rsidP="00A15BC3">
            <w:pPr>
              <w:pStyle w:val="ECDSBody"/>
            </w:pPr>
            <w:r w:rsidRPr="005D4222">
              <w:t>Submit policy clarification support questions via My NCQA (</w:t>
            </w:r>
            <w:r w:rsidRPr="005D4222">
              <w:rPr>
                <w:u w:val="single"/>
              </w:rPr>
              <w:t>https://my.ncqa.org</w:t>
            </w:r>
            <w:r w:rsidRPr="005D4222">
              <w:t>).</w:t>
            </w:r>
          </w:p>
        </w:tc>
      </w:tr>
      <w:tr w:rsidR="00A15BC3" w:rsidRPr="005D4222" w14:paraId="675439F4" w14:textId="77777777">
        <w:trPr>
          <w:trHeight w:val="655"/>
        </w:trPr>
        <w:tc>
          <w:tcPr>
            <w:tcW w:w="1110" w:type="pct"/>
            <w:shd w:val="clear" w:color="auto" w:fill="BFBFBF" w:themeFill="background1" w:themeFillShade="BF"/>
            <w:tcMar>
              <w:top w:w="0" w:type="dxa"/>
              <w:left w:w="86" w:type="dxa"/>
              <w:bottom w:w="43" w:type="dxa"/>
              <w:right w:w="86" w:type="dxa"/>
            </w:tcMar>
            <w:hideMark/>
          </w:tcPr>
          <w:p w14:paraId="3327719B" w14:textId="77777777" w:rsidR="00A15BC3" w:rsidRPr="005D4222" w:rsidRDefault="00A15BC3" w:rsidP="00F05A21">
            <w:pPr>
              <w:pStyle w:val="ECDSMarginHead"/>
            </w:pPr>
            <w:r w:rsidRPr="005D4222">
              <w:t>Clinical recommendation statement/ rationale</w:t>
            </w:r>
          </w:p>
        </w:tc>
        <w:tc>
          <w:tcPr>
            <w:tcW w:w="3890" w:type="pct"/>
            <w:gridSpan w:val="3"/>
            <w:tcMar>
              <w:top w:w="0" w:type="dxa"/>
              <w:left w:w="86" w:type="dxa"/>
              <w:bottom w:w="43" w:type="dxa"/>
              <w:right w:w="86" w:type="dxa"/>
            </w:tcMar>
          </w:tcPr>
          <w:p w14:paraId="0B3E1264" w14:textId="77777777" w:rsidR="00A15BC3" w:rsidRPr="005D4222" w:rsidRDefault="00A15BC3" w:rsidP="00A15BC3">
            <w:pPr>
              <w:pStyle w:val="ECDSBody"/>
            </w:pPr>
            <w:r w:rsidRPr="005D4222">
              <w:t xml:space="preserve">Pharyngitis is one of the most common causes of ambulatory health care utilization and can be caused by both bacterial and viral infection. While pharyngitis is typically caused by a viral infection, it can also be caused by a bacterial infection of group A streptococcus. To limit unnecessary antibiotic use for pharyngitis caused by viruses, clinical practice guidelines recommend that patients presenting with pharyngitis only receive antibiotics if a group A streptococcal test indicates bacterial infection. A quality measure that links testing for group A streptococcus with antibiotic prescriptions for pharyngitis can help to limit antibiotic use for pharyngitis caused by viruses, reducing the risk of antibiotic-resistant infections, negative clinical events and unnecessary costs in the United States. </w:t>
            </w:r>
          </w:p>
        </w:tc>
      </w:tr>
      <w:tr w:rsidR="00A15BC3" w:rsidRPr="005D4222" w14:paraId="5D5B109D" w14:textId="77777777">
        <w:tc>
          <w:tcPr>
            <w:tcW w:w="1110" w:type="pct"/>
            <w:shd w:val="clear" w:color="auto" w:fill="BFBFBF" w:themeFill="background1" w:themeFillShade="BF"/>
            <w:tcMar>
              <w:top w:w="0" w:type="dxa"/>
              <w:left w:w="86" w:type="dxa"/>
              <w:bottom w:w="43" w:type="dxa"/>
              <w:right w:w="86" w:type="dxa"/>
            </w:tcMar>
          </w:tcPr>
          <w:p w14:paraId="25402540" w14:textId="77777777" w:rsidR="00A15BC3" w:rsidRPr="005D4222" w:rsidRDefault="00A15BC3" w:rsidP="00F05A21">
            <w:pPr>
              <w:pStyle w:val="ECDSMarginHead"/>
            </w:pPr>
            <w:r w:rsidRPr="005D4222">
              <w:t>Citations</w:t>
            </w:r>
          </w:p>
        </w:tc>
        <w:tc>
          <w:tcPr>
            <w:tcW w:w="3890" w:type="pct"/>
            <w:gridSpan w:val="3"/>
            <w:tcMar>
              <w:top w:w="0" w:type="dxa"/>
              <w:left w:w="86" w:type="dxa"/>
              <w:bottom w:w="43" w:type="dxa"/>
              <w:right w:w="86" w:type="dxa"/>
            </w:tcMar>
          </w:tcPr>
          <w:p w14:paraId="28E1D966" w14:textId="77777777" w:rsidR="00A15BC3" w:rsidRPr="005D4222" w:rsidRDefault="00A15BC3" w:rsidP="00A15BC3">
            <w:pPr>
              <w:pStyle w:val="ECDSBody"/>
              <w:rPr>
                <w:i/>
                <w:iCs/>
              </w:rPr>
            </w:pPr>
            <w:r w:rsidRPr="005D4222">
              <w:t>Clinical Guidance for Group A Streptococcal Pharyngitis. Centers for Disease Control and Prevention. Updated March 1, 2024. Accessed April 7, 2025. https://www.cdc.gov/group-a-strep/hcp/clinical-guidance/strep-throat.html</w:t>
            </w:r>
          </w:p>
          <w:p w14:paraId="7B5DED07" w14:textId="77777777" w:rsidR="00A15BC3" w:rsidRPr="005D4222" w:rsidRDefault="00A15BC3" w:rsidP="00A15BC3">
            <w:pPr>
              <w:pStyle w:val="ECDSBody"/>
            </w:pPr>
            <w:r w:rsidRPr="005D4222">
              <w:t xml:space="preserve">Mustafa, Z. &amp; M. Ghaffari. 2020. “Diagnostic Methods, Clinical Guidelines, and Antibiotic Treatment for Group A Streptococcal Pharyngitis: A Narrative Review.” </w:t>
            </w:r>
            <w:r w:rsidRPr="005D4222">
              <w:rPr>
                <w:i/>
                <w:iCs/>
              </w:rPr>
              <w:t xml:space="preserve">Front Cell Infect Microbiol </w:t>
            </w:r>
            <w:r w:rsidRPr="005D4222">
              <w:t xml:space="preserve">10:563627. </w:t>
            </w:r>
            <w:r w:rsidRPr="005D4222">
              <w:br/>
              <w:t>doi: 10.3389/fcimb.2020.563627.</w:t>
            </w:r>
          </w:p>
        </w:tc>
      </w:tr>
      <w:tr w:rsidR="00A15BC3" w:rsidRPr="005D4222" w14:paraId="58366D8B" w14:textId="77777777">
        <w:tc>
          <w:tcPr>
            <w:tcW w:w="5000" w:type="pct"/>
            <w:gridSpan w:val="4"/>
            <w:tcBorders>
              <w:bottom w:val="single" w:sz="4" w:space="0" w:color="auto"/>
            </w:tcBorders>
            <w:shd w:val="clear" w:color="auto" w:fill="BFBFBF" w:themeFill="background1" w:themeFillShade="BF"/>
            <w:tcMar>
              <w:top w:w="0" w:type="dxa"/>
              <w:left w:w="86" w:type="dxa"/>
              <w:bottom w:w="43" w:type="dxa"/>
              <w:right w:w="86" w:type="dxa"/>
            </w:tcMar>
          </w:tcPr>
          <w:p w14:paraId="0999469B" w14:textId="77777777" w:rsidR="00A15BC3" w:rsidRPr="005D4222" w:rsidRDefault="00A15BC3" w:rsidP="00FB669B">
            <w:pPr>
              <w:pStyle w:val="ECDSMarginHead"/>
            </w:pPr>
            <w:r w:rsidRPr="005D4222">
              <w:t>Characteristics</w:t>
            </w:r>
          </w:p>
        </w:tc>
      </w:tr>
      <w:tr w:rsidR="00A15BC3" w:rsidRPr="005D4222" w14:paraId="27434E95" w14:textId="77777777">
        <w:tc>
          <w:tcPr>
            <w:tcW w:w="1110" w:type="pct"/>
            <w:tcBorders>
              <w:top w:val="single" w:sz="4" w:space="0" w:color="auto"/>
              <w:left w:val="single" w:sz="4" w:space="0" w:color="auto"/>
              <w:bottom w:val="nil"/>
              <w:right w:val="single" w:sz="4" w:space="0" w:color="auto"/>
            </w:tcBorders>
            <w:tcMar>
              <w:top w:w="0" w:type="dxa"/>
              <w:left w:w="86" w:type="dxa"/>
              <w:bottom w:w="43" w:type="dxa"/>
              <w:right w:w="86" w:type="dxa"/>
            </w:tcMar>
          </w:tcPr>
          <w:p w14:paraId="3B15410B" w14:textId="77777777" w:rsidR="00A15BC3" w:rsidRPr="005D4222" w:rsidRDefault="00A15BC3" w:rsidP="00FB669B">
            <w:pPr>
              <w:pStyle w:val="ECDSSubhead"/>
            </w:pPr>
            <w:r w:rsidRPr="005D4222">
              <w:t>Scoring</w:t>
            </w:r>
          </w:p>
        </w:tc>
        <w:tc>
          <w:tcPr>
            <w:tcW w:w="3890" w:type="pct"/>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396D0AC7" w14:textId="77777777" w:rsidR="00A15BC3" w:rsidRPr="005D4222" w:rsidRDefault="00A15BC3" w:rsidP="00FB669B">
            <w:pPr>
              <w:pStyle w:val="ECDSBody"/>
              <w:spacing w:after="0"/>
            </w:pPr>
            <w:r w:rsidRPr="005D4222">
              <w:t>Proportion.</w:t>
            </w:r>
          </w:p>
        </w:tc>
      </w:tr>
      <w:tr w:rsidR="00A15BC3" w:rsidRPr="005D4222" w14:paraId="4158337B" w14:textId="77777777" w:rsidTr="00FB669B">
        <w:tc>
          <w:tcPr>
            <w:tcW w:w="1110" w:type="pct"/>
            <w:tcBorders>
              <w:top w:val="nil"/>
              <w:left w:val="single" w:sz="4" w:space="0" w:color="auto"/>
              <w:bottom w:val="nil"/>
              <w:right w:val="single" w:sz="4" w:space="0" w:color="auto"/>
            </w:tcBorders>
            <w:tcMar>
              <w:top w:w="0" w:type="dxa"/>
              <w:left w:w="86" w:type="dxa"/>
              <w:bottom w:w="43" w:type="dxa"/>
              <w:right w:w="86" w:type="dxa"/>
            </w:tcMar>
          </w:tcPr>
          <w:p w14:paraId="5C2A7F3F" w14:textId="77777777" w:rsidR="00A15BC3" w:rsidRPr="005D4222" w:rsidRDefault="00A15BC3" w:rsidP="00FB669B">
            <w:pPr>
              <w:pStyle w:val="ECDSSubhead"/>
            </w:pPr>
            <w:r w:rsidRPr="005D4222">
              <w:t>Type</w:t>
            </w:r>
          </w:p>
        </w:tc>
        <w:tc>
          <w:tcPr>
            <w:tcW w:w="3890" w:type="pct"/>
            <w:gridSpan w:val="3"/>
            <w:tcBorders>
              <w:top w:val="nil"/>
              <w:left w:val="single" w:sz="4" w:space="0" w:color="auto"/>
              <w:bottom w:val="nil"/>
              <w:right w:val="single" w:sz="4" w:space="0" w:color="auto"/>
            </w:tcBorders>
            <w:tcMar>
              <w:top w:w="0" w:type="dxa"/>
              <w:left w:w="86" w:type="dxa"/>
              <w:bottom w:w="43" w:type="dxa"/>
              <w:right w:w="86" w:type="dxa"/>
            </w:tcMar>
          </w:tcPr>
          <w:p w14:paraId="65607AE9" w14:textId="77777777" w:rsidR="00A15BC3" w:rsidRPr="005D4222" w:rsidRDefault="00A15BC3" w:rsidP="00FB669B">
            <w:pPr>
              <w:pStyle w:val="ECDSBody"/>
              <w:spacing w:after="0"/>
            </w:pPr>
            <w:r w:rsidRPr="005D4222">
              <w:t>Process.</w:t>
            </w:r>
          </w:p>
        </w:tc>
      </w:tr>
      <w:tr w:rsidR="00A15BC3" w:rsidRPr="005D4222" w14:paraId="434AFA98" w14:textId="77777777" w:rsidTr="00FB669B">
        <w:tc>
          <w:tcPr>
            <w:tcW w:w="1110" w:type="pct"/>
            <w:tcBorders>
              <w:top w:val="nil"/>
              <w:left w:val="single" w:sz="4" w:space="0" w:color="auto"/>
              <w:bottom w:val="single" w:sz="4" w:space="0" w:color="auto"/>
              <w:right w:val="single" w:sz="4" w:space="0" w:color="auto"/>
            </w:tcBorders>
            <w:tcMar>
              <w:top w:w="0" w:type="dxa"/>
              <w:left w:w="86" w:type="dxa"/>
              <w:bottom w:w="43" w:type="dxa"/>
              <w:right w:w="86" w:type="dxa"/>
            </w:tcMar>
          </w:tcPr>
          <w:p w14:paraId="6FBBD2AB" w14:textId="5F2ECD8B" w:rsidR="00A15BC3" w:rsidRPr="005D4222" w:rsidRDefault="00B51CDC" w:rsidP="00FB669B">
            <w:pPr>
              <w:pStyle w:val="ECDSSubhead"/>
            </w:pPr>
            <w:r w:rsidRPr="005D4222">
              <w:t>Product lines</w:t>
            </w:r>
          </w:p>
        </w:tc>
        <w:tc>
          <w:tcPr>
            <w:tcW w:w="3890" w:type="pct"/>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138DD3EC" w14:textId="77777777" w:rsidR="00A15BC3" w:rsidRPr="005D4222" w:rsidRDefault="00A15BC3" w:rsidP="00FB669B">
            <w:pPr>
              <w:pStyle w:val="ProcessBullet"/>
            </w:pPr>
            <w:r w:rsidRPr="005D4222">
              <w:t>Commercial.</w:t>
            </w:r>
          </w:p>
          <w:p w14:paraId="4307CA7E" w14:textId="77777777" w:rsidR="00A15BC3" w:rsidRPr="005D4222" w:rsidRDefault="00A15BC3" w:rsidP="00FB669B">
            <w:pPr>
              <w:pStyle w:val="ProcessBullet"/>
            </w:pPr>
            <w:r w:rsidRPr="005D4222">
              <w:t>Medicaid.</w:t>
            </w:r>
          </w:p>
          <w:p w14:paraId="1CF021BC" w14:textId="77777777" w:rsidR="00A15BC3" w:rsidRPr="005D4222" w:rsidRDefault="00A15BC3" w:rsidP="00FB669B">
            <w:pPr>
              <w:pStyle w:val="ProcessBullet"/>
              <w:spacing w:after="80"/>
            </w:pPr>
            <w:r w:rsidRPr="005D4222">
              <w:t>Medicare.</w:t>
            </w:r>
          </w:p>
        </w:tc>
      </w:tr>
    </w:tbl>
    <w:p w14:paraId="030F9598" w14:textId="77777777" w:rsidR="00FB669B" w:rsidRPr="005D4222" w:rsidRDefault="00FB669B">
      <w:r w:rsidRPr="005D4222">
        <w:br w:type="page"/>
      </w:r>
    </w:p>
    <w:tbl>
      <w:tblPr>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A15BC3" w:rsidRPr="005D4222" w14:paraId="43311FD5" w14:textId="77777777" w:rsidTr="00A51246">
        <w:tc>
          <w:tcPr>
            <w:tcW w:w="1110" w:type="pct"/>
            <w:tcBorders>
              <w:top w:val="single" w:sz="4" w:space="0" w:color="auto"/>
              <w:left w:val="single" w:sz="4" w:space="0" w:color="auto"/>
              <w:bottom w:val="nil"/>
              <w:right w:val="single" w:sz="4" w:space="0" w:color="auto"/>
            </w:tcBorders>
            <w:tcMar>
              <w:top w:w="0" w:type="dxa"/>
              <w:left w:w="86" w:type="dxa"/>
              <w:bottom w:w="43" w:type="dxa"/>
              <w:right w:w="86" w:type="dxa"/>
            </w:tcMar>
          </w:tcPr>
          <w:p w14:paraId="2E7C7622" w14:textId="1C7C4C35" w:rsidR="00A15BC3" w:rsidRPr="005D4222" w:rsidRDefault="00B51CDC" w:rsidP="00FB669B">
            <w:pPr>
              <w:pStyle w:val="ECDSSubhead"/>
            </w:pPr>
            <w:r w:rsidRPr="005D4222">
              <w:lastRenderedPageBreak/>
              <w:t>Stratifications</w:t>
            </w:r>
            <w:r w:rsidR="00A15BC3" w:rsidRPr="005D4222">
              <w:t xml:space="preserve"> </w:t>
            </w:r>
          </w:p>
        </w:tc>
        <w:tc>
          <w:tcPr>
            <w:tcW w:w="3890" w:type="pct"/>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77CCB2D1" w14:textId="77777777" w:rsidR="00A15BC3" w:rsidRPr="005D4222" w:rsidRDefault="00A15BC3" w:rsidP="00A15BC3">
            <w:pPr>
              <w:pStyle w:val="ECDSBody"/>
            </w:pPr>
            <w:r w:rsidRPr="005D4222">
              <w:t>Ages as of the episode date.</w:t>
            </w:r>
          </w:p>
          <w:p w14:paraId="02F4EC2C" w14:textId="77777777" w:rsidR="00A15BC3" w:rsidRPr="005D4222" w:rsidRDefault="00A15BC3" w:rsidP="00FB669B">
            <w:pPr>
              <w:pStyle w:val="Bullet"/>
            </w:pPr>
            <w:r w:rsidRPr="005D4222">
              <w:t>3–17 years.</w:t>
            </w:r>
          </w:p>
          <w:p w14:paraId="09150B5C" w14:textId="77777777" w:rsidR="00A15BC3" w:rsidRPr="005D4222" w:rsidRDefault="00A15BC3" w:rsidP="00FB669B">
            <w:pPr>
              <w:pStyle w:val="Bullet"/>
            </w:pPr>
            <w:r w:rsidRPr="005D4222">
              <w:t>18–64 years.</w:t>
            </w:r>
          </w:p>
          <w:p w14:paraId="076184D2" w14:textId="77777777" w:rsidR="00A15BC3" w:rsidRPr="005D4222" w:rsidRDefault="00A15BC3" w:rsidP="00A51246">
            <w:pPr>
              <w:pStyle w:val="Bullet"/>
            </w:pPr>
            <w:r w:rsidRPr="005D4222">
              <w:t>65 years and older.</w:t>
            </w:r>
          </w:p>
        </w:tc>
      </w:tr>
      <w:tr w:rsidR="00A15BC3" w:rsidRPr="005D4222" w14:paraId="18631C98" w14:textId="77777777" w:rsidTr="00A51246">
        <w:tc>
          <w:tcPr>
            <w:tcW w:w="1110" w:type="pct"/>
            <w:tcBorders>
              <w:top w:val="nil"/>
              <w:left w:val="single" w:sz="4" w:space="0" w:color="auto"/>
              <w:bottom w:val="nil"/>
              <w:right w:val="single" w:sz="4" w:space="0" w:color="auto"/>
            </w:tcBorders>
            <w:tcMar>
              <w:top w:w="0" w:type="dxa"/>
              <w:left w:w="86" w:type="dxa"/>
              <w:bottom w:w="43" w:type="dxa"/>
              <w:right w:w="86" w:type="dxa"/>
            </w:tcMar>
          </w:tcPr>
          <w:p w14:paraId="4E9EF7C3" w14:textId="77777777" w:rsidR="00A15BC3" w:rsidRPr="005D4222" w:rsidRDefault="00A15BC3" w:rsidP="00FB669B">
            <w:pPr>
              <w:pStyle w:val="ECDSSubhead"/>
            </w:pPr>
            <w:r w:rsidRPr="005D4222">
              <w:t>Risk adjustment</w:t>
            </w:r>
          </w:p>
        </w:tc>
        <w:tc>
          <w:tcPr>
            <w:tcW w:w="3890" w:type="pct"/>
            <w:tcBorders>
              <w:top w:val="nil"/>
              <w:left w:val="single" w:sz="4" w:space="0" w:color="auto"/>
              <w:bottom w:val="nil"/>
              <w:right w:val="single" w:sz="4" w:space="0" w:color="auto"/>
            </w:tcBorders>
            <w:tcMar>
              <w:top w:w="0" w:type="dxa"/>
              <w:left w:w="86" w:type="dxa"/>
              <w:bottom w:w="43" w:type="dxa"/>
              <w:right w:w="86" w:type="dxa"/>
            </w:tcMar>
            <w:hideMark/>
          </w:tcPr>
          <w:p w14:paraId="4393CE6E" w14:textId="77777777" w:rsidR="00A15BC3" w:rsidRPr="005D4222" w:rsidRDefault="00A15BC3" w:rsidP="00A51246">
            <w:pPr>
              <w:pStyle w:val="ECDSBody"/>
              <w:spacing w:after="0"/>
            </w:pPr>
            <w:r w:rsidRPr="005D4222">
              <w:t>None.</w:t>
            </w:r>
          </w:p>
        </w:tc>
      </w:tr>
      <w:tr w:rsidR="00A15BC3" w:rsidRPr="005D4222" w14:paraId="62C8A571" w14:textId="77777777" w:rsidTr="00FB669B">
        <w:tc>
          <w:tcPr>
            <w:tcW w:w="1110" w:type="pct"/>
            <w:tcBorders>
              <w:top w:val="nil"/>
              <w:left w:val="single" w:sz="4" w:space="0" w:color="auto"/>
              <w:bottom w:val="nil"/>
              <w:right w:val="single" w:sz="4" w:space="0" w:color="auto"/>
            </w:tcBorders>
            <w:tcMar>
              <w:top w:w="0" w:type="dxa"/>
              <w:left w:w="86" w:type="dxa"/>
              <w:bottom w:w="43" w:type="dxa"/>
              <w:right w:w="86" w:type="dxa"/>
            </w:tcMar>
          </w:tcPr>
          <w:p w14:paraId="2D4CA366" w14:textId="77777777" w:rsidR="00A15BC3" w:rsidRPr="005D4222" w:rsidRDefault="00A15BC3" w:rsidP="00FB669B">
            <w:pPr>
              <w:pStyle w:val="ECDSSubhead"/>
            </w:pPr>
            <w:r w:rsidRPr="005D4222">
              <w:t>Improvement notation</w:t>
            </w:r>
          </w:p>
        </w:tc>
        <w:tc>
          <w:tcPr>
            <w:tcW w:w="3890" w:type="pct"/>
            <w:tcBorders>
              <w:top w:val="nil"/>
              <w:left w:val="single" w:sz="4" w:space="0" w:color="auto"/>
              <w:bottom w:val="nil"/>
              <w:right w:val="single" w:sz="4" w:space="0" w:color="auto"/>
            </w:tcBorders>
            <w:tcMar>
              <w:top w:w="0" w:type="dxa"/>
              <w:left w:w="86" w:type="dxa"/>
              <w:bottom w:w="43" w:type="dxa"/>
              <w:right w:w="86" w:type="dxa"/>
            </w:tcMar>
            <w:hideMark/>
          </w:tcPr>
          <w:p w14:paraId="70255206" w14:textId="77777777" w:rsidR="00A15BC3" w:rsidRPr="005D4222" w:rsidRDefault="00A15BC3" w:rsidP="00A51246">
            <w:pPr>
              <w:pStyle w:val="ECDSBody"/>
              <w:spacing w:after="0"/>
            </w:pPr>
            <w:r w:rsidRPr="005D4222">
              <w:t xml:space="preserve">Increased score indicates improvement. </w:t>
            </w:r>
          </w:p>
        </w:tc>
      </w:tr>
      <w:tr w:rsidR="00A15BC3" w:rsidRPr="005D4222" w14:paraId="32368E2C" w14:textId="77777777" w:rsidTr="00FB669B">
        <w:trPr>
          <w:trHeight w:val="1879"/>
        </w:trPr>
        <w:tc>
          <w:tcPr>
            <w:tcW w:w="1110" w:type="pct"/>
            <w:tcBorders>
              <w:top w:val="nil"/>
              <w:left w:val="single" w:sz="4" w:space="0" w:color="auto"/>
              <w:right w:val="single" w:sz="4" w:space="0" w:color="auto"/>
            </w:tcBorders>
            <w:tcMar>
              <w:top w:w="0" w:type="dxa"/>
              <w:left w:w="86" w:type="dxa"/>
              <w:bottom w:w="43" w:type="dxa"/>
              <w:right w:w="86" w:type="dxa"/>
            </w:tcMar>
          </w:tcPr>
          <w:p w14:paraId="467FC43B" w14:textId="77777777" w:rsidR="00A15BC3" w:rsidRPr="005D4222" w:rsidRDefault="00A15BC3" w:rsidP="00FB669B">
            <w:pPr>
              <w:pStyle w:val="ECDSSubhead"/>
            </w:pPr>
            <w:r w:rsidRPr="005D4222">
              <w:t>Guidance</w:t>
            </w:r>
          </w:p>
        </w:tc>
        <w:tc>
          <w:tcPr>
            <w:tcW w:w="3890" w:type="pct"/>
            <w:tcBorders>
              <w:top w:val="nil"/>
              <w:left w:val="single" w:sz="4" w:space="0" w:color="auto"/>
              <w:right w:val="single" w:sz="4" w:space="0" w:color="auto"/>
            </w:tcBorders>
            <w:tcMar>
              <w:top w:w="0" w:type="dxa"/>
              <w:left w:w="86" w:type="dxa"/>
              <w:bottom w:w="43" w:type="dxa"/>
              <w:right w:w="86" w:type="dxa"/>
            </w:tcMar>
          </w:tcPr>
          <w:p w14:paraId="2E97DFA8" w14:textId="38C3CB72" w:rsidR="00A15BC3" w:rsidRPr="005D4222" w:rsidRDefault="00A15BC3" w:rsidP="00A15BC3">
            <w:pPr>
              <w:pStyle w:val="ECDSBody"/>
            </w:pPr>
            <w:bookmarkStart w:id="277" w:name="_Hlk139883733"/>
            <w:r w:rsidRPr="005D4222">
              <w:rPr>
                <w:b/>
              </w:rPr>
              <w:t>Data collection methodology:</w:t>
            </w:r>
            <w:r w:rsidRPr="005D4222">
              <w:t xml:space="preserve"> Administrative. Refer to </w:t>
            </w:r>
            <w:hyperlink w:anchor="General_Guideline_Data_Collection_Method" w:history="1">
              <w:r w:rsidRPr="005D4222">
                <w:rPr>
                  <w:rStyle w:val="Hyperlink"/>
                  <w:i/>
                  <w:iCs/>
                </w:rPr>
                <w:t>General Guideline: Data Collection Methods</w:t>
              </w:r>
            </w:hyperlink>
            <w:r w:rsidRPr="005D4222">
              <w:t xml:space="preserve"> for additional information.  </w:t>
            </w:r>
          </w:p>
          <w:bookmarkEnd w:id="277"/>
          <w:p w14:paraId="136BE9CE" w14:textId="77777777" w:rsidR="00A15BC3" w:rsidRPr="005D4222" w:rsidRDefault="00A15BC3" w:rsidP="00A15BC3">
            <w:pPr>
              <w:pStyle w:val="ECDSBody"/>
            </w:pPr>
            <w:r w:rsidRPr="005D4222">
              <w:rPr>
                <w:b/>
              </w:rPr>
              <w:t xml:space="preserve">Date specificity: </w:t>
            </w:r>
            <w:r w:rsidRPr="005D4222">
              <w:t>Dates must be specific enough to determine the event occurred in the period being measured.</w:t>
            </w:r>
          </w:p>
          <w:p w14:paraId="2DF53909" w14:textId="77777777" w:rsidR="00A15BC3" w:rsidRPr="005D4222" w:rsidRDefault="00A15BC3" w:rsidP="00A15BC3">
            <w:pPr>
              <w:pStyle w:val="ECDSBody"/>
            </w:pPr>
            <w:r w:rsidRPr="005D4222">
              <w:rPr>
                <w:b/>
              </w:rPr>
              <w:t xml:space="preserve">Which services count? </w:t>
            </w:r>
            <w:r w:rsidRPr="005D4222">
              <w:t>When using claims, include all paid, suspended, pending and denied claims.</w:t>
            </w:r>
          </w:p>
          <w:p w14:paraId="3399E6C3" w14:textId="77777777" w:rsidR="00A15BC3" w:rsidRPr="005D4222" w:rsidRDefault="00A15BC3" w:rsidP="00A15BC3">
            <w:pPr>
              <w:pStyle w:val="ECDSBody"/>
            </w:pPr>
            <w:r w:rsidRPr="005D4222">
              <w:rPr>
                <w:b/>
              </w:rPr>
              <w:t xml:space="preserve">Other guidance: </w:t>
            </w:r>
            <w:r w:rsidRPr="005D4222">
              <w:t>The measure is based on episodes; therefore, it is possible for the denominator to include multiple events for the same person.</w:t>
            </w:r>
          </w:p>
        </w:tc>
      </w:tr>
      <w:tr w:rsidR="00A15BC3" w:rsidRPr="005D4222" w14:paraId="793B007E" w14:textId="77777777" w:rsidTr="00FB669B">
        <w:tc>
          <w:tcPr>
            <w:tcW w:w="5000" w:type="pct"/>
            <w:gridSpan w:val="2"/>
            <w:tcBorders>
              <w:top w:val="single" w:sz="4" w:space="0" w:color="auto"/>
              <w:bottom w:val="single" w:sz="4" w:space="0" w:color="auto"/>
            </w:tcBorders>
            <w:shd w:val="clear" w:color="auto" w:fill="BFBFBF" w:themeFill="background1" w:themeFillShade="BF"/>
            <w:tcMar>
              <w:top w:w="0" w:type="dxa"/>
              <w:left w:w="86" w:type="dxa"/>
              <w:bottom w:w="43" w:type="dxa"/>
              <w:right w:w="86" w:type="dxa"/>
            </w:tcMar>
          </w:tcPr>
          <w:p w14:paraId="71F904D3" w14:textId="77777777" w:rsidR="00A15BC3" w:rsidRPr="005D4222" w:rsidRDefault="00A15BC3" w:rsidP="00FB669B">
            <w:pPr>
              <w:pStyle w:val="ECDSMarginHead"/>
            </w:pPr>
            <w:r w:rsidRPr="005D4222">
              <w:t xml:space="preserve">Definitions </w:t>
            </w:r>
          </w:p>
        </w:tc>
      </w:tr>
      <w:tr w:rsidR="00A15BC3" w:rsidRPr="005D4222" w14:paraId="5E17A3DA" w14:textId="77777777" w:rsidTr="00FB669B">
        <w:trPr>
          <w:trHeight w:val="320"/>
        </w:trPr>
        <w:tc>
          <w:tcPr>
            <w:tcW w:w="1110" w:type="pct"/>
            <w:tcBorders>
              <w:top w:val="nil"/>
              <w:left w:val="single" w:sz="4" w:space="0" w:color="auto"/>
              <w:bottom w:val="nil"/>
              <w:right w:val="single" w:sz="4" w:space="0" w:color="auto"/>
            </w:tcBorders>
            <w:tcMar>
              <w:top w:w="0" w:type="dxa"/>
              <w:left w:w="86" w:type="dxa"/>
              <w:bottom w:w="43" w:type="dxa"/>
              <w:right w:w="86" w:type="dxa"/>
            </w:tcMar>
          </w:tcPr>
          <w:p w14:paraId="678EED10" w14:textId="77777777" w:rsidR="00A15BC3" w:rsidRPr="005D4222" w:rsidRDefault="00A15BC3" w:rsidP="00FB669B">
            <w:pPr>
              <w:pStyle w:val="ECDSSubhead"/>
            </w:pPr>
            <w:r w:rsidRPr="005D4222">
              <w:t>Episode date</w:t>
            </w:r>
          </w:p>
        </w:tc>
        <w:tc>
          <w:tcPr>
            <w:tcW w:w="3890" w:type="pct"/>
            <w:tcBorders>
              <w:top w:val="nil"/>
              <w:left w:val="single" w:sz="4" w:space="0" w:color="auto"/>
              <w:bottom w:val="nil"/>
              <w:right w:val="single" w:sz="4" w:space="0" w:color="auto"/>
            </w:tcBorders>
            <w:tcMar>
              <w:top w:w="0" w:type="dxa"/>
              <w:left w:w="86" w:type="dxa"/>
              <w:bottom w:w="43" w:type="dxa"/>
              <w:right w:w="86" w:type="dxa"/>
            </w:tcMar>
          </w:tcPr>
          <w:p w14:paraId="7129726D" w14:textId="77777777" w:rsidR="00A15BC3" w:rsidRPr="005D4222" w:rsidRDefault="00A15BC3" w:rsidP="00FB669B">
            <w:pPr>
              <w:pStyle w:val="ECDSBody"/>
              <w:spacing w:after="0"/>
            </w:pPr>
            <w:r w:rsidRPr="005D4222">
              <w:t>The date of service for any outpatient, telephone or ED visit, e-visit or virtual check-in during the intake period with a diagnosis of pharyngitis.</w:t>
            </w:r>
          </w:p>
        </w:tc>
      </w:tr>
      <w:tr w:rsidR="00A15BC3" w:rsidRPr="005D4222" w14:paraId="7ACF1AC0" w14:textId="77777777" w:rsidTr="00FB669B">
        <w:trPr>
          <w:trHeight w:val="320"/>
        </w:trPr>
        <w:tc>
          <w:tcPr>
            <w:tcW w:w="1110" w:type="pct"/>
            <w:tcBorders>
              <w:top w:val="nil"/>
              <w:left w:val="single" w:sz="4" w:space="0" w:color="auto"/>
              <w:bottom w:val="nil"/>
              <w:right w:val="single" w:sz="4" w:space="0" w:color="auto"/>
            </w:tcBorders>
            <w:tcMar>
              <w:top w:w="0" w:type="dxa"/>
              <w:left w:w="86" w:type="dxa"/>
              <w:bottom w:w="43" w:type="dxa"/>
              <w:right w:w="86" w:type="dxa"/>
            </w:tcMar>
          </w:tcPr>
          <w:p w14:paraId="4BF5BD88" w14:textId="77777777" w:rsidR="00A15BC3" w:rsidRPr="005D4222" w:rsidRDefault="00A15BC3" w:rsidP="00FB669B">
            <w:pPr>
              <w:pStyle w:val="ECDSSubhead"/>
            </w:pPr>
            <w:r w:rsidRPr="005D4222">
              <w:t>Intake period</w:t>
            </w:r>
          </w:p>
        </w:tc>
        <w:tc>
          <w:tcPr>
            <w:tcW w:w="3890" w:type="pct"/>
            <w:tcBorders>
              <w:top w:val="nil"/>
              <w:left w:val="single" w:sz="4" w:space="0" w:color="auto"/>
              <w:bottom w:val="nil"/>
              <w:right w:val="single" w:sz="4" w:space="0" w:color="auto"/>
            </w:tcBorders>
            <w:tcMar>
              <w:top w:w="0" w:type="dxa"/>
              <w:left w:w="86" w:type="dxa"/>
              <w:bottom w:w="43" w:type="dxa"/>
              <w:right w:w="86" w:type="dxa"/>
            </w:tcMar>
          </w:tcPr>
          <w:p w14:paraId="2D74F45B" w14:textId="77777777" w:rsidR="00A15BC3" w:rsidRPr="005D4222" w:rsidRDefault="00A15BC3" w:rsidP="00FB669B">
            <w:pPr>
              <w:pStyle w:val="ECDSBody"/>
              <w:spacing w:after="0"/>
            </w:pPr>
            <w:r w:rsidRPr="005D4222">
              <w:t>July 1 of the year prior to the measurement period to June 30 of the measurement period. The intake period captures eligible episodes of treatment.</w:t>
            </w:r>
          </w:p>
        </w:tc>
      </w:tr>
      <w:tr w:rsidR="00A15BC3" w:rsidRPr="005D4222" w14:paraId="650CDF8A" w14:textId="77777777" w:rsidTr="00FB669B">
        <w:trPr>
          <w:trHeight w:val="320"/>
        </w:trPr>
        <w:tc>
          <w:tcPr>
            <w:tcW w:w="1110" w:type="pct"/>
            <w:tcBorders>
              <w:top w:val="nil"/>
              <w:left w:val="single" w:sz="4" w:space="0" w:color="auto"/>
              <w:bottom w:val="nil"/>
              <w:right w:val="single" w:sz="4" w:space="0" w:color="auto"/>
            </w:tcBorders>
            <w:shd w:val="clear" w:color="auto" w:fill="FFFFFF" w:themeFill="background1"/>
            <w:tcMar>
              <w:top w:w="0" w:type="dxa"/>
              <w:left w:w="86" w:type="dxa"/>
              <w:bottom w:w="43" w:type="dxa"/>
              <w:right w:w="86" w:type="dxa"/>
            </w:tcMar>
          </w:tcPr>
          <w:p w14:paraId="764233D4" w14:textId="77777777" w:rsidR="00A15BC3" w:rsidRPr="005D4222" w:rsidRDefault="00A15BC3" w:rsidP="00FB669B">
            <w:pPr>
              <w:pStyle w:val="ECDSSubhead"/>
            </w:pPr>
            <w:r w:rsidRPr="005D4222">
              <w:t>Negative comorbid condition history</w:t>
            </w:r>
          </w:p>
        </w:tc>
        <w:tc>
          <w:tcPr>
            <w:tcW w:w="3890" w:type="pct"/>
            <w:tcBorders>
              <w:top w:val="nil"/>
              <w:left w:val="single" w:sz="4" w:space="0" w:color="auto"/>
              <w:bottom w:val="nil"/>
              <w:right w:val="single" w:sz="4" w:space="0" w:color="auto"/>
            </w:tcBorders>
            <w:tcMar>
              <w:top w:w="0" w:type="dxa"/>
              <w:left w:w="86" w:type="dxa"/>
              <w:bottom w:w="43" w:type="dxa"/>
              <w:right w:w="86" w:type="dxa"/>
            </w:tcMar>
          </w:tcPr>
          <w:p w14:paraId="64CB446C" w14:textId="77777777" w:rsidR="00A15BC3" w:rsidRPr="005D4222" w:rsidRDefault="00A15BC3" w:rsidP="00FB669B">
            <w:pPr>
              <w:pStyle w:val="ECDSBody"/>
              <w:spacing w:after="0"/>
              <w:rPr>
                <w:i/>
              </w:rPr>
            </w:pPr>
            <w:r w:rsidRPr="005D4222">
              <w:t>A period of 365 days prior to and including the episode date when the person had no claims/encounters with any diagnosis for a comorbid condition (366 days total).</w:t>
            </w:r>
          </w:p>
        </w:tc>
      </w:tr>
      <w:tr w:rsidR="00A15BC3" w:rsidRPr="005D4222" w14:paraId="6AECE23E" w14:textId="77777777" w:rsidTr="00FB669B">
        <w:trPr>
          <w:trHeight w:val="320"/>
        </w:trPr>
        <w:tc>
          <w:tcPr>
            <w:tcW w:w="1110" w:type="pct"/>
            <w:tcBorders>
              <w:top w:val="nil"/>
              <w:left w:val="single" w:sz="4" w:space="0" w:color="auto"/>
              <w:bottom w:val="nil"/>
              <w:right w:val="single" w:sz="4" w:space="0" w:color="auto"/>
            </w:tcBorders>
            <w:shd w:val="clear" w:color="auto" w:fill="FFFFFF" w:themeFill="background1"/>
            <w:tcMar>
              <w:top w:w="0" w:type="dxa"/>
              <w:left w:w="86" w:type="dxa"/>
              <w:bottom w:w="43" w:type="dxa"/>
              <w:right w:w="86" w:type="dxa"/>
            </w:tcMar>
          </w:tcPr>
          <w:p w14:paraId="39E89816" w14:textId="77777777" w:rsidR="00A15BC3" w:rsidRPr="005D4222" w:rsidRDefault="00A15BC3" w:rsidP="00FB669B">
            <w:pPr>
              <w:pStyle w:val="ECDSSubhead"/>
            </w:pPr>
            <w:r w:rsidRPr="005D4222">
              <w:t>Negative competing diagnosis</w:t>
            </w:r>
          </w:p>
        </w:tc>
        <w:tc>
          <w:tcPr>
            <w:tcW w:w="3890" w:type="pct"/>
            <w:tcBorders>
              <w:top w:val="nil"/>
              <w:left w:val="single" w:sz="4" w:space="0" w:color="auto"/>
              <w:bottom w:val="nil"/>
              <w:right w:val="single" w:sz="4" w:space="0" w:color="auto"/>
            </w:tcBorders>
            <w:tcMar>
              <w:top w:w="0" w:type="dxa"/>
              <w:left w:w="86" w:type="dxa"/>
              <w:bottom w:w="43" w:type="dxa"/>
              <w:right w:w="86" w:type="dxa"/>
            </w:tcMar>
          </w:tcPr>
          <w:p w14:paraId="2B1F4D80" w14:textId="77777777" w:rsidR="00A15BC3" w:rsidRPr="005D4222" w:rsidRDefault="00A15BC3" w:rsidP="00FB669B">
            <w:pPr>
              <w:pStyle w:val="ECDSBody"/>
              <w:spacing w:after="0"/>
              <w:rPr>
                <w:i/>
              </w:rPr>
            </w:pPr>
            <w:r w:rsidRPr="005D4222">
              <w:t>The episode date and 3</w:t>
            </w:r>
            <w:r w:rsidRPr="005D4222" w:rsidDel="00AB7125">
              <w:t xml:space="preserve"> </w:t>
            </w:r>
            <w:r w:rsidRPr="005D4222">
              <w:t>days following the episode date when the person had no claims/encounters with a competing diagnosis.</w:t>
            </w:r>
          </w:p>
        </w:tc>
      </w:tr>
      <w:tr w:rsidR="00A15BC3" w:rsidRPr="005D4222" w14:paraId="344210F5" w14:textId="77777777" w:rsidTr="00FB669B">
        <w:trPr>
          <w:trHeight w:val="320"/>
        </w:trPr>
        <w:tc>
          <w:tcPr>
            <w:tcW w:w="1110" w:type="pct"/>
            <w:tcBorders>
              <w:top w:val="nil"/>
              <w:left w:val="single" w:sz="4" w:space="0" w:color="auto"/>
              <w:bottom w:val="nil"/>
              <w:right w:val="single" w:sz="4" w:space="0" w:color="auto"/>
            </w:tcBorders>
            <w:shd w:val="clear" w:color="auto" w:fill="FFFFFF" w:themeFill="background1"/>
            <w:tcMar>
              <w:top w:w="0" w:type="dxa"/>
              <w:left w:w="86" w:type="dxa"/>
              <w:bottom w:w="43" w:type="dxa"/>
              <w:right w:w="86" w:type="dxa"/>
            </w:tcMar>
          </w:tcPr>
          <w:p w14:paraId="1CB04DF3" w14:textId="77777777" w:rsidR="00A15BC3" w:rsidRPr="005D4222" w:rsidRDefault="00A15BC3" w:rsidP="00FB669B">
            <w:pPr>
              <w:pStyle w:val="ECDSSubhead"/>
            </w:pPr>
            <w:r w:rsidRPr="005D4222">
              <w:t>Negative medication history</w:t>
            </w:r>
          </w:p>
        </w:tc>
        <w:tc>
          <w:tcPr>
            <w:tcW w:w="3890" w:type="pct"/>
            <w:tcBorders>
              <w:top w:val="nil"/>
              <w:left w:val="single" w:sz="4" w:space="0" w:color="auto"/>
              <w:bottom w:val="nil"/>
              <w:right w:val="single" w:sz="4" w:space="0" w:color="auto"/>
            </w:tcBorders>
            <w:tcMar>
              <w:top w:w="0" w:type="dxa"/>
              <w:left w:w="86" w:type="dxa"/>
              <w:bottom w:w="43" w:type="dxa"/>
              <w:right w:w="86" w:type="dxa"/>
            </w:tcMar>
          </w:tcPr>
          <w:p w14:paraId="32AB2CA2" w14:textId="77777777" w:rsidR="00A15BC3" w:rsidRPr="005D4222" w:rsidRDefault="00A15BC3" w:rsidP="00A15BC3">
            <w:pPr>
              <w:pStyle w:val="ECDSBody"/>
            </w:pPr>
            <w:r w:rsidRPr="005D4222">
              <w:t>To qualify for negative medication history, the following criteria must be met:</w:t>
            </w:r>
          </w:p>
          <w:p w14:paraId="6BDC1605" w14:textId="77777777" w:rsidR="00A15BC3" w:rsidRPr="005D4222" w:rsidRDefault="00A15BC3" w:rsidP="00C52423">
            <w:pPr>
              <w:pStyle w:val="Bullet"/>
            </w:pPr>
            <w:r w:rsidRPr="005D4222">
              <w:t>A period of 30 days prior to the episode date when the person had no pharmacy claims for either new or refill prescriptions for a listed antibiotic drug.</w:t>
            </w:r>
          </w:p>
          <w:p w14:paraId="7545AF7B" w14:textId="77777777" w:rsidR="00A15BC3" w:rsidRPr="005D4222" w:rsidRDefault="00A15BC3" w:rsidP="00C52423">
            <w:pPr>
              <w:pStyle w:val="Bullet"/>
            </w:pPr>
            <w:r w:rsidRPr="005D4222">
              <w:t>No prescriptions dispensed more than 30 days prior to the episode date that are active on the episode date.</w:t>
            </w:r>
          </w:p>
          <w:p w14:paraId="0D69F0A8" w14:textId="77777777" w:rsidR="00A15BC3" w:rsidRPr="005D4222" w:rsidRDefault="00A15BC3" w:rsidP="00A15BC3">
            <w:pPr>
              <w:pStyle w:val="ECDSBody"/>
            </w:pPr>
            <w:r w:rsidRPr="005D4222">
              <w:t>A prescription is considered active if the “days supply” indicated on the date when the person was dispensed the prescription is the number of days or more between that date and the relevant service date. The 30-day look-back period for pharmacy data includes the 30 days prior to the intake period.</w:t>
            </w:r>
          </w:p>
        </w:tc>
      </w:tr>
      <w:tr w:rsidR="00A15BC3" w:rsidRPr="005D4222" w14:paraId="0F73A975" w14:textId="77777777" w:rsidTr="00FB669B">
        <w:tc>
          <w:tcPr>
            <w:tcW w:w="1110" w:type="pct"/>
            <w:tcBorders>
              <w:top w:val="single" w:sz="4" w:space="0" w:color="auto"/>
            </w:tcBorders>
            <w:shd w:val="clear" w:color="auto" w:fill="BFBFBF" w:themeFill="background1" w:themeFillShade="BF"/>
            <w:tcMar>
              <w:top w:w="0" w:type="dxa"/>
              <w:left w:w="86" w:type="dxa"/>
              <w:bottom w:w="43" w:type="dxa"/>
              <w:right w:w="86" w:type="dxa"/>
            </w:tcMar>
          </w:tcPr>
          <w:p w14:paraId="65915C1F" w14:textId="77777777" w:rsidR="00A15BC3" w:rsidRPr="005D4222" w:rsidRDefault="00A15BC3" w:rsidP="00FB669B">
            <w:pPr>
              <w:pStyle w:val="ECDSMarginHead"/>
            </w:pPr>
            <w:r w:rsidRPr="005D4222">
              <w:t>Initial population</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487F84B" w14:textId="77777777" w:rsidR="00A15BC3" w:rsidRPr="005D4222" w:rsidRDefault="00A15BC3" w:rsidP="00A15BC3">
            <w:pPr>
              <w:pStyle w:val="ECDSBody"/>
            </w:pPr>
            <w:r w:rsidRPr="005D4222">
              <w:rPr>
                <w:i/>
              </w:rPr>
              <w:t>Measure item count:</w:t>
            </w:r>
            <w:r w:rsidRPr="005D4222">
              <w:t xml:space="preserve"> Episode.</w:t>
            </w:r>
          </w:p>
          <w:p w14:paraId="3F4CFF5B" w14:textId="77777777" w:rsidR="00A15BC3" w:rsidRPr="005D4222" w:rsidRDefault="00A15BC3" w:rsidP="00A15BC3">
            <w:pPr>
              <w:pStyle w:val="ECDSBody"/>
            </w:pPr>
            <w:r w:rsidRPr="005D4222">
              <w:rPr>
                <w:i/>
              </w:rPr>
              <w:t>Attribution basis:</w:t>
            </w:r>
            <w:r w:rsidRPr="005D4222">
              <w:t xml:space="preserve"> Enrollment.</w:t>
            </w:r>
          </w:p>
          <w:p w14:paraId="2D4D744E" w14:textId="02821DCD" w:rsidR="00A15BC3" w:rsidRPr="005D4222" w:rsidRDefault="00A15BC3" w:rsidP="00AC54B3">
            <w:pPr>
              <w:pStyle w:val="Bullet"/>
              <w:spacing w:after="80"/>
              <w:rPr>
                <w:rFonts w:cs="Arial"/>
                <w:bCs/>
                <w:szCs w:val="26"/>
              </w:rPr>
            </w:pPr>
            <w:r w:rsidRPr="005D4222">
              <w:rPr>
                <w:i/>
                <w:iCs/>
              </w:rPr>
              <w:t>Benefits</w:t>
            </w:r>
            <w:r w:rsidRPr="005D4222">
              <w:t>: Medical and pharmacy.</w:t>
            </w:r>
          </w:p>
        </w:tc>
      </w:tr>
      <w:tr w:rsidR="00374523" w:rsidRPr="005D4222" w14:paraId="2A587C06" w14:textId="77777777" w:rsidTr="00FB669B">
        <w:tc>
          <w:tcPr>
            <w:tcW w:w="1110" w:type="pct"/>
            <w:tcBorders>
              <w:top w:val="single" w:sz="4" w:space="0" w:color="auto"/>
            </w:tcBorders>
            <w:shd w:val="clear" w:color="auto" w:fill="BFBFBF" w:themeFill="background1" w:themeFillShade="BF"/>
            <w:tcMar>
              <w:top w:w="0" w:type="dxa"/>
              <w:left w:w="86" w:type="dxa"/>
              <w:bottom w:w="43" w:type="dxa"/>
              <w:right w:w="86" w:type="dxa"/>
            </w:tcMar>
          </w:tcPr>
          <w:p w14:paraId="5A12C77B" w14:textId="77777777" w:rsidR="00374523" w:rsidRPr="005D4222" w:rsidRDefault="00374523" w:rsidP="00FB669B">
            <w:pPr>
              <w:pStyle w:val="ECDSMarginHead"/>
            </w:pP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91692E2" w14:textId="77777777" w:rsidR="00374523" w:rsidRPr="005D4222" w:rsidRDefault="00374523" w:rsidP="00374523">
            <w:pPr>
              <w:pStyle w:val="Bullet"/>
            </w:pPr>
            <w:r w:rsidRPr="005D4222">
              <w:rPr>
                <w:i/>
                <w:iCs/>
              </w:rPr>
              <w:t>Continuous enrollment:</w:t>
            </w:r>
            <w:r w:rsidRPr="005D4222">
              <w:t xml:space="preserve"> 30 days prior to the episode date through 3 days after the episode date (34 total days).</w:t>
            </w:r>
          </w:p>
          <w:p w14:paraId="420D9EF3" w14:textId="77777777" w:rsidR="00374523" w:rsidRPr="005D4222" w:rsidRDefault="00374523" w:rsidP="00374523">
            <w:pPr>
              <w:pStyle w:val="Bullet"/>
            </w:pPr>
            <w:r w:rsidRPr="005D4222">
              <w:rPr>
                <w:i/>
                <w:iCs/>
              </w:rPr>
              <w:t>Allowable gap</w:t>
            </w:r>
            <w:r w:rsidRPr="005D4222">
              <w:t>: None.</w:t>
            </w:r>
          </w:p>
          <w:p w14:paraId="1F97A89F" w14:textId="77777777" w:rsidR="00374523" w:rsidRPr="005D4222" w:rsidRDefault="00374523" w:rsidP="00374523">
            <w:pPr>
              <w:pStyle w:val="ECDSBody"/>
            </w:pPr>
            <w:r w:rsidRPr="005D4222">
              <w:rPr>
                <w:i/>
              </w:rPr>
              <w:t>Ages</w:t>
            </w:r>
            <w:r w:rsidRPr="005D4222">
              <w:t>: 3 years of age or older as of the episode date.</w:t>
            </w:r>
          </w:p>
          <w:p w14:paraId="182C9529" w14:textId="77777777" w:rsidR="00374523" w:rsidRPr="005D4222" w:rsidRDefault="00374523" w:rsidP="00374523">
            <w:pPr>
              <w:pStyle w:val="ECDSBody"/>
            </w:pPr>
            <w:r w:rsidRPr="005D4222">
              <w:rPr>
                <w:i/>
              </w:rPr>
              <w:t>Event</w:t>
            </w:r>
            <w:r w:rsidRPr="005D4222">
              <w:t xml:space="preserve">: </w:t>
            </w:r>
            <w:r w:rsidRPr="005D4222">
              <w:rPr>
                <w:b/>
              </w:rPr>
              <w:t xml:space="preserve">Episodes of pharyngitis diagnosis where an antibiotic was dispensed. </w:t>
            </w:r>
          </w:p>
          <w:p w14:paraId="0162FE9F" w14:textId="77777777" w:rsidR="00374523" w:rsidRPr="005D4222" w:rsidRDefault="00374523" w:rsidP="00374523">
            <w:pPr>
              <w:pStyle w:val="ECDSBody"/>
              <w:rPr>
                <w:iCs/>
              </w:rPr>
            </w:pPr>
            <w:r w:rsidRPr="005D4222">
              <w:rPr>
                <w:b/>
                <w:iCs/>
              </w:rPr>
              <w:t>Step 1.</w:t>
            </w:r>
            <w:r w:rsidRPr="005D4222">
              <w:rPr>
                <w:iCs/>
              </w:rPr>
              <w:t xml:space="preserve"> Identify all persons who had an outpatient, ED, telephone or e-visit or virtual check-in (</w:t>
            </w:r>
            <w:r w:rsidRPr="005D4222">
              <w:rPr>
                <w:iCs/>
                <w:u w:val="single"/>
              </w:rPr>
              <w:t>Outpatient, ED and Telehealth Value Set</w:t>
            </w:r>
            <w:r w:rsidRPr="005D4222">
              <w:rPr>
                <w:iCs/>
              </w:rPr>
              <w:t>) during the intake period with a diagnosis of pharyngitis (</w:t>
            </w:r>
            <w:r w:rsidRPr="005D4222">
              <w:rPr>
                <w:iCs/>
                <w:u w:val="single"/>
              </w:rPr>
              <w:t>Pharyngitis Value Set</w:t>
            </w:r>
            <w:r w:rsidRPr="005D4222">
              <w:rPr>
                <w:iCs/>
              </w:rPr>
              <w:t xml:space="preserve">). </w:t>
            </w:r>
          </w:p>
          <w:p w14:paraId="4DCEBA21" w14:textId="77777777" w:rsidR="00374523" w:rsidRPr="005D4222" w:rsidRDefault="00374523" w:rsidP="00374523">
            <w:pPr>
              <w:pStyle w:val="ECDSBody"/>
            </w:pPr>
            <w:r w:rsidRPr="005D4222">
              <w:rPr>
                <w:b/>
                <w:iCs/>
              </w:rPr>
              <w:t>Step 2.</w:t>
            </w:r>
            <w:r w:rsidRPr="005D4222">
              <w:rPr>
                <w:b/>
                <w:i/>
                <w:iCs/>
              </w:rPr>
              <w:t xml:space="preserve"> </w:t>
            </w:r>
            <w:r w:rsidRPr="005D4222">
              <w:t>Determine all pharyngitis episode dates for each person identified in step 1. Exclude visits that result in an inpatient stay (</w:t>
            </w:r>
            <w:r w:rsidRPr="005D4222">
              <w:rPr>
                <w:u w:val="single"/>
              </w:rPr>
              <w:t>Inpatient Stay Value Set</w:t>
            </w:r>
            <w:r w:rsidRPr="005D4222">
              <w:t>).</w:t>
            </w:r>
          </w:p>
          <w:p w14:paraId="0EC76FD1" w14:textId="77777777" w:rsidR="00374523" w:rsidRPr="005D4222" w:rsidRDefault="00374523" w:rsidP="00374523">
            <w:pPr>
              <w:pStyle w:val="ECDSBody"/>
            </w:pPr>
            <w:r w:rsidRPr="005D4222">
              <w:rPr>
                <w:b/>
              </w:rPr>
              <w:t xml:space="preserve">Step 3. </w:t>
            </w:r>
            <w:r w:rsidRPr="005D4222">
              <w:t>Determine if antibiotics (</w:t>
            </w:r>
            <w:r w:rsidRPr="005D4222">
              <w:rPr>
                <w:u w:val="single"/>
              </w:rPr>
              <w:t>CWP Antibiotic Medications List</w:t>
            </w:r>
            <w:r w:rsidRPr="005D4222">
              <w:t xml:space="preserve">) were dispensed for any of the episode dates. For each episode date with a qualifying diagnosis, determine if antibiotics were dispensed on or up to 3 days after. </w:t>
            </w:r>
          </w:p>
          <w:p w14:paraId="14194C1E" w14:textId="77777777" w:rsidR="00374523" w:rsidRPr="005D4222" w:rsidRDefault="00374523" w:rsidP="00374523">
            <w:pPr>
              <w:pStyle w:val="ECDSBody"/>
            </w:pPr>
            <w:r w:rsidRPr="005D4222">
              <w:t>Remove episode dates if the person did not receive antibiotics on or up to 3 days after the episode date.</w:t>
            </w:r>
          </w:p>
          <w:p w14:paraId="2989CE4D" w14:textId="77777777" w:rsidR="00374523" w:rsidRPr="005D4222" w:rsidRDefault="00374523" w:rsidP="00374523">
            <w:pPr>
              <w:pStyle w:val="ECDSBody"/>
              <w:rPr>
                <w:b/>
              </w:rPr>
            </w:pPr>
            <w:r w:rsidRPr="005D4222">
              <w:rPr>
                <w:b/>
              </w:rPr>
              <w:t xml:space="preserve">Step 4. </w:t>
            </w:r>
            <w:r w:rsidRPr="005D4222">
              <w:t>T</w:t>
            </w:r>
            <w:r w:rsidRPr="005D4222" w:rsidDel="00F50943">
              <w:t>est for negative comorbid condition history.</w:t>
            </w:r>
            <w:r w:rsidRPr="005D4222">
              <w:t xml:space="preserve"> Remove episode dates where the person had a claim/encounter with any diagnosis for a comorbid condition (</w:t>
            </w:r>
            <w:r w:rsidRPr="005D4222">
              <w:rPr>
                <w:u w:val="single"/>
              </w:rPr>
              <w:t>Comorbid Conditions Value Set</w:t>
            </w:r>
            <w:r w:rsidRPr="005D4222">
              <w:t>*) during the 365 days prior to or on the episode date (366 days total).</w:t>
            </w:r>
          </w:p>
          <w:p w14:paraId="26BC2AAE" w14:textId="77777777" w:rsidR="00374523" w:rsidRPr="005D4222" w:rsidRDefault="00374523" w:rsidP="00374523">
            <w:pPr>
              <w:pStyle w:val="ECDSBody"/>
            </w:pPr>
            <w:r w:rsidRPr="005D4222">
              <w:rPr>
                <w:b/>
              </w:rPr>
              <w:t xml:space="preserve">Step 5. </w:t>
            </w:r>
            <w:r w:rsidRPr="005D4222">
              <w:t>Test for negative medication history.</w:t>
            </w:r>
            <w:r w:rsidRPr="005D4222" w:rsidDel="00497BBA">
              <w:t xml:space="preserve"> </w:t>
            </w:r>
            <w:r w:rsidRPr="005D4222">
              <w:t>Remove episode dates where a new or refill prescription for an antibiotic medication (</w:t>
            </w:r>
            <w:r w:rsidRPr="005D4222">
              <w:rPr>
                <w:u w:val="single"/>
              </w:rPr>
              <w:t>CWP Antibiotic Medications List</w:t>
            </w:r>
            <w:r w:rsidRPr="005D4222">
              <w:t>) was dispensed 30 days prior to the episode date or was active on the episode date.</w:t>
            </w:r>
          </w:p>
          <w:p w14:paraId="1BBE0C5C" w14:textId="77777777" w:rsidR="00374523" w:rsidRPr="005D4222" w:rsidRDefault="00374523" w:rsidP="00374523">
            <w:pPr>
              <w:pStyle w:val="ECDSBody"/>
            </w:pPr>
            <w:r w:rsidRPr="005D4222">
              <w:rPr>
                <w:b/>
              </w:rPr>
              <w:t xml:space="preserve">Step 6. </w:t>
            </w:r>
            <w:r w:rsidRPr="005D4222">
              <w:t>Test for negative competing diagnosis. Remove episode dates where the person had a claim/encounter with a competing diagnosis (</w:t>
            </w:r>
            <w:r w:rsidRPr="005D4222">
              <w:rPr>
                <w:u w:val="single"/>
              </w:rPr>
              <w:t>Competing Diagnosis Value Set</w:t>
            </w:r>
            <w:r w:rsidRPr="005D4222">
              <w:t xml:space="preserve">*) on or 3 days after the episode date. </w:t>
            </w:r>
          </w:p>
          <w:p w14:paraId="64ECF345" w14:textId="77777777" w:rsidR="00374523" w:rsidRPr="005D4222" w:rsidRDefault="00374523" w:rsidP="00374523">
            <w:pPr>
              <w:pStyle w:val="ECDSBody"/>
            </w:pPr>
            <w:r w:rsidRPr="005D4222">
              <w:rPr>
                <w:b/>
              </w:rPr>
              <w:t xml:space="preserve">Step 7. </w:t>
            </w:r>
            <w:r w:rsidRPr="005D4222">
              <w:t xml:space="preserve">Calculate continuous enrollment. </w:t>
            </w:r>
          </w:p>
          <w:p w14:paraId="713D93B3" w14:textId="77777777" w:rsidR="00374523" w:rsidRPr="005D4222" w:rsidRDefault="00374523" w:rsidP="00374523">
            <w:pPr>
              <w:pStyle w:val="ECDSBody"/>
            </w:pPr>
            <w:r w:rsidRPr="005D4222">
              <w:rPr>
                <w:b/>
              </w:rPr>
              <w:t>Step 8.</w:t>
            </w:r>
            <w:r w:rsidRPr="005D4222">
              <w:rPr>
                <w:b/>
                <w:i/>
                <w:iCs/>
              </w:rPr>
              <w:t xml:space="preserve"> </w:t>
            </w:r>
            <w:r w:rsidRPr="005D4222">
              <w:t xml:space="preserve">Deduplicate eligible episodes. If a person has more than one eligible episode in a 31-day period, include only the first eligible episode. Identify visits chronologically including only one per 31-day period. </w:t>
            </w:r>
          </w:p>
          <w:p w14:paraId="625840F9" w14:textId="77777777" w:rsidR="00374523" w:rsidRPr="005D4222" w:rsidRDefault="00374523" w:rsidP="00C33169">
            <w:pPr>
              <w:pStyle w:val="Bullet"/>
              <w:rPr>
                <w:b/>
              </w:rPr>
            </w:pPr>
            <w:r w:rsidRPr="005D4222">
              <w:rPr>
                <w:i/>
                <w:iCs/>
              </w:rPr>
              <w:t>For example</w:t>
            </w:r>
            <w:r w:rsidRPr="005D4222">
              <w:t xml:space="preserve">, if </w:t>
            </w:r>
            <w:r w:rsidRPr="005D4222" w:rsidDel="0097462B">
              <w:t xml:space="preserve">a person has </w:t>
            </w:r>
            <w:r w:rsidRPr="005D4222">
              <w:t xml:space="preserve">an eligible episode on January 1, include </w:t>
            </w:r>
            <w:r w:rsidRPr="005D4222" w:rsidDel="0097462B">
              <w:t>the January 1</w:t>
            </w:r>
            <w:r w:rsidRPr="005D4222">
              <w:t xml:space="preserve"> visit and do not include eligible episodes that occur on or between January 2 and January 31; then, if applicable, include the next eligible episode that occurs on or after February 1.</w:t>
            </w:r>
          </w:p>
          <w:p w14:paraId="6EC16F8A" w14:textId="77777777" w:rsidR="00374523" w:rsidRPr="005D4222" w:rsidRDefault="00374523" w:rsidP="00AC54B3">
            <w:pPr>
              <w:pStyle w:val="ECDSBody"/>
              <w:spacing w:after="0"/>
            </w:pPr>
            <w:r w:rsidRPr="005D4222">
              <w:rPr>
                <w:b/>
              </w:rPr>
              <w:t>Coding Guidance</w:t>
            </w:r>
          </w:p>
          <w:p w14:paraId="1D7B9D91" w14:textId="0DE0EE3B" w:rsidR="00374523" w:rsidRPr="005D4222" w:rsidRDefault="00374523" w:rsidP="00AC54B3">
            <w:pPr>
              <w:pStyle w:val="ECDSBody"/>
              <w:spacing w:before="0"/>
              <w:rPr>
                <w:i/>
              </w:rPr>
            </w:pPr>
            <w:r w:rsidRPr="005D4222">
              <w:rPr>
                <w:b/>
              </w:rPr>
              <w:t>*</w:t>
            </w:r>
            <w:r w:rsidRPr="005D4222">
              <w:t>Do not include laboratory claims (claims with POS code 81).</w:t>
            </w:r>
          </w:p>
        </w:tc>
      </w:tr>
      <w:tr w:rsidR="00A15BC3" w:rsidRPr="005D4222" w14:paraId="3B649C31" w14:textId="77777777" w:rsidTr="00FB669B">
        <w:tc>
          <w:tcPr>
            <w:tcW w:w="1110" w:type="pct"/>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338AE2A" w14:textId="77777777" w:rsidR="00A15BC3" w:rsidRPr="005D4222" w:rsidRDefault="00A15BC3" w:rsidP="00FB669B">
            <w:pPr>
              <w:pStyle w:val="ECDSMarginHead"/>
            </w:pPr>
            <w:r w:rsidRPr="005D4222">
              <w:t xml:space="preserve">Denominator exclusions </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5ED20DB4" w14:textId="5C434653" w:rsidR="00A15BC3" w:rsidRPr="005D4222" w:rsidRDefault="00A15BC3" w:rsidP="00AC54B3">
            <w:pPr>
              <w:pStyle w:val="ECDSBody"/>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tc>
      </w:tr>
    </w:tbl>
    <w:p w14:paraId="457D12AE" w14:textId="77777777" w:rsidR="00AC54B3" w:rsidRPr="005D4222" w:rsidRDefault="00AC54B3">
      <w:r w:rsidRPr="005D4222">
        <w:br w:type="page"/>
      </w:r>
    </w:p>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AC54B3" w:rsidRPr="005D4222" w14:paraId="6178167C" w14:textId="77777777" w:rsidTr="00AC54B3">
        <w:tc>
          <w:tcPr>
            <w:tcW w:w="1110" w:type="pct"/>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F70C9E8" w14:textId="77777777" w:rsidR="00AC54B3" w:rsidRPr="005D4222" w:rsidRDefault="00AC54B3" w:rsidP="00FB669B">
            <w:pPr>
              <w:pStyle w:val="ECDSMarginHead"/>
            </w:pP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74FE7915" w14:textId="6F61573C" w:rsidR="00AC54B3" w:rsidRPr="005D4222" w:rsidRDefault="00AC54B3" w:rsidP="00A15BC3">
            <w:pPr>
              <w:pStyle w:val="ECDSBody"/>
              <w:rPr>
                <w:b/>
              </w:rPr>
            </w:pPr>
            <w:r w:rsidRPr="005D4222">
              <w:rPr>
                <w:b/>
              </w:rPr>
              <w:t>Persons in hospice or using hospice services.</w:t>
            </w:r>
            <w:r w:rsidRPr="005D4222">
              <w:rPr>
                <w:b/>
              </w:rPr>
              <w:br/>
            </w:r>
            <w:r w:rsidRPr="005D4222">
              <w:t>Persons who use hospice services (</w:t>
            </w:r>
            <w:r w:rsidRPr="005D4222">
              <w:rPr>
                <w:u w:val="single"/>
              </w:rPr>
              <w:t>Hospice Encounter Value Set</w:t>
            </w:r>
            <w:r w:rsidRPr="005D4222">
              <w:t xml:space="preserve">; </w:t>
            </w:r>
            <w:r w:rsidRPr="005D4222">
              <w:rPr>
                <w:u w:val="single"/>
              </w:rPr>
              <w:t>Hospice Intervention Value Set</w:t>
            </w:r>
            <w:r w:rsidRPr="005D4222">
              <w:t>) or elect to use a hospice benefit any time during the measurement period. Organizations that use the Monthly Membership Detail Data File to identify these persons must use only the run date of the file.</w:t>
            </w:r>
          </w:p>
        </w:tc>
      </w:tr>
      <w:tr w:rsidR="00A15BC3" w:rsidRPr="005D4222" w14:paraId="23D1CBF2" w14:textId="77777777" w:rsidTr="00AC54B3">
        <w:tc>
          <w:tcPr>
            <w:tcW w:w="1110" w:type="pct"/>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DC8C990" w14:textId="77777777" w:rsidR="00A15BC3" w:rsidRPr="005D4222" w:rsidRDefault="00A15BC3" w:rsidP="00FB669B">
            <w:pPr>
              <w:pStyle w:val="ECDSMarginHead"/>
            </w:pPr>
            <w:r w:rsidRPr="005D4222">
              <w:t>Denominator</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AE950E9" w14:textId="77777777" w:rsidR="00A15BC3" w:rsidRPr="005D4222" w:rsidRDefault="00A15BC3" w:rsidP="00A15BC3">
            <w:pPr>
              <w:pStyle w:val="ECDSBody"/>
              <w:rPr>
                <w:b/>
              </w:rPr>
            </w:pPr>
            <w:r w:rsidRPr="005D4222">
              <w:t>The initial population minus denominator exclusions.</w:t>
            </w:r>
          </w:p>
        </w:tc>
      </w:tr>
      <w:tr w:rsidR="00A15BC3" w:rsidRPr="005D4222" w14:paraId="4500C3DE" w14:textId="77777777">
        <w:trPr>
          <w:trHeight w:val="417"/>
        </w:trPr>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89CC6B3" w14:textId="77777777" w:rsidR="00A15BC3" w:rsidRPr="005D4222" w:rsidRDefault="00A15BC3" w:rsidP="00FB669B">
            <w:pPr>
              <w:pStyle w:val="ECDSMarginHead"/>
            </w:pPr>
            <w:r w:rsidRPr="005D4222">
              <w:t>Numerator</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717F8AE7" w14:textId="77777777" w:rsidR="00A15BC3" w:rsidRPr="005D4222" w:rsidRDefault="00A15BC3" w:rsidP="00A15BC3">
            <w:pPr>
              <w:pStyle w:val="ECDSBody"/>
            </w:pPr>
            <w:r w:rsidRPr="005D4222">
              <w:rPr>
                <w:b/>
              </w:rPr>
              <w:t>Group A streptococcus testing.</w:t>
            </w:r>
            <w:r w:rsidRPr="005D4222">
              <w:rPr>
                <w:b/>
              </w:rPr>
              <w:br/>
            </w:r>
            <w:r w:rsidRPr="005D4222">
              <w:t>Episodes for which a group A streptococcus test (</w:t>
            </w:r>
            <w:r w:rsidRPr="005D4222">
              <w:rPr>
                <w:u w:val="single"/>
              </w:rPr>
              <w:t>Group A Strep Tests Value Set</w:t>
            </w:r>
            <w:r w:rsidRPr="005D4222">
              <w:t>) occurred in the 7-day period from 3</w:t>
            </w:r>
            <w:r w:rsidRPr="005D4222" w:rsidDel="007D7B09">
              <w:t xml:space="preserve"> </w:t>
            </w:r>
            <w:r w:rsidRPr="005D4222">
              <w:t>days prior to the episode date through 3 days after the episode date.</w:t>
            </w:r>
          </w:p>
        </w:tc>
      </w:tr>
      <w:tr w:rsidR="00A15BC3" w:rsidRPr="005D4222" w14:paraId="2604483D" w14:textId="77777777">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966F08B" w14:textId="77777777" w:rsidR="00A15BC3" w:rsidRPr="005D4222" w:rsidRDefault="00A15BC3" w:rsidP="00FB669B">
            <w:pPr>
              <w:pStyle w:val="ECDSMarginHead"/>
            </w:pPr>
            <w:r w:rsidRPr="005D4222">
              <w:t>Summary of changes</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D26D69F" w14:textId="77777777" w:rsidR="00A15BC3" w:rsidRPr="005D4222" w:rsidRDefault="00A15BC3" w:rsidP="00A51246">
            <w:pPr>
              <w:pStyle w:val="ProcessBullet"/>
              <w:spacing w:before="120"/>
            </w:pPr>
            <w:r w:rsidRPr="005D4222">
              <w:t>No changes to this measure.</w:t>
            </w:r>
          </w:p>
        </w:tc>
      </w:tr>
      <w:tr w:rsidR="00A15BC3" w:rsidRPr="005D4222" w14:paraId="5BFFA49A" w14:textId="77777777">
        <w:trPr>
          <w:trHeight w:val="45"/>
        </w:trPr>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D5401AA" w14:textId="77777777" w:rsidR="00A15BC3" w:rsidRPr="005D4222" w:rsidRDefault="00A15BC3" w:rsidP="00FB669B">
            <w:pPr>
              <w:pStyle w:val="ECDSMarginHead"/>
            </w:pPr>
            <w:r w:rsidRPr="005D4222">
              <w:t>Data element tables</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AD07E65" w14:textId="77777777" w:rsidR="00A15BC3" w:rsidRPr="005D4222" w:rsidRDefault="00A15BC3" w:rsidP="00A15BC3">
            <w:pPr>
              <w:pStyle w:val="ECDSBody"/>
            </w:pPr>
            <w:r w:rsidRPr="005D4222">
              <w:t>Organizations that submit HEDIS data to NCQA must provide the following data elements.</w:t>
            </w:r>
          </w:p>
          <w:p w14:paraId="5B8DC5E7" w14:textId="77777777" w:rsidR="00A15BC3" w:rsidRPr="005D4222" w:rsidRDefault="00A15BC3" w:rsidP="00AC54B3">
            <w:pPr>
              <w:pStyle w:val="Heading3"/>
              <w:spacing w:before="120"/>
            </w:pPr>
            <w:r w:rsidRPr="005D4222">
              <w:t>Table CWP-1/2/3: Data Elements for Appropriate Testing for Pharyngitis</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515"/>
              <w:gridCol w:w="723"/>
              <w:gridCol w:w="2247"/>
              <w:gridCol w:w="1890"/>
            </w:tblGrid>
            <w:tr w:rsidR="00A15BC3" w:rsidRPr="005D4222" w14:paraId="34DEAFB4" w14:textId="77777777">
              <w:tc>
                <w:tcPr>
                  <w:tcW w:w="2516"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tcMar>
                    <w:left w:w="72" w:type="dxa"/>
                    <w:right w:w="72" w:type="dxa"/>
                  </w:tcMar>
                  <w:vAlign w:val="bottom"/>
                  <w:hideMark/>
                </w:tcPr>
                <w:p w14:paraId="68EE0742" w14:textId="77777777" w:rsidR="00A15BC3" w:rsidRPr="005D4222" w:rsidRDefault="00A15BC3" w:rsidP="00AC54B3">
                  <w:pPr>
                    <w:pStyle w:val="TableHead"/>
                  </w:pPr>
                  <w:r w:rsidRPr="005D4222">
                    <w:t>Metric</w:t>
                  </w:r>
                </w:p>
              </w:tc>
              <w:tc>
                <w:tcPr>
                  <w:tcW w:w="723"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72" w:type="dxa"/>
                    <w:right w:w="72" w:type="dxa"/>
                  </w:tcMar>
                  <w:vAlign w:val="bottom"/>
                  <w:hideMark/>
                </w:tcPr>
                <w:p w14:paraId="0E994EBD" w14:textId="77777777" w:rsidR="00A15BC3" w:rsidRPr="005D4222" w:rsidRDefault="00A15BC3" w:rsidP="00AC54B3">
                  <w:pPr>
                    <w:pStyle w:val="TableHead"/>
                  </w:pPr>
                  <w:r w:rsidRPr="005D4222">
                    <w:t>Age</w:t>
                  </w:r>
                </w:p>
              </w:tc>
              <w:tc>
                <w:tcPr>
                  <w:tcW w:w="2247"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72" w:type="dxa"/>
                    <w:right w:w="72" w:type="dxa"/>
                  </w:tcMar>
                  <w:vAlign w:val="bottom"/>
                  <w:hideMark/>
                </w:tcPr>
                <w:p w14:paraId="2A6E6162" w14:textId="77777777" w:rsidR="00A15BC3" w:rsidRPr="005D4222" w:rsidRDefault="00A15BC3" w:rsidP="00AC54B3">
                  <w:pPr>
                    <w:pStyle w:val="TableHead"/>
                  </w:pPr>
                  <w:r w:rsidRPr="005D4222">
                    <w:t>Data Element</w:t>
                  </w:r>
                </w:p>
              </w:tc>
              <w:tc>
                <w:tcPr>
                  <w:tcW w:w="1890"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tcMar>
                    <w:left w:w="72" w:type="dxa"/>
                    <w:right w:w="72" w:type="dxa"/>
                  </w:tcMar>
                  <w:vAlign w:val="bottom"/>
                  <w:hideMark/>
                </w:tcPr>
                <w:p w14:paraId="679AB355" w14:textId="77777777" w:rsidR="00A15BC3" w:rsidRPr="005D4222" w:rsidRDefault="00A15BC3" w:rsidP="00AC54B3">
                  <w:pPr>
                    <w:pStyle w:val="TableHead"/>
                  </w:pPr>
                  <w:r w:rsidRPr="005D4222">
                    <w:t>Reporting Instructions</w:t>
                  </w:r>
                </w:p>
              </w:tc>
            </w:tr>
            <w:tr w:rsidR="00A15BC3" w:rsidRPr="005D4222" w14:paraId="1635D1F9" w14:textId="77777777">
              <w:tc>
                <w:tcPr>
                  <w:tcW w:w="2516" w:type="dxa"/>
                  <w:tcBorders>
                    <w:top w:val="single" w:sz="4" w:space="0" w:color="000000" w:themeColor="text1"/>
                    <w:left w:val="single" w:sz="4" w:space="0" w:color="auto"/>
                    <w:bottom w:val="single" w:sz="4" w:space="0" w:color="auto"/>
                    <w:right w:val="single" w:sz="4" w:space="0" w:color="auto"/>
                  </w:tcBorders>
                  <w:tcMar>
                    <w:left w:w="72" w:type="dxa"/>
                    <w:right w:w="72" w:type="dxa"/>
                  </w:tcMar>
                  <w:hideMark/>
                </w:tcPr>
                <w:p w14:paraId="5E074E7A" w14:textId="77777777" w:rsidR="00A15BC3" w:rsidRPr="005D4222" w:rsidRDefault="00A15BC3" w:rsidP="00AC54B3">
                  <w:pPr>
                    <w:pStyle w:val="TableText"/>
                  </w:pPr>
                  <w:r w:rsidRPr="005D4222">
                    <w:t>AppropriatePharyngitisTesting</w:t>
                  </w:r>
                </w:p>
              </w:tc>
              <w:tc>
                <w:tcPr>
                  <w:tcW w:w="723" w:type="dxa"/>
                  <w:tcBorders>
                    <w:top w:val="single" w:sz="4" w:space="0" w:color="000000" w:themeColor="text1"/>
                    <w:left w:val="single" w:sz="4" w:space="0" w:color="auto"/>
                    <w:bottom w:val="single" w:sz="4" w:space="0" w:color="auto"/>
                    <w:right w:val="single" w:sz="4" w:space="0" w:color="auto"/>
                  </w:tcBorders>
                  <w:tcMar>
                    <w:left w:w="72" w:type="dxa"/>
                    <w:right w:w="72" w:type="dxa"/>
                  </w:tcMar>
                  <w:hideMark/>
                </w:tcPr>
                <w:p w14:paraId="595A801A" w14:textId="77777777" w:rsidR="00A15BC3" w:rsidRPr="005D4222" w:rsidRDefault="00A15BC3" w:rsidP="00AC54B3">
                  <w:pPr>
                    <w:pStyle w:val="TableText"/>
                  </w:pPr>
                  <w:r w:rsidRPr="005D4222">
                    <w:t>3-17</w:t>
                  </w:r>
                </w:p>
              </w:tc>
              <w:tc>
                <w:tcPr>
                  <w:tcW w:w="2247" w:type="dxa"/>
                  <w:tcBorders>
                    <w:top w:val="single" w:sz="4" w:space="0" w:color="000000" w:themeColor="text1"/>
                    <w:left w:val="single" w:sz="4" w:space="0" w:color="auto"/>
                    <w:bottom w:val="single" w:sz="4" w:space="0" w:color="auto"/>
                    <w:right w:val="single" w:sz="4" w:space="0" w:color="auto"/>
                  </w:tcBorders>
                  <w:tcMar>
                    <w:left w:w="72" w:type="dxa"/>
                    <w:right w:w="72" w:type="dxa"/>
                  </w:tcMar>
                  <w:hideMark/>
                </w:tcPr>
                <w:p w14:paraId="7FF140DB" w14:textId="77777777" w:rsidR="00A15BC3" w:rsidRPr="005D4222" w:rsidRDefault="00A15BC3" w:rsidP="00AC54B3">
                  <w:pPr>
                    <w:pStyle w:val="TableText"/>
                  </w:pPr>
                  <w:r w:rsidRPr="005D4222">
                    <w:t>Benefit</w:t>
                  </w:r>
                </w:p>
              </w:tc>
              <w:tc>
                <w:tcPr>
                  <w:tcW w:w="1890" w:type="dxa"/>
                  <w:tcBorders>
                    <w:top w:val="single" w:sz="4" w:space="0" w:color="000000" w:themeColor="text1"/>
                    <w:left w:val="single" w:sz="4" w:space="0" w:color="auto"/>
                    <w:bottom w:val="single" w:sz="6" w:space="0" w:color="auto"/>
                    <w:right w:val="single" w:sz="4" w:space="0" w:color="auto"/>
                  </w:tcBorders>
                  <w:tcMar>
                    <w:left w:w="72" w:type="dxa"/>
                    <w:right w:w="72" w:type="dxa"/>
                  </w:tcMar>
                  <w:hideMark/>
                </w:tcPr>
                <w:p w14:paraId="65520279" w14:textId="77777777" w:rsidR="00A15BC3" w:rsidRPr="005D4222" w:rsidRDefault="00A15BC3" w:rsidP="00AC54B3">
                  <w:pPr>
                    <w:pStyle w:val="TableText"/>
                  </w:pPr>
                  <w:r w:rsidRPr="005D4222">
                    <w:t>Metadata</w:t>
                  </w:r>
                </w:p>
              </w:tc>
            </w:tr>
            <w:tr w:rsidR="00A15BC3" w:rsidRPr="005D4222" w14:paraId="117157C4" w14:textId="77777777">
              <w:tc>
                <w:tcPr>
                  <w:tcW w:w="2516" w:type="dxa"/>
                  <w:tcBorders>
                    <w:top w:val="single" w:sz="4" w:space="0" w:color="auto"/>
                    <w:left w:val="nil"/>
                    <w:bottom w:val="nil"/>
                    <w:right w:val="single" w:sz="4" w:space="0" w:color="auto"/>
                  </w:tcBorders>
                  <w:shd w:val="clear" w:color="auto" w:fill="FFFFFF" w:themeFill="background1"/>
                  <w:tcMar>
                    <w:left w:w="72" w:type="dxa"/>
                    <w:right w:w="72" w:type="dxa"/>
                  </w:tcMar>
                </w:tcPr>
                <w:p w14:paraId="29C4F428" w14:textId="77777777" w:rsidR="00A15BC3" w:rsidRPr="005D4222" w:rsidRDefault="00A15BC3" w:rsidP="00AC54B3">
                  <w:pPr>
                    <w:pStyle w:val="TableText"/>
                  </w:pPr>
                </w:p>
              </w:tc>
              <w:tc>
                <w:tcPr>
                  <w:tcW w:w="723"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03D76CF0" w14:textId="77777777" w:rsidR="00A15BC3" w:rsidRPr="005D4222" w:rsidRDefault="00A15BC3" w:rsidP="00AC54B3">
                  <w:pPr>
                    <w:pStyle w:val="TableText"/>
                  </w:pPr>
                  <w:r w:rsidRPr="005D4222">
                    <w:t>18-64</w:t>
                  </w:r>
                </w:p>
              </w:tc>
              <w:tc>
                <w:tcPr>
                  <w:tcW w:w="2247"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7A7AF4D2" w14:textId="77777777" w:rsidR="00A15BC3" w:rsidRPr="005D4222" w:rsidRDefault="00A15BC3" w:rsidP="00AC54B3">
                  <w:pPr>
                    <w:pStyle w:val="TableText"/>
                  </w:pPr>
                  <w:r w:rsidRPr="005D4222">
                    <w:t xml:space="preserve">InitialPopulation </w:t>
                  </w:r>
                </w:p>
              </w:tc>
              <w:tc>
                <w:tcPr>
                  <w:tcW w:w="1890" w:type="dxa"/>
                  <w:tcBorders>
                    <w:top w:val="single" w:sz="6" w:space="0" w:color="auto"/>
                    <w:left w:val="single" w:sz="4" w:space="0" w:color="auto"/>
                    <w:bottom w:val="single" w:sz="6" w:space="0" w:color="auto"/>
                    <w:right w:val="single" w:sz="4" w:space="0" w:color="auto"/>
                  </w:tcBorders>
                  <w:shd w:val="clear" w:color="auto" w:fill="FFFFFF" w:themeFill="background1"/>
                  <w:tcMar>
                    <w:left w:w="72" w:type="dxa"/>
                    <w:right w:w="72" w:type="dxa"/>
                  </w:tcMar>
                  <w:hideMark/>
                </w:tcPr>
                <w:p w14:paraId="5A0F20FC" w14:textId="77777777" w:rsidR="00A15BC3" w:rsidRPr="005D4222" w:rsidRDefault="00A15BC3" w:rsidP="00AC54B3">
                  <w:pPr>
                    <w:pStyle w:val="TableText"/>
                  </w:pPr>
                  <w:r w:rsidRPr="005D4222">
                    <w:t>For each Stratification</w:t>
                  </w:r>
                </w:p>
              </w:tc>
            </w:tr>
            <w:tr w:rsidR="00A15BC3" w:rsidRPr="005D4222" w14:paraId="152C7CCD" w14:textId="77777777">
              <w:tc>
                <w:tcPr>
                  <w:tcW w:w="2516" w:type="dxa"/>
                  <w:tcBorders>
                    <w:top w:val="nil"/>
                    <w:left w:val="nil"/>
                    <w:bottom w:val="nil"/>
                    <w:right w:val="single" w:sz="4" w:space="0" w:color="auto"/>
                  </w:tcBorders>
                  <w:shd w:val="clear" w:color="auto" w:fill="FFFFFF" w:themeFill="background1"/>
                  <w:tcMar>
                    <w:left w:w="72" w:type="dxa"/>
                    <w:right w:w="72" w:type="dxa"/>
                  </w:tcMar>
                </w:tcPr>
                <w:p w14:paraId="4440A31D" w14:textId="77777777" w:rsidR="00A15BC3" w:rsidRPr="005D4222" w:rsidRDefault="00A15BC3" w:rsidP="00AC54B3">
                  <w:pPr>
                    <w:pStyle w:val="TableText"/>
                  </w:pPr>
                  <w:r w:rsidRPr="005D4222">
                    <w:t xml:space="preserve"> </w:t>
                  </w:r>
                </w:p>
              </w:tc>
              <w:tc>
                <w:tcPr>
                  <w:tcW w:w="723"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7EBE701D" w14:textId="77777777" w:rsidR="00A15BC3" w:rsidRPr="005D4222" w:rsidRDefault="00A15BC3" w:rsidP="00AC54B3">
                  <w:pPr>
                    <w:pStyle w:val="TableText"/>
                  </w:pPr>
                  <w:r w:rsidRPr="005D4222">
                    <w:t>65+</w:t>
                  </w:r>
                </w:p>
              </w:tc>
              <w:tc>
                <w:tcPr>
                  <w:tcW w:w="2247"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6AE00DE8" w14:textId="77777777" w:rsidR="00A15BC3" w:rsidRPr="005D4222" w:rsidRDefault="00A15BC3" w:rsidP="00AC54B3">
                  <w:pPr>
                    <w:pStyle w:val="TableText"/>
                  </w:pPr>
                  <w:r w:rsidRPr="005D4222">
                    <w:t>Exclusions</w:t>
                  </w:r>
                </w:p>
              </w:tc>
              <w:tc>
                <w:tcPr>
                  <w:tcW w:w="1890" w:type="dxa"/>
                  <w:tcBorders>
                    <w:top w:val="single" w:sz="6" w:space="0" w:color="auto"/>
                    <w:left w:val="single" w:sz="4" w:space="0" w:color="auto"/>
                    <w:bottom w:val="single" w:sz="6" w:space="0" w:color="auto"/>
                    <w:right w:val="single" w:sz="4" w:space="0" w:color="auto"/>
                  </w:tcBorders>
                  <w:shd w:val="clear" w:color="auto" w:fill="FFFFFF" w:themeFill="background1"/>
                  <w:tcMar>
                    <w:left w:w="72" w:type="dxa"/>
                    <w:right w:w="72" w:type="dxa"/>
                  </w:tcMar>
                  <w:hideMark/>
                </w:tcPr>
                <w:p w14:paraId="30826369" w14:textId="77777777" w:rsidR="00A15BC3" w:rsidRPr="005D4222" w:rsidRDefault="00A15BC3" w:rsidP="00AC54B3">
                  <w:pPr>
                    <w:pStyle w:val="TableText"/>
                  </w:pPr>
                  <w:r w:rsidRPr="005D4222">
                    <w:t>For each Stratification</w:t>
                  </w:r>
                </w:p>
              </w:tc>
            </w:tr>
            <w:tr w:rsidR="00A15BC3" w:rsidRPr="005D4222" w14:paraId="68231682" w14:textId="77777777">
              <w:tc>
                <w:tcPr>
                  <w:tcW w:w="2516" w:type="dxa"/>
                  <w:tcBorders>
                    <w:top w:val="nil"/>
                    <w:left w:val="nil"/>
                    <w:bottom w:val="nil"/>
                    <w:right w:val="single" w:sz="4" w:space="0" w:color="auto"/>
                  </w:tcBorders>
                  <w:shd w:val="clear" w:color="auto" w:fill="FFFFFF" w:themeFill="background1"/>
                  <w:tcMar>
                    <w:left w:w="72" w:type="dxa"/>
                    <w:right w:w="72" w:type="dxa"/>
                  </w:tcMar>
                </w:tcPr>
                <w:p w14:paraId="66BC8D27" w14:textId="77777777" w:rsidR="00A15BC3" w:rsidRPr="005D4222" w:rsidRDefault="00A15BC3" w:rsidP="00AC54B3">
                  <w:pPr>
                    <w:pStyle w:val="TableText"/>
                  </w:pPr>
                </w:p>
              </w:tc>
              <w:tc>
                <w:tcPr>
                  <w:tcW w:w="7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6A7FF259" w14:textId="77777777" w:rsidR="00A15BC3" w:rsidRPr="005D4222" w:rsidRDefault="00A15BC3" w:rsidP="00AC54B3">
                  <w:pPr>
                    <w:pStyle w:val="TableText"/>
                  </w:pPr>
                  <w:r w:rsidRPr="005D4222">
                    <w:t>Total</w:t>
                  </w:r>
                </w:p>
              </w:tc>
              <w:tc>
                <w:tcPr>
                  <w:tcW w:w="2247"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498130B9" w14:textId="77777777" w:rsidR="00A15BC3" w:rsidRPr="005D4222" w:rsidRDefault="00A15BC3" w:rsidP="00AC54B3">
                  <w:pPr>
                    <w:pStyle w:val="TableText"/>
                  </w:pPr>
                  <w:r w:rsidRPr="005D4222">
                    <w:t>Denominator</w:t>
                  </w:r>
                </w:p>
              </w:tc>
              <w:tc>
                <w:tcPr>
                  <w:tcW w:w="1890" w:type="dxa"/>
                  <w:tcBorders>
                    <w:top w:val="single" w:sz="6" w:space="0" w:color="auto"/>
                    <w:left w:val="single" w:sz="4" w:space="0" w:color="auto"/>
                    <w:bottom w:val="single" w:sz="6" w:space="0" w:color="auto"/>
                    <w:right w:val="single" w:sz="4" w:space="0" w:color="auto"/>
                  </w:tcBorders>
                  <w:shd w:val="clear" w:color="auto" w:fill="FFFFFF" w:themeFill="background1"/>
                  <w:tcMar>
                    <w:left w:w="72" w:type="dxa"/>
                    <w:right w:w="72" w:type="dxa"/>
                  </w:tcMar>
                </w:tcPr>
                <w:p w14:paraId="7C3714BA" w14:textId="77777777" w:rsidR="00A15BC3" w:rsidRPr="005D4222" w:rsidRDefault="00A15BC3" w:rsidP="00AC54B3">
                  <w:pPr>
                    <w:pStyle w:val="TableText"/>
                  </w:pPr>
                  <w:r w:rsidRPr="005D4222">
                    <w:t>For each Stratification</w:t>
                  </w:r>
                </w:p>
              </w:tc>
            </w:tr>
            <w:tr w:rsidR="00A15BC3" w:rsidRPr="005D4222" w14:paraId="294AE79C" w14:textId="77777777">
              <w:tc>
                <w:tcPr>
                  <w:tcW w:w="2516" w:type="dxa"/>
                  <w:tcBorders>
                    <w:top w:val="nil"/>
                    <w:left w:val="nil"/>
                    <w:bottom w:val="nil"/>
                    <w:right w:val="nil"/>
                  </w:tcBorders>
                  <w:shd w:val="clear" w:color="auto" w:fill="FFFFFF" w:themeFill="background1"/>
                  <w:tcMar>
                    <w:left w:w="72" w:type="dxa"/>
                    <w:right w:w="72" w:type="dxa"/>
                  </w:tcMar>
                </w:tcPr>
                <w:p w14:paraId="25236BA5" w14:textId="77777777" w:rsidR="00A15BC3" w:rsidRPr="005D4222" w:rsidRDefault="00A15BC3" w:rsidP="00AC54B3">
                  <w:pPr>
                    <w:pStyle w:val="TableText"/>
                  </w:pPr>
                </w:p>
              </w:tc>
              <w:tc>
                <w:tcPr>
                  <w:tcW w:w="723" w:type="dxa"/>
                  <w:tcBorders>
                    <w:top w:val="single" w:sz="4" w:space="0" w:color="auto"/>
                    <w:left w:val="nil"/>
                    <w:bottom w:val="nil"/>
                    <w:right w:val="single" w:sz="4" w:space="0" w:color="auto"/>
                  </w:tcBorders>
                  <w:tcMar>
                    <w:left w:w="72" w:type="dxa"/>
                    <w:right w:w="72" w:type="dxa"/>
                  </w:tcMar>
                  <w:hideMark/>
                </w:tcPr>
                <w:p w14:paraId="5AE55A6D" w14:textId="77777777" w:rsidR="00A15BC3" w:rsidRPr="005D4222" w:rsidRDefault="00A15BC3" w:rsidP="00AC54B3">
                  <w:pPr>
                    <w:pStyle w:val="TableText"/>
                  </w:pPr>
                </w:p>
              </w:tc>
              <w:tc>
                <w:tcPr>
                  <w:tcW w:w="2247"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2BCAFE5C" w14:textId="77777777" w:rsidR="00A15BC3" w:rsidRPr="005D4222" w:rsidRDefault="00A15BC3" w:rsidP="00AC54B3">
                  <w:pPr>
                    <w:pStyle w:val="TableText"/>
                  </w:pPr>
                  <w:r w:rsidRPr="005D4222">
                    <w:t>NumeratorByAdmin</w:t>
                  </w:r>
                </w:p>
              </w:tc>
              <w:tc>
                <w:tcPr>
                  <w:tcW w:w="1890" w:type="dxa"/>
                  <w:tcBorders>
                    <w:top w:val="single" w:sz="6" w:space="0" w:color="auto"/>
                    <w:left w:val="single" w:sz="4" w:space="0" w:color="auto"/>
                    <w:bottom w:val="single" w:sz="6" w:space="0" w:color="auto"/>
                    <w:right w:val="single" w:sz="4" w:space="0" w:color="auto"/>
                  </w:tcBorders>
                  <w:shd w:val="clear" w:color="auto" w:fill="FFFFFF" w:themeFill="background1"/>
                  <w:tcMar>
                    <w:left w:w="72" w:type="dxa"/>
                    <w:right w:w="72" w:type="dxa"/>
                  </w:tcMar>
                  <w:hideMark/>
                </w:tcPr>
                <w:p w14:paraId="258CE571" w14:textId="77777777" w:rsidR="00A15BC3" w:rsidRPr="005D4222" w:rsidRDefault="00A15BC3" w:rsidP="00AC54B3">
                  <w:pPr>
                    <w:pStyle w:val="TableText"/>
                  </w:pPr>
                  <w:r w:rsidRPr="005D4222">
                    <w:t>For each Stratification</w:t>
                  </w:r>
                </w:p>
              </w:tc>
            </w:tr>
            <w:tr w:rsidR="00A15BC3" w:rsidRPr="005D4222" w14:paraId="62C8F7E9" w14:textId="77777777">
              <w:trPr>
                <w:trHeight w:val="450"/>
              </w:trPr>
              <w:tc>
                <w:tcPr>
                  <w:tcW w:w="2516" w:type="dxa"/>
                  <w:tcBorders>
                    <w:top w:val="nil"/>
                    <w:left w:val="nil"/>
                    <w:bottom w:val="nil"/>
                    <w:right w:val="nil"/>
                  </w:tcBorders>
                  <w:shd w:val="clear" w:color="auto" w:fill="FFFFFF" w:themeFill="background1"/>
                  <w:tcMar>
                    <w:left w:w="72" w:type="dxa"/>
                    <w:right w:w="72" w:type="dxa"/>
                  </w:tcMar>
                </w:tcPr>
                <w:p w14:paraId="39A4110E" w14:textId="77777777" w:rsidR="00A15BC3" w:rsidRPr="005D4222" w:rsidRDefault="00A15BC3" w:rsidP="00AC54B3">
                  <w:pPr>
                    <w:pStyle w:val="TableText"/>
                  </w:pPr>
                </w:p>
              </w:tc>
              <w:tc>
                <w:tcPr>
                  <w:tcW w:w="723" w:type="dxa"/>
                  <w:tcBorders>
                    <w:top w:val="nil"/>
                    <w:left w:val="nil"/>
                    <w:bottom w:val="nil"/>
                    <w:right w:val="single" w:sz="4" w:space="0" w:color="auto"/>
                  </w:tcBorders>
                  <w:shd w:val="clear" w:color="auto" w:fill="FFFFFF" w:themeFill="background1"/>
                  <w:tcMar>
                    <w:left w:w="72" w:type="dxa"/>
                    <w:right w:w="72" w:type="dxa"/>
                  </w:tcMar>
                </w:tcPr>
                <w:p w14:paraId="662F2791" w14:textId="77777777" w:rsidR="00A15BC3" w:rsidRPr="005D4222" w:rsidRDefault="00A15BC3" w:rsidP="00AC54B3">
                  <w:pPr>
                    <w:pStyle w:val="TableText"/>
                  </w:pPr>
                </w:p>
              </w:tc>
              <w:tc>
                <w:tcPr>
                  <w:tcW w:w="2247"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3A0DCB94" w14:textId="77777777" w:rsidR="00A15BC3" w:rsidRPr="005D4222" w:rsidRDefault="00A15BC3" w:rsidP="00AC54B3">
                  <w:pPr>
                    <w:pStyle w:val="TableText"/>
                  </w:pPr>
                  <w:r w:rsidRPr="005D4222">
                    <w:t>NumeratorBySupplemental</w:t>
                  </w:r>
                </w:p>
              </w:tc>
              <w:tc>
                <w:tcPr>
                  <w:tcW w:w="1890" w:type="dxa"/>
                  <w:tcBorders>
                    <w:top w:val="single" w:sz="6" w:space="0" w:color="auto"/>
                    <w:left w:val="single" w:sz="4" w:space="0" w:color="auto"/>
                    <w:bottom w:val="single" w:sz="6" w:space="0" w:color="auto"/>
                    <w:right w:val="single" w:sz="4" w:space="0" w:color="auto"/>
                  </w:tcBorders>
                  <w:shd w:val="clear" w:color="auto" w:fill="FFFFFF" w:themeFill="background1"/>
                  <w:tcMar>
                    <w:left w:w="72" w:type="dxa"/>
                    <w:right w:w="72" w:type="dxa"/>
                  </w:tcMar>
                  <w:hideMark/>
                </w:tcPr>
                <w:p w14:paraId="3E47C7CE" w14:textId="77777777" w:rsidR="00A15BC3" w:rsidRPr="005D4222" w:rsidRDefault="00A15BC3" w:rsidP="00AC54B3">
                  <w:pPr>
                    <w:pStyle w:val="TableText"/>
                  </w:pPr>
                  <w:r w:rsidRPr="005D4222">
                    <w:t>For each Stratification</w:t>
                  </w:r>
                </w:p>
              </w:tc>
            </w:tr>
            <w:tr w:rsidR="00A15BC3" w:rsidRPr="005D4222" w14:paraId="76066000" w14:textId="77777777">
              <w:tc>
                <w:tcPr>
                  <w:tcW w:w="2516" w:type="dxa"/>
                  <w:tcBorders>
                    <w:top w:val="nil"/>
                    <w:left w:val="nil"/>
                    <w:bottom w:val="nil"/>
                    <w:right w:val="nil"/>
                  </w:tcBorders>
                  <w:shd w:val="clear" w:color="auto" w:fill="FFFFFF" w:themeFill="background1"/>
                  <w:tcMar>
                    <w:left w:w="72" w:type="dxa"/>
                    <w:right w:w="72" w:type="dxa"/>
                  </w:tcMar>
                </w:tcPr>
                <w:p w14:paraId="52DB89D3" w14:textId="77777777" w:rsidR="00A15BC3" w:rsidRPr="005D4222" w:rsidRDefault="00A15BC3" w:rsidP="00AC54B3">
                  <w:pPr>
                    <w:pStyle w:val="TableText"/>
                  </w:pPr>
                </w:p>
              </w:tc>
              <w:tc>
                <w:tcPr>
                  <w:tcW w:w="723" w:type="dxa"/>
                  <w:tcBorders>
                    <w:top w:val="nil"/>
                    <w:left w:val="nil"/>
                    <w:bottom w:val="nil"/>
                    <w:right w:val="single" w:sz="4" w:space="0" w:color="auto"/>
                  </w:tcBorders>
                  <w:shd w:val="clear" w:color="auto" w:fill="FFFFFF" w:themeFill="background1"/>
                  <w:tcMar>
                    <w:left w:w="72" w:type="dxa"/>
                    <w:right w:w="72" w:type="dxa"/>
                  </w:tcMar>
                </w:tcPr>
                <w:p w14:paraId="4B4337DF" w14:textId="77777777" w:rsidR="00A15BC3" w:rsidRPr="005D4222" w:rsidRDefault="00A15BC3" w:rsidP="00AC54B3">
                  <w:pPr>
                    <w:pStyle w:val="TableText"/>
                  </w:pPr>
                </w:p>
              </w:tc>
              <w:tc>
                <w:tcPr>
                  <w:tcW w:w="224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6CC34624" w14:textId="77777777" w:rsidR="00A15BC3" w:rsidRPr="005D4222" w:rsidRDefault="00A15BC3" w:rsidP="00AC54B3">
                  <w:pPr>
                    <w:pStyle w:val="TableText"/>
                  </w:pPr>
                  <w:r w:rsidRPr="005D4222">
                    <w:t>Rate</w:t>
                  </w:r>
                </w:p>
              </w:tc>
              <w:tc>
                <w:tcPr>
                  <w:tcW w:w="1890" w:type="dxa"/>
                  <w:tcBorders>
                    <w:top w:val="single" w:sz="6" w:space="0" w:color="auto"/>
                    <w:left w:val="single" w:sz="4" w:space="0" w:color="auto"/>
                    <w:bottom w:val="single" w:sz="6" w:space="0" w:color="auto"/>
                    <w:right w:val="single" w:sz="4" w:space="0" w:color="auto"/>
                  </w:tcBorders>
                  <w:shd w:val="clear" w:color="auto" w:fill="D9D9D9" w:themeFill="background1" w:themeFillShade="D9"/>
                  <w:tcMar>
                    <w:left w:w="72" w:type="dxa"/>
                    <w:right w:w="72" w:type="dxa"/>
                  </w:tcMar>
                  <w:hideMark/>
                </w:tcPr>
                <w:p w14:paraId="1A66D502" w14:textId="77777777" w:rsidR="00A15BC3" w:rsidRPr="005D4222" w:rsidRDefault="00A15BC3" w:rsidP="00AC54B3">
                  <w:pPr>
                    <w:pStyle w:val="TableText"/>
                  </w:pPr>
                  <w:r w:rsidRPr="005D4222">
                    <w:t>(Percent)</w:t>
                  </w:r>
                </w:p>
              </w:tc>
            </w:tr>
          </w:tbl>
          <w:p w14:paraId="6D9DDBA1" w14:textId="77777777" w:rsidR="00A15BC3" w:rsidRPr="005D4222" w:rsidRDefault="00A15BC3" w:rsidP="00A15BC3">
            <w:pPr>
              <w:pStyle w:val="ECDSBody"/>
            </w:pPr>
          </w:p>
        </w:tc>
      </w:tr>
      <w:tr w:rsidR="00A15BC3" w:rsidRPr="005D4222" w14:paraId="21656C95" w14:textId="77777777">
        <w:trPr>
          <w:trHeight w:val="45"/>
        </w:trPr>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95A7E2F" w14:textId="77777777" w:rsidR="00A15BC3" w:rsidRPr="005D4222" w:rsidRDefault="00A15BC3" w:rsidP="00FB669B">
            <w:pPr>
              <w:pStyle w:val="ECDSMarginHead"/>
            </w:pPr>
            <w:r w:rsidRPr="005D4222">
              <w:t>Rules for Allowable Adjustments</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FA7D3E7" w14:textId="77777777" w:rsidR="00A15BC3" w:rsidRPr="005D4222" w:rsidRDefault="00A15BC3" w:rsidP="00A15BC3">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0478FE18" w14:textId="77777777" w:rsidR="00A15BC3" w:rsidRPr="005D4222" w:rsidRDefault="00A15BC3" w:rsidP="00A15BC3">
            <w:pPr>
              <w:pStyle w:val="ECDSBody"/>
              <w:rPr>
                <w:b/>
              </w:rPr>
            </w:pPr>
            <w:r w:rsidRPr="005D4222">
              <w:rPr>
                <w:b/>
              </w:rPr>
              <w:t>Adjusted HEDIS measures may not be used for HEDIS health plan reporting.</w:t>
            </w:r>
          </w:p>
          <w:p w14:paraId="30B88289" w14:textId="6F337683" w:rsidR="00A15BC3" w:rsidRPr="005D4222" w:rsidRDefault="00672166" w:rsidP="00A15BC3">
            <w:pPr>
              <w:pStyle w:val="ECDSBody"/>
            </w:pPr>
            <w:r w:rsidRPr="005D4222">
              <w:rPr>
                <w:b/>
              </w:rPr>
              <w:t>ADJUSTMENTS ALLOWED</w:t>
            </w:r>
          </w:p>
          <w:p w14:paraId="317494DE" w14:textId="6644803E" w:rsidR="00A15BC3" w:rsidRPr="005D4222" w:rsidRDefault="00A15BC3" w:rsidP="004473CC">
            <w:pPr>
              <w:pStyle w:val="ProcessBullet"/>
              <w:rPr>
                <w:b/>
              </w:rPr>
            </w:pPr>
            <w:r w:rsidRPr="005D4222">
              <w:rPr>
                <w:i/>
              </w:rPr>
              <w:t xml:space="preserve">Product lines. </w:t>
            </w:r>
            <w:r w:rsidRPr="005D4222">
              <w:t>Organizations are not required to use product line criteria; product lines may be combined</w:t>
            </w:r>
            <w:r w:rsidR="00E8671F" w:rsidRPr="005D4222">
              <w:t>,</w:t>
            </w:r>
            <w:r w:rsidRPr="005D4222">
              <w:t xml:space="preserve"> and all (or no) product line criteria may be used.</w:t>
            </w:r>
          </w:p>
          <w:p w14:paraId="607FCCFB" w14:textId="77777777" w:rsidR="00A15BC3" w:rsidRPr="005D4222" w:rsidRDefault="00A15BC3" w:rsidP="004473CC">
            <w:pPr>
              <w:pStyle w:val="ProcessBullet"/>
              <w:rPr>
                <w:b/>
              </w:rPr>
            </w:pPr>
            <w:r w:rsidRPr="005D4222">
              <w:rPr>
                <w:i/>
                <w:iCs/>
              </w:rPr>
              <w:t>Attribution.</w:t>
            </w:r>
            <w:r w:rsidRPr="005D4222">
              <w:t xml:space="preserve"> Organizations are not required to use enrollment criteria. </w:t>
            </w:r>
          </w:p>
          <w:p w14:paraId="34AB0ED9" w14:textId="533614B7" w:rsidR="004866DE" w:rsidRPr="005D4222" w:rsidRDefault="00362E76" w:rsidP="004866DE">
            <w:pPr>
              <w:pStyle w:val="ProcessBullet"/>
              <w:spacing w:after="80"/>
              <w:rPr>
                <w:b/>
              </w:rPr>
            </w:pPr>
            <w:r w:rsidRPr="005D4222">
              <w:rPr>
                <w:i/>
                <w:iCs/>
              </w:rPr>
              <w:t>Benefits.</w:t>
            </w:r>
            <w:r w:rsidR="004866DE">
              <w:rPr>
                <w:i/>
                <w:iCs/>
              </w:rPr>
              <w:t xml:space="preserve"> </w:t>
            </w:r>
            <w:r w:rsidR="00A15BC3" w:rsidRPr="005D4222">
              <w:t>Organizations are not required to use a benefit.</w:t>
            </w:r>
          </w:p>
        </w:tc>
      </w:tr>
    </w:tbl>
    <w:p w14:paraId="64A30CA2" w14:textId="77777777" w:rsidR="004866DE" w:rsidRDefault="004866DE">
      <w:r>
        <w:br w:type="page"/>
      </w:r>
    </w:p>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4866DE" w:rsidRPr="005D4222" w14:paraId="555FD25F" w14:textId="77777777">
        <w:trPr>
          <w:trHeight w:val="45"/>
        </w:trPr>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2BC716E" w14:textId="77777777" w:rsidR="004866DE" w:rsidRPr="005D4222" w:rsidRDefault="004866DE" w:rsidP="00FB669B">
            <w:pPr>
              <w:pStyle w:val="ECDSMarginHead"/>
            </w:pP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2019175" w14:textId="77777777" w:rsidR="004866DE" w:rsidRPr="005D4222" w:rsidRDefault="004866DE" w:rsidP="004866DE">
            <w:pPr>
              <w:pStyle w:val="ProcessBullet"/>
              <w:spacing w:before="120" w:after="80"/>
              <w:rPr>
                <w:b/>
              </w:rPr>
            </w:pPr>
            <w:r w:rsidRPr="005D4222">
              <w:rPr>
                <w:i/>
                <w:iCs/>
              </w:rPr>
              <w:t>Other.</w:t>
            </w:r>
            <w:r w:rsidRPr="005D4222">
              <w:t xml:space="preserve"> Organizations may use additional initial population criteria to focus on an area of interest as defined by gender, race, ethnicity, socioeconomic or sociodemographic characteristics, geographic region or another characteristic.</w:t>
            </w:r>
          </w:p>
          <w:p w14:paraId="21360621" w14:textId="77777777" w:rsidR="004866DE" w:rsidRPr="005D4222" w:rsidRDefault="004866DE" w:rsidP="004866DE">
            <w:pPr>
              <w:pStyle w:val="ProcessBullet"/>
              <w:rPr>
                <w:b/>
              </w:rPr>
            </w:pPr>
            <w:r w:rsidRPr="005D4222">
              <w:rPr>
                <w:i/>
                <w:iCs/>
              </w:rPr>
              <w:t>Measurement period adjustments.</w:t>
            </w:r>
            <w:r w:rsidRPr="005D4222">
              <w:t xml:space="preserve"> Organizations may adjust the measurement period.</w:t>
            </w:r>
          </w:p>
          <w:p w14:paraId="3095E48D" w14:textId="77777777" w:rsidR="004866DE" w:rsidRPr="005D4222" w:rsidRDefault="004866DE" w:rsidP="004866DE">
            <w:pPr>
              <w:pStyle w:val="ProcessBullet"/>
              <w:rPr>
                <w:b/>
              </w:rPr>
            </w:pPr>
            <w:r w:rsidRPr="005D4222">
              <w:rPr>
                <w:i/>
                <w:iCs/>
              </w:rPr>
              <w:t xml:space="preserve">Exclusions. </w:t>
            </w:r>
            <w:r w:rsidRPr="005D4222">
              <w:rPr>
                <w:iCs/>
              </w:rPr>
              <w:t xml:space="preserve">The hospice and deceased person exclusions are not required. </w:t>
            </w:r>
          </w:p>
          <w:p w14:paraId="016DB06C" w14:textId="77777777" w:rsidR="004866DE" w:rsidRPr="005D4222" w:rsidRDefault="004866DE" w:rsidP="004866DE">
            <w:pPr>
              <w:pStyle w:val="ProcessBullet"/>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6815BF60" w14:textId="77777777" w:rsidR="004866DE" w:rsidRPr="005D4222" w:rsidRDefault="004866DE" w:rsidP="004866DE">
            <w:pPr>
              <w:pStyle w:val="ProcessBullet"/>
              <w:rPr>
                <w:b/>
              </w:rPr>
            </w:pPr>
            <w:r w:rsidRPr="005D4222">
              <w:rPr>
                <w:i/>
                <w:iCs/>
              </w:rPr>
              <w:t xml:space="preserve">Supplemental data. </w:t>
            </w:r>
            <w:r w:rsidRPr="005D4222">
              <w:t>Supplemental data may be used to identify initial population, denominator, exclusion and numerator events.</w:t>
            </w:r>
          </w:p>
          <w:p w14:paraId="255BC329" w14:textId="77777777" w:rsidR="004866DE" w:rsidRPr="005D4222" w:rsidRDefault="004866DE" w:rsidP="004866DE">
            <w:pPr>
              <w:pStyle w:val="Adjustments"/>
            </w:pPr>
            <w:r w:rsidRPr="005D4222">
              <w:t>Adjustments allowed with limits</w:t>
            </w:r>
          </w:p>
          <w:p w14:paraId="4C5AAF72" w14:textId="77777777" w:rsidR="004866DE" w:rsidRPr="005D4222" w:rsidRDefault="004866DE" w:rsidP="004866DE">
            <w:pPr>
              <w:pStyle w:val="ProcessBullet"/>
              <w:rPr>
                <w:b/>
              </w:rPr>
            </w:pPr>
            <w:r w:rsidRPr="005D4222">
              <w:rPr>
                <w:i/>
                <w:iCs/>
              </w:rPr>
              <w:t>Ages</w:t>
            </w:r>
            <w:r w:rsidRPr="005D4222">
              <w:t>. Age determination dates may be changed (e.g., select “age as of January 1”). The denominator age may be changed if the range is within the specified age range. The denominator age may not be expanded.</w:t>
            </w:r>
          </w:p>
          <w:p w14:paraId="4E09810E" w14:textId="77777777" w:rsidR="004866DE" w:rsidRPr="005D4222" w:rsidRDefault="004866DE" w:rsidP="004866DE">
            <w:pPr>
              <w:pStyle w:val="Adjustments"/>
            </w:pPr>
            <w:r w:rsidRPr="005D4222">
              <w:t>Adjustments not allowed</w:t>
            </w:r>
          </w:p>
          <w:p w14:paraId="5DA8CB5A" w14:textId="77777777" w:rsidR="004866DE" w:rsidRPr="005D4222" w:rsidRDefault="004866DE" w:rsidP="004866DE">
            <w:pPr>
              <w:pStyle w:val="ProcessBullet"/>
            </w:pPr>
            <w:r w:rsidRPr="005D4222">
              <w:rPr>
                <w:i/>
                <w:iCs/>
              </w:rPr>
              <w:t>Initial population:</w:t>
            </w:r>
            <w:r w:rsidRPr="005D4222">
              <w:rPr>
                <w:iCs/>
              </w:rPr>
              <w:t xml:space="preserve"> Event. </w:t>
            </w:r>
            <w:r w:rsidRPr="005D4222">
              <w:t xml:space="preserve">The medication lists, value sets and logic may not be changed. </w:t>
            </w:r>
          </w:p>
          <w:p w14:paraId="42586D24" w14:textId="154F2724" w:rsidR="004866DE" w:rsidRPr="005D4222" w:rsidRDefault="004866DE" w:rsidP="00CA0BE2">
            <w:pPr>
              <w:pStyle w:val="ProcessBullet"/>
              <w:spacing w:after="80"/>
              <w:rPr>
                <w:b/>
                <w:i/>
              </w:rPr>
            </w:pPr>
            <w:r w:rsidRPr="005D4222">
              <w:rPr>
                <w:i/>
                <w:iCs/>
              </w:rPr>
              <w:t>Numerator.</w:t>
            </w:r>
            <w:r w:rsidRPr="005D4222">
              <w:t xml:space="preserve"> Value sets and logic may not be changed.</w:t>
            </w:r>
          </w:p>
        </w:tc>
      </w:tr>
    </w:tbl>
    <w:p w14:paraId="2826AF3A" w14:textId="77777777" w:rsidR="002C7033" w:rsidRPr="005D4222" w:rsidRDefault="002C7033" w:rsidP="007A4AA3">
      <w:pPr>
        <w:pStyle w:val="ECDSBody"/>
        <w:sectPr w:rsidR="002C7033" w:rsidRPr="005D4222" w:rsidSect="0074514A">
          <w:headerReference w:type="default" r:id="rId91"/>
          <w:footerReference w:type="default" r:id="rId92"/>
          <w:type w:val="nextColumn"/>
          <w:pgSz w:w="12240" w:h="15840" w:code="1"/>
          <w:pgMar w:top="1080" w:right="1080" w:bottom="1080" w:left="1440" w:header="720" w:footer="720" w:gutter="0"/>
          <w:cols w:space="720"/>
          <w:docGrid w:linePitch="360"/>
        </w:sectPr>
      </w:pPr>
    </w:p>
    <w:p w14:paraId="6C18E76F" w14:textId="0F0073AE" w:rsidR="007A4AA3" w:rsidRPr="005D4222" w:rsidRDefault="00131A5C" w:rsidP="00131A5C">
      <w:pPr>
        <w:pStyle w:val="MeasureTitle"/>
      </w:pPr>
      <w:bookmarkStart w:id="278" w:name="_Toc201813394"/>
      <w:r w:rsidRPr="005D4222">
        <w:lastRenderedPageBreak/>
        <w:t>Pharmacotherapy Management of COPD Exacerbation</w:t>
      </w:r>
      <w:r w:rsidR="004C0737" w:rsidRPr="005D4222">
        <w:t xml:space="preserve"> (PCE)</w:t>
      </w:r>
      <w:bookmarkEnd w:id="278"/>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4876"/>
        <w:gridCol w:w="1508"/>
        <w:gridCol w:w="1173"/>
      </w:tblGrid>
      <w:tr w:rsidR="00A11672" w:rsidRPr="005D4222" w14:paraId="528E92D5" w14:textId="77777777">
        <w:tc>
          <w:tcPr>
            <w:tcW w:w="1110" w:type="pct"/>
            <w:shd w:val="clear" w:color="auto" w:fill="BFBFBF" w:themeFill="background1" w:themeFillShade="BF"/>
            <w:tcMar>
              <w:top w:w="0" w:type="dxa"/>
              <w:left w:w="86" w:type="dxa"/>
              <w:bottom w:w="43" w:type="dxa"/>
              <w:right w:w="86" w:type="dxa"/>
            </w:tcMar>
            <w:hideMark/>
          </w:tcPr>
          <w:p w14:paraId="718265AB" w14:textId="77777777" w:rsidR="00A11672" w:rsidRPr="005D4222" w:rsidRDefault="00A11672" w:rsidP="003A1BEE">
            <w:pPr>
              <w:pStyle w:val="ECDSMarginHead"/>
            </w:pPr>
            <w:r w:rsidRPr="005D4222">
              <w:t>Measure title</w:t>
            </w:r>
          </w:p>
        </w:tc>
        <w:tc>
          <w:tcPr>
            <w:tcW w:w="2510" w:type="pct"/>
            <w:tcMar>
              <w:top w:w="0" w:type="dxa"/>
              <w:left w:w="86" w:type="dxa"/>
              <w:bottom w:w="43" w:type="dxa"/>
              <w:right w:w="86" w:type="dxa"/>
            </w:tcMar>
          </w:tcPr>
          <w:p w14:paraId="328342B7" w14:textId="77777777" w:rsidR="00A11672" w:rsidRPr="005D4222" w:rsidRDefault="00A11672" w:rsidP="003A1BEE">
            <w:pPr>
              <w:pStyle w:val="ECDSBody"/>
            </w:pPr>
            <w:r w:rsidRPr="005D4222">
              <w:t>Pharmacotherapy Management of COPD Exacerbation</w:t>
            </w:r>
          </w:p>
        </w:tc>
        <w:tc>
          <w:tcPr>
            <w:tcW w:w="776" w:type="pct"/>
            <w:shd w:val="clear" w:color="auto" w:fill="BFBFBF" w:themeFill="background1" w:themeFillShade="BF"/>
            <w:tcMar>
              <w:top w:w="0" w:type="dxa"/>
              <w:left w:w="86" w:type="dxa"/>
              <w:bottom w:w="43" w:type="dxa"/>
              <w:right w:w="86" w:type="dxa"/>
            </w:tcMar>
          </w:tcPr>
          <w:p w14:paraId="70A3280A" w14:textId="77777777" w:rsidR="00A11672" w:rsidRPr="005D4222" w:rsidRDefault="00A11672" w:rsidP="00A11672">
            <w:pPr>
              <w:spacing w:before="120" w:after="80"/>
              <w:rPr>
                <w:b/>
                <w:sz w:val="22"/>
                <w:szCs w:val="21"/>
              </w:rPr>
            </w:pPr>
            <w:r w:rsidRPr="005D4222">
              <w:rPr>
                <w:b/>
                <w:sz w:val="22"/>
                <w:szCs w:val="21"/>
              </w:rPr>
              <w:t>Measure ID</w:t>
            </w:r>
          </w:p>
        </w:tc>
        <w:tc>
          <w:tcPr>
            <w:tcW w:w="604" w:type="pct"/>
            <w:tcMar>
              <w:top w:w="0" w:type="dxa"/>
              <w:left w:w="86" w:type="dxa"/>
              <w:bottom w:w="43" w:type="dxa"/>
              <w:right w:w="86" w:type="dxa"/>
            </w:tcMar>
          </w:tcPr>
          <w:p w14:paraId="3E44055D" w14:textId="77777777" w:rsidR="00A11672" w:rsidRPr="005D4222" w:rsidRDefault="00A11672" w:rsidP="003A1BEE">
            <w:pPr>
              <w:pStyle w:val="ECDSBody"/>
            </w:pPr>
            <w:r w:rsidRPr="005D4222">
              <w:t xml:space="preserve">PCE </w:t>
            </w:r>
          </w:p>
        </w:tc>
      </w:tr>
      <w:tr w:rsidR="00A11672" w:rsidRPr="005D4222" w14:paraId="54236CEF" w14:textId="77777777">
        <w:tc>
          <w:tcPr>
            <w:tcW w:w="1110" w:type="pct"/>
            <w:shd w:val="clear" w:color="auto" w:fill="BFBFBF" w:themeFill="background1" w:themeFillShade="BF"/>
            <w:tcMar>
              <w:top w:w="0" w:type="dxa"/>
              <w:left w:w="86" w:type="dxa"/>
              <w:bottom w:w="43" w:type="dxa"/>
              <w:right w:w="86" w:type="dxa"/>
            </w:tcMar>
            <w:hideMark/>
          </w:tcPr>
          <w:p w14:paraId="42A3CB3F" w14:textId="77777777" w:rsidR="00A11672" w:rsidRPr="005D4222" w:rsidRDefault="00A11672" w:rsidP="003A1BEE">
            <w:pPr>
              <w:pStyle w:val="ECDSMarginHead"/>
            </w:pPr>
            <w:r w:rsidRPr="005D4222">
              <w:t>Description</w:t>
            </w:r>
          </w:p>
        </w:tc>
        <w:tc>
          <w:tcPr>
            <w:tcW w:w="3890" w:type="pct"/>
            <w:gridSpan w:val="3"/>
            <w:tcMar>
              <w:top w:w="0" w:type="dxa"/>
              <w:left w:w="86" w:type="dxa"/>
              <w:bottom w:w="43" w:type="dxa"/>
              <w:right w:w="86" w:type="dxa"/>
            </w:tcMar>
          </w:tcPr>
          <w:p w14:paraId="20B90FDF" w14:textId="77777777" w:rsidR="00A11672" w:rsidRPr="005D4222" w:rsidRDefault="00A11672" w:rsidP="003A1BEE">
            <w:pPr>
              <w:pStyle w:val="ECDSBody"/>
            </w:pPr>
            <w:r w:rsidRPr="005D4222">
              <w:t>The percentage of COPD exacerbations for persons 40 years of age and older who had an acute inpatient discharge or ED visit on or between January 1–November 30 of the measurement period and were dispensed appropriate medications. Two rates are reported:</w:t>
            </w:r>
          </w:p>
          <w:p w14:paraId="76A2ABA2" w14:textId="77777777" w:rsidR="00A11672" w:rsidRPr="005D4222" w:rsidRDefault="00A11672" w:rsidP="00BA590D">
            <w:pPr>
              <w:pStyle w:val="ECDSBody"/>
              <w:numPr>
                <w:ilvl w:val="0"/>
                <w:numId w:val="35"/>
              </w:numPr>
              <w:ind w:left="648" w:hanging="288"/>
            </w:pPr>
            <w:r w:rsidRPr="005D4222">
              <w:t>Dispensed a systemic corticosteroid (or there was evidence of an active prescription) within 14 days of the event.</w:t>
            </w:r>
          </w:p>
          <w:p w14:paraId="599F6CF2" w14:textId="77777777" w:rsidR="00A11672" w:rsidRPr="005D4222" w:rsidRDefault="00A11672" w:rsidP="00BA590D">
            <w:pPr>
              <w:pStyle w:val="ECDSBody"/>
              <w:numPr>
                <w:ilvl w:val="0"/>
                <w:numId w:val="35"/>
              </w:numPr>
              <w:ind w:left="648" w:hanging="288"/>
            </w:pPr>
            <w:r w:rsidRPr="005D4222">
              <w:t>Dispensed a bronchodilator (or there was evidence of an active prescription) within 30 days of the event.</w:t>
            </w:r>
          </w:p>
        </w:tc>
      </w:tr>
      <w:tr w:rsidR="00A11672" w:rsidRPr="005D4222" w14:paraId="6B5FF85A" w14:textId="77777777">
        <w:tc>
          <w:tcPr>
            <w:tcW w:w="1110" w:type="pct"/>
            <w:shd w:val="clear" w:color="auto" w:fill="BFBFBF" w:themeFill="background1" w:themeFillShade="BF"/>
            <w:tcMar>
              <w:top w:w="0" w:type="dxa"/>
              <w:left w:w="86" w:type="dxa"/>
              <w:bottom w:w="43" w:type="dxa"/>
              <w:right w:w="86" w:type="dxa"/>
            </w:tcMar>
          </w:tcPr>
          <w:p w14:paraId="6E16F1AD" w14:textId="77777777" w:rsidR="00A11672" w:rsidRPr="005D4222" w:rsidRDefault="00A11672" w:rsidP="003A1BEE">
            <w:pPr>
              <w:pStyle w:val="ECDSMarginHead"/>
            </w:pPr>
            <w:r w:rsidRPr="005D4222">
              <w:t>Measurement period</w:t>
            </w:r>
          </w:p>
        </w:tc>
        <w:tc>
          <w:tcPr>
            <w:tcW w:w="3890" w:type="pct"/>
            <w:gridSpan w:val="3"/>
            <w:tcMar>
              <w:top w:w="0" w:type="dxa"/>
              <w:left w:w="86" w:type="dxa"/>
              <w:bottom w:w="43" w:type="dxa"/>
              <w:right w:w="86" w:type="dxa"/>
            </w:tcMar>
          </w:tcPr>
          <w:p w14:paraId="0142666C" w14:textId="77777777" w:rsidR="00A11672" w:rsidRPr="005D4222" w:rsidRDefault="00A11672" w:rsidP="003A1BEE">
            <w:pPr>
              <w:pStyle w:val="ECDSBody"/>
            </w:pPr>
            <w:r w:rsidRPr="005D4222">
              <w:t>January 1–December 31.</w:t>
            </w:r>
          </w:p>
        </w:tc>
      </w:tr>
      <w:tr w:rsidR="00A11672" w:rsidRPr="005D4222" w14:paraId="604E5D2E" w14:textId="77777777">
        <w:tc>
          <w:tcPr>
            <w:tcW w:w="1110" w:type="pct"/>
            <w:shd w:val="clear" w:color="auto" w:fill="BFBFBF" w:themeFill="background1" w:themeFillShade="BF"/>
            <w:tcMar>
              <w:top w:w="0" w:type="dxa"/>
              <w:left w:w="86" w:type="dxa"/>
              <w:bottom w:w="43" w:type="dxa"/>
              <w:right w:w="86" w:type="dxa"/>
            </w:tcMar>
            <w:hideMark/>
          </w:tcPr>
          <w:p w14:paraId="5BC77A99" w14:textId="77777777" w:rsidR="00A11672" w:rsidRPr="005D4222" w:rsidRDefault="00A11672" w:rsidP="003A1BEE">
            <w:pPr>
              <w:pStyle w:val="ECDSMarginHead"/>
              <w:rPr>
                <w:rFonts w:eastAsia="Arial"/>
              </w:rPr>
            </w:pPr>
            <w:r w:rsidRPr="005D4222">
              <w:rPr>
                <w:rFonts w:eastAsia="Arial"/>
              </w:rPr>
              <w:t>Copyright and disclaimer notice</w:t>
            </w:r>
          </w:p>
        </w:tc>
        <w:tc>
          <w:tcPr>
            <w:tcW w:w="3890" w:type="pct"/>
            <w:gridSpan w:val="3"/>
            <w:tcMar>
              <w:top w:w="0" w:type="dxa"/>
              <w:left w:w="86" w:type="dxa"/>
              <w:bottom w:w="43" w:type="dxa"/>
              <w:right w:w="86" w:type="dxa"/>
            </w:tcMar>
          </w:tcPr>
          <w:p w14:paraId="0EB7262A" w14:textId="77777777" w:rsidR="00A11672" w:rsidRPr="005D4222" w:rsidRDefault="00A11672" w:rsidP="003A1BEE">
            <w:pPr>
              <w:pStyle w:val="ECDSBody"/>
              <w:rPr>
                <w:szCs w:val="21"/>
              </w:rPr>
            </w:pPr>
            <w:r w:rsidRPr="005D4222">
              <w:rPr>
                <w:szCs w:val="21"/>
              </w:rPr>
              <w:t>Refer to the complete copyright and disclaimer information at the front of this publication.</w:t>
            </w:r>
          </w:p>
          <w:p w14:paraId="233FBFEC" w14:textId="77777777" w:rsidR="00A11672" w:rsidRPr="005D4222" w:rsidRDefault="00A11672" w:rsidP="003A1BEE">
            <w:pPr>
              <w:pStyle w:val="ECDSBody"/>
              <w:rPr>
                <w:szCs w:val="21"/>
              </w:rPr>
            </w:pPr>
            <w:r w:rsidRPr="005D4222">
              <w:rPr>
                <w:szCs w:val="21"/>
              </w:rPr>
              <w:t xml:space="preserve">NCQA website: </w:t>
            </w:r>
            <w:r w:rsidRPr="005D4222">
              <w:rPr>
                <w:szCs w:val="21"/>
                <w:u w:val="single"/>
              </w:rPr>
              <w:t>www.ncqa.org</w:t>
            </w:r>
            <w:r w:rsidRPr="005D4222">
              <w:rPr>
                <w:szCs w:val="21"/>
              </w:rPr>
              <w:t>.</w:t>
            </w:r>
          </w:p>
          <w:p w14:paraId="5FB29015" w14:textId="77777777" w:rsidR="00A11672" w:rsidRPr="005D4222" w:rsidRDefault="00A11672" w:rsidP="003A1BEE">
            <w:pPr>
              <w:pStyle w:val="ECDSBody"/>
              <w:rPr>
                <w:szCs w:val="21"/>
              </w:rPr>
            </w:pPr>
            <w:r w:rsidRPr="005D4222">
              <w:rPr>
                <w:szCs w:val="21"/>
              </w:rPr>
              <w:t>Submit policy clarification support questions via My NCQA (</w:t>
            </w:r>
            <w:r w:rsidRPr="005D4222">
              <w:rPr>
                <w:szCs w:val="21"/>
                <w:u w:val="single"/>
              </w:rPr>
              <w:t>https://my.ncqa.org</w:t>
            </w:r>
            <w:r w:rsidRPr="005D4222">
              <w:rPr>
                <w:szCs w:val="21"/>
              </w:rPr>
              <w:t>).</w:t>
            </w:r>
          </w:p>
        </w:tc>
      </w:tr>
      <w:tr w:rsidR="00A11672" w:rsidRPr="005D4222" w14:paraId="613FDE0C" w14:textId="77777777">
        <w:trPr>
          <w:trHeight w:val="655"/>
        </w:trPr>
        <w:tc>
          <w:tcPr>
            <w:tcW w:w="1110" w:type="pct"/>
            <w:shd w:val="clear" w:color="auto" w:fill="BFBFBF" w:themeFill="background1" w:themeFillShade="BF"/>
            <w:tcMar>
              <w:top w:w="0" w:type="dxa"/>
              <w:left w:w="86" w:type="dxa"/>
              <w:bottom w:w="43" w:type="dxa"/>
              <w:right w:w="86" w:type="dxa"/>
            </w:tcMar>
            <w:hideMark/>
          </w:tcPr>
          <w:p w14:paraId="3959889A" w14:textId="77777777" w:rsidR="00A11672" w:rsidRPr="005D4222" w:rsidRDefault="00A11672" w:rsidP="003A1BEE">
            <w:pPr>
              <w:pStyle w:val="ECDSMarginHead"/>
            </w:pPr>
            <w:r w:rsidRPr="005D4222">
              <w:t>Clinical recommendation statement/ rationale</w:t>
            </w:r>
          </w:p>
        </w:tc>
        <w:tc>
          <w:tcPr>
            <w:tcW w:w="3890" w:type="pct"/>
            <w:gridSpan w:val="3"/>
            <w:tcMar>
              <w:top w:w="0" w:type="dxa"/>
              <w:left w:w="86" w:type="dxa"/>
              <w:bottom w:w="43" w:type="dxa"/>
              <w:right w:w="86" w:type="dxa"/>
            </w:tcMar>
          </w:tcPr>
          <w:p w14:paraId="3ADA3C16" w14:textId="77777777" w:rsidR="00A11672" w:rsidRPr="005D4222" w:rsidRDefault="00A11672" w:rsidP="003A1BEE">
            <w:pPr>
              <w:pStyle w:val="ECDSBody"/>
            </w:pPr>
            <w:r w:rsidRPr="005D4222">
              <w:t>Patients with chronic obstructive pulmonary disorder (COPD) who experience exacerbations are at higher risk for repeat exacerbations, more rapid decline in lung function, and reduced exercise capacity, and these effects are more pronounced for patients with severe COPD. Proper and timely therapy following an exacerbation, including pharmacotherapy, can slow disease progression and reduce the risk of future exacerbations. Guidelines recommend the use of bronchodilators and systemic steroids as treatment for COPD exacerbations.</w:t>
            </w:r>
          </w:p>
        </w:tc>
      </w:tr>
      <w:tr w:rsidR="00A11672" w:rsidRPr="005D4222" w14:paraId="257843E6" w14:textId="77777777">
        <w:tc>
          <w:tcPr>
            <w:tcW w:w="1110" w:type="pct"/>
            <w:shd w:val="clear" w:color="auto" w:fill="BFBFBF" w:themeFill="background1" w:themeFillShade="BF"/>
            <w:tcMar>
              <w:top w:w="0" w:type="dxa"/>
              <w:left w:w="86" w:type="dxa"/>
              <w:bottom w:w="43" w:type="dxa"/>
              <w:right w:w="86" w:type="dxa"/>
            </w:tcMar>
          </w:tcPr>
          <w:p w14:paraId="6A366C31" w14:textId="77777777" w:rsidR="00A11672" w:rsidRPr="005D4222" w:rsidRDefault="00A11672" w:rsidP="003A1BEE">
            <w:pPr>
              <w:pStyle w:val="ECDSMarginHead"/>
            </w:pPr>
            <w:r w:rsidRPr="005D4222">
              <w:t>Citations</w:t>
            </w:r>
          </w:p>
        </w:tc>
        <w:tc>
          <w:tcPr>
            <w:tcW w:w="3890" w:type="pct"/>
            <w:gridSpan w:val="3"/>
            <w:tcMar>
              <w:top w:w="0" w:type="dxa"/>
              <w:left w:w="86" w:type="dxa"/>
              <w:bottom w:w="43" w:type="dxa"/>
              <w:right w:w="86" w:type="dxa"/>
            </w:tcMar>
          </w:tcPr>
          <w:p w14:paraId="44E17AFA" w14:textId="77777777" w:rsidR="00A11672" w:rsidRPr="005D4222" w:rsidRDefault="00A11672" w:rsidP="003A1BEE">
            <w:pPr>
              <w:pStyle w:val="ECDSBody"/>
            </w:pPr>
            <w:r w:rsidRPr="005D4222">
              <w:t xml:space="preserve">Donaldson, G.C., T.A.R. Seemungal, A. Bhowmik, and J.A. Wedzicha. 2002. “Relationship Between Exacerbation Frequency and Lung Function Decline in Chronic Obstructive Pulmonary Disease.” </w:t>
            </w:r>
            <w:r w:rsidRPr="005D4222">
              <w:rPr>
                <w:i/>
              </w:rPr>
              <w:t>Thorax</w:t>
            </w:r>
            <w:r w:rsidRPr="005D4222">
              <w:t xml:space="preserve"> 57:847–52.</w:t>
            </w:r>
          </w:p>
          <w:p w14:paraId="1937A73C" w14:textId="77777777" w:rsidR="00A11672" w:rsidRPr="005D4222" w:rsidRDefault="00A11672" w:rsidP="003A1BEE">
            <w:pPr>
              <w:pStyle w:val="ECDSBody"/>
            </w:pPr>
            <w:r w:rsidRPr="005D4222">
              <w:t xml:space="preserve">Spencer, S., P.M.A. Calverley, P.S. Burge, and P.W. Jones. 2004. “Impact of Preventing Exacerbations on Deterioration of Health Status in COPD.” </w:t>
            </w:r>
            <w:r w:rsidRPr="005D4222">
              <w:rPr>
                <w:i/>
              </w:rPr>
              <w:t>European Respiratory Journal</w:t>
            </w:r>
            <w:r w:rsidRPr="005D4222">
              <w:t xml:space="preserve"> 23:698–702.</w:t>
            </w:r>
          </w:p>
          <w:p w14:paraId="0717572E" w14:textId="77777777" w:rsidR="00A11672" w:rsidRPr="005D4222" w:rsidRDefault="00A11672" w:rsidP="003A1BEE">
            <w:pPr>
              <w:pStyle w:val="ECDSBody"/>
            </w:pPr>
            <w:r w:rsidRPr="005D4222">
              <w:t>Global Initiative for Chronic Obstructive Lung Disease (GOLD). 2020. “Global Strategy for the Diagnosis, Management, and Prevention of Chronic Obstructive Pulmonary Disease.” https://goldcopd.org/wp-content/uploads/2019/11/GOLD-2020-REPORT-ver1.0wms.pdf</w:t>
            </w:r>
          </w:p>
        </w:tc>
      </w:tr>
      <w:tr w:rsidR="00A11672" w:rsidRPr="005D4222" w14:paraId="2F256B2E" w14:textId="77777777">
        <w:tc>
          <w:tcPr>
            <w:tcW w:w="5000" w:type="pct"/>
            <w:gridSpan w:val="4"/>
            <w:tcBorders>
              <w:bottom w:val="single" w:sz="4" w:space="0" w:color="auto"/>
            </w:tcBorders>
            <w:shd w:val="clear" w:color="auto" w:fill="BFBFBF" w:themeFill="background1" w:themeFillShade="BF"/>
            <w:tcMar>
              <w:top w:w="0" w:type="dxa"/>
              <w:left w:w="86" w:type="dxa"/>
              <w:bottom w:w="43" w:type="dxa"/>
              <w:right w:w="86" w:type="dxa"/>
            </w:tcMar>
          </w:tcPr>
          <w:p w14:paraId="11D18D46" w14:textId="77777777" w:rsidR="00A11672" w:rsidRPr="005D4222" w:rsidRDefault="00A11672" w:rsidP="003A1BEE">
            <w:pPr>
              <w:pStyle w:val="ECDSMarginHead"/>
            </w:pPr>
            <w:r w:rsidRPr="005D4222">
              <w:t>Characteristics</w:t>
            </w:r>
          </w:p>
        </w:tc>
      </w:tr>
      <w:tr w:rsidR="00A11672" w:rsidRPr="005D4222" w14:paraId="5EEEE094" w14:textId="77777777" w:rsidTr="001425D8">
        <w:tc>
          <w:tcPr>
            <w:tcW w:w="1110" w:type="pct"/>
            <w:tcBorders>
              <w:top w:val="single" w:sz="4" w:space="0" w:color="auto"/>
              <w:left w:val="single" w:sz="4" w:space="0" w:color="auto"/>
              <w:bottom w:val="nil"/>
              <w:right w:val="single" w:sz="4" w:space="0" w:color="auto"/>
            </w:tcBorders>
            <w:tcMar>
              <w:top w:w="0" w:type="dxa"/>
              <w:left w:w="86" w:type="dxa"/>
              <w:bottom w:w="43" w:type="dxa"/>
              <w:right w:w="86" w:type="dxa"/>
            </w:tcMar>
          </w:tcPr>
          <w:p w14:paraId="498D98C1" w14:textId="77777777" w:rsidR="00A11672" w:rsidRPr="005D4222" w:rsidRDefault="00A11672" w:rsidP="00525C90">
            <w:pPr>
              <w:pStyle w:val="ECDSSubhead"/>
            </w:pPr>
            <w:r w:rsidRPr="005D4222">
              <w:t>Scoring</w:t>
            </w:r>
          </w:p>
        </w:tc>
        <w:tc>
          <w:tcPr>
            <w:tcW w:w="3890" w:type="pct"/>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582A042C" w14:textId="77777777" w:rsidR="00A11672" w:rsidRPr="005D4222" w:rsidRDefault="00A11672" w:rsidP="001425D8">
            <w:pPr>
              <w:pStyle w:val="ECDSBody"/>
              <w:spacing w:after="0"/>
            </w:pPr>
            <w:r w:rsidRPr="005D4222">
              <w:t>Proportion.</w:t>
            </w:r>
          </w:p>
        </w:tc>
      </w:tr>
      <w:tr w:rsidR="00A11672" w:rsidRPr="005D4222" w14:paraId="3E6FA287" w14:textId="77777777" w:rsidTr="001425D8">
        <w:tc>
          <w:tcPr>
            <w:tcW w:w="1110" w:type="pct"/>
            <w:tcBorders>
              <w:top w:val="nil"/>
              <w:left w:val="single" w:sz="4" w:space="0" w:color="auto"/>
              <w:bottom w:val="single" w:sz="4" w:space="0" w:color="auto"/>
              <w:right w:val="single" w:sz="4" w:space="0" w:color="auto"/>
            </w:tcBorders>
            <w:tcMar>
              <w:top w:w="0" w:type="dxa"/>
              <w:left w:w="86" w:type="dxa"/>
              <w:bottom w:w="43" w:type="dxa"/>
              <w:right w:w="86" w:type="dxa"/>
            </w:tcMar>
          </w:tcPr>
          <w:p w14:paraId="0D2A6A61" w14:textId="77777777" w:rsidR="00A11672" w:rsidRPr="005D4222" w:rsidRDefault="00A11672" w:rsidP="00525C90">
            <w:pPr>
              <w:pStyle w:val="ECDSSubhead"/>
            </w:pPr>
            <w:r w:rsidRPr="005D4222">
              <w:t>Type</w:t>
            </w:r>
          </w:p>
        </w:tc>
        <w:tc>
          <w:tcPr>
            <w:tcW w:w="3890" w:type="pct"/>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2F3FD232" w14:textId="77777777" w:rsidR="00A11672" w:rsidRPr="005D4222" w:rsidRDefault="00A11672" w:rsidP="001425D8">
            <w:pPr>
              <w:pStyle w:val="ECDSBody"/>
            </w:pPr>
            <w:r w:rsidRPr="005D4222">
              <w:t>Process.</w:t>
            </w:r>
          </w:p>
        </w:tc>
      </w:tr>
      <w:tr w:rsidR="001425D8" w:rsidRPr="005D4222" w14:paraId="0AABDC1A" w14:textId="77777777" w:rsidTr="00D4665C">
        <w:tc>
          <w:tcPr>
            <w:tcW w:w="1110" w:type="pct"/>
            <w:tcBorders>
              <w:top w:val="single" w:sz="4" w:space="0" w:color="auto"/>
              <w:left w:val="single" w:sz="4" w:space="0" w:color="auto"/>
              <w:bottom w:val="nil"/>
              <w:right w:val="single" w:sz="4" w:space="0" w:color="auto"/>
            </w:tcBorders>
            <w:tcMar>
              <w:top w:w="0" w:type="dxa"/>
              <w:left w:w="86" w:type="dxa"/>
              <w:bottom w:w="43" w:type="dxa"/>
              <w:right w:w="86" w:type="dxa"/>
            </w:tcMar>
          </w:tcPr>
          <w:p w14:paraId="5BBAF121" w14:textId="35751B0F" w:rsidR="001425D8" w:rsidRPr="005D4222" w:rsidRDefault="00B51CDC" w:rsidP="00525C90">
            <w:pPr>
              <w:pStyle w:val="ECDSSubhead"/>
            </w:pPr>
            <w:r w:rsidRPr="005D4222">
              <w:lastRenderedPageBreak/>
              <w:t>Product lines</w:t>
            </w:r>
          </w:p>
        </w:tc>
        <w:tc>
          <w:tcPr>
            <w:tcW w:w="3890" w:type="pct"/>
            <w:gridSpan w:val="3"/>
            <w:tcBorders>
              <w:top w:val="single" w:sz="4" w:space="0" w:color="auto"/>
              <w:left w:val="single" w:sz="4" w:space="0" w:color="auto"/>
              <w:bottom w:val="nil"/>
              <w:right w:val="single" w:sz="4" w:space="0" w:color="auto"/>
            </w:tcBorders>
            <w:tcMar>
              <w:top w:w="0" w:type="dxa"/>
              <w:left w:w="86" w:type="dxa"/>
              <w:bottom w:w="43" w:type="dxa"/>
              <w:right w:w="86" w:type="dxa"/>
            </w:tcMar>
          </w:tcPr>
          <w:p w14:paraId="2DC161E5" w14:textId="77777777" w:rsidR="001425D8" w:rsidRPr="005D4222" w:rsidRDefault="001425D8" w:rsidP="001425D8">
            <w:pPr>
              <w:pStyle w:val="ProcessBullet"/>
            </w:pPr>
            <w:r w:rsidRPr="005D4222">
              <w:t>Commercial.</w:t>
            </w:r>
          </w:p>
          <w:p w14:paraId="49EF8E63" w14:textId="77777777" w:rsidR="001425D8" w:rsidRPr="005D4222" w:rsidRDefault="001425D8" w:rsidP="001425D8">
            <w:pPr>
              <w:pStyle w:val="ProcessBullet"/>
            </w:pPr>
            <w:r w:rsidRPr="005D4222">
              <w:t>Medicaid.</w:t>
            </w:r>
          </w:p>
          <w:p w14:paraId="6ED55F09" w14:textId="06364762" w:rsidR="001425D8" w:rsidRPr="005D4222" w:rsidRDefault="001425D8" w:rsidP="001425D8">
            <w:pPr>
              <w:pStyle w:val="ProcessBullet"/>
            </w:pPr>
            <w:r w:rsidRPr="005D4222">
              <w:t>Medicare.</w:t>
            </w:r>
          </w:p>
        </w:tc>
      </w:tr>
      <w:tr w:rsidR="00A11672" w:rsidRPr="005D4222" w14:paraId="009E0541" w14:textId="77777777">
        <w:tc>
          <w:tcPr>
            <w:tcW w:w="1110" w:type="pct"/>
            <w:tcBorders>
              <w:top w:val="nil"/>
              <w:left w:val="single" w:sz="4" w:space="0" w:color="auto"/>
              <w:bottom w:val="nil"/>
              <w:right w:val="single" w:sz="4" w:space="0" w:color="auto"/>
            </w:tcBorders>
            <w:tcMar>
              <w:top w:w="0" w:type="dxa"/>
              <w:left w:w="86" w:type="dxa"/>
              <w:bottom w:w="43" w:type="dxa"/>
              <w:right w:w="86" w:type="dxa"/>
            </w:tcMar>
          </w:tcPr>
          <w:p w14:paraId="057227CA" w14:textId="57F074E3" w:rsidR="00A11672" w:rsidRPr="005D4222" w:rsidRDefault="00B51CDC" w:rsidP="00525C90">
            <w:pPr>
              <w:pStyle w:val="ECDSSubhead"/>
            </w:pPr>
            <w:r w:rsidRPr="005D4222">
              <w:t>Stratifications</w:t>
            </w:r>
            <w:r w:rsidR="00A11672" w:rsidRPr="005D4222">
              <w:t xml:space="preserve"> </w:t>
            </w:r>
          </w:p>
        </w:tc>
        <w:tc>
          <w:tcPr>
            <w:tcW w:w="3890" w:type="pct"/>
            <w:gridSpan w:val="3"/>
            <w:tcBorders>
              <w:top w:val="nil"/>
              <w:left w:val="single" w:sz="4" w:space="0" w:color="auto"/>
              <w:bottom w:val="nil"/>
              <w:right w:val="single" w:sz="4" w:space="0" w:color="auto"/>
            </w:tcBorders>
            <w:tcMar>
              <w:top w:w="0" w:type="dxa"/>
              <w:left w:w="86" w:type="dxa"/>
              <w:bottom w:w="43" w:type="dxa"/>
              <w:right w:w="86" w:type="dxa"/>
            </w:tcMar>
            <w:hideMark/>
          </w:tcPr>
          <w:p w14:paraId="076D212A" w14:textId="77777777" w:rsidR="00A11672" w:rsidRPr="005D4222" w:rsidRDefault="00A11672" w:rsidP="001425D8">
            <w:pPr>
              <w:pStyle w:val="ECDSBody"/>
              <w:spacing w:after="0"/>
            </w:pPr>
            <w:r w:rsidRPr="005D4222">
              <w:t>None.</w:t>
            </w:r>
          </w:p>
        </w:tc>
      </w:tr>
      <w:tr w:rsidR="00A11672" w:rsidRPr="005D4222" w14:paraId="34BDDB7D" w14:textId="77777777">
        <w:tc>
          <w:tcPr>
            <w:tcW w:w="1110" w:type="pct"/>
            <w:tcBorders>
              <w:top w:val="nil"/>
              <w:left w:val="single" w:sz="4" w:space="0" w:color="auto"/>
              <w:bottom w:val="nil"/>
              <w:right w:val="single" w:sz="4" w:space="0" w:color="auto"/>
            </w:tcBorders>
            <w:tcMar>
              <w:top w:w="0" w:type="dxa"/>
              <w:left w:w="86" w:type="dxa"/>
              <w:bottom w:w="43" w:type="dxa"/>
              <w:right w:w="86" w:type="dxa"/>
            </w:tcMar>
          </w:tcPr>
          <w:p w14:paraId="493C3C8B" w14:textId="77777777" w:rsidR="00A11672" w:rsidRPr="005D4222" w:rsidRDefault="00A11672" w:rsidP="00525C90">
            <w:pPr>
              <w:pStyle w:val="ECDSSubhead"/>
            </w:pPr>
            <w:r w:rsidRPr="005D4222">
              <w:t>Risk adjustment</w:t>
            </w:r>
          </w:p>
        </w:tc>
        <w:tc>
          <w:tcPr>
            <w:tcW w:w="3890" w:type="pct"/>
            <w:gridSpan w:val="3"/>
            <w:tcBorders>
              <w:top w:val="nil"/>
              <w:left w:val="single" w:sz="4" w:space="0" w:color="auto"/>
              <w:bottom w:val="nil"/>
              <w:right w:val="single" w:sz="4" w:space="0" w:color="auto"/>
            </w:tcBorders>
            <w:tcMar>
              <w:top w:w="0" w:type="dxa"/>
              <w:left w:w="86" w:type="dxa"/>
              <w:bottom w:w="43" w:type="dxa"/>
              <w:right w:w="86" w:type="dxa"/>
            </w:tcMar>
            <w:hideMark/>
          </w:tcPr>
          <w:p w14:paraId="26EB879A" w14:textId="77777777" w:rsidR="00A11672" w:rsidRPr="005D4222" w:rsidRDefault="00A11672" w:rsidP="001425D8">
            <w:pPr>
              <w:pStyle w:val="ECDSBody"/>
              <w:spacing w:after="0"/>
              <w:rPr>
                <w:szCs w:val="21"/>
              </w:rPr>
            </w:pPr>
            <w:r w:rsidRPr="005D4222">
              <w:rPr>
                <w:szCs w:val="21"/>
              </w:rPr>
              <w:t>None.</w:t>
            </w:r>
          </w:p>
        </w:tc>
      </w:tr>
      <w:tr w:rsidR="00A11672" w:rsidRPr="005D4222" w14:paraId="385CA065" w14:textId="77777777">
        <w:tc>
          <w:tcPr>
            <w:tcW w:w="1110" w:type="pct"/>
            <w:tcBorders>
              <w:top w:val="nil"/>
              <w:left w:val="single" w:sz="4" w:space="0" w:color="auto"/>
              <w:bottom w:val="nil"/>
              <w:right w:val="single" w:sz="4" w:space="0" w:color="auto"/>
            </w:tcBorders>
            <w:tcMar>
              <w:top w:w="0" w:type="dxa"/>
              <w:left w:w="86" w:type="dxa"/>
              <w:bottom w:w="43" w:type="dxa"/>
              <w:right w:w="86" w:type="dxa"/>
            </w:tcMar>
          </w:tcPr>
          <w:p w14:paraId="729A1B41" w14:textId="77777777" w:rsidR="00A11672" w:rsidRPr="005D4222" w:rsidRDefault="00A11672" w:rsidP="00525C90">
            <w:pPr>
              <w:pStyle w:val="ECDSSubhead"/>
            </w:pPr>
            <w:r w:rsidRPr="005D4222">
              <w:t>Improvement notation</w:t>
            </w:r>
          </w:p>
        </w:tc>
        <w:tc>
          <w:tcPr>
            <w:tcW w:w="3890" w:type="pct"/>
            <w:gridSpan w:val="3"/>
            <w:tcBorders>
              <w:top w:val="nil"/>
              <w:left w:val="single" w:sz="4" w:space="0" w:color="auto"/>
              <w:bottom w:val="nil"/>
              <w:right w:val="single" w:sz="4" w:space="0" w:color="auto"/>
            </w:tcBorders>
            <w:tcMar>
              <w:top w:w="0" w:type="dxa"/>
              <w:left w:w="86" w:type="dxa"/>
              <w:bottom w:w="43" w:type="dxa"/>
              <w:right w:w="86" w:type="dxa"/>
            </w:tcMar>
            <w:hideMark/>
          </w:tcPr>
          <w:p w14:paraId="1D148C72" w14:textId="77777777" w:rsidR="00A11672" w:rsidRPr="005D4222" w:rsidRDefault="00A11672" w:rsidP="001425D8">
            <w:pPr>
              <w:pStyle w:val="ECDSBody"/>
              <w:spacing w:after="0"/>
            </w:pPr>
            <w:r w:rsidRPr="005D4222">
              <w:t>Increased score indicates improvement.</w:t>
            </w:r>
          </w:p>
        </w:tc>
      </w:tr>
      <w:tr w:rsidR="00A11672" w:rsidRPr="005D4222" w14:paraId="746F593E" w14:textId="77777777">
        <w:trPr>
          <w:trHeight w:val="633"/>
        </w:trPr>
        <w:tc>
          <w:tcPr>
            <w:tcW w:w="1110" w:type="pct"/>
            <w:tcBorders>
              <w:top w:val="nil"/>
              <w:left w:val="single" w:sz="4" w:space="0" w:color="auto"/>
              <w:bottom w:val="single" w:sz="4" w:space="0" w:color="auto"/>
              <w:right w:val="single" w:sz="4" w:space="0" w:color="auto"/>
            </w:tcBorders>
            <w:tcMar>
              <w:top w:w="0" w:type="dxa"/>
              <w:left w:w="86" w:type="dxa"/>
              <w:bottom w:w="43" w:type="dxa"/>
              <w:right w:w="86" w:type="dxa"/>
            </w:tcMar>
          </w:tcPr>
          <w:p w14:paraId="54821842" w14:textId="77777777" w:rsidR="00A11672" w:rsidRPr="005D4222" w:rsidRDefault="00A11672" w:rsidP="00525C90">
            <w:pPr>
              <w:pStyle w:val="ECDSSubhead"/>
            </w:pPr>
            <w:r w:rsidRPr="005D4222">
              <w:t>Guidance</w:t>
            </w:r>
          </w:p>
        </w:tc>
        <w:tc>
          <w:tcPr>
            <w:tcW w:w="3890" w:type="pct"/>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1DE98674" w14:textId="6F99D1FE" w:rsidR="00A11672" w:rsidRPr="005D4222" w:rsidRDefault="00A11672" w:rsidP="003A1BEE">
            <w:pPr>
              <w:pStyle w:val="ECDSBody"/>
              <w:rPr>
                <w:color w:val="000000"/>
                <w:szCs w:val="21"/>
                <w:shd w:val="clear" w:color="auto" w:fill="FFFFFF"/>
              </w:rPr>
            </w:pPr>
            <w:r w:rsidRPr="005D4222">
              <w:rPr>
                <w:b/>
                <w:color w:val="000000"/>
                <w:szCs w:val="21"/>
                <w:shd w:val="clear" w:color="auto" w:fill="FFFFFF"/>
              </w:rPr>
              <w:t>Data collection methodology:</w:t>
            </w:r>
            <w:r w:rsidRPr="005D4222">
              <w:rPr>
                <w:color w:val="000000"/>
                <w:szCs w:val="21"/>
                <w:shd w:val="clear" w:color="auto" w:fill="FFFFFF"/>
              </w:rPr>
              <w:t xml:space="preserve"> Administrative. Refer to </w:t>
            </w:r>
            <w:hyperlink w:anchor="General_Guideline_Data_Collection_Method" w:history="1">
              <w:r w:rsidRPr="005D4222">
                <w:rPr>
                  <w:rStyle w:val="Hyperlink"/>
                  <w:i/>
                  <w:shd w:val="clear" w:color="auto" w:fill="FFFFFF"/>
                </w:rPr>
                <w:t>General Guideline: Data Collection Methods</w:t>
              </w:r>
            </w:hyperlink>
            <w:r w:rsidRPr="005D4222">
              <w:rPr>
                <w:color w:val="000000"/>
                <w:szCs w:val="21"/>
                <w:shd w:val="clear" w:color="auto" w:fill="FFFFFF"/>
              </w:rPr>
              <w:t xml:space="preserve"> for additional information.</w:t>
            </w:r>
          </w:p>
          <w:p w14:paraId="22D7C7E4" w14:textId="77777777" w:rsidR="00A11672" w:rsidRPr="005D4222" w:rsidRDefault="00A11672" w:rsidP="003A1BEE">
            <w:pPr>
              <w:pStyle w:val="ECDSBody"/>
            </w:pPr>
            <w:r w:rsidRPr="005D4222">
              <w:rPr>
                <w:b/>
              </w:rPr>
              <w:t xml:space="preserve">Date specificity: </w:t>
            </w:r>
            <w:r w:rsidRPr="005D4222">
              <w:t>Dates must be specific enough to determine the event occurred in the period being measured.</w:t>
            </w:r>
          </w:p>
          <w:p w14:paraId="4B1C2EB3" w14:textId="77777777" w:rsidR="00A11672" w:rsidRPr="005D4222" w:rsidRDefault="00A11672" w:rsidP="003A1BEE">
            <w:pPr>
              <w:pStyle w:val="ECDSBody"/>
            </w:pPr>
            <w:r w:rsidRPr="005D4222">
              <w:rPr>
                <w:b/>
              </w:rPr>
              <w:t xml:space="preserve">Which services count? </w:t>
            </w:r>
            <w:r w:rsidRPr="005D4222">
              <w:t>When using claims, use all paid, suspended, pending and denied claims.</w:t>
            </w:r>
          </w:p>
          <w:p w14:paraId="13385DB3" w14:textId="77777777" w:rsidR="00A11672" w:rsidRPr="005D4222" w:rsidRDefault="00A11672" w:rsidP="003A1BEE">
            <w:pPr>
              <w:pStyle w:val="ECDSBody"/>
            </w:pPr>
            <w:r w:rsidRPr="005D4222">
              <w:rPr>
                <w:b/>
              </w:rPr>
              <w:t xml:space="preserve">Other guidance: </w:t>
            </w:r>
            <w:r w:rsidRPr="005D4222">
              <w:t>The measure is based on episodes; therefore,</w:t>
            </w:r>
            <w:r w:rsidRPr="005D4222" w:rsidDel="00656072">
              <w:t xml:space="preserve"> i</w:t>
            </w:r>
            <w:r w:rsidRPr="005D4222">
              <w:t>t is possible for the denominator to include multiple events for the same person.</w:t>
            </w:r>
          </w:p>
        </w:tc>
      </w:tr>
      <w:tr w:rsidR="00A11672" w:rsidRPr="005D4222" w14:paraId="44ECFBF2" w14:textId="77777777">
        <w:tc>
          <w:tcPr>
            <w:tcW w:w="5000" w:type="pct"/>
            <w:gridSpan w:val="4"/>
            <w:tcBorders>
              <w:top w:val="single" w:sz="4" w:space="0" w:color="auto"/>
              <w:bottom w:val="single" w:sz="4" w:space="0" w:color="auto"/>
            </w:tcBorders>
            <w:shd w:val="clear" w:color="auto" w:fill="BFBFBF" w:themeFill="background1" w:themeFillShade="BF"/>
            <w:tcMar>
              <w:top w:w="0" w:type="dxa"/>
              <w:left w:w="86" w:type="dxa"/>
              <w:bottom w:w="43" w:type="dxa"/>
              <w:right w:w="86" w:type="dxa"/>
            </w:tcMar>
          </w:tcPr>
          <w:p w14:paraId="6EBF88B8" w14:textId="77777777" w:rsidR="00A11672" w:rsidRPr="005D4222" w:rsidRDefault="00A11672" w:rsidP="003A1BEE">
            <w:pPr>
              <w:pStyle w:val="ECDSMarginHead"/>
            </w:pPr>
            <w:r w:rsidRPr="005D4222">
              <w:t xml:space="preserve">Definitions </w:t>
            </w:r>
          </w:p>
        </w:tc>
      </w:tr>
      <w:tr w:rsidR="00A11672" w:rsidRPr="005D4222" w14:paraId="4EB1295C" w14:textId="77777777">
        <w:trPr>
          <w:trHeight w:val="320"/>
        </w:trPr>
        <w:tc>
          <w:tcPr>
            <w:tcW w:w="1110" w:type="pct"/>
            <w:tcBorders>
              <w:top w:val="nil"/>
              <w:bottom w:val="nil"/>
            </w:tcBorders>
            <w:tcMar>
              <w:top w:w="0" w:type="dxa"/>
              <w:left w:w="86" w:type="dxa"/>
              <w:bottom w:w="43" w:type="dxa"/>
              <w:right w:w="86" w:type="dxa"/>
            </w:tcMar>
          </w:tcPr>
          <w:p w14:paraId="528A4B8E" w14:textId="77777777" w:rsidR="00A11672" w:rsidRPr="005D4222" w:rsidRDefault="00A11672" w:rsidP="00A11672">
            <w:pPr>
              <w:spacing w:before="120" w:after="80"/>
              <w:rPr>
                <w:b/>
                <w:sz w:val="22"/>
                <w:szCs w:val="21"/>
              </w:rPr>
            </w:pPr>
            <w:r w:rsidRPr="005D4222">
              <w:rPr>
                <w:b/>
                <w:sz w:val="22"/>
                <w:szCs w:val="21"/>
              </w:rPr>
              <w:t>Active prescription</w:t>
            </w:r>
          </w:p>
        </w:tc>
        <w:tc>
          <w:tcPr>
            <w:tcW w:w="3890" w:type="pct"/>
            <w:gridSpan w:val="3"/>
            <w:tcBorders>
              <w:top w:val="nil"/>
              <w:left w:val="single" w:sz="4" w:space="0" w:color="auto"/>
              <w:bottom w:val="nil"/>
              <w:right w:val="single" w:sz="4" w:space="0" w:color="auto"/>
            </w:tcBorders>
            <w:tcMar>
              <w:top w:w="0" w:type="dxa"/>
              <w:left w:w="86" w:type="dxa"/>
              <w:bottom w:w="43" w:type="dxa"/>
              <w:right w:w="86" w:type="dxa"/>
            </w:tcMar>
          </w:tcPr>
          <w:p w14:paraId="1E815BDB" w14:textId="77777777" w:rsidR="00A11672" w:rsidRPr="005D4222" w:rsidRDefault="00A11672" w:rsidP="003A1BEE">
            <w:pPr>
              <w:pStyle w:val="ECDSBody"/>
              <w:rPr>
                <w:strike/>
              </w:rPr>
            </w:pPr>
            <w:r w:rsidRPr="005D4222">
              <w:t xml:space="preserve">A prescription is considered active if the “days supply” indicated on the date when the person </w:t>
            </w:r>
            <w:r w:rsidRPr="005D4222" w:rsidDel="00681D48">
              <w:t>was dispensed the prescription</w:t>
            </w:r>
            <w:r w:rsidRPr="005D4222">
              <w:t xml:space="preserve"> is the number of days or more between that date and the relevant date.</w:t>
            </w:r>
          </w:p>
          <w:p w14:paraId="63ADAF28" w14:textId="77777777" w:rsidR="00A11672" w:rsidRPr="005D4222" w:rsidRDefault="00A11672" w:rsidP="003A1BEE">
            <w:pPr>
              <w:pStyle w:val="ECDSBody"/>
            </w:pPr>
            <w:r w:rsidRPr="005D4222">
              <w:rPr>
                <w:i/>
              </w:rPr>
              <w:t>For an acute inpatient stay,</w:t>
            </w:r>
            <w:r w:rsidRPr="005D4222">
              <w:t xml:space="preserve"> the relevant date is the date of admission.</w:t>
            </w:r>
          </w:p>
          <w:p w14:paraId="19258021" w14:textId="77777777" w:rsidR="00A11672" w:rsidRPr="005D4222" w:rsidRDefault="00A11672" w:rsidP="003A1BEE">
            <w:pPr>
              <w:pStyle w:val="ECDSBody"/>
            </w:pPr>
            <w:r w:rsidRPr="005D4222">
              <w:rPr>
                <w:i/>
              </w:rPr>
              <w:t>For an ED visit,</w:t>
            </w:r>
            <w:r w:rsidRPr="005D4222">
              <w:t xml:space="preserve"> the relevant date is the date of service.</w:t>
            </w:r>
          </w:p>
        </w:tc>
      </w:tr>
      <w:tr w:rsidR="00A11672" w:rsidRPr="005D4222" w14:paraId="0957F08B" w14:textId="77777777" w:rsidTr="001425D8">
        <w:trPr>
          <w:trHeight w:val="320"/>
        </w:trPr>
        <w:tc>
          <w:tcPr>
            <w:tcW w:w="1110" w:type="pct"/>
            <w:tcBorders>
              <w:top w:val="nil"/>
              <w:bottom w:val="nil"/>
            </w:tcBorders>
            <w:tcMar>
              <w:top w:w="0" w:type="dxa"/>
              <w:left w:w="86" w:type="dxa"/>
              <w:bottom w:w="43" w:type="dxa"/>
              <w:right w:w="86" w:type="dxa"/>
            </w:tcMar>
          </w:tcPr>
          <w:p w14:paraId="7D8C912D" w14:textId="77777777" w:rsidR="00A11672" w:rsidRPr="005D4222" w:rsidRDefault="00A11672" w:rsidP="00A11672">
            <w:pPr>
              <w:spacing w:before="120" w:after="80"/>
              <w:rPr>
                <w:b/>
                <w:sz w:val="22"/>
                <w:szCs w:val="21"/>
              </w:rPr>
            </w:pPr>
            <w:bookmarkStart w:id="279" w:name="direct_transfer"/>
            <w:r w:rsidRPr="005D4222">
              <w:rPr>
                <w:b/>
                <w:sz w:val="22"/>
                <w:szCs w:val="21"/>
              </w:rPr>
              <w:t>Direct transfer</w:t>
            </w:r>
            <w:bookmarkEnd w:id="279"/>
          </w:p>
        </w:tc>
        <w:tc>
          <w:tcPr>
            <w:tcW w:w="3890" w:type="pct"/>
            <w:gridSpan w:val="3"/>
            <w:tcBorders>
              <w:top w:val="nil"/>
              <w:left w:val="single" w:sz="4" w:space="0" w:color="auto"/>
              <w:bottom w:val="nil"/>
              <w:right w:val="single" w:sz="4" w:space="0" w:color="auto"/>
            </w:tcBorders>
            <w:tcMar>
              <w:top w:w="0" w:type="dxa"/>
              <w:left w:w="86" w:type="dxa"/>
              <w:bottom w:w="43" w:type="dxa"/>
              <w:right w:w="86" w:type="dxa"/>
            </w:tcMar>
          </w:tcPr>
          <w:p w14:paraId="14AA54A0" w14:textId="77777777" w:rsidR="00A11672" w:rsidRPr="005D4222" w:rsidRDefault="00A11672" w:rsidP="003A1BEE">
            <w:pPr>
              <w:pStyle w:val="ECDSBody"/>
            </w:pPr>
            <w:r w:rsidRPr="005D4222">
              <w:t xml:space="preserve">When the discharge date from the first inpatient setting precedes the admission date to a second inpatient setting by 1 calendar day or less. </w:t>
            </w:r>
          </w:p>
          <w:p w14:paraId="657D398B" w14:textId="77777777" w:rsidR="00A11672" w:rsidRPr="005D4222" w:rsidRDefault="00A11672" w:rsidP="001425D8">
            <w:pPr>
              <w:pStyle w:val="Bullet"/>
              <w:rPr>
                <w:i/>
                <w:iCs/>
              </w:rPr>
            </w:pPr>
            <w:r w:rsidRPr="005D4222">
              <w:rPr>
                <w:i/>
                <w:iCs/>
              </w:rPr>
              <w:t>For example:</w:t>
            </w:r>
          </w:p>
          <w:p w14:paraId="101564E9" w14:textId="77777777" w:rsidR="00A11672" w:rsidRPr="005D4222" w:rsidRDefault="00A11672" w:rsidP="001425D8">
            <w:pPr>
              <w:pStyle w:val="Dash"/>
              <w:rPr>
                <w:i/>
                <w:iCs/>
              </w:rPr>
            </w:pPr>
            <w:r w:rsidRPr="005D4222">
              <w:t xml:space="preserve">An inpatient discharge on June 1, followed by an admission to another inpatient setting on June 1, </w:t>
            </w:r>
            <w:r w:rsidRPr="005D4222">
              <w:rPr>
                <w:i/>
                <w:iCs/>
              </w:rPr>
              <w:t>is a direct transfer.</w:t>
            </w:r>
          </w:p>
          <w:p w14:paraId="1FCD0933" w14:textId="77777777" w:rsidR="00A11672" w:rsidRPr="005D4222" w:rsidRDefault="00A11672" w:rsidP="001425D8">
            <w:pPr>
              <w:pStyle w:val="Dash"/>
              <w:rPr>
                <w:i/>
                <w:iCs/>
              </w:rPr>
            </w:pPr>
            <w:r w:rsidRPr="005D4222">
              <w:t xml:space="preserve">An inpatient discharge on June 1, followed by an admission to an inpatient setting on June 2, </w:t>
            </w:r>
            <w:r w:rsidRPr="005D4222">
              <w:rPr>
                <w:i/>
                <w:iCs/>
              </w:rPr>
              <w:t>is a direct transfer.</w:t>
            </w:r>
          </w:p>
          <w:p w14:paraId="17E6B91B" w14:textId="77777777" w:rsidR="00A11672" w:rsidRPr="005D4222" w:rsidRDefault="00A11672" w:rsidP="00525C90">
            <w:pPr>
              <w:pStyle w:val="Dash"/>
              <w:spacing w:after="0"/>
            </w:pPr>
            <w:r w:rsidRPr="005D4222">
              <w:t xml:space="preserve">An inpatient discharge on June 1, followed by an admission to another inpatient setting on June 3, </w:t>
            </w:r>
            <w:r w:rsidRPr="005D4222">
              <w:rPr>
                <w:i/>
                <w:iCs/>
              </w:rPr>
              <w:t>is not a direct transfer;</w:t>
            </w:r>
            <w:r w:rsidRPr="005D4222">
              <w:t xml:space="preserve"> these are two distinct inpatient stays.</w:t>
            </w:r>
          </w:p>
        </w:tc>
      </w:tr>
      <w:tr w:rsidR="00A11672" w:rsidRPr="005D4222" w14:paraId="17C4ABA8" w14:textId="77777777" w:rsidTr="001425D8">
        <w:trPr>
          <w:trHeight w:val="320"/>
        </w:trPr>
        <w:tc>
          <w:tcPr>
            <w:tcW w:w="1110" w:type="pct"/>
            <w:tcBorders>
              <w:top w:val="nil"/>
              <w:bottom w:val="single" w:sz="4" w:space="0" w:color="auto"/>
            </w:tcBorders>
            <w:tcMar>
              <w:top w:w="0" w:type="dxa"/>
              <w:left w:w="86" w:type="dxa"/>
              <w:bottom w:w="43" w:type="dxa"/>
              <w:right w:w="86" w:type="dxa"/>
            </w:tcMar>
          </w:tcPr>
          <w:p w14:paraId="0DB3ACA9" w14:textId="77777777" w:rsidR="00A11672" w:rsidRPr="005D4222" w:rsidRDefault="00A11672" w:rsidP="00A11672">
            <w:pPr>
              <w:spacing w:before="120" w:after="80"/>
              <w:rPr>
                <w:b/>
                <w:sz w:val="22"/>
                <w:szCs w:val="21"/>
              </w:rPr>
            </w:pPr>
            <w:r w:rsidRPr="005D4222">
              <w:rPr>
                <w:b/>
                <w:sz w:val="22"/>
                <w:szCs w:val="21"/>
              </w:rPr>
              <w:t>Episode date</w:t>
            </w:r>
          </w:p>
        </w:tc>
        <w:tc>
          <w:tcPr>
            <w:tcW w:w="3890" w:type="pct"/>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40F390A8" w14:textId="77777777" w:rsidR="00A11672" w:rsidRPr="005D4222" w:rsidRDefault="00A11672" w:rsidP="003A1BEE">
            <w:pPr>
              <w:pStyle w:val="ECDSBody"/>
            </w:pPr>
            <w:r w:rsidRPr="005D4222">
              <w:t xml:space="preserve">The date of service for any acute inpatient discharge or ED visit during the intake period with a principal diagnosis of COPD. </w:t>
            </w:r>
          </w:p>
          <w:p w14:paraId="5B015EE3" w14:textId="77777777" w:rsidR="00A11672" w:rsidRPr="005D4222" w:rsidRDefault="00A11672" w:rsidP="003A1BEE">
            <w:pPr>
              <w:pStyle w:val="ECDSBody"/>
            </w:pPr>
            <w:r w:rsidRPr="005D4222">
              <w:rPr>
                <w:i/>
              </w:rPr>
              <w:t>For an acute inpatient discharge,</w:t>
            </w:r>
            <w:r w:rsidRPr="005D4222">
              <w:t xml:space="preserve"> the episode date is the date of discharge.</w:t>
            </w:r>
          </w:p>
          <w:p w14:paraId="5EA20CD8" w14:textId="77777777" w:rsidR="00A11672" w:rsidRPr="005D4222" w:rsidRDefault="00A11672" w:rsidP="003A1BEE">
            <w:pPr>
              <w:pStyle w:val="ECDSBody"/>
            </w:pPr>
            <w:r w:rsidRPr="005D4222">
              <w:rPr>
                <w:i/>
              </w:rPr>
              <w:t xml:space="preserve">For direct transfers (to acute or nonacute settings), </w:t>
            </w:r>
            <w:r w:rsidRPr="005D4222">
              <w:t xml:space="preserve">the episode date is the discharge date from the transfer admission. </w:t>
            </w:r>
          </w:p>
          <w:p w14:paraId="09D3A745" w14:textId="77777777" w:rsidR="00A11672" w:rsidRPr="005D4222" w:rsidRDefault="00A11672" w:rsidP="003A1BEE">
            <w:pPr>
              <w:pStyle w:val="ECDSBody"/>
              <w:rPr>
                <w:szCs w:val="24"/>
              </w:rPr>
            </w:pPr>
            <w:r w:rsidRPr="005D4222">
              <w:rPr>
                <w:i/>
                <w:szCs w:val="24"/>
              </w:rPr>
              <w:t>For an ED visit,</w:t>
            </w:r>
            <w:r w:rsidRPr="005D4222">
              <w:rPr>
                <w:szCs w:val="24"/>
              </w:rPr>
              <w:t xml:space="preserve"> the episode date is the date of service.</w:t>
            </w:r>
          </w:p>
        </w:tc>
      </w:tr>
    </w:tbl>
    <w:p w14:paraId="260F5234" w14:textId="77777777" w:rsidR="001425D8" w:rsidRPr="005D4222" w:rsidRDefault="001425D8">
      <w:r w:rsidRPr="005D4222">
        <w:br w:type="page"/>
      </w:r>
    </w:p>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A11672" w:rsidRPr="005D4222" w14:paraId="6D11049F" w14:textId="77777777" w:rsidTr="001425D8">
        <w:trPr>
          <w:trHeight w:val="320"/>
        </w:trPr>
        <w:tc>
          <w:tcPr>
            <w:tcW w:w="1110" w:type="pct"/>
            <w:tcBorders>
              <w:top w:val="single" w:sz="4" w:space="0" w:color="auto"/>
              <w:bottom w:val="nil"/>
            </w:tcBorders>
            <w:tcMar>
              <w:top w:w="0" w:type="dxa"/>
              <w:left w:w="86" w:type="dxa"/>
              <w:bottom w:w="43" w:type="dxa"/>
              <w:right w:w="86" w:type="dxa"/>
            </w:tcMar>
          </w:tcPr>
          <w:p w14:paraId="6EF9F83D" w14:textId="77777777" w:rsidR="00A11672" w:rsidRPr="005D4222" w:rsidRDefault="00A11672" w:rsidP="00A11672">
            <w:pPr>
              <w:spacing w:before="120" w:after="80"/>
              <w:rPr>
                <w:bCs/>
                <w:sz w:val="22"/>
                <w:szCs w:val="21"/>
              </w:rPr>
            </w:pPr>
            <w:r w:rsidRPr="005D4222">
              <w:rPr>
                <w:b/>
                <w:sz w:val="22"/>
                <w:szCs w:val="21"/>
              </w:rPr>
              <w:lastRenderedPageBreak/>
              <w:t>Intake period</w:t>
            </w:r>
          </w:p>
        </w:tc>
        <w:tc>
          <w:tcPr>
            <w:tcW w:w="3890" w:type="pct"/>
            <w:tcBorders>
              <w:top w:val="single" w:sz="4" w:space="0" w:color="auto"/>
              <w:left w:val="single" w:sz="4" w:space="0" w:color="auto"/>
              <w:bottom w:val="nil"/>
              <w:right w:val="single" w:sz="4" w:space="0" w:color="auto"/>
            </w:tcBorders>
            <w:tcMar>
              <w:top w:w="0" w:type="dxa"/>
              <w:left w:w="86" w:type="dxa"/>
              <w:bottom w:w="43" w:type="dxa"/>
              <w:right w:w="86" w:type="dxa"/>
            </w:tcMar>
          </w:tcPr>
          <w:p w14:paraId="06B51C72" w14:textId="77777777" w:rsidR="00A11672" w:rsidRPr="005D4222" w:rsidRDefault="00A11672" w:rsidP="003A1BEE">
            <w:pPr>
              <w:pStyle w:val="ECDSBody"/>
            </w:pPr>
            <w:r w:rsidRPr="005D4222">
              <w:t xml:space="preserve">January 1 of the measurement period to </w:t>
            </w:r>
            <w:r w:rsidRPr="005D4222" w:rsidDel="00790C50">
              <w:t xml:space="preserve">November </w:t>
            </w:r>
            <w:r w:rsidRPr="005D4222">
              <w:t>30 of the measurement period. The intake period captures eligible episodes of treatment.</w:t>
            </w:r>
          </w:p>
        </w:tc>
      </w:tr>
      <w:tr w:rsidR="00A11672" w:rsidRPr="005D4222" w14:paraId="7FC6A308" w14:textId="77777777" w:rsidTr="001425D8">
        <w:trPr>
          <w:trHeight w:val="687"/>
        </w:trPr>
        <w:tc>
          <w:tcPr>
            <w:tcW w:w="1110" w:type="pct"/>
            <w:shd w:val="clear" w:color="auto" w:fill="BFBFBF" w:themeFill="background1" w:themeFillShade="BF"/>
            <w:tcMar>
              <w:top w:w="0" w:type="dxa"/>
              <w:left w:w="86" w:type="dxa"/>
              <w:bottom w:w="43" w:type="dxa"/>
              <w:right w:w="86" w:type="dxa"/>
            </w:tcMar>
          </w:tcPr>
          <w:p w14:paraId="40EB4558" w14:textId="77777777" w:rsidR="00A11672" w:rsidRPr="005D4222" w:rsidRDefault="00A11672" w:rsidP="003A1BEE">
            <w:pPr>
              <w:pStyle w:val="ECDSMarginHead"/>
            </w:pPr>
            <w:r w:rsidRPr="005D4222">
              <w:t>Initial population</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CD004EE" w14:textId="77777777" w:rsidR="00A11672" w:rsidRPr="005D4222" w:rsidRDefault="00A11672" w:rsidP="001425D8">
            <w:pPr>
              <w:pStyle w:val="ECDSBody"/>
            </w:pPr>
            <w:r w:rsidRPr="005D4222">
              <w:rPr>
                <w:i/>
                <w:iCs/>
              </w:rPr>
              <w:t xml:space="preserve">Measure item count: </w:t>
            </w:r>
            <w:r w:rsidRPr="005D4222">
              <w:t>Episode.</w:t>
            </w:r>
          </w:p>
          <w:p w14:paraId="7359EEA2" w14:textId="77777777" w:rsidR="00A11672" w:rsidRPr="005D4222" w:rsidRDefault="00A11672" w:rsidP="001425D8">
            <w:pPr>
              <w:pStyle w:val="ECDSBody"/>
            </w:pPr>
            <w:r w:rsidRPr="005D4222">
              <w:rPr>
                <w:i/>
                <w:iCs/>
              </w:rPr>
              <w:t xml:space="preserve">Attribution basis: </w:t>
            </w:r>
            <w:r w:rsidRPr="005D4222">
              <w:t>Enrollment.</w:t>
            </w:r>
          </w:p>
          <w:p w14:paraId="5C24A453" w14:textId="77777777" w:rsidR="00A11672" w:rsidRPr="005D4222" w:rsidRDefault="00A11672" w:rsidP="001425D8">
            <w:pPr>
              <w:pStyle w:val="Bullet"/>
            </w:pPr>
            <w:r w:rsidRPr="005D4222">
              <w:rPr>
                <w:i/>
                <w:iCs/>
              </w:rPr>
              <w:t>Benefits:</w:t>
            </w:r>
            <w:r w:rsidRPr="005D4222">
              <w:t xml:space="preserve"> Medical and pharmacy.</w:t>
            </w:r>
          </w:p>
          <w:p w14:paraId="04C0FE84" w14:textId="77777777" w:rsidR="00A11672" w:rsidRPr="005D4222" w:rsidRDefault="00A11672" w:rsidP="001425D8">
            <w:pPr>
              <w:pStyle w:val="Bullet"/>
            </w:pPr>
            <w:r w:rsidRPr="005D4222">
              <w:rPr>
                <w:i/>
                <w:iCs/>
              </w:rPr>
              <w:t>Continuous enrollment:</w:t>
            </w:r>
            <w:r w:rsidRPr="005D4222">
              <w:t xml:space="preserve"> Episode date through 30 days after the episode date. </w:t>
            </w:r>
          </w:p>
          <w:p w14:paraId="7AF0B2D1" w14:textId="77777777" w:rsidR="00A11672" w:rsidRPr="005D4222" w:rsidRDefault="00A11672" w:rsidP="001425D8">
            <w:pPr>
              <w:pStyle w:val="Bullet"/>
            </w:pPr>
            <w:r w:rsidRPr="005D4222">
              <w:rPr>
                <w:i/>
                <w:iCs/>
              </w:rPr>
              <w:t>Allowable gap:</w:t>
            </w:r>
            <w:r w:rsidRPr="005D4222">
              <w:t xml:space="preserve"> None.</w:t>
            </w:r>
          </w:p>
          <w:p w14:paraId="7F08E3D9" w14:textId="77777777" w:rsidR="00A11672" w:rsidRPr="005D4222" w:rsidRDefault="00A11672" w:rsidP="003A1BEE">
            <w:pPr>
              <w:pStyle w:val="ECDSBody"/>
              <w:rPr>
                <w:b/>
              </w:rPr>
            </w:pPr>
            <w:r w:rsidRPr="005D4222">
              <w:rPr>
                <w:i/>
                <w:iCs/>
              </w:rPr>
              <w:t>Ages:</w:t>
            </w:r>
            <w:r w:rsidRPr="005D4222">
              <w:t xml:space="preserve"> 40 years of age or older as of the first day of the measurement period.</w:t>
            </w:r>
          </w:p>
          <w:p w14:paraId="1319F9A4" w14:textId="77777777" w:rsidR="00A11672" w:rsidRPr="005D4222" w:rsidRDefault="00A11672" w:rsidP="003A1BEE">
            <w:pPr>
              <w:pStyle w:val="ECDSBody"/>
            </w:pPr>
            <w:r w:rsidRPr="005D4222">
              <w:rPr>
                <w:i/>
                <w:iCs/>
              </w:rPr>
              <w:t>Event:</w:t>
            </w:r>
            <w:r w:rsidRPr="005D4222">
              <w:t xml:space="preserve"> </w:t>
            </w:r>
            <w:r w:rsidRPr="005D4222">
              <w:rPr>
                <w:b/>
                <w:bCs w:val="0"/>
              </w:rPr>
              <w:t>COPD exacerbation.</w:t>
            </w:r>
            <w:r w:rsidRPr="005D4222">
              <w:t xml:space="preserve"> </w:t>
            </w:r>
          </w:p>
          <w:p w14:paraId="668ABB27" w14:textId="77777777" w:rsidR="00A11672" w:rsidRPr="005D4222" w:rsidRDefault="00A11672" w:rsidP="003A1BEE">
            <w:pPr>
              <w:pStyle w:val="ECDSBody"/>
            </w:pPr>
            <w:r w:rsidRPr="005D4222">
              <w:rPr>
                <w:b/>
              </w:rPr>
              <w:t>Step 1.</w:t>
            </w:r>
            <w:r w:rsidRPr="005D4222">
              <w:t xml:space="preserve"> Identify all persons who had either of the following during the intake period:</w:t>
            </w:r>
          </w:p>
          <w:p w14:paraId="733AB84F" w14:textId="77777777" w:rsidR="00A11672" w:rsidRPr="005D4222" w:rsidRDefault="00A11672" w:rsidP="00BA590D">
            <w:pPr>
              <w:pStyle w:val="Bullet"/>
            </w:pPr>
            <w:r w:rsidRPr="005D4222">
              <w:t>An ED visit (</w:t>
            </w:r>
            <w:r w:rsidRPr="005D4222">
              <w:rPr>
                <w:u w:val="single"/>
              </w:rPr>
              <w:t>ED Value Set</w:t>
            </w:r>
            <w:r w:rsidRPr="005D4222">
              <w:t>) with a principal diagnosis of COPD, emphysema or chronic bronchitis (</w:t>
            </w:r>
            <w:r w:rsidRPr="005D4222">
              <w:rPr>
                <w:u w:val="single"/>
              </w:rPr>
              <w:t>Chronic Obstructive Pulmonary Diseases Value Set</w:t>
            </w:r>
            <w:r w:rsidRPr="005D4222">
              <w:t>).</w:t>
            </w:r>
          </w:p>
          <w:p w14:paraId="2EBD932E" w14:textId="77777777" w:rsidR="00A11672" w:rsidRPr="005D4222" w:rsidRDefault="00A11672" w:rsidP="00BA590D">
            <w:pPr>
              <w:pStyle w:val="Bullet"/>
            </w:pPr>
            <w:r w:rsidRPr="005D4222">
              <w:t>An acute inpatient discharge with a principal diagnosis of COPD, emphysema or chronic bronchitis (</w:t>
            </w:r>
            <w:r w:rsidRPr="005D4222">
              <w:rPr>
                <w:u w:val="single"/>
              </w:rPr>
              <w:t>Chronic Obstructive Pulmonary Diseases Value Set</w:t>
            </w:r>
            <w:r w:rsidRPr="005D4222">
              <w:t xml:space="preserve">) on the discharge claim. To identify acute inpatient discharges: </w:t>
            </w:r>
          </w:p>
          <w:p w14:paraId="39C41584" w14:textId="77777777" w:rsidR="00A11672" w:rsidRPr="005D4222" w:rsidRDefault="00A11672" w:rsidP="00BA590D">
            <w:pPr>
              <w:numPr>
                <w:ilvl w:val="0"/>
                <w:numId w:val="33"/>
              </w:numPr>
              <w:spacing w:before="60" w:after="60"/>
              <w:ind w:left="864" w:hanging="288"/>
              <w:rPr>
                <w:kern w:val="24"/>
              </w:rPr>
            </w:pPr>
            <w:r w:rsidRPr="005D4222">
              <w:rPr>
                <w:kern w:val="24"/>
              </w:rPr>
              <w:t>Identify all acute and nonacute inpatient stays (</w:t>
            </w:r>
            <w:r w:rsidRPr="005D4222">
              <w:rPr>
                <w:kern w:val="24"/>
                <w:u w:val="single"/>
              </w:rPr>
              <w:t>Inpatient Stay Value Set</w:t>
            </w:r>
            <w:r w:rsidRPr="005D4222">
              <w:rPr>
                <w:kern w:val="24"/>
              </w:rPr>
              <w:t>).</w:t>
            </w:r>
          </w:p>
          <w:p w14:paraId="327A3F92" w14:textId="77777777" w:rsidR="00A11672" w:rsidRPr="005D4222" w:rsidRDefault="00A11672" w:rsidP="00BA590D">
            <w:pPr>
              <w:numPr>
                <w:ilvl w:val="0"/>
                <w:numId w:val="33"/>
              </w:numPr>
              <w:spacing w:before="60" w:after="60"/>
              <w:ind w:left="864" w:hanging="288"/>
              <w:rPr>
                <w:kern w:val="24"/>
              </w:rPr>
            </w:pPr>
            <w:r w:rsidRPr="005D4222">
              <w:rPr>
                <w:kern w:val="24"/>
              </w:rPr>
              <w:t>Exclude nonacute inpatient stays (</w:t>
            </w:r>
            <w:r w:rsidRPr="005D4222">
              <w:rPr>
                <w:kern w:val="24"/>
                <w:u w:val="single"/>
              </w:rPr>
              <w:t>Nonacute Inpatient Stay Value Set</w:t>
            </w:r>
            <w:r w:rsidRPr="005D4222">
              <w:rPr>
                <w:i/>
                <w:iCs/>
                <w:kern w:val="24"/>
              </w:rPr>
              <w:t>).</w:t>
            </w:r>
          </w:p>
          <w:p w14:paraId="16E59CFB" w14:textId="77777777" w:rsidR="00A11672" w:rsidRPr="005D4222" w:rsidRDefault="00A11672" w:rsidP="00BA590D">
            <w:pPr>
              <w:numPr>
                <w:ilvl w:val="0"/>
                <w:numId w:val="33"/>
              </w:numPr>
              <w:spacing w:before="60" w:after="60"/>
              <w:ind w:left="864" w:hanging="288"/>
              <w:rPr>
                <w:kern w:val="24"/>
              </w:rPr>
            </w:pPr>
            <w:r w:rsidRPr="005D4222">
              <w:rPr>
                <w:kern w:val="24"/>
              </w:rPr>
              <w:t>Identify the discharge date for the stay.</w:t>
            </w:r>
          </w:p>
          <w:p w14:paraId="01C413F7" w14:textId="77777777" w:rsidR="00A11672" w:rsidRPr="005D4222" w:rsidRDefault="00A11672" w:rsidP="003A1BEE">
            <w:pPr>
              <w:pStyle w:val="ECDSBody"/>
            </w:pPr>
            <w:r w:rsidRPr="005D4222">
              <w:rPr>
                <w:b/>
              </w:rPr>
              <w:t>Step 2.</w:t>
            </w:r>
            <w:r w:rsidRPr="005D4222">
              <w:rPr>
                <w:b/>
                <w:i/>
                <w:iCs/>
              </w:rPr>
              <w:t xml:space="preserve"> </w:t>
            </w:r>
            <w:r w:rsidRPr="005D4222">
              <w:t>Identify all COPD episodes. For each person identified in step 1, identify all acute inpatient discharges and ED visits. An acute inpatient discharge and ED visit on the same date are counted as one COPD episode. Multiple ED visits on the same date are counted as one COPD episode. Do not include ED visits that result in an inpatient stay (</w:t>
            </w:r>
            <w:r w:rsidRPr="005D4222">
              <w:rPr>
                <w:u w:val="single"/>
              </w:rPr>
              <w:t>Inpatient Stay Value Set</w:t>
            </w:r>
            <w:r w:rsidRPr="005D4222">
              <w:t>).</w:t>
            </w:r>
          </w:p>
          <w:p w14:paraId="5A3EA8D8" w14:textId="77777777" w:rsidR="00A11672" w:rsidRPr="005D4222" w:rsidRDefault="00A11672" w:rsidP="003A1BEE">
            <w:pPr>
              <w:pStyle w:val="ECDSBody"/>
            </w:pPr>
            <w:r w:rsidRPr="005D4222">
              <w:rPr>
                <w:b/>
              </w:rPr>
              <w:t xml:space="preserve">Step 3. </w:t>
            </w:r>
            <w:r w:rsidRPr="005D4222">
              <w:t>Test for direct transfers. For episodes with a direct transfer</w:t>
            </w:r>
            <w:r w:rsidRPr="005D4222" w:rsidDel="00513F9C">
              <w:t xml:space="preserve"> </w:t>
            </w:r>
            <w:r w:rsidRPr="005D4222">
              <w:t xml:space="preserve">to an acute or nonacute setting for any diagnosis the episode date is the discharge date from the last admission. </w:t>
            </w:r>
          </w:p>
          <w:p w14:paraId="30E05691" w14:textId="77777777" w:rsidR="00A11672" w:rsidRPr="005D4222" w:rsidRDefault="00A11672" w:rsidP="003A1BEE">
            <w:pPr>
              <w:pStyle w:val="ECDSBody"/>
            </w:pPr>
            <w:r w:rsidRPr="005D4222">
              <w:t>To identify admissions to and discharges from inpatient settings:</w:t>
            </w:r>
          </w:p>
          <w:p w14:paraId="2965B8F7" w14:textId="77777777" w:rsidR="00A11672" w:rsidRPr="005D4222" w:rsidRDefault="00A11672" w:rsidP="00BA590D">
            <w:pPr>
              <w:numPr>
                <w:ilvl w:val="0"/>
                <w:numId w:val="34"/>
              </w:numPr>
              <w:tabs>
                <w:tab w:val="left" w:pos="1368"/>
              </w:tabs>
              <w:spacing w:before="60" w:after="60"/>
              <w:ind w:left="648" w:hanging="288"/>
              <w:rPr>
                <w:rFonts w:cs="Arial"/>
                <w:bCs/>
                <w:szCs w:val="26"/>
              </w:rPr>
            </w:pPr>
            <w:r w:rsidRPr="005D4222">
              <w:rPr>
                <w:rFonts w:cs="Arial"/>
                <w:bCs/>
                <w:szCs w:val="26"/>
              </w:rPr>
              <w:t>Identify all acute and nonacute inpatient stays (</w:t>
            </w:r>
            <w:r w:rsidRPr="005D4222">
              <w:rPr>
                <w:rFonts w:cs="Arial"/>
                <w:bCs/>
                <w:szCs w:val="26"/>
                <w:u w:val="single"/>
              </w:rPr>
              <w:t>Inpatient Stay Value Set</w:t>
            </w:r>
            <w:r w:rsidRPr="005D4222">
              <w:rPr>
                <w:rFonts w:cs="Arial"/>
                <w:bCs/>
                <w:szCs w:val="26"/>
              </w:rPr>
              <w:t>).</w:t>
            </w:r>
          </w:p>
          <w:p w14:paraId="3E75AFBA" w14:textId="77777777" w:rsidR="00A11672" w:rsidRPr="005D4222" w:rsidRDefault="00A11672" w:rsidP="00BA590D">
            <w:pPr>
              <w:numPr>
                <w:ilvl w:val="0"/>
                <w:numId w:val="34"/>
              </w:numPr>
              <w:tabs>
                <w:tab w:val="left" w:pos="1368"/>
              </w:tabs>
              <w:spacing w:before="60" w:after="60"/>
              <w:ind w:left="648" w:hanging="288"/>
              <w:rPr>
                <w:rFonts w:cs="Arial"/>
                <w:bCs/>
                <w:szCs w:val="26"/>
              </w:rPr>
            </w:pPr>
            <w:r w:rsidRPr="005D4222">
              <w:rPr>
                <w:rFonts w:cs="Arial"/>
                <w:bCs/>
                <w:szCs w:val="26"/>
              </w:rPr>
              <w:t>Identify the admission and discharge dates for the stay.</w:t>
            </w:r>
          </w:p>
          <w:p w14:paraId="43E33DCC" w14:textId="77777777" w:rsidR="00A11672" w:rsidRPr="005D4222" w:rsidRDefault="00A11672" w:rsidP="003A1BEE">
            <w:pPr>
              <w:pStyle w:val="ECDSBody"/>
              <w:rPr>
                <w:b/>
              </w:rPr>
            </w:pPr>
            <w:r w:rsidRPr="005D4222">
              <w:rPr>
                <w:b/>
              </w:rPr>
              <w:t>Step 4</w:t>
            </w:r>
            <w:r w:rsidRPr="005D4222">
              <w:rPr>
                <w:b/>
                <w:i/>
                <w:iCs/>
              </w:rPr>
              <w:t>.</w:t>
            </w:r>
            <w:r w:rsidRPr="005D4222">
              <w:rPr>
                <w:b/>
              </w:rPr>
              <w:t xml:space="preserve"> </w:t>
            </w:r>
            <w:r w:rsidRPr="005D4222">
              <w:t xml:space="preserve">Calculate continuous enrollment. All episodes that were not </w:t>
            </w:r>
            <w:r w:rsidRPr="005D4222" w:rsidDel="00765103">
              <w:t xml:space="preserve">excluded </w:t>
            </w:r>
            <w:r w:rsidRPr="005D4222">
              <w:t xml:space="preserve">remain in the initial population. </w:t>
            </w:r>
          </w:p>
        </w:tc>
      </w:tr>
      <w:tr w:rsidR="00A11672" w:rsidRPr="005D4222" w14:paraId="71ECC23D" w14:textId="77777777" w:rsidTr="001425D8">
        <w:tc>
          <w:tcPr>
            <w:tcW w:w="1110" w:type="pct"/>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26967A4" w14:textId="77777777" w:rsidR="00A11672" w:rsidRPr="005D4222" w:rsidRDefault="00A11672" w:rsidP="003A1BEE">
            <w:pPr>
              <w:pStyle w:val="ECDSMarginHead"/>
            </w:pPr>
            <w:r w:rsidRPr="005D4222">
              <w:t xml:space="preserve">Denominator exclusions </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0DC5A237" w14:textId="7828DFAC" w:rsidR="00A11672" w:rsidRPr="005D4222" w:rsidRDefault="00A11672" w:rsidP="003A1BEE">
            <w:pPr>
              <w:pStyle w:val="ECDSBody"/>
              <w:rPr>
                <w:rFonts w:eastAsia="Arial,Arial,Arial,Arial,Arial,A"/>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tc>
      </w:tr>
      <w:tr w:rsidR="00525C90" w:rsidRPr="005D4222" w14:paraId="4364113A" w14:textId="77777777" w:rsidTr="001425D8">
        <w:tc>
          <w:tcPr>
            <w:tcW w:w="1110" w:type="pct"/>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0C2E1DA" w14:textId="77777777" w:rsidR="00525C90" w:rsidRPr="005D4222" w:rsidRDefault="00525C90" w:rsidP="003A1BEE">
            <w:pPr>
              <w:pStyle w:val="ECDSMarginHead"/>
            </w:pP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3F5F3AEB" w14:textId="049B8795" w:rsidR="00525C90" w:rsidRPr="005D4222" w:rsidRDefault="00525C90" w:rsidP="003A1BEE">
            <w:pPr>
              <w:pStyle w:val="ECDSBody"/>
              <w:rPr>
                <w:b/>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A11672" w:rsidRPr="005D4222" w14:paraId="2687F3D1" w14:textId="77777777" w:rsidTr="001425D8">
        <w:tc>
          <w:tcPr>
            <w:tcW w:w="1110" w:type="pct"/>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2E48916" w14:textId="77777777" w:rsidR="00A11672" w:rsidRPr="005D4222" w:rsidRDefault="00A11672" w:rsidP="00A11672">
            <w:pPr>
              <w:spacing w:before="120" w:after="80"/>
              <w:rPr>
                <w:b/>
                <w:sz w:val="22"/>
                <w:szCs w:val="21"/>
              </w:rPr>
            </w:pPr>
            <w:r w:rsidRPr="005D4222">
              <w:rPr>
                <w:b/>
                <w:sz w:val="22"/>
                <w:szCs w:val="21"/>
              </w:rPr>
              <w:t>Denominator</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46BCC43" w14:textId="77777777" w:rsidR="00A11672" w:rsidRPr="005D4222" w:rsidRDefault="00A11672" w:rsidP="003A1BEE">
            <w:pPr>
              <w:pStyle w:val="ECDSBody"/>
              <w:rPr>
                <w:b/>
                <w:szCs w:val="21"/>
              </w:rPr>
            </w:pPr>
            <w:r w:rsidRPr="005D4222">
              <w:rPr>
                <w:rFonts w:eastAsia="Arial,Arial,Arial,Arial,Arial,A"/>
              </w:rPr>
              <w:t>The initial population minus denominator exclusions.</w:t>
            </w:r>
          </w:p>
        </w:tc>
      </w:tr>
      <w:tr w:rsidR="00A11672" w:rsidRPr="005D4222" w14:paraId="74842671" w14:textId="77777777" w:rsidTr="001425D8">
        <w:trPr>
          <w:trHeight w:val="417"/>
        </w:trPr>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8A16BB9" w14:textId="77777777" w:rsidR="00A11672" w:rsidRPr="005D4222" w:rsidRDefault="00A11672" w:rsidP="003A1BEE">
            <w:pPr>
              <w:pStyle w:val="ECDSMarginHead"/>
            </w:pPr>
            <w:r w:rsidRPr="005D4222">
              <w:t xml:space="preserve">Numerator </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73AE6707" w14:textId="77777777" w:rsidR="00A11672" w:rsidRPr="005D4222" w:rsidRDefault="00A11672" w:rsidP="003A1BEE">
            <w:pPr>
              <w:pStyle w:val="ECDSBody"/>
            </w:pPr>
            <w:r w:rsidRPr="005D4222">
              <w:rPr>
                <w:b/>
                <w:color w:val="000000" w:themeColor="text1"/>
              </w:rPr>
              <w:t>Numerator 1: Systemic corticosteroid.</w:t>
            </w:r>
            <w:r w:rsidRPr="005D4222">
              <w:br/>
            </w:r>
            <w:r w:rsidRPr="005D4222">
              <w:rPr>
                <w:color w:val="000000" w:themeColor="text1"/>
              </w:rPr>
              <w:t>Persons who were d</w:t>
            </w:r>
            <w:r w:rsidRPr="005D4222">
              <w:t>ispensed a prescription for systemic corticosteroid (</w:t>
            </w:r>
            <w:r w:rsidRPr="005D4222">
              <w:rPr>
                <w:u w:val="single"/>
              </w:rPr>
              <w:t>Systematic Corticosteroid Medications List</w:t>
            </w:r>
            <w:r w:rsidRPr="005D4222">
              <w:t>) on or 14 days after the episode date. Count systemic corticosteroids that are active on the relevant date.</w:t>
            </w:r>
          </w:p>
          <w:p w14:paraId="04B37B0C" w14:textId="77777777" w:rsidR="00A11672" w:rsidRPr="005D4222" w:rsidRDefault="00A11672" w:rsidP="003A1BEE">
            <w:pPr>
              <w:pStyle w:val="ECDSBody"/>
            </w:pPr>
            <w:r w:rsidRPr="005D4222">
              <w:rPr>
                <w:b/>
                <w:iCs/>
              </w:rPr>
              <w:t xml:space="preserve">Numerator 2: Bronchodilator. </w:t>
            </w:r>
            <w:r w:rsidRPr="005D4222">
              <w:br/>
            </w:r>
            <w:r w:rsidRPr="005D4222">
              <w:rPr>
                <w:iCs/>
              </w:rPr>
              <w:t>Persons who were dispensed a prescription for a bronchodilator (</w:t>
            </w:r>
            <w:r w:rsidRPr="005D4222">
              <w:rPr>
                <w:iCs/>
                <w:u w:val="single"/>
              </w:rPr>
              <w:t>Bronchodilator Medications List</w:t>
            </w:r>
            <w:r w:rsidRPr="005D4222">
              <w:rPr>
                <w:iCs/>
              </w:rPr>
              <w:t>) on or 30 days after the episode date</w:t>
            </w:r>
            <w:r w:rsidRPr="005D4222">
              <w:t>.</w:t>
            </w:r>
            <w:r w:rsidRPr="005D4222">
              <w:rPr>
                <w:iCs/>
              </w:rPr>
              <w:t xml:space="preserve"> </w:t>
            </w:r>
            <w:r w:rsidRPr="005D4222">
              <w:t>Count bronchodilators that are active on the relevant date.</w:t>
            </w:r>
          </w:p>
        </w:tc>
      </w:tr>
      <w:tr w:rsidR="00A11672" w:rsidRPr="005D4222" w14:paraId="125DFED0" w14:textId="77777777" w:rsidTr="001425D8">
        <w:trPr>
          <w:trHeight w:val="453"/>
        </w:trPr>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CC3A7E7" w14:textId="77777777" w:rsidR="00A11672" w:rsidRPr="005D4222" w:rsidRDefault="00A11672" w:rsidP="003A1BEE">
            <w:pPr>
              <w:pStyle w:val="ECDSMarginHead"/>
            </w:pPr>
            <w:r w:rsidRPr="005D4222">
              <w:t>Summary of changes</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90CFD4B" w14:textId="77777777" w:rsidR="00A11672" w:rsidRPr="005D4222" w:rsidRDefault="00A11672" w:rsidP="003A1BEE">
            <w:pPr>
              <w:pStyle w:val="ProcessBullet"/>
              <w:spacing w:before="120"/>
              <w:rPr>
                <w:lang w:eastAsia="zh-CN"/>
              </w:rPr>
            </w:pPr>
            <w:r w:rsidRPr="005D4222">
              <w:rPr>
                <w:lang w:eastAsia="zh-CN"/>
              </w:rPr>
              <w:t xml:space="preserve">Moved the definition of “direct transfer” from the initial population to the </w:t>
            </w:r>
            <w:r w:rsidRPr="005D4222">
              <w:rPr>
                <w:i/>
                <w:iCs/>
                <w:lang w:eastAsia="zh-CN"/>
              </w:rPr>
              <w:t>Definitions</w:t>
            </w:r>
            <w:r w:rsidRPr="005D4222">
              <w:rPr>
                <w:lang w:eastAsia="zh-CN"/>
              </w:rPr>
              <w:t xml:space="preserve"> section.</w:t>
            </w:r>
          </w:p>
        </w:tc>
      </w:tr>
      <w:tr w:rsidR="00A11672" w:rsidRPr="005D4222" w14:paraId="7806BE81" w14:textId="77777777" w:rsidTr="001425D8">
        <w:trPr>
          <w:trHeight w:val="45"/>
        </w:trPr>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B053FDD" w14:textId="77777777" w:rsidR="00A11672" w:rsidRPr="005D4222" w:rsidRDefault="00A11672" w:rsidP="003A1BEE">
            <w:pPr>
              <w:pStyle w:val="ECDSMarginHead"/>
            </w:pPr>
            <w:r w:rsidRPr="005D4222">
              <w:t>Data element tables</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36FD401" w14:textId="77777777" w:rsidR="00A11672" w:rsidRPr="005D4222" w:rsidRDefault="00A11672" w:rsidP="003A1BEE">
            <w:pPr>
              <w:pStyle w:val="ECDSBody"/>
            </w:pPr>
            <w:r w:rsidRPr="005D4222">
              <w:t>Organizations that submit HEDIS data to NCQA must provide the following data elements.</w:t>
            </w:r>
          </w:p>
          <w:p w14:paraId="04251896" w14:textId="77777777" w:rsidR="00A11672" w:rsidRPr="005D4222" w:rsidRDefault="00A11672" w:rsidP="003A1BEE">
            <w:pPr>
              <w:pStyle w:val="Heading3"/>
              <w:spacing w:before="120"/>
            </w:pPr>
            <w:r w:rsidRPr="005D4222">
              <w:t>Table PCE-1/2/3: Data Elements for Pharmacotherapy Management of COPD Exacerbation</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740"/>
              <w:gridCol w:w="2344"/>
              <w:gridCol w:w="2291"/>
            </w:tblGrid>
            <w:tr w:rsidR="00A11672" w:rsidRPr="005D4222" w14:paraId="72A27D84" w14:textId="77777777">
              <w:tc>
                <w:tcPr>
                  <w:tcW w:w="2909"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hideMark/>
                </w:tcPr>
                <w:p w14:paraId="1E2CED63" w14:textId="77777777" w:rsidR="00A11672" w:rsidRPr="005D4222" w:rsidRDefault="00A11672" w:rsidP="003A1BEE">
                  <w:pPr>
                    <w:pStyle w:val="TableHead"/>
                  </w:pPr>
                  <w:r w:rsidRPr="005D4222">
                    <w:t>Metric</w:t>
                  </w:r>
                </w:p>
              </w:tc>
              <w:tc>
                <w:tcPr>
                  <w:tcW w:w="2486"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hideMark/>
                </w:tcPr>
                <w:p w14:paraId="3C9BBFF6" w14:textId="77777777" w:rsidR="00A11672" w:rsidRPr="005D4222" w:rsidRDefault="00A11672" w:rsidP="003A1BEE">
                  <w:pPr>
                    <w:pStyle w:val="TableHead"/>
                  </w:pPr>
                  <w:r w:rsidRPr="005D4222">
                    <w:t>Data Element</w:t>
                  </w:r>
                </w:p>
              </w:tc>
              <w:tc>
                <w:tcPr>
                  <w:tcW w:w="2430"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hideMark/>
                </w:tcPr>
                <w:p w14:paraId="3E2027C5" w14:textId="77777777" w:rsidR="00A11672" w:rsidRPr="005D4222" w:rsidRDefault="00A11672" w:rsidP="003A1BEE">
                  <w:pPr>
                    <w:pStyle w:val="TableHead"/>
                  </w:pPr>
                  <w:r w:rsidRPr="005D4222">
                    <w:t>Reporting Instructions</w:t>
                  </w:r>
                </w:p>
              </w:tc>
            </w:tr>
            <w:tr w:rsidR="00A11672" w:rsidRPr="005D4222" w14:paraId="463345EB" w14:textId="77777777">
              <w:tc>
                <w:tcPr>
                  <w:tcW w:w="2909" w:type="dxa"/>
                  <w:tcBorders>
                    <w:top w:val="single" w:sz="4" w:space="0" w:color="000000" w:themeColor="text1"/>
                    <w:left w:val="single" w:sz="4" w:space="0" w:color="auto"/>
                    <w:bottom w:val="single" w:sz="4" w:space="0" w:color="auto"/>
                    <w:right w:val="single" w:sz="4" w:space="0" w:color="auto"/>
                  </w:tcBorders>
                  <w:hideMark/>
                </w:tcPr>
                <w:p w14:paraId="5EB61FB2" w14:textId="77777777" w:rsidR="00A11672" w:rsidRPr="005D4222" w:rsidRDefault="00A11672" w:rsidP="003A1BEE">
                  <w:pPr>
                    <w:pStyle w:val="TableText"/>
                  </w:pPr>
                  <w:r w:rsidRPr="005D4222">
                    <w:t>SystemicCorticosteroid</w:t>
                  </w:r>
                </w:p>
              </w:tc>
              <w:tc>
                <w:tcPr>
                  <w:tcW w:w="2486" w:type="dxa"/>
                  <w:tcBorders>
                    <w:top w:val="single" w:sz="4" w:space="0" w:color="000000" w:themeColor="text1"/>
                    <w:left w:val="single" w:sz="4" w:space="0" w:color="auto"/>
                    <w:bottom w:val="single" w:sz="4" w:space="0" w:color="auto"/>
                    <w:right w:val="single" w:sz="4" w:space="0" w:color="auto"/>
                  </w:tcBorders>
                  <w:hideMark/>
                </w:tcPr>
                <w:p w14:paraId="0BEADB7D" w14:textId="77777777" w:rsidR="00A11672" w:rsidRPr="005D4222" w:rsidRDefault="00A11672" w:rsidP="003A1BEE">
                  <w:pPr>
                    <w:pStyle w:val="TableText"/>
                  </w:pPr>
                  <w:r w:rsidRPr="005D4222">
                    <w:t>Benefit</w:t>
                  </w:r>
                </w:p>
              </w:tc>
              <w:tc>
                <w:tcPr>
                  <w:tcW w:w="2430" w:type="dxa"/>
                  <w:tcBorders>
                    <w:top w:val="single" w:sz="4" w:space="0" w:color="000000" w:themeColor="text1"/>
                    <w:left w:val="single" w:sz="4" w:space="0" w:color="auto"/>
                    <w:bottom w:val="single" w:sz="6" w:space="0" w:color="auto"/>
                    <w:right w:val="single" w:sz="4" w:space="0" w:color="auto"/>
                  </w:tcBorders>
                  <w:hideMark/>
                </w:tcPr>
                <w:p w14:paraId="4BF30C7F" w14:textId="77777777" w:rsidR="00A11672" w:rsidRPr="005D4222" w:rsidRDefault="00A11672" w:rsidP="003A1BEE">
                  <w:pPr>
                    <w:pStyle w:val="TableText"/>
                    <w:rPr>
                      <w:rFonts w:eastAsia="Wingdings"/>
                    </w:rPr>
                  </w:pPr>
                  <w:r w:rsidRPr="005D4222">
                    <w:rPr>
                      <w:rFonts w:eastAsia="Wingdings"/>
                    </w:rPr>
                    <w:t>Metadata</w:t>
                  </w:r>
                </w:p>
              </w:tc>
            </w:tr>
            <w:tr w:rsidR="00A11672" w:rsidRPr="005D4222" w14:paraId="78F2AAE9" w14:textId="77777777">
              <w:tc>
                <w:tcPr>
                  <w:tcW w:w="29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80E23C9" w14:textId="77777777" w:rsidR="00A11672" w:rsidRPr="005D4222" w:rsidRDefault="00A11672" w:rsidP="003A1BEE">
                  <w:pPr>
                    <w:pStyle w:val="TableText"/>
                  </w:pPr>
                  <w:r w:rsidRPr="005D4222">
                    <w:t>Bronchodilator</w:t>
                  </w:r>
                </w:p>
              </w:tc>
              <w:tc>
                <w:tcPr>
                  <w:tcW w:w="248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17FA094" w14:textId="77777777" w:rsidR="00A11672" w:rsidRPr="005D4222" w:rsidRDefault="00A11672" w:rsidP="003A1BEE">
                  <w:pPr>
                    <w:pStyle w:val="TableText"/>
                  </w:pPr>
                  <w:r w:rsidRPr="005D4222">
                    <w:t xml:space="preserve">InitialPopulation </w:t>
                  </w:r>
                </w:p>
              </w:tc>
              <w:tc>
                <w:tcPr>
                  <w:tcW w:w="2430"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683FF6F9" w14:textId="77777777" w:rsidR="00A11672" w:rsidRPr="005D4222" w:rsidRDefault="00A11672" w:rsidP="003A1BEE">
                  <w:pPr>
                    <w:pStyle w:val="TableText"/>
                    <w:rPr>
                      <w:rFonts w:eastAsia="Wingdings"/>
                    </w:rPr>
                  </w:pPr>
                  <w:r w:rsidRPr="005D4222">
                    <w:rPr>
                      <w:rFonts w:eastAsia="Wingdings"/>
                    </w:rPr>
                    <w:t>Repeat per Metric</w:t>
                  </w:r>
                </w:p>
              </w:tc>
            </w:tr>
            <w:tr w:rsidR="00A11672" w:rsidRPr="005D4222" w14:paraId="38F0D539" w14:textId="77777777">
              <w:tc>
                <w:tcPr>
                  <w:tcW w:w="2909" w:type="dxa"/>
                  <w:tcBorders>
                    <w:top w:val="single" w:sz="4" w:space="0" w:color="auto"/>
                    <w:left w:val="nil"/>
                    <w:bottom w:val="nil"/>
                    <w:right w:val="single" w:sz="4" w:space="0" w:color="auto"/>
                  </w:tcBorders>
                  <w:shd w:val="clear" w:color="auto" w:fill="FFFFFF" w:themeFill="background1"/>
                </w:tcPr>
                <w:p w14:paraId="1093A189" w14:textId="77777777" w:rsidR="00A11672" w:rsidRPr="005D4222" w:rsidRDefault="00A11672" w:rsidP="003A1BEE">
                  <w:pPr>
                    <w:pStyle w:val="TableText"/>
                  </w:pPr>
                </w:p>
              </w:tc>
              <w:tc>
                <w:tcPr>
                  <w:tcW w:w="248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AA8C609" w14:textId="77777777" w:rsidR="00A11672" w:rsidRPr="005D4222" w:rsidRDefault="00A11672" w:rsidP="003A1BEE">
                  <w:pPr>
                    <w:pStyle w:val="TableText"/>
                  </w:pPr>
                  <w:r w:rsidRPr="005D4222">
                    <w:t>Exclusions</w:t>
                  </w:r>
                </w:p>
              </w:tc>
              <w:tc>
                <w:tcPr>
                  <w:tcW w:w="2430"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07C202C4" w14:textId="77777777" w:rsidR="00A11672" w:rsidRPr="005D4222" w:rsidRDefault="00A11672" w:rsidP="003A1BEE">
                  <w:pPr>
                    <w:pStyle w:val="TableText"/>
                    <w:rPr>
                      <w:rFonts w:eastAsia="Wingdings"/>
                    </w:rPr>
                  </w:pPr>
                  <w:r w:rsidRPr="005D4222">
                    <w:rPr>
                      <w:rFonts w:eastAsia="Wingdings"/>
                    </w:rPr>
                    <w:t>Repeat per Metric</w:t>
                  </w:r>
                </w:p>
              </w:tc>
            </w:tr>
            <w:tr w:rsidR="00A11672" w:rsidRPr="005D4222" w14:paraId="2FA552D2" w14:textId="77777777">
              <w:tc>
                <w:tcPr>
                  <w:tcW w:w="2909" w:type="dxa"/>
                  <w:tcBorders>
                    <w:top w:val="nil"/>
                    <w:left w:val="nil"/>
                    <w:bottom w:val="nil"/>
                    <w:right w:val="single" w:sz="4" w:space="0" w:color="auto"/>
                  </w:tcBorders>
                  <w:shd w:val="clear" w:color="auto" w:fill="FFFFFF" w:themeFill="background1"/>
                </w:tcPr>
                <w:p w14:paraId="0A30B225" w14:textId="77777777" w:rsidR="00A11672" w:rsidRPr="005D4222" w:rsidRDefault="00A11672" w:rsidP="003A1BEE">
                  <w:pPr>
                    <w:pStyle w:val="TableText"/>
                  </w:pPr>
                </w:p>
              </w:tc>
              <w:tc>
                <w:tcPr>
                  <w:tcW w:w="2486" w:type="dxa"/>
                  <w:tcBorders>
                    <w:top w:val="single" w:sz="4" w:space="0" w:color="auto"/>
                    <w:left w:val="single" w:sz="4" w:space="0" w:color="auto"/>
                    <w:bottom w:val="single" w:sz="4" w:space="0" w:color="auto"/>
                    <w:right w:val="single" w:sz="4" w:space="0" w:color="auto"/>
                  </w:tcBorders>
                  <w:shd w:val="clear" w:color="auto" w:fill="FFFFFF" w:themeFill="background1"/>
                </w:tcPr>
                <w:p w14:paraId="092EDF08" w14:textId="77777777" w:rsidR="00A11672" w:rsidRPr="005D4222" w:rsidRDefault="00A11672" w:rsidP="003A1BEE">
                  <w:pPr>
                    <w:pStyle w:val="TableText"/>
                  </w:pPr>
                  <w:r w:rsidRPr="005D4222">
                    <w:t>Denominator</w:t>
                  </w:r>
                </w:p>
              </w:tc>
              <w:tc>
                <w:tcPr>
                  <w:tcW w:w="2430" w:type="dxa"/>
                  <w:tcBorders>
                    <w:top w:val="single" w:sz="6" w:space="0" w:color="auto"/>
                    <w:left w:val="single" w:sz="4" w:space="0" w:color="auto"/>
                    <w:bottom w:val="single" w:sz="6" w:space="0" w:color="auto"/>
                    <w:right w:val="single" w:sz="4" w:space="0" w:color="auto"/>
                  </w:tcBorders>
                  <w:shd w:val="clear" w:color="auto" w:fill="FFFFFF" w:themeFill="background1"/>
                </w:tcPr>
                <w:p w14:paraId="662EE21D" w14:textId="77777777" w:rsidR="00A11672" w:rsidRPr="005D4222" w:rsidRDefault="00A11672" w:rsidP="003A1BEE">
                  <w:pPr>
                    <w:pStyle w:val="TableText"/>
                    <w:rPr>
                      <w:rFonts w:eastAsia="Wingdings"/>
                    </w:rPr>
                  </w:pPr>
                  <w:r w:rsidRPr="005D4222">
                    <w:rPr>
                      <w:rFonts w:eastAsia="Wingdings"/>
                    </w:rPr>
                    <w:t>Repeat per Metric</w:t>
                  </w:r>
                </w:p>
              </w:tc>
            </w:tr>
            <w:tr w:rsidR="00A11672" w:rsidRPr="005D4222" w14:paraId="7E0D82AC" w14:textId="77777777">
              <w:tc>
                <w:tcPr>
                  <w:tcW w:w="2909" w:type="dxa"/>
                  <w:tcBorders>
                    <w:top w:val="nil"/>
                    <w:left w:val="nil"/>
                    <w:bottom w:val="nil"/>
                    <w:right w:val="single" w:sz="4" w:space="0" w:color="auto"/>
                  </w:tcBorders>
                  <w:shd w:val="clear" w:color="auto" w:fill="FFFFFF" w:themeFill="background1"/>
                </w:tcPr>
                <w:p w14:paraId="7467056C" w14:textId="77777777" w:rsidR="00A11672" w:rsidRPr="005D4222" w:rsidRDefault="00A11672" w:rsidP="003A1BEE">
                  <w:pPr>
                    <w:pStyle w:val="TableText"/>
                  </w:pPr>
                </w:p>
              </w:tc>
              <w:tc>
                <w:tcPr>
                  <w:tcW w:w="248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F47F6D9" w14:textId="77777777" w:rsidR="00A11672" w:rsidRPr="005D4222" w:rsidRDefault="00A11672" w:rsidP="003A1BEE">
                  <w:pPr>
                    <w:pStyle w:val="TableText"/>
                  </w:pPr>
                  <w:r w:rsidRPr="005D4222">
                    <w:t>NumeratorByAdmin</w:t>
                  </w:r>
                </w:p>
              </w:tc>
              <w:tc>
                <w:tcPr>
                  <w:tcW w:w="2430"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76D5AAFC" w14:textId="77777777" w:rsidR="00A11672" w:rsidRPr="005D4222" w:rsidRDefault="00A11672" w:rsidP="003A1BEE">
                  <w:pPr>
                    <w:pStyle w:val="TableText"/>
                    <w:rPr>
                      <w:rFonts w:eastAsia="Wingdings"/>
                    </w:rPr>
                  </w:pPr>
                  <w:r w:rsidRPr="005D4222">
                    <w:rPr>
                      <w:rFonts w:eastAsia="Wingdings"/>
                    </w:rPr>
                    <w:t>For each Metric</w:t>
                  </w:r>
                </w:p>
              </w:tc>
            </w:tr>
            <w:tr w:rsidR="00A11672" w:rsidRPr="005D4222" w14:paraId="774B4C9D" w14:textId="77777777">
              <w:tc>
                <w:tcPr>
                  <w:tcW w:w="2909" w:type="dxa"/>
                  <w:tcBorders>
                    <w:top w:val="nil"/>
                    <w:left w:val="nil"/>
                    <w:bottom w:val="nil"/>
                    <w:right w:val="single" w:sz="4" w:space="0" w:color="auto"/>
                  </w:tcBorders>
                  <w:shd w:val="clear" w:color="auto" w:fill="FFFFFF" w:themeFill="background1"/>
                </w:tcPr>
                <w:p w14:paraId="675B0DDF" w14:textId="77777777" w:rsidR="00A11672" w:rsidRPr="005D4222" w:rsidRDefault="00A11672" w:rsidP="003A1BEE">
                  <w:pPr>
                    <w:pStyle w:val="TableText"/>
                  </w:pPr>
                </w:p>
              </w:tc>
              <w:tc>
                <w:tcPr>
                  <w:tcW w:w="248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B301AED" w14:textId="77777777" w:rsidR="00A11672" w:rsidRPr="005D4222" w:rsidRDefault="00A11672" w:rsidP="003A1BEE">
                  <w:pPr>
                    <w:pStyle w:val="TableText"/>
                  </w:pPr>
                  <w:r w:rsidRPr="005D4222">
                    <w:t>NumeratorBySupplemental</w:t>
                  </w:r>
                </w:p>
              </w:tc>
              <w:tc>
                <w:tcPr>
                  <w:tcW w:w="2430"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6F85B3B0" w14:textId="77777777" w:rsidR="00A11672" w:rsidRPr="005D4222" w:rsidRDefault="00A11672" w:rsidP="003A1BEE">
                  <w:pPr>
                    <w:pStyle w:val="TableText"/>
                    <w:rPr>
                      <w:rFonts w:eastAsia="Wingdings"/>
                    </w:rPr>
                  </w:pPr>
                  <w:r w:rsidRPr="005D4222">
                    <w:rPr>
                      <w:rFonts w:eastAsia="Wingdings"/>
                    </w:rPr>
                    <w:t>For each Metric</w:t>
                  </w:r>
                </w:p>
              </w:tc>
            </w:tr>
            <w:tr w:rsidR="00A11672" w:rsidRPr="005D4222" w14:paraId="790BE88E" w14:textId="77777777">
              <w:tc>
                <w:tcPr>
                  <w:tcW w:w="2909" w:type="dxa"/>
                  <w:tcBorders>
                    <w:top w:val="nil"/>
                    <w:left w:val="nil"/>
                    <w:bottom w:val="nil"/>
                    <w:right w:val="nil"/>
                  </w:tcBorders>
                  <w:shd w:val="clear" w:color="auto" w:fill="FFFFFF" w:themeFill="background1"/>
                </w:tcPr>
                <w:p w14:paraId="1EC70F9C" w14:textId="77777777" w:rsidR="00A11672" w:rsidRPr="005D4222" w:rsidRDefault="00A11672" w:rsidP="003A1BEE">
                  <w:pPr>
                    <w:pStyle w:val="TableText"/>
                  </w:pPr>
                </w:p>
              </w:tc>
              <w:tc>
                <w:tcPr>
                  <w:tcW w:w="248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5AE8ECA" w14:textId="77777777" w:rsidR="00A11672" w:rsidRPr="005D4222" w:rsidRDefault="00A11672" w:rsidP="003A1BEE">
                  <w:pPr>
                    <w:pStyle w:val="TableText"/>
                  </w:pPr>
                  <w:r w:rsidRPr="005D4222">
                    <w:t>Rate</w:t>
                  </w:r>
                </w:p>
              </w:tc>
              <w:tc>
                <w:tcPr>
                  <w:tcW w:w="2430" w:type="dxa"/>
                  <w:tcBorders>
                    <w:top w:val="single" w:sz="6" w:space="0" w:color="auto"/>
                    <w:left w:val="single" w:sz="4" w:space="0" w:color="auto"/>
                    <w:bottom w:val="single" w:sz="6" w:space="0" w:color="auto"/>
                    <w:right w:val="single" w:sz="4" w:space="0" w:color="auto"/>
                  </w:tcBorders>
                  <w:shd w:val="clear" w:color="auto" w:fill="D9D9D9" w:themeFill="background1" w:themeFillShade="D9"/>
                  <w:hideMark/>
                </w:tcPr>
                <w:p w14:paraId="24A8C14A" w14:textId="77777777" w:rsidR="00A11672" w:rsidRPr="005D4222" w:rsidRDefault="00A11672" w:rsidP="003A1BEE">
                  <w:pPr>
                    <w:pStyle w:val="TableText"/>
                    <w:rPr>
                      <w:rFonts w:eastAsia="Wingdings"/>
                    </w:rPr>
                  </w:pPr>
                  <w:r w:rsidRPr="005D4222">
                    <w:rPr>
                      <w:rFonts w:eastAsia="Wingdings"/>
                    </w:rPr>
                    <w:t>(Percent)</w:t>
                  </w:r>
                </w:p>
              </w:tc>
            </w:tr>
          </w:tbl>
          <w:p w14:paraId="58E58406" w14:textId="77777777" w:rsidR="00A11672" w:rsidRPr="005D4222" w:rsidRDefault="00A11672" w:rsidP="00A11672">
            <w:pPr>
              <w:tabs>
                <w:tab w:val="left" w:pos="432"/>
              </w:tabs>
              <w:spacing w:before="40" w:after="40"/>
              <w:rPr>
                <w:rFonts w:cs="Arial"/>
                <w:color w:val="000000" w:themeColor="text1"/>
                <w:szCs w:val="21"/>
                <w:highlight w:val="yellow"/>
              </w:rPr>
            </w:pPr>
          </w:p>
        </w:tc>
      </w:tr>
      <w:tr w:rsidR="00A11672" w:rsidRPr="005D4222" w14:paraId="0BDA5F94" w14:textId="77777777" w:rsidTr="001425D8">
        <w:trPr>
          <w:trHeight w:val="45"/>
        </w:trPr>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5C76362" w14:textId="77777777" w:rsidR="00A11672" w:rsidRPr="005D4222" w:rsidRDefault="00A11672" w:rsidP="003A1BEE">
            <w:pPr>
              <w:pStyle w:val="ECDSMarginHead"/>
            </w:pPr>
            <w:r w:rsidRPr="005D4222">
              <w:t>Rules for Allowable Adjustments</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D3C7EA5" w14:textId="77777777" w:rsidR="00A11672" w:rsidRPr="005D4222" w:rsidRDefault="00A11672" w:rsidP="003A1BEE">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54D343D3" w14:textId="77777777" w:rsidR="00A11672" w:rsidRPr="005D4222" w:rsidRDefault="00A11672" w:rsidP="003A1BEE">
            <w:pPr>
              <w:pStyle w:val="ECDSBody"/>
              <w:rPr>
                <w:b/>
              </w:rPr>
            </w:pPr>
            <w:r w:rsidRPr="005D4222">
              <w:rPr>
                <w:b/>
              </w:rPr>
              <w:t>Adjusted HEDIS measures may not be used for HEDIS health plan reporting.</w:t>
            </w:r>
          </w:p>
          <w:p w14:paraId="47DDE538" w14:textId="77777777" w:rsidR="00A11672" w:rsidRPr="005D4222" w:rsidRDefault="00A11672" w:rsidP="003A1BEE">
            <w:pPr>
              <w:pStyle w:val="Adjustments"/>
            </w:pPr>
            <w:r w:rsidRPr="005D4222">
              <w:t>Adjustments</w:t>
            </w:r>
            <w:r w:rsidRPr="005D4222">
              <w:rPr>
                <w:bCs/>
              </w:rPr>
              <w:t xml:space="preserve"> a</w:t>
            </w:r>
            <w:r w:rsidRPr="005D4222">
              <w:t>llowed</w:t>
            </w:r>
          </w:p>
          <w:p w14:paraId="26AF80F1" w14:textId="1BBD5ED4" w:rsidR="00A11672" w:rsidRPr="005D4222" w:rsidRDefault="00A11672" w:rsidP="003A1BEE">
            <w:pPr>
              <w:pStyle w:val="ProcessBullet"/>
              <w:spacing w:after="80"/>
              <w:rPr>
                <w:b/>
              </w:rPr>
            </w:pPr>
            <w:r w:rsidRPr="005D4222">
              <w:rPr>
                <w:i/>
              </w:rPr>
              <w:t>Product lines</w:t>
            </w:r>
            <w:r w:rsidRPr="005D4222">
              <w:t xml:space="preserve">. </w:t>
            </w:r>
            <w:r w:rsidR="00C94F14" w:rsidRPr="005D4222">
              <w:rPr>
                <w:rFonts w:eastAsia="Arial"/>
              </w:rPr>
              <w:t>Organizations are not required to use product line criteria; product lines may be combined</w:t>
            </w:r>
            <w:r w:rsidR="00E8671F" w:rsidRPr="005D4222">
              <w:rPr>
                <w:rFonts w:eastAsia="Arial"/>
              </w:rPr>
              <w:t>,</w:t>
            </w:r>
            <w:r w:rsidR="00C94F14" w:rsidRPr="005D4222">
              <w:rPr>
                <w:rFonts w:eastAsia="Arial"/>
              </w:rPr>
              <w:t xml:space="preserve"> and all (or no) product line criteria may be used.</w:t>
            </w:r>
          </w:p>
          <w:p w14:paraId="30E993DD" w14:textId="72707FA7" w:rsidR="00BA590D" w:rsidRPr="005D4222" w:rsidRDefault="00A11672" w:rsidP="00BA590D">
            <w:pPr>
              <w:pStyle w:val="ProcessBullet"/>
              <w:spacing w:after="80"/>
            </w:pPr>
            <w:r w:rsidRPr="005D4222">
              <w:rPr>
                <w:rFonts w:eastAsia="Arial"/>
                <w:i/>
              </w:rPr>
              <w:t xml:space="preserve">Attribution. </w:t>
            </w:r>
            <w:r w:rsidRPr="005D4222">
              <w:rPr>
                <w:rFonts w:eastAsia="Arial"/>
              </w:rPr>
              <w:t>Organizations are not required to use enrollment criteria.</w:t>
            </w:r>
          </w:p>
        </w:tc>
      </w:tr>
      <w:tr w:rsidR="00A11672" w:rsidRPr="005D4222" w14:paraId="56995AE1" w14:textId="77777777" w:rsidTr="001425D8">
        <w:trPr>
          <w:trHeight w:val="45"/>
        </w:trPr>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3915F85" w14:textId="77777777" w:rsidR="00A11672" w:rsidRPr="005D4222" w:rsidRDefault="00A11672" w:rsidP="00A11672">
            <w:pPr>
              <w:spacing w:before="120" w:after="80"/>
              <w:rPr>
                <w:b/>
                <w:sz w:val="22"/>
                <w:szCs w:val="21"/>
              </w:rPr>
            </w:pP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900B18F" w14:textId="77777777" w:rsidR="00BA590D" w:rsidRPr="005D4222" w:rsidRDefault="00BA590D" w:rsidP="00BA590D">
            <w:pPr>
              <w:pStyle w:val="ProcessBullet"/>
              <w:spacing w:after="80"/>
            </w:pPr>
            <w:r w:rsidRPr="005D4222">
              <w:rPr>
                <w:rFonts w:eastAsia="Arial"/>
                <w:i/>
              </w:rPr>
              <w:t xml:space="preserve">Benefits. </w:t>
            </w:r>
            <w:r w:rsidRPr="005D4222">
              <w:rPr>
                <w:rFonts w:eastAsia="Arial"/>
              </w:rPr>
              <w:t>Organizations are not required to use enrollment criteria.</w:t>
            </w:r>
          </w:p>
          <w:p w14:paraId="0B0A5859" w14:textId="77777777" w:rsidR="00A11672" w:rsidRPr="005D4222" w:rsidRDefault="00A11672" w:rsidP="003A1BEE">
            <w:pPr>
              <w:pStyle w:val="ProcessBullet"/>
            </w:pPr>
            <w:r w:rsidRPr="005D4222">
              <w:rPr>
                <w:rFonts w:eastAsia="Arial"/>
                <w:i/>
              </w:rPr>
              <w:t xml:space="preserve">Other. </w:t>
            </w:r>
            <w:r w:rsidRPr="005D4222">
              <w:rPr>
                <w:rFonts w:eastAsia="Arial"/>
              </w:rPr>
              <w:t>Organizations may use additional initial population criteria to focus on an area of interest defined by gender, race, ethnicity, socioeconomic or sociodemographic characteristics, geographic region or another characteristic.</w:t>
            </w:r>
            <w:r w:rsidRPr="005D4222">
              <w:rPr>
                <w:rFonts w:ascii="Arial Narrow" w:eastAsia="Arial" w:hAnsi="Arial Narrow"/>
              </w:rPr>
              <w:t xml:space="preserve"> </w:t>
            </w:r>
          </w:p>
          <w:p w14:paraId="26EBF872" w14:textId="14BE3845" w:rsidR="00A11672" w:rsidRPr="005D4222" w:rsidRDefault="00A11672" w:rsidP="003A1BEE">
            <w:pPr>
              <w:pStyle w:val="ProcessBullet"/>
              <w:rPr>
                <w:b/>
              </w:rPr>
            </w:pPr>
            <w:r w:rsidRPr="005D4222">
              <w:rPr>
                <w:rFonts w:eastAsia="Arial"/>
                <w:i/>
              </w:rPr>
              <w:t>E</w:t>
            </w:r>
            <w:r w:rsidRPr="005D4222" w:rsidDel="00863E1C">
              <w:rPr>
                <w:rFonts w:eastAsia="Arial"/>
                <w:i/>
              </w:rPr>
              <w:t>xclusions</w:t>
            </w:r>
            <w:r w:rsidRPr="005D4222">
              <w:rPr>
                <w:rFonts w:eastAsia="Arial"/>
                <w:i/>
              </w:rPr>
              <w:t xml:space="preserve">. </w:t>
            </w:r>
            <w:r w:rsidR="00C94F14" w:rsidRPr="005D4222">
              <w:rPr>
                <w:rFonts w:eastAsia="Arial"/>
                <w:iCs/>
              </w:rPr>
              <w:t>The h</w:t>
            </w:r>
            <w:r w:rsidRPr="005D4222">
              <w:rPr>
                <w:rFonts w:eastAsia="Arial"/>
              </w:rPr>
              <w:t xml:space="preserve">ospice and deceased person exclusions are not required. </w:t>
            </w:r>
          </w:p>
          <w:p w14:paraId="45A6E409" w14:textId="6E1A0B68" w:rsidR="00A11672" w:rsidRPr="005D4222" w:rsidRDefault="00A11672" w:rsidP="003A1BEE">
            <w:pPr>
              <w:pStyle w:val="ProcessBullet"/>
            </w:pPr>
            <w:r w:rsidRPr="005D4222">
              <w:rPr>
                <w:i/>
              </w:rPr>
              <w:t xml:space="preserve">Telehealth. </w:t>
            </w:r>
            <w:r w:rsidRPr="005D4222">
              <w:t xml:space="preserve">Services/events that allow the use of synchronous telehealth visits, telephone visits and asynchronous telehealth (e-visits, virtual check-ins) may be stratified to identify services performed via telehealth. This adjustment is not allowed for </w:t>
            </w:r>
            <w:r w:rsidR="00F45777" w:rsidRPr="005D4222">
              <w:t>events</w:t>
            </w:r>
            <w:r w:rsidRPr="005D4222">
              <w:t>, numerators and exclusions that do not allow the use of telehealth.</w:t>
            </w:r>
          </w:p>
          <w:p w14:paraId="2E871712" w14:textId="77777777" w:rsidR="00A11672" w:rsidRPr="005D4222" w:rsidRDefault="00A11672" w:rsidP="003A1BEE">
            <w:pPr>
              <w:pStyle w:val="ProcessBullet"/>
            </w:pPr>
            <w:r w:rsidRPr="005D4222">
              <w:rPr>
                <w:i/>
                <w:iCs/>
              </w:rPr>
              <w:t>Supplemental data.</w:t>
            </w:r>
            <w:r w:rsidRPr="005D4222">
              <w:t xml:space="preserve"> Supplemental data may be used to identify initial population, denominator, exclusion and numerator events.</w:t>
            </w:r>
          </w:p>
          <w:p w14:paraId="0F8CD34D" w14:textId="77777777" w:rsidR="00A11672" w:rsidRPr="005D4222" w:rsidRDefault="00A11672" w:rsidP="00A11672">
            <w:pPr>
              <w:pStyle w:val="Adjustments"/>
            </w:pPr>
            <w:r w:rsidRPr="005D4222">
              <w:t>Adjustments allowed with limits</w:t>
            </w:r>
          </w:p>
          <w:p w14:paraId="2892E892" w14:textId="77777777" w:rsidR="00A11672" w:rsidRPr="005D4222" w:rsidRDefault="00A11672" w:rsidP="003A1BEE">
            <w:pPr>
              <w:pStyle w:val="ProcessBullet"/>
            </w:pPr>
            <w:r w:rsidRPr="005D4222">
              <w:rPr>
                <w:i/>
              </w:rPr>
              <w:t>Ages</w:t>
            </w:r>
            <w:r w:rsidRPr="005D4222">
              <w:t>. The age determination dates may be changed (e.g., select “age as of June 30”). The denominator age may be changed if the range is within the specified age range (40 years and older). The denominator age may not be expanded.</w:t>
            </w:r>
          </w:p>
          <w:p w14:paraId="26F0FA57" w14:textId="2BF496BC" w:rsidR="00A11672" w:rsidRPr="005D4222" w:rsidRDefault="00A11672" w:rsidP="003A1BEE">
            <w:pPr>
              <w:pStyle w:val="ProcessBullet"/>
              <w:rPr>
                <w:b/>
                <w:bCs/>
              </w:rPr>
            </w:pPr>
            <w:r w:rsidRPr="005D4222">
              <w:rPr>
                <w:rFonts w:eastAsia="Arial"/>
                <w:i/>
                <w:iCs/>
              </w:rPr>
              <w:t>I</w:t>
            </w:r>
            <w:r w:rsidRPr="005D4222">
              <w:rPr>
                <w:rFonts w:eastAsia="Arial"/>
                <w:i/>
              </w:rPr>
              <w:t>nitial population:</w:t>
            </w:r>
            <w:r w:rsidRPr="005D4222">
              <w:rPr>
                <w:rFonts w:eastAsia="Arial"/>
              </w:rPr>
              <w:t xml:space="preserve"> Event. Organizations may assess at the person level (vs. episode level) by applying measure logic appropriately (i.e., percentage of persons with COPD exacerbations). Value sets, medication lists</w:t>
            </w:r>
            <w:r w:rsidR="00DD46E4">
              <w:rPr>
                <w:rFonts w:eastAsia="Arial"/>
              </w:rPr>
              <w:t xml:space="preserve"> and logic</w:t>
            </w:r>
            <w:r w:rsidRPr="005D4222">
              <w:rPr>
                <w:rFonts w:eastAsia="Arial"/>
              </w:rPr>
              <w:t xml:space="preserve"> may not be changed.</w:t>
            </w:r>
          </w:p>
          <w:p w14:paraId="05C09228" w14:textId="77777777" w:rsidR="00A11672" w:rsidRPr="005D4222" w:rsidRDefault="00A11672" w:rsidP="00A11672">
            <w:pPr>
              <w:pStyle w:val="Adjustments"/>
            </w:pPr>
            <w:r w:rsidRPr="005D4222">
              <w:t>Adjustments not allowed</w:t>
            </w:r>
          </w:p>
          <w:p w14:paraId="47B3C500" w14:textId="77777777" w:rsidR="00A11672" w:rsidRPr="005D4222" w:rsidRDefault="00A11672" w:rsidP="003A1BEE">
            <w:pPr>
              <w:pStyle w:val="ProcessBullet"/>
              <w:spacing w:after="80"/>
              <w:rPr>
                <w:b/>
                <w:i/>
              </w:rPr>
            </w:pPr>
            <w:r w:rsidRPr="005D4222">
              <w:rPr>
                <w:i/>
                <w:iCs/>
              </w:rPr>
              <w:t>Numerator.</w:t>
            </w:r>
            <w:r w:rsidRPr="005D4222">
              <w:t xml:space="preserve"> Medication lists, value sets and logic may not be changed for the Systemic Corticosteroid and Bronchodilator indicators. </w:t>
            </w:r>
          </w:p>
        </w:tc>
      </w:tr>
    </w:tbl>
    <w:p w14:paraId="5D7D4E47" w14:textId="77777777" w:rsidR="00580F6D" w:rsidRPr="005D4222" w:rsidRDefault="00580F6D" w:rsidP="00A11672">
      <w:pPr>
        <w:pStyle w:val="ECDSBody"/>
        <w:sectPr w:rsidR="00580F6D" w:rsidRPr="005D4222" w:rsidSect="0074514A">
          <w:headerReference w:type="default" r:id="rId93"/>
          <w:type w:val="nextColumn"/>
          <w:pgSz w:w="12240" w:h="15840" w:code="1"/>
          <w:pgMar w:top="1080" w:right="1080" w:bottom="1080" w:left="1440" w:header="720" w:footer="720" w:gutter="0"/>
          <w:cols w:space="720"/>
          <w:docGrid w:linePitch="360"/>
        </w:sectPr>
      </w:pPr>
    </w:p>
    <w:p w14:paraId="27A7974B" w14:textId="794B2974" w:rsidR="001B0A0A" w:rsidRPr="005D4222" w:rsidRDefault="001B0A0A" w:rsidP="00966DCB">
      <w:pPr>
        <w:pStyle w:val="BreakPage2"/>
        <w:rPr>
          <w:i w:val="0"/>
          <w:iCs w:val="0"/>
        </w:rPr>
      </w:pPr>
      <w:bookmarkStart w:id="280" w:name="_Toc201813395"/>
      <w:r w:rsidRPr="005D4222">
        <w:lastRenderedPageBreak/>
        <w:t>Cardiovascular Conditions</w:t>
      </w:r>
      <w:bookmarkEnd w:id="280"/>
    </w:p>
    <w:p w14:paraId="68D004BF" w14:textId="77777777" w:rsidR="001B0A0A" w:rsidRPr="005D4222" w:rsidRDefault="001B0A0A" w:rsidP="00966DCB">
      <w:pPr>
        <w:pStyle w:val="BreakPage2"/>
        <w:sectPr w:rsidR="001B0A0A" w:rsidRPr="005D4222" w:rsidSect="0074514A">
          <w:headerReference w:type="default" r:id="rId94"/>
          <w:footerReference w:type="default" r:id="rId95"/>
          <w:type w:val="nextColumn"/>
          <w:pgSz w:w="12240" w:h="15840" w:code="1"/>
          <w:pgMar w:top="1080" w:right="1080" w:bottom="1080" w:left="1440" w:header="720" w:footer="720" w:gutter="0"/>
          <w:cols w:space="720"/>
          <w:docGrid w:linePitch="360"/>
        </w:sectPr>
      </w:pPr>
    </w:p>
    <w:p w14:paraId="48CC8325" w14:textId="455C4301" w:rsidR="001B0A0A" w:rsidRPr="005D4222" w:rsidRDefault="00A24265" w:rsidP="001B0A0A">
      <w:pPr>
        <w:pStyle w:val="MeasureTitle"/>
      </w:pPr>
      <w:bookmarkStart w:id="281" w:name="_Toc201813396"/>
      <w:r w:rsidRPr="005D4222">
        <w:lastRenderedPageBreak/>
        <w:t>Controlling High Blood Pressure</w:t>
      </w:r>
      <w:r w:rsidR="004C0737" w:rsidRPr="005D4222">
        <w:t xml:space="preserve"> (CBP)</w:t>
      </w:r>
      <w:bookmarkEnd w:id="281"/>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2157"/>
        <w:gridCol w:w="4860"/>
        <w:gridCol w:w="1499"/>
        <w:gridCol w:w="1198"/>
      </w:tblGrid>
      <w:tr w:rsidR="00A24265" w:rsidRPr="005D4222" w14:paraId="1D7B175D" w14:textId="77777777">
        <w:trPr>
          <w:trHeight w:val="300"/>
        </w:trPr>
        <w:tc>
          <w:tcPr>
            <w:tcW w:w="2157" w:type="dxa"/>
            <w:shd w:val="clear" w:color="auto" w:fill="BFBFBF" w:themeFill="background1" w:themeFillShade="BF"/>
            <w:tcMar>
              <w:top w:w="0" w:type="dxa"/>
              <w:left w:w="86" w:type="dxa"/>
              <w:bottom w:w="43" w:type="dxa"/>
              <w:right w:w="86" w:type="dxa"/>
            </w:tcMar>
            <w:hideMark/>
          </w:tcPr>
          <w:p w14:paraId="76796009" w14:textId="77777777" w:rsidR="00A24265" w:rsidRPr="005D4222" w:rsidRDefault="00A24265" w:rsidP="007F1AD5">
            <w:pPr>
              <w:pStyle w:val="ECDSMarginHead"/>
            </w:pPr>
            <w:r w:rsidRPr="005D4222">
              <w:t>Measure title</w:t>
            </w:r>
          </w:p>
        </w:tc>
        <w:tc>
          <w:tcPr>
            <w:tcW w:w="4860" w:type="dxa"/>
            <w:tcMar>
              <w:top w:w="0" w:type="dxa"/>
              <w:left w:w="86" w:type="dxa"/>
              <w:bottom w:w="43" w:type="dxa"/>
              <w:right w:w="86" w:type="dxa"/>
            </w:tcMar>
          </w:tcPr>
          <w:p w14:paraId="29663188" w14:textId="77777777" w:rsidR="00A24265" w:rsidRPr="005D4222" w:rsidRDefault="00A24265" w:rsidP="00585AD8">
            <w:pPr>
              <w:pStyle w:val="ECDSBody"/>
            </w:pPr>
            <w:r w:rsidRPr="005D4222">
              <w:t>Controlling High Blood Pressure</w:t>
            </w:r>
          </w:p>
        </w:tc>
        <w:tc>
          <w:tcPr>
            <w:tcW w:w="1499" w:type="dxa"/>
            <w:shd w:val="clear" w:color="auto" w:fill="BFBFBF" w:themeFill="background1" w:themeFillShade="BF"/>
            <w:tcMar>
              <w:top w:w="0" w:type="dxa"/>
              <w:left w:w="86" w:type="dxa"/>
              <w:bottom w:w="43" w:type="dxa"/>
              <w:right w:w="86" w:type="dxa"/>
            </w:tcMar>
          </w:tcPr>
          <w:p w14:paraId="5086F669" w14:textId="77777777" w:rsidR="00A24265" w:rsidRPr="005D4222" w:rsidRDefault="00A24265" w:rsidP="00585AD8">
            <w:pPr>
              <w:pStyle w:val="ECDSBody"/>
              <w:rPr>
                <w:b/>
              </w:rPr>
            </w:pPr>
            <w:r w:rsidRPr="005D4222">
              <w:rPr>
                <w:b/>
              </w:rPr>
              <w:t>Measure ID</w:t>
            </w:r>
          </w:p>
        </w:tc>
        <w:tc>
          <w:tcPr>
            <w:tcW w:w="1198" w:type="dxa"/>
            <w:tcMar>
              <w:top w:w="0" w:type="dxa"/>
              <w:left w:w="86" w:type="dxa"/>
              <w:bottom w:w="43" w:type="dxa"/>
              <w:right w:w="86" w:type="dxa"/>
            </w:tcMar>
          </w:tcPr>
          <w:p w14:paraId="64A80956" w14:textId="77777777" w:rsidR="00A24265" w:rsidRPr="005D4222" w:rsidRDefault="00A24265" w:rsidP="00585AD8">
            <w:pPr>
              <w:pStyle w:val="ECDSBody"/>
            </w:pPr>
            <w:r w:rsidRPr="005D4222">
              <w:t xml:space="preserve">CBP </w:t>
            </w:r>
          </w:p>
        </w:tc>
      </w:tr>
      <w:tr w:rsidR="00A24265" w:rsidRPr="005D4222" w14:paraId="5F2CA798" w14:textId="77777777">
        <w:trPr>
          <w:trHeight w:val="300"/>
        </w:trPr>
        <w:tc>
          <w:tcPr>
            <w:tcW w:w="2157" w:type="dxa"/>
            <w:shd w:val="clear" w:color="auto" w:fill="BFBFBF" w:themeFill="background1" w:themeFillShade="BF"/>
            <w:tcMar>
              <w:top w:w="0" w:type="dxa"/>
              <w:left w:w="86" w:type="dxa"/>
              <w:bottom w:w="43" w:type="dxa"/>
              <w:right w:w="86" w:type="dxa"/>
            </w:tcMar>
            <w:hideMark/>
          </w:tcPr>
          <w:p w14:paraId="163C0C93" w14:textId="77777777" w:rsidR="00A24265" w:rsidRPr="005D4222" w:rsidRDefault="00A24265" w:rsidP="007F1AD5">
            <w:pPr>
              <w:pStyle w:val="ECDSMarginHead"/>
            </w:pPr>
            <w:r w:rsidRPr="005D4222">
              <w:t>Description</w:t>
            </w:r>
          </w:p>
        </w:tc>
        <w:tc>
          <w:tcPr>
            <w:tcW w:w="7557" w:type="dxa"/>
            <w:gridSpan w:val="3"/>
            <w:tcMar>
              <w:top w:w="0" w:type="dxa"/>
              <w:left w:w="86" w:type="dxa"/>
              <w:bottom w:w="43" w:type="dxa"/>
              <w:right w:w="86" w:type="dxa"/>
            </w:tcMar>
          </w:tcPr>
          <w:p w14:paraId="18BB2950" w14:textId="77777777" w:rsidR="00A24265" w:rsidRPr="005D4222" w:rsidRDefault="00A24265" w:rsidP="00585AD8">
            <w:pPr>
              <w:pStyle w:val="ECDSBody"/>
            </w:pPr>
            <w:r w:rsidRPr="005D4222">
              <w:t>The percentage of persons 18–85 years of age who had a diagnosis of hypertension (HTN)</w:t>
            </w:r>
            <w:r w:rsidRPr="005D4222" w:rsidDel="00FE3804">
              <w:t xml:space="preserve"> </w:t>
            </w:r>
            <w:r w:rsidRPr="005D4222">
              <w:t>and whose blood pressure (BP) was adequately controlled (&lt;140/90 mm Hg) during the measurement period.</w:t>
            </w:r>
          </w:p>
        </w:tc>
      </w:tr>
      <w:tr w:rsidR="00A24265" w:rsidRPr="005D4222" w14:paraId="5A757829" w14:textId="77777777">
        <w:trPr>
          <w:trHeight w:val="300"/>
        </w:trPr>
        <w:tc>
          <w:tcPr>
            <w:tcW w:w="2157" w:type="dxa"/>
            <w:shd w:val="clear" w:color="auto" w:fill="BFBFBF" w:themeFill="background1" w:themeFillShade="BF"/>
            <w:tcMar>
              <w:top w:w="0" w:type="dxa"/>
              <w:left w:w="86" w:type="dxa"/>
              <w:bottom w:w="43" w:type="dxa"/>
              <w:right w:w="86" w:type="dxa"/>
            </w:tcMar>
          </w:tcPr>
          <w:p w14:paraId="4F2661A3" w14:textId="77777777" w:rsidR="00A24265" w:rsidRPr="005D4222" w:rsidRDefault="00A24265" w:rsidP="007F1AD5">
            <w:pPr>
              <w:pStyle w:val="ECDSMarginHead"/>
            </w:pPr>
            <w:r w:rsidRPr="005D4222">
              <w:t>Measurement period</w:t>
            </w:r>
          </w:p>
        </w:tc>
        <w:tc>
          <w:tcPr>
            <w:tcW w:w="7557" w:type="dxa"/>
            <w:gridSpan w:val="3"/>
            <w:tcMar>
              <w:top w:w="0" w:type="dxa"/>
              <w:left w:w="86" w:type="dxa"/>
              <w:bottom w:w="43" w:type="dxa"/>
              <w:right w:w="86" w:type="dxa"/>
            </w:tcMar>
          </w:tcPr>
          <w:p w14:paraId="0E7C87E1" w14:textId="77777777" w:rsidR="00A24265" w:rsidRPr="005D4222" w:rsidRDefault="00A24265" w:rsidP="00585AD8">
            <w:pPr>
              <w:pStyle w:val="ECDSBody"/>
            </w:pPr>
            <w:r w:rsidRPr="005D4222">
              <w:t>January 1–December 31.</w:t>
            </w:r>
          </w:p>
        </w:tc>
      </w:tr>
      <w:tr w:rsidR="00A24265" w:rsidRPr="005D4222" w14:paraId="09AF957E" w14:textId="77777777">
        <w:trPr>
          <w:trHeight w:val="300"/>
        </w:trPr>
        <w:tc>
          <w:tcPr>
            <w:tcW w:w="2157" w:type="dxa"/>
            <w:shd w:val="clear" w:color="auto" w:fill="BFBFBF" w:themeFill="background1" w:themeFillShade="BF"/>
            <w:tcMar>
              <w:top w:w="0" w:type="dxa"/>
              <w:left w:w="86" w:type="dxa"/>
              <w:bottom w:w="43" w:type="dxa"/>
              <w:right w:w="86" w:type="dxa"/>
            </w:tcMar>
            <w:hideMark/>
          </w:tcPr>
          <w:p w14:paraId="678FAA4A" w14:textId="77777777" w:rsidR="00A24265" w:rsidRPr="005D4222" w:rsidRDefault="00A24265" w:rsidP="007F1AD5">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0D84BA38" w14:textId="77777777" w:rsidR="00A24265" w:rsidRPr="005D4222" w:rsidRDefault="00A24265" w:rsidP="00585AD8">
            <w:pPr>
              <w:pStyle w:val="ECDSBody"/>
            </w:pPr>
            <w:r w:rsidRPr="005D4222">
              <w:t xml:space="preserve">Refer to the complete copyright and disclaimer information at the front of this publication. </w:t>
            </w:r>
          </w:p>
          <w:p w14:paraId="37E8A7F2" w14:textId="77777777" w:rsidR="00A24265" w:rsidRPr="005D4222" w:rsidRDefault="00A24265" w:rsidP="00585AD8">
            <w:pPr>
              <w:pStyle w:val="ECDSBody"/>
            </w:pPr>
            <w:r w:rsidRPr="005D4222">
              <w:t xml:space="preserve">NCQA website: </w:t>
            </w:r>
            <w:r w:rsidRPr="005D4222">
              <w:rPr>
                <w:u w:val="single"/>
              </w:rPr>
              <w:t>www.ncqa.org</w:t>
            </w:r>
            <w:r w:rsidRPr="005D4222">
              <w:t>.</w:t>
            </w:r>
          </w:p>
          <w:p w14:paraId="737FD231" w14:textId="77777777" w:rsidR="00A24265" w:rsidRPr="005D4222" w:rsidRDefault="00A24265" w:rsidP="00585AD8">
            <w:pPr>
              <w:pStyle w:val="ECDSBody"/>
            </w:pPr>
            <w:r w:rsidRPr="005D4222">
              <w:t>Submit policy clarification support questions via My NCQA (</w:t>
            </w:r>
            <w:r w:rsidRPr="005D4222">
              <w:rPr>
                <w:u w:val="single"/>
              </w:rPr>
              <w:t>https://my.ncqa.org</w:t>
            </w:r>
            <w:r w:rsidRPr="005D4222">
              <w:t>).</w:t>
            </w:r>
          </w:p>
        </w:tc>
      </w:tr>
      <w:tr w:rsidR="00A24265" w:rsidRPr="005D4222" w14:paraId="389979E5" w14:textId="77777777">
        <w:trPr>
          <w:trHeight w:val="300"/>
        </w:trPr>
        <w:tc>
          <w:tcPr>
            <w:tcW w:w="2157" w:type="dxa"/>
            <w:shd w:val="clear" w:color="auto" w:fill="BFBFBF" w:themeFill="background1" w:themeFillShade="BF"/>
            <w:tcMar>
              <w:top w:w="0" w:type="dxa"/>
              <w:left w:w="86" w:type="dxa"/>
              <w:bottom w:w="43" w:type="dxa"/>
              <w:right w:w="86" w:type="dxa"/>
            </w:tcMar>
            <w:hideMark/>
          </w:tcPr>
          <w:p w14:paraId="3006C7A2" w14:textId="77777777" w:rsidR="00A24265" w:rsidRPr="005D4222" w:rsidRDefault="00A24265" w:rsidP="007F1AD5">
            <w:pPr>
              <w:pStyle w:val="ECDSMarginHead"/>
            </w:pPr>
            <w:r w:rsidRPr="005D4222">
              <w:t>Clinical recommendation statement/ rationale</w:t>
            </w:r>
          </w:p>
        </w:tc>
        <w:tc>
          <w:tcPr>
            <w:tcW w:w="7557" w:type="dxa"/>
            <w:gridSpan w:val="3"/>
            <w:tcMar>
              <w:top w:w="0" w:type="dxa"/>
              <w:left w:w="86" w:type="dxa"/>
              <w:bottom w:w="43" w:type="dxa"/>
              <w:right w:w="86" w:type="dxa"/>
            </w:tcMar>
          </w:tcPr>
          <w:p w14:paraId="0F2568EC" w14:textId="77777777" w:rsidR="00A24265" w:rsidRPr="005D4222" w:rsidRDefault="00A24265" w:rsidP="00585AD8">
            <w:pPr>
              <w:pStyle w:val="ECDSBody"/>
              <w:rPr>
                <w:rFonts w:eastAsia="Arial"/>
              </w:rPr>
            </w:pPr>
            <w:r w:rsidRPr="005D4222">
              <w:rPr>
                <w:rFonts w:eastAsia="Arial"/>
              </w:rPr>
              <w:t>The American Academy of Family Physicians (AAFP) strongly recommends clinicians treat adults who have hypertension to a standard blood pressure target (&lt;140/90 mm Hg) to reduce the risk of all-cause and cardiovascular mortality.</w:t>
            </w:r>
          </w:p>
          <w:p w14:paraId="2936DBC2" w14:textId="77777777" w:rsidR="00A24265" w:rsidRPr="005D4222" w:rsidRDefault="00A24265" w:rsidP="00585AD8">
            <w:pPr>
              <w:pStyle w:val="ECDSBody"/>
            </w:pPr>
            <w:r w:rsidRPr="005D4222">
              <w:rPr>
                <w:rFonts w:eastAsia="Arial"/>
              </w:rPr>
              <w:t>The Joint National Committee recommends that pharmacologic treatment be initiated in the general population &lt;60 years, to lower systolic BP ≥140 mm Hg (and treat to a goal of systolic BP &lt;140 mm Hg) and to lower diastolic BP ≥90 mm Hg (and treat to a goal of diastolic BP &lt;90 mm Hg).</w:t>
            </w:r>
          </w:p>
        </w:tc>
      </w:tr>
      <w:tr w:rsidR="00A24265" w:rsidRPr="005D4222" w14:paraId="42F556A2" w14:textId="77777777">
        <w:trPr>
          <w:trHeight w:val="300"/>
        </w:trPr>
        <w:tc>
          <w:tcPr>
            <w:tcW w:w="2157" w:type="dxa"/>
            <w:shd w:val="clear" w:color="auto" w:fill="BFBFBF" w:themeFill="background1" w:themeFillShade="BF"/>
            <w:tcMar>
              <w:top w:w="0" w:type="dxa"/>
              <w:left w:w="86" w:type="dxa"/>
              <w:bottom w:w="43" w:type="dxa"/>
              <w:right w:w="86" w:type="dxa"/>
            </w:tcMar>
          </w:tcPr>
          <w:p w14:paraId="72E6068D" w14:textId="77777777" w:rsidR="00A24265" w:rsidRPr="005D4222" w:rsidRDefault="00A24265" w:rsidP="007F1AD5">
            <w:pPr>
              <w:pStyle w:val="ECDSMarginHead"/>
            </w:pPr>
            <w:r w:rsidRPr="005D4222">
              <w:t>Citations</w:t>
            </w:r>
          </w:p>
        </w:tc>
        <w:tc>
          <w:tcPr>
            <w:tcW w:w="7557" w:type="dxa"/>
            <w:gridSpan w:val="3"/>
            <w:tcMar>
              <w:top w:w="0" w:type="dxa"/>
              <w:left w:w="86" w:type="dxa"/>
              <w:bottom w:w="43" w:type="dxa"/>
              <w:right w:w="86" w:type="dxa"/>
            </w:tcMar>
          </w:tcPr>
          <w:p w14:paraId="7D96508C" w14:textId="77777777" w:rsidR="00A24265" w:rsidRPr="005D4222" w:rsidRDefault="00A24265" w:rsidP="00585AD8">
            <w:pPr>
              <w:pStyle w:val="ECDSBody"/>
              <w:rPr>
                <w:rFonts w:eastAsia="Arial"/>
              </w:rPr>
            </w:pPr>
            <w:r w:rsidRPr="005D4222">
              <w:rPr>
                <w:rFonts w:eastAsia="Arial"/>
                <w:color w:val="000000" w:themeColor="text1"/>
              </w:rPr>
              <w:t>Coles, S., L. Fisher, K. Lin, C. Lyon, A. Vosooney, and M. Bird. “Blood Pressure Targets in Adults With Hypertension: A Clinical Practice Guideline From the AAFP.” November 14, 2022.</w:t>
            </w:r>
          </w:p>
          <w:p w14:paraId="0A9CF87C" w14:textId="77777777" w:rsidR="00A24265" w:rsidRPr="005D4222" w:rsidRDefault="00A24265" w:rsidP="00585AD8">
            <w:pPr>
              <w:pStyle w:val="ECDSBody"/>
            </w:pPr>
            <w:r w:rsidRPr="005D4222">
              <w:rPr>
                <w:rFonts w:eastAsia="Arial"/>
                <w:color w:val="000000" w:themeColor="text1"/>
              </w:rPr>
              <w:t xml:space="preserve">James, P.A., S. Oparil, B.L. Carter, W.C. Cushman, C. Dennison-Himmelfarb, J. Handler, D.T. Lackland, et al. “2014 Evidence-Based Guideline for the Management of High Blood Pressure in Adults: Report From the Panel Members Appointed to the Eighth Joint National Committee (JNC 8).” </w:t>
            </w:r>
            <w:r w:rsidRPr="005D4222">
              <w:rPr>
                <w:rFonts w:eastAsia="Arial"/>
                <w:i/>
                <w:iCs/>
                <w:color w:val="000000" w:themeColor="text1"/>
              </w:rPr>
              <w:t>JAMA</w:t>
            </w:r>
            <w:r w:rsidRPr="005D4222">
              <w:rPr>
                <w:rFonts w:eastAsia="Arial"/>
                <w:color w:val="000000" w:themeColor="text1"/>
              </w:rPr>
              <w:t xml:space="preserve"> 311, no. 5 (February 5, 2014): 507–20. </w:t>
            </w:r>
            <w:hyperlink r:id="rId96" w:history="1">
              <w:r w:rsidRPr="005D4222">
                <w:rPr>
                  <w:rFonts w:eastAsia="Arial"/>
                </w:rPr>
                <w:t>https://doi.org/10.1001/jama.2013.284427</w:t>
              </w:r>
            </w:hyperlink>
          </w:p>
        </w:tc>
      </w:tr>
      <w:tr w:rsidR="00A24265" w:rsidRPr="005D4222" w14:paraId="566BAA84" w14:textId="77777777">
        <w:trPr>
          <w:trHeight w:val="300"/>
        </w:trPr>
        <w:tc>
          <w:tcPr>
            <w:tcW w:w="9714" w:type="dxa"/>
            <w:gridSpan w:val="4"/>
            <w:tcBorders>
              <w:top w:val="single" w:sz="4" w:space="0" w:color="auto"/>
              <w:left w:val="single" w:sz="4" w:space="0" w:color="auto"/>
              <w:bottom w:val="nil"/>
              <w:right w:val="single" w:sz="4" w:space="0" w:color="auto"/>
            </w:tcBorders>
            <w:shd w:val="clear" w:color="auto" w:fill="BFBFBF" w:themeFill="background1" w:themeFillShade="BF"/>
            <w:tcMar>
              <w:top w:w="0" w:type="dxa"/>
              <w:left w:w="86" w:type="dxa"/>
              <w:bottom w:w="43" w:type="dxa"/>
              <w:right w:w="86" w:type="dxa"/>
            </w:tcMar>
          </w:tcPr>
          <w:p w14:paraId="5909576C" w14:textId="77777777" w:rsidR="00A24265" w:rsidRPr="005D4222" w:rsidRDefault="00A24265" w:rsidP="007F1AD5">
            <w:pPr>
              <w:pStyle w:val="ECDSMarginHead"/>
            </w:pPr>
            <w:r w:rsidRPr="005D4222">
              <w:t>Characteristics</w:t>
            </w:r>
          </w:p>
        </w:tc>
      </w:tr>
      <w:tr w:rsidR="00A24265" w:rsidRPr="005D4222" w14:paraId="59C2397C" w14:textId="77777777">
        <w:trPr>
          <w:trHeight w:val="300"/>
        </w:trPr>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7B797373" w14:textId="77777777" w:rsidR="00A24265" w:rsidRPr="005D4222" w:rsidRDefault="00A24265" w:rsidP="00FA4E3B">
            <w:pPr>
              <w:spacing w:before="120"/>
              <w:rPr>
                <w:rFonts w:cs="Arial"/>
                <w:b/>
                <w:sz w:val="22"/>
                <w:szCs w:val="21"/>
              </w:rPr>
            </w:pPr>
            <w:r w:rsidRPr="005D4222">
              <w:rPr>
                <w:rFonts w:cs="Arial"/>
                <w:b/>
                <w:sz w:val="22"/>
                <w:szCs w:val="21"/>
              </w:rPr>
              <w:t>Scoring</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7D4EF963" w14:textId="1A003E07" w:rsidR="00A24265" w:rsidRPr="005D4222" w:rsidRDefault="00122A34" w:rsidP="00FA4E3B">
            <w:pPr>
              <w:pStyle w:val="ECDSBody"/>
              <w:spacing w:after="0"/>
            </w:pPr>
            <w:r w:rsidRPr="005D4222">
              <w:t>Proportion</w:t>
            </w:r>
            <w:r w:rsidR="00A24265" w:rsidRPr="005D4222">
              <w:t>.</w:t>
            </w:r>
          </w:p>
        </w:tc>
      </w:tr>
      <w:tr w:rsidR="00A24265" w:rsidRPr="005D4222" w14:paraId="3E0FC57A" w14:textId="77777777" w:rsidTr="00FA4E3B">
        <w:trPr>
          <w:trHeight w:val="300"/>
        </w:trPr>
        <w:tc>
          <w:tcPr>
            <w:tcW w:w="2157" w:type="dxa"/>
            <w:tcBorders>
              <w:top w:val="nil"/>
              <w:left w:val="single" w:sz="4" w:space="0" w:color="auto"/>
              <w:bottom w:val="nil"/>
              <w:right w:val="single" w:sz="4" w:space="0" w:color="auto"/>
            </w:tcBorders>
            <w:tcMar>
              <w:top w:w="0" w:type="dxa"/>
              <w:left w:w="86" w:type="dxa"/>
              <w:bottom w:w="43" w:type="dxa"/>
              <w:right w:w="86" w:type="dxa"/>
            </w:tcMar>
          </w:tcPr>
          <w:p w14:paraId="0B2420E4" w14:textId="77777777" w:rsidR="00A24265" w:rsidRPr="005D4222" w:rsidRDefault="00A24265" w:rsidP="00FA4E3B">
            <w:pPr>
              <w:spacing w:before="120"/>
              <w:rPr>
                <w:rFonts w:cs="Arial"/>
                <w:b/>
                <w:sz w:val="22"/>
                <w:szCs w:val="21"/>
              </w:rPr>
            </w:pPr>
            <w:r w:rsidRPr="005D4222">
              <w:rPr>
                <w:rFonts w:cs="Arial"/>
                <w:b/>
                <w:sz w:val="22"/>
                <w:szCs w:val="21"/>
              </w:rPr>
              <w:t>Type</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040E9250" w14:textId="0D195C21" w:rsidR="00A24265" w:rsidRPr="005D4222" w:rsidRDefault="00122A34" w:rsidP="00FA4E3B">
            <w:pPr>
              <w:pStyle w:val="ECDSBody"/>
              <w:spacing w:after="0"/>
            </w:pPr>
            <w:r w:rsidRPr="005D4222">
              <w:t>Outcome</w:t>
            </w:r>
            <w:r w:rsidR="00A24265" w:rsidRPr="005D4222">
              <w:t>.</w:t>
            </w:r>
          </w:p>
        </w:tc>
      </w:tr>
      <w:tr w:rsidR="00A24265" w:rsidRPr="005D4222" w14:paraId="6B5070F0" w14:textId="77777777" w:rsidTr="00FA4E3B">
        <w:trPr>
          <w:trHeight w:val="300"/>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7E17BEEB" w14:textId="3C907A12" w:rsidR="00A24265" w:rsidRPr="005D4222" w:rsidRDefault="00B51CDC" w:rsidP="00A24265">
            <w:pPr>
              <w:spacing w:before="120" w:after="80"/>
              <w:rPr>
                <w:rFonts w:cs="Arial"/>
                <w:b/>
                <w:sz w:val="22"/>
                <w:szCs w:val="21"/>
              </w:rPr>
            </w:pPr>
            <w:r w:rsidRPr="005D4222">
              <w:rPr>
                <w:rFonts w:cs="Arial"/>
                <w:b/>
                <w:sz w:val="22"/>
                <w:szCs w:val="21"/>
              </w:rPr>
              <w:t>Product lines</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70044942" w14:textId="77777777" w:rsidR="00A24265" w:rsidRPr="005D4222" w:rsidRDefault="00A24265" w:rsidP="00585AD8">
            <w:pPr>
              <w:pStyle w:val="ProcessBullet"/>
            </w:pPr>
            <w:r w:rsidRPr="005D4222">
              <w:t>Commercial.</w:t>
            </w:r>
          </w:p>
          <w:p w14:paraId="6F7B6DF9" w14:textId="77777777" w:rsidR="00A24265" w:rsidRPr="005D4222" w:rsidRDefault="00A24265" w:rsidP="00585AD8">
            <w:pPr>
              <w:pStyle w:val="ProcessBullet"/>
            </w:pPr>
            <w:r w:rsidRPr="005D4222">
              <w:t>Medicaid.</w:t>
            </w:r>
          </w:p>
          <w:p w14:paraId="6D36D32E" w14:textId="77777777" w:rsidR="00A24265" w:rsidRPr="005D4222" w:rsidRDefault="00A24265" w:rsidP="00FA4E3B">
            <w:pPr>
              <w:pStyle w:val="ProcessBullet"/>
              <w:spacing w:after="80"/>
            </w:pPr>
            <w:r w:rsidRPr="005D4222">
              <w:t>Medicare.</w:t>
            </w:r>
          </w:p>
        </w:tc>
      </w:tr>
    </w:tbl>
    <w:p w14:paraId="47945218" w14:textId="77777777" w:rsidR="00FA4E3B" w:rsidRPr="005D4222" w:rsidRDefault="00FA4E3B">
      <w:pPr>
        <w:sectPr w:rsidR="00FA4E3B" w:rsidRPr="005D4222" w:rsidSect="0074514A">
          <w:headerReference w:type="default" r:id="rId97"/>
          <w:footerReference w:type="default" r:id="rId98"/>
          <w:type w:val="nextColumn"/>
          <w:pgSz w:w="12240" w:h="15840" w:code="1"/>
          <w:pgMar w:top="1080" w:right="1080" w:bottom="1080" w:left="1440" w:header="720" w:footer="720" w:gutter="0"/>
          <w:cols w:space="720"/>
          <w:docGrid w:linePitch="360"/>
        </w:sectPr>
      </w:pPr>
    </w:p>
    <w:tbl>
      <w:tblPr>
        <w:tblW w:w="9714" w:type="dxa"/>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2157"/>
        <w:gridCol w:w="7557"/>
      </w:tblGrid>
      <w:tr w:rsidR="00FA4E3B" w:rsidRPr="005D4222" w14:paraId="08D414F1" w14:textId="77777777" w:rsidTr="009A0027">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23968994" w14:textId="11B82B84" w:rsidR="00FA4E3B" w:rsidRPr="005D4222" w:rsidRDefault="00B51CDC" w:rsidP="00FA4E3B">
            <w:pPr>
              <w:pStyle w:val="ECDSSubhead"/>
            </w:pPr>
            <w:r w:rsidRPr="005D4222">
              <w:lastRenderedPageBreak/>
              <w:t>Stratifications</w:t>
            </w:r>
            <w:r w:rsidR="00FA4E3B" w:rsidRPr="005D4222">
              <w:t xml:space="preserve"> </w:t>
            </w: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6128C03D" w14:textId="77777777" w:rsidR="00FA4E3B" w:rsidRPr="005D4222" w:rsidRDefault="00FA4E3B">
            <w:pPr>
              <w:pStyle w:val="ECDSBody"/>
              <w:rPr>
                <w:lang w:eastAsia="zh-CN"/>
              </w:rPr>
            </w:pPr>
            <w:r w:rsidRPr="005D4222">
              <w:rPr>
                <w:lang w:eastAsia="zh-CN"/>
              </w:rPr>
              <w:t xml:space="preserve">Race. (Refer to </w:t>
            </w:r>
            <w:hyperlink w:anchor="GG_Race_and_Ethnicity" w:history="1">
              <w:r w:rsidRPr="005D4222">
                <w:rPr>
                  <w:rStyle w:val="Hyperlink"/>
                  <w:i/>
                  <w:iCs/>
                  <w:lang w:eastAsia="zh-CN"/>
                </w:rPr>
                <w:t>General Guideline: Race and Ethnicity Stratification</w:t>
              </w:r>
            </w:hyperlink>
            <w:r w:rsidRPr="005D4222">
              <w:rPr>
                <w:iCs/>
                <w:lang w:eastAsia="zh-CN"/>
              </w:rPr>
              <w:t>.</w:t>
            </w:r>
            <w:r w:rsidRPr="005D4222">
              <w:rPr>
                <w:lang w:eastAsia="zh-CN"/>
              </w:rPr>
              <w:t xml:space="preserve">) </w:t>
            </w:r>
          </w:p>
          <w:p w14:paraId="7363DD51" w14:textId="77777777" w:rsidR="00FA4E3B" w:rsidRPr="005D4222" w:rsidRDefault="00FA4E3B">
            <w:pPr>
              <w:pStyle w:val="Bullet"/>
              <w:rPr>
                <w:lang w:eastAsia="zh-CN"/>
              </w:rPr>
            </w:pPr>
            <w:r w:rsidRPr="005D4222">
              <w:rPr>
                <w:lang w:eastAsia="zh-CN"/>
              </w:rPr>
              <w:t xml:space="preserve">American Indian or Alaska Native. </w:t>
            </w:r>
          </w:p>
          <w:p w14:paraId="592E619D" w14:textId="77777777" w:rsidR="00FA4E3B" w:rsidRPr="005D4222" w:rsidRDefault="00FA4E3B">
            <w:pPr>
              <w:pStyle w:val="Bullet"/>
              <w:rPr>
                <w:lang w:eastAsia="zh-CN"/>
              </w:rPr>
            </w:pPr>
            <w:r w:rsidRPr="005D4222">
              <w:rPr>
                <w:lang w:eastAsia="zh-CN"/>
              </w:rPr>
              <w:t xml:space="preserve">Asian. </w:t>
            </w:r>
          </w:p>
          <w:p w14:paraId="6363A12B" w14:textId="77777777" w:rsidR="00FA4E3B" w:rsidRPr="005D4222" w:rsidRDefault="00FA4E3B">
            <w:pPr>
              <w:pStyle w:val="Bullet"/>
              <w:rPr>
                <w:rFonts w:asciiTheme="minorHAnsi" w:hAnsiTheme="minorHAnsi" w:cstheme="minorHAnsi"/>
                <w:sz w:val="18"/>
                <w:szCs w:val="18"/>
                <w:lang w:eastAsia="zh-CN"/>
              </w:rPr>
            </w:pPr>
            <w:r w:rsidRPr="005D4222">
              <w:rPr>
                <w:lang w:eastAsia="zh-CN"/>
              </w:rPr>
              <w:t>Black or African American.</w:t>
            </w:r>
          </w:p>
          <w:p w14:paraId="1BA12839" w14:textId="77777777" w:rsidR="00FA4E3B" w:rsidRPr="005D4222" w:rsidRDefault="00FA4E3B" w:rsidP="00FA4E3B">
            <w:pPr>
              <w:pStyle w:val="Bullet"/>
              <w:rPr>
                <w:rFonts w:asciiTheme="minorHAnsi" w:hAnsiTheme="minorHAnsi" w:cstheme="minorHAnsi"/>
                <w:sz w:val="18"/>
                <w:szCs w:val="18"/>
                <w:lang w:eastAsia="zh-CN"/>
              </w:rPr>
            </w:pPr>
            <w:r w:rsidRPr="005D4222">
              <w:rPr>
                <w:lang w:eastAsia="zh-CN"/>
              </w:rPr>
              <w:t>Middle Eastern or North African.</w:t>
            </w:r>
          </w:p>
          <w:p w14:paraId="1090CC68" w14:textId="77777777" w:rsidR="00FA4E3B" w:rsidRPr="005D4222" w:rsidRDefault="00FA4E3B" w:rsidP="00FA4E3B">
            <w:pPr>
              <w:pStyle w:val="Bullet"/>
              <w:rPr>
                <w:lang w:eastAsia="zh-CN"/>
              </w:rPr>
            </w:pPr>
            <w:r w:rsidRPr="005D4222">
              <w:rPr>
                <w:lang w:eastAsia="zh-CN"/>
              </w:rPr>
              <w:t>Native Hawaiian or Pacific Islander.</w:t>
            </w:r>
          </w:p>
          <w:p w14:paraId="1DFE6004" w14:textId="77777777" w:rsidR="00FA4E3B" w:rsidRPr="005D4222" w:rsidRDefault="00FA4E3B" w:rsidP="00FA4E3B">
            <w:pPr>
              <w:pStyle w:val="Bullet"/>
              <w:rPr>
                <w:lang w:eastAsia="zh-CN"/>
              </w:rPr>
            </w:pPr>
            <w:r w:rsidRPr="005D4222">
              <w:rPr>
                <w:lang w:eastAsia="zh-CN"/>
              </w:rPr>
              <w:t xml:space="preserve">White. </w:t>
            </w:r>
          </w:p>
          <w:p w14:paraId="42B62FB4" w14:textId="77777777" w:rsidR="00FA4E3B" w:rsidRPr="005D4222" w:rsidRDefault="00FA4E3B" w:rsidP="00FA4E3B">
            <w:pPr>
              <w:pStyle w:val="Bullet"/>
              <w:rPr>
                <w:lang w:eastAsia="zh-CN"/>
              </w:rPr>
            </w:pPr>
            <w:r w:rsidRPr="005D4222">
              <w:rPr>
                <w:lang w:eastAsia="zh-CN"/>
              </w:rPr>
              <w:t xml:space="preserve">Some Other Race. </w:t>
            </w:r>
          </w:p>
          <w:p w14:paraId="6250D359" w14:textId="77777777" w:rsidR="00FA4E3B" w:rsidRPr="005D4222" w:rsidRDefault="00FA4E3B" w:rsidP="00FA4E3B">
            <w:pPr>
              <w:pStyle w:val="Bullet"/>
              <w:rPr>
                <w:lang w:eastAsia="zh-CN"/>
              </w:rPr>
            </w:pPr>
            <w:r w:rsidRPr="005D4222">
              <w:rPr>
                <w:lang w:eastAsia="zh-CN"/>
              </w:rPr>
              <w:t xml:space="preserve">Two or More Races. </w:t>
            </w:r>
          </w:p>
          <w:p w14:paraId="51C8D7B2" w14:textId="77777777" w:rsidR="00FA4E3B" w:rsidRPr="005D4222" w:rsidRDefault="00FA4E3B" w:rsidP="00FA4E3B">
            <w:pPr>
              <w:pStyle w:val="Bullet"/>
              <w:rPr>
                <w:lang w:eastAsia="zh-CN"/>
              </w:rPr>
            </w:pPr>
            <w:r w:rsidRPr="005D4222">
              <w:rPr>
                <w:lang w:eastAsia="zh-CN"/>
              </w:rPr>
              <w:t xml:space="preserve">Asked But No Answer. </w:t>
            </w:r>
          </w:p>
          <w:p w14:paraId="2107A3C1" w14:textId="77777777" w:rsidR="00FA4E3B" w:rsidRPr="005D4222" w:rsidRDefault="00FA4E3B" w:rsidP="00FA4E3B">
            <w:pPr>
              <w:pStyle w:val="Bullet"/>
              <w:rPr>
                <w:rFonts w:asciiTheme="minorHAnsi" w:hAnsiTheme="minorHAnsi" w:cstheme="minorHAnsi"/>
                <w:sz w:val="18"/>
                <w:szCs w:val="18"/>
                <w:lang w:eastAsia="zh-CN"/>
              </w:rPr>
            </w:pPr>
            <w:r w:rsidRPr="005D4222">
              <w:rPr>
                <w:lang w:eastAsia="zh-CN"/>
              </w:rPr>
              <w:t xml:space="preserve">Unknown. </w:t>
            </w:r>
          </w:p>
          <w:p w14:paraId="3D21DFA8" w14:textId="0018AAEC" w:rsidR="00FA4E3B" w:rsidRPr="005D4222" w:rsidRDefault="00FA4E3B" w:rsidP="00A24265">
            <w:pPr>
              <w:spacing w:before="120" w:after="80"/>
              <w:rPr>
                <w:bCs/>
                <w:szCs w:val="21"/>
                <w:lang w:eastAsia="zh-CN"/>
              </w:rPr>
            </w:pPr>
            <w:r w:rsidRPr="005D4222">
              <w:rPr>
                <w:bCs/>
                <w:szCs w:val="21"/>
                <w:lang w:eastAsia="zh-CN"/>
              </w:rPr>
              <w:t xml:space="preserve">Ethnicity. (Refer to </w:t>
            </w:r>
            <w:hyperlink w:anchor="GG_Race_and_Ethnicity" w:history="1">
              <w:r w:rsidRPr="005D4222">
                <w:rPr>
                  <w:rStyle w:val="Hyperlink"/>
                  <w:bCs/>
                  <w:i/>
                  <w:iCs/>
                  <w:szCs w:val="21"/>
                  <w:lang w:eastAsia="zh-CN"/>
                </w:rPr>
                <w:t>General Guideline: Race and Ethnicity Stratification</w:t>
              </w:r>
            </w:hyperlink>
            <w:r w:rsidRPr="005D4222">
              <w:rPr>
                <w:bCs/>
                <w:i/>
                <w:iCs/>
                <w:szCs w:val="21"/>
                <w:lang w:eastAsia="zh-CN"/>
              </w:rPr>
              <w:t>.</w:t>
            </w:r>
            <w:r w:rsidRPr="005D4222">
              <w:rPr>
                <w:bCs/>
                <w:szCs w:val="21"/>
                <w:lang w:eastAsia="zh-CN"/>
              </w:rPr>
              <w:t>)</w:t>
            </w:r>
          </w:p>
          <w:p w14:paraId="578E00E1" w14:textId="77777777" w:rsidR="00FA4E3B" w:rsidRPr="005D4222" w:rsidRDefault="00FA4E3B" w:rsidP="00FA4E3B">
            <w:pPr>
              <w:pStyle w:val="Bullet"/>
              <w:rPr>
                <w:lang w:eastAsia="zh-CN"/>
              </w:rPr>
            </w:pPr>
            <w:r w:rsidRPr="005D4222">
              <w:rPr>
                <w:lang w:eastAsia="zh-CN"/>
              </w:rPr>
              <w:t xml:space="preserve">Hispanic or Latino. </w:t>
            </w:r>
          </w:p>
          <w:p w14:paraId="7DC49133" w14:textId="77777777" w:rsidR="00FA4E3B" w:rsidRPr="005D4222" w:rsidRDefault="00FA4E3B" w:rsidP="00FA4E3B">
            <w:pPr>
              <w:pStyle w:val="Bullet"/>
              <w:rPr>
                <w:lang w:eastAsia="zh-CN"/>
              </w:rPr>
            </w:pPr>
            <w:r w:rsidRPr="005D4222">
              <w:rPr>
                <w:lang w:eastAsia="zh-CN"/>
              </w:rPr>
              <w:t xml:space="preserve">Not Hispanic or Latino. </w:t>
            </w:r>
          </w:p>
          <w:p w14:paraId="79034D15" w14:textId="77777777" w:rsidR="00FA4E3B" w:rsidRPr="005D4222" w:rsidRDefault="00FA4E3B" w:rsidP="00FA4E3B">
            <w:pPr>
              <w:pStyle w:val="Bullet"/>
              <w:rPr>
                <w:lang w:eastAsia="zh-CN"/>
              </w:rPr>
            </w:pPr>
            <w:r w:rsidRPr="005D4222">
              <w:rPr>
                <w:lang w:eastAsia="zh-CN"/>
              </w:rPr>
              <w:t xml:space="preserve">Asked But No Answer. </w:t>
            </w:r>
          </w:p>
          <w:p w14:paraId="002AE65C" w14:textId="0EB10CB4" w:rsidR="00FA4E3B" w:rsidRPr="005D4222" w:rsidRDefault="00FA4E3B" w:rsidP="00FA4E3B">
            <w:pPr>
              <w:pStyle w:val="Bullet"/>
              <w:rPr>
                <w:rFonts w:asciiTheme="minorHAnsi" w:hAnsiTheme="minorHAnsi" w:cstheme="minorHAnsi"/>
                <w:sz w:val="18"/>
                <w:szCs w:val="18"/>
                <w:lang w:eastAsia="zh-CN"/>
              </w:rPr>
            </w:pPr>
            <w:r w:rsidRPr="005D4222">
              <w:rPr>
                <w:lang w:eastAsia="zh-CN"/>
              </w:rPr>
              <w:t xml:space="preserve">Unknown. </w:t>
            </w:r>
          </w:p>
        </w:tc>
      </w:tr>
      <w:tr w:rsidR="00A24265" w:rsidRPr="005D4222" w14:paraId="4C449FF3" w14:textId="77777777" w:rsidTr="009A0027">
        <w:trPr>
          <w:trHeight w:val="300"/>
        </w:trPr>
        <w:tc>
          <w:tcPr>
            <w:tcW w:w="2157" w:type="dxa"/>
            <w:tcBorders>
              <w:top w:val="nil"/>
              <w:left w:val="single" w:sz="4" w:space="0" w:color="auto"/>
              <w:bottom w:val="nil"/>
              <w:right w:val="single" w:sz="4" w:space="0" w:color="auto"/>
            </w:tcBorders>
            <w:tcMar>
              <w:top w:w="0" w:type="dxa"/>
              <w:left w:w="86" w:type="dxa"/>
              <w:bottom w:w="43" w:type="dxa"/>
              <w:right w:w="86" w:type="dxa"/>
            </w:tcMar>
          </w:tcPr>
          <w:p w14:paraId="0A5F0A8F" w14:textId="77777777" w:rsidR="00A24265" w:rsidRPr="005D4222" w:rsidRDefault="00A24265" w:rsidP="00FA4E3B">
            <w:pPr>
              <w:pStyle w:val="ECDSSubhead"/>
            </w:pPr>
            <w:r w:rsidRPr="005D4222">
              <w:t>Risk adjustment</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7B24C273" w14:textId="77777777" w:rsidR="00A24265" w:rsidRPr="005D4222" w:rsidRDefault="00A24265" w:rsidP="00FA4E3B">
            <w:pPr>
              <w:pStyle w:val="ECDSBody"/>
              <w:spacing w:after="0"/>
            </w:pPr>
            <w:r w:rsidRPr="005D4222">
              <w:t>None.</w:t>
            </w:r>
          </w:p>
        </w:tc>
      </w:tr>
      <w:tr w:rsidR="00A24265" w:rsidRPr="005D4222" w14:paraId="68342FC7" w14:textId="77777777" w:rsidTr="009A0027">
        <w:trPr>
          <w:trHeight w:val="300"/>
        </w:trPr>
        <w:tc>
          <w:tcPr>
            <w:tcW w:w="2157" w:type="dxa"/>
            <w:tcBorders>
              <w:top w:val="nil"/>
              <w:left w:val="single" w:sz="4" w:space="0" w:color="auto"/>
              <w:bottom w:val="nil"/>
              <w:right w:val="single" w:sz="4" w:space="0" w:color="auto"/>
            </w:tcBorders>
            <w:tcMar>
              <w:top w:w="0" w:type="dxa"/>
              <w:left w:w="86" w:type="dxa"/>
              <w:bottom w:w="43" w:type="dxa"/>
              <w:right w:w="86" w:type="dxa"/>
            </w:tcMar>
          </w:tcPr>
          <w:p w14:paraId="7FB915F3" w14:textId="77777777" w:rsidR="00A24265" w:rsidRPr="005D4222" w:rsidRDefault="00A24265" w:rsidP="00FA4E3B">
            <w:pPr>
              <w:pStyle w:val="ECDSSubhead"/>
            </w:pPr>
            <w:r w:rsidRPr="005D4222">
              <w:t>Improvement notation</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7A8C01F6" w14:textId="77777777" w:rsidR="00A24265" w:rsidRPr="005D4222" w:rsidRDefault="00A24265" w:rsidP="00FA4E3B">
            <w:pPr>
              <w:pStyle w:val="ECDSBody"/>
              <w:spacing w:after="0"/>
            </w:pPr>
            <w:r w:rsidRPr="005D4222">
              <w:t>Increased score indicates improvement.</w:t>
            </w:r>
          </w:p>
        </w:tc>
      </w:tr>
      <w:tr w:rsidR="00A24265" w:rsidRPr="005D4222" w14:paraId="5F109B02" w14:textId="77777777" w:rsidTr="00FA4E3B">
        <w:trPr>
          <w:trHeight w:val="300"/>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3519D769" w14:textId="77777777" w:rsidR="00A24265" w:rsidRPr="005D4222" w:rsidRDefault="00A24265" w:rsidP="00FA4E3B">
            <w:pPr>
              <w:pStyle w:val="ECDSSubhead"/>
            </w:pPr>
            <w:r w:rsidRPr="005D4222">
              <w:t>Guidance</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3B69A31F" w14:textId="7EEF3E20" w:rsidR="00A24265" w:rsidRPr="005D4222" w:rsidRDefault="00A24265" w:rsidP="00FA4E3B">
            <w:pPr>
              <w:pStyle w:val="ECDSBody"/>
            </w:pPr>
            <w:r w:rsidRPr="005D4222">
              <w:rPr>
                <w:b/>
              </w:rPr>
              <w:t>Data collection methodology:</w:t>
            </w:r>
            <w:r w:rsidRPr="005D4222">
              <w:t xml:space="preserve"> Administrative and hybrid. Refer to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5EA3BD24" w14:textId="77777777" w:rsidR="00A24265" w:rsidRPr="005D4222" w:rsidRDefault="00A24265" w:rsidP="00FA4E3B">
            <w:pPr>
              <w:pStyle w:val="ECDSBody"/>
            </w:pPr>
            <w:r w:rsidRPr="005D4222">
              <w:rPr>
                <w:b/>
              </w:rPr>
              <w:t xml:space="preserve">Date specificity: </w:t>
            </w:r>
            <w:r w:rsidRPr="005D4222">
              <w:t>Dates must be specific enough to determine the event occurred in the period being measured.</w:t>
            </w:r>
          </w:p>
          <w:p w14:paraId="4A9C08F6" w14:textId="77777777" w:rsidR="00A24265" w:rsidRPr="005D4222" w:rsidRDefault="00A24265" w:rsidP="00FA4E3B">
            <w:pPr>
              <w:pStyle w:val="ECDSBody"/>
              <w:rPr>
                <w:i/>
                <w:iCs/>
              </w:rPr>
            </w:pPr>
            <w:r w:rsidRPr="005D4222">
              <w:rPr>
                <w:b/>
              </w:rPr>
              <w:t xml:space="preserve">Which services count? </w:t>
            </w:r>
            <w:r w:rsidRPr="005D4222">
              <w:t>When using claims, include all paid, suspended, pending and denied claims.</w:t>
            </w:r>
          </w:p>
        </w:tc>
      </w:tr>
      <w:tr w:rsidR="00A24265" w:rsidRPr="005D4222" w14:paraId="718F849B" w14:textId="77777777" w:rsidTr="00FA4E3B">
        <w:trPr>
          <w:trHeight w:val="22"/>
        </w:trPr>
        <w:tc>
          <w:tcPr>
            <w:tcW w:w="9714" w:type="dxa"/>
            <w:gridSpan w:val="2"/>
            <w:tcBorders>
              <w:top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1B178D2C" w14:textId="77777777" w:rsidR="00A24265" w:rsidRPr="005D4222" w:rsidRDefault="00A24265" w:rsidP="007F1AD5">
            <w:pPr>
              <w:pStyle w:val="ECDSMarginHead"/>
            </w:pPr>
            <w:r w:rsidRPr="005D4222">
              <w:t>Definitions</w:t>
            </w:r>
          </w:p>
        </w:tc>
      </w:tr>
      <w:tr w:rsidR="00A24265" w:rsidRPr="005D4222" w14:paraId="6951A24F" w14:textId="77777777" w:rsidTr="00FA4E3B">
        <w:trPr>
          <w:trHeight w:val="22"/>
        </w:trPr>
        <w:tc>
          <w:tcPr>
            <w:tcW w:w="2157" w:type="dxa"/>
            <w:tcBorders>
              <w:top w:val="single" w:sz="4" w:space="0" w:color="auto"/>
              <w:bottom w:val="nil"/>
              <w:right w:val="single" w:sz="4" w:space="0" w:color="auto"/>
            </w:tcBorders>
            <w:tcMar>
              <w:top w:w="0" w:type="dxa"/>
              <w:left w:w="86" w:type="dxa"/>
              <w:bottom w:w="43" w:type="dxa"/>
              <w:right w:w="86" w:type="dxa"/>
            </w:tcMar>
          </w:tcPr>
          <w:p w14:paraId="29DF3448" w14:textId="77777777" w:rsidR="00A24265" w:rsidRPr="005D4222" w:rsidRDefault="00A24265" w:rsidP="00FA4E3B">
            <w:pPr>
              <w:pStyle w:val="ECDSSubhead"/>
            </w:pPr>
            <w:r w:rsidRPr="005D4222">
              <w:t>Adequate control</w:t>
            </w: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72E57F4D" w14:textId="77777777" w:rsidR="00A24265" w:rsidRPr="005D4222" w:rsidRDefault="00A24265" w:rsidP="00FA4E3B">
            <w:pPr>
              <w:pStyle w:val="ECDSBody"/>
              <w:spacing w:after="0"/>
            </w:pPr>
            <w:r w:rsidRPr="005D4222">
              <w:t>Both a representative systolic BP &lt;140 mm Hg and a representative diastolic BP of &lt;90 mm Hg.</w:t>
            </w:r>
          </w:p>
        </w:tc>
      </w:tr>
      <w:tr w:rsidR="00A24265" w:rsidRPr="005D4222" w14:paraId="0A7B2C03" w14:textId="77777777" w:rsidTr="00FA4E3B">
        <w:trPr>
          <w:trHeight w:val="22"/>
        </w:trPr>
        <w:tc>
          <w:tcPr>
            <w:tcW w:w="2157" w:type="dxa"/>
            <w:tcBorders>
              <w:top w:val="nil"/>
              <w:right w:val="single" w:sz="4" w:space="0" w:color="auto"/>
            </w:tcBorders>
            <w:tcMar>
              <w:top w:w="0" w:type="dxa"/>
              <w:left w:w="86" w:type="dxa"/>
              <w:bottom w:w="43" w:type="dxa"/>
              <w:right w:w="86" w:type="dxa"/>
            </w:tcMar>
          </w:tcPr>
          <w:p w14:paraId="7BCC9BEB" w14:textId="77777777" w:rsidR="00A24265" w:rsidRPr="005D4222" w:rsidRDefault="00A24265" w:rsidP="00FA4E3B">
            <w:pPr>
              <w:pStyle w:val="ECDSSubhead"/>
            </w:pPr>
            <w:r w:rsidRPr="005D4222">
              <w:t>Representative BP</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738683CC" w14:textId="77777777" w:rsidR="00A24265" w:rsidRPr="005D4222" w:rsidRDefault="00A24265" w:rsidP="00966DCB">
            <w:pPr>
              <w:pStyle w:val="ECDSBody"/>
            </w:pPr>
            <w:r w:rsidRPr="005D4222">
              <w:t>The most recent BP reading during the measurement period on or after the second diagnosis of hypertension. If multiple BP measurements occur on the same date, or are noted in the chart on the same date, use the lowest systolic and lowest diastolic BP reading. If no BP is recorded during the measurement period, assume the BP is “not controlled.”</w:t>
            </w:r>
          </w:p>
        </w:tc>
      </w:tr>
      <w:tr w:rsidR="00A24265" w:rsidRPr="005D4222" w14:paraId="35AD8F56" w14:textId="77777777" w:rsidTr="00FA4E3B">
        <w:trPr>
          <w:trHeight w:val="320"/>
        </w:trPr>
        <w:tc>
          <w:tcPr>
            <w:tcW w:w="2157" w:type="dxa"/>
            <w:shd w:val="clear" w:color="auto" w:fill="BFBFBF" w:themeFill="background1" w:themeFillShade="BF"/>
            <w:tcMar>
              <w:top w:w="0" w:type="dxa"/>
              <w:left w:w="86" w:type="dxa"/>
              <w:bottom w:w="43" w:type="dxa"/>
              <w:right w:w="86" w:type="dxa"/>
            </w:tcMar>
          </w:tcPr>
          <w:p w14:paraId="32542F28" w14:textId="77777777" w:rsidR="00A24265" w:rsidRPr="005D4222" w:rsidRDefault="00A24265" w:rsidP="007F1AD5">
            <w:pPr>
              <w:pStyle w:val="ECDSMarginHead"/>
            </w:pPr>
            <w:r w:rsidRPr="005D4222">
              <w:t>Initial population</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2A1D09E" w14:textId="77777777" w:rsidR="00A24265" w:rsidRPr="005D4222" w:rsidRDefault="00A24265" w:rsidP="00FA4E3B">
            <w:pPr>
              <w:pStyle w:val="ECDSBody"/>
            </w:pPr>
            <w:r w:rsidRPr="005D4222">
              <w:rPr>
                <w:i/>
                <w:iCs/>
              </w:rPr>
              <w:t>Measure item count:</w:t>
            </w:r>
            <w:r w:rsidRPr="005D4222">
              <w:t xml:space="preserve"> Person.</w:t>
            </w:r>
          </w:p>
          <w:p w14:paraId="74CD3B5A" w14:textId="77777777" w:rsidR="00A24265" w:rsidRPr="005D4222" w:rsidRDefault="00A24265" w:rsidP="00FA4E3B">
            <w:pPr>
              <w:pStyle w:val="ECDSBody"/>
            </w:pPr>
            <w:r w:rsidRPr="005D4222">
              <w:rPr>
                <w:i/>
                <w:iCs/>
              </w:rPr>
              <w:t xml:space="preserve">Attribution basis: </w:t>
            </w:r>
            <w:r w:rsidRPr="005D4222">
              <w:t>Enrollment.</w:t>
            </w:r>
          </w:p>
          <w:p w14:paraId="006AD280" w14:textId="77777777" w:rsidR="00A24265" w:rsidRPr="005D4222" w:rsidRDefault="00A24265" w:rsidP="00FA4E3B">
            <w:pPr>
              <w:pStyle w:val="Bullet"/>
            </w:pPr>
            <w:r w:rsidRPr="005D4222">
              <w:rPr>
                <w:i/>
              </w:rPr>
              <w:t>Benefits:</w:t>
            </w:r>
            <w:r w:rsidRPr="005D4222">
              <w:t xml:space="preserve"> Medical.</w:t>
            </w:r>
          </w:p>
          <w:p w14:paraId="71571AD7" w14:textId="374FC615" w:rsidR="00FA4E3B" w:rsidRPr="005D4222" w:rsidRDefault="00A24265" w:rsidP="00FA4E3B">
            <w:pPr>
              <w:pStyle w:val="Bullet"/>
              <w:spacing w:after="80"/>
              <w:rPr>
                <w:kern w:val="24"/>
              </w:rPr>
            </w:pPr>
            <w:r w:rsidRPr="005D4222">
              <w:rPr>
                <w:i/>
              </w:rPr>
              <w:t>Continuous enrollment:</w:t>
            </w:r>
            <w:r w:rsidRPr="005D4222">
              <w:t xml:space="preserve"> The measurement period.</w:t>
            </w:r>
          </w:p>
        </w:tc>
      </w:tr>
      <w:tr w:rsidR="00FA4E3B" w:rsidRPr="005D4222" w14:paraId="34A78BB3" w14:textId="77777777" w:rsidTr="00FA4E3B">
        <w:trPr>
          <w:trHeight w:val="320"/>
        </w:trPr>
        <w:tc>
          <w:tcPr>
            <w:tcW w:w="2157" w:type="dxa"/>
            <w:shd w:val="clear" w:color="auto" w:fill="BFBFBF" w:themeFill="background1" w:themeFillShade="BF"/>
            <w:tcMar>
              <w:top w:w="0" w:type="dxa"/>
              <w:left w:w="86" w:type="dxa"/>
              <w:bottom w:w="43" w:type="dxa"/>
              <w:right w:w="86" w:type="dxa"/>
            </w:tcMar>
          </w:tcPr>
          <w:p w14:paraId="5EE891C6" w14:textId="77777777" w:rsidR="00FA4E3B" w:rsidRPr="005D4222" w:rsidRDefault="00FA4E3B" w:rsidP="007F1AD5">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67F1E9E" w14:textId="77777777" w:rsidR="00FA4E3B" w:rsidRPr="005D4222" w:rsidRDefault="00FA4E3B" w:rsidP="00FA4E3B">
            <w:pPr>
              <w:pStyle w:val="Bullet"/>
            </w:pPr>
            <w:r w:rsidRPr="005D4222">
              <w:rPr>
                <w:i/>
              </w:rPr>
              <w:t>Allowable gap:</w:t>
            </w:r>
            <w:r w:rsidRPr="005D4222">
              <w:t xml:space="preserve"> No more than one gap of ≤45 days during the measurement period. No gaps on the last day of the measurement period.</w:t>
            </w:r>
          </w:p>
          <w:p w14:paraId="75C66A2A" w14:textId="77777777" w:rsidR="00FA4E3B" w:rsidRPr="005D4222" w:rsidRDefault="00FA4E3B" w:rsidP="00FA4E3B">
            <w:pPr>
              <w:spacing w:before="120" w:after="80"/>
              <w:rPr>
                <w:bCs/>
                <w:szCs w:val="21"/>
              </w:rPr>
            </w:pPr>
            <w:r w:rsidRPr="005D4222">
              <w:rPr>
                <w:bCs/>
                <w:i/>
                <w:szCs w:val="21"/>
              </w:rPr>
              <w:t>Ages:</w:t>
            </w:r>
            <w:r w:rsidRPr="005D4222">
              <w:rPr>
                <w:bCs/>
                <w:szCs w:val="21"/>
              </w:rPr>
              <w:t xml:space="preserve"> 18–85 years of age as of the last day of the measurement period.</w:t>
            </w:r>
          </w:p>
          <w:p w14:paraId="57E3B422" w14:textId="77777777" w:rsidR="00FA4E3B" w:rsidRPr="005D4222" w:rsidRDefault="00FA4E3B" w:rsidP="00FA4E3B">
            <w:pPr>
              <w:spacing w:before="120" w:after="80"/>
              <w:rPr>
                <w:bCs/>
                <w:szCs w:val="21"/>
              </w:rPr>
            </w:pPr>
            <w:r w:rsidRPr="005D4222">
              <w:rPr>
                <w:bCs/>
                <w:i/>
                <w:szCs w:val="21"/>
              </w:rPr>
              <w:t>Event</w:t>
            </w:r>
            <w:r w:rsidRPr="005D4222">
              <w:rPr>
                <w:bCs/>
                <w:i/>
                <w:iCs/>
                <w:szCs w:val="21"/>
              </w:rPr>
              <w:t>:</w:t>
            </w:r>
            <w:r w:rsidRPr="005D4222">
              <w:rPr>
                <w:b/>
                <w:i/>
                <w:iCs/>
                <w:szCs w:val="21"/>
              </w:rPr>
              <w:t xml:space="preserve"> </w:t>
            </w:r>
            <w:r w:rsidRPr="005D4222">
              <w:rPr>
                <w:b/>
                <w:szCs w:val="21"/>
              </w:rPr>
              <w:t xml:space="preserve">Persons with a diagnosis of hypertension. </w:t>
            </w:r>
          </w:p>
          <w:p w14:paraId="55826553" w14:textId="77777777" w:rsidR="00FA4E3B" w:rsidRPr="005D4222" w:rsidRDefault="00FA4E3B" w:rsidP="00FA4E3B">
            <w:pPr>
              <w:pStyle w:val="ECDSBody"/>
              <w:rPr>
                <w:i/>
              </w:rPr>
            </w:pPr>
            <w:r w:rsidRPr="005D4222">
              <w:rPr>
                <w:b/>
                <w:iCs/>
              </w:rPr>
              <w:t>Step 1</w:t>
            </w:r>
            <w:r w:rsidRPr="005D4222">
              <w:rPr>
                <w:b/>
                <w:i/>
              </w:rPr>
              <w:t>.</w:t>
            </w:r>
            <w:r w:rsidRPr="005D4222">
              <w:rPr>
                <w:b/>
              </w:rPr>
              <w:t xml:space="preserve"> </w:t>
            </w:r>
            <w:r w:rsidRPr="005D4222">
              <w:t>Identify persons who had at least two outpatient visits, telephone visits, e-visits or virtual check-ins (</w:t>
            </w:r>
            <w:r w:rsidRPr="005D4222">
              <w:rPr>
                <w:u w:val="single"/>
              </w:rPr>
              <w:t>Outpatient and Telehealth Without UBREV Value Set</w:t>
            </w:r>
            <w:r w:rsidRPr="005D4222">
              <w:t>) on different dates of service with a diagnosis of hypertension (</w:t>
            </w:r>
            <w:r w:rsidRPr="005D4222">
              <w:rPr>
                <w:u w:val="single"/>
              </w:rPr>
              <w:t>Essential Hypertension Value Set</w:t>
            </w:r>
            <w:r w:rsidRPr="005D4222">
              <w:t>) on or between January 1 of the year prior to the measurement period and June 30 of the measurement period.</w:t>
            </w:r>
          </w:p>
          <w:p w14:paraId="06760D5A" w14:textId="77777777" w:rsidR="00FA4E3B" w:rsidRPr="005D4222" w:rsidRDefault="00FA4E3B" w:rsidP="00FA4E3B">
            <w:pPr>
              <w:pStyle w:val="ECDSBody"/>
            </w:pPr>
            <w:r w:rsidRPr="005D4222">
              <w:rPr>
                <w:b/>
                <w:iCs/>
              </w:rPr>
              <w:t>Step 2</w:t>
            </w:r>
            <w:r w:rsidRPr="005D4222">
              <w:rPr>
                <w:b/>
                <w:i/>
              </w:rPr>
              <w:t>.</w:t>
            </w:r>
            <w:r w:rsidRPr="005D4222">
              <w:rPr>
                <w:b/>
              </w:rPr>
              <w:t xml:space="preserve"> </w:t>
            </w:r>
            <w:r w:rsidRPr="005D4222">
              <w:t>Remove persons who had a nonacute inpatient admission during the measurement period. To identify nonacute inpatient admissions:</w:t>
            </w:r>
          </w:p>
          <w:p w14:paraId="79EAF442" w14:textId="77777777" w:rsidR="00FA4E3B" w:rsidRPr="005D4222" w:rsidRDefault="00FA4E3B" w:rsidP="00FA4E3B">
            <w:pPr>
              <w:spacing w:before="80" w:after="80"/>
              <w:ind w:left="648" w:hanging="288"/>
              <w:rPr>
                <w:kern w:val="24"/>
              </w:rPr>
            </w:pPr>
            <w:r w:rsidRPr="005D4222">
              <w:rPr>
                <w:kern w:val="24"/>
              </w:rPr>
              <w:t>1.</w:t>
            </w:r>
            <w:r w:rsidRPr="005D4222">
              <w:rPr>
                <w:kern w:val="24"/>
              </w:rPr>
              <w:tab/>
              <w:t>Identify all acute and nonacute inpatient stays (</w:t>
            </w:r>
            <w:r w:rsidRPr="005D4222">
              <w:rPr>
                <w:kern w:val="24"/>
                <w:u w:val="single"/>
              </w:rPr>
              <w:t>Inpatient Stay Value Set</w:t>
            </w:r>
            <w:r w:rsidRPr="005D4222">
              <w:rPr>
                <w:kern w:val="24"/>
              </w:rPr>
              <w:t xml:space="preserve">). </w:t>
            </w:r>
          </w:p>
          <w:p w14:paraId="45A97B84" w14:textId="77777777" w:rsidR="00FA4E3B" w:rsidRPr="005D4222" w:rsidRDefault="00FA4E3B" w:rsidP="00FA4E3B">
            <w:pPr>
              <w:spacing w:before="80" w:after="80"/>
              <w:ind w:left="648" w:hanging="288"/>
              <w:rPr>
                <w:kern w:val="24"/>
              </w:rPr>
            </w:pPr>
            <w:r w:rsidRPr="005D4222">
              <w:rPr>
                <w:kern w:val="24"/>
              </w:rPr>
              <w:t>2.</w:t>
            </w:r>
            <w:r w:rsidRPr="005D4222">
              <w:rPr>
                <w:kern w:val="24"/>
              </w:rPr>
              <w:tab/>
              <w:t>Confirm the stay was for nonacute care based on the presence of a nonacute code (</w:t>
            </w:r>
            <w:r w:rsidRPr="005D4222">
              <w:rPr>
                <w:kern w:val="24"/>
                <w:u w:val="single"/>
              </w:rPr>
              <w:t>Nonacute Inpatient Stay Value Set</w:t>
            </w:r>
            <w:r w:rsidRPr="005D4222">
              <w:rPr>
                <w:kern w:val="24"/>
              </w:rPr>
              <w:t xml:space="preserve">) on the claim. </w:t>
            </w:r>
          </w:p>
          <w:p w14:paraId="1B2D51CB" w14:textId="7BBB555E" w:rsidR="00FA4E3B" w:rsidRPr="005D4222" w:rsidRDefault="00FA4E3B" w:rsidP="00FA4E3B">
            <w:pPr>
              <w:spacing w:before="80" w:after="80"/>
              <w:ind w:left="648" w:hanging="288"/>
              <w:rPr>
                <w:i/>
                <w:iCs/>
              </w:rPr>
            </w:pPr>
            <w:r w:rsidRPr="005D4222">
              <w:rPr>
                <w:kern w:val="24"/>
              </w:rPr>
              <w:t>3.</w:t>
            </w:r>
            <w:r w:rsidRPr="005D4222">
              <w:rPr>
                <w:kern w:val="24"/>
              </w:rPr>
              <w:tab/>
              <w:t>Identify the admission date for the stay.</w:t>
            </w:r>
          </w:p>
        </w:tc>
      </w:tr>
      <w:tr w:rsidR="00A24265" w:rsidRPr="005D4222" w14:paraId="17E3A754" w14:textId="77777777" w:rsidTr="00FA4E3B">
        <w:trPr>
          <w:trHeight w:val="300"/>
        </w:trPr>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E609900" w14:textId="77777777" w:rsidR="00A24265" w:rsidRPr="005D4222" w:rsidRDefault="00A24265" w:rsidP="007F1AD5">
            <w:pPr>
              <w:pStyle w:val="ECDSMarginHead"/>
            </w:pPr>
            <w:r w:rsidRPr="005D4222">
              <w:t xml:space="preserve">Denominator exclusions </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ADA8F22" w14:textId="77777777" w:rsidR="00A24265" w:rsidRPr="005D4222" w:rsidRDefault="00A24265" w:rsidP="00FA4E3B">
            <w:pPr>
              <w:pStyle w:val="ECDSBody"/>
              <w:rPr>
                <w:rFonts w:eastAsia="Arial,Arial,Arial,Arial,Arial,A" w:cs="Segoe UI"/>
                <w:szCs w:val="18"/>
              </w:rPr>
            </w:pPr>
            <w:r w:rsidRPr="005D4222">
              <w:rPr>
                <w:rFonts w:eastAsia="Arial,Arial,Arial,Arial,Arial,A"/>
                <w:b/>
              </w:rPr>
              <w:t>Persons with a date of death. </w:t>
            </w:r>
            <w:r w:rsidRPr="005D4222">
              <w:rPr>
                <w:rFonts w:eastAsia="Arial,Arial,Arial,Arial,Arial,A"/>
                <w:b/>
              </w:rPr>
              <w:br/>
            </w:r>
            <w:r w:rsidRPr="005D4222">
              <w:rPr>
                <w:rFonts w:eastAsia="Arial,Arial,Arial,Arial,Arial,A"/>
              </w:rPr>
              <w:t>Death in the measurement period, identified using data sources determined by the organization. Method and data sources are subject to review during the HEDIS audit. </w:t>
            </w:r>
          </w:p>
          <w:p w14:paraId="6DB1E809" w14:textId="77777777" w:rsidR="00A24265" w:rsidRPr="005D4222" w:rsidRDefault="00A24265" w:rsidP="00FA4E3B">
            <w:pPr>
              <w:pStyle w:val="ECDSBody"/>
              <w:rPr>
                <w:rFonts w:eastAsia="Arial,Arial,Arial,Arial,Arial,A"/>
              </w:rPr>
            </w:pPr>
            <w:r w:rsidRPr="005D4222" w:rsidDel="002D4AA7">
              <w:rPr>
                <w:rFonts w:eastAsia="Arial,Arial,Arial,Arial,Arial,A"/>
                <w:b/>
              </w:rPr>
              <w:t xml:space="preserve">Persons </w:t>
            </w:r>
            <w:r w:rsidRPr="005D4222">
              <w:rPr>
                <w:rFonts w:eastAsia="Arial,Arial,Arial,Arial,Arial,A"/>
                <w:b/>
              </w:rPr>
              <w:t>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5D1F958F" w14:textId="77777777" w:rsidR="00A24265" w:rsidRPr="005D4222" w:rsidRDefault="00A24265" w:rsidP="00FA4E3B">
            <w:pPr>
              <w:pStyle w:val="ECDSBody"/>
            </w:pPr>
            <w:r w:rsidRPr="005D4222">
              <w:rPr>
                <w:b/>
              </w:rPr>
              <w:t>Persons receiving palliative care.</w:t>
            </w:r>
            <w:r w:rsidRPr="005D4222">
              <w:rPr>
                <w:b/>
              </w:rPr>
              <w:br/>
            </w:r>
            <w:r w:rsidRPr="005D4222">
              <w:t>Persons receiving palliative care (</w:t>
            </w:r>
            <w:r w:rsidRPr="005D4222">
              <w:rPr>
                <w:u w:val="single"/>
              </w:rPr>
              <w:t>Palliative Care Assessment Value Set,</w:t>
            </w:r>
            <w:r w:rsidRPr="005D4222">
              <w:t xml:space="preserve"> </w:t>
            </w:r>
            <w:r w:rsidRPr="005D4222">
              <w:rPr>
                <w:u w:val="single"/>
              </w:rPr>
              <w:t>Palliative Care Encounter Value Set,</w:t>
            </w:r>
            <w:r w:rsidRPr="005D4222">
              <w:t xml:space="preserve"> </w:t>
            </w:r>
            <w:r w:rsidRPr="005D4222">
              <w:rPr>
                <w:u w:val="single"/>
              </w:rPr>
              <w:t>Palliative Care Intervention Value Set</w:t>
            </w:r>
            <w:r w:rsidRPr="005D4222">
              <w:t xml:space="preserve">) or who had an encounter for palliative care (ICD-10-CM code Z51.5*) any time during the measurement period. </w:t>
            </w:r>
          </w:p>
          <w:p w14:paraId="1FB96532" w14:textId="77777777" w:rsidR="00A24265" w:rsidRPr="005D4222" w:rsidRDefault="00A24265" w:rsidP="00FA4E3B">
            <w:pPr>
              <w:pStyle w:val="ECDSBody"/>
            </w:pPr>
            <w:r w:rsidRPr="005D4222">
              <w:rPr>
                <w:b/>
                <w:color w:val="000000"/>
                <w:shd w:val="clear" w:color="auto" w:fill="FFFFFF"/>
              </w:rPr>
              <w:t>Medicare enrollees,</w:t>
            </w:r>
            <w:r w:rsidRPr="005D4222" w:rsidDel="002C5F88">
              <w:rPr>
                <w:b/>
                <w:color w:val="000000"/>
                <w:shd w:val="clear" w:color="auto" w:fill="FFFFFF"/>
              </w:rPr>
              <w:t xml:space="preserve"> </w:t>
            </w:r>
            <w:r w:rsidRPr="005D4222">
              <w:rPr>
                <w:b/>
                <w:color w:val="000000"/>
                <w:shd w:val="clear" w:color="auto" w:fill="FFFFFF"/>
              </w:rPr>
              <w:t>66 years of age and older by the last day of the measurement period, in an institutional SNP (I-SNP) or living long-term in an institution (LTI).</w:t>
            </w:r>
          </w:p>
          <w:p w14:paraId="266BE544" w14:textId="77777777" w:rsidR="00A24265" w:rsidRPr="005D4222" w:rsidRDefault="00A24265" w:rsidP="00FA4E3B">
            <w:pPr>
              <w:pStyle w:val="ProcessBullet"/>
            </w:pPr>
            <w:r w:rsidRPr="005D4222">
              <w:t>Enrolled in an Institutional SNP (I-SNP) any time during the measurement period.</w:t>
            </w:r>
          </w:p>
          <w:p w14:paraId="14471ABA" w14:textId="77777777" w:rsidR="00A24265" w:rsidRPr="005D4222" w:rsidRDefault="00A24265" w:rsidP="00FA4E3B">
            <w:pPr>
              <w:pStyle w:val="ProcessBullet"/>
              <w:rPr>
                <w:rFonts w:eastAsia="Arial,Arial,Arial,Arial,Arial,A"/>
                <w:szCs w:val="21"/>
              </w:rPr>
            </w:pPr>
            <w:r w:rsidRPr="005D4222">
              <w:rPr>
                <w:szCs w:val="21"/>
              </w:rPr>
              <w:t xml:space="preserve">Living </w:t>
            </w:r>
            <w:r w:rsidRPr="005D4222" w:rsidDel="007D60BC">
              <w:rPr>
                <w:szCs w:val="21"/>
              </w:rPr>
              <w:t>long-term in an institution</w:t>
            </w:r>
            <w:r w:rsidRPr="005D4222">
              <w:rPr>
                <w:szCs w:val="21"/>
              </w:rPr>
              <w:t xml:space="preserve"> any time during the measurement period as identified by the LTI flag in the Monthly Membership Detail Data File. Use the run date of the file to determine if </w:t>
            </w:r>
            <w:r w:rsidRPr="005D4222" w:rsidDel="002C5F88">
              <w:rPr>
                <w:szCs w:val="21"/>
              </w:rPr>
              <w:t>a member had</w:t>
            </w:r>
            <w:r w:rsidRPr="005D4222">
              <w:rPr>
                <w:szCs w:val="21"/>
              </w:rPr>
              <w:t xml:space="preserve"> an LTI flag during the measurement period.</w:t>
            </w:r>
          </w:p>
          <w:p w14:paraId="06D90DD1" w14:textId="77777777" w:rsidR="00A24265" w:rsidRPr="005D4222" w:rsidRDefault="00A24265" w:rsidP="00A24265">
            <w:pPr>
              <w:spacing w:before="120" w:after="80"/>
              <w:rPr>
                <w:b/>
                <w:szCs w:val="21"/>
              </w:rPr>
            </w:pPr>
            <w:r w:rsidRPr="005D4222">
              <w:rPr>
                <w:b/>
                <w:szCs w:val="21"/>
              </w:rPr>
              <w:t>Persons 66–80 years of age by the last day of the measurement period, with both frailty and advanced illness.</w:t>
            </w:r>
          </w:p>
          <w:p w14:paraId="4FF3BFE6" w14:textId="77777777" w:rsidR="00A24265" w:rsidRPr="005D4222" w:rsidRDefault="00A24265" w:rsidP="00A24265">
            <w:pPr>
              <w:spacing w:before="60" w:after="60"/>
              <w:ind w:left="288" w:hanging="288"/>
              <w:rPr>
                <w:rFonts w:cs="Arial"/>
                <w:kern w:val="24"/>
                <w:u w:val="single"/>
              </w:rPr>
            </w:pPr>
            <w:r w:rsidRPr="005D4222">
              <w:rPr>
                <w:kern w:val="24"/>
              </w:rPr>
              <w:t>1.</w:t>
            </w:r>
            <w:r w:rsidRPr="005D4222">
              <w:rPr>
                <w:b/>
                <w:bCs/>
                <w:kern w:val="24"/>
              </w:rPr>
              <w:tab/>
              <w:t>Frailty.</w:t>
            </w:r>
            <w:r w:rsidRPr="005D4222">
              <w:rPr>
                <w:kern w:val="24"/>
              </w:rPr>
              <w:t xml:space="preserve"> </w:t>
            </w:r>
            <w:r w:rsidRPr="005D4222">
              <w:rPr>
                <w:rFonts w:cs="Arial"/>
                <w:kern w:val="24"/>
              </w:rPr>
              <w:t>At least two indications of frailty (</w:t>
            </w:r>
            <w:r w:rsidRPr="005D4222">
              <w:rPr>
                <w:rFonts w:cs="Arial"/>
                <w:kern w:val="24"/>
                <w:u w:val="single"/>
              </w:rPr>
              <w:t>Frailty Device Value Set</w:t>
            </w:r>
            <w:r w:rsidRPr="005D4222">
              <w:rPr>
                <w:rFonts w:cs="Arial"/>
                <w:kern w:val="24"/>
              </w:rPr>
              <w:t xml:space="preserve">; </w:t>
            </w:r>
            <w:r w:rsidRPr="005D4222">
              <w:rPr>
                <w:rFonts w:cs="Arial"/>
                <w:kern w:val="24"/>
                <w:u w:val="single"/>
              </w:rPr>
              <w:t>Frailty Diagnosis Value Set</w:t>
            </w:r>
            <w:r w:rsidR="00E254AA" w:rsidRPr="005D4222">
              <w:rPr>
                <w:rFonts w:cs="Arial"/>
                <w:kern w:val="24"/>
              </w:rPr>
              <w:t>*</w:t>
            </w:r>
            <w:r w:rsidRPr="005D4222">
              <w:rPr>
                <w:rFonts w:cs="Arial"/>
                <w:kern w:val="24"/>
              </w:rPr>
              <w:t xml:space="preserve">; </w:t>
            </w:r>
            <w:r w:rsidRPr="005D4222">
              <w:rPr>
                <w:rFonts w:cs="Arial"/>
                <w:kern w:val="24"/>
                <w:u w:val="single"/>
              </w:rPr>
              <w:t>Frailty Encounter Value Set</w:t>
            </w:r>
            <w:r w:rsidRPr="005D4222">
              <w:rPr>
                <w:rFonts w:cs="Arial"/>
                <w:kern w:val="24"/>
              </w:rPr>
              <w:t xml:space="preserve">; </w:t>
            </w:r>
            <w:r w:rsidRPr="005D4222">
              <w:rPr>
                <w:rFonts w:cs="Arial"/>
                <w:kern w:val="24"/>
                <w:u w:val="single"/>
              </w:rPr>
              <w:t>Frailty Symptom Value Set</w:t>
            </w:r>
            <w:r w:rsidR="00E254AA" w:rsidRPr="005D4222">
              <w:rPr>
                <w:rFonts w:cs="Arial"/>
                <w:kern w:val="24"/>
              </w:rPr>
              <w:t>*</w:t>
            </w:r>
            <w:r w:rsidRPr="005D4222">
              <w:rPr>
                <w:rFonts w:cs="Arial"/>
                <w:kern w:val="24"/>
              </w:rPr>
              <w:t>) with different dates of service during the measurement period.</w:t>
            </w:r>
          </w:p>
          <w:p w14:paraId="5515C481" w14:textId="77777777" w:rsidR="00A24265" w:rsidRPr="005D4222" w:rsidRDefault="00A24265" w:rsidP="00914182">
            <w:pPr>
              <w:spacing w:before="180" w:after="60"/>
              <w:ind w:left="288" w:hanging="288"/>
              <w:rPr>
                <w:rFonts w:cs="Arial"/>
                <w:kern w:val="24"/>
              </w:rPr>
            </w:pPr>
            <w:r w:rsidRPr="005D4222">
              <w:rPr>
                <w:kern w:val="24"/>
              </w:rPr>
              <w:lastRenderedPageBreak/>
              <w:t>2.</w:t>
            </w:r>
            <w:r w:rsidRPr="005D4222">
              <w:rPr>
                <w:kern w:val="24"/>
              </w:rPr>
              <w:tab/>
            </w:r>
            <w:r w:rsidRPr="005D4222">
              <w:rPr>
                <w:b/>
                <w:bCs/>
                <w:kern w:val="24"/>
              </w:rPr>
              <w:t>Advanced Illness.</w:t>
            </w:r>
            <w:r w:rsidRPr="005D4222">
              <w:rPr>
                <w:kern w:val="24"/>
              </w:rPr>
              <w:t xml:space="preserve"> Either</w:t>
            </w:r>
            <w:r w:rsidRPr="005D4222">
              <w:rPr>
                <w:rFonts w:cs="Arial"/>
                <w:kern w:val="24"/>
              </w:rPr>
              <w:t xml:space="preserve"> of the following during the measurement period or the year prior to the measurement period: </w:t>
            </w:r>
          </w:p>
          <w:p w14:paraId="3F205C8F" w14:textId="77777777" w:rsidR="00A24265" w:rsidRPr="005D4222" w:rsidRDefault="00A24265" w:rsidP="002E766C">
            <w:pPr>
              <w:pStyle w:val="ProcessDash"/>
              <w:tabs>
                <w:tab w:val="clear" w:pos="432"/>
              </w:tabs>
              <w:ind w:left="504"/>
            </w:pPr>
            <w:r w:rsidRPr="005D4222">
              <w:t>Advanced illness (</w:t>
            </w:r>
            <w:r w:rsidRPr="005D4222">
              <w:rPr>
                <w:u w:val="single"/>
              </w:rPr>
              <w:t>Advanced Illness Value Set</w:t>
            </w:r>
            <w:r w:rsidRPr="005D4222">
              <w:t>*) on at least two different dates of service.</w:t>
            </w:r>
          </w:p>
          <w:p w14:paraId="578BAFAB" w14:textId="77777777" w:rsidR="00A24265" w:rsidRPr="005D4222" w:rsidRDefault="00A24265" w:rsidP="002E766C">
            <w:pPr>
              <w:pStyle w:val="ProcessDash"/>
              <w:tabs>
                <w:tab w:val="clear" w:pos="432"/>
              </w:tabs>
              <w:ind w:left="504"/>
            </w:pPr>
            <w:r w:rsidRPr="005D4222">
              <w:t>Dispensed dementia medication (</w:t>
            </w:r>
            <w:r w:rsidRPr="005D4222">
              <w:rPr>
                <w:u w:val="single"/>
              </w:rPr>
              <w:t>Dementia Medications List</w:t>
            </w:r>
            <w:r w:rsidRPr="005D4222">
              <w:t>).</w:t>
            </w:r>
          </w:p>
          <w:p w14:paraId="24DF052B" w14:textId="77777777" w:rsidR="00A24265" w:rsidRPr="005D4222" w:rsidRDefault="00A24265" w:rsidP="002E766C">
            <w:pPr>
              <w:pStyle w:val="ECDSBody"/>
            </w:pPr>
            <w:r w:rsidRPr="005D4222">
              <w:rPr>
                <w:rFonts w:eastAsia="Arial,Arial,Arial,Arial,Arial,A"/>
                <w:b/>
              </w:rPr>
              <w:t xml:space="preserve">Persons </w:t>
            </w:r>
            <w:r w:rsidRPr="005D4222">
              <w:rPr>
                <w:b/>
              </w:rPr>
              <w:t>81 years of age and older as of the last day of the measurement period, with frailty.</w:t>
            </w:r>
            <w:r w:rsidRPr="005D4222">
              <w:rPr>
                <w:b/>
              </w:rPr>
              <w:br/>
            </w:r>
            <w:r w:rsidRPr="005D4222">
              <w:rPr>
                <w:rFonts w:eastAsia="Arial,Arial,Arial,Arial,Arial,A"/>
              </w:rPr>
              <w:t>Persons with at least two indications of frailty</w:t>
            </w:r>
            <w:r w:rsidRPr="005D4222">
              <w:t xml:space="preserve"> (</w:t>
            </w:r>
            <w:r w:rsidRPr="005D4222">
              <w:rPr>
                <w:u w:val="single"/>
              </w:rPr>
              <w:t>Frailty Device Value Set</w:t>
            </w:r>
            <w:r w:rsidRPr="005D4222">
              <w:t xml:space="preserve">; </w:t>
            </w:r>
            <w:r w:rsidRPr="005D4222">
              <w:rPr>
                <w:u w:val="single"/>
              </w:rPr>
              <w:t>Frailty Diagnosis Value Set</w:t>
            </w:r>
            <w:r w:rsidRPr="005D4222">
              <w:t xml:space="preserve">*; </w:t>
            </w:r>
            <w:r w:rsidRPr="005D4222">
              <w:rPr>
                <w:u w:val="single"/>
              </w:rPr>
              <w:t>Frailty Encounter Value Set</w:t>
            </w:r>
            <w:r w:rsidRPr="005D4222">
              <w:t xml:space="preserve">; </w:t>
            </w:r>
            <w:r w:rsidRPr="005D4222">
              <w:rPr>
                <w:u w:val="single"/>
              </w:rPr>
              <w:t>Frailty Symptom Value Set</w:t>
            </w:r>
            <w:r w:rsidR="00E254AA" w:rsidRPr="005D4222">
              <w:t>*</w:t>
            </w:r>
            <w:r w:rsidRPr="005D4222">
              <w:t>) with different dates of service during the measurement period.</w:t>
            </w:r>
          </w:p>
          <w:p w14:paraId="1AD6187E" w14:textId="77777777" w:rsidR="00A24265" w:rsidRPr="005D4222" w:rsidRDefault="00A24265" w:rsidP="002E766C">
            <w:pPr>
              <w:pStyle w:val="ECDSBody"/>
            </w:pPr>
            <w:r w:rsidRPr="005D4222">
              <w:rPr>
                <w:b/>
              </w:rPr>
              <w:t>End-stage renal disease (ESRD).</w:t>
            </w:r>
            <w:r w:rsidRPr="005D4222">
              <w:rPr>
                <w:b/>
              </w:rPr>
              <w:br/>
            </w:r>
            <w:r w:rsidRPr="005D4222">
              <w:t xml:space="preserve">Persons with any of the following during their history on or prior to the last day of the measurement period: </w:t>
            </w:r>
          </w:p>
          <w:p w14:paraId="22765365" w14:textId="77777777" w:rsidR="00A24265" w:rsidRPr="005D4222" w:rsidRDefault="00A24265" w:rsidP="002E766C">
            <w:pPr>
              <w:pStyle w:val="ProcessBullet"/>
            </w:pPr>
            <w:r w:rsidRPr="005D4222">
              <w:t>Diagnosis that indicates end-stage renal disease (ESRD) (</w:t>
            </w:r>
            <w:r w:rsidRPr="005D4222">
              <w:rPr>
                <w:u w:val="single"/>
              </w:rPr>
              <w:t>ESRD Diagnosis Value Set</w:t>
            </w:r>
            <w:r w:rsidRPr="005D4222">
              <w:t xml:space="preserve">*; </w:t>
            </w:r>
            <w:r w:rsidRPr="005D4222">
              <w:rPr>
                <w:u w:val="single"/>
              </w:rPr>
              <w:t>History of Nephrectomy or Kidney Transplant Value Set</w:t>
            </w:r>
            <w:r w:rsidRPr="005D4222">
              <w:t>*).</w:t>
            </w:r>
          </w:p>
          <w:p w14:paraId="306A1752" w14:textId="77777777" w:rsidR="00A24265" w:rsidRPr="005D4222" w:rsidRDefault="00A24265" w:rsidP="002E766C">
            <w:pPr>
              <w:pStyle w:val="ProcessBullet"/>
            </w:pPr>
            <w:r w:rsidRPr="005D4222">
              <w:t>Procedure that indicates ESRD: dialysis (</w:t>
            </w:r>
            <w:r w:rsidRPr="005D4222">
              <w:rPr>
                <w:u w:val="single"/>
              </w:rPr>
              <w:t>Dialysis Procedure Value Set</w:t>
            </w:r>
            <w:r w:rsidRPr="005D4222">
              <w:t>), nephrectomy (</w:t>
            </w:r>
            <w:r w:rsidRPr="005D4222">
              <w:rPr>
                <w:u w:val="single"/>
              </w:rPr>
              <w:t>Total Nephrectomy Value Set</w:t>
            </w:r>
            <w:r w:rsidRPr="005D4222">
              <w:t xml:space="preserve">; </w:t>
            </w:r>
            <w:r w:rsidRPr="005D4222">
              <w:rPr>
                <w:u w:val="single"/>
              </w:rPr>
              <w:t>Partial Nephrectomy Value Set</w:t>
            </w:r>
            <w:r w:rsidRPr="005D4222">
              <w:t>) or kidney transplant (</w:t>
            </w:r>
            <w:r w:rsidRPr="005D4222">
              <w:rPr>
                <w:u w:val="single"/>
              </w:rPr>
              <w:t>Kidney Transplant Value Set</w:t>
            </w:r>
            <w:r w:rsidRPr="005D4222">
              <w:t>).</w:t>
            </w:r>
          </w:p>
          <w:p w14:paraId="710D5F28" w14:textId="40656D55" w:rsidR="00A24265" w:rsidRPr="005D4222" w:rsidRDefault="00A24265" w:rsidP="002E766C">
            <w:pPr>
              <w:pStyle w:val="ECDSBody"/>
              <w:rPr>
                <w:b/>
              </w:rPr>
            </w:pPr>
            <w:r w:rsidRPr="005D4222">
              <w:rPr>
                <w:b/>
              </w:rPr>
              <w:t xml:space="preserve">Diagnosis of pregnancy. </w:t>
            </w:r>
            <w:r w:rsidRPr="005D4222">
              <w:rPr>
                <w:b/>
              </w:rPr>
              <w:br/>
            </w:r>
            <w:r w:rsidRPr="005D4222">
              <w:t xml:space="preserve">Persons with </w:t>
            </w:r>
            <w:r w:rsidR="009F2EFE" w:rsidRPr="005D4222">
              <w:t>a</w:t>
            </w:r>
            <w:r w:rsidRPr="005D4222">
              <w:t xml:space="preserve"> diagnosis of pregnancy (</w:t>
            </w:r>
            <w:r w:rsidRPr="005D4222">
              <w:rPr>
                <w:u w:val="single"/>
              </w:rPr>
              <w:t>Pregnancy Value Set</w:t>
            </w:r>
            <w:r w:rsidRPr="005D4222">
              <w:t xml:space="preserve">*) any time during the measurement period. </w:t>
            </w:r>
          </w:p>
          <w:p w14:paraId="29086E7B" w14:textId="77777777" w:rsidR="00A24265" w:rsidRPr="005D4222" w:rsidRDefault="00A24265" w:rsidP="002E766C">
            <w:pPr>
              <w:pStyle w:val="ECDSBody"/>
              <w:spacing w:after="0"/>
              <w:rPr>
                <w:rFonts w:eastAsia="Arial,Arial,Arial,Arial,Arial,A"/>
                <w:b/>
              </w:rPr>
            </w:pPr>
            <w:r w:rsidRPr="005D4222">
              <w:rPr>
                <w:rFonts w:eastAsia="Arial,Arial,Arial,Arial,Arial,A"/>
                <w:b/>
              </w:rPr>
              <w:t>Coding Guidance</w:t>
            </w:r>
          </w:p>
          <w:p w14:paraId="43831C5B" w14:textId="77777777" w:rsidR="00A24265" w:rsidRPr="005D4222" w:rsidRDefault="00A24265" w:rsidP="002E766C">
            <w:pPr>
              <w:pStyle w:val="ECDSBody"/>
              <w:spacing w:before="0"/>
              <w:rPr>
                <w:rFonts w:ascii="Arial Narrow" w:eastAsia="Arial,Arial,Arial,Arial,Arial,A" w:hAnsi="Arial Narrow"/>
                <w:szCs w:val="19"/>
              </w:rPr>
            </w:pPr>
            <w:r w:rsidRPr="005D4222">
              <w:rPr>
                <w:rFonts w:eastAsia="Arial,Arial,Arial,Arial,Arial,A"/>
                <w:b/>
              </w:rPr>
              <w:t>*</w:t>
            </w:r>
            <w:r w:rsidRPr="005D4222">
              <w:rPr>
                <w:rFonts w:eastAsia="Arial,Arial,Arial,Arial,Arial,A"/>
                <w:kern w:val="24"/>
              </w:rPr>
              <w:t>Do not include laboratory claims (claims with POS code 81).</w:t>
            </w:r>
          </w:p>
        </w:tc>
      </w:tr>
      <w:tr w:rsidR="00A24265" w:rsidRPr="005D4222" w14:paraId="3172D2E4" w14:textId="77777777" w:rsidTr="00FA4E3B">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396F3F2" w14:textId="77777777" w:rsidR="00A24265" w:rsidRPr="005D4222" w:rsidRDefault="00A24265" w:rsidP="007F1AD5">
            <w:pPr>
              <w:pStyle w:val="ECDSMarginHead"/>
            </w:pPr>
            <w:r w:rsidRPr="005D4222">
              <w:lastRenderedPageBreak/>
              <w:t xml:space="preserve">Denominator </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11947C2" w14:textId="77777777" w:rsidR="00A24265" w:rsidRPr="005D4222" w:rsidRDefault="00A24265" w:rsidP="002E766C">
            <w:pPr>
              <w:pStyle w:val="Admin"/>
            </w:pPr>
            <w:r w:rsidRPr="005D4222">
              <w:t xml:space="preserve">ADMINISTRATIVE </w:t>
            </w:r>
          </w:p>
          <w:p w14:paraId="61E2A3D5" w14:textId="77777777" w:rsidR="00A24265" w:rsidRPr="005D4222" w:rsidRDefault="00A24265" w:rsidP="002E766C">
            <w:pPr>
              <w:pStyle w:val="ECDSBody"/>
              <w:rPr>
                <w:rFonts w:eastAsia="Arial,Arial,Arial,Arial,Arial,A"/>
              </w:rPr>
            </w:pPr>
            <w:r w:rsidRPr="005D4222">
              <w:rPr>
                <w:rFonts w:eastAsia="Arial,Arial,Arial,Arial,Arial,A"/>
              </w:rPr>
              <w:t>The initial population minus denominator exclusions.</w:t>
            </w:r>
          </w:p>
          <w:p w14:paraId="4EB411B9" w14:textId="77777777" w:rsidR="00A24265" w:rsidRPr="005D4222" w:rsidRDefault="00A24265" w:rsidP="002E766C">
            <w:pPr>
              <w:pStyle w:val="Admin"/>
            </w:pPr>
            <w:r w:rsidRPr="005D4222">
              <w:t xml:space="preserve">HYBRID </w:t>
            </w:r>
          </w:p>
          <w:p w14:paraId="6D18BCE6" w14:textId="77777777" w:rsidR="00A24265" w:rsidRPr="005D4222" w:rsidRDefault="00A24265" w:rsidP="002E766C">
            <w:pPr>
              <w:pStyle w:val="ECDSBody"/>
            </w:pPr>
            <w:r w:rsidRPr="005D4222">
              <w:t xml:space="preserve">A systematic sample drawn from the </w:t>
            </w:r>
            <w:r w:rsidRPr="005D4222">
              <w:rPr>
                <w:rFonts w:eastAsia="Arial,Arial,Arial,Arial,Arial,A"/>
              </w:rPr>
              <w:t xml:space="preserve">administrative </w:t>
            </w:r>
            <w:r w:rsidRPr="005D4222" w:rsidDel="006C54F8">
              <w:rPr>
                <w:rFonts w:eastAsia="Arial,Arial,Arial,Arial,Arial,A"/>
              </w:rPr>
              <w:t>denominator</w:t>
            </w:r>
            <w:r w:rsidRPr="005D4222">
              <w:t xml:space="preserve">. </w:t>
            </w:r>
          </w:p>
          <w:p w14:paraId="6913A376" w14:textId="76BD6D8E" w:rsidR="00A24265" w:rsidRPr="005D4222" w:rsidRDefault="00A24265" w:rsidP="002E766C">
            <w:pPr>
              <w:pStyle w:val="ECDSBody"/>
              <w:rPr>
                <w:rFonts w:eastAsia="Arial,Arial,Arial,Arial,Arial,A"/>
              </w:rPr>
            </w:pPr>
            <w:r w:rsidRPr="005D4222">
              <w:t>The organization may reduce the sample size using the current year’s administrative rate or the prior year’s audited, product line</w:t>
            </w:r>
            <w:r w:rsidR="00BE5CF4" w:rsidRPr="005D4222">
              <w:t>-</w:t>
            </w:r>
            <w:r w:rsidRPr="005D4222">
              <w:t xml:space="preserve">specific rate. Refer to the </w:t>
            </w:r>
            <w:hyperlink w:anchor="Guidelines_for_Sampling" w:history="1">
              <w:r w:rsidRPr="005D4222">
                <w:rPr>
                  <w:rStyle w:val="Hyperlink"/>
                  <w:i/>
                  <w:iCs/>
                </w:rPr>
                <w:t>Guidelines for Calculations and Sampling</w:t>
              </w:r>
            </w:hyperlink>
            <w:r w:rsidRPr="005D4222">
              <w:t xml:space="preserve"> for information on reducing the sample size.</w:t>
            </w:r>
          </w:p>
        </w:tc>
      </w:tr>
      <w:tr w:rsidR="00A24265" w:rsidRPr="005D4222" w14:paraId="44BAF8BB" w14:textId="77777777" w:rsidTr="00FA4E3B">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D113352" w14:textId="77777777" w:rsidR="00A24265" w:rsidRPr="005D4222" w:rsidRDefault="00A24265" w:rsidP="007F1AD5">
            <w:pPr>
              <w:pStyle w:val="ECDSMarginHead"/>
            </w:pPr>
            <w:r w:rsidRPr="005D4222">
              <w:t>Numerator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7EA96FF" w14:textId="77777777" w:rsidR="00A24265" w:rsidRPr="005D4222" w:rsidRDefault="00A24265" w:rsidP="002E766C">
            <w:pPr>
              <w:pStyle w:val="Admin"/>
            </w:pPr>
            <w:r w:rsidRPr="005D4222">
              <w:t xml:space="preserve">ADMINISTRATIVE </w:t>
            </w:r>
          </w:p>
          <w:p w14:paraId="3DAF960B" w14:textId="77777777" w:rsidR="00A24265" w:rsidRPr="005D4222" w:rsidRDefault="00A24265" w:rsidP="002E766C">
            <w:pPr>
              <w:pStyle w:val="ECDSBody"/>
              <w:rPr>
                <w:rFonts w:ascii="Times New Roman" w:eastAsiaTheme="minorHAnsi" w:hAnsi="Times New Roman"/>
                <w:sz w:val="24"/>
                <w:szCs w:val="24"/>
              </w:rPr>
            </w:pPr>
            <w:r w:rsidRPr="005D4222">
              <w:rPr>
                <w:rFonts w:eastAsia="Arial,Arial,Arial,Arial,Arial,A"/>
                <w:b/>
              </w:rPr>
              <w:t xml:space="preserve">Both a systolic and diastolic reading </w:t>
            </w:r>
            <w:r w:rsidRPr="005D4222">
              <w:rPr>
                <w:b/>
              </w:rPr>
              <w:t>&lt;140/90 mm Hg</w:t>
            </w:r>
            <w:r w:rsidRPr="005D4222">
              <w:rPr>
                <w:rFonts w:eastAsia="Arial,Arial,Arial,Arial,Arial,A"/>
                <w:b/>
              </w:rPr>
              <w:t xml:space="preserve">. </w:t>
            </w:r>
            <w:r w:rsidRPr="005D4222">
              <w:rPr>
                <w:rFonts w:eastAsia="Arial,Arial,Arial,Arial,Arial,A"/>
                <w:b/>
              </w:rPr>
              <w:br/>
            </w:r>
            <w:r w:rsidRPr="005D4222">
              <w:t>Identify the most recent BP reading (</w:t>
            </w:r>
            <w:r w:rsidRPr="005D4222">
              <w:rPr>
                <w:u w:val="single"/>
              </w:rPr>
              <w:t>Systolic Blood Pressure Value Set</w:t>
            </w:r>
            <w:r w:rsidRPr="005D4222">
              <w:t xml:space="preserve">; </w:t>
            </w:r>
            <w:r w:rsidRPr="005D4222">
              <w:rPr>
                <w:u w:val="single"/>
              </w:rPr>
              <w:t>Diastolic Blood Pressure Value Set</w:t>
            </w:r>
            <w:r w:rsidRPr="005D4222">
              <w:t>) taken during the measurement period. Do not include CPT Category II codes (</w:t>
            </w:r>
            <w:r w:rsidRPr="005D4222">
              <w:rPr>
                <w:u w:val="single"/>
              </w:rPr>
              <w:t>Systolic and Diastolic Result Value Set</w:t>
            </w:r>
            <w:r w:rsidRPr="005D4222">
              <w:t>) with a modifier (</w:t>
            </w:r>
            <w:r w:rsidRPr="005D4222">
              <w:rPr>
                <w:u w:val="single"/>
              </w:rPr>
              <w:t>CPT CAT II Modifier Value Set</w:t>
            </w:r>
            <w:r w:rsidRPr="005D4222">
              <w:t>). Do not include BPs taken in an acute inpatient setting (</w:t>
            </w:r>
            <w:r w:rsidRPr="005D4222">
              <w:rPr>
                <w:u w:val="single"/>
              </w:rPr>
              <w:t>Acute Inpatient Value Set</w:t>
            </w:r>
            <w:r w:rsidRPr="005D4222">
              <w:t xml:space="preserve">; </w:t>
            </w:r>
            <w:r w:rsidRPr="005D4222">
              <w:rPr>
                <w:u w:val="single"/>
              </w:rPr>
              <w:t>Acute Inpatient POS Value Set</w:t>
            </w:r>
            <w:r w:rsidRPr="005D4222">
              <w:t>) or during an ED visit (</w:t>
            </w:r>
            <w:r w:rsidRPr="005D4222">
              <w:rPr>
                <w:u w:val="single"/>
              </w:rPr>
              <w:t>ED Value Set</w:t>
            </w:r>
            <w:r w:rsidRPr="005D4222">
              <w:t xml:space="preserve">; POS code 23). </w:t>
            </w:r>
          </w:p>
          <w:p w14:paraId="141C02EF" w14:textId="77777777" w:rsidR="00A24265" w:rsidRPr="005D4222" w:rsidRDefault="00A24265" w:rsidP="002E766C">
            <w:pPr>
              <w:pStyle w:val="ECDSBody"/>
            </w:pPr>
            <w:r w:rsidRPr="005D4222">
              <w:t xml:space="preserve">The BP reading must occur </w:t>
            </w:r>
            <w:r w:rsidRPr="005D4222">
              <w:rPr>
                <w:i/>
              </w:rPr>
              <w:t>on or after</w:t>
            </w:r>
            <w:r w:rsidRPr="005D4222">
              <w:t xml:space="preserve"> the date of the second diagnosis of hypertension (identified using the initial population criteria).</w:t>
            </w:r>
          </w:p>
          <w:p w14:paraId="7A7DBCA5" w14:textId="617B4A48" w:rsidR="002E766C" w:rsidRPr="005D4222" w:rsidRDefault="00A24265" w:rsidP="006F4A12">
            <w:pPr>
              <w:pStyle w:val="ECDSBody"/>
              <w:rPr>
                <w:rFonts w:eastAsia="Arial,Arial,Arial,Arial,Arial,A"/>
                <w:i/>
                <w:color w:val="000000" w:themeColor="text1"/>
                <w:szCs w:val="24"/>
              </w:rPr>
            </w:pPr>
            <w:r w:rsidRPr="005D4222">
              <w:t>If there are multiple BPs on the same date of service, use the lowest systolic and lowest diastolic BP on that date as the representative BP.</w:t>
            </w:r>
          </w:p>
        </w:tc>
      </w:tr>
      <w:tr w:rsidR="00A24265" w:rsidRPr="005D4222" w14:paraId="1F68F96E" w14:textId="77777777" w:rsidTr="00FA4E3B">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3E50243" w14:textId="77777777" w:rsidR="00A24265" w:rsidRPr="005D4222" w:rsidRDefault="00A24265" w:rsidP="00A24265">
            <w:pPr>
              <w:spacing w:before="120" w:after="80"/>
              <w:rPr>
                <w:b/>
                <w:sz w:val="22"/>
                <w:szCs w:val="21"/>
              </w:rPr>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68984FF" w14:textId="77777777" w:rsidR="002E766C" w:rsidRPr="005D4222" w:rsidRDefault="002E766C" w:rsidP="002E766C">
            <w:pPr>
              <w:pStyle w:val="Bullet"/>
            </w:pPr>
            <w:r w:rsidRPr="005D4222">
              <w:rPr>
                <w:i/>
                <w:iCs/>
              </w:rPr>
              <w:t>Compliant</w:t>
            </w:r>
            <w:r w:rsidRPr="005D4222">
              <w:t>: BP is &lt;140/90 mm Hg.</w:t>
            </w:r>
          </w:p>
          <w:p w14:paraId="04BFF6FE" w14:textId="77777777" w:rsidR="002E766C" w:rsidRPr="005D4222" w:rsidRDefault="002E766C" w:rsidP="002E766C">
            <w:pPr>
              <w:pStyle w:val="Bullet"/>
            </w:pPr>
            <w:r w:rsidRPr="005D4222">
              <w:rPr>
                <w:i/>
                <w:iCs/>
              </w:rPr>
              <w:t>Non-compliant</w:t>
            </w:r>
            <w:r w:rsidRPr="005D4222">
              <w:t xml:space="preserve">: BP is </w:t>
            </w:r>
            <w:r w:rsidRPr="005D4222">
              <w:rPr>
                <w:rFonts w:cs="Arial"/>
              </w:rPr>
              <w:t>≥</w:t>
            </w:r>
            <w:r w:rsidRPr="005D4222">
              <w:t>140/90 mm Hg; no BP reading during the measurement period; or if the reading is incomplete (e.g., the systolic or diastolic level is missing).</w:t>
            </w:r>
          </w:p>
          <w:p w14:paraId="53732545" w14:textId="77777777" w:rsidR="002E766C" w:rsidRPr="005D4222" w:rsidRDefault="002E766C" w:rsidP="006F4A12">
            <w:pPr>
              <w:pStyle w:val="ECDSBody"/>
            </w:pPr>
            <w:r w:rsidRPr="005D4222">
              <w:t>If the most recent blood pressure was identified based on a CPT Category II code (</w:t>
            </w:r>
            <w:r w:rsidRPr="005D4222">
              <w:rPr>
                <w:u w:val="single"/>
              </w:rPr>
              <w:t>Systolic and Diastolic Result Value Set</w:t>
            </w:r>
            <w:r w:rsidRPr="005D4222">
              <w:t>) use the following to determine compliance:</w:t>
            </w:r>
          </w:p>
          <w:p w14:paraId="0369AE59" w14:textId="77777777" w:rsidR="002E766C" w:rsidRPr="005D4222" w:rsidRDefault="002E766C" w:rsidP="006F4A12">
            <w:pPr>
              <w:pStyle w:val="Bullet"/>
            </w:pPr>
            <w:r w:rsidRPr="005D4222">
              <w:rPr>
                <w:i/>
                <w:iCs/>
              </w:rPr>
              <w:t>Systolic Compliant:</w:t>
            </w:r>
            <w:r w:rsidRPr="005D4222">
              <w:t xml:space="preserve"> </w:t>
            </w:r>
            <w:r w:rsidRPr="005D4222">
              <w:rPr>
                <w:u w:val="single"/>
              </w:rPr>
              <w:t>Systolic Less Than 140 Value Set</w:t>
            </w:r>
            <w:r w:rsidRPr="005D4222">
              <w:t>.</w:t>
            </w:r>
          </w:p>
          <w:p w14:paraId="08523D7D" w14:textId="77777777" w:rsidR="002E766C" w:rsidRPr="005D4222" w:rsidRDefault="002E766C" w:rsidP="006F4A12">
            <w:pPr>
              <w:pStyle w:val="Bullet"/>
            </w:pPr>
            <w:r w:rsidRPr="005D4222">
              <w:rPr>
                <w:i/>
                <w:iCs/>
              </w:rPr>
              <w:t>Systolic Not Compliant</w:t>
            </w:r>
            <w:r w:rsidRPr="005D4222">
              <w:t>: CPT-CAT-II code 3077F.</w:t>
            </w:r>
          </w:p>
          <w:p w14:paraId="1394A680" w14:textId="77777777" w:rsidR="00A24265" w:rsidRPr="005D4222" w:rsidRDefault="00A24265" w:rsidP="006F4A12">
            <w:pPr>
              <w:pStyle w:val="Bullet"/>
              <w:rPr>
                <w:rFonts w:eastAsia="Arial,Arial,Arial,Arial,Arial,A"/>
                <w:i/>
                <w:color w:val="000000" w:themeColor="text1"/>
              </w:rPr>
            </w:pPr>
            <w:r w:rsidRPr="005D4222">
              <w:rPr>
                <w:i/>
                <w:iCs/>
              </w:rPr>
              <w:t>Diastolic Compliant</w:t>
            </w:r>
            <w:r w:rsidRPr="005D4222">
              <w:t xml:space="preserve">: </w:t>
            </w:r>
            <w:r w:rsidRPr="005D4222">
              <w:rPr>
                <w:u w:val="single"/>
              </w:rPr>
              <w:t>Diastolic Less Than 90 Value Set</w:t>
            </w:r>
            <w:r w:rsidRPr="005D4222">
              <w:t>.</w:t>
            </w:r>
          </w:p>
          <w:p w14:paraId="48C42E07" w14:textId="77777777" w:rsidR="00A24265" w:rsidRPr="005D4222" w:rsidRDefault="00A24265" w:rsidP="006F4A12">
            <w:pPr>
              <w:pStyle w:val="Bullet"/>
              <w:rPr>
                <w:rFonts w:eastAsia="Arial,Arial,Arial,Arial,Arial,A"/>
              </w:rPr>
            </w:pPr>
            <w:r w:rsidRPr="005D4222">
              <w:rPr>
                <w:i/>
                <w:iCs/>
              </w:rPr>
              <w:t>Diastolic Not Compliant</w:t>
            </w:r>
            <w:r w:rsidRPr="005D4222">
              <w:t>: CPT-CAT-II code 3080F.</w:t>
            </w:r>
          </w:p>
          <w:p w14:paraId="29269EDB" w14:textId="77777777" w:rsidR="00A24265" w:rsidRPr="005D4222" w:rsidRDefault="00A24265" w:rsidP="006F4A12">
            <w:pPr>
              <w:pStyle w:val="Admin"/>
            </w:pPr>
            <w:r w:rsidRPr="005D4222">
              <w:t xml:space="preserve">HYBRID </w:t>
            </w:r>
          </w:p>
          <w:p w14:paraId="49A90901" w14:textId="77777777" w:rsidR="00A24265" w:rsidRPr="005D4222" w:rsidRDefault="00A24265" w:rsidP="006F4A12">
            <w:pPr>
              <w:pStyle w:val="ECDSBody"/>
            </w:pPr>
            <w:r w:rsidRPr="005D4222">
              <w:rPr>
                <w:i/>
              </w:rPr>
              <w:t xml:space="preserve">Administrative: </w:t>
            </w:r>
            <w:r w:rsidRPr="005D4222">
              <w:t>Refer to the administrative specifications to identify positive numerator hits from administrative data.</w:t>
            </w:r>
          </w:p>
          <w:p w14:paraId="74CB5635" w14:textId="77777777" w:rsidR="00A24265" w:rsidRPr="005D4222" w:rsidRDefault="00A24265" w:rsidP="006F4A12">
            <w:pPr>
              <w:pStyle w:val="ECDSBody"/>
              <w:rPr>
                <w:b/>
                <w:bCs w:val="0"/>
                <w:i/>
                <w:iCs/>
              </w:rPr>
            </w:pPr>
            <w:r w:rsidRPr="005D4222">
              <w:rPr>
                <w:b/>
                <w:bCs w:val="0"/>
                <w:i/>
                <w:iCs/>
              </w:rPr>
              <w:t xml:space="preserve">Identifying the medical record. </w:t>
            </w:r>
          </w:p>
          <w:p w14:paraId="37B73035" w14:textId="77777777" w:rsidR="00A24265" w:rsidRPr="005D4222" w:rsidRDefault="00A24265" w:rsidP="006F4A12">
            <w:pPr>
              <w:pStyle w:val="ECDSBody"/>
            </w:pPr>
            <w:r w:rsidRPr="005D4222">
              <w:t>All eligible BP measurements recorded in the record must be considered. If the medical record cannot be found, the person remains in the measure denominator and is considered noncompliant for the numerator.</w:t>
            </w:r>
          </w:p>
          <w:p w14:paraId="09C12BF6" w14:textId="77777777" w:rsidR="00A24265" w:rsidRPr="005D4222" w:rsidRDefault="00A24265" w:rsidP="006F4A12">
            <w:pPr>
              <w:pStyle w:val="ECDSBody"/>
            </w:pPr>
            <w:r w:rsidRPr="005D4222">
              <w:t>Use the following guidance to find the appropriate medical record to review:</w:t>
            </w:r>
          </w:p>
          <w:p w14:paraId="52C03383" w14:textId="77777777" w:rsidR="00A24265" w:rsidRPr="005D4222" w:rsidRDefault="00A24265" w:rsidP="00347348">
            <w:pPr>
              <w:pStyle w:val="Bullet"/>
            </w:pPr>
            <w:r w:rsidRPr="005D4222">
              <w:t xml:space="preserve">Identify the person’s PCP. </w:t>
            </w:r>
          </w:p>
          <w:p w14:paraId="32851CCE" w14:textId="77777777" w:rsidR="00A24265" w:rsidRPr="005D4222" w:rsidRDefault="00A24265" w:rsidP="00347348">
            <w:pPr>
              <w:pStyle w:val="Dash"/>
            </w:pPr>
            <w:r w:rsidRPr="005D4222">
              <w:t xml:space="preserve">If the person had more than one PCP for the time period, identify the PCP who most recently provided care. </w:t>
            </w:r>
          </w:p>
          <w:p w14:paraId="37AEDA1C" w14:textId="77777777" w:rsidR="00A24265" w:rsidRPr="005D4222" w:rsidRDefault="00A24265" w:rsidP="00347348">
            <w:pPr>
              <w:pStyle w:val="Dash"/>
            </w:pPr>
            <w:r w:rsidRPr="005D4222">
              <w:t xml:space="preserve">If the person did not visit a PCP in the time period or does not have a PCP, identify the practitioner who most recently provided care. </w:t>
            </w:r>
          </w:p>
          <w:p w14:paraId="49F244C1" w14:textId="77777777" w:rsidR="00A24265" w:rsidRPr="005D4222" w:rsidRDefault="00A24265" w:rsidP="00347348">
            <w:pPr>
              <w:pStyle w:val="Dash"/>
            </w:pPr>
            <w:r w:rsidRPr="005D4222">
              <w:t>If a practitioner other than the PCP manages the hypertension, use the medical record of that practitioner.</w:t>
            </w:r>
          </w:p>
          <w:p w14:paraId="6E447F1F" w14:textId="77777777" w:rsidR="00A24265" w:rsidRPr="005D4222" w:rsidRDefault="00A24265" w:rsidP="009502E1">
            <w:pPr>
              <w:pStyle w:val="ECDSBody"/>
              <w:rPr>
                <w:b/>
                <w:i/>
                <w:iCs/>
              </w:rPr>
            </w:pPr>
            <w:r w:rsidRPr="005D4222">
              <w:rPr>
                <w:rFonts w:eastAsia="Arial,Arial,Arial,Arial,Arial,A"/>
                <w:b/>
              </w:rPr>
              <w:t xml:space="preserve">Persons with both a systolic and diastolic reading </w:t>
            </w:r>
            <w:r w:rsidRPr="005D4222">
              <w:rPr>
                <w:b/>
              </w:rPr>
              <w:t>&lt;140/90 mm Hg</w:t>
            </w:r>
            <w:r w:rsidRPr="005D4222">
              <w:rPr>
                <w:rFonts w:eastAsia="Arial,Arial,Arial,Arial,Arial,A"/>
                <w:b/>
              </w:rPr>
              <w:t>.</w:t>
            </w:r>
            <w:r w:rsidRPr="005D4222">
              <w:rPr>
                <w:rFonts w:eastAsia="Arial,Arial,Arial,Arial,Arial,A"/>
                <w:b/>
              </w:rPr>
              <w:br/>
            </w:r>
            <w:r w:rsidRPr="005D4222">
              <w:t>The number of persons in the denominator whose most recent BP (both systolic and diastolic) is adequately controlled during the measurement period. For a person’s BP to be controlled, the systolic and diastolic BP must be &lt;140/90 mm hg (adequate control). To determine if a person’s BP is adequately controlled, the representative BP must be identified.</w:t>
            </w:r>
          </w:p>
          <w:p w14:paraId="54CDAE63" w14:textId="77777777" w:rsidR="00A24265" w:rsidRPr="005D4222" w:rsidRDefault="00A24265" w:rsidP="009502E1">
            <w:pPr>
              <w:pStyle w:val="ECDSBody"/>
            </w:pPr>
            <w:r w:rsidRPr="005D4222">
              <w:rPr>
                <w:i/>
                <w:iCs/>
                <w:shd w:val="clear" w:color="auto" w:fill="FFFFFF"/>
              </w:rPr>
              <w:t xml:space="preserve">Medical record: </w:t>
            </w:r>
            <w:r w:rsidRPr="005D4222">
              <w:t xml:space="preserve">Identify the most recent BP reading noted during the measurement period. The BP reading must occur on or after the date when the second diagnosis of hypertension (identified using the event criteria) occurred. </w:t>
            </w:r>
          </w:p>
          <w:p w14:paraId="71A7FBFB" w14:textId="77777777" w:rsidR="00A24265" w:rsidRPr="005D4222" w:rsidRDefault="00A24265" w:rsidP="009502E1">
            <w:pPr>
              <w:pStyle w:val="ECDSBody"/>
            </w:pPr>
            <w:r w:rsidRPr="005D4222">
              <w:t xml:space="preserve">Do not include BP readings: </w:t>
            </w:r>
          </w:p>
          <w:p w14:paraId="547ABB3A" w14:textId="77777777" w:rsidR="00A24265" w:rsidRPr="005D4222" w:rsidRDefault="00A24265" w:rsidP="009502E1">
            <w:pPr>
              <w:pStyle w:val="Bullet"/>
            </w:pPr>
            <w:r w:rsidRPr="005D4222">
              <w:t xml:space="preserve">Taken during an acute inpatient stay or an ED visit. </w:t>
            </w:r>
          </w:p>
          <w:p w14:paraId="036D8168" w14:textId="77777777" w:rsidR="00A24265" w:rsidRPr="005D4222" w:rsidRDefault="00A24265" w:rsidP="009502E1">
            <w:pPr>
              <w:pStyle w:val="Bullet"/>
            </w:pPr>
            <w:r w:rsidRPr="005D4222">
              <w:t xml:space="preserve">Taken on the same day as a diagnostic test or diagnostic or therapeutic procedure that requires a change in diet or change in medication on or 1 day before the day of the test or procedure, with the exception of fasting blood tests. </w:t>
            </w:r>
          </w:p>
          <w:p w14:paraId="6F22A6E1" w14:textId="043C4A0D" w:rsidR="00A24265" w:rsidRPr="005D4222" w:rsidRDefault="00A24265" w:rsidP="009502E1">
            <w:pPr>
              <w:pStyle w:val="Bullet"/>
              <w:spacing w:after="80"/>
              <w:rPr>
                <w:bCs/>
                <w:szCs w:val="21"/>
              </w:rPr>
            </w:pPr>
            <w:r w:rsidRPr="005D4222">
              <w:t xml:space="preserve">Taken using a non-digital device such as with a manual blood pressure cuff and a stethoscope. </w:t>
            </w:r>
          </w:p>
        </w:tc>
      </w:tr>
      <w:tr w:rsidR="00A24265" w:rsidRPr="005D4222" w14:paraId="1686AAF6" w14:textId="77777777" w:rsidTr="00FA4E3B">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935B5D3" w14:textId="77777777" w:rsidR="00A24265" w:rsidRPr="005D4222" w:rsidRDefault="00A24265" w:rsidP="00A24265">
            <w:pPr>
              <w:spacing w:before="120" w:after="80"/>
              <w:rPr>
                <w:b/>
                <w:sz w:val="22"/>
                <w:szCs w:val="21"/>
              </w:rPr>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64FA42D" w14:textId="77777777" w:rsidR="009502E1" w:rsidRPr="005D4222" w:rsidRDefault="009502E1" w:rsidP="009502E1">
            <w:pPr>
              <w:pStyle w:val="ECDSBody"/>
            </w:pPr>
            <w:r w:rsidRPr="005D4222">
              <w:t>Identify the lowest systolic and lowest diastolic BP reading from the most recent BP notation in the medical record. If multiple readings were recorded for a single date, use the lowest systolic and lowest diastolic BP on that date as the representative BP. The systolic and diastolic results do not need to be from the same reading.</w:t>
            </w:r>
          </w:p>
          <w:p w14:paraId="3C8D105B" w14:textId="4CDF8720" w:rsidR="00A24265" w:rsidRPr="005D4222" w:rsidRDefault="00A24265" w:rsidP="009502E1">
            <w:pPr>
              <w:pStyle w:val="ECDSBody"/>
            </w:pPr>
            <w:r w:rsidRPr="005D4222">
              <w:t xml:space="preserve">BP readings taken by the person and documented in the medical record are eligible for use in reporting (provided the BP does not meet any exclusion criteria). There is no requirement that there be evidence the BP was collected by a PCP or specialist. </w:t>
            </w:r>
          </w:p>
          <w:p w14:paraId="0AB94F73" w14:textId="77777777" w:rsidR="00A24265" w:rsidRPr="005D4222" w:rsidRDefault="00A24265" w:rsidP="009502E1">
            <w:pPr>
              <w:pStyle w:val="ECDSBody"/>
            </w:pPr>
            <w:r w:rsidRPr="005D4222">
              <w:t xml:space="preserve">The person is not compliant if the BP reading is ≥140/90 mm Hg or is missing, or if there is no BP reading during the measurement period or if the reading is incomplete (e.g., the systolic or diastolic level is missing). </w:t>
            </w:r>
          </w:p>
          <w:p w14:paraId="0229A0D5" w14:textId="77777777" w:rsidR="00A24265" w:rsidRPr="005D4222" w:rsidRDefault="00A24265" w:rsidP="009502E1">
            <w:pPr>
              <w:pStyle w:val="ECDSBody"/>
            </w:pPr>
            <w:r w:rsidRPr="005D4222">
              <w:t xml:space="preserve">Ranges and thresholds do not meet criteria for this measure. A distinct numeric result for both the systolic and diastolic BP reading is required for numerator compliance. A BP documented as an “average BP” (e.g., “average BP: 139/70”) is eligible for use. </w:t>
            </w:r>
          </w:p>
          <w:p w14:paraId="120BCBBF" w14:textId="77777777" w:rsidR="00A24265" w:rsidRPr="005D4222" w:rsidRDefault="00A24265" w:rsidP="009502E1">
            <w:pPr>
              <w:pStyle w:val="Note"/>
              <w:rPr>
                <w:b/>
                <w:bCs/>
                <w:szCs w:val="20"/>
              </w:rPr>
            </w:pPr>
            <w:r w:rsidRPr="005D4222">
              <w:rPr>
                <w:b/>
                <w:bCs/>
                <w:szCs w:val="20"/>
              </w:rPr>
              <w:t>Note</w:t>
            </w:r>
          </w:p>
          <w:p w14:paraId="699412FD" w14:textId="77777777" w:rsidR="00A24265" w:rsidRPr="005D4222" w:rsidRDefault="00A24265" w:rsidP="009502E1">
            <w:pPr>
              <w:pStyle w:val="ProcessBullet"/>
              <w:rPr>
                <w:i/>
                <w:sz w:val="20"/>
                <w:szCs w:val="20"/>
              </w:rPr>
            </w:pPr>
            <w:r w:rsidRPr="005D4222">
              <w:rPr>
                <w:i/>
                <w:sz w:val="20"/>
                <w:szCs w:val="20"/>
              </w:rPr>
              <w:t>When identifying the most recent BP reading, all eligible BP readings in the appropriate medical record should be considered, regardless of practitioner type and setting (excluding acute inpatient and ED visit settings).</w:t>
            </w:r>
          </w:p>
          <w:p w14:paraId="70A95204" w14:textId="77777777" w:rsidR="00A24265" w:rsidRPr="005D4222" w:rsidRDefault="00A24265" w:rsidP="009502E1">
            <w:pPr>
              <w:pStyle w:val="ProcessBullet"/>
              <w:rPr>
                <w:i/>
                <w:sz w:val="20"/>
                <w:szCs w:val="20"/>
              </w:rPr>
            </w:pPr>
            <w:r w:rsidRPr="005D4222">
              <w:rPr>
                <w:i/>
                <w:sz w:val="20"/>
                <w:szCs w:val="20"/>
              </w:rPr>
              <w:t xml:space="preserve">An EMR can be used to identify the most recent BP reading if it meets the criteria for appropriate medical record. </w:t>
            </w:r>
          </w:p>
          <w:p w14:paraId="2ABC690D" w14:textId="77777777" w:rsidR="00A24265" w:rsidRPr="005D4222" w:rsidRDefault="00A24265" w:rsidP="009502E1">
            <w:pPr>
              <w:pStyle w:val="ProcessBullet"/>
              <w:rPr>
                <w:i/>
                <w:sz w:val="20"/>
                <w:szCs w:val="20"/>
              </w:rPr>
            </w:pPr>
            <w:r w:rsidRPr="005D4222">
              <w:rPr>
                <w:rFonts w:eastAsiaTheme="minorEastAsia" w:cs="Arial"/>
                <w:i/>
                <w:color w:val="000000" w:themeColor="text1"/>
                <w:sz w:val="20"/>
                <w:szCs w:val="20"/>
                <w:lang w:eastAsia="zh-CN"/>
              </w:rPr>
              <w:t xml:space="preserve">When excluding BP readings from the numerator, identify diagnostic or therapeutic procedures that require a medication regimen, a change in diet or a change in medication; for example (this list is for reference only and is not exhaustive): </w:t>
            </w:r>
          </w:p>
          <w:p w14:paraId="1916EC78" w14:textId="77777777" w:rsidR="00A24265" w:rsidRPr="005D4222" w:rsidRDefault="00A24265" w:rsidP="009502E1">
            <w:pPr>
              <w:pStyle w:val="ProcessDash"/>
              <w:rPr>
                <w:rFonts w:eastAsiaTheme="minorEastAsia"/>
                <w:i/>
                <w:sz w:val="20"/>
                <w:lang w:eastAsia="zh-CN"/>
              </w:rPr>
            </w:pPr>
            <w:r w:rsidRPr="005D4222">
              <w:rPr>
                <w:rFonts w:eastAsiaTheme="minorEastAsia"/>
                <w:i/>
                <w:sz w:val="20"/>
                <w:lang w:eastAsia="zh-CN"/>
              </w:rPr>
              <w:t xml:space="preserve">A colonoscopy requires a change in diet (NPO on the day of the procedure) and a medication change (a medication is taken to prep the colon). </w:t>
            </w:r>
          </w:p>
          <w:p w14:paraId="1F7A7BC8" w14:textId="77777777" w:rsidR="00A24265" w:rsidRPr="005D4222" w:rsidRDefault="00A24265" w:rsidP="009502E1">
            <w:pPr>
              <w:pStyle w:val="ProcessDash"/>
              <w:rPr>
                <w:rFonts w:eastAsiaTheme="minorEastAsia"/>
                <w:i/>
                <w:sz w:val="20"/>
                <w:lang w:eastAsia="zh-CN"/>
              </w:rPr>
            </w:pPr>
            <w:r w:rsidRPr="005D4222">
              <w:rPr>
                <w:rFonts w:eastAsiaTheme="minorEastAsia"/>
                <w:i/>
                <w:sz w:val="20"/>
                <w:lang w:eastAsia="zh-CN"/>
              </w:rPr>
              <w:t xml:space="preserve">Dialysis, infusions and chemotherapy (including oral chemotherapy) are all therapeutic procedures that require a medication regimen. </w:t>
            </w:r>
          </w:p>
          <w:p w14:paraId="38EB665F" w14:textId="77777777" w:rsidR="00A24265" w:rsidRPr="005D4222" w:rsidRDefault="00A24265" w:rsidP="009502E1">
            <w:pPr>
              <w:pStyle w:val="ProcessDash"/>
              <w:rPr>
                <w:rFonts w:eastAsiaTheme="minorEastAsia"/>
                <w:i/>
                <w:sz w:val="20"/>
                <w:lang w:eastAsia="zh-CN"/>
              </w:rPr>
            </w:pPr>
            <w:r w:rsidRPr="005D4222">
              <w:rPr>
                <w:rFonts w:eastAsiaTheme="minorEastAsia"/>
                <w:i/>
                <w:sz w:val="20"/>
                <w:lang w:eastAsia="zh-CN"/>
              </w:rPr>
              <w:t xml:space="preserve">A nebulizer treatment with albuterol is considered a therapeutic procedure that requires a medication regimen (the albuterol). </w:t>
            </w:r>
          </w:p>
          <w:p w14:paraId="39C325A0" w14:textId="11BE5342" w:rsidR="00A24265" w:rsidRPr="005D4222" w:rsidRDefault="00A24265" w:rsidP="009502E1">
            <w:pPr>
              <w:pStyle w:val="ProcessDash"/>
              <w:rPr>
                <w:rFonts w:eastAsiaTheme="minorEastAsia"/>
                <w:i/>
                <w:sz w:val="20"/>
                <w:lang w:eastAsia="zh-CN"/>
              </w:rPr>
            </w:pPr>
            <w:r w:rsidRPr="005D4222">
              <w:rPr>
                <w:rFonts w:eastAsiaTheme="minorEastAsia"/>
                <w:i/>
                <w:sz w:val="20"/>
                <w:lang w:eastAsia="zh-CN"/>
              </w:rPr>
              <w:t xml:space="preserve">A </w:t>
            </w:r>
            <w:r w:rsidR="00000E7D" w:rsidRPr="005D4222">
              <w:rPr>
                <w:rFonts w:eastAsiaTheme="minorEastAsia"/>
                <w:i/>
                <w:sz w:val="20"/>
                <w:lang w:eastAsia="zh-CN"/>
              </w:rPr>
              <w:t>person</w:t>
            </w:r>
            <w:r w:rsidRPr="005D4222">
              <w:rPr>
                <w:rFonts w:eastAsiaTheme="minorEastAsia"/>
                <w:i/>
                <w:sz w:val="20"/>
                <w:lang w:eastAsia="zh-CN"/>
              </w:rPr>
              <w:t xml:space="preserve"> forgetting to take regular medications on the day of the procedure is not considered a required change in medication; the BP reading is eligible. </w:t>
            </w:r>
          </w:p>
          <w:p w14:paraId="0E87402C" w14:textId="77777777" w:rsidR="00A24265" w:rsidRPr="005D4222" w:rsidRDefault="00A24265" w:rsidP="009502E1">
            <w:pPr>
              <w:pStyle w:val="ProcessBullet"/>
              <w:rPr>
                <w:rFonts w:eastAsiaTheme="minorEastAsia"/>
                <w:i/>
                <w:sz w:val="20"/>
                <w:szCs w:val="20"/>
                <w:lang w:eastAsia="zh-CN"/>
              </w:rPr>
            </w:pPr>
            <w:r w:rsidRPr="005D4222">
              <w:rPr>
                <w:rFonts w:eastAsiaTheme="minorEastAsia"/>
                <w:i/>
                <w:sz w:val="20"/>
                <w:szCs w:val="20"/>
                <w:lang w:eastAsia="zh-CN"/>
              </w:rPr>
              <w:t xml:space="preserve">BP readings taken on the same day the person receives a common low-intensity or preventive procedure are eligible for use; for example, the following procedures are considered common low-intensity or preventive (this list is for reference only and is not exhaustive): </w:t>
            </w:r>
          </w:p>
          <w:p w14:paraId="75B591AD" w14:textId="77777777" w:rsidR="00A24265" w:rsidRPr="005D4222" w:rsidRDefault="00A24265" w:rsidP="009502E1">
            <w:pPr>
              <w:pStyle w:val="ProcessDash"/>
              <w:rPr>
                <w:rFonts w:eastAsiaTheme="minorEastAsia"/>
                <w:i/>
                <w:iCs/>
                <w:sz w:val="20"/>
                <w:lang w:eastAsia="zh-CN"/>
              </w:rPr>
            </w:pPr>
            <w:r w:rsidRPr="005D4222">
              <w:rPr>
                <w:rFonts w:eastAsiaTheme="minorEastAsia"/>
                <w:i/>
                <w:iCs/>
                <w:sz w:val="20"/>
                <w:lang w:eastAsia="zh-CN"/>
              </w:rPr>
              <w:t xml:space="preserve">Vaccinations. </w:t>
            </w:r>
          </w:p>
          <w:p w14:paraId="51A294CE" w14:textId="77777777" w:rsidR="00A24265" w:rsidRPr="005D4222" w:rsidRDefault="00A24265" w:rsidP="009502E1">
            <w:pPr>
              <w:pStyle w:val="ProcessDash"/>
              <w:rPr>
                <w:rFonts w:eastAsiaTheme="minorEastAsia"/>
                <w:i/>
                <w:iCs/>
                <w:sz w:val="20"/>
                <w:lang w:eastAsia="zh-CN"/>
              </w:rPr>
            </w:pPr>
            <w:r w:rsidRPr="005D4222">
              <w:rPr>
                <w:rFonts w:eastAsiaTheme="minorEastAsia"/>
                <w:i/>
                <w:iCs/>
                <w:sz w:val="20"/>
                <w:lang w:eastAsia="zh-CN"/>
              </w:rPr>
              <w:t xml:space="preserve">Injections (e.g., allergy, vitamin B-12, insulin, steroid, Toradol, Depo-Provera, testosterone, lidocaine). </w:t>
            </w:r>
          </w:p>
          <w:p w14:paraId="65337F85" w14:textId="77777777" w:rsidR="00A24265" w:rsidRPr="005D4222" w:rsidRDefault="00A24265" w:rsidP="009502E1">
            <w:pPr>
              <w:pStyle w:val="ProcessDash"/>
              <w:rPr>
                <w:rFonts w:eastAsiaTheme="minorEastAsia"/>
                <w:i/>
                <w:iCs/>
                <w:sz w:val="20"/>
                <w:lang w:eastAsia="zh-CN"/>
              </w:rPr>
            </w:pPr>
            <w:r w:rsidRPr="005D4222">
              <w:rPr>
                <w:rFonts w:eastAsiaTheme="minorEastAsia"/>
                <w:i/>
                <w:iCs/>
                <w:sz w:val="20"/>
                <w:lang w:eastAsia="zh-CN"/>
              </w:rPr>
              <w:t xml:space="preserve">TB test. </w:t>
            </w:r>
          </w:p>
          <w:p w14:paraId="03B0059C" w14:textId="77777777" w:rsidR="00A24265" w:rsidRPr="005D4222" w:rsidRDefault="00A24265" w:rsidP="009502E1">
            <w:pPr>
              <w:pStyle w:val="ProcessDash"/>
              <w:rPr>
                <w:rFonts w:eastAsiaTheme="minorEastAsia"/>
                <w:i/>
                <w:iCs/>
                <w:sz w:val="20"/>
                <w:lang w:eastAsia="zh-CN"/>
              </w:rPr>
            </w:pPr>
            <w:r w:rsidRPr="005D4222">
              <w:rPr>
                <w:rFonts w:eastAsiaTheme="minorEastAsia"/>
                <w:i/>
                <w:iCs/>
                <w:sz w:val="20"/>
                <w:lang w:eastAsia="zh-CN"/>
              </w:rPr>
              <w:t xml:space="preserve">IUD insertion. </w:t>
            </w:r>
          </w:p>
          <w:p w14:paraId="12D3E18E" w14:textId="77777777" w:rsidR="00A24265" w:rsidRPr="005D4222" w:rsidRDefault="00A24265" w:rsidP="009502E1">
            <w:pPr>
              <w:pStyle w:val="ProcessDash"/>
              <w:rPr>
                <w:rFonts w:eastAsiaTheme="minorEastAsia"/>
                <w:i/>
                <w:iCs/>
                <w:sz w:val="20"/>
                <w:lang w:eastAsia="zh-CN"/>
              </w:rPr>
            </w:pPr>
            <w:r w:rsidRPr="005D4222">
              <w:rPr>
                <w:rFonts w:eastAsiaTheme="minorEastAsia"/>
                <w:i/>
                <w:iCs/>
                <w:sz w:val="20"/>
                <w:lang w:eastAsia="zh-CN"/>
              </w:rPr>
              <w:t xml:space="preserve">Eye exam with dilating agents. </w:t>
            </w:r>
          </w:p>
          <w:p w14:paraId="6580BAAF" w14:textId="77777777" w:rsidR="00A24265" w:rsidRPr="005D4222" w:rsidRDefault="00A24265" w:rsidP="009502E1">
            <w:pPr>
              <w:pStyle w:val="ProcessDash"/>
              <w:spacing w:after="80"/>
              <w:rPr>
                <w:szCs w:val="21"/>
              </w:rPr>
            </w:pPr>
            <w:r w:rsidRPr="005D4222">
              <w:rPr>
                <w:rFonts w:eastAsiaTheme="minorEastAsia"/>
                <w:i/>
                <w:iCs/>
                <w:sz w:val="20"/>
                <w:lang w:eastAsia="zh-CN"/>
              </w:rPr>
              <w:t xml:space="preserve">Wart or mole removal. </w:t>
            </w:r>
            <w:r w:rsidRPr="005D4222">
              <w:rPr>
                <w:i/>
                <w:iCs/>
                <w:sz w:val="20"/>
              </w:rPr>
              <w:t xml:space="preserve"> </w:t>
            </w:r>
          </w:p>
        </w:tc>
      </w:tr>
    </w:tbl>
    <w:p w14:paraId="3043008E" w14:textId="77777777" w:rsidR="009502E1" w:rsidRPr="005D4222" w:rsidRDefault="009502E1">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2157"/>
        <w:gridCol w:w="7557"/>
      </w:tblGrid>
      <w:tr w:rsidR="00A24265" w:rsidRPr="005D4222" w14:paraId="6D8D418A" w14:textId="77777777" w:rsidTr="009502E1">
        <w:trPr>
          <w:trHeight w:val="300"/>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7595B9C" w14:textId="77777777" w:rsidR="00A24265" w:rsidRPr="005D4222" w:rsidRDefault="00A24265" w:rsidP="007F1AD5">
            <w:pPr>
              <w:pStyle w:val="ECDSMarginHead"/>
            </w:pPr>
            <w:r w:rsidRPr="005D4222">
              <w:lastRenderedPageBreak/>
              <w:t>Summary of changes</w:t>
            </w:r>
          </w:p>
        </w:tc>
        <w:tc>
          <w:tcPr>
            <w:tcW w:w="7557"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86" w:type="dxa"/>
              <w:bottom w:w="43" w:type="dxa"/>
              <w:right w:w="86" w:type="dxa"/>
            </w:tcMar>
          </w:tcPr>
          <w:p w14:paraId="4A1C4B02" w14:textId="77777777" w:rsidR="00A24265" w:rsidRPr="005D4222" w:rsidRDefault="00A24265" w:rsidP="009502E1">
            <w:pPr>
              <w:pStyle w:val="ProcessBullet"/>
              <w:spacing w:before="120"/>
            </w:pPr>
            <w:r w:rsidRPr="005D4222">
              <w:t>Updated the race and ethnicity stratification categories to align with OMB SPD 15 2024.</w:t>
            </w:r>
          </w:p>
          <w:p w14:paraId="3A7675AD" w14:textId="77777777" w:rsidR="00A24265" w:rsidRPr="005D4222" w:rsidRDefault="00A24265" w:rsidP="009502E1">
            <w:pPr>
              <w:pStyle w:val="ProcessBullet"/>
              <w:rPr>
                <w:rFonts w:ascii="Arial Narrow" w:hAnsi="Arial Narrow"/>
                <w:color w:val="000000" w:themeColor="text1"/>
              </w:rPr>
            </w:pPr>
            <w:r w:rsidRPr="005D4222">
              <w:t>Added instructions on allowable adjustments to the race and ethnicity stratification.</w:t>
            </w:r>
          </w:p>
        </w:tc>
      </w:tr>
      <w:tr w:rsidR="00A24265" w:rsidRPr="005D4222" w14:paraId="5C97CDCA" w14:textId="77777777" w:rsidTr="009502E1">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F184736" w14:textId="77777777" w:rsidR="00A24265" w:rsidRPr="005D4222" w:rsidRDefault="00A24265" w:rsidP="007F1AD5">
            <w:pPr>
              <w:pStyle w:val="ECDS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170DB07" w14:textId="77777777" w:rsidR="00A24265" w:rsidRPr="005D4222" w:rsidDel="00514CFB" w:rsidRDefault="00A24265" w:rsidP="003F53FD">
            <w:pPr>
              <w:pStyle w:val="ECDSBody"/>
              <w:spacing w:after="30"/>
            </w:pPr>
            <w:r w:rsidRPr="005D4222" w:rsidDel="00514CFB">
              <w:t>Organizations that submit HEDIS data to NCQA must provide the following data elements.</w:t>
            </w:r>
          </w:p>
          <w:p w14:paraId="218F716A" w14:textId="77777777" w:rsidR="00A24265" w:rsidRPr="005D4222" w:rsidRDefault="00A24265" w:rsidP="003F53FD">
            <w:pPr>
              <w:pStyle w:val="Heading3"/>
              <w:spacing w:before="120" w:after="30"/>
              <w:rPr>
                <w:iCs/>
                <w:szCs w:val="22"/>
              </w:rPr>
            </w:pPr>
            <w:r w:rsidRPr="005D4222" w:rsidDel="000044F9">
              <w:t>Table CBP-A-1/2/3: Data Elements for Controlling High Blood Pressure</w:t>
            </w:r>
          </w:p>
          <w:tbl>
            <w:tblPr>
              <w:tblW w:w="7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4"/>
              <w:gridCol w:w="3079"/>
              <w:gridCol w:w="2017"/>
              <w:gridCol w:w="576"/>
            </w:tblGrid>
            <w:tr w:rsidR="00A24265" w:rsidRPr="005D4222" w14:paraId="76CFBEB0" w14:textId="77777777" w:rsidTr="00790D68">
              <w:trPr>
                <w:cantSplit/>
                <w:trHeight w:val="300"/>
              </w:trPr>
              <w:tc>
                <w:tcPr>
                  <w:tcW w:w="1694"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vAlign w:val="bottom"/>
                </w:tcPr>
                <w:p w14:paraId="16FEA921" w14:textId="77777777" w:rsidR="00A24265" w:rsidRPr="005D4222" w:rsidRDefault="00A24265" w:rsidP="003F53FD">
                  <w:pPr>
                    <w:pStyle w:val="TableHead"/>
                    <w:spacing w:before="40" w:after="30"/>
                    <w:rPr>
                      <w:rFonts w:eastAsia="Arial Narrow"/>
                    </w:rPr>
                  </w:pPr>
                  <w:r w:rsidRPr="005D4222">
                    <w:rPr>
                      <w:rFonts w:eastAsia="Arial Narrow"/>
                    </w:rPr>
                    <w:t>Metric</w:t>
                  </w:r>
                </w:p>
              </w:tc>
              <w:tc>
                <w:tcPr>
                  <w:tcW w:w="3079"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vAlign w:val="bottom"/>
                </w:tcPr>
                <w:p w14:paraId="42AB249D" w14:textId="77777777" w:rsidR="00A24265" w:rsidRPr="005D4222" w:rsidRDefault="00A24265" w:rsidP="003F53FD">
                  <w:pPr>
                    <w:pStyle w:val="TableHead"/>
                    <w:spacing w:before="40" w:after="30"/>
                    <w:rPr>
                      <w:rFonts w:eastAsia="Arial Narrow"/>
                    </w:rPr>
                  </w:pPr>
                  <w:r w:rsidRPr="005D4222">
                    <w:rPr>
                      <w:rFonts w:eastAsia="Arial Narrow"/>
                    </w:rPr>
                    <w:t>Data Element</w:t>
                  </w:r>
                </w:p>
              </w:tc>
              <w:tc>
                <w:tcPr>
                  <w:tcW w:w="2017"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vAlign w:val="bottom"/>
                </w:tcPr>
                <w:p w14:paraId="3AA87BC5" w14:textId="77777777" w:rsidR="00A24265" w:rsidRPr="005D4222" w:rsidRDefault="00A24265" w:rsidP="003F53FD">
                  <w:pPr>
                    <w:pStyle w:val="TableHead"/>
                    <w:spacing w:before="40" w:after="30"/>
                    <w:rPr>
                      <w:rFonts w:eastAsia="Arial Narrow"/>
                    </w:rPr>
                  </w:pPr>
                  <w:r w:rsidRPr="005D4222">
                    <w:rPr>
                      <w:rFonts w:eastAsia="Arial Narrow"/>
                    </w:rPr>
                    <w:t>Reporting Instructions</w:t>
                  </w:r>
                </w:p>
              </w:tc>
              <w:tc>
                <w:tcPr>
                  <w:tcW w:w="576"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vAlign w:val="bottom"/>
                </w:tcPr>
                <w:p w14:paraId="6CA0FB25" w14:textId="77777777" w:rsidR="00A24265" w:rsidRPr="005D4222" w:rsidRDefault="00A24265" w:rsidP="003F53FD">
                  <w:pPr>
                    <w:pStyle w:val="TableHead"/>
                    <w:spacing w:before="40" w:after="30"/>
                    <w:rPr>
                      <w:rFonts w:eastAsia="Arial Narrow"/>
                    </w:rPr>
                  </w:pPr>
                  <w:r w:rsidRPr="005D4222">
                    <w:rPr>
                      <w:rFonts w:eastAsia="Arial Narrow"/>
                    </w:rPr>
                    <w:t>A</w:t>
                  </w:r>
                </w:p>
              </w:tc>
            </w:tr>
            <w:tr w:rsidR="00A24265" w:rsidRPr="005D4222" w14:paraId="79623046" w14:textId="77777777" w:rsidTr="003F53FD">
              <w:trPr>
                <w:cantSplit/>
                <w:trHeight w:val="300"/>
              </w:trPr>
              <w:tc>
                <w:tcPr>
                  <w:tcW w:w="1694" w:type="dxa"/>
                  <w:tcBorders>
                    <w:top w:val="single" w:sz="4" w:space="0" w:color="000000" w:themeColor="text1"/>
                    <w:bottom w:val="single" w:sz="4" w:space="0" w:color="auto"/>
                  </w:tcBorders>
                </w:tcPr>
                <w:p w14:paraId="1AD356B5" w14:textId="77777777" w:rsidR="00A24265" w:rsidRPr="005D4222" w:rsidRDefault="00A24265" w:rsidP="003F53FD">
                  <w:pPr>
                    <w:pStyle w:val="TableText"/>
                    <w:spacing w:before="40" w:after="30"/>
                    <w:rPr>
                      <w:rFonts w:eastAsia="Arial Narrow"/>
                    </w:rPr>
                  </w:pPr>
                  <w:r w:rsidRPr="005D4222">
                    <w:t>ControlHighBP</w:t>
                  </w:r>
                </w:p>
              </w:tc>
              <w:tc>
                <w:tcPr>
                  <w:tcW w:w="3079" w:type="dxa"/>
                  <w:tcBorders>
                    <w:top w:val="single" w:sz="4" w:space="0" w:color="000000" w:themeColor="text1"/>
                  </w:tcBorders>
                </w:tcPr>
                <w:p w14:paraId="38B21F77" w14:textId="77777777" w:rsidR="00A24265" w:rsidRPr="005D4222" w:rsidRDefault="00A24265" w:rsidP="003F53FD">
                  <w:pPr>
                    <w:pStyle w:val="TableText"/>
                    <w:spacing w:before="40" w:after="30"/>
                    <w:rPr>
                      <w:rFonts w:eastAsia="Arial Narrow"/>
                    </w:rPr>
                  </w:pPr>
                  <w:r w:rsidRPr="005D4222">
                    <w:rPr>
                      <w:rFonts w:eastAsia="Arial Narrow"/>
                    </w:rPr>
                    <w:t>CollectionMethod</w:t>
                  </w:r>
                </w:p>
              </w:tc>
              <w:tc>
                <w:tcPr>
                  <w:tcW w:w="2017" w:type="dxa"/>
                  <w:tcBorders>
                    <w:top w:val="single" w:sz="4" w:space="0" w:color="000000" w:themeColor="text1"/>
                    <w:right w:val="single" w:sz="4" w:space="0" w:color="auto"/>
                  </w:tcBorders>
                </w:tcPr>
                <w:p w14:paraId="246DFD89" w14:textId="77777777" w:rsidR="00A24265" w:rsidRPr="005D4222" w:rsidRDefault="00A24265" w:rsidP="003F53FD">
                  <w:pPr>
                    <w:pStyle w:val="TableText"/>
                    <w:spacing w:before="40" w:after="30"/>
                    <w:rPr>
                      <w:rFonts w:eastAsia="Arial Narrow"/>
                    </w:rPr>
                  </w:pPr>
                  <w:r w:rsidRPr="005D4222">
                    <w:rPr>
                      <w:rFonts w:eastAsia="Arial Narrow"/>
                    </w:rPr>
                    <w:t>Report once</w:t>
                  </w:r>
                </w:p>
              </w:tc>
              <w:tc>
                <w:tcPr>
                  <w:tcW w:w="576" w:type="dxa"/>
                  <w:tcBorders>
                    <w:top w:val="single" w:sz="4" w:space="0" w:color="000000" w:themeColor="text1"/>
                    <w:right w:val="single" w:sz="4" w:space="0" w:color="auto"/>
                  </w:tcBorders>
                </w:tcPr>
                <w:p w14:paraId="2AA43A6D" w14:textId="1E85AB98" w:rsidR="00A24265" w:rsidRPr="005D4222" w:rsidRDefault="00233911" w:rsidP="00233911">
                  <w:pPr>
                    <w:pStyle w:val="TableText"/>
                    <w:spacing w:before="40" w:after="30"/>
                    <w:jc w:val="center"/>
                    <w:rPr>
                      <w:rFonts w:eastAsia="Arial Narrow"/>
                    </w:rPr>
                  </w:pPr>
                  <w:r w:rsidRPr="005D4222">
                    <w:rPr>
                      <w:rFonts w:ascii="Wingdings" w:eastAsia="Wingdings" w:hAnsi="Wingdings" w:cs="Wingdings"/>
                    </w:rPr>
                    <w:t></w:t>
                  </w:r>
                </w:p>
              </w:tc>
            </w:tr>
            <w:tr w:rsidR="00A24265" w:rsidRPr="005D4222" w14:paraId="0F534053" w14:textId="77777777" w:rsidTr="003F53FD">
              <w:trPr>
                <w:cantSplit/>
                <w:trHeight w:val="300"/>
              </w:trPr>
              <w:tc>
                <w:tcPr>
                  <w:tcW w:w="1694" w:type="dxa"/>
                  <w:tcBorders>
                    <w:top w:val="single" w:sz="4" w:space="0" w:color="auto"/>
                    <w:left w:val="nil"/>
                    <w:bottom w:val="nil"/>
                    <w:right w:val="single" w:sz="4" w:space="0" w:color="auto"/>
                  </w:tcBorders>
                </w:tcPr>
                <w:p w14:paraId="46E2F4FA" w14:textId="77777777" w:rsidR="00A24265" w:rsidRPr="005D4222" w:rsidRDefault="00A24265" w:rsidP="003F53FD">
                  <w:pPr>
                    <w:pStyle w:val="TableText"/>
                    <w:spacing w:before="40" w:after="30"/>
                    <w:rPr>
                      <w:rFonts w:eastAsia="Arial Narrow"/>
                    </w:rPr>
                  </w:pPr>
                </w:p>
              </w:tc>
              <w:tc>
                <w:tcPr>
                  <w:tcW w:w="3079" w:type="dxa"/>
                  <w:tcBorders>
                    <w:left w:val="single" w:sz="4" w:space="0" w:color="auto"/>
                    <w:bottom w:val="single" w:sz="4" w:space="0" w:color="auto"/>
                  </w:tcBorders>
                </w:tcPr>
                <w:p w14:paraId="0BDCE4EE" w14:textId="77777777" w:rsidR="00A24265" w:rsidRPr="005D4222" w:rsidRDefault="00A24265" w:rsidP="003F53FD">
                  <w:pPr>
                    <w:pStyle w:val="TableText"/>
                    <w:spacing w:before="40" w:after="30"/>
                    <w:rPr>
                      <w:rFonts w:eastAsia="Arial Narrow"/>
                    </w:rPr>
                  </w:pPr>
                  <w:r w:rsidRPr="005D4222">
                    <w:rPr>
                      <w:rFonts w:eastAsia="Arial Narrow"/>
                    </w:rPr>
                    <w:t>InitialPopulation</w:t>
                  </w:r>
                </w:p>
              </w:tc>
              <w:tc>
                <w:tcPr>
                  <w:tcW w:w="2017" w:type="dxa"/>
                  <w:tcBorders>
                    <w:right w:val="single" w:sz="4" w:space="0" w:color="auto"/>
                  </w:tcBorders>
                </w:tcPr>
                <w:p w14:paraId="3447243A" w14:textId="77777777" w:rsidR="00A24265" w:rsidRPr="005D4222" w:rsidRDefault="00A24265" w:rsidP="003F53FD">
                  <w:pPr>
                    <w:pStyle w:val="TableText"/>
                    <w:spacing w:before="40" w:after="30"/>
                    <w:rPr>
                      <w:rFonts w:eastAsia="Arial Narrow"/>
                    </w:rPr>
                  </w:pPr>
                  <w:r w:rsidRPr="005D4222">
                    <w:rPr>
                      <w:rFonts w:eastAsia="Arial Narrow"/>
                    </w:rPr>
                    <w:t>Report once</w:t>
                  </w:r>
                </w:p>
              </w:tc>
              <w:tc>
                <w:tcPr>
                  <w:tcW w:w="576" w:type="dxa"/>
                  <w:tcBorders>
                    <w:right w:val="single" w:sz="4" w:space="0" w:color="auto"/>
                  </w:tcBorders>
                </w:tcPr>
                <w:p w14:paraId="28458D87" w14:textId="78F9B512" w:rsidR="00A24265" w:rsidRPr="005D4222" w:rsidRDefault="00233911" w:rsidP="00233911">
                  <w:pPr>
                    <w:pStyle w:val="TableText"/>
                    <w:spacing w:before="40" w:after="30"/>
                    <w:jc w:val="center"/>
                    <w:rPr>
                      <w:rFonts w:eastAsia="Arial Narrow"/>
                    </w:rPr>
                  </w:pPr>
                  <w:r w:rsidRPr="005D4222">
                    <w:rPr>
                      <w:rFonts w:ascii="Wingdings" w:eastAsia="Wingdings" w:hAnsi="Wingdings" w:cs="Wingdings"/>
                    </w:rPr>
                    <w:t></w:t>
                  </w:r>
                </w:p>
              </w:tc>
            </w:tr>
            <w:tr w:rsidR="00A24265" w:rsidRPr="005D4222" w14:paraId="5BFE9909" w14:textId="77777777" w:rsidTr="003F53FD">
              <w:trPr>
                <w:cantSplit/>
                <w:trHeight w:val="300"/>
              </w:trPr>
              <w:tc>
                <w:tcPr>
                  <w:tcW w:w="1694" w:type="dxa"/>
                  <w:tcBorders>
                    <w:top w:val="nil"/>
                    <w:left w:val="nil"/>
                    <w:bottom w:val="nil"/>
                    <w:right w:val="single" w:sz="4" w:space="0" w:color="auto"/>
                  </w:tcBorders>
                </w:tcPr>
                <w:p w14:paraId="07D7602F" w14:textId="77777777" w:rsidR="00A24265" w:rsidRPr="005D4222" w:rsidRDefault="00A24265" w:rsidP="003F53FD">
                  <w:pPr>
                    <w:pStyle w:val="TableText"/>
                    <w:spacing w:before="40" w:after="30"/>
                    <w:rPr>
                      <w:rFonts w:eastAsia="Arial Narrow"/>
                    </w:rPr>
                  </w:pPr>
                </w:p>
              </w:tc>
              <w:tc>
                <w:tcPr>
                  <w:tcW w:w="3079" w:type="dxa"/>
                  <w:tcBorders>
                    <w:top w:val="single" w:sz="4" w:space="0" w:color="auto"/>
                    <w:left w:val="single" w:sz="4" w:space="0" w:color="auto"/>
                    <w:bottom w:val="single" w:sz="4" w:space="0" w:color="auto"/>
                  </w:tcBorders>
                  <w:vAlign w:val="center"/>
                </w:tcPr>
                <w:p w14:paraId="6C91AF1B" w14:textId="77777777" w:rsidR="00A24265" w:rsidRPr="005D4222" w:rsidRDefault="00A24265" w:rsidP="003F53FD">
                  <w:pPr>
                    <w:pStyle w:val="TableText"/>
                    <w:spacing w:before="40" w:after="30"/>
                    <w:rPr>
                      <w:rFonts w:eastAsia="Arial Narrow"/>
                    </w:rPr>
                  </w:pPr>
                  <w:r w:rsidRPr="005D4222">
                    <w:rPr>
                      <w:rFonts w:eastAsia="Arial Narrow"/>
                    </w:rPr>
                    <w:t>Exclusions</w:t>
                  </w:r>
                </w:p>
              </w:tc>
              <w:tc>
                <w:tcPr>
                  <w:tcW w:w="2017" w:type="dxa"/>
                  <w:tcBorders>
                    <w:right w:val="single" w:sz="4" w:space="0" w:color="auto"/>
                  </w:tcBorders>
                  <w:vAlign w:val="center"/>
                </w:tcPr>
                <w:p w14:paraId="2BF79C51" w14:textId="77777777" w:rsidR="00A24265" w:rsidRPr="005D4222" w:rsidRDefault="00A24265" w:rsidP="003F53FD">
                  <w:pPr>
                    <w:pStyle w:val="TableText"/>
                    <w:spacing w:before="40" w:after="30"/>
                    <w:rPr>
                      <w:rFonts w:eastAsia="Arial Narrow"/>
                    </w:rPr>
                  </w:pPr>
                  <w:r w:rsidRPr="005D4222">
                    <w:rPr>
                      <w:rFonts w:eastAsia="Arial Narrow"/>
                    </w:rPr>
                    <w:t>Report once</w:t>
                  </w:r>
                </w:p>
              </w:tc>
              <w:tc>
                <w:tcPr>
                  <w:tcW w:w="576" w:type="dxa"/>
                  <w:tcBorders>
                    <w:right w:val="single" w:sz="4" w:space="0" w:color="auto"/>
                  </w:tcBorders>
                </w:tcPr>
                <w:p w14:paraId="55348C7E" w14:textId="251E9B9A" w:rsidR="00A24265" w:rsidRPr="005D4222" w:rsidRDefault="00233911" w:rsidP="00233911">
                  <w:pPr>
                    <w:pStyle w:val="TableText"/>
                    <w:spacing w:before="40" w:after="30"/>
                    <w:jc w:val="center"/>
                    <w:rPr>
                      <w:rFonts w:eastAsia="Arial Narrow"/>
                    </w:rPr>
                  </w:pPr>
                  <w:r w:rsidRPr="005D4222">
                    <w:rPr>
                      <w:rFonts w:ascii="Wingdings" w:eastAsia="Wingdings" w:hAnsi="Wingdings" w:cs="Wingdings"/>
                    </w:rPr>
                    <w:t></w:t>
                  </w:r>
                </w:p>
              </w:tc>
            </w:tr>
            <w:tr w:rsidR="00790D68" w:rsidRPr="005D4222" w14:paraId="3D7C009D" w14:textId="77777777" w:rsidTr="003F53FD">
              <w:trPr>
                <w:cantSplit/>
                <w:trHeight w:val="300"/>
              </w:trPr>
              <w:tc>
                <w:tcPr>
                  <w:tcW w:w="1694" w:type="dxa"/>
                  <w:tcBorders>
                    <w:top w:val="nil"/>
                    <w:left w:val="nil"/>
                    <w:bottom w:val="nil"/>
                    <w:right w:val="single" w:sz="4" w:space="0" w:color="auto"/>
                  </w:tcBorders>
                </w:tcPr>
                <w:p w14:paraId="143CA751" w14:textId="77777777" w:rsidR="00790D68" w:rsidRPr="005D4222" w:rsidRDefault="00790D68" w:rsidP="003F53FD">
                  <w:pPr>
                    <w:pStyle w:val="TableText"/>
                    <w:spacing w:before="40" w:after="30"/>
                    <w:rPr>
                      <w:rFonts w:eastAsia="Arial Narrow"/>
                    </w:rPr>
                  </w:pPr>
                </w:p>
              </w:tc>
              <w:tc>
                <w:tcPr>
                  <w:tcW w:w="3079" w:type="dxa"/>
                  <w:tcBorders>
                    <w:top w:val="single" w:sz="4" w:space="0" w:color="auto"/>
                    <w:left w:val="single" w:sz="4" w:space="0" w:color="auto"/>
                    <w:bottom w:val="single" w:sz="4" w:space="0" w:color="auto"/>
                  </w:tcBorders>
                  <w:vAlign w:val="center"/>
                </w:tcPr>
                <w:p w14:paraId="75EB7D54" w14:textId="51C745DD" w:rsidR="00790D68" w:rsidRPr="005D4222" w:rsidRDefault="00790D68" w:rsidP="003F53FD">
                  <w:pPr>
                    <w:pStyle w:val="TableText"/>
                    <w:spacing w:before="40" w:after="30"/>
                    <w:rPr>
                      <w:rFonts w:eastAsia="Arial Narrow"/>
                    </w:rPr>
                  </w:pPr>
                  <w:r w:rsidRPr="005D4222">
                    <w:t>Denominator</w:t>
                  </w:r>
                </w:p>
              </w:tc>
              <w:tc>
                <w:tcPr>
                  <w:tcW w:w="2017" w:type="dxa"/>
                  <w:tcBorders>
                    <w:right w:val="single" w:sz="4" w:space="0" w:color="auto"/>
                  </w:tcBorders>
                  <w:vAlign w:val="center"/>
                </w:tcPr>
                <w:p w14:paraId="6633F47A" w14:textId="64D0205A" w:rsidR="00790D68" w:rsidRPr="005D4222" w:rsidRDefault="00790D68" w:rsidP="003F53FD">
                  <w:pPr>
                    <w:pStyle w:val="TableText"/>
                    <w:spacing w:before="40" w:after="30"/>
                    <w:rPr>
                      <w:rFonts w:eastAsia="Arial Narrow"/>
                    </w:rPr>
                  </w:pPr>
                  <w:r w:rsidRPr="005D4222">
                    <w:rPr>
                      <w:rFonts w:eastAsia="Arial Narrow"/>
                    </w:rPr>
                    <w:t>Report once</w:t>
                  </w:r>
                </w:p>
              </w:tc>
              <w:tc>
                <w:tcPr>
                  <w:tcW w:w="576" w:type="dxa"/>
                  <w:tcBorders>
                    <w:right w:val="single" w:sz="4" w:space="0" w:color="auto"/>
                  </w:tcBorders>
                </w:tcPr>
                <w:p w14:paraId="7236DAFD" w14:textId="2B0888CB" w:rsidR="00790D68" w:rsidRPr="005D4222" w:rsidRDefault="00233911" w:rsidP="00233911">
                  <w:pPr>
                    <w:pStyle w:val="TableText"/>
                    <w:spacing w:before="40" w:after="30"/>
                    <w:jc w:val="center"/>
                    <w:rPr>
                      <w:rFonts w:ascii="Wingdings" w:eastAsia="Wingdings" w:hAnsi="Wingdings" w:cs="Wingdings"/>
                    </w:rPr>
                  </w:pPr>
                  <w:r w:rsidRPr="005D4222">
                    <w:rPr>
                      <w:rFonts w:ascii="Wingdings" w:eastAsia="Wingdings" w:hAnsi="Wingdings" w:cs="Wingdings"/>
                      <w:szCs w:val="21"/>
                    </w:rPr>
                    <w:t></w:t>
                  </w:r>
                </w:p>
              </w:tc>
            </w:tr>
            <w:tr w:rsidR="00790D68" w:rsidRPr="005D4222" w14:paraId="6B06DC16" w14:textId="77777777" w:rsidTr="003F53FD">
              <w:trPr>
                <w:cantSplit/>
                <w:trHeight w:val="300"/>
              </w:trPr>
              <w:tc>
                <w:tcPr>
                  <w:tcW w:w="1694" w:type="dxa"/>
                  <w:tcBorders>
                    <w:top w:val="nil"/>
                    <w:left w:val="nil"/>
                    <w:bottom w:val="nil"/>
                    <w:right w:val="single" w:sz="4" w:space="0" w:color="auto"/>
                  </w:tcBorders>
                </w:tcPr>
                <w:p w14:paraId="05FAA984" w14:textId="77777777" w:rsidR="00790D68" w:rsidRPr="005D4222" w:rsidRDefault="00790D68" w:rsidP="003F53FD">
                  <w:pPr>
                    <w:pStyle w:val="TableText"/>
                    <w:spacing w:before="40" w:after="30"/>
                    <w:rPr>
                      <w:rFonts w:eastAsia="Arial Narrow"/>
                    </w:rPr>
                  </w:pPr>
                </w:p>
              </w:tc>
              <w:tc>
                <w:tcPr>
                  <w:tcW w:w="3079" w:type="dxa"/>
                  <w:tcBorders>
                    <w:top w:val="single" w:sz="4" w:space="0" w:color="auto"/>
                    <w:left w:val="single" w:sz="4" w:space="0" w:color="auto"/>
                    <w:bottom w:val="single" w:sz="4" w:space="0" w:color="auto"/>
                  </w:tcBorders>
                  <w:vAlign w:val="center"/>
                </w:tcPr>
                <w:p w14:paraId="7C45E5D2" w14:textId="77777777" w:rsidR="00790D68" w:rsidRPr="005D4222" w:rsidRDefault="00790D68" w:rsidP="003F53FD">
                  <w:pPr>
                    <w:pStyle w:val="TableText"/>
                    <w:spacing w:before="40" w:after="30"/>
                    <w:rPr>
                      <w:rFonts w:eastAsia="Arial Narrow"/>
                    </w:rPr>
                  </w:pPr>
                  <w:r w:rsidRPr="005D4222">
                    <w:t>NumeratorByAdminDenom</w:t>
                  </w:r>
                </w:p>
              </w:tc>
              <w:tc>
                <w:tcPr>
                  <w:tcW w:w="2017" w:type="dxa"/>
                  <w:tcBorders>
                    <w:right w:val="single" w:sz="4" w:space="0" w:color="auto"/>
                  </w:tcBorders>
                  <w:vAlign w:val="center"/>
                </w:tcPr>
                <w:p w14:paraId="208EA453" w14:textId="77777777" w:rsidR="00790D68" w:rsidRPr="005D4222" w:rsidRDefault="00790D68" w:rsidP="003F53FD">
                  <w:pPr>
                    <w:pStyle w:val="TableText"/>
                    <w:spacing w:before="40" w:after="30"/>
                    <w:rPr>
                      <w:rFonts w:eastAsia="Arial Narrow"/>
                    </w:rPr>
                  </w:pPr>
                  <w:r w:rsidRPr="005D4222">
                    <w:rPr>
                      <w:rFonts w:eastAsia="Arial Narrow"/>
                    </w:rPr>
                    <w:t>Report once</w:t>
                  </w:r>
                </w:p>
              </w:tc>
              <w:tc>
                <w:tcPr>
                  <w:tcW w:w="576" w:type="dxa"/>
                  <w:tcBorders>
                    <w:right w:val="single" w:sz="4" w:space="0" w:color="auto"/>
                  </w:tcBorders>
                </w:tcPr>
                <w:p w14:paraId="1B42C185" w14:textId="77777777" w:rsidR="00790D68" w:rsidRPr="005D4222" w:rsidRDefault="00790D68" w:rsidP="003F53FD">
                  <w:pPr>
                    <w:pStyle w:val="TableText"/>
                    <w:spacing w:before="40" w:after="30"/>
                    <w:jc w:val="center"/>
                    <w:rPr>
                      <w:rFonts w:eastAsia="Arial Narrow"/>
                    </w:rPr>
                  </w:pPr>
                </w:p>
              </w:tc>
            </w:tr>
            <w:tr w:rsidR="00790D68" w:rsidRPr="005D4222" w14:paraId="38E767B6" w14:textId="77777777" w:rsidTr="003F53FD">
              <w:trPr>
                <w:cantSplit/>
                <w:trHeight w:val="300"/>
              </w:trPr>
              <w:tc>
                <w:tcPr>
                  <w:tcW w:w="1694" w:type="dxa"/>
                  <w:tcBorders>
                    <w:top w:val="nil"/>
                    <w:left w:val="nil"/>
                    <w:bottom w:val="nil"/>
                    <w:right w:val="single" w:sz="4" w:space="0" w:color="auto"/>
                  </w:tcBorders>
                </w:tcPr>
                <w:p w14:paraId="013630DB" w14:textId="77777777" w:rsidR="00790D68" w:rsidRPr="005D4222" w:rsidRDefault="00790D68" w:rsidP="003F53FD">
                  <w:pPr>
                    <w:pStyle w:val="TableText"/>
                    <w:spacing w:before="40" w:after="30"/>
                    <w:rPr>
                      <w:rFonts w:eastAsia="Arial Narrow"/>
                    </w:rPr>
                  </w:pPr>
                </w:p>
              </w:tc>
              <w:tc>
                <w:tcPr>
                  <w:tcW w:w="3079" w:type="dxa"/>
                  <w:tcBorders>
                    <w:top w:val="single" w:sz="4" w:space="0" w:color="auto"/>
                    <w:left w:val="single" w:sz="4" w:space="0" w:color="auto"/>
                    <w:bottom w:val="single" w:sz="4" w:space="0" w:color="auto"/>
                  </w:tcBorders>
                  <w:shd w:val="clear" w:color="auto" w:fill="D9D9D9" w:themeFill="background1" w:themeFillShade="D9"/>
                </w:tcPr>
                <w:p w14:paraId="16FCF496" w14:textId="77777777" w:rsidR="00790D68" w:rsidRPr="005D4222" w:rsidRDefault="00790D68" w:rsidP="003F53FD">
                  <w:pPr>
                    <w:pStyle w:val="TableText"/>
                    <w:spacing w:before="40" w:after="30"/>
                  </w:pPr>
                  <w:r w:rsidRPr="005D4222">
                    <w:t>CYAR</w:t>
                  </w:r>
                </w:p>
              </w:tc>
              <w:tc>
                <w:tcPr>
                  <w:tcW w:w="2017" w:type="dxa"/>
                  <w:tcBorders>
                    <w:right w:val="single" w:sz="4" w:space="0" w:color="auto"/>
                  </w:tcBorders>
                  <w:shd w:val="clear" w:color="auto" w:fill="D9D9D9" w:themeFill="background1" w:themeFillShade="D9"/>
                </w:tcPr>
                <w:p w14:paraId="013FECB9" w14:textId="77777777" w:rsidR="00790D68" w:rsidRPr="005D4222" w:rsidRDefault="00790D68" w:rsidP="003F53FD">
                  <w:pPr>
                    <w:pStyle w:val="TableText"/>
                    <w:spacing w:before="40" w:after="30"/>
                    <w:rPr>
                      <w:rFonts w:eastAsia="Arial Narrow"/>
                    </w:rPr>
                  </w:pPr>
                  <w:r w:rsidRPr="005D4222">
                    <w:rPr>
                      <w:rFonts w:eastAsia="Wingdings"/>
                    </w:rPr>
                    <w:t>(Percent)</w:t>
                  </w:r>
                </w:p>
              </w:tc>
              <w:tc>
                <w:tcPr>
                  <w:tcW w:w="576" w:type="dxa"/>
                  <w:tcBorders>
                    <w:right w:val="single" w:sz="4" w:space="0" w:color="auto"/>
                  </w:tcBorders>
                  <w:shd w:val="clear" w:color="auto" w:fill="D9D9D9" w:themeFill="background1" w:themeFillShade="D9"/>
                </w:tcPr>
                <w:p w14:paraId="0C69261A" w14:textId="77777777" w:rsidR="00790D68" w:rsidRPr="005D4222" w:rsidRDefault="00790D68" w:rsidP="003F53FD">
                  <w:pPr>
                    <w:pStyle w:val="TableText"/>
                    <w:spacing w:before="40" w:after="30"/>
                    <w:jc w:val="center"/>
                    <w:rPr>
                      <w:rFonts w:eastAsia="Arial Narrow"/>
                    </w:rPr>
                  </w:pPr>
                </w:p>
              </w:tc>
            </w:tr>
            <w:tr w:rsidR="00790D68" w:rsidRPr="005D4222" w14:paraId="4D366F26" w14:textId="77777777" w:rsidTr="003F53FD">
              <w:trPr>
                <w:cantSplit/>
                <w:trHeight w:val="300"/>
              </w:trPr>
              <w:tc>
                <w:tcPr>
                  <w:tcW w:w="1694" w:type="dxa"/>
                  <w:tcBorders>
                    <w:top w:val="nil"/>
                    <w:left w:val="nil"/>
                    <w:bottom w:val="nil"/>
                    <w:right w:val="single" w:sz="4" w:space="0" w:color="auto"/>
                  </w:tcBorders>
                </w:tcPr>
                <w:p w14:paraId="2082778D" w14:textId="77777777" w:rsidR="00790D68" w:rsidRPr="005D4222" w:rsidRDefault="00790D68" w:rsidP="003F53FD">
                  <w:pPr>
                    <w:pStyle w:val="TableText"/>
                    <w:spacing w:before="40" w:after="30"/>
                    <w:rPr>
                      <w:rFonts w:eastAsia="Arial Narrow"/>
                      <w:szCs w:val="21"/>
                    </w:rPr>
                  </w:pPr>
                </w:p>
              </w:tc>
              <w:tc>
                <w:tcPr>
                  <w:tcW w:w="3079" w:type="dxa"/>
                  <w:tcBorders>
                    <w:top w:val="single" w:sz="4" w:space="0" w:color="auto"/>
                    <w:left w:val="single" w:sz="4" w:space="0" w:color="auto"/>
                    <w:bottom w:val="single" w:sz="4" w:space="0" w:color="auto"/>
                  </w:tcBorders>
                </w:tcPr>
                <w:p w14:paraId="48312C2C" w14:textId="77777777" w:rsidR="00790D68" w:rsidRPr="005D4222" w:rsidRDefault="00790D68" w:rsidP="003F53FD">
                  <w:pPr>
                    <w:pStyle w:val="TableText"/>
                    <w:spacing w:before="40" w:after="30"/>
                    <w:rPr>
                      <w:rFonts w:eastAsia="Arial Narrow"/>
                    </w:rPr>
                  </w:pPr>
                  <w:r w:rsidRPr="005D4222">
                    <w:t>MinReqSampleSize</w:t>
                  </w:r>
                </w:p>
              </w:tc>
              <w:tc>
                <w:tcPr>
                  <w:tcW w:w="2017" w:type="dxa"/>
                  <w:tcBorders>
                    <w:right w:val="single" w:sz="4" w:space="0" w:color="auto"/>
                  </w:tcBorders>
                </w:tcPr>
                <w:p w14:paraId="2178668F" w14:textId="77777777" w:rsidR="00790D68" w:rsidRPr="005D4222" w:rsidRDefault="00790D68" w:rsidP="003F53FD">
                  <w:pPr>
                    <w:pStyle w:val="TableText"/>
                    <w:spacing w:before="40" w:after="30"/>
                    <w:rPr>
                      <w:rFonts w:eastAsia="Arial Narrow"/>
                    </w:rPr>
                  </w:pPr>
                  <w:r w:rsidRPr="005D4222">
                    <w:rPr>
                      <w:rFonts w:eastAsia="Arial Narrow"/>
                    </w:rPr>
                    <w:t>Report once</w:t>
                  </w:r>
                </w:p>
              </w:tc>
              <w:tc>
                <w:tcPr>
                  <w:tcW w:w="576" w:type="dxa"/>
                  <w:tcBorders>
                    <w:right w:val="single" w:sz="4" w:space="0" w:color="auto"/>
                  </w:tcBorders>
                </w:tcPr>
                <w:p w14:paraId="230335DF" w14:textId="77777777" w:rsidR="00790D68" w:rsidRPr="005D4222" w:rsidRDefault="00790D68" w:rsidP="003F53FD">
                  <w:pPr>
                    <w:pStyle w:val="TableText"/>
                    <w:spacing w:before="40" w:after="30"/>
                    <w:jc w:val="center"/>
                    <w:rPr>
                      <w:rFonts w:eastAsia="Arial Narrow"/>
                    </w:rPr>
                  </w:pPr>
                </w:p>
              </w:tc>
            </w:tr>
            <w:tr w:rsidR="00790D68" w:rsidRPr="005D4222" w14:paraId="0644C72D" w14:textId="77777777" w:rsidTr="003F53FD">
              <w:trPr>
                <w:cantSplit/>
                <w:trHeight w:val="300"/>
              </w:trPr>
              <w:tc>
                <w:tcPr>
                  <w:tcW w:w="1694" w:type="dxa"/>
                  <w:tcBorders>
                    <w:top w:val="nil"/>
                    <w:left w:val="nil"/>
                    <w:bottom w:val="nil"/>
                    <w:right w:val="nil"/>
                  </w:tcBorders>
                </w:tcPr>
                <w:p w14:paraId="3C52D50E" w14:textId="77777777" w:rsidR="00790D68" w:rsidRPr="005D4222" w:rsidRDefault="00790D68" w:rsidP="003F53FD">
                  <w:pPr>
                    <w:pStyle w:val="TableText"/>
                    <w:spacing w:before="40" w:after="30"/>
                    <w:rPr>
                      <w:rFonts w:eastAsia="Arial Narrow"/>
                    </w:rPr>
                  </w:pPr>
                </w:p>
              </w:tc>
              <w:tc>
                <w:tcPr>
                  <w:tcW w:w="3079" w:type="dxa"/>
                  <w:tcBorders>
                    <w:top w:val="single" w:sz="4" w:space="0" w:color="auto"/>
                    <w:left w:val="single" w:sz="4" w:space="0" w:color="auto"/>
                    <w:bottom w:val="single" w:sz="4" w:space="0" w:color="auto"/>
                  </w:tcBorders>
                </w:tcPr>
                <w:p w14:paraId="50C4422B" w14:textId="77777777" w:rsidR="00790D68" w:rsidRPr="005D4222" w:rsidRDefault="00790D68" w:rsidP="003F53FD">
                  <w:pPr>
                    <w:pStyle w:val="TableText"/>
                    <w:spacing w:before="40" w:after="30"/>
                  </w:pPr>
                  <w:r w:rsidRPr="005D4222">
                    <w:rPr>
                      <w:rFonts w:eastAsia="Arial Narrow"/>
                    </w:rPr>
                    <w:t>OversampleRate</w:t>
                  </w:r>
                </w:p>
              </w:tc>
              <w:tc>
                <w:tcPr>
                  <w:tcW w:w="2017" w:type="dxa"/>
                  <w:tcBorders>
                    <w:right w:val="single" w:sz="4" w:space="0" w:color="auto"/>
                  </w:tcBorders>
                </w:tcPr>
                <w:p w14:paraId="142B3B6C" w14:textId="77777777" w:rsidR="00790D68" w:rsidRPr="005D4222" w:rsidRDefault="00790D68" w:rsidP="003F53FD">
                  <w:pPr>
                    <w:pStyle w:val="TableText"/>
                    <w:spacing w:before="40" w:after="30"/>
                    <w:rPr>
                      <w:rFonts w:eastAsia="Arial Narrow"/>
                    </w:rPr>
                  </w:pPr>
                  <w:r w:rsidRPr="005D4222">
                    <w:rPr>
                      <w:rFonts w:eastAsia="Arial Narrow"/>
                    </w:rPr>
                    <w:t>Report once</w:t>
                  </w:r>
                </w:p>
              </w:tc>
              <w:tc>
                <w:tcPr>
                  <w:tcW w:w="576" w:type="dxa"/>
                  <w:tcBorders>
                    <w:right w:val="single" w:sz="4" w:space="0" w:color="auto"/>
                  </w:tcBorders>
                </w:tcPr>
                <w:p w14:paraId="599362DE" w14:textId="77777777" w:rsidR="00790D68" w:rsidRPr="005D4222" w:rsidRDefault="00790D68" w:rsidP="003F53FD">
                  <w:pPr>
                    <w:pStyle w:val="TableText"/>
                    <w:spacing w:before="40" w:after="30"/>
                    <w:jc w:val="center"/>
                    <w:rPr>
                      <w:rFonts w:eastAsia="Arial Narrow"/>
                    </w:rPr>
                  </w:pPr>
                </w:p>
              </w:tc>
            </w:tr>
            <w:tr w:rsidR="00790D68" w:rsidRPr="005D4222" w14:paraId="32B7DD65" w14:textId="77777777" w:rsidTr="003F53FD">
              <w:trPr>
                <w:cantSplit/>
                <w:trHeight w:val="300"/>
              </w:trPr>
              <w:tc>
                <w:tcPr>
                  <w:tcW w:w="1694" w:type="dxa"/>
                  <w:tcBorders>
                    <w:top w:val="nil"/>
                    <w:left w:val="nil"/>
                    <w:bottom w:val="nil"/>
                    <w:right w:val="nil"/>
                  </w:tcBorders>
                </w:tcPr>
                <w:p w14:paraId="1799CBBD" w14:textId="77777777" w:rsidR="00790D68" w:rsidRPr="005D4222" w:rsidRDefault="00790D68" w:rsidP="003F53FD">
                  <w:pPr>
                    <w:pStyle w:val="TableText"/>
                    <w:spacing w:before="40" w:after="30"/>
                    <w:rPr>
                      <w:rFonts w:eastAsia="Arial Narrow"/>
                    </w:rPr>
                  </w:pPr>
                </w:p>
              </w:tc>
              <w:tc>
                <w:tcPr>
                  <w:tcW w:w="3079" w:type="dxa"/>
                  <w:tcBorders>
                    <w:top w:val="single" w:sz="4" w:space="0" w:color="auto"/>
                    <w:left w:val="single" w:sz="4" w:space="0" w:color="auto"/>
                    <w:bottom w:val="single" w:sz="4" w:space="0" w:color="auto"/>
                  </w:tcBorders>
                  <w:shd w:val="clear" w:color="auto" w:fill="D9D9D9" w:themeFill="background1" w:themeFillShade="D9"/>
                </w:tcPr>
                <w:p w14:paraId="0229C298" w14:textId="77777777" w:rsidR="00790D68" w:rsidRPr="005D4222" w:rsidRDefault="00790D68" w:rsidP="003F53FD">
                  <w:pPr>
                    <w:pStyle w:val="TableText"/>
                    <w:spacing w:before="40" w:after="30"/>
                  </w:pPr>
                  <w:r w:rsidRPr="005D4222">
                    <w:t>OversampleRecordsNumber</w:t>
                  </w:r>
                </w:p>
              </w:tc>
              <w:tc>
                <w:tcPr>
                  <w:tcW w:w="2017" w:type="dxa"/>
                  <w:tcBorders>
                    <w:bottom w:val="single" w:sz="4" w:space="0" w:color="auto"/>
                    <w:right w:val="single" w:sz="4" w:space="0" w:color="auto"/>
                  </w:tcBorders>
                  <w:shd w:val="clear" w:color="auto" w:fill="D9D9D9" w:themeFill="background1" w:themeFillShade="D9"/>
                  <w:vAlign w:val="center"/>
                </w:tcPr>
                <w:p w14:paraId="171AE5C9" w14:textId="77777777" w:rsidR="00790D68" w:rsidRPr="005D4222" w:rsidRDefault="00790D68" w:rsidP="003F53FD">
                  <w:pPr>
                    <w:pStyle w:val="TableText"/>
                    <w:spacing w:before="40" w:after="30"/>
                    <w:rPr>
                      <w:rFonts w:eastAsia="Arial Narrow"/>
                    </w:rPr>
                  </w:pPr>
                  <w:r w:rsidRPr="005D4222">
                    <w:rPr>
                      <w:rFonts w:eastAsia="Arial Narrow"/>
                    </w:rPr>
                    <w:t>(Count)</w:t>
                  </w:r>
                </w:p>
              </w:tc>
              <w:tc>
                <w:tcPr>
                  <w:tcW w:w="576" w:type="dxa"/>
                  <w:tcBorders>
                    <w:bottom w:val="single" w:sz="4" w:space="0" w:color="auto"/>
                    <w:right w:val="single" w:sz="4" w:space="0" w:color="auto"/>
                  </w:tcBorders>
                  <w:shd w:val="clear" w:color="auto" w:fill="D9D9D9" w:themeFill="background1" w:themeFillShade="D9"/>
                </w:tcPr>
                <w:p w14:paraId="7DEE1C12" w14:textId="77777777" w:rsidR="00790D68" w:rsidRPr="005D4222" w:rsidRDefault="00790D68" w:rsidP="003F53FD">
                  <w:pPr>
                    <w:pStyle w:val="TableText"/>
                    <w:spacing w:before="40" w:after="30"/>
                    <w:jc w:val="center"/>
                    <w:rPr>
                      <w:rFonts w:eastAsia="Arial Narrow"/>
                    </w:rPr>
                  </w:pPr>
                </w:p>
              </w:tc>
            </w:tr>
            <w:tr w:rsidR="00790D68" w:rsidRPr="005D4222" w14:paraId="6BBCD5F4" w14:textId="77777777" w:rsidTr="003F53FD">
              <w:trPr>
                <w:cantSplit/>
                <w:trHeight w:val="300"/>
              </w:trPr>
              <w:tc>
                <w:tcPr>
                  <w:tcW w:w="1694" w:type="dxa"/>
                  <w:tcBorders>
                    <w:top w:val="nil"/>
                    <w:left w:val="nil"/>
                    <w:bottom w:val="nil"/>
                    <w:right w:val="nil"/>
                  </w:tcBorders>
                </w:tcPr>
                <w:p w14:paraId="52B53319" w14:textId="77777777" w:rsidR="00790D68" w:rsidRPr="005D4222" w:rsidRDefault="00790D68" w:rsidP="003F53FD">
                  <w:pPr>
                    <w:pStyle w:val="TableText"/>
                    <w:spacing w:before="40" w:after="30"/>
                    <w:rPr>
                      <w:rFonts w:eastAsia="Arial Narrow"/>
                    </w:rPr>
                  </w:pPr>
                </w:p>
              </w:tc>
              <w:tc>
                <w:tcPr>
                  <w:tcW w:w="3079" w:type="dxa"/>
                  <w:tcBorders>
                    <w:top w:val="single" w:sz="4" w:space="0" w:color="auto"/>
                    <w:left w:val="single" w:sz="4" w:space="0" w:color="auto"/>
                    <w:bottom w:val="single" w:sz="4" w:space="0" w:color="auto"/>
                  </w:tcBorders>
                </w:tcPr>
                <w:p w14:paraId="0C7623E5" w14:textId="77777777" w:rsidR="00790D68" w:rsidRPr="005D4222" w:rsidRDefault="00790D68" w:rsidP="003F53FD">
                  <w:pPr>
                    <w:pStyle w:val="TableText"/>
                    <w:spacing w:before="40" w:after="30"/>
                    <w:rPr>
                      <w:rFonts w:eastAsia="Arial Narrow"/>
                    </w:rPr>
                  </w:pPr>
                  <w:r w:rsidRPr="005D4222">
                    <w:rPr>
                      <w:rFonts w:eastAsia="Arial Narrow"/>
                    </w:rPr>
                    <w:t>ExclusionValidDataErrors</w:t>
                  </w:r>
                </w:p>
              </w:tc>
              <w:tc>
                <w:tcPr>
                  <w:tcW w:w="2017" w:type="dxa"/>
                  <w:tcBorders>
                    <w:right w:val="single" w:sz="4" w:space="0" w:color="auto"/>
                  </w:tcBorders>
                </w:tcPr>
                <w:p w14:paraId="2B4BCB8E" w14:textId="77777777" w:rsidR="00790D68" w:rsidRPr="005D4222" w:rsidRDefault="00790D68" w:rsidP="003F53FD">
                  <w:pPr>
                    <w:pStyle w:val="TableText"/>
                    <w:spacing w:before="40" w:after="30"/>
                    <w:rPr>
                      <w:rFonts w:eastAsia="Arial Narrow"/>
                    </w:rPr>
                  </w:pPr>
                  <w:r w:rsidRPr="005D4222">
                    <w:rPr>
                      <w:rFonts w:eastAsia="Arial Narrow"/>
                    </w:rPr>
                    <w:t>Report once</w:t>
                  </w:r>
                </w:p>
              </w:tc>
              <w:tc>
                <w:tcPr>
                  <w:tcW w:w="576" w:type="dxa"/>
                  <w:tcBorders>
                    <w:right w:val="single" w:sz="4" w:space="0" w:color="auto"/>
                  </w:tcBorders>
                </w:tcPr>
                <w:p w14:paraId="15CCC561" w14:textId="77777777" w:rsidR="00790D68" w:rsidRPr="005D4222" w:rsidRDefault="00790D68" w:rsidP="003F53FD">
                  <w:pPr>
                    <w:pStyle w:val="TableText"/>
                    <w:spacing w:before="40" w:after="30"/>
                    <w:jc w:val="center"/>
                    <w:rPr>
                      <w:rFonts w:eastAsia="Arial Narrow"/>
                    </w:rPr>
                  </w:pPr>
                </w:p>
              </w:tc>
            </w:tr>
            <w:tr w:rsidR="00790D68" w:rsidRPr="005D4222" w14:paraId="278B8B35" w14:textId="77777777" w:rsidTr="003F53FD">
              <w:trPr>
                <w:cantSplit/>
                <w:trHeight w:val="300"/>
              </w:trPr>
              <w:tc>
                <w:tcPr>
                  <w:tcW w:w="1694" w:type="dxa"/>
                  <w:tcBorders>
                    <w:top w:val="nil"/>
                    <w:left w:val="nil"/>
                    <w:bottom w:val="nil"/>
                    <w:right w:val="nil"/>
                  </w:tcBorders>
                </w:tcPr>
                <w:p w14:paraId="4668E8ED" w14:textId="77777777" w:rsidR="00790D68" w:rsidRPr="005D4222" w:rsidRDefault="00790D68" w:rsidP="003F53FD">
                  <w:pPr>
                    <w:pStyle w:val="TableText"/>
                    <w:spacing w:before="40" w:after="30"/>
                    <w:rPr>
                      <w:rFonts w:eastAsia="Arial Narrow"/>
                    </w:rPr>
                  </w:pPr>
                </w:p>
              </w:tc>
              <w:tc>
                <w:tcPr>
                  <w:tcW w:w="3079" w:type="dxa"/>
                  <w:tcBorders>
                    <w:top w:val="single" w:sz="4" w:space="0" w:color="auto"/>
                    <w:left w:val="single" w:sz="4" w:space="0" w:color="auto"/>
                    <w:bottom w:val="single" w:sz="4" w:space="0" w:color="auto"/>
                  </w:tcBorders>
                  <w:shd w:val="clear" w:color="auto" w:fill="FFFFFF" w:themeFill="background1"/>
                </w:tcPr>
                <w:p w14:paraId="41BCAC88" w14:textId="77777777" w:rsidR="00790D68" w:rsidRPr="005D4222" w:rsidRDefault="00790D68" w:rsidP="003F53FD">
                  <w:pPr>
                    <w:pStyle w:val="TableText"/>
                    <w:spacing w:before="40" w:after="30"/>
                    <w:rPr>
                      <w:rFonts w:eastAsia="Arial Narrow"/>
                    </w:rPr>
                  </w:pPr>
                  <w:r w:rsidRPr="005D4222">
                    <w:t>ExclusionEmployeeOrDep</w:t>
                  </w:r>
                </w:p>
              </w:tc>
              <w:tc>
                <w:tcPr>
                  <w:tcW w:w="2017" w:type="dxa"/>
                  <w:tcBorders>
                    <w:right w:val="single" w:sz="4" w:space="0" w:color="auto"/>
                  </w:tcBorders>
                  <w:shd w:val="clear" w:color="auto" w:fill="FFFFFF" w:themeFill="background1"/>
                  <w:vAlign w:val="center"/>
                </w:tcPr>
                <w:p w14:paraId="7E33AE7A" w14:textId="77777777" w:rsidR="00790D68" w:rsidRPr="005D4222" w:rsidRDefault="00790D68" w:rsidP="003F53FD">
                  <w:pPr>
                    <w:pStyle w:val="TableText"/>
                    <w:spacing w:before="40" w:after="30"/>
                    <w:rPr>
                      <w:rFonts w:eastAsia="Arial Narrow"/>
                    </w:rPr>
                  </w:pPr>
                  <w:r w:rsidRPr="005D4222">
                    <w:rPr>
                      <w:rFonts w:eastAsia="Arial Narrow"/>
                    </w:rPr>
                    <w:t>Report once</w:t>
                  </w:r>
                </w:p>
              </w:tc>
              <w:tc>
                <w:tcPr>
                  <w:tcW w:w="576" w:type="dxa"/>
                  <w:tcBorders>
                    <w:right w:val="single" w:sz="4" w:space="0" w:color="auto"/>
                  </w:tcBorders>
                  <w:shd w:val="clear" w:color="auto" w:fill="FFFFFF" w:themeFill="background1"/>
                </w:tcPr>
                <w:p w14:paraId="1FB96CB1" w14:textId="77777777" w:rsidR="00790D68" w:rsidRPr="005D4222" w:rsidRDefault="00790D68" w:rsidP="003F53FD">
                  <w:pPr>
                    <w:pStyle w:val="TableText"/>
                    <w:spacing w:before="40" w:after="30"/>
                    <w:jc w:val="center"/>
                    <w:rPr>
                      <w:rFonts w:eastAsia="Arial Narrow"/>
                    </w:rPr>
                  </w:pPr>
                </w:p>
              </w:tc>
            </w:tr>
            <w:tr w:rsidR="00790D68" w:rsidRPr="005D4222" w14:paraId="5A76E17A" w14:textId="77777777" w:rsidTr="003F53FD">
              <w:trPr>
                <w:cantSplit/>
                <w:trHeight w:val="300"/>
              </w:trPr>
              <w:tc>
                <w:tcPr>
                  <w:tcW w:w="1694" w:type="dxa"/>
                  <w:tcBorders>
                    <w:top w:val="nil"/>
                    <w:left w:val="nil"/>
                    <w:bottom w:val="nil"/>
                    <w:right w:val="nil"/>
                  </w:tcBorders>
                </w:tcPr>
                <w:p w14:paraId="2F683FFB" w14:textId="77777777" w:rsidR="00790D68" w:rsidRPr="005D4222" w:rsidRDefault="00790D68" w:rsidP="003F53FD">
                  <w:pPr>
                    <w:pStyle w:val="TableText"/>
                    <w:spacing w:before="40" w:after="30"/>
                    <w:rPr>
                      <w:rFonts w:eastAsia="Arial Narrow"/>
                    </w:rPr>
                  </w:pPr>
                </w:p>
              </w:tc>
              <w:tc>
                <w:tcPr>
                  <w:tcW w:w="3079" w:type="dxa"/>
                  <w:tcBorders>
                    <w:top w:val="single" w:sz="4" w:space="0" w:color="auto"/>
                    <w:left w:val="single" w:sz="4" w:space="0" w:color="auto"/>
                    <w:bottom w:val="single" w:sz="4" w:space="0" w:color="auto"/>
                  </w:tcBorders>
                </w:tcPr>
                <w:p w14:paraId="4D6B3DD9" w14:textId="77777777" w:rsidR="00790D68" w:rsidRPr="005D4222" w:rsidRDefault="00790D68" w:rsidP="003F53FD">
                  <w:pPr>
                    <w:pStyle w:val="TableText"/>
                    <w:spacing w:before="40" w:after="30"/>
                    <w:rPr>
                      <w:rFonts w:eastAsia="Arial Narrow"/>
                    </w:rPr>
                  </w:pPr>
                  <w:r w:rsidRPr="005D4222">
                    <w:rPr>
                      <w:rFonts w:eastAsia="Arial Narrow"/>
                    </w:rPr>
                    <w:t>OversampleRecsAdded</w:t>
                  </w:r>
                </w:p>
              </w:tc>
              <w:tc>
                <w:tcPr>
                  <w:tcW w:w="2017" w:type="dxa"/>
                  <w:tcBorders>
                    <w:right w:val="single" w:sz="4" w:space="0" w:color="auto"/>
                  </w:tcBorders>
                </w:tcPr>
                <w:p w14:paraId="26309A7B" w14:textId="77777777" w:rsidR="00790D68" w:rsidRPr="005D4222" w:rsidRDefault="00790D68" w:rsidP="003F53FD">
                  <w:pPr>
                    <w:pStyle w:val="TableText"/>
                    <w:spacing w:before="40" w:after="30"/>
                    <w:rPr>
                      <w:rFonts w:eastAsia="Arial Narrow"/>
                    </w:rPr>
                  </w:pPr>
                  <w:r w:rsidRPr="005D4222">
                    <w:rPr>
                      <w:rFonts w:eastAsia="Arial Narrow"/>
                    </w:rPr>
                    <w:t>Report once</w:t>
                  </w:r>
                </w:p>
              </w:tc>
              <w:tc>
                <w:tcPr>
                  <w:tcW w:w="576" w:type="dxa"/>
                  <w:tcBorders>
                    <w:right w:val="single" w:sz="4" w:space="0" w:color="auto"/>
                  </w:tcBorders>
                </w:tcPr>
                <w:p w14:paraId="31A322B2" w14:textId="77777777" w:rsidR="00790D68" w:rsidRPr="005D4222" w:rsidRDefault="00790D68" w:rsidP="003F53FD">
                  <w:pPr>
                    <w:pStyle w:val="TableText"/>
                    <w:spacing w:before="40" w:after="30"/>
                    <w:jc w:val="center"/>
                    <w:rPr>
                      <w:rFonts w:eastAsia="Arial Narrow"/>
                    </w:rPr>
                  </w:pPr>
                </w:p>
              </w:tc>
            </w:tr>
            <w:tr w:rsidR="00790D68" w:rsidRPr="005D4222" w14:paraId="7027EE36" w14:textId="77777777" w:rsidTr="003F53FD">
              <w:trPr>
                <w:cantSplit/>
                <w:trHeight w:val="300"/>
              </w:trPr>
              <w:tc>
                <w:tcPr>
                  <w:tcW w:w="1694" w:type="dxa"/>
                  <w:tcBorders>
                    <w:top w:val="nil"/>
                    <w:left w:val="nil"/>
                    <w:bottom w:val="nil"/>
                    <w:right w:val="nil"/>
                  </w:tcBorders>
                </w:tcPr>
                <w:p w14:paraId="1DB4E4DB" w14:textId="77777777" w:rsidR="00790D68" w:rsidRPr="005D4222" w:rsidRDefault="00790D68" w:rsidP="003F53FD">
                  <w:pPr>
                    <w:pStyle w:val="TableText"/>
                    <w:spacing w:before="40" w:after="30"/>
                    <w:rPr>
                      <w:rFonts w:eastAsia="Arial Narrow"/>
                    </w:rPr>
                  </w:pPr>
                </w:p>
              </w:tc>
              <w:tc>
                <w:tcPr>
                  <w:tcW w:w="3079" w:type="dxa"/>
                  <w:tcBorders>
                    <w:top w:val="single" w:sz="4" w:space="0" w:color="auto"/>
                    <w:left w:val="single" w:sz="4" w:space="0" w:color="auto"/>
                    <w:bottom w:val="single" w:sz="4" w:space="0" w:color="auto"/>
                  </w:tcBorders>
                </w:tcPr>
                <w:p w14:paraId="3FBC6FBD" w14:textId="77777777" w:rsidR="00790D68" w:rsidRPr="005D4222" w:rsidRDefault="00790D68" w:rsidP="003F53FD">
                  <w:pPr>
                    <w:pStyle w:val="TableText"/>
                    <w:spacing w:before="40" w:after="30"/>
                    <w:rPr>
                      <w:rFonts w:eastAsia="Arial Narrow"/>
                    </w:rPr>
                  </w:pPr>
                  <w:r w:rsidRPr="005D4222">
                    <w:t>NumeratorByAdmin</w:t>
                  </w:r>
                </w:p>
              </w:tc>
              <w:tc>
                <w:tcPr>
                  <w:tcW w:w="2017" w:type="dxa"/>
                  <w:tcBorders>
                    <w:right w:val="single" w:sz="4" w:space="0" w:color="auto"/>
                  </w:tcBorders>
                </w:tcPr>
                <w:p w14:paraId="3B1778C2" w14:textId="77777777" w:rsidR="00790D68" w:rsidRPr="005D4222" w:rsidRDefault="00790D68" w:rsidP="003F53FD">
                  <w:pPr>
                    <w:pStyle w:val="TableText"/>
                    <w:spacing w:before="40" w:after="30"/>
                    <w:rPr>
                      <w:rFonts w:eastAsia="Arial Narrow"/>
                    </w:rPr>
                  </w:pPr>
                  <w:r w:rsidRPr="005D4222">
                    <w:rPr>
                      <w:rFonts w:eastAsia="Arial Narrow"/>
                    </w:rPr>
                    <w:t>Report once</w:t>
                  </w:r>
                </w:p>
              </w:tc>
              <w:tc>
                <w:tcPr>
                  <w:tcW w:w="576" w:type="dxa"/>
                  <w:tcBorders>
                    <w:right w:val="single" w:sz="4" w:space="0" w:color="auto"/>
                  </w:tcBorders>
                </w:tcPr>
                <w:p w14:paraId="0E806ED1" w14:textId="72039E61" w:rsidR="00790D68" w:rsidRPr="005D4222" w:rsidRDefault="00233911" w:rsidP="00233911">
                  <w:pPr>
                    <w:pStyle w:val="TableText"/>
                    <w:spacing w:before="40" w:after="30"/>
                    <w:jc w:val="center"/>
                    <w:rPr>
                      <w:rFonts w:eastAsia="Arial Narrow"/>
                    </w:rPr>
                  </w:pPr>
                  <w:r w:rsidRPr="005D4222">
                    <w:rPr>
                      <w:rFonts w:ascii="Wingdings" w:eastAsia="Wingdings" w:hAnsi="Wingdings" w:cs="Wingdings"/>
                    </w:rPr>
                    <w:t></w:t>
                  </w:r>
                </w:p>
              </w:tc>
            </w:tr>
            <w:tr w:rsidR="00790D68" w:rsidRPr="005D4222" w14:paraId="564BF83B" w14:textId="77777777" w:rsidTr="003F53FD">
              <w:trPr>
                <w:cantSplit/>
                <w:trHeight w:val="300"/>
              </w:trPr>
              <w:tc>
                <w:tcPr>
                  <w:tcW w:w="1694" w:type="dxa"/>
                  <w:tcBorders>
                    <w:top w:val="nil"/>
                    <w:left w:val="nil"/>
                    <w:bottom w:val="nil"/>
                    <w:right w:val="nil"/>
                  </w:tcBorders>
                </w:tcPr>
                <w:p w14:paraId="46EA86DA" w14:textId="77777777" w:rsidR="00790D68" w:rsidRPr="005D4222" w:rsidRDefault="00790D68" w:rsidP="003F53FD">
                  <w:pPr>
                    <w:pStyle w:val="TableText"/>
                    <w:spacing w:before="40" w:after="30"/>
                    <w:rPr>
                      <w:rFonts w:eastAsia="Arial Narrow"/>
                    </w:rPr>
                  </w:pPr>
                </w:p>
              </w:tc>
              <w:tc>
                <w:tcPr>
                  <w:tcW w:w="3079" w:type="dxa"/>
                  <w:tcBorders>
                    <w:top w:val="single" w:sz="4" w:space="0" w:color="auto"/>
                    <w:left w:val="single" w:sz="4" w:space="0" w:color="auto"/>
                    <w:bottom w:val="single" w:sz="4" w:space="0" w:color="auto"/>
                  </w:tcBorders>
                </w:tcPr>
                <w:p w14:paraId="2E442F24" w14:textId="77777777" w:rsidR="00790D68" w:rsidRPr="005D4222" w:rsidRDefault="00790D68" w:rsidP="003F53FD">
                  <w:pPr>
                    <w:pStyle w:val="TableText"/>
                    <w:spacing w:before="40" w:after="30"/>
                    <w:rPr>
                      <w:rFonts w:eastAsia="Arial Narrow"/>
                    </w:rPr>
                  </w:pPr>
                  <w:r w:rsidRPr="005D4222">
                    <w:t>NumeratorByMedicalRecords</w:t>
                  </w:r>
                </w:p>
              </w:tc>
              <w:tc>
                <w:tcPr>
                  <w:tcW w:w="2017" w:type="dxa"/>
                  <w:tcBorders>
                    <w:right w:val="single" w:sz="4" w:space="0" w:color="auto"/>
                  </w:tcBorders>
                </w:tcPr>
                <w:p w14:paraId="08D138AC" w14:textId="77777777" w:rsidR="00790D68" w:rsidRPr="005D4222" w:rsidRDefault="00790D68" w:rsidP="003F53FD">
                  <w:pPr>
                    <w:pStyle w:val="TableText"/>
                    <w:spacing w:before="40" w:after="30"/>
                    <w:rPr>
                      <w:rFonts w:eastAsia="Arial Narrow"/>
                    </w:rPr>
                  </w:pPr>
                  <w:r w:rsidRPr="005D4222">
                    <w:rPr>
                      <w:rFonts w:eastAsia="Arial Narrow"/>
                    </w:rPr>
                    <w:t>Report once</w:t>
                  </w:r>
                </w:p>
              </w:tc>
              <w:tc>
                <w:tcPr>
                  <w:tcW w:w="576" w:type="dxa"/>
                  <w:tcBorders>
                    <w:right w:val="single" w:sz="4" w:space="0" w:color="auto"/>
                  </w:tcBorders>
                </w:tcPr>
                <w:p w14:paraId="5D77C1A0" w14:textId="77777777" w:rsidR="00790D68" w:rsidRPr="005D4222" w:rsidRDefault="00790D68" w:rsidP="003F53FD">
                  <w:pPr>
                    <w:pStyle w:val="TableText"/>
                    <w:spacing w:before="40" w:after="30"/>
                    <w:jc w:val="center"/>
                    <w:rPr>
                      <w:rFonts w:eastAsia="Arial Narrow"/>
                    </w:rPr>
                  </w:pPr>
                </w:p>
              </w:tc>
            </w:tr>
            <w:tr w:rsidR="00790D68" w:rsidRPr="005D4222" w14:paraId="7440C798" w14:textId="77777777" w:rsidTr="003F53FD">
              <w:trPr>
                <w:cantSplit/>
                <w:trHeight w:val="300"/>
              </w:trPr>
              <w:tc>
                <w:tcPr>
                  <w:tcW w:w="1694" w:type="dxa"/>
                  <w:tcBorders>
                    <w:top w:val="nil"/>
                    <w:left w:val="nil"/>
                    <w:bottom w:val="nil"/>
                    <w:right w:val="nil"/>
                  </w:tcBorders>
                </w:tcPr>
                <w:p w14:paraId="3B7ED8DC" w14:textId="77777777" w:rsidR="00790D68" w:rsidRPr="005D4222" w:rsidRDefault="00790D68" w:rsidP="003F53FD">
                  <w:pPr>
                    <w:pStyle w:val="TableText"/>
                    <w:spacing w:before="40" w:after="30"/>
                    <w:rPr>
                      <w:rFonts w:eastAsia="Arial Narrow"/>
                    </w:rPr>
                  </w:pPr>
                </w:p>
              </w:tc>
              <w:tc>
                <w:tcPr>
                  <w:tcW w:w="3079" w:type="dxa"/>
                  <w:tcBorders>
                    <w:top w:val="single" w:sz="4" w:space="0" w:color="auto"/>
                    <w:left w:val="single" w:sz="4" w:space="0" w:color="auto"/>
                    <w:bottom w:val="single" w:sz="4" w:space="0" w:color="auto"/>
                  </w:tcBorders>
                  <w:shd w:val="clear" w:color="auto" w:fill="FFFFFF" w:themeFill="background1"/>
                </w:tcPr>
                <w:p w14:paraId="0C523935" w14:textId="77777777" w:rsidR="00790D68" w:rsidRPr="005D4222" w:rsidRDefault="00790D68" w:rsidP="003F53FD">
                  <w:pPr>
                    <w:pStyle w:val="TableText"/>
                    <w:spacing w:before="40" w:after="30"/>
                    <w:rPr>
                      <w:rFonts w:eastAsia="Arial Narrow"/>
                    </w:rPr>
                  </w:pPr>
                  <w:r w:rsidRPr="005D4222">
                    <w:t>NumeratorBySupplemental</w:t>
                  </w:r>
                </w:p>
              </w:tc>
              <w:tc>
                <w:tcPr>
                  <w:tcW w:w="2017" w:type="dxa"/>
                  <w:tcBorders>
                    <w:right w:val="single" w:sz="4" w:space="0" w:color="auto"/>
                  </w:tcBorders>
                  <w:shd w:val="clear" w:color="auto" w:fill="FFFFFF" w:themeFill="background1"/>
                </w:tcPr>
                <w:p w14:paraId="49694C18" w14:textId="77777777" w:rsidR="00790D68" w:rsidRPr="005D4222" w:rsidRDefault="00790D68" w:rsidP="003F53FD">
                  <w:pPr>
                    <w:pStyle w:val="TableText"/>
                    <w:spacing w:before="40" w:after="30"/>
                    <w:rPr>
                      <w:rFonts w:eastAsia="Arial Narrow"/>
                    </w:rPr>
                  </w:pPr>
                  <w:r w:rsidRPr="005D4222">
                    <w:rPr>
                      <w:rFonts w:eastAsia="Arial Narrow"/>
                    </w:rPr>
                    <w:t>Report once</w:t>
                  </w:r>
                </w:p>
              </w:tc>
              <w:tc>
                <w:tcPr>
                  <w:tcW w:w="576" w:type="dxa"/>
                  <w:tcBorders>
                    <w:right w:val="single" w:sz="4" w:space="0" w:color="auto"/>
                  </w:tcBorders>
                  <w:shd w:val="clear" w:color="auto" w:fill="FFFFFF" w:themeFill="background1"/>
                </w:tcPr>
                <w:p w14:paraId="67990424" w14:textId="1C92C388" w:rsidR="00790D68" w:rsidRPr="005D4222" w:rsidRDefault="00233911" w:rsidP="00233911">
                  <w:pPr>
                    <w:pStyle w:val="TableText"/>
                    <w:spacing w:before="40" w:after="30"/>
                    <w:jc w:val="center"/>
                    <w:rPr>
                      <w:rFonts w:eastAsia="Arial Narrow"/>
                    </w:rPr>
                  </w:pPr>
                  <w:r w:rsidRPr="005D4222">
                    <w:rPr>
                      <w:rFonts w:ascii="Wingdings" w:eastAsia="Wingdings" w:hAnsi="Wingdings" w:cs="Wingdings"/>
                    </w:rPr>
                    <w:t></w:t>
                  </w:r>
                </w:p>
              </w:tc>
            </w:tr>
            <w:tr w:rsidR="00790D68" w:rsidRPr="005D4222" w14:paraId="4A7F5909" w14:textId="77777777" w:rsidTr="003F53FD">
              <w:trPr>
                <w:cantSplit/>
                <w:trHeight w:val="300"/>
              </w:trPr>
              <w:tc>
                <w:tcPr>
                  <w:tcW w:w="1694" w:type="dxa"/>
                  <w:tcBorders>
                    <w:top w:val="nil"/>
                    <w:left w:val="nil"/>
                    <w:bottom w:val="nil"/>
                    <w:right w:val="nil"/>
                  </w:tcBorders>
                </w:tcPr>
                <w:p w14:paraId="74360F59" w14:textId="77777777" w:rsidR="00790D68" w:rsidRPr="005D4222" w:rsidRDefault="00790D68" w:rsidP="003F53FD">
                  <w:pPr>
                    <w:pStyle w:val="TableText"/>
                    <w:spacing w:before="40" w:after="30"/>
                    <w:rPr>
                      <w:rFonts w:eastAsia="Arial Narrow"/>
                    </w:rPr>
                  </w:pPr>
                </w:p>
              </w:tc>
              <w:tc>
                <w:tcPr>
                  <w:tcW w:w="3079" w:type="dxa"/>
                  <w:tcBorders>
                    <w:top w:val="single" w:sz="4" w:space="0" w:color="auto"/>
                    <w:left w:val="single" w:sz="4" w:space="0" w:color="auto"/>
                    <w:bottom w:val="single" w:sz="4" w:space="0" w:color="auto"/>
                  </w:tcBorders>
                  <w:shd w:val="clear" w:color="auto" w:fill="D9D9D9" w:themeFill="background1" w:themeFillShade="D9"/>
                </w:tcPr>
                <w:p w14:paraId="58F7B05B" w14:textId="77777777" w:rsidR="00790D68" w:rsidRPr="005D4222" w:rsidRDefault="00790D68" w:rsidP="003F53FD">
                  <w:pPr>
                    <w:pStyle w:val="TableText"/>
                    <w:spacing w:before="40" w:after="30"/>
                    <w:rPr>
                      <w:rFonts w:eastAsia="Arial Narrow"/>
                    </w:rPr>
                  </w:pPr>
                  <w:r w:rsidRPr="005D4222">
                    <w:t>Rate</w:t>
                  </w:r>
                </w:p>
              </w:tc>
              <w:tc>
                <w:tcPr>
                  <w:tcW w:w="2017" w:type="dxa"/>
                  <w:tcBorders>
                    <w:right w:val="single" w:sz="4" w:space="0" w:color="auto"/>
                  </w:tcBorders>
                  <w:shd w:val="clear" w:color="auto" w:fill="D9D9D9" w:themeFill="background1" w:themeFillShade="D9"/>
                </w:tcPr>
                <w:p w14:paraId="313589F9" w14:textId="77777777" w:rsidR="00790D68" w:rsidRPr="005D4222" w:rsidRDefault="00790D68" w:rsidP="003F53FD">
                  <w:pPr>
                    <w:pStyle w:val="TableText"/>
                    <w:spacing w:before="40" w:after="30"/>
                    <w:rPr>
                      <w:rFonts w:eastAsia="Arial Narrow"/>
                    </w:rPr>
                  </w:pPr>
                  <w:r w:rsidRPr="005D4222">
                    <w:rPr>
                      <w:rFonts w:eastAsia="Arial Narrow"/>
                    </w:rPr>
                    <w:t>(Percent)</w:t>
                  </w:r>
                </w:p>
              </w:tc>
              <w:tc>
                <w:tcPr>
                  <w:tcW w:w="576" w:type="dxa"/>
                  <w:tcBorders>
                    <w:right w:val="single" w:sz="4" w:space="0" w:color="auto"/>
                  </w:tcBorders>
                  <w:shd w:val="clear" w:color="auto" w:fill="D9D9D9" w:themeFill="background1" w:themeFillShade="D9"/>
                </w:tcPr>
                <w:p w14:paraId="6DFAD30C" w14:textId="28458D48" w:rsidR="00790D68" w:rsidRPr="005D4222" w:rsidRDefault="00233911" w:rsidP="00233911">
                  <w:pPr>
                    <w:pStyle w:val="TableText"/>
                    <w:spacing w:before="40" w:after="30"/>
                    <w:jc w:val="center"/>
                    <w:rPr>
                      <w:rFonts w:eastAsia="Arial Narrow"/>
                    </w:rPr>
                  </w:pPr>
                  <w:r w:rsidRPr="005D4222">
                    <w:rPr>
                      <w:rFonts w:ascii="Wingdings" w:eastAsia="Wingdings" w:hAnsi="Wingdings" w:cs="Wingdings"/>
                    </w:rPr>
                    <w:t></w:t>
                  </w:r>
                </w:p>
              </w:tc>
            </w:tr>
          </w:tbl>
          <w:p w14:paraId="12879AD8" w14:textId="3CD2B329" w:rsidR="00A24265" w:rsidRPr="005D4222" w:rsidRDefault="00A24265" w:rsidP="003F53FD">
            <w:pPr>
              <w:pStyle w:val="Heading3"/>
              <w:spacing w:before="120" w:after="30"/>
              <w:rPr>
                <w:iCs/>
                <w:szCs w:val="22"/>
              </w:rPr>
            </w:pPr>
            <w:r w:rsidRPr="005D4222">
              <w:t xml:space="preserve">Table CBP-B-1/2/3: Data Elements for Controlling High Blood Pressure: </w:t>
            </w:r>
            <w:r w:rsidR="00B51CDC" w:rsidRPr="005D4222">
              <w:t>Stratifications</w:t>
            </w:r>
            <w:r w:rsidRPr="005D4222">
              <w:t xml:space="preserve"> by Race</w:t>
            </w:r>
          </w:p>
          <w:tbl>
            <w:tblPr>
              <w:tblW w:w="73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46"/>
              <w:gridCol w:w="2790"/>
              <w:gridCol w:w="1530"/>
              <w:gridCol w:w="1170"/>
              <w:gridCol w:w="502"/>
            </w:tblGrid>
            <w:tr w:rsidR="00A24265" w:rsidRPr="005D4222" w14:paraId="55C209DF" w14:textId="77777777">
              <w:tc>
                <w:tcPr>
                  <w:tcW w:w="1346" w:type="dxa"/>
                  <w:tcBorders>
                    <w:top w:val="single" w:sz="4" w:space="0" w:color="000000" w:themeColor="text1"/>
                    <w:left w:val="single" w:sz="4" w:space="0" w:color="auto"/>
                    <w:bottom w:val="single" w:sz="4" w:space="0" w:color="auto"/>
                    <w:right w:val="single" w:sz="4" w:space="0" w:color="FFFFFF" w:themeColor="background1"/>
                  </w:tcBorders>
                  <w:shd w:val="clear" w:color="auto" w:fill="000000" w:themeFill="text1"/>
                  <w:tcMar>
                    <w:left w:w="72" w:type="dxa"/>
                    <w:right w:w="72" w:type="dxa"/>
                  </w:tcMar>
                  <w:vAlign w:val="bottom"/>
                </w:tcPr>
                <w:p w14:paraId="774C0B82" w14:textId="77777777" w:rsidR="00A24265" w:rsidRPr="005D4222" w:rsidRDefault="00A24265" w:rsidP="003F53FD">
                  <w:pPr>
                    <w:pStyle w:val="TableHead"/>
                    <w:spacing w:after="30"/>
                  </w:pPr>
                  <w:r w:rsidRPr="005D4222">
                    <w:t>Metric</w:t>
                  </w:r>
                </w:p>
              </w:tc>
              <w:tc>
                <w:tcPr>
                  <w:tcW w:w="2790" w:type="dxa"/>
                  <w:tcBorders>
                    <w:top w:val="single" w:sz="4" w:space="0" w:color="000000" w:themeColor="text1"/>
                    <w:left w:val="single" w:sz="4" w:space="0" w:color="FFFFFF" w:themeColor="background1"/>
                    <w:bottom w:val="single" w:sz="4" w:space="0" w:color="auto"/>
                    <w:right w:val="single" w:sz="4" w:space="0" w:color="FFFFFF" w:themeColor="background1"/>
                  </w:tcBorders>
                  <w:shd w:val="clear" w:color="auto" w:fill="000000" w:themeFill="text1"/>
                  <w:tcMar>
                    <w:left w:w="72" w:type="dxa"/>
                    <w:right w:w="72" w:type="dxa"/>
                  </w:tcMar>
                  <w:vAlign w:val="bottom"/>
                </w:tcPr>
                <w:p w14:paraId="3B627F86" w14:textId="77777777" w:rsidR="00A24265" w:rsidRPr="005D4222" w:rsidRDefault="00A24265" w:rsidP="003F53FD">
                  <w:pPr>
                    <w:pStyle w:val="TableHead"/>
                    <w:spacing w:after="30"/>
                  </w:pPr>
                  <w:r w:rsidRPr="005D4222">
                    <w:t>Race</w:t>
                  </w:r>
                </w:p>
              </w:tc>
              <w:tc>
                <w:tcPr>
                  <w:tcW w:w="1530" w:type="dxa"/>
                  <w:tcBorders>
                    <w:top w:val="single" w:sz="4" w:space="0" w:color="000000" w:themeColor="text1"/>
                    <w:left w:val="single" w:sz="4" w:space="0" w:color="FFFFFF" w:themeColor="background1"/>
                    <w:bottom w:val="single" w:sz="4" w:space="0" w:color="auto"/>
                    <w:right w:val="single" w:sz="4" w:space="0" w:color="FFFFFF" w:themeColor="background1"/>
                  </w:tcBorders>
                  <w:shd w:val="clear" w:color="auto" w:fill="000000" w:themeFill="text1"/>
                  <w:tcMar>
                    <w:left w:w="72" w:type="dxa"/>
                    <w:right w:w="72" w:type="dxa"/>
                  </w:tcMar>
                  <w:vAlign w:val="bottom"/>
                </w:tcPr>
                <w:p w14:paraId="4CC316EA" w14:textId="77777777" w:rsidR="00A24265" w:rsidRPr="005D4222" w:rsidRDefault="00A24265" w:rsidP="003F53FD">
                  <w:pPr>
                    <w:pStyle w:val="TableHead"/>
                    <w:spacing w:after="30"/>
                  </w:pPr>
                  <w:r w:rsidRPr="005D4222">
                    <w:t>Data Element</w:t>
                  </w:r>
                </w:p>
              </w:tc>
              <w:tc>
                <w:tcPr>
                  <w:tcW w:w="1170" w:type="dxa"/>
                  <w:tcBorders>
                    <w:top w:val="single" w:sz="4" w:space="0" w:color="000000" w:themeColor="text1"/>
                    <w:left w:val="single" w:sz="4" w:space="0" w:color="FFFFFF" w:themeColor="background1"/>
                    <w:bottom w:val="single" w:sz="4" w:space="0" w:color="auto"/>
                    <w:right w:val="single" w:sz="4" w:space="0" w:color="FFFFFF" w:themeColor="background1"/>
                  </w:tcBorders>
                  <w:shd w:val="clear" w:color="auto" w:fill="000000" w:themeFill="text1"/>
                  <w:tcMar>
                    <w:left w:w="72" w:type="dxa"/>
                    <w:right w:w="72" w:type="dxa"/>
                  </w:tcMar>
                  <w:vAlign w:val="bottom"/>
                </w:tcPr>
                <w:p w14:paraId="7352E3AD" w14:textId="77777777" w:rsidR="00A24265" w:rsidRPr="005D4222" w:rsidRDefault="00A24265" w:rsidP="003F53FD">
                  <w:pPr>
                    <w:pStyle w:val="TableHead"/>
                    <w:spacing w:after="30"/>
                  </w:pPr>
                  <w:r w:rsidRPr="005D4222">
                    <w:t>Reporting Instructions</w:t>
                  </w:r>
                </w:p>
              </w:tc>
              <w:tc>
                <w:tcPr>
                  <w:tcW w:w="502" w:type="dxa"/>
                  <w:tcBorders>
                    <w:top w:val="single" w:sz="4" w:space="0" w:color="000000" w:themeColor="text1"/>
                    <w:left w:val="single" w:sz="4" w:space="0" w:color="FFFFFF" w:themeColor="background1"/>
                    <w:bottom w:val="single" w:sz="4" w:space="0" w:color="auto"/>
                    <w:right w:val="single" w:sz="4" w:space="0" w:color="000000" w:themeColor="text1"/>
                  </w:tcBorders>
                  <w:shd w:val="clear" w:color="auto" w:fill="000000" w:themeFill="text1"/>
                  <w:tcMar>
                    <w:left w:w="72" w:type="dxa"/>
                    <w:right w:w="72" w:type="dxa"/>
                  </w:tcMar>
                  <w:vAlign w:val="bottom"/>
                </w:tcPr>
                <w:p w14:paraId="4DF5476D" w14:textId="77777777" w:rsidR="00A24265" w:rsidRPr="005D4222" w:rsidRDefault="00A24265" w:rsidP="003F53FD">
                  <w:pPr>
                    <w:pStyle w:val="TableHead"/>
                    <w:spacing w:after="30"/>
                  </w:pPr>
                  <w:r w:rsidRPr="005D4222">
                    <w:t>A</w:t>
                  </w:r>
                </w:p>
              </w:tc>
            </w:tr>
            <w:tr w:rsidR="00A24265" w:rsidRPr="005D4222" w14:paraId="0E221D01" w14:textId="77777777">
              <w:tc>
                <w:tcPr>
                  <w:tcW w:w="1346" w:type="dxa"/>
                  <w:tcBorders>
                    <w:top w:val="single" w:sz="4" w:space="0" w:color="auto"/>
                    <w:left w:val="single" w:sz="4" w:space="0" w:color="auto"/>
                    <w:bottom w:val="single" w:sz="4" w:space="0" w:color="auto"/>
                    <w:right w:val="single" w:sz="4" w:space="0" w:color="auto"/>
                  </w:tcBorders>
                  <w:tcMar>
                    <w:left w:w="72" w:type="dxa"/>
                    <w:right w:w="72" w:type="dxa"/>
                  </w:tcMar>
                </w:tcPr>
                <w:p w14:paraId="100191B9" w14:textId="77777777" w:rsidR="00A24265" w:rsidRPr="005D4222" w:rsidRDefault="00A24265" w:rsidP="003F53FD">
                  <w:pPr>
                    <w:pStyle w:val="TableText"/>
                    <w:spacing w:after="30"/>
                  </w:pPr>
                  <w:r w:rsidRPr="005D4222">
                    <w:t>ControlHighBP</w:t>
                  </w:r>
                </w:p>
              </w:tc>
              <w:tc>
                <w:tcPr>
                  <w:tcW w:w="2790" w:type="dxa"/>
                  <w:tcBorders>
                    <w:top w:val="single" w:sz="4" w:space="0" w:color="auto"/>
                    <w:left w:val="single" w:sz="4" w:space="0" w:color="auto"/>
                    <w:bottom w:val="single" w:sz="4" w:space="0" w:color="auto"/>
                    <w:right w:val="single" w:sz="4" w:space="0" w:color="auto"/>
                  </w:tcBorders>
                  <w:tcMar>
                    <w:left w:w="72" w:type="dxa"/>
                    <w:right w:w="72" w:type="dxa"/>
                  </w:tcMar>
                </w:tcPr>
                <w:p w14:paraId="2740144A" w14:textId="77777777" w:rsidR="00A24265" w:rsidRPr="005D4222" w:rsidRDefault="00A24265" w:rsidP="003F53FD">
                  <w:pPr>
                    <w:pStyle w:val="TableText"/>
                    <w:spacing w:after="30"/>
                  </w:pPr>
                  <w:r w:rsidRPr="005D4222">
                    <w:t>AmericanIndianOrAlaskaNative</w:t>
                  </w:r>
                </w:p>
              </w:tc>
              <w:tc>
                <w:tcPr>
                  <w:tcW w:w="1530" w:type="dxa"/>
                  <w:tcBorders>
                    <w:top w:val="single" w:sz="4" w:space="0" w:color="auto"/>
                    <w:left w:val="single" w:sz="4" w:space="0" w:color="auto"/>
                    <w:bottom w:val="single" w:sz="4" w:space="0" w:color="auto"/>
                    <w:right w:val="single" w:sz="4" w:space="0" w:color="auto"/>
                  </w:tcBorders>
                  <w:tcMar>
                    <w:left w:w="72" w:type="dxa"/>
                    <w:right w:w="72" w:type="dxa"/>
                  </w:tcMar>
                </w:tcPr>
                <w:p w14:paraId="6057298E" w14:textId="77777777" w:rsidR="00A24265" w:rsidRPr="005D4222" w:rsidRDefault="00A24265" w:rsidP="003F53FD">
                  <w:pPr>
                    <w:pStyle w:val="TableText"/>
                    <w:spacing w:after="30"/>
                  </w:pPr>
                  <w:r w:rsidRPr="005D4222">
                    <w:t>CollectionMethod</w:t>
                  </w:r>
                </w:p>
              </w:tc>
              <w:tc>
                <w:tcPr>
                  <w:tcW w:w="1170" w:type="dxa"/>
                  <w:tcBorders>
                    <w:top w:val="single" w:sz="4" w:space="0" w:color="auto"/>
                    <w:left w:val="single" w:sz="4" w:space="0" w:color="auto"/>
                    <w:bottom w:val="single" w:sz="6" w:space="0" w:color="auto"/>
                    <w:right w:val="single" w:sz="4" w:space="0" w:color="auto"/>
                  </w:tcBorders>
                  <w:tcMar>
                    <w:left w:w="72" w:type="dxa"/>
                    <w:right w:w="72" w:type="dxa"/>
                  </w:tcMar>
                </w:tcPr>
                <w:p w14:paraId="0AE22227" w14:textId="77777777" w:rsidR="00A24265" w:rsidRPr="005D4222" w:rsidRDefault="00A24265" w:rsidP="003F53FD">
                  <w:pPr>
                    <w:pStyle w:val="TableText"/>
                    <w:spacing w:after="30"/>
                    <w:rPr>
                      <w:rFonts w:eastAsia="Wingdings"/>
                    </w:rPr>
                  </w:pPr>
                  <w:r w:rsidRPr="005D4222">
                    <w:rPr>
                      <w:rFonts w:eastAsia="Wingdings"/>
                    </w:rPr>
                    <w:t>Repeat per Stratification</w:t>
                  </w:r>
                </w:p>
              </w:tc>
              <w:tc>
                <w:tcPr>
                  <w:tcW w:w="502" w:type="dxa"/>
                  <w:tcBorders>
                    <w:top w:val="single" w:sz="4" w:space="0" w:color="auto"/>
                    <w:left w:val="single" w:sz="4" w:space="0" w:color="auto"/>
                    <w:bottom w:val="single" w:sz="6" w:space="0" w:color="auto"/>
                    <w:right w:val="single" w:sz="4" w:space="0" w:color="auto"/>
                  </w:tcBorders>
                  <w:tcMar>
                    <w:left w:w="72" w:type="dxa"/>
                    <w:right w:w="72" w:type="dxa"/>
                  </w:tcMar>
                  <w:vAlign w:val="center"/>
                </w:tcPr>
                <w:p w14:paraId="2044E56C" w14:textId="1AE48B89" w:rsidR="00A24265" w:rsidRPr="005D4222" w:rsidRDefault="00233911" w:rsidP="00233911">
                  <w:pPr>
                    <w:pStyle w:val="TableText"/>
                    <w:spacing w:after="30"/>
                    <w:jc w:val="center"/>
                    <w:rPr>
                      <w:rFonts w:eastAsia="Wingdings" w:cs="Wingdings"/>
                    </w:rPr>
                  </w:pPr>
                  <w:r w:rsidRPr="005D4222">
                    <w:rPr>
                      <w:rFonts w:ascii="Wingdings" w:eastAsia="Wingdings" w:hAnsi="Wingdings" w:cs="Wingdings"/>
                    </w:rPr>
                    <w:t></w:t>
                  </w:r>
                </w:p>
              </w:tc>
            </w:tr>
            <w:tr w:rsidR="00A24265" w:rsidRPr="005D4222" w14:paraId="20C5E853" w14:textId="77777777">
              <w:tc>
                <w:tcPr>
                  <w:tcW w:w="1346" w:type="dxa"/>
                  <w:tcBorders>
                    <w:top w:val="single" w:sz="4" w:space="0" w:color="auto"/>
                    <w:left w:val="nil"/>
                    <w:bottom w:val="nil"/>
                    <w:right w:val="single" w:sz="4" w:space="0" w:color="auto"/>
                  </w:tcBorders>
                  <w:shd w:val="clear" w:color="auto" w:fill="FFFFFF" w:themeFill="background1"/>
                  <w:tcMar>
                    <w:left w:w="72" w:type="dxa"/>
                    <w:right w:w="72" w:type="dxa"/>
                  </w:tcMar>
                </w:tcPr>
                <w:p w14:paraId="4DBF6EC1" w14:textId="77777777" w:rsidR="00A24265" w:rsidRPr="005D4222" w:rsidRDefault="00A24265" w:rsidP="003F53FD">
                  <w:pPr>
                    <w:pStyle w:val="TableText"/>
                    <w:spacing w:after="30"/>
                  </w:pPr>
                </w:p>
              </w:tc>
              <w:tc>
                <w:tcPr>
                  <w:tcW w:w="279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4408AF37" w14:textId="77777777" w:rsidR="00A24265" w:rsidRPr="005D4222" w:rsidRDefault="00A24265" w:rsidP="003F53FD">
                  <w:pPr>
                    <w:pStyle w:val="TableText"/>
                    <w:spacing w:after="30"/>
                  </w:pPr>
                  <w:r w:rsidRPr="005D4222">
                    <w:t>Asian</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1C36A74D" w14:textId="77777777" w:rsidR="00A24265" w:rsidRPr="005D4222" w:rsidRDefault="00A24265" w:rsidP="003F53FD">
                  <w:pPr>
                    <w:pStyle w:val="TableText"/>
                    <w:spacing w:after="30"/>
                  </w:pPr>
                  <w:r w:rsidRPr="005D4222">
                    <w:t>Denominator</w:t>
                  </w:r>
                </w:p>
              </w:tc>
              <w:tc>
                <w:tcPr>
                  <w:tcW w:w="1170" w:type="dxa"/>
                  <w:tcBorders>
                    <w:left w:val="single" w:sz="4" w:space="0" w:color="auto"/>
                    <w:bottom w:val="single" w:sz="4" w:space="0" w:color="auto"/>
                    <w:right w:val="single" w:sz="4" w:space="0" w:color="auto"/>
                  </w:tcBorders>
                  <w:shd w:val="clear" w:color="auto" w:fill="FFFFFF" w:themeFill="background1"/>
                  <w:tcMar>
                    <w:left w:w="72" w:type="dxa"/>
                    <w:right w:w="72" w:type="dxa"/>
                  </w:tcMar>
                </w:tcPr>
                <w:p w14:paraId="77BCF209" w14:textId="77777777" w:rsidR="00A24265" w:rsidRPr="005D4222" w:rsidRDefault="00A24265" w:rsidP="003F53FD">
                  <w:pPr>
                    <w:pStyle w:val="TableText"/>
                    <w:spacing w:after="30"/>
                    <w:rPr>
                      <w:rFonts w:eastAsia="Wingdings"/>
                    </w:rPr>
                  </w:pPr>
                  <w:r w:rsidRPr="005D4222">
                    <w:rPr>
                      <w:rFonts w:eastAsia="Wingdings"/>
                    </w:rPr>
                    <w:t>For each Stratification</w:t>
                  </w:r>
                </w:p>
              </w:tc>
              <w:tc>
                <w:tcPr>
                  <w:tcW w:w="502" w:type="dxa"/>
                  <w:tcBorders>
                    <w:left w:val="single" w:sz="4" w:space="0" w:color="auto"/>
                    <w:bottom w:val="single" w:sz="4" w:space="0" w:color="auto"/>
                    <w:right w:val="single" w:sz="4" w:space="0" w:color="auto"/>
                  </w:tcBorders>
                  <w:shd w:val="clear" w:color="auto" w:fill="FFFFFF" w:themeFill="background1"/>
                  <w:tcMar>
                    <w:left w:w="72" w:type="dxa"/>
                    <w:right w:w="72" w:type="dxa"/>
                  </w:tcMar>
                  <w:vAlign w:val="center"/>
                </w:tcPr>
                <w:p w14:paraId="269E44E6" w14:textId="7128FDFF" w:rsidR="00A24265" w:rsidRPr="005D4222" w:rsidRDefault="00233911" w:rsidP="00233911">
                  <w:pPr>
                    <w:pStyle w:val="TableText"/>
                    <w:spacing w:after="30"/>
                    <w:jc w:val="center"/>
                    <w:rPr>
                      <w:rFonts w:eastAsia="Wingdings" w:cs="Wingdings"/>
                    </w:rPr>
                  </w:pPr>
                  <w:r w:rsidRPr="005D4222">
                    <w:rPr>
                      <w:rFonts w:ascii="Wingdings" w:eastAsia="Wingdings" w:hAnsi="Wingdings" w:cs="Wingdings"/>
                    </w:rPr>
                    <w:t></w:t>
                  </w:r>
                </w:p>
              </w:tc>
            </w:tr>
            <w:tr w:rsidR="00A24265" w:rsidRPr="005D4222" w14:paraId="0191632F" w14:textId="77777777">
              <w:tc>
                <w:tcPr>
                  <w:tcW w:w="1346" w:type="dxa"/>
                  <w:tcBorders>
                    <w:top w:val="nil"/>
                    <w:left w:val="nil"/>
                    <w:bottom w:val="nil"/>
                    <w:right w:val="single" w:sz="4" w:space="0" w:color="auto"/>
                  </w:tcBorders>
                  <w:tcMar>
                    <w:left w:w="72" w:type="dxa"/>
                    <w:right w:w="72" w:type="dxa"/>
                  </w:tcMar>
                </w:tcPr>
                <w:p w14:paraId="636E778A" w14:textId="77777777" w:rsidR="00A24265" w:rsidRPr="005D4222" w:rsidRDefault="00A24265" w:rsidP="003F53FD">
                  <w:pPr>
                    <w:pStyle w:val="TableText"/>
                    <w:spacing w:after="30"/>
                  </w:pPr>
                </w:p>
              </w:tc>
              <w:tc>
                <w:tcPr>
                  <w:tcW w:w="2790" w:type="dxa"/>
                  <w:tcBorders>
                    <w:top w:val="single" w:sz="4" w:space="0" w:color="auto"/>
                    <w:left w:val="single" w:sz="4" w:space="0" w:color="auto"/>
                    <w:bottom w:val="single" w:sz="4" w:space="0" w:color="auto"/>
                    <w:right w:val="single" w:sz="4" w:space="0" w:color="auto"/>
                  </w:tcBorders>
                  <w:tcMar>
                    <w:left w:w="72" w:type="dxa"/>
                    <w:right w:w="72" w:type="dxa"/>
                  </w:tcMar>
                </w:tcPr>
                <w:p w14:paraId="1FECDC99" w14:textId="77777777" w:rsidR="00A24265" w:rsidRPr="005D4222" w:rsidRDefault="00A24265" w:rsidP="003F53FD">
                  <w:pPr>
                    <w:pStyle w:val="TableText"/>
                    <w:spacing w:after="30"/>
                  </w:pPr>
                  <w:r w:rsidRPr="005D4222">
                    <w:t>BlackOrAfricanAmerican</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5CD7AFE6" w14:textId="77777777" w:rsidR="00A24265" w:rsidRPr="005D4222" w:rsidRDefault="00A24265" w:rsidP="003F53FD">
                  <w:pPr>
                    <w:pStyle w:val="TableText"/>
                    <w:spacing w:after="30"/>
                  </w:pPr>
                  <w:r w:rsidRPr="005D4222">
                    <w:t>Numerator</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5983EDFC" w14:textId="77777777" w:rsidR="00A24265" w:rsidRPr="005D4222" w:rsidRDefault="00A24265" w:rsidP="003F53FD">
                  <w:pPr>
                    <w:pStyle w:val="TableText"/>
                    <w:spacing w:after="30"/>
                    <w:rPr>
                      <w:rFonts w:eastAsia="Wingdings"/>
                    </w:rPr>
                  </w:pPr>
                  <w:r w:rsidRPr="005D4222">
                    <w:rPr>
                      <w:rFonts w:eastAsia="Wingdings"/>
                    </w:rPr>
                    <w:t>For each Stratification</w:t>
                  </w:r>
                </w:p>
              </w:tc>
              <w:tc>
                <w:tcPr>
                  <w:tcW w:w="502"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vAlign w:val="center"/>
                </w:tcPr>
                <w:p w14:paraId="354DB7CF" w14:textId="74C93807" w:rsidR="00A24265" w:rsidRPr="005D4222" w:rsidRDefault="00233911" w:rsidP="00233911">
                  <w:pPr>
                    <w:pStyle w:val="TableText"/>
                    <w:spacing w:after="30"/>
                    <w:jc w:val="center"/>
                    <w:rPr>
                      <w:rFonts w:eastAsia="Wingdings" w:cs="Wingdings"/>
                    </w:rPr>
                  </w:pPr>
                  <w:r w:rsidRPr="005D4222">
                    <w:rPr>
                      <w:rFonts w:ascii="Wingdings" w:eastAsia="Wingdings" w:hAnsi="Wingdings" w:cs="Wingdings"/>
                    </w:rPr>
                    <w:t></w:t>
                  </w:r>
                </w:p>
              </w:tc>
            </w:tr>
            <w:tr w:rsidR="00A24265" w:rsidRPr="005D4222" w14:paraId="4BDE7517" w14:textId="77777777">
              <w:trPr>
                <w:trHeight w:val="458"/>
              </w:trPr>
              <w:tc>
                <w:tcPr>
                  <w:tcW w:w="1346" w:type="dxa"/>
                  <w:tcBorders>
                    <w:top w:val="nil"/>
                    <w:left w:val="nil"/>
                    <w:bottom w:val="nil"/>
                    <w:right w:val="single" w:sz="4" w:space="0" w:color="auto"/>
                  </w:tcBorders>
                  <w:tcMar>
                    <w:left w:w="72" w:type="dxa"/>
                    <w:right w:w="72" w:type="dxa"/>
                  </w:tcMar>
                </w:tcPr>
                <w:p w14:paraId="4196B387" w14:textId="77777777" w:rsidR="00A24265" w:rsidRPr="005D4222" w:rsidRDefault="00A24265" w:rsidP="003F53FD">
                  <w:pPr>
                    <w:pStyle w:val="TableText"/>
                    <w:spacing w:after="30"/>
                  </w:pPr>
                </w:p>
              </w:tc>
              <w:tc>
                <w:tcPr>
                  <w:tcW w:w="2790" w:type="dxa"/>
                  <w:tcBorders>
                    <w:top w:val="single" w:sz="4" w:space="0" w:color="auto"/>
                    <w:left w:val="single" w:sz="4" w:space="0" w:color="auto"/>
                    <w:bottom w:val="single" w:sz="4" w:space="0" w:color="auto"/>
                    <w:right w:val="single" w:sz="4" w:space="0" w:color="auto"/>
                  </w:tcBorders>
                  <w:tcMar>
                    <w:left w:w="72" w:type="dxa"/>
                    <w:right w:w="72" w:type="dxa"/>
                  </w:tcMar>
                </w:tcPr>
                <w:p w14:paraId="4D721763" w14:textId="77777777" w:rsidR="00A24265" w:rsidRPr="005D4222" w:rsidRDefault="00A24265" w:rsidP="003F53FD">
                  <w:pPr>
                    <w:pStyle w:val="TableText"/>
                    <w:spacing w:after="30"/>
                  </w:pPr>
                  <w:r w:rsidRPr="005D4222">
                    <w:t>MiddleEasternOrNorthAfrican</w:t>
                  </w: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2CF81200" w14:textId="77777777" w:rsidR="00A24265" w:rsidRPr="005D4222" w:rsidRDefault="00A24265" w:rsidP="003F53FD">
                  <w:pPr>
                    <w:pStyle w:val="TableText"/>
                    <w:spacing w:after="30"/>
                  </w:pPr>
                  <w:r w:rsidRPr="005D4222">
                    <w:t>Rate</w:t>
                  </w: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43D74618" w14:textId="77777777" w:rsidR="00A24265" w:rsidRPr="005D4222" w:rsidRDefault="00A24265" w:rsidP="003F53FD">
                  <w:pPr>
                    <w:pStyle w:val="TableText"/>
                    <w:spacing w:after="30"/>
                    <w:rPr>
                      <w:rFonts w:eastAsia="Wingdings"/>
                    </w:rPr>
                  </w:pPr>
                  <w:r w:rsidRPr="005D4222">
                    <w:rPr>
                      <w:rFonts w:eastAsia="Wingdings"/>
                    </w:rPr>
                    <w:t>(Percent)</w:t>
                  </w:r>
                </w:p>
              </w:tc>
              <w:tc>
                <w:tcPr>
                  <w:tcW w:w="5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vAlign w:val="center"/>
                </w:tcPr>
                <w:p w14:paraId="34A8D41F" w14:textId="098C9150" w:rsidR="00A24265" w:rsidRPr="005D4222" w:rsidRDefault="00233911" w:rsidP="00233911">
                  <w:pPr>
                    <w:pStyle w:val="TableText"/>
                    <w:spacing w:after="30"/>
                    <w:jc w:val="center"/>
                    <w:rPr>
                      <w:rFonts w:eastAsia="Wingdings" w:cs="Wingdings"/>
                    </w:rPr>
                  </w:pPr>
                  <w:r w:rsidRPr="005D4222">
                    <w:rPr>
                      <w:rFonts w:ascii="Wingdings" w:eastAsia="Wingdings" w:hAnsi="Wingdings" w:cs="Wingdings"/>
                    </w:rPr>
                    <w:t></w:t>
                  </w:r>
                </w:p>
              </w:tc>
            </w:tr>
            <w:tr w:rsidR="00A24265" w:rsidRPr="005D4222" w14:paraId="39B302CB" w14:textId="77777777">
              <w:tc>
                <w:tcPr>
                  <w:tcW w:w="1346" w:type="dxa"/>
                  <w:tcBorders>
                    <w:top w:val="nil"/>
                    <w:left w:val="nil"/>
                    <w:bottom w:val="nil"/>
                    <w:right w:val="single" w:sz="4" w:space="0" w:color="auto"/>
                  </w:tcBorders>
                  <w:tcMar>
                    <w:left w:w="72" w:type="dxa"/>
                    <w:right w:w="72" w:type="dxa"/>
                  </w:tcMar>
                </w:tcPr>
                <w:p w14:paraId="303EC64D" w14:textId="77777777" w:rsidR="00A24265" w:rsidRPr="005D4222" w:rsidRDefault="00A24265" w:rsidP="003F53FD">
                  <w:pPr>
                    <w:pStyle w:val="TableText"/>
                    <w:spacing w:after="30"/>
                  </w:pPr>
                </w:p>
              </w:tc>
              <w:tc>
                <w:tcPr>
                  <w:tcW w:w="2790" w:type="dxa"/>
                  <w:tcBorders>
                    <w:top w:val="single" w:sz="4" w:space="0" w:color="auto"/>
                    <w:left w:val="single" w:sz="4" w:space="0" w:color="auto"/>
                    <w:bottom w:val="single" w:sz="4" w:space="0" w:color="auto"/>
                    <w:right w:val="single" w:sz="4" w:space="0" w:color="auto"/>
                  </w:tcBorders>
                  <w:tcMar>
                    <w:left w:w="72" w:type="dxa"/>
                    <w:right w:w="72" w:type="dxa"/>
                  </w:tcMar>
                </w:tcPr>
                <w:p w14:paraId="734A54BB" w14:textId="77777777" w:rsidR="00A24265" w:rsidRPr="005D4222" w:rsidRDefault="00A24265" w:rsidP="003F53FD">
                  <w:pPr>
                    <w:pStyle w:val="TableText"/>
                    <w:spacing w:after="30"/>
                  </w:pPr>
                  <w:r w:rsidRPr="005D4222">
                    <w:t>NativeHawaiianOrPacificIslander</w:t>
                  </w:r>
                  <w:r w:rsidRPr="005D4222" w:rsidDel="001D7D24">
                    <w:t xml:space="preserve"> </w:t>
                  </w:r>
                </w:p>
              </w:tc>
              <w:tc>
                <w:tcPr>
                  <w:tcW w:w="1530" w:type="dxa"/>
                  <w:tcBorders>
                    <w:top w:val="single" w:sz="4" w:space="0" w:color="auto"/>
                    <w:left w:val="nil"/>
                    <w:bottom w:val="nil"/>
                    <w:right w:val="nil"/>
                  </w:tcBorders>
                  <w:tcMar>
                    <w:left w:w="72" w:type="dxa"/>
                    <w:right w:w="72" w:type="dxa"/>
                  </w:tcMar>
                </w:tcPr>
                <w:p w14:paraId="05A18532" w14:textId="77777777" w:rsidR="00A24265" w:rsidRPr="005D4222" w:rsidRDefault="00A24265" w:rsidP="003F53FD">
                  <w:pPr>
                    <w:pStyle w:val="TableText"/>
                    <w:spacing w:after="30"/>
                  </w:pPr>
                </w:p>
              </w:tc>
              <w:tc>
                <w:tcPr>
                  <w:tcW w:w="1170" w:type="dxa"/>
                  <w:tcBorders>
                    <w:top w:val="single" w:sz="4" w:space="0" w:color="auto"/>
                    <w:left w:val="nil"/>
                    <w:bottom w:val="nil"/>
                    <w:right w:val="nil"/>
                  </w:tcBorders>
                  <w:tcMar>
                    <w:left w:w="72" w:type="dxa"/>
                    <w:right w:w="72" w:type="dxa"/>
                  </w:tcMar>
                </w:tcPr>
                <w:p w14:paraId="207F7B00" w14:textId="77777777" w:rsidR="00A24265" w:rsidRPr="005D4222" w:rsidRDefault="00A24265" w:rsidP="003F53FD">
                  <w:pPr>
                    <w:pStyle w:val="TableText"/>
                    <w:spacing w:after="30"/>
                    <w:rPr>
                      <w:rFonts w:eastAsia="Wingdings"/>
                    </w:rPr>
                  </w:pPr>
                </w:p>
              </w:tc>
              <w:tc>
                <w:tcPr>
                  <w:tcW w:w="502" w:type="dxa"/>
                  <w:tcBorders>
                    <w:top w:val="single" w:sz="4" w:space="0" w:color="auto"/>
                    <w:left w:val="nil"/>
                    <w:bottom w:val="nil"/>
                    <w:right w:val="nil"/>
                  </w:tcBorders>
                  <w:tcMar>
                    <w:left w:w="72" w:type="dxa"/>
                    <w:right w:w="72" w:type="dxa"/>
                  </w:tcMar>
                  <w:vAlign w:val="center"/>
                </w:tcPr>
                <w:p w14:paraId="559E6C71" w14:textId="77777777" w:rsidR="00A24265" w:rsidRPr="005D4222" w:rsidRDefault="00A24265" w:rsidP="003F53FD">
                  <w:pPr>
                    <w:pStyle w:val="TableText"/>
                    <w:spacing w:after="30"/>
                    <w:jc w:val="center"/>
                    <w:rPr>
                      <w:rFonts w:eastAsia="Wingdings" w:cs="Wingdings"/>
                    </w:rPr>
                  </w:pPr>
                </w:p>
              </w:tc>
            </w:tr>
            <w:tr w:rsidR="00A24265" w:rsidRPr="005D4222" w14:paraId="0676BE57" w14:textId="77777777">
              <w:tc>
                <w:tcPr>
                  <w:tcW w:w="1346" w:type="dxa"/>
                  <w:tcBorders>
                    <w:top w:val="nil"/>
                    <w:left w:val="nil"/>
                    <w:bottom w:val="nil"/>
                    <w:right w:val="single" w:sz="4" w:space="0" w:color="auto"/>
                  </w:tcBorders>
                  <w:tcMar>
                    <w:left w:w="72" w:type="dxa"/>
                    <w:right w:w="72" w:type="dxa"/>
                  </w:tcMar>
                </w:tcPr>
                <w:p w14:paraId="237EF420" w14:textId="77777777" w:rsidR="00A24265" w:rsidRPr="005D4222" w:rsidRDefault="00A24265" w:rsidP="003F53FD">
                  <w:pPr>
                    <w:pStyle w:val="TableText"/>
                    <w:spacing w:after="30"/>
                  </w:pPr>
                </w:p>
              </w:tc>
              <w:tc>
                <w:tcPr>
                  <w:tcW w:w="2790" w:type="dxa"/>
                  <w:tcBorders>
                    <w:top w:val="single" w:sz="4" w:space="0" w:color="auto"/>
                    <w:left w:val="single" w:sz="4" w:space="0" w:color="auto"/>
                    <w:bottom w:val="single" w:sz="4" w:space="0" w:color="auto"/>
                    <w:right w:val="single" w:sz="4" w:space="0" w:color="auto"/>
                  </w:tcBorders>
                  <w:tcMar>
                    <w:left w:w="72" w:type="dxa"/>
                    <w:right w:w="72" w:type="dxa"/>
                  </w:tcMar>
                </w:tcPr>
                <w:p w14:paraId="586822F3" w14:textId="77777777" w:rsidR="00A24265" w:rsidRPr="005D4222" w:rsidRDefault="00A24265" w:rsidP="003F53FD">
                  <w:pPr>
                    <w:pStyle w:val="TableText"/>
                    <w:spacing w:after="30"/>
                  </w:pPr>
                  <w:r w:rsidRPr="005D4222">
                    <w:t>White</w:t>
                  </w:r>
                </w:p>
              </w:tc>
              <w:tc>
                <w:tcPr>
                  <w:tcW w:w="1530" w:type="dxa"/>
                  <w:tcBorders>
                    <w:top w:val="nil"/>
                    <w:left w:val="nil"/>
                    <w:bottom w:val="nil"/>
                    <w:right w:val="nil"/>
                  </w:tcBorders>
                  <w:tcMar>
                    <w:left w:w="72" w:type="dxa"/>
                    <w:right w:w="72" w:type="dxa"/>
                  </w:tcMar>
                </w:tcPr>
                <w:p w14:paraId="2E11AE61" w14:textId="77777777" w:rsidR="00A24265" w:rsidRPr="005D4222" w:rsidRDefault="00A24265" w:rsidP="003F53FD">
                  <w:pPr>
                    <w:pStyle w:val="TableText"/>
                    <w:spacing w:after="30"/>
                  </w:pPr>
                </w:p>
              </w:tc>
              <w:tc>
                <w:tcPr>
                  <w:tcW w:w="1170" w:type="dxa"/>
                  <w:tcBorders>
                    <w:top w:val="nil"/>
                    <w:left w:val="nil"/>
                    <w:bottom w:val="nil"/>
                    <w:right w:val="nil"/>
                  </w:tcBorders>
                  <w:tcMar>
                    <w:left w:w="72" w:type="dxa"/>
                    <w:right w:w="72" w:type="dxa"/>
                  </w:tcMar>
                </w:tcPr>
                <w:p w14:paraId="775B7A81" w14:textId="77777777" w:rsidR="00A24265" w:rsidRPr="005D4222" w:rsidRDefault="00A24265" w:rsidP="003F53FD">
                  <w:pPr>
                    <w:pStyle w:val="TableText"/>
                    <w:spacing w:after="30"/>
                    <w:rPr>
                      <w:rFonts w:eastAsia="Wingdings"/>
                    </w:rPr>
                  </w:pPr>
                </w:p>
              </w:tc>
              <w:tc>
                <w:tcPr>
                  <w:tcW w:w="502" w:type="dxa"/>
                  <w:tcBorders>
                    <w:top w:val="nil"/>
                    <w:left w:val="nil"/>
                    <w:bottom w:val="nil"/>
                    <w:right w:val="nil"/>
                  </w:tcBorders>
                  <w:tcMar>
                    <w:left w:w="72" w:type="dxa"/>
                    <w:right w:w="72" w:type="dxa"/>
                  </w:tcMar>
                  <w:vAlign w:val="center"/>
                </w:tcPr>
                <w:p w14:paraId="0B779AB5" w14:textId="77777777" w:rsidR="00A24265" w:rsidRPr="005D4222" w:rsidRDefault="00A24265" w:rsidP="003F53FD">
                  <w:pPr>
                    <w:pStyle w:val="TableText"/>
                    <w:spacing w:after="30"/>
                    <w:jc w:val="center"/>
                    <w:rPr>
                      <w:rFonts w:eastAsia="Wingdings" w:cs="Wingdings"/>
                    </w:rPr>
                  </w:pPr>
                </w:p>
              </w:tc>
            </w:tr>
            <w:tr w:rsidR="00A24265" w:rsidRPr="005D4222" w14:paraId="0DDE2CCD" w14:textId="77777777">
              <w:tc>
                <w:tcPr>
                  <w:tcW w:w="1346" w:type="dxa"/>
                  <w:tcBorders>
                    <w:top w:val="nil"/>
                    <w:left w:val="nil"/>
                    <w:bottom w:val="nil"/>
                    <w:right w:val="single" w:sz="4" w:space="0" w:color="auto"/>
                  </w:tcBorders>
                  <w:tcMar>
                    <w:left w:w="72" w:type="dxa"/>
                    <w:right w:w="72" w:type="dxa"/>
                  </w:tcMar>
                </w:tcPr>
                <w:p w14:paraId="1470C602" w14:textId="77777777" w:rsidR="00A24265" w:rsidRPr="005D4222" w:rsidRDefault="00A24265" w:rsidP="003F53FD">
                  <w:pPr>
                    <w:pStyle w:val="TableText"/>
                    <w:spacing w:after="30"/>
                  </w:pPr>
                </w:p>
              </w:tc>
              <w:tc>
                <w:tcPr>
                  <w:tcW w:w="2790" w:type="dxa"/>
                  <w:tcBorders>
                    <w:top w:val="single" w:sz="4" w:space="0" w:color="auto"/>
                    <w:left w:val="single" w:sz="4" w:space="0" w:color="auto"/>
                    <w:bottom w:val="single" w:sz="4" w:space="0" w:color="auto"/>
                    <w:right w:val="single" w:sz="4" w:space="0" w:color="auto"/>
                  </w:tcBorders>
                  <w:tcMar>
                    <w:left w:w="72" w:type="dxa"/>
                    <w:right w:w="72" w:type="dxa"/>
                  </w:tcMar>
                </w:tcPr>
                <w:p w14:paraId="4568E942" w14:textId="77777777" w:rsidR="00A24265" w:rsidRPr="005D4222" w:rsidRDefault="00A24265" w:rsidP="003F53FD">
                  <w:pPr>
                    <w:pStyle w:val="TableText"/>
                    <w:spacing w:after="30"/>
                  </w:pPr>
                  <w:r w:rsidRPr="005D4222">
                    <w:t>SomeOtherRace</w:t>
                  </w:r>
                </w:p>
              </w:tc>
              <w:tc>
                <w:tcPr>
                  <w:tcW w:w="1530" w:type="dxa"/>
                  <w:tcBorders>
                    <w:top w:val="nil"/>
                    <w:left w:val="nil"/>
                    <w:bottom w:val="nil"/>
                    <w:right w:val="nil"/>
                  </w:tcBorders>
                  <w:tcMar>
                    <w:left w:w="72" w:type="dxa"/>
                    <w:right w:w="72" w:type="dxa"/>
                  </w:tcMar>
                </w:tcPr>
                <w:p w14:paraId="64C95B19" w14:textId="77777777" w:rsidR="00A24265" w:rsidRPr="005D4222" w:rsidRDefault="00A24265" w:rsidP="003F53FD">
                  <w:pPr>
                    <w:pStyle w:val="TableText"/>
                    <w:spacing w:after="30"/>
                  </w:pPr>
                </w:p>
              </w:tc>
              <w:tc>
                <w:tcPr>
                  <w:tcW w:w="1170" w:type="dxa"/>
                  <w:tcBorders>
                    <w:top w:val="nil"/>
                    <w:left w:val="nil"/>
                    <w:bottom w:val="nil"/>
                    <w:right w:val="nil"/>
                  </w:tcBorders>
                  <w:tcMar>
                    <w:left w:w="72" w:type="dxa"/>
                    <w:right w:w="72" w:type="dxa"/>
                  </w:tcMar>
                </w:tcPr>
                <w:p w14:paraId="1BB8AAEC" w14:textId="77777777" w:rsidR="00A24265" w:rsidRPr="005D4222" w:rsidRDefault="00A24265" w:rsidP="003F53FD">
                  <w:pPr>
                    <w:pStyle w:val="TableText"/>
                    <w:spacing w:after="30"/>
                    <w:rPr>
                      <w:rFonts w:eastAsia="Wingdings"/>
                    </w:rPr>
                  </w:pPr>
                </w:p>
              </w:tc>
              <w:tc>
                <w:tcPr>
                  <w:tcW w:w="502" w:type="dxa"/>
                  <w:tcBorders>
                    <w:top w:val="nil"/>
                    <w:left w:val="nil"/>
                    <w:bottom w:val="nil"/>
                    <w:right w:val="nil"/>
                  </w:tcBorders>
                  <w:tcMar>
                    <w:left w:w="72" w:type="dxa"/>
                    <w:right w:w="72" w:type="dxa"/>
                  </w:tcMar>
                  <w:vAlign w:val="center"/>
                </w:tcPr>
                <w:p w14:paraId="1681D53C" w14:textId="77777777" w:rsidR="00A24265" w:rsidRPr="005D4222" w:rsidRDefault="00A24265" w:rsidP="003F53FD">
                  <w:pPr>
                    <w:pStyle w:val="TableText"/>
                    <w:spacing w:after="30"/>
                    <w:jc w:val="center"/>
                    <w:rPr>
                      <w:rFonts w:eastAsia="Wingdings" w:cs="Wingdings"/>
                    </w:rPr>
                  </w:pPr>
                </w:p>
              </w:tc>
            </w:tr>
            <w:tr w:rsidR="00A24265" w:rsidRPr="005D4222" w14:paraId="6E6B734C" w14:textId="77777777">
              <w:tc>
                <w:tcPr>
                  <w:tcW w:w="1346" w:type="dxa"/>
                  <w:tcBorders>
                    <w:top w:val="nil"/>
                    <w:left w:val="nil"/>
                    <w:bottom w:val="nil"/>
                    <w:right w:val="single" w:sz="4" w:space="0" w:color="auto"/>
                  </w:tcBorders>
                  <w:tcMar>
                    <w:left w:w="72" w:type="dxa"/>
                    <w:right w:w="72" w:type="dxa"/>
                  </w:tcMar>
                </w:tcPr>
                <w:p w14:paraId="1F696B53" w14:textId="77777777" w:rsidR="00A24265" w:rsidRPr="005D4222" w:rsidRDefault="00A24265" w:rsidP="003F53FD">
                  <w:pPr>
                    <w:pStyle w:val="TableText"/>
                    <w:spacing w:after="30"/>
                  </w:pPr>
                </w:p>
              </w:tc>
              <w:tc>
                <w:tcPr>
                  <w:tcW w:w="2790" w:type="dxa"/>
                  <w:tcBorders>
                    <w:top w:val="single" w:sz="4" w:space="0" w:color="auto"/>
                    <w:left w:val="single" w:sz="4" w:space="0" w:color="auto"/>
                    <w:bottom w:val="single" w:sz="4" w:space="0" w:color="auto"/>
                    <w:right w:val="single" w:sz="4" w:space="0" w:color="auto"/>
                  </w:tcBorders>
                  <w:tcMar>
                    <w:left w:w="72" w:type="dxa"/>
                    <w:right w:w="72" w:type="dxa"/>
                  </w:tcMar>
                </w:tcPr>
                <w:p w14:paraId="2A470122" w14:textId="77777777" w:rsidR="00A24265" w:rsidRPr="005D4222" w:rsidRDefault="00A24265" w:rsidP="003F53FD">
                  <w:pPr>
                    <w:pStyle w:val="TableText"/>
                    <w:spacing w:after="30"/>
                  </w:pPr>
                  <w:r w:rsidRPr="005D4222">
                    <w:t>TwoOrMoreRaces</w:t>
                  </w:r>
                </w:p>
              </w:tc>
              <w:tc>
                <w:tcPr>
                  <w:tcW w:w="1530" w:type="dxa"/>
                  <w:tcBorders>
                    <w:top w:val="nil"/>
                    <w:left w:val="nil"/>
                    <w:bottom w:val="nil"/>
                    <w:right w:val="nil"/>
                  </w:tcBorders>
                  <w:tcMar>
                    <w:left w:w="72" w:type="dxa"/>
                    <w:right w:w="72" w:type="dxa"/>
                  </w:tcMar>
                </w:tcPr>
                <w:p w14:paraId="01032EC0" w14:textId="77777777" w:rsidR="00A24265" w:rsidRPr="005D4222" w:rsidRDefault="00A24265" w:rsidP="003F53FD">
                  <w:pPr>
                    <w:pStyle w:val="TableText"/>
                    <w:spacing w:after="30"/>
                  </w:pPr>
                </w:p>
              </w:tc>
              <w:tc>
                <w:tcPr>
                  <w:tcW w:w="1170" w:type="dxa"/>
                  <w:tcBorders>
                    <w:top w:val="nil"/>
                    <w:left w:val="nil"/>
                    <w:bottom w:val="nil"/>
                    <w:right w:val="nil"/>
                  </w:tcBorders>
                  <w:tcMar>
                    <w:left w:w="72" w:type="dxa"/>
                    <w:right w:w="72" w:type="dxa"/>
                  </w:tcMar>
                </w:tcPr>
                <w:p w14:paraId="72253478" w14:textId="77777777" w:rsidR="00A24265" w:rsidRPr="005D4222" w:rsidRDefault="00A24265" w:rsidP="003F53FD">
                  <w:pPr>
                    <w:pStyle w:val="TableText"/>
                    <w:spacing w:after="30"/>
                    <w:rPr>
                      <w:rFonts w:eastAsia="Wingdings"/>
                    </w:rPr>
                  </w:pPr>
                </w:p>
              </w:tc>
              <w:tc>
                <w:tcPr>
                  <w:tcW w:w="502" w:type="dxa"/>
                  <w:tcBorders>
                    <w:top w:val="nil"/>
                    <w:left w:val="nil"/>
                    <w:bottom w:val="nil"/>
                    <w:right w:val="nil"/>
                  </w:tcBorders>
                  <w:tcMar>
                    <w:left w:w="72" w:type="dxa"/>
                    <w:right w:w="72" w:type="dxa"/>
                  </w:tcMar>
                  <w:vAlign w:val="center"/>
                </w:tcPr>
                <w:p w14:paraId="185ACCB1" w14:textId="77777777" w:rsidR="00A24265" w:rsidRPr="005D4222" w:rsidRDefault="00A24265" w:rsidP="003F53FD">
                  <w:pPr>
                    <w:pStyle w:val="TableText"/>
                    <w:spacing w:after="30"/>
                    <w:jc w:val="center"/>
                    <w:rPr>
                      <w:rFonts w:eastAsia="Wingdings" w:cs="Wingdings"/>
                    </w:rPr>
                  </w:pPr>
                </w:p>
              </w:tc>
            </w:tr>
            <w:tr w:rsidR="00A24265" w:rsidRPr="005D4222" w14:paraId="3C55B57B" w14:textId="77777777">
              <w:tc>
                <w:tcPr>
                  <w:tcW w:w="1346" w:type="dxa"/>
                  <w:tcBorders>
                    <w:top w:val="nil"/>
                    <w:left w:val="nil"/>
                    <w:bottom w:val="nil"/>
                    <w:right w:val="single" w:sz="4" w:space="0" w:color="auto"/>
                  </w:tcBorders>
                  <w:tcMar>
                    <w:left w:w="72" w:type="dxa"/>
                    <w:right w:w="72" w:type="dxa"/>
                  </w:tcMar>
                </w:tcPr>
                <w:p w14:paraId="2B331203" w14:textId="77777777" w:rsidR="00A24265" w:rsidRPr="005D4222" w:rsidRDefault="00A24265" w:rsidP="003F53FD">
                  <w:pPr>
                    <w:pStyle w:val="TableText"/>
                    <w:spacing w:after="30"/>
                  </w:pPr>
                </w:p>
              </w:tc>
              <w:tc>
                <w:tcPr>
                  <w:tcW w:w="2790" w:type="dxa"/>
                  <w:tcBorders>
                    <w:top w:val="single" w:sz="4" w:space="0" w:color="auto"/>
                    <w:left w:val="single" w:sz="4" w:space="0" w:color="auto"/>
                    <w:bottom w:val="single" w:sz="4" w:space="0" w:color="auto"/>
                    <w:right w:val="single" w:sz="4" w:space="0" w:color="auto"/>
                  </w:tcBorders>
                  <w:tcMar>
                    <w:left w:w="72" w:type="dxa"/>
                    <w:right w:w="72" w:type="dxa"/>
                  </w:tcMar>
                </w:tcPr>
                <w:p w14:paraId="6146CA0A" w14:textId="77777777" w:rsidR="00A24265" w:rsidRPr="005D4222" w:rsidRDefault="00A24265" w:rsidP="003F53FD">
                  <w:pPr>
                    <w:pStyle w:val="TableText"/>
                    <w:spacing w:after="30"/>
                  </w:pPr>
                  <w:r w:rsidRPr="005D4222">
                    <w:t>AskedButNoAnswer</w:t>
                  </w:r>
                </w:p>
              </w:tc>
              <w:tc>
                <w:tcPr>
                  <w:tcW w:w="1530" w:type="dxa"/>
                  <w:tcBorders>
                    <w:top w:val="nil"/>
                    <w:left w:val="nil"/>
                    <w:bottom w:val="nil"/>
                    <w:right w:val="nil"/>
                  </w:tcBorders>
                  <w:tcMar>
                    <w:left w:w="72" w:type="dxa"/>
                    <w:right w:w="72" w:type="dxa"/>
                  </w:tcMar>
                </w:tcPr>
                <w:p w14:paraId="73C1D060" w14:textId="77777777" w:rsidR="00A24265" w:rsidRPr="005D4222" w:rsidRDefault="00A24265" w:rsidP="003F53FD">
                  <w:pPr>
                    <w:pStyle w:val="TableText"/>
                    <w:spacing w:after="30"/>
                  </w:pPr>
                </w:p>
              </w:tc>
              <w:tc>
                <w:tcPr>
                  <w:tcW w:w="1170" w:type="dxa"/>
                  <w:tcBorders>
                    <w:top w:val="nil"/>
                    <w:left w:val="nil"/>
                    <w:bottom w:val="nil"/>
                    <w:right w:val="nil"/>
                  </w:tcBorders>
                  <w:tcMar>
                    <w:left w:w="72" w:type="dxa"/>
                    <w:right w:w="72" w:type="dxa"/>
                  </w:tcMar>
                </w:tcPr>
                <w:p w14:paraId="6D63DE8B" w14:textId="77777777" w:rsidR="00A24265" w:rsidRPr="005D4222" w:rsidRDefault="00A24265" w:rsidP="003F53FD">
                  <w:pPr>
                    <w:pStyle w:val="TableText"/>
                    <w:spacing w:after="30"/>
                    <w:rPr>
                      <w:rFonts w:eastAsia="Wingdings"/>
                    </w:rPr>
                  </w:pPr>
                </w:p>
              </w:tc>
              <w:tc>
                <w:tcPr>
                  <w:tcW w:w="502" w:type="dxa"/>
                  <w:tcBorders>
                    <w:top w:val="nil"/>
                    <w:left w:val="nil"/>
                    <w:bottom w:val="nil"/>
                    <w:right w:val="nil"/>
                  </w:tcBorders>
                  <w:tcMar>
                    <w:left w:w="72" w:type="dxa"/>
                    <w:right w:w="72" w:type="dxa"/>
                  </w:tcMar>
                  <w:vAlign w:val="center"/>
                </w:tcPr>
                <w:p w14:paraId="2B5D7B73" w14:textId="77777777" w:rsidR="00A24265" w:rsidRPr="005D4222" w:rsidRDefault="00A24265" w:rsidP="003F53FD">
                  <w:pPr>
                    <w:pStyle w:val="TableText"/>
                    <w:spacing w:after="30"/>
                    <w:jc w:val="center"/>
                    <w:rPr>
                      <w:rFonts w:eastAsia="Wingdings" w:cs="Wingdings"/>
                    </w:rPr>
                  </w:pPr>
                </w:p>
              </w:tc>
            </w:tr>
            <w:tr w:rsidR="003F53FD" w:rsidRPr="005D4222" w14:paraId="7443F23F" w14:textId="77777777">
              <w:tc>
                <w:tcPr>
                  <w:tcW w:w="1346" w:type="dxa"/>
                  <w:tcBorders>
                    <w:top w:val="nil"/>
                    <w:left w:val="nil"/>
                    <w:bottom w:val="nil"/>
                    <w:right w:val="single" w:sz="4" w:space="0" w:color="auto"/>
                  </w:tcBorders>
                  <w:tcMar>
                    <w:left w:w="72" w:type="dxa"/>
                    <w:right w:w="72" w:type="dxa"/>
                  </w:tcMar>
                </w:tcPr>
                <w:p w14:paraId="6CBF1F05" w14:textId="77777777" w:rsidR="003F53FD" w:rsidRPr="005D4222" w:rsidRDefault="003F53FD" w:rsidP="003F53FD">
                  <w:pPr>
                    <w:pStyle w:val="TableText"/>
                    <w:spacing w:after="30"/>
                  </w:pPr>
                </w:p>
              </w:tc>
              <w:tc>
                <w:tcPr>
                  <w:tcW w:w="2790" w:type="dxa"/>
                  <w:tcBorders>
                    <w:top w:val="single" w:sz="4" w:space="0" w:color="auto"/>
                    <w:left w:val="single" w:sz="4" w:space="0" w:color="auto"/>
                    <w:bottom w:val="single" w:sz="4" w:space="0" w:color="auto"/>
                    <w:right w:val="single" w:sz="4" w:space="0" w:color="auto"/>
                  </w:tcBorders>
                  <w:tcMar>
                    <w:left w:w="72" w:type="dxa"/>
                    <w:right w:w="72" w:type="dxa"/>
                  </w:tcMar>
                </w:tcPr>
                <w:p w14:paraId="7B15E977" w14:textId="68ED16BE" w:rsidR="003F53FD" w:rsidRPr="005D4222" w:rsidRDefault="003F53FD" w:rsidP="003F53FD">
                  <w:pPr>
                    <w:pStyle w:val="TableText"/>
                    <w:spacing w:after="30"/>
                  </w:pPr>
                  <w:r w:rsidRPr="005D4222">
                    <w:t>Unknown</w:t>
                  </w:r>
                </w:p>
              </w:tc>
              <w:tc>
                <w:tcPr>
                  <w:tcW w:w="1530" w:type="dxa"/>
                  <w:tcBorders>
                    <w:top w:val="nil"/>
                    <w:left w:val="nil"/>
                    <w:bottom w:val="nil"/>
                    <w:right w:val="nil"/>
                  </w:tcBorders>
                  <w:tcMar>
                    <w:left w:w="72" w:type="dxa"/>
                    <w:right w:w="72" w:type="dxa"/>
                  </w:tcMar>
                </w:tcPr>
                <w:p w14:paraId="12AA74BE" w14:textId="77777777" w:rsidR="003F53FD" w:rsidRPr="005D4222" w:rsidRDefault="003F53FD" w:rsidP="003F53FD">
                  <w:pPr>
                    <w:pStyle w:val="TableText"/>
                    <w:spacing w:after="30"/>
                  </w:pPr>
                </w:p>
              </w:tc>
              <w:tc>
                <w:tcPr>
                  <w:tcW w:w="1170" w:type="dxa"/>
                  <w:tcBorders>
                    <w:top w:val="nil"/>
                    <w:left w:val="nil"/>
                    <w:bottom w:val="nil"/>
                    <w:right w:val="nil"/>
                  </w:tcBorders>
                  <w:tcMar>
                    <w:left w:w="72" w:type="dxa"/>
                    <w:right w:w="72" w:type="dxa"/>
                  </w:tcMar>
                </w:tcPr>
                <w:p w14:paraId="304D4FE7" w14:textId="77777777" w:rsidR="003F53FD" w:rsidRPr="005D4222" w:rsidRDefault="003F53FD" w:rsidP="003F53FD">
                  <w:pPr>
                    <w:pStyle w:val="TableText"/>
                    <w:spacing w:after="30"/>
                    <w:rPr>
                      <w:rFonts w:eastAsia="Wingdings"/>
                    </w:rPr>
                  </w:pPr>
                </w:p>
              </w:tc>
              <w:tc>
                <w:tcPr>
                  <w:tcW w:w="502" w:type="dxa"/>
                  <w:tcBorders>
                    <w:top w:val="nil"/>
                    <w:left w:val="nil"/>
                    <w:bottom w:val="nil"/>
                    <w:right w:val="nil"/>
                  </w:tcBorders>
                  <w:tcMar>
                    <w:left w:w="72" w:type="dxa"/>
                    <w:right w:w="72" w:type="dxa"/>
                  </w:tcMar>
                  <w:vAlign w:val="center"/>
                </w:tcPr>
                <w:p w14:paraId="20FF1135" w14:textId="77777777" w:rsidR="003F53FD" w:rsidRPr="005D4222" w:rsidRDefault="003F53FD" w:rsidP="003F53FD">
                  <w:pPr>
                    <w:pStyle w:val="TableText"/>
                    <w:spacing w:after="30"/>
                    <w:rPr>
                      <w:rFonts w:eastAsia="Wingdings" w:cs="Wingdings"/>
                    </w:rPr>
                  </w:pPr>
                </w:p>
              </w:tc>
            </w:tr>
          </w:tbl>
          <w:p w14:paraId="018168A2" w14:textId="77777777" w:rsidR="00A24265" w:rsidRPr="005D4222" w:rsidRDefault="00A24265" w:rsidP="003F53FD">
            <w:pPr>
              <w:spacing w:after="30" w:line="216" w:lineRule="auto"/>
              <w:ind w:left="86" w:hanging="86"/>
              <w:rPr>
                <w:rFonts w:ascii="Arial Narrow" w:hAnsi="Arial Narrow"/>
                <w:szCs w:val="19"/>
              </w:rPr>
            </w:pPr>
          </w:p>
        </w:tc>
      </w:tr>
      <w:tr w:rsidR="00A24265" w:rsidRPr="005D4222" w:rsidDel="00514CFB" w14:paraId="16A4ACFA" w14:textId="77777777" w:rsidTr="009502E1">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6BEAE67" w14:textId="77777777" w:rsidR="00A24265" w:rsidRPr="005D4222" w:rsidRDefault="00A24265" w:rsidP="00A24265">
            <w:pPr>
              <w:spacing w:before="120" w:after="80"/>
              <w:rPr>
                <w:b/>
                <w:sz w:val="22"/>
                <w:szCs w:val="21"/>
              </w:rPr>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C357991" w14:textId="208C6122" w:rsidR="00A24265" w:rsidRPr="005D4222" w:rsidRDefault="00A24265" w:rsidP="00233911">
            <w:pPr>
              <w:pStyle w:val="Heading3"/>
              <w:spacing w:before="120"/>
            </w:pPr>
            <w:r w:rsidRPr="005D4222">
              <w:t xml:space="preserve">Table CBP-C-1/2/3: Data Elements for Controlling High Blood Pressure: </w:t>
            </w:r>
            <w:r w:rsidR="00B51CDC" w:rsidRPr="005D4222">
              <w:t>Stratifications</w:t>
            </w:r>
            <w:r w:rsidRPr="005D4222">
              <w:t xml:space="preserve"> by Ethnicity</w:t>
            </w:r>
          </w:p>
          <w:tbl>
            <w:tblPr>
              <w:tblW w:w="73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23"/>
              <w:gridCol w:w="1883"/>
              <w:gridCol w:w="1620"/>
              <w:gridCol w:w="1584"/>
              <w:gridCol w:w="666"/>
            </w:tblGrid>
            <w:tr w:rsidR="00A24265" w:rsidRPr="005D4222" w14:paraId="0F930A1B" w14:textId="77777777">
              <w:tc>
                <w:tcPr>
                  <w:tcW w:w="1623" w:type="dxa"/>
                  <w:tcBorders>
                    <w:top w:val="single" w:sz="4" w:space="0" w:color="000000"/>
                    <w:left w:val="single" w:sz="4" w:space="0" w:color="000000"/>
                    <w:bottom w:val="single" w:sz="4" w:space="0" w:color="auto"/>
                    <w:right w:val="single" w:sz="4" w:space="0" w:color="FFFFFF"/>
                  </w:tcBorders>
                  <w:shd w:val="clear" w:color="auto" w:fill="000000"/>
                  <w:vAlign w:val="bottom"/>
                </w:tcPr>
                <w:p w14:paraId="4A85627A" w14:textId="77777777" w:rsidR="00A24265" w:rsidRPr="005D4222" w:rsidRDefault="00A24265" w:rsidP="00233911">
                  <w:pPr>
                    <w:pStyle w:val="TableHead"/>
                  </w:pPr>
                  <w:r w:rsidRPr="005D4222">
                    <w:t>Metric</w:t>
                  </w:r>
                </w:p>
              </w:tc>
              <w:tc>
                <w:tcPr>
                  <w:tcW w:w="1883" w:type="dxa"/>
                  <w:tcBorders>
                    <w:top w:val="single" w:sz="4" w:space="0" w:color="000000"/>
                    <w:left w:val="single" w:sz="4" w:space="0" w:color="FFFFFF"/>
                    <w:bottom w:val="single" w:sz="4" w:space="0" w:color="auto"/>
                    <w:right w:val="single" w:sz="4" w:space="0" w:color="FFFFFF"/>
                  </w:tcBorders>
                  <w:shd w:val="clear" w:color="auto" w:fill="000000"/>
                  <w:vAlign w:val="bottom"/>
                </w:tcPr>
                <w:p w14:paraId="7A1FC200" w14:textId="77777777" w:rsidR="00A24265" w:rsidRPr="005D4222" w:rsidRDefault="00A24265" w:rsidP="00233911">
                  <w:pPr>
                    <w:pStyle w:val="TableHead"/>
                  </w:pPr>
                  <w:r w:rsidRPr="005D4222">
                    <w:t>Ethnicity</w:t>
                  </w:r>
                </w:p>
              </w:tc>
              <w:tc>
                <w:tcPr>
                  <w:tcW w:w="1620" w:type="dxa"/>
                  <w:tcBorders>
                    <w:top w:val="single" w:sz="4" w:space="0" w:color="000000"/>
                    <w:left w:val="single" w:sz="4" w:space="0" w:color="FFFFFF"/>
                    <w:bottom w:val="single" w:sz="4" w:space="0" w:color="000000"/>
                    <w:right w:val="single" w:sz="4" w:space="0" w:color="FFFFFF"/>
                  </w:tcBorders>
                  <w:shd w:val="clear" w:color="auto" w:fill="000000"/>
                  <w:vAlign w:val="bottom"/>
                </w:tcPr>
                <w:p w14:paraId="2F62787B" w14:textId="77777777" w:rsidR="00A24265" w:rsidRPr="005D4222" w:rsidRDefault="00A24265" w:rsidP="00233911">
                  <w:pPr>
                    <w:pStyle w:val="TableHead"/>
                  </w:pPr>
                  <w:r w:rsidRPr="005D4222">
                    <w:t>Data Element</w:t>
                  </w:r>
                </w:p>
              </w:tc>
              <w:tc>
                <w:tcPr>
                  <w:tcW w:w="1584" w:type="dxa"/>
                  <w:tcBorders>
                    <w:top w:val="single" w:sz="4" w:space="0" w:color="000000"/>
                    <w:left w:val="single" w:sz="4" w:space="0" w:color="FFFFFF"/>
                    <w:bottom w:val="single" w:sz="4" w:space="0" w:color="000000"/>
                    <w:right w:val="single" w:sz="4" w:space="0" w:color="FFFFFF"/>
                  </w:tcBorders>
                  <w:shd w:val="clear" w:color="auto" w:fill="000000"/>
                  <w:vAlign w:val="bottom"/>
                </w:tcPr>
                <w:p w14:paraId="6FB4D189" w14:textId="77777777" w:rsidR="00A24265" w:rsidRPr="005D4222" w:rsidRDefault="00A24265" w:rsidP="00233911">
                  <w:pPr>
                    <w:pStyle w:val="TableHead"/>
                  </w:pPr>
                  <w:r w:rsidRPr="005D4222">
                    <w:t>Reporting Instructions</w:t>
                  </w:r>
                </w:p>
              </w:tc>
              <w:tc>
                <w:tcPr>
                  <w:tcW w:w="666" w:type="dxa"/>
                  <w:tcBorders>
                    <w:top w:val="single" w:sz="4" w:space="0" w:color="000000"/>
                    <w:left w:val="single" w:sz="4" w:space="0" w:color="FFFFFF"/>
                    <w:bottom w:val="single" w:sz="4" w:space="0" w:color="000000"/>
                    <w:right w:val="single" w:sz="4" w:space="0" w:color="000000"/>
                  </w:tcBorders>
                  <w:shd w:val="clear" w:color="auto" w:fill="000000"/>
                  <w:vAlign w:val="bottom"/>
                </w:tcPr>
                <w:p w14:paraId="06D76038" w14:textId="77777777" w:rsidR="00A24265" w:rsidRPr="005D4222" w:rsidRDefault="00A24265" w:rsidP="00233911">
                  <w:pPr>
                    <w:pStyle w:val="TableHead"/>
                  </w:pPr>
                  <w:r w:rsidRPr="005D4222">
                    <w:t>A</w:t>
                  </w:r>
                </w:p>
              </w:tc>
            </w:tr>
            <w:tr w:rsidR="00A24265" w:rsidRPr="005D4222" w14:paraId="02690172" w14:textId="77777777">
              <w:tc>
                <w:tcPr>
                  <w:tcW w:w="1623" w:type="dxa"/>
                  <w:tcBorders>
                    <w:top w:val="single" w:sz="4" w:space="0" w:color="auto"/>
                    <w:left w:val="single" w:sz="4" w:space="0" w:color="auto"/>
                    <w:bottom w:val="single" w:sz="4" w:space="0" w:color="auto"/>
                    <w:right w:val="single" w:sz="4" w:space="0" w:color="auto"/>
                  </w:tcBorders>
                </w:tcPr>
                <w:p w14:paraId="16F76569" w14:textId="77777777" w:rsidR="00A24265" w:rsidRPr="005D4222" w:rsidRDefault="00A24265" w:rsidP="00233911">
                  <w:pPr>
                    <w:pStyle w:val="TableText"/>
                  </w:pPr>
                  <w:r w:rsidRPr="005D4222">
                    <w:t>ControlHighBP</w:t>
                  </w:r>
                </w:p>
              </w:tc>
              <w:tc>
                <w:tcPr>
                  <w:tcW w:w="1883" w:type="dxa"/>
                  <w:tcBorders>
                    <w:top w:val="single" w:sz="4" w:space="0" w:color="auto"/>
                    <w:left w:val="single" w:sz="4" w:space="0" w:color="auto"/>
                    <w:bottom w:val="single" w:sz="4" w:space="0" w:color="auto"/>
                    <w:right w:val="single" w:sz="4" w:space="0" w:color="auto"/>
                  </w:tcBorders>
                </w:tcPr>
                <w:p w14:paraId="2BFA1814" w14:textId="77777777" w:rsidR="00A24265" w:rsidRPr="005D4222" w:rsidRDefault="00A24265" w:rsidP="00233911">
                  <w:pPr>
                    <w:pStyle w:val="TableText"/>
                  </w:pPr>
                  <w:r w:rsidRPr="005D4222">
                    <w:t>HispanicOrLatino</w:t>
                  </w:r>
                </w:p>
              </w:tc>
              <w:tc>
                <w:tcPr>
                  <w:tcW w:w="1620" w:type="dxa"/>
                  <w:tcBorders>
                    <w:top w:val="single" w:sz="4" w:space="0" w:color="000000"/>
                    <w:left w:val="single" w:sz="4" w:space="0" w:color="auto"/>
                    <w:bottom w:val="single" w:sz="4" w:space="0" w:color="auto"/>
                    <w:right w:val="single" w:sz="4" w:space="0" w:color="auto"/>
                  </w:tcBorders>
                </w:tcPr>
                <w:p w14:paraId="347A942E" w14:textId="77777777" w:rsidR="00A24265" w:rsidRPr="005D4222" w:rsidRDefault="00A24265" w:rsidP="00233911">
                  <w:pPr>
                    <w:pStyle w:val="TableText"/>
                  </w:pPr>
                  <w:r w:rsidRPr="005D4222">
                    <w:t>CollectionMethod</w:t>
                  </w:r>
                </w:p>
              </w:tc>
              <w:tc>
                <w:tcPr>
                  <w:tcW w:w="1584" w:type="dxa"/>
                  <w:tcBorders>
                    <w:top w:val="single" w:sz="4" w:space="0" w:color="000000"/>
                    <w:left w:val="single" w:sz="4" w:space="0" w:color="auto"/>
                    <w:bottom w:val="single" w:sz="6" w:space="0" w:color="auto"/>
                    <w:right w:val="single" w:sz="4" w:space="0" w:color="auto"/>
                  </w:tcBorders>
                </w:tcPr>
                <w:p w14:paraId="5D93652D" w14:textId="77777777" w:rsidR="00A24265" w:rsidRPr="005D4222" w:rsidRDefault="00A24265" w:rsidP="00233911">
                  <w:pPr>
                    <w:pStyle w:val="TableText"/>
                    <w:rPr>
                      <w:rFonts w:eastAsia="Wingdings"/>
                    </w:rPr>
                  </w:pPr>
                  <w:r w:rsidRPr="005D4222">
                    <w:rPr>
                      <w:rFonts w:eastAsia="Wingdings"/>
                    </w:rPr>
                    <w:t>Repeat per Stratification</w:t>
                  </w:r>
                </w:p>
              </w:tc>
              <w:tc>
                <w:tcPr>
                  <w:tcW w:w="666" w:type="dxa"/>
                  <w:tcBorders>
                    <w:top w:val="single" w:sz="4" w:space="0" w:color="000000"/>
                    <w:left w:val="single" w:sz="4" w:space="0" w:color="auto"/>
                    <w:bottom w:val="single" w:sz="6" w:space="0" w:color="auto"/>
                    <w:right w:val="single" w:sz="4" w:space="0" w:color="auto"/>
                  </w:tcBorders>
                </w:tcPr>
                <w:p w14:paraId="7A9D5F96" w14:textId="7CBEA538" w:rsidR="00A24265" w:rsidRPr="005D4222" w:rsidRDefault="00233911" w:rsidP="00233911">
                  <w:pPr>
                    <w:pStyle w:val="TableText"/>
                    <w:jc w:val="center"/>
                    <w:rPr>
                      <w:rFonts w:eastAsia="Wingdings" w:cs="Wingdings"/>
                      <w:szCs w:val="21"/>
                    </w:rPr>
                  </w:pPr>
                  <w:r w:rsidRPr="005D4222">
                    <w:rPr>
                      <w:rFonts w:ascii="Wingdings" w:eastAsia="Wingdings" w:hAnsi="Wingdings" w:cs="Wingdings"/>
                    </w:rPr>
                    <w:t></w:t>
                  </w:r>
                </w:p>
              </w:tc>
            </w:tr>
            <w:tr w:rsidR="00A24265" w:rsidRPr="005D4222" w14:paraId="22A94761" w14:textId="77777777">
              <w:tc>
                <w:tcPr>
                  <w:tcW w:w="1623" w:type="dxa"/>
                  <w:tcBorders>
                    <w:top w:val="single" w:sz="4" w:space="0" w:color="auto"/>
                    <w:left w:val="nil"/>
                    <w:bottom w:val="nil"/>
                    <w:right w:val="single" w:sz="4" w:space="0" w:color="auto"/>
                  </w:tcBorders>
                  <w:shd w:val="clear" w:color="auto" w:fill="FFFFFF"/>
                </w:tcPr>
                <w:p w14:paraId="116920F3" w14:textId="77777777" w:rsidR="00A24265" w:rsidRPr="005D4222" w:rsidRDefault="00A24265" w:rsidP="00233911">
                  <w:pPr>
                    <w:pStyle w:val="TableText"/>
                  </w:pPr>
                </w:p>
              </w:tc>
              <w:tc>
                <w:tcPr>
                  <w:tcW w:w="1883" w:type="dxa"/>
                  <w:tcBorders>
                    <w:top w:val="single" w:sz="4" w:space="0" w:color="auto"/>
                    <w:left w:val="single" w:sz="4" w:space="0" w:color="auto"/>
                    <w:bottom w:val="single" w:sz="4" w:space="0" w:color="auto"/>
                    <w:right w:val="single" w:sz="4" w:space="0" w:color="auto"/>
                  </w:tcBorders>
                  <w:shd w:val="clear" w:color="auto" w:fill="FFFFFF"/>
                </w:tcPr>
                <w:p w14:paraId="0921B60B" w14:textId="77777777" w:rsidR="00A24265" w:rsidRPr="005D4222" w:rsidRDefault="00A24265" w:rsidP="00233911">
                  <w:pPr>
                    <w:pStyle w:val="TableText"/>
                  </w:pPr>
                  <w:r w:rsidRPr="005D4222">
                    <w:t>NotHispanicOrLatino</w:t>
                  </w:r>
                </w:p>
              </w:tc>
              <w:tc>
                <w:tcPr>
                  <w:tcW w:w="1620" w:type="dxa"/>
                  <w:tcBorders>
                    <w:top w:val="single" w:sz="4" w:space="0" w:color="auto"/>
                    <w:left w:val="single" w:sz="4" w:space="0" w:color="auto"/>
                    <w:bottom w:val="single" w:sz="4" w:space="0" w:color="auto"/>
                    <w:right w:val="single" w:sz="4" w:space="0" w:color="auto"/>
                  </w:tcBorders>
                  <w:shd w:val="clear" w:color="auto" w:fill="FFFFFF"/>
                </w:tcPr>
                <w:p w14:paraId="6D516B1B" w14:textId="77777777" w:rsidR="00A24265" w:rsidRPr="005D4222" w:rsidRDefault="00A24265" w:rsidP="00233911">
                  <w:pPr>
                    <w:pStyle w:val="TableText"/>
                  </w:pPr>
                  <w:r w:rsidRPr="005D4222">
                    <w:t>Denominator</w:t>
                  </w:r>
                </w:p>
              </w:tc>
              <w:tc>
                <w:tcPr>
                  <w:tcW w:w="1584" w:type="dxa"/>
                  <w:tcBorders>
                    <w:left w:val="single" w:sz="4" w:space="0" w:color="auto"/>
                    <w:bottom w:val="single" w:sz="4" w:space="0" w:color="auto"/>
                    <w:right w:val="single" w:sz="4" w:space="0" w:color="auto"/>
                  </w:tcBorders>
                  <w:shd w:val="clear" w:color="auto" w:fill="FFFFFF"/>
                </w:tcPr>
                <w:p w14:paraId="6786E3F7" w14:textId="77777777" w:rsidR="00A24265" w:rsidRPr="005D4222" w:rsidRDefault="00A24265" w:rsidP="00233911">
                  <w:pPr>
                    <w:pStyle w:val="TableText"/>
                    <w:rPr>
                      <w:rFonts w:eastAsia="Wingdings"/>
                    </w:rPr>
                  </w:pPr>
                  <w:r w:rsidRPr="005D4222">
                    <w:rPr>
                      <w:rFonts w:eastAsia="Wingdings"/>
                    </w:rPr>
                    <w:t>For each Stratification</w:t>
                  </w:r>
                </w:p>
              </w:tc>
              <w:tc>
                <w:tcPr>
                  <w:tcW w:w="666" w:type="dxa"/>
                  <w:tcBorders>
                    <w:left w:val="single" w:sz="4" w:space="0" w:color="auto"/>
                    <w:bottom w:val="single" w:sz="4" w:space="0" w:color="auto"/>
                    <w:right w:val="single" w:sz="4" w:space="0" w:color="auto"/>
                  </w:tcBorders>
                  <w:shd w:val="clear" w:color="auto" w:fill="FFFFFF"/>
                </w:tcPr>
                <w:p w14:paraId="3CE46FFE" w14:textId="6D5095CF" w:rsidR="00A24265" w:rsidRPr="005D4222" w:rsidRDefault="00233911" w:rsidP="00233911">
                  <w:pPr>
                    <w:pStyle w:val="TableText"/>
                    <w:jc w:val="center"/>
                    <w:rPr>
                      <w:rFonts w:eastAsia="Wingdings" w:cs="Wingdings"/>
                      <w:szCs w:val="21"/>
                    </w:rPr>
                  </w:pPr>
                  <w:r w:rsidRPr="005D4222">
                    <w:rPr>
                      <w:rFonts w:ascii="Wingdings" w:eastAsia="Wingdings" w:hAnsi="Wingdings" w:cs="Wingdings"/>
                    </w:rPr>
                    <w:t></w:t>
                  </w:r>
                </w:p>
              </w:tc>
            </w:tr>
            <w:tr w:rsidR="00A24265" w:rsidRPr="005D4222" w14:paraId="4A2D6550" w14:textId="77777777">
              <w:tc>
                <w:tcPr>
                  <w:tcW w:w="1623" w:type="dxa"/>
                  <w:tcBorders>
                    <w:top w:val="nil"/>
                    <w:left w:val="nil"/>
                    <w:bottom w:val="nil"/>
                    <w:right w:val="nil"/>
                  </w:tcBorders>
                  <w:shd w:val="clear" w:color="auto" w:fill="FFFFFF"/>
                </w:tcPr>
                <w:p w14:paraId="5324217D" w14:textId="77777777" w:rsidR="00A24265" w:rsidRPr="005D4222" w:rsidRDefault="00A24265" w:rsidP="00233911">
                  <w:pPr>
                    <w:pStyle w:val="TableText"/>
                  </w:pPr>
                </w:p>
              </w:tc>
              <w:tc>
                <w:tcPr>
                  <w:tcW w:w="1883" w:type="dxa"/>
                  <w:tcBorders>
                    <w:top w:val="single" w:sz="4" w:space="0" w:color="auto"/>
                    <w:left w:val="single" w:sz="4" w:space="0" w:color="auto"/>
                    <w:bottom w:val="single" w:sz="4" w:space="0" w:color="auto"/>
                    <w:right w:val="single" w:sz="4" w:space="0" w:color="auto"/>
                  </w:tcBorders>
                </w:tcPr>
                <w:p w14:paraId="2C259CAA" w14:textId="77777777" w:rsidR="00A24265" w:rsidRPr="005D4222" w:rsidRDefault="00A24265" w:rsidP="00233911">
                  <w:pPr>
                    <w:pStyle w:val="TableText"/>
                  </w:pPr>
                  <w:r w:rsidRPr="005D4222">
                    <w:t>AskedButNoAnswer</w:t>
                  </w:r>
                </w:p>
              </w:tc>
              <w:tc>
                <w:tcPr>
                  <w:tcW w:w="1620" w:type="dxa"/>
                  <w:tcBorders>
                    <w:top w:val="single" w:sz="4" w:space="0" w:color="auto"/>
                    <w:left w:val="single" w:sz="4" w:space="0" w:color="auto"/>
                    <w:bottom w:val="single" w:sz="4" w:space="0" w:color="auto"/>
                    <w:right w:val="single" w:sz="4" w:space="0" w:color="auto"/>
                  </w:tcBorders>
                  <w:shd w:val="clear" w:color="auto" w:fill="FFFFFF"/>
                </w:tcPr>
                <w:p w14:paraId="39F800F2" w14:textId="77777777" w:rsidR="00A24265" w:rsidRPr="005D4222" w:rsidRDefault="00A24265" w:rsidP="00233911">
                  <w:pPr>
                    <w:pStyle w:val="TableText"/>
                  </w:pPr>
                  <w:r w:rsidRPr="005D4222">
                    <w:t>Numerator</w:t>
                  </w:r>
                </w:p>
              </w:tc>
              <w:tc>
                <w:tcPr>
                  <w:tcW w:w="1584" w:type="dxa"/>
                  <w:tcBorders>
                    <w:top w:val="single" w:sz="4" w:space="0" w:color="auto"/>
                    <w:left w:val="single" w:sz="4" w:space="0" w:color="auto"/>
                    <w:bottom w:val="single" w:sz="4" w:space="0" w:color="auto"/>
                    <w:right w:val="single" w:sz="4" w:space="0" w:color="auto"/>
                  </w:tcBorders>
                  <w:shd w:val="clear" w:color="auto" w:fill="FFFFFF"/>
                </w:tcPr>
                <w:p w14:paraId="7A491FEC" w14:textId="77777777" w:rsidR="00A24265" w:rsidRPr="005D4222" w:rsidRDefault="00A24265" w:rsidP="00233911">
                  <w:pPr>
                    <w:pStyle w:val="TableText"/>
                    <w:rPr>
                      <w:rFonts w:eastAsia="Wingdings"/>
                    </w:rPr>
                  </w:pPr>
                  <w:r w:rsidRPr="005D4222">
                    <w:rPr>
                      <w:rFonts w:eastAsia="Wingdings"/>
                    </w:rPr>
                    <w:t>For each Stratification</w:t>
                  </w:r>
                </w:p>
              </w:tc>
              <w:tc>
                <w:tcPr>
                  <w:tcW w:w="666" w:type="dxa"/>
                  <w:tcBorders>
                    <w:top w:val="single" w:sz="4" w:space="0" w:color="auto"/>
                    <w:left w:val="single" w:sz="4" w:space="0" w:color="auto"/>
                    <w:bottom w:val="single" w:sz="4" w:space="0" w:color="auto"/>
                    <w:right w:val="single" w:sz="4" w:space="0" w:color="auto"/>
                  </w:tcBorders>
                  <w:shd w:val="clear" w:color="auto" w:fill="FFFFFF"/>
                </w:tcPr>
                <w:p w14:paraId="625AA308" w14:textId="7CB156AE" w:rsidR="00A24265" w:rsidRPr="005D4222" w:rsidRDefault="00233911" w:rsidP="00233911">
                  <w:pPr>
                    <w:pStyle w:val="TableText"/>
                    <w:jc w:val="center"/>
                    <w:rPr>
                      <w:rFonts w:eastAsia="Wingdings" w:cs="Wingdings"/>
                      <w:szCs w:val="21"/>
                    </w:rPr>
                  </w:pPr>
                  <w:r w:rsidRPr="005D4222">
                    <w:rPr>
                      <w:rFonts w:ascii="Wingdings" w:eastAsia="Wingdings" w:hAnsi="Wingdings" w:cs="Wingdings"/>
                    </w:rPr>
                    <w:t></w:t>
                  </w:r>
                </w:p>
              </w:tc>
            </w:tr>
            <w:tr w:rsidR="00A24265" w:rsidRPr="005D4222" w14:paraId="7BD51B17" w14:textId="77777777">
              <w:tc>
                <w:tcPr>
                  <w:tcW w:w="1623" w:type="dxa"/>
                  <w:tcBorders>
                    <w:top w:val="nil"/>
                    <w:left w:val="nil"/>
                    <w:bottom w:val="nil"/>
                    <w:right w:val="nil"/>
                  </w:tcBorders>
                  <w:shd w:val="clear" w:color="auto" w:fill="FFFFFF"/>
                </w:tcPr>
                <w:p w14:paraId="4A948E1F" w14:textId="77777777" w:rsidR="00A24265" w:rsidRPr="005D4222" w:rsidRDefault="00A24265" w:rsidP="00233911">
                  <w:pPr>
                    <w:pStyle w:val="TableText"/>
                  </w:pPr>
                </w:p>
              </w:tc>
              <w:tc>
                <w:tcPr>
                  <w:tcW w:w="1883" w:type="dxa"/>
                  <w:tcBorders>
                    <w:top w:val="single" w:sz="4" w:space="0" w:color="auto"/>
                    <w:left w:val="single" w:sz="4" w:space="0" w:color="auto"/>
                    <w:bottom w:val="single" w:sz="4" w:space="0" w:color="auto"/>
                    <w:right w:val="single" w:sz="4" w:space="0" w:color="auto"/>
                  </w:tcBorders>
                </w:tcPr>
                <w:p w14:paraId="401D0FDB" w14:textId="77777777" w:rsidR="00A24265" w:rsidRPr="005D4222" w:rsidRDefault="00A24265" w:rsidP="00233911">
                  <w:pPr>
                    <w:pStyle w:val="TableText"/>
                  </w:pPr>
                  <w:r w:rsidRPr="005D4222">
                    <w:t>Unknown</w:t>
                  </w: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5F6212C" w14:textId="77777777" w:rsidR="00A24265" w:rsidRPr="005D4222" w:rsidRDefault="00A24265" w:rsidP="00233911">
                  <w:pPr>
                    <w:pStyle w:val="TableText"/>
                  </w:pPr>
                  <w:r w:rsidRPr="005D4222">
                    <w:t>Rate</w:t>
                  </w:r>
                </w:p>
              </w:tc>
              <w:tc>
                <w:tcPr>
                  <w:tcW w:w="15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635BF1" w14:textId="77777777" w:rsidR="00A24265" w:rsidRPr="005D4222" w:rsidRDefault="00A24265" w:rsidP="00233911">
                  <w:pPr>
                    <w:pStyle w:val="TableText"/>
                    <w:rPr>
                      <w:rFonts w:eastAsia="Wingdings"/>
                    </w:rPr>
                  </w:pPr>
                  <w:r w:rsidRPr="005D4222">
                    <w:rPr>
                      <w:rFonts w:eastAsia="Wingdings"/>
                    </w:rPr>
                    <w:t>(Percent)</w:t>
                  </w:r>
                </w:p>
              </w:tc>
              <w:tc>
                <w:tcPr>
                  <w:tcW w:w="66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CB06EB" w14:textId="4384B9B3" w:rsidR="00A24265" w:rsidRPr="005D4222" w:rsidRDefault="00233911" w:rsidP="00233911">
                  <w:pPr>
                    <w:pStyle w:val="TableText"/>
                    <w:jc w:val="center"/>
                    <w:rPr>
                      <w:rFonts w:eastAsia="Wingdings" w:cs="Wingdings"/>
                      <w:szCs w:val="21"/>
                    </w:rPr>
                  </w:pPr>
                  <w:r w:rsidRPr="005D4222">
                    <w:rPr>
                      <w:rFonts w:ascii="Wingdings" w:eastAsia="Wingdings" w:hAnsi="Wingdings" w:cs="Wingdings"/>
                    </w:rPr>
                    <w:t></w:t>
                  </w:r>
                </w:p>
              </w:tc>
            </w:tr>
          </w:tbl>
          <w:p w14:paraId="397D4AA0" w14:textId="77777777" w:rsidR="00A24265" w:rsidRPr="005D4222" w:rsidDel="00514CFB" w:rsidRDefault="00A24265" w:rsidP="00233911">
            <w:pPr>
              <w:pStyle w:val="TableText"/>
              <w:rPr>
                <w:bCs/>
                <w:szCs w:val="21"/>
              </w:rPr>
            </w:pPr>
          </w:p>
        </w:tc>
      </w:tr>
      <w:tr w:rsidR="00A24265" w:rsidRPr="005D4222" w14:paraId="672DA127" w14:textId="77777777" w:rsidTr="009502E1">
        <w:trPr>
          <w:trHeight w:val="300"/>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68CA5EC" w14:textId="77777777" w:rsidR="00A24265" w:rsidRPr="005D4222" w:rsidRDefault="00A24265" w:rsidP="007F1AD5">
            <w:pPr>
              <w:pStyle w:val="ECDSMarginHead"/>
            </w:pPr>
            <w:r w:rsidRPr="005D4222">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CC623EE" w14:textId="77777777" w:rsidR="00A24265" w:rsidRPr="005D4222" w:rsidRDefault="00A24265" w:rsidP="00233911">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785D2917" w14:textId="77777777" w:rsidR="00A24265" w:rsidRPr="005D4222" w:rsidRDefault="00A24265" w:rsidP="00233911">
            <w:pPr>
              <w:pStyle w:val="ECDSBody"/>
              <w:rPr>
                <w:b/>
              </w:rPr>
            </w:pPr>
            <w:r w:rsidRPr="005D4222">
              <w:rPr>
                <w:b/>
              </w:rPr>
              <w:t>Adjusted HEDIS measures may not be used for HEDIS health plan reporting.</w:t>
            </w:r>
          </w:p>
          <w:p w14:paraId="28FE4A13" w14:textId="77777777" w:rsidR="00A24265" w:rsidRPr="005D4222" w:rsidRDefault="00A24265" w:rsidP="00233911">
            <w:pPr>
              <w:pStyle w:val="ECDSBody"/>
              <w:rPr>
                <w:b/>
              </w:rPr>
            </w:pPr>
            <w:r w:rsidRPr="005D4222">
              <w:rPr>
                <w:b/>
                <w:color w:val="000000"/>
                <w:shd w:val="clear" w:color="auto" w:fill="FFFFFF"/>
              </w:rPr>
              <w:t>The Rules do not apply to the hybrid portion of the measure; only the administrative sections may be changed.</w:t>
            </w:r>
            <w:r w:rsidRPr="005D4222">
              <w:rPr>
                <w:color w:val="000000"/>
                <w:shd w:val="clear" w:color="auto" w:fill="FFFFFF"/>
              </w:rPr>
              <w:t> </w:t>
            </w:r>
          </w:p>
          <w:p w14:paraId="3E6C71FA" w14:textId="77777777" w:rsidR="00A24265" w:rsidRPr="005D4222" w:rsidRDefault="00A24265" w:rsidP="00233911">
            <w:pPr>
              <w:pStyle w:val="Adjustments"/>
            </w:pPr>
            <w:r w:rsidRPr="005D4222">
              <w:t>Adjustments</w:t>
            </w:r>
            <w:r w:rsidRPr="005D4222">
              <w:rPr>
                <w:bCs/>
              </w:rPr>
              <w:t xml:space="preserve"> a</w:t>
            </w:r>
            <w:r w:rsidRPr="005D4222">
              <w:t>llowed</w:t>
            </w:r>
          </w:p>
          <w:p w14:paraId="615D4AB3" w14:textId="4D45CCC5" w:rsidR="00A24265" w:rsidRPr="005D4222" w:rsidRDefault="00A24265" w:rsidP="00233911">
            <w:pPr>
              <w:pStyle w:val="ProcessBullet"/>
            </w:pPr>
            <w:r w:rsidRPr="005D4222">
              <w:rPr>
                <w:i/>
                <w:iCs/>
              </w:rPr>
              <w:t>Product lines.</w:t>
            </w:r>
            <w:r w:rsidRPr="005D4222">
              <w:t xml:space="preserve"> Organizations are not required to use product line criteria; product lines may be combined</w:t>
            </w:r>
            <w:r w:rsidR="00E8671F" w:rsidRPr="005D4222">
              <w:t>,</w:t>
            </w:r>
            <w:r w:rsidRPr="005D4222">
              <w:t xml:space="preserve"> and all (or no) product line criteria may be used.</w:t>
            </w:r>
          </w:p>
          <w:p w14:paraId="5307AEC9" w14:textId="77777777" w:rsidR="00A24265" w:rsidRPr="005D4222" w:rsidRDefault="00A24265" w:rsidP="00233911">
            <w:pPr>
              <w:pStyle w:val="ProcessBullet"/>
            </w:pPr>
            <w:r w:rsidRPr="005D4222">
              <w:rPr>
                <w:i/>
                <w:iCs/>
              </w:rPr>
              <w:t>Attribution</w:t>
            </w:r>
            <w:r w:rsidRPr="005D4222">
              <w:t>. Organizations are not required to use enrollment criteria. </w:t>
            </w:r>
          </w:p>
          <w:p w14:paraId="68C9353A" w14:textId="7F8C8E1C" w:rsidR="00A24265" w:rsidRPr="005D4222" w:rsidRDefault="00BC5A58" w:rsidP="00233911">
            <w:pPr>
              <w:pStyle w:val="ProcessBullet"/>
            </w:pPr>
            <w:r w:rsidRPr="005D4222">
              <w:rPr>
                <w:i/>
                <w:iCs/>
              </w:rPr>
              <w:t>Benefits.</w:t>
            </w:r>
            <w:r w:rsidR="00A24265" w:rsidRPr="005D4222">
              <w:t xml:space="preserve"> Organizations are not required to use a benefit.</w:t>
            </w:r>
          </w:p>
          <w:p w14:paraId="0A0BD49B" w14:textId="77777777" w:rsidR="00A24265" w:rsidRPr="005D4222" w:rsidRDefault="00A24265" w:rsidP="00233911">
            <w:pPr>
              <w:pStyle w:val="ProcessBullet"/>
            </w:pPr>
            <w:r w:rsidRPr="005D4222">
              <w:rPr>
                <w:i/>
                <w:iCs/>
              </w:rPr>
              <w:t>Other</w:t>
            </w:r>
            <w:r w:rsidRPr="005D4222">
              <w:t>. Organizations may use additional initial population criteria to focus on an area of interest defined by gender, race, ethnicity, socioeconomic or sociodemographic characteristics, geographic region or another characteristic.</w:t>
            </w:r>
          </w:p>
          <w:p w14:paraId="02E7EC52" w14:textId="77777777" w:rsidR="00A24265" w:rsidRPr="005D4222" w:rsidRDefault="00A24265" w:rsidP="00233911">
            <w:pPr>
              <w:pStyle w:val="ProcessBullet"/>
            </w:pPr>
            <w:r w:rsidRPr="005D4222">
              <w:rPr>
                <w:i/>
                <w:iCs/>
              </w:rPr>
              <w:t>Measurement period adjustments</w:t>
            </w:r>
            <w:r w:rsidRPr="005D4222">
              <w:t xml:space="preserve">. Organizations may adjust the measurement period. </w:t>
            </w:r>
          </w:p>
          <w:p w14:paraId="1661A723" w14:textId="77777777" w:rsidR="00A24265" w:rsidRPr="005D4222" w:rsidRDefault="00A24265" w:rsidP="00233911">
            <w:pPr>
              <w:pStyle w:val="ProcessBullet"/>
            </w:pPr>
            <w:r w:rsidRPr="005D4222">
              <w:rPr>
                <w:i/>
                <w:iCs/>
              </w:rPr>
              <w:t>Stratifications</w:t>
            </w:r>
            <w:r w:rsidRPr="005D4222">
              <w:t>:</w:t>
            </w:r>
            <w:r w:rsidRPr="005D4222">
              <w:rPr>
                <w:i/>
              </w:rPr>
              <w:t xml:space="preserve"> </w:t>
            </w:r>
            <w:r w:rsidRPr="005D4222">
              <w:rPr>
                <w:iCs/>
              </w:rPr>
              <w:t xml:space="preserve">Race and ethnicity stratification. </w:t>
            </w:r>
            <w:r w:rsidRPr="005D4222">
              <w:t>The race and ethnicity stratification is not required. Organizations may adjust this stratification as needed.</w:t>
            </w:r>
          </w:p>
          <w:p w14:paraId="3B5596AD" w14:textId="44EE48FE" w:rsidR="00A24265" w:rsidRPr="005D4222" w:rsidRDefault="00A24265" w:rsidP="00233911">
            <w:pPr>
              <w:pStyle w:val="ProcessBullet"/>
            </w:pPr>
            <w:r w:rsidRPr="005D4222">
              <w:rPr>
                <w:i/>
                <w:iCs/>
              </w:rPr>
              <w:t>Exclusions</w:t>
            </w:r>
            <w:r w:rsidRPr="005D4222">
              <w:t xml:space="preserve">. </w:t>
            </w:r>
            <w:r w:rsidR="00B4232F" w:rsidRPr="005D4222">
              <w:t>The h</w:t>
            </w:r>
            <w:r w:rsidRPr="005D4222">
              <w:t xml:space="preserve">ospice, deceased person, palliative care, I-SNP, LTI, frailty or advanced illness exclusions are not required. </w:t>
            </w:r>
          </w:p>
          <w:p w14:paraId="5D8234BA" w14:textId="77777777" w:rsidR="00A24265" w:rsidRPr="005D4222" w:rsidRDefault="00A24265" w:rsidP="00914182">
            <w:pPr>
              <w:pStyle w:val="ProcessBullet"/>
              <w:spacing w:after="80"/>
              <w:rPr>
                <w:b/>
              </w:rPr>
            </w:pPr>
            <w:r w:rsidRPr="005D4222">
              <w:rPr>
                <w:i/>
                <w:iCs/>
              </w:rPr>
              <w:t>Telehealth</w:t>
            </w:r>
            <w:r w:rsidRPr="005D4222">
              <w:t>.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tc>
      </w:tr>
    </w:tbl>
    <w:p w14:paraId="25BB3BC8" w14:textId="77777777" w:rsidR="00233911" w:rsidRPr="005D4222" w:rsidRDefault="00233911"/>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2157"/>
        <w:gridCol w:w="7557"/>
      </w:tblGrid>
      <w:tr w:rsidR="00A24265" w:rsidRPr="005D4222" w14:paraId="590B78B7" w14:textId="77777777" w:rsidTr="009502E1">
        <w:trPr>
          <w:trHeight w:val="300"/>
        </w:trPr>
        <w:tc>
          <w:tcPr>
            <w:tcW w:w="2157"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5C8C5059" w14:textId="77777777" w:rsidR="00A24265" w:rsidRPr="005D4222" w:rsidRDefault="00A24265" w:rsidP="00A24265">
            <w:pPr>
              <w:spacing w:before="120" w:after="80"/>
              <w:rPr>
                <w:b/>
                <w:sz w:val="22"/>
                <w:szCs w:val="21"/>
              </w:rPr>
            </w:pP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tcPr>
          <w:p w14:paraId="0DF357DA" w14:textId="77777777" w:rsidR="00A24265" w:rsidRPr="005D4222" w:rsidRDefault="00A24265" w:rsidP="00233911">
            <w:pPr>
              <w:pStyle w:val="ProcessBullet"/>
            </w:pPr>
            <w:r w:rsidRPr="005D4222">
              <w:rPr>
                <w:i/>
                <w:iCs/>
              </w:rPr>
              <w:t>Supplemental data.</w:t>
            </w:r>
            <w:r w:rsidRPr="005D4222">
              <w:t xml:space="preserve"> Supplemental data may be used to identify initial population, denominator, exclusion and numerator events.</w:t>
            </w:r>
          </w:p>
          <w:p w14:paraId="4B7E00CA" w14:textId="77777777" w:rsidR="00A24265" w:rsidRPr="005D4222" w:rsidRDefault="00A24265" w:rsidP="00233911">
            <w:pPr>
              <w:pStyle w:val="Adjustments"/>
            </w:pPr>
            <w:r w:rsidRPr="005D4222">
              <w:t xml:space="preserve">Adjustments </w:t>
            </w:r>
            <w:r w:rsidRPr="005D4222">
              <w:rPr>
                <w:bCs/>
              </w:rPr>
              <w:t>a</w:t>
            </w:r>
            <w:r w:rsidRPr="005D4222">
              <w:t xml:space="preserve">llowed with </w:t>
            </w:r>
            <w:r w:rsidRPr="005D4222">
              <w:rPr>
                <w:bCs/>
              </w:rPr>
              <w:t>l</w:t>
            </w:r>
            <w:r w:rsidRPr="005D4222">
              <w:t>imits</w:t>
            </w:r>
          </w:p>
          <w:p w14:paraId="3BF120DF" w14:textId="77777777" w:rsidR="00A24265" w:rsidRPr="005D4222" w:rsidRDefault="00A24265" w:rsidP="00233911">
            <w:pPr>
              <w:pStyle w:val="ProcessBullet"/>
              <w:rPr>
                <w:b/>
                <w:bCs/>
                <w:color w:val="000000" w:themeColor="text1"/>
              </w:rPr>
            </w:pPr>
            <w:r w:rsidRPr="005D4222">
              <w:rPr>
                <w:i/>
              </w:rPr>
              <w:t>Ages.</w:t>
            </w:r>
            <w:r w:rsidRPr="005D4222">
              <w:t xml:space="preserve"> </w:t>
            </w:r>
            <w:r w:rsidRPr="005D4222">
              <w:rPr>
                <w:rFonts w:cs="Arial"/>
              </w:rPr>
              <w:t xml:space="preserve">Age determination dates may be changed (e.g., </w:t>
            </w:r>
            <w:r w:rsidRPr="005D4222" w:rsidDel="00851E2D">
              <w:rPr>
                <w:rFonts w:cs="Arial"/>
              </w:rPr>
              <w:t xml:space="preserve">select, </w:t>
            </w:r>
            <w:r w:rsidRPr="005D4222">
              <w:rPr>
                <w:rFonts w:cs="Arial"/>
              </w:rPr>
              <w:t xml:space="preserve">“age as of June 30”). </w:t>
            </w:r>
            <w:r w:rsidRPr="005D4222">
              <w:t xml:space="preserve">The denominator age range may be changed if the range is within the specified age range (18–85 years of age). </w:t>
            </w:r>
          </w:p>
          <w:p w14:paraId="2C86DC89" w14:textId="77777777" w:rsidR="00A24265" w:rsidRPr="005D4222" w:rsidRDefault="00A24265" w:rsidP="00233911">
            <w:pPr>
              <w:pStyle w:val="Adjustments"/>
            </w:pPr>
            <w:r w:rsidRPr="005D4222">
              <w:rPr>
                <w:szCs w:val="24"/>
              </w:rPr>
              <w:t>A</w:t>
            </w:r>
            <w:r w:rsidRPr="005D4222">
              <w:t>djustments n</w:t>
            </w:r>
            <w:r w:rsidRPr="005D4222">
              <w:rPr>
                <w:bCs/>
              </w:rPr>
              <w:t>ot allowed</w:t>
            </w:r>
          </w:p>
          <w:p w14:paraId="4CC73F39" w14:textId="77777777" w:rsidR="00A24265" w:rsidRPr="005D4222" w:rsidRDefault="00A24265" w:rsidP="00233911">
            <w:pPr>
              <w:pStyle w:val="ProcessBullet"/>
            </w:pPr>
            <w:r w:rsidRPr="005D4222">
              <w:rPr>
                <w:i/>
                <w:iCs/>
              </w:rPr>
              <w:t>Initial population:</w:t>
            </w:r>
            <w:r w:rsidRPr="005D4222">
              <w:t xml:space="preserve"> </w:t>
            </w:r>
            <w:r w:rsidRPr="005D4222">
              <w:rPr>
                <w:iCs/>
              </w:rPr>
              <w:t>Event. Only</w:t>
            </w:r>
            <w:r w:rsidRPr="005D4222">
              <w:t xml:space="preserve"> events that contain (or map to) codes in the value sets may be used to identify visits. Value sets and logic may not be changed.</w:t>
            </w:r>
          </w:p>
          <w:p w14:paraId="12D1442D" w14:textId="77777777" w:rsidR="00A24265" w:rsidRPr="005D4222" w:rsidRDefault="00A24265" w:rsidP="00233911">
            <w:pPr>
              <w:pStyle w:val="ProcessBullet"/>
            </w:pPr>
            <w:r w:rsidRPr="005D4222">
              <w:rPr>
                <w:i/>
                <w:iCs/>
              </w:rPr>
              <w:t>Exclusions</w:t>
            </w:r>
            <w:r w:rsidRPr="005D4222">
              <w:t>. The ESRD and pregnancy exclusions must be applied. The value sets and logic may not be changed.</w:t>
            </w:r>
          </w:p>
          <w:p w14:paraId="01313D5B" w14:textId="77777777" w:rsidR="00A24265" w:rsidRPr="005D4222" w:rsidRDefault="00A24265" w:rsidP="00233911">
            <w:pPr>
              <w:pStyle w:val="ProcessBullet"/>
              <w:spacing w:after="80"/>
              <w:rPr>
                <w:b/>
                <w:i/>
              </w:rPr>
            </w:pPr>
            <w:r w:rsidRPr="005D4222">
              <w:rPr>
                <w:i/>
                <w:iCs/>
              </w:rPr>
              <w:t>Numerator</w:t>
            </w:r>
            <w:r w:rsidRPr="005D4222">
              <w:t>. Value sets and logic may not be changed.</w:t>
            </w:r>
          </w:p>
        </w:tc>
      </w:tr>
    </w:tbl>
    <w:p w14:paraId="1AF13C41" w14:textId="77777777" w:rsidR="00233911" w:rsidRPr="005D4222" w:rsidRDefault="00233911" w:rsidP="00A24265">
      <w:pPr>
        <w:pStyle w:val="ECDSBody"/>
        <w:sectPr w:rsidR="00233911" w:rsidRPr="005D4222" w:rsidSect="0074514A">
          <w:type w:val="nextColumn"/>
          <w:pgSz w:w="12240" w:h="15840" w:code="1"/>
          <w:pgMar w:top="1080" w:right="1080" w:bottom="1080" w:left="1440" w:header="720" w:footer="720" w:gutter="0"/>
          <w:cols w:space="720"/>
          <w:docGrid w:linePitch="360"/>
        </w:sectPr>
      </w:pPr>
    </w:p>
    <w:p w14:paraId="4C7A3F09" w14:textId="31B3DBF1" w:rsidR="00A24265" w:rsidRPr="005D4222" w:rsidRDefault="00CA50B7" w:rsidP="00CA50B7">
      <w:pPr>
        <w:pStyle w:val="MeasureTitle"/>
      </w:pPr>
      <w:bookmarkStart w:id="282" w:name="_Toc201813397"/>
      <w:r w:rsidRPr="005D4222">
        <w:lastRenderedPageBreak/>
        <w:t>Persistence of Beta-Blocker Treatment After a Heart Attack</w:t>
      </w:r>
      <w:r w:rsidR="004C0737" w:rsidRPr="005D4222">
        <w:t xml:space="preserve"> (PBH)</w:t>
      </w:r>
      <w:bookmarkEnd w:id="282"/>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5130"/>
        <w:gridCol w:w="1440"/>
        <w:gridCol w:w="990"/>
      </w:tblGrid>
      <w:tr w:rsidR="00C03223" w:rsidRPr="005D4222" w14:paraId="208F6499" w14:textId="77777777">
        <w:tc>
          <w:tcPr>
            <w:tcW w:w="2157" w:type="dxa"/>
            <w:shd w:val="clear" w:color="auto" w:fill="BFBFBF" w:themeFill="background1" w:themeFillShade="BF"/>
            <w:tcMar>
              <w:top w:w="0" w:type="dxa"/>
              <w:left w:w="86" w:type="dxa"/>
              <w:bottom w:w="43" w:type="dxa"/>
              <w:right w:w="86" w:type="dxa"/>
            </w:tcMar>
            <w:hideMark/>
          </w:tcPr>
          <w:p w14:paraId="73C70CB8" w14:textId="77777777" w:rsidR="00C03223" w:rsidRPr="005D4222" w:rsidRDefault="00C03223" w:rsidP="00C03223">
            <w:pPr>
              <w:pStyle w:val="ECDSMarginHead"/>
            </w:pPr>
            <w:r w:rsidRPr="005D4222">
              <w:t>Measure title</w:t>
            </w:r>
          </w:p>
        </w:tc>
        <w:tc>
          <w:tcPr>
            <w:tcW w:w="5130" w:type="dxa"/>
            <w:tcMar>
              <w:top w:w="0" w:type="dxa"/>
              <w:left w:w="86" w:type="dxa"/>
              <w:bottom w:w="43" w:type="dxa"/>
              <w:right w:w="86" w:type="dxa"/>
            </w:tcMar>
          </w:tcPr>
          <w:p w14:paraId="363FF664" w14:textId="77777777" w:rsidR="00C03223" w:rsidRPr="005D4222" w:rsidRDefault="00C03223" w:rsidP="00C03223">
            <w:pPr>
              <w:pStyle w:val="ECDSBody"/>
            </w:pPr>
            <w:r w:rsidRPr="005D4222">
              <w:t>Persistence of Beta-Blocker Treatment After a Heart Attack</w:t>
            </w:r>
          </w:p>
        </w:tc>
        <w:tc>
          <w:tcPr>
            <w:tcW w:w="1440" w:type="dxa"/>
            <w:shd w:val="clear" w:color="auto" w:fill="BFBFBF" w:themeFill="background1" w:themeFillShade="BF"/>
            <w:tcMar>
              <w:top w:w="0" w:type="dxa"/>
              <w:left w:w="86" w:type="dxa"/>
              <w:bottom w:w="43" w:type="dxa"/>
              <w:right w:w="86" w:type="dxa"/>
            </w:tcMar>
          </w:tcPr>
          <w:p w14:paraId="4EDC246E" w14:textId="77777777" w:rsidR="00C03223" w:rsidRPr="005D4222" w:rsidRDefault="00C03223" w:rsidP="00C03223">
            <w:pPr>
              <w:pStyle w:val="ECDSMarginHead"/>
            </w:pPr>
            <w:r w:rsidRPr="005D4222">
              <w:t>Measure ID</w:t>
            </w:r>
          </w:p>
        </w:tc>
        <w:tc>
          <w:tcPr>
            <w:tcW w:w="990" w:type="dxa"/>
            <w:tcMar>
              <w:top w:w="0" w:type="dxa"/>
              <w:left w:w="86" w:type="dxa"/>
              <w:bottom w:w="43" w:type="dxa"/>
              <w:right w:w="86" w:type="dxa"/>
            </w:tcMar>
          </w:tcPr>
          <w:p w14:paraId="6E6E8273" w14:textId="77777777" w:rsidR="00C03223" w:rsidRPr="005D4222" w:rsidRDefault="00C03223" w:rsidP="00C03223">
            <w:pPr>
              <w:pStyle w:val="ECDSBody"/>
            </w:pPr>
            <w:r w:rsidRPr="005D4222">
              <w:t>PBH</w:t>
            </w:r>
          </w:p>
        </w:tc>
      </w:tr>
      <w:tr w:rsidR="00C03223" w:rsidRPr="005D4222" w14:paraId="00255C5B" w14:textId="77777777">
        <w:tc>
          <w:tcPr>
            <w:tcW w:w="2157" w:type="dxa"/>
            <w:shd w:val="clear" w:color="auto" w:fill="BFBFBF" w:themeFill="background1" w:themeFillShade="BF"/>
            <w:tcMar>
              <w:top w:w="0" w:type="dxa"/>
              <w:left w:w="86" w:type="dxa"/>
              <w:bottom w:w="43" w:type="dxa"/>
              <w:right w:w="86" w:type="dxa"/>
            </w:tcMar>
            <w:hideMark/>
          </w:tcPr>
          <w:p w14:paraId="38130DEF" w14:textId="77777777" w:rsidR="00C03223" w:rsidRPr="005D4222" w:rsidRDefault="00C03223" w:rsidP="00C03223">
            <w:pPr>
              <w:pStyle w:val="ECDSMarginHead"/>
            </w:pPr>
            <w:r w:rsidRPr="005D4222">
              <w:t>Description</w:t>
            </w:r>
          </w:p>
        </w:tc>
        <w:tc>
          <w:tcPr>
            <w:tcW w:w="7560" w:type="dxa"/>
            <w:gridSpan w:val="3"/>
            <w:tcMar>
              <w:top w:w="0" w:type="dxa"/>
              <w:left w:w="86" w:type="dxa"/>
              <w:bottom w:w="43" w:type="dxa"/>
              <w:right w:w="86" w:type="dxa"/>
            </w:tcMar>
          </w:tcPr>
          <w:p w14:paraId="4E0A672F" w14:textId="77777777" w:rsidR="00C03223" w:rsidRPr="005D4222" w:rsidRDefault="00C03223" w:rsidP="00C03223">
            <w:pPr>
              <w:pStyle w:val="ECDSBody"/>
            </w:pPr>
            <w:r w:rsidRPr="005D4222">
              <w:t>The percentage of persons 18 years of age and older during the measurement period who were hospitalized and discharged from July 1 of the year prior to the measurement period to June 30 of the measurement period with a diagnosis of AMI and who received persistent beta-blocker treatment for 180 days (6 months) after discharge.</w:t>
            </w:r>
          </w:p>
        </w:tc>
      </w:tr>
      <w:tr w:rsidR="00C03223" w:rsidRPr="005D4222" w14:paraId="76B0AB37" w14:textId="77777777">
        <w:tc>
          <w:tcPr>
            <w:tcW w:w="2157" w:type="dxa"/>
            <w:shd w:val="clear" w:color="auto" w:fill="BFBFBF" w:themeFill="background1" w:themeFillShade="BF"/>
            <w:tcMar>
              <w:top w:w="0" w:type="dxa"/>
              <w:left w:w="86" w:type="dxa"/>
              <w:bottom w:w="43" w:type="dxa"/>
              <w:right w:w="86" w:type="dxa"/>
            </w:tcMar>
          </w:tcPr>
          <w:p w14:paraId="3454C036" w14:textId="77777777" w:rsidR="00C03223" w:rsidRPr="005D4222" w:rsidRDefault="00C03223" w:rsidP="00C03223">
            <w:pPr>
              <w:pStyle w:val="ECDSMarginHead"/>
            </w:pPr>
            <w:r w:rsidRPr="005D4222">
              <w:t>Measurement period</w:t>
            </w:r>
          </w:p>
        </w:tc>
        <w:tc>
          <w:tcPr>
            <w:tcW w:w="7560" w:type="dxa"/>
            <w:gridSpan w:val="3"/>
            <w:tcMar>
              <w:top w:w="0" w:type="dxa"/>
              <w:left w:w="86" w:type="dxa"/>
              <w:bottom w:w="43" w:type="dxa"/>
              <w:right w:w="86" w:type="dxa"/>
            </w:tcMar>
          </w:tcPr>
          <w:p w14:paraId="325EB774" w14:textId="77777777" w:rsidR="00C03223" w:rsidRPr="005D4222" w:rsidRDefault="00C03223" w:rsidP="00C03223">
            <w:pPr>
              <w:pStyle w:val="ECDSBody"/>
            </w:pPr>
            <w:r w:rsidRPr="005D4222">
              <w:t>January 1–December 31.</w:t>
            </w:r>
          </w:p>
        </w:tc>
      </w:tr>
      <w:tr w:rsidR="00C03223" w:rsidRPr="005D4222" w14:paraId="29CB6129" w14:textId="77777777">
        <w:tc>
          <w:tcPr>
            <w:tcW w:w="2157" w:type="dxa"/>
            <w:shd w:val="clear" w:color="auto" w:fill="BFBFBF" w:themeFill="background1" w:themeFillShade="BF"/>
            <w:tcMar>
              <w:top w:w="0" w:type="dxa"/>
              <w:left w:w="86" w:type="dxa"/>
              <w:bottom w:w="43" w:type="dxa"/>
              <w:right w:w="86" w:type="dxa"/>
            </w:tcMar>
            <w:hideMark/>
          </w:tcPr>
          <w:p w14:paraId="72A54128" w14:textId="77777777" w:rsidR="00C03223" w:rsidRPr="005D4222" w:rsidRDefault="00C03223" w:rsidP="00C03223">
            <w:pPr>
              <w:pStyle w:val="ECDSMarginHead"/>
              <w:rPr>
                <w:rFonts w:eastAsia="Arial"/>
              </w:rPr>
            </w:pPr>
            <w:r w:rsidRPr="005D4222">
              <w:rPr>
                <w:rFonts w:eastAsia="Arial"/>
              </w:rPr>
              <w:t>Copyright and disclaimer notice</w:t>
            </w:r>
          </w:p>
        </w:tc>
        <w:tc>
          <w:tcPr>
            <w:tcW w:w="7560" w:type="dxa"/>
            <w:gridSpan w:val="3"/>
            <w:tcMar>
              <w:top w:w="0" w:type="dxa"/>
              <w:left w:w="86" w:type="dxa"/>
              <w:bottom w:w="43" w:type="dxa"/>
              <w:right w:w="86" w:type="dxa"/>
            </w:tcMar>
          </w:tcPr>
          <w:p w14:paraId="48C19630" w14:textId="77777777" w:rsidR="00C03223" w:rsidRPr="005D4222" w:rsidRDefault="00C03223" w:rsidP="00C03223">
            <w:pPr>
              <w:pStyle w:val="ECDSBody"/>
            </w:pPr>
            <w:r w:rsidRPr="005D4222">
              <w:t xml:space="preserve">Refer to the complete copyright and disclaimer information at the front of this publication. </w:t>
            </w:r>
          </w:p>
          <w:p w14:paraId="45AB969D" w14:textId="77777777" w:rsidR="00C03223" w:rsidRPr="005D4222" w:rsidRDefault="00C03223" w:rsidP="00C03223">
            <w:pPr>
              <w:pStyle w:val="ECDSBody"/>
              <w:rPr>
                <w:szCs w:val="21"/>
              </w:rPr>
            </w:pPr>
            <w:r w:rsidRPr="005D4222">
              <w:rPr>
                <w:szCs w:val="21"/>
              </w:rPr>
              <w:t xml:space="preserve">NCQA website: </w:t>
            </w:r>
            <w:r w:rsidRPr="005D4222">
              <w:rPr>
                <w:szCs w:val="21"/>
                <w:u w:val="single"/>
              </w:rPr>
              <w:t>www.ncqa.org</w:t>
            </w:r>
            <w:r w:rsidRPr="005D4222">
              <w:rPr>
                <w:szCs w:val="21"/>
              </w:rPr>
              <w:t>.</w:t>
            </w:r>
          </w:p>
          <w:p w14:paraId="62BDE371" w14:textId="77777777" w:rsidR="00C03223" w:rsidRPr="005D4222" w:rsidRDefault="00C03223" w:rsidP="00C03223">
            <w:pPr>
              <w:pStyle w:val="ECDSBody"/>
              <w:rPr>
                <w:sz w:val="18"/>
                <w:szCs w:val="18"/>
              </w:rPr>
            </w:pPr>
            <w:r w:rsidRPr="005D4222">
              <w:rPr>
                <w:szCs w:val="21"/>
              </w:rPr>
              <w:t>Submit policy clarification support questions via My NCQA (</w:t>
            </w:r>
            <w:r w:rsidRPr="005D4222">
              <w:rPr>
                <w:szCs w:val="21"/>
                <w:u w:val="single"/>
              </w:rPr>
              <w:t>https://my.ncqa.org</w:t>
            </w:r>
            <w:r w:rsidRPr="005D4222">
              <w:rPr>
                <w:szCs w:val="21"/>
              </w:rPr>
              <w:t>).</w:t>
            </w:r>
          </w:p>
        </w:tc>
      </w:tr>
      <w:tr w:rsidR="00C03223" w:rsidRPr="005D4222" w14:paraId="52E7787D" w14:textId="77777777">
        <w:tc>
          <w:tcPr>
            <w:tcW w:w="2157" w:type="dxa"/>
            <w:shd w:val="clear" w:color="auto" w:fill="BFBFBF" w:themeFill="background1" w:themeFillShade="BF"/>
            <w:tcMar>
              <w:top w:w="0" w:type="dxa"/>
              <w:left w:w="86" w:type="dxa"/>
              <w:bottom w:w="43" w:type="dxa"/>
              <w:right w:w="86" w:type="dxa"/>
            </w:tcMar>
            <w:hideMark/>
          </w:tcPr>
          <w:p w14:paraId="7A5B2613" w14:textId="77777777" w:rsidR="00C03223" w:rsidRPr="005D4222" w:rsidRDefault="00C03223" w:rsidP="00C03223">
            <w:pPr>
              <w:pStyle w:val="ECDSMarginHead"/>
            </w:pPr>
            <w:r w:rsidRPr="005D4222">
              <w:t>Clinical recommendation statement/ rationale</w:t>
            </w:r>
          </w:p>
        </w:tc>
        <w:tc>
          <w:tcPr>
            <w:tcW w:w="7560" w:type="dxa"/>
            <w:gridSpan w:val="3"/>
            <w:tcMar>
              <w:top w:w="0" w:type="dxa"/>
              <w:left w:w="86" w:type="dxa"/>
              <w:bottom w:w="43" w:type="dxa"/>
              <w:right w:w="86" w:type="dxa"/>
            </w:tcMar>
          </w:tcPr>
          <w:p w14:paraId="15D0B259" w14:textId="77777777" w:rsidR="00C03223" w:rsidRPr="005D4222" w:rsidRDefault="00C03223" w:rsidP="00C03223">
            <w:pPr>
              <w:pStyle w:val="ECDSBody"/>
            </w:pPr>
            <w:r w:rsidRPr="005D4222">
              <w:t>American College of Cardiology/American Heart Association (2014)</w:t>
            </w:r>
          </w:p>
          <w:p w14:paraId="0256B529" w14:textId="77777777" w:rsidR="00C03223" w:rsidRPr="005D4222" w:rsidRDefault="00C03223" w:rsidP="00CA13AE">
            <w:pPr>
              <w:pStyle w:val="Bullet"/>
            </w:pPr>
            <w:r w:rsidRPr="005D4222">
              <w:t xml:space="preserve">Among patients with non-ST-elevation acute coronary syndrome, initiate oral beta-blockers within the first 24 hours in the absence of heart failure, low-output state, risk for cardiogenic shock, or other contraindications to beta-blockade. </w:t>
            </w:r>
          </w:p>
          <w:p w14:paraId="53709B8B" w14:textId="77777777" w:rsidR="00C03223" w:rsidRPr="005D4222" w:rsidRDefault="00C03223" w:rsidP="00C03223">
            <w:pPr>
              <w:pStyle w:val="ECDSBody"/>
            </w:pPr>
            <w:r w:rsidRPr="005D4222">
              <w:t>American Heart Association/American College of Cardiology Foundation (2011)</w:t>
            </w:r>
          </w:p>
          <w:p w14:paraId="220BFF70" w14:textId="77777777" w:rsidR="00C03223" w:rsidRPr="005D4222" w:rsidRDefault="00C03223" w:rsidP="00CA13AE">
            <w:pPr>
              <w:pStyle w:val="Bullet"/>
            </w:pPr>
            <w:r w:rsidRPr="005D4222">
              <w:t>Beta-blocker therapy should be started and continued for 3 years in all patients with normal left ventricular function who have had myocardial infarction or acute coronary syndrome.</w:t>
            </w:r>
          </w:p>
          <w:p w14:paraId="4153314C" w14:textId="77777777" w:rsidR="00C03223" w:rsidRPr="005D4222" w:rsidRDefault="00C03223" w:rsidP="00C03223">
            <w:pPr>
              <w:pStyle w:val="ECDSBody"/>
              <w:rPr>
                <w:szCs w:val="21"/>
              </w:rPr>
            </w:pPr>
            <w:r w:rsidRPr="005D4222">
              <w:t>American College of Cardiology Foundation/ American Heart Association (2013)</w:t>
            </w:r>
          </w:p>
          <w:p w14:paraId="2F9700A2" w14:textId="77777777" w:rsidR="00C03223" w:rsidRPr="005D4222" w:rsidRDefault="00C03223" w:rsidP="00CA13AE">
            <w:pPr>
              <w:pStyle w:val="Bullet"/>
            </w:pPr>
            <w:r w:rsidRPr="005D4222">
              <w:t>Oral beta blockers should be initiated in the first 24 hours in patients with ST-Segment Elevation Myocardial Infarction who do not have any of the following: signs of HF, evidence of a low output state, increased risk for cardiogenic shock, or other contraindications to use of oral beta blockers (PR interval more than 0.24 seconds, second- or third-degree heart block, active asthma, or reactive airways disease).</w:t>
            </w:r>
          </w:p>
          <w:p w14:paraId="4F002064" w14:textId="77777777" w:rsidR="00C03223" w:rsidRPr="005D4222" w:rsidRDefault="00C03223" w:rsidP="00CA13AE">
            <w:pPr>
              <w:pStyle w:val="Bullet"/>
              <w:spacing w:after="80"/>
            </w:pPr>
            <w:r w:rsidRPr="005D4222">
              <w:t>Beta blockers should be continued during and after hospitalization for all patients with ST-Segment Elevation Myocardial Infarction and with no contraindications to their use.</w:t>
            </w:r>
          </w:p>
        </w:tc>
      </w:tr>
      <w:tr w:rsidR="00C03223" w:rsidRPr="005D4222" w14:paraId="2031293F" w14:textId="77777777">
        <w:tc>
          <w:tcPr>
            <w:tcW w:w="2157" w:type="dxa"/>
            <w:shd w:val="clear" w:color="auto" w:fill="BFBFBF" w:themeFill="background1" w:themeFillShade="BF"/>
            <w:tcMar>
              <w:top w:w="0" w:type="dxa"/>
              <w:left w:w="86" w:type="dxa"/>
              <w:bottom w:w="43" w:type="dxa"/>
              <w:right w:w="86" w:type="dxa"/>
            </w:tcMar>
          </w:tcPr>
          <w:p w14:paraId="15063D49" w14:textId="77777777" w:rsidR="00C03223" w:rsidRPr="005D4222" w:rsidRDefault="00C03223" w:rsidP="00C03223">
            <w:pPr>
              <w:pStyle w:val="ECDSMarginHead"/>
            </w:pPr>
            <w:r w:rsidRPr="005D4222">
              <w:t>Citations</w:t>
            </w:r>
          </w:p>
        </w:tc>
        <w:tc>
          <w:tcPr>
            <w:tcW w:w="7560" w:type="dxa"/>
            <w:gridSpan w:val="3"/>
            <w:tcMar>
              <w:top w:w="0" w:type="dxa"/>
              <w:left w:w="86" w:type="dxa"/>
              <w:bottom w:w="43" w:type="dxa"/>
              <w:right w:w="86" w:type="dxa"/>
            </w:tcMar>
          </w:tcPr>
          <w:p w14:paraId="18B2D8BA" w14:textId="37BECC2B" w:rsidR="00C03223" w:rsidRPr="005D4222" w:rsidRDefault="00C03223" w:rsidP="00914182">
            <w:pPr>
              <w:pStyle w:val="ECDSBody"/>
            </w:pPr>
            <w:r w:rsidRPr="005D4222">
              <w:t xml:space="preserve">Amsterdam, E.A., N.K. Wenger, R.G. Brindis, D.E. Casey, T.G. Ganiats, D.R. Holmes, A.S. Jaffe, et al. “2014 AHA/ACC Guideline for the Management of Patients With Non–ST-Elevation Acute Coronary Syndromes: A Report of the American College of Cardiology/American Heart Association Task Force on Practice Guidelines.” </w:t>
            </w:r>
            <w:r w:rsidRPr="005D4222">
              <w:rPr>
                <w:i/>
                <w:iCs/>
              </w:rPr>
              <w:t>Circulation</w:t>
            </w:r>
            <w:r w:rsidRPr="005D4222">
              <w:t xml:space="preserve"> 130, no. 25 (December 2014). https://doi.org/10.1161/CIR.0000000000000134</w:t>
            </w:r>
          </w:p>
        </w:tc>
      </w:tr>
      <w:tr w:rsidR="00C03223" w:rsidRPr="005D4222" w14:paraId="23CA148D" w14:textId="77777777">
        <w:tc>
          <w:tcPr>
            <w:tcW w:w="2157" w:type="dxa"/>
            <w:shd w:val="clear" w:color="auto" w:fill="BFBFBF" w:themeFill="background1" w:themeFillShade="BF"/>
            <w:tcMar>
              <w:top w:w="0" w:type="dxa"/>
              <w:left w:w="86" w:type="dxa"/>
              <w:bottom w:w="43" w:type="dxa"/>
              <w:right w:w="86" w:type="dxa"/>
            </w:tcMar>
          </w:tcPr>
          <w:p w14:paraId="190808EA" w14:textId="77777777" w:rsidR="00C03223" w:rsidRPr="005D4222" w:rsidRDefault="00C03223" w:rsidP="00C03223">
            <w:pPr>
              <w:spacing w:before="120" w:after="80"/>
              <w:rPr>
                <w:b/>
                <w:sz w:val="22"/>
                <w:szCs w:val="21"/>
              </w:rPr>
            </w:pPr>
          </w:p>
        </w:tc>
        <w:tc>
          <w:tcPr>
            <w:tcW w:w="7560" w:type="dxa"/>
            <w:gridSpan w:val="3"/>
            <w:tcMar>
              <w:top w:w="0" w:type="dxa"/>
              <w:left w:w="86" w:type="dxa"/>
              <w:bottom w:w="43" w:type="dxa"/>
              <w:right w:w="86" w:type="dxa"/>
            </w:tcMar>
          </w:tcPr>
          <w:p w14:paraId="644AC73B" w14:textId="29B66217" w:rsidR="00C03223" w:rsidRPr="005D4222" w:rsidRDefault="00914182" w:rsidP="00914182">
            <w:pPr>
              <w:pStyle w:val="ECDSBody"/>
            </w:pPr>
            <w:r w:rsidRPr="005D4222">
              <w:t xml:space="preserve">Smith, S.C., E.J. Benjamin, R.O. Bonow, L.T. Braun, M.A. Creager, B.A. Franklin, R.J. Gibbons, et al. “AHA/ACCF Secondary Prevention and Risk Reduction Therapy for Patients With Coronary and Other Atherosclerotic </w:t>
            </w:r>
            <w:r w:rsidR="00C03223" w:rsidRPr="005D4222">
              <w:t xml:space="preserve">Vascular Disease: 2011 Update: A Guideline From the American Heart Association and American College of Cardiology Foundation.” </w:t>
            </w:r>
            <w:r w:rsidR="00C03223" w:rsidRPr="005D4222">
              <w:rPr>
                <w:i/>
                <w:iCs/>
              </w:rPr>
              <w:t xml:space="preserve">Circulation </w:t>
            </w:r>
            <w:r w:rsidR="00C03223" w:rsidRPr="005D4222">
              <w:t>124, no. 22 (November 29, 2011): 2458–73. https://doi.org/10.1161/CIR.0b013e318235eb4d</w:t>
            </w:r>
          </w:p>
        </w:tc>
      </w:tr>
      <w:tr w:rsidR="00C03223" w:rsidRPr="005D4222" w14:paraId="36035269" w14:textId="77777777">
        <w:tc>
          <w:tcPr>
            <w:tcW w:w="9717"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1A833134" w14:textId="77777777" w:rsidR="00C03223" w:rsidRPr="005D4222" w:rsidRDefault="00C03223" w:rsidP="00914182">
            <w:pPr>
              <w:pStyle w:val="ECDSMarginHead"/>
            </w:pPr>
            <w:r w:rsidRPr="005D4222">
              <w:t>Characteristics</w:t>
            </w:r>
          </w:p>
        </w:tc>
      </w:tr>
      <w:tr w:rsidR="00C03223" w:rsidRPr="005D4222" w14:paraId="339E977F" w14:textId="77777777">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387D5AAA" w14:textId="77777777" w:rsidR="00C03223" w:rsidRPr="005D4222" w:rsidRDefault="00C03223" w:rsidP="00914182">
            <w:pPr>
              <w:pStyle w:val="ECDSSubhead"/>
            </w:pPr>
            <w:r w:rsidRPr="005D4222">
              <w:t>Scoring</w:t>
            </w:r>
          </w:p>
        </w:tc>
        <w:tc>
          <w:tcPr>
            <w:tcW w:w="7560"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3C0C0167" w14:textId="77777777" w:rsidR="00C03223" w:rsidRPr="005D4222" w:rsidRDefault="00C03223" w:rsidP="00914182">
            <w:pPr>
              <w:pStyle w:val="ECDSBody"/>
              <w:spacing w:after="0"/>
            </w:pPr>
            <w:r w:rsidRPr="005D4222">
              <w:t>Proportion.</w:t>
            </w:r>
          </w:p>
        </w:tc>
      </w:tr>
      <w:tr w:rsidR="00C03223" w:rsidRPr="005D4222" w14:paraId="60D652F1"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6626BD20" w14:textId="77777777" w:rsidR="00C03223" w:rsidRPr="005D4222" w:rsidRDefault="00C03223" w:rsidP="00914182">
            <w:pPr>
              <w:pStyle w:val="ECDSSubhead"/>
            </w:pPr>
            <w:r w:rsidRPr="005D4222">
              <w:t>Type</w:t>
            </w:r>
          </w:p>
        </w:tc>
        <w:tc>
          <w:tcPr>
            <w:tcW w:w="7560" w:type="dxa"/>
            <w:gridSpan w:val="3"/>
            <w:tcBorders>
              <w:top w:val="nil"/>
              <w:left w:val="single" w:sz="4" w:space="0" w:color="auto"/>
              <w:bottom w:val="nil"/>
              <w:right w:val="single" w:sz="4" w:space="0" w:color="auto"/>
            </w:tcBorders>
            <w:tcMar>
              <w:top w:w="0" w:type="dxa"/>
              <w:left w:w="86" w:type="dxa"/>
              <w:bottom w:w="43" w:type="dxa"/>
              <w:right w:w="86" w:type="dxa"/>
            </w:tcMar>
          </w:tcPr>
          <w:p w14:paraId="7732543B" w14:textId="77777777" w:rsidR="00C03223" w:rsidRPr="005D4222" w:rsidRDefault="00C03223" w:rsidP="00914182">
            <w:pPr>
              <w:pStyle w:val="ECDSBody"/>
              <w:spacing w:after="0"/>
            </w:pPr>
            <w:r w:rsidRPr="005D4222">
              <w:t>Process.</w:t>
            </w:r>
          </w:p>
        </w:tc>
      </w:tr>
      <w:tr w:rsidR="00C03223" w:rsidRPr="005D4222" w14:paraId="532F0521"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1938DCF7" w14:textId="790003F4" w:rsidR="00C03223" w:rsidRPr="005D4222" w:rsidRDefault="00B51CDC" w:rsidP="00914182">
            <w:pPr>
              <w:pStyle w:val="ECDSSubhead"/>
            </w:pPr>
            <w:r w:rsidRPr="005D4222">
              <w:t>Product lines</w:t>
            </w:r>
          </w:p>
        </w:tc>
        <w:tc>
          <w:tcPr>
            <w:tcW w:w="7560" w:type="dxa"/>
            <w:gridSpan w:val="3"/>
            <w:tcBorders>
              <w:top w:val="nil"/>
              <w:left w:val="single" w:sz="4" w:space="0" w:color="auto"/>
              <w:bottom w:val="nil"/>
              <w:right w:val="single" w:sz="4" w:space="0" w:color="auto"/>
            </w:tcBorders>
            <w:tcMar>
              <w:top w:w="0" w:type="dxa"/>
              <w:left w:w="86" w:type="dxa"/>
              <w:bottom w:w="43" w:type="dxa"/>
              <w:right w:w="86" w:type="dxa"/>
            </w:tcMar>
          </w:tcPr>
          <w:p w14:paraId="3581BB69" w14:textId="77777777" w:rsidR="00C03223" w:rsidRPr="005D4222" w:rsidRDefault="00C03223" w:rsidP="00992C3B">
            <w:pPr>
              <w:numPr>
                <w:ilvl w:val="0"/>
                <w:numId w:val="39"/>
              </w:numPr>
              <w:tabs>
                <w:tab w:val="left" w:pos="216"/>
              </w:tabs>
              <w:spacing w:before="120"/>
              <w:ind w:left="216" w:hanging="216"/>
              <w:rPr>
                <w:szCs w:val="24"/>
              </w:rPr>
            </w:pPr>
            <w:r w:rsidRPr="005D4222">
              <w:rPr>
                <w:szCs w:val="24"/>
              </w:rPr>
              <w:t>Commercial.</w:t>
            </w:r>
          </w:p>
          <w:p w14:paraId="4CFF7027" w14:textId="77777777" w:rsidR="00C03223" w:rsidRPr="005D4222" w:rsidRDefault="00C03223" w:rsidP="00992C3B">
            <w:pPr>
              <w:numPr>
                <w:ilvl w:val="0"/>
                <w:numId w:val="39"/>
              </w:numPr>
              <w:tabs>
                <w:tab w:val="left" w:pos="216"/>
              </w:tabs>
              <w:spacing w:before="80"/>
              <w:ind w:left="216" w:hanging="216"/>
              <w:rPr>
                <w:szCs w:val="24"/>
              </w:rPr>
            </w:pPr>
            <w:r w:rsidRPr="005D4222">
              <w:rPr>
                <w:szCs w:val="24"/>
              </w:rPr>
              <w:t>Medicaid.</w:t>
            </w:r>
          </w:p>
          <w:p w14:paraId="7E7E6D2B" w14:textId="77777777" w:rsidR="00C03223" w:rsidRPr="005D4222" w:rsidRDefault="00C03223" w:rsidP="00992C3B">
            <w:pPr>
              <w:numPr>
                <w:ilvl w:val="0"/>
                <w:numId w:val="39"/>
              </w:numPr>
              <w:tabs>
                <w:tab w:val="left" w:pos="216"/>
              </w:tabs>
              <w:spacing w:before="80"/>
              <w:ind w:left="216" w:hanging="216"/>
              <w:rPr>
                <w:szCs w:val="24"/>
              </w:rPr>
            </w:pPr>
            <w:r w:rsidRPr="005D4222">
              <w:rPr>
                <w:szCs w:val="24"/>
              </w:rPr>
              <w:t>Medicare.</w:t>
            </w:r>
          </w:p>
        </w:tc>
      </w:tr>
      <w:tr w:rsidR="00C03223" w:rsidRPr="005D4222" w14:paraId="7A14E433"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4DE49C3A" w14:textId="28749DD7" w:rsidR="00C03223" w:rsidRPr="005D4222" w:rsidRDefault="00B51CDC" w:rsidP="00914182">
            <w:pPr>
              <w:pStyle w:val="ECDSSubhead"/>
            </w:pPr>
            <w:r w:rsidRPr="005D4222">
              <w:t>Stratifications</w:t>
            </w:r>
            <w:r w:rsidR="00C03223" w:rsidRPr="005D4222">
              <w:t xml:space="preserve"> </w:t>
            </w:r>
          </w:p>
        </w:tc>
        <w:tc>
          <w:tcPr>
            <w:tcW w:w="7560"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564A43B9" w14:textId="77777777" w:rsidR="00C03223" w:rsidRPr="005D4222" w:rsidRDefault="00C03223" w:rsidP="00914182">
            <w:pPr>
              <w:pStyle w:val="ECDSBody"/>
              <w:spacing w:after="0"/>
              <w:rPr>
                <w:rFonts w:eastAsia="Arial,Arial,Arial,Arial,Arial,A"/>
              </w:rPr>
            </w:pPr>
            <w:r w:rsidRPr="005D4222">
              <w:t>None.</w:t>
            </w:r>
          </w:p>
        </w:tc>
      </w:tr>
      <w:tr w:rsidR="00C03223" w:rsidRPr="005D4222" w14:paraId="0612BE06"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0E836A1F" w14:textId="77777777" w:rsidR="00C03223" w:rsidRPr="005D4222" w:rsidRDefault="00C03223" w:rsidP="00914182">
            <w:pPr>
              <w:pStyle w:val="ECDSSubhead"/>
            </w:pPr>
            <w:r w:rsidRPr="005D4222">
              <w:t>Risk adjustment</w:t>
            </w:r>
          </w:p>
        </w:tc>
        <w:tc>
          <w:tcPr>
            <w:tcW w:w="7560"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628AE8D2" w14:textId="77777777" w:rsidR="00C03223" w:rsidRPr="005D4222" w:rsidRDefault="00C03223" w:rsidP="00914182">
            <w:pPr>
              <w:pStyle w:val="ECDSBody"/>
              <w:spacing w:after="0"/>
              <w:rPr>
                <w:szCs w:val="21"/>
              </w:rPr>
            </w:pPr>
            <w:r w:rsidRPr="005D4222">
              <w:rPr>
                <w:szCs w:val="21"/>
              </w:rPr>
              <w:t>None.</w:t>
            </w:r>
          </w:p>
        </w:tc>
      </w:tr>
      <w:tr w:rsidR="00C03223" w:rsidRPr="005D4222" w14:paraId="3DF1175F"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181097B7" w14:textId="77777777" w:rsidR="00C03223" w:rsidRPr="005D4222" w:rsidRDefault="00C03223" w:rsidP="00914182">
            <w:pPr>
              <w:pStyle w:val="ECDSSubhead"/>
            </w:pPr>
            <w:r w:rsidRPr="005D4222">
              <w:t>Improvement notation</w:t>
            </w:r>
          </w:p>
        </w:tc>
        <w:tc>
          <w:tcPr>
            <w:tcW w:w="7560"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4F990F69" w14:textId="77777777" w:rsidR="00C03223" w:rsidRPr="005D4222" w:rsidRDefault="00C03223" w:rsidP="00914182">
            <w:pPr>
              <w:pStyle w:val="ECDSBody"/>
              <w:spacing w:after="0"/>
            </w:pPr>
            <w:r w:rsidRPr="005D4222">
              <w:rPr>
                <w:iCs/>
                <w:szCs w:val="21"/>
              </w:rPr>
              <w:t>Increased score indicates improvement.</w:t>
            </w:r>
          </w:p>
        </w:tc>
      </w:tr>
      <w:tr w:rsidR="00C03223" w:rsidRPr="005D4222" w14:paraId="1C148457" w14:textId="77777777">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651A6463" w14:textId="77777777" w:rsidR="00C03223" w:rsidRPr="005D4222" w:rsidRDefault="00C03223" w:rsidP="00914182">
            <w:pPr>
              <w:pStyle w:val="ECDSSubhead"/>
            </w:pPr>
            <w:r w:rsidRPr="005D4222">
              <w:t>Guidance</w:t>
            </w:r>
          </w:p>
        </w:tc>
        <w:tc>
          <w:tcPr>
            <w:tcW w:w="7560"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408A11BE" w14:textId="791C0BEC" w:rsidR="00C03223" w:rsidRPr="005D4222" w:rsidRDefault="00C03223" w:rsidP="00914182">
            <w:pPr>
              <w:pStyle w:val="ECDSBody"/>
            </w:pPr>
            <w:r w:rsidRPr="005D4222">
              <w:rPr>
                <w:b/>
              </w:rPr>
              <w:t>Data collection methodology:</w:t>
            </w:r>
            <w:r w:rsidRPr="005D4222">
              <w:t xml:space="preserve"> Administrative. Refer to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0BD76F75" w14:textId="77777777" w:rsidR="00C03223" w:rsidRPr="005D4222" w:rsidRDefault="00C03223" w:rsidP="00914182">
            <w:pPr>
              <w:pStyle w:val="ECDSBody"/>
            </w:pPr>
            <w:r w:rsidRPr="005D4222">
              <w:rPr>
                <w:b/>
              </w:rPr>
              <w:t xml:space="preserve">Date specificity: </w:t>
            </w:r>
            <w:r w:rsidRPr="005D4222">
              <w:t>Dates must be specific enough to determine the event occurred in the period being measured.</w:t>
            </w:r>
          </w:p>
          <w:p w14:paraId="62DB8F47" w14:textId="77777777" w:rsidR="00C03223" w:rsidRPr="005D4222" w:rsidRDefault="00C03223" w:rsidP="00914182">
            <w:pPr>
              <w:pStyle w:val="ECDSBody"/>
            </w:pPr>
            <w:r w:rsidRPr="005D4222">
              <w:rPr>
                <w:b/>
              </w:rPr>
              <w:t xml:space="preserve">Which services count? </w:t>
            </w:r>
            <w:r w:rsidRPr="005D4222">
              <w:t>When using claims, include all paid, suspended, pending and denied claims.</w:t>
            </w:r>
          </w:p>
        </w:tc>
      </w:tr>
      <w:tr w:rsidR="00C03223" w:rsidRPr="005D4222" w14:paraId="763D5F50" w14:textId="77777777">
        <w:tc>
          <w:tcPr>
            <w:tcW w:w="9717" w:type="dxa"/>
            <w:gridSpan w:val="4"/>
            <w:tcBorders>
              <w:top w:val="single" w:sz="4" w:space="0" w:color="auto"/>
              <w:bottom w:val="single" w:sz="4" w:space="0" w:color="auto"/>
            </w:tcBorders>
            <w:shd w:val="clear" w:color="auto" w:fill="BFBFBF" w:themeFill="background1" w:themeFillShade="BF"/>
            <w:tcMar>
              <w:top w:w="0" w:type="dxa"/>
              <w:left w:w="86" w:type="dxa"/>
              <w:bottom w:w="43" w:type="dxa"/>
              <w:right w:w="86" w:type="dxa"/>
            </w:tcMar>
          </w:tcPr>
          <w:p w14:paraId="5A25C682" w14:textId="77777777" w:rsidR="00C03223" w:rsidRPr="005D4222" w:rsidRDefault="00C03223" w:rsidP="00914182">
            <w:pPr>
              <w:pStyle w:val="ECDSMarginHead"/>
            </w:pPr>
            <w:r w:rsidRPr="005D4222">
              <w:t xml:space="preserve">Definitions </w:t>
            </w:r>
          </w:p>
        </w:tc>
      </w:tr>
      <w:tr w:rsidR="00C03223" w:rsidRPr="005D4222" w14:paraId="702CCF3E" w14:textId="77777777" w:rsidTr="00914182">
        <w:tc>
          <w:tcPr>
            <w:tcW w:w="2157" w:type="dxa"/>
            <w:tcBorders>
              <w:top w:val="nil"/>
              <w:bottom w:val="nil"/>
            </w:tcBorders>
            <w:tcMar>
              <w:top w:w="0" w:type="dxa"/>
              <w:left w:w="86" w:type="dxa"/>
              <w:bottom w:w="43" w:type="dxa"/>
              <w:right w:w="86" w:type="dxa"/>
            </w:tcMar>
          </w:tcPr>
          <w:p w14:paraId="2B7E6418" w14:textId="77777777" w:rsidR="00C03223" w:rsidRPr="005D4222" w:rsidRDefault="00C03223" w:rsidP="00914182">
            <w:pPr>
              <w:pStyle w:val="ECDSSubhead"/>
            </w:pPr>
            <w:r w:rsidRPr="005D4222">
              <w:t>180-day measurement interval</w:t>
            </w:r>
          </w:p>
        </w:tc>
        <w:tc>
          <w:tcPr>
            <w:tcW w:w="7560" w:type="dxa"/>
            <w:gridSpan w:val="3"/>
            <w:tcBorders>
              <w:top w:val="nil"/>
              <w:bottom w:val="nil"/>
            </w:tcBorders>
            <w:tcMar>
              <w:left w:w="86" w:type="dxa"/>
              <w:bottom w:w="43" w:type="dxa"/>
              <w:right w:w="86" w:type="dxa"/>
            </w:tcMar>
          </w:tcPr>
          <w:p w14:paraId="2AD2B314" w14:textId="77777777" w:rsidR="00C03223" w:rsidRPr="005D4222" w:rsidRDefault="00C03223" w:rsidP="00914182">
            <w:pPr>
              <w:pStyle w:val="ECDSBody"/>
              <w:rPr>
                <w:highlight w:val="yellow"/>
              </w:rPr>
            </w:pPr>
            <w:r w:rsidRPr="005D4222">
              <w:t xml:space="preserve">The 180-day period that includes the discharge date and the 179 days after discharge. </w:t>
            </w:r>
          </w:p>
        </w:tc>
      </w:tr>
      <w:tr w:rsidR="00C03223" w:rsidRPr="005D4222" w14:paraId="0B6D39F4" w14:textId="77777777" w:rsidTr="00914182">
        <w:tc>
          <w:tcPr>
            <w:tcW w:w="2157" w:type="dxa"/>
            <w:tcBorders>
              <w:top w:val="nil"/>
              <w:bottom w:val="single" w:sz="4" w:space="0" w:color="auto"/>
            </w:tcBorders>
            <w:tcMar>
              <w:top w:w="0" w:type="dxa"/>
              <w:left w:w="86" w:type="dxa"/>
              <w:bottom w:w="43" w:type="dxa"/>
              <w:right w:w="86" w:type="dxa"/>
            </w:tcMar>
          </w:tcPr>
          <w:p w14:paraId="02177A95" w14:textId="77777777" w:rsidR="00C03223" w:rsidRPr="005D4222" w:rsidRDefault="00C03223" w:rsidP="00914182">
            <w:pPr>
              <w:pStyle w:val="ECDSSubhead"/>
            </w:pPr>
            <w:r w:rsidRPr="005D4222">
              <w:t>Direct transfer</w:t>
            </w:r>
          </w:p>
        </w:tc>
        <w:tc>
          <w:tcPr>
            <w:tcW w:w="7560" w:type="dxa"/>
            <w:gridSpan w:val="3"/>
            <w:tcBorders>
              <w:top w:val="nil"/>
              <w:bottom w:val="single" w:sz="4" w:space="0" w:color="auto"/>
            </w:tcBorders>
            <w:tcMar>
              <w:left w:w="86" w:type="dxa"/>
              <w:bottom w:w="43" w:type="dxa"/>
              <w:right w:w="86" w:type="dxa"/>
            </w:tcMar>
          </w:tcPr>
          <w:p w14:paraId="59C65FBF" w14:textId="77777777" w:rsidR="00C03223" w:rsidRPr="005D4222" w:rsidRDefault="00C03223" w:rsidP="00914182">
            <w:pPr>
              <w:pStyle w:val="ECDSBody"/>
            </w:pPr>
            <w:r w:rsidRPr="005D4222">
              <w:t xml:space="preserve">When the discharge date from the first inpatient setting precedes the admission date to a second inpatient setting by 1 calendar day or less. </w:t>
            </w:r>
          </w:p>
          <w:p w14:paraId="2A541661" w14:textId="77777777" w:rsidR="00C03223" w:rsidRPr="005D4222" w:rsidRDefault="00C03223" w:rsidP="00914182">
            <w:pPr>
              <w:pStyle w:val="Bullet"/>
              <w:rPr>
                <w:i/>
              </w:rPr>
            </w:pPr>
            <w:r w:rsidRPr="005D4222">
              <w:rPr>
                <w:i/>
              </w:rPr>
              <w:t>For example:</w:t>
            </w:r>
          </w:p>
          <w:p w14:paraId="76EB589B" w14:textId="77777777" w:rsidR="00C03223" w:rsidRPr="005D4222" w:rsidRDefault="00C03223" w:rsidP="00914182">
            <w:pPr>
              <w:pStyle w:val="Dash"/>
              <w:rPr>
                <w:i/>
                <w:iCs/>
              </w:rPr>
            </w:pPr>
            <w:r w:rsidRPr="005D4222">
              <w:t xml:space="preserve">An inpatient discharge on June 1, followed by an admission to another inpatient setting on June 1, </w:t>
            </w:r>
            <w:r w:rsidRPr="005D4222">
              <w:rPr>
                <w:i/>
                <w:iCs/>
              </w:rPr>
              <w:t>is a direct transfer.</w:t>
            </w:r>
          </w:p>
          <w:p w14:paraId="3DB33C8D" w14:textId="77777777" w:rsidR="00C03223" w:rsidRPr="005D4222" w:rsidRDefault="00C03223" w:rsidP="00914182">
            <w:pPr>
              <w:pStyle w:val="Dash"/>
              <w:rPr>
                <w:i/>
                <w:iCs/>
              </w:rPr>
            </w:pPr>
            <w:r w:rsidRPr="005D4222">
              <w:t>An inpatient discharge on June 1, followed by an admission to an inpatient setting on June 2,</w:t>
            </w:r>
            <w:r w:rsidRPr="005D4222">
              <w:rPr>
                <w:i/>
                <w:iCs/>
              </w:rPr>
              <w:t xml:space="preserve"> is a direct transfer.</w:t>
            </w:r>
          </w:p>
          <w:p w14:paraId="2026CC02" w14:textId="77777777" w:rsidR="00C03223" w:rsidRPr="005D4222" w:rsidRDefault="00C03223" w:rsidP="00914182">
            <w:pPr>
              <w:pStyle w:val="Dash"/>
              <w:spacing w:after="80"/>
            </w:pPr>
            <w:r w:rsidRPr="005D4222">
              <w:t xml:space="preserve">An inpatient discharge on June 1, followed by an admission to another inpatient setting on June 3, </w:t>
            </w:r>
            <w:r w:rsidRPr="005D4222">
              <w:rPr>
                <w:i/>
                <w:iCs/>
              </w:rPr>
              <w:t>is not a direct transfer;</w:t>
            </w:r>
            <w:r w:rsidRPr="005D4222">
              <w:t xml:space="preserve"> these are two distinct inpatient stays.</w:t>
            </w:r>
          </w:p>
        </w:tc>
      </w:tr>
    </w:tbl>
    <w:p w14:paraId="76B8E14B" w14:textId="77777777" w:rsidR="00914182" w:rsidRPr="005D4222" w:rsidRDefault="00914182"/>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60"/>
      </w:tblGrid>
      <w:tr w:rsidR="00C03223" w:rsidRPr="005D4222" w14:paraId="198BC944" w14:textId="77777777" w:rsidTr="00914182">
        <w:tc>
          <w:tcPr>
            <w:tcW w:w="2157" w:type="dxa"/>
            <w:tcBorders>
              <w:top w:val="single" w:sz="4" w:space="0" w:color="auto"/>
              <w:bottom w:val="single" w:sz="4" w:space="0" w:color="auto"/>
            </w:tcBorders>
            <w:tcMar>
              <w:top w:w="0" w:type="dxa"/>
              <w:left w:w="86" w:type="dxa"/>
              <w:bottom w:w="43" w:type="dxa"/>
              <w:right w:w="86" w:type="dxa"/>
            </w:tcMar>
          </w:tcPr>
          <w:p w14:paraId="7854F538" w14:textId="77777777" w:rsidR="00C03223" w:rsidRPr="005D4222" w:rsidRDefault="00C03223" w:rsidP="00914182">
            <w:pPr>
              <w:pStyle w:val="ECDSSubhead"/>
            </w:pPr>
            <w:r w:rsidRPr="005D4222">
              <w:lastRenderedPageBreak/>
              <w:t xml:space="preserve">Treatment days (covered days) </w:t>
            </w:r>
          </w:p>
        </w:tc>
        <w:tc>
          <w:tcPr>
            <w:tcW w:w="7560" w:type="dxa"/>
            <w:tcBorders>
              <w:top w:val="single" w:sz="4" w:space="0" w:color="auto"/>
              <w:bottom w:val="single" w:sz="4" w:space="0" w:color="auto"/>
            </w:tcBorders>
            <w:tcMar>
              <w:left w:w="86" w:type="dxa"/>
              <w:bottom w:w="43" w:type="dxa"/>
              <w:right w:w="86" w:type="dxa"/>
            </w:tcMar>
          </w:tcPr>
          <w:p w14:paraId="6E504C4B" w14:textId="77777777" w:rsidR="00C03223" w:rsidRPr="005D4222" w:rsidRDefault="00C03223" w:rsidP="00914182">
            <w:pPr>
              <w:pStyle w:val="ECDSBody"/>
            </w:pPr>
            <w:r w:rsidRPr="005D4222">
              <w:t xml:space="preserve">The actual number of calendar days covered with prescriptions within the specified 180-day measurement interval (e.g., a prescription of a 90-day supply dispensed on the 100th day will have 81 days counted in the 180-day interval). </w:t>
            </w:r>
          </w:p>
        </w:tc>
      </w:tr>
      <w:tr w:rsidR="00C03223" w:rsidRPr="005D4222" w14:paraId="4BC721A6" w14:textId="77777777">
        <w:tc>
          <w:tcPr>
            <w:tcW w:w="2157" w:type="dxa"/>
            <w:shd w:val="clear" w:color="auto" w:fill="BFBFBF" w:themeFill="background1" w:themeFillShade="BF"/>
            <w:tcMar>
              <w:top w:w="0" w:type="dxa"/>
              <w:left w:w="86" w:type="dxa"/>
              <w:bottom w:w="43" w:type="dxa"/>
              <w:right w:w="86" w:type="dxa"/>
            </w:tcMar>
          </w:tcPr>
          <w:p w14:paraId="1492B6A8" w14:textId="26070789" w:rsidR="00C03223" w:rsidRPr="005D4222" w:rsidRDefault="00C03223" w:rsidP="00C03223">
            <w:pPr>
              <w:spacing w:before="120" w:after="80"/>
              <w:rPr>
                <w:b/>
                <w:sz w:val="22"/>
                <w:szCs w:val="21"/>
              </w:rPr>
            </w:pPr>
            <w:r w:rsidRPr="005D4222">
              <w:rPr>
                <w:szCs w:val="21"/>
              </w:rPr>
              <w:br w:type="page"/>
            </w:r>
            <w:r w:rsidRPr="005D4222">
              <w:rPr>
                <w:b/>
                <w:sz w:val="22"/>
                <w:szCs w:val="21"/>
              </w:rPr>
              <w:t>Initial population</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B7610F0" w14:textId="77777777" w:rsidR="00C03223" w:rsidRPr="005D4222" w:rsidRDefault="00C03223" w:rsidP="00914182">
            <w:pPr>
              <w:pStyle w:val="ECDSBody"/>
            </w:pPr>
            <w:r w:rsidRPr="005D4222">
              <w:rPr>
                <w:i/>
                <w:iCs/>
              </w:rPr>
              <w:t>Measure item count:</w:t>
            </w:r>
            <w:r w:rsidRPr="005D4222">
              <w:t xml:space="preserve"> Person.</w:t>
            </w:r>
          </w:p>
          <w:p w14:paraId="5B74B315" w14:textId="77777777" w:rsidR="00C03223" w:rsidRPr="005D4222" w:rsidRDefault="00C03223" w:rsidP="00914182">
            <w:pPr>
              <w:pStyle w:val="ECDSBody"/>
            </w:pPr>
            <w:r w:rsidRPr="005D4222">
              <w:rPr>
                <w:i/>
                <w:iCs/>
              </w:rPr>
              <w:t>Attribution basis:</w:t>
            </w:r>
            <w:r w:rsidRPr="005D4222">
              <w:t xml:space="preserve"> Enrollment.</w:t>
            </w:r>
          </w:p>
          <w:p w14:paraId="27071C0D" w14:textId="77777777" w:rsidR="00C03223" w:rsidRPr="005D4222" w:rsidRDefault="00C03223" w:rsidP="00914182">
            <w:pPr>
              <w:pStyle w:val="Bullet"/>
            </w:pPr>
            <w:r w:rsidRPr="005D4222">
              <w:rPr>
                <w:i/>
                <w:iCs/>
              </w:rPr>
              <w:t>Benefits:</w:t>
            </w:r>
            <w:r w:rsidRPr="005D4222">
              <w:t xml:space="preserve"> Medical and pharmacy.</w:t>
            </w:r>
          </w:p>
          <w:p w14:paraId="56CBD605" w14:textId="77777777" w:rsidR="00C03223" w:rsidRPr="005D4222" w:rsidRDefault="00C03223" w:rsidP="00914182">
            <w:pPr>
              <w:pStyle w:val="Bullet"/>
            </w:pPr>
            <w:r w:rsidRPr="005D4222">
              <w:rPr>
                <w:i/>
                <w:iCs/>
              </w:rPr>
              <w:t>Continuous enrollment</w:t>
            </w:r>
            <w:r w:rsidRPr="005D4222">
              <w:t>: Discharge date through 179 days after discharge.</w:t>
            </w:r>
          </w:p>
          <w:p w14:paraId="64DE599A" w14:textId="77777777" w:rsidR="00C03223" w:rsidRPr="005D4222" w:rsidRDefault="00C03223" w:rsidP="00914182">
            <w:pPr>
              <w:pStyle w:val="Bullet"/>
            </w:pPr>
            <w:r w:rsidRPr="005D4222">
              <w:rPr>
                <w:i/>
                <w:iCs/>
              </w:rPr>
              <w:t>Allowable gap:</w:t>
            </w:r>
            <w:r w:rsidRPr="005D4222">
              <w:t xml:space="preserve"> No more than one gap of ≤45 days within the 180 days of the event. No gaps on the discharge date.</w:t>
            </w:r>
          </w:p>
          <w:p w14:paraId="41205657" w14:textId="77777777" w:rsidR="00C03223" w:rsidRPr="005D4222" w:rsidRDefault="00C03223" w:rsidP="00914182">
            <w:pPr>
              <w:pStyle w:val="ECDSBody"/>
            </w:pPr>
            <w:r w:rsidRPr="005D4222">
              <w:rPr>
                <w:i/>
                <w:iCs/>
              </w:rPr>
              <w:t>Ages:</w:t>
            </w:r>
            <w:r w:rsidRPr="005D4222">
              <w:t xml:space="preserve"> 18 years of age and older as of the last day of the measurement period.</w:t>
            </w:r>
          </w:p>
          <w:p w14:paraId="2E6B95C4" w14:textId="77777777" w:rsidR="00052BBD" w:rsidRPr="005D4222" w:rsidRDefault="00C03223" w:rsidP="00914182">
            <w:pPr>
              <w:pStyle w:val="ECDSBody"/>
              <w:rPr>
                <w:b/>
              </w:rPr>
            </w:pPr>
            <w:r w:rsidRPr="005D4222">
              <w:rPr>
                <w:i/>
                <w:iCs/>
              </w:rPr>
              <w:t xml:space="preserve">Event: </w:t>
            </w:r>
            <w:r w:rsidRPr="005D4222">
              <w:rPr>
                <w:b/>
              </w:rPr>
              <w:t>Hospitalization for AMI.</w:t>
            </w:r>
          </w:p>
          <w:p w14:paraId="109D28F1" w14:textId="2FAD8246" w:rsidR="00C03223" w:rsidRPr="005D4222" w:rsidRDefault="00C03223" w:rsidP="00914182">
            <w:pPr>
              <w:pStyle w:val="ECDSBody"/>
              <w:rPr>
                <w:szCs w:val="21"/>
              </w:rPr>
            </w:pPr>
            <w:r w:rsidRPr="005D4222">
              <w:rPr>
                <w:szCs w:val="21"/>
              </w:rPr>
              <w:t>An acute inpatient discharge from July 1 of the year prior to the measurement period through June 30 of the measurement period with any diagnosis of AMI (</w:t>
            </w:r>
            <w:r w:rsidRPr="005D4222">
              <w:rPr>
                <w:szCs w:val="21"/>
                <w:u w:val="single"/>
              </w:rPr>
              <w:t>AMI Value Set</w:t>
            </w:r>
            <w:r w:rsidRPr="005D4222">
              <w:rPr>
                <w:szCs w:val="21"/>
              </w:rPr>
              <w:t xml:space="preserve">) on the discharge claim. </w:t>
            </w:r>
          </w:p>
          <w:p w14:paraId="78385726" w14:textId="77777777" w:rsidR="00C03223" w:rsidRPr="005D4222" w:rsidRDefault="00C03223" w:rsidP="00914182">
            <w:pPr>
              <w:pStyle w:val="ECDSBody"/>
              <w:rPr>
                <w:szCs w:val="21"/>
              </w:rPr>
            </w:pPr>
            <w:r w:rsidRPr="005D4222">
              <w:rPr>
                <w:szCs w:val="21"/>
              </w:rPr>
              <w:t xml:space="preserve">To identify an acute inpatient discharge: </w:t>
            </w:r>
          </w:p>
          <w:p w14:paraId="24745673" w14:textId="77777777" w:rsidR="00C03223" w:rsidRPr="005D4222" w:rsidRDefault="00C03223" w:rsidP="00992C3B">
            <w:pPr>
              <w:numPr>
                <w:ilvl w:val="0"/>
                <w:numId w:val="36"/>
              </w:numPr>
              <w:tabs>
                <w:tab w:val="left" w:pos="1368"/>
              </w:tabs>
              <w:spacing w:before="80" w:after="80"/>
              <w:ind w:left="648" w:hanging="288"/>
              <w:rPr>
                <w:rFonts w:cs="Arial"/>
                <w:bCs/>
                <w:szCs w:val="26"/>
              </w:rPr>
            </w:pPr>
            <w:r w:rsidRPr="005D4222">
              <w:rPr>
                <w:rFonts w:cs="Arial"/>
                <w:bCs/>
                <w:szCs w:val="26"/>
              </w:rPr>
              <w:t>Identify all acute and nonacute inpatient stays (</w:t>
            </w:r>
            <w:r w:rsidRPr="005D4222">
              <w:rPr>
                <w:rFonts w:cs="Arial"/>
                <w:bCs/>
                <w:szCs w:val="26"/>
                <w:u w:val="single"/>
              </w:rPr>
              <w:t>Inpatient Stay Value Set</w:t>
            </w:r>
            <w:r w:rsidRPr="005D4222">
              <w:rPr>
                <w:rFonts w:cs="Arial"/>
                <w:bCs/>
                <w:szCs w:val="26"/>
              </w:rPr>
              <w:t>).</w:t>
            </w:r>
          </w:p>
          <w:p w14:paraId="1E25472E" w14:textId="77777777" w:rsidR="00C03223" w:rsidRPr="005D4222" w:rsidRDefault="00C03223" w:rsidP="00992C3B">
            <w:pPr>
              <w:numPr>
                <w:ilvl w:val="0"/>
                <w:numId w:val="36"/>
              </w:numPr>
              <w:tabs>
                <w:tab w:val="left" w:pos="1368"/>
              </w:tabs>
              <w:spacing w:before="80" w:after="80"/>
              <w:ind w:left="648" w:hanging="288"/>
              <w:rPr>
                <w:rFonts w:cs="Arial"/>
                <w:bCs/>
                <w:szCs w:val="26"/>
              </w:rPr>
            </w:pPr>
            <w:r w:rsidRPr="005D4222">
              <w:rPr>
                <w:rFonts w:cs="Arial"/>
                <w:bCs/>
                <w:szCs w:val="26"/>
              </w:rPr>
              <w:t>Exclude nonacute inpatient stays (</w:t>
            </w:r>
            <w:r w:rsidRPr="005D4222">
              <w:rPr>
                <w:rFonts w:cs="Arial"/>
                <w:bCs/>
                <w:szCs w:val="26"/>
                <w:u w:val="single"/>
              </w:rPr>
              <w:t>Nonacute Inpatient Stay Value Set</w:t>
            </w:r>
            <w:r w:rsidRPr="005D4222">
              <w:rPr>
                <w:rFonts w:cs="Arial"/>
                <w:bCs/>
                <w:szCs w:val="26"/>
              </w:rPr>
              <w:t>).</w:t>
            </w:r>
          </w:p>
          <w:p w14:paraId="17287B8B" w14:textId="77777777" w:rsidR="00C03223" w:rsidRPr="005D4222" w:rsidRDefault="00C03223" w:rsidP="00992C3B">
            <w:pPr>
              <w:numPr>
                <w:ilvl w:val="0"/>
                <w:numId w:val="36"/>
              </w:numPr>
              <w:tabs>
                <w:tab w:val="left" w:pos="1368"/>
              </w:tabs>
              <w:spacing w:before="80" w:after="80"/>
              <w:ind w:left="648" w:hanging="288"/>
              <w:rPr>
                <w:rFonts w:cs="Arial"/>
                <w:bCs/>
                <w:szCs w:val="26"/>
              </w:rPr>
            </w:pPr>
            <w:r w:rsidRPr="005D4222">
              <w:rPr>
                <w:rFonts w:cs="Arial"/>
                <w:bCs/>
                <w:szCs w:val="26"/>
              </w:rPr>
              <w:t>Identify the discharge date for the stay.</w:t>
            </w:r>
          </w:p>
          <w:p w14:paraId="07183015" w14:textId="77777777" w:rsidR="00C03223" w:rsidRPr="005D4222" w:rsidRDefault="00C03223" w:rsidP="00914182">
            <w:pPr>
              <w:pStyle w:val="ECDSBody"/>
            </w:pPr>
            <w:r w:rsidRPr="005D4222">
              <w:t xml:space="preserve">If </w:t>
            </w:r>
            <w:r w:rsidRPr="005D4222" w:rsidDel="00446F4A">
              <w:t>a person has</w:t>
            </w:r>
            <w:r w:rsidRPr="005D4222">
              <w:t xml:space="preserve"> more than one eligible episode of AMI from July 1 of the year prior to the measurement period through June 30 of the measurement period, include only the first discharge.</w:t>
            </w:r>
          </w:p>
          <w:p w14:paraId="45F94C07" w14:textId="77777777" w:rsidR="00C03223" w:rsidRPr="005D4222" w:rsidRDefault="00C03223" w:rsidP="00914182">
            <w:pPr>
              <w:pStyle w:val="ECDSBody"/>
            </w:pPr>
            <w:r w:rsidRPr="005D4222">
              <w:rPr>
                <w:i/>
                <w:iCs/>
              </w:rPr>
              <w:t>Direct transfers to an acute inpatient care setting.</w:t>
            </w:r>
            <w:r w:rsidRPr="005D4222">
              <w:t xml:space="preserve"> If there was a direct transfer to an acute inpatient setting (for any diagnosis), use the discharge date from the transfer setting, not the initial discharge. Exclude both the initial discharge and the direct transfer discharge if the transfer discharge occurs after June 30 of the measurement period. Use the instructions below to identify direct transfers and exclude nonacute inpatient stays (</w:t>
            </w:r>
            <w:r w:rsidRPr="005D4222">
              <w:rPr>
                <w:u w:val="single"/>
              </w:rPr>
              <w:t>Nonacute Inpatient Stay Value Set</w:t>
            </w:r>
            <w:r w:rsidRPr="005D4222">
              <w:t xml:space="preserve">). </w:t>
            </w:r>
          </w:p>
          <w:p w14:paraId="07E67D71" w14:textId="77777777" w:rsidR="00C03223" w:rsidRPr="005D4222" w:rsidRDefault="00C03223" w:rsidP="00914182">
            <w:pPr>
              <w:pStyle w:val="ECDSBody"/>
            </w:pPr>
            <w:r w:rsidRPr="005D4222">
              <w:rPr>
                <w:i/>
              </w:rPr>
              <w:t>Direct transfers to a nonacute inpatient care setting.</w:t>
            </w:r>
            <w:r w:rsidRPr="005D4222">
              <w:t xml:space="preserve"> Exclude from the initial population hospitalizations with a direct transfer to a nonacute inpatient care setting for any diagnosis. </w:t>
            </w:r>
            <w:r w:rsidRPr="005D4222">
              <w:rPr>
                <w:szCs w:val="21"/>
              </w:rPr>
              <w:t>Use the instructions below to identify direct transfers and confirm the stay was for nonacute inpatient care based on the presence of a nonacute code (</w:t>
            </w:r>
            <w:r w:rsidRPr="005D4222">
              <w:rPr>
                <w:szCs w:val="21"/>
                <w:u w:val="single"/>
              </w:rPr>
              <w:t>Nonacute Inpatient Stay Value Set</w:t>
            </w:r>
            <w:r w:rsidRPr="005D4222">
              <w:rPr>
                <w:szCs w:val="21"/>
              </w:rPr>
              <w:t xml:space="preserve">) on the claim. </w:t>
            </w:r>
          </w:p>
          <w:p w14:paraId="306703CF" w14:textId="77777777" w:rsidR="00C03223" w:rsidRPr="005D4222" w:rsidRDefault="00C03223" w:rsidP="00914182">
            <w:pPr>
              <w:pStyle w:val="ECDSBody"/>
            </w:pPr>
            <w:r w:rsidRPr="005D4222">
              <w:t>Use the following method to identify admissions to and discharges from inpatient settings for direct transfers:</w:t>
            </w:r>
          </w:p>
          <w:p w14:paraId="7B09F908" w14:textId="77777777" w:rsidR="00C03223" w:rsidRPr="005D4222" w:rsidRDefault="00C03223" w:rsidP="00992C3B">
            <w:pPr>
              <w:numPr>
                <w:ilvl w:val="0"/>
                <w:numId w:val="37"/>
              </w:numPr>
              <w:tabs>
                <w:tab w:val="left" w:pos="1368"/>
              </w:tabs>
              <w:spacing w:before="80" w:after="80"/>
              <w:ind w:left="648" w:hanging="288"/>
              <w:rPr>
                <w:rFonts w:cs="Arial"/>
                <w:bCs/>
                <w:szCs w:val="26"/>
              </w:rPr>
            </w:pPr>
            <w:r w:rsidRPr="005D4222">
              <w:rPr>
                <w:rFonts w:cs="Arial"/>
                <w:bCs/>
                <w:szCs w:val="26"/>
              </w:rPr>
              <w:t>Identify all acute and nonacute inpatient stays (</w:t>
            </w:r>
            <w:r w:rsidRPr="005D4222">
              <w:rPr>
                <w:rFonts w:cs="Arial"/>
                <w:bCs/>
                <w:szCs w:val="26"/>
                <w:u w:val="single"/>
              </w:rPr>
              <w:t>Inpatient Stay Value Set</w:t>
            </w:r>
            <w:r w:rsidRPr="005D4222">
              <w:rPr>
                <w:rFonts w:cs="Arial"/>
                <w:bCs/>
                <w:szCs w:val="26"/>
              </w:rPr>
              <w:t>).</w:t>
            </w:r>
          </w:p>
          <w:p w14:paraId="48A3AA22" w14:textId="77777777" w:rsidR="00C03223" w:rsidRPr="005D4222" w:rsidRDefault="00C03223" w:rsidP="00992C3B">
            <w:pPr>
              <w:numPr>
                <w:ilvl w:val="0"/>
                <w:numId w:val="37"/>
              </w:numPr>
              <w:tabs>
                <w:tab w:val="left" w:pos="1368"/>
              </w:tabs>
              <w:spacing w:before="80" w:after="80"/>
              <w:ind w:left="648" w:hanging="288"/>
              <w:rPr>
                <w:rFonts w:cs="Arial"/>
                <w:bCs/>
                <w:szCs w:val="26"/>
              </w:rPr>
            </w:pPr>
            <w:r w:rsidRPr="005D4222">
              <w:rPr>
                <w:rFonts w:cs="Arial"/>
                <w:bCs/>
                <w:szCs w:val="26"/>
              </w:rPr>
              <w:t>If needed, identify nonacute inpatient stays (</w:t>
            </w:r>
            <w:r w:rsidRPr="005D4222">
              <w:rPr>
                <w:rFonts w:cs="Arial"/>
                <w:bCs/>
                <w:szCs w:val="26"/>
                <w:u w:val="single"/>
              </w:rPr>
              <w:t>Nonacute Inpatient Stay Value Set</w:t>
            </w:r>
            <w:r w:rsidRPr="005D4222">
              <w:rPr>
                <w:rFonts w:cs="Arial"/>
                <w:bCs/>
                <w:szCs w:val="26"/>
              </w:rPr>
              <w:t>).</w:t>
            </w:r>
          </w:p>
          <w:p w14:paraId="49C2A880" w14:textId="77777777" w:rsidR="00C03223" w:rsidRPr="005D4222" w:rsidRDefault="00C03223" w:rsidP="00992C3B">
            <w:pPr>
              <w:numPr>
                <w:ilvl w:val="0"/>
                <w:numId w:val="37"/>
              </w:numPr>
              <w:tabs>
                <w:tab w:val="left" w:pos="1368"/>
              </w:tabs>
              <w:spacing w:before="80" w:after="80"/>
              <w:ind w:left="648" w:hanging="288"/>
              <w:rPr>
                <w:rFonts w:cs="Arial"/>
                <w:bCs/>
                <w:szCs w:val="26"/>
              </w:rPr>
            </w:pPr>
            <w:r w:rsidRPr="005D4222">
              <w:rPr>
                <w:rFonts w:cs="Arial"/>
                <w:bCs/>
                <w:szCs w:val="26"/>
              </w:rPr>
              <w:t>Identify the admission and discharge dates for the stay.</w:t>
            </w:r>
          </w:p>
        </w:tc>
      </w:tr>
    </w:tbl>
    <w:p w14:paraId="31A328ED" w14:textId="77777777" w:rsidR="00C03223" w:rsidRPr="005D4222" w:rsidRDefault="00C03223" w:rsidP="00C03223">
      <w:pPr>
        <w:spacing w:after="160" w:line="259" w:lineRule="auto"/>
        <w:rPr>
          <w:szCs w:val="21"/>
        </w:rPr>
      </w:pPr>
      <w:r w:rsidRPr="005D4222">
        <w:rPr>
          <w:szCs w:val="21"/>
        </w:rPr>
        <w:br w:type="page"/>
      </w:r>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60"/>
      </w:tblGrid>
      <w:tr w:rsidR="00C03223" w:rsidRPr="005D4222" w14:paraId="34AADA36" w14:textId="77777777">
        <w:tc>
          <w:tcPr>
            <w:tcW w:w="2157" w:type="dxa"/>
            <w:tcBorders>
              <w:top w:val="single" w:sz="2"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5B65E423" w14:textId="77777777" w:rsidR="00C03223" w:rsidRPr="005D4222" w:rsidRDefault="00C03223" w:rsidP="00C03223">
            <w:pPr>
              <w:spacing w:before="120" w:after="80"/>
              <w:rPr>
                <w:b/>
                <w:sz w:val="22"/>
                <w:szCs w:val="21"/>
              </w:rPr>
            </w:pPr>
            <w:r w:rsidRPr="005D4222">
              <w:rPr>
                <w:b/>
                <w:sz w:val="22"/>
                <w:szCs w:val="21"/>
              </w:rPr>
              <w:lastRenderedPageBreak/>
              <w:t xml:space="preserve">Denominator exclusions </w:t>
            </w:r>
          </w:p>
        </w:tc>
        <w:tc>
          <w:tcPr>
            <w:tcW w:w="7560" w:type="dxa"/>
            <w:tcBorders>
              <w:top w:val="single" w:sz="4" w:space="0" w:color="auto"/>
              <w:left w:val="single" w:sz="4" w:space="0" w:color="auto"/>
              <w:right w:val="single" w:sz="4" w:space="0" w:color="auto"/>
            </w:tcBorders>
            <w:tcMar>
              <w:top w:w="0" w:type="dxa"/>
              <w:left w:w="86" w:type="dxa"/>
              <w:bottom w:w="43" w:type="dxa"/>
              <w:right w:w="86" w:type="dxa"/>
            </w:tcMar>
            <w:vAlign w:val="center"/>
          </w:tcPr>
          <w:p w14:paraId="6EEDFCF6" w14:textId="77777777" w:rsidR="00C03223" w:rsidRPr="005D4222" w:rsidRDefault="00C03223" w:rsidP="00914182">
            <w:pPr>
              <w:pStyle w:val="ECDSBody"/>
              <w:rPr>
                <w:rFonts w:eastAsia="Arial,Arial,Arial,Arial,Arial,A"/>
                <w14:ligatures w14:val="standardContextual"/>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p w14:paraId="3B0E58F0" w14:textId="77777777" w:rsidR="00C03223" w:rsidRPr="005D4222" w:rsidRDefault="00C03223" w:rsidP="00914182">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3076B47F" w14:textId="77777777" w:rsidR="00C03223" w:rsidRPr="005D4222" w:rsidRDefault="00C03223" w:rsidP="00914182">
            <w:pPr>
              <w:pStyle w:val="ECDSBody"/>
            </w:pPr>
            <w:r w:rsidRPr="005D4222">
              <w:rPr>
                <w:b/>
                <w:color w:val="000000"/>
                <w:shd w:val="clear" w:color="auto" w:fill="FFFFFF"/>
              </w:rPr>
              <w:t>Medicare enrollees, 66 years of age and older by the last day of the measurement period, in an institutional SNP (I-SNP) or living long-term in an institution (LTI).</w:t>
            </w:r>
          </w:p>
          <w:p w14:paraId="54F746A6" w14:textId="2A134778" w:rsidR="00C03223" w:rsidRPr="005D4222" w:rsidRDefault="00C03223" w:rsidP="00914182">
            <w:pPr>
              <w:pStyle w:val="ProcessBullet"/>
              <w:rPr>
                <w:rFonts w:cs="Arial"/>
              </w:rPr>
            </w:pPr>
            <w:r w:rsidRPr="005D4222">
              <w:t xml:space="preserve">Enrolled in an Institutional SNP (I-SNP) any time on or between July 1 of the year prior to the measurement period and the </w:t>
            </w:r>
            <w:r w:rsidR="003B3A70" w:rsidRPr="005D4222">
              <w:t>last day</w:t>
            </w:r>
            <w:r w:rsidRPr="005D4222">
              <w:t xml:space="preserve"> of the measurement period.</w:t>
            </w:r>
          </w:p>
          <w:p w14:paraId="2D5E3854" w14:textId="72F1813B" w:rsidR="00C03223" w:rsidRPr="005D4222" w:rsidRDefault="00C03223" w:rsidP="00914182">
            <w:pPr>
              <w:pStyle w:val="ProcessBullet"/>
              <w:rPr>
                <w:rFonts w:eastAsia="Arial,Arial,Arial,Arial,Arial,A" w:cs="Arial"/>
              </w:rPr>
            </w:pPr>
            <w:r w:rsidRPr="005D4222">
              <w:t xml:space="preserve">Living </w:t>
            </w:r>
            <w:r w:rsidRPr="005D4222" w:rsidDel="00DF2B71">
              <w:t>long-term in an institution</w:t>
            </w:r>
            <w:r w:rsidRPr="005D4222">
              <w:t xml:space="preserve"> any time on or between July 1 of the year prior to the measurement period and the </w:t>
            </w:r>
            <w:r w:rsidR="002672BA" w:rsidRPr="005D4222">
              <w:t>last day</w:t>
            </w:r>
            <w:r w:rsidRPr="005D4222">
              <w:t xml:space="preserve"> of the measurement period as identified by the LTI flag in the Monthly Membership Detail Data File. Use the run date of the file to determine if a member had an LTI flag any time on or between July 1 of the year prior to the measurement period and the </w:t>
            </w:r>
            <w:r w:rsidR="002672BA" w:rsidRPr="005D4222">
              <w:t>last day</w:t>
            </w:r>
            <w:r w:rsidRPr="005D4222">
              <w:t xml:space="preserve"> of the measurement period.</w:t>
            </w:r>
          </w:p>
          <w:p w14:paraId="12A3C92F" w14:textId="77777777" w:rsidR="00C03223" w:rsidRPr="005D4222" w:rsidRDefault="00C03223" w:rsidP="00914182">
            <w:pPr>
              <w:pStyle w:val="ECDSBody"/>
              <w:rPr>
                <w:b/>
                <w:bCs w:val="0"/>
              </w:rPr>
            </w:pPr>
            <w:r w:rsidRPr="005D4222">
              <w:rPr>
                <w:b/>
                <w:bCs w:val="0"/>
              </w:rPr>
              <w:t>Persons 66–80 years of age by the last day of the measurement period, with both frailty and advanced illness.</w:t>
            </w:r>
          </w:p>
          <w:p w14:paraId="3069BB4F" w14:textId="5C19F583" w:rsidR="00C03223" w:rsidRPr="005D4222" w:rsidRDefault="00C03223" w:rsidP="00992C3B">
            <w:pPr>
              <w:numPr>
                <w:ilvl w:val="0"/>
                <w:numId w:val="38"/>
              </w:numPr>
              <w:ind w:left="273" w:hanging="270"/>
              <w:contextualSpacing/>
              <w:rPr>
                <w:rFonts w:cs="Arial"/>
                <w:szCs w:val="26"/>
              </w:rPr>
            </w:pPr>
            <w:r w:rsidRPr="005D4222">
              <w:rPr>
                <w:b/>
                <w:szCs w:val="21"/>
              </w:rPr>
              <w:t>Frailty.</w:t>
            </w:r>
            <w:r w:rsidRPr="005D4222">
              <w:rPr>
                <w:szCs w:val="21"/>
              </w:rPr>
              <w:t xml:space="preserve"> At least two indications of frailty (</w:t>
            </w:r>
            <w:r w:rsidRPr="005D4222">
              <w:rPr>
                <w:szCs w:val="21"/>
                <w:u w:val="single"/>
              </w:rPr>
              <w:t>Frailty Device Value Set</w:t>
            </w:r>
            <w:r w:rsidRPr="005D4222">
              <w:rPr>
                <w:szCs w:val="21"/>
              </w:rPr>
              <w:t xml:space="preserve">; </w:t>
            </w:r>
            <w:r w:rsidRPr="005D4222">
              <w:rPr>
                <w:szCs w:val="21"/>
                <w:u w:val="single"/>
              </w:rPr>
              <w:t>Frailty Diagnosis Value Set</w:t>
            </w:r>
            <w:r w:rsidRPr="005D4222">
              <w:rPr>
                <w:szCs w:val="21"/>
              </w:rPr>
              <w:t xml:space="preserve">*; </w:t>
            </w:r>
            <w:r w:rsidRPr="005D4222">
              <w:rPr>
                <w:szCs w:val="21"/>
                <w:u w:val="single"/>
              </w:rPr>
              <w:t>Frailty Encounter Value Set</w:t>
            </w:r>
            <w:r w:rsidRPr="005D4222">
              <w:rPr>
                <w:szCs w:val="21"/>
              </w:rPr>
              <w:t xml:space="preserve">; </w:t>
            </w:r>
            <w:r w:rsidRPr="005D4222">
              <w:rPr>
                <w:szCs w:val="21"/>
                <w:u w:val="single"/>
              </w:rPr>
              <w:t>Frailty Symptom Value Set</w:t>
            </w:r>
            <w:r w:rsidR="00E254AA" w:rsidRPr="005D4222">
              <w:rPr>
                <w:szCs w:val="21"/>
              </w:rPr>
              <w:t>*</w:t>
            </w:r>
            <w:r w:rsidRPr="005D4222">
              <w:rPr>
                <w:szCs w:val="21"/>
              </w:rPr>
              <w:t xml:space="preserve">) with different dates of service </w:t>
            </w:r>
            <w:r w:rsidRPr="005D4222">
              <w:rPr>
                <w:rFonts w:cs="Arial"/>
                <w:bCs/>
                <w:szCs w:val="26"/>
              </w:rPr>
              <w:t xml:space="preserve">any time on or between July 1 of the year prior to the measurement period and the </w:t>
            </w:r>
            <w:r w:rsidR="00692BEE" w:rsidRPr="005D4222">
              <w:t>last day</w:t>
            </w:r>
            <w:r w:rsidR="00692BEE" w:rsidRPr="005D4222">
              <w:rPr>
                <w:rFonts w:cs="Arial"/>
                <w:bCs/>
                <w:szCs w:val="26"/>
              </w:rPr>
              <w:t xml:space="preserve"> </w:t>
            </w:r>
            <w:r w:rsidRPr="005D4222">
              <w:rPr>
                <w:rFonts w:cs="Arial"/>
                <w:bCs/>
                <w:szCs w:val="26"/>
              </w:rPr>
              <w:t>of</w:t>
            </w:r>
            <w:r w:rsidRPr="005D4222">
              <w:rPr>
                <w:rFonts w:cs="Arial"/>
                <w:szCs w:val="26"/>
              </w:rPr>
              <w:t xml:space="preserve"> the measurement period.</w:t>
            </w:r>
          </w:p>
          <w:p w14:paraId="6343981E" w14:textId="77777777" w:rsidR="00C03223" w:rsidRPr="005D4222" w:rsidRDefault="00C03223" w:rsidP="00992C3B">
            <w:pPr>
              <w:numPr>
                <w:ilvl w:val="0"/>
                <w:numId w:val="38"/>
              </w:numPr>
              <w:tabs>
                <w:tab w:val="left" w:pos="1368"/>
              </w:tabs>
              <w:spacing w:before="60"/>
              <w:ind w:left="288" w:hanging="288"/>
              <w:rPr>
                <w:rFonts w:cs="Arial"/>
                <w:bCs/>
                <w:szCs w:val="26"/>
              </w:rPr>
            </w:pPr>
            <w:r w:rsidRPr="005D4222">
              <w:rPr>
                <w:rFonts w:cs="Arial"/>
                <w:b/>
                <w:bCs/>
                <w:szCs w:val="26"/>
              </w:rPr>
              <w:t>Advanced illness.</w:t>
            </w:r>
            <w:r w:rsidRPr="005D4222">
              <w:rPr>
                <w:rFonts w:cs="Arial"/>
                <w:bCs/>
                <w:szCs w:val="26"/>
              </w:rPr>
              <w:t xml:space="preserve"> Either of the following during the measurement period or the year prior to the measurement period: </w:t>
            </w:r>
          </w:p>
          <w:p w14:paraId="332FAF9C" w14:textId="77777777" w:rsidR="00C03223" w:rsidRPr="005D4222" w:rsidRDefault="00C03223" w:rsidP="009C6A6A">
            <w:pPr>
              <w:pStyle w:val="ProcessDash"/>
              <w:tabs>
                <w:tab w:val="clear" w:pos="432"/>
              </w:tabs>
              <w:ind w:left="504"/>
            </w:pPr>
            <w:r w:rsidRPr="005D4222">
              <w:t>Advanced illness (</w:t>
            </w:r>
            <w:r w:rsidRPr="005D4222">
              <w:rPr>
                <w:u w:val="single"/>
              </w:rPr>
              <w:t>Advanced Illness Value Set</w:t>
            </w:r>
            <w:r w:rsidRPr="005D4222">
              <w:t>*) on at least two different dates of service.</w:t>
            </w:r>
          </w:p>
          <w:p w14:paraId="4770BF0D" w14:textId="77777777" w:rsidR="00C03223" w:rsidRPr="005D4222" w:rsidRDefault="00C03223" w:rsidP="009C6A6A">
            <w:pPr>
              <w:pStyle w:val="ProcessDash"/>
              <w:tabs>
                <w:tab w:val="clear" w:pos="432"/>
              </w:tabs>
              <w:ind w:left="504"/>
            </w:pPr>
            <w:r w:rsidRPr="005D4222">
              <w:t>Dispensed dementia medication (</w:t>
            </w:r>
            <w:r w:rsidRPr="005D4222">
              <w:rPr>
                <w:u w:val="single"/>
              </w:rPr>
              <w:t>Dementia Medications List</w:t>
            </w:r>
            <w:r w:rsidRPr="005D4222">
              <w:t>).</w:t>
            </w:r>
          </w:p>
          <w:p w14:paraId="4B5E2539" w14:textId="0A28DBB8" w:rsidR="00C03223" w:rsidRPr="005D4222" w:rsidRDefault="00C03223" w:rsidP="00914182">
            <w:pPr>
              <w:pStyle w:val="ECDSBody"/>
              <w:rPr>
                <w:rFonts w:eastAsia="Arial,Arial,Arial,Arial,Arial,A"/>
                <w:b/>
              </w:rPr>
            </w:pPr>
            <w:r w:rsidRPr="005D4222">
              <w:rPr>
                <w:rFonts w:eastAsia="Arial,Arial,Arial,Arial,Arial,A"/>
                <w:b/>
              </w:rPr>
              <w:t xml:space="preserve">Persons </w:t>
            </w:r>
            <w:r w:rsidRPr="005D4222">
              <w:rPr>
                <w:b/>
              </w:rPr>
              <w:t>81 years of age and older as of the last day of the measurement period, with frailty.</w:t>
            </w:r>
            <w:r w:rsidRPr="005D4222">
              <w:rPr>
                <w:b/>
              </w:rPr>
              <w:br/>
            </w:r>
            <w:r w:rsidRPr="005D4222">
              <w:rPr>
                <w:rFonts w:eastAsia="Arial,Arial,Arial,Arial,Arial,A"/>
              </w:rPr>
              <w:t>Persons with at least two indications of frailty</w:t>
            </w:r>
            <w:r w:rsidRPr="005D4222">
              <w:t xml:space="preserve"> (</w:t>
            </w:r>
            <w:r w:rsidRPr="005D4222">
              <w:rPr>
                <w:u w:val="single"/>
              </w:rPr>
              <w:t>Frailty Device Value Set</w:t>
            </w:r>
            <w:r w:rsidRPr="005D4222">
              <w:t xml:space="preserve">; </w:t>
            </w:r>
            <w:r w:rsidRPr="005D4222">
              <w:rPr>
                <w:u w:val="single"/>
              </w:rPr>
              <w:t>Frailty Diagnosis Value Set</w:t>
            </w:r>
            <w:r w:rsidRPr="005D4222">
              <w:t xml:space="preserve">*; </w:t>
            </w:r>
            <w:r w:rsidRPr="005D4222">
              <w:rPr>
                <w:u w:val="single"/>
              </w:rPr>
              <w:t>Frailty Encounter Value Set</w:t>
            </w:r>
            <w:r w:rsidRPr="005D4222">
              <w:t xml:space="preserve">; </w:t>
            </w:r>
            <w:r w:rsidRPr="005D4222">
              <w:rPr>
                <w:u w:val="single"/>
              </w:rPr>
              <w:t>Frailty Symptom Value Set</w:t>
            </w:r>
            <w:r w:rsidR="00E254AA" w:rsidRPr="005D4222">
              <w:t>*</w:t>
            </w:r>
            <w:r w:rsidRPr="005D4222">
              <w:t xml:space="preserve">) with different dates of service any time on or between July 1 of the year prior to the measurement period and the </w:t>
            </w:r>
            <w:r w:rsidR="00692BEE" w:rsidRPr="005D4222">
              <w:t xml:space="preserve">last day </w:t>
            </w:r>
            <w:r w:rsidRPr="005D4222">
              <w:t>of the measurement period.</w:t>
            </w:r>
          </w:p>
          <w:p w14:paraId="75C6CAD4" w14:textId="6ECDF1A8" w:rsidR="00C03223" w:rsidRPr="005D4222" w:rsidRDefault="00C03223" w:rsidP="00914182">
            <w:pPr>
              <w:pStyle w:val="ECDSBody"/>
              <w:rPr>
                <w:rFonts w:eastAsia="Arial,Arial,Arial,Arial,Arial,A"/>
                <w14:ligatures w14:val="standardContextual"/>
              </w:rPr>
            </w:pPr>
            <w:r w:rsidRPr="005D4222">
              <w:rPr>
                <w:rFonts w:eastAsia="Arial,Arial,Arial,Arial,Arial,A"/>
                <w:b/>
              </w:rPr>
              <w:t>P</w:t>
            </w:r>
            <w:r w:rsidRPr="005D4222">
              <w:rPr>
                <w:b/>
              </w:rPr>
              <w:t>ersons with a contraindication to beta-blocker therapy.</w:t>
            </w:r>
            <w:r w:rsidRPr="005D4222">
              <w:rPr>
                <w:b/>
              </w:rPr>
              <w:br/>
            </w:r>
            <w:r w:rsidRPr="005D4222">
              <w:t>Persons with a medication dispensing event (</w:t>
            </w:r>
            <w:r w:rsidRPr="005D4222">
              <w:rPr>
                <w:u w:val="single"/>
              </w:rPr>
              <w:t>Asthma Exclusions Medications List</w:t>
            </w:r>
            <w:r w:rsidRPr="005D4222">
              <w:t>) or a diagnosis (</w:t>
            </w:r>
            <w:r w:rsidRPr="005D4222">
              <w:rPr>
                <w:u w:val="single"/>
              </w:rPr>
              <w:t>Beta Blocker Contraindications Value Set</w:t>
            </w:r>
            <w:r w:rsidRPr="005D4222">
              <w:t xml:space="preserve">*) that indicates a contraindication to beta-blocker therapy any time during the person’s history through the </w:t>
            </w:r>
            <w:r w:rsidR="00D80100" w:rsidRPr="005D4222">
              <w:t xml:space="preserve">last day </w:t>
            </w:r>
            <w:r w:rsidRPr="005D4222">
              <w:t>of the continuous enrollment period.</w:t>
            </w:r>
          </w:p>
          <w:p w14:paraId="66602006" w14:textId="77777777" w:rsidR="00C03223" w:rsidRPr="005D4222" w:rsidRDefault="00C03223" w:rsidP="00914182">
            <w:pPr>
              <w:pStyle w:val="ECDSBody"/>
              <w:spacing w:after="0"/>
              <w:rPr>
                <w:b/>
              </w:rPr>
            </w:pPr>
            <w:r w:rsidRPr="005D4222">
              <w:rPr>
                <w:b/>
              </w:rPr>
              <w:t>Coding Guidance</w:t>
            </w:r>
          </w:p>
          <w:p w14:paraId="10B96D82" w14:textId="77777777" w:rsidR="00C03223" w:rsidRPr="005D4222" w:rsidRDefault="00C03223" w:rsidP="00914182">
            <w:pPr>
              <w:pStyle w:val="ECDSBody"/>
              <w:spacing w:before="0"/>
              <w:rPr>
                <w:rFonts w:eastAsia="Arial,Arial,Arial,Arial,Arial,A"/>
                <w14:ligatures w14:val="standardContextual"/>
              </w:rPr>
            </w:pPr>
            <w:r w:rsidRPr="005D4222">
              <w:t>*Do not include laboratory claims (claims with POS code 81).</w:t>
            </w:r>
          </w:p>
        </w:tc>
      </w:tr>
      <w:tr w:rsidR="00C03223" w:rsidRPr="005D4222" w14:paraId="01852434"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982161F" w14:textId="77777777" w:rsidR="00C03223" w:rsidRPr="005D4222" w:rsidRDefault="00C03223" w:rsidP="00C03223">
            <w:pPr>
              <w:spacing w:before="120" w:after="80"/>
              <w:rPr>
                <w:b/>
                <w:sz w:val="22"/>
                <w:szCs w:val="21"/>
              </w:rPr>
            </w:pPr>
            <w:r w:rsidRPr="005D4222">
              <w:rPr>
                <w:b/>
                <w:sz w:val="22"/>
                <w:szCs w:val="21"/>
              </w:rPr>
              <w:lastRenderedPageBreak/>
              <w:t>Denominator</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E976832" w14:textId="77777777" w:rsidR="00C03223" w:rsidRPr="005D4222" w:rsidRDefault="00C03223" w:rsidP="008A2068">
            <w:pPr>
              <w:pStyle w:val="ECDSBody"/>
              <w:rPr>
                <w:b/>
              </w:rPr>
            </w:pPr>
            <w:r w:rsidRPr="005D4222">
              <w:rPr>
                <w:rFonts w:eastAsia="Arial,Arial,Arial,Arial,Arial,A"/>
              </w:rPr>
              <w:t>The initial population minus denominator exclusions.</w:t>
            </w:r>
          </w:p>
        </w:tc>
      </w:tr>
      <w:tr w:rsidR="00C03223" w:rsidRPr="005D4222" w14:paraId="25CA11BF"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BCA90CA" w14:textId="77777777" w:rsidR="00C03223" w:rsidRPr="005D4222" w:rsidRDefault="00C03223" w:rsidP="00C03223">
            <w:pPr>
              <w:spacing w:before="120" w:after="80"/>
              <w:rPr>
                <w:b/>
                <w:sz w:val="22"/>
                <w:szCs w:val="21"/>
              </w:rPr>
            </w:pPr>
            <w:r w:rsidRPr="005D4222">
              <w:rPr>
                <w:b/>
                <w:sz w:val="22"/>
                <w:szCs w:val="21"/>
              </w:rPr>
              <w:t>Numerator</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55219489" w14:textId="77777777" w:rsidR="00C03223" w:rsidRPr="005D4222" w:rsidRDefault="00C03223" w:rsidP="008A2068">
            <w:pPr>
              <w:pStyle w:val="ECDSBody"/>
            </w:pPr>
            <w:r w:rsidRPr="005D4222">
              <w:rPr>
                <w:b/>
              </w:rPr>
              <w:t>Persistent beta-blocker treatment.</w:t>
            </w:r>
            <w:r w:rsidRPr="005D4222">
              <w:rPr>
                <w:b/>
              </w:rPr>
              <w:br/>
            </w:r>
            <w:r w:rsidRPr="005D4222">
              <w:t>Persons with at least 135 days of treatment with beta-blockers (</w:t>
            </w:r>
            <w:r w:rsidRPr="005D4222">
              <w:rPr>
                <w:u w:val="single"/>
              </w:rPr>
              <w:t>Beta Blocker Medications List</w:t>
            </w:r>
            <w:r w:rsidRPr="005D4222">
              <w:t>) during the 180-day measurement interval. This allows gaps in medication treatment of up to a total of 45 days during the 180-day measurement interval.</w:t>
            </w:r>
          </w:p>
          <w:p w14:paraId="044C3A98" w14:textId="77777777" w:rsidR="00C03223" w:rsidRPr="005D4222" w:rsidRDefault="00C03223" w:rsidP="008A2068">
            <w:pPr>
              <w:pStyle w:val="ECDSBody"/>
            </w:pPr>
            <w:r w:rsidRPr="005D4222">
              <w:t xml:space="preserve">Assess for active prescriptions and include days supply that fall within the 180-day measurement interval. </w:t>
            </w:r>
          </w:p>
          <w:p w14:paraId="7B707F21" w14:textId="77777777" w:rsidR="00C03223" w:rsidRPr="005D4222" w:rsidRDefault="00C03223" w:rsidP="008A2068">
            <w:pPr>
              <w:pStyle w:val="ECDSBody"/>
            </w:pPr>
            <w:r w:rsidRPr="005D4222">
              <w:t xml:space="preserve">For persons who were on beta-blockers prior to admission and </w:t>
            </w:r>
            <w:r w:rsidRPr="005D4222" w:rsidDel="00A6448D">
              <w:t xml:space="preserve">those who </w:t>
            </w:r>
            <w:r w:rsidRPr="005D4222">
              <w:t>were dispensed an ambulatory prescription during their inpatient stay, factor those prescriptions into adherence rates if the actual treatment days fall within the 180-day measurement interval.</w:t>
            </w:r>
          </w:p>
        </w:tc>
      </w:tr>
      <w:tr w:rsidR="00C03223" w:rsidRPr="005D4222" w14:paraId="0DA0EE20"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417907F" w14:textId="77777777" w:rsidR="00C03223" w:rsidRPr="005D4222" w:rsidRDefault="00C03223" w:rsidP="00C03223">
            <w:pPr>
              <w:spacing w:before="120" w:after="80"/>
              <w:rPr>
                <w:b/>
                <w:sz w:val="22"/>
                <w:szCs w:val="21"/>
              </w:rPr>
            </w:pPr>
            <w:r w:rsidRPr="005D4222">
              <w:rPr>
                <w:b/>
                <w:sz w:val="22"/>
                <w:szCs w:val="21"/>
              </w:rPr>
              <w:t>Summary of changes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70F3640" w14:textId="77777777" w:rsidR="00C03223" w:rsidRPr="005D4222" w:rsidRDefault="00C03223" w:rsidP="008A2068">
            <w:pPr>
              <w:pStyle w:val="ProcessBullet"/>
              <w:spacing w:before="120"/>
            </w:pPr>
            <w:r w:rsidRPr="005D4222">
              <w:rPr>
                <w:lang w:eastAsia="zh-CN"/>
              </w:rPr>
              <w:t xml:space="preserve">Moved the definition of “direct transfer” from the initial population to the </w:t>
            </w:r>
            <w:r w:rsidRPr="005D4222">
              <w:rPr>
                <w:i/>
                <w:iCs/>
                <w:lang w:eastAsia="zh-CN"/>
              </w:rPr>
              <w:t>Definitions</w:t>
            </w:r>
            <w:r w:rsidRPr="005D4222">
              <w:rPr>
                <w:lang w:eastAsia="zh-CN"/>
              </w:rPr>
              <w:t xml:space="preserve"> section.</w:t>
            </w:r>
          </w:p>
        </w:tc>
      </w:tr>
      <w:tr w:rsidR="00C03223" w:rsidRPr="005D4222" w14:paraId="59220462"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1DBEFEE" w14:textId="77777777" w:rsidR="00C03223" w:rsidRPr="005D4222" w:rsidRDefault="00C03223" w:rsidP="00C03223">
            <w:pPr>
              <w:spacing w:before="120" w:after="80"/>
              <w:rPr>
                <w:b/>
                <w:sz w:val="22"/>
                <w:szCs w:val="21"/>
              </w:rPr>
            </w:pPr>
            <w:r w:rsidRPr="005D4222">
              <w:rPr>
                <w:b/>
                <w:sz w:val="22"/>
                <w:szCs w:val="21"/>
              </w:rPr>
              <w:t>Data element tables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D90610B" w14:textId="77777777" w:rsidR="00C03223" w:rsidRPr="005D4222" w:rsidRDefault="00C03223" w:rsidP="008A2068">
            <w:pPr>
              <w:pStyle w:val="ECDSBody"/>
            </w:pPr>
            <w:r w:rsidRPr="005D4222">
              <w:t>Organizations that submit HEDIS data to NCQA must provide the following data elements.</w:t>
            </w:r>
          </w:p>
          <w:p w14:paraId="46E7A5E8" w14:textId="77777777" w:rsidR="00C03223" w:rsidRPr="005D4222" w:rsidRDefault="00C03223" w:rsidP="008A2068">
            <w:pPr>
              <w:pStyle w:val="Heading3"/>
              <w:spacing w:before="120"/>
            </w:pPr>
            <w:r w:rsidRPr="005D4222">
              <w:t>Table PBH-1/2/3: Data Elements for Persistence of Beta-Blocker Treatment After a Heart Attack</w:t>
            </w:r>
          </w:p>
          <w:tbl>
            <w:tblPr>
              <w:tblW w:w="73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426"/>
              <w:gridCol w:w="2610"/>
              <w:gridCol w:w="2340"/>
            </w:tblGrid>
            <w:tr w:rsidR="00C03223" w:rsidRPr="005D4222" w14:paraId="69FE247E" w14:textId="77777777">
              <w:tc>
                <w:tcPr>
                  <w:tcW w:w="2426"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hideMark/>
                </w:tcPr>
                <w:p w14:paraId="3FD496FD" w14:textId="77777777" w:rsidR="00C03223" w:rsidRPr="005D4222" w:rsidRDefault="00C03223" w:rsidP="008A2068">
                  <w:pPr>
                    <w:pStyle w:val="TableHead"/>
                  </w:pPr>
                  <w:r w:rsidRPr="005D4222">
                    <w:t>Metric</w:t>
                  </w:r>
                </w:p>
              </w:tc>
              <w:tc>
                <w:tcPr>
                  <w:tcW w:w="261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hideMark/>
                </w:tcPr>
                <w:p w14:paraId="59B13C5A" w14:textId="77777777" w:rsidR="00C03223" w:rsidRPr="005D4222" w:rsidRDefault="00C03223" w:rsidP="008A2068">
                  <w:pPr>
                    <w:pStyle w:val="TableHead"/>
                  </w:pPr>
                  <w:r w:rsidRPr="005D4222">
                    <w:t>Data Element</w:t>
                  </w:r>
                </w:p>
              </w:tc>
              <w:tc>
                <w:tcPr>
                  <w:tcW w:w="2340"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hideMark/>
                </w:tcPr>
                <w:p w14:paraId="7F653DBB" w14:textId="77777777" w:rsidR="00C03223" w:rsidRPr="005D4222" w:rsidRDefault="00C03223" w:rsidP="008A2068">
                  <w:pPr>
                    <w:pStyle w:val="TableHead"/>
                  </w:pPr>
                  <w:r w:rsidRPr="005D4222">
                    <w:t>Reporting Instructions</w:t>
                  </w:r>
                </w:p>
              </w:tc>
            </w:tr>
            <w:tr w:rsidR="00C03223" w:rsidRPr="005D4222" w14:paraId="01C4B915" w14:textId="77777777">
              <w:tc>
                <w:tcPr>
                  <w:tcW w:w="2426" w:type="dxa"/>
                  <w:tcBorders>
                    <w:top w:val="single" w:sz="4" w:space="0" w:color="000000" w:themeColor="text1"/>
                    <w:left w:val="single" w:sz="4" w:space="0" w:color="auto"/>
                    <w:bottom w:val="single" w:sz="4" w:space="0" w:color="auto"/>
                    <w:right w:val="single" w:sz="4" w:space="0" w:color="auto"/>
                  </w:tcBorders>
                  <w:hideMark/>
                </w:tcPr>
                <w:p w14:paraId="55CAF5D3" w14:textId="77777777" w:rsidR="00C03223" w:rsidRPr="005D4222" w:rsidRDefault="00C03223" w:rsidP="008A2068">
                  <w:pPr>
                    <w:pStyle w:val="TableText"/>
                  </w:pPr>
                  <w:r w:rsidRPr="005D4222">
                    <w:t>BetaBlockerPersistence</w:t>
                  </w:r>
                </w:p>
              </w:tc>
              <w:tc>
                <w:tcPr>
                  <w:tcW w:w="2610" w:type="dxa"/>
                  <w:tcBorders>
                    <w:top w:val="single" w:sz="4" w:space="0" w:color="000000" w:themeColor="text1"/>
                    <w:left w:val="single" w:sz="4" w:space="0" w:color="auto"/>
                    <w:bottom w:val="single" w:sz="4" w:space="0" w:color="auto"/>
                    <w:right w:val="single" w:sz="4" w:space="0" w:color="auto"/>
                  </w:tcBorders>
                  <w:hideMark/>
                </w:tcPr>
                <w:p w14:paraId="664589C0" w14:textId="77777777" w:rsidR="00C03223" w:rsidRPr="005D4222" w:rsidRDefault="00C03223" w:rsidP="008A2068">
                  <w:pPr>
                    <w:pStyle w:val="TableText"/>
                  </w:pPr>
                  <w:r w:rsidRPr="005D4222">
                    <w:t>Benefit</w:t>
                  </w:r>
                </w:p>
              </w:tc>
              <w:tc>
                <w:tcPr>
                  <w:tcW w:w="2340" w:type="dxa"/>
                  <w:tcBorders>
                    <w:top w:val="single" w:sz="4" w:space="0" w:color="000000" w:themeColor="text1"/>
                    <w:left w:val="single" w:sz="4" w:space="0" w:color="auto"/>
                    <w:bottom w:val="single" w:sz="6" w:space="0" w:color="auto"/>
                    <w:right w:val="single" w:sz="4" w:space="0" w:color="auto"/>
                  </w:tcBorders>
                  <w:hideMark/>
                </w:tcPr>
                <w:p w14:paraId="14C26C62" w14:textId="77777777" w:rsidR="00C03223" w:rsidRPr="005D4222" w:rsidRDefault="00C03223" w:rsidP="008A2068">
                  <w:pPr>
                    <w:pStyle w:val="TableText"/>
                    <w:rPr>
                      <w:rFonts w:eastAsia="Wingdings"/>
                    </w:rPr>
                  </w:pPr>
                  <w:r w:rsidRPr="005D4222">
                    <w:rPr>
                      <w:rFonts w:eastAsia="Wingdings"/>
                    </w:rPr>
                    <w:t>Metadata</w:t>
                  </w:r>
                </w:p>
              </w:tc>
            </w:tr>
            <w:tr w:rsidR="00C03223" w:rsidRPr="005D4222" w14:paraId="79D47F4F" w14:textId="77777777">
              <w:tc>
                <w:tcPr>
                  <w:tcW w:w="2426" w:type="dxa"/>
                  <w:tcBorders>
                    <w:top w:val="single" w:sz="4" w:space="0" w:color="auto"/>
                    <w:left w:val="nil"/>
                    <w:bottom w:val="nil"/>
                    <w:right w:val="single" w:sz="4" w:space="0" w:color="auto"/>
                  </w:tcBorders>
                </w:tcPr>
                <w:p w14:paraId="72FD070F" w14:textId="77777777" w:rsidR="00C03223" w:rsidRPr="005D4222" w:rsidRDefault="00C03223" w:rsidP="008A2068">
                  <w:pPr>
                    <w:pStyle w:val="TableText"/>
                  </w:pPr>
                </w:p>
              </w:tc>
              <w:tc>
                <w:tcPr>
                  <w:tcW w:w="2610" w:type="dxa"/>
                  <w:tcBorders>
                    <w:top w:val="single" w:sz="4" w:space="0" w:color="auto"/>
                    <w:left w:val="single" w:sz="4" w:space="0" w:color="auto"/>
                    <w:bottom w:val="single" w:sz="4" w:space="0" w:color="auto"/>
                    <w:right w:val="single" w:sz="4" w:space="0" w:color="auto"/>
                  </w:tcBorders>
                  <w:hideMark/>
                </w:tcPr>
                <w:p w14:paraId="7004BFA3" w14:textId="77777777" w:rsidR="00C03223" w:rsidRPr="005D4222" w:rsidRDefault="00C03223" w:rsidP="008A2068">
                  <w:pPr>
                    <w:pStyle w:val="TableText"/>
                  </w:pPr>
                  <w:r w:rsidRPr="005D4222">
                    <w:t xml:space="preserve">InitialPopulation </w:t>
                  </w:r>
                </w:p>
              </w:tc>
              <w:tc>
                <w:tcPr>
                  <w:tcW w:w="2340" w:type="dxa"/>
                  <w:tcBorders>
                    <w:top w:val="single" w:sz="6" w:space="0" w:color="auto"/>
                    <w:left w:val="single" w:sz="4" w:space="0" w:color="auto"/>
                    <w:bottom w:val="single" w:sz="6" w:space="0" w:color="auto"/>
                    <w:right w:val="single" w:sz="4" w:space="0" w:color="auto"/>
                  </w:tcBorders>
                  <w:hideMark/>
                </w:tcPr>
                <w:p w14:paraId="0138C46F" w14:textId="77777777" w:rsidR="00C03223" w:rsidRPr="005D4222" w:rsidRDefault="00C03223" w:rsidP="008A2068">
                  <w:pPr>
                    <w:pStyle w:val="TableText"/>
                    <w:rPr>
                      <w:rFonts w:eastAsia="Wingdings"/>
                    </w:rPr>
                  </w:pPr>
                  <w:r w:rsidRPr="005D4222">
                    <w:rPr>
                      <w:rFonts w:eastAsia="Wingdings"/>
                    </w:rPr>
                    <w:t>Report once</w:t>
                  </w:r>
                </w:p>
              </w:tc>
            </w:tr>
            <w:tr w:rsidR="00C03223" w:rsidRPr="005D4222" w14:paraId="28D03591" w14:textId="77777777">
              <w:tc>
                <w:tcPr>
                  <w:tcW w:w="2426" w:type="dxa"/>
                  <w:tcBorders>
                    <w:top w:val="nil"/>
                    <w:left w:val="nil"/>
                    <w:bottom w:val="nil"/>
                    <w:right w:val="single" w:sz="4" w:space="0" w:color="auto"/>
                  </w:tcBorders>
                  <w:shd w:val="clear" w:color="auto" w:fill="FFFFFF" w:themeFill="background1"/>
                </w:tcPr>
                <w:p w14:paraId="6824E140" w14:textId="77777777" w:rsidR="00C03223" w:rsidRPr="005D4222" w:rsidRDefault="00C03223" w:rsidP="008A2068">
                  <w:pPr>
                    <w:pStyle w:val="TableText"/>
                  </w:pPr>
                </w:p>
              </w:tc>
              <w:tc>
                <w:tcPr>
                  <w:tcW w:w="261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9E23AAD" w14:textId="77777777" w:rsidR="00C03223" w:rsidRPr="005D4222" w:rsidRDefault="00C03223" w:rsidP="008A2068">
                  <w:pPr>
                    <w:pStyle w:val="TableText"/>
                  </w:pPr>
                  <w:r w:rsidRPr="005D4222">
                    <w:t>Exclusions</w:t>
                  </w:r>
                </w:p>
              </w:tc>
              <w:tc>
                <w:tcPr>
                  <w:tcW w:w="2340"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26F1E44D" w14:textId="77777777" w:rsidR="00C03223" w:rsidRPr="005D4222" w:rsidRDefault="00C03223" w:rsidP="008A2068">
                  <w:pPr>
                    <w:pStyle w:val="TableText"/>
                    <w:rPr>
                      <w:rFonts w:eastAsia="Wingdings"/>
                    </w:rPr>
                  </w:pPr>
                  <w:r w:rsidRPr="005D4222">
                    <w:rPr>
                      <w:rFonts w:eastAsia="Wingdings"/>
                    </w:rPr>
                    <w:t>Report once</w:t>
                  </w:r>
                </w:p>
              </w:tc>
            </w:tr>
            <w:tr w:rsidR="00C03223" w:rsidRPr="005D4222" w14:paraId="53ED5271" w14:textId="77777777">
              <w:tc>
                <w:tcPr>
                  <w:tcW w:w="2426" w:type="dxa"/>
                  <w:tcBorders>
                    <w:top w:val="nil"/>
                    <w:left w:val="nil"/>
                    <w:bottom w:val="nil"/>
                    <w:right w:val="nil"/>
                  </w:tcBorders>
                  <w:shd w:val="clear" w:color="auto" w:fill="FFFFFF" w:themeFill="background1"/>
                </w:tcPr>
                <w:p w14:paraId="56A3BC1D" w14:textId="77777777" w:rsidR="00C03223" w:rsidRPr="005D4222" w:rsidRDefault="00C03223" w:rsidP="008A2068">
                  <w:pPr>
                    <w:pStyle w:val="TableText"/>
                  </w:pPr>
                </w:p>
              </w:tc>
              <w:tc>
                <w:tcPr>
                  <w:tcW w:w="2610" w:type="dxa"/>
                  <w:tcBorders>
                    <w:top w:val="single" w:sz="4" w:space="0" w:color="auto"/>
                    <w:left w:val="single" w:sz="4" w:space="0" w:color="auto"/>
                    <w:bottom w:val="single" w:sz="4" w:space="0" w:color="auto"/>
                    <w:right w:val="single" w:sz="4" w:space="0" w:color="auto"/>
                  </w:tcBorders>
                  <w:shd w:val="clear" w:color="auto" w:fill="FFFFFF" w:themeFill="background1"/>
                </w:tcPr>
                <w:p w14:paraId="62748677" w14:textId="77777777" w:rsidR="00C03223" w:rsidRPr="005D4222" w:rsidRDefault="00C03223" w:rsidP="008A2068">
                  <w:pPr>
                    <w:pStyle w:val="TableText"/>
                  </w:pPr>
                  <w:r w:rsidRPr="005D4222">
                    <w:t>Denominator</w:t>
                  </w:r>
                </w:p>
              </w:tc>
              <w:tc>
                <w:tcPr>
                  <w:tcW w:w="2340" w:type="dxa"/>
                  <w:tcBorders>
                    <w:top w:val="single" w:sz="6" w:space="0" w:color="auto"/>
                    <w:left w:val="single" w:sz="4" w:space="0" w:color="auto"/>
                    <w:bottom w:val="single" w:sz="6" w:space="0" w:color="auto"/>
                    <w:right w:val="single" w:sz="4" w:space="0" w:color="auto"/>
                  </w:tcBorders>
                  <w:shd w:val="clear" w:color="auto" w:fill="FFFFFF" w:themeFill="background1"/>
                </w:tcPr>
                <w:p w14:paraId="2B576C95" w14:textId="77777777" w:rsidR="00C03223" w:rsidRPr="005D4222" w:rsidRDefault="00C03223" w:rsidP="008A2068">
                  <w:pPr>
                    <w:pStyle w:val="TableText"/>
                    <w:rPr>
                      <w:rFonts w:eastAsia="Wingdings"/>
                    </w:rPr>
                  </w:pPr>
                  <w:r w:rsidRPr="005D4222">
                    <w:rPr>
                      <w:rFonts w:eastAsia="Wingdings"/>
                    </w:rPr>
                    <w:t>Report once</w:t>
                  </w:r>
                </w:p>
              </w:tc>
            </w:tr>
            <w:tr w:rsidR="00C03223" w:rsidRPr="005D4222" w14:paraId="0482704E" w14:textId="77777777">
              <w:tc>
                <w:tcPr>
                  <w:tcW w:w="2426" w:type="dxa"/>
                  <w:tcBorders>
                    <w:top w:val="nil"/>
                    <w:left w:val="nil"/>
                    <w:bottom w:val="nil"/>
                    <w:right w:val="nil"/>
                  </w:tcBorders>
                  <w:shd w:val="clear" w:color="auto" w:fill="FFFFFF" w:themeFill="background1"/>
                </w:tcPr>
                <w:p w14:paraId="52808960" w14:textId="77777777" w:rsidR="00C03223" w:rsidRPr="005D4222" w:rsidRDefault="00C03223" w:rsidP="008A2068">
                  <w:pPr>
                    <w:pStyle w:val="TableText"/>
                  </w:pPr>
                </w:p>
              </w:tc>
              <w:tc>
                <w:tcPr>
                  <w:tcW w:w="261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822F6ED" w14:textId="77777777" w:rsidR="00C03223" w:rsidRPr="005D4222" w:rsidRDefault="00C03223" w:rsidP="008A2068">
                  <w:pPr>
                    <w:pStyle w:val="TableText"/>
                  </w:pPr>
                  <w:r w:rsidRPr="005D4222">
                    <w:t>NumeratorByAdmin</w:t>
                  </w:r>
                </w:p>
              </w:tc>
              <w:tc>
                <w:tcPr>
                  <w:tcW w:w="2340"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6067ADC6" w14:textId="77777777" w:rsidR="00C03223" w:rsidRPr="005D4222" w:rsidRDefault="00C03223" w:rsidP="008A2068">
                  <w:pPr>
                    <w:pStyle w:val="TableText"/>
                    <w:rPr>
                      <w:rFonts w:eastAsia="Wingdings"/>
                    </w:rPr>
                  </w:pPr>
                  <w:r w:rsidRPr="005D4222">
                    <w:rPr>
                      <w:rFonts w:eastAsia="Wingdings"/>
                    </w:rPr>
                    <w:t>Report once</w:t>
                  </w:r>
                </w:p>
              </w:tc>
            </w:tr>
            <w:tr w:rsidR="00C03223" w:rsidRPr="005D4222" w14:paraId="0509CD07" w14:textId="77777777">
              <w:tc>
                <w:tcPr>
                  <w:tcW w:w="2426" w:type="dxa"/>
                  <w:tcBorders>
                    <w:top w:val="nil"/>
                    <w:left w:val="nil"/>
                    <w:bottom w:val="nil"/>
                    <w:right w:val="nil"/>
                  </w:tcBorders>
                  <w:shd w:val="clear" w:color="auto" w:fill="FFFFFF" w:themeFill="background1"/>
                </w:tcPr>
                <w:p w14:paraId="1B1B1EFB" w14:textId="77777777" w:rsidR="00C03223" w:rsidRPr="005D4222" w:rsidRDefault="00C03223" w:rsidP="008A2068">
                  <w:pPr>
                    <w:pStyle w:val="TableText"/>
                  </w:pPr>
                </w:p>
              </w:tc>
              <w:tc>
                <w:tcPr>
                  <w:tcW w:w="261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A8030F6" w14:textId="77777777" w:rsidR="00C03223" w:rsidRPr="005D4222" w:rsidRDefault="00C03223" w:rsidP="008A2068">
                  <w:pPr>
                    <w:pStyle w:val="TableText"/>
                  </w:pPr>
                  <w:r w:rsidRPr="005D4222">
                    <w:t>NumeratorBySupplemental</w:t>
                  </w:r>
                </w:p>
              </w:tc>
              <w:tc>
                <w:tcPr>
                  <w:tcW w:w="2340"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22E34CE6" w14:textId="77777777" w:rsidR="00C03223" w:rsidRPr="005D4222" w:rsidRDefault="00C03223" w:rsidP="008A2068">
                  <w:pPr>
                    <w:pStyle w:val="TableText"/>
                    <w:rPr>
                      <w:rFonts w:eastAsia="Wingdings"/>
                    </w:rPr>
                  </w:pPr>
                  <w:r w:rsidRPr="005D4222">
                    <w:rPr>
                      <w:rFonts w:eastAsia="Wingdings"/>
                    </w:rPr>
                    <w:t>Report once</w:t>
                  </w:r>
                </w:p>
              </w:tc>
            </w:tr>
            <w:tr w:rsidR="00C03223" w:rsidRPr="005D4222" w14:paraId="63A751BF" w14:textId="77777777">
              <w:tc>
                <w:tcPr>
                  <w:tcW w:w="2426" w:type="dxa"/>
                  <w:tcBorders>
                    <w:top w:val="nil"/>
                    <w:left w:val="nil"/>
                    <w:bottom w:val="nil"/>
                    <w:right w:val="nil"/>
                  </w:tcBorders>
                </w:tcPr>
                <w:p w14:paraId="640B453B" w14:textId="77777777" w:rsidR="00C03223" w:rsidRPr="005D4222" w:rsidRDefault="00C03223" w:rsidP="008A2068">
                  <w:pPr>
                    <w:pStyle w:val="TableText"/>
                  </w:pPr>
                </w:p>
              </w:tc>
              <w:tc>
                <w:tcPr>
                  <w:tcW w:w="261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F6BD169" w14:textId="77777777" w:rsidR="00C03223" w:rsidRPr="005D4222" w:rsidRDefault="00C03223" w:rsidP="008A2068">
                  <w:pPr>
                    <w:pStyle w:val="TableText"/>
                  </w:pPr>
                  <w:r w:rsidRPr="005D4222">
                    <w:t>Rate</w:t>
                  </w:r>
                </w:p>
              </w:tc>
              <w:tc>
                <w:tcPr>
                  <w:tcW w:w="2340" w:type="dxa"/>
                  <w:tcBorders>
                    <w:top w:val="single" w:sz="6" w:space="0" w:color="auto"/>
                    <w:left w:val="single" w:sz="4" w:space="0" w:color="auto"/>
                    <w:bottom w:val="single" w:sz="6" w:space="0" w:color="auto"/>
                    <w:right w:val="single" w:sz="4" w:space="0" w:color="auto"/>
                  </w:tcBorders>
                  <w:shd w:val="clear" w:color="auto" w:fill="D9D9D9" w:themeFill="background1" w:themeFillShade="D9"/>
                  <w:hideMark/>
                </w:tcPr>
                <w:p w14:paraId="064D6EFB" w14:textId="77777777" w:rsidR="00C03223" w:rsidRPr="005D4222" w:rsidRDefault="00C03223" w:rsidP="008A2068">
                  <w:pPr>
                    <w:pStyle w:val="TableText"/>
                    <w:rPr>
                      <w:rFonts w:eastAsia="Wingdings"/>
                    </w:rPr>
                  </w:pPr>
                  <w:r w:rsidRPr="005D4222">
                    <w:rPr>
                      <w:rFonts w:eastAsia="Wingdings"/>
                    </w:rPr>
                    <w:t>(Percent)</w:t>
                  </w:r>
                </w:p>
              </w:tc>
            </w:tr>
          </w:tbl>
          <w:p w14:paraId="24F7FFEE" w14:textId="77777777" w:rsidR="00C03223" w:rsidRPr="005D4222" w:rsidRDefault="00C03223" w:rsidP="00C03223">
            <w:pPr>
              <w:tabs>
                <w:tab w:val="left" w:pos="432"/>
              </w:tabs>
              <w:spacing w:before="40" w:after="40"/>
              <w:rPr>
                <w:rFonts w:cs="Arial"/>
                <w:color w:val="000000" w:themeColor="text1"/>
                <w:szCs w:val="21"/>
                <w:highlight w:val="yellow"/>
              </w:rPr>
            </w:pPr>
          </w:p>
        </w:tc>
      </w:tr>
      <w:tr w:rsidR="00C03223" w:rsidRPr="005D4222" w14:paraId="715C05EE"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90F02EA" w14:textId="77777777" w:rsidR="00C03223" w:rsidRPr="005D4222" w:rsidRDefault="00C03223" w:rsidP="00C03223">
            <w:pPr>
              <w:spacing w:before="120" w:after="80"/>
              <w:rPr>
                <w:b/>
                <w:sz w:val="22"/>
                <w:szCs w:val="21"/>
              </w:rPr>
            </w:pPr>
            <w:r w:rsidRPr="005D4222">
              <w:rPr>
                <w:b/>
                <w:sz w:val="22"/>
                <w:szCs w:val="21"/>
              </w:rPr>
              <w:t>Rules for Allowable Adjustments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FEF8049" w14:textId="77777777" w:rsidR="00C03223" w:rsidRPr="005D4222" w:rsidRDefault="00C03223" w:rsidP="008A2068">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4219299D" w14:textId="77777777" w:rsidR="00C03223" w:rsidRPr="005D4222" w:rsidRDefault="00C03223" w:rsidP="008A2068">
            <w:pPr>
              <w:pStyle w:val="ECDSBody"/>
              <w:rPr>
                <w:b/>
              </w:rPr>
            </w:pPr>
            <w:r w:rsidRPr="005D4222">
              <w:rPr>
                <w:b/>
              </w:rPr>
              <w:t>Adjusted HEDIS measures may not be used for HEDIS health plan reporting.</w:t>
            </w:r>
          </w:p>
          <w:p w14:paraId="5A5E559C" w14:textId="77777777" w:rsidR="00C03223" w:rsidRPr="005D4222" w:rsidRDefault="00C03223" w:rsidP="00624564">
            <w:pPr>
              <w:pStyle w:val="Adjustments"/>
            </w:pPr>
            <w:r w:rsidRPr="005D4222">
              <w:t>Adjustments</w:t>
            </w:r>
            <w:r w:rsidRPr="005D4222">
              <w:rPr>
                <w:bCs/>
              </w:rPr>
              <w:t xml:space="preserve"> a</w:t>
            </w:r>
            <w:r w:rsidRPr="005D4222">
              <w:t>llowed</w:t>
            </w:r>
          </w:p>
          <w:p w14:paraId="700718E3" w14:textId="2DAA77EF" w:rsidR="00C03223" w:rsidRPr="005D4222" w:rsidRDefault="00C03223" w:rsidP="00624564">
            <w:pPr>
              <w:pStyle w:val="ProcessBullet"/>
              <w:rPr>
                <w:b/>
              </w:rPr>
            </w:pPr>
            <w:r w:rsidRPr="005D4222">
              <w:rPr>
                <w:i/>
                <w:iCs/>
              </w:rPr>
              <w:t>Product lines</w:t>
            </w:r>
            <w:r w:rsidRPr="005D4222">
              <w:t>. Organizations are not required to use product line criteria; product lines may be combined</w:t>
            </w:r>
            <w:r w:rsidR="00E8671F" w:rsidRPr="005D4222">
              <w:t>,</w:t>
            </w:r>
            <w:r w:rsidRPr="005D4222">
              <w:t xml:space="preserve"> and all (or no) product line criteria may be used.</w:t>
            </w:r>
          </w:p>
          <w:p w14:paraId="5B52A6C9" w14:textId="77777777" w:rsidR="00C03223" w:rsidRPr="005D4222" w:rsidRDefault="00C03223" w:rsidP="00624564">
            <w:pPr>
              <w:pStyle w:val="ProcessBullet"/>
              <w:rPr>
                <w:i/>
                <w:sz w:val="20"/>
              </w:rPr>
            </w:pPr>
            <w:r w:rsidRPr="005D4222">
              <w:rPr>
                <w:i/>
              </w:rPr>
              <w:t>Attribution.</w:t>
            </w:r>
            <w:r w:rsidRPr="005D4222">
              <w:t xml:space="preserve"> Organizations are not required to use enrollment criteria. </w:t>
            </w:r>
            <w:r w:rsidRPr="005D4222">
              <w:br/>
            </w:r>
            <w:r w:rsidRPr="005D4222">
              <w:rPr>
                <w:b/>
                <w:bCs/>
                <w:i/>
                <w:sz w:val="20"/>
              </w:rPr>
              <w:t>Note:</w:t>
            </w:r>
            <w:r w:rsidRPr="005D4222">
              <w:rPr>
                <w:i/>
                <w:sz w:val="20"/>
              </w:rPr>
              <w:t xml:space="preserve"> Adjusting the discharge date will affect the treatment days and the 180-day measurement interval calculations.</w:t>
            </w:r>
          </w:p>
          <w:p w14:paraId="0CD563A2" w14:textId="00731B45" w:rsidR="00C03223" w:rsidRPr="005D4222" w:rsidRDefault="00362E76" w:rsidP="00143CA2">
            <w:pPr>
              <w:pStyle w:val="ProcessBullet"/>
              <w:spacing w:after="80"/>
            </w:pPr>
            <w:r w:rsidRPr="005D4222">
              <w:rPr>
                <w:i/>
                <w:iCs/>
              </w:rPr>
              <w:t>Benefits.</w:t>
            </w:r>
            <w:r w:rsidR="00C03223" w:rsidRPr="005D4222">
              <w:t xml:space="preserve"> Organizations are not required to use a benefit.</w:t>
            </w:r>
          </w:p>
        </w:tc>
      </w:tr>
      <w:tr w:rsidR="00C03223" w:rsidRPr="005D4222" w14:paraId="36D17846"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25C719F" w14:textId="77777777" w:rsidR="00C03223" w:rsidRPr="005D4222" w:rsidRDefault="00C03223" w:rsidP="00C03223">
            <w:pPr>
              <w:spacing w:before="120" w:after="80"/>
              <w:rPr>
                <w:b/>
                <w:sz w:val="22"/>
                <w:szCs w:val="21"/>
              </w:rPr>
            </w:pP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F7FCBD5" w14:textId="77777777" w:rsidR="00C03223" w:rsidRPr="005D4222" w:rsidRDefault="00C03223" w:rsidP="00624564">
            <w:pPr>
              <w:pStyle w:val="ProcessBullet"/>
              <w:rPr>
                <w:b/>
                <w:bCs/>
                <w:color w:val="000000" w:themeColor="text1"/>
              </w:rPr>
            </w:pPr>
            <w:r w:rsidRPr="005D4222">
              <w:rPr>
                <w:i/>
              </w:rPr>
              <w:t>Other.</w:t>
            </w:r>
            <w:r w:rsidRPr="005D4222">
              <w:t xml:space="preserve"> Organizations may use additional initial population criteria to focus on an area of interest defined by gender, race, ethnicity, socioeconomic or sociodemographic characteristics, geographic region or another characteristic.</w:t>
            </w:r>
          </w:p>
          <w:p w14:paraId="44BB99F2" w14:textId="77777777" w:rsidR="00C03223" w:rsidRPr="005D4222" w:rsidRDefault="00C03223" w:rsidP="00624564">
            <w:pPr>
              <w:pStyle w:val="ProcessBullet"/>
              <w:rPr>
                <w:b/>
                <w:bCs/>
                <w:color w:val="000000" w:themeColor="text1"/>
              </w:rPr>
            </w:pPr>
            <w:r w:rsidRPr="005D4222">
              <w:rPr>
                <w:i/>
              </w:rPr>
              <w:t xml:space="preserve">Measurement </w:t>
            </w:r>
            <w:r w:rsidRPr="005D4222">
              <w:rPr>
                <w:i/>
                <w:iCs/>
              </w:rPr>
              <w:t>period a</w:t>
            </w:r>
            <w:r w:rsidRPr="005D4222">
              <w:rPr>
                <w:i/>
              </w:rPr>
              <w:t>djustments.</w:t>
            </w:r>
            <w:r w:rsidRPr="005D4222">
              <w:t xml:space="preserve"> Organizations may adjust the measurement period. </w:t>
            </w:r>
          </w:p>
          <w:p w14:paraId="6C0DC482" w14:textId="3DBA059F" w:rsidR="00C03223" w:rsidRPr="005D4222" w:rsidRDefault="00C03223" w:rsidP="00624564">
            <w:pPr>
              <w:pStyle w:val="ProcessBullet"/>
              <w:rPr>
                <w:b/>
                <w:bCs/>
                <w:color w:val="000000" w:themeColor="text1"/>
              </w:rPr>
            </w:pPr>
            <w:r w:rsidRPr="005D4222">
              <w:rPr>
                <w:i/>
              </w:rPr>
              <w:t>Exclusions.</w:t>
            </w:r>
            <w:r w:rsidRPr="005D4222">
              <w:t xml:space="preserve"> </w:t>
            </w:r>
            <w:r w:rsidR="00B60906" w:rsidRPr="005D4222">
              <w:t>The h</w:t>
            </w:r>
            <w:r w:rsidRPr="005D4222">
              <w:t xml:space="preserve">ospice, deceased person, I-SNP, LTI, frailty or advanced illness exclusions are not required. </w:t>
            </w:r>
          </w:p>
          <w:p w14:paraId="6738A922" w14:textId="77777777" w:rsidR="00C03223" w:rsidRPr="005D4222" w:rsidRDefault="00C03223" w:rsidP="00624564">
            <w:pPr>
              <w:pStyle w:val="ProcessBullet"/>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03BD6B93" w14:textId="77777777" w:rsidR="00C03223" w:rsidRPr="005D4222" w:rsidRDefault="00C03223" w:rsidP="00624564">
            <w:pPr>
              <w:pStyle w:val="ProcessBullet"/>
            </w:pPr>
            <w:r w:rsidRPr="005D4222">
              <w:rPr>
                <w:i/>
                <w:iCs/>
              </w:rPr>
              <w:t>Supplemental data.</w:t>
            </w:r>
            <w:r w:rsidRPr="005D4222">
              <w:t xml:space="preserve"> Supplemental data may be used to identify initial population, denominator, exclusion and numerator events.</w:t>
            </w:r>
          </w:p>
          <w:p w14:paraId="14D4A14D" w14:textId="77777777" w:rsidR="00C03223" w:rsidRPr="005D4222" w:rsidRDefault="00C03223" w:rsidP="00624564">
            <w:pPr>
              <w:pStyle w:val="Adjustments"/>
            </w:pPr>
            <w:r w:rsidRPr="005D4222">
              <w:t>Adjustments allowed with limits</w:t>
            </w:r>
          </w:p>
          <w:p w14:paraId="3C3CB19B" w14:textId="77777777" w:rsidR="00C03223" w:rsidRPr="005D4222" w:rsidRDefault="00C03223" w:rsidP="00624564">
            <w:pPr>
              <w:pStyle w:val="ProcessBullet"/>
            </w:pPr>
            <w:r w:rsidRPr="005D4222">
              <w:rPr>
                <w:i/>
                <w:iCs/>
              </w:rPr>
              <w:t>Ages</w:t>
            </w:r>
            <w:r w:rsidRPr="005D4222">
              <w:t>. Age determination dates may be changed (e.g., select, “age as of June 30”). The denominator age may be changed if the age is within the specified age range (18 years and older). The denominator age may not be expanded.</w:t>
            </w:r>
          </w:p>
          <w:p w14:paraId="7F766EB5" w14:textId="77777777" w:rsidR="00C03223" w:rsidRPr="005D4222" w:rsidRDefault="00C03223" w:rsidP="00624564">
            <w:pPr>
              <w:pStyle w:val="Adjustments"/>
            </w:pPr>
            <w:r w:rsidRPr="005D4222">
              <w:t>Adjustments not allowed</w:t>
            </w:r>
          </w:p>
          <w:p w14:paraId="7D820911" w14:textId="77777777" w:rsidR="00C03223" w:rsidRPr="005D4222" w:rsidRDefault="00C03223" w:rsidP="00624564">
            <w:pPr>
              <w:pStyle w:val="ProcessBullet"/>
            </w:pPr>
            <w:r w:rsidRPr="005D4222">
              <w:rPr>
                <w:i/>
                <w:iCs/>
              </w:rPr>
              <w:t>Initial population</w:t>
            </w:r>
            <w:r w:rsidRPr="005D4222">
              <w:t xml:space="preserve">: </w:t>
            </w:r>
            <w:r w:rsidRPr="005D4222">
              <w:rPr>
                <w:iCs/>
              </w:rPr>
              <w:t xml:space="preserve">Event. </w:t>
            </w:r>
            <w:r w:rsidRPr="005D4222">
              <w:t xml:space="preserve">Only events that contain (or map to) codes in the medication lists and value sets may be used to identify discharges. Medication lists, value sets and logic may not be changed. </w:t>
            </w:r>
          </w:p>
          <w:p w14:paraId="00A2C000" w14:textId="77777777" w:rsidR="00C03223" w:rsidRPr="005D4222" w:rsidRDefault="00C03223" w:rsidP="00624564">
            <w:pPr>
              <w:pStyle w:val="ProcessBullet"/>
            </w:pPr>
            <w:r w:rsidRPr="005D4222">
              <w:rPr>
                <w:i/>
              </w:rPr>
              <w:t>Exclusions.</w:t>
            </w:r>
            <w:r w:rsidRPr="005D4222">
              <w:t xml:space="preserve"> The medication dispensing event and diagnosis that indicates a contraindication to beta-blocker therapy exclusions must be applied. The value sets, medication lists and logic may not be changed.</w:t>
            </w:r>
          </w:p>
          <w:p w14:paraId="7EAC65FC" w14:textId="77777777" w:rsidR="00C03223" w:rsidRPr="005D4222" w:rsidRDefault="00C03223" w:rsidP="00624564">
            <w:pPr>
              <w:pStyle w:val="ProcessBullet"/>
              <w:spacing w:after="80"/>
              <w:rPr>
                <w:b/>
                <w:i/>
              </w:rPr>
            </w:pPr>
            <w:r w:rsidRPr="005D4222">
              <w:rPr>
                <w:i/>
              </w:rPr>
              <w:t xml:space="preserve">Numerator. </w:t>
            </w:r>
            <w:r w:rsidRPr="005D4222">
              <w:t>Medication lists and logic may not be changed.</w:t>
            </w:r>
          </w:p>
        </w:tc>
      </w:tr>
    </w:tbl>
    <w:p w14:paraId="50FC07EB" w14:textId="77777777" w:rsidR="00143CA2" w:rsidRPr="005D4222" w:rsidRDefault="00143CA2" w:rsidP="00CA50B7">
      <w:pPr>
        <w:pStyle w:val="ECDSBody"/>
        <w:sectPr w:rsidR="00143CA2" w:rsidRPr="005D4222" w:rsidSect="0074514A">
          <w:headerReference w:type="default" r:id="rId99"/>
          <w:type w:val="nextColumn"/>
          <w:pgSz w:w="12240" w:h="15840" w:code="1"/>
          <w:pgMar w:top="1080" w:right="1080" w:bottom="1080" w:left="1440" w:header="720" w:footer="720" w:gutter="0"/>
          <w:cols w:space="720"/>
          <w:docGrid w:linePitch="360"/>
        </w:sectPr>
      </w:pPr>
    </w:p>
    <w:p w14:paraId="39D145FE" w14:textId="1B6B4383" w:rsidR="00CA50B7" w:rsidRPr="005D4222" w:rsidRDefault="00F076D1" w:rsidP="00F076D1">
      <w:pPr>
        <w:pStyle w:val="MeasureTitle"/>
      </w:pPr>
      <w:bookmarkStart w:id="283" w:name="_Toc201813398"/>
      <w:r w:rsidRPr="005D4222">
        <w:lastRenderedPageBreak/>
        <w:t>Cardiac Rehabilitation</w:t>
      </w:r>
      <w:r w:rsidR="004C0737" w:rsidRPr="005D4222">
        <w:t xml:space="preserve"> (CRE)</w:t>
      </w:r>
      <w:bookmarkEnd w:id="283"/>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3" w:type="dxa"/>
          <w:right w:w="86" w:type="dxa"/>
        </w:tblCellMar>
        <w:tblLook w:val="04A0" w:firstRow="1" w:lastRow="0" w:firstColumn="1" w:lastColumn="0" w:noHBand="0" w:noVBand="1"/>
      </w:tblPr>
      <w:tblGrid>
        <w:gridCol w:w="2157"/>
        <w:gridCol w:w="4500"/>
        <w:gridCol w:w="1620"/>
        <w:gridCol w:w="1440"/>
      </w:tblGrid>
      <w:tr w:rsidR="003666DA" w:rsidRPr="005D4222" w14:paraId="2D7FF64D" w14:textId="77777777" w:rsidTr="00D55B75">
        <w:tc>
          <w:tcPr>
            <w:tcW w:w="2157" w:type="dxa"/>
            <w:shd w:val="clear" w:color="auto" w:fill="BFBFBF" w:themeFill="background1" w:themeFillShade="BF"/>
            <w:tcMar>
              <w:top w:w="0" w:type="dxa"/>
              <w:left w:w="86" w:type="dxa"/>
              <w:bottom w:w="43" w:type="dxa"/>
              <w:right w:w="86" w:type="dxa"/>
            </w:tcMar>
            <w:hideMark/>
          </w:tcPr>
          <w:p w14:paraId="3EFE4C3D" w14:textId="77777777" w:rsidR="003666DA" w:rsidRPr="005D4222" w:rsidRDefault="003666DA" w:rsidP="00D55B75">
            <w:pPr>
              <w:pStyle w:val="ECDSMarginHead"/>
            </w:pPr>
            <w:r w:rsidRPr="005D4222">
              <w:t>Measure title</w:t>
            </w:r>
          </w:p>
        </w:tc>
        <w:tc>
          <w:tcPr>
            <w:tcW w:w="4500" w:type="dxa"/>
            <w:tcMar>
              <w:top w:w="0" w:type="dxa"/>
              <w:left w:w="86" w:type="dxa"/>
              <w:bottom w:w="43" w:type="dxa"/>
              <w:right w:w="86" w:type="dxa"/>
            </w:tcMar>
          </w:tcPr>
          <w:p w14:paraId="3CBF974D" w14:textId="77777777" w:rsidR="003666DA" w:rsidRPr="005D4222" w:rsidRDefault="003666DA" w:rsidP="00D55B75">
            <w:pPr>
              <w:pStyle w:val="ECDSBody"/>
            </w:pPr>
            <w:r w:rsidRPr="005D4222">
              <w:t>Cardiac Rehabilitation</w:t>
            </w:r>
          </w:p>
        </w:tc>
        <w:tc>
          <w:tcPr>
            <w:tcW w:w="1620" w:type="dxa"/>
            <w:shd w:val="clear" w:color="auto" w:fill="BFBFBF" w:themeFill="background1" w:themeFillShade="BF"/>
            <w:tcMar>
              <w:top w:w="0" w:type="dxa"/>
              <w:left w:w="86" w:type="dxa"/>
              <w:bottom w:w="43" w:type="dxa"/>
              <w:right w:w="86" w:type="dxa"/>
            </w:tcMar>
          </w:tcPr>
          <w:p w14:paraId="1D1C4854" w14:textId="77777777" w:rsidR="003666DA" w:rsidRPr="005D4222" w:rsidRDefault="003666DA" w:rsidP="00D55B75">
            <w:pPr>
              <w:pStyle w:val="ECDSMarginHead"/>
            </w:pPr>
            <w:r w:rsidRPr="005D4222">
              <w:t>Measure ID</w:t>
            </w:r>
          </w:p>
        </w:tc>
        <w:tc>
          <w:tcPr>
            <w:tcW w:w="1440" w:type="dxa"/>
            <w:tcMar>
              <w:top w:w="0" w:type="dxa"/>
              <w:left w:w="86" w:type="dxa"/>
              <w:bottom w:w="43" w:type="dxa"/>
              <w:right w:w="86" w:type="dxa"/>
            </w:tcMar>
          </w:tcPr>
          <w:p w14:paraId="610F92CF" w14:textId="77777777" w:rsidR="003666DA" w:rsidRPr="005D4222" w:rsidRDefault="003666DA" w:rsidP="00D55B75">
            <w:pPr>
              <w:pStyle w:val="ECDSBody"/>
            </w:pPr>
            <w:r w:rsidRPr="005D4222">
              <w:t>CRE</w:t>
            </w:r>
          </w:p>
        </w:tc>
      </w:tr>
      <w:tr w:rsidR="003666DA" w:rsidRPr="005D4222" w14:paraId="132EF09E" w14:textId="77777777" w:rsidTr="00D55B75">
        <w:tc>
          <w:tcPr>
            <w:tcW w:w="2157" w:type="dxa"/>
            <w:shd w:val="clear" w:color="auto" w:fill="BFBFBF" w:themeFill="background1" w:themeFillShade="BF"/>
            <w:tcMar>
              <w:top w:w="0" w:type="dxa"/>
              <w:left w:w="86" w:type="dxa"/>
              <w:bottom w:w="43" w:type="dxa"/>
              <w:right w:w="86" w:type="dxa"/>
            </w:tcMar>
            <w:hideMark/>
          </w:tcPr>
          <w:p w14:paraId="2118BF6B" w14:textId="77777777" w:rsidR="003666DA" w:rsidRPr="005D4222" w:rsidRDefault="003666DA" w:rsidP="00D55B75">
            <w:pPr>
              <w:pStyle w:val="ECDSMarginHead"/>
            </w:pPr>
            <w:r w:rsidRPr="005D4222">
              <w:t>Description</w:t>
            </w:r>
          </w:p>
        </w:tc>
        <w:tc>
          <w:tcPr>
            <w:tcW w:w="7560" w:type="dxa"/>
            <w:gridSpan w:val="3"/>
            <w:tcMar>
              <w:top w:w="0" w:type="dxa"/>
              <w:left w:w="86" w:type="dxa"/>
              <w:bottom w:w="43" w:type="dxa"/>
              <w:right w:w="86" w:type="dxa"/>
            </w:tcMar>
          </w:tcPr>
          <w:p w14:paraId="4D741E5F" w14:textId="38F44296" w:rsidR="003666DA" w:rsidRPr="005D4222" w:rsidRDefault="003666DA" w:rsidP="00D55B75">
            <w:pPr>
              <w:pStyle w:val="ECDSBody"/>
              <w:rPr>
                <w:rFonts w:eastAsia="Arial"/>
              </w:rPr>
            </w:pPr>
            <w:r w:rsidRPr="005D4222">
              <w:rPr>
                <w:rFonts w:eastAsia="Arial"/>
              </w:rPr>
              <w:t>The percentage of persons 18 years</w:t>
            </w:r>
            <w:r w:rsidR="000F0113">
              <w:rPr>
                <w:rFonts w:eastAsia="Arial"/>
              </w:rPr>
              <w:t xml:space="preserve"> of age</w:t>
            </w:r>
            <w:r w:rsidRPr="005D4222">
              <w:rPr>
                <w:rFonts w:eastAsia="Arial"/>
              </w:rPr>
              <w:t xml:space="preserve"> and older who attended cardiac rehabilitation following a qualifying cardiac event, including myocardial infarction (MI), percutaneous coronary intervention (PCI), coronary artery bypass grafting (CABG), heart and heart/lung transplantation or heart valve repair/replacement. Four rates are reported:</w:t>
            </w:r>
          </w:p>
          <w:p w14:paraId="7ABE0CAF" w14:textId="77777777" w:rsidR="003666DA" w:rsidRPr="005D4222" w:rsidRDefault="003666DA" w:rsidP="00D55B75">
            <w:pPr>
              <w:pStyle w:val="Bullet"/>
              <w:rPr>
                <w:rFonts w:eastAsia="Arial"/>
                <w:bCs/>
                <w:szCs w:val="21"/>
              </w:rPr>
            </w:pPr>
            <w:r w:rsidRPr="005D4222">
              <w:rPr>
                <w:rFonts w:eastAsia="Arial"/>
                <w:i/>
              </w:rPr>
              <w:t>Initiation</w:t>
            </w:r>
            <w:r w:rsidRPr="005D4222">
              <w:rPr>
                <w:rFonts w:eastAsia="Arial"/>
              </w:rPr>
              <w:t>. The percentage of persons who attended 2 or more sessions of cardiac rehabilitation within 30 days after a qualifying event.</w:t>
            </w:r>
          </w:p>
          <w:p w14:paraId="67F97E2C" w14:textId="77777777" w:rsidR="003666DA" w:rsidRPr="005D4222" w:rsidRDefault="003666DA" w:rsidP="00D55B75">
            <w:pPr>
              <w:pStyle w:val="Bullet"/>
              <w:rPr>
                <w:rFonts w:eastAsia="Arial"/>
                <w:bCs/>
                <w:szCs w:val="21"/>
              </w:rPr>
            </w:pPr>
            <w:r w:rsidRPr="005D4222">
              <w:rPr>
                <w:rFonts w:eastAsia="Arial"/>
                <w:i/>
              </w:rPr>
              <w:t>Engagement 1</w:t>
            </w:r>
            <w:r w:rsidRPr="005D4222">
              <w:rPr>
                <w:rFonts w:eastAsia="Arial"/>
              </w:rPr>
              <w:t>. The percentage of persons who attended 12 or more sessions of cardiac rehabilitation within 90 days after a qualifying event.</w:t>
            </w:r>
          </w:p>
          <w:p w14:paraId="696A4DB3" w14:textId="77777777" w:rsidR="003666DA" w:rsidRPr="005D4222" w:rsidRDefault="003666DA" w:rsidP="00D55B75">
            <w:pPr>
              <w:pStyle w:val="Bullet"/>
              <w:rPr>
                <w:rFonts w:eastAsia="Arial"/>
              </w:rPr>
            </w:pPr>
            <w:r w:rsidRPr="005D4222">
              <w:rPr>
                <w:rFonts w:eastAsia="Arial"/>
                <w:i/>
                <w:iCs/>
              </w:rPr>
              <w:t>Engagement 2</w:t>
            </w:r>
            <w:r w:rsidRPr="005D4222">
              <w:rPr>
                <w:rFonts w:eastAsia="Arial"/>
              </w:rPr>
              <w:t>. The percentage of persons who attended 24 or more sessions of cardiac rehabilitation within 180 days after a qualifying event.</w:t>
            </w:r>
          </w:p>
          <w:p w14:paraId="2E33C590" w14:textId="77777777" w:rsidR="003666DA" w:rsidRPr="005D4222" w:rsidRDefault="003666DA" w:rsidP="00052BBD">
            <w:pPr>
              <w:pStyle w:val="Bullet"/>
              <w:spacing w:after="80"/>
              <w:rPr>
                <w:rFonts w:eastAsia="Arial"/>
                <w:bCs/>
                <w:szCs w:val="21"/>
              </w:rPr>
            </w:pPr>
            <w:r w:rsidRPr="005D4222">
              <w:rPr>
                <w:rFonts w:eastAsia="Arial"/>
                <w:i/>
              </w:rPr>
              <w:t>Achievement</w:t>
            </w:r>
            <w:r w:rsidRPr="005D4222">
              <w:rPr>
                <w:rFonts w:eastAsia="Arial"/>
              </w:rPr>
              <w:t xml:space="preserve">. </w:t>
            </w:r>
            <w:bookmarkStart w:id="284" w:name="_Hlk38872465"/>
            <w:r w:rsidRPr="005D4222">
              <w:rPr>
                <w:rFonts w:eastAsia="Arial"/>
              </w:rPr>
              <w:t>The percentage of persons who attended 36 or more sessions of cardiac rehabilitation within 180 days after a qualifying event</w:t>
            </w:r>
            <w:bookmarkEnd w:id="284"/>
            <w:r w:rsidRPr="005D4222">
              <w:rPr>
                <w:rFonts w:eastAsia="Arial"/>
              </w:rPr>
              <w:t>.</w:t>
            </w:r>
          </w:p>
        </w:tc>
      </w:tr>
      <w:tr w:rsidR="003666DA" w:rsidRPr="005D4222" w14:paraId="0EBEE807" w14:textId="77777777" w:rsidTr="00D55B75">
        <w:tc>
          <w:tcPr>
            <w:tcW w:w="2157" w:type="dxa"/>
            <w:shd w:val="clear" w:color="auto" w:fill="BFBFBF" w:themeFill="background1" w:themeFillShade="BF"/>
            <w:tcMar>
              <w:top w:w="0" w:type="dxa"/>
              <w:left w:w="86" w:type="dxa"/>
              <w:bottom w:w="43" w:type="dxa"/>
              <w:right w:w="86" w:type="dxa"/>
            </w:tcMar>
          </w:tcPr>
          <w:p w14:paraId="0AD1A5EF" w14:textId="77777777" w:rsidR="003666DA" w:rsidRPr="005D4222" w:rsidRDefault="003666DA" w:rsidP="00D55B75">
            <w:pPr>
              <w:pStyle w:val="ECDSMarginHead"/>
            </w:pPr>
            <w:r w:rsidRPr="005D4222">
              <w:t>Measurement period</w:t>
            </w:r>
          </w:p>
        </w:tc>
        <w:tc>
          <w:tcPr>
            <w:tcW w:w="7560" w:type="dxa"/>
            <w:gridSpan w:val="3"/>
            <w:tcMar>
              <w:top w:w="0" w:type="dxa"/>
              <w:left w:w="86" w:type="dxa"/>
              <w:bottom w:w="43" w:type="dxa"/>
              <w:right w:w="86" w:type="dxa"/>
            </w:tcMar>
          </w:tcPr>
          <w:p w14:paraId="27D76EB5" w14:textId="77777777" w:rsidR="003666DA" w:rsidRPr="005D4222" w:rsidRDefault="003666DA" w:rsidP="00D55B75">
            <w:pPr>
              <w:pStyle w:val="ECDSBody"/>
            </w:pPr>
            <w:r w:rsidRPr="005D4222">
              <w:t>January 1–December 31.</w:t>
            </w:r>
          </w:p>
        </w:tc>
      </w:tr>
      <w:tr w:rsidR="003666DA" w:rsidRPr="005D4222" w14:paraId="1D0AFF2D" w14:textId="77777777" w:rsidTr="00D55B75">
        <w:tc>
          <w:tcPr>
            <w:tcW w:w="2157" w:type="dxa"/>
            <w:shd w:val="clear" w:color="auto" w:fill="BFBFBF" w:themeFill="background1" w:themeFillShade="BF"/>
            <w:tcMar>
              <w:top w:w="0" w:type="dxa"/>
              <w:left w:w="86" w:type="dxa"/>
              <w:bottom w:w="43" w:type="dxa"/>
              <w:right w:w="86" w:type="dxa"/>
            </w:tcMar>
            <w:hideMark/>
          </w:tcPr>
          <w:p w14:paraId="4CD818F4" w14:textId="77777777" w:rsidR="003666DA" w:rsidRPr="005D4222" w:rsidRDefault="003666DA" w:rsidP="00D55B75">
            <w:pPr>
              <w:pStyle w:val="ECDSMarginHead"/>
              <w:rPr>
                <w:rFonts w:eastAsia="Arial"/>
              </w:rPr>
            </w:pPr>
            <w:r w:rsidRPr="005D4222">
              <w:rPr>
                <w:rFonts w:eastAsia="Arial"/>
              </w:rPr>
              <w:t>Copyright and disclaimer notice</w:t>
            </w:r>
          </w:p>
        </w:tc>
        <w:tc>
          <w:tcPr>
            <w:tcW w:w="7560" w:type="dxa"/>
            <w:gridSpan w:val="3"/>
            <w:tcMar>
              <w:top w:w="0" w:type="dxa"/>
              <w:left w:w="86" w:type="dxa"/>
              <w:bottom w:w="43" w:type="dxa"/>
              <w:right w:w="86" w:type="dxa"/>
            </w:tcMar>
          </w:tcPr>
          <w:p w14:paraId="19421C43" w14:textId="77777777" w:rsidR="003666DA" w:rsidRPr="005D4222" w:rsidRDefault="003666DA" w:rsidP="00D55B75">
            <w:pPr>
              <w:pStyle w:val="ECDSBody"/>
            </w:pPr>
            <w:r w:rsidRPr="005D4222">
              <w:t xml:space="preserve">Refer to the complete copyright and disclaimer information at the front of this publication. </w:t>
            </w:r>
          </w:p>
          <w:p w14:paraId="18430518" w14:textId="77777777" w:rsidR="003666DA" w:rsidRPr="005D4222" w:rsidRDefault="003666DA" w:rsidP="00D55B75">
            <w:pPr>
              <w:pStyle w:val="ECDSBody"/>
              <w:rPr>
                <w:szCs w:val="21"/>
              </w:rPr>
            </w:pPr>
            <w:r w:rsidRPr="005D4222">
              <w:rPr>
                <w:szCs w:val="21"/>
              </w:rPr>
              <w:t xml:space="preserve">NCQA website: </w:t>
            </w:r>
            <w:r w:rsidRPr="005D4222">
              <w:rPr>
                <w:rFonts w:eastAsiaTheme="majorEastAsia"/>
                <w:szCs w:val="21"/>
                <w:u w:val="single"/>
              </w:rPr>
              <w:t>www.ncqa.org</w:t>
            </w:r>
            <w:r w:rsidRPr="005D4222">
              <w:rPr>
                <w:szCs w:val="21"/>
              </w:rPr>
              <w:t>.</w:t>
            </w:r>
          </w:p>
          <w:p w14:paraId="5E271986" w14:textId="77777777" w:rsidR="003666DA" w:rsidRPr="005D4222" w:rsidRDefault="003666DA" w:rsidP="00D55B75">
            <w:pPr>
              <w:pStyle w:val="ECDSBody"/>
            </w:pPr>
            <w:r w:rsidRPr="005D4222">
              <w:rPr>
                <w:rFonts w:eastAsia="Arial"/>
                <w:szCs w:val="21"/>
              </w:rPr>
              <w:t xml:space="preserve">Submit policy clarification support questions via My NCQA </w:t>
            </w:r>
            <w:r w:rsidRPr="005D4222">
              <w:rPr>
                <w:szCs w:val="21"/>
              </w:rPr>
              <w:t>(</w:t>
            </w:r>
            <w:r w:rsidRPr="005D4222">
              <w:rPr>
                <w:rFonts w:eastAsiaTheme="majorEastAsia"/>
                <w:szCs w:val="21"/>
                <w:u w:val="single"/>
              </w:rPr>
              <w:t>https://my.ncqa.org</w:t>
            </w:r>
            <w:r w:rsidRPr="005D4222">
              <w:rPr>
                <w:szCs w:val="21"/>
              </w:rPr>
              <w:t>).</w:t>
            </w:r>
          </w:p>
        </w:tc>
      </w:tr>
      <w:tr w:rsidR="003666DA" w:rsidRPr="005D4222" w14:paraId="6579096F" w14:textId="77777777" w:rsidTr="00D55B75">
        <w:tc>
          <w:tcPr>
            <w:tcW w:w="2157" w:type="dxa"/>
            <w:shd w:val="clear" w:color="auto" w:fill="BFBFBF" w:themeFill="background1" w:themeFillShade="BF"/>
            <w:tcMar>
              <w:top w:w="0" w:type="dxa"/>
              <w:left w:w="86" w:type="dxa"/>
              <w:bottom w:w="43" w:type="dxa"/>
              <w:right w:w="86" w:type="dxa"/>
            </w:tcMar>
            <w:hideMark/>
          </w:tcPr>
          <w:p w14:paraId="49EC1E7D" w14:textId="77777777" w:rsidR="003666DA" w:rsidRPr="005D4222" w:rsidRDefault="003666DA" w:rsidP="00D55B75">
            <w:pPr>
              <w:pStyle w:val="ECDSMarginHead"/>
            </w:pPr>
            <w:r w:rsidRPr="005D4222">
              <w:t>Clinical recommendation statement/ rationale</w:t>
            </w:r>
          </w:p>
        </w:tc>
        <w:tc>
          <w:tcPr>
            <w:tcW w:w="7560" w:type="dxa"/>
            <w:gridSpan w:val="3"/>
            <w:tcMar>
              <w:top w:w="0" w:type="dxa"/>
              <w:left w:w="86" w:type="dxa"/>
              <w:bottom w:w="43" w:type="dxa"/>
              <w:right w:w="86" w:type="dxa"/>
            </w:tcMar>
          </w:tcPr>
          <w:p w14:paraId="025A83A5" w14:textId="77777777" w:rsidR="003666DA" w:rsidRPr="005D4222" w:rsidRDefault="003666DA" w:rsidP="00D55B75">
            <w:pPr>
              <w:pStyle w:val="ECDSBody"/>
              <w:rPr>
                <w:szCs w:val="21"/>
              </w:rPr>
            </w:pPr>
            <w:r w:rsidRPr="005D4222">
              <w:t xml:space="preserve">The American College of Cardiology and the American Heart Association (ACC/AHA) recommend cardiac rehabilitation for patients who have experienced MI, CABG, PCI, coronary revascularization or coronary artery and other atherosclerotic vascular disease. </w:t>
            </w:r>
          </w:p>
        </w:tc>
      </w:tr>
      <w:tr w:rsidR="003666DA" w:rsidRPr="005D4222" w14:paraId="659A5FA5" w14:textId="77777777" w:rsidTr="00D55B75">
        <w:tc>
          <w:tcPr>
            <w:tcW w:w="2157" w:type="dxa"/>
            <w:shd w:val="clear" w:color="auto" w:fill="BFBFBF" w:themeFill="background1" w:themeFillShade="BF"/>
            <w:tcMar>
              <w:top w:w="0" w:type="dxa"/>
              <w:left w:w="86" w:type="dxa"/>
              <w:bottom w:w="43" w:type="dxa"/>
              <w:right w:w="86" w:type="dxa"/>
            </w:tcMar>
          </w:tcPr>
          <w:p w14:paraId="6F6BE5E1" w14:textId="77777777" w:rsidR="003666DA" w:rsidRPr="005D4222" w:rsidRDefault="003666DA" w:rsidP="00D55B75">
            <w:pPr>
              <w:pStyle w:val="ECDSMarginHead"/>
            </w:pPr>
            <w:r w:rsidRPr="005D4222">
              <w:t>Citations</w:t>
            </w:r>
          </w:p>
        </w:tc>
        <w:tc>
          <w:tcPr>
            <w:tcW w:w="7560" w:type="dxa"/>
            <w:gridSpan w:val="3"/>
            <w:tcMar>
              <w:top w:w="0" w:type="dxa"/>
              <w:left w:w="86" w:type="dxa"/>
              <w:bottom w:w="43" w:type="dxa"/>
              <w:right w:w="86" w:type="dxa"/>
            </w:tcMar>
          </w:tcPr>
          <w:p w14:paraId="195ED191" w14:textId="31237223" w:rsidR="003666DA" w:rsidRPr="005D4222" w:rsidRDefault="003666DA" w:rsidP="00D55B75">
            <w:pPr>
              <w:pStyle w:val="ECDSBody"/>
            </w:pPr>
            <w:r w:rsidRPr="005D4222">
              <w:t>Thomas, R.J., G. Balady, G. Banka, T.M. Beckie, J. Chiu, S. Gokak, P.M. Ho, et al. 2018. “2018 ACC/AHA Clinical Performance and Quality Measures for Cardiac Rehabilitation: A Report of the American College of Cardiology/</w:t>
            </w:r>
            <w:r w:rsidR="0081616F">
              <w:t xml:space="preserve"> </w:t>
            </w:r>
            <w:r w:rsidRPr="005D4222">
              <w:t xml:space="preserve">American Heart Association Task Force on Performance Measures.” </w:t>
            </w:r>
            <w:r w:rsidRPr="005D4222">
              <w:rPr>
                <w:i/>
                <w:iCs/>
              </w:rPr>
              <w:t>Circulation</w:t>
            </w:r>
            <w:r w:rsidRPr="005D4222">
              <w:t xml:space="preserve"> 11 (4): 1–29. https://doi.org/10.1161/HCQ.0000000000000037</w:t>
            </w:r>
          </w:p>
        </w:tc>
      </w:tr>
      <w:tr w:rsidR="003666DA" w:rsidRPr="005D4222" w14:paraId="2EEBBAF0" w14:textId="77777777" w:rsidTr="00D55B75">
        <w:tc>
          <w:tcPr>
            <w:tcW w:w="9717" w:type="dxa"/>
            <w:gridSpan w:val="4"/>
            <w:shd w:val="clear" w:color="auto" w:fill="BFBFBF" w:themeFill="background1" w:themeFillShade="BF"/>
            <w:tcMar>
              <w:top w:w="0" w:type="dxa"/>
              <w:left w:w="86" w:type="dxa"/>
              <w:bottom w:w="43" w:type="dxa"/>
              <w:right w:w="86" w:type="dxa"/>
            </w:tcMar>
          </w:tcPr>
          <w:p w14:paraId="6E543114" w14:textId="77777777" w:rsidR="003666DA" w:rsidRPr="005D4222" w:rsidRDefault="003666DA" w:rsidP="00D55B75">
            <w:pPr>
              <w:pStyle w:val="ECDSMarginHead"/>
            </w:pPr>
            <w:r w:rsidRPr="005D4222">
              <w:t>Characteristics</w:t>
            </w:r>
          </w:p>
        </w:tc>
      </w:tr>
      <w:tr w:rsidR="003666DA" w:rsidRPr="005D4222" w14:paraId="09F31464" w14:textId="77777777" w:rsidTr="00D55B75">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246F479B" w14:textId="77777777" w:rsidR="003666DA" w:rsidRPr="005D4222" w:rsidRDefault="003666DA" w:rsidP="00D55B75">
            <w:pPr>
              <w:spacing w:before="120"/>
              <w:rPr>
                <w:rFonts w:cs="Arial"/>
                <w:b/>
                <w:sz w:val="22"/>
                <w:szCs w:val="21"/>
              </w:rPr>
            </w:pPr>
            <w:r w:rsidRPr="005D4222">
              <w:rPr>
                <w:rFonts w:cs="Arial"/>
                <w:b/>
                <w:sz w:val="22"/>
                <w:szCs w:val="21"/>
              </w:rPr>
              <w:t>Scoring</w:t>
            </w:r>
          </w:p>
        </w:tc>
        <w:tc>
          <w:tcPr>
            <w:tcW w:w="7560"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5C1AC48C" w14:textId="77777777" w:rsidR="003666DA" w:rsidRPr="005D4222" w:rsidRDefault="003666DA" w:rsidP="00D55B75">
            <w:pPr>
              <w:pStyle w:val="ECDSBody"/>
              <w:spacing w:after="0"/>
            </w:pPr>
            <w:r w:rsidRPr="005D4222">
              <w:t>Proportion.</w:t>
            </w:r>
          </w:p>
        </w:tc>
      </w:tr>
      <w:tr w:rsidR="003666DA" w:rsidRPr="005D4222" w14:paraId="78C21EBA" w14:textId="77777777" w:rsidTr="00D55B75">
        <w:tc>
          <w:tcPr>
            <w:tcW w:w="2157" w:type="dxa"/>
            <w:tcBorders>
              <w:top w:val="nil"/>
              <w:left w:val="single" w:sz="4" w:space="0" w:color="auto"/>
              <w:bottom w:val="nil"/>
              <w:right w:val="single" w:sz="4" w:space="0" w:color="auto"/>
            </w:tcBorders>
            <w:tcMar>
              <w:top w:w="0" w:type="dxa"/>
              <w:left w:w="86" w:type="dxa"/>
              <w:bottom w:w="43" w:type="dxa"/>
              <w:right w:w="86" w:type="dxa"/>
            </w:tcMar>
          </w:tcPr>
          <w:p w14:paraId="4D61F886" w14:textId="77777777" w:rsidR="003666DA" w:rsidRPr="005D4222" w:rsidRDefault="003666DA" w:rsidP="00D55B75">
            <w:pPr>
              <w:spacing w:before="120"/>
              <w:rPr>
                <w:rFonts w:cs="Arial"/>
                <w:b/>
                <w:sz w:val="22"/>
                <w:szCs w:val="21"/>
              </w:rPr>
            </w:pPr>
            <w:r w:rsidRPr="005D4222">
              <w:rPr>
                <w:rFonts w:cs="Arial"/>
                <w:b/>
                <w:sz w:val="22"/>
                <w:szCs w:val="21"/>
              </w:rPr>
              <w:t>Type</w:t>
            </w:r>
          </w:p>
        </w:tc>
        <w:tc>
          <w:tcPr>
            <w:tcW w:w="7560" w:type="dxa"/>
            <w:gridSpan w:val="3"/>
            <w:tcBorders>
              <w:top w:val="nil"/>
              <w:left w:val="single" w:sz="4" w:space="0" w:color="auto"/>
              <w:bottom w:val="nil"/>
              <w:right w:val="single" w:sz="4" w:space="0" w:color="auto"/>
            </w:tcBorders>
            <w:tcMar>
              <w:top w:w="0" w:type="dxa"/>
              <w:left w:w="86" w:type="dxa"/>
              <w:bottom w:w="43" w:type="dxa"/>
              <w:right w:w="86" w:type="dxa"/>
            </w:tcMar>
          </w:tcPr>
          <w:p w14:paraId="42880F5C" w14:textId="77777777" w:rsidR="003666DA" w:rsidRPr="005D4222" w:rsidRDefault="003666DA" w:rsidP="00D55B75">
            <w:pPr>
              <w:pStyle w:val="ECDSBody"/>
              <w:spacing w:after="0"/>
            </w:pPr>
            <w:r w:rsidRPr="005D4222">
              <w:t>Process.</w:t>
            </w:r>
          </w:p>
        </w:tc>
      </w:tr>
      <w:tr w:rsidR="003666DA" w:rsidRPr="005D4222" w14:paraId="4E5D9DA9" w14:textId="77777777" w:rsidTr="00D55B75">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4A21AB66" w14:textId="185A74B3" w:rsidR="003666DA" w:rsidRPr="005D4222" w:rsidRDefault="00B51CDC" w:rsidP="003666DA">
            <w:pPr>
              <w:spacing w:before="120" w:after="80"/>
              <w:rPr>
                <w:rFonts w:cs="Arial"/>
                <w:b/>
                <w:sz w:val="22"/>
                <w:szCs w:val="21"/>
              </w:rPr>
            </w:pPr>
            <w:r w:rsidRPr="005D4222">
              <w:rPr>
                <w:b/>
                <w:sz w:val="22"/>
                <w:szCs w:val="21"/>
              </w:rPr>
              <w:t>Product lines</w:t>
            </w:r>
          </w:p>
        </w:tc>
        <w:tc>
          <w:tcPr>
            <w:tcW w:w="7560"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08B93C34" w14:textId="77777777" w:rsidR="003666DA" w:rsidRPr="005D4222" w:rsidRDefault="003666DA" w:rsidP="00D55B75">
            <w:pPr>
              <w:pStyle w:val="ProcessBullet"/>
            </w:pPr>
            <w:r w:rsidRPr="005D4222">
              <w:t>Commercial.</w:t>
            </w:r>
          </w:p>
          <w:p w14:paraId="454749B1" w14:textId="77777777" w:rsidR="003666DA" w:rsidRPr="005D4222" w:rsidRDefault="003666DA" w:rsidP="00D55B75">
            <w:pPr>
              <w:pStyle w:val="ProcessBullet"/>
            </w:pPr>
            <w:r w:rsidRPr="005D4222">
              <w:t>Medicaid.</w:t>
            </w:r>
          </w:p>
          <w:p w14:paraId="5AE2EAFC" w14:textId="77777777" w:rsidR="003666DA" w:rsidRPr="005D4222" w:rsidRDefault="003666DA" w:rsidP="00D55B75">
            <w:pPr>
              <w:pStyle w:val="ProcessBullet"/>
              <w:spacing w:after="80"/>
            </w:pPr>
            <w:r w:rsidRPr="005D4222">
              <w:t>Medicare.</w:t>
            </w:r>
          </w:p>
        </w:tc>
      </w:tr>
      <w:tr w:rsidR="003666DA" w:rsidRPr="005D4222" w14:paraId="7CE8CFA7" w14:textId="77777777" w:rsidTr="00D55B75">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6D8C451E" w14:textId="27D99B3F" w:rsidR="003666DA" w:rsidRPr="005D4222" w:rsidRDefault="00B51CDC" w:rsidP="00D55B75">
            <w:pPr>
              <w:pStyle w:val="ECDSSubhead"/>
            </w:pPr>
            <w:r w:rsidRPr="005D4222">
              <w:lastRenderedPageBreak/>
              <w:t>Stratifications</w:t>
            </w:r>
            <w:r w:rsidR="003666DA" w:rsidRPr="005D4222">
              <w:t xml:space="preserve"> </w:t>
            </w:r>
          </w:p>
        </w:tc>
        <w:tc>
          <w:tcPr>
            <w:tcW w:w="7560"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39447C05" w14:textId="77777777" w:rsidR="003666DA" w:rsidRPr="005D4222" w:rsidRDefault="003666DA" w:rsidP="00D55B75">
            <w:pPr>
              <w:pStyle w:val="ECDSBody"/>
            </w:pPr>
            <w:r w:rsidRPr="005D4222">
              <w:t>Age as of the episode date.</w:t>
            </w:r>
          </w:p>
          <w:p w14:paraId="1356A9DB" w14:textId="677F179C" w:rsidR="003666DA" w:rsidRPr="005D4222" w:rsidRDefault="003666DA" w:rsidP="00D55B75">
            <w:pPr>
              <w:pStyle w:val="Bullet"/>
              <w:rPr>
                <w:rFonts w:eastAsia="Arial,Arial,Arial,Arial,Arial,A"/>
              </w:rPr>
            </w:pPr>
            <w:r w:rsidRPr="005D4222">
              <w:rPr>
                <w:rFonts w:eastAsia="Arial,Arial,Arial,Arial,Arial,A"/>
              </w:rPr>
              <w:t>18–64 years</w:t>
            </w:r>
            <w:r w:rsidR="00472318">
              <w:rPr>
                <w:rFonts w:eastAsia="Arial,Arial,Arial,Arial,Arial,A"/>
              </w:rPr>
              <w:t xml:space="preserve"> of age</w:t>
            </w:r>
            <w:r w:rsidRPr="005D4222">
              <w:rPr>
                <w:rFonts w:eastAsia="Arial,Arial,Arial,Arial,Arial,A"/>
              </w:rPr>
              <w:t>.</w:t>
            </w:r>
          </w:p>
          <w:p w14:paraId="7EBEE875" w14:textId="0811D022" w:rsidR="003666DA" w:rsidRPr="005D4222" w:rsidRDefault="003666DA" w:rsidP="00D55B75">
            <w:pPr>
              <w:pStyle w:val="Bullet"/>
              <w:rPr>
                <w:rFonts w:eastAsia="Arial,Arial,Arial,Arial,Arial,A"/>
              </w:rPr>
            </w:pPr>
            <w:r w:rsidRPr="005D4222">
              <w:rPr>
                <w:rFonts w:eastAsia="Arial,Arial,Arial,Arial,Arial,A"/>
              </w:rPr>
              <w:t xml:space="preserve">65 years </w:t>
            </w:r>
            <w:r w:rsidR="00472318">
              <w:rPr>
                <w:rFonts w:eastAsia="Arial,Arial,Arial,Arial,Arial,A"/>
              </w:rPr>
              <w:t xml:space="preserve">of age </w:t>
            </w:r>
            <w:r w:rsidRPr="005D4222">
              <w:rPr>
                <w:rFonts w:eastAsia="Arial,Arial,Arial,Arial,Arial,A"/>
              </w:rPr>
              <w:t>and older.</w:t>
            </w:r>
          </w:p>
        </w:tc>
      </w:tr>
      <w:tr w:rsidR="002F274E" w:rsidRPr="005D4222" w14:paraId="09DFDEAF" w14:textId="77777777" w:rsidTr="002F274E">
        <w:tc>
          <w:tcPr>
            <w:tcW w:w="2157" w:type="dxa"/>
            <w:tcBorders>
              <w:top w:val="nil"/>
              <w:left w:val="single" w:sz="4" w:space="0" w:color="auto"/>
              <w:bottom w:val="nil"/>
              <w:right w:val="single" w:sz="4" w:space="0" w:color="auto"/>
            </w:tcBorders>
            <w:tcMar>
              <w:top w:w="0" w:type="dxa"/>
              <w:left w:w="86" w:type="dxa"/>
              <w:bottom w:w="43" w:type="dxa"/>
              <w:right w:w="86" w:type="dxa"/>
            </w:tcMar>
          </w:tcPr>
          <w:p w14:paraId="36BDC15F" w14:textId="37D98A63" w:rsidR="002F274E" w:rsidRPr="005D4222" w:rsidRDefault="002F274E" w:rsidP="002F274E">
            <w:pPr>
              <w:pStyle w:val="ECDSSubhead"/>
            </w:pPr>
            <w:r w:rsidRPr="005D4222">
              <w:t xml:space="preserve">Risk </w:t>
            </w:r>
            <w:r w:rsidR="005E7913" w:rsidRPr="005D4222">
              <w:t>a</w:t>
            </w:r>
            <w:r w:rsidRPr="005D4222">
              <w:t>djustment</w:t>
            </w:r>
          </w:p>
        </w:tc>
        <w:tc>
          <w:tcPr>
            <w:tcW w:w="7560" w:type="dxa"/>
            <w:gridSpan w:val="3"/>
            <w:tcBorders>
              <w:top w:val="nil"/>
              <w:left w:val="single" w:sz="4" w:space="0" w:color="auto"/>
              <w:bottom w:val="nil"/>
              <w:right w:val="single" w:sz="4" w:space="0" w:color="auto"/>
            </w:tcBorders>
            <w:tcMar>
              <w:top w:w="0" w:type="dxa"/>
              <w:left w:w="86" w:type="dxa"/>
              <w:bottom w:w="43" w:type="dxa"/>
              <w:right w:w="86" w:type="dxa"/>
            </w:tcMar>
          </w:tcPr>
          <w:p w14:paraId="28B02DF5" w14:textId="1649C378" w:rsidR="002F274E" w:rsidRPr="005D4222" w:rsidRDefault="002F274E" w:rsidP="002F274E">
            <w:pPr>
              <w:pStyle w:val="ECDSBody"/>
              <w:spacing w:after="0"/>
            </w:pPr>
            <w:r w:rsidRPr="005D4222">
              <w:t>None.</w:t>
            </w:r>
          </w:p>
        </w:tc>
      </w:tr>
      <w:tr w:rsidR="002F274E" w:rsidRPr="005D4222" w14:paraId="422C7081" w14:textId="77777777" w:rsidTr="002F274E">
        <w:tc>
          <w:tcPr>
            <w:tcW w:w="2157" w:type="dxa"/>
            <w:tcBorders>
              <w:top w:val="nil"/>
              <w:left w:val="single" w:sz="4" w:space="0" w:color="auto"/>
              <w:bottom w:val="nil"/>
              <w:right w:val="single" w:sz="4" w:space="0" w:color="auto"/>
            </w:tcBorders>
            <w:tcMar>
              <w:top w:w="0" w:type="dxa"/>
              <w:left w:w="86" w:type="dxa"/>
              <w:bottom w:w="43" w:type="dxa"/>
              <w:right w:w="86" w:type="dxa"/>
            </w:tcMar>
          </w:tcPr>
          <w:p w14:paraId="5E66D757" w14:textId="498096A4" w:rsidR="002F274E" w:rsidRPr="005D4222" w:rsidRDefault="002F274E" w:rsidP="002643C5">
            <w:pPr>
              <w:pStyle w:val="ECDSSubhead"/>
            </w:pPr>
            <w:r w:rsidRPr="005D4222">
              <w:t>Improvement notation</w:t>
            </w:r>
          </w:p>
        </w:tc>
        <w:tc>
          <w:tcPr>
            <w:tcW w:w="7560" w:type="dxa"/>
            <w:gridSpan w:val="3"/>
            <w:tcBorders>
              <w:top w:val="nil"/>
              <w:left w:val="single" w:sz="4" w:space="0" w:color="auto"/>
              <w:bottom w:val="nil"/>
              <w:right w:val="single" w:sz="4" w:space="0" w:color="auto"/>
            </w:tcBorders>
            <w:tcMar>
              <w:top w:w="0" w:type="dxa"/>
              <w:left w:w="86" w:type="dxa"/>
              <w:bottom w:w="43" w:type="dxa"/>
              <w:right w:w="86" w:type="dxa"/>
            </w:tcMar>
          </w:tcPr>
          <w:p w14:paraId="2A600F01" w14:textId="003F561B" w:rsidR="002F274E" w:rsidRPr="005D4222" w:rsidRDefault="002F274E" w:rsidP="00D55B75">
            <w:pPr>
              <w:pStyle w:val="ECDSBody"/>
            </w:pPr>
            <w:r w:rsidRPr="005D4222">
              <w:t>Increased score indicates improvement.</w:t>
            </w:r>
          </w:p>
        </w:tc>
      </w:tr>
      <w:tr w:rsidR="003666DA" w:rsidRPr="005D4222" w14:paraId="5440BEF8" w14:textId="77777777" w:rsidTr="00D55B75">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3001B1D3" w14:textId="77777777" w:rsidR="003666DA" w:rsidRPr="005D4222" w:rsidRDefault="003666DA" w:rsidP="00D55B75">
            <w:pPr>
              <w:pStyle w:val="ECDSSubhead"/>
            </w:pPr>
            <w:r w:rsidRPr="005D4222">
              <w:t>Guidance</w:t>
            </w:r>
          </w:p>
        </w:tc>
        <w:tc>
          <w:tcPr>
            <w:tcW w:w="7560"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4C0FC86A" w14:textId="2D455CD6" w:rsidR="003666DA" w:rsidRPr="005D4222" w:rsidRDefault="003666DA" w:rsidP="00D55B75">
            <w:pPr>
              <w:pStyle w:val="ECDSBody"/>
            </w:pPr>
            <w:r w:rsidRPr="005D4222">
              <w:rPr>
                <w:b/>
              </w:rPr>
              <w:t>Data collection methodology:</w:t>
            </w:r>
            <w:r w:rsidRPr="005D4222">
              <w:t xml:space="preserve"> Administrative. Refer to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14885F68" w14:textId="77777777" w:rsidR="003666DA" w:rsidRPr="005D4222" w:rsidRDefault="003666DA" w:rsidP="00D55B75">
            <w:pPr>
              <w:pStyle w:val="ECDSBody"/>
            </w:pPr>
            <w:r w:rsidRPr="005D4222">
              <w:rPr>
                <w:b/>
              </w:rPr>
              <w:t xml:space="preserve">Date specificity: </w:t>
            </w:r>
            <w:r w:rsidRPr="005D4222">
              <w:t>Dates must be specific enough to determine the event occurred in the period being measured.</w:t>
            </w:r>
          </w:p>
          <w:p w14:paraId="4EC0C48A" w14:textId="77777777" w:rsidR="003666DA" w:rsidRPr="005D4222" w:rsidRDefault="003666DA" w:rsidP="00D55B75">
            <w:pPr>
              <w:pStyle w:val="ECDSBody"/>
            </w:pPr>
            <w:r w:rsidRPr="005D4222">
              <w:rPr>
                <w:b/>
              </w:rPr>
              <w:t xml:space="preserve">Which services count? </w:t>
            </w:r>
            <w:r w:rsidRPr="005D4222">
              <w:t xml:space="preserve">When using claims, include all paid, suspended, pending and denied claims. </w:t>
            </w:r>
          </w:p>
        </w:tc>
      </w:tr>
      <w:tr w:rsidR="003666DA" w:rsidRPr="005D4222" w14:paraId="1E368402" w14:textId="77777777" w:rsidTr="00D55B75">
        <w:tc>
          <w:tcPr>
            <w:tcW w:w="9717" w:type="dxa"/>
            <w:gridSpan w:val="4"/>
            <w:tcBorders>
              <w:top w:val="single" w:sz="4" w:space="0" w:color="auto"/>
              <w:bottom w:val="single" w:sz="4" w:space="0" w:color="auto"/>
            </w:tcBorders>
            <w:shd w:val="clear" w:color="auto" w:fill="BFBFBF" w:themeFill="background1" w:themeFillShade="BF"/>
            <w:tcMar>
              <w:top w:w="0" w:type="dxa"/>
              <w:left w:w="86" w:type="dxa"/>
              <w:bottom w:w="43" w:type="dxa"/>
              <w:right w:w="86" w:type="dxa"/>
            </w:tcMar>
          </w:tcPr>
          <w:p w14:paraId="52EB0BF4" w14:textId="77777777" w:rsidR="003666DA" w:rsidRPr="005D4222" w:rsidRDefault="003666DA" w:rsidP="00D55B75">
            <w:pPr>
              <w:pStyle w:val="ECDSMarginHead"/>
            </w:pPr>
            <w:r w:rsidRPr="005D4222">
              <w:t>Definitions</w:t>
            </w:r>
          </w:p>
        </w:tc>
      </w:tr>
      <w:tr w:rsidR="003666DA" w:rsidRPr="005D4222" w14:paraId="5B20E846" w14:textId="77777777" w:rsidTr="002F274E">
        <w:tc>
          <w:tcPr>
            <w:tcW w:w="2157" w:type="dxa"/>
            <w:tcBorders>
              <w:top w:val="nil"/>
              <w:bottom w:val="nil"/>
            </w:tcBorders>
            <w:tcMar>
              <w:top w:w="86" w:type="dxa"/>
              <w:left w:w="86" w:type="dxa"/>
              <w:bottom w:w="43" w:type="dxa"/>
              <w:right w:w="86" w:type="dxa"/>
            </w:tcMar>
          </w:tcPr>
          <w:p w14:paraId="2C72F793" w14:textId="77777777" w:rsidR="003666DA" w:rsidRPr="005D4222" w:rsidRDefault="003666DA" w:rsidP="00D55B75">
            <w:pPr>
              <w:pStyle w:val="ECDSSubhead"/>
              <w:rPr>
                <w:rFonts w:cs="Arial"/>
                <w:szCs w:val="22"/>
              </w:rPr>
            </w:pPr>
            <w:r w:rsidRPr="005D4222">
              <w:t>Direct transfer</w:t>
            </w:r>
          </w:p>
        </w:tc>
        <w:tc>
          <w:tcPr>
            <w:tcW w:w="7560" w:type="dxa"/>
            <w:gridSpan w:val="3"/>
            <w:tcBorders>
              <w:top w:val="nil"/>
              <w:bottom w:val="nil"/>
            </w:tcBorders>
            <w:tcMar>
              <w:left w:w="86" w:type="dxa"/>
              <w:bottom w:w="43" w:type="dxa"/>
              <w:right w:w="86" w:type="dxa"/>
            </w:tcMar>
          </w:tcPr>
          <w:p w14:paraId="51909ABE" w14:textId="77777777" w:rsidR="003666DA" w:rsidRPr="005D4222" w:rsidRDefault="003666DA" w:rsidP="00D41DD0">
            <w:pPr>
              <w:pStyle w:val="ECDSBody"/>
            </w:pPr>
            <w:r w:rsidRPr="005D4222">
              <w:t xml:space="preserve">When the discharge date from the first inpatient setting precedes the admission date to a second inpatient setting by 1 calendar day or less. </w:t>
            </w:r>
          </w:p>
          <w:p w14:paraId="338D4AC8" w14:textId="77777777" w:rsidR="003666DA" w:rsidRPr="005D4222" w:rsidRDefault="003666DA" w:rsidP="00D41DD0">
            <w:pPr>
              <w:pStyle w:val="Bullet"/>
              <w:rPr>
                <w:i/>
                <w:iCs/>
              </w:rPr>
            </w:pPr>
            <w:r w:rsidRPr="005D4222">
              <w:rPr>
                <w:i/>
                <w:iCs/>
              </w:rPr>
              <w:t>For example:</w:t>
            </w:r>
          </w:p>
          <w:p w14:paraId="4E7AB9BD" w14:textId="77777777" w:rsidR="003666DA" w:rsidRPr="005D4222" w:rsidRDefault="003666DA" w:rsidP="00D41DD0">
            <w:pPr>
              <w:pStyle w:val="Dash"/>
              <w:rPr>
                <w:i/>
                <w:iCs/>
              </w:rPr>
            </w:pPr>
            <w:r w:rsidRPr="005D4222">
              <w:t xml:space="preserve">An inpatient discharge on June 1, followed by an admission to another inpatient setting on June 1, </w:t>
            </w:r>
            <w:r w:rsidRPr="005D4222">
              <w:rPr>
                <w:i/>
                <w:iCs/>
              </w:rPr>
              <w:t>is a direct transfer.</w:t>
            </w:r>
          </w:p>
          <w:p w14:paraId="553474C1" w14:textId="77777777" w:rsidR="003666DA" w:rsidRPr="005D4222" w:rsidRDefault="003666DA" w:rsidP="00D41DD0">
            <w:pPr>
              <w:pStyle w:val="Dash"/>
              <w:rPr>
                <w:i/>
                <w:iCs/>
              </w:rPr>
            </w:pPr>
            <w:r w:rsidRPr="005D4222">
              <w:t xml:space="preserve">An inpatient discharge on June 1, followed by an admission to an inpatient setting on June 2, </w:t>
            </w:r>
            <w:r w:rsidRPr="005D4222">
              <w:rPr>
                <w:i/>
                <w:iCs/>
              </w:rPr>
              <w:t>is a direct transfer.</w:t>
            </w:r>
          </w:p>
          <w:p w14:paraId="586FFBEF" w14:textId="77777777" w:rsidR="003666DA" w:rsidRPr="005D4222" w:rsidRDefault="003666DA" w:rsidP="006A26E1">
            <w:pPr>
              <w:pStyle w:val="Dash"/>
              <w:spacing w:after="0"/>
            </w:pPr>
            <w:r w:rsidRPr="005D4222">
              <w:t xml:space="preserve">An inpatient discharge on June 1, followed by an admission to another inpatient setting on June 3, </w:t>
            </w:r>
            <w:r w:rsidRPr="005D4222">
              <w:rPr>
                <w:i/>
                <w:iCs/>
              </w:rPr>
              <w:t>is not a direct transfer;</w:t>
            </w:r>
            <w:r w:rsidRPr="005D4222">
              <w:t xml:space="preserve"> these are two distinct inpatient stays.</w:t>
            </w:r>
          </w:p>
        </w:tc>
      </w:tr>
      <w:tr w:rsidR="005F4CF4" w:rsidRPr="005D4222" w14:paraId="0DC38444" w14:textId="77777777" w:rsidTr="005F4CF4">
        <w:tc>
          <w:tcPr>
            <w:tcW w:w="2157" w:type="dxa"/>
            <w:tcBorders>
              <w:top w:val="nil"/>
              <w:bottom w:val="nil"/>
            </w:tcBorders>
            <w:tcMar>
              <w:top w:w="0" w:type="dxa"/>
              <w:left w:w="86" w:type="dxa"/>
              <w:bottom w:w="43" w:type="dxa"/>
              <w:right w:w="86" w:type="dxa"/>
            </w:tcMar>
          </w:tcPr>
          <w:p w14:paraId="351D7820" w14:textId="6EE67EC7" w:rsidR="005F4CF4" w:rsidRPr="005D4222" w:rsidRDefault="005F4CF4" w:rsidP="00D55B75">
            <w:pPr>
              <w:pStyle w:val="ECDSSubhead"/>
            </w:pPr>
            <w:r w:rsidRPr="005D4222">
              <w:t>Episode date</w:t>
            </w:r>
          </w:p>
        </w:tc>
        <w:tc>
          <w:tcPr>
            <w:tcW w:w="7560" w:type="dxa"/>
            <w:gridSpan w:val="3"/>
            <w:tcBorders>
              <w:top w:val="nil"/>
              <w:bottom w:val="nil"/>
            </w:tcBorders>
            <w:tcMar>
              <w:left w:w="86" w:type="dxa"/>
              <w:bottom w:w="43" w:type="dxa"/>
              <w:right w:w="86" w:type="dxa"/>
            </w:tcMar>
          </w:tcPr>
          <w:p w14:paraId="461BAA59" w14:textId="77777777" w:rsidR="005F4CF4" w:rsidRPr="005D4222" w:rsidRDefault="005F4CF4" w:rsidP="005F4CF4">
            <w:pPr>
              <w:pStyle w:val="ECDSBody"/>
            </w:pPr>
            <w:r w:rsidRPr="005D4222">
              <w:t>The most recent cardiac event during the intake period, including MI, CABG, PCI, heart or heart/lung transplant or heart valve repair/replacement.</w:t>
            </w:r>
          </w:p>
          <w:p w14:paraId="2E62FA31" w14:textId="77777777" w:rsidR="005F4CF4" w:rsidRPr="005D4222" w:rsidRDefault="005F4CF4" w:rsidP="005F4CF4">
            <w:pPr>
              <w:pStyle w:val="ECDSBody"/>
            </w:pPr>
            <w:r w:rsidRPr="005D4222">
              <w:rPr>
                <w:i/>
                <w:iCs/>
              </w:rPr>
              <w:t>For MI, CABG, heart or heart/lung transplant or heart valve repair/replacement,</w:t>
            </w:r>
            <w:r w:rsidRPr="005D4222">
              <w:t xml:space="preserve"> the episode date is the date of discharge.</w:t>
            </w:r>
          </w:p>
          <w:p w14:paraId="2624E5D2" w14:textId="77777777" w:rsidR="005F4CF4" w:rsidRPr="005D4222" w:rsidRDefault="005F4CF4" w:rsidP="005F4CF4">
            <w:pPr>
              <w:pStyle w:val="ECDSBody"/>
            </w:pPr>
            <w:r w:rsidRPr="005D4222">
              <w:rPr>
                <w:i/>
                <w:iCs/>
              </w:rPr>
              <w:t>For PCI,</w:t>
            </w:r>
            <w:r w:rsidRPr="005D4222">
              <w:t xml:space="preserve"> the episode date is the date of service. </w:t>
            </w:r>
          </w:p>
          <w:p w14:paraId="70916FB8" w14:textId="77777777" w:rsidR="005F4CF4" w:rsidRPr="005D4222" w:rsidRDefault="005F4CF4" w:rsidP="005F4CF4">
            <w:pPr>
              <w:pStyle w:val="ECDSBody"/>
            </w:pPr>
            <w:r w:rsidRPr="005D4222">
              <w:rPr>
                <w:i/>
                <w:iCs/>
              </w:rPr>
              <w:t xml:space="preserve">For inpatient claims, </w:t>
            </w:r>
            <w:r w:rsidRPr="005D4222">
              <w:t>the episode date is the date of discharge.</w:t>
            </w:r>
          </w:p>
          <w:p w14:paraId="46964435" w14:textId="1677DC29" w:rsidR="005F4CF4" w:rsidRPr="005D4222" w:rsidRDefault="005F4CF4" w:rsidP="005F4CF4">
            <w:pPr>
              <w:pStyle w:val="ECDSBody"/>
              <w:spacing w:after="0"/>
            </w:pPr>
            <w:r w:rsidRPr="005D4222">
              <w:rPr>
                <w:i/>
                <w:iCs/>
              </w:rPr>
              <w:t>For direct transfers to an acute or nonacute setting for any diagnosis,</w:t>
            </w:r>
            <w:r w:rsidRPr="005D4222">
              <w:t xml:space="preserve"> the episode date is the discharge date from the last admission.</w:t>
            </w:r>
          </w:p>
        </w:tc>
      </w:tr>
      <w:tr w:rsidR="003666DA" w:rsidRPr="005D4222" w14:paraId="0AC5BBC4" w14:textId="77777777" w:rsidTr="00D77246">
        <w:tc>
          <w:tcPr>
            <w:tcW w:w="2157" w:type="dxa"/>
            <w:tcBorders>
              <w:top w:val="nil"/>
              <w:bottom w:val="nil"/>
            </w:tcBorders>
            <w:tcMar>
              <w:top w:w="0" w:type="dxa"/>
              <w:left w:w="86" w:type="dxa"/>
              <w:bottom w:w="43" w:type="dxa"/>
              <w:right w:w="86" w:type="dxa"/>
            </w:tcMar>
          </w:tcPr>
          <w:p w14:paraId="463822EA" w14:textId="77777777" w:rsidR="003666DA" w:rsidRPr="005D4222" w:rsidRDefault="003666DA" w:rsidP="00D55B75">
            <w:pPr>
              <w:pStyle w:val="ECDSSubhead"/>
            </w:pPr>
            <w:r w:rsidRPr="005D4222">
              <w:t>Intake period</w:t>
            </w:r>
          </w:p>
        </w:tc>
        <w:tc>
          <w:tcPr>
            <w:tcW w:w="7560" w:type="dxa"/>
            <w:gridSpan w:val="3"/>
            <w:tcBorders>
              <w:top w:val="nil"/>
              <w:bottom w:val="nil"/>
            </w:tcBorders>
            <w:tcMar>
              <w:left w:w="86" w:type="dxa"/>
              <w:bottom w:w="43" w:type="dxa"/>
              <w:right w:w="86" w:type="dxa"/>
            </w:tcMar>
          </w:tcPr>
          <w:p w14:paraId="72A04D63" w14:textId="77777777" w:rsidR="003666DA" w:rsidRPr="005D4222" w:rsidRDefault="003666DA" w:rsidP="00D41DD0">
            <w:pPr>
              <w:pStyle w:val="ECDSBody"/>
            </w:pPr>
            <w:r w:rsidRPr="005D4222">
              <w:t>July 1 of the year prior to the measurement period to June 30 of the measurement period.</w:t>
            </w:r>
          </w:p>
        </w:tc>
      </w:tr>
      <w:tr w:rsidR="003666DA" w:rsidRPr="005D4222" w14:paraId="26ECA5B1" w14:textId="77777777" w:rsidTr="00D55B75">
        <w:tc>
          <w:tcPr>
            <w:tcW w:w="2157" w:type="dxa"/>
            <w:shd w:val="clear" w:color="auto" w:fill="BFBFBF" w:themeFill="background1" w:themeFillShade="BF"/>
            <w:tcMar>
              <w:top w:w="0" w:type="dxa"/>
              <w:left w:w="86" w:type="dxa"/>
              <w:bottom w:w="43" w:type="dxa"/>
              <w:right w:w="86" w:type="dxa"/>
            </w:tcMar>
          </w:tcPr>
          <w:p w14:paraId="5EC0F7C9" w14:textId="77777777" w:rsidR="003666DA" w:rsidRPr="005D4222" w:rsidRDefault="003666DA" w:rsidP="00D55B75">
            <w:pPr>
              <w:pStyle w:val="ECDSMarginHead"/>
            </w:pPr>
            <w:r w:rsidRPr="005D4222">
              <w:t>Initial population</w:t>
            </w:r>
          </w:p>
        </w:tc>
        <w:tc>
          <w:tcPr>
            <w:tcW w:w="7560"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BEED2F5" w14:textId="77777777" w:rsidR="003666DA" w:rsidRPr="005D4222" w:rsidRDefault="003666DA" w:rsidP="00D41DD0">
            <w:pPr>
              <w:pStyle w:val="ECDSBody"/>
            </w:pPr>
            <w:r w:rsidRPr="005D4222">
              <w:rPr>
                <w:i/>
                <w:iCs/>
              </w:rPr>
              <w:t>Measure item count:</w:t>
            </w:r>
            <w:r w:rsidRPr="005D4222">
              <w:t xml:space="preserve"> Person.</w:t>
            </w:r>
          </w:p>
          <w:p w14:paraId="041FBAED" w14:textId="77777777" w:rsidR="003666DA" w:rsidRPr="005D4222" w:rsidRDefault="003666DA" w:rsidP="00D41DD0">
            <w:pPr>
              <w:pStyle w:val="ECDSBody"/>
            </w:pPr>
            <w:r w:rsidRPr="005D4222">
              <w:rPr>
                <w:i/>
                <w:iCs/>
              </w:rPr>
              <w:t xml:space="preserve">Attribution basis: </w:t>
            </w:r>
            <w:r w:rsidRPr="005D4222">
              <w:t>Enrollment.</w:t>
            </w:r>
          </w:p>
          <w:p w14:paraId="5052D93C" w14:textId="77777777" w:rsidR="003666DA" w:rsidRPr="005D4222" w:rsidRDefault="003666DA" w:rsidP="00D41DD0">
            <w:pPr>
              <w:pStyle w:val="Bullet"/>
            </w:pPr>
            <w:r w:rsidRPr="005D4222">
              <w:rPr>
                <w:i/>
                <w:iCs/>
              </w:rPr>
              <w:t>Benefits:</w:t>
            </w:r>
            <w:r w:rsidRPr="005D4222">
              <w:t xml:space="preserve"> Medical.</w:t>
            </w:r>
          </w:p>
          <w:p w14:paraId="7DEA7738" w14:textId="15FC7A8F" w:rsidR="003666DA" w:rsidRPr="005D4222" w:rsidRDefault="003666DA" w:rsidP="00D41DD0">
            <w:pPr>
              <w:pStyle w:val="Bullet"/>
              <w:spacing w:after="80"/>
              <w:rPr>
                <w:i/>
              </w:rPr>
            </w:pPr>
            <w:r w:rsidRPr="005D4222">
              <w:rPr>
                <w:i/>
                <w:iCs/>
              </w:rPr>
              <w:t>Continuous enrollment:</w:t>
            </w:r>
            <w:r w:rsidRPr="005D4222">
              <w:t xml:space="preserve"> Episode date through the following 180 days. </w:t>
            </w:r>
          </w:p>
        </w:tc>
      </w:tr>
    </w:tbl>
    <w:p w14:paraId="3674344B" w14:textId="77777777" w:rsidR="00D41DD0" w:rsidRPr="005D4222" w:rsidRDefault="00D41DD0"/>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3" w:type="dxa"/>
          <w:right w:w="86" w:type="dxa"/>
        </w:tblCellMar>
        <w:tblLook w:val="04A0" w:firstRow="1" w:lastRow="0" w:firstColumn="1" w:lastColumn="0" w:noHBand="0" w:noVBand="1"/>
      </w:tblPr>
      <w:tblGrid>
        <w:gridCol w:w="2157"/>
        <w:gridCol w:w="7560"/>
      </w:tblGrid>
      <w:tr w:rsidR="00D41DD0" w:rsidRPr="005D4222" w14:paraId="26B88CD8" w14:textId="77777777" w:rsidTr="00D55B75">
        <w:tc>
          <w:tcPr>
            <w:tcW w:w="2157" w:type="dxa"/>
            <w:shd w:val="clear" w:color="auto" w:fill="BFBFBF" w:themeFill="background1" w:themeFillShade="BF"/>
            <w:tcMar>
              <w:top w:w="0" w:type="dxa"/>
              <w:left w:w="86" w:type="dxa"/>
              <w:bottom w:w="43" w:type="dxa"/>
              <w:right w:w="86" w:type="dxa"/>
            </w:tcMar>
          </w:tcPr>
          <w:p w14:paraId="1F97AB41" w14:textId="77777777" w:rsidR="00D41DD0" w:rsidRPr="005D4222" w:rsidRDefault="00D41DD0" w:rsidP="00D55B75">
            <w:pPr>
              <w:pStyle w:val="ECDSMarginHead"/>
            </w:pP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DD78576" w14:textId="77777777" w:rsidR="00D41DD0" w:rsidRPr="005D4222" w:rsidRDefault="00D41DD0" w:rsidP="00D41DD0">
            <w:pPr>
              <w:pStyle w:val="Bullet"/>
              <w:spacing w:after="80"/>
            </w:pPr>
            <w:r w:rsidRPr="005D4222">
              <w:rPr>
                <w:i/>
                <w:iCs/>
              </w:rPr>
              <w:t>Allowable gap:</w:t>
            </w:r>
            <w:r w:rsidRPr="005D4222">
              <w:t xml:space="preserve"> None.</w:t>
            </w:r>
          </w:p>
          <w:p w14:paraId="0028029F" w14:textId="77777777" w:rsidR="00D41DD0" w:rsidRPr="005D4222" w:rsidRDefault="00D41DD0" w:rsidP="00D41DD0">
            <w:pPr>
              <w:pStyle w:val="ECDSBody"/>
            </w:pPr>
            <w:r w:rsidRPr="005D4222">
              <w:rPr>
                <w:i/>
                <w:iCs/>
              </w:rPr>
              <w:t xml:space="preserve">Ages: </w:t>
            </w:r>
            <w:r w:rsidRPr="005D4222">
              <w:t xml:space="preserve">18 years of age and older as of the episode date. </w:t>
            </w:r>
          </w:p>
          <w:p w14:paraId="19F93FE4" w14:textId="77777777" w:rsidR="00D41DD0" w:rsidRPr="005D4222" w:rsidRDefault="00D41DD0" w:rsidP="00D41DD0">
            <w:pPr>
              <w:pStyle w:val="ECDSBody"/>
            </w:pPr>
            <w:r w:rsidRPr="005D4222">
              <w:rPr>
                <w:i/>
                <w:iCs/>
              </w:rPr>
              <w:t>Event</w:t>
            </w:r>
            <w:r w:rsidRPr="005D4222" w:rsidDel="003B4ECF">
              <w:rPr>
                <w:i/>
                <w:iCs/>
              </w:rPr>
              <w:t>:</w:t>
            </w:r>
            <w:r w:rsidRPr="005D4222">
              <w:rPr>
                <w:i/>
                <w:iCs/>
              </w:rPr>
              <w:t xml:space="preserve"> </w:t>
            </w:r>
            <w:r w:rsidRPr="005D4222">
              <w:rPr>
                <w:b/>
              </w:rPr>
              <w:t>Persons with a cardiac event.</w:t>
            </w:r>
          </w:p>
          <w:p w14:paraId="0A14D52A" w14:textId="77777777" w:rsidR="00D41DD0" w:rsidRPr="005D4222" w:rsidRDefault="00D41DD0" w:rsidP="00D41DD0">
            <w:pPr>
              <w:pStyle w:val="ECDSBody"/>
            </w:pPr>
            <w:r w:rsidRPr="005D4222">
              <w:rPr>
                <w:b/>
              </w:rPr>
              <w:t>Step 1</w:t>
            </w:r>
            <w:r w:rsidRPr="005D4222">
              <w:rPr>
                <w:b/>
                <w:i/>
                <w:iCs/>
              </w:rPr>
              <w:t>.</w:t>
            </w:r>
            <w:r w:rsidRPr="005D4222">
              <w:rPr>
                <w:b/>
              </w:rPr>
              <w:t xml:space="preserve"> </w:t>
            </w:r>
            <w:r w:rsidRPr="005D4222">
              <w:t xml:space="preserve">Identify all </w:t>
            </w:r>
            <w:r w:rsidRPr="005D4222" w:rsidDel="0023770F">
              <w:t>persons</w:t>
            </w:r>
            <w:r w:rsidRPr="005D4222">
              <w:t xml:space="preserve"> who had any of the following cardiac events during the intake period:</w:t>
            </w:r>
          </w:p>
          <w:p w14:paraId="5C426B1A" w14:textId="77777777" w:rsidR="00D41DD0" w:rsidRPr="005D4222" w:rsidRDefault="00D41DD0" w:rsidP="00D41DD0">
            <w:pPr>
              <w:pStyle w:val="Bullet"/>
            </w:pPr>
            <w:r w:rsidRPr="005D4222">
              <w:t>Persons who had PCI (</w:t>
            </w:r>
            <w:r w:rsidRPr="005D4222">
              <w:rPr>
                <w:u w:val="single"/>
              </w:rPr>
              <w:t>PCI Value Set</w:t>
            </w:r>
            <w:r w:rsidRPr="005D4222">
              <w:t xml:space="preserve">; </w:t>
            </w:r>
            <w:r w:rsidRPr="005D4222">
              <w:rPr>
                <w:u w:val="single"/>
              </w:rPr>
              <w:t>Other PCI Value Set</w:t>
            </w:r>
            <w:r w:rsidRPr="005D4222">
              <w:t>) in any setting.</w:t>
            </w:r>
          </w:p>
          <w:p w14:paraId="7B13B557" w14:textId="77777777" w:rsidR="00D41DD0" w:rsidRPr="005D4222" w:rsidRDefault="00D41DD0" w:rsidP="00D41DD0">
            <w:pPr>
              <w:pStyle w:val="Bullet"/>
            </w:pPr>
            <w:r w:rsidRPr="005D4222">
              <w:t>Persons discharged from an inpatient setting with any of the following on the discharge claim:</w:t>
            </w:r>
          </w:p>
          <w:p w14:paraId="3E20C869" w14:textId="77777777" w:rsidR="00D41DD0" w:rsidRPr="005D4222" w:rsidRDefault="00D41DD0" w:rsidP="00D41DD0">
            <w:pPr>
              <w:pStyle w:val="Dash"/>
            </w:pPr>
            <w:r w:rsidRPr="005D4222">
              <w:t>MI (</w:t>
            </w:r>
            <w:r w:rsidRPr="005D4222">
              <w:rPr>
                <w:u w:val="single"/>
              </w:rPr>
              <w:t>MI Value Set</w:t>
            </w:r>
            <w:r w:rsidRPr="005D4222">
              <w:t>).</w:t>
            </w:r>
          </w:p>
          <w:p w14:paraId="0AB53D17" w14:textId="77777777" w:rsidR="00D41DD0" w:rsidRPr="005D4222" w:rsidRDefault="00D41DD0" w:rsidP="00D41DD0">
            <w:pPr>
              <w:pStyle w:val="Dash"/>
            </w:pPr>
            <w:r w:rsidRPr="005D4222">
              <w:t>CABG (</w:t>
            </w:r>
            <w:r w:rsidRPr="005D4222">
              <w:rPr>
                <w:u w:val="single"/>
              </w:rPr>
              <w:t>CABG Value Set</w:t>
            </w:r>
            <w:r w:rsidRPr="005D4222">
              <w:t xml:space="preserve">; </w:t>
            </w:r>
            <w:r w:rsidRPr="005D4222">
              <w:rPr>
                <w:u w:val="single"/>
              </w:rPr>
              <w:t>Percutaneous CABG Value Set</w:t>
            </w:r>
            <w:r w:rsidRPr="005D4222">
              <w:t>).</w:t>
            </w:r>
          </w:p>
          <w:p w14:paraId="65F53FC5" w14:textId="77777777" w:rsidR="00D41DD0" w:rsidRPr="005D4222" w:rsidRDefault="00D41DD0" w:rsidP="00D41DD0">
            <w:pPr>
              <w:pStyle w:val="Dash"/>
            </w:pPr>
            <w:r w:rsidRPr="005D4222">
              <w:t>Heart or heart/lung transplant (</w:t>
            </w:r>
            <w:r w:rsidRPr="005D4222">
              <w:rPr>
                <w:u w:val="single"/>
              </w:rPr>
              <w:t>Heart Transplant Value Set</w:t>
            </w:r>
            <w:r w:rsidRPr="005D4222">
              <w:t xml:space="preserve">). </w:t>
            </w:r>
          </w:p>
          <w:p w14:paraId="0C9C4D0C" w14:textId="77777777" w:rsidR="00D41DD0" w:rsidRPr="005D4222" w:rsidRDefault="00D41DD0" w:rsidP="00D41DD0">
            <w:pPr>
              <w:pStyle w:val="Dash"/>
            </w:pPr>
            <w:r w:rsidRPr="005D4222">
              <w:t>Heart valve repair or replacement (</w:t>
            </w:r>
            <w:r w:rsidRPr="005D4222">
              <w:rPr>
                <w:u w:val="single"/>
              </w:rPr>
              <w:t>Heart Valve Repair or Replacement Value Set</w:t>
            </w:r>
            <w:r w:rsidRPr="005D4222">
              <w:t xml:space="preserve">). </w:t>
            </w:r>
          </w:p>
          <w:p w14:paraId="63448F16" w14:textId="77777777" w:rsidR="00D41DD0" w:rsidRPr="005D4222" w:rsidRDefault="00D41DD0" w:rsidP="00D41DD0">
            <w:pPr>
              <w:tabs>
                <w:tab w:val="left" w:pos="360"/>
                <w:tab w:val="left" w:pos="576"/>
              </w:tabs>
              <w:spacing w:before="120"/>
              <w:ind w:left="576"/>
              <w:rPr>
                <w:szCs w:val="24"/>
              </w:rPr>
            </w:pPr>
            <w:r w:rsidRPr="005D4222">
              <w:rPr>
                <w:szCs w:val="24"/>
              </w:rPr>
              <w:t>To identify discharges:</w:t>
            </w:r>
          </w:p>
          <w:p w14:paraId="58323501" w14:textId="77777777" w:rsidR="00D41DD0" w:rsidRPr="005D4222" w:rsidRDefault="00D41DD0" w:rsidP="00D41DD0">
            <w:pPr>
              <w:spacing w:before="80" w:after="80"/>
              <w:ind w:left="864" w:hanging="288"/>
              <w:rPr>
                <w:kern w:val="24"/>
              </w:rPr>
            </w:pPr>
            <w:r w:rsidRPr="005D4222">
              <w:rPr>
                <w:kern w:val="24"/>
              </w:rPr>
              <w:t>1.</w:t>
            </w:r>
            <w:r w:rsidRPr="005D4222">
              <w:rPr>
                <w:kern w:val="24"/>
              </w:rPr>
              <w:tab/>
              <w:t>Identify all acute and nonacute inpatient stays (</w:t>
            </w:r>
            <w:r w:rsidRPr="005D4222">
              <w:rPr>
                <w:kern w:val="24"/>
                <w:u w:val="single"/>
              </w:rPr>
              <w:t>Inpatient Stay Value Set</w:t>
            </w:r>
            <w:r w:rsidRPr="005D4222">
              <w:rPr>
                <w:kern w:val="24"/>
              </w:rPr>
              <w:t>).</w:t>
            </w:r>
          </w:p>
          <w:p w14:paraId="1928446D" w14:textId="77777777" w:rsidR="00D41DD0" w:rsidRPr="005D4222" w:rsidRDefault="00D41DD0" w:rsidP="00D41DD0">
            <w:pPr>
              <w:spacing w:before="80" w:after="80"/>
              <w:ind w:left="864" w:hanging="288"/>
              <w:rPr>
                <w:kern w:val="24"/>
              </w:rPr>
            </w:pPr>
            <w:r w:rsidRPr="005D4222">
              <w:rPr>
                <w:kern w:val="24"/>
              </w:rPr>
              <w:t>2.</w:t>
            </w:r>
            <w:r w:rsidRPr="005D4222">
              <w:rPr>
                <w:kern w:val="24"/>
              </w:rPr>
              <w:tab/>
              <w:t>Identify the discharge date for the stay.</w:t>
            </w:r>
          </w:p>
          <w:p w14:paraId="38D5D401" w14:textId="77777777" w:rsidR="00D41DD0" w:rsidRPr="005D4222" w:rsidRDefault="00D41DD0" w:rsidP="00D41DD0">
            <w:pPr>
              <w:pStyle w:val="ECDSBody"/>
              <w:rPr>
                <w:b/>
                <w:i/>
                <w:iCs/>
              </w:rPr>
            </w:pPr>
            <w:r w:rsidRPr="005D4222">
              <w:rPr>
                <w:b/>
              </w:rPr>
              <w:t>Step 2</w:t>
            </w:r>
            <w:r w:rsidRPr="005D4222">
              <w:rPr>
                <w:b/>
                <w:i/>
                <w:iCs/>
              </w:rPr>
              <w:t xml:space="preserve">. </w:t>
            </w:r>
            <w:r w:rsidRPr="005D4222">
              <w:t>For persons identified in step 1, the episode is the most recent cardiac event</w:t>
            </w:r>
            <w:r w:rsidRPr="005D4222">
              <w:rPr>
                <w:i/>
                <w:iCs/>
              </w:rPr>
              <w:t xml:space="preserve">. </w:t>
            </w:r>
            <w:r w:rsidRPr="005D4222">
              <w:t xml:space="preserve">If more than one cardiac event meets event criteria, include only the most recent during the intake period.  </w:t>
            </w:r>
          </w:p>
          <w:p w14:paraId="7E32EBFF" w14:textId="77777777" w:rsidR="00D41DD0" w:rsidRPr="005D4222" w:rsidRDefault="00D41DD0" w:rsidP="00D41DD0">
            <w:pPr>
              <w:pStyle w:val="ECDSBody"/>
            </w:pPr>
            <w:r w:rsidRPr="005D4222">
              <w:rPr>
                <w:b/>
              </w:rPr>
              <w:t>Step 3.</w:t>
            </w:r>
            <w:r w:rsidRPr="005D4222">
              <w:rPr>
                <w:b/>
                <w:i/>
                <w:iCs/>
              </w:rPr>
              <w:t xml:space="preserve"> </w:t>
            </w:r>
            <w:r w:rsidRPr="005D4222">
              <w:t xml:space="preserve">Test for direct transfers. For episodes with a </w:t>
            </w:r>
            <w:r w:rsidRPr="005D4222">
              <w:rPr>
                <w:i/>
              </w:rPr>
              <w:t>direct transfer</w:t>
            </w:r>
            <w:r w:rsidRPr="005D4222">
              <w:t xml:space="preserve"> to an acute or nonacute setting for any diagnosis the episode date is the </w:t>
            </w:r>
            <w:r w:rsidRPr="005D4222">
              <w:rPr>
                <w:i/>
              </w:rPr>
              <w:t>discharge date from the last admission</w:t>
            </w:r>
            <w:r w:rsidRPr="005D4222">
              <w:t xml:space="preserve">. </w:t>
            </w:r>
          </w:p>
          <w:p w14:paraId="02949A57" w14:textId="77777777" w:rsidR="00D41DD0" w:rsidRPr="005D4222" w:rsidRDefault="00D41DD0" w:rsidP="00D41DD0">
            <w:pPr>
              <w:pStyle w:val="ECDSBody"/>
            </w:pPr>
            <w:r w:rsidRPr="005D4222">
              <w:t xml:space="preserve">To identify admissions to and discharges from inpatient settings: </w:t>
            </w:r>
          </w:p>
          <w:p w14:paraId="19F1A318" w14:textId="77777777" w:rsidR="00D41DD0" w:rsidRPr="005D4222" w:rsidRDefault="00D41DD0" w:rsidP="00992C3B">
            <w:pPr>
              <w:numPr>
                <w:ilvl w:val="0"/>
                <w:numId w:val="40"/>
              </w:numPr>
              <w:tabs>
                <w:tab w:val="left" w:pos="1368"/>
              </w:tabs>
              <w:spacing w:before="80" w:after="80"/>
              <w:ind w:left="648" w:hanging="288"/>
              <w:rPr>
                <w:rFonts w:cs="Arial"/>
                <w:bCs/>
                <w:szCs w:val="26"/>
              </w:rPr>
            </w:pPr>
            <w:r w:rsidRPr="005D4222">
              <w:rPr>
                <w:rFonts w:cs="Arial"/>
                <w:bCs/>
                <w:szCs w:val="26"/>
              </w:rPr>
              <w:t>Identify all acute and nonacute inpatient stays (</w:t>
            </w:r>
            <w:r w:rsidRPr="005D4222">
              <w:rPr>
                <w:rFonts w:cs="Arial"/>
                <w:bCs/>
                <w:szCs w:val="26"/>
                <w:u w:val="single"/>
              </w:rPr>
              <w:t>Inpatient Stay Value Set)</w:t>
            </w:r>
            <w:r w:rsidRPr="005D4222">
              <w:rPr>
                <w:rFonts w:cs="Arial"/>
                <w:bCs/>
                <w:szCs w:val="26"/>
              </w:rPr>
              <w:t xml:space="preserve">. </w:t>
            </w:r>
          </w:p>
          <w:p w14:paraId="660A9EFE" w14:textId="77777777" w:rsidR="00D41DD0" w:rsidRPr="005D4222" w:rsidRDefault="00D41DD0" w:rsidP="00992C3B">
            <w:pPr>
              <w:numPr>
                <w:ilvl w:val="0"/>
                <w:numId w:val="40"/>
              </w:numPr>
              <w:tabs>
                <w:tab w:val="left" w:pos="1368"/>
              </w:tabs>
              <w:spacing w:before="80" w:after="80"/>
              <w:ind w:left="648" w:hanging="288"/>
              <w:rPr>
                <w:rFonts w:cs="Arial"/>
                <w:bCs/>
                <w:szCs w:val="26"/>
              </w:rPr>
            </w:pPr>
            <w:r w:rsidRPr="005D4222">
              <w:rPr>
                <w:rFonts w:cs="Arial"/>
                <w:bCs/>
                <w:szCs w:val="26"/>
              </w:rPr>
              <w:t>Identify the admission and discharge dates for the stay.</w:t>
            </w:r>
          </w:p>
          <w:p w14:paraId="40826DDC" w14:textId="77777777" w:rsidR="00D41DD0" w:rsidRPr="005D4222" w:rsidRDefault="00D41DD0" w:rsidP="00D41DD0">
            <w:pPr>
              <w:pStyle w:val="ECDSBody"/>
            </w:pPr>
            <w:r w:rsidRPr="005D4222">
              <w:t xml:space="preserve">Exclude both the initial discharge and the direct transfer discharge if the last discharge occurs after June 30 of the measurement period. </w:t>
            </w:r>
          </w:p>
          <w:p w14:paraId="1891A6CC" w14:textId="66BD66DD" w:rsidR="00D41DD0" w:rsidRPr="005D4222" w:rsidRDefault="00D41DD0" w:rsidP="006A26E1">
            <w:pPr>
              <w:pStyle w:val="Note"/>
              <w:spacing w:after="80"/>
              <w:rPr>
                <w:i w:val="0"/>
                <w:iCs/>
              </w:rPr>
            </w:pPr>
            <w:r w:rsidRPr="005D4222">
              <w:rPr>
                <w:b/>
              </w:rPr>
              <w:t>Note:</w:t>
            </w:r>
            <w:r w:rsidRPr="005D4222">
              <w:rPr>
                <w:i w:val="0"/>
              </w:rPr>
              <w:t xml:space="preserve"> </w:t>
            </w:r>
            <w:r w:rsidRPr="005D4222">
              <w:rPr>
                <w:iCs/>
              </w:rPr>
              <w:t>The direct transfer does not require a cardiac event diagnosis.</w:t>
            </w:r>
          </w:p>
        </w:tc>
      </w:tr>
      <w:tr w:rsidR="003666DA" w:rsidRPr="005D4222" w14:paraId="16053075" w14:textId="77777777" w:rsidTr="00D55B75">
        <w:tc>
          <w:tcPr>
            <w:tcW w:w="2157" w:type="dxa"/>
            <w:tcBorders>
              <w:top w:val="single" w:sz="2" w:space="0" w:color="auto"/>
              <w:left w:val="single" w:sz="2" w:space="0" w:color="auto"/>
              <w:bottom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5F9D4500" w14:textId="77777777" w:rsidR="003666DA" w:rsidRPr="005D4222" w:rsidRDefault="003666DA" w:rsidP="00D55B75">
            <w:pPr>
              <w:pStyle w:val="ECDSMarginHead"/>
            </w:pPr>
            <w:r w:rsidRPr="005D4222">
              <w:t xml:space="preserve">Denominator exclusions </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F6CF8B4" w14:textId="77777777" w:rsidR="003666DA" w:rsidRPr="005D4222" w:rsidRDefault="003666DA" w:rsidP="00D41DD0">
            <w:pPr>
              <w:pStyle w:val="ECDSBody"/>
              <w:rPr>
                <w:rFonts w:cs="Segoe UI"/>
                <w:szCs w:val="18"/>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p w14:paraId="028DD3DB" w14:textId="77777777" w:rsidR="003666DA" w:rsidRPr="005D4222" w:rsidRDefault="003666DA" w:rsidP="00D41DD0">
            <w:pPr>
              <w:pStyle w:val="ECDSBody"/>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bl>
    <w:p w14:paraId="6358437E" w14:textId="77777777" w:rsidR="003666DA" w:rsidRPr="005D4222" w:rsidRDefault="003666DA" w:rsidP="003666DA">
      <w:pPr>
        <w:spacing w:after="160" w:line="259" w:lineRule="auto"/>
        <w:rPr>
          <w:szCs w:val="21"/>
        </w:rPr>
      </w:pPr>
      <w:r w:rsidRPr="005D4222">
        <w:rPr>
          <w:szCs w:val="21"/>
        </w:rPr>
        <w:br w:type="page"/>
      </w:r>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3" w:type="dxa"/>
          <w:right w:w="86" w:type="dxa"/>
        </w:tblCellMar>
        <w:tblLook w:val="04A0" w:firstRow="1" w:lastRow="0" w:firstColumn="1" w:lastColumn="0" w:noHBand="0" w:noVBand="1"/>
      </w:tblPr>
      <w:tblGrid>
        <w:gridCol w:w="2157"/>
        <w:gridCol w:w="7560"/>
      </w:tblGrid>
      <w:tr w:rsidR="003666DA" w:rsidRPr="005D4222" w14:paraId="59D899B3" w14:textId="77777777">
        <w:tc>
          <w:tcPr>
            <w:tcW w:w="2157" w:type="dxa"/>
            <w:tcBorders>
              <w:top w:val="single" w:sz="2" w:space="0" w:color="auto"/>
              <w:left w:val="single" w:sz="2" w:space="0" w:color="auto"/>
              <w:bottom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4C221409" w14:textId="77777777" w:rsidR="003666DA" w:rsidRPr="005D4222" w:rsidRDefault="003666DA" w:rsidP="003666DA">
            <w:pPr>
              <w:spacing w:before="80" w:after="80"/>
              <w:rPr>
                <w:b/>
                <w:sz w:val="22"/>
                <w:szCs w:val="21"/>
              </w:rPr>
            </w:pP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2678040" w14:textId="28110E6E" w:rsidR="003666DA" w:rsidRPr="005D4222" w:rsidRDefault="003666DA" w:rsidP="00EF5FE1">
            <w:pPr>
              <w:pStyle w:val="ECDSBody"/>
            </w:pPr>
            <w:r w:rsidRPr="005D4222" w:rsidDel="00AA4A01">
              <w:rPr>
                <w:b/>
              </w:rPr>
              <w:t xml:space="preserve">Persons </w:t>
            </w:r>
            <w:r w:rsidRPr="005D4222">
              <w:rPr>
                <w:b/>
              </w:rPr>
              <w:t>receiving palliative care.</w:t>
            </w:r>
            <w:r w:rsidRPr="005D4222">
              <w:rPr>
                <w:b/>
              </w:rPr>
              <w:br/>
            </w:r>
            <w:r w:rsidRPr="005D4222">
              <w:t>Persons receiving palliative care (</w:t>
            </w:r>
            <w:r w:rsidRPr="005D4222">
              <w:rPr>
                <w:u w:val="single"/>
              </w:rPr>
              <w:t>Palliative Care Assessment Value Set</w:t>
            </w:r>
            <w:r w:rsidRPr="005D4222">
              <w:t xml:space="preserve">; </w:t>
            </w:r>
            <w:r w:rsidRPr="005D4222">
              <w:rPr>
                <w:u w:val="single"/>
              </w:rPr>
              <w:t>Palliative Care Encounter Value Set</w:t>
            </w:r>
            <w:r w:rsidRPr="005D4222">
              <w:t xml:space="preserve">; </w:t>
            </w:r>
            <w:r w:rsidRPr="005D4222">
              <w:rPr>
                <w:u w:val="single"/>
              </w:rPr>
              <w:t>Palliative Care Intervention Value Set</w:t>
            </w:r>
            <w:r w:rsidRPr="005D4222">
              <w:t xml:space="preserve">) or who had an encounter for palliative care (ICD-10-CM code Z51.5*) any time during the intake period through the </w:t>
            </w:r>
            <w:r w:rsidR="00692BEE" w:rsidRPr="005D4222">
              <w:t xml:space="preserve">last day </w:t>
            </w:r>
            <w:r w:rsidRPr="005D4222">
              <w:t xml:space="preserve">of the measurement period. </w:t>
            </w:r>
          </w:p>
          <w:p w14:paraId="67AFEF10" w14:textId="77777777" w:rsidR="003666DA" w:rsidRPr="005D4222" w:rsidRDefault="003666DA" w:rsidP="00EF5FE1">
            <w:pPr>
              <w:pStyle w:val="ECDSBody"/>
              <w:rPr>
                <w:kern w:val="24"/>
                <w14:ligatures w14:val="standardContextual"/>
              </w:rPr>
            </w:pPr>
            <w:r w:rsidRPr="005D4222">
              <w:rPr>
                <w:b/>
                <w:color w:val="000000"/>
                <w:shd w:val="clear" w:color="auto" w:fill="FFFFFF"/>
              </w:rPr>
              <w:t>Medicare enrollees,</w:t>
            </w:r>
            <w:r w:rsidRPr="005D4222" w:rsidDel="00BE507F">
              <w:rPr>
                <w:b/>
                <w:color w:val="000000"/>
                <w:shd w:val="clear" w:color="auto" w:fill="FFFFFF"/>
              </w:rPr>
              <w:t xml:space="preserve"> </w:t>
            </w:r>
            <w:r w:rsidRPr="005D4222">
              <w:rPr>
                <w:b/>
                <w:color w:val="000000"/>
                <w:shd w:val="clear" w:color="auto" w:fill="FFFFFF"/>
              </w:rPr>
              <w:t>66 years of age and older by the last day of the measurement period, in an institutional SNP (I-SNP) or living long-term in an institution (LTI).</w:t>
            </w:r>
          </w:p>
          <w:p w14:paraId="63733484" w14:textId="13E487EC" w:rsidR="003666DA" w:rsidRPr="005D4222" w:rsidRDefault="003666DA" w:rsidP="00EF5FE1">
            <w:pPr>
              <w:pStyle w:val="ProcessBullet"/>
            </w:pPr>
            <w:r w:rsidRPr="005D4222">
              <w:t xml:space="preserve">Enrolled in an </w:t>
            </w:r>
            <w:r w:rsidRPr="005D4222" w:rsidDel="003B2C2C">
              <w:t>Institutional SNP (</w:t>
            </w:r>
            <w:r w:rsidRPr="005D4222">
              <w:t>I-SNP</w:t>
            </w:r>
            <w:r w:rsidRPr="005D4222" w:rsidDel="003B2C2C">
              <w:t>)</w:t>
            </w:r>
            <w:r w:rsidRPr="005D4222">
              <w:t xml:space="preserve"> any time during the intake period through the </w:t>
            </w:r>
            <w:r w:rsidR="00692BEE" w:rsidRPr="005D4222">
              <w:t xml:space="preserve">last day </w:t>
            </w:r>
            <w:r w:rsidRPr="005D4222">
              <w:t>of the measurement period.</w:t>
            </w:r>
          </w:p>
          <w:p w14:paraId="55B2A7E2" w14:textId="0FEDCFA6" w:rsidR="003666DA" w:rsidRPr="005D4222" w:rsidRDefault="003666DA" w:rsidP="00EF5FE1">
            <w:pPr>
              <w:pStyle w:val="ProcessBullet"/>
              <w:rPr>
                <w:rFonts w:eastAsia="Arial,Arial,Arial,Arial,Arial,A"/>
              </w:rPr>
            </w:pPr>
            <w:r w:rsidRPr="005D4222">
              <w:t xml:space="preserve">Living </w:t>
            </w:r>
            <w:r w:rsidRPr="005D4222" w:rsidDel="003B2C2C">
              <w:t>long-term in an institution</w:t>
            </w:r>
            <w:r w:rsidRPr="005D4222">
              <w:t xml:space="preserve"> any time during the measurement period as identified by the LTI flag in the Monthly Membership Detail Data File. Use the run date of the file to determine if a member had an LTI flag during the intake period through the </w:t>
            </w:r>
            <w:r w:rsidR="00692BEE" w:rsidRPr="005D4222">
              <w:t xml:space="preserve">last day </w:t>
            </w:r>
            <w:r w:rsidRPr="005D4222">
              <w:t>of the measurement period.</w:t>
            </w:r>
          </w:p>
          <w:p w14:paraId="41DF7393" w14:textId="77777777" w:rsidR="003666DA" w:rsidRPr="005D4222" w:rsidRDefault="003666DA" w:rsidP="00EF5FE1">
            <w:pPr>
              <w:pStyle w:val="ECDSBody"/>
              <w:rPr>
                <w:b/>
                <w:bCs w:val="0"/>
              </w:rPr>
            </w:pPr>
            <w:r w:rsidRPr="005D4222">
              <w:rPr>
                <w:b/>
                <w:bCs w:val="0"/>
              </w:rPr>
              <w:t>Persons 66–80 years of age by the last day of the measurement period, with both frailty and advanced illness.</w:t>
            </w:r>
          </w:p>
          <w:p w14:paraId="3461AC83" w14:textId="150D7C4F" w:rsidR="003666DA" w:rsidRPr="005D4222" w:rsidRDefault="003666DA" w:rsidP="003666DA">
            <w:pPr>
              <w:tabs>
                <w:tab w:val="left" w:pos="1368"/>
              </w:tabs>
              <w:spacing w:before="60" w:after="60"/>
              <w:ind w:left="288" w:hanging="288"/>
              <w:rPr>
                <w:rFonts w:cs="Arial"/>
                <w:bCs/>
                <w:szCs w:val="26"/>
                <w:u w:val="single"/>
              </w:rPr>
            </w:pPr>
            <w:r w:rsidRPr="005D4222">
              <w:rPr>
                <w:rFonts w:cs="Arial"/>
                <w:bCs/>
                <w:szCs w:val="26"/>
              </w:rPr>
              <w:t>1.</w:t>
            </w:r>
            <w:r w:rsidRPr="005D4222">
              <w:rPr>
                <w:rFonts w:cs="Arial"/>
                <w:b/>
                <w:bCs/>
                <w:szCs w:val="26"/>
              </w:rPr>
              <w:tab/>
              <w:t>Frailty.</w:t>
            </w:r>
            <w:r w:rsidRPr="005D4222">
              <w:rPr>
                <w:rFonts w:cs="Arial"/>
                <w:bCs/>
                <w:szCs w:val="26"/>
              </w:rPr>
              <w:t xml:space="preserve"> At least two indications of frailty (</w:t>
            </w:r>
            <w:r w:rsidRPr="005D4222">
              <w:rPr>
                <w:rFonts w:cs="Arial"/>
                <w:bCs/>
                <w:szCs w:val="26"/>
                <w:u w:val="single"/>
              </w:rPr>
              <w:t>Frailty Device Value Set</w:t>
            </w:r>
            <w:r w:rsidRPr="005D4222">
              <w:rPr>
                <w:rFonts w:cs="Arial"/>
                <w:bCs/>
                <w:szCs w:val="26"/>
              </w:rPr>
              <w:t xml:space="preserve">; </w:t>
            </w:r>
            <w:r w:rsidRPr="005D4222">
              <w:rPr>
                <w:rFonts w:cs="Arial"/>
                <w:bCs/>
                <w:szCs w:val="26"/>
                <w:u w:val="single"/>
              </w:rPr>
              <w:t>Frailty Diagnosis Value Set</w:t>
            </w:r>
            <w:r w:rsidRPr="005D4222">
              <w:rPr>
                <w:rFonts w:cs="Arial"/>
                <w:bCs/>
                <w:szCs w:val="26"/>
              </w:rPr>
              <w:t xml:space="preserve">*; </w:t>
            </w:r>
            <w:r w:rsidRPr="005D4222">
              <w:rPr>
                <w:rFonts w:cs="Arial"/>
                <w:bCs/>
                <w:szCs w:val="26"/>
                <w:u w:val="single"/>
              </w:rPr>
              <w:t>Frailty Encounter Value Set</w:t>
            </w:r>
            <w:r w:rsidRPr="005D4222">
              <w:rPr>
                <w:rFonts w:cs="Arial"/>
                <w:bCs/>
                <w:szCs w:val="26"/>
              </w:rPr>
              <w:t xml:space="preserve">; </w:t>
            </w:r>
            <w:r w:rsidRPr="005D4222">
              <w:rPr>
                <w:rFonts w:cs="Arial"/>
                <w:bCs/>
                <w:szCs w:val="26"/>
                <w:u w:val="single"/>
              </w:rPr>
              <w:t>Frailty Symptom Value Set</w:t>
            </w:r>
            <w:r w:rsidR="00E254AA" w:rsidRPr="005D4222">
              <w:rPr>
                <w:rFonts w:cs="Arial"/>
                <w:bCs/>
                <w:szCs w:val="26"/>
              </w:rPr>
              <w:t>*</w:t>
            </w:r>
            <w:r w:rsidRPr="005D4222">
              <w:rPr>
                <w:rFonts w:cs="Arial"/>
                <w:bCs/>
                <w:szCs w:val="26"/>
              </w:rPr>
              <w:t xml:space="preserve">) with different dates of service during the intake period through the </w:t>
            </w:r>
            <w:r w:rsidR="00692BEE" w:rsidRPr="005D4222">
              <w:t>last day</w:t>
            </w:r>
            <w:r w:rsidR="00692BEE" w:rsidRPr="005D4222">
              <w:rPr>
                <w:rFonts w:cs="Arial"/>
                <w:bCs/>
                <w:szCs w:val="26"/>
              </w:rPr>
              <w:t xml:space="preserve"> </w:t>
            </w:r>
            <w:r w:rsidRPr="005D4222">
              <w:rPr>
                <w:rFonts w:cs="Arial"/>
                <w:bCs/>
                <w:szCs w:val="26"/>
              </w:rPr>
              <w:t>of the measurement period.</w:t>
            </w:r>
          </w:p>
          <w:p w14:paraId="2223FCD3" w14:textId="77777777" w:rsidR="003666DA" w:rsidRPr="005D4222" w:rsidRDefault="003666DA" w:rsidP="003666DA">
            <w:pPr>
              <w:tabs>
                <w:tab w:val="left" w:pos="1368"/>
              </w:tabs>
              <w:spacing w:before="60"/>
              <w:ind w:left="288" w:hanging="288"/>
              <w:rPr>
                <w:rFonts w:cs="Arial"/>
                <w:bCs/>
                <w:szCs w:val="26"/>
              </w:rPr>
            </w:pPr>
            <w:r w:rsidRPr="005D4222">
              <w:rPr>
                <w:rFonts w:cs="Arial"/>
                <w:bCs/>
                <w:szCs w:val="26"/>
              </w:rPr>
              <w:t>2.</w:t>
            </w:r>
            <w:r w:rsidRPr="005D4222">
              <w:rPr>
                <w:rFonts w:cs="Arial"/>
                <w:bCs/>
                <w:szCs w:val="26"/>
              </w:rPr>
              <w:tab/>
            </w:r>
            <w:r w:rsidRPr="005D4222">
              <w:rPr>
                <w:rFonts w:cs="Arial"/>
                <w:b/>
                <w:bCs/>
                <w:szCs w:val="26"/>
              </w:rPr>
              <w:t>Advanced illness.</w:t>
            </w:r>
            <w:r w:rsidRPr="005D4222">
              <w:rPr>
                <w:rFonts w:cs="Arial"/>
                <w:bCs/>
                <w:szCs w:val="26"/>
              </w:rPr>
              <w:t xml:space="preserve"> Either of the following during the measurement period or the year prior to the measurement period: </w:t>
            </w:r>
          </w:p>
          <w:p w14:paraId="59A6FF52" w14:textId="77777777" w:rsidR="003666DA" w:rsidRPr="005D4222" w:rsidRDefault="003666DA" w:rsidP="00EF5FE1">
            <w:pPr>
              <w:pStyle w:val="ProcessDash"/>
              <w:tabs>
                <w:tab w:val="clear" w:pos="432"/>
              </w:tabs>
              <w:ind w:left="504"/>
            </w:pPr>
            <w:r w:rsidRPr="005D4222">
              <w:t>Advanced illness (</w:t>
            </w:r>
            <w:r w:rsidRPr="005D4222">
              <w:rPr>
                <w:u w:val="single"/>
              </w:rPr>
              <w:t>Advanced Illness Value Set</w:t>
            </w:r>
            <w:r w:rsidRPr="005D4222">
              <w:t>*) on at least two different dates of service.</w:t>
            </w:r>
          </w:p>
          <w:p w14:paraId="769DD05E" w14:textId="77777777" w:rsidR="003666DA" w:rsidRPr="005D4222" w:rsidRDefault="003666DA" w:rsidP="00EF5FE1">
            <w:pPr>
              <w:pStyle w:val="ProcessDash"/>
              <w:tabs>
                <w:tab w:val="clear" w:pos="432"/>
              </w:tabs>
              <w:ind w:left="504"/>
            </w:pPr>
            <w:r w:rsidRPr="005D4222">
              <w:t>Dispensed dementia medication (</w:t>
            </w:r>
            <w:r w:rsidRPr="005D4222">
              <w:rPr>
                <w:u w:val="single"/>
              </w:rPr>
              <w:t>Dementia Medications List</w:t>
            </w:r>
            <w:r w:rsidRPr="005D4222">
              <w:t>).</w:t>
            </w:r>
          </w:p>
          <w:p w14:paraId="1F4F8F5A" w14:textId="30F62954" w:rsidR="003666DA" w:rsidRPr="005D4222" w:rsidRDefault="003666DA" w:rsidP="00EF5FE1">
            <w:pPr>
              <w:pStyle w:val="ECDSBody"/>
              <w:rPr>
                <w:rFonts w:eastAsia="Arial,Arial,Arial,Arial,Arial,A"/>
                <w:b/>
              </w:rPr>
            </w:pPr>
            <w:r w:rsidRPr="005D4222">
              <w:rPr>
                <w:rFonts w:eastAsia="Arial,Arial,Arial,Arial,Arial,A"/>
                <w:b/>
              </w:rPr>
              <w:t>P</w:t>
            </w:r>
            <w:r w:rsidRPr="005D4222">
              <w:rPr>
                <w:b/>
              </w:rPr>
              <w:t>ersons 81 years of age or older by the last day of the measurement period with frailty.</w:t>
            </w:r>
            <w:r w:rsidRPr="005D4222">
              <w:rPr>
                <w:b/>
              </w:rPr>
              <w:br/>
            </w:r>
            <w:r w:rsidRPr="005D4222">
              <w:rPr>
                <w:rFonts w:eastAsia="Arial,Arial,Arial,Arial,Arial,A"/>
              </w:rPr>
              <w:t>Persons with at least two indications of frailty</w:t>
            </w:r>
            <w:r w:rsidRPr="005D4222">
              <w:t xml:space="preserve"> (</w:t>
            </w:r>
            <w:r w:rsidRPr="005D4222">
              <w:rPr>
                <w:u w:val="single"/>
              </w:rPr>
              <w:t>Frailty Device Value Set</w:t>
            </w:r>
            <w:r w:rsidRPr="005D4222">
              <w:t xml:space="preserve">; </w:t>
            </w:r>
            <w:r w:rsidRPr="005D4222">
              <w:rPr>
                <w:u w:val="single"/>
              </w:rPr>
              <w:t>Frailty Diagnosis Value Set</w:t>
            </w:r>
            <w:r w:rsidRPr="005D4222">
              <w:t xml:space="preserve">*; </w:t>
            </w:r>
            <w:r w:rsidRPr="005D4222">
              <w:rPr>
                <w:u w:val="single"/>
              </w:rPr>
              <w:t>Frailty Encounter Value Set</w:t>
            </w:r>
            <w:r w:rsidRPr="005D4222">
              <w:t xml:space="preserve">; </w:t>
            </w:r>
            <w:r w:rsidRPr="005D4222">
              <w:rPr>
                <w:u w:val="single"/>
              </w:rPr>
              <w:t>Frailty Symptom Value Set</w:t>
            </w:r>
            <w:r w:rsidR="00E254AA" w:rsidRPr="005D4222">
              <w:t>*</w:t>
            </w:r>
            <w:r w:rsidRPr="005D4222">
              <w:t xml:space="preserve">) with different dates of service </w:t>
            </w:r>
            <w:r w:rsidRPr="005D4222">
              <w:rPr>
                <w:szCs w:val="21"/>
              </w:rPr>
              <w:t xml:space="preserve">during the intake period through the </w:t>
            </w:r>
            <w:r w:rsidR="00692BEE" w:rsidRPr="005D4222">
              <w:t>last day</w:t>
            </w:r>
            <w:r w:rsidR="00692BEE" w:rsidRPr="005D4222">
              <w:rPr>
                <w:szCs w:val="21"/>
              </w:rPr>
              <w:t xml:space="preserve"> </w:t>
            </w:r>
            <w:r w:rsidRPr="005D4222">
              <w:rPr>
                <w:szCs w:val="21"/>
              </w:rPr>
              <w:t xml:space="preserve">of the measurement </w:t>
            </w:r>
            <w:r w:rsidRPr="005D4222">
              <w:t>period.</w:t>
            </w:r>
          </w:p>
          <w:p w14:paraId="4A3B2412" w14:textId="77777777" w:rsidR="003666DA" w:rsidRPr="005D4222" w:rsidRDefault="003666DA" w:rsidP="00EF5FE1">
            <w:pPr>
              <w:pStyle w:val="ECDSBody"/>
              <w:rPr>
                <w:b/>
              </w:rPr>
            </w:pPr>
            <w:r w:rsidRPr="005D4222">
              <w:rPr>
                <w:rFonts w:eastAsia="Arial,Arial,Arial,Arial,Arial,A"/>
                <w:b/>
              </w:rPr>
              <w:t>P</w:t>
            </w:r>
            <w:r w:rsidRPr="005D4222">
              <w:rPr>
                <w:b/>
              </w:rPr>
              <w:t xml:space="preserve">ersons with an additional cardiac event. </w:t>
            </w:r>
          </w:p>
          <w:p w14:paraId="59E39F1A" w14:textId="77777777" w:rsidR="003666DA" w:rsidRPr="005D4222" w:rsidRDefault="003666DA" w:rsidP="00EF5FE1">
            <w:pPr>
              <w:pStyle w:val="ECDSBody"/>
            </w:pPr>
            <w:r w:rsidRPr="005D4222">
              <w:t xml:space="preserve">Any of the following cardiac events during the 180 days after the episode date: </w:t>
            </w:r>
          </w:p>
          <w:p w14:paraId="0C5B9D1D" w14:textId="77777777" w:rsidR="003666DA" w:rsidRPr="005D4222" w:rsidRDefault="003666DA" w:rsidP="00EF5FE1">
            <w:pPr>
              <w:pStyle w:val="Bullet"/>
            </w:pPr>
            <w:r w:rsidRPr="005D4222">
              <w:t>Persons who had PCI (</w:t>
            </w:r>
            <w:r w:rsidRPr="005D4222">
              <w:rPr>
                <w:u w:val="single"/>
              </w:rPr>
              <w:t>PCI Value Set</w:t>
            </w:r>
            <w:r w:rsidRPr="005D4222">
              <w:t xml:space="preserve">; </w:t>
            </w:r>
            <w:r w:rsidRPr="005D4222">
              <w:rPr>
                <w:u w:val="single"/>
              </w:rPr>
              <w:t>Other PCI Value Set</w:t>
            </w:r>
            <w:r w:rsidRPr="005D4222">
              <w:t xml:space="preserve">) in any setting. </w:t>
            </w:r>
          </w:p>
          <w:p w14:paraId="31A70DE5" w14:textId="77777777" w:rsidR="003666DA" w:rsidRPr="005D4222" w:rsidRDefault="003666DA" w:rsidP="00EF5FE1">
            <w:pPr>
              <w:pStyle w:val="Bullet"/>
            </w:pPr>
            <w:r w:rsidRPr="005D4222">
              <w:t>Persons discharged from an inpatient setting with any of the following on the discharge claim:</w:t>
            </w:r>
          </w:p>
          <w:p w14:paraId="70CCD20C" w14:textId="77777777" w:rsidR="003666DA" w:rsidRPr="005D4222" w:rsidRDefault="003666DA" w:rsidP="00EF5FE1">
            <w:pPr>
              <w:pStyle w:val="Dash"/>
            </w:pPr>
            <w:r w:rsidRPr="005D4222">
              <w:t>MI (</w:t>
            </w:r>
            <w:r w:rsidRPr="005D4222">
              <w:rPr>
                <w:u w:val="single"/>
              </w:rPr>
              <w:t>MI Value Set</w:t>
            </w:r>
            <w:r w:rsidRPr="005D4222">
              <w:t>).</w:t>
            </w:r>
          </w:p>
          <w:p w14:paraId="7CA2F79D" w14:textId="77777777" w:rsidR="003666DA" w:rsidRPr="005D4222" w:rsidRDefault="003666DA" w:rsidP="00EF5FE1">
            <w:pPr>
              <w:pStyle w:val="Dash"/>
            </w:pPr>
            <w:r w:rsidRPr="005D4222">
              <w:t>CABG (</w:t>
            </w:r>
            <w:r w:rsidRPr="005D4222">
              <w:rPr>
                <w:u w:val="single"/>
              </w:rPr>
              <w:t>CABG Value Set</w:t>
            </w:r>
            <w:r w:rsidRPr="005D4222">
              <w:t xml:space="preserve">; </w:t>
            </w:r>
            <w:r w:rsidRPr="005D4222">
              <w:rPr>
                <w:u w:val="single"/>
              </w:rPr>
              <w:t>Percutaneous CABG Value Set</w:t>
            </w:r>
            <w:r w:rsidRPr="005D4222">
              <w:t>).</w:t>
            </w:r>
          </w:p>
          <w:p w14:paraId="1302398D" w14:textId="77777777" w:rsidR="003666DA" w:rsidRPr="005D4222" w:rsidRDefault="003666DA" w:rsidP="00EF5FE1">
            <w:pPr>
              <w:pStyle w:val="Dash"/>
            </w:pPr>
            <w:r w:rsidRPr="005D4222">
              <w:t>Heart or heart/lung transplant (</w:t>
            </w:r>
            <w:r w:rsidRPr="005D4222">
              <w:rPr>
                <w:u w:val="single"/>
              </w:rPr>
              <w:t>Heart Transplant Value Set</w:t>
            </w:r>
            <w:r w:rsidRPr="005D4222">
              <w:t xml:space="preserve">). </w:t>
            </w:r>
          </w:p>
          <w:p w14:paraId="57667EE8" w14:textId="77777777" w:rsidR="003666DA" w:rsidRPr="005D4222" w:rsidRDefault="003666DA" w:rsidP="00EF5FE1">
            <w:pPr>
              <w:pStyle w:val="Dash"/>
              <w:rPr>
                <w:b/>
              </w:rPr>
            </w:pPr>
            <w:r w:rsidRPr="005D4222">
              <w:t>Heart valve repair or replacement (</w:t>
            </w:r>
            <w:r w:rsidRPr="005D4222">
              <w:rPr>
                <w:u w:val="single"/>
              </w:rPr>
              <w:t>Heart Valve Repair or Replacement Value Set</w:t>
            </w:r>
            <w:r w:rsidRPr="005D4222">
              <w:t xml:space="preserve">). </w:t>
            </w:r>
          </w:p>
          <w:p w14:paraId="121F7C53" w14:textId="77777777" w:rsidR="003666DA" w:rsidRPr="005D4222" w:rsidRDefault="003666DA" w:rsidP="00EF5FE1">
            <w:pPr>
              <w:pStyle w:val="ECDSBody"/>
              <w:ind w:left="576"/>
            </w:pPr>
            <w:r w:rsidRPr="005D4222">
              <w:t>To identify discharges:</w:t>
            </w:r>
          </w:p>
          <w:p w14:paraId="2E5DA6E6" w14:textId="1ED5400B" w:rsidR="00056E9C" w:rsidRPr="005D4222" w:rsidRDefault="003666DA" w:rsidP="00056E9C">
            <w:pPr>
              <w:tabs>
                <w:tab w:val="left" w:pos="1368"/>
              </w:tabs>
              <w:spacing w:before="60" w:after="80"/>
              <w:ind w:left="1080" w:hanging="288"/>
              <w:rPr>
                <w:rFonts w:cs="Arial"/>
                <w:bCs/>
                <w:szCs w:val="26"/>
              </w:rPr>
            </w:pPr>
            <w:r w:rsidRPr="005D4222">
              <w:rPr>
                <w:rFonts w:cs="Arial"/>
                <w:bCs/>
                <w:szCs w:val="26"/>
              </w:rPr>
              <w:t>1.</w:t>
            </w:r>
            <w:r w:rsidRPr="005D4222">
              <w:rPr>
                <w:rFonts w:cs="Arial"/>
                <w:bCs/>
                <w:szCs w:val="26"/>
              </w:rPr>
              <w:tab/>
              <w:t>Identify all acute and nonacute inpatient stays (</w:t>
            </w:r>
            <w:r w:rsidRPr="005D4222">
              <w:rPr>
                <w:rFonts w:cs="Arial"/>
                <w:bCs/>
                <w:szCs w:val="26"/>
                <w:u w:val="single"/>
              </w:rPr>
              <w:t>Inpatient Stay Value Set</w:t>
            </w:r>
            <w:r w:rsidRPr="005D4222">
              <w:rPr>
                <w:rFonts w:cs="Arial"/>
                <w:bCs/>
                <w:szCs w:val="26"/>
              </w:rPr>
              <w:t>).</w:t>
            </w:r>
          </w:p>
        </w:tc>
      </w:tr>
      <w:tr w:rsidR="003666DA" w:rsidRPr="005D4222" w14:paraId="1D3FD4B2" w14:textId="77777777">
        <w:tc>
          <w:tcPr>
            <w:tcW w:w="2157" w:type="dxa"/>
            <w:tcBorders>
              <w:top w:val="single" w:sz="2"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770AD47B" w14:textId="77777777" w:rsidR="003666DA" w:rsidRPr="005D4222" w:rsidRDefault="003666DA" w:rsidP="003666DA">
            <w:pPr>
              <w:spacing w:before="80" w:after="80"/>
              <w:rPr>
                <w:b/>
                <w:sz w:val="22"/>
                <w:szCs w:val="21"/>
              </w:rPr>
            </w:pPr>
          </w:p>
        </w:tc>
        <w:tc>
          <w:tcPr>
            <w:tcW w:w="7560" w:type="dxa"/>
            <w:tcBorders>
              <w:top w:val="single" w:sz="4" w:space="0" w:color="auto"/>
              <w:left w:val="single" w:sz="4" w:space="0" w:color="auto"/>
              <w:right w:val="single" w:sz="4" w:space="0" w:color="auto"/>
            </w:tcBorders>
            <w:tcMar>
              <w:top w:w="0" w:type="dxa"/>
              <w:left w:w="86" w:type="dxa"/>
              <w:bottom w:w="43" w:type="dxa"/>
              <w:right w:w="86" w:type="dxa"/>
            </w:tcMar>
          </w:tcPr>
          <w:p w14:paraId="4A2648DE" w14:textId="77777777" w:rsidR="00056E9C" w:rsidRPr="005D4222" w:rsidRDefault="00056E9C" w:rsidP="00056E9C">
            <w:pPr>
              <w:tabs>
                <w:tab w:val="left" w:pos="1368"/>
              </w:tabs>
              <w:spacing w:before="60" w:after="80"/>
              <w:ind w:left="1080" w:hanging="288"/>
              <w:rPr>
                <w:rFonts w:cs="Arial"/>
                <w:bCs/>
                <w:szCs w:val="26"/>
              </w:rPr>
            </w:pPr>
            <w:r w:rsidRPr="005D4222">
              <w:rPr>
                <w:rFonts w:cs="Arial"/>
                <w:bCs/>
                <w:szCs w:val="26"/>
              </w:rPr>
              <w:t>2.</w:t>
            </w:r>
            <w:r w:rsidRPr="005D4222">
              <w:rPr>
                <w:rFonts w:cs="Arial"/>
                <w:bCs/>
                <w:szCs w:val="26"/>
              </w:rPr>
              <w:tab/>
              <w:t>Identify the discharge date for the stay.</w:t>
            </w:r>
          </w:p>
          <w:p w14:paraId="75867129" w14:textId="77777777" w:rsidR="003666DA" w:rsidRPr="005D4222" w:rsidRDefault="003666DA" w:rsidP="00056E9C">
            <w:pPr>
              <w:tabs>
                <w:tab w:val="left" w:pos="1368"/>
              </w:tabs>
              <w:spacing w:before="120"/>
              <w:rPr>
                <w:rFonts w:eastAsia="Arial,Arial,Arial,Arial,Arial,A" w:cs="Arial"/>
                <w:b/>
                <w:bCs/>
                <w:szCs w:val="26"/>
              </w:rPr>
            </w:pPr>
            <w:r w:rsidRPr="005D4222">
              <w:rPr>
                <w:rFonts w:eastAsia="Arial,Arial,Arial,Arial,Arial,A" w:cs="Arial"/>
                <w:b/>
                <w:bCs/>
                <w:szCs w:val="26"/>
              </w:rPr>
              <w:t>Coding Guidance</w:t>
            </w:r>
          </w:p>
          <w:p w14:paraId="41B0231D" w14:textId="77777777" w:rsidR="003666DA" w:rsidRPr="005D4222" w:rsidDel="00AA4A01" w:rsidRDefault="003666DA" w:rsidP="00056E9C">
            <w:pPr>
              <w:tabs>
                <w:tab w:val="left" w:pos="1368"/>
              </w:tabs>
              <w:spacing w:after="80"/>
              <w:rPr>
                <w:rFonts w:cs="Arial"/>
                <w:b/>
                <w:bCs/>
                <w:szCs w:val="26"/>
              </w:rPr>
            </w:pPr>
            <w:r w:rsidRPr="005D4222">
              <w:rPr>
                <w:rFonts w:eastAsia="Arial,Arial,Arial,Arial,Arial,A" w:cs="Arial"/>
                <w:b/>
                <w:bCs/>
                <w:szCs w:val="26"/>
              </w:rPr>
              <w:t>*</w:t>
            </w:r>
            <w:r w:rsidRPr="005D4222">
              <w:rPr>
                <w:rFonts w:eastAsia="Arial,Arial,Arial,Arial,Arial,A"/>
                <w:bCs/>
                <w:kern w:val="24"/>
              </w:rPr>
              <w:t>Do not include laboratory claims (claims with POS code 81).</w:t>
            </w:r>
          </w:p>
        </w:tc>
      </w:tr>
      <w:tr w:rsidR="003666DA" w:rsidRPr="005D4222" w14:paraId="22995284"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4CF7D3E" w14:textId="77777777" w:rsidR="003666DA" w:rsidRPr="005D4222" w:rsidRDefault="003666DA" w:rsidP="00D55B75">
            <w:pPr>
              <w:pStyle w:val="ECDSMarginHead"/>
            </w:pPr>
            <w:r w:rsidRPr="005D4222">
              <w:t>Denominator</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7047F6E" w14:textId="77777777" w:rsidR="003666DA" w:rsidRPr="005D4222" w:rsidRDefault="003666DA" w:rsidP="00056E9C">
            <w:pPr>
              <w:pStyle w:val="ECDSBody"/>
              <w:rPr>
                <w:b/>
                <w:i/>
              </w:rPr>
            </w:pPr>
            <w:r w:rsidRPr="005D4222">
              <w:rPr>
                <w:rFonts w:eastAsia="Arial,Arial,Arial,Arial,Arial,A"/>
              </w:rPr>
              <w:t>The initial population minus denominator exclusions.</w:t>
            </w:r>
          </w:p>
        </w:tc>
      </w:tr>
      <w:tr w:rsidR="003666DA" w:rsidRPr="005D4222" w14:paraId="02FF1868"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EFF443A" w14:textId="77777777" w:rsidR="003666DA" w:rsidRPr="005D4222" w:rsidRDefault="003666DA" w:rsidP="00D55B75">
            <w:pPr>
              <w:pStyle w:val="ECDSMarginHead"/>
            </w:pPr>
            <w:r w:rsidRPr="005D4222">
              <w:t>Numerators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1E960B4" w14:textId="77777777" w:rsidR="003666DA" w:rsidRPr="005D4222" w:rsidRDefault="003666DA" w:rsidP="00056E9C">
            <w:pPr>
              <w:pStyle w:val="ECDSBody"/>
              <w:rPr>
                <w:rFonts w:eastAsia="Arial,Arial,Arial,Arial,Arial,A"/>
              </w:rPr>
            </w:pPr>
            <w:r w:rsidRPr="005D4222">
              <w:rPr>
                <w:b/>
              </w:rPr>
              <w:t>Numerator 1: Initiation</w:t>
            </w:r>
            <w:r w:rsidRPr="005D4222">
              <w:rPr>
                <w:b/>
                <w:i/>
                <w:iCs/>
              </w:rPr>
              <w:t>.</w:t>
            </w:r>
            <w:r w:rsidRPr="005D4222">
              <w:rPr>
                <w:b/>
                <w:i/>
                <w:iCs/>
              </w:rPr>
              <w:br/>
            </w:r>
            <w:r w:rsidRPr="005D4222">
              <w:t>At least 2 sessions of cardiac rehabilitation (</w:t>
            </w:r>
            <w:r w:rsidRPr="005D4222">
              <w:rPr>
                <w:u w:val="single"/>
              </w:rPr>
              <w:t>Cardiac Rehabilitation Value Set</w:t>
            </w:r>
            <w:r w:rsidRPr="005D4222">
              <w:t xml:space="preserve">) </w:t>
            </w:r>
            <w:r w:rsidRPr="005D4222">
              <w:rPr>
                <w:rFonts w:eastAsia="Arial,Arial,Arial,Arial,Arial,A"/>
              </w:rPr>
              <w:t>on the episode date through 30 days after the episode date (31 total days) (on the same or different dates of service).</w:t>
            </w:r>
          </w:p>
          <w:p w14:paraId="012FA825" w14:textId="77777777" w:rsidR="003666DA" w:rsidRPr="005D4222" w:rsidRDefault="003666DA" w:rsidP="00056E9C">
            <w:pPr>
              <w:pStyle w:val="ECDSBody"/>
              <w:rPr>
                <w:rFonts w:eastAsia="Arial,Arial,Arial,Arial,Arial,A"/>
              </w:rPr>
            </w:pPr>
            <w:r w:rsidRPr="005D4222">
              <w:rPr>
                <w:b/>
              </w:rPr>
              <w:t xml:space="preserve">Numerator 2: Engagement 1. </w:t>
            </w:r>
            <w:r w:rsidRPr="005D4222">
              <w:rPr>
                <w:b/>
              </w:rPr>
              <w:br/>
            </w:r>
            <w:r w:rsidRPr="005D4222">
              <w:t>At least 12 sessions of cardiac rehabilitation (</w:t>
            </w:r>
            <w:r w:rsidRPr="005D4222">
              <w:rPr>
                <w:u w:val="single"/>
              </w:rPr>
              <w:t>Cardiac Rehabilitation Value Set</w:t>
            </w:r>
            <w:r w:rsidRPr="005D4222">
              <w:t xml:space="preserve">) </w:t>
            </w:r>
            <w:r w:rsidRPr="005D4222">
              <w:rPr>
                <w:rFonts w:eastAsia="Arial,Arial,Arial,Arial,Arial,A"/>
              </w:rPr>
              <w:t>on the episode date through 90 days after the episode date (91 total days) (on the same or different dates of service).</w:t>
            </w:r>
          </w:p>
          <w:p w14:paraId="1C524340" w14:textId="77777777" w:rsidR="003666DA" w:rsidRPr="005D4222" w:rsidRDefault="003666DA" w:rsidP="00056E9C">
            <w:pPr>
              <w:pStyle w:val="ECDSBody"/>
              <w:rPr>
                <w:rFonts w:eastAsia="Arial,Arial,Arial,Arial,Arial,A"/>
              </w:rPr>
            </w:pPr>
            <w:r w:rsidRPr="005D4222">
              <w:rPr>
                <w:b/>
              </w:rPr>
              <w:t>Numerator 3: Engagement 2</w:t>
            </w:r>
            <w:r w:rsidRPr="005D4222">
              <w:rPr>
                <w:b/>
                <w:i/>
                <w:iCs/>
              </w:rPr>
              <w:t>.</w:t>
            </w:r>
            <w:r w:rsidRPr="005D4222">
              <w:rPr>
                <w:b/>
              </w:rPr>
              <w:t xml:space="preserve"> </w:t>
            </w:r>
            <w:r w:rsidRPr="005D4222">
              <w:rPr>
                <w:b/>
              </w:rPr>
              <w:br/>
            </w:r>
            <w:r w:rsidRPr="005D4222">
              <w:t xml:space="preserve">At least 24 </w:t>
            </w:r>
            <w:r w:rsidRPr="005D4222">
              <w:rPr>
                <w:rFonts w:eastAsia="Arial,Arial,Arial,Arial,Arial,A"/>
              </w:rPr>
              <w:t xml:space="preserve">sessions </w:t>
            </w:r>
            <w:r w:rsidRPr="005D4222">
              <w:t>of cardiac rehabilitation (</w:t>
            </w:r>
            <w:r w:rsidRPr="005D4222">
              <w:rPr>
                <w:u w:val="single"/>
              </w:rPr>
              <w:t>Cardiac Rehabilitation Value Set</w:t>
            </w:r>
            <w:r w:rsidRPr="005D4222">
              <w:t xml:space="preserve">) </w:t>
            </w:r>
            <w:r w:rsidRPr="005D4222">
              <w:rPr>
                <w:rFonts w:eastAsia="Arial,Arial,Arial,Arial,Arial,A"/>
              </w:rPr>
              <w:t>on the episode date through 180 days after the episode date (181 total days) (on the same or different dates of service).</w:t>
            </w:r>
          </w:p>
          <w:p w14:paraId="1AEA9D62" w14:textId="77777777" w:rsidR="003666DA" w:rsidRPr="005D4222" w:rsidRDefault="003666DA" w:rsidP="00056E9C">
            <w:pPr>
              <w:pStyle w:val="ECDSBody"/>
              <w:rPr>
                <w:rFonts w:eastAsia="Arial,Arial,Arial,Arial,Arial,A"/>
              </w:rPr>
            </w:pPr>
            <w:r w:rsidRPr="005D4222">
              <w:rPr>
                <w:b/>
              </w:rPr>
              <w:t xml:space="preserve">Numerator 4: Achievement. </w:t>
            </w:r>
            <w:r w:rsidRPr="005D4222">
              <w:rPr>
                <w:b/>
              </w:rPr>
              <w:br/>
            </w:r>
            <w:r w:rsidRPr="005D4222">
              <w:rPr>
                <w:rFonts w:eastAsia="Arial,Arial,Arial,Arial,Arial,A"/>
              </w:rPr>
              <w:t>At least 36 sessions of</w:t>
            </w:r>
            <w:r w:rsidRPr="005D4222">
              <w:t xml:space="preserve"> cardiac rehabilitation (</w:t>
            </w:r>
            <w:r w:rsidRPr="005D4222">
              <w:rPr>
                <w:u w:val="single"/>
              </w:rPr>
              <w:t>Cardiac Rehabilitation Value Set</w:t>
            </w:r>
            <w:r w:rsidRPr="005D4222">
              <w:t xml:space="preserve">) </w:t>
            </w:r>
            <w:r w:rsidRPr="005D4222">
              <w:rPr>
                <w:rFonts w:eastAsia="Arial,Arial,Arial,Arial,Arial,A"/>
              </w:rPr>
              <w:t>sessions on the episode date through 180 days after the episode date (181 total days) (on the same or different dates of service).</w:t>
            </w:r>
          </w:p>
          <w:p w14:paraId="35A4813F" w14:textId="77777777" w:rsidR="003666DA" w:rsidRPr="005D4222" w:rsidRDefault="003666DA" w:rsidP="00056E9C">
            <w:pPr>
              <w:pStyle w:val="Note"/>
              <w:spacing w:after="80"/>
              <w:rPr>
                <w:rFonts w:eastAsia="Arial,Arial,Arial,Arial,Arial,A"/>
                <w:color w:val="000000" w:themeColor="text1"/>
                <w:highlight w:val="yellow"/>
              </w:rPr>
            </w:pPr>
            <w:r w:rsidRPr="005D4222">
              <w:rPr>
                <w:b/>
                <w:bCs/>
              </w:rPr>
              <w:t>Note:</w:t>
            </w:r>
            <w:r w:rsidRPr="005D4222">
              <w:t xml:space="preserve"> Count multiple cardiac rehabilitation sessions on the same date of service as multiple sessions. For example, if a person has two different codes for cardiac rehabilitation on the same date of service (or one code billed as two units), count this as two sessions of cardiac rehabilitation.</w:t>
            </w:r>
          </w:p>
        </w:tc>
      </w:tr>
      <w:tr w:rsidR="003666DA" w:rsidRPr="005D4222" w14:paraId="072D8CB8"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F5806BB" w14:textId="77777777" w:rsidR="003666DA" w:rsidRPr="005D4222" w:rsidRDefault="003666DA" w:rsidP="00D55B75">
            <w:pPr>
              <w:pStyle w:val="ECDSMarginHead"/>
            </w:pPr>
            <w:r w:rsidRPr="005D4222">
              <w:t>Summary of changes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F06E936" w14:textId="77777777" w:rsidR="003666DA" w:rsidRPr="005D4222" w:rsidRDefault="003666DA" w:rsidP="00056E9C">
            <w:pPr>
              <w:pStyle w:val="ProcessBullet"/>
              <w:spacing w:before="120"/>
            </w:pPr>
            <w:r w:rsidRPr="005D4222">
              <w:rPr>
                <w:lang w:eastAsia="zh-CN"/>
              </w:rPr>
              <w:t xml:space="preserve">Moved the definition of “direct transfer” from the initial population to the </w:t>
            </w:r>
            <w:r w:rsidRPr="005D4222">
              <w:rPr>
                <w:i/>
                <w:iCs/>
                <w:lang w:eastAsia="zh-CN"/>
              </w:rPr>
              <w:t>Definitions</w:t>
            </w:r>
            <w:r w:rsidRPr="005D4222">
              <w:rPr>
                <w:lang w:eastAsia="zh-CN"/>
              </w:rPr>
              <w:t xml:space="preserve"> section.</w:t>
            </w:r>
          </w:p>
        </w:tc>
      </w:tr>
      <w:tr w:rsidR="003666DA" w:rsidRPr="005D4222" w14:paraId="4F0A0637"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97C28FC" w14:textId="77777777" w:rsidR="003666DA" w:rsidRPr="005D4222" w:rsidRDefault="003666DA" w:rsidP="00D55B75">
            <w:pPr>
              <w:pStyle w:val="ECDSMarginHead"/>
            </w:pPr>
            <w:r w:rsidRPr="005D4222">
              <w:t>Data element tables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B3D49F4" w14:textId="77777777" w:rsidR="003666DA" w:rsidRPr="005D4222" w:rsidRDefault="003666DA" w:rsidP="002A0337">
            <w:pPr>
              <w:pStyle w:val="ECDSBody"/>
              <w:rPr>
                <w:sz w:val="24"/>
              </w:rPr>
            </w:pPr>
            <w:r w:rsidRPr="005D4222">
              <w:t>Organizations that submit HEDIS data to NCQA must provide the following data elements</w:t>
            </w:r>
            <w:r w:rsidRPr="005D4222">
              <w:rPr>
                <w:sz w:val="24"/>
              </w:rPr>
              <w:t>.</w:t>
            </w:r>
          </w:p>
          <w:p w14:paraId="694AD999" w14:textId="77777777" w:rsidR="003666DA" w:rsidRPr="005D4222" w:rsidRDefault="003666DA" w:rsidP="002A0337">
            <w:pPr>
              <w:pStyle w:val="Heading3"/>
              <w:spacing w:before="120"/>
            </w:pPr>
            <w:r w:rsidRPr="005D4222">
              <w:t>Table CRE-1/2/3: Data Elements for Cardiac Rehabilitation</w:t>
            </w:r>
          </w:p>
          <w:tbl>
            <w:tblPr>
              <w:tblW w:w="73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58"/>
              <w:gridCol w:w="888"/>
              <w:gridCol w:w="2340"/>
              <w:gridCol w:w="2754"/>
            </w:tblGrid>
            <w:tr w:rsidR="003666DA" w:rsidRPr="005D4222" w14:paraId="39D61716" w14:textId="77777777">
              <w:tc>
                <w:tcPr>
                  <w:tcW w:w="1358"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tcPr>
                <w:p w14:paraId="778AB91E" w14:textId="77777777" w:rsidR="003666DA" w:rsidRPr="005D4222" w:rsidRDefault="003666DA" w:rsidP="002A0337">
                  <w:pPr>
                    <w:pStyle w:val="TableHead"/>
                  </w:pPr>
                  <w:r w:rsidRPr="005D4222">
                    <w:t>Metric</w:t>
                  </w:r>
                </w:p>
              </w:tc>
              <w:tc>
                <w:tcPr>
                  <w:tcW w:w="888"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Pr>
                <w:p w14:paraId="1FEC9B60" w14:textId="77777777" w:rsidR="003666DA" w:rsidRPr="005D4222" w:rsidRDefault="003666DA" w:rsidP="002A0337">
                  <w:pPr>
                    <w:pStyle w:val="TableHead"/>
                  </w:pPr>
                  <w:r w:rsidRPr="005D4222">
                    <w:t>Age</w:t>
                  </w:r>
                </w:p>
              </w:tc>
              <w:tc>
                <w:tcPr>
                  <w:tcW w:w="234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Pr>
                <w:p w14:paraId="531185DE" w14:textId="77777777" w:rsidR="003666DA" w:rsidRPr="005D4222" w:rsidRDefault="003666DA" w:rsidP="002A0337">
                  <w:pPr>
                    <w:pStyle w:val="TableHead"/>
                  </w:pPr>
                  <w:r w:rsidRPr="005D4222">
                    <w:t>Data Element</w:t>
                  </w:r>
                </w:p>
              </w:tc>
              <w:tc>
                <w:tcPr>
                  <w:tcW w:w="2754"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tcPr>
                <w:p w14:paraId="6249873D" w14:textId="77777777" w:rsidR="003666DA" w:rsidRPr="005D4222" w:rsidRDefault="003666DA" w:rsidP="002A0337">
                  <w:pPr>
                    <w:pStyle w:val="TableHead"/>
                  </w:pPr>
                  <w:r w:rsidRPr="005D4222">
                    <w:t>Reporting Instructions</w:t>
                  </w:r>
                </w:p>
              </w:tc>
            </w:tr>
            <w:tr w:rsidR="003666DA" w:rsidRPr="005D4222" w14:paraId="60376C6A" w14:textId="77777777">
              <w:tc>
                <w:tcPr>
                  <w:tcW w:w="1358" w:type="dxa"/>
                  <w:tcBorders>
                    <w:top w:val="single" w:sz="4" w:space="0" w:color="000000" w:themeColor="text1"/>
                    <w:left w:val="single" w:sz="4" w:space="0" w:color="auto"/>
                    <w:bottom w:val="single" w:sz="4" w:space="0" w:color="auto"/>
                    <w:right w:val="single" w:sz="4" w:space="0" w:color="auto"/>
                  </w:tcBorders>
                </w:tcPr>
                <w:p w14:paraId="65407E5B" w14:textId="77777777" w:rsidR="003666DA" w:rsidRPr="005D4222" w:rsidRDefault="003666DA" w:rsidP="002A0337">
                  <w:pPr>
                    <w:pStyle w:val="TableText"/>
                  </w:pPr>
                  <w:r w:rsidRPr="005D4222">
                    <w:t>Initiation</w:t>
                  </w:r>
                </w:p>
              </w:tc>
              <w:tc>
                <w:tcPr>
                  <w:tcW w:w="888" w:type="dxa"/>
                  <w:tcBorders>
                    <w:top w:val="single" w:sz="4" w:space="0" w:color="000000" w:themeColor="text1"/>
                    <w:left w:val="single" w:sz="4" w:space="0" w:color="auto"/>
                    <w:bottom w:val="single" w:sz="4" w:space="0" w:color="auto"/>
                    <w:right w:val="single" w:sz="4" w:space="0" w:color="auto"/>
                  </w:tcBorders>
                </w:tcPr>
                <w:p w14:paraId="763C6151" w14:textId="77777777" w:rsidR="003666DA" w:rsidRPr="005D4222" w:rsidRDefault="003666DA" w:rsidP="002A0337">
                  <w:pPr>
                    <w:pStyle w:val="TableText"/>
                  </w:pPr>
                  <w:r w:rsidRPr="005D4222">
                    <w:t>18-64</w:t>
                  </w:r>
                </w:p>
              </w:tc>
              <w:tc>
                <w:tcPr>
                  <w:tcW w:w="2340" w:type="dxa"/>
                  <w:tcBorders>
                    <w:top w:val="single" w:sz="4" w:space="0" w:color="000000" w:themeColor="text1"/>
                    <w:left w:val="single" w:sz="4" w:space="0" w:color="auto"/>
                    <w:bottom w:val="single" w:sz="4" w:space="0" w:color="auto"/>
                    <w:right w:val="single" w:sz="4" w:space="0" w:color="auto"/>
                  </w:tcBorders>
                </w:tcPr>
                <w:p w14:paraId="056E4EB9" w14:textId="77777777" w:rsidR="003666DA" w:rsidRPr="005D4222" w:rsidRDefault="003666DA" w:rsidP="002A0337">
                  <w:pPr>
                    <w:pStyle w:val="TableText"/>
                  </w:pPr>
                  <w:r w:rsidRPr="005D4222">
                    <w:t xml:space="preserve">InitialPopulation </w:t>
                  </w:r>
                </w:p>
              </w:tc>
              <w:tc>
                <w:tcPr>
                  <w:tcW w:w="2754" w:type="dxa"/>
                  <w:tcBorders>
                    <w:top w:val="single" w:sz="4" w:space="0" w:color="000000" w:themeColor="text1"/>
                    <w:left w:val="single" w:sz="4" w:space="0" w:color="auto"/>
                    <w:bottom w:val="single" w:sz="6" w:space="0" w:color="auto"/>
                    <w:right w:val="single" w:sz="4" w:space="0" w:color="auto"/>
                  </w:tcBorders>
                </w:tcPr>
                <w:p w14:paraId="73CED111" w14:textId="77777777" w:rsidR="003666DA" w:rsidRPr="005D4222" w:rsidRDefault="003666DA" w:rsidP="002A0337">
                  <w:pPr>
                    <w:pStyle w:val="TableText"/>
                    <w:rPr>
                      <w:rFonts w:eastAsia="Wingdings"/>
                    </w:rPr>
                  </w:pPr>
                  <w:r w:rsidRPr="005D4222">
                    <w:rPr>
                      <w:rFonts w:eastAsia="Wingdings"/>
                    </w:rPr>
                    <w:t>For each Stratification, repeat per Metric</w:t>
                  </w:r>
                </w:p>
              </w:tc>
            </w:tr>
            <w:tr w:rsidR="003666DA" w:rsidRPr="005D4222" w14:paraId="6EEF07BA" w14:textId="77777777">
              <w:tc>
                <w:tcPr>
                  <w:tcW w:w="1358" w:type="dxa"/>
                  <w:tcBorders>
                    <w:top w:val="single" w:sz="4" w:space="0" w:color="auto"/>
                    <w:left w:val="single" w:sz="4" w:space="0" w:color="auto"/>
                    <w:bottom w:val="single" w:sz="4" w:space="0" w:color="auto"/>
                    <w:right w:val="single" w:sz="4" w:space="0" w:color="auto"/>
                  </w:tcBorders>
                  <w:shd w:val="clear" w:color="auto" w:fill="FFFFFF" w:themeFill="background1"/>
                </w:tcPr>
                <w:p w14:paraId="4947066F" w14:textId="77777777" w:rsidR="003666DA" w:rsidRPr="005D4222" w:rsidRDefault="003666DA" w:rsidP="002A0337">
                  <w:pPr>
                    <w:pStyle w:val="TableText"/>
                  </w:pPr>
                  <w:r w:rsidRPr="005D4222">
                    <w:t>Engagement1</w:t>
                  </w:r>
                </w:p>
              </w:tc>
              <w:tc>
                <w:tcPr>
                  <w:tcW w:w="888" w:type="dxa"/>
                  <w:tcBorders>
                    <w:top w:val="single" w:sz="4" w:space="0" w:color="auto"/>
                    <w:left w:val="single" w:sz="4" w:space="0" w:color="auto"/>
                    <w:bottom w:val="single" w:sz="4" w:space="0" w:color="auto"/>
                    <w:right w:val="single" w:sz="4" w:space="0" w:color="auto"/>
                  </w:tcBorders>
                  <w:shd w:val="clear" w:color="auto" w:fill="FFFFFF" w:themeFill="background1"/>
                </w:tcPr>
                <w:p w14:paraId="44CEA7B1" w14:textId="77777777" w:rsidR="003666DA" w:rsidRPr="005D4222" w:rsidRDefault="003666DA" w:rsidP="002A0337">
                  <w:pPr>
                    <w:pStyle w:val="TableText"/>
                  </w:pPr>
                  <w:r w:rsidRPr="005D4222">
                    <w:t>65+</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Pr>
                <w:p w14:paraId="47040333" w14:textId="77777777" w:rsidR="003666DA" w:rsidRPr="005D4222" w:rsidRDefault="003666DA" w:rsidP="002A0337">
                  <w:pPr>
                    <w:pStyle w:val="TableText"/>
                  </w:pPr>
                  <w:r w:rsidRPr="005D4222">
                    <w:t>Exclusions</w:t>
                  </w:r>
                </w:p>
              </w:tc>
              <w:tc>
                <w:tcPr>
                  <w:tcW w:w="2754" w:type="dxa"/>
                  <w:tcBorders>
                    <w:left w:val="single" w:sz="4" w:space="0" w:color="auto"/>
                    <w:right w:val="single" w:sz="4" w:space="0" w:color="auto"/>
                  </w:tcBorders>
                  <w:shd w:val="clear" w:color="auto" w:fill="FFFFFF" w:themeFill="background1"/>
                </w:tcPr>
                <w:p w14:paraId="7FFB8374" w14:textId="77777777" w:rsidR="003666DA" w:rsidRPr="005D4222" w:rsidRDefault="003666DA" w:rsidP="002A0337">
                  <w:pPr>
                    <w:pStyle w:val="TableText"/>
                    <w:rPr>
                      <w:rFonts w:eastAsia="Wingdings"/>
                    </w:rPr>
                  </w:pPr>
                  <w:r w:rsidRPr="005D4222">
                    <w:rPr>
                      <w:rFonts w:eastAsia="Wingdings"/>
                    </w:rPr>
                    <w:t>For each Stratification, repeat per Metric</w:t>
                  </w:r>
                </w:p>
              </w:tc>
            </w:tr>
            <w:tr w:rsidR="003666DA" w:rsidRPr="005D4222" w14:paraId="3824C115" w14:textId="77777777">
              <w:tc>
                <w:tcPr>
                  <w:tcW w:w="1358" w:type="dxa"/>
                  <w:tcBorders>
                    <w:top w:val="single" w:sz="4" w:space="0" w:color="auto"/>
                    <w:left w:val="single" w:sz="4" w:space="0" w:color="auto"/>
                    <w:bottom w:val="single" w:sz="4" w:space="0" w:color="auto"/>
                    <w:right w:val="single" w:sz="4" w:space="0" w:color="auto"/>
                  </w:tcBorders>
                  <w:shd w:val="clear" w:color="auto" w:fill="FFFFFF" w:themeFill="background1"/>
                </w:tcPr>
                <w:p w14:paraId="63085DE2" w14:textId="77777777" w:rsidR="003666DA" w:rsidRPr="005D4222" w:rsidRDefault="003666DA" w:rsidP="002A0337">
                  <w:pPr>
                    <w:pStyle w:val="TableText"/>
                  </w:pPr>
                  <w:r w:rsidRPr="005D4222">
                    <w:t>Engagement2</w:t>
                  </w:r>
                </w:p>
              </w:tc>
              <w:tc>
                <w:tcPr>
                  <w:tcW w:w="88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30695EB" w14:textId="77777777" w:rsidR="003666DA" w:rsidRPr="005D4222" w:rsidRDefault="003666DA" w:rsidP="002A0337">
                  <w:pPr>
                    <w:pStyle w:val="TableText"/>
                  </w:pPr>
                  <w:r w:rsidRPr="005D4222">
                    <w:t>Total</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Pr>
                <w:p w14:paraId="3EB24B03" w14:textId="77777777" w:rsidR="003666DA" w:rsidRPr="005D4222" w:rsidRDefault="003666DA" w:rsidP="002A0337">
                  <w:pPr>
                    <w:pStyle w:val="TableText"/>
                  </w:pPr>
                  <w:r w:rsidRPr="005D4222">
                    <w:t>Denominator</w:t>
                  </w:r>
                </w:p>
              </w:tc>
              <w:tc>
                <w:tcPr>
                  <w:tcW w:w="2754" w:type="dxa"/>
                  <w:tcBorders>
                    <w:left w:val="single" w:sz="4" w:space="0" w:color="auto"/>
                    <w:right w:val="single" w:sz="4" w:space="0" w:color="auto"/>
                  </w:tcBorders>
                  <w:shd w:val="clear" w:color="auto" w:fill="FFFFFF" w:themeFill="background1"/>
                </w:tcPr>
                <w:p w14:paraId="58F4887B" w14:textId="77777777" w:rsidR="003666DA" w:rsidRPr="005D4222" w:rsidRDefault="003666DA" w:rsidP="002A0337">
                  <w:pPr>
                    <w:pStyle w:val="TableText"/>
                    <w:rPr>
                      <w:rFonts w:eastAsia="Wingdings"/>
                    </w:rPr>
                  </w:pPr>
                  <w:r w:rsidRPr="005D4222">
                    <w:rPr>
                      <w:rFonts w:eastAsia="Wingdings"/>
                    </w:rPr>
                    <w:t>For each Stratification, repeat per Metric</w:t>
                  </w:r>
                </w:p>
              </w:tc>
            </w:tr>
            <w:tr w:rsidR="003666DA" w:rsidRPr="005D4222" w14:paraId="26DE5F2A" w14:textId="77777777">
              <w:tc>
                <w:tcPr>
                  <w:tcW w:w="1358" w:type="dxa"/>
                  <w:tcBorders>
                    <w:top w:val="single" w:sz="4" w:space="0" w:color="auto"/>
                    <w:left w:val="single" w:sz="4" w:space="0" w:color="auto"/>
                    <w:bottom w:val="single" w:sz="4" w:space="0" w:color="auto"/>
                    <w:right w:val="single" w:sz="4" w:space="0" w:color="auto"/>
                  </w:tcBorders>
                  <w:shd w:val="clear" w:color="auto" w:fill="FFFFFF" w:themeFill="background1"/>
                </w:tcPr>
                <w:p w14:paraId="751019C5" w14:textId="77777777" w:rsidR="003666DA" w:rsidRPr="005D4222" w:rsidRDefault="003666DA" w:rsidP="002A0337">
                  <w:pPr>
                    <w:pStyle w:val="TableText"/>
                  </w:pPr>
                  <w:r w:rsidRPr="005D4222">
                    <w:t>Achievement</w:t>
                  </w:r>
                </w:p>
              </w:tc>
              <w:tc>
                <w:tcPr>
                  <w:tcW w:w="888" w:type="dxa"/>
                  <w:tcBorders>
                    <w:top w:val="single" w:sz="4" w:space="0" w:color="auto"/>
                    <w:left w:val="single" w:sz="4" w:space="0" w:color="auto"/>
                    <w:bottom w:val="nil"/>
                    <w:right w:val="single" w:sz="4" w:space="0" w:color="auto"/>
                  </w:tcBorders>
                </w:tcPr>
                <w:p w14:paraId="05B97DED" w14:textId="77777777" w:rsidR="003666DA" w:rsidRPr="005D4222" w:rsidRDefault="003666DA" w:rsidP="002A0337">
                  <w:pPr>
                    <w:pStyle w:val="TableText"/>
                  </w:pP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Pr>
                <w:p w14:paraId="38209B2E" w14:textId="77777777" w:rsidR="003666DA" w:rsidRPr="005D4222" w:rsidRDefault="003666DA" w:rsidP="002A0337">
                  <w:pPr>
                    <w:pStyle w:val="TableText"/>
                  </w:pPr>
                  <w:r w:rsidRPr="005D4222">
                    <w:t>NumeratorByAdmin</w:t>
                  </w:r>
                </w:p>
              </w:tc>
              <w:tc>
                <w:tcPr>
                  <w:tcW w:w="2754" w:type="dxa"/>
                  <w:tcBorders>
                    <w:left w:val="single" w:sz="4" w:space="0" w:color="auto"/>
                    <w:right w:val="single" w:sz="4" w:space="0" w:color="auto"/>
                  </w:tcBorders>
                  <w:shd w:val="clear" w:color="auto" w:fill="FFFFFF" w:themeFill="background1"/>
                </w:tcPr>
                <w:p w14:paraId="55EE0262" w14:textId="77777777" w:rsidR="003666DA" w:rsidRPr="005D4222" w:rsidRDefault="003666DA" w:rsidP="002A0337">
                  <w:pPr>
                    <w:pStyle w:val="TableText"/>
                    <w:rPr>
                      <w:rFonts w:eastAsia="Wingdings"/>
                    </w:rPr>
                  </w:pPr>
                  <w:r w:rsidRPr="005D4222">
                    <w:rPr>
                      <w:rFonts w:eastAsia="Wingdings"/>
                    </w:rPr>
                    <w:t>For each Metric and Stratification</w:t>
                  </w:r>
                </w:p>
              </w:tc>
            </w:tr>
            <w:tr w:rsidR="003666DA" w:rsidRPr="005D4222" w14:paraId="3E421400" w14:textId="77777777">
              <w:tc>
                <w:tcPr>
                  <w:tcW w:w="1358" w:type="dxa"/>
                  <w:tcBorders>
                    <w:top w:val="single" w:sz="4" w:space="0" w:color="auto"/>
                    <w:left w:val="nil"/>
                    <w:bottom w:val="nil"/>
                    <w:right w:val="nil"/>
                  </w:tcBorders>
                  <w:shd w:val="clear" w:color="auto" w:fill="FFFFFF" w:themeFill="background1"/>
                </w:tcPr>
                <w:p w14:paraId="3BF5A7DF" w14:textId="77777777" w:rsidR="003666DA" w:rsidRPr="005D4222" w:rsidRDefault="003666DA" w:rsidP="002A0337">
                  <w:pPr>
                    <w:pStyle w:val="TableText"/>
                  </w:pPr>
                </w:p>
              </w:tc>
              <w:tc>
                <w:tcPr>
                  <w:tcW w:w="888" w:type="dxa"/>
                  <w:tcBorders>
                    <w:top w:val="nil"/>
                    <w:left w:val="nil"/>
                    <w:bottom w:val="nil"/>
                    <w:right w:val="single" w:sz="4" w:space="0" w:color="auto"/>
                  </w:tcBorders>
                </w:tcPr>
                <w:p w14:paraId="5A35F924" w14:textId="77777777" w:rsidR="003666DA" w:rsidRPr="005D4222" w:rsidRDefault="003666DA" w:rsidP="002A0337">
                  <w:pPr>
                    <w:pStyle w:val="TableText"/>
                  </w:pP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Pr>
                <w:p w14:paraId="63A3BFD4" w14:textId="77777777" w:rsidR="003666DA" w:rsidRPr="005D4222" w:rsidRDefault="003666DA" w:rsidP="002A0337">
                  <w:pPr>
                    <w:pStyle w:val="TableText"/>
                  </w:pPr>
                  <w:r w:rsidRPr="005D4222">
                    <w:t>NumeratorBySupplemental</w:t>
                  </w:r>
                </w:p>
              </w:tc>
              <w:tc>
                <w:tcPr>
                  <w:tcW w:w="2754" w:type="dxa"/>
                  <w:tcBorders>
                    <w:left w:val="single" w:sz="4" w:space="0" w:color="auto"/>
                    <w:right w:val="single" w:sz="4" w:space="0" w:color="auto"/>
                  </w:tcBorders>
                  <w:shd w:val="clear" w:color="auto" w:fill="FFFFFF" w:themeFill="background1"/>
                </w:tcPr>
                <w:p w14:paraId="1C031B7C" w14:textId="77777777" w:rsidR="003666DA" w:rsidRPr="005D4222" w:rsidRDefault="003666DA" w:rsidP="002A0337">
                  <w:pPr>
                    <w:pStyle w:val="TableText"/>
                    <w:rPr>
                      <w:rFonts w:eastAsia="Wingdings"/>
                    </w:rPr>
                  </w:pPr>
                  <w:r w:rsidRPr="005D4222">
                    <w:rPr>
                      <w:rFonts w:eastAsia="Wingdings"/>
                    </w:rPr>
                    <w:t>For each Metric and Stratification</w:t>
                  </w:r>
                </w:p>
              </w:tc>
            </w:tr>
            <w:tr w:rsidR="003666DA" w:rsidRPr="005D4222" w14:paraId="4222BB54" w14:textId="77777777">
              <w:tc>
                <w:tcPr>
                  <w:tcW w:w="1358" w:type="dxa"/>
                  <w:tcBorders>
                    <w:top w:val="nil"/>
                    <w:left w:val="nil"/>
                    <w:bottom w:val="nil"/>
                    <w:right w:val="nil"/>
                  </w:tcBorders>
                  <w:shd w:val="clear" w:color="auto" w:fill="FFFFFF" w:themeFill="background1"/>
                </w:tcPr>
                <w:p w14:paraId="0806276F" w14:textId="77777777" w:rsidR="003666DA" w:rsidRPr="005D4222" w:rsidRDefault="003666DA" w:rsidP="002A0337">
                  <w:pPr>
                    <w:pStyle w:val="TableText"/>
                  </w:pPr>
                </w:p>
              </w:tc>
              <w:tc>
                <w:tcPr>
                  <w:tcW w:w="888" w:type="dxa"/>
                  <w:tcBorders>
                    <w:top w:val="nil"/>
                    <w:left w:val="nil"/>
                    <w:bottom w:val="nil"/>
                    <w:right w:val="single" w:sz="4" w:space="0" w:color="auto"/>
                  </w:tcBorders>
                </w:tcPr>
                <w:p w14:paraId="6F238239" w14:textId="77777777" w:rsidR="003666DA" w:rsidRPr="005D4222" w:rsidRDefault="003666DA" w:rsidP="002A0337">
                  <w:pPr>
                    <w:pStyle w:val="TableText"/>
                  </w:pPr>
                </w:p>
              </w:tc>
              <w:tc>
                <w:tcPr>
                  <w:tcW w:w="23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047A7B0" w14:textId="77777777" w:rsidR="003666DA" w:rsidRPr="005D4222" w:rsidRDefault="003666DA" w:rsidP="002A0337">
                  <w:pPr>
                    <w:pStyle w:val="TableText"/>
                  </w:pPr>
                  <w:r w:rsidRPr="005D4222">
                    <w:t>Rate</w:t>
                  </w:r>
                </w:p>
              </w:tc>
              <w:tc>
                <w:tcPr>
                  <w:tcW w:w="2754" w:type="dxa"/>
                  <w:tcBorders>
                    <w:left w:val="single" w:sz="4" w:space="0" w:color="auto"/>
                    <w:right w:val="single" w:sz="4" w:space="0" w:color="auto"/>
                  </w:tcBorders>
                  <w:shd w:val="clear" w:color="auto" w:fill="D9D9D9" w:themeFill="background1" w:themeFillShade="D9"/>
                </w:tcPr>
                <w:p w14:paraId="17F8E2D5" w14:textId="77777777" w:rsidR="003666DA" w:rsidRPr="005D4222" w:rsidRDefault="003666DA" w:rsidP="002A0337">
                  <w:pPr>
                    <w:pStyle w:val="TableText"/>
                  </w:pPr>
                  <w:r w:rsidRPr="005D4222">
                    <w:t>(Percent)</w:t>
                  </w:r>
                </w:p>
              </w:tc>
            </w:tr>
          </w:tbl>
          <w:p w14:paraId="497956F6" w14:textId="77777777" w:rsidR="003666DA" w:rsidRPr="005D4222" w:rsidRDefault="003666DA" w:rsidP="003666DA">
            <w:pPr>
              <w:tabs>
                <w:tab w:val="left" w:pos="432"/>
              </w:tabs>
              <w:spacing w:before="40" w:after="40"/>
              <w:rPr>
                <w:color w:val="000000" w:themeColor="text1"/>
                <w:szCs w:val="21"/>
                <w:highlight w:val="yellow"/>
              </w:rPr>
            </w:pPr>
          </w:p>
        </w:tc>
      </w:tr>
    </w:tbl>
    <w:p w14:paraId="4E9D4691" w14:textId="77777777" w:rsidR="003666DA" w:rsidRPr="005D4222" w:rsidRDefault="003666DA" w:rsidP="003666DA">
      <w:pPr>
        <w:rPr>
          <w:szCs w:val="21"/>
        </w:rPr>
      </w:pPr>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3" w:type="dxa"/>
          <w:right w:w="86" w:type="dxa"/>
        </w:tblCellMar>
        <w:tblLook w:val="04A0" w:firstRow="1" w:lastRow="0" w:firstColumn="1" w:lastColumn="0" w:noHBand="0" w:noVBand="1"/>
      </w:tblPr>
      <w:tblGrid>
        <w:gridCol w:w="2157"/>
        <w:gridCol w:w="7560"/>
      </w:tblGrid>
      <w:tr w:rsidR="003666DA" w:rsidRPr="005D4222" w14:paraId="33ED5D4D"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2A919AC" w14:textId="77777777" w:rsidR="003666DA" w:rsidRPr="005D4222" w:rsidRDefault="003666DA" w:rsidP="00D55B75">
            <w:pPr>
              <w:pStyle w:val="ECDSMarginHead"/>
            </w:pPr>
            <w:r w:rsidRPr="005D4222">
              <w:lastRenderedPageBreak/>
              <w:t>Rules for Allowable Adjustments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C4A8BAA" w14:textId="77777777" w:rsidR="003666DA" w:rsidRPr="005D4222" w:rsidRDefault="003666DA" w:rsidP="002A0337">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42DCCABB" w14:textId="77777777" w:rsidR="003666DA" w:rsidRPr="005D4222" w:rsidRDefault="003666DA" w:rsidP="002A0337">
            <w:pPr>
              <w:pStyle w:val="ECDSBody"/>
              <w:rPr>
                <w:b/>
              </w:rPr>
            </w:pPr>
            <w:r w:rsidRPr="005D4222">
              <w:rPr>
                <w:b/>
              </w:rPr>
              <w:t>Adjusted HEDIS measures may not be used for HEDIS health plan reporting.</w:t>
            </w:r>
          </w:p>
          <w:p w14:paraId="2B5A4DD6" w14:textId="77777777" w:rsidR="003666DA" w:rsidRPr="005D4222" w:rsidRDefault="003666DA" w:rsidP="002A0337">
            <w:pPr>
              <w:pStyle w:val="Adjustments"/>
            </w:pPr>
            <w:r w:rsidRPr="005D4222">
              <w:t>Adjustments</w:t>
            </w:r>
            <w:r w:rsidRPr="005D4222">
              <w:rPr>
                <w:bCs/>
              </w:rPr>
              <w:t xml:space="preserve"> a</w:t>
            </w:r>
            <w:r w:rsidRPr="005D4222">
              <w:t>llowed</w:t>
            </w:r>
          </w:p>
          <w:p w14:paraId="4268E5C8" w14:textId="30ABD47C" w:rsidR="003666DA" w:rsidRPr="005D4222" w:rsidRDefault="003666DA" w:rsidP="00B71633">
            <w:pPr>
              <w:pStyle w:val="ProcessBullet"/>
            </w:pPr>
            <w:r w:rsidRPr="005D4222">
              <w:rPr>
                <w:i/>
              </w:rPr>
              <w:t>Product lines.</w:t>
            </w:r>
            <w:r w:rsidRPr="005D4222">
              <w:t xml:space="preserve"> Organizations are not required to use product line criteria; product lines may be combined</w:t>
            </w:r>
            <w:r w:rsidR="00E8671F" w:rsidRPr="005D4222">
              <w:t>,</w:t>
            </w:r>
            <w:r w:rsidRPr="005D4222">
              <w:t xml:space="preserve"> and all (or no) product line criteria may be used.</w:t>
            </w:r>
          </w:p>
          <w:p w14:paraId="4D43F7BB" w14:textId="77777777" w:rsidR="003666DA" w:rsidRPr="005D4222" w:rsidRDefault="003666DA" w:rsidP="00B71633">
            <w:pPr>
              <w:pStyle w:val="ProcessBullet"/>
            </w:pPr>
            <w:r w:rsidRPr="005D4222">
              <w:rPr>
                <w:i/>
              </w:rPr>
              <w:t>Attribution.</w:t>
            </w:r>
            <w:r w:rsidRPr="005D4222">
              <w:t xml:space="preserve"> Organizations are not required to use enrollment criteria. </w:t>
            </w:r>
          </w:p>
          <w:p w14:paraId="4383A51D" w14:textId="5590FA98" w:rsidR="003666DA" w:rsidRPr="005D4222" w:rsidRDefault="00362E76" w:rsidP="00B71633">
            <w:pPr>
              <w:pStyle w:val="ProcessBullet"/>
            </w:pPr>
            <w:r w:rsidRPr="005D4222">
              <w:rPr>
                <w:i/>
              </w:rPr>
              <w:t>Benefits.</w:t>
            </w:r>
            <w:r w:rsidR="003666DA" w:rsidRPr="005D4222">
              <w:t xml:space="preserve"> Organizations are not required to use a benefit.</w:t>
            </w:r>
          </w:p>
          <w:p w14:paraId="2C621DC2" w14:textId="322EF602" w:rsidR="003666DA" w:rsidRPr="005D4222" w:rsidRDefault="003666DA" w:rsidP="00B71633">
            <w:pPr>
              <w:pStyle w:val="ProcessBullet"/>
            </w:pPr>
            <w:r w:rsidRPr="005D4222">
              <w:rPr>
                <w:i/>
              </w:rPr>
              <w:t xml:space="preserve">Other. </w:t>
            </w:r>
            <w:r w:rsidRPr="005D4222">
              <w:t xml:space="preserve">Organizations may use additional initial population criteria to focus on an area of interest defined by gender, race, ethnicity, socioeconomic or sociodemographic </w:t>
            </w:r>
            <w:r w:rsidR="00F31C68" w:rsidRPr="005D4222">
              <w:t>characteristics</w:t>
            </w:r>
            <w:r w:rsidRPr="005D4222">
              <w:t>, geographic region or another characteristic.</w:t>
            </w:r>
          </w:p>
          <w:p w14:paraId="4B1C553F" w14:textId="52735CCD" w:rsidR="003666DA" w:rsidRPr="005D4222" w:rsidRDefault="003666DA" w:rsidP="00B71633">
            <w:pPr>
              <w:pStyle w:val="ProcessBullet"/>
            </w:pPr>
            <w:r w:rsidRPr="005D4222">
              <w:rPr>
                <w:i/>
              </w:rPr>
              <w:t>Exclusions</w:t>
            </w:r>
            <w:r w:rsidRPr="005D4222">
              <w:rPr>
                <w:i/>
                <w:iCs/>
              </w:rPr>
              <w:t>.</w:t>
            </w:r>
            <w:r w:rsidRPr="005D4222">
              <w:rPr>
                <w:i/>
              </w:rPr>
              <w:t xml:space="preserve"> </w:t>
            </w:r>
            <w:r w:rsidR="00DF34FD" w:rsidRPr="005D4222">
              <w:rPr>
                <w:iCs/>
              </w:rPr>
              <w:t>The h</w:t>
            </w:r>
            <w:r w:rsidRPr="005D4222">
              <w:t xml:space="preserve">ospice, deceased persons, palliative care, I-SNP, LTI, frailty and advanced illness exclusions are not required. </w:t>
            </w:r>
          </w:p>
          <w:p w14:paraId="18FF2D74" w14:textId="77777777" w:rsidR="003666DA" w:rsidRPr="005D4222" w:rsidRDefault="003666DA" w:rsidP="00B71633">
            <w:pPr>
              <w:pStyle w:val="ProcessBullet"/>
            </w:pPr>
            <w:r w:rsidRPr="005D4222">
              <w:rPr>
                <w:i/>
              </w:rPr>
              <w:t xml:space="preserve">Measurement </w:t>
            </w:r>
            <w:r w:rsidRPr="005D4222">
              <w:rPr>
                <w:i/>
                <w:iCs/>
              </w:rPr>
              <w:t>period a</w:t>
            </w:r>
            <w:r w:rsidRPr="005D4222">
              <w:rPr>
                <w:i/>
              </w:rPr>
              <w:t>djustments.</w:t>
            </w:r>
            <w:r w:rsidRPr="005D4222">
              <w:t xml:space="preserve"> Organizations may adjust the measurement period. </w:t>
            </w:r>
          </w:p>
          <w:p w14:paraId="107F6D45" w14:textId="00BEDC61" w:rsidR="003666DA" w:rsidRPr="005D4222" w:rsidRDefault="003666DA" w:rsidP="00B71633">
            <w:pPr>
              <w:pStyle w:val="ProcessBullet"/>
            </w:pPr>
            <w:r w:rsidRPr="005D4222">
              <w:rPr>
                <w:i/>
              </w:rPr>
              <w:t>Telehealth</w:t>
            </w:r>
            <w:r w:rsidRPr="005D4222">
              <w:rPr>
                <w:i/>
                <w:iCs/>
              </w:rPr>
              <w:t>.</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w:t>
            </w:r>
            <w:r w:rsidR="00F45777" w:rsidRPr="005D4222">
              <w:t>events</w:t>
            </w:r>
            <w:r w:rsidRPr="005D4222">
              <w:t>, numerators and exclusions that do not allow the use of telehealth.</w:t>
            </w:r>
          </w:p>
          <w:p w14:paraId="038FB767" w14:textId="77777777" w:rsidR="003666DA" w:rsidRPr="005D4222" w:rsidRDefault="003666DA" w:rsidP="00B71633">
            <w:pPr>
              <w:pStyle w:val="ProcessBullet"/>
            </w:pPr>
            <w:r w:rsidRPr="005D4222">
              <w:rPr>
                <w:i/>
              </w:rPr>
              <w:t xml:space="preserve">Supplemental </w:t>
            </w:r>
            <w:r w:rsidRPr="005D4222">
              <w:rPr>
                <w:i/>
                <w:iCs/>
              </w:rPr>
              <w:t>data.</w:t>
            </w:r>
            <w:r w:rsidRPr="005D4222">
              <w:t xml:space="preserve"> Supplemental data may be used to identify initial population, denominator, exclusion and numerator events.</w:t>
            </w:r>
          </w:p>
          <w:p w14:paraId="3B7B9AE6" w14:textId="77777777" w:rsidR="003666DA" w:rsidRPr="005D4222" w:rsidRDefault="003666DA" w:rsidP="002A0337">
            <w:pPr>
              <w:pStyle w:val="Adjustments"/>
            </w:pPr>
            <w:r w:rsidRPr="005D4222">
              <w:t xml:space="preserve">Adjustments </w:t>
            </w:r>
            <w:r w:rsidRPr="005D4222">
              <w:rPr>
                <w:bCs/>
              </w:rPr>
              <w:t>a</w:t>
            </w:r>
            <w:r w:rsidRPr="005D4222">
              <w:t xml:space="preserve">llowed with </w:t>
            </w:r>
            <w:r w:rsidRPr="005D4222">
              <w:rPr>
                <w:bCs/>
              </w:rPr>
              <w:t>l</w:t>
            </w:r>
            <w:r w:rsidRPr="005D4222">
              <w:t>imits</w:t>
            </w:r>
          </w:p>
          <w:p w14:paraId="0FF2310A" w14:textId="77777777" w:rsidR="003666DA" w:rsidRPr="005D4222" w:rsidRDefault="003666DA" w:rsidP="00B71633">
            <w:pPr>
              <w:pStyle w:val="ProcessBullet"/>
              <w:rPr>
                <w:b/>
                <w:bCs/>
                <w:color w:val="000000" w:themeColor="text1"/>
              </w:rPr>
            </w:pPr>
            <w:r w:rsidRPr="005D4222">
              <w:rPr>
                <w:i/>
              </w:rPr>
              <w:t>Ages.</w:t>
            </w:r>
            <w:r w:rsidRPr="005D4222">
              <w:t xml:space="preserve"> </w:t>
            </w:r>
            <w:r w:rsidRPr="005D4222">
              <w:rPr>
                <w:rFonts w:cs="Arial"/>
              </w:rPr>
              <w:t xml:space="preserve">Age determination dates may be changed (e.g., select, “age as of June 30”). </w:t>
            </w:r>
            <w:r w:rsidRPr="005D4222">
              <w:t xml:space="preserve">The denominator age may be changed if the range is within the specified age range (e.g., 18–30 years of age). </w:t>
            </w:r>
          </w:p>
          <w:p w14:paraId="59500B0C" w14:textId="77777777" w:rsidR="003666DA" w:rsidRPr="005D4222" w:rsidRDefault="003666DA" w:rsidP="002A0337">
            <w:pPr>
              <w:pStyle w:val="Adjustments"/>
            </w:pPr>
            <w:r w:rsidRPr="005D4222">
              <w:t xml:space="preserve">Adjustments </w:t>
            </w:r>
            <w:r w:rsidRPr="005D4222">
              <w:rPr>
                <w:bCs/>
              </w:rPr>
              <w:t>not allowed</w:t>
            </w:r>
          </w:p>
          <w:p w14:paraId="6EC4B0F6" w14:textId="77777777" w:rsidR="003666DA" w:rsidRPr="005D4222" w:rsidRDefault="003666DA" w:rsidP="00B71633">
            <w:pPr>
              <w:pStyle w:val="ProcessBullet"/>
            </w:pPr>
            <w:r w:rsidRPr="005D4222">
              <w:rPr>
                <w:i/>
              </w:rPr>
              <w:t>Initial population:</w:t>
            </w:r>
            <w:r w:rsidRPr="005D4222">
              <w:t xml:space="preserve"> Event. Only events that contain (or map to) codes in the value sets may be used to identify cardiac events. Value sets and logic may not be changed.</w:t>
            </w:r>
          </w:p>
          <w:p w14:paraId="0AC5B2E6" w14:textId="77777777" w:rsidR="003666DA" w:rsidRPr="005D4222" w:rsidRDefault="003666DA" w:rsidP="00B71633">
            <w:pPr>
              <w:pStyle w:val="ProcessBullet"/>
            </w:pPr>
            <w:r w:rsidRPr="005D4222">
              <w:rPr>
                <w:i/>
              </w:rPr>
              <w:t>Exclusions.</w:t>
            </w:r>
            <w:r w:rsidRPr="005D4222">
              <w:t xml:space="preserve"> The MI, CABG, heart/lung transplant, heart valve repair/ replacement and PCI exclusions must be applied. Value sets and logic may not be changed.</w:t>
            </w:r>
          </w:p>
          <w:p w14:paraId="5D6CD9D3" w14:textId="0138BE47" w:rsidR="003666DA" w:rsidRPr="005D4222" w:rsidRDefault="00DE550E" w:rsidP="00B71633">
            <w:pPr>
              <w:pStyle w:val="ProcessBullet"/>
              <w:spacing w:after="80"/>
              <w:rPr>
                <w:b/>
                <w:color w:val="000000" w:themeColor="text1"/>
              </w:rPr>
            </w:pPr>
            <w:r w:rsidRPr="005D4222">
              <w:rPr>
                <w:i/>
                <w:iCs/>
              </w:rPr>
              <w:t>Numerator.</w:t>
            </w:r>
            <w:r w:rsidR="003666DA" w:rsidRPr="005D4222">
              <w:t xml:space="preserve"> Value sets and logic may not be changed. </w:t>
            </w:r>
          </w:p>
        </w:tc>
      </w:tr>
    </w:tbl>
    <w:p w14:paraId="2676907F" w14:textId="77777777" w:rsidR="00284127" w:rsidRPr="005D4222" w:rsidRDefault="00284127" w:rsidP="003666DA">
      <w:pPr>
        <w:pStyle w:val="ECDSBody"/>
        <w:sectPr w:rsidR="00284127" w:rsidRPr="005D4222" w:rsidSect="0074514A">
          <w:headerReference w:type="default" r:id="rId100"/>
          <w:type w:val="nextColumn"/>
          <w:pgSz w:w="12240" w:h="15840" w:code="1"/>
          <w:pgMar w:top="1080" w:right="1080" w:bottom="1080" w:left="1440" w:header="720" w:footer="720" w:gutter="0"/>
          <w:cols w:space="720"/>
          <w:docGrid w:linePitch="360"/>
        </w:sectPr>
      </w:pPr>
    </w:p>
    <w:p w14:paraId="1CD05194" w14:textId="194566CF" w:rsidR="00483392" w:rsidRPr="005D4222" w:rsidRDefault="00BA4DD5" w:rsidP="00966DCB">
      <w:pPr>
        <w:pStyle w:val="BreakPage2"/>
        <w:rPr>
          <w:i w:val="0"/>
          <w:iCs w:val="0"/>
        </w:rPr>
      </w:pPr>
      <w:bookmarkStart w:id="285" w:name="_Toc201813399"/>
      <w:r w:rsidRPr="005D4222">
        <w:lastRenderedPageBreak/>
        <w:t>Diabetes</w:t>
      </w:r>
      <w:bookmarkEnd w:id="285"/>
    </w:p>
    <w:p w14:paraId="5C4804CF" w14:textId="77777777" w:rsidR="00BA4DD5" w:rsidRPr="005D4222" w:rsidRDefault="00BA4DD5" w:rsidP="00966DCB">
      <w:pPr>
        <w:pStyle w:val="BreakPage2"/>
        <w:sectPr w:rsidR="00BA4DD5" w:rsidRPr="005D4222" w:rsidSect="0074514A">
          <w:headerReference w:type="default" r:id="rId101"/>
          <w:footerReference w:type="default" r:id="rId102"/>
          <w:type w:val="nextColumn"/>
          <w:pgSz w:w="12240" w:h="15840" w:code="1"/>
          <w:pgMar w:top="1080" w:right="1080" w:bottom="1080" w:left="1440" w:header="720" w:footer="720" w:gutter="0"/>
          <w:cols w:space="720"/>
          <w:docGrid w:linePitch="360"/>
        </w:sectPr>
      </w:pPr>
    </w:p>
    <w:p w14:paraId="27E6CCB5" w14:textId="1A06A122" w:rsidR="00BA4DD5" w:rsidRPr="005D4222" w:rsidRDefault="00D0637E" w:rsidP="00D0637E">
      <w:pPr>
        <w:pStyle w:val="MeasureTitle"/>
      </w:pPr>
      <w:bookmarkStart w:id="286" w:name="_Toc201813400"/>
      <w:r w:rsidRPr="005D4222">
        <w:lastRenderedPageBreak/>
        <w:t>Glycemic Status Assessment for Patients With Diabetes</w:t>
      </w:r>
      <w:r w:rsidR="004C0737" w:rsidRPr="005D4222">
        <w:t xml:space="preserve"> (GSD)</w:t>
      </w:r>
      <w:bookmarkEnd w:id="286"/>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4950"/>
        <w:gridCol w:w="1440"/>
        <w:gridCol w:w="1170"/>
      </w:tblGrid>
      <w:tr w:rsidR="00C20666" w:rsidRPr="005D4222" w14:paraId="6B67E2EB" w14:textId="77777777">
        <w:tc>
          <w:tcPr>
            <w:tcW w:w="2157" w:type="dxa"/>
            <w:shd w:val="clear" w:color="auto" w:fill="BFBFBF" w:themeFill="background1" w:themeFillShade="BF"/>
            <w:tcMar>
              <w:top w:w="0" w:type="dxa"/>
              <w:left w:w="86" w:type="dxa"/>
              <w:bottom w:w="43" w:type="dxa"/>
              <w:right w:w="86" w:type="dxa"/>
            </w:tcMar>
            <w:hideMark/>
          </w:tcPr>
          <w:p w14:paraId="68830DC4" w14:textId="77777777" w:rsidR="00C20666" w:rsidRPr="005D4222" w:rsidRDefault="00C20666" w:rsidP="00C009F2">
            <w:pPr>
              <w:pStyle w:val="ECDSMarginHead"/>
            </w:pPr>
            <w:r w:rsidRPr="005D4222">
              <w:t>Measure title</w:t>
            </w:r>
          </w:p>
        </w:tc>
        <w:tc>
          <w:tcPr>
            <w:tcW w:w="4950" w:type="dxa"/>
            <w:tcMar>
              <w:top w:w="0" w:type="dxa"/>
              <w:left w:w="86" w:type="dxa"/>
              <w:bottom w:w="43" w:type="dxa"/>
              <w:right w:w="86" w:type="dxa"/>
            </w:tcMar>
          </w:tcPr>
          <w:p w14:paraId="06B3FFC2" w14:textId="77777777" w:rsidR="00C20666" w:rsidRPr="005D4222" w:rsidRDefault="00C20666" w:rsidP="009A77C1">
            <w:pPr>
              <w:pStyle w:val="ECDSBody"/>
            </w:pPr>
            <w:r w:rsidRPr="005D4222">
              <w:t xml:space="preserve">Glycemic Status Assessment for Patients With Diabetes </w:t>
            </w:r>
          </w:p>
        </w:tc>
        <w:tc>
          <w:tcPr>
            <w:tcW w:w="1440" w:type="dxa"/>
            <w:shd w:val="clear" w:color="auto" w:fill="BFBFBF" w:themeFill="background1" w:themeFillShade="BF"/>
            <w:tcMar>
              <w:top w:w="0" w:type="dxa"/>
              <w:left w:w="86" w:type="dxa"/>
              <w:bottom w:w="43" w:type="dxa"/>
              <w:right w:w="86" w:type="dxa"/>
            </w:tcMar>
          </w:tcPr>
          <w:p w14:paraId="42676A00" w14:textId="77777777" w:rsidR="00C20666" w:rsidRPr="005D4222" w:rsidRDefault="00C20666" w:rsidP="009A77C1">
            <w:pPr>
              <w:pStyle w:val="ECDSMarginHead"/>
            </w:pPr>
            <w:r w:rsidRPr="005D4222">
              <w:t>Measure ID</w:t>
            </w:r>
          </w:p>
        </w:tc>
        <w:tc>
          <w:tcPr>
            <w:tcW w:w="1170" w:type="dxa"/>
            <w:tcMar>
              <w:top w:w="0" w:type="dxa"/>
              <w:left w:w="86" w:type="dxa"/>
              <w:bottom w:w="43" w:type="dxa"/>
              <w:right w:w="86" w:type="dxa"/>
            </w:tcMar>
          </w:tcPr>
          <w:p w14:paraId="145A6881" w14:textId="77777777" w:rsidR="00C20666" w:rsidRPr="005D4222" w:rsidRDefault="00C20666" w:rsidP="009A77C1">
            <w:pPr>
              <w:pStyle w:val="ECDSBody"/>
            </w:pPr>
            <w:r w:rsidRPr="005D4222">
              <w:t xml:space="preserve">GSD  </w:t>
            </w:r>
          </w:p>
        </w:tc>
      </w:tr>
      <w:tr w:rsidR="00C20666" w:rsidRPr="005D4222" w14:paraId="65432AC0" w14:textId="77777777">
        <w:trPr>
          <w:trHeight w:val="1633"/>
        </w:trPr>
        <w:tc>
          <w:tcPr>
            <w:tcW w:w="2157" w:type="dxa"/>
            <w:shd w:val="clear" w:color="auto" w:fill="BFBFBF" w:themeFill="background1" w:themeFillShade="BF"/>
            <w:tcMar>
              <w:top w:w="0" w:type="dxa"/>
              <w:left w:w="86" w:type="dxa"/>
              <w:bottom w:w="43" w:type="dxa"/>
              <w:right w:w="86" w:type="dxa"/>
            </w:tcMar>
            <w:hideMark/>
          </w:tcPr>
          <w:p w14:paraId="0B794B35" w14:textId="77777777" w:rsidR="00C20666" w:rsidRPr="005D4222" w:rsidRDefault="00C20666" w:rsidP="00C009F2">
            <w:pPr>
              <w:pStyle w:val="ECDSMarginHead"/>
            </w:pPr>
            <w:r w:rsidRPr="005D4222">
              <w:t>Description</w:t>
            </w:r>
          </w:p>
        </w:tc>
        <w:tc>
          <w:tcPr>
            <w:tcW w:w="7560" w:type="dxa"/>
            <w:gridSpan w:val="3"/>
            <w:tcMar>
              <w:top w:w="0" w:type="dxa"/>
              <w:left w:w="86" w:type="dxa"/>
              <w:bottom w:w="43" w:type="dxa"/>
              <w:right w:w="86" w:type="dxa"/>
            </w:tcMar>
          </w:tcPr>
          <w:p w14:paraId="4746F137" w14:textId="77777777" w:rsidR="00C20666" w:rsidRPr="005D4222" w:rsidRDefault="00C20666" w:rsidP="009A77C1">
            <w:pPr>
              <w:pStyle w:val="ECDSBody"/>
            </w:pPr>
            <w:bookmarkStart w:id="287" w:name="_Hlk46323605"/>
            <w:r w:rsidRPr="005D4222">
              <w:t>The percentage of persons 18–75 years of age with diabetes (type 1 or type 2)</w:t>
            </w:r>
            <w:bookmarkEnd w:id="287"/>
            <w:r w:rsidRPr="005D4222">
              <w:t xml:space="preserve"> whose most recent glycemic status (hemoglobin A1c [HbA1c] or glucose management indicator [GMI]) was at the following levels during the measurement period:</w:t>
            </w:r>
          </w:p>
          <w:p w14:paraId="07A0B755" w14:textId="77777777" w:rsidR="00C20666" w:rsidRPr="005D4222" w:rsidRDefault="00C20666" w:rsidP="00992C3B">
            <w:pPr>
              <w:numPr>
                <w:ilvl w:val="0"/>
                <w:numId w:val="41"/>
              </w:numPr>
              <w:tabs>
                <w:tab w:val="left" w:pos="360"/>
                <w:tab w:val="left" w:pos="576"/>
              </w:tabs>
              <w:spacing w:before="80"/>
              <w:ind w:left="576" w:hanging="216"/>
              <w:rPr>
                <w:szCs w:val="21"/>
              </w:rPr>
            </w:pPr>
            <w:r w:rsidRPr="005D4222">
              <w:rPr>
                <w:szCs w:val="21"/>
              </w:rPr>
              <w:t>Glycemic Status &lt;8.0%.</w:t>
            </w:r>
          </w:p>
          <w:p w14:paraId="3BA5DE05" w14:textId="77777777" w:rsidR="00C20666" w:rsidRPr="005D4222" w:rsidRDefault="00C20666" w:rsidP="00992C3B">
            <w:pPr>
              <w:numPr>
                <w:ilvl w:val="0"/>
                <w:numId w:val="41"/>
              </w:numPr>
              <w:tabs>
                <w:tab w:val="left" w:pos="360"/>
                <w:tab w:val="left" w:pos="576"/>
              </w:tabs>
              <w:spacing w:before="80" w:after="80"/>
              <w:ind w:left="576" w:hanging="216"/>
              <w:rPr>
                <w:szCs w:val="21"/>
              </w:rPr>
            </w:pPr>
            <w:r w:rsidRPr="005D4222">
              <w:rPr>
                <w:szCs w:val="21"/>
              </w:rPr>
              <w:t>Glycemic Status &gt;9.0%.</w:t>
            </w:r>
          </w:p>
        </w:tc>
      </w:tr>
      <w:tr w:rsidR="00C20666" w:rsidRPr="005D4222" w14:paraId="19855150" w14:textId="77777777">
        <w:tc>
          <w:tcPr>
            <w:tcW w:w="2157" w:type="dxa"/>
            <w:shd w:val="clear" w:color="auto" w:fill="BFBFBF" w:themeFill="background1" w:themeFillShade="BF"/>
            <w:tcMar>
              <w:top w:w="0" w:type="dxa"/>
              <w:left w:w="86" w:type="dxa"/>
              <w:bottom w:w="43" w:type="dxa"/>
              <w:right w:w="86" w:type="dxa"/>
            </w:tcMar>
          </w:tcPr>
          <w:p w14:paraId="5CCBE5C9" w14:textId="77777777" w:rsidR="00C20666" w:rsidRPr="005D4222" w:rsidRDefault="00C20666" w:rsidP="00C009F2">
            <w:pPr>
              <w:pStyle w:val="ECDSMarginHead"/>
            </w:pPr>
            <w:r w:rsidRPr="005D4222">
              <w:t>Measurement period</w:t>
            </w:r>
          </w:p>
        </w:tc>
        <w:tc>
          <w:tcPr>
            <w:tcW w:w="7560" w:type="dxa"/>
            <w:gridSpan w:val="3"/>
            <w:tcMar>
              <w:top w:w="0" w:type="dxa"/>
              <w:left w:w="86" w:type="dxa"/>
              <w:bottom w:w="43" w:type="dxa"/>
              <w:right w:w="86" w:type="dxa"/>
            </w:tcMar>
          </w:tcPr>
          <w:p w14:paraId="153B284A" w14:textId="77777777" w:rsidR="00C20666" w:rsidRPr="005D4222" w:rsidRDefault="00C20666" w:rsidP="009A77C1">
            <w:pPr>
              <w:pStyle w:val="ECDSBody"/>
            </w:pPr>
            <w:r w:rsidRPr="005D4222">
              <w:t>January 1–December 31.</w:t>
            </w:r>
          </w:p>
        </w:tc>
      </w:tr>
      <w:tr w:rsidR="00C20666" w:rsidRPr="005D4222" w14:paraId="47351B7D" w14:textId="77777777">
        <w:tc>
          <w:tcPr>
            <w:tcW w:w="2157" w:type="dxa"/>
            <w:tcBorders>
              <w:bottom w:val="single" w:sz="2" w:space="0" w:color="auto"/>
            </w:tcBorders>
            <w:shd w:val="clear" w:color="auto" w:fill="BFBFBF" w:themeFill="background1" w:themeFillShade="BF"/>
            <w:tcMar>
              <w:top w:w="0" w:type="dxa"/>
              <w:left w:w="86" w:type="dxa"/>
              <w:bottom w:w="43" w:type="dxa"/>
              <w:right w:w="86" w:type="dxa"/>
            </w:tcMar>
            <w:hideMark/>
          </w:tcPr>
          <w:p w14:paraId="2A8D26E8" w14:textId="77777777" w:rsidR="00C20666" w:rsidRPr="005D4222" w:rsidRDefault="00C20666" w:rsidP="00C009F2">
            <w:pPr>
              <w:pStyle w:val="ECDSMarginHead"/>
              <w:rPr>
                <w:rFonts w:eastAsia="Arial"/>
              </w:rPr>
            </w:pPr>
            <w:r w:rsidRPr="005D4222">
              <w:rPr>
                <w:rFonts w:eastAsia="Arial"/>
              </w:rPr>
              <w:t>Copyright and disclaimer notice</w:t>
            </w:r>
          </w:p>
        </w:tc>
        <w:tc>
          <w:tcPr>
            <w:tcW w:w="7560" w:type="dxa"/>
            <w:gridSpan w:val="3"/>
            <w:tcBorders>
              <w:bottom w:val="single" w:sz="2" w:space="0" w:color="auto"/>
            </w:tcBorders>
            <w:tcMar>
              <w:top w:w="0" w:type="dxa"/>
              <w:left w:w="86" w:type="dxa"/>
              <w:bottom w:w="43" w:type="dxa"/>
              <w:right w:w="86" w:type="dxa"/>
            </w:tcMar>
          </w:tcPr>
          <w:p w14:paraId="041A58A5" w14:textId="77777777" w:rsidR="00C20666" w:rsidRPr="005D4222" w:rsidRDefault="00C20666" w:rsidP="009A77C1">
            <w:pPr>
              <w:pStyle w:val="ECDSBody"/>
            </w:pPr>
            <w:r w:rsidRPr="005D4222">
              <w:t xml:space="preserve">Refer to the complete copyright and disclaimer information at the front of this publication. </w:t>
            </w:r>
          </w:p>
          <w:p w14:paraId="01C75490" w14:textId="77777777" w:rsidR="00C20666" w:rsidRPr="005D4222" w:rsidRDefault="00C20666" w:rsidP="009A77C1">
            <w:pPr>
              <w:pStyle w:val="ECDSBody"/>
            </w:pPr>
            <w:r w:rsidRPr="005D4222">
              <w:t xml:space="preserve">NCQA website: </w:t>
            </w:r>
            <w:r w:rsidRPr="005D4222">
              <w:rPr>
                <w:u w:val="single"/>
              </w:rPr>
              <w:t>www.ncqa.org</w:t>
            </w:r>
            <w:r w:rsidRPr="005D4222">
              <w:t>.</w:t>
            </w:r>
          </w:p>
          <w:p w14:paraId="5703C8A4" w14:textId="77777777" w:rsidR="00C20666" w:rsidRPr="005D4222" w:rsidRDefault="00C20666" w:rsidP="009A77C1">
            <w:pPr>
              <w:pStyle w:val="ECDSBody"/>
            </w:pPr>
            <w:r w:rsidRPr="005D4222">
              <w:t>Submit policy clarification support questions via My NCQA (</w:t>
            </w:r>
            <w:r w:rsidRPr="005D4222">
              <w:rPr>
                <w:u w:val="single"/>
              </w:rPr>
              <w:t>https://my.ncqa.org</w:t>
            </w:r>
            <w:r w:rsidRPr="005D4222">
              <w:t>).</w:t>
            </w:r>
          </w:p>
        </w:tc>
      </w:tr>
      <w:tr w:rsidR="00C20666" w:rsidRPr="005D4222" w14:paraId="20E399BC" w14:textId="77777777">
        <w:tc>
          <w:tcPr>
            <w:tcW w:w="2157" w:type="dxa"/>
            <w:tcBorders>
              <w:bottom w:val="single" w:sz="4" w:space="0" w:color="auto"/>
            </w:tcBorders>
            <w:shd w:val="clear" w:color="auto" w:fill="BFBFBF" w:themeFill="background1" w:themeFillShade="BF"/>
            <w:tcMar>
              <w:top w:w="0" w:type="dxa"/>
              <w:left w:w="86" w:type="dxa"/>
              <w:bottom w:w="43" w:type="dxa"/>
              <w:right w:w="86" w:type="dxa"/>
            </w:tcMar>
            <w:hideMark/>
          </w:tcPr>
          <w:p w14:paraId="5B6C6812" w14:textId="77777777" w:rsidR="00C20666" w:rsidRPr="005D4222" w:rsidRDefault="00C20666" w:rsidP="00C009F2">
            <w:pPr>
              <w:pStyle w:val="ECDSMarginHead"/>
            </w:pPr>
            <w:r w:rsidRPr="005D4222">
              <w:t>Clinical recommendation statement/ rationale</w:t>
            </w:r>
          </w:p>
        </w:tc>
        <w:tc>
          <w:tcPr>
            <w:tcW w:w="7560" w:type="dxa"/>
            <w:gridSpan w:val="3"/>
            <w:tcBorders>
              <w:bottom w:val="single" w:sz="4" w:space="0" w:color="auto"/>
            </w:tcBorders>
            <w:tcMar>
              <w:top w:w="0" w:type="dxa"/>
              <w:left w:w="86" w:type="dxa"/>
              <w:bottom w:w="43" w:type="dxa"/>
              <w:right w:w="86" w:type="dxa"/>
            </w:tcMar>
          </w:tcPr>
          <w:p w14:paraId="68E15653" w14:textId="77777777" w:rsidR="00C20666" w:rsidRPr="005D4222" w:rsidRDefault="00C20666" w:rsidP="009A77C1">
            <w:pPr>
              <w:pStyle w:val="ECDSBody"/>
            </w:pPr>
            <w:r w:rsidRPr="005D4222">
              <w:t>American Diabetes Association (2025)</w:t>
            </w:r>
          </w:p>
          <w:p w14:paraId="27B99B8D" w14:textId="77777777" w:rsidR="00C20666" w:rsidRPr="005D4222" w:rsidRDefault="00C20666" w:rsidP="009A77C1">
            <w:pPr>
              <w:pStyle w:val="Bullet"/>
            </w:pPr>
            <w:r w:rsidRPr="005D4222">
              <w:t>Assess glycemic status by A1C (Level of evidence: A) and/or continuous glucose monitoring (CGM) metrics such as time in range, time above range, and time below range (Level of evidence: B). Fructosamine or CGM can be used for glycemic monitoring when an alternative to A1C is required. Level of evidence: B</w:t>
            </w:r>
          </w:p>
          <w:p w14:paraId="16912B32" w14:textId="77777777" w:rsidR="00C20666" w:rsidRPr="005D4222" w:rsidRDefault="00C20666" w:rsidP="009A77C1">
            <w:pPr>
              <w:pStyle w:val="Bullet"/>
            </w:pPr>
            <w:r w:rsidRPr="005D4222">
              <w:t>Assess glycemic status at least two times a year, and more frequently (e.g., every 3 months) for individuals not meeting glycemic goals or with recent treatment changes, frequent or severe hypoglycemia or hyperglycemia, or changes in health status, or during periods of rapid growth and development in youth. Level of evidence: E</w:t>
            </w:r>
          </w:p>
          <w:p w14:paraId="5A32CEC4" w14:textId="77777777" w:rsidR="00C20666" w:rsidRPr="005D4222" w:rsidRDefault="00C20666" w:rsidP="009A77C1">
            <w:pPr>
              <w:pStyle w:val="Bullet"/>
            </w:pPr>
            <w:r w:rsidRPr="005D4222">
              <w:t>An A1C goal of &lt;7% (&lt;53 mmol/mol) is appropriate for many nonpregnant adults without severe hypoglycemia or frequent hypoglycemia affecting health or quality of life. Level of evidence: A</w:t>
            </w:r>
          </w:p>
          <w:p w14:paraId="6A33187B" w14:textId="77777777" w:rsidR="00C20666" w:rsidRPr="005D4222" w:rsidRDefault="00C20666" w:rsidP="009A77C1">
            <w:pPr>
              <w:pStyle w:val="Bullet"/>
            </w:pPr>
            <w:r w:rsidRPr="005D4222">
              <w:t>Based on health care professional judgment and the preference of the person with diabetes, achievement of lower A1C levels than the goal of 7% (53 mmol/mol) may be acceptable and even beneficial if it can be achieved safely without frequent or severe hypoglycemia or other adverse effects of treatment. Level of evidence: B</w:t>
            </w:r>
          </w:p>
          <w:p w14:paraId="453F1A5F" w14:textId="77777777" w:rsidR="00C20666" w:rsidRPr="005D4222" w:rsidRDefault="00C20666" w:rsidP="009A77C1">
            <w:pPr>
              <w:pStyle w:val="Bullet"/>
              <w:spacing w:after="80"/>
            </w:pPr>
            <w:r w:rsidRPr="005D4222">
              <w:t>Less stringent glycemic goals may be appropriate for individuals with limited life expectancy or where the harms of treatment are greater than the benefits. Level of evidence: B</w:t>
            </w:r>
          </w:p>
        </w:tc>
      </w:tr>
      <w:tr w:rsidR="00C20666" w:rsidRPr="005D4222" w14:paraId="547BE466" w14:textId="77777777">
        <w:tc>
          <w:tcPr>
            <w:tcW w:w="2157" w:type="dxa"/>
            <w:tcBorders>
              <w:top w:val="single" w:sz="4" w:space="0" w:color="auto"/>
            </w:tcBorders>
            <w:shd w:val="clear" w:color="auto" w:fill="BFBFBF" w:themeFill="background1" w:themeFillShade="BF"/>
            <w:tcMar>
              <w:top w:w="0" w:type="dxa"/>
              <w:left w:w="86" w:type="dxa"/>
              <w:bottom w:w="43" w:type="dxa"/>
              <w:right w:w="86" w:type="dxa"/>
            </w:tcMar>
          </w:tcPr>
          <w:p w14:paraId="568D985D" w14:textId="77777777" w:rsidR="00C20666" w:rsidRPr="005D4222" w:rsidRDefault="00C20666" w:rsidP="00C009F2">
            <w:pPr>
              <w:pStyle w:val="ECDSMarginHead"/>
            </w:pPr>
            <w:r w:rsidRPr="005D4222">
              <w:t>Citations</w:t>
            </w:r>
          </w:p>
        </w:tc>
        <w:tc>
          <w:tcPr>
            <w:tcW w:w="7560" w:type="dxa"/>
            <w:gridSpan w:val="3"/>
            <w:tcBorders>
              <w:top w:val="single" w:sz="4" w:space="0" w:color="auto"/>
            </w:tcBorders>
            <w:tcMar>
              <w:top w:w="0" w:type="dxa"/>
              <w:left w:w="86" w:type="dxa"/>
              <w:bottom w:w="43" w:type="dxa"/>
              <w:right w:w="86" w:type="dxa"/>
            </w:tcMar>
          </w:tcPr>
          <w:p w14:paraId="111B042D" w14:textId="77777777" w:rsidR="00C20666" w:rsidRPr="005D4222" w:rsidRDefault="00C20666" w:rsidP="009A77C1">
            <w:pPr>
              <w:pStyle w:val="ECDSBody"/>
            </w:pPr>
            <w:r w:rsidRPr="005D4222">
              <w:t xml:space="preserve">American Diabetes Association Professional Practice Committee. 2025. “6. Glycemic Goals and Hypoglycemia: Standards of Care in Diabetes—2025.” </w:t>
            </w:r>
            <w:r w:rsidRPr="005D4222">
              <w:rPr>
                <w:i/>
                <w:iCs/>
              </w:rPr>
              <w:t xml:space="preserve">Diabetes Care </w:t>
            </w:r>
            <w:r w:rsidRPr="005D4222">
              <w:t>48(Suppl. 1):S128–45.</w:t>
            </w:r>
          </w:p>
        </w:tc>
      </w:tr>
      <w:tr w:rsidR="00C20666" w:rsidRPr="005D4222" w14:paraId="60E2D8F2" w14:textId="77777777">
        <w:tc>
          <w:tcPr>
            <w:tcW w:w="9717"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5A649CDE" w14:textId="77777777" w:rsidR="00C20666" w:rsidRPr="005D4222" w:rsidRDefault="00C20666" w:rsidP="00C009F2">
            <w:pPr>
              <w:pStyle w:val="ECDSMarginHead"/>
            </w:pPr>
            <w:r w:rsidRPr="005D4222">
              <w:lastRenderedPageBreak/>
              <w:t>Characteristics</w:t>
            </w:r>
          </w:p>
        </w:tc>
      </w:tr>
      <w:tr w:rsidR="00C20666" w:rsidRPr="005D4222" w14:paraId="265C4F54" w14:textId="77777777">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79A9B61E" w14:textId="77777777" w:rsidR="00C20666" w:rsidRPr="005D4222" w:rsidRDefault="00C20666" w:rsidP="003F1219">
            <w:pPr>
              <w:pStyle w:val="ECDSSubhead"/>
            </w:pPr>
            <w:r w:rsidRPr="005D4222">
              <w:t>Scoring</w:t>
            </w:r>
          </w:p>
        </w:tc>
        <w:tc>
          <w:tcPr>
            <w:tcW w:w="7560"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7EBCA6EA" w14:textId="61930DB7" w:rsidR="00C20666" w:rsidRPr="005D4222" w:rsidRDefault="000C6EC0" w:rsidP="003F1219">
            <w:pPr>
              <w:pStyle w:val="ECDSBody"/>
              <w:spacing w:after="0"/>
            </w:pPr>
            <w:r w:rsidRPr="005D4222">
              <w:t>Proportion</w:t>
            </w:r>
            <w:r w:rsidR="00C20666" w:rsidRPr="005D4222">
              <w:t>.</w:t>
            </w:r>
          </w:p>
        </w:tc>
      </w:tr>
      <w:tr w:rsidR="00C20666" w:rsidRPr="005D4222" w14:paraId="74F3468E"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3E5C07C8" w14:textId="77777777" w:rsidR="00C20666" w:rsidRPr="005D4222" w:rsidRDefault="00C20666" w:rsidP="003F1219">
            <w:pPr>
              <w:pStyle w:val="ECDSSubhead"/>
            </w:pPr>
            <w:r w:rsidRPr="005D4222">
              <w:t>Type</w:t>
            </w:r>
          </w:p>
        </w:tc>
        <w:tc>
          <w:tcPr>
            <w:tcW w:w="7560" w:type="dxa"/>
            <w:gridSpan w:val="3"/>
            <w:tcBorders>
              <w:top w:val="nil"/>
              <w:left w:val="single" w:sz="4" w:space="0" w:color="auto"/>
              <w:bottom w:val="nil"/>
              <w:right w:val="single" w:sz="4" w:space="0" w:color="auto"/>
            </w:tcBorders>
            <w:tcMar>
              <w:top w:w="0" w:type="dxa"/>
              <w:left w:w="86" w:type="dxa"/>
              <w:bottom w:w="43" w:type="dxa"/>
              <w:right w:w="86" w:type="dxa"/>
            </w:tcMar>
          </w:tcPr>
          <w:p w14:paraId="6BA35B52" w14:textId="328A49CE" w:rsidR="00C20666" w:rsidRPr="005D4222" w:rsidRDefault="00EB47AE" w:rsidP="003F1219">
            <w:pPr>
              <w:pStyle w:val="ECDSBody"/>
              <w:spacing w:after="0"/>
            </w:pPr>
            <w:r w:rsidRPr="005D4222">
              <w:t>Outcome</w:t>
            </w:r>
            <w:r w:rsidR="00C20666" w:rsidRPr="005D4222">
              <w:t>.</w:t>
            </w:r>
          </w:p>
        </w:tc>
      </w:tr>
      <w:tr w:rsidR="00C20666" w:rsidRPr="005D4222" w14:paraId="4A4CBCBD"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33E6B9D6" w14:textId="484E10F1" w:rsidR="00C20666" w:rsidRPr="005D4222" w:rsidRDefault="00B51CDC" w:rsidP="009A77C1">
            <w:pPr>
              <w:pStyle w:val="ECDSSubhead"/>
            </w:pPr>
            <w:r w:rsidRPr="005D4222">
              <w:t>Product lines</w:t>
            </w:r>
          </w:p>
        </w:tc>
        <w:tc>
          <w:tcPr>
            <w:tcW w:w="7560" w:type="dxa"/>
            <w:gridSpan w:val="3"/>
            <w:tcBorders>
              <w:top w:val="nil"/>
              <w:left w:val="single" w:sz="4" w:space="0" w:color="auto"/>
              <w:bottom w:val="nil"/>
              <w:right w:val="single" w:sz="4" w:space="0" w:color="auto"/>
            </w:tcBorders>
            <w:tcMar>
              <w:top w:w="0" w:type="dxa"/>
              <w:left w:w="86" w:type="dxa"/>
              <w:bottom w:w="43" w:type="dxa"/>
              <w:right w:w="86" w:type="dxa"/>
            </w:tcMar>
          </w:tcPr>
          <w:p w14:paraId="35741126" w14:textId="77777777" w:rsidR="00C20666" w:rsidRPr="005D4222" w:rsidRDefault="00C20666" w:rsidP="003F1219">
            <w:pPr>
              <w:pStyle w:val="ProcessBullet"/>
            </w:pPr>
            <w:r w:rsidRPr="005D4222">
              <w:rPr>
                <w:rFonts w:eastAsia="Arial,Arial,Arial,Arial,Arial,A"/>
              </w:rPr>
              <w:t>Commercial.</w:t>
            </w:r>
          </w:p>
          <w:p w14:paraId="40C2A071" w14:textId="77777777" w:rsidR="00C20666" w:rsidRPr="005D4222" w:rsidRDefault="00C20666" w:rsidP="003F1219">
            <w:pPr>
              <w:pStyle w:val="ProcessBullet"/>
            </w:pPr>
            <w:r w:rsidRPr="005D4222">
              <w:rPr>
                <w:rFonts w:eastAsia="Arial,Arial,Arial,Arial,Arial,A"/>
              </w:rPr>
              <w:t>Medicaid.</w:t>
            </w:r>
          </w:p>
          <w:p w14:paraId="0591ED64" w14:textId="77777777" w:rsidR="00C20666" w:rsidRPr="005D4222" w:rsidRDefault="00C20666" w:rsidP="003F1219">
            <w:pPr>
              <w:pStyle w:val="ProcessBullet"/>
              <w:rPr>
                <w:rFonts w:eastAsia="Arial,Arial,Arial,Arial,Arial,A"/>
              </w:rPr>
            </w:pPr>
            <w:r w:rsidRPr="005D4222">
              <w:rPr>
                <w:rFonts w:eastAsia="Arial,Arial,Arial,Arial,Arial,A"/>
              </w:rPr>
              <w:t>Medicare.</w:t>
            </w:r>
          </w:p>
        </w:tc>
      </w:tr>
      <w:tr w:rsidR="00C20666" w:rsidRPr="005D4222" w14:paraId="1FAF285E"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7CF18D53" w14:textId="53993381" w:rsidR="00C20666" w:rsidRPr="005D4222" w:rsidRDefault="00B51CDC" w:rsidP="009A77C1">
            <w:pPr>
              <w:pStyle w:val="ECDSSubhead"/>
            </w:pPr>
            <w:r w:rsidRPr="005D4222">
              <w:t>Stratifications</w:t>
            </w:r>
            <w:r w:rsidR="00C20666" w:rsidRPr="005D4222">
              <w:t xml:space="preserve"> </w:t>
            </w:r>
          </w:p>
        </w:tc>
        <w:tc>
          <w:tcPr>
            <w:tcW w:w="7560"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59C7B438" w14:textId="5B743F5C" w:rsidR="00C20666" w:rsidRPr="005D4222" w:rsidRDefault="00C20666" w:rsidP="003F1219">
            <w:pPr>
              <w:pStyle w:val="ECDSBody"/>
              <w:rPr>
                <w:lang w:eastAsia="zh-CN"/>
              </w:rPr>
            </w:pPr>
            <w:r w:rsidRPr="005D4222">
              <w:rPr>
                <w:lang w:eastAsia="zh-CN"/>
              </w:rPr>
              <w:t xml:space="preserve">Race. (Refer to </w:t>
            </w:r>
            <w:hyperlink w:anchor="GG_Race_and_Ethnicity" w:history="1">
              <w:r w:rsidRPr="005D4222">
                <w:rPr>
                  <w:rStyle w:val="Hyperlink"/>
                  <w:i/>
                  <w:iCs/>
                  <w:szCs w:val="21"/>
                  <w:lang w:eastAsia="zh-CN"/>
                </w:rPr>
                <w:t>General Guideline: Race and Ethnicity Stratification</w:t>
              </w:r>
            </w:hyperlink>
            <w:r w:rsidRPr="005D4222">
              <w:rPr>
                <w:lang w:eastAsia="zh-CN"/>
              </w:rPr>
              <w:t xml:space="preserve">.) </w:t>
            </w:r>
          </w:p>
          <w:p w14:paraId="5D59A6FA" w14:textId="77777777" w:rsidR="00C20666" w:rsidRPr="005D4222" w:rsidRDefault="00C20666" w:rsidP="003F1219">
            <w:pPr>
              <w:pStyle w:val="Bullet"/>
              <w:rPr>
                <w:lang w:eastAsia="zh-CN"/>
              </w:rPr>
            </w:pPr>
            <w:r w:rsidRPr="005D4222">
              <w:rPr>
                <w:lang w:eastAsia="zh-CN"/>
              </w:rPr>
              <w:t xml:space="preserve">American Indian or Alaska Native. </w:t>
            </w:r>
          </w:p>
          <w:p w14:paraId="5367AE78" w14:textId="77777777" w:rsidR="00C20666" w:rsidRPr="005D4222" w:rsidRDefault="00C20666" w:rsidP="003F1219">
            <w:pPr>
              <w:pStyle w:val="Bullet"/>
              <w:rPr>
                <w:lang w:eastAsia="zh-CN"/>
              </w:rPr>
            </w:pPr>
            <w:r w:rsidRPr="005D4222">
              <w:rPr>
                <w:lang w:eastAsia="zh-CN"/>
              </w:rPr>
              <w:t xml:space="preserve">Asian. </w:t>
            </w:r>
          </w:p>
          <w:p w14:paraId="4B9D0FC7" w14:textId="77777777" w:rsidR="00C20666" w:rsidRPr="005D4222" w:rsidRDefault="00C20666" w:rsidP="003F1219">
            <w:pPr>
              <w:pStyle w:val="Bullet"/>
              <w:rPr>
                <w:lang w:eastAsia="zh-CN"/>
              </w:rPr>
            </w:pPr>
            <w:r w:rsidRPr="005D4222">
              <w:rPr>
                <w:lang w:eastAsia="zh-CN"/>
              </w:rPr>
              <w:t>Black or African American.</w:t>
            </w:r>
          </w:p>
          <w:p w14:paraId="63732B7E" w14:textId="77777777" w:rsidR="00C20666" w:rsidRPr="005D4222" w:rsidRDefault="00C20666" w:rsidP="003F1219">
            <w:pPr>
              <w:pStyle w:val="Bullet"/>
              <w:rPr>
                <w:lang w:eastAsia="zh-CN"/>
              </w:rPr>
            </w:pPr>
            <w:r w:rsidRPr="005D4222">
              <w:rPr>
                <w:lang w:eastAsia="zh-CN"/>
              </w:rPr>
              <w:t>Middle Eastern or North African.</w:t>
            </w:r>
          </w:p>
          <w:p w14:paraId="545877AF" w14:textId="77777777" w:rsidR="00C20666" w:rsidRPr="005D4222" w:rsidRDefault="00C20666" w:rsidP="003F1219">
            <w:pPr>
              <w:pStyle w:val="Bullet"/>
              <w:rPr>
                <w:lang w:eastAsia="zh-CN"/>
              </w:rPr>
            </w:pPr>
            <w:r w:rsidRPr="005D4222">
              <w:rPr>
                <w:lang w:eastAsia="zh-CN"/>
              </w:rPr>
              <w:t>Native Hawaiian or Pacific Islander.</w:t>
            </w:r>
          </w:p>
          <w:p w14:paraId="60F45887" w14:textId="77777777" w:rsidR="00C20666" w:rsidRPr="005D4222" w:rsidRDefault="00C20666" w:rsidP="003F1219">
            <w:pPr>
              <w:pStyle w:val="Bullet"/>
              <w:rPr>
                <w:lang w:eastAsia="zh-CN"/>
              </w:rPr>
            </w:pPr>
            <w:r w:rsidRPr="005D4222">
              <w:rPr>
                <w:lang w:eastAsia="zh-CN"/>
              </w:rPr>
              <w:t xml:space="preserve">White. </w:t>
            </w:r>
          </w:p>
          <w:p w14:paraId="18F518B9" w14:textId="77777777" w:rsidR="00C20666" w:rsidRPr="005D4222" w:rsidRDefault="00C20666" w:rsidP="003F1219">
            <w:pPr>
              <w:pStyle w:val="Bullet"/>
              <w:rPr>
                <w:lang w:eastAsia="zh-CN"/>
              </w:rPr>
            </w:pPr>
            <w:r w:rsidRPr="005D4222">
              <w:rPr>
                <w:lang w:eastAsia="zh-CN"/>
              </w:rPr>
              <w:t xml:space="preserve">Some Other Race. </w:t>
            </w:r>
          </w:p>
          <w:p w14:paraId="0DC23758" w14:textId="77777777" w:rsidR="00C20666" w:rsidRPr="005D4222" w:rsidRDefault="00C20666" w:rsidP="003F1219">
            <w:pPr>
              <w:pStyle w:val="Bullet"/>
              <w:rPr>
                <w:lang w:eastAsia="zh-CN"/>
              </w:rPr>
            </w:pPr>
            <w:r w:rsidRPr="005D4222">
              <w:rPr>
                <w:lang w:eastAsia="zh-CN"/>
              </w:rPr>
              <w:t xml:space="preserve">Two or More Races. </w:t>
            </w:r>
          </w:p>
          <w:p w14:paraId="6ED1DF0B" w14:textId="77777777" w:rsidR="00C20666" w:rsidRPr="005D4222" w:rsidRDefault="00C20666" w:rsidP="003F1219">
            <w:pPr>
              <w:pStyle w:val="Bullet"/>
              <w:rPr>
                <w:lang w:eastAsia="zh-CN"/>
              </w:rPr>
            </w:pPr>
            <w:r w:rsidRPr="005D4222">
              <w:rPr>
                <w:lang w:eastAsia="zh-CN"/>
              </w:rPr>
              <w:t xml:space="preserve">Asked But No Answer. </w:t>
            </w:r>
          </w:p>
          <w:p w14:paraId="04668C0E" w14:textId="77777777" w:rsidR="00C20666" w:rsidRPr="005D4222" w:rsidRDefault="00C20666" w:rsidP="003F1219">
            <w:pPr>
              <w:pStyle w:val="Bullet"/>
              <w:rPr>
                <w:lang w:eastAsia="zh-CN"/>
              </w:rPr>
            </w:pPr>
            <w:r w:rsidRPr="005D4222">
              <w:rPr>
                <w:lang w:eastAsia="zh-CN"/>
              </w:rPr>
              <w:t xml:space="preserve">Unknown. </w:t>
            </w:r>
          </w:p>
          <w:p w14:paraId="6D17ADA8" w14:textId="267DD4A6" w:rsidR="00C20666" w:rsidRPr="005D4222" w:rsidRDefault="00C20666" w:rsidP="003F1219">
            <w:pPr>
              <w:pStyle w:val="ECDSBody"/>
              <w:rPr>
                <w:lang w:eastAsia="zh-CN"/>
              </w:rPr>
            </w:pPr>
            <w:r w:rsidRPr="005D4222">
              <w:rPr>
                <w:lang w:eastAsia="zh-CN"/>
              </w:rPr>
              <w:t xml:space="preserve">Ethnicity. (Refer to </w:t>
            </w:r>
            <w:hyperlink w:anchor="GG_Race_and_Ethnicity" w:history="1">
              <w:r w:rsidRPr="005D4222">
                <w:rPr>
                  <w:rStyle w:val="Hyperlink"/>
                  <w:i/>
                  <w:iCs/>
                  <w:szCs w:val="21"/>
                  <w:lang w:eastAsia="zh-CN"/>
                </w:rPr>
                <w:t>General Guideline: Race and Ethnicity Stratification</w:t>
              </w:r>
            </w:hyperlink>
            <w:r w:rsidRPr="005D4222">
              <w:rPr>
                <w:lang w:eastAsia="zh-CN"/>
              </w:rPr>
              <w:t>.)</w:t>
            </w:r>
          </w:p>
          <w:p w14:paraId="406DE531" w14:textId="77777777" w:rsidR="00C20666" w:rsidRPr="005D4222" w:rsidRDefault="00C20666" w:rsidP="003F1219">
            <w:pPr>
              <w:pStyle w:val="Bullet"/>
              <w:rPr>
                <w:lang w:eastAsia="zh-CN"/>
              </w:rPr>
            </w:pPr>
            <w:r w:rsidRPr="005D4222">
              <w:rPr>
                <w:lang w:eastAsia="zh-CN"/>
              </w:rPr>
              <w:t xml:space="preserve">Hispanic or Latino. </w:t>
            </w:r>
          </w:p>
          <w:p w14:paraId="52FE56A7" w14:textId="77777777" w:rsidR="00C20666" w:rsidRPr="005D4222" w:rsidRDefault="00C20666" w:rsidP="003F1219">
            <w:pPr>
              <w:pStyle w:val="Bullet"/>
              <w:rPr>
                <w:lang w:eastAsia="zh-CN"/>
              </w:rPr>
            </w:pPr>
            <w:r w:rsidRPr="005D4222">
              <w:rPr>
                <w:lang w:eastAsia="zh-CN"/>
              </w:rPr>
              <w:t xml:space="preserve">Not Hispanic or Latino. </w:t>
            </w:r>
          </w:p>
          <w:p w14:paraId="024F13F2" w14:textId="77777777" w:rsidR="00C20666" w:rsidRPr="005D4222" w:rsidRDefault="00C20666" w:rsidP="003F1219">
            <w:pPr>
              <w:pStyle w:val="Bullet"/>
              <w:rPr>
                <w:lang w:eastAsia="zh-CN"/>
              </w:rPr>
            </w:pPr>
            <w:r w:rsidRPr="005D4222">
              <w:rPr>
                <w:lang w:eastAsia="zh-CN"/>
              </w:rPr>
              <w:t xml:space="preserve">Asked But No Answer. </w:t>
            </w:r>
          </w:p>
          <w:p w14:paraId="2EBCE522" w14:textId="77777777" w:rsidR="00C20666" w:rsidRPr="005D4222" w:rsidRDefault="00C20666" w:rsidP="003F1219">
            <w:pPr>
              <w:pStyle w:val="Bullet"/>
            </w:pPr>
            <w:r w:rsidRPr="005D4222">
              <w:rPr>
                <w:lang w:eastAsia="zh-CN"/>
              </w:rPr>
              <w:t xml:space="preserve">Unknown. </w:t>
            </w:r>
          </w:p>
        </w:tc>
      </w:tr>
      <w:tr w:rsidR="00C20666" w:rsidRPr="005D4222" w14:paraId="377CCDFC"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1DAC4E8E" w14:textId="77777777" w:rsidR="00C20666" w:rsidRPr="005D4222" w:rsidRDefault="00C20666" w:rsidP="003F1219">
            <w:pPr>
              <w:pStyle w:val="ECDSSubhead"/>
            </w:pPr>
            <w:r w:rsidRPr="005D4222">
              <w:t>Risk adjustment</w:t>
            </w:r>
          </w:p>
        </w:tc>
        <w:tc>
          <w:tcPr>
            <w:tcW w:w="7560"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764E5E19" w14:textId="77777777" w:rsidR="00C20666" w:rsidRPr="005D4222" w:rsidRDefault="00C20666" w:rsidP="003F1219">
            <w:pPr>
              <w:pStyle w:val="ECDSBody"/>
              <w:spacing w:after="0"/>
            </w:pPr>
            <w:r w:rsidRPr="005D4222">
              <w:t>None.</w:t>
            </w:r>
          </w:p>
        </w:tc>
      </w:tr>
      <w:tr w:rsidR="00C20666" w:rsidRPr="005D4222" w14:paraId="701B3977" w14:textId="77777777">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49F6FB69" w14:textId="77777777" w:rsidR="00C20666" w:rsidRPr="005D4222" w:rsidRDefault="00C20666" w:rsidP="009A77C1">
            <w:pPr>
              <w:pStyle w:val="ECDSSubhead"/>
            </w:pPr>
            <w:r w:rsidRPr="005D4222">
              <w:t>Guidance</w:t>
            </w:r>
          </w:p>
        </w:tc>
        <w:tc>
          <w:tcPr>
            <w:tcW w:w="7560"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2317D432" w14:textId="5E42BF83" w:rsidR="00C20666" w:rsidRPr="005D4222" w:rsidRDefault="00C20666" w:rsidP="003F1219">
            <w:pPr>
              <w:pStyle w:val="ECDSBody"/>
            </w:pPr>
            <w:r w:rsidRPr="005D4222">
              <w:rPr>
                <w:b/>
              </w:rPr>
              <w:t>Data collection methodology:</w:t>
            </w:r>
            <w:r w:rsidRPr="005D4222">
              <w:t xml:space="preserve"> Administrative and hybrid. Refer to </w:t>
            </w:r>
            <w:hyperlink w:anchor="General_Guideline_Data_Collection_Method" w:history="1">
              <w:r w:rsidRPr="005D4222">
                <w:rPr>
                  <w:rStyle w:val="Hyperlink"/>
                  <w:i/>
                  <w:iCs/>
                </w:rPr>
                <w:t>General Guideline: Data Collection Methods</w:t>
              </w:r>
            </w:hyperlink>
            <w:r w:rsidRPr="005D4222">
              <w:t xml:space="preserve"> for additional information. Organizations must use the same data collection method (Administrative or Hybrid) to report these indicators.</w:t>
            </w:r>
          </w:p>
          <w:p w14:paraId="64344EF7" w14:textId="77777777" w:rsidR="00C20666" w:rsidRPr="005D4222" w:rsidRDefault="00C20666" w:rsidP="003F1219">
            <w:pPr>
              <w:pStyle w:val="ECDSBody"/>
            </w:pPr>
            <w:r w:rsidRPr="005D4222">
              <w:rPr>
                <w:b/>
              </w:rPr>
              <w:t>Date specificity:</w:t>
            </w:r>
            <w:r w:rsidRPr="005D4222">
              <w:t xml:space="preserve"> Dates must be specific enough to determine the event occurred in the period being measured.</w:t>
            </w:r>
          </w:p>
          <w:p w14:paraId="45C63A8A" w14:textId="77777777" w:rsidR="00C20666" w:rsidRPr="005D4222" w:rsidRDefault="00C20666" w:rsidP="003F1219">
            <w:pPr>
              <w:pStyle w:val="ECDSBody"/>
            </w:pPr>
            <w:r w:rsidRPr="005D4222">
              <w:rPr>
                <w:b/>
              </w:rPr>
              <w:t xml:space="preserve">Which services count? </w:t>
            </w:r>
            <w:r w:rsidRPr="005D4222">
              <w:t xml:space="preserve">When using claims, include all paid, suspended, pending and denied claims. </w:t>
            </w:r>
          </w:p>
          <w:p w14:paraId="60C08DAF" w14:textId="5E6C4399" w:rsidR="00C20666" w:rsidRPr="005D4222" w:rsidDel="008B6A4B" w:rsidRDefault="00C20666" w:rsidP="003F1219">
            <w:pPr>
              <w:pStyle w:val="ECDSBody"/>
            </w:pPr>
            <w:bookmarkStart w:id="288" w:name="_Hlk49258468"/>
            <w:r w:rsidRPr="005D4222">
              <w:rPr>
                <w:b/>
              </w:rPr>
              <w:t xml:space="preserve">Other guidance: </w:t>
            </w:r>
            <w:r w:rsidRPr="005D4222">
              <w:t>If a combination</w:t>
            </w:r>
            <w:bookmarkEnd w:id="288"/>
            <w:r w:rsidRPr="005D4222">
              <w:t xml:space="preserve"> of administrative, supplemental or hybrid data </w:t>
            </w:r>
            <w:r w:rsidR="006B711B" w:rsidRPr="005D4222">
              <w:t>are</w:t>
            </w:r>
            <w:r w:rsidRPr="005D4222">
              <w:t xml:space="preserve"> used, the most recent glycemic status assessment must be used, regardless of data source.</w:t>
            </w:r>
          </w:p>
          <w:p w14:paraId="56084C56" w14:textId="77777777" w:rsidR="00C20666" w:rsidRPr="005D4222" w:rsidDel="008B6A4B" w:rsidRDefault="00C20666" w:rsidP="003F1219">
            <w:pPr>
              <w:pStyle w:val="ECDSBody"/>
              <w:rPr>
                <w:b/>
              </w:rPr>
            </w:pPr>
            <w:r w:rsidRPr="005D4222" w:rsidDel="008B6A4B">
              <w:rPr>
                <w:b/>
              </w:rPr>
              <w:t>Improvement notation:</w:t>
            </w:r>
          </w:p>
          <w:p w14:paraId="17657050" w14:textId="77777777" w:rsidR="00C20666" w:rsidRPr="005D4222" w:rsidDel="008B6A4B" w:rsidRDefault="00C20666" w:rsidP="001778C8">
            <w:pPr>
              <w:pStyle w:val="ProcessBullet"/>
            </w:pPr>
            <w:r w:rsidRPr="005D4222" w:rsidDel="008B6A4B">
              <w:rPr>
                <w:i/>
                <w:iCs/>
              </w:rPr>
              <w:t xml:space="preserve">Glycemic </w:t>
            </w:r>
            <w:r w:rsidRPr="005D4222">
              <w:rPr>
                <w:i/>
                <w:iCs/>
              </w:rPr>
              <w:t>s</w:t>
            </w:r>
            <w:r w:rsidRPr="005D4222" w:rsidDel="008B6A4B">
              <w:rPr>
                <w:i/>
                <w:iCs/>
              </w:rPr>
              <w:t>tatus &lt;8.0%.</w:t>
            </w:r>
            <w:r w:rsidRPr="005D4222" w:rsidDel="008B6A4B">
              <w:t xml:space="preserve"> Increased score indicates improvement.</w:t>
            </w:r>
          </w:p>
          <w:p w14:paraId="29926436" w14:textId="77777777" w:rsidR="00C20666" w:rsidRPr="005D4222" w:rsidRDefault="00C20666" w:rsidP="001778C8">
            <w:pPr>
              <w:pStyle w:val="ProcessBullet"/>
              <w:spacing w:after="80"/>
              <w:rPr>
                <w:b/>
              </w:rPr>
            </w:pPr>
            <w:r w:rsidRPr="005D4222" w:rsidDel="008B6A4B">
              <w:rPr>
                <w:i/>
              </w:rPr>
              <w:t xml:space="preserve">Glycemic </w:t>
            </w:r>
            <w:r w:rsidRPr="005D4222">
              <w:rPr>
                <w:i/>
              </w:rPr>
              <w:t>s</w:t>
            </w:r>
            <w:r w:rsidRPr="005D4222" w:rsidDel="008B6A4B">
              <w:rPr>
                <w:i/>
              </w:rPr>
              <w:t xml:space="preserve">tatus &gt;9.0%. </w:t>
            </w:r>
            <w:r w:rsidRPr="005D4222" w:rsidDel="008B6A4B">
              <w:t>Decreased score indicates improvement.</w:t>
            </w:r>
          </w:p>
        </w:tc>
      </w:tr>
    </w:tbl>
    <w:p w14:paraId="5F787FDE" w14:textId="77777777" w:rsidR="00C20666" w:rsidRPr="005D4222" w:rsidRDefault="00C20666" w:rsidP="00C20666">
      <w:pPr>
        <w:rPr>
          <w:szCs w:val="21"/>
        </w:rPr>
      </w:pPr>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60"/>
      </w:tblGrid>
      <w:tr w:rsidR="00C20666" w:rsidRPr="005D4222" w14:paraId="763114F8" w14:textId="77777777">
        <w:tc>
          <w:tcPr>
            <w:tcW w:w="2157" w:type="dxa"/>
            <w:shd w:val="clear" w:color="auto" w:fill="BFBFBF" w:themeFill="background1" w:themeFillShade="BF"/>
            <w:tcMar>
              <w:top w:w="0" w:type="dxa"/>
              <w:left w:w="86" w:type="dxa"/>
              <w:bottom w:w="43" w:type="dxa"/>
              <w:right w:w="86" w:type="dxa"/>
            </w:tcMar>
          </w:tcPr>
          <w:p w14:paraId="2CCE4862" w14:textId="77777777" w:rsidR="00C20666" w:rsidRPr="005D4222" w:rsidRDefault="00C20666" w:rsidP="00C009F2">
            <w:pPr>
              <w:pStyle w:val="ECDSMarginHead"/>
            </w:pPr>
            <w:r w:rsidRPr="005D4222">
              <w:lastRenderedPageBreak/>
              <w:t>Initial population</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0BB9E30" w14:textId="77777777" w:rsidR="00C20666" w:rsidRPr="005D4222" w:rsidRDefault="00C20666" w:rsidP="001778C8">
            <w:pPr>
              <w:pStyle w:val="ECDSBody"/>
            </w:pPr>
            <w:r w:rsidRPr="005D4222">
              <w:rPr>
                <w:i/>
                <w:iCs/>
              </w:rPr>
              <w:t>Measure item count:</w:t>
            </w:r>
            <w:r w:rsidRPr="005D4222">
              <w:t xml:space="preserve"> Person.</w:t>
            </w:r>
          </w:p>
          <w:p w14:paraId="38B04EF6" w14:textId="77777777" w:rsidR="00C20666" w:rsidRPr="005D4222" w:rsidRDefault="00C20666" w:rsidP="001778C8">
            <w:pPr>
              <w:pStyle w:val="ECDSBody"/>
            </w:pPr>
            <w:r w:rsidRPr="005D4222">
              <w:rPr>
                <w:i/>
                <w:iCs/>
              </w:rPr>
              <w:t>Attribution basis:</w:t>
            </w:r>
            <w:r w:rsidRPr="005D4222">
              <w:t xml:space="preserve"> Enrollment.</w:t>
            </w:r>
          </w:p>
          <w:p w14:paraId="5ED1FDB2" w14:textId="77777777" w:rsidR="00C20666" w:rsidRPr="005D4222" w:rsidRDefault="00C20666" w:rsidP="001778C8">
            <w:pPr>
              <w:pStyle w:val="Bullet"/>
            </w:pPr>
            <w:r w:rsidRPr="005D4222">
              <w:rPr>
                <w:i/>
                <w:iCs/>
              </w:rPr>
              <w:t>Benefits:</w:t>
            </w:r>
            <w:r w:rsidRPr="005D4222">
              <w:t xml:space="preserve"> Medical.</w:t>
            </w:r>
          </w:p>
          <w:p w14:paraId="38FE8229" w14:textId="77777777" w:rsidR="00C20666" w:rsidRPr="005D4222" w:rsidRDefault="00C20666" w:rsidP="001778C8">
            <w:pPr>
              <w:pStyle w:val="Bullet"/>
            </w:pPr>
            <w:r w:rsidRPr="005D4222">
              <w:rPr>
                <w:i/>
                <w:iCs/>
              </w:rPr>
              <w:t xml:space="preserve">Continuous enrollment: </w:t>
            </w:r>
            <w:r w:rsidRPr="005D4222">
              <w:t>The measurement period.</w:t>
            </w:r>
          </w:p>
          <w:p w14:paraId="16D43956" w14:textId="77777777" w:rsidR="00C20666" w:rsidRPr="005D4222" w:rsidRDefault="00C20666" w:rsidP="001778C8">
            <w:pPr>
              <w:pStyle w:val="Bullet"/>
            </w:pPr>
            <w:r w:rsidRPr="005D4222">
              <w:rPr>
                <w:i/>
                <w:iCs/>
              </w:rPr>
              <w:t>Allowable gap:</w:t>
            </w:r>
            <w:r w:rsidRPr="005D4222">
              <w:t xml:space="preserve"> No more than one gap of ≤45 days during the measurement period. No gaps on the last day of the measurement period.  </w:t>
            </w:r>
          </w:p>
          <w:p w14:paraId="66A854EF" w14:textId="77777777" w:rsidR="00C20666" w:rsidRPr="005D4222" w:rsidRDefault="00C20666" w:rsidP="001778C8">
            <w:pPr>
              <w:pStyle w:val="ECDSBody"/>
            </w:pPr>
            <w:r w:rsidRPr="005D4222">
              <w:rPr>
                <w:i/>
              </w:rPr>
              <w:t xml:space="preserve">Ages: </w:t>
            </w:r>
            <w:r w:rsidRPr="005D4222">
              <w:t>18–75 years of age as of the last day of the measurement period.</w:t>
            </w:r>
          </w:p>
          <w:p w14:paraId="62CF339B" w14:textId="77777777" w:rsidR="00C20666" w:rsidRPr="005D4222" w:rsidRDefault="00C20666" w:rsidP="001778C8">
            <w:pPr>
              <w:pStyle w:val="ECDSBody"/>
            </w:pPr>
            <w:r w:rsidRPr="005D4222">
              <w:rPr>
                <w:i/>
                <w:iCs/>
              </w:rPr>
              <w:t>Event:</w:t>
            </w:r>
            <w:r w:rsidRPr="005D4222">
              <w:rPr>
                <w:b/>
                <w:i/>
                <w:iCs/>
              </w:rPr>
              <w:t xml:space="preserve"> </w:t>
            </w:r>
            <w:r w:rsidRPr="005D4222">
              <w:rPr>
                <w:b/>
              </w:rPr>
              <w:t xml:space="preserve">Identify persons with a diagnosis of diabetes. </w:t>
            </w:r>
          </w:p>
          <w:p w14:paraId="41FBB8E5" w14:textId="77777777" w:rsidR="00C20666" w:rsidRPr="005D4222" w:rsidRDefault="00C20666" w:rsidP="001778C8">
            <w:pPr>
              <w:pStyle w:val="ECDSBody"/>
            </w:pPr>
            <w:r w:rsidRPr="005D4222">
              <w:t>Either of the following meets criteria:</w:t>
            </w:r>
          </w:p>
          <w:p w14:paraId="70F0FF22" w14:textId="77777777" w:rsidR="00C20666" w:rsidRPr="005D4222" w:rsidRDefault="00C20666" w:rsidP="00C539D7">
            <w:pPr>
              <w:pStyle w:val="Bullet"/>
            </w:pPr>
            <w:r w:rsidRPr="005D4222">
              <w:rPr>
                <w:i/>
                <w:iCs/>
              </w:rPr>
              <w:t>Claim/encounter data.</w:t>
            </w:r>
            <w:r w:rsidRPr="005D4222" w:rsidDel="003256AE">
              <w:rPr>
                <w:i/>
              </w:rPr>
              <w:t xml:space="preserve"> </w:t>
            </w:r>
            <w:r w:rsidRPr="005D4222">
              <w:t>At least two diagnoses of diabetes (</w:t>
            </w:r>
            <w:r w:rsidRPr="005D4222">
              <w:rPr>
                <w:u w:val="single"/>
              </w:rPr>
              <w:t>Diabetes Value Set</w:t>
            </w:r>
            <w:r w:rsidRPr="005D4222">
              <w:t>*) on different dates of service during the measurement period or the year prior to the measurement period.</w:t>
            </w:r>
          </w:p>
          <w:p w14:paraId="6878A24D" w14:textId="77777777" w:rsidR="00C20666" w:rsidRPr="005D4222" w:rsidRDefault="00C20666" w:rsidP="00C539D7">
            <w:pPr>
              <w:pStyle w:val="Bullet"/>
            </w:pPr>
            <w:r w:rsidRPr="005D4222" w:rsidDel="003256AE">
              <w:rPr>
                <w:i/>
                <w:iCs/>
              </w:rPr>
              <w:t>Pharmacy</w:t>
            </w:r>
            <w:r w:rsidRPr="005D4222">
              <w:rPr>
                <w:i/>
                <w:iCs/>
              </w:rPr>
              <w:t xml:space="preserve"> data.</w:t>
            </w:r>
            <w:r w:rsidRPr="005D4222" w:rsidDel="003256AE">
              <w:rPr>
                <w:i/>
              </w:rPr>
              <w:t xml:space="preserve"> </w:t>
            </w:r>
            <w:r w:rsidRPr="005D4222">
              <w:t>At least one diagnosis of diabetes (</w:t>
            </w:r>
            <w:r w:rsidRPr="005D4222">
              <w:rPr>
                <w:u w:val="single"/>
              </w:rPr>
              <w:t>Diabetes Value Set</w:t>
            </w:r>
            <w:r w:rsidRPr="005D4222">
              <w:t xml:space="preserve">*) </w:t>
            </w:r>
            <w:r w:rsidRPr="005D4222">
              <w:rPr>
                <w:b/>
                <w:bCs/>
                <w:i/>
                <w:iCs/>
              </w:rPr>
              <w:t xml:space="preserve">and </w:t>
            </w:r>
            <w:r w:rsidRPr="005D4222">
              <w:t>at least one diabetes medication dispensing event of insulin or a hypoglycemic/antihyperglycemic medication (</w:t>
            </w:r>
            <w:r w:rsidRPr="005D4222">
              <w:rPr>
                <w:u w:val="single"/>
              </w:rPr>
              <w:t>Diabetes Medications List</w:t>
            </w:r>
            <w:r w:rsidRPr="005D4222">
              <w:t>) during the measurement period or the year prior to the measurement period. </w:t>
            </w:r>
          </w:p>
          <w:p w14:paraId="76F753FD" w14:textId="77777777" w:rsidR="00C20666" w:rsidRPr="005D4222" w:rsidRDefault="00C20666" w:rsidP="001778C8">
            <w:pPr>
              <w:pStyle w:val="ECDSBody"/>
              <w:spacing w:after="0"/>
              <w:rPr>
                <w:rFonts w:eastAsia="Arial,Arial,Arial,Arial,Arial,A"/>
                <w:b/>
                <w:bCs w:val="0"/>
              </w:rPr>
            </w:pPr>
            <w:r w:rsidRPr="005D4222">
              <w:rPr>
                <w:rFonts w:eastAsia="Arial,Arial,Arial,Arial,Arial,A"/>
                <w:b/>
                <w:bCs w:val="0"/>
              </w:rPr>
              <w:t>Coding Guidance</w:t>
            </w:r>
          </w:p>
          <w:p w14:paraId="095DFFF5" w14:textId="77777777" w:rsidR="00C20666" w:rsidRPr="005D4222" w:rsidRDefault="00C20666" w:rsidP="001778C8">
            <w:pPr>
              <w:pStyle w:val="ECDSBody"/>
              <w:spacing w:before="0"/>
              <w:rPr>
                <w:rFonts w:eastAsia="Arial,Arial,Arial,Arial,Arial,A"/>
                <w:color w:val="2F5496" w:themeColor="accent1" w:themeShade="BF"/>
              </w:rPr>
            </w:pPr>
            <w:r w:rsidRPr="005D4222">
              <w:rPr>
                <w:rFonts w:eastAsia="Arial,Arial,Arial,Arial,Arial,A"/>
              </w:rPr>
              <w:t>*Do not include laboratory claims (claims with POS code 81).</w:t>
            </w:r>
          </w:p>
        </w:tc>
      </w:tr>
      <w:tr w:rsidR="00C20666" w:rsidRPr="005D4222" w14:paraId="357A61E0" w14:textId="77777777">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3FE6C6C" w14:textId="77777777" w:rsidR="00C20666" w:rsidRPr="005D4222" w:rsidRDefault="00C20666" w:rsidP="00C009F2">
            <w:pPr>
              <w:pStyle w:val="ECDSMarginHead"/>
            </w:pPr>
            <w:r w:rsidRPr="005D4222">
              <w:t xml:space="preserve">Denominator exclusions </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2924EAA" w14:textId="77777777" w:rsidR="00C20666" w:rsidRPr="005D4222" w:rsidRDefault="00C20666" w:rsidP="00C539D7">
            <w:pPr>
              <w:pStyle w:val="ECDSBody"/>
              <w:rPr>
                <w:rFonts w:cs="Segoe UI"/>
                <w:szCs w:val="18"/>
              </w:rPr>
            </w:pPr>
            <w:bookmarkStart w:id="289" w:name="_Hlk138321104"/>
            <w:r w:rsidRPr="005D4222">
              <w:rPr>
                <w:b/>
              </w:rPr>
              <w:t>Persons with a date of death. </w:t>
            </w:r>
            <w:r w:rsidRPr="005D4222">
              <w:rPr>
                <w:b/>
              </w:rPr>
              <w:br/>
            </w:r>
            <w:r w:rsidRPr="005D4222">
              <w:t>Death in the measurement period, identified using data sources determined by the organization. Method and data sources are subject to review during the HEDIS audit. </w:t>
            </w:r>
          </w:p>
          <w:p w14:paraId="21E0AB06" w14:textId="77777777" w:rsidR="00C20666" w:rsidRPr="005D4222" w:rsidRDefault="00C20666" w:rsidP="00C539D7">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430DC1CC" w14:textId="77777777" w:rsidR="00C20666" w:rsidRPr="005D4222" w:rsidRDefault="00C20666" w:rsidP="00C539D7">
            <w:pPr>
              <w:pStyle w:val="ECDSBody"/>
            </w:pPr>
            <w:r w:rsidRPr="005D4222" w:rsidDel="00AA4A01">
              <w:rPr>
                <w:b/>
              </w:rPr>
              <w:t xml:space="preserve">Persons </w:t>
            </w:r>
            <w:r w:rsidRPr="005D4222">
              <w:rPr>
                <w:b/>
              </w:rPr>
              <w:t>receiving palliative care.</w:t>
            </w:r>
            <w:r w:rsidRPr="005D4222">
              <w:rPr>
                <w:b/>
              </w:rPr>
              <w:br/>
            </w:r>
            <w:r w:rsidRPr="005D4222">
              <w:t>Persons receiving palliative care (</w:t>
            </w:r>
            <w:r w:rsidRPr="005D4222">
              <w:rPr>
                <w:u w:val="single"/>
              </w:rPr>
              <w:t>Palliative Care Assessment Value Set</w:t>
            </w:r>
            <w:r w:rsidRPr="005D4222">
              <w:t xml:space="preserve">; </w:t>
            </w:r>
            <w:r w:rsidRPr="005D4222">
              <w:rPr>
                <w:u w:val="single"/>
              </w:rPr>
              <w:t>Palliative Care Encounter Value Set</w:t>
            </w:r>
            <w:r w:rsidRPr="005D4222">
              <w:t xml:space="preserve">; </w:t>
            </w:r>
            <w:r w:rsidRPr="005D4222">
              <w:rPr>
                <w:u w:val="single"/>
              </w:rPr>
              <w:t>Palliative Care Intervention Value Set</w:t>
            </w:r>
            <w:r w:rsidRPr="005D4222">
              <w:t xml:space="preserve">) or who had an encounter for palliative care (ICD-10-CM code Z51.5*) any time during the measurement period. </w:t>
            </w:r>
          </w:p>
          <w:p w14:paraId="01D086EE" w14:textId="77777777" w:rsidR="00C20666" w:rsidRPr="005D4222" w:rsidRDefault="00C20666" w:rsidP="00C539D7">
            <w:pPr>
              <w:pStyle w:val="ECDSBody"/>
              <w:rPr>
                <w:b/>
                <w:color w:val="000000" w:themeColor="text1"/>
                <w:kern w:val="24"/>
                <w14:ligatures w14:val="standardContextual"/>
              </w:rPr>
            </w:pPr>
            <w:r w:rsidRPr="005D4222">
              <w:rPr>
                <w:b/>
                <w:color w:val="000000"/>
                <w:shd w:val="clear" w:color="auto" w:fill="FFFFFF"/>
              </w:rPr>
              <w:t>Medicare enrollees,</w:t>
            </w:r>
            <w:r w:rsidRPr="005D4222" w:rsidDel="000006A0">
              <w:rPr>
                <w:b/>
                <w:color w:val="000000"/>
                <w:shd w:val="clear" w:color="auto" w:fill="FFFFFF"/>
              </w:rPr>
              <w:t xml:space="preserve"> </w:t>
            </w:r>
            <w:r w:rsidRPr="005D4222">
              <w:rPr>
                <w:b/>
                <w:color w:val="000000"/>
                <w:shd w:val="clear" w:color="auto" w:fill="FFFFFF"/>
              </w:rPr>
              <w:t>66 years of age and older by the last day of the measurement period in an institutional SNP (I-SNP) or living long-term in an institution (LTI).</w:t>
            </w:r>
          </w:p>
          <w:p w14:paraId="37D50771" w14:textId="77777777" w:rsidR="00C20666" w:rsidRPr="005D4222" w:rsidRDefault="00C20666" w:rsidP="00C539D7">
            <w:pPr>
              <w:pStyle w:val="ProcessBullet"/>
              <w:rPr>
                <w:rFonts w:eastAsia="Arial,Arial,Arial,Arial,Arial,A"/>
              </w:rPr>
            </w:pPr>
            <w:r w:rsidRPr="005D4222">
              <w:t xml:space="preserve">Enrolled in an </w:t>
            </w:r>
            <w:r w:rsidRPr="005D4222" w:rsidDel="00CB753A">
              <w:t>Institutional SNP (</w:t>
            </w:r>
            <w:r w:rsidRPr="005D4222">
              <w:t>I-SNP</w:t>
            </w:r>
            <w:r w:rsidRPr="005D4222" w:rsidDel="00CB753A">
              <w:t>)</w:t>
            </w:r>
            <w:r w:rsidRPr="005D4222">
              <w:t xml:space="preserve"> any time during the measurement period.</w:t>
            </w:r>
            <w:bookmarkEnd w:id="289"/>
          </w:p>
          <w:p w14:paraId="028B4FA0" w14:textId="77777777" w:rsidR="00C20666" w:rsidRPr="005D4222" w:rsidRDefault="00C20666" w:rsidP="00C539D7">
            <w:pPr>
              <w:pStyle w:val="ProcessBullet"/>
              <w:spacing w:after="80"/>
              <w:rPr>
                <w:rFonts w:eastAsia="Arial,Arial,Arial,Arial,Arial,A"/>
              </w:rPr>
            </w:pPr>
            <w:r w:rsidRPr="005D4222">
              <w:t xml:space="preserve">Living </w:t>
            </w:r>
            <w:r w:rsidRPr="005D4222" w:rsidDel="00CB753A">
              <w:t>long-term in an institution</w:t>
            </w:r>
            <w:r w:rsidRPr="005D4222">
              <w:t xml:space="preserve"> any time during the measurement period as identified by the LTI flag in the Monthly Membership Detail Data File. Use the run date of the file to determine </w:t>
            </w:r>
            <w:r w:rsidRPr="005D4222" w:rsidDel="00794D77">
              <w:t xml:space="preserve">if a </w:t>
            </w:r>
            <w:r w:rsidRPr="005D4222">
              <w:t>member had an LTI flag during the measurement period.</w:t>
            </w:r>
          </w:p>
        </w:tc>
      </w:tr>
      <w:tr w:rsidR="00C20666" w:rsidRPr="005D4222" w14:paraId="3DBDE359" w14:textId="77777777">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309A36C" w14:textId="77777777" w:rsidR="00C20666" w:rsidRPr="005D4222" w:rsidRDefault="00C20666" w:rsidP="00C20666">
            <w:pPr>
              <w:spacing w:before="120" w:after="80"/>
              <w:rPr>
                <w:b/>
                <w:sz w:val="22"/>
                <w:szCs w:val="21"/>
              </w:rPr>
            </w:pP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3CF36EF" w14:textId="77777777" w:rsidR="00C20666" w:rsidRPr="005D4222" w:rsidRDefault="00C20666" w:rsidP="00C539D7">
            <w:pPr>
              <w:pStyle w:val="ECDSBody"/>
              <w:rPr>
                <w:b/>
                <w:bCs w:val="0"/>
              </w:rPr>
            </w:pPr>
            <w:r w:rsidRPr="005D4222">
              <w:rPr>
                <w:b/>
                <w:bCs w:val="0"/>
              </w:rPr>
              <w:t>Persons 66 years of age or older by the last day of the measurement period, with both frailty and advanced illness.</w:t>
            </w:r>
          </w:p>
          <w:p w14:paraId="0F7B3A5B" w14:textId="77777777" w:rsidR="00C20666" w:rsidRPr="005D4222" w:rsidRDefault="00C20666" w:rsidP="00C20666">
            <w:pPr>
              <w:spacing w:before="60" w:after="60"/>
              <w:ind w:left="288" w:hanging="288"/>
              <w:rPr>
                <w:rFonts w:cs="Arial"/>
                <w:kern w:val="24"/>
                <w:u w:val="single"/>
              </w:rPr>
            </w:pPr>
            <w:r w:rsidRPr="005D4222">
              <w:rPr>
                <w:kern w:val="24"/>
              </w:rPr>
              <w:t>1.</w:t>
            </w:r>
            <w:r w:rsidRPr="005D4222">
              <w:rPr>
                <w:kern w:val="24"/>
              </w:rPr>
              <w:tab/>
            </w:r>
            <w:r w:rsidRPr="005D4222">
              <w:rPr>
                <w:b/>
                <w:bCs/>
                <w:kern w:val="24"/>
              </w:rPr>
              <w:t>Frailty.</w:t>
            </w:r>
            <w:r w:rsidRPr="005D4222">
              <w:rPr>
                <w:kern w:val="24"/>
              </w:rPr>
              <w:t xml:space="preserve"> </w:t>
            </w:r>
            <w:r w:rsidRPr="005D4222">
              <w:rPr>
                <w:rFonts w:cs="Arial"/>
                <w:kern w:val="24"/>
              </w:rPr>
              <w:t>At least two indications of frailty (</w:t>
            </w:r>
            <w:r w:rsidRPr="005D4222">
              <w:rPr>
                <w:rFonts w:cs="Arial"/>
                <w:kern w:val="24"/>
                <w:u w:val="single"/>
              </w:rPr>
              <w:t>Frailty Device Value Set</w:t>
            </w:r>
            <w:r w:rsidRPr="005D4222">
              <w:rPr>
                <w:rFonts w:cs="Arial"/>
                <w:kern w:val="24"/>
              </w:rPr>
              <w:t xml:space="preserve">; </w:t>
            </w:r>
            <w:r w:rsidRPr="005D4222">
              <w:rPr>
                <w:rFonts w:cs="Arial"/>
                <w:kern w:val="24"/>
                <w:u w:val="single"/>
              </w:rPr>
              <w:t>Frailty Diagnosis Value Set</w:t>
            </w:r>
            <w:r w:rsidRPr="005D4222">
              <w:rPr>
                <w:rFonts w:cs="Arial"/>
                <w:kern w:val="24"/>
              </w:rPr>
              <w:t xml:space="preserve">*; </w:t>
            </w:r>
            <w:r w:rsidRPr="005D4222">
              <w:rPr>
                <w:rFonts w:cs="Arial"/>
                <w:kern w:val="24"/>
                <w:u w:val="single"/>
              </w:rPr>
              <w:t>Frailty Encounter Value Set</w:t>
            </w:r>
            <w:r w:rsidRPr="005D4222">
              <w:rPr>
                <w:rFonts w:cs="Arial"/>
                <w:kern w:val="24"/>
              </w:rPr>
              <w:t xml:space="preserve">; </w:t>
            </w:r>
            <w:r w:rsidRPr="005D4222">
              <w:rPr>
                <w:rFonts w:cs="Arial"/>
                <w:kern w:val="24"/>
                <w:u w:val="single"/>
              </w:rPr>
              <w:t>Frailty Symptom Value Set</w:t>
            </w:r>
            <w:r w:rsidR="00E254AA" w:rsidRPr="005D4222">
              <w:rPr>
                <w:rFonts w:cs="Arial"/>
                <w:kern w:val="24"/>
              </w:rPr>
              <w:t>*</w:t>
            </w:r>
            <w:r w:rsidRPr="005D4222">
              <w:rPr>
                <w:rFonts w:cs="Arial"/>
                <w:kern w:val="24"/>
              </w:rPr>
              <w:t>) with different dates of service during the measurement period.</w:t>
            </w:r>
          </w:p>
          <w:p w14:paraId="057A6C23" w14:textId="77777777" w:rsidR="00C20666" w:rsidRPr="005D4222" w:rsidRDefault="00C20666" w:rsidP="00296B02">
            <w:pPr>
              <w:spacing w:before="80" w:after="60"/>
              <w:ind w:left="288" w:hanging="288"/>
              <w:rPr>
                <w:rFonts w:cs="Arial"/>
                <w:kern w:val="24"/>
              </w:rPr>
            </w:pPr>
            <w:r w:rsidRPr="005D4222">
              <w:rPr>
                <w:kern w:val="24"/>
              </w:rPr>
              <w:t>2.</w:t>
            </w:r>
            <w:r w:rsidRPr="005D4222">
              <w:rPr>
                <w:kern w:val="24"/>
              </w:rPr>
              <w:tab/>
            </w:r>
            <w:r w:rsidRPr="005D4222">
              <w:rPr>
                <w:b/>
                <w:bCs/>
                <w:kern w:val="24"/>
              </w:rPr>
              <w:t>Advanced illness.</w:t>
            </w:r>
            <w:r w:rsidRPr="005D4222">
              <w:rPr>
                <w:kern w:val="24"/>
              </w:rPr>
              <w:t xml:space="preserve"> Either</w:t>
            </w:r>
            <w:r w:rsidRPr="005D4222">
              <w:rPr>
                <w:rFonts w:cs="Arial"/>
                <w:kern w:val="24"/>
              </w:rPr>
              <w:t xml:space="preserve"> of the following during the measurement period or the year prior to the measurement period: </w:t>
            </w:r>
          </w:p>
          <w:p w14:paraId="44931B3C" w14:textId="77777777" w:rsidR="00C20666" w:rsidRPr="005D4222" w:rsidRDefault="00C20666" w:rsidP="00C539D7">
            <w:pPr>
              <w:pStyle w:val="Dash"/>
              <w:ind w:left="504"/>
            </w:pPr>
            <w:r w:rsidRPr="005D4222">
              <w:t>Advanced illness (</w:t>
            </w:r>
            <w:r w:rsidRPr="005D4222">
              <w:rPr>
                <w:u w:val="single"/>
              </w:rPr>
              <w:t>Advanced Illness Value Set</w:t>
            </w:r>
            <w:r w:rsidRPr="005D4222">
              <w:t>*) on at least two different dates of service.</w:t>
            </w:r>
          </w:p>
          <w:p w14:paraId="5A88A031" w14:textId="77777777" w:rsidR="00C20666" w:rsidRPr="005D4222" w:rsidRDefault="00C20666" w:rsidP="00C539D7">
            <w:pPr>
              <w:pStyle w:val="Dash"/>
              <w:ind w:left="504"/>
            </w:pPr>
            <w:r w:rsidRPr="005D4222">
              <w:t>Dispensed dementia medication (</w:t>
            </w:r>
            <w:r w:rsidRPr="005D4222">
              <w:rPr>
                <w:u w:val="single"/>
              </w:rPr>
              <w:t>Dementia Medications List</w:t>
            </w:r>
            <w:r w:rsidRPr="005D4222">
              <w:t>).</w:t>
            </w:r>
          </w:p>
          <w:p w14:paraId="46765802" w14:textId="77777777" w:rsidR="00C20666" w:rsidRPr="005D4222" w:rsidRDefault="00C20666" w:rsidP="00C539D7">
            <w:pPr>
              <w:pStyle w:val="ECDSBody"/>
              <w:spacing w:after="0"/>
              <w:rPr>
                <w:rFonts w:eastAsia="Arial,Arial,Arial,Arial,Arial,A"/>
                <w:b/>
                <w:bCs w:val="0"/>
              </w:rPr>
            </w:pPr>
            <w:r w:rsidRPr="005D4222">
              <w:rPr>
                <w:rFonts w:eastAsia="Arial,Arial,Arial,Arial,Arial,A"/>
                <w:b/>
                <w:bCs w:val="0"/>
              </w:rPr>
              <w:t>Coding Guidance</w:t>
            </w:r>
          </w:p>
          <w:p w14:paraId="451B2742" w14:textId="77777777" w:rsidR="00C20666" w:rsidRPr="005D4222" w:rsidRDefault="00C20666" w:rsidP="00C539D7">
            <w:pPr>
              <w:pStyle w:val="ECDSBody"/>
              <w:spacing w:before="0"/>
            </w:pPr>
            <w:r w:rsidRPr="005D4222">
              <w:rPr>
                <w:rFonts w:eastAsia="Arial,Arial,Arial,Arial,Arial,A"/>
              </w:rPr>
              <w:t>*Do not include laboratory claims (claims with POS code 81).</w:t>
            </w:r>
          </w:p>
        </w:tc>
      </w:tr>
      <w:tr w:rsidR="00C20666" w:rsidRPr="005D4222" w14:paraId="68FF89DA" w14:textId="77777777">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8C7950A" w14:textId="77777777" w:rsidR="00C20666" w:rsidRPr="005D4222" w:rsidRDefault="00C20666" w:rsidP="00C009F2">
            <w:pPr>
              <w:pStyle w:val="ECDSMarginHead"/>
            </w:pPr>
            <w:r w:rsidRPr="005D4222">
              <w:t>Denominator</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BAD73F4" w14:textId="77777777" w:rsidR="00C20666" w:rsidRPr="005D4222" w:rsidRDefault="00C20666" w:rsidP="00C539D7">
            <w:pPr>
              <w:pStyle w:val="Admin"/>
            </w:pPr>
            <w:r w:rsidRPr="005D4222">
              <w:t xml:space="preserve">ADMINISTRATIVE </w:t>
            </w:r>
          </w:p>
          <w:p w14:paraId="284630E2" w14:textId="77777777" w:rsidR="00C20666" w:rsidRPr="005D4222" w:rsidRDefault="00C20666" w:rsidP="00C539D7">
            <w:pPr>
              <w:pStyle w:val="ECDSBody"/>
              <w:rPr>
                <w:rFonts w:eastAsia="Arial,Arial,Arial,Arial,Arial,A"/>
              </w:rPr>
            </w:pPr>
            <w:r w:rsidRPr="005D4222">
              <w:rPr>
                <w:rFonts w:eastAsia="Arial,Arial,Arial,Arial,Arial,A"/>
              </w:rPr>
              <w:t>The initial population minus denominator exclusions.</w:t>
            </w:r>
          </w:p>
          <w:p w14:paraId="27CE0E64" w14:textId="77777777" w:rsidR="00C20666" w:rsidRPr="005D4222" w:rsidRDefault="00C20666" w:rsidP="00C539D7">
            <w:pPr>
              <w:pStyle w:val="Admin"/>
            </w:pPr>
            <w:r w:rsidRPr="005D4222">
              <w:t xml:space="preserve">HYBRID </w:t>
            </w:r>
          </w:p>
          <w:p w14:paraId="270AE653" w14:textId="77777777" w:rsidR="00C20666" w:rsidRPr="005D4222" w:rsidRDefault="00C20666" w:rsidP="00C539D7">
            <w:pPr>
              <w:pStyle w:val="ECDSBody"/>
            </w:pPr>
            <w:r w:rsidRPr="005D4222">
              <w:rPr>
                <w:rFonts w:eastAsia="Arial,Arial,Arial,Arial,Arial,A"/>
              </w:rPr>
              <w:t xml:space="preserve">A </w:t>
            </w:r>
            <w:r w:rsidRPr="005D4222">
              <w:t>systematic sample drawn from the administrative denominator.</w:t>
            </w:r>
          </w:p>
          <w:p w14:paraId="6832C961" w14:textId="77777777" w:rsidR="00C20666" w:rsidRPr="005D4222" w:rsidRDefault="00C20666" w:rsidP="00C539D7">
            <w:pPr>
              <w:pStyle w:val="ECDSBody"/>
            </w:pPr>
            <w:r w:rsidRPr="005D4222">
              <w:t>Organizations that use the Hybrid Method to report the Glycemic Status Assessment for Patients With Diabetes (GSD</w:t>
            </w:r>
            <w:r w:rsidRPr="005D4222" w:rsidDel="00731284">
              <w:t xml:space="preserve">) </w:t>
            </w:r>
            <w:r w:rsidRPr="005D4222">
              <w:t xml:space="preserve">and Blood Pressure Control for Patients With Diabetes (BPD) measures may use the same sample for both </w:t>
            </w:r>
            <w:r w:rsidRPr="005D4222" w:rsidDel="006B2A30">
              <w:t>measures</w:t>
            </w:r>
            <w:r w:rsidRPr="005D4222">
              <w:t>.</w:t>
            </w:r>
            <w:r w:rsidRPr="005D4222" w:rsidDel="00DD2C1F">
              <w:t xml:space="preserve"> </w:t>
            </w:r>
            <w:r w:rsidRPr="005D4222">
              <w:t>If the same sample is used for both measures, the organization must take the inverse of the Glycemic Status &gt;9.0% rate (100 minus the Glycemic Status &gt;9.0% rate) before reducing the sample.</w:t>
            </w:r>
            <w:r w:rsidRPr="005D4222" w:rsidDel="00703EAA">
              <w:t xml:space="preserve"> </w:t>
            </w:r>
          </w:p>
          <w:p w14:paraId="7F647629" w14:textId="77777777" w:rsidR="00C20666" w:rsidRPr="005D4222" w:rsidRDefault="00C20666" w:rsidP="00C539D7">
            <w:pPr>
              <w:pStyle w:val="ECDSBody"/>
            </w:pPr>
            <w:r w:rsidRPr="005D4222">
              <w:t xml:space="preserve">Organizations may reduce the sample size based on the current year’s administrative rate or the prior year’s audited, product line-specific rate for the lowest rate of all GSD indicators </w:t>
            </w:r>
            <w:r w:rsidRPr="005D4222" w:rsidDel="00336C7F">
              <w:t xml:space="preserve">and </w:t>
            </w:r>
            <w:r w:rsidRPr="005D4222">
              <w:t>the BPD measure.</w:t>
            </w:r>
          </w:p>
          <w:p w14:paraId="4C1600A0" w14:textId="77777777" w:rsidR="00C20666" w:rsidRPr="005D4222" w:rsidRDefault="00C20666" w:rsidP="00C539D7">
            <w:pPr>
              <w:pStyle w:val="ECDSBody"/>
            </w:pPr>
            <w:r w:rsidRPr="005D4222">
              <w:t>If separate samples are used for the GSD and BPD measures, organizations may reduce the sample based on the product line-specific current year’s administrative rate or the prior year’s audited, product line-specific rate for the measure.</w:t>
            </w:r>
          </w:p>
          <w:p w14:paraId="0322CC2D" w14:textId="2E50474D" w:rsidR="00C20666" w:rsidRPr="005D4222" w:rsidDel="00AA4A01" w:rsidRDefault="00C20666" w:rsidP="00C539D7">
            <w:pPr>
              <w:pStyle w:val="ECDSBody"/>
              <w:rPr>
                <w:b/>
              </w:rPr>
            </w:pPr>
            <w:r w:rsidRPr="005D4222">
              <w:t>Refer to the</w:t>
            </w:r>
            <w:r w:rsidR="005D1B3D">
              <w:t xml:space="preserve"> </w:t>
            </w:r>
            <w:hyperlink w:anchor="Guidelines_for_Sampling" w:history="1">
              <w:r w:rsidRPr="005D4222">
                <w:rPr>
                  <w:rStyle w:val="Hyperlink"/>
                  <w:i/>
                  <w:iCs/>
                </w:rPr>
                <w:t>Guidelines for Calculations and Sampling</w:t>
              </w:r>
            </w:hyperlink>
            <w:r w:rsidRPr="005D4222">
              <w:t xml:space="preserve"> for information on reducing sample size.</w:t>
            </w:r>
          </w:p>
        </w:tc>
      </w:tr>
      <w:tr w:rsidR="00C20666" w:rsidRPr="005D4222" w14:paraId="661F5721"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E58502F" w14:textId="77777777" w:rsidR="00C20666" w:rsidRPr="005D4222" w:rsidRDefault="00C20666" w:rsidP="00C009F2">
            <w:pPr>
              <w:pStyle w:val="ECDSMarginHead"/>
            </w:pPr>
            <w:r w:rsidRPr="005D4222">
              <w:t>Numerator</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D08D958" w14:textId="77777777" w:rsidR="00C20666" w:rsidRPr="005D4222" w:rsidRDefault="00C20666" w:rsidP="00C539D7">
            <w:pPr>
              <w:pStyle w:val="Admin"/>
            </w:pPr>
            <w:r w:rsidRPr="005D4222">
              <w:t>ADMINISTRATIVE</w:t>
            </w:r>
          </w:p>
          <w:p w14:paraId="2786B646" w14:textId="77777777" w:rsidR="00C20666" w:rsidRPr="005D4222" w:rsidRDefault="00C20666" w:rsidP="00C539D7">
            <w:pPr>
              <w:pStyle w:val="ECDSBody"/>
            </w:pPr>
            <w:r w:rsidRPr="005D4222">
              <w:rPr>
                <w:b/>
              </w:rPr>
              <w:t>Numerator 1: Glycemic status &lt;8%.</w:t>
            </w:r>
            <w:r w:rsidRPr="005D4222">
              <w:rPr>
                <w:b/>
              </w:rPr>
              <w:br/>
            </w:r>
            <w:r w:rsidRPr="005D4222">
              <w:t>Identify the most recent glycemic status assessment (HbA1c or GMI) (</w:t>
            </w:r>
            <w:r w:rsidRPr="005D4222">
              <w:rPr>
                <w:u w:val="single"/>
              </w:rPr>
              <w:t>HbA1c Lab Test Value Set</w:t>
            </w:r>
            <w:r w:rsidRPr="005D4222">
              <w:t xml:space="preserve">; </w:t>
            </w:r>
            <w:r w:rsidRPr="005D4222">
              <w:rPr>
                <w:u w:val="single"/>
              </w:rPr>
              <w:t>HbA1c Test Result or Finding Value Set</w:t>
            </w:r>
            <w:r w:rsidR="00E254AA" w:rsidRPr="005D4222">
              <w:t>*</w:t>
            </w:r>
            <w:r w:rsidRPr="005D4222">
              <w:rPr>
                <w:color w:val="000000"/>
                <w:bdr w:val="none" w:sz="0" w:space="0" w:color="auto" w:frame="1"/>
              </w:rPr>
              <w:t>†</w:t>
            </w:r>
            <w:r w:rsidRPr="005D4222">
              <w:t xml:space="preserve">; LOINC code </w:t>
            </w:r>
            <w:r w:rsidRPr="005D4222">
              <w:rPr>
                <w:rFonts w:eastAsiaTheme="majorEastAsia"/>
              </w:rPr>
              <w:t>97506-0</w:t>
            </w:r>
            <w:r w:rsidRPr="005D4222">
              <w:t>) during the measurement period. If there are multiple glycemic status assessments on the same date of service, use the lowest result.</w:t>
            </w:r>
          </w:p>
          <w:p w14:paraId="760B62D5" w14:textId="77777777" w:rsidR="00C20666" w:rsidRPr="005D4222" w:rsidRDefault="00C20666" w:rsidP="00C539D7">
            <w:pPr>
              <w:pStyle w:val="Bullet"/>
            </w:pPr>
            <w:r w:rsidRPr="005D4222">
              <w:rPr>
                <w:i/>
                <w:iCs/>
              </w:rPr>
              <w:t>Compliant</w:t>
            </w:r>
            <w:r w:rsidRPr="005D4222">
              <w:t>: Most recent glycemic status assessment with a result of &lt;8.0%.</w:t>
            </w:r>
          </w:p>
          <w:p w14:paraId="2DDB898E" w14:textId="77777777" w:rsidR="00C20666" w:rsidRPr="005D4222" w:rsidRDefault="00C20666" w:rsidP="00C539D7">
            <w:pPr>
              <w:pStyle w:val="Bullet"/>
              <w:spacing w:after="80"/>
            </w:pPr>
            <w:r w:rsidRPr="005D4222">
              <w:rPr>
                <w:i/>
                <w:iCs/>
              </w:rPr>
              <w:t>Not compliant:</w:t>
            </w:r>
            <w:r w:rsidRPr="005D4222">
              <w:t xml:space="preserve"> Most recent glycemic status assessment is ≥8.0%; is missing a result; or if a glycemic status assessment was not done during the measurement period.</w:t>
            </w:r>
          </w:p>
          <w:p w14:paraId="5A38CFF2" w14:textId="77777777" w:rsidR="00C20666" w:rsidRPr="005D4222" w:rsidRDefault="00C20666" w:rsidP="00296B02">
            <w:pPr>
              <w:pStyle w:val="ECDSBody"/>
              <w:spacing w:before="180"/>
            </w:pPr>
            <w:r w:rsidRPr="005D4222">
              <w:lastRenderedPageBreak/>
              <w:t>If the most recent glycemic status assessment was an HbA1c test</w:t>
            </w:r>
            <w:r w:rsidRPr="005D4222" w:rsidDel="00867F40">
              <w:t xml:space="preserve"> </w:t>
            </w:r>
            <w:r w:rsidRPr="005D4222">
              <w:t>identified based on a CPT Category II code (</w:t>
            </w:r>
            <w:r w:rsidRPr="005D4222">
              <w:rPr>
                <w:u w:val="single"/>
              </w:rPr>
              <w:t>HbA1c Test Result or Finding Value Set</w:t>
            </w:r>
            <w:r w:rsidRPr="005D4222">
              <w:t>), use the following to determine compliance:</w:t>
            </w:r>
          </w:p>
          <w:p w14:paraId="508E5C11" w14:textId="77777777" w:rsidR="00C20666" w:rsidRPr="005D4222" w:rsidRDefault="00C20666" w:rsidP="008A0471">
            <w:pPr>
              <w:pStyle w:val="Bullet"/>
            </w:pPr>
            <w:r w:rsidRPr="005D4222">
              <w:rPr>
                <w:i/>
                <w:iCs/>
              </w:rPr>
              <w:t>Compliant</w:t>
            </w:r>
            <w:r w:rsidRPr="005D4222">
              <w:t xml:space="preserve">: </w:t>
            </w:r>
            <w:r w:rsidRPr="005D4222">
              <w:rPr>
                <w:u w:val="single"/>
              </w:rPr>
              <w:t>HbA1c Level Less Than 8.0 Value Set</w:t>
            </w:r>
            <w:r w:rsidRPr="005D4222">
              <w:t xml:space="preserve">. </w:t>
            </w:r>
          </w:p>
          <w:p w14:paraId="006EDA43" w14:textId="77777777" w:rsidR="00C20666" w:rsidRPr="005D4222" w:rsidRDefault="00C20666" w:rsidP="008A0471">
            <w:pPr>
              <w:pStyle w:val="Bullet"/>
            </w:pPr>
            <w:r w:rsidRPr="005D4222">
              <w:rPr>
                <w:i/>
                <w:iCs/>
              </w:rPr>
              <w:t>Not compliant</w:t>
            </w:r>
            <w:r w:rsidRPr="005D4222">
              <w:t xml:space="preserve">: </w:t>
            </w:r>
            <w:r w:rsidRPr="005D4222">
              <w:rPr>
                <w:u w:val="single"/>
              </w:rPr>
              <w:t>HbA1c Level Greater Than or Equal To 8.0 Value Set</w:t>
            </w:r>
            <w:r w:rsidRPr="005D4222">
              <w:t>.</w:t>
            </w:r>
          </w:p>
          <w:p w14:paraId="37B7E6E6" w14:textId="77777777" w:rsidR="00C20666" w:rsidRPr="005D4222" w:rsidRDefault="00C20666" w:rsidP="008A0471">
            <w:pPr>
              <w:pStyle w:val="ECDSBody"/>
            </w:pPr>
            <w:r w:rsidRPr="005D4222">
              <w:rPr>
                <w:b/>
              </w:rPr>
              <w:t>Numerator 2: Glycemic status &gt;9%.</w:t>
            </w:r>
            <w:r w:rsidRPr="005D4222">
              <w:rPr>
                <w:b/>
              </w:rPr>
              <w:br/>
            </w:r>
            <w:r w:rsidRPr="005D4222">
              <w:t>Identify the most recent glycemic status assessment (HbA1c or GMI) (</w:t>
            </w:r>
            <w:r w:rsidRPr="005D4222">
              <w:rPr>
                <w:u w:val="single"/>
              </w:rPr>
              <w:t>HbA1c Lab Test Value Set</w:t>
            </w:r>
            <w:r w:rsidRPr="005D4222">
              <w:t xml:space="preserve">; </w:t>
            </w:r>
            <w:r w:rsidRPr="005D4222">
              <w:rPr>
                <w:u w:val="single"/>
              </w:rPr>
              <w:t>HbA1c Test Result or Finding Value Set</w:t>
            </w:r>
            <w:r w:rsidR="00E254AA" w:rsidRPr="005D4222">
              <w:t>*</w:t>
            </w:r>
            <w:r w:rsidRPr="005D4222">
              <w:rPr>
                <w:color w:val="000000"/>
                <w:bdr w:val="none" w:sz="0" w:space="0" w:color="auto" w:frame="1"/>
              </w:rPr>
              <w:t>†</w:t>
            </w:r>
            <w:r w:rsidRPr="005D4222">
              <w:t xml:space="preserve">; LOINC code </w:t>
            </w:r>
            <w:r w:rsidRPr="005D4222">
              <w:rPr>
                <w:rFonts w:eastAsiaTheme="majorEastAsia"/>
              </w:rPr>
              <w:t>97506-0</w:t>
            </w:r>
            <w:r w:rsidRPr="005D4222">
              <w:t xml:space="preserve">) during the measurement period. If there are multiple glycemic status assessments on the same date, use the lowest result. </w:t>
            </w:r>
          </w:p>
          <w:p w14:paraId="2521E5FE" w14:textId="77777777" w:rsidR="00C20666" w:rsidRPr="005D4222" w:rsidRDefault="00C20666" w:rsidP="00A751D1">
            <w:pPr>
              <w:pStyle w:val="Bullet"/>
            </w:pPr>
            <w:r w:rsidRPr="005D4222">
              <w:rPr>
                <w:i/>
                <w:iCs/>
              </w:rPr>
              <w:t>Compliant</w:t>
            </w:r>
            <w:r w:rsidRPr="005D4222">
              <w:t>: Most recent glycemic status assessment with a result of &gt;9.0% or is missing a result, or if a glycemic status assessment was not done during the measurement period.</w:t>
            </w:r>
          </w:p>
          <w:p w14:paraId="2080F773" w14:textId="77777777" w:rsidR="00C20666" w:rsidRPr="005D4222" w:rsidRDefault="00C20666" w:rsidP="00A751D1">
            <w:pPr>
              <w:pStyle w:val="Bullet"/>
            </w:pPr>
            <w:r w:rsidRPr="005D4222">
              <w:rPr>
                <w:i/>
                <w:iCs/>
              </w:rPr>
              <w:t>Not compliant</w:t>
            </w:r>
            <w:r w:rsidRPr="005D4222">
              <w:t>: Most recent glycemic status assessment during the measurement period is ≤9.0%.</w:t>
            </w:r>
          </w:p>
          <w:p w14:paraId="0EA1B6C5" w14:textId="77777777" w:rsidR="00C20666" w:rsidRPr="005D4222" w:rsidRDefault="00C20666" w:rsidP="008A0471">
            <w:pPr>
              <w:pStyle w:val="ECDSBody"/>
            </w:pPr>
            <w:r w:rsidRPr="005D4222">
              <w:t>If the most recent glycemic status assessment was an HbA1c test identified based on a CPT Category II code (</w:t>
            </w:r>
            <w:r w:rsidRPr="005D4222">
              <w:rPr>
                <w:u w:val="single"/>
              </w:rPr>
              <w:t>HbA1c Test Result or Finding Value Set</w:t>
            </w:r>
            <w:r w:rsidRPr="005D4222">
              <w:t>), use the following to determine compliance:</w:t>
            </w:r>
          </w:p>
          <w:p w14:paraId="6CED5BAF" w14:textId="77777777" w:rsidR="00C20666" w:rsidRPr="005D4222" w:rsidRDefault="00C20666" w:rsidP="00A751D1">
            <w:pPr>
              <w:pStyle w:val="Bullet"/>
            </w:pPr>
            <w:r w:rsidRPr="005D4222">
              <w:rPr>
                <w:i/>
              </w:rPr>
              <w:t>Compliant:</w:t>
            </w:r>
            <w:r w:rsidRPr="005D4222">
              <w:t xml:space="preserve"> CPT Category II code 3046F.</w:t>
            </w:r>
          </w:p>
          <w:p w14:paraId="68E34AA6" w14:textId="77777777" w:rsidR="00C20666" w:rsidRPr="005D4222" w:rsidRDefault="00C20666" w:rsidP="00A751D1">
            <w:pPr>
              <w:pStyle w:val="Bullet"/>
            </w:pPr>
            <w:r w:rsidRPr="005D4222">
              <w:rPr>
                <w:i/>
              </w:rPr>
              <w:t>Not compliant:</w:t>
            </w:r>
            <w:r w:rsidRPr="005D4222">
              <w:t xml:space="preserve"> </w:t>
            </w:r>
            <w:r w:rsidRPr="005D4222">
              <w:rPr>
                <w:u w:val="single"/>
              </w:rPr>
              <w:t>HbA1c Level Less Than or Equal To 9.0 Value Set</w:t>
            </w:r>
            <w:r w:rsidRPr="005D4222">
              <w:t>.</w:t>
            </w:r>
            <w:r w:rsidRPr="005D4222" w:rsidDel="007F5004">
              <w:t xml:space="preserve"> </w:t>
            </w:r>
          </w:p>
          <w:p w14:paraId="72B3A8BB" w14:textId="77777777" w:rsidR="00C20666" w:rsidRPr="005D4222" w:rsidRDefault="00C20666" w:rsidP="008A0471">
            <w:pPr>
              <w:pStyle w:val="ECDSBody"/>
              <w:spacing w:after="0"/>
              <w:rPr>
                <w:b/>
                <w:bCs w:val="0"/>
              </w:rPr>
            </w:pPr>
            <w:r w:rsidRPr="005D4222">
              <w:rPr>
                <w:b/>
                <w:bCs w:val="0"/>
              </w:rPr>
              <w:t>Coding Guidance</w:t>
            </w:r>
          </w:p>
          <w:p w14:paraId="715CF362" w14:textId="77777777" w:rsidR="00C20666" w:rsidRPr="005D4222" w:rsidRDefault="00C20666" w:rsidP="008A0471">
            <w:pPr>
              <w:pStyle w:val="ECDSBody"/>
              <w:spacing w:before="0" w:after="0"/>
              <w:rPr>
                <w:kern w:val="24"/>
              </w:rPr>
            </w:pPr>
            <w:r w:rsidRPr="005D4222">
              <w:t>*Do not include laboratory claims (claims with POS code 81).</w:t>
            </w:r>
          </w:p>
          <w:p w14:paraId="15F1F4B5" w14:textId="150D9FE4" w:rsidR="00C20666" w:rsidRPr="005D4222" w:rsidRDefault="00A1046D" w:rsidP="008A0471">
            <w:pPr>
              <w:pStyle w:val="ECDSBody"/>
              <w:spacing w:before="0" w:after="0"/>
              <w:rPr>
                <w:kern w:val="24"/>
              </w:rPr>
            </w:pPr>
            <w:r w:rsidRPr="005D4222">
              <w:rPr>
                <w:color w:val="000000"/>
                <w:position w:val="4"/>
                <w:szCs w:val="21"/>
                <w:bdr w:val="none" w:sz="0" w:space="0" w:color="auto" w:frame="1"/>
              </w:rPr>
              <w:t>†</w:t>
            </w:r>
            <w:r w:rsidR="00C20666" w:rsidRPr="005D4222">
              <w:rPr>
                <w:kern w:val="24"/>
              </w:rPr>
              <w:t xml:space="preserve">Do not include CPT Category II codes with a modifier </w:t>
            </w:r>
            <w:r w:rsidR="00C20666" w:rsidRPr="005D4222">
              <w:t>(</w:t>
            </w:r>
            <w:r w:rsidR="00C20666" w:rsidRPr="005D4222">
              <w:rPr>
                <w:u w:val="single"/>
              </w:rPr>
              <w:t>CPT CAT II Modifier Value Set</w:t>
            </w:r>
            <w:r w:rsidR="00C20666" w:rsidRPr="005D4222">
              <w:t>)</w:t>
            </w:r>
            <w:r w:rsidR="00C20666" w:rsidRPr="005D4222">
              <w:rPr>
                <w:kern w:val="24"/>
              </w:rPr>
              <w:t>.</w:t>
            </w:r>
          </w:p>
          <w:p w14:paraId="7E459233" w14:textId="77777777" w:rsidR="00C20666" w:rsidRPr="005D4222" w:rsidRDefault="00C20666" w:rsidP="00A751D1">
            <w:pPr>
              <w:pStyle w:val="Admin"/>
            </w:pPr>
            <w:r w:rsidRPr="005D4222">
              <w:t xml:space="preserve">HYBRID </w:t>
            </w:r>
          </w:p>
          <w:p w14:paraId="4E06B58C" w14:textId="77777777" w:rsidR="00C20666" w:rsidRPr="005D4222" w:rsidRDefault="00C20666" w:rsidP="00296B02">
            <w:pPr>
              <w:pStyle w:val="ECDSBody"/>
              <w:spacing w:before="80"/>
              <w:rPr>
                <w:b/>
              </w:rPr>
            </w:pPr>
            <w:r w:rsidRPr="005D4222">
              <w:rPr>
                <w:i/>
                <w:iCs/>
              </w:rPr>
              <w:t xml:space="preserve">Administrative: </w:t>
            </w:r>
            <w:r w:rsidRPr="005D4222">
              <w:t>Refer to the administrative specifications to identify positive numerator hits from administrative data.</w:t>
            </w:r>
          </w:p>
          <w:p w14:paraId="726FA1FC" w14:textId="77777777" w:rsidR="00C20666" w:rsidRPr="005D4222" w:rsidRDefault="00C20666" w:rsidP="00A751D1">
            <w:pPr>
              <w:pStyle w:val="ECDSBody"/>
            </w:pPr>
            <w:r w:rsidRPr="005D4222">
              <w:rPr>
                <w:b/>
              </w:rPr>
              <w:t>Numerator 1: Glycemic status &lt;8.0%.</w:t>
            </w:r>
            <w:r w:rsidRPr="005D4222">
              <w:rPr>
                <w:b/>
              </w:rPr>
              <w:br/>
            </w:r>
            <w:r w:rsidRPr="005D4222">
              <w:t xml:space="preserve">The result of the </w:t>
            </w:r>
            <w:r w:rsidRPr="005D4222">
              <w:rPr>
                <w:i/>
                <w:iCs/>
              </w:rPr>
              <w:t xml:space="preserve">most recent </w:t>
            </w:r>
            <w:r w:rsidRPr="005D4222">
              <w:t xml:space="preserve">glycemic status assessment (HbA1c or GMI) (performed during the measurement period) is &lt;8.0% as documented through laboratory data or medical record review. </w:t>
            </w:r>
          </w:p>
          <w:p w14:paraId="3FA6307D" w14:textId="77777777" w:rsidR="00C20666" w:rsidRPr="005D4222" w:rsidRDefault="00C20666" w:rsidP="00A751D1">
            <w:pPr>
              <w:pStyle w:val="ECDSBody"/>
            </w:pPr>
            <w:r w:rsidRPr="005D4222">
              <w:rPr>
                <w:i/>
                <w:iCs/>
              </w:rPr>
              <w:t xml:space="preserve">Medical record: </w:t>
            </w:r>
            <w:r w:rsidRPr="005D4222" w:rsidDel="000E10B8">
              <w:t xml:space="preserve">At a minimum, </w:t>
            </w:r>
            <w:r w:rsidRPr="005D4222">
              <w:t>documentation in the medical record must include a note indicating the date when the glycemic status assessment (HbA1c or GMI) was performed, and the result. The</w:t>
            </w:r>
            <w:r w:rsidRPr="005D4222" w:rsidDel="009C6ECB">
              <w:t xml:space="preserve"> </w:t>
            </w:r>
            <w:r w:rsidRPr="005D4222">
              <w:t xml:space="preserve">person is numerator compliant if the result of the most recent glycemic status assessment during the measurement period </w:t>
            </w:r>
            <w:r w:rsidRPr="005D4222" w:rsidDel="0077303D">
              <w:t>is</w:t>
            </w:r>
            <w:r w:rsidRPr="005D4222">
              <w:t xml:space="preserve"> &lt;8.0%.</w:t>
            </w:r>
          </w:p>
          <w:p w14:paraId="659F13A2" w14:textId="77777777" w:rsidR="00C20666" w:rsidRPr="005D4222" w:rsidRDefault="00C20666" w:rsidP="00A751D1">
            <w:pPr>
              <w:pStyle w:val="ECDSBody"/>
              <w:rPr>
                <w:i/>
              </w:rPr>
            </w:pPr>
            <w:r w:rsidRPr="005D4222">
              <w:rPr>
                <w:iCs/>
              </w:rPr>
              <w:t>When identifying the most recent glycemic status assessment (HbA1c or GMI), GMI values must include documentation of the continuous glucose monitoring data date range used to derive the value. Use the terminal date in the range to assign assessment date</w:t>
            </w:r>
            <w:r w:rsidRPr="005D4222">
              <w:rPr>
                <w:i/>
              </w:rPr>
              <w:t>.</w:t>
            </w:r>
          </w:p>
          <w:p w14:paraId="22C12118" w14:textId="77777777" w:rsidR="00C20666" w:rsidRPr="005D4222" w:rsidRDefault="00C20666" w:rsidP="00A751D1">
            <w:pPr>
              <w:pStyle w:val="ECDSBody"/>
            </w:pPr>
            <w:r w:rsidRPr="005D4222">
              <w:t xml:space="preserve">If multiple glycemic status assessments were recorded for a single date, use the lowest result. </w:t>
            </w:r>
          </w:p>
        </w:tc>
      </w:tr>
    </w:tbl>
    <w:p w14:paraId="798C7DD0" w14:textId="77777777" w:rsidR="00A751D1" w:rsidRPr="005D4222" w:rsidRDefault="00A751D1">
      <w:pPr>
        <w:rPr>
          <w:szCs w:val="21"/>
        </w:rPr>
      </w:pPr>
      <w:r w:rsidRPr="005D4222">
        <w:rPr>
          <w:szCs w:val="21"/>
        </w:rPr>
        <w:lastRenderedPageBreak/>
        <w:br w:type="page"/>
      </w:r>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60"/>
      </w:tblGrid>
      <w:tr w:rsidR="00C20666" w:rsidRPr="005D4222" w14:paraId="69287E47" w14:textId="77777777">
        <w:tc>
          <w:tcPr>
            <w:tcW w:w="2157" w:type="dxa"/>
            <w:tcBorders>
              <w:top w:val="single" w:sz="4" w:space="0" w:color="auto"/>
              <w:left w:val="single" w:sz="2" w:space="0" w:color="auto"/>
              <w:bottom w:val="nil"/>
              <w:right w:val="single" w:sz="2" w:space="0" w:color="auto"/>
            </w:tcBorders>
            <w:shd w:val="clear" w:color="auto" w:fill="BFBFBF" w:themeFill="background1" w:themeFillShade="BF"/>
            <w:tcMar>
              <w:top w:w="0" w:type="dxa"/>
              <w:left w:w="86" w:type="dxa"/>
              <w:bottom w:w="43" w:type="dxa"/>
              <w:right w:w="86" w:type="dxa"/>
            </w:tcMar>
          </w:tcPr>
          <w:p w14:paraId="52E5DECB" w14:textId="77777777" w:rsidR="00C20666" w:rsidRPr="005D4222" w:rsidRDefault="00C20666" w:rsidP="00C20666">
            <w:pPr>
              <w:spacing w:before="120" w:after="80"/>
              <w:rPr>
                <w:b/>
                <w:sz w:val="22"/>
                <w:szCs w:val="21"/>
              </w:rPr>
            </w:pP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7A0FF4A" w14:textId="77777777" w:rsidR="00C20666" w:rsidRPr="005D4222" w:rsidRDefault="00C20666" w:rsidP="00A751D1">
            <w:pPr>
              <w:pStyle w:val="ECDSBody"/>
            </w:pPr>
            <w:r w:rsidRPr="005D4222">
              <w:t>GMI results collected by the person and documented in their</w:t>
            </w:r>
            <w:r w:rsidRPr="005D4222" w:rsidDel="00173C11">
              <w:t xml:space="preserve"> </w:t>
            </w:r>
            <w:r w:rsidRPr="005D4222">
              <w:t>medical record are eligible for use in reporting (if the GMI does not meet any exclusion criteria). There is no requirement for evidence that GMI was collected by a PCP or specialist.</w:t>
            </w:r>
          </w:p>
          <w:p w14:paraId="566EA926" w14:textId="77777777" w:rsidR="00C20666" w:rsidRPr="005D4222" w:rsidRDefault="00C20666" w:rsidP="00A751D1">
            <w:pPr>
              <w:pStyle w:val="ECDSBody"/>
              <w:rPr>
                <w:kern w:val="24"/>
              </w:rPr>
            </w:pPr>
            <w:r w:rsidRPr="005D4222">
              <w:rPr>
                <w:kern w:val="24"/>
              </w:rPr>
              <w:t>The</w:t>
            </w:r>
            <w:r w:rsidRPr="005D4222" w:rsidDel="00F354A1">
              <w:rPr>
                <w:kern w:val="24"/>
              </w:rPr>
              <w:t xml:space="preserve"> </w:t>
            </w:r>
            <w:r w:rsidRPr="005D4222">
              <w:rPr>
                <w:kern w:val="24"/>
              </w:rPr>
              <w:t>person is not numerator compliant if the result of the most recent glycemic status assessment during the measurement period is ≥8.0% or is missing, or if a glycemic status assessment was not performed during the measurement period.</w:t>
            </w:r>
          </w:p>
          <w:p w14:paraId="6E5C0CE4" w14:textId="77777777" w:rsidR="00C20666" w:rsidRPr="005D4222" w:rsidRDefault="00C20666" w:rsidP="00A751D1">
            <w:pPr>
              <w:pStyle w:val="ECDSBody"/>
              <w:rPr>
                <w:kern w:val="24"/>
              </w:rPr>
            </w:pPr>
            <w:r w:rsidRPr="005D4222">
              <w:rPr>
                <w:kern w:val="24"/>
              </w:rPr>
              <w:t>Ranges and thresholds do not meet criteria for this indicator. A distinct numeric result is required for numerator compliance. “Unknown” is not considered a result/finding.</w:t>
            </w:r>
          </w:p>
          <w:p w14:paraId="5C676ADB" w14:textId="77777777" w:rsidR="00C20666" w:rsidRPr="005D4222" w:rsidRDefault="00C20666" w:rsidP="00A751D1">
            <w:pPr>
              <w:pStyle w:val="ECDSBody"/>
              <w:rPr>
                <w:kern w:val="24"/>
              </w:rPr>
            </w:pPr>
            <w:r w:rsidRPr="005D4222">
              <w:rPr>
                <w:b/>
                <w:kern w:val="24"/>
              </w:rPr>
              <w:t>Numerator 2: Glycemic status &gt;9.0%.</w:t>
            </w:r>
            <w:r w:rsidRPr="005D4222">
              <w:rPr>
                <w:b/>
                <w:kern w:val="24"/>
              </w:rPr>
              <w:br/>
            </w:r>
            <w:r w:rsidRPr="005D4222">
              <w:rPr>
                <w:kern w:val="24"/>
              </w:rPr>
              <w:t xml:space="preserve">The result of the </w:t>
            </w:r>
            <w:r w:rsidRPr="005D4222">
              <w:rPr>
                <w:i/>
                <w:iCs/>
                <w:kern w:val="24"/>
              </w:rPr>
              <w:t xml:space="preserve">most recent </w:t>
            </w:r>
            <w:r w:rsidRPr="005D4222">
              <w:rPr>
                <w:kern w:val="24"/>
              </w:rPr>
              <w:t xml:space="preserve">glycemic status assessment (HbA1c or GMI) (performed during the measurement period) is &gt;9.0% or is missing, or was not done during the measurement period, as documented through laboratory data or medical record review. </w:t>
            </w:r>
          </w:p>
          <w:p w14:paraId="067B4049" w14:textId="77777777" w:rsidR="00C20666" w:rsidRPr="005D4222" w:rsidRDefault="00C20666" w:rsidP="00A751D1">
            <w:pPr>
              <w:pStyle w:val="ECDSBody"/>
              <w:rPr>
                <w:kern w:val="24"/>
              </w:rPr>
            </w:pPr>
            <w:r w:rsidRPr="005D4222">
              <w:rPr>
                <w:i/>
                <w:iCs/>
                <w:kern w:val="24"/>
              </w:rPr>
              <w:t>Medical record:</w:t>
            </w:r>
            <w:r w:rsidRPr="005D4222">
              <w:rPr>
                <w:kern w:val="24"/>
              </w:rPr>
              <w:t xml:space="preserve"> Documentation in the medical record must include a note indicating the date when the glycemic status assessment was performed, and the result. The person is numerator compliant if the result of the most recent glycemic status assessment during the measurement period is &gt;9.0% or is missing, or if a glycemic status assessment was not done during the measurement period. </w:t>
            </w:r>
          </w:p>
          <w:p w14:paraId="415DD323" w14:textId="77777777" w:rsidR="00C20666" w:rsidRPr="005D4222" w:rsidRDefault="00C20666" w:rsidP="00A751D1">
            <w:pPr>
              <w:pStyle w:val="ECDSBody"/>
              <w:rPr>
                <w:i/>
                <w:iCs/>
                <w:kern w:val="24"/>
              </w:rPr>
            </w:pPr>
            <w:r w:rsidRPr="005D4222">
              <w:rPr>
                <w:iCs/>
                <w:kern w:val="24"/>
              </w:rPr>
              <w:t>When identifying the most recent glycemic status assessment (HbA1c or GMI), GMI values must include documentation of the continuous glucose monitoring data date range used to derive the value. Use the terminal date in the range to assign assessment date</w:t>
            </w:r>
            <w:r w:rsidRPr="005D4222">
              <w:rPr>
                <w:i/>
                <w:kern w:val="24"/>
              </w:rPr>
              <w:t>.</w:t>
            </w:r>
          </w:p>
          <w:p w14:paraId="4779BC68" w14:textId="77777777" w:rsidR="00C20666" w:rsidRPr="005D4222" w:rsidRDefault="00C20666" w:rsidP="00A751D1">
            <w:pPr>
              <w:pStyle w:val="ECDSBody"/>
              <w:rPr>
                <w:kern w:val="24"/>
              </w:rPr>
            </w:pPr>
            <w:r w:rsidRPr="005D4222">
              <w:rPr>
                <w:kern w:val="24"/>
              </w:rPr>
              <w:t xml:space="preserve">If multiple glycemic status assessments were recorded for a single date, use the lowest result. </w:t>
            </w:r>
          </w:p>
          <w:p w14:paraId="243DC1B1" w14:textId="77777777" w:rsidR="00C20666" w:rsidRPr="005D4222" w:rsidRDefault="00C20666" w:rsidP="00A751D1">
            <w:pPr>
              <w:pStyle w:val="ECDSBody"/>
              <w:rPr>
                <w:kern w:val="24"/>
              </w:rPr>
            </w:pPr>
            <w:r w:rsidRPr="005D4222">
              <w:rPr>
                <w:kern w:val="24"/>
              </w:rPr>
              <w:t>GMI results collected by the person and documented in their</w:t>
            </w:r>
            <w:r w:rsidRPr="005D4222" w:rsidDel="00422635">
              <w:rPr>
                <w:kern w:val="24"/>
              </w:rPr>
              <w:t xml:space="preserve"> </w:t>
            </w:r>
            <w:r w:rsidRPr="005D4222">
              <w:rPr>
                <w:kern w:val="24"/>
              </w:rPr>
              <w:t>medical record are eligible for use in reporting (if the GMI does not meet any exclusion criteria). There is no requirement for evidence the GMI was collected by a PCP or specialist.</w:t>
            </w:r>
          </w:p>
          <w:p w14:paraId="703C69F5" w14:textId="77777777" w:rsidR="00C20666" w:rsidRPr="005D4222" w:rsidRDefault="00C20666" w:rsidP="00A751D1">
            <w:pPr>
              <w:pStyle w:val="ECDSBody"/>
              <w:rPr>
                <w:kern w:val="24"/>
              </w:rPr>
            </w:pPr>
            <w:r w:rsidRPr="005D4222">
              <w:rPr>
                <w:kern w:val="24"/>
              </w:rPr>
              <w:t>The person is not numerator compliant if the most recent glycemic status during the measurement year is ≤9.0%.</w:t>
            </w:r>
          </w:p>
          <w:p w14:paraId="58B9C0DB" w14:textId="77777777" w:rsidR="00C20666" w:rsidRPr="005D4222" w:rsidRDefault="00C20666" w:rsidP="00A751D1">
            <w:pPr>
              <w:pStyle w:val="ECDSBody"/>
            </w:pPr>
            <w:r w:rsidRPr="005D4222">
              <w:rPr>
                <w:iCs/>
              </w:rPr>
              <w:t>Ranges and thresholds do not meet criteria for this indicator. A distinct numeric result is required for numerator compliance. “Unknown” is not considered a result/finding.</w:t>
            </w:r>
          </w:p>
        </w:tc>
      </w:tr>
      <w:tr w:rsidR="00C20666" w:rsidRPr="005D4222" w14:paraId="739E07F5"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1815923" w14:textId="77777777" w:rsidR="00C20666" w:rsidRPr="005D4222" w:rsidRDefault="00C20666" w:rsidP="00C009F2">
            <w:pPr>
              <w:pStyle w:val="ECDSMarginHead"/>
            </w:pPr>
            <w:r w:rsidRPr="005D4222">
              <w:t>Summary of changes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A456A68" w14:textId="77777777" w:rsidR="00C20666" w:rsidRPr="005D4222" w:rsidRDefault="00C20666" w:rsidP="00A751D1">
            <w:pPr>
              <w:pStyle w:val="ProcessBullet"/>
              <w:spacing w:before="120"/>
            </w:pPr>
            <w:r w:rsidRPr="005D4222">
              <w:t>Updated the race and ethnicity stratification categories to align with OMB SPD 15 2024.</w:t>
            </w:r>
          </w:p>
          <w:p w14:paraId="040FF7B2" w14:textId="77777777" w:rsidR="00C20666" w:rsidRPr="005D4222" w:rsidRDefault="00C20666" w:rsidP="00296B02">
            <w:pPr>
              <w:pStyle w:val="ProcessBullet"/>
              <w:spacing w:after="80"/>
              <w:rPr>
                <w:rFonts w:eastAsiaTheme="minorHAnsi"/>
              </w:rPr>
            </w:pPr>
            <w:r w:rsidRPr="005D4222">
              <w:t>Added instructions on allowable adjustments to the race and ethnicity stratification.</w:t>
            </w:r>
          </w:p>
        </w:tc>
      </w:tr>
    </w:tbl>
    <w:p w14:paraId="10A426DC" w14:textId="77777777" w:rsidR="00C20666" w:rsidRPr="005D4222" w:rsidRDefault="00C20666" w:rsidP="00C20666">
      <w:pPr>
        <w:spacing w:after="160" w:line="259" w:lineRule="auto"/>
        <w:rPr>
          <w:szCs w:val="21"/>
        </w:rPr>
      </w:pPr>
      <w:r w:rsidRPr="005D4222">
        <w:rPr>
          <w:szCs w:val="21"/>
        </w:rPr>
        <w:br w:type="page"/>
      </w:r>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60"/>
      </w:tblGrid>
      <w:tr w:rsidR="00C20666" w:rsidRPr="005D4222" w14:paraId="054C804F"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4738C49" w14:textId="77777777" w:rsidR="00C20666" w:rsidRPr="005D4222" w:rsidRDefault="00C20666" w:rsidP="00C009F2">
            <w:pPr>
              <w:pStyle w:val="ECDSMarginHead"/>
            </w:pPr>
            <w:r w:rsidRPr="005D4222">
              <w:lastRenderedPageBreak/>
              <w:t>Data element tables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FD96F23" w14:textId="77777777" w:rsidR="00C20666" w:rsidRPr="005D4222" w:rsidRDefault="00C20666" w:rsidP="00A751D1">
            <w:pPr>
              <w:pStyle w:val="ECDSBody"/>
            </w:pPr>
            <w:r w:rsidRPr="005D4222">
              <w:t>Organizations that submit HEDIS data to NCQA must provide the following data elements.</w:t>
            </w:r>
          </w:p>
          <w:p w14:paraId="33896868" w14:textId="77777777" w:rsidR="00C20666" w:rsidRPr="005D4222" w:rsidRDefault="00C20666" w:rsidP="00A751D1">
            <w:pPr>
              <w:pStyle w:val="Heading3"/>
              <w:spacing w:before="120"/>
            </w:pPr>
            <w:r w:rsidRPr="005D4222">
              <w:t xml:space="preserve">Table </w:t>
            </w:r>
            <w:r w:rsidRPr="005D4222">
              <w:rPr>
                <w:iCs/>
                <w:szCs w:val="18"/>
              </w:rPr>
              <w:t>GSD</w:t>
            </w:r>
            <w:r w:rsidRPr="005D4222">
              <w:t>-A-1/2/3: Data Elements for Glycemic Status Assessment for Patients With Diabetes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9"/>
              <w:gridCol w:w="2707"/>
              <w:gridCol w:w="2016"/>
              <w:gridCol w:w="496"/>
            </w:tblGrid>
            <w:tr w:rsidR="00C20666" w:rsidRPr="005D4222" w14:paraId="464DD578" w14:textId="77777777" w:rsidTr="00A751D1">
              <w:trPr>
                <w:cantSplit/>
              </w:trPr>
              <w:tc>
                <w:tcPr>
                  <w:tcW w:w="2336"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tcMar>
                    <w:left w:w="72" w:type="dxa"/>
                    <w:right w:w="72" w:type="dxa"/>
                  </w:tcMar>
                  <w:vAlign w:val="bottom"/>
                </w:tcPr>
                <w:p w14:paraId="39773DB1" w14:textId="77777777" w:rsidR="00C20666" w:rsidRPr="005D4222" w:rsidRDefault="00C20666" w:rsidP="00917ECC">
                  <w:pPr>
                    <w:pStyle w:val="TableHead"/>
                    <w:spacing w:before="40" w:after="50"/>
                    <w:rPr>
                      <w:rFonts w:eastAsia="Arial Narrow"/>
                    </w:rPr>
                  </w:pPr>
                  <w:r w:rsidRPr="005D4222">
                    <w:rPr>
                      <w:rFonts w:eastAsia="Arial Narrow"/>
                    </w:rPr>
                    <w:t>Metric</w:t>
                  </w:r>
                </w:p>
              </w:tc>
              <w:tc>
                <w:tcPr>
                  <w:tcW w:w="2932"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72" w:type="dxa"/>
                    <w:right w:w="72" w:type="dxa"/>
                  </w:tcMar>
                  <w:vAlign w:val="bottom"/>
                </w:tcPr>
                <w:p w14:paraId="2E8675F6" w14:textId="77777777" w:rsidR="00C20666" w:rsidRPr="005D4222" w:rsidRDefault="00C20666" w:rsidP="00917ECC">
                  <w:pPr>
                    <w:pStyle w:val="TableHead"/>
                    <w:spacing w:before="40" w:after="50"/>
                    <w:rPr>
                      <w:rFonts w:eastAsia="Arial Narrow"/>
                    </w:rPr>
                  </w:pPr>
                  <w:r w:rsidRPr="005D4222">
                    <w:rPr>
                      <w:rFonts w:eastAsia="Arial Narrow"/>
                    </w:rPr>
                    <w:t>Data Element</w:t>
                  </w:r>
                </w:p>
              </w:tc>
              <w:tc>
                <w:tcPr>
                  <w:tcW w:w="218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72" w:type="dxa"/>
                    <w:right w:w="72" w:type="dxa"/>
                  </w:tcMar>
                  <w:vAlign w:val="bottom"/>
                </w:tcPr>
                <w:p w14:paraId="77681CDB" w14:textId="77777777" w:rsidR="00C20666" w:rsidRPr="005D4222" w:rsidRDefault="00C20666" w:rsidP="00917ECC">
                  <w:pPr>
                    <w:pStyle w:val="TableHead"/>
                    <w:spacing w:before="40" w:after="50"/>
                    <w:rPr>
                      <w:rFonts w:eastAsia="Arial Narrow"/>
                    </w:rPr>
                  </w:pPr>
                  <w:r w:rsidRPr="005D4222">
                    <w:rPr>
                      <w:rFonts w:eastAsia="Arial Narrow"/>
                    </w:rPr>
                    <w:t>Reporting Instructions</w:t>
                  </w:r>
                </w:p>
              </w:tc>
              <w:tc>
                <w:tcPr>
                  <w:tcW w:w="525"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tcMar>
                    <w:left w:w="72" w:type="dxa"/>
                    <w:right w:w="72" w:type="dxa"/>
                  </w:tcMar>
                  <w:vAlign w:val="bottom"/>
                </w:tcPr>
                <w:p w14:paraId="7027EA21" w14:textId="77777777" w:rsidR="00C20666" w:rsidRPr="005D4222" w:rsidRDefault="00C20666" w:rsidP="00917ECC">
                  <w:pPr>
                    <w:pStyle w:val="TableHead"/>
                    <w:spacing w:before="40" w:after="50"/>
                    <w:rPr>
                      <w:rFonts w:eastAsia="Arial Narrow"/>
                    </w:rPr>
                  </w:pPr>
                  <w:r w:rsidRPr="005D4222">
                    <w:rPr>
                      <w:rFonts w:eastAsia="Arial Narrow"/>
                    </w:rPr>
                    <w:t>A</w:t>
                  </w:r>
                </w:p>
              </w:tc>
            </w:tr>
            <w:tr w:rsidR="00C20666" w:rsidRPr="005D4222" w14:paraId="3002B219" w14:textId="77777777" w:rsidTr="00A751D1">
              <w:trPr>
                <w:cantSplit/>
              </w:trPr>
              <w:tc>
                <w:tcPr>
                  <w:tcW w:w="2336" w:type="dxa"/>
                  <w:tcBorders>
                    <w:top w:val="single" w:sz="4" w:space="0" w:color="000000" w:themeColor="text1"/>
                    <w:bottom w:val="single" w:sz="4" w:space="0" w:color="auto"/>
                  </w:tcBorders>
                  <w:tcMar>
                    <w:left w:w="72" w:type="dxa"/>
                    <w:right w:w="72" w:type="dxa"/>
                  </w:tcMar>
                </w:tcPr>
                <w:p w14:paraId="33034293" w14:textId="77777777" w:rsidR="00C20666" w:rsidRPr="005D4222" w:rsidRDefault="00C20666" w:rsidP="00917ECC">
                  <w:pPr>
                    <w:pStyle w:val="TableText"/>
                    <w:spacing w:before="40" w:after="50"/>
                    <w:rPr>
                      <w:rFonts w:eastAsia="Arial Narrow"/>
                    </w:rPr>
                  </w:pPr>
                  <w:r w:rsidRPr="005D4222">
                    <w:t>LessThan8</w:t>
                  </w:r>
                </w:p>
              </w:tc>
              <w:tc>
                <w:tcPr>
                  <w:tcW w:w="2932" w:type="dxa"/>
                  <w:tcBorders>
                    <w:top w:val="single" w:sz="4" w:space="0" w:color="000000" w:themeColor="text1"/>
                  </w:tcBorders>
                  <w:tcMar>
                    <w:left w:w="72" w:type="dxa"/>
                    <w:right w:w="72" w:type="dxa"/>
                  </w:tcMar>
                </w:tcPr>
                <w:p w14:paraId="1F1DBD0C" w14:textId="77777777" w:rsidR="00C20666" w:rsidRPr="005D4222" w:rsidRDefault="00C20666" w:rsidP="00917ECC">
                  <w:pPr>
                    <w:pStyle w:val="TableText"/>
                    <w:spacing w:before="40" w:after="50"/>
                    <w:rPr>
                      <w:rFonts w:eastAsia="Arial Narrow"/>
                    </w:rPr>
                  </w:pPr>
                  <w:r w:rsidRPr="005D4222">
                    <w:rPr>
                      <w:rFonts w:eastAsia="Arial Narrow"/>
                    </w:rPr>
                    <w:t>CollectionMethod</w:t>
                  </w:r>
                </w:p>
              </w:tc>
              <w:tc>
                <w:tcPr>
                  <w:tcW w:w="2180" w:type="dxa"/>
                  <w:tcBorders>
                    <w:top w:val="single" w:sz="4" w:space="0" w:color="000000" w:themeColor="text1"/>
                    <w:right w:val="single" w:sz="4" w:space="0" w:color="auto"/>
                  </w:tcBorders>
                  <w:tcMar>
                    <w:left w:w="72" w:type="dxa"/>
                    <w:right w:w="72" w:type="dxa"/>
                  </w:tcMar>
                </w:tcPr>
                <w:p w14:paraId="52EA3F50" w14:textId="77777777" w:rsidR="00C20666" w:rsidRPr="005D4222" w:rsidRDefault="00C20666" w:rsidP="00917ECC">
                  <w:pPr>
                    <w:pStyle w:val="TableText"/>
                    <w:spacing w:before="40" w:after="50"/>
                    <w:rPr>
                      <w:rFonts w:eastAsia="Arial Narrow"/>
                    </w:rPr>
                  </w:pPr>
                  <w:r w:rsidRPr="005D4222">
                    <w:rPr>
                      <w:rFonts w:eastAsia="Arial Narrow"/>
                    </w:rPr>
                    <w:t>Repeat per Metric</w:t>
                  </w:r>
                </w:p>
              </w:tc>
              <w:tc>
                <w:tcPr>
                  <w:tcW w:w="525" w:type="dxa"/>
                  <w:tcBorders>
                    <w:top w:val="single" w:sz="4" w:space="0" w:color="000000" w:themeColor="text1"/>
                    <w:right w:val="single" w:sz="4" w:space="0" w:color="auto"/>
                  </w:tcBorders>
                  <w:tcMar>
                    <w:left w:w="72" w:type="dxa"/>
                    <w:right w:w="72" w:type="dxa"/>
                  </w:tcMar>
                </w:tcPr>
                <w:p w14:paraId="7F8BC49D" w14:textId="77777777" w:rsidR="00C20666" w:rsidRPr="005D4222" w:rsidRDefault="00C20666" w:rsidP="00917ECC">
                  <w:pPr>
                    <w:spacing w:before="40" w:after="50" w:line="216" w:lineRule="auto"/>
                    <w:jc w:val="center"/>
                    <w:rPr>
                      <w:rFonts w:ascii="Arial Narrow" w:eastAsia="Arial Narrow" w:hAnsi="Arial Narrow"/>
                      <w:szCs w:val="19"/>
                    </w:rPr>
                  </w:pPr>
                  <w:r w:rsidRPr="005D4222">
                    <w:rPr>
                      <w:rFonts w:ascii="Wingdings" w:eastAsia="Wingdings" w:hAnsi="Wingdings" w:cs="Wingdings"/>
                      <w:szCs w:val="19"/>
                    </w:rPr>
                    <w:t>ü</w:t>
                  </w:r>
                </w:p>
              </w:tc>
            </w:tr>
            <w:tr w:rsidR="00C20666" w:rsidRPr="005D4222" w14:paraId="17BF0D6A" w14:textId="77777777" w:rsidTr="00A751D1">
              <w:trPr>
                <w:cantSplit/>
              </w:trPr>
              <w:tc>
                <w:tcPr>
                  <w:tcW w:w="2336" w:type="dxa"/>
                  <w:tcBorders>
                    <w:top w:val="single" w:sz="4" w:space="0" w:color="auto"/>
                    <w:left w:val="single" w:sz="4" w:space="0" w:color="auto"/>
                    <w:bottom w:val="single" w:sz="4" w:space="0" w:color="auto"/>
                    <w:right w:val="single" w:sz="4" w:space="0" w:color="auto"/>
                  </w:tcBorders>
                  <w:tcMar>
                    <w:left w:w="72" w:type="dxa"/>
                    <w:right w:w="72" w:type="dxa"/>
                  </w:tcMar>
                </w:tcPr>
                <w:p w14:paraId="727734AF" w14:textId="77777777" w:rsidR="00C20666" w:rsidRPr="005D4222" w:rsidRDefault="00C20666" w:rsidP="00917ECC">
                  <w:pPr>
                    <w:pStyle w:val="TableText"/>
                    <w:spacing w:before="40" w:after="50"/>
                    <w:rPr>
                      <w:rFonts w:eastAsia="Arial Narrow"/>
                    </w:rPr>
                  </w:pPr>
                  <w:r w:rsidRPr="005D4222">
                    <w:t>GreaterThan9</w:t>
                  </w:r>
                </w:p>
              </w:tc>
              <w:tc>
                <w:tcPr>
                  <w:tcW w:w="2932" w:type="dxa"/>
                  <w:tcBorders>
                    <w:left w:val="single" w:sz="4" w:space="0" w:color="auto"/>
                    <w:bottom w:val="single" w:sz="4" w:space="0" w:color="auto"/>
                  </w:tcBorders>
                  <w:tcMar>
                    <w:left w:w="72" w:type="dxa"/>
                    <w:right w:w="72" w:type="dxa"/>
                  </w:tcMar>
                  <w:vAlign w:val="center"/>
                </w:tcPr>
                <w:p w14:paraId="622D01FA" w14:textId="77777777" w:rsidR="00C20666" w:rsidRPr="005D4222" w:rsidRDefault="00C20666" w:rsidP="00917ECC">
                  <w:pPr>
                    <w:pStyle w:val="TableText"/>
                    <w:spacing w:before="40" w:after="50"/>
                    <w:rPr>
                      <w:rFonts w:eastAsia="Arial Narrow"/>
                    </w:rPr>
                  </w:pPr>
                  <w:r w:rsidRPr="005D4222">
                    <w:rPr>
                      <w:rFonts w:eastAsia="Arial Narrow"/>
                    </w:rPr>
                    <w:t>InitialPopulation</w:t>
                  </w:r>
                  <w:r w:rsidRPr="005D4222">
                    <w:rPr>
                      <w:rFonts w:eastAsia="Arial Narrow"/>
                      <w:b/>
                      <w:bCs/>
                    </w:rPr>
                    <w:t>*</w:t>
                  </w:r>
                </w:p>
              </w:tc>
              <w:tc>
                <w:tcPr>
                  <w:tcW w:w="2180" w:type="dxa"/>
                  <w:tcBorders>
                    <w:right w:val="single" w:sz="4" w:space="0" w:color="auto"/>
                  </w:tcBorders>
                  <w:tcMar>
                    <w:left w:w="72" w:type="dxa"/>
                    <w:right w:w="72" w:type="dxa"/>
                  </w:tcMar>
                  <w:vAlign w:val="center"/>
                </w:tcPr>
                <w:p w14:paraId="73B1BCF1" w14:textId="77777777" w:rsidR="00C20666" w:rsidRPr="005D4222" w:rsidRDefault="00C20666" w:rsidP="00917ECC">
                  <w:pPr>
                    <w:pStyle w:val="TableText"/>
                    <w:spacing w:before="40" w:after="50"/>
                    <w:rPr>
                      <w:rFonts w:eastAsia="Arial Narrow"/>
                    </w:rPr>
                  </w:pPr>
                  <w:r w:rsidRPr="005D4222">
                    <w:rPr>
                      <w:rFonts w:eastAsia="Arial Narrow"/>
                    </w:rPr>
                    <w:t>For each Metric</w:t>
                  </w:r>
                </w:p>
              </w:tc>
              <w:tc>
                <w:tcPr>
                  <w:tcW w:w="525" w:type="dxa"/>
                  <w:tcBorders>
                    <w:right w:val="single" w:sz="4" w:space="0" w:color="auto"/>
                  </w:tcBorders>
                  <w:tcMar>
                    <w:left w:w="72" w:type="dxa"/>
                    <w:right w:w="72" w:type="dxa"/>
                  </w:tcMar>
                </w:tcPr>
                <w:p w14:paraId="04AA63B0" w14:textId="77777777" w:rsidR="00C20666" w:rsidRPr="005D4222" w:rsidRDefault="00C20666" w:rsidP="00917ECC">
                  <w:pPr>
                    <w:spacing w:before="40" w:after="50" w:line="216" w:lineRule="auto"/>
                    <w:jc w:val="center"/>
                    <w:rPr>
                      <w:rFonts w:ascii="Arial Narrow" w:eastAsia="Arial Narrow" w:hAnsi="Arial Narrow"/>
                      <w:szCs w:val="19"/>
                    </w:rPr>
                  </w:pPr>
                  <w:r w:rsidRPr="005D4222">
                    <w:rPr>
                      <w:rFonts w:ascii="Wingdings" w:eastAsia="Wingdings" w:hAnsi="Wingdings" w:cs="Wingdings"/>
                      <w:szCs w:val="19"/>
                    </w:rPr>
                    <w:t>ü</w:t>
                  </w:r>
                </w:p>
              </w:tc>
            </w:tr>
            <w:tr w:rsidR="00C20666" w:rsidRPr="005D4222" w14:paraId="72E4E564" w14:textId="77777777" w:rsidTr="00A751D1">
              <w:trPr>
                <w:cantSplit/>
              </w:trPr>
              <w:tc>
                <w:tcPr>
                  <w:tcW w:w="2336" w:type="dxa"/>
                  <w:tcBorders>
                    <w:top w:val="single" w:sz="4" w:space="0" w:color="auto"/>
                    <w:left w:val="nil"/>
                    <w:bottom w:val="nil"/>
                    <w:right w:val="single" w:sz="4" w:space="0" w:color="auto"/>
                  </w:tcBorders>
                  <w:tcMar>
                    <w:left w:w="72" w:type="dxa"/>
                    <w:right w:w="72" w:type="dxa"/>
                  </w:tcMar>
                </w:tcPr>
                <w:p w14:paraId="17725102" w14:textId="77777777" w:rsidR="00C20666" w:rsidRPr="005D4222" w:rsidRDefault="00C20666" w:rsidP="00917ECC">
                  <w:pPr>
                    <w:pStyle w:val="TableText"/>
                    <w:spacing w:before="40" w:after="50"/>
                    <w:rPr>
                      <w:rFonts w:eastAsia="Arial Narrow"/>
                      <w:highlight w:val="yellow"/>
                    </w:rPr>
                  </w:pPr>
                </w:p>
              </w:tc>
              <w:tc>
                <w:tcPr>
                  <w:tcW w:w="2932" w:type="dxa"/>
                  <w:tcBorders>
                    <w:top w:val="single" w:sz="4" w:space="0" w:color="auto"/>
                    <w:left w:val="single" w:sz="4" w:space="0" w:color="auto"/>
                    <w:bottom w:val="single" w:sz="4" w:space="0" w:color="auto"/>
                  </w:tcBorders>
                  <w:tcMar>
                    <w:left w:w="72" w:type="dxa"/>
                    <w:right w:w="72" w:type="dxa"/>
                  </w:tcMar>
                  <w:vAlign w:val="center"/>
                </w:tcPr>
                <w:p w14:paraId="179A87BB" w14:textId="77777777" w:rsidR="00C20666" w:rsidRPr="005D4222" w:rsidRDefault="00C20666" w:rsidP="00917ECC">
                  <w:pPr>
                    <w:pStyle w:val="TableText"/>
                    <w:spacing w:before="40" w:after="50"/>
                  </w:pPr>
                  <w:r w:rsidRPr="005D4222">
                    <w:rPr>
                      <w:rFonts w:eastAsia="Arial Narrow"/>
                    </w:rPr>
                    <w:t>Exclusions</w:t>
                  </w:r>
                  <w:r w:rsidRPr="005D4222">
                    <w:rPr>
                      <w:rFonts w:eastAsia="Arial Narrow"/>
                      <w:b/>
                      <w:bCs/>
                    </w:rPr>
                    <w:t>*</w:t>
                  </w:r>
                </w:p>
              </w:tc>
              <w:tc>
                <w:tcPr>
                  <w:tcW w:w="2180" w:type="dxa"/>
                  <w:tcBorders>
                    <w:right w:val="single" w:sz="4" w:space="0" w:color="auto"/>
                  </w:tcBorders>
                  <w:tcMar>
                    <w:left w:w="72" w:type="dxa"/>
                    <w:right w:w="72" w:type="dxa"/>
                  </w:tcMar>
                  <w:vAlign w:val="center"/>
                </w:tcPr>
                <w:p w14:paraId="1E55C7C9" w14:textId="77777777" w:rsidR="00C20666" w:rsidRPr="005D4222" w:rsidRDefault="00C20666" w:rsidP="00917ECC">
                  <w:pPr>
                    <w:pStyle w:val="TableText"/>
                    <w:spacing w:before="40" w:after="50"/>
                    <w:rPr>
                      <w:rFonts w:eastAsia="Arial Narrow"/>
                    </w:rPr>
                  </w:pPr>
                  <w:r w:rsidRPr="005D4222">
                    <w:rPr>
                      <w:rFonts w:eastAsia="Arial Narrow"/>
                    </w:rPr>
                    <w:t>For each Metric</w:t>
                  </w:r>
                </w:p>
              </w:tc>
              <w:tc>
                <w:tcPr>
                  <w:tcW w:w="525" w:type="dxa"/>
                  <w:tcBorders>
                    <w:right w:val="single" w:sz="4" w:space="0" w:color="auto"/>
                  </w:tcBorders>
                  <w:tcMar>
                    <w:left w:w="72" w:type="dxa"/>
                    <w:right w:w="72" w:type="dxa"/>
                  </w:tcMar>
                </w:tcPr>
                <w:p w14:paraId="5BDE1BFF" w14:textId="77777777" w:rsidR="00C20666" w:rsidRPr="005D4222" w:rsidRDefault="00C20666" w:rsidP="00917ECC">
                  <w:pPr>
                    <w:spacing w:before="40" w:after="50" w:line="216" w:lineRule="auto"/>
                    <w:jc w:val="center"/>
                    <w:rPr>
                      <w:rFonts w:ascii="Arial Narrow" w:eastAsia="Arial Narrow" w:hAnsi="Arial Narrow"/>
                      <w:szCs w:val="19"/>
                    </w:rPr>
                  </w:pPr>
                  <w:r w:rsidRPr="005D4222">
                    <w:rPr>
                      <w:rFonts w:ascii="Wingdings" w:eastAsia="Wingdings" w:hAnsi="Wingdings" w:cs="Wingdings"/>
                      <w:szCs w:val="19"/>
                    </w:rPr>
                    <w:t>ü</w:t>
                  </w:r>
                </w:p>
              </w:tc>
            </w:tr>
            <w:tr w:rsidR="00C20666" w:rsidRPr="005D4222" w14:paraId="092366C4" w14:textId="77777777" w:rsidTr="00A751D1">
              <w:trPr>
                <w:cantSplit/>
              </w:trPr>
              <w:tc>
                <w:tcPr>
                  <w:tcW w:w="2336" w:type="dxa"/>
                  <w:tcBorders>
                    <w:top w:val="nil"/>
                    <w:left w:val="nil"/>
                    <w:bottom w:val="nil"/>
                    <w:right w:val="single" w:sz="4" w:space="0" w:color="auto"/>
                  </w:tcBorders>
                  <w:tcMar>
                    <w:left w:w="72" w:type="dxa"/>
                    <w:right w:w="72" w:type="dxa"/>
                  </w:tcMar>
                </w:tcPr>
                <w:p w14:paraId="524132C6" w14:textId="77777777" w:rsidR="00C20666" w:rsidRPr="005D4222" w:rsidRDefault="00C20666" w:rsidP="00917ECC">
                  <w:pPr>
                    <w:pStyle w:val="TableText"/>
                    <w:spacing w:before="40" w:after="50"/>
                    <w:rPr>
                      <w:rFonts w:eastAsia="Arial Narrow"/>
                      <w:highlight w:val="yellow"/>
                    </w:rPr>
                  </w:pPr>
                </w:p>
              </w:tc>
              <w:tc>
                <w:tcPr>
                  <w:tcW w:w="2932" w:type="dxa"/>
                  <w:tcBorders>
                    <w:top w:val="single" w:sz="4" w:space="0" w:color="auto"/>
                    <w:left w:val="single" w:sz="4" w:space="0" w:color="auto"/>
                    <w:bottom w:val="single" w:sz="4" w:space="0" w:color="auto"/>
                  </w:tcBorders>
                  <w:tcMar>
                    <w:left w:w="72" w:type="dxa"/>
                    <w:right w:w="72" w:type="dxa"/>
                  </w:tcMar>
                </w:tcPr>
                <w:p w14:paraId="2A45C31A" w14:textId="77777777" w:rsidR="00C20666" w:rsidRPr="005D4222" w:rsidRDefault="00C20666" w:rsidP="00917ECC">
                  <w:pPr>
                    <w:pStyle w:val="TableText"/>
                    <w:spacing w:before="40" w:after="50"/>
                  </w:pPr>
                  <w:r w:rsidRPr="005D4222">
                    <w:t>Denominator</w:t>
                  </w:r>
                  <w:r w:rsidRPr="005D4222">
                    <w:rPr>
                      <w:rFonts w:eastAsia="Arial Narrow" w:cs="Arial Narrow"/>
                      <w:b/>
                      <w:bCs/>
                      <w:color w:val="000000" w:themeColor="text1"/>
                    </w:rPr>
                    <w:t>*</w:t>
                  </w:r>
                </w:p>
              </w:tc>
              <w:tc>
                <w:tcPr>
                  <w:tcW w:w="2180" w:type="dxa"/>
                  <w:tcBorders>
                    <w:right w:val="single" w:sz="4" w:space="0" w:color="auto"/>
                  </w:tcBorders>
                  <w:tcMar>
                    <w:left w:w="72" w:type="dxa"/>
                    <w:right w:w="72" w:type="dxa"/>
                  </w:tcMar>
                </w:tcPr>
                <w:p w14:paraId="515A88DF" w14:textId="77777777" w:rsidR="00C20666" w:rsidRPr="005D4222" w:rsidRDefault="00C20666" w:rsidP="00917ECC">
                  <w:pPr>
                    <w:pStyle w:val="TableText"/>
                    <w:spacing w:before="40" w:after="50"/>
                    <w:rPr>
                      <w:rFonts w:eastAsia="Arial Narrow"/>
                    </w:rPr>
                  </w:pPr>
                  <w:r w:rsidRPr="005D4222">
                    <w:rPr>
                      <w:rFonts w:eastAsia="Arial Narrow"/>
                    </w:rPr>
                    <w:t>Repeat per Metric</w:t>
                  </w:r>
                </w:p>
              </w:tc>
              <w:tc>
                <w:tcPr>
                  <w:tcW w:w="525" w:type="dxa"/>
                  <w:tcBorders>
                    <w:right w:val="single" w:sz="4" w:space="0" w:color="auto"/>
                  </w:tcBorders>
                  <w:tcMar>
                    <w:left w:w="72" w:type="dxa"/>
                    <w:right w:w="72" w:type="dxa"/>
                  </w:tcMar>
                </w:tcPr>
                <w:p w14:paraId="1941B758" w14:textId="77777777" w:rsidR="00C20666" w:rsidRPr="005D4222" w:rsidRDefault="00C20666" w:rsidP="00917ECC">
                  <w:pPr>
                    <w:spacing w:before="40" w:after="50" w:line="216" w:lineRule="auto"/>
                    <w:jc w:val="center"/>
                    <w:rPr>
                      <w:rFonts w:ascii="Arial Narrow" w:eastAsia="Arial Narrow" w:hAnsi="Arial Narrow"/>
                      <w:szCs w:val="21"/>
                    </w:rPr>
                  </w:pPr>
                  <w:r w:rsidRPr="005D4222">
                    <w:rPr>
                      <w:rFonts w:ascii="Wingdings" w:eastAsia="Wingdings" w:hAnsi="Wingdings" w:cs="Wingdings"/>
                      <w:szCs w:val="21"/>
                    </w:rPr>
                    <w:t>ü</w:t>
                  </w:r>
                </w:p>
              </w:tc>
            </w:tr>
            <w:tr w:rsidR="00C20666" w:rsidRPr="005D4222" w14:paraId="54491F28" w14:textId="77777777" w:rsidTr="00A751D1">
              <w:trPr>
                <w:cantSplit/>
              </w:trPr>
              <w:tc>
                <w:tcPr>
                  <w:tcW w:w="2336" w:type="dxa"/>
                  <w:tcBorders>
                    <w:top w:val="nil"/>
                    <w:left w:val="nil"/>
                    <w:bottom w:val="nil"/>
                    <w:right w:val="single" w:sz="4" w:space="0" w:color="auto"/>
                  </w:tcBorders>
                  <w:tcMar>
                    <w:left w:w="72" w:type="dxa"/>
                    <w:right w:w="72" w:type="dxa"/>
                  </w:tcMar>
                </w:tcPr>
                <w:p w14:paraId="2E2A1EBB" w14:textId="77777777" w:rsidR="00C20666" w:rsidRPr="005D4222" w:rsidRDefault="00C20666" w:rsidP="00917ECC">
                  <w:pPr>
                    <w:pStyle w:val="TableText"/>
                    <w:spacing w:before="40" w:after="50"/>
                    <w:rPr>
                      <w:rFonts w:eastAsia="Arial Narrow"/>
                      <w:highlight w:val="yellow"/>
                    </w:rPr>
                  </w:pPr>
                </w:p>
              </w:tc>
              <w:tc>
                <w:tcPr>
                  <w:tcW w:w="2932" w:type="dxa"/>
                  <w:tcBorders>
                    <w:top w:val="single" w:sz="4" w:space="0" w:color="auto"/>
                    <w:left w:val="single" w:sz="4" w:space="0" w:color="auto"/>
                    <w:bottom w:val="single" w:sz="4" w:space="0" w:color="auto"/>
                  </w:tcBorders>
                  <w:tcMar>
                    <w:left w:w="72" w:type="dxa"/>
                    <w:right w:w="72" w:type="dxa"/>
                  </w:tcMar>
                </w:tcPr>
                <w:p w14:paraId="20E9C83F" w14:textId="77777777" w:rsidR="00C20666" w:rsidRPr="005D4222" w:rsidRDefault="00C20666" w:rsidP="00917ECC">
                  <w:pPr>
                    <w:pStyle w:val="TableText"/>
                    <w:spacing w:before="40" w:after="50"/>
                    <w:rPr>
                      <w:rFonts w:eastAsia="Arial Narrow"/>
                    </w:rPr>
                  </w:pPr>
                  <w:r w:rsidRPr="005D4222">
                    <w:t>NumeratorByAdminDenom</w:t>
                  </w:r>
                </w:p>
              </w:tc>
              <w:tc>
                <w:tcPr>
                  <w:tcW w:w="2180" w:type="dxa"/>
                  <w:tcBorders>
                    <w:right w:val="single" w:sz="4" w:space="0" w:color="auto"/>
                  </w:tcBorders>
                  <w:tcMar>
                    <w:left w:w="72" w:type="dxa"/>
                    <w:right w:w="72" w:type="dxa"/>
                  </w:tcMar>
                </w:tcPr>
                <w:p w14:paraId="43B3EA55" w14:textId="77777777" w:rsidR="00C20666" w:rsidRPr="005D4222" w:rsidRDefault="00C20666" w:rsidP="00917ECC">
                  <w:pPr>
                    <w:pStyle w:val="TableText"/>
                    <w:spacing w:before="40" w:after="50"/>
                    <w:rPr>
                      <w:rFonts w:eastAsia="Arial Narrow"/>
                    </w:rPr>
                  </w:pPr>
                  <w:r w:rsidRPr="005D4222">
                    <w:rPr>
                      <w:rFonts w:eastAsia="Arial Narrow"/>
                    </w:rPr>
                    <w:t>For each Metric</w:t>
                  </w:r>
                </w:p>
              </w:tc>
              <w:tc>
                <w:tcPr>
                  <w:tcW w:w="525" w:type="dxa"/>
                  <w:tcBorders>
                    <w:right w:val="single" w:sz="4" w:space="0" w:color="auto"/>
                  </w:tcBorders>
                  <w:tcMar>
                    <w:left w:w="72" w:type="dxa"/>
                    <w:right w:w="72" w:type="dxa"/>
                  </w:tcMar>
                </w:tcPr>
                <w:p w14:paraId="6831A9B9" w14:textId="77777777" w:rsidR="00C20666" w:rsidRPr="005D4222" w:rsidRDefault="00C20666" w:rsidP="00917ECC">
                  <w:pPr>
                    <w:spacing w:before="40" w:after="50" w:line="216" w:lineRule="auto"/>
                    <w:jc w:val="center"/>
                    <w:rPr>
                      <w:rFonts w:ascii="Arial Narrow" w:eastAsia="Arial Narrow" w:hAnsi="Arial Narrow"/>
                      <w:szCs w:val="19"/>
                    </w:rPr>
                  </w:pPr>
                </w:p>
              </w:tc>
            </w:tr>
            <w:tr w:rsidR="00C20666" w:rsidRPr="005D4222" w14:paraId="3FBED547" w14:textId="77777777" w:rsidTr="00A751D1">
              <w:trPr>
                <w:cantSplit/>
              </w:trPr>
              <w:tc>
                <w:tcPr>
                  <w:tcW w:w="2336" w:type="dxa"/>
                  <w:tcBorders>
                    <w:top w:val="nil"/>
                    <w:left w:val="nil"/>
                    <w:bottom w:val="nil"/>
                    <w:right w:val="single" w:sz="4" w:space="0" w:color="auto"/>
                  </w:tcBorders>
                  <w:tcMar>
                    <w:left w:w="72" w:type="dxa"/>
                    <w:right w:w="72" w:type="dxa"/>
                  </w:tcMar>
                </w:tcPr>
                <w:p w14:paraId="143D3287" w14:textId="77777777" w:rsidR="00C20666" w:rsidRPr="005D4222" w:rsidRDefault="00C20666" w:rsidP="00917ECC">
                  <w:pPr>
                    <w:pStyle w:val="TableText"/>
                    <w:spacing w:before="40" w:after="50"/>
                    <w:rPr>
                      <w:rFonts w:eastAsia="Arial Narrow"/>
                      <w:highlight w:val="yellow"/>
                    </w:rPr>
                  </w:pPr>
                </w:p>
              </w:tc>
              <w:tc>
                <w:tcPr>
                  <w:tcW w:w="2932" w:type="dxa"/>
                  <w:tcBorders>
                    <w:top w:val="single" w:sz="4" w:space="0" w:color="auto"/>
                    <w:left w:val="single" w:sz="4" w:space="0" w:color="auto"/>
                    <w:bottom w:val="single" w:sz="4" w:space="0" w:color="auto"/>
                  </w:tcBorders>
                  <w:shd w:val="clear" w:color="auto" w:fill="D9D9D9" w:themeFill="background1" w:themeFillShade="D9"/>
                  <w:tcMar>
                    <w:left w:w="72" w:type="dxa"/>
                    <w:right w:w="72" w:type="dxa"/>
                  </w:tcMar>
                </w:tcPr>
                <w:p w14:paraId="0AC8153A" w14:textId="77777777" w:rsidR="00C20666" w:rsidRPr="005D4222" w:rsidRDefault="00C20666" w:rsidP="00917ECC">
                  <w:pPr>
                    <w:pStyle w:val="TableText"/>
                    <w:spacing w:before="40" w:after="50"/>
                  </w:pPr>
                  <w:r w:rsidRPr="005D4222">
                    <w:t>CYAR</w:t>
                  </w:r>
                </w:p>
              </w:tc>
              <w:tc>
                <w:tcPr>
                  <w:tcW w:w="2180" w:type="dxa"/>
                  <w:tcBorders>
                    <w:right w:val="single" w:sz="4" w:space="0" w:color="auto"/>
                  </w:tcBorders>
                  <w:shd w:val="clear" w:color="auto" w:fill="D9D9D9" w:themeFill="background1" w:themeFillShade="D9"/>
                  <w:tcMar>
                    <w:left w:w="72" w:type="dxa"/>
                    <w:right w:w="72" w:type="dxa"/>
                  </w:tcMar>
                </w:tcPr>
                <w:p w14:paraId="38E2FDAE" w14:textId="77777777" w:rsidR="00C20666" w:rsidRPr="005D4222" w:rsidRDefault="00C20666" w:rsidP="00917ECC">
                  <w:pPr>
                    <w:pStyle w:val="TableText"/>
                    <w:spacing w:before="40" w:after="50"/>
                    <w:rPr>
                      <w:rFonts w:eastAsia="Arial Narrow"/>
                    </w:rPr>
                  </w:pPr>
                  <w:r w:rsidRPr="005D4222">
                    <w:rPr>
                      <w:rFonts w:eastAsia="Arial Narrow"/>
                    </w:rPr>
                    <w:t>(Percent)</w:t>
                  </w:r>
                </w:p>
              </w:tc>
              <w:tc>
                <w:tcPr>
                  <w:tcW w:w="525" w:type="dxa"/>
                  <w:tcBorders>
                    <w:right w:val="single" w:sz="4" w:space="0" w:color="auto"/>
                  </w:tcBorders>
                  <w:shd w:val="clear" w:color="auto" w:fill="D9D9D9" w:themeFill="background1" w:themeFillShade="D9"/>
                  <w:tcMar>
                    <w:left w:w="72" w:type="dxa"/>
                    <w:right w:w="72" w:type="dxa"/>
                  </w:tcMar>
                </w:tcPr>
                <w:p w14:paraId="772ACB1B" w14:textId="77777777" w:rsidR="00C20666" w:rsidRPr="005D4222" w:rsidRDefault="00C20666" w:rsidP="00917ECC">
                  <w:pPr>
                    <w:spacing w:before="40" w:after="50" w:line="216" w:lineRule="auto"/>
                    <w:jc w:val="center"/>
                    <w:rPr>
                      <w:rFonts w:ascii="Arial Narrow" w:eastAsia="Arial Narrow" w:hAnsi="Arial Narrow"/>
                      <w:szCs w:val="19"/>
                    </w:rPr>
                  </w:pPr>
                </w:p>
              </w:tc>
            </w:tr>
            <w:tr w:rsidR="00C20666" w:rsidRPr="005D4222" w14:paraId="7BD7E8F6" w14:textId="77777777" w:rsidTr="00A751D1">
              <w:trPr>
                <w:cantSplit/>
              </w:trPr>
              <w:tc>
                <w:tcPr>
                  <w:tcW w:w="2336" w:type="dxa"/>
                  <w:tcBorders>
                    <w:top w:val="nil"/>
                    <w:left w:val="nil"/>
                    <w:bottom w:val="nil"/>
                    <w:right w:val="single" w:sz="4" w:space="0" w:color="auto"/>
                  </w:tcBorders>
                  <w:tcMar>
                    <w:left w:w="72" w:type="dxa"/>
                    <w:right w:w="72" w:type="dxa"/>
                  </w:tcMar>
                </w:tcPr>
                <w:p w14:paraId="1708D20C" w14:textId="77777777" w:rsidR="00C20666" w:rsidRPr="005D4222" w:rsidRDefault="00C20666" w:rsidP="00917ECC">
                  <w:pPr>
                    <w:pStyle w:val="TableText"/>
                    <w:spacing w:before="40" w:after="50"/>
                    <w:rPr>
                      <w:rFonts w:eastAsia="Arial Narrow"/>
                      <w:highlight w:val="yellow"/>
                    </w:rPr>
                  </w:pPr>
                </w:p>
              </w:tc>
              <w:tc>
                <w:tcPr>
                  <w:tcW w:w="2932" w:type="dxa"/>
                  <w:tcBorders>
                    <w:top w:val="single" w:sz="4" w:space="0" w:color="auto"/>
                    <w:left w:val="single" w:sz="4" w:space="0" w:color="auto"/>
                    <w:bottom w:val="single" w:sz="4" w:space="0" w:color="auto"/>
                  </w:tcBorders>
                  <w:tcMar>
                    <w:left w:w="72" w:type="dxa"/>
                    <w:right w:w="72" w:type="dxa"/>
                  </w:tcMar>
                </w:tcPr>
                <w:p w14:paraId="486ED440" w14:textId="77777777" w:rsidR="00C20666" w:rsidRPr="005D4222" w:rsidRDefault="00C20666" w:rsidP="00917ECC">
                  <w:pPr>
                    <w:pStyle w:val="TableText"/>
                    <w:spacing w:before="40" w:after="50"/>
                    <w:rPr>
                      <w:rFonts w:eastAsia="Arial Narrow"/>
                    </w:rPr>
                  </w:pPr>
                  <w:r w:rsidRPr="005D4222">
                    <w:t>MinReqSampleSize</w:t>
                  </w:r>
                </w:p>
              </w:tc>
              <w:tc>
                <w:tcPr>
                  <w:tcW w:w="2180" w:type="dxa"/>
                  <w:tcBorders>
                    <w:right w:val="single" w:sz="4" w:space="0" w:color="auto"/>
                  </w:tcBorders>
                  <w:tcMar>
                    <w:left w:w="72" w:type="dxa"/>
                    <w:right w:w="72" w:type="dxa"/>
                  </w:tcMar>
                </w:tcPr>
                <w:p w14:paraId="5ED17670" w14:textId="77777777" w:rsidR="00C20666" w:rsidRPr="005D4222" w:rsidRDefault="00C20666" w:rsidP="00917ECC">
                  <w:pPr>
                    <w:pStyle w:val="TableText"/>
                    <w:spacing w:before="40" w:after="50"/>
                    <w:rPr>
                      <w:rFonts w:eastAsia="Arial Narrow"/>
                    </w:rPr>
                  </w:pPr>
                  <w:r w:rsidRPr="005D4222">
                    <w:rPr>
                      <w:rFonts w:eastAsia="Arial Narrow"/>
                    </w:rPr>
                    <w:t>Repeat per Metric</w:t>
                  </w:r>
                </w:p>
              </w:tc>
              <w:tc>
                <w:tcPr>
                  <w:tcW w:w="525" w:type="dxa"/>
                  <w:tcBorders>
                    <w:right w:val="single" w:sz="4" w:space="0" w:color="auto"/>
                  </w:tcBorders>
                  <w:tcMar>
                    <w:left w:w="72" w:type="dxa"/>
                    <w:right w:w="72" w:type="dxa"/>
                  </w:tcMar>
                </w:tcPr>
                <w:p w14:paraId="24B982B4" w14:textId="77777777" w:rsidR="00C20666" w:rsidRPr="005D4222" w:rsidRDefault="00C20666" w:rsidP="00917ECC">
                  <w:pPr>
                    <w:spacing w:before="40" w:after="50" w:line="216" w:lineRule="auto"/>
                    <w:jc w:val="center"/>
                    <w:rPr>
                      <w:rFonts w:ascii="Arial Narrow" w:eastAsia="Arial Narrow" w:hAnsi="Arial Narrow"/>
                      <w:szCs w:val="19"/>
                    </w:rPr>
                  </w:pPr>
                </w:p>
              </w:tc>
            </w:tr>
            <w:tr w:rsidR="00C20666" w:rsidRPr="005D4222" w14:paraId="4C73AA63" w14:textId="77777777" w:rsidTr="00A751D1">
              <w:trPr>
                <w:cantSplit/>
              </w:trPr>
              <w:tc>
                <w:tcPr>
                  <w:tcW w:w="2336" w:type="dxa"/>
                  <w:tcBorders>
                    <w:top w:val="nil"/>
                    <w:left w:val="nil"/>
                    <w:bottom w:val="nil"/>
                    <w:right w:val="nil"/>
                  </w:tcBorders>
                  <w:tcMar>
                    <w:left w:w="72" w:type="dxa"/>
                    <w:right w:w="72" w:type="dxa"/>
                  </w:tcMar>
                </w:tcPr>
                <w:p w14:paraId="251120B3" w14:textId="77777777" w:rsidR="00C20666" w:rsidRPr="005D4222" w:rsidRDefault="00C20666" w:rsidP="00917ECC">
                  <w:pPr>
                    <w:pStyle w:val="TableText"/>
                    <w:spacing w:before="40" w:after="50"/>
                    <w:rPr>
                      <w:rFonts w:eastAsia="Arial Narrow"/>
                      <w:highlight w:val="yellow"/>
                    </w:rPr>
                  </w:pPr>
                </w:p>
              </w:tc>
              <w:tc>
                <w:tcPr>
                  <w:tcW w:w="2932" w:type="dxa"/>
                  <w:tcBorders>
                    <w:top w:val="single" w:sz="4" w:space="0" w:color="auto"/>
                    <w:left w:val="single" w:sz="4" w:space="0" w:color="auto"/>
                    <w:bottom w:val="single" w:sz="4" w:space="0" w:color="auto"/>
                  </w:tcBorders>
                  <w:tcMar>
                    <w:left w:w="72" w:type="dxa"/>
                    <w:right w:w="72" w:type="dxa"/>
                  </w:tcMar>
                </w:tcPr>
                <w:p w14:paraId="1D204C45" w14:textId="77777777" w:rsidR="00C20666" w:rsidRPr="005D4222" w:rsidRDefault="00C20666" w:rsidP="00917ECC">
                  <w:pPr>
                    <w:pStyle w:val="TableText"/>
                    <w:spacing w:before="40" w:after="50"/>
                  </w:pPr>
                  <w:r w:rsidRPr="005D4222">
                    <w:rPr>
                      <w:rFonts w:eastAsia="Arial Narrow"/>
                    </w:rPr>
                    <w:t>OversampleRate</w:t>
                  </w:r>
                </w:p>
              </w:tc>
              <w:tc>
                <w:tcPr>
                  <w:tcW w:w="2180" w:type="dxa"/>
                  <w:tcBorders>
                    <w:right w:val="single" w:sz="4" w:space="0" w:color="auto"/>
                  </w:tcBorders>
                  <w:tcMar>
                    <w:left w:w="72" w:type="dxa"/>
                    <w:right w:w="72" w:type="dxa"/>
                  </w:tcMar>
                  <w:vAlign w:val="center"/>
                </w:tcPr>
                <w:p w14:paraId="7B1AB35A" w14:textId="77777777" w:rsidR="00C20666" w:rsidRPr="005D4222" w:rsidRDefault="00C20666" w:rsidP="00917ECC">
                  <w:pPr>
                    <w:pStyle w:val="TableText"/>
                    <w:spacing w:before="40" w:after="50"/>
                    <w:rPr>
                      <w:rFonts w:eastAsia="Arial Narrow"/>
                    </w:rPr>
                  </w:pPr>
                  <w:r w:rsidRPr="005D4222">
                    <w:rPr>
                      <w:rFonts w:eastAsia="Arial Narrow"/>
                    </w:rPr>
                    <w:t>Repeat per Metric</w:t>
                  </w:r>
                </w:p>
              </w:tc>
              <w:tc>
                <w:tcPr>
                  <w:tcW w:w="525" w:type="dxa"/>
                  <w:tcBorders>
                    <w:right w:val="single" w:sz="4" w:space="0" w:color="auto"/>
                  </w:tcBorders>
                  <w:tcMar>
                    <w:left w:w="72" w:type="dxa"/>
                    <w:right w:w="72" w:type="dxa"/>
                  </w:tcMar>
                </w:tcPr>
                <w:p w14:paraId="4A5F7E0E" w14:textId="77777777" w:rsidR="00C20666" w:rsidRPr="005D4222" w:rsidRDefault="00C20666" w:rsidP="00917ECC">
                  <w:pPr>
                    <w:spacing w:before="40" w:after="50" w:line="216" w:lineRule="auto"/>
                    <w:jc w:val="center"/>
                    <w:rPr>
                      <w:rFonts w:ascii="Arial Narrow" w:eastAsia="Arial Narrow" w:hAnsi="Arial Narrow"/>
                      <w:szCs w:val="19"/>
                    </w:rPr>
                  </w:pPr>
                </w:p>
              </w:tc>
            </w:tr>
            <w:tr w:rsidR="00C20666" w:rsidRPr="005D4222" w14:paraId="20E38091" w14:textId="77777777" w:rsidTr="00A751D1">
              <w:trPr>
                <w:cantSplit/>
              </w:trPr>
              <w:tc>
                <w:tcPr>
                  <w:tcW w:w="2336" w:type="dxa"/>
                  <w:tcBorders>
                    <w:top w:val="nil"/>
                    <w:left w:val="nil"/>
                    <w:bottom w:val="nil"/>
                    <w:right w:val="nil"/>
                  </w:tcBorders>
                  <w:tcMar>
                    <w:left w:w="72" w:type="dxa"/>
                    <w:right w:w="72" w:type="dxa"/>
                  </w:tcMar>
                </w:tcPr>
                <w:p w14:paraId="0C5C86DD" w14:textId="77777777" w:rsidR="00C20666" w:rsidRPr="005D4222" w:rsidRDefault="00C20666" w:rsidP="00917ECC">
                  <w:pPr>
                    <w:pStyle w:val="TableText"/>
                    <w:spacing w:before="40" w:after="50"/>
                    <w:rPr>
                      <w:rFonts w:eastAsia="Arial Narrow"/>
                      <w:highlight w:val="yellow"/>
                    </w:rPr>
                  </w:pPr>
                </w:p>
              </w:tc>
              <w:tc>
                <w:tcPr>
                  <w:tcW w:w="2932" w:type="dxa"/>
                  <w:tcBorders>
                    <w:top w:val="single" w:sz="4" w:space="0" w:color="auto"/>
                    <w:left w:val="single" w:sz="4" w:space="0" w:color="auto"/>
                    <w:bottom w:val="single" w:sz="4" w:space="0" w:color="auto"/>
                  </w:tcBorders>
                  <w:shd w:val="clear" w:color="auto" w:fill="D9D9D9" w:themeFill="background1" w:themeFillShade="D9"/>
                  <w:tcMar>
                    <w:left w:w="72" w:type="dxa"/>
                    <w:right w:w="72" w:type="dxa"/>
                  </w:tcMar>
                </w:tcPr>
                <w:p w14:paraId="54AE792B" w14:textId="77777777" w:rsidR="00C20666" w:rsidRPr="005D4222" w:rsidRDefault="00C20666" w:rsidP="00917ECC">
                  <w:pPr>
                    <w:pStyle w:val="TableText"/>
                    <w:spacing w:before="40" w:after="50"/>
                  </w:pPr>
                  <w:r w:rsidRPr="005D4222">
                    <w:t>OversampleRecordsNumber</w:t>
                  </w:r>
                </w:p>
              </w:tc>
              <w:tc>
                <w:tcPr>
                  <w:tcW w:w="2180" w:type="dxa"/>
                  <w:tcBorders>
                    <w:bottom w:val="single" w:sz="4" w:space="0" w:color="auto"/>
                    <w:right w:val="single" w:sz="4" w:space="0" w:color="auto"/>
                  </w:tcBorders>
                  <w:shd w:val="clear" w:color="auto" w:fill="D9D9D9" w:themeFill="background1" w:themeFillShade="D9"/>
                  <w:tcMar>
                    <w:left w:w="72" w:type="dxa"/>
                    <w:right w:w="72" w:type="dxa"/>
                  </w:tcMar>
                </w:tcPr>
                <w:p w14:paraId="446B38E4" w14:textId="77777777" w:rsidR="00C20666" w:rsidRPr="005D4222" w:rsidRDefault="00C20666" w:rsidP="00917ECC">
                  <w:pPr>
                    <w:pStyle w:val="TableText"/>
                    <w:spacing w:before="40" w:after="50"/>
                    <w:rPr>
                      <w:rFonts w:eastAsia="Arial Narrow"/>
                    </w:rPr>
                  </w:pPr>
                  <w:r w:rsidRPr="005D4222">
                    <w:rPr>
                      <w:rFonts w:eastAsia="Arial Narrow"/>
                    </w:rPr>
                    <w:t>(Count)</w:t>
                  </w:r>
                </w:p>
              </w:tc>
              <w:tc>
                <w:tcPr>
                  <w:tcW w:w="525" w:type="dxa"/>
                  <w:tcBorders>
                    <w:bottom w:val="single" w:sz="4" w:space="0" w:color="auto"/>
                    <w:right w:val="single" w:sz="4" w:space="0" w:color="auto"/>
                  </w:tcBorders>
                  <w:shd w:val="clear" w:color="auto" w:fill="D9D9D9" w:themeFill="background1" w:themeFillShade="D9"/>
                  <w:tcMar>
                    <w:left w:w="72" w:type="dxa"/>
                    <w:right w:w="72" w:type="dxa"/>
                  </w:tcMar>
                </w:tcPr>
                <w:p w14:paraId="60726D99" w14:textId="77777777" w:rsidR="00C20666" w:rsidRPr="005D4222" w:rsidRDefault="00C20666" w:rsidP="00917ECC">
                  <w:pPr>
                    <w:spacing w:before="40" w:after="50" w:line="216" w:lineRule="auto"/>
                    <w:jc w:val="center"/>
                    <w:rPr>
                      <w:rFonts w:ascii="Arial Narrow" w:eastAsia="Arial Narrow" w:hAnsi="Arial Narrow"/>
                      <w:szCs w:val="19"/>
                    </w:rPr>
                  </w:pPr>
                </w:p>
              </w:tc>
            </w:tr>
            <w:tr w:rsidR="00C20666" w:rsidRPr="005D4222" w14:paraId="1371A7DB" w14:textId="77777777" w:rsidTr="00A751D1">
              <w:trPr>
                <w:cantSplit/>
              </w:trPr>
              <w:tc>
                <w:tcPr>
                  <w:tcW w:w="2336" w:type="dxa"/>
                  <w:tcBorders>
                    <w:top w:val="nil"/>
                    <w:left w:val="nil"/>
                    <w:bottom w:val="nil"/>
                    <w:right w:val="nil"/>
                  </w:tcBorders>
                  <w:tcMar>
                    <w:left w:w="72" w:type="dxa"/>
                    <w:right w:w="72" w:type="dxa"/>
                  </w:tcMar>
                </w:tcPr>
                <w:p w14:paraId="52C8096D" w14:textId="77777777" w:rsidR="00C20666" w:rsidRPr="005D4222" w:rsidRDefault="00C20666" w:rsidP="00917ECC">
                  <w:pPr>
                    <w:pStyle w:val="TableText"/>
                    <w:spacing w:before="40" w:after="50"/>
                    <w:rPr>
                      <w:rFonts w:eastAsia="Arial Narrow"/>
                      <w:highlight w:val="yellow"/>
                    </w:rPr>
                  </w:pPr>
                </w:p>
              </w:tc>
              <w:tc>
                <w:tcPr>
                  <w:tcW w:w="2932" w:type="dxa"/>
                  <w:tcBorders>
                    <w:top w:val="single" w:sz="4" w:space="0" w:color="auto"/>
                    <w:left w:val="single" w:sz="4" w:space="0" w:color="auto"/>
                    <w:bottom w:val="single" w:sz="4" w:space="0" w:color="auto"/>
                  </w:tcBorders>
                  <w:tcMar>
                    <w:left w:w="72" w:type="dxa"/>
                    <w:right w:w="72" w:type="dxa"/>
                  </w:tcMar>
                </w:tcPr>
                <w:p w14:paraId="5F1E70C3" w14:textId="77777777" w:rsidR="00C20666" w:rsidRPr="005D4222" w:rsidRDefault="00C20666" w:rsidP="00917ECC">
                  <w:pPr>
                    <w:pStyle w:val="TableText"/>
                    <w:spacing w:before="40" w:after="50"/>
                    <w:rPr>
                      <w:rFonts w:eastAsia="Arial Narrow"/>
                    </w:rPr>
                  </w:pPr>
                  <w:r w:rsidRPr="005D4222">
                    <w:rPr>
                      <w:rFonts w:eastAsia="Arial Narrow"/>
                    </w:rPr>
                    <w:t>ExclusionValidDataErrors</w:t>
                  </w:r>
                </w:p>
              </w:tc>
              <w:tc>
                <w:tcPr>
                  <w:tcW w:w="2180" w:type="dxa"/>
                  <w:tcBorders>
                    <w:right w:val="single" w:sz="4" w:space="0" w:color="auto"/>
                  </w:tcBorders>
                  <w:tcMar>
                    <w:left w:w="72" w:type="dxa"/>
                    <w:right w:w="72" w:type="dxa"/>
                  </w:tcMar>
                </w:tcPr>
                <w:p w14:paraId="2DD8E4B3" w14:textId="77777777" w:rsidR="00C20666" w:rsidRPr="005D4222" w:rsidRDefault="00C20666" w:rsidP="00917ECC">
                  <w:pPr>
                    <w:pStyle w:val="TableText"/>
                    <w:spacing w:before="40" w:after="50"/>
                    <w:rPr>
                      <w:rFonts w:eastAsia="Arial Narrow"/>
                    </w:rPr>
                  </w:pPr>
                  <w:r w:rsidRPr="005D4222">
                    <w:rPr>
                      <w:rFonts w:eastAsia="Arial Narrow"/>
                    </w:rPr>
                    <w:t>Repeat per Metric</w:t>
                  </w:r>
                </w:p>
              </w:tc>
              <w:tc>
                <w:tcPr>
                  <w:tcW w:w="525" w:type="dxa"/>
                  <w:tcBorders>
                    <w:right w:val="single" w:sz="4" w:space="0" w:color="auto"/>
                  </w:tcBorders>
                  <w:tcMar>
                    <w:left w:w="72" w:type="dxa"/>
                    <w:right w:w="72" w:type="dxa"/>
                  </w:tcMar>
                </w:tcPr>
                <w:p w14:paraId="74CA642A" w14:textId="77777777" w:rsidR="00C20666" w:rsidRPr="005D4222" w:rsidRDefault="00C20666" w:rsidP="00917ECC">
                  <w:pPr>
                    <w:spacing w:before="40" w:after="50" w:line="216" w:lineRule="auto"/>
                    <w:jc w:val="center"/>
                    <w:rPr>
                      <w:rFonts w:ascii="Arial Narrow" w:eastAsia="Arial Narrow" w:hAnsi="Arial Narrow"/>
                      <w:szCs w:val="19"/>
                    </w:rPr>
                  </w:pPr>
                </w:p>
              </w:tc>
            </w:tr>
            <w:tr w:rsidR="00C20666" w:rsidRPr="005D4222" w14:paraId="5A397124" w14:textId="77777777" w:rsidTr="00A751D1">
              <w:trPr>
                <w:cantSplit/>
              </w:trPr>
              <w:tc>
                <w:tcPr>
                  <w:tcW w:w="2336" w:type="dxa"/>
                  <w:tcBorders>
                    <w:top w:val="nil"/>
                    <w:left w:val="nil"/>
                    <w:bottom w:val="nil"/>
                    <w:right w:val="nil"/>
                  </w:tcBorders>
                  <w:tcMar>
                    <w:left w:w="72" w:type="dxa"/>
                    <w:right w:w="72" w:type="dxa"/>
                  </w:tcMar>
                </w:tcPr>
                <w:p w14:paraId="0A413522" w14:textId="77777777" w:rsidR="00C20666" w:rsidRPr="005D4222" w:rsidRDefault="00C20666" w:rsidP="00917ECC">
                  <w:pPr>
                    <w:pStyle w:val="TableText"/>
                    <w:spacing w:before="40" w:after="50"/>
                    <w:rPr>
                      <w:rFonts w:eastAsia="Arial Narrow"/>
                      <w:highlight w:val="yellow"/>
                    </w:rPr>
                  </w:pPr>
                </w:p>
              </w:tc>
              <w:tc>
                <w:tcPr>
                  <w:tcW w:w="2932" w:type="dxa"/>
                  <w:tcBorders>
                    <w:top w:val="single" w:sz="4" w:space="0" w:color="auto"/>
                    <w:left w:val="single" w:sz="4" w:space="0" w:color="auto"/>
                    <w:bottom w:val="single" w:sz="4" w:space="0" w:color="auto"/>
                  </w:tcBorders>
                  <w:shd w:val="clear" w:color="auto" w:fill="FFFFFF" w:themeFill="background1"/>
                  <w:tcMar>
                    <w:left w:w="72" w:type="dxa"/>
                    <w:right w:w="72" w:type="dxa"/>
                  </w:tcMar>
                </w:tcPr>
                <w:p w14:paraId="02A01227" w14:textId="77777777" w:rsidR="00C20666" w:rsidRPr="005D4222" w:rsidRDefault="00C20666" w:rsidP="00917ECC">
                  <w:pPr>
                    <w:pStyle w:val="TableText"/>
                    <w:spacing w:before="40" w:after="50"/>
                    <w:rPr>
                      <w:rFonts w:eastAsia="Arial Narrow"/>
                    </w:rPr>
                  </w:pPr>
                  <w:r w:rsidRPr="005D4222">
                    <w:t>ExclusionEmployeeOrDep</w:t>
                  </w:r>
                </w:p>
              </w:tc>
              <w:tc>
                <w:tcPr>
                  <w:tcW w:w="2180" w:type="dxa"/>
                  <w:tcBorders>
                    <w:right w:val="single" w:sz="4" w:space="0" w:color="auto"/>
                  </w:tcBorders>
                  <w:shd w:val="clear" w:color="auto" w:fill="FFFFFF" w:themeFill="background1"/>
                  <w:tcMar>
                    <w:left w:w="72" w:type="dxa"/>
                    <w:right w:w="72" w:type="dxa"/>
                  </w:tcMar>
                </w:tcPr>
                <w:p w14:paraId="51E50981" w14:textId="77777777" w:rsidR="00C20666" w:rsidRPr="005D4222" w:rsidRDefault="00C20666" w:rsidP="00917ECC">
                  <w:pPr>
                    <w:pStyle w:val="TableText"/>
                    <w:spacing w:before="40" w:after="50"/>
                    <w:rPr>
                      <w:rFonts w:eastAsia="Arial Narrow"/>
                    </w:rPr>
                  </w:pPr>
                  <w:r w:rsidRPr="005D4222">
                    <w:rPr>
                      <w:rFonts w:eastAsia="Arial Narrow"/>
                    </w:rPr>
                    <w:t>Repeat per Metric</w:t>
                  </w:r>
                </w:p>
              </w:tc>
              <w:tc>
                <w:tcPr>
                  <w:tcW w:w="525" w:type="dxa"/>
                  <w:tcBorders>
                    <w:right w:val="single" w:sz="4" w:space="0" w:color="auto"/>
                  </w:tcBorders>
                  <w:shd w:val="clear" w:color="auto" w:fill="FFFFFF" w:themeFill="background1"/>
                  <w:tcMar>
                    <w:left w:w="72" w:type="dxa"/>
                    <w:right w:w="72" w:type="dxa"/>
                  </w:tcMar>
                </w:tcPr>
                <w:p w14:paraId="5AAA8191" w14:textId="77777777" w:rsidR="00C20666" w:rsidRPr="005D4222" w:rsidRDefault="00C20666" w:rsidP="00917ECC">
                  <w:pPr>
                    <w:spacing w:before="40" w:after="50" w:line="216" w:lineRule="auto"/>
                    <w:jc w:val="center"/>
                    <w:rPr>
                      <w:rFonts w:ascii="Arial Narrow" w:eastAsia="Arial Narrow" w:hAnsi="Arial Narrow"/>
                      <w:szCs w:val="19"/>
                    </w:rPr>
                  </w:pPr>
                </w:p>
              </w:tc>
            </w:tr>
            <w:tr w:rsidR="00C20666" w:rsidRPr="005D4222" w14:paraId="559FADAD" w14:textId="77777777" w:rsidTr="00A751D1">
              <w:trPr>
                <w:cantSplit/>
              </w:trPr>
              <w:tc>
                <w:tcPr>
                  <w:tcW w:w="2336" w:type="dxa"/>
                  <w:tcBorders>
                    <w:top w:val="nil"/>
                    <w:left w:val="nil"/>
                    <w:bottom w:val="nil"/>
                    <w:right w:val="nil"/>
                  </w:tcBorders>
                  <w:tcMar>
                    <w:left w:w="72" w:type="dxa"/>
                    <w:right w:w="72" w:type="dxa"/>
                  </w:tcMar>
                </w:tcPr>
                <w:p w14:paraId="68B64745" w14:textId="77777777" w:rsidR="00C20666" w:rsidRPr="005D4222" w:rsidRDefault="00C20666" w:rsidP="00917ECC">
                  <w:pPr>
                    <w:pStyle w:val="TableText"/>
                    <w:spacing w:before="40" w:after="50"/>
                    <w:rPr>
                      <w:rFonts w:eastAsia="Arial Narrow"/>
                      <w:highlight w:val="yellow"/>
                    </w:rPr>
                  </w:pPr>
                </w:p>
              </w:tc>
              <w:tc>
                <w:tcPr>
                  <w:tcW w:w="2932" w:type="dxa"/>
                  <w:tcBorders>
                    <w:top w:val="single" w:sz="4" w:space="0" w:color="auto"/>
                    <w:left w:val="single" w:sz="4" w:space="0" w:color="auto"/>
                    <w:bottom w:val="single" w:sz="4" w:space="0" w:color="auto"/>
                  </w:tcBorders>
                  <w:tcMar>
                    <w:left w:w="72" w:type="dxa"/>
                    <w:right w:w="72" w:type="dxa"/>
                  </w:tcMar>
                </w:tcPr>
                <w:p w14:paraId="33D91010" w14:textId="77777777" w:rsidR="00C20666" w:rsidRPr="005D4222" w:rsidRDefault="00C20666" w:rsidP="00917ECC">
                  <w:pPr>
                    <w:pStyle w:val="TableText"/>
                    <w:spacing w:before="40" w:after="50"/>
                    <w:rPr>
                      <w:rFonts w:eastAsia="Arial Narrow"/>
                    </w:rPr>
                  </w:pPr>
                  <w:r w:rsidRPr="005D4222">
                    <w:rPr>
                      <w:rFonts w:eastAsia="Arial Narrow"/>
                    </w:rPr>
                    <w:t>OversampleRecsAdded</w:t>
                  </w:r>
                </w:p>
              </w:tc>
              <w:tc>
                <w:tcPr>
                  <w:tcW w:w="2180" w:type="dxa"/>
                  <w:tcBorders>
                    <w:right w:val="single" w:sz="4" w:space="0" w:color="auto"/>
                  </w:tcBorders>
                  <w:tcMar>
                    <w:left w:w="72" w:type="dxa"/>
                    <w:right w:w="72" w:type="dxa"/>
                  </w:tcMar>
                  <w:vAlign w:val="center"/>
                </w:tcPr>
                <w:p w14:paraId="294A022B" w14:textId="77777777" w:rsidR="00C20666" w:rsidRPr="005D4222" w:rsidRDefault="00C20666" w:rsidP="00917ECC">
                  <w:pPr>
                    <w:pStyle w:val="TableText"/>
                    <w:spacing w:before="40" w:after="50"/>
                    <w:rPr>
                      <w:rFonts w:eastAsia="Arial Narrow"/>
                    </w:rPr>
                  </w:pPr>
                  <w:r w:rsidRPr="005D4222">
                    <w:rPr>
                      <w:rFonts w:eastAsia="Arial Narrow"/>
                    </w:rPr>
                    <w:t>Repeat per Metric</w:t>
                  </w:r>
                </w:p>
              </w:tc>
              <w:tc>
                <w:tcPr>
                  <w:tcW w:w="525" w:type="dxa"/>
                  <w:tcBorders>
                    <w:right w:val="single" w:sz="4" w:space="0" w:color="auto"/>
                  </w:tcBorders>
                  <w:tcMar>
                    <w:left w:w="72" w:type="dxa"/>
                    <w:right w:w="72" w:type="dxa"/>
                  </w:tcMar>
                </w:tcPr>
                <w:p w14:paraId="1741E29F" w14:textId="77777777" w:rsidR="00C20666" w:rsidRPr="005D4222" w:rsidRDefault="00C20666" w:rsidP="00917ECC">
                  <w:pPr>
                    <w:spacing w:before="40" w:after="50" w:line="216" w:lineRule="auto"/>
                    <w:jc w:val="center"/>
                    <w:rPr>
                      <w:rFonts w:ascii="Arial Narrow" w:eastAsia="Arial Narrow" w:hAnsi="Arial Narrow"/>
                      <w:szCs w:val="19"/>
                    </w:rPr>
                  </w:pPr>
                </w:p>
              </w:tc>
            </w:tr>
            <w:tr w:rsidR="00C20666" w:rsidRPr="005D4222" w14:paraId="635268F2" w14:textId="77777777" w:rsidTr="00A751D1">
              <w:trPr>
                <w:cantSplit/>
              </w:trPr>
              <w:tc>
                <w:tcPr>
                  <w:tcW w:w="2336" w:type="dxa"/>
                  <w:tcBorders>
                    <w:top w:val="nil"/>
                    <w:left w:val="nil"/>
                    <w:bottom w:val="nil"/>
                    <w:right w:val="nil"/>
                  </w:tcBorders>
                  <w:tcMar>
                    <w:left w:w="72" w:type="dxa"/>
                    <w:right w:w="72" w:type="dxa"/>
                  </w:tcMar>
                </w:tcPr>
                <w:p w14:paraId="69D69D5D" w14:textId="77777777" w:rsidR="00C20666" w:rsidRPr="005D4222" w:rsidRDefault="00C20666" w:rsidP="00917ECC">
                  <w:pPr>
                    <w:pStyle w:val="TableText"/>
                    <w:spacing w:before="40" w:after="50"/>
                    <w:rPr>
                      <w:rFonts w:eastAsia="Arial Narrow"/>
                      <w:highlight w:val="yellow"/>
                    </w:rPr>
                  </w:pPr>
                </w:p>
              </w:tc>
              <w:tc>
                <w:tcPr>
                  <w:tcW w:w="2932" w:type="dxa"/>
                  <w:tcBorders>
                    <w:top w:val="single" w:sz="4" w:space="0" w:color="auto"/>
                    <w:left w:val="single" w:sz="4" w:space="0" w:color="auto"/>
                    <w:bottom w:val="single" w:sz="4" w:space="0" w:color="auto"/>
                  </w:tcBorders>
                  <w:tcMar>
                    <w:left w:w="72" w:type="dxa"/>
                    <w:right w:w="72" w:type="dxa"/>
                  </w:tcMar>
                </w:tcPr>
                <w:p w14:paraId="695FD89E" w14:textId="77777777" w:rsidR="00C20666" w:rsidRPr="005D4222" w:rsidRDefault="00C20666" w:rsidP="00917ECC">
                  <w:pPr>
                    <w:pStyle w:val="TableText"/>
                    <w:spacing w:before="40" w:after="50"/>
                    <w:rPr>
                      <w:rFonts w:eastAsia="Arial Narrow"/>
                    </w:rPr>
                  </w:pPr>
                  <w:r w:rsidRPr="005D4222">
                    <w:t>NumeratorByAdmin</w:t>
                  </w:r>
                </w:p>
              </w:tc>
              <w:tc>
                <w:tcPr>
                  <w:tcW w:w="2180" w:type="dxa"/>
                  <w:tcBorders>
                    <w:right w:val="single" w:sz="4" w:space="0" w:color="auto"/>
                  </w:tcBorders>
                  <w:tcMar>
                    <w:left w:w="72" w:type="dxa"/>
                    <w:right w:w="72" w:type="dxa"/>
                  </w:tcMar>
                </w:tcPr>
                <w:p w14:paraId="1D060B74" w14:textId="77777777" w:rsidR="00C20666" w:rsidRPr="005D4222" w:rsidRDefault="00C20666" w:rsidP="00917ECC">
                  <w:pPr>
                    <w:pStyle w:val="TableText"/>
                    <w:spacing w:before="40" w:after="50"/>
                    <w:rPr>
                      <w:rFonts w:eastAsia="Arial Narrow"/>
                    </w:rPr>
                  </w:pPr>
                  <w:r w:rsidRPr="005D4222">
                    <w:rPr>
                      <w:rFonts w:eastAsia="Arial Narrow"/>
                    </w:rPr>
                    <w:t>For each Metric</w:t>
                  </w:r>
                </w:p>
              </w:tc>
              <w:tc>
                <w:tcPr>
                  <w:tcW w:w="525" w:type="dxa"/>
                  <w:tcBorders>
                    <w:right w:val="single" w:sz="4" w:space="0" w:color="auto"/>
                  </w:tcBorders>
                  <w:tcMar>
                    <w:left w:w="72" w:type="dxa"/>
                    <w:right w:w="72" w:type="dxa"/>
                  </w:tcMar>
                </w:tcPr>
                <w:p w14:paraId="0BF223C1" w14:textId="77777777" w:rsidR="00C20666" w:rsidRPr="005D4222" w:rsidRDefault="00C20666" w:rsidP="00917ECC">
                  <w:pPr>
                    <w:spacing w:before="40" w:after="50" w:line="216" w:lineRule="auto"/>
                    <w:jc w:val="center"/>
                    <w:rPr>
                      <w:rFonts w:ascii="Arial Narrow" w:eastAsia="Arial Narrow" w:hAnsi="Arial Narrow"/>
                      <w:szCs w:val="19"/>
                    </w:rPr>
                  </w:pPr>
                  <w:r w:rsidRPr="005D4222">
                    <w:rPr>
                      <w:rFonts w:ascii="Wingdings" w:eastAsia="Wingdings" w:hAnsi="Wingdings" w:cs="Wingdings"/>
                      <w:szCs w:val="19"/>
                    </w:rPr>
                    <w:t>ü</w:t>
                  </w:r>
                </w:p>
              </w:tc>
            </w:tr>
            <w:tr w:rsidR="00C20666" w:rsidRPr="005D4222" w14:paraId="2039DEA9" w14:textId="77777777" w:rsidTr="00A751D1">
              <w:trPr>
                <w:cantSplit/>
              </w:trPr>
              <w:tc>
                <w:tcPr>
                  <w:tcW w:w="2336" w:type="dxa"/>
                  <w:tcBorders>
                    <w:top w:val="nil"/>
                    <w:left w:val="nil"/>
                    <w:bottom w:val="nil"/>
                    <w:right w:val="nil"/>
                  </w:tcBorders>
                  <w:tcMar>
                    <w:left w:w="72" w:type="dxa"/>
                    <w:right w:w="72" w:type="dxa"/>
                  </w:tcMar>
                </w:tcPr>
                <w:p w14:paraId="6B90F0D7" w14:textId="77777777" w:rsidR="00C20666" w:rsidRPr="005D4222" w:rsidRDefault="00C20666" w:rsidP="00917ECC">
                  <w:pPr>
                    <w:pStyle w:val="TableText"/>
                    <w:spacing w:before="40" w:after="50"/>
                    <w:rPr>
                      <w:rFonts w:eastAsia="Arial Narrow"/>
                      <w:highlight w:val="yellow"/>
                    </w:rPr>
                  </w:pPr>
                </w:p>
              </w:tc>
              <w:tc>
                <w:tcPr>
                  <w:tcW w:w="2932" w:type="dxa"/>
                  <w:tcBorders>
                    <w:top w:val="single" w:sz="4" w:space="0" w:color="auto"/>
                    <w:left w:val="single" w:sz="4" w:space="0" w:color="auto"/>
                    <w:bottom w:val="single" w:sz="4" w:space="0" w:color="auto"/>
                  </w:tcBorders>
                  <w:tcMar>
                    <w:left w:w="72" w:type="dxa"/>
                    <w:right w:w="72" w:type="dxa"/>
                  </w:tcMar>
                </w:tcPr>
                <w:p w14:paraId="32745BA5" w14:textId="77777777" w:rsidR="00C20666" w:rsidRPr="005D4222" w:rsidRDefault="00C20666" w:rsidP="00917ECC">
                  <w:pPr>
                    <w:pStyle w:val="TableText"/>
                    <w:spacing w:before="40" w:after="50"/>
                    <w:rPr>
                      <w:rFonts w:eastAsia="Arial Narrow"/>
                    </w:rPr>
                  </w:pPr>
                  <w:r w:rsidRPr="005D4222">
                    <w:t>NumeratorByMedicalRecords</w:t>
                  </w:r>
                </w:p>
              </w:tc>
              <w:tc>
                <w:tcPr>
                  <w:tcW w:w="2180" w:type="dxa"/>
                  <w:tcBorders>
                    <w:right w:val="single" w:sz="4" w:space="0" w:color="auto"/>
                  </w:tcBorders>
                  <w:tcMar>
                    <w:left w:w="72" w:type="dxa"/>
                    <w:right w:w="72" w:type="dxa"/>
                  </w:tcMar>
                </w:tcPr>
                <w:p w14:paraId="34ECA661" w14:textId="77777777" w:rsidR="00C20666" w:rsidRPr="005D4222" w:rsidRDefault="00C20666" w:rsidP="00917ECC">
                  <w:pPr>
                    <w:pStyle w:val="TableText"/>
                    <w:spacing w:before="40" w:after="50"/>
                    <w:rPr>
                      <w:rFonts w:eastAsia="Arial Narrow"/>
                    </w:rPr>
                  </w:pPr>
                  <w:r w:rsidRPr="005D4222">
                    <w:rPr>
                      <w:rFonts w:eastAsia="Arial Narrow"/>
                    </w:rPr>
                    <w:t>For each Metric</w:t>
                  </w:r>
                </w:p>
              </w:tc>
              <w:tc>
                <w:tcPr>
                  <w:tcW w:w="525" w:type="dxa"/>
                  <w:tcBorders>
                    <w:right w:val="single" w:sz="4" w:space="0" w:color="auto"/>
                  </w:tcBorders>
                  <w:tcMar>
                    <w:left w:w="72" w:type="dxa"/>
                    <w:right w:w="72" w:type="dxa"/>
                  </w:tcMar>
                </w:tcPr>
                <w:p w14:paraId="75B79E1E" w14:textId="77777777" w:rsidR="00C20666" w:rsidRPr="005D4222" w:rsidRDefault="00C20666" w:rsidP="00917ECC">
                  <w:pPr>
                    <w:spacing w:before="40" w:after="50" w:line="216" w:lineRule="auto"/>
                    <w:jc w:val="center"/>
                    <w:rPr>
                      <w:rFonts w:ascii="Arial Narrow" w:eastAsia="Arial Narrow" w:hAnsi="Arial Narrow"/>
                      <w:szCs w:val="19"/>
                    </w:rPr>
                  </w:pPr>
                </w:p>
              </w:tc>
            </w:tr>
            <w:tr w:rsidR="00C20666" w:rsidRPr="005D4222" w14:paraId="3D26837E" w14:textId="77777777" w:rsidTr="00A751D1">
              <w:trPr>
                <w:cantSplit/>
              </w:trPr>
              <w:tc>
                <w:tcPr>
                  <w:tcW w:w="2336" w:type="dxa"/>
                  <w:tcBorders>
                    <w:top w:val="nil"/>
                    <w:left w:val="nil"/>
                    <w:bottom w:val="nil"/>
                    <w:right w:val="nil"/>
                  </w:tcBorders>
                  <w:tcMar>
                    <w:left w:w="72" w:type="dxa"/>
                    <w:right w:w="72" w:type="dxa"/>
                  </w:tcMar>
                </w:tcPr>
                <w:p w14:paraId="671FB350" w14:textId="77777777" w:rsidR="00C20666" w:rsidRPr="005D4222" w:rsidRDefault="00C20666" w:rsidP="00917ECC">
                  <w:pPr>
                    <w:pStyle w:val="TableText"/>
                    <w:spacing w:before="40" w:after="50"/>
                    <w:rPr>
                      <w:rFonts w:eastAsia="Arial Narrow"/>
                      <w:highlight w:val="yellow"/>
                    </w:rPr>
                  </w:pPr>
                </w:p>
              </w:tc>
              <w:tc>
                <w:tcPr>
                  <w:tcW w:w="2932" w:type="dxa"/>
                  <w:tcBorders>
                    <w:top w:val="single" w:sz="4" w:space="0" w:color="auto"/>
                    <w:left w:val="single" w:sz="4" w:space="0" w:color="auto"/>
                    <w:bottom w:val="single" w:sz="4" w:space="0" w:color="auto"/>
                  </w:tcBorders>
                  <w:shd w:val="clear" w:color="auto" w:fill="FFFFFF" w:themeFill="background1"/>
                  <w:tcMar>
                    <w:left w:w="72" w:type="dxa"/>
                    <w:right w:w="72" w:type="dxa"/>
                  </w:tcMar>
                </w:tcPr>
                <w:p w14:paraId="462EED90" w14:textId="77777777" w:rsidR="00C20666" w:rsidRPr="005D4222" w:rsidRDefault="00C20666" w:rsidP="00917ECC">
                  <w:pPr>
                    <w:pStyle w:val="TableText"/>
                    <w:spacing w:before="40" w:after="50"/>
                    <w:rPr>
                      <w:rFonts w:eastAsia="Arial Narrow"/>
                    </w:rPr>
                  </w:pPr>
                  <w:r w:rsidRPr="005D4222">
                    <w:t>NumeratorBySupplemental</w:t>
                  </w:r>
                </w:p>
              </w:tc>
              <w:tc>
                <w:tcPr>
                  <w:tcW w:w="2180" w:type="dxa"/>
                  <w:tcBorders>
                    <w:right w:val="single" w:sz="4" w:space="0" w:color="auto"/>
                  </w:tcBorders>
                  <w:shd w:val="clear" w:color="auto" w:fill="FFFFFF" w:themeFill="background1"/>
                  <w:tcMar>
                    <w:left w:w="72" w:type="dxa"/>
                    <w:right w:w="72" w:type="dxa"/>
                  </w:tcMar>
                </w:tcPr>
                <w:p w14:paraId="115C7D90" w14:textId="77777777" w:rsidR="00C20666" w:rsidRPr="005D4222" w:rsidRDefault="00C20666" w:rsidP="00917ECC">
                  <w:pPr>
                    <w:pStyle w:val="TableText"/>
                    <w:spacing w:before="40" w:after="50"/>
                    <w:rPr>
                      <w:rFonts w:eastAsia="Arial Narrow"/>
                    </w:rPr>
                  </w:pPr>
                  <w:r w:rsidRPr="005D4222">
                    <w:rPr>
                      <w:rFonts w:eastAsia="Arial Narrow"/>
                    </w:rPr>
                    <w:t>For each Metric</w:t>
                  </w:r>
                </w:p>
              </w:tc>
              <w:tc>
                <w:tcPr>
                  <w:tcW w:w="525" w:type="dxa"/>
                  <w:tcBorders>
                    <w:right w:val="single" w:sz="4" w:space="0" w:color="auto"/>
                  </w:tcBorders>
                  <w:shd w:val="clear" w:color="auto" w:fill="FFFFFF" w:themeFill="background1"/>
                  <w:tcMar>
                    <w:left w:w="72" w:type="dxa"/>
                    <w:right w:w="72" w:type="dxa"/>
                  </w:tcMar>
                </w:tcPr>
                <w:p w14:paraId="2449C565" w14:textId="77777777" w:rsidR="00C20666" w:rsidRPr="005D4222" w:rsidRDefault="00C20666" w:rsidP="00917ECC">
                  <w:pPr>
                    <w:spacing w:before="40" w:after="50" w:line="216" w:lineRule="auto"/>
                    <w:jc w:val="center"/>
                    <w:rPr>
                      <w:rFonts w:ascii="Arial Narrow" w:eastAsia="Arial Narrow" w:hAnsi="Arial Narrow"/>
                      <w:szCs w:val="19"/>
                    </w:rPr>
                  </w:pPr>
                  <w:r w:rsidRPr="005D4222">
                    <w:rPr>
                      <w:rFonts w:ascii="Wingdings" w:eastAsia="Wingdings" w:hAnsi="Wingdings" w:cs="Wingdings"/>
                      <w:szCs w:val="19"/>
                    </w:rPr>
                    <w:t>ü</w:t>
                  </w:r>
                </w:p>
              </w:tc>
            </w:tr>
            <w:tr w:rsidR="00C20666" w:rsidRPr="005D4222" w14:paraId="1EE5D686" w14:textId="77777777" w:rsidTr="00A751D1">
              <w:trPr>
                <w:cantSplit/>
              </w:trPr>
              <w:tc>
                <w:tcPr>
                  <w:tcW w:w="2336" w:type="dxa"/>
                  <w:tcBorders>
                    <w:top w:val="nil"/>
                    <w:left w:val="nil"/>
                    <w:bottom w:val="nil"/>
                    <w:right w:val="nil"/>
                  </w:tcBorders>
                  <w:tcMar>
                    <w:left w:w="72" w:type="dxa"/>
                    <w:right w:w="72" w:type="dxa"/>
                  </w:tcMar>
                </w:tcPr>
                <w:p w14:paraId="098F3D69" w14:textId="77777777" w:rsidR="00C20666" w:rsidRPr="005D4222" w:rsidRDefault="00C20666" w:rsidP="00917ECC">
                  <w:pPr>
                    <w:pStyle w:val="TableText"/>
                    <w:spacing w:before="40" w:after="50"/>
                    <w:rPr>
                      <w:rFonts w:eastAsia="Arial Narrow"/>
                      <w:highlight w:val="yellow"/>
                    </w:rPr>
                  </w:pPr>
                </w:p>
              </w:tc>
              <w:tc>
                <w:tcPr>
                  <w:tcW w:w="2932" w:type="dxa"/>
                  <w:tcBorders>
                    <w:top w:val="single" w:sz="4" w:space="0" w:color="auto"/>
                    <w:left w:val="single" w:sz="4" w:space="0" w:color="auto"/>
                    <w:bottom w:val="single" w:sz="4" w:space="0" w:color="auto"/>
                  </w:tcBorders>
                  <w:shd w:val="clear" w:color="auto" w:fill="D9D9D9" w:themeFill="background1" w:themeFillShade="D9"/>
                  <w:tcMar>
                    <w:left w:w="72" w:type="dxa"/>
                    <w:right w:w="72" w:type="dxa"/>
                  </w:tcMar>
                </w:tcPr>
                <w:p w14:paraId="5733A74E" w14:textId="77777777" w:rsidR="00C20666" w:rsidRPr="005D4222" w:rsidRDefault="00C20666" w:rsidP="00917ECC">
                  <w:pPr>
                    <w:pStyle w:val="TableText"/>
                    <w:spacing w:before="40" w:after="50"/>
                  </w:pPr>
                  <w:r w:rsidRPr="005D4222">
                    <w:t>Rate</w:t>
                  </w:r>
                </w:p>
              </w:tc>
              <w:tc>
                <w:tcPr>
                  <w:tcW w:w="2180" w:type="dxa"/>
                  <w:tcBorders>
                    <w:right w:val="single" w:sz="4" w:space="0" w:color="auto"/>
                  </w:tcBorders>
                  <w:shd w:val="clear" w:color="auto" w:fill="D9D9D9" w:themeFill="background1" w:themeFillShade="D9"/>
                  <w:tcMar>
                    <w:left w:w="72" w:type="dxa"/>
                    <w:right w:w="72" w:type="dxa"/>
                  </w:tcMar>
                </w:tcPr>
                <w:p w14:paraId="73A64415" w14:textId="77777777" w:rsidR="00C20666" w:rsidRPr="005D4222" w:rsidRDefault="00C20666" w:rsidP="00917ECC">
                  <w:pPr>
                    <w:pStyle w:val="TableText"/>
                    <w:spacing w:before="40" w:after="50"/>
                    <w:rPr>
                      <w:rFonts w:eastAsia="Arial Narrow"/>
                    </w:rPr>
                  </w:pPr>
                  <w:r w:rsidRPr="005D4222">
                    <w:rPr>
                      <w:rFonts w:eastAsia="Arial Narrow"/>
                    </w:rPr>
                    <w:t>(Percent)</w:t>
                  </w:r>
                </w:p>
              </w:tc>
              <w:tc>
                <w:tcPr>
                  <w:tcW w:w="525" w:type="dxa"/>
                  <w:tcBorders>
                    <w:right w:val="single" w:sz="4" w:space="0" w:color="auto"/>
                  </w:tcBorders>
                  <w:shd w:val="clear" w:color="auto" w:fill="D9D9D9" w:themeFill="background1" w:themeFillShade="D9"/>
                  <w:tcMar>
                    <w:left w:w="72" w:type="dxa"/>
                    <w:right w:w="72" w:type="dxa"/>
                  </w:tcMar>
                </w:tcPr>
                <w:p w14:paraId="4C8ED749" w14:textId="77777777" w:rsidR="00C20666" w:rsidRPr="005D4222" w:rsidRDefault="00C20666" w:rsidP="00917ECC">
                  <w:pPr>
                    <w:spacing w:before="40" w:after="50" w:line="216" w:lineRule="auto"/>
                    <w:jc w:val="center"/>
                    <w:rPr>
                      <w:rFonts w:ascii="Arial Narrow" w:eastAsia="Arial Narrow" w:hAnsi="Arial Narrow"/>
                      <w:szCs w:val="19"/>
                    </w:rPr>
                  </w:pPr>
                  <w:r w:rsidRPr="005D4222">
                    <w:rPr>
                      <w:rFonts w:ascii="Wingdings" w:eastAsia="Wingdings" w:hAnsi="Wingdings" w:cs="Wingdings"/>
                      <w:szCs w:val="19"/>
                    </w:rPr>
                    <w:t>ü</w:t>
                  </w:r>
                </w:p>
              </w:tc>
            </w:tr>
          </w:tbl>
          <w:p w14:paraId="7263A5B3" w14:textId="0AFAE545" w:rsidR="00C20666" w:rsidRPr="005D4222" w:rsidRDefault="00C20666" w:rsidP="00A751D1">
            <w:pPr>
              <w:pStyle w:val="Heading3"/>
            </w:pPr>
            <w:r w:rsidRPr="005D4222">
              <w:t xml:space="preserve">Table </w:t>
            </w:r>
            <w:r w:rsidRPr="005D4222">
              <w:rPr>
                <w:iCs/>
              </w:rPr>
              <w:t>GSD</w:t>
            </w:r>
            <w:r w:rsidRPr="005D4222">
              <w:t xml:space="preserve">-B-1/2/3: Data Elements for Glycemic Status Assessment for Patients With Diabetes: </w:t>
            </w:r>
            <w:r w:rsidR="00B51CDC" w:rsidRPr="005D4222">
              <w:t>Stratifications</w:t>
            </w:r>
            <w:r w:rsidRPr="005D4222">
              <w:t xml:space="preserve"> by Race</w:t>
            </w:r>
          </w:p>
          <w:tbl>
            <w:tblPr>
              <w:tblW w:w="21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60"/>
            </w:tblGrid>
            <w:tr w:rsidR="00C20666" w:rsidRPr="005D4222" w14:paraId="59A88E53" w14:textId="77777777">
              <w:tc>
                <w:tcPr>
                  <w:tcW w:w="2160" w:type="dxa"/>
                  <w:tcBorders>
                    <w:top w:val="single" w:sz="4" w:space="0" w:color="auto"/>
                    <w:left w:val="single" w:sz="4" w:space="0" w:color="auto"/>
                    <w:bottom w:val="single" w:sz="4" w:space="0" w:color="auto"/>
                    <w:right w:val="single" w:sz="4" w:space="0" w:color="auto"/>
                  </w:tcBorders>
                  <w:shd w:val="clear" w:color="auto" w:fill="000000"/>
                </w:tcPr>
                <w:p w14:paraId="73D8A7C1" w14:textId="77777777" w:rsidR="00C20666" w:rsidRPr="005D4222" w:rsidRDefault="00C20666" w:rsidP="00917ECC">
                  <w:pPr>
                    <w:pStyle w:val="TableHead"/>
                    <w:spacing w:before="40" w:after="50"/>
                  </w:pPr>
                  <w:r w:rsidRPr="005D4222">
                    <w:t>Metric</w:t>
                  </w:r>
                </w:p>
              </w:tc>
            </w:tr>
            <w:tr w:rsidR="00C20666" w:rsidRPr="005D4222" w14:paraId="7C5A6576" w14:textId="77777777">
              <w:tc>
                <w:tcPr>
                  <w:tcW w:w="2160" w:type="dxa"/>
                  <w:tcBorders>
                    <w:top w:val="single" w:sz="4" w:space="0" w:color="auto"/>
                    <w:left w:val="single" w:sz="4" w:space="0" w:color="auto"/>
                    <w:bottom w:val="single" w:sz="4" w:space="0" w:color="auto"/>
                    <w:right w:val="single" w:sz="4" w:space="0" w:color="auto"/>
                  </w:tcBorders>
                </w:tcPr>
                <w:p w14:paraId="3268DFB1" w14:textId="77777777" w:rsidR="00C20666" w:rsidRPr="005D4222" w:rsidRDefault="00C20666" w:rsidP="00917ECC">
                  <w:pPr>
                    <w:pStyle w:val="TableText"/>
                    <w:spacing w:before="40" w:after="50"/>
                  </w:pPr>
                  <w:r w:rsidRPr="005D4222">
                    <w:t>LessThan8</w:t>
                  </w:r>
                </w:p>
              </w:tc>
            </w:tr>
            <w:tr w:rsidR="00C20666" w:rsidRPr="005D4222" w14:paraId="3A60CAD3" w14:textId="77777777">
              <w:tc>
                <w:tcPr>
                  <w:tcW w:w="2160" w:type="dxa"/>
                  <w:tcBorders>
                    <w:top w:val="single" w:sz="4" w:space="0" w:color="auto"/>
                    <w:left w:val="single" w:sz="4" w:space="0" w:color="auto"/>
                    <w:bottom w:val="single" w:sz="4" w:space="0" w:color="auto"/>
                    <w:right w:val="single" w:sz="4" w:space="0" w:color="auto"/>
                  </w:tcBorders>
                </w:tcPr>
                <w:p w14:paraId="32F349BE" w14:textId="77777777" w:rsidR="00C20666" w:rsidRPr="005D4222" w:rsidRDefault="00C20666" w:rsidP="00917ECC">
                  <w:pPr>
                    <w:pStyle w:val="TableText"/>
                    <w:spacing w:before="40" w:after="50"/>
                  </w:pPr>
                  <w:r w:rsidRPr="005D4222">
                    <w:t>GreaterThan9</w:t>
                  </w:r>
                </w:p>
              </w:tc>
            </w:tr>
          </w:tbl>
          <w:p w14:paraId="2E51E176" w14:textId="77777777" w:rsidR="00C20666" w:rsidRPr="005D4222" w:rsidRDefault="00C20666" w:rsidP="00C20666">
            <w:pPr>
              <w:rPr>
                <w:b/>
                <w:bCs/>
                <w:szCs w:val="21"/>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8" w:type="dxa"/>
                <w:right w:w="58" w:type="dxa"/>
              </w:tblCellMar>
              <w:tblLook w:val="0000" w:firstRow="0" w:lastRow="0" w:firstColumn="0" w:lastColumn="0" w:noHBand="0" w:noVBand="0"/>
            </w:tblPr>
            <w:tblGrid>
              <w:gridCol w:w="2786"/>
              <w:gridCol w:w="1530"/>
              <w:gridCol w:w="2520"/>
              <w:gridCol w:w="540"/>
            </w:tblGrid>
            <w:tr w:rsidR="00C20666" w:rsidRPr="005D4222" w14:paraId="286211F4" w14:textId="77777777" w:rsidTr="00917ECC">
              <w:tc>
                <w:tcPr>
                  <w:tcW w:w="2786" w:type="dxa"/>
                  <w:tcBorders>
                    <w:top w:val="single" w:sz="4" w:space="0" w:color="000000" w:themeColor="text1"/>
                    <w:left w:val="single" w:sz="4" w:space="0" w:color="auto"/>
                    <w:bottom w:val="single" w:sz="4" w:space="0" w:color="000000" w:themeColor="text1"/>
                    <w:right w:val="single" w:sz="4" w:space="0" w:color="FFFFFF" w:themeColor="background1"/>
                  </w:tcBorders>
                  <w:shd w:val="clear" w:color="auto" w:fill="000000" w:themeFill="text1"/>
                  <w:vAlign w:val="bottom"/>
                </w:tcPr>
                <w:p w14:paraId="1643396C" w14:textId="77777777" w:rsidR="00C20666" w:rsidRPr="005D4222" w:rsidRDefault="00C20666" w:rsidP="00917ECC">
                  <w:pPr>
                    <w:pStyle w:val="TableHead"/>
                    <w:spacing w:before="40" w:after="50"/>
                  </w:pPr>
                  <w:r w:rsidRPr="005D4222">
                    <w:t>Race</w:t>
                  </w:r>
                </w:p>
              </w:tc>
              <w:tc>
                <w:tcPr>
                  <w:tcW w:w="153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vAlign w:val="bottom"/>
                </w:tcPr>
                <w:p w14:paraId="2BFE97A3" w14:textId="77777777" w:rsidR="00C20666" w:rsidRPr="005D4222" w:rsidRDefault="00C20666" w:rsidP="00917ECC">
                  <w:pPr>
                    <w:pStyle w:val="TableHead"/>
                    <w:spacing w:before="40" w:after="50"/>
                    <w:rPr>
                      <w:szCs w:val="21"/>
                    </w:rPr>
                  </w:pPr>
                  <w:r w:rsidRPr="005D4222">
                    <w:rPr>
                      <w:szCs w:val="21"/>
                    </w:rPr>
                    <w:t>Data Element</w:t>
                  </w:r>
                </w:p>
              </w:tc>
              <w:tc>
                <w:tcPr>
                  <w:tcW w:w="252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vAlign w:val="bottom"/>
                </w:tcPr>
                <w:p w14:paraId="610C12EB" w14:textId="77777777" w:rsidR="00C20666" w:rsidRPr="005D4222" w:rsidRDefault="00C20666" w:rsidP="00917ECC">
                  <w:pPr>
                    <w:pStyle w:val="TableHead"/>
                    <w:spacing w:before="40" w:after="50"/>
                    <w:rPr>
                      <w:szCs w:val="21"/>
                    </w:rPr>
                  </w:pPr>
                  <w:r w:rsidRPr="005D4222">
                    <w:rPr>
                      <w:szCs w:val="21"/>
                    </w:rPr>
                    <w:t>Reporting Instructions</w:t>
                  </w:r>
                </w:p>
              </w:tc>
              <w:tc>
                <w:tcPr>
                  <w:tcW w:w="540"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vAlign w:val="bottom"/>
                </w:tcPr>
                <w:p w14:paraId="273E9EE2" w14:textId="77777777" w:rsidR="00C20666" w:rsidRPr="005D4222" w:rsidRDefault="00C20666" w:rsidP="00917ECC">
                  <w:pPr>
                    <w:pStyle w:val="TableHead"/>
                    <w:spacing w:before="40" w:after="50"/>
                    <w:rPr>
                      <w:szCs w:val="21"/>
                    </w:rPr>
                  </w:pPr>
                  <w:r w:rsidRPr="005D4222">
                    <w:rPr>
                      <w:szCs w:val="21"/>
                    </w:rPr>
                    <w:t>A</w:t>
                  </w:r>
                </w:p>
              </w:tc>
            </w:tr>
            <w:tr w:rsidR="00C20666" w:rsidRPr="005D4222" w14:paraId="1912D817" w14:textId="77777777" w:rsidTr="00917ECC">
              <w:tc>
                <w:tcPr>
                  <w:tcW w:w="2786" w:type="dxa"/>
                  <w:tcBorders>
                    <w:top w:val="single" w:sz="4" w:space="0" w:color="000000" w:themeColor="text1"/>
                    <w:left w:val="single" w:sz="4" w:space="0" w:color="auto"/>
                    <w:bottom w:val="single" w:sz="4" w:space="0" w:color="auto"/>
                    <w:right w:val="single" w:sz="4" w:space="0" w:color="auto"/>
                  </w:tcBorders>
                </w:tcPr>
                <w:p w14:paraId="55578CEA" w14:textId="77777777" w:rsidR="00C20666" w:rsidRPr="005D4222" w:rsidRDefault="00C20666" w:rsidP="00917ECC">
                  <w:pPr>
                    <w:pStyle w:val="TableText"/>
                    <w:spacing w:before="40" w:after="50"/>
                  </w:pPr>
                  <w:r w:rsidRPr="005D4222">
                    <w:t>AmericanIndianOrAlaskaNative</w:t>
                  </w:r>
                </w:p>
              </w:tc>
              <w:tc>
                <w:tcPr>
                  <w:tcW w:w="1530" w:type="dxa"/>
                  <w:tcBorders>
                    <w:top w:val="single" w:sz="4" w:space="0" w:color="000000" w:themeColor="text1"/>
                    <w:left w:val="single" w:sz="4" w:space="0" w:color="auto"/>
                    <w:bottom w:val="single" w:sz="4" w:space="0" w:color="auto"/>
                    <w:right w:val="single" w:sz="4" w:space="0" w:color="auto"/>
                  </w:tcBorders>
                </w:tcPr>
                <w:p w14:paraId="1AC5CD98" w14:textId="77777777" w:rsidR="00C20666" w:rsidRPr="005D4222" w:rsidRDefault="00C20666" w:rsidP="00917ECC">
                  <w:pPr>
                    <w:pStyle w:val="TableText"/>
                    <w:spacing w:before="40" w:after="50"/>
                  </w:pPr>
                  <w:r w:rsidRPr="005D4222">
                    <w:t>CollectionMethod</w:t>
                  </w:r>
                </w:p>
              </w:tc>
              <w:tc>
                <w:tcPr>
                  <w:tcW w:w="2520" w:type="dxa"/>
                  <w:tcBorders>
                    <w:top w:val="single" w:sz="4" w:space="0" w:color="000000" w:themeColor="text1"/>
                    <w:left w:val="single" w:sz="4" w:space="0" w:color="auto"/>
                    <w:bottom w:val="single" w:sz="6" w:space="0" w:color="auto"/>
                    <w:right w:val="single" w:sz="4" w:space="0" w:color="auto"/>
                  </w:tcBorders>
                </w:tcPr>
                <w:p w14:paraId="316CF8DE" w14:textId="77777777" w:rsidR="00C20666" w:rsidRPr="005D4222" w:rsidRDefault="00C20666" w:rsidP="00917ECC">
                  <w:pPr>
                    <w:pStyle w:val="TableText"/>
                    <w:spacing w:before="40" w:after="50"/>
                    <w:rPr>
                      <w:rFonts w:eastAsia="Wingdings"/>
                    </w:rPr>
                  </w:pPr>
                  <w:r w:rsidRPr="005D4222">
                    <w:rPr>
                      <w:rFonts w:eastAsia="Wingdings"/>
                    </w:rPr>
                    <w:t>Repeat per Metric and Stratification</w:t>
                  </w:r>
                </w:p>
              </w:tc>
              <w:tc>
                <w:tcPr>
                  <w:tcW w:w="540" w:type="dxa"/>
                  <w:tcBorders>
                    <w:top w:val="single" w:sz="4" w:space="0" w:color="000000" w:themeColor="text1"/>
                    <w:left w:val="single" w:sz="4" w:space="0" w:color="auto"/>
                    <w:bottom w:val="single" w:sz="6" w:space="0" w:color="auto"/>
                    <w:right w:val="single" w:sz="4" w:space="0" w:color="auto"/>
                  </w:tcBorders>
                </w:tcPr>
                <w:p w14:paraId="3C941C6A" w14:textId="77777777" w:rsidR="00C20666" w:rsidRPr="005D4222" w:rsidRDefault="00C20666" w:rsidP="00917ECC">
                  <w:pPr>
                    <w:spacing w:before="40" w:after="50" w:line="216" w:lineRule="auto"/>
                    <w:jc w:val="center"/>
                    <w:rPr>
                      <w:rFonts w:ascii="Arial Narrow" w:eastAsia="Wingdings" w:hAnsi="Arial Narrow" w:cs="Wingdings"/>
                      <w:szCs w:val="21"/>
                    </w:rPr>
                  </w:pPr>
                  <w:r w:rsidRPr="005D4222">
                    <w:rPr>
                      <w:rFonts w:ascii="Wingdings" w:eastAsia="Wingdings" w:hAnsi="Wingdings" w:cs="Wingdings"/>
                      <w:szCs w:val="19"/>
                    </w:rPr>
                    <w:t>ü</w:t>
                  </w:r>
                </w:p>
              </w:tc>
            </w:tr>
            <w:tr w:rsidR="00917ECC" w:rsidRPr="005D4222" w14:paraId="20C02D13" w14:textId="77777777" w:rsidTr="00917ECC">
              <w:tc>
                <w:tcPr>
                  <w:tcW w:w="2786" w:type="dxa"/>
                  <w:tcBorders>
                    <w:top w:val="single" w:sz="4" w:space="0" w:color="auto"/>
                    <w:left w:val="single" w:sz="4" w:space="0" w:color="000000" w:themeColor="text1"/>
                    <w:bottom w:val="single" w:sz="4" w:space="0" w:color="000000" w:themeColor="text1"/>
                    <w:right w:val="single" w:sz="4" w:space="0" w:color="auto"/>
                  </w:tcBorders>
                  <w:shd w:val="clear" w:color="auto" w:fill="FFFFFF" w:themeFill="background1"/>
                </w:tcPr>
                <w:p w14:paraId="02F8AC12" w14:textId="77777777" w:rsidR="00C20666" w:rsidRPr="005D4222" w:rsidRDefault="00C20666" w:rsidP="00917ECC">
                  <w:pPr>
                    <w:pStyle w:val="TableText"/>
                    <w:spacing w:before="40" w:after="50"/>
                  </w:pPr>
                  <w:r w:rsidRPr="005D4222">
                    <w:t>Asian</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18EDED7B" w14:textId="77777777" w:rsidR="00C20666" w:rsidRPr="005D4222" w:rsidRDefault="00C20666" w:rsidP="00917ECC">
                  <w:pPr>
                    <w:pStyle w:val="TableText"/>
                    <w:spacing w:before="40" w:after="50"/>
                  </w:pPr>
                  <w:r w:rsidRPr="005D4222">
                    <w:t>Denominator</w:t>
                  </w:r>
                </w:p>
              </w:tc>
              <w:tc>
                <w:tcPr>
                  <w:tcW w:w="2520" w:type="dxa"/>
                  <w:tcBorders>
                    <w:left w:val="single" w:sz="4" w:space="0" w:color="auto"/>
                    <w:bottom w:val="single" w:sz="4" w:space="0" w:color="auto"/>
                    <w:right w:val="single" w:sz="4" w:space="0" w:color="auto"/>
                  </w:tcBorders>
                  <w:shd w:val="clear" w:color="auto" w:fill="FFFFFF" w:themeFill="background1"/>
                </w:tcPr>
                <w:p w14:paraId="7ABC5156" w14:textId="77777777" w:rsidR="00C20666" w:rsidRPr="005D4222" w:rsidRDefault="00C20666" w:rsidP="00917ECC">
                  <w:pPr>
                    <w:pStyle w:val="TableText"/>
                    <w:spacing w:before="40" w:after="50"/>
                    <w:rPr>
                      <w:rFonts w:eastAsia="Wingdings"/>
                    </w:rPr>
                  </w:pPr>
                  <w:r w:rsidRPr="005D4222">
                    <w:rPr>
                      <w:rFonts w:eastAsia="Wingdings"/>
                    </w:rPr>
                    <w:t>For each Stratification, repeat per Metric</w:t>
                  </w:r>
                </w:p>
              </w:tc>
              <w:tc>
                <w:tcPr>
                  <w:tcW w:w="540" w:type="dxa"/>
                  <w:tcBorders>
                    <w:left w:val="single" w:sz="4" w:space="0" w:color="auto"/>
                    <w:bottom w:val="single" w:sz="4" w:space="0" w:color="auto"/>
                    <w:right w:val="single" w:sz="4" w:space="0" w:color="auto"/>
                  </w:tcBorders>
                  <w:shd w:val="clear" w:color="auto" w:fill="FFFFFF" w:themeFill="background1"/>
                </w:tcPr>
                <w:p w14:paraId="2589564A" w14:textId="77777777" w:rsidR="00C20666" w:rsidRPr="005D4222" w:rsidRDefault="00C20666" w:rsidP="00917ECC">
                  <w:pPr>
                    <w:spacing w:before="40" w:after="50" w:line="216" w:lineRule="auto"/>
                    <w:jc w:val="center"/>
                    <w:rPr>
                      <w:rFonts w:ascii="Arial Narrow" w:eastAsia="Wingdings" w:hAnsi="Arial Narrow" w:cs="Wingdings"/>
                      <w:szCs w:val="21"/>
                    </w:rPr>
                  </w:pPr>
                  <w:r w:rsidRPr="005D4222">
                    <w:rPr>
                      <w:rFonts w:ascii="Wingdings" w:eastAsia="Wingdings" w:hAnsi="Wingdings" w:cs="Wingdings"/>
                      <w:szCs w:val="19"/>
                    </w:rPr>
                    <w:t>ü</w:t>
                  </w:r>
                </w:p>
              </w:tc>
            </w:tr>
            <w:tr w:rsidR="00C20666" w:rsidRPr="005D4222" w14:paraId="53911213" w14:textId="77777777" w:rsidTr="00917ECC">
              <w:tc>
                <w:tcPr>
                  <w:tcW w:w="27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8E03BA" w14:textId="77777777" w:rsidR="00C20666" w:rsidRPr="005D4222" w:rsidRDefault="00C20666" w:rsidP="00917ECC">
                  <w:pPr>
                    <w:pStyle w:val="TableText"/>
                    <w:spacing w:before="40" w:after="50"/>
                  </w:pPr>
                  <w:r w:rsidRPr="005D4222">
                    <w:t>BlackOrAfricanAmerican</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6E31B788" w14:textId="77777777" w:rsidR="00C20666" w:rsidRPr="005D4222" w:rsidRDefault="00C20666" w:rsidP="00917ECC">
                  <w:pPr>
                    <w:pStyle w:val="TableText"/>
                    <w:spacing w:before="40" w:after="50"/>
                  </w:pPr>
                  <w:r w:rsidRPr="005D4222">
                    <w:t>Numerator</w:t>
                  </w:r>
                </w:p>
              </w:tc>
              <w:tc>
                <w:tcPr>
                  <w:tcW w:w="2520" w:type="dxa"/>
                  <w:tcBorders>
                    <w:top w:val="single" w:sz="4" w:space="0" w:color="auto"/>
                    <w:left w:val="single" w:sz="4" w:space="0" w:color="auto"/>
                    <w:bottom w:val="single" w:sz="4" w:space="0" w:color="auto"/>
                    <w:right w:val="single" w:sz="4" w:space="0" w:color="auto"/>
                  </w:tcBorders>
                  <w:shd w:val="clear" w:color="auto" w:fill="FFFFFF" w:themeFill="background1"/>
                </w:tcPr>
                <w:p w14:paraId="045AC8C2" w14:textId="77777777" w:rsidR="00C20666" w:rsidRPr="005D4222" w:rsidRDefault="00C20666" w:rsidP="00917ECC">
                  <w:pPr>
                    <w:pStyle w:val="TableText"/>
                    <w:spacing w:before="40" w:after="50"/>
                    <w:rPr>
                      <w:rFonts w:eastAsia="Wingdings"/>
                    </w:rPr>
                  </w:pPr>
                  <w:r w:rsidRPr="005D4222">
                    <w:rPr>
                      <w:rFonts w:eastAsia="Wingdings"/>
                    </w:rPr>
                    <w:t>For each Metric and Stratification</w:t>
                  </w: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tcPr>
                <w:p w14:paraId="29D460C4" w14:textId="77777777" w:rsidR="00C20666" w:rsidRPr="005D4222" w:rsidRDefault="00C20666" w:rsidP="00917ECC">
                  <w:pPr>
                    <w:spacing w:before="40" w:after="50" w:line="216" w:lineRule="auto"/>
                    <w:jc w:val="center"/>
                    <w:rPr>
                      <w:rFonts w:eastAsia="Wingdings" w:cs="Wingdings"/>
                      <w:szCs w:val="21"/>
                    </w:rPr>
                  </w:pPr>
                  <w:r w:rsidRPr="005D4222">
                    <w:rPr>
                      <w:rFonts w:ascii="Wingdings" w:eastAsia="Wingdings" w:hAnsi="Wingdings" w:cs="Wingdings"/>
                      <w:szCs w:val="21"/>
                    </w:rPr>
                    <w:t>ü</w:t>
                  </w:r>
                </w:p>
              </w:tc>
            </w:tr>
            <w:tr w:rsidR="00C20666" w:rsidRPr="005D4222" w14:paraId="4C67E9E4" w14:textId="77777777" w:rsidTr="00917ECC">
              <w:tc>
                <w:tcPr>
                  <w:tcW w:w="27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6F38B1" w14:textId="77777777" w:rsidR="00C20666" w:rsidRPr="005D4222" w:rsidRDefault="00C20666" w:rsidP="00917ECC">
                  <w:pPr>
                    <w:pStyle w:val="TableText"/>
                    <w:spacing w:before="40" w:after="50"/>
                  </w:pPr>
                  <w:r w:rsidRPr="005D4222">
                    <w:t>MiddleEasternOrNorthAfrican</w:t>
                  </w: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DEDDAD" w14:textId="77777777" w:rsidR="00C20666" w:rsidRPr="005D4222" w:rsidRDefault="00C20666" w:rsidP="00917ECC">
                  <w:pPr>
                    <w:pStyle w:val="TableText"/>
                    <w:spacing w:before="40" w:after="50"/>
                  </w:pPr>
                  <w:r w:rsidRPr="005D4222">
                    <w:t>Rate</w:t>
                  </w:r>
                </w:p>
              </w:tc>
              <w:tc>
                <w:tcPr>
                  <w:tcW w:w="25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8EB2DF5" w14:textId="77777777" w:rsidR="00C20666" w:rsidRPr="005D4222" w:rsidRDefault="00C20666" w:rsidP="00917ECC">
                  <w:pPr>
                    <w:pStyle w:val="TableText"/>
                    <w:spacing w:before="40" w:after="50"/>
                    <w:rPr>
                      <w:rFonts w:eastAsia="Wingdings"/>
                    </w:rPr>
                  </w:pPr>
                  <w:r w:rsidRPr="005D4222">
                    <w:rPr>
                      <w:rFonts w:eastAsia="Wingdings"/>
                    </w:rPr>
                    <w:t>(Percent)</w:t>
                  </w:r>
                </w:p>
              </w:tc>
              <w:tc>
                <w:tcPr>
                  <w:tcW w:w="5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14EF05E" w14:textId="77777777" w:rsidR="00C20666" w:rsidRPr="005D4222" w:rsidRDefault="00C20666" w:rsidP="00917ECC">
                  <w:pPr>
                    <w:spacing w:before="40" w:after="50" w:line="216" w:lineRule="auto"/>
                    <w:jc w:val="center"/>
                    <w:rPr>
                      <w:rFonts w:ascii="Arial Narrow" w:eastAsia="Wingdings" w:hAnsi="Arial Narrow" w:cs="Wingdings"/>
                      <w:szCs w:val="21"/>
                    </w:rPr>
                  </w:pPr>
                  <w:r w:rsidRPr="005D4222">
                    <w:rPr>
                      <w:rFonts w:ascii="Wingdings" w:eastAsia="Wingdings" w:hAnsi="Wingdings" w:cs="Wingdings"/>
                      <w:szCs w:val="19"/>
                    </w:rPr>
                    <w:t>ü</w:t>
                  </w:r>
                </w:p>
              </w:tc>
            </w:tr>
            <w:tr w:rsidR="00917ECC" w:rsidRPr="005D4222" w14:paraId="546B7AAC" w14:textId="77777777" w:rsidTr="00917ECC">
              <w:tc>
                <w:tcPr>
                  <w:tcW w:w="27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849BF5" w14:textId="77777777" w:rsidR="00C20666" w:rsidRPr="005D4222" w:rsidRDefault="00C20666" w:rsidP="00917ECC">
                  <w:pPr>
                    <w:pStyle w:val="TableText"/>
                    <w:spacing w:before="40" w:after="50"/>
                  </w:pPr>
                  <w:r w:rsidRPr="005D4222">
                    <w:t>NativeHawaiianOrPacificIslander</w:t>
                  </w:r>
                </w:p>
              </w:tc>
              <w:tc>
                <w:tcPr>
                  <w:tcW w:w="1530" w:type="dxa"/>
                  <w:tcBorders>
                    <w:top w:val="single" w:sz="4" w:space="0" w:color="auto"/>
                    <w:left w:val="single" w:sz="4" w:space="0" w:color="auto"/>
                    <w:bottom w:val="nil"/>
                    <w:right w:val="nil"/>
                  </w:tcBorders>
                  <w:shd w:val="clear" w:color="auto" w:fill="FFFFFF" w:themeFill="background1"/>
                </w:tcPr>
                <w:p w14:paraId="7F5FD9EC" w14:textId="77777777" w:rsidR="00C20666" w:rsidRPr="005D4222" w:rsidRDefault="00C20666" w:rsidP="00917ECC">
                  <w:pPr>
                    <w:pStyle w:val="TableText"/>
                    <w:spacing w:before="40" w:after="50"/>
                  </w:pPr>
                </w:p>
              </w:tc>
              <w:tc>
                <w:tcPr>
                  <w:tcW w:w="2520" w:type="dxa"/>
                  <w:tcBorders>
                    <w:top w:val="single" w:sz="4" w:space="0" w:color="auto"/>
                    <w:left w:val="nil"/>
                    <w:bottom w:val="nil"/>
                    <w:right w:val="nil"/>
                  </w:tcBorders>
                  <w:shd w:val="clear" w:color="auto" w:fill="FFFFFF" w:themeFill="background1"/>
                </w:tcPr>
                <w:p w14:paraId="1B381D5C" w14:textId="77777777" w:rsidR="00C20666" w:rsidRPr="005D4222" w:rsidRDefault="00C20666" w:rsidP="00917ECC">
                  <w:pPr>
                    <w:pStyle w:val="TableText"/>
                    <w:spacing w:before="40" w:after="50"/>
                    <w:rPr>
                      <w:rFonts w:eastAsia="Wingdings"/>
                    </w:rPr>
                  </w:pPr>
                </w:p>
              </w:tc>
              <w:tc>
                <w:tcPr>
                  <w:tcW w:w="540" w:type="dxa"/>
                  <w:tcBorders>
                    <w:top w:val="single" w:sz="4" w:space="0" w:color="auto"/>
                    <w:left w:val="nil"/>
                    <w:bottom w:val="nil"/>
                    <w:right w:val="nil"/>
                  </w:tcBorders>
                  <w:shd w:val="clear" w:color="auto" w:fill="FFFFFF" w:themeFill="background1"/>
                </w:tcPr>
                <w:p w14:paraId="52CB182E" w14:textId="77777777" w:rsidR="00C20666" w:rsidRPr="005D4222" w:rsidRDefault="00C20666" w:rsidP="00917ECC">
                  <w:pPr>
                    <w:spacing w:before="40" w:after="50" w:line="216" w:lineRule="auto"/>
                    <w:jc w:val="center"/>
                    <w:rPr>
                      <w:rFonts w:ascii="Arial Narrow" w:eastAsia="Wingdings" w:hAnsi="Arial Narrow" w:cs="Wingdings"/>
                      <w:szCs w:val="21"/>
                    </w:rPr>
                  </w:pPr>
                </w:p>
              </w:tc>
            </w:tr>
            <w:tr w:rsidR="00C20666" w:rsidRPr="005D4222" w14:paraId="5EB6A18B" w14:textId="77777777" w:rsidTr="00917ECC">
              <w:tc>
                <w:tcPr>
                  <w:tcW w:w="27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4DE9C8" w14:textId="77777777" w:rsidR="00C20666" w:rsidRPr="005D4222" w:rsidRDefault="00C20666" w:rsidP="00917ECC">
                  <w:pPr>
                    <w:pStyle w:val="TableText"/>
                    <w:spacing w:before="40" w:after="50"/>
                  </w:pPr>
                  <w:r w:rsidRPr="005D4222">
                    <w:t>White</w:t>
                  </w:r>
                </w:p>
              </w:tc>
              <w:tc>
                <w:tcPr>
                  <w:tcW w:w="1530" w:type="dxa"/>
                  <w:tcBorders>
                    <w:top w:val="nil"/>
                    <w:left w:val="nil"/>
                    <w:bottom w:val="nil"/>
                    <w:right w:val="nil"/>
                  </w:tcBorders>
                </w:tcPr>
                <w:p w14:paraId="5A0E7A91" w14:textId="77777777" w:rsidR="00C20666" w:rsidRPr="005D4222" w:rsidRDefault="00C20666" w:rsidP="00917ECC">
                  <w:pPr>
                    <w:pStyle w:val="TableText"/>
                    <w:spacing w:before="40" w:after="50"/>
                  </w:pPr>
                </w:p>
              </w:tc>
              <w:tc>
                <w:tcPr>
                  <w:tcW w:w="2520" w:type="dxa"/>
                  <w:tcBorders>
                    <w:top w:val="nil"/>
                    <w:left w:val="nil"/>
                    <w:bottom w:val="nil"/>
                    <w:right w:val="nil"/>
                  </w:tcBorders>
                </w:tcPr>
                <w:p w14:paraId="7880EF81" w14:textId="77777777" w:rsidR="00C20666" w:rsidRPr="005D4222" w:rsidRDefault="00C20666" w:rsidP="00917ECC">
                  <w:pPr>
                    <w:pStyle w:val="TableText"/>
                    <w:spacing w:before="40" w:after="50"/>
                    <w:rPr>
                      <w:rFonts w:eastAsia="Wingdings"/>
                    </w:rPr>
                  </w:pPr>
                </w:p>
              </w:tc>
              <w:tc>
                <w:tcPr>
                  <w:tcW w:w="540" w:type="dxa"/>
                  <w:tcBorders>
                    <w:top w:val="nil"/>
                    <w:left w:val="nil"/>
                    <w:bottom w:val="nil"/>
                    <w:right w:val="nil"/>
                  </w:tcBorders>
                </w:tcPr>
                <w:p w14:paraId="0571181C" w14:textId="77777777" w:rsidR="00C20666" w:rsidRPr="005D4222" w:rsidRDefault="00C20666" w:rsidP="00917ECC">
                  <w:pPr>
                    <w:spacing w:before="40" w:after="50" w:line="216" w:lineRule="auto"/>
                    <w:jc w:val="center"/>
                    <w:rPr>
                      <w:rFonts w:ascii="Wingdings" w:eastAsia="Wingdings" w:hAnsi="Wingdings" w:cs="Wingdings"/>
                      <w:szCs w:val="19"/>
                    </w:rPr>
                  </w:pPr>
                </w:p>
              </w:tc>
            </w:tr>
            <w:tr w:rsidR="00C20666" w:rsidRPr="005D4222" w14:paraId="29CB66D2" w14:textId="77777777" w:rsidTr="00917ECC">
              <w:tc>
                <w:tcPr>
                  <w:tcW w:w="27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603441" w14:textId="77777777" w:rsidR="00C20666" w:rsidRPr="005D4222" w:rsidRDefault="00C20666" w:rsidP="00917ECC">
                  <w:pPr>
                    <w:pStyle w:val="TableText"/>
                    <w:spacing w:before="40" w:after="50"/>
                  </w:pPr>
                  <w:r w:rsidRPr="005D4222">
                    <w:t>SomeOtherRace</w:t>
                  </w:r>
                </w:p>
              </w:tc>
              <w:tc>
                <w:tcPr>
                  <w:tcW w:w="1530" w:type="dxa"/>
                  <w:tcBorders>
                    <w:top w:val="nil"/>
                    <w:left w:val="nil"/>
                    <w:bottom w:val="nil"/>
                    <w:right w:val="nil"/>
                  </w:tcBorders>
                </w:tcPr>
                <w:p w14:paraId="48C16486" w14:textId="77777777" w:rsidR="00C20666" w:rsidRPr="005D4222" w:rsidRDefault="00C20666" w:rsidP="00917ECC">
                  <w:pPr>
                    <w:pStyle w:val="TableText"/>
                    <w:spacing w:before="40" w:after="50"/>
                  </w:pPr>
                </w:p>
              </w:tc>
              <w:tc>
                <w:tcPr>
                  <w:tcW w:w="2520" w:type="dxa"/>
                  <w:tcBorders>
                    <w:top w:val="nil"/>
                    <w:left w:val="nil"/>
                    <w:bottom w:val="nil"/>
                    <w:right w:val="nil"/>
                  </w:tcBorders>
                </w:tcPr>
                <w:p w14:paraId="3E3A4A63" w14:textId="77777777" w:rsidR="00C20666" w:rsidRPr="005D4222" w:rsidRDefault="00C20666" w:rsidP="00917ECC">
                  <w:pPr>
                    <w:pStyle w:val="TableText"/>
                    <w:spacing w:before="40" w:after="50"/>
                    <w:rPr>
                      <w:rFonts w:eastAsia="Wingdings"/>
                    </w:rPr>
                  </w:pPr>
                </w:p>
              </w:tc>
              <w:tc>
                <w:tcPr>
                  <w:tcW w:w="540" w:type="dxa"/>
                  <w:tcBorders>
                    <w:top w:val="nil"/>
                    <w:left w:val="nil"/>
                    <w:bottom w:val="nil"/>
                    <w:right w:val="nil"/>
                  </w:tcBorders>
                </w:tcPr>
                <w:p w14:paraId="5D448C68" w14:textId="77777777" w:rsidR="00C20666" w:rsidRPr="005D4222" w:rsidRDefault="00C20666" w:rsidP="00917ECC">
                  <w:pPr>
                    <w:spacing w:before="40" w:after="50" w:line="216" w:lineRule="auto"/>
                    <w:jc w:val="center"/>
                    <w:rPr>
                      <w:rFonts w:ascii="Arial Narrow" w:eastAsia="Wingdings" w:hAnsi="Arial Narrow" w:cs="Wingdings"/>
                      <w:szCs w:val="21"/>
                    </w:rPr>
                  </w:pPr>
                </w:p>
              </w:tc>
            </w:tr>
            <w:tr w:rsidR="00C20666" w:rsidRPr="005D4222" w14:paraId="482C9A64" w14:textId="77777777" w:rsidTr="00917ECC">
              <w:tc>
                <w:tcPr>
                  <w:tcW w:w="27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34557C" w14:textId="77777777" w:rsidR="00C20666" w:rsidRPr="005D4222" w:rsidRDefault="00C20666" w:rsidP="00917ECC">
                  <w:pPr>
                    <w:pStyle w:val="TableText"/>
                    <w:spacing w:before="40" w:after="50"/>
                  </w:pPr>
                  <w:r w:rsidRPr="005D4222">
                    <w:t>TwoOrMoreRaces</w:t>
                  </w:r>
                </w:p>
              </w:tc>
              <w:tc>
                <w:tcPr>
                  <w:tcW w:w="1530" w:type="dxa"/>
                  <w:tcBorders>
                    <w:top w:val="nil"/>
                    <w:left w:val="nil"/>
                    <w:bottom w:val="nil"/>
                    <w:right w:val="nil"/>
                  </w:tcBorders>
                </w:tcPr>
                <w:p w14:paraId="21C07607" w14:textId="77777777" w:rsidR="00C20666" w:rsidRPr="005D4222" w:rsidRDefault="00C20666" w:rsidP="00917ECC">
                  <w:pPr>
                    <w:pStyle w:val="TableText"/>
                    <w:spacing w:before="40" w:after="50"/>
                  </w:pPr>
                </w:p>
              </w:tc>
              <w:tc>
                <w:tcPr>
                  <w:tcW w:w="2520" w:type="dxa"/>
                  <w:tcBorders>
                    <w:top w:val="nil"/>
                    <w:left w:val="nil"/>
                    <w:bottom w:val="nil"/>
                    <w:right w:val="nil"/>
                  </w:tcBorders>
                </w:tcPr>
                <w:p w14:paraId="6F7CA74F" w14:textId="77777777" w:rsidR="00C20666" w:rsidRPr="005D4222" w:rsidRDefault="00C20666" w:rsidP="00917ECC">
                  <w:pPr>
                    <w:pStyle w:val="TableText"/>
                    <w:spacing w:before="40" w:after="50"/>
                    <w:rPr>
                      <w:rFonts w:eastAsia="Wingdings"/>
                    </w:rPr>
                  </w:pPr>
                </w:p>
              </w:tc>
              <w:tc>
                <w:tcPr>
                  <w:tcW w:w="540" w:type="dxa"/>
                  <w:tcBorders>
                    <w:top w:val="nil"/>
                    <w:left w:val="nil"/>
                    <w:bottom w:val="nil"/>
                    <w:right w:val="nil"/>
                  </w:tcBorders>
                </w:tcPr>
                <w:p w14:paraId="1C2B6774" w14:textId="77777777" w:rsidR="00C20666" w:rsidRPr="005D4222" w:rsidRDefault="00C20666" w:rsidP="00917ECC">
                  <w:pPr>
                    <w:spacing w:before="40" w:after="50" w:line="216" w:lineRule="auto"/>
                    <w:jc w:val="center"/>
                    <w:rPr>
                      <w:rFonts w:ascii="Arial Narrow" w:eastAsia="Wingdings" w:hAnsi="Arial Narrow" w:cs="Wingdings"/>
                      <w:szCs w:val="21"/>
                    </w:rPr>
                  </w:pPr>
                </w:p>
              </w:tc>
            </w:tr>
            <w:tr w:rsidR="00C20666" w:rsidRPr="005D4222" w14:paraId="1E1760FD" w14:textId="77777777" w:rsidTr="00917ECC">
              <w:tc>
                <w:tcPr>
                  <w:tcW w:w="27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2BD294" w14:textId="77777777" w:rsidR="00C20666" w:rsidRPr="005D4222" w:rsidRDefault="00C20666" w:rsidP="00917ECC">
                  <w:pPr>
                    <w:pStyle w:val="TableText"/>
                    <w:spacing w:before="40" w:after="50"/>
                  </w:pPr>
                  <w:r w:rsidRPr="005D4222">
                    <w:t>AskedButNoAnswer</w:t>
                  </w:r>
                </w:p>
              </w:tc>
              <w:tc>
                <w:tcPr>
                  <w:tcW w:w="1530" w:type="dxa"/>
                  <w:tcBorders>
                    <w:top w:val="nil"/>
                    <w:left w:val="nil"/>
                    <w:bottom w:val="nil"/>
                    <w:right w:val="nil"/>
                  </w:tcBorders>
                </w:tcPr>
                <w:p w14:paraId="163A7952" w14:textId="77777777" w:rsidR="00C20666" w:rsidRPr="005D4222" w:rsidRDefault="00C20666" w:rsidP="00917ECC">
                  <w:pPr>
                    <w:spacing w:before="40" w:after="50" w:line="216" w:lineRule="auto"/>
                    <w:rPr>
                      <w:rFonts w:ascii="Arial Narrow" w:hAnsi="Arial Narrow"/>
                      <w:szCs w:val="19"/>
                    </w:rPr>
                  </w:pPr>
                </w:p>
              </w:tc>
              <w:tc>
                <w:tcPr>
                  <w:tcW w:w="2520" w:type="dxa"/>
                  <w:tcBorders>
                    <w:top w:val="nil"/>
                    <w:left w:val="nil"/>
                    <w:bottom w:val="nil"/>
                    <w:right w:val="nil"/>
                  </w:tcBorders>
                </w:tcPr>
                <w:p w14:paraId="5C4CF483" w14:textId="77777777" w:rsidR="00C20666" w:rsidRPr="005D4222" w:rsidRDefault="00C20666" w:rsidP="00917ECC">
                  <w:pPr>
                    <w:spacing w:before="40" w:after="50" w:line="216" w:lineRule="auto"/>
                    <w:rPr>
                      <w:rFonts w:ascii="Arial Narrow" w:eastAsia="Wingdings" w:hAnsi="Arial Narrow"/>
                      <w:szCs w:val="19"/>
                    </w:rPr>
                  </w:pPr>
                </w:p>
              </w:tc>
              <w:tc>
                <w:tcPr>
                  <w:tcW w:w="540" w:type="dxa"/>
                  <w:tcBorders>
                    <w:top w:val="nil"/>
                    <w:left w:val="nil"/>
                    <w:bottom w:val="nil"/>
                    <w:right w:val="nil"/>
                  </w:tcBorders>
                </w:tcPr>
                <w:p w14:paraId="0F4D2880" w14:textId="77777777" w:rsidR="00C20666" w:rsidRPr="005D4222" w:rsidRDefault="00C20666" w:rsidP="00917ECC">
                  <w:pPr>
                    <w:spacing w:before="40" w:after="50" w:line="216" w:lineRule="auto"/>
                    <w:jc w:val="center"/>
                    <w:rPr>
                      <w:rFonts w:ascii="Arial Narrow" w:eastAsia="Wingdings" w:hAnsi="Arial Narrow" w:cs="Wingdings"/>
                      <w:szCs w:val="21"/>
                    </w:rPr>
                  </w:pPr>
                </w:p>
              </w:tc>
            </w:tr>
            <w:tr w:rsidR="00C20666" w:rsidRPr="005D4222" w14:paraId="004B96F9" w14:textId="77777777" w:rsidTr="00917ECC">
              <w:tc>
                <w:tcPr>
                  <w:tcW w:w="27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F07D04" w14:textId="77777777" w:rsidR="00C20666" w:rsidRPr="005D4222" w:rsidRDefault="00C20666" w:rsidP="00917ECC">
                  <w:pPr>
                    <w:pStyle w:val="TableText"/>
                    <w:spacing w:before="40" w:after="50"/>
                  </w:pPr>
                  <w:r w:rsidRPr="005D4222">
                    <w:t>Unknown</w:t>
                  </w:r>
                </w:p>
              </w:tc>
              <w:tc>
                <w:tcPr>
                  <w:tcW w:w="1530" w:type="dxa"/>
                  <w:tcBorders>
                    <w:top w:val="nil"/>
                    <w:left w:val="nil"/>
                    <w:bottom w:val="nil"/>
                    <w:right w:val="nil"/>
                  </w:tcBorders>
                </w:tcPr>
                <w:p w14:paraId="01F8B14A" w14:textId="77777777" w:rsidR="00C20666" w:rsidRPr="005D4222" w:rsidRDefault="00C20666" w:rsidP="00917ECC">
                  <w:pPr>
                    <w:spacing w:before="40" w:after="50" w:line="216" w:lineRule="auto"/>
                    <w:rPr>
                      <w:rFonts w:ascii="Arial Narrow" w:hAnsi="Arial Narrow"/>
                      <w:szCs w:val="19"/>
                    </w:rPr>
                  </w:pPr>
                </w:p>
              </w:tc>
              <w:tc>
                <w:tcPr>
                  <w:tcW w:w="2520" w:type="dxa"/>
                  <w:tcBorders>
                    <w:top w:val="nil"/>
                    <w:left w:val="nil"/>
                    <w:bottom w:val="nil"/>
                    <w:right w:val="nil"/>
                  </w:tcBorders>
                </w:tcPr>
                <w:p w14:paraId="3CB60527" w14:textId="77777777" w:rsidR="00C20666" w:rsidRPr="005D4222" w:rsidRDefault="00C20666" w:rsidP="00917ECC">
                  <w:pPr>
                    <w:spacing w:before="40" w:after="50" w:line="216" w:lineRule="auto"/>
                    <w:rPr>
                      <w:rFonts w:ascii="Arial Narrow" w:eastAsia="Wingdings" w:hAnsi="Arial Narrow"/>
                      <w:szCs w:val="19"/>
                    </w:rPr>
                  </w:pPr>
                </w:p>
              </w:tc>
              <w:tc>
                <w:tcPr>
                  <w:tcW w:w="540" w:type="dxa"/>
                  <w:tcBorders>
                    <w:top w:val="nil"/>
                    <w:left w:val="nil"/>
                    <w:bottom w:val="nil"/>
                    <w:right w:val="nil"/>
                  </w:tcBorders>
                </w:tcPr>
                <w:p w14:paraId="2DF08C85" w14:textId="77777777" w:rsidR="00C20666" w:rsidRPr="005D4222" w:rsidRDefault="00C20666" w:rsidP="00917ECC">
                  <w:pPr>
                    <w:spacing w:before="40" w:after="50" w:line="216" w:lineRule="auto"/>
                    <w:rPr>
                      <w:rFonts w:ascii="Arial Narrow" w:eastAsia="Wingdings" w:hAnsi="Arial Narrow" w:cs="Wingdings"/>
                      <w:szCs w:val="21"/>
                    </w:rPr>
                  </w:pPr>
                </w:p>
              </w:tc>
            </w:tr>
          </w:tbl>
          <w:p w14:paraId="6EEB7AF6" w14:textId="11AC64F3" w:rsidR="00C20666" w:rsidRPr="005D4222" w:rsidRDefault="00C20666" w:rsidP="00C20666">
            <w:pPr>
              <w:keepNext/>
              <w:spacing w:before="120" w:after="60"/>
              <w:outlineLvl w:val="2"/>
              <w:rPr>
                <w:rFonts w:cs="Arial"/>
                <w:b/>
                <w:bCs/>
                <w:i/>
                <w:sz w:val="18"/>
                <w:szCs w:val="26"/>
              </w:rPr>
            </w:pPr>
            <w:r w:rsidRPr="005D4222">
              <w:rPr>
                <w:rFonts w:cs="Arial"/>
                <w:b/>
                <w:bCs/>
                <w:i/>
                <w:sz w:val="18"/>
                <w:szCs w:val="26"/>
              </w:rPr>
              <w:lastRenderedPageBreak/>
              <w:br w:type="page"/>
              <w:t xml:space="preserve">Table </w:t>
            </w:r>
            <w:r w:rsidRPr="005D4222">
              <w:rPr>
                <w:rFonts w:cs="Arial"/>
                <w:b/>
                <w:bCs/>
                <w:i/>
                <w:iCs/>
                <w:sz w:val="18"/>
                <w:szCs w:val="26"/>
              </w:rPr>
              <w:t>GSD</w:t>
            </w:r>
            <w:r w:rsidRPr="005D4222">
              <w:rPr>
                <w:rFonts w:cs="Arial"/>
                <w:b/>
                <w:bCs/>
                <w:i/>
                <w:sz w:val="18"/>
                <w:szCs w:val="26"/>
              </w:rPr>
              <w:t xml:space="preserve">-C-1/2/3: Data Elements for Glycemic Status Assessment for Patients With Diabetes: </w:t>
            </w:r>
            <w:r w:rsidR="00B51CDC" w:rsidRPr="005D4222">
              <w:rPr>
                <w:rFonts w:cs="Arial"/>
                <w:b/>
                <w:bCs/>
                <w:i/>
                <w:sz w:val="18"/>
                <w:szCs w:val="26"/>
              </w:rPr>
              <w:t>Stratifications</w:t>
            </w:r>
            <w:r w:rsidRPr="005D4222">
              <w:rPr>
                <w:rFonts w:cs="Arial"/>
                <w:b/>
                <w:bCs/>
                <w:i/>
                <w:sz w:val="18"/>
                <w:szCs w:val="26"/>
              </w:rPr>
              <w:t xml:space="preserve"> by Ethnicity</w:t>
            </w:r>
          </w:p>
          <w:tbl>
            <w:tblPr>
              <w:tblW w:w="21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60"/>
            </w:tblGrid>
            <w:tr w:rsidR="00C20666" w:rsidRPr="005D4222" w14:paraId="58679B28" w14:textId="77777777">
              <w:tc>
                <w:tcPr>
                  <w:tcW w:w="2160" w:type="dxa"/>
                  <w:tcBorders>
                    <w:top w:val="single" w:sz="4" w:space="0" w:color="auto"/>
                    <w:left w:val="single" w:sz="4" w:space="0" w:color="auto"/>
                    <w:bottom w:val="single" w:sz="4" w:space="0" w:color="auto"/>
                    <w:right w:val="single" w:sz="4" w:space="0" w:color="auto"/>
                  </w:tcBorders>
                  <w:shd w:val="clear" w:color="auto" w:fill="000000"/>
                  <w:tcMar>
                    <w:left w:w="72" w:type="dxa"/>
                    <w:right w:w="72" w:type="dxa"/>
                  </w:tcMar>
                </w:tcPr>
                <w:p w14:paraId="5AD92B86" w14:textId="77777777" w:rsidR="00C20666" w:rsidRPr="005D4222" w:rsidRDefault="00C20666" w:rsidP="00A751D1">
                  <w:pPr>
                    <w:pStyle w:val="TableHead"/>
                  </w:pPr>
                  <w:r w:rsidRPr="005D4222">
                    <w:t>Metric</w:t>
                  </w:r>
                </w:p>
              </w:tc>
            </w:tr>
            <w:tr w:rsidR="00C20666" w:rsidRPr="005D4222" w14:paraId="47E82366" w14:textId="77777777">
              <w:tc>
                <w:tcPr>
                  <w:tcW w:w="2160" w:type="dxa"/>
                  <w:tcBorders>
                    <w:top w:val="single" w:sz="4" w:space="0" w:color="auto"/>
                    <w:left w:val="single" w:sz="4" w:space="0" w:color="auto"/>
                    <w:bottom w:val="single" w:sz="4" w:space="0" w:color="auto"/>
                    <w:right w:val="single" w:sz="4" w:space="0" w:color="auto"/>
                  </w:tcBorders>
                  <w:tcMar>
                    <w:left w:w="72" w:type="dxa"/>
                    <w:right w:w="72" w:type="dxa"/>
                  </w:tcMar>
                </w:tcPr>
                <w:p w14:paraId="19B82174" w14:textId="77777777" w:rsidR="00C20666" w:rsidRPr="005D4222" w:rsidRDefault="00C20666" w:rsidP="00A751D1">
                  <w:pPr>
                    <w:pStyle w:val="TableText"/>
                  </w:pPr>
                  <w:r w:rsidRPr="005D4222">
                    <w:t>LessThan8</w:t>
                  </w:r>
                </w:p>
              </w:tc>
            </w:tr>
            <w:tr w:rsidR="00C20666" w:rsidRPr="005D4222" w14:paraId="18487871" w14:textId="77777777">
              <w:tc>
                <w:tcPr>
                  <w:tcW w:w="2160" w:type="dxa"/>
                  <w:tcBorders>
                    <w:top w:val="single" w:sz="4" w:space="0" w:color="auto"/>
                    <w:left w:val="single" w:sz="4" w:space="0" w:color="auto"/>
                    <w:bottom w:val="single" w:sz="4" w:space="0" w:color="auto"/>
                    <w:right w:val="single" w:sz="4" w:space="0" w:color="auto"/>
                  </w:tcBorders>
                  <w:tcMar>
                    <w:left w:w="72" w:type="dxa"/>
                    <w:right w:w="72" w:type="dxa"/>
                  </w:tcMar>
                </w:tcPr>
                <w:p w14:paraId="2FA2EC1A" w14:textId="77777777" w:rsidR="00C20666" w:rsidRPr="005D4222" w:rsidRDefault="00C20666" w:rsidP="00A751D1">
                  <w:pPr>
                    <w:pStyle w:val="TableText"/>
                  </w:pPr>
                  <w:r w:rsidRPr="005D4222">
                    <w:t>GreaterThan9</w:t>
                  </w:r>
                </w:p>
              </w:tc>
            </w:tr>
          </w:tbl>
          <w:p w14:paraId="2F41361B" w14:textId="77777777" w:rsidR="00C20666" w:rsidRPr="005D4222" w:rsidRDefault="00C20666" w:rsidP="00A751D1">
            <w:pPr>
              <w:pStyle w:val="TableText"/>
            </w:pPr>
          </w:p>
          <w:tbl>
            <w:tblPr>
              <w:tblW w:w="73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86"/>
              <w:gridCol w:w="2069"/>
              <w:gridCol w:w="2881"/>
              <w:gridCol w:w="540"/>
            </w:tblGrid>
            <w:tr w:rsidR="00C20666" w:rsidRPr="005D4222" w14:paraId="3F7A9028" w14:textId="77777777">
              <w:trPr>
                <w:trHeight w:val="314"/>
              </w:trPr>
              <w:tc>
                <w:tcPr>
                  <w:tcW w:w="1886" w:type="dxa"/>
                  <w:tcBorders>
                    <w:top w:val="single" w:sz="4" w:space="0" w:color="000000" w:themeColor="text1"/>
                    <w:left w:val="single" w:sz="4" w:space="0" w:color="auto"/>
                    <w:bottom w:val="single" w:sz="4" w:space="0" w:color="000000" w:themeColor="text1"/>
                    <w:right w:val="single" w:sz="4" w:space="0" w:color="FFFFFF" w:themeColor="background1"/>
                  </w:tcBorders>
                  <w:shd w:val="clear" w:color="auto" w:fill="000000" w:themeFill="text1"/>
                  <w:tcMar>
                    <w:left w:w="72" w:type="dxa"/>
                    <w:right w:w="72" w:type="dxa"/>
                  </w:tcMar>
                </w:tcPr>
                <w:p w14:paraId="73C58658" w14:textId="77777777" w:rsidR="00C20666" w:rsidRPr="005D4222" w:rsidRDefault="00C20666" w:rsidP="00A751D1">
                  <w:pPr>
                    <w:pStyle w:val="TableHead"/>
                  </w:pPr>
                  <w:r w:rsidRPr="005D4222">
                    <w:t>Ethnicity</w:t>
                  </w:r>
                </w:p>
              </w:tc>
              <w:tc>
                <w:tcPr>
                  <w:tcW w:w="2069"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72" w:type="dxa"/>
                    <w:right w:w="72" w:type="dxa"/>
                  </w:tcMar>
                </w:tcPr>
                <w:p w14:paraId="7BBFC451" w14:textId="77777777" w:rsidR="00C20666" w:rsidRPr="005D4222" w:rsidRDefault="00C20666" w:rsidP="00A751D1">
                  <w:pPr>
                    <w:pStyle w:val="TableHead"/>
                  </w:pPr>
                  <w:r w:rsidRPr="005D4222">
                    <w:t>Data Element</w:t>
                  </w:r>
                </w:p>
              </w:tc>
              <w:tc>
                <w:tcPr>
                  <w:tcW w:w="2881"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72" w:type="dxa"/>
                    <w:right w:w="72" w:type="dxa"/>
                  </w:tcMar>
                </w:tcPr>
                <w:p w14:paraId="06DB5C6D" w14:textId="77777777" w:rsidR="00C20666" w:rsidRPr="005D4222" w:rsidRDefault="00C20666" w:rsidP="00A751D1">
                  <w:pPr>
                    <w:pStyle w:val="TableHead"/>
                  </w:pPr>
                  <w:r w:rsidRPr="005D4222">
                    <w:t>Reporting Instructions</w:t>
                  </w:r>
                </w:p>
              </w:tc>
              <w:tc>
                <w:tcPr>
                  <w:tcW w:w="540"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tcMar>
                    <w:left w:w="72" w:type="dxa"/>
                    <w:right w:w="72" w:type="dxa"/>
                  </w:tcMar>
                </w:tcPr>
                <w:p w14:paraId="287584F6" w14:textId="77777777" w:rsidR="00C20666" w:rsidRPr="005D4222" w:rsidRDefault="00C20666" w:rsidP="00A751D1">
                  <w:pPr>
                    <w:pStyle w:val="TableHead"/>
                  </w:pPr>
                  <w:r w:rsidRPr="005D4222">
                    <w:t>A</w:t>
                  </w:r>
                </w:p>
              </w:tc>
            </w:tr>
            <w:tr w:rsidR="00C20666" w:rsidRPr="005D4222" w14:paraId="72791ED9" w14:textId="77777777">
              <w:trPr>
                <w:trHeight w:val="378"/>
              </w:trPr>
              <w:tc>
                <w:tcPr>
                  <w:tcW w:w="1886" w:type="dxa"/>
                  <w:tcBorders>
                    <w:top w:val="single" w:sz="4" w:space="0" w:color="000000" w:themeColor="text1"/>
                    <w:left w:val="single" w:sz="4" w:space="0" w:color="auto"/>
                    <w:bottom w:val="single" w:sz="4" w:space="0" w:color="auto"/>
                    <w:right w:val="single" w:sz="4" w:space="0" w:color="auto"/>
                  </w:tcBorders>
                  <w:tcMar>
                    <w:left w:w="72" w:type="dxa"/>
                    <w:right w:w="72" w:type="dxa"/>
                  </w:tcMar>
                </w:tcPr>
                <w:p w14:paraId="5BF9309C" w14:textId="77777777" w:rsidR="00C20666" w:rsidRPr="005D4222" w:rsidRDefault="00C20666" w:rsidP="00A751D1">
                  <w:pPr>
                    <w:pStyle w:val="TableText"/>
                  </w:pPr>
                  <w:r w:rsidRPr="005D4222">
                    <w:t>HispanicOrLatino</w:t>
                  </w:r>
                </w:p>
              </w:tc>
              <w:tc>
                <w:tcPr>
                  <w:tcW w:w="2069" w:type="dxa"/>
                  <w:tcBorders>
                    <w:top w:val="single" w:sz="4" w:space="0" w:color="000000" w:themeColor="text1"/>
                    <w:left w:val="single" w:sz="4" w:space="0" w:color="auto"/>
                    <w:bottom w:val="single" w:sz="4" w:space="0" w:color="auto"/>
                    <w:right w:val="single" w:sz="4" w:space="0" w:color="auto"/>
                  </w:tcBorders>
                  <w:tcMar>
                    <w:left w:w="72" w:type="dxa"/>
                    <w:right w:w="72" w:type="dxa"/>
                  </w:tcMar>
                </w:tcPr>
                <w:p w14:paraId="01CAC7F6" w14:textId="77777777" w:rsidR="00C20666" w:rsidRPr="005D4222" w:rsidRDefault="00C20666" w:rsidP="00A751D1">
                  <w:pPr>
                    <w:pStyle w:val="TableText"/>
                  </w:pPr>
                  <w:r w:rsidRPr="005D4222">
                    <w:t>CollectionMethod</w:t>
                  </w:r>
                </w:p>
              </w:tc>
              <w:tc>
                <w:tcPr>
                  <w:tcW w:w="2881" w:type="dxa"/>
                  <w:tcBorders>
                    <w:top w:val="single" w:sz="4" w:space="0" w:color="000000" w:themeColor="text1"/>
                    <w:left w:val="single" w:sz="4" w:space="0" w:color="auto"/>
                    <w:bottom w:val="single" w:sz="6" w:space="0" w:color="auto"/>
                    <w:right w:val="single" w:sz="4" w:space="0" w:color="auto"/>
                  </w:tcBorders>
                  <w:tcMar>
                    <w:left w:w="72" w:type="dxa"/>
                    <w:right w:w="72" w:type="dxa"/>
                  </w:tcMar>
                </w:tcPr>
                <w:p w14:paraId="5B65E26F" w14:textId="77777777" w:rsidR="00C20666" w:rsidRPr="005D4222" w:rsidRDefault="00C20666" w:rsidP="00A751D1">
                  <w:pPr>
                    <w:pStyle w:val="TableText"/>
                    <w:rPr>
                      <w:rFonts w:eastAsia="Wingdings"/>
                    </w:rPr>
                  </w:pPr>
                  <w:r w:rsidRPr="005D4222">
                    <w:rPr>
                      <w:rFonts w:eastAsia="Wingdings"/>
                    </w:rPr>
                    <w:t>Repeat per Metric and Stratification</w:t>
                  </w:r>
                </w:p>
              </w:tc>
              <w:tc>
                <w:tcPr>
                  <w:tcW w:w="540" w:type="dxa"/>
                  <w:tcBorders>
                    <w:top w:val="single" w:sz="4" w:space="0" w:color="000000" w:themeColor="text1"/>
                    <w:left w:val="single" w:sz="4" w:space="0" w:color="auto"/>
                    <w:bottom w:val="single" w:sz="6" w:space="0" w:color="auto"/>
                    <w:right w:val="single" w:sz="4" w:space="0" w:color="auto"/>
                  </w:tcBorders>
                  <w:tcMar>
                    <w:left w:w="72" w:type="dxa"/>
                    <w:right w:w="72" w:type="dxa"/>
                  </w:tcMar>
                </w:tcPr>
                <w:p w14:paraId="6EACB3C2" w14:textId="77777777" w:rsidR="00C20666" w:rsidRPr="005D4222" w:rsidRDefault="00C20666" w:rsidP="00C20666">
                  <w:pPr>
                    <w:spacing w:before="40" w:after="40" w:line="216" w:lineRule="auto"/>
                    <w:jc w:val="center"/>
                    <w:rPr>
                      <w:rFonts w:ascii="Arial Narrow" w:eastAsia="Wingdings" w:hAnsi="Arial Narrow" w:cs="Wingdings"/>
                      <w:szCs w:val="21"/>
                    </w:rPr>
                  </w:pPr>
                  <w:r w:rsidRPr="005D4222">
                    <w:rPr>
                      <w:rFonts w:ascii="Wingdings" w:eastAsia="Wingdings" w:hAnsi="Wingdings" w:cs="Wingdings"/>
                      <w:szCs w:val="19"/>
                    </w:rPr>
                    <w:t>ü</w:t>
                  </w:r>
                </w:p>
              </w:tc>
            </w:tr>
            <w:tr w:rsidR="00C20666" w:rsidRPr="005D4222" w14:paraId="6F74DBD6" w14:textId="77777777">
              <w:trPr>
                <w:trHeight w:val="405"/>
              </w:trPr>
              <w:tc>
                <w:tcPr>
                  <w:tcW w:w="1886"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2BA150F6" w14:textId="77777777" w:rsidR="00C20666" w:rsidRPr="005D4222" w:rsidRDefault="00C20666" w:rsidP="00A751D1">
                  <w:pPr>
                    <w:pStyle w:val="TableText"/>
                  </w:pPr>
                  <w:r w:rsidRPr="005D4222">
                    <w:t>NotHispanicOrLatino</w:t>
                  </w:r>
                </w:p>
              </w:tc>
              <w:tc>
                <w:tcPr>
                  <w:tcW w:w="2069"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66ABB705" w14:textId="77777777" w:rsidR="00C20666" w:rsidRPr="005D4222" w:rsidRDefault="00C20666" w:rsidP="00A751D1">
                  <w:pPr>
                    <w:pStyle w:val="TableText"/>
                  </w:pPr>
                  <w:r w:rsidRPr="005D4222">
                    <w:t>Denominator</w:t>
                  </w:r>
                </w:p>
              </w:tc>
              <w:tc>
                <w:tcPr>
                  <w:tcW w:w="2881" w:type="dxa"/>
                  <w:tcBorders>
                    <w:left w:val="single" w:sz="4" w:space="0" w:color="auto"/>
                    <w:bottom w:val="single" w:sz="4" w:space="0" w:color="auto"/>
                    <w:right w:val="single" w:sz="4" w:space="0" w:color="auto"/>
                  </w:tcBorders>
                  <w:shd w:val="clear" w:color="auto" w:fill="FFFFFF" w:themeFill="background1"/>
                  <w:tcMar>
                    <w:left w:w="72" w:type="dxa"/>
                    <w:right w:w="72" w:type="dxa"/>
                  </w:tcMar>
                </w:tcPr>
                <w:p w14:paraId="649929DC" w14:textId="77777777" w:rsidR="00C20666" w:rsidRPr="005D4222" w:rsidRDefault="00C20666" w:rsidP="00A751D1">
                  <w:pPr>
                    <w:pStyle w:val="TableText"/>
                    <w:rPr>
                      <w:rFonts w:eastAsia="Wingdings"/>
                    </w:rPr>
                  </w:pPr>
                  <w:r w:rsidRPr="005D4222">
                    <w:rPr>
                      <w:rFonts w:eastAsia="Wingdings"/>
                    </w:rPr>
                    <w:t>For each Stratification, repeat per Metric</w:t>
                  </w:r>
                </w:p>
              </w:tc>
              <w:tc>
                <w:tcPr>
                  <w:tcW w:w="540" w:type="dxa"/>
                  <w:tcBorders>
                    <w:left w:val="single" w:sz="4" w:space="0" w:color="auto"/>
                    <w:bottom w:val="single" w:sz="4" w:space="0" w:color="auto"/>
                    <w:right w:val="single" w:sz="4" w:space="0" w:color="auto"/>
                  </w:tcBorders>
                  <w:shd w:val="clear" w:color="auto" w:fill="FFFFFF" w:themeFill="background1"/>
                  <w:tcMar>
                    <w:left w:w="72" w:type="dxa"/>
                    <w:right w:w="72" w:type="dxa"/>
                  </w:tcMar>
                </w:tcPr>
                <w:p w14:paraId="62E7BE1A" w14:textId="77777777" w:rsidR="00C20666" w:rsidRPr="005D4222" w:rsidRDefault="00C20666" w:rsidP="00C20666">
                  <w:pPr>
                    <w:spacing w:before="40" w:after="40" w:line="216" w:lineRule="auto"/>
                    <w:jc w:val="center"/>
                    <w:rPr>
                      <w:rFonts w:ascii="Arial Narrow" w:eastAsia="Wingdings" w:hAnsi="Arial Narrow" w:cs="Wingdings"/>
                      <w:szCs w:val="21"/>
                    </w:rPr>
                  </w:pPr>
                  <w:r w:rsidRPr="005D4222">
                    <w:rPr>
                      <w:rFonts w:ascii="Wingdings" w:eastAsia="Wingdings" w:hAnsi="Wingdings" w:cs="Wingdings"/>
                      <w:szCs w:val="19"/>
                    </w:rPr>
                    <w:t>ü</w:t>
                  </w:r>
                </w:p>
              </w:tc>
            </w:tr>
            <w:tr w:rsidR="00C20666" w:rsidRPr="005D4222" w14:paraId="7FC59A84" w14:textId="77777777">
              <w:trPr>
                <w:trHeight w:val="392"/>
              </w:trPr>
              <w:tc>
                <w:tcPr>
                  <w:tcW w:w="1886" w:type="dxa"/>
                  <w:tcBorders>
                    <w:top w:val="single" w:sz="4" w:space="0" w:color="auto"/>
                    <w:left w:val="single" w:sz="4" w:space="0" w:color="auto"/>
                    <w:bottom w:val="single" w:sz="4" w:space="0" w:color="auto"/>
                    <w:right w:val="single" w:sz="4" w:space="0" w:color="auto"/>
                  </w:tcBorders>
                  <w:tcMar>
                    <w:left w:w="72" w:type="dxa"/>
                    <w:right w:w="72" w:type="dxa"/>
                  </w:tcMar>
                </w:tcPr>
                <w:p w14:paraId="71228C43" w14:textId="77777777" w:rsidR="00C20666" w:rsidRPr="005D4222" w:rsidRDefault="00C20666" w:rsidP="00A751D1">
                  <w:pPr>
                    <w:pStyle w:val="TableText"/>
                  </w:pPr>
                  <w:r w:rsidRPr="005D4222">
                    <w:t>AskedButNoAnswer</w:t>
                  </w:r>
                </w:p>
              </w:tc>
              <w:tc>
                <w:tcPr>
                  <w:tcW w:w="2069"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556BD95B" w14:textId="77777777" w:rsidR="00C20666" w:rsidRPr="005D4222" w:rsidRDefault="00C20666" w:rsidP="00A751D1">
                  <w:pPr>
                    <w:pStyle w:val="TableText"/>
                  </w:pPr>
                  <w:r w:rsidRPr="005D4222">
                    <w:t>Numerator</w:t>
                  </w:r>
                </w:p>
              </w:tc>
              <w:tc>
                <w:tcPr>
                  <w:tcW w:w="2881"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257E4B02" w14:textId="77777777" w:rsidR="00C20666" w:rsidRPr="005D4222" w:rsidRDefault="00C20666" w:rsidP="00A751D1">
                  <w:pPr>
                    <w:pStyle w:val="TableText"/>
                    <w:rPr>
                      <w:rFonts w:eastAsia="Wingdings"/>
                    </w:rPr>
                  </w:pPr>
                  <w:r w:rsidRPr="005D4222">
                    <w:rPr>
                      <w:rFonts w:eastAsia="Wingdings"/>
                    </w:rPr>
                    <w:t>For each Metric and Stratification</w:t>
                  </w: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7910421F" w14:textId="77777777" w:rsidR="00C20666" w:rsidRPr="005D4222" w:rsidRDefault="00C20666" w:rsidP="00C20666">
                  <w:pPr>
                    <w:spacing w:before="50" w:after="50" w:line="216" w:lineRule="auto"/>
                    <w:jc w:val="center"/>
                    <w:rPr>
                      <w:rFonts w:eastAsia="Wingdings" w:cs="Wingdings"/>
                      <w:szCs w:val="21"/>
                    </w:rPr>
                  </w:pPr>
                  <w:r w:rsidRPr="005D4222">
                    <w:rPr>
                      <w:rFonts w:ascii="Wingdings" w:eastAsia="Wingdings" w:hAnsi="Wingdings" w:cs="Wingdings"/>
                      <w:szCs w:val="21"/>
                    </w:rPr>
                    <w:t>ü</w:t>
                  </w:r>
                </w:p>
              </w:tc>
            </w:tr>
            <w:tr w:rsidR="00C20666" w:rsidRPr="005D4222" w14:paraId="41DDE1EB" w14:textId="77777777">
              <w:trPr>
                <w:trHeight w:val="392"/>
              </w:trPr>
              <w:tc>
                <w:tcPr>
                  <w:tcW w:w="1886" w:type="dxa"/>
                  <w:tcBorders>
                    <w:top w:val="single" w:sz="4" w:space="0" w:color="auto"/>
                    <w:left w:val="single" w:sz="4" w:space="0" w:color="auto"/>
                    <w:bottom w:val="single" w:sz="4" w:space="0" w:color="auto"/>
                    <w:right w:val="single" w:sz="4" w:space="0" w:color="auto"/>
                  </w:tcBorders>
                  <w:tcMar>
                    <w:left w:w="72" w:type="dxa"/>
                    <w:right w:w="72" w:type="dxa"/>
                  </w:tcMar>
                </w:tcPr>
                <w:p w14:paraId="5AC5B283" w14:textId="77777777" w:rsidR="00C20666" w:rsidRPr="005D4222" w:rsidRDefault="00C20666" w:rsidP="00A751D1">
                  <w:pPr>
                    <w:pStyle w:val="TableText"/>
                  </w:pPr>
                  <w:r w:rsidRPr="005D4222">
                    <w:t>Unknown</w:t>
                  </w:r>
                </w:p>
              </w:tc>
              <w:tc>
                <w:tcPr>
                  <w:tcW w:w="206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6D5E2F78" w14:textId="77777777" w:rsidR="00C20666" w:rsidRPr="005D4222" w:rsidRDefault="00C20666" w:rsidP="00A751D1">
                  <w:pPr>
                    <w:pStyle w:val="TableText"/>
                  </w:pPr>
                  <w:r w:rsidRPr="005D4222">
                    <w:t>Rate</w:t>
                  </w:r>
                </w:p>
              </w:tc>
              <w:tc>
                <w:tcPr>
                  <w:tcW w:w="288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514FED4D" w14:textId="77777777" w:rsidR="00C20666" w:rsidRPr="005D4222" w:rsidRDefault="00C20666" w:rsidP="00A751D1">
                  <w:pPr>
                    <w:pStyle w:val="TableText"/>
                    <w:rPr>
                      <w:rFonts w:eastAsia="Wingdings"/>
                    </w:rPr>
                  </w:pPr>
                  <w:r w:rsidRPr="005D4222">
                    <w:rPr>
                      <w:rFonts w:eastAsia="Wingdings"/>
                    </w:rPr>
                    <w:t>(Percent)</w:t>
                  </w:r>
                </w:p>
              </w:tc>
              <w:tc>
                <w:tcPr>
                  <w:tcW w:w="5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024F9398" w14:textId="77777777" w:rsidR="00C20666" w:rsidRPr="005D4222" w:rsidRDefault="00C20666" w:rsidP="00C20666">
                  <w:pPr>
                    <w:spacing w:before="40" w:after="40" w:line="216" w:lineRule="auto"/>
                    <w:jc w:val="center"/>
                    <w:rPr>
                      <w:rFonts w:ascii="Arial Narrow" w:eastAsia="Wingdings" w:hAnsi="Arial Narrow" w:cs="Wingdings"/>
                      <w:szCs w:val="21"/>
                    </w:rPr>
                  </w:pPr>
                  <w:r w:rsidRPr="005D4222">
                    <w:rPr>
                      <w:rFonts w:ascii="Wingdings" w:eastAsia="Wingdings" w:hAnsi="Wingdings" w:cs="Wingdings"/>
                      <w:szCs w:val="19"/>
                    </w:rPr>
                    <w:t>ü</w:t>
                  </w:r>
                </w:p>
              </w:tc>
            </w:tr>
          </w:tbl>
          <w:p w14:paraId="7830DAF2" w14:textId="77777777" w:rsidR="00C20666" w:rsidRPr="005D4222" w:rsidRDefault="00C20666" w:rsidP="00C20666">
            <w:pPr>
              <w:spacing w:before="80" w:after="80"/>
              <w:ind w:left="92" w:hanging="92"/>
              <w:rPr>
                <w:rFonts w:ascii="Arial Narrow" w:eastAsiaTheme="minorEastAsia" w:hAnsi="Arial Narrow" w:cs="Arial Narrow"/>
                <w:color w:val="000000" w:themeColor="text1"/>
                <w:szCs w:val="21"/>
                <w:lang w:eastAsia="zh-CN"/>
              </w:rPr>
            </w:pPr>
            <w:r w:rsidRPr="005D4222">
              <w:rPr>
                <w:rFonts w:ascii="Arial Narrow" w:eastAsiaTheme="minorEastAsia" w:hAnsi="Arial Narrow" w:cs="Arial Narrow"/>
                <w:b/>
                <w:bCs/>
                <w:color w:val="000000" w:themeColor="text1"/>
                <w:szCs w:val="21"/>
                <w:lang w:eastAsia="zh-CN"/>
              </w:rPr>
              <w:t>*</w:t>
            </w:r>
            <w:r w:rsidRPr="005D4222">
              <w:rPr>
                <w:rFonts w:ascii="Arial Narrow" w:eastAsiaTheme="minorEastAsia" w:hAnsi="Arial Narrow" w:cs="Arial Narrow"/>
                <w:b/>
                <w:bCs/>
                <w:color w:val="000000" w:themeColor="text1"/>
                <w:szCs w:val="21"/>
                <w:lang w:eastAsia="zh-CN"/>
              </w:rPr>
              <w:tab/>
            </w:r>
            <w:r w:rsidRPr="005D4222">
              <w:rPr>
                <w:rFonts w:ascii="Arial Narrow" w:eastAsiaTheme="minorEastAsia" w:hAnsi="Arial Narrow" w:cs="Arial Narrow"/>
                <w:color w:val="000000" w:themeColor="text1"/>
                <w:szCs w:val="21"/>
                <w:lang w:eastAsia="zh-CN"/>
              </w:rPr>
              <w:t xml:space="preserve">Repeat the InitalPopulation, Exclusions and Denominator values for metrics using the Administrative Method. </w:t>
            </w:r>
          </w:p>
        </w:tc>
      </w:tr>
      <w:tr w:rsidR="00C20666" w:rsidRPr="005D4222" w14:paraId="41466DA9"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2E31D0E" w14:textId="77777777" w:rsidR="00C20666" w:rsidRPr="005D4222" w:rsidRDefault="00C20666" w:rsidP="00C009F2">
            <w:pPr>
              <w:pStyle w:val="ECDSMarginHead"/>
            </w:pPr>
            <w:r w:rsidRPr="005D4222">
              <w:lastRenderedPageBreak/>
              <w:t>Rules for Allowable Adjustments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DDE916E" w14:textId="77777777" w:rsidR="00C20666" w:rsidRPr="005D4222" w:rsidRDefault="00C20666" w:rsidP="00917EC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1E7DFFA8" w14:textId="77777777" w:rsidR="00C20666" w:rsidRPr="005D4222" w:rsidRDefault="00C20666" w:rsidP="00917ECC">
            <w:pPr>
              <w:pStyle w:val="ECDSBody"/>
              <w:rPr>
                <w:b/>
              </w:rPr>
            </w:pPr>
            <w:r w:rsidRPr="005D4222">
              <w:rPr>
                <w:b/>
              </w:rPr>
              <w:t>Adjusted HEDIS measures may not be used for HEDIS health plan reporting.</w:t>
            </w:r>
          </w:p>
          <w:p w14:paraId="62C58993" w14:textId="77777777" w:rsidR="00C20666" w:rsidRPr="005D4222" w:rsidRDefault="00C20666" w:rsidP="00917ECC">
            <w:pPr>
              <w:pStyle w:val="ECDSBody"/>
              <w:rPr>
                <w:b/>
              </w:rPr>
            </w:pPr>
            <w:r w:rsidRPr="005D4222">
              <w:rPr>
                <w:b/>
                <w:color w:val="000000"/>
                <w:shd w:val="clear" w:color="auto" w:fill="FFFFFF"/>
              </w:rPr>
              <w:t>The Rules do not apply to the hybrid portion of the measure; only the administrative sections may be changed.</w:t>
            </w:r>
            <w:r w:rsidRPr="005D4222">
              <w:rPr>
                <w:color w:val="000000"/>
                <w:shd w:val="clear" w:color="auto" w:fill="FFFFFF"/>
              </w:rPr>
              <w:t> </w:t>
            </w:r>
          </w:p>
          <w:p w14:paraId="4F3BB96C" w14:textId="77777777" w:rsidR="00C20666" w:rsidRPr="005D4222" w:rsidRDefault="00C20666" w:rsidP="00917ECC">
            <w:pPr>
              <w:pStyle w:val="Adjustments"/>
            </w:pPr>
            <w:r w:rsidRPr="005D4222">
              <w:t>Adjustments</w:t>
            </w:r>
            <w:r w:rsidRPr="005D4222">
              <w:rPr>
                <w:bCs/>
              </w:rPr>
              <w:t xml:space="preserve"> a</w:t>
            </w:r>
            <w:r w:rsidRPr="005D4222">
              <w:t>llowed</w:t>
            </w:r>
          </w:p>
          <w:p w14:paraId="41454917" w14:textId="5E2D4234" w:rsidR="00C20666" w:rsidRPr="005D4222" w:rsidRDefault="00C20666" w:rsidP="00917ECC">
            <w:pPr>
              <w:pStyle w:val="ProcessBullet"/>
            </w:pPr>
            <w:r w:rsidRPr="005D4222">
              <w:rPr>
                <w:i/>
                <w:iCs/>
              </w:rPr>
              <w:t>Product lines</w:t>
            </w:r>
            <w:r w:rsidRPr="005D4222">
              <w:t>. Organizations are not required to use product line criteria; product lines may be combined</w:t>
            </w:r>
            <w:r w:rsidR="00E8671F" w:rsidRPr="005D4222">
              <w:t>,</w:t>
            </w:r>
            <w:r w:rsidRPr="005D4222">
              <w:t xml:space="preserve"> and all (or no) product line criteria may be used.</w:t>
            </w:r>
          </w:p>
          <w:p w14:paraId="1A11BD91" w14:textId="77777777" w:rsidR="00C20666" w:rsidRPr="005D4222" w:rsidRDefault="00C20666" w:rsidP="00917ECC">
            <w:pPr>
              <w:pStyle w:val="ProcessBullet"/>
              <w:rPr>
                <w:bCs/>
              </w:rPr>
            </w:pPr>
            <w:r w:rsidRPr="005D4222">
              <w:rPr>
                <w:bCs/>
                <w:i/>
                <w:iCs/>
              </w:rPr>
              <w:t>Attribution</w:t>
            </w:r>
            <w:r w:rsidRPr="005D4222">
              <w:rPr>
                <w:bCs/>
              </w:rPr>
              <w:t>. Organizations are not required to use enrollment criteria.</w:t>
            </w:r>
          </w:p>
          <w:p w14:paraId="35A21EB8" w14:textId="77777777" w:rsidR="00C20666" w:rsidRPr="005D4222" w:rsidRDefault="00C20666" w:rsidP="00917ECC">
            <w:pPr>
              <w:pStyle w:val="ProcessBullet"/>
              <w:rPr>
                <w:rFonts w:cs="Arial"/>
                <w:kern w:val="24"/>
              </w:rPr>
            </w:pPr>
            <w:r w:rsidRPr="005D4222">
              <w:rPr>
                <w:bCs/>
                <w:i/>
                <w:iCs/>
              </w:rPr>
              <w:t>Benefits</w:t>
            </w:r>
            <w:r w:rsidRPr="005D4222">
              <w:rPr>
                <w:bCs/>
              </w:rPr>
              <w:t>. Organizations are not required to use a benefit.</w:t>
            </w:r>
          </w:p>
          <w:p w14:paraId="278157C8" w14:textId="77777777" w:rsidR="00C20666" w:rsidRPr="005D4222" w:rsidRDefault="00C20666" w:rsidP="00917ECC">
            <w:pPr>
              <w:pStyle w:val="ProcessBullet"/>
              <w:rPr>
                <w:bCs/>
              </w:rPr>
            </w:pPr>
            <w:r w:rsidRPr="005D4222">
              <w:rPr>
                <w:bCs/>
                <w:i/>
                <w:iCs/>
              </w:rPr>
              <w:t>Other</w:t>
            </w:r>
            <w:r w:rsidRPr="005D4222">
              <w:rPr>
                <w:bCs/>
              </w:rPr>
              <w:t xml:space="preserve">. </w:t>
            </w:r>
            <w:r w:rsidRPr="005D4222">
              <w:t>Organizations may use additional initial population criteria to focus on an area of interest defined by gender, race, ethnicity, socioeconomic or sociodemographic characteristics, geographic region or another characteristic.</w:t>
            </w:r>
          </w:p>
          <w:p w14:paraId="28114C74" w14:textId="77777777" w:rsidR="00C20666" w:rsidRPr="005D4222" w:rsidRDefault="00C20666" w:rsidP="00917ECC">
            <w:pPr>
              <w:pStyle w:val="ProcessBullet"/>
              <w:rPr>
                <w:bCs/>
              </w:rPr>
            </w:pPr>
            <w:r w:rsidRPr="005D4222">
              <w:rPr>
                <w:bCs/>
                <w:i/>
                <w:iCs/>
              </w:rPr>
              <w:t xml:space="preserve">Measurement period adjustments. </w:t>
            </w:r>
            <w:r w:rsidRPr="005D4222">
              <w:rPr>
                <w:bCs/>
              </w:rPr>
              <w:t>Organizations may adjust the measurement period.</w:t>
            </w:r>
          </w:p>
          <w:p w14:paraId="3AAECBD8" w14:textId="77777777" w:rsidR="00C20666" w:rsidRPr="005D4222" w:rsidRDefault="00C20666" w:rsidP="00917ECC">
            <w:pPr>
              <w:pStyle w:val="ProcessBullet"/>
              <w:rPr>
                <w:color w:val="000000" w:themeColor="text1"/>
              </w:rPr>
            </w:pPr>
            <w:r w:rsidRPr="005D4222">
              <w:rPr>
                <w:i/>
                <w:iCs/>
                <w:color w:val="000000" w:themeColor="text1"/>
              </w:rPr>
              <w:t xml:space="preserve">Stratifications: </w:t>
            </w:r>
            <w:r w:rsidRPr="005D4222">
              <w:rPr>
                <w:color w:val="000000" w:themeColor="text1"/>
              </w:rPr>
              <w:t>Race and ethnicity stratification. The race and ethnicity stratification is</w:t>
            </w:r>
            <w:r w:rsidRPr="005D4222" w:rsidDel="00BF33C7">
              <w:rPr>
                <w:color w:val="000000" w:themeColor="text1"/>
              </w:rPr>
              <w:t xml:space="preserve"> </w:t>
            </w:r>
            <w:r w:rsidRPr="005D4222">
              <w:rPr>
                <w:color w:val="000000" w:themeColor="text1"/>
              </w:rPr>
              <w:t>not required. Organizations may adjust this stratification as needed.</w:t>
            </w:r>
          </w:p>
          <w:p w14:paraId="5ECEDECE" w14:textId="6213DB7E" w:rsidR="00C20666" w:rsidRPr="005D4222" w:rsidRDefault="00C20666" w:rsidP="00296B02">
            <w:pPr>
              <w:pStyle w:val="ProcessBullet"/>
              <w:spacing w:after="80"/>
              <w:rPr>
                <w:rFonts w:cs="Arial"/>
                <w:kern w:val="24"/>
              </w:rPr>
            </w:pPr>
            <w:r w:rsidRPr="005D4222">
              <w:rPr>
                <w:i/>
                <w:iCs/>
              </w:rPr>
              <w:t xml:space="preserve">Exclusions. </w:t>
            </w:r>
            <w:r w:rsidR="009A3549" w:rsidRPr="005D4222">
              <w:t>The h</w:t>
            </w:r>
            <w:r w:rsidRPr="005D4222">
              <w:t>ospice, deceased person, palliative care, I-SNP, LTI, frailty and advanced illness exclusions are not required.</w:t>
            </w:r>
          </w:p>
        </w:tc>
      </w:tr>
    </w:tbl>
    <w:p w14:paraId="02ECC5E5" w14:textId="77777777" w:rsidR="00917ECC" w:rsidRPr="005D4222" w:rsidRDefault="00917ECC"/>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60"/>
      </w:tblGrid>
      <w:tr w:rsidR="00C20666" w:rsidRPr="005D4222" w14:paraId="7198063A"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5E9CAA7" w14:textId="77777777" w:rsidR="00C20666" w:rsidRPr="005D4222" w:rsidRDefault="00C20666" w:rsidP="00C20666">
            <w:pPr>
              <w:spacing w:before="120" w:after="80"/>
              <w:rPr>
                <w:b/>
                <w:sz w:val="22"/>
                <w:szCs w:val="21"/>
              </w:rPr>
            </w:pP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51055D7" w14:textId="77777777" w:rsidR="00C20666" w:rsidRPr="005D4222" w:rsidRDefault="00C20666" w:rsidP="00917ECC">
            <w:pPr>
              <w:pStyle w:val="ProcessBullet"/>
            </w:pPr>
            <w:r w:rsidRPr="005D4222">
              <w:rPr>
                <w:i/>
                <w:iCs/>
              </w:rPr>
              <w:t>Telehealth</w:t>
            </w:r>
            <w:r w:rsidRPr="005D4222">
              <w:t>.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4EB9E588" w14:textId="77777777" w:rsidR="00C20666" w:rsidRPr="005D4222" w:rsidRDefault="00C20666" w:rsidP="00917ECC">
            <w:pPr>
              <w:pStyle w:val="ProcessBullet"/>
            </w:pPr>
            <w:r w:rsidRPr="005D4222">
              <w:rPr>
                <w:i/>
                <w:iCs/>
              </w:rPr>
              <w:t>Supplemental data</w:t>
            </w:r>
            <w:r w:rsidRPr="005D4222">
              <w:t>. Supplemental data may be used to identify initial population, denominator, exclusion and numerator events.</w:t>
            </w:r>
          </w:p>
          <w:p w14:paraId="4CA776BC" w14:textId="77777777" w:rsidR="00C20666" w:rsidRPr="005D4222" w:rsidRDefault="00C20666" w:rsidP="00917ECC">
            <w:pPr>
              <w:pStyle w:val="Adjustments"/>
            </w:pPr>
            <w:r w:rsidRPr="005D4222">
              <w:t xml:space="preserve">Adjustments </w:t>
            </w:r>
            <w:r w:rsidRPr="005D4222">
              <w:rPr>
                <w:bCs/>
              </w:rPr>
              <w:t>a</w:t>
            </w:r>
            <w:r w:rsidRPr="005D4222">
              <w:t xml:space="preserve">llowed with </w:t>
            </w:r>
            <w:r w:rsidRPr="005D4222">
              <w:rPr>
                <w:bCs/>
              </w:rPr>
              <w:t>l</w:t>
            </w:r>
            <w:r w:rsidRPr="005D4222">
              <w:t>imits</w:t>
            </w:r>
          </w:p>
          <w:p w14:paraId="4F82EC74" w14:textId="77777777" w:rsidR="00C20666" w:rsidRPr="005D4222" w:rsidRDefault="00C20666" w:rsidP="00917ECC">
            <w:pPr>
              <w:pStyle w:val="ProcessBullet"/>
            </w:pPr>
            <w:r w:rsidRPr="005D4222">
              <w:rPr>
                <w:i/>
                <w:iCs/>
              </w:rPr>
              <w:t>Ages</w:t>
            </w:r>
            <w:r w:rsidRPr="005D4222">
              <w:t>. Age determination dates may be changed (e.g., select “age as of June 30”). Changing denominator age range is allowed within a specified age range (ages 18–75 years). The denominator age may not be expanded.</w:t>
            </w:r>
          </w:p>
          <w:p w14:paraId="6CB5F607" w14:textId="77777777" w:rsidR="00C20666" w:rsidRPr="005D4222" w:rsidRDefault="00C20666" w:rsidP="00917ECC">
            <w:pPr>
              <w:pStyle w:val="Adjustments"/>
            </w:pPr>
            <w:r w:rsidRPr="005D4222">
              <w:t xml:space="preserve">Adjustments </w:t>
            </w:r>
            <w:r w:rsidRPr="005D4222">
              <w:rPr>
                <w:bCs/>
              </w:rPr>
              <w:t>not allowed</w:t>
            </w:r>
          </w:p>
          <w:p w14:paraId="1BAC6D38" w14:textId="77777777" w:rsidR="00C20666" w:rsidRPr="005D4222" w:rsidRDefault="00C20666" w:rsidP="00917ECC">
            <w:pPr>
              <w:pStyle w:val="ProcessBullet"/>
            </w:pPr>
            <w:r w:rsidRPr="005D4222">
              <w:rPr>
                <w:i/>
                <w:iCs/>
              </w:rPr>
              <w:t xml:space="preserve">Initial population: </w:t>
            </w:r>
            <w:r w:rsidRPr="005D4222">
              <w:t>Event. Only events or diagnoses that contain (or map to) codes in the medication lists and value sets may be used to identify visits. Medication lists, value sets and logic may not be changed.</w:t>
            </w:r>
          </w:p>
          <w:p w14:paraId="40E6CECB" w14:textId="77777777" w:rsidR="00C20666" w:rsidRPr="005D4222" w:rsidRDefault="00C20666" w:rsidP="00296B02">
            <w:pPr>
              <w:pStyle w:val="ProcessBullet"/>
              <w:spacing w:after="80"/>
              <w:rPr>
                <w:b/>
                <w:i/>
              </w:rPr>
            </w:pPr>
            <w:r w:rsidRPr="005D4222">
              <w:rPr>
                <w:i/>
                <w:iCs/>
              </w:rPr>
              <w:t>Numerator.</w:t>
            </w:r>
            <w:r w:rsidRPr="005D4222">
              <w:t xml:space="preserve"> Value sets and logic may not be changed.</w:t>
            </w:r>
          </w:p>
        </w:tc>
      </w:tr>
    </w:tbl>
    <w:p w14:paraId="2CD87373" w14:textId="77777777" w:rsidR="007F55D3" w:rsidRPr="005D4222" w:rsidRDefault="007F55D3" w:rsidP="00D0637E">
      <w:pPr>
        <w:pStyle w:val="ECDSBody"/>
        <w:sectPr w:rsidR="007F55D3" w:rsidRPr="005D4222" w:rsidSect="0074514A">
          <w:headerReference w:type="default" r:id="rId103"/>
          <w:footerReference w:type="default" r:id="rId104"/>
          <w:type w:val="nextColumn"/>
          <w:pgSz w:w="12240" w:h="15840" w:code="1"/>
          <w:pgMar w:top="1080" w:right="1080" w:bottom="1080" w:left="1440" w:header="720" w:footer="720" w:gutter="0"/>
          <w:cols w:space="720"/>
          <w:docGrid w:linePitch="360"/>
        </w:sectPr>
      </w:pPr>
    </w:p>
    <w:p w14:paraId="7C2BC4E9" w14:textId="4F6503CF" w:rsidR="00D0637E" w:rsidRPr="005D4222" w:rsidRDefault="00906B2D" w:rsidP="00906B2D">
      <w:pPr>
        <w:pStyle w:val="MeasureTitle"/>
      </w:pPr>
      <w:bookmarkStart w:id="290" w:name="_Toc201813401"/>
      <w:r w:rsidRPr="005D4222">
        <w:lastRenderedPageBreak/>
        <w:t>Blood Pressure Control for Patients With Diabetes</w:t>
      </w:r>
      <w:r w:rsidR="004C0737" w:rsidRPr="005D4222">
        <w:t xml:space="preserve"> (BPD)</w:t>
      </w:r>
      <w:bookmarkEnd w:id="290"/>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1977"/>
        <w:gridCol w:w="5040"/>
        <w:gridCol w:w="1597"/>
        <w:gridCol w:w="1100"/>
      </w:tblGrid>
      <w:tr w:rsidR="00E553AB" w:rsidRPr="005D4222" w14:paraId="54F17300" w14:textId="77777777" w:rsidTr="00296B02">
        <w:tc>
          <w:tcPr>
            <w:tcW w:w="1977" w:type="dxa"/>
            <w:shd w:val="clear" w:color="auto" w:fill="BFBFBF" w:themeFill="background1" w:themeFillShade="BF"/>
            <w:tcMar>
              <w:top w:w="0" w:type="dxa"/>
              <w:left w:w="86" w:type="dxa"/>
              <w:bottom w:w="43" w:type="dxa"/>
              <w:right w:w="86" w:type="dxa"/>
            </w:tcMar>
            <w:hideMark/>
          </w:tcPr>
          <w:p w14:paraId="0197B6AC" w14:textId="77777777" w:rsidR="00E553AB" w:rsidRPr="005D4222" w:rsidRDefault="00E553AB" w:rsidP="00E553AB">
            <w:pPr>
              <w:pStyle w:val="ECDSMarginHead"/>
            </w:pPr>
            <w:r w:rsidRPr="005D4222">
              <w:t>Measure title</w:t>
            </w:r>
          </w:p>
        </w:tc>
        <w:tc>
          <w:tcPr>
            <w:tcW w:w="5040" w:type="dxa"/>
            <w:tcMar>
              <w:top w:w="0" w:type="dxa"/>
              <w:left w:w="86" w:type="dxa"/>
              <w:bottom w:w="43" w:type="dxa"/>
              <w:right w:w="86" w:type="dxa"/>
            </w:tcMar>
          </w:tcPr>
          <w:p w14:paraId="3447A513" w14:textId="77777777" w:rsidR="00E553AB" w:rsidRPr="005D4222" w:rsidRDefault="00E553AB" w:rsidP="00E553AB">
            <w:pPr>
              <w:pStyle w:val="ECDSBody"/>
            </w:pPr>
            <w:r w:rsidRPr="005D4222">
              <w:t xml:space="preserve">Blood Pressure Control for Patients With Diabetes </w:t>
            </w:r>
          </w:p>
        </w:tc>
        <w:tc>
          <w:tcPr>
            <w:tcW w:w="1597" w:type="dxa"/>
            <w:shd w:val="clear" w:color="auto" w:fill="BFBFBF" w:themeFill="background1" w:themeFillShade="BF"/>
            <w:tcMar>
              <w:top w:w="0" w:type="dxa"/>
              <w:left w:w="86" w:type="dxa"/>
              <w:bottom w:w="43" w:type="dxa"/>
              <w:right w:w="86" w:type="dxa"/>
            </w:tcMar>
          </w:tcPr>
          <w:p w14:paraId="3B949369" w14:textId="77777777" w:rsidR="00E553AB" w:rsidRPr="005D4222" w:rsidRDefault="00E553AB" w:rsidP="00E553AB">
            <w:pPr>
              <w:pStyle w:val="ECDSMarginHead"/>
            </w:pPr>
            <w:r w:rsidRPr="005D4222">
              <w:t>Measure ID</w:t>
            </w:r>
          </w:p>
        </w:tc>
        <w:tc>
          <w:tcPr>
            <w:tcW w:w="1100" w:type="dxa"/>
            <w:tcMar>
              <w:top w:w="0" w:type="dxa"/>
              <w:left w:w="86" w:type="dxa"/>
              <w:bottom w:w="43" w:type="dxa"/>
              <w:right w:w="86" w:type="dxa"/>
            </w:tcMar>
          </w:tcPr>
          <w:p w14:paraId="4DE7E964" w14:textId="77777777" w:rsidR="00E553AB" w:rsidRPr="005D4222" w:rsidRDefault="00E553AB" w:rsidP="00E553AB">
            <w:pPr>
              <w:pStyle w:val="ECDSBody"/>
            </w:pPr>
            <w:r w:rsidRPr="005D4222">
              <w:t xml:space="preserve">BPD </w:t>
            </w:r>
          </w:p>
        </w:tc>
      </w:tr>
      <w:tr w:rsidR="00E553AB" w:rsidRPr="005D4222" w14:paraId="48111557" w14:textId="77777777">
        <w:tc>
          <w:tcPr>
            <w:tcW w:w="1977" w:type="dxa"/>
            <w:shd w:val="clear" w:color="auto" w:fill="BFBFBF" w:themeFill="background1" w:themeFillShade="BF"/>
            <w:tcMar>
              <w:top w:w="0" w:type="dxa"/>
              <w:left w:w="86" w:type="dxa"/>
              <w:bottom w:w="43" w:type="dxa"/>
              <w:right w:w="86" w:type="dxa"/>
            </w:tcMar>
            <w:hideMark/>
          </w:tcPr>
          <w:p w14:paraId="4DD5A064" w14:textId="77777777" w:rsidR="00E553AB" w:rsidRPr="005D4222" w:rsidRDefault="00E553AB" w:rsidP="00E553AB">
            <w:pPr>
              <w:pStyle w:val="ECDSMarginHead"/>
            </w:pPr>
            <w:r w:rsidRPr="005D4222">
              <w:t>Description</w:t>
            </w:r>
          </w:p>
        </w:tc>
        <w:tc>
          <w:tcPr>
            <w:tcW w:w="7737" w:type="dxa"/>
            <w:gridSpan w:val="3"/>
            <w:tcMar>
              <w:top w:w="0" w:type="dxa"/>
              <w:left w:w="86" w:type="dxa"/>
              <w:bottom w:w="43" w:type="dxa"/>
              <w:right w:w="86" w:type="dxa"/>
            </w:tcMar>
          </w:tcPr>
          <w:p w14:paraId="1776EA8E" w14:textId="77777777" w:rsidR="00E553AB" w:rsidRPr="005D4222" w:rsidRDefault="00E553AB" w:rsidP="00E553AB">
            <w:pPr>
              <w:pStyle w:val="ECDSBody"/>
            </w:pPr>
            <w:r w:rsidRPr="005D4222">
              <w:t>The percentage of persons 18–75 years of age with diabetes (type 1</w:t>
            </w:r>
            <w:r w:rsidRPr="005D4222" w:rsidDel="003A17E0">
              <w:t xml:space="preserve"> </w:t>
            </w:r>
            <w:r w:rsidRPr="005D4222">
              <w:t>or type 2) whose blood pressure (BP) was adequately controlled (&lt;140/90 mm Hg) during the measurement period.</w:t>
            </w:r>
          </w:p>
        </w:tc>
      </w:tr>
      <w:tr w:rsidR="00E553AB" w:rsidRPr="005D4222" w14:paraId="04FC2E9D" w14:textId="77777777">
        <w:tc>
          <w:tcPr>
            <w:tcW w:w="1977" w:type="dxa"/>
            <w:shd w:val="clear" w:color="auto" w:fill="BFBFBF" w:themeFill="background1" w:themeFillShade="BF"/>
            <w:tcMar>
              <w:top w:w="0" w:type="dxa"/>
              <w:left w:w="86" w:type="dxa"/>
              <w:bottom w:w="43" w:type="dxa"/>
              <w:right w:w="86" w:type="dxa"/>
            </w:tcMar>
          </w:tcPr>
          <w:p w14:paraId="526C7695" w14:textId="77777777" w:rsidR="00E553AB" w:rsidRPr="005D4222" w:rsidRDefault="00E553AB" w:rsidP="00E553AB">
            <w:pPr>
              <w:pStyle w:val="ECDSMarginHead"/>
            </w:pPr>
            <w:r w:rsidRPr="005D4222">
              <w:t>Measurement period</w:t>
            </w:r>
          </w:p>
        </w:tc>
        <w:tc>
          <w:tcPr>
            <w:tcW w:w="7737" w:type="dxa"/>
            <w:gridSpan w:val="3"/>
            <w:tcMar>
              <w:top w:w="0" w:type="dxa"/>
              <w:left w:w="86" w:type="dxa"/>
              <w:bottom w:w="43" w:type="dxa"/>
              <w:right w:w="86" w:type="dxa"/>
            </w:tcMar>
          </w:tcPr>
          <w:p w14:paraId="260E1303" w14:textId="77777777" w:rsidR="00E553AB" w:rsidRPr="005D4222" w:rsidRDefault="00E553AB" w:rsidP="00E553AB">
            <w:pPr>
              <w:pStyle w:val="ECDSBody"/>
            </w:pPr>
            <w:r w:rsidRPr="005D4222">
              <w:t>January 1–December 31.</w:t>
            </w:r>
          </w:p>
        </w:tc>
      </w:tr>
      <w:tr w:rsidR="00E553AB" w:rsidRPr="005D4222" w14:paraId="566241FC" w14:textId="77777777">
        <w:tc>
          <w:tcPr>
            <w:tcW w:w="1977" w:type="dxa"/>
            <w:shd w:val="clear" w:color="auto" w:fill="BFBFBF" w:themeFill="background1" w:themeFillShade="BF"/>
            <w:tcMar>
              <w:top w:w="0" w:type="dxa"/>
              <w:left w:w="86" w:type="dxa"/>
              <w:bottom w:w="43" w:type="dxa"/>
              <w:right w:w="86" w:type="dxa"/>
            </w:tcMar>
            <w:hideMark/>
          </w:tcPr>
          <w:p w14:paraId="5994EC50" w14:textId="77777777" w:rsidR="00E553AB" w:rsidRPr="005D4222" w:rsidRDefault="00E553AB" w:rsidP="00E553AB">
            <w:pPr>
              <w:pStyle w:val="ECDSMarginHead"/>
              <w:rPr>
                <w:rFonts w:eastAsia="Arial"/>
              </w:rPr>
            </w:pPr>
            <w:r w:rsidRPr="005D4222">
              <w:rPr>
                <w:rFonts w:eastAsia="Arial"/>
              </w:rPr>
              <w:t>Copyright and disclaimer notice</w:t>
            </w:r>
          </w:p>
        </w:tc>
        <w:tc>
          <w:tcPr>
            <w:tcW w:w="7737" w:type="dxa"/>
            <w:gridSpan w:val="3"/>
            <w:tcMar>
              <w:top w:w="0" w:type="dxa"/>
              <w:left w:w="86" w:type="dxa"/>
              <w:bottom w:w="43" w:type="dxa"/>
              <w:right w:w="86" w:type="dxa"/>
            </w:tcMar>
          </w:tcPr>
          <w:p w14:paraId="413AAA81" w14:textId="77777777" w:rsidR="00E553AB" w:rsidRPr="005D4222" w:rsidRDefault="00E553AB" w:rsidP="00E553AB">
            <w:pPr>
              <w:pStyle w:val="ECDSBody"/>
            </w:pPr>
            <w:r w:rsidRPr="005D4222">
              <w:t xml:space="preserve">Refer to the complete copyright and disclaimer information at the front of this publication. </w:t>
            </w:r>
          </w:p>
          <w:p w14:paraId="02ABF0DB" w14:textId="77777777" w:rsidR="00E553AB" w:rsidRPr="005D4222" w:rsidRDefault="00E553AB" w:rsidP="00E553AB">
            <w:pPr>
              <w:pStyle w:val="ECDSBody"/>
            </w:pPr>
            <w:r w:rsidRPr="005D4222">
              <w:t xml:space="preserve">NCQA website: </w:t>
            </w:r>
            <w:r w:rsidRPr="005D4222">
              <w:rPr>
                <w:u w:val="single"/>
              </w:rPr>
              <w:t>www.ncqa.org</w:t>
            </w:r>
            <w:r w:rsidRPr="005D4222">
              <w:t>.</w:t>
            </w:r>
          </w:p>
          <w:p w14:paraId="1943BACE" w14:textId="77777777" w:rsidR="00E553AB" w:rsidRPr="005D4222" w:rsidRDefault="00E553AB" w:rsidP="00E553AB">
            <w:pPr>
              <w:pStyle w:val="ECDSBody"/>
              <w:rPr>
                <w:sz w:val="18"/>
                <w:szCs w:val="18"/>
              </w:rPr>
            </w:pPr>
            <w:r w:rsidRPr="005D4222">
              <w:t>Submit policy clarification support questions via My NCQA (</w:t>
            </w:r>
            <w:r w:rsidRPr="005D4222">
              <w:rPr>
                <w:u w:val="single"/>
              </w:rPr>
              <w:t>https://my.ncqa.org</w:t>
            </w:r>
            <w:r w:rsidRPr="005D4222">
              <w:t>).</w:t>
            </w:r>
          </w:p>
        </w:tc>
      </w:tr>
      <w:tr w:rsidR="00E553AB" w:rsidRPr="005D4222" w14:paraId="13B6F213" w14:textId="77777777">
        <w:trPr>
          <w:trHeight w:val="655"/>
        </w:trPr>
        <w:tc>
          <w:tcPr>
            <w:tcW w:w="1977" w:type="dxa"/>
            <w:shd w:val="clear" w:color="auto" w:fill="BFBFBF" w:themeFill="background1" w:themeFillShade="BF"/>
            <w:tcMar>
              <w:top w:w="0" w:type="dxa"/>
              <w:left w:w="86" w:type="dxa"/>
              <w:bottom w:w="43" w:type="dxa"/>
              <w:right w:w="86" w:type="dxa"/>
            </w:tcMar>
            <w:hideMark/>
          </w:tcPr>
          <w:p w14:paraId="128A4687" w14:textId="77777777" w:rsidR="00E553AB" w:rsidRPr="005D4222" w:rsidRDefault="00E553AB" w:rsidP="00E553AB">
            <w:pPr>
              <w:pStyle w:val="ECDSMarginHead"/>
            </w:pPr>
            <w:r w:rsidRPr="005D4222">
              <w:t>Clinical recommendation statement/ rationale</w:t>
            </w:r>
          </w:p>
        </w:tc>
        <w:tc>
          <w:tcPr>
            <w:tcW w:w="7737" w:type="dxa"/>
            <w:gridSpan w:val="3"/>
            <w:tcMar>
              <w:top w:w="0" w:type="dxa"/>
              <w:left w:w="86" w:type="dxa"/>
              <w:bottom w:w="43" w:type="dxa"/>
              <w:right w:w="86" w:type="dxa"/>
            </w:tcMar>
          </w:tcPr>
          <w:p w14:paraId="5DC064AF" w14:textId="77777777" w:rsidR="00E553AB" w:rsidRPr="005D4222" w:rsidRDefault="00E553AB" w:rsidP="00E553AB">
            <w:pPr>
              <w:pStyle w:val="ECDSBody"/>
            </w:pPr>
            <w:r w:rsidRPr="005D4222">
              <w:t>American Diabetes Association (2025)</w:t>
            </w:r>
          </w:p>
          <w:p w14:paraId="38E37DE4" w14:textId="77777777" w:rsidR="00E553AB" w:rsidRPr="005D4222" w:rsidRDefault="00E553AB" w:rsidP="00E553AB">
            <w:pPr>
              <w:pStyle w:val="Bullet"/>
            </w:pPr>
            <w:r w:rsidRPr="005D4222">
              <w:t>The on-treatment target blood pressure goal is &lt;130/80 mmHg, if it can be safely attained. Level of evidence: A</w:t>
            </w:r>
          </w:p>
          <w:p w14:paraId="0A617863" w14:textId="77777777" w:rsidR="00E553AB" w:rsidRPr="005D4222" w:rsidRDefault="00E553AB" w:rsidP="00E553AB">
            <w:pPr>
              <w:pStyle w:val="Bullet"/>
            </w:pPr>
            <w:r w:rsidRPr="005D4222">
              <w:t>The ADA</w:t>
            </w:r>
            <w:r w:rsidRPr="005D4222">
              <w:rPr>
                <w:shd w:val="clear" w:color="auto" w:fill="FFFFFF"/>
              </w:rPr>
              <w:t xml:space="preserve"> recognizes that there has been no randomized controlled trial to specifically demonstrate a decreased incidence of cardiovascular events in people with diabetes by targeting a blood pressure &lt;130/80 mmHg.</w:t>
            </w:r>
          </w:p>
          <w:p w14:paraId="5854184C" w14:textId="77777777" w:rsidR="00E553AB" w:rsidRPr="005D4222" w:rsidRDefault="00E553AB" w:rsidP="00E553AB">
            <w:pPr>
              <w:pStyle w:val="ECDSBody"/>
            </w:pPr>
            <w:r w:rsidRPr="005D4222">
              <w:t>Joslin Diabetes Center (2020)</w:t>
            </w:r>
          </w:p>
          <w:p w14:paraId="2D350D80" w14:textId="77777777" w:rsidR="00E553AB" w:rsidRPr="005D4222" w:rsidRDefault="00E553AB" w:rsidP="00E553AB">
            <w:pPr>
              <w:pStyle w:val="Bullet"/>
            </w:pPr>
            <w:r w:rsidRPr="005D4222">
              <w:t>Blood pressure goal for each patient aged &gt;18 years is ≤140/90 mmHg. Grade of recommendation: 1B</w:t>
            </w:r>
          </w:p>
          <w:p w14:paraId="6753C4EF" w14:textId="77777777" w:rsidR="00E553AB" w:rsidRPr="005D4222" w:rsidRDefault="00E553AB" w:rsidP="00E553AB">
            <w:pPr>
              <w:pStyle w:val="Bullet"/>
              <w:spacing w:after="80"/>
            </w:pPr>
            <w:r w:rsidRPr="005D4222">
              <w:t>Systolic blood pressure &lt;130 mmHg may be appropriate for individuals without CVD or without multiple risk factors. Grade of recommendation: 1B</w:t>
            </w:r>
          </w:p>
        </w:tc>
      </w:tr>
      <w:tr w:rsidR="00E553AB" w:rsidRPr="005D4222" w14:paraId="1B30620F" w14:textId="77777777">
        <w:tc>
          <w:tcPr>
            <w:tcW w:w="1977" w:type="dxa"/>
            <w:shd w:val="clear" w:color="auto" w:fill="BFBFBF" w:themeFill="background1" w:themeFillShade="BF"/>
            <w:tcMar>
              <w:top w:w="0" w:type="dxa"/>
              <w:left w:w="86" w:type="dxa"/>
              <w:bottom w:w="43" w:type="dxa"/>
              <w:right w:w="86" w:type="dxa"/>
            </w:tcMar>
          </w:tcPr>
          <w:p w14:paraId="6C716FEF" w14:textId="77777777" w:rsidR="00E553AB" w:rsidRPr="005D4222" w:rsidRDefault="00E553AB" w:rsidP="00E553AB">
            <w:pPr>
              <w:pStyle w:val="ECDSMarginHead"/>
            </w:pPr>
            <w:r w:rsidRPr="005D4222">
              <w:t>Citations</w:t>
            </w:r>
          </w:p>
        </w:tc>
        <w:tc>
          <w:tcPr>
            <w:tcW w:w="7737" w:type="dxa"/>
            <w:gridSpan w:val="3"/>
            <w:tcMar>
              <w:top w:w="0" w:type="dxa"/>
              <w:left w:w="86" w:type="dxa"/>
              <w:bottom w:w="43" w:type="dxa"/>
              <w:right w:w="86" w:type="dxa"/>
            </w:tcMar>
          </w:tcPr>
          <w:p w14:paraId="56E00408" w14:textId="77777777" w:rsidR="00E553AB" w:rsidRPr="005D4222" w:rsidRDefault="00E553AB" w:rsidP="00E553AB">
            <w:pPr>
              <w:pStyle w:val="ECDSBody"/>
            </w:pPr>
            <w:r w:rsidRPr="005D4222">
              <w:t xml:space="preserve">American Diabetes Association Professional Practice Committee. 2025. “10. Cardiovascular Disease and Risk Management: Standards of Care in Diabetes—2025. </w:t>
            </w:r>
            <w:r w:rsidRPr="005D4222">
              <w:rPr>
                <w:i/>
                <w:iCs/>
              </w:rPr>
              <w:t xml:space="preserve">Diabetes Care </w:t>
            </w:r>
            <w:r w:rsidRPr="005D4222">
              <w:t>48(Suppl. 1):S207–38.</w:t>
            </w:r>
          </w:p>
          <w:p w14:paraId="6B07896F" w14:textId="77777777" w:rsidR="00E553AB" w:rsidRPr="005D4222" w:rsidRDefault="00E553AB" w:rsidP="00E553AB">
            <w:pPr>
              <w:pStyle w:val="ECDSBody"/>
            </w:pPr>
            <w:r w:rsidRPr="005D4222">
              <w:t xml:space="preserve">Joslin Diabetes Center. 2020. </w:t>
            </w:r>
            <w:r w:rsidRPr="005D4222">
              <w:rPr>
                <w:i/>
                <w:iCs/>
              </w:rPr>
              <w:t>Joslin Diabetes Center Clinical Guidelines for Management of Adults with Diabetes.</w:t>
            </w:r>
            <w:r w:rsidRPr="005D4222">
              <w:t xml:space="preserve"> Joslin Diabetes Center. https://www.ajmc.com/view/chapter-1-clinical-guideline-for-adults-with-diabetes </w:t>
            </w:r>
          </w:p>
        </w:tc>
      </w:tr>
      <w:tr w:rsidR="00E553AB" w:rsidRPr="005D4222" w14:paraId="59EF0E97" w14:textId="77777777">
        <w:tc>
          <w:tcPr>
            <w:tcW w:w="9714"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2A2EA14F" w14:textId="77777777" w:rsidR="00E553AB" w:rsidRPr="005D4222" w:rsidRDefault="00E553AB" w:rsidP="00E553AB">
            <w:pPr>
              <w:pStyle w:val="ECDSMarginHead"/>
            </w:pPr>
            <w:r w:rsidRPr="005D4222">
              <w:t>Characteristics</w:t>
            </w:r>
          </w:p>
        </w:tc>
      </w:tr>
      <w:tr w:rsidR="00E553AB" w:rsidRPr="005D4222" w14:paraId="220D8B8E" w14:textId="77777777">
        <w:tc>
          <w:tcPr>
            <w:tcW w:w="197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430FAE37" w14:textId="77777777" w:rsidR="00E553AB" w:rsidRPr="005D4222" w:rsidRDefault="00E553AB" w:rsidP="002E432F">
            <w:pPr>
              <w:pStyle w:val="ECDSSubhead"/>
            </w:pPr>
            <w:r w:rsidRPr="005D4222">
              <w:t>Scoring</w:t>
            </w:r>
          </w:p>
        </w:tc>
        <w:tc>
          <w:tcPr>
            <w:tcW w:w="773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4B9B5B62" w14:textId="3F19D8DA" w:rsidR="00E553AB" w:rsidRPr="005D4222" w:rsidRDefault="00D7499F" w:rsidP="002E432F">
            <w:pPr>
              <w:pStyle w:val="ECDSBody"/>
              <w:spacing w:after="0"/>
            </w:pPr>
            <w:r w:rsidRPr="005D4222">
              <w:t>Proportion</w:t>
            </w:r>
            <w:r w:rsidR="00E553AB" w:rsidRPr="005D4222">
              <w:t>.</w:t>
            </w:r>
          </w:p>
        </w:tc>
      </w:tr>
      <w:tr w:rsidR="00E553AB" w:rsidRPr="005D4222" w14:paraId="59669B01" w14:textId="77777777">
        <w:tc>
          <w:tcPr>
            <w:tcW w:w="1977" w:type="dxa"/>
            <w:tcBorders>
              <w:top w:val="nil"/>
              <w:left w:val="single" w:sz="4" w:space="0" w:color="auto"/>
              <w:bottom w:val="nil"/>
              <w:right w:val="single" w:sz="4" w:space="0" w:color="auto"/>
            </w:tcBorders>
            <w:tcMar>
              <w:top w:w="0" w:type="dxa"/>
              <w:left w:w="86" w:type="dxa"/>
              <w:bottom w:w="43" w:type="dxa"/>
              <w:right w:w="86" w:type="dxa"/>
            </w:tcMar>
          </w:tcPr>
          <w:p w14:paraId="7CAF8EF7" w14:textId="77777777" w:rsidR="00E553AB" w:rsidRPr="005D4222" w:rsidRDefault="00E553AB" w:rsidP="002E432F">
            <w:pPr>
              <w:pStyle w:val="ECDSSubhead"/>
            </w:pPr>
            <w:r w:rsidRPr="005D4222">
              <w:t>Type</w:t>
            </w:r>
          </w:p>
        </w:tc>
        <w:tc>
          <w:tcPr>
            <w:tcW w:w="7737" w:type="dxa"/>
            <w:gridSpan w:val="3"/>
            <w:tcBorders>
              <w:top w:val="nil"/>
              <w:left w:val="single" w:sz="4" w:space="0" w:color="auto"/>
              <w:bottom w:val="nil"/>
              <w:right w:val="single" w:sz="4" w:space="0" w:color="auto"/>
            </w:tcBorders>
            <w:tcMar>
              <w:top w:w="0" w:type="dxa"/>
              <w:left w:w="86" w:type="dxa"/>
              <w:bottom w:w="43" w:type="dxa"/>
              <w:right w:w="86" w:type="dxa"/>
            </w:tcMar>
          </w:tcPr>
          <w:p w14:paraId="760C8566" w14:textId="469D06D3" w:rsidR="00E553AB" w:rsidRPr="005D4222" w:rsidRDefault="00D7499F" w:rsidP="002E432F">
            <w:pPr>
              <w:pStyle w:val="ECDSBody"/>
              <w:spacing w:after="0"/>
            </w:pPr>
            <w:r w:rsidRPr="005D4222">
              <w:t>Outcome</w:t>
            </w:r>
            <w:r w:rsidR="00E553AB" w:rsidRPr="005D4222">
              <w:t>.</w:t>
            </w:r>
          </w:p>
        </w:tc>
      </w:tr>
      <w:tr w:rsidR="00E553AB" w:rsidRPr="005D4222" w14:paraId="701F9068" w14:textId="77777777" w:rsidTr="002C0776">
        <w:tc>
          <w:tcPr>
            <w:tcW w:w="1977" w:type="dxa"/>
            <w:tcBorders>
              <w:top w:val="nil"/>
              <w:left w:val="single" w:sz="4" w:space="0" w:color="auto"/>
              <w:bottom w:val="nil"/>
              <w:right w:val="single" w:sz="4" w:space="0" w:color="auto"/>
            </w:tcBorders>
            <w:tcMar>
              <w:top w:w="0" w:type="dxa"/>
              <w:left w:w="86" w:type="dxa"/>
              <w:bottom w:w="43" w:type="dxa"/>
              <w:right w:w="86" w:type="dxa"/>
            </w:tcMar>
          </w:tcPr>
          <w:p w14:paraId="5055666E" w14:textId="177EFAF1" w:rsidR="00E553AB" w:rsidRPr="005D4222" w:rsidRDefault="00B51CDC" w:rsidP="00E553AB">
            <w:pPr>
              <w:pStyle w:val="ECDSSubhead"/>
            </w:pPr>
            <w:r w:rsidRPr="005D4222">
              <w:t>Product lines</w:t>
            </w:r>
          </w:p>
        </w:tc>
        <w:tc>
          <w:tcPr>
            <w:tcW w:w="7737" w:type="dxa"/>
            <w:gridSpan w:val="3"/>
            <w:tcBorders>
              <w:top w:val="nil"/>
              <w:left w:val="single" w:sz="4" w:space="0" w:color="auto"/>
              <w:bottom w:val="nil"/>
              <w:right w:val="single" w:sz="4" w:space="0" w:color="auto"/>
            </w:tcBorders>
            <w:tcMar>
              <w:top w:w="0" w:type="dxa"/>
              <w:left w:w="86" w:type="dxa"/>
              <w:bottom w:w="43" w:type="dxa"/>
              <w:right w:w="86" w:type="dxa"/>
            </w:tcMar>
          </w:tcPr>
          <w:p w14:paraId="77476778" w14:textId="77777777" w:rsidR="00E553AB" w:rsidRPr="005D4222" w:rsidRDefault="00E553AB" w:rsidP="002E432F">
            <w:pPr>
              <w:pStyle w:val="ProcessBullet"/>
              <w:spacing w:before="120"/>
            </w:pPr>
            <w:r w:rsidRPr="005D4222">
              <w:t>Commercial.</w:t>
            </w:r>
          </w:p>
          <w:p w14:paraId="09595AD0" w14:textId="77777777" w:rsidR="00E553AB" w:rsidRPr="005D4222" w:rsidRDefault="00E553AB" w:rsidP="002E432F">
            <w:pPr>
              <w:pStyle w:val="ProcessBullet"/>
            </w:pPr>
            <w:r w:rsidRPr="005D4222">
              <w:t>Medicaid.</w:t>
            </w:r>
          </w:p>
          <w:p w14:paraId="43FD868C" w14:textId="77777777" w:rsidR="00E553AB" w:rsidRPr="005D4222" w:rsidRDefault="00E553AB" w:rsidP="002E432F">
            <w:pPr>
              <w:pStyle w:val="ProcessBullet"/>
            </w:pPr>
            <w:r w:rsidRPr="005D4222">
              <w:t>Medicare.</w:t>
            </w:r>
          </w:p>
        </w:tc>
      </w:tr>
      <w:tr w:rsidR="00E553AB" w:rsidRPr="005D4222" w14:paraId="1DFFD613" w14:textId="77777777" w:rsidTr="002C0776">
        <w:tc>
          <w:tcPr>
            <w:tcW w:w="197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05F3E709" w14:textId="080BA777" w:rsidR="00E553AB" w:rsidRPr="005D4222" w:rsidRDefault="00B51CDC" w:rsidP="00E553AB">
            <w:pPr>
              <w:pStyle w:val="ECDSSubhead"/>
            </w:pPr>
            <w:r w:rsidRPr="005D4222">
              <w:t>Stratifications</w:t>
            </w:r>
            <w:r w:rsidR="00E553AB" w:rsidRPr="005D4222">
              <w:t xml:space="preserve"> </w:t>
            </w:r>
          </w:p>
        </w:tc>
        <w:tc>
          <w:tcPr>
            <w:tcW w:w="773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hideMark/>
          </w:tcPr>
          <w:p w14:paraId="78F3047B" w14:textId="77777777" w:rsidR="00E553AB" w:rsidRPr="005D4222" w:rsidRDefault="00E553AB" w:rsidP="002E432F">
            <w:pPr>
              <w:pStyle w:val="ECDSBody"/>
            </w:pPr>
            <w:r w:rsidRPr="005D4222">
              <w:t>None.</w:t>
            </w:r>
          </w:p>
        </w:tc>
      </w:tr>
    </w:tbl>
    <w:p w14:paraId="592A32D5" w14:textId="77777777" w:rsidR="002C0776" w:rsidRPr="005D4222" w:rsidRDefault="002C0776"/>
    <w:tbl>
      <w:tblPr>
        <w:tblW w:w="9714" w:type="dxa"/>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1977"/>
        <w:gridCol w:w="7737"/>
      </w:tblGrid>
      <w:tr w:rsidR="00E553AB" w:rsidRPr="005D4222" w14:paraId="468D6F83" w14:textId="77777777" w:rsidTr="002C0776">
        <w:tc>
          <w:tcPr>
            <w:tcW w:w="197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7AC46640" w14:textId="77777777" w:rsidR="00E553AB" w:rsidRPr="005D4222" w:rsidRDefault="00E553AB" w:rsidP="002C0776">
            <w:pPr>
              <w:pStyle w:val="ECDSSubhead"/>
            </w:pPr>
            <w:r w:rsidRPr="005D4222">
              <w:lastRenderedPageBreak/>
              <w:t>Risk adjustment</w:t>
            </w:r>
          </w:p>
        </w:tc>
        <w:tc>
          <w:tcPr>
            <w:tcW w:w="7737" w:type="dxa"/>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5B938CCD" w14:textId="77777777" w:rsidR="00E553AB" w:rsidRPr="005D4222" w:rsidRDefault="00E553AB" w:rsidP="002C0776">
            <w:pPr>
              <w:pStyle w:val="ECDSBody"/>
              <w:spacing w:after="0"/>
            </w:pPr>
            <w:r w:rsidRPr="005D4222">
              <w:t>None.</w:t>
            </w:r>
          </w:p>
        </w:tc>
      </w:tr>
      <w:tr w:rsidR="00E553AB" w:rsidRPr="005D4222" w14:paraId="15D3E669" w14:textId="77777777" w:rsidTr="002C0776">
        <w:tc>
          <w:tcPr>
            <w:tcW w:w="1977" w:type="dxa"/>
            <w:tcBorders>
              <w:top w:val="nil"/>
              <w:left w:val="single" w:sz="4" w:space="0" w:color="auto"/>
              <w:bottom w:val="nil"/>
              <w:right w:val="single" w:sz="4" w:space="0" w:color="auto"/>
            </w:tcBorders>
            <w:tcMar>
              <w:top w:w="0" w:type="dxa"/>
              <w:left w:w="86" w:type="dxa"/>
              <w:bottom w:w="43" w:type="dxa"/>
              <w:right w:w="86" w:type="dxa"/>
            </w:tcMar>
          </w:tcPr>
          <w:p w14:paraId="3AFBC2AA" w14:textId="77777777" w:rsidR="00E553AB" w:rsidRPr="005D4222" w:rsidRDefault="00E553AB" w:rsidP="00E553AB">
            <w:pPr>
              <w:pStyle w:val="ECDSSubhead"/>
            </w:pPr>
            <w:r w:rsidRPr="005D4222">
              <w:t>Improvement notation</w:t>
            </w:r>
          </w:p>
        </w:tc>
        <w:tc>
          <w:tcPr>
            <w:tcW w:w="7737" w:type="dxa"/>
            <w:tcBorders>
              <w:top w:val="nil"/>
              <w:left w:val="single" w:sz="4" w:space="0" w:color="auto"/>
              <w:bottom w:val="nil"/>
              <w:right w:val="single" w:sz="4" w:space="0" w:color="auto"/>
            </w:tcBorders>
            <w:tcMar>
              <w:top w:w="0" w:type="dxa"/>
              <w:left w:w="86" w:type="dxa"/>
              <w:bottom w:w="43" w:type="dxa"/>
              <w:right w:w="86" w:type="dxa"/>
            </w:tcMar>
            <w:hideMark/>
          </w:tcPr>
          <w:p w14:paraId="6767D7EF" w14:textId="77777777" w:rsidR="00E553AB" w:rsidRPr="005D4222" w:rsidRDefault="00E553AB" w:rsidP="002C0776">
            <w:pPr>
              <w:pStyle w:val="ECDSBody"/>
            </w:pPr>
            <w:r w:rsidRPr="005D4222">
              <w:t>Increased score indicates improvement.</w:t>
            </w:r>
          </w:p>
        </w:tc>
      </w:tr>
      <w:tr w:rsidR="00E553AB" w:rsidRPr="005D4222" w14:paraId="287219D4" w14:textId="77777777" w:rsidTr="002C0776">
        <w:trPr>
          <w:trHeight w:val="633"/>
        </w:trPr>
        <w:tc>
          <w:tcPr>
            <w:tcW w:w="197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7D3B03E9" w14:textId="77777777" w:rsidR="00E553AB" w:rsidRPr="005D4222" w:rsidRDefault="00E553AB" w:rsidP="00E553AB">
            <w:pPr>
              <w:pStyle w:val="ECDSSubhead"/>
            </w:pPr>
            <w:r w:rsidRPr="005D4222">
              <w:t>Guidance</w:t>
            </w:r>
          </w:p>
        </w:tc>
        <w:tc>
          <w:tcPr>
            <w:tcW w:w="773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5C120392" w14:textId="4B7CA5E5" w:rsidR="00E553AB" w:rsidRPr="005D4222" w:rsidRDefault="00E553AB" w:rsidP="002C0776">
            <w:pPr>
              <w:pStyle w:val="ECDSBody"/>
            </w:pPr>
            <w:r w:rsidRPr="005D4222">
              <w:rPr>
                <w:b/>
              </w:rPr>
              <w:t>Data collection methodology:</w:t>
            </w:r>
            <w:r w:rsidRPr="005D4222">
              <w:t xml:space="preserve"> Administrative and hybrid. Refer to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3A1FD0AE" w14:textId="77777777" w:rsidR="00E553AB" w:rsidRPr="005D4222" w:rsidRDefault="00E553AB" w:rsidP="002C0776">
            <w:pPr>
              <w:pStyle w:val="ECDSBody"/>
            </w:pPr>
            <w:r w:rsidRPr="005D4222">
              <w:rPr>
                <w:b/>
              </w:rPr>
              <w:t xml:space="preserve">Date specificity: </w:t>
            </w:r>
            <w:r w:rsidRPr="005D4222">
              <w:t>Dates must be specific enough to determine the event occurred in the period being measured.</w:t>
            </w:r>
          </w:p>
          <w:p w14:paraId="7195787A" w14:textId="77777777" w:rsidR="00E553AB" w:rsidRPr="005D4222" w:rsidRDefault="00E553AB" w:rsidP="002C0776">
            <w:pPr>
              <w:pStyle w:val="ECDSBody"/>
              <w:rPr>
                <w:b/>
              </w:rPr>
            </w:pPr>
            <w:r w:rsidRPr="005D4222">
              <w:rPr>
                <w:b/>
              </w:rPr>
              <w:t xml:space="preserve">Which services count? </w:t>
            </w:r>
            <w:r w:rsidRPr="005D4222">
              <w:t>When using claims, include all paid, suspended, pending and denied claims.</w:t>
            </w:r>
          </w:p>
          <w:p w14:paraId="0E3BD549" w14:textId="77777777" w:rsidR="00E553AB" w:rsidRPr="005D4222" w:rsidRDefault="00E553AB" w:rsidP="002C0776">
            <w:pPr>
              <w:pStyle w:val="ECDSBody"/>
            </w:pPr>
            <w:r w:rsidRPr="005D4222">
              <w:rPr>
                <w:b/>
              </w:rPr>
              <w:t xml:space="preserve">Other guidance: </w:t>
            </w:r>
            <w:r w:rsidRPr="005D4222">
              <w:t>If a combination of administrative, supplemental or hybrid data are used, the most recent BP result must be used, regardless of data source.</w:t>
            </w:r>
          </w:p>
        </w:tc>
      </w:tr>
      <w:tr w:rsidR="00E553AB" w:rsidRPr="005D4222" w14:paraId="690E0D43" w14:textId="77777777" w:rsidTr="002C0776">
        <w:trPr>
          <w:trHeight w:val="320"/>
        </w:trPr>
        <w:tc>
          <w:tcPr>
            <w:tcW w:w="1977" w:type="dxa"/>
            <w:shd w:val="clear" w:color="auto" w:fill="BFBFBF" w:themeFill="background1" w:themeFillShade="BF"/>
            <w:tcMar>
              <w:top w:w="0" w:type="dxa"/>
              <w:left w:w="86" w:type="dxa"/>
              <w:bottom w:w="43" w:type="dxa"/>
              <w:right w:w="86" w:type="dxa"/>
            </w:tcMar>
          </w:tcPr>
          <w:p w14:paraId="3C55985B" w14:textId="77777777" w:rsidR="00E553AB" w:rsidRPr="005D4222" w:rsidRDefault="00E553AB" w:rsidP="00E553AB">
            <w:pPr>
              <w:pStyle w:val="ECDSMarginHead"/>
            </w:pPr>
            <w:r w:rsidRPr="005D4222">
              <w:t>Initial population</w:t>
            </w:r>
          </w:p>
        </w:tc>
        <w:tc>
          <w:tcPr>
            <w:tcW w:w="773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AC2B9B2" w14:textId="77777777" w:rsidR="00E553AB" w:rsidRPr="005D4222" w:rsidRDefault="00E553AB" w:rsidP="002C0776">
            <w:pPr>
              <w:pStyle w:val="ECDSBody"/>
            </w:pPr>
            <w:r w:rsidRPr="005D4222">
              <w:t>Measure item count: Person.</w:t>
            </w:r>
          </w:p>
          <w:p w14:paraId="5B5AA4F3" w14:textId="77777777" w:rsidR="00E553AB" w:rsidRPr="005D4222" w:rsidRDefault="00E553AB" w:rsidP="002C0776">
            <w:pPr>
              <w:pStyle w:val="ECDSBody"/>
            </w:pPr>
            <w:r w:rsidRPr="005D4222">
              <w:t>Attribution basis: Enrollment.</w:t>
            </w:r>
          </w:p>
          <w:p w14:paraId="3F76DC76" w14:textId="77777777" w:rsidR="00E553AB" w:rsidRPr="005D4222" w:rsidRDefault="00E553AB" w:rsidP="002C0776">
            <w:pPr>
              <w:pStyle w:val="Bullet"/>
            </w:pPr>
            <w:r w:rsidRPr="005D4222">
              <w:rPr>
                <w:i/>
                <w:iCs/>
              </w:rPr>
              <w:t>Benefits:</w:t>
            </w:r>
            <w:r w:rsidRPr="005D4222">
              <w:t xml:space="preserve"> Medical.</w:t>
            </w:r>
          </w:p>
          <w:p w14:paraId="4DF48112" w14:textId="77777777" w:rsidR="00E553AB" w:rsidRPr="005D4222" w:rsidRDefault="00E553AB" w:rsidP="002C0776">
            <w:pPr>
              <w:pStyle w:val="Bullet"/>
            </w:pPr>
            <w:r w:rsidRPr="005D4222">
              <w:rPr>
                <w:i/>
                <w:iCs/>
              </w:rPr>
              <w:t>Continuous enrollment:</w:t>
            </w:r>
            <w:r w:rsidRPr="005D4222">
              <w:t xml:space="preserve"> The measurement period.</w:t>
            </w:r>
          </w:p>
          <w:p w14:paraId="38086016" w14:textId="77777777" w:rsidR="00E553AB" w:rsidRPr="005D4222" w:rsidRDefault="00E553AB" w:rsidP="002C0776">
            <w:pPr>
              <w:pStyle w:val="Bullet"/>
            </w:pPr>
            <w:r w:rsidRPr="005D4222">
              <w:rPr>
                <w:i/>
                <w:iCs/>
              </w:rPr>
              <w:t>Allowable gap:</w:t>
            </w:r>
            <w:r w:rsidRPr="005D4222">
              <w:t xml:space="preserve"> No more than one gap of ≤45 days during the measurement period. No gaps on the last day of the measurement period.</w:t>
            </w:r>
          </w:p>
          <w:p w14:paraId="345B0FF3" w14:textId="77777777" w:rsidR="00E553AB" w:rsidRPr="005D4222" w:rsidRDefault="00E553AB" w:rsidP="002C0776">
            <w:pPr>
              <w:pStyle w:val="ECDSBody"/>
            </w:pPr>
            <w:r w:rsidRPr="005D4222">
              <w:rPr>
                <w:i/>
              </w:rPr>
              <w:t>Ages:</w:t>
            </w:r>
            <w:r w:rsidRPr="005D4222">
              <w:t xml:space="preserve"> 18–75 years of age as of the last day of the measurement period.</w:t>
            </w:r>
          </w:p>
          <w:p w14:paraId="247F9C98" w14:textId="77777777" w:rsidR="00E553AB" w:rsidRPr="005D4222" w:rsidRDefault="00E553AB" w:rsidP="002C0776">
            <w:pPr>
              <w:pStyle w:val="ECDSBody"/>
            </w:pPr>
            <w:r w:rsidRPr="005D4222">
              <w:rPr>
                <w:i/>
                <w:iCs/>
              </w:rPr>
              <w:t>Event:</w:t>
            </w:r>
            <w:r w:rsidRPr="005D4222">
              <w:t xml:space="preserve"> </w:t>
            </w:r>
            <w:r w:rsidRPr="005D4222">
              <w:rPr>
                <w:b/>
              </w:rPr>
              <w:t xml:space="preserve">Identify persons with a diagnosis of diabetes. </w:t>
            </w:r>
            <w:r w:rsidRPr="005D4222">
              <w:rPr>
                <w:b/>
              </w:rPr>
              <w:br/>
            </w:r>
            <w:r w:rsidRPr="005D4222">
              <w:t>Either of the following meets criteria:</w:t>
            </w:r>
          </w:p>
          <w:p w14:paraId="4EA7395A" w14:textId="77777777" w:rsidR="00E553AB" w:rsidRPr="005D4222" w:rsidRDefault="00E553AB" w:rsidP="00815361">
            <w:pPr>
              <w:pStyle w:val="Bullet"/>
            </w:pPr>
            <w:r w:rsidRPr="005D4222">
              <w:rPr>
                <w:i/>
                <w:iCs/>
              </w:rPr>
              <w:t>Claim/encounter data.</w:t>
            </w:r>
            <w:r w:rsidRPr="005D4222">
              <w:t xml:space="preserve"> At least two diagnoses of diabetes (</w:t>
            </w:r>
            <w:r w:rsidRPr="005D4222">
              <w:rPr>
                <w:u w:val="single"/>
              </w:rPr>
              <w:t>Diabetes Value Set</w:t>
            </w:r>
            <w:r w:rsidRPr="005D4222">
              <w:t>*) on different dates of service during the measurement period or the year prior to the measurement period.</w:t>
            </w:r>
          </w:p>
          <w:p w14:paraId="00500C23" w14:textId="77777777" w:rsidR="00E553AB" w:rsidRPr="005D4222" w:rsidRDefault="00E553AB" w:rsidP="00815361">
            <w:pPr>
              <w:pStyle w:val="Bullet"/>
            </w:pPr>
            <w:r w:rsidRPr="005D4222">
              <w:rPr>
                <w:i/>
                <w:iCs/>
              </w:rPr>
              <w:t>Pharmacy data.</w:t>
            </w:r>
            <w:r w:rsidRPr="005D4222">
              <w:t xml:space="preserve"> At least one diagnosis of diabetes (</w:t>
            </w:r>
            <w:r w:rsidRPr="005D4222">
              <w:rPr>
                <w:u w:val="single"/>
              </w:rPr>
              <w:t>Diabetes Value Set</w:t>
            </w:r>
            <w:r w:rsidRPr="005D4222">
              <w:t xml:space="preserve">*) </w:t>
            </w:r>
            <w:r w:rsidRPr="005D4222">
              <w:rPr>
                <w:b/>
                <w:bCs/>
                <w:i/>
                <w:iCs/>
              </w:rPr>
              <w:t xml:space="preserve">and </w:t>
            </w:r>
            <w:r w:rsidRPr="005D4222">
              <w:t>at least one diabetes medication dispensing event of insulin or a hypoglycemic/antihyperglycemic medication (</w:t>
            </w:r>
            <w:r w:rsidRPr="005D4222">
              <w:rPr>
                <w:u w:val="single"/>
              </w:rPr>
              <w:t>Diabetes Medications List</w:t>
            </w:r>
            <w:r w:rsidRPr="005D4222">
              <w:t>) during the measurement period or the year prior to the measurement period. </w:t>
            </w:r>
          </w:p>
          <w:p w14:paraId="19EE5769" w14:textId="77777777" w:rsidR="00E553AB" w:rsidRPr="005D4222" w:rsidRDefault="00E553AB" w:rsidP="00E553AB">
            <w:pPr>
              <w:spacing w:before="120"/>
              <w:rPr>
                <w:rFonts w:eastAsia="Arial,Arial,Arial,Arial,Arial,A"/>
                <w:b/>
                <w:szCs w:val="21"/>
              </w:rPr>
            </w:pPr>
            <w:r w:rsidRPr="005D4222">
              <w:rPr>
                <w:rFonts w:eastAsia="Arial,Arial,Arial,Arial,Arial,A"/>
                <w:b/>
                <w:bCs/>
                <w:szCs w:val="21"/>
              </w:rPr>
              <w:t>Coding Guidance</w:t>
            </w:r>
          </w:p>
          <w:p w14:paraId="679C0F91" w14:textId="77777777" w:rsidR="00E553AB" w:rsidRPr="005D4222" w:rsidRDefault="00E553AB" w:rsidP="00E553AB">
            <w:pPr>
              <w:spacing w:after="80"/>
              <w:rPr>
                <w:rFonts w:asciiTheme="majorHAnsi" w:eastAsiaTheme="majorEastAsia" w:hAnsiTheme="majorHAnsi"/>
                <w:bCs/>
                <w:color w:val="2F5496" w:themeColor="accent1" w:themeShade="BF"/>
                <w:szCs w:val="21"/>
              </w:rPr>
            </w:pPr>
            <w:r w:rsidRPr="005D4222">
              <w:rPr>
                <w:rFonts w:eastAsia="Arial,Arial,Arial,Arial,Arial,A"/>
                <w:bCs/>
                <w:szCs w:val="21"/>
              </w:rPr>
              <w:t>*Do not include laboratory claims (claims with POS code 81).</w:t>
            </w:r>
          </w:p>
        </w:tc>
      </w:tr>
      <w:tr w:rsidR="00E553AB" w:rsidRPr="005D4222" w14:paraId="79DA333B" w14:textId="77777777" w:rsidTr="002C0776">
        <w:tc>
          <w:tcPr>
            <w:tcW w:w="1977" w:type="dxa"/>
            <w:tcBorders>
              <w:top w:val="single" w:sz="2"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5B1FC2B7" w14:textId="77777777" w:rsidR="00E553AB" w:rsidRPr="005D4222" w:rsidRDefault="00E553AB" w:rsidP="00E553AB">
            <w:pPr>
              <w:pStyle w:val="ECDSMarginHead"/>
            </w:pPr>
            <w:r w:rsidRPr="005D4222">
              <w:t xml:space="preserve">Denominator exclusions </w:t>
            </w:r>
          </w:p>
        </w:tc>
        <w:tc>
          <w:tcPr>
            <w:tcW w:w="7737" w:type="dxa"/>
            <w:tcBorders>
              <w:top w:val="single" w:sz="4" w:space="0" w:color="auto"/>
              <w:left w:val="single" w:sz="4" w:space="0" w:color="auto"/>
              <w:right w:val="single" w:sz="4" w:space="0" w:color="auto"/>
            </w:tcBorders>
            <w:tcMar>
              <w:top w:w="0" w:type="dxa"/>
              <w:left w:w="86" w:type="dxa"/>
              <w:bottom w:w="43" w:type="dxa"/>
              <w:right w:w="86" w:type="dxa"/>
            </w:tcMar>
          </w:tcPr>
          <w:p w14:paraId="6C7DDE97" w14:textId="77777777" w:rsidR="00E553AB" w:rsidRPr="005D4222" w:rsidRDefault="00E553AB" w:rsidP="00815361">
            <w:pPr>
              <w:pStyle w:val="ECDSBody"/>
              <w:rPr>
                <w:rFonts w:eastAsia="Arial,Arial,Arial,Arial,Arial,A"/>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p w14:paraId="33D12737" w14:textId="77777777" w:rsidR="00E553AB" w:rsidRPr="005D4222" w:rsidRDefault="00E553AB" w:rsidP="00815361">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bl>
    <w:p w14:paraId="5D7A172F" w14:textId="77777777" w:rsidR="00815361" w:rsidRPr="005D4222" w:rsidRDefault="00815361">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1977"/>
        <w:gridCol w:w="7737"/>
      </w:tblGrid>
      <w:tr w:rsidR="00E553AB" w:rsidRPr="005D4222" w14:paraId="1DA3646C" w14:textId="77777777" w:rsidTr="00815361">
        <w:tc>
          <w:tcPr>
            <w:tcW w:w="1977" w:type="dxa"/>
            <w:tcBorders>
              <w:top w:val="single" w:sz="2"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42EC5EDC" w14:textId="77777777" w:rsidR="00E553AB" w:rsidRPr="005D4222" w:rsidRDefault="00E553AB" w:rsidP="00E553AB">
            <w:pPr>
              <w:pStyle w:val="ECDSMarginHead"/>
            </w:pPr>
            <w:r w:rsidRPr="005D4222">
              <w:lastRenderedPageBreak/>
              <w:t xml:space="preserve"> </w:t>
            </w:r>
          </w:p>
        </w:tc>
        <w:tc>
          <w:tcPr>
            <w:tcW w:w="7737" w:type="dxa"/>
            <w:tcBorders>
              <w:top w:val="single" w:sz="4" w:space="0" w:color="auto"/>
              <w:left w:val="single" w:sz="4" w:space="0" w:color="auto"/>
              <w:right w:val="single" w:sz="4" w:space="0" w:color="auto"/>
            </w:tcBorders>
            <w:tcMar>
              <w:top w:w="0" w:type="dxa"/>
              <w:left w:w="86" w:type="dxa"/>
              <w:bottom w:w="43" w:type="dxa"/>
              <w:right w:w="86" w:type="dxa"/>
            </w:tcMar>
          </w:tcPr>
          <w:p w14:paraId="010004A7" w14:textId="77777777" w:rsidR="00E553AB" w:rsidRPr="005D4222" w:rsidRDefault="00E553AB" w:rsidP="00815361">
            <w:pPr>
              <w:pStyle w:val="ECDSBody"/>
            </w:pPr>
            <w:r w:rsidRPr="005D4222" w:rsidDel="00AA4A01">
              <w:rPr>
                <w:b/>
              </w:rPr>
              <w:t xml:space="preserve">Persons </w:t>
            </w:r>
            <w:r w:rsidRPr="005D4222">
              <w:rPr>
                <w:b/>
              </w:rPr>
              <w:t>receiving palliative care.</w:t>
            </w:r>
            <w:r w:rsidRPr="005D4222">
              <w:rPr>
                <w:b/>
              </w:rPr>
              <w:br/>
            </w:r>
            <w:r w:rsidRPr="005D4222">
              <w:t>Persons receiving palliative care (</w:t>
            </w:r>
            <w:r w:rsidRPr="005D4222">
              <w:rPr>
                <w:u w:val="single"/>
              </w:rPr>
              <w:t>Palliative Care Assessment Value Set</w:t>
            </w:r>
            <w:r w:rsidRPr="005D4222">
              <w:t xml:space="preserve">; </w:t>
            </w:r>
            <w:r w:rsidRPr="005D4222">
              <w:rPr>
                <w:u w:val="single"/>
              </w:rPr>
              <w:t>Palliative Care Encounter Value Set</w:t>
            </w:r>
            <w:r w:rsidRPr="005D4222">
              <w:t xml:space="preserve">; </w:t>
            </w:r>
            <w:r w:rsidRPr="005D4222">
              <w:rPr>
                <w:u w:val="single"/>
              </w:rPr>
              <w:t>Palliative Care Intervention Value Set</w:t>
            </w:r>
            <w:r w:rsidRPr="005D4222">
              <w:t xml:space="preserve">) or who had an encounter for palliative care (ICD-10-CM code Z51.5*) any time during the measurement period. </w:t>
            </w:r>
          </w:p>
          <w:p w14:paraId="78BF2F44" w14:textId="77777777" w:rsidR="00E553AB" w:rsidRPr="005D4222" w:rsidRDefault="00E553AB" w:rsidP="00815361">
            <w:pPr>
              <w:pStyle w:val="ECDSBody"/>
              <w:rPr>
                <w:kern w:val="24"/>
                <w14:ligatures w14:val="standardContextual"/>
              </w:rPr>
            </w:pPr>
            <w:r w:rsidRPr="005D4222">
              <w:rPr>
                <w:b/>
                <w:color w:val="000000"/>
                <w:shd w:val="clear" w:color="auto" w:fill="FFFFFF"/>
              </w:rPr>
              <w:t>Medicare enrollees,</w:t>
            </w:r>
            <w:r w:rsidRPr="005D4222" w:rsidDel="007105CE">
              <w:rPr>
                <w:b/>
                <w:color w:val="000000"/>
                <w:shd w:val="clear" w:color="auto" w:fill="FFFFFF"/>
              </w:rPr>
              <w:t xml:space="preserve"> </w:t>
            </w:r>
            <w:r w:rsidRPr="005D4222">
              <w:rPr>
                <w:b/>
                <w:color w:val="000000"/>
                <w:shd w:val="clear" w:color="auto" w:fill="FFFFFF"/>
              </w:rPr>
              <w:t>66 years of age and older by the last day of the measurement period, in an institutional SNP (I-SNP) or living long-term in an institution (LTI).</w:t>
            </w:r>
          </w:p>
          <w:p w14:paraId="5985312C" w14:textId="77777777" w:rsidR="00E553AB" w:rsidRPr="005D4222" w:rsidRDefault="00E553AB" w:rsidP="00FB73CA">
            <w:pPr>
              <w:pStyle w:val="ProcessBullet"/>
              <w:tabs>
                <w:tab w:val="left" w:pos="216"/>
              </w:tabs>
              <w:spacing w:after="80"/>
            </w:pPr>
            <w:r w:rsidRPr="005D4222">
              <w:t xml:space="preserve">Enrolled in an </w:t>
            </w:r>
            <w:r w:rsidRPr="005D4222" w:rsidDel="007C0F34">
              <w:t>Institutional SNP (</w:t>
            </w:r>
            <w:r w:rsidRPr="005D4222">
              <w:t>I-SNP</w:t>
            </w:r>
            <w:r w:rsidRPr="005D4222" w:rsidDel="007C0F34">
              <w:t>)</w:t>
            </w:r>
            <w:r w:rsidRPr="005D4222">
              <w:t xml:space="preserve"> any time during the measurement period.</w:t>
            </w:r>
          </w:p>
          <w:p w14:paraId="65BC58E5" w14:textId="77777777" w:rsidR="00E553AB" w:rsidRPr="005D4222" w:rsidRDefault="00E553AB" w:rsidP="00073739">
            <w:pPr>
              <w:pStyle w:val="ProcessBullet"/>
              <w:tabs>
                <w:tab w:val="left" w:pos="216"/>
              </w:tabs>
              <w:spacing w:after="80"/>
              <w:rPr>
                <w:rFonts w:eastAsia="Arial,Arial,Arial,Arial,Arial,A"/>
              </w:rPr>
            </w:pPr>
            <w:r w:rsidRPr="005D4222">
              <w:t xml:space="preserve">Living </w:t>
            </w:r>
            <w:r w:rsidRPr="005D4222" w:rsidDel="00E90213">
              <w:t>long-term in an institution</w:t>
            </w:r>
            <w:r w:rsidRPr="005D4222">
              <w:t xml:space="preserve"> any time during the measurement period as identified by the LTI flag in the Monthly Membership Detail Data File. Use the run date of the file to determine if </w:t>
            </w:r>
            <w:r w:rsidRPr="005D4222" w:rsidDel="00C84650">
              <w:t xml:space="preserve">a member had </w:t>
            </w:r>
            <w:r w:rsidRPr="005D4222">
              <w:t>an LTI flag during the measurement period.</w:t>
            </w:r>
          </w:p>
          <w:p w14:paraId="05AB4953" w14:textId="77777777" w:rsidR="00E553AB" w:rsidRPr="005D4222" w:rsidRDefault="00E553AB" w:rsidP="00815361">
            <w:pPr>
              <w:pStyle w:val="ECDSBody"/>
              <w:rPr>
                <w:b/>
              </w:rPr>
            </w:pPr>
            <w:r w:rsidRPr="005D4222">
              <w:rPr>
                <w:b/>
              </w:rPr>
              <w:t>Persons 66 years of age or older by the last day of the measurement period, with both frailty and advanced illness.</w:t>
            </w:r>
          </w:p>
          <w:p w14:paraId="1728997F" w14:textId="77777777" w:rsidR="00E553AB" w:rsidRPr="005D4222" w:rsidRDefault="00E553AB" w:rsidP="00815361">
            <w:pPr>
              <w:pStyle w:val="ECDSBody"/>
              <w:ind w:left="288" w:hanging="288"/>
              <w:rPr>
                <w:kern w:val="24"/>
                <w:u w:val="single"/>
              </w:rPr>
            </w:pPr>
            <w:r w:rsidRPr="005D4222">
              <w:rPr>
                <w:kern w:val="24"/>
              </w:rPr>
              <w:t>1.</w:t>
            </w:r>
            <w:r w:rsidRPr="005D4222">
              <w:rPr>
                <w:kern w:val="24"/>
              </w:rPr>
              <w:tab/>
            </w:r>
            <w:r w:rsidRPr="005D4222">
              <w:rPr>
                <w:b/>
                <w:kern w:val="24"/>
              </w:rPr>
              <w:t>Frailty.</w:t>
            </w:r>
            <w:r w:rsidRPr="005D4222">
              <w:rPr>
                <w:kern w:val="24"/>
              </w:rPr>
              <w:t xml:space="preserve"> At least two indications of frailty (</w:t>
            </w:r>
            <w:r w:rsidRPr="005D4222">
              <w:rPr>
                <w:kern w:val="24"/>
                <w:u w:val="single"/>
              </w:rPr>
              <w:t>Frailty Device Value Set</w:t>
            </w:r>
            <w:r w:rsidRPr="005D4222">
              <w:rPr>
                <w:kern w:val="24"/>
              </w:rPr>
              <w:t xml:space="preserve">; </w:t>
            </w:r>
            <w:r w:rsidRPr="005D4222">
              <w:rPr>
                <w:kern w:val="24"/>
                <w:u w:val="single"/>
              </w:rPr>
              <w:t>Frailty Diagnosis Value Set</w:t>
            </w:r>
            <w:r w:rsidRPr="005D4222">
              <w:rPr>
                <w:kern w:val="24"/>
              </w:rPr>
              <w:t xml:space="preserve">*; </w:t>
            </w:r>
            <w:r w:rsidRPr="005D4222">
              <w:rPr>
                <w:kern w:val="24"/>
                <w:u w:val="single"/>
              </w:rPr>
              <w:t>Frailty Encounter Value Set</w:t>
            </w:r>
            <w:r w:rsidRPr="005D4222">
              <w:rPr>
                <w:kern w:val="24"/>
              </w:rPr>
              <w:t xml:space="preserve">; </w:t>
            </w:r>
            <w:r w:rsidRPr="005D4222">
              <w:rPr>
                <w:kern w:val="24"/>
                <w:u w:val="single"/>
              </w:rPr>
              <w:t>Frailty Symptom Value Set</w:t>
            </w:r>
            <w:r w:rsidRPr="005D4222">
              <w:rPr>
                <w:kern w:val="24"/>
              </w:rPr>
              <w:t>*) with different dates of service during the measurement period.</w:t>
            </w:r>
          </w:p>
          <w:p w14:paraId="0B95544A" w14:textId="77777777" w:rsidR="00E553AB" w:rsidRPr="005D4222" w:rsidRDefault="00E553AB" w:rsidP="00815361">
            <w:pPr>
              <w:pStyle w:val="ECDSBody"/>
              <w:ind w:left="288" w:hanging="288"/>
              <w:rPr>
                <w:kern w:val="24"/>
              </w:rPr>
            </w:pPr>
            <w:r w:rsidRPr="005D4222">
              <w:rPr>
                <w:kern w:val="24"/>
              </w:rPr>
              <w:t>2.</w:t>
            </w:r>
            <w:r w:rsidRPr="005D4222">
              <w:rPr>
                <w:kern w:val="24"/>
              </w:rPr>
              <w:tab/>
            </w:r>
            <w:r w:rsidRPr="005D4222">
              <w:rPr>
                <w:b/>
                <w:kern w:val="24"/>
              </w:rPr>
              <w:t>Advanced illness.</w:t>
            </w:r>
            <w:r w:rsidRPr="005D4222">
              <w:rPr>
                <w:kern w:val="24"/>
              </w:rPr>
              <w:t xml:space="preserve"> Either of the following during the measurement period or the year prior to the measurement period: </w:t>
            </w:r>
          </w:p>
          <w:p w14:paraId="7ACF425E" w14:textId="77777777" w:rsidR="00E553AB" w:rsidRPr="005D4222" w:rsidRDefault="00E553AB" w:rsidP="00815361">
            <w:pPr>
              <w:pStyle w:val="ProcessDash"/>
            </w:pPr>
            <w:r w:rsidRPr="005D4222">
              <w:t>Advanced illness (</w:t>
            </w:r>
            <w:r w:rsidRPr="005D4222">
              <w:rPr>
                <w:u w:val="single"/>
              </w:rPr>
              <w:t>Advanced Illness Value Set</w:t>
            </w:r>
            <w:r w:rsidRPr="005D4222">
              <w:t>*) on at least two different dates of service.</w:t>
            </w:r>
          </w:p>
          <w:p w14:paraId="7C3205C8" w14:textId="77777777" w:rsidR="00E553AB" w:rsidRPr="005D4222" w:rsidRDefault="00E553AB" w:rsidP="00815361">
            <w:pPr>
              <w:pStyle w:val="ProcessDash"/>
            </w:pPr>
            <w:r w:rsidRPr="005D4222">
              <w:t>Dispensed dementia medication (</w:t>
            </w:r>
            <w:r w:rsidRPr="005D4222">
              <w:rPr>
                <w:u w:val="single"/>
              </w:rPr>
              <w:t>Dementia Medications List</w:t>
            </w:r>
            <w:r w:rsidRPr="005D4222">
              <w:t>).</w:t>
            </w:r>
          </w:p>
          <w:p w14:paraId="2614D0C1" w14:textId="77777777" w:rsidR="00E553AB" w:rsidRPr="005D4222" w:rsidRDefault="00E553AB" w:rsidP="00815361">
            <w:pPr>
              <w:pStyle w:val="ECDSBody"/>
              <w:spacing w:after="0"/>
              <w:rPr>
                <w:rFonts w:eastAsia="Arial,Arial,Arial,Arial,Arial,A"/>
                <w:b/>
              </w:rPr>
            </w:pPr>
            <w:r w:rsidRPr="005D4222">
              <w:rPr>
                <w:rFonts w:eastAsia="Arial,Arial,Arial,Arial,Arial,A"/>
                <w:b/>
              </w:rPr>
              <w:t>Coding Guidance</w:t>
            </w:r>
          </w:p>
          <w:p w14:paraId="079942C6" w14:textId="77777777" w:rsidR="00E553AB" w:rsidRPr="005D4222" w:rsidRDefault="00E553AB" w:rsidP="00815361">
            <w:pPr>
              <w:pStyle w:val="ECDSBody"/>
              <w:spacing w:before="0"/>
              <w:rPr>
                <w:b/>
              </w:rPr>
            </w:pPr>
            <w:r w:rsidRPr="005D4222">
              <w:rPr>
                <w:rFonts w:eastAsia="Arial,Arial,Arial,Arial,Arial,A"/>
              </w:rPr>
              <w:t>*Do not include laboratory claims (claims with POS code 81).</w:t>
            </w:r>
          </w:p>
        </w:tc>
      </w:tr>
      <w:tr w:rsidR="00E553AB" w:rsidRPr="005D4222" w14:paraId="589B2403" w14:textId="77777777" w:rsidTr="00815361">
        <w:tc>
          <w:tcPr>
            <w:tcW w:w="197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0504972" w14:textId="77777777" w:rsidR="00E553AB" w:rsidRPr="005D4222" w:rsidRDefault="00E553AB" w:rsidP="00E553AB">
            <w:pPr>
              <w:pStyle w:val="ECDSMarginHead"/>
            </w:pPr>
            <w:r w:rsidRPr="005D4222">
              <w:t>Denominator</w:t>
            </w:r>
          </w:p>
        </w:tc>
        <w:tc>
          <w:tcPr>
            <w:tcW w:w="773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31E5575" w14:textId="77777777" w:rsidR="00E553AB" w:rsidRPr="005D4222" w:rsidRDefault="00E553AB" w:rsidP="00815361">
            <w:pPr>
              <w:pStyle w:val="Admin"/>
            </w:pPr>
            <w:r w:rsidRPr="005D4222">
              <w:t xml:space="preserve">ADMINISTRATIVE </w:t>
            </w:r>
          </w:p>
          <w:p w14:paraId="7DC1486F" w14:textId="77777777" w:rsidR="00E553AB" w:rsidRPr="005D4222" w:rsidRDefault="00E553AB" w:rsidP="00815361">
            <w:pPr>
              <w:pStyle w:val="ECDSBody"/>
              <w:rPr>
                <w:rFonts w:eastAsia="Arial,Arial,Arial,Arial,Arial,A"/>
              </w:rPr>
            </w:pPr>
            <w:r w:rsidRPr="005D4222">
              <w:rPr>
                <w:rFonts w:eastAsia="Arial,Arial,Arial,Arial,Arial,A"/>
              </w:rPr>
              <w:t>The initial population minus denominator exclusions.</w:t>
            </w:r>
          </w:p>
          <w:p w14:paraId="7B04CFD8" w14:textId="77777777" w:rsidR="00E553AB" w:rsidRPr="005D4222" w:rsidRDefault="00E553AB" w:rsidP="00815361">
            <w:pPr>
              <w:pStyle w:val="Admin"/>
            </w:pPr>
            <w:r w:rsidRPr="005D4222">
              <w:t xml:space="preserve">HYBRID </w:t>
            </w:r>
          </w:p>
          <w:p w14:paraId="02A685B0" w14:textId="77777777" w:rsidR="00E553AB" w:rsidRPr="005D4222" w:rsidRDefault="00E553AB" w:rsidP="00815361">
            <w:pPr>
              <w:pStyle w:val="ECDSBody"/>
            </w:pPr>
            <w:r w:rsidRPr="005D4222">
              <w:rPr>
                <w:rFonts w:eastAsia="Arial,Arial,Arial,Arial,Arial,A"/>
              </w:rPr>
              <w:t xml:space="preserve">A </w:t>
            </w:r>
            <w:r w:rsidRPr="005D4222">
              <w:t>systematic sample drawn from the administrative denominator.</w:t>
            </w:r>
          </w:p>
          <w:p w14:paraId="496359EC" w14:textId="77777777" w:rsidR="00E553AB" w:rsidRPr="005D4222" w:rsidRDefault="00E553AB" w:rsidP="00815361">
            <w:pPr>
              <w:pStyle w:val="ECDSBody"/>
            </w:pPr>
            <w:r w:rsidRPr="005D4222">
              <w:t>Organizations that use the Hybrid Method to report the Glycemic Status Assessment for Patients With Diabetes (GSD</w:t>
            </w:r>
            <w:r w:rsidRPr="005D4222" w:rsidDel="00731284">
              <w:t xml:space="preserve">) </w:t>
            </w:r>
            <w:r w:rsidRPr="005D4222">
              <w:t xml:space="preserve">and Blood Pressure Control for Patients With Diabetes (BPD) measures may use the same sample for both </w:t>
            </w:r>
            <w:r w:rsidRPr="005D4222" w:rsidDel="006B2A30">
              <w:t>measures</w:t>
            </w:r>
            <w:r w:rsidRPr="005D4222">
              <w:t>.</w:t>
            </w:r>
            <w:r w:rsidRPr="005D4222" w:rsidDel="00DD2C1F">
              <w:t xml:space="preserve"> </w:t>
            </w:r>
            <w:r w:rsidRPr="005D4222">
              <w:t>If the same sample is used for both measures, the organization must take the inverse of the Glycemic Status &gt;9.0% rate (100 minus the Glycemic Status &gt;9.0% rate) before reducing the sample.</w:t>
            </w:r>
            <w:r w:rsidRPr="005D4222" w:rsidDel="00703EAA">
              <w:t xml:space="preserve"> </w:t>
            </w:r>
          </w:p>
          <w:p w14:paraId="037D9A4B" w14:textId="77777777" w:rsidR="00E553AB" w:rsidRPr="005D4222" w:rsidRDefault="00E553AB" w:rsidP="00815361">
            <w:pPr>
              <w:pStyle w:val="ECDSBody"/>
            </w:pPr>
            <w:r w:rsidRPr="005D4222">
              <w:t xml:space="preserve">Organizations may reduce the sample size based on the current year’s administrative rate or the prior year’s audited, product line-specific rate for the lowest rate of all GSD indicators </w:t>
            </w:r>
            <w:r w:rsidRPr="005D4222" w:rsidDel="00336C7F">
              <w:t xml:space="preserve">and </w:t>
            </w:r>
            <w:r w:rsidRPr="005D4222">
              <w:t>the BPD measure.</w:t>
            </w:r>
          </w:p>
          <w:p w14:paraId="5CA59D94" w14:textId="7F58D0E5" w:rsidR="00E553AB" w:rsidRPr="005D4222" w:rsidRDefault="00E553AB" w:rsidP="00147273">
            <w:pPr>
              <w:pStyle w:val="ECDSBody"/>
              <w:rPr>
                <w:b/>
              </w:rPr>
            </w:pPr>
            <w:r w:rsidRPr="005D4222">
              <w:t>If separate samples are used for the GSD and BPD measures, organizations may reduce the sample based on the product line-specific current measurement year’s administrative rate or the prior year’s audited, product line-specific rate for the measure.</w:t>
            </w:r>
          </w:p>
        </w:tc>
      </w:tr>
    </w:tbl>
    <w:p w14:paraId="38AB18BD" w14:textId="77777777" w:rsidR="00147273" w:rsidRPr="005D4222" w:rsidRDefault="00147273">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1977"/>
        <w:gridCol w:w="7737"/>
      </w:tblGrid>
      <w:tr w:rsidR="00147273" w:rsidRPr="005D4222" w14:paraId="49D68E8B" w14:textId="77777777" w:rsidTr="00815361">
        <w:tc>
          <w:tcPr>
            <w:tcW w:w="197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DDA6022" w14:textId="77777777" w:rsidR="00147273" w:rsidRPr="005D4222" w:rsidRDefault="00147273" w:rsidP="00E553AB">
            <w:pPr>
              <w:pStyle w:val="ECDSMarginHead"/>
            </w:pPr>
          </w:p>
        </w:tc>
        <w:tc>
          <w:tcPr>
            <w:tcW w:w="773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DA6FA21" w14:textId="4B06F69F" w:rsidR="00147273" w:rsidRPr="005D4222" w:rsidRDefault="00147273" w:rsidP="00147273">
            <w:pPr>
              <w:pStyle w:val="ECDSBody"/>
            </w:pPr>
            <w:r w:rsidRPr="005D4222">
              <w:t xml:space="preserve">Refer to the </w:t>
            </w:r>
            <w:hyperlink w:anchor="Guidelines_for_Sampling" w:history="1">
              <w:r w:rsidRPr="005D4222">
                <w:rPr>
                  <w:rStyle w:val="Hyperlink"/>
                  <w:i/>
                  <w:iCs/>
                </w:rPr>
                <w:t>Guidelines for Calculations and Sampling</w:t>
              </w:r>
            </w:hyperlink>
            <w:r w:rsidRPr="005D4222">
              <w:t xml:space="preserve"> for information on reducing sample size.</w:t>
            </w:r>
          </w:p>
        </w:tc>
      </w:tr>
      <w:tr w:rsidR="00E553AB" w:rsidRPr="005D4222" w14:paraId="0A064A35" w14:textId="77777777" w:rsidTr="00815361">
        <w:tc>
          <w:tcPr>
            <w:tcW w:w="1977"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52C15A7C" w14:textId="77777777" w:rsidR="00E553AB" w:rsidRPr="005D4222" w:rsidRDefault="00E553AB" w:rsidP="00E553AB">
            <w:pPr>
              <w:pStyle w:val="ECDSMarginHead"/>
            </w:pPr>
            <w:r w:rsidRPr="005D4222">
              <w:t>Numerator</w:t>
            </w:r>
          </w:p>
        </w:tc>
        <w:tc>
          <w:tcPr>
            <w:tcW w:w="7737" w:type="dxa"/>
            <w:tcBorders>
              <w:top w:val="single" w:sz="4" w:space="0" w:color="auto"/>
              <w:left w:val="single" w:sz="4" w:space="0" w:color="auto"/>
              <w:right w:val="single" w:sz="4" w:space="0" w:color="auto"/>
            </w:tcBorders>
            <w:tcMar>
              <w:top w:w="0" w:type="dxa"/>
              <w:left w:w="86" w:type="dxa"/>
              <w:bottom w:w="43" w:type="dxa"/>
              <w:right w:w="86" w:type="dxa"/>
            </w:tcMar>
          </w:tcPr>
          <w:p w14:paraId="5EB92741" w14:textId="77777777" w:rsidR="00E553AB" w:rsidRPr="005D4222" w:rsidRDefault="00E553AB" w:rsidP="00147273">
            <w:pPr>
              <w:pStyle w:val="Admin"/>
            </w:pPr>
            <w:r w:rsidRPr="005D4222">
              <w:t>ADMINISTRATIVE</w:t>
            </w:r>
          </w:p>
          <w:p w14:paraId="0023CB26" w14:textId="77777777" w:rsidR="00E553AB" w:rsidRPr="005D4222" w:rsidRDefault="00E553AB" w:rsidP="00147273">
            <w:pPr>
              <w:pStyle w:val="ECDSBody"/>
            </w:pPr>
            <w:r w:rsidRPr="005D4222">
              <w:rPr>
                <w:rFonts w:eastAsia="Arial,Arial,Arial,Arial,Arial,A"/>
                <w:b/>
              </w:rPr>
              <w:t xml:space="preserve">Both a systolic and diastolic reading &lt;140/90 mm Hg. </w:t>
            </w:r>
            <w:r w:rsidRPr="005D4222">
              <w:rPr>
                <w:rFonts w:eastAsia="Arial,Arial,Arial,Arial,Arial,A"/>
              </w:rPr>
              <w:br/>
            </w:r>
            <w:r w:rsidRPr="005D4222">
              <w:t>Identify the most recent BP reading (</w:t>
            </w:r>
            <w:r w:rsidRPr="005D4222">
              <w:rPr>
                <w:u w:val="single"/>
              </w:rPr>
              <w:t>Systolic Blood Pressure Value Set</w:t>
            </w:r>
            <w:r w:rsidRPr="005D4222">
              <w:t xml:space="preserve">; </w:t>
            </w:r>
            <w:r w:rsidRPr="005D4222">
              <w:rPr>
                <w:u w:val="single"/>
              </w:rPr>
              <w:t>Diastolic Blood Pressure Value Set</w:t>
            </w:r>
            <w:r w:rsidRPr="005D4222">
              <w:t>)</w:t>
            </w:r>
            <w:r w:rsidRPr="005D4222">
              <w:rPr>
                <w:rFonts w:ascii="Arial Narrow" w:eastAsia="Arial Narrow" w:hAnsi="Arial Narrow" w:cs="Arial Narrow"/>
                <w:sz w:val="24"/>
                <w:szCs w:val="24"/>
              </w:rPr>
              <w:t xml:space="preserve"> </w:t>
            </w:r>
            <w:r w:rsidRPr="005D4222">
              <w:t>taken during the measurement period. Do not include CPT Category II codes (</w:t>
            </w:r>
            <w:r w:rsidRPr="005D4222">
              <w:rPr>
                <w:u w:val="single"/>
              </w:rPr>
              <w:t>Systolic and Diastolic Result Value Set</w:t>
            </w:r>
            <w:r w:rsidRPr="005D4222">
              <w:t>) with a modifier (</w:t>
            </w:r>
            <w:r w:rsidRPr="005D4222">
              <w:rPr>
                <w:u w:val="single"/>
              </w:rPr>
              <w:t>CPT CAT II Modifier Value Set</w:t>
            </w:r>
            <w:r w:rsidRPr="005D4222">
              <w:t>). Do not include BPs taken in an acute inpatient setting (</w:t>
            </w:r>
            <w:r w:rsidRPr="005D4222">
              <w:rPr>
                <w:u w:val="single"/>
              </w:rPr>
              <w:t>Acute Inpatient Value Set</w:t>
            </w:r>
            <w:r w:rsidRPr="005D4222">
              <w:t xml:space="preserve">; </w:t>
            </w:r>
            <w:r w:rsidRPr="005D4222">
              <w:rPr>
                <w:u w:val="single"/>
              </w:rPr>
              <w:t>Acute Inpatient POS Value Set</w:t>
            </w:r>
            <w:r w:rsidRPr="005D4222">
              <w:t>) or during an ED visit (</w:t>
            </w:r>
            <w:r w:rsidRPr="005D4222">
              <w:rPr>
                <w:u w:val="single"/>
              </w:rPr>
              <w:t>ED Value Set</w:t>
            </w:r>
            <w:r w:rsidRPr="005D4222">
              <w:t>; POS code 23).</w:t>
            </w:r>
          </w:p>
          <w:p w14:paraId="78351ECF" w14:textId="77777777" w:rsidR="00E553AB" w:rsidRPr="005D4222" w:rsidRDefault="00E553AB" w:rsidP="00147273">
            <w:pPr>
              <w:pStyle w:val="Bullet"/>
            </w:pPr>
            <w:r w:rsidRPr="005D4222">
              <w:rPr>
                <w:i/>
                <w:iCs/>
              </w:rPr>
              <w:t>Compliant</w:t>
            </w:r>
            <w:r w:rsidRPr="005D4222">
              <w:t>: BP is &lt;140/90 mm Hg.</w:t>
            </w:r>
          </w:p>
          <w:p w14:paraId="28EBD946" w14:textId="77777777" w:rsidR="00E553AB" w:rsidRPr="005D4222" w:rsidRDefault="00E553AB" w:rsidP="00147273">
            <w:pPr>
              <w:pStyle w:val="Bullet"/>
            </w:pPr>
            <w:r w:rsidRPr="005D4222">
              <w:rPr>
                <w:i/>
                <w:iCs/>
              </w:rPr>
              <w:t>Non-compliant</w:t>
            </w:r>
            <w:r w:rsidRPr="005D4222">
              <w:t xml:space="preserve">: BP is </w:t>
            </w:r>
            <w:r w:rsidRPr="005D4222">
              <w:rPr>
                <w:rFonts w:cs="Arial"/>
              </w:rPr>
              <w:t>≥</w:t>
            </w:r>
            <w:r w:rsidRPr="005D4222">
              <w:t>140/90 mm Hg; no BP reading during the measurement period; or if the reading is incomplete (e.g., the systolic or diastolic level is missing).</w:t>
            </w:r>
          </w:p>
          <w:p w14:paraId="7AFB0DD8" w14:textId="77777777" w:rsidR="00E553AB" w:rsidRPr="005D4222" w:rsidRDefault="00E553AB" w:rsidP="00147273">
            <w:pPr>
              <w:pStyle w:val="ECDSBody"/>
            </w:pPr>
            <w:r w:rsidRPr="005D4222">
              <w:t xml:space="preserve">If there are multiple BPs on the same date of service, use the lowest systolic and lowest diastolic BP on that date as the representative BP. </w:t>
            </w:r>
          </w:p>
          <w:p w14:paraId="0C4F193F" w14:textId="77777777" w:rsidR="00E553AB" w:rsidRPr="005D4222" w:rsidRDefault="00E553AB" w:rsidP="00147273">
            <w:pPr>
              <w:pStyle w:val="ECDSBody"/>
            </w:pPr>
            <w:r w:rsidRPr="005D4222">
              <w:t>If the most recent BP was identified based on a CPT Category II code (</w:t>
            </w:r>
            <w:r w:rsidRPr="005D4222">
              <w:rPr>
                <w:u w:val="single"/>
              </w:rPr>
              <w:t>Systolic and Diastolic Result Value Set</w:t>
            </w:r>
            <w:r w:rsidRPr="005D4222">
              <w:t>), use the following to determine compliance:</w:t>
            </w:r>
          </w:p>
          <w:p w14:paraId="51885071" w14:textId="77777777" w:rsidR="00E553AB" w:rsidRPr="005D4222" w:rsidRDefault="00E553AB" w:rsidP="00147273">
            <w:pPr>
              <w:pStyle w:val="Bullet"/>
            </w:pPr>
            <w:r w:rsidRPr="005D4222">
              <w:rPr>
                <w:i/>
                <w:iCs/>
              </w:rPr>
              <w:t>Systolic Compliant</w:t>
            </w:r>
            <w:r w:rsidRPr="005D4222">
              <w:t xml:space="preserve">: </w:t>
            </w:r>
            <w:r w:rsidRPr="005D4222">
              <w:rPr>
                <w:u w:val="single"/>
              </w:rPr>
              <w:t>Systolic Less Than 140 Value Set</w:t>
            </w:r>
            <w:r w:rsidRPr="005D4222">
              <w:t>.</w:t>
            </w:r>
          </w:p>
          <w:p w14:paraId="7582CE9F" w14:textId="77777777" w:rsidR="00E553AB" w:rsidRPr="005D4222" w:rsidRDefault="00E553AB" w:rsidP="00147273">
            <w:pPr>
              <w:pStyle w:val="Bullet"/>
            </w:pPr>
            <w:r w:rsidRPr="005D4222">
              <w:rPr>
                <w:i/>
                <w:iCs/>
              </w:rPr>
              <w:t>Systolic Not Compliant</w:t>
            </w:r>
            <w:r w:rsidRPr="005D4222">
              <w:t>: CPT-CAT-II code 3077F.</w:t>
            </w:r>
          </w:p>
          <w:p w14:paraId="363DA638" w14:textId="77777777" w:rsidR="00E553AB" w:rsidRPr="005D4222" w:rsidRDefault="00E553AB" w:rsidP="00147273">
            <w:pPr>
              <w:pStyle w:val="Bullet"/>
            </w:pPr>
            <w:r w:rsidRPr="005D4222">
              <w:rPr>
                <w:i/>
                <w:iCs/>
              </w:rPr>
              <w:t>Diastolic Compliant</w:t>
            </w:r>
            <w:r w:rsidRPr="005D4222">
              <w:t xml:space="preserve">: </w:t>
            </w:r>
            <w:r w:rsidRPr="005D4222">
              <w:rPr>
                <w:u w:val="single"/>
              </w:rPr>
              <w:t>Diastolic Less Than 90 Value Set</w:t>
            </w:r>
            <w:r w:rsidRPr="005D4222">
              <w:t>.</w:t>
            </w:r>
          </w:p>
          <w:p w14:paraId="761E80F1" w14:textId="77777777" w:rsidR="00E553AB" w:rsidRPr="005D4222" w:rsidRDefault="00E553AB" w:rsidP="00147273">
            <w:pPr>
              <w:pStyle w:val="Bullet"/>
            </w:pPr>
            <w:r w:rsidRPr="005D4222">
              <w:rPr>
                <w:i/>
                <w:iCs/>
              </w:rPr>
              <w:t>Diastolic Not Compliant</w:t>
            </w:r>
            <w:r w:rsidRPr="005D4222">
              <w:t>: CPT-CAT-II code 3080F.</w:t>
            </w:r>
          </w:p>
          <w:p w14:paraId="0B458C26" w14:textId="77777777" w:rsidR="00E553AB" w:rsidRPr="005D4222" w:rsidRDefault="00E553AB" w:rsidP="00147273">
            <w:pPr>
              <w:pStyle w:val="Admin"/>
            </w:pPr>
            <w:r w:rsidRPr="005D4222">
              <w:t xml:space="preserve">HYBRID </w:t>
            </w:r>
          </w:p>
          <w:p w14:paraId="061E452E" w14:textId="77777777" w:rsidR="00E553AB" w:rsidRPr="005D4222" w:rsidRDefault="00E553AB" w:rsidP="00147273">
            <w:pPr>
              <w:pStyle w:val="ECDSBody"/>
            </w:pPr>
            <w:r w:rsidRPr="005D4222">
              <w:rPr>
                <w:i/>
              </w:rPr>
              <w:t xml:space="preserve">Administrative: </w:t>
            </w:r>
            <w:r w:rsidRPr="005D4222">
              <w:t>Refer to administrative specifications to identify positive numerator hits from administrative data.</w:t>
            </w:r>
          </w:p>
          <w:p w14:paraId="5250B21A" w14:textId="769D336D" w:rsidR="00E553AB" w:rsidRPr="005D4222" w:rsidRDefault="00E553AB" w:rsidP="00147273">
            <w:pPr>
              <w:pStyle w:val="ECDSBody"/>
              <w:rPr>
                <w:i/>
              </w:rPr>
            </w:pPr>
            <w:r w:rsidRPr="005D4222">
              <w:rPr>
                <w:rFonts w:eastAsia="Arial"/>
                <w:b/>
              </w:rPr>
              <w:t>Both a systolic and diastolic reading &lt;140/90 mm Hg.</w:t>
            </w:r>
            <w:r w:rsidRPr="005D4222">
              <w:br/>
              <w:t>The most recent BP level (taken during the measurement period) is &lt;140/90 mm Hg as documented through administrative data or medical record review.</w:t>
            </w:r>
          </w:p>
          <w:p w14:paraId="7CCD78B7" w14:textId="77777777" w:rsidR="00E553AB" w:rsidRPr="005D4222" w:rsidRDefault="00E553AB" w:rsidP="00147273">
            <w:pPr>
              <w:pStyle w:val="ECDSBody"/>
            </w:pPr>
            <w:r w:rsidRPr="005D4222">
              <w:rPr>
                <w:i/>
              </w:rPr>
              <w:t>Medical record:</w:t>
            </w:r>
            <w:r w:rsidRPr="005D4222">
              <w:t xml:space="preserve"> Organizations that use the same sample for the GSD and BPD measures may use the medical record from which it abstracts data for the GSD and BP</w:t>
            </w:r>
            <w:r w:rsidRPr="005D4222" w:rsidDel="007D749B">
              <w:t>D</w:t>
            </w:r>
            <w:r w:rsidRPr="005D4222">
              <w:t xml:space="preserve"> measures. If the organization uses separate samples for the GSD and BPD measures, it should use the medical record of the provider that manages the person’s diabetes. If that medical record does not contain a BP, the organization may use the medical record of another PCP or specialist from whom the person receives care.</w:t>
            </w:r>
          </w:p>
          <w:p w14:paraId="719D0C8C" w14:textId="77777777" w:rsidR="00E553AB" w:rsidRPr="005D4222" w:rsidRDefault="00E553AB" w:rsidP="00147273">
            <w:pPr>
              <w:pStyle w:val="ECDSBody"/>
            </w:pPr>
            <w:r w:rsidRPr="005D4222">
              <w:t xml:space="preserve">Identify the most recent BP reading noted during the measurement period. </w:t>
            </w:r>
          </w:p>
          <w:p w14:paraId="30F751AB" w14:textId="77777777" w:rsidR="00E553AB" w:rsidRPr="005D4222" w:rsidRDefault="00E553AB" w:rsidP="00147273">
            <w:pPr>
              <w:pStyle w:val="ECDSBody"/>
            </w:pPr>
            <w:r w:rsidRPr="005D4222">
              <w:t>Do not include BP readings:</w:t>
            </w:r>
          </w:p>
          <w:p w14:paraId="1B04DBE0" w14:textId="77777777" w:rsidR="00E553AB" w:rsidRPr="005D4222" w:rsidRDefault="00E553AB" w:rsidP="00147273">
            <w:pPr>
              <w:pStyle w:val="Bullet"/>
              <w:rPr>
                <w:rFonts w:eastAsia="Arial,Arial,Arial,Arial,Arial,A"/>
                <w:color w:val="000000" w:themeColor="text1"/>
              </w:rPr>
            </w:pPr>
            <w:r w:rsidRPr="005D4222">
              <w:t>Taken during an acute inpatient stay or an ED visit.</w:t>
            </w:r>
          </w:p>
          <w:p w14:paraId="2473D02E" w14:textId="77777777" w:rsidR="00E553AB" w:rsidRPr="005D4222" w:rsidRDefault="00E553AB" w:rsidP="00147273">
            <w:pPr>
              <w:pStyle w:val="Bullet"/>
              <w:spacing w:after="80"/>
              <w:rPr>
                <w:rFonts w:eastAsia="Arial,Arial,Arial,Arial,Arial,A"/>
                <w:color w:val="000000" w:themeColor="text1"/>
              </w:rPr>
            </w:pPr>
            <w:r w:rsidRPr="005D4222">
              <w:t>Taken on the same day as a diagnostic test or diagnostic or therapeutic procedure that requires a change in diet or change in medication on or one day before the day of the test or procedure, with the exception of fasting blood tests.</w:t>
            </w:r>
          </w:p>
        </w:tc>
      </w:tr>
      <w:tr w:rsidR="00E553AB" w:rsidRPr="005D4222" w14:paraId="07023635" w14:textId="77777777" w:rsidTr="00815361">
        <w:tc>
          <w:tcPr>
            <w:tcW w:w="1977"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2E599066" w14:textId="77777777" w:rsidR="00E553AB" w:rsidRPr="005D4222" w:rsidRDefault="00E553AB" w:rsidP="00E553AB">
            <w:pPr>
              <w:pStyle w:val="ECDSMarginHead"/>
            </w:pPr>
          </w:p>
        </w:tc>
        <w:tc>
          <w:tcPr>
            <w:tcW w:w="7737" w:type="dxa"/>
            <w:tcBorders>
              <w:top w:val="single" w:sz="4" w:space="0" w:color="auto"/>
              <w:left w:val="single" w:sz="4" w:space="0" w:color="auto"/>
              <w:right w:val="single" w:sz="4" w:space="0" w:color="auto"/>
            </w:tcBorders>
            <w:tcMar>
              <w:top w:w="0" w:type="dxa"/>
              <w:left w:w="86" w:type="dxa"/>
              <w:bottom w:w="43" w:type="dxa"/>
              <w:right w:w="86" w:type="dxa"/>
            </w:tcMar>
          </w:tcPr>
          <w:p w14:paraId="3D0554EC" w14:textId="77777777" w:rsidR="00E553AB" w:rsidRPr="005D4222" w:rsidRDefault="00E553AB" w:rsidP="00147273">
            <w:pPr>
              <w:pStyle w:val="Bullet"/>
              <w:spacing w:before="120"/>
              <w:rPr>
                <w:rFonts w:eastAsia="Arial,Arial,Arial,Arial,Arial,A"/>
                <w:color w:val="000000" w:themeColor="text1"/>
                <w:szCs w:val="21"/>
              </w:rPr>
            </w:pPr>
            <w:r w:rsidRPr="005D4222">
              <w:t>Taken by the person using a non-digital device such as with a manual blood pressure cuff and a stethoscope.</w:t>
            </w:r>
          </w:p>
          <w:p w14:paraId="1097C099" w14:textId="77777777" w:rsidR="00E553AB" w:rsidRPr="005D4222" w:rsidRDefault="00E553AB" w:rsidP="00147273">
            <w:pPr>
              <w:pStyle w:val="ECDSBody"/>
            </w:pPr>
            <w:r w:rsidRPr="005D4222">
              <w:t>Identify the lowest systolic and lowest diastolic BP reading from the most recent BP notation in the medical record. If multiple readings were recorded for a single date, use the lowest systolic and lowest diastolic BP on that date as the representative BP. The systolic and diastolic results do not need to be from the same reading.</w:t>
            </w:r>
          </w:p>
          <w:p w14:paraId="28C45F69" w14:textId="77777777" w:rsidR="00E553AB" w:rsidRPr="005D4222" w:rsidRDefault="00E553AB" w:rsidP="00147273">
            <w:pPr>
              <w:pStyle w:val="ECDSBody"/>
            </w:pPr>
            <w:r w:rsidRPr="005D4222">
              <w:t xml:space="preserve">BP readings taken by the person and documented in the medical record are eligible for use in reporting (provided the BP does not meet any exclusion criteria). There is no requirement that there be evidence the BP was collected by a PCP or specialist. </w:t>
            </w:r>
          </w:p>
          <w:p w14:paraId="108D10F8" w14:textId="77777777" w:rsidR="00E553AB" w:rsidRPr="005D4222" w:rsidRDefault="00E553AB" w:rsidP="00147273">
            <w:pPr>
              <w:pStyle w:val="ECDSBody"/>
            </w:pPr>
            <w:r w:rsidRPr="005D4222">
              <w:t>The person is not compliant if the BP reading is ≥140/90 mm Hg or is missing, if there is no BP reading during the measurement period or if the reading is incomplete (i.e.,</w:t>
            </w:r>
            <w:r w:rsidRPr="005D4222" w:rsidDel="00842C7A">
              <w:t xml:space="preserve"> </w:t>
            </w:r>
            <w:r w:rsidRPr="005D4222">
              <w:t>the systolic or diastolic level is missing). “Unknown” is not considered a result/finding.</w:t>
            </w:r>
          </w:p>
          <w:p w14:paraId="0ED0BB0F" w14:textId="77777777" w:rsidR="00E553AB" w:rsidRPr="005D4222" w:rsidRDefault="00E553AB" w:rsidP="00147273">
            <w:pPr>
              <w:pStyle w:val="ECDSBody"/>
            </w:pPr>
            <w:r w:rsidRPr="005D4222">
              <w:t>Ranges and thresholds do not meet criteria for this measure. A distinct numeric result for both the systolic and diastolic BP reading is required for numerator compliance. A BP documented as an “average BP” (e.g., “average BP: 139/70”) is eligible for use.</w:t>
            </w:r>
          </w:p>
          <w:p w14:paraId="78A4F46E" w14:textId="77777777" w:rsidR="00E553AB" w:rsidRPr="005D4222" w:rsidRDefault="00E553AB" w:rsidP="00147273">
            <w:pPr>
              <w:pStyle w:val="Note"/>
              <w:rPr>
                <w:b/>
                <w:bCs/>
              </w:rPr>
            </w:pPr>
            <w:r w:rsidRPr="005D4222">
              <w:rPr>
                <w:b/>
                <w:bCs/>
              </w:rPr>
              <w:t xml:space="preserve">Note </w:t>
            </w:r>
          </w:p>
          <w:p w14:paraId="6B4212D3" w14:textId="77777777" w:rsidR="00E553AB" w:rsidRPr="005D4222" w:rsidRDefault="00E553AB" w:rsidP="00147273">
            <w:pPr>
              <w:pStyle w:val="ProcessBullet"/>
              <w:rPr>
                <w:i/>
                <w:iCs/>
                <w:sz w:val="20"/>
                <w:szCs w:val="20"/>
              </w:rPr>
            </w:pPr>
            <w:r w:rsidRPr="005D4222">
              <w:rPr>
                <w:i/>
                <w:iCs/>
                <w:sz w:val="20"/>
                <w:szCs w:val="20"/>
              </w:rPr>
              <w:t>When excluding BP readings from the numerator, the intent is to identify diagnostic or therapeutic procedures that require a medication regimen, a change in diet or a change in medication. For example (this list is for reference only and is not exhaustive):</w:t>
            </w:r>
          </w:p>
          <w:p w14:paraId="60D91406" w14:textId="77777777" w:rsidR="00E553AB" w:rsidRPr="005D4222" w:rsidRDefault="00E553AB" w:rsidP="00147273">
            <w:pPr>
              <w:pStyle w:val="ProcessDash"/>
              <w:rPr>
                <w:i/>
                <w:iCs/>
                <w:sz w:val="20"/>
              </w:rPr>
            </w:pPr>
            <w:r w:rsidRPr="005D4222">
              <w:rPr>
                <w:i/>
                <w:iCs/>
                <w:sz w:val="20"/>
              </w:rPr>
              <w:t>A colonoscopy requires a change in diet (</w:t>
            </w:r>
            <w:r w:rsidRPr="005D4222" w:rsidDel="00FD2527">
              <w:rPr>
                <w:i/>
                <w:iCs/>
                <w:sz w:val="20"/>
              </w:rPr>
              <w:t>NPO</w:t>
            </w:r>
            <w:r w:rsidRPr="005D4222">
              <w:rPr>
                <w:i/>
                <w:iCs/>
                <w:sz w:val="20"/>
              </w:rPr>
              <w:t xml:space="preserve"> on the day of procedure) and a medication change (a medication is taken to prep the colon). </w:t>
            </w:r>
          </w:p>
          <w:p w14:paraId="02E20F43" w14:textId="77777777" w:rsidR="00E553AB" w:rsidRPr="005D4222" w:rsidRDefault="00E553AB" w:rsidP="00147273">
            <w:pPr>
              <w:pStyle w:val="ProcessDash"/>
              <w:rPr>
                <w:i/>
                <w:iCs/>
                <w:sz w:val="20"/>
              </w:rPr>
            </w:pPr>
            <w:r w:rsidRPr="005D4222">
              <w:rPr>
                <w:i/>
                <w:iCs/>
                <w:sz w:val="20"/>
              </w:rPr>
              <w:t xml:space="preserve">Dialysis, infusions and chemotherapy (including oral chemotherapy) are all therapeutic procedures that require a medication regimen. </w:t>
            </w:r>
          </w:p>
          <w:p w14:paraId="35703217" w14:textId="77777777" w:rsidR="00E553AB" w:rsidRPr="005D4222" w:rsidRDefault="00E553AB" w:rsidP="00147273">
            <w:pPr>
              <w:pStyle w:val="ProcessDash"/>
              <w:rPr>
                <w:i/>
                <w:iCs/>
                <w:sz w:val="20"/>
              </w:rPr>
            </w:pPr>
            <w:r w:rsidRPr="005D4222">
              <w:rPr>
                <w:i/>
                <w:iCs/>
                <w:sz w:val="20"/>
              </w:rPr>
              <w:t>A nebulizer treatment with albuterol is considered a therapeutic procedure that requires a medication regimen (</w:t>
            </w:r>
            <w:r w:rsidRPr="005D4222" w:rsidDel="00494EDB">
              <w:rPr>
                <w:i/>
                <w:iCs/>
                <w:sz w:val="20"/>
              </w:rPr>
              <w:t xml:space="preserve">the </w:t>
            </w:r>
            <w:r w:rsidRPr="005D4222">
              <w:rPr>
                <w:i/>
                <w:iCs/>
                <w:sz w:val="20"/>
              </w:rPr>
              <w:t xml:space="preserve">albuterol). </w:t>
            </w:r>
          </w:p>
          <w:p w14:paraId="2C3E7167" w14:textId="77777777" w:rsidR="00E553AB" w:rsidRPr="005D4222" w:rsidRDefault="00E553AB" w:rsidP="00147273">
            <w:pPr>
              <w:pStyle w:val="ProcessDash"/>
              <w:rPr>
                <w:i/>
                <w:iCs/>
                <w:sz w:val="20"/>
              </w:rPr>
            </w:pPr>
            <w:r w:rsidRPr="005D4222">
              <w:rPr>
                <w:i/>
                <w:iCs/>
                <w:sz w:val="20"/>
              </w:rPr>
              <w:t>A patient forgetting to take regular medications on the day of the procedure is not considered a required change in medication, and therefore the BP reading is eligible.</w:t>
            </w:r>
          </w:p>
          <w:p w14:paraId="72914D1D" w14:textId="77777777" w:rsidR="00E553AB" w:rsidRPr="005D4222" w:rsidRDefault="00E553AB" w:rsidP="00147273">
            <w:pPr>
              <w:pStyle w:val="ProcessBullet"/>
              <w:rPr>
                <w:i/>
                <w:iCs/>
                <w:sz w:val="20"/>
                <w:szCs w:val="20"/>
              </w:rPr>
            </w:pPr>
            <w:r w:rsidRPr="005D4222">
              <w:rPr>
                <w:i/>
                <w:iCs/>
                <w:sz w:val="20"/>
                <w:szCs w:val="20"/>
              </w:rPr>
              <w:t>BP readings taken on the same day that the patient receives a common low-intensity or preventive procedure are eligible for use. For example, the following procedures are considered common low-intensity or preventive procedures (this list is for reference only and is not exhaustive):</w:t>
            </w:r>
          </w:p>
          <w:p w14:paraId="4B48436D" w14:textId="77777777" w:rsidR="00E553AB" w:rsidRPr="005D4222" w:rsidRDefault="00E553AB" w:rsidP="00147273">
            <w:pPr>
              <w:pStyle w:val="ProcessDash"/>
              <w:rPr>
                <w:i/>
                <w:iCs/>
                <w:sz w:val="20"/>
              </w:rPr>
            </w:pPr>
            <w:r w:rsidRPr="005D4222">
              <w:rPr>
                <w:i/>
                <w:iCs/>
                <w:sz w:val="20"/>
              </w:rPr>
              <w:t>Vaccinations.</w:t>
            </w:r>
          </w:p>
          <w:p w14:paraId="2E4F8A09" w14:textId="77777777" w:rsidR="00E553AB" w:rsidRPr="005D4222" w:rsidRDefault="00E553AB" w:rsidP="00147273">
            <w:pPr>
              <w:pStyle w:val="ProcessDash"/>
              <w:rPr>
                <w:i/>
                <w:iCs/>
                <w:sz w:val="20"/>
              </w:rPr>
            </w:pPr>
            <w:r w:rsidRPr="005D4222">
              <w:rPr>
                <w:i/>
                <w:iCs/>
                <w:sz w:val="20"/>
              </w:rPr>
              <w:t>Injections (e.g., allergy, vitamin B-12, insulin, steroid, Toradol, Depo-Provera, testosterone, lidocaine).</w:t>
            </w:r>
          </w:p>
          <w:p w14:paraId="3C6F4227" w14:textId="77777777" w:rsidR="00E553AB" w:rsidRPr="005D4222" w:rsidRDefault="00E553AB" w:rsidP="00147273">
            <w:pPr>
              <w:pStyle w:val="ProcessDash"/>
              <w:rPr>
                <w:i/>
                <w:iCs/>
                <w:sz w:val="20"/>
              </w:rPr>
            </w:pPr>
            <w:r w:rsidRPr="005D4222">
              <w:rPr>
                <w:i/>
                <w:iCs/>
                <w:sz w:val="20"/>
              </w:rPr>
              <w:t>TB test.</w:t>
            </w:r>
          </w:p>
          <w:p w14:paraId="1349A591" w14:textId="77777777" w:rsidR="00E553AB" w:rsidRPr="005D4222" w:rsidRDefault="00E553AB" w:rsidP="00147273">
            <w:pPr>
              <w:pStyle w:val="ProcessDash"/>
              <w:rPr>
                <w:i/>
                <w:iCs/>
                <w:sz w:val="20"/>
              </w:rPr>
            </w:pPr>
            <w:r w:rsidRPr="005D4222">
              <w:rPr>
                <w:i/>
                <w:iCs/>
                <w:sz w:val="20"/>
              </w:rPr>
              <w:t>IUD insertion.</w:t>
            </w:r>
          </w:p>
          <w:p w14:paraId="0B616586" w14:textId="77777777" w:rsidR="00E553AB" w:rsidRPr="005D4222" w:rsidRDefault="00E553AB" w:rsidP="00147273">
            <w:pPr>
              <w:pStyle w:val="ProcessDash"/>
              <w:rPr>
                <w:i/>
                <w:iCs/>
                <w:sz w:val="20"/>
              </w:rPr>
            </w:pPr>
            <w:r w:rsidRPr="005D4222">
              <w:rPr>
                <w:i/>
                <w:iCs/>
                <w:sz w:val="20"/>
              </w:rPr>
              <w:t>Eye exam with dilating agents.</w:t>
            </w:r>
          </w:p>
          <w:p w14:paraId="328081D9" w14:textId="77777777" w:rsidR="00E553AB" w:rsidRPr="005D4222" w:rsidRDefault="00E553AB" w:rsidP="00147273">
            <w:pPr>
              <w:pStyle w:val="ProcessDash"/>
              <w:spacing w:after="80"/>
              <w:rPr>
                <w:rFonts w:eastAsia="Arial,Arial,Arial,Arial,Arial,A"/>
                <w:color w:val="000000" w:themeColor="text1"/>
                <w:szCs w:val="21"/>
              </w:rPr>
            </w:pPr>
            <w:r w:rsidRPr="005D4222">
              <w:rPr>
                <w:i/>
                <w:iCs/>
                <w:sz w:val="20"/>
              </w:rPr>
              <w:t>Wart or mole removal.</w:t>
            </w:r>
          </w:p>
        </w:tc>
      </w:tr>
      <w:tr w:rsidR="00E553AB" w:rsidRPr="005D4222" w14:paraId="05D7E729" w14:textId="77777777" w:rsidTr="00815361">
        <w:tc>
          <w:tcPr>
            <w:tcW w:w="197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AE63098" w14:textId="77777777" w:rsidR="00E553AB" w:rsidRPr="005D4222" w:rsidRDefault="00E553AB" w:rsidP="00E553AB">
            <w:pPr>
              <w:pStyle w:val="ECDSMarginHead"/>
            </w:pPr>
            <w:r w:rsidRPr="005D4222">
              <w:t>Summary of changes</w:t>
            </w:r>
          </w:p>
        </w:tc>
        <w:tc>
          <w:tcPr>
            <w:tcW w:w="773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BE330E6" w14:textId="77777777" w:rsidR="00E553AB" w:rsidRPr="005D4222" w:rsidRDefault="00E553AB" w:rsidP="00147273">
            <w:pPr>
              <w:pStyle w:val="ProcessBullet"/>
              <w:spacing w:before="120"/>
            </w:pPr>
            <w:r w:rsidRPr="005D4222">
              <w:t xml:space="preserve">No changes to this measure. </w:t>
            </w:r>
          </w:p>
        </w:tc>
      </w:tr>
      <w:tr w:rsidR="00E553AB" w:rsidRPr="005D4222" w14:paraId="0B21CFCA" w14:textId="77777777" w:rsidTr="00815361">
        <w:trPr>
          <w:trHeight w:val="45"/>
        </w:trPr>
        <w:tc>
          <w:tcPr>
            <w:tcW w:w="197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6CBD042" w14:textId="77777777" w:rsidR="00E553AB" w:rsidRPr="005D4222" w:rsidRDefault="00E553AB" w:rsidP="00E553AB">
            <w:pPr>
              <w:pStyle w:val="ECDSMarginHead"/>
            </w:pPr>
            <w:r w:rsidRPr="005D4222">
              <w:lastRenderedPageBreak/>
              <w:t>Data element tables</w:t>
            </w:r>
          </w:p>
        </w:tc>
        <w:tc>
          <w:tcPr>
            <w:tcW w:w="773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4014EF1" w14:textId="77777777" w:rsidR="00E553AB" w:rsidRPr="005D4222" w:rsidRDefault="00E553AB" w:rsidP="00147273">
            <w:pPr>
              <w:pStyle w:val="ECDSBody"/>
            </w:pPr>
            <w:r w:rsidRPr="005D4222">
              <w:t>Organizations that submit HEDIS data to NCQA must provide the following data elements.</w:t>
            </w:r>
          </w:p>
          <w:p w14:paraId="113E3AA9" w14:textId="77777777" w:rsidR="00E553AB" w:rsidRPr="005D4222" w:rsidRDefault="00E553AB" w:rsidP="00147273">
            <w:pPr>
              <w:pStyle w:val="Heading3"/>
              <w:spacing w:before="120"/>
            </w:pPr>
            <w:r w:rsidRPr="005D4222">
              <w:t>Table BPD-1/2/3: Data Elements for Blood Pressure Control for Patients With Diabetes</w:t>
            </w:r>
          </w:p>
          <w:tbl>
            <w:tblPr>
              <w:tblW w:w="7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
              <w:gridCol w:w="1873"/>
              <w:gridCol w:w="2610"/>
              <w:gridCol w:w="2070"/>
              <w:gridCol w:w="810"/>
            </w:tblGrid>
            <w:tr w:rsidR="00E553AB" w:rsidRPr="005D4222" w14:paraId="5EF9B3F9" w14:textId="77777777">
              <w:trPr>
                <w:gridBefore w:val="1"/>
                <w:wBefore w:w="13" w:type="dxa"/>
                <w:cantSplit/>
              </w:trPr>
              <w:tc>
                <w:tcPr>
                  <w:tcW w:w="1873" w:type="dxa"/>
                  <w:tcBorders>
                    <w:top w:val="single" w:sz="4" w:space="0" w:color="000000" w:themeColor="text1"/>
                    <w:left w:val="single" w:sz="4" w:space="0" w:color="000000" w:themeColor="text1"/>
                    <w:bottom w:val="single" w:sz="4" w:space="0" w:color="auto"/>
                    <w:right w:val="single" w:sz="4" w:space="0" w:color="FFFFFF" w:themeColor="background1"/>
                  </w:tcBorders>
                  <w:shd w:val="clear" w:color="auto" w:fill="000000" w:themeFill="text1"/>
                  <w:vAlign w:val="bottom"/>
                  <w:hideMark/>
                </w:tcPr>
                <w:p w14:paraId="1B5D2756" w14:textId="77777777" w:rsidR="00E553AB" w:rsidRPr="005D4222" w:rsidRDefault="00E553AB" w:rsidP="00147273">
                  <w:pPr>
                    <w:pStyle w:val="TableHead"/>
                    <w:rPr>
                      <w:rFonts w:eastAsia="Arial Narrow"/>
                    </w:rPr>
                  </w:pPr>
                  <w:r w:rsidRPr="005D4222">
                    <w:rPr>
                      <w:rFonts w:eastAsia="Arial Narrow"/>
                    </w:rPr>
                    <w:t>Metric</w:t>
                  </w:r>
                </w:p>
              </w:tc>
              <w:tc>
                <w:tcPr>
                  <w:tcW w:w="2610" w:type="dxa"/>
                  <w:tcBorders>
                    <w:top w:val="single" w:sz="4" w:space="0" w:color="000000" w:themeColor="text1"/>
                    <w:left w:val="single" w:sz="4" w:space="0" w:color="FFFFFF" w:themeColor="background1"/>
                    <w:bottom w:val="single" w:sz="4" w:space="0" w:color="auto"/>
                    <w:right w:val="single" w:sz="4" w:space="0" w:color="FFFFFF" w:themeColor="background1"/>
                  </w:tcBorders>
                  <w:shd w:val="clear" w:color="auto" w:fill="000000" w:themeFill="text1"/>
                  <w:vAlign w:val="bottom"/>
                  <w:hideMark/>
                </w:tcPr>
                <w:p w14:paraId="5FBABBB9" w14:textId="77777777" w:rsidR="00E553AB" w:rsidRPr="005D4222" w:rsidRDefault="00E553AB" w:rsidP="00147273">
                  <w:pPr>
                    <w:pStyle w:val="TableHead"/>
                    <w:rPr>
                      <w:rFonts w:eastAsia="Arial Narrow"/>
                    </w:rPr>
                  </w:pPr>
                  <w:r w:rsidRPr="005D4222">
                    <w:rPr>
                      <w:rFonts w:eastAsia="Arial Narrow"/>
                    </w:rPr>
                    <w:t>Data Element</w:t>
                  </w:r>
                </w:p>
              </w:tc>
              <w:tc>
                <w:tcPr>
                  <w:tcW w:w="207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vAlign w:val="bottom"/>
                  <w:hideMark/>
                </w:tcPr>
                <w:p w14:paraId="19C08BDD" w14:textId="77777777" w:rsidR="00E553AB" w:rsidRPr="005D4222" w:rsidRDefault="00E553AB" w:rsidP="00147273">
                  <w:pPr>
                    <w:pStyle w:val="TableHead"/>
                    <w:rPr>
                      <w:rFonts w:eastAsia="Arial Narrow"/>
                    </w:rPr>
                  </w:pPr>
                  <w:r w:rsidRPr="005D4222">
                    <w:rPr>
                      <w:rFonts w:eastAsia="Arial Narrow"/>
                    </w:rPr>
                    <w:t>Reporting Instructions</w:t>
                  </w:r>
                </w:p>
              </w:tc>
              <w:tc>
                <w:tcPr>
                  <w:tcW w:w="810"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vAlign w:val="bottom"/>
                  <w:hideMark/>
                </w:tcPr>
                <w:p w14:paraId="0AC26718" w14:textId="77777777" w:rsidR="00E553AB" w:rsidRPr="005D4222" w:rsidRDefault="00E553AB" w:rsidP="00147273">
                  <w:pPr>
                    <w:pStyle w:val="TableHead"/>
                    <w:rPr>
                      <w:rFonts w:eastAsia="Arial Narrow"/>
                    </w:rPr>
                  </w:pPr>
                  <w:r w:rsidRPr="005D4222">
                    <w:rPr>
                      <w:rFonts w:eastAsia="Arial Narrow"/>
                    </w:rPr>
                    <w:t>A</w:t>
                  </w:r>
                </w:p>
              </w:tc>
            </w:tr>
            <w:tr w:rsidR="00E553AB" w:rsidRPr="005D4222" w14:paraId="39E20951" w14:textId="77777777">
              <w:trPr>
                <w:gridBefore w:val="1"/>
                <w:wBefore w:w="13" w:type="dxa"/>
                <w:cantSplit/>
                <w:trHeight w:val="384"/>
              </w:trPr>
              <w:tc>
                <w:tcPr>
                  <w:tcW w:w="1873" w:type="dxa"/>
                  <w:tcBorders>
                    <w:top w:val="single" w:sz="4" w:space="0" w:color="auto"/>
                    <w:left w:val="single" w:sz="4" w:space="0" w:color="auto"/>
                    <w:bottom w:val="single" w:sz="4" w:space="0" w:color="auto"/>
                    <w:right w:val="single" w:sz="4" w:space="0" w:color="auto"/>
                  </w:tcBorders>
                  <w:hideMark/>
                </w:tcPr>
                <w:p w14:paraId="2C7A3066" w14:textId="77777777" w:rsidR="00E553AB" w:rsidRPr="005D4222" w:rsidRDefault="00E553AB" w:rsidP="00147273">
                  <w:pPr>
                    <w:pStyle w:val="TableText"/>
                    <w:rPr>
                      <w:rFonts w:eastAsia="Arial Narrow"/>
                    </w:rPr>
                  </w:pPr>
                  <w:r w:rsidRPr="005D4222">
                    <w:t>BPUnder140Over90</w:t>
                  </w:r>
                </w:p>
              </w:tc>
              <w:tc>
                <w:tcPr>
                  <w:tcW w:w="2610" w:type="dxa"/>
                  <w:tcBorders>
                    <w:top w:val="single" w:sz="4" w:space="0" w:color="auto"/>
                    <w:left w:val="single" w:sz="4" w:space="0" w:color="auto"/>
                    <w:bottom w:val="single" w:sz="4" w:space="0" w:color="auto"/>
                    <w:right w:val="single" w:sz="4" w:space="0" w:color="auto"/>
                  </w:tcBorders>
                  <w:hideMark/>
                </w:tcPr>
                <w:p w14:paraId="669F83D5" w14:textId="77777777" w:rsidR="00E553AB" w:rsidRPr="005D4222" w:rsidRDefault="00E553AB" w:rsidP="00147273">
                  <w:pPr>
                    <w:pStyle w:val="TableText"/>
                    <w:rPr>
                      <w:rFonts w:eastAsia="Arial Narrow"/>
                    </w:rPr>
                  </w:pPr>
                  <w:r w:rsidRPr="005D4222">
                    <w:rPr>
                      <w:rFonts w:eastAsia="Arial Narrow"/>
                    </w:rPr>
                    <w:t>CollectionMethod</w:t>
                  </w:r>
                </w:p>
              </w:tc>
              <w:tc>
                <w:tcPr>
                  <w:tcW w:w="2070" w:type="dxa"/>
                  <w:tcBorders>
                    <w:top w:val="single" w:sz="4" w:space="0" w:color="000000" w:themeColor="text1"/>
                    <w:left w:val="single" w:sz="4" w:space="0" w:color="auto"/>
                    <w:bottom w:val="single" w:sz="4" w:space="0" w:color="auto"/>
                    <w:right w:val="single" w:sz="4" w:space="0" w:color="auto"/>
                  </w:tcBorders>
                  <w:hideMark/>
                </w:tcPr>
                <w:p w14:paraId="109166DC" w14:textId="77777777" w:rsidR="00E553AB" w:rsidRPr="005D4222" w:rsidRDefault="00E553AB" w:rsidP="00147273">
                  <w:pPr>
                    <w:pStyle w:val="TableText"/>
                    <w:rPr>
                      <w:rFonts w:eastAsia="Arial Narrow"/>
                    </w:rPr>
                  </w:pPr>
                  <w:r w:rsidRPr="005D4222">
                    <w:rPr>
                      <w:rFonts w:eastAsia="Arial Narrow"/>
                    </w:rPr>
                    <w:t>Report once</w:t>
                  </w:r>
                </w:p>
              </w:tc>
              <w:tc>
                <w:tcPr>
                  <w:tcW w:w="810" w:type="dxa"/>
                  <w:tcBorders>
                    <w:top w:val="single" w:sz="4" w:space="0" w:color="000000" w:themeColor="text1"/>
                    <w:left w:val="single" w:sz="4" w:space="0" w:color="auto"/>
                    <w:bottom w:val="single" w:sz="4" w:space="0" w:color="auto"/>
                    <w:right w:val="single" w:sz="4" w:space="0" w:color="auto"/>
                  </w:tcBorders>
                  <w:hideMark/>
                </w:tcPr>
                <w:p w14:paraId="3523CFA7" w14:textId="77777777" w:rsidR="00E553AB" w:rsidRPr="005D4222" w:rsidRDefault="00E553AB" w:rsidP="00E553AB">
                  <w:pPr>
                    <w:spacing w:before="80" w:after="80" w:line="216" w:lineRule="auto"/>
                    <w:jc w:val="center"/>
                    <w:rPr>
                      <w:rFonts w:eastAsia="Arial Narrow" w:cs="Arial"/>
                      <w:szCs w:val="21"/>
                    </w:rPr>
                  </w:pPr>
                  <w:r w:rsidRPr="005D4222">
                    <w:rPr>
                      <w:rFonts w:ascii="Wingdings" w:hAnsi="Wingdings"/>
                      <w:color w:val="000000"/>
                      <w:szCs w:val="21"/>
                      <w:shd w:val="clear" w:color="auto" w:fill="FFFFFF"/>
                    </w:rPr>
                    <w:t>ü</w:t>
                  </w:r>
                </w:p>
              </w:tc>
            </w:tr>
            <w:tr w:rsidR="00E553AB" w:rsidRPr="005D4222" w14:paraId="4803F115" w14:textId="77777777">
              <w:trPr>
                <w:gridBefore w:val="1"/>
                <w:wBefore w:w="13" w:type="dxa"/>
                <w:cantSplit/>
                <w:trHeight w:val="369"/>
              </w:trPr>
              <w:tc>
                <w:tcPr>
                  <w:tcW w:w="1873" w:type="dxa"/>
                  <w:tcBorders>
                    <w:top w:val="single" w:sz="4" w:space="0" w:color="auto"/>
                    <w:left w:val="nil"/>
                    <w:bottom w:val="nil"/>
                    <w:right w:val="single" w:sz="4" w:space="0" w:color="auto"/>
                  </w:tcBorders>
                </w:tcPr>
                <w:p w14:paraId="2F8C457D" w14:textId="77777777" w:rsidR="00E553AB" w:rsidRPr="005D4222" w:rsidRDefault="00E553AB" w:rsidP="00147273">
                  <w:pPr>
                    <w:pStyle w:val="TableText"/>
                    <w:rPr>
                      <w:rFonts w:eastAsia="Arial Narrow"/>
                    </w:rPr>
                  </w:pPr>
                </w:p>
              </w:tc>
              <w:tc>
                <w:tcPr>
                  <w:tcW w:w="2610" w:type="dxa"/>
                  <w:tcBorders>
                    <w:top w:val="single" w:sz="4" w:space="0" w:color="auto"/>
                    <w:left w:val="single" w:sz="4" w:space="0" w:color="auto"/>
                    <w:bottom w:val="single" w:sz="4" w:space="0" w:color="auto"/>
                    <w:right w:val="single" w:sz="4" w:space="0" w:color="auto"/>
                  </w:tcBorders>
                  <w:vAlign w:val="center"/>
                  <w:hideMark/>
                </w:tcPr>
                <w:p w14:paraId="335296D1" w14:textId="77777777" w:rsidR="00E553AB" w:rsidRPr="005D4222" w:rsidRDefault="00E553AB" w:rsidP="00147273">
                  <w:pPr>
                    <w:pStyle w:val="TableText"/>
                    <w:rPr>
                      <w:rFonts w:eastAsia="Arial Narrow"/>
                    </w:rPr>
                  </w:pPr>
                  <w:r w:rsidRPr="005D4222">
                    <w:rPr>
                      <w:rFonts w:eastAsia="Arial Narrow"/>
                    </w:rPr>
                    <w:t>InitialPopulation</w:t>
                  </w:r>
                </w:p>
              </w:tc>
              <w:tc>
                <w:tcPr>
                  <w:tcW w:w="2070" w:type="dxa"/>
                  <w:tcBorders>
                    <w:top w:val="single" w:sz="4" w:space="0" w:color="auto"/>
                    <w:left w:val="single" w:sz="4" w:space="0" w:color="auto"/>
                    <w:bottom w:val="single" w:sz="4" w:space="0" w:color="auto"/>
                    <w:right w:val="single" w:sz="4" w:space="0" w:color="auto"/>
                  </w:tcBorders>
                  <w:vAlign w:val="center"/>
                  <w:hideMark/>
                </w:tcPr>
                <w:p w14:paraId="02709191" w14:textId="77777777" w:rsidR="00E553AB" w:rsidRPr="005D4222" w:rsidRDefault="00E553AB" w:rsidP="00147273">
                  <w:pPr>
                    <w:pStyle w:val="TableText"/>
                    <w:rPr>
                      <w:rFonts w:eastAsia="Arial Narrow"/>
                    </w:rPr>
                  </w:pPr>
                  <w:r w:rsidRPr="005D4222">
                    <w:rPr>
                      <w:rFonts w:eastAsia="Arial Narrow"/>
                    </w:rPr>
                    <w:t>Report once</w:t>
                  </w:r>
                </w:p>
              </w:tc>
              <w:tc>
                <w:tcPr>
                  <w:tcW w:w="810" w:type="dxa"/>
                  <w:tcBorders>
                    <w:top w:val="single" w:sz="4" w:space="0" w:color="auto"/>
                    <w:left w:val="single" w:sz="4" w:space="0" w:color="auto"/>
                    <w:bottom w:val="single" w:sz="4" w:space="0" w:color="auto"/>
                    <w:right w:val="single" w:sz="4" w:space="0" w:color="auto"/>
                  </w:tcBorders>
                  <w:hideMark/>
                </w:tcPr>
                <w:p w14:paraId="338D1FA6" w14:textId="77777777" w:rsidR="00E553AB" w:rsidRPr="005D4222" w:rsidRDefault="00E553AB" w:rsidP="00E553AB">
                  <w:pPr>
                    <w:spacing w:before="80" w:after="80" w:line="216" w:lineRule="auto"/>
                    <w:jc w:val="center"/>
                    <w:rPr>
                      <w:rFonts w:eastAsia="Arial Narrow" w:cs="Arial"/>
                      <w:szCs w:val="21"/>
                    </w:rPr>
                  </w:pPr>
                  <w:r w:rsidRPr="005D4222">
                    <w:rPr>
                      <w:rFonts w:ascii="Wingdings" w:hAnsi="Wingdings"/>
                      <w:color w:val="000000"/>
                      <w:szCs w:val="21"/>
                      <w:shd w:val="clear" w:color="auto" w:fill="FFFFFF"/>
                    </w:rPr>
                    <w:t>ü</w:t>
                  </w:r>
                </w:p>
              </w:tc>
            </w:tr>
            <w:tr w:rsidR="00E553AB" w:rsidRPr="005D4222" w14:paraId="55ACAE9A" w14:textId="77777777">
              <w:trPr>
                <w:gridBefore w:val="1"/>
                <w:wBefore w:w="13" w:type="dxa"/>
                <w:cantSplit/>
                <w:trHeight w:val="384"/>
              </w:trPr>
              <w:tc>
                <w:tcPr>
                  <w:tcW w:w="1873" w:type="dxa"/>
                  <w:tcBorders>
                    <w:top w:val="nil"/>
                    <w:left w:val="nil"/>
                    <w:bottom w:val="nil"/>
                    <w:right w:val="single" w:sz="4" w:space="0" w:color="auto"/>
                  </w:tcBorders>
                </w:tcPr>
                <w:p w14:paraId="5A4491F0" w14:textId="77777777" w:rsidR="00E553AB" w:rsidRPr="005D4222" w:rsidRDefault="00E553AB" w:rsidP="00147273">
                  <w:pPr>
                    <w:pStyle w:val="TableText"/>
                    <w:rPr>
                      <w:rFonts w:eastAsia="Arial Narrow"/>
                    </w:rPr>
                  </w:pPr>
                </w:p>
              </w:tc>
              <w:tc>
                <w:tcPr>
                  <w:tcW w:w="2610" w:type="dxa"/>
                  <w:tcBorders>
                    <w:top w:val="single" w:sz="4" w:space="0" w:color="auto"/>
                    <w:left w:val="single" w:sz="4" w:space="0" w:color="auto"/>
                    <w:bottom w:val="single" w:sz="4" w:space="0" w:color="auto"/>
                    <w:right w:val="single" w:sz="4" w:space="0" w:color="auto"/>
                  </w:tcBorders>
                  <w:vAlign w:val="center"/>
                  <w:hideMark/>
                </w:tcPr>
                <w:p w14:paraId="139F7FD4" w14:textId="77777777" w:rsidR="00E553AB" w:rsidRPr="005D4222" w:rsidRDefault="00E553AB" w:rsidP="00147273">
                  <w:pPr>
                    <w:pStyle w:val="TableText"/>
                    <w:rPr>
                      <w:rFonts w:eastAsia="Arial Narrow"/>
                    </w:rPr>
                  </w:pPr>
                  <w:r w:rsidRPr="005D4222">
                    <w:rPr>
                      <w:rFonts w:eastAsia="Arial Narrow"/>
                    </w:rPr>
                    <w:t>Exclusions</w:t>
                  </w:r>
                </w:p>
              </w:tc>
              <w:tc>
                <w:tcPr>
                  <w:tcW w:w="2070" w:type="dxa"/>
                  <w:tcBorders>
                    <w:top w:val="single" w:sz="4" w:space="0" w:color="auto"/>
                    <w:left w:val="single" w:sz="4" w:space="0" w:color="auto"/>
                    <w:bottom w:val="single" w:sz="4" w:space="0" w:color="auto"/>
                    <w:right w:val="single" w:sz="4" w:space="0" w:color="auto"/>
                  </w:tcBorders>
                  <w:vAlign w:val="center"/>
                  <w:hideMark/>
                </w:tcPr>
                <w:p w14:paraId="68F7A11C" w14:textId="77777777" w:rsidR="00E553AB" w:rsidRPr="005D4222" w:rsidRDefault="00E553AB" w:rsidP="00147273">
                  <w:pPr>
                    <w:pStyle w:val="TableText"/>
                    <w:rPr>
                      <w:rFonts w:eastAsia="Arial Narrow"/>
                    </w:rPr>
                  </w:pPr>
                  <w:r w:rsidRPr="005D4222">
                    <w:rPr>
                      <w:rFonts w:eastAsia="Arial Narrow"/>
                    </w:rPr>
                    <w:t>Report once</w:t>
                  </w:r>
                </w:p>
              </w:tc>
              <w:tc>
                <w:tcPr>
                  <w:tcW w:w="810" w:type="dxa"/>
                  <w:tcBorders>
                    <w:top w:val="single" w:sz="4" w:space="0" w:color="auto"/>
                    <w:left w:val="single" w:sz="4" w:space="0" w:color="auto"/>
                    <w:bottom w:val="single" w:sz="4" w:space="0" w:color="auto"/>
                    <w:right w:val="single" w:sz="4" w:space="0" w:color="auto"/>
                  </w:tcBorders>
                  <w:hideMark/>
                </w:tcPr>
                <w:p w14:paraId="7EEC98BE" w14:textId="77777777" w:rsidR="00E553AB" w:rsidRPr="005D4222" w:rsidRDefault="00E553AB" w:rsidP="00E553AB">
                  <w:pPr>
                    <w:spacing w:before="80" w:after="80" w:line="216" w:lineRule="auto"/>
                    <w:jc w:val="center"/>
                    <w:rPr>
                      <w:rFonts w:eastAsia="Arial Narrow" w:cs="Arial"/>
                      <w:szCs w:val="21"/>
                    </w:rPr>
                  </w:pPr>
                  <w:r w:rsidRPr="005D4222">
                    <w:rPr>
                      <w:rFonts w:ascii="Wingdings" w:hAnsi="Wingdings"/>
                      <w:color w:val="000000"/>
                      <w:szCs w:val="21"/>
                      <w:shd w:val="clear" w:color="auto" w:fill="FFFFFF"/>
                    </w:rPr>
                    <w:t>ü</w:t>
                  </w:r>
                </w:p>
              </w:tc>
            </w:tr>
            <w:tr w:rsidR="00E553AB" w:rsidRPr="005D4222" w14:paraId="49D379F9" w14:textId="77777777">
              <w:trPr>
                <w:cantSplit/>
                <w:trHeight w:val="300"/>
              </w:trPr>
              <w:tc>
                <w:tcPr>
                  <w:tcW w:w="1886" w:type="dxa"/>
                  <w:gridSpan w:val="2"/>
                  <w:tcBorders>
                    <w:top w:val="nil"/>
                    <w:left w:val="nil"/>
                    <w:bottom w:val="nil"/>
                    <w:right w:val="nil"/>
                  </w:tcBorders>
                </w:tcPr>
                <w:p w14:paraId="5CB33444" w14:textId="77777777" w:rsidR="00E553AB" w:rsidRPr="005D4222" w:rsidRDefault="00E553AB" w:rsidP="00147273">
                  <w:pPr>
                    <w:pStyle w:val="TableText"/>
                    <w:rPr>
                      <w:rFonts w:eastAsia="Arial Narrow"/>
                    </w:rPr>
                  </w:pPr>
                </w:p>
              </w:tc>
              <w:tc>
                <w:tcPr>
                  <w:tcW w:w="2610" w:type="dxa"/>
                  <w:tcBorders>
                    <w:top w:val="single" w:sz="4" w:space="0" w:color="auto"/>
                    <w:left w:val="single" w:sz="4" w:space="0" w:color="auto"/>
                    <w:bottom w:val="single" w:sz="4" w:space="0" w:color="auto"/>
                    <w:right w:val="single" w:sz="4" w:space="0" w:color="auto"/>
                  </w:tcBorders>
                  <w:hideMark/>
                </w:tcPr>
                <w:p w14:paraId="61E90B3D" w14:textId="77777777" w:rsidR="00E553AB" w:rsidRPr="005D4222" w:rsidRDefault="00E553AB" w:rsidP="00147273">
                  <w:pPr>
                    <w:pStyle w:val="TableText"/>
                    <w:rPr>
                      <w:rFonts w:eastAsia="Arial Narrow"/>
                    </w:rPr>
                  </w:pPr>
                  <w:r w:rsidRPr="005D4222">
                    <w:t>Denominator</w:t>
                  </w:r>
                </w:p>
              </w:tc>
              <w:tc>
                <w:tcPr>
                  <w:tcW w:w="2070" w:type="dxa"/>
                  <w:tcBorders>
                    <w:top w:val="single" w:sz="4" w:space="0" w:color="auto"/>
                    <w:left w:val="single" w:sz="4" w:space="0" w:color="auto"/>
                    <w:bottom w:val="single" w:sz="4" w:space="0" w:color="auto"/>
                    <w:right w:val="single" w:sz="4" w:space="0" w:color="auto"/>
                  </w:tcBorders>
                  <w:hideMark/>
                </w:tcPr>
                <w:p w14:paraId="44610AA3" w14:textId="77777777" w:rsidR="00E553AB" w:rsidRPr="005D4222" w:rsidRDefault="00E553AB" w:rsidP="00147273">
                  <w:pPr>
                    <w:pStyle w:val="TableText"/>
                    <w:rPr>
                      <w:rFonts w:eastAsia="Arial Narrow"/>
                    </w:rPr>
                  </w:pPr>
                  <w:r w:rsidRPr="005D4222">
                    <w:rPr>
                      <w:rFonts w:eastAsia="Arial Narrow"/>
                    </w:rPr>
                    <w:t>Report once</w:t>
                  </w:r>
                </w:p>
              </w:tc>
              <w:tc>
                <w:tcPr>
                  <w:tcW w:w="810" w:type="dxa"/>
                  <w:tcBorders>
                    <w:top w:val="single" w:sz="4" w:space="0" w:color="auto"/>
                    <w:left w:val="single" w:sz="4" w:space="0" w:color="auto"/>
                    <w:bottom w:val="single" w:sz="4" w:space="0" w:color="auto"/>
                    <w:right w:val="single" w:sz="4" w:space="0" w:color="auto"/>
                  </w:tcBorders>
                </w:tcPr>
                <w:p w14:paraId="59E1E322" w14:textId="77777777" w:rsidR="00E553AB" w:rsidRPr="005D4222" w:rsidRDefault="00E553AB" w:rsidP="00E553AB">
                  <w:pPr>
                    <w:spacing w:before="80" w:after="80" w:line="216" w:lineRule="auto"/>
                    <w:jc w:val="center"/>
                    <w:rPr>
                      <w:rFonts w:eastAsia="Arial Narrow" w:cs="Arial"/>
                      <w:szCs w:val="21"/>
                    </w:rPr>
                  </w:pPr>
                  <w:r w:rsidRPr="005D4222">
                    <w:rPr>
                      <w:rFonts w:ascii="Wingdings" w:hAnsi="Wingdings"/>
                      <w:color w:val="000000"/>
                      <w:szCs w:val="21"/>
                      <w:shd w:val="clear" w:color="auto" w:fill="FFFFFF"/>
                    </w:rPr>
                    <w:t>ü</w:t>
                  </w:r>
                </w:p>
              </w:tc>
            </w:tr>
            <w:tr w:rsidR="00E553AB" w:rsidRPr="005D4222" w14:paraId="411CDE69" w14:textId="77777777">
              <w:trPr>
                <w:gridBefore w:val="1"/>
                <w:wBefore w:w="13" w:type="dxa"/>
                <w:cantSplit/>
                <w:trHeight w:val="384"/>
              </w:trPr>
              <w:tc>
                <w:tcPr>
                  <w:tcW w:w="1873" w:type="dxa"/>
                  <w:tcBorders>
                    <w:top w:val="nil"/>
                    <w:left w:val="nil"/>
                    <w:bottom w:val="nil"/>
                    <w:right w:val="single" w:sz="4" w:space="0" w:color="auto"/>
                  </w:tcBorders>
                </w:tcPr>
                <w:p w14:paraId="50FB3181" w14:textId="77777777" w:rsidR="00E553AB" w:rsidRPr="005D4222" w:rsidRDefault="00E553AB" w:rsidP="00147273">
                  <w:pPr>
                    <w:pStyle w:val="TableText"/>
                    <w:rPr>
                      <w:rFonts w:eastAsia="Arial Narrow"/>
                    </w:rPr>
                  </w:pPr>
                </w:p>
              </w:tc>
              <w:tc>
                <w:tcPr>
                  <w:tcW w:w="2610" w:type="dxa"/>
                  <w:tcBorders>
                    <w:top w:val="single" w:sz="4" w:space="0" w:color="auto"/>
                    <w:left w:val="single" w:sz="4" w:space="0" w:color="auto"/>
                    <w:bottom w:val="single" w:sz="4" w:space="0" w:color="auto"/>
                    <w:right w:val="single" w:sz="4" w:space="0" w:color="auto"/>
                  </w:tcBorders>
                  <w:hideMark/>
                </w:tcPr>
                <w:p w14:paraId="4FA6F8DB" w14:textId="77777777" w:rsidR="00E553AB" w:rsidRPr="005D4222" w:rsidRDefault="00E553AB" w:rsidP="00147273">
                  <w:pPr>
                    <w:pStyle w:val="TableText"/>
                    <w:rPr>
                      <w:rFonts w:eastAsia="Arial Narrow"/>
                    </w:rPr>
                  </w:pPr>
                  <w:r w:rsidRPr="005D4222">
                    <w:t>NumeratorByAdminDenom</w:t>
                  </w:r>
                </w:p>
              </w:tc>
              <w:tc>
                <w:tcPr>
                  <w:tcW w:w="2070" w:type="dxa"/>
                  <w:tcBorders>
                    <w:top w:val="single" w:sz="4" w:space="0" w:color="auto"/>
                    <w:left w:val="single" w:sz="4" w:space="0" w:color="auto"/>
                    <w:bottom w:val="single" w:sz="4" w:space="0" w:color="auto"/>
                    <w:right w:val="single" w:sz="4" w:space="0" w:color="auto"/>
                  </w:tcBorders>
                  <w:hideMark/>
                </w:tcPr>
                <w:p w14:paraId="53A5BEFA" w14:textId="77777777" w:rsidR="00E553AB" w:rsidRPr="005D4222" w:rsidRDefault="00E553AB" w:rsidP="00147273">
                  <w:pPr>
                    <w:pStyle w:val="TableText"/>
                    <w:rPr>
                      <w:rFonts w:eastAsia="Arial Narrow"/>
                    </w:rPr>
                  </w:pPr>
                  <w:r w:rsidRPr="005D4222">
                    <w:rPr>
                      <w:rFonts w:eastAsia="Arial Narrow"/>
                    </w:rPr>
                    <w:t>Report once</w:t>
                  </w:r>
                </w:p>
              </w:tc>
              <w:tc>
                <w:tcPr>
                  <w:tcW w:w="810" w:type="dxa"/>
                  <w:tcBorders>
                    <w:top w:val="single" w:sz="4" w:space="0" w:color="auto"/>
                    <w:left w:val="single" w:sz="4" w:space="0" w:color="auto"/>
                    <w:bottom w:val="single" w:sz="4" w:space="0" w:color="auto"/>
                    <w:right w:val="single" w:sz="4" w:space="0" w:color="auto"/>
                  </w:tcBorders>
                </w:tcPr>
                <w:p w14:paraId="189C595C" w14:textId="77777777" w:rsidR="00E553AB" w:rsidRPr="005D4222" w:rsidRDefault="00E553AB" w:rsidP="00E553AB">
                  <w:pPr>
                    <w:spacing w:before="80" w:after="80" w:line="216" w:lineRule="auto"/>
                    <w:jc w:val="center"/>
                    <w:rPr>
                      <w:rFonts w:eastAsia="Arial Narrow" w:cs="Arial"/>
                      <w:szCs w:val="21"/>
                    </w:rPr>
                  </w:pPr>
                </w:p>
              </w:tc>
            </w:tr>
            <w:tr w:rsidR="00E553AB" w:rsidRPr="005D4222" w14:paraId="1A38D450" w14:textId="77777777">
              <w:trPr>
                <w:gridBefore w:val="1"/>
                <w:wBefore w:w="13" w:type="dxa"/>
                <w:cantSplit/>
                <w:trHeight w:val="384"/>
              </w:trPr>
              <w:tc>
                <w:tcPr>
                  <w:tcW w:w="1873" w:type="dxa"/>
                  <w:tcBorders>
                    <w:top w:val="nil"/>
                    <w:left w:val="nil"/>
                    <w:bottom w:val="nil"/>
                    <w:right w:val="single" w:sz="4" w:space="0" w:color="auto"/>
                  </w:tcBorders>
                </w:tcPr>
                <w:p w14:paraId="0B8D40A2" w14:textId="77777777" w:rsidR="00E553AB" w:rsidRPr="005D4222" w:rsidRDefault="00E553AB" w:rsidP="00147273">
                  <w:pPr>
                    <w:pStyle w:val="TableText"/>
                    <w:rPr>
                      <w:rFonts w:eastAsia="Arial Narrow"/>
                    </w:rPr>
                  </w:pPr>
                </w:p>
              </w:tc>
              <w:tc>
                <w:tcPr>
                  <w:tcW w:w="261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4F53C33" w14:textId="77777777" w:rsidR="00E553AB" w:rsidRPr="005D4222" w:rsidRDefault="00E553AB" w:rsidP="00147273">
                  <w:pPr>
                    <w:pStyle w:val="TableText"/>
                  </w:pPr>
                  <w:r w:rsidRPr="005D4222">
                    <w:t>CYAR</w:t>
                  </w:r>
                </w:p>
              </w:tc>
              <w:tc>
                <w:tcPr>
                  <w:tcW w:w="207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1356F5" w14:textId="77777777" w:rsidR="00E553AB" w:rsidRPr="005D4222" w:rsidRDefault="00E553AB" w:rsidP="00147273">
                  <w:pPr>
                    <w:pStyle w:val="TableText"/>
                    <w:rPr>
                      <w:rFonts w:eastAsia="Arial Narrow"/>
                    </w:rPr>
                  </w:pPr>
                  <w:r w:rsidRPr="005D4222">
                    <w:rPr>
                      <w:rFonts w:eastAsia="Arial Narrow"/>
                    </w:rPr>
                    <w:t>(Percent)</w:t>
                  </w:r>
                </w:p>
              </w:tc>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3FBB417" w14:textId="77777777" w:rsidR="00E553AB" w:rsidRPr="005D4222" w:rsidRDefault="00E553AB" w:rsidP="00E553AB">
                  <w:pPr>
                    <w:spacing w:before="80" w:after="80" w:line="216" w:lineRule="auto"/>
                    <w:jc w:val="center"/>
                    <w:rPr>
                      <w:rFonts w:eastAsia="Arial Narrow" w:cs="Arial"/>
                      <w:szCs w:val="21"/>
                    </w:rPr>
                  </w:pPr>
                </w:p>
              </w:tc>
            </w:tr>
            <w:tr w:rsidR="00E553AB" w:rsidRPr="005D4222" w14:paraId="10629B92" w14:textId="77777777">
              <w:trPr>
                <w:gridBefore w:val="1"/>
                <w:wBefore w:w="13" w:type="dxa"/>
                <w:cantSplit/>
                <w:trHeight w:val="384"/>
              </w:trPr>
              <w:tc>
                <w:tcPr>
                  <w:tcW w:w="1873" w:type="dxa"/>
                  <w:tcBorders>
                    <w:top w:val="nil"/>
                    <w:left w:val="nil"/>
                    <w:bottom w:val="nil"/>
                    <w:right w:val="single" w:sz="4" w:space="0" w:color="auto"/>
                  </w:tcBorders>
                </w:tcPr>
                <w:p w14:paraId="1135C194" w14:textId="77777777" w:rsidR="00E553AB" w:rsidRPr="005D4222" w:rsidRDefault="00E553AB" w:rsidP="00147273">
                  <w:pPr>
                    <w:pStyle w:val="TableText"/>
                    <w:rPr>
                      <w:rFonts w:eastAsia="Arial Narrow"/>
                    </w:rPr>
                  </w:pPr>
                </w:p>
              </w:tc>
              <w:tc>
                <w:tcPr>
                  <w:tcW w:w="2610" w:type="dxa"/>
                  <w:tcBorders>
                    <w:top w:val="single" w:sz="4" w:space="0" w:color="auto"/>
                    <w:left w:val="single" w:sz="4" w:space="0" w:color="auto"/>
                    <w:bottom w:val="single" w:sz="4" w:space="0" w:color="auto"/>
                    <w:right w:val="single" w:sz="4" w:space="0" w:color="auto"/>
                  </w:tcBorders>
                  <w:hideMark/>
                </w:tcPr>
                <w:p w14:paraId="56500D4D" w14:textId="77777777" w:rsidR="00E553AB" w:rsidRPr="005D4222" w:rsidRDefault="00E553AB" w:rsidP="00147273">
                  <w:pPr>
                    <w:pStyle w:val="TableText"/>
                    <w:rPr>
                      <w:rFonts w:eastAsia="Arial Narrow"/>
                    </w:rPr>
                  </w:pPr>
                  <w:r w:rsidRPr="005D4222">
                    <w:t>MinReqSampleSize</w:t>
                  </w:r>
                </w:p>
              </w:tc>
              <w:tc>
                <w:tcPr>
                  <w:tcW w:w="2070" w:type="dxa"/>
                  <w:tcBorders>
                    <w:top w:val="single" w:sz="4" w:space="0" w:color="auto"/>
                    <w:left w:val="single" w:sz="4" w:space="0" w:color="auto"/>
                    <w:bottom w:val="single" w:sz="4" w:space="0" w:color="auto"/>
                    <w:right w:val="single" w:sz="4" w:space="0" w:color="auto"/>
                  </w:tcBorders>
                  <w:hideMark/>
                </w:tcPr>
                <w:p w14:paraId="581B2833" w14:textId="77777777" w:rsidR="00E553AB" w:rsidRPr="005D4222" w:rsidRDefault="00E553AB" w:rsidP="00147273">
                  <w:pPr>
                    <w:pStyle w:val="TableText"/>
                    <w:rPr>
                      <w:rFonts w:eastAsia="Arial Narrow"/>
                    </w:rPr>
                  </w:pPr>
                  <w:r w:rsidRPr="005D4222">
                    <w:rPr>
                      <w:rFonts w:eastAsia="Arial Narrow"/>
                    </w:rPr>
                    <w:t>Report once</w:t>
                  </w:r>
                </w:p>
              </w:tc>
              <w:tc>
                <w:tcPr>
                  <w:tcW w:w="810" w:type="dxa"/>
                  <w:tcBorders>
                    <w:top w:val="single" w:sz="4" w:space="0" w:color="auto"/>
                    <w:left w:val="single" w:sz="4" w:space="0" w:color="auto"/>
                    <w:bottom w:val="single" w:sz="4" w:space="0" w:color="auto"/>
                    <w:right w:val="single" w:sz="4" w:space="0" w:color="auto"/>
                  </w:tcBorders>
                </w:tcPr>
                <w:p w14:paraId="24E21594" w14:textId="77777777" w:rsidR="00E553AB" w:rsidRPr="005D4222" w:rsidRDefault="00E553AB" w:rsidP="00E553AB">
                  <w:pPr>
                    <w:spacing w:before="80" w:after="80" w:line="216" w:lineRule="auto"/>
                    <w:jc w:val="center"/>
                    <w:rPr>
                      <w:rFonts w:eastAsia="Arial Narrow" w:cs="Arial"/>
                      <w:szCs w:val="21"/>
                    </w:rPr>
                  </w:pPr>
                </w:p>
              </w:tc>
            </w:tr>
            <w:tr w:rsidR="00E553AB" w:rsidRPr="005D4222" w14:paraId="3B5C66C8" w14:textId="77777777">
              <w:trPr>
                <w:gridBefore w:val="1"/>
                <w:wBefore w:w="13" w:type="dxa"/>
                <w:cantSplit/>
                <w:trHeight w:val="369"/>
              </w:trPr>
              <w:tc>
                <w:tcPr>
                  <w:tcW w:w="1873" w:type="dxa"/>
                  <w:tcBorders>
                    <w:top w:val="nil"/>
                    <w:left w:val="nil"/>
                    <w:bottom w:val="nil"/>
                    <w:right w:val="nil"/>
                  </w:tcBorders>
                </w:tcPr>
                <w:p w14:paraId="31F6EA7C" w14:textId="77777777" w:rsidR="00E553AB" w:rsidRPr="005D4222" w:rsidRDefault="00E553AB" w:rsidP="00147273">
                  <w:pPr>
                    <w:pStyle w:val="TableText"/>
                    <w:rPr>
                      <w:rFonts w:eastAsia="Arial Narrow"/>
                    </w:rPr>
                  </w:pPr>
                </w:p>
              </w:tc>
              <w:tc>
                <w:tcPr>
                  <w:tcW w:w="2610" w:type="dxa"/>
                  <w:tcBorders>
                    <w:top w:val="single" w:sz="4" w:space="0" w:color="auto"/>
                    <w:left w:val="single" w:sz="4" w:space="0" w:color="auto"/>
                    <w:bottom w:val="single" w:sz="4" w:space="0" w:color="auto"/>
                    <w:right w:val="single" w:sz="4" w:space="0" w:color="auto"/>
                  </w:tcBorders>
                  <w:hideMark/>
                </w:tcPr>
                <w:p w14:paraId="688E6498" w14:textId="77777777" w:rsidR="00E553AB" w:rsidRPr="005D4222" w:rsidRDefault="00E553AB" w:rsidP="00147273">
                  <w:pPr>
                    <w:pStyle w:val="TableText"/>
                  </w:pPr>
                  <w:r w:rsidRPr="005D4222">
                    <w:rPr>
                      <w:rFonts w:eastAsia="Arial Narrow"/>
                    </w:rPr>
                    <w:t>OversampleRate</w:t>
                  </w:r>
                </w:p>
              </w:tc>
              <w:tc>
                <w:tcPr>
                  <w:tcW w:w="2070" w:type="dxa"/>
                  <w:tcBorders>
                    <w:top w:val="single" w:sz="4" w:space="0" w:color="auto"/>
                    <w:left w:val="single" w:sz="4" w:space="0" w:color="auto"/>
                    <w:bottom w:val="single" w:sz="4" w:space="0" w:color="auto"/>
                    <w:right w:val="single" w:sz="4" w:space="0" w:color="auto"/>
                  </w:tcBorders>
                  <w:vAlign w:val="center"/>
                  <w:hideMark/>
                </w:tcPr>
                <w:p w14:paraId="39B61B59" w14:textId="77777777" w:rsidR="00E553AB" w:rsidRPr="005D4222" w:rsidRDefault="00E553AB" w:rsidP="00147273">
                  <w:pPr>
                    <w:pStyle w:val="TableText"/>
                    <w:rPr>
                      <w:rFonts w:eastAsia="Arial Narrow"/>
                    </w:rPr>
                  </w:pPr>
                  <w:r w:rsidRPr="005D4222">
                    <w:rPr>
                      <w:rFonts w:eastAsia="Arial Narrow"/>
                    </w:rPr>
                    <w:t>Report once</w:t>
                  </w:r>
                </w:p>
              </w:tc>
              <w:tc>
                <w:tcPr>
                  <w:tcW w:w="810" w:type="dxa"/>
                  <w:tcBorders>
                    <w:top w:val="single" w:sz="4" w:space="0" w:color="auto"/>
                    <w:left w:val="single" w:sz="4" w:space="0" w:color="auto"/>
                    <w:bottom w:val="single" w:sz="4" w:space="0" w:color="auto"/>
                    <w:right w:val="single" w:sz="4" w:space="0" w:color="auto"/>
                  </w:tcBorders>
                </w:tcPr>
                <w:p w14:paraId="1A43F00A" w14:textId="77777777" w:rsidR="00E553AB" w:rsidRPr="005D4222" w:rsidRDefault="00E553AB" w:rsidP="00E553AB">
                  <w:pPr>
                    <w:spacing w:before="80" w:after="80" w:line="216" w:lineRule="auto"/>
                    <w:jc w:val="center"/>
                    <w:rPr>
                      <w:rFonts w:eastAsia="Arial Narrow" w:cs="Arial"/>
                      <w:szCs w:val="21"/>
                    </w:rPr>
                  </w:pPr>
                </w:p>
              </w:tc>
            </w:tr>
            <w:tr w:rsidR="00E553AB" w:rsidRPr="005D4222" w14:paraId="7F471457" w14:textId="77777777">
              <w:trPr>
                <w:gridBefore w:val="1"/>
                <w:wBefore w:w="13" w:type="dxa"/>
                <w:cantSplit/>
                <w:trHeight w:val="384"/>
              </w:trPr>
              <w:tc>
                <w:tcPr>
                  <w:tcW w:w="1873" w:type="dxa"/>
                  <w:tcBorders>
                    <w:top w:val="nil"/>
                    <w:left w:val="nil"/>
                    <w:bottom w:val="nil"/>
                    <w:right w:val="nil"/>
                  </w:tcBorders>
                </w:tcPr>
                <w:p w14:paraId="62DFD481" w14:textId="77777777" w:rsidR="00E553AB" w:rsidRPr="005D4222" w:rsidRDefault="00E553AB" w:rsidP="00147273">
                  <w:pPr>
                    <w:pStyle w:val="TableText"/>
                    <w:rPr>
                      <w:rFonts w:eastAsia="Arial Narrow"/>
                    </w:rPr>
                  </w:pPr>
                </w:p>
              </w:tc>
              <w:tc>
                <w:tcPr>
                  <w:tcW w:w="261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FE84E80" w14:textId="77777777" w:rsidR="00E553AB" w:rsidRPr="005D4222" w:rsidRDefault="00E553AB" w:rsidP="00147273">
                  <w:pPr>
                    <w:pStyle w:val="TableText"/>
                  </w:pPr>
                  <w:r w:rsidRPr="005D4222">
                    <w:t>OversampleRecordsNumber</w:t>
                  </w:r>
                </w:p>
              </w:tc>
              <w:tc>
                <w:tcPr>
                  <w:tcW w:w="207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E186515" w14:textId="77777777" w:rsidR="00E553AB" w:rsidRPr="005D4222" w:rsidRDefault="00E553AB" w:rsidP="00147273">
                  <w:pPr>
                    <w:pStyle w:val="TableText"/>
                    <w:rPr>
                      <w:rFonts w:eastAsia="Arial Narrow"/>
                    </w:rPr>
                  </w:pPr>
                  <w:r w:rsidRPr="005D4222">
                    <w:rPr>
                      <w:rFonts w:eastAsia="Arial Narrow"/>
                    </w:rPr>
                    <w:t>(Count)</w:t>
                  </w:r>
                </w:p>
              </w:tc>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8EAB5A4" w14:textId="77777777" w:rsidR="00E553AB" w:rsidRPr="005D4222" w:rsidRDefault="00E553AB" w:rsidP="00E553AB">
                  <w:pPr>
                    <w:spacing w:before="80" w:after="80" w:line="216" w:lineRule="auto"/>
                    <w:jc w:val="center"/>
                    <w:rPr>
                      <w:rFonts w:eastAsia="Arial Narrow" w:cs="Arial"/>
                      <w:szCs w:val="21"/>
                    </w:rPr>
                  </w:pPr>
                </w:p>
              </w:tc>
            </w:tr>
            <w:tr w:rsidR="00E553AB" w:rsidRPr="005D4222" w14:paraId="4BA82F07" w14:textId="77777777">
              <w:trPr>
                <w:gridBefore w:val="1"/>
                <w:wBefore w:w="13" w:type="dxa"/>
                <w:cantSplit/>
                <w:trHeight w:val="384"/>
              </w:trPr>
              <w:tc>
                <w:tcPr>
                  <w:tcW w:w="1873" w:type="dxa"/>
                  <w:tcBorders>
                    <w:top w:val="nil"/>
                    <w:left w:val="nil"/>
                    <w:bottom w:val="nil"/>
                    <w:right w:val="nil"/>
                  </w:tcBorders>
                </w:tcPr>
                <w:p w14:paraId="64E43D8C" w14:textId="77777777" w:rsidR="00E553AB" w:rsidRPr="005D4222" w:rsidRDefault="00E553AB" w:rsidP="00147273">
                  <w:pPr>
                    <w:pStyle w:val="TableText"/>
                    <w:rPr>
                      <w:rFonts w:eastAsia="Arial Narrow"/>
                    </w:rPr>
                  </w:pPr>
                </w:p>
              </w:tc>
              <w:tc>
                <w:tcPr>
                  <w:tcW w:w="2610" w:type="dxa"/>
                  <w:tcBorders>
                    <w:top w:val="single" w:sz="4" w:space="0" w:color="auto"/>
                    <w:left w:val="single" w:sz="4" w:space="0" w:color="auto"/>
                    <w:bottom w:val="single" w:sz="4" w:space="0" w:color="auto"/>
                    <w:right w:val="single" w:sz="4" w:space="0" w:color="auto"/>
                  </w:tcBorders>
                  <w:hideMark/>
                </w:tcPr>
                <w:p w14:paraId="231A0C16" w14:textId="77777777" w:rsidR="00E553AB" w:rsidRPr="005D4222" w:rsidRDefault="00E553AB" w:rsidP="00147273">
                  <w:pPr>
                    <w:pStyle w:val="TableText"/>
                    <w:rPr>
                      <w:rFonts w:eastAsia="Arial Narrow"/>
                    </w:rPr>
                  </w:pPr>
                  <w:r w:rsidRPr="005D4222">
                    <w:rPr>
                      <w:rFonts w:eastAsia="Arial Narrow"/>
                    </w:rPr>
                    <w:t>ExclusionValidDataErrors</w:t>
                  </w:r>
                </w:p>
              </w:tc>
              <w:tc>
                <w:tcPr>
                  <w:tcW w:w="2070" w:type="dxa"/>
                  <w:tcBorders>
                    <w:top w:val="single" w:sz="4" w:space="0" w:color="auto"/>
                    <w:left w:val="single" w:sz="4" w:space="0" w:color="auto"/>
                    <w:bottom w:val="single" w:sz="4" w:space="0" w:color="auto"/>
                    <w:right w:val="single" w:sz="4" w:space="0" w:color="auto"/>
                  </w:tcBorders>
                  <w:hideMark/>
                </w:tcPr>
                <w:p w14:paraId="394E74DF" w14:textId="77777777" w:rsidR="00E553AB" w:rsidRPr="005D4222" w:rsidRDefault="00E553AB" w:rsidP="00147273">
                  <w:pPr>
                    <w:pStyle w:val="TableText"/>
                    <w:rPr>
                      <w:rFonts w:eastAsia="Arial Narrow"/>
                    </w:rPr>
                  </w:pPr>
                  <w:r w:rsidRPr="005D4222">
                    <w:rPr>
                      <w:rFonts w:eastAsia="Arial Narrow"/>
                    </w:rPr>
                    <w:t>Report once</w:t>
                  </w:r>
                </w:p>
              </w:tc>
              <w:tc>
                <w:tcPr>
                  <w:tcW w:w="810" w:type="dxa"/>
                  <w:tcBorders>
                    <w:top w:val="single" w:sz="4" w:space="0" w:color="auto"/>
                    <w:left w:val="single" w:sz="4" w:space="0" w:color="auto"/>
                    <w:bottom w:val="single" w:sz="4" w:space="0" w:color="auto"/>
                    <w:right w:val="single" w:sz="4" w:space="0" w:color="auto"/>
                  </w:tcBorders>
                </w:tcPr>
                <w:p w14:paraId="11E6506D" w14:textId="77777777" w:rsidR="00E553AB" w:rsidRPr="005D4222" w:rsidRDefault="00E553AB" w:rsidP="00E553AB">
                  <w:pPr>
                    <w:spacing w:before="80" w:after="80" w:line="216" w:lineRule="auto"/>
                    <w:jc w:val="center"/>
                    <w:rPr>
                      <w:rFonts w:eastAsia="Arial Narrow" w:cs="Arial"/>
                      <w:szCs w:val="21"/>
                    </w:rPr>
                  </w:pPr>
                </w:p>
              </w:tc>
            </w:tr>
            <w:tr w:rsidR="00E553AB" w:rsidRPr="005D4222" w14:paraId="1559B32F" w14:textId="77777777">
              <w:trPr>
                <w:gridBefore w:val="1"/>
                <w:wBefore w:w="13" w:type="dxa"/>
                <w:cantSplit/>
                <w:trHeight w:val="384"/>
              </w:trPr>
              <w:tc>
                <w:tcPr>
                  <w:tcW w:w="1873" w:type="dxa"/>
                  <w:tcBorders>
                    <w:top w:val="nil"/>
                    <w:left w:val="nil"/>
                    <w:bottom w:val="nil"/>
                    <w:right w:val="nil"/>
                  </w:tcBorders>
                </w:tcPr>
                <w:p w14:paraId="0E20F9AF" w14:textId="77777777" w:rsidR="00E553AB" w:rsidRPr="005D4222" w:rsidRDefault="00E553AB" w:rsidP="00147273">
                  <w:pPr>
                    <w:pStyle w:val="TableText"/>
                    <w:rPr>
                      <w:rFonts w:eastAsia="Arial Narrow"/>
                    </w:rPr>
                  </w:pPr>
                </w:p>
              </w:tc>
              <w:tc>
                <w:tcPr>
                  <w:tcW w:w="261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21775C2" w14:textId="77777777" w:rsidR="00E553AB" w:rsidRPr="005D4222" w:rsidRDefault="00E553AB" w:rsidP="00147273">
                  <w:pPr>
                    <w:pStyle w:val="TableText"/>
                    <w:rPr>
                      <w:rFonts w:eastAsia="Arial Narrow"/>
                    </w:rPr>
                  </w:pPr>
                  <w:r w:rsidRPr="005D4222">
                    <w:t>ExclusionEmployeeOrDep</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90D5C61" w14:textId="77777777" w:rsidR="00E553AB" w:rsidRPr="005D4222" w:rsidRDefault="00E553AB" w:rsidP="00147273">
                  <w:pPr>
                    <w:pStyle w:val="TableText"/>
                    <w:rPr>
                      <w:rFonts w:eastAsia="Arial Narrow"/>
                    </w:rPr>
                  </w:pPr>
                  <w:r w:rsidRPr="005D4222">
                    <w:rPr>
                      <w:rFonts w:eastAsia="Arial Narrow"/>
                    </w:rPr>
                    <w:t>Report once</w:t>
                  </w:r>
                </w:p>
              </w:tc>
              <w:tc>
                <w:tcPr>
                  <w:tcW w:w="810" w:type="dxa"/>
                  <w:tcBorders>
                    <w:top w:val="single" w:sz="4" w:space="0" w:color="auto"/>
                    <w:left w:val="single" w:sz="4" w:space="0" w:color="auto"/>
                    <w:bottom w:val="single" w:sz="4" w:space="0" w:color="auto"/>
                    <w:right w:val="single" w:sz="4" w:space="0" w:color="auto"/>
                  </w:tcBorders>
                  <w:shd w:val="clear" w:color="auto" w:fill="FFFFFF" w:themeFill="background1"/>
                </w:tcPr>
                <w:p w14:paraId="109DEB54" w14:textId="77777777" w:rsidR="00E553AB" w:rsidRPr="005D4222" w:rsidRDefault="00E553AB" w:rsidP="00E553AB">
                  <w:pPr>
                    <w:spacing w:before="80" w:after="80" w:line="216" w:lineRule="auto"/>
                    <w:jc w:val="center"/>
                    <w:rPr>
                      <w:rFonts w:eastAsia="Arial Narrow" w:cs="Arial"/>
                      <w:szCs w:val="21"/>
                    </w:rPr>
                  </w:pPr>
                </w:p>
              </w:tc>
            </w:tr>
            <w:tr w:rsidR="00E553AB" w:rsidRPr="005D4222" w14:paraId="4A6F7B6E" w14:textId="77777777">
              <w:trPr>
                <w:gridBefore w:val="1"/>
                <w:wBefore w:w="13" w:type="dxa"/>
                <w:cantSplit/>
                <w:trHeight w:val="384"/>
              </w:trPr>
              <w:tc>
                <w:tcPr>
                  <w:tcW w:w="1873" w:type="dxa"/>
                  <w:tcBorders>
                    <w:top w:val="nil"/>
                    <w:left w:val="nil"/>
                    <w:bottom w:val="nil"/>
                    <w:right w:val="nil"/>
                  </w:tcBorders>
                </w:tcPr>
                <w:p w14:paraId="2D3BD85C" w14:textId="77777777" w:rsidR="00E553AB" w:rsidRPr="005D4222" w:rsidRDefault="00E553AB" w:rsidP="00147273">
                  <w:pPr>
                    <w:pStyle w:val="TableText"/>
                    <w:rPr>
                      <w:rFonts w:eastAsia="Arial Narrow"/>
                    </w:rPr>
                  </w:pPr>
                </w:p>
              </w:tc>
              <w:tc>
                <w:tcPr>
                  <w:tcW w:w="2610" w:type="dxa"/>
                  <w:tcBorders>
                    <w:top w:val="single" w:sz="4" w:space="0" w:color="auto"/>
                    <w:left w:val="single" w:sz="4" w:space="0" w:color="auto"/>
                    <w:bottom w:val="single" w:sz="4" w:space="0" w:color="auto"/>
                    <w:right w:val="single" w:sz="4" w:space="0" w:color="auto"/>
                  </w:tcBorders>
                  <w:hideMark/>
                </w:tcPr>
                <w:p w14:paraId="6BE8036E" w14:textId="77777777" w:rsidR="00E553AB" w:rsidRPr="005D4222" w:rsidRDefault="00E553AB" w:rsidP="00147273">
                  <w:pPr>
                    <w:pStyle w:val="TableText"/>
                    <w:rPr>
                      <w:rFonts w:eastAsia="Arial Narrow"/>
                    </w:rPr>
                  </w:pPr>
                  <w:r w:rsidRPr="005D4222">
                    <w:rPr>
                      <w:rFonts w:eastAsia="Arial Narrow"/>
                    </w:rPr>
                    <w:t>OversampleRecsAdded</w:t>
                  </w:r>
                </w:p>
              </w:tc>
              <w:tc>
                <w:tcPr>
                  <w:tcW w:w="2070" w:type="dxa"/>
                  <w:tcBorders>
                    <w:top w:val="single" w:sz="4" w:space="0" w:color="auto"/>
                    <w:left w:val="single" w:sz="4" w:space="0" w:color="auto"/>
                    <w:bottom w:val="single" w:sz="4" w:space="0" w:color="auto"/>
                    <w:right w:val="single" w:sz="4" w:space="0" w:color="auto"/>
                  </w:tcBorders>
                  <w:vAlign w:val="center"/>
                  <w:hideMark/>
                </w:tcPr>
                <w:p w14:paraId="3ED89423" w14:textId="77777777" w:rsidR="00E553AB" w:rsidRPr="005D4222" w:rsidRDefault="00E553AB" w:rsidP="00147273">
                  <w:pPr>
                    <w:pStyle w:val="TableText"/>
                    <w:rPr>
                      <w:rFonts w:eastAsia="Arial Narrow"/>
                    </w:rPr>
                  </w:pPr>
                  <w:r w:rsidRPr="005D4222">
                    <w:rPr>
                      <w:rFonts w:eastAsia="Arial Narrow"/>
                    </w:rPr>
                    <w:t>Report once</w:t>
                  </w:r>
                </w:p>
              </w:tc>
              <w:tc>
                <w:tcPr>
                  <w:tcW w:w="810" w:type="dxa"/>
                  <w:tcBorders>
                    <w:top w:val="single" w:sz="4" w:space="0" w:color="auto"/>
                    <w:left w:val="single" w:sz="4" w:space="0" w:color="auto"/>
                    <w:bottom w:val="single" w:sz="4" w:space="0" w:color="auto"/>
                    <w:right w:val="single" w:sz="4" w:space="0" w:color="auto"/>
                  </w:tcBorders>
                </w:tcPr>
                <w:p w14:paraId="15B7E240" w14:textId="77777777" w:rsidR="00E553AB" w:rsidRPr="005D4222" w:rsidRDefault="00E553AB" w:rsidP="00E553AB">
                  <w:pPr>
                    <w:spacing w:before="80" w:after="80" w:line="216" w:lineRule="auto"/>
                    <w:jc w:val="center"/>
                    <w:rPr>
                      <w:rFonts w:eastAsia="Arial Narrow" w:cs="Arial"/>
                      <w:szCs w:val="21"/>
                    </w:rPr>
                  </w:pPr>
                </w:p>
              </w:tc>
            </w:tr>
            <w:tr w:rsidR="00E553AB" w:rsidRPr="005D4222" w14:paraId="75E9FE00" w14:textId="77777777">
              <w:trPr>
                <w:gridBefore w:val="1"/>
                <w:wBefore w:w="13" w:type="dxa"/>
                <w:cantSplit/>
                <w:trHeight w:val="369"/>
              </w:trPr>
              <w:tc>
                <w:tcPr>
                  <w:tcW w:w="1873" w:type="dxa"/>
                  <w:tcBorders>
                    <w:top w:val="nil"/>
                    <w:left w:val="nil"/>
                    <w:bottom w:val="nil"/>
                    <w:right w:val="nil"/>
                  </w:tcBorders>
                </w:tcPr>
                <w:p w14:paraId="31DEFE0F" w14:textId="77777777" w:rsidR="00E553AB" w:rsidRPr="005D4222" w:rsidRDefault="00E553AB" w:rsidP="00147273">
                  <w:pPr>
                    <w:pStyle w:val="TableText"/>
                    <w:rPr>
                      <w:rFonts w:eastAsia="Arial Narrow"/>
                    </w:rPr>
                  </w:pPr>
                </w:p>
              </w:tc>
              <w:tc>
                <w:tcPr>
                  <w:tcW w:w="2610" w:type="dxa"/>
                  <w:tcBorders>
                    <w:top w:val="single" w:sz="4" w:space="0" w:color="auto"/>
                    <w:left w:val="single" w:sz="4" w:space="0" w:color="auto"/>
                    <w:bottom w:val="single" w:sz="4" w:space="0" w:color="auto"/>
                    <w:right w:val="single" w:sz="4" w:space="0" w:color="auto"/>
                  </w:tcBorders>
                  <w:hideMark/>
                </w:tcPr>
                <w:p w14:paraId="52C549C8" w14:textId="77777777" w:rsidR="00E553AB" w:rsidRPr="005D4222" w:rsidRDefault="00E553AB" w:rsidP="00147273">
                  <w:pPr>
                    <w:pStyle w:val="TableText"/>
                    <w:rPr>
                      <w:rFonts w:eastAsia="Arial Narrow"/>
                    </w:rPr>
                  </w:pPr>
                  <w:r w:rsidRPr="005D4222">
                    <w:t>NumeratorByAdmin</w:t>
                  </w:r>
                </w:p>
              </w:tc>
              <w:tc>
                <w:tcPr>
                  <w:tcW w:w="2070" w:type="dxa"/>
                  <w:tcBorders>
                    <w:top w:val="single" w:sz="4" w:space="0" w:color="auto"/>
                    <w:left w:val="single" w:sz="4" w:space="0" w:color="auto"/>
                    <w:bottom w:val="single" w:sz="4" w:space="0" w:color="auto"/>
                    <w:right w:val="single" w:sz="4" w:space="0" w:color="auto"/>
                  </w:tcBorders>
                  <w:hideMark/>
                </w:tcPr>
                <w:p w14:paraId="75AC70AB" w14:textId="77777777" w:rsidR="00E553AB" w:rsidRPr="005D4222" w:rsidRDefault="00E553AB" w:rsidP="00147273">
                  <w:pPr>
                    <w:pStyle w:val="TableText"/>
                    <w:rPr>
                      <w:rFonts w:eastAsia="Arial Narrow"/>
                    </w:rPr>
                  </w:pPr>
                  <w:r w:rsidRPr="005D4222">
                    <w:rPr>
                      <w:rFonts w:eastAsia="Arial Narrow"/>
                    </w:rPr>
                    <w:t>Report once</w:t>
                  </w:r>
                </w:p>
              </w:tc>
              <w:tc>
                <w:tcPr>
                  <w:tcW w:w="810" w:type="dxa"/>
                  <w:tcBorders>
                    <w:top w:val="single" w:sz="4" w:space="0" w:color="auto"/>
                    <w:left w:val="single" w:sz="4" w:space="0" w:color="auto"/>
                    <w:bottom w:val="single" w:sz="4" w:space="0" w:color="auto"/>
                    <w:right w:val="single" w:sz="4" w:space="0" w:color="auto"/>
                  </w:tcBorders>
                  <w:hideMark/>
                </w:tcPr>
                <w:p w14:paraId="736B495A" w14:textId="77777777" w:rsidR="00E553AB" w:rsidRPr="005D4222" w:rsidRDefault="00E553AB" w:rsidP="00E553AB">
                  <w:pPr>
                    <w:spacing w:before="80" w:after="80" w:line="216" w:lineRule="auto"/>
                    <w:jc w:val="center"/>
                    <w:rPr>
                      <w:rFonts w:eastAsia="Arial Narrow" w:cs="Arial"/>
                      <w:szCs w:val="21"/>
                    </w:rPr>
                  </w:pPr>
                  <w:r w:rsidRPr="005D4222">
                    <w:rPr>
                      <w:rFonts w:ascii="Wingdings" w:hAnsi="Wingdings"/>
                      <w:color w:val="000000" w:themeColor="text1"/>
                      <w:szCs w:val="21"/>
                    </w:rPr>
                    <w:t xml:space="preserve"> ü</w:t>
                  </w:r>
                  <w:r w:rsidRPr="005D4222" w:rsidDel="007E725D">
                    <w:rPr>
                      <w:rFonts w:ascii="Wingdings" w:hAnsi="Wingdings"/>
                      <w:color w:val="000000" w:themeColor="text1"/>
                      <w:szCs w:val="21"/>
                    </w:rPr>
                    <w:t xml:space="preserve"> </w:t>
                  </w:r>
                </w:p>
              </w:tc>
            </w:tr>
            <w:tr w:rsidR="00E553AB" w:rsidRPr="005D4222" w14:paraId="65E02F5F" w14:textId="77777777">
              <w:trPr>
                <w:gridBefore w:val="1"/>
                <w:wBefore w:w="13" w:type="dxa"/>
                <w:cantSplit/>
                <w:trHeight w:val="384"/>
              </w:trPr>
              <w:tc>
                <w:tcPr>
                  <w:tcW w:w="1873" w:type="dxa"/>
                  <w:tcBorders>
                    <w:top w:val="nil"/>
                    <w:left w:val="nil"/>
                    <w:bottom w:val="nil"/>
                    <w:right w:val="nil"/>
                  </w:tcBorders>
                </w:tcPr>
                <w:p w14:paraId="2CC22D07" w14:textId="77777777" w:rsidR="00E553AB" w:rsidRPr="005D4222" w:rsidRDefault="00E553AB" w:rsidP="00147273">
                  <w:pPr>
                    <w:pStyle w:val="TableText"/>
                    <w:rPr>
                      <w:rFonts w:eastAsia="Arial Narrow"/>
                    </w:rPr>
                  </w:pPr>
                </w:p>
              </w:tc>
              <w:tc>
                <w:tcPr>
                  <w:tcW w:w="2610" w:type="dxa"/>
                  <w:tcBorders>
                    <w:top w:val="single" w:sz="4" w:space="0" w:color="auto"/>
                    <w:left w:val="single" w:sz="4" w:space="0" w:color="auto"/>
                    <w:bottom w:val="single" w:sz="4" w:space="0" w:color="auto"/>
                    <w:right w:val="single" w:sz="4" w:space="0" w:color="auto"/>
                  </w:tcBorders>
                  <w:hideMark/>
                </w:tcPr>
                <w:p w14:paraId="30463618" w14:textId="77777777" w:rsidR="00E553AB" w:rsidRPr="005D4222" w:rsidRDefault="00E553AB" w:rsidP="00147273">
                  <w:pPr>
                    <w:pStyle w:val="TableText"/>
                    <w:rPr>
                      <w:rFonts w:eastAsia="Arial Narrow"/>
                    </w:rPr>
                  </w:pPr>
                  <w:r w:rsidRPr="005D4222">
                    <w:t>NumeratorByMedicalRecords</w:t>
                  </w:r>
                </w:p>
              </w:tc>
              <w:tc>
                <w:tcPr>
                  <w:tcW w:w="2070" w:type="dxa"/>
                  <w:tcBorders>
                    <w:top w:val="single" w:sz="4" w:space="0" w:color="auto"/>
                    <w:left w:val="single" w:sz="4" w:space="0" w:color="auto"/>
                    <w:bottom w:val="single" w:sz="4" w:space="0" w:color="auto"/>
                    <w:right w:val="single" w:sz="4" w:space="0" w:color="auto"/>
                  </w:tcBorders>
                  <w:hideMark/>
                </w:tcPr>
                <w:p w14:paraId="1095F450" w14:textId="77777777" w:rsidR="00E553AB" w:rsidRPr="005D4222" w:rsidRDefault="00E553AB" w:rsidP="00147273">
                  <w:pPr>
                    <w:pStyle w:val="TableText"/>
                    <w:rPr>
                      <w:rFonts w:eastAsia="Arial Narrow"/>
                    </w:rPr>
                  </w:pPr>
                  <w:r w:rsidRPr="005D4222">
                    <w:rPr>
                      <w:rFonts w:eastAsia="Arial Narrow"/>
                    </w:rPr>
                    <w:t>Report once</w:t>
                  </w:r>
                </w:p>
              </w:tc>
              <w:tc>
                <w:tcPr>
                  <w:tcW w:w="810" w:type="dxa"/>
                  <w:tcBorders>
                    <w:top w:val="single" w:sz="4" w:space="0" w:color="auto"/>
                    <w:left w:val="single" w:sz="4" w:space="0" w:color="auto"/>
                    <w:bottom w:val="single" w:sz="4" w:space="0" w:color="auto"/>
                    <w:right w:val="single" w:sz="4" w:space="0" w:color="auto"/>
                  </w:tcBorders>
                </w:tcPr>
                <w:p w14:paraId="63CA6060" w14:textId="77777777" w:rsidR="00E553AB" w:rsidRPr="005D4222" w:rsidRDefault="00E553AB" w:rsidP="00E553AB">
                  <w:pPr>
                    <w:spacing w:before="80" w:after="80" w:line="216" w:lineRule="auto"/>
                    <w:jc w:val="center"/>
                    <w:rPr>
                      <w:rFonts w:eastAsia="Arial Narrow" w:cs="Arial"/>
                      <w:szCs w:val="21"/>
                    </w:rPr>
                  </w:pPr>
                </w:p>
              </w:tc>
            </w:tr>
            <w:tr w:rsidR="00E553AB" w:rsidRPr="005D4222" w14:paraId="29C60221" w14:textId="77777777">
              <w:trPr>
                <w:gridBefore w:val="1"/>
                <w:wBefore w:w="13" w:type="dxa"/>
                <w:cantSplit/>
                <w:trHeight w:val="384"/>
              </w:trPr>
              <w:tc>
                <w:tcPr>
                  <w:tcW w:w="1873" w:type="dxa"/>
                  <w:tcBorders>
                    <w:top w:val="nil"/>
                    <w:left w:val="nil"/>
                    <w:bottom w:val="nil"/>
                    <w:right w:val="nil"/>
                  </w:tcBorders>
                </w:tcPr>
                <w:p w14:paraId="648629F3" w14:textId="77777777" w:rsidR="00E553AB" w:rsidRPr="005D4222" w:rsidRDefault="00E553AB" w:rsidP="00147273">
                  <w:pPr>
                    <w:pStyle w:val="TableText"/>
                    <w:rPr>
                      <w:rFonts w:eastAsia="Arial Narrow"/>
                    </w:rPr>
                  </w:pPr>
                </w:p>
              </w:tc>
              <w:tc>
                <w:tcPr>
                  <w:tcW w:w="261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A043256" w14:textId="77777777" w:rsidR="00E553AB" w:rsidRPr="005D4222" w:rsidRDefault="00E553AB" w:rsidP="00147273">
                  <w:pPr>
                    <w:pStyle w:val="TableText"/>
                    <w:rPr>
                      <w:rFonts w:eastAsia="Arial Narrow"/>
                    </w:rPr>
                  </w:pPr>
                  <w:r w:rsidRPr="005D4222">
                    <w:t>NumeratorBySupplemental</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E0BC5A9" w14:textId="77777777" w:rsidR="00E553AB" w:rsidRPr="005D4222" w:rsidRDefault="00E553AB" w:rsidP="00147273">
                  <w:pPr>
                    <w:pStyle w:val="TableText"/>
                    <w:rPr>
                      <w:rFonts w:eastAsia="Arial Narrow"/>
                    </w:rPr>
                  </w:pPr>
                  <w:r w:rsidRPr="005D4222">
                    <w:rPr>
                      <w:rFonts w:eastAsia="Arial Narrow"/>
                    </w:rPr>
                    <w:t>Report once</w:t>
                  </w:r>
                </w:p>
              </w:tc>
              <w:tc>
                <w:tcPr>
                  <w:tcW w:w="81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4AADBFC" w14:textId="77777777" w:rsidR="00E553AB" w:rsidRPr="005D4222" w:rsidRDefault="00E553AB" w:rsidP="00E553AB">
                  <w:pPr>
                    <w:spacing w:before="80" w:after="80" w:line="216" w:lineRule="auto"/>
                    <w:jc w:val="center"/>
                    <w:rPr>
                      <w:rFonts w:eastAsia="Arial Narrow" w:cs="Arial"/>
                      <w:szCs w:val="21"/>
                    </w:rPr>
                  </w:pPr>
                  <w:r w:rsidRPr="005D4222">
                    <w:rPr>
                      <w:rFonts w:ascii="Wingdings" w:hAnsi="Wingdings"/>
                      <w:color w:val="000000"/>
                      <w:szCs w:val="21"/>
                      <w:shd w:val="clear" w:color="auto" w:fill="FFFFFF"/>
                    </w:rPr>
                    <w:t>ü</w:t>
                  </w:r>
                </w:p>
              </w:tc>
            </w:tr>
            <w:tr w:rsidR="00E553AB" w:rsidRPr="005D4222" w14:paraId="5F6A597F" w14:textId="77777777">
              <w:trPr>
                <w:gridBefore w:val="1"/>
                <w:wBefore w:w="13" w:type="dxa"/>
                <w:cantSplit/>
                <w:trHeight w:val="384"/>
              </w:trPr>
              <w:tc>
                <w:tcPr>
                  <w:tcW w:w="1873" w:type="dxa"/>
                  <w:tcBorders>
                    <w:top w:val="nil"/>
                    <w:left w:val="nil"/>
                    <w:bottom w:val="nil"/>
                    <w:right w:val="nil"/>
                  </w:tcBorders>
                </w:tcPr>
                <w:p w14:paraId="2C4C6C94" w14:textId="77777777" w:rsidR="00E553AB" w:rsidRPr="005D4222" w:rsidRDefault="00E553AB" w:rsidP="00147273">
                  <w:pPr>
                    <w:pStyle w:val="TableText"/>
                    <w:rPr>
                      <w:rFonts w:eastAsia="Arial Narrow"/>
                    </w:rPr>
                  </w:pPr>
                </w:p>
              </w:tc>
              <w:tc>
                <w:tcPr>
                  <w:tcW w:w="261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AEE3346" w14:textId="77777777" w:rsidR="00E553AB" w:rsidRPr="005D4222" w:rsidRDefault="00E553AB" w:rsidP="00147273">
                  <w:pPr>
                    <w:pStyle w:val="TableText"/>
                  </w:pPr>
                  <w:r w:rsidRPr="005D4222">
                    <w:t>Rate</w:t>
                  </w:r>
                </w:p>
              </w:tc>
              <w:tc>
                <w:tcPr>
                  <w:tcW w:w="207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F31BF2C" w14:textId="77777777" w:rsidR="00E553AB" w:rsidRPr="005D4222" w:rsidRDefault="00E553AB" w:rsidP="00147273">
                  <w:pPr>
                    <w:pStyle w:val="TableText"/>
                    <w:rPr>
                      <w:rFonts w:eastAsia="Arial Narrow"/>
                    </w:rPr>
                  </w:pPr>
                  <w:r w:rsidRPr="005D4222">
                    <w:rPr>
                      <w:rFonts w:eastAsia="Arial Narrow"/>
                    </w:rPr>
                    <w:t>(Percent)</w:t>
                  </w:r>
                </w:p>
              </w:tc>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27FE468" w14:textId="77777777" w:rsidR="00E553AB" w:rsidRPr="005D4222" w:rsidRDefault="00E553AB" w:rsidP="00E553AB">
                  <w:pPr>
                    <w:spacing w:before="80" w:after="80" w:line="216" w:lineRule="auto"/>
                    <w:jc w:val="center"/>
                    <w:rPr>
                      <w:rFonts w:ascii="Wingdings" w:eastAsia="Arial Narrow" w:hAnsi="Wingdings" w:cs="Arial"/>
                      <w:szCs w:val="21"/>
                    </w:rPr>
                  </w:pPr>
                  <w:r w:rsidRPr="005D4222">
                    <w:rPr>
                      <w:rFonts w:ascii="Wingdings" w:eastAsia="Wingdings" w:hAnsi="Wingdings" w:cs="Arial"/>
                      <w:szCs w:val="21"/>
                    </w:rPr>
                    <w:t>ü</w:t>
                  </w:r>
                </w:p>
              </w:tc>
            </w:tr>
          </w:tbl>
          <w:p w14:paraId="0DF856AC" w14:textId="77777777" w:rsidR="00E553AB" w:rsidRPr="005D4222" w:rsidRDefault="00E553AB" w:rsidP="00E553AB">
            <w:pPr>
              <w:spacing w:before="40" w:after="40"/>
              <w:rPr>
                <w:rFonts w:cs="Arial"/>
                <w:color w:val="000000" w:themeColor="text1"/>
                <w:szCs w:val="21"/>
                <w:highlight w:val="yellow"/>
              </w:rPr>
            </w:pPr>
          </w:p>
        </w:tc>
      </w:tr>
      <w:tr w:rsidR="00E553AB" w:rsidRPr="005D4222" w14:paraId="46CB7D41" w14:textId="77777777" w:rsidTr="00815361">
        <w:trPr>
          <w:trHeight w:val="45"/>
        </w:trPr>
        <w:tc>
          <w:tcPr>
            <w:tcW w:w="197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B2D40EA" w14:textId="77777777" w:rsidR="00E553AB" w:rsidRPr="005D4222" w:rsidRDefault="00E553AB" w:rsidP="00E553AB">
            <w:pPr>
              <w:pStyle w:val="ECDSMarginHead"/>
            </w:pPr>
            <w:r w:rsidRPr="005D4222">
              <w:t>Rules for Allowable Adjustments</w:t>
            </w:r>
          </w:p>
        </w:tc>
        <w:tc>
          <w:tcPr>
            <w:tcW w:w="773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2202442" w14:textId="77777777" w:rsidR="00E553AB" w:rsidRPr="005D4222" w:rsidRDefault="00E553AB" w:rsidP="00147273">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261BA3E3" w14:textId="77777777" w:rsidR="00E553AB" w:rsidRPr="005D4222" w:rsidRDefault="00E553AB" w:rsidP="00147273">
            <w:pPr>
              <w:pStyle w:val="ECDSBody"/>
              <w:rPr>
                <w:b/>
              </w:rPr>
            </w:pPr>
            <w:r w:rsidRPr="005D4222">
              <w:rPr>
                <w:b/>
              </w:rPr>
              <w:t>Adjusted HEDIS measures may not be used for HEDIS health plan reporting.</w:t>
            </w:r>
          </w:p>
          <w:p w14:paraId="0D6AFFE1" w14:textId="77777777" w:rsidR="00E553AB" w:rsidRPr="005D4222" w:rsidRDefault="00E553AB" w:rsidP="00147273">
            <w:pPr>
              <w:pStyle w:val="ECDSBody"/>
              <w:rPr>
                <w:b/>
                <w:color w:val="000000"/>
                <w:shd w:val="clear" w:color="auto" w:fill="FFFFFF"/>
              </w:rPr>
            </w:pPr>
            <w:r w:rsidRPr="005D4222">
              <w:rPr>
                <w:b/>
                <w:color w:val="000000"/>
                <w:shd w:val="clear" w:color="auto" w:fill="FFFFFF"/>
              </w:rPr>
              <w:t>The Rules do not apply to the hybrid portion of the measure; only the administrative sections may be changed.</w:t>
            </w:r>
          </w:p>
          <w:p w14:paraId="5CE71EFF" w14:textId="77777777" w:rsidR="00E553AB" w:rsidRPr="005D4222" w:rsidRDefault="00E553AB" w:rsidP="00E553AB">
            <w:pPr>
              <w:pStyle w:val="Adjustments"/>
              <w:rPr>
                <w:bCs/>
              </w:rPr>
            </w:pPr>
            <w:r w:rsidRPr="005D4222">
              <w:t>Adjustments allowed</w:t>
            </w:r>
          </w:p>
          <w:p w14:paraId="299D08AF" w14:textId="1F53CECB" w:rsidR="00E553AB" w:rsidRPr="005D4222" w:rsidRDefault="00E553AB" w:rsidP="00147273">
            <w:pPr>
              <w:pStyle w:val="ProcessBullet"/>
            </w:pPr>
            <w:r w:rsidRPr="005D4222">
              <w:rPr>
                <w:i/>
              </w:rPr>
              <w:t xml:space="preserve">Product lines. </w:t>
            </w:r>
            <w:r w:rsidRPr="005D4222">
              <w:rPr>
                <w:rFonts w:eastAsia="Arial"/>
              </w:rPr>
              <w:t>Organizations are not required to use product line criteria; product lines may be combined</w:t>
            </w:r>
            <w:r w:rsidR="00E8671F" w:rsidRPr="005D4222">
              <w:rPr>
                <w:rFonts w:eastAsia="Arial"/>
              </w:rPr>
              <w:t>,</w:t>
            </w:r>
            <w:r w:rsidRPr="005D4222">
              <w:rPr>
                <w:rFonts w:eastAsia="Arial"/>
              </w:rPr>
              <w:t xml:space="preserve"> and all (or no) product line criteria may be used.</w:t>
            </w:r>
          </w:p>
          <w:p w14:paraId="0862F892" w14:textId="77777777" w:rsidR="00E553AB" w:rsidRPr="005D4222" w:rsidRDefault="00E553AB" w:rsidP="00147273">
            <w:pPr>
              <w:pStyle w:val="ProcessBullet"/>
              <w:rPr>
                <w:b/>
                <w:bCs/>
                <w:color w:val="000000" w:themeColor="text1"/>
              </w:rPr>
            </w:pPr>
            <w:r w:rsidRPr="005D4222">
              <w:rPr>
                <w:i/>
                <w:iCs/>
              </w:rPr>
              <w:t>Attribution.</w:t>
            </w:r>
            <w:r w:rsidRPr="005D4222">
              <w:t xml:space="preserve"> Organizations are not required to use enrollment criteria. </w:t>
            </w:r>
          </w:p>
          <w:p w14:paraId="57E6A818" w14:textId="008BBE43" w:rsidR="00E553AB" w:rsidRPr="005D4222" w:rsidRDefault="00362E76" w:rsidP="00147273">
            <w:pPr>
              <w:pStyle w:val="ProcessBullet"/>
              <w:spacing w:after="80"/>
            </w:pPr>
            <w:r w:rsidRPr="005D4222">
              <w:rPr>
                <w:i/>
                <w:iCs/>
              </w:rPr>
              <w:t>Benefits.</w:t>
            </w:r>
            <w:r w:rsidR="00E553AB" w:rsidRPr="005D4222">
              <w:t xml:space="preserve"> Organizations are not required to use a benefit.</w:t>
            </w:r>
          </w:p>
        </w:tc>
      </w:tr>
    </w:tbl>
    <w:p w14:paraId="0844D3F8" w14:textId="1F14BA23" w:rsidR="00147273" w:rsidRPr="005D4222" w:rsidRDefault="00147273"/>
    <w:p w14:paraId="79359EC9" w14:textId="77777777" w:rsidR="00147273" w:rsidRPr="005D4222" w:rsidRDefault="00147273">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1977"/>
        <w:gridCol w:w="7737"/>
      </w:tblGrid>
      <w:tr w:rsidR="00E553AB" w:rsidRPr="005D4222" w14:paraId="442FDFE2" w14:textId="77777777" w:rsidTr="00815361">
        <w:trPr>
          <w:trHeight w:val="45"/>
        </w:trPr>
        <w:tc>
          <w:tcPr>
            <w:tcW w:w="197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7910CF8" w14:textId="77777777" w:rsidR="00E553AB" w:rsidRPr="005D4222" w:rsidRDefault="00E553AB" w:rsidP="00E553AB">
            <w:pPr>
              <w:spacing w:before="120" w:after="80"/>
              <w:rPr>
                <w:b/>
                <w:sz w:val="22"/>
                <w:szCs w:val="21"/>
              </w:rPr>
            </w:pPr>
          </w:p>
        </w:tc>
        <w:tc>
          <w:tcPr>
            <w:tcW w:w="773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2AB3E37" w14:textId="77777777" w:rsidR="00E553AB" w:rsidRPr="005D4222" w:rsidRDefault="00E553AB" w:rsidP="00147273">
            <w:pPr>
              <w:pStyle w:val="ProcessBullet"/>
              <w:rPr>
                <w:b/>
                <w:bCs/>
                <w:color w:val="000000" w:themeColor="text1"/>
              </w:rPr>
            </w:pPr>
            <w:r w:rsidRPr="005D4222">
              <w:rPr>
                <w:i/>
                <w:iCs/>
              </w:rPr>
              <w:t>Other.</w:t>
            </w:r>
            <w:r w:rsidRPr="005D4222">
              <w:t xml:space="preserve"> Organizations may use additional initial population criteria to focus on an area of interest defined by gender, race, ethnicity, socioeconomic or sociodemographic characteristics, geographic region or another characteristic.</w:t>
            </w:r>
          </w:p>
          <w:p w14:paraId="5E7E9FB1" w14:textId="77777777" w:rsidR="00E553AB" w:rsidRPr="005D4222" w:rsidRDefault="00E553AB" w:rsidP="00147273">
            <w:pPr>
              <w:pStyle w:val="ProcessBullet"/>
              <w:rPr>
                <w:b/>
                <w:bCs/>
                <w:color w:val="000000" w:themeColor="text1"/>
              </w:rPr>
            </w:pPr>
            <w:r w:rsidRPr="005D4222">
              <w:rPr>
                <w:i/>
                <w:iCs/>
              </w:rPr>
              <w:t>Measurement period adjustments.</w:t>
            </w:r>
            <w:r w:rsidRPr="005D4222">
              <w:t xml:space="preserve"> Organizations may adjust the measurement period. </w:t>
            </w:r>
          </w:p>
          <w:p w14:paraId="3AC12FBA" w14:textId="32FE8DE3" w:rsidR="00E553AB" w:rsidRPr="005D4222" w:rsidRDefault="00E553AB" w:rsidP="00147273">
            <w:pPr>
              <w:pStyle w:val="ProcessBullet"/>
              <w:rPr>
                <w:b/>
                <w:bCs/>
                <w:color w:val="000000" w:themeColor="text1"/>
              </w:rPr>
            </w:pPr>
            <w:r w:rsidRPr="005D4222">
              <w:rPr>
                <w:i/>
                <w:iCs/>
              </w:rPr>
              <w:t>Exclusions.</w:t>
            </w:r>
            <w:r w:rsidRPr="005D4222">
              <w:t xml:space="preserve"> </w:t>
            </w:r>
            <w:r w:rsidR="004B4E34" w:rsidRPr="005D4222">
              <w:t>The h</w:t>
            </w:r>
            <w:r w:rsidRPr="005D4222">
              <w:t xml:space="preserve">ospice, deceased persons, palliative care, I-SNP, LTI, frailty </w:t>
            </w:r>
            <w:r w:rsidR="004B4E34" w:rsidRPr="005D4222">
              <w:t>and</w:t>
            </w:r>
            <w:r w:rsidRPr="005D4222">
              <w:t xml:space="preserve"> advanced illness exclusions are not required. </w:t>
            </w:r>
          </w:p>
          <w:p w14:paraId="2050D807" w14:textId="1FE28BE9" w:rsidR="00E553AB" w:rsidRPr="005D4222" w:rsidRDefault="00E553AB" w:rsidP="00147273">
            <w:pPr>
              <w:pStyle w:val="ProcessBullet"/>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w:t>
            </w:r>
            <w:r w:rsidR="007D4B79" w:rsidRPr="005D4222">
              <w:t>events/diagnoses</w:t>
            </w:r>
            <w:r w:rsidRPr="005D4222">
              <w:t>, numerators and exclusions that do not allow the use of telehealth.</w:t>
            </w:r>
          </w:p>
          <w:p w14:paraId="587C35C5" w14:textId="77777777" w:rsidR="00E553AB" w:rsidRPr="005D4222" w:rsidRDefault="00E553AB" w:rsidP="00147273">
            <w:pPr>
              <w:pStyle w:val="ProcessBullet"/>
            </w:pPr>
            <w:r w:rsidRPr="005D4222">
              <w:rPr>
                <w:i/>
                <w:iCs/>
              </w:rPr>
              <w:t>Supplemental data.</w:t>
            </w:r>
            <w:r w:rsidRPr="005D4222">
              <w:t xml:space="preserve"> Supplemental data may be used to identify initial population, denominator, exclusion and numerator events.</w:t>
            </w:r>
          </w:p>
          <w:p w14:paraId="3027AD5F" w14:textId="77777777" w:rsidR="00E553AB" w:rsidRPr="005D4222" w:rsidRDefault="00E553AB" w:rsidP="00E553AB">
            <w:pPr>
              <w:pStyle w:val="Adjustments"/>
              <w:rPr>
                <w:bCs/>
              </w:rPr>
            </w:pPr>
            <w:r w:rsidRPr="005D4222">
              <w:t>Adjustments allowed with limits</w:t>
            </w:r>
          </w:p>
          <w:p w14:paraId="7D32D114" w14:textId="77777777" w:rsidR="00E553AB" w:rsidRPr="005D4222" w:rsidRDefault="00E553AB" w:rsidP="00992C3B">
            <w:pPr>
              <w:numPr>
                <w:ilvl w:val="0"/>
                <w:numId w:val="43"/>
              </w:numPr>
              <w:spacing w:before="80"/>
              <w:ind w:left="216" w:hanging="216"/>
              <w:rPr>
                <w:rFonts w:eastAsia="Arial"/>
                <w:szCs w:val="21"/>
              </w:rPr>
            </w:pPr>
            <w:r w:rsidRPr="005D4222">
              <w:rPr>
                <w:rFonts w:eastAsia="Arial"/>
                <w:i/>
                <w:iCs/>
                <w:szCs w:val="21"/>
              </w:rPr>
              <w:t xml:space="preserve">Ages. </w:t>
            </w:r>
            <w:r w:rsidRPr="005D4222">
              <w:rPr>
                <w:rFonts w:eastAsia="Arial"/>
                <w:szCs w:val="21"/>
              </w:rPr>
              <w:t>Age determination dates may be changed (e.g., select, “age as of June 30”). Changing the denominator age range is allowed within a specified age range (</w:t>
            </w:r>
            <w:r w:rsidRPr="005D4222" w:rsidDel="00456031">
              <w:rPr>
                <w:rFonts w:eastAsia="Arial"/>
                <w:szCs w:val="21"/>
              </w:rPr>
              <w:t xml:space="preserve">ages </w:t>
            </w:r>
            <w:r w:rsidRPr="005D4222">
              <w:rPr>
                <w:rFonts w:eastAsia="Arial"/>
                <w:szCs w:val="21"/>
              </w:rPr>
              <w:t>18–75 years). The denominator age may not be expanded.</w:t>
            </w:r>
          </w:p>
          <w:p w14:paraId="218BD59E" w14:textId="77777777" w:rsidR="00E553AB" w:rsidRPr="005D4222" w:rsidRDefault="00E553AB" w:rsidP="00E553AB">
            <w:pPr>
              <w:pStyle w:val="Adjustments"/>
              <w:rPr>
                <w:bCs/>
              </w:rPr>
            </w:pPr>
            <w:r w:rsidRPr="005D4222">
              <w:t>Adjustments not allowed</w:t>
            </w:r>
          </w:p>
          <w:p w14:paraId="0C8ED0DD" w14:textId="77777777" w:rsidR="00E553AB" w:rsidRPr="005D4222" w:rsidRDefault="00E553AB" w:rsidP="00992C3B">
            <w:pPr>
              <w:numPr>
                <w:ilvl w:val="0"/>
                <w:numId w:val="43"/>
              </w:numPr>
              <w:spacing w:before="80"/>
              <w:ind w:left="216" w:hanging="216"/>
              <w:rPr>
                <w:szCs w:val="21"/>
              </w:rPr>
            </w:pPr>
            <w:r w:rsidRPr="005D4222">
              <w:rPr>
                <w:i/>
                <w:szCs w:val="21"/>
              </w:rPr>
              <w:t>Initial population:</w:t>
            </w:r>
            <w:r w:rsidRPr="005D4222">
              <w:rPr>
                <w:iCs/>
                <w:szCs w:val="21"/>
              </w:rPr>
              <w:t xml:space="preserve"> Event. </w:t>
            </w:r>
            <w:r w:rsidRPr="005D4222">
              <w:rPr>
                <w:szCs w:val="21"/>
              </w:rPr>
              <w:t xml:space="preserve">Only events or diagnoses that contain (or map to) codes in the medication lists and value sets may be used to identify visits. Medication lists, value sets and logic may not be changed. </w:t>
            </w:r>
          </w:p>
          <w:p w14:paraId="5DEF662E" w14:textId="77777777" w:rsidR="00E553AB" w:rsidRPr="005D4222" w:rsidRDefault="00E553AB" w:rsidP="00992C3B">
            <w:pPr>
              <w:numPr>
                <w:ilvl w:val="0"/>
                <w:numId w:val="43"/>
              </w:numPr>
              <w:spacing w:before="80" w:after="80"/>
              <w:ind w:left="216" w:hanging="216"/>
              <w:rPr>
                <w:b/>
                <w:i/>
                <w:szCs w:val="21"/>
              </w:rPr>
            </w:pPr>
            <w:r w:rsidRPr="005D4222">
              <w:rPr>
                <w:i/>
                <w:szCs w:val="21"/>
              </w:rPr>
              <w:t xml:space="preserve">Numerator. </w:t>
            </w:r>
            <w:r w:rsidRPr="005D4222">
              <w:rPr>
                <w:rFonts w:eastAsia="Arial"/>
                <w:szCs w:val="21"/>
              </w:rPr>
              <w:t>Value sets and logic may not be changed.</w:t>
            </w:r>
          </w:p>
        </w:tc>
      </w:tr>
    </w:tbl>
    <w:p w14:paraId="1B004808" w14:textId="77777777" w:rsidR="008D2096" w:rsidRPr="005D4222" w:rsidRDefault="008D2096" w:rsidP="00906B2D">
      <w:pPr>
        <w:pStyle w:val="ECDSBody"/>
        <w:sectPr w:rsidR="008D2096" w:rsidRPr="005D4222" w:rsidSect="0074514A">
          <w:headerReference w:type="default" r:id="rId105"/>
          <w:type w:val="nextColumn"/>
          <w:pgSz w:w="12240" w:h="15840" w:code="1"/>
          <w:pgMar w:top="1080" w:right="1080" w:bottom="1080" w:left="1440" w:header="720" w:footer="720" w:gutter="0"/>
          <w:cols w:space="720"/>
          <w:docGrid w:linePitch="360"/>
        </w:sectPr>
      </w:pPr>
    </w:p>
    <w:p w14:paraId="4501CC8E" w14:textId="1E5FD59F" w:rsidR="00906B2D" w:rsidRPr="005D4222" w:rsidRDefault="00C46E3F" w:rsidP="00C46E3F">
      <w:pPr>
        <w:pStyle w:val="MeasureTitle"/>
      </w:pPr>
      <w:bookmarkStart w:id="291" w:name="_Toc201813402"/>
      <w:r w:rsidRPr="005D4222">
        <w:lastRenderedPageBreak/>
        <w:t>Eye Exam for Patients With Diabetes</w:t>
      </w:r>
      <w:r w:rsidR="004C0737" w:rsidRPr="005D4222">
        <w:t xml:space="preserve"> (EED)</w:t>
      </w:r>
      <w:bookmarkEnd w:id="291"/>
    </w:p>
    <w:tbl>
      <w:tblPr>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6"/>
        <w:gridCol w:w="4714"/>
        <w:gridCol w:w="1504"/>
        <w:gridCol w:w="1334"/>
      </w:tblGrid>
      <w:tr w:rsidR="00AF4FD9" w:rsidRPr="005D4222" w14:paraId="5E042487" w14:textId="77777777" w:rsidTr="000E06AB">
        <w:trPr>
          <w:trHeight w:val="300"/>
        </w:trPr>
        <w:tc>
          <w:tcPr>
            <w:tcW w:w="2156" w:type="dxa"/>
            <w:shd w:val="clear" w:color="auto" w:fill="BFBFBF" w:themeFill="background1" w:themeFillShade="BF"/>
            <w:tcMar>
              <w:top w:w="0" w:type="dxa"/>
              <w:left w:w="86" w:type="dxa"/>
              <w:bottom w:w="43" w:type="dxa"/>
              <w:right w:w="86" w:type="dxa"/>
            </w:tcMar>
            <w:hideMark/>
          </w:tcPr>
          <w:p w14:paraId="255BD89D" w14:textId="77777777" w:rsidR="00AF4FD9" w:rsidRPr="005D4222" w:rsidRDefault="00AF4FD9">
            <w:pPr>
              <w:pStyle w:val="ECDSMarginHead"/>
            </w:pPr>
            <w:r w:rsidRPr="005D4222">
              <w:t>Measure title</w:t>
            </w:r>
          </w:p>
        </w:tc>
        <w:tc>
          <w:tcPr>
            <w:tcW w:w="4715" w:type="dxa"/>
            <w:tcMar>
              <w:top w:w="0" w:type="dxa"/>
              <w:left w:w="86" w:type="dxa"/>
              <w:bottom w:w="43" w:type="dxa"/>
              <w:right w:w="86" w:type="dxa"/>
            </w:tcMar>
          </w:tcPr>
          <w:p w14:paraId="4F91D79A" w14:textId="77777777" w:rsidR="00AF4FD9" w:rsidRPr="005D4222" w:rsidRDefault="00AF4FD9">
            <w:pPr>
              <w:pStyle w:val="ECDSBody"/>
            </w:pPr>
            <w:r w:rsidRPr="005D4222">
              <w:t xml:space="preserve">Eye Exam for Patients With Diabetes </w:t>
            </w:r>
          </w:p>
        </w:tc>
        <w:tc>
          <w:tcPr>
            <w:tcW w:w="1504" w:type="dxa"/>
            <w:shd w:val="clear" w:color="auto" w:fill="BFBFBF" w:themeFill="background1" w:themeFillShade="BF"/>
            <w:tcMar>
              <w:top w:w="0" w:type="dxa"/>
              <w:left w:w="86" w:type="dxa"/>
              <w:bottom w:w="43" w:type="dxa"/>
              <w:right w:w="86" w:type="dxa"/>
            </w:tcMar>
          </w:tcPr>
          <w:p w14:paraId="2908FD3F" w14:textId="77777777" w:rsidR="00AF4FD9" w:rsidRPr="005D4222" w:rsidRDefault="00AF4FD9">
            <w:pPr>
              <w:pStyle w:val="ECDSMarginHead"/>
            </w:pPr>
            <w:r w:rsidRPr="005D4222">
              <w:t>Measure ID</w:t>
            </w:r>
          </w:p>
        </w:tc>
        <w:tc>
          <w:tcPr>
            <w:tcW w:w="1334" w:type="dxa"/>
            <w:tcMar>
              <w:top w:w="0" w:type="dxa"/>
              <w:left w:w="86" w:type="dxa"/>
              <w:bottom w:w="43" w:type="dxa"/>
              <w:right w:w="86" w:type="dxa"/>
            </w:tcMar>
          </w:tcPr>
          <w:p w14:paraId="58E82C9B" w14:textId="77777777" w:rsidR="00AF4FD9" w:rsidRPr="005D4222" w:rsidRDefault="00AF4FD9">
            <w:pPr>
              <w:pStyle w:val="ECDSBody"/>
            </w:pPr>
            <w:r w:rsidRPr="005D4222">
              <w:t>EED</w:t>
            </w:r>
          </w:p>
        </w:tc>
      </w:tr>
      <w:tr w:rsidR="00AF4FD9" w:rsidRPr="005D4222" w14:paraId="7146737E" w14:textId="77777777" w:rsidTr="000E06AB">
        <w:trPr>
          <w:trHeight w:val="300"/>
        </w:trPr>
        <w:tc>
          <w:tcPr>
            <w:tcW w:w="2156" w:type="dxa"/>
            <w:shd w:val="clear" w:color="auto" w:fill="BFBFBF" w:themeFill="background1" w:themeFillShade="BF"/>
            <w:tcMar>
              <w:top w:w="0" w:type="dxa"/>
              <w:left w:w="86" w:type="dxa"/>
              <w:bottom w:w="43" w:type="dxa"/>
              <w:right w:w="86" w:type="dxa"/>
            </w:tcMar>
            <w:hideMark/>
          </w:tcPr>
          <w:p w14:paraId="5FFA304C" w14:textId="77777777" w:rsidR="00AF4FD9" w:rsidRPr="005D4222" w:rsidRDefault="00AF4FD9">
            <w:pPr>
              <w:pStyle w:val="ECDSMarginHead"/>
            </w:pPr>
            <w:r w:rsidRPr="005D4222">
              <w:t>Description</w:t>
            </w:r>
          </w:p>
        </w:tc>
        <w:tc>
          <w:tcPr>
            <w:tcW w:w="7553" w:type="dxa"/>
            <w:gridSpan w:val="3"/>
            <w:tcMar>
              <w:top w:w="0" w:type="dxa"/>
              <w:left w:w="86" w:type="dxa"/>
              <w:bottom w:w="43" w:type="dxa"/>
              <w:right w:w="86" w:type="dxa"/>
            </w:tcMar>
          </w:tcPr>
          <w:p w14:paraId="1C1BCAF9" w14:textId="77777777" w:rsidR="00AF4FD9" w:rsidRPr="005D4222" w:rsidRDefault="00AF4FD9">
            <w:pPr>
              <w:pStyle w:val="ECDSBody"/>
            </w:pPr>
            <w:r w:rsidRPr="005D4222">
              <w:t>The percentage of persons 18–75 years of age with diabetes (type 1 or type 2) who had a retinal eye exam.</w:t>
            </w:r>
          </w:p>
        </w:tc>
      </w:tr>
      <w:tr w:rsidR="00AF4FD9" w:rsidRPr="005D4222" w14:paraId="192485D8" w14:textId="77777777" w:rsidTr="000E06AB">
        <w:trPr>
          <w:trHeight w:val="300"/>
        </w:trPr>
        <w:tc>
          <w:tcPr>
            <w:tcW w:w="2156" w:type="dxa"/>
            <w:shd w:val="clear" w:color="auto" w:fill="BFBFBF" w:themeFill="background1" w:themeFillShade="BF"/>
            <w:tcMar>
              <w:top w:w="0" w:type="dxa"/>
              <w:left w:w="86" w:type="dxa"/>
              <w:bottom w:w="43" w:type="dxa"/>
              <w:right w:w="86" w:type="dxa"/>
            </w:tcMar>
          </w:tcPr>
          <w:p w14:paraId="36C99C17" w14:textId="77777777" w:rsidR="00AF4FD9" w:rsidRPr="005D4222" w:rsidRDefault="00AF4FD9">
            <w:pPr>
              <w:pStyle w:val="ECDSMarginHead"/>
            </w:pPr>
            <w:r w:rsidRPr="005D4222">
              <w:t>Measurement period</w:t>
            </w:r>
          </w:p>
        </w:tc>
        <w:tc>
          <w:tcPr>
            <w:tcW w:w="7553" w:type="dxa"/>
            <w:gridSpan w:val="3"/>
            <w:tcMar>
              <w:top w:w="0" w:type="dxa"/>
              <w:left w:w="86" w:type="dxa"/>
              <w:bottom w:w="43" w:type="dxa"/>
              <w:right w:w="86" w:type="dxa"/>
            </w:tcMar>
          </w:tcPr>
          <w:p w14:paraId="6F75E6CF" w14:textId="77777777" w:rsidR="00AF4FD9" w:rsidRPr="005D4222" w:rsidRDefault="00AF4FD9">
            <w:pPr>
              <w:pStyle w:val="ECDSBody"/>
            </w:pPr>
            <w:r w:rsidRPr="005D4222">
              <w:t>January 1–December 31.</w:t>
            </w:r>
          </w:p>
        </w:tc>
      </w:tr>
      <w:tr w:rsidR="00AF4FD9" w:rsidRPr="005D4222" w14:paraId="346E7009" w14:textId="77777777" w:rsidTr="000E06AB">
        <w:trPr>
          <w:trHeight w:val="300"/>
        </w:trPr>
        <w:tc>
          <w:tcPr>
            <w:tcW w:w="2156" w:type="dxa"/>
            <w:shd w:val="clear" w:color="auto" w:fill="BFBFBF" w:themeFill="background1" w:themeFillShade="BF"/>
            <w:tcMar>
              <w:top w:w="0" w:type="dxa"/>
              <w:left w:w="86" w:type="dxa"/>
              <w:bottom w:w="43" w:type="dxa"/>
              <w:right w:w="86" w:type="dxa"/>
            </w:tcMar>
            <w:hideMark/>
          </w:tcPr>
          <w:p w14:paraId="292F5FA6" w14:textId="77777777" w:rsidR="00AF4FD9" w:rsidRPr="005D4222" w:rsidRDefault="00AF4FD9">
            <w:pPr>
              <w:pStyle w:val="ECDSMarginHead"/>
              <w:rPr>
                <w:rFonts w:eastAsia="Arial"/>
              </w:rPr>
            </w:pPr>
            <w:r w:rsidRPr="005D4222">
              <w:rPr>
                <w:rFonts w:eastAsia="Arial"/>
              </w:rPr>
              <w:t>Copyright and disclaimer notice</w:t>
            </w:r>
          </w:p>
        </w:tc>
        <w:tc>
          <w:tcPr>
            <w:tcW w:w="7553" w:type="dxa"/>
            <w:gridSpan w:val="3"/>
            <w:tcMar>
              <w:top w:w="0" w:type="dxa"/>
              <w:left w:w="86" w:type="dxa"/>
              <w:bottom w:w="43" w:type="dxa"/>
              <w:right w:w="86" w:type="dxa"/>
            </w:tcMar>
          </w:tcPr>
          <w:p w14:paraId="19753547" w14:textId="77777777" w:rsidR="00AF4FD9" w:rsidRPr="005D4222" w:rsidRDefault="00AF4FD9">
            <w:pPr>
              <w:pStyle w:val="ECDSBody"/>
            </w:pPr>
            <w:r w:rsidRPr="005D4222">
              <w:t xml:space="preserve">Refer to the complete copyright and disclaimer information at the front of this publication. </w:t>
            </w:r>
          </w:p>
          <w:p w14:paraId="4089B3B1" w14:textId="77777777" w:rsidR="00AF4FD9" w:rsidRPr="005D4222" w:rsidRDefault="00AF4FD9">
            <w:pPr>
              <w:pStyle w:val="ECDSBody"/>
              <w:spacing w:before="80"/>
              <w:rPr>
                <w:szCs w:val="21"/>
              </w:rPr>
            </w:pPr>
            <w:r w:rsidRPr="005D4222">
              <w:rPr>
                <w:szCs w:val="21"/>
              </w:rPr>
              <w:t xml:space="preserve">NCQA website: </w:t>
            </w:r>
            <w:r w:rsidRPr="005D4222">
              <w:rPr>
                <w:szCs w:val="21"/>
                <w:u w:val="single"/>
              </w:rPr>
              <w:t>www.ncqa.org</w:t>
            </w:r>
            <w:r w:rsidRPr="005D4222">
              <w:rPr>
                <w:szCs w:val="21"/>
              </w:rPr>
              <w:t>.</w:t>
            </w:r>
          </w:p>
          <w:p w14:paraId="7DBF7167" w14:textId="77777777" w:rsidR="00AF4FD9" w:rsidRPr="005D4222" w:rsidRDefault="00AF4FD9">
            <w:pPr>
              <w:pStyle w:val="ECDSBody"/>
              <w:spacing w:before="80"/>
            </w:pPr>
            <w:r w:rsidRPr="005D4222">
              <w:rPr>
                <w:szCs w:val="21"/>
              </w:rPr>
              <w:t>Submit policy clarification support questions via My NCQA (</w:t>
            </w:r>
            <w:r w:rsidRPr="005D4222">
              <w:rPr>
                <w:szCs w:val="21"/>
                <w:u w:val="single"/>
              </w:rPr>
              <w:t>https://my.ncqa.org</w:t>
            </w:r>
            <w:r w:rsidRPr="005D4222">
              <w:rPr>
                <w:szCs w:val="21"/>
              </w:rPr>
              <w:t>).</w:t>
            </w:r>
          </w:p>
        </w:tc>
      </w:tr>
      <w:tr w:rsidR="00AF4FD9" w:rsidRPr="005D4222" w14:paraId="3EC0BC86" w14:textId="77777777" w:rsidTr="000E06AB">
        <w:trPr>
          <w:trHeight w:val="655"/>
        </w:trPr>
        <w:tc>
          <w:tcPr>
            <w:tcW w:w="2156" w:type="dxa"/>
            <w:shd w:val="clear" w:color="auto" w:fill="BFBFBF" w:themeFill="background1" w:themeFillShade="BF"/>
            <w:tcMar>
              <w:top w:w="0" w:type="dxa"/>
              <w:left w:w="86" w:type="dxa"/>
              <w:bottom w:w="43" w:type="dxa"/>
              <w:right w:w="86" w:type="dxa"/>
            </w:tcMar>
            <w:hideMark/>
          </w:tcPr>
          <w:p w14:paraId="0BCCC73D" w14:textId="77777777" w:rsidR="00AF4FD9" w:rsidRPr="005D4222" w:rsidRDefault="00AF4FD9">
            <w:pPr>
              <w:pStyle w:val="ECDSMarginHead"/>
            </w:pPr>
            <w:r w:rsidRPr="005D4222">
              <w:t>Clinical recommendation statement/ rationale</w:t>
            </w:r>
          </w:p>
        </w:tc>
        <w:tc>
          <w:tcPr>
            <w:tcW w:w="7553" w:type="dxa"/>
            <w:gridSpan w:val="3"/>
            <w:tcMar>
              <w:top w:w="0" w:type="dxa"/>
              <w:left w:w="86" w:type="dxa"/>
              <w:bottom w:w="43" w:type="dxa"/>
              <w:right w:w="86" w:type="dxa"/>
            </w:tcMar>
          </w:tcPr>
          <w:p w14:paraId="4A042AF4" w14:textId="77777777" w:rsidR="00AF4FD9" w:rsidRPr="005D4222" w:rsidRDefault="00AF4FD9">
            <w:pPr>
              <w:pStyle w:val="ECDSBody"/>
            </w:pPr>
            <w:r w:rsidRPr="005D4222">
              <w:t>American Diabetes Association (2025)</w:t>
            </w:r>
          </w:p>
          <w:p w14:paraId="1CF0AA89" w14:textId="77777777" w:rsidR="00AF4FD9" w:rsidRPr="005D4222" w:rsidRDefault="00AF4FD9" w:rsidP="00AF4FD9">
            <w:pPr>
              <w:pStyle w:val="Bullet"/>
              <w:numPr>
                <w:ilvl w:val="0"/>
                <w:numId w:val="4"/>
              </w:numPr>
              <w:tabs>
                <w:tab w:val="left" w:pos="360"/>
                <w:tab w:val="left" w:pos="576"/>
              </w:tabs>
              <w:ind w:left="576" w:hanging="216"/>
            </w:pPr>
            <w:r w:rsidRPr="005D4222">
              <w:t>Adults with type 1 diabetes should have an initial dilated and comprehensive eye examination by an ophthalmologist or optometrist within 5 years after the onset of diabetes. Level of evidence: B</w:t>
            </w:r>
          </w:p>
          <w:p w14:paraId="57CAFFB7" w14:textId="77777777" w:rsidR="00AF4FD9" w:rsidRPr="005D4222" w:rsidRDefault="00AF4FD9" w:rsidP="00AF4FD9">
            <w:pPr>
              <w:pStyle w:val="Bullet"/>
              <w:numPr>
                <w:ilvl w:val="0"/>
                <w:numId w:val="4"/>
              </w:numPr>
              <w:tabs>
                <w:tab w:val="left" w:pos="360"/>
                <w:tab w:val="left" w:pos="576"/>
              </w:tabs>
              <w:ind w:left="576" w:hanging="216"/>
            </w:pPr>
            <w:r w:rsidRPr="005D4222">
              <w:t>Patients with type 2 diabetes should have an initial dilated and comprehensive eye examination by an ophthalmologist or optometrist at the time of the diabetes diagnosis. Level of evidence: B</w:t>
            </w:r>
          </w:p>
          <w:p w14:paraId="21C1074B" w14:textId="77777777" w:rsidR="00AF4FD9" w:rsidRPr="005D4222" w:rsidRDefault="00AF4FD9" w:rsidP="00AF4FD9">
            <w:pPr>
              <w:pStyle w:val="Bullet"/>
              <w:numPr>
                <w:ilvl w:val="0"/>
                <w:numId w:val="4"/>
              </w:numPr>
              <w:tabs>
                <w:tab w:val="left" w:pos="360"/>
                <w:tab w:val="left" w:pos="576"/>
              </w:tabs>
              <w:spacing w:after="80"/>
              <w:ind w:left="576" w:hanging="216"/>
            </w:pPr>
            <w:r w:rsidRPr="005D4222">
              <w:t>If there is no evidence of retinopathy for one or more annual eye exams and glycemic indicators are within the goal range, then screening every 1–2 years may be considered. If any level of diabetic retinopathy is present, subsequent dilated retinal examinations should be repeated at least annually by an ophthalmologist or optometrist. If retinopathy is progressing or sight-threatening, then examinations will be required more frequently. Level of evidence: B</w:t>
            </w:r>
          </w:p>
          <w:p w14:paraId="05418CBC" w14:textId="77777777" w:rsidR="00AF4FD9" w:rsidRPr="005D4222" w:rsidRDefault="00AF4FD9" w:rsidP="00AF4FD9">
            <w:pPr>
              <w:pStyle w:val="Bullet"/>
              <w:numPr>
                <w:ilvl w:val="0"/>
                <w:numId w:val="4"/>
              </w:numPr>
              <w:tabs>
                <w:tab w:val="left" w:pos="360"/>
                <w:tab w:val="left" w:pos="576"/>
              </w:tabs>
              <w:spacing w:after="80"/>
              <w:ind w:left="576" w:hanging="216"/>
            </w:pPr>
            <w:r w:rsidRPr="005D4222">
              <w:t>Programs that use retinal photography with remote reading or the use of U.S. Food and Drug Administration–approved artificial intelligence algorithms to improve access to diabetic retinopathy screening are appropriate screening strategies for diabetic retinopathy. Such programs need to provide pathways for timely referral for a comprehensive eye examination when indicated. Level of evidence: B</w:t>
            </w:r>
          </w:p>
        </w:tc>
      </w:tr>
      <w:tr w:rsidR="00AF4FD9" w:rsidRPr="005D4222" w14:paraId="4FD0B87F" w14:textId="77777777" w:rsidTr="000E06AB">
        <w:trPr>
          <w:trHeight w:val="300"/>
        </w:trPr>
        <w:tc>
          <w:tcPr>
            <w:tcW w:w="2156" w:type="dxa"/>
            <w:shd w:val="clear" w:color="auto" w:fill="BFBFBF" w:themeFill="background1" w:themeFillShade="BF"/>
            <w:tcMar>
              <w:top w:w="0" w:type="dxa"/>
              <w:left w:w="86" w:type="dxa"/>
              <w:bottom w:w="43" w:type="dxa"/>
              <w:right w:w="86" w:type="dxa"/>
            </w:tcMar>
          </w:tcPr>
          <w:p w14:paraId="030D2B50" w14:textId="77777777" w:rsidR="00AF4FD9" w:rsidRPr="005D4222" w:rsidRDefault="00AF4FD9">
            <w:pPr>
              <w:pStyle w:val="ECDSMarginHead"/>
            </w:pPr>
            <w:r w:rsidRPr="005D4222">
              <w:t>Citations</w:t>
            </w:r>
          </w:p>
        </w:tc>
        <w:tc>
          <w:tcPr>
            <w:tcW w:w="7553" w:type="dxa"/>
            <w:gridSpan w:val="3"/>
            <w:tcMar>
              <w:top w:w="0" w:type="dxa"/>
              <w:left w:w="86" w:type="dxa"/>
              <w:bottom w:w="43" w:type="dxa"/>
              <w:right w:w="86" w:type="dxa"/>
            </w:tcMar>
          </w:tcPr>
          <w:p w14:paraId="2B434C3E" w14:textId="77777777" w:rsidR="00AF4FD9" w:rsidRPr="005D4222" w:rsidRDefault="00AF4FD9">
            <w:pPr>
              <w:pStyle w:val="ECDSBody"/>
            </w:pPr>
            <w:r w:rsidRPr="005D4222">
              <w:t xml:space="preserve">American Diabetes Association Professional Practice Committee. 2025. 12. “Retinopathy, Neuropathy, and Foot Care: Standards of Care in Diabetes—2025.” </w:t>
            </w:r>
            <w:r w:rsidRPr="005D4222">
              <w:rPr>
                <w:i/>
                <w:iCs/>
              </w:rPr>
              <w:t xml:space="preserve">Diabetes Care </w:t>
            </w:r>
            <w:r w:rsidRPr="005D4222">
              <w:t>48(Suppl. 1):S252–65.</w:t>
            </w:r>
          </w:p>
        </w:tc>
      </w:tr>
      <w:tr w:rsidR="00AF4FD9" w:rsidRPr="005D4222" w14:paraId="3DB448AC" w14:textId="77777777" w:rsidTr="000E06AB">
        <w:trPr>
          <w:trHeight w:val="300"/>
        </w:trPr>
        <w:tc>
          <w:tcPr>
            <w:tcW w:w="9709" w:type="dxa"/>
            <w:gridSpan w:val="4"/>
            <w:tcBorders>
              <w:top w:val="single" w:sz="4" w:space="0" w:color="auto"/>
              <w:left w:val="single" w:sz="4" w:space="0" w:color="auto"/>
              <w:bottom w:val="nil"/>
              <w:right w:val="single" w:sz="4" w:space="0" w:color="auto"/>
            </w:tcBorders>
            <w:shd w:val="clear" w:color="auto" w:fill="BFBFBF" w:themeFill="background1" w:themeFillShade="BF"/>
            <w:tcMar>
              <w:top w:w="0" w:type="dxa"/>
              <w:left w:w="86" w:type="dxa"/>
              <w:bottom w:w="43" w:type="dxa"/>
              <w:right w:w="86" w:type="dxa"/>
            </w:tcMar>
          </w:tcPr>
          <w:p w14:paraId="1542C60B" w14:textId="77777777" w:rsidR="00AF4FD9" w:rsidRPr="005D4222" w:rsidRDefault="00AF4FD9">
            <w:pPr>
              <w:pStyle w:val="ECDSMarginHead"/>
            </w:pPr>
            <w:r w:rsidRPr="005D4222">
              <w:t>Characteristics</w:t>
            </w:r>
          </w:p>
        </w:tc>
      </w:tr>
      <w:tr w:rsidR="00AF4FD9" w:rsidRPr="005D4222" w14:paraId="2C092C36" w14:textId="77777777" w:rsidTr="000E06AB">
        <w:trPr>
          <w:trHeight w:val="300"/>
        </w:trPr>
        <w:tc>
          <w:tcPr>
            <w:tcW w:w="2156"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4854BC8F" w14:textId="77777777" w:rsidR="00AF4FD9" w:rsidRPr="005D4222" w:rsidRDefault="00AF4FD9">
            <w:pPr>
              <w:pStyle w:val="MarginHead"/>
            </w:pPr>
            <w:r w:rsidRPr="005D4222">
              <w:t>Scoring</w:t>
            </w:r>
          </w:p>
        </w:tc>
        <w:tc>
          <w:tcPr>
            <w:tcW w:w="7553"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75D29E20" w14:textId="77777777" w:rsidR="00AF4FD9" w:rsidRPr="005D4222" w:rsidRDefault="00AF4FD9">
            <w:pPr>
              <w:pStyle w:val="ECDSBody"/>
              <w:spacing w:after="0"/>
            </w:pPr>
            <w:r w:rsidRPr="005D4222">
              <w:t>Proportion.</w:t>
            </w:r>
          </w:p>
        </w:tc>
      </w:tr>
      <w:tr w:rsidR="00AF4FD9" w:rsidRPr="005D4222" w14:paraId="6BA955AE" w14:textId="77777777" w:rsidTr="000E06AB">
        <w:trPr>
          <w:trHeight w:val="300"/>
        </w:trPr>
        <w:tc>
          <w:tcPr>
            <w:tcW w:w="2156"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76F1CD62" w14:textId="77777777" w:rsidR="00AF4FD9" w:rsidRPr="005D4222" w:rsidRDefault="00AF4FD9" w:rsidP="000E06AB">
            <w:pPr>
              <w:pStyle w:val="MarginHead"/>
              <w:spacing w:after="80"/>
            </w:pPr>
            <w:r w:rsidRPr="005D4222">
              <w:t>Type</w:t>
            </w:r>
          </w:p>
        </w:tc>
        <w:tc>
          <w:tcPr>
            <w:tcW w:w="7553"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35612A87" w14:textId="77777777" w:rsidR="00AF4FD9" w:rsidRPr="005D4222" w:rsidRDefault="00AF4FD9" w:rsidP="000E06AB">
            <w:pPr>
              <w:pStyle w:val="ECDSBody"/>
            </w:pPr>
            <w:r w:rsidRPr="005D4222">
              <w:t>Process.</w:t>
            </w:r>
          </w:p>
        </w:tc>
      </w:tr>
    </w:tbl>
    <w:p w14:paraId="1039C54B" w14:textId="1C3C39CD" w:rsidR="000E06AB" w:rsidRPr="005D4222" w:rsidRDefault="000E06AB"/>
    <w:p w14:paraId="4D823CD2" w14:textId="77777777" w:rsidR="000E06AB" w:rsidRPr="005D4222" w:rsidRDefault="000E06AB">
      <w:r w:rsidRPr="005D4222">
        <w:br w:type="page"/>
      </w:r>
    </w:p>
    <w:tbl>
      <w:tblPr>
        <w:tblW w:w="5004"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15" w:type="dxa"/>
          <w:bottom w:w="40" w:type="dxa"/>
          <w:right w:w="15" w:type="dxa"/>
        </w:tblCellMar>
        <w:tblLook w:val="04A0" w:firstRow="1" w:lastRow="0" w:firstColumn="1" w:lastColumn="0" w:noHBand="0" w:noVBand="1"/>
      </w:tblPr>
      <w:tblGrid>
        <w:gridCol w:w="2158"/>
        <w:gridCol w:w="7560"/>
      </w:tblGrid>
      <w:tr w:rsidR="00AF4FD9" w:rsidRPr="005D4222" w14:paraId="54BFCE22" w14:textId="77777777" w:rsidTr="00992C3B">
        <w:trPr>
          <w:trHeight w:val="300"/>
        </w:trPr>
        <w:tc>
          <w:tcPr>
            <w:tcW w:w="2156" w:type="dxa"/>
            <w:tcBorders>
              <w:bottom w:val="nil"/>
            </w:tcBorders>
            <w:tcMar>
              <w:top w:w="0" w:type="dxa"/>
              <w:left w:w="86" w:type="dxa"/>
              <w:bottom w:w="43" w:type="dxa"/>
              <w:right w:w="86" w:type="dxa"/>
            </w:tcMar>
          </w:tcPr>
          <w:p w14:paraId="5A48EFD7" w14:textId="75896D61" w:rsidR="00AF4FD9" w:rsidRPr="005D4222" w:rsidRDefault="00B51CDC" w:rsidP="00992C3B">
            <w:pPr>
              <w:pStyle w:val="ECDSSubhead"/>
            </w:pPr>
            <w:r w:rsidRPr="005D4222">
              <w:lastRenderedPageBreak/>
              <w:t>Product lines</w:t>
            </w:r>
          </w:p>
        </w:tc>
        <w:tc>
          <w:tcPr>
            <w:tcW w:w="7562" w:type="dxa"/>
            <w:tcBorders>
              <w:bottom w:val="nil"/>
            </w:tcBorders>
            <w:tcMar>
              <w:top w:w="0" w:type="dxa"/>
              <w:left w:w="86" w:type="dxa"/>
              <w:bottom w:w="43" w:type="dxa"/>
              <w:right w:w="86" w:type="dxa"/>
            </w:tcMar>
          </w:tcPr>
          <w:p w14:paraId="3B260038" w14:textId="77777777" w:rsidR="00AF4FD9" w:rsidRPr="005D4222" w:rsidRDefault="00AF4FD9" w:rsidP="00992C3B">
            <w:pPr>
              <w:pStyle w:val="ProcessBullet"/>
              <w:numPr>
                <w:ilvl w:val="0"/>
                <w:numId w:val="44"/>
              </w:numPr>
              <w:tabs>
                <w:tab w:val="left" w:pos="216"/>
              </w:tabs>
              <w:spacing w:before="120"/>
              <w:ind w:left="216" w:hanging="216"/>
            </w:pPr>
            <w:r w:rsidRPr="005D4222">
              <w:t>Commercial.</w:t>
            </w:r>
          </w:p>
          <w:p w14:paraId="3BE33A83" w14:textId="77777777" w:rsidR="00AF4FD9" w:rsidRPr="005D4222" w:rsidRDefault="00AF4FD9" w:rsidP="00992C3B">
            <w:pPr>
              <w:pStyle w:val="ProcessBullet"/>
              <w:numPr>
                <w:ilvl w:val="0"/>
                <w:numId w:val="44"/>
              </w:numPr>
              <w:tabs>
                <w:tab w:val="left" w:pos="216"/>
              </w:tabs>
              <w:ind w:left="216" w:hanging="216"/>
            </w:pPr>
            <w:r w:rsidRPr="005D4222">
              <w:t>Medicaid.</w:t>
            </w:r>
          </w:p>
          <w:p w14:paraId="17488916" w14:textId="77777777" w:rsidR="00AF4FD9" w:rsidRPr="005D4222" w:rsidRDefault="00AF4FD9" w:rsidP="004C5196">
            <w:pPr>
              <w:pStyle w:val="ProcessBullet"/>
              <w:numPr>
                <w:ilvl w:val="0"/>
                <w:numId w:val="44"/>
              </w:numPr>
              <w:tabs>
                <w:tab w:val="left" w:pos="216"/>
              </w:tabs>
              <w:ind w:left="216" w:hanging="216"/>
            </w:pPr>
            <w:r w:rsidRPr="005D4222">
              <w:t>Medicare.</w:t>
            </w:r>
          </w:p>
        </w:tc>
      </w:tr>
      <w:tr w:rsidR="00AF4FD9" w:rsidRPr="005D4222" w14:paraId="6BDE1994" w14:textId="77777777" w:rsidTr="00853779">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c>
          <w:tcPr>
            <w:tcW w:w="2158" w:type="dxa"/>
            <w:tcBorders>
              <w:top w:val="nil"/>
              <w:left w:val="single" w:sz="4" w:space="0" w:color="auto"/>
              <w:bottom w:val="nil"/>
              <w:right w:val="single" w:sz="4" w:space="0" w:color="auto"/>
            </w:tcBorders>
            <w:tcMar>
              <w:top w:w="0" w:type="dxa"/>
              <w:left w:w="86" w:type="dxa"/>
              <w:bottom w:w="43" w:type="dxa"/>
              <w:right w:w="86" w:type="dxa"/>
            </w:tcMar>
          </w:tcPr>
          <w:p w14:paraId="7375C2FC" w14:textId="0907C495" w:rsidR="00AF4FD9" w:rsidRPr="005D4222" w:rsidRDefault="00B51CDC" w:rsidP="00992C3B">
            <w:pPr>
              <w:pStyle w:val="ECDSSubhead"/>
              <w:rPr>
                <w:rFonts w:cs="Arial"/>
                <w:szCs w:val="22"/>
              </w:rPr>
            </w:pPr>
            <w:r w:rsidRPr="005D4222">
              <w:rPr>
                <w:rFonts w:cs="Arial"/>
                <w:szCs w:val="22"/>
              </w:rPr>
              <w:t>Stratifications</w:t>
            </w:r>
            <w:r w:rsidR="00AF4FD9" w:rsidRPr="005D4222">
              <w:rPr>
                <w:rFonts w:cs="Arial"/>
                <w:szCs w:val="22"/>
              </w:rPr>
              <w:t xml:space="preserve"> </w:t>
            </w:r>
          </w:p>
        </w:tc>
        <w:tc>
          <w:tcPr>
            <w:tcW w:w="7560" w:type="dxa"/>
            <w:tcBorders>
              <w:top w:val="nil"/>
              <w:left w:val="single" w:sz="4" w:space="0" w:color="auto"/>
              <w:bottom w:val="nil"/>
              <w:right w:val="single" w:sz="4" w:space="0" w:color="auto"/>
            </w:tcBorders>
            <w:tcMar>
              <w:top w:w="0" w:type="dxa"/>
              <w:left w:w="86" w:type="dxa"/>
              <w:bottom w:w="43" w:type="dxa"/>
              <w:right w:w="86" w:type="dxa"/>
            </w:tcMar>
            <w:hideMark/>
          </w:tcPr>
          <w:p w14:paraId="07C63C1B" w14:textId="29C45379" w:rsidR="00AF4FD9" w:rsidRPr="005D4222" w:rsidRDefault="00AF4FD9">
            <w:pPr>
              <w:pStyle w:val="ECDSBody"/>
              <w:rPr>
                <w:lang w:eastAsia="zh-CN"/>
              </w:rPr>
            </w:pPr>
            <w:r w:rsidRPr="005D4222">
              <w:rPr>
                <w:lang w:eastAsia="zh-CN"/>
              </w:rPr>
              <w:t xml:space="preserve">Race. (Refer to </w:t>
            </w:r>
            <w:hyperlink w:anchor="GG_Race_and_Ethnicity" w:history="1">
              <w:r w:rsidRPr="005D4222">
                <w:rPr>
                  <w:rStyle w:val="Hyperlink"/>
                  <w:i/>
                  <w:lang w:eastAsia="zh-CN"/>
                </w:rPr>
                <w:t>General Guideline: Race and Ethnicity Stratification</w:t>
              </w:r>
            </w:hyperlink>
            <w:r w:rsidRPr="005D4222">
              <w:rPr>
                <w:i/>
                <w:iCs/>
                <w:lang w:eastAsia="zh-CN"/>
              </w:rPr>
              <w:t>.</w:t>
            </w:r>
            <w:r w:rsidRPr="005D4222">
              <w:rPr>
                <w:lang w:eastAsia="zh-CN"/>
              </w:rPr>
              <w:t xml:space="preserve">) </w:t>
            </w:r>
          </w:p>
          <w:p w14:paraId="5AFC8357" w14:textId="77777777" w:rsidR="00AF4FD9" w:rsidRPr="005D4222" w:rsidRDefault="00AF4FD9" w:rsidP="00AF4FD9">
            <w:pPr>
              <w:pStyle w:val="Bullet"/>
              <w:numPr>
                <w:ilvl w:val="0"/>
                <w:numId w:val="4"/>
              </w:numPr>
              <w:tabs>
                <w:tab w:val="left" w:pos="360"/>
                <w:tab w:val="left" w:pos="576"/>
              </w:tabs>
              <w:ind w:left="576" w:hanging="216"/>
              <w:rPr>
                <w:lang w:eastAsia="zh-CN"/>
              </w:rPr>
            </w:pPr>
            <w:r w:rsidRPr="005D4222">
              <w:rPr>
                <w:lang w:eastAsia="zh-CN"/>
              </w:rPr>
              <w:t xml:space="preserve">American Indian or Alaska Native. </w:t>
            </w:r>
          </w:p>
          <w:p w14:paraId="24478EE7" w14:textId="77777777" w:rsidR="00AF4FD9" w:rsidRPr="005D4222" w:rsidRDefault="00AF4FD9" w:rsidP="00AF4FD9">
            <w:pPr>
              <w:pStyle w:val="Bullet"/>
              <w:numPr>
                <w:ilvl w:val="0"/>
                <w:numId w:val="4"/>
              </w:numPr>
              <w:tabs>
                <w:tab w:val="left" w:pos="360"/>
                <w:tab w:val="left" w:pos="576"/>
              </w:tabs>
              <w:ind w:left="576" w:hanging="216"/>
              <w:rPr>
                <w:lang w:eastAsia="zh-CN"/>
              </w:rPr>
            </w:pPr>
            <w:r w:rsidRPr="005D4222">
              <w:rPr>
                <w:lang w:eastAsia="zh-CN"/>
              </w:rPr>
              <w:t xml:space="preserve">Asian. </w:t>
            </w:r>
          </w:p>
          <w:p w14:paraId="6841F5C7" w14:textId="77777777" w:rsidR="00AF4FD9" w:rsidRPr="005D4222" w:rsidRDefault="00AF4FD9" w:rsidP="00AF4FD9">
            <w:pPr>
              <w:pStyle w:val="Bullet"/>
              <w:numPr>
                <w:ilvl w:val="0"/>
                <w:numId w:val="4"/>
              </w:numPr>
              <w:tabs>
                <w:tab w:val="left" w:pos="360"/>
                <w:tab w:val="left" w:pos="576"/>
              </w:tabs>
              <w:ind w:left="576" w:hanging="216"/>
              <w:rPr>
                <w:lang w:eastAsia="zh-CN"/>
              </w:rPr>
            </w:pPr>
            <w:r w:rsidRPr="005D4222">
              <w:rPr>
                <w:lang w:eastAsia="zh-CN"/>
              </w:rPr>
              <w:t>Black or African American.</w:t>
            </w:r>
          </w:p>
          <w:p w14:paraId="457EC688" w14:textId="77777777" w:rsidR="00AF4FD9" w:rsidRPr="005D4222" w:rsidRDefault="00AF4FD9" w:rsidP="00AF4FD9">
            <w:pPr>
              <w:pStyle w:val="Bullet"/>
              <w:numPr>
                <w:ilvl w:val="0"/>
                <w:numId w:val="4"/>
              </w:numPr>
              <w:tabs>
                <w:tab w:val="left" w:pos="360"/>
                <w:tab w:val="left" w:pos="576"/>
              </w:tabs>
              <w:ind w:left="576" w:hanging="216"/>
              <w:rPr>
                <w:lang w:eastAsia="zh-CN"/>
              </w:rPr>
            </w:pPr>
            <w:r w:rsidRPr="005D4222">
              <w:rPr>
                <w:lang w:eastAsia="zh-CN"/>
              </w:rPr>
              <w:t>Middle Eastern or North African.</w:t>
            </w:r>
          </w:p>
          <w:p w14:paraId="2B93372F" w14:textId="77777777" w:rsidR="00AF4FD9" w:rsidRPr="005D4222" w:rsidRDefault="00AF4FD9" w:rsidP="00AF4FD9">
            <w:pPr>
              <w:pStyle w:val="Bullet"/>
              <w:numPr>
                <w:ilvl w:val="0"/>
                <w:numId w:val="4"/>
              </w:numPr>
              <w:tabs>
                <w:tab w:val="left" w:pos="360"/>
                <w:tab w:val="left" w:pos="576"/>
              </w:tabs>
              <w:spacing w:after="80"/>
              <w:ind w:left="576" w:hanging="216"/>
              <w:rPr>
                <w:rFonts w:eastAsia="Arial,Arial,Arial,Arial,Arial,A" w:cs="Arial"/>
                <w:sz w:val="22"/>
                <w:szCs w:val="22"/>
                <w:lang w:eastAsia="zh-CN"/>
              </w:rPr>
            </w:pPr>
            <w:r w:rsidRPr="005D4222">
              <w:rPr>
                <w:lang w:eastAsia="zh-CN"/>
              </w:rPr>
              <w:t>Native Hawaiian or Pacific Islander.</w:t>
            </w:r>
          </w:p>
          <w:p w14:paraId="49B8CF81" w14:textId="77777777" w:rsidR="00AF4FD9" w:rsidRPr="005D4222" w:rsidRDefault="00AF4FD9" w:rsidP="00AF4FD9">
            <w:pPr>
              <w:pStyle w:val="Bullet"/>
              <w:numPr>
                <w:ilvl w:val="0"/>
                <w:numId w:val="4"/>
              </w:numPr>
              <w:tabs>
                <w:tab w:val="left" w:pos="360"/>
                <w:tab w:val="left" w:pos="576"/>
              </w:tabs>
              <w:ind w:left="576" w:hanging="216"/>
              <w:rPr>
                <w:lang w:eastAsia="zh-CN"/>
              </w:rPr>
            </w:pPr>
            <w:r w:rsidRPr="005D4222">
              <w:rPr>
                <w:lang w:eastAsia="zh-CN"/>
              </w:rPr>
              <w:t xml:space="preserve">White. </w:t>
            </w:r>
          </w:p>
          <w:p w14:paraId="51FD6200" w14:textId="77777777" w:rsidR="00AF4FD9" w:rsidRPr="005D4222" w:rsidRDefault="00AF4FD9" w:rsidP="00AF4FD9">
            <w:pPr>
              <w:pStyle w:val="Bullet"/>
              <w:numPr>
                <w:ilvl w:val="0"/>
                <w:numId w:val="4"/>
              </w:numPr>
              <w:tabs>
                <w:tab w:val="left" w:pos="360"/>
                <w:tab w:val="left" w:pos="576"/>
              </w:tabs>
              <w:ind w:left="576" w:hanging="216"/>
              <w:rPr>
                <w:lang w:eastAsia="zh-CN"/>
              </w:rPr>
            </w:pPr>
            <w:r w:rsidRPr="005D4222">
              <w:rPr>
                <w:lang w:eastAsia="zh-CN"/>
              </w:rPr>
              <w:t xml:space="preserve">Some Other Race. </w:t>
            </w:r>
          </w:p>
          <w:p w14:paraId="00A5878D" w14:textId="77777777" w:rsidR="00AF4FD9" w:rsidRPr="005D4222" w:rsidRDefault="00AF4FD9" w:rsidP="00AF4FD9">
            <w:pPr>
              <w:pStyle w:val="Bullet"/>
              <w:numPr>
                <w:ilvl w:val="0"/>
                <w:numId w:val="4"/>
              </w:numPr>
              <w:tabs>
                <w:tab w:val="left" w:pos="360"/>
                <w:tab w:val="left" w:pos="576"/>
              </w:tabs>
              <w:ind w:left="576" w:hanging="216"/>
              <w:rPr>
                <w:lang w:eastAsia="zh-CN"/>
              </w:rPr>
            </w:pPr>
            <w:r w:rsidRPr="005D4222">
              <w:rPr>
                <w:lang w:eastAsia="zh-CN"/>
              </w:rPr>
              <w:t xml:space="preserve">Two or More Races. </w:t>
            </w:r>
          </w:p>
          <w:p w14:paraId="694DCEC3" w14:textId="77777777" w:rsidR="00AF4FD9" w:rsidRPr="005D4222" w:rsidRDefault="00AF4FD9" w:rsidP="00AF4FD9">
            <w:pPr>
              <w:pStyle w:val="Bullet"/>
              <w:numPr>
                <w:ilvl w:val="0"/>
                <w:numId w:val="4"/>
              </w:numPr>
              <w:tabs>
                <w:tab w:val="left" w:pos="360"/>
                <w:tab w:val="left" w:pos="576"/>
              </w:tabs>
              <w:ind w:left="576" w:hanging="216"/>
              <w:rPr>
                <w:lang w:eastAsia="zh-CN"/>
              </w:rPr>
            </w:pPr>
            <w:r w:rsidRPr="005D4222">
              <w:rPr>
                <w:lang w:eastAsia="zh-CN"/>
              </w:rPr>
              <w:t xml:space="preserve">Asked But No Answer. </w:t>
            </w:r>
          </w:p>
          <w:p w14:paraId="690204ED" w14:textId="77777777" w:rsidR="00AF4FD9" w:rsidRPr="005D4222" w:rsidRDefault="00AF4FD9" w:rsidP="00AF4FD9">
            <w:pPr>
              <w:pStyle w:val="Bullet"/>
              <w:numPr>
                <w:ilvl w:val="0"/>
                <w:numId w:val="4"/>
              </w:numPr>
              <w:tabs>
                <w:tab w:val="left" w:pos="360"/>
                <w:tab w:val="left" w:pos="576"/>
              </w:tabs>
              <w:ind w:left="576" w:hanging="216"/>
              <w:rPr>
                <w:lang w:eastAsia="zh-CN"/>
              </w:rPr>
            </w:pPr>
            <w:r w:rsidRPr="005D4222">
              <w:rPr>
                <w:lang w:eastAsia="zh-CN"/>
              </w:rPr>
              <w:t xml:space="preserve">Unknown. </w:t>
            </w:r>
          </w:p>
          <w:p w14:paraId="0D83E798" w14:textId="06E8EF82" w:rsidR="00AF4FD9" w:rsidRPr="005D4222" w:rsidRDefault="00AF4FD9">
            <w:pPr>
              <w:pStyle w:val="ECDSBody"/>
              <w:rPr>
                <w:lang w:eastAsia="zh-CN"/>
              </w:rPr>
            </w:pPr>
            <w:r w:rsidRPr="005D4222">
              <w:rPr>
                <w:lang w:eastAsia="zh-CN"/>
              </w:rPr>
              <w:t xml:space="preserve">Ethnicity. (Refer to </w:t>
            </w:r>
            <w:hyperlink w:anchor="GG_Race_and_Ethnicity" w:history="1">
              <w:r w:rsidRPr="005D4222">
                <w:rPr>
                  <w:rStyle w:val="Hyperlink"/>
                  <w:i/>
                  <w:iCs/>
                  <w:lang w:eastAsia="zh-CN"/>
                </w:rPr>
                <w:t>General Guideline: Race and Ethnicity Stratification</w:t>
              </w:r>
            </w:hyperlink>
            <w:r w:rsidRPr="005D4222">
              <w:rPr>
                <w:i/>
                <w:iCs/>
                <w:lang w:eastAsia="zh-CN"/>
              </w:rPr>
              <w:t>.</w:t>
            </w:r>
            <w:r w:rsidRPr="005D4222">
              <w:rPr>
                <w:lang w:eastAsia="zh-CN"/>
              </w:rPr>
              <w:t>)</w:t>
            </w:r>
          </w:p>
          <w:p w14:paraId="1858707D" w14:textId="77777777" w:rsidR="00AF4FD9" w:rsidRPr="005D4222" w:rsidRDefault="00AF4FD9" w:rsidP="00AF4FD9">
            <w:pPr>
              <w:pStyle w:val="Bullet"/>
              <w:numPr>
                <w:ilvl w:val="0"/>
                <w:numId w:val="4"/>
              </w:numPr>
              <w:tabs>
                <w:tab w:val="left" w:pos="360"/>
                <w:tab w:val="left" w:pos="576"/>
              </w:tabs>
              <w:ind w:left="576" w:hanging="216"/>
              <w:rPr>
                <w:lang w:eastAsia="zh-CN"/>
              </w:rPr>
            </w:pPr>
            <w:r w:rsidRPr="005D4222">
              <w:rPr>
                <w:lang w:eastAsia="zh-CN"/>
              </w:rPr>
              <w:t xml:space="preserve">Hispanic or Latino. </w:t>
            </w:r>
          </w:p>
          <w:p w14:paraId="13E01CB7" w14:textId="77777777" w:rsidR="00AF4FD9" w:rsidRPr="005D4222" w:rsidRDefault="00AF4FD9" w:rsidP="00AF4FD9">
            <w:pPr>
              <w:pStyle w:val="Bullet"/>
              <w:numPr>
                <w:ilvl w:val="0"/>
                <w:numId w:val="4"/>
              </w:numPr>
              <w:tabs>
                <w:tab w:val="left" w:pos="360"/>
                <w:tab w:val="left" w:pos="576"/>
              </w:tabs>
              <w:ind w:left="576" w:hanging="216"/>
              <w:rPr>
                <w:lang w:eastAsia="zh-CN"/>
              </w:rPr>
            </w:pPr>
            <w:r w:rsidRPr="005D4222">
              <w:rPr>
                <w:lang w:eastAsia="zh-CN"/>
              </w:rPr>
              <w:t xml:space="preserve">Not Hispanic or Latino. </w:t>
            </w:r>
          </w:p>
          <w:p w14:paraId="17BA5FE4" w14:textId="77777777" w:rsidR="00AF4FD9" w:rsidRPr="005D4222" w:rsidRDefault="00AF4FD9" w:rsidP="00AF4FD9">
            <w:pPr>
              <w:pStyle w:val="Bullet"/>
              <w:numPr>
                <w:ilvl w:val="0"/>
                <w:numId w:val="4"/>
              </w:numPr>
              <w:tabs>
                <w:tab w:val="left" w:pos="360"/>
                <w:tab w:val="left" w:pos="576"/>
              </w:tabs>
              <w:ind w:left="576" w:hanging="216"/>
              <w:rPr>
                <w:lang w:eastAsia="zh-CN"/>
              </w:rPr>
            </w:pPr>
            <w:r w:rsidRPr="005D4222">
              <w:rPr>
                <w:lang w:eastAsia="zh-CN"/>
              </w:rPr>
              <w:t xml:space="preserve">Asked But No Answer. </w:t>
            </w:r>
          </w:p>
          <w:p w14:paraId="63FD6546" w14:textId="77777777" w:rsidR="00AF4FD9" w:rsidRPr="005D4222" w:rsidRDefault="00AF4FD9" w:rsidP="00AF4FD9">
            <w:pPr>
              <w:pStyle w:val="Bullet"/>
              <w:numPr>
                <w:ilvl w:val="0"/>
                <w:numId w:val="4"/>
              </w:numPr>
              <w:tabs>
                <w:tab w:val="left" w:pos="360"/>
                <w:tab w:val="left" w:pos="576"/>
              </w:tabs>
              <w:ind w:left="576" w:hanging="216"/>
              <w:rPr>
                <w:lang w:eastAsia="zh-CN"/>
              </w:rPr>
            </w:pPr>
            <w:r w:rsidRPr="005D4222">
              <w:rPr>
                <w:lang w:eastAsia="zh-CN"/>
              </w:rPr>
              <w:t xml:space="preserve">Unknown. </w:t>
            </w:r>
          </w:p>
          <w:p w14:paraId="0B231828" w14:textId="676030CF" w:rsidR="00AF4FD9" w:rsidRPr="005D4222" w:rsidRDefault="00AF4FD9">
            <w:pPr>
              <w:pStyle w:val="ECDSBody"/>
              <w:rPr>
                <w:lang w:eastAsia="zh-CN"/>
              </w:rPr>
            </w:pPr>
            <w:r w:rsidRPr="005D4222">
              <w:rPr>
                <w:lang w:eastAsia="zh-CN"/>
              </w:rPr>
              <w:t xml:space="preserve">SES (Medicare only). (Refer to </w:t>
            </w:r>
            <w:hyperlink w:anchor="GG_Medicare_Socioeconomic" w:history="1">
              <w:r w:rsidRPr="005D4222">
                <w:rPr>
                  <w:rStyle w:val="Hyperlink"/>
                  <w:i/>
                  <w:iCs/>
                  <w:lang w:eastAsia="zh-CN"/>
                </w:rPr>
                <w:t>General Guideline: Medicare Socioeconomic Status Stratification</w:t>
              </w:r>
            </w:hyperlink>
            <w:r w:rsidRPr="005D4222">
              <w:rPr>
                <w:i/>
                <w:iCs/>
                <w:lang w:eastAsia="zh-CN"/>
              </w:rPr>
              <w:t>.</w:t>
            </w:r>
            <w:r w:rsidRPr="005D4222">
              <w:rPr>
                <w:lang w:eastAsia="zh-CN"/>
              </w:rPr>
              <w:t xml:space="preserve">)  </w:t>
            </w:r>
          </w:p>
          <w:p w14:paraId="5C627552" w14:textId="77777777" w:rsidR="00AF4FD9" w:rsidRPr="005D4222" w:rsidRDefault="00AF4FD9" w:rsidP="00AF4FD9">
            <w:pPr>
              <w:pStyle w:val="Bullet"/>
              <w:numPr>
                <w:ilvl w:val="0"/>
                <w:numId w:val="4"/>
              </w:numPr>
              <w:tabs>
                <w:tab w:val="left" w:pos="360"/>
                <w:tab w:val="left" w:pos="576"/>
              </w:tabs>
              <w:ind w:left="576" w:hanging="216"/>
              <w:rPr>
                <w:rFonts w:eastAsia="Arial,Arial,Arial,Arial,Arial,A"/>
                <w:lang w:eastAsia="zh-CN"/>
              </w:rPr>
            </w:pPr>
            <w:r w:rsidRPr="005D4222">
              <w:rPr>
                <w:rFonts w:eastAsia="Arial,Arial,Arial,Arial,Arial,A"/>
                <w:lang w:eastAsia="zh-CN"/>
              </w:rPr>
              <w:t>Non-LIS/DE, Nondisability.</w:t>
            </w:r>
          </w:p>
          <w:p w14:paraId="483BACDF" w14:textId="77777777" w:rsidR="00AF4FD9" w:rsidRPr="005D4222" w:rsidRDefault="00AF4FD9" w:rsidP="00AF4FD9">
            <w:pPr>
              <w:pStyle w:val="Bullet"/>
              <w:numPr>
                <w:ilvl w:val="0"/>
                <w:numId w:val="4"/>
              </w:numPr>
              <w:tabs>
                <w:tab w:val="left" w:pos="360"/>
                <w:tab w:val="left" w:pos="576"/>
              </w:tabs>
              <w:ind w:left="576" w:hanging="216"/>
              <w:rPr>
                <w:rFonts w:eastAsia="Arial,Arial,Arial,Arial,Arial,A"/>
                <w:lang w:eastAsia="zh-CN"/>
              </w:rPr>
            </w:pPr>
            <w:r w:rsidRPr="005D4222">
              <w:rPr>
                <w:rFonts w:eastAsia="Arial,Arial,Arial,Arial,Arial,A"/>
                <w:lang w:eastAsia="zh-CN"/>
              </w:rPr>
              <w:t>LIS/DE.</w:t>
            </w:r>
          </w:p>
          <w:p w14:paraId="3463B7EF" w14:textId="77777777" w:rsidR="00AF4FD9" w:rsidRPr="005D4222" w:rsidRDefault="00AF4FD9" w:rsidP="00AF4FD9">
            <w:pPr>
              <w:pStyle w:val="Bullet"/>
              <w:numPr>
                <w:ilvl w:val="0"/>
                <w:numId w:val="4"/>
              </w:numPr>
              <w:tabs>
                <w:tab w:val="left" w:pos="360"/>
                <w:tab w:val="left" w:pos="576"/>
              </w:tabs>
              <w:ind w:left="576" w:hanging="216"/>
              <w:rPr>
                <w:rFonts w:eastAsia="Arial,Arial,Arial,Arial,Arial,A"/>
                <w:lang w:eastAsia="zh-CN"/>
              </w:rPr>
            </w:pPr>
            <w:r w:rsidRPr="005D4222">
              <w:rPr>
                <w:rFonts w:eastAsia="Arial,Arial,Arial,Arial,Arial,A"/>
                <w:lang w:eastAsia="zh-CN"/>
              </w:rPr>
              <w:t>Disability.</w:t>
            </w:r>
          </w:p>
          <w:p w14:paraId="70942C41" w14:textId="77777777" w:rsidR="00AF4FD9" w:rsidRPr="005D4222" w:rsidRDefault="00AF4FD9" w:rsidP="00AF4FD9">
            <w:pPr>
              <w:pStyle w:val="Bullet"/>
              <w:numPr>
                <w:ilvl w:val="0"/>
                <w:numId w:val="4"/>
              </w:numPr>
              <w:tabs>
                <w:tab w:val="left" w:pos="360"/>
                <w:tab w:val="left" w:pos="576"/>
              </w:tabs>
              <w:ind w:left="576" w:hanging="216"/>
              <w:rPr>
                <w:rFonts w:eastAsia="Arial,Arial,Arial,Arial,Arial,A"/>
                <w:lang w:eastAsia="zh-CN"/>
              </w:rPr>
            </w:pPr>
            <w:r w:rsidRPr="005D4222">
              <w:rPr>
                <w:rFonts w:eastAsia="Arial,Arial,Arial,Arial,Arial,A"/>
                <w:lang w:eastAsia="zh-CN"/>
              </w:rPr>
              <w:t xml:space="preserve">LIS/DE and Disability. </w:t>
            </w:r>
          </w:p>
          <w:p w14:paraId="7F72B10C" w14:textId="77777777" w:rsidR="00AF4FD9" w:rsidRPr="005D4222" w:rsidRDefault="00AF4FD9" w:rsidP="00AF4FD9">
            <w:pPr>
              <w:pStyle w:val="Bullet"/>
              <w:numPr>
                <w:ilvl w:val="0"/>
                <w:numId w:val="4"/>
              </w:numPr>
              <w:tabs>
                <w:tab w:val="left" w:pos="360"/>
                <w:tab w:val="left" w:pos="576"/>
              </w:tabs>
              <w:ind w:left="576" w:hanging="216"/>
              <w:rPr>
                <w:rFonts w:eastAsia="Arial,Arial,Arial,Arial,Arial,A"/>
                <w:lang w:eastAsia="zh-CN"/>
              </w:rPr>
            </w:pPr>
            <w:r w:rsidRPr="005D4222">
              <w:rPr>
                <w:rFonts w:eastAsia="Arial,Arial,Arial,Arial,Arial,A"/>
                <w:lang w:eastAsia="zh-CN"/>
              </w:rPr>
              <w:t>Other.</w:t>
            </w:r>
          </w:p>
          <w:p w14:paraId="6DFF07E0" w14:textId="77777777" w:rsidR="00AF4FD9" w:rsidRPr="005D4222" w:rsidRDefault="00AF4FD9" w:rsidP="00AF4FD9">
            <w:pPr>
              <w:pStyle w:val="Bullet"/>
              <w:numPr>
                <w:ilvl w:val="0"/>
                <w:numId w:val="4"/>
              </w:numPr>
              <w:tabs>
                <w:tab w:val="left" w:pos="360"/>
                <w:tab w:val="left" w:pos="576"/>
              </w:tabs>
              <w:ind w:left="576" w:hanging="216"/>
              <w:rPr>
                <w:rFonts w:eastAsia="Arial,Arial,Arial,Arial,Arial,A" w:cs="Arial"/>
                <w:sz w:val="22"/>
                <w:szCs w:val="22"/>
                <w:lang w:eastAsia="zh-CN"/>
              </w:rPr>
            </w:pPr>
            <w:r w:rsidRPr="005D4222">
              <w:rPr>
                <w:rFonts w:eastAsia="Arial,Arial,Arial,Arial,Arial,A"/>
                <w:lang w:eastAsia="zh-CN"/>
              </w:rPr>
              <w:t>Unknown.</w:t>
            </w:r>
          </w:p>
        </w:tc>
      </w:tr>
      <w:tr w:rsidR="00AF4FD9" w:rsidRPr="005D4222" w14:paraId="60302C24" w14:textId="7777777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300"/>
        </w:trPr>
        <w:tc>
          <w:tcPr>
            <w:tcW w:w="2158" w:type="dxa"/>
            <w:tcBorders>
              <w:top w:val="nil"/>
              <w:left w:val="single" w:sz="4" w:space="0" w:color="auto"/>
              <w:bottom w:val="nil"/>
              <w:right w:val="single" w:sz="4" w:space="0" w:color="auto"/>
            </w:tcBorders>
            <w:tcMar>
              <w:top w:w="0" w:type="dxa"/>
              <w:left w:w="86" w:type="dxa"/>
              <w:bottom w:w="43" w:type="dxa"/>
              <w:right w:w="86" w:type="dxa"/>
            </w:tcMar>
          </w:tcPr>
          <w:p w14:paraId="428830B0" w14:textId="77777777" w:rsidR="00AF4FD9" w:rsidRPr="005D4222" w:rsidRDefault="00AF4FD9" w:rsidP="00992C3B">
            <w:pPr>
              <w:pStyle w:val="ECDSSubhead"/>
            </w:pPr>
            <w:r w:rsidRPr="005D4222">
              <w:t>Risk adjustment</w:t>
            </w:r>
          </w:p>
        </w:tc>
        <w:tc>
          <w:tcPr>
            <w:tcW w:w="7560" w:type="dxa"/>
            <w:tcBorders>
              <w:top w:val="nil"/>
              <w:left w:val="single" w:sz="4" w:space="0" w:color="auto"/>
              <w:bottom w:val="nil"/>
              <w:right w:val="single" w:sz="4" w:space="0" w:color="auto"/>
            </w:tcBorders>
            <w:tcMar>
              <w:top w:w="0" w:type="dxa"/>
              <w:left w:w="86" w:type="dxa"/>
              <w:bottom w:w="43" w:type="dxa"/>
              <w:right w:w="86" w:type="dxa"/>
            </w:tcMar>
            <w:hideMark/>
          </w:tcPr>
          <w:p w14:paraId="7DC09565" w14:textId="77777777" w:rsidR="00AF4FD9" w:rsidRPr="005D4222" w:rsidRDefault="00AF4FD9">
            <w:pPr>
              <w:pStyle w:val="ECDSBody"/>
              <w:spacing w:after="0"/>
            </w:pPr>
            <w:r w:rsidRPr="005D4222">
              <w:t>None.</w:t>
            </w:r>
          </w:p>
        </w:tc>
      </w:tr>
      <w:tr w:rsidR="00AF4FD9" w:rsidRPr="005D4222" w14:paraId="64F5FA93" w14:textId="7777777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300"/>
        </w:trPr>
        <w:tc>
          <w:tcPr>
            <w:tcW w:w="2158" w:type="dxa"/>
            <w:tcBorders>
              <w:top w:val="nil"/>
              <w:left w:val="single" w:sz="4" w:space="0" w:color="auto"/>
              <w:bottom w:val="nil"/>
              <w:right w:val="single" w:sz="4" w:space="0" w:color="auto"/>
            </w:tcBorders>
            <w:tcMar>
              <w:top w:w="0" w:type="dxa"/>
              <w:left w:w="86" w:type="dxa"/>
              <w:bottom w:w="43" w:type="dxa"/>
              <w:right w:w="86" w:type="dxa"/>
            </w:tcMar>
          </w:tcPr>
          <w:p w14:paraId="331A4303" w14:textId="77777777" w:rsidR="00AF4FD9" w:rsidRPr="005D4222" w:rsidRDefault="00AF4FD9" w:rsidP="004C5196">
            <w:pPr>
              <w:pStyle w:val="ECDSMarginSubhead"/>
              <w:spacing w:after="0"/>
            </w:pPr>
            <w:r w:rsidRPr="005D4222">
              <w:t>Improvement notation</w:t>
            </w:r>
          </w:p>
        </w:tc>
        <w:tc>
          <w:tcPr>
            <w:tcW w:w="7560" w:type="dxa"/>
            <w:tcBorders>
              <w:top w:val="nil"/>
              <w:left w:val="single" w:sz="4" w:space="0" w:color="auto"/>
              <w:bottom w:val="nil"/>
              <w:right w:val="single" w:sz="4" w:space="0" w:color="auto"/>
            </w:tcBorders>
            <w:tcMar>
              <w:top w:w="0" w:type="dxa"/>
              <w:left w:w="86" w:type="dxa"/>
              <w:bottom w:w="43" w:type="dxa"/>
              <w:right w:w="86" w:type="dxa"/>
            </w:tcMar>
            <w:hideMark/>
          </w:tcPr>
          <w:p w14:paraId="11898D14" w14:textId="77777777" w:rsidR="00AF4FD9" w:rsidRPr="005D4222" w:rsidRDefault="00AF4FD9">
            <w:pPr>
              <w:pStyle w:val="ECDSBody"/>
              <w:spacing w:after="0"/>
            </w:pPr>
            <w:r w:rsidRPr="005D4222">
              <w:t>Increased score indicates improvement.</w:t>
            </w:r>
          </w:p>
        </w:tc>
      </w:tr>
      <w:tr w:rsidR="00AF4FD9" w:rsidRPr="005D4222" w14:paraId="66627B60" w14:textId="7777777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633"/>
        </w:trPr>
        <w:tc>
          <w:tcPr>
            <w:tcW w:w="2158"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4B9AD017" w14:textId="77777777" w:rsidR="00AF4FD9" w:rsidRPr="005D4222" w:rsidRDefault="00AF4FD9" w:rsidP="00992C3B">
            <w:pPr>
              <w:pStyle w:val="ECDSSubhead"/>
            </w:pPr>
            <w:r w:rsidRPr="005D4222">
              <w:t>Guidance</w:t>
            </w:r>
          </w:p>
        </w:tc>
        <w:tc>
          <w:tcPr>
            <w:tcW w:w="7560"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0D2DD169" w14:textId="49D859DF" w:rsidR="00AF4FD9" w:rsidRPr="005D4222" w:rsidRDefault="00AF4FD9">
            <w:pPr>
              <w:pStyle w:val="ECDSBody"/>
            </w:pPr>
            <w:r w:rsidRPr="005D4222">
              <w:rPr>
                <w:b/>
              </w:rPr>
              <w:t>Data collection methodology:</w:t>
            </w:r>
            <w:r w:rsidRPr="005D4222">
              <w:t xml:space="preserve"> Administrative. Refer to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31C74E76" w14:textId="77777777" w:rsidR="00AF4FD9" w:rsidRPr="005D4222" w:rsidRDefault="00AF4FD9">
            <w:pPr>
              <w:pStyle w:val="ECDSBody"/>
            </w:pPr>
            <w:r w:rsidRPr="005D4222">
              <w:rPr>
                <w:b/>
              </w:rPr>
              <w:t xml:space="preserve">Date specificity: </w:t>
            </w:r>
            <w:r w:rsidRPr="005D4222">
              <w:t>Dates must be specific enough to determine the event occurred in the period being measured.</w:t>
            </w:r>
          </w:p>
          <w:p w14:paraId="4619C9E0" w14:textId="77777777" w:rsidR="00AF4FD9" w:rsidRPr="005D4222" w:rsidRDefault="00AF4FD9">
            <w:pPr>
              <w:pStyle w:val="ECDSBody"/>
            </w:pPr>
            <w:r w:rsidRPr="005D4222">
              <w:rPr>
                <w:b/>
              </w:rPr>
              <w:t xml:space="preserve">Which services count? </w:t>
            </w:r>
            <w:r w:rsidRPr="005D4222">
              <w:t>When using claims, include all paid, suspended, pending and denied claims.</w:t>
            </w:r>
          </w:p>
        </w:tc>
      </w:tr>
    </w:tbl>
    <w:p w14:paraId="6B240C61" w14:textId="77777777" w:rsidR="00AF4FD9" w:rsidRPr="005D4222" w:rsidRDefault="00AF4FD9" w:rsidP="00AF4FD9">
      <w:pPr>
        <w:spacing w:after="160" w:line="259" w:lineRule="auto"/>
      </w:pPr>
      <w:r w:rsidRPr="005D4222">
        <w:br w:type="page"/>
      </w:r>
    </w:p>
    <w:tbl>
      <w:tblPr>
        <w:tblW w:w="5003"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8"/>
        <w:gridCol w:w="7560"/>
      </w:tblGrid>
      <w:tr w:rsidR="00AF4FD9" w:rsidRPr="005D4222" w14:paraId="11F8261F" w14:textId="77777777">
        <w:trPr>
          <w:trHeight w:val="320"/>
        </w:trPr>
        <w:tc>
          <w:tcPr>
            <w:tcW w:w="2158" w:type="dxa"/>
            <w:shd w:val="clear" w:color="auto" w:fill="BFBFBF" w:themeFill="background1" w:themeFillShade="BF"/>
            <w:tcMar>
              <w:top w:w="0" w:type="dxa"/>
              <w:left w:w="86" w:type="dxa"/>
              <w:bottom w:w="43" w:type="dxa"/>
              <w:right w:w="86" w:type="dxa"/>
            </w:tcMar>
          </w:tcPr>
          <w:p w14:paraId="60FBE4C4" w14:textId="77777777" w:rsidR="00AF4FD9" w:rsidRPr="005D4222" w:rsidRDefault="00AF4FD9">
            <w:pPr>
              <w:pStyle w:val="ECDSMarginHead"/>
            </w:pPr>
            <w:r w:rsidRPr="005D4222">
              <w:lastRenderedPageBreak/>
              <w:t>Initial population</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A841309" w14:textId="77777777" w:rsidR="00AF4FD9" w:rsidRPr="005D4222" w:rsidRDefault="00AF4FD9">
            <w:pPr>
              <w:pStyle w:val="ECDSBody"/>
            </w:pPr>
            <w:r w:rsidRPr="005D4222">
              <w:rPr>
                <w:i/>
              </w:rPr>
              <w:t xml:space="preserve">Measure </w:t>
            </w:r>
            <w:r w:rsidRPr="005D4222">
              <w:rPr>
                <w:i/>
                <w:iCs/>
              </w:rPr>
              <w:t>item count:</w:t>
            </w:r>
            <w:r w:rsidRPr="005D4222">
              <w:rPr>
                <w:i/>
              </w:rPr>
              <w:t xml:space="preserve"> </w:t>
            </w:r>
            <w:r w:rsidRPr="005D4222">
              <w:t>Person.</w:t>
            </w:r>
          </w:p>
          <w:p w14:paraId="77DB2652" w14:textId="77777777" w:rsidR="00AF4FD9" w:rsidRPr="005D4222" w:rsidRDefault="00AF4FD9">
            <w:pPr>
              <w:pStyle w:val="ECDSBody"/>
            </w:pPr>
            <w:r w:rsidRPr="005D4222">
              <w:rPr>
                <w:i/>
              </w:rPr>
              <w:t xml:space="preserve">Attribution basis: </w:t>
            </w:r>
            <w:r w:rsidRPr="005D4222">
              <w:t>Enrollment.</w:t>
            </w:r>
          </w:p>
          <w:p w14:paraId="2D5A00C4" w14:textId="77777777" w:rsidR="00AF4FD9" w:rsidRPr="005D4222" w:rsidRDefault="00AF4FD9" w:rsidP="00AF4FD9">
            <w:pPr>
              <w:pStyle w:val="Bullet"/>
              <w:numPr>
                <w:ilvl w:val="0"/>
                <w:numId w:val="4"/>
              </w:numPr>
              <w:tabs>
                <w:tab w:val="left" w:pos="360"/>
                <w:tab w:val="left" w:pos="576"/>
              </w:tabs>
              <w:ind w:left="576" w:hanging="216"/>
            </w:pPr>
            <w:r w:rsidRPr="005D4222">
              <w:rPr>
                <w:i/>
                <w:iCs/>
              </w:rPr>
              <w:t>Benefits:</w:t>
            </w:r>
            <w:r w:rsidRPr="005D4222">
              <w:t xml:space="preserve"> Medical.</w:t>
            </w:r>
          </w:p>
          <w:p w14:paraId="70DC251C" w14:textId="77777777" w:rsidR="00AF4FD9" w:rsidRPr="005D4222" w:rsidRDefault="00AF4FD9" w:rsidP="00AF4FD9">
            <w:pPr>
              <w:pStyle w:val="Bullet"/>
              <w:numPr>
                <w:ilvl w:val="0"/>
                <w:numId w:val="4"/>
              </w:numPr>
              <w:tabs>
                <w:tab w:val="left" w:pos="360"/>
                <w:tab w:val="left" w:pos="576"/>
              </w:tabs>
              <w:ind w:left="576" w:hanging="216"/>
            </w:pPr>
            <w:r w:rsidRPr="005D4222">
              <w:rPr>
                <w:i/>
                <w:iCs/>
              </w:rPr>
              <w:t>Continuous enrollment:</w:t>
            </w:r>
            <w:r w:rsidRPr="005D4222">
              <w:t xml:space="preserve"> The measurement period.</w:t>
            </w:r>
          </w:p>
          <w:p w14:paraId="48888F12" w14:textId="77777777" w:rsidR="00AF4FD9" w:rsidRPr="005D4222" w:rsidRDefault="00AF4FD9" w:rsidP="00AF4FD9">
            <w:pPr>
              <w:pStyle w:val="Bullet"/>
              <w:numPr>
                <w:ilvl w:val="0"/>
                <w:numId w:val="4"/>
              </w:numPr>
              <w:tabs>
                <w:tab w:val="left" w:pos="360"/>
                <w:tab w:val="left" w:pos="576"/>
              </w:tabs>
              <w:spacing w:after="80"/>
              <w:ind w:left="576" w:hanging="216"/>
            </w:pPr>
            <w:r w:rsidRPr="005D4222">
              <w:rPr>
                <w:i/>
                <w:iCs/>
              </w:rPr>
              <w:t>Allowable gap:</w:t>
            </w:r>
            <w:r w:rsidRPr="005D4222">
              <w:rPr>
                <w:i/>
              </w:rPr>
              <w:t xml:space="preserve"> </w:t>
            </w:r>
            <w:r w:rsidRPr="005D4222">
              <w:t>No more than one gap of ≤45 days during the measurement period. No gaps on the last day of the measurement period.</w:t>
            </w:r>
          </w:p>
          <w:p w14:paraId="39E56E98" w14:textId="77777777" w:rsidR="00AF4FD9" w:rsidRPr="005D4222" w:rsidRDefault="00AF4FD9">
            <w:pPr>
              <w:pStyle w:val="ECDSBody"/>
              <w:spacing w:before="180"/>
            </w:pPr>
            <w:r w:rsidRPr="005D4222">
              <w:rPr>
                <w:i/>
              </w:rPr>
              <w:t>Ages:</w:t>
            </w:r>
            <w:r w:rsidRPr="005D4222">
              <w:t xml:space="preserve"> 18–75 years of age as of the last day of the measurement period.</w:t>
            </w:r>
          </w:p>
          <w:p w14:paraId="31D09AE1" w14:textId="77777777" w:rsidR="00AF4FD9" w:rsidRPr="005D4222" w:rsidRDefault="00AF4FD9">
            <w:pPr>
              <w:pStyle w:val="ECDSBody"/>
            </w:pPr>
            <w:r w:rsidRPr="005D4222">
              <w:rPr>
                <w:i/>
              </w:rPr>
              <w:t>Event:</w:t>
            </w:r>
            <w:r w:rsidRPr="005D4222">
              <w:rPr>
                <w:i/>
                <w:iCs/>
              </w:rPr>
              <w:t xml:space="preserve"> </w:t>
            </w:r>
            <w:r w:rsidRPr="005D4222">
              <w:rPr>
                <w:b/>
              </w:rPr>
              <w:t xml:space="preserve">Identify persons with a diagnosis of diabetes. </w:t>
            </w:r>
            <w:r w:rsidRPr="005D4222">
              <w:br/>
              <w:t>Either of the following meets criteria:</w:t>
            </w:r>
          </w:p>
          <w:p w14:paraId="2AD28587" w14:textId="77777777" w:rsidR="00AF4FD9" w:rsidRPr="005D4222" w:rsidRDefault="00AF4FD9" w:rsidP="00AF4FD9">
            <w:pPr>
              <w:pStyle w:val="Bullet"/>
              <w:numPr>
                <w:ilvl w:val="0"/>
                <w:numId w:val="4"/>
              </w:numPr>
              <w:tabs>
                <w:tab w:val="left" w:pos="360"/>
                <w:tab w:val="left" w:pos="576"/>
              </w:tabs>
              <w:ind w:left="576" w:hanging="216"/>
            </w:pPr>
            <w:r w:rsidRPr="005D4222">
              <w:rPr>
                <w:i/>
                <w:iCs/>
              </w:rPr>
              <w:t>Claim/encounter data.</w:t>
            </w:r>
            <w:r w:rsidRPr="005D4222">
              <w:t xml:space="preserve"> At least two diagnoses of diabetes (</w:t>
            </w:r>
            <w:r w:rsidRPr="005D4222">
              <w:rPr>
                <w:u w:val="single"/>
              </w:rPr>
              <w:t>Diabetes Value Set</w:t>
            </w:r>
            <w:r w:rsidRPr="005D4222">
              <w:t>*) on different dates of service during the measurement period or the year prior to the measurement period.</w:t>
            </w:r>
          </w:p>
          <w:p w14:paraId="69595313" w14:textId="77777777" w:rsidR="00AF4FD9" w:rsidRPr="005D4222" w:rsidRDefault="00AF4FD9" w:rsidP="00AF4FD9">
            <w:pPr>
              <w:pStyle w:val="Bullet"/>
              <w:numPr>
                <w:ilvl w:val="0"/>
                <w:numId w:val="4"/>
              </w:numPr>
              <w:tabs>
                <w:tab w:val="left" w:pos="360"/>
                <w:tab w:val="left" w:pos="576"/>
              </w:tabs>
              <w:ind w:left="576" w:hanging="216"/>
            </w:pPr>
            <w:r w:rsidRPr="005D4222">
              <w:rPr>
                <w:i/>
                <w:iCs/>
              </w:rPr>
              <w:t>Pharmacy data.</w:t>
            </w:r>
            <w:r w:rsidRPr="005D4222">
              <w:t xml:space="preserve"> At least one diagnosis of diabetes (</w:t>
            </w:r>
            <w:r w:rsidRPr="005D4222">
              <w:rPr>
                <w:u w:val="single"/>
              </w:rPr>
              <w:t>Diabetes Value Set</w:t>
            </w:r>
            <w:r w:rsidRPr="005D4222">
              <w:t xml:space="preserve">*) </w:t>
            </w:r>
            <w:r w:rsidRPr="005D4222">
              <w:rPr>
                <w:b/>
                <w:bCs/>
                <w:i/>
                <w:iCs/>
              </w:rPr>
              <w:t xml:space="preserve">and </w:t>
            </w:r>
            <w:r w:rsidRPr="005D4222">
              <w:t>at least one diabetes medication dispensing event of insulin or a hypoglycemic/antihyperglycemic medication (</w:t>
            </w:r>
            <w:r w:rsidRPr="005D4222">
              <w:rPr>
                <w:u w:val="single"/>
              </w:rPr>
              <w:t>Diabetes Medications List</w:t>
            </w:r>
            <w:r w:rsidRPr="005D4222">
              <w:t>) during the measurement period or the year prior to the measurement period. </w:t>
            </w:r>
          </w:p>
          <w:p w14:paraId="22D4E13C" w14:textId="77777777" w:rsidR="00AF4FD9" w:rsidRPr="005D4222" w:rsidRDefault="00AF4FD9">
            <w:pPr>
              <w:pStyle w:val="ECDSBody"/>
              <w:spacing w:after="0"/>
              <w:rPr>
                <w:rFonts w:eastAsia="Arial,Arial,Arial,Arial,Arial,A"/>
                <w:b/>
                <w:bCs w:val="0"/>
              </w:rPr>
            </w:pPr>
            <w:r w:rsidRPr="005D4222">
              <w:rPr>
                <w:rFonts w:eastAsia="Arial,Arial,Arial,Arial,Arial,A"/>
                <w:b/>
              </w:rPr>
              <w:t>Coding Guidance</w:t>
            </w:r>
          </w:p>
          <w:p w14:paraId="5BD192C3" w14:textId="77777777" w:rsidR="00AF4FD9" w:rsidRPr="005D4222" w:rsidRDefault="00AF4FD9">
            <w:pPr>
              <w:pStyle w:val="ECDSBody"/>
              <w:spacing w:before="0"/>
            </w:pPr>
            <w:r w:rsidRPr="005D4222">
              <w:rPr>
                <w:rFonts w:eastAsia="Arial,Arial,Arial,Arial,Arial,A"/>
              </w:rPr>
              <w:t>*Do not include laboratory claims (claims with POS code 81).</w:t>
            </w:r>
          </w:p>
        </w:tc>
      </w:tr>
      <w:tr w:rsidR="00AF4FD9" w:rsidRPr="005D4222" w14:paraId="6A835B6E" w14:textId="77777777">
        <w:trPr>
          <w:trHeight w:val="300"/>
        </w:trPr>
        <w:tc>
          <w:tcPr>
            <w:tcW w:w="2158"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7DB4096" w14:textId="77777777" w:rsidR="00AF4FD9" w:rsidRPr="005D4222" w:rsidRDefault="00AF4FD9">
            <w:pPr>
              <w:pStyle w:val="ECDSMarginHead"/>
            </w:pPr>
            <w:r w:rsidRPr="005D4222">
              <w:t xml:space="preserve">Denominator exclusions </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149A5B7" w14:textId="77777777" w:rsidR="00AF4FD9" w:rsidRPr="005D4222" w:rsidRDefault="00AF4FD9">
            <w:pPr>
              <w:pStyle w:val="ECDSBody"/>
              <w:rPr>
                <w:rFonts w:cs="Segoe UI"/>
                <w:szCs w:val="18"/>
              </w:rPr>
            </w:pPr>
            <w:r w:rsidRPr="005D4222">
              <w:rPr>
                <w:b/>
              </w:rPr>
              <w:t>Persons with a date of death. </w:t>
            </w:r>
            <w:r w:rsidRPr="005D4222">
              <w:rPr>
                <w:b/>
              </w:rPr>
              <w:br/>
            </w:r>
            <w:r w:rsidRPr="005D4222">
              <w:t>Death in the measurement period, identified using data sources determined by the organization. Method and data sources are subject to review during the HEDIS audit. </w:t>
            </w:r>
          </w:p>
          <w:p w14:paraId="7167349F" w14:textId="77777777" w:rsidR="00AF4FD9" w:rsidRPr="005D4222" w:rsidRDefault="00AF4FD9">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1F5A9B1E" w14:textId="77777777" w:rsidR="00AF4FD9" w:rsidRPr="005D4222" w:rsidRDefault="00AF4FD9">
            <w:pPr>
              <w:pStyle w:val="ECDSBody"/>
            </w:pPr>
            <w:r w:rsidRPr="005D4222" w:rsidDel="00AA4A01">
              <w:rPr>
                <w:b/>
              </w:rPr>
              <w:t xml:space="preserve">Persons </w:t>
            </w:r>
            <w:r w:rsidRPr="005D4222">
              <w:rPr>
                <w:b/>
              </w:rPr>
              <w:t>receiving palliative care.</w:t>
            </w:r>
            <w:r w:rsidRPr="005D4222">
              <w:rPr>
                <w:b/>
              </w:rPr>
              <w:br/>
            </w:r>
            <w:r w:rsidRPr="005D4222">
              <w:t>Persons receiving palliative care (</w:t>
            </w:r>
            <w:r w:rsidRPr="005D4222">
              <w:rPr>
                <w:u w:val="single"/>
              </w:rPr>
              <w:t>Palliative Care Assessment Value Set</w:t>
            </w:r>
            <w:r w:rsidRPr="005D4222">
              <w:t xml:space="preserve">; </w:t>
            </w:r>
            <w:r w:rsidRPr="005D4222">
              <w:rPr>
                <w:u w:val="single"/>
              </w:rPr>
              <w:t>Palliative Care Encounter Value Set</w:t>
            </w:r>
            <w:r w:rsidRPr="005D4222">
              <w:t xml:space="preserve">; </w:t>
            </w:r>
            <w:r w:rsidRPr="005D4222">
              <w:rPr>
                <w:u w:val="single"/>
              </w:rPr>
              <w:t>Palliative Care Intervention Value Set</w:t>
            </w:r>
            <w:r w:rsidRPr="005D4222">
              <w:t xml:space="preserve">) or who had an encounter for palliative care (ICD-10-CM code Z51.5*) any time during the measurement period. </w:t>
            </w:r>
          </w:p>
          <w:p w14:paraId="71FDA257" w14:textId="27BF44E7" w:rsidR="00AF4FD9" w:rsidRPr="005D4222" w:rsidRDefault="00AF4FD9">
            <w:pPr>
              <w:pStyle w:val="ECDSBody"/>
              <w:rPr>
                <w:kern w:val="24"/>
                <w14:ligatures w14:val="standardContextual"/>
              </w:rPr>
            </w:pPr>
            <w:r w:rsidRPr="005D4222">
              <w:rPr>
                <w:b/>
                <w:color w:val="000000"/>
                <w:shd w:val="clear" w:color="auto" w:fill="FFFFFF"/>
              </w:rPr>
              <w:t xml:space="preserve">Medicare enrollees, 66 years of age and older by the </w:t>
            </w:r>
            <w:r w:rsidR="00FD3FF9" w:rsidRPr="005D4222">
              <w:rPr>
                <w:b/>
                <w:color w:val="000000"/>
                <w:shd w:val="clear" w:color="auto" w:fill="FFFFFF"/>
              </w:rPr>
              <w:t>last day</w:t>
            </w:r>
            <w:r w:rsidRPr="005D4222">
              <w:rPr>
                <w:b/>
                <w:color w:val="000000"/>
                <w:shd w:val="clear" w:color="auto" w:fill="FFFFFF"/>
              </w:rPr>
              <w:t xml:space="preserve"> of the measurement period, in an institutional SNP (I-SNP) or living long-term in an institution (LTI).</w:t>
            </w:r>
          </w:p>
          <w:p w14:paraId="2A49D8A5" w14:textId="77777777" w:rsidR="00AF4FD9" w:rsidRPr="005D4222" w:rsidRDefault="00AF4FD9" w:rsidP="00AF4FD9">
            <w:pPr>
              <w:pStyle w:val="ProcessBullet"/>
              <w:tabs>
                <w:tab w:val="left" w:pos="216"/>
              </w:tabs>
            </w:pPr>
            <w:r w:rsidRPr="005D4222">
              <w:t xml:space="preserve">Enrolled in an </w:t>
            </w:r>
            <w:r w:rsidRPr="005D4222" w:rsidDel="002C215C">
              <w:t>Institutional SNP (</w:t>
            </w:r>
            <w:r w:rsidRPr="005D4222">
              <w:t>I-SNP</w:t>
            </w:r>
            <w:r w:rsidRPr="005D4222" w:rsidDel="002C215C">
              <w:t>)</w:t>
            </w:r>
            <w:r w:rsidRPr="005D4222">
              <w:t xml:space="preserve"> any time during the measurement period.</w:t>
            </w:r>
          </w:p>
          <w:p w14:paraId="6E09014A" w14:textId="77777777" w:rsidR="00AF4FD9" w:rsidRPr="005D4222" w:rsidRDefault="00AF4FD9" w:rsidP="00992C3B">
            <w:pPr>
              <w:pStyle w:val="ProcessBullet"/>
              <w:tabs>
                <w:tab w:val="left" w:pos="216"/>
              </w:tabs>
              <w:spacing w:after="80"/>
            </w:pPr>
            <w:r w:rsidRPr="005D4222">
              <w:t xml:space="preserve">Living </w:t>
            </w:r>
            <w:r w:rsidRPr="005D4222" w:rsidDel="002C215C">
              <w:t>long-term in an institution</w:t>
            </w:r>
            <w:r w:rsidRPr="005D4222">
              <w:t xml:space="preserve"> any time during the measurement period as identified by the LTI flag in the Monthly Membership Detail Data File. Use the run date of the file to determine if </w:t>
            </w:r>
            <w:r w:rsidRPr="005D4222" w:rsidDel="00D9342A">
              <w:t xml:space="preserve">a member had </w:t>
            </w:r>
            <w:r w:rsidRPr="005D4222">
              <w:t>an LTI flag during the measurement period.</w:t>
            </w:r>
          </w:p>
        </w:tc>
      </w:tr>
      <w:tr w:rsidR="00AF4FD9" w:rsidRPr="005D4222" w14:paraId="240545E6" w14:textId="77777777">
        <w:trPr>
          <w:trHeight w:val="300"/>
        </w:trPr>
        <w:tc>
          <w:tcPr>
            <w:tcW w:w="2158"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C578C5D" w14:textId="77777777" w:rsidR="00AF4FD9" w:rsidRPr="005D4222" w:rsidRDefault="00AF4FD9">
            <w:pPr>
              <w:pStyle w:val="ECDSMarginHead"/>
            </w:pP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5B099DC" w14:textId="0A5118B6" w:rsidR="00AF4FD9" w:rsidRPr="005D4222" w:rsidRDefault="00AF4FD9">
            <w:pPr>
              <w:pStyle w:val="ECDSBody"/>
              <w:rPr>
                <w:b/>
                <w:bCs w:val="0"/>
              </w:rPr>
            </w:pPr>
            <w:r w:rsidRPr="005D4222">
              <w:rPr>
                <w:b/>
              </w:rPr>
              <w:t>Persons</w:t>
            </w:r>
            <w:r w:rsidRPr="005D4222" w:rsidDel="002C215C">
              <w:rPr>
                <w:b/>
              </w:rPr>
              <w:t xml:space="preserve"> </w:t>
            </w:r>
            <w:r w:rsidRPr="005D4222">
              <w:rPr>
                <w:b/>
              </w:rPr>
              <w:t xml:space="preserve">66 years </w:t>
            </w:r>
            <w:r w:rsidRPr="005D4222">
              <w:rPr>
                <w:b/>
                <w:bCs w:val="0"/>
              </w:rPr>
              <w:t xml:space="preserve">of age </w:t>
            </w:r>
            <w:r w:rsidRPr="005D4222">
              <w:rPr>
                <w:b/>
              </w:rPr>
              <w:t xml:space="preserve">or older by the </w:t>
            </w:r>
            <w:r w:rsidR="00FD3FF9" w:rsidRPr="005D4222">
              <w:rPr>
                <w:b/>
              </w:rPr>
              <w:t>last day</w:t>
            </w:r>
            <w:r w:rsidRPr="005D4222">
              <w:rPr>
                <w:b/>
              </w:rPr>
              <w:t xml:space="preserve"> of the measurement period, with both frailty and advanced illness.</w:t>
            </w:r>
          </w:p>
          <w:p w14:paraId="730B7119" w14:textId="77777777" w:rsidR="00AF4FD9" w:rsidRPr="005D4222" w:rsidRDefault="00AF4FD9">
            <w:pPr>
              <w:pStyle w:val="Body"/>
              <w:spacing w:before="60" w:after="60"/>
              <w:ind w:left="288" w:hanging="288"/>
              <w:rPr>
                <w:rFonts w:cs="Arial"/>
                <w:u w:val="single"/>
              </w:rPr>
            </w:pPr>
            <w:r w:rsidRPr="005D4222">
              <w:t>1.</w:t>
            </w:r>
            <w:r w:rsidRPr="005D4222">
              <w:rPr>
                <w:b/>
                <w:bCs/>
              </w:rPr>
              <w:tab/>
              <w:t>Frailty.</w:t>
            </w:r>
            <w:r w:rsidRPr="005D4222">
              <w:t xml:space="preserve"> </w:t>
            </w:r>
            <w:r w:rsidRPr="005D4222">
              <w:rPr>
                <w:rFonts w:cs="Arial"/>
              </w:rPr>
              <w:t>At least two indications of frailty (</w:t>
            </w:r>
            <w:r w:rsidRPr="005D4222">
              <w:rPr>
                <w:rFonts w:cs="Arial"/>
                <w:u w:val="single"/>
              </w:rPr>
              <w:t>Frailty Device Value Set</w:t>
            </w:r>
            <w:r w:rsidRPr="005D4222">
              <w:rPr>
                <w:rFonts w:cs="Arial"/>
              </w:rPr>
              <w:t xml:space="preserve">; </w:t>
            </w:r>
            <w:r w:rsidRPr="005D4222">
              <w:rPr>
                <w:rFonts w:cs="Arial"/>
                <w:u w:val="single"/>
              </w:rPr>
              <w:t>Frailty Diagnosis Value Set</w:t>
            </w:r>
            <w:r w:rsidRPr="005D4222">
              <w:rPr>
                <w:rFonts w:cs="Arial"/>
              </w:rPr>
              <w:t xml:space="preserve">*; </w:t>
            </w:r>
            <w:r w:rsidRPr="005D4222">
              <w:rPr>
                <w:rFonts w:cs="Arial"/>
                <w:u w:val="single"/>
              </w:rPr>
              <w:t>Frailty Encounter Value Set</w:t>
            </w:r>
            <w:r w:rsidRPr="005D4222">
              <w:rPr>
                <w:rFonts w:cs="Arial"/>
              </w:rPr>
              <w:t xml:space="preserve">; </w:t>
            </w:r>
            <w:r w:rsidRPr="005D4222">
              <w:rPr>
                <w:rFonts w:cs="Arial"/>
                <w:u w:val="single"/>
              </w:rPr>
              <w:t>Frailty Symptom Value Set</w:t>
            </w:r>
            <w:r w:rsidR="00E254AA" w:rsidRPr="005D4222">
              <w:rPr>
                <w:rFonts w:cs="Arial"/>
              </w:rPr>
              <w:t>*</w:t>
            </w:r>
            <w:r w:rsidRPr="005D4222">
              <w:rPr>
                <w:rFonts w:cs="Arial"/>
              </w:rPr>
              <w:t>) with different dates of service during the measurement period.</w:t>
            </w:r>
          </w:p>
          <w:p w14:paraId="18FEC6AB" w14:textId="77777777" w:rsidR="00AF4FD9" w:rsidRPr="005D4222" w:rsidRDefault="00AF4FD9">
            <w:pPr>
              <w:pStyle w:val="Body"/>
              <w:spacing w:before="60"/>
              <w:ind w:left="288" w:hanging="288"/>
              <w:rPr>
                <w:rFonts w:cs="Arial"/>
              </w:rPr>
            </w:pPr>
            <w:r w:rsidRPr="005D4222">
              <w:t>2.</w:t>
            </w:r>
            <w:r w:rsidRPr="005D4222">
              <w:tab/>
            </w:r>
            <w:r w:rsidRPr="005D4222">
              <w:rPr>
                <w:b/>
                <w:bCs/>
              </w:rPr>
              <w:t>Advanced illness.</w:t>
            </w:r>
            <w:r w:rsidRPr="005D4222">
              <w:t xml:space="preserve"> Either</w:t>
            </w:r>
            <w:r w:rsidRPr="005D4222">
              <w:rPr>
                <w:rFonts w:cs="Arial"/>
              </w:rPr>
              <w:t xml:space="preserve"> of the following during the measurement period or the year prior to the measurement period: </w:t>
            </w:r>
          </w:p>
          <w:p w14:paraId="011847E5" w14:textId="77777777" w:rsidR="00AF4FD9" w:rsidRPr="005D4222" w:rsidRDefault="00AF4FD9" w:rsidP="00AF4FD9">
            <w:pPr>
              <w:pStyle w:val="Dash"/>
              <w:tabs>
                <w:tab w:val="left" w:pos="576"/>
                <w:tab w:val="left" w:pos="792"/>
              </w:tabs>
              <w:ind w:left="504"/>
            </w:pPr>
            <w:r w:rsidRPr="005D4222">
              <w:t>Advanced illness (</w:t>
            </w:r>
            <w:r w:rsidRPr="005D4222">
              <w:rPr>
                <w:u w:val="single"/>
              </w:rPr>
              <w:t>Advanced Illness Value Set</w:t>
            </w:r>
            <w:r w:rsidRPr="005D4222">
              <w:t>*) on at least two different dates of service.</w:t>
            </w:r>
          </w:p>
          <w:p w14:paraId="1B8AD165" w14:textId="77777777" w:rsidR="00AF4FD9" w:rsidRPr="005D4222" w:rsidRDefault="00AF4FD9" w:rsidP="00AF4FD9">
            <w:pPr>
              <w:pStyle w:val="Dash"/>
              <w:tabs>
                <w:tab w:val="left" w:pos="576"/>
                <w:tab w:val="left" w:pos="792"/>
              </w:tabs>
              <w:spacing w:after="80"/>
              <w:ind w:left="504"/>
            </w:pPr>
            <w:r w:rsidRPr="005D4222">
              <w:t>Dispensed dementia medication (</w:t>
            </w:r>
            <w:r w:rsidRPr="005D4222">
              <w:rPr>
                <w:u w:val="single"/>
              </w:rPr>
              <w:t>Dementia Medications List</w:t>
            </w:r>
            <w:r w:rsidRPr="005D4222">
              <w:t>).</w:t>
            </w:r>
          </w:p>
          <w:p w14:paraId="378FC1D2" w14:textId="77777777" w:rsidR="00AF4FD9" w:rsidRPr="005D4222" w:rsidRDefault="00AF4FD9">
            <w:pPr>
              <w:pStyle w:val="ECDSBody"/>
              <w:rPr>
                <w:rFonts w:eastAsia="Arial,Arial,Arial,Arial,Arial,A"/>
                <w:b/>
                <w:bCs w:val="0"/>
              </w:rPr>
            </w:pPr>
            <w:r w:rsidRPr="005D4222">
              <w:rPr>
                <w:b/>
              </w:rPr>
              <w:t xml:space="preserve">Persons with bilateral absence of eyes or eye enucleation. </w:t>
            </w:r>
          </w:p>
          <w:p w14:paraId="210B6820" w14:textId="77777777" w:rsidR="00AF4FD9" w:rsidRPr="005D4222" w:rsidRDefault="00AF4FD9" w:rsidP="00992C3B">
            <w:pPr>
              <w:pStyle w:val="ProcessBullet"/>
              <w:numPr>
                <w:ilvl w:val="0"/>
                <w:numId w:val="46"/>
              </w:numPr>
              <w:tabs>
                <w:tab w:val="left" w:pos="216"/>
              </w:tabs>
              <w:ind w:left="216" w:hanging="216"/>
            </w:pPr>
            <w:r w:rsidRPr="005D4222">
              <w:t>Bilateral absence of eyes (SNOMED CT code 15665641000119103) any time during the person’s history through the last day of the measurement period.</w:t>
            </w:r>
          </w:p>
          <w:p w14:paraId="4DA652B7" w14:textId="77777777" w:rsidR="00AF4FD9" w:rsidRPr="005D4222" w:rsidRDefault="00AF4FD9" w:rsidP="00992C3B">
            <w:pPr>
              <w:pStyle w:val="ProcessBullet"/>
              <w:numPr>
                <w:ilvl w:val="0"/>
                <w:numId w:val="46"/>
              </w:numPr>
              <w:tabs>
                <w:tab w:val="left" w:pos="216"/>
              </w:tabs>
              <w:ind w:left="216" w:hanging="216"/>
            </w:pPr>
            <w:r w:rsidRPr="005D4222">
              <w:t>Bilateral eye enucleation any time during the person’s history through the last day of the measurement period:</w:t>
            </w:r>
          </w:p>
          <w:p w14:paraId="00C00E13" w14:textId="77777777" w:rsidR="00AF4FD9" w:rsidRPr="005D4222" w:rsidRDefault="00AF4FD9" w:rsidP="00AF4FD9">
            <w:pPr>
              <w:pStyle w:val="ProcessDash"/>
              <w:spacing w:after="40"/>
            </w:pPr>
            <w:r w:rsidRPr="005D4222">
              <w:t>Unilateral eye enucleation (</w:t>
            </w:r>
            <w:r w:rsidRPr="005D4222">
              <w:rPr>
                <w:u w:val="single"/>
              </w:rPr>
              <w:t>Unilateral Eye Enucleation Value Set</w:t>
            </w:r>
            <w:r w:rsidRPr="005D4222">
              <w:t>) with a bilateral modifier (CPT Modifier code 50).</w:t>
            </w:r>
          </w:p>
          <w:p w14:paraId="62E8AF57" w14:textId="77777777" w:rsidR="00AF4FD9" w:rsidRPr="005D4222" w:rsidRDefault="00AF4FD9" w:rsidP="00AF4FD9">
            <w:pPr>
              <w:pStyle w:val="ProcessDash"/>
              <w:spacing w:after="40"/>
            </w:pPr>
            <w:r w:rsidRPr="005D4222">
              <w:t>Two unilateral eye enucleations (</w:t>
            </w:r>
            <w:r w:rsidRPr="005D4222">
              <w:rPr>
                <w:u w:val="single"/>
              </w:rPr>
              <w:t>Unilateral Eye Enucleation Value Set</w:t>
            </w:r>
            <w:r w:rsidRPr="005D4222">
              <w:t xml:space="preserve">) with service dates 14 days or more apart. </w:t>
            </w:r>
          </w:p>
          <w:p w14:paraId="139B7E8A" w14:textId="77777777" w:rsidR="00AF4FD9" w:rsidRPr="005D4222" w:rsidRDefault="00AF4FD9" w:rsidP="00AF4FD9">
            <w:pPr>
              <w:pStyle w:val="ProcessDash"/>
              <w:spacing w:after="40"/>
            </w:pPr>
            <w:r w:rsidRPr="005D4222">
              <w:t>Left unilateral eye enucleation (ICD-10-PCS code 08T1XZZ) and right unilateral eye enucleation (ICD-10-PCS code 08T0XZZ) on the same or different dates of service.</w:t>
            </w:r>
          </w:p>
          <w:p w14:paraId="4F524295" w14:textId="77777777" w:rsidR="00AF4FD9" w:rsidRPr="005D4222" w:rsidRDefault="00AF4FD9" w:rsidP="00AF4FD9">
            <w:pPr>
              <w:pStyle w:val="ProcessDash"/>
              <w:spacing w:after="40"/>
            </w:pPr>
            <w:r w:rsidRPr="005D4222">
              <w:t>A unilateral eye enucleation (</w:t>
            </w:r>
            <w:r w:rsidRPr="005D4222">
              <w:rPr>
                <w:u w:val="single"/>
              </w:rPr>
              <w:t>Unilateral Eye Enucleation Value Set</w:t>
            </w:r>
            <w:r w:rsidRPr="005D4222">
              <w:t>) and a left unilateral eye enucleation (ICD-10-PCS code 08T1XZZ) with service dates 14 days or more apart.</w:t>
            </w:r>
          </w:p>
          <w:p w14:paraId="21D12ECA" w14:textId="77777777" w:rsidR="00AF4FD9" w:rsidRPr="005D4222" w:rsidRDefault="00AF4FD9" w:rsidP="00AF4FD9">
            <w:pPr>
              <w:pStyle w:val="ProcessDash"/>
              <w:spacing w:after="40"/>
            </w:pPr>
            <w:r w:rsidRPr="005D4222">
              <w:t>A unilateral eye enucleation (</w:t>
            </w:r>
            <w:r w:rsidRPr="005D4222">
              <w:rPr>
                <w:u w:val="single"/>
              </w:rPr>
              <w:t>Unilateral Eye Enucleation Value Set</w:t>
            </w:r>
            <w:r w:rsidRPr="005D4222">
              <w:t>) and a right unilateral eye enucleation (ICD-10-PCS code 08T0XZZ) with service dates 14 days or more apart.</w:t>
            </w:r>
          </w:p>
          <w:p w14:paraId="70FCBAFF" w14:textId="77777777" w:rsidR="00AF4FD9" w:rsidRPr="005D4222" w:rsidDel="00851591" w:rsidRDefault="00AF4FD9">
            <w:pPr>
              <w:pStyle w:val="ECDSBody"/>
              <w:spacing w:after="0"/>
              <w:rPr>
                <w:rFonts w:eastAsia="Arial,Arial,Arial,Arial,Arial,A"/>
                <w:b/>
                <w:bCs w:val="0"/>
              </w:rPr>
            </w:pPr>
            <w:r w:rsidRPr="005D4222" w:rsidDel="00851591">
              <w:rPr>
                <w:rFonts w:eastAsia="Arial,Arial,Arial,Arial,Arial,A"/>
                <w:b/>
                <w:bCs w:val="0"/>
              </w:rPr>
              <w:t>Coding Guidance</w:t>
            </w:r>
          </w:p>
          <w:p w14:paraId="2A9EAAA5" w14:textId="77777777" w:rsidR="00AF4FD9" w:rsidRPr="005D4222" w:rsidRDefault="00AF4FD9">
            <w:pPr>
              <w:pStyle w:val="ECDSBody"/>
              <w:spacing w:before="0"/>
            </w:pPr>
            <w:r w:rsidRPr="005D4222" w:rsidDel="00851591">
              <w:rPr>
                <w:rFonts w:eastAsia="Arial,Arial,Arial,Arial,Arial,A"/>
              </w:rPr>
              <w:t>*Do not include laboratory claims (claims with POS code 81).</w:t>
            </w:r>
          </w:p>
        </w:tc>
      </w:tr>
      <w:tr w:rsidR="00AF4FD9" w:rsidRPr="005D4222" w14:paraId="0DF1BD99" w14:textId="77777777">
        <w:trPr>
          <w:trHeight w:val="417"/>
        </w:trPr>
        <w:tc>
          <w:tcPr>
            <w:tcW w:w="2158"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95746BE" w14:textId="77777777" w:rsidR="00AF4FD9" w:rsidRPr="005D4222" w:rsidRDefault="00AF4FD9">
            <w:pPr>
              <w:pStyle w:val="ECDSMarginHead"/>
            </w:pPr>
            <w:r w:rsidRPr="005D4222">
              <w:t>Denominator</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441DE16" w14:textId="77777777" w:rsidR="00AF4FD9" w:rsidRPr="005D4222" w:rsidRDefault="00AF4FD9">
            <w:pPr>
              <w:pStyle w:val="ECDSBody"/>
              <w:rPr>
                <w:rFonts w:eastAsia="Arial,Arial,Arial,Arial,Arial,A"/>
              </w:rPr>
            </w:pPr>
            <w:r w:rsidRPr="005D4222">
              <w:rPr>
                <w:rFonts w:eastAsia="Arial,Arial,Arial,Arial,Arial,A"/>
              </w:rPr>
              <w:t>The initial population minus denominator exclusions.</w:t>
            </w:r>
          </w:p>
        </w:tc>
      </w:tr>
      <w:tr w:rsidR="00AF4FD9" w:rsidRPr="005D4222" w14:paraId="6E8A497D" w14:textId="77777777">
        <w:trPr>
          <w:trHeight w:val="692"/>
        </w:trPr>
        <w:tc>
          <w:tcPr>
            <w:tcW w:w="2158"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E0354A0" w14:textId="77777777" w:rsidR="00AF4FD9" w:rsidRPr="005D4222" w:rsidRDefault="00AF4FD9">
            <w:pPr>
              <w:pStyle w:val="ECDSMarginHead"/>
            </w:pPr>
            <w:r w:rsidRPr="005D4222">
              <w:t>Numerator</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0D240E3" w14:textId="77777777" w:rsidR="00AF4FD9" w:rsidRPr="005D4222" w:rsidRDefault="00AF4FD9">
            <w:pPr>
              <w:pStyle w:val="ECDSBody"/>
              <w:spacing w:after="0"/>
            </w:pPr>
            <w:r w:rsidRPr="005D4222">
              <w:rPr>
                <w:b/>
                <w:bCs w:val="0"/>
              </w:rPr>
              <w:t xml:space="preserve">Retinal eye exam. </w:t>
            </w:r>
            <w:r w:rsidRPr="005D4222">
              <w:rPr>
                <w:b/>
                <w:bCs w:val="0"/>
              </w:rPr>
              <w:br/>
            </w:r>
            <w:r w:rsidRPr="005D4222">
              <w:t>Screening or monitoring for diabetic retinal disease. This includes persons with diabetes who had one of the following:</w:t>
            </w:r>
          </w:p>
          <w:p w14:paraId="0D10183D" w14:textId="77777777" w:rsidR="00AF4FD9" w:rsidRPr="005D4222" w:rsidRDefault="00AF4FD9" w:rsidP="00992C3B">
            <w:pPr>
              <w:pStyle w:val="ECDSBody"/>
              <w:numPr>
                <w:ilvl w:val="0"/>
                <w:numId w:val="45"/>
              </w:numPr>
              <w:tabs>
                <w:tab w:val="clear" w:pos="1368"/>
              </w:tabs>
              <w:spacing w:before="80"/>
              <w:ind w:left="576" w:hanging="216"/>
            </w:pPr>
            <w:r w:rsidRPr="005D4222">
              <w:t>A retinal or dilated eye exam by an eye care professional (optometrist   or ophthalmologist) in the measurement period.</w:t>
            </w:r>
          </w:p>
          <w:p w14:paraId="3D7E927C" w14:textId="77777777" w:rsidR="00AF4FD9" w:rsidRPr="005D4222" w:rsidRDefault="00AF4FD9" w:rsidP="00AF4FD9">
            <w:pPr>
              <w:pStyle w:val="Bullet"/>
              <w:numPr>
                <w:ilvl w:val="0"/>
                <w:numId w:val="4"/>
              </w:numPr>
              <w:tabs>
                <w:tab w:val="left" w:pos="360"/>
                <w:tab w:val="left" w:pos="576"/>
              </w:tabs>
              <w:spacing w:after="80"/>
              <w:ind w:left="576" w:hanging="216"/>
            </w:pPr>
            <w:r w:rsidRPr="005D4222">
              <w:t>A negative retinal or dilated eye exam (negative for retinopathy) by an eye care professional in the year prior to the measurement period.</w:t>
            </w:r>
          </w:p>
          <w:p w14:paraId="3BC66CF9" w14:textId="77777777" w:rsidR="00AF4FD9" w:rsidRPr="005D4222" w:rsidRDefault="00AF4FD9">
            <w:pPr>
              <w:pStyle w:val="Body"/>
            </w:pPr>
            <w:r w:rsidRPr="005D4222">
              <w:t>Any of the following meet criteria:</w:t>
            </w:r>
          </w:p>
          <w:p w14:paraId="464F62B3" w14:textId="77777777" w:rsidR="00AF4FD9" w:rsidRPr="005D4222" w:rsidRDefault="00AF4FD9" w:rsidP="00AF4FD9">
            <w:pPr>
              <w:pStyle w:val="Bullet"/>
              <w:numPr>
                <w:ilvl w:val="0"/>
                <w:numId w:val="4"/>
              </w:numPr>
              <w:tabs>
                <w:tab w:val="left" w:pos="360"/>
                <w:tab w:val="left" w:pos="576"/>
              </w:tabs>
              <w:spacing w:after="80"/>
              <w:ind w:left="576" w:hanging="216"/>
            </w:pPr>
            <w:r w:rsidRPr="005D4222">
              <w:t xml:space="preserve">Any code in the </w:t>
            </w:r>
            <w:r w:rsidRPr="005D4222">
              <w:rPr>
                <w:u w:val="single"/>
              </w:rPr>
              <w:t>Retinal Eye Exams Value Set</w:t>
            </w:r>
            <w:r w:rsidRPr="005D4222">
              <w:t xml:space="preserve"> billed by an eye care professional (optometrist or ophthalmologist) during the measurement period.</w:t>
            </w:r>
          </w:p>
        </w:tc>
      </w:tr>
      <w:tr w:rsidR="00AF4FD9" w:rsidRPr="005D4222" w14:paraId="6480C1D2" w14:textId="77777777">
        <w:tc>
          <w:tcPr>
            <w:tcW w:w="2158"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A321FCB" w14:textId="77777777" w:rsidR="00AF4FD9" w:rsidRPr="005D4222" w:rsidRDefault="00AF4FD9">
            <w:pPr>
              <w:pStyle w:val="ECDSMarginHead"/>
            </w:pPr>
            <w:r w:rsidRPr="005D4222">
              <w:lastRenderedPageBreak/>
              <w:br w:type="page"/>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FFA916C" w14:textId="77777777" w:rsidR="00AF4FD9" w:rsidRPr="005D4222" w:rsidRDefault="00AF4FD9" w:rsidP="00AF4FD9">
            <w:pPr>
              <w:pStyle w:val="Bullet"/>
              <w:numPr>
                <w:ilvl w:val="0"/>
                <w:numId w:val="4"/>
              </w:numPr>
              <w:tabs>
                <w:tab w:val="left" w:pos="360"/>
                <w:tab w:val="left" w:pos="576"/>
              </w:tabs>
              <w:ind w:left="576" w:hanging="216"/>
            </w:pPr>
            <w:r w:rsidRPr="005D4222">
              <w:t xml:space="preserve">Any code in the </w:t>
            </w:r>
            <w:r w:rsidRPr="005D4222">
              <w:rPr>
                <w:u w:val="single"/>
              </w:rPr>
              <w:t>Retinal Eye Exams Value Set</w:t>
            </w:r>
            <w:r w:rsidRPr="005D4222">
              <w:t xml:space="preserve"> billed by an eye care professional (optometrist or ophthalmologist) during the year prior to the measurement period, with a diagnosis of diabetes without complications (</w:t>
            </w:r>
            <w:r w:rsidRPr="005D4222">
              <w:rPr>
                <w:u w:val="single"/>
              </w:rPr>
              <w:t>Diabetes Mellitus Without Complications Value Set</w:t>
            </w:r>
            <w:r w:rsidRPr="005D4222">
              <w:t xml:space="preserve">). </w:t>
            </w:r>
          </w:p>
          <w:p w14:paraId="4AA9E4E7" w14:textId="77777777" w:rsidR="00AF4FD9" w:rsidRPr="005D4222" w:rsidRDefault="00AF4FD9" w:rsidP="00AF4FD9">
            <w:pPr>
              <w:pStyle w:val="Bullet"/>
              <w:numPr>
                <w:ilvl w:val="0"/>
                <w:numId w:val="4"/>
              </w:numPr>
              <w:tabs>
                <w:tab w:val="left" w:pos="360"/>
                <w:tab w:val="left" w:pos="576"/>
              </w:tabs>
              <w:spacing w:after="80"/>
              <w:ind w:left="576" w:hanging="216"/>
            </w:pPr>
            <w:r w:rsidRPr="005D4222">
              <w:t xml:space="preserve">Any code in the </w:t>
            </w:r>
            <w:r w:rsidRPr="005D4222">
              <w:rPr>
                <w:u w:val="single"/>
              </w:rPr>
              <w:t>Eye Exam With Evidence of Retinopathy Value Set</w:t>
            </w:r>
            <w:r w:rsidRPr="005D4222">
              <w:rPr>
                <w:color w:val="000000"/>
                <w:position w:val="2"/>
                <w:szCs w:val="21"/>
              </w:rPr>
              <w:t>†</w:t>
            </w:r>
            <w:r w:rsidRPr="005D4222">
              <w:t xml:space="preserve">, </w:t>
            </w:r>
            <w:r w:rsidRPr="005D4222">
              <w:rPr>
                <w:u w:val="single"/>
              </w:rPr>
              <w:t>Eye Exam Without Evidence of Retinopathy Value Set</w:t>
            </w:r>
            <w:r w:rsidRPr="005D4222">
              <w:rPr>
                <w:color w:val="000000"/>
                <w:position w:val="2"/>
                <w:szCs w:val="21"/>
              </w:rPr>
              <w:t>†</w:t>
            </w:r>
            <w:r w:rsidRPr="005D4222">
              <w:t xml:space="preserve"> billed by any provider type during the measurement period. </w:t>
            </w:r>
          </w:p>
          <w:p w14:paraId="72BF57BE" w14:textId="77777777" w:rsidR="00AF4FD9" w:rsidRPr="005D4222" w:rsidRDefault="00AF4FD9" w:rsidP="00AF4FD9">
            <w:pPr>
              <w:pStyle w:val="Bullet"/>
              <w:numPr>
                <w:ilvl w:val="0"/>
                <w:numId w:val="4"/>
              </w:numPr>
              <w:tabs>
                <w:tab w:val="left" w:pos="360"/>
                <w:tab w:val="left" w:pos="576"/>
              </w:tabs>
              <w:ind w:left="576" w:hanging="216"/>
            </w:pPr>
            <w:r w:rsidRPr="005D4222">
              <w:t>Retinal imaging with interpretation and reporting by a qualified reading center (</w:t>
            </w:r>
            <w:r w:rsidRPr="005D4222">
              <w:rPr>
                <w:u w:val="single"/>
              </w:rPr>
              <w:t>Retinal Imaging Value Set</w:t>
            </w:r>
            <w:r w:rsidRPr="005D4222">
              <w:t xml:space="preserve">) billed by any provider type during the measurement period. </w:t>
            </w:r>
          </w:p>
          <w:p w14:paraId="31960E75" w14:textId="77777777" w:rsidR="00AF4FD9" w:rsidRPr="005D4222" w:rsidRDefault="00AF4FD9" w:rsidP="00AF4FD9">
            <w:pPr>
              <w:pStyle w:val="Bullet"/>
              <w:numPr>
                <w:ilvl w:val="0"/>
                <w:numId w:val="4"/>
              </w:numPr>
              <w:tabs>
                <w:tab w:val="left" w:pos="360"/>
                <w:tab w:val="left" w:pos="576"/>
              </w:tabs>
              <w:ind w:left="576" w:hanging="216"/>
            </w:pPr>
            <w:r w:rsidRPr="005D4222">
              <w:t>Autonomous eye exam billed by any provider type during the measurement period. Either of the following meets criteria:</w:t>
            </w:r>
          </w:p>
          <w:p w14:paraId="64B570D9" w14:textId="77777777" w:rsidR="00AF4FD9" w:rsidRPr="005D4222" w:rsidRDefault="00AF4FD9" w:rsidP="00AF4FD9">
            <w:pPr>
              <w:pStyle w:val="Dash"/>
              <w:tabs>
                <w:tab w:val="left" w:pos="576"/>
                <w:tab w:val="left" w:pos="792"/>
              </w:tabs>
            </w:pPr>
            <w:r w:rsidRPr="005D4222">
              <w:t>CPT code 92229.</w:t>
            </w:r>
          </w:p>
          <w:p w14:paraId="1FB72693" w14:textId="77777777" w:rsidR="00AF4FD9" w:rsidRPr="005D4222" w:rsidRDefault="00AF4FD9" w:rsidP="00AF4FD9">
            <w:pPr>
              <w:pStyle w:val="Dash"/>
              <w:tabs>
                <w:tab w:val="left" w:pos="576"/>
                <w:tab w:val="left" w:pos="792"/>
              </w:tabs>
            </w:pPr>
            <w:r w:rsidRPr="005D4222">
              <w:t xml:space="preserve">LOINC code 105914-6 </w:t>
            </w:r>
            <w:r w:rsidRPr="005D4222">
              <w:rPr>
                <w:b/>
                <w:bCs/>
                <w:i/>
                <w:iCs/>
              </w:rPr>
              <w:t>with</w:t>
            </w:r>
            <w:r w:rsidRPr="005D4222">
              <w:t xml:space="preserve"> a result (</w:t>
            </w:r>
            <w:r w:rsidRPr="005D4222">
              <w:rPr>
                <w:u w:val="single"/>
              </w:rPr>
              <w:t>Autonomous Eye Exam Result or Finding Value Set</w:t>
            </w:r>
            <w:r w:rsidRPr="005D4222">
              <w:t xml:space="preserve">). </w:t>
            </w:r>
          </w:p>
          <w:p w14:paraId="504FA4E7" w14:textId="77777777" w:rsidR="00AF4FD9" w:rsidRPr="005D4222" w:rsidRDefault="00AF4FD9" w:rsidP="00992C3B">
            <w:pPr>
              <w:pStyle w:val="Bullet"/>
              <w:numPr>
                <w:ilvl w:val="0"/>
                <w:numId w:val="42"/>
              </w:numPr>
              <w:tabs>
                <w:tab w:val="left" w:pos="360"/>
                <w:tab w:val="left" w:pos="576"/>
              </w:tabs>
              <w:ind w:left="576" w:hanging="216"/>
            </w:pPr>
            <w:r w:rsidRPr="005D4222">
              <w:t xml:space="preserve">Any code in the </w:t>
            </w:r>
            <w:r w:rsidRPr="005D4222">
              <w:rPr>
                <w:u w:val="single"/>
              </w:rPr>
              <w:t>Eye Exam Without Evidence of Retinopathy Value Set</w:t>
            </w:r>
            <w:r w:rsidRPr="005D4222">
              <w:rPr>
                <w:color w:val="000000"/>
                <w:position w:val="2"/>
                <w:szCs w:val="21"/>
              </w:rPr>
              <w:t>†</w:t>
            </w:r>
            <w:r w:rsidRPr="005D4222">
              <w:t xml:space="preserve"> billed by any provider type during the year prior to the measurement period. </w:t>
            </w:r>
          </w:p>
          <w:p w14:paraId="1A76010B" w14:textId="77777777" w:rsidR="00AF4FD9" w:rsidRPr="005D4222" w:rsidRDefault="00AF4FD9" w:rsidP="00992C3B">
            <w:pPr>
              <w:pStyle w:val="Bullet"/>
              <w:numPr>
                <w:ilvl w:val="0"/>
                <w:numId w:val="42"/>
              </w:numPr>
              <w:tabs>
                <w:tab w:val="left" w:pos="360"/>
                <w:tab w:val="left" w:pos="576"/>
              </w:tabs>
              <w:ind w:left="576" w:hanging="216"/>
            </w:pPr>
            <w:r w:rsidRPr="005D4222">
              <w:t>Diabetic retinal screening negative in prior year (CPT-CAT-II code 3072F</w:t>
            </w:r>
            <w:r w:rsidRPr="005D4222">
              <w:rPr>
                <w:color w:val="000000"/>
                <w:position w:val="2"/>
                <w:szCs w:val="21"/>
              </w:rPr>
              <w:t>†</w:t>
            </w:r>
            <w:r w:rsidRPr="005D4222">
              <w:t xml:space="preserve">) billed by any provider type during the measurement period. </w:t>
            </w:r>
          </w:p>
          <w:p w14:paraId="3C12D5A4" w14:textId="77777777" w:rsidR="00AF4FD9" w:rsidRPr="005D4222" w:rsidRDefault="00AF4FD9" w:rsidP="00992C3B">
            <w:pPr>
              <w:pStyle w:val="Bullet"/>
              <w:numPr>
                <w:ilvl w:val="0"/>
                <w:numId w:val="42"/>
              </w:numPr>
              <w:tabs>
                <w:tab w:val="left" w:pos="360"/>
                <w:tab w:val="left" w:pos="576"/>
              </w:tabs>
              <w:ind w:left="576" w:hanging="216"/>
            </w:pPr>
            <w:r w:rsidRPr="005D4222">
              <w:t xml:space="preserve">Any combination that indicates findings from a retinal exam for diabetic retinopathy performed in </w:t>
            </w:r>
            <w:r w:rsidRPr="005D4222">
              <w:rPr>
                <w:b/>
              </w:rPr>
              <w:t>both</w:t>
            </w:r>
            <w:r w:rsidRPr="005D4222">
              <w:t xml:space="preserve"> the </w:t>
            </w:r>
            <w:r w:rsidRPr="005D4222">
              <w:rPr>
                <w:b/>
              </w:rPr>
              <w:t>left and right eye</w:t>
            </w:r>
            <w:r w:rsidRPr="005D4222">
              <w:t xml:space="preserve"> by any provider, or a combination that indicates one eye is enucleated and the other was examined.</w:t>
            </w:r>
          </w:p>
          <w:p w14:paraId="399ADBD4" w14:textId="77777777" w:rsidR="00AF4FD9" w:rsidRPr="005D4222" w:rsidRDefault="00AF4FD9" w:rsidP="00AF4FD9">
            <w:pPr>
              <w:pStyle w:val="Dash"/>
              <w:tabs>
                <w:tab w:val="left" w:pos="576"/>
                <w:tab w:val="left" w:pos="792"/>
              </w:tabs>
            </w:pPr>
            <w:r w:rsidRPr="005D4222">
              <w:rPr>
                <w:b/>
              </w:rPr>
              <w:t>Left eye</w:t>
            </w:r>
            <w:r w:rsidRPr="005D4222">
              <w:rPr>
                <w:b/>
                <w:bCs/>
              </w:rPr>
              <w:t>:</w:t>
            </w:r>
            <w:r w:rsidRPr="005D4222">
              <w:t xml:space="preserve"> </w:t>
            </w:r>
          </w:p>
          <w:p w14:paraId="04F03966" w14:textId="77777777" w:rsidR="00AF4FD9" w:rsidRPr="005D4222" w:rsidRDefault="00AF4FD9" w:rsidP="00AF4FD9">
            <w:pPr>
              <w:pStyle w:val="Box"/>
              <w:tabs>
                <w:tab w:val="left" w:pos="792"/>
              </w:tabs>
              <w:ind w:left="1008" w:hanging="216"/>
            </w:pPr>
            <w:r w:rsidRPr="005D4222">
              <w:t xml:space="preserve">Retinal exam finding: Any level of retinopathy (LOINC code 71490-7 </w:t>
            </w:r>
            <w:r w:rsidRPr="005D4222">
              <w:rPr>
                <w:b/>
                <w:bCs/>
                <w:i/>
                <w:iCs/>
              </w:rPr>
              <w:t>with</w:t>
            </w:r>
            <w:r w:rsidRPr="005D4222">
              <w:rPr>
                <w:i/>
                <w:iCs/>
              </w:rPr>
              <w:t xml:space="preserve"> </w:t>
            </w:r>
            <w:r w:rsidRPr="005D4222">
              <w:rPr>
                <w:u w:val="single"/>
              </w:rPr>
              <w:t>Diabetic Retinopathy Severity Level Value Set</w:t>
            </w:r>
            <w:r w:rsidRPr="005D4222">
              <w:t xml:space="preserve">) during the measurement period. </w:t>
            </w:r>
          </w:p>
          <w:p w14:paraId="0ED6A851" w14:textId="77777777" w:rsidR="00AF4FD9" w:rsidRPr="005D4222" w:rsidRDefault="00AF4FD9" w:rsidP="00AF4FD9">
            <w:pPr>
              <w:pStyle w:val="Box"/>
              <w:tabs>
                <w:tab w:val="left" w:pos="792"/>
              </w:tabs>
              <w:ind w:left="1008" w:hanging="216"/>
            </w:pPr>
            <w:r w:rsidRPr="005D4222">
              <w:t>Retinal exam finding:</w:t>
            </w:r>
            <w:r w:rsidRPr="005D4222">
              <w:rPr>
                <w:b/>
                <w:bCs/>
                <w:i/>
                <w:iCs/>
              </w:rPr>
              <w:t xml:space="preserve"> </w:t>
            </w:r>
            <w:r w:rsidRPr="005D4222">
              <w:t xml:space="preserve">No retinopathy (LOINC code 71490-7 </w:t>
            </w:r>
            <w:r w:rsidRPr="005D4222">
              <w:br/>
            </w:r>
            <w:r w:rsidRPr="005D4222">
              <w:rPr>
                <w:b/>
                <w:i/>
              </w:rPr>
              <w:t>with</w:t>
            </w:r>
            <w:r w:rsidRPr="005D4222">
              <w:t xml:space="preserve"> LOINC code LA18643-9) in the year prior to the measurement period. </w:t>
            </w:r>
          </w:p>
          <w:p w14:paraId="5C03EFFC" w14:textId="730E5628" w:rsidR="00AF4FD9" w:rsidRPr="005D4222" w:rsidRDefault="00AF4FD9" w:rsidP="00AF4FD9">
            <w:pPr>
              <w:pStyle w:val="Box"/>
              <w:tabs>
                <w:tab w:val="left" w:pos="792"/>
              </w:tabs>
              <w:ind w:left="1008" w:hanging="216"/>
            </w:pPr>
            <w:r w:rsidRPr="005D4222">
              <w:t xml:space="preserve">Enucleation: ICD-10-PCS code 08T1XZZ </w:t>
            </w:r>
            <w:r w:rsidRPr="005D4222">
              <w:rPr>
                <w:shd w:val="clear" w:color="auto" w:fill="FFFFFF"/>
              </w:rPr>
              <w:t xml:space="preserve">any time during the person’s history through </w:t>
            </w:r>
            <w:r w:rsidR="00F42D99" w:rsidRPr="005D4222">
              <w:rPr>
                <w:shd w:val="clear" w:color="auto" w:fill="FFFFFF"/>
              </w:rPr>
              <w:t xml:space="preserve">the last day </w:t>
            </w:r>
            <w:r w:rsidRPr="005D4222">
              <w:rPr>
                <w:shd w:val="clear" w:color="auto" w:fill="FFFFFF"/>
              </w:rPr>
              <w:t>of the measurement period.</w:t>
            </w:r>
          </w:p>
          <w:p w14:paraId="1E1A781B" w14:textId="77777777" w:rsidR="00AF4FD9" w:rsidRPr="005D4222" w:rsidRDefault="00AF4FD9" w:rsidP="00AF4FD9">
            <w:pPr>
              <w:pStyle w:val="Dash"/>
              <w:tabs>
                <w:tab w:val="left" w:pos="576"/>
                <w:tab w:val="left" w:pos="792"/>
              </w:tabs>
            </w:pPr>
            <w:r w:rsidRPr="005D4222">
              <w:rPr>
                <w:b/>
              </w:rPr>
              <w:t>Right eye</w:t>
            </w:r>
            <w:r w:rsidRPr="005D4222">
              <w:rPr>
                <w:b/>
                <w:bCs/>
              </w:rPr>
              <w:t>:</w:t>
            </w:r>
            <w:r w:rsidRPr="005D4222">
              <w:t xml:space="preserve"> </w:t>
            </w:r>
          </w:p>
          <w:p w14:paraId="787E6A50" w14:textId="0F093B82" w:rsidR="00AF4FD9" w:rsidRPr="005D4222" w:rsidRDefault="00AF4FD9" w:rsidP="00AF4FD9">
            <w:pPr>
              <w:pStyle w:val="Box"/>
              <w:tabs>
                <w:tab w:val="left" w:pos="792"/>
              </w:tabs>
              <w:ind w:left="1008" w:hanging="216"/>
            </w:pPr>
            <w:r w:rsidRPr="005D4222">
              <w:t xml:space="preserve">Retinal exam finding: Any level of retinopathy (LOINC code 71491-5 </w:t>
            </w:r>
            <w:r w:rsidRPr="005D4222">
              <w:rPr>
                <w:b/>
                <w:i/>
                <w:iCs/>
              </w:rPr>
              <w:t>with</w:t>
            </w:r>
            <w:r w:rsidRPr="005D4222">
              <w:rPr>
                <w:b/>
              </w:rPr>
              <w:t xml:space="preserve"> </w:t>
            </w:r>
            <w:r w:rsidRPr="005D4222">
              <w:rPr>
                <w:u w:val="single"/>
              </w:rPr>
              <w:t>Diabetic Retinopathy Severity Level Value Set</w:t>
            </w:r>
            <w:r w:rsidRPr="005D4222">
              <w:t>) during the measurement period</w:t>
            </w:r>
            <w:r w:rsidR="00325400" w:rsidRPr="005D4222">
              <w:t>.</w:t>
            </w:r>
          </w:p>
          <w:p w14:paraId="24C17C58" w14:textId="77777777" w:rsidR="00AF4FD9" w:rsidRPr="005D4222" w:rsidRDefault="00AF4FD9" w:rsidP="00AF4FD9">
            <w:pPr>
              <w:pStyle w:val="Box"/>
              <w:tabs>
                <w:tab w:val="left" w:pos="792"/>
              </w:tabs>
              <w:ind w:left="1008" w:hanging="216"/>
            </w:pPr>
            <w:r w:rsidRPr="005D4222">
              <w:t xml:space="preserve">Retinal exam finding: No retinopathy (LOINC code 71491-5 </w:t>
            </w:r>
            <w:r w:rsidRPr="005D4222">
              <w:br/>
            </w:r>
            <w:r w:rsidRPr="005D4222">
              <w:rPr>
                <w:b/>
                <w:i/>
              </w:rPr>
              <w:t>with</w:t>
            </w:r>
            <w:r w:rsidRPr="005D4222">
              <w:t xml:space="preserve"> LOINC code LA18643-9) in the year prior to the measurement period.</w:t>
            </w:r>
          </w:p>
          <w:p w14:paraId="2DCC0A6C" w14:textId="05CDD0F3" w:rsidR="00AF4FD9" w:rsidRPr="005D4222" w:rsidRDefault="00AF4FD9" w:rsidP="00AF4FD9">
            <w:pPr>
              <w:pStyle w:val="Box"/>
              <w:tabs>
                <w:tab w:val="left" w:pos="792"/>
              </w:tabs>
              <w:spacing w:after="80"/>
              <w:ind w:left="1008" w:hanging="216"/>
            </w:pPr>
            <w:r w:rsidRPr="005D4222">
              <w:t xml:space="preserve">Enucleation: ICD-10-PCS code 08T0XZZ </w:t>
            </w:r>
            <w:r w:rsidRPr="005D4222">
              <w:rPr>
                <w:rFonts w:cs="Arial"/>
                <w:shd w:val="clear" w:color="auto" w:fill="FFFFFF"/>
              </w:rPr>
              <w:t>any time during the person’s history through</w:t>
            </w:r>
            <w:r w:rsidR="00F42D99" w:rsidRPr="005D4222">
              <w:rPr>
                <w:rFonts w:cs="Arial"/>
                <w:shd w:val="clear" w:color="auto" w:fill="FFFFFF"/>
              </w:rPr>
              <w:t xml:space="preserve"> the last day</w:t>
            </w:r>
            <w:r w:rsidRPr="005D4222">
              <w:rPr>
                <w:rFonts w:cs="Arial"/>
                <w:shd w:val="clear" w:color="auto" w:fill="FFFFFF"/>
              </w:rPr>
              <w:t xml:space="preserve"> of the measurement period.</w:t>
            </w:r>
          </w:p>
          <w:p w14:paraId="07B88B88" w14:textId="77777777" w:rsidR="00AF4FD9" w:rsidRPr="005D4222" w:rsidRDefault="00AF4FD9">
            <w:pPr>
              <w:pStyle w:val="ECDSBody"/>
              <w:spacing w:before="180" w:after="0"/>
              <w:rPr>
                <w:rFonts w:eastAsia="Arial,Arial,Arial,Arial,Arial,A"/>
                <w:b/>
                <w:bCs w:val="0"/>
              </w:rPr>
            </w:pPr>
            <w:r w:rsidRPr="005D4222">
              <w:rPr>
                <w:rFonts w:eastAsia="Arial,Arial,Arial,Arial,Arial,A"/>
                <w:b/>
                <w:bCs w:val="0"/>
              </w:rPr>
              <w:t>Coding Guidance</w:t>
            </w:r>
          </w:p>
          <w:p w14:paraId="4DCDA005" w14:textId="77777777" w:rsidR="00AF4FD9" w:rsidRPr="005D4222" w:rsidRDefault="00AF4FD9">
            <w:pPr>
              <w:pStyle w:val="ECDSBody"/>
              <w:spacing w:before="0"/>
              <w:rPr>
                <w:b/>
                <w:bCs w:val="0"/>
              </w:rPr>
            </w:pPr>
            <w:r w:rsidRPr="005D4222">
              <w:rPr>
                <w:color w:val="000000"/>
                <w:position w:val="2"/>
                <w:szCs w:val="21"/>
              </w:rPr>
              <w:t>†</w:t>
            </w:r>
            <w:r w:rsidRPr="005D4222">
              <w:t>Do not include codes with a modifier (</w:t>
            </w:r>
            <w:r w:rsidRPr="005D4222">
              <w:rPr>
                <w:u w:val="single"/>
              </w:rPr>
              <w:t>CPT CAT II Modifier Value Set</w:t>
            </w:r>
            <w:r w:rsidRPr="005D4222">
              <w:t>).</w:t>
            </w:r>
          </w:p>
        </w:tc>
      </w:tr>
      <w:tr w:rsidR="00AF4FD9" w:rsidRPr="005D4222" w14:paraId="139A2C14" w14:textId="77777777">
        <w:tc>
          <w:tcPr>
            <w:tcW w:w="2158"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A98859B" w14:textId="77777777" w:rsidR="00AF4FD9" w:rsidRPr="005D4222" w:rsidRDefault="00AF4FD9">
            <w:pPr>
              <w:pStyle w:val="ECDSMarginHead"/>
            </w:pPr>
            <w:r w:rsidRPr="005D4222">
              <w:t>Summary of changes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84A6FDE" w14:textId="77777777" w:rsidR="00AF4FD9" w:rsidRPr="005D4222" w:rsidRDefault="00AF4FD9" w:rsidP="00F6791A">
            <w:pPr>
              <w:pStyle w:val="ProcessBullet"/>
              <w:tabs>
                <w:tab w:val="left" w:pos="216"/>
              </w:tabs>
              <w:spacing w:before="120" w:after="80"/>
              <w:rPr>
                <w:color w:val="000000" w:themeColor="text1"/>
              </w:rPr>
            </w:pPr>
            <w:r w:rsidRPr="005D4222">
              <w:t>Updated the race and ethnicity stratification categories to align with OMB SPD 15 2024.</w:t>
            </w:r>
          </w:p>
          <w:p w14:paraId="2AB241FC" w14:textId="77777777" w:rsidR="00AF4FD9" w:rsidRPr="005D4222" w:rsidRDefault="00AF4FD9" w:rsidP="00F6791A">
            <w:pPr>
              <w:pStyle w:val="ProcessBullet"/>
              <w:tabs>
                <w:tab w:val="left" w:pos="216"/>
              </w:tabs>
              <w:spacing w:before="180"/>
              <w:rPr>
                <w:color w:val="000000" w:themeColor="text1"/>
              </w:rPr>
            </w:pPr>
            <w:r w:rsidRPr="005D4222">
              <w:lastRenderedPageBreak/>
              <w:t>Added instructions on allowable adjustments to the race and ethnicity and SES stratification.</w:t>
            </w:r>
          </w:p>
        </w:tc>
      </w:tr>
      <w:tr w:rsidR="00AF4FD9" w:rsidRPr="005D4222" w14:paraId="6521B1A8" w14:textId="77777777">
        <w:trPr>
          <w:trHeight w:val="45"/>
        </w:trPr>
        <w:tc>
          <w:tcPr>
            <w:tcW w:w="2158"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C99B257" w14:textId="77777777" w:rsidR="00AF4FD9" w:rsidRPr="005D4222" w:rsidRDefault="00AF4FD9">
            <w:pPr>
              <w:pStyle w:val="ECDSMarginHead"/>
            </w:pPr>
            <w:r w:rsidRPr="005D4222">
              <w:lastRenderedPageBreak/>
              <w:t>Data element tables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F5B7A7D" w14:textId="77777777" w:rsidR="00AF4FD9" w:rsidRPr="005D4222" w:rsidRDefault="00AF4FD9">
            <w:pPr>
              <w:pStyle w:val="ECDSBody"/>
            </w:pPr>
            <w:r w:rsidRPr="005D4222">
              <w:t>Organizations that submit HEDIS data to NCQA must provide the following data elements.</w:t>
            </w:r>
          </w:p>
          <w:p w14:paraId="0376E0CF" w14:textId="77777777" w:rsidR="00AF4FD9" w:rsidRPr="005D4222" w:rsidRDefault="00AF4FD9">
            <w:pPr>
              <w:pStyle w:val="Heading3"/>
              <w:spacing w:before="120"/>
              <w:rPr>
                <w:b w:val="0"/>
                <w:bCs w:val="0"/>
                <w:i w:val="0"/>
                <w:iCs/>
                <w:szCs w:val="18"/>
              </w:rPr>
            </w:pPr>
            <w:r w:rsidRPr="005D4222">
              <w:t>Table EED-A-1/2</w:t>
            </w:r>
            <w:r w:rsidRPr="005D4222">
              <w:rPr>
                <w:iCs/>
                <w:szCs w:val="18"/>
              </w:rPr>
              <w:t>/3: Data Elements for Eye Exam for Patients With Diabetes</w:t>
            </w:r>
          </w:p>
          <w:tbl>
            <w:tblPr>
              <w:tblW w:w="7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
              <w:gridCol w:w="3619"/>
              <w:gridCol w:w="2681"/>
            </w:tblGrid>
            <w:tr w:rsidR="00AF4FD9" w:rsidRPr="005D4222" w14:paraId="19699738" w14:textId="77777777" w:rsidTr="00AC3F17">
              <w:trPr>
                <w:cantSplit/>
                <w:trHeight w:val="300"/>
              </w:trPr>
              <w:tc>
                <w:tcPr>
                  <w:tcW w:w="1076"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tcPr>
                <w:p w14:paraId="029B1F0C" w14:textId="77777777" w:rsidR="00AF4FD9" w:rsidRPr="005D4222" w:rsidRDefault="00AF4FD9">
                  <w:pPr>
                    <w:pStyle w:val="TableHead"/>
                    <w:spacing w:before="50" w:after="50"/>
                    <w:rPr>
                      <w:rFonts w:eastAsia="Arial Narrow"/>
                    </w:rPr>
                  </w:pPr>
                  <w:r w:rsidRPr="005D4222">
                    <w:rPr>
                      <w:rFonts w:eastAsia="Arial Narrow"/>
                    </w:rPr>
                    <w:t>Metric</w:t>
                  </w:r>
                </w:p>
              </w:tc>
              <w:tc>
                <w:tcPr>
                  <w:tcW w:w="3619"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vAlign w:val="bottom"/>
                </w:tcPr>
                <w:p w14:paraId="1402CB88" w14:textId="77777777" w:rsidR="00AF4FD9" w:rsidRPr="005D4222" w:rsidRDefault="00AF4FD9">
                  <w:pPr>
                    <w:pStyle w:val="TableHead"/>
                    <w:spacing w:before="50" w:after="50"/>
                    <w:rPr>
                      <w:rFonts w:eastAsia="Arial Narrow"/>
                    </w:rPr>
                  </w:pPr>
                  <w:r w:rsidRPr="005D4222">
                    <w:rPr>
                      <w:rFonts w:eastAsia="Arial Narrow"/>
                    </w:rPr>
                    <w:t xml:space="preserve">Data Element </w:t>
                  </w:r>
                </w:p>
              </w:tc>
              <w:tc>
                <w:tcPr>
                  <w:tcW w:w="2681" w:type="dxa"/>
                  <w:tcBorders>
                    <w:top w:val="single" w:sz="4" w:space="0" w:color="000000" w:themeColor="text1"/>
                    <w:left w:val="single" w:sz="4" w:space="0" w:color="FFFFFF" w:themeColor="background1"/>
                    <w:bottom w:val="single" w:sz="4" w:space="0" w:color="000000" w:themeColor="text1"/>
                    <w:right w:val="single" w:sz="4" w:space="0" w:color="auto"/>
                  </w:tcBorders>
                  <w:shd w:val="clear" w:color="auto" w:fill="000000" w:themeFill="text1"/>
                  <w:vAlign w:val="bottom"/>
                </w:tcPr>
                <w:p w14:paraId="4A46CE6A" w14:textId="77777777" w:rsidR="00AF4FD9" w:rsidRPr="005D4222" w:rsidRDefault="00AF4FD9">
                  <w:pPr>
                    <w:pStyle w:val="TableHead"/>
                    <w:spacing w:before="50" w:after="50"/>
                    <w:rPr>
                      <w:rFonts w:eastAsia="Arial Narrow"/>
                    </w:rPr>
                  </w:pPr>
                  <w:r w:rsidRPr="005D4222">
                    <w:rPr>
                      <w:rFonts w:eastAsia="Arial Narrow"/>
                    </w:rPr>
                    <w:t>Reporting Instructions</w:t>
                  </w:r>
                </w:p>
              </w:tc>
            </w:tr>
            <w:tr w:rsidR="00AF4FD9" w:rsidRPr="005D4222" w14:paraId="57DD5E58" w14:textId="77777777" w:rsidTr="00AC3F17">
              <w:trPr>
                <w:cantSplit/>
                <w:trHeight w:val="300"/>
              </w:trPr>
              <w:tc>
                <w:tcPr>
                  <w:tcW w:w="1076" w:type="dxa"/>
                  <w:tcBorders>
                    <w:top w:val="single" w:sz="4" w:space="0" w:color="000000" w:themeColor="text1"/>
                    <w:bottom w:val="single" w:sz="4" w:space="0" w:color="auto"/>
                  </w:tcBorders>
                </w:tcPr>
                <w:p w14:paraId="02DB099A" w14:textId="77777777" w:rsidR="00AF4FD9" w:rsidRPr="005D4222" w:rsidRDefault="00AF4FD9">
                  <w:pPr>
                    <w:pStyle w:val="TableText"/>
                    <w:spacing w:before="50" w:after="50"/>
                    <w:rPr>
                      <w:rFonts w:eastAsia="Arial Narrow"/>
                    </w:rPr>
                  </w:pPr>
                  <w:r w:rsidRPr="005D4222">
                    <w:t>EyeExams</w:t>
                  </w:r>
                </w:p>
              </w:tc>
              <w:tc>
                <w:tcPr>
                  <w:tcW w:w="3619" w:type="dxa"/>
                  <w:tcBorders>
                    <w:top w:val="single" w:sz="4" w:space="0" w:color="000000" w:themeColor="text1"/>
                    <w:bottom w:val="single" w:sz="4" w:space="0" w:color="auto"/>
                  </w:tcBorders>
                  <w:vAlign w:val="center"/>
                </w:tcPr>
                <w:p w14:paraId="280C0CA6" w14:textId="77777777" w:rsidR="00AF4FD9" w:rsidRPr="005D4222" w:rsidRDefault="00AF4FD9">
                  <w:pPr>
                    <w:pStyle w:val="TableText"/>
                    <w:spacing w:before="50" w:after="50"/>
                    <w:rPr>
                      <w:rFonts w:eastAsia="Arial Narrow"/>
                    </w:rPr>
                  </w:pPr>
                  <w:r w:rsidRPr="005D4222">
                    <w:rPr>
                      <w:rFonts w:eastAsia="Arial Narrow"/>
                    </w:rPr>
                    <w:t>InitialPopulation</w:t>
                  </w:r>
                </w:p>
              </w:tc>
              <w:tc>
                <w:tcPr>
                  <w:tcW w:w="2681" w:type="dxa"/>
                  <w:tcBorders>
                    <w:top w:val="single" w:sz="4" w:space="0" w:color="000000" w:themeColor="text1"/>
                    <w:right w:val="single" w:sz="4" w:space="0" w:color="auto"/>
                  </w:tcBorders>
                  <w:vAlign w:val="center"/>
                </w:tcPr>
                <w:p w14:paraId="714DFC85" w14:textId="77777777" w:rsidR="00AF4FD9" w:rsidRPr="005D4222" w:rsidRDefault="00AF4FD9">
                  <w:pPr>
                    <w:pStyle w:val="TableText"/>
                    <w:spacing w:before="50" w:after="50"/>
                    <w:rPr>
                      <w:rFonts w:eastAsia="Arial Narrow"/>
                    </w:rPr>
                  </w:pPr>
                  <w:r w:rsidRPr="005D4222">
                    <w:rPr>
                      <w:rFonts w:eastAsia="Arial Narrow"/>
                    </w:rPr>
                    <w:t>Report once</w:t>
                  </w:r>
                </w:p>
              </w:tc>
            </w:tr>
            <w:tr w:rsidR="00AF4FD9" w:rsidRPr="005D4222" w14:paraId="4AA0D5BD" w14:textId="77777777" w:rsidTr="00AC3F17">
              <w:trPr>
                <w:cantSplit/>
                <w:trHeight w:val="300"/>
              </w:trPr>
              <w:tc>
                <w:tcPr>
                  <w:tcW w:w="1076" w:type="dxa"/>
                  <w:tcBorders>
                    <w:top w:val="single" w:sz="4" w:space="0" w:color="auto"/>
                    <w:left w:val="nil"/>
                    <w:bottom w:val="nil"/>
                    <w:right w:val="single" w:sz="4" w:space="0" w:color="auto"/>
                  </w:tcBorders>
                </w:tcPr>
                <w:p w14:paraId="627942B0" w14:textId="77777777" w:rsidR="00AF4FD9" w:rsidRPr="005D4222" w:rsidRDefault="00AF4FD9">
                  <w:pPr>
                    <w:pStyle w:val="TableText"/>
                    <w:spacing w:before="50" w:after="50"/>
                    <w:rPr>
                      <w:rFonts w:eastAsia="Arial Narrow"/>
                    </w:rPr>
                  </w:pPr>
                </w:p>
              </w:tc>
              <w:tc>
                <w:tcPr>
                  <w:tcW w:w="3619" w:type="dxa"/>
                  <w:tcBorders>
                    <w:left w:val="single" w:sz="4" w:space="0" w:color="auto"/>
                    <w:bottom w:val="single" w:sz="4" w:space="0" w:color="auto"/>
                  </w:tcBorders>
                  <w:vAlign w:val="center"/>
                </w:tcPr>
                <w:p w14:paraId="61004947" w14:textId="77777777" w:rsidR="00AF4FD9" w:rsidRPr="005D4222" w:rsidRDefault="00AF4FD9">
                  <w:pPr>
                    <w:pStyle w:val="TableText"/>
                    <w:spacing w:before="50" w:after="50"/>
                    <w:rPr>
                      <w:rFonts w:eastAsia="Arial Narrow"/>
                    </w:rPr>
                  </w:pPr>
                  <w:r w:rsidRPr="005D4222">
                    <w:rPr>
                      <w:rFonts w:eastAsia="Arial Narrow"/>
                    </w:rPr>
                    <w:t>Exclusions</w:t>
                  </w:r>
                </w:p>
              </w:tc>
              <w:tc>
                <w:tcPr>
                  <w:tcW w:w="2681" w:type="dxa"/>
                  <w:tcBorders>
                    <w:right w:val="single" w:sz="4" w:space="0" w:color="auto"/>
                  </w:tcBorders>
                  <w:vAlign w:val="center"/>
                </w:tcPr>
                <w:p w14:paraId="630825D9" w14:textId="77777777" w:rsidR="00AF4FD9" w:rsidRPr="005D4222" w:rsidRDefault="00AF4FD9">
                  <w:pPr>
                    <w:pStyle w:val="TableText"/>
                    <w:spacing w:before="50" w:after="50"/>
                    <w:rPr>
                      <w:rFonts w:eastAsia="Arial Narrow"/>
                    </w:rPr>
                  </w:pPr>
                  <w:r w:rsidRPr="005D4222">
                    <w:rPr>
                      <w:rFonts w:eastAsia="Arial Narrow"/>
                    </w:rPr>
                    <w:t>Report once</w:t>
                  </w:r>
                </w:p>
              </w:tc>
            </w:tr>
            <w:tr w:rsidR="00AF4FD9" w:rsidRPr="005D4222" w14:paraId="45903302" w14:textId="77777777" w:rsidTr="00AC3F17">
              <w:trPr>
                <w:cantSplit/>
                <w:trHeight w:val="300"/>
              </w:trPr>
              <w:tc>
                <w:tcPr>
                  <w:tcW w:w="1076" w:type="dxa"/>
                  <w:tcBorders>
                    <w:top w:val="nil"/>
                    <w:left w:val="nil"/>
                    <w:bottom w:val="nil"/>
                    <w:right w:val="single" w:sz="4" w:space="0" w:color="auto"/>
                  </w:tcBorders>
                </w:tcPr>
                <w:p w14:paraId="1734A0AF" w14:textId="77777777" w:rsidR="00AF4FD9" w:rsidRPr="005D4222" w:rsidRDefault="00AF4FD9">
                  <w:pPr>
                    <w:pStyle w:val="TableText"/>
                    <w:spacing w:before="50" w:after="50"/>
                    <w:rPr>
                      <w:rFonts w:eastAsia="Arial Narrow"/>
                    </w:rPr>
                  </w:pPr>
                </w:p>
              </w:tc>
              <w:tc>
                <w:tcPr>
                  <w:tcW w:w="3619" w:type="dxa"/>
                  <w:tcBorders>
                    <w:left w:val="single" w:sz="4" w:space="0" w:color="auto"/>
                  </w:tcBorders>
                  <w:vAlign w:val="center"/>
                </w:tcPr>
                <w:p w14:paraId="59051810" w14:textId="77777777" w:rsidR="00AF4FD9" w:rsidRPr="005D4222" w:rsidRDefault="00AF4FD9">
                  <w:pPr>
                    <w:pStyle w:val="TableText"/>
                    <w:spacing w:before="50" w:after="50"/>
                    <w:rPr>
                      <w:rFonts w:eastAsia="Arial Narrow"/>
                    </w:rPr>
                  </w:pPr>
                  <w:r w:rsidRPr="005D4222">
                    <w:rPr>
                      <w:rFonts w:eastAsia="Arial Narrow"/>
                    </w:rPr>
                    <w:t>Denominator</w:t>
                  </w:r>
                </w:p>
              </w:tc>
              <w:tc>
                <w:tcPr>
                  <w:tcW w:w="2681" w:type="dxa"/>
                  <w:tcBorders>
                    <w:right w:val="single" w:sz="4" w:space="0" w:color="auto"/>
                  </w:tcBorders>
                  <w:vAlign w:val="center"/>
                </w:tcPr>
                <w:p w14:paraId="33790A62" w14:textId="77777777" w:rsidR="00AF4FD9" w:rsidRPr="005D4222" w:rsidRDefault="00AF4FD9">
                  <w:pPr>
                    <w:pStyle w:val="TableText"/>
                    <w:spacing w:before="50" w:after="50"/>
                    <w:rPr>
                      <w:rFonts w:eastAsia="Arial Narrow"/>
                    </w:rPr>
                  </w:pPr>
                  <w:r w:rsidRPr="005D4222">
                    <w:rPr>
                      <w:rFonts w:eastAsia="Arial Narrow"/>
                    </w:rPr>
                    <w:t>Report once</w:t>
                  </w:r>
                </w:p>
              </w:tc>
            </w:tr>
            <w:tr w:rsidR="00AF4FD9" w:rsidRPr="005D4222" w14:paraId="48973538" w14:textId="77777777" w:rsidTr="00AC3F17">
              <w:trPr>
                <w:cantSplit/>
                <w:trHeight w:val="300"/>
              </w:trPr>
              <w:tc>
                <w:tcPr>
                  <w:tcW w:w="1076" w:type="dxa"/>
                  <w:tcBorders>
                    <w:top w:val="nil"/>
                    <w:left w:val="nil"/>
                    <w:bottom w:val="nil"/>
                    <w:right w:val="single" w:sz="4" w:space="0" w:color="auto"/>
                  </w:tcBorders>
                </w:tcPr>
                <w:p w14:paraId="4801B2A9" w14:textId="77777777" w:rsidR="00AF4FD9" w:rsidRPr="005D4222" w:rsidRDefault="00AF4FD9">
                  <w:pPr>
                    <w:pStyle w:val="TableText"/>
                    <w:spacing w:before="50" w:after="50"/>
                    <w:rPr>
                      <w:rFonts w:eastAsia="Arial Narrow"/>
                    </w:rPr>
                  </w:pPr>
                </w:p>
              </w:tc>
              <w:tc>
                <w:tcPr>
                  <w:tcW w:w="3619" w:type="dxa"/>
                  <w:tcBorders>
                    <w:left w:val="single" w:sz="4" w:space="0" w:color="auto"/>
                  </w:tcBorders>
                </w:tcPr>
                <w:p w14:paraId="042FDC8F" w14:textId="77777777" w:rsidR="00AF4FD9" w:rsidRPr="005D4222" w:rsidRDefault="00AF4FD9">
                  <w:pPr>
                    <w:pStyle w:val="TableText"/>
                    <w:spacing w:before="50" w:after="50"/>
                    <w:rPr>
                      <w:rFonts w:eastAsia="Arial Narrow"/>
                    </w:rPr>
                  </w:pPr>
                  <w:r w:rsidRPr="005D4222">
                    <w:t>NumeratorByAdmin</w:t>
                  </w:r>
                </w:p>
              </w:tc>
              <w:tc>
                <w:tcPr>
                  <w:tcW w:w="2681" w:type="dxa"/>
                  <w:tcBorders>
                    <w:right w:val="single" w:sz="4" w:space="0" w:color="auto"/>
                  </w:tcBorders>
                </w:tcPr>
                <w:p w14:paraId="3B2D014A" w14:textId="77777777" w:rsidR="00AF4FD9" w:rsidRPr="005D4222" w:rsidRDefault="00AF4FD9">
                  <w:pPr>
                    <w:pStyle w:val="TableText"/>
                    <w:spacing w:before="50" w:after="50"/>
                    <w:rPr>
                      <w:rFonts w:eastAsia="Arial Narrow"/>
                    </w:rPr>
                  </w:pPr>
                  <w:r w:rsidRPr="005D4222">
                    <w:rPr>
                      <w:rFonts w:eastAsia="Arial Narrow"/>
                    </w:rPr>
                    <w:t>Report once</w:t>
                  </w:r>
                </w:p>
              </w:tc>
            </w:tr>
            <w:tr w:rsidR="00AF4FD9" w:rsidRPr="005D4222" w14:paraId="3852D7D0" w14:textId="77777777" w:rsidTr="00AC3F17">
              <w:trPr>
                <w:cantSplit/>
                <w:trHeight w:val="300"/>
              </w:trPr>
              <w:tc>
                <w:tcPr>
                  <w:tcW w:w="1076" w:type="dxa"/>
                  <w:tcBorders>
                    <w:top w:val="nil"/>
                    <w:left w:val="nil"/>
                    <w:bottom w:val="nil"/>
                    <w:right w:val="single" w:sz="4" w:space="0" w:color="auto"/>
                  </w:tcBorders>
                </w:tcPr>
                <w:p w14:paraId="6BE18E2B" w14:textId="77777777" w:rsidR="00AF4FD9" w:rsidRPr="005D4222" w:rsidRDefault="00AF4FD9">
                  <w:pPr>
                    <w:pStyle w:val="TableText"/>
                    <w:spacing w:before="50" w:after="50"/>
                    <w:rPr>
                      <w:rFonts w:eastAsia="Arial Narrow"/>
                    </w:rPr>
                  </w:pPr>
                </w:p>
              </w:tc>
              <w:tc>
                <w:tcPr>
                  <w:tcW w:w="3619" w:type="dxa"/>
                  <w:tcBorders>
                    <w:left w:val="single" w:sz="4" w:space="0" w:color="auto"/>
                  </w:tcBorders>
                </w:tcPr>
                <w:p w14:paraId="4717E5E1" w14:textId="77777777" w:rsidR="00AF4FD9" w:rsidRPr="005D4222" w:rsidRDefault="00AF4FD9">
                  <w:pPr>
                    <w:pStyle w:val="TableText"/>
                    <w:spacing w:before="50" w:after="50"/>
                  </w:pPr>
                  <w:r w:rsidRPr="005D4222">
                    <w:t>NumeratorBySupplemental</w:t>
                  </w:r>
                </w:p>
              </w:tc>
              <w:tc>
                <w:tcPr>
                  <w:tcW w:w="2681" w:type="dxa"/>
                  <w:tcBorders>
                    <w:right w:val="single" w:sz="4" w:space="0" w:color="auto"/>
                  </w:tcBorders>
                </w:tcPr>
                <w:p w14:paraId="7ADAD60E" w14:textId="77777777" w:rsidR="00AF4FD9" w:rsidRPr="005D4222" w:rsidRDefault="00AF4FD9">
                  <w:pPr>
                    <w:pStyle w:val="TableText"/>
                    <w:spacing w:before="50" w:after="50"/>
                    <w:rPr>
                      <w:rFonts w:eastAsia="Arial Narrow"/>
                    </w:rPr>
                  </w:pPr>
                  <w:r w:rsidRPr="005D4222">
                    <w:rPr>
                      <w:rFonts w:eastAsia="Arial Narrow"/>
                    </w:rPr>
                    <w:t>Report once</w:t>
                  </w:r>
                </w:p>
              </w:tc>
            </w:tr>
            <w:tr w:rsidR="00AF4FD9" w:rsidRPr="005D4222" w14:paraId="23D35C1A" w14:textId="77777777" w:rsidTr="00AC3F17">
              <w:trPr>
                <w:cantSplit/>
                <w:trHeight w:val="300"/>
              </w:trPr>
              <w:tc>
                <w:tcPr>
                  <w:tcW w:w="1076" w:type="dxa"/>
                  <w:tcBorders>
                    <w:top w:val="nil"/>
                    <w:left w:val="nil"/>
                    <w:bottom w:val="nil"/>
                    <w:right w:val="single" w:sz="4" w:space="0" w:color="auto"/>
                  </w:tcBorders>
                </w:tcPr>
                <w:p w14:paraId="5D2E22CC" w14:textId="77777777" w:rsidR="00AF4FD9" w:rsidRPr="005D4222" w:rsidRDefault="00AF4FD9">
                  <w:pPr>
                    <w:pStyle w:val="TableText"/>
                    <w:spacing w:before="50" w:after="50"/>
                    <w:rPr>
                      <w:rFonts w:eastAsia="Arial Narrow"/>
                    </w:rPr>
                  </w:pPr>
                </w:p>
              </w:tc>
              <w:tc>
                <w:tcPr>
                  <w:tcW w:w="3619" w:type="dxa"/>
                  <w:tcBorders>
                    <w:left w:val="single" w:sz="4" w:space="0" w:color="auto"/>
                    <w:bottom w:val="single" w:sz="4" w:space="0" w:color="auto"/>
                  </w:tcBorders>
                  <w:shd w:val="clear" w:color="auto" w:fill="D9D9D9" w:themeFill="background1" w:themeFillShade="D9"/>
                </w:tcPr>
                <w:p w14:paraId="4DF9DCF3" w14:textId="77777777" w:rsidR="00AF4FD9" w:rsidRPr="005D4222" w:rsidRDefault="00AF4FD9">
                  <w:pPr>
                    <w:pStyle w:val="TableText"/>
                    <w:spacing w:before="50" w:after="50"/>
                  </w:pPr>
                  <w:r w:rsidRPr="005D4222">
                    <w:t>Rate</w:t>
                  </w:r>
                </w:p>
              </w:tc>
              <w:tc>
                <w:tcPr>
                  <w:tcW w:w="2681" w:type="dxa"/>
                  <w:tcBorders>
                    <w:right w:val="single" w:sz="4" w:space="0" w:color="auto"/>
                  </w:tcBorders>
                  <w:shd w:val="clear" w:color="auto" w:fill="D9D9D9" w:themeFill="background1" w:themeFillShade="D9"/>
                </w:tcPr>
                <w:p w14:paraId="059E4540" w14:textId="77777777" w:rsidR="00AF4FD9" w:rsidRPr="005D4222" w:rsidRDefault="00AF4FD9">
                  <w:pPr>
                    <w:pStyle w:val="TableText"/>
                    <w:spacing w:before="50" w:after="50"/>
                    <w:rPr>
                      <w:rFonts w:eastAsia="Arial Narrow"/>
                    </w:rPr>
                  </w:pPr>
                  <w:r w:rsidRPr="005D4222">
                    <w:rPr>
                      <w:rFonts w:eastAsia="Arial Narrow"/>
                    </w:rPr>
                    <w:t>(Percent)</w:t>
                  </w:r>
                </w:p>
              </w:tc>
            </w:tr>
          </w:tbl>
          <w:p w14:paraId="7E811F98" w14:textId="37BD461A" w:rsidR="00AF4FD9" w:rsidRPr="005D4222" w:rsidRDefault="00AF4FD9">
            <w:pPr>
              <w:pStyle w:val="Heading3"/>
              <w:rPr>
                <w:b w:val="0"/>
                <w:i w:val="0"/>
                <w:szCs w:val="18"/>
              </w:rPr>
            </w:pPr>
            <w:r w:rsidRPr="005D4222">
              <w:t>Table EED-</w:t>
            </w:r>
            <w:r w:rsidRPr="005D4222">
              <w:rPr>
                <w:iCs/>
                <w:szCs w:val="18"/>
              </w:rPr>
              <w:t>A</w:t>
            </w:r>
            <w:r w:rsidRPr="005D4222">
              <w:rPr>
                <w:szCs w:val="18"/>
              </w:rPr>
              <w:t xml:space="preserve">-3: Data Elements for Eye Exam for Patients With Diabetes: </w:t>
            </w:r>
            <w:r w:rsidR="00B51CDC" w:rsidRPr="005D4222">
              <w:rPr>
                <w:szCs w:val="18"/>
              </w:rPr>
              <w:t>Stratifications</w:t>
            </w:r>
            <w:r w:rsidRPr="005D4222">
              <w:rPr>
                <w:szCs w:val="18"/>
              </w:rPr>
              <w:t xml:space="preserve"> by Socioeconomic Status</w:t>
            </w:r>
          </w:p>
          <w:tbl>
            <w:tblPr>
              <w:tblW w:w="7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
              <w:gridCol w:w="1980"/>
              <w:gridCol w:w="2353"/>
              <w:gridCol w:w="1970"/>
            </w:tblGrid>
            <w:tr w:rsidR="00AF4FD9" w:rsidRPr="005D4222" w14:paraId="33A07E97" w14:textId="77777777" w:rsidTr="00DE1696">
              <w:trPr>
                <w:cantSplit/>
                <w:trHeight w:val="319"/>
                <w:tblHeader/>
              </w:trPr>
              <w:tc>
                <w:tcPr>
                  <w:tcW w:w="1076"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vAlign w:val="bottom"/>
                </w:tcPr>
                <w:p w14:paraId="3AA5F55E" w14:textId="77777777" w:rsidR="00AF4FD9" w:rsidRPr="005D4222" w:rsidRDefault="00AF4FD9" w:rsidP="00DE1696">
                  <w:pPr>
                    <w:pStyle w:val="TableHead"/>
                    <w:spacing w:before="50" w:after="50"/>
                    <w:rPr>
                      <w:rFonts w:eastAsia="Arial Narrow"/>
                    </w:rPr>
                  </w:pPr>
                  <w:r w:rsidRPr="005D4222">
                    <w:rPr>
                      <w:rFonts w:eastAsia="Arial Narrow"/>
                    </w:rPr>
                    <w:t>Metric</w:t>
                  </w:r>
                </w:p>
              </w:tc>
              <w:tc>
                <w:tcPr>
                  <w:tcW w:w="198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vAlign w:val="bottom"/>
                </w:tcPr>
                <w:p w14:paraId="0BC2E766" w14:textId="5A10F15F" w:rsidR="00AF4FD9" w:rsidRPr="005D4222" w:rsidRDefault="00AF4FD9" w:rsidP="00DE1696">
                  <w:pPr>
                    <w:pStyle w:val="TableHead"/>
                    <w:spacing w:before="50" w:after="50"/>
                    <w:rPr>
                      <w:rFonts w:eastAsia="Arial Narrow"/>
                    </w:rPr>
                  </w:pPr>
                  <w:r w:rsidRPr="005D4222">
                    <w:rPr>
                      <w:rFonts w:eastAsia="Arial Narrow"/>
                    </w:rPr>
                    <w:t>SES</w:t>
                  </w:r>
                </w:p>
              </w:tc>
              <w:tc>
                <w:tcPr>
                  <w:tcW w:w="2353"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vAlign w:val="bottom"/>
                </w:tcPr>
                <w:p w14:paraId="4F33FC23" w14:textId="57089F01" w:rsidR="00AF4FD9" w:rsidRPr="005D4222" w:rsidRDefault="00AF4FD9" w:rsidP="00DE1696">
                  <w:pPr>
                    <w:pStyle w:val="TableHead"/>
                    <w:spacing w:before="50" w:after="50"/>
                    <w:rPr>
                      <w:rFonts w:eastAsia="Arial Narrow"/>
                    </w:rPr>
                  </w:pPr>
                  <w:r w:rsidRPr="005D4222">
                    <w:rPr>
                      <w:rFonts w:eastAsia="Arial Narrow"/>
                    </w:rPr>
                    <w:t>Data Element</w:t>
                  </w:r>
                </w:p>
              </w:tc>
              <w:tc>
                <w:tcPr>
                  <w:tcW w:w="1970" w:type="dxa"/>
                  <w:tcBorders>
                    <w:top w:val="single" w:sz="4" w:space="0" w:color="000000" w:themeColor="text1"/>
                    <w:left w:val="single" w:sz="4" w:space="0" w:color="FFFFFF" w:themeColor="background1"/>
                    <w:bottom w:val="single" w:sz="4" w:space="0" w:color="000000" w:themeColor="text1"/>
                    <w:right w:val="single" w:sz="4" w:space="0" w:color="auto"/>
                  </w:tcBorders>
                  <w:shd w:val="clear" w:color="auto" w:fill="000000" w:themeFill="text1"/>
                  <w:vAlign w:val="bottom"/>
                </w:tcPr>
                <w:p w14:paraId="185C9A84" w14:textId="77777777" w:rsidR="00AF4FD9" w:rsidRPr="005D4222" w:rsidRDefault="00AF4FD9" w:rsidP="00DE1696">
                  <w:pPr>
                    <w:pStyle w:val="TableHead"/>
                    <w:spacing w:before="50" w:after="50"/>
                    <w:rPr>
                      <w:rFonts w:eastAsia="Arial Narrow"/>
                    </w:rPr>
                  </w:pPr>
                  <w:r w:rsidRPr="005D4222">
                    <w:rPr>
                      <w:rFonts w:eastAsia="Arial Narrow"/>
                    </w:rPr>
                    <w:t>Reporting Instructions</w:t>
                  </w:r>
                </w:p>
              </w:tc>
            </w:tr>
            <w:tr w:rsidR="00DC7B98" w:rsidRPr="005D4222" w14:paraId="0B7BE56B" w14:textId="77777777" w:rsidTr="00DE1696">
              <w:trPr>
                <w:cantSplit/>
                <w:trHeight w:val="319"/>
              </w:trPr>
              <w:tc>
                <w:tcPr>
                  <w:tcW w:w="1076" w:type="dxa"/>
                  <w:tcBorders>
                    <w:top w:val="single" w:sz="4" w:space="0" w:color="000000" w:themeColor="text1"/>
                    <w:bottom w:val="single" w:sz="4" w:space="0" w:color="auto"/>
                  </w:tcBorders>
                </w:tcPr>
                <w:p w14:paraId="2F252905" w14:textId="77777777" w:rsidR="00DC7B98" w:rsidRPr="005D4222" w:rsidRDefault="00DC7B98" w:rsidP="00DC7B98">
                  <w:pPr>
                    <w:pStyle w:val="TableText"/>
                    <w:spacing w:before="50" w:after="50"/>
                    <w:rPr>
                      <w:rFonts w:eastAsia="Arial Narrow"/>
                    </w:rPr>
                  </w:pPr>
                  <w:r w:rsidRPr="005D4222">
                    <w:t>EyeExams</w:t>
                  </w:r>
                </w:p>
              </w:tc>
              <w:tc>
                <w:tcPr>
                  <w:tcW w:w="1980" w:type="dxa"/>
                  <w:tcBorders>
                    <w:top w:val="single" w:sz="4" w:space="0" w:color="000000" w:themeColor="text1"/>
                    <w:bottom w:val="single" w:sz="4" w:space="0" w:color="auto"/>
                  </w:tcBorders>
                  <w:vAlign w:val="center"/>
                </w:tcPr>
                <w:p w14:paraId="3FA36734" w14:textId="77777777" w:rsidR="00DC7B98" w:rsidRPr="005D4222" w:rsidRDefault="00DC7B98" w:rsidP="00DC7B98">
                  <w:pPr>
                    <w:pStyle w:val="TableText"/>
                    <w:spacing w:before="50" w:after="50"/>
                    <w:rPr>
                      <w:rFonts w:eastAsia="Arial Narrow"/>
                    </w:rPr>
                  </w:pPr>
                  <w:r w:rsidRPr="005D4222">
                    <w:t>NonLisDeNondisability</w:t>
                  </w:r>
                </w:p>
              </w:tc>
              <w:tc>
                <w:tcPr>
                  <w:tcW w:w="2353" w:type="dxa"/>
                  <w:tcBorders>
                    <w:top w:val="single" w:sz="4" w:space="0" w:color="000000" w:themeColor="text1"/>
                  </w:tcBorders>
                  <w:vAlign w:val="center"/>
                </w:tcPr>
                <w:p w14:paraId="7ABB0D2E" w14:textId="235B7CDB" w:rsidR="00DC7B98" w:rsidRPr="005D4222" w:rsidRDefault="00DC7B98" w:rsidP="00DC7B98">
                  <w:pPr>
                    <w:pStyle w:val="TableText"/>
                    <w:spacing w:before="50" w:after="50"/>
                    <w:rPr>
                      <w:rFonts w:eastAsia="Arial Narrow"/>
                    </w:rPr>
                  </w:pPr>
                  <w:r w:rsidRPr="005D4222">
                    <w:rPr>
                      <w:rFonts w:eastAsia="Arial Narrow"/>
                    </w:rPr>
                    <w:t>InitialPopulation</w:t>
                  </w:r>
                </w:p>
              </w:tc>
              <w:tc>
                <w:tcPr>
                  <w:tcW w:w="1970" w:type="dxa"/>
                  <w:tcBorders>
                    <w:top w:val="single" w:sz="4" w:space="0" w:color="000000" w:themeColor="text1"/>
                    <w:right w:val="single" w:sz="4" w:space="0" w:color="auto"/>
                  </w:tcBorders>
                  <w:vAlign w:val="center"/>
                </w:tcPr>
                <w:p w14:paraId="74F58F00" w14:textId="77777777" w:rsidR="00DC7B98" w:rsidRPr="005D4222" w:rsidRDefault="00DC7B98" w:rsidP="00DC7B98">
                  <w:pPr>
                    <w:pStyle w:val="TableText"/>
                    <w:spacing w:before="50" w:after="50"/>
                    <w:rPr>
                      <w:rFonts w:eastAsia="Arial Narrow"/>
                    </w:rPr>
                  </w:pPr>
                  <w:r w:rsidRPr="005D4222">
                    <w:rPr>
                      <w:rFonts w:eastAsia="Arial Narrow"/>
                    </w:rPr>
                    <w:t>For each Stratification</w:t>
                  </w:r>
                </w:p>
              </w:tc>
            </w:tr>
            <w:tr w:rsidR="00DC7B98" w:rsidRPr="005D4222" w14:paraId="042F0CBC" w14:textId="77777777" w:rsidTr="00DE1696">
              <w:trPr>
                <w:cantSplit/>
                <w:trHeight w:val="319"/>
              </w:trPr>
              <w:tc>
                <w:tcPr>
                  <w:tcW w:w="1076" w:type="dxa"/>
                  <w:tcBorders>
                    <w:top w:val="single" w:sz="4" w:space="0" w:color="auto"/>
                    <w:left w:val="nil"/>
                    <w:bottom w:val="nil"/>
                    <w:right w:val="single" w:sz="4" w:space="0" w:color="auto"/>
                  </w:tcBorders>
                </w:tcPr>
                <w:p w14:paraId="2B1CFB6F" w14:textId="77777777" w:rsidR="00DC7B98" w:rsidRPr="005D4222" w:rsidRDefault="00DC7B98" w:rsidP="00DC7B98">
                  <w:pPr>
                    <w:pStyle w:val="TableText"/>
                    <w:spacing w:before="50" w:after="50"/>
                    <w:rPr>
                      <w:rFonts w:eastAsia="Arial Narrow"/>
                    </w:rPr>
                  </w:pPr>
                </w:p>
              </w:tc>
              <w:tc>
                <w:tcPr>
                  <w:tcW w:w="1980" w:type="dxa"/>
                  <w:tcBorders>
                    <w:left w:val="single" w:sz="4" w:space="0" w:color="auto"/>
                    <w:bottom w:val="single" w:sz="4" w:space="0" w:color="auto"/>
                    <w:right w:val="single" w:sz="4" w:space="0" w:color="auto"/>
                  </w:tcBorders>
                  <w:vAlign w:val="center"/>
                </w:tcPr>
                <w:p w14:paraId="11E6A8B2" w14:textId="77777777" w:rsidR="00DC7B98" w:rsidRPr="005D4222" w:rsidRDefault="00DC7B98" w:rsidP="00DC7B98">
                  <w:pPr>
                    <w:pStyle w:val="TableText"/>
                    <w:spacing w:before="50" w:after="50"/>
                    <w:rPr>
                      <w:rFonts w:eastAsia="Arial Narrow"/>
                    </w:rPr>
                  </w:pPr>
                  <w:r w:rsidRPr="005D4222">
                    <w:t>LisDe</w:t>
                  </w:r>
                </w:p>
              </w:tc>
              <w:tc>
                <w:tcPr>
                  <w:tcW w:w="2353" w:type="dxa"/>
                  <w:tcBorders>
                    <w:left w:val="single" w:sz="4" w:space="0" w:color="auto"/>
                    <w:bottom w:val="single" w:sz="4" w:space="0" w:color="auto"/>
                  </w:tcBorders>
                  <w:vAlign w:val="center"/>
                </w:tcPr>
                <w:p w14:paraId="58E26032" w14:textId="11BDC984" w:rsidR="00DC7B98" w:rsidRPr="005D4222" w:rsidRDefault="00DC7B98" w:rsidP="00DC7B98">
                  <w:pPr>
                    <w:pStyle w:val="TableText"/>
                    <w:spacing w:before="50" w:after="50"/>
                    <w:rPr>
                      <w:rFonts w:eastAsia="Arial Narrow"/>
                    </w:rPr>
                  </w:pPr>
                  <w:r w:rsidRPr="005D4222">
                    <w:rPr>
                      <w:rFonts w:eastAsia="Arial Narrow"/>
                    </w:rPr>
                    <w:t>Exclusions</w:t>
                  </w:r>
                </w:p>
              </w:tc>
              <w:tc>
                <w:tcPr>
                  <w:tcW w:w="1970" w:type="dxa"/>
                  <w:tcBorders>
                    <w:right w:val="single" w:sz="4" w:space="0" w:color="auto"/>
                  </w:tcBorders>
                  <w:vAlign w:val="center"/>
                </w:tcPr>
                <w:p w14:paraId="7F914C74" w14:textId="22D5017C" w:rsidR="00DC7B98" w:rsidRPr="005D4222" w:rsidRDefault="00DC7B98" w:rsidP="00DC7B98">
                  <w:pPr>
                    <w:pStyle w:val="TableText"/>
                    <w:spacing w:before="50" w:after="50"/>
                    <w:rPr>
                      <w:rFonts w:eastAsia="Arial Narrow"/>
                    </w:rPr>
                  </w:pPr>
                  <w:r w:rsidRPr="005D4222">
                    <w:rPr>
                      <w:rFonts w:eastAsia="Arial Narrow"/>
                    </w:rPr>
                    <w:t>For each Stratification</w:t>
                  </w:r>
                </w:p>
              </w:tc>
            </w:tr>
            <w:tr w:rsidR="00DC7B98" w:rsidRPr="005D4222" w14:paraId="4AC91D58" w14:textId="77777777" w:rsidTr="00DE1696">
              <w:trPr>
                <w:cantSplit/>
                <w:trHeight w:val="319"/>
              </w:trPr>
              <w:tc>
                <w:tcPr>
                  <w:tcW w:w="1076" w:type="dxa"/>
                  <w:tcBorders>
                    <w:top w:val="nil"/>
                    <w:left w:val="nil"/>
                    <w:bottom w:val="nil"/>
                    <w:right w:val="single" w:sz="4" w:space="0" w:color="auto"/>
                  </w:tcBorders>
                </w:tcPr>
                <w:p w14:paraId="1C082EE3" w14:textId="77777777" w:rsidR="00DC7B98" w:rsidRPr="005D4222" w:rsidRDefault="00DC7B98" w:rsidP="00DC7B98">
                  <w:pPr>
                    <w:pStyle w:val="TableText"/>
                    <w:spacing w:before="50" w:after="50"/>
                    <w:rPr>
                      <w:rFonts w:eastAsia="Arial Narrow"/>
                    </w:rPr>
                  </w:pPr>
                </w:p>
              </w:tc>
              <w:tc>
                <w:tcPr>
                  <w:tcW w:w="1980" w:type="dxa"/>
                  <w:tcBorders>
                    <w:top w:val="single" w:sz="4" w:space="0" w:color="auto"/>
                    <w:left w:val="single" w:sz="4" w:space="0" w:color="auto"/>
                    <w:bottom w:val="single" w:sz="4" w:space="0" w:color="auto"/>
                    <w:right w:val="single" w:sz="4" w:space="0" w:color="auto"/>
                  </w:tcBorders>
                  <w:vAlign w:val="center"/>
                </w:tcPr>
                <w:p w14:paraId="00FB82DA" w14:textId="77777777" w:rsidR="00DC7B98" w:rsidRPr="005D4222" w:rsidRDefault="00DC7B98" w:rsidP="00DC7B98">
                  <w:pPr>
                    <w:pStyle w:val="TableText"/>
                    <w:spacing w:before="50" w:after="50"/>
                    <w:rPr>
                      <w:rFonts w:eastAsia="Arial Narrow"/>
                    </w:rPr>
                  </w:pPr>
                  <w:r w:rsidRPr="005D4222">
                    <w:t>Disability</w:t>
                  </w:r>
                </w:p>
              </w:tc>
              <w:tc>
                <w:tcPr>
                  <w:tcW w:w="2353" w:type="dxa"/>
                  <w:tcBorders>
                    <w:top w:val="single" w:sz="4" w:space="0" w:color="auto"/>
                    <w:left w:val="single" w:sz="4" w:space="0" w:color="auto"/>
                    <w:bottom w:val="single" w:sz="4" w:space="0" w:color="auto"/>
                  </w:tcBorders>
                  <w:vAlign w:val="center"/>
                </w:tcPr>
                <w:p w14:paraId="4BD78424" w14:textId="4D039192" w:rsidR="00DC7B98" w:rsidRPr="005D4222" w:rsidRDefault="00DC7B98" w:rsidP="00DC7B98">
                  <w:pPr>
                    <w:pStyle w:val="TableText"/>
                    <w:spacing w:before="50" w:after="50"/>
                  </w:pPr>
                  <w:r w:rsidRPr="005D4222">
                    <w:rPr>
                      <w:rFonts w:eastAsia="Arial Narrow"/>
                    </w:rPr>
                    <w:t>Denominator</w:t>
                  </w:r>
                </w:p>
              </w:tc>
              <w:tc>
                <w:tcPr>
                  <w:tcW w:w="1970" w:type="dxa"/>
                  <w:tcBorders>
                    <w:bottom w:val="single" w:sz="4" w:space="0" w:color="auto"/>
                    <w:right w:val="single" w:sz="4" w:space="0" w:color="auto"/>
                  </w:tcBorders>
                </w:tcPr>
                <w:p w14:paraId="25F53398" w14:textId="60A6A5BF" w:rsidR="00DC7B98" w:rsidRPr="005D4222" w:rsidRDefault="00DC7B98" w:rsidP="00DC7B98">
                  <w:pPr>
                    <w:pStyle w:val="TableText"/>
                    <w:spacing w:before="50" w:after="50"/>
                    <w:rPr>
                      <w:rFonts w:eastAsia="Arial Narrow"/>
                    </w:rPr>
                  </w:pPr>
                  <w:r w:rsidRPr="005D4222">
                    <w:rPr>
                      <w:rFonts w:eastAsia="Arial Narrow"/>
                    </w:rPr>
                    <w:t>For each Stratification</w:t>
                  </w:r>
                </w:p>
              </w:tc>
            </w:tr>
            <w:tr w:rsidR="00DC7B98" w:rsidRPr="005D4222" w14:paraId="6B13AF45" w14:textId="77777777" w:rsidTr="00DE1696">
              <w:trPr>
                <w:cantSplit/>
                <w:trHeight w:val="319"/>
              </w:trPr>
              <w:tc>
                <w:tcPr>
                  <w:tcW w:w="1076" w:type="dxa"/>
                  <w:tcBorders>
                    <w:top w:val="nil"/>
                    <w:left w:val="nil"/>
                    <w:bottom w:val="nil"/>
                    <w:right w:val="single" w:sz="4" w:space="0" w:color="auto"/>
                  </w:tcBorders>
                </w:tcPr>
                <w:p w14:paraId="20778B9E" w14:textId="77777777" w:rsidR="00DC7B98" w:rsidRPr="005D4222" w:rsidRDefault="00DC7B98" w:rsidP="00DC7B98">
                  <w:pPr>
                    <w:pStyle w:val="TableText"/>
                    <w:spacing w:before="50" w:after="50"/>
                    <w:rPr>
                      <w:rFonts w:eastAsia="Arial Narrow"/>
                    </w:rPr>
                  </w:pPr>
                </w:p>
              </w:tc>
              <w:tc>
                <w:tcPr>
                  <w:tcW w:w="1980" w:type="dxa"/>
                  <w:tcBorders>
                    <w:top w:val="single" w:sz="4" w:space="0" w:color="auto"/>
                    <w:left w:val="single" w:sz="4" w:space="0" w:color="auto"/>
                    <w:bottom w:val="single" w:sz="4" w:space="0" w:color="auto"/>
                    <w:right w:val="single" w:sz="4" w:space="0" w:color="auto"/>
                  </w:tcBorders>
                  <w:vAlign w:val="center"/>
                </w:tcPr>
                <w:p w14:paraId="2533ED4A" w14:textId="77777777" w:rsidR="00DC7B98" w:rsidRPr="005D4222" w:rsidRDefault="00DC7B98" w:rsidP="00DC7B98">
                  <w:pPr>
                    <w:pStyle w:val="TableText"/>
                    <w:spacing w:before="50" w:after="50"/>
                    <w:rPr>
                      <w:rFonts w:eastAsia="Arial Narrow"/>
                    </w:rPr>
                  </w:pPr>
                  <w:r w:rsidRPr="005D4222">
                    <w:t>LisDeAndDisability</w:t>
                  </w:r>
                </w:p>
              </w:tc>
              <w:tc>
                <w:tcPr>
                  <w:tcW w:w="2353" w:type="dxa"/>
                  <w:tcBorders>
                    <w:top w:val="single" w:sz="4" w:space="0" w:color="auto"/>
                    <w:left w:val="single" w:sz="4" w:space="0" w:color="auto"/>
                    <w:bottom w:val="single" w:sz="4" w:space="0" w:color="auto"/>
                    <w:right w:val="single" w:sz="4" w:space="0" w:color="auto"/>
                  </w:tcBorders>
                  <w:shd w:val="clear" w:color="auto" w:fill="FFFFFF" w:themeFill="background1"/>
                </w:tcPr>
                <w:p w14:paraId="5422EEE6" w14:textId="1CF45B84" w:rsidR="00DC7B98" w:rsidRPr="005D4222" w:rsidRDefault="00DC7B98" w:rsidP="00DC7B98">
                  <w:pPr>
                    <w:pStyle w:val="TableText"/>
                    <w:spacing w:before="50" w:after="50"/>
                    <w:rPr>
                      <w:rFonts w:eastAsia="Arial Narrow"/>
                    </w:rPr>
                  </w:pPr>
                  <w:r w:rsidRPr="005D4222">
                    <w:t>NumeratorByAdmin</w:t>
                  </w:r>
                </w:p>
              </w:tc>
              <w:tc>
                <w:tcPr>
                  <w:tcW w:w="1970" w:type="dxa"/>
                  <w:tcBorders>
                    <w:top w:val="single" w:sz="4" w:space="0" w:color="auto"/>
                    <w:left w:val="single" w:sz="4" w:space="0" w:color="auto"/>
                    <w:bottom w:val="single" w:sz="4" w:space="0" w:color="auto"/>
                    <w:right w:val="single" w:sz="4" w:space="0" w:color="auto"/>
                  </w:tcBorders>
                  <w:shd w:val="clear" w:color="auto" w:fill="FFFFFF" w:themeFill="background1"/>
                </w:tcPr>
                <w:p w14:paraId="5B33BE2D" w14:textId="743176F6" w:rsidR="00DC7B98" w:rsidRPr="005D4222" w:rsidRDefault="00DC7B98" w:rsidP="00DC7B98">
                  <w:pPr>
                    <w:pStyle w:val="TableText"/>
                    <w:spacing w:before="50" w:after="50"/>
                    <w:rPr>
                      <w:rFonts w:eastAsia="Arial Narrow"/>
                    </w:rPr>
                  </w:pPr>
                  <w:r w:rsidRPr="005D4222">
                    <w:rPr>
                      <w:rFonts w:eastAsia="Arial Narrow"/>
                    </w:rPr>
                    <w:t>For each Stratification</w:t>
                  </w:r>
                </w:p>
              </w:tc>
            </w:tr>
            <w:tr w:rsidR="00DC7B98" w:rsidRPr="005D4222" w14:paraId="0B434869" w14:textId="77777777" w:rsidTr="00DE1696">
              <w:trPr>
                <w:cantSplit/>
                <w:trHeight w:val="319"/>
              </w:trPr>
              <w:tc>
                <w:tcPr>
                  <w:tcW w:w="1076" w:type="dxa"/>
                  <w:tcBorders>
                    <w:top w:val="nil"/>
                    <w:left w:val="nil"/>
                    <w:bottom w:val="nil"/>
                    <w:right w:val="single" w:sz="4" w:space="0" w:color="auto"/>
                  </w:tcBorders>
                </w:tcPr>
                <w:p w14:paraId="6D37CB9F" w14:textId="77777777" w:rsidR="00DC7B98" w:rsidRPr="005D4222" w:rsidRDefault="00DC7B98" w:rsidP="00DC7B98">
                  <w:pPr>
                    <w:pStyle w:val="TableText"/>
                    <w:spacing w:before="50" w:after="50"/>
                    <w:rPr>
                      <w:rFonts w:eastAsia="Arial Narrow"/>
                    </w:rPr>
                  </w:pPr>
                </w:p>
              </w:tc>
              <w:tc>
                <w:tcPr>
                  <w:tcW w:w="1980" w:type="dxa"/>
                  <w:tcBorders>
                    <w:top w:val="single" w:sz="4" w:space="0" w:color="auto"/>
                    <w:left w:val="single" w:sz="4" w:space="0" w:color="auto"/>
                    <w:bottom w:val="single" w:sz="4" w:space="0" w:color="auto"/>
                    <w:right w:val="single" w:sz="4" w:space="0" w:color="auto"/>
                  </w:tcBorders>
                </w:tcPr>
                <w:p w14:paraId="108B7FC9" w14:textId="77777777" w:rsidR="00DC7B98" w:rsidRPr="005D4222" w:rsidRDefault="00DC7B98" w:rsidP="00DC7B98">
                  <w:pPr>
                    <w:pStyle w:val="TableText"/>
                    <w:spacing w:before="50" w:after="50"/>
                  </w:pPr>
                  <w:r w:rsidRPr="005D4222">
                    <w:t>Other</w:t>
                  </w:r>
                </w:p>
              </w:tc>
              <w:tc>
                <w:tcPr>
                  <w:tcW w:w="2353" w:type="dxa"/>
                  <w:tcBorders>
                    <w:top w:val="single" w:sz="4" w:space="0" w:color="auto"/>
                    <w:left w:val="single" w:sz="4" w:space="0" w:color="auto"/>
                    <w:bottom w:val="single" w:sz="4" w:space="0" w:color="auto"/>
                    <w:right w:val="single" w:sz="4" w:space="0" w:color="auto"/>
                  </w:tcBorders>
                  <w:shd w:val="clear" w:color="auto" w:fill="FFFFFF" w:themeFill="background1"/>
                </w:tcPr>
                <w:p w14:paraId="52B20095" w14:textId="6567A9BF" w:rsidR="00DC7B98" w:rsidRPr="005D4222" w:rsidRDefault="00DC7B98" w:rsidP="00DC7B98">
                  <w:pPr>
                    <w:pStyle w:val="TableText"/>
                    <w:spacing w:before="50" w:after="50"/>
                  </w:pPr>
                  <w:r w:rsidRPr="005D4222">
                    <w:t>NumeratorBySupplemental</w:t>
                  </w:r>
                </w:p>
              </w:tc>
              <w:tc>
                <w:tcPr>
                  <w:tcW w:w="1970" w:type="dxa"/>
                  <w:tcBorders>
                    <w:top w:val="single" w:sz="4" w:space="0" w:color="auto"/>
                    <w:left w:val="single" w:sz="4" w:space="0" w:color="auto"/>
                    <w:bottom w:val="single" w:sz="4" w:space="0" w:color="auto"/>
                    <w:right w:val="single" w:sz="4" w:space="0" w:color="auto"/>
                  </w:tcBorders>
                  <w:shd w:val="clear" w:color="auto" w:fill="FFFFFF" w:themeFill="background1"/>
                </w:tcPr>
                <w:p w14:paraId="11CD47AC" w14:textId="28ADAEC2" w:rsidR="00DC7B98" w:rsidRPr="005D4222" w:rsidRDefault="00DC7B98" w:rsidP="00DC7B98">
                  <w:pPr>
                    <w:pStyle w:val="TableText"/>
                    <w:spacing w:before="50" w:after="50"/>
                    <w:rPr>
                      <w:rFonts w:eastAsia="Arial Narrow"/>
                    </w:rPr>
                  </w:pPr>
                  <w:r w:rsidRPr="005D4222">
                    <w:rPr>
                      <w:rFonts w:eastAsia="Arial Narrow"/>
                    </w:rPr>
                    <w:t>For each Stratification</w:t>
                  </w:r>
                </w:p>
              </w:tc>
            </w:tr>
            <w:tr w:rsidR="00DC7B98" w:rsidRPr="005D4222" w14:paraId="08DB7A72" w14:textId="77777777" w:rsidTr="00DE1696">
              <w:trPr>
                <w:cantSplit/>
                <w:trHeight w:val="319"/>
              </w:trPr>
              <w:tc>
                <w:tcPr>
                  <w:tcW w:w="1076" w:type="dxa"/>
                  <w:tcBorders>
                    <w:top w:val="nil"/>
                    <w:left w:val="nil"/>
                    <w:bottom w:val="nil"/>
                    <w:right w:val="single" w:sz="4" w:space="0" w:color="auto"/>
                  </w:tcBorders>
                </w:tcPr>
                <w:p w14:paraId="2F3D9D17" w14:textId="77777777" w:rsidR="00DC7B98" w:rsidRPr="005D4222" w:rsidRDefault="00DC7B98" w:rsidP="00DC7B98">
                  <w:pPr>
                    <w:pStyle w:val="TableText"/>
                    <w:spacing w:before="50" w:after="50"/>
                    <w:rPr>
                      <w:rFonts w:eastAsia="Arial Narrow"/>
                    </w:rPr>
                  </w:pP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69C056FE" w14:textId="77777777" w:rsidR="00DC7B98" w:rsidRPr="005D4222" w:rsidRDefault="00DC7B98" w:rsidP="00DC7B98">
                  <w:pPr>
                    <w:pStyle w:val="TableText"/>
                    <w:spacing w:before="50" w:after="50"/>
                  </w:pPr>
                  <w:r w:rsidRPr="005D4222">
                    <w:t>Unknown</w:t>
                  </w:r>
                </w:p>
              </w:tc>
              <w:tc>
                <w:tcPr>
                  <w:tcW w:w="235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2D62DBC" w14:textId="54E7F993" w:rsidR="00DC7B98" w:rsidRPr="005D4222" w:rsidRDefault="00DC7B98" w:rsidP="00DC7B98">
                  <w:pPr>
                    <w:pStyle w:val="TableText"/>
                    <w:spacing w:before="50" w:after="50"/>
                    <w:rPr>
                      <w:rFonts w:eastAsia="Arial Narrow"/>
                    </w:rPr>
                  </w:pPr>
                  <w:r w:rsidRPr="005D4222">
                    <w:t>Rate</w:t>
                  </w:r>
                </w:p>
              </w:tc>
              <w:tc>
                <w:tcPr>
                  <w:tcW w:w="19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DA54882" w14:textId="0288134E" w:rsidR="00DC7B98" w:rsidRPr="005D4222" w:rsidRDefault="00DC7B98" w:rsidP="00DC7B98">
                  <w:pPr>
                    <w:pStyle w:val="TableText"/>
                    <w:spacing w:before="50" w:after="50"/>
                    <w:rPr>
                      <w:rFonts w:eastAsia="Arial Narrow"/>
                    </w:rPr>
                  </w:pPr>
                  <w:r w:rsidRPr="005D4222">
                    <w:rPr>
                      <w:rFonts w:eastAsia="Arial Narrow"/>
                    </w:rPr>
                    <w:t>(Percent)</w:t>
                  </w:r>
                </w:p>
              </w:tc>
            </w:tr>
          </w:tbl>
          <w:p w14:paraId="66F52B5F" w14:textId="281E8C31" w:rsidR="00AF4FD9" w:rsidRPr="005D4222" w:rsidRDefault="00AF4FD9">
            <w:pPr>
              <w:pStyle w:val="Heading3"/>
            </w:pPr>
            <w:r w:rsidRPr="005D4222">
              <w:t xml:space="preserve">Table EED-B-1/2/3: Data Elements for Eye Exam for Patients With Diabetes: </w:t>
            </w:r>
            <w:r w:rsidR="00B51CDC" w:rsidRPr="005D4222">
              <w:t>Stratifications</w:t>
            </w:r>
            <w:r w:rsidRPr="005D4222">
              <w:t xml:space="preserve"> by Race </w:t>
            </w:r>
          </w:p>
          <w:tbl>
            <w:tblPr>
              <w:tblW w:w="5000" w:type="pct"/>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076"/>
              <w:gridCol w:w="2880"/>
              <w:gridCol w:w="1440"/>
              <w:gridCol w:w="1982"/>
            </w:tblGrid>
            <w:tr w:rsidR="00AF4FD9" w:rsidRPr="005D4222" w14:paraId="10DEC981" w14:textId="77777777" w:rsidTr="00AC3F17">
              <w:trPr>
                <w:trHeight w:val="300"/>
              </w:trPr>
              <w:tc>
                <w:tcPr>
                  <w:tcW w:w="1076" w:type="dxa"/>
                  <w:tcBorders>
                    <w:top w:val="single" w:sz="4" w:space="0" w:color="auto"/>
                    <w:left w:val="single" w:sz="4" w:space="0" w:color="auto"/>
                    <w:bottom w:val="single" w:sz="4" w:space="0" w:color="auto"/>
                    <w:right w:val="single" w:sz="6" w:space="0" w:color="FFFFFF" w:themeColor="background1"/>
                  </w:tcBorders>
                  <w:shd w:val="clear" w:color="auto" w:fill="000000" w:themeFill="text1"/>
                  <w:tcMar>
                    <w:left w:w="86" w:type="dxa"/>
                    <w:right w:w="86" w:type="dxa"/>
                  </w:tcMar>
                  <w:vAlign w:val="bottom"/>
                  <w:hideMark/>
                </w:tcPr>
                <w:p w14:paraId="668DD20C" w14:textId="77777777" w:rsidR="00AF4FD9" w:rsidRPr="005D4222" w:rsidRDefault="00AF4FD9">
                  <w:pPr>
                    <w:pStyle w:val="TableHead"/>
                    <w:spacing w:before="50" w:after="50"/>
                    <w:rPr>
                      <w:rFonts w:ascii="Times New Roman" w:hAnsi="Times New Roman"/>
                      <w:sz w:val="24"/>
                      <w:szCs w:val="24"/>
                    </w:rPr>
                  </w:pPr>
                  <w:r w:rsidRPr="005D4222">
                    <w:t>Metric</w:t>
                  </w:r>
                </w:p>
              </w:tc>
              <w:tc>
                <w:tcPr>
                  <w:tcW w:w="2880" w:type="dxa"/>
                  <w:tcBorders>
                    <w:top w:val="single" w:sz="4" w:space="0" w:color="auto"/>
                    <w:left w:val="single" w:sz="6" w:space="0" w:color="FFFFFF" w:themeColor="background1"/>
                    <w:bottom w:val="single" w:sz="4" w:space="0" w:color="auto"/>
                    <w:right w:val="single" w:sz="6" w:space="0" w:color="FFFFFF" w:themeColor="background1"/>
                  </w:tcBorders>
                  <w:shd w:val="clear" w:color="auto" w:fill="000000" w:themeFill="text1"/>
                  <w:tcMar>
                    <w:left w:w="86" w:type="dxa"/>
                    <w:right w:w="86" w:type="dxa"/>
                  </w:tcMar>
                  <w:vAlign w:val="bottom"/>
                  <w:hideMark/>
                </w:tcPr>
                <w:p w14:paraId="69BFFDD5" w14:textId="77777777" w:rsidR="00AF4FD9" w:rsidRPr="005D4222" w:rsidRDefault="00AF4FD9">
                  <w:pPr>
                    <w:pStyle w:val="TableHead"/>
                    <w:spacing w:before="50" w:after="50"/>
                    <w:rPr>
                      <w:rFonts w:ascii="Times New Roman" w:hAnsi="Times New Roman"/>
                      <w:sz w:val="24"/>
                      <w:szCs w:val="24"/>
                    </w:rPr>
                  </w:pPr>
                  <w:r w:rsidRPr="005D4222">
                    <w:t>Race</w:t>
                  </w:r>
                </w:p>
              </w:tc>
              <w:tc>
                <w:tcPr>
                  <w:tcW w:w="1440" w:type="dxa"/>
                  <w:tcBorders>
                    <w:top w:val="single" w:sz="4" w:space="0" w:color="auto"/>
                    <w:left w:val="single" w:sz="6" w:space="0" w:color="FFFFFF" w:themeColor="background1"/>
                    <w:bottom w:val="single" w:sz="4" w:space="0" w:color="auto"/>
                    <w:right w:val="single" w:sz="6" w:space="0" w:color="FFFFFF" w:themeColor="background1"/>
                  </w:tcBorders>
                  <w:shd w:val="clear" w:color="auto" w:fill="000000" w:themeFill="text1"/>
                  <w:tcMar>
                    <w:left w:w="86" w:type="dxa"/>
                    <w:right w:w="86" w:type="dxa"/>
                  </w:tcMar>
                  <w:vAlign w:val="bottom"/>
                  <w:hideMark/>
                </w:tcPr>
                <w:p w14:paraId="0579CEAA" w14:textId="77777777" w:rsidR="00AF4FD9" w:rsidRPr="005D4222" w:rsidRDefault="00AF4FD9">
                  <w:pPr>
                    <w:pStyle w:val="TableHead"/>
                    <w:spacing w:before="50" w:after="50"/>
                    <w:rPr>
                      <w:rFonts w:ascii="Times New Roman" w:hAnsi="Times New Roman"/>
                      <w:sz w:val="24"/>
                      <w:szCs w:val="24"/>
                    </w:rPr>
                  </w:pPr>
                  <w:r w:rsidRPr="005D4222">
                    <w:t>Data Element</w:t>
                  </w:r>
                </w:p>
              </w:tc>
              <w:tc>
                <w:tcPr>
                  <w:tcW w:w="1982" w:type="dxa"/>
                  <w:tcBorders>
                    <w:top w:val="single" w:sz="4" w:space="0" w:color="auto"/>
                    <w:left w:val="single" w:sz="6" w:space="0" w:color="FFFFFF" w:themeColor="background1"/>
                    <w:bottom w:val="single" w:sz="4" w:space="0" w:color="auto"/>
                    <w:right w:val="single" w:sz="4" w:space="0" w:color="auto"/>
                  </w:tcBorders>
                  <w:shd w:val="clear" w:color="auto" w:fill="000000" w:themeFill="text1"/>
                  <w:tcMar>
                    <w:left w:w="86" w:type="dxa"/>
                    <w:right w:w="86" w:type="dxa"/>
                  </w:tcMar>
                  <w:vAlign w:val="bottom"/>
                  <w:hideMark/>
                </w:tcPr>
                <w:p w14:paraId="2CFA1405" w14:textId="77777777" w:rsidR="00AF4FD9" w:rsidRPr="005D4222" w:rsidRDefault="00AF4FD9">
                  <w:pPr>
                    <w:pStyle w:val="TableHead"/>
                    <w:spacing w:before="50" w:after="50"/>
                    <w:rPr>
                      <w:rFonts w:ascii="Times New Roman" w:hAnsi="Times New Roman"/>
                      <w:sz w:val="24"/>
                      <w:szCs w:val="24"/>
                    </w:rPr>
                  </w:pPr>
                  <w:r w:rsidRPr="005D4222">
                    <w:t>Reporting Instructions</w:t>
                  </w:r>
                </w:p>
              </w:tc>
            </w:tr>
            <w:tr w:rsidR="00AF4FD9" w:rsidRPr="005D4222" w14:paraId="63323BB4" w14:textId="77777777" w:rsidTr="00AC3F17">
              <w:trPr>
                <w:trHeight w:val="300"/>
              </w:trPr>
              <w:tc>
                <w:tcPr>
                  <w:tcW w:w="1076" w:type="dxa"/>
                  <w:tcBorders>
                    <w:top w:val="single" w:sz="4" w:space="0" w:color="auto"/>
                    <w:left w:val="single" w:sz="6" w:space="0" w:color="auto"/>
                    <w:bottom w:val="single" w:sz="6" w:space="0" w:color="auto"/>
                    <w:right w:val="single" w:sz="6" w:space="0" w:color="auto"/>
                  </w:tcBorders>
                  <w:tcMar>
                    <w:left w:w="86" w:type="dxa"/>
                    <w:right w:w="86" w:type="dxa"/>
                  </w:tcMar>
                  <w:hideMark/>
                </w:tcPr>
                <w:p w14:paraId="4DE50A7E" w14:textId="77777777" w:rsidR="00AF4FD9" w:rsidRPr="005D4222" w:rsidRDefault="00AF4FD9">
                  <w:pPr>
                    <w:pStyle w:val="TableText"/>
                    <w:spacing w:before="50" w:after="50"/>
                    <w:rPr>
                      <w:rFonts w:ascii="Times New Roman" w:hAnsi="Times New Roman"/>
                      <w:sz w:val="24"/>
                      <w:szCs w:val="24"/>
                    </w:rPr>
                  </w:pPr>
                  <w:r w:rsidRPr="005D4222">
                    <w:t>EyeExams</w:t>
                  </w:r>
                </w:p>
              </w:tc>
              <w:tc>
                <w:tcPr>
                  <w:tcW w:w="2880" w:type="dxa"/>
                  <w:tcBorders>
                    <w:top w:val="single" w:sz="4" w:space="0" w:color="auto"/>
                    <w:left w:val="single" w:sz="6" w:space="0" w:color="auto"/>
                    <w:bottom w:val="single" w:sz="6" w:space="0" w:color="auto"/>
                    <w:right w:val="single" w:sz="6" w:space="0" w:color="auto"/>
                  </w:tcBorders>
                  <w:tcMar>
                    <w:left w:w="86" w:type="dxa"/>
                    <w:right w:w="86" w:type="dxa"/>
                  </w:tcMar>
                  <w:hideMark/>
                </w:tcPr>
                <w:p w14:paraId="66D05931" w14:textId="77777777" w:rsidR="00AF4FD9" w:rsidRPr="005D4222" w:rsidRDefault="00AF4FD9">
                  <w:pPr>
                    <w:pStyle w:val="TableText"/>
                    <w:spacing w:before="50" w:after="50"/>
                    <w:rPr>
                      <w:rFonts w:ascii="Times New Roman" w:hAnsi="Times New Roman"/>
                      <w:sz w:val="24"/>
                      <w:szCs w:val="24"/>
                    </w:rPr>
                  </w:pPr>
                  <w:r w:rsidRPr="005D4222">
                    <w:t>AmericanIndianOrAlaskaNative</w:t>
                  </w:r>
                </w:p>
              </w:tc>
              <w:tc>
                <w:tcPr>
                  <w:tcW w:w="1440" w:type="dxa"/>
                  <w:tcBorders>
                    <w:top w:val="single" w:sz="4" w:space="0" w:color="auto"/>
                    <w:left w:val="single" w:sz="6" w:space="0" w:color="auto"/>
                    <w:bottom w:val="single" w:sz="6" w:space="0" w:color="auto"/>
                    <w:right w:val="single" w:sz="6" w:space="0" w:color="auto"/>
                  </w:tcBorders>
                  <w:tcMar>
                    <w:left w:w="86" w:type="dxa"/>
                    <w:right w:w="86" w:type="dxa"/>
                  </w:tcMar>
                  <w:hideMark/>
                </w:tcPr>
                <w:p w14:paraId="61FA8956" w14:textId="77777777" w:rsidR="00AF4FD9" w:rsidRPr="005D4222" w:rsidRDefault="00AF4FD9">
                  <w:pPr>
                    <w:pStyle w:val="TableText"/>
                    <w:spacing w:before="50" w:after="50"/>
                    <w:rPr>
                      <w:rFonts w:ascii="Times New Roman" w:hAnsi="Times New Roman"/>
                      <w:sz w:val="24"/>
                      <w:szCs w:val="24"/>
                    </w:rPr>
                  </w:pPr>
                  <w:r w:rsidRPr="005D4222">
                    <w:t>Denominator</w:t>
                  </w:r>
                </w:p>
              </w:tc>
              <w:tc>
                <w:tcPr>
                  <w:tcW w:w="1982" w:type="dxa"/>
                  <w:tcBorders>
                    <w:top w:val="single" w:sz="4" w:space="0" w:color="auto"/>
                    <w:left w:val="single" w:sz="6" w:space="0" w:color="auto"/>
                    <w:bottom w:val="single" w:sz="6" w:space="0" w:color="auto"/>
                    <w:right w:val="single" w:sz="6" w:space="0" w:color="auto"/>
                  </w:tcBorders>
                  <w:tcMar>
                    <w:left w:w="86" w:type="dxa"/>
                    <w:right w:w="86" w:type="dxa"/>
                  </w:tcMar>
                  <w:hideMark/>
                </w:tcPr>
                <w:p w14:paraId="63738E98" w14:textId="77777777" w:rsidR="00AF4FD9" w:rsidRPr="005D4222" w:rsidRDefault="00AF4FD9">
                  <w:pPr>
                    <w:pStyle w:val="TableText"/>
                    <w:spacing w:before="50" w:after="50"/>
                    <w:rPr>
                      <w:rFonts w:ascii="Times New Roman" w:hAnsi="Times New Roman"/>
                      <w:sz w:val="24"/>
                      <w:szCs w:val="24"/>
                    </w:rPr>
                  </w:pPr>
                  <w:r w:rsidRPr="005D4222">
                    <w:t>For each Stratification</w:t>
                  </w:r>
                </w:p>
              </w:tc>
            </w:tr>
            <w:tr w:rsidR="00AF4FD9" w:rsidRPr="005D4222" w14:paraId="573E2617" w14:textId="77777777" w:rsidTr="00AC3F17">
              <w:trPr>
                <w:trHeight w:val="300"/>
              </w:trPr>
              <w:tc>
                <w:tcPr>
                  <w:tcW w:w="1076" w:type="dxa"/>
                  <w:tcBorders>
                    <w:top w:val="single" w:sz="6" w:space="0" w:color="auto"/>
                    <w:left w:val="nil"/>
                    <w:bottom w:val="nil"/>
                    <w:right w:val="single" w:sz="6" w:space="0" w:color="auto"/>
                  </w:tcBorders>
                  <w:shd w:val="clear" w:color="auto" w:fill="FFFFFF" w:themeFill="background1"/>
                  <w:tcMar>
                    <w:left w:w="86" w:type="dxa"/>
                    <w:right w:w="86" w:type="dxa"/>
                  </w:tcMar>
                  <w:hideMark/>
                </w:tcPr>
                <w:p w14:paraId="1929441B" w14:textId="77777777" w:rsidR="00AF4FD9" w:rsidRPr="005D4222" w:rsidRDefault="00AF4FD9">
                  <w:pPr>
                    <w:pStyle w:val="TableText"/>
                    <w:spacing w:before="50" w:after="50"/>
                    <w:rPr>
                      <w:rFonts w:ascii="Times New Roman" w:hAnsi="Times New Roman"/>
                      <w:sz w:val="24"/>
                      <w:szCs w:val="24"/>
                    </w:rPr>
                  </w:pPr>
                  <w:r w:rsidRPr="005D4222">
                    <w:t> </w:t>
                  </w:r>
                </w:p>
              </w:tc>
              <w:tc>
                <w:tcPr>
                  <w:tcW w:w="2880" w:type="dxa"/>
                  <w:tcBorders>
                    <w:top w:val="single" w:sz="6" w:space="0" w:color="auto"/>
                    <w:left w:val="single" w:sz="6" w:space="0" w:color="auto"/>
                    <w:bottom w:val="single" w:sz="6" w:space="0" w:color="000000" w:themeColor="text1"/>
                    <w:right w:val="single" w:sz="6" w:space="0" w:color="auto"/>
                  </w:tcBorders>
                  <w:shd w:val="clear" w:color="auto" w:fill="FFFFFF" w:themeFill="background1"/>
                  <w:tcMar>
                    <w:left w:w="86" w:type="dxa"/>
                    <w:right w:w="86" w:type="dxa"/>
                  </w:tcMar>
                  <w:hideMark/>
                </w:tcPr>
                <w:p w14:paraId="5F267FDF" w14:textId="77777777" w:rsidR="00AF4FD9" w:rsidRPr="005D4222" w:rsidRDefault="00AF4FD9">
                  <w:pPr>
                    <w:pStyle w:val="TableText"/>
                    <w:spacing w:before="50" w:after="50"/>
                    <w:rPr>
                      <w:rFonts w:ascii="Times New Roman" w:hAnsi="Times New Roman"/>
                      <w:sz w:val="24"/>
                      <w:szCs w:val="24"/>
                    </w:rPr>
                  </w:pPr>
                  <w:r w:rsidRPr="005D4222">
                    <w:t>Asian</w:t>
                  </w:r>
                </w:p>
              </w:tc>
              <w:tc>
                <w:tcPr>
                  <w:tcW w:w="1440" w:type="dxa"/>
                  <w:tcBorders>
                    <w:top w:val="single" w:sz="6" w:space="0" w:color="auto"/>
                    <w:left w:val="single" w:sz="6" w:space="0" w:color="auto"/>
                    <w:bottom w:val="single" w:sz="4" w:space="0" w:color="auto"/>
                    <w:right w:val="single" w:sz="6" w:space="0" w:color="auto"/>
                  </w:tcBorders>
                  <w:shd w:val="clear" w:color="auto" w:fill="FFFFFF" w:themeFill="background1"/>
                  <w:tcMar>
                    <w:left w:w="86" w:type="dxa"/>
                    <w:right w:w="86" w:type="dxa"/>
                  </w:tcMar>
                </w:tcPr>
                <w:p w14:paraId="63047376" w14:textId="77777777" w:rsidR="00AF4FD9" w:rsidRPr="005D4222" w:rsidRDefault="00AF4FD9">
                  <w:pPr>
                    <w:pStyle w:val="TableText"/>
                    <w:spacing w:before="50" w:after="50"/>
                    <w:rPr>
                      <w:rFonts w:ascii="Times New Roman" w:hAnsi="Times New Roman"/>
                      <w:sz w:val="24"/>
                      <w:szCs w:val="24"/>
                    </w:rPr>
                  </w:pPr>
                  <w:r w:rsidRPr="005D4222">
                    <w:t>Numerator</w:t>
                  </w:r>
                </w:p>
              </w:tc>
              <w:tc>
                <w:tcPr>
                  <w:tcW w:w="1982" w:type="dxa"/>
                  <w:tcBorders>
                    <w:top w:val="single" w:sz="6" w:space="0" w:color="auto"/>
                    <w:left w:val="single" w:sz="6" w:space="0" w:color="auto"/>
                    <w:bottom w:val="single" w:sz="4" w:space="0" w:color="auto"/>
                    <w:right w:val="single" w:sz="6" w:space="0" w:color="auto"/>
                  </w:tcBorders>
                  <w:shd w:val="clear" w:color="auto" w:fill="FFFFFF" w:themeFill="background1"/>
                  <w:tcMar>
                    <w:left w:w="86" w:type="dxa"/>
                    <w:right w:w="86" w:type="dxa"/>
                  </w:tcMar>
                </w:tcPr>
                <w:p w14:paraId="3CCE73D2" w14:textId="77777777" w:rsidR="00AF4FD9" w:rsidRPr="005D4222" w:rsidRDefault="00AF4FD9">
                  <w:pPr>
                    <w:pStyle w:val="TableText"/>
                    <w:spacing w:before="50" w:after="50"/>
                    <w:rPr>
                      <w:rFonts w:ascii="Times New Roman" w:hAnsi="Times New Roman"/>
                      <w:sz w:val="24"/>
                      <w:szCs w:val="24"/>
                    </w:rPr>
                  </w:pPr>
                  <w:r w:rsidRPr="005D4222">
                    <w:t>For each Stratification</w:t>
                  </w:r>
                </w:p>
              </w:tc>
            </w:tr>
            <w:tr w:rsidR="00AF4FD9" w:rsidRPr="005D4222" w14:paraId="1ED6AB5F" w14:textId="77777777" w:rsidTr="00AC3F17">
              <w:trPr>
                <w:trHeight w:val="300"/>
              </w:trPr>
              <w:tc>
                <w:tcPr>
                  <w:tcW w:w="1076" w:type="dxa"/>
                  <w:tcBorders>
                    <w:top w:val="nil"/>
                    <w:left w:val="nil"/>
                    <w:bottom w:val="nil"/>
                    <w:right w:val="single" w:sz="6" w:space="0" w:color="auto"/>
                  </w:tcBorders>
                  <w:tcMar>
                    <w:left w:w="86" w:type="dxa"/>
                    <w:right w:w="86" w:type="dxa"/>
                  </w:tcMar>
                  <w:hideMark/>
                </w:tcPr>
                <w:p w14:paraId="0648224A" w14:textId="77777777" w:rsidR="00AF4FD9" w:rsidRPr="005D4222" w:rsidRDefault="00AF4FD9">
                  <w:pPr>
                    <w:pStyle w:val="TableText"/>
                    <w:spacing w:before="50" w:after="50"/>
                    <w:rPr>
                      <w:rFonts w:ascii="Times New Roman" w:hAnsi="Times New Roman"/>
                      <w:sz w:val="24"/>
                      <w:szCs w:val="24"/>
                    </w:rPr>
                  </w:pPr>
                  <w:r w:rsidRPr="005D4222">
                    <w:t> </w:t>
                  </w:r>
                </w:p>
              </w:tc>
              <w:tc>
                <w:tcPr>
                  <w:tcW w:w="2880" w:type="dxa"/>
                  <w:tcBorders>
                    <w:top w:val="single" w:sz="6" w:space="0" w:color="000000" w:themeColor="text1"/>
                    <w:left w:val="single" w:sz="6" w:space="0" w:color="auto"/>
                    <w:bottom w:val="single" w:sz="4" w:space="0" w:color="auto"/>
                    <w:right w:val="single" w:sz="4" w:space="0" w:color="auto"/>
                  </w:tcBorders>
                  <w:tcMar>
                    <w:left w:w="86" w:type="dxa"/>
                    <w:right w:w="86" w:type="dxa"/>
                  </w:tcMar>
                  <w:hideMark/>
                </w:tcPr>
                <w:p w14:paraId="185833DF" w14:textId="77777777" w:rsidR="00AF4FD9" w:rsidRPr="005D4222" w:rsidRDefault="00AF4FD9">
                  <w:pPr>
                    <w:pStyle w:val="TableText"/>
                    <w:spacing w:before="50" w:after="50"/>
                    <w:rPr>
                      <w:rFonts w:ascii="Times New Roman" w:hAnsi="Times New Roman"/>
                      <w:sz w:val="24"/>
                      <w:szCs w:val="24"/>
                    </w:rPr>
                  </w:pPr>
                  <w:r w:rsidRPr="005D4222">
                    <w:t>BlackOrAfricanAmerican</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86" w:type="dxa"/>
                    <w:right w:w="86" w:type="dxa"/>
                  </w:tcMar>
                  <w:hideMark/>
                </w:tcPr>
                <w:p w14:paraId="0ACAB454" w14:textId="77777777" w:rsidR="00AF4FD9" w:rsidRPr="005D4222" w:rsidRDefault="00AF4FD9">
                  <w:pPr>
                    <w:pStyle w:val="TableText"/>
                    <w:spacing w:before="50" w:after="50"/>
                    <w:rPr>
                      <w:rFonts w:ascii="Times New Roman" w:hAnsi="Times New Roman"/>
                      <w:sz w:val="24"/>
                      <w:szCs w:val="24"/>
                    </w:rPr>
                  </w:pPr>
                  <w:r w:rsidRPr="005D4222">
                    <w:t>Rate</w:t>
                  </w:r>
                </w:p>
              </w:tc>
              <w:tc>
                <w:tcPr>
                  <w:tcW w:w="198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86" w:type="dxa"/>
                    <w:right w:w="86" w:type="dxa"/>
                  </w:tcMar>
                  <w:hideMark/>
                </w:tcPr>
                <w:p w14:paraId="1D74A47A" w14:textId="77777777" w:rsidR="00AF4FD9" w:rsidRPr="005D4222" w:rsidRDefault="00AF4FD9">
                  <w:pPr>
                    <w:pStyle w:val="TableText"/>
                    <w:spacing w:before="50" w:after="50"/>
                    <w:rPr>
                      <w:rFonts w:ascii="Times New Roman" w:hAnsi="Times New Roman"/>
                      <w:sz w:val="24"/>
                      <w:szCs w:val="24"/>
                    </w:rPr>
                  </w:pPr>
                  <w:r w:rsidRPr="005D4222">
                    <w:t>(Percent)</w:t>
                  </w:r>
                </w:p>
              </w:tc>
            </w:tr>
            <w:tr w:rsidR="00AF4FD9" w:rsidRPr="005D4222" w14:paraId="17411270" w14:textId="77777777" w:rsidTr="00AC3F17">
              <w:trPr>
                <w:trHeight w:val="300"/>
              </w:trPr>
              <w:tc>
                <w:tcPr>
                  <w:tcW w:w="1076" w:type="dxa"/>
                  <w:tcBorders>
                    <w:top w:val="nil"/>
                    <w:left w:val="nil"/>
                    <w:bottom w:val="nil"/>
                    <w:right w:val="single" w:sz="4" w:space="0" w:color="auto"/>
                  </w:tcBorders>
                  <w:tcMar>
                    <w:left w:w="86" w:type="dxa"/>
                    <w:right w:w="86" w:type="dxa"/>
                  </w:tcMar>
                  <w:hideMark/>
                </w:tcPr>
                <w:p w14:paraId="2C792731" w14:textId="77777777" w:rsidR="00AF4FD9" w:rsidRPr="005D4222" w:rsidRDefault="00AF4FD9">
                  <w:pPr>
                    <w:pStyle w:val="TableText"/>
                    <w:spacing w:before="50" w:after="50"/>
                    <w:rPr>
                      <w:rFonts w:ascii="Times New Roman" w:hAnsi="Times New Roman"/>
                      <w:sz w:val="24"/>
                      <w:szCs w:val="24"/>
                    </w:rPr>
                  </w:pPr>
                  <w:r w:rsidRPr="005D4222">
                    <w:t> </w:t>
                  </w:r>
                </w:p>
              </w:tc>
              <w:tc>
                <w:tcPr>
                  <w:tcW w:w="2880" w:type="dxa"/>
                  <w:tcBorders>
                    <w:top w:val="single" w:sz="4" w:space="0" w:color="auto"/>
                    <w:left w:val="single" w:sz="4" w:space="0" w:color="auto"/>
                    <w:bottom w:val="single" w:sz="4" w:space="0" w:color="auto"/>
                    <w:right w:val="single" w:sz="4" w:space="0" w:color="auto"/>
                  </w:tcBorders>
                  <w:shd w:val="clear" w:color="auto" w:fill="FFFFFF" w:themeFill="background1"/>
                  <w:tcMar>
                    <w:left w:w="86" w:type="dxa"/>
                    <w:right w:w="86" w:type="dxa"/>
                  </w:tcMar>
                </w:tcPr>
                <w:p w14:paraId="3EE147CF" w14:textId="77777777" w:rsidR="00AF4FD9" w:rsidRPr="005D4222" w:rsidRDefault="00AF4FD9">
                  <w:pPr>
                    <w:pStyle w:val="TableText"/>
                    <w:spacing w:before="50" w:after="50"/>
                    <w:rPr>
                      <w:rFonts w:ascii="Times New Roman" w:hAnsi="Times New Roman"/>
                      <w:sz w:val="24"/>
                      <w:szCs w:val="24"/>
                    </w:rPr>
                  </w:pPr>
                  <w:r w:rsidRPr="005D4222">
                    <w:t>MiddleEasternOrNorthAfrican</w:t>
                  </w:r>
                </w:p>
              </w:tc>
              <w:tc>
                <w:tcPr>
                  <w:tcW w:w="1440" w:type="dxa"/>
                  <w:tcBorders>
                    <w:top w:val="single" w:sz="4" w:space="0" w:color="auto"/>
                    <w:left w:val="single" w:sz="4" w:space="0" w:color="auto"/>
                    <w:bottom w:val="nil"/>
                    <w:right w:val="nil"/>
                  </w:tcBorders>
                  <w:shd w:val="clear" w:color="auto" w:fill="FFFFFF" w:themeFill="background1"/>
                  <w:tcMar>
                    <w:left w:w="86" w:type="dxa"/>
                    <w:right w:w="86" w:type="dxa"/>
                  </w:tcMar>
                </w:tcPr>
                <w:p w14:paraId="638CB533" w14:textId="77777777" w:rsidR="00AF4FD9" w:rsidRPr="005D4222" w:rsidRDefault="00AF4FD9">
                  <w:pPr>
                    <w:pStyle w:val="TableText"/>
                    <w:spacing w:before="50" w:after="50"/>
                    <w:rPr>
                      <w:rFonts w:ascii="Times New Roman" w:hAnsi="Times New Roman"/>
                      <w:sz w:val="24"/>
                      <w:szCs w:val="24"/>
                    </w:rPr>
                  </w:pPr>
                </w:p>
              </w:tc>
              <w:tc>
                <w:tcPr>
                  <w:tcW w:w="1982" w:type="dxa"/>
                  <w:tcBorders>
                    <w:top w:val="single" w:sz="4" w:space="0" w:color="auto"/>
                    <w:left w:val="nil"/>
                    <w:bottom w:val="nil"/>
                    <w:right w:val="nil"/>
                  </w:tcBorders>
                  <w:shd w:val="clear" w:color="auto" w:fill="FFFFFF" w:themeFill="background1"/>
                  <w:tcMar>
                    <w:left w:w="86" w:type="dxa"/>
                    <w:right w:w="86" w:type="dxa"/>
                  </w:tcMar>
                </w:tcPr>
                <w:p w14:paraId="28106009" w14:textId="77777777" w:rsidR="00AF4FD9" w:rsidRPr="005D4222" w:rsidRDefault="00AF4FD9">
                  <w:pPr>
                    <w:pStyle w:val="TableText"/>
                    <w:spacing w:before="50" w:after="50"/>
                    <w:rPr>
                      <w:rFonts w:ascii="Times New Roman" w:hAnsi="Times New Roman"/>
                      <w:sz w:val="24"/>
                      <w:szCs w:val="24"/>
                    </w:rPr>
                  </w:pPr>
                </w:p>
              </w:tc>
            </w:tr>
            <w:tr w:rsidR="00AF4FD9" w:rsidRPr="005D4222" w14:paraId="3C12DBC5" w14:textId="77777777" w:rsidTr="00AC3F17">
              <w:trPr>
                <w:trHeight w:val="300"/>
              </w:trPr>
              <w:tc>
                <w:tcPr>
                  <w:tcW w:w="1076" w:type="dxa"/>
                  <w:tcBorders>
                    <w:top w:val="nil"/>
                    <w:left w:val="nil"/>
                    <w:bottom w:val="nil"/>
                    <w:right w:val="single" w:sz="4" w:space="0" w:color="auto"/>
                  </w:tcBorders>
                  <w:tcMar>
                    <w:left w:w="86" w:type="dxa"/>
                    <w:right w:w="86" w:type="dxa"/>
                  </w:tcMar>
                  <w:hideMark/>
                </w:tcPr>
                <w:p w14:paraId="366D0C02" w14:textId="77777777" w:rsidR="00AF4FD9" w:rsidRPr="005D4222" w:rsidRDefault="00AF4FD9">
                  <w:pPr>
                    <w:pStyle w:val="TableText"/>
                    <w:spacing w:before="50" w:after="50"/>
                    <w:rPr>
                      <w:rFonts w:ascii="Times New Roman" w:hAnsi="Times New Roman"/>
                      <w:sz w:val="24"/>
                      <w:szCs w:val="24"/>
                    </w:rPr>
                  </w:pPr>
                  <w:r w:rsidRPr="005D4222">
                    <w:t> </w:t>
                  </w:r>
                </w:p>
              </w:tc>
              <w:tc>
                <w:tcPr>
                  <w:tcW w:w="2880" w:type="dxa"/>
                  <w:tcBorders>
                    <w:top w:val="single" w:sz="4" w:space="0" w:color="auto"/>
                    <w:left w:val="single" w:sz="4" w:space="0" w:color="auto"/>
                    <w:bottom w:val="single" w:sz="4" w:space="0" w:color="auto"/>
                    <w:right w:val="single" w:sz="4" w:space="0" w:color="auto"/>
                  </w:tcBorders>
                  <w:shd w:val="clear" w:color="auto" w:fill="FFFFFF" w:themeFill="background1"/>
                  <w:tcMar>
                    <w:left w:w="86" w:type="dxa"/>
                    <w:right w:w="86" w:type="dxa"/>
                  </w:tcMar>
                  <w:hideMark/>
                </w:tcPr>
                <w:p w14:paraId="107280D8" w14:textId="77777777" w:rsidR="00AF4FD9" w:rsidRPr="005D4222" w:rsidRDefault="00AF4FD9">
                  <w:pPr>
                    <w:pStyle w:val="TableText"/>
                    <w:spacing w:before="50" w:after="50"/>
                    <w:rPr>
                      <w:rFonts w:ascii="Times New Roman" w:hAnsi="Times New Roman"/>
                      <w:sz w:val="24"/>
                      <w:szCs w:val="24"/>
                    </w:rPr>
                  </w:pPr>
                  <w:r w:rsidRPr="005D4222">
                    <w:t>NativeHawaiianOrPacificIslander</w:t>
                  </w:r>
                </w:p>
              </w:tc>
              <w:tc>
                <w:tcPr>
                  <w:tcW w:w="1440" w:type="dxa"/>
                  <w:tcBorders>
                    <w:top w:val="nil"/>
                    <w:left w:val="single" w:sz="4" w:space="0" w:color="auto"/>
                    <w:bottom w:val="nil"/>
                    <w:right w:val="nil"/>
                  </w:tcBorders>
                  <w:tcMar>
                    <w:left w:w="86" w:type="dxa"/>
                    <w:right w:w="86" w:type="dxa"/>
                  </w:tcMar>
                </w:tcPr>
                <w:p w14:paraId="13C5A953" w14:textId="77777777" w:rsidR="00AF4FD9" w:rsidRPr="005D4222" w:rsidRDefault="00AF4FD9">
                  <w:pPr>
                    <w:pStyle w:val="TableText"/>
                    <w:spacing w:before="50" w:after="50"/>
                    <w:rPr>
                      <w:rFonts w:ascii="Times New Roman" w:hAnsi="Times New Roman"/>
                      <w:sz w:val="24"/>
                      <w:szCs w:val="24"/>
                    </w:rPr>
                  </w:pPr>
                </w:p>
              </w:tc>
              <w:tc>
                <w:tcPr>
                  <w:tcW w:w="1982" w:type="dxa"/>
                  <w:tcBorders>
                    <w:top w:val="nil"/>
                    <w:left w:val="nil"/>
                    <w:bottom w:val="nil"/>
                    <w:right w:val="nil"/>
                  </w:tcBorders>
                  <w:tcMar>
                    <w:left w:w="86" w:type="dxa"/>
                    <w:right w:w="86" w:type="dxa"/>
                  </w:tcMar>
                </w:tcPr>
                <w:p w14:paraId="20FD9A3D" w14:textId="77777777" w:rsidR="00AF4FD9" w:rsidRPr="005D4222" w:rsidRDefault="00AF4FD9">
                  <w:pPr>
                    <w:pStyle w:val="TableText"/>
                    <w:spacing w:before="50" w:after="50"/>
                    <w:rPr>
                      <w:rFonts w:ascii="Times New Roman" w:hAnsi="Times New Roman"/>
                      <w:sz w:val="24"/>
                      <w:szCs w:val="24"/>
                    </w:rPr>
                  </w:pPr>
                </w:p>
              </w:tc>
            </w:tr>
            <w:tr w:rsidR="00AF4FD9" w:rsidRPr="005D4222" w14:paraId="27499444" w14:textId="77777777" w:rsidTr="00AC3F17">
              <w:trPr>
                <w:trHeight w:val="300"/>
              </w:trPr>
              <w:tc>
                <w:tcPr>
                  <w:tcW w:w="1076" w:type="dxa"/>
                  <w:tcBorders>
                    <w:top w:val="nil"/>
                    <w:left w:val="nil"/>
                    <w:bottom w:val="nil"/>
                    <w:right w:val="single" w:sz="6" w:space="0" w:color="auto"/>
                  </w:tcBorders>
                  <w:tcMar>
                    <w:left w:w="86" w:type="dxa"/>
                    <w:right w:w="86" w:type="dxa"/>
                  </w:tcMar>
                  <w:hideMark/>
                </w:tcPr>
                <w:p w14:paraId="3A85E497" w14:textId="77777777" w:rsidR="00AF4FD9" w:rsidRPr="005D4222" w:rsidRDefault="00AF4FD9">
                  <w:pPr>
                    <w:pStyle w:val="TableText"/>
                    <w:spacing w:before="50" w:after="50"/>
                    <w:rPr>
                      <w:rFonts w:ascii="Times New Roman" w:hAnsi="Times New Roman"/>
                      <w:sz w:val="24"/>
                      <w:szCs w:val="24"/>
                    </w:rPr>
                  </w:pPr>
                  <w:r w:rsidRPr="005D4222">
                    <w:t> </w:t>
                  </w:r>
                </w:p>
              </w:tc>
              <w:tc>
                <w:tcPr>
                  <w:tcW w:w="2880" w:type="dxa"/>
                  <w:tcBorders>
                    <w:top w:val="single" w:sz="4" w:space="0" w:color="auto"/>
                    <w:left w:val="single" w:sz="4" w:space="0" w:color="auto"/>
                    <w:bottom w:val="single" w:sz="4" w:space="0" w:color="auto"/>
                    <w:right w:val="single" w:sz="4" w:space="0" w:color="auto"/>
                  </w:tcBorders>
                  <w:tcMar>
                    <w:left w:w="86" w:type="dxa"/>
                    <w:right w:w="86" w:type="dxa"/>
                  </w:tcMar>
                  <w:hideMark/>
                </w:tcPr>
                <w:p w14:paraId="3D9F4E65" w14:textId="77777777" w:rsidR="00AF4FD9" w:rsidRPr="005D4222" w:rsidRDefault="00AF4FD9">
                  <w:pPr>
                    <w:pStyle w:val="TableText"/>
                    <w:spacing w:before="50" w:after="50"/>
                    <w:rPr>
                      <w:rFonts w:ascii="Times New Roman" w:hAnsi="Times New Roman"/>
                      <w:sz w:val="24"/>
                      <w:szCs w:val="24"/>
                    </w:rPr>
                  </w:pPr>
                  <w:r w:rsidRPr="005D4222">
                    <w:t>White</w:t>
                  </w:r>
                </w:p>
              </w:tc>
              <w:tc>
                <w:tcPr>
                  <w:tcW w:w="1440" w:type="dxa"/>
                  <w:tcBorders>
                    <w:top w:val="nil"/>
                    <w:left w:val="nil"/>
                    <w:bottom w:val="nil"/>
                    <w:right w:val="nil"/>
                  </w:tcBorders>
                  <w:tcMar>
                    <w:left w:w="86" w:type="dxa"/>
                    <w:right w:w="86" w:type="dxa"/>
                  </w:tcMar>
                  <w:hideMark/>
                </w:tcPr>
                <w:p w14:paraId="238F54DB" w14:textId="77777777" w:rsidR="00AF4FD9" w:rsidRPr="005D4222" w:rsidRDefault="00AF4FD9">
                  <w:pPr>
                    <w:pStyle w:val="TableText"/>
                    <w:spacing w:before="50" w:after="50"/>
                    <w:rPr>
                      <w:rFonts w:ascii="Times New Roman" w:hAnsi="Times New Roman"/>
                      <w:sz w:val="24"/>
                      <w:szCs w:val="24"/>
                    </w:rPr>
                  </w:pPr>
                  <w:r w:rsidRPr="005D4222">
                    <w:t> </w:t>
                  </w:r>
                </w:p>
              </w:tc>
              <w:tc>
                <w:tcPr>
                  <w:tcW w:w="1982" w:type="dxa"/>
                  <w:tcBorders>
                    <w:top w:val="nil"/>
                    <w:left w:val="nil"/>
                    <w:bottom w:val="nil"/>
                    <w:right w:val="nil"/>
                  </w:tcBorders>
                  <w:tcMar>
                    <w:left w:w="86" w:type="dxa"/>
                    <w:right w:w="86" w:type="dxa"/>
                  </w:tcMar>
                  <w:hideMark/>
                </w:tcPr>
                <w:p w14:paraId="4CB71912" w14:textId="77777777" w:rsidR="00AF4FD9" w:rsidRPr="005D4222" w:rsidRDefault="00AF4FD9">
                  <w:pPr>
                    <w:pStyle w:val="TableText"/>
                    <w:spacing w:before="50" w:after="50"/>
                    <w:rPr>
                      <w:rFonts w:ascii="Times New Roman" w:hAnsi="Times New Roman"/>
                      <w:sz w:val="24"/>
                      <w:szCs w:val="24"/>
                    </w:rPr>
                  </w:pPr>
                  <w:r w:rsidRPr="005D4222">
                    <w:t> </w:t>
                  </w:r>
                </w:p>
              </w:tc>
            </w:tr>
            <w:tr w:rsidR="00AF4FD9" w:rsidRPr="005D4222" w14:paraId="2212BB20" w14:textId="77777777" w:rsidTr="00AC3F17">
              <w:trPr>
                <w:trHeight w:val="300"/>
              </w:trPr>
              <w:tc>
                <w:tcPr>
                  <w:tcW w:w="1076" w:type="dxa"/>
                  <w:tcBorders>
                    <w:top w:val="nil"/>
                    <w:left w:val="nil"/>
                    <w:bottom w:val="nil"/>
                    <w:right w:val="single" w:sz="6" w:space="0" w:color="auto"/>
                  </w:tcBorders>
                  <w:tcMar>
                    <w:left w:w="86" w:type="dxa"/>
                    <w:right w:w="86" w:type="dxa"/>
                  </w:tcMar>
                  <w:hideMark/>
                </w:tcPr>
                <w:p w14:paraId="4CC9CE8B" w14:textId="77777777" w:rsidR="00AF4FD9" w:rsidRPr="005D4222" w:rsidRDefault="00AF4FD9">
                  <w:pPr>
                    <w:pStyle w:val="TableText"/>
                    <w:spacing w:before="50" w:after="50"/>
                    <w:rPr>
                      <w:rFonts w:ascii="Times New Roman" w:hAnsi="Times New Roman"/>
                      <w:sz w:val="24"/>
                      <w:szCs w:val="24"/>
                    </w:rPr>
                  </w:pPr>
                  <w:r w:rsidRPr="005D4222">
                    <w:t> </w:t>
                  </w:r>
                </w:p>
              </w:tc>
              <w:tc>
                <w:tcPr>
                  <w:tcW w:w="2880" w:type="dxa"/>
                  <w:tcBorders>
                    <w:top w:val="single" w:sz="4" w:space="0" w:color="auto"/>
                    <w:left w:val="single" w:sz="6" w:space="0" w:color="auto"/>
                    <w:bottom w:val="single" w:sz="6" w:space="0" w:color="000000" w:themeColor="text1"/>
                    <w:right w:val="single" w:sz="6" w:space="0" w:color="000000" w:themeColor="text1"/>
                  </w:tcBorders>
                  <w:tcMar>
                    <w:left w:w="86" w:type="dxa"/>
                    <w:right w:w="86" w:type="dxa"/>
                  </w:tcMar>
                  <w:hideMark/>
                </w:tcPr>
                <w:p w14:paraId="75057C2A" w14:textId="77777777" w:rsidR="00AF4FD9" w:rsidRPr="005D4222" w:rsidRDefault="00AF4FD9">
                  <w:pPr>
                    <w:pStyle w:val="TableText"/>
                    <w:spacing w:before="50" w:after="50"/>
                    <w:rPr>
                      <w:rFonts w:ascii="Times New Roman" w:hAnsi="Times New Roman"/>
                      <w:sz w:val="24"/>
                      <w:szCs w:val="24"/>
                    </w:rPr>
                  </w:pPr>
                  <w:r w:rsidRPr="005D4222">
                    <w:t>SomeOtherRace</w:t>
                  </w:r>
                </w:p>
              </w:tc>
              <w:tc>
                <w:tcPr>
                  <w:tcW w:w="1440" w:type="dxa"/>
                  <w:tcBorders>
                    <w:top w:val="nil"/>
                    <w:left w:val="nil"/>
                    <w:bottom w:val="nil"/>
                    <w:right w:val="nil"/>
                  </w:tcBorders>
                  <w:tcMar>
                    <w:left w:w="86" w:type="dxa"/>
                    <w:right w:w="86" w:type="dxa"/>
                  </w:tcMar>
                  <w:hideMark/>
                </w:tcPr>
                <w:p w14:paraId="6E795702" w14:textId="77777777" w:rsidR="00AF4FD9" w:rsidRPr="005D4222" w:rsidRDefault="00AF4FD9">
                  <w:pPr>
                    <w:pStyle w:val="TableText"/>
                    <w:spacing w:before="50" w:after="50"/>
                    <w:rPr>
                      <w:rFonts w:ascii="Times New Roman" w:hAnsi="Times New Roman"/>
                      <w:sz w:val="24"/>
                      <w:szCs w:val="24"/>
                    </w:rPr>
                  </w:pPr>
                  <w:r w:rsidRPr="005D4222">
                    <w:t> </w:t>
                  </w:r>
                </w:p>
              </w:tc>
              <w:tc>
                <w:tcPr>
                  <w:tcW w:w="1982" w:type="dxa"/>
                  <w:tcBorders>
                    <w:top w:val="nil"/>
                    <w:left w:val="nil"/>
                    <w:bottom w:val="nil"/>
                    <w:right w:val="nil"/>
                  </w:tcBorders>
                  <w:tcMar>
                    <w:left w:w="86" w:type="dxa"/>
                    <w:right w:w="86" w:type="dxa"/>
                  </w:tcMar>
                  <w:hideMark/>
                </w:tcPr>
                <w:p w14:paraId="400BDC64" w14:textId="77777777" w:rsidR="00AF4FD9" w:rsidRPr="005D4222" w:rsidRDefault="00AF4FD9">
                  <w:pPr>
                    <w:pStyle w:val="TableText"/>
                    <w:spacing w:before="50" w:after="50"/>
                    <w:rPr>
                      <w:rFonts w:ascii="Times New Roman" w:hAnsi="Times New Roman"/>
                      <w:sz w:val="24"/>
                      <w:szCs w:val="24"/>
                    </w:rPr>
                  </w:pPr>
                  <w:r w:rsidRPr="005D4222">
                    <w:t> </w:t>
                  </w:r>
                </w:p>
              </w:tc>
            </w:tr>
            <w:tr w:rsidR="00AF4FD9" w:rsidRPr="005D4222" w14:paraId="7DFEB9AE" w14:textId="77777777" w:rsidTr="00AC3F17">
              <w:trPr>
                <w:trHeight w:val="300"/>
              </w:trPr>
              <w:tc>
                <w:tcPr>
                  <w:tcW w:w="1076" w:type="dxa"/>
                  <w:tcBorders>
                    <w:top w:val="nil"/>
                    <w:left w:val="nil"/>
                    <w:bottom w:val="nil"/>
                    <w:right w:val="single" w:sz="6" w:space="0" w:color="auto"/>
                  </w:tcBorders>
                  <w:tcMar>
                    <w:left w:w="86" w:type="dxa"/>
                    <w:right w:w="86" w:type="dxa"/>
                  </w:tcMar>
                  <w:hideMark/>
                </w:tcPr>
                <w:p w14:paraId="43A18973" w14:textId="77777777" w:rsidR="00AF4FD9" w:rsidRPr="005D4222" w:rsidRDefault="00AF4FD9">
                  <w:pPr>
                    <w:pStyle w:val="TableText"/>
                    <w:spacing w:before="50" w:after="50"/>
                    <w:rPr>
                      <w:rFonts w:ascii="Times New Roman" w:hAnsi="Times New Roman"/>
                      <w:sz w:val="24"/>
                      <w:szCs w:val="24"/>
                    </w:rPr>
                  </w:pPr>
                  <w:r w:rsidRPr="005D4222">
                    <w:t> </w:t>
                  </w:r>
                </w:p>
              </w:tc>
              <w:tc>
                <w:tcPr>
                  <w:tcW w:w="2880" w:type="dxa"/>
                  <w:tcBorders>
                    <w:top w:val="single" w:sz="6" w:space="0" w:color="000000" w:themeColor="text1"/>
                    <w:left w:val="single" w:sz="6" w:space="0" w:color="auto"/>
                    <w:bottom w:val="single" w:sz="6" w:space="0" w:color="000000" w:themeColor="text1"/>
                    <w:right w:val="single" w:sz="6" w:space="0" w:color="000000" w:themeColor="text1"/>
                  </w:tcBorders>
                  <w:tcMar>
                    <w:left w:w="86" w:type="dxa"/>
                    <w:right w:w="86" w:type="dxa"/>
                  </w:tcMar>
                  <w:hideMark/>
                </w:tcPr>
                <w:p w14:paraId="2722DDEA" w14:textId="77777777" w:rsidR="00AF4FD9" w:rsidRPr="005D4222" w:rsidRDefault="00AF4FD9">
                  <w:pPr>
                    <w:pStyle w:val="TableText"/>
                    <w:spacing w:before="50" w:after="50"/>
                    <w:rPr>
                      <w:rFonts w:ascii="Times New Roman" w:hAnsi="Times New Roman"/>
                      <w:sz w:val="24"/>
                      <w:szCs w:val="24"/>
                    </w:rPr>
                  </w:pPr>
                  <w:r w:rsidRPr="005D4222">
                    <w:t>TwoOrMoreRaces</w:t>
                  </w:r>
                </w:p>
              </w:tc>
              <w:tc>
                <w:tcPr>
                  <w:tcW w:w="1440" w:type="dxa"/>
                  <w:tcBorders>
                    <w:top w:val="nil"/>
                    <w:left w:val="nil"/>
                    <w:bottom w:val="nil"/>
                    <w:right w:val="nil"/>
                  </w:tcBorders>
                  <w:tcMar>
                    <w:left w:w="86" w:type="dxa"/>
                    <w:right w:w="86" w:type="dxa"/>
                  </w:tcMar>
                  <w:hideMark/>
                </w:tcPr>
                <w:p w14:paraId="7FA82B60" w14:textId="77777777" w:rsidR="00AF4FD9" w:rsidRPr="005D4222" w:rsidRDefault="00AF4FD9">
                  <w:pPr>
                    <w:pStyle w:val="TableText"/>
                    <w:spacing w:before="50" w:after="50"/>
                    <w:rPr>
                      <w:rFonts w:ascii="Times New Roman" w:hAnsi="Times New Roman"/>
                      <w:sz w:val="24"/>
                      <w:szCs w:val="24"/>
                    </w:rPr>
                  </w:pPr>
                  <w:r w:rsidRPr="005D4222">
                    <w:t> </w:t>
                  </w:r>
                </w:p>
              </w:tc>
              <w:tc>
                <w:tcPr>
                  <w:tcW w:w="1982" w:type="dxa"/>
                  <w:tcBorders>
                    <w:top w:val="nil"/>
                    <w:left w:val="nil"/>
                    <w:bottom w:val="nil"/>
                    <w:right w:val="nil"/>
                  </w:tcBorders>
                  <w:tcMar>
                    <w:left w:w="86" w:type="dxa"/>
                    <w:right w:w="86" w:type="dxa"/>
                  </w:tcMar>
                  <w:hideMark/>
                </w:tcPr>
                <w:p w14:paraId="71950C1D" w14:textId="77777777" w:rsidR="00AF4FD9" w:rsidRPr="005D4222" w:rsidRDefault="00AF4FD9">
                  <w:pPr>
                    <w:pStyle w:val="TableText"/>
                    <w:spacing w:before="50" w:after="50"/>
                    <w:rPr>
                      <w:rFonts w:ascii="Times New Roman" w:hAnsi="Times New Roman"/>
                      <w:sz w:val="24"/>
                      <w:szCs w:val="24"/>
                    </w:rPr>
                  </w:pPr>
                  <w:r w:rsidRPr="005D4222">
                    <w:t> </w:t>
                  </w:r>
                </w:p>
              </w:tc>
            </w:tr>
            <w:tr w:rsidR="00AF4FD9" w:rsidRPr="005D4222" w14:paraId="18A47B60" w14:textId="77777777" w:rsidTr="00AC3F17">
              <w:trPr>
                <w:trHeight w:val="315"/>
              </w:trPr>
              <w:tc>
                <w:tcPr>
                  <w:tcW w:w="1076" w:type="dxa"/>
                  <w:tcBorders>
                    <w:top w:val="nil"/>
                    <w:left w:val="nil"/>
                    <w:bottom w:val="nil"/>
                    <w:right w:val="single" w:sz="6" w:space="0" w:color="auto"/>
                  </w:tcBorders>
                  <w:tcMar>
                    <w:left w:w="86" w:type="dxa"/>
                    <w:right w:w="86" w:type="dxa"/>
                  </w:tcMar>
                  <w:hideMark/>
                </w:tcPr>
                <w:p w14:paraId="30263FDF" w14:textId="77777777" w:rsidR="00AF4FD9" w:rsidRPr="005D4222" w:rsidRDefault="00AF4FD9">
                  <w:pPr>
                    <w:pStyle w:val="TableText"/>
                    <w:spacing w:before="50" w:after="50"/>
                    <w:rPr>
                      <w:rFonts w:ascii="Times New Roman" w:hAnsi="Times New Roman"/>
                      <w:sz w:val="24"/>
                      <w:szCs w:val="24"/>
                    </w:rPr>
                  </w:pPr>
                  <w:r w:rsidRPr="005D4222">
                    <w:t> </w:t>
                  </w:r>
                </w:p>
              </w:tc>
              <w:tc>
                <w:tcPr>
                  <w:tcW w:w="2880" w:type="dxa"/>
                  <w:tcBorders>
                    <w:top w:val="single" w:sz="6" w:space="0" w:color="000000" w:themeColor="text1"/>
                    <w:left w:val="single" w:sz="6" w:space="0" w:color="auto"/>
                    <w:bottom w:val="single" w:sz="6" w:space="0" w:color="000000" w:themeColor="text1"/>
                    <w:right w:val="single" w:sz="6" w:space="0" w:color="000000" w:themeColor="text1"/>
                  </w:tcBorders>
                  <w:tcMar>
                    <w:left w:w="86" w:type="dxa"/>
                    <w:right w:w="86" w:type="dxa"/>
                  </w:tcMar>
                  <w:hideMark/>
                </w:tcPr>
                <w:p w14:paraId="466D2AFF" w14:textId="77777777" w:rsidR="00AF4FD9" w:rsidRPr="005D4222" w:rsidRDefault="00AF4FD9">
                  <w:pPr>
                    <w:pStyle w:val="TableText"/>
                    <w:spacing w:before="50" w:after="50"/>
                    <w:rPr>
                      <w:rFonts w:ascii="Times New Roman" w:hAnsi="Times New Roman"/>
                      <w:sz w:val="24"/>
                      <w:szCs w:val="24"/>
                    </w:rPr>
                  </w:pPr>
                  <w:r w:rsidRPr="005D4222">
                    <w:t>AskedButNoAnswer</w:t>
                  </w:r>
                </w:p>
              </w:tc>
              <w:tc>
                <w:tcPr>
                  <w:tcW w:w="1440" w:type="dxa"/>
                  <w:tcBorders>
                    <w:top w:val="nil"/>
                    <w:left w:val="nil"/>
                    <w:bottom w:val="nil"/>
                    <w:right w:val="nil"/>
                  </w:tcBorders>
                  <w:tcMar>
                    <w:left w:w="86" w:type="dxa"/>
                    <w:right w:w="86" w:type="dxa"/>
                  </w:tcMar>
                  <w:hideMark/>
                </w:tcPr>
                <w:p w14:paraId="6517626F" w14:textId="77777777" w:rsidR="00AF4FD9" w:rsidRPr="005D4222" w:rsidRDefault="00AF4FD9">
                  <w:pPr>
                    <w:pStyle w:val="TableText"/>
                    <w:spacing w:before="50" w:after="50"/>
                    <w:rPr>
                      <w:rFonts w:ascii="Times New Roman" w:hAnsi="Times New Roman"/>
                      <w:sz w:val="24"/>
                      <w:szCs w:val="24"/>
                    </w:rPr>
                  </w:pPr>
                  <w:r w:rsidRPr="005D4222">
                    <w:t> </w:t>
                  </w:r>
                </w:p>
              </w:tc>
              <w:tc>
                <w:tcPr>
                  <w:tcW w:w="1982" w:type="dxa"/>
                  <w:tcBorders>
                    <w:top w:val="nil"/>
                    <w:left w:val="nil"/>
                    <w:bottom w:val="nil"/>
                    <w:right w:val="nil"/>
                  </w:tcBorders>
                  <w:tcMar>
                    <w:left w:w="86" w:type="dxa"/>
                    <w:right w:w="86" w:type="dxa"/>
                  </w:tcMar>
                  <w:hideMark/>
                </w:tcPr>
                <w:p w14:paraId="4D282872" w14:textId="77777777" w:rsidR="00AF4FD9" w:rsidRPr="005D4222" w:rsidRDefault="00AF4FD9">
                  <w:pPr>
                    <w:pStyle w:val="TableText"/>
                    <w:spacing w:before="50" w:after="50"/>
                    <w:rPr>
                      <w:rFonts w:ascii="Times New Roman" w:hAnsi="Times New Roman"/>
                      <w:sz w:val="24"/>
                      <w:szCs w:val="24"/>
                    </w:rPr>
                  </w:pPr>
                  <w:r w:rsidRPr="005D4222">
                    <w:t> </w:t>
                  </w:r>
                </w:p>
              </w:tc>
            </w:tr>
            <w:tr w:rsidR="00F6791A" w:rsidRPr="005D4222" w14:paraId="205453F0" w14:textId="77777777" w:rsidTr="00AC3F17">
              <w:trPr>
                <w:trHeight w:val="315"/>
              </w:trPr>
              <w:tc>
                <w:tcPr>
                  <w:tcW w:w="1076" w:type="dxa"/>
                  <w:tcBorders>
                    <w:top w:val="nil"/>
                    <w:left w:val="nil"/>
                    <w:bottom w:val="nil"/>
                    <w:right w:val="single" w:sz="6" w:space="0" w:color="auto"/>
                  </w:tcBorders>
                  <w:tcMar>
                    <w:left w:w="86" w:type="dxa"/>
                    <w:right w:w="86" w:type="dxa"/>
                  </w:tcMar>
                </w:tcPr>
                <w:p w14:paraId="0B242D60" w14:textId="77777777" w:rsidR="00F6791A" w:rsidRPr="005D4222" w:rsidRDefault="00F6791A">
                  <w:pPr>
                    <w:pStyle w:val="TableText"/>
                    <w:spacing w:before="50" w:after="50"/>
                  </w:pPr>
                </w:p>
              </w:tc>
              <w:tc>
                <w:tcPr>
                  <w:tcW w:w="2880" w:type="dxa"/>
                  <w:tcBorders>
                    <w:top w:val="single" w:sz="6" w:space="0" w:color="000000" w:themeColor="text1"/>
                    <w:left w:val="single" w:sz="6" w:space="0" w:color="auto"/>
                    <w:bottom w:val="single" w:sz="6" w:space="0" w:color="000000" w:themeColor="text1"/>
                    <w:right w:val="single" w:sz="6" w:space="0" w:color="000000" w:themeColor="text1"/>
                  </w:tcBorders>
                  <w:tcMar>
                    <w:left w:w="86" w:type="dxa"/>
                    <w:right w:w="86" w:type="dxa"/>
                  </w:tcMar>
                </w:tcPr>
                <w:p w14:paraId="05ED61DE" w14:textId="5A1D7C91" w:rsidR="00F6791A" w:rsidRPr="005D4222" w:rsidRDefault="00F6791A">
                  <w:pPr>
                    <w:pStyle w:val="TableText"/>
                    <w:spacing w:before="50" w:after="50"/>
                  </w:pPr>
                  <w:r w:rsidRPr="005D4222">
                    <w:t>Unknown</w:t>
                  </w:r>
                </w:p>
              </w:tc>
              <w:tc>
                <w:tcPr>
                  <w:tcW w:w="1440" w:type="dxa"/>
                  <w:tcBorders>
                    <w:top w:val="nil"/>
                    <w:left w:val="nil"/>
                    <w:bottom w:val="nil"/>
                    <w:right w:val="nil"/>
                  </w:tcBorders>
                  <w:tcMar>
                    <w:left w:w="86" w:type="dxa"/>
                    <w:right w:w="86" w:type="dxa"/>
                  </w:tcMar>
                </w:tcPr>
                <w:p w14:paraId="7ED038A4" w14:textId="77777777" w:rsidR="00F6791A" w:rsidRPr="005D4222" w:rsidRDefault="00F6791A">
                  <w:pPr>
                    <w:pStyle w:val="TableText"/>
                    <w:spacing w:before="50" w:after="50"/>
                  </w:pPr>
                </w:p>
              </w:tc>
              <w:tc>
                <w:tcPr>
                  <w:tcW w:w="1982" w:type="dxa"/>
                  <w:tcBorders>
                    <w:top w:val="nil"/>
                    <w:left w:val="nil"/>
                    <w:bottom w:val="nil"/>
                    <w:right w:val="nil"/>
                  </w:tcBorders>
                  <w:tcMar>
                    <w:left w:w="86" w:type="dxa"/>
                    <w:right w:w="86" w:type="dxa"/>
                  </w:tcMar>
                </w:tcPr>
                <w:p w14:paraId="1519F839" w14:textId="77777777" w:rsidR="00F6791A" w:rsidRPr="005D4222" w:rsidRDefault="00F6791A">
                  <w:pPr>
                    <w:pStyle w:val="TableText"/>
                    <w:spacing w:before="50" w:after="50"/>
                  </w:pPr>
                </w:p>
              </w:tc>
            </w:tr>
          </w:tbl>
          <w:p w14:paraId="6701C629" w14:textId="6F673D49" w:rsidR="00AF4FD9" w:rsidRPr="005D4222" w:rsidRDefault="00AF4FD9">
            <w:pPr>
              <w:pStyle w:val="Heading3"/>
              <w:spacing w:before="120"/>
            </w:pPr>
            <w:r w:rsidRPr="005D4222">
              <w:lastRenderedPageBreak/>
              <w:t xml:space="preserve">Table EED-C-1/2/3: Data Elements for Eye Exam for Patients With Diabetes: </w:t>
            </w:r>
            <w:r w:rsidR="00B51CDC" w:rsidRPr="005D4222">
              <w:t>Stratifications</w:t>
            </w:r>
            <w:r w:rsidRPr="005D4222">
              <w:t xml:space="preserve"> by Ethnicity </w:t>
            </w:r>
          </w:p>
          <w:tbl>
            <w:tblPr>
              <w:tblW w:w="5000" w:type="pct"/>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186"/>
              <w:gridCol w:w="2050"/>
              <w:gridCol w:w="1800"/>
              <w:gridCol w:w="2342"/>
            </w:tblGrid>
            <w:tr w:rsidR="00AF4FD9" w:rsidRPr="005D4222" w14:paraId="09D84E1B" w14:textId="77777777">
              <w:trPr>
                <w:trHeight w:val="300"/>
                <w:tblHeader/>
              </w:trPr>
              <w:tc>
                <w:tcPr>
                  <w:tcW w:w="1186" w:type="dxa"/>
                  <w:tcBorders>
                    <w:top w:val="single" w:sz="4" w:space="0" w:color="auto"/>
                    <w:left w:val="single" w:sz="4" w:space="0" w:color="auto"/>
                    <w:bottom w:val="single" w:sz="4" w:space="0" w:color="auto"/>
                    <w:right w:val="single" w:sz="6" w:space="0" w:color="FFFFFF" w:themeColor="background1"/>
                  </w:tcBorders>
                  <w:shd w:val="clear" w:color="auto" w:fill="000000" w:themeFill="text1"/>
                  <w:tcMar>
                    <w:left w:w="86" w:type="dxa"/>
                    <w:right w:w="86" w:type="dxa"/>
                  </w:tcMar>
                  <w:hideMark/>
                </w:tcPr>
                <w:p w14:paraId="4A1C0B61" w14:textId="77777777" w:rsidR="00AF4FD9" w:rsidRPr="005D4222" w:rsidRDefault="00AF4FD9">
                  <w:pPr>
                    <w:pStyle w:val="TableHead"/>
                    <w:rPr>
                      <w:rFonts w:ascii="Times New Roman" w:hAnsi="Times New Roman"/>
                      <w:sz w:val="24"/>
                      <w:szCs w:val="24"/>
                    </w:rPr>
                  </w:pPr>
                  <w:r w:rsidRPr="005D4222">
                    <w:t xml:space="preserve">Metric </w:t>
                  </w:r>
                </w:p>
              </w:tc>
              <w:tc>
                <w:tcPr>
                  <w:tcW w:w="2050" w:type="dxa"/>
                  <w:tcBorders>
                    <w:top w:val="single" w:sz="4" w:space="0" w:color="auto"/>
                    <w:left w:val="single" w:sz="6" w:space="0" w:color="FFFFFF" w:themeColor="background1"/>
                    <w:bottom w:val="single" w:sz="4" w:space="0" w:color="auto"/>
                    <w:right w:val="single" w:sz="6" w:space="0" w:color="FFFFFF" w:themeColor="background1"/>
                  </w:tcBorders>
                  <w:shd w:val="clear" w:color="auto" w:fill="000000" w:themeFill="text1"/>
                  <w:tcMar>
                    <w:left w:w="86" w:type="dxa"/>
                    <w:right w:w="86" w:type="dxa"/>
                  </w:tcMar>
                  <w:hideMark/>
                </w:tcPr>
                <w:p w14:paraId="30ED6513" w14:textId="77777777" w:rsidR="00AF4FD9" w:rsidRPr="005D4222" w:rsidRDefault="00AF4FD9">
                  <w:pPr>
                    <w:pStyle w:val="TableHead"/>
                    <w:rPr>
                      <w:rFonts w:ascii="Times New Roman" w:hAnsi="Times New Roman"/>
                      <w:sz w:val="24"/>
                      <w:szCs w:val="24"/>
                    </w:rPr>
                  </w:pPr>
                  <w:r w:rsidRPr="005D4222">
                    <w:t xml:space="preserve">Ethnicity </w:t>
                  </w:r>
                </w:p>
              </w:tc>
              <w:tc>
                <w:tcPr>
                  <w:tcW w:w="1800" w:type="dxa"/>
                  <w:tcBorders>
                    <w:top w:val="single" w:sz="4" w:space="0" w:color="auto"/>
                    <w:left w:val="single" w:sz="6" w:space="0" w:color="FFFFFF" w:themeColor="background1"/>
                    <w:bottom w:val="single" w:sz="4" w:space="0" w:color="auto"/>
                    <w:right w:val="single" w:sz="6" w:space="0" w:color="FFFFFF" w:themeColor="background1"/>
                  </w:tcBorders>
                  <w:shd w:val="clear" w:color="auto" w:fill="000000" w:themeFill="text1"/>
                  <w:tcMar>
                    <w:left w:w="86" w:type="dxa"/>
                    <w:right w:w="86" w:type="dxa"/>
                  </w:tcMar>
                  <w:hideMark/>
                </w:tcPr>
                <w:p w14:paraId="1E4B65C4" w14:textId="77777777" w:rsidR="00AF4FD9" w:rsidRPr="005D4222" w:rsidRDefault="00AF4FD9">
                  <w:pPr>
                    <w:pStyle w:val="TableHead"/>
                    <w:rPr>
                      <w:rFonts w:ascii="Times New Roman" w:hAnsi="Times New Roman"/>
                      <w:sz w:val="24"/>
                      <w:szCs w:val="24"/>
                    </w:rPr>
                  </w:pPr>
                  <w:r w:rsidRPr="005D4222">
                    <w:t xml:space="preserve">Data Element </w:t>
                  </w:r>
                </w:p>
              </w:tc>
              <w:tc>
                <w:tcPr>
                  <w:tcW w:w="2342" w:type="dxa"/>
                  <w:tcBorders>
                    <w:top w:val="single" w:sz="4" w:space="0" w:color="auto"/>
                    <w:left w:val="single" w:sz="6" w:space="0" w:color="FFFFFF" w:themeColor="background1"/>
                    <w:bottom w:val="single" w:sz="4" w:space="0" w:color="auto"/>
                    <w:right w:val="single" w:sz="4" w:space="0" w:color="auto"/>
                  </w:tcBorders>
                  <w:shd w:val="clear" w:color="auto" w:fill="000000" w:themeFill="text1"/>
                  <w:tcMar>
                    <w:left w:w="86" w:type="dxa"/>
                    <w:right w:w="86" w:type="dxa"/>
                  </w:tcMar>
                  <w:hideMark/>
                </w:tcPr>
                <w:p w14:paraId="4D8BDE34" w14:textId="77777777" w:rsidR="00AF4FD9" w:rsidRPr="005D4222" w:rsidRDefault="00AF4FD9">
                  <w:pPr>
                    <w:pStyle w:val="TableHead"/>
                    <w:rPr>
                      <w:rFonts w:ascii="Times New Roman" w:hAnsi="Times New Roman"/>
                      <w:sz w:val="24"/>
                      <w:szCs w:val="24"/>
                    </w:rPr>
                  </w:pPr>
                  <w:r w:rsidRPr="005D4222">
                    <w:t xml:space="preserve">Reporting Instructions </w:t>
                  </w:r>
                </w:p>
              </w:tc>
            </w:tr>
            <w:tr w:rsidR="00AF4FD9" w:rsidRPr="005D4222" w14:paraId="518E3AEA" w14:textId="77777777">
              <w:trPr>
                <w:trHeight w:val="360"/>
              </w:trPr>
              <w:tc>
                <w:tcPr>
                  <w:tcW w:w="1186" w:type="dxa"/>
                  <w:tcBorders>
                    <w:top w:val="single" w:sz="4" w:space="0" w:color="auto"/>
                    <w:left w:val="single" w:sz="6" w:space="0" w:color="auto"/>
                    <w:bottom w:val="single" w:sz="4" w:space="0" w:color="auto"/>
                    <w:right w:val="single" w:sz="6" w:space="0" w:color="auto"/>
                  </w:tcBorders>
                  <w:tcMar>
                    <w:left w:w="86" w:type="dxa"/>
                    <w:right w:w="86" w:type="dxa"/>
                  </w:tcMar>
                  <w:hideMark/>
                </w:tcPr>
                <w:p w14:paraId="4A3913C9" w14:textId="77777777" w:rsidR="00AF4FD9" w:rsidRPr="005D4222" w:rsidRDefault="00AF4FD9">
                  <w:pPr>
                    <w:pStyle w:val="TableText"/>
                    <w:rPr>
                      <w:rFonts w:ascii="Times New Roman" w:hAnsi="Times New Roman"/>
                      <w:sz w:val="24"/>
                      <w:szCs w:val="24"/>
                    </w:rPr>
                  </w:pPr>
                  <w:r w:rsidRPr="005D4222">
                    <w:t xml:space="preserve">EyeExams </w:t>
                  </w:r>
                </w:p>
              </w:tc>
              <w:tc>
                <w:tcPr>
                  <w:tcW w:w="2050" w:type="dxa"/>
                  <w:tcBorders>
                    <w:top w:val="single" w:sz="4" w:space="0" w:color="auto"/>
                    <w:left w:val="single" w:sz="6" w:space="0" w:color="auto"/>
                    <w:bottom w:val="single" w:sz="6" w:space="0" w:color="auto"/>
                    <w:right w:val="single" w:sz="6" w:space="0" w:color="auto"/>
                  </w:tcBorders>
                  <w:tcMar>
                    <w:left w:w="86" w:type="dxa"/>
                    <w:right w:w="86" w:type="dxa"/>
                  </w:tcMar>
                  <w:hideMark/>
                </w:tcPr>
                <w:p w14:paraId="0AB8E5C8" w14:textId="77777777" w:rsidR="00AF4FD9" w:rsidRPr="005D4222" w:rsidRDefault="00AF4FD9">
                  <w:pPr>
                    <w:pStyle w:val="TableText"/>
                    <w:rPr>
                      <w:rFonts w:ascii="Times New Roman" w:hAnsi="Times New Roman"/>
                      <w:sz w:val="24"/>
                      <w:szCs w:val="24"/>
                    </w:rPr>
                  </w:pPr>
                  <w:r w:rsidRPr="005D4222">
                    <w:t xml:space="preserve">HispanicOrLatino </w:t>
                  </w:r>
                </w:p>
              </w:tc>
              <w:tc>
                <w:tcPr>
                  <w:tcW w:w="1800" w:type="dxa"/>
                  <w:tcBorders>
                    <w:top w:val="single" w:sz="4" w:space="0" w:color="auto"/>
                    <w:left w:val="single" w:sz="6" w:space="0" w:color="auto"/>
                    <w:bottom w:val="single" w:sz="6" w:space="0" w:color="auto"/>
                    <w:right w:val="single" w:sz="6" w:space="0" w:color="auto"/>
                  </w:tcBorders>
                  <w:tcMar>
                    <w:left w:w="86" w:type="dxa"/>
                    <w:right w:w="86" w:type="dxa"/>
                  </w:tcMar>
                  <w:hideMark/>
                </w:tcPr>
                <w:p w14:paraId="7253E260" w14:textId="77777777" w:rsidR="00AF4FD9" w:rsidRPr="005D4222" w:rsidRDefault="00AF4FD9">
                  <w:pPr>
                    <w:pStyle w:val="TableText"/>
                  </w:pPr>
                  <w:r w:rsidRPr="005D4222">
                    <w:t>Denominator</w:t>
                  </w:r>
                </w:p>
              </w:tc>
              <w:tc>
                <w:tcPr>
                  <w:tcW w:w="2342" w:type="dxa"/>
                  <w:tcBorders>
                    <w:top w:val="single" w:sz="4" w:space="0" w:color="auto"/>
                    <w:left w:val="single" w:sz="6" w:space="0" w:color="auto"/>
                    <w:bottom w:val="single" w:sz="6" w:space="0" w:color="auto"/>
                    <w:right w:val="single" w:sz="6" w:space="0" w:color="auto"/>
                  </w:tcBorders>
                  <w:tcMar>
                    <w:left w:w="86" w:type="dxa"/>
                    <w:right w:w="86" w:type="dxa"/>
                  </w:tcMar>
                  <w:hideMark/>
                </w:tcPr>
                <w:p w14:paraId="172069F9" w14:textId="77777777" w:rsidR="00AF4FD9" w:rsidRPr="005D4222" w:rsidRDefault="00AF4FD9">
                  <w:pPr>
                    <w:pStyle w:val="TableText"/>
                    <w:rPr>
                      <w:rFonts w:ascii="Times New Roman" w:hAnsi="Times New Roman"/>
                      <w:sz w:val="24"/>
                      <w:szCs w:val="24"/>
                    </w:rPr>
                  </w:pPr>
                  <w:r w:rsidRPr="005D4222">
                    <w:t>For each Stratification</w:t>
                  </w:r>
                </w:p>
              </w:tc>
            </w:tr>
            <w:tr w:rsidR="00AF4FD9" w:rsidRPr="005D4222" w14:paraId="255817D0" w14:textId="77777777">
              <w:trPr>
                <w:trHeight w:val="375"/>
              </w:trPr>
              <w:tc>
                <w:tcPr>
                  <w:tcW w:w="1186" w:type="dxa"/>
                  <w:tcBorders>
                    <w:top w:val="single" w:sz="4" w:space="0" w:color="auto"/>
                    <w:left w:val="nil"/>
                    <w:bottom w:val="nil"/>
                    <w:right w:val="single" w:sz="4" w:space="0" w:color="auto"/>
                  </w:tcBorders>
                  <w:shd w:val="clear" w:color="auto" w:fill="FFFFFF" w:themeFill="background1"/>
                  <w:tcMar>
                    <w:left w:w="86" w:type="dxa"/>
                    <w:right w:w="86" w:type="dxa"/>
                  </w:tcMar>
                  <w:hideMark/>
                </w:tcPr>
                <w:p w14:paraId="58770B75" w14:textId="77777777" w:rsidR="00AF4FD9" w:rsidRPr="005D4222" w:rsidRDefault="00AF4FD9">
                  <w:pPr>
                    <w:pStyle w:val="TableText"/>
                    <w:rPr>
                      <w:rFonts w:ascii="Times New Roman" w:hAnsi="Times New Roman"/>
                      <w:sz w:val="24"/>
                      <w:szCs w:val="24"/>
                    </w:rPr>
                  </w:pPr>
                  <w:r w:rsidRPr="005D4222">
                    <w:t xml:space="preserve"> </w:t>
                  </w:r>
                </w:p>
              </w:tc>
              <w:tc>
                <w:tcPr>
                  <w:tcW w:w="2050" w:type="dxa"/>
                  <w:tcBorders>
                    <w:top w:val="single" w:sz="6" w:space="0" w:color="auto"/>
                    <w:left w:val="single" w:sz="4" w:space="0" w:color="auto"/>
                    <w:bottom w:val="single" w:sz="6" w:space="0" w:color="auto"/>
                    <w:right w:val="single" w:sz="6" w:space="0" w:color="auto"/>
                  </w:tcBorders>
                  <w:shd w:val="clear" w:color="auto" w:fill="FFFFFF" w:themeFill="background1"/>
                  <w:tcMar>
                    <w:left w:w="86" w:type="dxa"/>
                    <w:right w:w="86" w:type="dxa"/>
                  </w:tcMar>
                  <w:hideMark/>
                </w:tcPr>
                <w:p w14:paraId="69FF6948" w14:textId="77777777" w:rsidR="00AF4FD9" w:rsidRPr="005D4222" w:rsidRDefault="00AF4FD9">
                  <w:pPr>
                    <w:pStyle w:val="TableText"/>
                    <w:rPr>
                      <w:rFonts w:ascii="Times New Roman" w:hAnsi="Times New Roman"/>
                      <w:sz w:val="24"/>
                      <w:szCs w:val="24"/>
                    </w:rPr>
                  </w:pPr>
                  <w:r w:rsidRPr="005D4222">
                    <w:t xml:space="preserve">NotHispanicOrLatino </w:t>
                  </w:r>
                </w:p>
              </w:tc>
              <w:tc>
                <w:tcPr>
                  <w:tcW w:w="1800"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0676F0F0" w14:textId="77777777" w:rsidR="00AF4FD9" w:rsidRPr="005D4222" w:rsidRDefault="00AF4FD9">
                  <w:pPr>
                    <w:pStyle w:val="TableText"/>
                    <w:rPr>
                      <w:rFonts w:ascii="Times New Roman" w:hAnsi="Times New Roman"/>
                      <w:sz w:val="24"/>
                      <w:szCs w:val="24"/>
                    </w:rPr>
                  </w:pPr>
                  <w:r w:rsidRPr="005D4222">
                    <w:t xml:space="preserve">Numerator </w:t>
                  </w:r>
                </w:p>
              </w:tc>
              <w:tc>
                <w:tcPr>
                  <w:tcW w:w="2342"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1C05CB61" w14:textId="77777777" w:rsidR="00AF4FD9" w:rsidRPr="005D4222" w:rsidRDefault="00AF4FD9">
                  <w:pPr>
                    <w:pStyle w:val="TableText"/>
                    <w:rPr>
                      <w:rFonts w:ascii="Times New Roman" w:hAnsi="Times New Roman"/>
                      <w:sz w:val="24"/>
                      <w:szCs w:val="24"/>
                    </w:rPr>
                  </w:pPr>
                  <w:r w:rsidRPr="005D4222">
                    <w:t xml:space="preserve">For each Stratification </w:t>
                  </w:r>
                </w:p>
              </w:tc>
            </w:tr>
            <w:tr w:rsidR="00AF4FD9" w:rsidRPr="005D4222" w14:paraId="27D86357" w14:textId="77777777">
              <w:trPr>
                <w:trHeight w:val="375"/>
              </w:trPr>
              <w:tc>
                <w:tcPr>
                  <w:tcW w:w="1186" w:type="dxa"/>
                  <w:tcBorders>
                    <w:top w:val="nil"/>
                    <w:left w:val="nil"/>
                    <w:bottom w:val="nil"/>
                    <w:right w:val="single" w:sz="4" w:space="0" w:color="auto"/>
                  </w:tcBorders>
                  <w:shd w:val="clear" w:color="auto" w:fill="FFFFFF" w:themeFill="background1"/>
                  <w:tcMar>
                    <w:left w:w="86" w:type="dxa"/>
                    <w:right w:w="86" w:type="dxa"/>
                  </w:tcMar>
                </w:tcPr>
                <w:p w14:paraId="3F965CA8" w14:textId="77777777" w:rsidR="00AF4FD9" w:rsidRPr="005D4222" w:rsidRDefault="00AF4FD9">
                  <w:pPr>
                    <w:pStyle w:val="TableText"/>
                  </w:pPr>
                </w:p>
              </w:tc>
              <w:tc>
                <w:tcPr>
                  <w:tcW w:w="2050" w:type="dxa"/>
                  <w:tcBorders>
                    <w:top w:val="single" w:sz="6" w:space="0" w:color="auto"/>
                    <w:left w:val="single" w:sz="4" w:space="0" w:color="auto"/>
                    <w:bottom w:val="single" w:sz="6" w:space="0" w:color="auto"/>
                    <w:right w:val="single" w:sz="6" w:space="0" w:color="auto"/>
                  </w:tcBorders>
                  <w:shd w:val="clear" w:color="auto" w:fill="FFFFFF" w:themeFill="background1"/>
                  <w:tcMar>
                    <w:left w:w="86" w:type="dxa"/>
                    <w:right w:w="86" w:type="dxa"/>
                  </w:tcMar>
                </w:tcPr>
                <w:p w14:paraId="066D678F" w14:textId="77777777" w:rsidR="00AF4FD9" w:rsidRPr="005D4222" w:rsidRDefault="00AF4FD9">
                  <w:pPr>
                    <w:pStyle w:val="TableText"/>
                  </w:pPr>
                  <w:r w:rsidRPr="005D4222">
                    <w:t>AskedButNoAnswer</w:t>
                  </w:r>
                </w:p>
              </w:tc>
              <w:tc>
                <w:tcPr>
                  <w:tcW w:w="1800" w:type="dxa"/>
                  <w:tcBorders>
                    <w:top w:val="single" w:sz="6" w:space="0" w:color="auto"/>
                    <w:left w:val="single" w:sz="6" w:space="0" w:color="auto"/>
                    <w:bottom w:val="single" w:sz="4" w:space="0" w:color="auto"/>
                    <w:right w:val="single" w:sz="6" w:space="0" w:color="auto"/>
                  </w:tcBorders>
                  <w:shd w:val="clear" w:color="auto" w:fill="D9D9D9" w:themeFill="background1" w:themeFillShade="D9"/>
                  <w:tcMar>
                    <w:left w:w="86" w:type="dxa"/>
                    <w:right w:w="86" w:type="dxa"/>
                  </w:tcMar>
                </w:tcPr>
                <w:p w14:paraId="2E2A9A37" w14:textId="77777777" w:rsidR="00AF4FD9" w:rsidRPr="005D4222" w:rsidRDefault="00AF4FD9">
                  <w:pPr>
                    <w:pStyle w:val="TableText"/>
                  </w:pPr>
                  <w:r w:rsidRPr="005D4222">
                    <w:t xml:space="preserve">Rate </w:t>
                  </w:r>
                </w:p>
              </w:tc>
              <w:tc>
                <w:tcPr>
                  <w:tcW w:w="2342" w:type="dxa"/>
                  <w:tcBorders>
                    <w:top w:val="single" w:sz="6" w:space="0" w:color="auto"/>
                    <w:left w:val="single" w:sz="6" w:space="0" w:color="auto"/>
                    <w:bottom w:val="single" w:sz="4" w:space="0" w:color="auto"/>
                    <w:right w:val="single" w:sz="6" w:space="0" w:color="auto"/>
                  </w:tcBorders>
                  <w:shd w:val="clear" w:color="auto" w:fill="D9D9D9" w:themeFill="background1" w:themeFillShade="D9"/>
                  <w:tcMar>
                    <w:left w:w="86" w:type="dxa"/>
                    <w:right w:w="86" w:type="dxa"/>
                  </w:tcMar>
                </w:tcPr>
                <w:p w14:paraId="336AEB7A" w14:textId="77777777" w:rsidR="00AF4FD9" w:rsidRPr="005D4222" w:rsidRDefault="00AF4FD9">
                  <w:pPr>
                    <w:pStyle w:val="TableText"/>
                  </w:pPr>
                  <w:r w:rsidRPr="005D4222">
                    <w:t xml:space="preserve">(Percent) </w:t>
                  </w:r>
                </w:p>
              </w:tc>
            </w:tr>
            <w:tr w:rsidR="00AF4FD9" w:rsidRPr="005D4222" w14:paraId="63879F33" w14:textId="77777777">
              <w:trPr>
                <w:trHeight w:val="375"/>
              </w:trPr>
              <w:tc>
                <w:tcPr>
                  <w:tcW w:w="1186" w:type="dxa"/>
                  <w:tcBorders>
                    <w:top w:val="nil"/>
                    <w:left w:val="nil"/>
                    <w:bottom w:val="nil"/>
                    <w:right w:val="single" w:sz="6" w:space="0" w:color="auto"/>
                  </w:tcBorders>
                  <w:shd w:val="clear" w:color="auto" w:fill="FFFFFF" w:themeFill="background1"/>
                  <w:tcMar>
                    <w:left w:w="86" w:type="dxa"/>
                    <w:right w:w="86" w:type="dxa"/>
                  </w:tcMar>
                </w:tcPr>
                <w:p w14:paraId="3367C70A" w14:textId="77777777" w:rsidR="00AF4FD9" w:rsidRPr="005D4222" w:rsidRDefault="00AF4FD9">
                  <w:pPr>
                    <w:pStyle w:val="TableText"/>
                  </w:pPr>
                </w:p>
              </w:tc>
              <w:tc>
                <w:tcPr>
                  <w:tcW w:w="2050" w:type="dxa"/>
                  <w:tcBorders>
                    <w:top w:val="single" w:sz="6" w:space="0" w:color="auto"/>
                    <w:left w:val="single" w:sz="6" w:space="0" w:color="auto"/>
                    <w:bottom w:val="single" w:sz="6" w:space="0" w:color="auto"/>
                    <w:right w:val="single" w:sz="4" w:space="0" w:color="auto"/>
                  </w:tcBorders>
                  <w:shd w:val="clear" w:color="auto" w:fill="FFFFFF" w:themeFill="background1"/>
                  <w:tcMar>
                    <w:left w:w="86" w:type="dxa"/>
                    <w:right w:w="86" w:type="dxa"/>
                  </w:tcMar>
                </w:tcPr>
                <w:p w14:paraId="2F4B9A95" w14:textId="77777777" w:rsidR="00AF4FD9" w:rsidRPr="005D4222" w:rsidRDefault="00AF4FD9">
                  <w:pPr>
                    <w:pStyle w:val="TableText"/>
                  </w:pPr>
                  <w:r w:rsidRPr="005D4222">
                    <w:t>Unknown</w:t>
                  </w:r>
                </w:p>
              </w:tc>
              <w:tc>
                <w:tcPr>
                  <w:tcW w:w="1800" w:type="dxa"/>
                  <w:tcBorders>
                    <w:top w:val="single" w:sz="4" w:space="0" w:color="auto"/>
                    <w:left w:val="single" w:sz="4" w:space="0" w:color="auto"/>
                    <w:bottom w:val="nil"/>
                    <w:right w:val="nil"/>
                  </w:tcBorders>
                  <w:shd w:val="clear" w:color="auto" w:fill="FFFFFF" w:themeFill="background1"/>
                  <w:tcMar>
                    <w:left w:w="86" w:type="dxa"/>
                    <w:right w:w="86" w:type="dxa"/>
                  </w:tcMar>
                </w:tcPr>
                <w:p w14:paraId="027618B4" w14:textId="77777777" w:rsidR="00AF4FD9" w:rsidRPr="005D4222" w:rsidRDefault="00AF4FD9">
                  <w:pPr>
                    <w:pStyle w:val="TableText"/>
                  </w:pPr>
                </w:p>
              </w:tc>
              <w:tc>
                <w:tcPr>
                  <w:tcW w:w="2342" w:type="dxa"/>
                  <w:tcBorders>
                    <w:top w:val="single" w:sz="4" w:space="0" w:color="auto"/>
                    <w:left w:val="nil"/>
                    <w:bottom w:val="nil"/>
                    <w:right w:val="nil"/>
                  </w:tcBorders>
                  <w:shd w:val="clear" w:color="auto" w:fill="FFFFFF" w:themeFill="background1"/>
                  <w:tcMar>
                    <w:left w:w="86" w:type="dxa"/>
                    <w:right w:w="86" w:type="dxa"/>
                  </w:tcMar>
                </w:tcPr>
                <w:p w14:paraId="079E6B50" w14:textId="77777777" w:rsidR="00AF4FD9" w:rsidRPr="005D4222" w:rsidRDefault="00AF4FD9">
                  <w:pPr>
                    <w:pStyle w:val="TableText"/>
                  </w:pPr>
                </w:p>
              </w:tc>
            </w:tr>
          </w:tbl>
          <w:p w14:paraId="64F34EC4" w14:textId="77777777" w:rsidR="00AF4FD9" w:rsidRPr="005D4222" w:rsidRDefault="00AF4FD9">
            <w:pPr>
              <w:pStyle w:val="TableText"/>
              <w:tabs>
                <w:tab w:val="left" w:pos="1050"/>
              </w:tabs>
            </w:pPr>
          </w:p>
        </w:tc>
      </w:tr>
      <w:tr w:rsidR="00AF4FD9" w:rsidRPr="005D4222" w14:paraId="64AA8D63" w14:textId="77777777">
        <w:trPr>
          <w:trHeight w:val="45"/>
        </w:trPr>
        <w:tc>
          <w:tcPr>
            <w:tcW w:w="2158"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8A96EEB" w14:textId="77777777" w:rsidR="00AF4FD9" w:rsidRPr="005D4222" w:rsidRDefault="00AF4FD9">
            <w:pPr>
              <w:pStyle w:val="ECDSMarginHead"/>
            </w:pPr>
            <w:r w:rsidRPr="005D4222">
              <w:lastRenderedPageBreak/>
              <w:t>Rules for Allowable Adjustments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71114FE" w14:textId="77777777" w:rsidR="00AF4FD9" w:rsidRPr="005D4222" w:rsidRDefault="00AF4FD9">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655F5C7E" w14:textId="77777777" w:rsidR="00AF4FD9" w:rsidRPr="005D4222" w:rsidRDefault="00AF4FD9">
            <w:pPr>
              <w:pStyle w:val="ECDSBody"/>
              <w:rPr>
                <w:b/>
              </w:rPr>
            </w:pPr>
            <w:r w:rsidRPr="005D4222">
              <w:rPr>
                <w:b/>
              </w:rPr>
              <w:t>Adjusted HEDIS measures may not be used for HEDIS health plan reporting.</w:t>
            </w:r>
          </w:p>
          <w:p w14:paraId="166C304F" w14:textId="77777777" w:rsidR="00AF4FD9" w:rsidRPr="005D4222" w:rsidRDefault="00AF4FD9">
            <w:pPr>
              <w:pStyle w:val="Adjustments"/>
              <w:rPr>
                <w:b w:val="0"/>
              </w:rPr>
            </w:pPr>
            <w:r w:rsidRPr="005D4222">
              <w:t>Adjustments</w:t>
            </w:r>
            <w:r w:rsidRPr="005D4222">
              <w:rPr>
                <w:bCs/>
              </w:rPr>
              <w:t xml:space="preserve"> a</w:t>
            </w:r>
            <w:r w:rsidRPr="005D4222">
              <w:t>llowed</w:t>
            </w:r>
          </w:p>
          <w:p w14:paraId="4F85F4B4" w14:textId="77777777" w:rsidR="00AF4FD9" w:rsidRPr="005D4222" w:rsidRDefault="00AF4FD9" w:rsidP="00AF4FD9">
            <w:pPr>
              <w:pStyle w:val="ProcessBullet"/>
              <w:tabs>
                <w:tab w:val="left" w:pos="216"/>
              </w:tabs>
            </w:pPr>
            <w:r w:rsidRPr="005D4222">
              <w:rPr>
                <w:i/>
                <w:iCs/>
              </w:rPr>
              <w:t>Product lines</w:t>
            </w:r>
            <w:r w:rsidRPr="005D4222">
              <w:t>. Organizations are not required to use product line criteria; product lines may be combined, and all (or no) product line criteria may be used.</w:t>
            </w:r>
          </w:p>
          <w:p w14:paraId="61098B75" w14:textId="77777777" w:rsidR="00AF4FD9" w:rsidRPr="005D4222" w:rsidRDefault="00AF4FD9" w:rsidP="00AF4FD9">
            <w:pPr>
              <w:pStyle w:val="ProcessBullet"/>
              <w:tabs>
                <w:tab w:val="left" w:pos="216"/>
              </w:tabs>
            </w:pPr>
            <w:r w:rsidRPr="005D4222">
              <w:rPr>
                <w:i/>
                <w:iCs/>
              </w:rPr>
              <w:t>Attribution</w:t>
            </w:r>
            <w:r w:rsidRPr="005D4222">
              <w:t>. Organizations are not required to use enrollment criteria.</w:t>
            </w:r>
          </w:p>
          <w:p w14:paraId="46380130" w14:textId="77777777" w:rsidR="00AF4FD9" w:rsidRPr="005D4222" w:rsidRDefault="00AF4FD9" w:rsidP="00AF4FD9">
            <w:pPr>
              <w:pStyle w:val="ProcessBullet"/>
              <w:tabs>
                <w:tab w:val="left" w:pos="216"/>
              </w:tabs>
            </w:pPr>
            <w:r w:rsidRPr="005D4222">
              <w:rPr>
                <w:i/>
                <w:iCs/>
              </w:rPr>
              <w:t>Benefits</w:t>
            </w:r>
            <w:r w:rsidRPr="005D4222">
              <w:t>. Organizations are not required to use a benefit.</w:t>
            </w:r>
          </w:p>
          <w:p w14:paraId="6D9267AD" w14:textId="77777777" w:rsidR="00AF4FD9" w:rsidRPr="005D4222" w:rsidRDefault="00AF4FD9" w:rsidP="00AF4FD9">
            <w:pPr>
              <w:pStyle w:val="ProcessBullet"/>
              <w:tabs>
                <w:tab w:val="left" w:pos="216"/>
              </w:tabs>
            </w:pPr>
            <w:r w:rsidRPr="005D4222">
              <w:rPr>
                <w:i/>
                <w:iCs/>
              </w:rPr>
              <w:t>Other</w:t>
            </w:r>
            <w:r w:rsidRPr="005D4222">
              <w:t xml:space="preserve">. Organizations may use additional initial population criteria to focus on an area of interest defined by gender, race, ethnicity, socioeconomic or sociodemographic characteristics, geographic region, or another characteristic. </w:t>
            </w:r>
          </w:p>
          <w:p w14:paraId="24A03E80" w14:textId="77777777" w:rsidR="00AF4FD9" w:rsidRPr="005D4222" w:rsidRDefault="00AF4FD9" w:rsidP="00AF4FD9">
            <w:pPr>
              <w:pStyle w:val="ProcessBullet"/>
              <w:tabs>
                <w:tab w:val="left" w:pos="216"/>
              </w:tabs>
            </w:pPr>
            <w:r w:rsidRPr="005D4222">
              <w:rPr>
                <w:i/>
                <w:iCs/>
              </w:rPr>
              <w:t>Measurement period adjustments</w:t>
            </w:r>
            <w:r w:rsidRPr="005D4222">
              <w:t xml:space="preserve">. Organizations may adjust the measurement period. </w:t>
            </w:r>
          </w:p>
          <w:p w14:paraId="328A88A5" w14:textId="77777777" w:rsidR="00AF4FD9" w:rsidRPr="005D4222" w:rsidRDefault="00AF4FD9" w:rsidP="00AF4FD9">
            <w:pPr>
              <w:pStyle w:val="ProcessBullet"/>
              <w:tabs>
                <w:tab w:val="left" w:pos="216"/>
              </w:tabs>
            </w:pPr>
            <w:r w:rsidRPr="005D4222" w:rsidDel="00AA0FF0">
              <w:rPr>
                <w:i/>
                <w:iCs/>
              </w:rPr>
              <w:t xml:space="preserve">Stratifications: </w:t>
            </w:r>
            <w:r w:rsidRPr="005D4222">
              <w:rPr>
                <w:iCs/>
              </w:rPr>
              <w:t>Race and ethnicity stratification. T</w:t>
            </w:r>
            <w:r w:rsidRPr="005D4222">
              <w:t>he race and ethnicity stratification is not required. Organizations may adjust this stratification as needed.</w:t>
            </w:r>
          </w:p>
          <w:p w14:paraId="07A8FB1C" w14:textId="77777777" w:rsidR="00AF4FD9" w:rsidRPr="005D4222" w:rsidRDefault="00AF4FD9" w:rsidP="00AF4FD9">
            <w:pPr>
              <w:pStyle w:val="ProcessBullet"/>
              <w:tabs>
                <w:tab w:val="left" w:pos="216"/>
              </w:tabs>
              <w:rPr>
                <w:color w:val="000000" w:themeColor="text1"/>
              </w:rPr>
            </w:pPr>
            <w:r w:rsidRPr="005D4222">
              <w:rPr>
                <w:i/>
                <w:iCs/>
              </w:rPr>
              <w:t>Exclusions</w:t>
            </w:r>
            <w:r w:rsidRPr="005D4222">
              <w:t xml:space="preserve">. The hospice, deceased person, palliative care, I-SNP, LTI, frailty and advanced illness exclusions are not required. </w:t>
            </w:r>
          </w:p>
          <w:p w14:paraId="78B61A7D" w14:textId="77777777" w:rsidR="00AF4FD9" w:rsidRPr="005D4222" w:rsidRDefault="00AF4FD9" w:rsidP="00AF4FD9">
            <w:pPr>
              <w:pStyle w:val="ProcessBullet"/>
              <w:tabs>
                <w:tab w:val="left" w:pos="216"/>
              </w:tabs>
            </w:pPr>
            <w:r w:rsidRPr="005D4222">
              <w:rPr>
                <w:i/>
                <w:iCs/>
              </w:rPr>
              <w:t>Telehealth</w:t>
            </w:r>
            <w:r w:rsidRPr="005D4222">
              <w:t>.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7D232BE3" w14:textId="77777777" w:rsidR="00AF4FD9" w:rsidRPr="005D4222" w:rsidRDefault="00AF4FD9" w:rsidP="00AF4FD9">
            <w:pPr>
              <w:pStyle w:val="ProcessBullet"/>
              <w:tabs>
                <w:tab w:val="left" w:pos="216"/>
              </w:tabs>
            </w:pPr>
            <w:r w:rsidRPr="005D4222">
              <w:rPr>
                <w:i/>
                <w:iCs/>
              </w:rPr>
              <w:t>Supplemental data</w:t>
            </w:r>
            <w:r w:rsidRPr="005D4222">
              <w:t>. Supplemental data may be used to identify initial population, denominator, exclusion and numerator events.</w:t>
            </w:r>
          </w:p>
          <w:p w14:paraId="495794AE" w14:textId="77777777" w:rsidR="00AF4FD9" w:rsidRPr="005D4222" w:rsidRDefault="00AF4FD9">
            <w:pPr>
              <w:pStyle w:val="Adjustments"/>
              <w:rPr>
                <w:b w:val="0"/>
                <w:bCs/>
              </w:rPr>
            </w:pPr>
            <w:r w:rsidRPr="005D4222">
              <w:t>Adjustments allowed with limits</w:t>
            </w:r>
          </w:p>
          <w:p w14:paraId="3FEFC2BC" w14:textId="77777777" w:rsidR="00AF4FD9" w:rsidRPr="005D4222" w:rsidRDefault="00AF4FD9" w:rsidP="00AF4FD9">
            <w:pPr>
              <w:pStyle w:val="ProcessBullet"/>
              <w:tabs>
                <w:tab w:val="left" w:pos="216"/>
              </w:tabs>
              <w:spacing w:after="80"/>
              <w:rPr>
                <w:b/>
              </w:rPr>
            </w:pPr>
            <w:r w:rsidRPr="005D4222">
              <w:rPr>
                <w:i/>
                <w:iCs/>
              </w:rPr>
              <w:t>Ages</w:t>
            </w:r>
            <w:r w:rsidRPr="005D4222">
              <w:t xml:space="preserve">. Age determination dates may be changed (e.g., select, “age as of June 30”). Changing denominator age range is allowed within a specified age range (ages 18–75 years). </w:t>
            </w:r>
          </w:p>
          <w:p w14:paraId="6C0E72DF" w14:textId="77777777" w:rsidR="00AF4FD9" w:rsidRPr="005D4222" w:rsidRDefault="00AF4FD9" w:rsidP="00AF4FD9">
            <w:pPr>
              <w:pStyle w:val="ProcessBullet"/>
              <w:tabs>
                <w:tab w:val="left" w:pos="216"/>
              </w:tabs>
              <w:spacing w:before="180"/>
              <w:rPr>
                <w:bCs/>
              </w:rPr>
            </w:pPr>
            <w:r w:rsidRPr="005D4222">
              <w:rPr>
                <w:bCs/>
                <w:i/>
                <w:iCs/>
              </w:rPr>
              <w:lastRenderedPageBreak/>
              <w:t xml:space="preserve">Stratifications: </w:t>
            </w:r>
            <w:r w:rsidRPr="005D4222">
              <w:rPr>
                <w:iCs/>
              </w:rPr>
              <w:t>SES stratification.</w:t>
            </w:r>
            <w:r w:rsidRPr="005D4222">
              <w:t xml:space="preserve"> </w:t>
            </w:r>
            <w:r w:rsidRPr="005D4222">
              <w:rPr>
                <w:bCs/>
              </w:rPr>
              <w:t>The SES stratification is not required</w:t>
            </w:r>
            <w:r w:rsidRPr="005D4222">
              <w:t>, but</w:t>
            </w:r>
            <w:r w:rsidRPr="005D4222">
              <w:rPr>
                <w:bCs/>
              </w:rPr>
              <w:t xml:space="preserve"> if </w:t>
            </w:r>
            <w:r w:rsidRPr="005D4222">
              <w:t>it</w:t>
            </w:r>
            <w:r w:rsidRPr="005D4222">
              <w:rPr>
                <w:bCs/>
              </w:rPr>
              <w:t xml:space="preserve"> is applied, no adjustments may be made. </w:t>
            </w:r>
          </w:p>
          <w:p w14:paraId="0159C748" w14:textId="77777777" w:rsidR="00AF4FD9" w:rsidRPr="005D4222" w:rsidRDefault="00AF4FD9">
            <w:pPr>
              <w:pStyle w:val="Adjustments"/>
              <w:rPr>
                <w:b w:val="0"/>
                <w:bCs/>
              </w:rPr>
            </w:pPr>
            <w:r w:rsidRPr="005D4222">
              <w:t>Adjustments not allowed</w:t>
            </w:r>
          </w:p>
          <w:p w14:paraId="6C3EC8C8" w14:textId="77777777" w:rsidR="00AF4FD9" w:rsidRPr="005D4222" w:rsidRDefault="00AF4FD9" w:rsidP="00AF4FD9">
            <w:pPr>
              <w:pStyle w:val="ProcessBullet"/>
              <w:tabs>
                <w:tab w:val="left" w:pos="216"/>
              </w:tabs>
            </w:pPr>
            <w:r w:rsidRPr="005D4222">
              <w:rPr>
                <w:i/>
                <w:iCs/>
              </w:rPr>
              <w:t xml:space="preserve">Initial population: </w:t>
            </w:r>
            <w:r w:rsidRPr="005D4222">
              <w:rPr>
                <w:iCs/>
              </w:rPr>
              <w:t>Event. Only ev</w:t>
            </w:r>
            <w:r w:rsidRPr="005D4222">
              <w:t>ents or diagnoses that contain (or map to) codes in the medication lists and value sets may be used to identify visits. Medication lists, value sets and logic may not be changed.</w:t>
            </w:r>
          </w:p>
          <w:p w14:paraId="2547AFB3" w14:textId="21BEDC3E" w:rsidR="009F4AC1" w:rsidRPr="005D4222" w:rsidRDefault="009F4AC1" w:rsidP="00AF4FD9">
            <w:pPr>
              <w:pStyle w:val="ProcessBullet"/>
              <w:tabs>
                <w:tab w:val="left" w:pos="216"/>
              </w:tabs>
            </w:pPr>
            <w:r w:rsidRPr="005D4222">
              <w:rPr>
                <w:i/>
                <w:iCs/>
              </w:rPr>
              <w:t>Exclusions.</w:t>
            </w:r>
            <w:r w:rsidRPr="005D4222">
              <w:rPr>
                <w:b/>
                <w:i/>
              </w:rPr>
              <w:t xml:space="preserve"> </w:t>
            </w:r>
            <w:r w:rsidRPr="005D4222">
              <w:rPr>
                <w:bCs/>
                <w:iCs/>
              </w:rPr>
              <w:t>The bilateral absence of eyes or eye enucleation exclusions must be applied. The value sets, medication lists and logic may not be changed.</w:t>
            </w:r>
          </w:p>
          <w:p w14:paraId="3FA98044" w14:textId="77777777" w:rsidR="00AF4FD9" w:rsidRPr="005D4222" w:rsidRDefault="00AF4FD9" w:rsidP="00AF4FD9">
            <w:pPr>
              <w:pStyle w:val="ProcessBullet"/>
              <w:tabs>
                <w:tab w:val="left" w:pos="216"/>
              </w:tabs>
              <w:spacing w:after="80"/>
            </w:pPr>
            <w:r w:rsidRPr="005D4222">
              <w:rPr>
                <w:i/>
                <w:iCs/>
              </w:rPr>
              <w:t>Numerator</w:t>
            </w:r>
            <w:r w:rsidRPr="005D4222">
              <w:t>. Value sets and logic may not be changed.</w:t>
            </w:r>
          </w:p>
        </w:tc>
      </w:tr>
    </w:tbl>
    <w:p w14:paraId="41C4E898" w14:textId="77777777" w:rsidR="003143DE" w:rsidRPr="005D4222" w:rsidRDefault="003143DE" w:rsidP="00C46E3F">
      <w:pPr>
        <w:pStyle w:val="ECDSBody"/>
        <w:sectPr w:rsidR="003143DE" w:rsidRPr="005D4222" w:rsidSect="0074514A">
          <w:headerReference w:type="default" r:id="rId106"/>
          <w:type w:val="nextColumn"/>
          <w:pgSz w:w="12240" w:h="15840" w:code="1"/>
          <w:pgMar w:top="1080" w:right="1080" w:bottom="1080" w:left="1440" w:header="720" w:footer="720" w:gutter="0"/>
          <w:cols w:space="720"/>
          <w:docGrid w:linePitch="360"/>
        </w:sectPr>
      </w:pPr>
    </w:p>
    <w:p w14:paraId="24ABF24F" w14:textId="049CA465" w:rsidR="00C46E3F" w:rsidRPr="005D4222" w:rsidRDefault="007919B9" w:rsidP="007919B9">
      <w:pPr>
        <w:pStyle w:val="MeasureTitle"/>
      </w:pPr>
      <w:bookmarkStart w:id="292" w:name="_Toc201813403"/>
      <w:r w:rsidRPr="005D4222">
        <w:lastRenderedPageBreak/>
        <w:t>Kidney Health Evaluation for Patients With Diabetes</w:t>
      </w:r>
      <w:r w:rsidR="004C0737" w:rsidRPr="005D4222">
        <w:t xml:space="preserve"> (KED)</w:t>
      </w:r>
      <w:bookmarkEnd w:id="292"/>
    </w:p>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6"/>
        <w:gridCol w:w="5041"/>
        <w:gridCol w:w="1442"/>
        <w:gridCol w:w="1077"/>
      </w:tblGrid>
      <w:tr w:rsidR="004054A3" w:rsidRPr="005D4222" w14:paraId="3E64950A" w14:textId="77777777" w:rsidTr="007836D1">
        <w:tc>
          <w:tcPr>
            <w:tcW w:w="1110" w:type="pct"/>
            <w:shd w:val="clear" w:color="auto" w:fill="BFBFBF" w:themeFill="background1" w:themeFillShade="BF"/>
            <w:tcMar>
              <w:top w:w="0" w:type="dxa"/>
              <w:left w:w="86" w:type="dxa"/>
              <w:bottom w:w="43" w:type="dxa"/>
              <w:right w:w="86" w:type="dxa"/>
            </w:tcMar>
            <w:hideMark/>
          </w:tcPr>
          <w:p w14:paraId="099CB76A" w14:textId="77777777" w:rsidR="004054A3" w:rsidRPr="005D4222" w:rsidRDefault="004054A3">
            <w:pPr>
              <w:pStyle w:val="ECDSMarginHead"/>
            </w:pPr>
            <w:r w:rsidRPr="005D4222">
              <w:t>Measure title</w:t>
            </w:r>
          </w:p>
        </w:tc>
        <w:tc>
          <w:tcPr>
            <w:tcW w:w="2594" w:type="pct"/>
            <w:tcMar>
              <w:top w:w="0" w:type="dxa"/>
              <w:left w:w="86" w:type="dxa"/>
              <w:bottom w:w="43" w:type="dxa"/>
              <w:right w:w="86" w:type="dxa"/>
            </w:tcMar>
          </w:tcPr>
          <w:p w14:paraId="5C352463" w14:textId="77777777" w:rsidR="004054A3" w:rsidRPr="005D4222" w:rsidRDefault="004054A3">
            <w:pPr>
              <w:pStyle w:val="ECDSBody"/>
            </w:pPr>
            <w:r w:rsidRPr="005D4222">
              <w:t>Kidney Health Evaluation for Patients With Diabetes</w:t>
            </w:r>
            <w:r w:rsidRPr="005D4222">
              <w:rPr>
                <w:b/>
              </w:rPr>
              <w:t>*</w:t>
            </w:r>
          </w:p>
        </w:tc>
        <w:tc>
          <w:tcPr>
            <w:tcW w:w="742" w:type="pct"/>
            <w:shd w:val="clear" w:color="auto" w:fill="BFBFBF" w:themeFill="background1" w:themeFillShade="BF"/>
            <w:tcMar>
              <w:top w:w="0" w:type="dxa"/>
              <w:left w:w="86" w:type="dxa"/>
              <w:bottom w:w="43" w:type="dxa"/>
              <w:right w:w="86" w:type="dxa"/>
            </w:tcMar>
          </w:tcPr>
          <w:p w14:paraId="7DC1E3B8" w14:textId="77777777" w:rsidR="004054A3" w:rsidRPr="005D4222" w:rsidRDefault="004054A3">
            <w:pPr>
              <w:pStyle w:val="ECDSMarginHead"/>
            </w:pPr>
            <w:r w:rsidRPr="005D4222">
              <w:t>Measure ID</w:t>
            </w:r>
          </w:p>
        </w:tc>
        <w:tc>
          <w:tcPr>
            <w:tcW w:w="554" w:type="pct"/>
            <w:tcMar>
              <w:top w:w="0" w:type="dxa"/>
              <w:left w:w="86" w:type="dxa"/>
              <w:bottom w:w="43" w:type="dxa"/>
              <w:right w:w="86" w:type="dxa"/>
            </w:tcMar>
          </w:tcPr>
          <w:p w14:paraId="124A106B" w14:textId="77777777" w:rsidR="004054A3" w:rsidRPr="005D4222" w:rsidRDefault="004054A3">
            <w:pPr>
              <w:pStyle w:val="ECDSBody"/>
            </w:pPr>
            <w:r w:rsidRPr="005D4222">
              <w:t>KED</w:t>
            </w:r>
          </w:p>
        </w:tc>
      </w:tr>
      <w:tr w:rsidR="004054A3" w:rsidRPr="005D4222" w14:paraId="73B8D8DB" w14:textId="77777777" w:rsidTr="007836D1">
        <w:tc>
          <w:tcPr>
            <w:tcW w:w="1110" w:type="pct"/>
            <w:shd w:val="clear" w:color="auto" w:fill="BFBFBF" w:themeFill="background1" w:themeFillShade="BF"/>
            <w:tcMar>
              <w:top w:w="0" w:type="dxa"/>
              <w:left w:w="86" w:type="dxa"/>
              <w:bottom w:w="43" w:type="dxa"/>
              <w:right w:w="86" w:type="dxa"/>
            </w:tcMar>
            <w:hideMark/>
          </w:tcPr>
          <w:p w14:paraId="33B67501" w14:textId="77777777" w:rsidR="004054A3" w:rsidRPr="005D4222" w:rsidRDefault="004054A3">
            <w:pPr>
              <w:pStyle w:val="ECDSMarginHead"/>
            </w:pPr>
            <w:r w:rsidRPr="005D4222">
              <w:t>Description</w:t>
            </w:r>
          </w:p>
        </w:tc>
        <w:tc>
          <w:tcPr>
            <w:tcW w:w="3890" w:type="pct"/>
            <w:gridSpan w:val="3"/>
            <w:tcMar>
              <w:top w:w="0" w:type="dxa"/>
              <w:left w:w="86" w:type="dxa"/>
              <w:bottom w:w="43" w:type="dxa"/>
              <w:right w:w="86" w:type="dxa"/>
            </w:tcMar>
          </w:tcPr>
          <w:p w14:paraId="79B36F11" w14:textId="77777777" w:rsidR="004054A3" w:rsidRPr="005D4222" w:rsidRDefault="004054A3">
            <w:pPr>
              <w:pStyle w:val="ECDSBody"/>
              <w:rPr>
                <w:i/>
              </w:rPr>
            </w:pPr>
            <w:r w:rsidRPr="005D4222">
              <w:t xml:space="preserve">The percentage of persons 18–85 years of age with diabetes (type 1 or type 2) who received a kidney health evaluation, defined by an estimated glomerular filtration rate (eGFR) </w:t>
            </w:r>
            <w:r w:rsidRPr="005D4222">
              <w:rPr>
                <w:b/>
                <w:i/>
              </w:rPr>
              <w:t>and</w:t>
            </w:r>
            <w:r w:rsidRPr="005D4222">
              <w:t xml:space="preserve"> a urine albumin-creatinine ratio (uACR), during the measurement period.</w:t>
            </w:r>
          </w:p>
        </w:tc>
      </w:tr>
      <w:tr w:rsidR="004054A3" w:rsidRPr="005D4222" w14:paraId="1153FEBA" w14:textId="77777777" w:rsidTr="007836D1">
        <w:tc>
          <w:tcPr>
            <w:tcW w:w="1110" w:type="pct"/>
            <w:shd w:val="clear" w:color="auto" w:fill="BFBFBF" w:themeFill="background1" w:themeFillShade="BF"/>
            <w:tcMar>
              <w:top w:w="0" w:type="dxa"/>
              <w:left w:w="86" w:type="dxa"/>
              <w:bottom w:w="43" w:type="dxa"/>
              <w:right w:w="86" w:type="dxa"/>
            </w:tcMar>
          </w:tcPr>
          <w:p w14:paraId="1564492A" w14:textId="77777777" w:rsidR="004054A3" w:rsidRPr="005D4222" w:rsidRDefault="004054A3">
            <w:pPr>
              <w:pStyle w:val="ECDSMarginHead"/>
            </w:pPr>
            <w:r w:rsidRPr="005D4222">
              <w:t>Measurement period</w:t>
            </w:r>
          </w:p>
        </w:tc>
        <w:tc>
          <w:tcPr>
            <w:tcW w:w="3890" w:type="pct"/>
            <w:gridSpan w:val="3"/>
            <w:tcMar>
              <w:top w:w="0" w:type="dxa"/>
              <w:left w:w="86" w:type="dxa"/>
              <w:bottom w:w="43" w:type="dxa"/>
              <w:right w:w="86" w:type="dxa"/>
            </w:tcMar>
          </w:tcPr>
          <w:p w14:paraId="4357909F" w14:textId="77777777" w:rsidR="004054A3" w:rsidRPr="005D4222" w:rsidRDefault="004054A3">
            <w:pPr>
              <w:pStyle w:val="ECDSBody"/>
            </w:pPr>
            <w:r w:rsidRPr="005D4222">
              <w:t>January 1–December 31.</w:t>
            </w:r>
          </w:p>
        </w:tc>
      </w:tr>
      <w:tr w:rsidR="004054A3" w:rsidRPr="005D4222" w14:paraId="4A4D2E9A" w14:textId="77777777" w:rsidTr="007836D1">
        <w:tc>
          <w:tcPr>
            <w:tcW w:w="1110" w:type="pct"/>
            <w:shd w:val="clear" w:color="auto" w:fill="BFBFBF" w:themeFill="background1" w:themeFillShade="BF"/>
            <w:tcMar>
              <w:top w:w="0" w:type="dxa"/>
              <w:left w:w="86" w:type="dxa"/>
              <w:bottom w:w="43" w:type="dxa"/>
              <w:right w:w="86" w:type="dxa"/>
            </w:tcMar>
            <w:hideMark/>
          </w:tcPr>
          <w:p w14:paraId="5E5FECAD" w14:textId="77777777" w:rsidR="004054A3" w:rsidRPr="005D4222" w:rsidRDefault="004054A3">
            <w:pPr>
              <w:pStyle w:val="ECDSMarginHead"/>
              <w:rPr>
                <w:rFonts w:eastAsia="Arial"/>
              </w:rPr>
            </w:pPr>
            <w:r w:rsidRPr="005D4222">
              <w:rPr>
                <w:rFonts w:eastAsia="Arial"/>
              </w:rPr>
              <w:t>Copyright and disclaimer notice</w:t>
            </w:r>
          </w:p>
        </w:tc>
        <w:tc>
          <w:tcPr>
            <w:tcW w:w="3890" w:type="pct"/>
            <w:gridSpan w:val="3"/>
            <w:tcMar>
              <w:top w:w="0" w:type="dxa"/>
              <w:left w:w="86" w:type="dxa"/>
              <w:bottom w:w="43" w:type="dxa"/>
              <w:right w:w="86" w:type="dxa"/>
            </w:tcMar>
          </w:tcPr>
          <w:p w14:paraId="21079126" w14:textId="77777777" w:rsidR="004054A3" w:rsidRPr="005D4222" w:rsidRDefault="004054A3">
            <w:pPr>
              <w:pStyle w:val="ECDSBody"/>
              <w:tabs>
                <w:tab w:val="clear" w:pos="1368"/>
              </w:tabs>
              <w:ind w:left="92" w:hanging="92"/>
              <w:rPr>
                <w:i/>
                <w:iCs/>
                <w:szCs w:val="21"/>
              </w:rPr>
            </w:pPr>
            <w:r w:rsidRPr="005D4222">
              <w:rPr>
                <w:rFonts w:eastAsia="Arial"/>
                <w:bCs w:val="0"/>
                <w:szCs w:val="21"/>
              </w:rPr>
              <w:t>*</w:t>
            </w:r>
            <w:r w:rsidRPr="005D4222">
              <w:rPr>
                <w:rFonts w:eastAsia="Arial"/>
                <w:i/>
                <w:iCs/>
                <w:szCs w:val="21"/>
              </w:rPr>
              <w:t>This measure was developed by NCQA with input from the National Kidney Foundation.</w:t>
            </w:r>
          </w:p>
          <w:p w14:paraId="3A5832A6" w14:textId="77777777" w:rsidR="004054A3" w:rsidRPr="005D4222" w:rsidRDefault="004054A3">
            <w:pPr>
              <w:pStyle w:val="ECDSBody"/>
            </w:pPr>
            <w:r w:rsidRPr="005D4222">
              <w:t xml:space="preserve">Refer to the complete copyright and disclaimer information at the front of this publication. </w:t>
            </w:r>
          </w:p>
          <w:p w14:paraId="649BEDF5" w14:textId="77777777" w:rsidR="004054A3" w:rsidRPr="005D4222" w:rsidRDefault="004054A3">
            <w:pPr>
              <w:pStyle w:val="ECDSBody"/>
              <w:spacing w:before="80"/>
              <w:rPr>
                <w:szCs w:val="21"/>
              </w:rPr>
            </w:pPr>
            <w:r w:rsidRPr="005D4222">
              <w:rPr>
                <w:szCs w:val="21"/>
              </w:rPr>
              <w:t xml:space="preserve">NCQA website: </w:t>
            </w:r>
            <w:r w:rsidRPr="005D4222">
              <w:rPr>
                <w:szCs w:val="21"/>
                <w:u w:val="single"/>
              </w:rPr>
              <w:t>www.ncqa.org</w:t>
            </w:r>
            <w:r w:rsidRPr="005D4222">
              <w:rPr>
                <w:szCs w:val="21"/>
              </w:rPr>
              <w:t>.</w:t>
            </w:r>
          </w:p>
          <w:p w14:paraId="4D04C02C" w14:textId="77777777" w:rsidR="004054A3" w:rsidRPr="005D4222" w:rsidRDefault="004054A3">
            <w:pPr>
              <w:pStyle w:val="ECDSBody"/>
              <w:spacing w:before="80"/>
              <w:rPr>
                <w:sz w:val="18"/>
                <w:szCs w:val="18"/>
              </w:rPr>
            </w:pPr>
            <w:r w:rsidRPr="005D4222">
              <w:rPr>
                <w:szCs w:val="21"/>
              </w:rPr>
              <w:t>Submit policy clarification support questions via My NCQA (</w:t>
            </w:r>
            <w:r w:rsidRPr="005D4222">
              <w:rPr>
                <w:szCs w:val="21"/>
                <w:u w:val="single"/>
              </w:rPr>
              <w:t>https://my.ncqa.org</w:t>
            </w:r>
            <w:r w:rsidRPr="005D4222">
              <w:rPr>
                <w:szCs w:val="21"/>
              </w:rPr>
              <w:t>).</w:t>
            </w:r>
          </w:p>
        </w:tc>
      </w:tr>
      <w:tr w:rsidR="004054A3" w:rsidRPr="005D4222" w14:paraId="120F74B0" w14:textId="77777777" w:rsidTr="007836D1">
        <w:tc>
          <w:tcPr>
            <w:tcW w:w="1110" w:type="pct"/>
            <w:shd w:val="clear" w:color="auto" w:fill="BFBFBF" w:themeFill="background1" w:themeFillShade="BF"/>
            <w:tcMar>
              <w:top w:w="0" w:type="dxa"/>
              <w:left w:w="86" w:type="dxa"/>
              <w:bottom w:w="43" w:type="dxa"/>
              <w:right w:w="86" w:type="dxa"/>
            </w:tcMar>
            <w:hideMark/>
          </w:tcPr>
          <w:p w14:paraId="0E01A2E3" w14:textId="77777777" w:rsidR="004054A3" w:rsidRPr="005D4222" w:rsidRDefault="004054A3">
            <w:pPr>
              <w:pStyle w:val="ECDSMarginHead"/>
            </w:pPr>
            <w:r w:rsidRPr="005D4222">
              <w:t>Clinical recommendation statement/ rationale</w:t>
            </w:r>
          </w:p>
        </w:tc>
        <w:tc>
          <w:tcPr>
            <w:tcW w:w="3890" w:type="pct"/>
            <w:gridSpan w:val="3"/>
            <w:tcMar>
              <w:top w:w="0" w:type="dxa"/>
              <w:left w:w="86" w:type="dxa"/>
              <w:bottom w:w="43" w:type="dxa"/>
              <w:right w:w="86" w:type="dxa"/>
            </w:tcMar>
          </w:tcPr>
          <w:p w14:paraId="6FD2A93E" w14:textId="77777777" w:rsidR="004054A3" w:rsidRPr="005D4222" w:rsidRDefault="004054A3">
            <w:pPr>
              <w:pStyle w:val="ECDSBody"/>
            </w:pPr>
            <w:r w:rsidRPr="005D4222">
              <w:t>American Diabetes Association (2025)</w:t>
            </w:r>
          </w:p>
          <w:p w14:paraId="7FB39400" w14:textId="77777777" w:rsidR="004054A3" w:rsidRPr="005D4222" w:rsidRDefault="004054A3" w:rsidP="004054A3">
            <w:pPr>
              <w:pStyle w:val="Bullet"/>
              <w:numPr>
                <w:ilvl w:val="0"/>
                <w:numId w:val="4"/>
              </w:numPr>
              <w:tabs>
                <w:tab w:val="left" w:pos="360"/>
                <w:tab w:val="left" w:pos="576"/>
              </w:tabs>
              <w:ind w:left="576" w:hanging="216"/>
            </w:pPr>
            <w:r w:rsidRPr="005D4222">
              <w:t>Assess kidney function (i.e., spot urine albumin-to-creatinine ratio [UACR]) and estimated glomerular filtration rate [eGFR] in people with type 1 diabetes with duration of ≥5 years and in all people with type 2 diabetes regardless of treatment. Level of evidence: B</w:t>
            </w:r>
          </w:p>
          <w:p w14:paraId="2741B42B" w14:textId="77777777" w:rsidR="004054A3" w:rsidRPr="005D4222" w:rsidRDefault="004054A3">
            <w:pPr>
              <w:pStyle w:val="ECDSBody"/>
            </w:pPr>
            <w:r w:rsidRPr="005D4222">
              <w:t>National Kidney Foundation (2007, updated 2012)</w:t>
            </w:r>
          </w:p>
          <w:p w14:paraId="1EA9AC51" w14:textId="77777777" w:rsidR="004054A3" w:rsidRPr="005D4222" w:rsidRDefault="004054A3" w:rsidP="004054A3">
            <w:pPr>
              <w:pStyle w:val="Bullet"/>
              <w:numPr>
                <w:ilvl w:val="0"/>
                <w:numId w:val="4"/>
              </w:numPr>
              <w:tabs>
                <w:tab w:val="left" w:pos="360"/>
                <w:tab w:val="left" w:pos="576"/>
              </w:tabs>
              <w:ind w:left="576" w:hanging="216"/>
            </w:pPr>
            <w:r w:rsidRPr="005D4222">
              <w:t>Patients with diabetes should be screened annually for diabetic kidney disease. Initial screening should commence:</w:t>
            </w:r>
          </w:p>
          <w:p w14:paraId="6E4458F8" w14:textId="77777777" w:rsidR="004054A3" w:rsidRPr="005D4222" w:rsidRDefault="004054A3" w:rsidP="004054A3">
            <w:pPr>
              <w:pStyle w:val="Dash"/>
              <w:tabs>
                <w:tab w:val="left" w:pos="576"/>
                <w:tab w:val="left" w:pos="792"/>
              </w:tabs>
              <w:rPr>
                <w:b/>
                <w:bCs/>
                <w:i/>
                <w:iCs/>
              </w:rPr>
            </w:pPr>
            <w:r w:rsidRPr="005D4222">
              <w:t xml:space="preserve">5 years after the diagnosis of Type 1 diabetes. Grade of evidence: A; </w:t>
            </w:r>
            <w:r w:rsidRPr="005D4222">
              <w:rPr>
                <w:b/>
                <w:bCs/>
                <w:i/>
                <w:iCs/>
              </w:rPr>
              <w:t>or</w:t>
            </w:r>
          </w:p>
          <w:p w14:paraId="4F160F1D" w14:textId="77777777" w:rsidR="004054A3" w:rsidRPr="005D4222" w:rsidRDefault="004054A3" w:rsidP="004054A3">
            <w:pPr>
              <w:pStyle w:val="Dash"/>
              <w:tabs>
                <w:tab w:val="left" w:pos="576"/>
                <w:tab w:val="left" w:pos="792"/>
              </w:tabs>
            </w:pPr>
            <w:r w:rsidRPr="005D4222">
              <w:t>From diagnosis of Type 2 diabetes. Grade of evidence: B</w:t>
            </w:r>
          </w:p>
          <w:p w14:paraId="1C4EB077" w14:textId="77777777" w:rsidR="004054A3" w:rsidRPr="005D4222" w:rsidRDefault="004054A3" w:rsidP="004054A3">
            <w:pPr>
              <w:pStyle w:val="Bullet"/>
              <w:numPr>
                <w:ilvl w:val="0"/>
                <w:numId w:val="4"/>
              </w:numPr>
              <w:tabs>
                <w:tab w:val="left" w:pos="360"/>
                <w:tab w:val="left" w:pos="576"/>
              </w:tabs>
              <w:ind w:left="576" w:hanging="216"/>
            </w:pPr>
            <w:r w:rsidRPr="005D4222">
              <w:t>Screening should include:</w:t>
            </w:r>
          </w:p>
          <w:p w14:paraId="11D49269" w14:textId="77777777" w:rsidR="004054A3" w:rsidRPr="005D4222" w:rsidRDefault="004054A3" w:rsidP="004054A3">
            <w:pPr>
              <w:pStyle w:val="Dash"/>
              <w:tabs>
                <w:tab w:val="left" w:pos="576"/>
                <w:tab w:val="left" w:pos="792"/>
              </w:tabs>
            </w:pPr>
            <w:r w:rsidRPr="005D4222">
              <w:t>Measurement of urinary albumin-creatinine ratio (ACR) in a spot urine sample. Grade of evidence: B</w:t>
            </w:r>
          </w:p>
          <w:p w14:paraId="23017D12" w14:textId="77777777" w:rsidR="004054A3" w:rsidRPr="005D4222" w:rsidRDefault="004054A3" w:rsidP="004054A3">
            <w:pPr>
              <w:pStyle w:val="Dash"/>
              <w:tabs>
                <w:tab w:val="left" w:pos="576"/>
                <w:tab w:val="left" w:pos="792"/>
              </w:tabs>
            </w:pPr>
            <w:r w:rsidRPr="005D4222">
              <w:t>Measurement of serum creatinine and estimation of GFR. Grade of evidence: B</w:t>
            </w:r>
          </w:p>
          <w:p w14:paraId="0B27D47D" w14:textId="77777777" w:rsidR="004054A3" w:rsidRPr="005D4222" w:rsidRDefault="004054A3">
            <w:pPr>
              <w:pStyle w:val="ECDSBody"/>
            </w:pPr>
            <w:r w:rsidRPr="005D4222">
              <w:t>For adults with diabetes, guidelines recommend measuring both albumin and creatinine simultaneously from a random spot urine sample to assess albumin-to-creatinine ratio (uACR). The intent of the measure is to align with this recommendation even if separate billing codes are used for urine albumin and urine creatinine.</w:t>
            </w:r>
          </w:p>
        </w:tc>
      </w:tr>
      <w:tr w:rsidR="004054A3" w:rsidRPr="005D4222" w14:paraId="4B217FC0" w14:textId="77777777" w:rsidTr="007836D1">
        <w:tc>
          <w:tcPr>
            <w:tcW w:w="1110" w:type="pct"/>
            <w:shd w:val="clear" w:color="auto" w:fill="BFBFBF" w:themeFill="background1" w:themeFillShade="BF"/>
            <w:tcMar>
              <w:top w:w="0" w:type="dxa"/>
              <w:left w:w="86" w:type="dxa"/>
              <w:bottom w:w="43" w:type="dxa"/>
              <w:right w:w="86" w:type="dxa"/>
            </w:tcMar>
          </w:tcPr>
          <w:p w14:paraId="75FC3D08" w14:textId="77777777" w:rsidR="004054A3" w:rsidRPr="005D4222" w:rsidRDefault="004054A3">
            <w:pPr>
              <w:pStyle w:val="ECDSMarginHead"/>
            </w:pPr>
            <w:r w:rsidRPr="005D4222">
              <w:t>Citations</w:t>
            </w:r>
          </w:p>
        </w:tc>
        <w:tc>
          <w:tcPr>
            <w:tcW w:w="3890" w:type="pct"/>
            <w:gridSpan w:val="3"/>
            <w:tcMar>
              <w:top w:w="0" w:type="dxa"/>
              <w:left w:w="86" w:type="dxa"/>
              <w:bottom w:w="43" w:type="dxa"/>
              <w:right w:w="86" w:type="dxa"/>
            </w:tcMar>
          </w:tcPr>
          <w:p w14:paraId="68BE457A" w14:textId="77777777" w:rsidR="004054A3" w:rsidRPr="005D4222" w:rsidRDefault="004054A3">
            <w:pPr>
              <w:pStyle w:val="ECDSBody"/>
            </w:pPr>
            <w:r w:rsidRPr="005D4222">
              <w:t xml:space="preserve">American Diabetes Association Professional Practice Committee. 2025. </w:t>
            </w:r>
            <w:r w:rsidRPr="005D4222">
              <w:br/>
              <w:t xml:space="preserve">“11. Chronic Kidney Disease and Risk Management: Standards of Care in Diabetes—2025.” </w:t>
            </w:r>
            <w:r w:rsidRPr="005D4222">
              <w:rPr>
                <w:i/>
                <w:iCs/>
              </w:rPr>
              <w:t xml:space="preserve">Diabetes Care </w:t>
            </w:r>
            <w:r w:rsidRPr="005D4222">
              <w:t xml:space="preserve">48(Suppl. 1):S239–51. </w:t>
            </w:r>
          </w:p>
          <w:p w14:paraId="667C56F9" w14:textId="77777777" w:rsidR="004054A3" w:rsidRPr="005D4222" w:rsidRDefault="004054A3" w:rsidP="007836D1">
            <w:pPr>
              <w:pStyle w:val="ECDSBody"/>
              <w:spacing w:before="180"/>
            </w:pPr>
            <w:r w:rsidRPr="005D4222">
              <w:lastRenderedPageBreak/>
              <w:t xml:space="preserve">National Kidney Foundation. 2012. “KDOQI Clinical Practice Guideline for Diabetes and CKD: 2012 Update.” </w:t>
            </w:r>
            <w:r w:rsidRPr="005D4222">
              <w:rPr>
                <w:i/>
                <w:iCs/>
              </w:rPr>
              <w:t>Am J Kidney Dis</w:t>
            </w:r>
            <w:r w:rsidRPr="005D4222">
              <w:t xml:space="preserve"> 60(5):850–86. http://dx.doi.org/10.1053/j.ajkd.2012.07.005 </w:t>
            </w:r>
          </w:p>
        </w:tc>
      </w:tr>
      <w:tr w:rsidR="004054A3" w:rsidRPr="005D4222" w14:paraId="1DDB0453" w14:textId="77777777" w:rsidTr="007836D1">
        <w:tc>
          <w:tcPr>
            <w:tcW w:w="5000" w:type="pct"/>
            <w:gridSpan w:val="4"/>
            <w:tcBorders>
              <w:bottom w:val="single" w:sz="4" w:space="0" w:color="auto"/>
            </w:tcBorders>
            <w:shd w:val="clear" w:color="auto" w:fill="BFBFBF" w:themeFill="background1" w:themeFillShade="BF"/>
            <w:tcMar>
              <w:top w:w="0" w:type="dxa"/>
              <w:left w:w="86" w:type="dxa"/>
              <w:bottom w:w="43" w:type="dxa"/>
              <w:right w:w="86" w:type="dxa"/>
            </w:tcMar>
          </w:tcPr>
          <w:p w14:paraId="5F2EB4CD" w14:textId="77777777" w:rsidR="004054A3" w:rsidRPr="005D4222" w:rsidRDefault="004054A3">
            <w:pPr>
              <w:pStyle w:val="MarginHead"/>
            </w:pPr>
            <w:r w:rsidRPr="005D4222">
              <w:lastRenderedPageBreak/>
              <w:t>Characteristics</w:t>
            </w:r>
          </w:p>
        </w:tc>
      </w:tr>
      <w:tr w:rsidR="004054A3" w:rsidRPr="005D4222" w14:paraId="28912115" w14:textId="77777777" w:rsidTr="007836D1">
        <w:tc>
          <w:tcPr>
            <w:tcW w:w="1110" w:type="pct"/>
            <w:tcBorders>
              <w:top w:val="single" w:sz="4" w:space="0" w:color="auto"/>
              <w:left w:val="single" w:sz="4" w:space="0" w:color="auto"/>
              <w:bottom w:val="nil"/>
              <w:right w:val="single" w:sz="4" w:space="0" w:color="auto"/>
            </w:tcBorders>
            <w:tcMar>
              <w:top w:w="0" w:type="dxa"/>
              <w:left w:w="86" w:type="dxa"/>
              <w:bottom w:w="43" w:type="dxa"/>
              <w:right w:w="86" w:type="dxa"/>
            </w:tcMar>
          </w:tcPr>
          <w:p w14:paraId="7641B48C" w14:textId="77777777" w:rsidR="004054A3" w:rsidRPr="005D4222" w:rsidRDefault="004054A3" w:rsidP="00C1466E">
            <w:pPr>
              <w:pStyle w:val="ECDSMarginSubhead"/>
              <w:spacing w:after="0"/>
            </w:pPr>
            <w:r w:rsidRPr="005D4222">
              <w:t>Scoring</w:t>
            </w:r>
          </w:p>
        </w:tc>
        <w:tc>
          <w:tcPr>
            <w:tcW w:w="3890" w:type="pct"/>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51B85B3D" w14:textId="77777777" w:rsidR="004054A3" w:rsidRPr="005D4222" w:rsidRDefault="004054A3">
            <w:pPr>
              <w:pStyle w:val="ECDSBody"/>
              <w:spacing w:after="0"/>
            </w:pPr>
            <w:r w:rsidRPr="005D4222">
              <w:t>Proportion.</w:t>
            </w:r>
          </w:p>
        </w:tc>
      </w:tr>
      <w:tr w:rsidR="004054A3" w:rsidRPr="005D4222" w14:paraId="1E0E72F2" w14:textId="77777777" w:rsidTr="007836D1">
        <w:tc>
          <w:tcPr>
            <w:tcW w:w="1110" w:type="pct"/>
            <w:tcBorders>
              <w:top w:val="nil"/>
              <w:left w:val="single" w:sz="4" w:space="0" w:color="auto"/>
              <w:bottom w:val="nil"/>
              <w:right w:val="single" w:sz="4" w:space="0" w:color="auto"/>
            </w:tcBorders>
            <w:tcMar>
              <w:top w:w="0" w:type="dxa"/>
              <w:left w:w="86" w:type="dxa"/>
              <w:bottom w:w="43" w:type="dxa"/>
              <w:right w:w="86" w:type="dxa"/>
            </w:tcMar>
          </w:tcPr>
          <w:p w14:paraId="62AEE803" w14:textId="77777777" w:rsidR="004054A3" w:rsidRPr="005D4222" w:rsidRDefault="004054A3" w:rsidP="00C1466E">
            <w:pPr>
              <w:pStyle w:val="ECDSMarginSubhead"/>
              <w:spacing w:after="0"/>
            </w:pPr>
            <w:r w:rsidRPr="005D4222">
              <w:t>Type</w:t>
            </w:r>
          </w:p>
        </w:tc>
        <w:tc>
          <w:tcPr>
            <w:tcW w:w="3890" w:type="pct"/>
            <w:gridSpan w:val="3"/>
            <w:tcBorders>
              <w:top w:val="nil"/>
              <w:left w:val="single" w:sz="4" w:space="0" w:color="auto"/>
              <w:bottom w:val="nil"/>
              <w:right w:val="single" w:sz="4" w:space="0" w:color="auto"/>
            </w:tcBorders>
            <w:tcMar>
              <w:top w:w="0" w:type="dxa"/>
              <w:left w:w="86" w:type="dxa"/>
              <w:bottom w:w="43" w:type="dxa"/>
              <w:right w:w="86" w:type="dxa"/>
            </w:tcMar>
          </w:tcPr>
          <w:p w14:paraId="6B079C92" w14:textId="77777777" w:rsidR="004054A3" w:rsidRPr="005D4222" w:rsidRDefault="004054A3">
            <w:pPr>
              <w:pStyle w:val="ECDSBody"/>
              <w:spacing w:after="0"/>
            </w:pPr>
            <w:r w:rsidRPr="005D4222">
              <w:t>Process.</w:t>
            </w:r>
          </w:p>
        </w:tc>
      </w:tr>
      <w:tr w:rsidR="004054A3" w:rsidRPr="005D4222" w14:paraId="5A7C833E" w14:textId="77777777" w:rsidTr="007836D1">
        <w:tc>
          <w:tcPr>
            <w:tcW w:w="1110" w:type="pct"/>
            <w:tcBorders>
              <w:top w:val="nil"/>
              <w:left w:val="single" w:sz="4" w:space="0" w:color="auto"/>
              <w:bottom w:val="nil"/>
              <w:right w:val="single" w:sz="4" w:space="0" w:color="auto"/>
            </w:tcBorders>
            <w:tcMar>
              <w:top w:w="0" w:type="dxa"/>
              <w:left w:w="86" w:type="dxa"/>
              <w:bottom w:w="43" w:type="dxa"/>
              <w:right w:w="86" w:type="dxa"/>
            </w:tcMar>
          </w:tcPr>
          <w:p w14:paraId="2B5C6297" w14:textId="1B4A2102" w:rsidR="004054A3" w:rsidRPr="005D4222" w:rsidRDefault="00B51CDC">
            <w:pPr>
              <w:pStyle w:val="ECDSMarginSubhead"/>
            </w:pPr>
            <w:r w:rsidRPr="005D4222">
              <w:t>Product lines</w:t>
            </w:r>
          </w:p>
        </w:tc>
        <w:tc>
          <w:tcPr>
            <w:tcW w:w="3890" w:type="pct"/>
            <w:gridSpan w:val="3"/>
            <w:tcBorders>
              <w:top w:val="nil"/>
              <w:left w:val="single" w:sz="4" w:space="0" w:color="auto"/>
              <w:bottom w:val="nil"/>
              <w:right w:val="single" w:sz="4" w:space="0" w:color="auto"/>
            </w:tcBorders>
            <w:tcMar>
              <w:top w:w="0" w:type="dxa"/>
              <w:left w:w="86" w:type="dxa"/>
              <w:bottom w:w="43" w:type="dxa"/>
              <w:right w:w="86" w:type="dxa"/>
            </w:tcMar>
          </w:tcPr>
          <w:p w14:paraId="123F08EF" w14:textId="77777777" w:rsidR="004054A3" w:rsidRPr="005D4222" w:rsidRDefault="004054A3" w:rsidP="004054A3">
            <w:pPr>
              <w:pStyle w:val="ProcessBullet"/>
              <w:numPr>
                <w:ilvl w:val="0"/>
                <w:numId w:val="47"/>
              </w:numPr>
              <w:tabs>
                <w:tab w:val="left" w:pos="216"/>
              </w:tabs>
              <w:spacing w:before="120"/>
              <w:ind w:left="216" w:hanging="216"/>
              <w:rPr>
                <w:rFonts w:eastAsia="Arial,Arial,Arial,Arial,Arial,A"/>
              </w:rPr>
            </w:pPr>
            <w:r w:rsidRPr="005D4222">
              <w:rPr>
                <w:rFonts w:eastAsia="Arial,Arial,Arial,Arial,Arial,A"/>
              </w:rPr>
              <w:t>Commercial.</w:t>
            </w:r>
          </w:p>
          <w:p w14:paraId="174676A5" w14:textId="77777777" w:rsidR="004054A3" w:rsidRPr="005D4222" w:rsidRDefault="004054A3" w:rsidP="004054A3">
            <w:pPr>
              <w:pStyle w:val="ProcessBullet"/>
              <w:numPr>
                <w:ilvl w:val="0"/>
                <w:numId w:val="47"/>
              </w:numPr>
              <w:tabs>
                <w:tab w:val="left" w:pos="216"/>
              </w:tabs>
              <w:ind w:left="216" w:hanging="216"/>
              <w:rPr>
                <w:rFonts w:eastAsia="Arial,Arial,Arial,Arial,Arial,A"/>
              </w:rPr>
            </w:pPr>
            <w:r w:rsidRPr="005D4222">
              <w:rPr>
                <w:rFonts w:eastAsia="Arial,Arial,Arial,Arial,Arial,A"/>
              </w:rPr>
              <w:t>Medicaid.</w:t>
            </w:r>
          </w:p>
          <w:p w14:paraId="054245CD" w14:textId="77777777" w:rsidR="004054A3" w:rsidRPr="005D4222" w:rsidRDefault="004054A3" w:rsidP="004054A3">
            <w:pPr>
              <w:pStyle w:val="ProcessBullet"/>
              <w:numPr>
                <w:ilvl w:val="0"/>
                <w:numId w:val="47"/>
              </w:numPr>
              <w:tabs>
                <w:tab w:val="left" w:pos="216"/>
              </w:tabs>
              <w:ind w:left="216" w:hanging="216"/>
              <w:rPr>
                <w:rFonts w:eastAsia="Arial,Arial,Arial,Arial,Arial,A"/>
              </w:rPr>
            </w:pPr>
            <w:r w:rsidRPr="005D4222">
              <w:rPr>
                <w:rFonts w:eastAsia="Arial,Arial,Arial,Arial,Arial,A"/>
              </w:rPr>
              <w:t>Medicare.</w:t>
            </w:r>
          </w:p>
        </w:tc>
      </w:tr>
      <w:tr w:rsidR="004054A3" w:rsidRPr="005D4222" w14:paraId="12DFFAAA" w14:textId="77777777" w:rsidTr="007836D1">
        <w:tc>
          <w:tcPr>
            <w:tcW w:w="1110" w:type="pct"/>
            <w:tcBorders>
              <w:top w:val="nil"/>
              <w:left w:val="single" w:sz="4" w:space="0" w:color="auto"/>
              <w:bottom w:val="nil"/>
              <w:right w:val="single" w:sz="4" w:space="0" w:color="auto"/>
            </w:tcBorders>
            <w:tcMar>
              <w:top w:w="0" w:type="dxa"/>
              <w:left w:w="86" w:type="dxa"/>
              <w:bottom w:w="43" w:type="dxa"/>
              <w:right w:w="86" w:type="dxa"/>
            </w:tcMar>
          </w:tcPr>
          <w:p w14:paraId="75C3BD15" w14:textId="323F6F37" w:rsidR="004054A3" w:rsidRPr="005D4222" w:rsidRDefault="00B51CDC">
            <w:pPr>
              <w:pStyle w:val="ECDSMarginSubhead"/>
            </w:pPr>
            <w:r w:rsidRPr="005D4222">
              <w:t>Stratifications</w:t>
            </w:r>
            <w:r w:rsidR="004054A3" w:rsidRPr="005D4222">
              <w:t xml:space="preserve"> </w:t>
            </w:r>
          </w:p>
        </w:tc>
        <w:tc>
          <w:tcPr>
            <w:tcW w:w="3890" w:type="pct"/>
            <w:gridSpan w:val="3"/>
            <w:tcBorders>
              <w:top w:val="nil"/>
              <w:left w:val="single" w:sz="4" w:space="0" w:color="auto"/>
              <w:bottom w:val="nil"/>
              <w:right w:val="single" w:sz="4" w:space="0" w:color="auto"/>
            </w:tcBorders>
            <w:tcMar>
              <w:top w:w="0" w:type="dxa"/>
              <w:left w:w="86" w:type="dxa"/>
              <w:bottom w:w="43" w:type="dxa"/>
              <w:right w:w="86" w:type="dxa"/>
            </w:tcMar>
            <w:hideMark/>
          </w:tcPr>
          <w:p w14:paraId="7139CD7B" w14:textId="77777777" w:rsidR="004054A3" w:rsidRPr="005D4222" w:rsidRDefault="004054A3">
            <w:pPr>
              <w:pStyle w:val="ECDSBody"/>
            </w:pPr>
            <w:r w:rsidRPr="005D4222">
              <w:t>Age as of the last day of the measurement period.</w:t>
            </w:r>
          </w:p>
          <w:p w14:paraId="518CD574" w14:textId="77777777" w:rsidR="004054A3" w:rsidRPr="005D4222" w:rsidRDefault="004054A3" w:rsidP="004054A3">
            <w:pPr>
              <w:pStyle w:val="Bullet"/>
              <w:numPr>
                <w:ilvl w:val="0"/>
                <w:numId w:val="4"/>
              </w:numPr>
              <w:tabs>
                <w:tab w:val="left" w:pos="360"/>
                <w:tab w:val="left" w:pos="576"/>
              </w:tabs>
              <w:ind w:left="576" w:hanging="216"/>
            </w:pPr>
            <w:r w:rsidRPr="005D4222">
              <w:t>18–64 years.</w:t>
            </w:r>
          </w:p>
          <w:p w14:paraId="22E5A107" w14:textId="77777777" w:rsidR="004054A3" w:rsidRPr="005D4222" w:rsidRDefault="004054A3" w:rsidP="004054A3">
            <w:pPr>
              <w:pStyle w:val="Bullet"/>
              <w:numPr>
                <w:ilvl w:val="0"/>
                <w:numId w:val="4"/>
              </w:numPr>
              <w:tabs>
                <w:tab w:val="left" w:pos="360"/>
                <w:tab w:val="left" w:pos="576"/>
              </w:tabs>
              <w:ind w:left="576" w:hanging="216"/>
            </w:pPr>
            <w:r w:rsidRPr="005D4222">
              <w:t>65–75 years.</w:t>
            </w:r>
          </w:p>
          <w:p w14:paraId="5E5F53DF" w14:textId="77777777" w:rsidR="004054A3" w:rsidRPr="005D4222" w:rsidRDefault="004054A3" w:rsidP="004054A3">
            <w:pPr>
              <w:pStyle w:val="Bullet"/>
              <w:numPr>
                <w:ilvl w:val="0"/>
                <w:numId w:val="4"/>
              </w:numPr>
              <w:tabs>
                <w:tab w:val="left" w:pos="360"/>
                <w:tab w:val="left" w:pos="576"/>
              </w:tabs>
              <w:ind w:left="576" w:hanging="216"/>
            </w:pPr>
            <w:r w:rsidRPr="005D4222">
              <w:t>76–85 years.</w:t>
            </w:r>
          </w:p>
          <w:p w14:paraId="0A21730C" w14:textId="79D150CD" w:rsidR="004054A3" w:rsidRPr="005D4222" w:rsidRDefault="004054A3">
            <w:pPr>
              <w:pStyle w:val="ECDSBody"/>
            </w:pPr>
            <w:r w:rsidRPr="005D4222">
              <w:rPr>
                <w:iCs/>
              </w:rPr>
              <w:t>Race. (</w:t>
            </w:r>
            <w:r w:rsidRPr="005D4222">
              <w:t xml:space="preserve">Refer to </w:t>
            </w:r>
            <w:hyperlink w:anchor="GG_Race_and_Ethnicity" w:history="1">
              <w:r w:rsidRPr="005D4222">
                <w:rPr>
                  <w:rStyle w:val="Hyperlink"/>
                  <w:i/>
                  <w:iCs/>
                </w:rPr>
                <w:t>General Guideline: Race and Ethnicity Stratification</w:t>
              </w:r>
            </w:hyperlink>
            <w:r w:rsidRPr="005D4222">
              <w:rPr>
                <w:i/>
                <w:iCs/>
              </w:rPr>
              <w:t>.</w:t>
            </w:r>
            <w:r w:rsidRPr="005D4222">
              <w:t>)</w:t>
            </w:r>
          </w:p>
          <w:p w14:paraId="40474F74" w14:textId="77777777" w:rsidR="004054A3" w:rsidRPr="005D4222" w:rsidRDefault="004054A3" w:rsidP="004054A3">
            <w:pPr>
              <w:pStyle w:val="Bullet"/>
              <w:numPr>
                <w:ilvl w:val="0"/>
                <w:numId w:val="4"/>
              </w:numPr>
              <w:tabs>
                <w:tab w:val="left" w:pos="360"/>
                <w:tab w:val="left" w:pos="576"/>
              </w:tabs>
              <w:ind w:left="576" w:hanging="216"/>
            </w:pPr>
            <w:r w:rsidRPr="005D4222">
              <w:t>American Indian or Alaska Native.</w:t>
            </w:r>
          </w:p>
          <w:p w14:paraId="0ABFE28C" w14:textId="77777777" w:rsidR="004054A3" w:rsidRPr="005D4222" w:rsidRDefault="004054A3" w:rsidP="004054A3">
            <w:pPr>
              <w:pStyle w:val="Bullet"/>
              <w:numPr>
                <w:ilvl w:val="0"/>
                <w:numId w:val="4"/>
              </w:numPr>
              <w:tabs>
                <w:tab w:val="left" w:pos="360"/>
                <w:tab w:val="left" w:pos="576"/>
              </w:tabs>
              <w:ind w:left="576" w:hanging="216"/>
            </w:pPr>
            <w:r w:rsidRPr="005D4222">
              <w:t>Asian.</w:t>
            </w:r>
          </w:p>
          <w:p w14:paraId="7E62BA52" w14:textId="77777777" w:rsidR="004054A3" w:rsidRPr="005D4222" w:rsidRDefault="004054A3" w:rsidP="004054A3">
            <w:pPr>
              <w:pStyle w:val="Bullet"/>
              <w:numPr>
                <w:ilvl w:val="0"/>
                <w:numId w:val="4"/>
              </w:numPr>
              <w:tabs>
                <w:tab w:val="left" w:pos="360"/>
                <w:tab w:val="left" w:pos="576"/>
              </w:tabs>
              <w:ind w:left="576" w:hanging="216"/>
            </w:pPr>
            <w:r w:rsidRPr="005D4222">
              <w:t>Black or African American.</w:t>
            </w:r>
          </w:p>
          <w:p w14:paraId="2C92D519" w14:textId="77777777" w:rsidR="004054A3" w:rsidRPr="005D4222" w:rsidRDefault="004054A3" w:rsidP="004054A3">
            <w:pPr>
              <w:pStyle w:val="Bullet"/>
              <w:numPr>
                <w:ilvl w:val="0"/>
                <w:numId w:val="4"/>
              </w:numPr>
              <w:tabs>
                <w:tab w:val="left" w:pos="360"/>
                <w:tab w:val="left" w:pos="576"/>
              </w:tabs>
              <w:ind w:left="576" w:hanging="216"/>
            </w:pPr>
            <w:r w:rsidRPr="005D4222">
              <w:t>Middle Eastern or North African.</w:t>
            </w:r>
          </w:p>
          <w:p w14:paraId="1805FCEC" w14:textId="77777777" w:rsidR="004054A3" w:rsidRPr="005D4222" w:rsidRDefault="004054A3" w:rsidP="004054A3">
            <w:pPr>
              <w:pStyle w:val="Bullet"/>
              <w:numPr>
                <w:ilvl w:val="0"/>
                <w:numId w:val="4"/>
              </w:numPr>
              <w:tabs>
                <w:tab w:val="left" w:pos="360"/>
                <w:tab w:val="left" w:pos="576"/>
              </w:tabs>
              <w:ind w:left="576" w:hanging="216"/>
            </w:pPr>
            <w:r w:rsidRPr="005D4222">
              <w:t>Native Hawaiian or Pacific Islander.</w:t>
            </w:r>
          </w:p>
          <w:p w14:paraId="38C49F3C" w14:textId="77777777" w:rsidR="004054A3" w:rsidRPr="005D4222" w:rsidRDefault="004054A3" w:rsidP="004054A3">
            <w:pPr>
              <w:pStyle w:val="Bullet"/>
              <w:numPr>
                <w:ilvl w:val="0"/>
                <w:numId w:val="4"/>
              </w:numPr>
              <w:tabs>
                <w:tab w:val="left" w:pos="360"/>
                <w:tab w:val="left" w:pos="576"/>
              </w:tabs>
              <w:ind w:left="576" w:hanging="216"/>
            </w:pPr>
            <w:r w:rsidRPr="005D4222">
              <w:t>White.</w:t>
            </w:r>
          </w:p>
          <w:p w14:paraId="6A1D8ECC" w14:textId="77777777" w:rsidR="004054A3" w:rsidRPr="005D4222" w:rsidRDefault="004054A3" w:rsidP="004054A3">
            <w:pPr>
              <w:pStyle w:val="Bullet"/>
              <w:numPr>
                <w:ilvl w:val="0"/>
                <w:numId w:val="4"/>
              </w:numPr>
              <w:tabs>
                <w:tab w:val="left" w:pos="360"/>
                <w:tab w:val="left" w:pos="576"/>
              </w:tabs>
              <w:ind w:left="576" w:hanging="216"/>
            </w:pPr>
            <w:r w:rsidRPr="005D4222">
              <w:t>Some Other Race.</w:t>
            </w:r>
          </w:p>
          <w:p w14:paraId="0AFC0553" w14:textId="77777777" w:rsidR="004054A3" w:rsidRPr="005D4222" w:rsidRDefault="004054A3" w:rsidP="004054A3">
            <w:pPr>
              <w:pStyle w:val="Bullet"/>
              <w:numPr>
                <w:ilvl w:val="0"/>
                <w:numId w:val="4"/>
              </w:numPr>
              <w:tabs>
                <w:tab w:val="left" w:pos="360"/>
                <w:tab w:val="left" w:pos="576"/>
              </w:tabs>
              <w:ind w:left="576" w:hanging="216"/>
            </w:pPr>
            <w:r w:rsidRPr="005D4222">
              <w:t>Two or More Races.</w:t>
            </w:r>
          </w:p>
          <w:p w14:paraId="0164F322" w14:textId="77777777" w:rsidR="004054A3" w:rsidRPr="005D4222" w:rsidRDefault="004054A3" w:rsidP="004054A3">
            <w:pPr>
              <w:pStyle w:val="Bullet"/>
              <w:numPr>
                <w:ilvl w:val="0"/>
                <w:numId w:val="4"/>
              </w:numPr>
              <w:tabs>
                <w:tab w:val="left" w:pos="360"/>
                <w:tab w:val="left" w:pos="576"/>
              </w:tabs>
              <w:ind w:left="576" w:hanging="216"/>
            </w:pPr>
            <w:r w:rsidRPr="005D4222">
              <w:t>Asked But No Answer.</w:t>
            </w:r>
          </w:p>
          <w:p w14:paraId="18D018C0" w14:textId="77777777" w:rsidR="004054A3" w:rsidRPr="005D4222" w:rsidRDefault="004054A3" w:rsidP="004054A3">
            <w:pPr>
              <w:pStyle w:val="Bullet"/>
              <w:numPr>
                <w:ilvl w:val="0"/>
                <w:numId w:val="4"/>
              </w:numPr>
              <w:tabs>
                <w:tab w:val="left" w:pos="360"/>
                <w:tab w:val="left" w:pos="576"/>
              </w:tabs>
              <w:ind w:left="576" w:hanging="216"/>
            </w:pPr>
            <w:r w:rsidRPr="005D4222">
              <w:t>Unknown.</w:t>
            </w:r>
          </w:p>
          <w:p w14:paraId="0252367A" w14:textId="4E53A194" w:rsidR="004054A3" w:rsidRPr="005D4222" w:rsidRDefault="004054A3">
            <w:pPr>
              <w:pStyle w:val="ECDSBody"/>
            </w:pPr>
            <w:r w:rsidRPr="005D4222">
              <w:rPr>
                <w:iCs/>
              </w:rPr>
              <w:t>Ethnicity. (</w:t>
            </w:r>
            <w:r w:rsidRPr="005D4222">
              <w:t xml:space="preserve">Refer to </w:t>
            </w:r>
            <w:hyperlink w:anchor="GG_Race_and_Ethnicity" w:history="1">
              <w:r w:rsidRPr="005D4222">
                <w:rPr>
                  <w:rStyle w:val="Hyperlink"/>
                  <w:i/>
                  <w:iCs/>
                </w:rPr>
                <w:t>General Guideline: Race and Ethnicity Stratification</w:t>
              </w:r>
            </w:hyperlink>
            <w:r w:rsidRPr="005D4222">
              <w:rPr>
                <w:i/>
                <w:iCs/>
              </w:rPr>
              <w:t>.</w:t>
            </w:r>
            <w:r w:rsidRPr="005D4222">
              <w:t>)</w:t>
            </w:r>
          </w:p>
          <w:p w14:paraId="27009231" w14:textId="77777777" w:rsidR="004054A3" w:rsidRPr="005D4222" w:rsidRDefault="004054A3" w:rsidP="004054A3">
            <w:pPr>
              <w:pStyle w:val="Bullet"/>
              <w:numPr>
                <w:ilvl w:val="0"/>
                <w:numId w:val="4"/>
              </w:numPr>
              <w:tabs>
                <w:tab w:val="left" w:pos="360"/>
                <w:tab w:val="left" w:pos="576"/>
              </w:tabs>
              <w:ind w:left="576" w:hanging="216"/>
            </w:pPr>
            <w:r w:rsidRPr="005D4222">
              <w:t>Hispanic or Latino.</w:t>
            </w:r>
          </w:p>
          <w:p w14:paraId="5BF535E9" w14:textId="77777777" w:rsidR="004054A3" w:rsidRPr="005D4222" w:rsidRDefault="004054A3" w:rsidP="004054A3">
            <w:pPr>
              <w:pStyle w:val="Bullet"/>
              <w:numPr>
                <w:ilvl w:val="0"/>
                <w:numId w:val="4"/>
              </w:numPr>
              <w:tabs>
                <w:tab w:val="left" w:pos="360"/>
                <w:tab w:val="left" w:pos="576"/>
              </w:tabs>
              <w:ind w:left="576" w:hanging="216"/>
            </w:pPr>
            <w:r w:rsidRPr="005D4222">
              <w:t>Not Hispanic or Latino.</w:t>
            </w:r>
          </w:p>
          <w:p w14:paraId="69220525" w14:textId="77777777" w:rsidR="004054A3" w:rsidRPr="005D4222" w:rsidRDefault="004054A3" w:rsidP="004054A3">
            <w:pPr>
              <w:pStyle w:val="Bullet"/>
              <w:numPr>
                <w:ilvl w:val="0"/>
                <w:numId w:val="4"/>
              </w:numPr>
              <w:tabs>
                <w:tab w:val="left" w:pos="360"/>
                <w:tab w:val="left" w:pos="576"/>
              </w:tabs>
              <w:ind w:left="576" w:hanging="216"/>
            </w:pPr>
            <w:r w:rsidRPr="005D4222">
              <w:t>Asked But No Answer.</w:t>
            </w:r>
          </w:p>
          <w:p w14:paraId="592C4856" w14:textId="77777777" w:rsidR="004054A3" w:rsidRPr="005D4222" w:rsidRDefault="004054A3" w:rsidP="004054A3">
            <w:pPr>
              <w:pStyle w:val="Bullet"/>
              <w:numPr>
                <w:ilvl w:val="0"/>
                <w:numId w:val="4"/>
              </w:numPr>
              <w:tabs>
                <w:tab w:val="left" w:pos="360"/>
                <w:tab w:val="left" w:pos="576"/>
              </w:tabs>
              <w:ind w:left="576" w:hanging="216"/>
            </w:pPr>
            <w:r w:rsidRPr="005D4222">
              <w:t>Unknown.</w:t>
            </w:r>
          </w:p>
        </w:tc>
      </w:tr>
      <w:tr w:rsidR="004054A3" w:rsidRPr="005D4222" w14:paraId="21AE5769" w14:textId="77777777" w:rsidTr="007836D1">
        <w:tc>
          <w:tcPr>
            <w:tcW w:w="1110" w:type="pct"/>
            <w:tcBorders>
              <w:top w:val="nil"/>
              <w:left w:val="single" w:sz="4" w:space="0" w:color="auto"/>
              <w:bottom w:val="nil"/>
              <w:right w:val="single" w:sz="4" w:space="0" w:color="auto"/>
            </w:tcBorders>
            <w:tcMar>
              <w:top w:w="0" w:type="dxa"/>
              <w:left w:w="86" w:type="dxa"/>
              <w:bottom w:w="43" w:type="dxa"/>
              <w:right w:w="86" w:type="dxa"/>
            </w:tcMar>
          </w:tcPr>
          <w:p w14:paraId="35A0030E" w14:textId="77777777" w:rsidR="004054A3" w:rsidRPr="005D4222" w:rsidRDefault="004054A3" w:rsidP="00C1466E">
            <w:pPr>
              <w:pStyle w:val="ECDSMarginSubhead"/>
              <w:spacing w:after="0"/>
            </w:pPr>
            <w:r w:rsidRPr="005D4222">
              <w:t>Risk adjustment</w:t>
            </w:r>
          </w:p>
        </w:tc>
        <w:tc>
          <w:tcPr>
            <w:tcW w:w="3890" w:type="pct"/>
            <w:gridSpan w:val="3"/>
            <w:tcBorders>
              <w:top w:val="nil"/>
              <w:left w:val="single" w:sz="4" w:space="0" w:color="auto"/>
              <w:bottom w:val="nil"/>
              <w:right w:val="single" w:sz="4" w:space="0" w:color="auto"/>
            </w:tcBorders>
            <w:tcMar>
              <w:top w:w="0" w:type="dxa"/>
              <w:left w:w="86" w:type="dxa"/>
              <w:bottom w:w="43" w:type="dxa"/>
              <w:right w:w="86" w:type="dxa"/>
            </w:tcMar>
            <w:hideMark/>
          </w:tcPr>
          <w:p w14:paraId="56A20BDF" w14:textId="77777777" w:rsidR="004054A3" w:rsidRPr="005D4222" w:rsidRDefault="004054A3">
            <w:pPr>
              <w:pStyle w:val="ECDSBody"/>
              <w:spacing w:after="0"/>
            </w:pPr>
            <w:r w:rsidRPr="005D4222">
              <w:t>None.</w:t>
            </w:r>
          </w:p>
        </w:tc>
      </w:tr>
      <w:tr w:rsidR="004054A3" w:rsidRPr="005D4222" w14:paraId="2512A3C8" w14:textId="77777777" w:rsidTr="007836D1">
        <w:tc>
          <w:tcPr>
            <w:tcW w:w="1110" w:type="pct"/>
            <w:tcBorders>
              <w:top w:val="nil"/>
              <w:left w:val="single" w:sz="4" w:space="0" w:color="auto"/>
              <w:bottom w:val="nil"/>
              <w:right w:val="single" w:sz="4" w:space="0" w:color="auto"/>
            </w:tcBorders>
            <w:tcMar>
              <w:top w:w="0" w:type="dxa"/>
              <w:left w:w="86" w:type="dxa"/>
              <w:bottom w:w="43" w:type="dxa"/>
              <w:right w:w="86" w:type="dxa"/>
            </w:tcMar>
          </w:tcPr>
          <w:p w14:paraId="385C121D" w14:textId="77777777" w:rsidR="004054A3" w:rsidRPr="005D4222" w:rsidRDefault="004054A3" w:rsidP="00C1466E">
            <w:pPr>
              <w:pStyle w:val="ECDSMarginSubhead"/>
              <w:spacing w:after="0"/>
            </w:pPr>
            <w:r w:rsidRPr="005D4222">
              <w:t>Improvement notation</w:t>
            </w:r>
          </w:p>
        </w:tc>
        <w:tc>
          <w:tcPr>
            <w:tcW w:w="3890" w:type="pct"/>
            <w:gridSpan w:val="3"/>
            <w:tcBorders>
              <w:top w:val="nil"/>
              <w:left w:val="single" w:sz="4" w:space="0" w:color="auto"/>
              <w:bottom w:val="nil"/>
              <w:right w:val="single" w:sz="4" w:space="0" w:color="auto"/>
            </w:tcBorders>
            <w:tcMar>
              <w:top w:w="0" w:type="dxa"/>
              <w:left w:w="86" w:type="dxa"/>
              <w:bottom w:w="43" w:type="dxa"/>
              <w:right w:w="86" w:type="dxa"/>
            </w:tcMar>
            <w:hideMark/>
          </w:tcPr>
          <w:p w14:paraId="3F2FBA80" w14:textId="77777777" w:rsidR="004054A3" w:rsidRPr="005D4222" w:rsidRDefault="004054A3">
            <w:pPr>
              <w:pStyle w:val="ECDSBody"/>
              <w:spacing w:after="0"/>
            </w:pPr>
            <w:r w:rsidRPr="005D4222">
              <w:t>Increased score indicates improvement.</w:t>
            </w:r>
          </w:p>
        </w:tc>
      </w:tr>
      <w:tr w:rsidR="004054A3" w:rsidRPr="005D4222" w14:paraId="7963A9C2" w14:textId="77777777" w:rsidTr="007836D1">
        <w:tc>
          <w:tcPr>
            <w:tcW w:w="1110" w:type="pct"/>
            <w:tcBorders>
              <w:top w:val="nil"/>
              <w:left w:val="single" w:sz="4" w:space="0" w:color="auto"/>
              <w:bottom w:val="single" w:sz="4" w:space="0" w:color="auto"/>
              <w:right w:val="single" w:sz="4" w:space="0" w:color="auto"/>
            </w:tcBorders>
            <w:tcMar>
              <w:top w:w="0" w:type="dxa"/>
              <w:left w:w="86" w:type="dxa"/>
              <w:bottom w:w="43" w:type="dxa"/>
              <w:right w:w="86" w:type="dxa"/>
            </w:tcMar>
          </w:tcPr>
          <w:p w14:paraId="5721FCFB" w14:textId="77777777" w:rsidR="004054A3" w:rsidRPr="005D4222" w:rsidRDefault="004054A3">
            <w:pPr>
              <w:pStyle w:val="ECDSMarginSubhead"/>
            </w:pPr>
            <w:r w:rsidRPr="005D4222">
              <w:t>Guidance</w:t>
            </w:r>
          </w:p>
        </w:tc>
        <w:tc>
          <w:tcPr>
            <w:tcW w:w="3890" w:type="pct"/>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4DF31468" w14:textId="4FBE8E41" w:rsidR="004054A3" w:rsidRPr="005D4222" w:rsidRDefault="004054A3">
            <w:pPr>
              <w:pStyle w:val="ECDSBody"/>
            </w:pPr>
            <w:r w:rsidRPr="005D4222">
              <w:rPr>
                <w:b/>
              </w:rPr>
              <w:t>Data collection methodology:</w:t>
            </w:r>
            <w:r w:rsidRPr="005D4222">
              <w:t xml:space="preserve"> Administrative. Refer to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42275138" w14:textId="7141C52C" w:rsidR="004054A3" w:rsidRPr="005D4222" w:rsidRDefault="004054A3" w:rsidP="007836D1">
            <w:pPr>
              <w:pStyle w:val="ECDSBody"/>
            </w:pPr>
            <w:r w:rsidRPr="005D4222">
              <w:rPr>
                <w:b/>
              </w:rPr>
              <w:t xml:space="preserve">Date specificity: </w:t>
            </w:r>
            <w:r w:rsidRPr="005D4222">
              <w:t>Dates must be specific enough to determine the event occurred in the period being measured.</w:t>
            </w:r>
          </w:p>
        </w:tc>
      </w:tr>
      <w:tr w:rsidR="007836D1" w:rsidRPr="005D4222" w14:paraId="289652FB" w14:textId="77777777" w:rsidTr="007836D1">
        <w:tc>
          <w:tcPr>
            <w:tcW w:w="111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92F2B73" w14:textId="77777777" w:rsidR="007836D1" w:rsidRPr="005D4222" w:rsidRDefault="007836D1">
            <w:pPr>
              <w:pStyle w:val="ECDSMarginSubhead"/>
            </w:pPr>
          </w:p>
        </w:tc>
        <w:tc>
          <w:tcPr>
            <w:tcW w:w="3890" w:type="pct"/>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1A2AB67" w14:textId="3495D58B" w:rsidR="007836D1" w:rsidRPr="005D4222" w:rsidRDefault="007836D1">
            <w:pPr>
              <w:pStyle w:val="ECDSBody"/>
              <w:rPr>
                <w:b/>
              </w:rPr>
            </w:pPr>
            <w:r w:rsidRPr="005D4222">
              <w:rPr>
                <w:b/>
              </w:rPr>
              <w:t xml:space="preserve">What services count? </w:t>
            </w:r>
            <w:r w:rsidRPr="005D4222">
              <w:t>When using claims, include all paid, suspended, pending and denied claims.</w:t>
            </w:r>
          </w:p>
        </w:tc>
      </w:tr>
      <w:tr w:rsidR="004054A3" w:rsidRPr="005D4222" w14:paraId="2F666A9F" w14:textId="77777777" w:rsidTr="007836D1">
        <w:tc>
          <w:tcPr>
            <w:tcW w:w="1110" w:type="pct"/>
            <w:tcBorders>
              <w:top w:val="single" w:sz="4" w:space="0" w:color="auto"/>
            </w:tcBorders>
            <w:shd w:val="clear" w:color="auto" w:fill="BFBFBF" w:themeFill="background1" w:themeFillShade="BF"/>
            <w:tcMar>
              <w:top w:w="0" w:type="dxa"/>
              <w:left w:w="86" w:type="dxa"/>
              <w:bottom w:w="43" w:type="dxa"/>
              <w:right w:w="86" w:type="dxa"/>
            </w:tcMar>
          </w:tcPr>
          <w:p w14:paraId="30069811" w14:textId="77777777" w:rsidR="004054A3" w:rsidRPr="005D4222" w:rsidRDefault="004054A3">
            <w:pPr>
              <w:pStyle w:val="ECDSMarginHead"/>
            </w:pPr>
            <w:r w:rsidRPr="005D4222">
              <w:t>Initial population</w:t>
            </w:r>
          </w:p>
        </w:tc>
        <w:tc>
          <w:tcPr>
            <w:tcW w:w="3890" w:type="pct"/>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804A104" w14:textId="77777777" w:rsidR="004054A3" w:rsidRPr="005D4222" w:rsidRDefault="004054A3">
            <w:pPr>
              <w:pStyle w:val="ECDSBody"/>
            </w:pPr>
            <w:r w:rsidRPr="005D4222">
              <w:rPr>
                <w:i/>
                <w:iCs/>
              </w:rPr>
              <w:t>Measure item count:</w:t>
            </w:r>
            <w:r w:rsidRPr="005D4222">
              <w:t xml:space="preserve"> Person.</w:t>
            </w:r>
          </w:p>
          <w:p w14:paraId="34A1CBF4" w14:textId="77777777" w:rsidR="004054A3" w:rsidRPr="005D4222" w:rsidRDefault="004054A3">
            <w:pPr>
              <w:pStyle w:val="ECDSBody"/>
            </w:pPr>
            <w:r w:rsidRPr="005D4222">
              <w:rPr>
                <w:i/>
                <w:iCs/>
              </w:rPr>
              <w:t>Attribution basis:</w:t>
            </w:r>
            <w:r w:rsidRPr="005D4222">
              <w:t xml:space="preserve"> Enrollment.</w:t>
            </w:r>
          </w:p>
          <w:p w14:paraId="3E1A1DA4" w14:textId="77777777" w:rsidR="004054A3" w:rsidRPr="005D4222" w:rsidRDefault="004054A3" w:rsidP="004054A3">
            <w:pPr>
              <w:pStyle w:val="Bullet"/>
              <w:numPr>
                <w:ilvl w:val="0"/>
                <w:numId w:val="4"/>
              </w:numPr>
              <w:tabs>
                <w:tab w:val="left" w:pos="360"/>
                <w:tab w:val="left" w:pos="576"/>
              </w:tabs>
              <w:ind w:left="576" w:hanging="216"/>
            </w:pPr>
            <w:r w:rsidRPr="005D4222">
              <w:rPr>
                <w:i/>
                <w:iCs/>
              </w:rPr>
              <w:t>Benefits:</w:t>
            </w:r>
            <w:r w:rsidRPr="005D4222">
              <w:t xml:space="preserve"> Medical.</w:t>
            </w:r>
          </w:p>
          <w:p w14:paraId="0AEFF9CB" w14:textId="77777777" w:rsidR="004054A3" w:rsidRPr="005D4222" w:rsidRDefault="004054A3" w:rsidP="004054A3">
            <w:pPr>
              <w:pStyle w:val="Bullet"/>
              <w:numPr>
                <w:ilvl w:val="0"/>
                <w:numId w:val="4"/>
              </w:numPr>
              <w:tabs>
                <w:tab w:val="left" w:pos="360"/>
                <w:tab w:val="left" w:pos="576"/>
              </w:tabs>
              <w:ind w:left="576" w:hanging="216"/>
            </w:pPr>
            <w:r w:rsidRPr="005D4222">
              <w:rPr>
                <w:i/>
                <w:iCs/>
              </w:rPr>
              <w:t>Continuous enrollment:</w:t>
            </w:r>
            <w:r w:rsidRPr="005D4222">
              <w:t xml:space="preserve"> The measurement period.</w:t>
            </w:r>
          </w:p>
          <w:p w14:paraId="334E92B9" w14:textId="77777777" w:rsidR="004054A3" w:rsidRPr="005D4222" w:rsidRDefault="004054A3" w:rsidP="004054A3">
            <w:pPr>
              <w:pStyle w:val="Bullet"/>
              <w:numPr>
                <w:ilvl w:val="0"/>
                <w:numId w:val="4"/>
              </w:numPr>
              <w:tabs>
                <w:tab w:val="left" w:pos="360"/>
                <w:tab w:val="left" w:pos="576"/>
              </w:tabs>
              <w:ind w:left="576" w:hanging="216"/>
            </w:pPr>
            <w:r w:rsidRPr="005D4222">
              <w:rPr>
                <w:i/>
                <w:iCs/>
              </w:rPr>
              <w:t>Allowable gap:</w:t>
            </w:r>
            <w:r w:rsidRPr="005D4222">
              <w:t xml:space="preserve"> No more than one gap of ≤45 days during the measurement period. No gaps on the last day of the measurement period.</w:t>
            </w:r>
          </w:p>
          <w:p w14:paraId="685FA2F7" w14:textId="77777777" w:rsidR="004054A3" w:rsidRPr="005D4222" w:rsidRDefault="004054A3">
            <w:pPr>
              <w:pStyle w:val="ECDSBody"/>
            </w:pPr>
            <w:r w:rsidRPr="005D4222">
              <w:rPr>
                <w:i/>
                <w:iCs/>
              </w:rPr>
              <w:t>Ages:</w:t>
            </w:r>
            <w:r w:rsidRPr="005D4222">
              <w:t xml:space="preserve"> 18–85 years of age as of the last day of the measurement period.</w:t>
            </w:r>
          </w:p>
          <w:p w14:paraId="37FBBCD1" w14:textId="77777777" w:rsidR="004054A3" w:rsidRPr="005D4222" w:rsidRDefault="004054A3">
            <w:pPr>
              <w:pStyle w:val="ECDSBody"/>
            </w:pPr>
            <w:r w:rsidRPr="005D4222">
              <w:rPr>
                <w:i/>
                <w:iCs/>
              </w:rPr>
              <w:t xml:space="preserve">Event: </w:t>
            </w:r>
            <w:r w:rsidRPr="005D4222">
              <w:rPr>
                <w:b/>
              </w:rPr>
              <w:t>Identify persons with a diagnosis of diabetes.</w:t>
            </w:r>
            <w:r w:rsidRPr="005D4222">
              <w:rPr>
                <w:bCs w:val="0"/>
              </w:rPr>
              <w:t xml:space="preserve"> </w:t>
            </w:r>
            <w:r w:rsidRPr="005D4222">
              <w:rPr>
                <w:bCs w:val="0"/>
              </w:rPr>
              <w:br/>
            </w:r>
            <w:r w:rsidRPr="005D4222">
              <w:t>Either of the following meets criteria:</w:t>
            </w:r>
          </w:p>
          <w:p w14:paraId="4F8764A8" w14:textId="77777777" w:rsidR="004054A3" w:rsidRPr="005D4222" w:rsidRDefault="004054A3" w:rsidP="004054A3">
            <w:pPr>
              <w:pStyle w:val="Bullet"/>
              <w:numPr>
                <w:ilvl w:val="0"/>
                <w:numId w:val="4"/>
              </w:numPr>
              <w:tabs>
                <w:tab w:val="left" w:pos="360"/>
                <w:tab w:val="left" w:pos="576"/>
              </w:tabs>
              <w:ind w:left="576" w:hanging="216"/>
            </w:pPr>
            <w:r w:rsidRPr="005D4222">
              <w:rPr>
                <w:i/>
                <w:iCs/>
              </w:rPr>
              <w:t>Claim/encounter data.</w:t>
            </w:r>
            <w:r w:rsidRPr="005D4222">
              <w:t xml:space="preserve"> At least two diagnoses of diabetes (</w:t>
            </w:r>
            <w:r w:rsidRPr="005D4222">
              <w:rPr>
                <w:u w:val="single"/>
              </w:rPr>
              <w:t>Diabetes Value Set</w:t>
            </w:r>
            <w:r w:rsidRPr="005D4222">
              <w:t>*) on different dates of service during the measurement period or the year prior to the measurement period.</w:t>
            </w:r>
          </w:p>
          <w:p w14:paraId="182D6CDB" w14:textId="77777777" w:rsidR="004054A3" w:rsidRPr="005D4222" w:rsidRDefault="004054A3" w:rsidP="004054A3">
            <w:pPr>
              <w:pStyle w:val="Bullet"/>
              <w:numPr>
                <w:ilvl w:val="0"/>
                <w:numId w:val="4"/>
              </w:numPr>
              <w:tabs>
                <w:tab w:val="left" w:pos="360"/>
                <w:tab w:val="left" w:pos="576"/>
              </w:tabs>
              <w:ind w:left="576" w:hanging="216"/>
            </w:pPr>
            <w:r w:rsidRPr="005D4222">
              <w:rPr>
                <w:i/>
                <w:iCs/>
              </w:rPr>
              <w:t>Pharmacy data.</w:t>
            </w:r>
            <w:r w:rsidRPr="005D4222">
              <w:t xml:space="preserve"> At least one diagnosis of diabetes (</w:t>
            </w:r>
            <w:r w:rsidRPr="005D4222">
              <w:rPr>
                <w:u w:val="single"/>
              </w:rPr>
              <w:t>Diabetes Value Set</w:t>
            </w:r>
            <w:r w:rsidRPr="005D4222">
              <w:t xml:space="preserve">*) </w:t>
            </w:r>
            <w:r w:rsidRPr="005D4222">
              <w:rPr>
                <w:b/>
                <w:bCs/>
                <w:i/>
                <w:iCs/>
              </w:rPr>
              <w:t xml:space="preserve">and </w:t>
            </w:r>
            <w:r w:rsidRPr="005D4222">
              <w:t>at least one diabetes medication dispensing event of insulin or a hypoglycemic/antihyperglycemic medication (</w:t>
            </w:r>
            <w:r w:rsidRPr="005D4222">
              <w:rPr>
                <w:u w:val="single"/>
              </w:rPr>
              <w:t>Diabetes Medications List</w:t>
            </w:r>
            <w:r w:rsidRPr="005D4222">
              <w:t>) during the measurement period or the year prior to the measurement period. </w:t>
            </w:r>
          </w:p>
          <w:p w14:paraId="21B5CFA6" w14:textId="77777777" w:rsidR="004054A3" w:rsidRPr="005D4222" w:rsidRDefault="004054A3">
            <w:pPr>
              <w:pStyle w:val="ECDSBody"/>
              <w:spacing w:after="0"/>
              <w:rPr>
                <w:rFonts w:eastAsia="Arial,Arial,Arial,Arial,Arial,A"/>
                <w:b/>
                <w:bCs w:val="0"/>
              </w:rPr>
            </w:pPr>
            <w:r w:rsidRPr="005D4222">
              <w:rPr>
                <w:rFonts w:eastAsia="Arial,Arial,Arial,Arial,Arial,A"/>
                <w:b/>
                <w:bCs w:val="0"/>
              </w:rPr>
              <w:t>Coding Guidance</w:t>
            </w:r>
          </w:p>
          <w:p w14:paraId="56EBCEB9" w14:textId="77777777" w:rsidR="004054A3" w:rsidRPr="005D4222" w:rsidRDefault="004054A3">
            <w:pPr>
              <w:pStyle w:val="ECDSBody"/>
              <w:spacing w:before="0"/>
            </w:pPr>
            <w:r w:rsidRPr="005D4222">
              <w:rPr>
                <w:rFonts w:eastAsia="Arial,Arial,Arial,Arial,Arial,A"/>
              </w:rPr>
              <w:t>*Do not include laboratory claims (claims with POS code 81).</w:t>
            </w:r>
          </w:p>
        </w:tc>
      </w:tr>
      <w:tr w:rsidR="004054A3" w:rsidRPr="005D4222" w14:paraId="1EDFCEBA" w14:textId="77777777" w:rsidTr="007836D1">
        <w:tc>
          <w:tcPr>
            <w:tcW w:w="1110" w:type="pct"/>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7152052" w14:textId="77777777" w:rsidR="004054A3" w:rsidRPr="005D4222" w:rsidRDefault="004054A3">
            <w:pPr>
              <w:pStyle w:val="ECDSMarginHead"/>
            </w:pPr>
            <w:r w:rsidRPr="005D4222">
              <w:t xml:space="preserve">Denominator exclusions </w:t>
            </w:r>
          </w:p>
        </w:tc>
        <w:tc>
          <w:tcPr>
            <w:tcW w:w="3890" w:type="pct"/>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0859300" w14:textId="77777777" w:rsidR="004054A3" w:rsidRPr="005D4222" w:rsidRDefault="004054A3">
            <w:pPr>
              <w:pStyle w:val="ECDSBody"/>
              <w:rPr>
                <w:rFonts w:cs="Segoe UI"/>
                <w:szCs w:val="18"/>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p w14:paraId="2F653D18" w14:textId="77777777" w:rsidR="004054A3" w:rsidRPr="005D4222" w:rsidRDefault="004054A3">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59E5903E" w14:textId="77777777" w:rsidR="004054A3" w:rsidRPr="005D4222" w:rsidRDefault="004054A3">
            <w:pPr>
              <w:pStyle w:val="ECDSBody"/>
            </w:pPr>
            <w:r w:rsidRPr="005D4222" w:rsidDel="00AA4A01">
              <w:rPr>
                <w:b/>
              </w:rPr>
              <w:t xml:space="preserve">Persons </w:t>
            </w:r>
            <w:r w:rsidRPr="005D4222">
              <w:rPr>
                <w:b/>
              </w:rPr>
              <w:t>receiving palliative care.</w:t>
            </w:r>
            <w:r w:rsidRPr="005D4222">
              <w:rPr>
                <w:b/>
              </w:rPr>
              <w:br/>
            </w:r>
            <w:r w:rsidRPr="005D4222">
              <w:t>Persons receiving palliative care (</w:t>
            </w:r>
            <w:r w:rsidRPr="005D4222">
              <w:rPr>
                <w:u w:val="single"/>
              </w:rPr>
              <w:t>Palliative Care Assessment Value Set</w:t>
            </w:r>
            <w:r w:rsidRPr="005D4222">
              <w:t xml:space="preserve">; </w:t>
            </w:r>
            <w:r w:rsidRPr="005D4222">
              <w:rPr>
                <w:u w:val="single"/>
              </w:rPr>
              <w:t>Palliative Care Encounter Value Set</w:t>
            </w:r>
            <w:r w:rsidRPr="005D4222">
              <w:t xml:space="preserve">; </w:t>
            </w:r>
            <w:r w:rsidRPr="005D4222">
              <w:rPr>
                <w:u w:val="single"/>
              </w:rPr>
              <w:t>Palliative Care Intervention Value Set</w:t>
            </w:r>
            <w:r w:rsidRPr="005D4222">
              <w:t xml:space="preserve">) or who had an encounter for palliative care (ICD-10-CM code Z51.5*) any time during the measurement period. </w:t>
            </w:r>
          </w:p>
          <w:p w14:paraId="56DB8226" w14:textId="77777777" w:rsidR="004054A3" w:rsidRPr="005D4222" w:rsidRDefault="004054A3">
            <w:pPr>
              <w:pStyle w:val="ECDSBody"/>
              <w:rPr>
                <w:kern w:val="24"/>
                <w14:ligatures w14:val="standardContextual"/>
              </w:rPr>
            </w:pPr>
            <w:r w:rsidRPr="005D4222">
              <w:rPr>
                <w:b/>
                <w:shd w:val="clear" w:color="auto" w:fill="FFFFFF"/>
              </w:rPr>
              <w:t>M</w:t>
            </w:r>
            <w:r w:rsidRPr="005D4222">
              <w:rPr>
                <w:b/>
              </w:rPr>
              <w:t>edicare enrollees,</w:t>
            </w:r>
            <w:r w:rsidRPr="005D4222">
              <w:rPr>
                <w:b/>
                <w:shd w:val="clear" w:color="auto" w:fill="FFFFFF"/>
              </w:rPr>
              <w:t xml:space="preserve"> 66 years of age and older by the last day of the measurement period, in an institutional SNP (I-SNP) or living long-term in an institution (LTI).</w:t>
            </w:r>
          </w:p>
          <w:p w14:paraId="720AAEC6" w14:textId="5D787C5F" w:rsidR="00EB2305" w:rsidRPr="005D4222" w:rsidRDefault="004054A3" w:rsidP="00EB2305">
            <w:pPr>
              <w:pStyle w:val="ProcessBullet"/>
              <w:tabs>
                <w:tab w:val="left" w:pos="216"/>
              </w:tabs>
              <w:spacing w:after="80"/>
              <w:rPr>
                <w:rFonts w:asciiTheme="majorHAnsi" w:eastAsiaTheme="majorEastAsia" w:hAnsiTheme="majorHAnsi"/>
              </w:rPr>
            </w:pPr>
            <w:r w:rsidRPr="005D4222">
              <w:t>Enrolled in an Institutional SNP (I-SNP) any time during the measurement period.</w:t>
            </w:r>
          </w:p>
        </w:tc>
      </w:tr>
    </w:tbl>
    <w:p w14:paraId="7B32D7C3" w14:textId="77777777" w:rsidR="00EB2305" w:rsidRPr="005D4222" w:rsidRDefault="00EB2305">
      <w:r w:rsidRPr="005D4222">
        <w:br w:type="page"/>
      </w:r>
    </w:p>
    <w:tbl>
      <w:tblPr>
        <w:tblW w:w="5002"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9"/>
      </w:tblGrid>
      <w:tr w:rsidR="004054A3" w:rsidRPr="005D4222" w14:paraId="733F6088" w14:textId="77777777">
        <w:tc>
          <w:tcPr>
            <w:tcW w:w="1110" w:type="pct"/>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DB111E4" w14:textId="77777777" w:rsidR="004054A3" w:rsidRPr="005D4222" w:rsidRDefault="004054A3">
            <w:pPr>
              <w:pStyle w:val="ECDSMarginHead"/>
            </w:pP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D42E014" w14:textId="77777777" w:rsidR="00EB2305" w:rsidRPr="005D4222" w:rsidRDefault="00EB2305" w:rsidP="00EB2305">
            <w:pPr>
              <w:pStyle w:val="ProcessBullet"/>
              <w:tabs>
                <w:tab w:val="left" w:pos="216"/>
              </w:tabs>
              <w:spacing w:after="80"/>
              <w:rPr>
                <w:rFonts w:asciiTheme="majorHAnsi" w:eastAsiaTheme="majorEastAsia" w:hAnsiTheme="majorHAnsi"/>
              </w:rPr>
            </w:pPr>
            <w:r w:rsidRPr="005D4222">
              <w:t xml:space="preserve">Living </w:t>
            </w:r>
            <w:r w:rsidRPr="005D4222" w:rsidDel="007153E1">
              <w:t>long-term in an institution</w:t>
            </w:r>
            <w:r w:rsidRPr="005D4222">
              <w:t xml:space="preserve"> any time during the measurement period as identified by the LTI flag in the Monthly Membership Detail Data File. Use the run date of the file to determine if </w:t>
            </w:r>
            <w:r w:rsidRPr="005D4222" w:rsidDel="00EB26EC">
              <w:t xml:space="preserve">a member had </w:t>
            </w:r>
            <w:r w:rsidRPr="005D4222">
              <w:t>an LTI flag during the measurement period.</w:t>
            </w:r>
          </w:p>
          <w:p w14:paraId="7D0811BF" w14:textId="77777777" w:rsidR="004054A3" w:rsidRPr="005D4222" w:rsidRDefault="004054A3">
            <w:pPr>
              <w:pStyle w:val="ECDSBody"/>
              <w:rPr>
                <w:b/>
                <w:bCs w:val="0"/>
              </w:rPr>
            </w:pPr>
            <w:r w:rsidRPr="005D4222">
              <w:rPr>
                <w:b/>
                <w:bCs w:val="0"/>
              </w:rPr>
              <w:t>Persons 66–80 years of age by the last day of the measurement period, with both frailty and advanced illness.</w:t>
            </w:r>
          </w:p>
          <w:p w14:paraId="399DB5E3" w14:textId="77777777" w:rsidR="004054A3" w:rsidRPr="005D4222" w:rsidRDefault="004054A3">
            <w:pPr>
              <w:pStyle w:val="Body"/>
              <w:spacing w:before="60" w:after="60"/>
              <w:ind w:left="288" w:hanging="288"/>
              <w:rPr>
                <w:rFonts w:cs="Arial"/>
                <w:u w:val="single"/>
              </w:rPr>
            </w:pPr>
            <w:r w:rsidRPr="005D4222">
              <w:t>1.</w:t>
            </w:r>
            <w:r w:rsidRPr="005D4222">
              <w:tab/>
            </w:r>
            <w:r w:rsidRPr="005D4222">
              <w:rPr>
                <w:b/>
                <w:bCs/>
              </w:rPr>
              <w:t>Frailty.</w:t>
            </w:r>
            <w:r w:rsidRPr="005D4222">
              <w:t xml:space="preserve"> </w:t>
            </w:r>
            <w:r w:rsidRPr="005D4222">
              <w:rPr>
                <w:rFonts w:cs="Arial"/>
              </w:rPr>
              <w:t>At least two indications of frailty (</w:t>
            </w:r>
            <w:r w:rsidRPr="005D4222">
              <w:rPr>
                <w:rFonts w:cs="Arial"/>
                <w:u w:val="single"/>
              </w:rPr>
              <w:t>Frailty Device Value Set</w:t>
            </w:r>
            <w:r w:rsidRPr="005D4222">
              <w:rPr>
                <w:rFonts w:cs="Arial"/>
              </w:rPr>
              <w:t xml:space="preserve">; </w:t>
            </w:r>
            <w:r w:rsidRPr="005D4222">
              <w:rPr>
                <w:rFonts w:cs="Arial"/>
                <w:u w:val="single"/>
              </w:rPr>
              <w:t>Frailty Diagnosis Value Set</w:t>
            </w:r>
            <w:r w:rsidRPr="005D4222">
              <w:rPr>
                <w:rFonts w:cs="Arial"/>
              </w:rPr>
              <w:t xml:space="preserve">*; </w:t>
            </w:r>
            <w:r w:rsidRPr="005D4222">
              <w:rPr>
                <w:rFonts w:cs="Arial"/>
                <w:u w:val="single"/>
              </w:rPr>
              <w:t>Frailty Encounter Value Set</w:t>
            </w:r>
            <w:r w:rsidRPr="005D4222">
              <w:rPr>
                <w:rFonts w:cs="Arial"/>
              </w:rPr>
              <w:t xml:space="preserve">; </w:t>
            </w:r>
            <w:r w:rsidRPr="005D4222">
              <w:rPr>
                <w:rFonts w:cs="Arial"/>
                <w:u w:val="single"/>
              </w:rPr>
              <w:t>Frailty Symptom Value Set</w:t>
            </w:r>
            <w:r w:rsidRPr="005D4222">
              <w:rPr>
                <w:rFonts w:cs="Arial"/>
              </w:rPr>
              <w:t>*) with different dates of service during the measurement period.</w:t>
            </w:r>
          </w:p>
          <w:p w14:paraId="725795B6" w14:textId="77777777" w:rsidR="004054A3" w:rsidRPr="005D4222" w:rsidRDefault="004054A3">
            <w:pPr>
              <w:pStyle w:val="Body"/>
              <w:spacing w:before="60"/>
              <w:ind w:left="288" w:hanging="288"/>
              <w:rPr>
                <w:rFonts w:cs="Arial"/>
              </w:rPr>
            </w:pPr>
            <w:r w:rsidRPr="005D4222">
              <w:t>2.</w:t>
            </w:r>
            <w:r w:rsidRPr="005D4222">
              <w:tab/>
            </w:r>
            <w:r w:rsidRPr="005D4222">
              <w:rPr>
                <w:b/>
                <w:bCs/>
              </w:rPr>
              <w:t>Advanced illness.</w:t>
            </w:r>
            <w:r w:rsidRPr="005D4222">
              <w:t xml:space="preserve"> Either</w:t>
            </w:r>
            <w:r w:rsidRPr="005D4222">
              <w:rPr>
                <w:rFonts w:cs="Arial"/>
              </w:rPr>
              <w:t xml:space="preserve"> of the following during the measurement period or the year prior to the measurement period: </w:t>
            </w:r>
          </w:p>
          <w:p w14:paraId="25175590" w14:textId="77777777" w:rsidR="004054A3" w:rsidRPr="005D4222" w:rsidRDefault="004054A3" w:rsidP="00EB2305">
            <w:pPr>
              <w:pStyle w:val="Dash"/>
              <w:tabs>
                <w:tab w:val="left" w:pos="576"/>
              </w:tabs>
              <w:ind w:left="504"/>
            </w:pPr>
            <w:r w:rsidRPr="005D4222">
              <w:t xml:space="preserve">Advanced illness </w:t>
            </w:r>
            <w:r w:rsidRPr="005D4222">
              <w:rPr>
                <w:rFonts w:cs="Arial"/>
              </w:rPr>
              <w:t>(</w:t>
            </w:r>
            <w:r w:rsidRPr="005D4222">
              <w:rPr>
                <w:rFonts w:cs="Arial"/>
                <w:u w:val="single"/>
              </w:rPr>
              <w:t>Advanced Illness Value Set</w:t>
            </w:r>
            <w:r w:rsidRPr="005D4222">
              <w:rPr>
                <w:rFonts w:cs="Arial"/>
              </w:rPr>
              <w:t>*) on at least two different dates of service.</w:t>
            </w:r>
          </w:p>
          <w:p w14:paraId="0B3A4544" w14:textId="77777777" w:rsidR="004054A3" w:rsidRPr="005D4222" w:rsidRDefault="004054A3" w:rsidP="00EB2305">
            <w:pPr>
              <w:pStyle w:val="Dash"/>
              <w:tabs>
                <w:tab w:val="left" w:pos="576"/>
              </w:tabs>
              <w:ind w:left="504"/>
            </w:pPr>
            <w:r w:rsidRPr="005D4222">
              <w:t>Dispensed dementia medication (</w:t>
            </w:r>
            <w:r w:rsidRPr="005D4222">
              <w:rPr>
                <w:u w:val="single"/>
              </w:rPr>
              <w:t>Dementia Medications List</w:t>
            </w:r>
            <w:r w:rsidRPr="005D4222">
              <w:t>).</w:t>
            </w:r>
          </w:p>
          <w:p w14:paraId="557FEDE9" w14:textId="77777777" w:rsidR="004054A3" w:rsidRPr="005D4222" w:rsidRDefault="004054A3">
            <w:pPr>
              <w:pStyle w:val="ECDSBody"/>
              <w:rPr>
                <w:rFonts w:eastAsia="Arial,Arial,Arial,Arial,Arial,A"/>
                <w:b/>
              </w:rPr>
            </w:pPr>
            <w:r w:rsidRPr="005D4222">
              <w:rPr>
                <w:rFonts w:eastAsia="Arial,Arial,Arial,Arial,Arial,A"/>
                <w:b/>
              </w:rPr>
              <w:t xml:space="preserve">Persons </w:t>
            </w:r>
            <w:r w:rsidRPr="005D4222">
              <w:rPr>
                <w:b/>
              </w:rPr>
              <w:t>81 years of age and older as of the last day of the measurement period, with frailty.</w:t>
            </w:r>
            <w:r w:rsidRPr="005D4222">
              <w:rPr>
                <w:b/>
              </w:rPr>
              <w:br/>
            </w:r>
            <w:r w:rsidRPr="005D4222">
              <w:rPr>
                <w:rFonts w:eastAsia="Arial,Arial,Arial,Arial,Arial,A"/>
              </w:rPr>
              <w:t>Persons with at least two indications of frailty</w:t>
            </w:r>
            <w:r w:rsidRPr="005D4222">
              <w:t xml:space="preserve"> (</w:t>
            </w:r>
            <w:r w:rsidRPr="005D4222">
              <w:rPr>
                <w:u w:val="single"/>
              </w:rPr>
              <w:t>Frailty Device Value Set</w:t>
            </w:r>
            <w:r w:rsidRPr="005D4222">
              <w:t xml:space="preserve">; </w:t>
            </w:r>
            <w:r w:rsidRPr="005D4222">
              <w:rPr>
                <w:u w:val="single"/>
              </w:rPr>
              <w:t>Frailty Diagnosis Value Set</w:t>
            </w:r>
            <w:r w:rsidRPr="005D4222">
              <w:t xml:space="preserve">*; </w:t>
            </w:r>
            <w:r w:rsidRPr="005D4222">
              <w:rPr>
                <w:u w:val="single"/>
              </w:rPr>
              <w:t>Frailty Encounter Value Set</w:t>
            </w:r>
            <w:r w:rsidRPr="005D4222">
              <w:t xml:space="preserve">; </w:t>
            </w:r>
            <w:r w:rsidRPr="005D4222">
              <w:rPr>
                <w:u w:val="single"/>
              </w:rPr>
              <w:t>Frailty Symptom Value Set</w:t>
            </w:r>
            <w:r w:rsidRPr="005D4222">
              <w:t>*) with different dates of service during the measurement period.</w:t>
            </w:r>
          </w:p>
          <w:p w14:paraId="27D6E3EE" w14:textId="77777777" w:rsidR="004054A3" w:rsidRPr="005D4222" w:rsidRDefault="004054A3">
            <w:pPr>
              <w:pStyle w:val="ECDSBody"/>
            </w:pPr>
            <w:r w:rsidRPr="005D4222">
              <w:rPr>
                <w:b/>
              </w:rPr>
              <w:t>ESRD or dialysis.</w:t>
            </w:r>
            <w:r w:rsidRPr="005D4222">
              <w:rPr>
                <w:b/>
              </w:rPr>
              <w:br/>
            </w:r>
            <w:r w:rsidRPr="005D4222">
              <w:t>Persons with a diagnosis of ESRD (</w:t>
            </w:r>
            <w:r w:rsidRPr="005D4222">
              <w:rPr>
                <w:u w:val="single"/>
              </w:rPr>
              <w:t>ESRD Diagnosis Value Set</w:t>
            </w:r>
            <w:r w:rsidRPr="005D4222">
              <w:t>*) or who had dialysis (</w:t>
            </w:r>
            <w:r w:rsidRPr="005D4222">
              <w:rPr>
                <w:u w:val="single"/>
              </w:rPr>
              <w:t>Dialysis Procedure Value Set</w:t>
            </w:r>
            <w:r w:rsidRPr="005D4222">
              <w:t>) any time during the person’s history on or prior to the last day of the measurement period.</w:t>
            </w:r>
          </w:p>
          <w:p w14:paraId="79F2E498" w14:textId="77777777" w:rsidR="004054A3" w:rsidRPr="005D4222" w:rsidRDefault="004054A3">
            <w:pPr>
              <w:pStyle w:val="ECDSBody"/>
              <w:spacing w:after="0"/>
              <w:rPr>
                <w:rFonts w:eastAsia="Arial,Arial,Arial,Arial,Arial,A"/>
                <w:b/>
                <w:bCs w:val="0"/>
              </w:rPr>
            </w:pPr>
            <w:r w:rsidRPr="005D4222">
              <w:rPr>
                <w:rFonts w:eastAsia="Arial,Arial,Arial,Arial,Arial,A"/>
                <w:b/>
                <w:bCs w:val="0"/>
              </w:rPr>
              <w:t>Coding Guidance</w:t>
            </w:r>
          </w:p>
          <w:p w14:paraId="763891D4" w14:textId="77777777" w:rsidR="004054A3" w:rsidRPr="005D4222" w:rsidRDefault="004054A3">
            <w:pPr>
              <w:pStyle w:val="ECDSBody"/>
              <w:spacing w:before="0"/>
            </w:pPr>
            <w:r w:rsidRPr="005D4222">
              <w:rPr>
                <w:rFonts w:eastAsia="Arial,Arial,Arial,Arial,Arial,A"/>
              </w:rPr>
              <w:t>*Do not include laboratory claims (claims with POS code 81).</w:t>
            </w:r>
          </w:p>
        </w:tc>
      </w:tr>
      <w:tr w:rsidR="004054A3" w:rsidRPr="005D4222" w14:paraId="4FBD909A" w14:textId="77777777">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1673E9C" w14:textId="77777777" w:rsidR="004054A3" w:rsidRPr="005D4222" w:rsidRDefault="004054A3">
            <w:pPr>
              <w:pStyle w:val="ECDSMarginHead"/>
            </w:pPr>
            <w:r w:rsidRPr="005D4222">
              <w:t>Denominator</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0D9D497" w14:textId="77777777" w:rsidR="004054A3" w:rsidRPr="005D4222" w:rsidRDefault="004054A3">
            <w:pPr>
              <w:pStyle w:val="ECDSBody"/>
              <w:rPr>
                <w:b/>
                <w:szCs w:val="21"/>
              </w:rPr>
            </w:pPr>
            <w:r w:rsidRPr="005D4222">
              <w:rPr>
                <w:rFonts w:eastAsia="Arial,Arial,Arial,Arial,Arial,A"/>
              </w:rPr>
              <w:t>The initial population minus denominator exclusions.</w:t>
            </w:r>
          </w:p>
        </w:tc>
      </w:tr>
      <w:tr w:rsidR="004054A3" w:rsidRPr="005D4222" w14:paraId="4FBA2C20" w14:textId="77777777">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661456E" w14:textId="77777777" w:rsidR="004054A3" w:rsidRPr="005D4222" w:rsidRDefault="004054A3">
            <w:pPr>
              <w:pStyle w:val="ECDSMarginHead"/>
            </w:pPr>
            <w:r w:rsidRPr="005D4222">
              <w:t>Numerator</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CB14C80" w14:textId="77777777" w:rsidR="004054A3" w:rsidRPr="005D4222" w:rsidRDefault="004054A3">
            <w:pPr>
              <w:pStyle w:val="ECDSBody"/>
            </w:pPr>
            <w:r w:rsidRPr="005D4222">
              <w:rPr>
                <w:b/>
              </w:rPr>
              <w:t>Kidney health evaluation.</w:t>
            </w:r>
            <w:r w:rsidRPr="005D4222">
              <w:rPr>
                <w:b/>
              </w:rPr>
              <w:br/>
            </w:r>
            <w:r w:rsidRPr="005D4222">
              <w:t xml:space="preserve">Persons who received </w:t>
            </w:r>
            <w:r w:rsidRPr="005D4222">
              <w:rPr>
                <w:b/>
                <w:i/>
                <w:iCs/>
              </w:rPr>
              <w:t>both</w:t>
            </w:r>
            <w:r w:rsidRPr="005D4222">
              <w:t xml:space="preserve"> an eGFR and a uACR during the measurement period on the same or different dates of service:</w:t>
            </w:r>
          </w:p>
          <w:p w14:paraId="48D0A58A" w14:textId="77777777" w:rsidR="004054A3" w:rsidRPr="005D4222" w:rsidRDefault="004054A3" w:rsidP="004054A3">
            <w:pPr>
              <w:pStyle w:val="Bullet"/>
              <w:numPr>
                <w:ilvl w:val="0"/>
                <w:numId w:val="4"/>
              </w:numPr>
              <w:tabs>
                <w:tab w:val="left" w:pos="360"/>
                <w:tab w:val="left" w:pos="576"/>
              </w:tabs>
              <w:ind w:left="576" w:hanging="216"/>
            </w:pPr>
            <w:r w:rsidRPr="005D4222">
              <w:t>At least one eGFR (</w:t>
            </w:r>
            <w:r w:rsidRPr="005D4222">
              <w:rPr>
                <w:u w:val="single"/>
              </w:rPr>
              <w:t>Estimated Glomerular Filtration Rate Lab Test Value Set</w:t>
            </w:r>
            <w:r w:rsidRPr="005D4222">
              <w:t>).</w:t>
            </w:r>
          </w:p>
          <w:p w14:paraId="076B6D36" w14:textId="77777777" w:rsidR="004054A3" w:rsidRPr="005D4222" w:rsidRDefault="004054A3" w:rsidP="004054A3">
            <w:pPr>
              <w:pStyle w:val="Bullet"/>
              <w:numPr>
                <w:ilvl w:val="0"/>
                <w:numId w:val="4"/>
              </w:numPr>
              <w:tabs>
                <w:tab w:val="left" w:pos="360"/>
                <w:tab w:val="left" w:pos="576"/>
              </w:tabs>
              <w:ind w:left="576" w:hanging="216"/>
            </w:pPr>
            <w:r w:rsidRPr="005D4222">
              <w:t>At least one uACR identified by either of the following:</w:t>
            </w:r>
          </w:p>
          <w:p w14:paraId="3F496E6F" w14:textId="77777777" w:rsidR="004054A3" w:rsidRPr="005D4222" w:rsidRDefault="004054A3" w:rsidP="004054A3">
            <w:pPr>
              <w:pStyle w:val="Dash"/>
              <w:tabs>
                <w:tab w:val="left" w:pos="576"/>
                <w:tab w:val="left" w:pos="792"/>
              </w:tabs>
            </w:pPr>
            <w:r w:rsidRPr="005D4222">
              <w:t>Both a quantitative urine albumin test (</w:t>
            </w:r>
            <w:r w:rsidRPr="005D4222">
              <w:rPr>
                <w:u w:val="single"/>
              </w:rPr>
              <w:t>Quantitative Urine Albumin Lab Test Value Set</w:t>
            </w:r>
            <w:r w:rsidRPr="005D4222">
              <w:t xml:space="preserve">) </w:t>
            </w:r>
            <w:r w:rsidRPr="005D4222">
              <w:rPr>
                <w:b/>
                <w:bCs/>
                <w:i/>
                <w:iCs/>
              </w:rPr>
              <w:t>and</w:t>
            </w:r>
            <w:r w:rsidRPr="005D4222">
              <w:t xml:space="preserve"> a urine creatinine test (</w:t>
            </w:r>
            <w:r w:rsidRPr="005D4222">
              <w:rPr>
                <w:u w:val="single"/>
              </w:rPr>
              <w:t>Urine Creatinine Lab Test Value Set)</w:t>
            </w:r>
            <w:r w:rsidRPr="005D4222">
              <w:t xml:space="preserve"> </w:t>
            </w:r>
            <w:r w:rsidRPr="005D4222">
              <w:rPr>
                <w:b/>
                <w:bCs/>
                <w:i/>
                <w:iCs/>
              </w:rPr>
              <w:t>with</w:t>
            </w:r>
            <w:r w:rsidRPr="005D4222">
              <w:t xml:space="preserve"> service dates four days or less apart. </w:t>
            </w:r>
          </w:p>
          <w:p w14:paraId="7F1E6C8A" w14:textId="77777777" w:rsidR="004054A3" w:rsidRPr="005D4222" w:rsidRDefault="004054A3" w:rsidP="004054A3">
            <w:pPr>
              <w:pStyle w:val="Box"/>
              <w:tabs>
                <w:tab w:val="left" w:pos="792"/>
              </w:tabs>
              <w:spacing w:before="80"/>
              <w:ind w:left="1008" w:hanging="216"/>
            </w:pPr>
            <w:r w:rsidRPr="005D4222">
              <w:rPr>
                <w:i/>
                <w:iCs/>
              </w:rPr>
              <w:t>For example,</w:t>
            </w:r>
            <w:r w:rsidRPr="005D4222">
              <w:t xml:space="preserve"> if the service date for the quantitative urine albumin test was December 1 of the measurement period, then the urine creatinine test must have a service date on or between November 27 and December 5 of the measurement period.</w:t>
            </w:r>
          </w:p>
          <w:p w14:paraId="4D36F0A1" w14:textId="77777777" w:rsidR="004054A3" w:rsidRPr="005D4222" w:rsidRDefault="004054A3" w:rsidP="004054A3">
            <w:pPr>
              <w:pStyle w:val="Dash"/>
              <w:tabs>
                <w:tab w:val="left" w:pos="576"/>
                <w:tab w:val="left" w:pos="792"/>
              </w:tabs>
              <w:spacing w:after="80"/>
            </w:pPr>
            <w:r w:rsidRPr="005D4222">
              <w:t>A uACR (</w:t>
            </w:r>
            <w:r w:rsidRPr="005D4222">
              <w:rPr>
                <w:u w:val="single"/>
              </w:rPr>
              <w:t>Urine Albumin Creatinine Ratio Lab Test Value Set</w:t>
            </w:r>
            <w:r w:rsidRPr="005D4222">
              <w:t>).</w:t>
            </w:r>
          </w:p>
        </w:tc>
      </w:tr>
      <w:tr w:rsidR="004054A3" w:rsidRPr="005D4222" w14:paraId="11ECDA23" w14:textId="77777777">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43BA716" w14:textId="77777777" w:rsidR="004054A3" w:rsidRPr="005D4222" w:rsidRDefault="004054A3">
            <w:pPr>
              <w:pStyle w:val="ECDSMarginHead"/>
            </w:pPr>
            <w:r w:rsidRPr="005D4222">
              <w:t>Summary of changes</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F85BA33" w14:textId="77777777" w:rsidR="004054A3" w:rsidRPr="005D4222" w:rsidRDefault="004054A3" w:rsidP="00EB2305">
            <w:pPr>
              <w:pStyle w:val="ProcessBullet"/>
              <w:numPr>
                <w:ilvl w:val="0"/>
                <w:numId w:val="48"/>
              </w:numPr>
              <w:spacing w:before="120" w:after="80"/>
              <w:ind w:left="216" w:hanging="216"/>
              <w:rPr>
                <w:color w:val="000000" w:themeColor="text1"/>
              </w:rPr>
            </w:pPr>
            <w:r w:rsidRPr="005D4222">
              <w:rPr>
                <w:color w:val="000000" w:themeColor="text1"/>
              </w:rPr>
              <w:t>Updated the race and ethnicity stratification categories to align with OMB SPD 15 2024.</w:t>
            </w:r>
          </w:p>
          <w:p w14:paraId="7845341B" w14:textId="77777777" w:rsidR="004054A3" w:rsidRPr="005D4222" w:rsidRDefault="004054A3" w:rsidP="00EB2305">
            <w:pPr>
              <w:pStyle w:val="ProcessBullet"/>
              <w:numPr>
                <w:ilvl w:val="0"/>
                <w:numId w:val="48"/>
              </w:numPr>
              <w:tabs>
                <w:tab w:val="left" w:pos="216"/>
              </w:tabs>
              <w:spacing w:after="80"/>
              <w:ind w:left="216" w:hanging="216"/>
              <w:rPr>
                <w:color w:val="000000" w:themeColor="text1"/>
              </w:rPr>
            </w:pPr>
            <w:r w:rsidRPr="005D4222">
              <w:t>Added instructions on allowable adjustments to the race and ethnicity stratifications.</w:t>
            </w:r>
          </w:p>
        </w:tc>
      </w:tr>
      <w:tr w:rsidR="004054A3" w:rsidRPr="005D4222" w14:paraId="014244E3" w14:textId="77777777">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6791A9A" w14:textId="77777777" w:rsidR="004054A3" w:rsidRPr="005D4222" w:rsidRDefault="004054A3">
            <w:pPr>
              <w:pStyle w:val="ECDSMarginHead"/>
            </w:pPr>
            <w:r w:rsidRPr="005D4222">
              <w:lastRenderedPageBreak/>
              <w:t>Data element tables</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EFE4E07" w14:textId="77777777" w:rsidR="004054A3" w:rsidRPr="005D4222" w:rsidRDefault="004054A3">
            <w:pPr>
              <w:pStyle w:val="ECDSBody"/>
            </w:pPr>
            <w:r w:rsidRPr="005D4222">
              <w:t xml:space="preserve">Organizations that submit HEDIS data to NCQA must provide the following data elements. </w:t>
            </w:r>
          </w:p>
          <w:p w14:paraId="6D043257" w14:textId="77777777" w:rsidR="004054A3" w:rsidRPr="005D4222" w:rsidRDefault="004054A3">
            <w:pPr>
              <w:pStyle w:val="Heading3"/>
              <w:spacing w:before="120"/>
            </w:pPr>
            <w:r w:rsidRPr="005D4222">
              <w:t>Table KED-A-1/2/3: Data Elements for Kidney Health Evaluation for Patients With Diabetes</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066"/>
              <w:gridCol w:w="900"/>
              <w:gridCol w:w="2340"/>
              <w:gridCol w:w="2071"/>
            </w:tblGrid>
            <w:tr w:rsidR="004054A3" w:rsidRPr="005D4222" w14:paraId="6DB4CE44" w14:textId="77777777" w:rsidTr="009F56E3">
              <w:trPr>
                <w:trHeight w:val="185"/>
              </w:trPr>
              <w:tc>
                <w:tcPr>
                  <w:tcW w:w="2066"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tcMar>
                    <w:top w:w="0" w:type="dxa"/>
                    <w:left w:w="86" w:type="dxa"/>
                    <w:bottom w:w="0" w:type="dxa"/>
                    <w:right w:w="86" w:type="dxa"/>
                  </w:tcMar>
                  <w:hideMark/>
                </w:tcPr>
                <w:p w14:paraId="550C1E9A" w14:textId="77777777" w:rsidR="004054A3" w:rsidRPr="005D4222" w:rsidRDefault="004054A3">
                  <w:pPr>
                    <w:pStyle w:val="TableHead"/>
                  </w:pPr>
                  <w:r w:rsidRPr="005D4222">
                    <w:t>Metric</w:t>
                  </w:r>
                </w:p>
              </w:tc>
              <w:tc>
                <w:tcPr>
                  <w:tcW w:w="90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top w:w="0" w:type="dxa"/>
                    <w:left w:w="86" w:type="dxa"/>
                    <w:bottom w:w="0" w:type="dxa"/>
                    <w:right w:w="86" w:type="dxa"/>
                  </w:tcMar>
                  <w:hideMark/>
                </w:tcPr>
                <w:p w14:paraId="4CFEE278" w14:textId="77777777" w:rsidR="004054A3" w:rsidRPr="005D4222" w:rsidRDefault="004054A3">
                  <w:pPr>
                    <w:pStyle w:val="TableHead"/>
                  </w:pPr>
                  <w:r w:rsidRPr="005D4222">
                    <w:t>Age</w:t>
                  </w:r>
                </w:p>
              </w:tc>
              <w:tc>
                <w:tcPr>
                  <w:tcW w:w="234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top w:w="0" w:type="dxa"/>
                    <w:left w:w="86" w:type="dxa"/>
                    <w:bottom w:w="0" w:type="dxa"/>
                    <w:right w:w="86" w:type="dxa"/>
                  </w:tcMar>
                  <w:hideMark/>
                </w:tcPr>
                <w:p w14:paraId="6942FE57" w14:textId="77777777" w:rsidR="004054A3" w:rsidRPr="005D4222" w:rsidRDefault="004054A3">
                  <w:pPr>
                    <w:pStyle w:val="TableHead"/>
                  </w:pPr>
                  <w:r w:rsidRPr="005D4222">
                    <w:t>Data Element</w:t>
                  </w:r>
                </w:p>
              </w:tc>
              <w:tc>
                <w:tcPr>
                  <w:tcW w:w="2071"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tcMar>
                    <w:top w:w="0" w:type="dxa"/>
                    <w:left w:w="86" w:type="dxa"/>
                    <w:bottom w:w="0" w:type="dxa"/>
                    <w:right w:w="86" w:type="dxa"/>
                  </w:tcMar>
                  <w:hideMark/>
                </w:tcPr>
                <w:p w14:paraId="4A244D43" w14:textId="77777777" w:rsidR="004054A3" w:rsidRPr="005D4222" w:rsidRDefault="004054A3">
                  <w:pPr>
                    <w:pStyle w:val="TableHead"/>
                  </w:pPr>
                  <w:r w:rsidRPr="005D4222">
                    <w:t>Reporting Instructions</w:t>
                  </w:r>
                </w:p>
              </w:tc>
            </w:tr>
            <w:tr w:rsidR="004054A3" w:rsidRPr="005D4222" w14:paraId="7F4CCE68" w14:textId="77777777" w:rsidTr="009F56E3">
              <w:trPr>
                <w:trHeight w:val="244"/>
              </w:trPr>
              <w:tc>
                <w:tcPr>
                  <w:tcW w:w="2066" w:type="dxa"/>
                  <w:tcBorders>
                    <w:top w:val="single" w:sz="4" w:space="0" w:color="000000" w:themeColor="text1"/>
                    <w:left w:val="single" w:sz="4" w:space="0" w:color="auto"/>
                    <w:bottom w:val="single" w:sz="4" w:space="0" w:color="auto"/>
                    <w:right w:val="single" w:sz="4" w:space="0" w:color="auto"/>
                  </w:tcBorders>
                  <w:tcMar>
                    <w:top w:w="0" w:type="dxa"/>
                    <w:left w:w="86" w:type="dxa"/>
                    <w:bottom w:w="0" w:type="dxa"/>
                    <w:right w:w="86" w:type="dxa"/>
                  </w:tcMar>
                  <w:hideMark/>
                </w:tcPr>
                <w:p w14:paraId="4C59F91E" w14:textId="77777777" w:rsidR="004054A3" w:rsidRPr="005D4222" w:rsidRDefault="004054A3">
                  <w:pPr>
                    <w:pStyle w:val="TableText"/>
                    <w:rPr>
                      <w:rFonts w:cs="Arial"/>
                      <w:szCs w:val="21"/>
                    </w:rPr>
                  </w:pPr>
                  <w:r w:rsidRPr="005D4222">
                    <w:rPr>
                      <w:rFonts w:cs="Arial"/>
                      <w:szCs w:val="21"/>
                    </w:rPr>
                    <w:t>KidneyHealthEvaluation</w:t>
                  </w:r>
                </w:p>
              </w:tc>
              <w:tc>
                <w:tcPr>
                  <w:tcW w:w="900" w:type="dxa"/>
                  <w:tcBorders>
                    <w:top w:val="single" w:sz="4" w:space="0" w:color="000000" w:themeColor="text1"/>
                    <w:left w:val="single" w:sz="4" w:space="0" w:color="auto"/>
                    <w:bottom w:val="single" w:sz="4" w:space="0" w:color="auto"/>
                    <w:right w:val="single" w:sz="4" w:space="0" w:color="auto"/>
                  </w:tcBorders>
                  <w:tcMar>
                    <w:top w:w="0" w:type="dxa"/>
                    <w:left w:w="86" w:type="dxa"/>
                    <w:bottom w:w="0" w:type="dxa"/>
                    <w:right w:w="86" w:type="dxa"/>
                  </w:tcMar>
                  <w:hideMark/>
                </w:tcPr>
                <w:p w14:paraId="32B6DBD3" w14:textId="77777777" w:rsidR="004054A3" w:rsidRPr="005D4222" w:rsidRDefault="004054A3">
                  <w:pPr>
                    <w:pStyle w:val="TableText"/>
                    <w:rPr>
                      <w:rFonts w:cs="Arial"/>
                      <w:szCs w:val="21"/>
                    </w:rPr>
                  </w:pPr>
                  <w:r w:rsidRPr="005D4222">
                    <w:rPr>
                      <w:rFonts w:cs="Arial"/>
                      <w:szCs w:val="21"/>
                    </w:rPr>
                    <w:t>18-64</w:t>
                  </w:r>
                </w:p>
              </w:tc>
              <w:tc>
                <w:tcPr>
                  <w:tcW w:w="2340" w:type="dxa"/>
                  <w:tcBorders>
                    <w:top w:val="single" w:sz="4" w:space="0" w:color="000000" w:themeColor="text1"/>
                    <w:left w:val="single" w:sz="4" w:space="0" w:color="auto"/>
                    <w:bottom w:val="single" w:sz="4" w:space="0" w:color="auto"/>
                    <w:right w:val="single" w:sz="4" w:space="0" w:color="auto"/>
                  </w:tcBorders>
                  <w:tcMar>
                    <w:top w:w="0" w:type="dxa"/>
                    <w:left w:w="86" w:type="dxa"/>
                    <w:bottom w:w="0" w:type="dxa"/>
                    <w:right w:w="86" w:type="dxa"/>
                  </w:tcMar>
                  <w:hideMark/>
                </w:tcPr>
                <w:p w14:paraId="2C1C0505" w14:textId="77777777" w:rsidR="004054A3" w:rsidRPr="005D4222" w:rsidRDefault="004054A3">
                  <w:pPr>
                    <w:pStyle w:val="TableText"/>
                    <w:rPr>
                      <w:rFonts w:cs="Arial"/>
                    </w:rPr>
                  </w:pPr>
                  <w:r w:rsidRPr="005D4222">
                    <w:rPr>
                      <w:rFonts w:cs="Arial"/>
                    </w:rPr>
                    <w:t xml:space="preserve">InitialPopulation </w:t>
                  </w:r>
                </w:p>
              </w:tc>
              <w:tc>
                <w:tcPr>
                  <w:tcW w:w="2071" w:type="dxa"/>
                  <w:tcBorders>
                    <w:top w:val="single" w:sz="4" w:space="0" w:color="000000" w:themeColor="text1"/>
                    <w:left w:val="single" w:sz="4" w:space="0" w:color="auto"/>
                    <w:bottom w:val="single" w:sz="6" w:space="0" w:color="auto"/>
                    <w:right w:val="single" w:sz="4" w:space="0" w:color="auto"/>
                  </w:tcBorders>
                  <w:tcMar>
                    <w:top w:w="0" w:type="dxa"/>
                    <w:left w:w="86" w:type="dxa"/>
                    <w:bottom w:w="0" w:type="dxa"/>
                    <w:right w:w="86" w:type="dxa"/>
                  </w:tcMar>
                  <w:hideMark/>
                </w:tcPr>
                <w:p w14:paraId="49F962B6" w14:textId="77777777" w:rsidR="004054A3" w:rsidRPr="005D4222" w:rsidRDefault="004054A3">
                  <w:pPr>
                    <w:pStyle w:val="TableText"/>
                    <w:rPr>
                      <w:rFonts w:eastAsia="Wingdings" w:cs="Arial"/>
                      <w:szCs w:val="21"/>
                    </w:rPr>
                  </w:pPr>
                  <w:r w:rsidRPr="005D4222">
                    <w:rPr>
                      <w:rFonts w:eastAsia="Wingdings" w:cs="Arial"/>
                      <w:szCs w:val="21"/>
                    </w:rPr>
                    <w:t>For each Stratification</w:t>
                  </w:r>
                </w:p>
              </w:tc>
            </w:tr>
            <w:tr w:rsidR="004054A3" w:rsidRPr="005D4222" w14:paraId="61D3B27B" w14:textId="77777777" w:rsidTr="009F56E3">
              <w:trPr>
                <w:trHeight w:val="244"/>
              </w:trPr>
              <w:tc>
                <w:tcPr>
                  <w:tcW w:w="2066" w:type="dxa"/>
                  <w:tcBorders>
                    <w:top w:val="single" w:sz="4" w:space="0" w:color="auto"/>
                    <w:left w:val="nil"/>
                    <w:bottom w:val="nil"/>
                    <w:right w:val="single" w:sz="4" w:space="0" w:color="auto"/>
                  </w:tcBorders>
                  <w:shd w:val="clear" w:color="auto" w:fill="FFFFFF" w:themeFill="background1"/>
                  <w:tcMar>
                    <w:top w:w="0" w:type="dxa"/>
                    <w:left w:w="86" w:type="dxa"/>
                    <w:bottom w:w="0" w:type="dxa"/>
                    <w:right w:w="86" w:type="dxa"/>
                  </w:tcMar>
                </w:tcPr>
                <w:p w14:paraId="40977A5F" w14:textId="77777777" w:rsidR="004054A3" w:rsidRPr="005D4222" w:rsidRDefault="004054A3">
                  <w:pPr>
                    <w:pStyle w:val="TableText"/>
                    <w:rPr>
                      <w:rFonts w:cs="Arial"/>
                      <w:szCs w:val="21"/>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86" w:type="dxa"/>
                    <w:bottom w:w="0" w:type="dxa"/>
                    <w:right w:w="86" w:type="dxa"/>
                  </w:tcMar>
                  <w:hideMark/>
                </w:tcPr>
                <w:p w14:paraId="0E3E5B77" w14:textId="77777777" w:rsidR="004054A3" w:rsidRPr="005D4222" w:rsidRDefault="004054A3">
                  <w:pPr>
                    <w:pStyle w:val="TableText"/>
                    <w:rPr>
                      <w:rFonts w:cs="Arial"/>
                      <w:szCs w:val="21"/>
                    </w:rPr>
                  </w:pPr>
                  <w:r w:rsidRPr="005D4222">
                    <w:rPr>
                      <w:rFonts w:cs="Arial"/>
                      <w:szCs w:val="21"/>
                    </w:rPr>
                    <w:t>65-75</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86" w:type="dxa"/>
                    <w:bottom w:w="0" w:type="dxa"/>
                    <w:right w:w="86" w:type="dxa"/>
                  </w:tcMar>
                  <w:hideMark/>
                </w:tcPr>
                <w:p w14:paraId="0947AC9D" w14:textId="77777777" w:rsidR="004054A3" w:rsidRPr="005D4222" w:rsidRDefault="004054A3">
                  <w:pPr>
                    <w:pStyle w:val="TableText"/>
                    <w:rPr>
                      <w:rFonts w:cs="Arial"/>
                    </w:rPr>
                  </w:pPr>
                  <w:r w:rsidRPr="005D4222">
                    <w:rPr>
                      <w:rFonts w:cs="Arial"/>
                    </w:rPr>
                    <w:t>Exclusions</w:t>
                  </w:r>
                </w:p>
              </w:tc>
              <w:tc>
                <w:tcPr>
                  <w:tcW w:w="2071" w:type="dxa"/>
                  <w:tcBorders>
                    <w:top w:val="single" w:sz="6" w:space="0" w:color="auto"/>
                    <w:left w:val="single" w:sz="4" w:space="0" w:color="auto"/>
                    <w:bottom w:val="single" w:sz="6" w:space="0" w:color="auto"/>
                    <w:right w:val="single" w:sz="4" w:space="0" w:color="auto"/>
                  </w:tcBorders>
                  <w:shd w:val="clear" w:color="auto" w:fill="FFFFFF" w:themeFill="background1"/>
                  <w:tcMar>
                    <w:top w:w="0" w:type="dxa"/>
                    <w:left w:w="86" w:type="dxa"/>
                    <w:bottom w:w="0" w:type="dxa"/>
                    <w:right w:w="86" w:type="dxa"/>
                  </w:tcMar>
                  <w:hideMark/>
                </w:tcPr>
                <w:p w14:paraId="1DB5C859" w14:textId="77777777" w:rsidR="004054A3" w:rsidRPr="005D4222" w:rsidRDefault="004054A3">
                  <w:pPr>
                    <w:pStyle w:val="TableText"/>
                    <w:rPr>
                      <w:rFonts w:eastAsia="Wingdings" w:cs="Arial"/>
                      <w:szCs w:val="21"/>
                    </w:rPr>
                  </w:pPr>
                  <w:r w:rsidRPr="005D4222">
                    <w:rPr>
                      <w:rFonts w:eastAsia="Wingdings" w:cs="Arial"/>
                      <w:szCs w:val="21"/>
                    </w:rPr>
                    <w:t>For each Stratification</w:t>
                  </w:r>
                </w:p>
              </w:tc>
            </w:tr>
            <w:tr w:rsidR="004054A3" w:rsidRPr="005D4222" w14:paraId="5FF88EDE" w14:textId="77777777" w:rsidTr="009F56E3">
              <w:trPr>
                <w:trHeight w:val="244"/>
              </w:trPr>
              <w:tc>
                <w:tcPr>
                  <w:tcW w:w="2066" w:type="dxa"/>
                  <w:tcBorders>
                    <w:top w:val="nil"/>
                    <w:left w:val="nil"/>
                    <w:bottom w:val="nil"/>
                    <w:right w:val="single" w:sz="4" w:space="0" w:color="auto"/>
                  </w:tcBorders>
                  <w:shd w:val="clear" w:color="auto" w:fill="FFFFFF" w:themeFill="background1"/>
                  <w:tcMar>
                    <w:top w:w="0" w:type="dxa"/>
                    <w:left w:w="86" w:type="dxa"/>
                    <w:bottom w:w="0" w:type="dxa"/>
                    <w:right w:w="86" w:type="dxa"/>
                  </w:tcMar>
                </w:tcPr>
                <w:p w14:paraId="3821A6A7" w14:textId="77777777" w:rsidR="004054A3" w:rsidRPr="005D4222" w:rsidRDefault="004054A3" w:rsidP="004054A3">
                  <w:pPr>
                    <w:pStyle w:val="TableText"/>
                    <w:rPr>
                      <w:rFonts w:cs="Arial"/>
                      <w:szCs w:val="21"/>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86" w:type="dxa"/>
                    <w:bottom w:w="0" w:type="dxa"/>
                    <w:right w:w="86" w:type="dxa"/>
                  </w:tcMar>
                </w:tcPr>
                <w:p w14:paraId="7E032C8E" w14:textId="0E9358B5" w:rsidR="004054A3" w:rsidRPr="005D4222" w:rsidRDefault="004054A3" w:rsidP="004054A3">
                  <w:pPr>
                    <w:pStyle w:val="TableText"/>
                    <w:rPr>
                      <w:rFonts w:cs="Arial"/>
                      <w:szCs w:val="21"/>
                    </w:rPr>
                  </w:pPr>
                  <w:r w:rsidRPr="005D4222">
                    <w:rPr>
                      <w:rFonts w:cs="Arial"/>
                    </w:rPr>
                    <w:t>76-85</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86" w:type="dxa"/>
                    <w:bottom w:w="0" w:type="dxa"/>
                    <w:right w:w="86" w:type="dxa"/>
                  </w:tcMar>
                </w:tcPr>
                <w:p w14:paraId="5AD14642" w14:textId="45BEC396" w:rsidR="004054A3" w:rsidRPr="005D4222" w:rsidRDefault="004054A3" w:rsidP="004054A3">
                  <w:pPr>
                    <w:pStyle w:val="TableText"/>
                    <w:rPr>
                      <w:rFonts w:cs="Arial"/>
                    </w:rPr>
                  </w:pPr>
                  <w:r w:rsidRPr="005D4222">
                    <w:rPr>
                      <w:rFonts w:cs="Arial"/>
                    </w:rPr>
                    <w:t>Denominator</w:t>
                  </w:r>
                </w:p>
              </w:tc>
              <w:tc>
                <w:tcPr>
                  <w:tcW w:w="2071" w:type="dxa"/>
                  <w:tcBorders>
                    <w:top w:val="single" w:sz="6" w:space="0" w:color="auto"/>
                    <w:left w:val="single" w:sz="4" w:space="0" w:color="auto"/>
                    <w:bottom w:val="single" w:sz="6" w:space="0" w:color="auto"/>
                    <w:right w:val="single" w:sz="4" w:space="0" w:color="auto"/>
                  </w:tcBorders>
                  <w:shd w:val="clear" w:color="auto" w:fill="FFFFFF" w:themeFill="background1"/>
                  <w:tcMar>
                    <w:top w:w="0" w:type="dxa"/>
                    <w:left w:w="86" w:type="dxa"/>
                    <w:bottom w:w="0" w:type="dxa"/>
                    <w:right w:w="86" w:type="dxa"/>
                  </w:tcMar>
                </w:tcPr>
                <w:p w14:paraId="298149CA" w14:textId="4262354C" w:rsidR="004054A3" w:rsidRPr="005D4222" w:rsidRDefault="004054A3" w:rsidP="004054A3">
                  <w:pPr>
                    <w:pStyle w:val="TableText"/>
                    <w:rPr>
                      <w:rFonts w:eastAsia="Wingdings" w:cs="Arial"/>
                      <w:szCs w:val="21"/>
                    </w:rPr>
                  </w:pPr>
                  <w:r w:rsidRPr="005D4222">
                    <w:rPr>
                      <w:rFonts w:eastAsia="Wingdings" w:cs="Arial"/>
                    </w:rPr>
                    <w:t>For each Stratification</w:t>
                  </w:r>
                </w:p>
              </w:tc>
            </w:tr>
            <w:tr w:rsidR="004054A3" w:rsidRPr="005D4222" w14:paraId="5E573CFD" w14:textId="77777777" w:rsidTr="009F56E3">
              <w:trPr>
                <w:trHeight w:val="244"/>
              </w:trPr>
              <w:tc>
                <w:tcPr>
                  <w:tcW w:w="2066" w:type="dxa"/>
                  <w:tcBorders>
                    <w:top w:val="nil"/>
                    <w:left w:val="nil"/>
                    <w:bottom w:val="nil"/>
                    <w:right w:val="single" w:sz="4" w:space="0" w:color="auto"/>
                  </w:tcBorders>
                  <w:shd w:val="clear" w:color="auto" w:fill="FFFFFF" w:themeFill="background1"/>
                  <w:tcMar>
                    <w:top w:w="0" w:type="dxa"/>
                    <w:left w:w="86" w:type="dxa"/>
                    <w:bottom w:w="0" w:type="dxa"/>
                    <w:right w:w="86" w:type="dxa"/>
                  </w:tcMar>
                </w:tcPr>
                <w:p w14:paraId="623D6276" w14:textId="77777777" w:rsidR="004054A3" w:rsidRPr="005D4222" w:rsidRDefault="004054A3" w:rsidP="004054A3">
                  <w:pPr>
                    <w:pStyle w:val="TableText"/>
                    <w:rPr>
                      <w:rFonts w:cs="Arial"/>
                      <w:szCs w:val="21"/>
                    </w:rPr>
                  </w:pPr>
                </w:p>
              </w:tc>
              <w:tc>
                <w:tcPr>
                  <w:tcW w:w="9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86" w:type="dxa"/>
                    <w:bottom w:w="0" w:type="dxa"/>
                    <w:right w:w="86" w:type="dxa"/>
                  </w:tcMar>
                  <w:hideMark/>
                </w:tcPr>
                <w:p w14:paraId="67F744A6" w14:textId="77777777" w:rsidR="004054A3" w:rsidRPr="005D4222" w:rsidRDefault="004054A3" w:rsidP="004054A3">
                  <w:pPr>
                    <w:pStyle w:val="TableText"/>
                    <w:rPr>
                      <w:rFonts w:cs="Arial"/>
                      <w:szCs w:val="21"/>
                    </w:rPr>
                  </w:pPr>
                  <w:r w:rsidRPr="005D4222">
                    <w:rPr>
                      <w:rFonts w:cs="Arial"/>
                      <w:szCs w:val="21"/>
                    </w:rPr>
                    <w:t>Total</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86" w:type="dxa"/>
                    <w:bottom w:w="0" w:type="dxa"/>
                    <w:right w:w="86" w:type="dxa"/>
                  </w:tcMar>
                  <w:hideMark/>
                </w:tcPr>
                <w:p w14:paraId="141170D8" w14:textId="77777777" w:rsidR="004054A3" w:rsidRPr="005D4222" w:rsidRDefault="004054A3" w:rsidP="004054A3">
                  <w:pPr>
                    <w:pStyle w:val="TableText"/>
                    <w:rPr>
                      <w:rFonts w:cs="Arial"/>
                      <w:szCs w:val="21"/>
                    </w:rPr>
                  </w:pPr>
                  <w:r w:rsidRPr="005D4222">
                    <w:rPr>
                      <w:rFonts w:cs="Arial"/>
                      <w:szCs w:val="21"/>
                    </w:rPr>
                    <w:t>NumeratorByAdmin</w:t>
                  </w:r>
                </w:p>
              </w:tc>
              <w:tc>
                <w:tcPr>
                  <w:tcW w:w="2071" w:type="dxa"/>
                  <w:tcBorders>
                    <w:top w:val="single" w:sz="6" w:space="0" w:color="auto"/>
                    <w:left w:val="single" w:sz="4" w:space="0" w:color="auto"/>
                    <w:bottom w:val="single" w:sz="6" w:space="0" w:color="auto"/>
                    <w:right w:val="single" w:sz="4" w:space="0" w:color="auto"/>
                  </w:tcBorders>
                  <w:shd w:val="clear" w:color="auto" w:fill="FFFFFF" w:themeFill="background1"/>
                  <w:tcMar>
                    <w:top w:w="0" w:type="dxa"/>
                    <w:left w:w="86" w:type="dxa"/>
                    <w:bottom w:w="0" w:type="dxa"/>
                    <w:right w:w="86" w:type="dxa"/>
                  </w:tcMar>
                  <w:hideMark/>
                </w:tcPr>
                <w:p w14:paraId="7C22CE74" w14:textId="77777777" w:rsidR="004054A3" w:rsidRPr="005D4222" w:rsidRDefault="004054A3" w:rsidP="004054A3">
                  <w:pPr>
                    <w:pStyle w:val="TableText"/>
                    <w:rPr>
                      <w:rFonts w:eastAsia="Wingdings" w:cs="Arial"/>
                      <w:szCs w:val="21"/>
                    </w:rPr>
                  </w:pPr>
                  <w:r w:rsidRPr="005D4222">
                    <w:rPr>
                      <w:rFonts w:eastAsia="Wingdings" w:cs="Arial"/>
                      <w:szCs w:val="21"/>
                    </w:rPr>
                    <w:t>For each Stratification</w:t>
                  </w:r>
                </w:p>
              </w:tc>
            </w:tr>
            <w:tr w:rsidR="004054A3" w:rsidRPr="005D4222" w14:paraId="74B0CA0A" w14:textId="77777777" w:rsidTr="009F56E3">
              <w:trPr>
                <w:trHeight w:val="254"/>
              </w:trPr>
              <w:tc>
                <w:tcPr>
                  <w:tcW w:w="2066" w:type="dxa"/>
                  <w:tcBorders>
                    <w:top w:val="nil"/>
                    <w:left w:val="nil"/>
                    <w:bottom w:val="nil"/>
                    <w:right w:val="nil"/>
                  </w:tcBorders>
                  <w:shd w:val="clear" w:color="auto" w:fill="FFFFFF" w:themeFill="background1"/>
                  <w:tcMar>
                    <w:top w:w="0" w:type="dxa"/>
                    <w:left w:w="86" w:type="dxa"/>
                    <w:bottom w:w="0" w:type="dxa"/>
                    <w:right w:w="86" w:type="dxa"/>
                  </w:tcMar>
                </w:tcPr>
                <w:p w14:paraId="53CB91B2" w14:textId="77777777" w:rsidR="004054A3" w:rsidRPr="005D4222" w:rsidRDefault="004054A3" w:rsidP="004054A3">
                  <w:pPr>
                    <w:pStyle w:val="TableText"/>
                    <w:rPr>
                      <w:rFonts w:cs="Arial"/>
                      <w:szCs w:val="21"/>
                    </w:rPr>
                  </w:pPr>
                </w:p>
              </w:tc>
              <w:tc>
                <w:tcPr>
                  <w:tcW w:w="900" w:type="dxa"/>
                  <w:tcBorders>
                    <w:top w:val="single" w:sz="4" w:space="0" w:color="auto"/>
                    <w:left w:val="nil"/>
                    <w:bottom w:val="nil"/>
                    <w:right w:val="single" w:sz="4" w:space="0" w:color="auto"/>
                  </w:tcBorders>
                  <w:shd w:val="clear" w:color="auto" w:fill="FFFFFF" w:themeFill="background1"/>
                  <w:tcMar>
                    <w:top w:w="0" w:type="dxa"/>
                    <w:left w:w="86" w:type="dxa"/>
                    <w:bottom w:w="0" w:type="dxa"/>
                    <w:right w:w="86" w:type="dxa"/>
                  </w:tcMar>
                  <w:hideMark/>
                </w:tcPr>
                <w:p w14:paraId="43A1470F" w14:textId="77777777" w:rsidR="004054A3" w:rsidRPr="005D4222" w:rsidRDefault="004054A3" w:rsidP="004054A3">
                  <w:pPr>
                    <w:pStyle w:val="TableText"/>
                    <w:rPr>
                      <w:rFonts w:cs="Arial"/>
                      <w:szCs w:val="21"/>
                    </w:rPr>
                  </w:pP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86" w:type="dxa"/>
                    <w:bottom w:w="0" w:type="dxa"/>
                    <w:right w:w="86" w:type="dxa"/>
                  </w:tcMar>
                  <w:hideMark/>
                </w:tcPr>
                <w:p w14:paraId="1D2FEBC9" w14:textId="77777777" w:rsidR="004054A3" w:rsidRPr="005D4222" w:rsidRDefault="004054A3" w:rsidP="004054A3">
                  <w:pPr>
                    <w:pStyle w:val="TableText"/>
                    <w:rPr>
                      <w:rFonts w:cs="Arial"/>
                      <w:szCs w:val="21"/>
                    </w:rPr>
                  </w:pPr>
                  <w:r w:rsidRPr="005D4222">
                    <w:rPr>
                      <w:rFonts w:cs="Arial"/>
                      <w:szCs w:val="21"/>
                    </w:rPr>
                    <w:t>NumeratorBySupplemental</w:t>
                  </w:r>
                </w:p>
              </w:tc>
              <w:tc>
                <w:tcPr>
                  <w:tcW w:w="2071" w:type="dxa"/>
                  <w:tcBorders>
                    <w:top w:val="single" w:sz="6" w:space="0" w:color="auto"/>
                    <w:left w:val="single" w:sz="4" w:space="0" w:color="auto"/>
                    <w:bottom w:val="single" w:sz="6" w:space="0" w:color="auto"/>
                    <w:right w:val="single" w:sz="4" w:space="0" w:color="auto"/>
                  </w:tcBorders>
                  <w:shd w:val="clear" w:color="auto" w:fill="FFFFFF" w:themeFill="background1"/>
                  <w:tcMar>
                    <w:top w:w="0" w:type="dxa"/>
                    <w:left w:w="86" w:type="dxa"/>
                    <w:bottom w:w="0" w:type="dxa"/>
                    <w:right w:w="86" w:type="dxa"/>
                  </w:tcMar>
                  <w:hideMark/>
                </w:tcPr>
                <w:p w14:paraId="52752F9F" w14:textId="77777777" w:rsidR="004054A3" w:rsidRPr="005D4222" w:rsidRDefault="004054A3" w:rsidP="004054A3">
                  <w:pPr>
                    <w:pStyle w:val="TableText"/>
                    <w:rPr>
                      <w:rFonts w:eastAsia="Wingdings" w:cs="Arial"/>
                      <w:szCs w:val="21"/>
                    </w:rPr>
                  </w:pPr>
                  <w:r w:rsidRPr="005D4222">
                    <w:rPr>
                      <w:rFonts w:eastAsia="Wingdings" w:cs="Arial"/>
                      <w:szCs w:val="21"/>
                    </w:rPr>
                    <w:t>For each Stratification</w:t>
                  </w:r>
                </w:p>
              </w:tc>
            </w:tr>
            <w:tr w:rsidR="004054A3" w:rsidRPr="005D4222" w14:paraId="57760987" w14:textId="77777777" w:rsidTr="009F56E3">
              <w:trPr>
                <w:trHeight w:val="244"/>
              </w:trPr>
              <w:tc>
                <w:tcPr>
                  <w:tcW w:w="2066" w:type="dxa"/>
                  <w:tcBorders>
                    <w:top w:val="nil"/>
                    <w:left w:val="nil"/>
                    <w:bottom w:val="nil"/>
                    <w:right w:val="nil"/>
                  </w:tcBorders>
                  <w:shd w:val="clear" w:color="auto" w:fill="FFFFFF" w:themeFill="background1"/>
                  <w:tcMar>
                    <w:top w:w="0" w:type="dxa"/>
                    <w:left w:w="86" w:type="dxa"/>
                    <w:bottom w:w="0" w:type="dxa"/>
                    <w:right w:w="86" w:type="dxa"/>
                  </w:tcMar>
                </w:tcPr>
                <w:p w14:paraId="3D43D553" w14:textId="77777777" w:rsidR="004054A3" w:rsidRPr="005D4222" w:rsidRDefault="004054A3" w:rsidP="004054A3">
                  <w:pPr>
                    <w:pStyle w:val="TableText"/>
                    <w:rPr>
                      <w:rFonts w:cs="Arial"/>
                      <w:szCs w:val="21"/>
                    </w:rPr>
                  </w:pPr>
                </w:p>
              </w:tc>
              <w:tc>
                <w:tcPr>
                  <w:tcW w:w="900" w:type="dxa"/>
                  <w:tcBorders>
                    <w:top w:val="nil"/>
                    <w:left w:val="nil"/>
                    <w:bottom w:val="nil"/>
                    <w:right w:val="single" w:sz="4" w:space="0" w:color="auto"/>
                  </w:tcBorders>
                  <w:shd w:val="clear" w:color="auto" w:fill="FFFFFF" w:themeFill="background1"/>
                  <w:tcMar>
                    <w:top w:w="0" w:type="dxa"/>
                    <w:left w:w="86" w:type="dxa"/>
                    <w:bottom w:w="0" w:type="dxa"/>
                    <w:right w:w="86" w:type="dxa"/>
                  </w:tcMar>
                </w:tcPr>
                <w:p w14:paraId="6E5B9602" w14:textId="77777777" w:rsidR="004054A3" w:rsidRPr="005D4222" w:rsidRDefault="004054A3" w:rsidP="004054A3">
                  <w:pPr>
                    <w:pStyle w:val="TableText"/>
                    <w:rPr>
                      <w:rFonts w:cs="Arial"/>
                      <w:szCs w:val="21"/>
                    </w:rPr>
                  </w:pPr>
                </w:p>
              </w:tc>
              <w:tc>
                <w:tcPr>
                  <w:tcW w:w="23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86" w:type="dxa"/>
                    <w:bottom w:w="0" w:type="dxa"/>
                    <w:right w:w="86" w:type="dxa"/>
                  </w:tcMar>
                  <w:hideMark/>
                </w:tcPr>
                <w:p w14:paraId="4A96C828" w14:textId="77777777" w:rsidR="004054A3" w:rsidRPr="005D4222" w:rsidRDefault="004054A3" w:rsidP="004054A3">
                  <w:pPr>
                    <w:pStyle w:val="TableText"/>
                    <w:rPr>
                      <w:rFonts w:cs="Arial"/>
                      <w:szCs w:val="21"/>
                    </w:rPr>
                  </w:pPr>
                  <w:r w:rsidRPr="005D4222">
                    <w:rPr>
                      <w:rFonts w:cs="Arial"/>
                      <w:szCs w:val="21"/>
                    </w:rPr>
                    <w:t>Rate</w:t>
                  </w:r>
                </w:p>
              </w:tc>
              <w:tc>
                <w:tcPr>
                  <w:tcW w:w="2071" w:type="dxa"/>
                  <w:tcBorders>
                    <w:top w:val="single" w:sz="6" w:space="0" w:color="auto"/>
                    <w:left w:val="single" w:sz="4" w:space="0" w:color="auto"/>
                    <w:bottom w:val="single" w:sz="6" w:space="0" w:color="auto"/>
                    <w:right w:val="single" w:sz="4" w:space="0" w:color="auto"/>
                  </w:tcBorders>
                  <w:shd w:val="clear" w:color="auto" w:fill="D9D9D9" w:themeFill="background1" w:themeFillShade="D9"/>
                  <w:tcMar>
                    <w:top w:w="0" w:type="dxa"/>
                    <w:left w:w="86" w:type="dxa"/>
                    <w:bottom w:w="0" w:type="dxa"/>
                    <w:right w:w="86" w:type="dxa"/>
                  </w:tcMar>
                  <w:hideMark/>
                </w:tcPr>
                <w:p w14:paraId="15898312" w14:textId="77777777" w:rsidR="004054A3" w:rsidRPr="005D4222" w:rsidRDefault="004054A3" w:rsidP="004054A3">
                  <w:pPr>
                    <w:pStyle w:val="TableText"/>
                    <w:rPr>
                      <w:rFonts w:eastAsia="Wingdings" w:cs="Arial"/>
                      <w:szCs w:val="21"/>
                    </w:rPr>
                  </w:pPr>
                  <w:r w:rsidRPr="005D4222">
                    <w:rPr>
                      <w:rFonts w:eastAsia="Wingdings" w:cs="Arial"/>
                      <w:szCs w:val="21"/>
                    </w:rPr>
                    <w:t>(Percent)</w:t>
                  </w:r>
                </w:p>
              </w:tc>
            </w:tr>
          </w:tbl>
          <w:p w14:paraId="66585E87" w14:textId="2C1DB62E" w:rsidR="004054A3" w:rsidRPr="005D4222" w:rsidRDefault="004054A3">
            <w:pPr>
              <w:pStyle w:val="Heading3"/>
            </w:pPr>
            <w:r w:rsidRPr="005D4222">
              <w:t xml:space="preserve">Table KED-B-1/2/3: Data Elements for Kidney Health Evaluation for Patients With Diabetes: </w:t>
            </w:r>
            <w:r w:rsidR="00B51CDC" w:rsidRPr="005D4222">
              <w:t>Stratifications</w:t>
            </w:r>
            <w:r w:rsidRPr="005D4222">
              <w:t xml:space="preserve"> by Race </w:t>
            </w:r>
          </w:p>
          <w:tbl>
            <w:tblPr>
              <w:tblW w:w="5000" w:type="pct"/>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063"/>
              <w:gridCol w:w="2880"/>
              <w:gridCol w:w="1170"/>
              <w:gridCol w:w="1258"/>
            </w:tblGrid>
            <w:tr w:rsidR="004054A3" w:rsidRPr="005D4222" w14:paraId="0189576F" w14:textId="77777777">
              <w:trPr>
                <w:trHeight w:val="300"/>
              </w:trPr>
              <w:tc>
                <w:tcPr>
                  <w:tcW w:w="2063" w:type="dxa"/>
                  <w:tcBorders>
                    <w:top w:val="single" w:sz="6" w:space="0" w:color="000000" w:themeColor="text1"/>
                    <w:left w:val="single" w:sz="6" w:space="0" w:color="auto"/>
                    <w:bottom w:val="single" w:sz="6" w:space="0" w:color="auto"/>
                    <w:right w:val="single" w:sz="6" w:space="0" w:color="FFFFFF" w:themeColor="background1"/>
                  </w:tcBorders>
                  <w:shd w:val="clear" w:color="auto" w:fill="000000" w:themeFill="text1"/>
                  <w:tcMar>
                    <w:top w:w="0" w:type="dxa"/>
                    <w:left w:w="86" w:type="dxa"/>
                    <w:bottom w:w="0" w:type="dxa"/>
                    <w:right w:w="86" w:type="dxa"/>
                  </w:tcMar>
                  <w:vAlign w:val="bottom"/>
                  <w:hideMark/>
                </w:tcPr>
                <w:p w14:paraId="672F3CC1" w14:textId="77777777" w:rsidR="004054A3" w:rsidRPr="005D4222" w:rsidRDefault="004054A3">
                  <w:pPr>
                    <w:pStyle w:val="TableHead"/>
                    <w:rPr>
                      <w:rFonts w:cs="Arial"/>
                    </w:rPr>
                  </w:pPr>
                  <w:r w:rsidRPr="005D4222">
                    <w:rPr>
                      <w:rFonts w:cs="Arial"/>
                    </w:rPr>
                    <w:t>Metric</w:t>
                  </w:r>
                </w:p>
              </w:tc>
              <w:tc>
                <w:tcPr>
                  <w:tcW w:w="2880" w:type="dxa"/>
                  <w:tcBorders>
                    <w:top w:val="single" w:sz="6" w:space="0" w:color="000000" w:themeColor="text1"/>
                    <w:left w:val="single" w:sz="6" w:space="0" w:color="FFFFFF" w:themeColor="background1"/>
                    <w:bottom w:val="single" w:sz="6" w:space="0" w:color="000000" w:themeColor="text1"/>
                    <w:right w:val="single" w:sz="6" w:space="0" w:color="FFFFFF" w:themeColor="background1"/>
                  </w:tcBorders>
                  <w:shd w:val="clear" w:color="auto" w:fill="000000" w:themeFill="text1"/>
                  <w:tcMar>
                    <w:top w:w="0" w:type="dxa"/>
                    <w:left w:w="86" w:type="dxa"/>
                    <w:bottom w:w="0" w:type="dxa"/>
                    <w:right w:w="86" w:type="dxa"/>
                  </w:tcMar>
                  <w:vAlign w:val="bottom"/>
                  <w:hideMark/>
                </w:tcPr>
                <w:p w14:paraId="1A3A9E8B" w14:textId="77777777" w:rsidR="004054A3" w:rsidRPr="005D4222" w:rsidRDefault="004054A3">
                  <w:pPr>
                    <w:pStyle w:val="TableHead"/>
                    <w:rPr>
                      <w:rFonts w:cs="Arial"/>
                    </w:rPr>
                  </w:pPr>
                  <w:r w:rsidRPr="005D4222">
                    <w:rPr>
                      <w:rFonts w:cs="Arial"/>
                    </w:rPr>
                    <w:t>Race</w:t>
                  </w:r>
                </w:p>
              </w:tc>
              <w:tc>
                <w:tcPr>
                  <w:tcW w:w="1170" w:type="dxa"/>
                  <w:tcBorders>
                    <w:top w:val="single" w:sz="6" w:space="0" w:color="000000" w:themeColor="text1"/>
                    <w:left w:val="single" w:sz="6" w:space="0" w:color="FFFFFF" w:themeColor="background1"/>
                    <w:bottom w:val="single" w:sz="6" w:space="0" w:color="000000" w:themeColor="text1"/>
                    <w:right w:val="single" w:sz="6" w:space="0" w:color="FFFFFF" w:themeColor="background1"/>
                  </w:tcBorders>
                  <w:shd w:val="clear" w:color="auto" w:fill="000000" w:themeFill="text1"/>
                  <w:tcMar>
                    <w:top w:w="0" w:type="dxa"/>
                    <w:left w:w="86" w:type="dxa"/>
                    <w:bottom w:w="0" w:type="dxa"/>
                    <w:right w:w="86" w:type="dxa"/>
                  </w:tcMar>
                  <w:vAlign w:val="bottom"/>
                  <w:hideMark/>
                </w:tcPr>
                <w:p w14:paraId="55E0F996" w14:textId="77777777" w:rsidR="004054A3" w:rsidRPr="005D4222" w:rsidRDefault="004054A3">
                  <w:pPr>
                    <w:pStyle w:val="TableHead"/>
                    <w:rPr>
                      <w:rFonts w:cs="Arial"/>
                    </w:rPr>
                  </w:pPr>
                  <w:r w:rsidRPr="005D4222">
                    <w:rPr>
                      <w:rFonts w:cs="Arial"/>
                    </w:rPr>
                    <w:t>Data Element</w:t>
                  </w:r>
                </w:p>
              </w:tc>
              <w:tc>
                <w:tcPr>
                  <w:tcW w:w="1258" w:type="dxa"/>
                  <w:tcBorders>
                    <w:top w:val="single" w:sz="6" w:space="0" w:color="000000" w:themeColor="text1"/>
                    <w:left w:val="single" w:sz="6" w:space="0" w:color="FFFFFF" w:themeColor="background1"/>
                    <w:bottom w:val="single" w:sz="6" w:space="0" w:color="000000" w:themeColor="text1"/>
                    <w:right w:val="single" w:sz="6" w:space="0" w:color="auto"/>
                  </w:tcBorders>
                  <w:shd w:val="clear" w:color="auto" w:fill="000000" w:themeFill="text1"/>
                  <w:tcMar>
                    <w:top w:w="0" w:type="dxa"/>
                    <w:left w:w="86" w:type="dxa"/>
                    <w:bottom w:w="0" w:type="dxa"/>
                    <w:right w:w="86" w:type="dxa"/>
                  </w:tcMar>
                  <w:vAlign w:val="bottom"/>
                  <w:hideMark/>
                </w:tcPr>
                <w:p w14:paraId="32D3C716" w14:textId="77777777" w:rsidR="004054A3" w:rsidRPr="005D4222" w:rsidRDefault="004054A3">
                  <w:pPr>
                    <w:pStyle w:val="TableHead"/>
                    <w:rPr>
                      <w:rFonts w:cs="Arial"/>
                    </w:rPr>
                  </w:pPr>
                  <w:r w:rsidRPr="005D4222">
                    <w:rPr>
                      <w:rFonts w:cs="Arial"/>
                    </w:rPr>
                    <w:t>Reporting Instructions</w:t>
                  </w:r>
                </w:p>
              </w:tc>
            </w:tr>
            <w:tr w:rsidR="004054A3" w:rsidRPr="005D4222" w14:paraId="3E0B2B11" w14:textId="77777777">
              <w:trPr>
                <w:trHeight w:val="300"/>
              </w:trPr>
              <w:tc>
                <w:tcPr>
                  <w:tcW w:w="2063" w:type="dxa"/>
                  <w:tcBorders>
                    <w:top w:val="single" w:sz="6" w:space="0" w:color="auto"/>
                    <w:left w:val="single" w:sz="6" w:space="0" w:color="auto"/>
                    <w:bottom w:val="single" w:sz="6" w:space="0" w:color="auto"/>
                    <w:right w:val="single" w:sz="6" w:space="0" w:color="auto"/>
                  </w:tcBorders>
                  <w:tcMar>
                    <w:top w:w="0" w:type="dxa"/>
                    <w:left w:w="86" w:type="dxa"/>
                    <w:bottom w:w="0" w:type="dxa"/>
                    <w:right w:w="86" w:type="dxa"/>
                  </w:tcMar>
                  <w:hideMark/>
                </w:tcPr>
                <w:p w14:paraId="0CEBF8E5" w14:textId="77777777" w:rsidR="004054A3" w:rsidRPr="005D4222" w:rsidRDefault="004054A3">
                  <w:pPr>
                    <w:pStyle w:val="TableText"/>
                    <w:rPr>
                      <w:rFonts w:cs="Arial"/>
                      <w:szCs w:val="21"/>
                    </w:rPr>
                  </w:pPr>
                  <w:r w:rsidRPr="005D4222">
                    <w:rPr>
                      <w:rFonts w:cs="Arial"/>
                      <w:szCs w:val="21"/>
                    </w:rPr>
                    <w:t xml:space="preserve">KidneyHealthEvaluation </w:t>
                  </w:r>
                </w:p>
              </w:tc>
              <w:tc>
                <w:tcPr>
                  <w:tcW w:w="2880" w:type="dxa"/>
                  <w:tcBorders>
                    <w:top w:val="single" w:sz="6" w:space="0" w:color="000000" w:themeColor="text1"/>
                    <w:left w:val="single" w:sz="6" w:space="0" w:color="auto"/>
                    <w:bottom w:val="single" w:sz="6" w:space="0" w:color="auto"/>
                    <w:right w:val="single" w:sz="6" w:space="0" w:color="auto"/>
                  </w:tcBorders>
                  <w:tcMar>
                    <w:top w:w="0" w:type="dxa"/>
                    <w:left w:w="86" w:type="dxa"/>
                    <w:bottom w:w="0" w:type="dxa"/>
                    <w:right w:w="86" w:type="dxa"/>
                  </w:tcMar>
                  <w:hideMark/>
                </w:tcPr>
                <w:p w14:paraId="53B82C2D" w14:textId="77777777" w:rsidR="004054A3" w:rsidRPr="005D4222" w:rsidRDefault="004054A3">
                  <w:pPr>
                    <w:pStyle w:val="TableText"/>
                    <w:rPr>
                      <w:rFonts w:cs="Arial"/>
                      <w:szCs w:val="21"/>
                    </w:rPr>
                  </w:pPr>
                  <w:r w:rsidRPr="005D4222">
                    <w:rPr>
                      <w:rFonts w:cs="Arial"/>
                      <w:szCs w:val="21"/>
                    </w:rPr>
                    <w:t xml:space="preserve">AmericanIndianOrAlaskaNative </w:t>
                  </w:r>
                </w:p>
              </w:tc>
              <w:tc>
                <w:tcPr>
                  <w:tcW w:w="1170" w:type="dxa"/>
                  <w:tcBorders>
                    <w:top w:val="single" w:sz="6" w:space="0" w:color="000000" w:themeColor="text1"/>
                    <w:left w:val="single" w:sz="6" w:space="0" w:color="auto"/>
                    <w:bottom w:val="single" w:sz="6" w:space="0" w:color="auto"/>
                    <w:right w:val="single" w:sz="6" w:space="0" w:color="auto"/>
                  </w:tcBorders>
                  <w:tcMar>
                    <w:top w:w="0" w:type="dxa"/>
                    <w:left w:w="86" w:type="dxa"/>
                    <w:bottom w:w="0" w:type="dxa"/>
                    <w:right w:w="86" w:type="dxa"/>
                  </w:tcMar>
                  <w:hideMark/>
                </w:tcPr>
                <w:p w14:paraId="5B83AE86" w14:textId="77777777" w:rsidR="004054A3" w:rsidRPr="005D4222" w:rsidRDefault="004054A3">
                  <w:pPr>
                    <w:pStyle w:val="TableText"/>
                    <w:rPr>
                      <w:rFonts w:cs="Arial"/>
                      <w:szCs w:val="21"/>
                    </w:rPr>
                  </w:pPr>
                  <w:r w:rsidRPr="005D4222">
                    <w:rPr>
                      <w:rFonts w:cs="Arial"/>
                      <w:szCs w:val="21"/>
                    </w:rPr>
                    <w:t xml:space="preserve">Denominator </w:t>
                  </w:r>
                </w:p>
              </w:tc>
              <w:tc>
                <w:tcPr>
                  <w:tcW w:w="1258" w:type="dxa"/>
                  <w:tcBorders>
                    <w:top w:val="single" w:sz="6" w:space="0" w:color="000000" w:themeColor="text1"/>
                    <w:left w:val="single" w:sz="6" w:space="0" w:color="auto"/>
                    <w:bottom w:val="single" w:sz="6" w:space="0" w:color="auto"/>
                    <w:right w:val="single" w:sz="6" w:space="0" w:color="auto"/>
                  </w:tcBorders>
                  <w:tcMar>
                    <w:top w:w="0" w:type="dxa"/>
                    <w:left w:w="86" w:type="dxa"/>
                    <w:bottom w:w="0" w:type="dxa"/>
                    <w:right w:w="86" w:type="dxa"/>
                  </w:tcMar>
                  <w:hideMark/>
                </w:tcPr>
                <w:p w14:paraId="65CB29B0" w14:textId="77777777" w:rsidR="004054A3" w:rsidRPr="005D4222" w:rsidRDefault="004054A3">
                  <w:pPr>
                    <w:pStyle w:val="TableText"/>
                    <w:rPr>
                      <w:rFonts w:cs="Arial"/>
                      <w:szCs w:val="21"/>
                    </w:rPr>
                  </w:pPr>
                  <w:r w:rsidRPr="005D4222">
                    <w:rPr>
                      <w:rFonts w:cs="Arial"/>
                      <w:szCs w:val="21"/>
                    </w:rPr>
                    <w:t>For each Stratification</w:t>
                  </w:r>
                </w:p>
              </w:tc>
            </w:tr>
            <w:tr w:rsidR="004054A3" w:rsidRPr="005D4222" w14:paraId="4C0673E4" w14:textId="77777777">
              <w:trPr>
                <w:trHeight w:val="300"/>
              </w:trPr>
              <w:tc>
                <w:tcPr>
                  <w:tcW w:w="2063" w:type="dxa"/>
                  <w:tcBorders>
                    <w:top w:val="single" w:sz="6" w:space="0" w:color="auto"/>
                    <w:left w:val="nil"/>
                    <w:bottom w:val="nil"/>
                    <w:right w:val="single" w:sz="6" w:space="0" w:color="auto"/>
                  </w:tcBorders>
                  <w:tcMar>
                    <w:top w:w="0" w:type="dxa"/>
                    <w:left w:w="86" w:type="dxa"/>
                    <w:bottom w:w="0" w:type="dxa"/>
                    <w:right w:w="86" w:type="dxa"/>
                  </w:tcMar>
                  <w:hideMark/>
                </w:tcPr>
                <w:p w14:paraId="4D7FF4C1" w14:textId="77777777" w:rsidR="004054A3" w:rsidRPr="005D4222" w:rsidRDefault="004054A3">
                  <w:pPr>
                    <w:pStyle w:val="TableText"/>
                    <w:rPr>
                      <w:rFonts w:cs="Arial"/>
                      <w:szCs w:val="21"/>
                    </w:rPr>
                  </w:pPr>
                  <w:r w:rsidRPr="005D4222">
                    <w:rPr>
                      <w:rFonts w:cs="Arial"/>
                      <w:szCs w:val="21"/>
                    </w:rPr>
                    <w:t xml:space="preserve"> </w:t>
                  </w:r>
                </w:p>
              </w:tc>
              <w:tc>
                <w:tcPr>
                  <w:tcW w:w="2880"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86" w:type="dxa"/>
                    <w:bottom w:w="0" w:type="dxa"/>
                    <w:right w:w="86" w:type="dxa"/>
                  </w:tcMar>
                  <w:hideMark/>
                </w:tcPr>
                <w:p w14:paraId="40DD7830" w14:textId="77777777" w:rsidR="004054A3" w:rsidRPr="005D4222" w:rsidRDefault="004054A3">
                  <w:pPr>
                    <w:pStyle w:val="TableText"/>
                    <w:rPr>
                      <w:rFonts w:cs="Arial"/>
                      <w:szCs w:val="21"/>
                    </w:rPr>
                  </w:pPr>
                  <w:r w:rsidRPr="005D4222">
                    <w:rPr>
                      <w:rFonts w:cs="Arial"/>
                      <w:szCs w:val="21"/>
                    </w:rPr>
                    <w:t>Asian</w:t>
                  </w:r>
                </w:p>
              </w:tc>
              <w:tc>
                <w:tcPr>
                  <w:tcW w:w="1170"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86" w:type="dxa"/>
                    <w:bottom w:w="0" w:type="dxa"/>
                    <w:right w:w="86" w:type="dxa"/>
                  </w:tcMar>
                  <w:hideMark/>
                </w:tcPr>
                <w:p w14:paraId="0B58AEBE" w14:textId="77777777" w:rsidR="004054A3" w:rsidRPr="005D4222" w:rsidRDefault="004054A3">
                  <w:pPr>
                    <w:pStyle w:val="TableText"/>
                    <w:rPr>
                      <w:rFonts w:cs="Arial"/>
                      <w:szCs w:val="21"/>
                    </w:rPr>
                  </w:pPr>
                  <w:r w:rsidRPr="005D4222">
                    <w:rPr>
                      <w:rFonts w:cs="Arial"/>
                      <w:szCs w:val="21"/>
                    </w:rPr>
                    <w:t xml:space="preserve">Numerator </w:t>
                  </w:r>
                </w:p>
              </w:tc>
              <w:tc>
                <w:tcPr>
                  <w:tcW w:w="1258"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86" w:type="dxa"/>
                    <w:bottom w:w="0" w:type="dxa"/>
                    <w:right w:w="86" w:type="dxa"/>
                  </w:tcMar>
                  <w:hideMark/>
                </w:tcPr>
                <w:p w14:paraId="643478AD" w14:textId="77777777" w:rsidR="004054A3" w:rsidRPr="005D4222" w:rsidRDefault="004054A3">
                  <w:pPr>
                    <w:pStyle w:val="TableText"/>
                    <w:rPr>
                      <w:rFonts w:cs="Arial"/>
                      <w:szCs w:val="21"/>
                    </w:rPr>
                  </w:pPr>
                  <w:r w:rsidRPr="005D4222">
                    <w:rPr>
                      <w:rFonts w:cs="Arial"/>
                      <w:szCs w:val="21"/>
                    </w:rPr>
                    <w:t xml:space="preserve">For each Stratification </w:t>
                  </w:r>
                </w:p>
              </w:tc>
            </w:tr>
            <w:tr w:rsidR="004054A3" w:rsidRPr="005D4222" w14:paraId="0176D478" w14:textId="77777777">
              <w:trPr>
                <w:trHeight w:val="300"/>
              </w:trPr>
              <w:tc>
                <w:tcPr>
                  <w:tcW w:w="2063" w:type="dxa"/>
                  <w:tcBorders>
                    <w:top w:val="nil"/>
                    <w:left w:val="nil"/>
                    <w:bottom w:val="nil"/>
                    <w:right w:val="single" w:sz="6" w:space="0" w:color="auto"/>
                  </w:tcBorders>
                  <w:tcMar>
                    <w:top w:w="0" w:type="dxa"/>
                    <w:left w:w="86" w:type="dxa"/>
                    <w:bottom w:w="0" w:type="dxa"/>
                    <w:right w:w="86" w:type="dxa"/>
                  </w:tcMar>
                  <w:hideMark/>
                </w:tcPr>
                <w:p w14:paraId="2E98D303" w14:textId="77777777" w:rsidR="004054A3" w:rsidRPr="005D4222" w:rsidRDefault="004054A3">
                  <w:pPr>
                    <w:pStyle w:val="TableText"/>
                    <w:rPr>
                      <w:rFonts w:cs="Arial"/>
                      <w:szCs w:val="21"/>
                    </w:rPr>
                  </w:pPr>
                  <w:r w:rsidRPr="005D4222">
                    <w:rPr>
                      <w:rFonts w:cs="Arial"/>
                      <w:szCs w:val="21"/>
                    </w:rPr>
                    <w:t xml:space="preserve"> </w:t>
                  </w:r>
                </w:p>
              </w:tc>
              <w:tc>
                <w:tcPr>
                  <w:tcW w:w="2880" w:type="dxa"/>
                  <w:tcBorders>
                    <w:top w:val="single" w:sz="6" w:space="0" w:color="auto"/>
                    <w:left w:val="single" w:sz="6" w:space="0" w:color="auto"/>
                    <w:bottom w:val="single" w:sz="6" w:space="0" w:color="auto"/>
                    <w:right w:val="single" w:sz="6" w:space="0" w:color="auto"/>
                  </w:tcBorders>
                  <w:tcMar>
                    <w:top w:w="0" w:type="dxa"/>
                    <w:left w:w="86" w:type="dxa"/>
                    <w:bottom w:w="0" w:type="dxa"/>
                    <w:right w:w="86" w:type="dxa"/>
                  </w:tcMar>
                  <w:hideMark/>
                </w:tcPr>
                <w:p w14:paraId="37E3E41F" w14:textId="77777777" w:rsidR="004054A3" w:rsidRPr="005D4222" w:rsidRDefault="004054A3">
                  <w:pPr>
                    <w:pStyle w:val="TableText"/>
                    <w:rPr>
                      <w:rFonts w:cs="Arial"/>
                      <w:szCs w:val="21"/>
                    </w:rPr>
                  </w:pPr>
                  <w:r w:rsidRPr="005D4222">
                    <w:rPr>
                      <w:rFonts w:cs="Arial"/>
                      <w:szCs w:val="21"/>
                    </w:rPr>
                    <w:t xml:space="preserve">BlackOrAfricanAmerican </w:t>
                  </w:r>
                </w:p>
              </w:tc>
              <w:tc>
                <w:tcPr>
                  <w:tcW w:w="117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0" w:type="dxa"/>
                    <w:left w:w="86" w:type="dxa"/>
                    <w:bottom w:w="0" w:type="dxa"/>
                    <w:right w:w="86" w:type="dxa"/>
                  </w:tcMar>
                  <w:hideMark/>
                </w:tcPr>
                <w:p w14:paraId="3CB33E6C" w14:textId="77777777" w:rsidR="004054A3" w:rsidRPr="005D4222" w:rsidRDefault="004054A3">
                  <w:pPr>
                    <w:pStyle w:val="TableText"/>
                    <w:rPr>
                      <w:rFonts w:cs="Arial"/>
                      <w:szCs w:val="21"/>
                    </w:rPr>
                  </w:pPr>
                  <w:r w:rsidRPr="005D4222">
                    <w:rPr>
                      <w:rFonts w:cs="Arial"/>
                      <w:szCs w:val="21"/>
                    </w:rPr>
                    <w:t xml:space="preserve">Rate </w:t>
                  </w:r>
                </w:p>
              </w:tc>
              <w:tc>
                <w:tcPr>
                  <w:tcW w:w="125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0" w:type="dxa"/>
                    <w:left w:w="86" w:type="dxa"/>
                    <w:bottom w:w="0" w:type="dxa"/>
                    <w:right w:w="86" w:type="dxa"/>
                  </w:tcMar>
                  <w:hideMark/>
                </w:tcPr>
                <w:p w14:paraId="436E81D0" w14:textId="77777777" w:rsidR="004054A3" w:rsidRPr="005D4222" w:rsidRDefault="004054A3">
                  <w:pPr>
                    <w:pStyle w:val="TableText"/>
                    <w:rPr>
                      <w:rFonts w:cs="Arial"/>
                      <w:szCs w:val="21"/>
                    </w:rPr>
                  </w:pPr>
                  <w:r w:rsidRPr="005D4222">
                    <w:rPr>
                      <w:rFonts w:cs="Arial"/>
                      <w:szCs w:val="21"/>
                    </w:rPr>
                    <w:t xml:space="preserve">(Percent) </w:t>
                  </w:r>
                </w:p>
              </w:tc>
            </w:tr>
            <w:tr w:rsidR="004054A3" w:rsidRPr="005D4222" w14:paraId="5D79DF08" w14:textId="77777777">
              <w:trPr>
                <w:trHeight w:val="300"/>
              </w:trPr>
              <w:tc>
                <w:tcPr>
                  <w:tcW w:w="2063" w:type="dxa"/>
                  <w:tcBorders>
                    <w:top w:val="nil"/>
                    <w:left w:val="nil"/>
                    <w:bottom w:val="nil"/>
                    <w:right w:val="single" w:sz="6" w:space="0" w:color="auto"/>
                  </w:tcBorders>
                  <w:tcMar>
                    <w:top w:w="0" w:type="dxa"/>
                    <w:left w:w="86" w:type="dxa"/>
                    <w:bottom w:w="0" w:type="dxa"/>
                    <w:right w:w="86" w:type="dxa"/>
                  </w:tcMar>
                  <w:hideMark/>
                </w:tcPr>
                <w:p w14:paraId="46C1B325" w14:textId="77777777" w:rsidR="004054A3" w:rsidRPr="005D4222" w:rsidRDefault="004054A3">
                  <w:pPr>
                    <w:pStyle w:val="TableText"/>
                    <w:rPr>
                      <w:rFonts w:cs="Arial"/>
                      <w:szCs w:val="21"/>
                    </w:rPr>
                  </w:pPr>
                  <w:r w:rsidRPr="005D4222">
                    <w:rPr>
                      <w:rFonts w:cs="Arial"/>
                      <w:szCs w:val="21"/>
                    </w:rPr>
                    <w:t xml:space="preserve"> </w:t>
                  </w:r>
                </w:p>
              </w:tc>
              <w:tc>
                <w:tcPr>
                  <w:tcW w:w="2880" w:type="dxa"/>
                  <w:tcBorders>
                    <w:top w:val="single" w:sz="6" w:space="0" w:color="auto"/>
                    <w:left w:val="single" w:sz="6" w:space="0" w:color="auto"/>
                    <w:bottom w:val="single" w:sz="6" w:space="0" w:color="auto"/>
                    <w:right w:val="single" w:sz="6" w:space="0" w:color="auto"/>
                  </w:tcBorders>
                  <w:tcMar>
                    <w:top w:w="0" w:type="dxa"/>
                    <w:left w:w="86" w:type="dxa"/>
                    <w:bottom w:w="0" w:type="dxa"/>
                    <w:right w:w="86" w:type="dxa"/>
                  </w:tcMar>
                </w:tcPr>
                <w:p w14:paraId="10026B16" w14:textId="77777777" w:rsidR="004054A3" w:rsidRPr="005D4222" w:rsidRDefault="004054A3">
                  <w:pPr>
                    <w:pStyle w:val="TableText"/>
                    <w:rPr>
                      <w:rFonts w:cs="Arial"/>
                      <w:szCs w:val="21"/>
                    </w:rPr>
                  </w:pPr>
                  <w:r w:rsidRPr="005D4222">
                    <w:rPr>
                      <w:rFonts w:cs="Arial"/>
                      <w:szCs w:val="21"/>
                    </w:rPr>
                    <w:t>MiddleEasternOrNorthAfrican</w:t>
                  </w:r>
                </w:p>
              </w:tc>
              <w:tc>
                <w:tcPr>
                  <w:tcW w:w="1170" w:type="dxa"/>
                  <w:tcBorders>
                    <w:top w:val="single" w:sz="6" w:space="0" w:color="auto"/>
                    <w:left w:val="single" w:sz="6" w:space="0" w:color="auto"/>
                    <w:bottom w:val="nil"/>
                    <w:right w:val="nil"/>
                  </w:tcBorders>
                  <w:tcMar>
                    <w:top w:w="0" w:type="dxa"/>
                    <w:left w:w="86" w:type="dxa"/>
                    <w:bottom w:w="0" w:type="dxa"/>
                    <w:right w:w="86" w:type="dxa"/>
                  </w:tcMar>
                  <w:hideMark/>
                </w:tcPr>
                <w:p w14:paraId="47D2E55C" w14:textId="77777777" w:rsidR="004054A3" w:rsidRPr="005D4222" w:rsidRDefault="004054A3">
                  <w:pPr>
                    <w:pStyle w:val="TableText"/>
                    <w:rPr>
                      <w:rFonts w:cs="Arial"/>
                      <w:szCs w:val="21"/>
                    </w:rPr>
                  </w:pPr>
                  <w:r w:rsidRPr="005D4222">
                    <w:rPr>
                      <w:rFonts w:cs="Arial"/>
                      <w:szCs w:val="21"/>
                    </w:rPr>
                    <w:t xml:space="preserve"> </w:t>
                  </w:r>
                </w:p>
              </w:tc>
              <w:tc>
                <w:tcPr>
                  <w:tcW w:w="1258" w:type="dxa"/>
                  <w:tcBorders>
                    <w:top w:val="single" w:sz="6" w:space="0" w:color="auto"/>
                    <w:left w:val="nil"/>
                    <w:bottom w:val="nil"/>
                    <w:right w:val="nil"/>
                  </w:tcBorders>
                  <w:tcMar>
                    <w:top w:w="0" w:type="dxa"/>
                    <w:left w:w="86" w:type="dxa"/>
                    <w:bottom w:w="0" w:type="dxa"/>
                    <w:right w:w="86" w:type="dxa"/>
                  </w:tcMar>
                  <w:hideMark/>
                </w:tcPr>
                <w:p w14:paraId="00B5E75F" w14:textId="77777777" w:rsidR="004054A3" w:rsidRPr="005D4222" w:rsidRDefault="004054A3">
                  <w:pPr>
                    <w:pStyle w:val="TableText"/>
                    <w:rPr>
                      <w:rFonts w:cs="Arial"/>
                      <w:szCs w:val="21"/>
                    </w:rPr>
                  </w:pPr>
                  <w:r w:rsidRPr="005D4222">
                    <w:rPr>
                      <w:rFonts w:cs="Arial"/>
                      <w:szCs w:val="21"/>
                    </w:rPr>
                    <w:t xml:space="preserve"> </w:t>
                  </w:r>
                </w:p>
              </w:tc>
            </w:tr>
            <w:tr w:rsidR="004054A3" w:rsidRPr="005D4222" w14:paraId="5C0E9972" w14:textId="77777777">
              <w:trPr>
                <w:gridAfter w:val="1"/>
                <w:wAfter w:w="1258" w:type="dxa"/>
                <w:trHeight w:val="300"/>
              </w:trPr>
              <w:tc>
                <w:tcPr>
                  <w:tcW w:w="2063" w:type="dxa"/>
                  <w:tcBorders>
                    <w:top w:val="nil"/>
                    <w:left w:val="nil"/>
                    <w:bottom w:val="nil"/>
                    <w:right w:val="single" w:sz="6" w:space="0" w:color="auto"/>
                  </w:tcBorders>
                  <w:tcMar>
                    <w:top w:w="0" w:type="dxa"/>
                    <w:left w:w="86" w:type="dxa"/>
                    <w:bottom w:w="0" w:type="dxa"/>
                    <w:right w:w="86" w:type="dxa"/>
                  </w:tcMar>
                  <w:hideMark/>
                </w:tcPr>
                <w:p w14:paraId="276E269A" w14:textId="77777777" w:rsidR="004054A3" w:rsidRPr="005D4222" w:rsidRDefault="004054A3">
                  <w:pPr>
                    <w:pStyle w:val="TableText"/>
                    <w:rPr>
                      <w:rFonts w:cs="Arial"/>
                      <w:szCs w:val="21"/>
                    </w:rPr>
                  </w:pPr>
                  <w:r w:rsidRPr="005D4222">
                    <w:rPr>
                      <w:rFonts w:cs="Arial"/>
                      <w:szCs w:val="21"/>
                    </w:rPr>
                    <w:t xml:space="preserve"> </w:t>
                  </w:r>
                </w:p>
              </w:tc>
              <w:tc>
                <w:tcPr>
                  <w:tcW w:w="2880" w:type="dxa"/>
                  <w:tcBorders>
                    <w:top w:val="single" w:sz="6" w:space="0" w:color="auto"/>
                    <w:left w:val="single" w:sz="6" w:space="0" w:color="auto"/>
                    <w:bottom w:val="single" w:sz="6" w:space="0" w:color="auto"/>
                    <w:right w:val="single" w:sz="6" w:space="0" w:color="auto"/>
                  </w:tcBorders>
                  <w:tcMar>
                    <w:top w:w="0" w:type="dxa"/>
                    <w:left w:w="86" w:type="dxa"/>
                    <w:bottom w:w="0" w:type="dxa"/>
                    <w:right w:w="86" w:type="dxa"/>
                  </w:tcMar>
                  <w:hideMark/>
                </w:tcPr>
                <w:p w14:paraId="47CBA814" w14:textId="77777777" w:rsidR="004054A3" w:rsidRPr="005D4222" w:rsidRDefault="004054A3">
                  <w:pPr>
                    <w:pStyle w:val="TableText"/>
                    <w:rPr>
                      <w:rFonts w:cs="Arial"/>
                      <w:szCs w:val="21"/>
                    </w:rPr>
                  </w:pPr>
                  <w:r w:rsidRPr="005D4222">
                    <w:rPr>
                      <w:rFonts w:cs="Arial"/>
                      <w:szCs w:val="21"/>
                    </w:rPr>
                    <w:t xml:space="preserve">NativeHawaiianOrPacificIslander </w:t>
                  </w:r>
                </w:p>
              </w:tc>
              <w:tc>
                <w:tcPr>
                  <w:tcW w:w="1170" w:type="dxa"/>
                  <w:tcBorders>
                    <w:top w:val="nil"/>
                    <w:left w:val="nil"/>
                    <w:bottom w:val="nil"/>
                    <w:right w:val="nil"/>
                  </w:tcBorders>
                  <w:tcMar>
                    <w:top w:w="0" w:type="dxa"/>
                    <w:left w:w="86" w:type="dxa"/>
                    <w:bottom w:w="0" w:type="dxa"/>
                    <w:right w:w="86" w:type="dxa"/>
                  </w:tcMar>
                  <w:hideMark/>
                </w:tcPr>
                <w:p w14:paraId="6AFBE1B4" w14:textId="77777777" w:rsidR="004054A3" w:rsidRPr="005D4222" w:rsidRDefault="004054A3">
                  <w:pPr>
                    <w:pStyle w:val="TableText"/>
                    <w:rPr>
                      <w:rFonts w:cs="Arial"/>
                      <w:szCs w:val="21"/>
                    </w:rPr>
                  </w:pPr>
                  <w:r w:rsidRPr="005D4222">
                    <w:rPr>
                      <w:rFonts w:cs="Arial"/>
                      <w:szCs w:val="21"/>
                    </w:rPr>
                    <w:t xml:space="preserve"> </w:t>
                  </w:r>
                </w:p>
              </w:tc>
            </w:tr>
            <w:tr w:rsidR="004054A3" w:rsidRPr="005D4222" w14:paraId="2240A3DC" w14:textId="77777777">
              <w:trPr>
                <w:trHeight w:val="300"/>
              </w:trPr>
              <w:tc>
                <w:tcPr>
                  <w:tcW w:w="2063" w:type="dxa"/>
                  <w:tcBorders>
                    <w:top w:val="nil"/>
                    <w:left w:val="nil"/>
                    <w:bottom w:val="nil"/>
                    <w:right w:val="single" w:sz="6" w:space="0" w:color="auto"/>
                  </w:tcBorders>
                  <w:tcMar>
                    <w:top w:w="0" w:type="dxa"/>
                    <w:left w:w="86" w:type="dxa"/>
                    <w:bottom w:w="0" w:type="dxa"/>
                    <w:right w:w="86" w:type="dxa"/>
                  </w:tcMar>
                  <w:hideMark/>
                </w:tcPr>
                <w:p w14:paraId="37218959" w14:textId="77777777" w:rsidR="004054A3" w:rsidRPr="005D4222" w:rsidRDefault="004054A3">
                  <w:pPr>
                    <w:pStyle w:val="TableText"/>
                    <w:rPr>
                      <w:rFonts w:cs="Arial"/>
                      <w:szCs w:val="21"/>
                    </w:rPr>
                  </w:pPr>
                  <w:r w:rsidRPr="005D4222">
                    <w:rPr>
                      <w:rFonts w:cs="Arial"/>
                      <w:szCs w:val="21"/>
                    </w:rPr>
                    <w:t xml:space="preserve"> </w:t>
                  </w:r>
                </w:p>
              </w:tc>
              <w:tc>
                <w:tcPr>
                  <w:tcW w:w="2880" w:type="dxa"/>
                  <w:tcBorders>
                    <w:top w:val="single" w:sz="6" w:space="0" w:color="auto"/>
                    <w:left w:val="single" w:sz="6" w:space="0" w:color="auto"/>
                    <w:bottom w:val="single" w:sz="6" w:space="0" w:color="auto"/>
                    <w:right w:val="single" w:sz="6" w:space="0" w:color="auto"/>
                  </w:tcBorders>
                  <w:tcMar>
                    <w:top w:w="0" w:type="dxa"/>
                    <w:left w:w="86" w:type="dxa"/>
                    <w:bottom w:w="0" w:type="dxa"/>
                    <w:right w:w="86" w:type="dxa"/>
                  </w:tcMar>
                  <w:hideMark/>
                </w:tcPr>
                <w:p w14:paraId="1C9EFA7E" w14:textId="77777777" w:rsidR="004054A3" w:rsidRPr="005D4222" w:rsidRDefault="004054A3">
                  <w:pPr>
                    <w:pStyle w:val="TableText"/>
                    <w:rPr>
                      <w:rFonts w:cs="Arial"/>
                      <w:szCs w:val="21"/>
                    </w:rPr>
                  </w:pPr>
                  <w:r w:rsidRPr="005D4222">
                    <w:rPr>
                      <w:rFonts w:cs="Arial"/>
                      <w:szCs w:val="21"/>
                    </w:rPr>
                    <w:t>White</w:t>
                  </w:r>
                </w:p>
              </w:tc>
              <w:tc>
                <w:tcPr>
                  <w:tcW w:w="1170" w:type="dxa"/>
                  <w:tcBorders>
                    <w:top w:val="nil"/>
                    <w:left w:val="nil"/>
                    <w:bottom w:val="nil"/>
                    <w:right w:val="nil"/>
                  </w:tcBorders>
                  <w:tcMar>
                    <w:top w:w="0" w:type="dxa"/>
                    <w:left w:w="86" w:type="dxa"/>
                    <w:bottom w:w="0" w:type="dxa"/>
                    <w:right w:w="86" w:type="dxa"/>
                  </w:tcMar>
                  <w:hideMark/>
                </w:tcPr>
                <w:p w14:paraId="19FC817A" w14:textId="77777777" w:rsidR="004054A3" w:rsidRPr="005D4222" w:rsidRDefault="004054A3">
                  <w:pPr>
                    <w:pStyle w:val="TableText"/>
                    <w:rPr>
                      <w:rFonts w:cs="Arial"/>
                      <w:szCs w:val="21"/>
                    </w:rPr>
                  </w:pPr>
                  <w:r w:rsidRPr="005D4222">
                    <w:rPr>
                      <w:rFonts w:cs="Arial"/>
                      <w:szCs w:val="21"/>
                    </w:rPr>
                    <w:t xml:space="preserve"> </w:t>
                  </w:r>
                </w:p>
              </w:tc>
              <w:tc>
                <w:tcPr>
                  <w:tcW w:w="1258" w:type="dxa"/>
                  <w:tcBorders>
                    <w:top w:val="nil"/>
                    <w:left w:val="nil"/>
                    <w:bottom w:val="nil"/>
                    <w:right w:val="nil"/>
                  </w:tcBorders>
                  <w:tcMar>
                    <w:top w:w="0" w:type="dxa"/>
                    <w:left w:w="86" w:type="dxa"/>
                    <w:bottom w:w="0" w:type="dxa"/>
                    <w:right w:w="86" w:type="dxa"/>
                  </w:tcMar>
                  <w:hideMark/>
                </w:tcPr>
                <w:p w14:paraId="06FFE6A9" w14:textId="77777777" w:rsidR="004054A3" w:rsidRPr="005D4222" w:rsidRDefault="004054A3">
                  <w:pPr>
                    <w:pStyle w:val="TableText"/>
                    <w:rPr>
                      <w:rFonts w:cs="Arial"/>
                      <w:szCs w:val="21"/>
                    </w:rPr>
                  </w:pPr>
                  <w:r w:rsidRPr="005D4222">
                    <w:rPr>
                      <w:rFonts w:cs="Arial"/>
                      <w:szCs w:val="21"/>
                    </w:rPr>
                    <w:t xml:space="preserve"> </w:t>
                  </w:r>
                </w:p>
              </w:tc>
            </w:tr>
            <w:tr w:rsidR="004054A3" w:rsidRPr="005D4222" w14:paraId="5EEFD0BE" w14:textId="77777777">
              <w:trPr>
                <w:trHeight w:val="300"/>
              </w:trPr>
              <w:tc>
                <w:tcPr>
                  <w:tcW w:w="2063" w:type="dxa"/>
                  <w:tcBorders>
                    <w:top w:val="nil"/>
                    <w:left w:val="nil"/>
                    <w:bottom w:val="nil"/>
                    <w:right w:val="single" w:sz="6" w:space="0" w:color="auto"/>
                  </w:tcBorders>
                  <w:tcMar>
                    <w:top w:w="0" w:type="dxa"/>
                    <w:left w:w="86" w:type="dxa"/>
                    <w:bottom w:w="0" w:type="dxa"/>
                    <w:right w:w="86" w:type="dxa"/>
                  </w:tcMar>
                  <w:hideMark/>
                </w:tcPr>
                <w:p w14:paraId="24DAE6D2" w14:textId="77777777" w:rsidR="004054A3" w:rsidRPr="005D4222" w:rsidRDefault="004054A3">
                  <w:pPr>
                    <w:pStyle w:val="TableText"/>
                    <w:rPr>
                      <w:rFonts w:cs="Arial"/>
                      <w:szCs w:val="21"/>
                    </w:rPr>
                  </w:pPr>
                  <w:r w:rsidRPr="005D4222">
                    <w:rPr>
                      <w:rFonts w:cs="Arial"/>
                      <w:szCs w:val="21"/>
                    </w:rPr>
                    <w:t xml:space="preserve"> </w:t>
                  </w:r>
                </w:p>
              </w:tc>
              <w:tc>
                <w:tcPr>
                  <w:tcW w:w="2880" w:type="dxa"/>
                  <w:tcBorders>
                    <w:top w:val="single" w:sz="6" w:space="0" w:color="auto"/>
                    <w:left w:val="single" w:sz="6" w:space="0" w:color="auto"/>
                    <w:bottom w:val="single" w:sz="6" w:space="0" w:color="auto"/>
                    <w:right w:val="single" w:sz="6" w:space="0" w:color="auto"/>
                  </w:tcBorders>
                  <w:tcMar>
                    <w:top w:w="0" w:type="dxa"/>
                    <w:left w:w="86" w:type="dxa"/>
                    <w:bottom w:w="0" w:type="dxa"/>
                    <w:right w:w="86" w:type="dxa"/>
                  </w:tcMar>
                  <w:hideMark/>
                </w:tcPr>
                <w:p w14:paraId="7CD5CD18" w14:textId="77777777" w:rsidR="004054A3" w:rsidRPr="005D4222" w:rsidRDefault="004054A3">
                  <w:pPr>
                    <w:pStyle w:val="TableText"/>
                    <w:rPr>
                      <w:rFonts w:cs="Arial"/>
                      <w:szCs w:val="21"/>
                    </w:rPr>
                  </w:pPr>
                  <w:r w:rsidRPr="005D4222">
                    <w:rPr>
                      <w:rFonts w:cs="Arial"/>
                      <w:szCs w:val="21"/>
                    </w:rPr>
                    <w:t xml:space="preserve">SomeOtherRace </w:t>
                  </w:r>
                </w:p>
              </w:tc>
              <w:tc>
                <w:tcPr>
                  <w:tcW w:w="1170" w:type="dxa"/>
                  <w:tcBorders>
                    <w:top w:val="nil"/>
                    <w:left w:val="nil"/>
                    <w:bottom w:val="nil"/>
                    <w:right w:val="nil"/>
                  </w:tcBorders>
                  <w:tcMar>
                    <w:top w:w="0" w:type="dxa"/>
                    <w:left w:w="86" w:type="dxa"/>
                    <w:bottom w:w="0" w:type="dxa"/>
                    <w:right w:w="86" w:type="dxa"/>
                  </w:tcMar>
                  <w:hideMark/>
                </w:tcPr>
                <w:p w14:paraId="312A0483" w14:textId="77777777" w:rsidR="004054A3" w:rsidRPr="005D4222" w:rsidRDefault="004054A3">
                  <w:pPr>
                    <w:pStyle w:val="TableText"/>
                    <w:rPr>
                      <w:rFonts w:cs="Arial"/>
                      <w:szCs w:val="21"/>
                    </w:rPr>
                  </w:pPr>
                  <w:r w:rsidRPr="005D4222">
                    <w:rPr>
                      <w:rFonts w:cs="Arial"/>
                      <w:szCs w:val="21"/>
                    </w:rPr>
                    <w:t xml:space="preserve"> </w:t>
                  </w:r>
                </w:p>
              </w:tc>
              <w:tc>
                <w:tcPr>
                  <w:tcW w:w="1258" w:type="dxa"/>
                  <w:tcBorders>
                    <w:top w:val="nil"/>
                    <w:left w:val="nil"/>
                    <w:bottom w:val="nil"/>
                    <w:right w:val="nil"/>
                  </w:tcBorders>
                  <w:tcMar>
                    <w:top w:w="0" w:type="dxa"/>
                    <w:left w:w="86" w:type="dxa"/>
                    <w:bottom w:w="0" w:type="dxa"/>
                    <w:right w:w="86" w:type="dxa"/>
                  </w:tcMar>
                  <w:hideMark/>
                </w:tcPr>
                <w:p w14:paraId="33FBD38E" w14:textId="77777777" w:rsidR="004054A3" w:rsidRPr="005D4222" w:rsidRDefault="004054A3">
                  <w:pPr>
                    <w:pStyle w:val="TableText"/>
                    <w:rPr>
                      <w:rFonts w:cs="Arial"/>
                      <w:szCs w:val="21"/>
                    </w:rPr>
                  </w:pPr>
                  <w:r w:rsidRPr="005D4222">
                    <w:rPr>
                      <w:rFonts w:cs="Arial"/>
                      <w:szCs w:val="21"/>
                    </w:rPr>
                    <w:t xml:space="preserve"> </w:t>
                  </w:r>
                </w:p>
              </w:tc>
            </w:tr>
            <w:tr w:rsidR="004054A3" w:rsidRPr="005D4222" w14:paraId="23F59088" w14:textId="77777777">
              <w:trPr>
                <w:trHeight w:val="300"/>
              </w:trPr>
              <w:tc>
                <w:tcPr>
                  <w:tcW w:w="2063" w:type="dxa"/>
                  <w:tcBorders>
                    <w:top w:val="nil"/>
                    <w:left w:val="nil"/>
                    <w:bottom w:val="nil"/>
                    <w:right w:val="single" w:sz="6" w:space="0" w:color="auto"/>
                  </w:tcBorders>
                  <w:tcMar>
                    <w:top w:w="0" w:type="dxa"/>
                    <w:left w:w="86" w:type="dxa"/>
                    <w:bottom w:w="0" w:type="dxa"/>
                    <w:right w:w="86" w:type="dxa"/>
                  </w:tcMar>
                  <w:hideMark/>
                </w:tcPr>
                <w:p w14:paraId="3127E0EA" w14:textId="77777777" w:rsidR="004054A3" w:rsidRPr="005D4222" w:rsidRDefault="004054A3">
                  <w:pPr>
                    <w:pStyle w:val="TableText"/>
                    <w:rPr>
                      <w:rFonts w:cs="Arial"/>
                      <w:szCs w:val="21"/>
                    </w:rPr>
                  </w:pPr>
                  <w:r w:rsidRPr="005D4222">
                    <w:rPr>
                      <w:rFonts w:cs="Arial"/>
                      <w:szCs w:val="21"/>
                    </w:rPr>
                    <w:t xml:space="preserve"> </w:t>
                  </w:r>
                </w:p>
              </w:tc>
              <w:tc>
                <w:tcPr>
                  <w:tcW w:w="2880" w:type="dxa"/>
                  <w:tcBorders>
                    <w:top w:val="single" w:sz="6" w:space="0" w:color="auto"/>
                    <w:left w:val="single" w:sz="6" w:space="0" w:color="auto"/>
                    <w:bottom w:val="single" w:sz="6" w:space="0" w:color="auto"/>
                    <w:right w:val="single" w:sz="6" w:space="0" w:color="auto"/>
                  </w:tcBorders>
                  <w:tcMar>
                    <w:top w:w="0" w:type="dxa"/>
                    <w:left w:w="86" w:type="dxa"/>
                    <w:bottom w:w="0" w:type="dxa"/>
                    <w:right w:w="86" w:type="dxa"/>
                  </w:tcMar>
                  <w:hideMark/>
                </w:tcPr>
                <w:p w14:paraId="61EC4D51" w14:textId="77777777" w:rsidR="004054A3" w:rsidRPr="005D4222" w:rsidRDefault="004054A3">
                  <w:pPr>
                    <w:pStyle w:val="TableText"/>
                    <w:rPr>
                      <w:rFonts w:cs="Arial"/>
                      <w:szCs w:val="21"/>
                    </w:rPr>
                  </w:pPr>
                  <w:r w:rsidRPr="005D4222">
                    <w:rPr>
                      <w:rFonts w:cs="Arial"/>
                      <w:szCs w:val="21"/>
                    </w:rPr>
                    <w:t xml:space="preserve">TwoOrMoreRaces </w:t>
                  </w:r>
                </w:p>
              </w:tc>
              <w:tc>
                <w:tcPr>
                  <w:tcW w:w="1170" w:type="dxa"/>
                  <w:tcBorders>
                    <w:top w:val="nil"/>
                    <w:left w:val="nil"/>
                    <w:bottom w:val="nil"/>
                    <w:right w:val="nil"/>
                  </w:tcBorders>
                  <w:tcMar>
                    <w:top w:w="0" w:type="dxa"/>
                    <w:left w:w="86" w:type="dxa"/>
                    <w:bottom w:w="0" w:type="dxa"/>
                    <w:right w:w="86" w:type="dxa"/>
                  </w:tcMar>
                  <w:hideMark/>
                </w:tcPr>
                <w:p w14:paraId="415F143D" w14:textId="77777777" w:rsidR="004054A3" w:rsidRPr="005D4222" w:rsidRDefault="004054A3">
                  <w:pPr>
                    <w:pStyle w:val="TableText"/>
                    <w:rPr>
                      <w:rFonts w:cs="Arial"/>
                      <w:szCs w:val="21"/>
                    </w:rPr>
                  </w:pPr>
                  <w:r w:rsidRPr="005D4222">
                    <w:rPr>
                      <w:rFonts w:cs="Arial"/>
                      <w:szCs w:val="21"/>
                    </w:rPr>
                    <w:t xml:space="preserve"> </w:t>
                  </w:r>
                </w:p>
              </w:tc>
              <w:tc>
                <w:tcPr>
                  <w:tcW w:w="1258" w:type="dxa"/>
                  <w:tcBorders>
                    <w:top w:val="nil"/>
                    <w:left w:val="nil"/>
                    <w:bottom w:val="nil"/>
                    <w:right w:val="nil"/>
                  </w:tcBorders>
                  <w:tcMar>
                    <w:top w:w="0" w:type="dxa"/>
                    <w:left w:w="86" w:type="dxa"/>
                    <w:bottom w:w="0" w:type="dxa"/>
                    <w:right w:w="86" w:type="dxa"/>
                  </w:tcMar>
                  <w:hideMark/>
                </w:tcPr>
                <w:p w14:paraId="77982CA4" w14:textId="77777777" w:rsidR="004054A3" w:rsidRPr="005D4222" w:rsidRDefault="004054A3">
                  <w:pPr>
                    <w:pStyle w:val="TableText"/>
                    <w:rPr>
                      <w:rFonts w:cs="Arial"/>
                      <w:szCs w:val="21"/>
                    </w:rPr>
                  </w:pPr>
                  <w:r w:rsidRPr="005D4222">
                    <w:rPr>
                      <w:rFonts w:cs="Arial"/>
                      <w:szCs w:val="21"/>
                    </w:rPr>
                    <w:t xml:space="preserve"> </w:t>
                  </w:r>
                </w:p>
              </w:tc>
            </w:tr>
            <w:tr w:rsidR="004054A3" w:rsidRPr="005D4222" w14:paraId="59D86598" w14:textId="77777777">
              <w:trPr>
                <w:trHeight w:val="300"/>
              </w:trPr>
              <w:tc>
                <w:tcPr>
                  <w:tcW w:w="2063" w:type="dxa"/>
                  <w:tcBorders>
                    <w:top w:val="nil"/>
                    <w:left w:val="nil"/>
                    <w:bottom w:val="nil"/>
                    <w:right w:val="single" w:sz="6" w:space="0" w:color="auto"/>
                  </w:tcBorders>
                  <w:tcMar>
                    <w:top w:w="0" w:type="dxa"/>
                    <w:left w:w="86" w:type="dxa"/>
                    <w:bottom w:w="0" w:type="dxa"/>
                    <w:right w:w="86" w:type="dxa"/>
                  </w:tcMar>
                  <w:hideMark/>
                </w:tcPr>
                <w:p w14:paraId="1EB67C1D" w14:textId="77777777" w:rsidR="004054A3" w:rsidRPr="005D4222" w:rsidRDefault="004054A3">
                  <w:pPr>
                    <w:pStyle w:val="TableText"/>
                    <w:rPr>
                      <w:rFonts w:cs="Arial"/>
                      <w:szCs w:val="21"/>
                    </w:rPr>
                  </w:pPr>
                  <w:r w:rsidRPr="005D4222">
                    <w:rPr>
                      <w:rFonts w:cs="Arial"/>
                      <w:szCs w:val="21"/>
                    </w:rPr>
                    <w:t xml:space="preserve"> </w:t>
                  </w:r>
                </w:p>
              </w:tc>
              <w:tc>
                <w:tcPr>
                  <w:tcW w:w="2880" w:type="dxa"/>
                  <w:tcBorders>
                    <w:top w:val="single" w:sz="6" w:space="0" w:color="auto"/>
                    <w:left w:val="single" w:sz="6" w:space="0" w:color="auto"/>
                    <w:bottom w:val="single" w:sz="6" w:space="0" w:color="auto"/>
                    <w:right w:val="single" w:sz="6" w:space="0" w:color="auto"/>
                  </w:tcBorders>
                  <w:tcMar>
                    <w:top w:w="0" w:type="dxa"/>
                    <w:left w:w="86" w:type="dxa"/>
                    <w:bottom w:w="0" w:type="dxa"/>
                    <w:right w:w="86" w:type="dxa"/>
                  </w:tcMar>
                  <w:hideMark/>
                </w:tcPr>
                <w:p w14:paraId="59C41BAE" w14:textId="77777777" w:rsidR="004054A3" w:rsidRPr="005D4222" w:rsidRDefault="004054A3">
                  <w:pPr>
                    <w:pStyle w:val="TableText"/>
                    <w:rPr>
                      <w:rFonts w:cs="Arial"/>
                      <w:szCs w:val="21"/>
                    </w:rPr>
                  </w:pPr>
                  <w:r w:rsidRPr="005D4222">
                    <w:rPr>
                      <w:rFonts w:cs="Arial"/>
                      <w:szCs w:val="21"/>
                    </w:rPr>
                    <w:t>AskedButNoAnswer</w:t>
                  </w:r>
                </w:p>
              </w:tc>
              <w:tc>
                <w:tcPr>
                  <w:tcW w:w="1170" w:type="dxa"/>
                  <w:tcBorders>
                    <w:top w:val="nil"/>
                    <w:left w:val="nil"/>
                    <w:bottom w:val="nil"/>
                    <w:right w:val="nil"/>
                  </w:tcBorders>
                  <w:tcMar>
                    <w:top w:w="0" w:type="dxa"/>
                    <w:left w:w="86" w:type="dxa"/>
                    <w:bottom w:w="0" w:type="dxa"/>
                    <w:right w:w="86" w:type="dxa"/>
                  </w:tcMar>
                  <w:hideMark/>
                </w:tcPr>
                <w:p w14:paraId="5366D66D" w14:textId="77777777" w:rsidR="004054A3" w:rsidRPr="005D4222" w:rsidRDefault="004054A3">
                  <w:pPr>
                    <w:pStyle w:val="TableText"/>
                    <w:rPr>
                      <w:rFonts w:cs="Arial"/>
                      <w:szCs w:val="21"/>
                    </w:rPr>
                  </w:pPr>
                  <w:r w:rsidRPr="005D4222">
                    <w:rPr>
                      <w:rFonts w:cs="Arial"/>
                      <w:szCs w:val="21"/>
                    </w:rPr>
                    <w:t xml:space="preserve"> </w:t>
                  </w:r>
                </w:p>
              </w:tc>
              <w:tc>
                <w:tcPr>
                  <w:tcW w:w="1258" w:type="dxa"/>
                  <w:tcBorders>
                    <w:top w:val="nil"/>
                    <w:left w:val="nil"/>
                    <w:bottom w:val="nil"/>
                    <w:right w:val="nil"/>
                  </w:tcBorders>
                  <w:tcMar>
                    <w:top w:w="0" w:type="dxa"/>
                    <w:left w:w="86" w:type="dxa"/>
                    <w:bottom w:w="0" w:type="dxa"/>
                    <w:right w:w="86" w:type="dxa"/>
                  </w:tcMar>
                  <w:hideMark/>
                </w:tcPr>
                <w:p w14:paraId="2B3CE2E0" w14:textId="77777777" w:rsidR="004054A3" w:rsidRPr="005D4222" w:rsidRDefault="004054A3">
                  <w:pPr>
                    <w:pStyle w:val="TableText"/>
                    <w:rPr>
                      <w:rFonts w:cs="Arial"/>
                      <w:szCs w:val="21"/>
                    </w:rPr>
                  </w:pPr>
                  <w:r w:rsidRPr="005D4222">
                    <w:rPr>
                      <w:rFonts w:cs="Arial"/>
                      <w:szCs w:val="21"/>
                    </w:rPr>
                    <w:t xml:space="preserve"> </w:t>
                  </w:r>
                </w:p>
              </w:tc>
            </w:tr>
            <w:tr w:rsidR="004054A3" w:rsidRPr="005D4222" w14:paraId="0719AF6B" w14:textId="77777777">
              <w:trPr>
                <w:trHeight w:val="300"/>
              </w:trPr>
              <w:tc>
                <w:tcPr>
                  <w:tcW w:w="2063" w:type="dxa"/>
                  <w:tcBorders>
                    <w:top w:val="nil"/>
                    <w:left w:val="nil"/>
                    <w:bottom w:val="nil"/>
                    <w:right w:val="single" w:sz="6" w:space="0" w:color="auto"/>
                  </w:tcBorders>
                  <w:tcMar>
                    <w:top w:w="0" w:type="dxa"/>
                    <w:left w:w="86" w:type="dxa"/>
                    <w:bottom w:w="0" w:type="dxa"/>
                    <w:right w:w="86" w:type="dxa"/>
                  </w:tcMar>
                </w:tcPr>
                <w:p w14:paraId="0863198D" w14:textId="18AB4097" w:rsidR="004054A3" w:rsidRPr="005D4222" w:rsidRDefault="004054A3">
                  <w:pPr>
                    <w:pStyle w:val="TableText"/>
                    <w:rPr>
                      <w:rFonts w:cs="Arial"/>
                      <w:szCs w:val="21"/>
                    </w:rPr>
                  </w:pPr>
                </w:p>
              </w:tc>
              <w:tc>
                <w:tcPr>
                  <w:tcW w:w="2880" w:type="dxa"/>
                  <w:tcBorders>
                    <w:top w:val="single" w:sz="6" w:space="0" w:color="auto"/>
                    <w:left w:val="single" w:sz="6" w:space="0" w:color="auto"/>
                    <w:bottom w:val="single" w:sz="6" w:space="0" w:color="auto"/>
                    <w:right w:val="single" w:sz="6" w:space="0" w:color="auto"/>
                  </w:tcBorders>
                  <w:tcMar>
                    <w:top w:w="0" w:type="dxa"/>
                    <w:left w:w="86" w:type="dxa"/>
                    <w:bottom w:w="0" w:type="dxa"/>
                    <w:right w:w="86" w:type="dxa"/>
                  </w:tcMar>
                </w:tcPr>
                <w:p w14:paraId="5CD7E20E" w14:textId="26934A15" w:rsidR="004054A3" w:rsidRPr="005D4222" w:rsidRDefault="004054A3">
                  <w:pPr>
                    <w:pStyle w:val="TableText"/>
                    <w:rPr>
                      <w:rFonts w:cs="Arial"/>
                      <w:szCs w:val="21"/>
                    </w:rPr>
                  </w:pPr>
                  <w:r w:rsidRPr="005D4222">
                    <w:rPr>
                      <w:rFonts w:cs="Arial"/>
                      <w:szCs w:val="21"/>
                    </w:rPr>
                    <w:t>Unknown</w:t>
                  </w:r>
                </w:p>
              </w:tc>
              <w:tc>
                <w:tcPr>
                  <w:tcW w:w="1170" w:type="dxa"/>
                  <w:tcBorders>
                    <w:top w:val="nil"/>
                    <w:left w:val="nil"/>
                    <w:bottom w:val="nil"/>
                    <w:right w:val="nil"/>
                  </w:tcBorders>
                  <w:tcMar>
                    <w:top w:w="0" w:type="dxa"/>
                    <w:left w:w="86" w:type="dxa"/>
                    <w:bottom w:w="0" w:type="dxa"/>
                    <w:right w:w="86" w:type="dxa"/>
                  </w:tcMar>
                </w:tcPr>
                <w:p w14:paraId="610816E4" w14:textId="77777777" w:rsidR="004054A3" w:rsidRPr="005D4222" w:rsidRDefault="004054A3">
                  <w:pPr>
                    <w:pStyle w:val="TableText"/>
                    <w:rPr>
                      <w:rFonts w:cs="Arial"/>
                      <w:szCs w:val="21"/>
                    </w:rPr>
                  </w:pPr>
                </w:p>
              </w:tc>
              <w:tc>
                <w:tcPr>
                  <w:tcW w:w="1258" w:type="dxa"/>
                  <w:tcBorders>
                    <w:top w:val="nil"/>
                    <w:left w:val="nil"/>
                    <w:bottom w:val="nil"/>
                    <w:right w:val="nil"/>
                  </w:tcBorders>
                  <w:tcMar>
                    <w:top w:w="0" w:type="dxa"/>
                    <w:left w:w="86" w:type="dxa"/>
                    <w:bottom w:w="0" w:type="dxa"/>
                    <w:right w:w="86" w:type="dxa"/>
                  </w:tcMar>
                </w:tcPr>
                <w:p w14:paraId="0E630093" w14:textId="77777777" w:rsidR="004054A3" w:rsidRPr="005D4222" w:rsidRDefault="004054A3">
                  <w:pPr>
                    <w:pStyle w:val="TableText"/>
                    <w:rPr>
                      <w:rFonts w:cs="Arial"/>
                      <w:szCs w:val="21"/>
                    </w:rPr>
                  </w:pPr>
                </w:p>
              </w:tc>
            </w:tr>
          </w:tbl>
          <w:p w14:paraId="0392F971" w14:textId="392EA1AF" w:rsidR="004054A3" w:rsidRPr="005D4222" w:rsidRDefault="004054A3">
            <w:pPr>
              <w:pStyle w:val="Heading3"/>
            </w:pPr>
            <w:r w:rsidRPr="005D4222">
              <w:t xml:space="preserve">Table KED-C-1/2/3: Data Elements for Kidney Health Evaluation for Patients With Diabetes: </w:t>
            </w:r>
            <w:r w:rsidR="00B51CDC" w:rsidRPr="005D4222">
              <w:t>Stratifications</w:t>
            </w:r>
            <w:r w:rsidRPr="005D4222">
              <w:t xml:space="preserve"> by Ethnicity </w:t>
            </w:r>
          </w:p>
          <w:tbl>
            <w:tblPr>
              <w:tblW w:w="5000" w:type="pct"/>
              <w:tblInd w:w="3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107"/>
              <w:gridCol w:w="1876"/>
              <w:gridCol w:w="1519"/>
              <w:gridCol w:w="1869"/>
            </w:tblGrid>
            <w:tr w:rsidR="004054A3" w:rsidRPr="005D4222" w14:paraId="7A562D69" w14:textId="77777777">
              <w:trPr>
                <w:trHeight w:val="300"/>
              </w:trPr>
              <w:tc>
                <w:tcPr>
                  <w:tcW w:w="2123" w:type="dxa"/>
                  <w:tcBorders>
                    <w:top w:val="single" w:sz="6" w:space="0" w:color="000000" w:themeColor="text1"/>
                    <w:left w:val="single" w:sz="6" w:space="0" w:color="000000" w:themeColor="text1"/>
                    <w:bottom w:val="single" w:sz="6" w:space="0" w:color="auto"/>
                    <w:right w:val="single" w:sz="6" w:space="0" w:color="FFFFFF" w:themeColor="background1"/>
                  </w:tcBorders>
                  <w:shd w:val="clear" w:color="auto" w:fill="000000" w:themeFill="text1"/>
                  <w:tcMar>
                    <w:top w:w="0" w:type="dxa"/>
                    <w:left w:w="86" w:type="dxa"/>
                    <w:bottom w:w="0" w:type="dxa"/>
                    <w:right w:w="86" w:type="dxa"/>
                  </w:tcMar>
                  <w:vAlign w:val="bottom"/>
                  <w:hideMark/>
                </w:tcPr>
                <w:p w14:paraId="3878065E" w14:textId="77777777" w:rsidR="004054A3" w:rsidRPr="005D4222" w:rsidRDefault="004054A3">
                  <w:pPr>
                    <w:pStyle w:val="TableHead"/>
                  </w:pPr>
                  <w:r w:rsidRPr="005D4222">
                    <w:t>Metric</w:t>
                  </w:r>
                </w:p>
              </w:tc>
              <w:tc>
                <w:tcPr>
                  <w:tcW w:w="1890" w:type="dxa"/>
                  <w:tcBorders>
                    <w:top w:val="single" w:sz="6" w:space="0" w:color="000000" w:themeColor="text1"/>
                    <w:left w:val="single" w:sz="6" w:space="0" w:color="FFFFFF" w:themeColor="background1"/>
                    <w:bottom w:val="single" w:sz="6" w:space="0" w:color="000000" w:themeColor="text1"/>
                    <w:right w:val="single" w:sz="6" w:space="0" w:color="FFFFFF" w:themeColor="background1"/>
                  </w:tcBorders>
                  <w:shd w:val="clear" w:color="auto" w:fill="000000" w:themeFill="text1"/>
                  <w:tcMar>
                    <w:top w:w="0" w:type="dxa"/>
                    <w:left w:w="86" w:type="dxa"/>
                    <w:bottom w:w="0" w:type="dxa"/>
                    <w:right w:w="86" w:type="dxa"/>
                  </w:tcMar>
                  <w:vAlign w:val="bottom"/>
                  <w:hideMark/>
                </w:tcPr>
                <w:p w14:paraId="6F992554" w14:textId="77777777" w:rsidR="004054A3" w:rsidRPr="005D4222" w:rsidRDefault="004054A3">
                  <w:pPr>
                    <w:pStyle w:val="TableHead"/>
                  </w:pPr>
                  <w:r w:rsidRPr="005D4222">
                    <w:t>Ethnicity</w:t>
                  </w:r>
                </w:p>
              </w:tc>
              <w:tc>
                <w:tcPr>
                  <w:tcW w:w="1530" w:type="dxa"/>
                  <w:tcBorders>
                    <w:top w:val="single" w:sz="6" w:space="0" w:color="000000" w:themeColor="text1"/>
                    <w:left w:val="single" w:sz="6" w:space="0" w:color="FFFFFF" w:themeColor="background1"/>
                    <w:bottom w:val="single" w:sz="6" w:space="0" w:color="000000" w:themeColor="text1"/>
                    <w:right w:val="single" w:sz="6" w:space="0" w:color="FFFFFF" w:themeColor="background1"/>
                  </w:tcBorders>
                  <w:shd w:val="clear" w:color="auto" w:fill="000000" w:themeFill="text1"/>
                  <w:tcMar>
                    <w:top w:w="0" w:type="dxa"/>
                    <w:left w:w="86" w:type="dxa"/>
                    <w:bottom w:w="0" w:type="dxa"/>
                    <w:right w:w="86" w:type="dxa"/>
                  </w:tcMar>
                  <w:vAlign w:val="bottom"/>
                  <w:hideMark/>
                </w:tcPr>
                <w:p w14:paraId="6139F7E8" w14:textId="77777777" w:rsidR="004054A3" w:rsidRPr="005D4222" w:rsidRDefault="004054A3">
                  <w:pPr>
                    <w:pStyle w:val="TableHead"/>
                  </w:pPr>
                  <w:r w:rsidRPr="005D4222">
                    <w:t>Data Element</w:t>
                  </w:r>
                </w:p>
              </w:tc>
              <w:tc>
                <w:tcPr>
                  <w:tcW w:w="1883" w:type="dxa"/>
                  <w:tcBorders>
                    <w:top w:val="single" w:sz="6" w:space="0" w:color="000000" w:themeColor="text1"/>
                    <w:left w:val="single" w:sz="6" w:space="0" w:color="FFFFFF" w:themeColor="background1"/>
                    <w:bottom w:val="single" w:sz="6" w:space="0" w:color="000000" w:themeColor="text1"/>
                    <w:right w:val="single" w:sz="6" w:space="0" w:color="auto"/>
                  </w:tcBorders>
                  <w:shd w:val="clear" w:color="auto" w:fill="000000" w:themeFill="text1"/>
                  <w:tcMar>
                    <w:top w:w="0" w:type="dxa"/>
                    <w:left w:w="86" w:type="dxa"/>
                    <w:bottom w:w="0" w:type="dxa"/>
                    <w:right w:w="86" w:type="dxa"/>
                  </w:tcMar>
                  <w:vAlign w:val="bottom"/>
                  <w:hideMark/>
                </w:tcPr>
                <w:p w14:paraId="07E86ACF" w14:textId="77777777" w:rsidR="004054A3" w:rsidRPr="005D4222" w:rsidRDefault="004054A3">
                  <w:pPr>
                    <w:pStyle w:val="TableHead"/>
                  </w:pPr>
                  <w:r w:rsidRPr="005D4222">
                    <w:t>Reporting Instructions</w:t>
                  </w:r>
                </w:p>
              </w:tc>
            </w:tr>
            <w:tr w:rsidR="004054A3" w:rsidRPr="005D4222" w14:paraId="357560EE" w14:textId="77777777">
              <w:trPr>
                <w:trHeight w:val="300"/>
              </w:trPr>
              <w:tc>
                <w:tcPr>
                  <w:tcW w:w="2123" w:type="dxa"/>
                  <w:tcBorders>
                    <w:top w:val="single" w:sz="6" w:space="0" w:color="auto"/>
                    <w:left w:val="single" w:sz="6" w:space="0" w:color="auto"/>
                    <w:bottom w:val="single" w:sz="6" w:space="0" w:color="auto"/>
                    <w:right w:val="single" w:sz="6" w:space="0" w:color="auto"/>
                  </w:tcBorders>
                  <w:tcMar>
                    <w:top w:w="0" w:type="dxa"/>
                    <w:left w:w="86" w:type="dxa"/>
                    <w:bottom w:w="0" w:type="dxa"/>
                    <w:right w:w="86" w:type="dxa"/>
                  </w:tcMar>
                  <w:hideMark/>
                </w:tcPr>
                <w:p w14:paraId="57190769" w14:textId="77777777" w:rsidR="004054A3" w:rsidRPr="005D4222" w:rsidRDefault="004054A3">
                  <w:pPr>
                    <w:pStyle w:val="TableText"/>
                  </w:pPr>
                  <w:r w:rsidRPr="005D4222">
                    <w:t xml:space="preserve">KidneyHealthEvaluation </w:t>
                  </w:r>
                </w:p>
              </w:tc>
              <w:tc>
                <w:tcPr>
                  <w:tcW w:w="1890" w:type="dxa"/>
                  <w:tcBorders>
                    <w:top w:val="single" w:sz="6" w:space="0" w:color="000000" w:themeColor="text1"/>
                    <w:left w:val="single" w:sz="6" w:space="0" w:color="auto"/>
                    <w:bottom w:val="single" w:sz="6" w:space="0" w:color="auto"/>
                    <w:right w:val="single" w:sz="6" w:space="0" w:color="auto"/>
                  </w:tcBorders>
                  <w:tcMar>
                    <w:top w:w="0" w:type="dxa"/>
                    <w:left w:w="86" w:type="dxa"/>
                    <w:bottom w:w="0" w:type="dxa"/>
                    <w:right w:w="86" w:type="dxa"/>
                  </w:tcMar>
                  <w:hideMark/>
                </w:tcPr>
                <w:p w14:paraId="763E2121" w14:textId="77777777" w:rsidR="004054A3" w:rsidRPr="005D4222" w:rsidRDefault="004054A3">
                  <w:pPr>
                    <w:pStyle w:val="TableText"/>
                  </w:pPr>
                  <w:r w:rsidRPr="005D4222">
                    <w:t xml:space="preserve">HispanicOrLatino </w:t>
                  </w:r>
                </w:p>
              </w:tc>
              <w:tc>
                <w:tcPr>
                  <w:tcW w:w="1530" w:type="dxa"/>
                  <w:tcBorders>
                    <w:top w:val="single" w:sz="6" w:space="0" w:color="000000" w:themeColor="text1"/>
                    <w:left w:val="single" w:sz="6" w:space="0" w:color="auto"/>
                    <w:bottom w:val="single" w:sz="6" w:space="0" w:color="auto"/>
                    <w:right w:val="single" w:sz="6" w:space="0" w:color="auto"/>
                  </w:tcBorders>
                  <w:tcMar>
                    <w:top w:w="0" w:type="dxa"/>
                    <w:left w:w="86" w:type="dxa"/>
                    <w:bottom w:w="0" w:type="dxa"/>
                    <w:right w:w="86" w:type="dxa"/>
                  </w:tcMar>
                  <w:hideMark/>
                </w:tcPr>
                <w:p w14:paraId="4889F4F6" w14:textId="77777777" w:rsidR="004054A3" w:rsidRPr="005D4222" w:rsidRDefault="004054A3">
                  <w:pPr>
                    <w:pStyle w:val="TableText"/>
                  </w:pPr>
                  <w:r w:rsidRPr="005D4222">
                    <w:t>Denominator</w:t>
                  </w:r>
                </w:p>
              </w:tc>
              <w:tc>
                <w:tcPr>
                  <w:tcW w:w="1883" w:type="dxa"/>
                  <w:tcBorders>
                    <w:top w:val="single" w:sz="6" w:space="0" w:color="000000" w:themeColor="text1"/>
                    <w:left w:val="single" w:sz="6" w:space="0" w:color="auto"/>
                    <w:bottom w:val="single" w:sz="6" w:space="0" w:color="auto"/>
                    <w:right w:val="single" w:sz="6" w:space="0" w:color="auto"/>
                  </w:tcBorders>
                  <w:tcMar>
                    <w:top w:w="0" w:type="dxa"/>
                    <w:left w:w="86" w:type="dxa"/>
                    <w:bottom w:w="0" w:type="dxa"/>
                    <w:right w:w="86" w:type="dxa"/>
                  </w:tcMar>
                  <w:hideMark/>
                </w:tcPr>
                <w:p w14:paraId="6F875283" w14:textId="77777777" w:rsidR="004054A3" w:rsidRPr="005D4222" w:rsidRDefault="004054A3">
                  <w:pPr>
                    <w:pStyle w:val="TableText"/>
                  </w:pPr>
                  <w:r w:rsidRPr="005D4222">
                    <w:t>For each Stratification</w:t>
                  </w:r>
                </w:p>
              </w:tc>
            </w:tr>
            <w:tr w:rsidR="004054A3" w:rsidRPr="005D4222" w14:paraId="4D1950F8" w14:textId="77777777">
              <w:trPr>
                <w:trHeight w:val="300"/>
              </w:trPr>
              <w:tc>
                <w:tcPr>
                  <w:tcW w:w="2123" w:type="dxa"/>
                  <w:tcBorders>
                    <w:top w:val="single" w:sz="6" w:space="0" w:color="auto"/>
                    <w:left w:val="nil"/>
                    <w:bottom w:val="nil"/>
                    <w:right w:val="nil"/>
                  </w:tcBorders>
                  <w:shd w:val="clear" w:color="auto" w:fill="FFFFFF" w:themeFill="background1"/>
                  <w:tcMar>
                    <w:top w:w="0" w:type="dxa"/>
                    <w:left w:w="86" w:type="dxa"/>
                    <w:bottom w:w="0" w:type="dxa"/>
                    <w:right w:w="86" w:type="dxa"/>
                  </w:tcMar>
                  <w:hideMark/>
                </w:tcPr>
                <w:p w14:paraId="73144F51" w14:textId="77777777" w:rsidR="004054A3" w:rsidRPr="005D4222" w:rsidRDefault="004054A3">
                  <w:pPr>
                    <w:pStyle w:val="TableText"/>
                  </w:pPr>
                  <w:r w:rsidRPr="005D4222">
                    <w:t xml:space="preserve"> </w:t>
                  </w:r>
                </w:p>
              </w:tc>
              <w:tc>
                <w:tcPr>
                  <w:tcW w:w="1890"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86" w:type="dxa"/>
                    <w:bottom w:w="0" w:type="dxa"/>
                    <w:right w:w="86" w:type="dxa"/>
                  </w:tcMar>
                  <w:hideMark/>
                </w:tcPr>
                <w:p w14:paraId="6D33D3DA" w14:textId="77777777" w:rsidR="004054A3" w:rsidRPr="005D4222" w:rsidRDefault="004054A3">
                  <w:pPr>
                    <w:pStyle w:val="TableText"/>
                  </w:pPr>
                  <w:r w:rsidRPr="005D4222">
                    <w:t xml:space="preserve">NotHispanicOrLatino </w:t>
                  </w:r>
                </w:p>
              </w:tc>
              <w:tc>
                <w:tcPr>
                  <w:tcW w:w="1530"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86" w:type="dxa"/>
                    <w:bottom w:w="0" w:type="dxa"/>
                    <w:right w:w="86" w:type="dxa"/>
                  </w:tcMar>
                  <w:hideMark/>
                </w:tcPr>
                <w:p w14:paraId="78535518" w14:textId="77777777" w:rsidR="004054A3" w:rsidRPr="005D4222" w:rsidRDefault="004054A3">
                  <w:pPr>
                    <w:pStyle w:val="TableText"/>
                  </w:pPr>
                  <w:r w:rsidRPr="005D4222">
                    <w:t xml:space="preserve">Numerator </w:t>
                  </w:r>
                </w:p>
              </w:tc>
              <w:tc>
                <w:tcPr>
                  <w:tcW w:w="1883"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86" w:type="dxa"/>
                    <w:bottom w:w="0" w:type="dxa"/>
                    <w:right w:w="86" w:type="dxa"/>
                  </w:tcMar>
                  <w:hideMark/>
                </w:tcPr>
                <w:p w14:paraId="2FF46026" w14:textId="77777777" w:rsidR="004054A3" w:rsidRPr="005D4222" w:rsidRDefault="004054A3">
                  <w:pPr>
                    <w:pStyle w:val="TableText"/>
                  </w:pPr>
                  <w:r w:rsidRPr="005D4222">
                    <w:t xml:space="preserve">For each Stratification </w:t>
                  </w:r>
                </w:p>
              </w:tc>
            </w:tr>
            <w:tr w:rsidR="004054A3" w:rsidRPr="005D4222" w14:paraId="49E2BE11" w14:textId="77777777">
              <w:trPr>
                <w:trHeight w:val="300"/>
              </w:trPr>
              <w:tc>
                <w:tcPr>
                  <w:tcW w:w="2123" w:type="dxa"/>
                  <w:tcBorders>
                    <w:top w:val="nil"/>
                    <w:left w:val="nil"/>
                    <w:bottom w:val="nil"/>
                    <w:right w:val="nil"/>
                  </w:tcBorders>
                  <w:shd w:val="clear" w:color="auto" w:fill="FFFFFF" w:themeFill="background1"/>
                  <w:tcMar>
                    <w:top w:w="0" w:type="dxa"/>
                    <w:left w:w="86" w:type="dxa"/>
                    <w:bottom w:w="0" w:type="dxa"/>
                    <w:right w:w="86" w:type="dxa"/>
                  </w:tcMar>
                  <w:hideMark/>
                </w:tcPr>
                <w:p w14:paraId="5F4418A7" w14:textId="77777777" w:rsidR="004054A3" w:rsidRPr="005D4222" w:rsidRDefault="004054A3">
                  <w:pPr>
                    <w:pStyle w:val="TableText"/>
                  </w:pPr>
                  <w:r w:rsidRPr="005D4222">
                    <w:t xml:space="preserve"> </w:t>
                  </w:r>
                </w:p>
              </w:tc>
              <w:tc>
                <w:tcPr>
                  <w:tcW w:w="1890" w:type="dxa"/>
                  <w:tcBorders>
                    <w:top w:val="single" w:sz="6" w:space="0" w:color="auto"/>
                    <w:left w:val="single" w:sz="6" w:space="0" w:color="auto"/>
                    <w:bottom w:val="single" w:sz="6" w:space="0" w:color="auto"/>
                    <w:right w:val="single" w:sz="6" w:space="0" w:color="auto"/>
                  </w:tcBorders>
                  <w:tcMar>
                    <w:top w:w="0" w:type="dxa"/>
                    <w:left w:w="86" w:type="dxa"/>
                    <w:bottom w:w="0" w:type="dxa"/>
                    <w:right w:w="86" w:type="dxa"/>
                  </w:tcMar>
                  <w:hideMark/>
                </w:tcPr>
                <w:p w14:paraId="5272A159" w14:textId="77777777" w:rsidR="004054A3" w:rsidRPr="005D4222" w:rsidRDefault="004054A3">
                  <w:pPr>
                    <w:pStyle w:val="TableText"/>
                  </w:pPr>
                  <w:r w:rsidRPr="005D4222">
                    <w:t>AskedButNoAnswer</w:t>
                  </w:r>
                </w:p>
              </w:tc>
              <w:tc>
                <w:tcPr>
                  <w:tcW w:w="153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0" w:type="dxa"/>
                    <w:left w:w="86" w:type="dxa"/>
                    <w:bottom w:w="0" w:type="dxa"/>
                    <w:right w:w="86" w:type="dxa"/>
                  </w:tcMar>
                  <w:hideMark/>
                </w:tcPr>
                <w:p w14:paraId="12A4B5A4" w14:textId="77777777" w:rsidR="004054A3" w:rsidRPr="005D4222" w:rsidRDefault="004054A3">
                  <w:pPr>
                    <w:pStyle w:val="TableText"/>
                  </w:pPr>
                  <w:r w:rsidRPr="005D4222">
                    <w:t xml:space="preserve">Rate </w:t>
                  </w:r>
                </w:p>
              </w:tc>
              <w:tc>
                <w:tcPr>
                  <w:tcW w:w="188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0" w:type="dxa"/>
                    <w:left w:w="86" w:type="dxa"/>
                    <w:bottom w:w="0" w:type="dxa"/>
                    <w:right w:w="86" w:type="dxa"/>
                  </w:tcMar>
                  <w:hideMark/>
                </w:tcPr>
                <w:p w14:paraId="53D9140B" w14:textId="77777777" w:rsidR="004054A3" w:rsidRPr="005D4222" w:rsidRDefault="004054A3">
                  <w:pPr>
                    <w:pStyle w:val="TableText"/>
                  </w:pPr>
                  <w:r w:rsidRPr="005D4222">
                    <w:t xml:space="preserve">(Percent) </w:t>
                  </w:r>
                </w:p>
              </w:tc>
            </w:tr>
            <w:tr w:rsidR="004054A3" w:rsidRPr="005D4222" w14:paraId="76CE4A53" w14:textId="77777777">
              <w:trPr>
                <w:trHeight w:val="300"/>
              </w:trPr>
              <w:tc>
                <w:tcPr>
                  <w:tcW w:w="2123" w:type="dxa"/>
                  <w:tcBorders>
                    <w:top w:val="nil"/>
                    <w:left w:val="nil"/>
                    <w:bottom w:val="nil"/>
                    <w:right w:val="nil"/>
                  </w:tcBorders>
                  <w:shd w:val="clear" w:color="auto" w:fill="FFFFFF" w:themeFill="background1"/>
                  <w:tcMar>
                    <w:top w:w="0" w:type="dxa"/>
                    <w:left w:w="86" w:type="dxa"/>
                    <w:bottom w:w="0" w:type="dxa"/>
                    <w:right w:w="86" w:type="dxa"/>
                  </w:tcMar>
                  <w:hideMark/>
                </w:tcPr>
                <w:p w14:paraId="1AA26460" w14:textId="77777777" w:rsidR="004054A3" w:rsidRPr="005D4222" w:rsidRDefault="004054A3">
                  <w:pPr>
                    <w:pStyle w:val="TableText"/>
                  </w:pPr>
                  <w:r w:rsidRPr="005D4222">
                    <w:t xml:space="preserve"> </w:t>
                  </w:r>
                </w:p>
              </w:tc>
              <w:tc>
                <w:tcPr>
                  <w:tcW w:w="1890" w:type="dxa"/>
                  <w:tcBorders>
                    <w:top w:val="single" w:sz="6" w:space="0" w:color="auto"/>
                    <w:left w:val="single" w:sz="6" w:space="0" w:color="auto"/>
                    <w:bottom w:val="single" w:sz="6" w:space="0" w:color="auto"/>
                    <w:right w:val="single" w:sz="6" w:space="0" w:color="auto"/>
                  </w:tcBorders>
                  <w:tcMar>
                    <w:top w:w="0" w:type="dxa"/>
                    <w:left w:w="86" w:type="dxa"/>
                    <w:bottom w:w="0" w:type="dxa"/>
                    <w:right w:w="86" w:type="dxa"/>
                  </w:tcMar>
                  <w:hideMark/>
                </w:tcPr>
                <w:p w14:paraId="62F17450" w14:textId="77777777" w:rsidR="004054A3" w:rsidRPr="005D4222" w:rsidRDefault="004054A3">
                  <w:pPr>
                    <w:pStyle w:val="TableText"/>
                  </w:pPr>
                  <w:r w:rsidRPr="005D4222">
                    <w:t>Unknown</w:t>
                  </w:r>
                </w:p>
              </w:tc>
              <w:tc>
                <w:tcPr>
                  <w:tcW w:w="1530" w:type="dxa"/>
                  <w:tcBorders>
                    <w:top w:val="single" w:sz="6" w:space="0" w:color="auto"/>
                    <w:left w:val="single" w:sz="6" w:space="0" w:color="auto"/>
                    <w:bottom w:val="nil"/>
                    <w:right w:val="nil"/>
                  </w:tcBorders>
                  <w:tcMar>
                    <w:top w:w="0" w:type="dxa"/>
                    <w:left w:w="86" w:type="dxa"/>
                    <w:bottom w:w="0" w:type="dxa"/>
                    <w:right w:w="86" w:type="dxa"/>
                  </w:tcMar>
                  <w:hideMark/>
                </w:tcPr>
                <w:p w14:paraId="64081F2A" w14:textId="77777777" w:rsidR="004054A3" w:rsidRPr="005D4222" w:rsidRDefault="004054A3">
                  <w:pPr>
                    <w:pStyle w:val="TableText"/>
                  </w:pPr>
                  <w:r w:rsidRPr="005D4222">
                    <w:t xml:space="preserve"> </w:t>
                  </w:r>
                </w:p>
              </w:tc>
              <w:tc>
                <w:tcPr>
                  <w:tcW w:w="1883" w:type="dxa"/>
                  <w:tcBorders>
                    <w:top w:val="single" w:sz="6" w:space="0" w:color="auto"/>
                    <w:left w:val="nil"/>
                    <w:bottom w:val="nil"/>
                    <w:right w:val="nil"/>
                  </w:tcBorders>
                  <w:tcMar>
                    <w:top w:w="0" w:type="dxa"/>
                    <w:left w:w="86" w:type="dxa"/>
                    <w:bottom w:w="0" w:type="dxa"/>
                    <w:right w:w="86" w:type="dxa"/>
                  </w:tcMar>
                  <w:hideMark/>
                </w:tcPr>
                <w:p w14:paraId="26A082FF" w14:textId="77777777" w:rsidR="004054A3" w:rsidRPr="005D4222" w:rsidRDefault="004054A3">
                  <w:pPr>
                    <w:pStyle w:val="TableText"/>
                  </w:pPr>
                  <w:r w:rsidRPr="005D4222">
                    <w:t xml:space="preserve"> </w:t>
                  </w:r>
                </w:p>
              </w:tc>
            </w:tr>
          </w:tbl>
          <w:p w14:paraId="63063C40" w14:textId="77777777" w:rsidR="004054A3" w:rsidRPr="005D4222" w:rsidRDefault="004054A3">
            <w:pPr>
              <w:ind w:left="115" w:hanging="115"/>
              <w:textAlignment w:val="baseline"/>
              <w:rPr>
                <w:rFonts w:ascii="Arial Narrow" w:hAnsi="Arial Narrow" w:cs="Segoe UI"/>
              </w:rPr>
            </w:pPr>
          </w:p>
        </w:tc>
      </w:tr>
    </w:tbl>
    <w:p w14:paraId="01D24522" w14:textId="77777777" w:rsidR="00EB2305" w:rsidRPr="005D4222" w:rsidRDefault="00EB2305">
      <w:r w:rsidRPr="005D4222">
        <w:br w:type="page"/>
      </w:r>
    </w:p>
    <w:tbl>
      <w:tblPr>
        <w:tblW w:w="5002"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9"/>
      </w:tblGrid>
      <w:tr w:rsidR="004054A3" w:rsidRPr="005D4222" w14:paraId="12D56AF1" w14:textId="77777777">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6595F93" w14:textId="77777777" w:rsidR="004054A3" w:rsidRPr="005D4222" w:rsidRDefault="004054A3">
            <w:pPr>
              <w:pStyle w:val="ECDSMarginHead"/>
            </w:pPr>
            <w:r w:rsidRPr="005D4222">
              <w:lastRenderedPageBreak/>
              <w:t>Rules for Allowable Adjustments</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DB48391" w14:textId="77777777" w:rsidR="004054A3" w:rsidRPr="005D4222" w:rsidRDefault="004054A3">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61280599" w14:textId="77777777" w:rsidR="004054A3" w:rsidRPr="005D4222" w:rsidRDefault="004054A3">
            <w:pPr>
              <w:pStyle w:val="ECDSBody"/>
              <w:rPr>
                <w:b/>
              </w:rPr>
            </w:pPr>
            <w:r w:rsidRPr="005D4222">
              <w:rPr>
                <w:b/>
              </w:rPr>
              <w:t>Adjusted HEDIS measures may not be used for HEDIS health plan reporting.</w:t>
            </w:r>
          </w:p>
          <w:p w14:paraId="576BBA10" w14:textId="77777777" w:rsidR="004054A3" w:rsidRPr="005D4222" w:rsidRDefault="004054A3">
            <w:pPr>
              <w:pStyle w:val="Adjustments"/>
              <w:rPr>
                <w:b w:val="0"/>
              </w:rPr>
            </w:pPr>
            <w:r w:rsidRPr="005D4222">
              <w:t>Adjustments</w:t>
            </w:r>
            <w:r w:rsidRPr="005D4222">
              <w:rPr>
                <w:bCs/>
              </w:rPr>
              <w:t xml:space="preserve"> a</w:t>
            </w:r>
            <w:r w:rsidRPr="005D4222">
              <w:t>llowed</w:t>
            </w:r>
          </w:p>
          <w:p w14:paraId="5ACDDED6" w14:textId="0AD1D6A8" w:rsidR="004054A3" w:rsidRPr="005D4222" w:rsidRDefault="004054A3" w:rsidP="004054A3">
            <w:pPr>
              <w:pStyle w:val="ProcessBullet"/>
              <w:numPr>
                <w:ilvl w:val="0"/>
                <w:numId w:val="49"/>
              </w:numPr>
              <w:tabs>
                <w:tab w:val="left" w:pos="216"/>
              </w:tabs>
              <w:ind w:left="216" w:hanging="216"/>
              <w:rPr>
                <w:b/>
                <w:bCs/>
                <w:color w:val="000000" w:themeColor="text1"/>
              </w:rPr>
            </w:pPr>
            <w:r w:rsidRPr="005D4222">
              <w:rPr>
                <w:i/>
                <w:iCs/>
              </w:rPr>
              <w:t xml:space="preserve">Product lines. </w:t>
            </w:r>
            <w:r w:rsidRPr="005D4222">
              <w:t>Organizations are not required to use product line criteria; product lines may be combined</w:t>
            </w:r>
            <w:r w:rsidR="00E8671F" w:rsidRPr="005D4222">
              <w:t>,</w:t>
            </w:r>
            <w:r w:rsidRPr="005D4222">
              <w:t xml:space="preserve"> and all (or no) product line criteria may be used.</w:t>
            </w:r>
          </w:p>
          <w:p w14:paraId="26EAAE95" w14:textId="77777777" w:rsidR="004054A3" w:rsidRPr="005D4222" w:rsidRDefault="004054A3" w:rsidP="004054A3">
            <w:pPr>
              <w:pStyle w:val="ProcessBullet"/>
              <w:numPr>
                <w:ilvl w:val="0"/>
                <w:numId w:val="49"/>
              </w:numPr>
              <w:tabs>
                <w:tab w:val="left" w:pos="216"/>
              </w:tabs>
              <w:ind w:left="216" w:hanging="216"/>
              <w:rPr>
                <w:b/>
                <w:bCs/>
                <w:color w:val="000000" w:themeColor="text1"/>
              </w:rPr>
            </w:pPr>
            <w:r w:rsidRPr="005D4222">
              <w:rPr>
                <w:i/>
                <w:iCs/>
              </w:rPr>
              <w:t>Attribution.</w:t>
            </w:r>
            <w:r w:rsidRPr="005D4222">
              <w:t xml:space="preserve"> Organizations are not required to use enrollment criteria. </w:t>
            </w:r>
          </w:p>
          <w:p w14:paraId="143840C1" w14:textId="2AA0DB73" w:rsidR="004054A3" w:rsidRPr="005D4222" w:rsidRDefault="00362E76" w:rsidP="004054A3">
            <w:pPr>
              <w:pStyle w:val="ProcessBullet"/>
              <w:numPr>
                <w:ilvl w:val="0"/>
                <w:numId w:val="49"/>
              </w:numPr>
              <w:tabs>
                <w:tab w:val="left" w:pos="216"/>
              </w:tabs>
              <w:ind w:left="216" w:hanging="216"/>
              <w:rPr>
                <w:b/>
                <w:bCs/>
                <w:color w:val="000000" w:themeColor="text1"/>
              </w:rPr>
            </w:pPr>
            <w:r w:rsidRPr="005D4222">
              <w:rPr>
                <w:i/>
                <w:iCs/>
              </w:rPr>
              <w:t>Benefits.</w:t>
            </w:r>
            <w:r w:rsidR="004054A3" w:rsidRPr="005D4222">
              <w:t xml:space="preserve"> Organizations are not required to use a benefit.</w:t>
            </w:r>
          </w:p>
          <w:p w14:paraId="4D18EF8C" w14:textId="7D10971B" w:rsidR="004054A3" w:rsidRPr="005D4222" w:rsidRDefault="004054A3" w:rsidP="004054A3">
            <w:pPr>
              <w:pStyle w:val="ProcessBullet"/>
              <w:numPr>
                <w:ilvl w:val="0"/>
                <w:numId w:val="49"/>
              </w:numPr>
              <w:tabs>
                <w:tab w:val="left" w:pos="216"/>
              </w:tabs>
              <w:ind w:left="216" w:hanging="216"/>
              <w:rPr>
                <w:b/>
                <w:bCs/>
                <w:color w:val="000000" w:themeColor="text1"/>
              </w:rPr>
            </w:pPr>
            <w:r w:rsidRPr="005D4222">
              <w:rPr>
                <w:i/>
                <w:iCs/>
              </w:rPr>
              <w:t>Other.</w:t>
            </w:r>
            <w:r w:rsidRPr="005D4222">
              <w:t xml:space="preserve"> Organizations may use additional initial population criteria to focus on an area of interest as defined by gender, race, ethnicity, socioeconomic or sociodemographic </w:t>
            </w:r>
            <w:r w:rsidR="00F31C68" w:rsidRPr="005D4222">
              <w:t>characteristics</w:t>
            </w:r>
            <w:r w:rsidRPr="005D4222">
              <w:t>, geographic region or another characteristic.</w:t>
            </w:r>
          </w:p>
          <w:p w14:paraId="50AAB9FB" w14:textId="77777777" w:rsidR="004054A3" w:rsidRPr="005D4222" w:rsidRDefault="004054A3" w:rsidP="004054A3">
            <w:pPr>
              <w:pStyle w:val="ProcessBullet"/>
              <w:numPr>
                <w:ilvl w:val="0"/>
                <w:numId w:val="49"/>
              </w:numPr>
              <w:tabs>
                <w:tab w:val="left" w:pos="216"/>
              </w:tabs>
              <w:ind w:left="216" w:hanging="216"/>
              <w:rPr>
                <w:b/>
                <w:bCs/>
                <w:color w:val="000000" w:themeColor="text1"/>
              </w:rPr>
            </w:pPr>
            <w:r w:rsidRPr="005D4222">
              <w:rPr>
                <w:i/>
                <w:iCs/>
              </w:rPr>
              <w:t>Measurement period adjustments.</w:t>
            </w:r>
            <w:r w:rsidRPr="005D4222">
              <w:t xml:space="preserve"> Organizations may adjust the measurement period. </w:t>
            </w:r>
          </w:p>
          <w:p w14:paraId="40ADB025" w14:textId="77777777" w:rsidR="004054A3" w:rsidRPr="005D4222" w:rsidRDefault="004054A3" w:rsidP="004054A3">
            <w:pPr>
              <w:pStyle w:val="ProcessBullet"/>
              <w:numPr>
                <w:ilvl w:val="0"/>
                <w:numId w:val="49"/>
              </w:numPr>
              <w:tabs>
                <w:tab w:val="left" w:pos="216"/>
              </w:tabs>
              <w:ind w:left="216" w:hanging="216"/>
              <w:rPr>
                <w:color w:val="000000" w:themeColor="text1"/>
              </w:rPr>
            </w:pPr>
            <w:r w:rsidRPr="005D4222">
              <w:rPr>
                <w:i/>
                <w:iCs/>
                <w:color w:val="000000" w:themeColor="text1"/>
              </w:rPr>
              <w:t xml:space="preserve">Stratifications: </w:t>
            </w:r>
            <w:r w:rsidRPr="005D4222">
              <w:rPr>
                <w:i/>
                <w:color w:val="000000" w:themeColor="text1"/>
              </w:rPr>
              <w:t>Race and ethnicity stratification</w:t>
            </w:r>
            <w:r w:rsidRPr="005D4222">
              <w:rPr>
                <w:iCs/>
                <w:color w:val="000000" w:themeColor="text1"/>
              </w:rPr>
              <w:t>. T</w:t>
            </w:r>
            <w:r w:rsidRPr="005D4222">
              <w:rPr>
                <w:color w:val="000000" w:themeColor="text1"/>
              </w:rPr>
              <w:t>he race and ethnicity stratification is not required. Organizations may adjust this stratification as needed.</w:t>
            </w:r>
          </w:p>
          <w:p w14:paraId="624B4CBD" w14:textId="1F8B3D5C" w:rsidR="004054A3" w:rsidRPr="005D4222" w:rsidRDefault="004054A3" w:rsidP="004054A3">
            <w:pPr>
              <w:pStyle w:val="ProcessBullet"/>
              <w:numPr>
                <w:ilvl w:val="0"/>
                <w:numId w:val="49"/>
              </w:numPr>
              <w:tabs>
                <w:tab w:val="left" w:pos="216"/>
              </w:tabs>
              <w:ind w:left="216" w:hanging="216"/>
              <w:rPr>
                <w:b/>
                <w:bCs/>
                <w:color w:val="000000" w:themeColor="text1"/>
              </w:rPr>
            </w:pPr>
            <w:r w:rsidRPr="005D4222">
              <w:rPr>
                <w:i/>
                <w:iCs/>
              </w:rPr>
              <w:t>Exclusions</w:t>
            </w:r>
            <w:r w:rsidR="003212AF" w:rsidRPr="005D4222">
              <w:rPr>
                <w:i/>
                <w:iCs/>
              </w:rPr>
              <w:t xml:space="preserve">. </w:t>
            </w:r>
            <w:r w:rsidR="003212AF" w:rsidRPr="005D4222">
              <w:t>The</w:t>
            </w:r>
            <w:r w:rsidRPr="005D4222">
              <w:t xml:space="preserve"> </w:t>
            </w:r>
            <w:r w:rsidR="00465F23" w:rsidRPr="005D4222">
              <w:t>h</w:t>
            </w:r>
            <w:r w:rsidRPr="005D4222">
              <w:t xml:space="preserve">ospice, deceased persons, palliative care, I-SNP, LTI, frailty or advanced illness exclusions are not required. </w:t>
            </w:r>
          </w:p>
          <w:p w14:paraId="7DCBCB91" w14:textId="7BDF1666" w:rsidR="004054A3" w:rsidRPr="005D4222" w:rsidRDefault="004054A3" w:rsidP="004054A3">
            <w:pPr>
              <w:pStyle w:val="ProcessBullet"/>
              <w:numPr>
                <w:ilvl w:val="0"/>
                <w:numId w:val="49"/>
              </w:numPr>
              <w:tabs>
                <w:tab w:val="left" w:pos="216"/>
              </w:tabs>
              <w:ind w:left="216" w:hanging="216"/>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w:t>
            </w:r>
            <w:r w:rsidR="00F45777" w:rsidRPr="005D4222">
              <w:t>events</w:t>
            </w:r>
            <w:r w:rsidRPr="005D4222">
              <w:t>, numerators and exclusions that do not allow the use of telehealth.</w:t>
            </w:r>
          </w:p>
          <w:p w14:paraId="0E4D82DF" w14:textId="77777777" w:rsidR="004054A3" w:rsidRPr="005D4222" w:rsidRDefault="004054A3" w:rsidP="004054A3">
            <w:pPr>
              <w:pStyle w:val="ProcessBullet"/>
              <w:numPr>
                <w:ilvl w:val="0"/>
                <w:numId w:val="49"/>
              </w:numPr>
              <w:tabs>
                <w:tab w:val="left" w:pos="216"/>
              </w:tabs>
              <w:ind w:left="216" w:hanging="216"/>
            </w:pPr>
            <w:r w:rsidRPr="005D4222">
              <w:rPr>
                <w:i/>
                <w:iCs/>
              </w:rPr>
              <w:t>Supplemental data.</w:t>
            </w:r>
            <w:r w:rsidRPr="005D4222">
              <w:t xml:space="preserve"> Supplemental data may be used to identify initial population, denominator, exclusion and numerator events.</w:t>
            </w:r>
          </w:p>
          <w:p w14:paraId="4EA26EF7" w14:textId="77777777" w:rsidR="004054A3" w:rsidRPr="005D4222" w:rsidRDefault="004054A3">
            <w:pPr>
              <w:pStyle w:val="Adjustments"/>
              <w:rPr>
                <w:b w:val="0"/>
              </w:rPr>
            </w:pPr>
            <w:r w:rsidRPr="005D4222">
              <w:t>Adjustments allowed with limits</w:t>
            </w:r>
          </w:p>
          <w:p w14:paraId="4887DE49" w14:textId="77777777" w:rsidR="004054A3" w:rsidRPr="005D4222" w:rsidRDefault="004054A3" w:rsidP="004054A3">
            <w:pPr>
              <w:pStyle w:val="ProcessBullet"/>
              <w:numPr>
                <w:ilvl w:val="0"/>
                <w:numId w:val="50"/>
              </w:numPr>
              <w:tabs>
                <w:tab w:val="left" w:pos="216"/>
              </w:tabs>
              <w:ind w:left="216" w:hanging="216"/>
              <w:rPr>
                <w:rFonts w:eastAsia="Arial"/>
                <w:i/>
                <w:iCs/>
              </w:rPr>
            </w:pPr>
            <w:r w:rsidRPr="005D4222">
              <w:rPr>
                <w:rFonts w:eastAsia="Arial"/>
                <w:i/>
                <w:iCs/>
              </w:rPr>
              <w:t xml:space="preserve">Ages. </w:t>
            </w:r>
            <w:r w:rsidRPr="005D4222">
              <w:rPr>
                <w:rFonts w:eastAsia="Arial"/>
              </w:rPr>
              <w:t>Age determination dates may be changed (e.g., select, “age as of June 30”). The denominator age may be changed if the range is within the specified age range (18–85 years).</w:t>
            </w:r>
          </w:p>
          <w:p w14:paraId="1F676738" w14:textId="77777777" w:rsidR="004054A3" w:rsidRPr="005D4222" w:rsidRDefault="004054A3">
            <w:pPr>
              <w:pStyle w:val="Adjustments"/>
              <w:rPr>
                <w:b w:val="0"/>
              </w:rPr>
            </w:pPr>
            <w:r w:rsidRPr="005D4222">
              <w:t>Adjustments not allowed</w:t>
            </w:r>
          </w:p>
          <w:p w14:paraId="5CEF9ADF" w14:textId="77777777" w:rsidR="004054A3" w:rsidRPr="005D4222" w:rsidRDefault="004054A3" w:rsidP="004054A3">
            <w:pPr>
              <w:pStyle w:val="ProcessBullet"/>
              <w:numPr>
                <w:ilvl w:val="0"/>
                <w:numId w:val="50"/>
              </w:numPr>
              <w:tabs>
                <w:tab w:val="left" w:pos="216"/>
              </w:tabs>
              <w:ind w:left="216" w:hanging="216"/>
            </w:pPr>
            <w:r w:rsidRPr="005D4222">
              <w:rPr>
                <w:i/>
                <w:iCs/>
              </w:rPr>
              <w:t>Initial population:</w:t>
            </w:r>
            <w:r w:rsidRPr="005D4222">
              <w:t xml:space="preserve"> </w:t>
            </w:r>
            <w:r w:rsidRPr="005D4222">
              <w:rPr>
                <w:iCs/>
              </w:rPr>
              <w:t>Event. Only e</w:t>
            </w:r>
            <w:r w:rsidRPr="005D4222">
              <w:t>vents or diagnoses that contain (or map to) codes in the medication lists and value sets may be used to identify visits. Medication lists, value sets and logic may not be changed.</w:t>
            </w:r>
            <w:r w:rsidRPr="005D4222" w:rsidDel="00024CA1">
              <w:t xml:space="preserve"> </w:t>
            </w:r>
          </w:p>
          <w:p w14:paraId="6F153A72" w14:textId="75C24381" w:rsidR="004054A3" w:rsidRPr="005D4222" w:rsidRDefault="004054A3" w:rsidP="004054A3">
            <w:pPr>
              <w:pStyle w:val="ProcessBullet"/>
              <w:numPr>
                <w:ilvl w:val="0"/>
                <w:numId w:val="50"/>
              </w:numPr>
              <w:tabs>
                <w:tab w:val="left" w:pos="216"/>
              </w:tabs>
              <w:ind w:left="216" w:hanging="216"/>
              <w:rPr>
                <w:i/>
                <w:iCs/>
              </w:rPr>
            </w:pPr>
            <w:r w:rsidRPr="005D4222">
              <w:rPr>
                <w:i/>
                <w:iCs/>
              </w:rPr>
              <w:t>Exclusions.</w:t>
            </w:r>
            <w:r w:rsidRPr="005D4222">
              <w:t xml:space="preserve"> The ESRD and dialysis exclusions must be applied. Value sets </w:t>
            </w:r>
            <w:r w:rsidR="00590EDA" w:rsidRPr="005D4222">
              <w:t xml:space="preserve">and logic </w:t>
            </w:r>
            <w:r w:rsidRPr="005D4222">
              <w:t>may not be changed.</w:t>
            </w:r>
          </w:p>
          <w:p w14:paraId="1C7014A9" w14:textId="77777777" w:rsidR="004054A3" w:rsidRPr="005D4222" w:rsidRDefault="004054A3" w:rsidP="004054A3">
            <w:pPr>
              <w:pStyle w:val="ProcessBullet"/>
              <w:numPr>
                <w:ilvl w:val="0"/>
                <w:numId w:val="50"/>
              </w:numPr>
              <w:tabs>
                <w:tab w:val="left" w:pos="216"/>
              </w:tabs>
              <w:spacing w:after="80"/>
              <w:ind w:left="216" w:hanging="216"/>
            </w:pPr>
            <w:r w:rsidRPr="005D4222">
              <w:rPr>
                <w:i/>
                <w:iCs/>
              </w:rPr>
              <w:t>Numerator.</w:t>
            </w:r>
            <w:r w:rsidRPr="005D4222">
              <w:t xml:space="preserve"> Value sets and logic may not be changed.</w:t>
            </w:r>
          </w:p>
        </w:tc>
      </w:tr>
    </w:tbl>
    <w:p w14:paraId="33D9518D" w14:textId="77777777" w:rsidR="00EF2E7C" w:rsidRPr="005D4222" w:rsidRDefault="00EF2E7C" w:rsidP="007919B9">
      <w:pPr>
        <w:pStyle w:val="ECDSBody"/>
        <w:sectPr w:rsidR="00EF2E7C" w:rsidRPr="005D4222" w:rsidSect="0074514A">
          <w:headerReference w:type="default" r:id="rId107"/>
          <w:type w:val="nextColumn"/>
          <w:pgSz w:w="12240" w:h="15840" w:code="1"/>
          <w:pgMar w:top="1080" w:right="1080" w:bottom="1080" w:left="1440" w:header="720" w:footer="720" w:gutter="0"/>
          <w:cols w:space="720"/>
          <w:docGrid w:linePitch="360"/>
        </w:sectPr>
      </w:pPr>
    </w:p>
    <w:p w14:paraId="451668D2" w14:textId="3F6EC5E5" w:rsidR="00E82E36" w:rsidRPr="005D4222" w:rsidRDefault="00E82E36" w:rsidP="00966DCB">
      <w:pPr>
        <w:pStyle w:val="BreakPage2"/>
        <w:rPr>
          <w:i w:val="0"/>
          <w:iCs w:val="0"/>
        </w:rPr>
      </w:pPr>
      <w:bookmarkStart w:id="293" w:name="_Toc201813404"/>
      <w:r w:rsidRPr="005D4222">
        <w:lastRenderedPageBreak/>
        <w:t>Musculoskeletal Conditions</w:t>
      </w:r>
      <w:bookmarkEnd w:id="293"/>
    </w:p>
    <w:p w14:paraId="287A6AE9" w14:textId="77777777" w:rsidR="00E82E36" w:rsidRPr="005D4222" w:rsidRDefault="00E82E36" w:rsidP="00966DCB">
      <w:pPr>
        <w:pStyle w:val="BreakPage2"/>
        <w:sectPr w:rsidR="00E82E36" w:rsidRPr="005D4222" w:rsidSect="0074514A">
          <w:headerReference w:type="default" r:id="rId108"/>
          <w:footerReference w:type="default" r:id="rId109"/>
          <w:type w:val="nextColumn"/>
          <w:pgSz w:w="12240" w:h="15840" w:code="1"/>
          <w:pgMar w:top="1080" w:right="1080" w:bottom="1080" w:left="1440" w:header="720" w:footer="720" w:gutter="0"/>
          <w:cols w:space="720"/>
          <w:docGrid w:linePitch="360"/>
        </w:sectPr>
      </w:pPr>
    </w:p>
    <w:p w14:paraId="0D3E4219" w14:textId="024CA1EF" w:rsidR="00E82E36" w:rsidRPr="005D4222" w:rsidRDefault="00E82E36" w:rsidP="00E82E36">
      <w:pPr>
        <w:pStyle w:val="MeasureTitle"/>
      </w:pPr>
      <w:bookmarkStart w:id="294" w:name="_Toc201813405"/>
      <w:r w:rsidRPr="005D4222">
        <w:lastRenderedPageBreak/>
        <w:t>Osteoporosis Management in Women Who Had a Fracture</w:t>
      </w:r>
      <w:r w:rsidR="004C0737" w:rsidRPr="005D4222">
        <w:t xml:space="preserve"> (OMW)</w:t>
      </w:r>
      <w:bookmarkEnd w:id="294"/>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4908"/>
        <w:gridCol w:w="1544"/>
        <w:gridCol w:w="1105"/>
      </w:tblGrid>
      <w:tr w:rsidR="00E82E36" w:rsidRPr="005D4222" w14:paraId="2DA72D2F" w14:textId="77777777">
        <w:tc>
          <w:tcPr>
            <w:tcW w:w="2157" w:type="dxa"/>
            <w:shd w:val="clear" w:color="auto" w:fill="BFBFBF" w:themeFill="background1" w:themeFillShade="BF"/>
            <w:tcMar>
              <w:top w:w="0" w:type="dxa"/>
              <w:left w:w="86" w:type="dxa"/>
              <w:bottom w:w="43" w:type="dxa"/>
              <w:right w:w="86" w:type="dxa"/>
            </w:tcMar>
            <w:hideMark/>
          </w:tcPr>
          <w:p w14:paraId="020C685E" w14:textId="77777777" w:rsidR="00E82E36" w:rsidRPr="005D4222" w:rsidRDefault="00E82E36">
            <w:pPr>
              <w:pStyle w:val="ECDSMarginHead"/>
            </w:pPr>
            <w:r w:rsidRPr="005D4222">
              <w:t>Measure title</w:t>
            </w:r>
          </w:p>
        </w:tc>
        <w:tc>
          <w:tcPr>
            <w:tcW w:w="4908" w:type="dxa"/>
            <w:tcMar>
              <w:top w:w="0" w:type="dxa"/>
              <w:left w:w="86" w:type="dxa"/>
              <w:bottom w:w="43" w:type="dxa"/>
              <w:right w:w="86" w:type="dxa"/>
            </w:tcMar>
          </w:tcPr>
          <w:p w14:paraId="310C8051" w14:textId="77777777" w:rsidR="00E82E36" w:rsidRPr="005D4222" w:rsidRDefault="00E82E36">
            <w:pPr>
              <w:pStyle w:val="ECDSBody"/>
            </w:pPr>
            <w:r w:rsidRPr="005D4222">
              <w:t>Osteoporosis Management in Women Who Had a Fracture</w:t>
            </w:r>
          </w:p>
        </w:tc>
        <w:tc>
          <w:tcPr>
            <w:tcW w:w="1544" w:type="dxa"/>
            <w:shd w:val="clear" w:color="auto" w:fill="BFBFBF" w:themeFill="background1" w:themeFillShade="BF"/>
            <w:tcMar>
              <w:top w:w="0" w:type="dxa"/>
              <w:left w:w="86" w:type="dxa"/>
              <w:bottom w:w="43" w:type="dxa"/>
              <w:right w:w="86" w:type="dxa"/>
            </w:tcMar>
          </w:tcPr>
          <w:p w14:paraId="47A376AC" w14:textId="77777777" w:rsidR="00E82E36" w:rsidRPr="005D4222" w:rsidRDefault="00E82E36">
            <w:pPr>
              <w:pStyle w:val="ECDSMarginHead"/>
            </w:pPr>
            <w:r w:rsidRPr="005D4222">
              <w:t>Measure ID</w:t>
            </w:r>
          </w:p>
        </w:tc>
        <w:tc>
          <w:tcPr>
            <w:tcW w:w="1105" w:type="dxa"/>
            <w:tcMar>
              <w:top w:w="0" w:type="dxa"/>
              <w:left w:w="86" w:type="dxa"/>
              <w:bottom w:w="43" w:type="dxa"/>
              <w:right w:w="86" w:type="dxa"/>
            </w:tcMar>
          </w:tcPr>
          <w:p w14:paraId="650C8DC2" w14:textId="77777777" w:rsidR="00E82E36" w:rsidRPr="005D4222" w:rsidRDefault="00E82E36">
            <w:pPr>
              <w:pStyle w:val="ECDSBody"/>
            </w:pPr>
            <w:r w:rsidRPr="005D4222">
              <w:t>OMW</w:t>
            </w:r>
          </w:p>
        </w:tc>
      </w:tr>
      <w:tr w:rsidR="00E82E36" w:rsidRPr="005D4222" w14:paraId="37A8237A" w14:textId="77777777">
        <w:tc>
          <w:tcPr>
            <w:tcW w:w="2157" w:type="dxa"/>
            <w:shd w:val="clear" w:color="auto" w:fill="BFBFBF" w:themeFill="background1" w:themeFillShade="BF"/>
            <w:tcMar>
              <w:top w:w="0" w:type="dxa"/>
              <w:left w:w="86" w:type="dxa"/>
              <w:bottom w:w="43" w:type="dxa"/>
              <w:right w:w="86" w:type="dxa"/>
            </w:tcMar>
            <w:hideMark/>
          </w:tcPr>
          <w:p w14:paraId="017D3886" w14:textId="77777777" w:rsidR="00E82E36" w:rsidRPr="005D4222" w:rsidRDefault="00E82E36">
            <w:pPr>
              <w:pStyle w:val="ECDSMarginHead"/>
            </w:pPr>
            <w:r w:rsidRPr="005D4222">
              <w:t>Description</w:t>
            </w:r>
          </w:p>
        </w:tc>
        <w:tc>
          <w:tcPr>
            <w:tcW w:w="7557" w:type="dxa"/>
            <w:gridSpan w:val="3"/>
            <w:tcMar>
              <w:top w:w="0" w:type="dxa"/>
              <w:left w:w="86" w:type="dxa"/>
              <w:bottom w:w="43" w:type="dxa"/>
              <w:right w:w="86" w:type="dxa"/>
            </w:tcMar>
          </w:tcPr>
          <w:p w14:paraId="3BEE14FE" w14:textId="77777777" w:rsidR="00E82E36" w:rsidRPr="005D4222" w:rsidRDefault="00E82E36">
            <w:pPr>
              <w:pStyle w:val="ECDSBody"/>
            </w:pPr>
            <w:r w:rsidRPr="005D4222">
              <w:t>The percentage of women 67–85 years of age who suffered a fracture and who had either a bone mineral density (BMD) test or prescription for a drug to treat osteoporosis in the 180 days (6 months) after the fracture.</w:t>
            </w:r>
          </w:p>
        </w:tc>
      </w:tr>
      <w:tr w:rsidR="00E82E36" w:rsidRPr="005D4222" w14:paraId="422496A5" w14:textId="77777777">
        <w:tc>
          <w:tcPr>
            <w:tcW w:w="2157" w:type="dxa"/>
            <w:shd w:val="clear" w:color="auto" w:fill="BFBFBF" w:themeFill="background1" w:themeFillShade="BF"/>
            <w:tcMar>
              <w:top w:w="0" w:type="dxa"/>
              <w:left w:w="86" w:type="dxa"/>
              <w:bottom w:w="43" w:type="dxa"/>
              <w:right w:w="86" w:type="dxa"/>
            </w:tcMar>
          </w:tcPr>
          <w:p w14:paraId="4865BE09" w14:textId="77777777" w:rsidR="00E82E36" w:rsidRPr="005D4222" w:rsidRDefault="00E82E36">
            <w:pPr>
              <w:pStyle w:val="ECDSMarginHead"/>
            </w:pPr>
            <w:r w:rsidRPr="005D4222">
              <w:t>Measurement period</w:t>
            </w:r>
          </w:p>
        </w:tc>
        <w:tc>
          <w:tcPr>
            <w:tcW w:w="7557" w:type="dxa"/>
            <w:gridSpan w:val="3"/>
            <w:tcMar>
              <w:top w:w="0" w:type="dxa"/>
              <w:left w:w="86" w:type="dxa"/>
              <w:bottom w:w="43" w:type="dxa"/>
              <w:right w:w="86" w:type="dxa"/>
            </w:tcMar>
          </w:tcPr>
          <w:p w14:paraId="02383A63" w14:textId="77777777" w:rsidR="00E82E36" w:rsidRPr="005D4222" w:rsidRDefault="00E82E36">
            <w:pPr>
              <w:pStyle w:val="ECDSBody"/>
              <w:rPr>
                <w:szCs w:val="21"/>
              </w:rPr>
            </w:pPr>
            <w:r w:rsidRPr="005D4222">
              <w:rPr>
                <w:szCs w:val="21"/>
              </w:rPr>
              <w:t>January 1–December 31.</w:t>
            </w:r>
          </w:p>
        </w:tc>
      </w:tr>
      <w:tr w:rsidR="00E82E36" w:rsidRPr="005D4222" w14:paraId="2E284CDB" w14:textId="77777777">
        <w:tc>
          <w:tcPr>
            <w:tcW w:w="2157" w:type="dxa"/>
            <w:shd w:val="clear" w:color="auto" w:fill="BFBFBF" w:themeFill="background1" w:themeFillShade="BF"/>
            <w:tcMar>
              <w:top w:w="0" w:type="dxa"/>
              <w:left w:w="86" w:type="dxa"/>
              <w:bottom w:w="43" w:type="dxa"/>
              <w:right w:w="86" w:type="dxa"/>
            </w:tcMar>
            <w:hideMark/>
          </w:tcPr>
          <w:p w14:paraId="10B41801" w14:textId="77777777" w:rsidR="00E82E36" w:rsidRPr="005D4222" w:rsidRDefault="00E82E36">
            <w:pPr>
              <w:pStyle w:val="ECDSMarginHead"/>
              <w:rPr>
                <w:rFonts w:eastAsia="Arial"/>
              </w:rPr>
            </w:pPr>
            <w:r w:rsidRPr="005D4222">
              <w:rPr>
                <w:rFonts w:eastAsia="Arial"/>
                <w:bCs/>
              </w:rPr>
              <w:t>Copyright and disclaimer notice</w:t>
            </w:r>
          </w:p>
        </w:tc>
        <w:tc>
          <w:tcPr>
            <w:tcW w:w="7557" w:type="dxa"/>
            <w:gridSpan w:val="3"/>
            <w:tcMar>
              <w:top w:w="0" w:type="dxa"/>
              <w:left w:w="86" w:type="dxa"/>
              <w:bottom w:w="43" w:type="dxa"/>
              <w:right w:w="86" w:type="dxa"/>
            </w:tcMar>
          </w:tcPr>
          <w:p w14:paraId="6809A398" w14:textId="77777777" w:rsidR="00E82E36" w:rsidRPr="005D4222" w:rsidRDefault="00E82E36">
            <w:pPr>
              <w:pStyle w:val="ECDSBody"/>
            </w:pPr>
            <w:r w:rsidRPr="005D4222">
              <w:t xml:space="preserve">Refer to the complete copyright and disclaimer information at the front of this publication. </w:t>
            </w:r>
          </w:p>
          <w:p w14:paraId="54D5F820" w14:textId="77777777" w:rsidR="00E82E36" w:rsidRPr="005D4222" w:rsidRDefault="00E82E36">
            <w:pPr>
              <w:pStyle w:val="ECDSBody"/>
              <w:spacing w:before="80"/>
              <w:rPr>
                <w:szCs w:val="21"/>
              </w:rPr>
            </w:pPr>
            <w:r w:rsidRPr="005D4222">
              <w:rPr>
                <w:szCs w:val="21"/>
              </w:rPr>
              <w:t xml:space="preserve">NCQA website: </w:t>
            </w:r>
            <w:r w:rsidRPr="005D4222">
              <w:rPr>
                <w:szCs w:val="21"/>
                <w:u w:val="single"/>
              </w:rPr>
              <w:t>www.ncqa.org</w:t>
            </w:r>
            <w:r w:rsidRPr="005D4222">
              <w:rPr>
                <w:szCs w:val="21"/>
              </w:rPr>
              <w:t>.</w:t>
            </w:r>
          </w:p>
          <w:p w14:paraId="2F9CD1C5" w14:textId="77777777" w:rsidR="00E82E36" w:rsidRPr="005D4222" w:rsidRDefault="00E82E36">
            <w:pPr>
              <w:pStyle w:val="ECDSBody"/>
              <w:spacing w:before="80"/>
            </w:pPr>
            <w:r w:rsidRPr="005D4222">
              <w:rPr>
                <w:szCs w:val="21"/>
              </w:rPr>
              <w:t>Submit policy clarification support questions via My NCQA (</w:t>
            </w:r>
            <w:r w:rsidRPr="005D4222">
              <w:rPr>
                <w:szCs w:val="21"/>
                <w:u w:val="single"/>
              </w:rPr>
              <w:t>https://my.ncqa.org</w:t>
            </w:r>
            <w:r w:rsidRPr="005D4222">
              <w:rPr>
                <w:szCs w:val="21"/>
              </w:rPr>
              <w:t>).</w:t>
            </w:r>
          </w:p>
        </w:tc>
      </w:tr>
      <w:tr w:rsidR="00E82E36" w:rsidRPr="005D4222" w14:paraId="37C937E2" w14:textId="77777777">
        <w:tc>
          <w:tcPr>
            <w:tcW w:w="2157" w:type="dxa"/>
            <w:shd w:val="clear" w:color="auto" w:fill="BFBFBF" w:themeFill="background1" w:themeFillShade="BF"/>
            <w:tcMar>
              <w:top w:w="0" w:type="dxa"/>
              <w:left w:w="86" w:type="dxa"/>
              <w:bottom w:w="43" w:type="dxa"/>
              <w:right w:w="86" w:type="dxa"/>
            </w:tcMar>
            <w:hideMark/>
          </w:tcPr>
          <w:p w14:paraId="5B1942AD" w14:textId="77777777" w:rsidR="00E82E36" w:rsidRPr="005D4222" w:rsidRDefault="00E82E36">
            <w:pPr>
              <w:pStyle w:val="ECDSMarginHead"/>
            </w:pPr>
            <w:r w:rsidRPr="005D4222">
              <w:t>Clinical recommendation statement/ rationale</w:t>
            </w:r>
          </w:p>
        </w:tc>
        <w:tc>
          <w:tcPr>
            <w:tcW w:w="7557" w:type="dxa"/>
            <w:gridSpan w:val="3"/>
            <w:tcMar>
              <w:top w:w="0" w:type="dxa"/>
              <w:left w:w="86" w:type="dxa"/>
              <w:bottom w:w="43" w:type="dxa"/>
              <w:right w:w="86" w:type="dxa"/>
            </w:tcMar>
          </w:tcPr>
          <w:p w14:paraId="731FCDDF" w14:textId="77777777" w:rsidR="00E82E36" w:rsidRPr="005D4222" w:rsidRDefault="00E82E36">
            <w:pPr>
              <w:pStyle w:val="ECDSBody"/>
            </w:pPr>
            <w:r w:rsidRPr="005D4222">
              <w:t>Osteoporosis is the most common metabolic bone disease and is characterized by low bone mineral density and structural deterioration of bone tissue, causing bone fragility and increasing the risk of fractures. An estimated 12.3 million people 50 and older have osteoporosis. Osteoporosis affects about 25% of women 65 years and older and about 5% of men 65 and older. Osteoporosis or low bone mass at the femur neck or lumbar spine increases with age.</w:t>
            </w:r>
          </w:p>
          <w:p w14:paraId="2629DADA" w14:textId="77777777" w:rsidR="00E82E36" w:rsidRPr="005D4222" w:rsidRDefault="00E82E36">
            <w:pPr>
              <w:pStyle w:val="ECDSBody"/>
            </w:pPr>
            <w:r w:rsidRPr="005D4222">
              <w:t>The U.S. Preventive Services Task Force (USPSTF) recommends screening for osteoporosis with bone measurement testing to prevent osteoporotic fractures in women 65 years and older. This is a B recommendation, meaning that the USPSTF recommends the service and there is moderate certainty for the net benefit of screening for osteoporosis.</w:t>
            </w:r>
          </w:p>
          <w:p w14:paraId="2EBD93F8" w14:textId="77777777" w:rsidR="00E82E36" w:rsidRPr="005D4222" w:rsidRDefault="00E82E36">
            <w:pPr>
              <w:pStyle w:val="ECDSBody"/>
            </w:pPr>
            <w:r w:rsidRPr="005D4222">
              <w:t xml:space="preserve">The USPSTF also recommends screening for osteoporosis with bone measurement testing to prevent osteoporotic fractures in postmenopausal women younger than 65 who are at increased risk of osteoporosis, as determined by a formal clinical risk assessment tool. </w:t>
            </w:r>
          </w:p>
          <w:p w14:paraId="39E26277" w14:textId="399ACF34" w:rsidR="00E82E36" w:rsidRPr="005D4222" w:rsidRDefault="00E82E36">
            <w:pPr>
              <w:pStyle w:val="ECDSBody"/>
              <w:rPr>
                <w:rFonts w:eastAsia="Arial"/>
              </w:rPr>
            </w:pPr>
            <w:r w:rsidRPr="005D4222">
              <w:t xml:space="preserve">The North American Menopause </w:t>
            </w:r>
            <w:r w:rsidR="000815D4" w:rsidRPr="005D4222">
              <w:t>S</w:t>
            </w:r>
            <w:r w:rsidRPr="005D4222">
              <w:t>ociety recommends osteoporosis drug therapy for p</w:t>
            </w:r>
            <w:r w:rsidRPr="005D4222">
              <w:rPr>
                <w:rFonts w:eastAsia="Arial"/>
              </w:rPr>
              <w:t xml:space="preserve">ostmenopausal women who have had an osteoporotic vertebral or hip fracture and postmenopausal women who have bone mineral density values consistent with osteoporosis. The American Association of Clinical Endocrinologists also recommends pharmacological therapy for all patients who have a history of spine or hip fractures. </w:t>
            </w:r>
          </w:p>
          <w:p w14:paraId="3CE8531C" w14:textId="77777777" w:rsidR="00E82E36" w:rsidRPr="005D4222" w:rsidRDefault="00E82E36">
            <w:pPr>
              <w:pStyle w:val="ECDSBody"/>
              <w:rPr>
                <w:rFonts w:ascii="Segoe UI" w:hAnsi="Segoe UI" w:cs="Segoe UI"/>
                <w:sz w:val="18"/>
                <w:szCs w:val="18"/>
              </w:rPr>
            </w:pPr>
            <w:r w:rsidRPr="005D4222">
              <w:t>Osteoporosis-related fractures cost patients, their families and the health care system an estimated $19 billion annually. By 2025, experts predict osteoporosis will be responsible for 3 million fractures, resulting in $25.3 billion in costs.</w:t>
            </w:r>
          </w:p>
        </w:tc>
      </w:tr>
    </w:tbl>
    <w:p w14:paraId="5AAC41C6" w14:textId="77777777" w:rsidR="00E82E36" w:rsidRPr="005D4222" w:rsidRDefault="00E82E36">
      <w:r w:rsidRPr="005D4222">
        <w:br w:type="page"/>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E82E36" w:rsidRPr="005D4222" w14:paraId="1E22403F" w14:textId="77777777">
        <w:tc>
          <w:tcPr>
            <w:tcW w:w="2157" w:type="dxa"/>
            <w:shd w:val="clear" w:color="auto" w:fill="BFBFBF" w:themeFill="background1" w:themeFillShade="BF"/>
            <w:tcMar>
              <w:top w:w="0" w:type="dxa"/>
              <w:left w:w="86" w:type="dxa"/>
              <w:bottom w:w="43" w:type="dxa"/>
              <w:right w:w="86" w:type="dxa"/>
            </w:tcMar>
          </w:tcPr>
          <w:p w14:paraId="3D71A35B" w14:textId="77777777" w:rsidR="00E82E36" w:rsidRPr="005D4222" w:rsidRDefault="00E82E36">
            <w:pPr>
              <w:pStyle w:val="ECDSMarginHead"/>
            </w:pPr>
            <w:r w:rsidRPr="005D4222">
              <w:lastRenderedPageBreak/>
              <w:t>Citations</w:t>
            </w:r>
          </w:p>
        </w:tc>
        <w:tc>
          <w:tcPr>
            <w:tcW w:w="7557" w:type="dxa"/>
            <w:tcMar>
              <w:top w:w="0" w:type="dxa"/>
              <w:left w:w="86" w:type="dxa"/>
              <w:bottom w:w="43" w:type="dxa"/>
              <w:right w:w="86" w:type="dxa"/>
            </w:tcMar>
          </w:tcPr>
          <w:p w14:paraId="4B94B41F" w14:textId="77777777" w:rsidR="00E82E36" w:rsidRPr="005D4222" w:rsidRDefault="00E82E36">
            <w:pPr>
              <w:pStyle w:val="ECDSBody"/>
            </w:pPr>
            <w:r w:rsidRPr="005D4222">
              <w:t xml:space="preserve">Camacho, P.M., S.M. Petak, N. Binkley, et al. 2020. “American Association of Clinical Endocrinologists/American College of Endocrinology Clinical Practice Guidelines for the Diagnosis and Treatment of Postmenopausal Osteoporosis—2020 Update.” </w:t>
            </w:r>
            <w:r w:rsidRPr="005D4222">
              <w:rPr>
                <w:i/>
                <w:iCs/>
              </w:rPr>
              <w:t xml:space="preserve">Endocrine Practice </w:t>
            </w:r>
            <w:r w:rsidRPr="005D4222">
              <w:t xml:space="preserve">26:1–46. </w:t>
            </w:r>
            <w:r w:rsidRPr="005D4222">
              <w:br/>
              <w:t>doi:10.4158/GL-2020-0524SUPPL</w:t>
            </w:r>
          </w:p>
          <w:p w14:paraId="22CEEFD7" w14:textId="77777777" w:rsidR="00E82E36" w:rsidRPr="005D4222" w:rsidRDefault="00E82E36">
            <w:pPr>
              <w:pStyle w:val="ECDSBody"/>
              <w:spacing w:before="180"/>
              <w:rPr>
                <w:szCs w:val="21"/>
              </w:rPr>
            </w:pPr>
            <w:r w:rsidRPr="005D4222">
              <w:rPr>
                <w:szCs w:val="21"/>
              </w:rPr>
              <w:t xml:space="preserve">Looker, A.C., N.S. Isfahani, B. Fan, and J.A. Shepherd. 2017. “Trends in Osteoporosis and Low Bone Mass in Older US Adults, 2005–2006 Through 2013–2014.” </w:t>
            </w:r>
            <w:r w:rsidRPr="005D4222">
              <w:rPr>
                <w:i/>
                <w:iCs/>
                <w:szCs w:val="21"/>
              </w:rPr>
              <w:t>Osteoporosis International</w:t>
            </w:r>
            <w:r w:rsidRPr="005D4222">
              <w:rPr>
                <w:szCs w:val="21"/>
              </w:rPr>
              <w:t xml:space="preserve"> 28(6), 1979–88. </w:t>
            </w:r>
          </w:p>
          <w:p w14:paraId="77D3D821" w14:textId="77777777" w:rsidR="00E82E36" w:rsidRPr="005D4222" w:rsidRDefault="00E82E36">
            <w:pPr>
              <w:pStyle w:val="ECDSBody"/>
              <w:rPr>
                <w:rStyle w:val="Hyperlink"/>
                <w:szCs w:val="21"/>
              </w:rPr>
            </w:pPr>
            <w:r w:rsidRPr="005D4222">
              <w:rPr>
                <w:szCs w:val="21"/>
              </w:rPr>
              <w:t xml:space="preserve">“Management of Osteoporosis in Postmenopausal Women: The 2021 Position Statement of The North American Menopause Society.” 2021. </w:t>
            </w:r>
            <w:r w:rsidRPr="005D4222">
              <w:rPr>
                <w:i/>
                <w:iCs/>
                <w:szCs w:val="21"/>
              </w:rPr>
              <w:t xml:space="preserve">Menopause </w:t>
            </w:r>
            <w:r w:rsidRPr="005D4222">
              <w:rPr>
                <w:szCs w:val="21"/>
              </w:rPr>
              <w:t>28(9):973–97. doi:10.1097/GME.0000000000001831</w:t>
            </w:r>
          </w:p>
          <w:p w14:paraId="15175FB4" w14:textId="77777777" w:rsidR="00E82E36" w:rsidRPr="005D4222" w:rsidRDefault="00E82E36">
            <w:pPr>
              <w:pStyle w:val="ECDSBody"/>
              <w:rPr>
                <w:szCs w:val="21"/>
              </w:rPr>
            </w:pPr>
            <w:r w:rsidRPr="005D4222">
              <w:rPr>
                <w:szCs w:val="21"/>
              </w:rPr>
              <w:t xml:space="preserve">National Institutes of Health. 2017. </w:t>
            </w:r>
            <w:r w:rsidRPr="005D4222">
              <w:rPr>
                <w:i/>
                <w:iCs/>
                <w:szCs w:val="21"/>
              </w:rPr>
              <w:t>Osteoporosis: Overview.</w:t>
            </w:r>
            <w:r w:rsidRPr="005D4222">
              <w:rPr>
                <w:szCs w:val="21"/>
              </w:rPr>
              <w:t xml:space="preserve"> National Institute of Arthritis and Musculoskeletal and Skin Disorders (NIH NIAMS). https://www.bones.nih.gov/health-info/bone/osteoporosis/overview </w:t>
            </w:r>
          </w:p>
          <w:p w14:paraId="3CBF3DA7" w14:textId="77777777" w:rsidR="00E82E36" w:rsidRPr="005D4222" w:rsidRDefault="00E82E36">
            <w:pPr>
              <w:pStyle w:val="ECDSBody"/>
              <w:rPr>
                <w:szCs w:val="21"/>
              </w:rPr>
            </w:pPr>
            <w:r w:rsidRPr="005D4222">
              <w:rPr>
                <w:szCs w:val="21"/>
              </w:rPr>
              <w:t xml:space="preserve">National Osteoporosis Foundation. 2015. </w:t>
            </w:r>
            <w:r w:rsidRPr="005D4222">
              <w:rPr>
                <w:i/>
                <w:iCs/>
                <w:szCs w:val="21"/>
              </w:rPr>
              <w:t>Osteoporosis Fast Facts.</w:t>
            </w:r>
            <w:r w:rsidRPr="005D4222">
              <w:rPr>
                <w:szCs w:val="21"/>
              </w:rPr>
              <w:t xml:space="preserve"> https://cdn.nof.org/wp-content/uploads/2015/12/Osteoporosis-Fast-Facts.pdf </w:t>
            </w:r>
          </w:p>
          <w:p w14:paraId="0FAD1187" w14:textId="77777777" w:rsidR="00E82E36" w:rsidRPr="005D4222" w:rsidRDefault="00E82E36">
            <w:pPr>
              <w:pStyle w:val="ECDSBody"/>
              <w:rPr>
                <w:color w:val="000000"/>
              </w:rPr>
            </w:pPr>
            <w:r w:rsidRPr="005D4222">
              <w:rPr>
                <w:color w:val="000000" w:themeColor="text1"/>
              </w:rPr>
              <w:t>U.S. Preventive Services Task Force (USPSTF). 2025.</w:t>
            </w:r>
            <w:r w:rsidRPr="005D4222" w:rsidDel="00076C49">
              <w:rPr>
                <w:color w:val="000000" w:themeColor="text1"/>
              </w:rPr>
              <w:t xml:space="preserve"> </w:t>
            </w:r>
            <w:r w:rsidRPr="005D4222">
              <w:rPr>
                <w:i/>
              </w:rPr>
              <w:t>Final Recommendation Statement: Osteoporosis to Prevent Fractures: Screening</w:t>
            </w:r>
            <w:r w:rsidRPr="005D4222">
              <w:rPr>
                <w:i/>
                <w:iCs/>
              </w:rPr>
              <w:t xml:space="preserve">. </w:t>
            </w:r>
            <w:r w:rsidRPr="005D4222">
              <w:t>https://www.uspreventiveservicestaskforce.org/uspstf/recommendation/osteoporosis-screening</w:t>
            </w:r>
          </w:p>
          <w:p w14:paraId="7D86240F" w14:textId="77777777" w:rsidR="00E82E36" w:rsidRPr="005D4222" w:rsidRDefault="00E82E36">
            <w:pPr>
              <w:pStyle w:val="ECDSBody"/>
              <w:rPr>
                <w:szCs w:val="21"/>
              </w:rPr>
            </w:pPr>
            <w:r w:rsidRPr="005D4222">
              <w:rPr>
                <w:szCs w:val="21"/>
              </w:rPr>
              <w:t>Wright, N.C., A.C. Looker, K.G. Saag, J.R. Curtis, E.S. Delzell, S. Randall, and B. Dawson</w:t>
            </w:r>
            <w:r w:rsidRPr="005D4222">
              <w:rPr>
                <w:rFonts w:ascii="Cambria Math" w:hAnsi="Cambria Math" w:cs="Cambria Math"/>
                <w:szCs w:val="21"/>
              </w:rPr>
              <w:t>‐</w:t>
            </w:r>
            <w:r w:rsidRPr="005D4222">
              <w:rPr>
                <w:szCs w:val="21"/>
              </w:rPr>
              <w:t xml:space="preserve">Hughes. 2014. “The Recent Prevalence of Osteoporosis and Low Bone Mass in the United States Based on Bone Mineral Density at the Femoral Neck or Lumbar Spine.” </w:t>
            </w:r>
            <w:r w:rsidRPr="005D4222">
              <w:rPr>
                <w:i/>
                <w:iCs/>
                <w:szCs w:val="21"/>
              </w:rPr>
              <w:t>Journal of Bone and Mineral Research</w:t>
            </w:r>
            <w:r w:rsidRPr="005D4222">
              <w:rPr>
                <w:szCs w:val="21"/>
              </w:rPr>
              <w:t xml:space="preserve"> 29(11), </w:t>
            </w:r>
            <w:r w:rsidRPr="005D4222">
              <w:rPr>
                <w:szCs w:val="21"/>
              </w:rPr>
              <w:br/>
              <w:t xml:space="preserve">2520–6. </w:t>
            </w:r>
          </w:p>
        </w:tc>
      </w:tr>
      <w:tr w:rsidR="00E82E36" w:rsidRPr="005D4222" w14:paraId="71E6644F" w14:textId="77777777">
        <w:tc>
          <w:tcPr>
            <w:tcW w:w="9714" w:type="dxa"/>
            <w:gridSpan w:val="2"/>
            <w:tcBorders>
              <w:bottom w:val="single" w:sz="4" w:space="0" w:color="auto"/>
            </w:tcBorders>
            <w:shd w:val="clear" w:color="auto" w:fill="BFBFBF" w:themeFill="background1" w:themeFillShade="BF"/>
            <w:tcMar>
              <w:top w:w="0" w:type="dxa"/>
              <w:left w:w="86" w:type="dxa"/>
              <w:bottom w:w="43" w:type="dxa"/>
              <w:right w:w="86" w:type="dxa"/>
            </w:tcMar>
          </w:tcPr>
          <w:p w14:paraId="230780D6" w14:textId="77777777" w:rsidR="00E82E36" w:rsidRPr="005D4222" w:rsidRDefault="00E82E36">
            <w:pPr>
              <w:pStyle w:val="ECDSMarginHead"/>
            </w:pPr>
            <w:r w:rsidRPr="005D4222">
              <w:t>Characteristics</w:t>
            </w:r>
          </w:p>
        </w:tc>
      </w:tr>
      <w:tr w:rsidR="00E82E36" w:rsidRPr="005D4222" w14:paraId="7BA139B6" w14:textId="77777777">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2EA33159" w14:textId="77777777" w:rsidR="00E82E36" w:rsidRPr="005D4222" w:rsidRDefault="00E82E36" w:rsidP="00E82E36">
            <w:pPr>
              <w:pStyle w:val="ECDSSubhead"/>
            </w:pPr>
            <w:r w:rsidRPr="005D4222">
              <w:t>Scoring</w:t>
            </w: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45A8E68B" w14:textId="77777777" w:rsidR="00E82E36" w:rsidRPr="005D4222" w:rsidRDefault="00E82E36">
            <w:pPr>
              <w:pStyle w:val="ECDSBody"/>
              <w:spacing w:after="0"/>
            </w:pPr>
            <w:r w:rsidRPr="005D4222">
              <w:t>Proportion.</w:t>
            </w:r>
          </w:p>
        </w:tc>
      </w:tr>
      <w:tr w:rsidR="00E82E36" w:rsidRPr="005D4222" w14:paraId="06EC8222"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732FE570" w14:textId="77777777" w:rsidR="00E82E36" w:rsidRPr="005D4222" w:rsidRDefault="00E82E36" w:rsidP="00E82E36">
            <w:pPr>
              <w:pStyle w:val="ECDSSubhead"/>
            </w:pPr>
            <w:r w:rsidRPr="005D4222">
              <w:t>Type</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0F81F04D" w14:textId="77777777" w:rsidR="00E82E36" w:rsidRPr="005D4222" w:rsidRDefault="00E82E36">
            <w:pPr>
              <w:pStyle w:val="ECDSBody"/>
              <w:spacing w:after="0"/>
            </w:pPr>
            <w:r w:rsidRPr="005D4222">
              <w:t>Process.</w:t>
            </w:r>
          </w:p>
        </w:tc>
      </w:tr>
      <w:tr w:rsidR="00E82E36" w:rsidRPr="005D4222" w14:paraId="565CAECF"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3A4902C2" w14:textId="253E8FF8" w:rsidR="00E82E36" w:rsidRPr="005D4222" w:rsidRDefault="00B51CDC" w:rsidP="00E82E36">
            <w:pPr>
              <w:pStyle w:val="ECDSSubhead"/>
            </w:pPr>
            <w:r w:rsidRPr="005D4222">
              <w:t>Product lines</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1DFB8CFE" w14:textId="77777777" w:rsidR="00E82E36" w:rsidRPr="005D4222" w:rsidRDefault="00E82E36">
            <w:pPr>
              <w:pStyle w:val="ECDSBody"/>
              <w:spacing w:after="0"/>
              <w:rPr>
                <w:rFonts w:eastAsia="Arial,Arial,Arial,Arial,Arial,A"/>
              </w:rPr>
            </w:pPr>
            <w:r w:rsidRPr="005D4222">
              <w:rPr>
                <w:rFonts w:eastAsia="Arial,Arial,Arial,Arial,Arial,A"/>
              </w:rPr>
              <w:t>Medicare.</w:t>
            </w:r>
          </w:p>
        </w:tc>
      </w:tr>
      <w:tr w:rsidR="00E82E36" w:rsidRPr="005D4222" w14:paraId="24F5531C"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3CAB206E" w14:textId="35F06BD0" w:rsidR="00E82E36" w:rsidRPr="005D4222" w:rsidRDefault="00B51CDC" w:rsidP="00E82E36">
            <w:pPr>
              <w:pStyle w:val="ECDSSubhead"/>
            </w:pPr>
            <w:r w:rsidRPr="005D4222">
              <w:t>Stratifications</w:t>
            </w:r>
            <w:r w:rsidR="00E82E36" w:rsidRPr="005D4222">
              <w:t xml:space="preserve"> </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0C07DEA7" w14:textId="77777777" w:rsidR="00E82E36" w:rsidRPr="005D4222" w:rsidRDefault="00E82E36">
            <w:pPr>
              <w:pStyle w:val="ECDSBody"/>
              <w:spacing w:after="0"/>
              <w:rPr>
                <w:rFonts w:eastAsia="Arial,Arial,Arial,Arial,Arial,A"/>
              </w:rPr>
            </w:pPr>
            <w:r w:rsidRPr="005D4222">
              <w:rPr>
                <w:rFonts w:eastAsia="Arial,Arial,Arial,Arial,Arial,A"/>
              </w:rPr>
              <w:t>None.</w:t>
            </w:r>
          </w:p>
        </w:tc>
      </w:tr>
      <w:tr w:rsidR="00E82E36" w:rsidRPr="005D4222" w14:paraId="7EB5811D"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7282139D" w14:textId="77777777" w:rsidR="00E82E36" w:rsidRPr="005D4222" w:rsidRDefault="00E82E36" w:rsidP="00E82E36">
            <w:pPr>
              <w:pStyle w:val="ECDSSubhead"/>
            </w:pPr>
            <w:r w:rsidRPr="005D4222">
              <w:t>Risk adjustment</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033761F4" w14:textId="77777777" w:rsidR="00E82E36" w:rsidRPr="005D4222" w:rsidRDefault="00E82E36">
            <w:pPr>
              <w:pStyle w:val="ECDSBody"/>
              <w:spacing w:after="0"/>
            </w:pPr>
            <w:r w:rsidRPr="005D4222">
              <w:t>None.</w:t>
            </w:r>
          </w:p>
        </w:tc>
      </w:tr>
      <w:tr w:rsidR="00E82E36" w:rsidRPr="005D4222" w14:paraId="73C7895A"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14272D93" w14:textId="77777777" w:rsidR="00E82E36" w:rsidRPr="005D4222" w:rsidRDefault="00E82E36" w:rsidP="00E82E36">
            <w:pPr>
              <w:pStyle w:val="ECDSSubhead"/>
            </w:pPr>
            <w:r w:rsidRPr="005D4222">
              <w:t>Improvement notation</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3E0C2A82" w14:textId="77777777" w:rsidR="00E82E36" w:rsidRPr="005D4222" w:rsidRDefault="00E82E36">
            <w:pPr>
              <w:pStyle w:val="ECDSBody"/>
              <w:spacing w:after="0"/>
            </w:pPr>
            <w:r w:rsidRPr="005D4222">
              <w:rPr>
                <w:szCs w:val="21"/>
              </w:rPr>
              <w:t xml:space="preserve">Increased score indicates improvement. </w:t>
            </w:r>
          </w:p>
        </w:tc>
      </w:tr>
      <w:tr w:rsidR="00E82E36" w:rsidRPr="005D4222" w14:paraId="37B1F3E1" w14:textId="77777777">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48ED3084" w14:textId="77777777" w:rsidR="00E82E36" w:rsidRPr="005D4222" w:rsidRDefault="00E82E36" w:rsidP="00E82E36">
            <w:pPr>
              <w:pStyle w:val="ECDSSubhead"/>
            </w:pPr>
            <w:r w:rsidRPr="005D4222">
              <w:t>Guidance</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4E6B044E" w14:textId="7F25B7BA" w:rsidR="00E82E36" w:rsidRPr="005D4222" w:rsidRDefault="00E82E36">
            <w:pPr>
              <w:pStyle w:val="ECDSBody"/>
            </w:pPr>
            <w:r w:rsidRPr="005D4222">
              <w:rPr>
                <w:b/>
              </w:rPr>
              <w:t>Data collection methodology:</w:t>
            </w:r>
            <w:r w:rsidRPr="005D4222">
              <w:t xml:space="preserve"> Administrative. Refer to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7A9101B1" w14:textId="77777777" w:rsidR="00E82E36" w:rsidRPr="005D4222" w:rsidRDefault="00E82E36">
            <w:pPr>
              <w:pStyle w:val="ECDSBody"/>
            </w:pPr>
            <w:r w:rsidRPr="005D4222">
              <w:rPr>
                <w:b/>
              </w:rPr>
              <w:t xml:space="preserve">Date specificity: </w:t>
            </w:r>
            <w:r w:rsidRPr="005D4222">
              <w:t xml:space="preserve">Dates must be specific enough to determine the event occurred in the time period being measured. </w:t>
            </w:r>
          </w:p>
          <w:p w14:paraId="4FD524D7" w14:textId="77777777" w:rsidR="00E82E36" w:rsidRPr="005D4222" w:rsidRDefault="00E82E36" w:rsidP="00E82E36">
            <w:pPr>
              <w:pStyle w:val="ECDSBody"/>
            </w:pPr>
            <w:r w:rsidRPr="005D4222">
              <w:rPr>
                <w:b/>
              </w:rPr>
              <w:t xml:space="preserve">Which services count? </w:t>
            </w:r>
            <w:r w:rsidRPr="005D4222">
              <w:t>When using claims, include all paid, suspended, pending and denied claims.</w:t>
            </w:r>
          </w:p>
          <w:p w14:paraId="60D3C824" w14:textId="3840E7CA" w:rsidR="00E82E36" w:rsidRPr="005D4222" w:rsidRDefault="00E82E36" w:rsidP="00E82E36">
            <w:pPr>
              <w:pStyle w:val="ECDSBody"/>
            </w:pPr>
            <w:r w:rsidRPr="005D4222">
              <w:rPr>
                <w:b/>
              </w:rPr>
              <w:t xml:space="preserve">Other guidance: </w:t>
            </w:r>
            <w:r w:rsidRPr="005D4222">
              <w:t>Fractures of finger, toe, face and skull are not included in this measure.</w:t>
            </w:r>
          </w:p>
        </w:tc>
      </w:tr>
      <w:tr w:rsidR="00E82E36" w:rsidRPr="005D4222" w14:paraId="020BEC65" w14:textId="77777777">
        <w:tc>
          <w:tcPr>
            <w:tcW w:w="9714" w:type="dxa"/>
            <w:gridSpan w:val="2"/>
            <w:tcBorders>
              <w:top w:val="single" w:sz="4" w:space="0" w:color="auto"/>
              <w:bottom w:val="single" w:sz="4" w:space="0" w:color="auto"/>
            </w:tcBorders>
            <w:shd w:val="clear" w:color="auto" w:fill="BFBFBF" w:themeFill="background1" w:themeFillShade="BF"/>
            <w:tcMar>
              <w:top w:w="0" w:type="dxa"/>
              <w:left w:w="86" w:type="dxa"/>
              <w:bottom w:w="43" w:type="dxa"/>
              <w:right w:w="86" w:type="dxa"/>
            </w:tcMar>
          </w:tcPr>
          <w:p w14:paraId="7B518944" w14:textId="77777777" w:rsidR="00E82E36" w:rsidRPr="005D4222" w:rsidRDefault="00E82E36">
            <w:pPr>
              <w:pStyle w:val="ECDSMarginHead"/>
            </w:pPr>
            <w:r w:rsidRPr="005D4222">
              <w:lastRenderedPageBreak/>
              <w:t xml:space="preserve">Definitions </w:t>
            </w:r>
          </w:p>
        </w:tc>
      </w:tr>
      <w:tr w:rsidR="00E82E36" w:rsidRPr="005D4222" w14:paraId="23E29663" w14:textId="77777777">
        <w:trPr>
          <w:trHeight w:val="873"/>
        </w:trPr>
        <w:tc>
          <w:tcPr>
            <w:tcW w:w="2157" w:type="dxa"/>
            <w:tcBorders>
              <w:top w:val="nil"/>
              <w:left w:val="single" w:sz="2" w:space="0" w:color="auto"/>
              <w:bottom w:val="nil"/>
              <w:right w:val="single" w:sz="4" w:space="0" w:color="auto"/>
            </w:tcBorders>
            <w:tcMar>
              <w:top w:w="0" w:type="dxa"/>
              <w:left w:w="86" w:type="dxa"/>
              <w:bottom w:w="43" w:type="dxa"/>
              <w:right w:w="86" w:type="dxa"/>
            </w:tcMar>
          </w:tcPr>
          <w:p w14:paraId="1E788761" w14:textId="77777777" w:rsidR="00E82E36" w:rsidRPr="005D4222" w:rsidRDefault="00E82E36">
            <w:pPr>
              <w:pStyle w:val="ECDSMarginSubhead"/>
            </w:pPr>
            <w:r w:rsidRPr="005D4222">
              <w:t>Active prescription</w:t>
            </w:r>
          </w:p>
        </w:tc>
        <w:tc>
          <w:tcPr>
            <w:tcW w:w="7557" w:type="dxa"/>
            <w:tcBorders>
              <w:top w:val="nil"/>
              <w:left w:val="nil"/>
              <w:bottom w:val="nil"/>
              <w:right w:val="single" w:sz="2" w:space="0" w:color="auto"/>
            </w:tcBorders>
            <w:tcMar>
              <w:top w:w="0" w:type="dxa"/>
              <w:left w:w="86" w:type="dxa"/>
              <w:bottom w:w="43" w:type="dxa"/>
              <w:right w:w="86" w:type="dxa"/>
            </w:tcMar>
          </w:tcPr>
          <w:p w14:paraId="10EE5FEC" w14:textId="77777777" w:rsidR="00E82E36" w:rsidRPr="005D4222" w:rsidDel="008205C5" w:rsidRDefault="00E82E36">
            <w:pPr>
              <w:pStyle w:val="ECDSBody"/>
              <w:spacing w:after="0"/>
            </w:pPr>
            <w:r w:rsidRPr="005D4222">
              <w:t>A prescription is considered active if the “days supply” indicated on the date when the person was dispensed the prescription is the number of days or more between that date and the relevant service date.</w:t>
            </w:r>
          </w:p>
        </w:tc>
      </w:tr>
      <w:tr w:rsidR="00E82E36" w:rsidRPr="005D4222" w14:paraId="6D9F3739" w14:textId="77777777">
        <w:trPr>
          <w:trHeight w:val="3608"/>
        </w:trPr>
        <w:tc>
          <w:tcPr>
            <w:tcW w:w="2157" w:type="dxa"/>
            <w:tcBorders>
              <w:top w:val="nil"/>
              <w:left w:val="single" w:sz="2" w:space="0" w:color="auto"/>
              <w:bottom w:val="nil"/>
              <w:right w:val="single" w:sz="4" w:space="0" w:color="auto"/>
            </w:tcBorders>
            <w:tcMar>
              <w:top w:w="0" w:type="dxa"/>
              <w:left w:w="86" w:type="dxa"/>
              <w:bottom w:w="43" w:type="dxa"/>
              <w:right w:w="86" w:type="dxa"/>
            </w:tcMar>
          </w:tcPr>
          <w:p w14:paraId="46B0098A" w14:textId="77777777" w:rsidR="00E82E36" w:rsidRPr="005D4222" w:rsidRDefault="00E82E36">
            <w:pPr>
              <w:pStyle w:val="ECDSMarginSubhead"/>
            </w:pPr>
            <w:r w:rsidRPr="005D4222">
              <w:t>Direct transfer</w:t>
            </w:r>
          </w:p>
        </w:tc>
        <w:tc>
          <w:tcPr>
            <w:tcW w:w="7557" w:type="dxa"/>
            <w:tcBorders>
              <w:top w:val="nil"/>
              <w:left w:val="nil"/>
              <w:bottom w:val="nil"/>
              <w:right w:val="single" w:sz="2" w:space="0" w:color="auto"/>
            </w:tcBorders>
            <w:tcMar>
              <w:top w:w="0" w:type="dxa"/>
              <w:left w:w="86" w:type="dxa"/>
              <w:bottom w:w="43" w:type="dxa"/>
              <w:right w:w="86" w:type="dxa"/>
            </w:tcMar>
          </w:tcPr>
          <w:p w14:paraId="6A6AC819" w14:textId="77777777" w:rsidR="00E82E36" w:rsidRPr="005D4222" w:rsidRDefault="00E82E36">
            <w:pPr>
              <w:pStyle w:val="ECDSBody"/>
            </w:pPr>
            <w:r w:rsidRPr="005D4222" w:rsidDel="008205C5">
              <w:t xml:space="preserve">A </w:t>
            </w:r>
            <w:r w:rsidRPr="005D4222" w:rsidDel="008205C5">
              <w:rPr>
                <w:b/>
              </w:rPr>
              <w:t>direct transfer</w:t>
            </w:r>
            <w:r w:rsidRPr="005D4222" w:rsidDel="008205C5">
              <w:t xml:space="preserve"> is </w:t>
            </w:r>
            <w:r w:rsidRPr="005D4222">
              <w:t xml:space="preserve">when the discharge date from the first inpatient setting precedes the admission date to a second inpatient setting by </w:t>
            </w:r>
            <w:r w:rsidRPr="005D4222" w:rsidDel="008205C5">
              <w:t>one</w:t>
            </w:r>
            <w:r w:rsidRPr="005D4222">
              <w:t xml:space="preserve"> calendar day or less. </w:t>
            </w:r>
          </w:p>
          <w:p w14:paraId="1D8B668A" w14:textId="77777777" w:rsidR="00E82E36" w:rsidRPr="005D4222" w:rsidRDefault="00E82E36" w:rsidP="00E82E36">
            <w:pPr>
              <w:pStyle w:val="Bullet"/>
              <w:numPr>
                <w:ilvl w:val="0"/>
                <w:numId w:val="4"/>
              </w:numPr>
              <w:tabs>
                <w:tab w:val="left" w:pos="360"/>
                <w:tab w:val="left" w:pos="576"/>
              </w:tabs>
              <w:ind w:left="576" w:hanging="216"/>
              <w:rPr>
                <w:i/>
                <w:iCs/>
              </w:rPr>
            </w:pPr>
            <w:r w:rsidRPr="005D4222">
              <w:rPr>
                <w:i/>
                <w:iCs/>
              </w:rPr>
              <w:t>For example:</w:t>
            </w:r>
          </w:p>
          <w:p w14:paraId="07E96E7D" w14:textId="77777777" w:rsidR="00E82E36" w:rsidRPr="005D4222" w:rsidRDefault="00E82E36" w:rsidP="00E82E36">
            <w:pPr>
              <w:pStyle w:val="Dash"/>
              <w:tabs>
                <w:tab w:val="left" w:pos="576"/>
                <w:tab w:val="left" w:pos="792"/>
              </w:tabs>
              <w:rPr>
                <w:i/>
                <w:iCs/>
              </w:rPr>
            </w:pPr>
            <w:r w:rsidRPr="005D4222">
              <w:t xml:space="preserve">An inpatient discharge on June 1, followed by an admission to another inpatient setting on June 1, </w:t>
            </w:r>
            <w:r w:rsidRPr="005D4222">
              <w:rPr>
                <w:i/>
                <w:iCs/>
              </w:rPr>
              <w:t>is a direct transfer.</w:t>
            </w:r>
          </w:p>
          <w:p w14:paraId="21406749" w14:textId="77777777" w:rsidR="00E82E36" w:rsidRPr="005D4222" w:rsidRDefault="00E82E36" w:rsidP="00E82E36">
            <w:pPr>
              <w:pStyle w:val="Dash"/>
              <w:tabs>
                <w:tab w:val="left" w:pos="576"/>
                <w:tab w:val="left" w:pos="792"/>
              </w:tabs>
              <w:rPr>
                <w:i/>
                <w:iCs/>
              </w:rPr>
            </w:pPr>
            <w:r w:rsidRPr="005D4222">
              <w:t xml:space="preserve">An inpatient discharge on June 1, followed by an admission to an inpatient setting on June 2, </w:t>
            </w:r>
            <w:r w:rsidRPr="005D4222">
              <w:rPr>
                <w:i/>
                <w:iCs/>
              </w:rPr>
              <w:t>is a direct transfer.</w:t>
            </w:r>
          </w:p>
          <w:p w14:paraId="3EC72600" w14:textId="77777777" w:rsidR="00E82E36" w:rsidRPr="005D4222" w:rsidRDefault="00E82E36" w:rsidP="00E82E36">
            <w:pPr>
              <w:pStyle w:val="Dash"/>
              <w:tabs>
                <w:tab w:val="left" w:pos="576"/>
                <w:tab w:val="left" w:pos="792"/>
              </w:tabs>
            </w:pPr>
            <w:r w:rsidRPr="005D4222">
              <w:t xml:space="preserve">An inpatient discharge on June 1, followed by an admission to another inpatient setting on June 3, </w:t>
            </w:r>
            <w:r w:rsidRPr="005D4222">
              <w:rPr>
                <w:i/>
                <w:iCs/>
              </w:rPr>
              <w:t>is not a direct transfer;</w:t>
            </w:r>
            <w:r w:rsidRPr="005D4222">
              <w:t xml:space="preserve"> these are two distinct inpatient stays.</w:t>
            </w:r>
          </w:p>
          <w:p w14:paraId="7909969A" w14:textId="77777777" w:rsidR="00E82E36" w:rsidRPr="005D4222" w:rsidRDefault="00E82E36">
            <w:pPr>
              <w:pStyle w:val="ECDSBody"/>
            </w:pPr>
            <w:r w:rsidRPr="005D4222">
              <w:t>Use the following method to identify admissions to and discharges from inpatient settings.</w:t>
            </w:r>
          </w:p>
          <w:p w14:paraId="7FE39285" w14:textId="77777777" w:rsidR="00E82E36" w:rsidRPr="005D4222" w:rsidRDefault="00E82E36">
            <w:pPr>
              <w:pStyle w:val="Body"/>
              <w:spacing w:before="60"/>
              <w:ind w:left="648" w:hanging="288"/>
            </w:pPr>
            <w:r w:rsidRPr="005D4222">
              <w:t>1.</w:t>
            </w:r>
            <w:r w:rsidRPr="005D4222">
              <w:tab/>
              <w:t>Identify all acute and nonacute inpatient stays (</w:t>
            </w:r>
            <w:r w:rsidRPr="005D4222">
              <w:rPr>
                <w:u w:val="single"/>
              </w:rPr>
              <w:t>Inpatient Stay Value Set</w:t>
            </w:r>
            <w:r w:rsidRPr="005D4222">
              <w:t>).</w:t>
            </w:r>
          </w:p>
          <w:p w14:paraId="5878ECD4" w14:textId="77777777" w:rsidR="00E82E36" w:rsidRPr="005D4222" w:rsidRDefault="00E82E36">
            <w:pPr>
              <w:pStyle w:val="Body"/>
              <w:spacing w:before="60"/>
              <w:ind w:left="648" w:hanging="288"/>
            </w:pPr>
            <w:r w:rsidRPr="005D4222">
              <w:t>2.</w:t>
            </w:r>
            <w:r w:rsidRPr="005D4222">
              <w:tab/>
              <w:t>Identify the admission and discharge dates for the stay.</w:t>
            </w:r>
          </w:p>
          <w:p w14:paraId="32226C3D" w14:textId="77777777" w:rsidR="00E82E36" w:rsidRPr="005D4222" w:rsidRDefault="00E82E36">
            <w:pPr>
              <w:pStyle w:val="Note"/>
              <w:rPr>
                <w:iCs/>
              </w:rPr>
            </w:pPr>
            <w:r w:rsidRPr="005D4222">
              <w:rPr>
                <w:b/>
              </w:rPr>
              <w:t xml:space="preserve">Note: </w:t>
            </w:r>
            <w:r w:rsidRPr="005D4222">
              <w:t>The direct transfer does not require a fracture diagnosis.</w:t>
            </w:r>
          </w:p>
        </w:tc>
      </w:tr>
      <w:tr w:rsidR="00E82E36" w:rsidRPr="005D4222" w14:paraId="1E20C3E7" w14:textId="77777777">
        <w:trPr>
          <w:trHeight w:val="504"/>
        </w:trPr>
        <w:tc>
          <w:tcPr>
            <w:tcW w:w="2157" w:type="dxa"/>
            <w:tcBorders>
              <w:top w:val="nil"/>
              <w:left w:val="single" w:sz="2" w:space="0" w:color="auto"/>
              <w:bottom w:val="nil"/>
              <w:right w:val="single" w:sz="4" w:space="0" w:color="auto"/>
            </w:tcBorders>
            <w:tcMar>
              <w:top w:w="0" w:type="dxa"/>
              <w:left w:w="86" w:type="dxa"/>
              <w:bottom w:w="43" w:type="dxa"/>
              <w:right w:w="86" w:type="dxa"/>
            </w:tcMar>
          </w:tcPr>
          <w:p w14:paraId="10168876" w14:textId="77777777" w:rsidR="00E82E36" w:rsidRPr="005D4222" w:rsidRDefault="00E82E36">
            <w:pPr>
              <w:pStyle w:val="ECDSMarginSubhead"/>
            </w:pPr>
            <w:r w:rsidRPr="005D4222">
              <w:t>Episode date</w:t>
            </w:r>
          </w:p>
        </w:tc>
        <w:tc>
          <w:tcPr>
            <w:tcW w:w="7557" w:type="dxa"/>
            <w:tcBorders>
              <w:top w:val="nil"/>
              <w:left w:val="nil"/>
              <w:bottom w:val="nil"/>
              <w:right w:val="single" w:sz="2" w:space="0" w:color="auto"/>
            </w:tcBorders>
            <w:tcMar>
              <w:top w:w="0" w:type="dxa"/>
              <w:left w:w="86" w:type="dxa"/>
              <w:bottom w:w="43" w:type="dxa"/>
              <w:right w:w="86" w:type="dxa"/>
            </w:tcMar>
          </w:tcPr>
          <w:p w14:paraId="4B7DC8FE" w14:textId="77777777" w:rsidR="00E82E36" w:rsidRPr="005D4222" w:rsidRDefault="00E82E36">
            <w:pPr>
              <w:pStyle w:val="ECDSBody"/>
              <w:spacing w:after="0"/>
              <w:rPr>
                <w:szCs w:val="21"/>
              </w:rPr>
            </w:pPr>
            <w:r w:rsidRPr="005D4222">
              <w:t xml:space="preserve">The date of service for an eligible encounter during the intake period with a </w:t>
            </w:r>
            <w:r w:rsidRPr="005D4222">
              <w:rPr>
                <w:szCs w:val="21"/>
              </w:rPr>
              <w:t xml:space="preserve">diagnosis of fracture. </w:t>
            </w:r>
          </w:p>
          <w:p w14:paraId="3394A5F8" w14:textId="77777777" w:rsidR="00E82E36" w:rsidRPr="005D4222" w:rsidRDefault="00E82E36">
            <w:pPr>
              <w:pStyle w:val="ECDSBody"/>
              <w:spacing w:after="0"/>
              <w:rPr>
                <w:szCs w:val="21"/>
              </w:rPr>
            </w:pPr>
            <w:r w:rsidRPr="005D4222">
              <w:rPr>
                <w:i/>
                <w:iCs/>
                <w:szCs w:val="21"/>
              </w:rPr>
              <w:t>For an outpatient or ED visit,</w:t>
            </w:r>
            <w:r w:rsidRPr="005D4222">
              <w:rPr>
                <w:szCs w:val="21"/>
              </w:rPr>
              <w:t xml:space="preserve"> the episode date is the date of service.</w:t>
            </w:r>
          </w:p>
          <w:p w14:paraId="68AFF1EF" w14:textId="77777777" w:rsidR="00E82E36" w:rsidRPr="005D4222" w:rsidRDefault="00E82E36">
            <w:pPr>
              <w:pStyle w:val="ECDSBody"/>
              <w:spacing w:after="0"/>
              <w:rPr>
                <w:szCs w:val="21"/>
              </w:rPr>
            </w:pPr>
            <w:r w:rsidRPr="005D4222">
              <w:rPr>
                <w:i/>
                <w:iCs/>
                <w:szCs w:val="21"/>
              </w:rPr>
              <w:t>For an inpatient stay,</w:t>
            </w:r>
            <w:r w:rsidRPr="005D4222">
              <w:rPr>
                <w:szCs w:val="21"/>
              </w:rPr>
              <w:t xml:space="preserve"> the episode date is the date of discharge. </w:t>
            </w:r>
          </w:p>
          <w:p w14:paraId="40E14BAB" w14:textId="77777777" w:rsidR="00E82E36" w:rsidRPr="005D4222" w:rsidRDefault="00E82E36">
            <w:pPr>
              <w:pStyle w:val="ECDSBody"/>
              <w:spacing w:after="0"/>
            </w:pPr>
            <w:r w:rsidRPr="005D4222">
              <w:rPr>
                <w:i/>
                <w:iCs/>
                <w:szCs w:val="21"/>
              </w:rPr>
              <w:t xml:space="preserve">For direct transfers, </w:t>
            </w:r>
            <w:r w:rsidRPr="005D4222">
              <w:rPr>
                <w:szCs w:val="21"/>
              </w:rPr>
              <w:t>the episode date is the discharge date from the last admission.</w:t>
            </w:r>
          </w:p>
        </w:tc>
      </w:tr>
      <w:tr w:rsidR="00E82E36" w:rsidRPr="005D4222" w14:paraId="5998C602" w14:textId="77777777">
        <w:trPr>
          <w:trHeight w:val="504"/>
        </w:trPr>
        <w:tc>
          <w:tcPr>
            <w:tcW w:w="2157" w:type="dxa"/>
            <w:tcBorders>
              <w:top w:val="nil"/>
              <w:left w:val="single" w:sz="2" w:space="0" w:color="auto"/>
              <w:bottom w:val="nil"/>
              <w:right w:val="single" w:sz="4" w:space="0" w:color="auto"/>
            </w:tcBorders>
            <w:tcMar>
              <w:top w:w="0" w:type="dxa"/>
              <w:left w:w="86" w:type="dxa"/>
              <w:bottom w:w="43" w:type="dxa"/>
              <w:right w:w="86" w:type="dxa"/>
            </w:tcMar>
          </w:tcPr>
          <w:p w14:paraId="6A083428" w14:textId="77777777" w:rsidR="00E82E36" w:rsidRPr="005D4222" w:rsidRDefault="00E82E36">
            <w:pPr>
              <w:pStyle w:val="ECDSMarginSubhead"/>
            </w:pPr>
            <w:r w:rsidRPr="005D4222">
              <w:t>IESD</w:t>
            </w:r>
          </w:p>
        </w:tc>
        <w:tc>
          <w:tcPr>
            <w:tcW w:w="7557" w:type="dxa"/>
            <w:tcBorders>
              <w:top w:val="nil"/>
              <w:left w:val="nil"/>
              <w:bottom w:val="nil"/>
              <w:right w:val="single" w:sz="2" w:space="0" w:color="auto"/>
            </w:tcBorders>
            <w:tcMar>
              <w:top w:w="0" w:type="dxa"/>
              <w:left w:w="86" w:type="dxa"/>
              <w:bottom w:w="43" w:type="dxa"/>
              <w:right w:w="86" w:type="dxa"/>
            </w:tcMar>
          </w:tcPr>
          <w:p w14:paraId="57C5C80F" w14:textId="77777777" w:rsidR="00E82E36" w:rsidRPr="005D4222" w:rsidDel="008205C5" w:rsidRDefault="00E82E36">
            <w:pPr>
              <w:pStyle w:val="ECDSBody"/>
              <w:spacing w:after="0"/>
            </w:pPr>
            <w:r w:rsidRPr="005D4222">
              <w:t>Index episode start date. The earliest episode date during the intake period that meets all initial population criteria.</w:t>
            </w:r>
          </w:p>
        </w:tc>
      </w:tr>
      <w:tr w:rsidR="00E82E36" w:rsidRPr="005D4222" w14:paraId="04F08ED3" w14:textId="77777777">
        <w:trPr>
          <w:trHeight w:val="70"/>
        </w:trPr>
        <w:tc>
          <w:tcPr>
            <w:tcW w:w="2157" w:type="dxa"/>
            <w:tcBorders>
              <w:top w:val="nil"/>
              <w:left w:val="single" w:sz="2" w:space="0" w:color="auto"/>
              <w:bottom w:val="nil"/>
              <w:right w:val="single" w:sz="4" w:space="0" w:color="auto"/>
            </w:tcBorders>
            <w:tcMar>
              <w:top w:w="0" w:type="dxa"/>
              <w:left w:w="86" w:type="dxa"/>
              <w:bottom w:w="43" w:type="dxa"/>
              <w:right w:w="86" w:type="dxa"/>
            </w:tcMar>
          </w:tcPr>
          <w:p w14:paraId="54F11D68" w14:textId="77777777" w:rsidR="00E82E36" w:rsidRPr="005D4222" w:rsidRDefault="00E82E36">
            <w:pPr>
              <w:pStyle w:val="ECDSMarginSubhead"/>
            </w:pPr>
            <w:r w:rsidRPr="005D4222">
              <w:t>Intake period</w:t>
            </w:r>
          </w:p>
        </w:tc>
        <w:tc>
          <w:tcPr>
            <w:tcW w:w="7557" w:type="dxa"/>
            <w:tcBorders>
              <w:top w:val="nil"/>
              <w:left w:val="nil"/>
              <w:bottom w:val="nil"/>
              <w:right w:val="single" w:sz="2" w:space="0" w:color="auto"/>
            </w:tcBorders>
            <w:tcMar>
              <w:top w:w="0" w:type="dxa"/>
              <w:left w:w="86" w:type="dxa"/>
              <w:bottom w:w="43" w:type="dxa"/>
              <w:right w:w="86" w:type="dxa"/>
            </w:tcMar>
          </w:tcPr>
          <w:p w14:paraId="41020116" w14:textId="7C034C23" w:rsidR="00E82E36" w:rsidRPr="005D4222" w:rsidRDefault="00E82E36">
            <w:pPr>
              <w:pStyle w:val="ECDSBody"/>
            </w:pPr>
            <w:r w:rsidRPr="005D4222">
              <w:t>July 1 of the year prior to the measurement period to June 30 of the measurement period. The intake period is used to capture the first fracture.</w:t>
            </w:r>
          </w:p>
        </w:tc>
      </w:tr>
      <w:tr w:rsidR="00E82E36" w:rsidRPr="005D4222" w14:paraId="78CD6408" w14:textId="77777777">
        <w:tc>
          <w:tcPr>
            <w:tcW w:w="2157" w:type="dxa"/>
            <w:shd w:val="clear" w:color="auto" w:fill="BFBFBF" w:themeFill="background1" w:themeFillShade="BF"/>
            <w:tcMar>
              <w:top w:w="0" w:type="dxa"/>
              <w:left w:w="86" w:type="dxa"/>
              <w:bottom w:w="43" w:type="dxa"/>
              <w:right w:w="86" w:type="dxa"/>
            </w:tcMar>
          </w:tcPr>
          <w:p w14:paraId="1BA3E25C" w14:textId="77777777" w:rsidR="00E82E36" w:rsidRPr="005D4222" w:rsidRDefault="00E82E36">
            <w:pPr>
              <w:pStyle w:val="ECDSMarginHead"/>
            </w:pPr>
            <w:r w:rsidRPr="005D4222">
              <w:t>Initial population</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92FB59D" w14:textId="77777777" w:rsidR="00E82E36" w:rsidRPr="005D4222" w:rsidRDefault="00E82E36">
            <w:pPr>
              <w:pStyle w:val="ECDSBody"/>
            </w:pPr>
            <w:r w:rsidRPr="005D4222">
              <w:rPr>
                <w:i/>
                <w:iCs/>
              </w:rPr>
              <w:t>Measure item count:</w:t>
            </w:r>
            <w:r w:rsidRPr="005D4222">
              <w:t xml:space="preserve"> Person. </w:t>
            </w:r>
          </w:p>
          <w:p w14:paraId="36575234" w14:textId="77777777" w:rsidR="00E82E36" w:rsidRPr="005D4222" w:rsidRDefault="00E82E36">
            <w:pPr>
              <w:pStyle w:val="ECDSBody"/>
            </w:pPr>
            <w:r w:rsidRPr="005D4222">
              <w:rPr>
                <w:i/>
                <w:iCs/>
              </w:rPr>
              <w:t>Attribution basis:</w:t>
            </w:r>
            <w:r w:rsidRPr="005D4222">
              <w:t xml:space="preserve"> Enrollment.</w:t>
            </w:r>
          </w:p>
          <w:p w14:paraId="4EF96CA2" w14:textId="77777777" w:rsidR="00E82E36" w:rsidRPr="005D4222" w:rsidRDefault="00E82E36" w:rsidP="00E82E36">
            <w:pPr>
              <w:pStyle w:val="Bullet"/>
              <w:numPr>
                <w:ilvl w:val="0"/>
                <w:numId w:val="4"/>
              </w:numPr>
              <w:tabs>
                <w:tab w:val="left" w:pos="360"/>
                <w:tab w:val="left" w:pos="576"/>
              </w:tabs>
              <w:ind w:left="576" w:hanging="216"/>
            </w:pPr>
            <w:r w:rsidRPr="005D4222">
              <w:rPr>
                <w:i/>
                <w:iCs/>
              </w:rPr>
              <w:t xml:space="preserve">Benefits: </w:t>
            </w:r>
            <w:r w:rsidRPr="005D4222">
              <w:t>Medical and pharmacy.</w:t>
            </w:r>
          </w:p>
          <w:p w14:paraId="51C9513A" w14:textId="77777777" w:rsidR="00E82E36" w:rsidRPr="005D4222" w:rsidRDefault="00E82E36" w:rsidP="00E82E36">
            <w:pPr>
              <w:pStyle w:val="Bullet"/>
              <w:numPr>
                <w:ilvl w:val="0"/>
                <w:numId w:val="4"/>
              </w:numPr>
              <w:tabs>
                <w:tab w:val="left" w:pos="360"/>
                <w:tab w:val="left" w:pos="576"/>
              </w:tabs>
              <w:ind w:left="576" w:hanging="216"/>
            </w:pPr>
            <w:r w:rsidRPr="005D4222">
              <w:rPr>
                <w:i/>
                <w:iCs/>
              </w:rPr>
              <w:t>Continuous enrollment:</w:t>
            </w:r>
            <w:r w:rsidRPr="005D4222">
              <w:t xml:space="preserve"> 365 days prior to the episode date through 180 days after the episode date.</w:t>
            </w:r>
          </w:p>
          <w:p w14:paraId="32AE4612" w14:textId="77777777" w:rsidR="00E82E36" w:rsidRPr="005D4222" w:rsidRDefault="00E82E36" w:rsidP="00E82E36">
            <w:pPr>
              <w:pStyle w:val="Bullet"/>
              <w:numPr>
                <w:ilvl w:val="0"/>
                <w:numId w:val="4"/>
              </w:numPr>
              <w:tabs>
                <w:tab w:val="left" w:pos="360"/>
                <w:tab w:val="left" w:pos="576"/>
              </w:tabs>
              <w:spacing w:after="80"/>
              <w:ind w:left="576" w:hanging="216"/>
            </w:pPr>
            <w:r w:rsidRPr="005D4222">
              <w:rPr>
                <w:i/>
                <w:iCs/>
              </w:rPr>
              <w:t>Allowable gap:</w:t>
            </w:r>
            <w:r w:rsidRPr="005D4222">
              <w:t xml:space="preserve"> No more than one gap of ≤45 days during the continuous enrollment period. No gaps on the episode date.</w:t>
            </w:r>
          </w:p>
          <w:p w14:paraId="6B56B793" w14:textId="58A37C20" w:rsidR="00E82E36" w:rsidRPr="005D4222" w:rsidRDefault="00E82E36" w:rsidP="00E82E36">
            <w:pPr>
              <w:pStyle w:val="ECDSBody"/>
            </w:pPr>
            <w:r w:rsidRPr="005D4222">
              <w:rPr>
                <w:i/>
                <w:iCs/>
              </w:rPr>
              <w:t>Ages:</w:t>
            </w:r>
            <w:r w:rsidRPr="005D4222">
              <w:t xml:space="preserve"> 67–85 years of age as of the last day of the measurement period.</w:t>
            </w:r>
          </w:p>
        </w:tc>
      </w:tr>
    </w:tbl>
    <w:p w14:paraId="7A837AD1" w14:textId="77777777" w:rsidR="00E82E36" w:rsidRPr="005D4222" w:rsidRDefault="00E82E36" w:rsidP="00E82E36"/>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E82E36" w:rsidRPr="005D4222" w14:paraId="238F1FB8" w14:textId="77777777">
        <w:tc>
          <w:tcPr>
            <w:tcW w:w="2157" w:type="dxa"/>
            <w:shd w:val="clear" w:color="auto" w:fill="BFBFBF" w:themeFill="background1" w:themeFillShade="BF"/>
            <w:tcMar>
              <w:top w:w="0" w:type="dxa"/>
              <w:left w:w="86" w:type="dxa"/>
              <w:bottom w:w="43" w:type="dxa"/>
              <w:right w:w="86" w:type="dxa"/>
            </w:tcMar>
          </w:tcPr>
          <w:p w14:paraId="210BA421" w14:textId="77777777" w:rsidR="00E82E36" w:rsidRPr="005D4222" w:rsidRDefault="00E82E36">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6A457BC" w14:textId="77777777" w:rsidR="00E82E36" w:rsidRPr="005D4222" w:rsidRDefault="00E82E36">
            <w:pPr>
              <w:pStyle w:val="ECDSBody"/>
              <w:rPr>
                <w:rFonts w:eastAsia="Arial"/>
                <w:i/>
                <w:iCs/>
                <w:szCs w:val="21"/>
              </w:rPr>
            </w:pPr>
            <w:r w:rsidRPr="005D4222">
              <w:rPr>
                <w:rFonts w:eastAsia="Arial"/>
                <w:i/>
                <w:iCs/>
                <w:szCs w:val="21"/>
              </w:rPr>
              <w:t>Gender/sex criteria:</w:t>
            </w:r>
          </w:p>
          <w:p w14:paraId="79C6A7A7" w14:textId="77777777" w:rsidR="00E82E36" w:rsidRPr="005D4222" w:rsidRDefault="00E82E36" w:rsidP="00E82E36">
            <w:pPr>
              <w:pStyle w:val="Bullet"/>
              <w:numPr>
                <w:ilvl w:val="0"/>
                <w:numId w:val="4"/>
              </w:numPr>
              <w:tabs>
                <w:tab w:val="left" w:pos="360"/>
                <w:tab w:val="left" w:pos="576"/>
              </w:tabs>
              <w:ind w:left="576" w:hanging="216"/>
            </w:pPr>
            <w:r w:rsidRPr="005D4222">
              <w:rPr>
                <w:iCs/>
              </w:rPr>
              <w:t>Administrative Gender of Female</w:t>
            </w:r>
            <w:r w:rsidRPr="005D4222">
              <w:t xml:space="preserve"> (AdministrativeGender code female) any time in the person’s history.</w:t>
            </w:r>
          </w:p>
          <w:p w14:paraId="551AA222" w14:textId="77777777" w:rsidR="00E82E36" w:rsidRPr="005D4222" w:rsidRDefault="00E82E36">
            <w:pPr>
              <w:pStyle w:val="ECDSBody"/>
              <w:rPr>
                <w:bCs w:val="0"/>
              </w:rPr>
            </w:pPr>
            <w:r w:rsidRPr="005D4222">
              <w:rPr>
                <w:i/>
                <w:iCs/>
              </w:rPr>
              <w:t xml:space="preserve">Event: </w:t>
            </w:r>
            <w:r w:rsidRPr="005D4222">
              <w:rPr>
                <w:b/>
              </w:rPr>
              <w:t xml:space="preserve">Persons who have suffered a facture. </w:t>
            </w:r>
          </w:p>
          <w:p w14:paraId="79CAE4EA" w14:textId="77777777" w:rsidR="00E82E36" w:rsidRPr="005D4222" w:rsidRDefault="00E82E36">
            <w:pPr>
              <w:pStyle w:val="ECDSBody"/>
            </w:pPr>
            <w:r w:rsidRPr="005D4222">
              <w:rPr>
                <w:b/>
              </w:rPr>
              <w:t xml:space="preserve">Step 1. </w:t>
            </w:r>
            <w:r w:rsidRPr="005D4222">
              <w:t>Identify all persons who had either of the following during the intake period.</w:t>
            </w:r>
          </w:p>
          <w:p w14:paraId="77BCDACB" w14:textId="77777777" w:rsidR="00E82E36" w:rsidRPr="005D4222" w:rsidRDefault="00E82E36" w:rsidP="00E82E36">
            <w:pPr>
              <w:pStyle w:val="Bullet"/>
              <w:numPr>
                <w:ilvl w:val="0"/>
                <w:numId w:val="42"/>
              </w:numPr>
              <w:tabs>
                <w:tab w:val="left" w:pos="360"/>
                <w:tab w:val="left" w:pos="576"/>
              </w:tabs>
              <w:ind w:left="576" w:hanging="216"/>
            </w:pPr>
            <w:r w:rsidRPr="005D4222">
              <w:t>An outpatient visit or ED visit (</w:t>
            </w:r>
            <w:r w:rsidRPr="005D4222">
              <w:rPr>
                <w:u w:val="single"/>
              </w:rPr>
              <w:t>Outpatient and ED Value Set</w:t>
            </w:r>
            <w:r w:rsidRPr="005D4222">
              <w:t>) for a fracture (</w:t>
            </w:r>
            <w:r w:rsidRPr="005D4222">
              <w:rPr>
                <w:u w:val="single"/>
              </w:rPr>
              <w:t>Fractures Value Set</w:t>
            </w:r>
            <w:r w:rsidRPr="005D4222">
              <w:t xml:space="preserve">). </w:t>
            </w:r>
          </w:p>
          <w:p w14:paraId="23228C44" w14:textId="77777777" w:rsidR="00E82E36" w:rsidRPr="005D4222" w:rsidRDefault="00E82E36" w:rsidP="00E82E36">
            <w:pPr>
              <w:pStyle w:val="Dash"/>
              <w:tabs>
                <w:tab w:val="left" w:pos="576"/>
                <w:tab w:val="left" w:pos="792"/>
              </w:tabs>
            </w:pPr>
            <w:r w:rsidRPr="005D4222">
              <w:t>Do not include visits that result in an inpatient stay (</w:t>
            </w:r>
            <w:r w:rsidRPr="005D4222">
              <w:rPr>
                <w:u w:val="single"/>
              </w:rPr>
              <w:t>Inpatient Stay Value Set</w:t>
            </w:r>
            <w:r w:rsidRPr="005D4222">
              <w:t xml:space="preserve">). </w:t>
            </w:r>
          </w:p>
          <w:p w14:paraId="7F6BE38B" w14:textId="77777777" w:rsidR="00E82E36" w:rsidRPr="005D4222" w:rsidRDefault="00E82E36" w:rsidP="00E82E36">
            <w:pPr>
              <w:pStyle w:val="Bullet"/>
              <w:numPr>
                <w:ilvl w:val="0"/>
                <w:numId w:val="42"/>
              </w:numPr>
              <w:tabs>
                <w:tab w:val="left" w:pos="360"/>
                <w:tab w:val="left" w:pos="576"/>
              </w:tabs>
              <w:ind w:left="576" w:hanging="216"/>
            </w:pPr>
            <w:r w:rsidRPr="005D4222">
              <w:t>An acute or nonacute inpatient discharge with a fracture (</w:t>
            </w:r>
            <w:r w:rsidRPr="005D4222">
              <w:rPr>
                <w:u w:val="single"/>
              </w:rPr>
              <w:t>Fractures Value Set</w:t>
            </w:r>
            <w:r w:rsidRPr="005D4222">
              <w:t>) on the discharge claim. To identify acute and nonacute inpatient discharges:</w:t>
            </w:r>
          </w:p>
          <w:p w14:paraId="69053957" w14:textId="77777777" w:rsidR="00E82E36" w:rsidRPr="005D4222" w:rsidRDefault="00E82E36">
            <w:pPr>
              <w:pStyle w:val="Body"/>
              <w:spacing w:before="60"/>
              <w:ind w:left="864" w:hanging="288"/>
            </w:pPr>
            <w:r w:rsidRPr="005D4222">
              <w:t>1.</w:t>
            </w:r>
            <w:r w:rsidRPr="005D4222">
              <w:tab/>
              <w:t>Identify all acute and nonacute inpatient stays (</w:t>
            </w:r>
            <w:r w:rsidRPr="005D4222">
              <w:rPr>
                <w:u w:val="single"/>
              </w:rPr>
              <w:t>Inpatient Stay Value Set</w:t>
            </w:r>
            <w:r w:rsidRPr="005D4222">
              <w:t>).</w:t>
            </w:r>
          </w:p>
          <w:p w14:paraId="0875A38A" w14:textId="77777777" w:rsidR="00E82E36" w:rsidRPr="005D4222" w:rsidRDefault="00E82E36">
            <w:pPr>
              <w:pStyle w:val="Body"/>
              <w:spacing w:before="60"/>
              <w:ind w:left="864" w:hanging="288"/>
            </w:pPr>
            <w:r w:rsidRPr="005D4222">
              <w:t>2.</w:t>
            </w:r>
            <w:r w:rsidRPr="005D4222">
              <w:tab/>
              <w:t>Identify the discharge date for the stay.</w:t>
            </w:r>
          </w:p>
          <w:p w14:paraId="240F8BF3" w14:textId="77777777" w:rsidR="00E82E36" w:rsidRPr="005D4222" w:rsidRDefault="00E82E36">
            <w:pPr>
              <w:pStyle w:val="ECDSBody"/>
            </w:pPr>
            <w:r w:rsidRPr="005D4222">
              <w:t>If the person had more than one fracture, identify all fractures and assess eligibility in steps 2–4.</w:t>
            </w:r>
          </w:p>
          <w:p w14:paraId="0378A034" w14:textId="77777777" w:rsidR="00E82E36" w:rsidRPr="005D4222" w:rsidRDefault="00E82E36">
            <w:pPr>
              <w:pStyle w:val="ECDSBody"/>
              <w:rPr>
                <w:iCs/>
              </w:rPr>
            </w:pPr>
            <w:r w:rsidRPr="005D4222">
              <w:rPr>
                <w:b/>
              </w:rPr>
              <w:t>Step 2</w:t>
            </w:r>
            <w:r w:rsidRPr="005D4222">
              <w:rPr>
                <w:b/>
                <w:i/>
                <w:iCs/>
              </w:rPr>
              <w:t xml:space="preserve">. </w:t>
            </w:r>
            <w:r w:rsidRPr="005D4222">
              <w:rPr>
                <w:iCs/>
              </w:rPr>
              <w:t>Test for negative diagnosis history. Remove episodes where either of the following occurred during the 60-day period prior to the episode date:</w:t>
            </w:r>
          </w:p>
          <w:p w14:paraId="45A6A3D6" w14:textId="77777777" w:rsidR="00E82E36" w:rsidRPr="005D4222" w:rsidRDefault="00E82E36" w:rsidP="00E82E36">
            <w:pPr>
              <w:pStyle w:val="Bullet"/>
              <w:numPr>
                <w:ilvl w:val="0"/>
                <w:numId w:val="4"/>
              </w:numPr>
              <w:tabs>
                <w:tab w:val="left" w:pos="360"/>
                <w:tab w:val="left" w:pos="576"/>
              </w:tabs>
              <w:ind w:left="576" w:hanging="216"/>
            </w:pPr>
            <w:r w:rsidRPr="005D4222">
              <w:t xml:space="preserve">An </w:t>
            </w:r>
            <w:r w:rsidRPr="005D4222">
              <w:rPr>
                <w:szCs w:val="21"/>
              </w:rPr>
              <w:t>outpatient visit</w:t>
            </w:r>
            <w:r w:rsidRPr="005D4222">
              <w:t>, ED visit, telephone visit, e-visit or virtual check-in (</w:t>
            </w:r>
            <w:r w:rsidRPr="005D4222">
              <w:rPr>
                <w:u w:val="single"/>
              </w:rPr>
              <w:t>Outpatient, ED and Telehealth Value Set</w:t>
            </w:r>
            <w:r w:rsidRPr="005D4222">
              <w:t>) for a fracture (</w:t>
            </w:r>
            <w:r w:rsidRPr="005D4222">
              <w:rPr>
                <w:u w:val="single"/>
              </w:rPr>
              <w:t>Fractures Value Set</w:t>
            </w:r>
            <w:r w:rsidRPr="005D4222">
              <w:t>).</w:t>
            </w:r>
          </w:p>
          <w:p w14:paraId="24E82462" w14:textId="77777777" w:rsidR="00E82E36" w:rsidRPr="005D4222" w:rsidRDefault="00E82E36" w:rsidP="00E82E36">
            <w:pPr>
              <w:pStyle w:val="Dash"/>
              <w:tabs>
                <w:tab w:val="left" w:pos="576"/>
                <w:tab w:val="left" w:pos="792"/>
              </w:tabs>
            </w:pPr>
            <w:r w:rsidRPr="005D4222">
              <w:t>Do not include visits that result in an inpatient stay (</w:t>
            </w:r>
            <w:r w:rsidRPr="005D4222">
              <w:rPr>
                <w:u w:val="single"/>
              </w:rPr>
              <w:t>Inpatient Stay Value Set</w:t>
            </w:r>
            <w:r w:rsidRPr="005D4222">
              <w:t>).</w:t>
            </w:r>
          </w:p>
          <w:p w14:paraId="78C87CB2" w14:textId="77777777" w:rsidR="00E82E36" w:rsidRPr="005D4222" w:rsidRDefault="00E82E36" w:rsidP="00E82E36">
            <w:pPr>
              <w:pStyle w:val="Bullet"/>
              <w:numPr>
                <w:ilvl w:val="0"/>
                <w:numId w:val="4"/>
              </w:numPr>
              <w:tabs>
                <w:tab w:val="left" w:pos="360"/>
                <w:tab w:val="left" w:pos="576"/>
              </w:tabs>
              <w:ind w:left="576" w:hanging="216"/>
            </w:pPr>
            <w:r w:rsidRPr="005D4222">
              <w:t>An acute or nonacute inpatient discharge with a fracture (</w:t>
            </w:r>
            <w:r w:rsidRPr="005D4222">
              <w:rPr>
                <w:u w:val="single"/>
              </w:rPr>
              <w:t>Fractures Value Set</w:t>
            </w:r>
            <w:r w:rsidRPr="005D4222">
              <w:t xml:space="preserve">) on the discharge claim. To identify acute and nonacute inpatient discharges: </w:t>
            </w:r>
          </w:p>
          <w:p w14:paraId="3E64A23D" w14:textId="77777777" w:rsidR="00E82E36" w:rsidRPr="005D4222" w:rsidRDefault="00E82E36">
            <w:pPr>
              <w:pStyle w:val="ECDSBody"/>
              <w:spacing w:before="60" w:after="0"/>
              <w:ind w:left="864" w:hanging="288"/>
            </w:pPr>
            <w:r w:rsidRPr="005D4222">
              <w:t>1.</w:t>
            </w:r>
            <w:r w:rsidRPr="005D4222">
              <w:tab/>
              <w:t>Identify all acute and nonacute inpatient stays (</w:t>
            </w:r>
            <w:r w:rsidRPr="005D4222">
              <w:rPr>
                <w:u w:val="single"/>
              </w:rPr>
              <w:t>Inpatient Stay Value Set</w:t>
            </w:r>
            <w:r w:rsidRPr="005D4222">
              <w:t xml:space="preserve">). </w:t>
            </w:r>
          </w:p>
          <w:p w14:paraId="35B0D574" w14:textId="77777777" w:rsidR="00E82E36" w:rsidRPr="005D4222" w:rsidRDefault="00E82E36">
            <w:pPr>
              <w:pStyle w:val="ECDSBody"/>
              <w:spacing w:before="60" w:after="0"/>
              <w:ind w:left="864" w:hanging="288"/>
            </w:pPr>
            <w:r w:rsidRPr="005D4222">
              <w:t>2.</w:t>
            </w:r>
            <w:r w:rsidRPr="005D4222">
              <w:tab/>
              <w:t xml:space="preserve">Identify the discharge date for the stay. </w:t>
            </w:r>
          </w:p>
          <w:p w14:paraId="5BF98E11" w14:textId="77777777" w:rsidR="00E82E36" w:rsidRPr="005D4222" w:rsidDel="00003064" w:rsidRDefault="00E82E36">
            <w:pPr>
              <w:pStyle w:val="ECDSBody"/>
            </w:pPr>
            <w:r w:rsidRPr="005D4222" w:rsidDel="00003064">
              <w:rPr>
                <w:i/>
              </w:rPr>
              <w:t xml:space="preserve">For an acute or nonacute inpatient episode, </w:t>
            </w:r>
            <w:r w:rsidRPr="005D4222" w:rsidDel="00003064">
              <w:t xml:space="preserve">use the date of admission to determine the 60-day period. </w:t>
            </w:r>
          </w:p>
          <w:p w14:paraId="0FCC1498" w14:textId="77777777" w:rsidR="00E82E36" w:rsidRPr="005D4222" w:rsidDel="00003064" w:rsidRDefault="00E82E36">
            <w:pPr>
              <w:pStyle w:val="ECDSBody"/>
            </w:pPr>
            <w:r w:rsidRPr="005D4222" w:rsidDel="00003064">
              <w:rPr>
                <w:i/>
              </w:rPr>
              <w:t xml:space="preserve">For episodes that were direct transfers, </w:t>
            </w:r>
            <w:r w:rsidRPr="005D4222" w:rsidDel="00003064">
              <w:t>use the first admission to determine the negative diagnosis history.</w:t>
            </w:r>
          </w:p>
          <w:p w14:paraId="233ECCB5" w14:textId="77777777" w:rsidR="00E82E36" w:rsidRPr="005D4222" w:rsidRDefault="00E82E36">
            <w:pPr>
              <w:pStyle w:val="ECDSBody"/>
            </w:pPr>
            <w:r w:rsidRPr="005D4222" w:rsidDel="00003064">
              <w:rPr>
                <w:i/>
              </w:rPr>
              <w:t>For inpatient stay episodes</w:t>
            </w:r>
            <w:r w:rsidRPr="005D4222" w:rsidDel="00003064">
              <w:rPr>
                <w:i/>
                <w:iCs/>
              </w:rPr>
              <w:t xml:space="preserve"> that were a result of an outpatient</w:t>
            </w:r>
            <w:r w:rsidRPr="005D4222">
              <w:rPr>
                <w:i/>
                <w:iCs/>
              </w:rPr>
              <w:t xml:space="preserve"> or</w:t>
            </w:r>
            <w:r w:rsidRPr="005D4222" w:rsidDel="00003064">
              <w:rPr>
                <w:i/>
                <w:iCs/>
              </w:rPr>
              <w:t xml:space="preserve"> ED</w:t>
            </w:r>
            <w:r w:rsidRPr="005D4222" w:rsidDel="00F612F2">
              <w:rPr>
                <w:i/>
                <w:iCs/>
              </w:rPr>
              <w:t xml:space="preserve"> </w:t>
            </w:r>
            <w:r w:rsidRPr="005D4222" w:rsidDel="00003064">
              <w:rPr>
                <w:i/>
                <w:iCs/>
              </w:rPr>
              <w:t>visit,</w:t>
            </w:r>
            <w:r w:rsidRPr="005D4222" w:rsidDel="00003064">
              <w:t xml:space="preserve"> use the date of the outpatient</w:t>
            </w:r>
            <w:r w:rsidRPr="005D4222">
              <w:t xml:space="preserve"> or ED</w:t>
            </w:r>
            <w:r w:rsidRPr="005D4222" w:rsidDel="00003064">
              <w:t xml:space="preserve"> visit to determine negative diagnosis history.</w:t>
            </w:r>
          </w:p>
          <w:p w14:paraId="3B400C27" w14:textId="77777777" w:rsidR="00E82E36" w:rsidRPr="005D4222" w:rsidRDefault="00E82E36">
            <w:pPr>
              <w:pStyle w:val="Body"/>
              <w:rPr>
                <w:bCs/>
              </w:rPr>
            </w:pPr>
            <w:r w:rsidRPr="005D4222">
              <w:rPr>
                <w:b/>
              </w:rPr>
              <w:t xml:space="preserve">Step 3. </w:t>
            </w:r>
            <w:r w:rsidRPr="005D4222">
              <w:rPr>
                <w:bCs/>
              </w:rPr>
              <w:t xml:space="preserve">Calculate continuous enrollment. </w:t>
            </w:r>
          </w:p>
          <w:p w14:paraId="231F0A30" w14:textId="77777777" w:rsidR="00E82E36" w:rsidRPr="005D4222" w:rsidRDefault="00E82E36">
            <w:pPr>
              <w:pStyle w:val="Body"/>
            </w:pPr>
            <w:r w:rsidRPr="005D4222">
              <w:rPr>
                <w:b/>
              </w:rPr>
              <w:t>Step 4</w:t>
            </w:r>
            <w:r w:rsidRPr="005D4222">
              <w:rPr>
                <w:b/>
                <w:bCs/>
                <w:i/>
                <w:iCs/>
              </w:rPr>
              <w:t xml:space="preserve">. </w:t>
            </w:r>
            <w:r w:rsidRPr="005D4222">
              <w:t>Remove episode dates where any of the following are met:</w:t>
            </w:r>
          </w:p>
          <w:p w14:paraId="78D69AFE" w14:textId="77777777" w:rsidR="00E82E36" w:rsidRPr="005D4222" w:rsidRDefault="00E82E36" w:rsidP="00E82E36">
            <w:pPr>
              <w:pStyle w:val="Bullet"/>
              <w:numPr>
                <w:ilvl w:val="0"/>
                <w:numId w:val="4"/>
              </w:numPr>
              <w:tabs>
                <w:tab w:val="left" w:pos="360"/>
                <w:tab w:val="left" w:pos="576"/>
              </w:tabs>
              <w:spacing w:after="80"/>
              <w:ind w:left="576" w:hanging="216"/>
            </w:pPr>
            <w:r w:rsidRPr="005D4222">
              <w:t>A BMD test (</w:t>
            </w:r>
            <w:r w:rsidRPr="005D4222">
              <w:rPr>
                <w:u w:val="single"/>
              </w:rPr>
              <w:t>Bone Mineral Density Tests Value Set</w:t>
            </w:r>
            <w:r w:rsidRPr="005D4222">
              <w:t xml:space="preserve">; </w:t>
            </w:r>
            <w:r w:rsidRPr="005D4222">
              <w:rPr>
                <w:u w:val="single"/>
              </w:rPr>
              <w:t>Bone Mineral Density Test Result or Finding Value Set</w:t>
            </w:r>
            <w:r w:rsidRPr="005D4222">
              <w:t xml:space="preserve">) during the 730 days prior to the episode date. </w:t>
            </w:r>
          </w:p>
          <w:p w14:paraId="5C04EE05" w14:textId="77777777" w:rsidR="00E82E36" w:rsidRPr="005D4222" w:rsidRDefault="00E82E36" w:rsidP="00E82E36">
            <w:pPr>
              <w:pStyle w:val="Bullet"/>
              <w:numPr>
                <w:ilvl w:val="0"/>
                <w:numId w:val="4"/>
              </w:numPr>
              <w:tabs>
                <w:tab w:val="left" w:pos="360"/>
                <w:tab w:val="left" w:pos="576"/>
              </w:tabs>
              <w:spacing w:before="180" w:after="80"/>
              <w:ind w:left="576" w:hanging="216"/>
            </w:pPr>
            <w:r w:rsidRPr="005D4222">
              <w:lastRenderedPageBreak/>
              <w:t>A claim/encounter for osteoporosis therapy (</w:t>
            </w:r>
            <w:r w:rsidRPr="005D4222">
              <w:rPr>
                <w:u w:val="single"/>
              </w:rPr>
              <w:t>Osteoporosis Medication Therapy Value Set</w:t>
            </w:r>
            <w:r w:rsidRPr="005D4222">
              <w:t>) during the 365 days prior to the episode date.</w:t>
            </w:r>
          </w:p>
          <w:p w14:paraId="442C1773" w14:textId="77777777" w:rsidR="00E82E36" w:rsidRPr="005D4222" w:rsidRDefault="00E82E36" w:rsidP="00E82E36">
            <w:pPr>
              <w:pStyle w:val="Bullet"/>
              <w:numPr>
                <w:ilvl w:val="0"/>
                <w:numId w:val="4"/>
              </w:numPr>
              <w:tabs>
                <w:tab w:val="left" w:pos="360"/>
                <w:tab w:val="left" w:pos="576"/>
              </w:tabs>
              <w:ind w:left="576" w:hanging="216"/>
            </w:pPr>
            <w:r w:rsidRPr="005D4222">
              <w:t>A prescription dispensed or an active prescription to treat osteoporosis (</w:t>
            </w:r>
            <w:r w:rsidRPr="005D4222">
              <w:rPr>
                <w:u w:val="single"/>
              </w:rPr>
              <w:t>Osteoporosis Medications List</w:t>
            </w:r>
            <w:r w:rsidRPr="005D4222">
              <w:t xml:space="preserve">) during the 365 days prior to the episode date. </w:t>
            </w:r>
          </w:p>
          <w:p w14:paraId="6A8C6440" w14:textId="77777777" w:rsidR="00E82E36" w:rsidRPr="005D4222" w:rsidDel="00D77058" w:rsidRDefault="00E82E36">
            <w:pPr>
              <w:pStyle w:val="ECDSBody"/>
            </w:pPr>
            <w:r w:rsidRPr="005D4222" w:rsidDel="00D77058">
              <w:rPr>
                <w:i/>
              </w:rPr>
              <w:t>For an acute or nonacute inpatient event,</w:t>
            </w:r>
            <w:r w:rsidRPr="005D4222" w:rsidDel="00D77058">
              <w:t xml:space="preserve"> use the date of admission to identify the days prior to the episode date. </w:t>
            </w:r>
          </w:p>
          <w:p w14:paraId="26EEE469" w14:textId="77777777" w:rsidR="00E82E36" w:rsidRPr="005D4222" w:rsidDel="00D77058" w:rsidRDefault="00E82E36">
            <w:pPr>
              <w:pStyle w:val="ECDSBody"/>
              <w:rPr>
                <w:i/>
              </w:rPr>
            </w:pPr>
            <w:r w:rsidRPr="005D4222" w:rsidDel="00D77058">
              <w:rPr>
                <w:i/>
              </w:rPr>
              <w:t>For direct transfers</w:t>
            </w:r>
            <w:r w:rsidRPr="005D4222" w:rsidDel="00D77058">
              <w:t>, use the first admission date to identify the days prior to the episode date.</w:t>
            </w:r>
          </w:p>
          <w:p w14:paraId="35BD5EF8" w14:textId="77777777" w:rsidR="00E82E36" w:rsidRPr="005D4222" w:rsidRDefault="00E82E36">
            <w:pPr>
              <w:pStyle w:val="ECDSBody"/>
            </w:pPr>
            <w:r w:rsidRPr="005D4222" w:rsidDel="00D77058">
              <w:rPr>
                <w:i/>
                <w:iCs/>
              </w:rPr>
              <w:t>For outpatient</w:t>
            </w:r>
            <w:r w:rsidRPr="005D4222">
              <w:rPr>
                <w:i/>
                <w:iCs/>
              </w:rPr>
              <w:t xml:space="preserve"> and</w:t>
            </w:r>
            <w:r w:rsidRPr="005D4222" w:rsidDel="00D77058">
              <w:rPr>
                <w:i/>
                <w:iCs/>
              </w:rPr>
              <w:t xml:space="preserve"> ED visits that result in an inpatient stay</w:t>
            </w:r>
            <w:r w:rsidRPr="005D4222" w:rsidDel="00D77058">
              <w:t xml:space="preserve">, use the date of the outpatient </w:t>
            </w:r>
            <w:r w:rsidRPr="005D4222">
              <w:t xml:space="preserve">or </w:t>
            </w:r>
            <w:r w:rsidRPr="005D4222" w:rsidDel="00D77058">
              <w:t xml:space="preserve">ED visit to identify the days prior to the episode </w:t>
            </w:r>
            <w:r w:rsidRPr="005D4222">
              <w:t>d</w:t>
            </w:r>
            <w:r w:rsidRPr="005D4222" w:rsidDel="00D77058">
              <w:t>ate</w:t>
            </w:r>
            <w:r w:rsidRPr="005D4222">
              <w:t>.</w:t>
            </w:r>
          </w:p>
          <w:p w14:paraId="0B6101CF" w14:textId="7F568DBC" w:rsidR="00E82E36" w:rsidRPr="005D4222" w:rsidRDefault="00E82E36" w:rsidP="00E82E36">
            <w:pPr>
              <w:pStyle w:val="ECDSBody"/>
              <w:rPr>
                <w:i/>
                <w:iCs/>
              </w:rPr>
            </w:pPr>
            <w:r w:rsidRPr="005D4222">
              <w:rPr>
                <w:b/>
              </w:rPr>
              <w:t>Step 5</w:t>
            </w:r>
            <w:r w:rsidRPr="005D4222">
              <w:rPr>
                <w:b/>
                <w:i/>
              </w:rPr>
              <w:t xml:space="preserve">. </w:t>
            </w:r>
            <w:r w:rsidRPr="005D4222" w:rsidDel="000016EF">
              <w:t xml:space="preserve">Select the IESD. The measure examines the earliest eligible episode per </w:t>
            </w:r>
            <w:r w:rsidRPr="005D4222">
              <w:t>person</w:t>
            </w:r>
            <w:r w:rsidRPr="005D4222" w:rsidDel="000016EF">
              <w:t xml:space="preserve"> that meets the criteria above.</w:t>
            </w:r>
          </w:p>
        </w:tc>
      </w:tr>
      <w:tr w:rsidR="00E82E36" w:rsidRPr="005D4222" w14:paraId="16AB5BE9" w14:textId="77777777">
        <w:tc>
          <w:tcPr>
            <w:tcW w:w="2157" w:type="dxa"/>
            <w:shd w:val="clear" w:color="auto" w:fill="BFBFBF" w:themeFill="background1" w:themeFillShade="BF"/>
            <w:tcMar>
              <w:top w:w="0" w:type="dxa"/>
              <w:left w:w="86" w:type="dxa"/>
              <w:bottom w:w="43" w:type="dxa"/>
              <w:right w:w="86" w:type="dxa"/>
            </w:tcMar>
          </w:tcPr>
          <w:p w14:paraId="44C08E31" w14:textId="77777777" w:rsidR="00E82E36" w:rsidRPr="005D4222" w:rsidRDefault="00E82E36">
            <w:pPr>
              <w:pStyle w:val="ECDSMarginHead"/>
            </w:pPr>
            <w:r w:rsidRPr="005D4222">
              <w:lastRenderedPageBreak/>
              <w:t xml:space="preserve">Denominator exclusions </w:t>
            </w:r>
          </w:p>
        </w:tc>
        <w:tc>
          <w:tcPr>
            <w:tcW w:w="7557" w:type="dxa"/>
            <w:tcMar>
              <w:top w:w="0" w:type="dxa"/>
              <w:left w:w="86" w:type="dxa"/>
              <w:bottom w:w="43" w:type="dxa"/>
              <w:right w:w="86" w:type="dxa"/>
            </w:tcMar>
          </w:tcPr>
          <w:p w14:paraId="2A1BB80E" w14:textId="77777777" w:rsidR="00E82E36" w:rsidRPr="005D4222" w:rsidRDefault="00E82E36">
            <w:pPr>
              <w:pStyle w:val="ECDSBody"/>
              <w:rPr>
                <w:rFonts w:cs="Segoe UI"/>
                <w:szCs w:val="18"/>
              </w:rPr>
            </w:pPr>
            <w:r w:rsidRPr="005D4222">
              <w:rPr>
                <w:b/>
              </w:rPr>
              <w:t>Persons with a date of death. </w:t>
            </w:r>
            <w:r w:rsidRPr="005D4222">
              <w:rPr>
                <w:b/>
              </w:rPr>
              <w:br/>
            </w:r>
            <w:r w:rsidRPr="005D4222">
              <w:t>Death in the measurement period, identified using data sources determined by the organization. Method and data sources are subject to review during the HEDIS audit. </w:t>
            </w:r>
          </w:p>
          <w:p w14:paraId="0470CB27" w14:textId="77777777" w:rsidR="00E82E36" w:rsidRPr="005D4222" w:rsidRDefault="00E82E36">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762E5761" w14:textId="77777777" w:rsidR="00E82E36" w:rsidRPr="005D4222" w:rsidRDefault="00E82E36">
            <w:pPr>
              <w:pStyle w:val="ECDSBody"/>
            </w:pPr>
            <w:r w:rsidRPr="005D4222" w:rsidDel="00AA4A01">
              <w:rPr>
                <w:b/>
              </w:rPr>
              <w:t xml:space="preserve">Persons </w:t>
            </w:r>
            <w:r w:rsidRPr="005D4222">
              <w:rPr>
                <w:b/>
              </w:rPr>
              <w:t>receiving palliative care.</w:t>
            </w:r>
            <w:r w:rsidRPr="005D4222">
              <w:rPr>
                <w:b/>
              </w:rPr>
              <w:br/>
            </w:r>
            <w:r w:rsidRPr="005D4222">
              <w:t>Persons receiving palliative care (</w:t>
            </w:r>
            <w:r w:rsidRPr="005D4222">
              <w:rPr>
                <w:u w:val="single"/>
              </w:rPr>
              <w:t>Palliative Care Assessment Value Set</w:t>
            </w:r>
            <w:r w:rsidRPr="005D4222">
              <w:t xml:space="preserve">; </w:t>
            </w:r>
            <w:r w:rsidRPr="005D4222">
              <w:rPr>
                <w:u w:val="single"/>
              </w:rPr>
              <w:t>Palliative Care Encounter Value Set</w:t>
            </w:r>
            <w:r w:rsidRPr="005D4222">
              <w:t xml:space="preserve">; </w:t>
            </w:r>
            <w:r w:rsidRPr="005D4222">
              <w:rPr>
                <w:u w:val="single"/>
              </w:rPr>
              <w:t>Palliative Care Intervention Value Set</w:t>
            </w:r>
            <w:r w:rsidRPr="005D4222">
              <w:t xml:space="preserve">) or who had an encounter for palliative care (ICD-10-CM code Z51.5*) any time during the intake period through last day of the measurement period. </w:t>
            </w:r>
          </w:p>
          <w:p w14:paraId="6ADB17A0" w14:textId="77777777" w:rsidR="00E82E36" w:rsidRPr="005D4222" w:rsidRDefault="00E82E36">
            <w:pPr>
              <w:pStyle w:val="ECDSBody"/>
              <w:rPr>
                <w:rStyle w:val="normaltextrun"/>
                <w:kern w:val="24"/>
                <w14:ligatures w14:val="standardContextual"/>
              </w:rPr>
            </w:pPr>
            <w:r w:rsidRPr="005D4222">
              <w:rPr>
                <w:rStyle w:val="normaltextrun"/>
                <w:b/>
                <w:color w:val="000000"/>
                <w:shd w:val="clear" w:color="auto" w:fill="FFFFFF"/>
              </w:rPr>
              <w:t>Medicare enrollees, 67 years of age and older as of the last day of the measurement period, in an institutional SNP (I-SNP) or living long-term in an institution (LTI).</w:t>
            </w:r>
          </w:p>
          <w:p w14:paraId="72264AD6" w14:textId="77777777" w:rsidR="00E82E36" w:rsidRPr="005D4222" w:rsidRDefault="00E82E36" w:rsidP="00E82E36">
            <w:pPr>
              <w:pStyle w:val="ProcessBullet"/>
              <w:tabs>
                <w:tab w:val="left" w:pos="216"/>
              </w:tabs>
              <w:rPr>
                <w:rFonts w:cs="Arial"/>
              </w:rPr>
            </w:pPr>
            <w:r w:rsidRPr="005D4222">
              <w:t xml:space="preserve">Enrolled in an </w:t>
            </w:r>
            <w:r w:rsidRPr="005D4222" w:rsidDel="00EB7BE5">
              <w:t>Institutional SNP (</w:t>
            </w:r>
            <w:r w:rsidRPr="005D4222">
              <w:t>I-SNP</w:t>
            </w:r>
            <w:r w:rsidRPr="005D4222" w:rsidDel="00EB7BE5">
              <w:t>)</w:t>
            </w:r>
            <w:r w:rsidRPr="005D4222">
              <w:t xml:space="preserve"> any time during the intake period through the last day of the measurement period.</w:t>
            </w:r>
          </w:p>
          <w:p w14:paraId="4211DB5E" w14:textId="77777777" w:rsidR="00E82E36" w:rsidRPr="005D4222" w:rsidRDefault="00E82E36" w:rsidP="00E82E36">
            <w:pPr>
              <w:pStyle w:val="ProcessBullet"/>
              <w:tabs>
                <w:tab w:val="left" w:pos="216"/>
              </w:tabs>
              <w:rPr>
                <w:rFonts w:eastAsia="Arial,Arial,Arial,Arial,Arial,A" w:cs="Arial"/>
              </w:rPr>
            </w:pPr>
            <w:r w:rsidRPr="005D4222">
              <w:t xml:space="preserve">Living </w:t>
            </w:r>
            <w:r w:rsidRPr="005D4222" w:rsidDel="00EB7BE5">
              <w:t>long-term in an institution</w:t>
            </w:r>
            <w:r w:rsidRPr="005D4222">
              <w:t xml:space="preserve"> any time during the measurement period as identified by the LTI flag in the Monthly Membership Detail Data File. Use the run date of the file to determine if </w:t>
            </w:r>
            <w:r w:rsidRPr="005D4222" w:rsidDel="005A0C7D">
              <w:t>a member had</w:t>
            </w:r>
            <w:r w:rsidRPr="005D4222">
              <w:t xml:space="preserve"> an LTI flag during the intake period through the last day of the measurement period.</w:t>
            </w:r>
          </w:p>
          <w:p w14:paraId="42198714" w14:textId="77777777" w:rsidR="00E82E36" w:rsidRPr="005D4222" w:rsidRDefault="00E82E36">
            <w:pPr>
              <w:pStyle w:val="ECDSBody"/>
              <w:rPr>
                <w:b/>
                <w:bCs w:val="0"/>
              </w:rPr>
            </w:pPr>
            <w:r w:rsidRPr="005D4222">
              <w:rPr>
                <w:b/>
                <w:bCs w:val="0"/>
              </w:rPr>
              <w:t>Persons 67–80 years of age as of the last day of the measurement period, with both frailty and advanced illness.</w:t>
            </w:r>
          </w:p>
          <w:p w14:paraId="685FF39D" w14:textId="77777777" w:rsidR="00E82E36" w:rsidRPr="005D4222" w:rsidRDefault="00E82E36">
            <w:pPr>
              <w:pStyle w:val="Body"/>
              <w:spacing w:before="60" w:after="40"/>
              <w:ind w:left="288" w:hanging="288"/>
              <w:rPr>
                <w:rFonts w:cs="Arial"/>
                <w:u w:val="single"/>
              </w:rPr>
            </w:pPr>
            <w:r w:rsidRPr="005D4222">
              <w:t>1.</w:t>
            </w:r>
            <w:r w:rsidRPr="005D4222">
              <w:rPr>
                <w:b/>
                <w:bCs/>
              </w:rPr>
              <w:tab/>
              <w:t>Frailty.</w:t>
            </w:r>
            <w:r w:rsidRPr="005D4222">
              <w:t xml:space="preserve"> </w:t>
            </w:r>
            <w:r w:rsidRPr="005D4222">
              <w:rPr>
                <w:rFonts w:cs="Arial"/>
              </w:rPr>
              <w:t>At least two indications of frailty (</w:t>
            </w:r>
            <w:r w:rsidRPr="005D4222">
              <w:rPr>
                <w:rFonts w:cs="Arial"/>
                <w:u w:val="single"/>
              </w:rPr>
              <w:t>Frailty Device Value Set</w:t>
            </w:r>
            <w:r w:rsidRPr="005D4222">
              <w:rPr>
                <w:rFonts w:cs="Arial"/>
              </w:rPr>
              <w:t xml:space="preserve">; </w:t>
            </w:r>
            <w:r w:rsidRPr="005D4222">
              <w:rPr>
                <w:rFonts w:cs="Arial"/>
                <w:u w:val="single"/>
              </w:rPr>
              <w:t>Frailty Diagnosis Value Set</w:t>
            </w:r>
            <w:r w:rsidRPr="005D4222">
              <w:rPr>
                <w:rFonts w:cs="Arial"/>
              </w:rPr>
              <w:t xml:space="preserve">*; </w:t>
            </w:r>
            <w:r w:rsidRPr="005D4222">
              <w:rPr>
                <w:rFonts w:cs="Arial"/>
                <w:u w:val="single"/>
              </w:rPr>
              <w:t>Frailty Encounter Value Set</w:t>
            </w:r>
            <w:r w:rsidRPr="005D4222">
              <w:rPr>
                <w:rFonts w:cs="Arial"/>
              </w:rPr>
              <w:t xml:space="preserve">; </w:t>
            </w:r>
            <w:r w:rsidRPr="005D4222">
              <w:rPr>
                <w:rFonts w:cs="Arial"/>
                <w:u w:val="single"/>
              </w:rPr>
              <w:t>Frailty Symptom Value Set</w:t>
            </w:r>
            <w:r w:rsidRPr="005D4222">
              <w:rPr>
                <w:rFonts w:cs="Arial"/>
              </w:rPr>
              <w:t>*) with different dates of service during the intake period through the last day of the measurement period.</w:t>
            </w:r>
          </w:p>
          <w:p w14:paraId="4411B6B6" w14:textId="77777777" w:rsidR="00E82E36" w:rsidRPr="005D4222" w:rsidRDefault="00E82E36" w:rsidP="00E82E36">
            <w:pPr>
              <w:pStyle w:val="Body"/>
              <w:spacing w:before="80" w:after="80"/>
              <w:ind w:left="288" w:hanging="288"/>
              <w:rPr>
                <w:rFonts w:cs="Arial"/>
              </w:rPr>
            </w:pPr>
            <w:r w:rsidRPr="005D4222">
              <w:t>2.</w:t>
            </w:r>
            <w:r w:rsidRPr="005D4222">
              <w:tab/>
            </w:r>
            <w:r w:rsidRPr="005D4222">
              <w:rPr>
                <w:b/>
                <w:bCs/>
              </w:rPr>
              <w:t>Advanced illness.</w:t>
            </w:r>
            <w:r w:rsidRPr="005D4222">
              <w:t xml:space="preserve"> Either</w:t>
            </w:r>
            <w:r w:rsidRPr="005D4222">
              <w:rPr>
                <w:rFonts w:cs="Arial"/>
              </w:rPr>
              <w:t xml:space="preserve"> of the following during the measurement period or the year prior to the measurement period: </w:t>
            </w:r>
          </w:p>
          <w:p w14:paraId="769B3470" w14:textId="77777777" w:rsidR="00E82E36" w:rsidRPr="005D4222" w:rsidRDefault="00E82E36" w:rsidP="00E82E36">
            <w:pPr>
              <w:pStyle w:val="ProcessDash"/>
              <w:spacing w:before="180" w:after="40"/>
            </w:pPr>
            <w:r w:rsidRPr="005D4222">
              <w:lastRenderedPageBreak/>
              <w:t>Advanced illness (</w:t>
            </w:r>
            <w:r w:rsidRPr="005D4222">
              <w:rPr>
                <w:u w:val="single"/>
              </w:rPr>
              <w:t>Advanced Illness Value Set</w:t>
            </w:r>
            <w:r w:rsidRPr="005D4222">
              <w:t>*) on at least two different dates of service.</w:t>
            </w:r>
          </w:p>
          <w:p w14:paraId="3B37A21A" w14:textId="77777777" w:rsidR="00E82E36" w:rsidRPr="005D4222" w:rsidRDefault="00E82E36" w:rsidP="00E82E36">
            <w:pPr>
              <w:pStyle w:val="ProcessDash"/>
              <w:spacing w:after="40"/>
            </w:pPr>
            <w:r w:rsidRPr="005D4222">
              <w:t>Dispensed dementia medication (</w:t>
            </w:r>
            <w:r w:rsidRPr="005D4222">
              <w:rPr>
                <w:u w:val="single"/>
              </w:rPr>
              <w:t>Dementia Medications List</w:t>
            </w:r>
            <w:r w:rsidRPr="005D4222">
              <w:t>).</w:t>
            </w:r>
          </w:p>
          <w:p w14:paraId="60528B32" w14:textId="77777777" w:rsidR="00E82E36" w:rsidRPr="005D4222" w:rsidRDefault="00E82E36">
            <w:pPr>
              <w:pStyle w:val="ECDSBody"/>
              <w:rPr>
                <w:rFonts w:eastAsia="Arial,Arial,Arial,Arial,Arial,A"/>
              </w:rPr>
            </w:pPr>
            <w:r w:rsidRPr="005D4222">
              <w:rPr>
                <w:rFonts w:eastAsia="Arial,Arial,Arial,Arial,Arial,A"/>
                <w:b/>
              </w:rPr>
              <w:t xml:space="preserve">Persons </w:t>
            </w:r>
            <w:r w:rsidRPr="005D4222">
              <w:rPr>
                <w:b/>
              </w:rPr>
              <w:t>81 years of age and older as of the last day of the measurement period, with frailty.</w:t>
            </w:r>
            <w:r w:rsidRPr="005D4222">
              <w:rPr>
                <w:rFonts w:eastAsia="Arial,Arial,Arial,Arial,Arial,A"/>
                <w:b/>
              </w:rPr>
              <w:br/>
            </w:r>
            <w:r w:rsidRPr="005D4222">
              <w:rPr>
                <w:rFonts w:eastAsia="Arial,Arial,Arial,Arial,Arial,A"/>
              </w:rPr>
              <w:t>Persons with at least two indications of frailty</w:t>
            </w:r>
            <w:r w:rsidRPr="005D4222">
              <w:t xml:space="preserve"> (</w:t>
            </w:r>
            <w:r w:rsidRPr="005D4222">
              <w:rPr>
                <w:u w:val="single"/>
              </w:rPr>
              <w:t>Frailty Device Value Set</w:t>
            </w:r>
            <w:r w:rsidRPr="005D4222">
              <w:t xml:space="preserve">; </w:t>
            </w:r>
            <w:r w:rsidRPr="005D4222">
              <w:rPr>
                <w:u w:val="single"/>
              </w:rPr>
              <w:t>Frailty Diagnosis Value Set</w:t>
            </w:r>
            <w:r w:rsidRPr="005D4222">
              <w:t xml:space="preserve">*; </w:t>
            </w:r>
            <w:r w:rsidRPr="005D4222">
              <w:rPr>
                <w:u w:val="single"/>
              </w:rPr>
              <w:t>Frailty Encounter Value Set</w:t>
            </w:r>
            <w:r w:rsidRPr="005D4222">
              <w:t xml:space="preserve">; </w:t>
            </w:r>
            <w:r w:rsidRPr="005D4222">
              <w:rPr>
                <w:u w:val="single"/>
              </w:rPr>
              <w:t>Frailty Symptom Value Set</w:t>
            </w:r>
            <w:r w:rsidRPr="005D4222">
              <w:t>*) with different dates of service during the measurement period.</w:t>
            </w:r>
          </w:p>
          <w:p w14:paraId="59B2EF81" w14:textId="77777777" w:rsidR="00E82E36" w:rsidRPr="005D4222" w:rsidRDefault="00E82E36">
            <w:pPr>
              <w:pStyle w:val="ECDSBody"/>
              <w:spacing w:after="0"/>
              <w:rPr>
                <w:rFonts w:eastAsia="Arial,Arial,Arial,Arial,Arial,A"/>
                <w:b/>
                <w:bCs w:val="0"/>
              </w:rPr>
            </w:pPr>
            <w:r w:rsidRPr="005D4222">
              <w:rPr>
                <w:rFonts w:eastAsia="Arial,Arial,Arial,Arial,Arial,A"/>
                <w:b/>
                <w:bCs w:val="0"/>
              </w:rPr>
              <w:t>Coding Guidance</w:t>
            </w:r>
          </w:p>
          <w:p w14:paraId="409B08BF" w14:textId="77777777" w:rsidR="00E82E36" w:rsidRPr="005D4222" w:rsidRDefault="00E82E36">
            <w:pPr>
              <w:pStyle w:val="ECDSBody"/>
              <w:spacing w:before="0"/>
            </w:pPr>
            <w:r w:rsidRPr="005D4222">
              <w:rPr>
                <w:rFonts w:eastAsia="Arial,Arial,Arial,Arial,Arial,A"/>
              </w:rPr>
              <w:t>*</w:t>
            </w:r>
            <w:r w:rsidRPr="005D4222">
              <w:rPr>
                <w:rFonts w:eastAsia="Arial,Arial,Arial,Arial,Arial,A"/>
                <w:kern w:val="24"/>
              </w:rPr>
              <w:t>Do not include laboratory claims (claims with POS code 81).</w:t>
            </w:r>
          </w:p>
        </w:tc>
      </w:tr>
      <w:tr w:rsidR="00E82E36" w:rsidRPr="005D4222" w14:paraId="1C1F3357"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6F1A8ED" w14:textId="77777777" w:rsidR="00E82E36" w:rsidRPr="005D4222" w:rsidRDefault="00E82E36">
            <w:pPr>
              <w:pStyle w:val="ECDSMarginHead"/>
            </w:pPr>
            <w:r w:rsidRPr="005D4222">
              <w:lastRenderedPageBreak/>
              <w:t>Denominator</w:t>
            </w: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3FEA572D" w14:textId="77777777" w:rsidR="00E82E36" w:rsidRPr="005D4222" w:rsidRDefault="00E82E36">
            <w:pPr>
              <w:pStyle w:val="ECDSBody"/>
              <w:rPr>
                <w:b/>
              </w:rPr>
            </w:pPr>
            <w:r w:rsidRPr="005D4222">
              <w:t>The initial population minus denominator exclusions.</w:t>
            </w:r>
          </w:p>
        </w:tc>
      </w:tr>
      <w:tr w:rsidR="00E82E36" w:rsidRPr="005D4222" w14:paraId="0C4B5B7D"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40149D9" w14:textId="77777777" w:rsidR="00E82E36" w:rsidRPr="005D4222" w:rsidRDefault="00E82E36">
            <w:pPr>
              <w:pStyle w:val="ECDSMarginHead"/>
            </w:pPr>
            <w:r w:rsidRPr="005D4222">
              <w:t>Numerator</w:t>
            </w: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707B0157" w14:textId="77777777" w:rsidR="00E82E36" w:rsidRPr="005D4222" w:rsidRDefault="00E82E36">
            <w:pPr>
              <w:pStyle w:val="ECDSBody"/>
            </w:pPr>
            <w:r w:rsidRPr="005D4222">
              <w:rPr>
                <w:b/>
                <w:bCs w:val="0"/>
              </w:rPr>
              <w:t>Persons with appropriate testing or treatment for osteoporosis in the specified time frames.</w:t>
            </w:r>
            <w:r w:rsidRPr="005D4222">
              <w:rPr>
                <w:b/>
                <w:bCs w:val="0"/>
              </w:rPr>
              <w:br/>
            </w:r>
            <w:r w:rsidRPr="005D4222">
              <w:t xml:space="preserve">Identify any of the following criteria: </w:t>
            </w:r>
          </w:p>
          <w:p w14:paraId="39EF5C05" w14:textId="77777777" w:rsidR="00E82E36" w:rsidRPr="005D4222" w:rsidRDefault="00E82E36" w:rsidP="00E82E36">
            <w:pPr>
              <w:pStyle w:val="Bullet"/>
              <w:numPr>
                <w:ilvl w:val="0"/>
                <w:numId w:val="42"/>
              </w:numPr>
              <w:tabs>
                <w:tab w:val="left" w:pos="360"/>
                <w:tab w:val="left" w:pos="576"/>
              </w:tabs>
              <w:ind w:left="576" w:hanging="216"/>
            </w:pPr>
            <w:r w:rsidRPr="005D4222">
              <w:t>A BMD test (</w:t>
            </w:r>
            <w:r w:rsidRPr="005D4222">
              <w:rPr>
                <w:u w:val="single"/>
              </w:rPr>
              <w:t>Bone Mineral Density Tests Value Set</w:t>
            </w:r>
            <w:r w:rsidRPr="005D4222">
              <w:t xml:space="preserve">; </w:t>
            </w:r>
            <w:r w:rsidRPr="005D4222">
              <w:rPr>
                <w:u w:val="single"/>
              </w:rPr>
              <w:t>Bone Mineral Density Test Result or Finding Value Set</w:t>
            </w:r>
            <w:r w:rsidRPr="005D4222">
              <w:t xml:space="preserve">), in any setting, on the IESD or in the 180-day period after the IESD. </w:t>
            </w:r>
          </w:p>
          <w:p w14:paraId="2EA9F792" w14:textId="77777777" w:rsidR="00E82E36" w:rsidRPr="005D4222" w:rsidRDefault="00E82E36" w:rsidP="00E82E36">
            <w:pPr>
              <w:pStyle w:val="Bullet"/>
              <w:numPr>
                <w:ilvl w:val="0"/>
                <w:numId w:val="42"/>
              </w:numPr>
              <w:tabs>
                <w:tab w:val="left" w:pos="360"/>
                <w:tab w:val="left" w:pos="576"/>
              </w:tabs>
              <w:ind w:left="576" w:hanging="216"/>
            </w:pPr>
            <w:r w:rsidRPr="005D4222">
              <w:t>If the IESD was an inpatient stay, a BMD test (</w:t>
            </w:r>
            <w:r w:rsidRPr="005D4222">
              <w:rPr>
                <w:u w:val="single"/>
              </w:rPr>
              <w:t>Bone Mineral Density Tests Value Set</w:t>
            </w:r>
            <w:r w:rsidRPr="005D4222">
              <w:t xml:space="preserve">; </w:t>
            </w:r>
            <w:r w:rsidRPr="005D4222">
              <w:rPr>
                <w:u w:val="single"/>
              </w:rPr>
              <w:t>Bone Mineral Density Test Result or Finding Value Set</w:t>
            </w:r>
            <w:r w:rsidRPr="005D4222">
              <w:t xml:space="preserve">) during the inpatient stay. </w:t>
            </w:r>
          </w:p>
          <w:p w14:paraId="498B6804" w14:textId="77777777" w:rsidR="00E82E36" w:rsidRPr="005D4222" w:rsidRDefault="00E82E36" w:rsidP="00E82E36">
            <w:pPr>
              <w:pStyle w:val="Bullet"/>
              <w:numPr>
                <w:ilvl w:val="0"/>
                <w:numId w:val="42"/>
              </w:numPr>
              <w:tabs>
                <w:tab w:val="left" w:pos="360"/>
                <w:tab w:val="left" w:pos="576"/>
              </w:tabs>
              <w:ind w:left="576" w:hanging="216"/>
            </w:pPr>
            <w:r w:rsidRPr="005D4222">
              <w:t>Osteoporosis therapy (</w:t>
            </w:r>
            <w:r w:rsidRPr="005D4222">
              <w:rPr>
                <w:u w:val="single"/>
              </w:rPr>
              <w:t>Osteoporosis Medication Therapy Value Set</w:t>
            </w:r>
            <w:r w:rsidRPr="005D4222">
              <w:t>) on the IESD or in the 180-day period after the IESD.</w:t>
            </w:r>
          </w:p>
          <w:p w14:paraId="04224257" w14:textId="77777777" w:rsidR="00E82E36" w:rsidRPr="005D4222" w:rsidRDefault="00E82E36" w:rsidP="00E82E36">
            <w:pPr>
              <w:pStyle w:val="Bullet"/>
              <w:numPr>
                <w:ilvl w:val="0"/>
                <w:numId w:val="42"/>
              </w:numPr>
              <w:tabs>
                <w:tab w:val="left" w:pos="360"/>
                <w:tab w:val="left" w:pos="576"/>
              </w:tabs>
              <w:ind w:left="576" w:hanging="216"/>
            </w:pPr>
            <w:r w:rsidRPr="005D4222">
              <w:t>If the IESD was an inpatient stay, long-acting osteoporosis therapy (</w:t>
            </w:r>
            <w:r w:rsidRPr="005D4222">
              <w:rPr>
                <w:u w:val="single"/>
              </w:rPr>
              <w:t>Long Acting Osteoporosis Medications Value Set</w:t>
            </w:r>
            <w:r w:rsidRPr="005D4222">
              <w:t>) during the inpatient stay.</w:t>
            </w:r>
          </w:p>
          <w:p w14:paraId="3157B1C3" w14:textId="77777777" w:rsidR="00E82E36" w:rsidRPr="005D4222" w:rsidRDefault="00E82E36" w:rsidP="00E82E36">
            <w:pPr>
              <w:pStyle w:val="Bullet"/>
              <w:numPr>
                <w:ilvl w:val="0"/>
                <w:numId w:val="42"/>
              </w:numPr>
              <w:tabs>
                <w:tab w:val="left" w:pos="360"/>
                <w:tab w:val="left" w:pos="576"/>
              </w:tabs>
              <w:spacing w:after="80"/>
              <w:ind w:left="576" w:hanging="216"/>
            </w:pPr>
            <w:r w:rsidRPr="005D4222">
              <w:t>A dispensed prescription to treat osteoporosis (</w:t>
            </w:r>
            <w:r w:rsidRPr="005D4222">
              <w:rPr>
                <w:u w:val="single"/>
              </w:rPr>
              <w:t>Osteoporosis Medications List</w:t>
            </w:r>
            <w:r w:rsidRPr="005D4222">
              <w:t>) on the IESD or in the 180-day period after the IESD.</w:t>
            </w:r>
          </w:p>
        </w:tc>
      </w:tr>
      <w:tr w:rsidR="00E82E36" w:rsidRPr="005D4222" w14:paraId="421E7EA5"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2016F20" w14:textId="77777777" w:rsidR="00E82E36" w:rsidRPr="005D4222" w:rsidRDefault="00E82E36">
            <w:pPr>
              <w:pStyle w:val="ECDSMarginHead"/>
            </w:pPr>
            <w:r w:rsidRPr="005D4222">
              <w:t>Summary of changes</w:t>
            </w: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4C10F89D" w14:textId="57C0FD7A" w:rsidR="00E82E36" w:rsidRPr="005D4222" w:rsidRDefault="00D81F5D" w:rsidP="00E82E36">
            <w:pPr>
              <w:pStyle w:val="ProcessBullet"/>
              <w:tabs>
                <w:tab w:val="left" w:pos="216"/>
              </w:tabs>
              <w:spacing w:before="120"/>
            </w:pPr>
            <w:r w:rsidRPr="00D81F5D">
              <w:t>Added an administrative gender code to the initial population.</w:t>
            </w:r>
          </w:p>
        </w:tc>
      </w:tr>
      <w:tr w:rsidR="00E82E36" w:rsidRPr="005D4222" w14:paraId="6D5FC363"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6ED5117" w14:textId="77777777" w:rsidR="00E82E36" w:rsidRPr="005D4222" w:rsidRDefault="00E82E36">
            <w:pPr>
              <w:pStyle w:val="ECDS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94CAE54" w14:textId="77777777" w:rsidR="00E82E36" w:rsidRPr="005D4222" w:rsidRDefault="00E82E36">
            <w:pPr>
              <w:pStyle w:val="ECDSBody"/>
            </w:pPr>
            <w:r w:rsidRPr="005D4222">
              <w:t xml:space="preserve">Organizations that submit HEDIS data to NCQA must provide the following data elements. </w:t>
            </w:r>
          </w:p>
          <w:p w14:paraId="0DC8B797" w14:textId="77777777" w:rsidR="00E82E36" w:rsidRPr="005D4222" w:rsidRDefault="00E82E36">
            <w:pPr>
              <w:pStyle w:val="Heading3"/>
              <w:spacing w:before="120"/>
              <w:rPr>
                <w:b w:val="0"/>
                <w:szCs w:val="18"/>
              </w:rPr>
            </w:pPr>
            <w:r w:rsidRPr="005D4222">
              <w:t>Table OMW-3: Data Elements for Osteoporosis Management in Women Who Had a Fracture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75"/>
              <w:gridCol w:w="2430"/>
              <w:gridCol w:w="2070"/>
            </w:tblGrid>
            <w:tr w:rsidR="00E82E36" w:rsidRPr="005D4222" w14:paraId="14C08B11" w14:textId="77777777">
              <w:tc>
                <w:tcPr>
                  <w:tcW w:w="2875"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vAlign w:val="bottom"/>
                </w:tcPr>
                <w:p w14:paraId="6837E50F" w14:textId="77777777" w:rsidR="00E82E36" w:rsidRPr="005D4222" w:rsidRDefault="00E82E36" w:rsidP="00F37AEF">
                  <w:pPr>
                    <w:pStyle w:val="TableHead"/>
                    <w:spacing w:before="40" w:after="40"/>
                  </w:pPr>
                  <w:r w:rsidRPr="005D4222">
                    <w:t>Metric</w:t>
                  </w:r>
                </w:p>
              </w:tc>
              <w:tc>
                <w:tcPr>
                  <w:tcW w:w="243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vAlign w:val="bottom"/>
                </w:tcPr>
                <w:p w14:paraId="435B5C0C" w14:textId="77777777" w:rsidR="00E82E36" w:rsidRPr="005D4222" w:rsidRDefault="00E82E36" w:rsidP="00F37AEF">
                  <w:pPr>
                    <w:pStyle w:val="TableHead"/>
                    <w:spacing w:before="40" w:after="40"/>
                  </w:pPr>
                  <w:r w:rsidRPr="005D4222">
                    <w:t>Data Element</w:t>
                  </w:r>
                </w:p>
              </w:tc>
              <w:tc>
                <w:tcPr>
                  <w:tcW w:w="2070"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vAlign w:val="bottom"/>
                </w:tcPr>
                <w:p w14:paraId="22E70BE8" w14:textId="77777777" w:rsidR="00E82E36" w:rsidRPr="005D4222" w:rsidRDefault="00E82E36" w:rsidP="00F37AEF">
                  <w:pPr>
                    <w:pStyle w:val="TableHead"/>
                    <w:spacing w:before="40" w:after="40"/>
                  </w:pPr>
                  <w:r w:rsidRPr="005D4222">
                    <w:t>Reporting Instructions</w:t>
                  </w:r>
                </w:p>
              </w:tc>
            </w:tr>
            <w:tr w:rsidR="00E82E36" w:rsidRPr="005D4222" w14:paraId="6EC14E13" w14:textId="77777777">
              <w:tc>
                <w:tcPr>
                  <w:tcW w:w="2875" w:type="dxa"/>
                  <w:tcBorders>
                    <w:top w:val="single" w:sz="4" w:space="0" w:color="000000" w:themeColor="text1"/>
                    <w:left w:val="single" w:sz="4" w:space="0" w:color="auto"/>
                    <w:bottom w:val="single" w:sz="4" w:space="0" w:color="auto"/>
                    <w:right w:val="single" w:sz="4" w:space="0" w:color="auto"/>
                  </w:tcBorders>
                </w:tcPr>
                <w:p w14:paraId="39A3BF1A" w14:textId="77777777" w:rsidR="00E82E36" w:rsidRPr="005D4222" w:rsidRDefault="00E82E36" w:rsidP="00F37AEF">
                  <w:pPr>
                    <w:pStyle w:val="TableText"/>
                    <w:spacing w:before="40" w:after="40"/>
                  </w:pPr>
                  <w:r w:rsidRPr="005D4222">
                    <w:t>OsteoporosisManagementWomen</w:t>
                  </w:r>
                </w:p>
              </w:tc>
              <w:tc>
                <w:tcPr>
                  <w:tcW w:w="2430" w:type="dxa"/>
                  <w:tcBorders>
                    <w:top w:val="single" w:sz="4" w:space="0" w:color="000000" w:themeColor="text1"/>
                    <w:left w:val="single" w:sz="4" w:space="0" w:color="auto"/>
                    <w:bottom w:val="single" w:sz="4" w:space="0" w:color="auto"/>
                    <w:right w:val="single" w:sz="4" w:space="0" w:color="auto"/>
                  </w:tcBorders>
                </w:tcPr>
                <w:p w14:paraId="59E71D90" w14:textId="77777777" w:rsidR="00E82E36" w:rsidRPr="005D4222" w:rsidRDefault="00E82E36" w:rsidP="00F37AEF">
                  <w:pPr>
                    <w:pStyle w:val="TableText"/>
                    <w:spacing w:before="40" w:after="40"/>
                  </w:pPr>
                  <w:r w:rsidRPr="005D4222">
                    <w:t>Benefit</w:t>
                  </w:r>
                </w:p>
              </w:tc>
              <w:tc>
                <w:tcPr>
                  <w:tcW w:w="2070" w:type="dxa"/>
                  <w:tcBorders>
                    <w:top w:val="single" w:sz="4" w:space="0" w:color="000000" w:themeColor="text1"/>
                    <w:left w:val="single" w:sz="4" w:space="0" w:color="auto"/>
                    <w:bottom w:val="single" w:sz="6" w:space="0" w:color="auto"/>
                    <w:right w:val="single" w:sz="4" w:space="0" w:color="auto"/>
                  </w:tcBorders>
                </w:tcPr>
                <w:p w14:paraId="12660458" w14:textId="77777777" w:rsidR="00E82E36" w:rsidRPr="005D4222" w:rsidRDefault="00E82E36" w:rsidP="00F37AEF">
                  <w:pPr>
                    <w:pStyle w:val="TableText"/>
                    <w:spacing w:before="40" w:after="40"/>
                    <w:rPr>
                      <w:rFonts w:eastAsia="Wingdings"/>
                    </w:rPr>
                  </w:pPr>
                  <w:r w:rsidRPr="005D4222">
                    <w:rPr>
                      <w:rFonts w:eastAsia="Wingdings"/>
                    </w:rPr>
                    <w:t>Metadata</w:t>
                  </w:r>
                </w:p>
              </w:tc>
            </w:tr>
            <w:tr w:rsidR="00E82E36" w:rsidRPr="005D4222" w14:paraId="5F58D188" w14:textId="77777777">
              <w:tc>
                <w:tcPr>
                  <w:tcW w:w="2875" w:type="dxa"/>
                  <w:tcBorders>
                    <w:top w:val="single" w:sz="4" w:space="0" w:color="auto"/>
                    <w:left w:val="nil"/>
                    <w:bottom w:val="nil"/>
                    <w:right w:val="single" w:sz="4" w:space="0" w:color="auto"/>
                  </w:tcBorders>
                  <w:shd w:val="clear" w:color="auto" w:fill="FFFFFF" w:themeFill="background1"/>
                </w:tcPr>
                <w:p w14:paraId="08DD3241" w14:textId="77777777" w:rsidR="00E82E36" w:rsidRPr="005D4222" w:rsidRDefault="00E82E36" w:rsidP="00F37AEF">
                  <w:pPr>
                    <w:pStyle w:val="TableText"/>
                    <w:spacing w:before="40" w:after="40"/>
                  </w:pPr>
                </w:p>
              </w:tc>
              <w:tc>
                <w:tcPr>
                  <w:tcW w:w="2430" w:type="dxa"/>
                  <w:tcBorders>
                    <w:top w:val="single" w:sz="4" w:space="0" w:color="auto"/>
                    <w:left w:val="single" w:sz="4" w:space="0" w:color="auto"/>
                    <w:bottom w:val="single" w:sz="4" w:space="0" w:color="auto"/>
                    <w:right w:val="single" w:sz="4" w:space="0" w:color="auto"/>
                  </w:tcBorders>
                  <w:shd w:val="clear" w:color="auto" w:fill="FFFFFF" w:themeFill="background1"/>
                </w:tcPr>
                <w:p w14:paraId="28DDAB20" w14:textId="77777777" w:rsidR="00E82E36" w:rsidRPr="005D4222" w:rsidRDefault="00E82E36" w:rsidP="00F37AEF">
                  <w:pPr>
                    <w:pStyle w:val="TableText"/>
                    <w:spacing w:before="40" w:after="40"/>
                  </w:pPr>
                  <w:r w:rsidRPr="005D4222">
                    <w:t>InitialPopulation</w:t>
                  </w:r>
                </w:p>
              </w:tc>
              <w:tc>
                <w:tcPr>
                  <w:tcW w:w="2070" w:type="dxa"/>
                  <w:tcBorders>
                    <w:left w:val="single" w:sz="4" w:space="0" w:color="auto"/>
                    <w:right w:val="single" w:sz="4" w:space="0" w:color="auto"/>
                  </w:tcBorders>
                  <w:shd w:val="clear" w:color="auto" w:fill="FFFFFF" w:themeFill="background1"/>
                </w:tcPr>
                <w:p w14:paraId="5AFAB75A" w14:textId="77777777" w:rsidR="00E82E36" w:rsidRPr="005D4222" w:rsidRDefault="00E82E36" w:rsidP="00F37AEF">
                  <w:pPr>
                    <w:pStyle w:val="TableText"/>
                    <w:spacing w:before="40" w:after="40"/>
                    <w:rPr>
                      <w:rFonts w:eastAsia="Wingdings"/>
                    </w:rPr>
                  </w:pPr>
                  <w:r w:rsidRPr="005D4222">
                    <w:rPr>
                      <w:rFonts w:eastAsia="Wingdings"/>
                    </w:rPr>
                    <w:t>Report once</w:t>
                  </w:r>
                </w:p>
              </w:tc>
            </w:tr>
            <w:tr w:rsidR="00E82E36" w:rsidRPr="005D4222" w14:paraId="01C85E6C" w14:textId="77777777">
              <w:tc>
                <w:tcPr>
                  <w:tcW w:w="2875" w:type="dxa"/>
                  <w:tcBorders>
                    <w:top w:val="nil"/>
                    <w:left w:val="nil"/>
                    <w:bottom w:val="nil"/>
                    <w:right w:val="single" w:sz="4" w:space="0" w:color="auto"/>
                  </w:tcBorders>
                  <w:shd w:val="clear" w:color="auto" w:fill="FFFFFF" w:themeFill="background1"/>
                </w:tcPr>
                <w:p w14:paraId="6D6B4670" w14:textId="77777777" w:rsidR="00E82E36" w:rsidRPr="005D4222" w:rsidRDefault="00E82E36" w:rsidP="00F37AEF">
                  <w:pPr>
                    <w:pStyle w:val="TableText"/>
                    <w:spacing w:before="40" w:after="40"/>
                  </w:pPr>
                </w:p>
              </w:tc>
              <w:tc>
                <w:tcPr>
                  <w:tcW w:w="2430" w:type="dxa"/>
                  <w:tcBorders>
                    <w:top w:val="single" w:sz="4" w:space="0" w:color="auto"/>
                    <w:left w:val="single" w:sz="4" w:space="0" w:color="auto"/>
                    <w:bottom w:val="single" w:sz="4" w:space="0" w:color="auto"/>
                    <w:right w:val="single" w:sz="4" w:space="0" w:color="auto"/>
                  </w:tcBorders>
                  <w:shd w:val="clear" w:color="auto" w:fill="FFFFFF" w:themeFill="background1"/>
                </w:tcPr>
                <w:p w14:paraId="477A3671" w14:textId="77777777" w:rsidR="00E82E36" w:rsidRPr="005D4222" w:rsidRDefault="00E82E36" w:rsidP="00F37AEF">
                  <w:pPr>
                    <w:pStyle w:val="TableText"/>
                    <w:spacing w:before="40" w:after="40"/>
                  </w:pPr>
                  <w:r w:rsidRPr="005D4222">
                    <w:t>Exclusions</w:t>
                  </w:r>
                </w:p>
              </w:tc>
              <w:tc>
                <w:tcPr>
                  <w:tcW w:w="2070" w:type="dxa"/>
                  <w:tcBorders>
                    <w:left w:val="single" w:sz="4" w:space="0" w:color="auto"/>
                    <w:right w:val="single" w:sz="4" w:space="0" w:color="auto"/>
                  </w:tcBorders>
                  <w:shd w:val="clear" w:color="auto" w:fill="FFFFFF" w:themeFill="background1"/>
                </w:tcPr>
                <w:p w14:paraId="36875B5A" w14:textId="77777777" w:rsidR="00E82E36" w:rsidRPr="005D4222" w:rsidRDefault="00E82E36" w:rsidP="00F37AEF">
                  <w:pPr>
                    <w:pStyle w:val="TableText"/>
                    <w:spacing w:before="40" w:after="40"/>
                    <w:rPr>
                      <w:rFonts w:eastAsia="Wingdings"/>
                    </w:rPr>
                  </w:pPr>
                  <w:r w:rsidRPr="005D4222">
                    <w:rPr>
                      <w:rFonts w:eastAsia="Wingdings"/>
                    </w:rPr>
                    <w:t>Report once</w:t>
                  </w:r>
                </w:p>
              </w:tc>
            </w:tr>
            <w:tr w:rsidR="00E82E36" w:rsidRPr="005D4222" w14:paraId="112EBEA9" w14:textId="77777777">
              <w:tc>
                <w:tcPr>
                  <w:tcW w:w="2875" w:type="dxa"/>
                  <w:tcBorders>
                    <w:top w:val="nil"/>
                    <w:left w:val="nil"/>
                    <w:bottom w:val="nil"/>
                    <w:right w:val="single" w:sz="4" w:space="0" w:color="auto"/>
                  </w:tcBorders>
                  <w:shd w:val="clear" w:color="auto" w:fill="FFFFFF" w:themeFill="background1"/>
                </w:tcPr>
                <w:p w14:paraId="7EDAF6B9" w14:textId="77777777" w:rsidR="00E82E36" w:rsidRPr="005D4222" w:rsidRDefault="00E82E36" w:rsidP="00F37AEF">
                  <w:pPr>
                    <w:pStyle w:val="TableText"/>
                    <w:spacing w:before="40" w:after="40"/>
                  </w:pPr>
                </w:p>
              </w:tc>
              <w:tc>
                <w:tcPr>
                  <w:tcW w:w="2430" w:type="dxa"/>
                  <w:tcBorders>
                    <w:top w:val="single" w:sz="4" w:space="0" w:color="auto"/>
                    <w:left w:val="single" w:sz="4" w:space="0" w:color="auto"/>
                    <w:bottom w:val="single" w:sz="4" w:space="0" w:color="auto"/>
                    <w:right w:val="single" w:sz="4" w:space="0" w:color="auto"/>
                  </w:tcBorders>
                  <w:shd w:val="clear" w:color="auto" w:fill="FFFFFF" w:themeFill="background1"/>
                </w:tcPr>
                <w:p w14:paraId="31381ED5" w14:textId="77777777" w:rsidR="00E82E36" w:rsidRPr="005D4222" w:rsidRDefault="00E82E36" w:rsidP="00F37AEF">
                  <w:pPr>
                    <w:pStyle w:val="TableText"/>
                    <w:spacing w:before="40" w:after="40"/>
                  </w:pPr>
                  <w:r w:rsidRPr="005D4222">
                    <w:t>Denominator</w:t>
                  </w:r>
                </w:p>
              </w:tc>
              <w:tc>
                <w:tcPr>
                  <w:tcW w:w="2070" w:type="dxa"/>
                  <w:tcBorders>
                    <w:left w:val="single" w:sz="4" w:space="0" w:color="auto"/>
                    <w:right w:val="single" w:sz="4" w:space="0" w:color="auto"/>
                  </w:tcBorders>
                  <w:shd w:val="clear" w:color="auto" w:fill="FFFFFF" w:themeFill="background1"/>
                </w:tcPr>
                <w:p w14:paraId="51039317" w14:textId="77777777" w:rsidR="00E82E36" w:rsidRPr="005D4222" w:rsidRDefault="00E82E36" w:rsidP="00F37AEF">
                  <w:pPr>
                    <w:pStyle w:val="TableText"/>
                    <w:spacing w:before="40" w:after="40"/>
                    <w:rPr>
                      <w:rFonts w:eastAsia="Wingdings"/>
                    </w:rPr>
                  </w:pPr>
                  <w:r w:rsidRPr="005D4222">
                    <w:rPr>
                      <w:rFonts w:eastAsia="Wingdings"/>
                    </w:rPr>
                    <w:t>Report once</w:t>
                  </w:r>
                </w:p>
              </w:tc>
            </w:tr>
            <w:tr w:rsidR="00E82E36" w:rsidRPr="005D4222" w14:paraId="16EE6FFA" w14:textId="77777777">
              <w:tc>
                <w:tcPr>
                  <w:tcW w:w="2875" w:type="dxa"/>
                  <w:tcBorders>
                    <w:top w:val="nil"/>
                    <w:left w:val="nil"/>
                    <w:bottom w:val="nil"/>
                    <w:right w:val="single" w:sz="4" w:space="0" w:color="auto"/>
                  </w:tcBorders>
                  <w:shd w:val="clear" w:color="auto" w:fill="FFFFFF" w:themeFill="background1"/>
                </w:tcPr>
                <w:p w14:paraId="4955230C" w14:textId="77777777" w:rsidR="00E82E36" w:rsidRPr="005D4222" w:rsidRDefault="00E82E36" w:rsidP="00F37AEF">
                  <w:pPr>
                    <w:pStyle w:val="TableText"/>
                    <w:spacing w:before="40" w:after="40"/>
                  </w:pPr>
                </w:p>
              </w:tc>
              <w:tc>
                <w:tcPr>
                  <w:tcW w:w="2430" w:type="dxa"/>
                  <w:tcBorders>
                    <w:top w:val="single" w:sz="4" w:space="0" w:color="auto"/>
                    <w:left w:val="single" w:sz="4" w:space="0" w:color="auto"/>
                    <w:bottom w:val="single" w:sz="4" w:space="0" w:color="auto"/>
                    <w:right w:val="single" w:sz="4" w:space="0" w:color="auto"/>
                  </w:tcBorders>
                  <w:shd w:val="clear" w:color="auto" w:fill="FFFFFF" w:themeFill="background1"/>
                </w:tcPr>
                <w:p w14:paraId="622E7267" w14:textId="77777777" w:rsidR="00E82E36" w:rsidRPr="005D4222" w:rsidRDefault="00E82E36" w:rsidP="00F37AEF">
                  <w:pPr>
                    <w:pStyle w:val="TableText"/>
                    <w:spacing w:before="40" w:after="40"/>
                  </w:pPr>
                  <w:r w:rsidRPr="005D4222">
                    <w:t>NumeratorByAdmin</w:t>
                  </w:r>
                </w:p>
              </w:tc>
              <w:tc>
                <w:tcPr>
                  <w:tcW w:w="2070" w:type="dxa"/>
                  <w:tcBorders>
                    <w:left w:val="single" w:sz="4" w:space="0" w:color="auto"/>
                    <w:bottom w:val="single" w:sz="6" w:space="0" w:color="auto"/>
                    <w:right w:val="single" w:sz="4" w:space="0" w:color="auto"/>
                  </w:tcBorders>
                  <w:shd w:val="clear" w:color="auto" w:fill="FFFFFF" w:themeFill="background1"/>
                </w:tcPr>
                <w:p w14:paraId="2AE7BA9A" w14:textId="77777777" w:rsidR="00E82E36" w:rsidRPr="005D4222" w:rsidRDefault="00E82E36" w:rsidP="00F37AEF">
                  <w:pPr>
                    <w:pStyle w:val="TableText"/>
                    <w:spacing w:before="40" w:after="40"/>
                    <w:rPr>
                      <w:rFonts w:eastAsia="Wingdings"/>
                    </w:rPr>
                  </w:pPr>
                  <w:r w:rsidRPr="005D4222">
                    <w:rPr>
                      <w:rFonts w:eastAsia="Wingdings"/>
                    </w:rPr>
                    <w:t>Report once</w:t>
                  </w:r>
                </w:p>
              </w:tc>
            </w:tr>
            <w:tr w:rsidR="00E82E36" w:rsidRPr="005D4222" w14:paraId="0D82FDF1" w14:textId="77777777">
              <w:tc>
                <w:tcPr>
                  <w:tcW w:w="2875" w:type="dxa"/>
                  <w:tcBorders>
                    <w:top w:val="nil"/>
                    <w:left w:val="nil"/>
                    <w:bottom w:val="nil"/>
                    <w:right w:val="single" w:sz="4" w:space="0" w:color="auto"/>
                  </w:tcBorders>
                  <w:shd w:val="clear" w:color="auto" w:fill="FFFFFF" w:themeFill="background1"/>
                </w:tcPr>
                <w:p w14:paraId="544A8EFA" w14:textId="77777777" w:rsidR="00E82E36" w:rsidRPr="005D4222" w:rsidRDefault="00E82E36" w:rsidP="00F37AEF">
                  <w:pPr>
                    <w:pStyle w:val="TableText"/>
                    <w:spacing w:before="40" w:after="40"/>
                  </w:pPr>
                </w:p>
              </w:tc>
              <w:tc>
                <w:tcPr>
                  <w:tcW w:w="2430" w:type="dxa"/>
                  <w:tcBorders>
                    <w:top w:val="single" w:sz="4" w:space="0" w:color="auto"/>
                    <w:left w:val="single" w:sz="4" w:space="0" w:color="auto"/>
                    <w:bottom w:val="single" w:sz="4" w:space="0" w:color="auto"/>
                    <w:right w:val="single" w:sz="4" w:space="0" w:color="auto"/>
                  </w:tcBorders>
                  <w:shd w:val="clear" w:color="auto" w:fill="FFFFFF" w:themeFill="background1"/>
                </w:tcPr>
                <w:p w14:paraId="4B5BFFC3" w14:textId="77777777" w:rsidR="00E82E36" w:rsidRPr="005D4222" w:rsidRDefault="00E82E36" w:rsidP="00F37AEF">
                  <w:pPr>
                    <w:pStyle w:val="TableText"/>
                    <w:spacing w:before="40" w:after="40"/>
                  </w:pPr>
                  <w:r w:rsidRPr="005D4222">
                    <w:t>NumeratorBySupplemental</w:t>
                  </w:r>
                </w:p>
              </w:tc>
              <w:tc>
                <w:tcPr>
                  <w:tcW w:w="2070" w:type="dxa"/>
                  <w:tcBorders>
                    <w:left w:val="single" w:sz="4" w:space="0" w:color="auto"/>
                    <w:bottom w:val="single" w:sz="6" w:space="0" w:color="auto"/>
                    <w:right w:val="single" w:sz="4" w:space="0" w:color="auto"/>
                  </w:tcBorders>
                  <w:shd w:val="clear" w:color="auto" w:fill="FFFFFF" w:themeFill="background1"/>
                </w:tcPr>
                <w:p w14:paraId="236FA7BF" w14:textId="77777777" w:rsidR="00E82E36" w:rsidRPr="005D4222" w:rsidRDefault="00E82E36" w:rsidP="00F37AEF">
                  <w:pPr>
                    <w:pStyle w:val="TableText"/>
                    <w:spacing w:before="40" w:after="40"/>
                    <w:rPr>
                      <w:rFonts w:eastAsia="Wingdings"/>
                    </w:rPr>
                  </w:pPr>
                  <w:r w:rsidRPr="005D4222">
                    <w:rPr>
                      <w:rFonts w:eastAsia="Wingdings"/>
                    </w:rPr>
                    <w:t>Report once</w:t>
                  </w:r>
                </w:p>
              </w:tc>
            </w:tr>
            <w:tr w:rsidR="00E82E36" w:rsidRPr="005D4222" w14:paraId="4530123C" w14:textId="77777777">
              <w:tc>
                <w:tcPr>
                  <w:tcW w:w="2875" w:type="dxa"/>
                  <w:tcBorders>
                    <w:top w:val="nil"/>
                    <w:left w:val="nil"/>
                    <w:bottom w:val="nil"/>
                    <w:right w:val="single" w:sz="4" w:space="0" w:color="auto"/>
                  </w:tcBorders>
                  <w:shd w:val="clear" w:color="auto" w:fill="FFFFFF" w:themeFill="background1"/>
                </w:tcPr>
                <w:p w14:paraId="7554B8D3" w14:textId="77777777" w:rsidR="00E82E36" w:rsidRPr="005D4222" w:rsidRDefault="00E82E36" w:rsidP="00F37AEF">
                  <w:pPr>
                    <w:pStyle w:val="TableText"/>
                    <w:spacing w:before="40" w:after="40"/>
                  </w:pPr>
                </w:p>
              </w:tc>
              <w:tc>
                <w:tcPr>
                  <w:tcW w:w="24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E437249" w14:textId="77777777" w:rsidR="00E82E36" w:rsidRPr="005D4222" w:rsidRDefault="00E82E36" w:rsidP="00F37AEF">
                  <w:pPr>
                    <w:pStyle w:val="TableText"/>
                    <w:spacing w:before="40" w:after="40"/>
                  </w:pPr>
                  <w:r w:rsidRPr="005D4222">
                    <w:t>Rate</w:t>
                  </w:r>
                </w:p>
              </w:tc>
              <w:tc>
                <w:tcPr>
                  <w:tcW w:w="2070" w:type="dxa"/>
                  <w:tcBorders>
                    <w:left w:val="single" w:sz="4" w:space="0" w:color="auto"/>
                    <w:right w:val="single" w:sz="4" w:space="0" w:color="auto"/>
                  </w:tcBorders>
                  <w:shd w:val="clear" w:color="auto" w:fill="D9D9D9" w:themeFill="background1" w:themeFillShade="D9"/>
                </w:tcPr>
                <w:p w14:paraId="0C842946" w14:textId="77777777" w:rsidR="00E82E36" w:rsidRPr="005D4222" w:rsidRDefault="00E82E36" w:rsidP="00F37AEF">
                  <w:pPr>
                    <w:pStyle w:val="TableText"/>
                    <w:spacing w:before="40" w:after="40"/>
                    <w:rPr>
                      <w:rFonts w:eastAsia="Wingdings"/>
                    </w:rPr>
                  </w:pPr>
                  <w:r w:rsidRPr="005D4222">
                    <w:rPr>
                      <w:rFonts w:eastAsia="Wingdings"/>
                    </w:rPr>
                    <w:t>(Percent)</w:t>
                  </w:r>
                </w:p>
              </w:tc>
            </w:tr>
          </w:tbl>
          <w:p w14:paraId="60385D4A" w14:textId="77777777" w:rsidR="00E82E36" w:rsidRPr="005D4222" w:rsidRDefault="00E82E36">
            <w:r w:rsidRPr="005D4222">
              <w:br w:type="page"/>
            </w:r>
          </w:p>
        </w:tc>
      </w:tr>
      <w:tr w:rsidR="00E82E36" w:rsidRPr="005D4222" w14:paraId="187FB94A"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DD78F33" w14:textId="3085D998" w:rsidR="00E82E36" w:rsidRPr="005D4222" w:rsidRDefault="00A378F7">
            <w:pPr>
              <w:pStyle w:val="ECDSMarginHead"/>
            </w:pPr>
            <w:r w:rsidRPr="005D4222">
              <w:lastRenderedPageBreak/>
              <w:t>Rules for</w:t>
            </w:r>
            <w:r w:rsidRPr="005D4222">
              <w:br/>
            </w:r>
            <w:r w:rsidR="00E82E36" w:rsidRPr="005D4222">
              <w:t>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19D501A" w14:textId="77777777" w:rsidR="00E82E36" w:rsidRPr="005D4222" w:rsidRDefault="00E82E36">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2B16AE3E" w14:textId="77777777" w:rsidR="00E82E36" w:rsidRPr="005D4222" w:rsidRDefault="00E82E36">
            <w:pPr>
              <w:pStyle w:val="ECDSBody"/>
              <w:rPr>
                <w:b/>
              </w:rPr>
            </w:pPr>
            <w:r w:rsidRPr="005D4222">
              <w:rPr>
                <w:b/>
              </w:rPr>
              <w:t>Adjusted HEDIS measures may not be used for HEDIS health plan reporting.</w:t>
            </w:r>
          </w:p>
          <w:p w14:paraId="20274E3A" w14:textId="77777777" w:rsidR="00E82E36" w:rsidRPr="005D4222" w:rsidRDefault="00E82E36">
            <w:pPr>
              <w:pStyle w:val="Adjustments"/>
              <w:rPr>
                <w:b w:val="0"/>
              </w:rPr>
            </w:pPr>
            <w:r w:rsidRPr="005D4222">
              <w:t>Adjustments</w:t>
            </w:r>
            <w:r w:rsidRPr="005D4222">
              <w:rPr>
                <w:bCs/>
              </w:rPr>
              <w:t xml:space="preserve"> a</w:t>
            </w:r>
            <w:r w:rsidRPr="005D4222">
              <w:t>llowed</w:t>
            </w:r>
          </w:p>
          <w:p w14:paraId="1EF0C869" w14:textId="2D379800" w:rsidR="00E82E36" w:rsidRPr="005D4222" w:rsidRDefault="00E82E36" w:rsidP="00E82E36">
            <w:pPr>
              <w:pStyle w:val="ProcessBullet"/>
              <w:numPr>
                <w:ilvl w:val="0"/>
                <w:numId w:val="51"/>
              </w:numPr>
              <w:tabs>
                <w:tab w:val="left" w:pos="216"/>
              </w:tabs>
              <w:ind w:left="216" w:hanging="216"/>
              <w:rPr>
                <w:color w:val="000000" w:themeColor="text1"/>
              </w:rPr>
            </w:pPr>
            <w:r w:rsidRPr="005D4222">
              <w:rPr>
                <w:i/>
              </w:rPr>
              <w:t xml:space="preserve">Product lines. </w:t>
            </w:r>
            <w:r w:rsidRPr="005D4222">
              <w:t>Organizations are not required to use product line criteria; product lines may be combined</w:t>
            </w:r>
            <w:r w:rsidR="00E8671F" w:rsidRPr="005D4222">
              <w:t>,</w:t>
            </w:r>
            <w:r w:rsidRPr="005D4222">
              <w:t xml:space="preserve"> and all (or no) product line criteria may be used.</w:t>
            </w:r>
          </w:p>
          <w:p w14:paraId="1645269C" w14:textId="77777777" w:rsidR="00E82E36" w:rsidRPr="005D4222" w:rsidRDefault="00E82E36" w:rsidP="00E82E36">
            <w:pPr>
              <w:pStyle w:val="ProcessBullet"/>
              <w:numPr>
                <w:ilvl w:val="0"/>
                <w:numId w:val="51"/>
              </w:numPr>
              <w:tabs>
                <w:tab w:val="left" w:pos="216"/>
              </w:tabs>
              <w:ind w:left="216" w:hanging="216"/>
              <w:rPr>
                <w:color w:val="000000" w:themeColor="text1"/>
                <w:sz w:val="20"/>
                <w:szCs w:val="20"/>
              </w:rPr>
            </w:pPr>
            <w:r w:rsidRPr="005D4222">
              <w:rPr>
                <w:i/>
                <w:iCs/>
              </w:rPr>
              <w:t>Attribution.</w:t>
            </w:r>
            <w:r w:rsidRPr="005D4222">
              <w:t xml:space="preserve"> Organizations are not required to use enrollment criteria.</w:t>
            </w:r>
          </w:p>
          <w:p w14:paraId="75E6E691" w14:textId="08B6FF55" w:rsidR="00E82E36" w:rsidRPr="005D4222" w:rsidRDefault="00362E76" w:rsidP="00E82E36">
            <w:pPr>
              <w:pStyle w:val="ProcessBullet"/>
              <w:numPr>
                <w:ilvl w:val="0"/>
                <w:numId w:val="51"/>
              </w:numPr>
              <w:tabs>
                <w:tab w:val="left" w:pos="216"/>
              </w:tabs>
              <w:ind w:left="216" w:hanging="216"/>
              <w:rPr>
                <w:color w:val="000000" w:themeColor="text1"/>
              </w:rPr>
            </w:pPr>
            <w:r w:rsidRPr="005D4222">
              <w:rPr>
                <w:i/>
                <w:iCs/>
              </w:rPr>
              <w:t>Benefits.</w:t>
            </w:r>
            <w:r w:rsidR="00E82E36" w:rsidRPr="005D4222">
              <w:t xml:space="preserve"> Organizations are not required to use a benefit.</w:t>
            </w:r>
          </w:p>
          <w:p w14:paraId="362835D9" w14:textId="77777777" w:rsidR="00E82E36" w:rsidRPr="005D4222" w:rsidRDefault="00E82E36" w:rsidP="00E82E36">
            <w:pPr>
              <w:pStyle w:val="ProcessBullet"/>
              <w:numPr>
                <w:ilvl w:val="0"/>
                <w:numId w:val="51"/>
              </w:numPr>
              <w:tabs>
                <w:tab w:val="left" w:pos="216"/>
              </w:tabs>
              <w:ind w:left="216" w:hanging="216"/>
              <w:rPr>
                <w:color w:val="000000" w:themeColor="text1"/>
              </w:rPr>
            </w:pPr>
            <w:r w:rsidRPr="005D4222">
              <w:rPr>
                <w:i/>
                <w:iCs/>
              </w:rPr>
              <w:t>Other.</w:t>
            </w:r>
            <w:r w:rsidRPr="005D4222">
              <w:t xml:space="preserve"> Organizations may use additional </w:t>
            </w:r>
            <w:r w:rsidRPr="005D4222">
              <w:rPr>
                <w:rFonts w:eastAsia="Arial"/>
              </w:rPr>
              <w:t xml:space="preserve">initial </w:t>
            </w:r>
            <w:r w:rsidRPr="005D4222">
              <w:t>population criteria to focus on an area of interest defined by gender, race, ethnicity, socioeconomic or sociodemographic characteristics, geographic region or another characteristic.</w:t>
            </w:r>
          </w:p>
          <w:p w14:paraId="3FA69256" w14:textId="77777777" w:rsidR="00E82E36" w:rsidRPr="005D4222" w:rsidRDefault="00E82E36" w:rsidP="00E82E36">
            <w:pPr>
              <w:pStyle w:val="ProcessBullet"/>
              <w:numPr>
                <w:ilvl w:val="0"/>
                <w:numId w:val="51"/>
              </w:numPr>
              <w:tabs>
                <w:tab w:val="left" w:pos="216"/>
              </w:tabs>
              <w:ind w:left="216" w:hanging="216"/>
              <w:rPr>
                <w:color w:val="000000" w:themeColor="text1"/>
              </w:rPr>
            </w:pPr>
            <w:r w:rsidRPr="005D4222">
              <w:rPr>
                <w:i/>
                <w:iCs/>
              </w:rPr>
              <w:t>Measurement period adjustments.</w:t>
            </w:r>
            <w:r w:rsidRPr="005D4222">
              <w:t xml:space="preserve"> Organizations may adjust the measurement period. Changes to these criteria can affect how the event will be calculated using the intake period, IESD and negative diagnosis history.</w:t>
            </w:r>
          </w:p>
          <w:p w14:paraId="7448B22C" w14:textId="2862502F" w:rsidR="00E82E36" w:rsidRPr="005D4222" w:rsidRDefault="00E82E36" w:rsidP="00E82E36">
            <w:pPr>
              <w:pStyle w:val="ProcessBullet"/>
              <w:numPr>
                <w:ilvl w:val="0"/>
                <w:numId w:val="51"/>
              </w:numPr>
              <w:tabs>
                <w:tab w:val="left" w:pos="216"/>
              </w:tabs>
              <w:ind w:left="216" w:hanging="216"/>
              <w:rPr>
                <w:color w:val="000000" w:themeColor="text1"/>
              </w:rPr>
            </w:pPr>
            <w:r w:rsidRPr="005D4222">
              <w:rPr>
                <w:i/>
                <w:iCs/>
              </w:rPr>
              <w:t>Exclusions.</w:t>
            </w:r>
            <w:r w:rsidRPr="005D4222">
              <w:t xml:space="preserve"> The </w:t>
            </w:r>
            <w:r w:rsidR="00E653C1" w:rsidRPr="005D4222">
              <w:t xml:space="preserve">hospice, deceased person, </w:t>
            </w:r>
            <w:r w:rsidRPr="005D4222">
              <w:t xml:space="preserve">palliative care, I-SNP, LTI, frailty and advanced illness exclusions are not required. </w:t>
            </w:r>
          </w:p>
          <w:p w14:paraId="23E84662" w14:textId="23D92BA0" w:rsidR="00E82E36" w:rsidRPr="005D4222" w:rsidRDefault="00E82E36" w:rsidP="00E82E36">
            <w:pPr>
              <w:pStyle w:val="ProcessBullet"/>
              <w:numPr>
                <w:ilvl w:val="0"/>
                <w:numId w:val="51"/>
              </w:numPr>
              <w:tabs>
                <w:tab w:val="left" w:pos="216"/>
              </w:tabs>
              <w:ind w:left="216" w:hanging="216"/>
              <w:rPr>
                <w:color w:val="000000" w:themeColor="text1"/>
              </w:rPr>
            </w:pPr>
            <w:r w:rsidRPr="005D4222">
              <w:rPr>
                <w:i/>
                <w:iCs/>
                <w:color w:val="000000" w:themeColor="text1"/>
              </w:rPr>
              <w:t>Telehealth.</w:t>
            </w:r>
            <w:r w:rsidRPr="005D4222">
              <w:rPr>
                <w:color w:val="000000" w:themeColor="text1"/>
              </w:rPr>
              <w:t xml:space="preserve"> Services/events that allow the use of synchronous telehealth visits, telephone visits and asynchronous telehealth (e-visits, virtual check-ins) may be stratified to identify services performed via telehealth. </w:t>
            </w:r>
            <w:r w:rsidRPr="005D4222">
              <w:t xml:space="preserve">This adjustment is not allowed for </w:t>
            </w:r>
            <w:r w:rsidR="00F45777" w:rsidRPr="005D4222">
              <w:t>events</w:t>
            </w:r>
            <w:r w:rsidRPr="005D4222">
              <w:t>, numerators and exclusions that do not allow the use of telehealth.</w:t>
            </w:r>
          </w:p>
          <w:p w14:paraId="20E0F5F2" w14:textId="77777777" w:rsidR="00E82E36" w:rsidRPr="005D4222" w:rsidRDefault="00E82E36" w:rsidP="00E82E36">
            <w:pPr>
              <w:pStyle w:val="ProcessBullet"/>
              <w:numPr>
                <w:ilvl w:val="0"/>
                <w:numId w:val="51"/>
              </w:numPr>
              <w:tabs>
                <w:tab w:val="left" w:pos="216"/>
              </w:tabs>
              <w:ind w:left="216" w:hanging="216"/>
              <w:rPr>
                <w:color w:val="000000" w:themeColor="text1"/>
              </w:rPr>
            </w:pPr>
            <w:r w:rsidRPr="005D4222">
              <w:rPr>
                <w:i/>
                <w:iCs/>
                <w:color w:val="000000" w:themeColor="text1"/>
              </w:rPr>
              <w:t>Supplemental data.</w:t>
            </w:r>
            <w:r w:rsidRPr="005D4222">
              <w:rPr>
                <w:color w:val="000000" w:themeColor="text1"/>
              </w:rPr>
              <w:t xml:space="preserve"> Supplemental data may be used to identify initial population, denominator, exclusion and numerator events.</w:t>
            </w:r>
          </w:p>
          <w:p w14:paraId="7147FE4E" w14:textId="77777777" w:rsidR="00E82E36" w:rsidRPr="005D4222" w:rsidRDefault="00E82E36">
            <w:pPr>
              <w:pStyle w:val="Adjustments"/>
              <w:rPr>
                <w:b w:val="0"/>
              </w:rPr>
            </w:pPr>
            <w:r w:rsidRPr="005D4222">
              <w:t xml:space="preserve">Adjustments </w:t>
            </w:r>
            <w:r w:rsidRPr="005D4222">
              <w:rPr>
                <w:bCs/>
              </w:rPr>
              <w:t>a</w:t>
            </w:r>
            <w:r w:rsidRPr="005D4222">
              <w:t xml:space="preserve">llowed with </w:t>
            </w:r>
            <w:r w:rsidRPr="005D4222">
              <w:rPr>
                <w:bCs/>
              </w:rPr>
              <w:t>l</w:t>
            </w:r>
            <w:r w:rsidRPr="005D4222">
              <w:t>imits</w:t>
            </w:r>
          </w:p>
          <w:p w14:paraId="71F3FBC8" w14:textId="77777777" w:rsidR="00E82E36" w:rsidRPr="005D4222" w:rsidRDefault="00E82E36" w:rsidP="00E82E36">
            <w:pPr>
              <w:pStyle w:val="ProcessBullet"/>
              <w:numPr>
                <w:ilvl w:val="0"/>
                <w:numId w:val="51"/>
              </w:numPr>
              <w:tabs>
                <w:tab w:val="left" w:pos="216"/>
              </w:tabs>
              <w:ind w:left="216" w:hanging="216"/>
              <w:rPr>
                <w:rFonts w:cs="Arial"/>
              </w:rPr>
            </w:pPr>
            <w:r w:rsidRPr="005D4222">
              <w:rPr>
                <w:i/>
                <w:iCs/>
              </w:rPr>
              <w:t>Ages.</w:t>
            </w:r>
            <w:r w:rsidRPr="005D4222">
              <w:t xml:space="preserve"> </w:t>
            </w:r>
            <w:r w:rsidRPr="005D4222">
              <w:rPr>
                <w:rFonts w:cs="Arial"/>
              </w:rPr>
              <w:t>Age determination dates may be changed (</w:t>
            </w:r>
            <w:r w:rsidRPr="005D4222">
              <w:t xml:space="preserve">e.g., select, “age as of June 30”). Changing the denominator age range is allowed between 50 and 85 years of age. </w:t>
            </w:r>
          </w:p>
          <w:p w14:paraId="380F14D4" w14:textId="77777777" w:rsidR="00E82E36" w:rsidRPr="005D4222" w:rsidRDefault="00E82E36">
            <w:pPr>
              <w:pStyle w:val="Adjustments"/>
              <w:rPr>
                <w:b w:val="0"/>
              </w:rPr>
            </w:pPr>
            <w:r w:rsidRPr="005D4222">
              <w:t xml:space="preserve">Adjustments </w:t>
            </w:r>
            <w:r w:rsidRPr="005D4222">
              <w:rPr>
                <w:bCs/>
              </w:rPr>
              <w:t>not allowed</w:t>
            </w:r>
          </w:p>
          <w:p w14:paraId="359ED585" w14:textId="77777777" w:rsidR="00E82E36" w:rsidRPr="005D4222" w:rsidRDefault="00E82E36" w:rsidP="00E82E36">
            <w:pPr>
              <w:pStyle w:val="ProcessBullet"/>
              <w:numPr>
                <w:ilvl w:val="0"/>
                <w:numId w:val="51"/>
              </w:numPr>
              <w:tabs>
                <w:tab w:val="left" w:pos="216"/>
              </w:tabs>
              <w:ind w:left="216" w:hanging="216"/>
              <w:rPr>
                <w:b/>
              </w:rPr>
            </w:pPr>
            <w:r w:rsidRPr="005D4222">
              <w:rPr>
                <w:i/>
                <w:iCs/>
              </w:rPr>
              <w:t xml:space="preserve">Initial population: </w:t>
            </w:r>
            <w:r w:rsidRPr="005D4222">
              <w:rPr>
                <w:iCs/>
              </w:rPr>
              <w:t xml:space="preserve">Event. </w:t>
            </w:r>
            <w:r w:rsidRPr="005D4222">
              <w:t xml:space="preserve">Only events or diagnoses that contain (or map to) codes in the value sets may be used to identify visits. Medication lists, value sets and logic may not be changed. </w:t>
            </w:r>
          </w:p>
          <w:p w14:paraId="29721441" w14:textId="77777777" w:rsidR="00E82E36" w:rsidRPr="005D4222" w:rsidRDefault="00E82E36" w:rsidP="00E82E36">
            <w:pPr>
              <w:pStyle w:val="ProcessBullet"/>
              <w:numPr>
                <w:ilvl w:val="0"/>
                <w:numId w:val="51"/>
              </w:numPr>
              <w:tabs>
                <w:tab w:val="left" w:pos="216"/>
              </w:tabs>
              <w:spacing w:after="80"/>
              <w:ind w:left="216" w:hanging="216"/>
              <w:rPr>
                <w:rFonts w:cs="Arial"/>
                <w:b/>
                <w:bCs/>
              </w:rPr>
            </w:pPr>
            <w:r w:rsidRPr="005D4222">
              <w:rPr>
                <w:i/>
                <w:iCs/>
              </w:rPr>
              <w:t xml:space="preserve">Numerator. </w:t>
            </w:r>
            <w:r w:rsidRPr="005D4222">
              <w:t>Medication lists, value sets and logic may not be changed.</w:t>
            </w:r>
          </w:p>
        </w:tc>
      </w:tr>
    </w:tbl>
    <w:p w14:paraId="311A5295" w14:textId="77777777" w:rsidR="00E82E36" w:rsidRPr="005D4222" w:rsidRDefault="00E82E36">
      <w:pPr>
        <w:rPr>
          <w:rFonts w:cs="Arial"/>
          <w:bCs/>
          <w:szCs w:val="26"/>
        </w:rPr>
        <w:sectPr w:rsidR="00E82E36" w:rsidRPr="005D4222" w:rsidSect="0074514A">
          <w:headerReference w:type="default" r:id="rId110"/>
          <w:footerReference w:type="default" r:id="rId111"/>
          <w:type w:val="nextColumn"/>
          <w:pgSz w:w="12240" w:h="15840" w:code="1"/>
          <w:pgMar w:top="1080" w:right="1080" w:bottom="1080" w:left="1440" w:header="720" w:footer="720" w:gutter="0"/>
          <w:cols w:space="720"/>
          <w:docGrid w:linePitch="360"/>
        </w:sectPr>
      </w:pPr>
    </w:p>
    <w:p w14:paraId="7FE398D7" w14:textId="314A8F58" w:rsidR="00E82E36" w:rsidRPr="005D4222" w:rsidRDefault="00E82E36" w:rsidP="00E82E36">
      <w:pPr>
        <w:pStyle w:val="MeasureTitle"/>
      </w:pPr>
      <w:bookmarkStart w:id="295" w:name="_Toc201813406"/>
      <w:r w:rsidRPr="005D4222">
        <w:lastRenderedPageBreak/>
        <w:t>Osteoporosis Screening in Older Women</w:t>
      </w:r>
      <w:r w:rsidR="004C0737" w:rsidRPr="005D4222">
        <w:t xml:space="preserve"> (OSW)</w:t>
      </w:r>
      <w:bookmarkEnd w:id="295"/>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4631"/>
        <w:gridCol w:w="1750"/>
        <w:gridCol w:w="1176"/>
      </w:tblGrid>
      <w:tr w:rsidR="00E82E36" w:rsidRPr="005D4222" w14:paraId="03858F9E" w14:textId="77777777">
        <w:tc>
          <w:tcPr>
            <w:tcW w:w="2157" w:type="dxa"/>
            <w:shd w:val="clear" w:color="auto" w:fill="BFBFBF" w:themeFill="background1" w:themeFillShade="BF"/>
            <w:tcMar>
              <w:top w:w="0" w:type="dxa"/>
              <w:left w:w="86" w:type="dxa"/>
              <w:bottom w:w="43" w:type="dxa"/>
              <w:right w:w="86" w:type="dxa"/>
            </w:tcMar>
            <w:hideMark/>
          </w:tcPr>
          <w:p w14:paraId="4D75ED0C" w14:textId="77777777" w:rsidR="00E82E36" w:rsidRPr="005D4222" w:rsidRDefault="00E82E36">
            <w:pPr>
              <w:pStyle w:val="ECDSMarginHead"/>
            </w:pPr>
            <w:r w:rsidRPr="005D4222">
              <w:t>Measure title</w:t>
            </w:r>
          </w:p>
        </w:tc>
        <w:tc>
          <w:tcPr>
            <w:tcW w:w="4631" w:type="dxa"/>
            <w:tcMar>
              <w:top w:w="0" w:type="dxa"/>
              <w:left w:w="86" w:type="dxa"/>
              <w:bottom w:w="43" w:type="dxa"/>
              <w:right w:w="86" w:type="dxa"/>
            </w:tcMar>
          </w:tcPr>
          <w:p w14:paraId="4013C51E" w14:textId="77777777" w:rsidR="00E82E36" w:rsidRPr="005D4222" w:rsidRDefault="00E82E36">
            <w:pPr>
              <w:pStyle w:val="ECDSBody"/>
            </w:pPr>
            <w:r w:rsidRPr="005D4222">
              <w:t>Osteoporosis Screening in Older Women</w:t>
            </w:r>
          </w:p>
        </w:tc>
        <w:tc>
          <w:tcPr>
            <w:tcW w:w="1750" w:type="dxa"/>
            <w:shd w:val="clear" w:color="auto" w:fill="BFBFBF" w:themeFill="background1" w:themeFillShade="BF"/>
            <w:tcMar>
              <w:top w:w="0" w:type="dxa"/>
              <w:left w:w="86" w:type="dxa"/>
              <w:bottom w:w="43" w:type="dxa"/>
              <w:right w:w="86" w:type="dxa"/>
            </w:tcMar>
          </w:tcPr>
          <w:p w14:paraId="517DEEFB" w14:textId="77777777" w:rsidR="00E82E36" w:rsidRPr="005D4222" w:rsidRDefault="00E82E36">
            <w:pPr>
              <w:pStyle w:val="ECDSMarginHead"/>
            </w:pPr>
            <w:r w:rsidRPr="005D4222">
              <w:t>Measure ID</w:t>
            </w:r>
          </w:p>
        </w:tc>
        <w:tc>
          <w:tcPr>
            <w:tcW w:w="1176" w:type="dxa"/>
            <w:tcMar>
              <w:top w:w="0" w:type="dxa"/>
              <w:left w:w="86" w:type="dxa"/>
              <w:bottom w:w="43" w:type="dxa"/>
              <w:right w:w="86" w:type="dxa"/>
            </w:tcMar>
          </w:tcPr>
          <w:p w14:paraId="67460047" w14:textId="77777777" w:rsidR="00E82E36" w:rsidRPr="005D4222" w:rsidRDefault="00E82E36">
            <w:pPr>
              <w:pStyle w:val="ECDSBody"/>
            </w:pPr>
            <w:r w:rsidRPr="005D4222">
              <w:t>OSW</w:t>
            </w:r>
          </w:p>
        </w:tc>
      </w:tr>
      <w:tr w:rsidR="00E82E36" w:rsidRPr="005D4222" w14:paraId="6E00706D" w14:textId="77777777">
        <w:tc>
          <w:tcPr>
            <w:tcW w:w="2157" w:type="dxa"/>
            <w:shd w:val="clear" w:color="auto" w:fill="BFBFBF" w:themeFill="background1" w:themeFillShade="BF"/>
            <w:tcMar>
              <w:top w:w="0" w:type="dxa"/>
              <w:left w:w="86" w:type="dxa"/>
              <w:bottom w:w="43" w:type="dxa"/>
              <w:right w:w="86" w:type="dxa"/>
            </w:tcMar>
            <w:hideMark/>
          </w:tcPr>
          <w:p w14:paraId="35E3627C" w14:textId="77777777" w:rsidR="00E82E36" w:rsidRPr="005D4222" w:rsidRDefault="00E82E36">
            <w:pPr>
              <w:pStyle w:val="ECDSMarginHead"/>
            </w:pPr>
            <w:r w:rsidRPr="005D4222">
              <w:t>Description</w:t>
            </w:r>
          </w:p>
        </w:tc>
        <w:tc>
          <w:tcPr>
            <w:tcW w:w="7557" w:type="dxa"/>
            <w:gridSpan w:val="3"/>
            <w:tcMar>
              <w:top w:w="0" w:type="dxa"/>
              <w:left w:w="86" w:type="dxa"/>
              <w:bottom w:w="43" w:type="dxa"/>
              <w:right w:w="86" w:type="dxa"/>
            </w:tcMar>
          </w:tcPr>
          <w:p w14:paraId="6F4610D3" w14:textId="77777777" w:rsidR="00E82E36" w:rsidRPr="005D4222" w:rsidRDefault="00E82E36">
            <w:pPr>
              <w:pStyle w:val="ECDSBody"/>
            </w:pPr>
            <w:r w:rsidRPr="005D4222">
              <w:t>The percentage of women 65–75 years of age who received osteoporosis screening.</w:t>
            </w:r>
          </w:p>
        </w:tc>
      </w:tr>
      <w:tr w:rsidR="00E82E36" w:rsidRPr="005D4222" w14:paraId="3A90F202" w14:textId="77777777">
        <w:tc>
          <w:tcPr>
            <w:tcW w:w="2157" w:type="dxa"/>
            <w:shd w:val="clear" w:color="auto" w:fill="BFBFBF" w:themeFill="background1" w:themeFillShade="BF"/>
            <w:tcMar>
              <w:top w:w="0" w:type="dxa"/>
              <w:left w:w="86" w:type="dxa"/>
              <w:bottom w:w="43" w:type="dxa"/>
              <w:right w:w="86" w:type="dxa"/>
            </w:tcMar>
          </w:tcPr>
          <w:p w14:paraId="21E5F684" w14:textId="77777777" w:rsidR="00E82E36" w:rsidRPr="005D4222" w:rsidRDefault="00E82E36">
            <w:pPr>
              <w:pStyle w:val="ECDSMarginHead"/>
            </w:pPr>
            <w:r w:rsidRPr="005D4222">
              <w:t>Measurement period</w:t>
            </w:r>
          </w:p>
        </w:tc>
        <w:tc>
          <w:tcPr>
            <w:tcW w:w="7557" w:type="dxa"/>
            <w:gridSpan w:val="3"/>
            <w:tcMar>
              <w:top w:w="0" w:type="dxa"/>
              <w:left w:w="86" w:type="dxa"/>
              <w:bottom w:w="43" w:type="dxa"/>
              <w:right w:w="86" w:type="dxa"/>
            </w:tcMar>
          </w:tcPr>
          <w:p w14:paraId="0E2EF59B" w14:textId="77777777" w:rsidR="00E82E36" w:rsidRPr="005D4222" w:rsidRDefault="00E82E36">
            <w:pPr>
              <w:pStyle w:val="ECDSBody"/>
            </w:pPr>
            <w:r w:rsidRPr="005D4222">
              <w:t>January 1–December 31.</w:t>
            </w:r>
          </w:p>
        </w:tc>
      </w:tr>
      <w:tr w:rsidR="00E82E36" w:rsidRPr="005D4222" w14:paraId="03B2BE03" w14:textId="77777777">
        <w:tc>
          <w:tcPr>
            <w:tcW w:w="2157" w:type="dxa"/>
            <w:shd w:val="clear" w:color="auto" w:fill="BFBFBF" w:themeFill="background1" w:themeFillShade="BF"/>
            <w:tcMar>
              <w:top w:w="0" w:type="dxa"/>
              <w:left w:w="86" w:type="dxa"/>
              <w:bottom w:w="43" w:type="dxa"/>
              <w:right w:w="86" w:type="dxa"/>
            </w:tcMar>
            <w:hideMark/>
          </w:tcPr>
          <w:p w14:paraId="65A10121" w14:textId="77777777" w:rsidR="00E82E36" w:rsidRPr="005D4222" w:rsidRDefault="00E82E36">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6CB536FD" w14:textId="77777777" w:rsidR="00E82E36" w:rsidRPr="005D4222" w:rsidRDefault="00E82E36">
            <w:pPr>
              <w:pStyle w:val="ECDSBody"/>
            </w:pPr>
            <w:r w:rsidRPr="005D4222">
              <w:t xml:space="preserve">Refer to the complete copyright and disclaimer information at the front of this publication. </w:t>
            </w:r>
          </w:p>
          <w:p w14:paraId="7F0B663E" w14:textId="77777777" w:rsidR="00E82E36" w:rsidRPr="005D4222" w:rsidRDefault="00E82E36">
            <w:pPr>
              <w:pStyle w:val="ECDSBody"/>
              <w:spacing w:before="80"/>
              <w:rPr>
                <w:szCs w:val="21"/>
              </w:rPr>
            </w:pPr>
            <w:r w:rsidRPr="005D4222">
              <w:rPr>
                <w:szCs w:val="21"/>
              </w:rPr>
              <w:t xml:space="preserve">NCQA website: </w:t>
            </w:r>
            <w:r w:rsidRPr="005D4222">
              <w:rPr>
                <w:szCs w:val="21"/>
                <w:u w:val="single"/>
              </w:rPr>
              <w:t>www.ncqa.org</w:t>
            </w:r>
            <w:r w:rsidRPr="005D4222">
              <w:rPr>
                <w:szCs w:val="21"/>
              </w:rPr>
              <w:t>.</w:t>
            </w:r>
          </w:p>
          <w:p w14:paraId="735E4CBC" w14:textId="77777777" w:rsidR="00E82E36" w:rsidRPr="005D4222" w:rsidRDefault="00E82E36">
            <w:pPr>
              <w:pStyle w:val="ECDSBody"/>
              <w:spacing w:before="80"/>
              <w:rPr>
                <w:sz w:val="18"/>
                <w:szCs w:val="18"/>
              </w:rPr>
            </w:pPr>
            <w:r w:rsidRPr="005D4222">
              <w:rPr>
                <w:szCs w:val="21"/>
              </w:rPr>
              <w:t>Submit policy clarification support questions via My NCQA (</w:t>
            </w:r>
            <w:r w:rsidRPr="005D4222">
              <w:rPr>
                <w:szCs w:val="21"/>
                <w:u w:val="single"/>
              </w:rPr>
              <w:t>https://my.ncqa.org</w:t>
            </w:r>
            <w:r w:rsidRPr="005D4222">
              <w:rPr>
                <w:szCs w:val="21"/>
              </w:rPr>
              <w:t>).</w:t>
            </w:r>
          </w:p>
        </w:tc>
      </w:tr>
      <w:tr w:rsidR="00E82E36" w:rsidRPr="005D4222" w14:paraId="4751C77C" w14:textId="77777777">
        <w:trPr>
          <w:trHeight w:val="655"/>
        </w:trPr>
        <w:tc>
          <w:tcPr>
            <w:tcW w:w="2157" w:type="dxa"/>
            <w:shd w:val="clear" w:color="auto" w:fill="BFBFBF" w:themeFill="background1" w:themeFillShade="BF"/>
            <w:tcMar>
              <w:top w:w="0" w:type="dxa"/>
              <w:left w:w="86" w:type="dxa"/>
              <w:bottom w:w="43" w:type="dxa"/>
              <w:right w:w="86" w:type="dxa"/>
            </w:tcMar>
            <w:hideMark/>
          </w:tcPr>
          <w:p w14:paraId="7B303A59" w14:textId="77777777" w:rsidR="00E82E36" w:rsidRPr="005D4222" w:rsidRDefault="00E82E36">
            <w:pPr>
              <w:pStyle w:val="ECDSMarginHead"/>
            </w:pPr>
            <w:r w:rsidRPr="005D4222">
              <w:t>Clinical recommendation statement/ rationale</w:t>
            </w:r>
          </w:p>
        </w:tc>
        <w:tc>
          <w:tcPr>
            <w:tcW w:w="7557" w:type="dxa"/>
            <w:gridSpan w:val="3"/>
            <w:tcMar>
              <w:top w:w="0" w:type="dxa"/>
              <w:left w:w="86" w:type="dxa"/>
              <w:bottom w:w="43" w:type="dxa"/>
              <w:right w:w="86" w:type="dxa"/>
            </w:tcMar>
          </w:tcPr>
          <w:p w14:paraId="043B708E" w14:textId="77777777" w:rsidR="00E82E36" w:rsidRPr="005D4222" w:rsidRDefault="00E82E36">
            <w:pPr>
              <w:pStyle w:val="ECDSBody"/>
            </w:pPr>
            <w:r w:rsidRPr="005D4222">
              <w:t>The U.S. Preventive Services Task Force (USPSTF) recommends screening for osteoporosis with bone measurement testing to prevent osteoporotic fractures in women 65 years and older. This is a B recommendation, meaning that the USPSTF recommends the service and there is moderate certainty for the net benefit of screening for osteoporosis.</w:t>
            </w:r>
          </w:p>
          <w:p w14:paraId="7759B3C0" w14:textId="77777777" w:rsidR="00E82E36" w:rsidRPr="005D4222" w:rsidRDefault="00E82E36">
            <w:pPr>
              <w:pStyle w:val="ECDSBody"/>
            </w:pPr>
            <w:r w:rsidRPr="005D4222">
              <w:t>The USPSTF also recommends screening for osteoporosis with bone measurement testing to prevent osteoporotic fractures in postmenopausal women younger than 65 who are at increased risk of osteoporosis, as determined by a formal clinical risk assessment tool.</w:t>
            </w:r>
          </w:p>
        </w:tc>
      </w:tr>
      <w:tr w:rsidR="00E82E36" w:rsidRPr="005D4222" w14:paraId="6BCAD158" w14:textId="77777777">
        <w:tc>
          <w:tcPr>
            <w:tcW w:w="2157" w:type="dxa"/>
            <w:shd w:val="clear" w:color="auto" w:fill="BFBFBF" w:themeFill="background1" w:themeFillShade="BF"/>
            <w:tcMar>
              <w:top w:w="0" w:type="dxa"/>
              <w:left w:w="86" w:type="dxa"/>
              <w:bottom w:w="43" w:type="dxa"/>
              <w:right w:w="86" w:type="dxa"/>
            </w:tcMar>
          </w:tcPr>
          <w:p w14:paraId="275EA7E8" w14:textId="77777777" w:rsidR="00E82E36" w:rsidRPr="005D4222" w:rsidRDefault="00E82E36">
            <w:pPr>
              <w:pStyle w:val="ECDSMarginHead"/>
            </w:pPr>
            <w:r w:rsidRPr="005D4222">
              <w:t>Citations</w:t>
            </w:r>
          </w:p>
        </w:tc>
        <w:tc>
          <w:tcPr>
            <w:tcW w:w="7557" w:type="dxa"/>
            <w:gridSpan w:val="3"/>
            <w:tcMar>
              <w:top w:w="0" w:type="dxa"/>
              <w:left w:w="86" w:type="dxa"/>
              <w:bottom w:w="43" w:type="dxa"/>
              <w:right w:w="86" w:type="dxa"/>
            </w:tcMar>
          </w:tcPr>
          <w:p w14:paraId="755C2A2C" w14:textId="77777777" w:rsidR="00E82E36" w:rsidRPr="005D4222" w:rsidRDefault="00E82E36">
            <w:pPr>
              <w:pStyle w:val="ECDSBody"/>
            </w:pPr>
            <w:r w:rsidRPr="005D4222">
              <w:t xml:space="preserve">U.S. Preventive Services Task Force (USPSTF). 2025. </w:t>
            </w:r>
            <w:r w:rsidRPr="005D4222">
              <w:rPr>
                <w:rFonts w:eastAsia="Arial"/>
                <w:i/>
                <w:szCs w:val="21"/>
              </w:rPr>
              <w:t xml:space="preserve">Final Recommendation Statement: Osteoporosis to Prevent Fractures: Screening </w:t>
            </w:r>
            <w:r w:rsidRPr="005D4222">
              <w:rPr>
                <w:rFonts w:eastAsia="Arial"/>
                <w:szCs w:val="21"/>
              </w:rPr>
              <w:t>https://www.uspreventiveservicestaskforce.org/uspstf/recommendation/osteoporosis-</w:t>
            </w:r>
            <w:r w:rsidRPr="005D4222">
              <w:rPr>
                <w:rFonts w:eastAsia="Arial"/>
                <w:bCs w:val="0"/>
                <w:szCs w:val="21"/>
              </w:rPr>
              <w:t>screening</w:t>
            </w:r>
          </w:p>
        </w:tc>
      </w:tr>
      <w:tr w:rsidR="00E82E36" w:rsidRPr="005D4222" w14:paraId="208D5D69" w14:textId="77777777">
        <w:tc>
          <w:tcPr>
            <w:tcW w:w="9714"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5ECE0471" w14:textId="77777777" w:rsidR="00E82E36" w:rsidRPr="005D4222" w:rsidRDefault="00E82E36">
            <w:pPr>
              <w:pStyle w:val="ECDSMarginHead"/>
            </w:pPr>
            <w:r w:rsidRPr="005D4222">
              <w:t>Characteristics</w:t>
            </w:r>
          </w:p>
        </w:tc>
      </w:tr>
      <w:tr w:rsidR="00E82E36" w:rsidRPr="005D4222" w14:paraId="47CD840E" w14:textId="77777777">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6A45505F" w14:textId="77777777" w:rsidR="00E82E36" w:rsidRPr="005D4222" w:rsidRDefault="00E82E36" w:rsidP="00E82E36">
            <w:pPr>
              <w:pStyle w:val="ECDSMarginSubhead"/>
              <w:spacing w:after="0"/>
            </w:pPr>
            <w:r w:rsidRPr="005D4222">
              <w:t>Scoring</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00293471" w14:textId="77777777" w:rsidR="00E82E36" w:rsidRPr="005D4222" w:rsidRDefault="00E82E36" w:rsidP="00E82E36">
            <w:pPr>
              <w:pStyle w:val="ECDSBody"/>
              <w:spacing w:after="0"/>
            </w:pPr>
            <w:r w:rsidRPr="005D4222">
              <w:t>Proportion.</w:t>
            </w:r>
          </w:p>
        </w:tc>
      </w:tr>
      <w:tr w:rsidR="00E82E36" w:rsidRPr="005D4222" w14:paraId="18E0E4B8"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324FDEFC" w14:textId="77777777" w:rsidR="00E82E36" w:rsidRPr="005D4222" w:rsidRDefault="00E82E36" w:rsidP="00E82E36">
            <w:pPr>
              <w:pStyle w:val="ECDSMarginSubhead"/>
              <w:spacing w:after="0"/>
            </w:pPr>
            <w:r w:rsidRPr="005D4222">
              <w:t>Type</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3D2A3FDD" w14:textId="77777777" w:rsidR="00E82E36" w:rsidRPr="005D4222" w:rsidRDefault="00E82E36" w:rsidP="00E82E36">
            <w:pPr>
              <w:pStyle w:val="ECDSBody"/>
              <w:spacing w:after="0"/>
            </w:pPr>
            <w:r w:rsidRPr="005D4222">
              <w:t xml:space="preserve">Process. </w:t>
            </w:r>
          </w:p>
        </w:tc>
      </w:tr>
      <w:tr w:rsidR="00E82E36" w:rsidRPr="005D4222" w14:paraId="3F4A9D2E"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06B31BBF" w14:textId="02071F7B" w:rsidR="00E82E36" w:rsidRPr="005D4222" w:rsidRDefault="00B51CDC" w:rsidP="00E82E36">
            <w:pPr>
              <w:pStyle w:val="ECDSMarginSubhead"/>
              <w:spacing w:after="0"/>
            </w:pPr>
            <w:r w:rsidRPr="005D4222">
              <w:t>Product lines</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203C2B02" w14:textId="77777777" w:rsidR="00E82E36" w:rsidRPr="005D4222" w:rsidRDefault="00E82E36" w:rsidP="00E82E36">
            <w:pPr>
              <w:pStyle w:val="ECDSBody"/>
              <w:spacing w:after="0"/>
            </w:pPr>
            <w:r w:rsidRPr="005D4222">
              <w:t>Medicare.</w:t>
            </w:r>
          </w:p>
        </w:tc>
      </w:tr>
      <w:tr w:rsidR="00E82E36" w:rsidRPr="005D4222" w14:paraId="2DD28224"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2C7CC30E" w14:textId="2CBB61B5" w:rsidR="00E82E36" w:rsidRPr="005D4222" w:rsidRDefault="00B51CDC" w:rsidP="00E82E36">
            <w:pPr>
              <w:pStyle w:val="ECDSMarginSubhead"/>
              <w:spacing w:after="0"/>
            </w:pPr>
            <w:r w:rsidRPr="005D4222">
              <w:t>Stratifications</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4953C5A7" w14:textId="77777777" w:rsidR="00E82E36" w:rsidRPr="005D4222" w:rsidRDefault="00E82E36" w:rsidP="00E82E36">
            <w:pPr>
              <w:pStyle w:val="ECDSBody"/>
              <w:spacing w:after="0"/>
            </w:pPr>
            <w:r w:rsidRPr="005D4222">
              <w:t>None.</w:t>
            </w:r>
          </w:p>
        </w:tc>
      </w:tr>
      <w:tr w:rsidR="00E82E36" w:rsidRPr="005D4222" w14:paraId="264A903B"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7FD77D2F" w14:textId="77777777" w:rsidR="00E82E36" w:rsidRPr="005D4222" w:rsidRDefault="00E82E36" w:rsidP="00E82E36">
            <w:pPr>
              <w:pStyle w:val="ECDSMarginSubhead"/>
              <w:spacing w:after="0"/>
            </w:pPr>
            <w:r w:rsidRPr="005D4222">
              <w:t>Risk adjustment</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08EA79AD" w14:textId="77777777" w:rsidR="00E82E36" w:rsidRPr="005D4222" w:rsidRDefault="00E82E36" w:rsidP="00E82E36">
            <w:pPr>
              <w:pStyle w:val="ECDSBody"/>
              <w:spacing w:after="0"/>
            </w:pPr>
            <w:r w:rsidRPr="005D4222">
              <w:t>None.</w:t>
            </w:r>
          </w:p>
        </w:tc>
      </w:tr>
      <w:tr w:rsidR="00E82E36" w:rsidRPr="005D4222" w14:paraId="716EB06E" w14:textId="77777777" w:rsidTr="00FC0829">
        <w:tc>
          <w:tcPr>
            <w:tcW w:w="2157" w:type="dxa"/>
            <w:tcBorders>
              <w:top w:val="nil"/>
              <w:left w:val="single" w:sz="4" w:space="0" w:color="auto"/>
              <w:bottom w:val="nil"/>
              <w:right w:val="single" w:sz="4" w:space="0" w:color="auto"/>
            </w:tcBorders>
            <w:tcMar>
              <w:top w:w="0" w:type="dxa"/>
              <w:left w:w="86" w:type="dxa"/>
              <w:bottom w:w="43" w:type="dxa"/>
              <w:right w:w="86" w:type="dxa"/>
            </w:tcMar>
          </w:tcPr>
          <w:p w14:paraId="158BEB9F" w14:textId="77777777" w:rsidR="00E82E36" w:rsidRPr="005D4222" w:rsidRDefault="00E82E36" w:rsidP="00E82E36">
            <w:pPr>
              <w:pStyle w:val="ECDSMarginSubhead"/>
              <w:spacing w:after="0"/>
            </w:pPr>
            <w:r w:rsidRPr="005D4222">
              <w:t>Improvement notation</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33DAF17A" w14:textId="77777777" w:rsidR="00E82E36" w:rsidRPr="005D4222" w:rsidRDefault="00E82E36" w:rsidP="00E82E36">
            <w:pPr>
              <w:pStyle w:val="ECDSBody"/>
              <w:spacing w:after="0"/>
            </w:pPr>
            <w:r w:rsidRPr="005D4222">
              <w:rPr>
                <w:iCs/>
                <w:szCs w:val="21"/>
              </w:rPr>
              <w:t>Increased score indicates improvement.</w:t>
            </w:r>
          </w:p>
        </w:tc>
      </w:tr>
      <w:tr w:rsidR="00E82E36" w:rsidRPr="005D4222" w14:paraId="7270BB50" w14:textId="77777777" w:rsidTr="00FC0829">
        <w:trPr>
          <w:trHeight w:val="633"/>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3E73675E" w14:textId="77777777" w:rsidR="00E82E36" w:rsidRPr="005D4222" w:rsidRDefault="00E82E36" w:rsidP="00E82E36">
            <w:pPr>
              <w:pStyle w:val="ECDSMarginSubhead"/>
            </w:pPr>
            <w:r w:rsidRPr="005D4222">
              <w:rPr>
                <w:bCs/>
              </w:rPr>
              <w:t>Guidance</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6C516147" w14:textId="77A44BC2" w:rsidR="00E82E36" w:rsidRPr="005D4222" w:rsidRDefault="00E82E36">
            <w:pPr>
              <w:pStyle w:val="ECDSBody"/>
            </w:pPr>
            <w:r w:rsidRPr="005D4222">
              <w:rPr>
                <w:b/>
              </w:rPr>
              <w:t>Data collection methodology:</w:t>
            </w:r>
            <w:r w:rsidRPr="005D4222">
              <w:t xml:space="preserve"> Administrative. Refer to </w:t>
            </w:r>
            <w:hyperlink w:anchor="General_Guideline_Data_Collection_Method" w:history="1">
              <w:r w:rsidRPr="005D4222">
                <w:rPr>
                  <w:rStyle w:val="Hyperlink"/>
                  <w:i/>
                  <w:iCs/>
                </w:rPr>
                <w:t>General Guideline: Data Collection Methods</w:t>
              </w:r>
            </w:hyperlink>
            <w:r w:rsidRPr="005D4222">
              <w:t xml:space="preserve"> for additional information. </w:t>
            </w:r>
          </w:p>
          <w:p w14:paraId="74BF857B" w14:textId="3CEDFC90" w:rsidR="00E82E36" w:rsidRPr="005D4222" w:rsidRDefault="00E82E36" w:rsidP="00FC0829">
            <w:pPr>
              <w:pStyle w:val="ECDSBody"/>
            </w:pPr>
            <w:r w:rsidRPr="005D4222">
              <w:rPr>
                <w:b/>
              </w:rPr>
              <w:t xml:space="preserve">Date specificity: </w:t>
            </w:r>
            <w:r w:rsidRPr="005D4222">
              <w:t>Dates must be specific enough to determine the event occurred in the period being measured.</w:t>
            </w:r>
          </w:p>
        </w:tc>
      </w:tr>
    </w:tbl>
    <w:p w14:paraId="10FEFAFB" w14:textId="77777777" w:rsidR="00FC0829" w:rsidRPr="005D4222" w:rsidRDefault="00FC0829"/>
    <w:tbl>
      <w:tblPr>
        <w:tblW w:w="9714" w:type="dxa"/>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FC0829" w:rsidRPr="005D4222" w14:paraId="26F8CB1C" w14:textId="77777777" w:rsidTr="00FC0829">
        <w:trPr>
          <w:trHeight w:val="633"/>
        </w:trPr>
        <w:tc>
          <w:tcPr>
            <w:tcW w:w="21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B26F035" w14:textId="77777777" w:rsidR="00FC0829" w:rsidRPr="005D4222" w:rsidRDefault="00FC0829" w:rsidP="00E82E36">
            <w:pPr>
              <w:pStyle w:val="ECDSMarginSubhead"/>
              <w:rPr>
                <w:bCs/>
              </w:rPr>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FD9F0D4" w14:textId="26A86CFC" w:rsidR="00FC0829" w:rsidRPr="005D4222" w:rsidRDefault="00FC0829">
            <w:pPr>
              <w:pStyle w:val="ECDSBody"/>
              <w:rPr>
                <w:b/>
              </w:rPr>
            </w:pPr>
            <w:r w:rsidRPr="005D4222">
              <w:rPr>
                <w:b/>
              </w:rPr>
              <w:t xml:space="preserve">Which services count? </w:t>
            </w:r>
            <w:r w:rsidRPr="005D4222">
              <w:t>When using claims, include all paid, suspended, pending and denied claims.</w:t>
            </w:r>
          </w:p>
        </w:tc>
      </w:tr>
      <w:tr w:rsidR="00E82E36" w:rsidRPr="005D4222" w14:paraId="639FCFCD" w14:textId="77777777" w:rsidTr="003305B1">
        <w:tc>
          <w:tcPr>
            <w:tcW w:w="2157" w:type="dxa"/>
            <w:shd w:val="clear" w:color="auto" w:fill="BFBFBF" w:themeFill="background1" w:themeFillShade="BF"/>
            <w:tcMar>
              <w:top w:w="0" w:type="dxa"/>
              <w:left w:w="86" w:type="dxa"/>
              <w:bottom w:w="43" w:type="dxa"/>
              <w:right w:w="86" w:type="dxa"/>
            </w:tcMar>
          </w:tcPr>
          <w:p w14:paraId="40A15197" w14:textId="77777777" w:rsidR="00E82E36" w:rsidRPr="005D4222" w:rsidRDefault="00E82E36">
            <w:pPr>
              <w:pStyle w:val="ECDSMarginHead"/>
            </w:pPr>
            <w:r w:rsidRPr="005D4222">
              <w:t>Initial population</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7C3EA52" w14:textId="77777777" w:rsidR="00E82E36" w:rsidRPr="005D4222" w:rsidRDefault="00E82E36">
            <w:pPr>
              <w:pStyle w:val="ECDSBody"/>
            </w:pPr>
            <w:r w:rsidRPr="005D4222">
              <w:rPr>
                <w:i/>
                <w:iCs/>
              </w:rPr>
              <w:t xml:space="preserve">Measure item count: </w:t>
            </w:r>
            <w:r w:rsidRPr="005D4222">
              <w:t>Person.</w:t>
            </w:r>
          </w:p>
          <w:p w14:paraId="020104D0" w14:textId="77777777" w:rsidR="00E82E36" w:rsidRPr="005D4222" w:rsidRDefault="00E82E36">
            <w:pPr>
              <w:pStyle w:val="ECDSBody"/>
            </w:pPr>
            <w:r w:rsidRPr="005D4222">
              <w:rPr>
                <w:i/>
                <w:iCs/>
              </w:rPr>
              <w:t>Attribution basis:</w:t>
            </w:r>
            <w:r w:rsidRPr="005D4222">
              <w:t xml:space="preserve"> Enrollment.</w:t>
            </w:r>
          </w:p>
          <w:p w14:paraId="7C225BCD" w14:textId="77777777" w:rsidR="00E82E36" w:rsidRPr="005D4222" w:rsidRDefault="00E82E36" w:rsidP="00E82E36">
            <w:pPr>
              <w:pStyle w:val="Bullet"/>
              <w:numPr>
                <w:ilvl w:val="0"/>
                <w:numId w:val="4"/>
              </w:numPr>
              <w:tabs>
                <w:tab w:val="left" w:pos="360"/>
                <w:tab w:val="left" w:pos="576"/>
              </w:tabs>
              <w:ind w:left="576" w:hanging="216"/>
            </w:pPr>
            <w:r w:rsidRPr="005D4222">
              <w:rPr>
                <w:i/>
                <w:iCs/>
              </w:rPr>
              <w:t xml:space="preserve">Benefits: </w:t>
            </w:r>
            <w:r w:rsidRPr="005D4222">
              <w:t>Medical and pharmacy.</w:t>
            </w:r>
          </w:p>
          <w:p w14:paraId="4D28C92D" w14:textId="77777777" w:rsidR="00E82E36" w:rsidRPr="005D4222" w:rsidRDefault="00E82E36" w:rsidP="00E82E36">
            <w:pPr>
              <w:pStyle w:val="Bullet"/>
              <w:numPr>
                <w:ilvl w:val="0"/>
                <w:numId w:val="4"/>
              </w:numPr>
              <w:tabs>
                <w:tab w:val="left" w:pos="360"/>
                <w:tab w:val="left" w:pos="576"/>
              </w:tabs>
              <w:ind w:left="576" w:hanging="216"/>
            </w:pPr>
            <w:r w:rsidRPr="005D4222">
              <w:rPr>
                <w:i/>
                <w:iCs/>
              </w:rPr>
              <w:t xml:space="preserve">Continuous enrollment: </w:t>
            </w:r>
            <w:r w:rsidRPr="005D4222">
              <w:t>The measurement period and the year prior to the measurement period.</w:t>
            </w:r>
          </w:p>
          <w:p w14:paraId="30BA9DF0" w14:textId="77777777" w:rsidR="00E82E36" w:rsidRPr="005D4222" w:rsidRDefault="00E82E36" w:rsidP="00E82E36">
            <w:pPr>
              <w:pStyle w:val="Bullet"/>
              <w:numPr>
                <w:ilvl w:val="0"/>
                <w:numId w:val="4"/>
              </w:numPr>
              <w:tabs>
                <w:tab w:val="left" w:pos="360"/>
                <w:tab w:val="left" w:pos="576"/>
              </w:tabs>
              <w:ind w:left="576" w:hanging="216"/>
            </w:pPr>
            <w:r w:rsidRPr="005D4222">
              <w:rPr>
                <w:i/>
                <w:iCs/>
              </w:rPr>
              <w:t xml:space="preserve">Allowable gap: </w:t>
            </w:r>
            <w:r w:rsidRPr="005D4222">
              <w:t>No more than one gap of ≤45 days during each year of the continuous enrollment period. No gaps on the last day of the measurement period.</w:t>
            </w:r>
          </w:p>
          <w:p w14:paraId="0249CAD2" w14:textId="77777777" w:rsidR="00E82E36" w:rsidRPr="005D4222" w:rsidRDefault="00E82E36">
            <w:pPr>
              <w:pStyle w:val="ECDSBody"/>
            </w:pPr>
            <w:r w:rsidRPr="005D4222">
              <w:rPr>
                <w:i/>
                <w:iCs/>
              </w:rPr>
              <w:t xml:space="preserve">Ages: </w:t>
            </w:r>
            <w:r w:rsidRPr="005D4222">
              <w:t>66–75 years of age as of the last day of the measurement period.</w:t>
            </w:r>
          </w:p>
          <w:p w14:paraId="63F68A77" w14:textId="77777777" w:rsidR="00E82E36" w:rsidRPr="005D4222" w:rsidRDefault="00E82E36">
            <w:pPr>
              <w:pStyle w:val="ECDSBody"/>
              <w:rPr>
                <w:i/>
                <w:iCs/>
              </w:rPr>
            </w:pPr>
            <w:r w:rsidRPr="005D4222">
              <w:rPr>
                <w:i/>
                <w:iCs/>
              </w:rPr>
              <w:t>Gender/sex criteria:</w:t>
            </w:r>
          </w:p>
          <w:p w14:paraId="042AEF92" w14:textId="77777777" w:rsidR="00E82E36" w:rsidRPr="005D4222" w:rsidRDefault="00E82E36" w:rsidP="00E82E36">
            <w:pPr>
              <w:pStyle w:val="Bullet"/>
              <w:numPr>
                <w:ilvl w:val="0"/>
                <w:numId w:val="4"/>
              </w:numPr>
              <w:tabs>
                <w:tab w:val="left" w:pos="360"/>
                <w:tab w:val="left" w:pos="576"/>
              </w:tabs>
              <w:ind w:left="576" w:hanging="216"/>
            </w:pPr>
            <w:r w:rsidRPr="005D4222">
              <w:t xml:space="preserve">Administrative </w:t>
            </w:r>
            <w:r w:rsidRPr="005D4222">
              <w:rPr>
                <w:iCs/>
              </w:rPr>
              <w:t>Gender of</w:t>
            </w:r>
            <w:r w:rsidRPr="005D4222">
              <w:t xml:space="preserve"> Female (AdministrativeGender code female) any time in the person’s history.</w:t>
            </w:r>
          </w:p>
          <w:p w14:paraId="7E357393" w14:textId="77777777" w:rsidR="00E82E36" w:rsidRPr="005D4222" w:rsidRDefault="00E82E36">
            <w:pPr>
              <w:pStyle w:val="ECDSBody"/>
            </w:pPr>
            <w:r w:rsidRPr="005D4222">
              <w:rPr>
                <w:i/>
                <w:iCs/>
              </w:rPr>
              <w:t>Event</w:t>
            </w:r>
            <w:r w:rsidRPr="005D4222">
              <w:t>: None.</w:t>
            </w:r>
          </w:p>
        </w:tc>
      </w:tr>
      <w:tr w:rsidR="006439AD" w:rsidRPr="005D4222" w14:paraId="23D1EED6" w14:textId="77777777" w:rsidTr="00FC0829">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4F3DFFD" w14:textId="77777777" w:rsidR="00E82E36" w:rsidRPr="005D4222" w:rsidRDefault="00E82E36">
            <w:pPr>
              <w:pStyle w:val="ECDSMarginHead"/>
            </w:pPr>
            <w:r w:rsidRPr="005D4222">
              <w:t xml:space="preserve">Denominator exclusions </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1AE4B1B2" w14:textId="77777777" w:rsidR="00E82E36" w:rsidRPr="005D4222" w:rsidRDefault="00E82E36">
            <w:pPr>
              <w:pStyle w:val="ECDSBody"/>
              <w:rPr>
                <w:rFonts w:cs="Segoe UI"/>
                <w:szCs w:val="18"/>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p w14:paraId="5281C9C3" w14:textId="77777777" w:rsidR="00E82E36" w:rsidRPr="005D4222" w:rsidRDefault="00E82E36">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58261E59" w14:textId="77777777" w:rsidR="00E82E36" w:rsidRPr="005D4222" w:rsidRDefault="00E82E36">
            <w:pPr>
              <w:pStyle w:val="ECDSBody"/>
            </w:pPr>
            <w:r w:rsidRPr="005D4222" w:rsidDel="00AA4A01">
              <w:rPr>
                <w:b/>
              </w:rPr>
              <w:t xml:space="preserve">Persons </w:t>
            </w:r>
            <w:r w:rsidRPr="005D4222">
              <w:rPr>
                <w:b/>
              </w:rPr>
              <w:t>receiving palliative care.</w:t>
            </w:r>
            <w:r w:rsidRPr="005D4222">
              <w:rPr>
                <w:b/>
              </w:rPr>
              <w:br/>
            </w:r>
            <w:r w:rsidRPr="005D4222">
              <w:t>Persons receiving palliative care (</w:t>
            </w:r>
            <w:r w:rsidRPr="005D4222">
              <w:rPr>
                <w:u w:val="single"/>
              </w:rPr>
              <w:t>Palliative Care Assessment Value Set</w:t>
            </w:r>
            <w:r w:rsidRPr="005D4222">
              <w:t xml:space="preserve">; </w:t>
            </w:r>
            <w:r w:rsidRPr="005D4222">
              <w:rPr>
                <w:u w:val="single"/>
              </w:rPr>
              <w:t>Palliative Care Encounter Value Set</w:t>
            </w:r>
            <w:r w:rsidRPr="005D4222">
              <w:t xml:space="preserve">; </w:t>
            </w:r>
            <w:r w:rsidRPr="005D4222">
              <w:rPr>
                <w:u w:val="single"/>
              </w:rPr>
              <w:t>Palliative Care Intervention Value Set</w:t>
            </w:r>
            <w:r w:rsidRPr="005D4222">
              <w:t xml:space="preserve">) or who had an encounter for palliative care (ICD-10-CM code Z51.5*) any time during the measurement period. </w:t>
            </w:r>
          </w:p>
          <w:p w14:paraId="4967145F" w14:textId="77777777" w:rsidR="00E82E36" w:rsidRPr="005D4222" w:rsidRDefault="00E82E36">
            <w:pPr>
              <w:pStyle w:val="ECDSBody"/>
              <w:rPr>
                <w:b/>
              </w:rPr>
            </w:pPr>
            <w:r w:rsidRPr="005D4222">
              <w:rPr>
                <w:b/>
              </w:rPr>
              <w:t>Persons</w:t>
            </w:r>
            <w:r w:rsidRPr="005D4222" w:rsidDel="00A12610">
              <w:rPr>
                <w:b/>
              </w:rPr>
              <w:t xml:space="preserve"> </w:t>
            </w:r>
            <w:r w:rsidRPr="005D4222">
              <w:rPr>
                <w:b/>
              </w:rPr>
              <w:t>66 years of age or older by the last day of the measurement period, with both frailty and advanced illness.</w:t>
            </w:r>
          </w:p>
          <w:p w14:paraId="12856AC3" w14:textId="77777777" w:rsidR="00E82E36" w:rsidRPr="005D4222" w:rsidRDefault="00E82E36">
            <w:pPr>
              <w:pStyle w:val="Body"/>
              <w:spacing w:before="60" w:after="60"/>
              <w:ind w:left="288" w:hanging="288"/>
              <w:rPr>
                <w:rFonts w:cs="Arial"/>
                <w:u w:val="single"/>
              </w:rPr>
            </w:pPr>
            <w:r w:rsidRPr="005D4222">
              <w:t>1.</w:t>
            </w:r>
            <w:r w:rsidRPr="005D4222">
              <w:rPr>
                <w:b/>
                <w:bCs/>
              </w:rPr>
              <w:tab/>
              <w:t>Frailty.</w:t>
            </w:r>
            <w:r w:rsidRPr="005D4222">
              <w:t xml:space="preserve"> </w:t>
            </w:r>
            <w:r w:rsidRPr="005D4222">
              <w:rPr>
                <w:rFonts w:cs="Arial"/>
              </w:rPr>
              <w:t>At least two indications of frailty (</w:t>
            </w:r>
            <w:r w:rsidRPr="005D4222">
              <w:rPr>
                <w:rFonts w:cs="Arial"/>
                <w:u w:val="single"/>
              </w:rPr>
              <w:t>Frailty Device Value Set</w:t>
            </w:r>
            <w:r w:rsidRPr="005D4222">
              <w:rPr>
                <w:rFonts w:cs="Arial"/>
              </w:rPr>
              <w:t xml:space="preserve">; </w:t>
            </w:r>
            <w:r w:rsidRPr="005D4222">
              <w:rPr>
                <w:rFonts w:cs="Arial"/>
                <w:u w:val="single"/>
              </w:rPr>
              <w:t>Frailty Diagnosis Value Set</w:t>
            </w:r>
            <w:r w:rsidRPr="005D4222">
              <w:rPr>
                <w:rFonts w:cs="Arial"/>
              </w:rPr>
              <w:t xml:space="preserve">*; </w:t>
            </w:r>
            <w:r w:rsidRPr="005D4222">
              <w:rPr>
                <w:rFonts w:cs="Arial"/>
                <w:u w:val="single"/>
              </w:rPr>
              <w:t>Frailty Encounter Value Set</w:t>
            </w:r>
            <w:r w:rsidRPr="005D4222">
              <w:rPr>
                <w:rFonts w:cs="Arial"/>
              </w:rPr>
              <w:t xml:space="preserve">; </w:t>
            </w:r>
            <w:r w:rsidRPr="005D4222">
              <w:rPr>
                <w:rFonts w:cs="Arial"/>
                <w:u w:val="single"/>
              </w:rPr>
              <w:t>Frailty Symptom Value Set</w:t>
            </w:r>
            <w:r w:rsidRPr="005D4222">
              <w:rPr>
                <w:rFonts w:cs="Arial"/>
              </w:rPr>
              <w:t>*) with different dates of service during the measurement period.</w:t>
            </w:r>
          </w:p>
          <w:p w14:paraId="235D840C" w14:textId="77777777" w:rsidR="00E82E36" w:rsidRPr="005D4222" w:rsidRDefault="00E82E36">
            <w:pPr>
              <w:pStyle w:val="Body"/>
              <w:spacing w:before="60"/>
              <w:ind w:left="288" w:hanging="288"/>
              <w:rPr>
                <w:rFonts w:cs="Arial"/>
              </w:rPr>
            </w:pPr>
            <w:r w:rsidRPr="005D4222">
              <w:t>2.</w:t>
            </w:r>
            <w:r w:rsidRPr="005D4222">
              <w:tab/>
            </w:r>
            <w:r w:rsidRPr="005D4222">
              <w:rPr>
                <w:b/>
                <w:bCs/>
              </w:rPr>
              <w:t>Advanced illness.</w:t>
            </w:r>
            <w:r w:rsidRPr="005D4222">
              <w:t xml:space="preserve"> Either</w:t>
            </w:r>
            <w:r w:rsidRPr="005D4222">
              <w:rPr>
                <w:rFonts w:cs="Arial"/>
              </w:rPr>
              <w:t xml:space="preserve"> of the following during the measurement period or the year prior to the measurement period: </w:t>
            </w:r>
          </w:p>
          <w:p w14:paraId="559F8598" w14:textId="77777777" w:rsidR="00E82E36" w:rsidRPr="005D4222" w:rsidRDefault="00E82E36" w:rsidP="00E82E36">
            <w:pPr>
              <w:pStyle w:val="ProcessDash"/>
              <w:tabs>
                <w:tab w:val="clear" w:pos="432"/>
              </w:tabs>
              <w:spacing w:after="40"/>
              <w:ind w:left="504"/>
            </w:pPr>
            <w:r w:rsidRPr="005D4222">
              <w:t>Advanced illness (</w:t>
            </w:r>
            <w:r w:rsidRPr="005D4222">
              <w:rPr>
                <w:u w:val="single"/>
              </w:rPr>
              <w:t>Advanced Illness Value Set</w:t>
            </w:r>
            <w:r w:rsidRPr="005D4222">
              <w:t>*) on at least two different dates of service.</w:t>
            </w:r>
          </w:p>
          <w:p w14:paraId="7A6585FB" w14:textId="27AA5CFC" w:rsidR="00027583" w:rsidRPr="005D4222" w:rsidRDefault="00E82E36" w:rsidP="005C49AB">
            <w:pPr>
              <w:pStyle w:val="ProcessDash"/>
              <w:tabs>
                <w:tab w:val="clear" w:pos="432"/>
              </w:tabs>
              <w:spacing w:after="80"/>
              <w:ind w:left="504"/>
              <w:rPr>
                <w:rFonts w:eastAsia="Arial,Arial,Arial,Arial,Arial,A"/>
              </w:rPr>
            </w:pPr>
            <w:r w:rsidRPr="005D4222">
              <w:t>Dispensed dementia medication (</w:t>
            </w:r>
            <w:r w:rsidRPr="005D4222">
              <w:rPr>
                <w:u w:val="single"/>
              </w:rPr>
              <w:t>Dementia Medications List</w:t>
            </w:r>
            <w:r w:rsidRPr="005D4222">
              <w:t>).</w:t>
            </w:r>
          </w:p>
        </w:tc>
      </w:tr>
    </w:tbl>
    <w:p w14:paraId="35A9137E" w14:textId="77777777" w:rsidR="00027583" w:rsidRPr="005D4222" w:rsidRDefault="00027583">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E82E36" w:rsidRPr="005D4222" w14:paraId="255583C0" w14:textId="77777777">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32E2AD1" w14:textId="77777777" w:rsidR="00E82E36" w:rsidRPr="005D4222" w:rsidRDefault="00E82E36">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788D2BA0" w14:textId="77777777" w:rsidR="00027583" w:rsidRPr="005D4222" w:rsidRDefault="00027583" w:rsidP="00027583">
            <w:pPr>
              <w:pStyle w:val="ECDSBody"/>
            </w:pPr>
            <w:r w:rsidRPr="005D4222">
              <w:rPr>
                <w:b/>
              </w:rPr>
              <w:t>Osteoporosis therapy.</w:t>
            </w:r>
            <w:r w:rsidRPr="005D4222">
              <w:rPr>
                <w:b/>
              </w:rPr>
              <w:br/>
            </w:r>
            <w:r w:rsidRPr="005D4222">
              <w:t>A claim/encounter for osteoporosis therapy (</w:t>
            </w:r>
            <w:r w:rsidRPr="005D4222">
              <w:rPr>
                <w:u w:val="single"/>
              </w:rPr>
              <w:t>Osteoporosis Medication Therapy Value Set</w:t>
            </w:r>
            <w:r w:rsidRPr="005D4222">
              <w:t xml:space="preserve">; </w:t>
            </w:r>
            <w:r w:rsidRPr="005D4222">
              <w:rPr>
                <w:u w:val="single"/>
              </w:rPr>
              <w:t>Long Acting Osteoporosis Medications Value Set</w:t>
            </w:r>
            <w:r w:rsidRPr="005D4222">
              <w:t>) any time in the person’s history through the last day of the year prior to the measurement period.</w:t>
            </w:r>
          </w:p>
          <w:p w14:paraId="2D2D86A4" w14:textId="77777777" w:rsidR="00E82E36" w:rsidRPr="005D4222" w:rsidRDefault="00E82E36">
            <w:pPr>
              <w:pStyle w:val="ECDSBody"/>
            </w:pPr>
            <w:r w:rsidRPr="005D4222">
              <w:rPr>
                <w:b/>
              </w:rPr>
              <w:t>Osteoporosis medications.</w:t>
            </w:r>
            <w:r w:rsidRPr="005D4222">
              <w:rPr>
                <w:b/>
              </w:rPr>
              <w:br/>
            </w:r>
            <w:r w:rsidRPr="005D4222">
              <w:t>Dispensed prescription to treat osteoporosis (</w:t>
            </w:r>
            <w:r w:rsidRPr="005D4222">
              <w:rPr>
                <w:u w:val="single"/>
              </w:rPr>
              <w:t>Osteoporosis Medications List</w:t>
            </w:r>
            <w:r w:rsidRPr="005D4222">
              <w:t>) any time on or between January 1 three years prior to the measurement period through the last day of the year prior to the measurement period.</w:t>
            </w:r>
          </w:p>
          <w:p w14:paraId="46931EF0" w14:textId="77777777" w:rsidR="00E82E36" w:rsidRPr="005D4222" w:rsidRDefault="00E82E36">
            <w:pPr>
              <w:pStyle w:val="ECDSBody"/>
              <w:spacing w:after="0"/>
              <w:rPr>
                <w:b/>
                <w:bCs w:val="0"/>
              </w:rPr>
            </w:pPr>
            <w:r w:rsidRPr="005D4222">
              <w:rPr>
                <w:b/>
                <w:bCs w:val="0"/>
              </w:rPr>
              <w:t>Coding Guidance</w:t>
            </w:r>
          </w:p>
          <w:p w14:paraId="1516C378" w14:textId="77777777" w:rsidR="00E82E36" w:rsidRPr="005D4222" w:rsidRDefault="00E82E36">
            <w:pPr>
              <w:pStyle w:val="ECDSBody"/>
              <w:spacing w:before="0"/>
            </w:pPr>
            <w:r w:rsidRPr="005D4222">
              <w:rPr>
                <w:rFonts w:eastAsia="Arial,Arial,Arial,Arial,Arial,A"/>
              </w:rPr>
              <w:t>*Do not include laboratory claims (claims with POS code 81).</w:t>
            </w:r>
          </w:p>
        </w:tc>
      </w:tr>
      <w:tr w:rsidR="00E82E36" w:rsidRPr="005D4222" w14:paraId="542F33AA" w14:textId="77777777">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CAC1638" w14:textId="77777777" w:rsidR="00E82E36" w:rsidRPr="005D4222" w:rsidRDefault="00E82E36">
            <w:pPr>
              <w:pStyle w:val="ECDSMarginHead"/>
            </w:pPr>
            <w:r w:rsidRPr="005D4222">
              <w:t>Denominator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0DD4865" w14:textId="77777777" w:rsidR="00E82E36" w:rsidRPr="005D4222" w:rsidRDefault="00E82E36">
            <w:pPr>
              <w:pStyle w:val="ECDSBody"/>
              <w:rPr>
                <w:color w:val="000000" w:themeColor="text1"/>
                <w:szCs w:val="21"/>
              </w:rPr>
            </w:pPr>
            <w:r w:rsidRPr="005D4222">
              <w:rPr>
                <w:rFonts w:eastAsia="Arial,Arial,Arial,Arial,Arial,A"/>
              </w:rPr>
              <w:t>The initial population minus denominator exclusions.</w:t>
            </w:r>
          </w:p>
        </w:tc>
      </w:tr>
      <w:tr w:rsidR="00E82E36" w:rsidRPr="005D4222" w14:paraId="65F27B37" w14:textId="77777777">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1DDECF5" w14:textId="77777777" w:rsidR="00E82E36" w:rsidRPr="005D4222" w:rsidRDefault="00E82E36">
            <w:pPr>
              <w:pStyle w:val="ECDSMarginHead"/>
            </w:pPr>
            <w:r w:rsidRPr="005D4222">
              <w:t>Numerator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29D83192" w14:textId="77777777" w:rsidR="00E82E36" w:rsidRPr="005D4222" w:rsidRDefault="00E82E36">
            <w:pPr>
              <w:pStyle w:val="ECDSBody"/>
            </w:pPr>
            <w:r w:rsidRPr="005D4222">
              <w:rPr>
                <w:b/>
              </w:rPr>
              <w:t>Osteoporosis screening</w:t>
            </w:r>
            <w:r w:rsidRPr="005D4222">
              <w:rPr>
                <w:b/>
              </w:rPr>
              <w:br/>
            </w:r>
            <w:r w:rsidRPr="005D4222">
              <w:t>One or more osteoporosis screening tests (</w:t>
            </w:r>
            <w:r w:rsidRPr="005D4222">
              <w:rPr>
                <w:u w:val="single"/>
              </w:rPr>
              <w:t>Osteoporosis Screening Tests Value Set</w:t>
            </w:r>
            <w:r w:rsidRPr="005D4222">
              <w:t xml:space="preserve">) on or between the person’s 65th birthday and the last day of the measurement period. </w:t>
            </w:r>
          </w:p>
        </w:tc>
      </w:tr>
      <w:tr w:rsidR="00E82E36" w:rsidRPr="005D4222" w14:paraId="2B23B8BB"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26DCA45" w14:textId="77777777" w:rsidR="00E82E36" w:rsidRPr="005D4222" w:rsidRDefault="00E82E36">
            <w:pPr>
              <w:pStyle w:val="ECDSMarginHead"/>
            </w:pPr>
            <w:r w:rsidRPr="005D4222">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8F57202" w14:textId="590C15C5" w:rsidR="00E82E36" w:rsidRPr="005D4222" w:rsidRDefault="00D81F5D" w:rsidP="00E82E36">
            <w:pPr>
              <w:pStyle w:val="ProcessBullet"/>
              <w:tabs>
                <w:tab w:val="num" w:pos="1800"/>
              </w:tabs>
              <w:spacing w:before="120"/>
            </w:pPr>
            <w:r w:rsidRPr="00D81F5D">
              <w:t>Added an administrative gender code to the initial population.</w:t>
            </w:r>
          </w:p>
        </w:tc>
      </w:tr>
      <w:tr w:rsidR="00E82E36" w:rsidRPr="005D4222" w14:paraId="73FD9FDF" w14:textId="77777777">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4729708" w14:textId="77777777" w:rsidR="00E82E36" w:rsidRPr="005D4222" w:rsidRDefault="00E82E36">
            <w:pPr>
              <w:pStyle w:val="ECDS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B18D11F" w14:textId="77777777" w:rsidR="00E82E36" w:rsidRPr="005D4222" w:rsidRDefault="00E82E36">
            <w:pPr>
              <w:pStyle w:val="ECDSBody"/>
            </w:pPr>
            <w:r w:rsidRPr="005D4222">
              <w:t>Organizations that submit HEDIS data to NCQA must provide the following data elements.</w:t>
            </w:r>
          </w:p>
          <w:p w14:paraId="521B431D" w14:textId="77777777" w:rsidR="00E82E36" w:rsidRPr="005D4222" w:rsidRDefault="00E82E36">
            <w:pPr>
              <w:pStyle w:val="Heading3"/>
              <w:spacing w:before="120"/>
            </w:pPr>
            <w:r w:rsidRPr="005D4222">
              <w:t xml:space="preserve">Table OSW-3: Data Elements for Osteoporosis Screening in Women </w:t>
            </w:r>
          </w:p>
          <w:tbl>
            <w:tblPr>
              <w:tblW w:w="731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763"/>
              <w:gridCol w:w="2363"/>
              <w:gridCol w:w="2190"/>
            </w:tblGrid>
            <w:tr w:rsidR="00E82E36" w:rsidRPr="005D4222" w14:paraId="07CF96D4" w14:textId="77777777">
              <w:tc>
                <w:tcPr>
                  <w:tcW w:w="2763"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hideMark/>
                </w:tcPr>
                <w:p w14:paraId="7AEA99DB" w14:textId="77777777" w:rsidR="00E82E36" w:rsidRPr="005D4222" w:rsidRDefault="00E82E36">
                  <w:pPr>
                    <w:pStyle w:val="TableHead"/>
                  </w:pPr>
                  <w:r w:rsidRPr="005D4222">
                    <w:t>Metric</w:t>
                  </w:r>
                </w:p>
              </w:tc>
              <w:tc>
                <w:tcPr>
                  <w:tcW w:w="2363"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hideMark/>
                </w:tcPr>
                <w:p w14:paraId="151D5D19" w14:textId="77777777" w:rsidR="00E82E36" w:rsidRPr="005D4222" w:rsidRDefault="00E82E36">
                  <w:pPr>
                    <w:pStyle w:val="TableHead"/>
                  </w:pPr>
                  <w:r w:rsidRPr="005D4222">
                    <w:t>Data Element</w:t>
                  </w:r>
                </w:p>
              </w:tc>
              <w:tc>
                <w:tcPr>
                  <w:tcW w:w="2190"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hideMark/>
                </w:tcPr>
                <w:p w14:paraId="22894959" w14:textId="77777777" w:rsidR="00E82E36" w:rsidRPr="005D4222" w:rsidRDefault="00E82E36">
                  <w:pPr>
                    <w:pStyle w:val="TableHead"/>
                  </w:pPr>
                  <w:r w:rsidRPr="005D4222">
                    <w:t>Reporting Instructions</w:t>
                  </w:r>
                </w:p>
              </w:tc>
            </w:tr>
            <w:tr w:rsidR="00E82E36" w:rsidRPr="005D4222" w14:paraId="71D7332C" w14:textId="77777777">
              <w:tc>
                <w:tcPr>
                  <w:tcW w:w="2763" w:type="dxa"/>
                  <w:tcBorders>
                    <w:top w:val="single" w:sz="4" w:space="0" w:color="000000" w:themeColor="text1"/>
                    <w:left w:val="single" w:sz="4" w:space="0" w:color="auto"/>
                    <w:bottom w:val="single" w:sz="4" w:space="0" w:color="auto"/>
                    <w:right w:val="single" w:sz="4" w:space="0" w:color="auto"/>
                  </w:tcBorders>
                  <w:hideMark/>
                </w:tcPr>
                <w:p w14:paraId="41D9FF09" w14:textId="77777777" w:rsidR="00E82E36" w:rsidRPr="005D4222" w:rsidRDefault="00E82E36">
                  <w:pPr>
                    <w:pStyle w:val="TableText"/>
                    <w:rPr>
                      <w:rFonts w:cs="Arial"/>
                      <w:szCs w:val="21"/>
                    </w:rPr>
                  </w:pPr>
                  <w:r w:rsidRPr="005D4222">
                    <w:rPr>
                      <w:rFonts w:cs="Arial"/>
                      <w:szCs w:val="21"/>
                    </w:rPr>
                    <w:t>OsteoporosisScreeningWomen</w:t>
                  </w:r>
                </w:p>
              </w:tc>
              <w:tc>
                <w:tcPr>
                  <w:tcW w:w="2363" w:type="dxa"/>
                  <w:tcBorders>
                    <w:top w:val="single" w:sz="4" w:space="0" w:color="000000" w:themeColor="text1"/>
                    <w:left w:val="single" w:sz="4" w:space="0" w:color="auto"/>
                    <w:bottom w:val="single" w:sz="4" w:space="0" w:color="auto"/>
                    <w:right w:val="single" w:sz="4" w:space="0" w:color="auto"/>
                  </w:tcBorders>
                  <w:hideMark/>
                </w:tcPr>
                <w:p w14:paraId="6319C2B3" w14:textId="77777777" w:rsidR="00E82E36" w:rsidRPr="005D4222" w:rsidRDefault="00E82E36">
                  <w:pPr>
                    <w:pStyle w:val="TableText"/>
                    <w:rPr>
                      <w:rFonts w:cs="Arial"/>
                      <w:szCs w:val="21"/>
                    </w:rPr>
                  </w:pPr>
                  <w:r w:rsidRPr="005D4222">
                    <w:rPr>
                      <w:rFonts w:cs="Arial"/>
                      <w:szCs w:val="21"/>
                    </w:rPr>
                    <w:t>Benefit</w:t>
                  </w:r>
                </w:p>
              </w:tc>
              <w:tc>
                <w:tcPr>
                  <w:tcW w:w="2190" w:type="dxa"/>
                  <w:tcBorders>
                    <w:top w:val="single" w:sz="4" w:space="0" w:color="000000" w:themeColor="text1"/>
                    <w:left w:val="single" w:sz="4" w:space="0" w:color="auto"/>
                    <w:bottom w:val="single" w:sz="6" w:space="0" w:color="auto"/>
                    <w:right w:val="single" w:sz="4" w:space="0" w:color="auto"/>
                  </w:tcBorders>
                  <w:hideMark/>
                </w:tcPr>
                <w:p w14:paraId="6E4F4356" w14:textId="77777777" w:rsidR="00E82E36" w:rsidRPr="005D4222" w:rsidRDefault="00E82E36">
                  <w:pPr>
                    <w:pStyle w:val="TableText"/>
                    <w:rPr>
                      <w:rFonts w:eastAsia="Wingdings" w:cs="Arial"/>
                      <w:szCs w:val="21"/>
                    </w:rPr>
                  </w:pPr>
                  <w:r w:rsidRPr="005D4222">
                    <w:rPr>
                      <w:rFonts w:eastAsia="Wingdings" w:cs="Arial"/>
                      <w:szCs w:val="21"/>
                    </w:rPr>
                    <w:t>Metadata</w:t>
                  </w:r>
                </w:p>
              </w:tc>
            </w:tr>
            <w:tr w:rsidR="00E82E36" w:rsidRPr="005D4222" w14:paraId="52BC5345" w14:textId="77777777">
              <w:tc>
                <w:tcPr>
                  <w:tcW w:w="2763" w:type="dxa"/>
                  <w:tcBorders>
                    <w:top w:val="single" w:sz="4" w:space="0" w:color="auto"/>
                    <w:left w:val="nil"/>
                    <w:bottom w:val="nil"/>
                    <w:right w:val="single" w:sz="4" w:space="0" w:color="auto"/>
                  </w:tcBorders>
                  <w:shd w:val="clear" w:color="auto" w:fill="FFFFFF" w:themeFill="background1"/>
                </w:tcPr>
                <w:p w14:paraId="67D325C7" w14:textId="77777777" w:rsidR="00E82E36" w:rsidRPr="005D4222" w:rsidRDefault="00E82E36">
                  <w:pPr>
                    <w:pStyle w:val="TableText"/>
                    <w:rPr>
                      <w:rFonts w:cs="Arial"/>
                      <w:szCs w:val="21"/>
                    </w:rPr>
                  </w:pPr>
                </w:p>
              </w:tc>
              <w:tc>
                <w:tcPr>
                  <w:tcW w:w="2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A5D3ACE" w14:textId="77777777" w:rsidR="00E82E36" w:rsidRPr="005D4222" w:rsidRDefault="00E82E36">
                  <w:pPr>
                    <w:pStyle w:val="TableText"/>
                    <w:rPr>
                      <w:rFonts w:cs="Arial"/>
                      <w:szCs w:val="21"/>
                    </w:rPr>
                  </w:pPr>
                  <w:r w:rsidRPr="005D4222">
                    <w:rPr>
                      <w:rFonts w:cs="Arial"/>
                      <w:szCs w:val="21"/>
                    </w:rPr>
                    <w:t>InitialPopulation</w:t>
                  </w:r>
                </w:p>
              </w:tc>
              <w:tc>
                <w:tcPr>
                  <w:tcW w:w="2190"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55A5BFCF" w14:textId="77777777" w:rsidR="00E82E36" w:rsidRPr="005D4222" w:rsidRDefault="00E82E36">
                  <w:pPr>
                    <w:pStyle w:val="TableText"/>
                    <w:rPr>
                      <w:rFonts w:eastAsia="Wingdings" w:cs="Arial"/>
                      <w:szCs w:val="21"/>
                    </w:rPr>
                  </w:pPr>
                  <w:r w:rsidRPr="005D4222">
                    <w:rPr>
                      <w:rFonts w:eastAsia="Wingdings" w:cs="Arial"/>
                      <w:szCs w:val="21"/>
                    </w:rPr>
                    <w:t>Report once</w:t>
                  </w:r>
                </w:p>
              </w:tc>
            </w:tr>
            <w:tr w:rsidR="00E82E36" w:rsidRPr="005D4222" w14:paraId="1559BDBC" w14:textId="77777777">
              <w:tc>
                <w:tcPr>
                  <w:tcW w:w="2763" w:type="dxa"/>
                  <w:tcBorders>
                    <w:top w:val="nil"/>
                    <w:left w:val="nil"/>
                    <w:bottom w:val="nil"/>
                    <w:right w:val="single" w:sz="4" w:space="0" w:color="auto"/>
                  </w:tcBorders>
                  <w:shd w:val="clear" w:color="auto" w:fill="FFFFFF" w:themeFill="background1"/>
                </w:tcPr>
                <w:p w14:paraId="1DD36D90" w14:textId="77777777" w:rsidR="00E82E36" w:rsidRPr="005D4222" w:rsidRDefault="00E82E36">
                  <w:pPr>
                    <w:pStyle w:val="TableText"/>
                    <w:rPr>
                      <w:rFonts w:cs="Arial"/>
                      <w:szCs w:val="21"/>
                    </w:rPr>
                  </w:pPr>
                </w:p>
              </w:tc>
              <w:tc>
                <w:tcPr>
                  <w:tcW w:w="2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31EEB94" w14:textId="77777777" w:rsidR="00E82E36" w:rsidRPr="005D4222" w:rsidRDefault="00E82E36">
                  <w:pPr>
                    <w:pStyle w:val="TableText"/>
                    <w:rPr>
                      <w:rFonts w:cs="Arial"/>
                    </w:rPr>
                  </w:pPr>
                  <w:r w:rsidRPr="005D4222">
                    <w:rPr>
                      <w:rFonts w:cs="Arial"/>
                    </w:rPr>
                    <w:t>Exclusions</w:t>
                  </w:r>
                </w:p>
              </w:tc>
              <w:tc>
                <w:tcPr>
                  <w:tcW w:w="2190"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6440646E" w14:textId="77777777" w:rsidR="00E82E36" w:rsidRPr="005D4222" w:rsidRDefault="00E82E36">
                  <w:pPr>
                    <w:pStyle w:val="TableText"/>
                    <w:rPr>
                      <w:rFonts w:eastAsia="Wingdings" w:cs="Arial"/>
                      <w:szCs w:val="21"/>
                    </w:rPr>
                  </w:pPr>
                  <w:r w:rsidRPr="005D4222">
                    <w:rPr>
                      <w:rFonts w:eastAsia="Wingdings" w:cs="Arial"/>
                      <w:szCs w:val="21"/>
                    </w:rPr>
                    <w:t>Report once</w:t>
                  </w:r>
                </w:p>
              </w:tc>
            </w:tr>
            <w:tr w:rsidR="00E82E36" w:rsidRPr="005D4222" w14:paraId="5D193236" w14:textId="77777777">
              <w:tc>
                <w:tcPr>
                  <w:tcW w:w="2763" w:type="dxa"/>
                  <w:tcBorders>
                    <w:top w:val="nil"/>
                    <w:left w:val="nil"/>
                    <w:bottom w:val="nil"/>
                    <w:right w:val="single" w:sz="4" w:space="0" w:color="auto"/>
                  </w:tcBorders>
                  <w:shd w:val="clear" w:color="auto" w:fill="FFFFFF" w:themeFill="background1"/>
                </w:tcPr>
                <w:p w14:paraId="2ED08CBF" w14:textId="77777777" w:rsidR="00E82E36" w:rsidRPr="005D4222" w:rsidRDefault="00E82E36">
                  <w:pPr>
                    <w:pStyle w:val="TableText"/>
                    <w:rPr>
                      <w:rFonts w:cs="Arial"/>
                      <w:szCs w:val="21"/>
                    </w:rPr>
                  </w:pPr>
                </w:p>
              </w:tc>
              <w:tc>
                <w:tcPr>
                  <w:tcW w:w="2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1B43EC0" w14:textId="77777777" w:rsidR="00E82E36" w:rsidRPr="005D4222" w:rsidRDefault="00E82E36">
                  <w:pPr>
                    <w:pStyle w:val="TableText"/>
                    <w:rPr>
                      <w:rFonts w:cs="Arial"/>
                      <w:szCs w:val="21"/>
                    </w:rPr>
                  </w:pPr>
                  <w:r w:rsidRPr="005D4222">
                    <w:rPr>
                      <w:rFonts w:cs="Arial"/>
                      <w:szCs w:val="21"/>
                    </w:rPr>
                    <w:t>Denominator</w:t>
                  </w:r>
                </w:p>
              </w:tc>
              <w:tc>
                <w:tcPr>
                  <w:tcW w:w="2190" w:type="dxa"/>
                  <w:tcBorders>
                    <w:top w:val="single" w:sz="6" w:space="0" w:color="auto"/>
                    <w:left w:val="single" w:sz="4" w:space="0" w:color="auto"/>
                    <w:bottom w:val="single" w:sz="6" w:space="0" w:color="auto"/>
                    <w:right w:val="single" w:sz="4" w:space="0" w:color="auto"/>
                  </w:tcBorders>
                  <w:shd w:val="clear" w:color="auto" w:fill="FFFFFF" w:themeFill="background1"/>
                </w:tcPr>
                <w:p w14:paraId="4AD80A8A" w14:textId="77777777" w:rsidR="00E82E36" w:rsidRPr="005D4222" w:rsidRDefault="00E82E36">
                  <w:pPr>
                    <w:pStyle w:val="TableText"/>
                    <w:rPr>
                      <w:rFonts w:eastAsia="Wingdings" w:cs="Arial"/>
                      <w:szCs w:val="21"/>
                    </w:rPr>
                  </w:pPr>
                  <w:r w:rsidRPr="005D4222">
                    <w:rPr>
                      <w:rFonts w:eastAsia="Wingdings" w:cs="Arial"/>
                      <w:szCs w:val="21"/>
                    </w:rPr>
                    <w:t>Report once</w:t>
                  </w:r>
                </w:p>
              </w:tc>
            </w:tr>
            <w:tr w:rsidR="00E82E36" w:rsidRPr="005D4222" w14:paraId="2E7F4C93" w14:textId="77777777">
              <w:tc>
                <w:tcPr>
                  <w:tcW w:w="2763" w:type="dxa"/>
                  <w:tcBorders>
                    <w:top w:val="nil"/>
                    <w:left w:val="nil"/>
                    <w:bottom w:val="nil"/>
                    <w:right w:val="single" w:sz="4" w:space="0" w:color="auto"/>
                  </w:tcBorders>
                  <w:shd w:val="clear" w:color="auto" w:fill="FFFFFF" w:themeFill="background1"/>
                </w:tcPr>
                <w:p w14:paraId="2AA838E8" w14:textId="77777777" w:rsidR="00E82E36" w:rsidRPr="005D4222" w:rsidRDefault="00E82E36">
                  <w:pPr>
                    <w:pStyle w:val="TableText"/>
                    <w:rPr>
                      <w:rFonts w:cs="Arial"/>
                      <w:szCs w:val="21"/>
                    </w:rPr>
                  </w:pPr>
                </w:p>
              </w:tc>
              <w:tc>
                <w:tcPr>
                  <w:tcW w:w="2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29BD65B" w14:textId="77777777" w:rsidR="00E82E36" w:rsidRPr="005D4222" w:rsidRDefault="00E82E36">
                  <w:pPr>
                    <w:pStyle w:val="TableText"/>
                    <w:rPr>
                      <w:rFonts w:cs="Arial"/>
                      <w:szCs w:val="21"/>
                    </w:rPr>
                  </w:pPr>
                  <w:r w:rsidRPr="005D4222">
                    <w:rPr>
                      <w:rFonts w:cs="Arial"/>
                      <w:szCs w:val="21"/>
                    </w:rPr>
                    <w:t>NumeratorByAdmin</w:t>
                  </w:r>
                </w:p>
              </w:tc>
              <w:tc>
                <w:tcPr>
                  <w:tcW w:w="2190"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7F7B0BC4" w14:textId="77777777" w:rsidR="00E82E36" w:rsidRPr="005D4222" w:rsidRDefault="00E82E36">
                  <w:pPr>
                    <w:pStyle w:val="TableText"/>
                    <w:rPr>
                      <w:rFonts w:eastAsia="Wingdings" w:cs="Arial"/>
                      <w:szCs w:val="21"/>
                    </w:rPr>
                  </w:pPr>
                  <w:r w:rsidRPr="005D4222">
                    <w:rPr>
                      <w:rFonts w:eastAsia="Wingdings" w:cs="Arial"/>
                      <w:szCs w:val="21"/>
                    </w:rPr>
                    <w:t>Report once</w:t>
                  </w:r>
                </w:p>
              </w:tc>
            </w:tr>
            <w:tr w:rsidR="00E82E36" w:rsidRPr="005D4222" w14:paraId="70104FFC" w14:textId="77777777">
              <w:tc>
                <w:tcPr>
                  <w:tcW w:w="2763" w:type="dxa"/>
                  <w:tcBorders>
                    <w:top w:val="nil"/>
                    <w:left w:val="nil"/>
                    <w:bottom w:val="nil"/>
                    <w:right w:val="single" w:sz="4" w:space="0" w:color="auto"/>
                  </w:tcBorders>
                  <w:shd w:val="clear" w:color="auto" w:fill="FFFFFF" w:themeFill="background1"/>
                </w:tcPr>
                <w:p w14:paraId="64A96C4E" w14:textId="77777777" w:rsidR="00E82E36" w:rsidRPr="005D4222" w:rsidRDefault="00E82E36">
                  <w:pPr>
                    <w:pStyle w:val="TableText"/>
                    <w:rPr>
                      <w:rFonts w:cs="Arial"/>
                      <w:szCs w:val="21"/>
                    </w:rPr>
                  </w:pPr>
                </w:p>
              </w:tc>
              <w:tc>
                <w:tcPr>
                  <w:tcW w:w="2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2ACE26C" w14:textId="77777777" w:rsidR="00E82E36" w:rsidRPr="005D4222" w:rsidRDefault="00E82E36">
                  <w:pPr>
                    <w:pStyle w:val="TableText"/>
                    <w:rPr>
                      <w:rFonts w:cs="Arial"/>
                      <w:szCs w:val="21"/>
                    </w:rPr>
                  </w:pPr>
                  <w:r w:rsidRPr="005D4222">
                    <w:rPr>
                      <w:rFonts w:cs="Arial"/>
                      <w:szCs w:val="21"/>
                    </w:rPr>
                    <w:t>NumeratorBySupplemental</w:t>
                  </w:r>
                </w:p>
              </w:tc>
              <w:tc>
                <w:tcPr>
                  <w:tcW w:w="2190"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4D772D43" w14:textId="77777777" w:rsidR="00E82E36" w:rsidRPr="005D4222" w:rsidRDefault="00E82E36">
                  <w:pPr>
                    <w:pStyle w:val="TableText"/>
                    <w:rPr>
                      <w:rFonts w:eastAsia="Wingdings" w:cs="Arial"/>
                      <w:szCs w:val="21"/>
                    </w:rPr>
                  </w:pPr>
                  <w:r w:rsidRPr="005D4222">
                    <w:rPr>
                      <w:rFonts w:eastAsia="Wingdings" w:cs="Arial"/>
                      <w:szCs w:val="21"/>
                    </w:rPr>
                    <w:t>Report once</w:t>
                  </w:r>
                </w:p>
              </w:tc>
            </w:tr>
            <w:tr w:rsidR="00E82E36" w:rsidRPr="005D4222" w14:paraId="20ED56C3" w14:textId="77777777">
              <w:tc>
                <w:tcPr>
                  <w:tcW w:w="2763" w:type="dxa"/>
                  <w:tcBorders>
                    <w:top w:val="nil"/>
                    <w:left w:val="nil"/>
                    <w:bottom w:val="nil"/>
                    <w:right w:val="single" w:sz="4" w:space="0" w:color="auto"/>
                  </w:tcBorders>
                  <w:shd w:val="clear" w:color="auto" w:fill="FFFFFF" w:themeFill="background1"/>
                </w:tcPr>
                <w:p w14:paraId="3CD95EEC" w14:textId="77777777" w:rsidR="00E82E36" w:rsidRPr="005D4222" w:rsidRDefault="00E82E36">
                  <w:pPr>
                    <w:pStyle w:val="TableText"/>
                    <w:rPr>
                      <w:rFonts w:cs="Arial"/>
                      <w:szCs w:val="21"/>
                    </w:rPr>
                  </w:pPr>
                </w:p>
              </w:tc>
              <w:tc>
                <w:tcPr>
                  <w:tcW w:w="23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A1B5E9F" w14:textId="77777777" w:rsidR="00E82E36" w:rsidRPr="005D4222" w:rsidRDefault="00E82E36">
                  <w:pPr>
                    <w:pStyle w:val="TableText"/>
                    <w:rPr>
                      <w:rFonts w:cs="Arial"/>
                      <w:szCs w:val="21"/>
                    </w:rPr>
                  </w:pPr>
                  <w:r w:rsidRPr="005D4222">
                    <w:rPr>
                      <w:rFonts w:cs="Arial"/>
                      <w:szCs w:val="21"/>
                    </w:rPr>
                    <w:t>Rate</w:t>
                  </w:r>
                </w:p>
              </w:tc>
              <w:tc>
                <w:tcPr>
                  <w:tcW w:w="2190" w:type="dxa"/>
                  <w:tcBorders>
                    <w:top w:val="single" w:sz="6" w:space="0" w:color="auto"/>
                    <w:left w:val="single" w:sz="4" w:space="0" w:color="auto"/>
                    <w:bottom w:val="single" w:sz="6" w:space="0" w:color="auto"/>
                    <w:right w:val="single" w:sz="4" w:space="0" w:color="auto"/>
                  </w:tcBorders>
                  <w:shd w:val="clear" w:color="auto" w:fill="D9D9D9" w:themeFill="background1" w:themeFillShade="D9"/>
                  <w:hideMark/>
                </w:tcPr>
                <w:p w14:paraId="0709E044" w14:textId="77777777" w:rsidR="00E82E36" w:rsidRPr="005D4222" w:rsidRDefault="00E82E36">
                  <w:pPr>
                    <w:pStyle w:val="TableText"/>
                    <w:rPr>
                      <w:rFonts w:eastAsia="Wingdings" w:cs="Arial"/>
                      <w:szCs w:val="21"/>
                    </w:rPr>
                  </w:pPr>
                  <w:r w:rsidRPr="005D4222">
                    <w:rPr>
                      <w:rFonts w:eastAsia="Wingdings" w:cs="Arial"/>
                      <w:szCs w:val="21"/>
                    </w:rPr>
                    <w:t>(Percent)</w:t>
                  </w:r>
                </w:p>
              </w:tc>
            </w:tr>
          </w:tbl>
          <w:p w14:paraId="4C264A4F" w14:textId="77777777" w:rsidR="00E82E36" w:rsidRPr="005D4222" w:rsidRDefault="00E82E36">
            <w:pPr>
              <w:pStyle w:val="ProcessDash"/>
              <w:numPr>
                <w:ilvl w:val="0"/>
                <w:numId w:val="0"/>
              </w:numPr>
              <w:rPr>
                <w:rFonts w:cs="Arial"/>
                <w:color w:val="000000" w:themeColor="text1"/>
                <w:highlight w:val="yellow"/>
              </w:rPr>
            </w:pPr>
          </w:p>
        </w:tc>
      </w:tr>
      <w:tr w:rsidR="00E82E36" w:rsidRPr="005D4222" w14:paraId="6CBD0518" w14:textId="77777777">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3EB32C8" w14:textId="77777777" w:rsidR="00E82E36" w:rsidRPr="005D4222" w:rsidRDefault="00E82E36">
            <w:pPr>
              <w:pStyle w:val="ECDSMarginHead"/>
            </w:pPr>
            <w:r w:rsidRPr="005D4222">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1081DC3" w14:textId="77777777" w:rsidR="00E82E36" w:rsidRPr="005D4222" w:rsidRDefault="00E82E36">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3F6AAC63" w14:textId="77777777" w:rsidR="00E82E36" w:rsidRPr="005D4222" w:rsidRDefault="00E82E36">
            <w:pPr>
              <w:pStyle w:val="ECDSBody"/>
              <w:rPr>
                <w:b/>
              </w:rPr>
            </w:pPr>
            <w:r w:rsidRPr="005D4222">
              <w:rPr>
                <w:b/>
              </w:rPr>
              <w:t>Adjusted HEDIS measures may not be used for HEDIS health plan reporting.</w:t>
            </w:r>
          </w:p>
          <w:p w14:paraId="7A64370A" w14:textId="77777777" w:rsidR="00E82E36" w:rsidRPr="005D4222" w:rsidRDefault="00E82E36">
            <w:pPr>
              <w:pStyle w:val="Adjustments"/>
              <w:rPr>
                <w:b w:val="0"/>
              </w:rPr>
            </w:pPr>
            <w:r w:rsidRPr="005D4222">
              <w:t>Adjustments</w:t>
            </w:r>
            <w:r w:rsidRPr="005D4222">
              <w:rPr>
                <w:bCs/>
              </w:rPr>
              <w:t xml:space="preserve"> a</w:t>
            </w:r>
            <w:r w:rsidRPr="005D4222">
              <w:t>llowed</w:t>
            </w:r>
          </w:p>
          <w:p w14:paraId="2DDC051D" w14:textId="48E10E50" w:rsidR="00027583" w:rsidRPr="005D4222" w:rsidRDefault="00E82E36" w:rsidP="00027583">
            <w:pPr>
              <w:pStyle w:val="ProcessBullet"/>
              <w:tabs>
                <w:tab w:val="num" w:pos="1800"/>
              </w:tabs>
              <w:spacing w:after="80"/>
            </w:pPr>
            <w:r w:rsidRPr="005D4222">
              <w:rPr>
                <w:i/>
                <w:iCs/>
              </w:rPr>
              <w:t>Product lines</w:t>
            </w:r>
            <w:r w:rsidRPr="005D4222">
              <w:t>. Organizations are not required to use product line criteria; product lines may be combined</w:t>
            </w:r>
            <w:r w:rsidR="00E8671F" w:rsidRPr="005D4222">
              <w:t>,</w:t>
            </w:r>
            <w:r w:rsidRPr="005D4222">
              <w:t xml:space="preserve"> and all (or no) product line criteria may be used.</w:t>
            </w:r>
          </w:p>
        </w:tc>
      </w:tr>
      <w:tr w:rsidR="00E82E36" w:rsidRPr="005D4222" w14:paraId="025A4B01" w14:textId="77777777">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A796893" w14:textId="77777777" w:rsidR="00E82E36" w:rsidRPr="005D4222" w:rsidRDefault="00E82E36">
            <w:pPr>
              <w:pStyle w:val="ECDSMarginHead"/>
            </w:pPr>
            <w:r w:rsidRPr="005D4222">
              <w:lastRenderedPageBreak/>
              <w:t xml:space="preserve"> </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DF9A7E9" w14:textId="77777777" w:rsidR="00027583" w:rsidRPr="005D4222" w:rsidRDefault="00027583" w:rsidP="00027583">
            <w:pPr>
              <w:pStyle w:val="ProcessBullet"/>
              <w:tabs>
                <w:tab w:val="num" w:pos="1800"/>
              </w:tabs>
              <w:rPr>
                <w:b/>
              </w:rPr>
            </w:pPr>
            <w:r w:rsidRPr="005D4222">
              <w:rPr>
                <w:rFonts w:eastAsia="Arial"/>
                <w:i/>
                <w:iCs/>
              </w:rPr>
              <w:t>Attribution</w:t>
            </w:r>
            <w:r w:rsidRPr="005D4222">
              <w:rPr>
                <w:rFonts w:eastAsia="Arial"/>
              </w:rPr>
              <w:t>. Organizations are not required to use enrollment criteria.</w:t>
            </w:r>
          </w:p>
          <w:p w14:paraId="1DAB88BD" w14:textId="77777777" w:rsidR="00027583" w:rsidRPr="005D4222" w:rsidRDefault="00027583" w:rsidP="00027583">
            <w:pPr>
              <w:pStyle w:val="ProcessBullet"/>
              <w:spacing w:after="80"/>
            </w:pPr>
            <w:r w:rsidRPr="005D4222">
              <w:rPr>
                <w:rFonts w:eastAsia="Arial"/>
                <w:i/>
                <w:iCs/>
              </w:rPr>
              <w:t>Benefits</w:t>
            </w:r>
            <w:r w:rsidRPr="005D4222">
              <w:rPr>
                <w:b/>
              </w:rPr>
              <w:t xml:space="preserve">. </w:t>
            </w:r>
            <w:r w:rsidRPr="005D4222">
              <w:rPr>
                <w:rFonts w:eastAsia="Arial"/>
              </w:rPr>
              <w:t xml:space="preserve">Organizations are not required to use a benefit. </w:t>
            </w:r>
          </w:p>
          <w:p w14:paraId="0EAD96D0" w14:textId="77777777" w:rsidR="00E82E36" w:rsidRPr="005D4222" w:rsidRDefault="00E82E36">
            <w:pPr>
              <w:pStyle w:val="ProcessBullet"/>
              <w:rPr>
                <w:b/>
              </w:rPr>
            </w:pPr>
            <w:r w:rsidRPr="005D4222">
              <w:rPr>
                <w:rFonts w:eastAsia="Arial"/>
                <w:i/>
                <w:iCs/>
              </w:rPr>
              <w:t>Other.</w:t>
            </w:r>
            <w:r w:rsidRPr="005D4222">
              <w:rPr>
                <w:b/>
              </w:rPr>
              <w:t xml:space="preserve"> </w:t>
            </w:r>
            <w:r w:rsidRPr="005D4222">
              <w:rPr>
                <w:rFonts w:eastAsia="Arial"/>
              </w:rPr>
              <w:t>Organizations may use additional initial population criteria to focus on an area of interest defined by gender, race, ethnicity, socioeconomic or sociodemographic characteristics, geographic region or another characteristic.</w:t>
            </w:r>
          </w:p>
          <w:p w14:paraId="347F6103" w14:textId="22CFBE08" w:rsidR="00E82E36" w:rsidRPr="005D4222" w:rsidRDefault="00E82E36" w:rsidP="00E82E36">
            <w:pPr>
              <w:pStyle w:val="ProcessBullet"/>
              <w:tabs>
                <w:tab w:val="num" w:pos="1800"/>
              </w:tabs>
              <w:spacing w:after="80"/>
            </w:pPr>
            <w:r w:rsidRPr="005D4222">
              <w:rPr>
                <w:bCs/>
                <w:i/>
                <w:iCs/>
              </w:rPr>
              <w:t>Exclusions</w:t>
            </w:r>
            <w:r w:rsidRPr="005D4222">
              <w:rPr>
                <w:bCs/>
              </w:rPr>
              <w:t xml:space="preserve">. </w:t>
            </w:r>
            <w:r w:rsidR="00FF51AE" w:rsidRPr="005D4222">
              <w:rPr>
                <w:bCs/>
              </w:rPr>
              <w:t>The h</w:t>
            </w:r>
            <w:r w:rsidRPr="005D4222">
              <w:rPr>
                <w:bCs/>
              </w:rPr>
              <w:t xml:space="preserve">ospice, deceased persons, palliative care, frailty and advanced illness exclusions are not required. </w:t>
            </w:r>
          </w:p>
          <w:p w14:paraId="15B97374" w14:textId="1132955C" w:rsidR="00E82E36" w:rsidRPr="005D4222" w:rsidRDefault="00E82E36" w:rsidP="00E82E36">
            <w:pPr>
              <w:pStyle w:val="ProcessBullet"/>
              <w:tabs>
                <w:tab w:val="num" w:pos="1800"/>
              </w:tabs>
            </w:pPr>
            <w:r w:rsidRPr="005D4222">
              <w:rPr>
                <w:i/>
                <w:iCs/>
              </w:rPr>
              <w:t xml:space="preserve">Telehealth. </w:t>
            </w:r>
            <w:r w:rsidRPr="005D4222">
              <w:t xml:space="preserve">Services/events that allow the use of synchronous telehealth visits, telephone visits and asynchronous telehealth (e-visits, virtual check-ins) may be stratified to identify services performed via telehealth. This adjustment is not allowed for </w:t>
            </w:r>
            <w:r w:rsidR="00F45777" w:rsidRPr="005D4222">
              <w:t>events</w:t>
            </w:r>
            <w:r w:rsidRPr="005D4222">
              <w:t>, numerators and exclusions that do not allow the use of telehealth.</w:t>
            </w:r>
          </w:p>
          <w:p w14:paraId="068EE7EF" w14:textId="77777777" w:rsidR="00E82E36" w:rsidRPr="005D4222" w:rsidRDefault="00E82E36" w:rsidP="00E82E36">
            <w:pPr>
              <w:pStyle w:val="ProcessBullet"/>
              <w:tabs>
                <w:tab w:val="num" w:pos="1800"/>
              </w:tabs>
            </w:pPr>
            <w:r w:rsidRPr="005D4222">
              <w:rPr>
                <w:i/>
                <w:iCs/>
              </w:rPr>
              <w:t>Supplemental data.</w:t>
            </w:r>
            <w:r w:rsidRPr="005D4222">
              <w:t xml:space="preserve"> Supplemental data may be used to identify initial population, denominator, exclusion and numerator events.</w:t>
            </w:r>
          </w:p>
          <w:p w14:paraId="3364778B" w14:textId="77777777" w:rsidR="00E82E36" w:rsidRPr="005D4222" w:rsidRDefault="00E82E36">
            <w:pPr>
              <w:pStyle w:val="Adjustments"/>
            </w:pPr>
            <w:r w:rsidRPr="005D4222">
              <w:t>Adjustments allowed with limits</w:t>
            </w:r>
          </w:p>
          <w:p w14:paraId="4390494E" w14:textId="23A63A86" w:rsidR="00E82E36" w:rsidRPr="005D4222" w:rsidRDefault="00E82E36" w:rsidP="00590EDA">
            <w:pPr>
              <w:pStyle w:val="ProcessBullet"/>
              <w:tabs>
                <w:tab w:val="num" w:pos="1800"/>
              </w:tabs>
            </w:pPr>
            <w:r w:rsidRPr="005D4222">
              <w:rPr>
                <w:i/>
                <w:iCs/>
              </w:rPr>
              <w:t>Ages</w:t>
            </w:r>
            <w:r w:rsidRPr="005D4222">
              <w:t>. The age determination dates may be changed (e.g., select, “age as of June 30”). The denominator age may be changed if the range is within the specified age range (66–75 years).</w:t>
            </w:r>
          </w:p>
          <w:p w14:paraId="11590669" w14:textId="77777777" w:rsidR="00E82E36" w:rsidRPr="005D4222" w:rsidRDefault="00E82E36">
            <w:pPr>
              <w:pStyle w:val="Adjustments"/>
            </w:pPr>
            <w:r w:rsidRPr="005D4222">
              <w:t>Adjustments not allowed</w:t>
            </w:r>
          </w:p>
          <w:p w14:paraId="5492ED91" w14:textId="23B0B7C8" w:rsidR="00590EDA" w:rsidRPr="005D4222" w:rsidRDefault="00590EDA" w:rsidP="00E82E36">
            <w:pPr>
              <w:pStyle w:val="ProcessBullet"/>
              <w:tabs>
                <w:tab w:val="num" w:pos="1800"/>
              </w:tabs>
              <w:spacing w:after="80"/>
              <w:rPr>
                <w:b/>
                <w:i/>
              </w:rPr>
            </w:pPr>
            <w:r w:rsidRPr="005D4222">
              <w:rPr>
                <w:i/>
                <w:iCs/>
              </w:rPr>
              <w:t xml:space="preserve">Exclusions. </w:t>
            </w:r>
            <w:r w:rsidRPr="005D4222">
              <w:t>The osteoporosis therapy and osteoporosis prescription exclusions must be applied. Value sets, medication lists and logic may not be changed.</w:t>
            </w:r>
          </w:p>
          <w:p w14:paraId="1F57B227" w14:textId="3B1FF8A7" w:rsidR="00E82E36" w:rsidRPr="005D4222" w:rsidRDefault="00E82E36" w:rsidP="00E82E36">
            <w:pPr>
              <w:pStyle w:val="ProcessBullet"/>
              <w:tabs>
                <w:tab w:val="num" w:pos="1800"/>
              </w:tabs>
              <w:spacing w:after="80"/>
              <w:rPr>
                <w:b/>
                <w:i/>
              </w:rPr>
            </w:pPr>
            <w:r w:rsidRPr="005D4222">
              <w:rPr>
                <w:i/>
                <w:iCs/>
              </w:rPr>
              <w:t>Numerator</w:t>
            </w:r>
            <w:r w:rsidRPr="005D4222">
              <w:t>. Value sets and logic may not be changed.</w:t>
            </w:r>
          </w:p>
        </w:tc>
      </w:tr>
    </w:tbl>
    <w:p w14:paraId="19AD48E4" w14:textId="77777777" w:rsidR="00027583" w:rsidRPr="005D4222" w:rsidRDefault="00027583" w:rsidP="00E82E36">
      <w:pPr>
        <w:pStyle w:val="ECDSBody"/>
        <w:sectPr w:rsidR="00027583" w:rsidRPr="005D4222" w:rsidSect="0074514A">
          <w:headerReference w:type="default" r:id="rId112"/>
          <w:type w:val="nextColumn"/>
          <w:pgSz w:w="12240" w:h="15840" w:code="1"/>
          <w:pgMar w:top="1080" w:right="1080" w:bottom="1080" w:left="1440" w:header="720" w:footer="720" w:gutter="0"/>
          <w:cols w:space="720"/>
          <w:docGrid w:linePitch="360"/>
        </w:sectPr>
      </w:pPr>
    </w:p>
    <w:p w14:paraId="45C432E3" w14:textId="77777777" w:rsidR="00027583" w:rsidRPr="005D4222" w:rsidRDefault="00027583" w:rsidP="00966DCB">
      <w:pPr>
        <w:pStyle w:val="BreakPage2"/>
        <w:rPr>
          <w:i w:val="0"/>
          <w:iCs w:val="0"/>
        </w:rPr>
        <w:sectPr w:rsidR="00027583" w:rsidRPr="005D4222" w:rsidSect="0074514A">
          <w:headerReference w:type="default" r:id="rId113"/>
          <w:footerReference w:type="default" r:id="rId114"/>
          <w:type w:val="nextColumn"/>
          <w:pgSz w:w="12240" w:h="15840" w:code="1"/>
          <w:pgMar w:top="1080" w:right="1080" w:bottom="1080" w:left="1440" w:header="720" w:footer="720" w:gutter="0"/>
          <w:cols w:space="720"/>
          <w:docGrid w:linePitch="360"/>
        </w:sectPr>
      </w:pPr>
      <w:bookmarkStart w:id="296" w:name="_Toc201813407"/>
      <w:r w:rsidRPr="005D4222">
        <w:lastRenderedPageBreak/>
        <w:t>Behavioral Health</w:t>
      </w:r>
      <w:bookmarkEnd w:id="296"/>
    </w:p>
    <w:p w14:paraId="1F544E22" w14:textId="11C45F16" w:rsidR="00027583" w:rsidRPr="005D4222" w:rsidRDefault="00027583" w:rsidP="00027583">
      <w:pPr>
        <w:pStyle w:val="MeasureTitle"/>
      </w:pPr>
      <w:bookmarkStart w:id="297" w:name="_Toc201813408"/>
      <w:r w:rsidRPr="005D4222">
        <w:lastRenderedPageBreak/>
        <w:t>Diagnosed Mental Health Disorders</w:t>
      </w:r>
      <w:r w:rsidR="00C0602D" w:rsidRPr="005D4222">
        <w:t xml:space="preserve"> (DMH)</w:t>
      </w:r>
      <w:bookmarkEnd w:id="297"/>
    </w:p>
    <w:tbl>
      <w:tblPr>
        <w:tblW w:w="5002"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4985"/>
        <w:gridCol w:w="1406"/>
        <w:gridCol w:w="1170"/>
      </w:tblGrid>
      <w:tr w:rsidR="008A5A0F" w:rsidRPr="005D4222" w14:paraId="06D7E05A" w14:textId="77777777" w:rsidTr="00C0602D">
        <w:tc>
          <w:tcPr>
            <w:tcW w:w="2157" w:type="dxa"/>
            <w:shd w:val="clear" w:color="auto" w:fill="BFBFBF" w:themeFill="background1" w:themeFillShade="BF"/>
            <w:tcMar>
              <w:top w:w="0" w:type="dxa"/>
              <w:left w:w="86" w:type="dxa"/>
              <w:bottom w:w="43" w:type="dxa"/>
              <w:right w:w="86" w:type="dxa"/>
            </w:tcMar>
            <w:hideMark/>
          </w:tcPr>
          <w:p w14:paraId="34ABC3F2" w14:textId="77777777" w:rsidR="008A5A0F" w:rsidRPr="005D4222" w:rsidRDefault="008A5A0F" w:rsidP="00A53E8C">
            <w:pPr>
              <w:pStyle w:val="ECDSMarginHead"/>
            </w:pPr>
            <w:r w:rsidRPr="005D4222">
              <w:t>Measure title</w:t>
            </w:r>
          </w:p>
        </w:tc>
        <w:tc>
          <w:tcPr>
            <w:tcW w:w="4985" w:type="dxa"/>
            <w:tcMar>
              <w:top w:w="0" w:type="dxa"/>
              <w:left w:w="86" w:type="dxa"/>
              <w:bottom w:w="43" w:type="dxa"/>
              <w:right w:w="86" w:type="dxa"/>
            </w:tcMar>
          </w:tcPr>
          <w:p w14:paraId="3C88D908" w14:textId="77777777" w:rsidR="008A5A0F" w:rsidRPr="005D4222" w:rsidRDefault="008A5A0F" w:rsidP="00A53E8C">
            <w:pPr>
              <w:pStyle w:val="ECDSBody"/>
            </w:pPr>
            <w:r w:rsidRPr="005D4222">
              <w:t>Diagnosed Mental Health Disorders</w:t>
            </w:r>
          </w:p>
        </w:tc>
        <w:tc>
          <w:tcPr>
            <w:tcW w:w="1406" w:type="dxa"/>
            <w:shd w:val="clear" w:color="auto" w:fill="BFBFBF" w:themeFill="background1" w:themeFillShade="BF"/>
            <w:tcMar>
              <w:top w:w="0" w:type="dxa"/>
              <w:left w:w="86" w:type="dxa"/>
              <w:bottom w:w="43" w:type="dxa"/>
              <w:right w:w="86" w:type="dxa"/>
            </w:tcMar>
          </w:tcPr>
          <w:p w14:paraId="68FAD1A2" w14:textId="77777777" w:rsidR="008A5A0F" w:rsidRPr="005D4222" w:rsidRDefault="008A5A0F" w:rsidP="00A53E8C">
            <w:pPr>
              <w:pStyle w:val="ECDSMarginHead"/>
            </w:pPr>
            <w:r w:rsidRPr="005D4222">
              <w:t>Measure ID</w:t>
            </w:r>
          </w:p>
        </w:tc>
        <w:tc>
          <w:tcPr>
            <w:tcW w:w="1170" w:type="dxa"/>
            <w:tcMar>
              <w:top w:w="0" w:type="dxa"/>
              <w:left w:w="86" w:type="dxa"/>
              <w:bottom w:w="43" w:type="dxa"/>
              <w:right w:w="86" w:type="dxa"/>
            </w:tcMar>
          </w:tcPr>
          <w:p w14:paraId="794929DC" w14:textId="77777777" w:rsidR="008A5A0F" w:rsidRPr="005D4222" w:rsidRDefault="008A5A0F" w:rsidP="00A53E8C">
            <w:pPr>
              <w:pStyle w:val="ECDSBody"/>
            </w:pPr>
            <w:r w:rsidRPr="005D4222">
              <w:t>DMH</w:t>
            </w:r>
          </w:p>
        </w:tc>
      </w:tr>
      <w:tr w:rsidR="00C0602D" w:rsidRPr="005D4222" w14:paraId="00F63EF5" w14:textId="77777777" w:rsidTr="00C0602D">
        <w:tc>
          <w:tcPr>
            <w:tcW w:w="2157" w:type="dxa"/>
            <w:shd w:val="clear" w:color="auto" w:fill="BFBFBF" w:themeFill="background1" w:themeFillShade="BF"/>
            <w:tcMar>
              <w:top w:w="0" w:type="dxa"/>
              <w:left w:w="86" w:type="dxa"/>
              <w:bottom w:w="43" w:type="dxa"/>
              <w:right w:w="86" w:type="dxa"/>
            </w:tcMar>
            <w:hideMark/>
          </w:tcPr>
          <w:p w14:paraId="64D850A0" w14:textId="77777777" w:rsidR="00C0602D" w:rsidRPr="005D4222" w:rsidRDefault="00C0602D" w:rsidP="00A53E8C">
            <w:pPr>
              <w:pStyle w:val="ECDSMarginHead"/>
            </w:pPr>
            <w:r w:rsidRPr="005D4222">
              <w:t>Description</w:t>
            </w:r>
          </w:p>
        </w:tc>
        <w:tc>
          <w:tcPr>
            <w:tcW w:w="7561" w:type="dxa"/>
            <w:gridSpan w:val="3"/>
            <w:tcMar>
              <w:top w:w="0" w:type="dxa"/>
              <w:left w:w="86" w:type="dxa"/>
              <w:bottom w:w="43" w:type="dxa"/>
              <w:right w:w="86" w:type="dxa"/>
            </w:tcMar>
          </w:tcPr>
          <w:p w14:paraId="5999EBC1" w14:textId="77777777" w:rsidR="00C0602D" w:rsidRPr="005D4222" w:rsidRDefault="00C0602D" w:rsidP="00A53E8C">
            <w:pPr>
              <w:pStyle w:val="ECDSBody"/>
            </w:pPr>
            <w:r w:rsidRPr="005D4222">
              <w:t>The percentage of persons 1 year of age and older who were diagnosed with a mental health disorder during the measurement period.</w:t>
            </w:r>
          </w:p>
        </w:tc>
      </w:tr>
      <w:tr w:rsidR="00C0602D" w:rsidRPr="005D4222" w14:paraId="0567563B" w14:textId="77777777" w:rsidTr="00C0602D">
        <w:tc>
          <w:tcPr>
            <w:tcW w:w="2157" w:type="dxa"/>
            <w:shd w:val="clear" w:color="auto" w:fill="BFBFBF" w:themeFill="background1" w:themeFillShade="BF"/>
            <w:tcMar>
              <w:top w:w="0" w:type="dxa"/>
              <w:left w:w="86" w:type="dxa"/>
              <w:bottom w:w="43" w:type="dxa"/>
              <w:right w:w="86" w:type="dxa"/>
            </w:tcMar>
          </w:tcPr>
          <w:p w14:paraId="01D9E971" w14:textId="77777777" w:rsidR="00C0602D" w:rsidRPr="005D4222" w:rsidRDefault="00C0602D" w:rsidP="00A53E8C">
            <w:pPr>
              <w:pStyle w:val="ECDSMarginHead"/>
            </w:pPr>
            <w:r w:rsidRPr="005D4222">
              <w:t>Measurement period</w:t>
            </w:r>
          </w:p>
        </w:tc>
        <w:tc>
          <w:tcPr>
            <w:tcW w:w="7561" w:type="dxa"/>
            <w:gridSpan w:val="3"/>
            <w:tcMar>
              <w:top w:w="0" w:type="dxa"/>
              <w:left w:w="86" w:type="dxa"/>
              <w:bottom w:w="43" w:type="dxa"/>
              <w:right w:w="86" w:type="dxa"/>
            </w:tcMar>
          </w:tcPr>
          <w:p w14:paraId="1FDD3C84" w14:textId="77777777" w:rsidR="00C0602D" w:rsidRPr="005D4222" w:rsidRDefault="00C0602D" w:rsidP="00A53E8C">
            <w:pPr>
              <w:pStyle w:val="ECDSBody"/>
            </w:pPr>
            <w:r w:rsidRPr="005D4222">
              <w:t>January 1–December 31.</w:t>
            </w:r>
          </w:p>
        </w:tc>
      </w:tr>
      <w:tr w:rsidR="00C0602D" w:rsidRPr="005D4222" w14:paraId="621100A2" w14:textId="77777777" w:rsidTr="00C0602D">
        <w:tc>
          <w:tcPr>
            <w:tcW w:w="2157" w:type="dxa"/>
            <w:shd w:val="clear" w:color="auto" w:fill="BFBFBF" w:themeFill="background1" w:themeFillShade="BF"/>
            <w:tcMar>
              <w:top w:w="0" w:type="dxa"/>
              <w:left w:w="86" w:type="dxa"/>
              <w:bottom w:w="43" w:type="dxa"/>
              <w:right w:w="86" w:type="dxa"/>
            </w:tcMar>
            <w:hideMark/>
          </w:tcPr>
          <w:p w14:paraId="6863B816" w14:textId="77777777" w:rsidR="00C0602D" w:rsidRPr="005D4222" w:rsidRDefault="00C0602D" w:rsidP="00A53E8C">
            <w:pPr>
              <w:pStyle w:val="ECDSMarginHead"/>
              <w:rPr>
                <w:rFonts w:eastAsia="Arial"/>
              </w:rPr>
            </w:pPr>
            <w:r w:rsidRPr="005D4222">
              <w:rPr>
                <w:rFonts w:eastAsia="Arial"/>
              </w:rPr>
              <w:t>Copyright and disclaimer notice</w:t>
            </w:r>
          </w:p>
        </w:tc>
        <w:tc>
          <w:tcPr>
            <w:tcW w:w="7561" w:type="dxa"/>
            <w:gridSpan w:val="3"/>
            <w:tcMar>
              <w:top w:w="0" w:type="dxa"/>
              <w:left w:w="86" w:type="dxa"/>
              <w:bottom w:w="43" w:type="dxa"/>
              <w:right w:w="86" w:type="dxa"/>
            </w:tcMar>
          </w:tcPr>
          <w:p w14:paraId="549A1159" w14:textId="77777777" w:rsidR="00C0602D" w:rsidRPr="005D4222" w:rsidRDefault="00C0602D" w:rsidP="00A53E8C">
            <w:pPr>
              <w:pStyle w:val="ECDSBody"/>
            </w:pPr>
            <w:r w:rsidRPr="005D4222">
              <w:t>Refer to the complete copyright and disclaimer information at the front of this publication.</w:t>
            </w:r>
          </w:p>
          <w:p w14:paraId="35987453" w14:textId="77777777" w:rsidR="00C0602D" w:rsidRPr="005D4222" w:rsidRDefault="00C0602D" w:rsidP="00A53E8C">
            <w:pPr>
              <w:pStyle w:val="ECDSBody"/>
              <w:rPr>
                <w:szCs w:val="21"/>
              </w:rPr>
            </w:pPr>
            <w:r w:rsidRPr="005D4222">
              <w:rPr>
                <w:szCs w:val="21"/>
              </w:rPr>
              <w:t xml:space="preserve">NCQA website: </w:t>
            </w:r>
            <w:r w:rsidRPr="005D4222">
              <w:rPr>
                <w:szCs w:val="21"/>
                <w:u w:val="single"/>
              </w:rPr>
              <w:t>www.ncqa.org</w:t>
            </w:r>
            <w:r w:rsidRPr="005D4222">
              <w:rPr>
                <w:szCs w:val="21"/>
              </w:rPr>
              <w:t>.</w:t>
            </w:r>
          </w:p>
          <w:p w14:paraId="34B36AB2" w14:textId="77777777" w:rsidR="00C0602D" w:rsidRPr="005D4222" w:rsidRDefault="00C0602D" w:rsidP="00A53E8C">
            <w:pPr>
              <w:pStyle w:val="ECDSBody"/>
              <w:rPr>
                <w:sz w:val="18"/>
                <w:szCs w:val="18"/>
              </w:rPr>
            </w:pPr>
            <w:r w:rsidRPr="005D4222">
              <w:rPr>
                <w:szCs w:val="21"/>
              </w:rPr>
              <w:t>Submit policy clarification support questions via My NCQA (</w:t>
            </w:r>
            <w:r w:rsidRPr="005D4222">
              <w:rPr>
                <w:szCs w:val="21"/>
                <w:u w:val="single"/>
              </w:rPr>
              <w:t>https://my.ncqa.org</w:t>
            </w:r>
            <w:r w:rsidRPr="005D4222">
              <w:rPr>
                <w:szCs w:val="21"/>
              </w:rPr>
              <w:t>).</w:t>
            </w:r>
          </w:p>
        </w:tc>
      </w:tr>
      <w:tr w:rsidR="00027583" w:rsidRPr="005D4222" w14:paraId="606F56FA" w14:textId="77777777" w:rsidTr="00027583">
        <w:trPr>
          <w:trHeight w:val="655"/>
        </w:trPr>
        <w:tc>
          <w:tcPr>
            <w:tcW w:w="2157" w:type="dxa"/>
            <w:shd w:val="clear" w:color="auto" w:fill="BFBFBF" w:themeFill="background1" w:themeFillShade="BF"/>
            <w:tcMar>
              <w:top w:w="0" w:type="dxa"/>
              <w:left w:w="86" w:type="dxa"/>
              <w:bottom w:w="43" w:type="dxa"/>
              <w:right w:w="86" w:type="dxa"/>
            </w:tcMar>
            <w:hideMark/>
          </w:tcPr>
          <w:p w14:paraId="3F179784" w14:textId="77777777" w:rsidR="00027583" w:rsidRPr="005D4222" w:rsidRDefault="00027583">
            <w:pPr>
              <w:pStyle w:val="ECDSMarginHead"/>
            </w:pPr>
            <w:r w:rsidRPr="005D4222">
              <w:t>Clinical recommendation statement/ rationale</w:t>
            </w:r>
          </w:p>
        </w:tc>
        <w:tc>
          <w:tcPr>
            <w:tcW w:w="7561" w:type="dxa"/>
            <w:gridSpan w:val="3"/>
            <w:tcMar>
              <w:top w:w="0" w:type="dxa"/>
              <w:left w:w="86" w:type="dxa"/>
              <w:bottom w:w="43" w:type="dxa"/>
              <w:right w:w="86" w:type="dxa"/>
            </w:tcMar>
          </w:tcPr>
          <w:p w14:paraId="071C7A40" w14:textId="77777777" w:rsidR="00027583" w:rsidRPr="005D4222" w:rsidRDefault="00027583">
            <w:pPr>
              <w:pStyle w:val="ECDSBody"/>
            </w:pPr>
            <w:r w:rsidRPr="005D4222">
              <w:t>According to the National Survey on Drug Use and Health (NSDUH), 22.8% (58.7 million) of U.S. adults lived with a mental illness in 2023, and only 53.9% (31.6 million) of those adults received mental health treatment. In the same year, 31.9% (8.3 million people) of adolescents reported receipt of mental health treatment.</w:t>
            </w:r>
          </w:p>
          <w:p w14:paraId="6A8A8DD0" w14:textId="77777777" w:rsidR="00027583" w:rsidRPr="005D4222" w:rsidRDefault="00027583">
            <w:pPr>
              <w:pStyle w:val="ECDSBody"/>
            </w:pPr>
            <w:r w:rsidRPr="005D4222">
              <w:t>This measure provides data on the diagnosed prevalence of mental health disorders to allow health plans to understand the population size affected, and support the provision of case management services and coordination of mental health treatment, as appropriate.</w:t>
            </w:r>
          </w:p>
        </w:tc>
      </w:tr>
      <w:tr w:rsidR="00027583" w:rsidRPr="005D4222" w14:paraId="1DC5AE1F" w14:textId="77777777" w:rsidTr="00027583">
        <w:tc>
          <w:tcPr>
            <w:tcW w:w="2157" w:type="dxa"/>
            <w:shd w:val="clear" w:color="auto" w:fill="BFBFBF" w:themeFill="background1" w:themeFillShade="BF"/>
            <w:tcMar>
              <w:top w:w="0" w:type="dxa"/>
              <w:left w:w="86" w:type="dxa"/>
              <w:bottom w:w="43" w:type="dxa"/>
              <w:right w:w="86" w:type="dxa"/>
            </w:tcMar>
          </w:tcPr>
          <w:p w14:paraId="2A689CAC" w14:textId="77777777" w:rsidR="00027583" w:rsidRPr="005D4222" w:rsidRDefault="00027583">
            <w:pPr>
              <w:pStyle w:val="ECDSMarginHead"/>
            </w:pPr>
            <w:r w:rsidRPr="005D4222">
              <w:t>Citations</w:t>
            </w:r>
          </w:p>
        </w:tc>
        <w:tc>
          <w:tcPr>
            <w:tcW w:w="7561" w:type="dxa"/>
            <w:gridSpan w:val="3"/>
            <w:tcMar>
              <w:top w:w="0" w:type="dxa"/>
              <w:left w:w="86" w:type="dxa"/>
              <w:bottom w:w="43" w:type="dxa"/>
              <w:right w:w="86" w:type="dxa"/>
            </w:tcMar>
          </w:tcPr>
          <w:p w14:paraId="0A4F42E3" w14:textId="77777777" w:rsidR="00027583" w:rsidRPr="005D4222" w:rsidRDefault="00027583">
            <w:pPr>
              <w:pStyle w:val="ECDSBody"/>
            </w:pPr>
            <w:r w:rsidRPr="005D4222">
              <w:t xml:space="preserve">Substance Abuse and Mental Health Services Administration (SAMHSA). 2024. </w:t>
            </w:r>
            <w:r w:rsidRPr="005D4222">
              <w:rPr>
                <w:i/>
                <w:iCs/>
              </w:rPr>
              <w:t>Key Substance Use and Mental Health Indicators in the United States: Results from the 2023 National Survey on Drug Use and Health (HHS Publication No. PEP24-07-021, NSDUH Series H-59)</w:t>
            </w:r>
            <w:r w:rsidRPr="005D4222">
              <w:t>. Center for Behavioral Health Statistics and Quality, Substance Abuse and Mental Health Services Administration. https://www.samhsa.gov/data/report/2023-nsduh-annual-national-report</w:t>
            </w:r>
          </w:p>
        </w:tc>
      </w:tr>
      <w:tr w:rsidR="00027583" w:rsidRPr="005D4222" w14:paraId="2A3417AD" w14:textId="77777777" w:rsidTr="00027583">
        <w:tc>
          <w:tcPr>
            <w:tcW w:w="9718"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43B5A2D1" w14:textId="77777777" w:rsidR="00027583" w:rsidRPr="005D4222" w:rsidRDefault="00027583">
            <w:pPr>
              <w:pStyle w:val="ECDSMarginHead"/>
            </w:pPr>
            <w:r w:rsidRPr="005D4222">
              <w:t>Characteristics</w:t>
            </w:r>
          </w:p>
        </w:tc>
      </w:tr>
      <w:tr w:rsidR="00027583" w:rsidRPr="005D4222" w14:paraId="527D58E3" w14:textId="77777777" w:rsidTr="00027583">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2B7D02F8" w14:textId="77777777" w:rsidR="00027583" w:rsidRPr="005D4222" w:rsidRDefault="00027583" w:rsidP="003B6328">
            <w:pPr>
              <w:pStyle w:val="ECDSMarginSubhead"/>
              <w:spacing w:after="0"/>
            </w:pPr>
            <w:r w:rsidRPr="005D4222">
              <w:t>Scoring</w:t>
            </w:r>
          </w:p>
        </w:tc>
        <w:tc>
          <w:tcPr>
            <w:tcW w:w="7561"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75E7A3A1" w14:textId="77777777" w:rsidR="00027583" w:rsidRPr="005D4222" w:rsidRDefault="00027583">
            <w:pPr>
              <w:pStyle w:val="ECDSBody"/>
              <w:spacing w:after="0"/>
            </w:pPr>
            <w:r w:rsidRPr="005D4222">
              <w:t>Proportion.</w:t>
            </w:r>
          </w:p>
        </w:tc>
      </w:tr>
      <w:tr w:rsidR="00027583" w:rsidRPr="005D4222" w14:paraId="1510A732" w14:textId="77777777" w:rsidTr="00027583">
        <w:tc>
          <w:tcPr>
            <w:tcW w:w="2157" w:type="dxa"/>
            <w:tcBorders>
              <w:top w:val="nil"/>
              <w:left w:val="single" w:sz="4" w:space="0" w:color="auto"/>
              <w:bottom w:val="nil"/>
              <w:right w:val="single" w:sz="4" w:space="0" w:color="auto"/>
            </w:tcBorders>
            <w:tcMar>
              <w:top w:w="0" w:type="dxa"/>
              <w:left w:w="86" w:type="dxa"/>
              <w:bottom w:w="43" w:type="dxa"/>
              <w:right w:w="86" w:type="dxa"/>
            </w:tcMar>
          </w:tcPr>
          <w:p w14:paraId="2DC7F0FB" w14:textId="77777777" w:rsidR="00027583" w:rsidRPr="005D4222" w:rsidRDefault="00027583" w:rsidP="003B6328">
            <w:pPr>
              <w:pStyle w:val="ECDSMarginSubhead"/>
              <w:spacing w:after="0"/>
            </w:pPr>
            <w:r w:rsidRPr="005D4222">
              <w:t>Type</w:t>
            </w:r>
          </w:p>
        </w:tc>
        <w:tc>
          <w:tcPr>
            <w:tcW w:w="7561" w:type="dxa"/>
            <w:gridSpan w:val="3"/>
            <w:tcBorders>
              <w:top w:val="nil"/>
              <w:left w:val="single" w:sz="4" w:space="0" w:color="auto"/>
              <w:bottom w:val="nil"/>
              <w:right w:val="single" w:sz="4" w:space="0" w:color="auto"/>
            </w:tcBorders>
            <w:tcMar>
              <w:top w:w="0" w:type="dxa"/>
              <w:left w:w="86" w:type="dxa"/>
              <w:bottom w:w="43" w:type="dxa"/>
              <w:right w:w="86" w:type="dxa"/>
            </w:tcMar>
          </w:tcPr>
          <w:p w14:paraId="6A7491F7" w14:textId="77777777" w:rsidR="00027583" w:rsidRPr="005D4222" w:rsidRDefault="00027583">
            <w:pPr>
              <w:pStyle w:val="ECDSBody"/>
              <w:spacing w:after="0"/>
            </w:pPr>
            <w:r w:rsidRPr="005D4222">
              <w:t>Process.</w:t>
            </w:r>
          </w:p>
        </w:tc>
      </w:tr>
      <w:tr w:rsidR="00027583" w:rsidRPr="005D4222" w14:paraId="4D434C6E" w14:textId="77777777" w:rsidTr="00027583">
        <w:tc>
          <w:tcPr>
            <w:tcW w:w="2157" w:type="dxa"/>
            <w:tcBorders>
              <w:top w:val="nil"/>
              <w:left w:val="single" w:sz="4" w:space="0" w:color="auto"/>
              <w:bottom w:val="nil"/>
              <w:right w:val="single" w:sz="4" w:space="0" w:color="auto"/>
            </w:tcBorders>
            <w:tcMar>
              <w:top w:w="0" w:type="dxa"/>
              <w:left w:w="86" w:type="dxa"/>
              <w:bottom w:w="43" w:type="dxa"/>
              <w:right w:w="86" w:type="dxa"/>
            </w:tcMar>
          </w:tcPr>
          <w:p w14:paraId="3AEAE34F" w14:textId="10A91366" w:rsidR="00027583" w:rsidRPr="005D4222" w:rsidRDefault="00B51CDC" w:rsidP="003B6328">
            <w:pPr>
              <w:pStyle w:val="ECDSMarginSubhead"/>
              <w:spacing w:after="0"/>
            </w:pPr>
            <w:r w:rsidRPr="005D4222">
              <w:t>Product lines</w:t>
            </w:r>
          </w:p>
        </w:tc>
        <w:tc>
          <w:tcPr>
            <w:tcW w:w="7561" w:type="dxa"/>
            <w:gridSpan w:val="3"/>
            <w:tcBorders>
              <w:top w:val="nil"/>
              <w:left w:val="single" w:sz="4" w:space="0" w:color="auto"/>
              <w:bottom w:val="nil"/>
              <w:right w:val="single" w:sz="4" w:space="0" w:color="auto"/>
            </w:tcBorders>
            <w:tcMar>
              <w:top w:w="0" w:type="dxa"/>
              <w:left w:w="86" w:type="dxa"/>
              <w:bottom w:w="43" w:type="dxa"/>
              <w:right w:w="86" w:type="dxa"/>
            </w:tcMar>
          </w:tcPr>
          <w:p w14:paraId="601F25BD" w14:textId="77777777" w:rsidR="00027583" w:rsidRPr="005D4222" w:rsidRDefault="00027583" w:rsidP="002C075D">
            <w:pPr>
              <w:pStyle w:val="ProcessBullet"/>
              <w:numPr>
                <w:ilvl w:val="0"/>
                <w:numId w:val="52"/>
              </w:numPr>
              <w:spacing w:before="120"/>
              <w:ind w:left="216" w:hanging="216"/>
            </w:pPr>
            <w:r w:rsidRPr="005D4222">
              <w:t>Commercial.</w:t>
            </w:r>
          </w:p>
          <w:p w14:paraId="25F7ADE9" w14:textId="77777777" w:rsidR="00027583" w:rsidRPr="005D4222" w:rsidRDefault="00027583" w:rsidP="002C075D">
            <w:pPr>
              <w:pStyle w:val="ProcessBullet"/>
              <w:numPr>
                <w:ilvl w:val="0"/>
                <w:numId w:val="52"/>
              </w:numPr>
              <w:ind w:left="216" w:hanging="216"/>
            </w:pPr>
            <w:r w:rsidRPr="005D4222">
              <w:t>Medicaid.</w:t>
            </w:r>
          </w:p>
          <w:p w14:paraId="29D78CDA" w14:textId="77777777" w:rsidR="00027583" w:rsidRPr="005D4222" w:rsidRDefault="00027583" w:rsidP="002C075D">
            <w:pPr>
              <w:pStyle w:val="ProcessBullet"/>
              <w:numPr>
                <w:ilvl w:val="0"/>
                <w:numId w:val="52"/>
              </w:numPr>
              <w:ind w:left="216" w:hanging="216"/>
            </w:pPr>
            <w:r w:rsidRPr="005D4222">
              <w:t>Medicare.</w:t>
            </w:r>
          </w:p>
        </w:tc>
      </w:tr>
      <w:tr w:rsidR="00027583" w:rsidRPr="005D4222" w14:paraId="54A167A6" w14:textId="77777777" w:rsidTr="00027583">
        <w:tc>
          <w:tcPr>
            <w:tcW w:w="2157" w:type="dxa"/>
            <w:tcBorders>
              <w:top w:val="nil"/>
              <w:left w:val="single" w:sz="4" w:space="0" w:color="auto"/>
              <w:bottom w:val="nil"/>
              <w:right w:val="single" w:sz="4" w:space="0" w:color="auto"/>
            </w:tcBorders>
            <w:tcMar>
              <w:top w:w="0" w:type="dxa"/>
              <w:left w:w="86" w:type="dxa"/>
              <w:bottom w:w="43" w:type="dxa"/>
              <w:right w:w="86" w:type="dxa"/>
            </w:tcMar>
          </w:tcPr>
          <w:p w14:paraId="29D7EB82" w14:textId="3CA313A8" w:rsidR="00027583" w:rsidRPr="005D4222" w:rsidRDefault="00B51CDC" w:rsidP="003B6328">
            <w:pPr>
              <w:pStyle w:val="ECDSMarginSubhead"/>
              <w:spacing w:after="0"/>
            </w:pPr>
            <w:r w:rsidRPr="005D4222">
              <w:t>Stratifications</w:t>
            </w:r>
            <w:r w:rsidR="00027583" w:rsidRPr="005D4222">
              <w:t xml:space="preserve"> </w:t>
            </w:r>
          </w:p>
        </w:tc>
        <w:tc>
          <w:tcPr>
            <w:tcW w:w="7561"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5B72A202" w14:textId="77777777" w:rsidR="00027583" w:rsidRPr="005D4222" w:rsidRDefault="00027583" w:rsidP="003B6328">
            <w:pPr>
              <w:pStyle w:val="ECDSBody"/>
              <w:spacing w:after="0"/>
              <w:rPr>
                <w:rFonts w:eastAsia="Arial,Arial,Arial,Arial,Arial,A"/>
              </w:rPr>
            </w:pPr>
            <w:r w:rsidRPr="005D4222">
              <w:rPr>
                <w:rFonts w:eastAsia="Arial,Arial,Arial,Arial,Arial,A"/>
              </w:rPr>
              <w:t>Age as of the last day of the measurement period.</w:t>
            </w:r>
          </w:p>
          <w:p w14:paraId="57BE0104" w14:textId="77777777" w:rsidR="00027583" w:rsidRPr="005D4222" w:rsidRDefault="00027583" w:rsidP="00027583">
            <w:pPr>
              <w:pStyle w:val="Bullet"/>
              <w:numPr>
                <w:ilvl w:val="0"/>
                <w:numId w:val="4"/>
              </w:numPr>
              <w:tabs>
                <w:tab w:val="left" w:pos="360"/>
                <w:tab w:val="left" w:pos="576"/>
              </w:tabs>
              <w:ind w:left="576" w:hanging="216"/>
              <w:rPr>
                <w:rFonts w:eastAsia="Arial,Arial,Times New Roman"/>
              </w:rPr>
            </w:pPr>
            <w:r w:rsidRPr="005D4222">
              <w:t>1–</w:t>
            </w:r>
            <w:r w:rsidRPr="005D4222">
              <w:rPr>
                <w:rFonts w:eastAsia="Arial,Arial,Times New Roman"/>
              </w:rPr>
              <w:t>17 years.</w:t>
            </w:r>
          </w:p>
          <w:p w14:paraId="2F39CB93" w14:textId="77777777" w:rsidR="00027583" w:rsidRPr="005D4222" w:rsidRDefault="00027583" w:rsidP="00027583">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18–64 years.</w:t>
            </w:r>
          </w:p>
          <w:p w14:paraId="57438710" w14:textId="77777777" w:rsidR="00027583" w:rsidRPr="005D4222" w:rsidRDefault="00027583" w:rsidP="00027583">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65 years and older.</w:t>
            </w:r>
          </w:p>
        </w:tc>
      </w:tr>
      <w:tr w:rsidR="00027583" w:rsidRPr="005D4222" w14:paraId="57A86755" w14:textId="77777777" w:rsidTr="00C0602D">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4F12284A" w14:textId="77777777" w:rsidR="00027583" w:rsidRPr="005D4222" w:rsidRDefault="00027583" w:rsidP="00C0602D">
            <w:pPr>
              <w:pStyle w:val="ECDSMarginSubhead"/>
            </w:pPr>
            <w:r w:rsidRPr="005D4222">
              <w:t>Risk adjustment</w:t>
            </w:r>
          </w:p>
        </w:tc>
        <w:tc>
          <w:tcPr>
            <w:tcW w:w="7561"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hideMark/>
          </w:tcPr>
          <w:p w14:paraId="06A088AF" w14:textId="77777777" w:rsidR="00027583" w:rsidRPr="005D4222" w:rsidRDefault="00027583" w:rsidP="00C0602D">
            <w:pPr>
              <w:pStyle w:val="ECDSBody"/>
            </w:pPr>
            <w:r w:rsidRPr="005D4222">
              <w:t>None.</w:t>
            </w:r>
          </w:p>
        </w:tc>
      </w:tr>
      <w:tr w:rsidR="00027583" w:rsidRPr="005D4222" w14:paraId="3C21832D" w14:textId="77777777" w:rsidTr="00C0602D">
        <w:trPr>
          <w:trHeight w:val="633"/>
        </w:trPr>
        <w:tc>
          <w:tcPr>
            <w:tcW w:w="21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95C7E67" w14:textId="77777777" w:rsidR="00027583" w:rsidRPr="005D4222" w:rsidRDefault="00027583">
            <w:pPr>
              <w:pStyle w:val="ECDSMarginSubhead"/>
            </w:pPr>
            <w:r w:rsidRPr="005D4222">
              <w:lastRenderedPageBreak/>
              <w:t>Guidance</w:t>
            </w:r>
          </w:p>
        </w:tc>
        <w:tc>
          <w:tcPr>
            <w:tcW w:w="7561"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C6A1F38" w14:textId="16501D82" w:rsidR="00027583" w:rsidRPr="005D4222" w:rsidRDefault="00027583">
            <w:pPr>
              <w:pStyle w:val="ECDSBody"/>
              <w:rPr>
                <w:rStyle w:val="eop"/>
                <w:rFonts w:eastAsiaTheme="majorEastAsia"/>
                <w:color w:val="000000"/>
                <w:shd w:val="clear" w:color="auto" w:fill="FFFFFF"/>
              </w:rPr>
            </w:pPr>
            <w:r w:rsidRPr="005D4222">
              <w:rPr>
                <w:rStyle w:val="normaltextrun"/>
                <w:b/>
                <w:color w:val="000000"/>
                <w:szCs w:val="21"/>
                <w:shd w:val="clear" w:color="auto" w:fill="FFFFFF"/>
              </w:rPr>
              <w:t>Data collection methodology:</w:t>
            </w:r>
            <w:r w:rsidRPr="005D4222">
              <w:rPr>
                <w:rStyle w:val="normaltextrun"/>
                <w:color w:val="000000"/>
                <w:szCs w:val="21"/>
                <w:shd w:val="clear" w:color="auto" w:fill="FFFFFF"/>
              </w:rPr>
              <w:t xml:space="preserve"> Administrative. Refer to </w:t>
            </w:r>
            <w:hyperlink w:anchor="General_Guideline_Data_Collection_Method" w:history="1">
              <w:r w:rsidRPr="005D4222">
                <w:rPr>
                  <w:rStyle w:val="Hyperlink"/>
                  <w:i/>
                  <w:iCs/>
                  <w:szCs w:val="21"/>
                  <w:shd w:val="clear" w:color="auto" w:fill="FFFFFF"/>
                </w:rPr>
                <w:t>General Guideline: Data Collection Methods</w:t>
              </w:r>
            </w:hyperlink>
            <w:r w:rsidRPr="005D4222">
              <w:rPr>
                <w:rStyle w:val="normaltextrun"/>
                <w:color w:val="000000"/>
                <w:szCs w:val="21"/>
                <w:shd w:val="clear" w:color="auto" w:fill="FFFFFF"/>
              </w:rPr>
              <w:t xml:space="preserve"> for additional information.  </w:t>
            </w:r>
            <w:r w:rsidRPr="005D4222">
              <w:rPr>
                <w:rStyle w:val="eop"/>
                <w:rFonts w:eastAsiaTheme="majorEastAsia"/>
                <w:color w:val="000000"/>
                <w:shd w:val="clear" w:color="auto" w:fill="FFFFFF"/>
              </w:rPr>
              <w:t> </w:t>
            </w:r>
          </w:p>
          <w:p w14:paraId="2E3C6D1A" w14:textId="77777777" w:rsidR="00027583" w:rsidRPr="005D4222" w:rsidRDefault="00027583">
            <w:pPr>
              <w:pStyle w:val="ECDSBody"/>
            </w:pPr>
            <w:r w:rsidRPr="005D4222">
              <w:rPr>
                <w:b/>
              </w:rPr>
              <w:t xml:space="preserve">Date specificity: </w:t>
            </w:r>
            <w:r w:rsidRPr="005D4222">
              <w:t>Dates must be specific enough to determine the event occurred in the period being measured.</w:t>
            </w:r>
          </w:p>
          <w:p w14:paraId="5F325C67" w14:textId="77777777" w:rsidR="00027583" w:rsidRPr="005D4222" w:rsidRDefault="00027583">
            <w:pPr>
              <w:pStyle w:val="ECDSBody"/>
            </w:pPr>
            <w:r w:rsidRPr="005D4222">
              <w:rPr>
                <w:b/>
              </w:rPr>
              <w:t xml:space="preserve">Which services count? </w:t>
            </w:r>
            <w:r w:rsidRPr="005D4222">
              <w:t>Use all paid, suspended, pending and denied claims.</w:t>
            </w:r>
          </w:p>
          <w:p w14:paraId="2A0FD315" w14:textId="7451CD80" w:rsidR="00027583" w:rsidRPr="005D4222" w:rsidRDefault="00026C83">
            <w:pPr>
              <w:pStyle w:val="ECDSBody"/>
            </w:pPr>
            <w:r w:rsidRPr="005D4222">
              <w:rPr>
                <w:b/>
              </w:rPr>
              <w:t>Improvement notation</w:t>
            </w:r>
            <w:r w:rsidR="00027583" w:rsidRPr="005D4222">
              <w:rPr>
                <w:b/>
              </w:rPr>
              <w:t xml:space="preserve">: </w:t>
            </w:r>
            <w:r w:rsidR="00027583" w:rsidRPr="005D4222">
              <w:t>Neither a higher nor a lower rate indicates better performance. This measure provides information on the prevalence of diagnosed mental health disorders.</w:t>
            </w:r>
          </w:p>
        </w:tc>
      </w:tr>
      <w:tr w:rsidR="00027583" w:rsidRPr="005D4222" w14:paraId="3B5029A9" w14:textId="77777777" w:rsidTr="00C0602D">
        <w:tc>
          <w:tcPr>
            <w:tcW w:w="2157" w:type="dxa"/>
            <w:shd w:val="clear" w:color="auto" w:fill="BFBFBF" w:themeFill="background1" w:themeFillShade="BF"/>
            <w:tcMar>
              <w:top w:w="0" w:type="dxa"/>
              <w:left w:w="86" w:type="dxa"/>
              <w:bottom w:w="43" w:type="dxa"/>
              <w:right w:w="86" w:type="dxa"/>
            </w:tcMar>
          </w:tcPr>
          <w:p w14:paraId="6CB2382D" w14:textId="77777777" w:rsidR="00027583" w:rsidRPr="005D4222" w:rsidRDefault="00027583">
            <w:pPr>
              <w:pStyle w:val="ECDSMarginHead"/>
            </w:pPr>
            <w:r w:rsidRPr="005D4222">
              <w:t>Initial population</w:t>
            </w:r>
          </w:p>
        </w:tc>
        <w:tc>
          <w:tcPr>
            <w:tcW w:w="7561"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C220698" w14:textId="77777777" w:rsidR="00027583" w:rsidRPr="005D4222" w:rsidRDefault="00027583">
            <w:pPr>
              <w:pStyle w:val="ECDSBody"/>
            </w:pPr>
            <w:r w:rsidRPr="005D4222">
              <w:rPr>
                <w:i/>
              </w:rPr>
              <w:t xml:space="preserve">Measure item count: </w:t>
            </w:r>
            <w:r w:rsidRPr="005D4222">
              <w:t>Person.</w:t>
            </w:r>
          </w:p>
          <w:p w14:paraId="1063AC98" w14:textId="77777777" w:rsidR="00027583" w:rsidRPr="005D4222" w:rsidRDefault="00027583">
            <w:pPr>
              <w:pStyle w:val="ECDSBody"/>
            </w:pPr>
            <w:r w:rsidRPr="005D4222">
              <w:rPr>
                <w:i/>
              </w:rPr>
              <w:t xml:space="preserve">Attribution basis: </w:t>
            </w:r>
            <w:r w:rsidRPr="005D4222">
              <w:t>Enrollment.</w:t>
            </w:r>
          </w:p>
          <w:p w14:paraId="5AE0FF9C" w14:textId="77777777" w:rsidR="00027583" w:rsidRPr="005D4222" w:rsidRDefault="00027583" w:rsidP="00027583">
            <w:pPr>
              <w:pStyle w:val="Bullet"/>
              <w:numPr>
                <w:ilvl w:val="0"/>
                <w:numId w:val="4"/>
              </w:numPr>
              <w:tabs>
                <w:tab w:val="left" w:pos="360"/>
                <w:tab w:val="left" w:pos="576"/>
              </w:tabs>
              <w:ind w:left="576" w:hanging="216"/>
            </w:pPr>
            <w:r w:rsidRPr="005D4222">
              <w:rPr>
                <w:i/>
              </w:rPr>
              <w:t>Benefits:</w:t>
            </w:r>
            <w:r w:rsidRPr="005D4222">
              <w:t xml:space="preserve"> Medical.</w:t>
            </w:r>
          </w:p>
          <w:p w14:paraId="04BAECF3" w14:textId="77777777" w:rsidR="00027583" w:rsidRPr="005D4222" w:rsidRDefault="00027583" w:rsidP="00027583">
            <w:pPr>
              <w:pStyle w:val="Bullet"/>
              <w:numPr>
                <w:ilvl w:val="0"/>
                <w:numId w:val="4"/>
              </w:numPr>
              <w:tabs>
                <w:tab w:val="left" w:pos="360"/>
                <w:tab w:val="left" w:pos="576"/>
              </w:tabs>
              <w:ind w:left="576" w:hanging="216"/>
            </w:pPr>
            <w:r w:rsidRPr="005D4222">
              <w:rPr>
                <w:i/>
              </w:rPr>
              <w:t xml:space="preserve">Continuous enrollment: </w:t>
            </w:r>
            <w:r w:rsidRPr="005D4222">
              <w:t>The measurement period.</w:t>
            </w:r>
          </w:p>
          <w:p w14:paraId="1220E1A0" w14:textId="77777777" w:rsidR="00027583" w:rsidRPr="005D4222" w:rsidRDefault="00027583" w:rsidP="00027583">
            <w:pPr>
              <w:pStyle w:val="Bullet"/>
              <w:numPr>
                <w:ilvl w:val="0"/>
                <w:numId w:val="4"/>
              </w:numPr>
              <w:tabs>
                <w:tab w:val="left" w:pos="360"/>
                <w:tab w:val="left" w:pos="576"/>
              </w:tabs>
              <w:ind w:left="576" w:hanging="216"/>
            </w:pPr>
            <w:r w:rsidRPr="005D4222">
              <w:rPr>
                <w:i/>
              </w:rPr>
              <w:t xml:space="preserve">Allowable gap: </w:t>
            </w:r>
            <w:r w:rsidRPr="005D4222">
              <w:t xml:space="preserve">No more than one gap of ≤45 days during the measurement period. </w:t>
            </w:r>
          </w:p>
          <w:p w14:paraId="127C6536" w14:textId="77777777" w:rsidR="00027583" w:rsidRPr="005D4222" w:rsidRDefault="00027583">
            <w:pPr>
              <w:pStyle w:val="ECDSBody"/>
            </w:pPr>
            <w:r w:rsidRPr="005D4222">
              <w:rPr>
                <w:i/>
                <w:iCs/>
              </w:rPr>
              <w:t>Ages</w:t>
            </w:r>
            <w:r w:rsidRPr="005D4222">
              <w:rPr>
                <w:i/>
              </w:rPr>
              <w:t>:</w:t>
            </w:r>
            <w:r w:rsidRPr="005D4222">
              <w:t xml:space="preserve"> At least 1 year of age as of the last day of the measurement period.</w:t>
            </w:r>
          </w:p>
          <w:p w14:paraId="494370EE" w14:textId="77777777" w:rsidR="00027583" w:rsidRPr="005D4222" w:rsidRDefault="00027583">
            <w:pPr>
              <w:pStyle w:val="ECDSBody"/>
            </w:pPr>
            <w:r w:rsidRPr="005D4222">
              <w:rPr>
                <w:i/>
                <w:iCs/>
              </w:rPr>
              <w:t>Event:</w:t>
            </w:r>
            <w:r w:rsidRPr="005D4222">
              <w:t xml:space="preserve"> None.</w:t>
            </w:r>
          </w:p>
        </w:tc>
      </w:tr>
      <w:tr w:rsidR="00027583" w:rsidRPr="005D4222" w14:paraId="0CC28651" w14:textId="77777777" w:rsidTr="00C0602D">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D5B1203" w14:textId="77777777" w:rsidR="00027583" w:rsidRPr="005D4222" w:rsidRDefault="00027583">
            <w:pPr>
              <w:pStyle w:val="ECDSMarginHead"/>
            </w:pPr>
            <w:r w:rsidRPr="005D4222">
              <w:t xml:space="preserve">Denominator exclusions </w:t>
            </w:r>
          </w:p>
        </w:tc>
        <w:tc>
          <w:tcPr>
            <w:tcW w:w="7561"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79CEB9DA" w14:textId="77777777" w:rsidR="00027583" w:rsidRPr="005D4222" w:rsidRDefault="00027583">
            <w:pPr>
              <w:pStyle w:val="ECDSBody"/>
              <w:rPr>
                <w:rFonts w:cs="Segoe UI"/>
                <w:szCs w:val="18"/>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p w14:paraId="0ABCEC51" w14:textId="77777777" w:rsidR="00027583" w:rsidRPr="005D4222" w:rsidRDefault="00027583">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027583" w:rsidRPr="005D4222" w14:paraId="570EF00C" w14:textId="77777777" w:rsidTr="00C0602D">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DA78F52" w14:textId="77777777" w:rsidR="00027583" w:rsidRPr="005D4222" w:rsidRDefault="00027583">
            <w:pPr>
              <w:pStyle w:val="ECDSMarginHead"/>
            </w:pPr>
            <w:r w:rsidRPr="005D4222">
              <w:t>Denominator</w:t>
            </w:r>
          </w:p>
        </w:tc>
        <w:tc>
          <w:tcPr>
            <w:tcW w:w="7561"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031F19D" w14:textId="77777777" w:rsidR="00027583" w:rsidRPr="005D4222" w:rsidRDefault="00027583">
            <w:pPr>
              <w:pStyle w:val="ECDSBody"/>
              <w:rPr>
                <w:rFonts w:eastAsia="Arial,Arial,Arial,Arial,Arial,A"/>
                <w:b/>
                <w:bCs w:val="0"/>
              </w:rPr>
            </w:pPr>
            <w:r w:rsidRPr="005D4222">
              <w:rPr>
                <w:rFonts w:eastAsia="Arial,Arial,Arial,Arial,Arial,A"/>
              </w:rPr>
              <w:t xml:space="preserve">The initial population minus denominator exclusions. </w:t>
            </w:r>
          </w:p>
        </w:tc>
      </w:tr>
      <w:tr w:rsidR="00027583" w:rsidRPr="005D4222" w14:paraId="0B411574" w14:textId="77777777" w:rsidTr="00C0602D">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31BD84B" w14:textId="77777777" w:rsidR="00027583" w:rsidRPr="005D4222" w:rsidRDefault="00027583">
            <w:pPr>
              <w:pStyle w:val="ECDSMarginHead"/>
            </w:pPr>
            <w:r w:rsidRPr="005D4222">
              <w:t>Numerator</w:t>
            </w:r>
          </w:p>
        </w:tc>
        <w:tc>
          <w:tcPr>
            <w:tcW w:w="7561"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0E45B095" w14:textId="1E3BA9A8" w:rsidR="00027583" w:rsidRPr="005D4222" w:rsidRDefault="00027583">
            <w:pPr>
              <w:pStyle w:val="ECDSBody"/>
            </w:pPr>
            <w:r w:rsidRPr="005D4222">
              <w:rPr>
                <w:b/>
                <w:bCs w:val="0"/>
                <w:color w:val="000000" w:themeColor="text1"/>
                <w:szCs w:val="21"/>
              </w:rPr>
              <w:t xml:space="preserve">Mental health </w:t>
            </w:r>
            <w:r w:rsidR="00304912" w:rsidRPr="005D4222">
              <w:rPr>
                <w:b/>
                <w:bCs w:val="0"/>
                <w:color w:val="000000" w:themeColor="text1"/>
                <w:szCs w:val="21"/>
              </w:rPr>
              <w:t>dis</w:t>
            </w:r>
            <w:r w:rsidRPr="005D4222">
              <w:rPr>
                <w:b/>
                <w:bCs w:val="0"/>
                <w:color w:val="000000" w:themeColor="text1"/>
                <w:szCs w:val="21"/>
              </w:rPr>
              <w:t>order diagnosis.</w:t>
            </w:r>
            <w:r w:rsidRPr="005D4222">
              <w:rPr>
                <w:b/>
                <w:bCs w:val="0"/>
                <w:color w:val="000000" w:themeColor="text1"/>
                <w:szCs w:val="21"/>
              </w:rPr>
              <w:br/>
            </w:r>
            <w:r w:rsidRPr="005D4222">
              <w:rPr>
                <w:color w:val="000000" w:themeColor="text1"/>
                <w:szCs w:val="21"/>
              </w:rPr>
              <w:t xml:space="preserve">Persons </w:t>
            </w:r>
            <w:r w:rsidRPr="005D4222">
              <w:t>who had a mental health disorder diagnosis (</w:t>
            </w:r>
            <w:r w:rsidRPr="005D4222">
              <w:rPr>
                <w:u w:val="single"/>
              </w:rPr>
              <w:t>Mental Health Diagnosis Value Set</w:t>
            </w:r>
            <w:r w:rsidRPr="005D4222">
              <w:t>*) during the measurement period.</w:t>
            </w:r>
          </w:p>
          <w:p w14:paraId="2293F702" w14:textId="77777777" w:rsidR="00027583" w:rsidRPr="005D4222" w:rsidRDefault="00027583">
            <w:pPr>
              <w:pStyle w:val="ECDSBody"/>
              <w:spacing w:after="0"/>
              <w:rPr>
                <w:b/>
                <w:bCs w:val="0"/>
              </w:rPr>
            </w:pPr>
            <w:r w:rsidRPr="005D4222">
              <w:rPr>
                <w:b/>
              </w:rPr>
              <w:t>Coding Guidance</w:t>
            </w:r>
          </w:p>
          <w:p w14:paraId="2177C804" w14:textId="77777777" w:rsidR="00027583" w:rsidRPr="005D4222" w:rsidRDefault="00027583">
            <w:pPr>
              <w:pStyle w:val="ECDSBody"/>
              <w:spacing w:before="0"/>
              <w:rPr>
                <w:color w:val="000000" w:themeColor="text1"/>
                <w:szCs w:val="21"/>
                <w:highlight w:val="yellow"/>
              </w:rPr>
            </w:pPr>
            <w:r w:rsidRPr="005D4222">
              <w:rPr>
                <w:b/>
              </w:rPr>
              <w:t>*</w:t>
            </w:r>
            <w:r w:rsidRPr="005D4222">
              <w:t>Do not include laboratory claims (claims with POS code 81).</w:t>
            </w:r>
          </w:p>
        </w:tc>
      </w:tr>
      <w:tr w:rsidR="00027583" w:rsidRPr="005D4222" w14:paraId="6D55EC3F" w14:textId="77777777" w:rsidTr="00C0602D">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AE0A801" w14:textId="77777777" w:rsidR="00027583" w:rsidRPr="005D4222" w:rsidRDefault="00027583">
            <w:pPr>
              <w:pStyle w:val="ECDSMarginHead"/>
            </w:pPr>
            <w:r w:rsidRPr="005D4222">
              <w:t>Summary of changes</w:t>
            </w:r>
          </w:p>
        </w:tc>
        <w:tc>
          <w:tcPr>
            <w:tcW w:w="7561"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79A1649" w14:textId="77777777" w:rsidR="00027583" w:rsidRPr="005D4222" w:rsidRDefault="00027583">
            <w:pPr>
              <w:pStyle w:val="ProcessBullet"/>
              <w:spacing w:before="120"/>
            </w:pPr>
            <w:r w:rsidRPr="005D4222">
              <w:t xml:space="preserve">No changes to this measure. </w:t>
            </w:r>
          </w:p>
        </w:tc>
      </w:tr>
    </w:tbl>
    <w:p w14:paraId="19019BB6" w14:textId="77777777" w:rsidR="00C0602D" w:rsidRPr="005D4222" w:rsidRDefault="00C0602D">
      <w:r w:rsidRPr="005D4222">
        <w:br w:type="page"/>
      </w:r>
    </w:p>
    <w:tbl>
      <w:tblPr>
        <w:tblW w:w="5003"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61"/>
      </w:tblGrid>
      <w:tr w:rsidR="00027583" w:rsidRPr="005D4222" w14:paraId="5D193A09" w14:textId="77777777" w:rsidTr="00C0602D">
        <w:tc>
          <w:tcPr>
            <w:tcW w:w="2157"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2184AA8E" w14:textId="77777777" w:rsidR="00027583" w:rsidRPr="005D4222" w:rsidRDefault="00027583">
            <w:pPr>
              <w:pStyle w:val="ECDSMarginHead"/>
            </w:pPr>
            <w:r w:rsidRPr="005D4222">
              <w:lastRenderedPageBreak/>
              <w:t>Data element tables</w:t>
            </w:r>
          </w:p>
        </w:tc>
        <w:tc>
          <w:tcPr>
            <w:tcW w:w="7561" w:type="dxa"/>
            <w:tcBorders>
              <w:top w:val="single" w:sz="4" w:space="0" w:color="auto"/>
              <w:left w:val="single" w:sz="4" w:space="0" w:color="auto"/>
              <w:right w:val="single" w:sz="4" w:space="0" w:color="auto"/>
            </w:tcBorders>
            <w:tcMar>
              <w:top w:w="0" w:type="dxa"/>
              <w:left w:w="86" w:type="dxa"/>
              <w:bottom w:w="43" w:type="dxa"/>
              <w:right w:w="86" w:type="dxa"/>
            </w:tcMar>
          </w:tcPr>
          <w:p w14:paraId="798FCA2C" w14:textId="77777777" w:rsidR="00027583" w:rsidRPr="005D4222" w:rsidRDefault="00027583">
            <w:pPr>
              <w:pStyle w:val="ECDSBody"/>
              <w:rPr>
                <w:rFonts w:eastAsia="Arial,Times New Roman"/>
              </w:rPr>
            </w:pPr>
            <w:r w:rsidRPr="005D4222">
              <w:rPr>
                <w:rFonts w:eastAsia="Arial,Arial,Times New Roman"/>
              </w:rPr>
              <w:t>Organizations that submit HEDIS data to NCQA must provide the following data elements.</w:t>
            </w:r>
          </w:p>
          <w:p w14:paraId="1C4BE9DB" w14:textId="77777777" w:rsidR="00027583" w:rsidRPr="005D4222" w:rsidRDefault="00027583">
            <w:pPr>
              <w:pStyle w:val="Heading3"/>
              <w:spacing w:before="120"/>
              <w:rPr>
                <w:rFonts w:eastAsia="Arial,Arial,Times New Roman"/>
              </w:rPr>
            </w:pPr>
            <w:r w:rsidRPr="005D4222">
              <w:rPr>
                <w:rFonts w:eastAsia="Arial,Arial,Times New Roman"/>
              </w:rPr>
              <w:t xml:space="preserve">Table DMH-1/2/3: Data Elements for Diagnosed Mental Health Disorders </w:t>
            </w:r>
          </w:p>
          <w:tbl>
            <w:tblPr>
              <w:tblW w:w="73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976"/>
              <w:gridCol w:w="810"/>
              <w:gridCol w:w="2430"/>
              <w:gridCol w:w="2160"/>
            </w:tblGrid>
            <w:tr w:rsidR="00027583" w:rsidRPr="005D4222" w14:paraId="7799B134" w14:textId="77777777">
              <w:tc>
                <w:tcPr>
                  <w:tcW w:w="1976"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vAlign w:val="bottom"/>
                  <w:hideMark/>
                </w:tcPr>
                <w:p w14:paraId="27573161" w14:textId="77777777" w:rsidR="00027583" w:rsidRPr="005D4222" w:rsidRDefault="00027583">
                  <w:pPr>
                    <w:pStyle w:val="TableHead"/>
                    <w:spacing w:before="40" w:after="40"/>
                    <w:rPr>
                      <w:rFonts w:cs="Arial"/>
                      <w:b w:val="0"/>
                    </w:rPr>
                  </w:pPr>
                  <w:r w:rsidRPr="005D4222">
                    <w:rPr>
                      <w:rFonts w:cs="Arial"/>
                    </w:rPr>
                    <w:t>Metric</w:t>
                  </w:r>
                </w:p>
              </w:tc>
              <w:tc>
                <w:tcPr>
                  <w:tcW w:w="81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vAlign w:val="bottom"/>
                  <w:hideMark/>
                </w:tcPr>
                <w:p w14:paraId="570E2044" w14:textId="77777777" w:rsidR="00027583" w:rsidRPr="005D4222" w:rsidRDefault="00027583">
                  <w:pPr>
                    <w:pStyle w:val="TableHead"/>
                    <w:spacing w:before="40" w:after="40"/>
                    <w:rPr>
                      <w:rFonts w:cs="Arial"/>
                      <w:b w:val="0"/>
                    </w:rPr>
                  </w:pPr>
                  <w:r w:rsidRPr="005D4222">
                    <w:rPr>
                      <w:rFonts w:cs="Arial"/>
                    </w:rPr>
                    <w:t>Age</w:t>
                  </w:r>
                </w:p>
              </w:tc>
              <w:tc>
                <w:tcPr>
                  <w:tcW w:w="243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vAlign w:val="bottom"/>
                  <w:hideMark/>
                </w:tcPr>
                <w:p w14:paraId="53F8BC39" w14:textId="77777777" w:rsidR="00027583" w:rsidRPr="005D4222" w:rsidRDefault="00027583">
                  <w:pPr>
                    <w:pStyle w:val="TableHead"/>
                    <w:spacing w:before="40" w:after="40"/>
                    <w:rPr>
                      <w:rFonts w:cs="Arial"/>
                      <w:b w:val="0"/>
                    </w:rPr>
                  </w:pPr>
                  <w:r w:rsidRPr="005D4222">
                    <w:rPr>
                      <w:rFonts w:cs="Arial"/>
                    </w:rPr>
                    <w:t>Data Element</w:t>
                  </w:r>
                </w:p>
              </w:tc>
              <w:tc>
                <w:tcPr>
                  <w:tcW w:w="2160"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vAlign w:val="bottom"/>
                  <w:hideMark/>
                </w:tcPr>
                <w:p w14:paraId="0859C9A7" w14:textId="77777777" w:rsidR="00027583" w:rsidRPr="005D4222" w:rsidRDefault="00027583">
                  <w:pPr>
                    <w:pStyle w:val="TableHead"/>
                    <w:spacing w:before="40" w:after="40"/>
                    <w:rPr>
                      <w:rFonts w:cs="Arial"/>
                      <w:b w:val="0"/>
                    </w:rPr>
                  </w:pPr>
                  <w:r w:rsidRPr="005D4222">
                    <w:rPr>
                      <w:rFonts w:cs="Arial"/>
                    </w:rPr>
                    <w:t>Reporting Instructions</w:t>
                  </w:r>
                </w:p>
              </w:tc>
            </w:tr>
            <w:tr w:rsidR="00027583" w:rsidRPr="005D4222" w14:paraId="34F03967" w14:textId="77777777">
              <w:tc>
                <w:tcPr>
                  <w:tcW w:w="1976" w:type="dxa"/>
                  <w:tcBorders>
                    <w:top w:val="single" w:sz="4" w:space="0" w:color="000000" w:themeColor="text1"/>
                    <w:left w:val="single" w:sz="4" w:space="0" w:color="auto"/>
                    <w:bottom w:val="single" w:sz="4" w:space="0" w:color="auto"/>
                    <w:right w:val="single" w:sz="4" w:space="0" w:color="auto"/>
                  </w:tcBorders>
                  <w:hideMark/>
                </w:tcPr>
                <w:p w14:paraId="5E30182B" w14:textId="77777777" w:rsidR="00027583" w:rsidRPr="005D4222" w:rsidRDefault="00027583">
                  <w:pPr>
                    <w:pStyle w:val="TableText"/>
                    <w:spacing w:before="40" w:after="40"/>
                    <w:rPr>
                      <w:rFonts w:cs="Arial"/>
                      <w:szCs w:val="21"/>
                    </w:rPr>
                  </w:pPr>
                  <w:r w:rsidRPr="005D4222">
                    <w:rPr>
                      <w:rFonts w:cs="Arial"/>
                      <w:szCs w:val="21"/>
                    </w:rPr>
                    <w:t>MentalHealthDisorders</w:t>
                  </w:r>
                </w:p>
              </w:tc>
              <w:tc>
                <w:tcPr>
                  <w:tcW w:w="810" w:type="dxa"/>
                  <w:tcBorders>
                    <w:top w:val="single" w:sz="4" w:space="0" w:color="000000" w:themeColor="text1"/>
                    <w:left w:val="single" w:sz="4" w:space="0" w:color="auto"/>
                    <w:bottom w:val="single" w:sz="4" w:space="0" w:color="auto"/>
                    <w:right w:val="single" w:sz="4" w:space="0" w:color="auto"/>
                  </w:tcBorders>
                  <w:hideMark/>
                </w:tcPr>
                <w:p w14:paraId="761C0242" w14:textId="77777777" w:rsidR="00027583" w:rsidRPr="005D4222" w:rsidRDefault="00027583">
                  <w:pPr>
                    <w:pStyle w:val="TableText"/>
                    <w:spacing w:before="40" w:after="40"/>
                    <w:rPr>
                      <w:rFonts w:cs="Arial"/>
                      <w:szCs w:val="21"/>
                    </w:rPr>
                  </w:pPr>
                  <w:r w:rsidRPr="005D4222">
                    <w:rPr>
                      <w:rFonts w:cs="Arial"/>
                      <w:szCs w:val="21"/>
                    </w:rPr>
                    <w:t>1-17</w:t>
                  </w:r>
                </w:p>
              </w:tc>
              <w:tc>
                <w:tcPr>
                  <w:tcW w:w="2430" w:type="dxa"/>
                  <w:tcBorders>
                    <w:top w:val="single" w:sz="4" w:space="0" w:color="000000" w:themeColor="text1"/>
                    <w:left w:val="single" w:sz="4" w:space="0" w:color="auto"/>
                    <w:bottom w:val="single" w:sz="4" w:space="0" w:color="auto"/>
                    <w:right w:val="single" w:sz="4" w:space="0" w:color="auto"/>
                  </w:tcBorders>
                  <w:hideMark/>
                </w:tcPr>
                <w:p w14:paraId="2B8F999C" w14:textId="77777777" w:rsidR="00027583" w:rsidRPr="005D4222" w:rsidRDefault="00027583">
                  <w:pPr>
                    <w:pStyle w:val="TableText"/>
                    <w:spacing w:before="40" w:after="40"/>
                    <w:rPr>
                      <w:rFonts w:cs="Arial"/>
                      <w:strike/>
                      <w:szCs w:val="21"/>
                    </w:rPr>
                  </w:pPr>
                  <w:r w:rsidRPr="005D4222">
                    <w:rPr>
                      <w:rFonts w:cs="Arial"/>
                      <w:szCs w:val="21"/>
                    </w:rPr>
                    <w:t xml:space="preserve">InitialPopulation </w:t>
                  </w:r>
                </w:p>
              </w:tc>
              <w:tc>
                <w:tcPr>
                  <w:tcW w:w="2160" w:type="dxa"/>
                  <w:tcBorders>
                    <w:top w:val="single" w:sz="4" w:space="0" w:color="000000" w:themeColor="text1"/>
                    <w:left w:val="single" w:sz="4" w:space="0" w:color="auto"/>
                    <w:bottom w:val="single" w:sz="6" w:space="0" w:color="auto"/>
                    <w:right w:val="single" w:sz="4" w:space="0" w:color="auto"/>
                  </w:tcBorders>
                  <w:hideMark/>
                </w:tcPr>
                <w:p w14:paraId="3F04C46C" w14:textId="77777777" w:rsidR="00027583" w:rsidRPr="005D4222" w:rsidRDefault="00027583">
                  <w:pPr>
                    <w:pStyle w:val="TableText"/>
                    <w:spacing w:before="40" w:after="40"/>
                    <w:rPr>
                      <w:rFonts w:eastAsia="Wingdings" w:cs="Arial"/>
                      <w:strike/>
                      <w:szCs w:val="21"/>
                    </w:rPr>
                  </w:pPr>
                  <w:r w:rsidRPr="005D4222">
                    <w:rPr>
                      <w:rFonts w:eastAsia="Wingdings" w:cs="Arial"/>
                      <w:szCs w:val="21"/>
                    </w:rPr>
                    <w:t>For each Stratification</w:t>
                  </w:r>
                </w:p>
              </w:tc>
            </w:tr>
            <w:tr w:rsidR="00027583" w:rsidRPr="005D4222" w14:paraId="46F5A52E" w14:textId="77777777">
              <w:tc>
                <w:tcPr>
                  <w:tcW w:w="1976" w:type="dxa"/>
                  <w:tcBorders>
                    <w:top w:val="nil"/>
                    <w:left w:val="nil"/>
                    <w:bottom w:val="nil"/>
                    <w:right w:val="nil"/>
                  </w:tcBorders>
                  <w:shd w:val="clear" w:color="auto" w:fill="FFFFFF" w:themeFill="background1"/>
                </w:tcPr>
                <w:p w14:paraId="7ED6F9E8" w14:textId="77777777" w:rsidR="00027583" w:rsidRPr="005D4222" w:rsidRDefault="00027583">
                  <w:pPr>
                    <w:spacing w:before="40" w:after="40" w:line="259" w:lineRule="auto"/>
                    <w:rPr>
                      <w:rFonts w:cs="Arial"/>
                    </w:rPr>
                  </w:pPr>
                </w:p>
              </w:tc>
              <w:tc>
                <w:tcPr>
                  <w:tcW w:w="810" w:type="dxa"/>
                  <w:tcBorders>
                    <w:top w:val="single" w:sz="4" w:space="0" w:color="auto"/>
                    <w:left w:val="single" w:sz="4" w:space="0" w:color="auto"/>
                    <w:bottom w:val="single" w:sz="4" w:space="0" w:color="auto"/>
                    <w:right w:val="single" w:sz="4" w:space="0" w:color="auto"/>
                  </w:tcBorders>
                  <w:shd w:val="clear" w:color="auto" w:fill="FFFFFF" w:themeFill="background1"/>
                </w:tcPr>
                <w:p w14:paraId="183E4327" w14:textId="77777777" w:rsidR="00027583" w:rsidRPr="005D4222" w:rsidRDefault="00027583">
                  <w:pPr>
                    <w:pStyle w:val="TableText"/>
                    <w:spacing w:before="40" w:after="40"/>
                    <w:rPr>
                      <w:rFonts w:cs="Arial"/>
                      <w:szCs w:val="21"/>
                    </w:rPr>
                  </w:pPr>
                  <w:r w:rsidRPr="005D4222">
                    <w:rPr>
                      <w:rFonts w:cs="Arial"/>
                      <w:szCs w:val="21"/>
                    </w:rPr>
                    <w:t>18-64</w:t>
                  </w:r>
                </w:p>
              </w:tc>
              <w:tc>
                <w:tcPr>
                  <w:tcW w:w="2430" w:type="dxa"/>
                  <w:tcBorders>
                    <w:top w:val="single" w:sz="4" w:space="0" w:color="auto"/>
                    <w:left w:val="single" w:sz="4" w:space="0" w:color="auto"/>
                    <w:bottom w:val="single" w:sz="4" w:space="0" w:color="auto"/>
                    <w:right w:val="single" w:sz="4" w:space="0" w:color="auto"/>
                  </w:tcBorders>
                  <w:shd w:val="clear" w:color="auto" w:fill="FFFFFF" w:themeFill="background1"/>
                </w:tcPr>
                <w:p w14:paraId="27A2EB0A" w14:textId="77777777" w:rsidR="00027583" w:rsidRPr="005D4222" w:rsidRDefault="00027583">
                  <w:pPr>
                    <w:pStyle w:val="TableText"/>
                    <w:spacing w:before="40" w:after="40"/>
                    <w:rPr>
                      <w:rFonts w:cs="Arial"/>
                    </w:rPr>
                  </w:pPr>
                  <w:r w:rsidRPr="005D4222">
                    <w:rPr>
                      <w:rFonts w:cs="Arial"/>
                    </w:rPr>
                    <w:t>Exclusions</w:t>
                  </w:r>
                </w:p>
              </w:tc>
              <w:tc>
                <w:tcPr>
                  <w:tcW w:w="2160" w:type="dxa"/>
                  <w:tcBorders>
                    <w:top w:val="single" w:sz="6" w:space="0" w:color="auto"/>
                    <w:left w:val="single" w:sz="4" w:space="0" w:color="auto"/>
                    <w:bottom w:val="single" w:sz="6" w:space="0" w:color="auto"/>
                    <w:right w:val="single" w:sz="4" w:space="0" w:color="auto"/>
                  </w:tcBorders>
                  <w:shd w:val="clear" w:color="auto" w:fill="FFFFFF" w:themeFill="background1"/>
                </w:tcPr>
                <w:p w14:paraId="301F9721" w14:textId="77777777" w:rsidR="00027583" w:rsidRPr="005D4222" w:rsidRDefault="00027583">
                  <w:pPr>
                    <w:pStyle w:val="TableText"/>
                    <w:spacing w:before="40" w:after="40"/>
                    <w:rPr>
                      <w:rFonts w:eastAsia="Wingdings" w:cs="Arial"/>
                      <w:szCs w:val="21"/>
                    </w:rPr>
                  </w:pPr>
                  <w:r w:rsidRPr="005D4222">
                    <w:rPr>
                      <w:rFonts w:eastAsia="Wingdings" w:cs="Arial"/>
                      <w:szCs w:val="21"/>
                    </w:rPr>
                    <w:t>For each Stratification</w:t>
                  </w:r>
                </w:p>
              </w:tc>
            </w:tr>
            <w:tr w:rsidR="00027583" w:rsidRPr="005D4222" w14:paraId="7186A858" w14:textId="77777777">
              <w:tc>
                <w:tcPr>
                  <w:tcW w:w="1976" w:type="dxa"/>
                  <w:tcBorders>
                    <w:top w:val="nil"/>
                    <w:left w:val="nil"/>
                    <w:bottom w:val="nil"/>
                    <w:right w:val="nil"/>
                  </w:tcBorders>
                  <w:shd w:val="clear" w:color="auto" w:fill="FFFFFF" w:themeFill="background1"/>
                </w:tcPr>
                <w:p w14:paraId="45E9B48A" w14:textId="77777777" w:rsidR="00027583" w:rsidRPr="005D4222" w:rsidRDefault="00027583" w:rsidP="00027583">
                  <w:pPr>
                    <w:spacing w:before="40" w:after="40" w:line="259" w:lineRule="auto"/>
                    <w:rPr>
                      <w:rFonts w:cs="Arial"/>
                    </w:rPr>
                  </w:pPr>
                </w:p>
              </w:tc>
              <w:tc>
                <w:tcPr>
                  <w:tcW w:w="810" w:type="dxa"/>
                  <w:tcBorders>
                    <w:top w:val="single" w:sz="4" w:space="0" w:color="auto"/>
                    <w:left w:val="single" w:sz="4" w:space="0" w:color="auto"/>
                    <w:bottom w:val="single" w:sz="4" w:space="0" w:color="auto"/>
                    <w:right w:val="single" w:sz="4" w:space="0" w:color="auto"/>
                  </w:tcBorders>
                  <w:shd w:val="clear" w:color="auto" w:fill="FFFFFF" w:themeFill="background1"/>
                </w:tcPr>
                <w:p w14:paraId="31BFE36E" w14:textId="45593E59" w:rsidR="00027583" w:rsidRPr="005D4222" w:rsidRDefault="00027583" w:rsidP="00027583">
                  <w:pPr>
                    <w:pStyle w:val="TableText"/>
                    <w:spacing w:before="40" w:after="40"/>
                    <w:rPr>
                      <w:rFonts w:cs="Arial"/>
                      <w:szCs w:val="21"/>
                    </w:rPr>
                  </w:pPr>
                  <w:r w:rsidRPr="005D4222">
                    <w:rPr>
                      <w:rFonts w:cs="Arial"/>
                    </w:rPr>
                    <w:t>65+</w:t>
                  </w:r>
                </w:p>
              </w:tc>
              <w:tc>
                <w:tcPr>
                  <w:tcW w:w="2430" w:type="dxa"/>
                  <w:tcBorders>
                    <w:top w:val="single" w:sz="4" w:space="0" w:color="auto"/>
                    <w:left w:val="single" w:sz="4" w:space="0" w:color="auto"/>
                    <w:bottom w:val="single" w:sz="4" w:space="0" w:color="auto"/>
                    <w:right w:val="single" w:sz="4" w:space="0" w:color="auto"/>
                  </w:tcBorders>
                  <w:shd w:val="clear" w:color="auto" w:fill="FFFFFF" w:themeFill="background1"/>
                </w:tcPr>
                <w:p w14:paraId="2984CFE0" w14:textId="0BB9C323" w:rsidR="00027583" w:rsidRPr="005D4222" w:rsidRDefault="00027583" w:rsidP="00027583">
                  <w:pPr>
                    <w:pStyle w:val="TableText"/>
                    <w:spacing w:before="40" w:after="40"/>
                    <w:rPr>
                      <w:rFonts w:cs="Arial"/>
                    </w:rPr>
                  </w:pPr>
                  <w:r w:rsidRPr="005D4222">
                    <w:rPr>
                      <w:rFonts w:cs="Arial"/>
                    </w:rPr>
                    <w:t>Denominator</w:t>
                  </w:r>
                </w:p>
              </w:tc>
              <w:tc>
                <w:tcPr>
                  <w:tcW w:w="2160" w:type="dxa"/>
                  <w:tcBorders>
                    <w:top w:val="single" w:sz="6" w:space="0" w:color="auto"/>
                    <w:left w:val="single" w:sz="4" w:space="0" w:color="auto"/>
                    <w:bottom w:val="single" w:sz="6" w:space="0" w:color="auto"/>
                    <w:right w:val="single" w:sz="4" w:space="0" w:color="auto"/>
                  </w:tcBorders>
                  <w:shd w:val="clear" w:color="auto" w:fill="FFFFFF" w:themeFill="background1"/>
                </w:tcPr>
                <w:p w14:paraId="672780D7" w14:textId="707FD148" w:rsidR="00027583" w:rsidRPr="005D4222" w:rsidRDefault="00027583" w:rsidP="00027583">
                  <w:pPr>
                    <w:pStyle w:val="TableText"/>
                    <w:spacing w:before="40" w:after="40"/>
                    <w:rPr>
                      <w:rFonts w:eastAsia="Wingdings" w:cs="Arial"/>
                      <w:szCs w:val="21"/>
                    </w:rPr>
                  </w:pPr>
                  <w:r w:rsidRPr="005D4222">
                    <w:rPr>
                      <w:rFonts w:eastAsia="Wingdings" w:cs="Arial"/>
                    </w:rPr>
                    <w:t>For each Stratification</w:t>
                  </w:r>
                </w:p>
              </w:tc>
            </w:tr>
            <w:tr w:rsidR="00027583" w:rsidRPr="005D4222" w14:paraId="63829DDB" w14:textId="77777777">
              <w:tc>
                <w:tcPr>
                  <w:tcW w:w="1976" w:type="dxa"/>
                  <w:tcBorders>
                    <w:top w:val="nil"/>
                    <w:left w:val="nil"/>
                    <w:bottom w:val="nil"/>
                    <w:right w:val="nil"/>
                  </w:tcBorders>
                  <w:shd w:val="clear" w:color="auto" w:fill="FFFFFF" w:themeFill="background1"/>
                </w:tcPr>
                <w:p w14:paraId="39B80F8D" w14:textId="77777777" w:rsidR="00027583" w:rsidRPr="005D4222" w:rsidRDefault="00027583" w:rsidP="00027583">
                  <w:pPr>
                    <w:pStyle w:val="TableText"/>
                    <w:spacing w:before="40" w:after="40"/>
                    <w:rPr>
                      <w:rFonts w:cs="Arial"/>
                      <w:szCs w:val="21"/>
                    </w:rPr>
                  </w:pPr>
                </w:p>
              </w:tc>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5396C90" w14:textId="77777777" w:rsidR="00027583" w:rsidRPr="005D4222" w:rsidRDefault="00027583" w:rsidP="00027583">
                  <w:pPr>
                    <w:pStyle w:val="TableText"/>
                    <w:spacing w:before="40" w:after="40"/>
                    <w:rPr>
                      <w:rFonts w:cs="Arial"/>
                    </w:rPr>
                  </w:pPr>
                  <w:r w:rsidRPr="005D4222">
                    <w:rPr>
                      <w:rFonts w:cs="Arial"/>
                    </w:rPr>
                    <w:t>Total</w:t>
                  </w:r>
                </w:p>
              </w:tc>
              <w:tc>
                <w:tcPr>
                  <w:tcW w:w="243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706B012" w14:textId="77777777" w:rsidR="00027583" w:rsidRPr="005D4222" w:rsidRDefault="00027583" w:rsidP="00027583">
                  <w:pPr>
                    <w:pStyle w:val="TableText"/>
                    <w:spacing w:before="40" w:after="40"/>
                    <w:rPr>
                      <w:rFonts w:cs="Arial"/>
                      <w:szCs w:val="21"/>
                    </w:rPr>
                  </w:pPr>
                  <w:r w:rsidRPr="005D4222">
                    <w:rPr>
                      <w:rFonts w:cs="Arial"/>
                      <w:szCs w:val="21"/>
                    </w:rPr>
                    <w:t>NumeratorByAdmin</w:t>
                  </w:r>
                </w:p>
              </w:tc>
              <w:tc>
                <w:tcPr>
                  <w:tcW w:w="2160"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069D81A0" w14:textId="77777777" w:rsidR="00027583" w:rsidRPr="005D4222" w:rsidRDefault="00027583" w:rsidP="00027583">
                  <w:pPr>
                    <w:pStyle w:val="TableText"/>
                    <w:spacing w:before="40" w:after="40"/>
                    <w:rPr>
                      <w:rFonts w:eastAsia="Wingdings" w:cs="Arial"/>
                      <w:szCs w:val="21"/>
                    </w:rPr>
                  </w:pPr>
                  <w:r w:rsidRPr="005D4222">
                    <w:rPr>
                      <w:rFonts w:eastAsia="Wingdings" w:cs="Arial"/>
                      <w:szCs w:val="21"/>
                    </w:rPr>
                    <w:t>For each Stratification</w:t>
                  </w:r>
                </w:p>
              </w:tc>
            </w:tr>
            <w:tr w:rsidR="00027583" w:rsidRPr="005D4222" w14:paraId="58576866" w14:textId="77777777">
              <w:tc>
                <w:tcPr>
                  <w:tcW w:w="1976" w:type="dxa"/>
                  <w:tcBorders>
                    <w:top w:val="nil"/>
                    <w:left w:val="nil"/>
                    <w:bottom w:val="nil"/>
                    <w:right w:val="nil"/>
                  </w:tcBorders>
                </w:tcPr>
                <w:p w14:paraId="24EEC662" w14:textId="77777777" w:rsidR="00027583" w:rsidRPr="005D4222" w:rsidRDefault="00027583" w:rsidP="00027583">
                  <w:pPr>
                    <w:pStyle w:val="TableText"/>
                    <w:spacing w:before="40" w:after="40"/>
                    <w:rPr>
                      <w:rFonts w:cs="Arial"/>
                      <w:szCs w:val="21"/>
                    </w:rPr>
                  </w:pPr>
                </w:p>
              </w:tc>
              <w:tc>
                <w:tcPr>
                  <w:tcW w:w="810" w:type="dxa"/>
                  <w:tcBorders>
                    <w:top w:val="single" w:sz="4" w:space="0" w:color="auto"/>
                    <w:left w:val="nil"/>
                    <w:bottom w:val="nil"/>
                    <w:right w:val="single" w:sz="4" w:space="0" w:color="auto"/>
                  </w:tcBorders>
                </w:tcPr>
                <w:p w14:paraId="773D5FAF" w14:textId="77777777" w:rsidR="00027583" w:rsidRPr="005D4222" w:rsidRDefault="00027583" w:rsidP="00027583">
                  <w:pPr>
                    <w:pStyle w:val="TableText"/>
                    <w:spacing w:before="40" w:after="40"/>
                    <w:rPr>
                      <w:rFonts w:cs="Arial"/>
                      <w:szCs w:val="21"/>
                    </w:rPr>
                  </w:pPr>
                </w:p>
              </w:tc>
              <w:tc>
                <w:tcPr>
                  <w:tcW w:w="2430" w:type="dxa"/>
                  <w:tcBorders>
                    <w:top w:val="single" w:sz="4" w:space="0" w:color="auto"/>
                    <w:left w:val="single" w:sz="4" w:space="0" w:color="auto"/>
                    <w:bottom w:val="single" w:sz="4" w:space="0" w:color="auto"/>
                    <w:right w:val="single" w:sz="4" w:space="0" w:color="auto"/>
                  </w:tcBorders>
                  <w:shd w:val="clear" w:color="auto" w:fill="FFFFFF" w:themeFill="background1"/>
                </w:tcPr>
                <w:p w14:paraId="088CC4B9" w14:textId="77777777" w:rsidR="00027583" w:rsidRPr="005D4222" w:rsidRDefault="00027583" w:rsidP="00027583">
                  <w:pPr>
                    <w:pStyle w:val="TableText"/>
                    <w:spacing w:before="40" w:after="40"/>
                    <w:rPr>
                      <w:rFonts w:cs="Arial"/>
                      <w:szCs w:val="21"/>
                    </w:rPr>
                  </w:pPr>
                  <w:r w:rsidRPr="005D4222">
                    <w:t>NumeratorBySupplemental</w:t>
                  </w:r>
                </w:p>
              </w:tc>
              <w:tc>
                <w:tcPr>
                  <w:tcW w:w="2160" w:type="dxa"/>
                  <w:tcBorders>
                    <w:top w:val="single" w:sz="6" w:space="0" w:color="auto"/>
                    <w:left w:val="single" w:sz="4" w:space="0" w:color="auto"/>
                    <w:bottom w:val="single" w:sz="6" w:space="0" w:color="auto"/>
                    <w:right w:val="single" w:sz="4" w:space="0" w:color="auto"/>
                  </w:tcBorders>
                  <w:shd w:val="clear" w:color="auto" w:fill="FFFFFF" w:themeFill="background1"/>
                </w:tcPr>
                <w:p w14:paraId="1B63A255" w14:textId="77777777" w:rsidR="00027583" w:rsidRPr="005D4222" w:rsidRDefault="00027583" w:rsidP="00027583">
                  <w:pPr>
                    <w:pStyle w:val="TableText"/>
                    <w:spacing w:before="40" w:after="40"/>
                    <w:rPr>
                      <w:rFonts w:eastAsia="Wingdings" w:cs="Arial"/>
                      <w:szCs w:val="21"/>
                    </w:rPr>
                  </w:pPr>
                  <w:r w:rsidRPr="005D4222">
                    <w:rPr>
                      <w:rFonts w:eastAsia="Wingdings"/>
                    </w:rPr>
                    <w:t>For each Stratification</w:t>
                  </w:r>
                </w:p>
              </w:tc>
            </w:tr>
            <w:tr w:rsidR="00027583" w:rsidRPr="005D4222" w14:paraId="4DCF6CBC" w14:textId="77777777">
              <w:tc>
                <w:tcPr>
                  <w:tcW w:w="1976" w:type="dxa"/>
                  <w:tcBorders>
                    <w:top w:val="nil"/>
                    <w:left w:val="nil"/>
                    <w:bottom w:val="nil"/>
                    <w:right w:val="nil"/>
                  </w:tcBorders>
                </w:tcPr>
                <w:p w14:paraId="2C4D02DF" w14:textId="77777777" w:rsidR="00027583" w:rsidRPr="005D4222" w:rsidRDefault="00027583" w:rsidP="00027583">
                  <w:pPr>
                    <w:pStyle w:val="TableText"/>
                    <w:spacing w:before="40" w:after="40"/>
                    <w:rPr>
                      <w:rFonts w:cs="Arial"/>
                      <w:szCs w:val="21"/>
                    </w:rPr>
                  </w:pPr>
                </w:p>
              </w:tc>
              <w:tc>
                <w:tcPr>
                  <w:tcW w:w="810" w:type="dxa"/>
                  <w:tcBorders>
                    <w:top w:val="nil"/>
                    <w:left w:val="nil"/>
                    <w:bottom w:val="nil"/>
                    <w:right w:val="single" w:sz="4" w:space="0" w:color="auto"/>
                  </w:tcBorders>
                </w:tcPr>
                <w:p w14:paraId="2173FB7B" w14:textId="77777777" w:rsidR="00027583" w:rsidRPr="005D4222" w:rsidRDefault="00027583" w:rsidP="00027583">
                  <w:pPr>
                    <w:pStyle w:val="TableText"/>
                    <w:spacing w:before="40" w:after="40"/>
                    <w:rPr>
                      <w:rFonts w:cs="Arial"/>
                      <w:szCs w:val="21"/>
                    </w:rPr>
                  </w:pPr>
                </w:p>
              </w:tc>
              <w:tc>
                <w:tcPr>
                  <w:tcW w:w="24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98368AF" w14:textId="77777777" w:rsidR="00027583" w:rsidRPr="005D4222" w:rsidRDefault="00027583" w:rsidP="00027583">
                  <w:pPr>
                    <w:pStyle w:val="TableText"/>
                    <w:spacing w:before="40" w:after="40"/>
                  </w:pPr>
                  <w:r w:rsidRPr="005D4222">
                    <w:t>Rate</w:t>
                  </w:r>
                </w:p>
              </w:tc>
              <w:tc>
                <w:tcPr>
                  <w:tcW w:w="2160" w:type="dxa"/>
                  <w:tcBorders>
                    <w:top w:val="single" w:sz="6" w:space="0" w:color="auto"/>
                    <w:left w:val="single" w:sz="4" w:space="0" w:color="auto"/>
                    <w:bottom w:val="single" w:sz="6" w:space="0" w:color="auto"/>
                    <w:right w:val="single" w:sz="4" w:space="0" w:color="auto"/>
                  </w:tcBorders>
                  <w:shd w:val="clear" w:color="auto" w:fill="D9D9D9" w:themeFill="background1" w:themeFillShade="D9"/>
                </w:tcPr>
                <w:p w14:paraId="4153FAF5" w14:textId="77777777" w:rsidR="00027583" w:rsidRPr="005D4222" w:rsidRDefault="00027583" w:rsidP="00027583">
                  <w:pPr>
                    <w:pStyle w:val="TableText"/>
                    <w:spacing w:before="40" w:after="40"/>
                    <w:rPr>
                      <w:rFonts w:eastAsia="Wingdings"/>
                    </w:rPr>
                  </w:pPr>
                  <w:r w:rsidRPr="005D4222">
                    <w:rPr>
                      <w:rFonts w:eastAsia="Wingdings"/>
                    </w:rPr>
                    <w:t>(Percent)</w:t>
                  </w:r>
                </w:p>
              </w:tc>
            </w:tr>
          </w:tbl>
          <w:p w14:paraId="298B3912" w14:textId="77777777" w:rsidR="00027583" w:rsidRPr="005D4222" w:rsidRDefault="00027583">
            <w:pPr>
              <w:pStyle w:val="ECDSBody"/>
              <w:rPr>
                <w:color w:val="000000" w:themeColor="text1"/>
                <w:highlight w:val="yellow"/>
              </w:rPr>
            </w:pPr>
          </w:p>
        </w:tc>
      </w:tr>
      <w:tr w:rsidR="00027583" w:rsidRPr="005D4222" w14:paraId="4CCE5A20" w14:textId="77777777">
        <w:tc>
          <w:tcPr>
            <w:tcW w:w="2157"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2BD44496" w14:textId="77777777" w:rsidR="00027583" w:rsidRPr="005D4222" w:rsidRDefault="00027583">
            <w:pPr>
              <w:pStyle w:val="ECDSMarginHead"/>
            </w:pPr>
            <w:r w:rsidRPr="005D4222">
              <w:t>Rules for Allowable Adjustments</w:t>
            </w:r>
          </w:p>
        </w:tc>
        <w:tc>
          <w:tcPr>
            <w:tcW w:w="7561" w:type="dxa"/>
            <w:tcBorders>
              <w:top w:val="single" w:sz="4" w:space="0" w:color="auto"/>
              <w:left w:val="single" w:sz="4" w:space="0" w:color="auto"/>
              <w:right w:val="single" w:sz="4" w:space="0" w:color="auto"/>
            </w:tcBorders>
            <w:tcMar>
              <w:top w:w="0" w:type="dxa"/>
              <w:left w:w="86" w:type="dxa"/>
              <w:bottom w:w="43" w:type="dxa"/>
              <w:right w:w="86" w:type="dxa"/>
            </w:tcMar>
          </w:tcPr>
          <w:p w14:paraId="0957F5C1" w14:textId="77777777" w:rsidR="00027583" w:rsidRPr="005D4222" w:rsidRDefault="00027583">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0E7B96A0" w14:textId="77777777" w:rsidR="00027583" w:rsidRPr="005D4222" w:rsidRDefault="00027583">
            <w:pPr>
              <w:pStyle w:val="ECDSBody"/>
              <w:rPr>
                <w:b/>
              </w:rPr>
            </w:pPr>
            <w:r w:rsidRPr="005D4222">
              <w:rPr>
                <w:b/>
              </w:rPr>
              <w:t>Adjusted HEDIS measures may not be used for HEDIS health plan reporting.</w:t>
            </w:r>
          </w:p>
          <w:p w14:paraId="364E43BB" w14:textId="77777777" w:rsidR="00027583" w:rsidRPr="005D4222" w:rsidRDefault="00027583">
            <w:pPr>
              <w:pStyle w:val="Adjustments"/>
              <w:rPr>
                <w:b w:val="0"/>
              </w:rPr>
            </w:pPr>
            <w:r w:rsidRPr="005D4222">
              <w:t>Adjustments</w:t>
            </w:r>
            <w:r w:rsidRPr="005D4222">
              <w:rPr>
                <w:bCs/>
              </w:rPr>
              <w:t xml:space="preserve"> a</w:t>
            </w:r>
            <w:r w:rsidRPr="005D4222">
              <w:t>llowed</w:t>
            </w:r>
          </w:p>
          <w:p w14:paraId="73891AF9" w14:textId="781C87E5" w:rsidR="00027583" w:rsidRPr="005D4222" w:rsidRDefault="00027583" w:rsidP="002C075D">
            <w:pPr>
              <w:pStyle w:val="ProcessBullet"/>
              <w:numPr>
                <w:ilvl w:val="0"/>
                <w:numId w:val="53"/>
              </w:numPr>
              <w:ind w:left="216" w:hanging="216"/>
              <w:rPr>
                <w:b/>
                <w:color w:val="000000" w:themeColor="text1"/>
              </w:rPr>
            </w:pPr>
            <w:r w:rsidRPr="005D4222">
              <w:rPr>
                <w:i/>
                <w:iCs/>
              </w:rPr>
              <w:t>Product lines</w:t>
            </w:r>
            <w:r w:rsidRPr="005D4222">
              <w:rPr>
                <w:i/>
              </w:rPr>
              <w:t xml:space="preserve">. </w:t>
            </w:r>
            <w:r w:rsidRPr="005D4222">
              <w:rPr>
                <w:rFonts w:eastAsia="Arial"/>
              </w:rPr>
              <w:t>Organizations are not required to use product line criteria; product lines may be combined</w:t>
            </w:r>
            <w:r w:rsidR="00E8671F" w:rsidRPr="005D4222">
              <w:rPr>
                <w:rFonts w:eastAsia="Arial"/>
              </w:rPr>
              <w:t>,</w:t>
            </w:r>
            <w:r w:rsidRPr="005D4222">
              <w:rPr>
                <w:rFonts w:eastAsia="Arial"/>
              </w:rPr>
              <w:t xml:space="preserve"> and all (or no) product line criteria may be used.</w:t>
            </w:r>
          </w:p>
          <w:p w14:paraId="6DDCAB94" w14:textId="77777777" w:rsidR="00027583" w:rsidRPr="005D4222" w:rsidRDefault="00027583" w:rsidP="002C075D">
            <w:pPr>
              <w:pStyle w:val="ProcessBullet"/>
              <w:numPr>
                <w:ilvl w:val="0"/>
                <w:numId w:val="53"/>
              </w:numPr>
              <w:ind w:left="216" w:hanging="216"/>
              <w:rPr>
                <w:b/>
                <w:bCs/>
                <w:color w:val="000000" w:themeColor="text1"/>
              </w:rPr>
            </w:pPr>
            <w:r w:rsidRPr="005D4222">
              <w:rPr>
                <w:i/>
                <w:iCs/>
              </w:rPr>
              <w:t>Attribution.</w:t>
            </w:r>
            <w:r w:rsidRPr="005D4222">
              <w:t xml:space="preserve"> Organizations are not required to use enrollment criteria. </w:t>
            </w:r>
          </w:p>
          <w:p w14:paraId="45AF46F9" w14:textId="6CAFDE51" w:rsidR="00027583" w:rsidRPr="005D4222" w:rsidRDefault="00362E76" w:rsidP="002C075D">
            <w:pPr>
              <w:pStyle w:val="ProcessBullet"/>
              <w:numPr>
                <w:ilvl w:val="0"/>
                <w:numId w:val="53"/>
              </w:numPr>
              <w:ind w:left="216" w:hanging="216"/>
              <w:rPr>
                <w:b/>
                <w:bCs/>
                <w:color w:val="000000" w:themeColor="text1"/>
              </w:rPr>
            </w:pPr>
            <w:r w:rsidRPr="005D4222">
              <w:rPr>
                <w:i/>
                <w:iCs/>
              </w:rPr>
              <w:t>Benefits.</w:t>
            </w:r>
            <w:r w:rsidR="00027583" w:rsidRPr="005D4222">
              <w:t xml:space="preserve"> Organizations are not required to use a benefit.</w:t>
            </w:r>
          </w:p>
          <w:p w14:paraId="7042A22F" w14:textId="77777777" w:rsidR="00027583" w:rsidRPr="005D4222" w:rsidRDefault="00027583">
            <w:pPr>
              <w:pStyle w:val="ProcessBullet"/>
              <w:rPr>
                <w:b/>
                <w:bCs/>
                <w:color w:val="000000" w:themeColor="text1"/>
              </w:rPr>
            </w:pPr>
            <w:r w:rsidRPr="005D4222">
              <w:rPr>
                <w:i/>
                <w:iCs/>
              </w:rPr>
              <w:t>Other.</w:t>
            </w:r>
            <w:r w:rsidRPr="005D4222">
              <w:t xml:space="preserve"> Organizations may use additional initial population criteria to focus on an area of interest defined by gender, race, ethnicity, socioeconomic or sociodemographic characteristics, geographic region or another characteristic.</w:t>
            </w:r>
          </w:p>
          <w:p w14:paraId="4754DC36" w14:textId="77777777" w:rsidR="00027583" w:rsidRPr="005D4222" w:rsidRDefault="00027583" w:rsidP="002C075D">
            <w:pPr>
              <w:pStyle w:val="ProcessBullet"/>
              <w:numPr>
                <w:ilvl w:val="0"/>
                <w:numId w:val="53"/>
              </w:numPr>
              <w:ind w:left="216" w:hanging="216"/>
              <w:rPr>
                <w:b/>
                <w:bCs/>
                <w:color w:val="000000" w:themeColor="text1"/>
              </w:rPr>
            </w:pPr>
            <w:r w:rsidRPr="005D4222">
              <w:rPr>
                <w:i/>
                <w:iCs/>
              </w:rPr>
              <w:t>Measurement period adjustments.</w:t>
            </w:r>
            <w:r w:rsidRPr="005D4222">
              <w:t xml:space="preserve"> Organizations may adjust the measurement period. </w:t>
            </w:r>
          </w:p>
          <w:p w14:paraId="1D90D644" w14:textId="77777777" w:rsidR="00027583" w:rsidRPr="005D4222" w:rsidRDefault="00027583" w:rsidP="002C075D">
            <w:pPr>
              <w:pStyle w:val="ProcessBullet"/>
              <w:numPr>
                <w:ilvl w:val="0"/>
                <w:numId w:val="53"/>
              </w:numPr>
              <w:ind w:left="216" w:hanging="216"/>
              <w:rPr>
                <w:b/>
              </w:rPr>
            </w:pPr>
            <w:r w:rsidRPr="005D4222">
              <w:rPr>
                <w:rFonts w:eastAsia="Arial"/>
                <w:i/>
              </w:rPr>
              <w:t>Exclusions.</w:t>
            </w:r>
            <w:r w:rsidRPr="005D4222">
              <w:rPr>
                <w:rFonts w:eastAsia="Arial"/>
                <w:i/>
                <w:iCs/>
              </w:rPr>
              <w:t xml:space="preserve"> </w:t>
            </w:r>
            <w:r w:rsidRPr="005D4222">
              <w:rPr>
                <w:rFonts w:eastAsia="Arial"/>
                <w:iCs/>
              </w:rPr>
              <w:t xml:space="preserve">The hospice and deceased person exclusions are not required. </w:t>
            </w:r>
          </w:p>
          <w:p w14:paraId="5878AF97" w14:textId="77777777" w:rsidR="00027583" w:rsidRPr="005D4222" w:rsidRDefault="00027583" w:rsidP="002C075D">
            <w:pPr>
              <w:pStyle w:val="ProcessBullet"/>
              <w:numPr>
                <w:ilvl w:val="0"/>
                <w:numId w:val="53"/>
              </w:numPr>
              <w:ind w:left="216" w:hanging="216"/>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28F5193C" w14:textId="77777777" w:rsidR="00027583" w:rsidRPr="005D4222" w:rsidRDefault="00027583" w:rsidP="002C075D">
            <w:pPr>
              <w:pStyle w:val="ProcessBullet"/>
              <w:numPr>
                <w:ilvl w:val="0"/>
                <w:numId w:val="53"/>
              </w:numPr>
              <w:ind w:left="216" w:hanging="216"/>
            </w:pPr>
            <w:r w:rsidRPr="005D4222">
              <w:rPr>
                <w:i/>
                <w:iCs/>
              </w:rPr>
              <w:t>Supplemental data.</w:t>
            </w:r>
            <w:r w:rsidRPr="005D4222">
              <w:t xml:space="preserve"> Supplemental data may be used to identify initial population, denominator, exclusion and numerator events.</w:t>
            </w:r>
          </w:p>
          <w:p w14:paraId="5DD5E36B" w14:textId="77777777" w:rsidR="00027583" w:rsidRPr="005D4222" w:rsidRDefault="00027583">
            <w:pPr>
              <w:pStyle w:val="Adjustments"/>
              <w:rPr>
                <w:b w:val="0"/>
                <w:bCs/>
              </w:rPr>
            </w:pPr>
            <w:r w:rsidRPr="005D4222">
              <w:t>Adjustments allowed with limits</w:t>
            </w:r>
          </w:p>
          <w:p w14:paraId="71826ACB" w14:textId="77777777" w:rsidR="00027583" w:rsidRPr="005D4222" w:rsidRDefault="00027583" w:rsidP="002C075D">
            <w:pPr>
              <w:pStyle w:val="ProcessBullet"/>
              <w:numPr>
                <w:ilvl w:val="0"/>
                <w:numId w:val="54"/>
              </w:numPr>
              <w:spacing w:after="80"/>
              <w:ind w:left="216" w:hanging="216"/>
            </w:pPr>
            <w:r w:rsidRPr="005D4222">
              <w:rPr>
                <w:i/>
                <w:iCs/>
              </w:rPr>
              <w:t>Ages</w:t>
            </w:r>
            <w:r w:rsidRPr="005D4222">
              <w:t>. Age determination dates may be changed (e.g., select, “age as of June 30”). The denominator age may not be expanded.</w:t>
            </w:r>
          </w:p>
          <w:p w14:paraId="3347CF4E" w14:textId="77777777" w:rsidR="00027583" w:rsidRPr="005D4222" w:rsidRDefault="00027583">
            <w:pPr>
              <w:pStyle w:val="Adjustments"/>
            </w:pPr>
            <w:r w:rsidRPr="005D4222">
              <w:t>Adjustments not allowed</w:t>
            </w:r>
          </w:p>
          <w:p w14:paraId="64E8A9FE" w14:textId="77777777" w:rsidR="00027583" w:rsidRPr="005D4222" w:rsidRDefault="00027583" w:rsidP="002C075D">
            <w:pPr>
              <w:pStyle w:val="ProcessBullet"/>
              <w:numPr>
                <w:ilvl w:val="0"/>
                <w:numId w:val="55"/>
              </w:numPr>
              <w:spacing w:after="80"/>
              <w:ind w:left="216" w:hanging="216"/>
            </w:pPr>
            <w:r w:rsidRPr="005D4222">
              <w:rPr>
                <w:rFonts w:eastAsia="Arial"/>
                <w:i/>
                <w:iCs/>
              </w:rPr>
              <w:t>Numerator</w:t>
            </w:r>
            <w:r w:rsidRPr="005D4222">
              <w:rPr>
                <w:rFonts w:eastAsia="Arial"/>
              </w:rPr>
              <w:t xml:space="preserve">. </w:t>
            </w:r>
            <w:r w:rsidRPr="005D4222">
              <w:t>Value sets and logic may not be changed.</w:t>
            </w:r>
          </w:p>
        </w:tc>
      </w:tr>
    </w:tbl>
    <w:p w14:paraId="12719325" w14:textId="77777777" w:rsidR="00027583" w:rsidRPr="005D4222" w:rsidRDefault="00027583" w:rsidP="00C0602D">
      <w:pPr>
        <w:pStyle w:val="ECDSBody"/>
        <w:spacing w:before="0" w:after="0"/>
        <w:sectPr w:rsidR="00027583" w:rsidRPr="005D4222" w:rsidSect="0074514A">
          <w:headerReference w:type="default" r:id="rId115"/>
          <w:footerReference w:type="default" r:id="rId116"/>
          <w:type w:val="nextColumn"/>
          <w:pgSz w:w="12240" w:h="15840" w:code="1"/>
          <w:pgMar w:top="1080" w:right="1080" w:bottom="1080" w:left="1440" w:header="720" w:footer="720" w:gutter="0"/>
          <w:cols w:space="720"/>
          <w:docGrid w:linePitch="360"/>
        </w:sectPr>
      </w:pPr>
    </w:p>
    <w:p w14:paraId="1EF22C60" w14:textId="306380FF" w:rsidR="00027583" w:rsidRPr="005D4222" w:rsidRDefault="00027583" w:rsidP="00027583">
      <w:pPr>
        <w:pStyle w:val="MeasureTitle"/>
      </w:pPr>
      <w:bookmarkStart w:id="298" w:name="_Toc201813409"/>
      <w:r w:rsidRPr="005D4222">
        <w:lastRenderedPageBreak/>
        <w:t>Follow-Up After Hospitalization for Mental Illness</w:t>
      </w:r>
      <w:r w:rsidR="0096709F" w:rsidRPr="005D4222">
        <w:t xml:space="preserve"> (FUH)</w:t>
      </w:r>
      <w:bookmarkEnd w:id="298"/>
    </w:p>
    <w:tbl>
      <w:tblPr>
        <w:tblW w:w="5002"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1977"/>
        <w:gridCol w:w="5401"/>
        <w:gridCol w:w="1392"/>
        <w:gridCol w:w="948"/>
      </w:tblGrid>
      <w:tr w:rsidR="00027583" w:rsidRPr="005D4222" w14:paraId="2F5F7A4F" w14:textId="77777777">
        <w:trPr>
          <w:trHeight w:val="300"/>
        </w:trPr>
        <w:tc>
          <w:tcPr>
            <w:tcW w:w="1977" w:type="dxa"/>
            <w:shd w:val="clear" w:color="auto" w:fill="BFBFBF" w:themeFill="background1" w:themeFillShade="BF"/>
            <w:tcMar>
              <w:top w:w="0" w:type="dxa"/>
              <w:left w:w="86" w:type="dxa"/>
              <w:bottom w:w="43" w:type="dxa"/>
              <w:right w:w="86" w:type="dxa"/>
            </w:tcMar>
            <w:hideMark/>
          </w:tcPr>
          <w:p w14:paraId="5E88F476" w14:textId="77777777" w:rsidR="00027583" w:rsidRPr="005D4222" w:rsidRDefault="00027583">
            <w:pPr>
              <w:pStyle w:val="ECDSMarginHead"/>
            </w:pPr>
            <w:r w:rsidRPr="005D4222">
              <w:t>Measure title</w:t>
            </w:r>
          </w:p>
        </w:tc>
        <w:tc>
          <w:tcPr>
            <w:tcW w:w="5401" w:type="dxa"/>
            <w:tcMar>
              <w:top w:w="0" w:type="dxa"/>
              <w:left w:w="86" w:type="dxa"/>
              <w:bottom w:w="43" w:type="dxa"/>
              <w:right w:w="86" w:type="dxa"/>
            </w:tcMar>
          </w:tcPr>
          <w:p w14:paraId="47174702" w14:textId="77777777" w:rsidR="00027583" w:rsidRPr="005D4222" w:rsidRDefault="00027583">
            <w:pPr>
              <w:pStyle w:val="ECDSBody"/>
            </w:pPr>
            <w:r w:rsidRPr="005D4222">
              <w:t>Follow-Up After Hospitalization for Mental Illness</w:t>
            </w:r>
          </w:p>
        </w:tc>
        <w:tc>
          <w:tcPr>
            <w:tcW w:w="1392" w:type="dxa"/>
            <w:shd w:val="clear" w:color="auto" w:fill="BFBFBF" w:themeFill="background1" w:themeFillShade="BF"/>
            <w:tcMar>
              <w:top w:w="0" w:type="dxa"/>
              <w:left w:w="86" w:type="dxa"/>
              <w:bottom w:w="43" w:type="dxa"/>
              <w:right w:w="86" w:type="dxa"/>
            </w:tcMar>
          </w:tcPr>
          <w:p w14:paraId="630BE008" w14:textId="77777777" w:rsidR="00027583" w:rsidRPr="005D4222" w:rsidRDefault="00027583">
            <w:pPr>
              <w:pStyle w:val="ECDSMarginHead"/>
            </w:pPr>
            <w:r w:rsidRPr="005D4222">
              <w:t>Measure ID</w:t>
            </w:r>
          </w:p>
        </w:tc>
        <w:tc>
          <w:tcPr>
            <w:tcW w:w="948" w:type="dxa"/>
            <w:tcMar>
              <w:top w:w="0" w:type="dxa"/>
              <w:left w:w="86" w:type="dxa"/>
              <w:bottom w:w="43" w:type="dxa"/>
              <w:right w:w="86" w:type="dxa"/>
            </w:tcMar>
          </w:tcPr>
          <w:p w14:paraId="599E779C" w14:textId="77777777" w:rsidR="00027583" w:rsidRPr="005D4222" w:rsidRDefault="00027583">
            <w:pPr>
              <w:pStyle w:val="ECDSBody"/>
            </w:pPr>
            <w:r w:rsidRPr="005D4222">
              <w:t>FUH</w:t>
            </w:r>
          </w:p>
        </w:tc>
      </w:tr>
      <w:tr w:rsidR="00027583" w:rsidRPr="005D4222" w14:paraId="7CE9172E" w14:textId="77777777">
        <w:trPr>
          <w:trHeight w:val="300"/>
        </w:trPr>
        <w:tc>
          <w:tcPr>
            <w:tcW w:w="1977" w:type="dxa"/>
            <w:shd w:val="clear" w:color="auto" w:fill="BFBFBF" w:themeFill="background1" w:themeFillShade="BF"/>
            <w:tcMar>
              <w:top w:w="0" w:type="dxa"/>
              <w:left w:w="86" w:type="dxa"/>
              <w:bottom w:w="43" w:type="dxa"/>
              <w:right w:w="86" w:type="dxa"/>
            </w:tcMar>
            <w:hideMark/>
          </w:tcPr>
          <w:p w14:paraId="7CE3EBFB" w14:textId="77777777" w:rsidR="00027583" w:rsidRPr="005D4222" w:rsidRDefault="00027583">
            <w:pPr>
              <w:pStyle w:val="ECDSMarginHead"/>
            </w:pPr>
            <w:r w:rsidRPr="005D4222">
              <w:t>Description</w:t>
            </w:r>
          </w:p>
        </w:tc>
        <w:tc>
          <w:tcPr>
            <w:tcW w:w="7741" w:type="dxa"/>
            <w:gridSpan w:val="3"/>
            <w:tcMar>
              <w:top w:w="0" w:type="dxa"/>
              <w:left w:w="86" w:type="dxa"/>
              <w:bottom w:w="43" w:type="dxa"/>
              <w:right w:w="86" w:type="dxa"/>
            </w:tcMar>
          </w:tcPr>
          <w:p w14:paraId="4EE100BB" w14:textId="77777777" w:rsidR="00027583" w:rsidRPr="005D4222" w:rsidRDefault="00027583">
            <w:pPr>
              <w:pStyle w:val="ECDSBody"/>
            </w:pPr>
            <w:r w:rsidRPr="005D4222">
              <w:t>The percentage of discharges for persons 6 years of age and older who were hospitalized for a principal diagnosis of mental illness, or any diagnosis of intentional self-harm, and had a mental health follow-up service. Two rates are reported:</w:t>
            </w:r>
          </w:p>
          <w:p w14:paraId="28E5EC36" w14:textId="77777777" w:rsidR="00027583" w:rsidRPr="005D4222" w:rsidRDefault="00027583" w:rsidP="002C075D">
            <w:pPr>
              <w:pStyle w:val="Body"/>
              <w:numPr>
                <w:ilvl w:val="0"/>
                <w:numId w:val="56"/>
              </w:numPr>
              <w:spacing w:before="80" w:after="80"/>
              <w:ind w:left="648" w:hanging="288"/>
              <w:rPr>
                <w:rFonts w:cs="Arial"/>
              </w:rPr>
            </w:pPr>
            <w:r w:rsidRPr="005D4222">
              <w:rPr>
                <w:rFonts w:cs="Arial"/>
              </w:rPr>
              <w:t>The percentage of discharges for which the person received follow-up within 30 days after discharge.</w:t>
            </w:r>
          </w:p>
          <w:p w14:paraId="17A3AB23" w14:textId="77777777" w:rsidR="00027583" w:rsidRPr="005D4222" w:rsidRDefault="00027583" w:rsidP="002C075D">
            <w:pPr>
              <w:pStyle w:val="Body"/>
              <w:numPr>
                <w:ilvl w:val="0"/>
                <w:numId w:val="56"/>
              </w:numPr>
              <w:spacing w:before="80" w:after="80"/>
              <w:ind w:left="648" w:hanging="288"/>
              <w:rPr>
                <w:rFonts w:cs="Arial"/>
              </w:rPr>
            </w:pPr>
            <w:r w:rsidRPr="005D4222">
              <w:rPr>
                <w:rFonts w:cs="Arial"/>
              </w:rPr>
              <w:t>The percentage of discharges for which the person received follow-up within 7 days after discharge.</w:t>
            </w:r>
          </w:p>
        </w:tc>
      </w:tr>
      <w:tr w:rsidR="00027583" w:rsidRPr="005D4222" w14:paraId="5B6AA985" w14:textId="77777777">
        <w:trPr>
          <w:trHeight w:val="300"/>
        </w:trPr>
        <w:tc>
          <w:tcPr>
            <w:tcW w:w="1977" w:type="dxa"/>
            <w:shd w:val="clear" w:color="auto" w:fill="BFBFBF" w:themeFill="background1" w:themeFillShade="BF"/>
            <w:tcMar>
              <w:top w:w="0" w:type="dxa"/>
              <w:left w:w="86" w:type="dxa"/>
              <w:bottom w:w="43" w:type="dxa"/>
              <w:right w:w="86" w:type="dxa"/>
            </w:tcMar>
          </w:tcPr>
          <w:p w14:paraId="152B4C21" w14:textId="77777777" w:rsidR="00027583" w:rsidRPr="005D4222" w:rsidRDefault="00027583">
            <w:pPr>
              <w:pStyle w:val="ECDSMarginHead"/>
            </w:pPr>
            <w:r w:rsidRPr="005D4222">
              <w:t>Measurement period</w:t>
            </w:r>
          </w:p>
        </w:tc>
        <w:tc>
          <w:tcPr>
            <w:tcW w:w="7741" w:type="dxa"/>
            <w:gridSpan w:val="3"/>
            <w:tcMar>
              <w:top w:w="0" w:type="dxa"/>
              <w:left w:w="86" w:type="dxa"/>
              <w:bottom w:w="43" w:type="dxa"/>
              <w:right w:w="86" w:type="dxa"/>
            </w:tcMar>
          </w:tcPr>
          <w:p w14:paraId="391450C0" w14:textId="77777777" w:rsidR="00027583" w:rsidRPr="005D4222" w:rsidRDefault="00027583">
            <w:pPr>
              <w:pStyle w:val="ECDSBody"/>
            </w:pPr>
            <w:r w:rsidRPr="005D4222">
              <w:t>January 1–December 31.</w:t>
            </w:r>
          </w:p>
        </w:tc>
      </w:tr>
      <w:tr w:rsidR="00027583" w:rsidRPr="005D4222" w14:paraId="1F5D1C40" w14:textId="77777777">
        <w:trPr>
          <w:trHeight w:val="300"/>
        </w:trPr>
        <w:tc>
          <w:tcPr>
            <w:tcW w:w="1977" w:type="dxa"/>
            <w:shd w:val="clear" w:color="auto" w:fill="BFBFBF" w:themeFill="background1" w:themeFillShade="BF"/>
            <w:tcMar>
              <w:top w:w="0" w:type="dxa"/>
              <w:left w:w="86" w:type="dxa"/>
              <w:bottom w:w="43" w:type="dxa"/>
              <w:right w:w="86" w:type="dxa"/>
            </w:tcMar>
            <w:hideMark/>
          </w:tcPr>
          <w:p w14:paraId="25F63001" w14:textId="77777777" w:rsidR="00027583" w:rsidRPr="005D4222" w:rsidRDefault="00027583">
            <w:pPr>
              <w:pStyle w:val="ECDSMarginHead"/>
              <w:rPr>
                <w:rFonts w:eastAsia="Arial"/>
              </w:rPr>
            </w:pPr>
            <w:r w:rsidRPr="005D4222">
              <w:rPr>
                <w:rFonts w:eastAsia="Arial"/>
              </w:rPr>
              <w:t>Copyright and disclaimer notice</w:t>
            </w:r>
          </w:p>
        </w:tc>
        <w:tc>
          <w:tcPr>
            <w:tcW w:w="7741" w:type="dxa"/>
            <w:gridSpan w:val="3"/>
            <w:tcMar>
              <w:top w:w="0" w:type="dxa"/>
              <w:left w:w="86" w:type="dxa"/>
              <w:bottom w:w="43" w:type="dxa"/>
              <w:right w:w="86" w:type="dxa"/>
            </w:tcMar>
          </w:tcPr>
          <w:p w14:paraId="709C6449" w14:textId="77777777" w:rsidR="00027583" w:rsidRPr="005D4222" w:rsidRDefault="00027583">
            <w:pPr>
              <w:pStyle w:val="ECDSBody"/>
            </w:pPr>
            <w:r w:rsidRPr="005D4222">
              <w:t xml:space="preserve">Refer to the complete copyright and disclaimer information at the front of this publication. </w:t>
            </w:r>
          </w:p>
          <w:p w14:paraId="3AC04120" w14:textId="77777777" w:rsidR="00027583" w:rsidRPr="005D4222" w:rsidRDefault="00027583">
            <w:pPr>
              <w:pStyle w:val="ECDSBody"/>
              <w:spacing w:before="80"/>
            </w:pPr>
            <w:r w:rsidRPr="005D4222">
              <w:t xml:space="preserve">NCQA website: </w:t>
            </w:r>
            <w:r w:rsidRPr="005D4222">
              <w:rPr>
                <w:u w:val="single"/>
              </w:rPr>
              <w:t>www.ncqa.org</w:t>
            </w:r>
            <w:r w:rsidRPr="005D4222">
              <w:t xml:space="preserve">.  </w:t>
            </w:r>
          </w:p>
          <w:p w14:paraId="7C8F4528" w14:textId="77777777" w:rsidR="00027583" w:rsidRPr="005D4222" w:rsidRDefault="00027583">
            <w:pPr>
              <w:pStyle w:val="ECDSBody"/>
              <w:spacing w:before="80"/>
            </w:pPr>
            <w:r w:rsidRPr="005D4222">
              <w:t>Submit policy clarification support questions via My NCQA (</w:t>
            </w:r>
            <w:r w:rsidRPr="005D4222">
              <w:rPr>
                <w:u w:val="single"/>
              </w:rPr>
              <w:t>https://my.ncqa.org</w:t>
            </w:r>
            <w:r w:rsidRPr="005D4222">
              <w:t>).</w:t>
            </w:r>
          </w:p>
        </w:tc>
      </w:tr>
      <w:tr w:rsidR="00027583" w:rsidRPr="005D4222" w14:paraId="7BA7EA35" w14:textId="77777777">
        <w:trPr>
          <w:trHeight w:val="655"/>
        </w:trPr>
        <w:tc>
          <w:tcPr>
            <w:tcW w:w="1977" w:type="dxa"/>
            <w:shd w:val="clear" w:color="auto" w:fill="BFBFBF" w:themeFill="background1" w:themeFillShade="BF"/>
            <w:tcMar>
              <w:top w:w="0" w:type="dxa"/>
              <w:left w:w="86" w:type="dxa"/>
              <w:bottom w:w="43" w:type="dxa"/>
              <w:right w:w="86" w:type="dxa"/>
            </w:tcMar>
            <w:hideMark/>
          </w:tcPr>
          <w:p w14:paraId="52117B85" w14:textId="77777777" w:rsidR="00027583" w:rsidRPr="005D4222" w:rsidRDefault="00027583">
            <w:pPr>
              <w:pStyle w:val="ECDSMarginHead"/>
            </w:pPr>
            <w:r w:rsidRPr="005D4222">
              <w:t>Clinical recommendation statement/ rationale</w:t>
            </w:r>
          </w:p>
        </w:tc>
        <w:tc>
          <w:tcPr>
            <w:tcW w:w="7741" w:type="dxa"/>
            <w:gridSpan w:val="3"/>
            <w:tcMar>
              <w:top w:w="0" w:type="dxa"/>
              <w:left w:w="86" w:type="dxa"/>
              <w:bottom w:w="43" w:type="dxa"/>
              <w:right w:w="86" w:type="dxa"/>
            </w:tcMar>
          </w:tcPr>
          <w:p w14:paraId="03BC86F8" w14:textId="77777777" w:rsidR="00027583" w:rsidRPr="005D4222" w:rsidRDefault="00027583">
            <w:pPr>
              <w:pStyle w:val="ECDSBody"/>
            </w:pPr>
            <w:r w:rsidRPr="005D4222">
              <w:t xml:space="preserve">Ensuring coordination of care for individuals leaving the inpatient setting is critical. Individuals discharged from these settings may face health risks, including potential medication non-compliance, social isolation, substance use, suicidal ideation or self-harm, as well as financial or practical challenges, such as stable housing. </w:t>
            </w:r>
          </w:p>
          <w:p w14:paraId="72928FEA" w14:textId="77777777" w:rsidR="00027583" w:rsidRPr="005D4222" w:rsidRDefault="00027583">
            <w:pPr>
              <w:pStyle w:val="ECDSBody"/>
            </w:pPr>
            <w:r w:rsidRPr="005D4222">
              <w:t>Follow-up services can act as a critical link between the inpatient setting and transition into the community, ensuring coordination of care and ongoing support. During follow-up, providers have the opportunity to evaluate progress, address emerging symptoms and concerns, and adjust the treatment plan as needed. Early interventions and proactive management of potential challenges can reduce risk of readmission and promote sustained well-being. Additionally, studies have shown that timely follow-up after psychiatric hospitalization can increase the likelihood of adherence to medication and outpatient treatment, and reduce risk of suicide.</w:t>
            </w:r>
          </w:p>
        </w:tc>
      </w:tr>
      <w:tr w:rsidR="00027583" w:rsidRPr="005D4222" w14:paraId="2F82037F" w14:textId="77777777">
        <w:trPr>
          <w:trHeight w:val="300"/>
        </w:trPr>
        <w:tc>
          <w:tcPr>
            <w:tcW w:w="1977" w:type="dxa"/>
            <w:shd w:val="clear" w:color="auto" w:fill="BFBFBF" w:themeFill="background1" w:themeFillShade="BF"/>
            <w:tcMar>
              <w:top w:w="0" w:type="dxa"/>
              <w:left w:w="86" w:type="dxa"/>
              <w:bottom w:w="43" w:type="dxa"/>
              <w:right w:w="86" w:type="dxa"/>
            </w:tcMar>
          </w:tcPr>
          <w:p w14:paraId="73D0EA2A" w14:textId="77777777" w:rsidR="00027583" w:rsidRPr="005D4222" w:rsidRDefault="00027583">
            <w:pPr>
              <w:pStyle w:val="ECDSMarginHead"/>
            </w:pPr>
            <w:r w:rsidRPr="005D4222">
              <w:t>Citations</w:t>
            </w:r>
          </w:p>
        </w:tc>
        <w:tc>
          <w:tcPr>
            <w:tcW w:w="7741" w:type="dxa"/>
            <w:gridSpan w:val="3"/>
            <w:tcMar>
              <w:top w:w="0" w:type="dxa"/>
              <w:left w:w="86" w:type="dxa"/>
              <w:bottom w:w="43" w:type="dxa"/>
              <w:right w:w="86" w:type="dxa"/>
            </w:tcMar>
          </w:tcPr>
          <w:p w14:paraId="30B4314A" w14:textId="77777777" w:rsidR="00027583" w:rsidRPr="005D4222" w:rsidRDefault="00027583">
            <w:pPr>
              <w:pStyle w:val="ECDSBody"/>
            </w:pPr>
            <w:r w:rsidRPr="005D4222">
              <w:t xml:space="preserve">Fontanella, C.A., L.A. Warner, J.D. Steelesmith, G. Brock, J.A. Bridge, &amp; J.V. Campo. 2020. “Association of Timely Outpatient Mental Health Services for Youths after Psychiatric Hospitalization with Risk of Death by Suicide.” </w:t>
            </w:r>
            <w:r w:rsidRPr="005D4222">
              <w:rPr>
                <w:i/>
                <w:iCs/>
              </w:rPr>
              <w:t>JAMA Network Open</w:t>
            </w:r>
            <w:r w:rsidRPr="005D4222">
              <w:t xml:space="preserve"> 3(8), E2012887.</w:t>
            </w:r>
          </w:p>
          <w:p w14:paraId="0BD3AA3E" w14:textId="77777777" w:rsidR="00027583" w:rsidRPr="005D4222" w:rsidRDefault="00027583">
            <w:pPr>
              <w:pStyle w:val="ECDSBody"/>
            </w:pPr>
            <w:r w:rsidRPr="005D4222">
              <w:t xml:space="preserve">Chung, D.T. C.J. Ryan, D. Hadzi-Pavlovic, S.P. Singh, C. Stanton, &amp; M.M. Large. 2017. “Suicide Rates After Discharge From Psychiatric Facilities: A Systematic Review and Meta-Analysis.” </w:t>
            </w:r>
            <w:r w:rsidRPr="005D4222">
              <w:rPr>
                <w:i/>
                <w:iCs/>
              </w:rPr>
              <w:t>JAMA Psychiatry</w:t>
            </w:r>
            <w:r w:rsidRPr="005D4222">
              <w:t xml:space="preserve"> 74(7), 694–702. </w:t>
            </w:r>
          </w:p>
          <w:p w14:paraId="1CA98C8F" w14:textId="0EF68223" w:rsidR="00027583" w:rsidRPr="005D4222" w:rsidRDefault="00027583" w:rsidP="00027583">
            <w:pPr>
              <w:pStyle w:val="ECDSBody"/>
            </w:pPr>
            <w:r w:rsidRPr="005D4222">
              <w:t xml:space="preserve">Fontanella, C.A., J.A. Bridge, S.C. Marcus, &amp; Campo, J.V. 2011. “Factors Associated with Antidepressant Adherence for Medicaid-Enrolled Children and Adolescents. </w:t>
            </w:r>
            <w:r w:rsidRPr="005D4222">
              <w:rPr>
                <w:i/>
                <w:iCs/>
              </w:rPr>
              <w:t>Annals of Pharmacotherapy</w:t>
            </w:r>
            <w:r w:rsidRPr="005D4222">
              <w:t xml:space="preserve"> 45(7-8), 898–909.</w:t>
            </w:r>
          </w:p>
        </w:tc>
      </w:tr>
    </w:tbl>
    <w:p w14:paraId="03161578" w14:textId="77777777" w:rsidR="00027583" w:rsidRPr="005D4222" w:rsidRDefault="00027583">
      <w:r w:rsidRPr="005D4222">
        <w:br w:type="page"/>
      </w:r>
    </w:p>
    <w:tbl>
      <w:tblPr>
        <w:tblW w:w="5002"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1977"/>
        <w:gridCol w:w="7741"/>
      </w:tblGrid>
      <w:tr w:rsidR="00027583" w:rsidRPr="005D4222" w14:paraId="7784CB43" w14:textId="77777777">
        <w:trPr>
          <w:trHeight w:val="300"/>
        </w:trPr>
        <w:tc>
          <w:tcPr>
            <w:tcW w:w="1977" w:type="dxa"/>
            <w:shd w:val="clear" w:color="auto" w:fill="BFBFBF" w:themeFill="background1" w:themeFillShade="BF"/>
            <w:tcMar>
              <w:top w:w="0" w:type="dxa"/>
              <w:left w:w="86" w:type="dxa"/>
              <w:bottom w:w="43" w:type="dxa"/>
              <w:right w:w="86" w:type="dxa"/>
            </w:tcMar>
          </w:tcPr>
          <w:p w14:paraId="7595FC45" w14:textId="77777777" w:rsidR="00027583" w:rsidRPr="005D4222" w:rsidRDefault="00027583">
            <w:pPr>
              <w:pStyle w:val="ECDSMarginHead"/>
            </w:pPr>
          </w:p>
        </w:tc>
        <w:tc>
          <w:tcPr>
            <w:tcW w:w="7741" w:type="dxa"/>
            <w:tcMar>
              <w:top w:w="0" w:type="dxa"/>
              <w:left w:w="86" w:type="dxa"/>
              <w:bottom w:w="43" w:type="dxa"/>
              <w:right w:w="86" w:type="dxa"/>
            </w:tcMar>
          </w:tcPr>
          <w:p w14:paraId="15FBCA19" w14:textId="4B66611B" w:rsidR="00027583" w:rsidRPr="005D4222" w:rsidRDefault="00027583">
            <w:pPr>
              <w:pStyle w:val="ECDSBody"/>
            </w:pPr>
            <w:r w:rsidRPr="005D4222">
              <w:t>Beadles, C.A., A.R. Ellis, J.C. Lichstein, J.F. Farley, C.T. Jackson, J.P. Morrissey, &amp; M.E. Domino. 2015. “First Outpatient Follow-Up After Psychiatric Hospitalization: Does One Size Fit All?”</w:t>
            </w:r>
            <w:r w:rsidRPr="005D4222">
              <w:rPr>
                <w:i/>
                <w:iCs/>
              </w:rPr>
              <w:t xml:space="preserve"> Psychiatric Services</w:t>
            </w:r>
            <w:r w:rsidRPr="005D4222">
              <w:t xml:space="preserve"> 66(4), 364–72. https://doi.org/10.1176/appi.ps.201400081</w:t>
            </w:r>
          </w:p>
        </w:tc>
      </w:tr>
      <w:tr w:rsidR="00027583" w:rsidRPr="005D4222" w14:paraId="3498819A" w14:textId="77777777">
        <w:trPr>
          <w:trHeight w:val="300"/>
        </w:trPr>
        <w:tc>
          <w:tcPr>
            <w:tcW w:w="9718" w:type="dxa"/>
            <w:gridSpan w:val="2"/>
            <w:tcBorders>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29CCE5CC" w14:textId="77777777" w:rsidR="00027583" w:rsidRPr="005D4222" w:rsidRDefault="00027583">
            <w:pPr>
              <w:pStyle w:val="ECDSMarginHead"/>
            </w:pPr>
            <w:r w:rsidRPr="005D4222">
              <w:t>Characteristics</w:t>
            </w:r>
          </w:p>
        </w:tc>
      </w:tr>
      <w:tr w:rsidR="00027583" w:rsidRPr="005D4222" w14:paraId="2440CA57" w14:textId="77777777">
        <w:trPr>
          <w:trHeight w:val="300"/>
        </w:trPr>
        <w:tc>
          <w:tcPr>
            <w:tcW w:w="197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59B0B727" w14:textId="77777777" w:rsidR="00027583" w:rsidRPr="005D4222" w:rsidRDefault="00027583">
            <w:pPr>
              <w:pStyle w:val="ECDSSubhead"/>
            </w:pPr>
            <w:r w:rsidRPr="005D4222">
              <w:t>Scoring</w:t>
            </w:r>
          </w:p>
        </w:tc>
        <w:tc>
          <w:tcPr>
            <w:tcW w:w="7741" w:type="dxa"/>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6B6F3493" w14:textId="77777777" w:rsidR="00027583" w:rsidRPr="005D4222" w:rsidRDefault="00027583">
            <w:pPr>
              <w:pStyle w:val="ECDSBody"/>
              <w:spacing w:after="0"/>
            </w:pPr>
            <w:r w:rsidRPr="005D4222">
              <w:t>Proportion.</w:t>
            </w:r>
          </w:p>
        </w:tc>
      </w:tr>
      <w:tr w:rsidR="00027583" w:rsidRPr="005D4222" w14:paraId="6E2F3D7D" w14:textId="77777777">
        <w:trPr>
          <w:trHeight w:val="300"/>
        </w:trPr>
        <w:tc>
          <w:tcPr>
            <w:tcW w:w="1977" w:type="dxa"/>
            <w:tcBorders>
              <w:top w:val="nil"/>
              <w:left w:val="single" w:sz="4" w:space="0" w:color="auto"/>
              <w:bottom w:val="nil"/>
              <w:right w:val="single" w:sz="4" w:space="0" w:color="auto"/>
            </w:tcBorders>
            <w:tcMar>
              <w:top w:w="0" w:type="dxa"/>
              <w:left w:w="86" w:type="dxa"/>
              <w:bottom w:w="43" w:type="dxa"/>
              <w:right w:w="86" w:type="dxa"/>
            </w:tcMar>
          </w:tcPr>
          <w:p w14:paraId="649F2479" w14:textId="77777777" w:rsidR="00027583" w:rsidRPr="005D4222" w:rsidRDefault="00027583">
            <w:pPr>
              <w:pStyle w:val="ECDSSubhead"/>
            </w:pPr>
            <w:r w:rsidRPr="005D4222">
              <w:t>Type</w:t>
            </w:r>
          </w:p>
        </w:tc>
        <w:tc>
          <w:tcPr>
            <w:tcW w:w="7741" w:type="dxa"/>
            <w:tcBorders>
              <w:top w:val="nil"/>
              <w:left w:val="single" w:sz="4" w:space="0" w:color="auto"/>
              <w:bottom w:val="nil"/>
              <w:right w:val="single" w:sz="4" w:space="0" w:color="auto"/>
            </w:tcBorders>
            <w:tcMar>
              <w:top w:w="0" w:type="dxa"/>
              <w:left w:w="86" w:type="dxa"/>
              <w:bottom w:w="43" w:type="dxa"/>
              <w:right w:w="86" w:type="dxa"/>
            </w:tcMar>
          </w:tcPr>
          <w:p w14:paraId="484730FD" w14:textId="77777777" w:rsidR="00027583" w:rsidRPr="005D4222" w:rsidRDefault="00027583">
            <w:pPr>
              <w:pStyle w:val="ECDSBody"/>
              <w:spacing w:after="0"/>
            </w:pPr>
            <w:r w:rsidRPr="005D4222">
              <w:t>Process.</w:t>
            </w:r>
          </w:p>
        </w:tc>
      </w:tr>
      <w:tr w:rsidR="00027583" w:rsidRPr="005D4222" w14:paraId="397DD798" w14:textId="77777777">
        <w:trPr>
          <w:trHeight w:val="333"/>
        </w:trPr>
        <w:tc>
          <w:tcPr>
            <w:tcW w:w="1977" w:type="dxa"/>
            <w:tcBorders>
              <w:top w:val="nil"/>
              <w:left w:val="single" w:sz="4" w:space="0" w:color="auto"/>
              <w:bottom w:val="nil"/>
              <w:right w:val="single" w:sz="4" w:space="0" w:color="auto"/>
            </w:tcBorders>
            <w:tcMar>
              <w:top w:w="0" w:type="dxa"/>
              <w:left w:w="86" w:type="dxa"/>
              <w:bottom w:w="43" w:type="dxa"/>
              <w:right w:w="86" w:type="dxa"/>
            </w:tcMar>
          </w:tcPr>
          <w:p w14:paraId="2556CD9D" w14:textId="2F809555" w:rsidR="00027583" w:rsidRPr="005D4222" w:rsidRDefault="00B51CDC">
            <w:pPr>
              <w:pStyle w:val="ECDSSubhead"/>
            </w:pPr>
            <w:r w:rsidRPr="005D4222">
              <w:t>Product lines</w:t>
            </w:r>
          </w:p>
        </w:tc>
        <w:tc>
          <w:tcPr>
            <w:tcW w:w="7741" w:type="dxa"/>
            <w:tcBorders>
              <w:top w:val="nil"/>
              <w:left w:val="single" w:sz="4" w:space="0" w:color="auto"/>
              <w:bottom w:val="nil"/>
              <w:right w:val="single" w:sz="4" w:space="0" w:color="auto"/>
            </w:tcBorders>
            <w:tcMar>
              <w:top w:w="0" w:type="dxa"/>
              <w:left w:w="86" w:type="dxa"/>
              <w:bottom w:w="43" w:type="dxa"/>
              <w:right w:w="86" w:type="dxa"/>
            </w:tcMar>
          </w:tcPr>
          <w:p w14:paraId="0E1AB46A" w14:textId="77777777" w:rsidR="00027583" w:rsidRPr="005D4222" w:rsidRDefault="00027583">
            <w:pPr>
              <w:pStyle w:val="ProcessBullet"/>
            </w:pPr>
            <w:r w:rsidRPr="005D4222">
              <w:t>Commercial.</w:t>
            </w:r>
          </w:p>
          <w:p w14:paraId="3187F8B6" w14:textId="77777777" w:rsidR="00027583" w:rsidRPr="005D4222" w:rsidRDefault="00027583">
            <w:pPr>
              <w:pStyle w:val="ProcessBullet"/>
            </w:pPr>
            <w:r w:rsidRPr="005D4222">
              <w:t>Medicaid.</w:t>
            </w:r>
          </w:p>
          <w:p w14:paraId="485D2C6B" w14:textId="77777777" w:rsidR="00027583" w:rsidRPr="005D4222" w:rsidRDefault="00027583">
            <w:pPr>
              <w:pStyle w:val="ProcessBullet"/>
            </w:pPr>
            <w:r w:rsidRPr="005D4222">
              <w:t>Medicare.</w:t>
            </w:r>
          </w:p>
        </w:tc>
      </w:tr>
      <w:tr w:rsidR="00027583" w:rsidRPr="005D4222" w14:paraId="79C272E3" w14:textId="77777777" w:rsidTr="004142FE">
        <w:tc>
          <w:tcPr>
            <w:tcW w:w="1977" w:type="dxa"/>
            <w:tcBorders>
              <w:top w:val="nil"/>
              <w:left w:val="single" w:sz="4" w:space="0" w:color="auto"/>
              <w:bottom w:val="nil"/>
              <w:right w:val="single" w:sz="4" w:space="0" w:color="auto"/>
            </w:tcBorders>
            <w:tcMar>
              <w:top w:w="0" w:type="dxa"/>
              <w:left w:w="86" w:type="dxa"/>
              <w:bottom w:w="43" w:type="dxa"/>
              <w:right w:w="86" w:type="dxa"/>
            </w:tcMar>
          </w:tcPr>
          <w:p w14:paraId="2BC4AA14" w14:textId="4CB0E1A3" w:rsidR="00027583" w:rsidRPr="005D4222" w:rsidRDefault="00B51CDC">
            <w:pPr>
              <w:pStyle w:val="ECDSSubhead"/>
            </w:pPr>
            <w:r w:rsidRPr="005D4222">
              <w:t>Stratifications</w:t>
            </w:r>
            <w:r w:rsidR="00027583" w:rsidRPr="005D4222">
              <w:t xml:space="preserve"> </w:t>
            </w:r>
          </w:p>
        </w:tc>
        <w:tc>
          <w:tcPr>
            <w:tcW w:w="7741" w:type="dxa"/>
            <w:tcBorders>
              <w:top w:val="nil"/>
              <w:left w:val="single" w:sz="4" w:space="0" w:color="auto"/>
              <w:bottom w:val="nil"/>
              <w:right w:val="single" w:sz="4" w:space="0" w:color="auto"/>
            </w:tcBorders>
            <w:tcMar>
              <w:top w:w="0" w:type="dxa"/>
              <w:left w:w="86" w:type="dxa"/>
              <w:bottom w:w="43" w:type="dxa"/>
              <w:right w:w="86" w:type="dxa"/>
            </w:tcMar>
            <w:hideMark/>
          </w:tcPr>
          <w:p w14:paraId="32BD7C29" w14:textId="77777777" w:rsidR="00027583" w:rsidRPr="005D4222" w:rsidRDefault="00027583">
            <w:pPr>
              <w:pStyle w:val="ECDSBody"/>
            </w:pPr>
            <w:r w:rsidRPr="005D4222">
              <w:t>Age as of the date of discharge.</w:t>
            </w:r>
          </w:p>
          <w:p w14:paraId="2A5101E5" w14:textId="77777777" w:rsidR="00027583" w:rsidRPr="005D4222" w:rsidRDefault="00027583" w:rsidP="00027583">
            <w:pPr>
              <w:pStyle w:val="Bullet"/>
              <w:numPr>
                <w:ilvl w:val="0"/>
                <w:numId w:val="4"/>
              </w:numPr>
              <w:spacing w:after="80"/>
              <w:ind w:left="576" w:hanging="216"/>
              <w:rPr>
                <w:rFonts w:eastAsia="Arial,Arial,Arial,Arial,Arial,A"/>
              </w:rPr>
            </w:pPr>
            <w:r w:rsidRPr="005D4222">
              <w:rPr>
                <w:rFonts w:eastAsia="Arial,Arial,Arial,Arial,Arial,A"/>
              </w:rPr>
              <w:t>6–17 years.</w:t>
            </w:r>
          </w:p>
          <w:p w14:paraId="00C26F3C" w14:textId="77777777" w:rsidR="00027583" w:rsidRPr="005D4222" w:rsidRDefault="00027583" w:rsidP="00027583">
            <w:pPr>
              <w:pStyle w:val="Bullet"/>
              <w:numPr>
                <w:ilvl w:val="0"/>
                <w:numId w:val="4"/>
              </w:numPr>
              <w:spacing w:before="120"/>
              <w:ind w:left="576" w:hanging="216"/>
            </w:pPr>
            <w:r w:rsidRPr="005D4222">
              <w:rPr>
                <w:rFonts w:eastAsia="Arial,Arial,Arial,Arial,Arial,A"/>
              </w:rPr>
              <w:t>18–64 years.</w:t>
            </w:r>
          </w:p>
          <w:p w14:paraId="3E31F763" w14:textId="77777777" w:rsidR="00027583" w:rsidRPr="005D4222" w:rsidRDefault="00027583" w:rsidP="00027583">
            <w:pPr>
              <w:pStyle w:val="Bullet"/>
              <w:numPr>
                <w:ilvl w:val="0"/>
                <w:numId w:val="4"/>
              </w:numPr>
              <w:ind w:left="576" w:hanging="216"/>
            </w:pPr>
            <w:r w:rsidRPr="005D4222">
              <w:rPr>
                <w:rFonts w:eastAsia="Arial,Arial,Arial,Arial,Arial,A"/>
              </w:rPr>
              <w:t>65 years and older.</w:t>
            </w:r>
          </w:p>
          <w:p w14:paraId="1DEC5959" w14:textId="27FD7443" w:rsidR="00027583" w:rsidRPr="005D4222" w:rsidRDefault="00027583">
            <w:pPr>
              <w:pStyle w:val="ECDSBody"/>
            </w:pPr>
            <w:r w:rsidRPr="005D4222">
              <w:t xml:space="preserve">Race. (Refer to </w:t>
            </w:r>
            <w:hyperlink w:anchor="GG_Race_and_Ethnicity" w:history="1">
              <w:r w:rsidRPr="005D4222">
                <w:rPr>
                  <w:rStyle w:val="Hyperlink"/>
                  <w:i/>
                  <w:iCs/>
                </w:rPr>
                <w:t>General Guideline: Race and Ethnicity Stratification</w:t>
              </w:r>
            </w:hyperlink>
            <w:r w:rsidRPr="005D4222">
              <w:rPr>
                <w:i/>
                <w:iCs/>
              </w:rPr>
              <w:t>.</w:t>
            </w:r>
            <w:r w:rsidRPr="005D4222">
              <w:t>)</w:t>
            </w:r>
          </w:p>
          <w:p w14:paraId="0F2C7C1C" w14:textId="77777777" w:rsidR="00027583" w:rsidRPr="005D4222" w:rsidRDefault="00027583" w:rsidP="00027583">
            <w:pPr>
              <w:pStyle w:val="Bullet"/>
              <w:numPr>
                <w:ilvl w:val="0"/>
                <w:numId w:val="4"/>
              </w:numPr>
              <w:ind w:left="576" w:hanging="216"/>
            </w:pPr>
            <w:r w:rsidRPr="005D4222">
              <w:t xml:space="preserve">American Indian or Alaska Native. </w:t>
            </w:r>
          </w:p>
          <w:p w14:paraId="38A1EA4E" w14:textId="77777777" w:rsidR="00027583" w:rsidRPr="005D4222" w:rsidRDefault="00027583" w:rsidP="00027583">
            <w:pPr>
              <w:pStyle w:val="Bullet"/>
              <w:numPr>
                <w:ilvl w:val="0"/>
                <w:numId w:val="4"/>
              </w:numPr>
              <w:ind w:left="576" w:hanging="216"/>
            </w:pPr>
            <w:r w:rsidRPr="005D4222">
              <w:t xml:space="preserve">Asian. </w:t>
            </w:r>
          </w:p>
          <w:p w14:paraId="36A68BA7" w14:textId="77777777" w:rsidR="00027583" w:rsidRPr="005D4222" w:rsidRDefault="00027583" w:rsidP="00027583">
            <w:pPr>
              <w:pStyle w:val="Bullet"/>
              <w:numPr>
                <w:ilvl w:val="0"/>
                <w:numId w:val="4"/>
              </w:numPr>
              <w:ind w:left="576" w:hanging="216"/>
            </w:pPr>
            <w:r w:rsidRPr="005D4222">
              <w:t>Black or African American.</w:t>
            </w:r>
          </w:p>
          <w:p w14:paraId="2E484CED" w14:textId="77777777" w:rsidR="00027583" w:rsidRPr="005D4222" w:rsidRDefault="00027583" w:rsidP="00027583">
            <w:pPr>
              <w:pStyle w:val="Bullet"/>
              <w:numPr>
                <w:ilvl w:val="0"/>
                <w:numId w:val="4"/>
              </w:numPr>
              <w:ind w:left="576" w:hanging="216"/>
            </w:pPr>
            <w:r w:rsidRPr="005D4222">
              <w:t>Middle Eastern or North African.</w:t>
            </w:r>
          </w:p>
          <w:p w14:paraId="26BBEFF9" w14:textId="77777777" w:rsidR="00027583" w:rsidRPr="005D4222" w:rsidRDefault="00027583" w:rsidP="00027583">
            <w:pPr>
              <w:pStyle w:val="Bullet"/>
              <w:numPr>
                <w:ilvl w:val="0"/>
                <w:numId w:val="4"/>
              </w:numPr>
              <w:ind w:left="576" w:hanging="216"/>
            </w:pPr>
            <w:r w:rsidRPr="005D4222">
              <w:t>Native Hawaiian or Pacific Islander.</w:t>
            </w:r>
          </w:p>
          <w:p w14:paraId="12F1EF10" w14:textId="77777777" w:rsidR="00027583" w:rsidRPr="005D4222" w:rsidRDefault="00027583" w:rsidP="00027583">
            <w:pPr>
              <w:pStyle w:val="Bullet"/>
              <w:numPr>
                <w:ilvl w:val="0"/>
                <w:numId w:val="4"/>
              </w:numPr>
              <w:ind w:left="576" w:hanging="216"/>
            </w:pPr>
            <w:r w:rsidRPr="005D4222">
              <w:t xml:space="preserve">White. </w:t>
            </w:r>
          </w:p>
          <w:p w14:paraId="666CF6DA" w14:textId="77777777" w:rsidR="00027583" w:rsidRPr="005D4222" w:rsidRDefault="00027583" w:rsidP="00027583">
            <w:pPr>
              <w:pStyle w:val="Bullet"/>
              <w:numPr>
                <w:ilvl w:val="0"/>
                <w:numId w:val="4"/>
              </w:numPr>
              <w:ind w:left="576" w:hanging="216"/>
            </w:pPr>
            <w:r w:rsidRPr="005D4222">
              <w:t xml:space="preserve">Some Other Race. </w:t>
            </w:r>
          </w:p>
          <w:p w14:paraId="7D46F251" w14:textId="77777777" w:rsidR="00027583" w:rsidRPr="005D4222" w:rsidRDefault="00027583" w:rsidP="00027583">
            <w:pPr>
              <w:pStyle w:val="Bullet"/>
              <w:numPr>
                <w:ilvl w:val="0"/>
                <w:numId w:val="4"/>
              </w:numPr>
              <w:ind w:left="576" w:hanging="216"/>
            </w:pPr>
            <w:r w:rsidRPr="005D4222">
              <w:t xml:space="preserve">Two or More Races. </w:t>
            </w:r>
          </w:p>
          <w:p w14:paraId="25CB0790" w14:textId="77777777" w:rsidR="00027583" w:rsidRPr="005D4222" w:rsidRDefault="00027583" w:rsidP="00027583">
            <w:pPr>
              <w:pStyle w:val="Bullet"/>
              <w:numPr>
                <w:ilvl w:val="0"/>
                <w:numId w:val="4"/>
              </w:numPr>
              <w:ind w:left="576" w:hanging="216"/>
            </w:pPr>
            <w:r w:rsidRPr="005D4222">
              <w:t xml:space="preserve">Asked But No Answer. </w:t>
            </w:r>
          </w:p>
          <w:p w14:paraId="78EDD5C8" w14:textId="77777777" w:rsidR="00027583" w:rsidRPr="005D4222" w:rsidRDefault="00027583" w:rsidP="00027583">
            <w:pPr>
              <w:pStyle w:val="Bullet"/>
              <w:numPr>
                <w:ilvl w:val="0"/>
                <w:numId w:val="4"/>
              </w:numPr>
              <w:ind w:left="576" w:hanging="216"/>
            </w:pPr>
            <w:r w:rsidRPr="005D4222">
              <w:t xml:space="preserve">Unknown. </w:t>
            </w:r>
          </w:p>
          <w:p w14:paraId="572F5BE1" w14:textId="54B123A5" w:rsidR="00027583" w:rsidRPr="005D4222" w:rsidRDefault="00027583">
            <w:pPr>
              <w:pStyle w:val="ECDSBody"/>
            </w:pPr>
            <w:r w:rsidRPr="005D4222">
              <w:t xml:space="preserve">Ethnicity. (Refer to </w:t>
            </w:r>
            <w:hyperlink w:anchor="GG_Race_and_Ethnicity" w:history="1">
              <w:r w:rsidRPr="005D4222">
                <w:rPr>
                  <w:rStyle w:val="Hyperlink"/>
                  <w:i/>
                  <w:iCs/>
                </w:rPr>
                <w:t>General Guideline: Race and Ethnicity Stratification</w:t>
              </w:r>
            </w:hyperlink>
            <w:r w:rsidRPr="005D4222">
              <w:rPr>
                <w:i/>
                <w:iCs/>
              </w:rPr>
              <w:t>.</w:t>
            </w:r>
            <w:r w:rsidRPr="005D4222">
              <w:t>)</w:t>
            </w:r>
          </w:p>
          <w:p w14:paraId="4EE4BB40" w14:textId="77777777" w:rsidR="00027583" w:rsidRPr="005D4222" w:rsidRDefault="00027583" w:rsidP="00027583">
            <w:pPr>
              <w:pStyle w:val="Bullet"/>
              <w:numPr>
                <w:ilvl w:val="0"/>
                <w:numId w:val="4"/>
              </w:numPr>
              <w:ind w:left="576" w:hanging="216"/>
            </w:pPr>
            <w:r w:rsidRPr="005D4222">
              <w:t xml:space="preserve">Hispanic or Latino. </w:t>
            </w:r>
          </w:p>
          <w:p w14:paraId="37F07166" w14:textId="77777777" w:rsidR="00027583" w:rsidRPr="005D4222" w:rsidRDefault="00027583" w:rsidP="00027583">
            <w:pPr>
              <w:pStyle w:val="Bullet"/>
              <w:numPr>
                <w:ilvl w:val="0"/>
                <w:numId w:val="4"/>
              </w:numPr>
              <w:ind w:left="576" w:hanging="216"/>
            </w:pPr>
            <w:r w:rsidRPr="005D4222">
              <w:t xml:space="preserve">Not Hispanic or Latino. </w:t>
            </w:r>
          </w:p>
          <w:p w14:paraId="1E3B2628" w14:textId="77777777" w:rsidR="00027583" w:rsidRPr="005D4222" w:rsidRDefault="00027583" w:rsidP="00027583">
            <w:pPr>
              <w:pStyle w:val="Bullet"/>
              <w:numPr>
                <w:ilvl w:val="0"/>
                <w:numId w:val="4"/>
              </w:numPr>
              <w:ind w:left="576" w:hanging="216"/>
            </w:pPr>
            <w:r w:rsidRPr="005D4222">
              <w:t xml:space="preserve">Asked But No Answer. </w:t>
            </w:r>
          </w:p>
          <w:p w14:paraId="5E3386AD" w14:textId="77777777" w:rsidR="00027583" w:rsidRPr="005D4222" w:rsidRDefault="00027583" w:rsidP="00027583">
            <w:pPr>
              <w:pStyle w:val="Bullet"/>
              <w:numPr>
                <w:ilvl w:val="0"/>
                <w:numId w:val="4"/>
              </w:numPr>
              <w:ind w:left="576" w:hanging="216"/>
              <w:rPr>
                <w:rFonts w:eastAsia="Arial,Arial,Arial,Arial,Arial,A"/>
              </w:rPr>
            </w:pPr>
            <w:r w:rsidRPr="005D4222">
              <w:t xml:space="preserve">Unknown. </w:t>
            </w:r>
          </w:p>
        </w:tc>
      </w:tr>
      <w:tr w:rsidR="00027583" w:rsidRPr="005D4222" w14:paraId="40113DEA" w14:textId="77777777">
        <w:trPr>
          <w:trHeight w:val="300"/>
        </w:trPr>
        <w:tc>
          <w:tcPr>
            <w:tcW w:w="1977" w:type="dxa"/>
            <w:tcBorders>
              <w:top w:val="nil"/>
              <w:left w:val="single" w:sz="4" w:space="0" w:color="auto"/>
              <w:bottom w:val="nil"/>
              <w:right w:val="single" w:sz="4" w:space="0" w:color="auto"/>
            </w:tcBorders>
            <w:tcMar>
              <w:top w:w="0" w:type="dxa"/>
              <w:left w:w="86" w:type="dxa"/>
              <w:bottom w:w="43" w:type="dxa"/>
              <w:right w:w="86" w:type="dxa"/>
            </w:tcMar>
          </w:tcPr>
          <w:p w14:paraId="33BE58B7" w14:textId="77777777" w:rsidR="00027583" w:rsidRPr="005D4222" w:rsidRDefault="00027583">
            <w:pPr>
              <w:pStyle w:val="ECDSSubhead"/>
            </w:pPr>
            <w:r w:rsidRPr="005D4222">
              <w:t>Risk adjustment</w:t>
            </w:r>
          </w:p>
        </w:tc>
        <w:tc>
          <w:tcPr>
            <w:tcW w:w="7741" w:type="dxa"/>
            <w:tcBorders>
              <w:top w:val="nil"/>
              <w:left w:val="single" w:sz="4" w:space="0" w:color="auto"/>
              <w:bottom w:val="nil"/>
              <w:right w:val="single" w:sz="4" w:space="0" w:color="auto"/>
            </w:tcBorders>
            <w:tcMar>
              <w:top w:w="0" w:type="dxa"/>
              <w:left w:w="86" w:type="dxa"/>
              <w:bottom w:w="43" w:type="dxa"/>
              <w:right w:w="86" w:type="dxa"/>
            </w:tcMar>
            <w:hideMark/>
          </w:tcPr>
          <w:p w14:paraId="285E2DD6" w14:textId="77777777" w:rsidR="00027583" w:rsidRPr="005D4222" w:rsidRDefault="00027583">
            <w:pPr>
              <w:pStyle w:val="ECDSBody"/>
              <w:spacing w:after="0"/>
            </w:pPr>
            <w:r w:rsidRPr="005D4222">
              <w:t>None.</w:t>
            </w:r>
          </w:p>
        </w:tc>
      </w:tr>
      <w:tr w:rsidR="00027583" w:rsidRPr="005D4222" w14:paraId="715F1876" w14:textId="77777777">
        <w:trPr>
          <w:trHeight w:val="300"/>
        </w:trPr>
        <w:tc>
          <w:tcPr>
            <w:tcW w:w="1977" w:type="dxa"/>
            <w:tcBorders>
              <w:top w:val="nil"/>
              <w:left w:val="single" w:sz="4" w:space="0" w:color="auto"/>
              <w:bottom w:val="nil"/>
              <w:right w:val="single" w:sz="4" w:space="0" w:color="auto"/>
            </w:tcBorders>
            <w:tcMar>
              <w:top w:w="0" w:type="dxa"/>
              <w:left w:w="86" w:type="dxa"/>
              <w:bottom w:w="43" w:type="dxa"/>
              <w:right w:w="86" w:type="dxa"/>
            </w:tcMar>
          </w:tcPr>
          <w:p w14:paraId="7081054F" w14:textId="77777777" w:rsidR="00027583" w:rsidRPr="005D4222" w:rsidRDefault="00027583">
            <w:pPr>
              <w:pStyle w:val="ECDSSubhead"/>
            </w:pPr>
            <w:r w:rsidRPr="005D4222">
              <w:t>Improvement notation</w:t>
            </w:r>
          </w:p>
        </w:tc>
        <w:tc>
          <w:tcPr>
            <w:tcW w:w="7741" w:type="dxa"/>
            <w:tcBorders>
              <w:top w:val="nil"/>
              <w:left w:val="single" w:sz="4" w:space="0" w:color="auto"/>
              <w:bottom w:val="nil"/>
              <w:right w:val="single" w:sz="4" w:space="0" w:color="auto"/>
            </w:tcBorders>
            <w:tcMar>
              <w:top w:w="0" w:type="dxa"/>
              <w:left w:w="86" w:type="dxa"/>
              <w:bottom w:w="43" w:type="dxa"/>
              <w:right w:w="86" w:type="dxa"/>
            </w:tcMar>
            <w:hideMark/>
          </w:tcPr>
          <w:p w14:paraId="20B59698" w14:textId="77777777" w:rsidR="00027583" w:rsidRPr="005D4222" w:rsidRDefault="00027583">
            <w:pPr>
              <w:pStyle w:val="ECDSBody"/>
              <w:spacing w:after="0"/>
            </w:pPr>
            <w:r w:rsidRPr="005D4222">
              <w:t xml:space="preserve">Increased score indicates improvement. </w:t>
            </w:r>
          </w:p>
        </w:tc>
      </w:tr>
      <w:tr w:rsidR="00027583" w:rsidRPr="005D4222" w14:paraId="5C43E1DB" w14:textId="77777777" w:rsidTr="00027583">
        <w:tc>
          <w:tcPr>
            <w:tcW w:w="197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683A5F80" w14:textId="77777777" w:rsidR="00027583" w:rsidRPr="005D4222" w:rsidRDefault="00027583">
            <w:pPr>
              <w:pStyle w:val="ECDSSubhead"/>
            </w:pPr>
            <w:r w:rsidRPr="005D4222">
              <w:t>Guidance</w:t>
            </w:r>
          </w:p>
        </w:tc>
        <w:tc>
          <w:tcPr>
            <w:tcW w:w="7741"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226E9C6D" w14:textId="2E0C2B64" w:rsidR="00027583" w:rsidRPr="005D4222" w:rsidRDefault="00027583">
            <w:pPr>
              <w:pStyle w:val="ECDSBody"/>
            </w:pPr>
            <w:r w:rsidRPr="005D4222">
              <w:rPr>
                <w:rStyle w:val="normaltextrun"/>
                <w:b/>
                <w:color w:val="000000"/>
                <w:szCs w:val="21"/>
                <w:shd w:val="clear" w:color="auto" w:fill="FFFFFF"/>
              </w:rPr>
              <w:t xml:space="preserve">Data collection </w:t>
            </w:r>
            <w:r w:rsidRPr="005D4222">
              <w:rPr>
                <w:rStyle w:val="normaltextrun"/>
                <w:b/>
                <w:bCs w:val="0"/>
                <w:color w:val="000000"/>
                <w:szCs w:val="21"/>
                <w:shd w:val="clear" w:color="auto" w:fill="FFFFFF"/>
              </w:rPr>
              <w:t>methodology</w:t>
            </w:r>
            <w:r w:rsidRPr="005D4222">
              <w:rPr>
                <w:rStyle w:val="normaltextrun"/>
                <w:b/>
                <w:color w:val="000000"/>
                <w:szCs w:val="21"/>
                <w:shd w:val="clear" w:color="auto" w:fill="FFFFFF"/>
              </w:rPr>
              <w:t>:</w:t>
            </w:r>
            <w:r w:rsidRPr="005D4222">
              <w:rPr>
                <w:rStyle w:val="normaltextrun"/>
                <w:color w:val="000000"/>
                <w:szCs w:val="21"/>
                <w:shd w:val="clear" w:color="auto" w:fill="FFFFFF"/>
              </w:rPr>
              <w:t xml:space="preserve"> Administrative. Refer to the </w:t>
            </w:r>
            <w:hyperlink w:anchor="General_Guideline_Data_Collection_Method" w:history="1">
              <w:r w:rsidRPr="005D4222">
                <w:rPr>
                  <w:rStyle w:val="Hyperlink"/>
                  <w:i/>
                  <w:iCs/>
                  <w:szCs w:val="21"/>
                  <w:shd w:val="clear" w:color="auto" w:fill="FFFFFF"/>
                </w:rPr>
                <w:t>General Guideline: Data Collection Methods</w:t>
              </w:r>
            </w:hyperlink>
            <w:r w:rsidRPr="005D4222">
              <w:rPr>
                <w:rStyle w:val="normaltextrun"/>
                <w:color w:val="000000"/>
                <w:szCs w:val="21"/>
                <w:shd w:val="clear" w:color="auto" w:fill="FFFFFF"/>
              </w:rPr>
              <w:t xml:space="preserve"> for additional information.</w:t>
            </w:r>
            <w:r w:rsidRPr="005D4222">
              <w:rPr>
                <w:rStyle w:val="eop"/>
                <w:rFonts w:eastAsiaTheme="majorEastAsia"/>
                <w:color w:val="000000"/>
                <w:shd w:val="clear" w:color="auto" w:fill="FFFFFF"/>
              </w:rPr>
              <w:t> </w:t>
            </w:r>
          </w:p>
          <w:p w14:paraId="3BDE5A88" w14:textId="13646221" w:rsidR="00027583" w:rsidRPr="005D4222" w:rsidRDefault="00027583" w:rsidP="00027583">
            <w:pPr>
              <w:pStyle w:val="ECDSBody"/>
            </w:pPr>
            <w:r w:rsidRPr="005D4222">
              <w:rPr>
                <w:b/>
              </w:rPr>
              <w:t>Date specificity:</w:t>
            </w:r>
            <w:r w:rsidRPr="005D4222">
              <w:t xml:space="preserve"> Dates must be specific enough to determine the event occurred in the period being measured.</w:t>
            </w:r>
          </w:p>
        </w:tc>
      </w:tr>
      <w:tr w:rsidR="00027583" w:rsidRPr="005D4222" w14:paraId="40A14BEC" w14:textId="77777777" w:rsidTr="00027583">
        <w:tc>
          <w:tcPr>
            <w:tcW w:w="197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33C6F38" w14:textId="77777777" w:rsidR="00027583" w:rsidRPr="005D4222" w:rsidRDefault="00027583">
            <w:pPr>
              <w:pStyle w:val="ECDSSubhead"/>
            </w:pPr>
          </w:p>
        </w:tc>
        <w:tc>
          <w:tcPr>
            <w:tcW w:w="7741"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471FA4F" w14:textId="77777777" w:rsidR="00027583" w:rsidRPr="005D4222" w:rsidRDefault="00027583" w:rsidP="00027583">
            <w:pPr>
              <w:pStyle w:val="ECDSBody"/>
            </w:pPr>
            <w:r w:rsidRPr="005D4222">
              <w:rPr>
                <w:b/>
              </w:rPr>
              <w:t>Which services count?</w:t>
            </w:r>
            <w:r w:rsidRPr="005D4222">
              <w:t xml:space="preserve"> </w:t>
            </w:r>
          </w:p>
          <w:p w14:paraId="739C70A1" w14:textId="77777777" w:rsidR="00027583" w:rsidRPr="005D4222" w:rsidRDefault="00027583" w:rsidP="00027583">
            <w:pPr>
              <w:pStyle w:val="ProcessBullet"/>
            </w:pPr>
            <w:r w:rsidRPr="005D4222">
              <w:t>When using claims, include all paid, suspended, pending and denied claims.</w:t>
            </w:r>
          </w:p>
          <w:p w14:paraId="308376F6" w14:textId="77777777" w:rsidR="00027583" w:rsidRPr="005D4222" w:rsidRDefault="00027583" w:rsidP="00027583">
            <w:pPr>
              <w:pStyle w:val="ProcessBullet"/>
            </w:pPr>
            <w:r w:rsidRPr="005D4222">
              <w:t>Organizations may have different methods for billing intensive outpatient visits and partial hospitalizations. Some may be comparable to outpatient billing, with separate claims for each date of service; others may be comparable to inpatient billing, with an admission date, a discharge date and units of service. Organizations whose billing methods are comparable to inpatient billing may count each unit of service as an individual visit. The unit of service must have occurred during the required period for the rate (e.g., within 30 days after discharge or within 7 days after discharge).</w:t>
            </w:r>
          </w:p>
          <w:p w14:paraId="3E777703" w14:textId="77777777" w:rsidR="00027583" w:rsidRPr="005D4222" w:rsidRDefault="00027583">
            <w:pPr>
              <w:pStyle w:val="ECDSBody"/>
              <w:rPr>
                <w:b/>
                <w:bCs w:val="0"/>
              </w:rPr>
            </w:pPr>
            <w:r w:rsidRPr="005D4222">
              <w:rPr>
                <w:b/>
                <w:bCs w:val="0"/>
              </w:rPr>
              <w:t xml:space="preserve">Other guidance: </w:t>
            </w:r>
          </w:p>
          <w:p w14:paraId="081D780C" w14:textId="3F9BF71D" w:rsidR="00027583" w:rsidRPr="005D4222" w:rsidRDefault="00027583" w:rsidP="00027583">
            <w:pPr>
              <w:pStyle w:val="ProcessBullet"/>
            </w:pPr>
            <w:r w:rsidRPr="005D4222">
              <w:t xml:space="preserve">Refer to </w:t>
            </w:r>
            <w:hyperlink w:anchor="Appendix_1" w:history="1">
              <w:r w:rsidR="00697063" w:rsidRPr="005D4222">
                <w:rPr>
                  <w:rStyle w:val="Hyperlink"/>
                </w:rPr>
                <w:t>Appendix 1</w:t>
              </w:r>
            </w:hyperlink>
            <w:r w:rsidRPr="005D4222">
              <w:t xml:space="preserve"> for the definition of </w:t>
            </w:r>
            <w:r w:rsidRPr="005D4222">
              <w:rPr>
                <w:i/>
                <w:iCs/>
              </w:rPr>
              <w:t>mental health provider.</w:t>
            </w:r>
            <w:r w:rsidRPr="005D4222">
              <w:t xml:space="preserve"> Organizations must develop their own methods to identify mental health providers. Methods are subject to review by the HEDIS auditor.</w:t>
            </w:r>
          </w:p>
          <w:p w14:paraId="6D93228C" w14:textId="77777777" w:rsidR="00027583" w:rsidRPr="005D4222" w:rsidRDefault="00027583" w:rsidP="00027583">
            <w:pPr>
              <w:pStyle w:val="ProcessBullet"/>
              <w:spacing w:after="80"/>
              <w:rPr>
                <w:rStyle w:val="normaltextrun"/>
                <w:b/>
                <w:color w:val="000000"/>
                <w:szCs w:val="21"/>
                <w:shd w:val="clear" w:color="auto" w:fill="FFFFFF"/>
              </w:rPr>
            </w:pPr>
            <w:r w:rsidRPr="005D4222">
              <w:t>The measure is based on episodes; therefore</w:t>
            </w:r>
            <w:r w:rsidRPr="005D4222" w:rsidDel="006B237A">
              <w:t>, i</w:t>
            </w:r>
            <w:r w:rsidRPr="005D4222">
              <w:t>t is possible for the denominator to include multiple events for the same person.</w:t>
            </w:r>
          </w:p>
        </w:tc>
      </w:tr>
      <w:tr w:rsidR="00027583" w:rsidRPr="005D4222" w14:paraId="5C6EF038" w14:textId="77777777">
        <w:tc>
          <w:tcPr>
            <w:tcW w:w="1977" w:type="dxa"/>
            <w:shd w:val="clear" w:color="auto" w:fill="BFBFBF" w:themeFill="background1" w:themeFillShade="BF"/>
            <w:tcMar>
              <w:top w:w="0" w:type="dxa"/>
              <w:left w:w="86" w:type="dxa"/>
              <w:bottom w:w="43" w:type="dxa"/>
              <w:right w:w="86" w:type="dxa"/>
            </w:tcMar>
          </w:tcPr>
          <w:p w14:paraId="06EA6857" w14:textId="77777777" w:rsidR="00027583" w:rsidRPr="005D4222" w:rsidRDefault="00027583">
            <w:pPr>
              <w:pStyle w:val="ECDSMarginHead"/>
            </w:pPr>
            <w:r w:rsidRPr="005D4222">
              <w:t>Initial population</w:t>
            </w:r>
          </w:p>
        </w:tc>
        <w:tc>
          <w:tcPr>
            <w:tcW w:w="7741"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9B18FA5" w14:textId="77777777" w:rsidR="00027583" w:rsidRPr="005D4222" w:rsidRDefault="00027583">
            <w:pPr>
              <w:pStyle w:val="ECDSBody"/>
            </w:pPr>
            <w:r w:rsidRPr="005D4222">
              <w:rPr>
                <w:i/>
              </w:rPr>
              <w:t xml:space="preserve">Measure </w:t>
            </w:r>
            <w:r w:rsidRPr="005D4222">
              <w:rPr>
                <w:i/>
                <w:iCs/>
              </w:rPr>
              <w:t>item count</w:t>
            </w:r>
            <w:r w:rsidRPr="005D4222">
              <w:rPr>
                <w:i/>
              </w:rPr>
              <w:t>:</w:t>
            </w:r>
            <w:r w:rsidRPr="005D4222">
              <w:t xml:space="preserve"> Episode. </w:t>
            </w:r>
          </w:p>
          <w:p w14:paraId="5BE09610" w14:textId="77777777" w:rsidR="00027583" w:rsidRPr="005D4222" w:rsidRDefault="00027583">
            <w:pPr>
              <w:pStyle w:val="ECDSBody"/>
            </w:pPr>
            <w:r w:rsidRPr="005D4222">
              <w:rPr>
                <w:i/>
              </w:rPr>
              <w:t>Attribution basis:</w:t>
            </w:r>
            <w:r w:rsidRPr="005D4222">
              <w:t xml:space="preserve"> Enrollment.</w:t>
            </w:r>
          </w:p>
          <w:p w14:paraId="51E9DDF2" w14:textId="77777777" w:rsidR="00027583" w:rsidRPr="005D4222" w:rsidRDefault="00027583" w:rsidP="00027583">
            <w:pPr>
              <w:pStyle w:val="Bullet"/>
              <w:numPr>
                <w:ilvl w:val="0"/>
                <w:numId w:val="4"/>
              </w:numPr>
              <w:ind w:left="576" w:hanging="216"/>
            </w:pPr>
            <w:r w:rsidRPr="005D4222">
              <w:rPr>
                <w:i/>
              </w:rPr>
              <w:t>Benefits:</w:t>
            </w:r>
            <w:r w:rsidRPr="005D4222">
              <w:t xml:space="preserve"> Medical and mental health (inpatient and outpatient).</w:t>
            </w:r>
          </w:p>
          <w:p w14:paraId="13F4699A" w14:textId="77777777" w:rsidR="00027583" w:rsidRPr="005D4222" w:rsidRDefault="00027583" w:rsidP="00027583">
            <w:pPr>
              <w:pStyle w:val="Bullet"/>
              <w:numPr>
                <w:ilvl w:val="0"/>
                <w:numId w:val="4"/>
              </w:numPr>
              <w:ind w:left="576" w:hanging="216"/>
            </w:pPr>
            <w:r w:rsidRPr="005D4222">
              <w:rPr>
                <w:i/>
              </w:rPr>
              <w:t xml:space="preserve">Continuous enrollment: </w:t>
            </w:r>
            <w:r w:rsidRPr="005D4222">
              <w:t>Date of discharge through 30 days after discharge.</w:t>
            </w:r>
          </w:p>
          <w:p w14:paraId="228406DF" w14:textId="77777777" w:rsidR="00027583" w:rsidRPr="005D4222" w:rsidRDefault="00027583" w:rsidP="00027583">
            <w:pPr>
              <w:pStyle w:val="Bullet"/>
              <w:numPr>
                <w:ilvl w:val="0"/>
                <w:numId w:val="4"/>
              </w:numPr>
              <w:ind w:left="576" w:hanging="216"/>
            </w:pPr>
            <w:r w:rsidRPr="005D4222">
              <w:rPr>
                <w:i/>
              </w:rPr>
              <w:t xml:space="preserve">Allowable gap: </w:t>
            </w:r>
            <w:r w:rsidRPr="005D4222">
              <w:t>None.</w:t>
            </w:r>
          </w:p>
          <w:p w14:paraId="3E086F41" w14:textId="39E25E2D" w:rsidR="00027583" w:rsidRPr="005D4222" w:rsidRDefault="00027583">
            <w:pPr>
              <w:pStyle w:val="ECDSBody"/>
            </w:pPr>
            <w:r w:rsidRPr="005D4222">
              <w:rPr>
                <w:i/>
              </w:rPr>
              <w:t>Ages:</w:t>
            </w:r>
            <w:r w:rsidRPr="005D4222">
              <w:t xml:space="preserve"> 6 years of age </w:t>
            </w:r>
            <w:r w:rsidR="00995075" w:rsidRPr="005D4222">
              <w:t>and</w:t>
            </w:r>
            <w:r w:rsidRPr="005D4222">
              <w:t xml:space="preserve"> older as of the date of discharge.</w:t>
            </w:r>
          </w:p>
          <w:p w14:paraId="5B15E6BD" w14:textId="77777777" w:rsidR="00BC2EAE" w:rsidRPr="005D4222" w:rsidRDefault="00027583">
            <w:pPr>
              <w:pStyle w:val="ECDSBody"/>
              <w:rPr>
                <w:b/>
                <w:bCs w:val="0"/>
                <w:iCs/>
              </w:rPr>
            </w:pPr>
            <w:r w:rsidRPr="005D4222">
              <w:rPr>
                <w:i/>
              </w:rPr>
              <w:t xml:space="preserve">Event: </w:t>
            </w:r>
            <w:r w:rsidRPr="005D4222">
              <w:rPr>
                <w:b/>
                <w:bCs w:val="0"/>
                <w:iCs/>
              </w:rPr>
              <w:t>Hospitalization for mental illness.</w:t>
            </w:r>
          </w:p>
          <w:p w14:paraId="64A0ED13" w14:textId="34D4999D" w:rsidR="00027583" w:rsidRPr="005D4222" w:rsidRDefault="00027583">
            <w:pPr>
              <w:pStyle w:val="ECDSBody"/>
              <w:rPr>
                <w:i/>
              </w:rPr>
            </w:pPr>
            <w:r w:rsidRPr="005D4222">
              <w:t>An acute inpatient discharge with a principal diagnosis of mental illness (</w:t>
            </w:r>
            <w:r w:rsidRPr="005D4222">
              <w:rPr>
                <w:u w:val="single"/>
              </w:rPr>
              <w:t>Mental Illness Value Set</w:t>
            </w:r>
            <w:r w:rsidRPr="005D4222">
              <w:t>), or any diagnosis of intentional self-harm (</w:t>
            </w:r>
            <w:r w:rsidRPr="005D4222">
              <w:rPr>
                <w:u w:val="single"/>
              </w:rPr>
              <w:t>Intentional Self Harm Value Set</w:t>
            </w:r>
            <w:r w:rsidRPr="005D4222">
              <w:t xml:space="preserve">), on the discharge claim </w:t>
            </w:r>
            <w:r w:rsidRPr="005D4222">
              <w:rPr>
                <w:bCs w:val="0"/>
              </w:rPr>
              <w:t>on or between January 1 and December 1 of the measurement period</w:t>
            </w:r>
            <w:r w:rsidRPr="005D4222">
              <w:t>. To identify acute inpatient discharges:</w:t>
            </w:r>
          </w:p>
          <w:p w14:paraId="0CB3D14A" w14:textId="77777777" w:rsidR="00027583" w:rsidRPr="005D4222" w:rsidRDefault="00027583">
            <w:pPr>
              <w:pStyle w:val="Body"/>
              <w:spacing w:before="80"/>
              <w:ind w:left="576" w:hanging="288"/>
            </w:pPr>
            <w:r w:rsidRPr="005D4222">
              <w:t>1.</w:t>
            </w:r>
            <w:r w:rsidRPr="005D4222">
              <w:tab/>
              <w:t>Identify all acute and nonacute inpatient stays (</w:t>
            </w:r>
            <w:r w:rsidRPr="005D4222">
              <w:rPr>
                <w:u w:val="single"/>
              </w:rPr>
              <w:t>Inpatient Stay Value Set</w:t>
            </w:r>
            <w:r w:rsidRPr="005D4222">
              <w:t>).</w:t>
            </w:r>
          </w:p>
          <w:p w14:paraId="6970C01F" w14:textId="77777777" w:rsidR="00027583" w:rsidRPr="005D4222" w:rsidRDefault="00027583">
            <w:pPr>
              <w:pStyle w:val="Body"/>
              <w:spacing w:before="80"/>
              <w:ind w:left="576" w:hanging="288"/>
            </w:pPr>
            <w:r w:rsidRPr="005D4222">
              <w:t>2.</w:t>
            </w:r>
            <w:r w:rsidRPr="005D4222">
              <w:tab/>
            </w:r>
            <w:r w:rsidRPr="005D4222" w:rsidDel="00DD4798">
              <w:t>Exclude nonacute inpatient stays (</w:t>
            </w:r>
            <w:r w:rsidRPr="005D4222" w:rsidDel="00DD4798">
              <w:rPr>
                <w:u w:val="single"/>
              </w:rPr>
              <w:t>Nonacute Inpatient Stay Value Set</w:t>
            </w:r>
            <w:r w:rsidRPr="005D4222" w:rsidDel="00DD4798">
              <w:t>).</w:t>
            </w:r>
          </w:p>
          <w:p w14:paraId="258766F7" w14:textId="77777777" w:rsidR="00027583" w:rsidRPr="005D4222" w:rsidRDefault="00027583">
            <w:pPr>
              <w:pStyle w:val="Body"/>
              <w:spacing w:before="80"/>
              <w:ind w:left="576" w:hanging="288"/>
            </w:pPr>
            <w:r w:rsidRPr="005D4222">
              <w:t>3.</w:t>
            </w:r>
            <w:r w:rsidRPr="005D4222">
              <w:tab/>
              <w:t>Identify the discharge date for the stay.</w:t>
            </w:r>
          </w:p>
          <w:p w14:paraId="5685D551" w14:textId="77777777" w:rsidR="00027583" w:rsidRPr="005D4222" w:rsidRDefault="00027583">
            <w:pPr>
              <w:pStyle w:val="ECDSBody"/>
            </w:pPr>
            <w:r w:rsidRPr="005D4222">
              <w:rPr>
                <w:b/>
                <w:i/>
              </w:rPr>
              <w:t xml:space="preserve">Acute readmission or direct transfer. </w:t>
            </w:r>
            <w:r w:rsidRPr="005D4222">
              <w:rPr>
                <w:b/>
                <w:bCs w:val="0"/>
                <w:iCs/>
              </w:rPr>
              <w:br/>
            </w:r>
            <w:r w:rsidRPr="005D4222">
              <w:t>Identify readmissions and direct transfers to an acute inpatient care setting during the 30-day follow-up period:</w:t>
            </w:r>
          </w:p>
          <w:p w14:paraId="6755581E" w14:textId="77777777" w:rsidR="00027583" w:rsidRPr="005D4222" w:rsidRDefault="00027583">
            <w:pPr>
              <w:pStyle w:val="Body"/>
              <w:spacing w:before="80"/>
              <w:ind w:left="648" w:hanging="288"/>
            </w:pPr>
            <w:r w:rsidRPr="005D4222">
              <w:t>1.</w:t>
            </w:r>
            <w:r w:rsidRPr="005D4222">
              <w:tab/>
              <w:t>Identify all acute and nonacute inpatient stays (</w:t>
            </w:r>
            <w:r w:rsidRPr="005D4222">
              <w:rPr>
                <w:u w:val="single"/>
              </w:rPr>
              <w:t>Inpatient Stay Value Set</w:t>
            </w:r>
            <w:r w:rsidRPr="005D4222">
              <w:t>).</w:t>
            </w:r>
            <w:r w:rsidRPr="005D4222">
              <w:rPr>
                <w:u w:val="single"/>
              </w:rPr>
              <w:t xml:space="preserve"> </w:t>
            </w:r>
          </w:p>
          <w:p w14:paraId="502272FB" w14:textId="77777777" w:rsidR="00027583" w:rsidRPr="005D4222" w:rsidRDefault="00027583">
            <w:pPr>
              <w:pStyle w:val="Body"/>
              <w:spacing w:before="80"/>
              <w:ind w:left="648" w:hanging="288"/>
            </w:pPr>
            <w:r w:rsidRPr="005D4222">
              <w:t>2.</w:t>
            </w:r>
            <w:r w:rsidRPr="005D4222">
              <w:tab/>
              <w:t xml:space="preserve">Exclude nonacute inpatient stays </w:t>
            </w:r>
            <w:r w:rsidRPr="005D4222">
              <w:rPr>
                <w:u w:val="single"/>
              </w:rPr>
              <w:t>(Nonacute Inpatient Stay Value Set</w:t>
            </w:r>
            <w:r w:rsidRPr="005D4222">
              <w:t>).</w:t>
            </w:r>
          </w:p>
          <w:p w14:paraId="54A1D93B" w14:textId="77777777" w:rsidR="00027583" w:rsidRPr="005D4222" w:rsidRDefault="00027583">
            <w:pPr>
              <w:pStyle w:val="Body"/>
              <w:spacing w:before="80"/>
              <w:ind w:left="648" w:hanging="288"/>
            </w:pPr>
            <w:r w:rsidRPr="005D4222">
              <w:t>3.</w:t>
            </w:r>
            <w:r w:rsidRPr="005D4222">
              <w:tab/>
              <w:t>Identify the admission date for the stay (the admission date must occur during the 30-day follow-up period).</w:t>
            </w:r>
          </w:p>
          <w:p w14:paraId="6017824D" w14:textId="77777777" w:rsidR="00027583" w:rsidRPr="005D4222" w:rsidRDefault="00027583">
            <w:pPr>
              <w:pStyle w:val="Body"/>
              <w:spacing w:before="80"/>
              <w:ind w:left="648" w:hanging="288"/>
            </w:pPr>
            <w:r w:rsidRPr="005D4222">
              <w:t>4.</w:t>
            </w:r>
            <w:r w:rsidRPr="005D4222">
              <w:tab/>
              <w:t>Identify the discharge date for the stay.</w:t>
            </w:r>
          </w:p>
          <w:p w14:paraId="5E14BBA1" w14:textId="38EE571C" w:rsidR="00027583" w:rsidRPr="005D4222" w:rsidRDefault="00027583" w:rsidP="00027583">
            <w:pPr>
              <w:pStyle w:val="ECDSBody"/>
              <w:rPr>
                <w:b/>
                <w:bCs w:val="0"/>
                <w:iCs/>
              </w:rPr>
            </w:pPr>
            <w:r w:rsidRPr="005D4222" w:rsidDel="00494316">
              <w:t>Exclude</w:t>
            </w:r>
            <w:r w:rsidRPr="005D4222">
              <w:t xml:space="preserve"> both the initial discharge and the readmission/direct transfer discharge if the last discharge occurs after December 1 of the measurement period.</w:t>
            </w:r>
          </w:p>
        </w:tc>
      </w:tr>
    </w:tbl>
    <w:p w14:paraId="2A90A451" w14:textId="77777777" w:rsidR="00027583" w:rsidRPr="005D4222" w:rsidRDefault="00027583"/>
    <w:tbl>
      <w:tblPr>
        <w:tblW w:w="5003"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1977"/>
        <w:gridCol w:w="7741"/>
      </w:tblGrid>
      <w:tr w:rsidR="00027583" w:rsidRPr="005D4222" w14:paraId="0C9F50F7" w14:textId="77777777" w:rsidTr="00027583">
        <w:tc>
          <w:tcPr>
            <w:tcW w:w="1977" w:type="dxa"/>
            <w:shd w:val="clear" w:color="auto" w:fill="BFBFBF" w:themeFill="background1" w:themeFillShade="BF"/>
            <w:tcMar>
              <w:top w:w="0" w:type="dxa"/>
              <w:left w:w="86" w:type="dxa"/>
              <w:bottom w:w="43" w:type="dxa"/>
              <w:right w:w="86" w:type="dxa"/>
            </w:tcMar>
          </w:tcPr>
          <w:p w14:paraId="27028CC1" w14:textId="77777777" w:rsidR="00027583" w:rsidRPr="005D4222" w:rsidRDefault="00027583">
            <w:pPr>
              <w:pStyle w:val="ECDSMarginHead"/>
            </w:pPr>
          </w:p>
        </w:tc>
        <w:tc>
          <w:tcPr>
            <w:tcW w:w="7741"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7181586" w14:textId="77777777" w:rsidR="00027583" w:rsidRPr="005D4222" w:rsidRDefault="00027583" w:rsidP="00027583">
            <w:pPr>
              <w:pStyle w:val="ECDSBody"/>
            </w:pPr>
            <w:r w:rsidRPr="005D4222">
              <w:t>If the readmission/direct transfer to the acute inpatient care setting was for a principal diagnosis of mental health disorder, or any diagnosis of intentional self-harm (</w:t>
            </w:r>
            <w:r w:rsidRPr="005D4222">
              <w:rPr>
                <w:u w:val="single"/>
              </w:rPr>
              <w:t>Mental Health Diagnosis Value Set</w:t>
            </w:r>
            <w:r w:rsidRPr="005D4222">
              <w:t xml:space="preserve">; </w:t>
            </w:r>
            <w:r w:rsidRPr="005D4222">
              <w:rPr>
                <w:u w:val="single"/>
              </w:rPr>
              <w:t>Intentional Self Harm Value Set</w:t>
            </w:r>
            <w:r w:rsidRPr="005D4222">
              <w:t>), count only the last discharge (use only the discharge claim).</w:t>
            </w:r>
          </w:p>
          <w:p w14:paraId="27DE9DFC" w14:textId="77777777" w:rsidR="00027583" w:rsidRPr="005D4222" w:rsidRDefault="00027583">
            <w:pPr>
              <w:pStyle w:val="ECDSBody"/>
            </w:pPr>
            <w:r w:rsidRPr="005D4222">
              <w:t xml:space="preserve">If the readmission/direct transfer to the acute inpatient care setting was for any other principal diagnosis, and intentional self-harm was not on the claim in any diagnosis position, </w:t>
            </w:r>
            <w:r w:rsidRPr="005D4222" w:rsidDel="00B4767C">
              <w:t xml:space="preserve">exclude </w:t>
            </w:r>
            <w:r w:rsidRPr="005D4222">
              <w:t>both the original and the readmission/direct transfer discharge (use only the discharge claim).</w:t>
            </w:r>
          </w:p>
          <w:p w14:paraId="225F862B" w14:textId="77777777" w:rsidR="00027583" w:rsidRPr="005D4222" w:rsidRDefault="00027583">
            <w:pPr>
              <w:pStyle w:val="ECDSBody"/>
            </w:pPr>
            <w:r w:rsidRPr="005D4222">
              <w:rPr>
                <w:b/>
                <w:i/>
              </w:rPr>
              <w:t xml:space="preserve">Nonacute readmission or direct transfer. </w:t>
            </w:r>
            <w:r w:rsidRPr="005D4222">
              <w:rPr>
                <w:b/>
                <w:bCs w:val="0"/>
                <w:iCs/>
              </w:rPr>
              <w:br/>
            </w:r>
            <w:r w:rsidRPr="005D4222" w:rsidDel="00B4767C">
              <w:t xml:space="preserve">Exclude </w:t>
            </w:r>
            <w:r w:rsidRPr="005D4222">
              <w:t>discharges followed by readmission or direct transfer to a nonacute inpatient care setting (except for psychiatric residential treatment) within the 30-day follow-up period, regardless of the diagnosis for the readmission. To identify readmissions and direct transfers to a nonacute inpatient care setting:</w:t>
            </w:r>
          </w:p>
          <w:p w14:paraId="45AAED3F" w14:textId="77777777" w:rsidR="00027583" w:rsidRPr="005D4222" w:rsidRDefault="00027583">
            <w:pPr>
              <w:pStyle w:val="Body"/>
              <w:spacing w:before="80"/>
              <w:ind w:left="576" w:hanging="288"/>
            </w:pPr>
            <w:r w:rsidRPr="005D4222">
              <w:t>1.</w:t>
            </w:r>
            <w:r w:rsidRPr="005D4222">
              <w:tab/>
              <w:t>Identify all acute and nonacute inpatient stays except for residential psychiatric treatment (</w:t>
            </w:r>
            <w:r w:rsidRPr="005D4222">
              <w:rPr>
                <w:u w:val="single"/>
              </w:rPr>
              <w:t>Inpatient Stay Except Psychiatric Residential Value Set</w:t>
            </w:r>
            <w:r w:rsidRPr="005D4222">
              <w:t>).</w:t>
            </w:r>
          </w:p>
          <w:p w14:paraId="495C6A9E" w14:textId="77777777" w:rsidR="00027583" w:rsidRPr="005D4222" w:rsidRDefault="00027583">
            <w:pPr>
              <w:pStyle w:val="Body"/>
              <w:spacing w:before="80"/>
              <w:ind w:left="576" w:hanging="288"/>
            </w:pPr>
            <w:r w:rsidRPr="005D4222">
              <w:t>2.</w:t>
            </w:r>
            <w:r w:rsidRPr="005D4222">
              <w:tab/>
              <w:t>Confirm the stay was for nonacute care based on the presence of a nonacute code (</w:t>
            </w:r>
            <w:r w:rsidRPr="005D4222">
              <w:rPr>
                <w:u w:val="single"/>
              </w:rPr>
              <w:t>Nonacute Inpatient Stay Value Set</w:t>
            </w:r>
            <w:r w:rsidRPr="005D4222">
              <w:t xml:space="preserve">) on the claim. </w:t>
            </w:r>
          </w:p>
          <w:p w14:paraId="79731C57" w14:textId="77777777" w:rsidR="00027583" w:rsidRPr="005D4222" w:rsidRDefault="00027583">
            <w:pPr>
              <w:pStyle w:val="Body"/>
              <w:spacing w:before="80"/>
              <w:ind w:left="576" w:hanging="288"/>
            </w:pPr>
            <w:r w:rsidRPr="005D4222">
              <w:t>3.</w:t>
            </w:r>
            <w:r w:rsidRPr="005D4222">
              <w:tab/>
              <w:t>Identify the admission date for the stay.</w:t>
            </w:r>
          </w:p>
          <w:p w14:paraId="501339DA" w14:textId="77777777" w:rsidR="00027583" w:rsidRPr="005D4222" w:rsidRDefault="00027583">
            <w:pPr>
              <w:pStyle w:val="ECDSBody"/>
              <w:rPr>
                <w:i/>
              </w:rPr>
            </w:pPr>
            <w:r w:rsidRPr="005D4222">
              <w:t>These discharges are excluded from the measure because rehospitalization or direct transfer may prevent an outpatient follow-up visit from taking place.</w:t>
            </w:r>
          </w:p>
        </w:tc>
      </w:tr>
      <w:tr w:rsidR="00027583" w:rsidRPr="005D4222" w14:paraId="088DBDF6" w14:textId="77777777" w:rsidTr="00027583">
        <w:trPr>
          <w:trHeight w:val="610"/>
        </w:trPr>
        <w:tc>
          <w:tcPr>
            <w:tcW w:w="1977" w:type="dxa"/>
            <w:shd w:val="clear" w:color="auto" w:fill="BFBFBF" w:themeFill="background1" w:themeFillShade="BF"/>
            <w:tcMar>
              <w:top w:w="0" w:type="dxa"/>
              <w:left w:w="86" w:type="dxa"/>
              <w:bottom w:w="43" w:type="dxa"/>
              <w:right w:w="86" w:type="dxa"/>
            </w:tcMar>
          </w:tcPr>
          <w:p w14:paraId="56F1D55E" w14:textId="77777777" w:rsidR="00027583" w:rsidRPr="005D4222" w:rsidRDefault="00027583">
            <w:pPr>
              <w:pStyle w:val="ECDSMarginHead"/>
              <w:rPr>
                <w:iCs/>
              </w:rPr>
            </w:pPr>
            <w:r w:rsidRPr="005D4222">
              <w:rPr>
                <w:iCs/>
              </w:rPr>
              <w:t xml:space="preserve">Denominator exclusions </w:t>
            </w:r>
          </w:p>
        </w:tc>
        <w:tc>
          <w:tcPr>
            <w:tcW w:w="7741" w:type="dxa"/>
            <w:tcMar>
              <w:top w:w="0" w:type="dxa"/>
              <w:left w:w="86" w:type="dxa"/>
              <w:bottom w:w="43" w:type="dxa"/>
              <w:right w:w="86" w:type="dxa"/>
            </w:tcMar>
          </w:tcPr>
          <w:p w14:paraId="1693557C" w14:textId="77777777" w:rsidR="00027583" w:rsidRPr="005D4222" w:rsidRDefault="00027583">
            <w:pPr>
              <w:pStyle w:val="ECDSBody"/>
              <w:rPr>
                <w:rFonts w:eastAsia="Arial,Arial,Arial,Arial,Arial,A"/>
              </w:rPr>
            </w:pPr>
            <w:r w:rsidRPr="005D4222">
              <w:rPr>
                <w:rFonts w:eastAsia="Arial,Arial,Arial,Arial,Arial,A"/>
                <w:b/>
                <w:bCs w:val="0"/>
              </w:rPr>
              <w:t>Persons with a date of death.</w:t>
            </w:r>
            <w:r w:rsidRPr="005D4222">
              <w:rPr>
                <w:rFonts w:eastAsia="Arial,Arial,Arial,Arial,Arial,A"/>
                <w:b/>
                <w:bCs w:val="0"/>
              </w:rPr>
              <w:br/>
            </w:r>
            <w:r w:rsidRPr="005D4222">
              <w:rPr>
                <w:rFonts w:eastAsia="Arial,Arial,Arial,Arial,Arial,A"/>
              </w:rPr>
              <w:t>Death in the measurement period, identified using data sources determined by the organization. Method and data sources are subject to review during the HEDIS audit. </w:t>
            </w:r>
          </w:p>
          <w:p w14:paraId="2D4343D3" w14:textId="77777777" w:rsidR="00027583" w:rsidRPr="005D4222" w:rsidRDefault="00027583">
            <w:pPr>
              <w:pStyle w:val="ECDSBody"/>
            </w:pPr>
            <w:r w:rsidRPr="005D4222" w:rsidDel="002D4AA7">
              <w:rPr>
                <w:rFonts w:eastAsia="Arial,Arial,Arial,Arial,Arial,A"/>
                <w:b/>
                <w:bCs w:val="0"/>
              </w:rPr>
              <w:t xml:space="preserve">Persons </w:t>
            </w:r>
            <w:r w:rsidRPr="005D4222">
              <w:rPr>
                <w:rFonts w:eastAsia="Arial,Arial,Arial,Arial,Arial,A"/>
                <w:b/>
                <w:bCs w:val="0"/>
              </w:rPr>
              <w:t>in hospice or using hospice services.</w:t>
            </w:r>
            <w:r w:rsidRPr="005D4222">
              <w:rPr>
                <w:rFonts w:eastAsia="Arial,Arial,Arial,Arial,Arial,A"/>
                <w:b/>
                <w:bCs w:val="0"/>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027583" w:rsidRPr="005D4222" w14:paraId="3425699D" w14:textId="77777777" w:rsidTr="00027583">
        <w:trPr>
          <w:trHeight w:val="300"/>
        </w:trPr>
        <w:tc>
          <w:tcPr>
            <w:tcW w:w="197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0BD44B5" w14:textId="77777777" w:rsidR="00027583" w:rsidRPr="005D4222" w:rsidRDefault="00027583">
            <w:pPr>
              <w:pStyle w:val="ECDSMarginHead"/>
            </w:pPr>
            <w:r w:rsidRPr="005D4222">
              <w:t>Denominator</w:t>
            </w:r>
          </w:p>
        </w:tc>
        <w:tc>
          <w:tcPr>
            <w:tcW w:w="7741"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801B264" w14:textId="77777777" w:rsidR="00027583" w:rsidRPr="005D4222" w:rsidRDefault="00027583">
            <w:pPr>
              <w:pStyle w:val="ECDSBody"/>
            </w:pPr>
            <w:r w:rsidRPr="005D4222">
              <w:t>The initial population minus denominator exclusions.</w:t>
            </w:r>
          </w:p>
        </w:tc>
      </w:tr>
      <w:tr w:rsidR="00027583" w:rsidRPr="005D4222" w14:paraId="7317FA1A" w14:textId="77777777" w:rsidTr="00027583">
        <w:tc>
          <w:tcPr>
            <w:tcW w:w="1977"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1A518A39" w14:textId="77777777" w:rsidR="00027583" w:rsidRPr="005D4222" w:rsidRDefault="00027583">
            <w:pPr>
              <w:pStyle w:val="ECDSMarginHead"/>
            </w:pPr>
            <w:r w:rsidRPr="005D4222">
              <w:t>Numerator</w:t>
            </w:r>
          </w:p>
        </w:tc>
        <w:tc>
          <w:tcPr>
            <w:tcW w:w="7741" w:type="dxa"/>
            <w:tcBorders>
              <w:top w:val="single" w:sz="4" w:space="0" w:color="auto"/>
              <w:left w:val="single" w:sz="4" w:space="0" w:color="auto"/>
              <w:right w:val="single" w:sz="4" w:space="0" w:color="auto"/>
            </w:tcBorders>
            <w:tcMar>
              <w:top w:w="0" w:type="dxa"/>
              <w:left w:w="86" w:type="dxa"/>
              <w:bottom w:w="43" w:type="dxa"/>
              <w:right w:w="86" w:type="dxa"/>
            </w:tcMar>
            <w:vAlign w:val="center"/>
          </w:tcPr>
          <w:p w14:paraId="45306C8C" w14:textId="77777777" w:rsidR="00027583" w:rsidRPr="005D4222" w:rsidRDefault="00027583">
            <w:pPr>
              <w:pStyle w:val="ECDSBody"/>
            </w:pPr>
            <w:r w:rsidRPr="005D4222">
              <w:rPr>
                <w:b/>
              </w:rPr>
              <w:t>Numerator 1: 30-day follow-up.</w:t>
            </w:r>
            <w:r w:rsidRPr="005D4222">
              <w:rPr>
                <w:b/>
                <w:bCs w:val="0"/>
              </w:rPr>
              <w:br/>
            </w:r>
            <w:r w:rsidRPr="005D4222">
              <w:t>A follow-up visit with a mental health provider, or with any practitioner for any diagnosis of a mental health disorder, within 30 days after discharge. Do not include visits that occur on the date of discharge.</w:t>
            </w:r>
          </w:p>
          <w:p w14:paraId="6DC10768" w14:textId="77777777" w:rsidR="00027583" w:rsidRPr="005D4222" w:rsidRDefault="00027583">
            <w:pPr>
              <w:pStyle w:val="ECDSBody"/>
            </w:pPr>
            <w:r w:rsidRPr="005D4222">
              <w:rPr>
                <w:b/>
              </w:rPr>
              <w:t>Numerator 2: 7-day follow-up.</w:t>
            </w:r>
            <w:r w:rsidRPr="005D4222">
              <w:rPr>
                <w:b/>
                <w:bCs w:val="0"/>
              </w:rPr>
              <w:br/>
            </w:r>
            <w:r w:rsidRPr="005D4222">
              <w:t>A follow-up visit with a mental health provider, or with any practitioner for any diagnosis of a mental health disorder,</w:t>
            </w:r>
            <w:r w:rsidRPr="005D4222" w:rsidDel="000B706C">
              <w:t xml:space="preserve"> </w:t>
            </w:r>
            <w:r w:rsidRPr="005D4222">
              <w:t>within 7 days after discharge. Do not include visits that occur on the date of discharge.</w:t>
            </w:r>
          </w:p>
          <w:p w14:paraId="214604BD" w14:textId="77777777" w:rsidR="00027583" w:rsidRPr="005D4222" w:rsidRDefault="00027583">
            <w:pPr>
              <w:pStyle w:val="ECDSBody"/>
            </w:pPr>
            <w:r w:rsidRPr="005D4222">
              <w:t xml:space="preserve">For both indicators, any of the following meet criteria for a follow-up visit: </w:t>
            </w:r>
          </w:p>
          <w:p w14:paraId="648C3D49" w14:textId="13D7C730" w:rsidR="00027583" w:rsidRPr="005D4222" w:rsidRDefault="00027583" w:rsidP="001C0D7A">
            <w:pPr>
              <w:pStyle w:val="Bullet"/>
              <w:numPr>
                <w:ilvl w:val="0"/>
                <w:numId w:val="42"/>
              </w:numPr>
              <w:spacing w:after="80"/>
              <w:ind w:left="576" w:hanging="216"/>
            </w:pPr>
            <w:r w:rsidRPr="005D4222">
              <w:t>An outpatient visit (</w:t>
            </w:r>
            <w:r w:rsidRPr="005D4222">
              <w:rPr>
                <w:u w:val="single"/>
              </w:rPr>
              <w:t>Visit Setting Unspecified Value Set</w:t>
            </w:r>
            <w:r w:rsidRPr="005D4222">
              <w:t xml:space="preserve">) </w:t>
            </w:r>
            <w:r w:rsidRPr="005D4222">
              <w:rPr>
                <w:b/>
                <w:i/>
              </w:rPr>
              <w:t>with</w:t>
            </w:r>
            <w:r w:rsidRPr="005D4222">
              <w:t xml:space="preserve"> (</w:t>
            </w:r>
            <w:r w:rsidRPr="005D4222">
              <w:rPr>
                <w:u w:val="single"/>
              </w:rPr>
              <w:t>Outpatient POS Value Set)</w:t>
            </w:r>
            <w:r w:rsidRPr="005D4222">
              <w:rPr>
                <w:b/>
                <w:i/>
              </w:rPr>
              <w:t xml:space="preserve"> with</w:t>
            </w:r>
            <w:r w:rsidRPr="005D4222">
              <w:t xml:space="preserve"> a mental health provider.</w:t>
            </w:r>
          </w:p>
        </w:tc>
      </w:tr>
      <w:tr w:rsidR="00027583" w:rsidRPr="005D4222" w14:paraId="4A77804B" w14:textId="77777777" w:rsidTr="00027583">
        <w:tc>
          <w:tcPr>
            <w:tcW w:w="1977"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5DE6166C" w14:textId="77777777" w:rsidR="00027583" w:rsidRPr="005D4222" w:rsidRDefault="00027583">
            <w:pPr>
              <w:pStyle w:val="ECDSMarginHead"/>
            </w:pPr>
          </w:p>
        </w:tc>
        <w:tc>
          <w:tcPr>
            <w:tcW w:w="7741" w:type="dxa"/>
            <w:tcBorders>
              <w:top w:val="single" w:sz="4" w:space="0" w:color="auto"/>
              <w:left w:val="single" w:sz="4" w:space="0" w:color="auto"/>
              <w:right w:val="single" w:sz="4" w:space="0" w:color="auto"/>
            </w:tcBorders>
            <w:tcMar>
              <w:top w:w="0" w:type="dxa"/>
              <w:left w:w="86" w:type="dxa"/>
              <w:bottom w:w="43" w:type="dxa"/>
              <w:right w:w="86" w:type="dxa"/>
            </w:tcMar>
            <w:vAlign w:val="center"/>
          </w:tcPr>
          <w:p w14:paraId="340CFA2C" w14:textId="77777777" w:rsidR="001C0D7A" w:rsidRPr="005D4222" w:rsidRDefault="001C0D7A" w:rsidP="001C0D7A">
            <w:pPr>
              <w:pStyle w:val="Bullet"/>
              <w:numPr>
                <w:ilvl w:val="0"/>
                <w:numId w:val="42"/>
              </w:numPr>
              <w:ind w:left="576" w:hanging="216"/>
            </w:pPr>
            <w:r w:rsidRPr="005D4222">
              <w:t>An outpatient visit (</w:t>
            </w:r>
            <w:r w:rsidRPr="005D4222">
              <w:rPr>
                <w:u w:val="single"/>
              </w:rPr>
              <w:t>Visit Setting Unspecified Value Set</w:t>
            </w:r>
            <w:r w:rsidRPr="005D4222">
              <w:t xml:space="preserve">) </w:t>
            </w:r>
            <w:r w:rsidRPr="005D4222">
              <w:rPr>
                <w:b/>
                <w:bCs/>
                <w:i/>
                <w:iCs/>
              </w:rPr>
              <w:t>with</w:t>
            </w:r>
            <w:r w:rsidRPr="005D4222">
              <w:t xml:space="preserve"> (</w:t>
            </w:r>
            <w:r w:rsidRPr="005D4222">
              <w:rPr>
                <w:u w:val="single"/>
              </w:rPr>
              <w:t>Outpatient POS Value Set)</w:t>
            </w:r>
            <w:r w:rsidRPr="005D4222">
              <w:rPr>
                <w:b/>
                <w:bCs/>
                <w:i/>
                <w:iCs/>
              </w:rPr>
              <w:t xml:space="preserve"> with</w:t>
            </w:r>
            <w:r w:rsidRPr="005D4222">
              <w:t xml:space="preserve"> any diagnosis of mental health disorder (</w:t>
            </w:r>
            <w:r w:rsidRPr="005D4222">
              <w:rPr>
                <w:u w:val="single"/>
              </w:rPr>
              <w:t>Mental Health Diagnosis Value Set</w:t>
            </w:r>
            <w:r w:rsidRPr="005D4222">
              <w:t>).</w:t>
            </w:r>
          </w:p>
          <w:p w14:paraId="70E6464B" w14:textId="77777777" w:rsidR="001C0D7A" w:rsidRPr="005D4222" w:rsidRDefault="001C0D7A" w:rsidP="001C0D7A">
            <w:pPr>
              <w:pStyle w:val="Bullet"/>
              <w:numPr>
                <w:ilvl w:val="0"/>
                <w:numId w:val="42"/>
              </w:numPr>
              <w:ind w:left="576" w:hanging="216"/>
            </w:pPr>
            <w:r w:rsidRPr="005D4222">
              <w:t>An outpatient visit (</w:t>
            </w:r>
            <w:r w:rsidRPr="005D4222">
              <w:rPr>
                <w:u w:val="single"/>
              </w:rPr>
              <w:t>BH Outpatient Value Set)</w:t>
            </w:r>
            <w:r w:rsidRPr="005D4222">
              <w:t xml:space="preserve"> </w:t>
            </w:r>
            <w:r w:rsidRPr="005D4222">
              <w:rPr>
                <w:b/>
                <w:bCs/>
                <w:i/>
                <w:iCs/>
              </w:rPr>
              <w:t>with</w:t>
            </w:r>
            <w:r w:rsidRPr="005D4222">
              <w:t xml:space="preserve"> a mental health provider.</w:t>
            </w:r>
          </w:p>
          <w:p w14:paraId="4D23A30E" w14:textId="77777777" w:rsidR="001C0D7A" w:rsidRPr="005D4222" w:rsidRDefault="001C0D7A" w:rsidP="001C0D7A">
            <w:pPr>
              <w:pStyle w:val="Bullet"/>
              <w:numPr>
                <w:ilvl w:val="0"/>
                <w:numId w:val="42"/>
              </w:numPr>
              <w:spacing w:after="80"/>
              <w:ind w:left="576" w:hanging="216"/>
            </w:pPr>
            <w:r w:rsidRPr="005D4222">
              <w:t>An outpatient visit (</w:t>
            </w:r>
            <w:r w:rsidRPr="005D4222">
              <w:rPr>
                <w:u w:val="single"/>
              </w:rPr>
              <w:t>BH Outpatient Value Set)</w:t>
            </w:r>
            <w:r w:rsidRPr="005D4222">
              <w:t xml:space="preserve"> </w:t>
            </w:r>
            <w:r w:rsidRPr="005D4222">
              <w:rPr>
                <w:b/>
                <w:bCs/>
                <w:i/>
                <w:iCs/>
              </w:rPr>
              <w:t>with</w:t>
            </w:r>
            <w:r w:rsidRPr="005D4222">
              <w:t xml:space="preserve"> any diagnosis of mental health disorder (</w:t>
            </w:r>
            <w:r w:rsidRPr="005D4222">
              <w:rPr>
                <w:u w:val="single"/>
              </w:rPr>
              <w:t>Mental Health Diagnosis Value Set</w:t>
            </w:r>
            <w:r w:rsidRPr="005D4222">
              <w:t>).</w:t>
            </w:r>
          </w:p>
          <w:p w14:paraId="6B333B02" w14:textId="77777777" w:rsidR="001C0D7A" w:rsidRPr="005D4222" w:rsidRDefault="001C0D7A" w:rsidP="001C0D7A">
            <w:pPr>
              <w:pStyle w:val="Bullet"/>
              <w:numPr>
                <w:ilvl w:val="0"/>
                <w:numId w:val="42"/>
              </w:numPr>
              <w:spacing w:after="80"/>
              <w:ind w:left="576" w:hanging="216"/>
            </w:pPr>
            <w:r w:rsidRPr="005D4222">
              <w:t>An intensive outpatient encounter or partial hospitalization (</w:t>
            </w:r>
            <w:r w:rsidRPr="005D4222">
              <w:rPr>
                <w:u w:val="single"/>
              </w:rPr>
              <w:t>Visit Setting Unspecified Value Set</w:t>
            </w:r>
            <w:r w:rsidRPr="005D4222">
              <w:t xml:space="preserve"> </w:t>
            </w:r>
            <w:r w:rsidRPr="005D4222">
              <w:rPr>
                <w:b/>
                <w:bCs/>
                <w:i/>
                <w:iCs/>
              </w:rPr>
              <w:t>with</w:t>
            </w:r>
            <w:r w:rsidRPr="005D4222">
              <w:t xml:space="preserve"> POS code 52).</w:t>
            </w:r>
          </w:p>
          <w:p w14:paraId="276B9D49" w14:textId="77777777" w:rsidR="001C0D7A" w:rsidRPr="005D4222" w:rsidRDefault="001C0D7A" w:rsidP="001C0D7A">
            <w:pPr>
              <w:pStyle w:val="Bullet"/>
              <w:numPr>
                <w:ilvl w:val="0"/>
                <w:numId w:val="42"/>
              </w:numPr>
              <w:ind w:left="576" w:hanging="216"/>
            </w:pPr>
            <w:r w:rsidRPr="005D4222">
              <w:t>An intensive outpatient encounter or partial hospitalization (</w:t>
            </w:r>
            <w:r w:rsidRPr="005D4222">
              <w:rPr>
                <w:u w:val="single"/>
              </w:rPr>
              <w:t>Partial Hospitalization or Intensive Outpatient Value Set</w:t>
            </w:r>
            <w:r w:rsidRPr="005D4222">
              <w:t>).</w:t>
            </w:r>
          </w:p>
          <w:p w14:paraId="667DC02D" w14:textId="77777777" w:rsidR="001C0D7A" w:rsidRPr="005D4222" w:rsidRDefault="001C0D7A" w:rsidP="001C0D7A">
            <w:pPr>
              <w:pStyle w:val="Bullet"/>
              <w:numPr>
                <w:ilvl w:val="0"/>
                <w:numId w:val="42"/>
              </w:numPr>
              <w:spacing w:after="80"/>
              <w:ind w:left="576" w:hanging="216"/>
            </w:pPr>
            <w:r w:rsidRPr="005D4222">
              <w:t>A community mental health center visit (</w:t>
            </w:r>
            <w:r w:rsidRPr="005D4222">
              <w:rPr>
                <w:u w:val="single"/>
              </w:rPr>
              <w:t>Visit Setting Unspecified Value Set</w:t>
            </w:r>
            <w:r w:rsidRPr="005D4222">
              <w:t xml:space="preserve">; </w:t>
            </w:r>
            <w:r w:rsidRPr="005D4222">
              <w:rPr>
                <w:u w:val="single"/>
              </w:rPr>
              <w:t>BH Outpatient Value Set</w:t>
            </w:r>
            <w:r w:rsidRPr="005D4222">
              <w:t xml:space="preserve">; </w:t>
            </w:r>
            <w:r w:rsidRPr="005D4222">
              <w:rPr>
                <w:u w:val="single"/>
              </w:rPr>
              <w:t>Transitional Care Management Services Value Set</w:t>
            </w:r>
            <w:r w:rsidRPr="005D4222">
              <w:t xml:space="preserve">) </w:t>
            </w:r>
            <w:r w:rsidRPr="005D4222">
              <w:rPr>
                <w:b/>
                <w:bCs/>
                <w:i/>
                <w:iCs/>
              </w:rPr>
              <w:t>with</w:t>
            </w:r>
            <w:r w:rsidRPr="005D4222">
              <w:t xml:space="preserve"> POS code 53.</w:t>
            </w:r>
          </w:p>
          <w:p w14:paraId="01426335" w14:textId="77777777" w:rsidR="001C0D7A" w:rsidRPr="005D4222" w:rsidRDefault="001C0D7A" w:rsidP="001C0D7A">
            <w:pPr>
              <w:pStyle w:val="Bullet"/>
              <w:numPr>
                <w:ilvl w:val="0"/>
                <w:numId w:val="42"/>
              </w:numPr>
              <w:spacing w:after="80"/>
              <w:ind w:left="576" w:hanging="216"/>
            </w:pPr>
            <w:r w:rsidRPr="005D4222">
              <w:t>Electroconvulsive therapy (</w:t>
            </w:r>
            <w:r w:rsidRPr="005D4222">
              <w:rPr>
                <w:u w:val="single"/>
              </w:rPr>
              <w:t>Electroconvulsive Therapy Value Set</w:t>
            </w:r>
            <w:r w:rsidRPr="005D4222">
              <w:t xml:space="preserve">) </w:t>
            </w:r>
            <w:r w:rsidRPr="005D4222">
              <w:rPr>
                <w:b/>
                <w:bCs/>
                <w:i/>
                <w:iCs/>
              </w:rPr>
              <w:t>with</w:t>
            </w:r>
            <w:r w:rsidRPr="005D4222">
              <w:t xml:space="preserve"> (</w:t>
            </w:r>
            <w:r w:rsidRPr="005D4222">
              <w:rPr>
                <w:u w:val="single"/>
              </w:rPr>
              <w:t>Outpatient POS Value Set</w:t>
            </w:r>
            <w:r w:rsidRPr="005D4222">
              <w:t>; POS code 24; POS code 52; POS code 53).</w:t>
            </w:r>
          </w:p>
          <w:p w14:paraId="6AE48819" w14:textId="3E15916F" w:rsidR="001C0D7A" w:rsidRPr="005D4222" w:rsidRDefault="001C0D7A" w:rsidP="001C0D7A">
            <w:pPr>
              <w:pStyle w:val="Bullet"/>
              <w:numPr>
                <w:ilvl w:val="0"/>
                <w:numId w:val="42"/>
              </w:numPr>
              <w:spacing w:after="80"/>
              <w:ind w:left="576" w:hanging="216"/>
            </w:pPr>
            <w:r w:rsidRPr="005D4222">
              <w:t>A telehealth visit (</w:t>
            </w:r>
            <w:r w:rsidRPr="005D4222">
              <w:rPr>
                <w:u w:val="single"/>
              </w:rPr>
              <w:t>Visit Setting Unspecified Value Set</w:t>
            </w:r>
            <w:r w:rsidRPr="005D4222">
              <w:t xml:space="preserve">) </w:t>
            </w:r>
            <w:r w:rsidRPr="005D4222">
              <w:rPr>
                <w:b/>
                <w:i/>
              </w:rPr>
              <w:t>with</w:t>
            </w:r>
            <w:r w:rsidRPr="005D4222">
              <w:t xml:space="preserve"> (</w:t>
            </w:r>
            <w:r w:rsidRPr="005D4222">
              <w:rPr>
                <w:u w:val="single"/>
              </w:rPr>
              <w:t>Telehealth POS Value Set</w:t>
            </w:r>
            <w:r w:rsidRPr="005D4222">
              <w:t>)</w:t>
            </w:r>
            <w:r w:rsidRPr="005D4222">
              <w:rPr>
                <w:b/>
                <w:i/>
              </w:rPr>
              <w:t xml:space="preserve"> with </w:t>
            </w:r>
            <w:r w:rsidRPr="005D4222">
              <w:t>a mental health provider.</w:t>
            </w:r>
          </w:p>
          <w:p w14:paraId="5C46087D" w14:textId="5C7930A8" w:rsidR="001C0D7A" w:rsidRPr="005D4222" w:rsidRDefault="001C0D7A" w:rsidP="001C0D7A">
            <w:pPr>
              <w:pStyle w:val="Bullet"/>
              <w:numPr>
                <w:ilvl w:val="0"/>
                <w:numId w:val="42"/>
              </w:numPr>
              <w:spacing w:after="80"/>
              <w:ind w:left="576" w:hanging="216"/>
            </w:pPr>
            <w:r w:rsidRPr="005D4222">
              <w:t>A telehealth visit (</w:t>
            </w:r>
            <w:r w:rsidRPr="005D4222">
              <w:rPr>
                <w:u w:val="single"/>
              </w:rPr>
              <w:t>Visit Setting Unspecified Value Set</w:t>
            </w:r>
            <w:r w:rsidRPr="005D4222">
              <w:t xml:space="preserve">) </w:t>
            </w:r>
            <w:r w:rsidRPr="005D4222">
              <w:rPr>
                <w:b/>
                <w:bCs/>
                <w:i/>
                <w:iCs/>
              </w:rPr>
              <w:t>with</w:t>
            </w:r>
            <w:r w:rsidRPr="005D4222">
              <w:t xml:space="preserve"> (</w:t>
            </w:r>
            <w:r w:rsidRPr="005D4222">
              <w:rPr>
                <w:u w:val="single"/>
              </w:rPr>
              <w:t>Telehealth POS Value Set</w:t>
            </w:r>
            <w:r w:rsidRPr="005D4222">
              <w:t>)</w:t>
            </w:r>
            <w:r w:rsidRPr="005D4222">
              <w:rPr>
                <w:b/>
                <w:bCs/>
                <w:i/>
                <w:iCs/>
              </w:rPr>
              <w:t xml:space="preserve"> with </w:t>
            </w:r>
            <w:r w:rsidRPr="005D4222">
              <w:t>any diagnosis of mental health disorder (</w:t>
            </w:r>
            <w:r w:rsidRPr="005D4222">
              <w:rPr>
                <w:u w:val="single"/>
              </w:rPr>
              <w:t>Mental Health Diagnosis Value Set</w:t>
            </w:r>
            <w:r w:rsidRPr="005D4222">
              <w:t>).</w:t>
            </w:r>
          </w:p>
          <w:p w14:paraId="05C08DE3" w14:textId="77777777" w:rsidR="001C0D7A" w:rsidRPr="005D4222" w:rsidRDefault="001C0D7A" w:rsidP="001C0D7A">
            <w:pPr>
              <w:pStyle w:val="Bullet"/>
              <w:numPr>
                <w:ilvl w:val="0"/>
                <w:numId w:val="42"/>
              </w:numPr>
              <w:ind w:left="576" w:hanging="216"/>
            </w:pPr>
            <w:r w:rsidRPr="005D4222">
              <w:t>Transitional care management services (</w:t>
            </w:r>
            <w:r w:rsidRPr="005D4222">
              <w:rPr>
                <w:u w:val="single"/>
              </w:rPr>
              <w:t>Transitional Care Management Services Value Set</w:t>
            </w:r>
            <w:r w:rsidRPr="005D4222">
              <w:t xml:space="preserve">) </w:t>
            </w:r>
            <w:r w:rsidRPr="005D4222">
              <w:rPr>
                <w:b/>
                <w:i/>
              </w:rPr>
              <w:t>with</w:t>
            </w:r>
            <w:r w:rsidRPr="005D4222">
              <w:t xml:space="preserve"> a mental health provider.</w:t>
            </w:r>
          </w:p>
          <w:p w14:paraId="470FF536" w14:textId="77777777" w:rsidR="001C0D7A" w:rsidRPr="005D4222" w:rsidRDefault="001C0D7A" w:rsidP="001C0D7A">
            <w:pPr>
              <w:pStyle w:val="Bullet"/>
              <w:numPr>
                <w:ilvl w:val="0"/>
                <w:numId w:val="42"/>
              </w:numPr>
              <w:ind w:left="576" w:hanging="216"/>
            </w:pPr>
            <w:r w:rsidRPr="005D4222">
              <w:t>Transitional care management services (</w:t>
            </w:r>
            <w:r w:rsidRPr="005D4222">
              <w:rPr>
                <w:u w:val="single"/>
              </w:rPr>
              <w:t>Transitional Care Management Services Value Set</w:t>
            </w:r>
            <w:r w:rsidRPr="005D4222">
              <w:t xml:space="preserve">) </w:t>
            </w:r>
            <w:r w:rsidRPr="005D4222">
              <w:rPr>
                <w:b/>
                <w:i/>
              </w:rPr>
              <w:t>with</w:t>
            </w:r>
            <w:r w:rsidRPr="005D4222">
              <w:t xml:space="preserve"> any diagnosis of mental health disorder (</w:t>
            </w:r>
            <w:r w:rsidRPr="005D4222">
              <w:rPr>
                <w:u w:val="single"/>
              </w:rPr>
              <w:t>Mental Health Diagnosis Value Set</w:t>
            </w:r>
            <w:r w:rsidRPr="005D4222">
              <w:t>).</w:t>
            </w:r>
          </w:p>
          <w:p w14:paraId="4A3EF7DA" w14:textId="77777777" w:rsidR="001C0D7A" w:rsidRPr="005D4222" w:rsidRDefault="001C0D7A" w:rsidP="001C0D7A">
            <w:pPr>
              <w:pStyle w:val="Bullet"/>
              <w:numPr>
                <w:ilvl w:val="0"/>
                <w:numId w:val="42"/>
              </w:numPr>
              <w:ind w:left="576" w:hanging="216"/>
            </w:pPr>
            <w:r w:rsidRPr="005D4222">
              <w:t>A visit in a behavioral healthcare setting (</w:t>
            </w:r>
            <w:r w:rsidRPr="005D4222">
              <w:rPr>
                <w:u w:val="single"/>
              </w:rPr>
              <w:t>Behavioral Healthcare Setting Value Set)</w:t>
            </w:r>
            <w:r w:rsidRPr="005D4222">
              <w:t>.</w:t>
            </w:r>
          </w:p>
          <w:p w14:paraId="6CB73ADD" w14:textId="77777777" w:rsidR="001C0D7A" w:rsidRPr="005D4222" w:rsidRDefault="001C0D7A" w:rsidP="001C0D7A">
            <w:pPr>
              <w:pStyle w:val="Bullet"/>
              <w:numPr>
                <w:ilvl w:val="0"/>
                <w:numId w:val="42"/>
              </w:numPr>
              <w:ind w:left="576" w:hanging="216"/>
            </w:pPr>
            <w:r w:rsidRPr="005D4222">
              <w:t>A telephone visit (</w:t>
            </w:r>
            <w:r w:rsidRPr="005D4222">
              <w:rPr>
                <w:u w:val="single"/>
              </w:rPr>
              <w:t>Telephone Visits Value Set</w:t>
            </w:r>
            <w:r w:rsidRPr="005D4222">
              <w:t xml:space="preserve">) </w:t>
            </w:r>
            <w:r w:rsidRPr="005D4222">
              <w:rPr>
                <w:b/>
                <w:i/>
              </w:rPr>
              <w:t xml:space="preserve">with </w:t>
            </w:r>
            <w:r w:rsidRPr="005D4222">
              <w:t>a mental health provider.</w:t>
            </w:r>
          </w:p>
          <w:p w14:paraId="4C5A13DD" w14:textId="77777777" w:rsidR="001C0D7A" w:rsidRPr="005D4222" w:rsidRDefault="001C0D7A" w:rsidP="001C0D7A">
            <w:pPr>
              <w:pStyle w:val="Bullet"/>
              <w:numPr>
                <w:ilvl w:val="0"/>
                <w:numId w:val="42"/>
              </w:numPr>
              <w:ind w:left="576" w:hanging="216"/>
            </w:pPr>
            <w:r w:rsidRPr="005D4222">
              <w:t>A telephone visit (</w:t>
            </w:r>
            <w:r w:rsidRPr="005D4222">
              <w:rPr>
                <w:u w:val="single"/>
              </w:rPr>
              <w:t>Telephone Visits Value Set</w:t>
            </w:r>
            <w:r w:rsidRPr="005D4222">
              <w:t xml:space="preserve">) </w:t>
            </w:r>
            <w:r w:rsidRPr="005D4222">
              <w:rPr>
                <w:b/>
                <w:i/>
              </w:rPr>
              <w:t xml:space="preserve">with </w:t>
            </w:r>
            <w:r w:rsidRPr="005D4222">
              <w:t>any diagnosis of mental health disorder (</w:t>
            </w:r>
            <w:r w:rsidRPr="005D4222">
              <w:rPr>
                <w:u w:val="single"/>
              </w:rPr>
              <w:t>Mental Health Diagnosis Value Set</w:t>
            </w:r>
            <w:r w:rsidRPr="005D4222">
              <w:t>).</w:t>
            </w:r>
          </w:p>
          <w:p w14:paraId="36B8EE8F" w14:textId="77777777" w:rsidR="001C0D7A" w:rsidRPr="005D4222" w:rsidRDefault="001C0D7A" w:rsidP="001C0D7A">
            <w:pPr>
              <w:pStyle w:val="Bullet"/>
              <w:numPr>
                <w:ilvl w:val="0"/>
                <w:numId w:val="4"/>
              </w:numPr>
              <w:ind w:left="576" w:hanging="216"/>
            </w:pPr>
            <w:r w:rsidRPr="005D4222">
              <w:t>Psychiatric collaborative care management (</w:t>
            </w:r>
            <w:r w:rsidRPr="005D4222">
              <w:rPr>
                <w:u w:val="single"/>
              </w:rPr>
              <w:t>Psychiatric Collaborative Care Management Value Set</w:t>
            </w:r>
            <w:r w:rsidRPr="005D4222">
              <w:t xml:space="preserve">). </w:t>
            </w:r>
          </w:p>
          <w:p w14:paraId="6FA4C5A7" w14:textId="77777777" w:rsidR="001C0D7A" w:rsidRPr="005D4222" w:rsidRDefault="001C0D7A" w:rsidP="001C0D7A">
            <w:pPr>
              <w:pStyle w:val="Bullet"/>
              <w:numPr>
                <w:ilvl w:val="0"/>
                <w:numId w:val="4"/>
              </w:numPr>
              <w:ind w:left="576" w:hanging="216"/>
            </w:pPr>
            <w:r w:rsidRPr="005D4222">
              <w:t>Peer support services (</w:t>
            </w:r>
            <w:r w:rsidRPr="005D4222">
              <w:rPr>
                <w:u w:val="single"/>
              </w:rPr>
              <w:t>Peer Support Services Value Set</w:t>
            </w:r>
            <w:r w:rsidRPr="005D4222">
              <w:t xml:space="preserve">) </w:t>
            </w:r>
            <w:r w:rsidRPr="005D4222">
              <w:rPr>
                <w:b/>
                <w:i/>
              </w:rPr>
              <w:t xml:space="preserve">with </w:t>
            </w:r>
            <w:r w:rsidRPr="005D4222">
              <w:t>any diagnosis of mental health disorder (</w:t>
            </w:r>
            <w:r w:rsidRPr="005D4222">
              <w:rPr>
                <w:u w:val="single"/>
              </w:rPr>
              <w:t>Mental Health Diagnosis Value Set</w:t>
            </w:r>
            <w:r w:rsidRPr="005D4222">
              <w:t>).</w:t>
            </w:r>
          </w:p>
          <w:p w14:paraId="1F3F927A" w14:textId="77777777" w:rsidR="001C0D7A" w:rsidRPr="005D4222" w:rsidRDefault="001C0D7A" w:rsidP="001C0D7A">
            <w:pPr>
              <w:pStyle w:val="Bullet"/>
              <w:numPr>
                <w:ilvl w:val="0"/>
                <w:numId w:val="4"/>
              </w:numPr>
              <w:ind w:left="576" w:hanging="216"/>
            </w:pPr>
            <w:r w:rsidRPr="005D4222">
              <w:t>Psychiatric residential treatment (</w:t>
            </w:r>
            <w:r w:rsidRPr="005D4222">
              <w:rPr>
                <w:u w:val="single"/>
              </w:rPr>
              <w:t>Residential Behavioral Health Treatment Value Set</w:t>
            </w:r>
            <w:r w:rsidRPr="005D4222">
              <w:t>).</w:t>
            </w:r>
          </w:p>
          <w:p w14:paraId="5EF725F1" w14:textId="32C9C278" w:rsidR="00027583" w:rsidRPr="005D4222" w:rsidRDefault="001C0D7A" w:rsidP="001C0D7A">
            <w:pPr>
              <w:pStyle w:val="Bullet"/>
              <w:numPr>
                <w:ilvl w:val="0"/>
                <w:numId w:val="4"/>
              </w:numPr>
              <w:spacing w:after="80"/>
              <w:ind w:left="576" w:hanging="216"/>
              <w:rPr>
                <w:b/>
              </w:rPr>
            </w:pPr>
            <w:r w:rsidRPr="005D4222">
              <w:t>Psychiatric residential treatment (</w:t>
            </w:r>
            <w:r w:rsidRPr="005D4222">
              <w:rPr>
                <w:u w:val="single"/>
              </w:rPr>
              <w:t>Visit Setting Unspecified Value Set</w:t>
            </w:r>
            <w:r w:rsidRPr="005D4222">
              <w:t xml:space="preserve"> </w:t>
            </w:r>
            <w:r w:rsidRPr="005D4222">
              <w:rPr>
                <w:b/>
                <w:bCs/>
                <w:i/>
                <w:iCs/>
              </w:rPr>
              <w:t>with</w:t>
            </w:r>
            <w:r w:rsidRPr="005D4222">
              <w:t xml:space="preserve"> POS code 56).</w:t>
            </w:r>
          </w:p>
        </w:tc>
      </w:tr>
      <w:tr w:rsidR="00027583" w:rsidRPr="005D4222" w14:paraId="2AA53007" w14:textId="77777777" w:rsidTr="00027583">
        <w:trPr>
          <w:trHeight w:val="45"/>
        </w:trPr>
        <w:tc>
          <w:tcPr>
            <w:tcW w:w="197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9E2AD74" w14:textId="77777777" w:rsidR="00027583" w:rsidRPr="005D4222" w:rsidRDefault="00027583">
            <w:pPr>
              <w:pStyle w:val="ECDSMarginHead"/>
            </w:pPr>
            <w:r w:rsidRPr="005D4222">
              <w:t>Summary of changes</w:t>
            </w:r>
          </w:p>
        </w:tc>
        <w:tc>
          <w:tcPr>
            <w:tcW w:w="7741"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08253EA5" w14:textId="77777777" w:rsidR="00027583" w:rsidRPr="005D4222" w:rsidRDefault="00027583" w:rsidP="001C0D7A">
            <w:pPr>
              <w:pStyle w:val="ProcessBullet"/>
              <w:tabs>
                <w:tab w:val="left" w:pos="216"/>
              </w:tabs>
              <w:spacing w:before="120"/>
            </w:pPr>
            <w:r w:rsidRPr="005D4222">
              <w:t>Updated the race and ethnicity stratification categories to align with OMB SPD 15 2024.</w:t>
            </w:r>
          </w:p>
          <w:p w14:paraId="17E0EB07" w14:textId="77777777" w:rsidR="00027583" w:rsidRPr="005D4222" w:rsidRDefault="00027583" w:rsidP="001C0D7A">
            <w:pPr>
              <w:pStyle w:val="ProcessBullet"/>
              <w:spacing w:after="80"/>
              <w:rPr>
                <w:rFonts w:cs="Arial"/>
                <w:b/>
              </w:rPr>
            </w:pPr>
            <w:r w:rsidRPr="005D4222">
              <w:t>Added instructions on allowable adjustments to the race and ethnicity stratification.</w:t>
            </w:r>
          </w:p>
        </w:tc>
      </w:tr>
    </w:tbl>
    <w:p w14:paraId="3F8B7DFB" w14:textId="77777777" w:rsidR="00027583" w:rsidRPr="005D4222" w:rsidRDefault="00027583" w:rsidP="00027583">
      <w:pPr>
        <w:spacing w:after="160" w:line="259" w:lineRule="auto"/>
      </w:pPr>
      <w:r w:rsidRPr="005D4222">
        <w:br w:type="page"/>
      </w:r>
    </w:p>
    <w:tbl>
      <w:tblPr>
        <w:tblW w:w="5003"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1977"/>
        <w:gridCol w:w="7741"/>
      </w:tblGrid>
      <w:tr w:rsidR="00027583" w:rsidRPr="005D4222" w14:paraId="42DEFCD2" w14:textId="77777777">
        <w:tc>
          <w:tcPr>
            <w:tcW w:w="1977"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656CDCB9" w14:textId="77777777" w:rsidR="00027583" w:rsidRPr="005D4222" w:rsidRDefault="00027583">
            <w:pPr>
              <w:pStyle w:val="ECDSMarginHead"/>
            </w:pPr>
            <w:r w:rsidRPr="005D4222">
              <w:lastRenderedPageBreak/>
              <w:t>Data element tables</w:t>
            </w:r>
          </w:p>
        </w:tc>
        <w:tc>
          <w:tcPr>
            <w:tcW w:w="7741" w:type="dxa"/>
            <w:tcBorders>
              <w:top w:val="single" w:sz="4" w:space="0" w:color="auto"/>
              <w:left w:val="single" w:sz="4" w:space="0" w:color="auto"/>
              <w:right w:val="single" w:sz="4" w:space="0" w:color="auto"/>
            </w:tcBorders>
            <w:tcMar>
              <w:top w:w="0" w:type="dxa"/>
              <w:left w:w="86" w:type="dxa"/>
              <w:bottom w:w="43" w:type="dxa"/>
              <w:right w:w="86" w:type="dxa"/>
            </w:tcMar>
          </w:tcPr>
          <w:p w14:paraId="1C5C9D8B" w14:textId="77777777" w:rsidR="00027583" w:rsidRPr="005D4222" w:rsidRDefault="00027583">
            <w:pPr>
              <w:pStyle w:val="ECDSBody"/>
            </w:pPr>
            <w:r w:rsidRPr="005D4222">
              <w:t>Organizations that submit HEDIS data to NCQA must provide the following data elements.</w:t>
            </w:r>
          </w:p>
          <w:p w14:paraId="2814AC66" w14:textId="77777777" w:rsidR="00027583" w:rsidRPr="005D4222" w:rsidRDefault="00027583">
            <w:pPr>
              <w:pStyle w:val="Heading3"/>
              <w:spacing w:before="120"/>
            </w:pPr>
            <w:r w:rsidRPr="005D4222">
              <w:t>Table FUH-A-1/2/3: Data Elements for Follow-Up After Hospitalization for Mental Illness</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74"/>
              <w:gridCol w:w="831"/>
              <w:gridCol w:w="2310"/>
              <w:gridCol w:w="2944"/>
            </w:tblGrid>
            <w:tr w:rsidR="00027583" w:rsidRPr="005D4222" w14:paraId="574EAF48" w14:textId="77777777">
              <w:tc>
                <w:tcPr>
                  <w:tcW w:w="1474"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tcMar>
                    <w:left w:w="86" w:type="dxa"/>
                    <w:right w:w="86" w:type="dxa"/>
                  </w:tcMar>
                </w:tcPr>
                <w:p w14:paraId="3C2682CC" w14:textId="77777777" w:rsidR="00027583" w:rsidRPr="005D4222" w:rsidRDefault="00027583">
                  <w:pPr>
                    <w:pStyle w:val="TableHead"/>
                    <w:spacing w:before="40" w:after="40"/>
                  </w:pPr>
                  <w:r w:rsidRPr="005D4222">
                    <w:t>Metric</w:t>
                  </w:r>
                </w:p>
              </w:tc>
              <w:tc>
                <w:tcPr>
                  <w:tcW w:w="831"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86" w:type="dxa"/>
                    <w:right w:w="86" w:type="dxa"/>
                  </w:tcMar>
                </w:tcPr>
                <w:p w14:paraId="2C74995D" w14:textId="77777777" w:rsidR="00027583" w:rsidRPr="005D4222" w:rsidRDefault="00027583">
                  <w:pPr>
                    <w:pStyle w:val="TableHead"/>
                    <w:spacing w:before="40" w:after="40"/>
                  </w:pPr>
                  <w:r w:rsidRPr="005D4222">
                    <w:t>Age</w:t>
                  </w:r>
                </w:p>
              </w:tc>
              <w:tc>
                <w:tcPr>
                  <w:tcW w:w="231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86" w:type="dxa"/>
                    <w:right w:w="86" w:type="dxa"/>
                  </w:tcMar>
                </w:tcPr>
                <w:p w14:paraId="102C42AE" w14:textId="77777777" w:rsidR="00027583" w:rsidRPr="005D4222" w:rsidRDefault="00027583">
                  <w:pPr>
                    <w:pStyle w:val="TableHead"/>
                    <w:spacing w:before="40" w:after="40"/>
                  </w:pPr>
                  <w:r w:rsidRPr="005D4222">
                    <w:t>Data Element</w:t>
                  </w:r>
                </w:p>
              </w:tc>
              <w:tc>
                <w:tcPr>
                  <w:tcW w:w="2944"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tcMar>
                    <w:left w:w="86" w:type="dxa"/>
                    <w:right w:w="86" w:type="dxa"/>
                  </w:tcMar>
                </w:tcPr>
                <w:p w14:paraId="0D06C20A" w14:textId="77777777" w:rsidR="00027583" w:rsidRPr="005D4222" w:rsidRDefault="00027583">
                  <w:pPr>
                    <w:pStyle w:val="TableHead"/>
                    <w:spacing w:before="40" w:after="40"/>
                  </w:pPr>
                  <w:r w:rsidRPr="005D4222">
                    <w:t>Reporting Instructions</w:t>
                  </w:r>
                </w:p>
              </w:tc>
            </w:tr>
            <w:tr w:rsidR="00027583" w:rsidRPr="005D4222" w14:paraId="72A99852" w14:textId="77777777">
              <w:tc>
                <w:tcPr>
                  <w:tcW w:w="1474" w:type="dxa"/>
                  <w:tcBorders>
                    <w:top w:val="single" w:sz="4" w:space="0" w:color="000000" w:themeColor="text1"/>
                    <w:left w:val="single" w:sz="4" w:space="0" w:color="auto"/>
                    <w:bottom w:val="single" w:sz="4" w:space="0" w:color="auto"/>
                    <w:right w:val="single" w:sz="4" w:space="0" w:color="auto"/>
                  </w:tcBorders>
                  <w:tcMar>
                    <w:left w:w="86" w:type="dxa"/>
                    <w:right w:w="86" w:type="dxa"/>
                  </w:tcMar>
                </w:tcPr>
                <w:p w14:paraId="00A73919" w14:textId="77777777" w:rsidR="00027583" w:rsidRPr="005D4222" w:rsidRDefault="00027583">
                  <w:pPr>
                    <w:pStyle w:val="TableText"/>
                    <w:spacing w:before="40" w:after="40"/>
                  </w:pPr>
                  <w:r w:rsidRPr="005D4222">
                    <w:t>FollowUp30Day</w:t>
                  </w:r>
                </w:p>
              </w:tc>
              <w:tc>
                <w:tcPr>
                  <w:tcW w:w="831" w:type="dxa"/>
                  <w:tcBorders>
                    <w:top w:val="single" w:sz="4" w:space="0" w:color="000000" w:themeColor="text1"/>
                    <w:left w:val="single" w:sz="4" w:space="0" w:color="auto"/>
                    <w:bottom w:val="single" w:sz="4" w:space="0" w:color="auto"/>
                    <w:right w:val="single" w:sz="4" w:space="0" w:color="auto"/>
                  </w:tcBorders>
                  <w:tcMar>
                    <w:left w:w="86" w:type="dxa"/>
                    <w:right w:w="86" w:type="dxa"/>
                  </w:tcMar>
                </w:tcPr>
                <w:p w14:paraId="2A4622B0" w14:textId="77777777" w:rsidR="00027583" w:rsidRPr="005D4222" w:rsidRDefault="00027583">
                  <w:pPr>
                    <w:pStyle w:val="TableText"/>
                    <w:spacing w:before="40" w:after="40"/>
                  </w:pPr>
                  <w:r w:rsidRPr="005D4222">
                    <w:t>6-17</w:t>
                  </w:r>
                </w:p>
              </w:tc>
              <w:tc>
                <w:tcPr>
                  <w:tcW w:w="2310" w:type="dxa"/>
                  <w:tcBorders>
                    <w:top w:val="single" w:sz="4" w:space="0" w:color="000000" w:themeColor="text1"/>
                    <w:left w:val="single" w:sz="4" w:space="0" w:color="auto"/>
                    <w:bottom w:val="single" w:sz="4" w:space="0" w:color="auto"/>
                    <w:right w:val="single" w:sz="4" w:space="0" w:color="auto"/>
                  </w:tcBorders>
                  <w:tcMar>
                    <w:left w:w="86" w:type="dxa"/>
                    <w:right w:w="86" w:type="dxa"/>
                  </w:tcMar>
                </w:tcPr>
                <w:p w14:paraId="5FAD9307" w14:textId="77777777" w:rsidR="00027583" w:rsidRPr="005D4222" w:rsidRDefault="00027583">
                  <w:pPr>
                    <w:pStyle w:val="TableText"/>
                    <w:spacing w:before="40" w:after="40"/>
                  </w:pPr>
                  <w:r w:rsidRPr="005D4222">
                    <w:t>Benefit</w:t>
                  </w:r>
                </w:p>
              </w:tc>
              <w:tc>
                <w:tcPr>
                  <w:tcW w:w="2944" w:type="dxa"/>
                  <w:tcBorders>
                    <w:top w:val="single" w:sz="4" w:space="0" w:color="000000" w:themeColor="text1"/>
                    <w:left w:val="single" w:sz="4" w:space="0" w:color="auto"/>
                    <w:bottom w:val="single" w:sz="6" w:space="0" w:color="auto"/>
                    <w:right w:val="single" w:sz="4" w:space="0" w:color="auto"/>
                  </w:tcBorders>
                  <w:tcMar>
                    <w:left w:w="86" w:type="dxa"/>
                    <w:right w:w="86" w:type="dxa"/>
                  </w:tcMar>
                </w:tcPr>
                <w:p w14:paraId="20EE57C3" w14:textId="77777777" w:rsidR="00027583" w:rsidRPr="005D4222" w:rsidRDefault="00027583">
                  <w:pPr>
                    <w:pStyle w:val="TableText"/>
                    <w:spacing w:before="40" w:after="40"/>
                    <w:rPr>
                      <w:rFonts w:eastAsia="Wingdings"/>
                    </w:rPr>
                  </w:pPr>
                  <w:r w:rsidRPr="005D4222">
                    <w:rPr>
                      <w:rFonts w:eastAsia="Wingdings"/>
                    </w:rPr>
                    <w:t>Metadata</w:t>
                  </w:r>
                </w:p>
              </w:tc>
            </w:tr>
            <w:tr w:rsidR="00027583" w:rsidRPr="005D4222" w14:paraId="31FBC4D9" w14:textId="77777777">
              <w:tc>
                <w:tcPr>
                  <w:tcW w:w="1474" w:type="dxa"/>
                  <w:tcBorders>
                    <w:top w:val="single" w:sz="4" w:space="0" w:color="auto"/>
                    <w:left w:val="single" w:sz="4" w:space="0" w:color="auto"/>
                    <w:bottom w:val="single" w:sz="4" w:space="0" w:color="auto"/>
                    <w:right w:val="single" w:sz="4" w:space="0" w:color="auto"/>
                  </w:tcBorders>
                  <w:shd w:val="clear" w:color="auto" w:fill="FFFFFF" w:themeFill="background1"/>
                  <w:tcMar>
                    <w:left w:w="86" w:type="dxa"/>
                    <w:right w:w="86" w:type="dxa"/>
                  </w:tcMar>
                </w:tcPr>
                <w:p w14:paraId="6F4582BD" w14:textId="77777777" w:rsidR="00027583" w:rsidRPr="005D4222" w:rsidRDefault="00027583">
                  <w:pPr>
                    <w:pStyle w:val="TableText"/>
                    <w:spacing w:before="40" w:after="40"/>
                  </w:pPr>
                  <w:r w:rsidRPr="005D4222">
                    <w:t>FollowUp7Day</w:t>
                  </w:r>
                </w:p>
              </w:tc>
              <w:tc>
                <w:tcPr>
                  <w:tcW w:w="831" w:type="dxa"/>
                  <w:tcBorders>
                    <w:top w:val="single" w:sz="4" w:space="0" w:color="auto"/>
                    <w:left w:val="single" w:sz="4" w:space="0" w:color="auto"/>
                    <w:bottom w:val="single" w:sz="4" w:space="0" w:color="auto"/>
                    <w:right w:val="single" w:sz="4" w:space="0" w:color="auto"/>
                  </w:tcBorders>
                  <w:shd w:val="clear" w:color="auto" w:fill="FFFFFF" w:themeFill="background1"/>
                  <w:tcMar>
                    <w:left w:w="86" w:type="dxa"/>
                    <w:right w:w="86" w:type="dxa"/>
                  </w:tcMar>
                </w:tcPr>
                <w:p w14:paraId="58B57DBA" w14:textId="77777777" w:rsidR="00027583" w:rsidRPr="005D4222" w:rsidRDefault="00027583">
                  <w:pPr>
                    <w:pStyle w:val="TableText"/>
                    <w:spacing w:before="40" w:after="40"/>
                  </w:pPr>
                  <w:r w:rsidRPr="005D4222">
                    <w:t>18-64</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tcMar>
                    <w:left w:w="86" w:type="dxa"/>
                    <w:right w:w="86" w:type="dxa"/>
                  </w:tcMar>
                </w:tcPr>
                <w:p w14:paraId="45A52628" w14:textId="77777777" w:rsidR="00027583" w:rsidRPr="005D4222" w:rsidRDefault="00027583">
                  <w:pPr>
                    <w:pStyle w:val="TableText"/>
                    <w:spacing w:before="40" w:after="40"/>
                  </w:pPr>
                  <w:r w:rsidRPr="005D4222">
                    <w:t>Initial</w:t>
                  </w:r>
                  <w:r w:rsidRPr="005D4222" w:rsidDel="004E1D06">
                    <w:t xml:space="preserve">Population </w:t>
                  </w:r>
                </w:p>
              </w:tc>
              <w:tc>
                <w:tcPr>
                  <w:tcW w:w="2944" w:type="dxa"/>
                  <w:tcBorders>
                    <w:left w:val="single" w:sz="4" w:space="0" w:color="auto"/>
                    <w:right w:val="single" w:sz="4" w:space="0" w:color="auto"/>
                  </w:tcBorders>
                  <w:shd w:val="clear" w:color="auto" w:fill="FFFFFF" w:themeFill="background1"/>
                  <w:tcMar>
                    <w:left w:w="86" w:type="dxa"/>
                    <w:right w:w="86" w:type="dxa"/>
                  </w:tcMar>
                </w:tcPr>
                <w:p w14:paraId="6BB5A159" w14:textId="77777777" w:rsidR="00027583" w:rsidRPr="005D4222" w:rsidRDefault="00027583">
                  <w:pPr>
                    <w:pStyle w:val="TableText"/>
                    <w:spacing w:before="40" w:after="40"/>
                    <w:rPr>
                      <w:rFonts w:eastAsia="Wingdings"/>
                    </w:rPr>
                  </w:pPr>
                  <w:r w:rsidRPr="005D4222">
                    <w:rPr>
                      <w:rFonts w:eastAsia="Wingdings"/>
                    </w:rPr>
                    <w:t>For each Stratification, repeat per Metric</w:t>
                  </w:r>
                </w:p>
              </w:tc>
            </w:tr>
            <w:tr w:rsidR="00027583" w:rsidRPr="005D4222" w14:paraId="3B4B048B" w14:textId="77777777">
              <w:tc>
                <w:tcPr>
                  <w:tcW w:w="1474" w:type="dxa"/>
                  <w:tcBorders>
                    <w:top w:val="nil"/>
                    <w:left w:val="nil"/>
                    <w:bottom w:val="nil"/>
                    <w:right w:val="nil"/>
                  </w:tcBorders>
                  <w:shd w:val="clear" w:color="auto" w:fill="FFFFFF" w:themeFill="background1"/>
                  <w:tcMar>
                    <w:left w:w="86" w:type="dxa"/>
                    <w:right w:w="86" w:type="dxa"/>
                  </w:tcMar>
                </w:tcPr>
                <w:p w14:paraId="22BB99DE" w14:textId="77777777" w:rsidR="00027583" w:rsidRPr="005D4222" w:rsidRDefault="00027583">
                  <w:pPr>
                    <w:pStyle w:val="TableText"/>
                    <w:spacing w:before="40" w:after="40"/>
                  </w:pPr>
                </w:p>
              </w:tc>
              <w:tc>
                <w:tcPr>
                  <w:tcW w:w="831" w:type="dxa"/>
                  <w:tcBorders>
                    <w:top w:val="single" w:sz="4" w:space="0" w:color="auto"/>
                    <w:left w:val="single" w:sz="4" w:space="0" w:color="auto"/>
                    <w:bottom w:val="single" w:sz="4" w:space="0" w:color="auto"/>
                    <w:right w:val="single" w:sz="4" w:space="0" w:color="auto"/>
                  </w:tcBorders>
                  <w:shd w:val="clear" w:color="auto" w:fill="FFFFFF" w:themeFill="background1"/>
                  <w:tcMar>
                    <w:left w:w="86" w:type="dxa"/>
                    <w:right w:w="86" w:type="dxa"/>
                  </w:tcMar>
                </w:tcPr>
                <w:p w14:paraId="120A95BE" w14:textId="77777777" w:rsidR="00027583" w:rsidRPr="005D4222" w:rsidRDefault="00027583">
                  <w:pPr>
                    <w:pStyle w:val="TableText"/>
                    <w:spacing w:before="40" w:after="40"/>
                  </w:pPr>
                  <w:r w:rsidRPr="005D4222">
                    <w:t>65+</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tcMar>
                    <w:left w:w="86" w:type="dxa"/>
                    <w:right w:w="86" w:type="dxa"/>
                  </w:tcMar>
                </w:tcPr>
                <w:p w14:paraId="3B1F676D" w14:textId="77777777" w:rsidR="00027583" w:rsidRPr="005D4222" w:rsidRDefault="00027583">
                  <w:pPr>
                    <w:pStyle w:val="TableText"/>
                    <w:spacing w:before="40" w:after="40"/>
                  </w:pPr>
                  <w:r w:rsidRPr="005D4222">
                    <w:t>Exclusions</w:t>
                  </w:r>
                </w:p>
              </w:tc>
              <w:tc>
                <w:tcPr>
                  <w:tcW w:w="2944" w:type="dxa"/>
                  <w:tcBorders>
                    <w:left w:val="single" w:sz="4" w:space="0" w:color="auto"/>
                    <w:right w:val="single" w:sz="4" w:space="0" w:color="auto"/>
                  </w:tcBorders>
                  <w:shd w:val="clear" w:color="auto" w:fill="FFFFFF" w:themeFill="background1"/>
                  <w:tcMar>
                    <w:left w:w="86" w:type="dxa"/>
                    <w:right w:w="86" w:type="dxa"/>
                  </w:tcMar>
                </w:tcPr>
                <w:p w14:paraId="3ECF8C6D" w14:textId="77777777" w:rsidR="00027583" w:rsidRPr="005D4222" w:rsidRDefault="00027583">
                  <w:pPr>
                    <w:pStyle w:val="TableText"/>
                    <w:spacing w:before="40" w:after="40"/>
                    <w:rPr>
                      <w:rFonts w:eastAsia="Wingdings"/>
                    </w:rPr>
                  </w:pPr>
                  <w:r w:rsidRPr="005D4222">
                    <w:rPr>
                      <w:rFonts w:eastAsia="Wingdings"/>
                    </w:rPr>
                    <w:t>For each Stratification, repeat per Metric</w:t>
                  </w:r>
                </w:p>
              </w:tc>
            </w:tr>
            <w:tr w:rsidR="00027583" w:rsidRPr="005D4222" w14:paraId="0F9BC04E" w14:textId="77777777">
              <w:tc>
                <w:tcPr>
                  <w:tcW w:w="1474" w:type="dxa"/>
                  <w:tcBorders>
                    <w:top w:val="nil"/>
                    <w:left w:val="nil"/>
                    <w:bottom w:val="nil"/>
                    <w:right w:val="nil"/>
                  </w:tcBorders>
                  <w:shd w:val="clear" w:color="auto" w:fill="FFFFFF" w:themeFill="background1"/>
                  <w:tcMar>
                    <w:left w:w="86" w:type="dxa"/>
                    <w:right w:w="86" w:type="dxa"/>
                  </w:tcMar>
                </w:tcPr>
                <w:p w14:paraId="47FA2542" w14:textId="77777777" w:rsidR="00027583" w:rsidRPr="005D4222" w:rsidRDefault="00027583">
                  <w:pPr>
                    <w:pStyle w:val="TableText"/>
                    <w:spacing w:before="40" w:after="40"/>
                  </w:pPr>
                </w:p>
              </w:tc>
              <w:tc>
                <w:tcPr>
                  <w:tcW w:w="83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86" w:type="dxa"/>
                    <w:right w:w="86" w:type="dxa"/>
                  </w:tcMar>
                </w:tcPr>
                <w:p w14:paraId="627429DE" w14:textId="77777777" w:rsidR="00027583" w:rsidRPr="005D4222" w:rsidRDefault="00027583">
                  <w:pPr>
                    <w:pStyle w:val="TableText"/>
                    <w:spacing w:before="40" w:after="40"/>
                  </w:pPr>
                  <w:r w:rsidRPr="005D4222">
                    <w:t>Total</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tcMar>
                    <w:left w:w="86" w:type="dxa"/>
                    <w:right w:w="86" w:type="dxa"/>
                  </w:tcMar>
                </w:tcPr>
                <w:p w14:paraId="1D772223" w14:textId="77777777" w:rsidR="00027583" w:rsidRPr="005D4222" w:rsidRDefault="00027583">
                  <w:pPr>
                    <w:pStyle w:val="TableText"/>
                    <w:spacing w:before="40" w:after="40"/>
                  </w:pPr>
                  <w:r w:rsidRPr="005D4222">
                    <w:t>Denominator</w:t>
                  </w:r>
                </w:p>
              </w:tc>
              <w:tc>
                <w:tcPr>
                  <w:tcW w:w="2944" w:type="dxa"/>
                  <w:tcBorders>
                    <w:left w:val="single" w:sz="4" w:space="0" w:color="auto"/>
                    <w:right w:val="single" w:sz="4" w:space="0" w:color="auto"/>
                  </w:tcBorders>
                  <w:shd w:val="clear" w:color="auto" w:fill="FFFFFF" w:themeFill="background1"/>
                  <w:tcMar>
                    <w:left w:w="86" w:type="dxa"/>
                    <w:right w:w="86" w:type="dxa"/>
                  </w:tcMar>
                </w:tcPr>
                <w:p w14:paraId="7E654F2F" w14:textId="77777777" w:rsidR="00027583" w:rsidRPr="005D4222" w:rsidRDefault="00027583">
                  <w:pPr>
                    <w:pStyle w:val="TableText"/>
                    <w:spacing w:before="40" w:after="40"/>
                    <w:rPr>
                      <w:rFonts w:eastAsia="Wingdings"/>
                    </w:rPr>
                  </w:pPr>
                  <w:r w:rsidRPr="005D4222">
                    <w:rPr>
                      <w:rFonts w:eastAsia="Wingdings"/>
                    </w:rPr>
                    <w:t>For each Stratification, repeat per Metric</w:t>
                  </w:r>
                </w:p>
              </w:tc>
            </w:tr>
            <w:tr w:rsidR="00027583" w:rsidRPr="005D4222" w14:paraId="3B93FDF3" w14:textId="77777777">
              <w:tc>
                <w:tcPr>
                  <w:tcW w:w="1474" w:type="dxa"/>
                  <w:tcBorders>
                    <w:top w:val="nil"/>
                    <w:left w:val="nil"/>
                    <w:bottom w:val="nil"/>
                    <w:right w:val="nil"/>
                  </w:tcBorders>
                  <w:shd w:val="clear" w:color="auto" w:fill="FFFFFF" w:themeFill="background1"/>
                  <w:tcMar>
                    <w:left w:w="86" w:type="dxa"/>
                    <w:right w:w="86" w:type="dxa"/>
                  </w:tcMar>
                </w:tcPr>
                <w:p w14:paraId="652D181F" w14:textId="77777777" w:rsidR="00027583" w:rsidRPr="005D4222" w:rsidRDefault="00027583">
                  <w:pPr>
                    <w:pStyle w:val="TableText"/>
                    <w:spacing w:before="40" w:after="40"/>
                  </w:pPr>
                </w:p>
              </w:tc>
              <w:tc>
                <w:tcPr>
                  <w:tcW w:w="831" w:type="dxa"/>
                  <w:tcBorders>
                    <w:top w:val="single" w:sz="4" w:space="0" w:color="auto"/>
                    <w:left w:val="nil"/>
                    <w:bottom w:val="nil"/>
                    <w:right w:val="single" w:sz="4" w:space="0" w:color="auto"/>
                  </w:tcBorders>
                  <w:shd w:val="clear" w:color="auto" w:fill="FFFFFF" w:themeFill="background1"/>
                  <w:tcMar>
                    <w:left w:w="86" w:type="dxa"/>
                    <w:right w:w="86" w:type="dxa"/>
                  </w:tcMar>
                </w:tcPr>
                <w:p w14:paraId="0E03486A" w14:textId="77777777" w:rsidR="00027583" w:rsidRPr="005D4222" w:rsidRDefault="00027583">
                  <w:pPr>
                    <w:pStyle w:val="TableText"/>
                    <w:spacing w:before="40" w:after="40"/>
                  </w:pP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tcMar>
                    <w:left w:w="86" w:type="dxa"/>
                    <w:right w:w="86" w:type="dxa"/>
                  </w:tcMar>
                </w:tcPr>
                <w:p w14:paraId="2EFDB43F" w14:textId="77777777" w:rsidR="00027583" w:rsidRPr="005D4222" w:rsidRDefault="00027583">
                  <w:pPr>
                    <w:pStyle w:val="TableText"/>
                    <w:spacing w:before="40" w:after="40"/>
                  </w:pPr>
                  <w:r w:rsidRPr="005D4222">
                    <w:t>NumeratorByAdmin</w:t>
                  </w:r>
                </w:p>
              </w:tc>
              <w:tc>
                <w:tcPr>
                  <w:tcW w:w="2944" w:type="dxa"/>
                  <w:tcBorders>
                    <w:left w:val="single" w:sz="4" w:space="0" w:color="auto"/>
                    <w:right w:val="single" w:sz="4" w:space="0" w:color="auto"/>
                  </w:tcBorders>
                  <w:shd w:val="clear" w:color="auto" w:fill="FFFFFF" w:themeFill="background1"/>
                  <w:tcMar>
                    <w:left w:w="86" w:type="dxa"/>
                    <w:right w:w="86" w:type="dxa"/>
                  </w:tcMar>
                </w:tcPr>
                <w:p w14:paraId="55F88F08" w14:textId="77777777" w:rsidR="00027583" w:rsidRPr="005D4222" w:rsidRDefault="00027583">
                  <w:pPr>
                    <w:pStyle w:val="TableText"/>
                    <w:spacing w:before="40" w:after="40"/>
                    <w:rPr>
                      <w:rFonts w:eastAsia="Wingdings"/>
                    </w:rPr>
                  </w:pPr>
                  <w:r w:rsidRPr="005D4222">
                    <w:rPr>
                      <w:rFonts w:eastAsia="Wingdings"/>
                    </w:rPr>
                    <w:t>For each Metric and Stratification</w:t>
                  </w:r>
                </w:p>
              </w:tc>
            </w:tr>
            <w:tr w:rsidR="00027583" w:rsidRPr="005D4222" w14:paraId="3E6BB713" w14:textId="77777777">
              <w:tc>
                <w:tcPr>
                  <w:tcW w:w="1474" w:type="dxa"/>
                  <w:tcBorders>
                    <w:top w:val="nil"/>
                    <w:left w:val="nil"/>
                    <w:bottom w:val="nil"/>
                    <w:right w:val="nil"/>
                  </w:tcBorders>
                  <w:shd w:val="clear" w:color="auto" w:fill="FFFFFF" w:themeFill="background1"/>
                  <w:tcMar>
                    <w:left w:w="86" w:type="dxa"/>
                    <w:right w:w="86" w:type="dxa"/>
                  </w:tcMar>
                </w:tcPr>
                <w:p w14:paraId="3782172A" w14:textId="77777777" w:rsidR="00027583" w:rsidRPr="005D4222" w:rsidRDefault="00027583">
                  <w:pPr>
                    <w:pStyle w:val="TableText"/>
                    <w:spacing w:before="40" w:after="40"/>
                  </w:pPr>
                </w:p>
              </w:tc>
              <w:tc>
                <w:tcPr>
                  <w:tcW w:w="831" w:type="dxa"/>
                  <w:tcBorders>
                    <w:top w:val="nil"/>
                    <w:left w:val="nil"/>
                    <w:bottom w:val="nil"/>
                    <w:right w:val="single" w:sz="4" w:space="0" w:color="auto"/>
                  </w:tcBorders>
                  <w:shd w:val="clear" w:color="auto" w:fill="FFFFFF" w:themeFill="background1"/>
                  <w:tcMar>
                    <w:left w:w="86" w:type="dxa"/>
                    <w:right w:w="86" w:type="dxa"/>
                  </w:tcMar>
                </w:tcPr>
                <w:p w14:paraId="14BF6F77" w14:textId="77777777" w:rsidR="00027583" w:rsidRPr="005D4222" w:rsidDel="00930D62" w:rsidRDefault="00027583">
                  <w:pPr>
                    <w:pStyle w:val="TableText"/>
                    <w:spacing w:before="40" w:after="40"/>
                  </w:pP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tcMar>
                    <w:left w:w="86" w:type="dxa"/>
                    <w:right w:w="86" w:type="dxa"/>
                  </w:tcMar>
                </w:tcPr>
                <w:p w14:paraId="0F23ED78" w14:textId="77777777" w:rsidR="00027583" w:rsidRPr="005D4222" w:rsidRDefault="00027583">
                  <w:pPr>
                    <w:pStyle w:val="TableText"/>
                    <w:spacing w:before="40" w:after="40"/>
                  </w:pPr>
                  <w:r w:rsidRPr="005D4222">
                    <w:t>NumeratorBySupplemental</w:t>
                  </w:r>
                </w:p>
              </w:tc>
              <w:tc>
                <w:tcPr>
                  <w:tcW w:w="2944" w:type="dxa"/>
                  <w:tcBorders>
                    <w:left w:val="single" w:sz="4" w:space="0" w:color="auto"/>
                    <w:right w:val="single" w:sz="4" w:space="0" w:color="auto"/>
                  </w:tcBorders>
                  <w:shd w:val="clear" w:color="auto" w:fill="FFFFFF" w:themeFill="background1"/>
                  <w:tcMar>
                    <w:left w:w="86" w:type="dxa"/>
                    <w:right w:w="86" w:type="dxa"/>
                  </w:tcMar>
                </w:tcPr>
                <w:p w14:paraId="7059C1C6" w14:textId="77777777" w:rsidR="00027583" w:rsidRPr="005D4222" w:rsidRDefault="00027583">
                  <w:pPr>
                    <w:pStyle w:val="TableText"/>
                    <w:spacing w:before="40" w:after="40"/>
                    <w:rPr>
                      <w:rFonts w:eastAsia="Wingdings"/>
                    </w:rPr>
                  </w:pPr>
                  <w:r w:rsidRPr="005D4222">
                    <w:rPr>
                      <w:rFonts w:eastAsia="Wingdings"/>
                    </w:rPr>
                    <w:t>For each Metric and Stratification</w:t>
                  </w:r>
                </w:p>
              </w:tc>
            </w:tr>
            <w:tr w:rsidR="00027583" w:rsidRPr="005D4222" w14:paraId="0AF2D3C5" w14:textId="77777777">
              <w:tc>
                <w:tcPr>
                  <w:tcW w:w="1474" w:type="dxa"/>
                  <w:tcBorders>
                    <w:top w:val="nil"/>
                    <w:left w:val="nil"/>
                    <w:bottom w:val="nil"/>
                    <w:right w:val="nil"/>
                  </w:tcBorders>
                  <w:shd w:val="clear" w:color="auto" w:fill="FFFFFF" w:themeFill="background1"/>
                  <w:tcMar>
                    <w:left w:w="86" w:type="dxa"/>
                    <w:right w:w="86" w:type="dxa"/>
                  </w:tcMar>
                </w:tcPr>
                <w:p w14:paraId="455B2E57" w14:textId="77777777" w:rsidR="00027583" w:rsidRPr="005D4222" w:rsidRDefault="00027583">
                  <w:pPr>
                    <w:pStyle w:val="TableText"/>
                    <w:spacing w:before="40" w:after="40"/>
                  </w:pPr>
                </w:p>
              </w:tc>
              <w:tc>
                <w:tcPr>
                  <w:tcW w:w="831" w:type="dxa"/>
                  <w:tcBorders>
                    <w:top w:val="nil"/>
                    <w:left w:val="nil"/>
                    <w:bottom w:val="nil"/>
                    <w:right w:val="single" w:sz="4" w:space="0" w:color="auto"/>
                  </w:tcBorders>
                  <w:shd w:val="clear" w:color="auto" w:fill="FFFFFF" w:themeFill="background1"/>
                  <w:tcMar>
                    <w:left w:w="86" w:type="dxa"/>
                    <w:right w:w="86" w:type="dxa"/>
                  </w:tcMar>
                </w:tcPr>
                <w:p w14:paraId="560DA2A9" w14:textId="77777777" w:rsidR="00027583" w:rsidRPr="005D4222" w:rsidDel="00930D62" w:rsidRDefault="00027583">
                  <w:pPr>
                    <w:pStyle w:val="TableText"/>
                    <w:spacing w:before="40" w:after="40"/>
                  </w:pPr>
                </w:p>
              </w:tc>
              <w:tc>
                <w:tcPr>
                  <w:tcW w:w="23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86" w:type="dxa"/>
                    <w:right w:w="86" w:type="dxa"/>
                  </w:tcMar>
                </w:tcPr>
                <w:p w14:paraId="64260C2D" w14:textId="77777777" w:rsidR="00027583" w:rsidRPr="005D4222" w:rsidRDefault="00027583">
                  <w:pPr>
                    <w:pStyle w:val="TableText"/>
                    <w:spacing w:before="40" w:after="40"/>
                  </w:pPr>
                  <w:r w:rsidRPr="005D4222">
                    <w:t>Rate</w:t>
                  </w:r>
                </w:p>
              </w:tc>
              <w:tc>
                <w:tcPr>
                  <w:tcW w:w="2944" w:type="dxa"/>
                  <w:tcBorders>
                    <w:left w:val="single" w:sz="4" w:space="0" w:color="auto"/>
                    <w:bottom w:val="single" w:sz="6" w:space="0" w:color="auto"/>
                    <w:right w:val="single" w:sz="4" w:space="0" w:color="auto"/>
                  </w:tcBorders>
                  <w:shd w:val="clear" w:color="auto" w:fill="D9D9D9" w:themeFill="background1" w:themeFillShade="D9"/>
                  <w:tcMar>
                    <w:left w:w="86" w:type="dxa"/>
                    <w:right w:w="86" w:type="dxa"/>
                  </w:tcMar>
                </w:tcPr>
                <w:p w14:paraId="22AE11EF" w14:textId="77777777" w:rsidR="00027583" w:rsidRPr="005D4222" w:rsidRDefault="00027583">
                  <w:pPr>
                    <w:pStyle w:val="TableText"/>
                    <w:spacing w:before="40" w:after="40"/>
                    <w:rPr>
                      <w:rFonts w:eastAsia="Wingdings"/>
                    </w:rPr>
                  </w:pPr>
                  <w:r w:rsidRPr="005D4222">
                    <w:rPr>
                      <w:rFonts w:eastAsia="Wingdings"/>
                    </w:rPr>
                    <w:t>(Percent)</w:t>
                  </w:r>
                </w:p>
              </w:tc>
            </w:tr>
          </w:tbl>
          <w:p w14:paraId="20B2ED28" w14:textId="2E12A863" w:rsidR="00027583" w:rsidRPr="005D4222" w:rsidRDefault="00027583">
            <w:pPr>
              <w:pStyle w:val="Heading3"/>
            </w:pPr>
            <w:r w:rsidRPr="005D4222">
              <w:t xml:space="preserve">Table FUH-B-1/2/3: Data Elements for Follow-Up After Hospitalization for Mental Illness: </w:t>
            </w:r>
            <w:r w:rsidR="00B51CDC" w:rsidRPr="005D4222">
              <w:t>Stratifications</w:t>
            </w:r>
            <w:r w:rsidRPr="005D4222">
              <w:t xml:space="preserve"> by Race </w:t>
            </w:r>
          </w:p>
          <w:tbl>
            <w:tblPr>
              <w:tblW w:w="5000" w:type="pct"/>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468"/>
              <w:gridCol w:w="3227"/>
              <w:gridCol w:w="1291"/>
              <w:gridCol w:w="1567"/>
            </w:tblGrid>
            <w:tr w:rsidR="00027583" w:rsidRPr="005D4222" w14:paraId="0FDF2FD2" w14:textId="77777777">
              <w:trPr>
                <w:trHeight w:val="300"/>
              </w:trPr>
              <w:tc>
                <w:tcPr>
                  <w:tcW w:w="1468" w:type="dxa"/>
                  <w:tcBorders>
                    <w:top w:val="single" w:sz="6" w:space="0" w:color="000000" w:themeColor="text1"/>
                    <w:left w:val="single" w:sz="6" w:space="0" w:color="auto"/>
                    <w:bottom w:val="single" w:sz="6" w:space="0" w:color="auto"/>
                    <w:right w:val="single" w:sz="6" w:space="0" w:color="FFFFFF" w:themeColor="background1"/>
                  </w:tcBorders>
                  <w:shd w:val="clear" w:color="auto" w:fill="000000" w:themeFill="text1"/>
                  <w:tcMar>
                    <w:left w:w="86" w:type="dxa"/>
                    <w:right w:w="86" w:type="dxa"/>
                  </w:tcMar>
                  <w:vAlign w:val="bottom"/>
                  <w:hideMark/>
                </w:tcPr>
                <w:p w14:paraId="0B40E10A" w14:textId="77777777" w:rsidR="00027583" w:rsidRPr="005D4222" w:rsidRDefault="00027583">
                  <w:pPr>
                    <w:pStyle w:val="TableHead"/>
                    <w:spacing w:before="40" w:after="40"/>
                    <w:rPr>
                      <w:rFonts w:ascii="Times New Roman" w:hAnsi="Times New Roman"/>
                      <w:sz w:val="24"/>
                      <w:szCs w:val="24"/>
                    </w:rPr>
                  </w:pPr>
                  <w:r w:rsidRPr="005D4222">
                    <w:t>Metric</w:t>
                  </w:r>
                </w:p>
              </w:tc>
              <w:tc>
                <w:tcPr>
                  <w:tcW w:w="3227" w:type="dxa"/>
                  <w:tcBorders>
                    <w:top w:val="single" w:sz="6" w:space="0" w:color="000000" w:themeColor="text1"/>
                    <w:left w:val="single" w:sz="6" w:space="0" w:color="FFFFFF" w:themeColor="background1"/>
                    <w:bottom w:val="single" w:sz="6" w:space="0" w:color="000000" w:themeColor="text1"/>
                    <w:right w:val="single" w:sz="6" w:space="0" w:color="FFFFFF" w:themeColor="background1"/>
                  </w:tcBorders>
                  <w:shd w:val="clear" w:color="auto" w:fill="000000" w:themeFill="text1"/>
                  <w:tcMar>
                    <w:left w:w="86" w:type="dxa"/>
                    <w:right w:w="86" w:type="dxa"/>
                  </w:tcMar>
                  <w:vAlign w:val="bottom"/>
                  <w:hideMark/>
                </w:tcPr>
                <w:p w14:paraId="5305F760" w14:textId="77777777" w:rsidR="00027583" w:rsidRPr="005D4222" w:rsidRDefault="00027583">
                  <w:pPr>
                    <w:pStyle w:val="TableHead"/>
                    <w:spacing w:before="40" w:after="40"/>
                    <w:rPr>
                      <w:rFonts w:ascii="Times New Roman" w:hAnsi="Times New Roman"/>
                      <w:sz w:val="24"/>
                      <w:szCs w:val="24"/>
                    </w:rPr>
                  </w:pPr>
                  <w:r w:rsidRPr="005D4222">
                    <w:t>Race</w:t>
                  </w:r>
                </w:p>
              </w:tc>
              <w:tc>
                <w:tcPr>
                  <w:tcW w:w="1291" w:type="dxa"/>
                  <w:tcBorders>
                    <w:top w:val="single" w:sz="6" w:space="0" w:color="000000" w:themeColor="text1"/>
                    <w:left w:val="single" w:sz="6" w:space="0" w:color="FFFFFF" w:themeColor="background1"/>
                    <w:bottom w:val="single" w:sz="6" w:space="0" w:color="000000" w:themeColor="text1"/>
                    <w:right w:val="single" w:sz="6" w:space="0" w:color="FFFFFF" w:themeColor="background1"/>
                  </w:tcBorders>
                  <w:shd w:val="clear" w:color="auto" w:fill="000000" w:themeFill="text1"/>
                  <w:tcMar>
                    <w:left w:w="86" w:type="dxa"/>
                    <w:right w:w="86" w:type="dxa"/>
                  </w:tcMar>
                  <w:vAlign w:val="bottom"/>
                  <w:hideMark/>
                </w:tcPr>
                <w:p w14:paraId="26F0074D" w14:textId="77777777" w:rsidR="00027583" w:rsidRPr="005D4222" w:rsidRDefault="00027583">
                  <w:pPr>
                    <w:pStyle w:val="TableHead"/>
                    <w:spacing w:before="40" w:after="40"/>
                    <w:rPr>
                      <w:rFonts w:ascii="Times New Roman" w:hAnsi="Times New Roman"/>
                      <w:sz w:val="24"/>
                      <w:szCs w:val="24"/>
                    </w:rPr>
                  </w:pPr>
                  <w:r w:rsidRPr="005D4222">
                    <w:t>Data Element</w:t>
                  </w:r>
                </w:p>
              </w:tc>
              <w:tc>
                <w:tcPr>
                  <w:tcW w:w="1567" w:type="dxa"/>
                  <w:tcBorders>
                    <w:top w:val="single" w:sz="6" w:space="0" w:color="000000" w:themeColor="text1"/>
                    <w:left w:val="single" w:sz="6" w:space="0" w:color="FFFFFF" w:themeColor="background1"/>
                    <w:bottom w:val="single" w:sz="6" w:space="0" w:color="000000" w:themeColor="text1"/>
                    <w:right w:val="single" w:sz="6" w:space="0" w:color="auto"/>
                  </w:tcBorders>
                  <w:shd w:val="clear" w:color="auto" w:fill="000000" w:themeFill="text1"/>
                  <w:tcMar>
                    <w:left w:w="86" w:type="dxa"/>
                    <w:right w:w="86" w:type="dxa"/>
                  </w:tcMar>
                  <w:vAlign w:val="bottom"/>
                  <w:hideMark/>
                </w:tcPr>
                <w:p w14:paraId="6154DE40" w14:textId="77777777" w:rsidR="00027583" w:rsidRPr="005D4222" w:rsidRDefault="00027583">
                  <w:pPr>
                    <w:pStyle w:val="TableHead"/>
                    <w:spacing w:before="40" w:after="40"/>
                    <w:rPr>
                      <w:rFonts w:ascii="Times New Roman" w:hAnsi="Times New Roman"/>
                      <w:sz w:val="24"/>
                      <w:szCs w:val="24"/>
                    </w:rPr>
                  </w:pPr>
                  <w:r w:rsidRPr="005D4222">
                    <w:t>Reporting Instructions</w:t>
                  </w:r>
                </w:p>
              </w:tc>
            </w:tr>
            <w:tr w:rsidR="00027583" w:rsidRPr="005D4222" w14:paraId="42755F98" w14:textId="77777777">
              <w:tc>
                <w:tcPr>
                  <w:tcW w:w="1468" w:type="dxa"/>
                  <w:tcBorders>
                    <w:top w:val="single" w:sz="6" w:space="0" w:color="auto"/>
                    <w:left w:val="single" w:sz="6" w:space="0" w:color="auto"/>
                    <w:bottom w:val="single" w:sz="6" w:space="0" w:color="auto"/>
                    <w:right w:val="single" w:sz="6" w:space="0" w:color="auto"/>
                  </w:tcBorders>
                  <w:tcMar>
                    <w:left w:w="86" w:type="dxa"/>
                    <w:right w:w="86" w:type="dxa"/>
                  </w:tcMar>
                  <w:hideMark/>
                </w:tcPr>
                <w:p w14:paraId="003A345B" w14:textId="77777777" w:rsidR="00027583" w:rsidRPr="005D4222" w:rsidRDefault="00027583">
                  <w:pPr>
                    <w:pStyle w:val="TableText"/>
                    <w:spacing w:before="40" w:after="40"/>
                    <w:rPr>
                      <w:rFonts w:ascii="Times New Roman" w:hAnsi="Times New Roman"/>
                      <w:sz w:val="24"/>
                      <w:szCs w:val="24"/>
                    </w:rPr>
                  </w:pPr>
                  <w:r w:rsidRPr="005D4222">
                    <w:t xml:space="preserve">FollowUp30Day </w:t>
                  </w:r>
                </w:p>
              </w:tc>
              <w:tc>
                <w:tcPr>
                  <w:tcW w:w="3227" w:type="dxa"/>
                  <w:tcBorders>
                    <w:top w:val="single" w:sz="6" w:space="0" w:color="000000" w:themeColor="text1"/>
                    <w:left w:val="single" w:sz="6" w:space="0" w:color="auto"/>
                    <w:bottom w:val="single" w:sz="6" w:space="0" w:color="auto"/>
                    <w:right w:val="single" w:sz="6" w:space="0" w:color="auto"/>
                  </w:tcBorders>
                  <w:tcMar>
                    <w:left w:w="86" w:type="dxa"/>
                    <w:right w:w="86" w:type="dxa"/>
                  </w:tcMar>
                  <w:hideMark/>
                </w:tcPr>
                <w:p w14:paraId="53F728DA" w14:textId="77777777" w:rsidR="00027583" w:rsidRPr="005D4222" w:rsidRDefault="00027583">
                  <w:pPr>
                    <w:pStyle w:val="TableText"/>
                    <w:spacing w:before="40" w:after="40"/>
                    <w:rPr>
                      <w:rFonts w:ascii="Times New Roman" w:hAnsi="Times New Roman"/>
                      <w:sz w:val="24"/>
                      <w:szCs w:val="24"/>
                    </w:rPr>
                  </w:pPr>
                  <w:r w:rsidRPr="005D4222">
                    <w:t xml:space="preserve">AmericanIndianOrAlaskaNative  </w:t>
                  </w:r>
                </w:p>
              </w:tc>
              <w:tc>
                <w:tcPr>
                  <w:tcW w:w="1291" w:type="dxa"/>
                  <w:tcBorders>
                    <w:top w:val="single" w:sz="6" w:space="0" w:color="000000" w:themeColor="text1"/>
                    <w:left w:val="single" w:sz="6" w:space="0" w:color="auto"/>
                    <w:bottom w:val="single" w:sz="6" w:space="0" w:color="auto"/>
                    <w:right w:val="single" w:sz="6" w:space="0" w:color="auto"/>
                  </w:tcBorders>
                  <w:tcMar>
                    <w:left w:w="86" w:type="dxa"/>
                    <w:right w:w="86" w:type="dxa"/>
                  </w:tcMar>
                  <w:hideMark/>
                </w:tcPr>
                <w:p w14:paraId="4BE709F7" w14:textId="77777777" w:rsidR="00027583" w:rsidRPr="005D4222" w:rsidRDefault="00027583">
                  <w:pPr>
                    <w:pStyle w:val="TableText"/>
                    <w:spacing w:before="40" w:after="40"/>
                    <w:rPr>
                      <w:rFonts w:ascii="Times New Roman" w:hAnsi="Times New Roman"/>
                      <w:sz w:val="24"/>
                      <w:szCs w:val="24"/>
                    </w:rPr>
                  </w:pPr>
                  <w:r w:rsidRPr="005D4222">
                    <w:t xml:space="preserve">Denominator </w:t>
                  </w:r>
                </w:p>
              </w:tc>
              <w:tc>
                <w:tcPr>
                  <w:tcW w:w="1567" w:type="dxa"/>
                  <w:tcBorders>
                    <w:top w:val="single" w:sz="6" w:space="0" w:color="000000" w:themeColor="text1"/>
                    <w:left w:val="single" w:sz="6" w:space="0" w:color="auto"/>
                    <w:bottom w:val="single" w:sz="6" w:space="0" w:color="auto"/>
                    <w:right w:val="single" w:sz="6" w:space="0" w:color="auto"/>
                  </w:tcBorders>
                  <w:tcMar>
                    <w:left w:w="86" w:type="dxa"/>
                    <w:right w:w="86" w:type="dxa"/>
                  </w:tcMar>
                  <w:hideMark/>
                </w:tcPr>
                <w:p w14:paraId="797617A0" w14:textId="77777777" w:rsidR="00027583" w:rsidRPr="005D4222" w:rsidRDefault="00027583">
                  <w:pPr>
                    <w:pStyle w:val="TableText"/>
                    <w:spacing w:before="40" w:after="40"/>
                    <w:rPr>
                      <w:rFonts w:ascii="Times New Roman" w:hAnsi="Times New Roman"/>
                      <w:sz w:val="24"/>
                      <w:szCs w:val="24"/>
                    </w:rPr>
                  </w:pPr>
                  <w:r w:rsidRPr="005D4222">
                    <w:t xml:space="preserve">For each Stratification, repeat per Metric </w:t>
                  </w:r>
                </w:p>
              </w:tc>
            </w:tr>
            <w:tr w:rsidR="00027583" w:rsidRPr="005D4222" w14:paraId="207A51D3" w14:textId="77777777">
              <w:tc>
                <w:tcPr>
                  <w:tcW w:w="1468"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2BE11779" w14:textId="77777777" w:rsidR="00027583" w:rsidRPr="005D4222" w:rsidRDefault="00027583">
                  <w:pPr>
                    <w:pStyle w:val="TableText"/>
                    <w:spacing w:before="40" w:after="40"/>
                    <w:rPr>
                      <w:rFonts w:ascii="Times New Roman" w:hAnsi="Times New Roman"/>
                      <w:sz w:val="24"/>
                      <w:szCs w:val="24"/>
                    </w:rPr>
                  </w:pPr>
                  <w:r w:rsidRPr="005D4222">
                    <w:t xml:space="preserve">FollowUp7Day </w:t>
                  </w:r>
                </w:p>
              </w:tc>
              <w:tc>
                <w:tcPr>
                  <w:tcW w:w="3227"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754E3AD8" w14:textId="77777777" w:rsidR="00027583" w:rsidRPr="005D4222" w:rsidRDefault="00027583">
                  <w:pPr>
                    <w:pStyle w:val="TableText"/>
                    <w:spacing w:before="40" w:after="40"/>
                    <w:rPr>
                      <w:rFonts w:ascii="Times New Roman" w:hAnsi="Times New Roman"/>
                      <w:sz w:val="24"/>
                      <w:szCs w:val="24"/>
                    </w:rPr>
                  </w:pPr>
                  <w:r w:rsidRPr="005D4222">
                    <w:t>Asian</w:t>
                  </w:r>
                </w:p>
              </w:tc>
              <w:tc>
                <w:tcPr>
                  <w:tcW w:w="1291"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55347205" w14:textId="77777777" w:rsidR="00027583" w:rsidRPr="005D4222" w:rsidRDefault="00027583">
                  <w:pPr>
                    <w:pStyle w:val="TableText"/>
                    <w:spacing w:before="40" w:after="40"/>
                    <w:rPr>
                      <w:rFonts w:ascii="Times New Roman" w:hAnsi="Times New Roman"/>
                      <w:sz w:val="24"/>
                      <w:szCs w:val="24"/>
                    </w:rPr>
                  </w:pPr>
                  <w:r w:rsidRPr="005D4222">
                    <w:t xml:space="preserve">Numerator </w:t>
                  </w:r>
                </w:p>
              </w:tc>
              <w:tc>
                <w:tcPr>
                  <w:tcW w:w="1567"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580705E7" w14:textId="77777777" w:rsidR="00027583" w:rsidRPr="005D4222" w:rsidRDefault="00027583">
                  <w:pPr>
                    <w:pStyle w:val="TableText"/>
                    <w:spacing w:before="40" w:after="40"/>
                    <w:rPr>
                      <w:rFonts w:ascii="Times New Roman" w:hAnsi="Times New Roman"/>
                      <w:sz w:val="24"/>
                      <w:szCs w:val="24"/>
                    </w:rPr>
                  </w:pPr>
                  <w:r w:rsidRPr="005D4222">
                    <w:t xml:space="preserve">For each Metric and Stratification </w:t>
                  </w:r>
                </w:p>
              </w:tc>
            </w:tr>
            <w:tr w:rsidR="00027583" w:rsidRPr="005D4222" w14:paraId="2A31684A" w14:textId="77777777">
              <w:tc>
                <w:tcPr>
                  <w:tcW w:w="1468" w:type="dxa"/>
                  <w:tcBorders>
                    <w:top w:val="single" w:sz="6" w:space="0" w:color="auto"/>
                    <w:left w:val="nil"/>
                    <w:bottom w:val="nil"/>
                    <w:right w:val="single" w:sz="6" w:space="0" w:color="auto"/>
                  </w:tcBorders>
                  <w:tcMar>
                    <w:left w:w="86" w:type="dxa"/>
                    <w:right w:w="86" w:type="dxa"/>
                  </w:tcMar>
                  <w:hideMark/>
                </w:tcPr>
                <w:p w14:paraId="0FA1DC81" w14:textId="77777777" w:rsidR="00027583" w:rsidRPr="005D4222" w:rsidRDefault="00027583">
                  <w:pPr>
                    <w:pStyle w:val="TableText"/>
                    <w:spacing w:before="40" w:after="40"/>
                    <w:rPr>
                      <w:rFonts w:ascii="Times New Roman" w:hAnsi="Times New Roman"/>
                      <w:sz w:val="24"/>
                      <w:szCs w:val="24"/>
                    </w:rPr>
                  </w:pPr>
                  <w:r w:rsidRPr="005D4222">
                    <w:t xml:space="preserve"> </w:t>
                  </w:r>
                </w:p>
              </w:tc>
              <w:tc>
                <w:tcPr>
                  <w:tcW w:w="3227" w:type="dxa"/>
                  <w:tcBorders>
                    <w:top w:val="single" w:sz="6" w:space="0" w:color="auto"/>
                    <w:left w:val="single" w:sz="6" w:space="0" w:color="auto"/>
                    <w:bottom w:val="single" w:sz="6" w:space="0" w:color="auto"/>
                    <w:right w:val="single" w:sz="6" w:space="0" w:color="auto"/>
                  </w:tcBorders>
                  <w:tcMar>
                    <w:left w:w="86" w:type="dxa"/>
                    <w:right w:w="86" w:type="dxa"/>
                  </w:tcMar>
                  <w:hideMark/>
                </w:tcPr>
                <w:p w14:paraId="4F94F3F7" w14:textId="77777777" w:rsidR="00027583" w:rsidRPr="005D4222" w:rsidRDefault="00027583">
                  <w:pPr>
                    <w:pStyle w:val="TableText"/>
                    <w:spacing w:before="40" w:after="40"/>
                    <w:rPr>
                      <w:rFonts w:ascii="Times New Roman" w:hAnsi="Times New Roman"/>
                      <w:sz w:val="24"/>
                      <w:szCs w:val="24"/>
                    </w:rPr>
                  </w:pPr>
                  <w:r w:rsidRPr="005D4222">
                    <w:t xml:space="preserve">BlackOrAfricanAmerican  </w:t>
                  </w:r>
                </w:p>
              </w:tc>
              <w:tc>
                <w:tcPr>
                  <w:tcW w:w="129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86" w:type="dxa"/>
                    <w:right w:w="86" w:type="dxa"/>
                  </w:tcMar>
                  <w:hideMark/>
                </w:tcPr>
                <w:p w14:paraId="20601FED" w14:textId="77777777" w:rsidR="00027583" w:rsidRPr="005D4222" w:rsidRDefault="00027583">
                  <w:pPr>
                    <w:pStyle w:val="TableText"/>
                    <w:spacing w:before="40" w:after="40"/>
                    <w:rPr>
                      <w:rFonts w:ascii="Times New Roman" w:hAnsi="Times New Roman"/>
                      <w:sz w:val="24"/>
                      <w:szCs w:val="24"/>
                    </w:rPr>
                  </w:pPr>
                  <w:r w:rsidRPr="005D4222">
                    <w:t xml:space="preserve">Rate </w:t>
                  </w:r>
                </w:p>
              </w:tc>
              <w:tc>
                <w:tcPr>
                  <w:tcW w:w="156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86" w:type="dxa"/>
                    <w:right w:w="86" w:type="dxa"/>
                  </w:tcMar>
                  <w:hideMark/>
                </w:tcPr>
                <w:p w14:paraId="22B58EBB" w14:textId="77777777" w:rsidR="00027583" w:rsidRPr="005D4222" w:rsidRDefault="00027583">
                  <w:pPr>
                    <w:pStyle w:val="TableText"/>
                    <w:spacing w:before="40" w:after="40"/>
                    <w:rPr>
                      <w:rFonts w:ascii="Times New Roman" w:hAnsi="Times New Roman"/>
                      <w:sz w:val="24"/>
                      <w:szCs w:val="24"/>
                    </w:rPr>
                  </w:pPr>
                  <w:r w:rsidRPr="005D4222">
                    <w:t xml:space="preserve">(Percent) </w:t>
                  </w:r>
                </w:p>
              </w:tc>
            </w:tr>
            <w:tr w:rsidR="00027583" w:rsidRPr="005D4222" w14:paraId="2A505A27" w14:textId="77777777">
              <w:tc>
                <w:tcPr>
                  <w:tcW w:w="1468" w:type="dxa"/>
                  <w:tcBorders>
                    <w:top w:val="nil"/>
                    <w:left w:val="nil"/>
                    <w:bottom w:val="nil"/>
                    <w:right w:val="single" w:sz="6" w:space="0" w:color="auto"/>
                  </w:tcBorders>
                  <w:tcMar>
                    <w:left w:w="86" w:type="dxa"/>
                    <w:right w:w="86" w:type="dxa"/>
                  </w:tcMar>
                  <w:hideMark/>
                </w:tcPr>
                <w:p w14:paraId="447A95E1" w14:textId="77777777" w:rsidR="00027583" w:rsidRPr="005D4222" w:rsidRDefault="00027583">
                  <w:pPr>
                    <w:pStyle w:val="TableText"/>
                    <w:spacing w:before="40" w:after="40"/>
                    <w:rPr>
                      <w:rFonts w:ascii="Times New Roman" w:hAnsi="Times New Roman"/>
                      <w:sz w:val="24"/>
                      <w:szCs w:val="24"/>
                    </w:rPr>
                  </w:pPr>
                  <w:r w:rsidRPr="005D4222">
                    <w:t xml:space="preserve"> </w:t>
                  </w:r>
                </w:p>
              </w:tc>
              <w:tc>
                <w:tcPr>
                  <w:tcW w:w="3227" w:type="dxa"/>
                  <w:tcBorders>
                    <w:top w:val="single" w:sz="6" w:space="0" w:color="auto"/>
                    <w:left w:val="single" w:sz="6" w:space="0" w:color="auto"/>
                    <w:bottom w:val="single" w:sz="6" w:space="0" w:color="auto"/>
                    <w:right w:val="single" w:sz="6" w:space="0" w:color="auto"/>
                  </w:tcBorders>
                  <w:tcMar>
                    <w:left w:w="86" w:type="dxa"/>
                    <w:right w:w="86" w:type="dxa"/>
                  </w:tcMar>
                </w:tcPr>
                <w:p w14:paraId="2DD4BF04" w14:textId="77777777" w:rsidR="00027583" w:rsidRPr="005D4222" w:rsidRDefault="00027583">
                  <w:pPr>
                    <w:pStyle w:val="TableText"/>
                    <w:spacing w:before="40" w:after="40"/>
                    <w:rPr>
                      <w:rFonts w:ascii="Times New Roman" w:hAnsi="Times New Roman"/>
                      <w:sz w:val="24"/>
                      <w:szCs w:val="24"/>
                    </w:rPr>
                  </w:pPr>
                  <w:r w:rsidRPr="005D4222">
                    <w:t>MiddleEasternOrNorthAfrican</w:t>
                  </w:r>
                </w:p>
              </w:tc>
              <w:tc>
                <w:tcPr>
                  <w:tcW w:w="1291" w:type="dxa"/>
                  <w:tcBorders>
                    <w:top w:val="single" w:sz="6" w:space="0" w:color="auto"/>
                    <w:left w:val="single" w:sz="6" w:space="0" w:color="auto"/>
                    <w:bottom w:val="nil"/>
                    <w:right w:val="nil"/>
                  </w:tcBorders>
                  <w:tcMar>
                    <w:left w:w="86" w:type="dxa"/>
                    <w:right w:w="86" w:type="dxa"/>
                  </w:tcMar>
                  <w:hideMark/>
                </w:tcPr>
                <w:p w14:paraId="55B0D3F8" w14:textId="77777777" w:rsidR="00027583" w:rsidRPr="005D4222" w:rsidRDefault="00027583">
                  <w:pPr>
                    <w:pStyle w:val="TableText"/>
                    <w:spacing w:before="40" w:after="40"/>
                    <w:rPr>
                      <w:rFonts w:ascii="Times New Roman" w:hAnsi="Times New Roman"/>
                      <w:sz w:val="24"/>
                      <w:szCs w:val="24"/>
                    </w:rPr>
                  </w:pPr>
                  <w:r w:rsidRPr="005D4222">
                    <w:t xml:space="preserve"> </w:t>
                  </w:r>
                </w:p>
              </w:tc>
              <w:tc>
                <w:tcPr>
                  <w:tcW w:w="1567" w:type="dxa"/>
                  <w:tcBorders>
                    <w:top w:val="single" w:sz="6" w:space="0" w:color="auto"/>
                    <w:left w:val="nil"/>
                    <w:bottom w:val="nil"/>
                    <w:right w:val="nil"/>
                  </w:tcBorders>
                  <w:tcMar>
                    <w:left w:w="86" w:type="dxa"/>
                    <w:right w:w="86" w:type="dxa"/>
                  </w:tcMar>
                  <w:hideMark/>
                </w:tcPr>
                <w:p w14:paraId="7BC0B0EC" w14:textId="77777777" w:rsidR="00027583" w:rsidRPr="005D4222" w:rsidRDefault="00027583">
                  <w:pPr>
                    <w:pStyle w:val="TableText"/>
                    <w:spacing w:before="40" w:after="40"/>
                    <w:rPr>
                      <w:rFonts w:ascii="Times New Roman" w:hAnsi="Times New Roman"/>
                      <w:sz w:val="24"/>
                      <w:szCs w:val="24"/>
                    </w:rPr>
                  </w:pPr>
                  <w:r w:rsidRPr="005D4222">
                    <w:t xml:space="preserve"> </w:t>
                  </w:r>
                </w:p>
              </w:tc>
            </w:tr>
            <w:tr w:rsidR="00027583" w:rsidRPr="005D4222" w14:paraId="7041412F" w14:textId="77777777">
              <w:tc>
                <w:tcPr>
                  <w:tcW w:w="1468" w:type="dxa"/>
                  <w:tcBorders>
                    <w:top w:val="nil"/>
                    <w:left w:val="nil"/>
                    <w:bottom w:val="nil"/>
                    <w:right w:val="single" w:sz="6" w:space="0" w:color="auto"/>
                  </w:tcBorders>
                  <w:tcMar>
                    <w:left w:w="86" w:type="dxa"/>
                    <w:right w:w="86" w:type="dxa"/>
                  </w:tcMar>
                  <w:hideMark/>
                </w:tcPr>
                <w:p w14:paraId="679F4CED" w14:textId="77777777" w:rsidR="00027583" w:rsidRPr="005D4222" w:rsidRDefault="00027583">
                  <w:pPr>
                    <w:pStyle w:val="TableText"/>
                    <w:spacing w:before="40" w:after="40"/>
                    <w:rPr>
                      <w:rFonts w:ascii="Times New Roman" w:hAnsi="Times New Roman"/>
                      <w:sz w:val="24"/>
                      <w:szCs w:val="24"/>
                    </w:rPr>
                  </w:pPr>
                  <w:r w:rsidRPr="005D4222">
                    <w:t xml:space="preserve"> </w:t>
                  </w:r>
                </w:p>
              </w:tc>
              <w:tc>
                <w:tcPr>
                  <w:tcW w:w="3227" w:type="dxa"/>
                  <w:tcBorders>
                    <w:top w:val="single" w:sz="6" w:space="0" w:color="auto"/>
                    <w:left w:val="single" w:sz="6" w:space="0" w:color="auto"/>
                    <w:bottom w:val="single" w:sz="6" w:space="0" w:color="auto"/>
                    <w:right w:val="single" w:sz="6" w:space="0" w:color="auto"/>
                  </w:tcBorders>
                  <w:tcMar>
                    <w:left w:w="86" w:type="dxa"/>
                    <w:right w:w="86" w:type="dxa"/>
                  </w:tcMar>
                  <w:hideMark/>
                </w:tcPr>
                <w:p w14:paraId="65571A3B" w14:textId="77777777" w:rsidR="00027583" w:rsidRPr="005D4222" w:rsidRDefault="00027583">
                  <w:pPr>
                    <w:pStyle w:val="TableText"/>
                    <w:spacing w:before="40" w:after="40"/>
                    <w:rPr>
                      <w:rFonts w:ascii="Times New Roman" w:hAnsi="Times New Roman"/>
                      <w:sz w:val="24"/>
                      <w:szCs w:val="24"/>
                    </w:rPr>
                  </w:pPr>
                  <w:r w:rsidRPr="005D4222">
                    <w:t>NativeHawaiianOrPacificIslander</w:t>
                  </w:r>
                </w:p>
              </w:tc>
              <w:tc>
                <w:tcPr>
                  <w:tcW w:w="2858" w:type="dxa"/>
                  <w:gridSpan w:val="2"/>
                  <w:tcBorders>
                    <w:top w:val="nil"/>
                    <w:left w:val="nil"/>
                    <w:bottom w:val="nil"/>
                    <w:right w:val="nil"/>
                  </w:tcBorders>
                  <w:tcMar>
                    <w:left w:w="86" w:type="dxa"/>
                    <w:right w:w="86" w:type="dxa"/>
                  </w:tcMar>
                  <w:hideMark/>
                </w:tcPr>
                <w:p w14:paraId="5996261E" w14:textId="77777777" w:rsidR="00027583" w:rsidRPr="005D4222" w:rsidRDefault="00027583">
                  <w:pPr>
                    <w:pStyle w:val="TableText"/>
                    <w:spacing w:before="40" w:after="40"/>
                    <w:rPr>
                      <w:rFonts w:ascii="Times New Roman" w:hAnsi="Times New Roman"/>
                      <w:sz w:val="24"/>
                      <w:szCs w:val="24"/>
                    </w:rPr>
                  </w:pPr>
                  <w:r w:rsidRPr="005D4222">
                    <w:t xml:space="preserve"> </w:t>
                  </w:r>
                </w:p>
              </w:tc>
            </w:tr>
            <w:tr w:rsidR="00027583" w:rsidRPr="005D4222" w14:paraId="4BE43027" w14:textId="77777777">
              <w:tc>
                <w:tcPr>
                  <w:tcW w:w="1468" w:type="dxa"/>
                  <w:tcBorders>
                    <w:top w:val="nil"/>
                    <w:left w:val="nil"/>
                    <w:bottom w:val="nil"/>
                    <w:right w:val="single" w:sz="6" w:space="0" w:color="auto"/>
                  </w:tcBorders>
                  <w:tcMar>
                    <w:left w:w="86" w:type="dxa"/>
                    <w:right w:w="86" w:type="dxa"/>
                  </w:tcMar>
                  <w:hideMark/>
                </w:tcPr>
                <w:p w14:paraId="126EA4AF" w14:textId="77777777" w:rsidR="00027583" w:rsidRPr="005D4222" w:rsidRDefault="00027583">
                  <w:pPr>
                    <w:pStyle w:val="TableText"/>
                    <w:spacing w:before="40" w:after="40"/>
                    <w:rPr>
                      <w:rFonts w:ascii="Times New Roman" w:hAnsi="Times New Roman"/>
                      <w:sz w:val="24"/>
                      <w:szCs w:val="24"/>
                    </w:rPr>
                  </w:pPr>
                  <w:r w:rsidRPr="005D4222">
                    <w:t xml:space="preserve"> </w:t>
                  </w:r>
                </w:p>
              </w:tc>
              <w:tc>
                <w:tcPr>
                  <w:tcW w:w="3227" w:type="dxa"/>
                  <w:tcBorders>
                    <w:top w:val="single" w:sz="6" w:space="0" w:color="auto"/>
                    <w:left w:val="single" w:sz="6" w:space="0" w:color="auto"/>
                    <w:bottom w:val="single" w:sz="6" w:space="0" w:color="auto"/>
                    <w:right w:val="single" w:sz="6" w:space="0" w:color="auto"/>
                  </w:tcBorders>
                  <w:tcMar>
                    <w:left w:w="86" w:type="dxa"/>
                    <w:right w:w="86" w:type="dxa"/>
                  </w:tcMar>
                  <w:hideMark/>
                </w:tcPr>
                <w:p w14:paraId="39B083C0" w14:textId="77777777" w:rsidR="00027583" w:rsidRPr="005D4222" w:rsidRDefault="00027583">
                  <w:pPr>
                    <w:pStyle w:val="TableText"/>
                    <w:spacing w:before="40" w:after="40"/>
                    <w:rPr>
                      <w:rFonts w:ascii="Times New Roman" w:hAnsi="Times New Roman"/>
                      <w:sz w:val="24"/>
                      <w:szCs w:val="24"/>
                    </w:rPr>
                  </w:pPr>
                  <w:r w:rsidRPr="005D4222">
                    <w:t xml:space="preserve">White </w:t>
                  </w:r>
                </w:p>
              </w:tc>
              <w:tc>
                <w:tcPr>
                  <w:tcW w:w="1291" w:type="dxa"/>
                  <w:tcBorders>
                    <w:top w:val="nil"/>
                    <w:left w:val="nil"/>
                    <w:bottom w:val="nil"/>
                    <w:right w:val="nil"/>
                  </w:tcBorders>
                  <w:tcMar>
                    <w:left w:w="86" w:type="dxa"/>
                    <w:right w:w="86" w:type="dxa"/>
                  </w:tcMar>
                  <w:hideMark/>
                </w:tcPr>
                <w:p w14:paraId="43BB1CBD" w14:textId="77777777" w:rsidR="00027583" w:rsidRPr="005D4222" w:rsidRDefault="00027583">
                  <w:pPr>
                    <w:pStyle w:val="TableText"/>
                    <w:spacing w:before="40" w:after="40"/>
                    <w:rPr>
                      <w:rFonts w:ascii="Times New Roman" w:hAnsi="Times New Roman"/>
                      <w:sz w:val="24"/>
                      <w:szCs w:val="24"/>
                    </w:rPr>
                  </w:pPr>
                  <w:r w:rsidRPr="005D4222">
                    <w:t xml:space="preserve"> </w:t>
                  </w:r>
                </w:p>
              </w:tc>
              <w:tc>
                <w:tcPr>
                  <w:tcW w:w="1567" w:type="dxa"/>
                  <w:tcBorders>
                    <w:top w:val="nil"/>
                    <w:left w:val="nil"/>
                    <w:bottom w:val="nil"/>
                    <w:right w:val="nil"/>
                  </w:tcBorders>
                  <w:tcMar>
                    <w:left w:w="86" w:type="dxa"/>
                    <w:right w:w="86" w:type="dxa"/>
                  </w:tcMar>
                  <w:hideMark/>
                </w:tcPr>
                <w:p w14:paraId="7C4A5D24" w14:textId="77777777" w:rsidR="00027583" w:rsidRPr="005D4222" w:rsidRDefault="00027583">
                  <w:pPr>
                    <w:pStyle w:val="TableText"/>
                    <w:spacing w:before="40" w:after="40"/>
                    <w:rPr>
                      <w:rFonts w:ascii="Times New Roman" w:hAnsi="Times New Roman"/>
                      <w:sz w:val="24"/>
                      <w:szCs w:val="24"/>
                    </w:rPr>
                  </w:pPr>
                  <w:r w:rsidRPr="005D4222">
                    <w:t xml:space="preserve"> </w:t>
                  </w:r>
                </w:p>
              </w:tc>
            </w:tr>
            <w:tr w:rsidR="00027583" w:rsidRPr="005D4222" w14:paraId="00843653" w14:textId="77777777">
              <w:tc>
                <w:tcPr>
                  <w:tcW w:w="1468" w:type="dxa"/>
                  <w:tcBorders>
                    <w:top w:val="nil"/>
                    <w:left w:val="nil"/>
                    <w:bottom w:val="nil"/>
                    <w:right w:val="single" w:sz="6" w:space="0" w:color="auto"/>
                  </w:tcBorders>
                  <w:tcMar>
                    <w:left w:w="86" w:type="dxa"/>
                    <w:right w:w="86" w:type="dxa"/>
                  </w:tcMar>
                  <w:hideMark/>
                </w:tcPr>
                <w:p w14:paraId="0C182E99" w14:textId="77777777" w:rsidR="00027583" w:rsidRPr="005D4222" w:rsidRDefault="00027583">
                  <w:pPr>
                    <w:pStyle w:val="TableText"/>
                    <w:spacing w:before="40" w:after="40"/>
                    <w:rPr>
                      <w:rFonts w:ascii="Times New Roman" w:hAnsi="Times New Roman"/>
                      <w:sz w:val="24"/>
                      <w:szCs w:val="24"/>
                    </w:rPr>
                  </w:pPr>
                  <w:r w:rsidRPr="005D4222">
                    <w:t xml:space="preserve"> </w:t>
                  </w:r>
                </w:p>
              </w:tc>
              <w:tc>
                <w:tcPr>
                  <w:tcW w:w="3227" w:type="dxa"/>
                  <w:tcBorders>
                    <w:top w:val="single" w:sz="6" w:space="0" w:color="auto"/>
                    <w:left w:val="single" w:sz="6" w:space="0" w:color="auto"/>
                    <w:bottom w:val="single" w:sz="6" w:space="0" w:color="auto"/>
                    <w:right w:val="single" w:sz="6" w:space="0" w:color="auto"/>
                  </w:tcBorders>
                  <w:tcMar>
                    <w:left w:w="86" w:type="dxa"/>
                    <w:right w:w="86" w:type="dxa"/>
                  </w:tcMar>
                  <w:hideMark/>
                </w:tcPr>
                <w:p w14:paraId="16C062AD" w14:textId="77777777" w:rsidR="00027583" w:rsidRPr="005D4222" w:rsidRDefault="00027583">
                  <w:pPr>
                    <w:pStyle w:val="TableText"/>
                    <w:spacing w:before="40" w:after="40"/>
                    <w:rPr>
                      <w:rFonts w:ascii="Times New Roman" w:hAnsi="Times New Roman"/>
                      <w:sz w:val="24"/>
                      <w:szCs w:val="24"/>
                    </w:rPr>
                  </w:pPr>
                  <w:r w:rsidRPr="005D4222">
                    <w:t xml:space="preserve">SomeOtherRace </w:t>
                  </w:r>
                </w:p>
              </w:tc>
              <w:tc>
                <w:tcPr>
                  <w:tcW w:w="1291" w:type="dxa"/>
                  <w:tcBorders>
                    <w:top w:val="nil"/>
                    <w:left w:val="nil"/>
                    <w:bottom w:val="nil"/>
                    <w:right w:val="nil"/>
                  </w:tcBorders>
                  <w:tcMar>
                    <w:left w:w="86" w:type="dxa"/>
                    <w:right w:w="86" w:type="dxa"/>
                  </w:tcMar>
                  <w:hideMark/>
                </w:tcPr>
                <w:p w14:paraId="6D963813" w14:textId="77777777" w:rsidR="00027583" w:rsidRPr="005D4222" w:rsidRDefault="00027583">
                  <w:pPr>
                    <w:pStyle w:val="TableText"/>
                    <w:spacing w:before="40" w:after="40"/>
                    <w:rPr>
                      <w:rFonts w:ascii="Times New Roman" w:hAnsi="Times New Roman"/>
                      <w:sz w:val="24"/>
                      <w:szCs w:val="24"/>
                    </w:rPr>
                  </w:pPr>
                  <w:r w:rsidRPr="005D4222">
                    <w:t xml:space="preserve"> </w:t>
                  </w:r>
                </w:p>
              </w:tc>
              <w:tc>
                <w:tcPr>
                  <w:tcW w:w="1567" w:type="dxa"/>
                  <w:tcBorders>
                    <w:top w:val="nil"/>
                    <w:left w:val="nil"/>
                    <w:bottom w:val="nil"/>
                    <w:right w:val="nil"/>
                  </w:tcBorders>
                  <w:tcMar>
                    <w:left w:w="86" w:type="dxa"/>
                    <w:right w:w="86" w:type="dxa"/>
                  </w:tcMar>
                  <w:hideMark/>
                </w:tcPr>
                <w:p w14:paraId="36F217B4" w14:textId="77777777" w:rsidR="00027583" w:rsidRPr="005D4222" w:rsidRDefault="00027583">
                  <w:pPr>
                    <w:pStyle w:val="TableText"/>
                    <w:spacing w:before="40" w:after="40"/>
                    <w:rPr>
                      <w:rFonts w:ascii="Times New Roman" w:hAnsi="Times New Roman"/>
                      <w:sz w:val="24"/>
                      <w:szCs w:val="24"/>
                    </w:rPr>
                  </w:pPr>
                  <w:r w:rsidRPr="005D4222">
                    <w:t xml:space="preserve"> </w:t>
                  </w:r>
                </w:p>
              </w:tc>
            </w:tr>
            <w:tr w:rsidR="00027583" w:rsidRPr="005D4222" w14:paraId="20914C72" w14:textId="77777777">
              <w:tc>
                <w:tcPr>
                  <w:tcW w:w="1468" w:type="dxa"/>
                  <w:tcBorders>
                    <w:top w:val="nil"/>
                    <w:left w:val="nil"/>
                    <w:bottom w:val="nil"/>
                    <w:right w:val="single" w:sz="6" w:space="0" w:color="auto"/>
                  </w:tcBorders>
                  <w:tcMar>
                    <w:left w:w="86" w:type="dxa"/>
                    <w:right w:w="86" w:type="dxa"/>
                  </w:tcMar>
                  <w:hideMark/>
                </w:tcPr>
                <w:p w14:paraId="6B24D123" w14:textId="77777777" w:rsidR="00027583" w:rsidRPr="005D4222" w:rsidRDefault="00027583">
                  <w:pPr>
                    <w:pStyle w:val="TableText"/>
                    <w:spacing w:before="40" w:after="40"/>
                    <w:rPr>
                      <w:rFonts w:ascii="Times New Roman" w:hAnsi="Times New Roman"/>
                      <w:sz w:val="24"/>
                      <w:szCs w:val="24"/>
                    </w:rPr>
                  </w:pPr>
                  <w:r w:rsidRPr="005D4222">
                    <w:t xml:space="preserve"> </w:t>
                  </w:r>
                </w:p>
              </w:tc>
              <w:tc>
                <w:tcPr>
                  <w:tcW w:w="3227" w:type="dxa"/>
                  <w:tcBorders>
                    <w:top w:val="single" w:sz="6" w:space="0" w:color="auto"/>
                    <w:left w:val="single" w:sz="6" w:space="0" w:color="auto"/>
                    <w:bottom w:val="single" w:sz="6" w:space="0" w:color="auto"/>
                    <w:right w:val="single" w:sz="6" w:space="0" w:color="auto"/>
                  </w:tcBorders>
                  <w:tcMar>
                    <w:left w:w="86" w:type="dxa"/>
                    <w:right w:w="86" w:type="dxa"/>
                  </w:tcMar>
                  <w:hideMark/>
                </w:tcPr>
                <w:p w14:paraId="7E781463" w14:textId="77777777" w:rsidR="00027583" w:rsidRPr="005D4222" w:rsidRDefault="00027583">
                  <w:pPr>
                    <w:pStyle w:val="TableText"/>
                    <w:spacing w:before="40" w:after="40"/>
                    <w:rPr>
                      <w:rFonts w:ascii="Times New Roman" w:hAnsi="Times New Roman"/>
                      <w:sz w:val="24"/>
                      <w:szCs w:val="24"/>
                    </w:rPr>
                  </w:pPr>
                  <w:r w:rsidRPr="005D4222">
                    <w:t xml:space="preserve">TwoOrMoreRaces </w:t>
                  </w:r>
                </w:p>
              </w:tc>
              <w:tc>
                <w:tcPr>
                  <w:tcW w:w="1291" w:type="dxa"/>
                  <w:tcBorders>
                    <w:top w:val="nil"/>
                    <w:left w:val="nil"/>
                    <w:bottom w:val="nil"/>
                    <w:right w:val="nil"/>
                  </w:tcBorders>
                  <w:tcMar>
                    <w:left w:w="86" w:type="dxa"/>
                    <w:right w:w="86" w:type="dxa"/>
                  </w:tcMar>
                  <w:hideMark/>
                </w:tcPr>
                <w:p w14:paraId="5FB31C43" w14:textId="77777777" w:rsidR="00027583" w:rsidRPr="005D4222" w:rsidRDefault="00027583">
                  <w:pPr>
                    <w:pStyle w:val="TableText"/>
                    <w:spacing w:before="40" w:after="40"/>
                    <w:rPr>
                      <w:rFonts w:ascii="Times New Roman" w:hAnsi="Times New Roman"/>
                      <w:sz w:val="24"/>
                      <w:szCs w:val="24"/>
                    </w:rPr>
                  </w:pPr>
                  <w:r w:rsidRPr="005D4222">
                    <w:t xml:space="preserve"> </w:t>
                  </w:r>
                </w:p>
              </w:tc>
              <w:tc>
                <w:tcPr>
                  <w:tcW w:w="1567" w:type="dxa"/>
                  <w:tcBorders>
                    <w:top w:val="nil"/>
                    <w:left w:val="nil"/>
                    <w:bottom w:val="nil"/>
                    <w:right w:val="nil"/>
                  </w:tcBorders>
                  <w:tcMar>
                    <w:left w:w="86" w:type="dxa"/>
                    <w:right w:w="86" w:type="dxa"/>
                  </w:tcMar>
                  <w:hideMark/>
                </w:tcPr>
                <w:p w14:paraId="755031BE" w14:textId="77777777" w:rsidR="00027583" w:rsidRPr="005D4222" w:rsidRDefault="00027583">
                  <w:pPr>
                    <w:pStyle w:val="TableText"/>
                    <w:spacing w:before="40" w:after="40"/>
                    <w:rPr>
                      <w:rFonts w:ascii="Times New Roman" w:hAnsi="Times New Roman"/>
                      <w:sz w:val="24"/>
                      <w:szCs w:val="24"/>
                    </w:rPr>
                  </w:pPr>
                  <w:r w:rsidRPr="005D4222">
                    <w:t xml:space="preserve"> </w:t>
                  </w:r>
                </w:p>
              </w:tc>
            </w:tr>
            <w:tr w:rsidR="00027583" w:rsidRPr="005D4222" w14:paraId="30FF7CB4" w14:textId="77777777">
              <w:tc>
                <w:tcPr>
                  <w:tcW w:w="1468" w:type="dxa"/>
                  <w:tcBorders>
                    <w:top w:val="nil"/>
                    <w:left w:val="nil"/>
                    <w:bottom w:val="nil"/>
                    <w:right w:val="single" w:sz="6" w:space="0" w:color="auto"/>
                  </w:tcBorders>
                  <w:tcMar>
                    <w:left w:w="86" w:type="dxa"/>
                    <w:right w:w="86" w:type="dxa"/>
                  </w:tcMar>
                  <w:hideMark/>
                </w:tcPr>
                <w:p w14:paraId="012E862A" w14:textId="77777777" w:rsidR="00027583" w:rsidRPr="005D4222" w:rsidRDefault="00027583">
                  <w:pPr>
                    <w:pStyle w:val="TableText"/>
                    <w:spacing w:before="40" w:after="40"/>
                    <w:rPr>
                      <w:rFonts w:ascii="Times New Roman" w:hAnsi="Times New Roman"/>
                      <w:sz w:val="24"/>
                      <w:szCs w:val="24"/>
                    </w:rPr>
                  </w:pPr>
                  <w:r w:rsidRPr="005D4222">
                    <w:t xml:space="preserve"> </w:t>
                  </w:r>
                </w:p>
              </w:tc>
              <w:tc>
                <w:tcPr>
                  <w:tcW w:w="3227" w:type="dxa"/>
                  <w:tcBorders>
                    <w:top w:val="single" w:sz="6" w:space="0" w:color="auto"/>
                    <w:left w:val="single" w:sz="6" w:space="0" w:color="auto"/>
                    <w:bottom w:val="single" w:sz="6" w:space="0" w:color="auto"/>
                    <w:right w:val="single" w:sz="6" w:space="0" w:color="auto"/>
                  </w:tcBorders>
                  <w:tcMar>
                    <w:left w:w="86" w:type="dxa"/>
                    <w:right w:w="86" w:type="dxa"/>
                  </w:tcMar>
                  <w:hideMark/>
                </w:tcPr>
                <w:p w14:paraId="70DD9714" w14:textId="77777777" w:rsidR="00027583" w:rsidRPr="005D4222" w:rsidRDefault="00027583">
                  <w:pPr>
                    <w:pStyle w:val="TableText"/>
                    <w:spacing w:before="40" w:after="40"/>
                    <w:rPr>
                      <w:rFonts w:ascii="Times New Roman" w:hAnsi="Times New Roman"/>
                      <w:sz w:val="24"/>
                      <w:szCs w:val="24"/>
                    </w:rPr>
                  </w:pPr>
                  <w:r w:rsidRPr="005D4222">
                    <w:t>AskedButNoAnswer</w:t>
                  </w:r>
                </w:p>
              </w:tc>
              <w:tc>
                <w:tcPr>
                  <w:tcW w:w="1291" w:type="dxa"/>
                  <w:tcBorders>
                    <w:top w:val="nil"/>
                    <w:left w:val="nil"/>
                    <w:bottom w:val="nil"/>
                    <w:right w:val="nil"/>
                  </w:tcBorders>
                  <w:tcMar>
                    <w:left w:w="86" w:type="dxa"/>
                    <w:right w:w="86" w:type="dxa"/>
                  </w:tcMar>
                  <w:hideMark/>
                </w:tcPr>
                <w:p w14:paraId="7FF9BF57" w14:textId="77777777" w:rsidR="00027583" w:rsidRPr="005D4222" w:rsidRDefault="00027583">
                  <w:pPr>
                    <w:pStyle w:val="TableText"/>
                    <w:spacing w:before="40" w:after="40"/>
                    <w:rPr>
                      <w:rFonts w:ascii="Times New Roman" w:hAnsi="Times New Roman"/>
                      <w:sz w:val="24"/>
                      <w:szCs w:val="24"/>
                    </w:rPr>
                  </w:pPr>
                  <w:r w:rsidRPr="005D4222">
                    <w:t xml:space="preserve"> </w:t>
                  </w:r>
                </w:p>
              </w:tc>
              <w:tc>
                <w:tcPr>
                  <w:tcW w:w="1567" w:type="dxa"/>
                  <w:tcBorders>
                    <w:top w:val="nil"/>
                    <w:left w:val="nil"/>
                    <w:bottom w:val="nil"/>
                    <w:right w:val="nil"/>
                  </w:tcBorders>
                  <w:tcMar>
                    <w:left w:w="86" w:type="dxa"/>
                    <w:right w:w="86" w:type="dxa"/>
                  </w:tcMar>
                  <w:hideMark/>
                </w:tcPr>
                <w:p w14:paraId="2B2E79B2" w14:textId="77777777" w:rsidR="00027583" w:rsidRPr="005D4222" w:rsidRDefault="00027583">
                  <w:pPr>
                    <w:pStyle w:val="TableText"/>
                    <w:spacing w:before="40" w:after="40"/>
                    <w:rPr>
                      <w:rFonts w:ascii="Times New Roman" w:hAnsi="Times New Roman"/>
                      <w:sz w:val="24"/>
                      <w:szCs w:val="24"/>
                    </w:rPr>
                  </w:pPr>
                  <w:r w:rsidRPr="005D4222">
                    <w:t xml:space="preserve"> </w:t>
                  </w:r>
                </w:p>
              </w:tc>
            </w:tr>
            <w:tr w:rsidR="00027583" w:rsidRPr="005D4222" w14:paraId="266D43CC" w14:textId="77777777">
              <w:tc>
                <w:tcPr>
                  <w:tcW w:w="1468" w:type="dxa"/>
                  <w:tcBorders>
                    <w:top w:val="nil"/>
                    <w:left w:val="nil"/>
                    <w:bottom w:val="nil"/>
                    <w:right w:val="single" w:sz="6" w:space="0" w:color="auto"/>
                  </w:tcBorders>
                  <w:tcMar>
                    <w:left w:w="86" w:type="dxa"/>
                    <w:right w:w="86" w:type="dxa"/>
                  </w:tcMar>
                </w:tcPr>
                <w:p w14:paraId="06297978" w14:textId="1F0694A4" w:rsidR="00027583" w:rsidRPr="005D4222" w:rsidRDefault="00027583">
                  <w:pPr>
                    <w:pStyle w:val="TableText"/>
                    <w:spacing w:before="40" w:after="40"/>
                  </w:pPr>
                </w:p>
              </w:tc>
              <w:tc>
                <w:tcPr>
                  <w:tcW w:w="3227" w:type="dxa"/>
                  <w:tcBorders>
                    <w:top w:val="single" w:sz="6" w:space="0" w:color="auto"/>
                    <w:left w:val="single" w:sz="6" w:space="0" w:color="auto"/>
                    <w:bottom w:val="single" w:sz="6" w:space="0" w:color="auto"/>
                    <w:right w:val="single" w:sz="6" w:space="0" w:color="auto"/>
                  </w:tcBorders>
                  <w:tcMar>
                    <w:left w:w="86" w:type="dxa"/>
                    <w:right w:w="86" w:type="dxa"/>
                  </w:tcMar>
                </w:tcPr>
                <w:p w14:paraId="0025A02D" w14:textId="124764DD" w:rsidR="00027583" w:rsidRPr="005D4222" w:rsidRDefault="00027583">
                  <w:pPr>
                    <w:pStyle w:val="TableText"/>
                    <w:spacing w:before="40" w:after="40"/>
                  </w:pPr>
                  <w:r w:rsidRPr="005D4222">
                    <w:t>Unknown</w:t>
                  </w:r>
                </w:p>
              </w:tc>
              <w:tc>
                <w:tcPr>
                  <w:tcW w:w="1291" w:type="dxa"/>
                  <w:tcBorders>
                    <w:top w:val="nil"/>
                    <w:left w:val="nil"/>
                    <w:bottom w:val="nil"/>
                    <w:right w:val="nil"/>
                  </w:tcBorders>
                  <w:tcMar>
                    <w:left w:w="86" w:type="dxa"/>
                    <w:right w:w="86" w:type="dxa"/>
                  </w:tcMar>
                </w:tcPr>
                <w:p w14:paraId="3E7E9EF0" w14:textId="77777777" w:rsidR="00027583" w:rsidRPr="005D4222" w:rsidRDefault="00027583">
                  <w:pPr>
                    <w:pStyle w:val="TableText"/>
                    <w:spacing w:before="40" w:after="40"/>
                  </w:pPr>
                </w:p>
              </w:tc>
              <w:tc>
                <w:tcPr>
                  <w:tcW w:w="1567" w:type="dxa"/>
                  <w:tcBorders>
                    <w:top w:val="nil"/>
                    <w:left w:val="nil"/>
                    <w:bottom w:val="nil"/>
                    <w:right w:val="nil"/>
                  </w:tcBorders>
                  <w:tcMar>
                    <w:left w:w="86" w:type="dxa"/>
                    <w:right w:w="86" w:type="dxa"/>
                  </w:tcMar>
                </w:tcPr>
                <w:p w14:paraId="1AA426B2" w14:textId="77777777" w:rsidR="00027583" w:rsidRPr="005D4222" w:rsidRDefault="00027583">
                  <w:pPr>
                    <w:pStyle w:val="TableText"/>
                    <w:spacing w:before="40" w:after="40"/>
                  </w:pPr>
                </w:p>
              </w:tc>
            </w:tr>
          </w:tbl>
          <w:p w14:paraId="3072CA30" w14:textId="577572F3" w:rsidR="00027583" w:rsidRPr="005D4222" w:rsidRDefault="00027583">
            <w:pPr>
              <w:pStyle w:val="Heading3"/>
            </w:pPr>
            <w:r w:rsidRPr="005D4222">
              <w:t xml:space="preserve">Table FUH-C-1/2/3: Data Elements for Follow-Up After Hospitalization for Mental Illness: </w:t>
            </w:r>
            <w:r w:rsidR="00B51CDC" w:rsidRPr="005D4222">
              <w:t>Stratifications</w:t>
            </w:r>
            <w:r w:rsidRPr="005D4222">
              <w:t xml:space="preserve"> by Ethnicit</w:t>
            </w:r>
            <w:r w:rsidRPr="005D4222">
              <w:rPr>
                <w:szCs w:val="18"/>
              </w:rPr>
              <w:t>y</w:t>
            </w:r>
          </w:p>
          <w:tbl>
            <w:tblPr>
              <w:tblW w:w="5000" w:type="pct"/>
              <w:tblInd w:w="3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539"/>
              <w:gridCol w:w="2041"/>
              <w:gridCol w:w="1449"/>
              <w:gridCol w:w="2524"/>
            </w:tblGrid>
            <w:tr w:rsidR="00027583" w:rsidRPr="005D4222" w14:paraId="217A053A" w14:textId="77777777">
              <w:trPr>
                <w:trHeight w:val="332"/>
              </w:trPr>
              <w:tc>
                <w:tcPr>
                  <w:tcW w:w="1493" w:type="dxa"/>
                  <w:tcBorders>
                    <w:top w:val="single" w:sz="6" w:space="0" w:color="000000" w:themeColor="text1"/>
                    <w:left w:val="single" w:sz="6" w:space="0" w:color="000000" w:themeColor="text1"/>
                    <w:bottom w:val="single" w:sz="6" w:space="0" w:color="auto"/>
                    <w:right w:val="single" w:sz="6" w:space="0" w:color="FFFFFF" w:themeColor="background1"/>
                  </w:tcBorders>
                  <w:shd w:val="clear" w:color="auto" w:fill="000000" w:themeFill="text1"/>
                  <w:tcMar>
                    <w:left w:w="86" w:type="dxa"/>
                    <w:right w:w="86" w:type="dxa"/>
                  </w:tcMar>
                  <w:hideMark/>
                </w:tcPr>
                <w:p w14:paraId="3EC356A6" w14:textId="77777777" w:rsidR="00027583" w:rsidRPr="005D4222" w:rsidRDefault="00027583">
                  <w:pPr>
                    <w:pStyle w:val="TableHead"/>
                    <w:spacing w:before="40" w:after="40"/>
                    <w:rPr>
                      <w:rFonts w:ascii="Times New Roman" w:hAnsi="Times New Roman"/>
                      <w:sz w:val="24"/>
                      <w:szCs w:val="24"/>
                    </w:rPr>
                  </w:pPr>
                  <w:r w:rsidRPr="005D4222">
                    <w:t xml:space="preserve">Metric </w:t>
                  </w:r>
                </w:p>
              </w:tc>
              <w:tc>
                <w:tcPr>
                  <w:tcW w:w="1980" w:type="dxa"/>
                  <w:tcBorders>
                    <w:top w:val="single" w:sz="6" w:space="0" w:color="000000" w:themeColor="text1"/>
                    <w:left w:val="single" w:sz="6" w:space="0" w:color="FFFFFF" w:themeColor="background1"/>
                    <w:bottom w:val="single" w:sz="6" w:space="0" w:color="000000" w:themeColor="text1"/>
                    <w:right w:val="single" w:sz="6" w:space="0" w:color="FFFFFF" w:themeColor="background1"/>
                  </w:tcBorders>
                  <w:shd w:val="clear" w:color="auto" w:fill="000000" w:themeFill="text1"/>
                  <w:tcMar>
                    <w:left w:w="86" w:type="dxa"/>
                    <w:right w:w="86" w:type="dxa"/>
                  </w:tcMar>
                  <w:hideMark/>
                </w:tcPr>
                <w:p w14:paraId="66DFF585" w14:textId="77777777" w:rsidR="00027583" w:rsidRPr="005D4222" w:rsidRDefault="00027583">
                  <w:pPr>
                    <w:pStyle w:val="TableHead"/>
                    <w:spacing w:before="40" w:after="40"/>
                    <w:rPr>
                      <w:rFonts w:ascii="Times New Roman" w:hAnsi="Times New Roman"/>
                      <w:sz w:val="24"/>
                      <w:szCs w:val="24"/>
                    </w:rPr>
                  </w:pPr>
                  <w:r w:rsidRPr="005D4222">
                    <w:t xml:space="preserve">Ethnicity </w:t>
                  </w:r>
                </w:p>
              </w:tc>
              <w:tc>
                <w:tcPr>
                  <w:tcW w:w="1406" w:type="dxa"/>
                  <w:tcBorders>
                    <w:top w:val="single" w:sz="6" w:space="0" w:color="000000" w:themeColor="text1"/>
                    <w:left w:val="single" w:sz="6" w:space="0" w:color="FFFFFF" w:themeColor="background1"/>
                    <w:bottom w:val="single" w:sz="6" w:space="0" w:color="000000" w:themeColor="text1"/>
                    <w:right w:val="single" w:sz="6" w:space="0" w:color="FFFFFF" w:themeColor="background1"/>
                  </w:tcBorders>
                  <w:shd w:val="clear" w:color="auto" w:fill="000000" w:themeFill="text1"/>
                  <w:tcMar>
                    <w:left w:w="86" w:type="dxa"/>
                    <w:right w:w="86" w:type="dxa"/>
                  </w:tcMar>
                  <w:hideMark/>
                </w:tcPr>
                <w:p w14:paraId="38DAD9A4" w14:textId="77777777" w:rsidR="00027583" w:rsidRPr="005D4222" w:rsidRDefault="00027583">
                  <w:pPr>
                    <w:pStyle w:val="TableHead"/>
                    <w:spacing w:before="40" w:after="40"/>
                    <w:rPr>
                      <w:rFonts w:ascii="Times New Roman" w:hAnsi="Times New Roman"/>
                      <w:sz w:val="24"/>
                      <w:szCs w:val="24"/>
                    </w:rPr>
                  </w:pPr>
                  <w:r w:rsidRPr="005D4222">
                    <w:t xml:space="preserve">Data Element </w:t>
                  </w:r>
                </w:p>
              </w:tc>
              <w:tc>
                <w:tcPr>
                  <w:tcW w:w="2448" w:type="dxa"/>
                  <w:tcBorders>
                    <w:top w:val="single" w:sz="6" w:space="0" w:color="000000" w:themeColor="text1"/>
                    <w:left w:val="single" w:sz="6" w:space="0" w:color="FFFFFF" w:themeColor="background1"/>
                    <w:bottom w:val="single" w:sz="6" w:space="0" w:color="000000" w:themeColor="text1"/>
                    <w:right w:val="single" w:sz="6" w:space="0" w:color="auto"/>
                  </w:tcBorders>
                  <w:shd w:val="clear" w:color="auto" w:fill="000000" w:themeFill="text1"/>
                  <w:tcMar>
                    <w:left w:w="86" w:type="dxa"/>
                    <w:right w:w="86" w:type="dxa"/>
                  </w:tcMar>
                  <w:hideMark/>
                </w:tcPr>
                <w:p w14:paraId="3EDC38C0" w14:textId="77777777" w:rsidR="00027583" w:rsidRPr="005D4222" w:rsidRDefault="00027583">
                  <w:pPr>
                    <w:pStyle w:val="TableHead"/>
                    <w:spacing w:before="40" w:after="40"/>
                    <w:rPr>
                      <w:rFonts w:ascii="Times New Roman" w:hAnsi="Times New Roman"/>
                      <w:sz w:val="24"/>
                      <w:szCs w:val="24"/>
                    </w:rPr>
                  </w:pPr>
                  <w:r w:rsidRPr="005D4222">
                    <w:t xml:space="preserve">Reporting Instructions </w:t>
                  </w:r>
                </w:p>
              </w:tc>
            </w:tr>
            <w:tr w:rsidR="00027583" w:rsidRPr="005D4222" w14:paraId="056EA0C6" w14:textId="77777777">
              <w:trPr>
                <w:trHeight w:val="332"/>
              </w:trPr>
              <w:tc>
                <w:tcPr>
                  <w:tcW w:w="1493" w:type="dxa"/>
                  <w:tcBorders>
                    <w:top w:val="single" w:sz="6" w:space="0" w:color="auto"/>
                    <w:left w:val="single" w:sz="6" w:space="0" w:color="auto"/>
                    <w:bottom w:val="single" w:sz="6" w:space="0" w:color="auto"/>
                    <w:right w:val="single" w:sz="6" w:space="0" w:color="auto"/>
                  </w:tcBorders>
                  <w:tcMar>
                    <w:left w:w="86" w:type="dxa"/>
                    <w:right w:w="86" w:type="dxa"/>
                  </w:tcMar>
                  <w:hideMark/>
                </w:tcPr>
                <w:p w14:paraId="612755FD" w14:textId="77777777" w:rsidR="00027583" w:rsidRPr="005D4222" w:rsidRDefault="00027583">
                  <w:pPr>
                    <w:pStyle w:val="TableText"/>
                    <w:spacing w:before="40" w:after="40"/>
                    <w:rPr>
                      <w:rFonts w:ascii="Times New Roman" w:hAnsi="Times New Roman"/>
                      <w:sz w:val="24"/>
                      <w:szCs w:val="24"/>
                    </w:rPr>
                  </w:pPr>
                  <w:r w:rsidRPr="005D4222">
                    <w:t xml:space="preserve">FollowUp30Day </w:t>
                  </w:r>
                </w:p>
              </w:tc>
              <w:tc>
                <w:tcPr>
                  <w:tcW w:w="1980" w:type="dxa"/>
                  <w:tcBorders>
                    <w:top w:val="single" w:sz="6" w:space="0" w:color="000000" w:themeColor="text1"/>
                    <w:left w:val="single" w:sz="6" w:space="0" w:color="auto"/>
                    <w:bottom w:val="single" w:sz="6" w:space="0" w:color="auto"/>
                    <w:right w:val="single" w:sz="6" w:space="0" w:color="auto"/>
                  </w:tcBorders>
                  <w:tcMar>
                    <w:left w:w="86" w:type="dxa"/>
                    <w:right w:w="86" w:type="dxa"/>
                  </w:tcMar>
                  <w:hideMark/>
                </w:tcPr>
                <w:p w14:paraId="3D1AB589" w14:textId="77777777" w:rsidR="00027583" w:rsidRPr="005D4222" w:rsidRDefault="00027583">
                  <w:pPr>
                    <w:pStyle w:val="TableText"/>
                    <w:spacing w:before="40" w:after="40"/>
                    <w:rPr>
                      <w:rFonts w:ascii="Times New Roman" w:hAnsi="Times New Roman"/>
                      <w:sz w:val="24"/>
                      <w:szCs w:val="24"/>
                    </w:rPr>
                  </w:pPr>
                  <w:r w:rsidRPr="005D4222">
                    <w:t xml:space="preserve">HispanicOrLatino </w:t>
                  </w:r>
                </w:p>
              </w:tc>
              <w:tc>
                <w:tcPr>
                  <w:tcW w:w="1406" w:type="dxa"/>
                  <w:tcBorders>
                    <w:top w:val="single" w:sz="6" w:space="0" w:color="000000" w:themeColor="text1"/>
                    <w:left w:val="single" w:sz="6" w:space="0" w:color="auto"/>
                    <w:bottom w:val="single" w:sz="6" w:space="0" w:color="auto"/>
                    <w:right w:val="single" w:sz="6" w:space="0" w:color="auto"/>
                  </w:tcBorders>
                  <w:tcMar>
                    <w:left w:w="86" w:type="dxa"/>
                    <w:right w:w="86" w:type="dxa"/>
                  </w:tcMar>
                  <w:hideMark/>
                </w:tcPr>
                <w:p w14:paraId="44B30E74" w14:textId="77777777" w:rsidR="00027583" w:rsidRPr="005D4222" w:rsidRDefault="00027583">
                  <w:pPr>
                    <w:pStyle w:val="TableText"/>
                    <w:spacing w:before="40" w:after="40"/>
                    <w:rPr>
                      <w:rFonts w:ascii="Times New Roman" w:hAnsi="Times New Roman"/>
                      <w:sz w:val="24"/>
                      <w:szCs w:val="24"/>
                    </w:rPr>
                  </w:pPr>
                  <w:r w:rsidRPr="005D4222">
                    <w:t>Denominator</w:t>
                  </w:r>
                </w:p>
              </w:tc>
              <w:tc>
                <w:tcPr>
                  <w:tcW w:w="2448" w:type="dxa"/>
                  <w:tcBorders>
                    <w:top w:val="single" w:sz="6" w:space="0" w:color="000000" w:themeColor="text1"/>
                    <w:left w:val="single" w:sz="6" w:space="0" w:color="auto"/>
                    <w:bottom w:val="single" w:sz="6" w:space="0" w:color="auto"/>
                    <w:right w:val="single" w:sz="6" w:space="0" w:color="auto"/>
                  </w:tcBorders>
                  <w:tcMar>
                    <w:left w:w="86" w:type="dxa"/>
                    <w:right w:w="86" w:type="dxa"/>
                  </w:tcMar>
                  <w:hideMark/>
                </w:tcPr>
                <w:p w14:paraId="243E4F22" w14:textId="77777777" w:rsidR="00027583" w:rsidRPr="005D4222" w:rsidRDefault="00027583">
                  <w:pPr>
                    <w:pStyle w:val="TableText"/>
                    <w:spacing w:before="40" w:after="40"/>
                    <w:rPr>
                      <w:rFonts w:ascii="Times New Roman" w:hAnsi="Times New Roman"/>
                      <w:sz w:val="24"/>
                      <w:szCs w:val="24"/>
                    </w:rPr>
                  </w:pPr>
                  <w:r w:rsidRPr="005D4222">
                    <w:t xml:space="preserve">For each Stratification, repeat per Metric </w:t>
                  </w:r>
                </w:p>
              </w:tc>
            </w:tr>
            <w:tr w:rsidR="00027583" w:rsidRPr="005D4222" w14:paraId="30FEA317" w14:textId="77777777">
              <w:trPr>
                <w:trHeight w:val="332"/>
              </w:trPr>
              <w:tc>
                <w:tcPr>
                  <w:tcW w:w="1493"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001A821B" w14:textId="77777777" w:rsidR="00027583" w:rsidRPr="005D4222" w:rsidRDefault="00027583">
                  <w:pPr>
                    <w:pStyle w:val="TableText"/>
                    <w:spacing w:before="40" w:after="40"/>
                    <w:rPr>
                      <w:rFonts w:ascii="Times New Roman" w:hAnsi="Times New Roman"/>
                      <w:sz w:val="24"/>
                      <w:szCs w:val="24"/>
                    </w:rPr>
                  </w:pPr>
                  <w:r w:rsidRPr="005D4222">
                    <w:t xml:space="preserve">FollowUp7Day </w:t>
                  </w:r>
                </w:p>
              </w:tc>
              <w:tc>
                <w:tcPr>
                  <w:tcW w:w="1980"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13FE05CD" w14:textId="77777777" w:rsidR="00027583" w:rsidRPr="005D4222" w:rsidRDefault="00027583">
                  <w:pPr>
                    <w:pStyle w:val="TableText"/>
                    <w:spacing w:before="40" w:after="40"/>
                    <w:rPr>
                      <w:rFonts w:ascii="Times New Roman" w:hAnsi="Times New Roman"/>
                      <w:sz w:val="24"/>
                      <w:szCs w:val="24"/>
                    </w:rPr>
                  </w:pPr>
                  <w:r w:rsidRPr="005D4222">
                    <w:t xml:space="preserve">NotHispanicOrLatino </w:t>
                  </w:r>
                </w:p>
              </w:tc>
              <w:tc>
                <w:tcPr>
                  <w:tcW w:w="1406"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13314199" w14:textId="77777777" w:rsidR="00027583" w:rsidRPr="005D4222" w:rsidRDefault="00027583">
                  <w:pPr>
                    <w:pStyle w:val="TableText"/>
                    <w:spacing w:before="40" w:after="40"/>
                    <w:rPr>
                      <w:rFonts w:ascii="Times New Roman" w:hAnsi="Times New Roman"/>
                      <w:sz w:val="24"/>
                      <w:szCs w:val="24"/>
                    </w:rPr>
                  </w:pPr>
                  <w:r w:rsidRPr="005D4222">
                    <w:t xml:space="preserve">Numerator </w:t>
                  </w:r>
                </w:p>
              </w:tc>
              <w:tc>
                <w:tcPr>
                  <w:tcW w:w="2448"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63AE4E4C" w14:textId="77777777" w:rsidR="00027583" w:rsidRPr="005D4222" w:rsidRDefault="00027583">
                  <w:pPr>
                    <w:pStyle w:val="TableText"/>
                    <w:spacing w:before="40" w:after="40"/>
                    <w:rPr>
                      <w:rFonts w:ascii="Times New Roman" w:hAnsi="Times New Roman"/>
                      <w:sz w:val="24"/>
                      <w:szCs w:val="24"/>
                    </w:rPr>
                  </w:pPr>
                  <w:r w:rsidRPr="005D4222">
                    <w:t xml:space="preserve">For each Metric and Stratification </w:t>
                  </w:r>
                </w:p>
              </w:tc>
            </w:tr>
            <w:tr w:rsidR="00027583" w:rsidRPr="005D4222" w14:paraId="238DEEC6" w14:textId="77777777">
              <w:trPr>
                <w:trHeight w:val="332"/>
              </w:trPr>
              <w:tc>
                <w:tcPr>
                  <w:tcW w:w="1493" w:type="dxa"/>
                  <w:tcBorders>
                    <w:top w:val="single" w:sz="6" w:space="0" w:color="auto"/>
                    <w:left w:val="nil"/>
                    <w:bottom w:val="nil"/>
                    <w:right w:val="nil"/>
                  </w:tcBorders>
                  <w:shd w:val="clear" w:color="auto" w:fill="FFFFFF" w:themeFill="background1"/>
                  <w:tcMar>
                    <w:left w:w="86" w:type="dxa"/>
                    <w:right w:w="86" w:type="dxa"/>
                  </w:tcMar>
                  <w:hideMark/>
                </w:tcPr>
                <w:p w14:paraId="33C38179" w14:textId="77777777" w:rsidR="00027583" w:rsidRPr="005D4222" w:rsidRDefault="00027583">
                  <w:pPr>
                    <w:pStyle w:val="TableText"/>
                    <w:spacing w:before="40" w:after="40"/>
                    <w:rPr>
                      <w:rFonts w:ascii="Times New Roman" w:hAnsi="Times New Roman"/>
                      <w:sz w:val="24"/>
                      <w:szCs w:val="24"/>
                    </w:rPr>
                  </w:pPr>
                  <w:r w:rsidRPr="005D4222">
                    <w:t xml:space="preserve"> </w:t>
                  </w:r>
                </w:p>
              </w:tc>
              <w:tc>
                <w:tcPr>
                  <w:tcW w:w="1980" w:type="dxa"/>
                  <w:tcBorders>
                    <w:top w:val="single" w:sz="6" w:space="0" w:color="auto"/>
                    <w:left w:val="single" w:sz="6" w:space="0" w:color="auto"/>
                    <w:bottom w:val="single" w:sz="6" w:space="0" w:color="auto"/>
                    <w:right w:val="single" w:sz="6" w:space="0" w:color="auto"/>
                  </w:tcBorders>
                  <w:tcMar>
                    <w:left w:w="86" w:type="dxa"/>
                    <w:right w:w="86" w:type="dxa"/>
                  </w:tcMar>
                  <w:hideMark/>
                </w:tcPr>
                <w:p w14:paraId="6E4AC9CF" w14:textId="77777777" w:rsidR="00027583" w:rsidRPr="005D4222" w:rsidRDefault="00027583">
                  <w:pPr>
                    <w:pStyle w:val="TableText"/>
                    <w:spacing w:before="40" w:after="40"/>
                    <w:rPr>
                      <w:rFonts w:ascii="Times New Roman" w:hAnsi="Times New Roman"/>
                      <w:sz w:val="24"/>
                      <w:szCs w:val="24"/>
                    </w:rPr>
                  </w:pPr>
                  <w:r w:rsidRPr="005D4222">
                    <w:t>AskedButNoAnswer</w:t>
                  </w:r>
                </w:p>
              </w:tc>
              <w:tc>
                <w:tcPr>
                  <w:tcW w:w="140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86" w:type="dxa"/>
                    <w:right w:w="86" w:type="dxa"/>
                  </w:tcMar>
                  <w:hideMark/>
                </w:tcPr>
                <w:p w14:paraId="462CF5A5" w14:textId="77777777" w:rsidR="00027583" w:rsidRPr="005D4222" w:rsidRDefault="00027583">
                  <w:pPr>
                    <w:pStyle w:val="TableText"/>
                    <w:spacing w:before="40" w:after="40"/>
                    <w:rPr>
                      <w:rFonts w:ascii="Times New Roman" w:hAnsi="Times New Roman"/>
                      <w:sz w:val="24"/>
                      <w:szCs w:val="24"/>
                    </w:rPr>
                  </w:pPr>
                  <w:r w:rsidRPr="005D4222">
                    <w:t xml:space="preserve">Rate </w:t>
                  </w:r>
                </w:p>
              </w:tc>
              <w:tc>
                <w:tcPr>
                  <w:tcW w:w="244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86" w:type="dxa"/>
                    <w:right w:w="86" w:type="dxa"/>
                  </w:tcMar>
                  <w:hideMark/>
                </w:tcPr>
                <w:p w14:paraId="45D8A710" w14:textId="77777777" w:rsidR="00027583" w:rsidRPr="005D4222" w:rsidRDefault="00027583">
                  <w:pPr>
                    <w:pStyle w:val="TableText"/>
                    <w:spacing w:before="40" w:after="40"/>
                    <w:rPr>
                      <w:rFonts w:ascii="Times New Roman" w:hAnsi="Times New Roman"/>
                      <w:sz w:val="24"/>
                      <w:szCs w:val="24"/>
                    </w:rPr>
                  </w:pPr>
                  <w:r w:rsidRPr="005D4222">
                    <w:t xml:space="preserve">(Percent) </w:t>
                  </w:r>
                </w:p>
              </w:tc>
            </w:tr>
            <w:tr w:rsidR="00027583" w:rsidRPr="005D4222" w14:paraId="728B3576" w14:textId="77777777">
              <w:trPr>
                <w:trHeight w:val="332"/>
              </w:trPr>
              <w:tc>
                <w:tcPr>
                  <w:tcW w:w="1493" w:type="dxa"/>
                  <w:tcBorders>
                    <w:top w:val="nil"/>
                    <w:left w:val="nil"/>
                    <w:bottom w:val="nil"/>
                    <w:right w:val="nil"/>
                  </w:tcBorders>
                  <w:shd w:val="clear" w:color="auto" w:fill="FFFFFF" w:themeFill="background1"/>
                  <w:tcMar>
                    <w:left w:w="86" w:type="dxa"/>
                    <w:right w:w="86" w:type="dxa"/>
                  </w:tcMar>
                  <w:hideMark/>
                </w:tcPr>
                <w:p w14:paraId="170DF33B" w14:textId="77777777" w:rsidR="00027583" w:rsidRPr="005D4222" w:rsidRDefault="00027583">
                  <w:pPr>
                    <w:pStyle w:val="TableText"/>
                    <w:spacing w:before="40" w:after="40"/>
                    <w:rPr>
                      <w:rFonts w:ascii="Times New Roman" w:hAnsi="Times New Roman"/>
                      <w:sz w:val="24"/>
                      <w:szCs w:val="24"/>
                    </w:rPr>
                  </w:pPr>
                  <w:r w:rsidRPr="005D4222">
                    <w:t xml:space="preserve"> </w:t>
                  </w:r>
                </w:p>
              </w:tc>
              <w:tc>
                <w:tcPr>
                  <w:tcW w:w="1980" w:type="dxa"/>
                  <w:tcBorders>
                    <w:top w:val="single" w:sz="6" w:space="0" w:color="auto"/>
                    <w:left w:val="single" w:sz="6" w:space="0" w:color="auto"/>
                    <w:bottom w:val="single" w:sz="6" w:space="0" w:color="auto"/>
                    <w:right w:val="single" w:sz="6" w:space="0" w:color="auto"/>
                  </w:tcBorders>
                  <w:tcMar>
                    <w:left w:w="86" w:type="dxa"/>
                    <w:right w:w="86" w:type="dxa"/>
                  </w:tcMar>
                  <w:hideMark/>
                </w:tcPr>
                <w:p w14:paraId="0D38D4FC" w14:textId="77777777" w:rsidR="00027583" w:rsidRPr="005D4222" w:rsidRDefault="00027583">
                  <w:pPr>
                    <w:pStyle w:val="TableText"/>
                    <w:spacing w:before="40" w:after="40"/>
                    <w:rPr>
                      <w:rFonts w:ascii="Times New Roman" w:hAnsi="Times New Roman"/>
                      <w:sz w:val="24"/>
                      <w:szCs w:val="24"/>
                    </w:rPr>
                  </w:pPr>
                  <w:r w:rsidRPr="005D4222">
                    <w:t>Unknown</w:t>
                  </w:r>
                </w:p>
              </w:tc>
              <w:tc>
                <w:tcPr>
                  <w:tcW w:w="1406" w:type="dxa"/>
                  <w:tcBorders>
                    <w:top w:val="single" w:sz="6" w:space="0" w:color="auto"/>
                    <w:left w:val="single" w:sz="6" w:space="0" w:color="auto"/>
                    <w:bottom w:val="nil"/>
                    <w:right w:val="nil"/>
                  </w:tcBorders>
                  <w:tcMar>
                    <w:left w:w="86" w:type="dxa"/>
                    <w:right w:w="86" w:type="dxa"/>
                  </w:tcMar>
                  <w:hideMark/>
                </w:tcPr>
                <w:p w14:paraId="584F8403" w14:textId="77777777" w:rsidR="00027583" w:rsidRPr="005D4222" w:rsidRDefault="00027583">
                  <w:pPr>
                    <w:pStyle w:val="TableText"/>
                    <w:spacing w:before="40" w:after="40"/>
                    <w:rPr>
                      <w:rFonts w:ascii="Times New Roman" w:hAnsi="Times New Roman"/>
                      <w:sz w:val="24"/>
                      <w:szCs w:val="24"/>
                    </w:rPr>
                  </w:pPr>
                  <w:r w:rsidRPr="005D4222">
                    <w:t xml:space="preserve"> </w:t>
                  </w:r>
                </w:p>
              </w:tc>
              <w:tc>
                <w:tcPr>
                  <w:tcW w:w="2448" w:type="dxa"/>
                  <w:tcBorders>
                    <w:top w:val="single" w:sz="6" w:space="0" w:color="auto"/>
                    <w:left w:val="nil"/>
                    <w:bottom w:val="nil"/>
                    <w:right w:val="nil"/>
                  </w:tcBorders>
                  <w:tcMar>
                    <w:left w:w="86" w:type="dxa"/>
                    <w:right w:w="86" w:type="dxa"/>
                  </w:tcMar>
                  <w:hideMark/>
                </w:tcPr>
                <w:p w14:paraId="7D885754" w14:textId="77777777" w:rsidR="00027583" w:rsidRPr="005D4222" w:rsidRDefault="00027583">
                  <w:pPr>
                    <w:pStyle w:val="TableText"/>
                    <w:spacing w:before="40" w:after="40"/>
                    <w:rPr>
                      <w:rFonts w:ascii="Times New Roman" w:hAnsi="Times New Roman"/>
                      <w:sz w:val="24"/>
                      <w:szCs w:val="24"/>
                    </w:rPr>
                  </w:pPr>
                  <w:r w:rsidRPr="005D4222">
                    <w:t xml:space="preserve"> </w:t>
                  </w:r>
                </w:p>
              </w:tc>
            </w:tr>
          </w:tbl>
          <w:p w14:paraId="618EEB1F" w14:textId="77777777" w:rsidR="00027583" w:rsidRPr="005D4222" w:rsidRDefault="00027583">
            <w:pPr>
              <w:pStyle w:val="Body"/>
            </w:pPr>
          </w:p>
        </w:tc>
      </w:tr>
      <w:tr w:rsidR="00027583" w:rsidRPr="005D4222" w14:paraId="1884F29D" w14:textId="77777777">
        <w:trPr>
          <w:trHeight w:val="45"/>
        </w:trPr>
        <w:tc>
          <w:tcPr>
            <w:tcW w:w="197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F95E817" w14:textId="77777777" w:rsidR="00027583" w:rsidRPr="005D4222" w:rsidRDefault="00027583">
            <w:pPr>
              <w:pStyle w:val="ECDSMarginHead"/>
            </w:pPr>
            <w:r w:rsidRPr="005D4222">
              <w:lastRenderedPageBreak/>
              <w:t>Rules for Allowable Adjustments</w:t>
            </w:r>
          </w:p>
        </w:tc>
        <w:tc>
          <w:tcPr>
            <w:tcW w:w="7741"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4F5B876" w14:textId="77777777" w:rsidR="00027583" w:rsidRPr="005D4222" w:rsidRDefault="00027583">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51B25551" w14:textId="77777777" w:rsidR="00027583" w:rsidRPr="005D4222" w:rsidRDefault="00027583">
            <w:pPr>
              <w:pStyle w:val="ECDSBody"/>
              <w:spacing w:before="180"/>
              <w:rPr>
                <w:b/>
              </w:rPr>
            </w:pPr>
            <w:r w:rsidRPr="005D4222">
              <w:rPr>
                <w:b/>
              </w:rPr>
              <w:t>Adjusted HEDIS measures may not be used for HEDIS health plan reporting.</w:t>
            </w:r>
          </w:p>
          <w:p w14:paraId="417FE515" w14:textId="77777777" w:rsidR="00027583" w:rsidRPr="005D4222" w:rsidRDefault="00027583">
            <w:pPr>
              <w:pStyle w:val="Adjustments"/>
              <w:rPr>
                <w:b w:val="0"/>
              </w:rPr>
            </w:pPr>
            <w:r w:rsidRPr="005D4222">
              <w:t>Adjustments</w:t>
            </w:r>
            <w:r w:rsidRPr="005D4222">
              <w:rPr>
                <w:b w:val="0"/>
                <w:bCs/>
              </w:rPr>
              <w:t xml:space="preserve"> </w:t>
            </w:r>
            <w:r w:rsidRPr="005D4222">
              <w:t>allowed</w:t>
            </w:r>
          </w:p>
          <w:p w14:paraId="62843C9B" w14:textId="149D8BE5" w:rsidR="00027583" w:rsidRPr="005D4222" w:rsidRDefault="00027583">
            <w:pPr>
              <w:pStyle w:val="ProcessBullet"/>
            </w:pPr>
            <w:r w:rsidRPr="005D4222">
              <w:rPr>
                <w:i/>
              </w:rPr>
              <w:t xml:space="preserve">Product lines. </w:t>
            </w:r>
            <w:r w:rsidRPr="005D4222">
              <w:t>Organizations are not required to use product line criteria; product lines may be combined</w:t>
            </w:r>
            <w:r w:rsidR="00E8671F" w:rsidRPr="005D4222">
              <w:t>,</w:t>
            </w:r>
            <w:r w:rsidRPr="005D4222">
              <w:t xml:space="preserve"> and all (or no) product line criteria may be used.</w:t>
            </w:r>
          </w:p>
          <w:p w14:paraId="52DF3686" w14:textId="78833023" w:rsidR="008E144B" w:rsidRPr="005D4222" w:rsidRDefault="00362E76" w:rsidP="008E144B">
            <w:pPr>
              <w:pStyle w:val="ProcessBullet"/>
            </w:pPr>
            <w:r w:rsidRPr="005D4222">
              <w:rPr>
                <w:i/>
              </w:rPr>
              <w:t>Benefits.</w:t>
            </w:r>
            <w:r w:rsidR="008E144B" w:rsidRPr="005D4222">
              <w:t xml:space="preserve"> Organizations are not required to use a benefit.</w:t>
            </w:r>
          </w:p>
          <w:p w14:paraId="457634DA" w14:textId="305DED33" w:rsidR="00CB18E4" w:rsidRPr="005D4222" w:rsidRDefault="00CB18E4" w:rsidP="00CB18E4">
            <w:pPr>
              <w:pStyle w:val="ProcessBullet"/>
            </w:pPr>
            <w:r w:rsidRPr="005D4222">
              <w:rPr>
                <w:i/>
              </w:rPr>
              <w:t xml:space="preserve">Attribution. </w:t>
            </w:r>
            <w:r w:rsidRPr="005D4222">
              <w:t>Organizations are not required to use enrollment criteria. </w:t>
            </w:r>
          </w:p>
          <w:p w14:paraId="0615E852" w14:textId="4418B6F8" w:rsidR="00027583" w:rsidRPr="005D4222" w:rsidRDefault="00027583">
            <w:pPr>
              <w:pStyle w:val="ProcessBullet"/>
            </w:pPr>
            <w:r w:rsidRPr="005D4222">
              <w:rPr>
                <w:i/>
              </w:rPr>
              <w:t>Ages.</w:t>
            </w:r>
            <w:r w:rsidRPr="005D4222">
              <w:t xml:space="preserve"> </w:t>
            </w:r>
            <w:r w:rsidR="00E96CED" w:rsidRPr="005D4222">
              <w:t>The denominator age range may be expanded.</w:t>
            </w:r>
            <w:r w:rsidRPr="005D4222">
              <w:t xml:space="preserve"> Age determination dates may be changed (6 years as of the date of the ED visit). </w:t>
            </w:r>
          </w:p>
          <w:p w14:paraId="7A887271" w14:textId="77777777" w:rsidR="00027583" w:rsidRPr="005D4222" w:rsidRDefault="00027583">
            <w:pPr>
              <w:pStyle w:val="ProcessBullet"/>
              <w:rPr>
                <w:szCs w:val="21"/>
              </w:rPr>
            </w:pPr>
            <w:r w:rsidRPr="005D4222">
              <w:rPr>
                <w:i/>
                <w:iCs/>
              </w:rPr>
              <w:t>Other.</w:t>
            </w:r>
            <w:r w:rsidRPr="005D4222">
              <w:rPr>
                <w:i/>
              </w:rPr>
              <w:t xml:space="preserve"> </w:t>
            </w:r>
            <w:r w:rsidRPr="005D4222">
              <w:rPr>
                <w:szCs w:val="21"/>
              </w:rPr>
              <w:t xml:space="preserve">Organizations may use additional </w:t>
            </w:r>
            <w:r w:rsidRPr="005D4222">
              <w:rPr>
                <w:rFonts w:eastAsia="Arial"/>
                <w:szCs w:val="21"/>
              </w:rPr>
              <w:t xml:space="preserve">initial </w:t>
            </w:r>
            <w:r w:rsidRPr="005D4222">
              <w:rPr>
                <w:szCs w:val="21"/>
              </w:rPr>
              <w:t>population criteria to focus on an area of interest defined by gender, race, ethnicity, socioeconomic or sociodemographic characteristics, geographic region or another characteristic.</w:t>
            </w:r>
          </w:p>
          <w:p w14:paraId="5F9B4AF1" w14:textId="77777777" w:rsidR="00027583" w:rsidRPr="005D4222" w:rsidRDefault="00027583">
            <w:pPr>
              <w:pStyle w:val="ProcessBullet"/>
            </w:pPr>
            <w:r w:rsidRPr="005D4222">
              <w:rPr>
                <w:i/>
              </w:rPr>
              <w:t xml:space="preserve">Measurement </w:t>
            </w:r>
            <w:r w:rsidRPr="005D4222">
              <w:rPr>
                <w:i/>
                <w:iCs/>
              </w:rPr>
              <w:t>period a</w:t>
            </w:r>
            <w:r w:rsidRPr="005D4222">
              <w:rPr>
                <w:i/>
              </w:rPr>
              <w:t xml:space="preserve">djustments. </w:t>
            </w:r>
            <w:r w:rsidRPr="005D4222">
              <w:t xml:space="preserve">Organizations may adjust the measurement period. </w:t>
            </w:r>
          </w:p>
          <w:p w14:paraId="6396DCFC" w14:textId="77777777" w:rsidR="00027583" w:rsidRPr="005D4222" w:rsidRDefault="00027583">
            <w:pPr>
              <w:pStyle w:val="ProcessBullet"/>
            </w:pPr>
            <w:r w:rsidRPr="005D4222">
              <w:rPr>
                <w:i/>
                <w:iCs/>
                <w:color w:val="000000" w:themeColor="text1"/>
              </w:rPr>
              <w:t xml:space="preserve">Stratifications: </w:t>
            </w:r>
            <w:r w:rsidRPr="005D4222">
              <w:rPr>
                <w:color w:val="000000" w:themeColor="text1"/>
              </w:rPr>
              <w:t>Race and ethnicity stratification. The race and ethnicity stratification is not required. Organizations may adjust this stratification as needed.</w:t>
            </w:r>
          </w:p>
          <w:p w14:paraId="2DA89CCB" w14:textId="76D74344" w:rsidR="00027583" w:rsidRPr="005D4222" w:rsidRDefault="00027583">
            <w:pPr>
              <w:pStyle w:val="ProcessBullet"/>
            </w:pPr>
            <w:r w:rsidRPr="005D4222">
              <w:rPr>
                <w:i/>
                <w:iCs/>
              </w:rPr>
              <w:t>Exclusions.</w:t>
            </w:r>
            <w:r w:rsidRPr="005D4222">
              <w:t xml:space="preserve"> </w:t>
            </w:r>
            <w:r w:rsidR="00BF555D" w:rsidRPr="005D4222">
              <w:t>The h</w:t>
            </w:r>
            <w:r w:rsidRPr="005D4222">
              <w:t xml:space="preserve">ospice and deceased persons exclusions are not required. </w:t>
            </w:r>
          </w:p>
          <w:p w14:paraId="3893EB24" w14:textId="77777777" w:rsidR="00027583" w:rsidRPr="005D4222" w:rsidRDefault="00027583">
            <w:pPr>
              <w:pStyle w:val="ProcessBullet"/>
            </w:pPr>
            <w:r w:rsidRPr="005D4222">
              <w:rPr>
                <w:i/>
              </w:rPr>
              <w:t>Telehealth</w:t>
            </w:r>
            <w:r w:rsidRPr="005D4222">
              <w:rPr>
                <w:i/>
                <w:iCs/>
              </w:rPr>
              <w:t>.</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1DB0A44A" w14:textId="77777777" w:rsidR="00027583" w:rsidRPr="005D4222" w:rsidRDefault="00027583">
            <w:pPr>
              <w:pStyle w:val="ProcessBullet"/>
            </w:pPr>
            <w:r w:rsidRPr="005D4222">
              <w:rPr>
                <w:i/>
              </w:rPr>
              <w:t xml:space="preserve">Supplemental </w:t>
            </w:r>
            <w:r w:rsidRPr="005D4222">
              <w:rPr>
                <w:i/>
                <w:iCs/>
              </w:rPr>
              <w:t>data.</w:t>
            </w:r>
            <w:r w:rsidRPr="005D4222">
              <w:rPr>
                <w:i/>
              </w:rPr>
              <w:t xml:space="preserve"> </w:t>
            </w:r>
            <w:r w:rsidRPr="005D4222">
              <w:t>Supplemental data may be used to identify initial population, denominator, exclusion and numerator events.</w:t>
            </w:r>
          </w:p>
          <w:p w14:paraId="1C9B670D" w14:textId="77777777" w:rsidR="00027583" w:rsidRPr="005D4222" w:rsidRDefault="00027583">
            <w:pPr>
              <w:pStyle w:val="Adjustments"/>
              <w:rPr>
                <w:b w:val="0"/>
              </w:rPr>
            </w:pPr>
            <w:r w:rsidRPr="005D4222">
              <w:t>Adjustments allowed with limits</w:t>
            </w:r>
          </w:p>
          <w:p w14:paraId="10CD3218" w14:textId="77777777" w:rsidR="00027583" w:rsidRPr="005D4222" w:rsidRDefault="00027583">
            <w:pPr>
              <w:pStyle w:val="ProcessBullet"/>
            </w:pPr>
            <w:r w:rsidRPr="005D4222">
              <w:rPr>
                <w:i/>
                <w:iCs/>
              </w:rPr>
              <w:t>Initial population:</w:t>
            </w:r>
            <w:r w:rsidRPr="005D4222">
              <w:t xml:space="preserve"> </w:t>
            </w:r>
            <w:r w:rsidRPr="005D4222">
              <w:rPr>
                <w:iCs/>
              </w:rPr>
              <w:t>Event. On</w:t>
            </w:r>
            <w:r w:rsidRPr="005D4222">
              <w:t>ly events or diagnoses that contain (or map to) codes in the value sets may be used to identify visits with a diagnosis. Value sets and logic may not be changed. Organizations may assess at the person level by applying measure logic appropriately (i.e., percentage of persons with documentation of an ED visit with a principal diagnosis of mental illness or intentional self-harm, who had a follow-up visit for mental illness).</w:t>
            </w:r>
          </w:p>
          <w:p w14:paraId="2B078A6D" w14:textId="77777777" w:rsidR="00027583" w:rsidRPr="005D4222" w:rsidRDefault="00027583">
            <w:pPr>
              <w:pStyle w:val="Adjustments"/>
              <w:rPr>
                <w:b w:val="0"/>
              </w:rPr>
            </w:pPr>
            <w:r w:rsidRPr="005D4222">
              <w:t>Adjustments not allowed</w:t>
            </w:r>
          </w:p>
          <w:p w14:paraId="5B564AEB" w14:textId="77777777" w:rsidR="00027583" w:rsidRPr="005D4222" w:rsidRDefault="00027583">
            <w:pPr>
              <w:pStyle w:val="ProcessBullet"/>
              <w:spacing w:after="80"/>
              <w:rPr>
                <w:b/>
              </w:rPr>
            </w:pPr>
            <w:r w:rsidRPr="005D4222">
              <w:rPr>
                <w:i/>
              </w:rPr>
              <w:t xml:space="preserve">Numerator. </w:t>
            </w:r>
            <w:r w:rsidRPr="005D4222">
              <w:t>Value sets and logic may not be changed for both the 30-day and 7-day follow-up rates.</w:t>
            </w:r>
          </w:p>
        </w:tc>
      </w:tr>
    </w:tbl>
    <w:p w14:paraId="593B631D" w14:textId="77777777" w:rsidR="001C0D7A" w:rsidRPr="005D4222" w:rsidRDefault="001C0D7A" w:rsidP="00027583">
      <w:pPr>
        <w:pStyle w:val="ECDSBody"/>
        <w:sectPr w:rsidR="001C0D7A" w:rsidRPr="005D4222" w:rsidSect="0074514A">
          <w:headerReference w:type="default" r:id="rId117"/>
          <w:type w:val="nextColumn"/>
          <w:pgSz w:w="12240" w:h="15840" w:code="1"/>
          <w:pgMar w:top="1080" w:right="1080" w:bottom="1080" w:left="1440" w:header="720" w:footer="720" w:gutter="0"/>
          <w:cols w:space="720"/>
          <w:docGrid w:linePitch="360"/>
        </w:sectPr>
      </w:pPr>
    </w:p>
    <w:p w14:paraId="0E8578F5" w14:textId="6BB4A13B" w:rsidR="00027583" w:rsidRPr="005D4222" w:rsidRDefault="002A5E56" w:rsidP="002A5E56">
      <w:pPr>
        <w:pStyle w:val="MeasureTitle"/>
      </w:pPr>
      <w:bookmarkStart w:id="299" w:name="_Toc201813410"/>
      <w:r w:rsidRPr="005D4222">
        <w:lastRenderedPageBreak/>
        <w:t>Follow-Up After Emergency Department Visit for Mental Illness</w:t>
      </w:r>
      <w:r w:rsidR="0096709F" w:rsidRPr="005D4222">
        <w:t xml:space="preserve"> (FUM)</w:t>
      </w:r>
      <w:bookmarkEnd w:id="299"/>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3" w:type="dxa"/>
          <w:right w:w="86" w:type="dxa"/>
        </w:tblCellMar>
        <w:tblLook w:val="04A0" w:firstRow="1" w:lastRow="0" w:firstColumn="1" w:lastColumn="0" w:noHBand="0" w:noVBand="1"/>
      </w:tblPr>
      <w:tblGrid>
        <w:gridCol w:w="2157"/>
        <w:gridCol w:w="5130"/>
        <w:gridCol w:w="1530"/>
        <w:gridCol w:w="897"/>
      </w:tblGrid>
      <w:tr w:rsidR="002A5E56" w:rsidRPr="005D4222" w14:paraId="2CF928C2" w14:textId="77777777">
        <w:tc>
          <w:tcPr>
            <w:tcW w:w="2157" w:type="dxa"/>
            <w:shd w:val="clear" w:color="auto" w:fill="BFBFBF" w:themeFill="background1" w:themeFillShade="BF"/>
            <w:tcMar>
              <w:top w:w="0" w:type="dxa"/>
              <w:left w:w="86" w:type="dxa"/>
              <w:bottom w:w="43" w:type="dxa"/>
              <w:right w:w="86" w:type="dxa"/>
            </w:tcMar>
            <w:hideMark/>
          </w:tcPr>
          <w:p w14:paraId="5ECD09D5" w14:textId="77777777" w:rsidR="002A5E56" w:rsidRPr="005D4222" w:rsidRDefault="002A5E56">
            <w:pPr>
              <w:pStyle w:val="ECDSMarginHead"/>
            </w:pPr>
            <w:r w:rsidRPr="005D4222">
              <w:t>Measure title</w:t>
            </w:r>
          </w:p>
        </w:tc>
        <w:tc>
          <w:tcPr>
            <w:tcW w:w="5130" w:type="dxa"/>
            <w:tcMar>
              <w:top w:w="0" w:type="dxa"/>
              <w:left w:w="86" w:type="dxa"/>
              <w:bottom w:w="43" w:type="dxa"/>
              <w:right w:w="86" w:type="dxa"/>
            </w:tcMar>
          </w:tcPr>
          <w:p w14:paraId="7AFF081E" w14:textId="77777777" w:rsidR="002A5E56" w:rsidRPr="005D4222" w:rsidRDefault="002A5E56">
            <w:pPr>
              <w:pStyle w:val="ECDSBody"/>
            </w:pPr>
            <w:r w:rsidRPr="005D4222">
              <w:t>Follow-Up After Emergency Department Visit for Mental Illness</w:t>
            </w:r>
            <w:r w:rsidRPr="005D4222">
              <w:rPr>
                <w:b/>
              </w:rPr>
              <w:t>*</w:t>
            </w:r>
          </w:p>
        </w:tc>
        <w:tc>
          <w:tcPr>
            <w:tcW w:w="1530" w:type="dxa"/>
            <w:shd w:val="clear" w:color="auto" w:fill="BFBFBF" w:themeFill="background1" w:themeFillShade="BF"/>
            <w:tcMar>
              <w:top w:w="0" w:type="dxa"/>
              <w:left w:w="86" w:type="dxa"/>
              <w:bottom w:w="43" w:type="dxa"/>
              <w:right w:w="86" w:type="dxa"/>
            </w:tcMar>
          </w:tcPr>
          <w:p w14:paraId="24E75BA4" w14:textId="77777777" w:rsidR="002A5E56" w:rsidRPr="005D4222" w:rsidRDefault="002A5E56">
            <w:pPr>
              <w:pStyle w:val="ECDSMarginHead"/>
            </w:pPr>
            <w:r w:rsidRPr="005D4222">
              <w:t>Measure ID</w:t>
            </w:r>
          </w:p>
        </w:tc>
        <w:tc>
          <w:tcPr>
            <w:tcW w:w="897" w:type="dxa"/>
            <w:tcMar>
              <w:top w:w="0" w:type="dxa"/>
              <w:left w:w="86" w:type="dxa"/>
              <w:bottom w:w="43" w:type="dxa"/>
              <w:right w:w="86" w:type="dxa"/>
            </w:tcMar>
          </w:tcPr>
          <w:p w14:paraId="5AB3560D" w14:textId="77777777" w:rsidR="002A5E56" w:rsidRPr="005D4222" w:rsidRDefault="002A5E56">
            <w:pPr>
              <w:pStyle w:val="ECDSBody"/>
            </w:pPr>
            <w:r w:rsidRPr="005D4222">
              <w:t>FUM</w:t>
            </w:r>
          </w:p>
        </w:tc>
      </w:tr>
      <w:tr w:rsidR="002A5E56" w:rsidRPr="005D4222" w14:paraId="1A87CFC4" w14:textId="77777777">
        <w:tc>
          <w:tcPr>
            <w:tcW w:w="2157" w:type="dxa"/>
            <w:shd w:val="clear" w:color="auto" w:fill="BFBFBF" w:themeFill="background1" w:themeFillShade="BF"/>
            <w:tcMar>
              <w:top w:w="0" w:type="dxa"/>
              <w:left w:w="86" w:type="dxa"/>
              <w:bottom w:w="43" w:type="dxa"/>
              <w:right w:w="86" w:type="dxa"/>
            </w:tcMar>
            <w:hideMark/>
          </w:tcPr>
          <w:p w14:paraId="6D9D73DD" w14:textId="77777777" w:rsidR="002A5E56" w:rsidRPr="005D4222" w:rsidRDefault="002A5E56">
            <w:pPr>
              <w:pStyle w:val="ECDSMarginHead"/>
            </w:pPr>
            <w:r w:rsidRPr="005D4222">
              <w:t>Description</w:t>
            </w:r>
          </w:p>
        </w:tc>
        <w:tc>
          <w:tcPr>
            <w:tcW w:w="7557" w:type="dxa"/>
            <w:gridSpan w:val="3"/>
            <w:tcMar>
              <w:top w:w="0" w:type="dxa"/>
              <w:left w:w="86" w:type="dxa"/>
              <w:bottom w:w="43" w:type="dxa"/>
              <w:right w:w="86" w:type="dxa"/>
            </w:tcMar>
          </w:tcPr>
          <w:p w14:paraId="4C72D9E0" w14:textId="77777777" w:rsidR="002A5E56" w:rsidRPr="005D4222" w:rsidRDefault="002A5E56">
            <w:pPr>
              <w:pStyle w:val="ECDSBody"/>
            </w:pPr>
            <w:r w:rsidRPr="005D4222">
              <w:t>The percentage of emergency department (ED) visits for persons 6 years of age and older with a principal diagnosis of mental illness, or any diagnosis of intentional self-harm, and had a mental health follow-up service. Two rates are reported:</w:t>
            </w:r>
          </w:p>
          <w:p w14:paraId="6D1D3220" w14:textId="77777777" w:rsidR="002A5E56" w:rsidRPr="005D4222" w:rsidRDefault="002A5E56">
            <w:pPr>
              <w:pStyle w:val="Body"/>
              <w:spacing w:before="80"/>
              <w:ind w:left="648" w:hanging="288"/>
            </w:pPr>
            <w:r w:rsidRPr="005D4222">
              <w:t>1.</w:t>
            </w:r>
            <w:r w:rsidRPr="005D4222">
              <w:tab/>
              <w:t>The percentage of ED visits for which the person received follow-up within 30 days of the ED visit (31 total days).</w:t>
            </w:r>
          </w:p>
          <w:p w14:paraId="1418E7F8" w14:textId="77777777" w:rsidR="002A5E56" w:rsidRPr="005D4222" w:rsidRDefault="002A5E56">
            <w:pPr>
              <w:pStyle w:val="Body"/>
              <w:spacing w:before="80"/>
              <w:ind w:left="648" w:hanging="288"/>
            </w:pPr>
            <w:r w:rsidRPr="005D4222">
              <w:t>2.</w:t>
            </w:r>
            <w:r w:rsidRPr="005D4222">
              <w:tab/>
              <w:t xml:space="preserve">The percentage of ED visits for which the person received follow-up within 7 days of the ED visit (8 total days). </w:t>
            </w:r>
          </w:p>
        </w:tc>
      </w:tr>
      <w:tr w:rsidR="002A5E56" w:rsidRPr="005D4222" w14:paraId="547A49EB" w14:textId="77777777">
        <w:tc>
          <w:tcPr>
            <w:tcW w:w="2157" w:type="dxa"/>
            <w:shd w:val="clear" w:color="auto" w:fill="BFBFBF" w:themeFill="background1" w:themeFillShade="BF"/>
            <w:tcMar>
              <w:top w:w="0" w:type="dxa"/>
              <w:left w:w="86" w:type="dxa"/>
              <w:bottom w:w="43" w:type="dxa"/>
              <w:right w:w="86" w:type="dxa"/>
            </w:tcMar>
          </w:tcPr>
          <w:p w14:paraId="673A4E4B" w14:textId="77777777" w:rsidR="002A5E56" w:rsidRPr="005D4222" w:rsidRDefault="002A5E56">
            <w:pPr>
              <w:pStyle w:val="ECDSMarginHead"/>
            </w:pPr>
            <w:r w:rsidRPr="005D4222">
              <w:t>Measurement period</w:t>
            </w:r>
          </w:p>
        </w:tc>
        <w:tc>
          <w:tcPr>
            <w:tcW w:w="7557" w:type="dxa"/>
            <w:gridSpan w:val="3"/>
            <w:tcMar>
              <w:top w:w="0" w:type="dxa"/>
              <w:left w:w="86" w:type="dxa"/>
              <w:bottom w:w="43" w:type="dxa"/>
              <w:right w:w="86" w:type="dxa"/>
            </w:tcMar>
          </w:tcPr>
          <w:p w14:paraId="42DA8703" w14:textId="77777777" w:rsidR="002A5E56" w:rsidRPr="005D4222" w:rsidRDefault="002A5E56">
            <w:pPr>
              <w:pStyle w:val="ECDSBody"/>
            </w:pPr>
            <w:r w:rsidRPr="005D4222">
              <w:t>January 1–December 31.</w:t>
            </w:r>
          </w:p>
        </w:tc>
      </w:tr>
      <w:tr w:rsidR="002A5E56" w:rsidRPr="005D4222" w14:paraId="484D4202" w14:textId="77777777">
        <w:tc>
          <w:tcPr>
            <w:tcW w:w="2157" w:type="dxa"/>
            <w:shd w:val="clear" w:color="auto" w:fill="BFBFBF" w:themeFill="background1" w:themeFillShade="BF"/>
            <w:tcMar>
              <w:top w:w="0" w:type="dxa"/>
              <w:left w:w="86" w:type="dxa"/>
              <w:bottom w:w="43" w:type="dxa"/>
              <w:right w:w="86" w:type="dxa"/>
            </w:tcMar>
            <w:hideMark/>
          </w:tcPr>
          <w:p w14:paraId="72728F50" w14:textId="77777777" w:rsidR="002A5E56" w:rsidRPr="005D4222" w:rsidRDefault="002A5E56">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2FF0F330" w14:textId="77777777" w:rsidR="002A5E56" w:rsidRPr="005D4222" w:rsidRDefault="002A5E56">
            <w:pPr>
              <w:pStyle w:val="ECDSBody"/>
              <w:ind w:left="92" w:hanging="92"/>
              <w:rPr>
                <w:i/>
                <w:iCs/>
              </w:rPr>
            </w:pPr>
            <w:r w:rsidRPr="005D4222">
              <w:rPr>
                <w:i/>
                <w:iCs/>
              </w:rPr>
              <w:t>*Adapted from an NCQA measure with financial support from the Office of the Assistant Secretary for Planning and Evaluation (ASPE) under Prime Contract No. HHSP23320100019WI/HHSP23337001T, in which NCQA was a subcontractor to Mathematica. Additional financial support was provided by the Substance Abuse and Mental Health Services Administration (SAMHSA).</w:t>
            </w:r>
          </w:p>
          <w:p w14:paraId="49AE4D7B" w14:textId="77777777" w:rsidR="002A5E56" w:rsidRPr="005D4222" w:rsidRDefault="002A5E56">
            <w:pPr>
              <w:pStyle w:val="ECDSBody"/>
            </w:pPr>
            <w:r w:rsidRPr="005D4222">
              <w:t xml:space="preserve">Refer to the complete copyright and disclaimer information at the front of this publication. </w:t>
            </w:r>
          </w:p>
          <w:p w14:paraId="3EDF47BE" w14:textId="77777777" w:rsidR="002A5E56" w:rsidRPr="005D4222" w:rsidRDefault="002A5E56">
            <w:pPr>
              <w:pStyle w:val="ECDSBody"/>
              <w:spacing w:before="80"/>
              <w:rPr>
                <w:rFonts w:eastAsia="Arial"/>
              </w:rPr>
            </w:pPr>
            <w:r w:rsidRPr="005D4222">
              <w:rPr>
                <w:rFonts w:eastAsia="Arial"/>
              </w:rPr>
              <w:t xml:space="preserve">NCQA </w:t>
            </w:r>
            <w:r w:rsidRPr="005D4222">
              <w:t>w</w:t>
            </w:r>
            <w:r w:rsidRPr="005D4222">
              <w:rPr>
                <w:rFonts w:eastAsia="Arial"/>
              </w:rPr>
              <w:t xml:space="preserve">ebsite: </w:t>
            </w:r>
            <w:r w:rsidRPr="005D4222">
              <w:rPr>
                <w:u w:val="single"/>
              </w:rPr>
              <w:t>www.ncqa.org</w:t>
            </w:r>
            <w:r w:rsidRPr="005D4222">
              <w:t xml:space="preserve">. </w:t>
            </w:r>
            <w:r w:rsidRPr="005D4222">
              <w:rPr>
                <w:rFonts w:eastAsia="Arial"/>
              </w:rPr>
              <w:t xml:space="preserve"> </w:t>
            </w:r>
          </w:p>
          <w:p w14:paraId="16D0189F" w14:textId="77777777" w:rsidR="002A5E56" w:rsidRPr="005D4222" w:rsidRDefault="002A5E56">
            <w:pPr>
              <w:pStyle w:val="ECDSBody"/>
              <w:spacing w:before="80"/>
            </w:pPr>
            <w:r w:rsidRPr="005D4222">
              <w:rPr>
                <w:rFonts w:eastAsia="Arial"/>
              </w:rPr>
              <w:t xml:space="preserve">Submit policy clarification support questions via My NCQA </w:t>
            </w:r>
            <w:r w:rsidRPr="005D4222">
              <w:t>(</w:t>
            </w:r>
            <w:r w:rsidRPr="005D4222">
              <w:rPr>
                <w:u w:val="single"/>
              </w:rPr>
              <w:t>https://my.ncqa.org</w:t>
            </w:r>
            <w:r w:rsidRPr="005D4222">
              <w:t>).</w:t>
            </w:r>
          </w:p>
        </w:tc>
      </w:tr>
      <w:tr w:rsidR="002A5E56" w:rsidRPr="005D4222" w14:paraId="6F359B39" w14:textId="77777777">
        <w:tc>
          <w:tcPr>
            <w:tcW w:w="2157" w:type="dxa"/>
            <w:shd w:val="clear" w:color="auto" w:fill="BFBFBF" w:themeFill="background1" w:themeFillShade="BF"/>
            <w:tcMar>
              <w:top w:w="0" w:type="dxa"/>
              <w:left w:w="86" w:type="dxa"/>
              <w:bottom w:w="43" w:type="dxa"/>
              <w:right w:w="86" w:type="dxa"/>
            </w:tcMar>
            <w:hideMark/>
          </w:tcPr>
          <w:p w14:paraId="56EA340C" w14:textId="77777777" w:rsidR="002A5E56" w:rsidRPr="005D4222" w:rsidRDefault="002A5E56">
            <w:pPr>
              <w:pStyle w:val="ECDSMarginHead"/>
            </w:pPr>
            <w:r w:rsidRPr="005D4222">
              <w:t>Clinical recommendation statement/ rationale</w:t>
            </w:r>
          </w:p>
        </w:tc>
        <w:tc>
          <w:tcPr>
            <w:tcW w:w="7557" w:type="dxa"/>
            <w:gridSpan w:val="3"/>
            <w:tcMar>
              <w:top w:w="0" w:type="dxa"/>
              <w:left w:w="86" w:type="dxa"/>
              <w:bottom w:w="43" w:type="dxa"/>
              <w:right w:w="86" w:type="dxa"/>
            </w:tcMar>
          </w:tcPr>
          <w:p w14:paraId="71DB8AB8" w14:textId="77777777" w:rsidR="002A5E56" w:rsidRPr="005D4222" w:rsidRDefault="002A5E56">
            <w:pPr>
              <w:pStyle w:val="ECDSBody"/>
            </w:pPr>
            <w:r w:rsidRPr="005D4222">
              <w:t>A substantial number of ED visits are related to mental health crises, including psychiatric emergencies, suicidal ideation, self-harm and acute exacerbations of mental health disorders. Between 2017 and 2019, 52.9 of every 1,000 ED visits were due to mental illness. The ED is an initial point of contact for individuals experiencing a mental health crisis, especially when other resources, such as outpatient mental health services, may not be readily accessible or available outside regular office hours. </w:t>
            </w:r>
          </w:p>
          <w:p w14:paraId="0E65B74C" w14:textId="77777777" w:rsidR="002A5E56" w:rsidRPr="005D4222" w:rsidRDefault="002A5E56">
            <w:pPr>
              <w:pStyle w:val="ECDSBody"/>
            </w:pPr>
            <w:r w:rsidRPr="005D4222">
              <w:t>Timely follow-up care is associated with remaining in the community for a longer period of time and avoiding future emergency visits. Evidence suggests that patients who fail to receive aftercare following their emergency psychiatric visit have 6 times higher odds of returning to the ED within 2 months, compared with patients who received aftercare. Follow-up visits not only provide the opportunity for coordination of care, but also allow opportunities for providers to identify changing or emerging issues, address treatment barriers and intervene promptly.</w:t>
            </w:r>
          </w:p>
        </w:tc>
      </w:tr>
      <w:tr w:rsidR="002A5E56" w:rsidRPr="005D4222" w14:paraId="7932A7D8" w14:textId="77777777">
        <w:tc>
          <w:tcPr>
            <w:tcW w:w="2157" w:type="dxa"/>
            <w:shd w:val="clear" w:color="auto" w:fill="BFBFBF" w:themeFill="background1" w:themeFillShade="BF"/>
            <w:tcMar>
              <w:top w:w="0" w:type="dxa"/>
              <w:left w:w="86" w:type="dxa"/>
              <w:bottom w:w="43" w:type="dxa"/>
              <w:right w:w="86" w:type="dxa"/>
            </w:tcMar>
          </w:tcPr>
          <w:p w14:paraId="7690D7E2" w14:textId="77777777" w:rsidR="002A5E56" w:rsidRPr="005D4222" w:rsidRDefault="002A5E56">
            <w:pPr>
              <w:pStyle w:val="ECDSMarginHead"/>
            </w:pPr>
            <w:r w:rsidRPr="005D4222">
              <w:t>Citations</w:t>
            </w:r>
          </w:p>
        </w:tc>
        <w:tc>
          <w:tcPr>
            <w:tcW w:w="7557" w:type="dxa"/>
            <w:gridSpan w:val="3"/>
            <w:tcMar>
              <w:top w:w="0" w:type="dxa"/>
              <w:left w:w="86" w:type="dxa"/>
              <w:bottom w:w="43" w:type="dxa"/>
              <w:right w:w="86" w:type="dxa"/>
            </w:tcMar>
          </w:tcPr>
          <w:p w14:paraId="2DB6F4CF" w14:textId="77777777" w:rsidR="002A5E56" w:rsidRPr="005D4222" w:rsidRDefault="002A5E56">
            <w:pPr>
              <w:pStyle w:val="ECDSBody"/>
            </w:pPr>
            <w:r w:rsidRPr="005D4222">
              <w:t xml:space="preserve">Santo, L., J.Z. Peters, &amp; J.C. DeFrances. 2021. “Emergency Department Visits Among Adults With Mental Health Disorders: United States, 2017–2019.” Centers for Disease Control and Prevention, NCHS Data Brief No. 426. https://www.cdc.gov/nchs/products/databriefs/db426.htm#Key_finding </w:t>
            </w:r>
          </w:p>
          <w:p w14:paraId="5EDA7ED7" w14:textId="77777777" w:rsidR="002A5E56" w:rsidRPr="005D4222" w:rsidRDefault="002A5E56" w:rsidP="002A5E56">
            <w:pPr>
              <w:pStyle w:val="ECDSBody"/>
              <w:spacing w:before="180"/>
            </w:pPr>
            <w:r w:rsidRPr="005D4222">
              <w:lastRenderedPageBreak/>
              <w:t>McCullumsmith, C., B. Clark, C. Blair, K. Cropsey, &amp; R. Shelton. 2015. “Rapid Follow-Up for Patients After Psychiatric Crisis.” Community Mental Health Journal 51(2), 139–44. https://doi.org/10.1007/s10597-014-9782-z </w:t>
            </w:r>
          </w:p>
          <w:p w14:paraId="7F40EF8B" w14:textId="77777777" w:rsidR="002A5E56" w:rsidRPr="005D4222" w:rsidRDefault="002A5E56">
            <w:pPr>
              <w:pStyle w:val="ECDSBody"/>
              <w:spacing w:before="180"/>
            </w:pPr>
            <w:r w:rsidRPr="005D4222">
              <w:t>Bruffaerts, R., M. Sabbe, &amp; K. Demyttenaere. 2005. “Predicting Aftercare in Psychiatric Emergencies.” Social Psychiatry and Psychiatric Epidemiology 40(10), 829–34. https://doi.org/10.1007/s00127-005-0959-x </w:t>
            </w:r>
          </w:p>
        </w:tc>
      </w:tr>
      <w:tr w:rsidR="002A5E56" w:rsidRPr="005D4222" w14:paraId="5E861324" w14:textId="77777777">
        <w:tc>
          <w:tcPr>
            <w:tcW w:w="9714" w:type="dxa"/>
            <w:gridSpan w:val="4"/>
            <w:shd w:val="clear" w:color="auto" w:fill="BFBFBF" w:themeFill="background1" w:themeFillShade="BF"/>
            <w:tcMar>
              <w:top w:w="0" w:type="dxa"/>
              <w:left w:w="86" w:type="dxa"/>
              <w:bottom w:w="43" w:type="dxa"/>
              <w:right w:w="86" w:type="dxa"/>
            </w:tcMar>
          </w:tcPr>
          <w:p w14:paraId="275E0F84" w14:textId="77777777" w:rsidR="002A5E56" w:rsidRPr="005D4222" w:rsidRDefault="002A5E56">
            <w:pPr>
              <w:pStyle w:val="ECDSMarginHead"/>
            </w:pPr>
            <w:r w:rsidRPr="005D4222">
              <w:lastRenderedPageBreak/>
              <w:t>Characteristics</w:t>
            </w:r>
          </w:p>
        </w:tc>
      </w:tr>
      <w:tr w:rsidR="002A5E56" w:rsidRPr="005D4222" w14:paraId="4DCC571B" w14:textId="77777777">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58994443" w14:textId="77777777" w:rsidR="002A5E56" w:rsidRPr="005D4222" w:rsidRDefault="002A5E56" w:rsidP="00B0287F">
            <w:pPr>
              <w:pStyle w:val="ECDSMarginSubhead"/>
              <w:spacing w:after="0"/>
            </w:pPr>
            <w:r w:rsidRPr="005D4222">
              <w:t>Scoring</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0ADCA5AB" w14:textId="77777777" w:rsidR="002A5E56" w:rsidRPr="005D4222" w:rsidRDefault="002A5E56">
            <w:pPr>
              <w:pStyle w:val="ECDSBody"/>
              <w:spacing w:after="0"/>
            </w:pPr>
            <w:r w:rsidRPr="005D4222">
              <w:t>Proportion.</w:t>
            </w:r>
          </w:p>
        </w:tc>
      </w:tr>
      <w:tr w:rsidR="002A5E56" w:rsidRPr="005D4222" w14:paraId="557E7CAC"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33367350" w14:textId="77777777" w:rsidR="002A5E56" w:rsidRPr="005D4222" w:rsidRDefault="002A5E56" w:rsidP="00B0287F">
            <w:pPr>
              <w:pStyle w:val="ECDSMarginSubhead"/>
              <w:spacing w:after="0"/>
            </w:pPr>
            <w:r w:rsidRPr="005D4222">
              <w:t>Type</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4AF288FF" w14:textId="77777777" w:rsidR="002A5E56" w:rsidRPr="005D4222" w:rsidRDefault="002A5E56">
            <w:pPr>
              <w:pStyle w:val="ECDSBody"/>
              <w:spacing w:after="0"/>
            </w:pPr>
            <w:r w:rsidRPr="005D4222">
              <w:t>Process.</w:t>
            </w:r>
          </w:p>
        </w:tc>
      </w:tr>
      <w:tr w:rsidR="002A5E56" w:rsidRPr="005D4222" w14:paraId="057C229B"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7081AABF" w14:textId="20D9AB9E" w:rsidR="002A5E56" w:rsidRPr="005D4222" w:rsidRDefault="00B51CDC" w:rsidP="002A5E56">
            <w:pPr>
              <w:pStyle w:val="ECDSMarginSubhead"/>
            </w:pPr>
            <w:r w:rsidRPr="005D4222">
              <w:t>Product lines</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3980608A" w14:textId="77777777" w:rsidR="002A5E56" w:rsidRPr="005D4222" w:rsidRDefault="002A5E56">
            <w:pPr>
              <w:pStyle w:val="ProcessBullet"/>
              <w:spacing w:before="120"/>
            </w:pPr>
            <w:r w:rsidRPr="005D4222">
              <w:t>Commercial.</w:t>
            </w:r>
          </w:p>
          <w:p w14:paraId="0D04716B" w14:textId="77777777" w:rsidR="002A5E56" w:rsidRPr="005D4222" w:rsidRDefault="002A5E56">
            <w:pPr>
              <w:pStyle w:val="ProcessBullet"/>
            </w:pPr>
            <w:r w:rsidRPr="005D4222">
              <w:t>Medicaid.</w:t>
            </w:r>
          </w:p>
          <w:p w14:paraId="7E7FBCD5" w14:textId="77777777" w:rsidR="002A5E56" w:rsidRPr="005D4222" w:rsidRDefault="002A5E56">
            <w:pPr>
              <w:pStyle w:val="ProcessBullet"/>
            </w:pPr>
            <w:r w:rsidRPr="005D4222">
              <w:t>Medicare.</w:t>
            </w:r>
          </w:p>
        </w:tc>
      </w:tr>
      <w:tr w:rsidR="002A5E56" w:rsidRPr="005D4222" w14:paraId="5DDA24ED"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06484517" w14:textId="3EC234C8" w:rsidR="002A5E56" w:rsidRPr="005D4222" w:rsidRDefault="00B51CDC" w:rsidP="002A5E56">
            <w:pPr>
              <w:pStyle w:val="ECDSMarginSubhead"/>
            </w:pPr>
            <w:r w:rsidRPr="005D4222">
              <w:t>Stratifications</w:t>
            </w:r>
            <w:r w:rsidR="002A5E56" w:rsidRPr="005D4222">
              <w:t xml:space="preserve"> </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1D8F4059" w14:textId="77777777" w:rsidR="002A5E56" w:rsidRPr="005D4222" w:rsidRDefault="002A5E56">
            <w:pPr>
              <w:pStyle w:val="ECDSBody"/>
            </w:pPr>
            <w:r w:rsidRPr="005D4222">
              <w:t xml:space="preserve">Age as of the ED visit. </w:t>
            </w:r>
          </w:p>
          <w:p w14:paraId="1BA46AA1" w14:textId="77777777" w:rsidR="002A5E56" w:rsidRPr="005D4222" w:rsidRDefault="002A5E56" w:rsidP="002A5E56">
            <w:pPr>
              <w:pStyle w:val="Bullet"/>
              <w:numPr>
                <w:ilvl w:val="0"/>
                <w:numId w:val="4"/>
              </w:numPr>
              <w:ind w:left="576" w:hanging="216"/>
              <w:rPr>
                <w:rFonts w:eastAsia="Arial,Arial,Arial,Arial,Arial,A"/>
              </w:rPr>
            </w:pPr>
            <w:r w:rsidRPr="005D4222">
              <w:rPr>
                <w:rFonts w:eastAsia="Arial,Arial,Arial,Arial,Arial,A"/>
              </w:rPr>
              <w:t>6–17 years.</w:t>
            </w:r>
          </w:p>
          <w:p w14:paraId="0D9B633B" w14:textId="77777777" w:rsidR="002A5E56" w:rsidRPr="005D4222" w:rsidRDefault="002A5E56" w:rsidP="002A5E56">
            <w:pPr>
              <w:pStyle w:val="Bullet"/>
              <w:numPr>
                <w:ilvl w:val="0"/>
                <w:numId w:val="4"/>
              </w:numPr>
              <w:ind w:left="576" w:hanging="216"/>
              <w:rPr>
                <w:rFonts w:eastAsia="Arial,Arial,Arial,Arial,Arial,A"/>
              </w:rPr>
            </w:pPr>
            <w:r w:rsidRPr="005D4222">
              <w:rPr>
                <w:rFonts w:eastAsia="Arial,Arial,Arial,Arial,Arial,A"/>
              </w:rPr>
              <w:t>18–64 years.</w:t>
            </w:r>
          </w:p>
          <w:p w14:paraId="1D3A7F84" w14:textId="77777777" w:rsidR="002A5E56" w:rsidRPr="005D4222" w:rsidRDefault="002A5E56" w:rsidP="002A5E56">
            <w:pPr>
              <w:pStyle w:val="Bullet"/>
              <w:numPr>
                <w:ilvl w:val="0"/>
                <w:numId w:val="4"/>
              </w:numPr>
              <w:ind w:left="576" w:hanging="216"/>
              <w:rPr>
                <w:rFonts w:eastAsia="Arial,Arial,Arial,Arial,Arial,A"/>
              </w:rPr>
            </w:pPr>
            <w:r w:rsidRPr="005D4222">
              <w:rPr>
                <w:rFonts w:eastAsia="Arial,Arial,Arial,Arial,Arial,A"/>
              </w:rPr>
              <w:t>65 years and older.</w:t>
            </w:r>
          </w:p>
          <w:p w14:paraId="683A9D74" w14:textId="66FE2666" w:rsidR="002A5E56" w:rsidRPr="005D4222" w:rsidRDefault="002A5E56">
            <w:pPr>
              <w:pStyle w:val="ECDSBody"/>
            </w:pPr>
            <w:r w:rsidRPr="005D4222">
              <w:t xml:space="preserve">Race. (Refer to </w:t>
            </w:r>
            <w:hyperlink w:anchor="GG_Race_and_Ethnicity" w:history="1">
              <w:r w:rsidRPr="005D4222">
                <w:rPr>
                  <w:rStyle w:val="Hyperlink"/>
                  <w:i/>
                  <w:iCs/>
                </w:rPr>
                <w:t>General Guideline: Race and Ethnicity Stratification</w:t>
              </w:r>
            </w:hyperlink>
            <w:r w:rsidRPr="005D4222">
              <w:rPr>
                <w:i/>
                <w:iCs/>
              </w:rPr>
              <w:t>.</w:t>
            </w:r>
            <w:r w:rsidRPr="005D4222">
              <w:t>)</w:t>
            </w:r>
          </w:p>
          <w:p w14:paraId="2BB75551" w14:textId="77777777" w:rsidR="002A5E56" w:rsidRPr="005D4222" w:rsidRDefault="002A5E56" w:rsidP="002A5E56">
            <w:pPr>
              <w:pStyle w:val="Bullet"/>
              <w:numPr>
                <w:ilvl w:val="0"/>
                <w:numId w:val="4"/>
              </w:numPr>
              <w:ind w:left="576" w:hanging="216"/>
            </w:pPr>
            <w:r w:rsidRPr="005D4222">
              <w:t xml:space="preserve">American Indian or Alaska Native. </w:t>
            </w:r>
          </w:p>
          <w:p w14:paraId="3350C6AA" w14:textId="77777777" w:rsidR="002A5E56" w:rsidRPr="005D4222" w:rsidRDefault="002A5E56" w:rsidP="002A5E56">
            <w:pPr>
              <w:pStyle w:val="Bullet"/>
              <w:numPr>
                <w:ilvl w:val="0"/>
                <w:numId w:val="4"/>
              </w:numPr>
              <w:ind w:left="576" w:hanging="216"/>
            </w:pPr>
            <w:r w:rsidRPr="005D4222">
              <w:t xml:space="preserve">Asian. </w:t>
            </w:r>
          </w:p>
          <w:p w14:paraId="3CE2311D" w14:textId="77777777" w:rsidR="002A5E56" w:rsidRPr="005D4222" w:rsidRDefault="002A5E56" w:rsidP="002A5E56">
            <w:pPr>
              <w:pStyle w:val="Bullet"/>
              <w:numPr>
                <w:ilvl w:val="0"/>
                <w:numId w:val="4"/>
              </w:numPr>
              <w:ind w:left="576" w:hanging="216"/>
            </w:pPr>
            <w:r w:rsidRPr="005D4222">
              <w:t>Black or African American.</w:t>
            </w:r>
          </w:p>
          <w:p w14:paraId="4C82F8B5" w14:textId="77777777" w:rsidR="002A5E56" w:rsidRPr="005D4222" w:rsidRDefault="002A5E56" w:rsidP="002A5E56">
            <w:pPr>
              <w:pStyle w:val="Bullet"/>
              <w:numPr>
                <w:ilvl w:val="0"/>
                <w:numId w:val="4"/>
              </w:numPr>
              <w:ind w:left="576" w:hanging="216"/>
            </w:pPr>
            <w:r w:rsidRPr="005D4222">
              <w:t>Middle Eastern or North African.</w:t>
            </w:r>
          </w:p>
          <w:p w14:paraId="578C030E" w14:textId="77777777" w:rsidR="002A5E56" w:rsidRPr="005D4222" w:rsidRDefault="002A5E56" w:rsidP="002A5E56">
            <w:pPr>
              <w:pStyle w:val="Bullet"/>
              <w:numPr>
                <w:ilvl w:val="0"/>
                <w:numId w:val="4"/>
              </w:numPr>
              <w:ind w:left="576" w:hanging="216"/>
            </w:pPr>
            <w:r w:rsidRPr="005D4222">
              <w:t>Native Hawaiian or Pacific Islander.</w:t>
            </w:r>
          </w:p>
          <w:p w14:paraId="315E1EFB" w14:textId="77777777" w:rsidR="002A5E56" w:rsidRPr="005D4222" w:rsidRDefault="002A5E56" w:rsidP="002A5E56">
            <w:pPr>
              <w:pStyle w:val="Bullet"/>
              <w:numPr>
                <w:ilvl w:val="0"/>
                <w:numId w:val="4"/>
              </w:numPr>
              <w:ind w:left="576" w:hanging="216"/>
            </w:pPr>
            <w:r w:rsidRPr="005D4222">
              <w:t xml:space="preserve">White. </w:t>
            </w:r>
          </w:p>
          <w:p w14:paraId="02D7566F" w14:textId="77777777" w:rsidR="002A5E56" w:rsidRPr="005D4222" w:rsidRDefault="002A5E56" w:rsidP="002A5E56">
            <w:pPr>
              <w:pStyle w:val="Bullet"/>
              <w:numPr>
                <w:ilvl w:val="0"/>
                <w:numId w:val="4"/>
              </w:numPr>
              <w:ind w:left="576" w:hanging="216"/>
            </w:pPr>
            <w:r w:rsidRPr="005D4222">
              <w:t xml:space="preserve">Some Other Race. </w:t>
            </w:r>
          </w:p>
          <w:p w14:paraId="1A1B8C3C" w14:textId="77777777" w:rsidR="002A5E56" w:rsidRPr="005D4222" w:rsidRDefault="002A5E56" w:rsidP="002A5E56">
            <w:pPr>
              <w:pStyle w:val="Bullet"/>
              <w:numPr>
                <w:ilvl w:val="0"/>
                <w:numId w:val="4"/>
              </w:numPr>
              <w:ind w:left="576" w:hanging="216"/>
            </w:pPr>
            <w:r w:rsidRPr="005D4222">
              <w:t xml:space="preserve">Two or More Races. </w:t>
            </w:r>
          </w:p>
          <w:p w14:paraId="2DDF9E36" w14:textId="77777777" w:rsidR="002A5E56" w:rsidRPr="005D4222" w:rsidRDefault="002A5E56" w:rsidP="002A5E56">
            <w:pPr>
              <w:pStyle w:val="Bullet"/>
              <w:numPr>
                <w:ilvl w:val="0"/>
                <w:numId w:val="4"/>
              </w:numPr>
              <w:ind w:left="576" w:hanging="216"/>
            </w:pPr>
            <w:r w:rsidRPr="005D4222">
              <w:t xml:space="preserve">Asked But No Answer. </w:t>
            </w:r>
          </w:p>
          <w:p w14:paraId="76C541E0" w14:textId="77777777" w:rsidR="002A5E56" w:rsidRPr="005D4222" w:rsidRDefault="002A5E56" w:rsidP="002A5E56">
            <w:pPr>
              <w:pStyle w:val="Bullet"/>
              <w:numPr>
                <w:ilvl w:val="0"/>
                <w:numId w:val="4"/>
              </w:numPr>
              <w:ind w:left="576" w:hanging="216"/>
            </w:pPr>
            <w:r w:rsidRPr="005D4222">
              <w:t xml:space="preserve">Unknown. </w:t>
            </w:r>
          </w:p>
          <w:p w14:paraId="087D1A6D" w14:textId="512B52F5" w:rsidR="002A5E56" w:rsidRPr="005D4222" w:rsidRDefault="002A5E56">
            <w:pPr>
              <w:pStyle w:val="ECDSBody"/>
            </w:pPr>
            <w:r w:rsidRPr="005D4222">
              <w:t xml:space="preserve">Ethnicity. (Refer to </w:t>
            </w:r>
            <w:hyperlink w:anchor="GG_Race_and_Ethnicity" w:history="1">
              <w:r w:rsidRPr="005D4222">
                <w:rPr>
                  <w:rStyle w:val="Hyperlink"/>
                  <w:i/>
                  <w:iCs/>
                </w:rPr>
                <w:t>General Guideline: Race and Ethnicity Stratification</w:t>
              </w:r>
            </w:hyperlink>
            <w:r w:rsidRPr="005D4222">
              <w:rPr>
                <w:i/>
                <w:iCs/>
              </w:rPr>
              <w:t>.</w:t>
            </w:r>
            <w:r w:rsidRPr="005D4222">
              <w:t>)</w:t>
            </w:r>
          </w:p>
          <w:p w14:paraId="426B7860" w14:textId="77777777" w:rsidR="002A5E56" w:rsidRPr="005D4222" w:rsidRDefault="002A5E56" w:rsidP="002A5E56">
            <w:pPr>
              <w:pStyle w:val="Bullet"/>
              <w:numPr>
                <w:ilvl w:val="0"/>
                <w:numId w:val="4"/>
              </w:numPr>
              <w:ind w:left="576" w:hanging="216"/>
            </w:pPr>
            <w:r w:rsidRPr="005D4222">
              <w:t xml:space="preserve">Hispanic or Latino. </w:t>
            </w:r>
          </w:p>
          <w:p w14:paraId="2FF5DE3B" w14:textId="77777777" w:rsidR="002A5E56" w:rsidRPr="005D4222" w:rsidRDefault="002A5E56" w:rsidP="002A5E56">
            <w:pPr>
              <w:pStyle w:val="Bullet"/>
              <w:numPr>
                <w:ilvl w:val="0"/>
                <w:numId w:val="4"/>
              </w:numPr>
              <w:ind w:left="576" w:hanging="216"/>
            </w:pPr>
            <w:r w:rsidRPr="005D4222">
              <w:t xml:space="preserve">Not Hispanic or Latino. </w:t>
            </w:r>
          </w:p>
          <w:p w14:paraId="065B51BB" w14:textId="77777777" w:rsidR="002A5E56" w:rsidRPr="005D4222" w:rsidRDefault="002A5E56" w:rsidP="002A5E56">
            <w:pPr>
              <w:pStyle w:val="Bullet"/>
              <w:numPr>
                <w:ilvl w:val="0"/>
                <w:numId w:val="4"/>
              </w:numPr>
              <w:ind w:left="576" w:hanging="216"/>
            </w:pPr>
            <w:r w:rsidRPr="005D4222">
              <w:t xml:space="preserve">Asked But No Answer. </w:t>
            </w:r>
          </w:p>
          <w:p w14:paraId="785B33AB" w14:textId="77777777" w:rsidR="002A5E56" w:rsidRPr="005D4222" w:rsidRDefault="002A5E56" w:rsidP="002A5E56">
            <w:pPr>
              <w:pStyle w:val="Bullet"/>
              <w:numPr>
                <w:ilvl w:val="0"/>
                <w:numId w:val="4"/>
              </w:numPr>
              <w:ind w:left="576" w:hanging="216"/>
              <w:rPr>
                <w:rFonts w:eastAsia="Arial,Arial,Arial,Arial,Arial,A"/>
              </w:rPr>
            </w:pPr>
            <w:r w:rsidRPr="005D4222">
              <w:t xml:space="preserve">Unknown. </w:t>
            </w:r>
          </w:p>
        </w:tc>
      </w:tr>
      <w:tr w:rsidR="002A5E56" w:rsidRPr="005D4222" w14:paraId="6C4E3B9F" w14:textId="77777777" w:rsidTr="002A5E56">
        <w:tc>
          <w:tcPr>
            <w:tcW w:w="2157" w:type="dxa"/>
            <w:tcBorders>
              <w:top w:val="nil"/>
              <w:left w:val="single" w:sz="4" w:space="0" w:color="auto"/>
              <w:bottom w:val="nil"/>
              <w:right w:val="single" w:sz="4" w:space="0" w:color="auto"/>
            </w:tcBorders>
            <w:tcMar>
              <w:top w:w="0" w:type="dxa"/>
              <w:left w:w="86" w:type="dxa"/>
              <w:bottom w:w="43" w:type="dxa"/>
              <w:right w:w="86" w:type="dxa"/>
            </w:tcMar>
          </w:tcPr>
          <w:p w14:paraId="14C7710A" w14:textId="77777777" w:rsidR="002A5E56" w:rsidRPr="005D4222" w:rsidRDefault="002A5E56" w:rsidP="00B0287F">
            <w:pPr>
              <w:pStyle w:val="ECDSMarginSubhead"/>
              <w:spacing w:after="0"/>
            </w:pPr>
            <w:r w:rsidRPr="005D4222">
              <w:t>Risk adjustment</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42485769" w14:textId="77777777" w:rsidR="002A5E56" w:rsidRPr="005D4222" w:rsidRDefault="002A5E56">
            <w:pPr>
              <w:pStyle w:val="ECDSBody"/>
              <w:spacing w:after="0"/>
            </w:pPr>
            <w:r w:rsidRPr="005D4222">
              <w:t>None.</w:t>
            </w:r>
          </w:p>
        </w:tc>
      </w:tr>
      <w:tr w:rsidR="002A5E56" w:rsidRPr="005D4222" w14:paraId="0E018D51" w14:textId="77777777" w:rsidTr="002A5E56">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105232DC" w14:textId="77777777" w:rsidR="002A5E56" w:rsidRPr="005D4222" w:rsidRDefault="002A5E56" w:rsidP="002A5E56">
            <w:pPr>
              <w:pStyle w:val="ECDSMarginSubhead"/>
            </w:pPr>
            <w:r w:rsidRPr="005D4222">
              <w:t>Improvement notation</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hideMark/>
          </w:tcPr>
          <w:p w14:paraId="3C75CB35" w14:textId="77777777" w:rsidR="002A5E56" w:rsidRPr="005D4222" w:rsidRDefault="002A5E56">
            <w:pPr>
              <w:pStyle w:val="ECDSBody"/>
              <w:spacing w:after="0"/>
            </w:pPr>
            <w:r w:rsidRPr="005D4222">
              <w:t xml:space="preserve">Increased score indicates improvement. </w:t>
            </w:r>
          </w:p>
        </w:tc>
      </w:tr>
    </w:tbl>
    <w:p w14:paraId="5DC6DAC0" w14:textId="77777777" w:rsidR="002A5E56" w:rsidRPr="005D4222" w:rsidRDefault="002A5E56"/>
    <w:tbl>
      <w:tblPr>
        <w:tblW w:w="9714" w:type="dxa"/>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3" w:type="dxa"/>
          <w:right w:w="86" w:type="dxa"/>
        </w:tblCellMar>
        <w:tblLook w:val="04A0" w:firstRow="1" w:lastRow="0" w:firstColumn="1" w:lastColumn="0" w:noHBand="0" w:noVBand="1"/>
      </w:tblPr>
      <w:tblGrid>
        <w:gridCol w:w="2157"/>
        <w:gridCol w:w="7557"/>
      </w:tblGrid>
      <w:tr w:rsidR="002A5E56" w:rsidRPr="005D4222" w14:paraId="5A29E13B" w14:textId="77777777" w:rsidTr="002A5E56">
        <w:trPr>
          <w:trHeight w:val="2482"/>
        </w:trPr>
        <w:tc>
          <w:tcPr>
            <w:tcW w:w="2157" w:type="dxa"/>
            <w:tcBorders>
              <w:top w:val="single" w:sz="4" w:space="0" w:color="auto"/>
              <w:left w:val="single" w:sz="4" w:space="0" w:color="auto"/>
              <w:right w:val="single" w:sz="4" w:space="0" w:color="auto"/>
            </w:tcBorders>
            <w:tcMar>
              <w:top w:w="0" w:type="dxa"/>
              <w:left w:w="86" w:type="dxa"/>
              <w:bottom w:w="43" w:type="dxa"/>
              <w:right w:w="86" w:type="dxa"/>
            </w:tcMar>
          </w:tcPr>
          <w:p w14:paraId="6C9726D4" w14:textId="77777777" w:rsidR="002A5E56" w:rsidRPr="005D4222" w:rsidRDefault="002A5E56" w:rsidP="002A5E56">
            <w:pPr>
              <w:pStyle w:val="ECDSMarginSubhead"/>
            </w:pPr>
            <w:r w:rsidRPr="005D4222">
              <w:lastRenderedPageBreak/>
              <w:t>Guidance</w:t>
            </w: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tcPr>
          <w:p w14:paraId="7DB97B03" w14:textId="6F943731" w:rsidR="002A5E56" w:rsidRPr="005D4222" w:rsidRDefault="002A5E56">
            <w:pPr>
              <w:pStyle w:val="ECDSBody"/>
              <w:rPr>
                <w:szCs w:val="21"/>
              </w:rPr>
            </w:pPr>
            <w:r w:rsidRPr="005D4222">
              <w:rPr>
                <w:b/>
                <w:szCs w:val="21"/>
              </w:rPr>
              <w:t>Data collection methodology:</w:t>
            </w:r>
            <w:r w:rsidRPr="005D4222">
              <w:rPr>
                <w:szCs w:val="21"/>
              </w:rPr>
              <w:t xml:space="preserve"> Administrative. Refer to </w:t>
            </w:r>
            <w:hyperlink w:anchor="General_Guideline_Data_Collection_Method" w:history="1">
              <w:r w:rsidRPr="005D4222">
                <w:rPr>
                  <w:rStyle w:val="Hyperlink"/>
                  <w:i/>
                  <w:szCs w:val="21"/>
                </w:rPr>
                <w:t>General Guideline: Data Collection Methods</w:t>
              </w:r>
            </w:hyperlink>
            <w:r w:rsidRPr="005D4222">
              <w:rPr>
                <w:szCs w:val="21"/>
              </w:rPr>
              <w:t xml:space="preserve"> for additional information. </w:t>
            </w:r>
          </w:p>
          <w:p w14:paraId="7A108374" w14:textId="77777777" w:rsidR="002A5E56" w:rsidRPr="005D4222" w:rsidRDefault="002A5E56">
            <w:pPr>
              <w:pStyle w:val="ECDSBody"/>
            </w:pPr>
            <w:r w:rsidRPr="005D4222">
              <w:rPr>
                <w:b/>
              </w:rPr>
              <w:t xml:space="preserve">Date specificity: </w:t>
            </w:r>
            <w:r w:rsidRPr="005D4222">
              <w:t>Dates must be specific enough to determine the event occurred in the period being measured.</w:t>
            </w:r>
          </w:p>
          <w:p w14:paraId="668FE662" w14:textId="77777777" w:rsidR="002A5E56" w:rsidRPr="005D4222" w:rsidRDefault="002A5E56">
            <w:pPr>
              <w:pStyle w:val="ECDSBody"/>
            </w:pPr>
            <w:r w:rsidRPr="005D4222">
              <w:rPr>
                <w:b/>
              </w:rPr>
              <w:t xml:space="preserve">Which services count? </w:t>
            </w:r>
            <w:r w:rsidRPr="005D4222">
              <w:t>When using claims, include all paid, suspended, pending and denied claims.</w:t>
            </w:r>
          </w:p>
          <w:p w14:paraId="4FB126CA" w14:textId="39863783" w:rsidR="002A5E56" w:rsidRPr="005D4222" w:rsidRDefault="002A5E56">
            <w:pPr>
              <w:pStyle w:val="ECDSBody"/>
            </w:pPr>
            <w:r w:rsidRPr="005D4222">
              <w:rPr>
                <w:b/>
              </w:rPr>
              <w:t xml:space="preserve">Other guidance: </w:t>
            </w:r>
            <w:r w:rsidRPr="005D4222">
              <w:t>The measure is based on episodes; therefore</w:t>
            </w:r>
            <w:r w:rsidRPr="005D4222" w:rsidDel="00454FE6">
              <w:t>, i</w:t>
            </w:r>
            <w:r w:rsidRPr="005D4222">
              <w:t>t is possible for the denominator to include multiple events for the same person.</w:t>
            </w:r>
          </w:p>
        </w:tc>
      </w:tr>
      <w:tr w:rsidR="002A5E56" w:rsidRPr="005D4222" w14:paraId="1D3263C2" w14:textId="77777777" w:rsidTr="002A5E56">
        <w:tc>
          <w:tcPr>
            <w:tcW w:w="2157" w:type="dxa"/>
            <w:shd w:val="clear" w:color="auto" w:fill="BFBFBF" w:themeFill="background1" w:themeFillShade="BF"/>
            <w:tcMar>
              <w:top w:w="0" w:type="dxa"/>
              <w:left w:w="86" w:type="dxa"/>
              <w:bottom w:w="43" w:type="dxa"/>
              <w:right w:w="86" w:type="dxa"/>
            </w:tcMar>
          </w:tcPr>
          <w:p w14:paraId="16369DD2" w14:textId="77777777" w:rsidR="002A5E56" w:rsidRPr="005D4222" w:rsidRDefault="002A5E56">
            <w:pPr>
              <w:pStyle w:val="ECDSMarginHead"/>
            </w:pPr>
            <w:r w:rsidRPr="005D4222">
              <w:t>Initial population</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85149F8" w14:textId="77777777" w:rsidR="002A5E56" w:rsidRPr="005D4222" w:rsidRDefault="002A5E56">
            <w:pPr>
              <w:pStyle w:val="ECDSBody"/>
            </w:pPr>
            <w:r w:rsidRPr="005D4222">
              <w:rPr>
                <w:i/>
                <w:iCs/>
              </w:rPr>
              <w:t>Measure item count:</w:t>
            </w:r>
            <w:r w:rsidRPr="005D4222">
              <w:t xml:space="preserve"> Episode. </w:t>
            </w:r>
          </w:p>
          <w:p w14:paraId="718F9046" w14:textId="77777777" w:rsidR="002A5E56" w:rsidRPr="005D4222" w:rsidRDefault="002A5E56">
            <w:pPr>
              <w:pStyle w:val="ECDSBody"/>
            </w:pPr>
            <w:r w:rsidRPr="005D4222">
              <w:rPr>
                <w:i/>
                <w:iCs/>
              </w:rPr>
              <w:t>Attribution basis:</w:t>
            </w:r>
            <w:r w:rsidRPr="005D4222">
              <w:t xml:space="preserve"> Enrollment.</w:t>
            </w:r>
          </w:p>
          <w:p w14:paraId="2B9EBDD3" w14:textId="77777777" w:rsidR="002A5E56" w:rsidRPr="005D4222" w:rsidRDefault="002A5E56" w:rsidP="002A5E56">
            <w:pPr>
              <w:pStyle w:val="Bullet"/>
              <w:numPr>
                <w:ilvl w:val="0"/>
                <w:numId w:val="4"/>
              </w:numPr>
              <w:ind w:left="576" w:hanging="216"/>
            </w:pPr>
            <w:r w:rsidRPr="005D4222">
              <w:rPr>
                <w:i/>
              </w:rPr>
              <w:t>Benefits:</w:t>
            </w:r>
            <w:r w:rsidRPr="005D4222">
              <w:t xml:space="preserve"> Medical and mental health.</w:t>
            </w:r>
          </w:p>
          <w:p w14:paraId="03E50CD1" w14:textId="77777777" w:rsidR="002A5E56" w:rsidRPr="005D4222" w:rsidRDefault="002A5E56" w:rsidP="002A5E56">
            <w:pPr>
              <w:pStyle w:val="Bullet"/>
              <w:numPr>
                <w:ilvl w:val="0"/>
                <w:numId w:val="4"/>
              </w:numPr>
              <w:ind w:left="576" w:hanging="216"/>
            </w:pPr>
            <w:r w:rsidRPr="005D4222">
              <w:rPr>
                <w:i/>
              </w:rPr>
              <w:t>Continuous enrollment:</w:t>
            </w:r>
            <w:r w:rsidRPr="005D4222">
              <w:t xml:space="preserve"> Date of the ED visit through 30 days after the ED visit (31 total days).</w:t>
            </w:r>
          </w:p>
          <w:p w14:paraId="05295425" w14:textId="049CBC8D" w:rsidR="002A5E56" w:rsidRPr="005D4222" w:rsidRDefault="002A5E56" w:rsidP="002A5E56">
            <w:pPr>
              <w:pStyle w:val="Bullet"/>
              <w:numPr>
                <w:ilvl w:val="0"/>
                <w:numId w:val="4"/>
              </w:numPr>
              <w:ind w:left="576" w:hanging="216"/>
            </w:pPr>
            <w:r w:rsidRPr="005D4222">
              <w:rPr>
                <w:i/>
              </w:rPr>
              <w:t>Allowable gap:</w:t>
            </w:r>
            <w:r w:rsidRPr="005D4222">
              <w:t xml:space="preserve"> None</w:t>
            </w:r>
            <w:r w:rsidR="002F4F04" w:rsidRPr="005D4222">
              <w:t>.</w:t>
            </w:r>
          </w:p>
          <w:p w14:paraId="1D8DB4FC" w14:textId="6E72B967" w:rsidR="002A5E56" w:rsidRPr="005D4222" w:rsidRDefault="002A5E56">
            <w:pPr>
              <w:pStyle w:val="ECDSBody"/>
            </w:pPr>
            <w:r w:rsidRPr="005D4222">
              <w:rPr>
                <w:i/>
              </w:rPr>
              <w:t xml:space="preserve">Ages: </w:t>
            </w:r>
            <w:r w:rsidRPr="005D4222">
              <w:t xml:space="preserve">6 years of age </w:t>
            </w:r>
            <w:r w:rsidR="00962477" w:rsidRPr="005D4222">
              <w:t>and</w:t>
            </w:r>
            <w:r w:rsidRPr="005D4222">
              <w:t xml:space="preserve"> older as of the ED visit.</w:t>
            </w:r>
          </w:p>
          <w:p w14:paraId="37831D02" w14:textId="77777777" w:rsidR="00B0287F" w:rsidRPr="005D4222" w:rsidRDefault="002A5E56">
            <w:pPr>
              <w:pStyle w:val="ECDSBody"/>
              <w:rPr>
                <w:b/>
                <w:bCs w:val="0"/>
                <w:iCs/>
              </w:rPr>
            </w:pPr>
            <w:r w:rsidRPr="005D4222">
              <w:rPr>
                <w:i/>
              </w:rPr>
              <w:t>Event:</w:t>
            </w:r>
            <w:r w:rsidRPr="005D4222">
              <w:t xml:space="preserve"> </w:t>
            </w:r>
            <w:r w:rsidRPr="005D4222">
              <w:rPr>
                <w:b/>
                <w:bCs w:val="0"/>
                <w:iCs/>
              </w:rPr>
              <w:t>Emergency department visit for mental illness.</w:t>
            </w:r>
          </w:p>
          <w:p w14:paraId="6064DB19" w14:textId="6DF6FE35" w:rsidR="002A5E56" w:rsidRPr="005D4222" w:rsidRDefault="002A5E56">
            <w:pPr>
              <w:pStyle w:val="ECDSBody"/>
              <w:rPr>
                <w:i/>
              </w:rPr>
            </w:pPr>
            <w:r w:rsidRPr="005D4222">
              <w:t>An ED visit (</w:t>
            </w:r>
            <w:r w:rsidRPr="005D4222">
              <w:rPr>
                <w:u w:val="single"/>
              </w:rPr>
              <w:t>ED Value Set</w:t>
            </w:r>
            <w:r w:rsidRPr="005D4222">
              <w:t>) with a principal diagnosis of mental illness (</w:t>
            </w:r>
            <w:r w:rsidRPr="005D4222">
              <w:rPr>
                <w:u w:val="single"/>
              </w:rPr>
              <w:t>Mental Illness Value Set</w:t>
            </w:r>
            <w:r w:rsidRPr="005D4222">
              <w:t xml:space="preserve">), or any diagnosis of intentional self-harm </w:t>
            </w:r>
            <w:r w:rsidRPr="005D4222">
              <w:rPr>
                <w:u w:val="single"/>
              </w:rPr>
              <w:t>(Intentional Self Harm Value Set</w:t>
            </w:r>
            <w:r w:rsidRPr="005D4222">
              <w:t xml:space="preserve">), </w:t>
            </w:r>
            <w:r w:rsidRPr="005D4222">
              <w:rPr>
                <w:bCs w:val="0"/>
              </w:rPr>
              <w:t>on or between January 1 and December 1 of the measurement period.</w:t>
            </w:r>
            <w:r w:rsidRPr="005D4222">
              <w:rPr>
                <w:i/>
              </w:rPr>
              <w:t xml:space="preserve"> </w:t>
            </w:r>
          </w:p>
          <w:p w14:paraId="183626BA" w14:textId="77777777" w:rsidR="002A5E56" w:rsidRPr="005D4222" w:rsidRDefault="002A5E56">
            <w:pPr>
              <w:pStyle w:val="ECDSBody"/>
              <w:rPr>
                <w:iCs/>
              </w:rPr>
            </w:pPr>
            <w:r w:rsidRPr="005D4222">
              <w:rPr>
                <w:iCs/>
              </w:rPr>
              <w:t>If a person has more than one ED visit, identify all eligible ED visits between January 1 and December 1 of the measurement period and do not include more than one visit per 31-day period as described below.</w:t>
            </w:r>
          </w:p>
          <w:p w14:paraId="70785C79" w14:textId="77777777" w:rsidR="002A5E56" w:rsidRPr="005D4222" w:rsidRDefault="002A5E56">
            <w:pPr>
              <w:pStyle w:val="ECDSBody"/>
            </w:pPr>
            <w:r w:rsidRPr="005D4222">
              <w:rPr>
                <w:b/>
                <w:i/>
                <w:iCs/>
              </w:rPr>
              <w:t>Multiple visits in a 31-day period.</w:t>
            </w:r>
            <w:r w:rsidRPr="005D4222">
              <w:rPr>
                <w:b/>
              </w:rPr>
              <w:br/>
            </w:r>
            <w:r w:rsidRPr="005D4222">
              <w:t>If a person has more than one ED visit in a 31-day period, include only the first eligible ED visit.</w:t>
            </w:r>
          </w:p>
          <w:p w14:paraId="548082EB" w14:textId="77777777" w:rsidR="002A5E56" w:rsidRPr="005D4222" w:rsidRDefault="002A5E56" w:rsidP="002A5E56">
            <w:pPr>
              <w:pStyle w:val="Bullet"/>
              <w:numPr>
                <w:ilvl w:val="0"/>
                <w:numId w:val="4"/>
              </w:numPr>
              <w:ind w:left="576" w:hanging="216"/>
            </w:pPr>
            <w:r w:rsidRPr="005D4222">
              <w:rPr>
                <w:i/>
              </w:rPr>
              <w:t xml:space="preserve">For example, </w:t>
            </w:r>
            <w:r w:rsidRPr="005D4222">
              <w:t xml:space="preserve">if </w:t>
            </w:r>
            <w:r w:rsidRPr="005D4222" w:rsidDel="005C59C6">
              <w:t>a person has</w:t>
            </w:r>
            <w:r w:rsidRPr="005D4222">
              <w:t xml:space="preserve"> an ED visit on January 1,</w:t>
            </w:r>
            <w:r w:rsidRPr="005D4222" w:rsidDel="003231FA">
              <w:t xml:space="preserve"> </w:t>
            </w:r>
            <w:r w:rsidRPr="005D4222">
              <w:t>include the</w:t>
            </w:r>
            <w:r w:rsidRPr="005D4222" w:rsidDel="00B8544E">
              <w:t xml:space="preserve"> January 1 </w:t>
            </w:r>
            <w:r w:rsidRPr="005D4222">
              <w:t xml:space="preserve">visit and do not include ED visits that occur on or between January 2 and January 31; then, if applicable, include the next ED visit that occurs on or after February 1. Identify visits chronologically, including only one per 31-day period. </w:t>
            </w:r>
          </w:p>
          <w:p w14:paraId="612B600A" w14:textId="77777777" w:rsidR="002A5E56" w:rsidRPr="005D4222" w:rsidRDefault="002A5E56">
            <w:pPr>
              <w:pStyle w:val="Note"/>
              <w:spacing w:after="80"/>
            </w:pPr>
            <w:r w:rsidRPr="005D4222">
              <w:rPr>
                <w:b/>
              </w:rPr>
              <w:t>Note:</w:t>
            </w:r>
            <w:r w:rsidRPr="005D4222">
              <w:t xml:space="preserve"> Removal of multiple visits in a 31-day period is based on </w:t>
            </w:r>
            <w:r w:rsidRPr="005D4222">
              <w:rPr>
                <w:b/>
              </w:rPr>
              <w:t>eligible</w:t>
            </w:r>
            <w:r w:rsidRPr="005D4222">
              <w:t xml:space="preserve"> visits. Assess each ED visit for exclusions before removing multiple visits in a 31-day period.</w:t>
            </w:r>
          </w:p>
          <w:p w14:paraId="58104456" w14:textId="77777777" w:rsidR="002A5E56" w:rsidRPr="005D4222" w:rsidRDefault="002A5E56">
            <w:pPr>
              <w:pStyle w:val="ECDSBody"/>
              <w:rPr>
                <w:b/>
                <w:i/>
              </w:rPr>
            </w:pPr>
            <w:r w:rsidRPr="005D4222">
              <w:rPr>
                <w:b/>
                <w:i/>
              </w:rPr>
              <w:t>ED visits followed by inpatient admission.</w:t>
            </w:r>
          </w:p>
          <w:p w14:paraId="031A75E1" w14:textId="77777777" w:rsidR="002A5E56" w:rsidRPr="005D4222" w:rsidRDefault="002A5E56">
            <w:pPr>
              <w:pStyle w:val="ProcessBullet"/>
              <w:numPr>
                <w:ilvl w:val="0"/>
                <w:numId w:val="0"/>
              </w:numPr>
            </w:pPr>
            <w:r w:rsidRPr="005D4222" w:rsidDel="00E71639">
              <w:t xml:space="preserve">Exclude </w:t>
            </w:r>
            <w:r w:rsidRPr="005D4222">
              <w:t xml:space="preserve">ED visits that result in an inpatient stay. Exclude ED visits followed by admission to an acute or nonacute inpatient care setting on the date of the ED visit or within the 30 days after the ED visit (31 total days), regardless of the principal diagnosis for the admission. To identify admissions to an acute or nonacute inpatient care setting: </w:t>
            </w:r>
          </w:p>
          <w:p w14:paraId="116CFCFE" w14:textId="027D4A2F" w:rsidR="002A5E56" w:rsidRPr="005D4222" w:rsidRDefault="00B0287F" w:rsidP="002A5E56">
            <w:pPr>
              <w:pStyle w:val="Body"/>
              <w:spacing w:before="80" w:after="80"/>
              <w:ind w:left="504" w:hanging="288"/>
              <w:rPr>
                <w:rFonts w:eastAsia="Arial"/>
                <w:b/>
                <w:i/>
              </w:rPr>
            </w:pPr>
            <w:r w:rsidRPr="005D4222">
              <w:t>1.</w:t>
            </w:r>
            <w:r w:rsidRPr="005D4222">
              <w:tab/>
            </w:r>
            <w:r w:rsidR="002A5E56" w:rsidRPr="005D4222">
              <w:t>Identify all acute and nonacute inpatient stays except for residential psychiatric treatment (</w:t>
            </w:r>
            <w:r w:rsidR="002A5E56" w:rsidRPr="005D4222">
              <w:rPr>
                <w:u w:val="single"/>
              </w:rPr>
              <w:t>Inpatient Stay Except Psychiatric Residential Value Set</w:t>
            </w:r>
            <w:r w:rsidR="002A5E56" w:rsidRPr="005D4222">
              <w:t>).</w:t>
            </w:r>
          </w:p>
        </w:tc>
      </w:tr>
      <w:tr w:rsidR="002A5E56" w:rsidRPr="005D4222" w14:paraId="2F5362CA" w14:textId="77777777" w:rsidTr="002A5E56">
        <w:tc>
          <w:tcPr>
            <w:tcW w:w="2157" w:type="dxa"/>
            <w:shd w:val="clear" w:color="auto" w:fill="BFBFBF" w:themeFill="background1" w:themeFillShade="BF"/>
            <w:tcMar>
              <w:top w:w="0" w:type="dxa"/>
              <w:left w:w="86" w:type="dxa"/>
              <w:bottom w:w="43" w:type="dxa"/>
              <w:right w:w="86" w:type="dxa"/>
            </w:tcMar>
          </w:tcPr>
          <w:p w14:paraId="0F16203A" w14:textId="77777777" w:rsidR="002A5E56" w:rsidRPr="005D4222" w:rsidRDefault="002A5E56">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8CF50E2" w14:textId="77777777" w:rsidR="00B0287F" w:rsidRPr="005D4222" w:rsidRDefault="00B0287F" w:rsidP="00B0287F">
            <w:pPr>
              <w:pStyle w:val="Body"/>
              <w:spacing w:before="80" w:after="80"/>
              <w:ind w:left="504" w:hanging="288"/>
            </w:pPr>
            <w:r w:rsidRPr="005D4222">
              <w:t>2.</w:t>
            </w:r>
            <w:r w:rsidRPr="005D4222">
              <w:tab/>
              <w:t xml:space="preserve">Identify the admission date for the stay. </w:t>
            </w:r>
          </w:p>
          <w:p w14:paraId="5EDF15C7" w14:textId="408E90B1" w:rsidR="002A5E56" w:rsidRPr="005D4222" w:rsidRDefault="002A5E56">
            <w:pPr>
              <w:pStyle w:val="ECDSBody"/>
              <w:rPr>
                <w:i/>
                <w:iCs/>
              </w:rPr>
            </w:pPr>
            <w:r w:rsidRPr="005D4222">
              <w:t xml:space="preserve">These events are </w:t>
            </w:r>
            <w:r w:rsidRPr="005D4222" w:rsidDel="00E71639">
              <w:t xml:space="preserve">excluded </w:t>
            </w:r>
            <w:r w:rsidRPr="005D4222">
              <w:t>from the measure because admission to an acute or nonacute inpatient setting may prevent an outpatient follow-up visit from taking place.</w:t>
            </w:r>
          </w:p>
        </w:tc>
      </w:tr>
      <w:tr w:rsidR="002A5E56" w:rsidRPr="005D4222" w14:paraId="4EA891C6" w14:textId="77777777" w:rsidTr="002A5E56">
        <w:tc>
          <w:tcPr>
            <w:tcW w:w="2157" w:type="dxa"/>
            <w:shd w:val="clear" w:color="auto" w:fill="BFBFBF" w:themeFill="background1" w:themeFillShade="BF"/>
            <w:tcMar>
              <w:top w:w="0" w:type="dxa"/>
              <w:left w:w="86" w:type="dxa"/>
              <w:bottom w:w="43" w:type="dxa"/>
              <w:right w:w="86" w:type="dxa"/>
            </w:tcMar>
          </w:tcPr>
          <w:p w14:paraId="2AE65B6F" w14:textId="77777777" w:rsidR="002A5E56" w:rsidRPr="005D4222" w:rsidRDefault="002A5E56">
            <w:pPr>
              <w:pStyle w:val="ECDSMarginHead"/>
            </w:pPr>
            <w:r w:rsidRPr="005D4222">
              <w:t xml:space="preserve">Denominator exclusions </w:t>
            </w:r>
          </w:p>
        </w:tc>
        <w:tc>
          <w:tcPr>
            <w:tcW w:w="7557" w:type="dxa"/>
            <w:tcMar>
              <w:top w:w="0" w:type="dxa"/>
              <w:left w:w="86" w:type="dxa"/>
              <w:bottom w:w="43" w:type="dxa"/>
              <w:right w:w="86" w:type="dxa"/>
            </w:tcMar>
          </w:tcPr>
          <w:p w14:paraId="624E707D" w14:textId="77777777" w:rsidR="002A5E56" w:rsidRPr="005D4222" w:rsidRDefault="002A5E56">
            <w:pPr>
              <w:pStyle w:val="ECDSBody"/>
              <w:rPr>
                <w:rFonts w:eastAsia="Arial,Arial,Arial,Arial,Arial,A"/>
              </w:rPr>
            </w:pPr>
            <w:r w:rsidRPr="005D4222">
              <w:rPr>
                <w:rFonts w:eastAsia="Arial,Arial,Arial,Arial,Arial,A"/>
                <w:b/>
              </w:rPr>
              <w:t>Persons with a date of death.</w:t>
            </w:r>
            <w:r w:rsidRPr="005D4222">
              <w:rPr>
                <w:rFonts w:eastAsia="Arial,Arial,Arial,Arial,Arial,A"/>
                <w:b/>
              </w:rPr>
              <w:br/>
            </w:r>
            <w:r w:rsidRPr="005D4222">
              <w:rPr>
                <w:rFonts w:eastAsia="Arial,Arial,Arial,Arial,Arial,A"/>
              </w:rPr>
              <w:t>Death in the measurement period, identified using data sources determined by the organization. Method and data sources are subject to review during the HEDIS audit. </w:t>
            </w:r>
          </w:p>
          <w:p w14:paraId="763E49F7" w14:textId="77777777" w:rsidR="002A5E56" w:rsidRPr="005D4222" w:rsidRDefault="002A5E56">
            <w:pPr>
              <w:pStyle w:val="ECDSBody"/>
            </w:pPr>
            <w:r w:rsidRPr="005D4222" w:rsidDel="002D4AA7">
              <w:rPr>
                <w:rFonts w:eastAsia="Arial,Arial,Arial,Arial,Arial,A"/>
                <w:b/>
              </w:rPr>
              <w:t xml:space="preserve">Persons </w:t>
            </w:r>
            <w:r w:rsidRPr="005D4222">
              <w:rPr>
                <w:rFonts w:eastAsia="Arial,Arial,Arial,Arial,Arial,A"/>
                <w:b/>
              </w:rPr>
              <w:t>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2A5E56" w:rsidRPr="005D4222" w14:paraId="0EE30217" w14:textId="77777777" w:rsidTr="002A5E56">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3ED3B50" w14:textId="77777777" w:rsidR="002A5E56" w:rsidRPr="005D4222" w:rsidRDefault="002A5E56">
            <w:pPr>
              <w:pStyle w:val="ECDSMarginHead"/>
            </w:pPr>
            <w:r w:rsidRPr="005D4222">
              <w:t>Denominator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F09327F" w14:textId="77777777" w:rsidR="002A5E56" w:rsidRPr="005D4222" w:rsidRDefault="002A5E56">
            <w:pPr>
              <w:pStyle w:val="ECDSBody"/>
            </w:pPr>
            <w:r w:rsidRPr="005D4222">
              <w:rPr>
                <w:shd w:val="clear" w:color="auto" w:fill="FFFFFF"/>
              </w:rPr>
              <w:t>The initial population minus denominator exclusions</w:t>
            </w:r>
            <w:r w:rsidRPr="005D4222">
              <w:rPr>
                <w:rStyle w:val="eop"/>
                <w:rFonts w:eastAsiaTheme="majorEastAsia"/>
                <w:color w:val="000000"/>
              </w:rPr>
              <w:t>.</w:t>
            </w:r>
          </w:p>
        </w:tc>
      </w:tr>
      <w:tr w:rsidR="002A5E56" w:rsidRPr="005D4222" w14:paraId="674AD5CA" w14:textId="77777777" w:rsidTr="002A5E56">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5D3D890" w14:textId="77777777" w:rsidR="002A5E56" w:rsidRPr="005D4222" w:rsidRDefault="002A5E56">
            <w:pPr>
              <w:pStyle w:val="ECDSMarginHead"/>
            </w:pPr>
            <w:r w:rsidRPr="005D4222">
              <w:t>Numerator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B27EC99" w14:textId="77777777" w:rsidR="002A5E56" w:rsidRPr="005D4222" w:rsidRDefault="002A5E56">
            <w:pPr>
              <w:pStyle w:val="ECDSBody"/>
            </w:pPr>
            <w:r w:rsidRPr="005D4222">
              <w:rPr>
                <w:b/>
                <w:bCs w:val="0"/>
              </w:rPr>
              <w:t>Numerator 1: 30-day follow-up.</w:t>
            </w:r>
            <w:r w:rsidRPr="005D4222">
              <w:rPr>
                <w:b/>
                <w:bCs w:val="0"/>
              </w:rPr>
              <w:br/>
            </w:r>
            <w:r w:rsidRPr="005D4222" w:rsidDel="00246B40">
              <w:t>Follow-up</w:t>
            </w:r>
            <w:r w:rsidRPr="005D4222">
              <w:t xml:space="preserve"> visit for any diagnosis of a mental health disorder within 30 days after the ED visit (31 total days). Include visits that occur on the date of the ED visit.</w:t>
            </w:r>
          </w:p>
          <w:p w14:paraId="65AC6CB7" w14:textId="77777777" w:rsidR="002A5E56" w:rsidRPr="005D4222" w:rsidRDefault="002A5E56">
            <w:pPr>
              <w:pStyle w:val="ECDSBody"/>
            </w:pPr>
            <w:r w:rsidRPr="005D4222">
              <w:rPr>
                <w:b/>
                <w:bCs w:val="0"/>
              </w:rPr>
              <w:t>Numerator 2: 7-day follow-up.</w:t>
            </w:r>
            <w:r w:rsidRPr="005D4222">
              <w:rPr>
                <w:b/>
                <w:bCs w:val="0"/>
              </w:rPr>
              <w:br/>
            </w:r>
            <w:r w:rsidRPr="005D4222">
              <w:t>Follow-up visit for any diagnosis of a mental health disorder within 7 days after the ED visit (8 total days). Include visits that occur on the date of the ED visit.</w:t>
            </w:r>
          </w:p>
          <w:p w14:paraId="22D39F18" w14:textId="77777777" w:rsidR="002A5E56" w:rsidRPr="005D4222" w:rsidRDefault="002A5E56">
            <w:pPr>
              <w:pStyle w:val="ECDSBody"/>
            </w:pPr>
            <w:r w:rsidRPr="005D4222">
              <w:t>For both indicators, any of the following meet criteria for a follow-up visit:</w:t>
            </w:r>
          </w:p>
          <w:p w14:paraId="2B8B23CD" w14:textId="77777777" w:rsidR="002A5E56" w:rsidRPr="005D4222" w:rsidRDefault="002A5E56" w:rsidP="002A5E56">
            <w:pPr>
              <w:pStyle w:val="Bullet"/>
              <w:numPr>
                <w:ilvl w:val="0"/>
                <w:numId w:val="42"/>
              </w:numPr>
              <w:ind w:left="576" w:hanging="216"/>
            </w:pPr>
            <w:r w:rsidRPr="005D4222">
              <w:t>An outpatient visit (</w:t>
            </w:r>
            <w:r w:rsidRPr="005D4222">
              <w:rPr>
                <w:u w:val="single"/>
              </w:rPr>
              <w:t>Visit Setting Unspecified Value Set</w:t>
            </w:r>
            <w:r w:rsidRPr="005D4222">
              <w:t xml:space="preserve"> </w:t>
            </w:r>
            <w:r w:rsidRPr="005D4222">
              <w:rPr>
                <w:b/>
                <w:i/>
              </w:rPr>
              <w:t>with</w:t>
            </w:r>
            <w:r w:rsidRPr="005D4222">
              <w:t xml:space="preserve"> </w:t>
            </w:r>
            <w:r w:rsidRPr="005D4222">
              <w:rPr>
                <w:u w:val="single"/>
              </w:rPr>
              <w:t>Outpatient POS Value Set</w:t>
            </w:r>
            <w:r w:rsidRPr="005D4222">
              <w:t>)</w:t>
            </w:r>
            <w:r w:rsidRPr="005D4222">
              <w:rPr>
                <w:b/>
                <w:i/>
              </w:rPr>
              <w:t xml:space="preserve"> with</w:t>
            </w:r>
            <w:r w:rsidRPr="005D4222">
              <w:t xml:space="preserve"> any diagnosis of a mental health disorder (</w:t>
            </w:r>
            <w:r w:rsidRPr="005D4222">
              <w:rPr>
                <w:u w:val="single"/>
              </w:rPr>
              <w:t>Mental Health Diagnosis Value Set</w:t>
            </w:r>
            <w:r w:rsidRPr="005D4222">
              <w:t>).</w:t>
            </w:r>
          </w:p>
          <w:p w14:paraId="13E93F46" w14:textId="77777777" w:rsidR="002A5E56" w:rsidRPr="005D4222" w:rsidRDefault="002A5E56" w:rsidP="002A5E56">
            <w:pPr>
              <w:pStyle w:val="Bullet"/>
              <w:numPr>
                <w:ilvl w:val="0"/>
                <w:numId w:val="4"/>
              </w:numPr>
              <w:ind w:left="576" w:hanging="216"/>
            </w:pPr>
            <w:r w:rsidRPr="005D4222">
              <w:t>An outpatient visit (</w:t>
            </w:r>
            <w:r w:rsidRPr="005D4222">
              <w:rPr>
                <w:u w:val="single"/>
              </w:rPr>
              <w:t>BH Outpatient Value Set</w:t>
            </w:r>
            <w:r w:rsidRPr="005D4222">
              <w:t xml:space="preserve">) </w:t>
            </w:r>
            <w:r w:rsidRPr="005D4222">
              <w:rPr>
                <w:b/>
                <w:i/>
              </w:rPr>
              <w:t>with</w:t>
            </w:r>
            <w:r w:rsidRPr="005D4222">
              <w:t xml:space="preserve"> any diagnosis of a mental health disorder (</w:t>
            </w:r>
            <w:r w:rsidRPr="005D4222">
              <w:rPr>
                <w:u w:val="single"/>
              </w:rPr>
              <w:t>Mental Health Diagnosis Value Set</w:t>
            </w:r>
            <w:r w:rsidRPr="005D4222">
              <w:t>).</w:t>
            </w:r>
          </w:p>
          <w:p w14:paraId="762D2510" w14:textId="77777777" w:rsidR="002A5E56" w:rsidRPr="005D4222" w:rsidRDefault="002A5E56" w:rsidP="002A5E56">
            <w:pPr>
              <w:pStyle w:val="Bullet"/>
              <w:numPr>
                <w:ilvl w:val="0"/>
                <w:numId w:val="4"/>
              </w:numPr>
              <w:ind w:left="576" w:hanging="216"/>
            </w:pPr>
            <w:r w:rsidRPr="005D4222">
              <w:t>An intensive outpatient encounter or partial hospitalization (</w:t>
            </w:r>
            <w:r w:rsidRPr="005D4222">
              <w:rPr>
                <w:u w:val="single"/>
              </w:rPr>
              <w:t>Visit Setting Unspecified Value Set</w:t>
            </w:r>
            <w:r w:rsidRPr="005D4222">
              <w:t xml:space="preserve">) </w:t>
            </w:r>
            <w:r w:rsidRPr="005D4222">
              <w:rPr>
                <w:b/>
                <w:i/>
              </w:rPr>
              <w:t>with</w:t>
            </w:r>
            <w:r w:rsidRPr="005D4222">
              <w:t xml:space="preserve"> POS code 52.</w:t>
            </w:r>
          </w:p>
          <w:p w14:paraId="3CF3BF57" w14:textId="77777777" w:rsidR="002A5E56" w:rsidRPr="005D4222" w:rsidRDefault="002A5E56" w:rsidP="002A5E56">
            <w:pPr>
              <w:pStyle w:val="Bullet"/>
              <w:numPr>
                <w:ilvl w:val="0"/>
                <w:numId w:val="4"/>
              </w:numPr>
              <w:ind w:left="576" w:hanging="216"/>
            </w:pPr>
            <w:r w:rsidRPr="005D4222">
              <w:t>An intensive outpatient encounter or partial hospitalization (</w:t>
            </w:r>
            <w:r w:rsidRPr="005D4222">
              <w:rPr>
                <w:u w:val="single"/>
              </w:rPr>
              <w:t>Partial Hospitalization or Intensive Outpatient Value Set</w:t>
            </w:r>
            <w:r w:rsidRPr="005D4222">
              <w:t xml:space="preserve">) </w:t>
            </w:r>
            <w:r w:rsidRPr="005D4222">
              <w:rPr>
                <w:b/>
                <w:i/>
              </w:rPr>
              <w:t>with</w:t>
            </w:r>
            <w:r w:rsidRPr="005D4222">
              <w:t xml:space="preserve"> any diagnosis of a mental health disorder (</w:t>
            </w:r>
            <w:r w:rsidRPr="005D4222">
              <w:rPr>
                <w:u w:val="single"/>
              </w:rPr>
              <w:t>Mental Health Diagnosis Value Set</w:t>
            </w:r>
            <w:r w:rsidRPr="005D4222">
              <w:t>).</w:t>
            </w:r>
          </w:p>
          <w:p w14:paraId="6E002F10" w14:textId="77777777" w:rsidR="002A5E56" w:rsidRPr="005D4222" w:rsidRDefault="002A5E56" w:rsidP="002A5E56">
            <w:pPr>
              <w:pStyle w:val="Bullet"/>
              <w:numPr>
                <w:ilvl w:val="0"/>
                <w:numId w:val="4"/>
              </w:numPr>
              <w:ind w:left="576" w:hanging="216"/>
            </w:pPr>
            <w:r w:rsidRPr="005D4222">
              <w:t>A community mental health center visit (</w:t>
            </w:r>
            <w:r w:rsidRPr="005D4222">
              <w:rPr>
                <w:u w:val="single"/>
              </w:rPr>
              <w:t>Visit Setting Unspecified Value Set</w:t>
            </w:r>
            <w:r w:rsidRPr="005D4222">
              <w:t xml:space="preserve">) </w:t>
            </w:r>
            <w:r w:rsidRPr="005D4222">
              <w:rPr>
                <w:b/>
                <w:bCs/>
                <w:i/>
                <w:iCs/>
              </w:rPr>
              <w:t>with</w:t>
            </w:r>
            <w:r w:rsidRPr="005D4222">
              <w:t xml:space="preserve"> POS code 53.</w:t>
            </w:r>
          </w:p>
          <w:p w14:paraId="181A7D70" w14:textId="77777777" w:rsidR="002A5E56" w:rsidRPr="005D4222" w:rsidRDefault="002A5E56" w:rsidP="002A5E56">
            <w:pPr>
              <w:pStyle w:val="Bullet"/>
              <w:numPr>
                <w:ilvl w:val="0"/>
                <w:numId w:val="4"/>
              </w:numPr>
              <w:ind w:left="576" w:hanging="216"/>
            </w:pPr>
            <w:r w:rsidRPr="005D4222">
              <w:t>Electroconvulsive therapy (</w:t>
            </w:r>
            <w:r w:rsidRPr="005D4222">
              <w:rPr>
                <w:u w:val="single"/>
              </w:rPr>
              <w:t>Electroconvulsive Therapy Value Set</w:t>
            </w:r>
            <w:r w:rsidRPr="005D4222">
              <w:t xml:space="preserve">) </w:t>
            </w:r>
            <w:r w:rsidRPr="005D4222">
              <w:rPr>
                <w:b/>
                <w:bCs/>
                <w:i/>
                <w:iCs/>
              </w:rPr>
              <w:t>with</w:t>
            </w:r>
            <w:r w:rsidRPr="005D4222">
              <w:t xml:space="preserve"> (</w:t>
            </w:r>
            <w:r w:rsidRPr="005D4222">
              <w:rPr>
                <w:u w:val="single"/>
              </w:rPr>
              <w:t>Outpatient POS Value Set</w:t>
            </w:r>
            <w:r w:rsidRPr="005D4222">
              <w:t>; POS code 24; POS code 52; POS code 53).</w:t>
            </w:r>
          </w:p>
          <w:p w14:paraId="4B4AF8A5" w14:textId="77777777" w:rsidR="002A5E56" w:rsidRPr="005D4222" w:rsidRDefault="002A5E56" w:rsidP="002A5E56">
            <w:pPr>
              <w:pStyle w:val="Bullet"/>
              <w:numPr>
                <w:ilvl w:val="0"/>
                <w:numId w:val="4"/>
              </w:numPr>
              <w:ind w:left="576" w:hanging="216"/>
            </w:pPr>
            <w:r w:rsidRPr="005D4222">
              <w:t>A telehealth visit (</w:t>
            </w:r>
            <w:r w:rsidRPr="005D4222">
              <w:rPr>
                <w:u w:val="single"/>
              </w:rPr>
              <w:t>Visit Setting Unspecified Value Set</w:t>
            </w:r>
            <w:r w:rsidRPr="005D4222">
              <w:t xml:space="preserve"> </w:t>
            </w:r>
            <w:r w:rsidRPr="005D4222">
              <w:rPr>
                <w:b/>
                <w:bCs/>
                <w:i/>
                <w:iCs/>
              </w:rPr>
              <w:t>with</w:t>
            </w:r>
            <w:r w:rsidRPr="005D4222">
              <w:t xml:space="preserve"> </w:t>
            </w:r>
            <w:r w:rsidRPr="005D4222">
              <w:rPr>
                <w:u w:val="single"/>
              </w:rPr>
              <w:t>Telehealth POS Value Set</w:t>
            </w:r>
            <w:r w:rsidRPr="005D4222">
              <w:t>)</w:t>
            </w:r>
            <w:r w:rsidRPr="005D4222">
              <w:rPr>
                <w:b/>
                <w:bCs/>
                <w:i/>
                <w:iCs/>
              </w:rPr>
              <w:t xml:space="preserve"> with </w:t>
            </w:r>
            <w:r w:rsidRPr="005D4222">
              <w:t>any diagnosis of a mental health disorder (</w:t>
            </w:r>
            <w:r w:rsidRPr="005D4222">
              <w:rPr>
                <w:u w:val="single"/>
              </w:rPr>
              <w:t>Mental Health Diagnosis Value Set</w:t>
            </w:r>
            <w:r w:rsidRPr="005D4222">
              <w:t>).</w:t>
            </w:r>
          </w:p>
          <w:p w14:paraId="1631AC4F" w14:textId="77777777" w:rsidR="002A5E56" w:rsidRPr="005D4222" w:rsidRDefault="002A5E56" w:rsidP="002A5E56">
            <w:pPr>
              <w:pStyle w:val="Bullet"/>
              <w:numPr>
                <w:ilvl w:val="0"/>
                <w:numId w:val="4"/>
              </w:numPr>
              <w:ind w:left="576" w:hanging="216"/>
            </w:pPr>
            <w:r w:rsidRPr="005D4222">
              <w:t>A telephone visit (</w:t>
            </w:r>
            <w:r w:rsidRPr="005D4222">
              <w:rPr>
                <w:u w:val="single"/>
              </w:rPr>
              <w:t>Telephone Visits Value Set</w:t>
            </w:r>
            <w:r w:rsidRPr="005D4222">
              <w:t xml:space="preserve">) </w:t>
            </w:r>
            <w:r w:rsidRPr="005D4222">
              <w:rPr>
                <w:b/>
                <w:i/>
              </w:rPr>
              <w:t xml:space="preserve">with </w:t>
            </w:r>
            <w:r w:rsidRPr="005D4222">
              <w:t>any diagnosis of a mental health disorder (</w:t>
            </w:r>
            <w:r w:rsidRPr="005D4222">
              <w:rPr>
                <w:u w:val="single"/>
              </w:rPr>
              <w:t>Mental Health Diagnosis Value Set</w:t>
            </w:r>
            <w:r w:rsidRPr="005D4222">
              <w:t>).</w:t>
            </w:r>
          </w:p>
          <w:p w14:paraId="7973B745" w14:textId="3F4AE36E" w:rsidR="002A5E56" w:rsidRPr="005D4222" w:rsidRDefault="002A5E56" w:rsidP="002A5E56">
            <w:pPr>
              <w:pStyle w:val="Bullet"/>
              <w:numPr>
                <w:ilvl w:val="0"/>
                <w:numId w:val="4"/>
              </w:numPr>
              <w:spacing w:after="80"/>
              <w:ind w:left="576" w:hanging="216"/>
            </w:pPr>
            <w:r w:rsidRPr="005D4222">
              <w:t>An e-visit or virtual check-in (</w:t>
            </w:r>
            <w:r w:rsidRPr="005D4222">
              <w:rPr>
                <w:u w:val="single"/>
              </w:rPr>
              <w:t>Online Assessments Value Set</w:t>
            </w:r>
            <w:r w:rsidRPr="005D4222">
              <w:t xml:space="preserve">) </w:t>
            </w:r>
            <w:r w:rsidRPr="005D4222">
              <w:rPr>
                <w:b/>
                <w:i/>
              </w:rPr>
              <w:t xml:space="preserve">with </w:t>
            </w:r>
            <w:r w:rsidRPr="005D4222">
              <w:t>any diagnosis of a mental health disorder (</w:t>
            </w:r>
            <w:r w:rsidRPr="005D4222">
              <w:rPr>
                <w:u w:val="single"/>
              </w:rPr>
              <w:t>Mental Health Diagnosis Value Set</w:t>
            </w:r>
            <w:r w:rsidRPr="005D4222">
              <w:t>).</w:t>
            </w:r>
          </w:p>
        </w:tc>
      </w:tr>
      <w:tr w:rsidR="002A5E56" w:rsidRPr="005D4222" w14:paraId="3F9ECDAB" w14:textId="77777777" w:rsidTr="002A5E56">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B380ABC" w14:textId="77777777" w:rsidR="002A5E56" w:rsidRPr="005D4222" w:rsidRDefault="002A5E56">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0CC5087" w14:textId="77777777" w:rsidR="002A5E56" w:rsidRPr="005D4222" w:rsidRDefault="002A5E56" w:rsidP="002A5E56">
            <w:pPr>
              <w:pStyle w:val="Bullet"/>
              <w:numPr>
                <w:ilvl w:val="0"/>
                <w:numId w:val="4"/>
              </w:numPr>
              <w:spacing w:after="80"/>
              <w:ind w:left="576" w:hanging="216"/>
            </w:pPr>
            <w:r w:rsidRPr="005D4222">
              <w:t>Psychiatric collaborative care management (</w:t>
            </w:r>
            <w:r w:rsidRPr="005D4222">
              <w:rPr>
                <w:u w:val="single"/>
              </w:rPr>
              <w:t>Psychiatric Collaborative Care Management Value Set)</w:t>
            </w:r>
            <w:r w:rsidRPr="005D4222">
              <w:t>.</w:t>
            </w:r>
          </w:p>
          <w:p w14:paraId="193A3AEA" w14:textId="77777777" w:rsidR="002A5E56" w:rsidRPr="005D4222" w:rsidRDefault="002A5E56" w:rsidP="002A5E56">
            <w:pPr>
              <w:pStyle w:val="Bullet"/>
              <w:numPr>
                <w:ilvl w:val="0"/>
                <w:numId w:val="4"/>
              </w:numPr>
              <w:spacing w:after="80"/>
              <w:ind w:left="576" w:hanging="216"/>
            </w:pPr>
            <w:r w:rsidRPr="005D4222">
              <w:t>Peer support services (</w:t>
            </w:r>
            <w:r w:rsidRPr="005D4222">
              <w:rPr>
                <w:u w:val="single"/>
              </w:rPr>
              <w:t>Peer Support Services Value Set</w:t>
            </w:r>
            <w:r w:rsidRPr="005D4222">
              <w:t xml:space="preserve">) </w:t>
            </w:r>
            <w:r w:rsidRPr="005D4222">
              <w:rPr>
                <w:b/>
                <w:i/>
              </w:rPr>
              <w:t xml:space="preserve">with </w:t>
            </w:r>
            <w:r w:rsidRPr="005D4222">
              <w:t>any diagnosis of mental health disorder (</w:t>
            </w:r>
            <w:r w:rsidRPr="005D4222">
              <w:rPr>
                <w:u w:val="single"/>
              </w:rPr>
              <w:t>Mental Health Diagnosis Value Set</w:t>
            </w:r>
            <w:r w:rsidRPr="005D4222">
              <w:t>).</w:t>
            </w:r>
          </w:p>
          <w:p w14:paraId="69F2DDC0" w14:textId="77777777" w:rsidR="002A5E56" w:rsidRPr="005D4222" w:rsidRDefault="002A5E56" w:rsidP="002A5E56">
            <w:pPr>
              <w:pStyle w:val="Bullet"/>
              <w:numPr>
                <w:ilvl w:val="0"/>
                <w:numId w:val="4"/>
              </w:numPr>
              <w:spacing w:before="180"/>
              <w:ind w:left="576" w:hanging="216"/>
            </w:pPr>
            <w:r w:rsidRPr="005D4222">
              <w:t>Psychiatric residential treatment (</w:t>
            </w:r>
            <w:r w:rsidRPr="005D4222">
              <w:rPr>
                <w:u w:val="single"/>
              </w:rPr>
              <w:t>Residential Behavioral Health Treatment Value Set</w:t>
            </w:r>
            <w:r w:rsidRPr="005D4222">
              <w:t>).</w:t>
            </w:r>
          </w:p>
          <w:p w14:paraId="2531F82D" w14:textId="77777777" w:rsidR="002A5E56" w:rsidRPr="005D4222" w:rsidRDefault="002A5E56" w:rsidP="002A5E56">
            <w:pPr>
              <w:pStyle w:val="Bullet"/>
              <w:numPr>
                <w:ilvl w:val="0"/>
                <w:numId w:val="4"/>
              </w:numPr>
              <w:ind w:left="576" w:hanging="216"/>
            </w:pPr>
            <w:r w:rsidRPr="005D4222">
              <w:t>Psychiatric residential treatment (</w:t>
            </w:r>
            <w:r w:rsidRPr="005D4222">
              <w:rPr>
                <w:u w:val="single"/>
              </w:rPr>
              <w:t>Visit Setting Unspecified Value Set</w:t>
            </w:r>
            <w:r w:rsidRPr="005D4222">
              <w:t xml:space="preserve"> </w:t>
            </w:r>
            <w:r w:rsidRPr="005D4222">
              <w:rPr>
                <w:b/>
                <w:bCs/>
                <w:i/>
                <w:iCs/>
              </w:rPr>
              <w:t>with</w:t>
            </w:r>
            <w:r w:rsidRPr="005D4222">
              <w:t xml:space="preserve"> POS code 56).</w:t>
            </w:r>
          </w:p>
          <w:p w14:paraId="090A9FA2" w14:textId="77777777" w:rsidR="002A5E56" w:rsidRPr="005D4222" w:rsidRDefault="002A5E56" w:rsidP="002A5E56">
            <w:pPr>
              <w:pStyle w:val="Bullet"/>
              <w:numPr>
                <w:ilvl w:val="0"/>
                <w:numId w:val="4"/>
              </w:numPr>
              <w:ind w:left="576" w:hanging="216"/>
            </w:pPr>
            <w:r w:rsidRPr="005D4222">
              <w:t>A visit in a behavioral healthcare setting (</w:t>
            </w:r>
            <w:r w:rsidRPr="005D4222">
              <w:rPr>
                <w:u w:val="single"/>
              </w:rPr>
              <w:t>Behavioral Healthcare Setting Value Set</w:t>
            </w:r>
            <w:r w:rsidRPr="005D4222">
              <w:t>).</w:t>
            </w:r>
          </w:p>
          <w:p w14:paraId="50008944" w14:textId="779AAFB0" w:rsidR="002A5E56" w:rsidRPr="005D4222" w:rsidRDefault="002A5E56" w:rsidP="002A5E56">
            <w:pPr>
              <w:pStyle w:val="Note"/>
              <w:spacing w:after="80"/>
              <w:rPr>
                <w:b/>
                <w:bCs/>
              </w:rPr>
            </w:pPr>
            <w:r w:rsidRPr="005D4222">
              <w:rPr>
                <w:b/>
                <w:bCs/>
                <w:iCs/>
              </w:rPr>
              <w:t>Note</w:t>
            </w:r>
            <w:r w:rsidRPr="005D4222">
              <w:rPr>
                <w:b/>
                <w:bCs/>
              </w:rPr>
              <w:t>:</w:t>
            </w:r>
            <w:r w:rsidRPr="005D4222">
              <w:t xml:space="preserve"> Events that meet both initial population and numerator criteria should not be included in the numerator.</w:t>
            </w:r>
          </w:p>
        </w:tc>
      </w:tr>
      <w:tr w:rsidR="002A5E56" w:rsidRPr="005D4222" w14:paraId="3043E6C8" w14:textId="77777777" w:rsidTr="002A5E56">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CF88CCF" w14:textId="77777777" w:rsidR="002A5E56" w:rsidRPr="005D4222" w:rsidRDefault="002A5E56">
            <w:pPr>
              <w:pStyle w:val="ECDSMarginHead"/>
            </w:pPr>
            <w:r w:rsidRPr="005D4222">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63EC6A7" w14:textId="77777777" w:rsidR="002A5E56" w:rsidRPr="005D4222" w:rsidRDefault="002A5E56" w:rsidP="002A5E56">
            <w:pPr>
              <w:pStyle w:val="ProcessBullet"/>
              <w:tabs>
                <w:tab w:val="left" w:pos="216"/>
              </w:tabs>
              <w:spacing w:before="120"/>
            </w:pPr>
            <w:r w:rsidRPr="005D4222">
              <w:t>Updated the race and ethnicity stratification categories to align with OMB SPD 15 2024.</w:t>
            </w:r>
          </w:p>
          <w:p w14:paraId="5157CC42" w14:textId="77777777" w:rsidR="002A5E56" w:rsidRPr="005D4222" w:rsidRDefault="002A5E56">
            <w:pPr>
              <w:pStyle w:val="ProcessBullet"/>
              <w:spacing w:after="80"/>
              <w:rPr>
                <w:rFonts w:ascii="Arial Narrow" w:eastAsia="Arial,Arial,Arial,Arial,Arial,A" w:hAnsi="Arial Narrow" w:cs="Arial"/>
                <w:b/>
                <w:bCs/>
              </w:rPr>
            </w:pPr>
            <w:r w:rsidRPr="005D4222">
              <w:t>Added instructions on allowable adjustments to the race and ethnicity stratification.</w:t>
            </w:r>
          </w:p>
        </w:tc>
      </w:tr>
      <w:tr w:rsidR="002A5E56" w:rsidRPr="005D4222" w14:paraId="70B8C0F9" w14:textId="77777777" w:rsidTr="002A5E56">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7F9423A" w14:textId="77777777" w:rsidR="002A5E56" w:rsidRPr="005D4222" w:rsidRDefault="002A5E56">
            <w:pPr>
              <w:pStyle w:val="ECDSMarginHead"/>
            </w:pPr>
            <w:r w:rsidRPr="005D4222">
              <w:t>Data element table</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06E6E0E" w14:textId="77777777" w:rsidR="002A5E56" w:rsidRPr="005D4222" w:rsidRDefault="002A5E56">
            <w:pPr>
              <w:pStyle w:val="ECDSBody"/>
            </w:pPr>
            <w:r w:rsidRPr="005D4222">
              <w:t>Organizations that submit HEDIS data to NCQA must provide the following data elements.</w:t>
            </w:r>
          </w:p>
          <w:p w14:paraId="5780F7C2" w14:textId="77777777" w:rsidR="002A5E56" w:rsidRPr="005D4222" w:rsidRDefault="002A5E56">
            <w:pPr>
              <w:pStyle w:val="Heading3"/>
              <w:spacing w:before="120"/>
            </w:pPr>
            <w:r w:rsidRPr="005D4222">
              <w:t>Table FUM-A-1/2/3: Data Elements for Follow-Up After Emergency Department Visit for Mental Illness</w:t>
            </w:r>
          </w:p>
          <w:tbl>
            <w:tblPr>
              <w:tblW w:w="73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50"/>
              <w:gridCol w:w="898"/>
              <w:gridCol w:w="2508"/>
              <w:gridCol w:w="2520"/>
            </w:tblGrid>
            <w:tr w:rsidR="002A5E56" w:rsidRPr="005D4222" w14:paraId="0E903B43" w14:textId="77777777">
              <w:trPr>
                <w:trHeight w:val="344"/>
              </w:trPr>
              <w:tc>
                <w:tcPr>
                  <w:tcW w:w="1450"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tcMar>
                    <w:left w:w="86" w:type="dxa"/>
                    <w:right w:w="86" w:type="dxa"/>
                  </w:tcMar>
                </w:tcPr>
                <w:p w14:paraId="09ADC43E" w14:textId="77777777" w:rsidR="002A5E56" w:rsidRPr="005D4222" w:rsidRDefault="002A5E56" w:rsidP="002A5E56">
                  <w:pPr>
                    <w:pStyle w:val="TableHead"/>
                    <w:spacing w:before="40" w:after="40"/>
                    <w:rPr>
                      <w:color w:val="auto"/>
                    </w:rPr>
                  </w:pPr>
                  <w:r w:rsidRPr="005D4222">
                    <w:rPr>
                      <w:color w:val="auto"/>
                    </w:rPr>
                    <w:t>Metric</w:t>
                  </w:r>
                </w:p>
              </w:tc>
              <w:tc>
                <w:tcPr>
                  <w:tcW w:w="898"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86" w:type="dxa"/>
                    <w:right w:w="86" w:type="dxa"/>
                  </w:tcMar>
                </w:tcPr>
                <w:p w14:paraId="6A4E2E2D" w14:textId="77777777" w:rsidR="002A5E56" w:rsidRPr="005D4222" w:rsidRDefault="002A5E56" w:rsidP="002A5E56">
                  <w:pPr>
                    <w:pStyle w:val="TableHead"/>
                    <w:spacing w:before="40" w:after="40"/>
                    <w:rPr>
                      <w:color w:val="auto"/>
                    </w:rPr>
                  </w:pPr>
                  <w:r w:rsidRPr="005D4222">
                    <w:rPr>
                      <w:color w:val="auto"/>
                    </w:rPr>
                    <w:t>Age</w:t>
                  </w:r>
                </w:p>
              </w:tc>
              <w:tc>
                <w:tcPr>
                  <w:tcW w:w="2508"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86" w:type="dxa"/>
                    <w:right w:w="86" w:type="dxa"/>
                  </w:tcMar>
                </w:tcPr>
                <w:p w14:paraId="544E6244" w14:textId="77777777" w:rsidR="002A5E56" w:rsidRPr="005D4222" w:rsidRDefault="002A5E56" w:rsidP="002A5E56">
                  <w:pPr>
                    <w:pStyle w:val="TableHead"/>
                    <w:spacing w:before="40" w:after="40"/>
                    <w:rPr>
                      <w:color w:val="auto"/>
                    </w:rPr>
                  </w:pPr>
                  <w:r w:rsidRPr="005D4222">
                    <w:rPr>
                      <w:color w:val="auto"/>
                    </w:rPr>
                    <w:t>Data Element</w:t>
                  </w:r>
                </w:p>
              </w:tc>
              <w:tc>
                <w:tcPr>
                  <w:tcW w:w="2520"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tcMar>
                    <w:left w:w="86" w:type="dxa"/>
                    <w:right w:w="86" w:type="dxa"/>
                  </w:tcMar>
                </w:tcPr>
                <w:p w14:paraId="5E1CB673" w14:textId="77777777" w:rsidR="002A5E56" w:rsidRPr="005D4222" w:rsidRDefault="002A5E56" w:rsidP="002A5E56">
                  <w:pPr>
                    <w:pStyle w:val="TableHead"/>
                    <w:spacing w:before="40" w:after="40"/>
                    <w:rPr>
                      <w:color w:val="auto"/>
                    </w:rPr>
                  </w:pPr>
                  <w:r w:rsidRPr="005D4222">
                    <w:rPr>
                      <w:color w:val="auto"/>
                    </w:rPr>
                    <w:t>Reporting Instructions</w:t>
                  </w:r>
                </w:p>
              </w:tc>
            </w:tr>
            <w:tr w:rsidR="002A5E56" w:rsidRPr="005D4222" w14:paraId="4AE66EBC" w14:textId="77777777">
              <w:trPr>
                <w:trHeight w:val="391"/>
              </w:trPr>
              <w:tc>
                <w:tcPr>
                  <w:tcW w:w="1450" w:type="dxa"/>
                  <w:tcBorders>
                    <w:top w:val="single" w:sz="4" w:space="0" w:color="000000" w:themeColor="text1"/>
                    <w:left w:val="single" w:sz="4" w:space="0" w:color="auto"/>
                    <w:bottom w:val="single" w:sz="4" w:space="0" w:color="auto"/>
                    <w:right w:val="single" w:sz="4" w:space="0" w:color="auto"/>
                  </w:tcBorders>
                  <w:tcMar>
                    <w:left w:w="86" w:type="dxa"/>
                    <w:right w:w="86" w:type="dxa"/>
                  </w:tcMar>
                </w:tcPr>
                <w:p w14:paraId="4E3E38E1" w14:textId="77777777" w:rsidR="002A5E56" w:rsidRPr="005D4222" w:rsidRDefault="002A5E56" w:rsidP="002A5E56">
                  <w:pPr>
                    <w:pStyle w:val="TableText"/>
                    <w:spacing w:before="40" w:after="40"/>
                  </w:pPr>
                  <w:r w:rsidRPr="005D4222">
                    <w:t>FollowUp30Day</w:t>
                  </w:r>
                </w:p>
              </w:tc>
              <w:tc>
                <w:tcPr>
                  <w:tcW w:w="898" w:type="dxa"/>
                  <w:tcBorders>
                    <w:top w:val="single" w:sz="4" w:space="0" w:color="000000" w:themeColor="text1"/>
                    <w:left w:val="single" w:sz="4" w:space="0" w:color="auto"/>
                    <w:bottom w:val="single" w:sz="4" w:space="0" w:color="auto"/>
                    <w:right w:val="single" w:sz="4" w:space="0" w:color="auto"/>
                  </w:tcBorders>
                  <w:tcMar>
                    <w:left w:w="86" w:type="dxa"/>
                    <w:right w:w="86" w:type="dxa"/>
                  </w:tcMar>
                </w:tcPr>
                <w:p w14:paraId="4418EAC7" w14:textId="77777777" w:rsidR="002A5E56" w:rsidRPr="005D4222" w:rsidRDefault="002A5E56" w:rsidP="002A5E56">
                  <w:pPr>
                    <w:pStyle w:val="TableText"/>
                    <w:spacing w:before="40" w:after="40"/>
                  </w:pPr>
                  <w:r w:rsidRPr="005D4222">
                    <w:t>6-17</w:t>
                  </w:r>
                </w:p>
              </w:tc>
              <w:tc>
                <w:tcPr>
                  <w:tcW w:w="2508" w:type="dxa"/>
                  <w:tcBorders>
                    <w:top w:val="single" w:sz="4" w:space="0" w:color="000000" w:themeColor="text1"/>
                    <w:left w:val="single" w:sz="4" w:space="0" w:color="auto"/>
                    <w:bottom w:val="single" w:sz="4" w:space="0" w:color="auto"/>
                    <w:right w:val="single" w:sz="4" w:space="0" w:color="auto"/>
                  </w:tcBorders>
                  <w:tcMar>
                    <w:left w:w="86" w:type="dxa"/>
                    <w:right w:w="86" w:type="dxa"/>
                  </w:tcMar>
                </w:tcPr>
                <w:p w14:paraId="0AF3A25F" w14:textId="77777777" w:rsidR="002A5E56" w:rsidRPr="005D4222" w:rsidRDefault="002A5E56" w:rsidP="002A5E56">
                  <w:pPr>
                    <w:pStyle w:val="TableText"/>
                    <w:spacing w:before="40" w:after="40"/>
                  </w:pPr>
                  <w:r w:rsidRPr="005D4222">
                    <w:t>Benefit</w:t>
                  </w:r>
                </w:p>
              </w:tc>
              <w:tc>
                <w:tcPr>
                  <w:tcW w:w="2520" w:type="dxa"/>
                  <w:tcBorders>
                    <w:top w:val="single" w:sz="4" w:space="0" w:color="000000" w:themeColor="text1"/>
                    <w:left w:val="single" w:sz="4" w:space="0" w:color="auto"/>
                    <w:bottom w:val="single" w:sz="6" w:space="0" w:color="auto"/>
                    <w:right w:val="single" w:sz="4" w:space="0" w:color="auto"/>
                  </w:tcBorders>
                  <w:tcMar>
                    <w:left w:w="86" w:type="dxa"/>
                    <w:right w:w="86" w:type="dxa"/>
                  </w:tcMar>
                </w:tcPr>
                <w:p w14:paraId="3FA8D454" w14:textId="77777777" w:rsidR="002A5E56" w:rsidRPr="005D4222" w:rsidRDefault="002A5E56" w:rsidP="002A5E56">
                  <w:pPr>
                    <w:pStyle w:val="TableText"/>
                    <w:spacing w:before="40" w:after="40"/>
                    <w:rPr>
                      <w:rFonts w:eastAsia="Wingdings"/>
                    </w:rPr>
                  </w:pPr>
                  <w:r w:rsidRPr="005D4222">
                    <w:rPr>
                      <w:rFonts w:eastAsia="Wingdings"/>
                    </w:rPr>
                    <w:t>Metadata</w:t>
                  </w:r>
                </w:p>
              </w:tc>
            </w:tr>
            <w:tr w:rsidR="002A5E56" w:rsidRPr="005D4222" w14:paraId="6D0CE744" w14:textId="77777777">
              <w:trPr>
                <w:trHeight w:val="391"/>
              </w:trPr>
              <w:tc>
                <w:tcPr>
                  <w:tcW w:w="1450" w:type="dxa"/>
                  <w:tcBorders>
                    <w:top w:val="single" w:sz="4" w:space="0" w:color="auto"/>
                    <w:left w:val="single" w:sz="4" w:space="0" w:color="auto"/>
                    <w:bottom w:val="single" w:sz="4" w:space="0" w:color="auto"/>
                    <w:right w:val="single" w:sz="4" w:space="0" w:color="auto"/>
                  </w:tcBorders>
                  <w:shd w:val="clear" w:color="auto" w:fill="FFFFFF" w:themeFill="background1"/>
                  <w:tcMar>
                    <w:left w:w="86" w:type="dxa"/>
                    <w:right w:w="86" w:type="dxa"/>
                  </w:tcMar>
                </w:tcPr>
                <w:p w14:paraId="0533026F" w14:textId="77777777" w:rsidR="002A5E56" w:rsidRPr="005D4222" w:rsidRDefault="002A5E56" w:rsidP="002A5E56">
                  <w:pPr>
                    <w:pStyle w:val="TableText"/>
                    <w:spacing w:before="40" w:after="40"/>
                  </w:pPr>
                  <w:r w:rsidRPr="005D4222">
                    <w:t>FollowUp7Day</w:t>
                  </w:r>
                </w:p>
              </w:tc>
              <w:tc>
                <w:tcPr>
                  <w:tcW w:w="898" w:type="dxa"/>
                  <w:tcBorders>
                    <w:top w:val="single" w:sz="4" w:space="0" w:color="auto"/>
                    <w:left w:val="single" w:sz="4" w:space="0" w:color="auto"/>
                    <w:bottom w:val="single" w:sz="4" w:space="0" w:color="auto"/>
                    <w:right w:val="single" w:sz="4" w:space="0" w:color="auto"/>
                  </w:tcBorders>
                  <w:shd w:val="clear" w:color="auto" w:fill="FFFFFF" w:themeFill="background1"/>
                  <w:tcMar>
                    <w:left w:w="86" w:type="dxa"/>
                    <w:right w:w="86" w:type="dxa"/>
                  </w:tcMar>
                </w:tcPr>
                <w:p w14:paraId="10F11187" w14:textId="77777777" w:rsidR="002A5E56" w:rsidRPr="005D4222" w:rsidRDefault="002A5E56" w:rsidP="002A5E56">
                  <w:pPr>
                    <w:pStyle w:val="TableText"/>
                    <w:spacing w:before="40" w:after="40"/>
                  </w:pPr>
                  <w:r w:rsidRPr="005D4222">
                    <w:t>18-64</w:t>
                  </w:r>
                </w:p>
              </w:tc>
              <w:tc>
                <w:tcPr>
                  <w:tcW w:w="2508" w:type="dxa"/>
                  <w:tcBorders>
                    <w:top w:val="single" w:sz="4" w:space="0" w:color="auto"/>
                    <w:left w:val="single" w:sz="4" w:space="0" w:color="auto"/>
                    <w:bottom w:val="single" w:sz="4" w:space="0" w:color="auto"/>
                    <w:right w:val="single" w:sz="4" w:space="0" w:color="auto"/>
                  </w:tcBorders>
                  <w:shd w:val="clear" w:color="auto" w:fill="FFFFFF" w:themeFill="background1"/>
                  <w:tcMar>
                    <w:left w:w="86" w:type="dxa"/>
                    <w:right w:w="86" w:type="dxa"/>
                  </w:tcMar>
                </w:tcPr>
                <w:p w14:paraId="0B3A1A2C" w14:textId="77777777" w:rsidR="002A5E56" w:rsidRPr="005D4222" w:rsidRDefault="002A5E56" w:rsidP="002A5E56">
                  <w:pPr>
                    <w:pStyle w:val="TableText"/>
                    <w:spacing w:before="40" w:after="40"/>
                  </w:pPr>
                  <w:r w:rsidRPr="005D4222">
                    <w:t xml:space="preserve">InitialPopulation </w:t>
                  </w:r>
                </w:p>
              </w:tc>
              <w:tc>
                <w:tcPr>
                  <w:tcW w:w="2520" w:type="dxa"/>
                  <w:tcBorders>
                    <w:left w:val="single" w:sz="4" w:space="0" w:color="auto"/>
                    <w:right w:val="single" w:sz="4" w:space="0" w:color="auto"/>
                  </w:tcBorders>
                  <w:shd w:val="clear" w:color="auto" w:fill="FFFFFF" w:themeFill="background1"/>
                  <w:tcMar>
                    <w:left w:w="86" w:type="dxa"/>
                    <w:right w:w="86" w:type="dxa"/>
                  </w:tcMar>
                </w:tcPr>
                <w:p w14:paraId="4F0AD151" w14:textId="77777777" w:rsidR="002A5E56" w:rsidRPr="005D4222" w:rsidRDefault="002A5E56" w:rsidP="002A5E56">
                  <w:pPr>
                    <w:pStyle w:val="TableText"/>
                    <w:spacing w:before="40" w:after="40"/>
                    <w:rPr>
                      <w:rFonts w:eastAsia="Wingdings"/>
                    </w:rPr>
                  </w:pPr>
                  <w:r w:rsidRPr="005D4222">
                    <w:rPr>
                      <w:rFonts w:eastAsia="Wingdings"/>
                    </w:rPr>
                    <w:t>For each Stratification, repeat per Metric</w:t>
                  </w:r>
                </w:p>
              </w:tc>
            </w:tr>
            <w:tr w:rsidR="002A5E56" w:rsidRPr="005D4222" w14:paraId="0330F21C" w14:textId="77777777">
              <w:trPr>
                <w:trHeight w:val="391"/>
              </w:trPr>
              <w:tc>
                <w:tcPr>
                  <w:tcW w:w="1450" w:type="dxa"/>
                  <w:tcBorders>
                    <w:top w:val="nil"/>
                    <w:left w:val="nil"/>
                    <w:bottom w:val="nil"/>
                    <w:right w:val="nil"/>
                  </w:tcBorders>
                  <w:shd w:val="clear" w:color="auto" w:fill="FFFFFF" w:themeFill="background1"/>
                  <w:tcMar>
                    <w:left w:w="86" w:type="dxa"/>
                    <w:right w:w="86" w:type="dxa"/>
                  </w:tcMar>
                </w:tcPr>
                <w:p w14:paraId="2311098D" w14:textId="77777777" w:rsidR="002A5E56" w:rsidRPr="005D4222" w:rsidRDefault="002A5E56" w:rsidP="002A5E56">
                  <w:pPr>
                    <w:pStyle w:val="TableText"/>
                    <w:spacing w:before="40" w:after="40"/>
                  </w:pPr>
                </w:p>
              </w:tc>
              <w:tc>
                <w:tcPr>
                  <w:tcW w:w="898" w:type="dxa"/>
                  <w:tcBorders>
                    <w:top w:val="single" w:sz="4" w:space="0" w:color="auto"/>
                    <w:left w:val="single" w:sz="4" w:space="0" w:color="auto"/>
                    <w:bottom w:val="single" w:sz="4" w:space="0" w:color="auto"/>
                    <w:right w:val="single" w:sz="4" w:space="0" w:color="auto"/>
                  </w:tcBorders>
                  <w:shd w:val="clear" w:color="auto" w:fill="FFFFFF" w:themeFill="background1"/>
                  <w:tcMar>
                    <w:left w:w="86" w:type="dxa"/>
                    <w:right w:w="86" w:type="dxa"/>
                  </w:tcMar>
                </w:tcPr>
                <w:p w14:paraId="5FA824C9" w14:textId="77777777" w:rsidR="002A5E56" w:rsidRPr="005D4222" w:rsidRDefault="002A5E56" w:rsidP="002A5E56">
                  <w:pPr>
                    <w:pStyle w:val="TableText"/>
                    <w:spacing w:before="40" w:after="40"/>
                  </w:pPr>
                  <w:r w:rsidRPr="005D4222">
                    <w:t>65+</w:t>
                  </w:r>
                </w:p>
              </w:tc>
              <w:tc>
                <w:tcPr>
                  <w:tcW w:w="2508" w:type="dxa"/>
                  <w:tcBorders>
                    <w:top w:val="single" w:sz="4" w:space="0" w:color="auto"/>
                    <w:left w:val="single" w:sz="4" w:space="0" w:color="auto"/>
                    <w:bottom w:val="single" w:sz="4" w:space="0" w:color="auto"/>
                    <w:right w:val="single" w:sz="4" w:space="0" w:color="auto"/>
                  </w:tcBorders>
                  <w:shd w:val="clear" w:color="auto" w:fill="FFFFFF" w:themeFill="background1"/>
                  <w:tcMar>
                    <w:left w:w="86" w:type="dxa"/>
                    <w:right w:w="86" w:type="dxa"/>
                  </w:tcMar>
                </w:tcPr>
                <w:p w14:paraId="5098268F" w14:textId="77777777" w:rsidR="002A5E56" w:rsidRPr="005D4222" w:rsidRDefault="002A5E56" w:rsidP="002A5E56">
                  <w:pPr>
                    <w:pStyle w:val="TableText"/>
                    <w:spacing w:before="40" w:after="40"/>
                  </w:pPr>
                  <w:r w:rsidRPr="005D4222">
                    <w:t>Exclusions</w:t>
                  </w:r>
                </w:p>
              </w:tc>
              <w:tc>
                <w:tcPr>
                  <w:tcW w:w="2520" w:type="dxa"/>
                  <w:tcBorders>
                    <w:left w:val="single" w:sz="4" w:space="0" w:color="auto"/>
                    <w:bottom w:val="single" w:sz="6" w:space="0" w:color="auto"/>
                    <w:right w:val="single" w:sz="4" w:space="0" w:color="auto"/>
                  </w:tcBorders>
                  <w:shd w:val="clear" w:color="auto" w:fill="FFFFFF" w:themeFill="background1"/>
                  <w:tcMar>
                    <w:left w:w="86" w:type="dxa"/>
                    <w:right w:w="86" w:type="dxa"/>
                  </w:tcMar>
                </w:tcPr>
                <w:p w14:paraId="780C193B" w14:textId="77777777" w:rsidR="002A5E56" w:rsidRPr="005D4222" w:rsidRDefault="002A5E56" w:rsidP="002A5E56">
                  <w:pPr>
                    <w:pStyle w:val="TableText"/>
                    <w:spacing w:before="40" w:after="40"/>
                    <w:rPr>
                      <w:rFonts w:eastAsia="Wingdings"/>
                    </w:rPr>
                  </w:pPr>
                  <w:r w:rsidRPr="005D4222">
                    <w:rPr>
                      <w:rFonts w:eastAsia="Wingdings"/>
                    </w:rPr>
                    <w:t>For each Stratification, repeat per Metric</w:t>
                  </w:r>
                </w:p>
              </w:tc>
            </w:tr>
            <w:tr w:rsidR="002A5E56" w:rsidRPr="005D4222" w14:paraId="4F0A5B38" w14:textId="77777777">
              <w:trPr>
                <w:trHeight w:val="391"/>
              </w:trPr>
              <w:tc>
                <w:tcPr>
                  <w:tcW w:w="1450" w:type="dxa"/>
                  <w:tcBorders>
                    <w:top w:val="nil"/>
                    <w:left w:val="nil"/>
                    <w:bottom w:val="nil"/>
                    <w:right w:val="nil"/>
                  </w:tcBorders>
                  <w:shd w:val="clear" w:color="auto" w:fill="FFFFFF" w:themeFill="background1"/>
                  <w:tcMar>
                    <w:left w:w="86" w:type="dxa"/>
                    <w:right w:w="86" w:type="dxa"/>
                  </w:tcMar>
                </w:tcPr>
                <w:p w14:paraId="07C4D173" w14:textId="77777777" w:rsidR="002A5E56" w:rsidRPr="005D4222" w:rsidRDefault="002A5E56" w:rsidP="002A5E56">
                  <w:pPr>
                    <w:pStyle w:val="TableText"/>
                    <w:spacing w:before="40" w:after="40"/>
                  </w:pPr>
                </w:p>
              </w:tc>
              <w:tc>
                <w:tcPr>
                  <w:tcW w:w="89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86" w:type="dxa"/>
                    <w:right w:w="86" w:type="dxa"/>
                  </w:tcMar>
                </w:tcPr>
                <w:p w14:paraId="24A3E1E1" w14:textId="77777777" w:rsidR="002A5E56" w:rsidRPr="005D4222" w:rsidRDefault="002A5E56" w:rsidP="002A5E56">
                  <w:pPr>
                    <w:pStyle w:val="TableText"/>
                    <w:spacing w:before="40" w:after="40"/>
                  </w:pPr>
                  <w:r w:rsidRPr="005D4222">
                    <w:t>Total</w:t>
                  </w:r>
                </w:p>
              </w:tc>
              <w:tc>
                <w:tcPr>
                  <w:tcW w:w="2508" w:type="dxa"/>
                  <w:tcBorders>
                    <w:top w:val="single" w:sz="4" w:space="0" w:color="auto"/>
                    <w:left w:val="single" w:sz="4" w:space="0" w:color="auto"/>
                    <w:bottom w:val="single" w:sz="4" w:space="0" w:color="auto"/>
                    <w:right w:val="single" w:sz="4" w:space="0" w:color="auto"/>
                  </w:tcBorders>
                  <w:shd w:val="clear" w:color="auto" w:fill="FFFFFF" w:themeFill="background1"/>
                  <w:tcMar>
                    <w:left w:w="86" w:type="dxa"/>
                    <w:right w:w="86" w:type="dxa"/>
                  </w:tcMar>
                </w:tcPr>
                <w:p w14:paraId="3E1D2894" w14:textId="77777777" w:rsidR="002A5E56" w:rsidRPr="005D4222" w:rsidRDefault="002A5E56" w:rsidP="002A5E56">
                  <w:pPr>
                    <w:pStyle w:val="TableText"/>
                    <w:spacing w:before="40" w:after="40"/>
                  </w:pPr>
                  <w:r w:rsidRPr="005D4222">
                    <w:t>Denominator</w:t>
                  </w:r>
                </w:p>
              </w:tc>
              <w:tc>
                <w:tcPr>
                  <w:tcW w:w="2520" w:type="dxa"/>
                  <w:tcBorders>
                    <w:left w:val="single" w:sz="4" w:space="0" w:color="auto"/>
                    <w:bottom w:val="single" w:sz="6" w:space="0" w:color="auto"/>
                    <w:right w:val="single" w:sz="4" w:space="0" w:color="auto"/>
                  </w:tcBorders>
                  <w:shd w:val="clear" w:color="auto" w:fill="FFFFFF" w:themeFill="background1"/>
                  <w:tcMar>
                    <w:left w:w="86" w:type="dxa"/>
                    <w:right w:w="86" w:type="dxa"/>
                  </w:tcMar>
                </w:tcPr>
                <w:p w14:paraId="7FAA9B07" w14:textId="77777777" w:rsidR="002A5E56" w:rsidRPr="005D4222" w:rsidRDefault="002A5E56" w:rsidP="002A5E56">
                  <w:pPr>
                    <w:pStyle w:val="TableText"/>
                    <w:spacing w:before="40" w:after="40"/>
                    <w:rPr>
                      <w:rFonts w:eastAsia="Wingdings"/>
                    </w:rPr>
                  </w:pPr>
                  <w:r w:rsidRPr="005D4222">
                    <w:rPr>
                      <w:rFonts w:eastAsia="Wingdings"/>
                    </w:rPr>
                    <w:t>For each Stratification, repeat per Metric</w:t>
                  </w:r>
                </w:p>
              </w:tc>
            </w:tr>
            <w:tr w:rsidR="002A5E56" w:rsidRPr="005D4222" w14:paraId="0559547D" w14:textId="77777777">
              <w:trPr>
                <w:trHeight w:val="391"/>
              </w:trPr>
              <w:tc>
                <w:tcPr>
                  <w:tcW w:w="1450" w:type="dxa"/>
                  <w:tcBorders>
                    <w:top w:val="nil"/>
                    <w:left w:val="nil"/>
                    <w:bottom w:val="nil"/>
                    <w:right w:val="nil"/>
                  </w:tcBorders>
                  <w:shd w:val="clear" w:color="auto" w:fill="FFFFFF" w:themeFill="background1"/>
                  <w:tcMar>
                    <w:left w:w="86" w:type="dxa"/>
                    <w:right w:w="86" w:type="dxa"/>
                  </w:tcMar>
                </w:tcPr>
                <w:p w14:paraId="5B5A60F6" w14:textId="77777777" w:rsidR="002A5E56" w:rsidRPr="005D4222" w:rsidRDefault="002A5E56" w:rsidP="002A5E56">
                  <w:pPr>
                    <w:pStyle w:val="TableText"/>
                    <w:spacing w:before="40" w:after="40"/>
                  </w:pPr>
                </w:p>
              </w:tc>
              <w:tc>
                <w:tcPr>
                  <w:tcW w:w="898" w:type="dxa"/>
                  <w:tcBorders>
                    <w:top w:val="single" w:sz="4" w:space="0" w:color="auto"/>
                    <w:left w:val="nil"/>
                    <w:bottom w:val="nil"/>
                    <w:right w:val="single" w:sz="4" w:space="0" w:color="auto"/>
                  </w:tcBorders>
                  <w:shd w:val="clear" w:color="auto" w:fill="FFFFFF" w:themeFill="background1"/>
                  <w:tcMar>
                    <w:left w:w="86" w:type="dxa"/>
                    <w:right w:w="86" w:type="dxa"/>
                  </w:tcMar>
                </w:tcPr>
                <w:p w14:paraId="3546B39B" w14:textId="77777777" w:rsidR="002A5E56" w:rsidRPr="005D4222" w:rsidRDefault="002A5E56" w:rsidP="002A5E56">
                  <w:pPr>
                    <w:pStyle w:val="TableText"/>
                    <w:spacing w:before="40" w:after="40"/>
                  </w:pPr>
                </w:p>
              </w:tc>
              <w:tc>
                <w:tcPr>
                  <w:tcW w:w="2508" w:type="dxa"/>
                  <w:tcBorders>
                    <w:top w:val="single" w:sz="4" w:space="0" w:color="auto"/>
                    <w:left w:val="single" w:sz="4" w:space="0" w:color="auto"/>
                    <w:bottom w:val="single" w:sz="4" w:space="0" w:color="auto"/>
                    <w:right w:val="single" w:sz="4" w:space="0" w:color="auto"/>
                  </w:tcBorders>
                  <w:shd w:val="clear" w:color="auto" w:fill="FFFFFF" w:themeFill="background1"/>
                  <w:tcMar>
                    <w:left w:w="86" w:type="dxa"/>
                    <w:right w:w="86" w:type="dxa"/>
                  </w:tcMar>
                </w:tcPr>
                <w:p w14:paraId="74650CE9" w14:textId="77777777" w:rsidR="002A5E56" w:rsidRPr="005D4222" w:rsidRDefault="002A5E56" w:rsidP="002A5E56">
                  <w:pPr>
                    <w:pStyle w:val="TableText"/>
                    <w:spacing w:before="40" w:after="40"/>
                  </w:pPr>
                  <w:r w:rsidRPr="005D4222">
                    <w:t>NumeratorByAdmin</w:t>
                  </w:r>
                </w:p>
              </w:tc>
              <w:tc>
                <w:tcPr>
                  <w:tcW w:w="2520" w:type="dxa"/>
                  <w:tcBorders>
                    <w:left w:val="single" w:sz="4" w:space="0" w:color="auto"/>
                    <w:bottom w:val="single" w:sz="6" w:space="0" w:color="auto"/>
                    <w:right w:val="single" w:sz="4" w:space="0" w:color="auto"/>
                  </w:tcBorders>
                  <w:shd w:val="clear" w:color="auto" w:fill="FFFFFF" w:themeFill="background1"/>
                  <w:tcMar>
                    <w:left w:w="86" w:type="dxa"/>
                    <w:right w:w="86" w:type="dxa"/>
                  </w:tcMar>
                </w:tcPr>
                <w:p w14:paraId="63AD2B0C" w14:textId="77777777" w:rsidR="002A5E56" w:rsidRPr="005D4222" w:rsidRDefault="002A5E56" w:rsidP="002A5E56">
                  <w:pPr>
                    <w:pStyle w:val="TableText"/>
                    <w:spacing w:before="40" w:after="40"/>
                    <w:rPr>
                      <w:rFonts w:eastAsia="Wingdings"/>
                    </w:rPr>
                  </w:pPr>
                  <w:r w:rsidRPr="005D4222">
                    <w:rPr>
                      <w:rFonts w:eastAsia="Wingdings"/>
                    </w:rPr>
                    <w:t>For each Metric and Stratification</w:t>
                  </w:r>
                </w:p>
              </w:tc>
            </w:tr>
            <w:tr w:rsidR="002A5E56" w:rsidRPr="005D4222" w14:paraId="0CF9CA23" w14:textId="77777777">
              <w:trPr>
                <w:trHeight w:val="391"/>
              </w:trPr>
              <w:tc>
                <w:tcPr>
                  <w:tcW w:w="1450" w:type="dxa"/>
                  <w:tcBorders>
                    <w:top w:val="nil"/>
                    <w:left w:val="nil"/>
                    <w:bottom w:val="nil"/>
                    <w:right w:val="nil"/>
                  </w:tcBorders>
                  <w:tcMar>
                    <w:left w:w="86" w:type="dxa"/>
                    <w:right w:w="86" w:type="dxa"/>
                  </w:tcMar>
                </w:tcPr>
                <w:p w14:paraId="4F0AECD1" w14:textId="77777777" w:rsidR="002A5E56" w:rsidRPr="005D4222" w:rsidRDefault="002A5E56" w:rsidP="002A5E56">
                  <w:pPr>
                    <w:pStyle w:val="TableText"/>
                    <w:spacing w:before="40" w:after="40"/>
                  </w:pPr>
                </w:p>
              </w:tc>
              <w:tc>
                <w:tcPr>
                  <w:tcW w:w="898" w:type="dxa"/>
                  <w:tcBorders>
                    <w:top w:val="nil"/>
                    <w:left w:val="nil"/>
                    <w:bottom w:val="nil"/>
                    <w:right w:val="single" w:sz="4" w:space="0" w:color="auto"/>
                  </w:tcBorders>
                  <w:tcMar>
                    <w:left w:w="86" w:type="dxa"/>
                    <w:right w:w="86" w:type="dxa"/>
                  </w:tcMar>
                </w:tcPr>
                <w:p w14:paraId="712BEA9C" w14:textId="77777777" w:rsidR="002A5E56" w:rsidRPr="005D4222" w:rsidRDefault="002A5E56" w:rsidP="002A5E56">
                  <w:pPr>
                    <w:pStyle w:val="TableText"/>
                    <w:spacing w:before="40" w:after="40"/>
                  </w:pPr>
                </w:p>
              </w:tc>
              <w:tc>
                <w:tcPr>
                  <w:tcW w:w="2508" w:type="dxa"/>
                  <w:tcBorders>
                    <w:top w:val="single" w:sz="4" w:space="0" w:color="auto"/>
                    <w:left w:val="single" w:sz="4" w:space="0" w:color="auto"/>
                    <w:bottom w:val="single" w:sz="4" w:space="0" w:color="auto"/>
                    <w:right w:val="single" w:sz="4" w:space="0" w:color="auto"/>
                  </w:tcBorders>
                  <w:shd w:val="clear" w:color="auto" w:fill="FFFFFF" w:themeFill="background1"/>
                  <w:tcMar>
                    <w:left w:w="86" w:type="dxa"/>
                    <w:right w:w="86" w:type="dxa"/>
                  </w:tcMar>
                </w:tcPr>
                <w:p w14:paraId="3CD456F6" w14:textId="77777777" w:rsidR="002A5E56" w:rsidRPr="005D4222" w:rsidRDefault="002A5E56" w:rsidP="002A5E56">
                  <w:pPr>
                    <w:pStyle w:val="TableText"/>
                    <w:spacing w:before="40" w:after="40"/>
                  </w:pPr>
                  <w:r w:rsidRPr="005D4222">
                    <w:t>NumeratorBySupplemental</w:t>
                  </w:r>
                </w:p>
              </w:tc>
              <w:tc>
                <w:tcPr>
                  <w:tcW w:w="2520" w:type="dxa"/>
                  <w:tcBorders>
                    <w:left w:val="single" w:sz="4" w:space="0" w:color="auto"/>
                    <w:bottom w:val="single" w:sz="6" w:space="0" w:color="auto"/>
                    <w:right w:val="single" w:sz="4" w:space="0" w:color="auto"/>
                  </w:tcBorders>
                  <w:tcMar>
                    <w:left w:w="86" w:type="dxa"/>
                    <w:right w:w="86" w:type="dxa"/>
                  </w:tcMar>
                </w:tcPr>
                <w:p w14:paraId="3918F19C" w14:textId="77777777" w:rsidR="002A5E56" w:rsidRPr="005D4222" w:rsidRDefault="002A5E56" w:rsidP="002A5E56">
                  <w:pPr>
                    <w:pStyle w:val="TableText"/>
                    <w:spacing w:before="40" w:after="40"/>
                    <w:rPr>
                      <w:rFonts w:eastAsia="Wingdings"/>
                    </w:rPr>
                  </w:pPr>
                  <w:r w:rsidRPr="005D4222">
                    <w:rPr>
                      <w:rFonts w:eastAsia="Wingdings"/>
                    </w:rPr>
                    <w:t>For each Metric and Stratification</w:t>
                  </w:r>
                </w:p>
              </w:tc>
            </w:tr>
            <w:tr w:rsidR="002A5E56" w:rsidRPr="005D4222" w14:paraId="1325E2E2" w14:textId="77777777">
              <w:trPr>
                <w:trHeight w:val="391"/>
              </w:trPr>
              <w:tc>
                <w:tcPr>
                  <w:tcW w:w="1450" w:type="dxa"/>
                  <w:tcBorders>
                    <w:top w:val="nil"/>
                    <w:left w:val="nil"/>
                    <w:bottom w:val="nil"/>
                    <w:right w:val="nil"/>
                  </w:tcBorders>
                  <w:tcMar>
                    <w:left w:w="86" w:type="dxa"/>
                    <w:right w:w="86" w:type="dxa"/>
                  </w:tcMar>
                </w:tcPr>
                <w:p w14:paraId="65CC59BC" w14:textId="77777777" w:rsidR="002A5E56" w:rsidRPr="005D4222" w:rsidRDefault="002A5E56" w:rsidP="002A5E56">
                  <w:pPr>
                    <w:pStyle w:val="TableText"/>
                    <w:spacing w:before="40" w:after="40"/>
                  </w:pPr>
                </w:p>
              </w:tc>
              <w:tc>
                <w:tcPr>
                  <w:tcW w:w="898" w:type="dxa"/>
                  <w:tcBorders>
                    <w:top w:val="nil"/>
                    <w:left w:val="nil"/>
                    <w:bottom w:val="nil"/>
                    <w:right w:val="single" w:sz="4" w:space="0" w:color="auto"/>
                  </w:tcBorders>
                  <w:tcMar>
                    <w:left w:w="86" w:type="dxa"/>
                    <w:right w:w="86" w:type="dxa"/>
                  </w:tcMar>
                </w:tcPr>
                <w:p w14:paraId="6B9B63E6" w14:textId="77777777" w:rsidR="002A5E56" w:rsidRPr="005D4222" w:rsidRDefault="002A5E56" w:rsidP="002A5E56">
                  <w:pPr>
                    <w:pStyle w:val="TableText"/>
                    <w:spacing w:before="40" w:after="40"/>
                  </w:pPr>
                </w:p>
              </w:tc>
              <w:tc>
                <w:tcPr>
                  <w:tcW w:w="250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86" w:type="dxa"/>
                    <w:right w:w="86" w:type="dxa"/>
                  </w:tcMar>
                </w:tcPr>
                <w:p w14:paraId="43547041" w14:textId="77777777" w:rsidR="002A5E56" w:rsidRPr="005D4222" w:rsidRDefault="002A5E56" w:rsidP="002A5E56">
                  <w:pPr>
                    <w:pStyle w:val="TableText"/>
                    <w:spacing w:before="40" w:after="40"/>
                  </w:pPr>
                  <w:r w:rsidRPr="005D4222">
                    <w:t>Rate</w:t>
                  </w:r>
                </w:p>
              </w:tc>
              <w:tc>
                <w:tcPr>
                  <w:tcW w:w="2520" w:type="dxa"/>
                  <w:tcBorders>
                    <w:left w:val="single" w:sz="4" w:space="0" w:color="auto"/>
                    <w:bottom w:val="single" w:sz="6" w:space="0" w:color="auto"/>
                    <w:right w:val="single" w:sz="4" w:space="0" w:color="auto"/>
                  </w:tcBorders>
                  <w:shd w:val="clear" w:color="auto" w:fill="D9D9D9" w:themeFill="background1" w:themeFillShade="D9"/>
                  <w:tcMar>
                    <w:left w:w="86" w:type="dxa"/>
                    <w:right w:w="86" w:type="dxa"/>
                  </w:tcMar>
                </w:tcPr>
                <w:p w14:paraId="196357A4" w14:textId="77777777" w:rsidR="002A5E56" w:rsidRPr="005D4222" w:rsidRDefault="002A5E56" w:rsidP="002A5E56">
                  <w:pPr>
                    <w:pStyle w:val="TableText"/>
                    <w:spacing w:before="40" w:after="40"/>
                    <w:rPr>
                      <w:rFonts w:eastAsia="Wingdings"/>
                    </w:rPr>
                  </w:pPr>
                  <w:r w:rsidRPr="005D4222">
                    <w:rPr>
                      <w:rFonts w:eastAsia="Wingdings"/>
                    </w:rPr>
                    <w:t>(Percent)</w:t>
                  </w:r>
                </w:p>
              </w:tc>
            </w:tr>
          </w:tbl>
          <w:p w14:paraId="2F7DA356" w14:textId="4599B040" w:rsidR="002A5E56" w:rsidRPr="005D4222" w:rsidRDefault="002A5E56">
            <w:pPr>
              <w:pStyle w:val="Heading3"/>
            </w:pPr>
            <w:r w:rsidRPr="005D4222">
              <w:t xml:space="preserve">Table FUM-B-1/2/3: Data Elements for Follow-Up After Emergency Department Visit for Mental Illness: </w:t>
            </w:r>
            <w:r w:rsidR="00B51CDC" w:rsidRPr="005D4222">
              <w:t>Stratifications</w:t>
            </w:r>
            <w:r w:rsidRPr="005D4222">
              <w:t xml:space="preserve"> by Race </w:t>
            </w:r>
          </w:p>
          <w:tbl>
            <w:tblPr>
              <w:tblW w:w="737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491"/>
              <w:gridCol w:w="2642"/>
              <w:gridCol w:w="1620"/>
              <w:gridCol w:w="1620"/>
            </w:tblGrid>
            <w:tr w:rsidR="002A5E56" w:rsidRPr="005D4222" w14:paraId="38D1157B" w14:textId="77777777">
              <w:trPr>
                <w:trHeight w:val="300"/>
              </w:trPr>
              <w:tc>
                <w:tcPr>
                  <w:tcW w:w="1491" w:type="dxa"/>
                  <w:tcBorders>
                    <w:top w:val="single" w:sz="6" w:space="0" w:color="000000"/>
                    <w:left w:val="single" w:sz="6" w:space="0" w:color="auto"/>
                    <w:bottom w:val="single" w:sz="6" w:space="0" w:color="auto"/>
                    <w:right w:val="single" w:sz="6" w:space="0" w:color="FFFFFF"/>
                  </w:tcBorders>
                  <w:shd w:val="clear" w:color="auto" w:fill="000000"/>
                  <w:tcMar>
                    <w:left w:w="86" w:type="dxa"/>
                    <w:right w:w="86" w:type="dxa"/>
                  </w:tcMar>
                  <w:vAlign w:val="bottom"/>
                  <w:hideMark/>
                </w:tcPr>
                <w:p w14:paraId="01EFECAB" w14:textId="77777777" w:rsidR="002A5E56" w:rsidRPr="005D4222" w:rsidRDefault="002A5E56" w:rsidP="002A5E56">
                  <w:pPr>
                    <w:pStyle w:val="TableHead"/>
                    <w:spacing w:before="40" w:after="40"/>
                    <w:rPr>
                      <w:rFonts w:ascii="Times New Roman" w:hAnsi="Times New Roman"/>
                      <w:sz w:val="24"/>
                      <w:szCs w:val="24"/>
                    </w:rPr>
                  </w:pPr>
                  <w:r w:rsidRPr="005D4222">
                    <w:t>Metric</w:t>
                  </w:r>
                </w:p>
              </w:tc>
              <w:tc>
                <w:tcPr>
                  <w:tcW w:w="2642" w:type="dxa"/>
                  <w:tcBorders>
                    <w:top w:val="single" w:sz="6" w:space="0" w:color="000000"/>
                    <w:left w:val="single" w:sz="6" w:space="0" w:color="FFFFFF"/>
                    <w:bottom w:val="single" w:sz="6" w:space="0" w:color="000000"/>
                    <w:right w:val="single" w:sz="6" w:space="0" w:color="FFFFFF"/>
                  </w:tcBorders>
                  <w:shd w:val="clear" w:color="auto" w:fill="000000"/>
                  <w:tcMar>
                    <w:left w:w="86" w:type="dxa"/>
                    <w:right w:w="86" w:type="dxa"/>
                  </w:tcMar>
                  <w:vAlign w:val="bottom"/>
                  <w:hideMark/>
                </w:tcPr>
                <w:p w14:paraId="6C57081A" w14:textId="77777777" w:rsidR="002A5E56" w:rsidRPr="005D4222" w:rsidRDefault="002A5E56" w:rsidP="002A5E56">
                  <w:pPr>
                    <w:pStyle w:val="TableHead"/>
                    <w:spacing w:before="40" w:after="40"/>
                    <w:rPr>
                      <w:rFonts w:ascii="Times New Roman" w:hAnsi="Times New Roman"/>
                      <w:sz w:val="24"/>
                      <w:szCs w:val="24"/>
                    </w:rPr>
                  </w:pPr>
                  <w:r w:rsidRPr="005D4222">
                    <w:t>Race</w:t>
                  </w:r>
                </w:p>
              </w:tc>
              <w:tc>
                <w:tcPr>
                  <w:tcW w:w="1620" w:type="dxa"/>
                  <w:tcBorders>
                    <w:top w:val="single" w:sz="6" w:space="0" w:color="000000"/>
                    <w:left w:val="single" w:sz="6" w:space="0" w:color="FFFFFF"/>
                    <w:bottom w:val="single" w:sz="6" w:space="0" w:color="000000"/>
                    <w:right w:val="single" w:sz="6" w:space="0" w:color="FFFFFF"/>
                  </w:tcBorders>
                  <w:shd w:val="clear" w:color="auto" w:fill="000000"/>
                  <w:tcMar>
                    <w:left w:w="86" w:type="dxa"/>
                    <w:right w:w="86" w:type="dxa"/>
                  </w:tcMar>
                  <w:vAlign w:val="bottom"/>
                  <w:hideMark/>
                </w:tcPr>
                <w:p w14:paraId="61DEBF30" w14:textId="77777777" w:rsidR="002A5E56" w:rsidRPr="005D4222" w:rsidRDefault="002A5E56" w:rsidP="002A5E56">
                  <w:pPr>
                    <w:pStyle w:val="TableHead"/>
                    <w:spacing w:before="40" w:after="40"/>
                    <w:rPr>
                      <w:rFonts w:ascii="Times New Roman" w:hAnsi="Times New Roman"/>
                      <w:sz w:val="24"/>
                      <w:szCs w:val="24"/>
                    </w:rPr>
                  </w:pPr>
                  <w:r w:rsidRPr="005D4222">
                    <w:t>Data Element</w:t>
                  </w:r>
                </w:p>
              </w:tc>
              <w:tc>
                <w:tcPr>
                  <w:tcW w:w="1620" w:type="dxa"/>
                  <w:tcBorders>
                    <w:top w:val="single" w:sz="6" w:space="0" w:color="000000"/>
                    <w:left w:val="single" w:sz="6" w:space="0" w:color="FFFFFF"/>
                    <w:bottom w:val="single" w:sz="6" w:space="0" w:color="000000"/>
                    <w:right w:val="single" w:sz="6" w:space="0" w:color="auto"/>
                  </w:tcBorders>
                  <w:shd w:val="clear" w:color="auto" w:fill="000000"/>
                  <w:tcMar>
                    <w:left w:w="86" w:type="dxa"/>
                    <w:right w:w="86" w:type="dxa"/>
                  </w:tcMar>
                  <w:vAlign w:val="bottom"/>
                  <w:hideMark/>
                </w:tcPr>
                <w:p w14:paraId="39597B04" w14:textId="77777777" w:rsidR="002A5E56" w:rsidRPr="005D4222" w:rsidRDefault="002A5E56" w:rsidP="002A5E56">
                  <w:pPr>
                    <w:pStyle w:val="TableHead"/>
                    <w:spacing w:before="40" w:after="40"/>
                    <w:rPr>
                      <w:rFonts w:ascii="Times New Roman" w:hAnsi="Times New Roman"/>
                      <w:sz w:val="24"/>
                      <w:szCs w:val="24"/>
                    </w:rPr>
                  </w:pPr>
                  <w:r w:rsidRPr="005D4222">
                    <w:t>Reporting Instructions</w:t>
                  </w:r>
                </w:p>
              </w:tc>
            </w:tr>
            <w:tr w:rsidR="002A5E56" w:rsidRPr="005D4222" w14:paraId="09D31771" w14:textId="77777777">
              <w:trPr>
                <w:trHeight w:val="300"/>
              </w:trPr>
              <w:tc>
                <w:tcPr>
                  <w:tcW w:w="1491" w:type="dxa"/>
                  <w:tcBorders>
                    <w:top w:val="single" w:sz="6" w:space="0" w:color="auto"/>
                    <w:left w:val="single" w:sz="6" w:space="0" w:color="auto"/>
                    <w:bottom w:val="single" w:sz="6" w:space="0" w:color="auto"/>
                    <w:right w:val="single" w:sz="6" w:space="0" w:color="auto"/>
                  </w:tcBorders>
                  <w:tcMar>
                    <w:left w:w="86" w:type="dxa"/>
                    <w:right w:w="86" w:type="dxa"/>
                  </w:tcMar>
                  <w:hideMark/>
                </w:tcPr>
                <w:p w14:paraId="4831DF08" w14:textId="77777777" w:rsidR="002A5E56" w:rsidRPr="005D4222" w:rsidRDefault="002A5E56" w:rsidP="002A5E56">
                  <w:pPr>
                    <w:pStyle w:val="TableText"/>
                    <w:spacing w:before="40" w:after="40"/>
                  </w:pPr>
                  <w:r w:rsidRPr="005D4222">
                    <w:t xml:space="preserve">FollowUp30Day </w:t>
                  </w:r>
                </w:p>
              </w:tc>
              <w:tc>
                <w:tcPr>
                  <w:tcW w:w="2642" w:type="dxa"/>
                  <w:tcBorders>
                    <w:top w:val="single" w:sz="6" w:space="0" w:color="000000"/>
                    <w:left w:val="single" w:sz="6" w:space="0" w:color="auto"/>
                    <w:bottom w:val="single" w:sz="6" w:space="0" w:color="auto"/>
                    <w:right w:val="single" w:sz="6" w:space="0" w:color="auto"/>
                  </w:tcBorders>
                  <w:tcMar>
                    <w:left w:w="86" w:type="dxa"/>
                    <w:right w:w="86" w:type="dxa"/>
                  </w:tcMar>
                  <w:hideMark/>
                </w:tcPr>
                <w:p w14:paraId="3C461D75" w14:textId="77777777" w:rsidR="002A5E56" w:rsidRPr="005D4222" w:rsidRDefault="002A5E56" w:rsidP="002A5E56">
                  <w:pPr>
                    <w:pStyle w:val="TableText"/>
                    <w:spacing w:before="40" w:after="40"/>
                  </w:pPr>
                  <w:r w:rsidRPr="005D4222">
                    <w:t xml:space="preserve">AmericanIndianOrAlaskaNative  </w:t>
                  </w:r>
                </w:p>
              </w:tc>
              <w:tc>
                <w:tcPr>
                  <w:tcW w:w="1620" w:type="dxa"/>
                  <w:tcBorders>
                    <w:top w:val="single" w:sz="6" w:space="0" w:color="auto"/>
                    <w:left w:val="single" w:sz="6" w:space="0" w:color="auto"/>
                    <w:bottom w:val="single" w:sz="6" w:space="0" w:color="auto"/>
                    <w:right w:val="single" w:sz="6" w:space="0" w:color="auto"/>
                  </w:tcBorders>
                  <w:shd w:val="clear" w:color="auto" w:fill="FFFFFF"/>
                  <w:tcMar>
                    <w:left w:w="86" w:type="dxa"/>
                    <w:right w:w="86" w:type="dxa"/>
                  </w:tcMar>
                  <w:hideMark/>
                </w:tcPr>
                <w:p w14:paraId="68E4EC64" w14:textId="77777777" w:rsidR="002A5E56" w:rsidRPr="005D4222" w:rsidRDefault="002A5E56" w:rsidP="002A5E56">
                  <w:pPr>
                    <w:pStyle w:val="TableText"/>
                    <w:spacing w:before="40" w:after="40"/>
                  </w:pPr>
                  <w:r w:rsidRPr="005D4222">
                    <w:t>Denominator</w:t>
                  </w:r>
                </w:p>
              </w:tc>
              <w:tc>
                <w:tcPr>
                  <w:tcW w:w="1620" w:type="dxa"/>
                  <w:tcBorders>
                    <w:top w:val="single" w:sz="6" w:space="0" w:color="auto"/>
                    <w:left w:val="single" w:sz="6" w:space="0" w:color="auto"/>
                    <w:bottom w:val="single" w:sz="6" w:space="0" w:color="auto"/>
                    <w:right w:val="single" w:sz="6" w:space="0" w:color="auto"/>
                  </w:tcBorders>
                  <w:shd w:val="clear" w:color="auto" w:fill="FFFFFF"/>
                  <w:tcMar>
                    <w:left w:w="86" w:type="dxa"/>
                    <w:right w:w="86" w:type="dxa"/>
                  </w:tcMar>
                  <w:hideMark/>
                </w:tcPr>
                <w:p w14:paraId="314D9ED5" w14:textId="77777777" w:rsidR="002A5E56" w:rsidRPr="005D4222" w:rsidRDefault="002A5E56" w:rsidP="002A5E56">
                  <w:pPr>
                    <w:pStyle w:val="TableText"/>
                    <w:spacing w:before="40" w:after="40"/>
                  </w:pPr>
                  <w:r w:rsidRPr="005D4222">
                    <w:t>For each Stratification, repeat per Metric</w:t>
                  </w:r>
                </w:p>
              </w:tc>
            </w:tr>
            <w:tr w:rsidR="002A5E56" w:rsidRPr="005D4222" w14:paraId="7BA590D7" w14:textId="77777777">
              <w:trPr>
                <w:trHeight w:val="300"/>
              </w:trPr>
              <w:tc>
                <w:tcPr>
                  <w:tcW w:w="1491" w:type="dxa"/>
                  <w:tcBorders>
                    <w:top w:val="single" w:sz="6" w:space="0" w:color="auto"/>
                    <w:left w:val="single" w:sz="6" w:space="0" w:color="auto"/>
                    <w:bottom w:val="single" w:sz="6" w:space="0" w:color="auto"/>
                    <w:right w:val="single" w:sz="6" w:space="0" w:color="auto"/>
                  </w:tcBorders>
                  <w:shd w:val="clear" w:color="auto" w:fill="FFFFFF"/>
                  <w:tcMar>
                    <w:left w:w="86" w:type="dxa"/>
                    <w:right w:w="86" w:type="dxa"/>
                  </w:tcMar>
                  <w:hideMark/>
                </w:tcPr>
                <w:p w14:paraId="0236F729" w14:textId="77777777" w:rsidR="002A5E56" w:rsidRPr="005D4222" w:rsidRDefault="002A5E56" w:rsidP="002A5E56">
                  <w:pPr>
                    <w:pStyle w:val="TableText"/>
                    <w:spacing w:before="40" w:after="40"/>
                  </w:pPr>
                  <w:r w:rsidRPr="005D4222">
                    <w:t xml:space="preserve">FollowUp7Day </w:t>
                  </w:r>
                </w:p>
              </w:tc>
              <w:tc>
                <w:tcPr>
                  <w:tcW w:w="2642" w:type="dxa"/>
                  <w:tcBorders>
                    <w:top w:val="single" w:sz="6" w:space="0" w:color="auto"/>
                    <w:left w:val="single" w:sz="6" w:space="0" w:color="auto"/>
                    <w:bottom w:val="single" w:sz="6" w:space="0" w:color="auto"/>
                    <w:right w:val="single" w:sz="6" w:space="0" w:color="auto"/>
                  </w:tcBorders>
                  <w:shd w:val="clear" w:color="auto" w:fill="FFFFFF"/>
                  <w:tcMar>
                    <w:left w:w="86" w:type="dxa"/>
                    <w:right w:w="86" w:type="dxa"/>
                  </w:tcMar>
                  <w:hideMark/>
                </w:tcPr>
                <w:p w14:paraId="11B4A0B6" w14:textId="77777777" w:rsidR="002A5E56" w:rsidRPr="005D4222" w:rsidRDefault="002A5E56" w:rsidP="002A5E56">
                  <w:pPr>
                    <w:pStyle w:val="TableText"/>
                    <w:spacing w:before="40" w:after="40"/>
                  </w:pPr>
                  <w:r w:rsidRPr="005D4222">
                    <w:t xml:space="preserve">Asian </w:t>
                  </w:r>
                </w:p>
              </w:tc>
              <w:tc>
                <w:tcPr>
                  <w:tcW w:w="1620" w:type="dxa"/>
                  <w:tcBorders>
                    <w:top w:val="single" w:sz="6" w:space="0" w:color="auto"/>
                    <w:left w:val="single" w:sz="6" w:space="0" w:color="auto"/>
                    <w:bottom w:val="single" w:sz="6" w:space="0" w:color="auto"/>
                    <w:right w:val="single" w:sz="6" w:space="0" w:color="auto"/>
                  </w:tcBorders>
                  <w:shd w:val="clear" w:color="auto" w:fill="FFFFFF"/>
                  <w:tcMar>
                    <w:left w:w="86" w:type="dxa"/>
                    <w:right w:w="86" w:type="dxa"/>
                  </w:tcMar>
                </w:tcPr>
                <w:p w14:paraId="59861E2A" w14:textId="77777777" w:rsidR="002A5E56" w:rsidRPr="005D4222" w:rsidRDefault="002A5E56" w:rsidP="002A5E56">
                  <w:pPr>
                    <w:pStyle w:val="TableText"/>
                    <w:spacing w:before="40" w:after="40"/>
                  </w:pPr>
                  <w:r w:rsidRPr="005D4222">
                    <w:t xml:space="preserve">Numerator </w:t>
                  </w:r>
                </w:p>
              </w:tc>
              <w:tc>
                <w:tcPr>
                  <w:tcW w:w="1620" w:type="dxa"/>
                  <w:tcBorders>
                    <w:top w:val="single" w:sz="6" w:space="0" w:color="auto"/>
                    <w:left w:val="single" w:sz="6" w:space="0" w:color="auto"/>
                    <w:bottom w:val="single" w:sz="6" w:space="0" w:color="auto"/>
                    <w:right w:val="single" w:sz="6" w:space="0" w:color="auto"/>
                  </w:tcBorders>
                  <w:shd w:val="clear" w:color="auto" w:fill="FFFFFF"/>
                  <w:tcMar>
                    <w:left w:w="86" w:type="dxa"/>
                    <w:right w:w="86" w:type="dxa"/>
                  </w:tcMar>
                </w:tcPr>
                <w:p w14:paraId="09401D02" w14:textId="77777777" w:rsidR="002A5E56" w:rsidRPr="005D4222" w:rsidRDefault="002A5E56" w:rsidP="002A5E56">
                  <w:pPr>
                    <w:pStyle w:val="TableText"/>
                    <w:spacing w:before="40" w:after="40"/>
                  </w:pPr>
                  <w:r w:rsidRPr="005D4222">
                    <w:t xml:space="preserve">For each Metric and Stratification </w:t>
                  </w:r>
                </w:p>
              </w:tc>
            </w:tr>
            <w:tr w:rsidR="002A5E56" w:rsidRPr="005D4222" w14:paraId="347A9258" w14:textId="77777777">
              <w:trPr>
                <w:trHeight w:val="300"/>
              </w:trPr>
              <w:tc>
                <w:tcPr>
                  <w:tcW w:w="1491" w:type="dxa"/>
                  <w:tcBorders>
                    <w:top w:val="single" w:sz="6" w:space="0" w:color="auto"/>
                    <w:left w:val="nil"/>
                    <w:bottom w:val="nil"/>
                    <w:right w:val="single" w:sz="6" w:space="0" w:color="auto"/>
                  </w:tcBorders>
                  <w:tcMar>
                    <w:left w:w="86" w:type="dxa"/>
                    <w:right w:w="86" w:type="dxa"/>
                  </w:tcMar>
                  <w:hideMark/>
                </w:tcPr>
                <w:p w14:paraId="19B29460" w14:textId="77777777" w:rsidR="002A5E56" w:rsidRPr="005D4222" w:rsidRDefault="002A5E56" w:rsidP="002A5E56">
                  <w:pPr>
                    <w:pStyle w:val="TableText"/>
                    <w:spacing w:before="40" w:after="40"/>
                  </w:pPr>
                  <w:r w:rsidRPr="005D4222">
                    <w:t xml:space="preserve"> </w:t>
                  </w:r>
                </w:p>
              </w:tc>
              <w:tc>
                <w:tcPr>
                  <w:tcW w:w="2642" w:type="dxa"/>
                  <w:tcBorders>
                    <w:top w:val="single" w:sz="6" w:space="0" w:color="auto"/>
                    <w:left w:val="single" w:sz="6" w:space="0" w:color="auto"/>
                    <w:bottom w:val="single" w:sz="6" w:space="0" w:color="auto"/>
                    <w:right w:val="single" w:sz="6" w:space="0" w:color="auto"/>
                  </w:tcBorders>
                  <w:tcMar>
                    <w:left w:w="86" w:type="dxa"/>
                    <w:right w:w="86" w:type="dxa"/>
                  </w:tcMar>
                  <w:hideMark/>
                </w:tcPr>
                <w:p w14:paraId="72F2DB8C" w14:textId="77777777" w:rsidR="002A5E56" w:rsidRPr="005D4222" w:rsidRDefault="002A5E56" w:rsidP="002A5E56">
                  <w:pPr>
                    <w:pStyle w:val="TableText"/>
                    <w:spacing w:before="40" w:after="40"/>
                  </w:pPr>
                  <w:r w:rsidRPr="005D4222">
                    <w:t xml:space="preserve">BlackOrAfricanAmerican </w:t>
                  </w:r>
                </w:p>
              </w:tc>
              <w:tc>
                <w:tcPr>
                  <w:tcW w:w="162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86" w:type="dxa"/>
                    <w:right w:w="86" w:type="dxa"/>
                  </w:tcMar>
                </w:tcPr>
                <w:p w14:paraId="69DD7E4C" w14:textId="77777777" w:rsidR="002A5E56" w:rsidRPr="005D4222" w:rsidRDefault="002A5E56" w:rsidP="002A5E56">
                  <w:pPr>
                    <w:pStyle w:val="TableText"/>
                    <w:spacing w:before="40" w:after="40"/>
                  </w:pPr>
                  <w:r w:rsidRPr="005D4222">
                    <w:t xml:space="preserve">Rate </w:t>
                  </w:r>
                </w:p>
              </w:tc>
              <w:tc>
                <w:tcPr>
                  <w:tcW w:w="162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86" w:type="dxa"/>
                    <w:right w:w="86" w:type="dxa"/>
                  </w:tcMar>
                </w:tcPr>
                <w:p w14:paraId="71430DF0" w14:textId="77777777" w:rsidR="002A5E56" w:rsidRPr="005D4222" w:rsidRDefault="002A5E56" w:rsidP="002A5E56">
                  <w:pPr>
                    <w:pStyle w:val="TableText"/>
                    <w:spacing w:before="40" w:after="40"/>
                  </w:pPr>
                  <w:r w:rsidRPr="005D4222">
                    <w:t xml:space="preserve">(Percent) </w:t>
                  </w:r>
                </w:p>
              </w:tc>
            </w:tr>
          </w:tbl>
          <w:p w14:paraId="5D4D1202" w14:textId="77777777" w:rsidR="002A5E56" w:rsidRPr="005D4222" w:rsidRDefault="002A5E56">
            <w:pPr>
              <w:spacing w:before="40" w:after="80"/>
            </w:pPr>
          </w:p>
        </w:tc>
      </w:tr>
      <w:tr w:rsidR="002A5E56" w:rsidRPr="005D4222" w14:paraId="7C0D50EC" w14:textId="77777777" w:rsidTr="002A5E56">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89DD1DB" w14:textId="77777777" w:rsidR="002A5E56" w:rsidRPr="005D4222" w:rsidRDefault="002A5E56">
            <w:pPr>
              <w:pStyle w:val="ECDSMarginHead"/>
            </w:pP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798872C8" w14:textId="77777777" w:rsidR="002A5E56" w:rsidRPr="005D4222" w:rsidRDefault="002A5E56">
            <w:pPr>
              <w:rPr>
                <w:sz w:val="10"/>
                <w:szCs w:val="10"/>
              </w:rPr>
            </w:pPr>
          </w:p>
          <w:tbl>
            <w:tblPr>
              <w:tblW w:w="7381"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613"/>
              <w:gridCol w:w="3022"/>
              <w:gridCol w:w="1486"/>
              <w:gridCol w:w="1260"/>
            </w:tblGrid>
            <w:tr w:rsidR="002A5E56" w:rsidRPr="005D4222" w14:paraId="36FB38B3" w14:textId="77777777" w:rsidTr="001D30D9">
              <w:trPr>
                <w:trHeight w:val="300"/>
              </w:trPr>
              <w:tc>
                <w:tcPr>
                  <w:tcW w:w="1613" w:type="dxa"/>
                  <w:tcBorders>
                    <w:top w:val="single" w:sz="6" w:space="0" w:color="000000"/>
                    <w:left w:val="single" w:sz="6" w:space="0" w:color="auto"/>
                    <w:bottom w:val="single" w:sz="6" w:space="0" w:color="auto"/>
                    <w:right w:val="single" w:sz="6" w:space="0" w:color="FFFFFF"/>
                  </w:tcBorders>
                  <w:shd w:val="clear" w:color="auto" w:fill="000000"/>
                  <w:tcMar>
                    <w:left w:w="86" w:type="dxa"/>
                    <w:right w:w="86" w:type="dxa"/>
                  </w:tcMar>
                  <w:vAlign w:val="bottom"/>
                  <w:hideMark/>
                </w:tcPr>
                <w:p w14:paraId="02A853A7" w14:textId="77777777" w:rsidR="002A5E56" w:rsidRPr="005D4222" w:rsidRDefault="002A5E56">
                  <w:pPr>
                    <w:pStyle w:val="TableHead"/>
                    <w:rPr>
                      <w:rFonts w:ascii="Times New Roman" w:hAnsi="Times New Roman"/>
                      <w:sz w:val="24"/>
                      <w:szCs w:val="24"/>
                    </w:rPr>
                  </w:pPr>
                  <w:r w:rsidRPr="005D4222">
                    <w:t>Metric</w:t>
                  </w:r>
                </w:p>
              </w:tc>
              <w:tc>
                <w:tcPr>
                  <w:tcW w:w="3022" w:type="dxa"/>
                  <w:tcBorders>
                    <w:top w:val="single" w:sz="6" w:space="0" w:color="000000"/>
                    <w:left w:val="single" w:sz="6" w:space="0" w:color="FFFFFF"/>
                    <w:bottom w:val="single" w:sz="6" w:space="0" w:color="000000"/>
                    <w:right w:val="single" w:sz="6" w:space="0" w:color="FFFFFF"/>
                  </w:tcBorders>
                  <w:shd w:val="clear" w:color="auto" w:fill="000000"/>
                  <w:tcMar>
                    <w:left w:w="86" w:type="dxa"/>
                    <w:right w:w="86" w:type="dxa"/>
                  </w:tcMar>
                  <w:vAlign w:val="bottom"/>
                  <w:hideMark/>
                </w:tcPr>
                <w:p w14:paraId="0E9DDDDA" w14:textId="77777777" w:rsidR="002A5E56" w:rsidRPr="005D4222" w:rsidRDefault="002A5E56">
                  <w:pPr>
                    <w:pStyle w:val="TableHead"/>
                    <w:rPr>
                      <w:rFonts w:ascii="Times New Roman" w:hAnsi="Times New Roman"/>
                      <w:sz w:val="24"/>
                      <w:szCs w:val="24"/>
                    </w:rPr>
                  </w:pPr>
                  <w:r w:rsidRPr="005D4222">
                    <w:t>Race</w:t>
                  </w:r>
                </w:p>
              </w:tc>
              <w:tc>
                <w:tcPr>
                  <w:tcW w:w="1486" w:type="dxa"/>
                  <w:tcBorders>
                    <w:top w:val="single" w:sz="6" w:space="0" w:color="000000"/>
                    <w:left w:val="single" w:sz="6" w:space="0" w:color="FFFFFF"/>
                    <w:bottom w:val="nil"/>
                    <w:right w:val="single" w:sz="6" w:space="0" w:color="FFFFFF"/>
                  </w:tcBorders>
                  <w:shd w:val="clear" w:color="auto" w:fill="000000"/>
                  <w:tcMar>
                    <w:left w:w="86" w:type="dxa"/>
                    <w:right w:w="86" w:type="dxa"/>
                  </w:tcMar>
                  <w:vAlign w:val="bottom"/>
                  <w:hideMark/>
                </w:tcPr>
                <w:p w14:paraId="59549FCE" w14:textId="77777777" w:rsidR="002A5E56" w:rsidRPr="005D4222" w:rsidRDefault="002A5E56">
                  <w:pPr>
                    <w:pStyle w:val="TableHead"/>
                    <w:rPr>
                      <w:rFonts w:ascii="Times New Roman" w:hAnsi="Times New Roman"/>
                      <w:sz w:val="24"/>
                      <w:szCs w:val="24"/>
                    </w:rPr>
                  </w:pPr>
                  <w:r w:rsidRPr="005D4222">
                    <w:t>Data Element</w:t>
                  </w:r>
                </w:p>
              </w:tc>
              <w:tc>
                <w:tcPr>
                  <w:tcW w:w="1260" w:type="dxa"/>
                  <w:tcBorders>
                    <w:top w:val="single" w:sz="6" w:space="0" w:color="000000"/>
                    <w:left w:val="single" w:sz="6" w:space="0" w:color="FFFFFF"/>
                    <w:bottom w:val="nil"/>
                    <w:right w:val="single" w:sz="6" w:space="0" w:color="auto"/>
                  </w:tcBorders>
                  <w:shd w:val="clear" w:color="auto" w:fill="000000"/>
                  <w:tcMar>
                    <w:left w:w="86" w:type="dxa"/>
                    <w:right w:w="86" w:type="dxa"/>
                  </w:tcMar>
                  <w:vAlign w:val="bottom"/>
                  <w:hideMark/>
                </w:tcPr>
                <w:p w14:paraId="1E8387BE" w14:textId="77777777" w:rsidR="002A5E56" w:rsidRPr="005D4222" w:rsidRDefault="002A5E56">
                  <w:pPr>
                    <w:pStyle w:val="TableHead"/>
                    <w:rPr>
                      <w:rFonts w:ascii="Times New Roman" w:hAnsi="Times New Roman"/>
                      <w:sz w:val="24"/>
                      <w:szCs w:val="24"/>
                    </w:rPr>
                  </w:pPr>
                  <w:r w:rsidRPr="005D4222">
                    <w:t>Reporting Instructions</w:t>
                  </w:r>
                </w:p>
              </w:tc>
            </w:tr>
            <w:tr w:rsidR="002A5E56" w:rsidRPr="005D4222" w14:paraId="00148503" w14:textId="77777777" w:rsidTr="001D30D9">
              <w:trPr>
                <w:trHeight w:val="300"/>
              </w:trPr>
              <w:tc>
                <w:tcPr>
                  <w:tcW w:w="1613" w:type="dxa"/>
                  <w:tcBorders>
                    <w:top w:val="nil"/>
                    <w:left w:val="nil"/>
                    <w:bottom w:val="nil"/>
                    <w:right w:val="single" w:sz="6" w:space="0" w:color="auto"/>
                  </w:tcBorders>
                  <w:tcMar>
                    <w:left w:w="86" w:type="dxa"/>
                    <w:right w:w="86" w:type="dxa"/>
                  </w:tcMar>
                  <w:hideMark/>
                </w:tcPr>
                <w:p w14:paraId="5EBAF91A" w14:textId="77777777" w:rsidR="002A5E56" w:rsidRPr="005D4222" w:rsidRDefault="002A5E56">
                  <w:pPr>
                    <w:pStyle w:val="TableText"/>
                    <w:rPr>
                      <w:rFonts w:ascii="Times New Roman" w:hAnsi="Times New Roman"/>
                      <w:sz w:val="24"/>
                      <w:szCs w:val="24"/>
                    </w:rPr>
                  </w:pPr>
                </w:p>
              </w:tc>
              <w:tc>
                <w:tcPr>
                  <w:tcW w:w="3022" w:type="dxa"/>
                  <w:tcBorders>
                    <w:top w:val="single" w:sz="6" w:space="0" w:color="000000"/>
                    <w:left w:val="single" w:sz="6" w:space="0" w:color="auto"/>
                    <w:bottom w:val="single" w:sz="6" w:space="0" w:color="auto"/>
                    <w:right w:val="single" w:sz="4" w:space="0" w:color="auto"/>
                  </w:tcBorders>
                  <w:tcMar>
                    <w:left w:w="86" w:type="dxa"/>
                    <w:right w:w="86" w:type="dxa"/>
                  </w:tcMar>
                </w:tcPr>
                <w:p w14:paraId="45F33EA0" w14:textId="77777777" w:rsidR="002A5E56" w:rsidRPr="005D4222" w:rsidRDefault="002A5E56">
                  <w:pPr>
                    <w:pStyle w:val="TableText"/>
                    <w:rPr>
                      <w:rFonts w:ascii="Times New Roman" w:hAnsi="Times New Roman"/>
                      <w:sz w:val="24"/>
                      <w:szCs w:val="24"/>
                    </w:rPr>
                  </w:pPr>
                  <w:r w:rsidRPr="005D4222">
                    <w:t>MiddleEasternOrNorthAfrican</w:t>
                  </w:r>
                </w:p>
              </w:tc>
              <w:tc>
                <w:tcPr>
                  <w:tcW w:w="1486" w:type="dxa"/>
                  <w:tcBorders>
                    <w:top w:val="nil"/>
                    <w:left w:val="single" w:sz="4" w:space="0" w:color="auto"/>
                    <w:bottom w:val="nil"/>
                    <w:right w:val="nil"/>
                  </w:tcBorders>
                  <w:tcMar>
                    <w:left w:w="86" w:type="dxa"/>
                    <w:right w:w="86" w:type="dxa"/>
                  </w:tcMar>
                </w:tcPr>
                <w:p w14:paraId="1FB65459" w14:textId="77777777" w:rsidR="002A5E56" w:rsidRPr="005D4222" w:rsidRDefault="002A5E56">
                  <w:pPr>
                    <w:pStyle w:val="TableText"/>
                    <w:rPr>
                      <w:rFonts w:ascii="Times New Roman" w:hAnsi="Times New Roman"/>
                      <w:sz w:val="24"/>
                      <w:szCs w:val="24"/>
                    </w:rPr>
                  </w:pPr>
                </w:p>
              </w:tc>
              <w:tc>
                <w:tcPr>
                  <w:tcW w:w="1260" w:type="dxa"/>
                  <w:tcBorders>
                    <w:top w:val="nil"/>
                    <w:left w:val="nil"/>
                    <w:bottom w:val="nil"/>
                    <w:right w:val="nil"/>
                  </w:tcBorders>
                  <w:tcMar>
                    <w:left w:w="86" w:type="dxa"/>
                    <w:right w:w="86" w:type="dxa"/>
                  </w:tcMar>
                </w:tcPr>
                <w:p w14:paraId="30CE941A" w14:textId="77777777" w:rsidR="002A5E56" w:rsidRPr="005D4222" w:rsidRDefault="002A5E56">
                  <w:pPr>
                    <w:pStyle w:val="TableText"/>
                    <w:rPr>
                      <w:rFonts w:ascii="Times New Roman" w:hAnsi="Times New Roman"/>
                      <w:sz w:val="24"/>
                      <w:szCs w:val="24"/>
                    </w:rPr>
                  </w:pPr>
                </w:p>
              </w:tc>
            </w:tr>
            <w:tr w:rsidR="002A5E56" w:rsidRPr="005D4222" w14:paraId="2CA06689" w14:textId="77777777" w:rsidTr="001D30D9">
              <w:trPr>
                <w:trHeight w:val="300"/>
              </w:trPr>
              <w:tc>
                <w:tcPr>
                  <w:tcW w:w="1613" w:type="dxa"/>
                  <w:tcBorders>
                    <w:top w:val="nil"/>
                    <w:left w:val="nil"/>
                    <w:bottom w:val="nil"/>
                    <w:right w:val="single" w:sz="6" w:space="0" w:color="auto"/>
                  </w:tcBorders>
                  <w:tcMar>
                    <w:left w:w="86" w:type="dxa"/>
                    <w:right w:w="86" w:type="dxa"/>
                  </w:tcMar>
                  <w:hideMark/>
                </w:tcPr>
                <w:p w14:paraId="2E3F7638" w14:textId="77777777" w:rsidR="002A5E56" w:rsidRPr="005D4222" w:rsidRDefault="002A5E56">
                  <w:pPr>
                    <w:pStyle w:val="TableText"/>
                    <w:rPr>
                      <w:rFonts w:ascii="Times New Roman" w:hAnsi="Times New Roman"/>
                      <w:sz w:val="24"/>
                      <w:szCs w:val="24"/>
                    </w:rPr>
                  </w:pPr>
                  <w:r w:rsidRPr="005D4222">
                    <w:t xml:space="preserve"> </w:t>
                  </w:r>
                </w:p>
              </w:tc>
              <w:tc>
                <w:tcPr>
                  <w:tcW w:w="3022" w:type="dxa"/>
                  <w:tcBorders>
                    <w:top w:val="single" w:sz="6" w:space="0" w:color="000000"/>
                    <w:left w:val="single" w:sz="6" w:space="0" w:color="auto"/>
                    <w:bottom w:val="single" w:sz="6" w:space="0" w:color="auto"/>
                    <w:right w:val="single" w:sz="4" w:space="0" w:color="auto"/>
                  </w:tcBorders>
                  <w:tcMar>
                    <w:left w:w="86" w:type="dxa"/>
                    <w:right w:w="86" w:type="dxa"/>
                  </w:tcMar>
                  <w:hideMark/>
                </w:tcPr>
                <w:p w14:paraId="53A709AD" w14:textId="77777777" w:rsidR="002A5E56" w:rsidRPr="005D4222" w:rsidRDefault="002A5E56">
                  <w:pPr>
                    <w:pStyle w:val="TableText"/>
                    <w:rPr>
                      <w:rFonts w:ascii="Times New Roman" w:hAnsi="Times New Roman"/>
                      <w:sz w:val="24"/>
                      <w:szCs w:val="24"/>
                    </w:rPr>
                  </w:pPr>
                  <w:r w:rsidRPr="005D4222">
                    <w:t xml:space="preserve">NativeHawaiianOrPacificIslander </w:t>
                  </w:r>
                  <w:r w:rsidRPr="005D4222" w:rsidDel="009D1419">
                    <w:t xml:space="preserve"> </w:t>
                  </w:r>
                  <w:r w:rsidRPr="005D4222">
                    <w:t xml:space="preserve"> </w:t>
                  </w:r>
                </w:p>
              </w:tc>
              <w:tc>
                <w:tcPr>
                  <w:tcW w:w="1486" w:type="dxa"/>
                  <w:tcBorders>
                    <w:top w:val="nil"/>
                    <w:left w:val="nil"/>
                    <w:bottom w:val="nil"/>
                    <w:right w:val="nil"/>
                  </w:tcBorders>
                  <w:tcMar>
                    <w:left w:w="86" w:type="dxa"/>
                    <w:right w:w="86" w:type="dxa"/>
                  </w:tcMar>
                  <w:hideMark/>
                </w:tcPr>
                <w:p w14:paraId="4A2B1654" w14:textId="77777777" w:rsidR="002A5E56" w:rsidRPr="005D4222" w:rsidRDefault="002A5E56">
                  <w:pPr>
                    <w:pStyle w:val="TableText"/>
                    <w:rPr>
                      <w:rFonts w:ascii="Times New Roman" w:hAnsi="Times New Roman"/>
                      <w:sz w:val="24"/>
                      <w:szCs w:val="24"/>
                    </w:rPr>
                  </w:pPr>
                  <w:r w:rsidRPr="005D4222">
                    <w:t xml:space="preserve"> </w:t>
                  </w:r>
                </w:p>
              </w:tc>
              <w:tc>
                <w:tcPr>
                  <w:tcW w:w="1260" w:type="dxa"/>
                  <w:tcBorders>
                    <w:top w:val="nil"/>
                    <w:left w:val="nil"/>
                    <w:bottom w:val="nil"/>
                    <w:right w:val="nil"/>
                  </w:tcBorders>
                </w:tcPr>
                <w:p w14:paraId="72045E3E" w14:textId="77777777" w:rsidR="002A5E56" w:rsidRPr="005D4222" w:rsidRDefault="002A5E56">
                  <w:pPr>
                    <w:spacing w:after="160" w:line="259" w:lineRule="auto"/>
                  </w:pPr>
                  <w:r w:rsidRPr="005D4222">
                    <w:t xml:space="preserve"> </w:t>
                  </w:r>
                </w:p>
              </w:tc>
            </w:tr>
            <w:tr w:rsidR="002A5E56" w:rsidRPr="005D4222" w14:paraId="69691529" w14:textId="77777777" w:rsidTr="001D30D9">
              <w:trPr>
                <w:trHeight w:val="300"/>
              </w:trPr>
              <w:tc>
                <w:tcPr>
                  <w:tcW w:w="1613" w:type="dxa"/>
                  <w:tcBorders>
                    <w:top w:val="nil"/>
                    <w:left w:val="nil"/>
                    <w:bottom w:val="nil"/>
                    <w:right w:val="single" w:sz="6" w:space="0" w:color="auto"/>
                  </w:tcBorders>
                  <w:tcMar>
                    <w:left w:w="86" w:type="dxa"/>
                    <w:right w:w="86" w:type="dxa"/>
                  </w:tcMar>
                  <w:hideMark/>
                </w:tcPr>
                <w:p w14:paraId="208A72E8" w14:textId="77777777" w:rsidR="002A5E56" w:rsidRPr="005D4222" w:rsidRDefault="002A5E56">
                  <w:pPr>
                    <w:pStyle w:val="TableText"/>
                    <w:rPr>
                      <w:rFonts w:ascii="Times New Roman" w:hAnsi="Times New Roman"/>
                      <w:sz w:val="24"/>
                      <w:szCs w:val="24"/>
                    </w:rPr>
                  </w:pPr>
                  <w:r w:rsidRPr="005D4222">
                    <w:t xml:space="preserve"> </w:t>
                  </w:r>
                </w:p>
              </w:tc>
              <w:tc>
                <w:tcPr>
                  <w:tcW w:w="3022" w:type="dxa"/>
                  <w:tcBorders>
                    <w:top w:val="single" w:sz="6" w:space="0" w:color="auto"/>
                    <w:left w:val="single" w:sz="6" w:space="0" w:color="auto"/>
                    <w:bottom w:val="single" w:sz="6" w:space="0" w:color="auto"/>
                    <w:right w:val="single" w:sz="4" w:space="0" w:color="auto"/>
                  </w:tcBorders>
                  <w:tcMar>
                    <w:left w:w="86" w:type="dxa"/>
                    <w:right w:w="86" w:type="dxa"/>
                  </w:tcMar>
                  <w:hideMark/>
                </w:tcPr>
                <w:p w14:paraId="7A66FFA6" w14:textId="77777777" w:rsidR="002A5E56" w:rsidRPr="005D4222" w:rsidRDefault="002A5E56">
                  <w:pPr>
                    <w:pStyle w:val="TableText"/>
                    <w:rPr>
                      <w:rFonts w:ascii="Times New Roman" w:hAnsi="Times New Roman"/>
                      <w:sz w:val="24"/>
                      <w:szCs w:val="24"/>
                    </w:rPr>
                  </w:pPr>
                  <w:r w:rsidRPr="005D4222">
                    <w:t xml:space="preserve">White </w:t>
                  </w:r>
                </w:p>
              </w:tc>
              <w:tc>
                <w:tcPr>
                  <w:tcW w:w="1486" w:type="dxa"/>
                  <w:tcBorders>
                    <w:top w:val="nil"/>
                    <w:left w:val="nil"/>
                    <w:bottom w:val="nil"/>
                    <w:right w:val="nil"/>
                  </w:tcBorders>
                  <w:tcMar>
                    <w:left w:w="86" w:type="dxa"/>
                    <w:right w:w="86" w:type="dxa"/>
                  </w:tcMar>
                  <w:hideMark/>
                </w:tcPr>
                <w:p w14:paraId="5C6A8D8C" w14:textId="77777777" w:rsidR="002A5E56" w:rsidRPr="005D4222" w:rsidRDefault="002A5E56">
                  <w:pPr>
                    <w:pStyle w:val="TableText"/>
                    <w:rPr>
                      <w:rFonts w:ascii="Times New Roman" w:hAnsi="Times New Roman"/>
                      <w:sz w:val="24"/>
                      <w:szCs w:val="24"/>
                    </w:rPr>
                  </w:pPr>
                  <w:r w:rsidRPr="005D4222">
                    <w:t xml:space="preserve"> </w:t>
                  </w:r>
                </w:p>
              </w:tc>
              <w:tc>
                <w:tcPr>
                  <w:tcW w:w="1260" w:type="dxa"/>
                  <w:tcBorders>
                    <w:top w:val="nil"/>
                    <w:bottom w:val="nil"/>
                    <w:right w:val="nil"/>
                  </w:tcBorders>
                  <w:tcMar>
                    <w:left w:w="86" w:type="dxa"/>
                    <w:right w:w="86" w:type="dxa"/>
                  </w:tcMar>
                  <w:hideMark/>
                </w:tcPr>
                <w:p w14:paraId="7EC512A4" w14:textId="77777777" w:rsidR="002A5E56" w:rsidRPr="005D4222" w:rsidRDefault="002A5E56">
                  <w:pPr>
                    <w:pStyle w:val="TableText"/>
                    <w:rPr>
                      <w:rFonts w:ascii="Times New Roman" w:hAnsi="Times New Roman"/>
                      <w:sz w:val="24"/>
                      <w:szCs w:val="24"/>
                    </w:rPr>
                  </w:pPr>
                </w:p>
              </w:tc>
            </w:tr>
            <w:tr w:rsidR="002A5E56" w:rsidRPr="005D4222" w14:paraId="02182CDB" w14:textId="77777777" w:rsidTr="001D30D9">
              <w:trPr>
                <w:trHeight w:val="300"/>
              </w:trPr>
              <w:tc>
                <w:tcPr>
                  <w:tcW w:w="1613" w:type="dxa"/>
                  <w:tcBorders>
                    <w:top w:val="nil"/>
                    <w:left w:val="nil"/>
                    <w:bottom w:val="nil"/>
                    <w:right w:val="single" w:sz="6" w:space="0" w:color="auto"/>
                  </w:tcBorders>
                  <w:tcMar>
                    <w:left w:w="86" w:type="dxa"/>
                    <w:right w:w="86" w:type="dxa"/>
                  </w:tcMar>
                  <w:hideMark/>
                </w:tcPr>
                <w:p w14:paraId="7F5DC232" w14:textId="77777777" w:rsidR="002A5E56" w:rsidRPr="005D4222" w:rsidRDefault="002A5E56">
                  <w:pPr>
                    <w:pStyle w:val="TableText"/>
                    <w:rPr>
                      <w:rFonts w:ascii="Times New Roman" w:hAnsi="Times New Roman"/>
                      <w:sz w:val="24"/>
                      <w:szCs w:val="24"/>
                    </w:rPr>
                  </w:pPr>
                  <w:r w:rsidRPr="005D4222">
                    <w:t xml:space="preserve"> </w:t>
                  </w:r>
                </w:p>
              </w:tc>
              <w:tc>
                <w:tcPr>
                  <w:tcW w:w="3022" w:type="dxa"/>
                  <w:tcBorders>
                    <w:top w:val="single" w:sz="6" w:space="0" w:color="auto"/>
                    <w:left w:val="single" w:sz="6" w:space="0" w:color="auto"/>
                    <w:bottom w:val="single" w:sz="6" w:space="0" w:color="auto"/>
                    <w:right w:val="single" w:sz="6" w:space="0" w:color="auto"/>
                  </w:tcBorders>
                  <w:tcMar>
                    <w:left w:w="86" w:type="dxa"/>
                    <w:right w:w="86" w:type="dxa"/>
                  </w:tcMar>
                  <w:hideMark/>
                </w:tcPr>
                <w:p w14:paraId="4AF0057A" w14:textId="77777777" w:rsidR="002A5E56" w:rsidRPr="005D4222" w:rsidRDefault="002A5E56">
                  <w:pPr>
                    <w:pStyle w:val="TableText"/>
                    <w:rPr>
                      <w:rFonts w:ascii="Times New Roman" w:hAnsi="Times New Roman"/>
                      <w:sz w:val="24"/>
                      <w:szCs w:val="24"/>
                    </w:rPr>
                  </w:pPr>
                  <w:r w:rsidRPr="005D4222">
                    <w:t xml:space="preserve">SomeOtherRace </w:t>
                  </w:r>
                </w:p>
              </w:tc>
              <w:tc>
                <w:tcPr>
                  <w:tcW w:w="1486" w:type="dxa"/>
                  <w:tcBorders>
                    <w:top w:val="nil"/>
                    <w:left w:val="nil"/>
                    <w:bottom w:val="nil"/>
                    <w:right w:val="nil"/>
                  </w:tcBorders>
                  <w:tcMar>
                    <w:left w:w="86" w:type="dxa"/>
                    <w:right w:w="86" w:type="dxa"/>
                  </w:tcMar>
                  <w:hideMark/>
                </w:tcPr>
                <w:p w14:paraId="750F0956" w14:textId="77777777" w:rsidR="002A5E56" w:rsidRPr="005D4222" w:rsidRDefault="002A5E56">
                  <w:pPr>
                    <w:pStyle w:val="TableText"/>
                    <w:rPr>
                      <w:rFonts w:ascii="Times New Roman" w:hAnsi="Times New Roman"/>
                      <w:sz w:val="24"/>
                      <w:szCs w:val="24"/>
                    </w:rPr>
                  </w:pPr>
                  <w:r w:rsidRPr="005D4222">
                    <w:t xml:space="preserve"> </w:t>
                  </w:r>
                </w:p>
              </w:tc>
              <w:tc>
                <w:tcPr>
                  <w:tcW w:w="1260" w:type="dxa"/>
                  <w:tcBorders>
                    <w:top w:val="nil"/>
                    <w:left w:val="nil"/>
                    <w:bottom w:val="nil"/>
                    <w:right w:val="nil"/>
                  </w:tcBorders>
                  <w:tcMar>
                    <w:left w:w="86" w:type="dxa"/>
                    <w:right w:w="86" w:type="dxa"/>
                  </w:tcMar>
                  <w:hideMark/>
                </w:tcPr>
                <w:p w14:paraId="5CE61749" w14:textId="77777777" w:rsidR="002A5E56" w:rsidRPr="005D4222" w:rsidRDefault="002A5E56">
                  <w:pPr>
                    <w:pStyle w:val="TableText"/>
                    <w:rPr>
                      <w:rFonts w:ascii="Times New Roman" w:hAnsi="Times New Roman"/>
                      <w:sz w:val="24"/>
                      <w:szCs w:val="24"/>
                    </w:rPr>
                  </w:pPr>
                  <w:r w:rsidRPr="005D4222">
                    <w:t xml:space="preserve"> </w:t>
                  </w:r>
                </w:p>
              </w:tc>
            </w:tr>
            <w:tr w:rsidR="002A5E56" w:rsidRPr="005D4222" w14:paraId="50113A41" w14:textId="77777777" w:rsidTr="001D30D9">
              <w:trPr>
                <w:trHeight w:val="300"/>
              </w:trPr>
              <w:tc>
                <w:tcPr>
                  <w:tcW w:w="1613" w:type="dxa"/>
                  <w:tcBorders>
                    <w:top w:val="nil"/>
                    <w:left w:val="nil"/>
                    <w:bottom w:val="nil"/>
                    <w:right w:val="single" w:sz="6" w:space="0" w:color="auto"/>
                  </w:tcBorders>
                  <w:tcMar>
                    <w:left w:w="86" w:type="dxa"/>
                    <w:right w:w="86" w:type="dxa"/>
                  </w:tcMar>
                  <w:hideMark/>
                </w:tcPr>
                <w:p w14:paraId="747D7F29" w14:textId="77777777" w:rsidR="002A5E56" w:rsidRPr="005D4222" w:rsidRDefault="002A5E56">
                  <w:pPr>
                    <w:pStyle w:val="TableText"/>
                    <w:rPr>
                      <w:rFonts w:ascii="Times New Roman" w:hAnsi="Times New Roman"/>
                      <w:sz w:val="24"/>
                      <w:szCs w:val="24"/>
                    </w:rPr>
                  </w:pPr>
                  <w:r w:rsidRPr="005D4222">
                    <w:t xml:space="preserve"> </w:t>
                  </w:r>
                </w:p>
              </w:tc>
              <w:tc>
                <w:tcPr>
                  <w:tcW w:w="3022" w:type="dxa"/>
                  <w:tcBorders>
                    <w:top w:val="single" w:sz="6" w:space="0" w:color="auto"/>
                    <w:left w:val="single" w:sz="6" w:space="0" w:color="auto"/>
                    <w:bottom w:val="single" w:sz="6" w:space="0" w:color="auto"/>
                    <w:right w:val="single" w:sz="6" w:space="0" w:color="auto"/>
                  </w:tcBorders>
                  <w:tcMar>
                    <w:left w:w="86" w:type="dxa"/>
                    <w:right w:w="86" w:type="dxa"/>
                  </w:tcMar>
                  <w:hideMark/>
                </w:tcPr>
                <w:p w14:paraId="0D842B2E" w14:textId="77777777" w:rsidR="002A5E56" w:rsidRPr="005D4222" w:rsidRDefault="002A5E56">
                  <w:pPr>
                    <w:pStyle w:val="TableText"/>
                    <w:rPr>
                      <w:rFonts w:ascii="Times New Roman" w:hAnsi="Times New Roman"/>
                      <w:sz w:val="24"/>
                      <w:szCs w:val="24"/>
                    </w:rPr>
                  </w:pPr>
                  <w:r w:rsidRPr="005D4222">
                    <w:t xml:space="preserve">TwoOrMoreRaces </w:t>
                  </w:r>
                </w:p>
              </w:tc>
              <w:tc>
                <w:tcPr>
                  <w:tcW w:w="1486" w:type="dxa"/>
                  <w:tcBorders>
                    <w:top w:val="nil"/>
                    <w:left w:val="nil"/>
                    <w:bottom w:val="nil"/>
                    <w:right w:val="nil"/>
                  </w:tcBorders>
                  <w:tcMar>
                    <w:left w:w="86" w:type="dxa"/>
                    <w:right w:w="86" w:type="dxa"/>
                  </w:tcMar>
                  <w:hideMark/>
                </w:tcPr>
                <w:p w14:paraId="227941AE" w14:textId="77777777" w:rsidR="002A5E56" w:rsidRPr="005D4222" w:rsidRDefault="002A5E56">
                  <w:pPr>
                    <w:pStyle w:val="TableText"/>
                    <w:rPr>
                      <w:rFonts w:ascii="Times New Roman" w:hAnsi="Times New Roman"/>
                      <w:sz w:val="24"/>
                      <w:szCs w:val="24"/>
                    </w:rPr>
                  </w:pPr>
                  <w:r w:rsidRPr="005D4222">
                    <w:t xml:space="preserve"> </w:t>
                  </w:r>
                </w:p>
              </w:tc>
              <w:tc>
                <w:tcPr>
                  <w:tcW w:w="1260" w:type="dxa"/>
                  <w:tcBorders>
                    <w:top w:val="nil"/>
                    <w:left w:val="nil"/>
                    <w:bottom w:val="nil"/>
                    <w:right w:val="nil"/>
                  </w:tcBorders>
                  <w:tcMar>
                    <w:left w:w="86" w:type="dxa"/>
                    <w:right w:w="86" w:type="dxa"/>
                  </w:tcMar>
                  <w:hideMark/>
                </w:tcPr>
                <w:p w14:paraId="20D96C02" w14:textId="77777777" w:rsidR="002A5E56" w:rsidRPr="005D4222" w:rsidRDefault="002A5E56">
                  <w:pPr>
                    <w:pStyle w:val="TableText"/>
                    <w:rPr>
                      <w:rFonts w:ascii="Times New Roman" w:hAnsi="Times New Roman"/>
                      <w:sz w:val="24"/>
                      <w:szCs w:val="24"/>
                    </w:rPr>
                  </w:pPr>
                  <w:r w:rsidRPr="005D4222">
                    <w:t xml:space="preserve"> </w:t>
                  </w:r>
                </w:p>
              </w:tc>
            </w:tr>
            <w:tr w:rsidR="002A5E56" w:rsidRPr="005D4222" w14:paraId="6A7C1593" w14:textId="77777777" w:rsidTr="001D30D9">
              <w:trPr>
                <w:trHeight w:val="300"/>
              </w:trPr>
              <w:tc>
                <w:tcPr>
                  <w:tcW w:w="1613" w:type="dxa"/>
                  <w:tcBorders>
                    <w:top w:val="nil"/>
                    <w:left w:val="nil"/>
                    <w:bottom w:val="nil"/>
                    <w:right w:val="single" w:sz="6" w:space="0" w:color="auto"/>
                  </w:tcBorders>
                  <w:tcMar>
                    <w:left w:w="86" w:type="dxa"/>
                    <w:right w:w="86" w:type="dxa"/>
                  </w:tcMar>
                  <w:hideMark/>
                </w:tcPr>
                <w:p w14:paraId="3FF4ABED" w14:textId="77777777" w:rsidR="002A5E56" w:rsidRPr="005D4222" w:rsidRDefault="002A5E56">
                  <w:pPr>
                    <w:pStyle w:val="TableText"/>
                    <w:rPr>
                      <w:rFonts w:ascii="Times New Roman" w:hAnsi="Times New Roman"/>
                      <w:sz w:val="24"/>
                      <w:szCs w:val="24"/>
                    </w:rPr>
                  </w:pPr>
                  <w:r w:rsidRPr="005D4222">
                    <w:t xml:space="preserve"> </w:t>
                  </w:r>
                </w:p>
              </w:tc>
              <w:tc>
                <w:tcPr>
                  <w:tcW w:w="3022" w:type="dxa"/>
                  <w:tcBorders>
                    <w:top w:val="single" w:sz="6" w:space="0" w:color="auto"/>
                    <w:left w:val="single" w:sz="6" w:space="0" w:color="auto"/>
                    <w:bottom w:val="single" w:sz="6" w:space="0" w:color="auto"/>
                    <w:right w:val="single" w:sz="6" w:space="0" w:color="auto"/>
                  </w:tcBorders>
                  <w:tcMar>
                    <w:left w:w="86" w:type="dxa"/>
                    <w:right w:w="86" w:type="dxa"/>
                  </w:tcMar>
                  <w:hideMark/>
                </w:tcPr>
                <w:p w14:paraId="2874748C" w14:textId="77777777" w:rsidR="002A5E56" w:rsidRPr="005D4222" w:rsidRDefault="002A5E56">
                  <w:pPr>
                    <w:pStyle w:val="TableText"/>
                    <w:rPr>
                      <w:rFonts w:ascii="Times New Roman" w:hAnsi="Times New Roman"/>
                      <w:sz w:val="24"/>
                      <w:szCs w:val="24"/>
                    </w:rPr>
                  </w:pPr>
                  <w:r w:rsidRPr="005D4222">
                    <w:t>AskedButNoAnswer</w:t>
                  </w:r>
                </w:p>
              </w:tc>
              <w:tc>
                <w:tcPr>
                  <w:tcW w:w="1486" w:type="dxa"/>
                  <w:tcBorders>
                    <w:top w:val="nil"/>
                    <w:left w:val="nil"/>
                    <w:bottom w:val="nil"/>
                    <w:right w:val="nil"/>
                  </w:tcBorders>
                  <w:tcMar>
                    <w:left w:w="86" w:type="dxa"/>
                    <w:right w:w="86" w:type="dxa"/>
                  </w:tcMar>
                  <w:hideMark/>
                </w:tcPr>
                <w:p w14:paraId="16A7E359" w14:textId="77777777" w:rsidR="002A5E56" w:rsidRPr="005D4222" w:rsidRDefault="002A5E56">
                  <w:pPr>
                    <w:pStyle w:val="TableText"/>
                    <w:rPr>
                      <w:rFonts w:ascii="Times New Roman" w:hAnsi="Times New Roman"/>
                      <w:sz w:val="24"/>
                      <w:szCs w:val="24"/>
                    </w:rPr>
                  </w:pPr>
                  <w:r w:rsidRPr="005D4222">
                    <w:t xml:space="preserve"> </w:t>
                  </w:r>
                </w:p>
              </w:tc>
              <w:tc>
                <w:tcPr>
                  <w:tcW w:w="1260" w:type="dxa"/>
                  <w:tcBorders>
                    <w:top w:val="nil"/>
                    <w:left w:val="nil"/>
                    <w:bottom w:val="nil"/>
                    <w:right w:val="nil"/>
                  </w:tcBorders>
                  <w:tcMar>
                    <w:left w:w="86" w:type="dxa"/>
                    <w:right w:w="86" w:type="dxa"/>
                  </w:tcMar>
                  <w:hideMark/>
                </w:tcPr>
                <w:p w14:paraId="41C9818F" w14:textId="77777777" w:rsidR="002A5E56" w:rsidRPr="005D4222" w:rsidRDefault="002A5E56">
                  <w:pPr>
                    <w:pStyle w:val="TableText"/>
                    <w:rPr>
                      <w:rFonts w:ascii="Times New Roman" w:hAnsi="Times New Roman"/>
                      <w:sz w:val="24"/>
                      <w:szCs w:val="24"/>
                    </w:rPr>
                  </w:pPr>
                  <w:r w:rsidRPr="005D4222">
                    <w:t xml:space="preserve"> </w:t>
                  </w:r>
                </w:p>
              </w:tc>
            </w:tr>
            <w:tr w:rsidR="002A5E56" w:rsidRPr="005D4222" w14:paraId="229F3EDE" w14:textId="77777777" w:rsidTr="001D30D9">
              <w:trPr>
                <w:trHeight w:val="300"/>
              </w:trPr>
              <w:tc>
                <w:tcPr>
                  <w:tcW w:w="1613" w:type="dxa"/>
                  <w:tcBorders>
                    <w:top w:val="nil"/>
                    <w:left w:val="nil"/>
                    <w:bottom w:val="nil"/>
                    <w:right w:val="single" w:sz="6" w:space="0" w:color="auto"/>
                  </w:tcBorders>
                  <w:tcMar>
                    <w:left w:w="86" w:type="dxa"/>
                    <w:right w:w="86" w:type="dxa"/>
                  </w:tcMar>
                </w:tcPr>
                <w:p w14:paraId="4A7371C5" w14:textId="77777777" w:rsidR="002A5E56" w:rsidRPr="005D4222" w:rsidRDefault="002A5E56">
                  <w:pPr>
                    <w:pStyle w:val="TableText"/>
                  </w:pPr>
                </w:p>
              </w:tc>
              <w:tc>
                <w:tcPr>
                  <w:tcW w:w="3022" w:type="dxa"/>
                  <w:tcBorders>
                    <w:top w:val="single" w:sz="6" w:space="0" w:color="auto"/>
                    <w:left w:val="single" w:sz="6" w:space="0" w:color="auto"/>
                    <w:bottom w:val="single" w:sz="6" w:space="0" w:color="auto"/>
                    <w:right w:val="single" w:sz="6" w:space="0" w:color="auto"/>
                  </w:tcBorders>
                  <w:tcMar>
                    <w:left w:w="86" w:type="dxa"/>
                    <w:right w:w="86" w:type="dxa"/>
                  </w:tcMar>
                </w:tcPr>
                <w:p w14:paraId="49E06284" w14:textId="2FDC94D5" w:rsidR="002A5E56" w:rsidRPr="005D4222" w:rsidRDefault="002A5E56">
                  <w:pPr>
                    <w:pStyle w:val="TableText"/>
                  </w:pPr>
                  <w:r w:rsidRPr="005D4222">
                    <w:t>Unknown</w:t>
                  </w:r>
                </w:p>
              </w:tc>
              <w:tc>
                <w:tcPr>
                  <w:tcW w:w="1486" w:type="dxa"/>
                  <w:tcBorders>
                    <w:top w:val="nil"/>
                    <w:left w:val="nil"/>
                    <w:bottom w:val="nil"/>
                    <w:right w:val="nil"/>
                  </w:tcBorders>
                  <w:tcMar>
                    <w:left w:w="86" w:type="dxa"/>
                    <w:right w:w="86" w:type="dxa"/>
                  </w:tcMar>
                </w:tcPr>
                <w:p w14:paraId="40303486" w14:textId="77777777" w:rsidR="002A5E56" w:rsidRPr="005D4222" w:rsidRDefault="002A5E56">
                  <w:pPr>
                    <w:pStyle w:val="TableText"/>
                  </w:pPr>
                </w:p>
              </w:tc>
              <w:tc>
                <w:tcPr>
                  <w:tcW w:w="1260" w:type="dxa"/>
                  <w:tcBorders>
                    <w:top w:val="nil"/>
                    <w:left w:val="nil"/>
                    <w:bottom w:val="nil"/>
                    <w:right w:val="nil"/>
                  </w:tcBorders>
                  <w:tcMar>
                    <w:left w:w="86" w:type="dxa"/>
                    <w:right w:w="86" w:type="dxa"/>
                  </w:tcMar>
                </w:tcPr>
                <w:p w14:paraId="145BD8F7" w14:textId="77777777" w:rsidR="002A5E56" w:rsidRPr="005D4222" w:rsidRDefault="002A5E56">
                  <w:pPr>
                    <w:pStyle w:val="TableText"/>
                  </w:pPr>
                </w:p>
              </w:tc>
            </w:tr>
          </w:tbl>
          <w:p w14:paraId="6B54609D" w14:textId="3544CDC2" w:rsidR="002A5E56" w:rsidRPr="005D4222" w:rsidRDefault="002A5E56">
            <w:pPr>
              <w:pStyle w:val="Heading3"/>
              <w:rPr>
                <w:b w:val="0"/>
                <w:bCs w:val="0"/>
              </w:rPr>
            </w:pPr>
            <w:r w:rsidRPr="005D4222">
              <w:t xml:space="preserve">Table FUM-C-1/2/3: Data Elements for Follow-Up After Emergency Department Visit for Mental Illness: </w:t>
            </w:r>
            <w:r w:rsidR="00B51CDC" w:rsidRPr="005D4222">
              <w:t>Stratifications</w:t>
            </w:r>
            <w:r w:rsidRPr="005D4222">
              <w:t xml:space="preserve"> by Ethnicity </w:t>
            </w:r>
          </w:p>
          <w:tbl>
            <w:tblPr>
              <w:tblW w:w="7343" w:type="dxa"/>
              <w:tblInd w:w="3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583"/>
              <w:gridCol w:w="1905"/>
              <w:gridCol w:w="1565"/>
              <w:gridCol w:w="2290"/>
            </w:tblGrid>
            <w:tr w:rsidR="002A5E56" w:rsidRPr="005D4222" w14:paraId="552A4628" w14:textId="77777777">
              <w:trPr>
                <w:trHeight w:val="297"/>
              </w:trPr>
              <w:tc>
                <w:tcPr>
                  <w:tcW w:w="1583" w:type="dxa"/>
                  <w:tcBorders>
                    <w:top w:val="single" w:sz="6" w:space="0" w:color="000000"/>
                    <w:left w:val="single" w:sz="6" w:space="0" w:color="000000"/>
                    <w:bottom w:val="single" w:sz="6" w:space="0" w:color="auto"/>
                    <w:right w:val="single" w:sz="6" w:space="0" w:color="FFFFFF"/>
                  </w:tcBorders>
                  <w:shd w:val="clear" w:color="auto" w:fill="000000"/>
                  <w:tcMar>
                    <w:left w:w="86" w:type="dxa"/>
                    <w:right w:w="86" w:type="dxa"/>
                  </w:tcMar>
                  <w:hideMark/>
                </w:tcPr>
                <w:p w14:paraId="1F0B68BD" w14:textId="77777777" w:rsidR="002A5E56" w:rsidRPr="005D4222" w:rsidRDefault="002A5E56">
                  <w:pPr>
                    <w:pStyle w:val="TableHead"/>
                    <w:rPr>
                      <w:rFonts w:ascii="Times New Roman" w:hAnsi="Times New Roman"/>
                      <w:sz w:val="24"/>
                      <w:szCs w:val="24"/>
                    </w:rPr>
                  </w:pPr>
                  <w:r w:rsidRPr="005D4222">
                    <w:t xml:space="preserve">Metric </w:t>
                  </w:r>
                </w:p>
              </w:tc>
              <w:tc>
                <w:tcPr>
                  <w:tcW w:w="1905" w:type="dxa"/>
                  <w:tcBorders>
                    <w:top w:val="single" w:sz="6" w:space="0" w:color="000000"/>
                    <w:left w:val="single" w:sz="6" w:space="0" w:color="FFFFFF"/>
                    <w:bottom w:val="single" w:sz="6" w:space="0" w:color="000000"/>
                    <w:right w:val="single" w:sz="6" w:space="0" w:color="FFFFFF"/>
                  </w:tcBorders>
                  <w:shd w:val="clear" w:color="auto" w:fill="000000"/>
                  <w:tcMar>
                    <w:left w:w="86" w:type="dxa"/>
                    <w:right w:w="86" w:type="dxa"/>
                  </w:tcMar>
                  <w:hideMark/>
                </w:tcPr>
                <w:p w14:paraId="13BDDE53" w14:textId="77777777" w:rsidR="002A5E56" w:rsidRPr="005D4222" w:rsidRDefault="002A5E56">
                  <w:pPr>
                    <w:pStyle w:val="TableHead"/>
                    <w:rPr>
                      <w:rFonts w:ascii="Times New Roman" w:hAnsi="Times New Roman"/>
                      <w:sz w:val="24"/>
                      <w:szCs w:val="24"/>
                    </w:rPr>
                  </w:pPr>
                  <w:r w:rsidRPr="005D4222">
                    <w:t xml:space="preserve">Ethnicity </w:t>
                  </w:r>
                </w:p>
              </w:tc>
              <w:tc>
                <w:tcPr>
                  <w:tcW w:w="1565" w:type="dxa"/>
                  <w:tcBorders>
                    <w:top w:val="single" w:sz="6" w:space="0" w:color="000000"/>
                    <w:left w:val="single" w:sz="6" w:space="0" w:color="FFFFFF"/>
                    <w:bottom w:val="single" w:sz="6" w:space="0" w:color="000000"/>
                    <w:right w:val="single" w:sz="6" w:space="0" w:color="FFFFFF"/>
                  </w:tcBorders>
                  <w:shd w:val="clear" w:color="auto" w:fill="000000"/>
                  <w:tcMar>
                    <w:left w:w="86" w:type="dxa"/>
                    <w:right w:w="86" w:type="dxa"/>
                  </w:tcMar>
                  <w:hideMark/>
                </w:tcPr>
                <w:p w14:paraId="7606CA73" w14:textId="77777777" w:rsidR="002A5E56" w:rsidRPr="005D4222" w:rsidRDefault="002A5E56">
                  <w:pPr>
                    <w:pStyle w:val="TableHead"/>
                    <w:rPr>
                      <w:rFonts w:ascii="Times New Roman" w:hAnsi="Times New Roman"/>
                      <w:sz w:val="24"/>
                      <w:szCs w:val="24"/>
                    </w:rPr>
                  </w:pPr>
                  <w:r w:rsidRPr="005D4222">
                    <w:t xml:space="preserve">Data Element </w:t>
                  </w:r>
                </w:p>
              </w:tc>
              <w:tc>
                <w:tcPr>
                  <w:tcW w:w="2290" w:type="dxa"/>
                  <w:tcBorders>
                    <w:top w:val="single" w:sz="6" w:space="0" w:color="000000"/>
                    <w:left w:val="single" w:sz="6" w:space="0" w:color="FFFFFF"/>
                    <w:bottom w:val="single" w:sz="6" w:space="0" w:color="000000"/>
                    <w:right w:val="single" w:sz="6" w:space="0" w:color="auto"/>
                  </w:tcBorders>
                  <w:shd w:val="clear" w:color="auto" w:fill="000000"/>
                  <w:tcMar>
                    <w:left w:w="86" w:type="dxa"/>
                    <w:right w:w="86" w:type="dxa"/>
                  </w:tcMar>
                  <w:hideMark/>
                </w:tcPr>
                <w:p w14:paraId="7D9195BC" w14:textId="77777777" w:rsidR="002A5E56" w:rsidRPr="005D4222" w:rsidRDefault="002A5E56">
                  <w:pPr>
                    <w:pStyle w:val="TableHead"/>
                    <w:rPr>
                      <w:rFonts w:ascii="Times New Roman" w:hAnsi="Times New Roman"/>
                      <w:sz w:val="24"/>
                      <w:szCs w:val="24"/>
                    </w:rPr>
                  </w:pPr>
                  <w:r w:rsidRPr="005D4222">
                    <w:t xml:space="preserve">Reporting Instructions </w:t>
                  </w:r>
                </w:p>
              </w:tc>
            </w:tr>
            <w:tr w:rsidR="002A5E56" w:rsidRPr="005D4222" w14:paraId="42EAEF0B" w14:textId="77777777">
              <w:trPr>
                <w:trHeight w:val="297"/>
              </w:trPr>
              <w:tc>
                <w:tcPr>
                  <w:tcW w:w="1583" w:type="dxa"/>
                  <w:tcBorders>
                    <w:top w:val="single" w:sz="6" w:space="0" w:color="auto"/>
                    <w:left w:val="single" w:sz="6" w:space="0" w:color="auto"/>
                    <w:bottom w:val="single" w:sz="6" w:space="0" w:color="auto"/>
                    <w:right w:val="single" w:sz="6" w:space="0" w:color="auto"/>
                  </w:tcBorders>
                  <w:tcMar>
                    <w:left w:w="86" w:type="dxa"/>
                    <w:right w:w="86" w:type="dxa"/>
                  </w:tcMar>
                  <w:hideMark/>
                </w:tcPr>
                <w:p w14:paraId="51D245EC" w14:textId="77777777" w:rsidR="002A5E56" w:rsidRPr="005D4222" w:rsidRDefault="002A5E56">
                  <w:pPr>
                    <w:pStyle w:val="TableText"/>
                    <w:rPr>
                      <w:rFonts w:ascii="Times New Roman" w:hAnsi="Times New Roman"/>
                      <w:sz w:val="24"/>
                      <w:szCs w:val="24"/>
                    </w:rPr>
                  </w:pPr>
                  <w:r w:rsidRPr="005D4222">
                    <w:t xml:space="preserve">FollowUp30Day </w:t>
                  </w:r>
                </w:p>
              </w:tc>
              <w:tc>
                <w:tcPr>
                  <w:tcW w:w="1905" w:type="dxa"/>
                  <w:tcBorders>
                    <w:top w:val="single" w:sz="6" w:space="0" w:color="000000"/>
                    <w:left w:val="single" w:sz="6" w:space="0" w:color="auto"/>
                    <w:bottom w:val="single" w:sz="6" w:space="0" w:color="auto"/>
                    <w:right w:val="single" w:sz="6" w:space="0" w:color="auto"/>
                  </w:tcBorders>
                  <w:tcMar>
                    <w:left w:w="86" w:type="dxa"/>
                    <w:right w:w="86" w:type="dxa"/>
                  </w:tcMar>
                  <w:hideMark/>
                </w:tcPr>
                <w:p w14:paraId="0AD13CF7" w14:textId="77777777" w:rsidR="002A5E56" w:rsidRPr="005D4222" w:rsidRDefault="002A5E56">
                  <w:pPr>
                    <w:pStyle w:val="TableText"/>
                    <w:rPr>
                      <w:rFonts w:ascii="Times New Roman" w:hAnsi="Times New Roman"/>
                      <w:sz w:val="24"/>
                      <w:szCs w:val="24"/>
                    </w:rPr>
                  </w:pPr>
                  <w:r w:rsidRPr="005D4222">
                    <w:t xml:space="preserve">HispanicOrLatino </w:t>
                  </w:r>
                </w:p>
              </w:tc>
              <w:tc>
                <w:tcPr>
                  <w:tcW w:w="1565" w:type="dxa"/>
                  <w:tcBorders>
                    <w:top w:val="single" w:sz="6" w:space="0" w:color="auto"/>
                    <w:left w:val="single" w:sz="6" w:space="0" w:color="auto"/>
                    <w:bottom w:val="single" w:sz="6" w:space="0" w:color="auto"/>
                    <w:right w:val="single" w:sz="6" w:space="0" w:color="auto"/>
                  </w:tcBorders>
                  <w:shd w:val="clear" w:color="auto" w:fill="FFFFFF"/>
                  <w:tcMar>
                    <w:left w:w="86" w:type="dxa"/>
                    <w:right w:w="86" w:type="dxa"/>
                  </w:tcMar>
                  <w:hideMark/>
                </w:tcPr>
                <w:p w14:paraId="181C751F" w14:textId="77777777" w:rsidR="002A5E56" w:rsidRPr="005D4222" w:rsidRDefault="002A5E56">
                  <w:pPr>
                    <w:pStyle w:val="TableText"/>
                    <w:rPr>
                      <w:rFonts w:ascii="Times New Roman" w:hAnsi="Times New Roman"/>
                      <w:sz w:val="24"/>
                      <w:szCs w:val="24"/>
                    </w:rPr>
                  </w:pPr>
                  <w:r w:rsidRPr="005D4222">
                    <w:t>Denominator</w:t>
                  </w:r>
                </w:p>
              </w:tc>
              <w:tc>
                <w:tcPr>
                  <w:tcW w:w="2290" w:type="dxa"/>
                  <w:tcBorders>
                    <w:top w:val="single" w:sz="6" w:space="0" w:color="auto"/>
                    <w:left w:val="single" w:sz="6" w:space="0" w:color="auto"/>
                    <w:bottom w:val="single" w:sz="6" w:space="0" w:color="auto"/>
                    <w:right w:val="single" w:sz="6" w:space="0" w:color="auto"/>
                  </w:tcBorders>
                  <w:shd w:val="clear" w:color="auto" w:fill="FFFFFF"/>
                  <w:tcMar>
                    <w:left w:w="86" w:type="dxa"/>
                    <w:right w:w="86" w:type="dxa"/>
                  </w:tcMar>
                  <w:hideMark/>
                </w:tcPr>
                <w:p w14:paraId="16C5F23E" w14:textId="77777777" w:rsidR="002A5E56" w:rsidRPr="005D4222" w:rsidRDefault="002A5E56">
                  <w:pPr>
                    <w:pStyle w:val="TableText"/>
                    <w:rPr>
                      <w:rFonts w:ascii="Times New Roman" w:hAnsi="Times New Roman"/>
                      <w:sz w:val="24"/>
                      <w:szCs w:val="24"/>
                    </w:rPr>
                  </w:pPr>
                  <w:r w:rsidRPr="005D4222">
                    <w:t>For each Stratification, repeat per Metric</w:t>
                  </w:r>
                </w:p>
              </w:tc>
            </w:tr>
            <w:tr w:rsidR="002A5E56" w:rsidRPr="005D4222" w14:paraId="18C14E36" w14:textId="77777777">
              <w:trPr>
                <w:trHeight w:val="297"/>
              </w:trPr>
              <w:tc>
                <w:tcPr>
                  <w:tcW w:w="1583" w:type="dxa"/>
                  <w:tcBorders>
                    <w:top w:val="single" w:sz="6" w:space="0" w:color="auto"/>
                    <w:left w:val="single" w:sz="6" w:space="0" w:color="auto"/>
                    <w:bottom w:val="single" w:sz="6" w:space="0" w:color="auto"/>
                    <w:right w:val="single" w:sz="6" w:space="0" w:color="auto"/>
                  </w:tcBorders>
                  <w:shd w:val="clear" w:color="auto" w:fill="FFFFFF"/>
                  <w:tcMar>
                    <w:left w:w="86" w:type="dxa"/>
                    <w:right w:w="86" w:type="dxa"/>
                  </w:tcMar>
                  <w:hideMark/>
                </w:tcPr>
                <w:p w14:paraId="49E14D84" w14:textId="77777777" w:rsidR="002A5E56" w:rsidRPr="005D4222" w:rsidRDefault="002A5E56">
                  <w:pPr>
                    <w:pStyle w:val="TableText"/>
                    <w:rPr>
                      <w:rFonts w:ascii="Times New Roman" w:hAnsi="Times New Roman"/>
                      <w:sz w:val="24"/>
                      <w:szCs w:val="24"/>
                    </w:rPr>
                  </w:pPr>
                  <w:r w:rsidRPr="005D4222">
                    <w:t xml:space="preserve">FollowUp7Day </w:t>
                  </w:r>
                </w:p>
              </w:tc>
              <w:tc>
                <w:tcPr>
                  <w:tcW w:w="1905" w:type="dxa"/>
                  <w:tcBorders>
                    <w:top w:val="single" w:sz="6" w:space="0" w:color="auto"/>
                    <w:left w:val="single" w:sz="6" w:space="0" w:color="auto"/>
                    <w:bottom w:val="single" w:sz="6" w:space="0" w:color="auto"/>
                    <w:right w:val="single" w:sz="6" w:space="0" w:color="auto"/>
                  </w:tcBorders>
                  <w:shd w:val="clear" w:color="auto" w:fill="FFFFFF"/>
                  <w:tcMar>
                    <w:left w:w="86" w:type="dxa"/>
                    <w:right w:w="86" w:type="dxa"/>
                  </w:tcMar>
                  <w:hideMark/>
                </w:tcPr>
                <w:p w14:paraId="63679698" w14:textId="77777777" w:rsidR="002A5E56" w:rsidRPr="005D4222" w:rsidRDefault="002A5E56">
                  <w:pPr>
                    <w:pStyle w:val="TableText"/>
                    <w:rPr>
                      <w:rFonts w:ascii="Times New Roman" w:hAnsi="Times New Roman"/>
                      <w:sz w:val="24"/>
                      <w:szCs w:val="24"/>
                    </w:rPr>
                  </w:pPr>
                  <w:r w:rsidRPr="005D4222">
                    <w:t xml:space="preserve">NotHispanicOrLatino </w:t>
                  </w:r>
                </w:p>
              </w:tc>
              <w:tc>
                <w:tcPr>
                  <w:tcW w:w="1565" w:type="dxa"/>
                  <w:tcBorders>
                    <w:top w:val="single" w:sz="6" w:space="0" w:color="auto"/>
                    <w:left w:val="single" w:sz="6" w:space="0" w:color="auto"/>
                    <w:bottom w:val="single" w:sz="6" w:space="0" w:color="auto"/>
                    <w:right w:val="single" w:sz="6" w:space="0" w:color="auto"/>
                  </w:tcBorders>
                  <w:shd w:val="clear" w:color="auto" w:fill="FFFFFF"/>
                  <w:tcMar>
                    <w:left w:w="86" w:type="dxa"/>
                    <w:right w:w="86" w:type="dxa"/>
                  </w:tcMar>
                  <w:hideMark/>
                </w:tcPr>
                <w:p w14:paraId="180936AA" w14:textId="77777777" w:rsidR="002A5E56" w:rsidRPr="005D4222" w:rsidRDefault="002A5E56">
                  <w:pPr>
                    <w:pStyle w:val="TableText"/>
                    <w:rPr>
                      <w:rFonts w:ascii="Times New Roman" w:hAnsi="Times New Roman"/>
                      <w:sz w:val="24"/>
                      <w:szCs w:val="24"/>
                    </w:rPr>
                  </w:pPr>
                  <w:r w:rsidRPr="005D4222">
                    <w:t xml:space="preserve">Numerator </w:t>
                  </w:r>
                </w:p>
              </w:tc>
              <w:tc>
                <w:tcPr>
                  <w:tcW w:w="2290" w:type="dxa"/>
                  <w:tcBorders>
                    <w:top w:val="single" w:sz="6" w:space="0" w:color="auto"/>
                    <w:left w:val="single" w:sz="6" w:space="0" w:color="auto"/>
                    <w:bottom w:val="single" w:sz="6" w:space="0" w:color="auto"/>
                    <w:right w:val="single" w:sz="6" w:space="0" w:color="auto"/>
                  </w:tcBorders>
                  <w:shd w:val="clear" w:color="auto" w:fill="FFFFFF"/>
                  <w:tcMar>
                    <w:left w:w="86" w:type="dxa"/>
                    <w:right w:w="86" w:type="dxa"/>
                  </w:tcMar>
                  <w:hideMark/>
                </w:tcPr>
                <w:p w14:paraId="3482CB62" w14:textId="77777777" w:rsidR="002A5E56" w:rsidRPr="005D4222" w:rsidRDefault="002A5E56">
                  <w:pPr>
                    <w:pStyle w:val="TableText"/>
                    <w:rPr>
                      <w:rFonts w:ascii="Times New Roman" w:hAnsi="Times New Roman"/>
                      <w:sz w:val="24"/>
                      <w:szCs w:val="24"/>
                    </w:rPr>
                  </w:pPr>
                  <w:r w:rsidRPr="005D4222">
                    <w:t xml:space="preserve">For each Metric and Stratification </w:t>
                  </w:r>
                </w:p>
              </w:tc>
            </w:tr>
            <w:tr w:rsidR="002A5E56" w:rsidRPr="005D4222" w14:paraId="6E0F2169" w14:textId="77777777">
              <w:trPr>
                <w:trHeight w:val="297"/>
              </w:trPr>
              <w:tc>
                <w:tcPr>
                  <w:tcW w:w="1583" w:type="dxa"/>
                  <w:tcBorders>
                    <w:top w:val="single" w:sz="6" w:space="0" w:color="auto"/>
                    <w:left w:val="nil"/>
                    <w:bottom w:val="nil"/>
                    <w:right w:val="nil"/>
                  </w:tcBorders>
                  <w:shd w:val="clear" w:color="auto" w:fill="FFFFFF"/>
                  <w:tcMar>
                    <w:left w:w="86" w:type="dxa"/>
                    <w:right w:w="86" w:type="dxa"/>
                  </w:tcMar>
                </w:tcPr>
                <w:p w14:paraId="4AE23EC4" w14:textId="77777777" w:rsidR="002A5E56" w:rsidRPr="005D4222" w:rsidRDefault="002A5E56">
                  <w:pPr>
                    <w:pStyle w:val="TableText"/>
                  </w:pPr>
                  <w:r w:rsidRPr="005D4222">
                    <w:t xml:space="preserve"> </w:t>
                  </w:r>
                </w:p>
              </w:tc>
              <w:tc>
                <w:tcPr>
                  <w:tcW w:w="1905" w:type="dxa"/>
                  <w:tcBorders>
                    <w:top w:val="single" w:sz="6" w:space="0" w:color="auto"/>
                    <w:left w:val="single" w:sz="6" w:space="0" w:color="auto"/>
                    <w:bottom w:val="single" w:sz="6" w:space="0" w:color="auto"/>
                    <w:right w:val="single" w:sz="6" w:space="0" w:color="auto"/>
                  </w:tcBorders>
                  <w:tcMar>
                    <w:left w:w="86" w:type="dxa"/>
                    <w:right w:w="86" w:type="dxa"/>
                  </w:tcMar>
                </w:tcPr>
                <w:p w14:paraId="648EB42D" w14:textId="77777777" w:rsidR="002A5E56" w:rsidRPr="005D4222" w:rsidRDefault="002A5E56">
                  <w:pPr>
                    <w:pStyle w:val="TableText"/>
                  </w:pPr>
                  <w:r w:rsidRPr="005D4222">
                    <w:t>AskedButNoAnswer</w:t>
                  </w:r>
                </w:p>
              </w:tc>
              <w:tc>
                <w:tcPr>
                  <w:tcW w:w="1565" w:type="dxa"/>
                  <w:tcBorders>
                    <w:top w:val="single" w:sz="6" w:space="0" w:color="auto"/>
                    <w:left w:val="single" w:sz="6" w:space="0" w:color="auto"/>
                    <w:bottom w:val="single" w:sz="4" w:space="0" w:color="auto"/>
                    <w:right w:val="single" w:sz="6" w:space="0" w:color="auto"/>
                  </w:tcBorders>
                  <w:shd w:val="clear" w:color="auto" w:fill="D9D9D9"/>
                  <w:tcMar>
                    <w:left w:w="86" w:type="dxa"/>
                    <w:right w:w="86" w:type="dxa"/>
                  </w:tcMar>
                </w:tcPr>
                <w:p w14:paraId="51A30D6B" w14:textId="77777777" w:rsidR="002A5E56" w:rsidRPr="005D4222" w:rsidRDefault="002A5E56">
                  <w:pPr>
                    <w:pStyle w:val="TableText"/>
                  </w:pPr>
                  <w:r w:rsidRPr="005D4222">
                    <w:t xml:space="preserve">Rate </w:t>
                  </w:r>
                </w:p>
              </w:tc>
              <w:tc>
                <w:tcPr>
                  <w:tcW w:w="2290" w:type="dxa"/>
                  <w:tcBorders>
                    <w:top w:val="single" w:sz="6" w:space="0" w:color="auto"/>
                    <w:left w:val="single" w:sz="6" w:space="0" w:color="auto"/>
                    <w:bottom w:val="single" w:sz="4" w:space="0" w:color="auto"/>
                    <w:right w:val="single" w:sz="6" w:space="0" w:color="auto"/>
                  </w:tcBorders>
                  <w:shd w:val="clear" w:color="auto" w:fill="D9D9D9"/>
                  <w:tcMar>
                    <w:left w:w="86" w:type="dxa"/>
                    <w:right w:w="86" w:type="dxa"/>
                  </w:tcMar>
                </w:tcPr>
                <w:p w14:paraId="7746B15D" w14:textId="77777777" w:rsidR="002A5E56" w:rsidRPr="005D4222" w:rsidRDefault="002A5E56">
                  <w:pPr>
                    <w:pStyle w:val="TableText"/>
                  </w:pPr>
                  <w:r w:rsidRPr="005D4222">
                    <w:t xml:space="preserve">(Percent) </w:t>
                  </w:r>
                </w:p>
              </w:tc>
            </w:tr>
            <w:tr w:rsidR="002A5E56" w:rsidRPr="005D4222" w14:paraId="1A29F0F9" w14:textId="77777777">
              <w:trPr>
                <w:trHeight w:val="297"/>
              </w:trPr>
              <w:tc>
                <w:tcPr>
                  <w:tcW w:w="1583" w:type="dxa"/>
                  <w:tcBorders>
                    <w:top w:val="nil"/>
                    <w:left w:val="nil"/>
                    <w:bottom w:val="nil"/>
                    <w:right w:val="nil"/>
                  </w:tcBorders>
                  <w:shd w:val="clear" w:color="auto" w:fill="FFFFFF"/>
                  <w:tcMar>
                    <w:left w:w="86" w:type="dxa"/>
                    <w:right w:w="86" w:type="dxa"/>
                  </w:tcMar>
                  <w:hideMark/>
                </w:tcPr>
                <w:p w14:paraId="5581B73F" w14:textId="77777777" w:rsidR="002A5E56" w:rsidRPr="005D4222" w:rsidRDefault="002A5E56">
                  <w:pPr>
                    <w:pStyle w:val="TableText"/>
                    <w:rPr>
                      <w:rFonts w:ascii="Times New Roman" w:hAnsi="Times New Roman"/>
                      <w:sz w:val="24"/>
                      <w:szCs w:val="24"/>
                    </w:rPr>
                  </w:pPr>
                  <w:r w:rsidRPr="005D4222">
                    <w:t xml:space="preserve"> </w:t>
                  </w:r>
                </w:p>
              </w:tc>
              <w:tc>
                <w:tcPr>
                  <w:tcW w:w="1905" w:type="dxa"/>
                  <w:tcBorders>
                    <w:top w:val="single" w:sz="6" w:space="0" w:color="auto"/>
                    <w:left w:val="single" w:sz="6" w:space="0" w:color="auto"/>
                    <w:bottom w:val="single" w:sz="6" w:space="0" w:color="auto"/>
                    <w:right w:val="single" w:sz="4" w:space="0" w:color="auto"/>
                  </w:tcBorders>
                  <w:tcMar>
                    <w:left w:w="86" w:type="dxa"/>
                    <w:right w:w="86" w:type="dxa"/>
                  </w:tcMar>
                  <w:hideMark/>
                </w:tcPr>
                <w:p w14:paraId="6C5FE0B3" w14:textId="77777777" w:rsidR="002A5E56" w:rsidRPr="005D4222" w:rsidRDefault="002A5E56">
                  <w:pPr>
                    <w:pStyle w:val="TableText"/>
                    <w:rPr>
                      <w:rFonts w:ascii="Times New Roman" w:hAnsi="Times New Roman"/>
                      <w:sz w:val="24"/>
                      <w:szCs w:val="24"/>
                    </w:rPr>
                  </w:pPr>
                  <w:r w:rsidRPr="005D4222">
                    <w:t>Unknown</w:t>
                  </w:r>
                </w:p>
              </w:tc>
              <w:tc>
                <w:tcPr>
                  <w:tcW w:w="1565" w:type="dxa"/>
                  <w:tcBorders>
                    <w:top w:val="single" w:sz="4" w:space="0" w:color="auto"/>
                    <w:left w:val="single" w:sz="4" w:space="0" w:color="auto"/>
                    <w:bottom w:val="nil"/>
                    <w:right w:val="nil"/>
                  </w:tcBorders>
                  <w:tcMar>
                    <w:left w:w="86" w:type="dxa"/>
                    <w:right w:w="86" w:type="dxa"/>
                  </w:tcMar>
                </w:tcPr>
                <w:p w14:paraId="353C13B0" w14:textId="77777777" w:rsidR="002A5E56" w:rsidRPr="005D4222" w:rsidRDefault="002A5E56">
                  <w:pPr>
                    <w:pStyle w:val="TableText"/>
                    <w:rPr>
                      <w:rFonts w:ascii="Times New Roman" w:hAnsi="Times New Roman"/>
                      <w:sz w:val="24"/>
                      <w:szCs w:val="24"/>
                    </w:rPr>
                  </w:pPr>
                </w:p>
              </w:tc>
              <w:tc>
                <w:tcPr>
                  <w:tcW w:w="2290" w:type="dxa"/>
                  <w:tcBorders>
                    <w:top w:val="single" w:sz="4" w:space="0" w:color="auto"/>
                    <w:left w:val="nil"/>
                    <w:bottom w:val="nil"/>
                    <w:right w:val="nil"/>
                  </w:tcBorders>
                  <w:tcMar>
                    <w:left w:w="86" w:type="dxa"/>
                    <w:right w:w="86" w:type="dxa"/>
                  </w:tcMar>
                </w:tcPr>
                <w:p w14:paraId="5CCC06B3" w14:textId="77777777" w:rsidR="002A5E56" w:rsidRPr="005D4222" w:rsidRDefault="002A5E56">
                  <w:pPr>
                    <w:pStyle w:val="TableText"/>
                    <w:rPr>
                      <w:rFonts w:ascii="Times New Roman" w:hAnsi="Times New Roman"/>
                      <w:sz w:val="24"/>
                      <w:szCs w:val="24"/>
                    </w:rPr>
                  </w:pPr>
                </w:p>
              </w:tc>
            </w:tr>
          </w:tbl>
          <w:p w14:paraId="560E422B" w14:textId="77777777" w:rsidR="002A5E56" w:rsidRPr="005D4222" w:rsidRDefault="002A5E56">
            <w:pPr>
              <w:pStyle w:val="ECDSBody"/>
            </w:pPr>
          </w:p>
        </w:tc>
      </w:tr>
      <w:tr w:rsidR="002A5E56" w:rsidRPr="005D4222" w14:paraId="56D9665E" w14:textId="77777777" w:rsidTr="002A5E56">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5E65DC1" w14:textId="77777777" w:rsidR="002A5E56" w:rsidRPr="005D4222" w:rsidRDefault="002A5E56">
            <w:pPr>
              <w:pStyle w:val="ECDSMarginHead"/>
            </w:pPr>
            <w:r w:rsidRPr="005D4222">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1A77DDF" w14:textId="77777777" w:rsidR="002A5E56" w:rsidRPr="005D4222" w:rsidRDefault="002A5E56">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619495CC" w14:textId="77777777" w:rsidR="002A5E56" w:rsidRPr="005D4222" w:rsidRDefault="002A5E56">
            <w:pPr>
              <w:pStyle w:val="ECDSBody"/>
              <w:rPr>
                <w:b/>
              </w:rPr>
            </w:pPr>
            <w:r w:rsidRPr="005D4222">
              <w:rPr>
                <w:b/>
              </w:rPr>
              <w:t>Adjusted HEDIS measures may not be used for HEDIS health plan reporting.</w:t>
            </w:r>
          </w:p>
          <w:p w14:paraId="1C439F62" w14:textId="77777777" w:rsidR="002A5E56" w:rsidRPr="005D4222" w:rsidRDefault="002A5E56">
            <w:pPr>
              <w:pStyle w:val="Adjustments"/>
            </w:pPr>
            <w:r w:rsidRPr="005D4222">
              <w:t>Adjustments</w:t>
            </w:r>
            <w:r w:rsidRPr="005D4222">
              <w:rPr>
                <w:bCs/>
              </w:rPr>
              <w:t xml:space="preserve"> a</w:t>
            </w:r>
            <w:r w:rsidRPr="005D4222">
              <w:t>llowed</w:t>
            </w:r>
          </w:p>
          <w:p w14:paraId="69463822" w14:textId="2BAAF735" w:rsidR="002A5E56" w:rsidRPr="005D4222" w:rsidRDefault="002A5E56">
            <w:pPr>
              <w:pStyle w:val="ProcessBullet"/>
            </w:pPr>
            <w:r w:rsidRPr="005D4222">
              <w:rPr>
                <w:i/>
              </w:rPr>
              <w:t xml:space="preserve">Product lines. </w:t>
            </w:r>
            <w:r w:rsidRPr="005D4222">
              <w:t>Organizations are not required to use product line criteria; product lines may be combined</w:t>
            </w:r>
            <w:r w:rsidR="00E8671F" w:rsidRPr="005D4222">
              <w:t>,</w:t>
            </w:r>
            <w:r w:rsidRPr="005D4222">
              <w:t xml:space="preserve"> and all (or no) product line criteria may be used.</w:t>
            </w:r>
          </w:p>
          <w:p w14:paraId="45E45FC5" w14:textId="15918408" w:rsidR="002A5E56" w:rsidRPr="005D4222" w:rsidRDefault="002A5E56">
            <w:pPr>
              <w:pStyle w:val="ProcessBullet"/>
            </w:pPr>
            <w:r w:rsidRPr="005D4222">
              <w:rPr>
                <w:i/>
              </w:rPr>
              <w:t>Ages.</w:t>
            </w:r>
            <w:r w:rsidRPr="005D4222">
              <w:t xml:space="preserve"> </w:t>
            </w:r>
            <w:r w:rsidR="00350EF2" w:rsidRPr="005D4222">
              <w:t>The denominator age range may be expanded.</w:t>
            </w:r>
            <w:r w:rsidRPr="005D4222">
              <w:t xml:space="preserve"> Age determination dates may be changed (6 years as of the date of the ED visit). </w:t>
            </w:r>
          </w:p>
          <w:p w14:paraId="653AE63A" w14:textId="77777777" w:rsidR="002A5E56" w:rsidRPr="005D4222" w:rsidRDefault="002A5E56">
            <w:pPr>
              <w:pStyle w:val="ProcessBullet"/>
            </w:pPr>
            <w:r w:rsidRPr="005D4222">
              <w:rPr>
                <w:i/>
              </w:rPr>
              <w:t>Attribution.</w:t>
            </w:r>
            <w:r w:rsidRPr="005D4222">
              <w:t xml:space="preserve"> Organizations are not required to use enrollment criteria. </w:t>
            </w:r>
          </w:p>
          <w:p w14:paraId="1F9F1ADC" w14:textId="6C368491" w:rsidR="002A5E56" w:rsidRPr="005D4222" w:rsidRDefault="00362E76">
            <w:pPr>
              <w:pStyle w:val="ProcessBullet"/>
            </w:pPr>
            <w:r w:rsidRPr="005D4222">
              <w:rPr>
                <w:i/>
              </w:rPr>
              <w:t>Benefits.</w:t>
            </w:r>
            <w:r w:rsidR="002A5E56" w:rsidRPr="005D4222">
              <w:t xml:space="preserve"> Organizations are not required to use a benefit.</w:t>
            </w:r>
          </w:p>
          <w:p w14:paraId="35D630F4" w14:textId="77777777" w:rsidR="002A5E56" w:rsidRPr="005D4222" w:rsidRDefault="002A5E56">
            <w:pPr>
              <w:pStyle w:val="ProcessBullet"/>
            </w:pPr>
            <w:r w:rsidRPr="005D4222">
              <w:rPr>
                <w:i/>
                <w:iCs/>
              </w:rPr>
              <w:t>Other.</w:t>
            </w:r>
            <w:r w:rsidRPr="005D4222">
              <w:rPr>
                <w:i/>
              </w:rPr>
              <w:t xml:space="preserve"> </w:t>
            </w:r>
            <w:r w:rsidRPr="005D4222">
              <w:rPr>
                <w:rFonts w:eastAsia="Arial" w:cs="Arial"/>
              </w:rPr>
              <w:t>Organizations may use additional initial population criteria to focus on an area of interest defined by gender, race, ethnicity, socioeconomic or sociodemographic characteristics, geographic region or another characteristic.</w:t>
            </w:r>
          </w:p>
          <w:p w14:paraId="29B66F52" w14:textId="5A14A9B9" w:rsidR="002A5E56" w:rsidRPr="005D4222" w:rsidRDefault="002A5E56" w:rsidP="002A5E56">
            <w:pPr>
              <w:pStyle w:val="ProcessBullet"/>
              <w:spacing w:after="80"/>
              <w:rPr>
                <w:rFonts w:cs="Arial"/>
                <w:b/>
              </w:rPr>
            </w:pPr>
            <w:r w:rsidRPr="005D4222">
              <w:rPr>
                <w:i/>
              </w:rPr>
              <w:t xml:space="preserve">Measurement </w:t>
            </w:r>
            <w:r w:rsidRPr="005D4222">
              <w:rPr>
                <w:i/>
                <w:iCs/>
              </w:rPr>
              <w:t>period a</w:t>
            </w:r>
            <w:r w:rsidRPr="005D4222">
              <w:rPr>
                <w:i/>
              </w:rPr>
              <w:t xml:space="preserve">djustments. </w:t>
            </w:r>
            <w:r w:rsidRPr="005D4222">
              <w:t xml:space="preserve">Organizations may adjust the measurement period. </w:t>
            </w:r>
          </w:p>
        </w:tc>
      </w:tr>
    </w:tbl>
    <w:p w14:paraId="65C00DA0" w14:textId="77777777" w:rsidR="002A5E56" w:rsidRPr="005D4222" w:rsidRDefault="002A5E56"/>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3" w:type="dxa"/>
          <w:right w:w="86" w:type="dxa"/>
        </w:tblCellMar>
        <w:tblLook w:val="04A0" w:firstRow="1" w:lastRow="0" w:firstColumn="1" w:lastColumn="0" w:noHBand="0" w:noVBand="1"/>
      </w:tblPr>
      <w:tblGrid>
        <w:gridCol w:w="2157"/>
        <w:gridCol w:w="7557"/>
      </w:tblGrid>
      <w:tr w:rsidR="002A5E56" w:rsidRPr="005D4222" w14:paraId="6F033798" w14:textId="77777777" w:rsidTr="002A5E56">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1584D60" w14:textId="77777777" w:rsidR="002A5E56" w:rsidRPr="005D4222" w:rsidRDefault="002A5E56">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D65A245" w14:textId="77777777" w:rsidR="002A5E56" w:rsidRPr="005D4222" w:rsidRDefault="002A5E56" w:rsidP="002A5E56">
            <w:pPr>
              <w:pStyle w:val="ProcessBullet"/>
              <w:ind w:left="209" w:hanging="209"/>
              <w:rPr>
                <w:color w:val="000000" w:themeColor="text1"/>
              </w:rPr>
            </w:pPr>
            <w:r w:rsidRPr="005D4222">
              <w:rPr>
                <w:i/>
                <w:iCs/>
                <w:color w:val="000000" w:themeColor="text1"/>
              </w:rPr>
              <w:t xml:space="preserve">Stratifications: </w:t>
            </w:r>
            <w:r w:rsidRPr="005D4222">
              <w:rPr>
                <w:color w:val="000000" w:themeColor="text1"/>
              </w:rPr>
              <w:t>Race and ethnicity stratification. The race and ethnicity stratification is not required. Organizations may adjust this stratification as needed.</w:t>
            </w:r>
          </w:p>
          <w:p w14:paraId="0F0EE705" w14:textId="0F48027B" w:rsidR="002A5E56" w:rsidRPr="005D4222" w:rsidRDefault="002A5E56" w:rsidP="002A5E56">
            <w:pPr>
              <w:pStyle w:val="ProcessBullet"/>
            </w:pPr>
            <w:r w:rsidRPr="005D4222">
              <w:rPr>
                <w:i/>
                <w:iCs/>
              </w:rPr>
              <w:t>Exclusions.</w:t>
            </w:r>
            <w:r w:rsidRPr="005D4222">
              <w:t xml:space="preserve"> </w:t>
            </w:r>
            <w:r w:rsidR="00203848" w:rsidRPr="005D4222">
              <w:t>The h</w:t>
            </w:r>
            <w:r w:rsidRPr="005D4222">
              <w:t xml:space="preserve">ospice and deceased persons exclusions are not required. </w:t>
            </w:r>
          </w:p>
          <w:p w14:paraId="49C155E6" w14:textId="77777777" w:rsidR="002A5E56" w:rsidRPr="005D4222" w:rsidRDefault="002A5E56" w:rsidP="002A5E56">
            <w:pPr>
              <w:pStyle w:val="ProcessBullet"/>
            </w:pPr>
            <w:r w:rsidRPr="005D4222">
              <w:rPr>
                <w:i/>
              </w:rPr>
              <w:t>Telehealth</w:t>
            </w:r>
            <w:r w:rsidRPr="005D4222">
              <w:rPr>
                <w:i/>
                <w:iCs/>
              </w:rPr>
              <w:t>.</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19094368" w14:textId="77777777" w:rsidR="002A5E56" w:rsidRPr="005D4222" w:rsidRDefault="002A5E56" w:rsidP="002A5E56">
            <w:pPr>
              <w:pStyle w:val="ProcessBullet"/>
            </w:pPr>
            <w:r w:rsidRPr="005D4222">
              <w:rPr>
                <w:i/>
              </w:rPr>
              <w:t xml:space="preserve">Supplemental </w:t>
            </w:r>
            <w:r w:rsidRPr="005D4222">
              <w:rPr>
                <w:i/>
                <w:iCs/>
              </w:rPr>
              <w:t>data.</w:t>
            </w:r>
            <w:r w:rsidRPr="005D4222">
              <w:rPr>
                <w:i/>
              </w:rPr>
              <w:t xml:space="preserve"> </w:t>
            </w:r>
            <w:r w:rsidRPr="005D4222">
              <w:t>Supplemental data may be used to identify initial population, denominator, exclusion and numerator events.</w:t>
            </w:r>
          </w:p>
          <w:p w14:paraId="136BA102" w14:textId="77777777" w:rsidR="002A5E56" w:rsidRPr="005D4222" w:rsidRDefault="002A5E56" w:rsidP="002A5E56">
            <w:pPr>
              <w:pStyle w:val="Adjustments"/>
            </w:pPr>
            <w:r w:rsidRPr="005D4222">
              <w:t xml:space="preserve">Adjustments </w:t>
            </w:r>
            <w:r w:rsidRPr="005D4222">
              <w:rPr>
                <w:bCs/>
              </w:rPr>
              <w:t>a</w:t>
            </w:r>
            <w:r w:rsidRPr="005D4222">
              <w:t xml:space="preserve">llowed with </w:t>
            </w:r>
            <w:r w:rsidRPr="005D4222">
              <w:rPr>
                <w:bCs/>
              </w:rPr>
              <w:t>l</w:t>
            </w:r>
            <w:r w:rsidRPr="005D4222">
              <w:t>imits</w:t>
            </w:r>
          </w:p>
          <w:p w14:paraId="230C945B" w14:textId="77777777" w:rsidR="002A5E56" w:rsidRPr="005D4222" w:rsidRDefault="002A5E56" w:rsidP="002A5E56">
            <w:pPr>
              <w:pStyle w:val="ProcessBullet"/>
            </w:pPr>
            <w:r w:rsidRPr="005D4222">
              <w:rPr>
                <w:i/>
                <w:iCs/>
              </w:rPr>
              <w:t>Initial population:</w:t>
            </w:r>
            <w:r w:rsidRPr="005D4222">
              <w:t xml:space="preserve"> </w:t>
            </w:r>
            <w:r w:rsidRPr="005D4222">
              <w:rPr>
                <w:iCs/>
              </w:rPr>
              <w:t xml:space="preserve">Event. Only </w:t>
            </w:r>
            <w:r w:rsidRPr="005D4222">
              <w:t>events or diagnoses that contain (or map to) codes in the value sets may be used to identify visits with a diagnosis. Value sets and logic may not be changed. Organizations may assess at the person level by applying measure logic appropriately (i.e., percentage of persons with documentation of an ED visit with a principal diagnosis of mental illness or intentional self-harm, who had a follow-up visit for mental illness).</w:t>
            </w:r>
          </w:p>
          <w:p w14:paraId="34A43D9A" w14:textId="77777777" w:rsidR="002A5E56" w:rsidRPr="005D4222" w:rsidRDefault="002A5E56" w:rsidP="002A5E56">
            <w:pPr>
              <w:pStyle w:val="Adjustments"/>
            </w:pPr>
            <w:r w:rsidRPr="005D4222">
              <w:t xml:space="preserve">Adjustments </w:t>
            </w:r>
            <w:r w:rsidRPr="005D4222">
              <w:rPr>
                <w:bCs/>
              </w:rPr>
              <w:t>not allowed</w:t>
            </w:r>
          </w:p>
          <w:p w14:paraId="739D278D" w14:textId="1358EEE8" w:rsidR="002A5E56" w:rsidRPr="005D4222" w:rsidRDefault="002A5E56">
            <w:pPr>
              <w:pStyle w:val="ProcessBullet"/>
              <w:spacing w:after="80"/>
              <w:rPr>
                <w:rFonts w:cs="Arial"/>
                <w:b/>
              </w:rPr>
            </w:pPr>
            <w:r w:rsidRPr="005D4222">
              <w:rPr>
                <w:i/>
              </w:rPr>
              <w:t xml:space="preserve">Numerator. </w:t>
            </w:r>
            <w:r w:rsidRPr="005D4222">
              <w:t>Value sets and logic may not be changed for both the 30-day follow-up and 7-day follow-up rates.</w:t>
            </w:r>
          </w:p>
        </w:tc>
      </w:tr>
    </w:tbl>
    <w:p w14:paraId="0474AE3C" w14:textId="77777777" w:rsidR="002A5E56" w:rsidRPr="005D4222" w:rsidRDefault="002A5E56" w:rsidP="002A5E56">
      <w:pPr>
        <w:pStyle w:val="ECDSBody"/>
        <w:sectPr w:rsidR="002A5E56" w:rsidRPr="005D4222" w:rsidSect="0074514A">
          <w:headerReference w:type="default" r:id="rId118"/>
          <w:type w:val="nextColumn"/>
          <w:pgSz w:w="12240" w:h="15840" w:code="1"/>
          <w:pgMar w:top="1080" w:right="1080" w:bottom="1080" w:left="1440" w:header="720" w:footer="720" w:gutter="0"/>
          <w:cols w:space="720"/>
          <w:docGrid w:linePitch="360"/>
        </w:sectPr>
      </w:pPr>
    </w:p>
    <w:p w14:paraId="5113DDC6" w14:textId="6D992C41" w:rsidR="002A5E56" w:rsidRPr="005D4222" w:rsidRDefault="0096709F" w:rsidP="0096709F">
      <w:pPr>
        <w:pStyle w:val="MeasureTitle"/>
        <w:tabs>
          <w:tab w:val="center" w:pos="4860"/>
          <w:tab w:val="left" w:pos="8330"/>
        </w:tabs>
        <w:jc w:val="left"/>
      </w:pPr>
      <w:r w:rsidRPr="005D4222">
        <w:lastRenderedPageBreak/>
        <w:tab/>
      </w:r>
      <w:bookmarkStart w:id="300" w:name="_Toc201813411"/>
      <w:r w:rsidR="002A5E56" w:rsidRPr="005D4222">
        <w:t>Diagnosed Substance Use Disorders</w:t>
      </w:r>
      <w:r w:rsidRPr="005D4222">
        <w:t xml:space="preserve"> (DSU)</w:t>
      </w:r>
      <w:bookmarkEnd w:id="300"/>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4496"/>
        <w:gridCol w:w="1890"/>
        <w:gridCol w:w="1171"/>
      </w:tblGrid>
      <w:tr w:rsidR="002A5E56" w:rsidRPr="005D4222" w14:paraId="75881276" w14:textId="77777777">
        <w:tc>
          <w:tcPr>
            <w:tcW w:w="2157" w:type="dxa"/>
            <w:shd w:val="clear" w:color="auto" w:fill="BFBFBF" w:themeFill="background1" w:themeFillShade="BF"/>
            <w:tcMar>
              <w:top w:w="0" w:type="dxa"/>
              <w:left w:w="86" w:type="dxa"/>
              <w:bottom w:w="43" w:type="dxa"/>
              <w:right w:w="86" w:type="dxa"/>
            </w:tcMar>
            <w:hideMark/>
          </w:tcPr>
          <w:p w14:paraId="3826DD04" w14:textId="77777777" w:rsidR="002A5E56" w:rsidRPr="005D4222" w:rsidRDefault="002A5E56">
            <w:pPr>
              <w:pStyle w:val="ECDSMarginHead"/>
            </w:pPr>
            <w:r w:rsidRPr="005D4222">
              <w:t>Measure title</w:t>
            </w:r>
          </w:p>
        </w:tc>
        <w:tc>
          <w:tcPr>
            <w:tcW w:w="4496" w:type="dxa"/>
            <w:tcMar>
              <w:top w:w="0" w:type="dxa"/>
              <w:left w:w="86" w:type="dxa"/>
              <w:bottom w:w="43" w:type="dxa"/>
              <w:right w:w="86" w:type="dxa"/>
            </w:tcMar>
          </w:tcPr>
          <w:p w14:paraId="45F9C536" w14:textId="77777777" w:rsidR="002A5E56" w:rsidRPr="005D4222" w:rsidRDefault="002A5E56">
            <w:pPr>
              <w:pStyle w:val="ECDSBody"/>
            </w:pPr>
            <w:r w:rsidRPr="005D4222">
              <w:t>Diagnosed Substance Use Disorders</w:t>
            </w:r>
          </w:p>
        </w:tc>
        <w:tc>
          <w:tcPr>
            <w:tcW w:w="1890" w:type="dxa"/>
            <w:shd w:val="clear" w:color="auto" w:fill="BFBFBF" w:themeFill="background1" w:themeFillShade="BF"/>
            <w:tcMar>
              <w:top w:w="0" w:type="dxa"/>
              <w:left w:w="86" w:type="dxa"/>
              <w:bottom w:w="43" w:type="dxa"/>
              <w:right w:w="86" w:type="dxa"/>
            </w:tcMar>
          </w:tcPr>
          <w:p w14:paraId="1A0F76FF" w14:textId="77777777" w:rsidR="002A5E56" w:rsidRPr="005D4222" w:rsidRDefault="002A5E56">
            <w:pPr>
              <w:pStyle w:val="ECDSMarginHead"/>
            </w:pPr>
            <w:r w:rsidRPr="005D4222">
              <w:t>Measure ID</w:t>
            </w:r>
          </w:p>
        </w:tc>
        <w:tc>
          <w:tcPr>
            <w:tcW w:w="1171" w:type="dxa"/>
            <w:tcMar>
              <w:top w:w="0" w:type="dxa"/>
              <w:left w:w="86" w:type="dxa"/>
              <w:bottom w:w="43" w:type="dxa"/>
              <w:right w:w="86" w:type="dxa"/>
            </w:tcMar>
          </w:tcPr>
          <w:p w14:paraId="5E54C7F6" w14:textId="77777777" w:rsidR="002A5E56" w:rsidRPr="005D4222" w:rsidRDefault="002A5E56">
            <w:pPr>
              <w:pStyle w:val="ECDSBody"/>
            </w:pPr>
            <w:r w:rsidRPr="005D4222">
              <w:t>DSU</w:t>
            </w:r>
          </w:p>
        </w:tc>
      </w:tr>
      <w:tr w:rsidR="002A5E56" w:rsidRPr="005D4222" w14:paraId="5E791ECB" w14:textId="77777777">
        <w:tc>
          <w:tcPr>
            <w:tcW w:w="2157" w:type="dxa"/>
            <w:shd w:val="clear" w:color="auto" w:fill="BFBFBF" w:themeFill="background1" w:themeFillShade="BF"/>
            <w:tcMar>
              <w:top w:w="0" w:type="dxa"/>
              <w:left w:w="86" w:type="dxa"/>
              <w:bottom w:w="43" w:type="dxa"/>
              <w:right w:w="86" w:type="dxa"/>
            </w:tcMar>
            <w:hideMark/>
          </w:tcPr>
          <w:p w14:paraId="003940DE" w14:textId="77777777" w:rsidR="002A5E56" w:rsidRPr="005D4222" w:rsidRDefault="002A5E56">
            <w:pPr>
              <w:pStyle w:val="ECDSMarginHead"/>
            </w:pPr>
            <w:r w:rsidRPr="005D4222">
              <w:t>Description</w:t>
            </w:r>
          </w:p>
        </w:tc>
        <w:tc>
          <w:tcPr>
            <w:tcW w:w="7557" w:type="dxa"/>
            <w:gridSpan w:val="3"/>
            <w:tcMar>
              <w:top w:w="0" w:type="dxa"/>
              <w:left w:w="86" w:type="dxa"/>
              <w:bottom w:w="43" w:type="dxa"/>
              <w:right w:w="86" w:type="dxa"/>
            </w:tcMar>
          </w:tcPr>
          <w:p w14:paraId="2F7A2BD6" w14:textId="77777777" w:rsidR="002A5E56" w:rsidRPr="005D4222" w:rsidRDefault="002A5E56">
            <w:pPr>
              <w:pStyle w:val="ECDSBody"/>
            </w:pPr>
            <w:r w:rsidRPr="005D4222">
              <w:t>The percentage of persons 13 years of age and older who were diagnosed with a substance use disorder during the measurement period. Four rates are reported:</w:t>
            </w:r>
          </w:p>
          <w:p w14:paraId="7CF08A81" w14:textId="77777777" w:rsidR="002A5E56" w:rsidRPr="005D4222" w:rsidRDefault="002A5E56">
            <w:pPr>
              <w:pStyle w:val="Body"/>
              <w:spacing w:before="80"/>
              <w:ind w:left="648" w:hanging="288"/>
            </w:pPr>
            <w:r w:rsidRPr="005D4222">
              <w:t>1.</w:t>
            </w:r>
            <w:r w:rsidRPr="005D4222">
              <w:tab/>
              <w:t>The percentage of persons diagnosed with an alcohol disorder.</w:t>
            </w:r>
          </w:p>
          <w:p w14:paraId="32FE7651" w14:textId="77777777" w:rsidR="002A5E56" w:rsidRPr="005D4222" w:rsidRDefault="002A5E56">
            <w:pPr>
              <w:pStyle w:val="Body"/>
              <w:spacing w:before="80"/>
              <w:ind w:left="648" w:hanging="288"/>
            </w:pPr>
            <w:r w:rsidRPr="005D4222">
              <w:t>2.</w:t>
            </w:r>
            <w:r w:rsidRPr="005D4222">
              <w:tab/>
              <w:t>The percentage of persons diagnosed with an opioid disorder.</w:t>
            </w:r>
          </w:p>
          <w:p w14:paraId="670DDA37" w14:textId="77777777" w:rsidR="002A5E56" w:rsidRPr="005D4222" w:rsidRDefault="002A5E56">
            <w:pPr>
              <w:pStyle w:val="Body"/>
              <w:spacing w:before="80"/>
              <w:ind w:left="648" w:hanging="288"/>
            </w:pPr>
            <w:r w:rsidRPr="005D4222">
              <w:t>3.</w:t>
            </w:r>
            <w:r w:rsidRPr="005D4222">
              <w:tab/>
              <w:t>The percentage of persons diagnosed with a disorder for other or unspecified drugs.</w:t>
            </w:r>
          </w:p>
          <w:p w14:paraId="19795330" w14:textId="77777777" w:rsidR="002A5E56" w:rsidRPr="005D4222" w:rsidRDefault="002A5E56" w:rsidP="00591486">
            <w:pPr>
              <w:pStyle w:val="Body"/>
              <w:spacing w:before="80" w:after="80"/>
              <w:ind w:left="648" w:hanging="288"/>
            </w:pPr>
            <w:r w:rsidRPr="005D4222">
              <w:t>4.</w:t>
            </w:r>
            <w:r w:rsidRPr="005D4222">
              <w:tab/>
              <w:t>The percentage of persons diagnosed with any substance use disorder.</w:t>
            </w:r>
          </w:p>
        </w:tc>
      </w:tr>
      <w:tr w:rsidR="002A5E56" w:rsidRPr="005D4222" w14:paraId="48D63A44" w14:textId="77777777">
        <w:tc>
          <w:tcPr>
            <w:tcW w:w="2157" w:type="dxa"/>
            <w:shd w:val="clear" w:color="auto" w:fill="BFBFBF" w:themeFill="background1" w:themeFillShade="BF"/>
            <w:tcMar>
              <w:top w:w="0" w:type="dxa"/>
              <w:left w:w="86" w:type="dxa"/>
              <w:bottom w:w="43" w:type="dxa"/>
              <w:right w:w="86" w:type="dxa"/>
            </w:tcMar>
          </w:tcPr>
          <w:p w14:paraId="679F4116" w14:textId="77777777" w:rsidR="002A5E56" w:rsidRPr="005D4222" w:rsidRDefault="002A5E56">
            <w:pPr>
              <w:pStyle w:val="ECDSMarginHead"/>
            </w:pPr>
            <w:r w:rsidRPr="005D4222">
              <w:t>Measurement period</w:t>
            </w:r>
          </w:p>
        </w:tc>
        <w:tc>
          <w:tcPr>
            <w:tcW w:w="7557" w:type="dxa"/>
            <w:gridSpan w:val="3"/>
            <w:tcMar>
              <w:top w:w="0" w:type="dxa"/>
              <w:left w:w="86" w:type="dxa"/>
              <w:bottom w:w="43" w:type="dxa"/>
              <w:right w:w="86" w:type="dxa"/>
            </w:tcMar>
          </w:tcPr>
          <w:p w14:paraId="6390E60C" w14:textId="77777777" w:rsidR="002A5E56" w:rsidRPr="005D4222" w:rsidRDefault="002A5E56">
            <w:pPr>
              <w:pStyle w:val="ECDSBody"/>
            </w:pPr>
            <w:r w:rsidRPr="005D4222">
              <w:t>January 1–December 31.</w:t>
            </w:r>
          </w:p>
        </w:tc>
      </w:tr>
      <w:tr w:rsidR="002A5E56" w:rsidRPr="005D4222" w14:paraId="7007C782" w14:textId="77777777">
        <w:tc>
          <w:tcPr>
            <w:tcW w:w="2157" w:type="dxa"/>
            <w:shd w:val="clear" w:color="auto" w:fill="BFBFBF" w:themeFill="background1" w:themeFillShade="BF"/>
            <w:tcMar>
              <w:top w:w="0" w:type="dxa"/>
              <w:left w:w="86" w:type="dxa"/>
              <w:bottom w:w="43" w:type="dxa"/>
              <w:right w:w="86" w:type="dxa"/>
            </w:tcMar>
            <w:hideMark/>
          </w:tcPr>
          <w:p w14:paraId="5D862FB9" w14:textId="77777777" w:rsidR="002A5E56" w:rsidRPr="005D4222" w:rsidRDefault="002A5E56">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7FE1B10F" w14:textId="77777777" w:rsidR="002A5E56" w:rsidRPr="005D4222" w:rsidRDefault="002A5E56">
            <w:pPr>
              <w:pStyle w:val="ECDSBody"/>
            </w:pPr>
            <w:r w:rsidRPr="005D4222">
              <w:t>Refer to the complete copyright and disclaimer information at the front of this publication.</w:t>
            </w:r>
          </w:p>
          <w:p w14:paraId="10527906" w14:textId="77777777" w:rsidR="002A5E56" w:rsidRPr="005D4222" w:rsidRDefault="002A5E56">
            <w:pPr>
              <w:pStyle w:val="ECDSBody"/>
              <w:spacing w:before="80"/>
            </w:pPr>
            <w:r w:rsidRPr="005D4222">
              <w:t xml:space="preserve">NCQA website: </w:t>
            </w:r>
            <w:r w:rsidRPr="005D4222">
              <w:rPr>
                <w:u w:val="single"/>
              </w:rPr>
              <w:t>www.ncqa.org</w:t>
            </w:r>
            <w:r w:rsidRPr="005D4222">
              <w:t xml:space="preserve">.  </w:t>
            </w:r>
          </w:p>
          <w:p w14:paraId="46F9964C" w14:textId="77777777" w:rsidR="002A5E56" w:rsidRPr="005D4222" w:rsidRDefault="002A5E56">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2A5E56" w:rsidRPr="005D4222" w14:paraId="3C6058D4" w14:textId="77777777">
        <w:trPr>
          <w:trHeight w:val="655"/>
        </w:trPr>
        <w:tc>
          <w:tcPr>
            <w:tcW w:w="2157" w:type="dxa"/>
            <w:shd w:val="clear" w:color="auto" w:fill="BFBFBF" w:themeFill="background1" w:themeFillShade="BF"/>
            <w:tcMar>
              <w:top w:w="0" w:type="dxa"/>
              <w:left w:w="86" w:type="dxa"/>
              <w:bottom w:w="43" w:type="dxa"/>
              <w:right w:w="86" w:type="dxa"/>
            </w:tcMar>
            <w:hideMark/>
          </w:tcPr>
          <w:p w14:paraId="757DC7A0" w14:textId="77777777" w:rsidR="002A5E56" w:rsidRPr="005D4222" w:rsidRDefault="002A5E56">
            <w:pPr>
              <w:pStyle w:val="ECDSMarginHead"/>
            </w:pPr>
            <w:r w:rsidRPr="005D4222">
              <w:t>Clinical recommendation statement/ rationale</w:t>
            </w:r>
          </w:p>
        </w:tc>
        <w:tc>
          <w:tcPr>
            <w:tcW w:w="7557" w:type="dxa"/>
            <w:gridSpan w:val="3"/>
            <w:tcMar>
              <w:top w:w="0" w:type="dxa"/>
              <w:left w:w="86" w:type="dxa"/>
              <w:bottom w:w="43" w:type="dxa"/>
              <w:right w:w="86" w:type="dxa"/>
            </w:tcMar>
          </w:tcPr>
          <w:p w14:paraId="756039A3" w14:textId="77777777" w:rsidR="002A5E56" w:rsidRPr="005D4222" w:rsidRDefault="002A5E56">
            <w:pPr>
              <w:pStyle w:val="ECDSBody"/>
            </w:pPr>
            <w:r w:rsidRPr="005D4222">
              <w:t xml:space="preserve">In 2018, 20.3 million individuals in the U.S. age 12 or older (approximately 7.4% of the population) were classified as having an SUD within the past year. Individuals with SUDs are at increased risk of overdose, injury, soft tissue infections and mortality. Of the 20.3 million individuals with an SUD in 2018, only 3.7 million received any substance use treatment in the past year; </w:t>
            </w:r>
            <w:r w:rsidRPr="005D4222">
              <w:br/>
              <w:t xml:space="preserve">2.4 million of these received treatment in a specialty SUD program. </w:t>
            </w:r>
          </w:p>
          <w:p w14:paraId="07900D71" w14:textId="77777777" w:rsidR="002A5E56" w:rsidRPr="005D4222" w:rsidRDefault="002A5E56">
            <w:pPr>
              <w:pStyle w:val="ECDSBody"/>
            </w:pPr>
            <w:r w:rsidRPr="005D4222">
              <w:t xml:space="preserve">By providing data on the diagnosed prevalence of SUD, this measure allows plans to understand the size of the population affected by substance use disorders and may encourage the provision of case management services and coordination of treatment, as appropriate. </w:t>
            </w:r>
          </w:p>
        </w:tc>
      </w:tr>
      <w:tr w:rsidR="002A5E56" w:rsidRPr="005D4222" w14:paraId="1D940FA2" w14:textId="77777777">
        <w:tc>
          <w:tcPr>
            <w:tcW w:w="2157" w:type="dxa"/>
            <w:shd w:val="clear" w:color="auto" w:fill="BFBFBF" w:themeFill="background1" w:themeFillShade="BF"/>
            <w:tcMar>
              <w:top w:w="0" w:type="dxa"/>
              <w:left w:w="86" w:type="dxa"/>
              <w:bottom w:w="43" w:type="dxa"/>
              <w:right w:w="86" w:type="dxa"/>
            </w:tcMar>
          </w:tcPr>
          <w:p w14:paraId="573CA05F" w14:textId="77777777" w:rsidR="002A5E56" w:rsidRPr="005D4222" w:rsidRDefault="002A5E56">
            <w:pPr>
              <w:pStyle w:val="ECDSMarginHead"/>
            </w:pPr>
            <w:r w:rsidRPr="005D4222">
              <w:t>Citations</w:t>
            </w:r>
          </w:p>
        </w:tc>
        <w:tc>
          <w:tcPr>
            <w:tcW w:w="7557" w:type="dxa"/>
            <w:gridSpan w:val="3"/>
            <w:tcMar>
              <w:top w:w="0" w:type="dxa"/>
              <w:left w:w="86" w:type="dxa"/>
              <w:bottom w:w="43" w:type="dxa"/>
              <w:right w:w="86" w:type="dxa"/>
            </w:tcMar>
          </w:tcPr>
          <w:p w14:paraId="4BE130CE" w14:textId="77777777" w:rsidR="002A5E56" w:rsidRPr="005D4222" w:rsidRDefault="002A5E56">
            <w:pPr>
              <w:pStyle w:val="ECDSBody"/>
              <w:rPr>
                <w:rStyle w:val="Hyperlink"/>
                <w:color w:val="auto"/>
              </w:rPr>
            </w:pPr>
            <w:r w:rsidRPr="005D4222">
              <w:t xml:space="preserve">Substance Abuse and Mental Health Services Administration. 2019. </w:t>
            </w:r>
            <w:r w:rsidRPr="005D4222">
              <w:rPr>
                <w:i/>
                <w:iCs/>
              </w:rPr>
              <w:t>Key substance use and mental health indicators in the United States: Results from the 2018 National Survey on Drug Use and Health</w:t>
            </w:r>
            <w:r w:rsidRPr="005D4222">
              <w:t xml:space="preserve"> (HHS Publication No. PEP19</w:t>
            </w:r>
            <w:r w:rsidRPr="005D4222">
              <w:rPr>
                <w:rFonts w:ascii="Cambria Math" w:hAnsi="Cambria Math" w:cs="Cambria Math"/>
              </w:rPr>
              <w:t>‑</w:t>
            </w:r>
            <w:r w:rsidRPr="005D4222">
              <w:t>5068, NSDUH Series H</w:t>
            </w:r>
            <w:r w:rsidRPr="005D4222">
              <w:rPr>
                <w:rFonts w:ascii="Cambria Math" w:hAnsi="Cambria Math" w:cs="Cambria Math"/>
              </w:rPr>
              <w:t>‑</w:t>
            </w:r>
            <w:r w:rsidRPr="005D4222">
              <w:t>54). Rockville, MD: Center for Behavioral Health Statistics and Quality, Substance Abuse and Mental Health Services Administration. https://www.samhsa.gov/data/sites/default/files/cbhsq-reports/NSDUHNationalFindingsReport2018/NSDUHNationalFindings Report2018.htm#mhisud</w:t>
            </w:r>
          </w:p>
          <w:p w14:paraId="191A35F1" w14:textId="77777777" w:rsidR="002A5E56" w:rsidRPr="005D4222" w:rsidRDefault="002A5E56">
            <w:pPr>
              <w:pStyle w:val="ECDSBody"/>
            </w:pPr>
            <w:r w:rsidRPr="005D4222">
              <w:t xml:space="preserve">Bahorik, A.L., D.D. Satre, A.H. Kline-Simon, C.M. Weisner, C.L. Campbell. 2017. “Alcohol, Cannabis, and Opioid Use Disorders, and Disease Burden in an Integrated Health Care System.” </w:t>
            </w:r>
            <w:r w:rsidRPr="005D4222">
              <w:rPr>
                <w:i/>
              </w:rPr>
              <w:t>J Addiction Medicine</w:t>
            </w:r>
            <w:r w:rsidRPr="005D4222">
              <w:t xml:space="preserve"> 11(1), 3–9.</w:t>
            </w:r>
          </w:p>
        </w:tc>
      </w:tr>
    </w:tbl>
    <w:p w14:paraId="6B10EC15" w14:textId="77777777" w:rsidR="002A5E56" w:rsidRPr="005D4222" w:rsidRDefault="002A5E56">
      <w:r w:rsidRPr="005D4222">
        <w:br w:type="page"/>
      </w:r>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60"/>
      </w:tblGrid>
      <w:tr w:rsidR="002A5E56" w:rsidRPr="005D4222" w14:paraId="2DD1A2DF" w14:textId="77777777" w:rsidTr="009C77CD">
        <w:tc>
          <w:tcPr>
            <w:tcW w:w="9714" w:type="dxa"/>
            <w:gridSpan w:val="2"/>
            <w:tcBorders>
              <w:bottom w:val="single" w:sz="4" w:space="0" w:color="auto"/>
            </w:tcBorders>
            <w:shd w:val="clear" w:color="auto" w:fill="BFBFBF" w:themeFill="background1" w:themeFillShade="BF"/>
            <w:tcMar>
              <w:top w:w="0" w:type="dxa"/>
              <w:left w:w="86" w:type="dxa"/>
              <w:bottom w:w="43" w:type="dxa"/>
              <w:right w:w="86" w:type="dxa"/>
            </w:tcMar>
          </w:tcPr>
          <w:p w14:paraId="54286C5A" w14:textId="77777777" w:rsidR="002A5E56" w:rsidRPr="005D4222" w:rsidRDefault="002A5E56">
            <w:pPr>
              <w:pStyle w:val="ECDSMarginHead"/>
            </w:pPr>
            <w:r w:rsidRPr="005D4222">
              <w:lastRenderedPageBreak/>
              <w:t>Characteristics</w:t>
            </w:r>
          </w:p>
        </w:tc>
      </w:tr>
      <w:tr w:rsidR="002A5E56" w:rsidRPr="005D4222" w14:paraId="77A76C7A" w14:textId="77777777" w:rsidTr="009C77CD">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5E62073F" w14:textId="77777777" w:rsidR="002A5E56" w:rsidRPr="005D4222" w:rsidRDefault="002A5E56" w:rsidP="002A5E56">
            <w:pPr>
              <w:pStyle w:val="ECDSMarginSubhead"/>
              <w:spacing w:after="0"/>
            </w:pPr>
            <w:r w:rsidRPr="005D4222">
              <w:t>Scoring</w:t>
            </w: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71BCEB9A" w14:textId="77777777" w:rsidR="002A5E56" w:rsidRPr="005D4222" w:rsidRDefault="002A5E56" w:rsidP="002A5E56">
            <w:pPr>
              <w:pStyle w:val="ECDSBody"/>
              <w:spacing w:after="0"/>
            </w:pPr>
            <w:r w:rsidRPr="005D4222">
              <w:t>Proportion.</w:t>
            </w:r>
          </w:p>
        </w:tc>
      </w:tr>
      <w:tr w:rsidR="002A5E56" w:rsidRPr="005D4222" w14:paraId="65C1FD05" w14:textId="77777777" w:rsidTr="009C77CD">
        <w:tc>
          <w:tcPr>
            <w:tcW w:w="2157" w:type="dxa"/>
            <w:tcBorders>
              <w:top w:val="nil"/>
              <w:left w:val="single" w:sz="4" w:space="0" w:color="auto"/>
              <w:bottom w:val="nil"/>
              <w:right w:val="single" w:sz="4" w:space="0" w:color="auto"/>
            </w:tcBorders>
            <w:tcMar>
              <w:top w:w="0" w:type="dxa"/>
              <w:left w:w="86" w:type="dxa"/>
              <w:bottom w:w="43" w:type="dxa"/>
              <w:right w:w="86" w:type="dxa"/>
            </w:tcMar>
          </w:tcPr>
          <w:p w14:paraId="6CF97622" w14:textId="77777777" w:rsidR="002A5E56" w:rsidRPr="005D4222" w:rsidRDefault="002A5E56" w:rsidP="002A5E56">
            <w:pPr>
              <w:pStyle w:val="ECDSMarginSubhead"/>
              <w:spacing w:after="0"/>
            </w:pPr>
            <w:r w:rsidRPr="005D4222">
              <w:t>Type</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3935F342" w14:textId="77777777" w:rsidR="002A5E56" w:rsidRPr="005D4222" w:rsidRDefault="002A5E56" w:rsidP="002A5E56">
            <w:pPr>
              <w:pStyle w:val="ECDSBody"/>
              <w:spacing w:after="0"/>
            </w:pPr>
            <w:r w:rsidRPr="005D4222">
              <w:t>Process.</w:t>
            </w:r>
          </w:p>
        </w:tc>
      </w:tr>
      <w:tr w:rsidR="002A5E56" w:rsidRPr="005D4222" w14:paraId="4BD64097" w14:textId="77777777" w:rsidTr="009C77CD">
        <w:tc>
          <w:tcPr>
            <w:tcW w:w="2157" w:type="dxa"/>
            <w:tcBorders>
              <w:top w:val="nil"/>
              <w:left w:val="single" w:sz="4" w:space="0" w:color="auto"/>
              <w:bottom w:val="nil"/>
              <w:right w:val="single" w:sz="4" w:space="0" w:color="auto"/>
            </w:tcBorders>
            <w:tcMar>
              <w:top w:w="0" w:type="dxa"/>
              <w:left w:w="86" w:type="dxa"/>
              <w:bottom w:w="43" w:type="dxa"/>
              <w:right w:w="86" w:type="dxa"/>
            </w:tcMar>
          </w:tcPr>
          <w:p w14:paraId="590C9D57" w14:textId="745D9CEB" w:rsidR="002A5E56" w:rsidRPr="005D4222" w:rsidRDefault="00B51CDC" w:rsidP="002A5E56">
            <w:pPr>
              <w:pStyle w:val="ECDSMarginSubhead"/>
              <w:spacing w:after="0"/>
            </w:pPr>
            <w:r w:rsidRPr="005D4222">
              <w:t>Product lines</w:t>
            </w:r>
          </w:p>
        </w:tc>
        <w:tc>
          <w:tcPr>
            <w:tcW w:w="7560" w:type="dxa"/>
            <w:tcBorders>
              <w:top w:val="nil"/>
              <w:left w:val="single" w:sz="4" w:space="0" w:color="auto"/>
              <w:bottom w:val="nil"/>
              <w:right w:val="single" w:sz="4" w:space="0" w:color="auto"/>
            </w:tcBorders>
            <w:tcMar>
              <w:top w:w="0" w:type="dxa"/>
              <w:left w:w="86" w:type="dxa"/>
              <w:bottom w:w="43" w:type="dxa"/>
              <w:right w:w="86" w:type="dxa"/>
            </w:tcMar>
          </w:tcPr>
          <w:p w14:paraId="53FD0698" w14:textId="77777777" w:rsidR="002A5E56" w:rsidRPr="005D4222" w:rsidRDefault="002A5E56" w:rsidP="002A5E56">
            <w:pPr>
              <w:pStyle w:val="ProcessBullet"/>
            </w:pPr>
            <w:r w:rsidRPr="005D4222">
              <w:t>Commercial.</w:t>
            </w:r>
          </w:p>
          <w:p w14:paraId="2CF2D5F4" w14:textId="77777777" w:rsidR="002A5E56" w:rsidRPr="005D4222" w:rsidRDefault="002A5E56" w:rsidP="002A5E56">
            <w:pPr>
              <w:pStyle w:val="ProcessBullet"/>
            </w:pPr>
            <w:r w:rsidRPr="005D4222">
              <w:t>Medicaid.</w:t>
            </w:r>
          </w:p>
          <w:p w14:paraId="7B06B838" w14:textId="77777777" w:rsidR="002A5E56" w:rsidRPr="005D4222" w:rsidRDefault="002A5E56" w:rsidP="002A5E56">
            <w:pPr>
              <w:pStyle w:val="ProcessBullet"/>
            </w:pPr>
            <w:r w:rsidRPr="005D4222">
              <w:t>Medicare.</w:t>
            </w:r>
          </w:p>
        </w:tc>
      </w:tr>
      <w:tr w:rsidR="002A5E56" w:rsidRPr="005D4222" w14:paraId="68737D2A" w14:textId="77777777" w:rsidTr="009C77CD">
        <w:tc>
          <w:tcPr>
            <w:tcW w:w="2157" w:type="dxa"/>
            <w:tcBorders>
              <w:top w:val="nil"/>
              <w:left w:val="single" w:sz="4" w:space="0" w:color="auto"/>
              <w:bottom w:val="nil"/>
              <w:right w:val="single" w:sz="4" w:space="0" w:color="auto"/>
            </w:tcBorders>
            <w:tcMar>
              <w:top w:w="0" w:type="dxa"/>
              <w:left w:w="86" w:type="dxa"/>
              <w:bottom w:w="43" w:type="dxa"/>
              <w:right w:w="86" w:type="dxa"/>
            </w:tcMar>
          </w:tcPr>
          <w:p w14:paraId="7578D19F" w14:textId="439FC743" w:rsidR="002A5E56" w:rsidRPr="005D4222" w:rsidRDefault="00B51CDC" w:rsidP="002A5E56">
            <w:pPr>
              <w:pStyle w:val="ECDSMarginSubhead"/>
              <w:spacing w:after="0"/>
            </w:pPr>
            <w:r w:rsidRPr="005D4222">
              <w:t>Stratifications</w:t>
            </w:r>
            <w:r w:rsidR="002A5E56" w:rsidRPr="005D4222">
              <w:t xml:space="preserve"> </w:t>
            </w:r>
          </w:p>
        </w:tc>
        <w:tc>
          <w:tcPr>
            <w:tcW w:w="7560" w:type="dxa"/>
            <w:tcBorders>
              <w:top w:val="nil"/>
              <w:left w:val="single" w:sz="4" w:space="0" w:color="auto"/>
              <w:bottom w:val="nil"/>
              <w:right w:val="single" w:sz="4" w:space="0" w:color="auto"/>
            </w:tcBorders>
            <w:tcMar>
              <w:top w:w="0" w:type="dxa"/>
              <w:left w:w="86" w:type="dxa"/>
              <w:bottom w:w="43" w:type="dxa"/>
              <w:right w:w="86" w:type="dxa"/>
            </w:tcMar>
            <w:hideMark/>
          </w:tcPr>
          <w:p w14:paraId="370EA8C3" w14:textId="77777777" w:rsidR="002A5E56" w:rsidRPr="005D4222" w:rsidRDefault="002A5E56" w:rsidP="002A5E56">
            <w:pPr>
              <w:pStyle w:val="ECDSBody"/>
              <w:spacing w:after="0"/>
              <w:rPr>
                <w:rFonts w:eastAsia="Arial,Arial,Arial,Arial,Arial,A"/>
              </w:rPr>
            </w:pPr>
            <w:r w:rsidRPr="005D4222">
              <w:rPr>
                <w:rFonts w:eastAsia="Arial,Arial,Arial,Arial,Arial,A"/>
              </w:rPr>
              <w:t>Age</w:t>
            </w:r>
            <w:r w:rsidRPr="005D4222">
              <w:t xml:space="preserve"> a</w:t>
            </w:r>
            <w:r w:rsidRPr="005D4222">
              <w:rPr>
                <w:rFonts w:eastAsia="Arial,Arial,Arial,Arial,Arial,A"/>
              </w:rPr>
              <w:t>s of the last day of the measurement period.</w:t>
            </w:r>
          </w:p>
          <w:p w14:paraId="486D1F2D" w14:textId="77777777" w:rsidR="002A5E56" w:rsidRPr="005D4222" w:rsidRDefault="002A5E56" w:rsidP="002A5E56">
            <w:pPr>
              <w:pStyle w:val="Bullet"/>
              <w:numPr>
                <w:ilvl w:val="0"/>
                <w:numId w:val="4"/>
              </w:numPr>
              <w:tabs>
                <w:tab w:val="left" w:pos="360"/>
                <w:tab w:val="left" w:pos="576"/>
              </w:tabs>
              <w:ind w:left="576" w:hanging="216"/>
              <w:rPr>
                <w:rFonts w:eastAsia="Arial,Arial,Times New Roman"/>
              </w:rPr>
            </w:pPr>
            <w:r w:rsidRPr="005D4222">
              <w:t>13–</w:t>
            </w:r>
            <w:r w:rsidRPr="005D4222">
              <w:rPr>
                <w:rFonts w:eastAsia="Arial,Arial,Times New Roman"/>
              </w:rPr>
              <w:t>17 years.</w:t>
            </w:r>
          </w:p>
          <w:p w14:paraId="1D51CF20" w14:textId="77777777" w:rsidR="002A5E56" w:rsidRPr="005D4222" w:rsidRDefault="002A5E56" w:rsidP="002A5E56">
            <w:pPr>
              <w:pStyle w:val="Bullet"/>
              <w:numPr>
                <w:ilvl w:val="0"/>
                <w:numId w:val="4"/>
              </w:numPr>
              <w:tabs>
                <w:tab w:val="left" w:pos="360"/>
                <w:tab w:val="left" w:pos="576"/>
              </w:tabs>
              <w:ind w:left="576" w:hanging="216"/>
              <w:rPr>
                <w:rFonts w:eastAsia="Arial,Arial,Times New Roman"/>
              </w:rPr>
            </w:pPr>
            <w:r w:rsidRPr="005D4222">
              <w:rPr>
                <w:rFonts w:eastAsia="Arial,Arial,Arial,Arial,Arial,A"/>
              </w:rPr>
              <w:t>18</w:t>
            </w:r>
            <w:r w:rsidRPr="005D4222">
              <w:t>–</w:t>
            </w:r>
            <w:r w:rsidRPr="005D4222">
              <w:rPr>
                <w:rFonts w:eastAsia="Arial,Arial,Arial,Arial,Arial,A"/>
              </w:rPr>
              <w:t>64 years.</w:t>
            </w:r>
          </w:p>
          <w:p w14:paraId="6683C6EE" w14:textId="77777777" w:rsidR="002A5E56" w:rsidRPr="005D4222" w:rsidRDefault="002A5E56" w:rsidP="002A5E56">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65 years and older.</w:t>
            </w:r>
          </w:p>
        </w:tc>
      </w:tr>
      <w:tr w:rsidR="002A5E56" w:rsidRPr="005D4222" w14:paraId="416B0C81" w14:textId="77777777" w:rsidTr="009C77CD">
        <w:tc>
          <w:tcPr>
            <w:tcW w:w="2157" w:type="dxa"/>
            <w:tcBorders>
              <w:top w:val="nil"/>
              <w:left w:val="single" w:sz="4" w:space="0" w:color="auto"/>
              <w:bottom w:val="nil"/>
              <w:right w:val="single" w:sz="4" w:space="0" w:color="auto"/>
            </w:tcBorders>
            <w:tcMar>
              <w:top w:w="0" w:type="dxa"/>
              <w:left w:w="86" w:type="dxa"/>
              <w:bottom w:w="43" w:type="dxa"/>
              <w:right w:w="86" w:type="dxa"/>
            </w:tcMar>
          </w:tcPr>
          <w:p w14:paraId="319592E5" w14:textId="77777777" w:rsidR="002A5E56" w:rsidRPr="005D4222" w:rsidRDefault="002A5E56" w:rsidP="002A5E56">
            <w:pPr>
              <w:pStyle w:val="ECDSMarginSubhead"/>
              <w:spacing w:after="0"/>
            </w:pPr>
            <w:r w:rsidRPr="005D4222">
              <w:t>Risk adjustment</w:t>
            </w:r>
          </w:p>
        </w:tc>
        <w:tc>
          <w:tcPr>
            <w:tcW w:w="7560" w:type="dxa"/>
            <w:tcBorders>
              <w:top w:val="nil"/>
              <w:left w:val="single" w:sz="4" w:space="0" w:color="auto"/>
              <w:bottom w:val="nil"/>
              <w:right w:val="single" w:sz="4" w:space="0" w:color="auto"/>
            </w:tcBorders>
            <w:tcMar>
              <w:top w:w="0" w:type="dxa"/>
              <w:left w:w="86" w:type="dxa"/>
              <w:bottom w:w="43" w:type="dxa"/>
              <w:right w:w="86" w:type="dxa"/>
            </w:tcMar>
            <w:hideMark/>
          </w:tcPr>
          <w:p w14:paraId="52311E7A" w14:textId="77777777" w:rsidR="002A5E56" w:rsidRPr="005D4222" w:rsidRDefault="002A5E56" w:rsidP="002A5E56">
            <w:pPr>
              <w:pStyle w:val="ECDSBody"/>
              <w:spacing w:after="0"/>
            </w:pPr>
            <w:r w:rsidRPr="005D4222">
              <w:t>None.</w:t>
            </w:r>
          </w:p>
        </w:tc>
      </w:tr>
      <w:tr w:rsidR="002A5E56" w:rsidRPr="005D4222" w14:paraId="51E8AD35" w14:textId="77777777" w:rsidTr="009C77CD">
        <w:trPr>
          <w:trHeight w:val="633"/>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42CB9711" w14:textId="77777777" w:rsidR="002A5E56" w:rsidRPr="005D4222" w:rsidRDefault="002A5E56">
            <w:pPr>
              <w:pStyle w:val="ECDSMarginSubhead"/>
            </w:pPr>
            <w:r w:rsidRPr="005D4222">
              <w:t>Guidance</w:t>
            </w:r>
          </w:p>
        </w:tc>
        <w:tc>
          <w:tcPr>
            <w:tcW w:w="7560"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176F37BA" w14:textId="3C95E0AC" w:rsidR="002A5E56" w:rsidRPr="005D4222" w:rsidRDefault="002A5E56">
            <w:pPr>
              <w:pStyle w:val="ECDSBody"/>
            </w:pPr>
            <w:r w:rsidRPr="005D4222">
              <w:rPr>
                <w:b/>
              </w:rPr>
              <w:t>Data collection methodology:</w:t>
            </w:r>
            <w:r w:rsidRPr="005D4222">
              <w:t xml:space="preserve"> Administrative. Refer to </w:t>
            </w:r>
            <w:hyperlink w:anchor="General_Guideline_Data_Collection_Method" w:history="1">
              <w:r w:rsidRPr="005D4222">
                <w:rPr>
                  <w:rStyle w:val="Hyperlink"/>
                  <w:i/>
                  <w:iCs/>
                </w:rPr>
                <w:t>General Guideline: Data Collection Methods</w:t>
              </w:r>
            </w:hyperlink>
            <w:r w:rsidRPr="005D4222">
              <w:t xml:space="preserve"> for additional information. </w:t>
            </w:r>
          </w:p>
          <w:p w14:paraId="20B9982A" w14:textId="77777777" w:rsidR="002A5E56" w:rsidRPr="005D4222" w:rsidRDefault="002A5E56">
            <w:pPr>
              <w:pStyle w:val="ECDSBody"/>
            </w:pPr>
            <w:r w:rsidRPr="005D4222">
              <w:rPr>
                <w:b/>
              </w:rPr>
              <w:t>Date specificity:</w:t>
            </w:r>
            <w:r w:rsidRPr="005D4222">
              <w:t xml:space="preserve"> Dates must be specific enough to determine the event occurred in the period being measured.</w:t>
            </w:r>
          </w:p>
          <w:p w14:paraId="0B0F4293" w14:textId="77777777" w:rsidR="002A5E56" w:rsidRPr="005D4222" w:rsidRDefault="002A5E56">
            <w:pPr>
              <w:pStyle w:val="ECDSBody"/>
            </w:pPr>
            <w:r w:rsidRPr="005D4222">
              <w:rPr>
                <w:b/>
              </w:rPr>
              <w:t>Which services count?</w:t>
            </w:r>
            <w:r w:rsidRPr="005D4222">
              <w:t xml:space="preserve"> Use all paid, suspended, pending and denied claims.</w:t>
            </w:r>
          </w:p>
          <w:p w14:paraId="6379C789" w14:textId="78A48F47" w:rsidR="002A5E56" w:rsidRPr="005D4222" w:rsidRDefault="002A5E56">
            <w:pPr>
              <w:pStyle w:val="ECDSBody"/>
            </w:pPr>
            <w:r w:rsidRPr="005D4222">
              <w:rPr>
                <w:b/>
              </w:rPr>
              <w:t>I</w:t>
            </w:r>
            <w:r w:rsidR="00B406F6" w:rsidRPr="005D4222">
              <w:rPr>
                <w:b/>
              </w:rPr>
              <w:t>mprovement notation</w:t>
            </w:r>
            <w:r w:rsidRPr="005D4222">
              <w:rPr>
                <w:b/>
              </w:rPr>
              <w:t>:</w:t>
            </w:r>
            <w:r w:rsidRPr="005D4222">
              <w:t xml:space="preserve"> Neither a higher nor a lower rate indicates better performance. This measure provides information on the diagnosed prevalence of substance use disorders.</w:t>
            </w:r>
          </w:p>
        </w:tc>
      </w:tr>
      <w:tr w:rsidR="002A5E56" w:rsidRPr="005D4222" w14:paraId="0DC9A0A8" w14:textId="77777777" w:rsidTr="009C77CD">
        <w:trPr>
          <w:trHeight w:val="320"/>
        </w:trPr>
        <w:tc>
          <w:tcPr>
            <w:tcW w:w="2157" w:type="dxa"/>
            <w:shd w:val="clear" w:color="auto" w:fill="BFBFBF" w:themeFill="background1" w:themeFillShade="BF"/>
            <w:tcMar>
              <w:top w:w="0" w:type="dxa"/>
              <w:left w:w="86" w:type="dxa"/>
              <w:bottom w:w="43" w:type="dxa"/>
              <w:right w:w="86" w:type="dxa"/>
            </w:tcMar>
          </w:tcPr>
          <w:p w14:paraId="6649AD4F" w14:textId="77777777" w:rsidR="002A5E56" w:rsidRPr="005D4222" w:rsidRDefault="002A5E56">
            <w:pPr>
              <w:pStyle w:val="ECDSMarginHead"/>
            </w:pPr>
            <w:r w:rsidRPr="005D4222">
              <w:t>Initial population</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38A8E7C" w14:textId="77777777" w:rsidR="002A5E56" w:rsidRPr="005D4222" w:rsidRDefault="002A5E56">
            <w:pPr>
              <w:pStyle w:val="ECDSBody"/>
            </w:pPr>
            <w:r w:rsidRPr="005D4222">
              <w:rPr>
                <w:i/>
                <w:iCs/>
              </w:rPr>
              <w:t xml:space="preserve">Measure item count: </w:t>
            </w:r>
            <w:r w:rsidRPr="005D4222">
              <w:t>Person.</w:t>
            </w:r>
          </w:p>
          <w:p w14:paraId="6588FC44" w14:textId="77777777" w:rsidR="002A5E56" w:rsidRPr="005D4222" w:rsidRDefault="002A5E56">
            <w:pPr>
              <w:pStyle w:val="ECDSBody"/>
            </w:pPr>
            <w:r w:rsidRPr="005D4222">
              <w:rPr>
                <w:i/>
                <w:iCs/>
              </w:rPr>
              <w:t>Attribution basis:</w:t>
            </w:r>
            <w:r w:rsidRPr="005D4222">
              <w:t xml:space="preserve"> Enrollment.</w:t>
            </w:r>
          </w:p>
          <w:p w14:paraId="5342B902" w14:textId="77777777" w:rsidR="002A5E56" w:rsidRPr="005D4222" w:rsidRDefault="002A5E56" w:rsidP="002A5E56">
            <w:pPr>
              <w:pStyle w:val="Bullet"/>
              <w:numPr>
                <w:ilvl w:val="0"/>
                <w:numId w:val="4"/>
              </w:numPr>
              <w:tabs>
                <w:tab w:val="left" w:pos="360"/>
                <w:tab w:val="left" w:pos="576"/>
              </w:tabs>
              <w:ind w:left="576" w:hanging="216"/>
            </w:pPr>
            <w:r w:rsidRPr="005D4222">
              <w:rPr>
                <w:i/>
                <w:iCs/>
              </w:rPr>
              <w:t>Benefits:</w:t>
            </w:r>
            <w:r w:rsidRPr="005D4222">
              <w:t xml:space="preserve"> Medical.</w:t>
            </w:r>
          </w:p>
          <w:p w14:paraId="41C068AE" w14:textId="77777777" w:rsidR="002A5E56" w:rsidRPr="005D4222" w:rsidRDefault="002A5E56" w:rsidP="002A5E56">
            <w:pPr>
              <w:pStyle w:val="Bullet"/>
              <w:numPr>
                <w:ilvl w:val="0"/>
                <w:numId w:val="4"/>
              </w:numPr>
              <w:tabs>
                <w:tab w:val="left" w:pos="360"/>
                <w:tab w:val="left" w:pos="576"/>
              </w:tabs>
              <w:ind w:left="576" w:hanging="216"/>
            </w:pPr>
            <w:r w:rsidRPr="005D4222">
              <w:rPr>
                <w:i/>
                <w:iCs/>
              </w:rPr>
              <w:t xml:space="preserve">Continuous enrollment: </w:t>
            </w:r>
            <w:r w:rsidRPr="005D4222">
              <w:t>The measurement period.</w:t>
            </w:r>
          </w:p>
          <w:p w14:paraId="0D7CA4B8" w14:textId="77777777" w:rsidR="002A5E56" w:rsidRPr="005D4222" w:rsidRDefault="002A5E56" w:rsidP="002A5E56">
            <w:pPr>
              <w:pStyle w:val="Bullet"/>
              <w:numPr>
                <w:ilvl w:val="0"/>
                <w:numId w:val="4"/>
              </w:numPr>
              <w:tabs>
                <w:tab w:val="left" w:pos="360"/>
                <w:tab w:val="left" w:pos="576"/>
              </w:tabs>
              <w:ind w:left="576" w:hanging="216"/>
            </w:pPr>
            <w:r w:rsidRPr="005D4222">
              <w:rPr>
                <w:i/>
                <w:iCs/>
              </w:rPr>
              <w:t xml:space="preserve">Allowable gap: </w:t>
            </w:r>
            <w:r w:rsidRPr="005D4222">
              <w:t>No more than one gap of ≤45 days during the measurement period.</w:t>
            </w:r>
          </w:p>
          <w:p w14:paraId="01C7E197" w14:textId="13F19340" w:rsidR="002A5E56" w:rsidRPr="005D4222" w:rsidRDefault="002A5E56">
            <w:pPr>
              <w:pStyle w:val="ECDSBody"/>
            </w:pPr>
            <w:r w:rsidRPr="005D4222">
              <w:rPr>
                <w:i/>
                <w:iCs/>
              </w:rPr>
              <w:t>Ages:</w:t>
            </w:r>
            <w:r w:rsidRPr="005D4222">
              <w:t xml:space="preserve"> 13 years of age </w:t>
            </w:r>
            <w:r w:rsidR="005A13C6" w:rsidRPr="005D4222">
              <w:t>and</w:t>
            </w:r>
            <w:r w:rsidRPr="005D4222">
              <w:t xml:space="preserve"> older as of the last day of the measurement period.</w:t>
            </w:r>
          </w:p>
          <w:p w14:paraId="6C2620EA" w14:textId="77777777" w:rsidR="002A5E56" w:rsidRPr="005D4222" w:rsidRDefault="002A5E56">
            <w:pPr>
              <w:pStyle w:val="ECDSBody"/>
            </w:pPr>
            <w:r w:rsidRPr="005D4222">
              <w:rPr>
                <w:i/>
                <w:iCs/>
              </w:rPr>
              <w:t>Event:</w:t>
            </w:r>
            <w:r w:rsidRPr="005D4222">
              <w:t xml:space="preserve"> None.</w:t>
            </w:r>
          </w:p>
        </w:tc>
      </w:tr>
      <w:tr w:rsidR="002A5E56" w:rsidRPr="005D4222" w14:paraId="190147B1" w14:textId="77777777" w:rsidTr="009C77CD">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B2509F4" w14:textId="77777777" w:rsidR="002A5E56" w:rsidRPr="005D4222" w:rsidRDefault="002A5E56">
            <w:pPr>
              <w:pStyle w:val="ECDSMarginHead"/>
            </w:pPr>
            <w:r w:rsidRPr="005D4222">
              <w:t xml:space="preserve">Denominator exclusions </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0D894F56" w14:textId="77777777" w:rsidR="003846A3" w:rsidRPr="005D4222" w:rsidRDefault="002A5E56">
            <w:pPr>
              <w:pStyle w:val="ECDSBody"/>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w:t>
            </w:r>
          </w:p>
          <w:p w14:paraId="18E80B2C" w14:textId="77777777" w:rsidR="002A5E56" w:rsidRPr="005D4222" w:rsidRDefault="002A5E56">
            <w:pPr>
              <w:pStyle w:val="ECDSBody"/>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2A5E56" w:rsidRPr="005D4222" w14:paraId="429A4867" w14:textId="77777777" w:rsidTr="009C77CD">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1280753" w14:textId="77777777" w:rsidR="002A5E56" w:rsidRPr="005D4222" w:rsidRDefault="002A5E56">
            <w:pPr>
              <w:pStyle w:val="ECDSMarginHead"/>
            </w:pPr>
            <w:r w:rsidRPr="005D4222">
              <w:t>Denominator</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7ADD391" w14:textId="77777777" w:rsidR="002A5E56" w:rsidRPr="005D4222" w:rsidRDefault="002A5E56" w:rsidP="003846A3">
            <w:pPr>
              <w:pStyle w:val="ECDSBody"/>
              <w:rPr>
                <w:b/>
                <w:color w:val="000000" w:themeColor="text1"/>
                <w:szCs w:val="21"/>
              </w:rPr>
            </w:pPr>
            <w:r w:rsidRPr="005D4222">
              <w:rPr>
                <w:rFonts w:eastAsia="Arial,Arial,Arial,Arial,Arial,A"/>
              </w:rPr>
              <w:t>The initial population minus denominator exclusions.</w:t>
            </w:r>
          </w:p>
        </w:tc>
      </w:tr>
      <w:tr w:rsidR="002A5E56" w:rsidRPr="005D4222" w14:paraId="4D235BD1" w14:textId="77777777" w:rsidTr="009C77CD">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3D87262" w14:textId="77777777" w:rsidR="002A5E56" w:rsidRPr="005D4222" w:rsidRDefault="002A5E56">
            <w:pPr>
              <w:pStyle w:val="ECDSMarginHead"/>
            </w:pPr>
            <w:r w:rsidRPr="005D4222">
              <w:lastRenderedPageBreak/>
              <w:t>Numerator</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11A8E0B6" w14:textId="77777777" w:rsidR="002A5E56" w:rsidRPr="005D4222" w:rsidRDefault="002A5E56">
            <w:pPr>
              <w:pStyle w:val="ECDSBody"/>
            </w:pPr>
            <w:r w:rsidRPr="005D4222">
              <w:rPr>
                <w:b/>
                <w:bCs w:val="0"/>
              </w:rPr>
              <w:t>Numerator 1: Alcohol use disorder.</w:t>
            </w:r>
            <w:r w:rsidRPr="005D4222">
              <w:rPr>
                <w:b/>
                <w:bCs w:val="0"/>
              </w:rPr>
              <w:br/>
            </w:r>
            <w:r w:rsidRPr="005D4222">
              <w:t>Persons who had an alcohol use disorder diagnosis (</w:t>
            </w:r>
            <w:r w:rsidRPr="005D4222">
              <w:rPr>
                <w:u w:val="single"/>
              </w:rPr>
              <w:t>Alcohol Abuse and Dependence Value Set</w:t>
            </w:r>
            <w:r w:rsidRPr="005D4222">
              <w:t>*) during the measurement period.</w:t>
            </w:r>
          </w:p>
          <w:p w14:paraId="16C1680F" w14:textId="77777777" w:rsidR="002A5E56" w:rsidRPr="005D4222" w:rsidRDefault="002A5E56">
            <w:pPr>
              <w:pStyle w:val="ECDSBody"/>
              <w:spacing w:before="180"/>
            </w:pPr>
            <w:r w:rsidRPr="005D4222">
              <w:rPr>
                <w:b/>
                <w:bCs w:val="0"/>
              </w:rPr>
              <w:t>Numerator 2: Opioid use disorder.</w:t>
            </w:r>
            <w:r w:rsidRPr="005D4222">
              <w:rPr>
                <w:b/>
                <w:bCs w:val="0"/>
              </w:rPr>
              <w:br/>
            </w:r>
            <w:r w:rsidRPr="005D4222">
              <w:t>Persons who had an opioid use disorder diagnosis (</w:t>
            </w:r>
            <w:r w:rsidRPr="005D4222">
              <w:rPr>
                <w:u w:val="single"/>
              </w:rPr>
              <w:t xml:space="preserve">Opioid Abuse and Dependence Value </w:t>
            </w:r>
            <w:r w:rsidRPr="005D4222" w:rsidDel="00DA357E">
              <w:rPr>
                <w:u w:val="single"/>
              </w:rPr>
              <w:t>Set</w:t>
            </w:r>
            <w:r w:rsidRPr="005D4222">
              <w:t>*) during the measurement period.</w:t>
            </w:r>
          </w:p>
          <w:p w14:paraId="14C1B4EF" w14:textId="77777777" w:rsidR="002A5E56" w:rsidRPr="005D4222" w:rsidRDefault="002A5E56">
            <w:pPr>
              <w:pStyle w:val="ECDSBody"/>
            </w:pPr>
            <w:r w:rsidRPr="005D4222">
              <w:rPr>
                <w:b/>
                <w:bCs w:val="0"/>
              </w:rPr>
              <w:t>Numerator 3: Other substance use disorder.</w:t>
            </w:r>
            <w:r w:rsidRPr="005D4222">
              <w:rPr>
                <w:b/>
                <w:bCs w:val="0"/>
              </w:rPr>
              <w:br/>
            </w:r>
            <w:r w:rsidRPr="005D4222">
              <w:t xml:space="preserve">Persons who had a diagnosis of </w:t>
            </w:r>
            <w:r w:rsidRPr="005D4222" w:rsidDel="00B03B4F">
              <w:t xml:space="preserve">SUD </w:t>
            </w:r>
            <w:r w:rsidRPr="005D4222">
              <w:t>that was neither for opioid or alcohol (</w:t>
            </w:r>
            <w:r w:rsidRPr="005D4222">
              <w:rPr>
                <w:u w:val="single"/>
              </w:rPr>
              <w:t>Other Drug Abuse and Dependence Value Set</w:t>
            </w:r>
            <w:r w:rsidRPr="005D4222">
              <w:t>*) during the measurement period.</w:t>
            </w:r>
          </w:p>
          <w:p w14:paraId="6646F21D" w14:textId="77777777" w:rsidR="002A5E56" w:rsidRPr="005D4222" w:rsidRDefault="002A5E56">
            <w:pPr>
              <w:pStyle w:val="ECDSBody"/>
            </w:pPr>
            <w:r w:rsidRPr="005D4222">
              <w:rPr>
                <w:b/>
                <w:bCs w:val="0"/>
              </w:rPr>
              <w:t>Numerator 4: Any substance use disorder.</w:t>
            </w:r>
            <w:r w:rsidRPr="005D4222">
              <w:rPr>
                <w:b/>
                <w:bCs w:val="0"/>
              </w:rPr>
              <w:br/>
            </w:r>
            <w:r w:rsidRPr="005D4222">
              <w:t xml:space="preserve">Persons who had any </w:t>
            </w:r>
            <w:r w:rsidRPr="005D4222" w:rsidDel="006A7222">
              <w:t>substance use disorder</w:t>
            </w:r>
            <w:r w:rsidRPr="005D4222">
              <w:t xml:space="preserve"> during the measure period. Any of the following meet criteria.</w:t>
            </w:r>
          </w:p>
          <w:p w14:paraId="4AC332B4" w14:textId="77777777" w:rsidR="002A5E56" w:rsidRPr="005D4222" w:rsidRDefault="002A5E56" w:rsidP="002A5E56">
            <w:pPr>
              <w:pStyle w:val="Bullet"/>
              <w:numPr>
                <w:ilvl w:val="0"/>
                <w:numId w:val="4"/>
              </w:numPr>
              <w:tabs>
                <w:tab w:val="left" w:pos="360"/>
                <w:tab w:val="left" w:pos="576"/>
              </w:tabs>
              <w:ind w:left="576" w:hanging="216"/>
            </w:pPr>
            <w:r w:rsidRPr="005D4222">
              <w:rPr>
                <w:u w:val="single"/>
              </w:rPr>
              <w:t>Alcohol Abuse and Dependence Value Set</w:t>
            </w:r>
            <w:r w:rsidRPr="005D4222">
              <w:t>*.</w:t>
            </w:r>
          </w:p>
          <w:p w14:paraId="3D7CFA02" w14:textId="77777777" w:rsidR="002A5E56" w:rsidRPr="005D4222" w:rsidRDefault="002A5E56" w:rsidP="002A5E56">
            <w:pPr>
              <w:pStyle w:val="Bullet"/>
              <w:numPr>
                <w:ilvl w:val="0"/>
                <w:numId w:val="4"/>
              </w:numPr>
              <w:tabs>
                <w:tab w:val="left" w:pos="360"/>
                <w:tab w:val="left" w:pos="576"/>
              </w:tabs>
              <w:ind w:left="576" w:hanging="216"/>
            </w:pPr>
            <w:r w:rsidRPr="005D4222">
              <w:rPr>
                <w:u w:val="single"/>
              </w:rPr>
              <w:t>Opioid Abuse and Dependence Value Set</w:t>
            </w:r>
            <w:r w:rsidRPr="005D4222">
              <w:t>*.</w:t>
            </w:r>
          </w:p>
          <w:p w14:paraId="7E8FF7AA" w14:textId="77777777" w:rsidR="002A5E56" w:rsidRPr="005D4222" w:rsidRDefault="002A5E56" w:rsidP="002A5E56">
            <w:pPr>
              <w:pStyle w:val="Bullet"/>
              <w:numPr>
                <w:ilvl w:val="0"/>
                <w:numId w:val="4"/>
              </w:numPr>
              <w:tabs>
                <w:tab w:val="left" w:pos="360"/>
                <w:tab w:val="left" w:pos="576"/>
              </w:tabs>
              <w:ind w:left="576" w:hanging="216"/>
            </w:pPr>
            <w:r w:rsidRPr="005D4222">
              <w:rPr>
                <w:u w:val="single"/>
              </w:rPr>
              <w:t>Other Drug Abuse and Dependence Value Set</w:t>
            </w:r>
            <w:r w:rsidRPr="005D4222">
              <w:t>*.</w:t>
            </w:r>
          </w:p>
          <w:p w14:paraId="741D25E6" w14:textId="77777777" w:rsidR="002A5E56" w:rsidRPr="005D4222" w:rsidRDefault="002A5E56" w:rsidP="003846A3">
            <w:pPr>
              <w:pStyle w:val="ECDSBody"/>
              <w:spacing w:after="0"/>
              <w:rPr>
                <w:b/>
                <w:bCs w:val="0"/>
              </w:rPr>
            </w:pPr>
            <w:r w:rsidRPr="005D4222">
              <w:rPr>
                <w:b/>
                <w:bCs w:val="0"/>
              </w:rPr>
              <w:t>Coding Guidance</w:t>
            </w:r>
          </w:p>
          <w:p w14:paraId="1D43CD30" w14:textId="77777777" w:rsidR="002A5E56" w:rsidRPr="005D4222" w:rsidRDefault="002A5E56">
            <w:pPr>
              <w:pStyle w:val="ECDSBody"/>
              <w:spacing w:before="0"/>
            </w:pPr>
            <w:r w:rsidRPr="005D4222">
              <w:t>*Do not include laboratory claims (claims with POS code 81).</w:t>
            </w:r>
          </w:p>
        </w:tc>
      </w:tr>
      <w:tr w:rsidR="002A5E56" w:rsidRPr="005D4222" w14:paraId="7CC21B7D" w14:textId="77777777" w:rsidTr="009C77CD">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0862F4D" w14:textId="77777777" w:rsidR="002A5E56" w:rsidRPr="005D4222" w:rsidRDefault="002A5E56">
            <w:pPr>
              <w:pStyle w:val="ECDSMarginHead"/>
            </w:pPr>
            <w:r w:rsidRPr="005D4222">
              <w:t>Summary of changes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6D176AA" w14:textId="77777777" w:rsidR="002A5E56" w:rsidRPr="005D4222" w:rsidRDefault="002A5E56">
            <w:pPr>
              <w:pStyle w:val="ProcessBullet"/>
              <w:spacing w:before="120"/>
            </w:pPr>
            <w:r w:rsidRPr="005D4222">
              <w:t>No changes to this measure.</w:t>
            </w:r>
          </w:p>
        </w:tc>
      </w:tr>
      <w:tr w:rsidR="002A5E56" w:rsidRPr="005D4222" w14:paraId="1A8397C2" w14:textId="77777777" w:rsidTr="009C77CD">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DA59268" w14:textId="77777777" w:rsidR="002A5E56" w:rsidRPr="005D4222" w:rsidRDefault="002A5E56">
            <w:pPr>
              <w:pStyle w:val="ECDSMarginHead"/>
            </w:pPr>
            <w:r w:rsidRPr="005D4222">
              <w:t>Data element tables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3EE6D56" w14:textId="77777777" w:rsidR="002A5E56" w:rsidRPr="005D4222" w:rsidRDefault="002A5E56">
            <w:pPr>
              <w:pStyle w:val="ECDSBody"/>
              <w:rPr>
                <w:rFonts w:eastAsia="Arial,Times New Roman"/>
              </w:rPr>
            </w:pPr>
            <w:r w:rsidRPr="005D4222">
              <w:rPr>
                <w:rFonts w:eastAsia="Arial,Arial,Times New Roman"/>
              </w:rPr>
              <w:t>Organizations that submit HEDIS data to NCQA must provide the following data elements.</w:t>
            </w:r>
          </w:p>
          <w:p w14:paraId="3CE52FA5" w14:textId="77777777" w:rsidR="002A5E56" w:rsidRPr="005D4222" w:rsidRDefault="002A5E56">
            <w:pPr>
              <w:pStyle w:val="Heading3"/>
              <w:spacing w:before="120"/>
              <w:rPr>
                <w:rFonts w:eastAsia="Arial,Arial,Times New Roman"/>
              </w:rPr>
            </w:pPr>
            <w:r w:rsidRPr="005D4222">
              <w:rPr>
                <w:rFonts w:eastAsia="Arial,Arial,Times New Roman"/>
              </w:rPr>
              <w:t xml:space="preserve">Table DSU-1/2/3: Data Elements for Diagnosed Substance Use Disorders </w:t>
            </w:r>
          </w:p>
          <w:tbl>
            <w:tblPr>
              <w:tblW w:w="772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124"/>
              <w:gridCol w:w="918"/>
              <w:gridCol w:w="2364"/>
              <w:gridCol w:w="2970"/>
              <w:gridCol w:w="345"/>
            </w:tblGrid>
            <w:tr w:rsidR="002A5E56" w:rsidRPr="005D4222" w14:paraId="6B3DFF71" w14:textId="77777777">
              <w:trPr>
                <w:gridAfter w:val="1"/>
                <w:wAfter w:w="345" w:type="dxa"/>
              </w:trPr>
              <w:tc>
                <w:tcPr>
                  <w:tcW w:w="1124"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hideMark/>
                </w:tcPr>
                <w:p w14:paraId="3F6197A5" w14:textId="77777777" w:rsidR="002A5E56" w:rsidRPr="005D4222" w:rsidRDefault="002A5E56">
                  <w:pPr>
                    <w:pStyle w:val="TableHead"/>
                  </w:pPr>
                  <w:r w:rsidRPr="005D4222">
                    <w:t>Metric</w:t>
                  </w:r>
                </w:p>
              </w:tc>
              <w:tc>
                <w:tcPr>
                  <w:tcW w:w="918"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hideMark/>
                </w:tcPr>
                <w:p w14:paraId="1E037274" w14:textId="77777777" w:rsidR="002A5E56" w:rsidRPr="005D4222" w:rsidRDefault="002A5E56">
                  <w:pPr>
                    <w:pStyle w:val="TableHead"/>
                  </w:pPr>
                  <w:r w:rsidRPr="005D4222">
                    <w:t>Age</w:t>
                  </w:r>
                </w:p>
              </w:tc>
              <w:tc>
                <w:tcPr>
                  <w:tcW w:w="2364"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hideMark/>
                </w:tcPr>
                <w:p w14:paraId="054A99FF" w14:textId="77777777" w:rsidR="002A5E56" w:rsidRPr="005D4222" w:rsidRDefault="002A5E56">
                  <w:pPr>
                    <w:pStyle w:val="TableHead"/>
                  </w:pPr>
                  <w:r w:rsidRPr="005D4222">
                    <w:t>Data Element</w:t>
                  </w:r>
                </w:p>
              </w:tc>
              <w:tc>
                <w:tcPr>
                  <w:tcW w:w="2970"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hideMark/>
                </w:tcPr>
                <w:p w14:paraId="1A02748D" w14:textId="77777777" w:rsidR="002A5E56" w:rsidRPr="005D4222" w:rsidRDefault="002A5E56">
                  <w:pPr>
                    <w:pStyle w:val="TableHead"/>
                  </w:pPr>
                  <w:r w:rsidRPr="005D4222">
                    <w:t>Reporting Instructions</w:t>
                  </w:r>
                </w:p>
              </w:tc>
            </w:tr>
            <w:tr w:rsidR="002A5E56" w:rsidRPr="005D4222" w14:paraId="18FC2C4D" w14:textId="77777777">
              <w:trPr>
                <w:gridAfter w:val="1"/>
                <w:wAfter w:w="345" w:type="dxa"/>
              </w:trPr>
              <w:tc>
                <w:tcPr>
                  <w:tcW w:w="1124" w:type="dxa"/>
                  <w:tcBorders>
                    <w:top w:val="single" w:sz="4" w:space="0" w:color="000000" w:themeColor="text1"/>
                    <w:left w:val="single" w:sz="4" w:space="0" w:color="auto"/>
                    <w:bottom w:val="single" w:sz="4" w:space="0" w:color="auto"/>
                    <w:right w:val="single" w:sz="4" w:space="0" w:color="auto"/>
                  </w:tcBorders>
                  <w:hideMark/>
                </w:tcPr>
                <w:p w14:paraId="447D710F" w14:textId="77777777" w:rsidR="002A5E56" w:rsidRPr="005D4222" w:rsidRDefault="002A5E56">
                  <w:pPr>
                    <w:pStyle w:val="TableText"/>
                    <w:rPr>
                      <w:rFonts w:cs="Arial"/>
                      <w:szCs w:val="21"/>
                    </w:rPr>
                  </w:pPr>
                  <w:r w:rsidRPr="005D4222">
                    <w:rPr>
                      <w:rFonts w:cs="Arial"/>
                      <w:szCs w:val="21"/>
                    </w:rPr>
                    <w:t>Alcohol</w:t>
                  </w:r>
                </w:p>
              </w:tc>
              <w:tc>
                <w:tcPr>
                  <w:tcW w:w="918" w:type="dxa"/>
                  <w:tcBorders>
                    <w:top w:val="single" w:sz="4" w:space="0" w:color="000000" w:themeColor="text1"/>
                    <w:left w:val="single" w:sz="4" w:space="0" w:color="auto"/>
                    <w:bottom w:val="single" w:sz="4" w:space="0" w:color="auto"/>
                    <w:right w:val="single" w:sz="4" w:space="0" w:color="auto"/>
                  </w:tcBorders>
                  <w:hideMark/>
                </w:tcPr>
                <w:p w14:paraId="1B673294" w14:textId="77777777" w:rsidR="002A5E56" w:rsidRPr="005D4222" w:rsidRDefault="002A5E56">
                  <w:pPr>
                    <w:pStyle w:val="TableText"/>
                    <w:rPr>
                      <w:rFonts w:cs="Arial"/>
                      <w:szCs w:val="21"/>
                    </w:rPr>
                  </w:pPr>
                  <w:r w:rsidRPr="005D4222">
                    <w:rPr>
                      <w:rFonts w:cs="Arial"/>
                      <w:szCs w:val="21"/>
                    </w:rPr>
                    <w:t>13-17</w:t>
                  </w:r>
                </w:p>
              </w:tc>
              <w:tc>
                <w:tcPr>
                  <w:tcW w:w="236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10C2158" w14:textId="77777777" w:rsidR="002A5E56" w:rsidRPr="005D4222" w:rsidRDefault="002A5E56">
                  <w:pPr>
                    <w:pStyle w:val="TableText"/>
                    <w:rPr>
                      <w:rFonts w:cs="Arial"/>
                      <w:szCs w:val="21"/>
                    </w:rPr>
                  </w:pPr>
                  <w:r w:rsidRPr="005D4222">
                    <w:rPr>
                      <w:rFonts w:cs="Arial"/>
                      <w:szCs w:val="21"/>
                    </w:rPr>
                    <w:t xml:space="preserve">InitialPopulation </w:t>
                  </w:r>
                </w:p>
              </w:tc>
              <w:tc>
                <w:tcPr>
                  <w:tcW w:w="2970"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2968150C" w14:textId="77777777" w:rsidR="002A5E56" w:rsidRPr="005D4222" w:rsidRDefault="002A5E56">
                  <w:pPr>
                    <w:pStyle w:val="TableText"/>
                    <w:rPr>
                      <w:rFonts w:eastAsia="Wingdings" w:cs="Arial"/>
                      <w:szCs w:val="21"/>
                    </w:rPr>
                  </w:pPr>
                  <w:r w:rsidRPr="005D4222">
                    <w:rPr>
                      <w:rFonts w:eastAsia="Wingdings" w:cs="Arial"/>
                      <w:szCs w:val="21"/>
                    </w:rPr>
                    <w:t>For each Stratification, repeat per Metric</w:t>
                  </w:r>
                </w:p>
              </w:tc>
            </w:tr>
            <w:tr w:rsidR="002A5E56" w:rsidRPr="005D4222" w14:paraId="13757FCF" w14:textId="77777777">
              <w:trPr>
                <w:gridAfter w:val="1"/>
                <w:wAfter w:w="345" w:type="dxa"/>
              </w:trPr>
              <w:tc>
                <w:tcPr>
                  <w:tcW w:w="11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D3C4FA1" w14:textId="77777777" w:rsidR="002A5E56" w:rsidRPr="005D4222" w:rsidRDefault="002A5E56">
                  <w:pPr>
                    <w:pStyle w:val="TableText"/>
                    <w:rPr>
                      <w:rFonts w:cs="Arial"/>
                      <w:szCs w:val="21"/>
                    </w:rPr>
                  </w:pPr>
                  <w:r w:rsidRPr="005D4222">
                    <w:rPr>
                      <w:rFonts w:cs="Arial"/>
                      <w:szCs w:val="21"/>
                    </w:rPr>
                    <w:t>Opioid</w:t>
                  </w:r>
                </w:p>
              </w:tc>
              <w:tc>
                <w:tcPr>
                  <w:tcW w:w="91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DC79C2C" w14:textId="77777777" w:rsidR="002A5E56" w:rsidRPr="005D4222" w:rsidRDefault="002A5E56">
                  <w:pPr>
                    <w:pStyle w:val="TableText"/>
                    <w:rPr>
                      <w:rFonts w:cs="Arial"/>
                      <w:szCs w:val="21"/>
                    </w:rPr>
                  </w:pPr>
                  <w:r w:rsidRPr="005D4222">
                    <w:rPr>
                      <w:rFonts w:cs="Arial"/>
                      <w:szCs w:val="21"/>
                    </w:rPr>
                    <w:t>18-64</w:t>
                  </w:r>
                </w:p>
              </w:tc>
              <w:tc>
                <w:tcPr>
                  <w:tcW w:w="236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DBEFECD" w14:textId="77777777" w:rsidR="002A5E56" w:rsidRPr="005D4222" w:rsidRDefault="002A5E56">
                  <w:pPr>
                    <w:pStyle w:val="TableText"/>
                    <w:rPr>
                      <w:rFonts w:cs="Arial"/>
                    </w:rPr>
                  </w:pPr>
                  <w:r w:rsidRPr="005D4222">
                    <w:rPr>
                      <w:rFonts w:cs="Arial"/>
                    </w:rPr>
                    <w:t>Exclusions</w:t>
                  </w:r>
                </w:p>
              </w:tc>
              <w:tc>
                <w:tcPr>
                  <w:tcW w:w="2970"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0341EEDE" w14:textId="77777777" w:rsidR="002A5E56" w:rsidRPr="005D4222" w:rsidRDefault="002A5E56">
                  <w:pPr>
                    <w:pStyle w:val="TableText"/>
                    <w:rPr>
                      <w:rFonts w:eastAsia="Wingdings" w:cs="Arial"/>
                      <w:szCs w:val="21"/>
                    </w:rPr>
                  </w:pPr>
                  <w:r w:rsidRPr="005D4222">
                    <w:rPr>
                      <w:rFonts w:eastAsia="Wingdings" w:cs="Arial"/>
                      <w:szCs w:val="21"/>
                    </w:rPr>
                    <w:t>For each Stratification, repeat per Metric</w:t>
                  </w:r>
                </w:p>
              </w:tc>
            </w:tr>
            <w:tr w:rsidR="003846A3" w:rsidRPr="005D4222" w14:paraId="09B71933" w14:textId="77777777">
              <w:trPr>
                <w:gridAfter w:val="1"/>
                <w:wAfter w:w="345" w:type="dxa"/>
              </w:trPr>
              <w:tc>
                <w:tcPr>
                  <w:tcW w:w="1124" w:type="dxa"/>
                  <w:tcBorders>
                    <w:top w:val="single" w:sz="4" w:space="0" w:color="auto"/>
                    <w:left w:val="single" w:sz="4" w:space="0" w:color="auto"/>
                    <w:bottom w:val="single" w:sz="4" w:space="0" w:color="auto"/>
                    <w:right w:val="single" w:sz="4" w:space="0" w:color="auto"/>
                  </w:tcBorders>
                  <w:shd w:val="clear" w:color="auto" w:fill="FFFFFF" w:themeFill="background1"/>
                </w:tcPr>
                <w:p w14:paraId="5D09CEFA" w14:textId="4AACCD6D" w:rsidR="003846A3" w:rsidRPr="005D4222" w:rsidRDefault="003846A3" w:rsidP="003846A3">
                  <w:pPr>
                    <w:pStyle w:val="TableText"/>
                    <w:rPr>
                      <w:rFonts w:cs="Arial"/>
                      <w:szCs w:val="21"/>
                    </w:rPr>
                  </w:pPr>
                  <w:r w:rsidRPr="005D4222">
                    <w:rPr>
                      <w:rFonts w:cs="Arial"/>
                    </w:rPr>
                    <w:t>Other</w:t>
                  </w:r>
                </w:p>
              </w:tc>
              <w:tc>
                <w:tcPr>
                  <w:tcW w:w="918" w:type="dxa"/>
                  <w:tcBorders>
                    <w:top w:val="single" w:sz="4" w:space="0" w:color="auto"/>
                    <w:left w:val="single" w:sz="4" w:space="0" w:color="auto"/>
                    <w:bottom w:val="single" w:sz="4" w:space="0" w:color="auto"/>
                    <w:right w:val="single" w:sz="4" w:space="0" w:color="auto"/>
                  </w:tcBorders>
                  <w:shd w:val="clear" w:color="auto" w:fill="FFFFFF" w:themeFill="background1"/>
                </w:tcPr>
                <w:p w14:paraId="5C563412" w14:textId="6251BB3E" w:rsidR="003846A3" w:rsidRPr="005D4222" w:rsidRDefault="003846A3" w:rsidP="003846A3">
                  <w:pPr>
                    <w:pStyle w:val="TableText"/>
                    <w:rPr>
                      <w:rFonts w:cs="Arial"/>
                      <w:szCs w:val="21"/>
                    </w:rPr>
                  </w:pPr>
                  <w:r w:rsidRPr="005D4222">
                    <w:rPr>
                      <w:rFonts w:cs="Arial"/>
                    </w:rPr>
                    <w:t>65+</w:t>
                  </w:r>
                </w:p>
              </w:tc>
              <w:tc>
                <w:tcPr>
                  <w:tcW w:w="2364" w:type="dxa"/>
                  <w:tcBorders>
                    <w:top w:val="single" w:sz="4" w:space="0" w:color="auto"/>
                    <w:left w:val="single" w:sz="4" w:space="0" w:color="auto"/>
                    <w:bottom w:val="single" w:sz="4" w:space="0" w:color="auto"/>
                    <w:right w:val="single" w:sz="4" w:space="0" w:color="auto"/>
                  </w:tcBorders>
                  <w:shd w:val="clear" w:color="auto" w:fill="FFFFFF" w:themeFill="background1"/>
                </w:tcPr>
                <w:p w14:paraId="72187BEA" w14:textId="748921E5" w:rsidR="003846A3" w:rsidRPr="005D4222" w:rsidRDefault="003846A3" w:rsidP="003846A3">
                  <w:pPr>
                    <w:pStyle w:val="TableText"/>
                    <w:rPr>
                      <w:rFonts w:cs="Arial"/>
                    </w:rPr>
                  </w:pPr>
                  <w:r w:rsidRPr="005D4222">
                    <w:rPr>
                      <w:rFonts w:cs="Arial"/>
                    </w:rPr>
                    <w:t>Denominator</w:t>
                  </w:r>
                </w:p>
              </w:tc>
              <w:tc>
                <w:tcPr>
                  <w:tcW w:w="2970" w:type="dxa"/>
                  <w:tcBorders>
                    <w:top w:val="single" w:sz="6" w:space="0" w:color="auto"/>
                    <w:left w:val="single" w:sz="4" w:space="0" w:color="auto"/>
                    <w:bottom w:val="single" w:sz="6" w:space="0" w:color="auto"/>
                    <w:right w:val="single" w:sz="4" w:space="0" w:color="auto"/>
                  </w:tcBorders>
                  <w:shd w:val="clear" w:color="auto" w:fill="FFFFFF" w:themeFill="background1"/>
                </w:tcPr>
                <w:p w14:paraId="3056B6FF" w14:textId="4BE64F5E" w:rsidR="003846A3" w:rsidRPr="005D4222" w:rsidRDefault="003846A3" w:rsidP="003846A3">
                  <w:pPr>
                    <w:pStyle w:val="TableText"/>
                    <w:rPr>
                      <w:rFonts w:eastAsia="Wingdings" w:cs="Arial"/>
                      <w:szCs w:val="21"/>
                    </w:rPr>
                  </w:pPr>
                  <w:r w:rsidRPr="005D4222">
                    <w:rPr>
                      <w:rFonts w:eastAsia="Wingdings" w:cs="Arial"/>
                    </w:rPr>
                    <w:t>For each Stratification, repeat per Metric</w:t>
                  </w:r>
                </w:p>
              </w:tc>
            </w:tr>
            <w:tr w:rsidR="003846A3" w:rsidRPr="005D4222" w14:paraId="73B44EB6" w14:textId="77777777">
              <w:trPr>
                <w:gridAfter w:val="1"/>
                <w:wAfter w:w="345" w:type="dxa"/>
              </w:trPr>
              <w:tc>
                <w:tcPr>
                  <w:tcW w:w="1124" w:type="dxa"/>
                  <w:tcBorders>
                    <w:top w:val="single" w:sz="4" w:space="0" w:color="auto"/>
                    <w:left w:val="single" w:sz="4" w:space="0" w:color="auto"/>
                    <w:bottom w:val="single" w:sz="4" w:space="0" w:color="auto"/>
                    <w:right w:val="nil"/>
                  </w:tcBorders>
                  <w:shd w:val="clear" w:color="auto" w:fill="FFFFFF" w:themeFill="background1"/>
                  <w:hideMark/>
                </w:tcPr>
                <w:p w14:paraId="1C68342E" w14:textId="77777777" w:rsidR="003846A3" w:rsidRPr="005D4222" w:rsidRDefault="003846A3" w:rsidP="003846A3">
                  <w:pPr>
                    <w:pStyle w:val="TableText"/>
                    <w:rPr>
                      <w:rFonts w:cs="Arial"/>
                      <w:szCs w:val="21"/>
                    </w:rPr>
                  </w:pPr>
                  <w:r w:rsidRPr="005D4222">
                    <w:rPr>
                      <w:rFonts w:cs="Arial"/>
                      <w:szCs w:val="21"/>
                    </w:rPr>
                    <w:t>Any</w:t>
                  </w:r>
                </w:p>
              </w:tc>
              <w:tc>
                <w:tcPr>
                  <w:tcW w:w="91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4A69C07" w14:textId="77777777" w:rsidR="003846A3" w:rsidRPr="005D4222" w:rsidRDefault="003846A3" w:rsidP="003846A3">
                  <w:pPr>
                    <w:pStyle w:val="TableText"/>
                    <w:rPr>
                      <w:rFonts w:cs="Arial"/>
                      <w:szCs w:val="21"/>
                    </w:rPr>
                  </w:pPr>
                  <w:r w:rsidRPr="005D4222">
                    <w:rPr>
                      <w:rFonts w:cs="Arial"/>
                      <w:szCs w:val="21"/>
                    </w:rPr>
                    <w:t>Total</w:t>
                  </w:r>
                </w:p>
              </w:tc>
              <w:tc>
                <w:tcPr>
                  <w:tcW w:w="2364" w:type="dxa"/>
                  <w:tcBorders>
                    <w:top w:val="single" w:sz="4" w:space="0" w:color="auto"/>
                    <w:left w:val="single" w:sz="4" w:space="0" w:color="auto"/>
                    <w:bottom w:val="single" w:sz="4" w:space="0" w:color="auto"/>
                    <w:right w:val="single" w:sz="4" w:space="0" w:color="auto"/>
                  </w:tcBorders>
                  <w:hideMark/>
                </w:tcPr>
                <w:p w14:paraId="66BCB825" w14:textId="77777777" w:rsidR="003846A3" w:rsidRPr="005D4222" w:rsidRDefault="003846A3" w:rsidP="003846A3">
                  <w:pPr>
                    <w:pStyle w:val="TableText"/>
                    <w:rPr>
                      <w:rFonts w:cs="Arial"/>
                      <w:szCs w:val="21"/>
                    </w:rPr>
                  </w:pPr>
                  <w:r w:rsidRPr="005D4222">
                    <w:rPr>
                      <w:rFonts w:cs="Arial"/>
                      <w:szCs w:val="21"/>
                    </w:rPr>
                    <w:t>NumeratorByAdmin</w:t>
                  </w:r>
                </w:p>
              </w:tc>
              <w:tc>
                <w:tcPr>
                  <w:tcW w:w="2970" w:type="dxa"/>
                  <w:tcBorders>
                    <w:top w:val="single" w:sz="6" w:space="0" w:color="auto"/>
                    <w:left w:val="single" w:sz="4" w:space="0" w:color="auto"/>
                    <w:bottom w:val="single" w:sz="6" w:space="0" w:color="auto"/>
                    <w:right w:val="single" w:sz="4" w:space="0" w:color="auto"/>
                  </w:tcBorders>
                  <w:hideMark/>
                </w:tcPr>
                <w:p w14:paraId="70F14A17" w14:textId="77777777" w:rsidR="003846A3" w:rsidRPr="005D4222" w:rsidRDefault="003846A3" w:rsidP="003846A3">
                  <w:pPr>
                    <w:pStyle w:val="TableText"/>
                    <w:rPr>
                      <w:rFonts w:eastAsia="Wingdings" w:cs="Arial"/>
                      <w:szCs w:val="21"/>
                    </w:rPr>
                  </w:pPr>
                  <w:r w:rsidRPr="005D4222">
                    <w:rPr>
                      <w:rFonts w:eastAsia="Wingdings" w:cs="Arial"/>
                      <w:szCs w:val="21"/>
                    </w:rPr>
                    <w:t>For each Metric and Stratification</w:t>
                  </w:r>
                </w:p>
              </w:tc>
            </w:tr>
            <w:tr w:rsidR="003846A3" w:rsidRPr="005D4222" w14:paraId="2C5E0643" w14:textId="77777777">
              <w:trPr>
                <w:gridAfter w:val="1"/>
                <w:wAfter w:w="345" w:type="dxa"/>
              </w:trPr>
              <w:tc>
                <w:tcPr>
                  <w:tcW w:w="1124" w:type="dxa"/>
                  <w:tcBorders>
                    <w:top w:val="single" w:sz="4" w:space="0" w:color="auto"/>
                    <w:left w:val="nil"/>
                    <w:bottom w:val="nil"/>
                    <w:right w:val="nil"/>
                  </w:tcBorders>
                </w:tcPr>
                <w:p w14:paraId="673C8DC8" w14:textId="77777777" w:rsidR="003846A3" w:rsidRPr="005D4222" w:rsidRDefault="003846A3" w:rsidP="003846A3">
                  <w:pPr>
                    <w:pStyle w:val="TableText"/>
                    <w:rPr>
                      <w:rFonts w:cs="Arial"/>
                      <w:szCs w:val="21"/>
                    </w:rPr>
                  </w:pPr>
                </w:p>
              </w:tc>
              <w:tc>
                <w:tcPr>
                  <w:tcW w:w="918" w:type="dxa"/>
                  <w:tcBorders>
                    <w:top w:val="single" w:sz="4" w:space="0" w:color="auto"/>
                    <w:left w:val="nil"/>
                    <w:bottom w:val="nil"/>
                    <w:right w:val="single" w:sz="4" w:space="0" w:color="auto"/>
                  </w:tcBorders>
                </w:tcPr>
                <w:p w14:paraId="191820A1" w14:textId="77777777" w:rsidR="003846A3" w:rsidRPr="005D4222" w:rsidRDefault="003846A3" w:rsidP="003846A3">
                  <w:pPr>
                    <w:pStyle w:val="TableText"/>
                    <w:rPr>
                      <w:rFonts w:cs="Arial"/>
                      <w:szCs w:val="21"/>
                    </w:rPr>
                  </w:pPr>
                </w:p>
              </w:tc>
              <w:tc>
                <w:tcPr>
                  <w:tcW w:w="2364" w:type="dxa"/>
                  <w:tcBorders>
                    <w:top w:val="single" w:sz="4" w:space="0" w:color="auto"/>
                    <w:left w:val="single" w:sz="4" w:space="0" w:color="auto"/>
                    <w:bottom w:val="single" w:sz="4" w:space="0" w:color="auto"/>
                    <w:right w:val="single" w:sz="4" w:space="0" w:color="auto"/>
                  </w:tcBorders>
                </w:tcPr>
                <w:p w14:paraId="4DA87457" w14:textId="77777777" w:rsidR="003846A3" w:rsidRPr="005D4222" w:rsidRDefault="003846A3" w:rsidP="003846A3">
                  <w:pPr>
                    <w:pStyle w:val="TableText"/>
                    <w:rPr>
                      <w:rFonts w:cs="Arial"/>
                      <w:szCs w:val="21"/>
                    </w:rPr>
                  </w:pPr>
                  <w:r w:rsidRPr="005D4222">
                    <w:t>NumeratorBySupplemental</w:t>
                  </w:r>
                </w:p>
              </w:tc>
              <w:tc>
                <w:tcPr>
                  <w:tcW w:w="2970" w:type="dxa"/>
                  <w:tcBorders>
                    <w:top w:val="single" w:sz="6" w:space="0" w:color="auto"/>
                    <w:left w:val="single" w:sz="4" w:space="0" w:color="auto"/>
                    <w:bottom w:val="single" w:sz="6" w:space="0" w:color="auto"/>
                    <w:right w:val="single" w:sz="4" w:space="0" w:color="auto"/>
                  </w:tcBorders>
                </w:tcPr>
                <w:p w14:paraId="5283FBC1" w14:textId="77777777" w:rsidR="003846A3" w:rsidRPr="005D4222" w:rsidRDefault="003846A3" w:rsidP="003846A3">
                  <w:pPr>
                    <w:pStyle w:val="TableText"/>
                    <w:rPr>
                      <w:rFonts w:eastAsia="Wingdings" w:cs="Arial"/>
                      <w:szCs w:val="21"/>
                    </w:rPr>
                  </w:pPr>
                  <w:r w:rsidRPr="005D4222">
                    <w:rPr>
                      <w:rFonts w:eastAsia="Wingdings"/>
                    </w:rPr>
                    <w:t>For each Metric and Stratification</w:t>
                  </w:r>
                </w:p>
              </w:tc>
            </w:tr>
            <w:tr w:rsidR="003846A3" w:rsidRPr="005D4222" w14:paraId="1A39CC24" w14:textId="77777777">
              <w:tc>
                <w:tcPr>
                  <w:tcW w:w="2042" w:type="dxa"/>
                  <w:gridSpan w:val="2"/>
                  <w:tcBorders>
                    <w:top w:val="nil"/>
                    <w:left w:val="nil"/>
                    <w:bottom w:val="single" w:sz="4" w:space="0" w:color="auto"/>
                    <w:right w:val="single" w:sz="4" w:space="0" w:color="auto"/>
                  </w:tcBorders>
                  <w:shd w:val="clear" w:color="auto" w:fill="FFFFFF" w:themeFill="background1"/>
                </w:tcPr>
                <w:p w14:paraId="2E230871" w14:textId="77777777" w:rsidR="003846A3" w:rsidRPr="005D4222" w:rsidRDefault="003846A3" w:rsidP="003846A3">
                  <w:pPr>
                    <w:pStyle w:val="TableText"/>
                    <w:rPr>
                      <w:rFonts w:cs="Arial"/>
                      <w:szCs w:val="21"/>
                    </w:rPr>
                  </w:pPr>
                </w:p>
              </w:tc>
              <w:tc>
                <w:tcPr>
                  <w:tcW w:w="236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079133" w14:textId="77777777" w:rsidR="003846A3" w:rsidRPr="005D4222" w:rsidRDefault="003846A3" w:rsidP="003846A3">
                  <w:pPr>
                    <w:pStyle w:val="TableText"/>
                    <w:rPr>
                      <w:rFonts w:cs="Arial"/>
                      <w:szCs w:val="21"/>
                    </w:rPr>
                  </w:pPr>
                  <w:r w:rsidRPr="005D4222">
                    <w:rPr>
                      <w:rFonts w:cs="Arial"/>
                      <w:szCs w:val="21"/>
                    </w:rPr>
                    <w:t>Rate</w:t>
                  </w:r>
                </w:p>
              </w:tc>
              <w:tc>
                <w:tcPr>
                  <w:tcW w:w="3315" w:type="dxa"/>
                  <w:gridSpan w:val="2"/>
                  <w:tcBorders>
                    <w:top w:val="single" w:sz="6" w:space="0" w:color="auto"/>
                    <w:left w:val="single" w:sz="4" w:space="0" w:color="auto"/>
                    <w:bottom w:val="single" w:sz="6" w:space="0" w:color="auto"/>
                    <w:right w:val="single" w:sz="4" w:space="0" w:color="auto"/>
                  </w:tcBorders>
                  <w:shd w:val="clear" w:color="auto" w:fill="D9D9D9" w:themeFill="background1" w:themeFillShade="D9"/>
                  <w:hideMark/>
                </w:tcPr>
                <w:p w14:paraId="6A5A0334" w14:textId="77777777" w:rsidR="003846A3" w:rsidRPr="005D4222" w:rsidRDefault="003846A3" w:rsidP="003846A3">
                  <w:pPr>
                    <w:pStyle w:val="TableText"/>
                    <w:rPr>
                      <w:rFonts w:eastAsia="Wingdings" w:cs="Arial"/>
                      <w:szCs w:val="21"/>
                    </w:rPr>
                  </w:pPr>
                  <w:r w:rsidRPr="005D4222">
                    <w:rPr>
                      <w:rFonts w:eastAsia="Wingdings" w:cs="Arial"/>
                      <w:szCs w:val="21"/>
                    </w:rPr>
                    <w:t>(Percent)</w:t>
                  </w:r>
                </w:p>
              </w:tc>
            </w:tr>
          </w:tbl>
          <w:p w14:paraId="36594A49" w14:textId="77777777" w:rsidR="002A5E56" w:rsidRPr="005D4222" w:rsidRDefault="002A5E56">
            <w:pPr>
              <w:pStyle w:val="ProcessDash"/>
              <w:numPr>
                <w:ilvl w:val="0"/>
                <w:numId w:val="0"/>
              </w:numPr>
              <w:rPr>
                <w:rFonts w:cs="Arial"/>
                <w:color w:val="000000" w:themeColor="text1"/>
                <w:highlight w:val="yellow"/>
              </w:rPr>
            </w:pPr>
          </w:p>
        </w:tc>
      </w:tr>
      <w:tr w:rsidR="002A5E56" w:rsidRPr="005D4222" w14:paraId="7AE5AF55" w14:textId="77777777" w:rsidTr="009C77CD">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5619AA9" w14:textId="77777777" w:rsidR="002A5E56" w:rsidRPr="005D4222" w:rsidRDefault="002A5E56">
            <w:pPr>
              <w:pStyle w:val="ECDSMarginHead"/>
            </w:pPr>
            <w:r w:rsidRPr="005D4222">
              <w:t>Rules for Allowable Adjustments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C770D2D" w14:textId="77777777" w:rsidR="002A5E56" w:rsidRPr="005D4222" w:rsidRDefault="002A5E56">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0E4151A4" w14:textId="77777777" w:rsidR="002A5E56" w:rsidRPr="005D4222" w:rsidRDefault="002A5E56">
            <w:pPr>
              <w:pStyle w:val="ECDSBody"/>
            </w:pPr>
            <w:r w:rsidRPr="005D4222">
              <w:rPr>
                <w:b/>
              </w:rPr>
              <w:t>Adjusted HEDIS measures may not be used for HEDIS health plan reporting.</w:t>
            </w:r>
          </w:p>
        </w:tc>
      </w:tr>
    </w:tbl>
    <w:p w14:paraId="633B32D4" w14:textId="77777777" w:rsidR="002A5E56" w:rsidRPr="005D4222" w:rsidRDefault="002A5E56" w:rsidP="002A5E56">
      <w:pPr>
        <w:spacing w:after="160" w:line="259" w:lineRule="auto"/>
      </w:pPr>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2A5E56" w:rsidRPr="005D4222" w14:paraId="5754A065" w14:textId="77777777">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119D2F8" w14:textId="77777777" w:rsidR="002A5E56" w:rsidRPr="005D4222" w:rsidRDefault="002A5E56">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6BF59C6" w14:textId="77777777" w:rsidR="002A5E56" w:rsidRPr="005D4222" w:rsidRDefault="002A5E56">
            <w:pPr>
              <w:pStyle w:val="Adjustments"/>
              <w:spacing w:before="120"/>
            </w:pPr>
            <w:r w:rsidRPr="005D4222">
              <w:t>Adjustments</w:t>
            </w:r>
            <w:r w:rsidRPr="005D4222">
              <w:rPr>
                <w:bCs/>
              </w:rPr>
              <w:t xml:space="preserve"> a</w:t>
            </w:r>
            <w:r w:rsidRPr="005D4222">
              <w:t>llowed</w:t>
            </w:r>
          </w:p>
          <w:p w14:paraId="75E3C722" w14:textId="4ECAC142" w:rsidR="002A5E56" w:rsidRPr="005D4222" w:rsidRDefault="002A5E56">
            <w:pPr>
              <w:pStyle w:val="ProcessBullet"/>
            </w:pPr>
            <w:r w:rsidRPr="005D4222">
              <w:rPr>
                <w:i/>
                <w:iCs/>
              </w:rPr>
              <w:t>Product lines</w:t>
            </w:r>
            <w:r w:rsidRPr="005D4222">
              <w:t>. Organizations are not required to use product line criteria; product lines may be combined</w:t>
            </w:r>
            <w:r w:rsidR="00E8671F" w:rsidRPr="005D4222">
              <w:t>,</w:t>
            </w:r>
            <w:r w:rsidRPr="005D4222">
              <w:t xml:space="preserve"> and all (or no) product line criteria may be used.</w:t>
            </w:r>
          </w:p>
          <w:p w14:paraId="3E5B6B1F" w14:textId="77777777" w:rsidR="002A5E56" w:rsidRPr="005D4222" w:rsidRDefault="002A5E56">
            <w:pPr>
              <w:pStyle w:val="ProcessBullet"/>
            </w:pPr>
            <w:r w:rsidRPr="005D4222">
              <w:rPr>
                <w:i/>
                <w:iCs/>
              </w:rPr>
              <w:t xml:space="preserve">Attribution. </w:t>
            </w:r>
            <w:r w:rsidRPr="005D4222">
              <w:t>Organizations are not required to use enrollment criteria.</w:t>
            </w:r>
          </w:p>
          <w:p w14:paraId="54296332" w14:textId="77777777" w:rsidR="002A5E56" w:rsidRPr="005D4222" w:rsidRDefault="002A5E56">
            <w:pPr>
              <w:pStyle w:val="ProcessBullet"/>
              <w:rPr>
                <w:i/>
                <w:iCs/>
              </w:rPr>
            </w:pPr>
            <w:r w:rsidRPr="005D4222">
              <w:rPr>
                <w:i/>
                <w:iCs/>
              </w:rPr>
              <w:t xml:space="preserve">Benefits. </w:t>
            </w:r>
            <w:r w:rsidRPr="005D4222">
              <w:t>Organizations are not required to use a benefit.</w:t>
            </w:r>
          </w:p>
          <w:p w14:paraId="52CF5452" w14:textId="77777777" w:rsidR="002A5E56" w:rsidRPr="005D4222" w:rsidRDefault="002A5E56">
            <w:pPr>
              <w:pStyle w:val="ProcessBullet"/>
              <w:rPr>
                <w:i/>
                <w:iCs/>
              </w:rPr>
            </w:pPr>
            <w:r w:rsidRPr="005D4222">
              <w:rPr>
                <w:i/>
                <w:iCs/>
              </w:rPr>
              <w:t xml:space="preserve">Other. </w:t>
            </w:r>
            <w:r w:rsidRPr="005D4222">
              <w:t>Organizations may use additional initial population criteria to focus on an area of interest defined by gender, race, ethnicity, socioeconomic or sociodemographic characteristics, geographic region or another characteristic.</w:t>
            </w:r>
          </w:p>
          <w:p w14:paraId="76E2C1DA" w14:textId="77777777" w:rsidR="002A5E56" w:rsidRPr="005D4222" w:rsidRDefault="002A5E56">
            <w:pPr>
              <w:pStyle w:val="ProcessBullet"/>
              <w:rPr>
                <w:b/>
                <w:bCs/>
                <w:color w:val="000000" w:themeColor="text1"/>
              </w:rPr>
            </w:pPr>
            <w:r w:rsidRPr="005D4222">
              <w:rPr>
                <w:i/>
                <w:iCs/>
              </w:rPr>
              <w:t>Measurement period adjustments.</w:t>
            </w:r>
            <w:r w:rsidRPr="005D4222">
              <w:t xml:space="preserve"> Organizations may adjust the measurement period. </w:t>
            </w:r>
          </w:p>
          <w:p w14:paraId="7433AFE5" w14:textId="77777777" w:rsidR="002A5E56" w:rsidRPr="005D4222" w:rsidRDefault="002A5E56">
            <w:pPr>
              <w:pStyle w:val="ProcessBullet"/>
              <w:rPr>
                <w:i/>
                <w:iCs/>
              </w:rPr>
            </w:pPr>
            <w:r w:rsidRPr="005D4222">
              <w:rPr>
                <w:i/>
                <w:iCs/>
              </w:rPr>
              <w:t xml:space="preserve">Exclusions. </w:t>
            </w:r>
            <w:r w:rsidRPr="005D4222">
              <w:t>The hospice and deceased person exclusions are not required.</w:t>
            </w:r>
          </w:p>
          <w:p w14:paraId="7DEFCD03" w14:textId="77777777" w:rsidR="002A5E56" w:rsidRPr="005D4222" w:rsidRDefault="002A5E56">
            <w:pPr>
              <w:pStyle w:val="ProcessBullet"/>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7398F0C9" w14:textId="77777777" w:rsidR="002A5E56" w:rsidRPr="005D4222" w:rsidRDefault="002A5E56">
            <w:pPr>
              <w:pStyle w:val="ProcessBullet"/>
            </w:pPr>
            <w:r w:rsidRPr="005D4222">
              <w:rPr>
                <w:i/>
                <w:iCs/>
              </w:rPr>
              <w:t>Supplemental data.</w:t>
            </w:r>
            <w:r w:rsidRPr="005D4222">
              <w:t xml:space="preserve"> Supplemental data may be used to identify initial population, denominator, exclusion and numerator events.</w:t>
            </w:r>
          </w:p>
          <w:p w14:paraId="4D5A433C" w14:textId="77777777" w:rsidR="002A5E56" w:rsidRPr="005D4222" w:rsidRDefault="002A5E56">
            <w:pPr>
              <w:pStyle w:val="Adjustments"/>
            </w:pPr>
            <w:r w:rsidRPr="005D4222">
              <w:t>Adjustments allowed with limits</w:t>
            </w:r>
          </w:p>
          <w:p w14:paraId="1AD22426" w14:textId="77777777" w:rsidR="002A5E56" w:rsidRPr="005D4222" w:rsidRDefault="002A5E56">
            <w:pPr>
              <w:pStyle w:val="ProcessBullet"/>
            </w:pPr>
            <w:r w:rsidRPr="005D4222">
              <w:rPr>
                <w:i/>
                <w:iCs/>
              </w:rPr>
              <w:t>Ages</w:t>
            </w:r>
            <w:r w:rsidRPr="005D4222">
              <w:t>. Age determination dates may be changed (e.g., select, “age as of June 30”). The denominator age may not be expanded.</w:t>
            </w:r>
          </w:p>
          <w:p w14:paraId="0AC186FF" w14:textId="77777777" w:rsidR="002A5E56" w:rsidRPr="005D4222" w:rsidRDefault="002A5E56">
            <w:pPr>
              <w:pStyle w:val="Adjustments"/>
            </w:pPr>
            <w:r w:rsidRPr="005D4222">
              <w:t>Adjustments not allowed</w:t>
            </w:r>
          </w:p>
          <w:p w14:paraId="3D649929" w14:textId="0218D6BB" w:rsidR="002A5E56" w:rsidRPr="005D4222" w:rsidRDefault="00DE550E">
            <w:pPr>
              <w:pStyle w:val="ProcessBullet"/>
              <w:spacing w:after="80"/>
            </w:pPr>
            <w:r w:rsidRPr="005D4222">
              <w:rPr>
                <w:i/>
                <w:iCs/>
              </w:rPr>
              <w:t>Numerator.</w:t>
            </w:r>
            <w:r w:rsidR="002A5E56" w:rsidRPr="005D4222">
              <w:t xml:space="preserve"> Value sets and logic may not be changed for the Alcohol Use Disorder, Opioid Use Disorder, Other Substance Use Disorder and Any Substance Use Disorder indicators. </w:t>
            </w:r>
          </w:p>
        </w:tc>
      </w:tr>
    </w:tbl>
    <w:p w14:paraId="1ED2A77A" w14:textId="77777777" w:rsidR="003846A3" w:rsidRPr="005D4222" w:rsidRDefault="003846A3" w:rsidP="002A5E56">
      <w:pPr>
        <w:pStyle w:val="ECDSBody"/>
        <w:sectPr w:rsidR="003846A3" w:rsidRPr="005D4222" w:rsidSect="0074514A">
          <w:headerReference w:type="default" r:id="rId119"/>
          <w:type w:val="nextColumn"/>
          <w:pgSz w:w="12240" w:h="15840" w:code="1"/>
          <w:pgMar w:top="1080" w:right="1080" w:bottom="1080" w:left="1440" w:header="720" w:footer="720" w:gutter="0"/>
          <w:cols w:space="720"/>
          <w:docGrid w:linePitch="360"/>
        </w:sectPr>
      </w:pPr>
    </w:p>
    <w:p w14:paraId="37DEFCD4" w14:textId="68DD2950" w:rsidR="002A5E56" w:rsidRPr="005D4222" w:rsidRDefault="003846A3" w:rsidP="003846A3">
      <w:pPr>
        <w:pStyle w:val="MeasureTitle"/>
      </w:pPr>
      <w:bookmarkStart w:id="301" w:name="_Toc201813412"/>
      <w:r w:rsidRPr="005D4222">
        <w:lastRenderedPageBreak/>
        <w:t>Follow-Up After High-Intensity Care for Substance Use Disorder</w:t>
      </w:r>
      <w:r w:rsidR="0096709F" w:rsidRPr="005D4222">
        <w:t xml:space="preserve"> (FUI)</w:t>
      </w:r>
      <w:bookmarkEnd w:id="301"/>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05"/>
        <w:gridCol w:w="5272"/>
        <w:gridCol w:w="1620"/>
        <w:gridCol w:w="720"/>
      </w:tblGrid>
      <w:tr w:rsidR="003846A3" w:rsidRPr="005D4222" w14:paraId="08792492" w14:textId="77777777" w:rsidTr="003427E4">
        <w:tc>
          <w:tcPr>
            <w:tcW w:w="2105" w:type="dxa"/>
            <w:shd w:val="clear" w:color="auto" w:fill="BFBFBF" w:themeFill="background1" w:themeFillShade="BF"/>
            <w:tcMar>
              <w:top w:w="0" w:type="dxa"/>
              <w:left w:w="86" w:type="dxa"/>
              <w:bottom w:w="43" w:type="dxa"/>
              <w:right w:w="86" w:type="dxa"/>
            </w:tcMar>
            <w:hideMark/>
          </w:tcPr>
          <w:p w14:paraId="3C88E09E" w14:textId="77777777" w:rsidR="003846A3" w:rsidRPr="005D4222" w:rsidRDefault="003846A3">
            <w:pPr>
              <w:pStyle w:val="ECDSMarginSubhead"/>
            </w:pPr>
            <w:r w:rsidRPr="005D4222">
              <w:t>Measure title</w:t>
            </w:r>
          </w:p>
        </w:tc>
        <w:tc>
          <w:tcPr>
            <w:tcW w:w="5272" w:type="dxa"/>
            <w:tcMar>
              <w:top w:w="0" w:type="dxa"/>
              <w:left w:w="86" w:type="dxa"/>
              <w:bottom w:w="43" w:type="dxa"/>
              <w:right w:w="86" w:type="dxa"/>
            </w:tcMar>
          </w:tcPr>
          <w:p w14:paraId="6A1DEBF5" w14:textId="500BB9E0" w:rsidR="003846A3" w:rsidRPr="005D4222" w:rsidRDefault="003846A3">
            <w:pPr>
              <w:pStyle w:val="ECDSBody"/>
            </w:pPr>
            <w:r w:rsidRPr="005D4222">
              <w:t xml:space="preserve">Follow-Up After High-Intensity Care for Substance </w:t>
            </w:r>
            <w:r w:rsidR="003427E4" w:rsidRPr="005D4222">
              <w:br/>
            </w:r>
            <w:r w:rsidRPr="005D4222">
              <w:t>Use Disorder</w:t>
            </w:r>
          </w:p>
        </w:tc>
        <w:tc>
          <w:tcPr>
            <w:tcW w:w="1620" w:type="dxa"/>
            <w:shd w:val="clear" w:color="auto" w:fill="BFBFBF" w:themeFill="background1" w:themeFillShade="BF"/>
            <w:tcMar>
              <w:top w:w="0" w:type="dxa"/>
              <w:left w:w="86" w:type="dxa"/>
              <w:bottom w:w="43" w:type="dxa"/>
              <w:right w:w="86" w:type="dxa"/>
            </w:tcMar>
          </w:tcPr>
          <w:p w14:paraId="18F1F8B0" w14:textId="77777777" w:rsidR="003846A3" w:rsidRPr="005D4222" w:rsidRDefault="003846A3">
            <w:pPr>
              <w:pStyle w:val="ECDSMarginSubhead"/>
            </w:pPr>
            <w:r w:rsidRPr="005D4222">
              <w:t>Measure ID</w:t>
            </w:r>
          </w:p>
        </w:tc>
        <w:tc>
          <w:tcPr>
            <w:tcW w:w="720" w:type="dxa"/>
            <w:tcMar>
              <w:top w:w="0" w:type="dxa"/>
              <w:left w:w="86" w:type="dxa"/>
              <w:bottom w:w="43" w:type="dxa"/>
              <w:right w:w="86" w:type="dxa"/>
            </w:tcMar>
          </w:tcPr>
          <w:p w14:paraId="15DE33E2" w14:textId="77777777" w:rsidR="003846A3" w:rsidRPr="005D4222" w:rsidRDefault="003846A3">
            <w:pPr>
              <w:pStyle w:val="Body"/>
              <w:rPr>
                <w:rFonts w:cs="Arial"/>
                <w:bCs/>
              </w:rPr>
            </w:pPr>
            <w:r w:rsidRPr="005D4222">
              <w:rPr>
                <w:rFonts w:cs="Arial"/>
                <w:bCs/>
              </w:rPr>
              <w:t xml:space="preserve">FUI </w:t>
            </w:r>
          </w:p>
        </w:tc>
      </w:tr>
      <w:tr w:rsidR="003846A3" w:rsidRPr="005D4222" w14:paraId="2C06370D" w14:textId="77777777" w:rsidTr="003427E4">
        <w:tc>
          <w:tcPr>
            <w:tcW w:w="2105" w:type="dxa"/>
            <w:shd w:val="clear" w:color="auto" w:fill="BFBFBF" w:themeFill="background1" w:themeFillShade="BF"/>
            <w:tcMar>
              <w:top w:w="0" w:type="dxa"/>
              <w:left w:w="86" w:type="dxa"/>
              <w:bottom w:w="43" w:type="dxa"/>
              <w:right w:w="86" w:type="dxa"/>
            </w:tcMar>
            <w:hideMark/>
          </w:tcPr>
          <w:p w14:paraId="2A7CA2BF" w14:textId="77777777" w:rsidR="003846A3" w:rsidRPr="005D4222" w:rsidRDefault="003846A3">
            <w:pPr>
              <w:pStyle w:val="ECDSMarginSubhead"/>
            </w:pPr>
            <w:r w:rsidRPr="005D4222">
              <w:t>Description</w:t>
            </w:r>
          </w:p>
        </w:tc>
        <w:tc>
          <w:tcPr>
            <w:tcW w:w="7612" w:type="dxa"/>
            <w:gridSpan w:val="3"/>
            <w:tcMar>
              <w:top w:w="0" w:type="dxa"/>
              <w:left w:w="86" w:type="dxa"/>
              <w:bottom w:w="43" w:type="dxa"/>
              <w:right w:w="86" w:type="dxa"/>
            </w:tcMar>
          </w:tcPr>
          <w:p w14:paraId="0A7C4B96" w14:textId="77777777" w:rsidR="003846A3" w:rsidRPr="005D4222" w:rsidRDefault="003846A3">
            <w:pPr>
              <w:pStyle w:val="ECDSBody"/>
            </w:pPr>
            <w:r w:rsidRPr="005D4222">
              <w:t>The percentage of acute inpatient hospitalizations, residential treatment or withdrawal management visits for a diagnosis of substance use disorder among persons 13 years of age and older that result in a follow-up visit or service for substance use disorder. Two rates are reported:</w:t>
            </w:r>
          </w:p>
          <w:p w14:paraId="5D6C76EF" w14:textId="77777777" w:rsidR="003846A3" w:rsidRPr="005D4222" w:rsidRDefault="003846A3">
            <w:pPr>
              <w:pStyle w:val="Body"/>
              <w:spacing w:before="80"/>
              <w:ind w:left="648" w:hanging="288"/>
            </w:pPr>
            <w:r w:rsidRPr="005D4222">
              <w:t>1.</w:t>
            </w:r>
            <w:r w:rsidRPr="005D4222">
              <w:tab/>
              <w:t xml:space="preserve">The percentage of visits or discharges for which the person received follow-up for substance use disorder within the 30 days after the visit or discharge. </w:t>
            </w:r>
          </w:p>
          <w:p w14:paraId="251B8691" w14:textId="77777777" w:rsidR="003846A3" w:rsidRPr="005D4222" w:rsidRDefault="003846A3">
            <w:pPr>
              <w:pStyle w:val="Body"/>
              <w:spacing w:before="80"/>
              <w:ind w:left="648" w:hanging="288"/>
            </w:pPr>
            <w:r w:rsidRPr="005D4222">
              <w:t>2.</w:t>
            </w:r>
            <w:r w:rsidRPr="005D4222">
              <w:tab/>
              <w:t>The percentage of visits or discharges for which the person received follow-up for substance use disorder within the 7 days after the visit or discharge.</w:t>
            </w:r>
          </w:p>
        </w:tc>
      </w:tr>
      <w:tr w:rsidR="003846A3" w:rsidRPr="005D4222" w14:paraId="2073B928" w14:textId="77777777" w:rsidTr="003427E4">
        <w:tc>
          <w:tcPr>
            <w:tcW w:w="2105" w:type="dxa"/>
            <w:shd w:val="clear" w:color="auto" w:fill="BFBFBF" w:themeFill="background1" w:themeFillShade="BF"/>
            <w:tcMar>
              <w:top w:w="0" w:type="dxa"/>
              <w:left w:w="86" w:type="dxa"/>
              <w:bottom w:w="43" w:type="dxa"/>
              <w:right w:w="86" w:type="dxa"/>
            </w:tcMar>
          </w:tcPr>
          <w:p w14:paraId="057AC76A" w14:textId="77777777" w:rsidR="003846A3" w:rsidRPr="005D4222" w:rsidRDefault="003846A3">
            <w:pPr>
              <w:pStyle w:val="ECDSMarginSubhead"/>
            </w:pPr>
            <w:r w:rsidRPr="005D4222">
              <w:t>Measurement period</w:t>
            </w:r>
          </w:p>
        </w:tc>
        <w:tc>
          <w:tcPr>
            <w:tcW w:w="7612" w:type="dxa"/>
            <w:gridSpan w:val="3"/>
            <w:tcMar>
              <w:top w:w="0" w:type="dxa"/>
              <w:left w:w="86" w:type="dxa"/>
              <w:bottom w:w="43" w:type="dxa"/>
              <w:right w:w="86" w:type="dxa"/>
            </w:tcMar>
          </w:tcPr>
          <w:p w14:paraId="5240F13E" w14:textId="77777777" w:rsidR="003846A3" w:rsidRPr="005D4222" w:rsidRDefault="003846A3">
            <w:pPr>
              <w:pStyle w:val="ECDSBody"/>
            </w:pPr>
            <w:r w:rsidRPr="005D4222">
              <w:t>January 1–December 31.</w:t>
            </w:r>
          </w:p>
        </w:tc>
      </w:tr>
      <w:tr w:rsidR="003846A3" w:rsidRPr="005D4222" w14:paraId="7278A25F" w14:textId="77777777" w:rsidTr="003427E4">
        <w:tc>
          <w:tcPr>
            <w:tcW w:w="2105" w:type="dxa"/>
            <w:shd w:val="clear" w:color="auto" w:fill="BFBFBF" w:themeFill="background1" w:themeFillShade="BF"/>
            <w:tcMar>
              <w:top w:w="0" w:type="dxa"/>
              <w:left w:w="86" w:type="dxa"/>
              <w:bottom w:w="43" w:type="dxa"/>
              <w:right w:w="86" w:type="dxa"/>
            </w:tcMar>
            <w:hideMark/>
          </w:tcPr>
          <w:p w14:paraId="12930103" w14:textId="77777777" w:rsidR="003846A3" w:rsidRPr="005D4222" w:rsidRDefault="003846A3">
            <w:pPr>
              <w:pStyle w:val="ECDSMarginSubhead"/>
              <w:rPr>
                <w:rFonts w:eastAsia="Arial"/>
              </w:rPr>
            </w:pPr>
            <w:r w:rsidRPr="005D4222">
              <w:rPr>
                <w:rFonts w:eastAsia="Arial"/>
              </w:rPr>
              <w:t>Copyright and disclaimer notice</w:t>
            </w:r>
          </w:p>
        </w:tc>
        <w:tc>
          <w:tcPr>
            <w:tcW w:w="7612" w:type="dxa"/>
            <w:gridSpan w:val="3"/>
            <w:tcMar>
              <w:top w:w="0" w:type="dxa"/>
              <w:left w:w="86" w:type="dxa"/>
              <w:bottom w:w="43" w:type="dxa"/>
              <w:right w:w="86" w:type="dxa"/>
            </w:tcMar>
          </w:tcPr>
          <w:p w14:paraId="2C9A7C86" w14:textId="77777777" w:rsidR="003846A3" w:rsidRPr="005D4222" w:rsidRDefault="003846A3">
            <w:pPr>
              <w:pStyle w:val="ECDSBody"/>
            </w:pPr>
            <w:r w:rsidRPr="005D4222">
              <w:t xml:space="preserve">Refer to the complete copyright and disclaimer information at the front of this publication. </w:t>
            </w:r>
          </w:p>
          <w:p w14:paraId="3DA7EF81" w14:textId="77777777" w:rsidR="003846A3" w:rsidRPr="005D4222" w:rsidRDefault="003846A3">
            <w:pPr>
              <w:pStyle w:val="ECDSBody"/>
              <w:spacing w:before="80"/>
            </w:pPr>
            <w:r w:rsidRPr="005D4222">
              <w:t xml:space="preserve">NCQA website: </w:t>
            </w:r>
            <w:r w:rsidRPr="005D4222">
              <w:rPr>
                <w:u w:val="single"/>
              </w:rPr>
              <w:t>www.ncqa.org</w:t>
            </w:r>
            <w:r w:rsidRPr="005D4222">
              <w:t xml:space="preserve">.  </w:t>
            </w:r>
          </w:p>
          <w:p w14:paraId="6E9C04FF" w14:textId="77777777" w:rsidR="003846A3" w:rsidRPr="005D4222" w:rsidRDefault="003846A3">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3846A3" w:rsidRPr="005D4222" w14:paraId="2315D68A" w14:textId="77777777" w:rsidTr="003427E4">
        <w:trPr>
          <w:trHeight w:val="655"/>
        </w:trPr>
        <w:tc>
          <w:tcPr>
            <w:tcW w:w="2105" w:type="dxa"/>
            <w:shd w:val="clear" w:color="auto" w:fill="BFBFBF" w:themeFill="background1" w:themeFillShade="BF"/>
            <w:tcMar>
              <w:top w:w="0" w:type="dxa"/>
              <w:left w:w="86" w:type="dxa"/>
              <w:bottom w:w="43" w:type="dxa"/>
              <w:right w:w="86" w:type="dxa"/>
            </w:tcMar>
            <w:hideMark/>
          </w:tcPr>
          <w:p w14:paraId="18F9FA8B" w14:textId="77777777" w:rsidR="003846A3" w:rsidRPr="005D4222" w:rsidRDefault="003846A3">
            <w:pPr>
              <w:pStyle w:val="ECDSMarginSubhead"/>
            </w:pPr>
            <w:r w:rsidRPr="005D4222">
              <w:t>Clinical recommendation statement/ rationale</w:t>
            </w:r>
          </w:p>
        </w:tc>
        <w:tc>
          <w:tcPr>
            <w:tcW w:w="7612" w:type="dxa"/>
            <w:gridSpan w:val="3"/>
            <w:tcMar>
              <w:top w:w="0" w:type="dxa"/>
              <w:left w:w="86" w:type="dxa"/>
              <w:bottom w:w="43" w:type="dxa"/>
              <w:right w:w="86" w:type="dxa"/>
            </w:tcMar>
          </w:tcPr>
          <w:p w14:paraId="490D6CDB" w14:textId="66D8D7A2" w:rsidR="003846A3" w:rsidRPr="005D4222" w:rsidRDefault="003846A3">
            <w:pPr>
              <w:pStyle w:val="ECDSBody"/>
            </w:pPr>
            <w:r w:rsidRPr="005D4222">
              <w:t xml:space="preserve">Timely follow-up and continuity of care following a high-intensity event for a diagnosis of SUD </w:t>
            </w:r>
            <w:r w:rsidR="005E345C" w:rsidRPr="005D4222">
              <w:t>are</w:t>
            </w:r>
            <w:r w:rsidRPr="005D4222">
              <w:t xml:space="preserve"> critical, as individuals receiving SUD care in these settings are vulnerable to losing contact with the health care system. Lack of timely follow-up can result in negative outcomes, such as continued substance use, relapse, high utilization of intensive care services and mortality. Although clinical practice guidelines and expert consensus do not define the ideal timing for follow-up, guidelines recommend that individuals with SUD receive patient-centered, timely follow-up care in an appropriate care setting, to ensure ongoing treatment and management.</w:t>
            </w:r>
          </w:p>
        </w:tc>
      </w:tr>
      <w:tr w:rsidR="003846A3" w:rsidRPr="005D4222" w14:paraId="7A05487B" w14:textId="77777777" w:rsidTr="003427E4">
        <w:tc>
          <w:tcPr>
            <w:tcW w:w="2105" w:type="dxa"/>
            <w:shd w:val="clear" w:color="auto" w:fill="BFBFBF" w:themeFill="background1" w:themeFillShade="BF"/>
            <w:tcMar>
              <w:top w:w="0" w:type="dxa"/>
              <w:left w:w="86" w:type="dxa"/>
              <w:bottom w:w="43" w:type="dxa"/>
              <w:right w:w="86" w:type="dxa"/>
            </w:tcMar>
          </w:tcPr>
          <w:p w14:paraId="17D442D4" w14:textId="77777777" w:rsidR="003846A3" w:rsidRPr="005D4222" w:rsidRDefault="003846A3">
            <w:pPr>
              <w:pStyle w:val="ECDSMarginSubhead"/>
            </w:pPr>
            <w:r w:rsidRPr="005D4222">
              <w:t>Citations</w:t>
            </w:r>
          </w:p>
        </w:tc>
        <w:tc>
          <w:tcPr>
            <w:tcW w:w="7612" w:type="dxa"/>
            <w:gridSpan w:val="3"/>
            <w:tcMar>
              <w:top w:w="0" w:type="dxa"/>
              <w:left w:w="86" w:type="dxa"/>
              <w:bottom w:w="43" w:type="dxa"/>
              <w:right w:w="86" w:type="dxa"/>
            </w:tcMar>
          </w:tcPr>
          <w:p w14:paraId="45147890" w14:textId="77777777" w:rsidR="003846A3" w:rsidRPr="005D4222" w:rsidRDefault="003846A3">
            <w:pPr>
              <w:pStyle w:val="ECDSBody"/>
              <w:rPr>
                <w:rStyle w:val="Hyperlink"/>
                <w:szCs w:val="21"/>
              </w:rPr>
            </w:pPr>
            <w:r w:rsidRPr="005D4222">
              <w:t xml:space="preserve">National Institute on Drug Abuse (NIDA). 2017. </w:t>
            </w:r>
            <w:r w:rsidRPr="005D4222">
              <w:rPr>
                <w:i/>
              </w:rPr>
              <w:t>Trends &amp; Statistics.</w:t>
            </w:r>
            <w:r w:rsidRPr="005D4222">
              <w:t xml:space="preserve"> National Institute on Drug Abuse, April 2017. </w:t>
            </w:r>
            <w:r w:rsidRPr="005D4222">
              <w:rPr>
                <w:szCs w:val="21"/>
              </w:rPr>
              <w:t>https://www.drugabuse.gov/related-topics/trends-statistics#supplemental-references-for-economic-costs</w:t>
            </w:r>
          </w:p>
          <w:p w14:paraId="3D61F2F8" w14:textId="77777777" w:rsidR="003846A3" w:rsidRPr="005D4222" w:rsidRDefault="003846A3">
            <w:pPr>
              <w:pStyle w:val="ECDSBody"/>
            </w:pPr>
            <w:r w:rsidRPr="005D4222">
              <w:t xml:space="preserve">National Institute on Drug Abuse (NIDA). 2018. </w:t>
            </w:r>
            <w:r w:rsidRPr="005D4222">
              <w:rPr>
                <w:i/>
              </w:rPr>
              <w:t>Principles of Drug Addiction Treatment: A Research-Based Guide (Third Edition).</w:t>
            </w:r>
            <w:r w:rsidRPr="005D4222">
              <w:t xml:space="preserve"> National Institute on Drug Abuse, 17 Jan. 2018. </w:t>
            </w:r>
            <w:r w:rsidRPr="005D4222">
              <w:rPr>
                <w:szCs w:val="21"/>
              </w:rPr>
              <w:t>https://www.drugabuse.gov/publications/principles-drug-addiction-treatment-research-based-guide-third-edition</w:t>
            </w:r>
          </w:p>
          <w:p w14:paraId="71B2F8F2" w14:textId="77777777" w:rsidR="003846A3" w:rsidRPr="005D4222" w:rsidRDefault="003846A3">
            <w:pPr>
              <w:pStyle w:val="ECDSBody"/>
            </w:pPr>
            <w:r w:rsidRPr="005D4222">
              <w:t xml:space="preserve">Work Group on Substance Use Disorders. 2006. </w:t>
            </w:r>
            <w:r w:rsidRPr="005D4222">
              <w:rPr>
                <w:i/>
              </w:rPr>
              <w:t>Practice Guideline for the Treatment of Patients With Substance Use Disorders Second Edition.</w:t>
            </w:r>
            <w:r w:rsidRPr="005D4222">
              <w:t xml:space="preserve"> American Psychiatric Association (APA); Aug. 276 pg. [1789 references]. https://psychiatryonline.org/pb/assets/raw/sitewide/practice_guidelines/guidelines/substanceuse.pdf</w:t>
            </w:r>
          </w:p>
        </w:tc>
      </w:tr>
    </w:tbl>
    <w:p w14:paraId="71C9D773" w14:textId="77777777" w:rsidR="003846A3" w:rsidRPr="005D4222" w:rsidRDefault="003846A3">
      <w:r w:rsidRPr="005D4222">
        <w:br w:type="page"/>
      </w:r>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05"/>
        <w:gridCol w:w="7612"/>
      </w:tblGrid>
      <w:tr w:rsidR="003846A3" w:rsidRPr="005D4222" w14:paraId="0D608706" w14:textId="77777777" w:rsidTr="003427E4">
        <w:tc>
          <w:tcPr>
            <w:tcW w:w="9717" w:type="dxa"/>
            <w:gridSpan w:val="2"/>
            <w:tcBorders>
              <w:bottom w:val="single" w:sz="4" w:space="0" w:color="auto"/>
            </w:tcBorders>
            <w:shd w:val="clear" w:color="auto" w:fill="BFBFBF" w:themeFill="background1" w:themeFillShade="BF"/>
            <w:tcMar>
              <w:top w:w="0" w:type="dxa"/>
              <w:left w:w="86" w:type="dxa"/>
              <w:bottom w:w="43" w:type="dxa"/>
              <w:right w:w="86" w:type="dxa"/>
            </w:tcMar>
          </w:tcPr>
          <w:p w14:paraId="37BA9E88" w14:textId="77777777" w:rsidR="003846A3" w:rsidRPr="005D4222" w:rsidRDefault="003846A3">
            <w:pPr>
              <w:pStyle w:val="MarginHead"/>
              <w:spacing w:after="60"/>
              <w:rPr>
                <w:rFonts w:cs="Arial"/>
                <w:sz w:val="21"/>
              </w:rPr>
            </w:pPr>
            <w:r w:rsidRPr="005D4222">
              <w:rPr>
                <w:rFonts w:cs="Arial"/>
                <w:sz w:val="21"/>
              </w:rPr>
              <w:lastRenderedPageBreak/>
              <w:t>Characteristics</w:t>
            </w:r>
          </w:p>
        </w:tc>
      </w:tr>
      <w:tr w:rsidR="003846A3" w:rsidRPr="005D4222" w14:paraId="6FA0F2DC" w14:textId="77777777" w:rsidTr="003427E4">
        <w:tc>
          <w:tcPr>
            <w:tcW w:w="2105"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4B28ACD2" w14:textId="77777777" w:rsidR="003846A3" w:rsidRPr="005D4222" w:rsidRDefault="003846A3" w:rsidP="000E4192">
            <w:pPr>
              <w:pStyle w:val="ECDSMarginSubhead"/>
              <w:spacing w:after="0"/>
            </w:pPr>
            <w:r w:rsidRPr="005D4222">
              <w:t>Scoring</w:t>
            </w:r>
          </w:p>
        </w:tc>
        <w:tc>
          <w:tcPr>
            <w:tcW w:w="7612" w:type="dxa"/>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727AE49B" w14:textId="77777777" w:rsidR="003846A3" w:rsidRPr="005D4222" w:rsidRDefault="003846A3" w:rsidP="000E4192">
            <w:pPr>
              <w:pStyle w:val="ECDSBody"/>
              <w:spacing w:after="0"/>
            </w:pPr>
            <w:r w:rsidRPr="005D4222">
              <w:t>Proportion.</w:t>
            </w:r>
          </w:p>
        </w:tc>
      </w:tr>
      <w:tr w:rsidR="003846A3" w:rsidRPr="005D4222" w14:paraId="0D31F4FE" w14:textId="77777777" w:rsidTr="003427E4">
        <w:tc>
          <w:tcPr>
            <w:tcW w:w="2105" w:type="dxa"/>
            <w:tcBorders>
              <w:top w:val="nil"/>
              <w:left w:val="single" w:sz="4" w:space="0" w:color="auto"/>
              <w:bottom w:val="nil"/>
              <w:right w:val="single" w:sz="4" w:space="0" w:color="auto"/>
            </w:tcBorders>
            <w:tcMar>
              <w:top w:w="0" w:type="dxa"/>
              <w:left w:w="86" w:type="dxa"/>
              <w:bottom w:w="43" w:type="dxa"/>
              <w:right w:w="86" w:type="dxa"/>
            </w:tcMar>
          </w:tcPr>
          <w:p w14:paraId="0C91D923" w14:textId="77777777" w:rsidR="003846A3" w:rsidRPr="005D4222" w:rsidRDefault="003846A3" w:rsidP="000E4192">
            <w:pPr>
              <w:pStyle w:val="ECDSMarginSubhead"/>
              <w:spacing w:after="0"/>
            </w:pPr>
            <w:r w:rsidRPr="005D4222">
              <w:t>Type</w:t>
            </w:r>
          </w:p>
        </w:tc>
        <w:tc>
          <w:tcPr>
            <w:tcW w:w="7612" w:type="dxa"/>
            <w:tcBorders>
              <w:top w:val="nil"/>
              <w:left w:val="single" w:sz="4" w:space="0" w:color="auto"/>
              <w:bottom w:val="nil"/>
              <w:right w:val="single" w:sz="4" w:space="0" w:color="auto"/>
            </w:tcBorders>
            <w:tcMar>
              <w:top w:w="0" w:type="dxa"/>
              <w:left w:w="86" w:type="dxa"/>
              <w:bottom w:w="43" w:type="dxa"/>
              <w:right w:w="86" w:type="dxa"/>
            </w:tcMar>
          </w:tcPr>
          <w:p w14:paraId="5243C6E4" w14:textId="77777777" w:rsidR="003846A3" w:rsidRPr="005D4222" w:rsidRDefault="003846A3" w:rsidP="000E4192">
            <w:pPr>
              <w:pStyle w:val="ECDSBody"/>
              <w:spacing w:after="0"/>
            </w:pPr>
            <w:r w:rsidRPr="005D4222">
              <w:t xml:space="preserve">Process. </w:t>
            </w:r>
          </w:p>
        </w:tc>
      </w:tr>
      <w:tr w:rsidR="003846A3" w:rsidRPr="005D4222" w14:paraId="4938EFCF" w14:textId="77777777" w:rsidTr="003427E4">
        <w:tc>
          <w:tcPr>
            <w:tcW w:w="2105" w:type="dxa"/>
            <w:tcBorders>
              <w:top w:val="nil"/>
              <w:left w:val="single" w:sz="4" w:space="0" w:color="auto"/>
              <w:bottom w:val="nil"/>
              <w:right w:val="single" w:sz="4" w:space="0" w:color="auto"/>
            </w:tcBorders>
            <w:tcMar>
              <w:top w:w="0" w:type="dxa"/>
              <w:left w:w="86" w:type="dxa"/>
              <w:bottom w:w="43" w:type="dxa"/>
              <w:right w:w="86" w:type="dxa"/>
            </w:tcMar>
          </w:tcPr>
          <w:p w14:paraId="515026BF" w14:textId="007F5B89" w:rsidR="003846A3" w:rsidRPr="005D4222" w:rsidRDefault="00B51CDC">
            <w:pPr>
              <w:pStyle w:val="ECDSMarginSubhead"/>
            </w:pPr>
            <w:r w:rsidRPr="005D4222">
              <w:t>Product lines</w:t>
            </w:r>
          </w:p>
        </w:tc>
        <w:tc>
          <w:tcPr>
            <w:tcW w:w="7612" w:type="dxa"/>
            <w:tcBorders>
              <w:top w:val="nil"/>
              <w:left w:val="single" w:sz="4" w:space="0" w:color="auto"/>
              <w:bottom w:val="nil"/>
              <w:right w:val="single" w:sz="4" w:space="0" w:color="auto"/>
            </w:tcBorders>
            <w:tcMar>
              <w:top w:w="0" w:type="dxa"/>
              <w:left w:w="86" w:type="dxa"/>
              <w:bottom w:w="43" w:type="dxa"/>
              <w:right w:w="86" w:type="dxa"/>
            </w:tcMar>
          </w:tcPr>
          <w:p w14:paraId="0AEB473B" w14:textId="77777777" w:rsidR="003846A3" w:rsidRPr="005D4222" w:rsidRDefault="003846A3">
            <w:pPr>
              <w:pStyle w:val="ProcessBullet"/>
            </w:pPr>
            <w:r w:rsidRPr="005D4222">
              <w:t>Commercial.</w:t>
            </w:r>
          </w:p>
          <w:p w14:paraId="7F184DBD" w14:textId="77777777" w:rsidR="003846A3" w:rsidRPr="005D4222" w:rsidRDefault="003846A3">
            <w:pPr>
              <w:pStyle w:val="ProcessBullet"/>
            </w:pPr>
            <w:r w:rsidRPr="005D4222">
              <w:t>Medicaid.</w:t>
            </w:r>
          </w:p>
          <w:p w14:paraId="626B4B69" w14:textId="77777777" w:rsidR="003846A3" w:rsidRPr="005D4222" w:rsidRDefault="003846A3">
            <w:pPr>
              <w:pStyle w:val="ProcessBullet"/>
            </w:pPr>
            <w:r w:rsidRPr="005D4222">
              <w:t>Medicare.</w:t>
            </w:r>
          </w:p>
        </w:tc>
      </w:tr>
      <w:tr w:rsidR="003846A3" w:rsidRPr="005D4222" w14:paraId="155D4C27" w14:textId="77777777" w:rsidTr="003427E4">
        <w:tc>
          <w:tcPr>
            <w:tcW w:w="2105" w:type="dxa"/>
            <w:tcBorders>
              <w:top w:val="nil"/>
              <w:left w:val="single" w:sz="4" w:space="0" w:color="auto"/>
              <w:bottom w:val="nil"/>
              <w:right w:val="single" w:sz="4" w:space="0" w:color="auto"/>
            </w:tcBorders>
            <w:tcMar>
              <w:top w:w="0" w:type="dxa"/>
              <w:left w:w="86" w:type="dxa"/>
              <w:bottom w:w="43" w:type="dxa"/>
              <w:right w:w="86" w:type="dxa"/>
            </w:tcMar>
          </w:tcPr>
          <w:p w14:paraId="2854AAEC" w14:textId="5F58AC5B" w:rsidR="003846A3" w:rsidRPr="005D4222" w:rsidRDefault="00B51CDC">
            <w:pPr>
              <w:pStyle w:val="ECDSMarginSubhead"/>
            </w:pPr>
            <w:r w:rsidRPr="005D4222">
              <w:t>Stratifications</w:t>
            </w:r>
            <w:r w:rsidR="003846A3" w:rsidRPr="005D4222">
              <w:t xml:space="preserve"> </w:t>
            </w:r>
          </w:p>
        </w:tc>
        <w:tc>
          <w:tcPr>
            <w:tcW w:w="7612" w:type="dxa"/>
            <w:tcBorders>
              <w:top w:val="nil"/>
              <w:left w:val="single" w:sz="4" w:space="0" w:color="auto"/>
              <w:bottom w:val="nil"/>
              <w:right w:val="single" w:sz="4" w:space="0" w:color="auto"/>
            </w:tcBorders>
            <w:tcMar>
              <w:top w:w="0" w:type="dxa"/>
              <w:left w:w="86" w:type="dxa"/>
              <w:bottom w:w="43" w:type="dxa"/>
              <w:right w:w="86" w:type="dxa"/>
            </w:tcMar>
            <w:hideMark/>
          </w:tcPr>
          <w:p w14:paraId="532DE797" w14:textId="77777777" w:rsidR="003846A3" w:rsidRPr="005D4222" w:rsidRDefault="003846A3">
            <w:pPr>
              <w:pStyle w:val="ECDSBody"/>
              <w:rPr>
                <w:rFonts w:eastAsia="Arial,Arial,Arial,Arial,Arial,A"/>
              </w:rPr>
            </w:pPr>
            <w:r w:rsidRPr="005D4222">
              <w:rPr>
                <w:rFonts w:eastAsia="Arial,Arial,Arial,Arial,Arial,A"/>
              </w:rPr>
              <w:t>Age as of date of the discharge, stay or event.</w:t>
            </w:r>
          </w:p>
          <w:p w14:paraId="231A6D1D" w14:textId="77777777" w:rsidR="003846A3" w:rsidRPr="005D4222" w:rsidRDefault="003846A3" w:rsidP="003846A3">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13–17 years.</w:t>
            </w:r>
          </w:p>
          <w:p w14:paraId="47D8C288" w14:textId="77777777" w:rsidR="003846A3" w:rsidRPr="005D4222" w:rsidRDefault="003846A3" w:rsidP="003846A3">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18–64 years.</w:t>
            </w:r>
          </w:p>
          <w:p w14:paraId="61ABC2CE" w14:textId="77777777" w:rsidR="003846A3" w:rsidRPr="005D4222" w:rsidRDefault="003846A3" w:rsidP="003846A3">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 xml:space="preserve">65 years and older. </w:t>
            </w:r>
          </w:p>
        </w:tc>
      </w:tr>
      <w:tr w:rsidR="003846A3" w:rsidRPr="005D4222" w14:paraId="5287E5EB" w14:textId="77777777" w:rsidTr="003427E4">
        <w:tc>
          <w:tcPr>
            <w:tcW w:w="2105" w:type="dxa"/>
            <w:tcBorders>
              <w:top w:val="nil"/>
              <w:left w:val="single" w:sz="4" w:space="0" w:color="auto"/>
              <w:bottom w:val="nil"/>
              <w:right w:val="single" w:sz="4" w:space="0" w:color="auto"/>
            </w:tcBorders>
            <w:tcMar>
              <w:top w:w="0" w:type="dxa"/>
              <w:left w:w="86" w:type="dxa"/>
              <w:bottom w:w="43" w:type="dxa"/>
              <w:right w:w="86" w:type="dxa"/>
            </w:tcMar>
          </w:tcPr>
          <w:p w14:paraId="373F3C8D" w14:textId="77777777" w:rsidR="003846A3" w:rsidRPr="005D4222" w:rsidRDefault="003846A3" w:rsidP="000E4192">
            <w:pPr>
              <w:pStyle w:val="ECDSMarginSubhead"/>
              <w:spacing w:after="0"/>
            </w:pPr>
            <w:r w:rsidRPr="005D4222">
              <w:t>Risk adjustment</w:t>
            </w:r>
          </w:p>
        </w:tc>
        <w:tc>
          <w:tcPr>
            <w:tcW w:w="7612" w:type="dxa"/>
            <w:tcBorders>
              <w:top w:val="nil"/>
              <w:left w:val="single" w:sz="4" w:space="0" w:color="auto"/>
              <w:bottom w:val="nil"/>
              <w:right w:val="single" w:sz="4" w:space="0" w:color="auto"/>
            </w:tcBorders>
            <w:tcMar>
              <w:top w:w="0" w:type="dxa"/>
              <w:left w:w="86" w:type="dxa"/>
              <w:bottom w:w="43" w:type="dxa"/>
              <w:right w:w="86" w:type="dxa"/>
            </w:tcMar>
            <w:hideMark/>
          </w:tcPr>
          <w:p w14:paraId="1002B289" w14:textId="77777777" w:rsidR="003846A3" w:rsidRPr="005D4222" w:rsidRDefault="003846A3" w:rsidP="000E4192">
            <w:pPr>
              <w:pStyle w:val="ECDSBody"/>
              <w:spacing w:after="0"/>
            </w:pPr>
            <w:r w:rsidRPr="005D4222">
              <w:t xml:space="preserve">None. </w:t>
            </w:r>
          </w:p>
        </w:tc>
      </w:tr>
      <w:tr w:rsidR="003846A3" w:rsidRPr="005D4222" w14:paraId="2289BFA8" w14:textId="77777777" w:rsidTr="003427E4">
        <w:tc>
          <w:tcPr>
            <w:tcW w:w="2105" w:type="dxa"/>
            <w:tcBorders>
              <w:top w:val="nil"/>
              <w:left w:val="single" w:sz="4" w:space="0" w:color="auto"/>
              <w:bottom w:val="nil"/>
              <w:right w:val="single" w:sz="4" w:space="0" w:color="auto"/>
            </w:tcBorders>
            <w:tcMar>
              <w:top w:w="0" w:type="dxa"/>
              <w:left w:w="86" w:type="dxa"/>
              <w:bottom w:w="43" w:type="dxa"/>
              <w:right w:w="86" w:type="dxa"/>
            </w:tcMar>
          </w:tcPr>
          <w:p w14:paraId="428C5265" w14:textId="77777777" w:rsidR="003846A3" w:rsidRPr="005D4222" w:rsidRDefault="003846A3" w:rsidP="000E4192">
            <w:pPr>
              <w:pStyle w:val="ECDSMarginSubhead"/>
              <w:spacing w:after="0"/>
            </w:pPr>
            <w:r w:rsidRPr="005D4222">
              <w:t>Improvement notation</w:t>
            </w:r>
          </w:p>
        </w:tc>
        <w:tc>
          <w:tcPr>
            <w:tcW w:w="7612" w:type="dxa"/>
            <w:tcBorders>
              <w:top w:val="nil"/>
              <w:left w:val="single" w:sz="4" w:space="0" w:color="auto"/>
              <w:bottom w:val="nil"/>
              <w:right w:val="single" w:sz="4" w:space="0" w:color="auto"/>
            </w:tcBorders>
            <w:tcMar>
              <w:top w:w="0" w:type="dxa"/>
              <w:left w:w="86" w:type="dxa"/>
              <w:bottom w:w="43" w:type="dxa"/>
              <w:right w:w="86" w:type="dxa"/>
            </w:tcMar>
            <w:hideMark/>
          </w:tcPr>
          <w:p w14:paraId="1C41C75B" w14:textId="77777777" w:rsidR="003846A3" w:rsidRPr="005D4222" w:rsidRDefault="003846A3" w:rsidP="000E4192">
            <w:pPr>
              <w:pStyle w:val="ECDSBody"/>
              <w:spacing w:after="0"/>
            </w:pPr>
            <w:r w:rsidRPr="005D4222">
              <w:t>Increased score indicates improvement.</w:t>
            </w:r>
          </w:p>
        </w:tc>
      </w:tr>
      <w:tr w:rsidR="003846A3" w:rsidRPr="005D4222" w14:paraId="55A87D0C" w14:textId="77777777" w:rsidTr="003427E4">
        <w:trPr>
          <w:trHeight w:val="346"/>
        </w:trPr>
        <w:tc>
          <w:tcPr>
            <w:tcW w:w="2105"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198A6274" w14:textId="77777777" w:rsidR="003846A3" w:rsidRPr="005D4222" w:rsidRDefault="003846A3">
            <w:pPr>
              <w:pStyle w:val="ECDSMarginSubhead"/>
            </w:pPr>
            <w:r w:rsidRPr="005D4222">
              <w:t>Guidance</w:t>
            </w:r>
          </w:p>
        </w:tc>
        <w:tc>
          <w:tcPr>
            <w:tcW w:w="7612"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6CEFCE7C" w14:textId="113A6521" w:rsidR="003846A3" w:rsidRPr="005D4222" w:rsidRDefault="003846A3">
            <w:pPr>
              <w:pStyle w:val="ECDSBody"/>
            </w:pPr>
            <w:r w:rsidRPr="005D4222">
              <w:rPr>
                <w:rStyle w:val="normaltextrun"/>
                <w:b/>
                <w:color w:val="000000"/>
                <w:szCs w:val="21"/>
                <w:shd w:val="clear" w:color="auto" w:fill="FFFFFF"/>
              </w:rPr>
              <w:t>Data collection methodology</w:t>
            </w:r>
            <w:r w:rsidRPr="005D4222">
              <w:rPr>
                <w:rStyle w:val="normaltextrun"/>
                <w:b/>
                <w:bCs w:val="0"/>
                <w:color w:val="000000"/>
                <w:szCs w:val="21"/>
                <w:shd w:val="clear" w:color="auto" w:fill="FFFFFF"/>
              </w:rPr>
              <w:t>:</w:t>
            </w:r>
            <w:r w:rsidRPr="005D4222">
              <w:rPr>
                <w:rStyle w:val="normaltextrun"/>
                <w:color w:val="000000"/>
                <w:szCs w:val="21"/>
                <w:shd w:val="clear" w:color="auto" w:fill="FFFFFF"/>
              </w:rPr>
              <w:t xml:space="preserve"> Administrative. Refer to </w:t>
            </w:r>
            <w:hyperlink w:anchor="General_Guideline_Data_Collection_Method" w:history="1">
              <w:r w:rsidRPr="005D4222">
                <w:rPr>
                  <w:rStyle w:val="Hyperlink"/>
                  <w:i/>
                  <w:iCs/>
                  <w:szCs w:val="21"/>
                  <w:shd w:val="clear" w:color="auto" w:fill="FFFFFF"/>
                </w:rPr>
                <w:t>General Guideline: Data Collection Methods</w:t>
              </w:r>
            </w:hyperlink>
            <w:r w:rsidRPr="005D4222">
              <w:rPr>
                <w:rStyle w:val="normaltextrun"/>
                <w:color w:val="000000"/>
                <w:szCs w:val="21"/>
                <w:shd w:val="clear" w:color="auto" w:fill="FFFFFF"/>
              </w:rPr>
              <w:t xml:space="preserve"> for additional information.</w:t>
            </w:r>
            <w:r w:rsidRPr="005D4222">
              <w:rPr>
                <w:rStyle w:val="eop"/>
                <w:color w:val="000000"/>
                <w:szCs w:val="21"/>
                <w:shd w:val="clear" w:color="auto" w:fill="FFFFFF"/>
              </w:rPr>
              <w:t> </w:t>
            </w:r>
          </w:p>
          <w:p w14:paraId="46D15CCA" w14:textId="77777777" w:rsidR="003846A3" w:rsidRPr="005D4222" w:rsidRDefault="003846A3">
            <w:pPr>
              <w:pStyle w:val="ECDSBody"/>
            </w:pPr>
            <w:r w:rsidRPr="005D4222">
              <w:rPr>
                <w:b/>
              </w:rPr>
              <w:t>Date specificity:</w:t>
            </w:r>
            <w:r w:rsidRPr="005D4222">
              <w:t xml:space="preserve"> Dates must be specific enough to determine the event occurred in the period being measured.</w:t>
            </w:r>
          </w:p>
          <w:p w14:paraId="68E18108" w14:textId="77777777" w:rsidR="003846A3" w:rsidRPr="005D4222" w:rsidRDefault="003846A3">
            <w:pPr>
              <w:pStyle w:val="ECDSBody"/>
            </w:pPr>
            <w:r w:rsidRPr="005D4222">
              <w:rPr>
                <w:b/>
              </w:rPr>
              <w:t>Which services count?</w:t>
            </w:r>
            <w:r w:rsidRPr="005D4222">
              <w:t xml:space="preserve"> When using claims, include all paid, suspended, pending and denied claims.</w:t>
            </w:r>
          </w:p>
          <w:p w14:paraId="2E1FECF8" w14:textId="77777777" w:rsidR="003846A3" w:rsidRPr="005D4222" w:rsidRDefault="003846A3">
            <w:pPr>
              <w:pStyle w:val="ECDSBody"/>
              <w:rPr>
                <w:b/>
              </w:rPr>
            </w:pPr>
            <w:r w:rsidRPr="005D4222">
              <w:rPr>
                <w:b/>
              </w:rPr>
              <w:t xml:space="preserve">Other guidance: </w:t>
            </w:r>
          </w:p>
          <w:p w14:paraId="19D2B080" w14:textId="77777777" w:rsidR="003846A3" w:rsidRPr="005D4222" w:rsidRDefault="003846A3">
            <w:pPr>
              <w:pStyle w:val="ProcessBullet"/>
            </w:pPr>
            <w:r w:rsidRPr="005D4222">
              <w:t xml:space="preserve">Methadone is not included on the medication lists for this measure. Methadone for opioid use disorder is only administered or dispensed by federally certified opioid treatment programs and does not show up in pharmacy claims data. A pharmacy claim for methadone would be more indicative of treatment for pain than for an opioid use disorder and therefore is not included on medication lists. The </w:t>
            </w:r>
            <w:r w:rsidRPr="005D4222">
              <w:rPr>
                <w:u w:val="single"/>
              </w:rPr>
              <w:t xml:space="preserve">AOD Medication Treatment Value Set </w:t>
            </w:r>
            <w:r w:rsidRPr="005D4222">
              <w:t xml:space="preserve">and </w:t>
            </w:r>
            <w:r w:rsidRPr="005D4222">
              <w:rPr>
                <w:u w:val="single"/>
              </w:rPr>
              <w:t>OUD Weekly Drug Treatment Service Value Set</w:t>
            </w:r>
            <w:r w:rsidRPr="005D4222">
              <w:t xml:space="preserve"> include codes that identify methadone treatment for opioid use disorder because these codes are used on medical claims, not on pharmacy claims.</w:t>
            </w:r>
          </w:p>
          <w:p w14:paraId="42C9E023" w14:textId="77777777" w:rsidR="003846A3" w:rsidRPr="005D4222" w:rsidRDefault="003846A3">
            <w:pPr>
              <w:pStyle w:val="ProcessBullet"/>
              <w:spacing w:after="80"/>
            </w:pPr>
            <w:r w:rsidRPr="005D4222">
              <w:t>The measure is based on episodes; therefore</w:t>
            </w:r>
            <w:r w:rsidRPr="005D4222" w:rsidDel="00E330B2">
              <w:t>, i</w:t>
            </w:r>
            <w:r w:rsidRPr="005D4222">
              <w:t>t is possible for the denominator to include multiple events for the same person.</w:t>
            </w:r>
          </w:p>
        </w:tc>
      </w:tr>
      <w:tr w:rsidR="003846A3" w:rsidRPr="005D4222" w14:paraId="088EDBCF" w14:textId="77777777" w:rsidTr="003427E4">
        <w:tc>
          <w:tcPr>
            <w:tcW w:w="9717" w:type="dxa"/>
            <w:gridSpan w:val="2"/>
            <w:tcBorders>
              <w:top w:val="single" w:sz="4" w:space="0" w:color="auto"/>
              <w:bottom w:val="single" w:sz="4" w:space="0" w:color="auto"/>
            </w:tcBorders>
            <w:shd w:val="clear" w:color="auto" w:fill="BFBFBF" w:themeFill="background1" w:themeFillShade="BF"/>
            <w:tcMar>
              <w:top w:w="0" w:type="dxa"/>
              <w:left w:w="86" w:type="dxa"/>
              <w:bottom w:w="43" w:type="dxa"/>
              <w:right w:w="86" w:type="dxa"/>
            </w:tcMar>
          </w:tcPr>
          <w:p w14:paraId="3BD22980" w14:textId="77777777" w:rsidR="003846A3" w:rsidRPr="005D4222" w:rsidRDefault="003846A3">
            <w:pPr>
              <w:pStyle w:val="ECDSMarginHead"/>
            </w:pPr>
            <w:r w:rsidRPr="005D4222">
              <w:t xml:space="preserve">Definitions </w:t>
            </w:r>
          </w:p>
        </w:tc>
      </w:tr>
      <w:tr w:rsidR="003846A3" w:rsidRPr="005D4222" w14:paraId="2DB445E8" w14:textId="77777777" w:rsidTr="003427E4">
        <w:trPr>
          <w:trHeight w:val="320"/>
        </w:trPr>
        <w:tc>
          <w:tcPr>
            <w:tcW w:w="2105"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B93528A" w14:textId="77777777" w:rsidR="003846A3" w:rsidRPr="005D4222" w:rsidRDefault="003846A3">
            <w:pPr>
              <w:pStyle w:val="ECDSMarginSubhead"/>
            </w:pPr>
            <w:r w:rsidRPr="005D4222">
              <w:t>Direct transfer</w:t>
            </w:r>
          </w:p>
        </w:tc>
        <w:tc>
          <w:tcPr>
            <w:tcW w:w="7612"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DD256C5" w14:textId="77777777" w:rsidR="003846A3" w:rsidRPr="005D4222" w:rsidRDefault="003846A3">
            <w:pPr>
              <w:pStyle w:val="ECDSBody"/>
            </w:pPr>
            <w:r w:rsidRPr="005D4222">
              <w:t xml:space="preserve">When the discharge date from the first acute inpatient or residential care setting precedes the admission date to a second acute inpatient or residential care setting by 1 calendar day or less. </w:t>
            </w:r>
          </w:p>
          <w:p w14:paraId="595786ED" w14:textId="77777777" w:rsidR="003846A3" w:rsidRPr="005D4222" w:rsidRDefault="003846A3" w:rsidP="003846A3">
            <w:pPr>
              <w:pStyle w:val="Bullet"/>
              <w:numPr>
                <w:ilvl w:val="0"/>
                <w:numId w:val="4"/>
              </w:numPr>
              <w:tabs>
                <w:tab w:val="left" w:pos="360"/>
                <w:tab w:val="left" w:pos="576"/>
              </w:tabs>
              <w:ind w:left="576" w:hanging="216"/>
              <w:rPr>
                <w:i/>
                <w:iCs/>
              </w:rPr>
            </w:pPr>
            <w:r w:rsidRPr="005D4222">
              <w:rPr>
                <w:i/>
                <w:iCs/>
              </w:rPr>
              <w:t xml:space="preserve">For example: </w:t>
            </w:r>
          </w:p>
          <w:p w14:paraId="472691CD" w14:textId="7CA47D76" w:rsidR="000E4192" w:rsidRPr="005D4222" w:rsidRDefault="003846A3" w:rsidP="003427E4">
            <w:pPr>
              <w:pStyle w:val="Dash"/>
              <w:tabs>
                <w:tab w:val="left" w:pos="576"/>
                <w:tab w:val="left" w:pos="792"/>
              </w:tabs>
              <w:spacing w:after="80"/>
            </w:pPr>
            <w:r w:rsidRPr="005D4222">
              <w:t xml:space="preserve">An inpatient discharge on June 1, followed by an admission to another inpatient setting on June 1, </w:t>
            </w:r>
            <w:r w:rsidRPr="005D4222">
              <w:rPr>
                <w:i/>
                <w:iCs/>
              </w:rPr>
              <w:t xml:space="preserve">is a direct transfer. </w:t>
            </w:r>
          </w:p>
        </w:tc>
      </w:tr>
      <w:tr w:rsidR="003427E4" w:rsidRPr="005D4222" w14:paraId="1761CF5C" w14:textId="77777777" w:rsidTr="003427E4">
        <w:trPr>
          <w:trHeight w:val="320"/>
        </w:trPr>
        <w:tc>
          <w:tcPr>
            <w:tcW w:w="2105"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6D7CBDFC" w14:textId="77777777" w:rsidR="003427E4" w:rsidRPr="005D4222" w:rsidRDefault="003427E4">
            <w:pPr>
              <w:pStyle w:val="ECDSMarginSubhead"/>
            </w:pPr>
          </w:p>
        </w:tc>
        <w:tc>
          <w:tcPr>
            <w:tcW w:w="7612"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5D2B12A1" w14:textId="77777777" w:rsidR="003427E4" w:rsidRPr="005D4222" w:rsidRDefault="003427E4" w:rsidP="003427E4">
            <w:pPr>
              <w:pStyle w:val="Dash"/>
              <w:tabs>
                <w:tab w:val="left" w:pos="576"/>
                <w:tab w:val="left" w:pos="792"/>
              </w:tabs>
            </w:pPr>
            <w:r w:rsidRPr="005D4222">
              <w:t>An inpatient discharge on June 1, followed by an admission to an inpatient setting on June 2,</w:t>
            </w:r>
            <w:r w:rsidRPr="005D4222">
              <w:rPr>
                <w:i/>
                <w:iCs/>
              </w:rPr>
              <w:t xml:space="preserve"> is a direct transfer. </w:t>
            </w:r>
          </w:p>
          <w:p w14:paraId="65916F25" w14:textId="15A12253" w:rsidR="003427E4" w:rsidRPr="005D4222" w:rsidRDefault="003427E4" w:rsidP="003427E4">
            <w:pPr>
              <w:pStyle w:val="Dash"/>
              <w:tabs>
                <w:tab w:val="left" w:pos="576"/>
                <w:tab w:val="left" w:pos="792"/>
              </w:tabs>
              <w:spacing w:after="0"/>
            </w:pPr>
            <w:r w:rsidRPr="005D4222">
              <w:t xml:space="preserve">An inpatient discharge on June 1, followed by an admission to another inpatient setting on June 3, </w:t>
            </w:r>
            <w:r w:rsidRPr="005D4222">
              <w:rPr>
                <w:i/>
                <w:iCs/>
              </w:rPr>
              <w:t>is not a direct transfer;</w:t>
            </w:r>
            <w:r w:rsidRPr="005D4222">
              <w:t xml:space="preserve"> these are two distinct inpatient stays.</w:t>
            </w:r>
          </w:p>
        </w:tc>
      </w:tr>
      <w:tr w:rsidR="003846A3" w:rsidRPr="005D4222" w14:paraId="0893A7C7" w14:textId="77777777" w:rsidTr="003427E4">
        <w:tc>
          <w:tcPr>
            <w:tcW w:w="2105"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7FFCB910" w14:textId="77777777" w:rsidR="003846A3" w:rsidRPr="005D4222" w:rsidRDefault="003846A3">
            <w:pPr>
              <w:pStyle w:val="ECDSMarginSubhead"/>
            </w:pPr>
            <w:r w:rsidRPr="005D4222">
              <w:t>Episode date</w:t>
            </w:r>
          </w:p>
        </w:tc>
        <w:tc>
          <w:tcPr>
            <w:tcW w:w="7612"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1D548A15" w14:textId="77777777" w:rsidR="003846A3" w:rsidRPr="005D4222" w:rsidRDefault="003846A3">
            <w:pPr>
              <w:pStyle w:val="ECDSBody"/>
            </w:pPr>
            <w:r w:rsidRPr="005D4222">
              <w:t>The date of service for any acute inpatient discharge, residential treatment discharge or withdrawal management</w:t>
            </w:r>
            <w:r w:rsidRPr="005D4222" w:rsidDel="00B815FC">
              <w:t xml:space="preserve"> </w:t>
            </w:r>
            <w:r w:rsidRPr="005D4222">
              <w:t xml:space="preserve">visit with a principal diagnosis of SUD. </w:t>
            </w:r>
          </w:p>
          <w:p w14:paraId="4F42176D" w14:textId="77777777" w:rsidR="003846A3" w:rsidRPr="005D4222" w:rsidRDefault="003846A3">
            <w:pPr>
              <w:pStyle w:val="ECDSBody"/>
            </w:pPr>
            <w:r w:rsidRPr="005D4222">
              <w:t xml:space="preserve">For an acute inpatient discharge or residential treatment discharge or for withdrawal management that occurred during an acute inpatient stay or residential treatment stay, the episode date is the discharge date. </w:t>
            </w:r>
          </w:p>
          <w:p w14:paraId="35899B99" w14:textId="77777777" w:rsidR="003846A3" w:rsidRPr="005D4222" w:rsidRDefault="003846A3">
            <w:pPr>
              <w:pStyle w:val="ECDSBody"/>
            </w:pPr>
            <w:r w:rsidRPr="005D4222">
              <w:t xml:space="preserve">For direct transfers, the episode date is the discharge date from the transfer admission. </w:t>
            </w:r>
          </w:p>
          <w:p w14:paraId="7B22FEBE" w14:textId="77777777" w:rsidR="003846A3" w:rsidRPr="005D4222" w:rsidRDefault="003846A3">
            <w:pPr>
              <w:pStyle w:val="ECDSBody"/>
            </w:pPr>
            <w:r w:rsidRPr="005D4222">
              <w:t>For withdrawal management</w:t>
            </w:r>
            <w:r w:rsidRPr="005D4222" w:rsidDel="00964765">
              <w:t xml:space="preserve"> </w:t>
            </w:r>
            <w:r w:rsidRPr="005D4222">
              <w:t>(other than withdrawal management that occurred during an acute inpatient stay or residential treatment stay), the episode date is the date of service.</w:t>
            </w:r>
          </w:p>
        </w:tc>
      </w:tr>
      <w:tr w:rsidR="003846A3" w:rsidRPr="005D4222" w14:paraId="3E27FAF8" w14:textId="77777777" w:rsidTr="003427E4">
        <w:trPr>
          <w:trHeight w:val="320"/>
        </w:trPr>
        <w:tc>
          <w:tcPr>
            <w:tcW w:w="2105" w:type="dxa"/>
            <w:tcBorders>
              <w:top w:val="single" w:sz="4" w:space="0" w:color="auto"/>
              <w:left w:val="single" w:sz="4" w:space="0" w:color="auto"/>
              <w:bottom w:val="single" w:sz="4" w:space="0" w:color="auto"/>
            </w:tcBorders>
            <w:shd w:val="clear" w:color="auto" w:fill="BFBFBF" w:themeFill="background1" w:themeFillShade="BF"/>
            <w:tcMar>
              <w:top w:w="0" w:type="dxa"/>
              <w:left w:w="86" w:type="dxa"/>
              <w:bottom w:w="43" w:type="dxa"/>
              <w:right w:w="86" w:type="dxa"/>
            </w:tcMar>
          </w:tcPr>
          <w:p w14:paraId="23982E60" w14:textId="77777777" w:rsidR="003846A3" w:rsidRPr="005D4222" w:rsidRDefault="003846A3">
            <w:pPr>
              <w:pStyle w:val="ECDSMarginHead"/>
            </w:pPr>
            <w:r w:rsidRPr="005D4222">
              <w:t>Initial population</w:t>
            </w:r>
          </w:p>
        </w:tc>
        <w:tc>
          <w:tcPr>
            <w:tcW w:w="7612"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037CB61" w14:textId="77777777" w:rsidR="003846A3" w:rsidRPr="005D4222" w:rsidRDefault="003846A3">
            <w:pPr>
              <w:pStyle w:val="ECDSBody"/>
            </w:pPr>
            <w:r w:rsidRPr="005D4222">
              <w:rPr>
                <w:i/>
                <w:iCs/>
              </w:rPr>
              <w:t xml:space="preserve">Measure item count: </w:t>
            </w:r>
            <w:r w:rsidRPr="005D4222">
              <w:t>Episode.</w:t>
            </w:r>
          </w:p>
          <w:p w14:paraId="17820C0D" w14:textId="77777777" w:rsidR="003846A3" w:rsidRPr="005D4222" w:rsidRDefault="003846A3">
            <w:pPr>
              <w:pStyle w:val="ECDSBody"/>
            </w:pPr>
            <w:r w:rsidRPr="005D4222">
              <w:rPr>
                <w:i/>
                <w:iCs/>
              </w:rPr>
              <w:t>Attribution basis:</w:t>
            </w:r>
            <w:r w:rsidRPr="005D4222">
              <w:t xml:space="preserve"> Enrollment.</w:t>
            </w:r>
          </w:p>
          <w:p w14:paraId="731510F5" w14:textId="77777777" w:rsidR="003846A3" w:rsidRPr="005D4222" w:rsidRDefault="003846A3" w:rsidP="003846A3">
            <w:pPr>
              <w:pStyle w:val="Bullet"/>
              <w:numPr>
                <w:ilvl w:val="0"/>
                <w:numId w:val="4"/>
              </w:numPr>
              <w:tabs>
                <w:tab w:val="left" w:pos="360"/>
                <w:tab w:val="left" w:pos="576"/>
              </w:tabs>
              <w:ind w:left="576" w:hanging="216"/>
              <w:rPr>
                <w:rStyle w:val="NoteChar"/>
              </w:rPr>
            </w:pPr>
            <w:r w:rsidRPr="005D4222">
              <w:rPr>
                <w:i/>
              </w:rPr>
              <w:t>Benefits</w:t>
            </w:r>
            <w:r w:rsidRPr="005D4222">
              <w:rPr>
                <w:iCs/>
              </w:rPr>
              <w:t>:</w:t>
            </w:r>
            <w:r w:rsidRPr="005D4222">
              <w:t xml:space="preserve"> Medical, chemical dependency and pharmacy. </w:t>
            </w:r>
            <w:r w:rsidRPr="005D4222">
              <w:br/>
            </w:r>
            <w:r w:rsidRPr="005D4222">
              <w:rPr>
                <w:rStyle w:val="NoteChar"/>
                <w:b/>
                <w:bCs/>
              </w:rPr>
              <w:t>Note:</w:t>
            </w:r>
            <w:r w:rsidRPr="005D4222">
              <w:rPr>
                <w:rStyle w:val="NoteChar"/>
              </w:rPr>
              <w:t xml:space="preserve"> A withdrawal management/detoxification-only chemical dependency benefit does not meet these criteria. </w:t>
            </w:r>
          </w:p>
          <w:p w14:paraId="0A3876BA" w14:textId="77777777" w:rsidR="003846A3" w:rsidRPr="005D4222" w:rsidRDefault="003846A3" w:rsidP="003846A3">
            <w:pPr>
              <w:pStyle w:val="Bullet"/>
              <w:numPr>
                <w:ilvl w:val="0"/>
                <w:numId w:val="4"/>
              </w:numPr>
              <w:tabs>
                <w:tab w:val="left" w:pos="360"/>
                <w:tab w:val="left" w:pos="576"/>
              </w:tabs>
              <w:ind w:left="576" w:hanging="216"/>
            </w:pPr>
            <w:r w:rsidRPr="005D4222">
              <w:rPr>
                <w:i/>
              </w:rPr>
              <w:t>Continuous enrollment:</w:t>
            </w:r>
            <w:r w:rsidRPr="005D4222">
              <w:t xml:space="preserve"> Episode date through 30 days after the episode date (31 total days).</w:t>
            </w:r>
          </w:p>
          <w:p w14:paraId="332F6A74" w14:textId="77777777" w:rsidR="003846A3" w:rsidRPr="005D4222" w:rsidRDefault="003846A3" w:rsidP="003846A3">
            <w:pPr>
              <w:pStyle w:val="Bullet"/>
              <w:numPr>
                <w:ilvl w:val="0"/>
                <w:numId w:val="4"/>
              </w:numPr>
              <w:tabs>
                <w:tab w:val="left" w:pos="360"/>
                <w:tab w:val="left" w:pos="576"/>
              </w:tabs>
              <w:ind w:left="576" w:hanging="216"/>
            </w:pPr>
            <w:r w:rsidRPr="005D4222">
              <w:rPr>
                <w:i/>
              </w:rPr>
              <w:t>Allowable gap:</w:t>
            </w:r>
            <w:r w:rsidRPr="005D4222">
              <w:t xml:space="preserve"> None.</w:t>
            </w:r>
          </w:p>
          <w:p w14:paraId="3D13B66A" w14:textId="77777777" w:rsidR="003846A3" w:rsidRPr="005D4222" w:rsidRDefault="003846A3">
            <w:pPr>
              <w:pStyle w:val="ECDSBody"/>
            </w:pPr>
            <w:r w:rsidRPr="005D4222">
              <w:rPr>
                <w:i/>
                <w:iCs/>
              </w:rPr>
              <w:t>Ages:</w:t>
            </w:r>
            <w:r w:rsidRPr="005D4222">
              <w:t xml:space="preserve"> 13 years of age or older as of date of the discharge, stay or event.</w:t>
            </w:r>
          </w:p>
          <w:p w14:paraId="6792D385" w14:textId="77777777" w:rsidR="008C3C72" w:rsidRPr="005D4222" w:rsidRDefault="003846A3">
            <w:pPr>
              <w:pStyle w:val="ECDSBody"/>
              <w:rPr>
                <w:b/>
                <w:bCs w:val="0"/>
              </w:rPr>
            </w:pPr>
            <w:r w:rsidRPr="005D4222">
              <w:rPr>
                <w:i/>
                <w:iCs/>
              </w:rPr>
              <w:t>Event:</w:t>
            </w:r>
            <w:r w:rsidRPr="005D4222">
              <w:t xml:space="preserve"> </w:t>
            </w:r>
            <w:r w:rsidRPr="005D4222">
              <w:rPr>
                <w:b/>
                <w:bCs w:val="0"/>
              </w:rPr>
              <w:t>High-intensity care for substance use disorder.</w:t>
            </w:r>
          </w:p>
          <w:p w14:paraId="3849C4EB" w14:textId="690107BD" w:rsidR="003846A3" w:rsidRPr="005D4222" w:rsidRDefault="003846A3">
            <w:pPr>
              <w:pStyle w:val="ECDSBody"/>
            </w:pPr>
            <w:r w:rsidRPr="005D4222">
              <w:t>Acute inpatient discharge, residential treatment or withdrawal management event for a principal diagnosis of substance use disorder on or between January 1 and December 1 of the measurement period.</w:t>
            </w:r>
          </w:p>
          <w:p w14:paraId="01143EFF" w14:textId="77777777" w:rsidR="003846A3" w:rsidRPr="005D4222" w:rsidRDefault="003846A3">
            <w:pPr>
              <w:pStyle w:val="ECDSBody"/>
            </w:pPr>
            <w:r w:rsidRPr="005D4222">
              <w:t>Either of the following meets criteria:</w:t>
            </w:r>
          </w:p>
          <w:p w14:paraId="00C16507" w14:textId="77777777" w:rsidR="003846A3" w:rsidRPr="005D4222" w:rsidRDefault="003846A3" w:rsidP="003846A3">
            <w:pPr>
              <w:pStyle w:val="Bullet"/>
              <w:numPr>
                <w:ilvl w:val="0"/>
                <w:numId w:val="4"/>
              </w:numPr>
              <w:tabs>
                <w:tab w:val="left" w:pos="360"/>
                <w:tab w:val="left" w:pos="576"/>
              </w:tabs>
              <w:ind w:left="576" w:hanging="216"/>
              <w:rPr>
                <w:rFonts w:eastAsia="Arial,Times New Roman" w:cs="Arial"/>
                <w:szCs w:val="21"/>
              </w:rPr>
            </w:pPr>
            <w:r w:rsidRPr="005D4222">
              <w:rPr>
                <w:rFonts w:eastAsia="Arial,Times New Roman" w:cs="Arial"/>
              </w:rPr>
              <w:t xml:space="preserve">An acute inpatient discharge or a residential behavioral health stay </w:t>
            </w:r>
            <w:r w:rsidRPr="005D4222">
              <w:rPr>
                <w:rFonts w:eastAsia="Arial,Times New Roman" w:cs="Arial"/>
                <w:b/>
                <w:bCs/>
                <w:i/>
                <w:iCs/>
              </w:rPr>
              <w:t>with</w:t>
            </w:r>
            <w:r w:rsidRPr="005D4222">
              <w:rPr>
                <w:rFonts w:eastAsia="Arial,Times New Roman" w:cs="Arial"/>
              </w:rPr>
              <w:t xml:space="preserve"> a principal diagnosis of substance use disorder (</w:t>
            </w:r>
            <w:r w:rsidRPr="005D4222">
              <w:rPr>
                <w:rFonts w:eastAsia="Arial,Times New Roman" w:cs="Arial"/>
                <w:u w:val="single"/>
              </w:rPr>
              <w:t>AOD Abuse and Dependence Value Set</w:t>
            </w:r>
            <w:r w:rsidRPr="005D4222">
              <w:rPr>
                <w:rFonts w:eastAsia="Arial,Times New Roman" w:cs="Arial"/>
              </w:rPr>
              <w:t>) on the discharge claim. To identify acute inpatient discharges:</w:t>
            </w:r>
          </w:p>
          <w:p w14:paraId="164D6D5A" w14:textId="77777777" w:rsidR="003846A3" w:rsidRPr="005D4222" w:rsidRDefault="003846A3" w:rsidP="005D6173">
            <w:pPr>
              <w:pStyle w:val="Body"/>
              <w:numPr>
                <w:ilvl w:val="1"/>
                <w:numId w:val="57"/>
              </w:numPr>
              <w:spacing w:before="60"/>
              <w:ind w:left="864" w:hanging="288"/>
              <w:rPr>
                <w:rFonts w:eastAsia="Arial,Times New Roman" w:cs="Arial"/>
                <w:szCs w:val="21"/>
              </w:rPr>
            </w:pPr>
            <w:r w:rsidRPr="005D4222">
              <w:rPr>
                <w:rFonts w:eastAsia="Arial,Times New Roman" w:cs="Arial"/>
                <w:szCs w:val="21"/>
              </w:rPr>
              <w:t>Identify all acute and nonacute inpatient stays (</w:t>
            </w:r>
            <w:r w:rsidRPr="005D4222">
              <w:rPr>
                <w:rFonts w:eastAsia="Arial,Times New Roman" w:cs="Arial"/>
                <w:szCs w:val="21"/>
                <w:u w:val="single"/>
              </w:rPr>
              <w:t>Inpatient Stay Value Set</w:t>
            </w:r>
            <w:r w:rsidRPr="005D4222">
              <w:rPr>
                <w:rFonts w:eastAsia="Arial,Times New Roman" w:cs="Arial"/>
                <w:szCs w:val="21"/>
              </w:rPr>
              <w:t>).</w:t>
            </w:r>
          </w:p>
          <w:p w14:paraId="3368D053" w14:textId="77777777" w:rsidR="003846A3" w:rsidRPr="005D4222" w:rsidRDefault="003846A3" w:rsidP="005D6173">
            <w:pPr>
              <w:pStyle w:val="Body"/>
              <w:numPr>
                <w:ilvl w:val="1"/>
                <w:numId w:val="57"/>
              </w:numPr>
              <w:spacing w:before="60"/>
              <w:ind w:left="864" w:hanging="288"/>
              <w:rPr>
                <w:rFonts w:eastAsia="Arial,Times New Roman" w:cs="Arial"/>
                <w:szCs w:val="21"/>
              </w:rPr>
            </w:pPr>
            <w:r w:rsidRPr="005D4222" w:rsidDel="00C71E8E">
              <w:rPr>
                <w:rFonts w:eastAsia="Arial,Times New Roman" w:cs="Arial"/>
                <w:szCs w:val="21"/>
              </w:rPr>
              <w:t xml:space="preserve">Exclude </w:t>
            </w:r>
            <w:r w:rsidRPr="005D4222">
              <w:rPr>
                <w:rFonts w:eastAsia="Arial,Times New Roman" w:cs="Arial"/>
                <w:szCs w:val="21"/>
              </w:rPr>
              <w:t>nonacute inpatient stays other than behavioral health (</w:t>
            </w:r>
            <w:r w:rsidRPr="005D4222">
              <w:rPr>
                <w:rFonts w:eastAsia="Arial,Times New Roman" w:cs="Arial"/>
                <w:szCs w:val="21"/>
                <w:u w:val="single"/>
              </w:rPr>
              <w:t>Nonacute Inpatient Stay Other Than Behavioral Health Accommodations Value Set</w:t>
            </w:r>
            <w:r w:rsidRPr="005D4222">
              <w:rPr>
                <w:rFonts w:eastAsia="Arial,Times New Roman" w:cs="Arial"/>
                <w:szCs w:val="21"/>
              </w:rPr>
              <w:t>).</w:t>
            </w:r>
          </w:p>
          <w:p w14:paraId="570CDB4D" w14:textId="77777777" w:rsidR="003846A3" w:rsidRPr="005D4222" w:rsidRDefault="003846A3" w:rsidP="005D6173">
            <w:pPr>
              <w:pStyle w:val="Body"/>
              <w:numPr>
                <w:ilvl w:val="1"/>
                <w:numId w:val="57"/>
              </w:numPr>
              <w:spacing w:before="60"/>
              <w:ind w:left="864" w:hanging="288"/>
              <w:rPr>
                <w:rFonts w:eastAsia="Arial,Times New Roman" w:cs="Arial"/>
                <w:szCs w:val="21"/>
              </w:rPr>
            </w:pPr>
            <w:r w:rsidRPr="005D4222">
              <w:rPr>
                <w:rFonts w:eastAsia="Arial,Times New Roman" w:cs="Arial"/>
                <w:szCs w:val="21"/>
              </w:rPr>
              <w:t>Identify the discharge date for the stay.</w:t>
            </w:r>
          </w:p>
          <w:p w14:paraId="48BAB7BF" w14:textId="74907BEB" w:rsidR="003846A3" w:rsidRPr="005D4222" w:rsidRDefault="003846A3" w:rsidP="003427E4">
            <w:pPr>
              <w:pStyle w:val="Bullet"/>
              <w:numPr>
                <w:ilvl w:val="0"/>
                <w:numId w:val="4"/>
              </w:numPr>
              <w:tabs>
                <w:tab w:val="left" w:pos="360"/>
                <w:tab w:val="left" w:pos="576"/>
              </w:tabs>
              <w:spacing w:after="80"/>
              <w:ind w:left="576" w:hanging="216"/>
              <w:rPr>
                <w:b/>
                <w:bCs/>
                <w:iCs/>
              </w:rPr>
            </w:pPr>
            <w:r w:rsidRPr="005D4222">
              <w:rPr>
                <w:rFonts w:eastAsia="Arial,Times New Roman" w:cs="Arial"/>
              </w:rPr>
              <w:t>A withdrawal management visit (</w:t>
            </w:r>
            <w:r w:rsidRPr="005D4222">
              <w:rPr>
                <w:rFonts w:eastAsia="Arial,Times New Roman" w:cs="Arial"/>
                <w:u w:val="single"/>
              </w:rPr>
              <w:t>Detoxification Value Set</w:t>
            </w:r>
            <w:r w:rsidRPr="005D4222">
              <w:rPr>
                <w:rFonts w:eastAsia="Arial,Times New Roman" w:cs="Arial"/>
              </w:rPr>
              <w:t xml:space="preserve">) </w:t>
            </w:r>
            <w:r w:rsidRPr="005D4222">
              <w:rPr>
                <w:rFonts w:eastAsia="Arial,Times New Roman" w:cs="Arial"/>
                <w:b/>
                <w:bCs/>
                <w:i/>
                <w:iCs/>
              </w:rPr>
              <w:t>with</w:t>
            </w:r>
            <w:r w:rsidRPr="005D4222">
              <w:rPr>
                <w:rFonts w:eastAsia="Arial,Times New Roman" w:cs="Arial"/>
              </w:rPr>
              <w:t xml:space="preserve"> a principal diagnosis of substance use disorder (</w:t>
            </w:r>
            <w:r w:rsidRPr="005D4222">
              <w:rPr>
                <w:rFonts w:eastAsia="Arial,Times New Roman" w:cs="Arial"/>
                <w:u w:val="single"/>
              </w:rPr>
              <w:t>AOD Abuse and Dependence Value Set)</w:t>
            </w:r>
            <w:r w:rsidRPr="005D4222">
              <w:rPr>
                <w:rFonts w:eastAsia="Arial,Times New Roman" w:cs="Arial"/>
              </w:rPr>
              <w:t>.</w:t>
            </w:r>
          </w:p>
        </w:tc>
      </w:tr>
    </w:tbl>
    <w:p w14:paraId="4A075E15" w14:textId="61AE9275" w:rsidR="000E4192" w:rsidRPr="005D4222" w:rsidRDefault="000E4192"/>
    <w:tbl>
      <w:tblPr>
        <w:tblW w:w="9717" w:type="dxa"/>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05"/>
        <w:gridCol w:w="7612"/>
      </w:tblGrid>
      <w:tr w:rsidR="000E4192" w:rsidRPr="005D4222" w14:paraId="0C5F0FA5" w14:textId="77777777" w:rsidTr="00EC7083">
        <w:trPr>
          <w:trHeight w:val="320"/>
        </w:trPr>
        <w:tc>
          <w:tcPr>
            <w:tcW w:w="2105" w:type="dxa"/>
            <w:tcBorders>
              <w:top w:val="single" w:sz="4" w:space="0" w:color="auto"/>
              <w:left w:val="single" w:sz="4" w:space="0" w:color="auto"/>
              <w:bottom w:val="single" w:sz="4" w:space="0" w:color="auto"/>
            </w:tcBorders>
            <w:shd w:val="clear" w:color="auto" w:fill="BFBFBF" w:themeFill="background1" w:themeFillShade="BF"/>
            <w:tcMar>
              <w:top w:w="0" w:type="dxa"/>
              <w:left w:w="86" w:type="dxa"/>
              <w:bottom w:w="43" w:type="dxa"/>
              <w:right w:w="86" w:type="dxa"/>
            </w:tcMar>
          </w:tcPr>
          <w:p w14:paraId="53EC1126" w14:textId="77777777" w:rsidR="000E4192" w:rsidRPr="005D4222" w:rsidRDefault="000E4192">
            <w:pPr>
              <w:pStyle w:val="ECDSMarginHead"/>
            </w:pPr>
          </w:p>
        </w:tc>
        <w:tc>
          <w:tcPr>
            <w:tcW w:w="7612"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95E693F" w14:textId="77777777" w:rsidR="003427E4" w:rsidRPr="005D4222" w:rsidRDefault="003427E4" w:rsidP="003427E4">
            <w:pPr>
              <w:pStyle w:val="ECDSBody"/>
              <w:rPr>
                <w:rFonts w:eastAsia="Arial,Times New Roman"/>
              </w:rPr>
            </w:pPr>
            <w:r w:rsidRPr="005D4222">
              <w:rPr>
                <w:rFonts w:eastAsia="Arial,Times New Roman"/>
                <w:b/>
                <w:i/>
              </w:rPr>
              <w:t xml:space="preserve">Direct </w:t>
            </w:r>
            <w:r w:rsidRPr="005D4222">
              <w:rPr>
                <w:rFonts w:eastAsia="Arial,Times New Roman"/>
                <w:b/>
                <w:i/>
                <w:iCs/>
              </w:rPr>
              <w:t>transfer</w:t>
            </w:r>
            <w:r w:rsidRPr="005D4222">
              <w:rPr>
                <w:rFonts w:eastAsia="Arial,Times New Roman"/>
                <w:b/>
                <w:i/>
              </w:rPr>
              <w:t>.</w:t>
            </w:r>
            <w:r w:rsidRPr="005D4222">
              <w:rPr>
                <w:rFonts w:eastAsia="Arial,Times New Roman"/>
                <w:b/>
                <w:i/>
              </w:rPr>
              <w:br/>
            </w:r>
            <w:r w:rsidRPr="005D4222">
              <w:rPr>
                <w:rFonts w:eastAsia="Arial,Times New Roman"/>
              </w:rPr>
              <w:t xml:space="preserve">Identify direct transfers to an acute inpatient care or residential setting. If the direct transfer to the acute inpatient or residential care setting was for a principal diagnosis of </w:t>
            </w:r>
            <w:r w:rsidRPr="005D4222" w:rsidDel="005625CF">
              <w:rPr>
                <w:rFonts w:eastAsia="Arial,Times New Roman"/>
              </w:rPr>
              <w:t>substance use disorder</w:t>
            </w:r>
            <w:r w:rsidRPr="005D4222">
              <w:rPr>
                <w:rFonts w:eastAsia="Arial,Times New Roman"/>
              </w:rPr>
              <w:t xml:space="preserve"> (</w:t>
            </w:r>
            <w:r w:rsidRPr="005D4222">
              <w:rPr>
                <w:rFonts w:eastAsia="Arial,Times New Roman"/>
                <w:u w:val="single"/>
              </w:rPr>
              <w:t>AOD Abuse and Dependence Value Set</w:t>
            </w:r>
            <w:r w:rsidRPr="005D4222">
              <w:rPr>
                <w:rFonts w:eastAsia="Arial,Times New Roman"/>
              </w:rPr>
              <w:t xml:space="preserve">), use the date of last discharge. </w:t>
            </w:r>
          </w:p>
          <w:p w14:paraId="681B2940" w14:textId="77777777" w:rsidR="000E4192" w:rsidRPr="005D4222" w:rsidRDefault="000E4192" w:rsidP="000E4192">
            <w:pPr>
              <w:pStyle w:val="ECDSBody"/>
              <w:rPr>
                <w:rFonts w:eastAsia="Arial,Times New Roman"/>
              </w:rPr>
            </w:pPr>
            <w:r w:rsidRPr="005D4222">
              <w:rPr>
                <w:rFonts w:eastAsia="Arial,Times New Roman"/>
              </w:rPr>
              <w:t>To identify direct transfers:</w:t>
            </w:r>
          </w:p>
          <w:p w14:paraId="750A6D2A" w14:textId="77777777" w:rsidR="000E4192" w:rsidRPr="005D4222" w:rsidRDefault="000E4192" w:rsidP="005D6173">
            <w:pPr>
              <w:pStyle w:val="Body"/>
              <w:numPr>
                <w:ilvl w:val="0"/>
                <w:numId w:val="58"/>
              </w:numPr>
              <w:spacing w:before="40" w:after="40"/>
              <w:ind w:left="648" w:hanging="288"/>
              <w:rPr>
                <w:rFonts w:eastAsia="Arial,Times New Roman" w:cs="Arial"/>
                <w:szCs w:val="21"/>
              </w:rPr>
            </w:pPr>
            <w:r w:rsidRPr="005D4222">
              <w:rPr>
                <w:rFonts w:eastAsia="Arial,Times New Roman" w:cs="Arial"/>
                <w:szCs w:val="21"/>
              </w:rPr>
              <w:t>Identify all acute and nonacute inpatient stays (</w:t>
            </w:r>
            <w:r w:rsidRPr="005D4222">
              <w:rPr>
                <w:rFonts w:eastAsia="Arial,Times New Roman" w:cs="Arial"/>
                <w:szCs w:val="21"/>
                <w:u w:val="single"/>
              </w:rPr>
              <w:t>Inpatient Stay Value Set</w:t>
            </w:r>
            <w:r w:rsidRPr="005D4222">
              <w:rPr>
                <w:rFonts w:eastAsia="Arial,Times New Roman" w:cs="Arial"/>
                <w:szCs w:val="21"/>
              </w:rPr>
              <w:t xml:space="preserve">). </w:t>
            </w:r>
          </w:p>
          <w:p w14:paraId="2C0ADA32" w14:textId="77777777" w:rsidR="000E4192" w:rsidRPr="005D4222" w:rsidRDefault="000E4192" w:rsidP="005D6173">
            <w:pPr>
              <w:pStyle w:val="Body"/>
              <w:numPr>
                <w:ilvl w:val="0"/>
                <w:numId w:val="58"/>
              </w:numPr>
              <w:spacing w:before="60" w:after="60"/>
              <w:ind w:left="648" w:hanging="288"/>
              <w:rPr>
                <w:rFonts w:eastAsia="Arial,Times New Roman" w:cs="Arial"/>
                <w:szCs w:val="21"/>
              </w:rPr>
            </w:pPr>
            <w:r w:rsidRPr="005D4222" w:rsidDel="00E659C0">
              <w:rPr>
                <w:rFonts w:eastAsia="Arial,Times New Roman" w:cs="Arial"/>
                <w:szCs w:val="21"/>
              </w:rPr>
              <w:t xml:space="preserve">Exclude </w:t>
            </w:r>
            <w:r w:rsidRPr="005D4222">
              <w:rPr>
                <w:rFonts w:eastAsia="Arial,Times New Roman" w:cs="Arial"/>
                <w:szCs w:val="21"/>
              </w:rPr>
              <w:t>nonacute inpatient stays other than behavioral health (</w:t>
            </w:r>
            <w:r w:rsidRPr="005D4222">
              <w:rPr>
                <w:rFonts w:eastAsia="Arial,Times New Roman" w:cs="Arial"/>
                <w:szCs w:val="21"/>
                <w:u w:val="single"/>
              </w:rPr>
              <w:t>Nonacute Inpatient Stay Other Than Behavioral Health Accommodations Value Set</w:t>
            </w:r>
            <w:r w:rsidRPr="005D4222">
              <w:rPr>
                <w:rFonts w:eastAsia="Arial,Times New Roman" w:cs="Arial"/>
                <w:szCs w:val="21"/>
              </w:rPr>
              <w:t>).</w:t>
            </w:r>
            <w:r w:rsidRPr="005D4222" w:rsidDel="00703EAA">
              <w:rPr>
                <w:rFonts w:eastAsia="Arial,Times New Roman" w:cs="Arial"/>
                <w:szCs w:val="21"/>
              </w:rPr>
              <w:t xml:space="preserve"> </w:t>
            </w:r>
          </w:p>
          <w:p w14:paraId="37618668" w14:textId="77777777" w:rsidR="000E4192" w:rsidRPr="005D4222" w:rsidRDefault="000E4192" w:rsidP="005D6173">
            <w:pPr>
              <w:pStyle w:val="Body"/>
              <w:numPr>
                <w:ilvl w:val="0"/>
                <w:numId w:val="58"/>
              </w:numPr>
              <w:spacing w:before="40" w:after="40"/>
              <w:ind w:left="648" w:hanging="288"/>
              <w:rPr>
                <w:rFonts w:eastAsia="Arial,Times New Roman" w:cs="Arial"/>
                <w:szCs w:val="21"/>
              </w:rPr>
            </w:pPr>
            <w:r w:rsidRPr="005D4222">
              <w:rPr>
                <w:rFonts w:eastAsia="Arial,Times New Roman" w:cs="Arial"/>
                <w:szCs w:val="21"/>
              </w:rPr>
              <w:t xml:space="preserve">Identify the admission date for the stay. </w:t>
            </w:r>
          </w:p>
          <w:p w14:paraId="336E203E" w14:textId="77777777" w:rsidR="000E4192" w:rsidRPr="005D4222" w:rsidRDefault="000E4192" w:rsidP="000E4192">
            <w:pPr>
              <w:pStyle w:val="ECDSBody"/>
              <w:rPr>
                <w:rFonts w:eastAsia="Arial,Times New Roman"/>
              </w:rPr>
            </w:pPr>
            <w:r w:rsidRPr="005D4222" w:rsidDel="00E659C0">
              <w:rPr>
                <w:rFonts w:eastAsia="Arial,Times New Roman"/>
              </w:rPr>
              <w:t xml:space="preserve">Exclude </w:t>
            </w:r>
            <w:r w:rsidRPr="005D4222">
              <w:rPr>
                <w:rFonts w:eastAsia="Arial,Times New Roman"/>
              </w:rPr>
              <w:t xml:space="preserve">both the initial discharge and the direct transfer discharge if the last discharge occurs after December 1 of the measurement period. </w:t>
            </w:r>
          </w:p>
          <w:p w14:paraId="22D7C9E9" w14:textId="77777777" w:rsidR="000E4192" w:rsidRPr="005D4222" w:rsidRDefault="000E4192" w:rsidP="000E4192">
            <w:pPr>
              <w:pStyle w:val="ECDSBody"/>
              <w:rPr>
                <w:rFonts w:eastAsia="Arial,Times New Roman"/>
              </w:rPr>
            </w:pPr>
            <w:r w:rsidRPr="005D4222">
              <w:rPr>
                <w:rFonts w:eastAsia="Arial,Times New Roman"/>
              </w:rPr>
              <w:t xml:space="preserve">If the direct transfer to the acute inpatient or residential behavioral health care setting was for any other principal diagnosis, </w:t>
            </w:r>
            <w:r w:rsidRPr="005D4222" w:rsidDel="00E659C0">
              <w:rPr>
                <w:rFonts w:eastAsia="Arial,Times New Roman"/>
              </w:rPr>
              <w:t xml:space="preserve">exclude </w:t>
            </w:r>
            <w:r w:rsidRPr="005D4222">
              <w:rPr>
                <w:rFonts w:eastAsia="Arial,Times New Roman"/>
              </w:rPr>
              <w:t>both the original and the direct transfer discharge.</w:t>
            </w:r>
          </w:p>
          <w:p w14:paraId="4B69ABE3" w14:textId="77777777" w:rsidR="000E4192" w:rsidRPr="005D4222" w:rsidRDefault="000E4192" w:rsidP="000E4192">
            <w:pPr>
              <w:pStyle w:val="ECDSBody"/>
              <w:rPr>
                <w:rFonts w:eastAsia="Arial,Times New Roman"/>
              </w:rPr>
            </w:pPr>
            <w:r w:rsidRPr="005D4222">
              <w:rPr>
                <w:rFonts w:eastAsia="Arial,Times New Roman"/>
                <w:b/>
                <w:i/>
              </w:rPr>
              <w:t>Multiple discharges, visits or events in a 31-day period.</w:t>
            </w:r>
            <w:r w:rsidRPr="005D4222">
              <w:rPr>
                <w:rFonts w:eastAsia="Arial,Times New Roman"/>
                <w:b/>
                <w:iCs/>
              </w:rPr>
              <w:br/>
            </w:r>
            <w:r w:rsidRPr="005D4222">
              <w:rPr>
                <w:rFonts w:eastAsia="Arial,Times New Roman"/>
              </w:rPr>
              <w:t xml:space="preserve">After evaluating for direct transfers, if a person has more than one episode in </w:t>
            </w:r>
            <w:r w:rsidRPr="005D4222">
              <w:rPr>
                <w:rFonts w:eastAsia="Arial,Times New Roman"/>
              </w:rPr>
              <w:br/>
              <w:t xml:space="preserve">a 31-day period, include only the first eligible episode. </w:t>
            </w:r>
          </w:p>
          <w:p w14:paraId="2FF3FECE" w14:textId="77777777" w:rsidR="000E4192" w:rsidRPr="005D4222" w:rsidRDefault="000E4192" w:rsidP="000E4192">
            <w:pPr>
              <w:pStyle w:val="Bullet"/>
              <w:numPr>
                <w:ilvl w:val="0"/>
                <w:numId w:val="4"/>
              </w:numPr>
              <w:tabs>
                <w:tab w:val="left" w:pos="360"/>
                <w:tab w:val="left" w:pos="576"/>
              </w:tabs>
              <w:ind w:left="576" w:hanging="216"/>
              <w:rPr>
                <w:rFonts w:eastAsia="Arial,Times New Roman"/>
              </w:rPr>
            </w:pPr>
            <w:r w:rsidRPr="005D4222">
              <w:rPr>
                <w:rFonts w:eastAsia="Arial,Times New Roman"/>
                <w:i/>
                <w:iCs/>
              </w:rPr>
              <w:t>For example,</w:t>
            </w:r>
            <w:r w:rsidRPr="005D4222">
              <w:rPr>
                <w:rFonts w:eastAsia="Arial,Times New Roman"/>
              </w:rPr>
              <w:t xml:space="preserve"> if </w:t>
            </w:r>
            <w:r w:rsidRPr="005D4222" w:rsidDel="00880DE2">
              <w:rPr>
                <w:rFonts w:eastAsia="Arial,Times New Roman"/>
              </w:rPr>
              <w:t>a person is</w:t>
            </w:r>
            <w:r w:rsidRPr="005D4222">
              <w:rPr>
                <w:rFonts w:eastAsia="Arial,Times New Roman"/>
              </w:rPr>
              <w:t xml:space="preserve"> discharge</w:t>
            </w:r>
            <w:r w:rsidRPr="005D4222" w:rsidDel="00880DE2">
              <w:rPr>
                <w:rFonts w:eastAsia="Arial,Times New Roman"/>
              </w:rPr>
              <w:t>d</w:t>
            </w:r>
            <w:r w:rsidRPr="005D4222">
              <w:rPr>
                <w:rFonts w:eastAsia="Arial,Times New Roman"/>
              </w:rPr>
              <w:t xml:space="preserve"> from a residential treatment stay on January 1, include that discharge and do not include subsequent episodes that occur on or between January 2 and January 31; then, if applicable, include the next episode that occurs on or after February 1. Identify episodes chronologically, including only the first episode per 31-day period.</w:t>
            </w:r>
            <w:r w:rsidRPr="005D4222" w:rsidDel="00703EAA">
              <w:rPr>
                <w:rFonts w:eastAsia="Arial,Times New Roman"/>
              </w:rPr>
              <w:t xml:space="preserve"> </w:t>
            </w:r>
          </w:p>
          <w:p w14:paraId="225AB1AD" w14:textId="3E82E86C" w:rsidR="000E4192" w:rsidRPr="005D4222" w:rsidRDefault="000E4192" w:rsidP="000E4192">
            <w:pPr>
              <w:pStyle w:val="Note"/>
              <w:spacing w:after="80"/>
              <w:rPr>
                <w:iCs/>
              </w:rPr>
            </w:pPr>
            <w:r w:rsidRPr="005D4222">
              <w:rPr>
                <w:rFonts w:eastAsia="Arial,Times New Roman"/>
                <w:b/>
              </w:rPr>
              <w:t>Note:</w:t>
            </w:r>
            <w:r w:rsidRPr="005D4222">
              <w:rPr>
                <w:rFonts w:eastAsia="Arial,Times New Roman"/>
              </w:rPr>
              <w:t xml:space="preserve"> Removal of multiple episodes in a 31-day period is based on eligibility. Assess each episode for eligibility before removing multiple episodes in a 31-day period.</w:t>
            </w:r>
          </w:p>
        </w:tc>
      </w:tr>
      <w:tr w:rsidR="003846A3" w:rsidRPr="005D4222" w14:paraId="5B01BF42" w14:textId="77777777" w:rsidTr="00EC7083">
        <w:tc>
          <w:tcPr>
            <w:tcW w:w="2105"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ED3DB1B" w14:textId="77777777" w:rsidR="003846A3" w:rsidRPr="005D4222" w:rsidRDefault="003846A3">
            <w:pPr>
              <w:pStyle w:val="ECDSMarginHead"/>
            </w:pPr>
            <w:r w:rsidRPr="005D4222">
              <w:t xml:space="preserve">Denominator exclusions </w:t>
            </w:r>
          </w:p>
        </w:tc>
        <w:tc>
          <w:tcPr>
            <w:tcW w:w="7612"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40895A93" w14:textId="77777777" w:rsidR="003846A3" w:rsidRPr="005D4222" w:rsidRDefault="003846A3">
            <w:pPr>
              <w:pStyle w:val="ECDSBody"/>
              <w:rPr>
                <w:rFonts w:eastAsia="Arial,Arial,Arial,Arial,Arial,A"/>
              </w:rPr>
            </w:pPr>
            <w:r w:rsidRPr="005D4222">
              <w:rPr>
                <w:rFonts w:eastAsia="Arial,Arial,Arial,Arial,Arial,A"/>
                <w:b/>
              </w:rPr>
              <w:t>Persons with a date of death.</w:t>
            </w:r>
            <w:r w:rsidRPr="005D4222">
              <w:rPr>
                <w:rFonts w:eastAsia="Arial,Arial,Arial,Arial,Arial,A"/>
                <w:b/>
              </w:rPr>
              <w:br/>
            </w:r>
            <w:r w:rsidRPr="005D4222">
              <w:rPr>
                <w:rFonts w:eastAsia="Arial,Arial,Arial,Arial,Arial,A"/>
              </w:rPr>
              <w:t>Death in the measurement period, identified using data sources determined by the organization. Method and data sources are subject to review during the HEDIS audit. </w:t>
            </w:r>
          </w:p>
          <w:p w14:paraId="706482FB" w14:textId="77777777" w:rsidR="003846A3" w:rsidRPr="005D4222" w:rsidRDefault="003846A3">
            <w:pPr>
              <w:pStyle w:val="ECDSBody"/>
            </w:pPr>
            <w:r w:rsidRPr="005D4222" w:rsidDel="002D4AA7">
              <w:rPr>
                <w:rFonts w:eastAsia="Arial,Arial,Arial,Arial,Arial,A"/>
                <w:b/>
              </w:rPr>
              <w:t xml:space="preserve">Persons </w:t>
            </w:r>
            <w:r w:rsidRPr="005D4222">
              <w:rPr>
                <w:rFonts w:eastAsia="Arial,Arial,Arial,Arial,Arial,A"/>
                <w:b/>
              </w:rPr>
              <w:t>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3846A3" w:rsidRPr="005D4222" w14:paraId="005E5123" w14:textId="77777777" w:rsidTr="00EC7083">
        <w:trPr>
          <w:trHeight w:val="417"/>
        </w:trPr>
        <w:tc>
          <w:tcPr>
            <w:tcW w:w="2105"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D132C5A" w14:textId="77777777" w:rsidR="003846A3" w:rsidRPr="005D4222" w:rsidRDefault="003846A3">
            <w:pPr>
              <w:pStyle w:val="ECDSMarginHead"/>
            </w:pPr>
            <w:r w:rsidRPr="005D4222">
              <w:t>Denominator</w:t>
            </w:r>
          </w:p>
        </w:tc>
        <w:tc>
          <w:tcPr>
            <w:tcW w:w="7612"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3996FAF" w14:textId="77777777" w:rsidR="003846A3" w:rsidRPr="005D4222" w:rsidRDefault="003846A3">
            <w:pPr>
              <w:pStyle w:val="ECDSBody"/>
              <w:rPr>
                <w:b/>
                <w:i/>
                <w:iCs/>
                <w:color w:val="000000"/>
                <w:szCs w:val="21"/>
                <w:shd w:val="clear" w:color="auto" w:fill="FFFFFF"/>
              </w:rPr>
            </w:pPr>
            <w:r w:rsidRPr="005D4222">
              <w:rPr>
                <w:rFonts w:eastAsia="Arial,Arial,Arial,Arial,Arial,A"/>
              </w:rPr>
              <w:t>The initial population minus denominator exclusions.</w:t>
            </w:r>
          </w:p>
        </w:tc>
      </w:tr>
      <w:tr w:rsidR="003846A3" w:rsidRPr="005D4222" w14:paraId="3E0D64A6" w14:textId="77777777" w:rsidTr="00EC7083">
        <w:trPr>
          <w:trHeight w:val="417"/>
        </w:trPr>
        <w:tc>
          <w:tcPr>
            <w:tcW w:w="2105"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D5B66E9" w14:textId="77777777" w:rsidR="003846A3" w:rsidRPr="005D4222" w:rsidRDefault="003846A3">
            <w:pPr>
              <w:pStyle w:val="ECDSMarginHead"/>
            </w:pPr>
            <w:r w:rsidRPr="005D4222">
              <w:t>Numerator</w:t>
            </w:r>
          </w:p>
        </w:tc>
        <w:tc>
          <w:tcPr>
            <w:tcW w:w="7612"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7687BF27" w14:textId="77777777" w:rsidR="003846A3" w:rsidRPr="005D4222" w:rsidRDefault="003846A3" w:rsidP="008C3C72">
            <w:pPr>
              <w:pStyle w:val="Body"/>
              <w:spacing w:before="120"/>
              <w:rPr>
                <w:rFonts w:eastAsia="Arial,Times New Roman" w:cs="Arial"/>
                <w:szCs w:val="21"/>
              </w:rPr>
            </w:pPr>
            <w:r w:rsidRPr="005D4222">
              <w:rPr>
                <w:rFonts w:eastAsia="Arial,Arial,Arial,Arial,Arial,A"/>
                <w:b/>
                <w:bCs/>
                <w:color w:val="000000" w:themeColor="text1"/>
              </w:rPr>
              <w:t xml:space="preserve">Numerator 1: </w:t>
            </w:r>
            <w:r w:rsidRPr="005D4222">
              <w:rPr>
                <w:rFonts w:eastAsia="Arial,Times New Roman" w:cs="Arial"/>
                <w:b/>
                <w:bCs/>
                <w:szCs w:val="21"/>
              </w:rPr>
              <w:t>30-day follow-up.</w:t>
            </w:r>
            <w:r w:rsidRPr="005D4222">
              <w:rPr>
                <w:rFonts w:eastAsia="Arial,Times New Roman" w:cs="Arial"/>
                <w:b/>
                <w:bCs/>
                <w:szCs w:val="21"/>
              </w:rPr>
              <w:br/>
            </w:r>
            <w:r w:rsidRPr="005D4222">
              <w:rPr>
                <w:rFonts w:eastAsia="Arial,Times New Roman" w:cs="Arial"/>
                <w:szCs w:val="21"/>
              </w:rPr>
              <w:t xml:space="preserve">A follow-up visit or event with any practitioner for a diagnosis of substance use disorder within the 30 days after an episode for substance use disorder. </w:t>
            </w:r>
          </w:p>
          <w:p w14:paraId="07B8226D" w14:textId="0BB93EAC" w:rsidR="000E4192" w:rsidRPr="005D4222" w:rsidRDefault="003846A3" w:rsidP="00EC7083">
            <w:pPr>
              <w:pStyle w:val="Body"/>
              <w:spacing w:after="80"/>
              <w:rPr>
                <w:rFonts w:eastAsia="Arial,Times New Roman"/>
              </w:rPr>
            </w:pPr>
            <w:r w:rsidRPr="005D4222">
              <w:rPr>
                <w:rFonts w:eastAsia="Arial,Times New Roman" w:cs="Arial"/>
                <w:b/>
                <w:bCs/>
                <w:szCs w:val="21"/>
              </w:rPr>
              <w:t>Numerator 2: 7-day follow-up.</w:t>
            </w:r>
            <w:r w:rsidRPr="005D4222">
              <w:rPr>
                <w:rFonts w:eastAsia="Arial,Times New Roman" w:cs="Arial"/>
                <w:b/>
                <w:bCs/>
                <w:szCs w:val="21"/>
              </w:rPr>
              <w:br/>
            </w:r>
            <w:r w:rsidRPr="005D4222">
              <w:rPr>
                <w:rFonts w:eastAsia="Arial,Times New Roman"/>
                <w:szCs w:val="21"/>
              </w:rPr>
              <w:t xml:space="preserve">A follow-up visit or event with any practitioner for a diagnosis of </w:t>
            </w:r>
            <w:r w:rsidRPr="005D4222" w:rsidDel="004F4DA7">
              <w:rPr>
                <w:szCs w:val="21"/>
              </w:rPr>
              <w:t>substance use disorder</w:t>
            </w:r>
            <w:r w:rsidRPr="005D4222">
              <w:rPr>
                <w:rFonts w:eastAsia="Arial,Times New Roman"/>
                <w:szCs w:val="21"/>
              </w:rPr>
              <w:t xml:space="preserve"> within the 7 </w:t>
            </w:r>
            <w:r w:rsidRPr="005D4222">
              <w:rPr>
                <w:szCs w:val="21"/>
              </w:rPr>
              <w:t xml:space="preserve">days after an episode for </w:t>
            </w:r>
            <w:r w:rsidRPr="005D4222" w:rsidDel="004F4DA7">
              <w:rPr>
                <w:szCs w:val="21"/>
              </w:rPr>
              <w:t>substance use disorder</w:t>
            </w:r>
            <w:r w:rsidRPr="005D4222">
              <w:rPr>
                <w:rFonts w:eastAsia="Arial,Times New Roman"/>
                <w:szCs w:val="21"/>
              </w:rPr>
              <w:t>.</w:t>
            </w:r>
          </w:p>
        </w:tc>
      </w:tr>
      <w:tr w:rsidR="000E4192" w:rsidRPr="005D4222" w14:paraId="3316564B" w14:textId="77777777" w:rsidTr="00EC7083">
        <w:trPr>
          <w:trHeight w:val="417"/>
        </w:trPr>
        <w:tc>
          <w:tcPr>
            <w:tcW w:w="2105"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0DE0EC4" w14:textId="77777777" w:rsidR="000E4192" w:rsidRPr="005D4222" w:rsidRDefault="000E4192">
            <w:pPr>
              <w:pStyle w:val="ECDSMarginHead"/>
            </w:pPr>
          </w:p>
        </w:tc>
        <w:tc>
          <w:tcPr>
            <w:tcW w:w="7612"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6442E3A6" w14:textId="77777777" w:rsidR="00EC7083" w:rsidRPr="005D4222" w:rsidRDefault="00EC7083" w:rsidP="00EC7083">
            <w:pPr>
              <w:pStyle w:val="Body"/>
              <w:spacing w:before="120" w:after="80"/>
              <w:rPr>
                <w:rFonts w:eastAsia="Arial,Times New Roman"/>
                <w:szCs w:val="21"/>
              </w:rPr>
            </w:pPr>
            <w:r w:rsidRPr="005D4222">
              <w:rPr>
                <w:rFonts w:eastAsia="Arial,Times New Roman"/>
                <w:szCs w:val="21"/>
              </w:rPr>
              <w:t>For both indicators, any of the following meet criteria for a follow-up visit.</w:t>
            </w:r>
            <w:r w:rsidRPr="005D4222">
              <w:t xml:space="preserve"> </w:t>
            </w:r>
            <w:r w:rsidRPr="005D4222">
              <w:rPr>
                <w:rFonts w:eastAsia="Arial,Times New Roman"/>
                <w:szCs w:val="21"/>
              </w:rPr>
              <w:t>Do not include visits that occur on the date of the denominator episode.</w:t>
            </w:r>
          </w:p>
          <w:p w14:paraId="7679D3CC" w14:textId="77777777" w:rsidR="00B655A1" w:rsidRPr="005D4222" w:rsidRDefault="00B655A1" w:rsidP="00B655A1">
            <w:pPr>
              <w:pStyle w:val="Bullet"/>
              <w:numPr>
                <w:ilvl w:val="0"/>
                <w:numId w:val="4"/>
              </w:numPr>
              <w:tabs>
                <w:tab w:val="left" w:pos="360"/>
                <w:tab w:val="left" w:pos="576"/>
              </w:tabs>
              <w:ind w:left="576" w:hanging="216"/>
              <w:rPr>
                <w:rFonts w:eastAsia="Arial,Times New Roman"/>
                <w:szCs w:val="21"/>
              </w:rPr>
            </w:pPr>
            <w:r w:rsidRPr="005D4222">
              <w:rPr>
                <w:rFonts w:eastAsia="Arial,Times New Roman"/>
              </w:rPr>
              <w:t xml:space="preserve">An acute or nonacute inpatient admission or residential behavioral health stay </w:t>
            </w:r>
            <w:r w:rsidRPr="005D4222">
              <w:rPr>
                <w:rFonts w:eastAsia="Arial,Times New Roman"/>
                <w:b/>
                <w:bCs/>
                <w:i/>
                <w:iCs/>
              </w:rPr>
              <w:t>with</w:t>
            </w:r>
            <w:r w:rsidRPr="005D4222">
              <w:rPr>
                <w:rFonts w:eastAsia="Arial,Times New Roman"/>
              </w:rPr>
              <w:t xml:space="preserve"> a diagnosis of </w:t>
            </w:r>
            <w:r w:rsidRPr="005D4222">
              <w:t>substance use disorder</w:t>
            </w:r>
            <w:r w:rsidRPr="005D4222">
              <w:rPr>
                <w:rFonts w:eastAsia="Arial,Times New Roman"/>
              </w:rPr>
              <w:t xml:space="preserve"> (</w:t>
            </w:r>
            <w:r w:rsidRPr="005D4222">
              <w:rPr>
                <w:rFonts w:eastAsia="Arial,Times New Roman"/>
                <w:u w:val="single"/>
              </w:rPr>
              <w:t>AOD Abuse and Dependence Value Set</w:t>
            </w:r>
            <w:r w:rsidRPr="005D4222">
              <w:rPr>
                <w:rFonts w:eastAsia="Arial,Times New Roman"/>
              </w:rPr>
              <w:t xml:space="preserve">) on the discharge claim. To identify acute and nonacute inpatient admissions: </w:t>
            </w:r>
          </w:p>
          <w:p w14:paraId="3ABF2F0C" w14:textId="77777777" w:rsidR="00B655A1" w:rsidRPr="005D4222" w:rsidRDefault="00B655A1" w:rsidP="005D6173">
            <w:pPr>
              <w:pStyle w:val="Body"/>
              <w:numPr>
                <w:ilvl w:val="1"/>
                <w:numId w:val="60"/>
              </w:numPr>
              <w:spacing w:before="60" w:after="80"/>
              <w:ind w:left="864" w:hanging="288"/>
              <w:rPr>
                <w:rFonts w:eastAsia="Arial,Times New Roman"/>
              </w:rPr>
            </w:pPr>
            <w:r w:rsidRPr="005D4222">
              <w:rPr>
                <w:rFonts w:eastAsia="Arial,Times New Roman"/>
                <w:szCs w:val="21"/>
              </w:rPr>
              <w:t>Identify all acute and nonacute inpatient stays (</w:t>
            </w:r>
            <w:r w:rsidRPr="005D4222">
              <w:rPr>
                <w:rFonts w:eastAsia="Arial,Times New Roman" w:cs="Arial"/>
                <w:szCs w:val="21"/>
                <w:u w:val="single"/>
              </w:rPr>
              <w:t>Inpatient Stay Value Set</w:t>
            </w:r>
            <w:r w:rsidRPr="005D4222">
              <w:rPr>
                <w:rFonts w:eastAsia="Arial,Times New Roman"/>
                <w:szCs w:val="21"/>
              </w:rPr>
              <w:t xml:space="preserve">). </w:t>
            </w:r>
          </w:p>
          <w:p w14:paraId="4128CA71" w14:textId="4DF1FA51" w:rsidR="000E4192" w:rsidRPr="005D4222" w:rsidRDefault="000E4192" w:rsidP="005D6173">
            <w:pPr>
              <w:pStyle w:val="Body"/>
              <w:numPr>
                <w:ilvl w:val="1"/>
                <w:numId w:val="60"/>
              </w:numPr>
              <w:spacing w:before="120" w:after="60"/>
              <w:ind w:left="864" w:hanging="288"/>
              <w:rPr>
                <w:rFonts w:eastAsia="Arial,Times New Roman"/>
                <w:szCs w:val="21"/>
              </w:rPr>
            </w:pPr>
            <w:r w:rsidRPr="005D4222">
              <w:rPr>
                <w:rFonts w:eastAsia="Arial,Times New Roman" w:cs="Arial"/>
                <w:szCs w:val="21"/>
              </w:rPr>
              <w:t>Identify the admission date for the stay.</w:t>
            </w:r>
          </w:p>
          <w:p w14:paraId="54EB287E" w14:textId="77777777" w:rsidR="000E4192" w:rsidRPr="005D4222" w:rsidRDefault="000E4192" w:rsidP="000E4192">
            <w:pPr>
              <w:pStyle w:val="Bullet"/>
              <w:numPr>
                <w:ilvl w:val="0"/>
                <w:numId w:val="4"/>
              </w:numPr>
              <w:tabs>
                <w:tab w:val="left" w:pos="360"/>
                <w:tab w:val="left" w:pos="576"/>
              </w:tabs>
              <w:spacing w:after="80"/>
              <w:ind w:left="576" w:hanging="216"/>
              <w:rPr>
                <w:rFonts w:eastAsia="Arial,Times New Roman"/>
              </w:rPr>
            </w:pPr>
            <w:r w:rsidRPr="005D4222">
              <w:rPr>
                <w:rFonts w:eastAsia="Arial,Times New Roman"/>
              </w:rPr>
              <w:t>An outpatient visit (</w:t>
            </w:r>
            <w:r w:rsidRPr="005D4222">
              <w:rPr>
                <w:u w:val="single"/>
              </w:rPr>
              <w:t>Visit Setting Unspecified Value Set</w:t>
            </w:r>
            <w:r w:rsidRPr="005D4222">
              <w:t xml:space="preserve">) </w:t>
            </w:r>
            <w:r w:rsidRPr="005D4222">
              <w:rPr>
                <w:b/>
                <w:bCs/>
                <w:i/>
                <w:iCs/>
              </w:rPr>
              <w:t>with</w:t>
            </w:r>
            <w:r w:rsidRPr="005D4222">
              <w:t xml:space="preserve"> (</w:t>
            </w:r>
            <w:r w:rsidRPr="005D4222">
              <w:rPr>
                <w:u w:val="single"/>
              </w:rPr>
              <w:t>Outpatient POS Value Set</w:t>
            </w:r>
            <w:r w:rsidRPr="005D4222">
              <w:t>)</w:t>
            </w:r>
            <w:r w:rsidRPr="005D4222">
              <w:rPr>
                <w:rFonts w:eastAsia="Arial,Times New Roman"/>
                <w:b/>
                <w:bCs/>
                <w:i/>
                <w:iCs/>
              </w:rPr>
              <w:t xml:space="preserve"> with</w:t>
            </w:r>
            <w:r w:rsidRPr="005D4222">
              <w:rPr>
                <w:rFonts w:eastAsia="Arial,Times New Roman"/>
              </w:rPr>
              <w:t xml:space="preserve"> a diagnosis of </w:t>
            </w:r>
            <w:r w:rsidRPr="005D4222">
              <w:t>substance use disorder</w:t>
            </w:r>
            <w:r w:rsidRPr="005D4222">
              <w:rPr>
                <w:rFonts w:eastAsia="Arial,Times New Roman"/>
              </w:rPr>
              <w:t xml:space="preserve"> (</w:t>
            </w:r>
            <w:r w:rsidRPr="005D4222">
              <w:rPr>
                <w:rFonts w:eastAsia="Arial,Times New Roman"/>
                <w:u w:val="single"/>
              </w:rPr>
              <w:t>AOD Abuse and Dependence Value Set</w:t>
            </w:r>
            <w:r w:rsidRPr="005D4222">
              <w:rPr>
                <w:rFonts w:eastAsia="Arial,Times New Roman"/>
              </w:rPr>
              <w:t>).</w:t>
            </w:r>
          </w:p>
          <w:p w14:paraId="5C7D42A3" w14:textId="77777777" w:rsidR="000E4192" w:rsidRPr="005D4222" w:rsidRDefault="000E4192" w:rsidP="000E4192">
            <w:pPr>
              <w:pStyle w:val="Bullet"/>
              <w:numPr>
                <w:ilvl w:val="0"/>
                <w:numId w:val="4"/>
              </w:numPr>
              <w:tabs>
                <w:tab w:val="left" w:pos="360"/>
                <w:tab w:val="left" w:pos="576"/>
              </w:tabs>
              <w:spacing w:after="80"/>
              <w:ind w:left="576" w:hanging="216"/>
              <w:rPr>
                <w:rFonts w:eastAsia="Arial,Times New Roman"/>
                <w:szCs w:val="21"/>
              </w:rPr>
            </w:pPr>
            <w:r w:rsidRPr="005D4222">
              <w:rPr>
                <w:rFonts w:eastAsia="Arial,Times New Roman"/>
              </w:rPr>
              <w:t>An outpatient visit (</w:t>
            </w:r>
            <w:r w:rsidRPr="005D4222">
              <w:rPr>
                <w:rFonts w:eastAsia="Arial,Times New Roman"/>
                <w:u w:val="single"/>
              </w:rPr>
              <w:t>BH Outpatient Value Set</w:t>
            </w:r>
            <w:r w:rsidRPr="005D4222">
              <w:rPr>
                <w:rFonts w:eastAsia="Arial,Times New Roman"/>
              </w:rPr>
              <w:t>)</w:t>
            </w:r>
            <w:r w:rsidRPr="005D4222">
              <w:rPr>
                <w:rFonts w:eastAsia="Arial,Times New Roman"/>
                <w:b/>
                <w:bCs/>
                <w:i/>
                <w:iCs/>
              </w:rPr>
              <w:t xml:space="preserve"> with</w:t>
            </w:r>
            <w:r w:rsidRPr="005D4222">
              <w:rPr>
                <w:rFonts w:eastAsia="Arial,Times New Roman"/>
              </w:rPr>
              <w:t xml:space="preserve"> a diagnosis of substance use disorder (</w:t>
            </w:r>
            <w:r w:rsidRPr="005D4222">
              <w:rPr>
                <w:rFonts w:eastAsia="Arial,Times New Roman"/>
                <w:u w:val="single"/>
              </w:rPr>
              <w:t>AOD Abuse and Dependence Value Set</w:t>
            </w:r>
            <w:r w:rsidRPr="005D4222">
              <w:rPr>
                <w:rFonts w:eastAsia="Arial,Times New Roman"/>
              </w:rPr>
              <w:t>).</w:t>
            </w:r>
          </w:p>
          <w:p w14:paraId="4C725163" w14:textId="77777777" w:rsidR="000E4192" w:rsidRPr="005D4222" w:rsidRDefault="000E4192" w:rsidP="000E4192">
            <w:pPr>
              <w:pStyle w:val="Bullet"/>
              <w:numPr>
                <w:ilvl w:val="0"/>
                <w:numId w:val="4"/>
              </w:numPr>
              <w:tabs>
                <w:tab w:val="left" w:pos="360"/>
                <w:tab w:val="left" w:pos="576"/>
              </w:tabs>
              <w:ind w:left="576" w:hanging="216"/>
              <w:rPr>
                <w:rFonts w:eastAsia="Arial,Times New Roman"/>
                <w:szCs w:val="21"/>
              </w:rPr>
            </w:pPr>
            <w:r w:rsidRPr="005D4222">
              <w:t>An intensive outpatient encounter or partial hospitalization (</w:t>
            </w:r>
            <w:r w:rsidRPr="005D4222">
              <w:rPr>
                <w:u w:val="single"/>
              </w:rPr>
              <w:t>Visit Setting Unspecified Value Set</w:t>
            </w:r>
            <w:r w:rsidRPr="005D4222">
              <w:t xml:space="preserve">) </w:t>
            </w:r>
            <w:r w:rsidRPr="005D4222">
              <w:rPr>
                <w:b/>
                <w:bCs/>
                <w:i/>
                <w:iCs/>
              </w:rPr>
              <w:t>with</w:t>
            </w:r>
            <w:r w:rsidRPr="005D4222">
              <w:t xml:space="preserve"> POS code 52</w:t>
            </w:r>
            <w:r w:rsidRPr="005D4222">
              <w:rPr>
                <w:rFonts w:eastAsia="Arial,Times New Roman"/>
                <w:b/>
                <w:bCs/>
                <w:i/>
                <w:iCs/>
              </w:rPr>
              <w:t xml:space="preserve"> with</w:t>
            </w:r>
            <w:r w:rsidRPr="005D4222">
              <w:rPr>
                <w:rFonts w:eastAsia="Arial,Times New Roman"/>
              </w:rPr>
              <w:t xml:space="preserve"> a diagnosis of </w:t>
            </w:r>
            <w:r w:rsidRPr="005D4222">
              <w:t>substance use disorder</w:t>
            </w:r>
            <w:r w:rsidRPr="005D4222">
              <w:rPr>
                <w:rFonts w:eastAsia="Arial,Times New Roman"/>
              </w:rPr>
              <w:t xml:space="preserve"> (</w:t>
            </w:r>
            <w:r w:rsidRPr="005D4222">
              <w:rPr>
                <w:rFonts w:eastAsia="Arial,Times New Roman"/>
                <w:u w:val="single"/>
              </w:rPr>
              <w:t>AOD Abuse and Dependence Value Set</w:t>
            </w:r>
            <w:r w:rsidRPr="005D4222">
              <w:rPr>
                <w:rFonts w:eastAsia="Arial,Times New Roman"/>
              </w:rPr>
              <w:t>).</w:t>
            </w:r>
          </w:p>
          <w:p w14:paraId="58A92B90" w14:textId="77777777" w:rsidR="000E4192" w:rsidRPr="005D4222" w:rsidRDefault="000E4192" w:rsidP="000E4192">
            <w:pPr>
              <w:pStyle w:val="Bullet"/>
              <w:numPr>
                <w:ilvl w:val="0"/>
                <w:numId w:val="4"/>
              </w:numPr>
              <w:tabs>
                <w:tab w:val="left" w:pos="360"/>
                <w:tab w:val="left" w:pos="576"/>
              </w:tabs>
              <w:spacing w:after="80"/>
              <w:ind w:left="576" w:hanging="216"/>
              <w:rPr>
                <w:rFonts w:eastAsia="Arial,Times New Roman"/>
                <w:szCs w:val="21"/>
              </w:rPr>
            </w:pPr>
            <w:r w:rsidRPr="005D4222">
              <w:rPr>
                <w:rFonts w:eastAsia="Arial,Times New Roman"/>
              </w:rPr>
              <w:t xml:space="preserve">An intensive outpatient encounter or partial hospitalization </w:t>
            </w:r>
            <w:r w:rsidRPr="005D4222">
              <w:t>(</w:t>
            </w:r>
            <w:r w:rsidRPr="005D4222">
              <w:rPr>
                <w:u w:val="single"/>
              </w:rPr>
              <w:t>Partial Hospitalization or Intensive Outpatient Value Set</w:t>
            </w:r>
            <w:r w:rsidRPr="005D4222">
              <w:t>)</w:t>
            </w:r>
            <w:r w:rsidRPr="005D4222">
              <w:rPr>
                <w:rFonts w:eastAsia="Arial,Times New Roman"/>
                <w:b/>
                <w:bCs/>
                <w:i/>
                <w:iCs/>
              </w:rPr>
              <w:t xml:space="preserve"> with</w:t>
            </w:r>
            <w:r w:rsidRPr="005D4222">
              <w:rPr>
                <w:rFonts w:eastAsia="Arial,Times New Roman"/>
              </w:rPr>
              <w:t xml:space="preserve"> a diagnosis of </w:t>
            </w:r>
            <w:r w:rsidRPr="005D4222">
              <w:t>substance use disorder</w:t>
            </w:r>
            <w:r w:rsidRPr="005D4222">
              <w:rPr>
                <w:rFonts w:eastAsia="Arial,Times New Roman"/>
              </w:rPr>
              <w:t xml:space="preserve"> (</w:t>
            </w:r>
            <w:r w:rsidRPr="005D4222">
              <w:rPr>
                <w:rFonts w:eastAsia="Arial,Times New Roman"/>
                <w:u w:val="single"/>
              </w:rPr>
              <w:t>AOD Abuse and Dependence Value Set</w:t>
            </w:r>
            <w:r w:rsidRPr="005D4222">
              <w:rPr>
                <w:rFonts w:eastAsia="Arial,Times New Roman"/>
              </w:rPr>
              <w:t>).</w:t>
            </w:r>
          </w:p>
          <w:p w14:paraId="6CF92307" w14:textId="77777777" w:rsidR="000E4192" w:rsidRPr="005D4222" w:rsidRDefault="000E4192" w:rsidP="000E4192">
            <w:pPr>
              <w:pStyle w:val="Bullet"/>
              <w:numPr>
                <w:ilvl w:val="0"/>
                <w:numId w:val="4"/>
              </w:numPr>
              <w:tabs>
                <w:tab w:val="left" w:pos="360"/>
                <w:tab w:val="left" w:pos="576"/>
              </w:tabs>
              <w:ind w:left="576" w:hanging="216"/>
              <w:rPr>
                <w:rFonts w:eastAsia="Arial,Times New Roman"/>
                <w:szCs w:val="21"/>
              </w:rPr>
            </w:pPr>
            <w:r w:rsidRPr="005D4222">
              <w:rPr>
                <w:rFonts w:eastAsia="Arial,Times New Roman"/>
              </w:rPr>
              <w:t>A non-residential substance abuse treatment facility visit (</w:t>
            </w:r>
            <w:r w:rsidRPr="005D4222">
              <w:rPr>
                <w:u w:val="single"/>
              </w:rPr>
              <w:t>Visit Setting Unspecified Value Set</w:t>
            </w:r>
            <w:r w:rsidRPr="005D4222">
              <w:t xml:space="preserve">) </w:t>
            </w:r>
            <w:r w:rsidRPr="005D4222">
              <w:rPr>
                <w:b/>
                <w:bCs/>
                <w:i/>
                <w:iCs/>
              </w:rPr>
              <w:t>with</w:t>
            </w:r>
            <w:r w:rsidRPr="005D4222">
              <w:t xml:space="preserve"> (</w:t>
            </w:r>
            <w:r w:rsidRPr="005D4222">
              <w:rPr>
                <w:u w:val="single"/>
              </w:rPr>
              <w:t>Nonresidential Substance Abuse Treatment Facility POS Value Set</w:t>
            </w:r>
            <w:r w:rsidRPr="005D4222">
              <w:t>)</w:t>
            </w:r>
            <w:r w:rsidRPr="005D4222">
              <w:rPr>
                <w:rFonts w:eastAsia="Arial,Times New Roman"/>
                <w:b/>
                <w:bCs/>
                <w:i/>
                <w:iCs/>
              </w:rPr>
              <w:t xml:space="preserve"> with</w:t>
            </w:r>
            <w:r w:rsidRPr="005D4222">
              <w:rPr>
                <w:rFonts w:eastAsia="Arial,Times New Roman"/>
              </w:rPr>
              <w:t xml:space="preserve"> a diagnosis of </w:t>
            </w:r>
            <w:r w:rsidRPr="005D4222">
              <w:t>substance use disorder</w:t>
            </w:r>
            <w:r w:rsidRPr="005D4222">
              <w:rPr>
                <w:rFonts w:eastAsia="Arial,Times New Roman"/>
              </w:rPr>
              <w:t xml:space="preserve"> (</w:t>
            </w:r>
            <w:r w:rsidRPr="005D4222">
              <w:rPr>
                <w:rFonts w:eastAsia="Arial,Times New Roman"/>
                <w:u w:val="single"/>
              </w:rPr>
              <w:t>AOD Abuse and Dependence Value Set</w:t>
            </w:r>
            <w:r w:rsidRPr="005D4222">
              <w:rPr>
                <w:rFonts w:eastAsia="Arial,Times New Roman"/>
              </w:rPr>
              <w:t>).</w:t>
            </w:r>
          </w:p>
          <w:p w14:paraId="2CC1BD14" w14:textId="77777777" w:rsidR="000E4192" w:rsidRPr="005D4222" w:rsidRDefault="000E4192" w:rsidP="005D6173">
            <w:pPr>
              <w:pStyle w:val="Bullet"/>
              <w:numPr>
                <w:ilvl w:val="0"/>
                <w:numId w:val="59"/>
              </w:numPr>
              <w:tabs>
                <w:tab w:val="left" w:pos="360"/>
                <w:tab w:val="left" w:pos="576"/>
              </w:tabs>
              <w:ind w:left="576" w:hanging="216"/>
              <w:rPr>
                <w:rFonts w:eastAsia="Arial,Times New Roman" w:cs="Arial"/>
                <w:szCs w:val="21"/>
              </w:rPr>
            </w:pPr>
            <w:r w:rsidRPr="005D4222">
              <w:rPr>
                <w:rFonts w:eastAsia="Arial,Times New Roman" w:cs="Arial"/>
              </w:rPr>
              <w:t>A community mental health center visit (</w:t>
            </w:r>
            <w:r w:rsidRPr="005D4222">
              <w:rPr>
                <w:rFonts w:cs="Arial"/>
                <w:u w:val="single"/>
              </w:rPr>
              <w:t>Visit Setting Unspecified Value Set</w:t>
            </w:r>
            <w:r w:rsidRPr="005D4222">
              <w:rPr>
                <w:rFonts w:cs="Arial"/>
              </w:rPr>
              <w:t xml:space="preserve">) </w:t>
            </w:r>
            <w:r w:rsidRPr="005D4222">
              <w:rPr>
                <w:rFonts w:cs="Arial"/>
                <w:b/>
                <w:bCs/>
                <w:i/>
                <w:iCs/>
              </w:rPr>
              <w:t>with</w:t>
            </w:r>
            <w:r w:rsidRPr="005D4222">
              <w:rPr>
                <w:rFonts w:cs="Arial"/>
              </w:rPr>
              <w:t xml:space="preserve"> POS code 53 </w:t>
            </w:r>
            <w:r w:rsidRPr="005D4222">
              <w:rPr>
                <w:rFonts w:eastAsia="Arial,Times New Roman" w:cs="Arial"/>
                <w:b/>
                <w:bCs/>
                <w:i/>
                <w:iCs/>
              </w:rPr>
              <w:t>with</w:t>
            </w:r>
            <w:r w:rsidRPr="005D4222">
              <w:rPr>
                <w:rFonts w:eastAsia="Arial,Times New Roman" w:cs="Arial"/>
              </w:rPr>
              <w:t xml:space="preserve"> a diagnosis of </w:t>
            </w:r>
            <w:r w:rsidRPr="005D4222">
              <w:rPr>
                <w:rFonts w:cs="Arial"/>
              </w:rPr>
              <w:t>substance use disorder</w:t>
            </w:r>
            <w:r w:rsidRPr="005D4222">
              <w:rPr>
                <w:rFonts w:eastAsia="Arial,Times New Roman" w:cs="Arial"/>
              </w:rPr>
              <w:t xml:space="preserve"> (</w:t>
            </w:r>
            <w:r w:rsidRPr="005D4222">
              <w:rPr>
                <w:rFonts w:eastAsia="Arial,Times New Roman" w:cs="Arial"/>
                <w:u w:val="single"/>
              </w:rPr>
              <w:t>AOD Abuse and Dependence Value Set</w:t>
            </w:r>
            <w:r w:rsidRPr="005D4222">
              <w:rPr>
                <w:rFonts w:eastAsia="Arial,Times New Roman" w:cs="Arial"/>
              </w:rPr>
              <w:t>).</w:t>
            </w:r>
          </w:p>
          <w:p w14:paraId="1F7F73B9" w14:textId="77777777" w:rsidR="000E4192" w:rsidRPr="005D4222" w:rsidRDefault="000E4192" w:rsidP="005D6173">
            <w:pPr>
              <w:pStyle w:val="Bullet"/>
              <w:numPr>
                <w:ilvl w:val="0"/>
                <w:numId w:val="59"/>
              </w:numPr>
              <w:tabs>
                <w:tab w:val="left" w:pos="360"/>
                <w:tab w:val="left" w:pos="576"/>
              </w:tabs>
              <w:ind w:left="576" w:hanging="216"/>
              <w:rPr>
                <w:rFonts w:eastAsia="Arial,Times New Roman" w:cs="Arial"/>
                <w:szCs w:val="21"/>
              </w:rPr>
            </w:pPr>
            <w:r w:rsidRPr="005D4222">
              <w:rPr>
                <w:rFonts w:eastAsia="Arial,Times New Roman" w:cs="Arial"/>
              </w:rPr>
              <w:t>A telehealth visit (</w:t>
            </w:r>
            <w:r w:rsidRPr="005D4222">
              <w:rPr>
                <w:rFonts w:cs="Arial"/>
                <w:u w:val="single"/>
              </w:rPr>
              <w:t>Visit Setting Unspecified Value Set</w:t>
            </w:r>
            <w:r w:rsidRPr="005D4222">
              <w:rPr>
                <w:rFonts w:cs="Arial"/>
              </w:rPr>
              <w:t xml:space="preserve">) </w:t>
            </w:r>
            <w:r w:rsidRPr="005D4222">
              <w:rPr>
                <w:rFonts w:cs="Arial"/>
                <w:b/>
                <w:bCs/>
                <w:i/>
                <w:iCs/>
              </w:rPr>
              <w:t>with</w:t>
            </w:r>
            <w:r w:rsidRPr="005D4222">
              <w:rPr>
                <w:rFonts w:cs="Arial"/>
              </w:rPr>
              <w:t xml:space="preserve"> (</w:t>
            </w:r>
            <w:r w:rsidRPr="005D4222">
              <w:rPr>
                <w:rFonts w:cs="Arial"/>
                <w:u w:val="single"/>
              </w:rPr>
              <w:t>Telehealth POS Value Set</w:t>
            </w:r>
            <w:r w:rsidRPr="005D4222">
              <w:rPr>
                <w:rFonts w:cs="Arial"/>
              </w:rPr>
              <w:t>)</w:t>
            </w:r>
            <w:r w:rsidRPr="005D4222">
              <w:rPr>
                <w:rFonts w:eastAsia="Arial,Times New Roman" w:cs="Arial"/>
                <w:b/>
                <w:bCs/>
                <w:i/>
                <w:iCs/>
              </w:rPr>
              <w:t xml:space="preserve"> with</w:t>
            </w:r>
            <w:r w:rsidRPr="005D4222">
              <w:rPr>
                <w:rFonts w:eastAsia="Arial,Times New Roman" w:cs="Arial"/>
              </w:rPr>
              <w:t xml:space="preserve"> a diagnosis of </w:t>
            </w:r>
            <w:r w:rsidRPr="005D4222">
              <w:rPr>
                <w:rFonts w:cs="Arial"/>
              </w:rPr>
              <w:t>substance use disorder</w:t>
            </w:r>
            <w:r w:rsidRPr="005D4222">
              <w:rPr>
                <w:rFonts w:eastAsia="Arial,Times New Roman" w:cs="Arial"/>
              </w:rPr>
              <w:t xml:space="preserve"> (</w:t>
            </w:r>
            <w:r w:rsidRPr="005D4222">
              <w:rPr>
                <w:rFonts w:eastAsia="Arial,Times New Roman" w:cs="Arial"/>
                <w:u w:val="single"/>
              </w:rPr>
              <w:t>AOD Abuse and Dependence Value Set</w:t>
            </w:r>
            <w:r w:rsidRPr="005D4222">
              <w:rPr>
                <w:rFonts w:eastAsia="Arial,Times New Roman" w:cs="Arial"/>
              </w:rPr>
              <w:t>).</w:t>
            </w:r>
          </w:p>
          <w:p w14:paraId="7787304F" w14:textId="77777777" w:rsidR="000E4192" w:rsidRPr="005D4222" w:rsidRDefault="000E4192" w:rsidP="005D6173">
            <w:pPr>
              <w:pStyle w:val="Bullet"/>
              <w:numPr>
                <w:ilvl w:val="0"/>
                <w:numId w:val="59"/>
              </w:numPr>
              <w:tabs>
                <w:tab w:val="left" w:pos="360"/>
                <w:tab w:val="left" w:pos="576"/>
              </w:tabs>
              <w:ind w:left="576" w:hanging="216"/>
              <w:rPr>
                <w:rFonts w:eastAsia="Arial,Times New Roman" w:cs="Arial"/>
                <w:szCs w:val="21"/>
              </w:rPr>
            </w:pPr>
            <w:r w:rsidRPr="005D4222">
              <w:rPr>
                <w:rFonts w:cs="Arial"/>
              </w:rPr>
              <w:t>A substance use disorder service (</w:t>
            </w:r>
            <w:r w:rsidRPr="005D4222">
              <w:rPr>
                <w:rFonts w:cs="Arial"/>
                <w:u w:val="single"/>
              </w:rPr>
              <w:t>Substance Use Disorder Services Value Set</w:t>
            </w:r>
            <w:r w:rsidRPr="005D4222">
              <w:rPr>
                <w:rFonts w:cs="Arial"/>
              </w:rPr>
              <w:t xml:space="preserve">) </w:t>
            </w:r>
            <w:r w:rsidRPr="005D4222">
              <w:rPr>
                <w:b/>
                <w:bCs/>
                <w:i/>
                <w:iCs/>
              </w:rPr>
              <w:t>with</w:t>
            </w:r>
            <w:r w:rsidRPr="005D4222">
              <w:rPr>
                <w:rFonts w:eastAsia="Arial,Times New Roman" w:cs="Arial"/>
              </w:rPr>
              <w:t xml:space="preserve"> a diagnosis of </w:t>
            </w:r>
            <w:r w:rsidRPr="005D4222">
              <w:rPr>
                <w:rFonts w:cs="Arial"/>
              </w:rPr>
              <w:t>substance use disorder</w:t>
            </w:r>
            <w:r w:rsidRPr="005D4222">
              <w:rPr>
                <w:rFonts w:eastAsia="Arial,Times New Roman" w:cs="Arial"/>
              </w:rPr>
              <w:t xml:space="preserve"> (</w:t>
            </w:r>
            <w:r w:rsidRPr="005D4222">
              <w:rPr>
                <w:rFonts w:eastAsia="Arial,Times New Roman" w:cs="Arial"/>
                <w:u w:val="single"/>
              </w:rPr>
              <w:t>AOD Abuse and Dependence Value Set</w:t>
            </w:r>
            <w:r w:rsidRPr="005D4222">
              <w:rPr>
                <w:rFonts w:eastAsia="Arial,Times New Roman" w:cs="Arial"/>
              </w:rPr>
              <w:t>).</w:t>
            </w:r>
          </w:p>
          <w:p w14:paraId="18553812" w14:textId="77777777" w:rsidR="000E4192" w:rsidRPr="005D4222" w:rsidRDefault="000E4192" w:rsidP="005D6173">
            <w:pPr>
              <w:pStyle w:val="Bullet"/>
              <w:numPr>
                <w:ilvl w:val="0"/>
                <w:numId w:val="59"/>
              </w:numPr>
              <w:tabs>
                <w:tab w:val="left" w:pos="360"/>
                <w:tab w:val="left" w:pos="576"/>
              </w:tabs>
              <w:ind w:left="576" w:hanging="216"/>
              <w:rPr>
                <w:rFonts w:eastAsia="Arial,Times New Roman" w:cs="Arial"/>
                <w:szCs w:val="21"/>
              </w:rPr>
            </w:pPr>
            <w:r w:rsidRPr="005D4222">
              <w:rPr>
                <w:rFonts w:cs="Arial"/>
              </w:rPr>
              <w:t>Substance use disorder counseling and surveillance (</w:t>
            </w:r>
            <w:r w:rsidRPr="005D4222">
              <w:rPr>
                <w:rFonts w:cs="Arial"/>
                <w:u w:val="single"/>
              </w:rPr>
              <w:t>Substance Abuse Counseling and Surveillance Value Set</w:t>
            </w:r>
            <w:r w:rsidR="00E254AA" w:rsidRPr="005D4222">
              <w:rPr>
                <w:rFonts w:cs="Arial"/>
              </w:rPr>
              <w:t>*</w:t>
            </w:r>
            <w:r w:rsidRPr="005D4222">
              <w:rPr>
                <w:rFonts w:cs="Arial"/>
              </w:rPr>
              <w:t xml:space="preserve">) </w:t>
            </w:r>
            <w:r w:rsidRPr="005D4222">
              <w:rPr>
                <w:b/>
                <w:bCs/>
                <w:i/>
                <w:iCs/>
              </w:rPr>
              <w:t>with</w:t>
            </w:r>
            <w:r w:rsidRPr="005D4222">
              <w:rPr>
                <w:rFonts w:eastAsia="Arial,Times New Roman" w:cs="Arial"/>
              </w:rPr>
              <w:t xml:space="preserve"> a diagnosis of </w:t>
            </w:r>
            <w:r w:rsidRPr="005D4222">
              <w:rPr>
                <w:rFonts w:cs="Arial"/>
              </w:rPr>
              <w:t>substance use disorder</w:t>
            </w:r>
            <w:r w:rsidRPr="005D4222">
              <w:rPr>
                <w:rFonts w:eastAsia="Arial,Times New Roman" w:cs="Arial"/>
              </w:rPr>
              <w:t xml:space="preserve"> (</w:t>
            </w:r>
            <w:r w:rsidRPr="005D4222">
              <w:rPr>
                <w:rFonts w:eastAsia="Arial,Times New Roman" w:cs="Arial"/>
                <w:u w:val="single"/>
              </w:rPr>
              <w:t>AOD Abuse and Dependence Value Set</w:t>
            </w:r>
            <w:r w:rsidR="00E254AA" w:rsidRPr="005D4222">
              <w:rPr>
                <w:rFonts w:eastAsia="Arial,Times New Roman" w:cs="Arial"/>
              </w:rPr>
              <w:t>*</w:t>
            </w:r>
            <w:r w:rsidRPr="005D4222">
              <w:rPr>
                <w:rFonts w:eastAsia="Arial,Times New Roman" w:cs="Arial"/>
              </w:rPr>
              <w:t>).</w:t>
            </w:r>
          </w:p>
          <w:p w14:paraId="1854B746" w14:textId="77777777" w:rsidR="000E4192" w:rsidRPr="005D4222" w:rsidRDefault="000E4192" w:rsidP="005D6173">
            <w:pPr>
              <w:pStyle w:val="Bullet"/>
              <w:numPr>
                <w:ilvl w:val="0"/>
                <w:numId w:val="59"/>
              </w:numPr>
              <w:tabs>
                <w:tab w:val="left" w:pos="360"/>
                <w:tab w:val="left" w:pos="576"/>
              </w:tabs>
              <w:ind w:left="576" w:hanging="216"/>
              <w:rPr>
                <w:rFonts w:eastAsia="Arial,Times New Roman" w:cs="Arial"/>
                <w:szCs w:val="21"/>
              </w:rPr>
            </w:pPr>
            <w:r w:rsidRPr="005D4222">
              <w:rPr>
                <w:rFonts w:eastAsia="Arial,Times New Roman" w:cs="Arial"/>
              </w:rPr>
              <w:t>An opioid treatment service that bills monthly or weekly (</w:t>
            </w:r>
            <w:r w:rsidRPr="005D4222">
              <w:rPr>
                <w:rFonts w:eastAsia="Arial,Times New Roman" w:cs="Arial"/>
                <w:u w:val="single"/>
              </w:rPr>
              <w:t>OUD Weekly Non Drug Service Value Set</w:t>
            </w:r>
            <w:r w:rsidRPr="005D4222">
              <w:rPr>
                <w:rFonts w:eastAsia="Arial,Times New Roman" w:cs="Arial"/>
              </w:rPr>
              <w:t xml:space="preserve">; </w:t>
            </w:r>
            <w:r w:rsidRPr="005D4222">
              <w:rPr>
                <w:rFonts w:eastAsia="Arial,Times New Roman" w:cs="Arial"/>
                <w:u w:val="single"/>
              </w:rPr>
              <w:t>OUD Monthly Office Based Treatment Value Set</w:t>
            </w:r>
            <w:r w:rsidRPr="005D4222">
              <w:rPr>
                <w:rFonts w:eastAsia="Arial,Times New Roman" w:cs="Arial"/>
              </w:rPr>
              <w:t xml:space="preserve">) </w:t>
            </w:r>
            <w:r w:rsidRPr="005D4222">
              <w:rPr>
                <w:rFonts w:eastAsia="Arial,Times New Roman" w:cs="Arial"/>
                <w:b/>
                <w:bCs/>
                <w:i/>
                <w:iCs/>
              </w:rPr>
              <w:t>with</w:t>
            </w:r>
            <w:r w:rsidRPr="005D4222">
              <w:rPr>
                <w:rFonts w:eastAsia="Arial,Times New Roman" w:cs="Arial"/>
              </w:rPr>
              <w:t xml:space="preserve"> a diagnosis of </w:t>
            </w:r>
            <w:r w:rsidRPr="005D4222">
              <w:rPr>
                <w:rFonts w:cs="Arial"/>
              </w:rPr>
              <w:t>substance use disorder</w:t>
            </w:r>
            <w:r w:rsidRPr="005D4222">
              <w:rPr>
                <w:rFonts w:eastAsia="Arial,Times New Roman" w:cs="Arial"/>
              </w:rPr>
              <w:t xml:space="preserve"> (</w:t>
            </w:r>
            <w:r w:rsidRPr="005D4222">
              <w:rPr>
                <w:rFonts w:eastAsia="Arial,Times New Roman" w:cs="Arial"/>
                <w:u w:val="single"/>
              </w:rPr>
              <w:t>AOD Abuse and Dependence Value Set</w:t>
            </w:r>
            <w:r w:rsidRPr="005D4222">
              <w:rPr>
                <w:rFonts w:eastAsia="Arial,Times New Roman" w:cs="Arial"/>
              </w:rPr>
              <w:t>).</w:t>
            </w:r>
          </w:p>
          <w:p w14:paraId="0507BCC5" w14:textId="77777777" w:rsidR="000E4192" w:rsidRPr="005D4222" w:rsidRDefault="000E4192" w:rsidP="005D6173">
            <w:pPr>
              <w:pStyle w:val="Bullet"/>
              <w:numPr>
                <w:ilvl w:val="0"/>
                <w:numId w:val="59"/>
              </w:numPr>
              <w:tabs>
                <w:tab w:val="left" w:pos="360"/>
                <w:tab w:val="left" w:pos="576"/>
              </w:tabs>
              <w:ind w:left="576" w:hanging="216"/>
              <w:rPr>
                <w:rFonts w:eastAsia="Arial,Times New Roman"/>
              </w:rPr>
            </w:pPr>
            <w:r w:rsidRPr="005D4222">
              <w:rPr>
                <w:rFonts w:eastAsia="Arial,Times New Roman"/>
              </w:rPr>
              <w:t>Residential behavioral health treatment (</w:t>
            </w:r>
            <w:r w:rsidRPr="005D4222">
              <w:rPr>
                <w:rFonts w:eastAsia="Arial,Times New Roman"/>
                <w:u w:val="single"/>
              </w:rPr>
              <w:t>Residential Behavioral Health Treatment Value Set</w:t>
            </w:r>
            <w:r w:rsidRPr="005D4222">
              <w:rPr>
                <w:rFonts w:eastAsia="Arial,Times New Roman"/>
              </w:rPr>
              <w:t xml:space="preserve">) </w:t>
            </w:r>
            <w:r w:rsidRPr="005D4222">
              <w:rPr>
                <w:rFonts w:eastAsia="Arial,Times New Roman"/>
                <w:b/>
                <w:bCs/>
                <w:i/>
                <w:iCs/>
              </w:rPr>
              <w:t>with</w:t>
            </w:r>
            <w:r w:rsidRPr="005D4222">
              <w:rPr>
                <w:rFonts w:eastAsia="Arial,Times New Roman"/>
              </w:rPr>
              <w:t xml:space="preserve"> a diagnosis of </w:t>
            </w:r>
            <w:r w:rsidRPr="005D4222">
              <w:t>substance use disorder</w:t>
            </w:r>
            <w:r w:rsidRPr="005D4222">
              <w:rPr>
                <w:rFonts w:eastAsia="Arial,Times New Roman"/>
              </w:rPr>
              <w:t xml:space="preserve"> (</w:t>
            </w:r>
            <w:r w:rsidRPr="005D4222">
              <w:rPr>
                <w:rFonts w:eastAsia="Arial,Times New Roman"/>
                <w:u w:val="single"/>
              </w:rPr>
              <w:t>AOD Abuse and Dependence Value Set</w:t>
            </w:r>
            <w:r w:rsidRPr="005D4222">
              <w:rPr>
                <w:rFonts w:eastAsia="Arial,Times New Roman"/>
              </w:rPr>
              <w:t>).</w:t>
            </w:r>
          </w:p>
          <w:p w14:paraId="41E96D63" w14:textId="1039C617" w:rsidR="000E4192" w:rsidRPr="005D4222" w:rsidRDefault="000E4192" w:rsidP="005D6173">
            <w:pPr>
              <w:pStyle w:val="Bullet"/>
              <w:numPr>
                <w:ilvl w:val="0"/>
                <w:numId w:val="59"/>
              </w:numPr>
              <w:tabs>
                <w:tab w:val="left" w:pos="360"/>
                <w:tab w:val="left" w:pos="576"/>
              </w:tabs>
              <w:spacing w:after="80"/>
              <w:ind w:left="576" w:hanging="216"/>
              <w:rPr>
                <w:rFonts w:eastAsia="Arial,Arial,Arial,Arial,Arial,A"/>
                <w:b/>
                <w:bCs/>
                <w:color w:val="000000" w:themeColor="text1"/>
              </w:rPr>
            </w:pPr>
            <w:r w:rsidRPr="005D4222">
              <w:rPr>
                <w:rFonts w:eastAsia="Arial,Times New Roman" w:cs="Arial"/>
                <w:kern w:val="24"/>
              </w:rPr>
              <w:t>A telephone visit (</w:t>
            </w:r>
            <w:r w:rsidRPr="005D4222">
              <w:rPr>
                <w:rFonts w:eastAsia="Arial,Times New Roman" w:cs="Arial"/>
                <w:kern w:val="24"/>
                <w:u w:val="single"/>
              </w:rPr>
              <w:t>Telephone Visits Value Set</w:t>
            </w:r>
            <w:r w:rsidRPr="005D4222">
              <w:rPr>
                <w:rFonts w:eastAsia="Arial,Times New Roman" w:cs="Arial"/>
                <w:kern w:val="24"/>
              </w:rPr>
              <w:t xml:space="preserve">) </w:t>
            </w:r>
            <w:r w:rsidRPr="005D4222">
              <w:rPr>
                <w:rFonts w:eastAsia="Arial,Times New Roman" w:cs="Arial"/>
                <w:b/>
                <w:bCs/>
                <w:i/>
                <w:iCs/>
              </w:rPr>
              <w:t>with</w:t>
            </w:r>
            <w:r w:rsidRPr="005D4222">
              <w:rPr>
                <w:rFonts w:eastAsia="Arial,Times New Roman" w:cs="Arial"/>
              </w:rPr>
              <w:t xml:space="preserve"> a diagnosis of </w:t>
            </w:r>
            <w:r w:rsidRPr="005D4222" w:rsidDel="00033512">
              <w:rPr>
                <w:rFonts w:cs="Arial"/>
              </w:rPr>
              <w:t>substance use disorder</w:t>
            </w:r>
            <w:r w:rsidRPr="005D4222">
              <w:rPr>
                <w:rFonts w:eastAsia="Arial,Times New Roman" w:cs="Arial"/>
              </w:rPr>
              <w:t xml:space="preserve"> (</w:t>
            </w:r>
            <w:r w:rsidRPr="005D4222">
              <w:rPr>
                <w:rFonts w:eastAsia="Arial,Times New Roman" w:cs="Arial"/>
                <w:u w:val="single"/>
              </w:rPr>
              <w:t>AOD Abuse and Dependence Value Set</w:t>
            </w:r>
            <w:r w:rsidRPr="005D4222">
              <w:rPr>
                <w:rFonts w:eastAsia="Arial,Times New Roman" w:cs="Arial"/>
              </w:rPr>
              <w:t>).</w:t>
            </w:r>
            <w:r w:rsidRPr="005D4222" w:rsidDel="00703EAA">
              <w:rPr>
                <w:rFonts w:eastAsia="Arial,Times New Roman" w:cs="Arial"/>
                <w:kern w:val="24"/>
              </w:rPr>
              <w:t xml:space="preserve"> </w:t>
            </w:r>
          </w:p>
        </w:tc>
      </w:tr>
      <w:tr w:rsidR="003846A3" w:rsidRPr="005D4222" w14:paraId="5133E86B" w14:textId="77777777" w:rsidTr="00EC7083">
        <w:trPr>
          <w:trHeight w:val="417"/>
        </w:trPr>
        <w:tc>
          <w:tcPr>
            <w:tcW w:w="2105"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6700D7F" w14:textId="77777777" w:rsidR="003846A3" w:rsidRPr="005D4222" w:rsidRDefault="003846A3">
            <w:pPr>
              <w:pStyle w:val="ECDSMarginHead"/>
            </w:pPr>
          </w:p>
        </w:tc>
        <w:tc>
          <w:tcPr>
            <w:tcW w:w="7612"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5C4C5902" w14:textId="77777777" w:rsidR="00EC7083" w:rsidRPr="005D4222" w:rsidRDefault="00EC7083" w:rsidP="00EC7083">
            <w:pPr>
              <w:pStyle w:val="Bullet"/>
              <w:rPr>
                <w:rFonts w:eastAsia="Arial,Arial,Arial,Arial,Arial,A"/>
                <w:b/>
                <w:bCs/>
                <w:color w:val="000000" w:themeColor="text1"/>
              </w:rPr>
            </w:pPr>
            <w:r w:rsidRPr="005D4222">
              <w:rPr>
                <w:rFonts w:eastAsia="Arial,Times New Roman"/>
                <w:kern w:val="24"/>
              </w:rPr>
              <w:t xml:space="preserve">An </w:t>
            </w:r>
            <w:r w:rsidRPr="005D4222">
              <w:t>e-visit or virtual check-in</w:t>
            </w:r>
            <w:r w:rsidRPr="005D4222">
              <w:rPr>
                <w:rFonts w:eastAsia="Arial,Times New Roman"/>
                <w:kern w:val="24"/>
              </w:rPr>
              <w:t xml:space="preserve"> (</w:t>
            </w:r>
            <w:r w:rsidRPr="005D4222">
              <w:rPr>
                <w:rFonts w:eastAsia="Arial,Times New Roman"/>
                <w:kern w:val="24"/>
                <w:u w:val="single"/>
              </w:rPr>
              <w:t>Online Assessments Value Set</w:t>
            </w:r>
            <w:r w:rsidRPr="005D4222">
              <w:rPr>
                <w:rFonts w:eastAsia="Arial,Times New Roman"/>
                <w:kern w:val="24"/>
              </w:rPr>
              <w:t xml:space="preserve">) </w:t>
            </w:r>
            <w:r w:rsidRPr="005D4222">
              <w:rPr>
                <w:rFonts w:eastAsia="Arial,Times New Roman"/>
                <w:b/>
                <w:bCs/>
                <w:i/>
                <w:iCs/>
              </w:rPr>
              <w:t>with</w:t>
            </w:r>
            <w:r w:rsidRPr="005D4222">
              <w:rPr>
                <w:rFonts w:eastAsia="Arial,Times New Roman"/>
              </w:rPr>
              <w:t xml:space="preserve"> a diagnosis of </w:t>
            </w:r>
            <w:r w:rsidRPr="005D4222" w:rsidDel="00033512">
              <w:t>substance use disorder</w:t>
            </w:r>
            <w:r w:rsidRPr="005D4222">
              <w:rPr>
                <w:rFonts w:eastAsia="Arial,Times New Roman"/>
              </w:rPr>
              <w:t xml:space="preserve"> (</w:t>
            </w:r>
            <w:r w:rsidRPr="005D4222">
              <w:rPr>
                <w:rFonts w:eastAsia="Arial,Times New Roman"/>
                <w:u w:val="single"/>
              </w:rPr>
              <w:t>AOD Abuse and Dependence Value Set</w:t>
            </w:r>
            <w:r w:rsidRPr="005D4222">
              <w:rPr>
                <w:rFonts w:eastAsia="Arial,Times New Roman"/>
              </w:rPr>
              <w:t>).</w:t>
            </w:r>
          </w:p>
          <w:p w14:paraId="70C8F407" w14:textId="77777777" w:rsidR="00B655A1" w:rsidRPr="005D4222" w:rsidRDefault="00B655A1" w:rsidP="00EC7083">
            <w:pPr>
              <w:pStyle w:val="Bullet"/>
              <w:rPr>
                <w:rFonts w:eastAsia="Arial,Times New Roman"/>
                <w:kern w:val="24"/>
              </w:rPr>
            </w:pPr>
            <w:r w:rsidRPr="005D4222">
              <w:rPr>
                <w:rFonts w:eastAsia="Arial,Times New Roman"/>
              </w:rPr>
              <w:t>Peer support services (</w:t>
            </w:r>
            <w:r w:rsidRPr="005D4222">
              <w:rPr>
                <w:rFonts w:eastAsia="Arial,Times New Roman"/>
                <w:u w:val="single"/>
              </w:rPr>
              <w:t>Peer Support Services Value Set</w:t>
            </w:r>
            <w:r w:rsidRPr="005D4222">
              <w:rPr>
                <w:rFonts w:eastAsia="Arial,Times New Roman"/>
              </w:rPr>
              <w:t xml:space="preserve">) </w:t>
            </w:r>
            <w:r w:rsidRPr="005D4222">
              <w:rPr>
                <w:rFonts w:eastAsia="Arial,Times New Roman"/>
                <w:b/>
                <w:bCs/>
                <w:i/>
                <w:iCs/>
              </w:rPr>
              <w:t>with</w:t>
            </w:r>
            <w:r w:rsidRPr="005D4222">
              <w:rPr>
                <w:rFonts w:eastAsia="Arial,Times New Roman"/>
              </w:rPr>
              <w:t xml:space="preserve"> a diagnosis of substance use disorder (</w:t>
            </w:r>
            <w:r w:rsidRPr="005D4222">
              <w:rPr>
                <w:rFonts w:eastAsia="Arial,Times New Roman"/>
                <w:u w:val="single"/>
              </w:rPr>
              <w:t>AOD Abuse and Dependence Value Set</w:t>
            </w:r>
            <w:r w:rsidRPr="005D4222">
              <w:rPr>
                <w:rFonts w:eastAsia="Arial,Times New Roman"/>
              </w:rPr>
              <w:t xml:space="preserve">). </w:t>
            </w:r>
          </w:p>
          <w:p w14:paraId="6846B5C3" w14:textId="77777777" w:rsidR="00B655A1" w:rsidRPr="005D4222" w:rsidRDefault="00B655A1" w:rsidP="00EC7083">
            <w:pPr>
              <w:pStyle w:val="Bullet"/>
              <w:rPr>
                <w:rFonts w:eastAsia="Arial,Arial,Arial,Arial,Arial,A"/>
                <w:b/>
                <w:bCs/>
                <w:color w:val="000000" w:themeColor="text1"/>
              </w:rPr>
            </w:pPr>
            <w:r w:rsidRPr="005D4222">
              <w:rPr>
                <w:rFonts w:eastAsia="Arial,Times New Roman"/>
              </w:rPr>
              <w:t xml:space="preserve">A pharmacotherapy dispensing event </w:t>
            </w:r>
            <w:r w:rsidRPr="005D4222">
              <w:t>(</w:t>
            </w:r>
            <w:r w:rsidRPr="005D4222">
              <w:rPr>
                <w:rFonts w:eastAsia="Arial,Times New Roman"/>
                <w:u w:val="single"/>
              </w:rPr>
              <w:t>Alcohol Use Disorder Treatment Medications List</w:t>
            </w:r>
            <w:r w:rsidRPr="005D4222">
              <w:rPr>
                <w:rFonts w:eastAsia="Arial,Times New Roman"/>
              </w:rPr>
              <w:t xml:space="preserve">; </w:t>
            </w:r>
            <w:r w:rsidRPr="005D4222">
              <w:rPr>
                <w:rFonts w:eastAsia="Arial,Times New Roman"/>
                <w:u w:val="single"/>
              </w:rPr>
              <w:t>Opioid Use Disorder Treatment Medications List</w:t>
            </w:r>
            <w:r w:rsidRPr="005D4222">
              <w:t xml:space="preserve">) </w:t>
            </w:r>
            <w:r w:rsidRPr="005D4222">
              <w:rPr>
                <w:rFonts w:eastAsia="Arial,Times New Roman"/>
              </w:rPr>
              <w:t>or medication treatment event (</w:t>
            </w:r>
            <w:r w:rsidRPr="005D4222">
              <w:rPr>
                <w:rFonts w:eastAsia="Arial,Times New Roman"/>
                <w:u w:val="single"/>
              </w:rPr>
              <w:t>AOD Medication Treatment Value Set</w:t>
            </w:r>
            <w:r w:rsidRPr="005D4222">
              <w:rPr>
                <w:rFonts w:eastAsia="Arial,Times New Roman"/>
              </w:rPr>
              <w:t xml:space="preserve">; </w:t>
            </w:r>
            <w:r w:rsidRPr="005D4222">
              <w:rPr>
                <w:rFonts w:eastAsia="Arial,Times New Roman"/>
                <w:u w:val="single"/>
              </w:rPr>
              <w:t>OUD Weekly Drug Treatment Service Value Set</w:t>
            </w:r>
            <w:r w:rsidRPr="005D4222">
              <w:rPr>
                <w:rFonts w:eastAsia="Arial,Times New Roman"/>
              </w:rPr>
              <w:t>).</w:t>
            </w:r>
          </w:p>
          <w:p w14:paraId="53C2973A" w14:textId="77777777" w:rsidR="003846A3" w:rsidRPr="005D4222" w:rsidRDefault="003846A3">
            <w:pPr>
              <w:pStyle w:val="Note"/>
              <w:spacing w:after="80"/>
              <w:rPr>
                <w:rFonts w:eastAsia="Arial,Times New Roman"/>
              </w:rPr>
            </w:pPr>
            <w:r w:rsidRPr="005D4222">
              <w:rPr>
                <w:rFonts w:eastAsia="Arial,Times New Roman"/>
                <w:b/>
              </w:rPr>
              <w:t>Note:</w:t>
            </w:r>
            <w:r w:rsidRPr="005D4222">
              <w:rPr>
                <w:rFonts w:eastAsia="Arial,Times New Roman"/>
              </w:rPr>
              <w:t xml:space="preserve"> Follow-up does not include </w:t>
            </w:r>
            <w:r w:rsidRPr="005D4222">
              <w:t>withdrawal management</w:t>
            </w:r>
            <w:r w:rsidRPr="005D4222">
              <w:rPr>
                <w:rFonts w:eastAsia="Arial,Times New Roman"/>
              </w:rPr>
              <w:t xml:space="preserve">. </w:t>
            </w:r>
            <w:r w:rsidRPr="005D4222" w:rsidDel="00C44230">
              <w:rPr>
                <w:rFonts w:eastAsia="Arial,Times New Roman"/>
              </w:rPr>
              <w:t xml:space="preserve">Exclude </w:t>
            </w:r>
            <w:r w:rsidRPr="005D4222">
              <w:rPr>
                <w:rFonts w:eastAsia="Arial,Times New Roman"/>
              </w:rPr>
              <w:t xml:space="preserve">all </w:t>
            </w:r>
            <w:r w:rsidRPr="005D4222">
              <w:t>withdrawal management</w:t>
            </w:r>
            <w:r w:rsidRPr="005D4222">
              <w:rPr>
                <w:rFonts w:eastAsia="Arial,Times New Roman"/>
              </w:rPr>
              <w:t xml:space="preserve"> events (</w:t>
            </w:r>
            <w:r w:rsidRPr="005D4222">
              <w:rPr>
                <w:rFonts w:eastAsia="Arial,Times New Roman"/>
                <w:u w:val="single"/>
              </w:rPr>
              <w:t>Detoxification Value Set</w:t>
            </w:r>
            <w:r w:rsidRPr="005D4222">
              <w:rPr>
                <w:rFonts w:eastAsia="Arial,Times New Roman"/>
              </w:rPr>
              <w:t>) when identifying follow-up care for numerator compliance. Detoxification does not need to be excluded from pharmacotherapy dispensing events identified using pharmacy claims (</w:t>
            </w:r>
            <w:r w:rsidRPr="005D4222">
              <w:rPr>
                <w:rFonts w:eastAsia="Arial,Times New Roman" w:cs="Arial"/>
                <w:u w:val="single"/>
              </w:rPr>
              <w:t>Alcohol Use Disorder Treatment Medications List</w:t>
            </w:r>
            <w:r w:rsidRPr="005D4222">
              <w:rPr>
                <w:rFonts w:eastAsia="Arial,Times New Roman" w:cs="Arial"/>
              </w:rPr>
              <w:t xml:space="preserve">; </w:t>
            </w:r>
            <w:r w:rsidRPr="005D4222">
              <w:rPr>
                <w:rFonts w:eastAsia="Arial,Times New Roman" w:cs="Arial"/>
                <w:u w:val="single"/>
              </w:rPr>
              <w:t>Opioid Use Disorder Treatment Medications List</w:t>
            </w:r>
            <w:r w:rsidRPr="005D4222">
              <w:rPr>
                <w:rFonts w:eastAsia="Arial,Times New Roman"/>
              </w:rPr>
              <w:t>), because detoxification codes are not used on pharmacy claims.</w:t>
            </w:r>
          </w:p>
          <w:p w14:paraId="6B3080F5" w14:textId="77777777" w:rsidR="003846A3" w:rsidRPr="005D4222" w:rsidRDefault="003846A3">
            <w:pPr>
              <w:pStyle w:val="ECDSBody"/>
              <w:spacing w:after="0"/>
              <w:rPr>
                <w:rFonts w:eastAsia="Arial,Times New Roman"/>
                <w:b/>
                <w:bCs w:val="0"/>
              </w:rPr>
            </w:pPr>
            <w:r w:rsidRPr="005D4222">
              <w:rPr>
                <w:rFonts w:eastAsia="Arial,Times New Roman"/>
                <w:b/>
                <w:bCs w:val="0"/>
              </w:rPr>
              <w:t>Coding Guidance</w:t>
            </w:r>
          </w:p>
          <w:p w14:paraId="3ED01EA1" w14:textId="77777777" w:rsidR="003846A3" w:rsidRPr="005D4222" w:rsidRDefault="003846A3" w:rsidP="002C075D">
            <w:pPr>
              <w:pStyle w:val="Body"/>
              <w:spacing w:before="0" w:after="80"/>
              <w:rPr>
                <w:rFonts w:eastAsia="Arial,Arial,Arial,Arial,Arial,A"/>
                <w:b/>
                <w:bCs/>
                <w:color w:val="000000" w:themeColor="text1"/>
              </w:rPr>
            </w:pPr>
            <w:r w:rsidRPr="005D4222">
              <w:rPr>
                <w:rFonts w:eastAsia="Arial,Times New Roman"/>
              </w:rPr>
              <w:t>*Do not include laboratory claims (claims with POS code 81).</w:t>
            </w:r>
          </w:p>
        </w:tc>
      </w:tr>
      <w:tr w:rsidR="003846A3" w:rsidRPr="005D4222" w14:paraId="7B5C8CAA" w14:textId="77777777" w:rsidTr="00EC7083">
        <w:tc>
          <w:tcPr>
            <w:tcW w:w="2105"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F683A38" w14:textId="77777777" w:rsidR="003846A3" w:rsidRPr="005D4222" w:rsidRDefault="003846A3">
            <w:pPr>
              <w:pStyle w:val="ECDSMarginHead"/>
            </w:pPr>
            <w:r w:rsidRPr="005D4222">
              <w:t>Summary of changes</w:t>
            </w:r>
          </w:p>
        </w:tc>
        <w:tc>
          <w:tcPr>
            <w:tcW w:w="7612"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C8E5F04" w14:textId="77777777" w:rsidR="003846A3" w:rsidRPr="005D4222" w:rsidRDefault="003846A3">
            <w:pPr>
              <w:pStyle w:val="ProcessBullet"/>
              <w:spacing w:before="120"/>
            </w:pPr>
            <w:r w:rsidRPr="005D4222">
              <w:t xml:space="preserve">Moved the definition of “Direct transfer” from the initial population to the </w:t>
            </w:r>
            <w:r w:rsidRPr="005D4222">
              <w:rPr>
                <w:i/>
                <w:iCs/>
              </w:rPr>
              <w:t>D</w:t>
            </w:r>
            <w:r w:rsidRPr="005D4222">
              <w:rPr>
                <w:i/>
              </w:rPr>
              <w:t>efinitions</w:t>
            </w:r>
            <w:r w:rsidRPr="005D4222">
              <w:t xml:space="preserve"> section. </w:t>
            </w:r>
          </w:p>
          <w:p w14:paraId="2CE01324" w14:textId="77777777" w:rsidR="003846A3" w:rsidRPr="005D4222" w:rsidRDefault="003846A3">
            <w:pPr>
              <w:pStyle w:val="ProcessBullet"/>
              <w:spacing w:after="80"/>
            </w:pPr>
            <w:r w:rsidRPr="005D4222">
              <w:t>Modified the numerators to allow a substance use disorder diagnosis to take any position on the claim.</w:t>
            </w:r>
          </w:p>
          <w:p w14:paraId="2B4B1B21" w14:textId="77777777" w:rsidR="003846A3" w:rsidRPr="005D4222" w:rsidRDefault="003846A3">
            <w:pPr>
              <w:pStyle w:val="ProcessBullet"/>
              <w:spacing w:after="80"/>
            </w:pPr>
            <w:r w:rsidRPr="005D4222">
              <w:t xml:space="preserve">Added peer support services to the numerators. </w:t>
            </w:r>
          </w:p>
        </w:tc>
      </w:tr>
      <w:tr w:rsidR="003846A3" w:rsidRPr="005D4222" w14:paraId="68A3D249" w14:textId="77777777" w:rsidTr="00EC7083">
        <w:trPr>
          <w:trHeight w:val="45"/>
        </w:trPr>
        <w:tc>
          <w:tcPr>
            <w:tcW w:w="2105"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88D4122" w14:textId="77777777" w:rsidR="003846A3" w:rsidRPr="005D4222" w:rsidRDefault="003846A3">
            <w:pPr>
              <w:pStyle w:val="ECDSMarginHead"/>
            </w:pPr>
            <w:r w:rsidRPr="005D4222">
              <w:t>Data element tables</w:t>
            </w:r>
          </w:p>
        </w:tc>
        <w:tc>
          <w:tcPr>
            <w:tcW w:w="7612"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E087411" w14:textId="77777777" w:rsidR="003846A3" w:rsidRPr="005D4222" w:rsidRDefault="003846A3">
            <w:pPr>
              <w:pStyle w:val="ECDSBody"/>
              <w:rPr>
                <w:rFonts w:eastAsia="Arial,Times New Roman"/>
              </w:rPr>
            </w:pPr>
            <w:r w:rsidRPr="005D4222">
              <w:rPr>
                <w:rFonts w:eastAsia="Arial,Times New Roman"/>
              </w:rPr>
              <w:t>Organizations that submit HEDIS data to NCQA must provide the following data elements.</w:t>
            </w:r>
          </w:p>
          <w:p w14:paraId="35598B4A" w14:textId="77777777" w:rsidR="003846A3" w:rsidRPr="005D4222" w:rsidRDefault="003846A3">
            <w:pPr>
              <w:pStyle w:val="Heading3"/>
              <w:spacing w:before="120"/>
            </w:pPr>
            <w:r w:rsidRPr="005D4222">
              <w:rPr>
                <w:rFonts w:eastAsia="Arial,Times New Roman"/>
              </w:rPr>
              <w:t>Table FUI-1/2/3:</w:t>
            </w:r>
            <w:r w:rsidRPr="005D4222">
              <w:t xml:space="preserve"> </w:t>
            </w:r>
            <w:r w:rsidRPr="005D4222">
              <w:rPr>
                <w:rFonts w:eastAsia="Arial,Times New Roman"/>
              </w:rPr>
              <w:t>Data Elements for Follow-Up After High Intensity Care for Substance Use Disorder</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08"/>
              <w:gridCol w:w="770"/>
              <w:gridCol w:w="2373"/>
              <w:gridCol w:w="2879"/>
            </w:tblGrid>
            <w:tr w:rsidR="003846A3" w:rsidRPr="005D4222" w14:paraId="241E1C1F" w14:textId="77777777" w:rsidTr="003D1BFB">
              <w:tc>
                <w:tcPr>
                  <w:tcW w:w="1492"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tcMar>
                    <w:left w:w="72" w:type="dxa"/>
                    <w:right w:w="72" w:type="dxa"/>
                  </w:tcMar>
                  <w:hideMark/>
                </w:tcPr>
                <w:p w14:paraId="47416AED" w14:textId="77777777" w:rsidR="003846A3" w:rsidRPr="005D4222" w:rsidRDefault="003846A3">
                  <w:pPr>
                    <w:pStyle w:val="TableHead"/>
                    <w:rPr>
                      <w:rFonts w:cs="Arial"/>
                      <w:color w:val="auto"/>
                    </w:rPr>
                  </w:pPr>
                  <w:r w:rsidRPr="005D4222">
                    <w:rPr>
                      <w:rFonts w:cs="Arial"/>
                      <w:color w:val="auto"/>
                    </w:rPr>
                    <w:t>Metric</w:t>
                  </w:r>
                </w:p>
              </w:tc>
              <w:tc>
                <w:tcPr>
                  <w:tcW w:w="81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72" w:type="dxa"/>
                    <w:right w:w="72" w:type="dxa"/>
                  </w:tcMar>
                  <w:hideMark/>
                </w:tcPr>
                <w:p w14:paraId="33AFE628" w14:textId="77777777" w:rsidR="003846A3" w:rsidRPr="005D4222" w:rsidRDefault="003846A3">
                  <w:pPr>
                    <w:pStyle w:val="TableHead"/>
                    <w:rPr>
                      <w:rFonts w:cs="Arial"/>
                      <w:color w:val="auto"/>
                    </w:rPr>
                  </w:pPr>
                  <w:r w:rsidRPr="005D4222">
                    <w:rPr>
                      <w:rFonts w:cs="Arial"/>
                      <w:color w:val="auto"/>
                    </w:rPr>
                    <w:t>Age</w:t>
                  </w:r>
                </w:p>
              </w:tc>
              <w:tc>
                <w:tcPr>
                  <w:tcW w:w="252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72" w:type="dxa"/>
                    <w:right w:w="72" w:type="dxa"/>
                  </w:tcMar>
                  <w:hideMark/>
                </w:tcPr>
                <w:p w14:paraId="7E1D611F" w14:textId="77777777" w:rsidR="003846A3" w:rsidRPr="005D4222" w:rsidRDefault="003846A3">
                  <w:pPr>
                    <w:pStyle w:val="TableHead"/>
                    <w:rPr>
                      <w:rFonts w:cs="Arial"/>
                      <w:color w:val="auto"/>
                    </w:rPr>
                  </w:pPr>
                  <w:r w:rsidRPr="005D4222">
                    <w:rPr>
                      <w:rFonts w:cs="Arial"/>
                      <w:color w:val="auto"/>
                    </w:rPr>
                    <w:t>Data Element</w:t>
                  </w:r>
                </w:p>
              </w:tc>
              <w:tc>
                <w:tcPr>
                  <w:tcW w:w="3060"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tcMar>
                    <w:left w:w="72" w:type="dxa"/>
                    <w:right w:w="72" w:type="dxa"/>
                  </w:tcMar>
                  <w:hideMark/>
                </w:tcPr>
                <w:p w14:paraId="4823E53C" w14:textId="77777777" w:rsidR="003846A3" w:rsidRPr="005D4222" w:rsidRDefault="003846A3">
                  <w:pPr>
                    <w:pStyle w:val="TableHead"/>
                    <w:rPr>
                      <w:rFonts w:cs="Arial"/>
                      <w:color w:val="auto"/>
                    </w:rPr>
                  </w:pPr>
                  <w:r w:rsidRPr="005D4222">
                    <w:rPr>
                      <w:rFonts w:cs="Arial"/>
                      <w:color w:val="auto"/>
                    </w:rPr>
                    <w:t>Reporting Instructions</w:t>
                  </w:r>
                </w:p>
              </w:tc>
            </w:tr>
            <w:tr w:rsidR="003846A3" w:rsidRPr="005D4222" w14:paraId="25279B95" w14:textId="77777777" w:rsidTr="003D1BFB">
              <w:tc>
                <w:tcPr>
                  <w:tcW w:w="1492" w:type="dxa"/>
                  <w:tcBorders>
                    <w:top w:val="single" w:sz="4" w:space="0" w:color="000000" w:themeColor="text1"/>
                    <w:left w:val="single" w:sz="4" w:space="0" w:color="auto"/>
                    <w:bottom w:val="single" w:sz="4" w:space="0" w:color="auto"/>
                    <w:right w:val="single" w:sz="4" w:space="0" w:color="auto"/>
                  </w:tcBorders>
                  <w:tcMar>
                    <w:left w:w="72" w:type="dxa"/>
                    <w:right w:w="72" w:type="dxa"/>
                  </w:tcMar>
                  <w:hideMark/>
                </w:tcPr>
                <w:p w14:paraId="32298543" w14:textId="5991655A" w:rsidR="003846A3" w:rsidRPr="005D4222" w:rsidRDefault="003846A3">
                  <w:pPr>
                    <w:pStyle w:val="TableText"/>
                    <w:rPr>
                      <w:rFonts w:cs="Arial"/>
                      <w:szCs w:val="21"/>
                    </w:rPr>
                  </w:pPr>
                  <w:r w:rsidRPr="005D4222">
                    <w:rPr>
                      <w:rFonts w:cs="Arial"/>
                      <w:szCs w:val="21"/>
                    </w:rPr>
                    <w:t>FollowUp30Day</w:t>
                  </w:r>
                </w:p>
              </w:tc>
              <w:tc>
                <w:tcPr>
                  <w:tcW w:w="810" w:type="dxa"/>
                  <w:tcBorders>
                    <w:top w:val="single" w:sz="4" w:space="0" w:color="000000" w:themeColor="text1"/>
                    <w:left w:val="single" w:sz="4" w:space="0" w:color="auto"/>
                    <w:bottom w:val="single" w:sz="4" w:space="0" w:color="auto"/>
                    <w:right w:val="single" w:sz="4" w:space="0" w:color="auto"/>
                  </w:tcBorders>
                  <w:tcMar>
                    <w:left w:w="72" w:type="dxa"/>
                    <w:right w:w="72" w:type="dxa"/>
                  </w:tcMar>
                  <w:hideMark/>
                </w:tcPr>
                <w:p w14:paraId="7DEA376C" w14:textId="77777777" w:rsidR="003846A3" w:rsidRPr="005D4222" w:rsidRDefault="003846A3">
                  <w:pPr>
                    <w:pStyle w:val="TableText"/>
                    <w:rPr>
                      <w:rFonts w:cs="Arial"/>
                      <w:szCs w:val="21"/>
                    </w:rPr>
                  </w:pPr>
                  <w:r w:rsidRPr="005D4222">
                    <w:rPr>
                      <w:rFonts w:cs="Arial"/>
                      <w:szCs w:val="21"/>
                    </w:rPr>
                    <w:t>13-17</w:t>
                  </w:r>
                </w:p>
              </w:tc>
              <w:tc>
                <w:tcPr>
                  <w:tcW w:w="2520" w:type="dxa"/>
                  <w:tcBorders>
                    <w:top w:val="single" w:sz="4" w:space="0" w:color="000000" w:themeColor="text1"/>
                    <w:left w:val="single" w:sz="4" w:space="0" w:color="auto"/>
                    <w:bottom w:val="single" w:sz="4" w:space="0" w:color="auto"/>
                    <w:right w:val="single" w:sz="4" w:space="0" w:color="auto"/>
                  </w:tcBorders>
                  <w:tcMar>
                    <w:left w:w="72" w:type="dxa"/>
                    <w:right w:w="72" w:type="dxa"/>
                  </w:tcMar>
                  <w:hideMark/>
                </w:tcPr>
                <w:p w14:paraId="1D5D3381" w14:textId="77777777" w:rsidR="003846A3" w:rsidRPr="005D4222" w:rsidRDefault="003846A3">
                  <w:pPr>
                    <w:pStyle w:val="TableText"/>
                    <w:rPr>
                      <w:rFonts w:cs="Arial"/>
                      <w:szCs w:val="21"/>
                    </w:rPr>
                  </w:pPr>
                  <w:r w:rsidRPr="005D4222">
                    <w:rPr>
                      <w:rFonts w:cs="Arial"/>
                      <w:szCs w:val="21"/>
                    </w:rPr>
                    <w:t>Benefit</w:t>
                  </w:r>
                </w:p>
              </w:tc>
              <w:tc>
                <w:tcPr>
                  <w:tcW w:w="3060" w:type="dxa"/>
                  <w:tcBorders>
                    <w:top w:val="single" w:sz="4" w:space="0" w:color="000000" w:themeColor="text1"/>
                    <w:left w:val="single" w:sz="4" w:space="0" w:color="auto"/>
                    <w:bottom w:val="single" w:sz="6" w:space="0" w:color="auto"/>
                    <w:right w:val="single" w:sz="4" w:space="0" w:color="auto"/>
                  </w:tcBorders>
                  <w:tcMar>
                    <w:left w:w="72" w:type="dxa"/>
                    <w:right w:w="72" w:type="dxa"/>
                  </w:tcMar>
                  <w:hideMark/>
                </w:tcPr>
                <w:p w14:paraId="1B8DACB7" w14:textId="77777777" w:rsidR="003846A3" w:rsidRPr="005D4222" w:rsidRDefault="003846A3">
                  <w:pPr>
                    <w:pStyle w:val="TableText"/>
                    <w:rPr>
                      <w:rFonts w:eastAsia="Wingdings" w:cs="Arial"/>
                      <w:szCs w:val="21"/>
                    </w:rPr>
                  </w:pPr>
                  <w:r w:rsidRPr="005D4222">
                    <w:rPr>
                      <w:rFonts w:eastAsia="Wingdings" w:cs="Arial"/>
                      <w:szCs w:val="21"/>
                    </w:rPr>
                    <w:t>Metadata</w:t>
                  </w:r>
                </w:p>
              </w:tc>
            </w:tr>
            <w:tr w:rsidR="003846A3" w:rsidRPr="005D4222" w14:paraId="2515F471" w14:textId="77777777" w:rsidTr="003D1BFB">
              <w:tc>
                <w:tcPr>
                  <w:tcW w:w="1492"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7B887852" w14:textId="77777777" w:rsidR="003846A3" w:rsidRPr="005D4222" w:rsidRDefault="003846A3">
                  <w:pPr>
                    <w:pStyle w:val="TableText"/>
                    <w:rPr>
                      <w:rFonts w:cs="Arial"/>
                      <w:szCs w:val="21"/>
                    </w:rPr>
                  </w:pPr>
                  <w:r w:rsidRPr="005D4222">
                    <w:rPr>
                      <w:rFonts w:cs="Arial"/>
                      <w:szCs w:val="21"/>
                    </w:rPr>
                    <w:t>FollowUp7Day</w:t>
                  </w:r>
                </w:p>
              </w:tc>
              <w:tc>
                <w:tcPr>
                  <w:tcW w:w="81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3D7CCFC9" w14:textId="77777777" w:rsidR="003846A3" w:rsidRPr="005D4222" w:rsidRDefault="003846A3">
                  <w:pPr>
                    <w:pStyle w:val="TableText"/>
                    <w:rPr>
                      <w:rFonts w:cs="Arial"/>
                      <w:szCs w:val="21"/>
                    </w:rPr>
                  </w:pPr>
                  <w:r w:rsidRPr="005D4222">
                    <w:rPr>
                      <w:rFonts w:cs="Arial"/>
                      <w:szCs w:val="21"/>
                    </w:rPr>
                    <w:t>18-64</w:t>
                  </w:r>
                </w:p>
              </w:tc>
              <w:tc>
                <w:tcPr>
                  <w:tcW w:w="252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783C1E5E" w14:textId="77777777" w:rsidR="003846A3" w:rsidRPr="005D4222" w:rsidRDefault="003846A3">
                  <w:pPr>
                    <w:pStyle w:val="TableText"/>
                    <w:rPr>
                      <w:rFonts w:cs="Arial"/>
                      <w:szCs w:val="21"/>
                    </w:rPr>
                  </w:pPr>
                  <w:r w:rsidRPr="005D4222">
                    <w:rPr>
                      <w:rFonts w:cs="Arial"/>
                      <w:szCs w:val="21"/>
                    </w:rPr>
                    <w:t xml:space="preserve">InitialPopulation </w:t>
                  </w:r>
                </w:p>
              </w:tc>
              <w:tc>
                <w:tcPr>
                  <w:tcW w:w="3060" w:type="dxa"/>
                  <w:tcBorders>
                    <w:top w:val="single" w:sz="6" w:space="0" w:color="auto"/>
                    <w:left w:val="single" w:sz="4" w:space="0" w:color="auto"/>
                    <w:bottom w:val="single" w:sz="6" w:space="0" w:color="auto"/>
                    <w:right w:val="single" w:sz="4" w:space="0" w:color="auto"/>
                  </w:tcBorders>
                  <w:shd w:val="clear" w:color="auto" w:fill="FFFFFF" w:themeFill="background1"/>
                  <w:tcMar>
                    <w:left w:w="72" w:type="dxa"/>
                    <w:right w:w="72" w:type="dxa"/>
                  </w:tcMar>
                  <w:hideMark/>
                </w:tcPr>
                <w:p w14:paraId="3565FFE0" w14:textId="77777777" w:rsidR="003846A3" w:rsidRPr="005D4222" w:rsidRDefault="003846A3">
                  <w:pPr>
                    <w:pStyle w:val="TableText"/>
                    <w:rPr>
                      <w:rFonts w:eastAsia="Wingdings" w:cs="Arial"/>
                      <w:szCs w:val="21"/>
                    </w:rPr>
                  </w:pPr>
                  <w:r w:rsidRPr="005D4222">
                    <w:rPr>
                      <w:rFonts w:eastAsia="Wingdings" w:cs="Arial"/>
                      <w:szCs w:val="21"/>
                    </w:rPr>
                    <w:t>For each Stratification, repeat per Metric</w:t>
                  </w:r>
                </w:p>
              </w:tc>
            </w:tr>
            <w:tr w:rsidR="003846A3" w:rsidRPr="005D4222" w14:paraId="3C2F9A1C" w14:textId="77777777" w:rsidTr="003D1BFB">
              <w:tc>
                <w:tcPr>
                  <w:tcW w:w="1492" w:type="dxa"/>
                  <w:tcBorders>
                    <w:top w:val="nil"/>
                    <w:left w:val="nil"/>
                    <w:bottom w:val="nil"/>
                    <w:right w:val="nil"/>
                  </w:tcBorders>
                  <w:shd w:val="clear" w:color="auto" w:fill="FFFFFF" w:themeFill="background1"/>
                  <w:tcMar>
                    <w:left w:w="72" w:type="dxa"/>
                    <w:right w:w="72" w:type="dxa"/>
                  </w:tcMar>
                </w:tcPr>
                <w:p w14:paraId="564F5224" w14:textId="77777777" w:rsidR="003846A3" w:rsidRPr="005D4222" w:rsidRDefault="003846A3">
                  <w:pPr>
                    <w:pStyle w:val="TableText"/>
                    <w:rPr>
                      <w:rFonts w:cs="Arial"/>
                      <w:szCs w:val="21"/>
                    </w:rPr>
                  </w:pPr>
                </w:p>
              </w:tc>
              <w:tc>
                <w:tcPr>
                  <w:tcW w:w="81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3C0F06AB" w14:textId="77777777" w:rsidR="003846A3" w:rsidRPr="005D4222" w:rsidRDefault="003846A3">
                  <w:pPr>
                    <w:pStyle w:val="TableText"/>
                    <w:rPr>
                      <w:rFonts w:cs="Arial"/>
                      <w:szCs w:val="21"/>
                    </w:rPr>
                  </w:pPr>
                  <w:r w:rsidRPr="005D4222">
                    <w:rPr>
                      <w:rFonts w:cs="Arial"/>
                      <w:szCs w:val="21"/>
                    </w:rPr>
                    <w:t>65+</w:t>
                  </w:r>
                </w:p>
              </w:tc>
              <w:tc>
                <w:tcPr>
                  <w:tcW w:w="252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277FB4ED" w14:textId="77777777" w:rsidR="003846A3" w:rsidRPr="005D4222" w:rsidRDefault="003846A3">
                  <w:pPr>
                    <w:pStyle w:val="TableText"/>
                    <w:rPr>
                      <w:rFonts w:cs="Arial"/>
                    </w:rPr>
                  </w:pPr>
                  <w:r w:rsidRPr="005D4222">
                    <w:rPr>
                      <w:rFonts w:cs="Arial"/>
                    </w:rPr>
                    <w:t>Exclusions</w:t>
                  </w:r>
                </w:p>
              </w:tc>
              <w:tc>
                <w:tcPr>
                  <w:tcW w:w="3060" w:type="dxa"/>
                  <w:tcBorders>
                    <w:top w:val="single" w:sz="6" w:space="0" w:color="auto"/>
                    <w:left w:val="single" w:sz="4" w:space="0" w:color="auto"/>
                    <w:bottom w:val="single" w:sz="6" w:space="0" w:color="auto"/>
                    <w:right w:val="single" w:sz="4" w:space="0" w:color="auto"/>
                  </w:tcBorders>
                  <w:shd w:val="clear" w:color="auto" w:fill="FFFFFF" w:themeFill="background1"/>
                  <w:tcMar>
                    <w:left w:w="72" w:type="dxa"/>
                    <w:right w:w="72" w:type="dxa"/>
                  </w:tcMar>
                  <w:hideMark/>
                </w:tcPr>
                <w:p w14:paraId="694CA3AA" w14:textId="77777777" w:rsidR="003846A3" w:rsidRPr="005D4222" w:rsidRDefault="003846A3">
                  <w:pPr>
                    <w:pStyle w:val="TableText"/>
                    <w:rPr>
                      <w:rFonts w:eastAsia="Wingdings" w:cs="Arial"/>
                      <w:szCs w:val="21"/>
                    </w:rPr>
                  </w:pPr>
                  <w:r w:rsidRPr="005D4222">
                    <w:rPr>
                      <w:rFonts w:eastAsia="Wingdings" w:cs="Arial"/>
                      <w:szCs w:val="21"/>
                    </w:rPr>
                    <w:t>For each Stratification, repeat per Metric</w:t>
                  </w:r>
                </w:p>
              </w:tc>
            </w:tr>
            <w:tr w:rsidR="002C075D" w:rsidRPr="005D4222" w14:paraId="593DCD76" w14:textId="77777777" w:rsidTr="002C2D19">
              <w:tc>
                <w:tcPr>
                  <w:tcW w:w="1492" w:type="dxa"/>
                  <w:tcBorders>
                    <w:top w:val="nil"/>
                    <w:left w:val="nil"/>
                    <w:bottom w:val="nil"/>
                    <w:right w:val="nil"/>
                  </w:tcBorders>
                  <w:shd w:val="clear" w:color="auto" w:fill="FFFFFF" w:themeFill="background1"/>
                  <w:tcMar>
                    <w:left w:w="72" w:type="dxa"/>
                    <w:right w:w="72" w:type="dxa"/>
                  </w:tcMar>
                </w:tcPr>
                <w:p w14:paraId="079F147C" w14:textId="77777777" w:rsidR="002C075D" w:rsidRPr="005D4222" w:rsidRDefault="002C075D" w:rsidP="002C075D">
                  <w:pPr>
                    <w:pStyle w:val="TableText"/>
                    <w:rPr>
                      <w:rFonts w:cs="Arial"/>
                      <w:szCs w:val="21"/>
                    </w:rPr>
                  </w:pPr>
                </w:p>
              </w:tc>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7CE19F7A" w14:textId="7FCB8B11" w:rsidR="002C075D" w:rsidRPr="005D4222" w:rsidRDefault="002C075D" w:rsidP="002C075D">
                  <w:pPr>
                    <w:pStyle w:val="TableText"/>
                    <w:rPr>
                      <w:rFonts w:cs="Arial"/>
                      <w:szCs w:val="21"/>
                    </w:rPr>
                  </w:pPr>
                  <w:r w:rsidRPr="005D4222">
                    <w:rPr>
                      <w:rFonts w:cs="Arial"/>
                      <w:szCs w:val="21"/>
                    </w:rPr>
                    <w:t>Total</w:t>
                  </w:r>
                </w:p>
              </w:tc>
              <w:tc>
                <w:tcPr>
                  <w:tcW w:w="252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76B001A1" w14:textId="3EA312F2" w:rsidR="002C075D" w:rsidRPr="005D4222" w:rsidRDefault="002C075D" w:rsidP="002C075D">
                  <w:pPr>
                    <w:pStyle w:val="TableText"/>
                    <w:rPr>
                      <w:rFonts w:cs="Arial"/>
                    </w:rPr>
                  </w:pPr>
                  <w:r w:rsidRPr="005D4222">
                    <w:rPr>
                      <w:rFonts w:cs="Arial"/>
                    </w:rPr>
                    <w:t>Denominator</w:t>
                  </w:r>
                </w:p>
              </w:tc>
              <w:tc>
                <w:tcPr>
                  <w:tcW w:w="3060" w:type="dxa"/>
                  <w:tcBorders>
                    <w:top w:val="single" w:sz="6" w:space="0" w:color="auto"/>
                    <w:left w:val="single" w:sz="4" w:space="0" w:color="auto"/>
                    <w:bottom w:val="single" w:sz="6" w:space="0" w:color="auto"/>
                    <w:right w:val="single" w:sz="4" w:space="0" w:color="auto"/>
                  </w:tcBorders>
                  <w:shd w:val="clear" w:color="auto" w:fill="FFFFFF" w:themeFill="background1"/>
                  <w:tcMar>
                    <w:left w:w="72" w:type="dxa"/>
                    <w:right w:w="72" w:type="dxa"/>
                  </w:tcMar>
                </w:tcPr>
                <w:p w14:paraId="593B767F" w14:textId="111AACDA" w:rsidR="002C075D" w:rsidRPr="005D4222" w:rsidRDefault="002C075D" w:rsidP="002C075D">
                  <w:pPr>
                    <w:pStyle w:val="TableText"/>
                    <w:rPr>
                      <w:rFonts w:eastAsia="Wingdings" w:cs="Arial"/>
                      <w:szCs w:val="21"/>
                    </w:rPr>
                  </w:pPr>
                  <w:r w:rsidRPr="005D4222">
                    <w:rPr>
                      <w:rFonts w:eastAsia="Wingdings" w:cs="Arial"/>
                      <w:szCs w:val="21"/>
                    </w:rPr>
                    <w:t>For each Stratification, repeat per Metric</w:t>
                  </w:r>
                </w:p>
              </w:tc>
            </w:tr>
            <w:tr w:rsidR="002C075D" w:rsidRPr="005D4222" w14:paraId="0915169B" w14:textId="77777777" w:rsidTr="003D1BFB">
              <w:tc>
                <w:tcPr>
                  <w:tcW w:w="1492" w:type="dxa"/>
                  <w:tcBorders>
                    <w:top w:val="nil"/>
                    <w:left w:val="nil"/>
                    <w:bottom w:val="nil"/>
                    <w:right w:val="nil"/>
                  </w:tcBorders>
                  <w:shd w:val="clear" w:color="auto" w:fill="FFFFFF" w:themeFill="background1"/>
                  <w:tcMar>
                    <w:left w:w="72" w:type="dxa"/>
                    <w:right w:w="72" w:type="dxa"/>
                  </w:tcMar>
                </w:tcPr>
                <w:p w14:paraId="20584129" w14:textId="77777777" w:rsidR="002C075D" w:rsidRPr="005D4222" w:rsidRDefault="002C075D" w:rsidP="002C075D">
                  <w:pPr>
                    <w:pStyle w:val="TableText"/>
                    <w:rPr>
                      <w:rFonts w:cs="Arial"/>
                      <w:szCs w:val="21"/>
                    </w:rPr>
                  </w:pPr>
                </w:p>
              </w:tc>
              <w:tc>
                <w:tcPr>
                  <w:tcW w:w="810" w:type="dxa"/>
                  <w:tcBorders>
                    <w:top w:val="single" w:sz="4" w:space="0" w:color="auto"/>
                    <w:left w:val="nil"/>
                    <w:bottom w:val="nil"/>
                    <w:right w:val="single" w:sz="4" w:space="0" w:color="auto"/>
                  </w:tcBorders>
                  <w:shd w:val="clear" w:color="auto" w:fill="FFFFFF" w:themeFill="background1"/>
                  <w:tcMar>
                    <w:left w:w="72" w:type="dxa"/>
                    <w:right w:w="72" w:type="dxa"/>
                  </w:tcMar>
                  <w:hideMark/>
                </w:tcPr>
                <w:p w14:paraId="74C89609" w14:textId="77777777" w:rsidR="002C075D" w:rsidRPr="005D4222" w:rsidRDefault="002C075D" w:rsidP="002C075D">
                  <w:pPr>
                    <w:pStyle w:val="TableText"/>
                    <w:rPr>
                      <w:rFonts w:cs="Arial"/>
                      <w:szCs w:val="21"/>
                    </w:rPr>
                  </w:pPr>
                </w:p>
              </w:tc>
              <w:tc>
                <w:tcPr>
                  <w:tcW w:w="252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4E30D6CC" w14:textId="77777777" w:rsidR="002C075D" w:rsidRPr="005D4222" w:rsidRDefault="002C075D" w:rsidP="002C075D">
                  <w:pPr>
                    <w:pStyle w:val="TableText"/>
                    <w:rPr>
                      <w:rFonts w:cs="Arial"/>
                      <w:szCs w:val="21"/>
                    </w:rPr>
                  </w:pPr>
                  <w:r w:rsidRPr="005D4222">
                    <w:rPr>
                      <w:rFonts w:cs="Arial"/>
                      <w:szCs w:val="21"/>
                    </w:rPr>
                    <w:t>NumeratorByAdmin</w:t>
                  </w:r>
                </w:p>
              </w:tc>
              <w:tc>
                <w:tcPr>
                  <w:tcW w:w="3060" w:type="dxa"/>
                  <w:tcBorders>
                    <w:top w:val="single" w:sz="6" w:space="0" w:color="auto"/>
                    <w:left w:val="single" w:sz="4" w:space="0" w:color="auto"/>
                    <w:bottom w:val="single" w:sz="6" w:space="0" w:color="auto"/>
                    <w:right w:val="single" w:sz="4" w:space="0" w:color="auto"/>
                  </w:tcBorders>
                  <w:shd w:val="clear" w:color="auto" w:fill="FFFFFF" w:themeFill="background1"/>
                  <w:tcMar>
                    <w:left w:w="72" w:type="dxa"/>
                    <w:right w:w="72" w:type="dxa"/>
                  </w:tcMar>
                  <w:hideMark/>
                </w:tcPr>
                <w:p w14:paraId="42AD2FF1" w14:textId="77777777" w:rsidR="002C075D" w:rsidRPr="005D4222" w:rsidRDefault="002C075D" w:rsidP="002C075D">
                  <w:pPr>
                    <w:pStyle w:val="TableText"/>
                    <w:rPr>
                      <w:rFonts w:eastAsia="Wingdings" w:cs="Arial"/>
                      <w:szCs w:val="21"/>
                    </w:rPr>
                  </w:pPr>
                  <w:r w:rsidRPr="005D4222">
                    <w:rPr>
                      <w:rFonts w:eastAsia="Wingdings" w:cs="Arial"/>
                      <w:szCs w:val="21"/>
                    </w:rPr>
                    <w:t>For each Metric and Stratification</w:t>
                  </w:r>
                </w:p>
              </w:tc>
            </w:tr>
            <w:tr w:rsidR="002C075D" w:rsidRPr="005D4222" w14:paraId="468F7D34" w14:textId="77777777" w:rsidTr="003D1BFB">
              <w:tc>
                <w:tcPr>
                  <w:tcW w:w="1492" w:type="dxa"/>
                  <w:tcBorders>
                    <w:top w:val="nil"/>
                    <w:left w:val="nil"/>
                    <w:bottom w:val="nil"/>
                    <w:right w:val="nil"/>
                  </w:tcBorders>
                  <w:shd w:val="clear" w:color="auto" w:fill="FFFFFF" w:themeFill="background1"/>
                  <w:tcMar>
                    <w:left w:w="72" w:type="dxa"/>
                    <w:right w:w="72" w:type="dxa"/>
                  </w:tcMar>
                </w:tcPr>
                <w:p w14:paraId="0910FAEC" w14:textId="77777777" w:rsidR="002C075D" w:rsidRPr="005D4222" w:rsidRDefault="002C075D" w:rsidP="002C075D">
                  <w:pPr>
                    <w:pStyle w:val="TableText"/>
                    <w:rPr>
                      <w:rFonts w:cs="Arial"/>
                      <w:szCs w:val="21"/>
                    </w:rPr>
                  </w:pPr>
                </w:p>
              </w:tc>
              <w:tc>
                <w:tcPr>
                  <w:tcW w:w="810" w:type="dxa"/>
                  <w:tcBorders>
                    <w:top w:val="nil"/>
                    <w:left w:val="nil"/>
                    <w:bottom w:val="nil"/>
                    <w:right w:val="single" w:sz="4" w:space="0" w:color="auto"/>
                  </w:tcBorders>
                  <w:shd w:val="clear" w:color="auto" w:fill="FFFFFF" w:themeFill="background1"/>
                  <w:tcMar>
                    <w:left w:w="72" w:type="dxa"/>
                    <w:right w:w="72" w:type="dxa"/>
                  </w:tcMar>
                </w:tcPr>
                <w:p w14:paraId="6B76F591" w14:textId="77777777" w:rsidR="002C075D" w:rsidRPr="005D4222" w:rsidRDefault="002C075D" w:rsidP="002C075D">
                  <w:pPr>
                    <w:pStyle w:val="TableText"/>
                    <w:rPr>
                      <w:rFonts w:cs="Arial"/>
                      <w:szCs w:val="21"/>
                    </w:rPr>
                  </w:pPr>
                </w:p>
              </w:tc>
              <w:tc>
                <w:tcPr>
                  <w:tcW w:w="252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4DB7A09B" w14:textId="77777777" w:rsidR="002C075D" w:rsidRPr="005D4222" w:rsidRDefault="002C075D" w:rsidP="002C075D">
                  <w:pPr>
                    <w:pStyle w:val="TableText"/>
                    <w:rPr>
                      <w:rFonts w:cs="Arial"/>
                      <w:szCs w:val="21"/>
                    </w:rPr>
                  </w:pPr>
                  <w:r w:rsidRPr="005D4222">
                    <w:rPr>
                      <w:rFonts w:cs="Arial"/>
                      <w:szCs w:val="21"/>
                    </w:rPr>
                    <w:t>NumeratorBySupplemental</w:t>
                  </w:r>
                </w:p>
              </w:tc>
              <w:tc>
                <w:tcPr>
                  <w:tcW w:w="3060" w:type="dxa"/>
                  <w:tcBorders>
                    <w:top w:val="single" w:sz="6" w:space="0" w:color="auto"/>
                    <w:left w:val="single" w:sz="4" w:space="0" w:color="auto"/>
                    <w:bottom w:val="single" w:sz="6" w:space="0" w:color="auto"/>
                    <w:right w:val="single" w:sz="4" w:space="0" w:color="auto"/>
                  </w:tcBorders>
                  <w:shd w:val="clear" w:color="auto" w:fill="FFFFFF" w:themeFill="background1"/>
                  <w:tcMar>
                    <w:left w:w="72" w:type="dxa"/>
                    <w:right w:w="72" w:type="dxa"/>
                  </w:tcMar>
                  <w:hideMark/>
                </w:tcPr>
                <w:p w14:paraId="18992790" w14:textId="77777777" w:rsidR="002C075D" w:rsidRPr="005D4222" w:rsidRDefault="002C075D" w:rsidP="002C075D">
                  <w:pPr>
                    <w:pStyle w:val="TableText"/>
                    <w:rPr>
                      <w:rFonts w:eastAsia="Wingdings" w:cs="Arial"/>
                      <w:szCs w:val="21"/>
                    </w:rPr>
                  </w:pPr>
                  <w:r w:rsidRPr="005D4222">
                    <w:rPr>
                      <w:rFonts w:eastAsia="Wingdings" w:cs="Arial"/>
                      <w:szCs w:val="21"/>
                    </w:rPr>
                    <w:t>For each Metric and Stratification</w:t>
                  </w:r>
                </w:p>
              </w:tc>
            </w:tr>
            <w:tr w:rsidR="002C075D" w:rsidRPr="005D4222" w14:paraId="2747E602" w14:textId="77777777" w:rsidTr="003D1BFB">
              <w:tc>
                <w:tcPr>
                  <w:tcW w:w="1492" w:type="dxa"/>
                  <w:tcBorders>
                    <w:top w:val="nil"/>
                    <w:left w:val="nil"/>
                    <w:bottom w:val="nil"/>
                    <w:right w:val="nil"/>
                  </w:tcBorders>
                  <w:tcMar>
                    <w:left w:w="72" w:type="dxa"/>
                    <w:right w:w="72" w:type="dxa"/>
                  </w:tcMar>
                </w:tcPr>
                <w:p w14:paraId="09C30F15" w14:textId="77777777" w:rsidR="002C075D" w:rsidRPr="005D4222" w:rsidRDefault="002C075D" w:rsidP="002C075D">
                  <w:pPr>
                    <w:pStyle w:val="TableText"/>
                    <w:rPr>
                      <w:rFonts w:cs="Arial"/>
                      <w:szCs w:val="21"/>
                    </w:rPr>
                  </w:pPr>
                </w:p>
              </w:tc>
              <w:tc>
                <w:tcPr>
                  <w:tcW w:w="810" w:type="dxa"/>
                  <w:tcBorders>
                    <w:top w:val="nil"/>
                    <w:left w:val="nil"/>
                    <w:bottom w:val="nil"/>
                    <w:right w:val="single" w:sz="4" w:space="0" w:color="auto"/>
                  </w:tcBorders>
                  <w:tcMar>
                    <w:left w:w="72" w:type="dxa"/>
                    <w:right w:w="72" w:type="dxa"/>
                  </w:tcMar>
                </w:tcPr>
                <w:p w14:paraId="1B264E48" w14:textId="77777777" w:rsidR="002C075D" w:rsidRPr="005D4222" w:rsidRDefault="002C075D" w:rsidP="002C075D">
                  <w:pPr>
                    <w:pStyle w:val="TableText"/>
                    <w:rPr>
                      <w:rFonts w:cs="Arial"/>
                      <w:szCs w:val="21"/>
                    </w:rPr>
                  </w:pPr>
                </w:p>
              </w:tc>
              <w:tc>
                <w:tcPr>
                  <w:tcW w:w="25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2795D5BB" w14:textId="77777777" w:rsidR="002C075D" w:rsidRPr="005D4222" w:rsidRDefault="002C075D" w:rsidP="002C075D">
                  <w:pPr>
                    <w:pStyle w:val="TableText"/>
                    <w:rPr>
                      <w:rFonts w:cs="Arial"/>
                      <w:szCs w:val="21"/>
                    </w:rPr>
                  </w:pPr>
                  <w:r w:rsidRPr="005D4222">
                    <w:rPr>
                      <w:rFonts w:cs="Arial"/>
                      <w:szCs w:val="21"/>
                    </w:rPr>
                    <w:t>Rate</w:t>
                  </w:r>
                </w:p>
              </w:tc>
              <w:tc>
                <w:tcPr>
                  <w:tcW w:w="3060" w:type="dxa"/>
                  <w:tcBorders>
                    <w:top w:val="single" w:sz="6" w:space="0" w:color="auto"/>
                    <w:left w:val="single" w:sz="4" w:space="0" w:color="auto"/>
                    <w:bottom w:val="single" w:sz="6" w:space="0" w:color="auto"/>
                    <w:right w:val="single" w:sz="4" w:space="0" w:color="auto"/>
                  </w:tcBorders>
                  <w:shd w:val="clear" w:color="auto" w:fill="D9D9D9" w:themeFill="background1" w:themeFillShade="D9"/>
                  <w:tcMar>
                    <w:left w:w="72" w:type="dxa"/>
                    <w:right w:w="72" w:type="dxa"/>
                  </w:tcMar>
                  <w:hideMark/>
                </w:tcPr>
                <w:p w14:paraId="3A353BE7" w14:textId="77777777" w:rsidR="002C075D" w:rsidRPr="005D4222" w:rsidRDefault="002C075D" w:rsidP="002C075D">
                  <w:pPr>
                    <w:pStyle w:val="TableText"/>
                    <w:rPr>
                      <w:rFonts w:eastAsia="Wingdings" w:cs="Arial"/>
                      <w:szCs w:val="21"/>
                    </w:rPr>
                  </w:pPr>
                  <w:r w:rsidRPr="005D4222">
                    <w:rPr>
                      <w:rFonts w:eastAsia="Wingdings" w:cs="Arial"/>
                      <w:szCs w:val="21"/>
                    </w:rPr>
                    <w:t>(Percent)</w:t>
                  </w:r>
                </w:p>
              </w:tc>
            </w:tr>
          </w:tbl>
          <w:p w14:paraId="0C4FB372" w14:textId="77777777" w:rsidR="003846A3" w:rsidRPr="005D4222" w:rsidRDefault="003846A3">
            <w:pPr>
              <w:pStyle w:val="ProcessDash"/>
              <w:numPr>
                <w:ilvl w:val="0"/>
                <w:numId w:val="0"/>
              </w:numPr>
              <w:rPr>
                <w:rFonts w:cs="Arial"/>
                <w:color w:val="000000" w:themeColor="text1"/>
                <w:highlight w:val="yellow"/>
              </w:rPr>
            </w:pPr>
          </w:p>
        </w:tc>
      </w:tr>
    </w:tbl>
    <w:p w14:paraId="0BA3020E" w14:textId="77777777" w:rsidR="00EC7083" w:rsidRPr="005D4222" w:rsidRDefault="00EC7083">
      <w:r w:rsidRPr="005D4222">
        <w:br w:type="page"/>
      </w:r>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05"/>
        <w:gridCol w:w="7612"/>
      </w:tblGrid>
      <w:tr w:rsidR="003846A3" w:rsidRPr="005D4222" w14:paraId="4CED3050" w14:textId="77777777" w:rsidTr="00EC7083">
        <w:tc>
          <w:tcPr>
            <w:tcW w:w="2105"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6FC72B5C" w14:textId="77777777" w:rsidR="003846A3" w:rsidRPr="005D4222" w:rsidRDefault="003846A3">
            <w:pPr>
              <w:pStyle w:val="ECDSMarginHead"/>
            </w:pPr>
            <w:r w:rsidRPr="005D4222">
              <w:lastRenderedPageBreak/>
              <w:t>Rules for Allowable Adjustments</w:t>
            </w:r>
          </w:p>
        </w:tc>
        <w:tc>
          <w:tcPr>
            <w:tcW w:w="7612" w:type="dxa"/>
            <w:tcBorders>
              <w:top w:val="single" w:sz="4" w:space="0" w:color="auto"/>
              <w:left w:val="single" w:sz="4" w:space="0" w:color="auto"/>
              <w:right w:val="single" w:sz="4" w:space="0" w:color="auto"/>
            </w:tcBorders>
            <w:tcMar>
              <w:top w:w="0" w:type="dxa"/>
              <w:left w:w="86" w:type="dxa"/>
              <w:bottom w:w="43" w:type="dxa"/>
              <w:right w:w="86" w:type="dxa"/>
            </w:tcMar>
          </w:tcPr>
          <w:p w14:paraId="46D75764" w14:textId="77777777" w:rsidR="003846A3" w:rsidRPr="005D4222" w:rsidRDefault="003846A3">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62800E36" w14:textId="77777777" w:rsidR="003846A3" w:rsidRPr="005D4222" w:rsidRDefault="003846A3">
            <w:pPr>
              <w:pStyle w:val="ECDSBody"/>
              <w:rPr>
                <w:rFonts w:eastAsia="Arial"/>
              </w:rPr>
            </w:pPr>
            <w:r w:rsidRPr="005D4222">
              <w:rPr>
                <w:b/>
              </w:rPr>
              <w:t>Adjusted HEDIS measures may not be used for HEDIS health plan reporting.</w:t>
            </w:r>
          </w:p>
          <w:p w14:paraId="65AE0B6D" w14:textId="77777777" w:rsidR="003846A3" w:rsidRPr="005D4222" w:rsidRDefault="003846A3" w:rsidP="00B655A1">
            <w:pPr>
              <w:pStyle w:val="Adjustments"/>
              <w:spacing w:before="120"/>
              <w:rPr>
                <w:b w:val="0"/>
              </w:rPr>
            </w:pPr>
            <w:r w:rsidRPr="005D4222">
              <w:t>Adjustments</w:t>
            </w:r>
            <w:r w:rsidRPr="005D4222">
              <w:rPr>
                <w:bCs/>
              </w:rPr>
              <w:t xml:space="preserve"> a</w:t>
            </w:r>
            <w:r w:rsidRPr="005D4222">
              <w:t>llowed</w:t>
            </w:r>
          </w:p>
          <w:p w14:paraId="60F93E52" w14:textId="5EC999FE" w:rsidR="003846A3" w:rsidRPr="005D4222" w:rsidRDefault="003846A3">
            <w:pPr>
              <w:pStyle w:val="ProcessBullet"/>
              <w:rPr>
                <w:b/>
              </w:rPr>
            </w:pPr>
            <w:r w:rsidRPr="005D4222">
              <w:rPr>
                <w:i/>
                <w:iCs/>
              </w:rPr>
              <w:t>Product lines</w:t>
            </w:r>
            <w:r w:rsidRPr="005D4222">
              <w:t xml:space="preserve">. </w:t>
            </w:r>
            <w:r w:rsidRPr="005D4222">
              <w:rPr>
                <w:rFonts w:eastAsia="Arial"/>
              </w:rPr>
              <w:t>Organizations are not required to use product line criteria; product lines may be combined</w:t>
            </w:r>
            <w:r w:rsidR="00E8671F" w:rsidRPr="005D4222">
              <w:rPr>
                <w:rFonts w:eastAsia="Arial"/>
              </w:rPr>
              <w:t>,</w:t>
            </w:r>
            <w:r w:rsidRPr="005D4222">
              <w:rPr>
                <w:rFonts w:eastAsia="Arial"/>
              </w:rPr>
              <w:t xml:space="preserve"> and all (or no) product line criteria may be used.</w:t>
            </w:r>
          </w:p>
          <w:p w14:paraId="18A263A2" w14:textId="77777777" w:rsidR="003846A3" w:rsidRPr="005D4222" w:rsidRDefault="003846A3">
            <w:pPr>
              <w:pStyle w:val="ProcessBullet"/>
              <w:spacing w:after="80"/>
              <w:rPr>
                <w:rFonts w:eastAsia="Arial"/>
                <w:i/>
                <w:iCs/>
              </w:rPr>
            </w:pPr>
            <w:r w:rsidRPr="005D4222">
              <w:rPr>
                <w:rFonts w:eastAsia="Arial"/>
                <w:i/>
                <w:iCs/>
              </w:rPr>
              <w:t xml:space="preserve">Attribution. </w:t>
            </w:r>
            <w:r w:rsidRPr="005D4222">
              <w:rPr>
                <w:rStyle w:val="ProcessBulletChar"/>
                <w:rFonts w:eastAsia="Arial"/>
              </w:rPr>
              <w:t>Organizations are not required to use enrollment criteria.</w:t>
            </w:r>
          </w:p>
          <w:p w14:paraId="28D50EC7" w14:textId="71E1FE8B" w:rsidR="003846A3" w:rsidRPr="005D4222" w:rsidRDefault="003846A3" w:rsidP="0056315D">
            <w:pPr>
              <w:pStyle w:val="ProcessBullet"/>
              <w:spacing w:after="80"/>
              <w:rPr>
                <w:rFonts w:eastAsia="Arial"/>
                <w:i/>
                <w:iCs/>
              </w:rPr>
            </w:pPr>
            <w:r w:rsidRPr="005D4222">
              <w:rPr>
                <w:rFonts w:eastAsia="Arial"/>
                <w:i/>
                <w:iCs/>
              </w:rPr>
              <w:t xml:space="preserve">Benefits. </w:t>
            </w:r>
            <w:r w:rsidRPr="005D4222">
              <w:rPr>
                <w:rFonts w:eastAsia="Arial"/>
              </w:rPr>
              <w:t>Organizations are not required to use a benefit.</w:t>
            </w:r>
          </w:p>
          <w:p w14:paraId="13348446" w14:textId="41CB1486" w:rsidR="00692875" w:rsidRPr="005D4222" w:rsidRDefault="00515331" w:rsidP="00515331">
            <w:pPr>
              <w:pStyle w:val="ProcessBullet"/>
              <w:rPr>
                <w:rFonts w:eastAsia="Arial,Arial,Times New Roman"/>
              </w:rPr>
            </w:pPr>
            <w:r w:rsidRPr="005D4222">
              <w:rPr>
                <w:rFonts w:eastAsia="Arial"/>
                <w:i/>
                <w:iCs/>
              </w:rPr>
              <w:t xml:space="preserve">Ages. </w:t>
            </w:r>
            <w:r w:rsidRPr="005D4222">
              <w:rPr>
                <w:rFonts w:eastAsia="Arial"/>
              </w:rPr>
              <w:t>The denominator age range may be expanded. The age determination dates may be changed (13 years as of discharge date</w:t>
            </w:r>
            <w:r w:rsidRPr="005D4222">
              <w:rPr>
                <w:rFonts w:eastAsia="Arial,Arial,Times New Roman"/>
              </w:rPr>
              <w:t xml:space="preserve">). </w:t>
            </w:r>
          </w:p>
          <w:p w14:paraId="10A4A25E" w14:textId="77777777" w:rsidR="003846A3" w:rsidRPr="005D4222" w:rsidRDefault="003846A3">
            <w:pPr>
              <w:pStyle w:val="ProcessBullet"/>
              <w:spacing w:after="80"/>
              <w:rPr>
                <w:rFonts w:eastAsia="Arial"/>
                <w:i/>
                <w:iCs/>
              </w:rPr>
            </w:pPr>
            <w:r w:rsidRPr="005D4222">
              <w:rPr>
                <w:rFonts w:eastAsia="Arial"/>
                <w:i/>
                <w:iCs/>
              </w:rPr>
              <w:t xml:space="preserve">Other. </w:t>
            </w:r>
            <w:r w:rsidRPr="005D4222">
              <w:rPr>
                <w:rFonts w:eastAsia="Arial"/>
              </w:rPr>
              <w:t xml:space="preserve">Organizations may use additional initial population criteria to focus on an area of interest defined by gender, race, ethnicity, socioeconomic or sociodemographic characteristics, geographic </w:t>
            </w:r>
            <w:r w:rsidRPr="005D4222" w:rsidDel="0069502A">
              <w:rPr>
                <w:rFonts w:eastAsia="Arial"/>
              </w:rPr>
              <w:t>region</w:t>
            </w:r>
            <w:r w:rsidRPr="005D4222">
              <w:rPr>
                <w:rFonts w:eastAsia="Arial"/>
              </w:rPr>
              <w:t xml:space="preserve"> or another characteristic.</w:t>
            </w:r>
          </w:p>
          <w:p w14:paraId="16F59ADC" w14:textId="77777777" w:rsidR="003846A3" w:rsidRPr="005D4222" w:rsidRDefault="003846A3">
            <w:pPr>
              <w:pStyle w:val="ProcessBullet"/>
              <w:rPr>
                <w:b/>
                <w:bCs/>
                <w:color w:val="000000" w:themeColor="text1"/>
              </w:rPr>
            </w:pPr>
            <w:r w:rsidRPr="005D4222">
              <w:rPr>
                <w:i/>
                <w:iCs/>
              </w:rPr>
              <w:t>Measurement period adjustments.</w:t>
            </w:r>
            <w:r w:rsidRPr="005D4222">
              <w:t xml:space="preserve"> Organizations may adjust the measurement period. </w:t>
            </w:r>
          </w:p>
          <w:p w14:paraId="6742B1ED" w14:textId="6F000397" w:rsidR="003846A3" w:rsidRPr="005D4222" w:rsidRDefault="003846A3">
            <w:pPr>
              <w:pStyle w:val="ProcessBullet"/>
              <w:rPr>
                <w:rFonts w:eastAsia="Arial"/>
              </w:rPr>
            </w:pPr>
            <w:r w:rsidRPr="005D4222">
              <w:rPr>
                <w:rFonts w:eastAsia="Arial"/>
                <w:i/>
              </w:rPr>
              <w:t xml:space="preserve">Exclusions. </w:t>
            </w:r>
            <w:r w:rsidRPr="005D4222">
              <w:rPr>
                <w:rFonts w:eastAsia="Arial"/>
              </w:rPr>
              <w:t xml:space="preserve">The hospice and deceased person exclusions are not required. </w:t>
            </w:r>
          </w:p>
          <w:p w14:paraId="04B0C04C" w14:textId="16A3239B" w:rsidR="003846A3" w:rsidRPr="005D4222" w:rsidRDefault="003846A3">
            <w:pPr>
              <w:pStyle w:val="ProcessBullet"/>
              <w:spacing w:after="80"/>
            </w:pPr>
            <w:r w:rsidRPr="005D4222">
              <w:rPr>
                <w:i/>
                <w:iCs/>
              </w:rPr>
              <w:t>Telehealth</w:t>
            </w:r>
            <w:r w:rsidR="00515331" w:rsidRPr="005D4222">
              <w:rPr>
                <w:i/>
                <w:iCs/>
              </w:rPr>
              <w:t xml:space="preserve">. </w:t>
            </w:r>
            <w:r w:rsidRPr="005D4222">
              <w:t>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0BCDC601" w14:textId="77777777" w:rsidR="003846A3" w:rsidRPr="005D4222" w:rsidRDefault="003846A3">
            <w:pPr>
              <w:pStyle w:val="ProcessBullet"/>
            </w:pPr>
            <w:r w:rsidRPr="005D4222">
              <w:rPr>
                <w:i/>
                <w:iCs/>
              </w:rPr>
              <w:t>Supplemental data.</w:t>
            </w:r>
            <w:r w:rsidRPr="005D4222">
              <w:t xml:space="preserve"> Supplemental data may be used to identify initial population, denominator, exclusion and numerator events.</w:t>
            </w:r>
          </w:p>
          <w:p w14:paraId="7031D626" w14:textId="77777777" w:rsidR="003846A3" w:rsidRPr="005D4222" w:rsidRDefault="003846A3">
            <w:pPr>
              <w:pStyle w:val="Adjustments"/>
              <w:rPr>
                <w:b w:val="0"/>
              </w:rPr>
            </w:pPr>
            <w:r w:rsidRPr="005D4222">
              <w:t>Adjustments allowed with limits</w:t>
            </w:r>
          </w:p>
          <w:p w14:paraId="42F15C14" w14:textId="77777777" w:rsidR="003846A3" w:rsidRPr="005D4222" w:rsidRDefault="003846A3">
            <w:pPr>
              <w:pStyle w:val="ProcessBullet"/>
            </w:pPr>
            <w:r w:rsidRPr="005D4222">
              <w:rPr>
                <w:i/>
                <w:iCs/>
              </w:rPr>
              <w:t>Initial population:</w:t>
            </w:r>
            <w:r w:rsidRPr="005D4222">
              <w:t xml:space="preserve"> </w:t>
            </w:r>
            <w:r w:rsidRPr="005D4222">
              <w:rPr>
                <w:iCs/>
              </w:rPr>
              <w:t xml:space="preserve">Event. </w:t>
            </w:r>
            <w:r w:rsidRPr="005D4222">
              <w:rPr>
                <w:rFonts w:eastAsia="Arial"/>
                <w:iCs/>
              </w:rPr>
              <w:t>On</w:t>
            </w:r>
            <w:r w:rsidRPr="005D4222">
              <w:rPr>
                <w:rFonts w:eastAsia="Arial"/>
              </w:rPr>
              <w:t xml:space="preserve">ly events and diagnoses that contain (or map to) codes in the value sets may be used to identify visits with a diagnosis. Value sets and logic may not be changed. </w:t>
            </w:r>
            <w:r w:rsidRPr="005D4222">
              <w:rPr>
                <w:color w:val="000000" w:themeColor="text1"/>
              </w:rPr>
              <w:t>Organizations may assess at the person level by applying measure logic appropriately (i.e.,</w:t>
            </w:r>
            <w:r w:rsidRPr="005D4222">
              <w:t xml:space="preserve"> </w:t>
            </w:r>
            <w:r w:rsidRPr="005D4222">
              <w:rPr>
                <w:color w:val="000000" w:themeColor="text1"/>
              </w:rPr>
              <w:t xml:space="preserve">percentage of acute inpatient hospitalizations, residential treatment or </w:t>
            </w:r>
            <w:r w:rsidRPr="005D4222">
              <w:t>withdrawal management</w:t>
            </w:r>
            <w:r w:rsidRPr="005D4222">
              <w:rPr>
                <w:color w:val="000000" w:themeColor="text1"/>
              </w:rPr>
              <w:t xml:space="preserve"> visits for a diagnosis of substance use disorder that result in a follow-up visit or service for substance use disorder).</w:t>
            </w:r>
          </w:p>
          <w:p w14:paraId="406630E0" w14:textId="77777777" w:rsidR="003846A3" w:rsidRPr="005D4222" w:rsidRDefault="003846A3">
            <w:pPr>
              <w:pStyle w:val="Adjustments"/>
              <w:rPr>
                <w:b w:val="0"/>
              </w:rPr>
            </w:pPr>
            <w:r w:rsidRPr="005D4222">
              <w:t>Adjustments not allowed</w:t>
            </w:r>
          </w:p>
          <w:p w14:paraId="36C20957" w14:textId="0C0BC26E" w:rsidR="003846A3" w:rsidRPr="005D4222" w:rsidRDefault="00DE550E">
            <w:pPr>
              <w:pStyle w:val="ProcessBullet"/>
              <w:spacing w:after="80"/>
              <w:rPr>
                <w:rFonts w:eastAsia="Arial" w:cs="Arial"/>
              </w:rPr>
            </w:pPr>
            <w:r w:rsidRPr="005D4222">
              <w:rPr>
                <w:rFonts w:eastAsia="Arial"/>
                <w:i/>
                <w:iCs/>
              </w:rPr>
              <w:t>Numerator.</w:t>
            </w:r>
            <w:r w:rsidR="003846A3" w:rsidRPr="005D4222">
              <w:rPr>
                <w:rFonts w:eastAsia="Arial"/>
              </w:rPr>
              <w:t xml:space="preserve"> Medication lists, value sets and logic may not be changed.</w:t>
            </w:r>
          </w:p>
        </w:tc>
      </w:tr>
    </w:tbl>
    <w:p w14:paraId="7C8BC51F" w14:textId="77777777" w:rsidR="00250759" w:rsidRPr="005D4222" w:rsidRDefault="00250759" w:rsidP="003846A3">
      <w:pPr>
        <w:pStyle w:val="ECDSBody"/>
        <w:sectPr w:rsidR="00250759" w:rsidRPr="005D4222" w:rsidSect="0074514A">
          <w:headerReference w:type="default" r:id="rId120"/>
          <w:type w:val="nextColumn"/>
          <w:pgSz w:w="12240" w:h="15840" w:code="1"/>
          <w:pgMar w:top="1080" w:right="1080" w:bottom="1080" w:left="1440" w:header="720" w:footer="720" w:gutter="0"/>
          <w:cols w:space="720"/>
          <w:docGrid w:linePitch="360"/>
        </w:sectPr>
      </w:pPr>
    </w:p>
    <w:p w14:paraId="3AC075DC" w14:textId="2290EA0B" w:rsidR="003846A3" w:rsidRPr="005D4222" w:rsidRDefault="005B3667" w:rsidP="005B3667">
      <w:pPr>
        <w:pStyle w:val="MeasureTitle"/>
      </w:pPr>
      <w:bookmarkStart w:id="302" w:name="_Toc201813413"/>
      <w:r w:rsidRPr="005D4222">
        <w:lastRenderedPageBreak/>
        <w:t>Follow-Up After Emergency Department Visit for Substance Use</w:t>
      </w:r>
      <w:r w:rsidR="0096709F" w:rsidRPr="005D4222">
        <w:t xml:space="preserve"> (FUA)</w:t>
      </w:r>
      <w:bookmarkEnd w:id="302"/>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5028"/>
        <w:gridCol w:w="1536"/>
        <w:gridCol w:w="993"/>
      </w:tblGrid>
      <w:tr w:rsidR="00D10B74" w:rsidRPr="005D4222" w14:paraId="0A6C9F37" w14:textId="77777777">
        <w:tc>
          <w:tcPr>
            <w:tcW w:w="2157" w:type="dxa"/>
            <w:shd w:val="clear" w:color="auto" w:fill="BFBFBF" w:themeFill="background1" w:themeFillShade="BF"/>
            <w:tcMar>
              <w:top w:w="0" w:type="dxa"/>
              <w:left w:w="86" w:type="dxa"/>
              <w:bottom w:w="43" w:type="dxa"/>
              <w:right w:w="86" w:type="dxa"/>
            </w:tcMar>
            <w:hideMark/>
          </w:tcPr>
          <w:p w14:paraId="199EB704" w14:textId="77777777" w:rsidR="00D10B74" w:rsidRPr="005D4222" w:rsidRDefault="00D10B74">
            <w:pPr>
              <w:pStyle w:val="MarginHead"/>
            </w:pPr>
            <w:r w:rsidRPr="005D4222">
              <w:t>Measure title</w:t>
            </w:r>
          </w:p>
        </w:tc>
        <w:tc>
          <w:tcPr>
            <w:tcW w:w="5028" w:type="dxa"/>
            <w:tcMar>
              <w:top w:w="0" w:type="dxa"/>
              <w:left w:w="86" w:type="dxa"/>
              <w:bottom w:w="43" w:type="dxa"/>
              <w:right w:w="86" w:type="dxa"/>
            </w:tcMar>
          </w:tcPr>
          <w:p w14:paraId="78DFE110" w14:textId="77777777" w:rsidR="00D10B74" w:rsidRPr="005D4222" w:rsidRDefault="00D10B74">
            <w:pPr>
              <w:pStyle w:val="ECDSBody"/>
            </w:pPr>
            <w:r w:rsidRPr="005D4222">
              <w:t>Follow-Up After Emergency Department Visit for Substance Use</w:t>
            </w:r>
            <w:r w:rsidRPr="005D4222" w:rsidDel="00CD2B9B">
              <w:rPr>
                <w:b/>
              </w:rPr>
              <w:t>*</w:t>
            </w:r>
          </w:p>
        </w:tc>
        <w:tc>
          <w:tcPr>
            <w:tcW w:w="1536" w:type="dxa"/>
            <w:shd w:val="clear" w:color="auto" w:fill="BFBFBF" w:themeFill="background1" w:themeFillShade="BF"/>
            <w:tcMar>
              <w:top w:w="0" w:type="dxa"/>
              <w:left w:w="86" w:type="dxa"/>
              <w:bottom w:w="43" w:type="dxa"/>
              <w:right w:w="86" w:type="dxa"/>
            </w:tcMar>
          </w:tcPr>
          <w:p w14:paraId="3FCA2BBF" w14:textId="77777777" w:rsidR="00D10B74" w:rsidRPr="005D4222" w:rsidRDefault="00D10B74">
            <w:pPr>
              <w:pStyle w:val="ECDSMarginHead"/>
            </w:pPr>
            <w:r w:rsidRPr="005D4222">
              <w:t>Measure ID</w:t>
            </w:r>
          </w:p>
        </w:tc>
        <w:tc>
          <w:tcPr>
            <w:tcW w:w="993" w:type="dxa"/>
            <w:tcMar>
              <w:top w:w="0" w:type="dxa"/>
              <w:left w:w="86" w:type="dxa"/>
              <w:bottom w:w="43" w:type="dxa"/>
              <w:right w:w="86" w:type="dxa"/>
            </w:tcMar>
          </w:tcPr>
          <w:p w14:paraId="49FD0318" w14:textId="77777777" w:rsidR="00D10B74" w:rsidRPr="005D4222" w:rsidRDefault="00D10B74">
            <w:pPr>
              <w:pStyle w:val="ECDSBody"/>
            </w:pPr>
            <w:r w:rsidRPr="005D4222">
              <w:t>FUA</w:t>
            </w:r>
          </w:p>
        </w:tc>
      </w:tr>
      <w:tr w:rsidR="00D10B74" w:rsidRPr="005D4222" w14:paraId="427FDA5A" w14:textId="77777777">
        <w:tc>
          <w:tcPr>
            <w:tcW w:w="2157" w:type="dxa"/>
            <w:shd w:val="clear" w:color="auto" w:fill="BFBFBF" w:themeFill="background1" w:themeFillShade="BF"/>
            <w:tcMar>
              <w:top w:w="0" w:type="dxa"/>
              <w:left w:w="86" w:type="dxa"/>
              <w:bottom w:w="43" w:type="dxa"/>
              <w:right w:w="86" w:type="dxa"/>
            </w:tcMar>
            <w:hideMark/>
          </w:tcPr>
          <w:p w14:paraId="0424BF40" w14:textId="77777777" w:rsidR="00D10B74" w:rsidRPr="005D4222" w:rsidRDefault="00D10B74">
            <w:pPr>
              <w:pStyle w:val="MarginHead"/>
            </w:pPr>
            <w:r w:rsidRPr="005D4222">
              <w:t>Description</w:t>
            </w:r>
          </w:p>
        </w:tc>
        <w:tc>
          <w:tcPr>
            <w:tcW w:w="7557" w:type="dxa"/>
            <w:gridSpan w:val="3"/>
            <w:tcMar>
              <w:top w:w="0" w:type="dxa"/>
              <w:left w:w="86" w:type="dxa"/>
              <w:bottom w:w="43" w:type="dxa"/>
              <w:right w:w="86" w:type="dxa"/>
            </w:tcMar>
          </w:tcPr>
          <w:p w14:paraId="10C9AB8E" w14:textId="77777777" w:rsidR="00D10B74" w:rsidRPr="005D4222" w:rsidRDefault="00D10B74">
            <w:pPr>
              <w:pStyle w:val="ECDSBody"/>
            </w:pPr>
            <w:r w:rsidRPr="005D4222">
              <w:t>The percentage of emergency department (ED) visits among persons age 13 years and older with a principal diagnosis of substance use disorder (SUD), or any diagnosis of drug overdose, for which there was follow-up. Two rates are reported:</w:t>
            </w:r>
          </w:p>
          <w:p w14:paraId="23C72DFF" w14:textId="77777777" w:rsidR="00D10B74" w:rsidRPr="005D4222" w:rsidRDefault="00D10B74" w:rsidP="00D10B74">
            <w:pPr>
              <w:pStyle w:val="Body"/>
              <w:spacing w:before="120" w:after="80"/>
              <w:ind w:left="648" w:hanging="288"/>
            </w:pPr>
            <w:r w:rsidRPr="005D4222">
              <w:t>1.</w:t>
            </w:r>
            <w:r w:rsidRPr="005D4222">
              <w:tab/>
              <w:t>The percentage of ED visits for which the person received follow-up within 30 days of the ED visit (31 total days).</w:t>
            </w:r>
          </w:p>
          <w:p w14:paraId="2B3C4716" w14:textId="77777777" w:rsidR="00D10B74" w:rsidRPr="005D4222" w:rsidRDefault="00D10B74" w:rsidP="00D10B74">
            <w:pPr>
              <w:pStyle w:val="Body"/>
              <w:spacing w:before="120" w:after="80"/>
              <w:ind w:left="648" w:hanging="288"/>
            </w:pPr>
            <w:r w:rsidRPr="005D4222">
              <w:t>2.</w:t>
            </w:r>
            <w:r w:rsidRPr="005D4222">
              <w:tab/>
              <w:t>The percentage of ED visits for which the person received follow-up within 7 days of the ED visit (8 total days).</w:t>
            </w:r>
          </w:p>
        </w:tc>
      </w:tr>
      <w:tr w:rsidR="00D10B74" w:rsidRPr="005D4222" w14:paraId="34F45AEE" w14:textId="77777777">
        <w:tc>
          <w:tcPr>
            <w:tcW w:w="2157" w:type="dxa"/>
            <w:shd w:val="clear" w:color="auto" w:fill="BFBFBF" w:themeFill="background1" w:themeFillShade="BF"/>
            <w:tcMar>
              <w:top w:w="0" w:type="dxa"/>
              <w:left w:w="86" w:type="dxa"/>
              <w:bottom w:w="43" w:type="dxa"/>
              <w:right w:w="86" w:type="dxa"/>
            </w:tcMar>
          </w:tcPr>
          <w:p w14:paraId="3DE893D9" w14:textId="77777777" w:rsidR="00D10B74" w:rsidRPr="005D4222" w:rsidRDefault="00D10B74">
            <w:pPr>
              <w:pStyle w:val="MarginHead"/>
            </w:pPr>
            <w:r w:rsidRPr="005D4222">
              <w:t>Measurement period</w:t>
            </w:r>
          </w:p>
        </w:tc>
        <w:tc>
          <w:tcPr>
            <w:tcW w:w="7557" w:type="dxa"/>
            <w:gridSpan w:val="3"/>
            <w:tcMar>
              <w:top w:w="0" w:type="dxa"/>
              <w:left w:w="86" w:type="dxa"/>
              <w:bottom w:w="43" w:type="dxa"/>
              <w:right w:w="86" w:type="dxa"/>
            </w:tcMar>
          </w:tcPr>
          <w:p w14:paraId="1E7CCDEA" w14:textId="77777777" w:rsidR="00D10B74" w:rsidRPr="005D4222" w:rsidRDefault="00D10B74">
            <w:pPr>
              <w:pStyle w:val="ECDSBody"/>
            </w:pPr>
            <w:r w:rsidRPr="005D4222">
              <w:t>January 1–December 31.</w:t>
            </w:r>
          </w:p>
        </w:tc>
      </w:tr>
      <w:tr w:rsidR="00D10B74" w:rsidRPr="005D4222" w14:paraId="7DE8C60E" w14:textId="77777777">
        <w:tc>
          <w:tcPr>
            <w:tcW w:w="2157" w:type="dxa"/>
            <w:shd w:val="clear" w:color="auto" w:fill="BFBFBF" w:themeFill="background1" w:themeFillShade="BF"/>
            <w:tcMar>
              <w:top w:w="0" w:type="dxa"/>
              <w:left w:w="86" w:type="dxa"/>
              <w:bottom w:w="43" w:type="dxa"/>
              <w:right w:w="86" w:type="dxa"/>
            </w:tcMar>
            <w:hideMark/>
          </w:tcPr>
          <w:p w14:paraId="1D513CE5" w14:textId="77777777" w:rsidR="00D10B74" w:rsidRPr="005D4222" w:rsidRDefault="00D10B74">
            <w:pPr>
              <w:pStyle w:val="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5099EE43" w14:textId="77777777" w:rsidR="00D10B74" w:rsidRPr="005D4222" w:rsidRDefault="00D10B74">
            <w:pPr>
              <w:spacing w:before="120"/>
              <w:ind w:left="92" w:hanging="92"/>
              <w:rPr>
                <w:rFonts w:cs="Arial"/>
                <w:i/>
                <w:iCs/>
              </w:rPr>
            </w:pPr>
            <w:r w:rsidRPr="005D4222" w:rsidDel="00CD2B9B">
              <w:rPr>
                <w:rFonts w:cs="Arial"/>
                <w:bCs/>
                <w:i/>
                <w:iCs/>
              </w:rPr>
              <w:t>*</w:t>
            </w:r>
            <w:r w:rsidRPr="005D4222">
              <w:rPr>
                <w:rFonts w:cs="Arial"/>
                <w:i/>
                <w:iCs/>
              </w:rPr>
              <w:t>Adapted from an NCQA measure with financial support from the Office of the Assistant Secretary for Planning and Evaluation (ASPE) under Prime Contract No. HHSP23320100019WI/HHSP23337001T, in which NCQA was a subcontractor to Mathematica. Additional financial support was provided by the Substance Abuse and Mental Health Services Administration (SAMHSA).</w:t>
            </w:r>
          </w:p>
          <w:p w14:paraId="3C566EB6" w14:textId="77777777" w:rsidR="00D10B74" w:rsidRPr="005D4222" w:rsidRDefault="00D10B74">
            <w:pPr>
              <w:pStyle w:val="ECDSBody"/>
            </w:pPr>
            <w:r w:rsidRPr="005D4222">
              <w:t>Refer to the complete copyright and disclaimer information at the front of this publication.</w:t>
            </w:r>
          </w:p>
          <w:p w14:paraId="5AE204F2" w14:textId="77777777" w:rsidR="00D10B74" w:rsidRPr="005D4222" w:rsidRDefault="00D10B74">
            <w:pPr>
              <w:pStyle w:val="ECDSBody"/>
              <w:spacing w:before="80"/>
            </w:pPr>
            <w:r w:rsidRPr="005D4222">
              <w:t xml:space="preserve">NCQA website: </w:t>
            </w:r>
            <w:r w:rsidRPr="005D4222">
              <w:rPr>
                <w:u w:val="single"/>
              </w:rPr>
              <w:t>www.ncqa.org</w:t>
            </w:r>
            <w:r w:rsidRPr="005D4222">
              <w:t xml:space="preserve">.  </w:t>
            </w:r>
          </w:p>
          <w:p w14:paraId="2BE4A709" w14:textId="77777777" w:rsidR="00D10B74" w:rsidRPr="005D4222" w:rsidRDefault="00D10B74">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D10B74" w:rsidRPr="005D4222" w14:paraId="2CE74400" w14:textId="77777777">
        <w:trPr>
          <w:trHeight w:val="655"/>
        </w:trPr>
        <w:tc>
          <w:tcPr>
            <w:tcW w:w="2157" w:type="dxa"/>
            <w:shd w:val="clear" w:color="auto" w:fill="BFBFBF" w:themeFill="background1" w:themeFillShade="BF"/>
            <w:tcMar>
              <w:top w:w="0" w:type="dxa"/>
              <w:left w:w="86" w:type="dxa"/>
              <w:bottom w:w="43" w:type="dxa"/>
              <w:right w:w="86" w:type="dxa"/>
            </w:tcMar>
            <w:hideMark/>
          </w:tcPr>
          <w:p w14:paraId="6602F35B" w14:textId="77777777" w:rsidR="00D10B74" w:rsidRPr="005D4222" w:rsidRDefault="00D10B74">
            <w:pPr>
              <w:pStyle w:val="MarginHead"/>
            </w:pPr>
            <w:r w:rsidRPr="005D4222">
              <w:t>Clinical recommendation statement/ rationale</w:t>
            </w:r>
          </w:p>
        </w:tc>
        <w:tc>
          <w:tcPr>
            <w:tcW w:w="7557" w:type="dxa"/>
            <w:gridSpan w:val="3"/>
            <w:tcMar>
              <w:top w:w="0" w:type="dxa"/>
              <w:left w:w="86" w:type="dxa"/>
              <w:bottom w:w="43" w:type="dxa"/>
              <w:right w:w="86" w:type="dxa"/>
            </w:tcMar>
          </w:tcPr>
          <w:p w14:paraId="1A3ED608" w14:textId="7479C78C" w:rsidR="00D10B74" w:rsidRPr="005D4222" w:rsidRDefault="00D10B74">
            <w:pPr>
              <w:pStyle w:val="ECDSBody"/>
            </w:pPr>
            <w:r w:rsidRPr="005D4222">
              <w:t>The use of ED services among the SUD or drug misuse population is common: 1 in 8 ED visits in the U.S. were found to be related to SUDs and mental health disorders in 2007 (Weiss et al, 2016). Utilization of ED services for substance use is growing among certain subpopulations, particularly individuals 18–34, as the Centers for Disease Control and Prevention (CDC) reports that the rate of ED visits for a primary diagnosis or primary complaint of SUD increased from 45.4 to 77.0 visits per 10,000 individuals between 2008 and 2016 (CDC, 2019b). In addition to visits for an SUD diagnosis, ED visits attributed to drug overdose are also prevalent. National surveillance data reveal that approximately 75% (435,983) of all ED visits for drug-related poisonings in the U.S., excluding alcohol, were due to nonfatal drug overdoses of unintentional or undetermined intent in 2016 (age-adjusted rate of 137.2 visits per 100,000 population) (CDC, 2019a).</w:t>
            </w:r>
          </w:p>
          <w:p w14:paraId="77A5C0ED" w14:textId="5C1929C7" w:rsidR="00D10B74" w:rsidRPr="005D4222" w:rsidRDefault="00D10B74">
            <w:pPr>
              <w:pStyle w:val="ECDSBody"/>
            </w:pPr>
            <w:r w:rsidRPr="005D4222">
              <w:t xml:space="preserve">The ED is uniquely positioned to improve care for patients with SUD and prevent overdose death because this care setting is the primary provider of acute illness stabilization, timely diagnosis and links to appropriate follow-up care (Samuels et al, 2016). Individuals who are seen in the ED due to substance misuse are at high-risk of subsequent adverse events, especially within the year following their ED visit (Karmali et al, 2020; Goldman-Mellor et al, 2020; Weiner et al, 2020). This measure focuses on ensuring care </w:t>
            </w:r>
          </w:p>
        </w:tc>
      </w:tr>
      <w:tr w:rsidR="005B287A" w:rsidRPr="005D4222" w14:paraId="3D8FFAE6" w14:textId="77777777">
        <w:trPr>
          <w:trHeight w:val="655"/>
        </w:trPr>
        <w:tc>
          <w:tcPr>
            <w:tcW w:w="2157" w:type="dxa"/>
            <w:shd w:val="clear" w:color="auto" w:fill="BFBFBF" w:themeFill="background1" w:themeFillShade="BF"/>
            <w:tcMar>
              <w:top w:w="0" w:type="dxa"/>
              <w:left w:w="86" w:type="dxa"/>
              <w:bottom w:w="43" w:type="dxa"/>
              <w:right w:w="86" w:type="dxa"/>
            </w:tcMar>
          </w:tcPr>
          <w:p w14:paraId="65D8F2BB" w14:textId="77777777" w:rsidR="005B287A" w:rsidRPr="005D4222" w:rsidRDefault="005B287A">
            <w:pPr>
              <w:pStyle w:val="MarginHead"/>
            </w:pPr>
          </w:p>
        </w:tc>
        <w:tc>
          <w:tcPr>
            <w:tcW w:w="7557" w:type="dxa"/>
            <w:gridSpan w:val="3"/>
            <w:tcMar>
              <w:top w:w="0" w:type="dxa"/>
              <w:left w:w="86" w:type="dxa"/>
              <w:bottom w:w="43" w:type="dxa"/>
              <w:right w:w="86" w:type="dxa"/>
            </w:tcMar>
          </w:tcPr>
          <w:p w14:paraId="4EE4E0C6" w14:textId="4C64B04D" w:rsidR="005B287A" w:rsidRPr="005D4222" w:rsidRDefault="005B287A">
            <w:pPr>
              <w:pStyle w:val="ECDSBody"/>
            </w:pPr>
            <w:r w:rsidRPr="005D4222">
              <w:t>coordination for members who are discharged from the ED following high-risk substance use events, since those individuals may be particularly vulnerable to losing contact with the health care system.</w:t>
            </w:r>
          </w:p>
        </w:tc>
      </w:tr>
      <w:tr w:rsidR="00D10B74" w:rsidRPr="005D4222" w14:paraId="42951A2B" w14:textId="77777777">
        <w:tc>
          <w:tcPr>
            <w:tcW w:w="2157" w:type="dxa"/>
            <w:shd w:val="clear" w:color="auto" w:fill="BFBFBF" w:themeFill="background1" w:themeFillShade="BF"/>
            <w:tcMar>
              <w:top w:w="0" w:type="dxa"/>
              <w:left w:w="86" w:type="dxa"/>
              <w:bottom w:w="43" w:type="dxa"/>
              <w:right w:w="86" w:type="dxa"/>
            </w:tcMar>
          </w:tcPr>
          <w:p w14:paraId="3F28903D" w14:textId="77777777" w:rsidR="00D10B74" w:rsidRPr="005D4222" w:rsidRDefault="00D10B74">
            <w:pPr>
              <w:pStyle w:val="ECDSMarginHead"/>
            </w:pPr>
            <w:r w:rsidRPr="005D4222">
              <w:t>Citations</w:t>
            </w:r>
          </w:p>
        </w:tc>
        <w:tc>
          <w:tcPr>
            <w:tcW w:w="7557" w:type="dxa"/>
            <w:gridSpan w:val="3"/>
            <w:tcMar>
              <w:top w:w="0" w:type="dxa"/>
              <w:left w:w="86" w:type="dxa"/>
              <w:bottom w:w="43" w:type="dxa"/>
              <w:right w:w="86" w:type="dxa"/>
            </w:tcMar>
          </w:tcPr>
          <w:p w14:paraId="12323EA4" w14:textId="77777777" w:rsidR="00D10B74" w:rsidRPr="005D4222" w:rsidRDefault="00D10B74">
            <w:pPr>
              <w:pStyle w:val="ECDSBody"/>
            </w:pPr>
            <w:r w:rsidRPr="005D4222">
              <w:t xml:space="preserve">Weiss, A., M. Barrett, K. Heslin, C. Stocks. 2016. </w:t>
            </w:r>
            <w:r w:rsidRPr="005D4222">
              <w:rPr>
                <w:i/>
                <w:iCs/>
              </w:rPr>
              <w:t>Trends in Emergency Department Visits Involving Mental and Substance Use Disorders, 2006–2013.</w:t>
            </w:r>
            <w:r w:rsidRPr="005D4222">
              <w:t xml:space="preserve"> HCUP Statistical Brief #216. Agency for Healthcare Research and Quality. http://www.hcup-us.ahrq.gov/reports/statbriefs/sb216-Mental-Substance-Use-Disorder-ED-VisitTrends.pdf </w:t>
            </w:r>
          </w:p>
          <w:p w14:paraId="2C99E22F" w14:textId="77777777" w:rsidR="00D10B74" w:rsidRPr="005D4222" w:rsidRDefault="00D10B74">
            <w:pPr>
              <w:pStyle w:val="ECDSBody"/>
            </w:pPr>
            <w:r w:rsidRPr="005D4222">
              <w:t xml:space="preserve">Centers for Disease Control and Prevention (CDC). 2019b. “QuickStats: Number of Emergency Department Visits for Substance Abuse or Dependence per 10,000 Persons Aged ≥18 Years, by Age Group — United States,2008–2009 and 2016–2017.” </w:t>
            </w:r>
            <w:r w:rsidRPr="005D4222">
              <w:rPr>
                <w:i/>
                <w:iCs/>
              </w:rPr>
              <w:t>MMWR Morb Mortal Wkly Rep</w:t>
            </w:r>
            <w:r w:rsidRPr="005D4222">
              <w:t xml:space="preserve"> 2019 68:1171. DOI: http://dx.doi.org/10.15585/mmwr.mm6850a7externalicon</w:t>
            </w:r>
          </w:p>
          <w:p w14:paraId="2686FF4A" w14:textId="77777777" w:rsidR="00D10B74" w:rsidRPr="005D4222" w:rsidRDefault="00D10B74">
            <w:pPr>
              <w:pStyle w:val="ECDSBody"/>
            </w:pPr>
            <w:r w:rsidRPr="005D4222">
              <w:t xml:space="preserve">CDC. 2019a. </w:t>
            </w:r>
            <w:r w:rsidRPr="005D4222">
              <w:rPr>
                <w:i/>
                <w:iCs/>
              </w:rPr>
              <w:t>Annual Surveillance Report of Drug-Related Risks and Outcomes.</w:t>
            </w:r>
            <w:r w:rsidRPr="005D4222">
              <w:t xml:space="preserve"> CDC National Center for Injury Prevention and Control. https://www.cdc.gov/drugoverdose/pdf/pubs/2019-cdc-drug-surveillance-report.pdf </w:t>
            </w:r>
          </w:p>
          <w:p w14:paraId="23FC8809" w14:textId="77777777" w:rsidR="00D10B74" w:rsidRPr="005D4222" w:rsidRDefault="00D10B74">
            <w:pPr>
              <w:pStyle w:val="ECDSBody"/>
            </w:pPr>
            <w:r w:rsidRPr="005D4222">
              <w:t xml:space="preserve">Samuels, E.A., K. Dwyer, M.J. Mello, J. Baird, A.R. Kellogg, &amp; E. Bernstein. 2016. “Emergency Department-Based Opioid Harm Reduction: Moving Physicians from Willing to Doing.” </w:t>
            </w:r>
            <w:r w:rsidRPr="005D4222">
              <w:rPr>
                <w:i/>
                <w:iCs/>
              </w:rPr>
              <w:t>Academic Emergency Medicine</w:t>
            </w:r>
            <w:r w:rsidRPr="005D4222">
              <w:t xml:space="preserve"> 23(4), </w:t>
            </w:r>
            <w:r w:rsidRPr="005D4222">
              <w:br/>
              <w:t xml:space="preserve">455–65. </w:t>
            </w:r>
          </w:p>
          <w:p w14:paraId="29FB860E" w14:textId="77777777" w:rsidR="00D10B74" w:rsidRPr="005D4222" w:rsidRDefault="00D10B74">
            <w:pPr>
              <w:pStyle w:val="ECDSBody"/>
            </w:pPr>
            <w:r w:rsidRPr="005D4222">
              <w:t xml:space="preserve">Karmali, R., T. Ray, A. Rubinstein, S. Sterling, C. Weisner, C. Campbell. 2020. “The Role of Substance Use Disorders in Experiencing a Repeat Opioid Overdose, and Substance Use Treatment Patterns Among Patients with a </w:t>
            </w:r>
            <w:r w:rsidRPr="005D4222">
              <w:br/>
              <w:t xml:space="preserve">Non-Fatal Opioid Overdose.” </w:t>
            </w:r>
            <w:r w:rsidRPr="005D4222">
              <w:rPr>
                <w:i/>
                <w:iCs/>
              </w:rPr>
              <w:t xml:space="preserve">Drug and Alcohol Dependence </w:t>
            </w:r>
            <w:r w:rsidRPr="005D4222">
              <w:t xml:space="preserve">209, 107923. </w:t>
            </w:r>
          </w:p>
          <w:p w14:paraId="3152972F" w14:textId="13CEFE4F" w:rsidR="00D10B74" w:rsidRPr="005D4222" w:rsidRDefault="00D10B74">
            <w:pPr>
              <w:pStyle w:val="ECDSBody"/>
            </w:pPr>
            <w:r w:rsidRPr="005D4222">
              <w:t xml:space="preserve">Goldman-Mellor, S., M. Olfson, C. Lidon-Moyano, &amp; M. Schoenbaum. 2020. “Mortality Following Nonfatal Opioid and Sedative/Hypnotic Drug Overdose.” </w:t>
            </w:r>
            <w:r w:rsidRPr="005D4222">
              <w:rPr>
                <w:i/>
                <w:iCs/>
              </w:rPr>
              <w:t>American Journal of Preventive Medicine</w:t>
            </w:r>
            <w:r w:rsidRPr="005D4222">
              <w:t xml:space="preserve"> 59(1), 59</w:t>
            </w:r>
            <w:r w:rsidR="00147529" w:rsidRPr="005D4222">
              <w:t>–</w:t>
            </w:r>
            <w:r w:rsidRPr="005D4222">
              <w:t>67. doi:10.1016/j.amepre.2020.02.012.</w:t>
            </w:r>
          </w:p>
          <w:p w14:paraId="487EC695" w14:textId="77777777" w:rsidR="00D10B74" w:rsidRPr="005D4222" w:rsidRDefault="00D10B74">
            <w:pPr>
              <w:pStyle w:val="ECDSBody"/>
            </w:pPr>
            <w:r w:rsidRPr="005D4222">
              <w:t xml:space="preserve">Weiner, S.G., O. Baker, D. Bernson, J.D. Schuur. 2020. “One-Year Mortality of Patients after Emergency Department Treatment for Nonfatal Opioid Overdose.” </w:t>
            </w:r>
            <w:r w:rsidRPr="005D4222">
              <w:rPr>
                <w:i/>
                <w:iCs/>
              </w:rPr>
              <w:t>Ann Emerg Med</w:t>
            </w:r>
            <w:r w:rsidRPr="005D4222">
              <w:t xml:space="preserve"> 5(1):13–17.</w:t>
            </w:r>
          </w:p>
        </w:tc>
      </w:tr>
      <w:tr w:rsidR="00D10B74" w:rsidRPr="005D4222" w14:paraId="11FBAD38" w14:textId="77777777">
        <w:tc>
          <w:tcPr>
            <w:tcW w:w="9714"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6D19CDDE" w14:textId="77777777" w:rsidR="00D10B74" w:rsidRPr="005D4222" w:rsidRDefault="00D10B74">
            <w:pPr>
              <w:pStyle w:val="ECDSMarginHead"/>
            </w:pPr>
            <w:r w:rsidRPr="005D4222">
              <w:t>Characteristics</w:t>
            </w:r>
          </w:p>
        </w:tc>
      </w:tr>
      <w:tr w:rsidR="00D10B74" w:rsidRPr="005D4222" w14:paraId="21311DBD" w14:textId="77777777">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7F3102A6" w14:textId="77777777" w:rsidR="00D10B74" w:rsidRPr="005D4222" w:rsidRDefault="00D10B74" w:rsidP="007A2588">
            <w:pPr>
              <w:pStyle w:val="ECDSMarginSubhead"/>
              <w:spacing w:after="0"/>
            </w:pPr>
            <w:r w:rsidRPr="005D4222">
              <w:t>Scoring</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163F9B2F" w14:textId="77777777" w:rsidR="00D10B74" w:rsidRPr="005D4222" w:rsidRDefault="00D10B74" w:rsidP="007A2588">
            <w:pPr>
              <w:pStyle w:val="ECDSBody"/>
              <w:spacing w:after="0"/>
            </w:pPr>
            <w:r w:rsidRPr="005D4222">
              <w:t>Proportion.</w:t>
            </w:r>
          </w:p>
        </w:tc>
      </w:tr>
      <w:tr w:rsidR="00D10B74" w:rsidRPr="005D4222" w14:paraId="5E53533A"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744E8FF5" w14:textId="77777777" w:rsidR="00D10B74" w:rsidRPr="005D4222" w:rsidRDefault="00D10B74" w:rsidP="007A2588">
            <w:pPr>
              <w:pStyle w:val="ECDSMarginSubhead"/>
              <w:spacing w:after="0"/>
            </w:pPr>
            <w:r w:rsidRPr="005D4222">
              <w:t>Type</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04F5A1F8" w14:textId="77777777" w:rsidR="00D10B74" w:rsidRPr="005D4222" w:rsidRDefault="00D10B74" w:rsidP="007A2588">
            <w:pPr>
              <w:pStyle w:val="ECDSBody"/>
              <w:spacing w:after="0"/>
            </w:pPr>
            <w:r w:rsidRPr="005D4222">
              <w:t>Process.</w:t>
            </w:r>
          </w:p>
        </w:tc>
      </w:tr>
      <w:tr w:rsidR="00D10B74" w:rsidRPr="005D4222" w14:paraId="51206956"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3DACB163" w14:textId="31ED5D85" w:rsidR="00D10B74" w:rsidRPr="005D4222" w:rsidRDefault="00B51CDC" w:rsidP="007A2588">
            <w:pPr>
              <w:pStyle w:val="ECDSMarginSubhead"/>
            </w:pPr>
            <w:r w:rsidRPr="005D4222">
              <w:t>Product lines</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251DEA39" w14:textId="77777777" w:rsidR="00D10B74" w:rsidRPr="005D4222" w:rsidRDefault="00D10B74" w:rsidP="005D6173">
            <w:pPr>
              <w:pStyle w:val="ProcessBullet"/>
              <w:numPr>
                <w:ilvl w:val="0"/>
                <w:numId w:val="62"/>
              </w:numPr>
              <w:tabs>
                <w:tab w:val="clear" w:pos="720"/>
                <w:tab w:val="num" w:pos="181"/>
              </w:tabs>
              <w:spacing w:before="120"/>
            </w:pPr>
            <w:r w:rsidRPr="005D4222">
              <w:t>Commercial.</w:t>
            </w:r>
          </w:p>
          <w:p w14:paraId="07AF5C96" w14:textId="77777777" w:rsidR="00D10B74" w:rsidRPr="005D4222" w:rsidRDefault="00D10B74" w:rsidP="005D6173">
            <w:pPr>
              <w:pStyle w:val="ProcessBullet"/>
              <w:numPr>
                <w:ilvl w:val="0"/>
                <w:numId w:val="62"/>
              </w:numPr>
              <w:tabs>
                <w:tab w:val="clear" w:pos="720"/>
                <w:tab w:val="num" w:pos="181"/>
              </w:tabs>
            </w:pPr>
            <w:r w:rsidRPr="005D4222">
              <w:t>Medicaid.</w:t>
            </w:r>
          </w:p>
          <w:p w14:paraId="6D7F8BBB" w14:textId="77777777" w:rsidR="00D10B74" w:rsidRPr="005D4222" w:rsidRDefault="00D10B74" w:rsidP="005D6173">
            <w:pPr>
              <w:pStyle w:val="ProcessBullet"/>
              <w:numPr>
                <w:ilvl w:val="0"/>
                <w:numId w:val="62"/>
              </w:numPr>
              <w:tabs>
                <w:tab w:val="clear" w:pos="720"/>
                <w:tab w:val="num" w:pos="181"/>
              </w:tabs>
            </w:pPr>
            <w:r w:rsidRPr="005D4222">
              <w:t>Medicare.</w:t>
            </w:r>
          </w:p>
        </w:tc>
      </w:tr>
      <w:tr w:rsidR="00D10B74" w:rsidRPr="005D4222" w14:paraId="0043CA65" w14:textId="77777777">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6375F15D" w14:textId="0C74E2D7" w:rsidR="00D10B74" w:rsidRPr="005D4222" w:rsidRDefault="00B51CDC" w:rsidP="007A2588">
            <w:pPr>
              <w:pStyle w:val="ECDSMarginSubhead"/>
            </w:pPr>
            <w:r w:rsidRPr="005D4222">
              <w:t>Stratifications</w:t>
            </w:r>
            <w:r w:rsidR="00D10B74" w:rsidRPr="005D4222">
              <w:t xml:space="preserve"> </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hideMark/>
          </w:tcPr>
          <w:p w14:paraId="3EB976EB" w14:textId="77777777" w:rsidR="00D10B74" w:rsidRPr="005D4222" w:rsidRDefault="00D10B74">
            <w:pPr>
              <w:pStyle w:val="ECDSBody"/>
            </w:pPr>
            <w:r w:rsidRPr="005D4222">
              <w:t>Age as of the ED visit.</w:t>
            </w:r>
          </w:p>
          <w:p w14:paraId="6C13F20E" w14:textId="77777777" w:rsidR="00D10B74" w:rsidRPr="005D4222" w:rsidRDefault="00D10B74" w:rsidP="00D10B74">
            <w:pPr>
              <w:pStyle w:val="Bullet"/>
              <w:numPr>
                <w:ilvl w:val="0"/>
                <w:numId w:val="4"/>
              </w:numPr>
              <w:tabs>
                <w:tab w:val="left" w:pos="360"/>
                <w:tab w:val="left" w:pos="576"/>
              </w:tabs>
              <w:ind w:left="576" w:hanging="216"/>
            </w:pPr>
            <w:r w:rsidRPr="005D4222">
              <w:t>13–17 years.</w:t>
            </w:r>
          </w:p>
          <w:p w14:paraId="1B5E0072" w14:textId="63357F16" w:rsidR="004C6F00" w:rsidRPr="005D4222" w:rsidRDefault="00D10B74" w:rsidP="00EC7F61">
            <w:pPr>
              <w:pStyle w:val="Bullet"/>
              <w:numPr>
                <w:ilvl w:val="0"/>
                <w:numId w:val="4"/>
              </w:numPr>
              <w:tabs>
                <w:tab w:val="left" w:pos="360"/>
                <w:tab w:val="left" w:pos="576"/>
              </w:tabs>
              <w:spacing w:after="80"/>
              <w:ind w:left="576" w:hanging="216"/>
              <w:rPr>
                <w:rFonts w:asciiTheme="minorHAnsi" w:hAnsiTheme="minorHAnsi" w:cstheme="minorHAnsi"/>
                <w:sz w:val="18"/>
                <w:szCs w:val="18"/>
                <w:lang w:eastAsia="zh-CN"/>
              </w:rPr>
            </w:pPr>
            <w:bookmarkStart w:id="303" w:name="_Int_La7hIqw1"/>
            <w:r w:rsidRPr="005D4222">
              <w:t>18</w:t>
            </w:r>
            <w:bookmarkEnd w:id="303"/>
            <w:r w:rsidRPr="005D4222">
              <w:t xml:space="preserve"> years and older.</w:t>
            </w:r>
          </w:p>
        </w:tc>
      </w:tr>
    </w:tbl>
    <w:p w14:paraId="16595892" w14:textId="77777777" w:rsidR="004C6F00" w:rsidRPr="005D4222" w:rsidRDefault="004C6F00"/>
    <w:tbl>
      <w:tblPr>
        <w:tblW w:w="9714" w:type="dxa"/>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D10B74" w:rsidRPr="005D4222" w14:paraId="4ACBA3DD" w14:textId="77777777" w:rsidTr="00FF225B">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43B821EA" w14:textId="77777777" w:rsidR="00D10B74" w:rsidRPr="005D4222" w:rsidRDefault="00D10B74">
            <w:pPr>
              <w:pStyle w:val="MarginHead"/>
            </w:pP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4D13B3EC" w14:textId="77777777" w:rsidR="004C6F00" w:rsidRPr="005D4222" w:rsidRDefault="004C6F00" w:rsidP="004C6F00">
            <w:pPr>
              <w:pStyle w:val="ECDSBody"/>
              <w:rPr>
                <w:lang w:eastAsia="zh-CN"/>
              </w:rPr>
            </w:pPr>
            <w:r w:rsidRPr="005D4222">
              <w:rPr>
                <w:lang w:eastAsia="zh-CN"/>
              </w:rPr>
              <w:t xml:space="preserve">Race. (Refer to </w:t>
            </w:r>
            <w:hyperlink w:anchor="GG_Race_and_Ethnicity" w:history="1">
              <w:r w:rsidRPr="005D4222">
                <w:rPr>
                  <w:rStyle w:val="Hyperlink"/>
                  <w:i/>
                  <w:iCs/>
                  <w:lang w:eastAsia="zh-CN"/>
                </w:rPr>
                <w:t>General Guideline: Race and Ethnicity Stratification</w:t>
              </w:r>
            </w:hyperlink>
            <w:r w:rsidRPr="005D4222">
              <w:rPr>
                <w:lang w:eastAsia="zh-CN"/>
              </w:rPr>
              <w:t xml:space="preserve">.) </w:t>
            </w:r>
          </w:p>
          <w:p w14:paraId="07EA301E" w14:textId="77777777" w:rsidR="004C6F00" w:rsidRPr="005D4222" w:rsidRDefault="004C6F00" w:rsidP="004C6F00">
            <w:pPr>
              <w:pStyle w:val="Bullet"/>
              <w:numPr>
                <w:ilvl w:val="0"/>
                <w:numId w:val="4"/>
              </w:numPr>
              <w:tabs>
                <w:tab w:val="left" w:pos="360"/>
                <w:tab w:val="left" w:pos="576"/>
              </w:tabs>
              <w:ind w:left="576" w:hanging="216"/>
              <w:rPr>
                <w:lang w:eastAsia="zh-CN"/>
              </w:rPr>
            </w:pPr>
            <w:r w:rsidRPr="005D4222">
              <w:rPr>
                <w:lang w:eastAsia="zh-CN"/>
              </w:rPr>
              <w:t xml:space="preserve">American Indian or Alaska Native. </w:t>
            </w:r>
          </w:p>
          <w:p w14:paraId="3E449809" w14:textId="77777777" w:rsidR="004C6F00" w:rsidRPr="005D4222" w:rsidRDefault="004C6F00" w:rsidP="004C6F00">
            <w:pPr>
              <w:pStyle w:val="Bullet"/>
              <w:numPr>
                <w:ilvl w:val="0"/>
                <w:numId w:val="4"/>
              </w:numPr>
              <w:tabs>
                <w:tab w:val="left" w:pos="360"/>
                <w:tab w:val="left" w:pos="576"/>
              </w:tabs>
              <w:ind w:left="576" w:hanging="216"/>
              <w:rPr>
                <w:lang w:eastAsia="zh-CN"/>
              </w:rPr>
            </w:pPr>
            <w:r w:rsidRPr="005D4222">
              <w:rPr>
                <w:lang w:eastAsia="zh-CN"/>
              </w:rPr>
              <w:t xml:space="preserve">Asian. </w:t>
            </w:r>
          </w:p>
          <w:p w14:paraId="68896064" w14:textId="77777777" w:rsidR="004C6F00" w:rsidRPr="005D4222" w:rsidRDefault="004C6F00" w:rsidP="004C6F00">
            <w:pPr>
              <w:pStyle w:val="Bullet"/>
              <w:numPr>
                <w:ilvl w:val="0"/>
                <w:numId w:val="4"/>
              </w:numPr>
              <w:tabs>
                <w:tab w:val="left" w:pos="360"/>
                <w:tab w:val="left" w:pos="576"/>
              </w:tabs>
              <w:spacing w:after="80"/>
              <w:ind w:left="576" w:hanging="216"/>
              <w:rPr>
                <w:rFonts w:asciiTheme="minorHAnsi" w:hAnsiTheme="minorHAnsi" w:cstheme="minorHAnsi"/>
                <w:sz w:val="18"/>
                <w:szCs w:val="18"/>
                <w:lang w:eastAsia="zh-CN"/>
              </w:rPr>
            </w:pPr>
            <w:r w:rsidRPr="005D4222">
              <w:rPr>
                <w:lang w:eastAsia="zh-CN"/>
              </w:rPr>
              <w:t>Black or African American.</w:t>
            </w:r>
          </w:p>
          <w:p w14:paraId="09F9E1B5" w14:textId="77777777" w:rsidR="00D10B74" w:rsidRPr="005D4222" w:rsidRDefault="00D10B74" w:rsidP="00D10B74">
            <w:pPr>
              <w:pStyle w:val="Bullet"/>
              <w:numPr>
                <w:ilvl w:val="0"/>
                <w:numId w:val="4"/>
              </w:numPr>
              <w:tabs>
                <w:tab w:val="left" w:pos="360"/>
                <w:tab w:val="left" w:pos="576"/>
              </w:tabs>
              <w:ind w:left="576" w:hanging="216"/>
              <w:rPr>
                <w:lang w:eastAsia="zh-CN"/>
              </w:rPr>
            </w:pPr>
            <w:r w:rsidRPr="005D4222">
              <w:rPr>
                <w:lang w:eastAsia="zh-CN"/>
              </w:rPr>
              <w:t>Middle Eastern or North African.</w:t>
            </w:r>
          </w:p>
          <w:p w14:paraId="52549A7E" w14:textId="77777777" w:rsidR="00D10B74" w:rsidRPr="005D4222" w:rsidRDefault="00D10B74" w:rsidP="00D10B74">
            <w:pPr>
              <w:pStyle w:val="Bullet"/>
              <w:numPr>
                <w:ilvl w:val="0"/>
                <w:numId w:val="4"/>
              </w:numPr>
              <w:tabs>
                <w:tab w:val="left" w:pos="360"/>
                <w:tab w:val="left" w:pos="576"/>
              </w:tabs>
              <w:ind w:left="576" w:hanging="216"/>
              <w:rPr>
                <w:lang w:eastAsia="zh-CN"/>
              </w:rPr>
            </w:pPr>
            <w:r w:rsidRPr="005D4222">
              <w:rPr>
                <w:lang w:eastAsia="zh-CN"/>
              </w:rPr>
              <w:t>Native Hawaiian or Pacific Islander.</w:t>
            </w:r>
          </w:p>
          <w:p w14:paraId="12B7C764" w14:textId="77777777" w:rsidR="00D10B74" w:rsidRPr="005D4222" w:rsidRDefault="00D10B74" w:rsidP="00D10B74">
            <w:pPr>
              <w:pStyle w:val="Bullet"/>
              <w:numPr>
                <w:ilvl w:val="0"/>
                <w:numId w:val="4"/>
              </w:numPr>
              <w:tabs>
                <w:tab w:val="left" w:pos="360"/>
                <w:tab w:val="left" w:pos="576"/>
              </w:tabs>
              <w:ind w:left="576" w:hanging="216"/>
              <w:rPr>
                <w:lang w:eastAsia="zh-CN"/>
              </w:rPr>
            </w:pPr>
            <w:r w:rsidRPr="005D4222">
              <w:rPr>
                <w:lang w:eastAsia="zh-CN"/>
              </w:rPr>
              <w:t xml:space="preserve">White. </w:t>
            </w:r>
          </w:p>
          <w:p w14:paraId="2F690538" w14:textId="77777777" w:rsidR="00D10B74" w:rsidRPr="005D4222" w:rsidRDefault="00D10B74" w:rsidP="00D10B74">
            <w:pPr>
              <w:pStyle w:val="Bullet"/>
              <w:numPr>
                <w:ilvl w:val="0"/>
                <w:numId w:val="4"/>
              </w:numPr>
              <w:tabs>
                <w:tab w:val="left" w:pos="360"/>
                <w:tab w:val="left" w:pos="576"/>
              </w:tabs>
              <w:ind w:left="576" w:hanging="216"/>
              <w:rPr>
                <w:lang w:eastAsia="zh-CN"/>
              </w:rPr>
            </w:pPr>
            <w:r w:rsidRPr="005D4222">
              <w:rPr>
                <w:lang w:eastAsia="zh-CN"/>
              </w:rPr>
              <w:t xml:space="preserve">Some Other Race. </w:t>
            </w:r>
          </w:p>
          <w:p w14:paraId="6AFA1087" w14:textId="77777777" w:rsidR="00D10B74" w:rsidRPr="005D4222" w:rsidRDefault="00D10B74" w:rsidP="00D10B74">
            <w:pPr>
              <w:pStyle w:val="Bullet"/>
              <w:numPr>
                <w:ilvl w:val="0"/>
                <w:numId w:val="4"/>
              </w:numPr>
              <w:tabs>
                <w:tab w:val="left" w:pos="360"/>
                <w:tab w:val="left" w:pos="576"/>
              </w:tabs>
              <w:ind w:left="576" w:hanging="216"/>
              <w:rPr>
                <w:lang w:eastAsia="zh-CN"/>
              </w:rPr>
            </w:pPr>
            <w:r w:rsidRPr="005D4222">
              <w:rPr>
                <w:lang w:eastAsia="zh-CN"/>
              </w:rPr>
              <w:t xml:space="preserve">Two or More Races. </w:t>
            </w:r>
          </w:p>
          <w:p w14:paraId="16590D6C" w14:textId="77777777" w:rsidR="00D10B74" w:rsidRPr="005D4222" w:rsidRDefault="00D10B74" w:rsidP="00D10B74">
            <w:pPr>
              <w:pStyle w:val="Bullet"/>
              <w:numPr>
                <w:ilvl w:val="0"/>
                <w:numId w:val="4"/>
              </w:numPr>
              <w:tabs>
                <w:tab w:val="left" w:pos="360"/>
                <w:tab w:val="left" w:pos="576"/>
              </w:tabs>
              <w:ind w:left="576" w:hanging="216"/>
              <w:rPr>
                <w:lang w:eastAsia="zh-CN"/>
              </w:rPr>
            </w:pPr>
            <w:r w:rsidRPr="005D4222">
              <w:rPr>
                <w:lang w:eastAsia="zh-CN"/>
              </w:rPr>
              <w:t xml:space="preserve">Asked But No Answer. </w:t>
            </w:r>
          </w:p>
          <w:p w14:paraId="71649DCE" w14:textId="77777777" w:rsidR="00D10B74" w:rsidRPr="005D4222" w:rsidRDefault="00D10B74" w:rsidP="00D10B74">
            <w:pPr>
              <w:pStyle w:val="Bullet"/>
              <w:numPr>
                <w:ilvl w:val="0"/>
                <w:numId w:val="4"/>
              </w:numPr>
              <w:tabs>
                <w:tab w:val="left" w:pos="360"/>
                <w:tab w:val="left" w:pos="576"/>
              </w:tabs>
              <w:spacing w:after="80"/>
              <w:ind w:left="576" w:hanging="216"/>
              <w:rPr>
                <w:rFonts w:asciiTheme="minorHAnsi" w:hAnsiTheme="minorHAnsi" w:cstheme="minorHAnsi"/>
                <w:sz w:val="18"/>
                <w:szCs w:val="18"/>
                <w:lang w:eastAsia="zh-CN"/>
              </w:rPr>
            </w:pPr>
            <w:r w:rsidRPr="005D4222">
              <w:rPr>
                <w:lang w:eastAsia="zh-CN"/>
              </w:rPr>
              <w:t xml:space="preserve">Unknown. </w:t>
            </w:r>
          </w:p>
          <w:p w14:paraId="3C06E32B" w14:textId="52D895EF" w:rsidR="00D10B74" w:rsidRPr="005D4222" w:rsidRDefault="00D10B74">
            <w:pPr>
              <w:pStyle w:val="ECDSBody"/>
              <w:rPr>
                <w:lang w:eastAsia="zh-CN"/>
              </w:rPr>
            </w:pPr>
            <w:r w:rsidRPr="005D4222">
              <w:rPr>
                <w:lang w:eastAsia="zh-CN"/>
              </w:rPr>
              <w:t xml:space="preserve">Ethnicity. (Refer to </w:t>
            </w:r>
            <w:hyperlink w:anchor="GG_Race_and_Ethnicity" w:history="1">
              <w:r w:rsidRPr="005D4222">
                <w:rPr>
                  <w:rStyle w:val="Hyperlink"/>
                  <w:i/>
                  <w:iCs/>
                  <w:lang w:eastAsia="zh-CN"/>
                </w:rPr>
                <w:t>General Guideline: Race and Ethnicity Stratification</w:t>
              </w:r>
            </w:hyperlink>
            <w:r w:rsidRPr="005D4222">
              <w:rPr>
                <w:lang w:eastAsia="zh-CN"/>
              </w:rPr>
              <w:t>.)</w:t>
            </w:r>
          </w:p>
          <w:p w14:paraId="6F45C1DC" w14:textId="77777777" w:rsidR="00D10B74" w:rsidRPr="005D4222" w:rsidRDefault="00D10B74" w:rsidP="00D10B74">
            <w:pPr>
              <w:pStyle w:val="Bullet"/>
              <w:numPr>
                <w:ilvl w:val="0"/>
                <w:numId w:val="4"/>
              </w:numPr>
              <w:tabs>
                <w:tab w:val="left" w:pos="360"/>
                <w:tab w:val="left" w:pos="576"/>
              </w:tabs>
              <w:ind w:left="576" w:hanging="216"/>
              <w:rPr>
                <w:lang w:eastAsia="zh-CN"/>
              </w:rPr>
            </w:pPr>
            <w:r w:rsidRPr="005D4222">
              <w:rPr>
                <w:lang w:eastAsia="zh-CN"/>
              </w:rPr>
              <w:t xml:space="preserve">Hispanic or Latino. </w:t>
            </w:r>
          </w:p>
          <w:p w14:paraId="622AFB92" w14:textId="77777777" w:rsidR="00D10B74" w:rsidRPr="005D4222" w:rsidRDefault="00D10B74" w:rsidP="00D10B74">
            <w:pPr>
              <w:pStyle w:val="Bullet"/>
              <w:numPr>
                <w:ilvl w:val="0"/>
                <w:numId w:val="4"/>
              </w:numPr>
              <w:tabs>
                <w:tab w:val="left" w:pos="360"/>
                <w:tab w:val="left" w:pos="576"/>
              </w:tabs>
              <w:ind w:left="576" w:hanging="216"/>
              <w:rPr>
                <w:lang w:eastAsia="zh-CN"/>
              </w:rPr>
            </w:pPr>
            <w:r w:rsidRPr="005D4222">
              <w:rPr>
                <w:lang w:eastAsia="zh-CN"/>
              </w:rPr>
              <w:t xml:space="preserve">Not Hispanic or Latino. </w:t>
            </w:r>
          </w:p>
          <w:p w14:paraId="26020A8C" w14:textId="77777777" w:rsidR="00D10B74" w:rsidRPr="005D4222" w:rsidRDefault="00D10B74" w:rsidP="00D10B74">
            <w:pPr>
              <w:pStyle w:val="Bullet"/>
              <w:numPr>
                <w:ilvl w:val="0"/>
                <w:numId w:val="4"/>
              </w:numPr>
              <w:tabs>
                <w:tab w:val="left" w:pos="360"/>
                <w:tab w:val="left" w:pos="576"/>
              </w:tabs>
              <w:ind w:left="576" w:hanging="216"/>
              <w:rPr>
                <w:lang w:eastAsia="zh-CN"/>
              </w:rPr>
            </w:pPr>
            <w:r w:rsidRPr="005D4222">
              <w:rPr>
                <w:lang w:eastAsia="zh-CN"/>
              </w:rPr>
              <w:t xml:space="preserve">Asked But No Answer. </w:t>
            </w:r>
          </w:p>
          <w:p w14:paraId="375B7606" w14:textId="77777777" w:rsidR="00D10B74" w:rsidRPr="005D4222" w:rsidRDefault="00D10B74" w:rsidP="00D10B74">
            <w:pPr>
              <w:pStyle w:val="Bullet"/>
              <w:numPr>
                <w:ilvl w:val="0"/>
                <w:numId w:val="4"/>
              </w:numPr>
              <w:tabs>
                <w:tab w:val="left" w:pos="360"/>
                <w:tab w:val="left" w:pos="576"/>
              </w:tabs>
              <w:ind w:left="576" w:hanging="216"/>
            </w:pPr>
            <w:r w:rsidRPr="005D4222">
              <w:rPr>
                <w:lang w:eastAsia="zh-CN"/>
              </w:rPr>
              <w:t xml:space="preserve">Unknown. </w:t>
            </w:r>
          </w:p>
        </w:tc>
      </w:tr>
      <w:tr w:rsidR="00D10B74" w:rsidRPr="005D4222" w14:paraId="5AFAA983" w14:textId="77777777" w:rsidTr="00FF225B">
        <w:tc>
          <w:tcPr>
            <w:tcW w:w="2157" w:type="dxa"/>
            <w:tcBorders>
              <w:top w:val="nil"/>
              <w:left w:val="single" w:sz="4" w:space="0" w:color="auto"/>
              <w:bottom w:val="nil"/>
              <w:right w:val="single" w:sz="4" w:space="0" w:color="auto"/>
            </w:tcBorders>
            <w:tcMar>
              <w:top w:w="0" w:type="dxa"/>
              <w:left w:w="86" w:type="dxa"/>
              <w:bottom w:w="43" w:type="dxa"/>
              <w:right w:w="86" w:type="dxa"/>
            </w:tcMar>
          </w:tcPr>
          <w:p w14:paraId="015A2D68" w14:textId="77777777" w:rsidR="00D10B74" w:rsidRPr="005D4222" w:rsidRDefault="00D10B74" w:rsidP="00B77A98">
            <w:pPr>
              <w:pStyle w:val="ECDSSubhead"/>
            </w:pPr>
            <w:r w:rsidRPr="005D4222">
              <w:t>Risk adjustment</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7B8C9345" w14:textId="77777777" w:rsidR="00D10B74" w:rsidRPr="005D4222" w:rsidRDefault="00D10B74" w:rsidP="005B3F1B">
            <w:pPr>
              <w:pStyle w:val="ECDSBody"/>
            </w:pPr>
            <w:r w:rsidRPr="005D4222">
              <w:t>None.</w:t>
            </w:r>
          </w:p>
        </w:tc>
      </w:tr>
      <w:tr w:rsidR="00D10B74" w:rsidRPr="005D4222" w14:paraId="5560C5F1" w14:textId="77777777" w:rsidTr="00FF225B">
        <w:tc>
          <w:tcPr>
            <w:tcW w:w="2157" w:type="dxa"/>
            <w:tcBorders>
              <w:top w:val="nil"/>
              <w:left w:val="single" w:sz="4" w:space="0" w:color="auto"/>
              <w:bottom w:val="nil"/>
              <w:right w:val="single" w:sz="4" w:space="0" w:color="auto"/>
            </w:tcBorders>
            <w:tcMar>
              <w:top w:w="0" w:type="dxa"/>
              <w:left w:w="86" w:type="dxa"/>
              <w:bottom w:w="43" w:type="dxa"/>
              <w:right w:w="86" w:type="dxa"/>
            </w:tcMar>
          </w:tcPr>
          <w:p w14:paraId="5D45FE19" w14:textId="77777777" w:rsidR="00D10B74" w:rsidRPr="005D4222" w:rsidRDefault="00D10B74" w:rsidP="00B77A98">
            <w:pPr>
              <w:pStyle w:val="ECDSSubhead"/>
            </w:pPr>
            <w:r w:rsidRPr="005D4222">
              <w:t>Improvement notation</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6131FA6B" w14:textId="77777777" w:rsidR="00D10B74" w:rsidRPr="005D4222" w:rsidRDefault="00D10B74" w:rsidP="005B3F1B">
            <w:pPr>
              <w:pStyle w:val="ECDSBody"/>
            </w:pPr>
            <w:r w:rsidRPr="005D4222">
              <w:t>Increased score indicates improvement.</w:t>
            </w:r>
          </w:p>
        </w:tc>
      </w:tr>
      <w:tr w:rsidR="00D10B74" w:rsidRPr="005D4222" w14:paraId="48171370" w14:textId="77777777" w:rsidTr="00FF225B">
        <w:trPr>
          <w:trHeight w:val="633"/>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7C969E0A" w14:textId="77777777" w:rsidR="00D10B74" w:rsidRPr="005D4222" w:rsidRDefault="00D10B74" w:rsidP="00B77A98">
            <w:pPr>
              <w:pStyle w:val="ECDSSubhead"/>
            </w:pPr>
            <w:r w:rsidRPr="005D4222">
              <w:t>Guidance</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3939F0A0" w14:textId="645D6859" w:rsidR="00D10B74" w:rsidRPr="005D4222" w:rsidRDefault="00D10B74">
            <w:pPr>
              <w:pStyle w:val="ECDSBody"/>
            </w:pPr>
            <w:r w:rsidRPr="005D4222">
              <w:rPr>
                <w:b/>
              </w:rPr>
              <w:t>Data collection methodology:</w:t>
            </w:r>
            <w:r w:rsidRPr="005D4222">
              <w:t xml:space="preserve"> Administrative. Refer to </w:t>
            </w:r>
            <w:hyperlink w:anchor="General_Guideline_Data_Collection_Method" w:history="1">
              <w:r w:rsidRPr="005D4222">
                <w:rPr>
                  <w:rStyle w:val="Hyperlink"/>
                  <w:i/>
                </w:rPr>
                <w:t>General Guideline: Data Collection Methods</w:t>
              </w:r>
            </w:hyperlink>
            <w:r w:rsidRPr="005D4222">
              <w:t xml:space="preserve"> for additional information. </w:t>
            </w:r>
          </w:p>
          <w:p w14:paraId="7ED101DD" w14:textId="77777777" w:rsidR="00D10B74" w:rsidRPr="005D4222" w:rsidRDefault="00D10B74">
            <w:pPr>
              <w:pStyle w:val="ECDSBody"/>
            </w:pPr>
            <w:r w:rsidRPr="005D4222">
              <w:rPr>
                <w:b/>
              </w:rPr>
              <w:t>Date specificity:</w:t>
            </w:r>
            <w:r w:rsidRPr="005D4222">
              <w:t xml:space="preserve"> Dates must be specific enough to determine the event occurred in the period being measured.</w:t>
            </w:r>
          </w:p>
          <w:p w14:paraId="33417006" w14:textId="77777777" w:rsidR="00D10B74" w:rsidRPr="005D4222" w:rsidRDefault="00D10B74">
            <w:pPr>
              <w:pStyle w:val="ECDSBody"/>
            </w:pPr>
            <w:r w:rsidRPr="005D4222">
              <w:rPr>
                <w:b/>
              </w:rPr>
              <w:t>Which services count?</w:t>
            </w:r>
            <w:r w:rsidRPr="005D4222">
              <w:t xml:space="preserve"> When using claims, include all paid, suspended, pending and denied claims.</w:t>
            </w:r>
          </w:p>
          <w:p w14:paraId="70737004" w14:textId="77777777" w:rsidR="00D10B74" w:rsidRPr="005D4222" w:rsidRDefault="00D10B74">
            <w:pPr>
              <w:pStyle w:val="Body"/>
              <w:rPr>
                <w:b/>
                <w:bCs/>
              </w:rPr>
            </w:pPr>
            <w:r w:rsidRPr="005D4222">
              <w:rPr>
                <w:b/>
                <w:bCs/>
              </w:rPr>
              <w:t xml:space="preserve">Other guidance: </w:t>
            </w:r>
          </w:p>
          <w:p w14:paraId="179D417E" w14:textId="38706E52" w:rsidR="00D10B74" w:rsidRPr="005D4222" w:rsidRDefault="00D10B74">
            <w:pPr>
              <w:pStyle w:val="ProcessBullet"/>
            </w:pPr>
            <w:r w:rsidRPr="005D4222">
              <w:t xml:space="preserve">Refer to </w:t>
            </w:r>
            <w:hyperlink w:anchor="Appendix_1" w:history="1">
              <w:r w:rsidRPr="005D4222">
                <w:rPr>
                  <w:rStyle w:val="Hyperlink"/>
                </w:rPr>
                <w:t>Appendix 1</w:t>
              </w:r>
            </w:hyperlink>
            <w:r w:rsidRPr="005D4222">
              <w:t xml:space="preserve"> for the definition of </w:t>
            </w:r>
            <w:r w:rsidRPr="005D4222">
              <w:rPr>
                <w:i/>
                <w:iCs/>
              </w:rPr>
              <w:t>mental health provider.</w:t>
            </w:r>
            <w:r w:rsidRPr="005D4222">
              <w:t xml:space="preserve"> Organizations must develop their own methods to identify mental health providers. Methods are subject to review by the HEDIS auditor.</w:t>
            </w:r>
          </w:p>
          <w:p w14:paraId="06E631F4" w14:textId="77777777" w:rsidR="00D10B74" w:rsidRPr="005D4222" w:rsidRDefault="00D10B74">
            <w:pPr>
              <w:pStyle w:val="ProcessBullet"/>
              <w:spacing w:after="80"/>
            </w:pPr>
            <w:r w:rsidRPr="005D4222">
              <w:t>The measure is based on episodes; therefore</w:t>
            </w:r>
            <w:r w:rsidRPr="005D4222" w:rsidDel="009F3CA9">
              <w:t>, i</w:t>
            </w:r>
            <w:r w:rsidRPr="005D4222">
              <w:t>t is possible for the denominator to include multiple events for the same person.</w:t>
            </w:r>
          </w:p>
        </w:tc>
      </w:tr>
      <w:tr w:rsidR="00D10B74" w:rsidRPr="005D4222" w14:paraId="43ABAC06" w14:textId="77777777" w:rsidTr="00FF225B">
        <w:trPr>
          <w:trHeight w:val="320"/>
        </w:trPr>
        <w:tc>
          <w:tcPr>
            <w:tcW w:w="2157" w:type="dxa"/>
            <w:shd w:val="clear" w:color="auto" w:fill="BFBFBF" w:themeFill="background1" w:themeFillShade="BF"/>
            <w:tcMar>
              <w:top w:w="0" w:type="dxa"/>
              <w:left w:w="86" w:type="dxa"/>
              <w:bottom w:w="43" w:type="dxa"/>
              <w:right w:w="86" w:type="dxa"/>
            </w:tcMar>
          </w:tcPr>
          <w:p w14:paraId="38519990" w14:textId="77777777" w:rsidR="00D10B74" w:rsidRPr="005D4222" w:rsidRDefault="00D10B74">
            <w:pPr>
              <w:pStyle w:val="ECDSMarginHead"/>
            </w:pPr>
            <w:r w:rsidRPr="005D4222">
              <w:t>Initial population</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D7CF60A" w14:textId="77777777" w:rsidR="00D10B74" w:rsidRPr="005D4222" w:rsidRDefault="00D10B74">
            <w:pPr>
              <w:pStyle w:val="Body"/>
              <w:rPr>
                <w:rFonts w:cs="Arial"/>
              </w:rPr>
            </w:pPr>
            <w:r w:rsidRPr="005D4222">
              <w:rPr>
                <w:rFonts w:cs="Arial"/>
                <w:i/>
              </w:rPr>
              <w:t xml:space="preserve">Measure </w:t>
            </w:r>
            <w:r w:rsidRPr="005D4222">
              <w:rPr>
                <w:rFonts w:cs="Arial"/>
                <w:i/>
                <w:iCs/>
              </w:rPr>
              <w:t>item count</w:t>
            </w:r>
            <w:r w:rsidRPr="005D4222">
              <w:rPr>
                <w:rFonts w:cs="Arial"/>
                <w:i/>
              </w:rPr>
              <w:t>:</w:t>
            </w:r>
            <w:r w:rsidRPr="005D4222">
              <w:rPr>
                <w:rFonts w:cs="Arial"/>
              </w:rPr>
              <w:t xml:space="preserve"> Episode.</w:t>
            </w:r>
          </w:p>
          <w:p w14:paraId="2DF7B779" w14:textId="77777777" w:rsidR="00D10B74" w:rsidRPr="005D4222" w:rsidRDefault="00D10B74">
            <w:pPr>
              <w:pStyle w:val="Body"/>
              <w:rPr>
                <w:rFonts w:cs="Arial"/>
              </w:rPr>
            </w:pPr>
            <w:r w:rsidRPr="005D4222">
              <w:rPr>
                <w:rFonts w:cs="Arial"/>
                <w:i/>
              </w:rPr>
              <w:t>Attribution basis:</w:t>
            </w:r>
            <w:r w:rsidRPr="005D4222">
              <w:rPr>
                <w:rFonts w:cs="Arial"/>
              </w:rPr>
              <w:t xml:space="preserve"> Enrollment.</w:t>
            </w:r>
          </w:p>
          <w:p w14:paraId="13466EA2" w14:textId="77777777" w:rsidR="00D10B74" w:rsidRPr="005D4222" w:rsidRDefault="00D10B74" w:rsidP="00D10B74">
            <w:pPr>
              <w:pStyle w:val="Bullet"/>
              <w:numPr>
                <w:ilvl w:val="0"/>
                <w:numId w:val="4"/>
              </w:numPr>
              <w:tabs>
                <w:tab w:val="left" w:pos="360"/>
                <w:tab w:val="left" w:pos="576"/>
              </w:tabs>
              <w:ind w:left="576" w:hanging="216"/>
              <w:rPr>
                <w:i/>
                <w:sz w:val="20"/>
                <w:szCs w:val="20"/>
              </w:rPr>
            </w:pPr>
            <w:r w:rsidRPr="005D4222">
              <w:rPr>
                <w:i/>
              </w:rPr>
              <w:t>Benefits:</w:t>
            </w:r>
            <w:r w:rsidRPr="005D4222">
              <w:t xml:space="preserve"> Medical, chemical dependency and pharmacy. </w:t>
            </w:r>
            <w:r w:rsidRPr="005D4222">
              <w:br/>
            </w:r>
            <w:r w:rsidRPr="005D4222">
              <w:rPr>
                <w:b/>
                <w:bCs/>
                <w:i/>
                <w:iCs/>
                <w:sz w:val="20"/>
                <w:szCs w:val="20"/>
              </w:rPr>
              <w:t>Note:</w:t>
            </w:r>
            <w:r w:rsidRPr="005D4222">
              <w:rPr>
                <w:i/>
                <w:iCs/>
                <w:sz w:val="20"/>
                <w:szCs w:val="20"/>
              </w:rPr>
              <w:t xml:space="preserve"> A withdrawal</w:t>
            </w:r>
            <w:r w:rsidRPr="005D4222">
              <w:rPr>
                <w:i/>
                <w:sz w:val="20"/>
                <w:szCs w:val="20"/>
              </w:rPr>
              <w:t xml:space="preserve"> management/detoxification-only chemical dependency </w:t>
            </w:r>
            <w:r w:rsidRPr="005D4222">
              <w:rPr>
                <w:i/>
                <w:iCs/>
                <w:sz w:val="20"/>
                <w:szCs w:val="20"/>
              </w:rPr>
              <w:t>benefit does</w:t>
            </w:r>
            <w:r w:rsidRPr="005D4222">
              <w:rPr>
                <w:i/>
                <w:sz w:val="20"/>
                <w:szCs w:val="20"/>
              </w:rPr>
              <w:t xml:space="preserve"> not meet these criteria. </w:t>
            </w:r>
          </w:p>
          <w:p w14:paraId="5602C77B" w14:textId="2FAED34C" w:rsidR="00D10B74" w:rsidRPr="005D4222" w:rsidRDefault="00D10B74" w:rsidP="004C6F00">
            <w:pPr>
              <w:pStyle w:val="Bullet"/>
              <w:numPr>
                <w:ilvl w:val="0"/>
                <w:numId w:val="4"/>
              </w:numPr>
              <w:tabs>
                <w:tab w:val="left" w:pos="360"/>
                <w:tab w:val="left" w:pos="576"/>
              </w:tabs>
              <w:spacing w:after="80"/>
              <w:ind w:left="576" w:hanging="216"/>
              <w:rPr>
                <w:rFonts w:cs="Arial"/>
              </w:rPr>
            </w:pPr>
            <w:r w:rsidRPr="005D4222">
              <w:rPr>
                <w:i/>
              </w:rPr>
              <w:t>Continuous enrollment:</w:t>
            </w:r>
            <w:r w:rsidRPr="005D4222">
              <w:t xml:space="preserve"> The date of the ED visit through 30 days after the ED visit (31 total days).</w:t>
            </w:r>
          </w:p>
        </w:tc>
      </w:tr>
      <w:tr w:rsidR="00D10B74" w:rsidRPr="005D4222" w14:paraId="7403CD6A" w14:textId="77777777" w:rsidTr="00FF225B">
        <w:trPr>
          <w:trHeight w:val="320"/>
        </w:trPr>
        <w:tc>
          <w:tcPr>
            <w:tcW w:w="2157" w:type="dxa"/>
            <w:shd w:val="clear" w:color="auto" w:fill="BFBFBF" w:themeFill="background1" w:themeFillShade="BF"/>
            <w:tcMar>
              <w:top w:w="0" w:type="dxa"/>
              <w:left w:w="86" w:type="dxa"/>
              <w:bottom w:w="43" w:type="dxa"/>
              <w:right w:w="86" w:type="dxa"/>
            </w:tcMar>
          </w:tcPr>
          <w:p w14:paraId="49B43F86" w14:textId="77777777" w:rsidR="00D10B74" w:rsidRPr="005D4222" w:rsidRDefault="00D10B74">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7CD1BFD" w14:textId="77777777" w:rsidR="004C6F00" w:rsidRPr="005D4222" w:rsidRDefault="004C6F00" w:rsidP="004C6F00">
            <w:pPr>
              <w:pStyle w:val="Bullet"/>
              <w:numPr>
                <w:ilvl w:val="0"/>
                <w:numId w:val="4"/>
              </w:numPr>
              <w:tabs>
                <w:tab w:val="left" w:pos="360"/>
                <w:tab w:val="left" w:pos="576"/>
              </w:tabs>
              <w:ind w:left="576" w:hanging="216"/>
            </w:pPr>
            <w:r w:rsidRPr="005D4222">
              <w:rPr>
                <w:i/>
              </w:rPr>
              <w:t>Allowable gap:</w:t>
            </w:r>
            <w:r w:rsidRPr="005D4222">
              <w:t xml:space="preserve"> None.</w:t>
            </w:r>
          </w:p>
          <w:p w14:paraId="0F4E006C" w14:textId="067FE330" w:rsidR="004C6F00" w:rsidRPr="005D4222" w:rsidRDefault="004C6F00" w:rsidP="004C6F00">
            <w:pPr>
              <w:pStyle w:val="Body"/>
              <w:rPr>
                <w:rFonts w:cs="Arial"/>
              </w:rPr>
            </w:pPr>
            <w:r w:rsidRPr="005D4222">
              <w:rPr>
                <w:rFonts w:cs="Arial"/>
                <w:i/>
              </w:rPr>
              <w:t>Ages:</w:t>
            </w:r>
            <w:r w:rsidRPr="005D4222">
              <w:rPr>
                <w:rFonts w:cs="Arial"/>
              </w:rPr>
              <w:t xml:space="preserve"> 13 years </w:t>
            </w:r>
            <w:r w:rsidR="00B62F52" w:rsidRPr="005D4222">
              <w:rPr>
                <w:rFonts w:cs="Arial"/>
              </w:rPr>
              <w:t xml:space="preserve">of age </w:t>
            </w:r>
            <w:r w:rsidRPr="005D4222">
              <w:rPr>
                <w:rFonts w:cs="Arial"/>
              </w:rPr>
              <w:t>or older as of the ED visit.</w:t>
            </w:r>
          </w:p>
          <w:p w14:paraId="22F5C2C3" w14:textId="14475329" w:rsidR="00D10B74" w:rsidRPr="005D4222" w:rsidRDefault="00D10B74" w:rsidP="004C6F00">
            <w:pPr>
              <w:pStyle w:val="Body"/>
              <w:spacing w:before="120"/>
              <w:rPr>
                <w:bCs/>
              </w:rPr>
            </w:pPr>
            <w:r w:rsidRPr="005D4222">
              <w:rPr>
                <w:rFonts w:cs="Arial"/>
                <w:i/>
              </w:rPr>
              <w:t>Event:</w:t>
            </w:r>
            <w:r w:rsidRPr="005D4222">
              <w:rPr>
                <w:rFonts w:cs="Arial"/>
              </w:rPr>
              <w:t xml:space="preserve"> </w:t>
            </w:r>
            <w:r w:rsidRPr="005D4222">
              <w:rPr>
                <w:b/>
                <w:bCs/>
              </w:rPr>
              <w:t>Emergency department visit for substance use.</w:t>
            </w:r>
            <w:r w:rsidRPr="005D4222">
              <w:br/>
              <w:t>An ED visit (</w:t>
            </w:r>
            <w:r w:rsidRPr="005D4222">
              <w:rPr>
                <w:u w:val="single"/>
              </w:rPr>
              <w:t>ED Value Se</w:t>
            </w:r>
            <w:r w:rsidRPr="005D4222">
              <w:t xml:space="preserve">t) with a principal diagnosis of </w:t>
            </w:r>
            <w:r w:rsidRPr="005D4222">
              <w:rPr>
                <w:color w:val="000000" w:themeColor="text1"/>
              </w:rPr>
              <w:t>SUD (</w:t>
            </w:r>
            <w:r w:rsidRPr="005D4222">
              <w:rPr>
                <w:color w:val="000000" w:themeColor="text1"/>
                <w:u w:val="single"/>
              </w:rPr>
              <w:t>AOD Abuse and Dependence Value Set</w:t>
            </w:r>
            <w:r w:rsidRPr="005D4222">
              <w:rPr>
                <w:color w:val="000000" w:themeColor="text1"/>
              </w:rPr>
              <w:t xml:space="preserve">) </w:t>
            </w:r>
            <w:r w:rsidRPr="005D4222">
              <w:rPr>
                <w:b/>
                <w:i/>
                <w:color w:val="000000" w:themeColor="text1"/>
              </w:rPr>
              <w:t>or</w:t>
            </w:r>
            <w:r w:rsidRPr="005D4222">
              <w:rPr>
                <w:color w:val="000000" w:themeColor="text1"/>
              </w:rPr>
              <w:t xml:space="preserve"> any diagnosis of drug overdose (</w:t>
            </w:r>
            <w:r w:rsidRPr="005D4222">
              <w:rPr>
                <w:color w:val="000000" w:themeColor="text1"/>
                <w:u w:val="single"/>
              </w:rPr>
              <w:t>Unintentional Drug Overdose Value Set</w:t>
            </w:r>
            <w:r w:rsidRPr="005D4222">
              <w:rPr>
                <w:color w:val="000000" w:themeColor="text1"/>
              </w:rPr>
              <w:t>)</w:t>
            </w:r>
            <w:r w:rsidRPr="005D4222">
              <w:t xml:space="preserve"> </w:t>
            </w:r>
            <w:r w:rsidRPr="005D4222">
              <w:rPr>
                <w:bCs/>
              </w:rPr>
              <w:t>on or between January 1 and December 1 of the measurement period.</w:t>
            </w:r>
          </w:p>
          <w:p w14:paraId="493D6677" w14:textId="77777777" w:rsidR="00D10B74" w:rsidRPr="005D4222" w:rsidRDefault="00D10B74">
            <w:pPr>
              <w:pStyle w:val="ECDSBody"/>
            </w:pPr>
            <w:r w:rsidRPr="005D4222">
              <w:rPr>
                <w:b/>
                <w:i/>
              </w:rPr>
              <w:t>Multiple visits in a 31-day period.</w:t>
            </w:r>
            <w:r w:rsidRPr="005D4222">
              <w:rPr>
                <w:iCs/>
              </w:rPr>
              <w:br/>
            </w:r>
            <w:r w:rsidRPr="005D4222">
              <w:t xml:space="preserve">If a person has more than one ED visit, identify all eligible ED visits between January 1 and December 1 of the measurement period and do not include more than one visit per 31-day period. </w:t>
            </w:r>
          </w:p>
          <w:p w14:paraId="5390C2D7" w14:textId="7189C627" w:rsidR="00D10B74" w:rsidRPr="005D4222" w:rsidRDefault="00D10B74" w:rsidP="00D10B74">
            <w:pPr>
              <w:pStyle w:val="Bullet"/>
              <w:numPr>
                <w:ilvl w:val="0"/>
                <w:numId w:val="4"/>
              </w:numPr>
              <w:tabs>
                <w:tab w:val="left" w:pos="360"/>
                <w:tab w:val="left" w:pos="576"/>
              </w:tabs>
              <w:ind w:left="576" w:hanging="216"/>
            </w:pPr>
            <w:r w:rsidRPr="005D4222">
              <w:rPr>
                <w:i/>
                <w:iCs/>
              </w:rPr>
              <w:t>For example,</w:t>
            </w:r>
            <w:r w:rsidRPr="005D4222">
              <w:t xml:space="preserve"> if </w:t>
            </w:r>
            <w:r w:rsidRPr="005D4222" w:rsidDel="00D8168D">
              <w:t>a person has</w:t>
            </w:r>
            <w:r w:rsidRPr="005D4222">
              <w:t xml:space="preserve"> an ED visit on January 1,</w:t>
            </w:r>
            <w:r w:rsidRPr="005D4222" w:rsidDel="003231FA">
              <w:t xml:space="preserve"> </w:t>
            </w:r>
            <w:r w:rsidRPr="005D4222">
              <w:t xml:space="preserve">include </w:t>
            </w:r>
            <w:r w:rsidRPr="005D4222" w:rsidDel="0050128F">
              <w:t>the January 1</w:t>
            </w:r>
            <w:r w:rsidRPr="005D4222">
              <w:t xml:space="preserve"> visit and do not include ED visits that occur on or between January 2 and January 31</w:t>
            </w:r>
            <w:r w:rsidRPr="005D4222" w:rsidDel="00D8168D">
              <w:t>;</w:t>
            </w:r>
            <w:r w:rsidRPr="005D4222">
              <w:t xml:space="preserve"> then, if applicable, include the next ED visit that occurs on or after February 1. Identify visits chronologically, including only one per 31-day period. </w:t>
            </w:r>
          </w:p>
          <w:p w14:paraId="738F8340" w14:textId="77777777" w:rsidR="00D10B74" w:rsidRPr="005D4222" w:rsidRDefault="00D10B74" w:rsidP="00FD0AA3">
            <w:pPr>
              <w:pStyle w:val="Note"/>
              <w:spacing w:before="80"/>
            </w:pPr>
            <w:r w:rsidRPr="005D4222">
              <w:rPr>
                <w:b/>
              </w:rPr>
              <w:t>Note:</w:t>
            </w:r>
            <w:r w:rsidRPr="005D4222">
              <w:t xml:space="preserve"> Removal of multiple visits in a 31-day period is based on </w:t>
            </w:r>
            <w:r w:rsidRPr="005D4222">
              <w:rPr>
                <w:b/>
              </w:rPr>
              <w:t>eligible</w:t>
            </w:r>
            <w:r w:rsidRPr="005D4222">
              <w:t xml:space="preserve"> visits. Assess each ED visit for exclusions before removing multiple visits in a 31-day period.</w:t>
            </w:r>
          </w:p>
          <w:p w14:paraId="63AB2396" w14:textId="77777777" w:rsidR="00D10B74" w:rsidRPr="005D4222" w:rsidRDefault="00D10B74">
            <w:pPr>
              <w:pStyle w:val="ECDSBody"/>
              <w:rPr>
                <w:b/>
                <w:i/>
              </w:rPr>
            </w:pPr>
            <w:r w:rsidRPr="005D4222">
              <w:rPr>
                <w:b/>
                <w:i/>
              </w:rPr>
              <w:t>ED visit</w:t>
            </w:r>
            <w:r w:rsidRPr="005D4222" w:rsidDel="00654DDF">
              <w:rPr>
                <w:b/>
                <w:i/>
              </w:rPr>
              <w:t>s</w:t>
            </w:r>
            <w:r w:rsidRPr="005D4222">
              <w:rPr>
                <w:b/>
                <w:i/>
              </w:rPr>
              <w:t xml:space="preserve"> followed by inpatient admission.</w:t>
            </w:r>
          </w:p>
          <w:p w14:paraId="37811CB7" w14:textId="77777777" w:rsidR="00D10B74" w:rsidRPr="005D4222" w:rsidRDefault="00D10B74">
            <w:pPr>
              <w:pStyle w:val="ProcessBullet"/>
            </w:pPr>
            <w:r w:rsidRPr="005D4222" w:rsidDel="00FD4154">
              <w:t xml:space="preserve">Exclude </w:t>
            </w:r>
            <w:r w:rsidRPr="005D4222">
              <w:t xml:space="preserve">ED visits that result in an inpatient stay. </w:t>
            </w:r>
          </w:p>
          <w:p w14:paraId="6F376F8B" w14:textId="77777777" w:rsidR="00D10B74" w:rsidRPr="005D4222" w:rsidRDefault="00D10B74">
            <w:pPr>
              <w:pStyle w:val="ProcessBullet"/>
            </w:pPr>
            <w:r w:rsidRPr="005D4222">
              <w:t>Exclude ED visits followed by an admission to an acute or nonacute inpatient care setting on the date of the ED visit or within the 30 days after the ED visit, regardless of the principal diagnosis for the admission. To identify admissions to an acute or nonacute inpatient care setting:</w:t>
            </w:r>
          </w:p>
          <w:p w14:paraId="3CBF2A3F" w14:textId="77777777" w:rsidR="00D10B74" w:rsidRPr="005D4222" w:rsidRDefault="00D10B74" w:rsidP="005D6173">
            <w:pPr>
              <w:pStyle w:val="Body"/>
              <w:numPr>
                <w:ilvl w:val="0"/>
                <w:numId w:val="61"/>
              </w:numPr>
              <w:spacing w:before="40"/>
              <w:ind w:left="504" w:hanging="288"/>
            </w:pPr>
            <w:r w:rsidRPr="005D4222">
              <w:t>Identify all acute and nonacute inpatient stays (</w:t>
            </w:r>
            <w:r w:rsidRPr="005D4222">
              <w:rPr>
                <w:u w:val="single"/>
              </w:rPr>
              <w:t>Inpatient Stay Value Set</w:t>
            </w:r>
            <w:r w:rsidRPr="005D4222">
              <w:t>).</w:t>
            </w:r>
          </w:p>
          <w:p w14:paraId="0CC48B61" w14:textId="77777777" w:rsidR="00D10B74" w:rsidRPr="005D4222" w:rsidRDefault="00D10B74" w:rsidP="005D6173">
            <w:pPr>
              <w:pStyle w:val="Body"/>
              <w:numPr>
                <w:ilvl w:val="0"/>
                <w:numId w:val="61"/>
              </w:numPr>
              <w:spacing w:before="40"/>
              <w:ind w:left="504" w:hanging="288"/>
            </w:pPr>
            <w:r w:rsidRPr="005D4222">
              <w:t>Identify the admission date for the stay.</w:t>
            </w:r>
          </w:p>
          <w:p w14:paraId="6B23CF91" w14:textId="77777777" w:rsidR="00D10B74" w:rsidRPr="005D4222" w:rsidRDefault="00D10B74">
            <w:pPr>
              <w:pStyle w:val="ECDSBody"/>
            </w:pPr>
            <w:r w:rsidRPr="005D4222">
              <w:rPr>
                <w:b/>
                <w:i/>
              </w:rPr>
              <w:t>ED visit</w:t>
            </w:r>
            <w:r w:rsidRPr="005D4222" w:rsidDel="00654DDF">
              <w:rPr>
                <w:b/>
                <w:i/>
              </w:rPr>
              <w:t>s</w:t>
            </w:r>
            <w:r w:rsidRPr="005D4222">
              <w:rPr>
                <w:b/>
                <w:i/>
              </w:rPr>
              <w:t xml:space="preserve"> followed by residential treatment.</w:t>
            </w:r>
            <w:r w:rsidRPr="005D4222">
              <w:rPr>
                <w:b/>
                <w:iCs/>
              </w:rPr>
              <w:br/>
            </w:r>
            <w:r w:rsidRPr="005D4222">
              <w:t>Exclude ED visits followed by residential treatment on the date of the ED visit or within the 30 days after the ED visit. Any of the following meet criteria for residential treatment:</w:t>
            </w:r>
          </w:p>
          <w:p w14:paraId="57DEEAE1" w14:textId="77777777" w:rsidR="00D10B74" w:rsidRPr="005D4222" w:rsidRDefault="00D10B74" w:rsidP="00D10B74">
            <w:pPr>
              <w:pStyle w:val="Bullet"/>
              <w:numPr>
                <w:ilvl w:val="0"/>
                <w:numId w:val="4"/>
              </w:numPr>
              <w:tabs>
                <w:tab w:val="left" w:pos="360"/>
                <w:tab w:val="left" w:pos="576"/>
              </w:tabs>
              <w:ind w:left="576" w:hanging="216"/>
            </w:pPr>
            <w:r w:rsidRPr="005D4222">
              <w:rPr>
                <w:u w:val="single"/>
              </w:rPr>
              <w:t>Residential Behavioral Health Treatment Value Set</w:t>
            </w:r>
            <w:r w:rsidRPr="005D4222">
              <w:t>.</w:t>
            </w:r>
          </w:p>
          <w:p w14:paraId="1DE5A7A9" w14:textId="77777777" w:rsidR="00D10B74" w:rsidRPr="005D4222" w:rsidRDefault="00D10B74" w:rsidP="00D10B74">
            <w:pPr>
              <w:pStyle w:val="Bullet"/>
              <w:numPr>
                <w:ilvl w:val="0"/>
                <w:numId w:val="4"/>
              </w:numPr>
              <w:tabs>
                <w:tab w:val="left" w:pos="360"/>
                <w:tab w:val="left" w:pos="576"/>
              </w:tabs>
              <w:ind w:left="576" w:hanging="216"/>
            </w:pPr>
            <w:r w:rsidRPr="005D4222">
              <w:t>Psychiatric Residential Treatment Center (POS code 56).</w:t>
            </w:r>
          </w:p>
          <w:p w14:paraId="0E5DC3C8" w14:textId="77777777" w:rsidR="00D10B74" w:rsidRPr="005D4222" w:rsidRDefault="00D10B74" w:rsidP="00D10B74">
            <w:pPr>
              <w:pStyle w:val="Bullet"/>
              <w:numPr>
                <w:ilvl w:val="0"/>
                <w:numId w:val="4"/>
              </w:numPr>
              <w:tabs>
                <w:tab w:val="left" w:pos="360"/>
                <w:tab w:val="left" w:pos="576"/>
              </w:tabs>
              <w:ind w:left="576" w:hanging="216"/>
            </w:pPr>
            <w:r w:rsidRPr="005D4222">
              <w:t>Residential Substance Abuse Treatment Facility (POS code 55).</w:t>
            </w:r>
          </w:p>
          <w:p w14:paraId="3E2C8AC6" w14:textId="77777777" w:rsidR="00D10B74" w:rsidRPr="005D4222" w:rsidRDefault="00D10B74" w:rsidP="00D10B74">
            <w:pPr>
              <w:pStyle w:val="Bullet"/>
              <w:numPr>
                <w:ilvl w:val="0"/>
                <w:numId w:val="4"/>
              </w:numPr>
              <w:tabs>
                <w:tab w:val="left" w:pos="360"/>
                <w:tab w:val="left" w:pos="576"/>
              </w:tabs>
              <w:ind w:left="576" w:hanging="216"/>
              <w:rPr>
                <w:u w:val="single"/>
              </w:rPr>
            </w:pPr>
            <w:r w:rsidRPr="005D4222">
              <w:rPr>
                <w:u w:val="single"/>
              </w:rPr>
              <w:t>Residential Program Detoxification Value Set</w:t>
            </w:r>
            <w:r w:rsidRPr="005D4222">
              <w:t>.</w:t>
            </w:r>
          </w:p>
          <w:p w14:paraId="4DD4B3D5" w14:textId="77777777" w:rsidR="00D10B74" w:rsidRPr="005D4222" w:rsidRDefault="00D10B74">
            <w:pPr>
              <w:pStyle w:val="ECDSBody"/>
              <w:rPr>
                <w:i/>
              </w:rPr>
            </w:pPr>
            <w:r w:rsidRPr="005D4222">
              <w:t xml:space="preserve">These events are </w:t>
            </w:r>
            <w:r w:rsidRPr="005D4222" w:rsidDel="00E42367">
              <w:t xml:space="preserve">excluded </w:t>
            </w:r>
            <w:r w:rsidRPr="005D4222">
              <w:t>from the measure because admission to an acute or nonacute inpatient setting may prevent an outpatient follow-up visit from taking place.</w:t>
            </w:r>
          </w:p>
        </w:tc>
      </w:tr>
      <w:tr w:rsidR="00D10B74" w:rsidRPr="005D4222" w14:paraId="0832DA1B" w14:textId="77777777" w:rsidTr="00FF225B">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0EC4FF2" w14:textId="77777777" w:rsidR="00D10B74" w:rsidRPr="005D4222" w:rsidRDefault="00D10B74">
            <w:pPr>
              <w:pStyle w:val="ECDSMarginHead"/>
            </w:pPr>
            <w:r w:rsidRPr="005D4222">
              <w:t xml:space="preserve">Denominator exclusions </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8BEBBAE" w14:textId="55D04551" w:rsidR="00D10B74" w:rsidRPr="005D4222" w:rsidRDefault="00D10B74" w:rsidP="00FD0AA3">
            <w:pPr>
              <w:pStyle w:val="ECDSBody"/>
              <w:rPr>
                <w:rFonts w:eastAsia="Arial,Arial,Arial,Arial,Arial,A"/>
              </w:rPr>
            </w:pPr>
            <w:r w:rsidRPr="005D4222" w:rsidDel="002D4AA7">
              <w:rPr>
                <w:b/>
              </w:rPr>
              <w:t xml:space="preserve">Persons with a </w:t>
            </w:r>
            <w:r w:rsidRPr="005D4222">
              <w:rPr>
                <w:b/>
              </w:rPr>
              <w:t>date of death.</w:t>
            </w:r>
            <w:r w:rsidRPr="005D4222">
              <w:rPr>
                <w:b/>
              </w:rPr>
              <w:br/>
            </w:r>
            <w:r w:rsidRPr="005D4222">
              <w:t>Death in the measurement period, identified using data sources determined by the organization. Method and data sources are subject to review during the HEDIS audit.  </w:t>
            </w:r>
          </w:p>
        </w:tc>
      </w:tr>
    </w:tbl>
    <w:p w14:paraId="320018AE" w14:textId="77777777" w:rsidR="00FD0AA3" w:rsidRPr="005D4222" w:rsidRDefault="00FD0AA3"/>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FD0AA3" w:rsidRPr="005D4222" w14:paraId="2D3BE2B6" w14:textId="77777777" w:rsidTr="00FD0AA3">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A4346BE" w14:textId="77777777" w:rsidR="00FD0AA3" w:rsidRPr="005D4222" w:rsidRDefault="00FD0AA3">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1FDB5FF" w14:textId="073E5746" w:rsidR="00FD0AA3" w:rsidRPr="005D4222" w:rsidDel="002D4AA7" w:rsidRDefault="00FD0AA3">
            <w:pPr>
              <w:pStyle w:val="ECDSBody"/>
              <w:rPr>
                <w:b/>
              </w:rPr>
            </w:pPr>
            <w:r w:rsidRPr="005D4222" w:rsidDel="002D4AA7">
              <w:rPr>
                <w:rFonts w:eastAsia="Arial,Arial,Arial,Arial,Arial,A"/>
                <w:b/>
              </w:rPr>
              <w:t xml:space="preserve">Persons </w:t>
            </w:r>
            <w:r w:rsidRPr="005D4222">
              <w:rPr>
                <w:rFonts w:eastAsia="Arial,Arial,Arial,Arial,Arial,A"/>
                <w:b/>
              </w:rPr>
              <w:t>in hospice or using hospice services.</w:t>
            </w:r>
            <w:r w:rsidRPr="005D4222">
              <w:rPr>
                <w:rFonts w:eastAsia="Arial,Arial,Arial,Arial,Arial,A"/>
              </w:rPr>
              <w:b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D10B74" w:rsidRPr="005D4222" w14:paraId="600C8A95" w14:textId="77777777" w:rsidTr="00FD0AA3">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1E5F3C2" w14:textId="77777777" w:rsidR="00D10B74" w:rsidRPr="005D4222" w:rsidRDefault="00D10B74">
            <w:pPr>
              <w:pStyle w:val="ECDSMarginHead"/>
            </w:pPr>
            <w:r w:rsidRPr="005D4222">
              <w:t>Denominator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DC52AED" w14:textId="77777777" w:rsidR="00D10B74" w:rsidRPr="005D4222" w:rsidRDefault="00D10B74">
            <w:pPr>
              <w:pStyle w:val="ECDSBody"/>
              <w:rPr>
                <w:b/>
                <w:i/>
                <w:iCs/>
              </w:rPr>
            </w:pPr>
            <w:r w:rsidRPr="005D4222">
              <w:rPr>
                <w:rFonts w:eastAsia="Arial,Arial,Arial,Arial,Arial,A"/>
              </w:rPr>
              <w:t>The initial population minus denominator exclusions.</w:t>
            </w:r>
          </w:p>
        </w:tc>
      </w:tr>
      <w:tr w:rsidR="00D10B74" w:rsidRPr="005D4222" w14:paraId="28A68804" w14:textId="77777777" w:rsidTr="00FD0AA3">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C2D50B7" w14:textId="77777777" w:rsidR="00D10B74" w:rsidRPr="005D4222" w:rsidRDefault="00D10B74">
            <w:pPr>
              <w:pStyle w:val="ECDSMarginHead"/>
            </w:pPr>
            <w:r w:rsidRPr="005D4222">
              <w:t>Numerator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517E6D79" w14:textId="77777777" w:rsidR="00D10B74" w:rsidRPr="005D4222" w:rsidRDefault="00D10B74">
            <w:pPr>
              <w:pStyle w:val="ECDSBody"/>
            </w:pPr>
            <w:r w:rsidRPr="005D4222">
              <w:rPr>
                <w:b/>
              </w:rPr>
              <w:t>Numerator 1: 30-day follow-up.</w:t>
            </w:r>
            <w:r w:rsidRPr="005D4222">
              <w:rPr>
                <w:b/>
              </w:rPr>
              <w:br/>
            </w:r>
            <w:r w:rsidRPr="005D4222">
              <w:t xml:space="preserve">Follow-up visit or pharmacotherapy dispensing event on the ED visit date or within 30 days after the ED visit (31 days total). </w:t>
            </w:r>
          </w:p>
          <w:p w14:paraId="7A3A917F" w14:textId="77777777" w:rsidR="00D10B74" w:rsidRPr="005D4222" w:rsidRDefault="00D10B74">
            <w:pPr>
              <w:pStyle w:val="ECDSBody"/>
              <w:spacing w:before="180"/>
            </w:pPr>
            <w:r w:rsidRPr="005D4222">
              <w:rPr>
                <w:b/>
                <w:szCs w:val="21"/>
              </w:rPr>
              <w:t>Numerator 2: 7-day follow-up.</w:t>
            </w:r>
            <w:r w:rsidRPr="005D4222">
              <w:rPr>
                <w:b/>
                <w:szCs w:val="21"/>
              </w:rPr>
              <w:br/>
            </w:r>
            <w:r w:rsidRPr="005D4222">
              <w:t xml:space="preserve">Follow-up visit or pharmacotherapy dispensing event on the ED visit date or within 7 days after the ED visit (8 days total). </w:t>
            </w:r>
          </w:p>
          <w:p w14:paraId="33ECAD79" w14:textId="77777777" w:rsidR="00D10B74" w:rsidRPr="005D4222" w:rsidRDefault="00D10B74">
            <w:pPr>
              <w:pStyle w:val="ECDSBody"/>
            </w:pPr>
            <w:r w:rsidRPr="005D4222">
              <w:t>For both indicators, any of the following meet criteria for a follow-up visit:</w:t>
            </w:r>
          </w:p>
          <w:p w14:paraId="19C7CA02" w14:textId="77777777" w:rsidR="00D10B74" w:rsidRPr="005D4222" w:rsidRDefault="00D10B74" w:rsidP="00D10B74">
            <w:pPr>
              <w:pStyle w:val="Bullet"/>
              <w:numPr>
                <w:ilvl w:val="0"/>
                <w:numId w:val="42"/>
              </w:numPr>
              <w:tabs>
                <w:tab w:val="left" w:pos="360"/>
                <w:tab w:val="left" w:pos="576"/>
              </w:tabs>
              <w:ind w:left="576" w:hanging="216"/>
              <w:rPr>
                <w:color w:val="000000" w:themeColor="text1"/>
              </w:rPr>
            </w:pPr>
            <w:r w:rsidRPr="005D4222">
              <w:rPr>
                <w:rFonts w:eastAsia="Arial,Times New Roman" w:cs="Arial"/>
              </w:rPr>
              <w:t>An outpatient visit (</w:t>
            </w:r>
            <w:r w:rsidRPr="005D4222">
              <w:rPr>
                <w:rFonts w:cs="Arial"/>
                <w:u w:val="single"/>
              </w:rPr>
              <w:t>Visit Setting Unspecified Value Set</w:t>
            </w:r>
            <w:r w:rsidRPr="005D4222">
              <w:rPr>
                <w:rFonts w:cs="Arial"/>
              </w:rPr>
              <w:t xml:space="preserve">) </w:t>
            </w:r>
            <w:r w:rsidRPr="005D4222">
              <w:rPr>
                <w:rFonts w:cs="Arial"/>
                <w:b/>
                <w:bCs/>
                <w:i/>
                <w:iCs/>
              </w:rPr>
              <w:t>with</w:t>
            </w:r>
            <w:r w:rsidRPr="005D4222">
              <w:rPr>
                <w:rFonts w:cs="Arial"/>
              </w:rPr>
              <w:t xml:space="preserve"> (</w:t>
            </w:r>
            <w:r w:rsidRPr="005D4222">
              <w:rPr>
                <w:rFonts w:cs="Arial"/>
                <w:u w:val="single"/>
              </w:rPr>
              <w:t>Outpatient POS Value Set</w:t>
            </w:r>
            <w:r w:rsidRPr="005D4222">
              <w:rPr>
                <w:rFonts w:cs="Arial"/>
              </w:rPr>
              <w:t>)</w:t>
            </w:r>
            <w:r w:rsidRPr="005D4222">
              <w:rPr>
                <w:rFonts w:eastAsia="Arial,Times New Roman" w:cs="Arial"/>
                <w:b/>
                <w:bCs/>
                <w:i/>
                <w:iCs/>
              </w:rPr>
              <w:t xml:space="preserve"> with</w:t>
            </w:r>
            <w:r w:rsidRPr="005D4222">
              <w:rPr>
                <w:rFonts w:eastAsia="Arial,Times New Roman" w:cs="Arial"/>
              </w:rPr>
              <w:t xml:space="preserve"> </w:t>
            </w:r>
            <w:r w:rsidRPr="005D4222">
              <w:rPr>
                <w:color w:val="000000" w:themeColor="text1"/>
              </w:rPr>
              <w:t>any diagnosis of SUD (</w:t>
            </w:r>
            <w:r w:rsidRPr="005D4222">
              <w:rPr>
                <w:color w:val="000000" w:themeColor="text1"/>
                <w:u w:val="single"/>
              </w:rPr>
              <w:t>AOD Abuse and Dependence Value Set</w:t>
            </w:r>
            <w:r w:rsidRPr="005D4222">
              <w:rPr>
                <w:color w:val="000000" w:themeColor="text1"/>
              </w:rPr>
              <w:t>), substance use (</w:t>
            </w:r>
            <w:r w:rsidRPr="005D4222">
              <w:rPr>
                <w:color w:val="000000" w:themeColor="text1"/>
                <w:u w:val="single"/>
              </w:rPr>
              <w:t>Substance Induced Disorders Value Set</w:t>
            </w:r>
            <w:r w:rsidRPr="005D4222">
              <w:rPr>
                <w:color w:val="000000" w:themeColor="text1"/>
              </w:rPr>
              <w:t>) or drug overdose (</w:t>
            </w:r>
            <w:r w:rsidRPr="005D4222">
              <w:rPr>
                <w:color w:val="000000" w:themeColor="text1"/>
                <w:u w:val="single"/>
              </w:rPr>
              <w:t>Unintentional Drug Overdose Value Set</w:t>
            </w:r>
            <w:r w:rsidRPr="005D4222">
              <w:rPr>
                <w:color w:val="000000" w:themeColor="text1"/>
              </w:rPr>
              <w:t>)</w:t>
            </w:r>
            <w:r w:rsidRPr="005D4222">
              <w:rPr>
                <w:rFonts w:eastAsia="Arial,Times New Roman" w:cs="Arial"/>
              </w:rPr>
              <w:t>.</w:t>
            </w:r>
          </w:p>
          <w:p w14:paraId="209D7A68" w14:textId="77777777" w:rsidR="00D10B74" w:rsidRPr="005D4222" w:rsidRDefault="00D10B74" w:rsidP="00D10B74">
            <w:pPr>
              <w:pStyle w:val="Bullet"/>
              <w:numPr>
                <w:ilvl w:val="0"/>
                <w:numId w:val="42"/>
              </w:numPr>
              <w:tabs>
                <w:tab w:val="left" w:pos="360"/>
                <w:tab w:val="left" w:pos="576"/>
              </w:tabs>
              <w:ind w:left="576" w:hanging="216"/>
              <w:rPr>
                <w:color w:val="000000" w:themeColor="text1"/>
              </w:rPr>
            </w:pPr>
            <w:r w:rsidRPr="005D4222">
              <w:rPr>
                <w:rFonts w:eastAsia="Arial,Times New Roman" w:cs="Arial"/>
              </w:rPr>
              <w:t>An outpatient visit (</w:t>
            </w:r>
            <w:r w:rsidRPr="005D4222">
              <w:rPr>
                <w:rFonts w:cs="Arial"/>
                <w:u w:val="single"/>
              </w:rPr>
              <w:t>Visit Setting Unspecified Value Set</w:t>
            </w:r>
            <w:r w:rsidRPr="005D4222">
              <w:rPr>
                <w:rFonts w:cs="Arial"/>
              </w:rPr>
              <w:t xml:space="preserve">) </w:t>
            </w:r>
            <w:r w:rsidRPr="005D4222">
              <w:rPr>
                <w:rFonts w:cs="Arial"/>
                <w:b/>
                <w:bCs/>
                <w:i/>
                <w:iCs/>
              </w:rPr>
              <w:t>with</w:t>
            </w:r>
            <w:r w:rsidRPr="005D4222">
              <w:rPr>
                <w:rFonts w:cs="Arial"/>
              </w:rPr>
              <w:t xml:space="preserve"> (</w:t>
            </w:r>
            <w:r w:rsidRPr="005D4222">
              <w:rPr>
                <w:rFonts w:cs="Arial"/>
                <w:u w:val="single"/>
              </w:rPr>
              <w:t>Outpatient POS Value Set</w:t>
            </w:r>
            <w:r w:rsidRPr="005D4222">
              <w:rPr>
                <w:rFonts w:cs="Arial"/>
              </w:rPr>
              <w:t>)</w:t>
            </w:r>
            <w:r w:rsidRPr="005D4222">
              <w:rPr>
                <w:rFonts w:eastAsia="Arial,Times New Roman" w:cs="Arial"/>
                <w:b/>
                <w:bCs/>
                <w:i/>
                <w:iCs/>
              </w:rPr>
              <w:t xml:space="preserve"> with</w:t>
            </w:r>
            <w:r w:rsidRPr="005D4222">
              <w:rPr>
                <w:rFonts w:eastAsia="Arial,Times New Roman" w:cs="Arial"/>
              </w:rPr>
              <w:t xml:space="preserve"> </w:t>
            </w:r>
            <w:r w:rsidRPr="005D4222">
              <w:rPr>
                <w:color w:val="000000" w:themeColor="text1"/>
              </w:rPr>
              <w:t>a mental health provider</w:t>
            </w:r>
            <w:r w:rsidRPr="005D4222">
              <w:rPr>
                <w:rFonts w:eastAsia="Arial,Times New Roman" w:cs="Arial"/>
              </w:rPr>
              <w:t>.</w:t>
            </w:r>
          </w:p>
          <w:p w14:paraId="546DACCA" w14:textId="77777777" w:rsidR="00D10B74" w:rsidRPr="005D4222" w:rsidRDefault="00D10B74" w:rsidP="00D10B74">
            <w:pPr>
              <w:pStyle w:val="Bullet"/>
              <w:numPr>
                <w:ilvl w:val="0"/>
                <w:numId w:val="42"/>
              </w:numPr>
              <w:tabs>
                <w:tab w:val="left" w:pos="360"/>
                <w:tab w:val="left" w:pos="576"/>
              </w:tabs>
              <w:ind w:left="576" w:hanging="216"/>
              <w:rPr>
                <w:color w:val="000000" w:themeColor="text1"/>
              </w:rPr>
            </w:pPr>
            <w:r w:rsidRPr="005D4222">
              <w:rPr>
                <w:rFonts w:eastAsia="Arial,Times New Roman" w:cs="Arial"/>
              </w:rPr>
              <w:t>An outpatient visit (</w:t>
            </w:r>
            <w:r w:rsidRPr="005D4222">
              <w:rPr>
                <w:rFonts w:eastAsia="Arial,Times New Roman" w:cs="Arial"/>
                <w:u w:val="single"/>
              </w:rPr>
              <w:t>BH Outpatient Value Set</w:t>
            </w:r>
            <w:r w:rsidRPr="005D4222">
              <w:rPr>
                <w:rFonts w:eastAsia="Arial,Times New Roman" w:cs="Arial"/>
              </w:rPr>
              <w:t>)</w:t>
            </w:r>
            <w:r w:rsidRPr="005D4222">
              <w:rPr>
                <w:rFonts w:eastAsia="Arial,Times New Roman" w:cs="Arial"/>
                <w:b/>
                <w:bCs/>
                <w:i/>
                <w:iCs/>
              </w:rPr>
              <w:t xml:space="preserve"> with</w:t>
            </w:r>
            <w:r w:rsidRPr="005D4222">
              <w:rPr>
                <w:rFonts w:eastAsia="Arial,Times New Roman" w:cs="Arial"/>
              </w:rPr>
              <w:t xml:space="preserve"> any diagnosis of SUD </w:t>
            </w:r>
            <w:r w:rsidRPr="005D4222">
              <w:rPr>
                <w:color w:val="000000" w:themeColor="text1"/>
              </w:rPr>
              <w:t>(</w:t>
            </w:r>
            <w:r w:rsidRPr="005D4222">
              <w:rPr>
                <w:color w:val="000000" w:themeColor="text1"/>
                <w:u w:val="single"/>
              </w:rPr>
              <w:t>AOD Abuse and Dependence Value Set</w:t>
            </w:r>
            <w:r w:rsidRPr="005D4222">
              <w:rPr>
                <w:color w:val="000000" w:themeColor="text1"/>
              </w:rPr>
              <w:t>), substance use (</w:t>
            </w:r>
            <w:r w:rsidRPr="005D4222">
              <w:rPr>
                <w:color w:val="000000" w:themeColor="text1"/>
                <w:u w:val="single"/>
              </w:rPr>
              <w:t>Substance Induced Disorders Value Set</w:t>
            </w:r>
            <w:r w:rsidRPr="005D4222">
              <w:rPr>
                <w:color w:val="000000" w:themeColor="text1"/>
              </w:rPr>
              <w:t>) or drug overdose (</w:t>
            </w:r>
            <w:r w:rsidRPr="005D4222">
              <w:rPr>
                <w:color w:val="000000" w:themeColor="text1"/>
                <w:u w:val="single"/>
              </w:rPr>
              <w:t>Unintentional Drug Overdose Value Set</w:t>
            </w:r>
            <w:r w:rsidRPr="005D4222">
              <w:rPr>
                <w:color w:val="000000" w:themeColor="text1"/>
              </w:rPr>
              <w:t>).</w:t>
            </w:r>
          </w:p>
          <w:p w14:paraId="0E8AA664" w14:textId="77777777" w:rsidR="00D10B74" w:rsidRPr="005D4222" w:rsidRDefault="00D10B74" w:rsidP="00D10B74">
            <w:pPr>
              <w:pStyle w:val="Bullet"/>
              <w:numPr>
                <w:ilvl w:val="0"/>
                <w:numId w:val="42"/>
              </w:numPr>
              <w:tabs>
                <w:tab w:val="left" w:pos="360"/>
                <w:tab w:val="left" w:pos="576"/>
              </w:tabs>
              <w:ind w:left="576" w:hanging="216"/>
              <w:rPr>
                <w:color w:val="000000" w:themeColor="text1"/>
              </w:rPr>
            </w:pPr>
            <w:r w:rsidRPr="005D4222">
              <w:rPr>
                <w:rFonts w:eastAsia="Arial,Times New Roman" w:cs="Arial"/>
              </w:rPr>
              <w:t>An outpatient visit (</w:t>
            </w:r>
            <w:r w:rsidRPr="005D4222">
              <w:rPr>
                <w:rFonts w:eastAsia="Arial,Times New Roman" w:cs="Arial"/>
                <w:u w:val="single"/>
              </w:rPr>
              <w:t>BH Outpatient Value Set</w:t>
            </w:r>
            <w:r w:rsidRPr="005D4222">
              <w:rPr>
                <w:rFonts w:eastAsia="Arial,Times New Roman" w:cs="Arial"/>
              </w:rPr>
              <w:t>)</w:t>
            </w:r>
            <w:r w:rsidRPr="005D4222">
              <w:rPr>
                <w:rFonts w:eastAsia="Arial,Times New Roman" w:cs="Arial"/>
                <w:b/>
                <w:bCs/>
                <w:i/>
                <w:iCs/>
              </w:rPr>
              <w:t xml:space="preserve"> with </w:t>
            </w:r>
            <w:r w:rsidRPr="005D4222">
              <w:rPr>
                <w:rFonts w:eastAsia="Arial,Times New Roman" w:cs="Arial"/>
              </w:rPr>
              <w:t xml:space="preserve">a mental health provider. </w:t>
            </w:r>
          </w:p>
          <w:p w14:paraId="781DF81B" w14:textId="77777777" w:rsidR="00D10B74" w:rsidRPr="005D4222" w:rsidRDefault="00D10B74" w:rsidP="00D10B74">
            <w:pPr>
              <w:pStyle w:val="Bullet"/>
              <w:numPr>
                <w:ilvl w:val="0"/>
                <w:numId w:val="42"/>
              </w:numPr>
              <w:tabs>
                <w:tab w:val="left" w:pos="360"/>
                <w:tab w:val="left" w:pos="576"/>
              </w:tabs>
              <w:ind w:left="576" w:hanging="216"/>
              <w:rPr>
                <w:color w:val="000000" w:themeColor="text1"/>
              </w:rPr>
            </w:pPr>
            <w:r w:rsidRPr="005D4222">
              <w:rPr>
                <w:rFonts w:cs="Arial"/>
              </w:rPr>
              <w:t>An intensive outpatient encounter or partial hospitalization (</w:t>
            </w:r>
            <w:r w:rsidRPr="005D4222">
              <w:rPr>
                <w:rFonts w:cs="Arial"/>
                <w:u w:val="single"/>
              </w:rPr>
              <w:t>Visit Setting Unspecified Value Set</w:t>
            </w:r>
            <w:r w:rsidRPr="005D4222">
              <w:rPr>
                <w:rFonts w:cs="Arial"/>
              </w:rPr>
              <w:t xml:space="preserve">) </w:t>
            </w:r>
            <w:r w:rsidRPr="005D4222">
              <w:rPr>
                <w:rFonts w:cs="Arial"/>
                <w:b/>
                <w:bCs/>
                <w:i/>
                <w:iCs/>
              </w:rPr>
              <w:t>with</w:t>
            </w:r>
            <w:r w:rsidRPr="005D4222">
              <w:rPr>
                <w:rFonts w:cs="Arial"/>
              </w:rPr>
              <w:t xml:space="preserve"> POS code 52</w:t>
            </w:r>
            <w:r w:rsidRPr="005D4222">
              <w:rPr>
                <w:rFonts w:eastAsia="Arial,Times New Roman" w:cs="Arial"/>
                <w:b/>
                <w:bCs/>
                <w:i/>
                <w:iCs/>
              </w:rPr>
              <w:t xml:space="preserve"> with</w:t>
            </w:r>
            <w:r w:rsidRPr="005D4222">
              <w:rPr>
                <w:rFonts w:eastAsia="Arial,Times New Roman" w:cs="Arial"/>
              </w:rPr>
              <w:t xml:space="preserve"> any diagnosis of SUD </w:t>
            </w:r>
            <w:r w:rsidRPr="005D4222">
              <w:rPr>
                <w:color w:val="000000" w:themeColor="text1"/>
              </w:rPr>
              <w:t>(</w:t>
            </w:r>
            <w:r w:rsidRPr="005D4222">
              <w:rPr>
                <w:color w:val="000000" w:themeColor="text1"/>
                <w:u w:val="single"/>
              </w:rPr>
              <w:t>AOD Abuse and Dependence Value Set</w:t>
            </w:r>
            <w:r w:rsidRPr="005D4222">
              <w:rPr>
                <w:color w:val="000000" w:themeColor="text1"/>
              </w:rPr>
              <w:t>), substance use (</w:t>
            </w:r>
            <w:r w:rsidRPr="005D4222">
              <w:rPr>
                <w:color w:val="000000" w:themeColor="text1"/>
                <w:u w:val="single"/>
              </w:rPr>
              <w:t>Substance Induced Disorders Value Set</w:t>
            </w:r>
            <w:r w:rsidRPr="005D4222">
              <w:rPr>
                <w:color w:val="000000" w:themeColor="text1"/>
              </w:rPr>
              <w:t>) or drug overdose (</w:t>
            </w:r>
            <w:r w:rsidRPr="005D4222">
              <w:rPr>
                <w:color w:val="000000" w:themeColor="text1"/>
                <w:u w:val="single"/>
              </w:rPr>
              <w:t>Unintentional Drug Overdose Value Set</w:t>
            </w:r>
            <w:r w:rsidRPr="005D4222">
              <w:rPr>
                <w:color w:val="000000" w:themeColor="text1"/>
              </w:rPr>
              <w:t>).</w:t>
            </w:r>
          </w:p>
          <w:p w14:paraId="30C42356" w14:textId="77777777" w:rsidR="00D10B74" w:rsidRPr="005D4222" w:rsidRDefault="00D10B74" w:rsidP="00D10B74">
            <w:pPr>
              <w:pStyle w:val="Bullet"/>
              <w:numPr>
                <w:ilvl w:val="0"/>
                <w:numId w:val="42"/>
              </w:numPr>
              <w:tabs>
                <w:tab w:val="left" w:pos="360"/>
                <w:tab w:val="left" w:pos="576"/>
              </w:tabs>
              <w:ind w:left="576" w:hanging="216"/>
              <w:rPr>
                <w:color w:val="000000" w:themeColor="text1"/>
              </w:rPr>
            </w:pPr>
            <w:r w:rsidRPr="005D4222">
              <w:rPr>
                <w:rFonts w:cs="Arial"/>
              </w:rPr>
              <w:t>An intensive outpatient encounter or partial hospitalization (</w:t>
            </w:r>
            <w:r w:rsidRPr="005D4222">
              <w:rPr>
                <w:rFonts w:cs="Arial"/>
                <w:u w:val="single"/>
              </w:rPr>
              <w:t>Visit Setting Unspecified Value Set</w:t>
            </w:r>
            <w:r w:rsidRPr="005D4222">
              <w:rPr>
                <w:rFonts w:cs="Arial"/>
              </w:rPr>
              <w:t xml:space="preserve">) </w:t>
            </w:r>
            <w:r w:rsidRPr="005D4222">
              <w:rPr>
                <w:rFonts w:cs="Arial"/>
                <w:b/>
                <w:bCs/>
                <w:i/>
                <w:iCs/>
              </w:rPr>
              <w:t>with</w:t>
            </w:r>
            <w:r w:rsidRPr="005D4222">
              <w:rPr>
                <w:rFonts w:cs="Arial"/>
              </w:rPr>
              <w:t xml:space="preserve"> POS code 52</w:t>
            </w:r>
            <w:r w:rsidRPr="005D4222">
              <w:rPr>
                <w:rFonts w:eastAsia="Arial,Times New Roman" w:cs="Arial"/>
                <w:b/>
                <w:bCs/>
                <w:i/>
                <w:iCs/>
              </w:rPr>
              <w:t xml:space="preserve"> with</w:t>
            </w:r>
            <w:r w:rsidRPr="005D4222">
              <w:rPr>
                <w:rFonts w:eastAsia="Arial,Times New Roman" w:cs="Arial"/>
              </w:rPr>
              <w:t xml:space="preserve"> a mental health provider.</w:t>
            </w:r>
          </w:p>
          <w:p w14:paraId="6F8C7A13" w14:textId="77777777" w:rsidR="00D10B74" w:rsidRPr="005D4222" w:rsidRDefault="00D10B74" w:rsidP="00D10B74">
            <w:pPr>
              <w:pStyle w:val="Bullet"/>
              <w:numPr>
                <w:ilvl w:val="0"/>
                <w:numId w:val="42"/>
              </w:numPr>
              <w:tabs>
                <w:tab w:val="left" w:pos="360"/>
                <w:tab w:val="left" w:pos="576"/>
              </w:tabs>
              <w:ind w:left="576" w:hanging="216"/>
              <w:rPr>
                <w:color w:val="000000" w:themeColor="text1"/>
              </w:rPr>
            </w:pPr>
            <w:r w:rsidRPr="005D4222">
              <w:rPr>
                <w:rFonts w:eastAsia="Arial,Times New Roman" w:cs="Arial"/>
              </w:rPr>
              <w:t xml:space="preserve">An intensive outpatient encounter or partial hospitalization </w:t>
            </w:r>
            <w:r w:rsidRPr="005D4222">
              <w:rPr>
                <w:rFonts w:cs="Arial"/>
              </w:rPr>
              <w:t>(</w:t>
            </w:r>
            <w:r w:rsidRPr="005D4222">
              <w:rPr>
                <w:rFonts w:cs="Arial"/>
                <w:u w:val="single"/>
              </w:rPr>
              <w:t>Partial Hospitalization or Intensive Outpatient Value Set</w:t>
            </w:r>
            <w:r w:rsidRPr="005D4222">
              <w:rPr>
                <w:rFonts w:cs="Arial"/>
              </w:rPr>
              <w:t>)</w:t>
            </w:r>
            <w:r w:rsidRPr="005D4222">
              <w:rPr>
                <w:rFonts w:eastAsia="Arial,Times New Roman" w:cs="Arial"/>
                <w:b/>
                <w:bCs/>
                <w:i/>
                <w:iCs/>
              </w:rPr>
              <w:t xml:space="preserve"> with</w:t>
            </w:r>
            <w:r w:rsidRPr="005D4222">
              <w:rPr>
                <w:rFonts w:eastAsia="Arial,Times New Roman" w:cs="Arial"/>
              </w:rPr>
              <w:t xml:space="preserve"> any diagnosis of SUD </w:t>
            </w:r>
            <w:r w:rsidRPr="005D4222">
              <w:rPr>
                <w:color w:val="000000" w:themeColor="text1"/>
              </w:rPr>
              <w:t>(</w:t>
            </w:r>
            <w:r w:rsidRPr="005D4222">
              <w:rPr>
                <w:color w:val="000000" w:themeColor="text1"/>
                <w:u w:val="single"/>
              </w:rPr>
              <w:t>AOD Abuse and Dependence Value Set</w:t>
            </w:r>
            <w:r w:rsidRPr="005D4222">
              <w:rPr>
                <w:color w:val="000000" w:themeColor="text1"/>
              </w:rPr>
              <w:t>), substance use (</w:t>
            </w:r>
            <w:r w:rsidRPr="005D4222">
              <w:rPr>
                <w:color w:val="000000" w:themeColor="text1"/>
                <w:u w:val="single"/>
              </w:rPr>
              <w:t>Substance Induced Disorders Value Set</w:t>
            </w:r>
            <w:r w:rsidRPr="005D4222">
              <w:rPr>
                <w:color w:val="000000" w:themeColor="text1"/>
              </w:rPr>
              <w:t>) or drug overdose (</w:t>
            </w:r>
            <w:r w:rsidRPr="005D4222">
              <w:rPr>
                <w:color w:val="000000" w:themeColor="text1"/>
                <w:u w:val="single"/>
              </w:rPr>
              <w:t>Unintentional Drug Overdose Value Set</w:t>
            </w:r>
            <w:r w:rsidRPr="005D4222">
              <w:rPr>
                <w:color w:val="000000" w:themeColor="text1"/>
              </w:rPr>
              <w:t>).</w:t>
            </w:r>
          </w:p>
          <w:p w14:paraId="7B3410F4" w14:textId="77777777" w:rsidR="00D10B74" w:rsidRPr="005D4222" w:rsidRDefault="00D10B74" w:rsidP="00D10B74">
            <w:pPr>
              <w:pStyle w:val="Bullet"/>
              <w:numPr>
                <w:ilvl w:val="0"/>
                <w:numId w:val="42"/>
              </w:numPr>
              <w:tabs>
                <w:tab w:val="left" w:pos="360"/>
                <w:tab w:val="left" w:pos="576"/>
              </w:tabs>
              <w:ind w:left="576" w:hanging="216"/>
              <w:rPr>
                <w:color w:val="000000" w:themeColor="text1"/>
              </w:rPr>
            </w:pPr>
            <w:r w:rsidRPr="005D4222">
              <w:rPr>
                <w:rFonts w:eastAsia="Arial,Times New Roman" w:cs="Arial"/>
              </w:rPr>
              <w:t xml:space="preserve">An intensive outpatient encounter or partial hospitalization </w:t>
            </w:r>
            <w:r w:rsidRPr="005D4222">
              <w:rPr>
                <w:rFonts w:cs="Arial"/>
              </w:rPr>
              <w:t>(</w:t>
            </w:r>
            <w:r w:rsidRPr="005D4222">
              <w:rPr>
                <w:rFonts w:cs="Arial"/>
                <w:u w:val="single"/>
              </w:rPr>
              <w:t>Partial Hospitalization or Intensive Outpatient Value Set</w:t>
            </w:r>
            <w:r w:rsidRPr="005D4222">
              <w:rPr>
                <w:rFonts w:cs="Arial"/>
              </w:rPr>
              <w:t>)</w:t>
            </w:r>
            <w:r w:rsidRPr="005D4222">
              <w:rPr>
                <w:rFonts w:eastAsia="Arial,Times New Roman" w:cs="Arial"/>
                <w:b/>
                <w:bCs/>
                <w:i/>
                <w:iCs/>
              </w:rPr>
              <w:t xml:space="preserve"> with</w:t>
            </w:r>
            <w:r w:rsidRPr="005D4222">
              <w:rPr>
                <w:rFonts w:eastAsia="Arial,Times New Roman" w:cs="Arial"/>
              </w:rPr>
              <w:t xml:space="preserve"> a mental health provider.</w:t>
            </w:r>
          </w:p>
          <w:p w14:paraId="6FC9B80C" w14:textId="5C8E4D21" w:rsidR="000842DB" w:rsidRPr="005D4222" w:rsidRDefault="00D10B74" w:rsidP="000842DB">
            <w:pPr>
              <w:pStyle w:val="Bullet"/>
              <w:numPr>
                <w:ilvl w:val="0"/>
                <w:numId w:val="42"/>
              </w:numPr>
              <w:tabs>
                <w:tab w:val="left" w:pos="360"/>
                <w:tab w:val="left" w:pos="576"/>
              </w:tabs>
              <w:spacing w:after="80"/>
              <w:ind w:left="576" w:hanging="216"/>
              <w:rPr>
                <w:rFonts w:eastAsia="Arial,Arial,Arial,Arial,Arial,A"/>
                <w:kern w:val="24"/>
              </w:rPr>
            </w:pPr>
            <w:r w:rsidRPr="005D4222">
              <w:rPr>
                <w:rFonts w:eastAsia="Arial,Times New Roman" w:cs="Arial"/>
              </w:rPr>
              <w:t>A non-residential substance abuse treatment facility visit (</w:t>
            </w:r>
            <w:r w:rsidRPr="005D4222">
              <w:rPr>
                <w:rFonts w:cs="Arial"/>
                <w:u w:val="single"/>
              </w:rPr>
              <w:t>Visit Setting Unspecified Value Set</w:t>
            </w:r>
            <w:r w:rsidRPr="005D4222">
              <w:rPr>
                <w:rFonts w:cs="Arial"/>
              </w:rPr>
              <w:t xml:space="preserve">) </w:t>
            </w:r>
            <w:r w:rsidRPr="005D4222">
              <w:rPr>
                <w:rFonts w:cs="Arial"/>
                <w:b/>
                <w:bCs/>
                <w:i/>
                <w:iCs/>
              </w:rPr>
              <w:t>with</w:t>
            </w:r>
            <w:r w:rsidRPr="005D4222">
              <w:rPr>
                <w:rFonts w:cs="Arial"/>
              </w:rPr>
              <w:t xml:space="preserve"> (</w:t>
            </w:r>
            <w:r w:rsidRPr="005D4222">
              <w:rPr>
                <w:rFonts w:cs="Arial"/>
                <w:u w:val="single"/>
              </w:rPr>
              <w:t>Nonresidential Substance Abuse Treatment Facility POS Value Set</w:t>
            </w:r>
            <w:r w:rsidRPr="005D4222">
              <w:rPr>
                <w:rFonts w:cs="Arial"/>
              </w:rPr>
              <w:t>)</w:t>
            </w:r>
            <w:r w:rsidRPr="005D4222">
              <w:rPr>
                <w:rFonts w:eastAsia="Arial,Times New Roman" w:cs="Arial"/>
                <w:b/>
                <w:bCs/>
                <w:i/>
                <w:iCs/>
              </w:rPr>
              <w:t xml:space="preserve"> with</w:t>
            </w:r>
            <w:r w:rsidRPr="005D4222">
              <w:rPr>
                <w:rFonts w:eastAsia="Arial,Times New Roman" w:cs="Arial"/>
              </w:rPr>
              <w:t xml:space="preserve"> any diagnosis of SUD </w:t>
            </w:r>
            <w:r w:rsidRPr="005D4222">
              <w:rPr>
                <w:color w:val="000000" w:themeColor="text1"/>
              </w:rPr>
              <w:t>(</w:t>
            </w:r>
            <w:r w:rsidRPr="005D4222">
              <w:rPr>
                <w:color w:val="000000" w:themeColor="text1"/>
                <w:u w:val="single"/>
              </w:rPr>
              <w:t>AOD Abuse and Dependence Value Set</w:t>
            </w:r>
            <w:r w:rsidRPr="005D4222">
              <w:rPr>
                <w:color w:val="000000" w:themeColor="text1"/>
              </w:rPr>
              <w:t>), substance use (</w:t>
            </w:r>
            <w:r w:rsidRPr="005D4222">
              <w:rPr>
                <w:color w:val="000000" w:themeColor="text1"/>
                <w:u w:val="single"/>
              </w:rPr>
              <w:t>Substance Induced Disorders Value Set</w:t>
            </w:r>
            <w:r w:rsidRPr="005D4222">
              <w:rPr>
                <w:color w:val="000000" w:themeColor="text1"/>
              </w:rPr>
              <w:t>) or drug overdose (</w:t>
            </w:r>
            <w:r w:rsidRPr="005D4222">
              <w:rPr>
                <w:color w:val="000000" w:themeColor="text1"/>
                <w:u w:val="single"/>
              </w:rPr>
              <w:t>Unintentional Drug Overdose Value Set</w:t>
            </w:r>
            <w:r w:rsidRPr="005D4222">
              <w:rPr>
                <w:color w:val="000000" w:themeColor="text1"/>
              </w:rPr>
              <w:t>).</w:t>
            </w:r>
          </w:p>
        </w:tc>
      </w:tr>
      <w:tr w:rsidR="00D10B74" w:rsidRPr="005D4222" w14:paraId="15A8B727"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0D43956" w14:textId="77777777" w:rsidR="00D10B74" w:rsidRPr="005D4222" w:rsidRDefault="00D10B74">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5C2495DF" w14:textId="77777777" w:rsidR="000842DB" w:rsidRPr="005D4222" w:rsidRDefault="000842DB" w:rsidP="000842DB">
            <w:pPr>
              <w:pStyle w:val="Bullet"/>
              <w:numPr>
                <w:ilvl w:val="0"/>
                <w:numId w:val="42"/>
              </w:numPr>
              <w:tabs>
                <w:tab w:val="left" w:pos="360"/>
                <w:tab w:val="left" w:pos="576"/>
              </w:tabs>
              <w:spacing w:after="80"/>
              <w:ind w:left="576" w:hanging="216"/>
              <w:rPr>
                <w:rFonts w:eastAsia="Arial,Arial,Arial,Arial,Arial,A"/>
                <w:kern w:val="24"/>
              </w:rPr>
            </w:pPr>
            <w:r w:rsidRPr="005D4222">
              <w:rPr>
                <w:rFonts w:eastAsia="Arial,Times New Roman" w:cs="Arial"/>
              </w:rPr>
              <w:t>A non-residential substance abuse treatment facility visit (</w:t>
            </w:r>
            <w:r w:rsidRPr="005D4222">
              <w:rPr>
                <w:rFonts w:cs="Arial"/>
                <w:u w:val="single"/>
              </w:rPr>
              <w:t>Visit Setting Unspecified Value Set</w:t>
            </w:r>
            <w:r w:rsidRPr="005D4222">
              <w:rPr>
                <w:rFonts w:cs="Arial"/>
              </w:rPr>
              <w:t xml:space="preserve">) </w:t>
            </w:r>
            <w:r w:rsidRPr="005D4222">
              <w:rPr>
                <w:rFonts w:cs="Arial"/>
                <w:b/>
                <w:bCs/>
                <w:i/>
                <w:iCs/>
              </w:rPr>
              <w:t>with</w:t>
            </w:r>
            <w:r w:rsidRPr="005D4222">
              <w:rPr>
                <w:rFonts w:cs="Arial"/>
              </w:rPr>
              <w:t xml:space="preserve"> (</w:t>
            </w:r>
            <w:r w:rsidRPr="005D4222">
              <w:rPr>
                <w:rFonts w:cs="Arial"/>
                <w:u w:val="single"/>
              </w:rPr>
              <w:t>Nonresidential Substance Abuse Treatment Facility POS Value Set</w:t>
            </w:r>
            <w:r w:rsidRPr="005D4222">
              <w:rPr>
                <w:rFonts w:cs="Arial"/>
              </w:rPr>
              <w:t>)</w:t>
            </w:r>
            <w:r w:rsidRPr="005D4222">
              <w:rPr>
                <w:rFonts w:eastAsia="Arial,Times New Roman" w:cs="Arial"/>
                <w:b/>
                <w:bCs/>
                <w:i/>
                <w:iCs/>
              </w:rPr>
              <w:t xml:space="preserve"> with</w:t>
            </w:r>
            <w:r w:rsidRPr="005D4222">
              <w:rPr>
                <w:rFonts w:eastAsia="Arial,Times New Roman" w:cs="Arial"/>
              </w:rPr>
              <w:t xml:space="preserve"> a mental health provider. </w:t>
            </w:r>
          </w:p>
          <w:p w14:paraId="28A868F1" w14:textId="77777777" w:rsidR="00D10B74" w:rsidRPr="005D4222" w:rsidRDefault="00D10B74" w:rsidP="00D10B74">
            <w:pPr>
              <w:pStyle w:val="Bullet"/>
              <w:numPr>
                <w:ilvl w:val="0"/>
                <w:numId w:val="42"/>
              </w:numPr>
              <w:tabs>
                <w:tab w:val="left" w:pos="360"/>
                <w:tab w:val="left" w:pos="576"/>
              </w:tabs>
              <w:spacing w:after="80"/>
              <w:ind w:left="576" w:hanging="216"/>
              <w:rPr>
                <w:rFonts w:eastAsia="Arial,Arial,Arial,Arial,Arial,A"/>
                <w:kern w:val="24"/>
              </w:rPr>
            </w:pPr>
            <w:r w:rsidRPr="005D4222">
              <w:rPr>
                <w:rFonts w:eastAsia="Arial,Times New Roman" w:cs="Arial"/>
              </w:rPr>
              <w:t>A community mental health center visit (</w:t>
            </w:r>
            <w:r w:rsidRPr="005D4222">
              <w:rPr>
                <w:rFonts w:cs="Arial"/>
                <w:u w:val="single"/>
              </w:rPr>
              <w:t>Visit Setting Unspecified Value Set</w:t>
            </w:r>
            <w:r w:rsidRPr="005D4222">
              <w:rPr>
                <w:rFonts w:cs="Arial"/>
              </w:rPr>
              <w:t xml:space="preserve">) </w:t>
            </w:r>
            <w:r w:rsidRPr="005D4222">
              <w:rPr>
                <w:rFonts w:cs="Arial"/>
                <w:b/>
                <w:bCs/>
                <w:i/>
                <w:iCs/>
              </w:rPr>
              <w:t>with</w:t>
            </w:r>
            <w:r w:rsidRPr="005D4222">
              <w:rPr>
                <w:rFonts w:cs="Arial"/>
              </w:rPr>
              <w:t xml:space="preserve"> POS code 53 </w:t>
            </w:r>
            <w:r w:rsidRPr="005D4222">
              <w:rPr>
                <w:rFonts w:eastAsia="Arial,Times New Roman" w:cs="Arial"/>
                <w:b/>
                <w:bCs/>
                <w:i/>
                <w:iCs/>
              </w:rPr>
              <w:t>with</w:t>
            </w:r>
            <w:r w:rsidRPr="005D4222">
              <w:rPr>
                <w:rFonts w:eastAsia="Arial,Times New Roman" w:cs="Arial"/>
              </w:rPr>
              <w:t xml:space="preserve"> any diagnosis of SUD </w:t>
            </w:r>
            <w:r w:rsidRPr="005D4222">
              <w:rPr>
                <w:color w:val="000000" w:themeColor="text1"/>
              </w:rPr>
              <w:t>(</w:t>
            </w:r>
            <w:r w:rsidRPr="005D4222">
              <w:rPr>
                <w:color w:val="000000" w:themeColor="text1"/>
                <w:u w:val="single"/>
              </w:rPr>
              <w:t>AOD Abuse and Dependence Value Set</w:t>
            </w:r>
            <w:r w:rsidRPr="005D4222">
              <w:rPr>
                <w:color w:val="000000" w:themeColor="text1"/>
              </w:rPr>
              <w:t>), substance use (</w:t>
            </w:r>
            <w:r w:rsidRPr="005D4222">
              <w:rPr>
                <w:color w:val="000000" w:themeColor="text1"/>
                <w:u w:val="single"/>
              </w:rPr>
              <w:t>Substance Induced Disorders Value Set</w:t>
            </w:r>
            <w:r w:rsidRPr="005D4222">
              <w:rPr>
                <w:color w:val="000000" w:themeColor="text1"/>
              </w:rPr>
              <w:t>) or drug overdose (</w:t>
            </w:r>
            <w:r w:rsidRPr="005D4222">
              <w:rPr>
                <w:color w:val="000000" w:themeColor="text1"/>
                <w:u w:val="single"/>
              </w:rPr>
              <w:t>Unintentional Drug Overdose Value Set</w:t>
            </w:r>
            <w:r w:rsidRPr="005D4222">
              <w:rPr>
                <w:color w:val="000000" w:themeColor="text1"/>
              </w:rPr>
              <w:t>).</w:t>
            </w:r>
          </w:p>
          <w:p w14:paraId="5FCEB114" w14:textId="77777777" w:rsidR="00D10B74" w:rsidRPr="005D4222" w:rsidRDefault="00D10B74" w:rsidP="00D10B74">
            <w:pPr>
              <w:pStyle w:val="Bullet"/>
              <w:numPr>
                <w:ilvl w:val="0"/>
                <w:numId w:val="42"/>
              </w:numPr>
              <w:tabs>
                <w:tab w:val="left" w:pos="360"/>
                <w:tab w:val="left" w:pos="576"/>
              </w:tabs>
              <w:spacing w:after="80"/>
              <w:ind w:left="576" w:hanging="216"/>
              <w:rPr>
                <w:rFonts w:eastAsia="Arial,Arial,Arial,Arial,Arial,A"/>
                <w:kern w:val="24"/>
              </w:rPr>
            </w:pPr>
            <w:r w:rsidRPr="005D4222">
              <w:rPr>
                <w:rFonts w:eastAsia="Arial,Times New Roman" w:cs="Arial"/>
              </w:rPr>
              <w:t>A community mental health center visit (</w:t>
            </w:r>
            <w:r w:rsidRPr="005D4222">
              <w:rPr>
                <w:rFonts w:cs="Arial"/>
                <w:u w:val="single"/>
              </w:rPr>
              <w:t>Visit Setting Unspecified Value Set</w:t>
            </w:r>
            <w:r w:rsidRPr="005D4222">
              <w:rPr>
                <w:rFonts w:cs="Arial"/>
              </w:rPr>
              <w:t xml:space="preserve">) </w:t>
            </w:r>
            <w:r w:rsidRPr="005D4222">
              <w:rPr>
                <w:rFonts w:cs="Arial"/>
                <w:b/>
                <w:bCs/>
                <w:i/>
                <w:iCs/>
              </w:rPr>
              <w:t>with</w:t>
            </w:r>
            <w:r w:rsidRPr="005D4222">
              <w:rPr>
                <w:rFonts w:cs="Arial"/>
              </w:rPr>
              <w:t xml:space="preserve"> POS code 53, </w:t>
            </w:r>
            <w:r w:rsidRPr="005D4222">
              <w:rPr>
                <w:rFonts w:eastAsia="Arial,Times New Roman" w:cs="Arial"/>
                <w:b/>
                <w:bCs/>
                <w:i/>
                <w:iCs/>
              </w:rPr>
              <w:t>with</w:t>
            </w:r>
            <w:r w:rsidRPr="005D4222">
              <w:rPr>
                <w:rFonts w:eastAsia="Arial,Times New Roman" w:cs="Arial"/>
              </w:rPr>
              <w:t xml:space="preserve"> a mental health provider.</w:t>
            </w:r>
          </w:p>
          <w:p w14:paraId="176C29B4" w14:textId="77777777" w:rsidR="00D10B74" w:rsidRPr="005D4222" w:rsidRDefault="00D10B74" w:rsidP="00D10B74">
            <w:pPr>
              <w:pStyle w:val="Bullet"/>
              <w:numPr>
                <w:ilvl w:val="0"/>
                <w:numId w:val="42"/>
              </w:numPr>
              <w:tabs>
                <w:tab w:val="left" w:pos="360"/>
                <w:tab w:val="left" w:pos="576"/>
              </w:tabs>
              <w:ind w:left="576" w:hanging="216"/>
              <w:rPr>
                <w:color w:val="000000" w:themeColor="text1"/>
              </w:rPr>
            </w:pPr>
            <w:r w:rsidRPr="005D4222">
              <w:rPr>
                <w:color w:val="000000" w:themeColor="text1"/>
              </w:rPr>
              <w:t>A peer support service (</w:t>
            </w:r>
            <w:r w:rsidRPr="005D4222">
              <w:rPr>
                <w:color w:val="000000" w:themeColor="text1"/>
                <w:u w:val="single"/>
              </w:rPr>
              <w:t>Peer Support Services Value Set</w:t>
            </w:r>
            <w:r w:rsidRPr="005D4222">
              <w:rPr>
                <w:color w:val="000000" w:themeColor="text1"/>
              </w:rPr>
              <w:t xml:space="preserve">) </w:t>
            </w:r>
            <w:r w:rsidRPr="005D4222">
              <w:rPr>
                <w:b/>
                <w:bCs/>
                <w:i/>
                <w:iCs/>
                <w:color w:val="000000" w:themeColor="text1"/>
              </w:rPr>
              <w:t>with</w:t>
            </w:r>
            <w:r w:rsidRPr="005D4222">
              <w:rPr>
                <w:color w:val="000000" w:themeColor="text1"/>
              </w:rPr>
              <w:t xml:space="preserve"> any diagnosis of SUD (</w:t>
            </w:r>
            <w:r w:rsidRPr="005D4222">
              <w:rPr>
                <w:color w:val="000000" w:themeColor="text1"/>
                <w:u w:val="single"/>
              </w:rPr>
              <w:t>AOD Abuse and Dependence Value Set</w:t>
            </w:r>
            <w:r w:rsidRPr="005D4222">
              <w:rPr>
                <w:color w:val="000000" w:themeColor="text1"/>
              </w:rPr>
              <w:t>), substance use (</w:t>
            </w:r>
            <w:r w:rsidRPr="005D4222">
              <w:rPr>
                <w:color w:val="000000" w:themeColor="text1"/>
                <w:u w:val="single"/>
              </w:rPr>
              <w:t>Substance Induced Disorders Value Set</w:t>
            </w:r>
            <w:r w:rsidRPr="005D4222">
              <w:rPr>
                <w:color w:val="000000" w:themeColor="text1"/>
              </w:rPr>
              <w:t>) or drug overdose (</w:t>
            </w:r>
            <w:r w:rsidRPr="005D4222">
              <w:rPr>
                <w:color w:val="000000" w:themeColor="text1"/>
                <w:u w:val="single"/>
              </w:rPr>
              <w:t>Unintentional Drug Overdose Value Set</w:t>
            </w:r>
            <w:r w:rsidRPr="005D4222">
              <w:rPr>
                <w:color w:val="000000" w:themeColor="text1"/>
              </w:rPr>
              <w:t>).</w:t>
            </w:r>
          </w:p>
          <w:p w14:paraId="2B88A546" w14:textId="77777777" w:rsidR="00D10B74" w:rsidRPr="005D4222" w:rsidRDefault="00D10B74" w:rsidP="00D10B74">
            <w:pPr>
              <w:pStyle w:val="Bullet"/>
              <w:numPr>
                <w:ilvl w:val="0"/>
                <w:numId w:val="42"/>
              </w:numPr>
              <w:tabs>
                <w:tab w:val="left" w:pos="360"/>
                <w:tab w:val="left" w:pos="576"/>
              </w:tabs>
              <w:ind w:left="576" w:hanging="216"/>
              <w:rPr>
                <w:color w:val="000000" w:themeColor="text1"/>
              </w:rPr>
            </w:pPr>
            <w:r w:rsidRPr="005D4222">
              <w:rPr>
                <w:rFonts w:eastAsia="Arial,Times New Roman" w:cs="Arial"/>
                <w:color w:val="000000" w:themeColor="text1"/>
              </w:rPr>
              <w:t>An opioid treatment service that bills monthly or weekly (</w:t>
            </w:r>
            <w:r w:rsidRPr="005D4222">
              <w:rPr>
                <w:rFonts w:eastAsia="Arial,Times New Roman" w:cs="Arial"/>
                <w:color w:val="000000" w:themeColor="text1"/>
                <w:u w:val="single"/>
              </w:rPr>
              <w:t>OUD Weekly Non Drug Service Value Set</w:t>
            </w:r>
            <w:r w:rsidRPr="005D4222">
              <w:rPr>
                <w:rFonts w:eastAsia="Arial,Times New Roman" w:cs="Arial"/>
                <w:color w:val="000000" w:themeColor="text1"/>
              </w:rPr>
              <w:t xml:space="preserve">; </w:t>
            </w:r>
            <w:r w:rsidRPr="005D4222">
              <w:rPr>
                <w:rFonts w:eastAsia="Arial,Times New Roman" w:cs="Arial"/>
                <w:color w:val="000000" w:themeColor="text1"/>
                <w:u w:val="single"/>
              </w:rPr>
              <w:t>OUD Monthly Office Based Treatment Value Set</w:t>
            </w:r>
            <w:r w:rsidRPr="005D4222">
              <w:rPr>
                <w:rFonts w:eastAsia="Arial,Times New Roman" w:cs="Arial"/>
                <w:color w:val="000000" w:themeColor="text1"/>
              </w:rPr>
              <w:t xml:space="preserve">) </w:t>
            </w:r>
            <w:r w:rsidRPr="005D4222">
              <w:rPr>
                <w:rFonts w:eastAsia="Arial,Times New Roman" w:cs="Arial"/>
                <w:b/>
                <w:bCs/>
                <w:i/>
                <w:iCs/>
                <w:color w:val="000000" w:themeColor="text1"/>
              </w:rPr>
              <w:t>with</w:t>
            </w:r>
            <w:r w:rsidRPr="005D4222">
              <w:rPr>
                <w:rFonts w:eastAsia="Arial,Times New Roman" w:cs="Arial"/>
                <w:color w:val="000000" w:themeColor="text1"/>
              </w:rPr>
              <w:t xml:space="preserve"> any diagnosis of </w:t>
            </w:r>
            <w:r w:rsidRPr="005D4222">
              <w:rPr>
                <w:color w:val="000000" w:themeColor="text1"/>
              </w:rPr>
              <w:t xml:space="preserve">SUD </w:t>
            </w:r>
            <w:r w:rsidRPr="005D4222">
              <w:rPr>
                <w:rFonts w:eastAsia="Arial,Times New Roman" w:cs="Arial"/>
                <w:color w:val="000000" w:themeColor="text1"/>
              </w:rPr>
              <w:t>(</w:t>
            </w:r>
            <w:r w:rsidRPr="005D4222">
              <w:rPr>
                <w:rFonts w:eastAsia="Arial,Times New Roman" w:cs="Arial"/>
                <w:color w:val="000000" w:themeColor="text1"/>
                <w:u w:val="single"/>
              </w:rPr>
              <w:t>AOD Abuse and Dependence Value Set</w:t>
            </w:r>
            <w:r w:rsidRPr="005D4222">
              <w:rPr>
                <w:rFonts w:eastAsia="Arial,Times New Roman" w:cs="Arial"/>
                <w:color w:val="000000" w:themeColor="text1"/>
              </w:rPr>
              <w:t xml:space="preserve">), </w:t>
            </w:r>
            <w:r w:rsidRPr="005D4222">
              <w:rPr>
                <w:color w:val="000000" w:themeColor="text1"/>
              </w:rPr>
              <w:t>substance use (</w:t>
            </w:r>
            <w:r w:rsidRPr="005D4222">
              <w:rPr>
                <w:color w:val="000000" w:themeColor="text1"/>
                <w:u w:val="single"/>
              </w:rPr>
              <w:t>Substance Induced Disorders Value Set</w:t>
            </w:r>
            <w:r w:rsidRPr="005D4222">
              <w:rPr>
                <w:color w:val="000000" w:themeColor="text1"/>
              </w:rPr>
              <w:t>) or drug overdose (</w:t>
            </w:r>
            <w:r w:rsidRPr="005D4222">
              <w:rPr>
                <w:color w:val="000000" w:themeColor="text1"/>
                <w:u w:val="single"/>
              </w:rPr>
              <w:t>Unintentional Drug Overdose Value Set</w:t>
            </w:r>
            <w:r w:rsidRPr="005D4222">
              <w:rPr>
                <w:color w:val="000000" w:themeColor="text1"/>
              </w:rPr>
              <w:t>)</w:t>
            </w:r>
            <w:r w:rsidRPr="005D4222">
              <w:rPr>
                <w:rFonts w:eastAsia="Arial,Times New Roman" w:cs="Arial"/>
                <w:color w:val="000000" w:themeColor="text1"/>
              </w:rPr>
              <w:t>.</w:t>
            </w:r>
          </w:p>
          <w:p w14:paraId="343941D3" w14:textId="77777777" w:rsidR="00D10B74" w:rsidRPr="005D4222" w:rsidRDefault="00D10B74" w:rsidP="00D10B74">
            <w:pPr>
              <w:pStyle w:val="Bullet"/>
              <w:numPr>
                <w:ilvl w:val="0"/>
                <w:numId w:val="42"/>
              </w:numPr>
              <w:tabs>
                <w:tab w:val="left" w:pos="360"/>
                <w:tab w:val="left" w:pos="576"/>
              </w:tabs>
              <w:ind w:left="576" w:hanging="216"/>
              <w:rPr>
                <w:color w:val="000000" w:themeColor="text1"/>
              </w:rPr>
            </w:pPr>
            <w:r w:rsidRPr="005D4222">
              <w:rPr>
                <w:rFonts w:eastAsia="Arial,Times New Roman" w:cs="Arial"/>
              </w:rPr>
              <w:t>A telehealth visit (</w:t>
            </w:r>
            <w:r w:rsidRPr="005D4222">
              <w:rPr>
                <w:rFonts w:cs="Arial"/>
                <w:u w:val="single"/>
              </w:rPr>
              <w:t>Visit Setting Unspecified Value Set</w:t>
            </w:r>
            <w:r w:rsidRPr="005D4222">
              <w:rPr>
                <w:rFonts w:cs="Arial"/>
              </w:rPr>
              <w:t xml:space="preserve">) </w:t>
            </w:r>
            <w:r w:rsidRPr="005D4222">
              <w:rPr>
                <w:rFonts w:cs="Arial"/>
                <w:b/>
                <w:bCs/>
                <w:i/>
                <w:iCs/>
              </w:rPr>
              <w:t>with</w:t>
            </w:r>
            <w:r w:rsidRPr="005D4222">
              <w:rPr>
                <w:rFonts w:cs="Arial"/>
              </w:rPr>
              <w:t xml:space="preserve"> (</w:t>
            </w:r>
            <w:r w:rsidRPr="005D4222">
              <w:rPr>
                <w:rFonts w:cs="Arial"/>
                <w:u w:val="single"/>
              </w:rPr>
              <w:t>Telehealth POS Value Set</w:t>
            </w:r>
            <w:r w:rsidRPr="005D4222">
              <w:rPr>
                <w:rFonts w:cs="Arial"/>
              </w:rPr>
              <w:t>)</w:t>
            </w:r>
            <w:r w:rsidRPr="005D4222">
              <w:rPr>
                <w:rFonts w:eastAsia="Arial,Times New Roman" w:cs="Arial"/>
                <w:b/>
                <w:bCs/>
                <w:i/>
                <w:iCs/>
              </w:rPr>
              <w:t xml:space="preserve"> with</w:t>
            </w:r>
            <w:r w:rsidRPr="005D4222">
              <w:rPr>
                <w:rFonts w:eastAsia="Arial,Times New Roman" w:cs="Arial"/>
              </w:rPr>
              <w:t xml:space="preserve"> any diagnosis of SUD </w:t>
            </w:r>
            <w:r w:rsidRPr="005D4222">
              <w:rPr>
                <w:color w:val="000000" w:themeColor="text1"/>
              </w:rPr>
              <w:t>(</w:t>
            </w:r>
            <w:r w:rsidRPr="005D4222">
              <w:rPr>
                <w:color w:val="000000" w:themeColor="text1"/>
                <w:u w:val="single"/>
              </w:rPr>
              <w:t>AOD Abuse and Dependence Value Set</w:t>
            </w:r>
            <w:r w:rsidRPr="005D4222">
              <w:rPr>
                <w:color w:val="000000" w:themeColor="text1"/>
              </w:rPr>
              <w:t>), substance use (</w:t>
            </w:r>
            <w:r w:rsidRPr="005D4222">
              <w:rPr>
                <w:color w:val="000000" w:themeColor="text1"/>
                <w:u w:val="single"/>
              </w:rPr>
              <w:t>Substance Induced Disorders Value Set</w:t>
            </w:r>
            <w:r w:rsidRPr="005D4222">
              <w:rPr>
                <w:color w:val="000000" w:themeColor="text1"/>
              </w:rPr>
              <w:t>) or drug overdose (</w:t>
            </w:r>
            <w:r w:rsidRPr="005D4222">
              <w:rPr>
                <w:color w:val="000000" w:themeColor="text1"/>
                <w:u w:val="single"/>
              </w:rPr>
              <w:t>Unintentional Drug Overdose Value Set</w:t>
            </w:r>
            <w:r w:rsidRPr="005D4222">
              <w:rPr>
                <w:color w:val="000000" w:themeColor="text1"/>
              </w:rPr>
              <w:t>).</w:t>
            </w:r>
          </w:p>
          <w:p w14:paraId="139F1BDD" w14:textId="77777777" w:rsidR="00D10B74" w:rsidRPr="005D4222" w:rsidRDefault="00D10B74" w:rsidP="00D10B74">
            <w:pPr>
              <w:pStyle w:val="Bullet"/>
              <w:numPr>
                <w:ilvl w:val="0"/>
                <w:numId w:val="42"/>
              </w:numPr>
              <w:tabs>
                <w:tab w:val="left" w:pos="360"/>
                <w:tab w:val="left" w:pos="576"/>
              </w:tabs>
              <w:ind w:left="576" w:hanging="216"/>
              <w:rPr>
                <w:color w:val="000000" w:themeColor="text1"/>
              </w:rPr>
            </w:pPr>
            <w:r w:rsidRPr="005D4222">
              <w:rPr>
                <w:rFonts w:eastAsia="Arial,Times New Roman" w:cs="Arial"/>
              </w:rPr>
              <w:t>A telehealth visit (</w:t>
            </w:r>
            <w:r w:rsidRPr="005D4222">
              <w:rPr>
                <w:rFonts w:cs="Arial"/>
                <w:u w:val="single"/>
              </w:rPr>
              <w:t>Visit Setting Unspecified Value Set</w:t>
            </w:r>
            <w:r w:rsidRPr="005D4222">
              <w:rPr>
                <w:rFonts w:cs="Arial"/>
              </w:rPr>
              <w:t xml:space="preserve">) </w:t>
            </w:r>
            <w:r w:rsidRPr="005D4222">
              <w:rPr>
                <w:rFonts w:cs="Arial"/>
                <w:b/>
                <w:bCs/>
                <w:i/>
                <w:iCs/>
              </w:rPr>
              <w:t>with</w:t>
            </w:r>
            <w:r w:rsidRPr="005D4222">
              <w:rPr>
                <w:rFonts w:cs="Arial"/>
              </w:rPr>
              <w:t xml:space="preserve"> (</w:t>
            </w:r>
            <w:r w:rsidRPr="005D4222">
              <w:rPr>
                <w:rFonts w:cs="Arial"/>
                <w:u w:val="single"/>
              </w:rPr>
              <w:t>Telehealth POS Value Set</w:t>
            </w:r>
            <w:r w:rsidRPr="005D4222">
              <w:rPr>
                <w:rFonts w:cs="Arial"/>
              </w:rPr>
              <w:t>)</w:t>
            </w:r>
            <w:r w:rsidRPr="005D4222">
              <w:rPr>
                <w:rFonts w:eastAsia="Arial,Times New Roman" w:cs="Arial"/>
                <w:b/>
                <w:bCs/>
                <w:i/>
                <w:iCs/>
              </w:rPr>
              <w:t xml:space="preserve"> with</w:t>
            </w:r>
            <w:r w:rsidRPr="005D4222">
              <w:rPr>
                <w:rFonts w:eastAsia="Arial,Times New Roman" w:cs="Arial"/>
              </w:rPr>
              <w:t xml:space="preserve"> a mental health provider.</w:t>
            </w:r>
          </w:p>
          <w:p w14:paraId="59FCA974" w14:textId="77777777" w:rsidR="00D10B74" w:rsidRPr="005D4222" w:rsidRDefault="00D10B74" w:rsidP="00D10B74">
            <w:pPr>
              <w:pStyle w:val="Bullet"/>
              <w:numPr>
                <w:ilvl w:val="0"/>
                <w:numId w:val="42"/>
              </w:numPr>
              <w:tabs>
                <w:tab w:val="left" w:pos="360"/>
                <w:tab w:val="left" w:pos="576"/>
              </w:tabs>
              <w:ind w:left="576" w:hanging="216"/>
              <w:rPr>
                <w:color w:val="000000" w:themeColor="text1"/>
              </w:rPr>
            </w:pPr>
            <w:r w:rsidRPr="005D4222">
              <w:rPr>
                <w:color w:val="000000" w:themeColor="text1"/>
              </w:rPr>
              <w:t>A telephone visit (</w:t>
            </w:r>
            <w:r w:rsidRPr="005D4222">
              <w:rPr>
                <w:color w:val="000000" w:themeColor="text1"/>
                <w:u w:val="single"/>
              </w:rPr>
              <w:t>Telephone Visits Value Set</w:t>
            </w:r>
            <w:r w:rsidRPr="005D4222">
              <w:rPr>
                <w:color w:val="000000" w:themeColor="text1"/>
              </w:rPr>
              <w:t xml:space="preserve">) </w:t>
            </w:r>
            <w:r w:rsidRPr="005D4222">
              <w:rPr>
                <w:b/>
                <w:bCs/>
                <w:i/>
                <w:iCs/>
                <w:color w:val="000000" w:themeColor="text1"/>
              </w:rPr>
              <w:t>with</w:t>
            </w:r>
            <w:r w:rsidRPr="005D4222">
              <w:rPr>
                <w:color w:val="000000" w:themeColor="text1"/>
              </w:rPr>
              <w:t xml:space="preserve"> any diagnosis of SUD (</w:t>
            </w:r>
            <w:r w:rsidRPr="005D4222">
              <w:rPr>
                <w:color w:val="000000" w:themeColor="text1"/>
                <w:u w:val="single"/>
              </w:rPr>
              <w:t>AOD Abuse and Dependence Value Set</w:t>
            </w:r>
            <w:r w:rsidRPr="005D4222">
              <w:rPr>
                <w:color w:val="000000" w:themeColor="text1"/>
              </w:rPr>
              <w:t>), substance use (</w:t>
            </w:r>
            <w:r w:rsidRPr="005D4222">
              <w:rPr>
                <w:color w:val="000000" w:themeColor="text1"/>
                <w:u w:val="single"/>
              </w:rPr>
              <w:t>Substance Induced Disorders Value Set</w:t>
            </w:r>
            <w:r w:rsidRPr="005D4222">
              <w:rPr>
                <w:color w:val="000000" w:themeColor="text1"/>
              </w:rPr>
              <w:t>) or drug overdose (</w:t>
            </w:r>
            <w:r w:rsidRPr="005D4222">
              <w:rPr>
                <w:color w:val="000000" w:themeColor="text1"/>
                <w:u w:val="single"/>
              </w:rPr>
              <w:t>Unintentional Drug Overdose Value Set</w:t>
            </w:r>
            <w:r w:rsidRPr="005D4222">
              <w:rPr>
                <w:color w:val="000000" w:themeColor="text1"/>
              </w:rPr>
              <w:t>).</w:t>
            </w:r>
          </w:p>
          <w:p w14:paraId="4CFD9B82" w14:textId="77777777" w:rsidR="00D10B74" w:rsidRPr="005D4222" w:rsidRDefault="00D10B74" w:rsidP="00D10B74">
            <w:pPr>
              <w:pStyle w:val="Bullet"/>
              <w:numPr>
                <w:ilvl w:val="0"/>
                <w:numId w:val="42"/>
              </w:numPr>
              <w:tabs>
                <w:tab w:val="left" w:pos="360"/>
                <w:tab w:val="left" w:pos="576"/>
              </w:tabs>
              <w:ind w:left="576" w:hanging="216"/>
              <w:rPr>
                <w:color w:val="000000" w:themeColor="text1"/>
              </w:rPr>
            </w:pPr>
            <w:r w:rsidRPr="005D4222">
              <w:rPr>
                <w:color w:val="000000" w:themeColor="text1"/>
              </w:rPr>
              <w:t>A telephone visit (</w:t>
            </w:r>
            <w:r w:rsidRPr="005D4222">
              <w:rPr>
                <w:color w:val="000000" w:themeColor="text1"/>
                <w:u w:val="single"/>
              </w:rPr>
              <w:t>Telephone Visits Value Set</w:t>
            </w:r>
            <w:r w:rsidRPr="005D4222">
              <w:rPr>
                <w:color w:val="000000" w:themeColor="text1"/>
              </w:rPr>
              <w:t xml:space="preserve">) </w:t>
            </w:r>
            <w:r w:rsidRPr="005D4222">
              <w:rPr>
                <w:b/>
                <w:bCs/>
                <w:i/>
                <w:iCs/>
                <w:color w:val="000000" w:themeColor="text1"/>
              </w:rPr>
              <w:t>with</w:t>
            </w:r>
            <w:r w:rsidRPr="005D4222">
              <w:rPr>
                <w:color w:val="000000" w:themeColor="text1"/>
              </w:rPr>
              <w:t xml:space="preserve"> a mental health provider. </w:t>
            </w:r>
          </w:p>
          <w:p w14:paraId="3843B84C" w14:textId="77777777" w:rsidR="00D10B74" w:rsidRPr="005D4222" w:rsidRDefault="00D10B74" w:rsidP="00D10B74">
            <w:pPr>
              <w:pStyle w:val="Bullet"/>
              <w:numPr>
                <w:ilvl w:val="0"/>
                <w:numId w:val="42"/>
              </w:numPr>
              <w:tabs>
                <w:tab w:val="left" w:pos="360"/>
                <w:tab w:val="left" w:pos="576"/>
              </w:tabs>
              <w:ind w:left="576" w:hanging="216"/>
              <w:rPr>
                <w:color w:val="000000" w:themeColor="text1"/>
              </w:rPr>
            </w:pPr>
            <w:r w:rsidRPr="005D4222">
              <w:rPr>
                <w:color w:val="000000" w:themeColor="text1"/>
              </w:rPr>
              <w:t>An e-visit or virtual check-in (</w:t>
            </w:r>
            <w:r w:rsidRPr="005D4222">
              <w:rPr>
                <w:color w:val="000000" w:themeColor="text1"/>
                <w:u w:val="single"/>
              </w:rPr>
              <w:t>Online Assessments Value Set</w:t>
            </w:r>
            <w:r w:rsidRPr="005D4222">
              <w:rPr>
                <w:color w:val="000000" w:themeColor="text1"/>
              </w:rPr>
              <w:t xml:space="preserve">) </w:t>
            </w:r>
            <w:r w:rsidRPr="005D4222">
              <w:rPr>
                <w:b/>
                <w:bCs/>
                <w:i/>
                <w:iCs/>
                <w:color w:val="000000" w:themeColor="text1"/>
              </w:rPr>
              <w:t>with</w:t>
            </w:r>
            <w:r w:rsidRPr="005D4222">
              <w:rPr>
                <w:color w:val="000000" w:themeColor="text1"/>
              </w:rPr>
              <w:t xml:space="preserve"> any diagnosis of SUD (</w:t>
            </w:r>
            <w:r w:rsidRPr="005D4222">
              <w:rPr>
                <w:color w:val="000000" w:themeColor="text1"/>
                <w:u w:val="single"/>
              </w:rPr>
              <w:t>AOD Abuse and Dependence Value Set</w:t>
            </w:r>
            <w:r w:rsidRPr="005D4222">
              <w:rPr>
                <w:color w:val="000000" w:themeColor="text1"/>
              </w:rPr>
              <w:t>), substance use (</w:t>
            </w:r>
            <w:r w:rsidRPr="005D4222">
              <w:rPr>
                <w:color w:val="000000" w:themeColor="text1"/>
                <w:u w:val="single"/>
              </w:rPr>
              <w:t>Substance Induced Disorders Value Set</w:t>
            </w:r>
            <w:r w:rsidRPr="005D4222">
              <w:rPr>
                <w:color w:val="000000" w:themeColor="text1"/>
              </w:rPr>
              <w:t>) or drug overdose (</w:t>
            </w:r>
            <w:r w:rsidRPr="005D4222">
              <w:rPr>
                <w:color w:val="000000" w:themeColor="text1"/>
                <w:u w:val="single"/>
              </w:rPr>
              <w:t>Unintentional Drug Overdose Value Set</w:t>
            </w:r>
            <w:r w:rsidRPr="005D4222">
              <w:rPr>
                <w:color w:val="000000" w:themeColor="text1"/>
              </w:rPr>
              <w:t>).</w:t>
            </w:r>
          </w:p>
          <w:p w14:paraId="19020EEF" w14:textId="77777777" w:rsidR="00D10B74" w:rsidRPr="005D4222" w:rsidRDefault="00D10B74" w:rsidP="00D10B74">
            <w:pPr>
              <w:pStyle w:val="Bullet"/>
              <w:numPr>
                <w:ilvl w:val="0"/>
                <w:numId w:val="42"/>
              </w:numPr>
              <w:tabs>
                <w:tab w:val="left" w:pos="360"/>
                <w:tab w:val="left" w:pos="576"/>
              </w:tabs>
              <w:ind w:left="576" w:hanging="216"/>
              <w:rPr>
                <w:color w:val="000000" w:themeColor="text1"/>
              </w:rPr>
            </w:pPr>
            <w:r w:rsidRPr="005D4222">
              <w:rPr>
                <w:color w:val="000000" w:themeColor="text1"/>
              </w:rPr>
              <w:t>An e-visit or virtual check-in (</w:t>
            </w:r>
            <w:r w:rsidRPr="005D4222">
              <w:rPr>
                <w:color w:val="000000" w:themeColor="text1"/>
                <w:u w:val="single"/>
              </w:rPr>
              <w:t>Online Assessments Value Set</w:t>
            </w:r>
            <w:r w:rsidRPr="005D4222">
              <w:rPr>
                <w:color w:val="000000" w:themeColor="text1"/>
              </w:rPr>
              <w:t xml:space="preserve">) </w:t>
            </w:r>
            <w:r w:rsidRPr="005D4222">
              <w:rPr>
                <w:b/>
                <w:bCs/>
                <w:i/>
                <w:iCs/>
                <w:color w:val="000000" w:themeColor="text1"/>
              </w:rPr>
              <w:t>with</w:t>
            </w:r>
            <w:r w:rsidRPr="005D4222">
              <w:rPr>
                <w:color w:val="000000" w:themeColor="text1"/>
              </w:rPr>
              <w:t xml:space="preserve"> a mental health provider.</w:t>
            </w:r>
          </w:p>
          <w:p w14:paraId="7F0399B2" w14:textId="77777777" w:rsidR="00D10B74" w:rsidRPr="005D4222" w:rsidRDefault="00D10B74" w:rsidP="00D10B74">
            <w:pPr>
              <w:pStyle w:val="Bullet"/>
              <w:numPr>
                <w:ilvl w:val="0"/>
                <w:numId w:val="42"/>
              </w:numPr>
              <w:tabs>
                <w:tab w:val="left" w:pos="360"/>
                <w:tab w:val="left" w:pos="576"/>
              </w:tabs>
              <w:ind w:left="576" w:hanging="216"/>
              <w:rPr>
                <w:color w:val="000000" w:themeColor="text1"/>
              </w:rPr>
            </w:pPr>
            <w:r w:rsidRPr="005D4222">
              <w:rPr>
                <w:rFonts w:cs="Arial"/>
              </w:rPr>
              <w:t>A substance use disorder service (</w:t>
            </w:r>
            <w:r w:rsidRPr="005D4222">
              <w:rPr>
                <w:rFonts w:cs="Arial"/>
                <w:u w:val="single"/>
              </w:rPr>
              <w:t>Substance Use Disorder Services Value Set</w:t>
            </w:r>
            <w:r w:rsidRPr="005D4222">
              <w:rPr>
                <w:rFonts w:cs="Arial"/>
              </w:rPr>
              <w:t>)</w:t>
            </w:r>
            <w:r w:rsidRPr="005D4222">
              <w:t>.</w:t>
            </w:r>
          </w:p>
          <w:p w14:paraId="482C4EAE" w14:textId="77777777" w:rsidR="00D10B74" w:rsidRPr="005D4222" w:rsidRDefault="00D10B74" w:rsidP="00D10B74">
            <w:pPr>
              <w:pStyle w:val="Bullet"/>
              <w:numPr>
                <w:ilvl w:val="0"/>
                <w:numId w:val="42"/>
              </w:numPr>
              <w:tabs>
                <w:tab w:val="left" w:pos="360"/>
                <w:tab w:val="left" w:pos="576"/>
              </w:tabs>
              <w:ind w:left="576" w:hanging="216"/>
              <w:rPr>
                <w:rFonts w:eastAsia="Arial,Times New Roman" w:cs="Arial"/>
                <w:szCs w:val="21"/>
              </w:rPr>
            </w:pPr>
            <w:r w:rsidRPr="005D4222">
              <w:rPr>
                <w:rFonts w:cs="Arial"/>
              </w:rPr>
              <w:t>Substance use disorder counseling and surveillance (</w:t>
            </w:r>
            <w:r w:rsidRPr="005D4222">
              <w:rPr>
                <w:rFonts w:cs="Arial"/>
                <w:u w:val="single"/>
              </w:rPr>
              <w:t>Substance Abuse Counseling and Surveillance Value Set</w:t>
            </w:r>
            <w:r w:rsidRPr="005D4222">
              <w:rPr>
                <w:rFonts w:cs="Arial"/>
              </w:rPr>
              <w:t>*)</w:t>
            </w:r>
            <w:r w:rsidRPr="005D4222">
              <w:rPr>
                <w:rFonts w:eastAsia="Arial,Times New Roman" w:cs="Arial"/>
              </w:rPr>
              <w:t>.</w:t>
            </w:r>
          </w:p>
          <w:p w14:paraId="66D33D5A" w14:textId="77777777" w:rsidR="00D10B74" w:rsidRPr="005D4222" w:rsidRDefault="00D10B74" w:rsidP="00D10B74">
            <w:pPr>
              <w:pStyle w:val="Bullet"/>
              <w:numPr>
                <w:ilvl w:val="0"/>
                <w:numId w:val="42"/>
              </w:numPr>
              <w:tabs>
                <w:tab w:val="left" w:pos="360"/>
                <w:tab w:val="left" w:pos="576"/>
              </w:tabs>
              <w:ind w:left="576" w:hanging="216"/>
              <w:rPr>
                <w:color w:val="000000" w:themeColor="text1"/>
              </w:rPr>
            </w:pPr>
            <w:r w:rsidRPr="005D4222">
              <w:rPr>
                <w:color w:val="000000" w:themeColor="text1"/>
              </w:rPr>
              <w:t>A behavioral health screening or assessment for SUD or mental health disorders (</w:t>
            </w:r>
            <w:r w:rsidRPr="005D4222">
              <w:rPr>
                <w:color w:val="000000" w:themeColor="text1"/>
                <w:u w:val="single"/>
              </w:rPr>
              <w:t>Behavioral Health Assessment Value Set</w:t>
            </w:r>
            <w:r w:rsidRPr="005D4222">
              <w:rPr>
                <w:color w:val="000000" w:themeColor="text1"/>
              </w:rPr>
              <w:t>).</w:t>
            </w:r>
          </w:p>
          <w:p w14:paraId="3B285745" w14:textId="338637B7" w:rsidR="00D10B74" w:rsidRPr="005D4222" w:rsidRDefault="00D10B74" w:rsidP="009F5027">
            <w:pPr>
              <w:pStyle w:val="Bullet"/>
              <w:numPr>
                <w:ilvl w:val="0"/>
                <w:numId w:val="42"/>
              </w:numPr>
              <w:tabs>
                <w:tab w:val="left" w:pos="360"/>
                <w:tab w:val="left" w:pos="576"/>
              </w:tabs>
              <w:spacing w:after="80"/>
              <w:ind w:left="576" w:hanging="216"/>
              <w:rPr>
                <w:rFonts w:eastAsia="Arial,Arial,Arial,Arial,Arial,A"/>
                <w:color w:val="000000" w:themeColor="text1"/>
                <w:kern w:val="24"/>
                <w:szCs w:val="21"/>
              </w:rPr>
            </w:pPr>
            <w:r w:rsidRPr="005D4222">
              <w:t>A substance use service (</w:t>
            </w:r>
            <w:r w:rsidRPr="005D4222">
              <w:rPr>
                <w:u w:val="single"/>
              </w:rPr>
              <w:t>Substance Use Services Value Set</w:t>
            </w:r>
            <w:r w:rsidRPr="005D4222">
              <w:t>).</w:t>
            </w:r>
          </w:p>
        </w:tc>
      </w:tr>
    </w:tbl>
    <w:p w14:paraId="09EBD981" w14:textId="77777777" w:rsidR="000842DB" w:rsidRPr="005D4222" w:rsidRDefault="000842DB">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0842DB" w:rsidRPr="005D4222" w14:paraId="6B3C7698"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AEE16AF" w14:textId="77777777" w:rsidR="000842DB" w:rsidRPr="005D4222" w:rsidRDefault="000842DB">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5BA2E62A" w14:textId="77777777" w:rsidR="000842DB" w:rsidRPr="005D4222" w:rsidRDefault="000842DB" w:rsidP="000842DB">
            <w:pPr>
              <w:pStyle w:val="Bullet"/>
              <w:numPr>
                <w:ilvl w:val="0"/>
                <w:numId w:val="42"/>
              </w:numPr>
              <w:tabs>
                <w:tab w:val="left" w:pos="360"/>
                <w:tab w:val="left" w:pos="576"/>
              </w:tabs>
              <w:spacing w:after="80"/>
              <w:ind w:left="576" w:hanging="216"/>
              <w:rPr>
                <w:color w:val="000000" w:themeColor="text1"/>
              </w:rPr>
            </w:pPr>
            <w:r w:rsidRPr="005D4222">
              <w:rPr>
                <w:rFonts w:cs="Arial"/>
                <w:color w:val="000000" w:themeColor="text1"/>
              </w:rPr>
              <w:t>A pharmacotherapy dispensing event (</w:t>
            </w:r>
            <w:r w:rsidRPr="005D4222">
              <w:rPr>
                <w:rFonts w:cs="Arial"/>
                <w:color w:val="000000" w:themeColor="text1"/>
                <w:u w:val="single"/>
              </w:rPr>
              <w:t>Alcohol Use Disorder Treatment Medications List</w:t>
            </w:r>
            <w:r w:rsidRPr="005D4222">
              <w:rPr>
                <w:rFonts w:cs="Arial"/>
                <w:color w:val="000000" w:themeColor="text1"/>
              </w:rPr>
              <w:t xml:space="preserve">; </w:t>
            </w:r>
            <w:r w:rsidRPr="005D4222">
              <w:rPr>
                <w:rFonts w:cs="Arial"/>
                <w:color w:val="000000" w:themeColor="text1"/>
                <w:u w:val="single"/>
              </w:rPr>
              <w:t>Opioid Use Disorder Treatment Medications List</w:t>
            </w:r>
            <w:r w:rsidRPr="005D4222">
              <w:rPr>
                <w:rFonts w:cs="Arial"/>
                <w:color w:val="000000" w:themeColor="text1"/>
              </w:rPr>
              <w:t>) or medication treatment event (</w:t>
            </w:r>
            <w:r w:rsidRPr="005D4222">
              <w:rPr>
                <w:rFonts w:cs="Arial"/>
                <w:color w:val="000000" w:themeColor="text1"/>
                <w:u w:val="single"/>
              </w:rPr>
              <w:t>AOD Medication Treatment Value Set</w:t>
            </w:r>
            <w:r w:rsidRPr="005D4222">
              <w:rPr>
                <w:rFonts w:cs="Arial"/>
                <w:color w:val="000000" w:themeColor="text1"/>
              </w:rPr>
              <w:t xml:space="preserve">; </w:t>
            </w:r>
            <w:r w:rsidRPr="005D4222">
              <w:rPr>
                <w:rFonts w:cs="Arial"/>
                <w:color w:val="000000" w:themeColor="text1"/>
                <w:u w:val="single"/>
              </w:rPr>
              <w:t>OUD Weekly Drug Treatment Service Value Set</w:t>
            </w:r>
            <w:r w:rsidRPr="005D4222">
              <w:rPr>
                <w:rFonts w:cs="Arial"/>
                <w:color w:val="000000" w:themeColor="text1"/>
              </w:rPr>
              <w:t>).</w:t>
            </w:r>
          </w:p>
          <w:p w14:paraId="1364B87F" w14:textId="77777777" w:rsidR="000842DB" w:rsidRPr="005D4222" w:rsidRDefault="000842DB" w:rsidP="000842DB">
            <w:pPr>
              <w:pStyle w:val="ECDSBody"/>
              <w:spacing w:after="0"/>
              <w:rPr>
                <w:b/>
                <w:bCs w:val="0"/>
              </w:rPr>
            </w:pPr>
            <w:r w:rsidRPr="005D4222">
              <w:rPr>
                <w:b/>
                <w:bCs w:val="0"/>
              </w:rPr>
              <w:t>Coding Guidance</w:t>
            </w:r>
          </w:p>
          <w:p w14:paraId="4AE917A2" w14:textId="1A068E72" w:rsidR="000842DB" w:rsidRPr="005D4222" w:rsidRDefault="000842DB" w:rsidP="000842DB">
            <w:pPr>
              <w:pStyle w:val="ECDSBody"/>
              <w:spacing w:before="0"/>
              <w:rPr>
                <w:rFonts w:eastAsia="Arial,Times New Roman"/>
              </w:rPr>
            </w:pPr>
            <w:r w:rsidRPr="005D4222">
              <w:rPr>
                <w:rFonts w:eastAsia="Arial,Arial,Arial,Arial,Arial,A"/>
                <w:lang w:eastAsia="zh-CN"/>
              </w:rPr>
              <w:t>*</w:t>
            </w:r>
            <w:r w:rsidRPr="005D4222">
              <w:rPr>
                <w:rStyle w:val="BodyChar1"/>
                <w:rFonts w:eastAsia="Arial,Arial,Arial,Arial,Arial,A"/>
                <w:color w:val="000000" w:themeColor="text1"/>
                <w:szCs w:val="21"/>
              </w:rPr>
              <w:t>Do not include laboratory claims (claims with POS code 81).</w:t>
            </w:r>
          </w:p>
        </w:tc>
      </w:tr>
      <w:tr w:rsidR="00D10B74" w:rsidRPr="005D4222" w14:paraId="3E2415E5" w14:textId="77777777">
        <w:trPr>
          <w:trHeight w:val="50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48718C8" w14:textId="77777777" w:rsidR="00D10B74" w:rsidRPr="005D4222" w:rsidRDefault="00D10B74">
            <w:pPr>
              <w:pStyle w:val="ECDSMarginHead"/>
            </w:pPr>
            <w:r w:rsidRPr="005D4222">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DCE5A51" w14:textId="77777777" w:rsidR="00D10B74" w:rsidRPr="005D4222" w:rsidRDefault="00D10B74" w:rsidP="00902BB1">
            <w:pPr>
              <w:pStyle w:val="ProcessBullet"/>
              <w:tabs>
                <w:tab w:val="left" w:pos="216"/>
              </w:tabs>
              <w:spacing w:before="120"/>
            </w:pPr>
            <w:r w:rsidRPr="005D4222">
              <w:t>Updated the race and ethnicity stratification categories to align with OMB SPD 15 2024.</w:t>
            </w:r>
          </w:p>
          <w:p w14:paraId="006BAEF8" w14:textId="77777777" w:rsidR="00D10B74" w:rsidRPr="005D4222" w:rsidRDefault="00D10B74" w:rsidP="00902BB1">
            <w:pPr>
              <w:pStyle w:val="ProcessBullet"/>
              <w:spacing w:after="80"/>
            </w:pPr>
            <w:r w:rsidRPr="005D4222">
              <w:t>Added instructions on allowable adjustments to the race and ethnicity stratification.</w:t>
            </w:r>
          </w:p>
        </w:tc>
      </w:tr>
      <w:tr w:rsidR="00D10B74" w:rsidRPr="005D4222" w14:paraId="60C3A087" w14:textId="77777777">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968B5B5" w14:textId="77777777" w:rsidR="00D10B74" w:rsidRPr="005D4222" w:rsidRDefault="00D10B74">
            <w:pPr>
              <w:pStyle w:val="ECDS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10F9296" w14:textId="77777777" w:rsidR="00D10B74" w:rsidRPr="005D4222" w:rsidRDefault="00D10B74">
            <w:pPr>
              <w:pStyle w:val="Body"/>
            </w:pPr>
            <w:r w:rsidRPr="005D4222">
              <w:t>Organizations that submit HEDIS data to NCQA must provide the following data elements.</w:t>
            </w:r>
          </w:p>
          <w:p w14:paraId="1D772FF4" w14:textId="77777777" w:rsidR="00D10B74" w:rsidRPr="005D4222" w:rsidRDefault="00D10B74">
            <w:pPr>
              <w:pStyle w:val="Heading3"/>
              <w:spacing w:before="120"/>
            </w:pPr>
            <w:r w:rsidRPr="005D4222">
              <w:t xml:space="preserve">Table FUA-A-1/2/3: Data Elements for Follow-Up After Emergency Department Visit for </w:t>
            </w:r>
            <w:r w:rsidRPr="005D4222">
              <w:rPr>
                <w:color w:val="000000"/>
              </w:rPr>
              <w:t>Substance Use</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616"/>
              <w:gridCol w:w="810"/>
              <w:gridCol w:w="2250"/>
              <w:gridCol w:w="2699"/>
            </w:tblGrid>
            <w:tr w:rsidR="00D10B74" w:rsidRPr="005D4222" w14:paraId="73647AA3" w14:textId="77777777">
              <w:tc>
                <w:tcPr>
                  <w:tcW w:w="1616"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tcMar>
                    <w:top w:w="0" w:type="dxa"/>
                    <w:left w:w="72" w:type="dxa"/>
                    <w:bottom w:w="0" w:type="dxa"/>
                    <w:right w:w="72" w:type="dxa"/>
                  </w:tcMar>
                  <w:hideMark/>
                </w:tcPr>
                <w:p w14:paraId="0077649C" w14:textId="77777777" w:rsidR="00D10B74" w:rsidRPr="005D4222" w:rsidRDefault="00D10B74">
                  <w:pPr>
                    <w:pStyle w:val="TableHead"/>
                    <w:spacing w:before="40" w:after="40"/>
                    <w:rPr>
                      <w:rFonts w:cs="Arial"/>
                      <w:color w:val="auto"/>
                    </w:rPr>
                  </w:pPr>
                  <w:r w:rsidRPr="005D4222">
                    <w:rPr>
                      <w:rFonts w:cs="Arial"/>
                      <w:color w:val="auto"/>
                    </w:rPr>
                    <w:t>Metric</w:t>
                  </w:r>
                </w:p>
              </w:tc>
              <w:tc>
                <w:tcPr>
                  <w:tcW w:w="81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top w:w="0" w:type="dxa"/>
                    <w:left w:w="72" w:type="dxa"/>
                    <w:bottom w:w="0" w:type="dxa"/>
                    <w:right w:w="72" w:type="dxa"/>
                  </w:tcMar>
                  <w:hideMark/>
                </w:tcPr>
                <w:p w14:paraId="7F5B544A" w14:textId="77777777" w:rsidR="00D10B74" w:rsidRPr="005D4222" w:rsidRDefault="00D10B74">
                  <w:pPr>
                    <w:pStyle w:val="TableHead"/>
                    <w:spacing w:before="40" w:after="40"/>
                    <w:rPr>
                      <w:rFonts w:cs="Arial"/>
                      <w:color w:val="auto"/>
                    </w:rPr>
                  </w:pPr>
                  <w:r w:rsidRPr="005D4222">
                    <w:rPr>
                      <w:rFonts w:cs="Arial"/>
                      <w:color w:val="auto"/>
                    </w:rPr>
                    <w:t>Age</w:t>
                  </w:r>
                </w:p>
              </w:tc>
              <w:tc>
                <w:tcPr>
                  <w:tcW w:w="225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top w:w="0" w:type="dxa"/>
                    <w:left w:w="72" w:type="dxa"/>
                    <w:bottom w:w="0" w:type="dxa"/>
                    <w:right w:w="72" w:type="dxa"/>
                  </w:tcMar>
                  <w:hideMark/>
                </w:tcPr>
                <w:p w14:paraId="6DBD8DBF" w14:textId="77777777" w:rsidR="00D10B74" w:rsidRPr="005D4222" w:rsidRDefault="00D10B74">
                  <w:pPr>
                    <w:pStyle w:val="TableHead"/>
                    <w:spacing w:before="40" w:after="40"/>
                    <w:rPr>
                      <w:rFonts w:cs="Arial"/>
                      <w:color w:val="auto"/>
                    </w:rPr>
                  </w:pPr>
                  <w:r w:rsidRPr="005D4222">
                    <w:rPr>
                      <w:rFonts w:cs="Arial"/>
                      <w:color w:val="auto"/>
                    </w:rPr>
                    <w:t>Data Element</w:t>
                  </w:r>
                </w:p>
              </w:tc>
              <w:tc>
                <w:tcPr>
                  <w:tcW w:w="2699"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tcMar>
                    <w:top w:w="0" w:type="dxa"/>
                    <w:left w:w="72" w:type="dxa"/>
                    <w:bottom w:w="0" w:type="dxa"/>
                    <w:right w:w="72" w:type="dxa"/>
                  </w:tcMar>
                  <w:hideMark/>
                </w:tcPr>
                <w:p w14:paraId="1BF3CF4D" w14:textId="77777777" w:rsidR="00D10B74" w:rsidRPr="005D4222" w:rsidRDefault="00D10B74">
                  <w:pPr>
                    <w:pStyle w:val="TableHead"/>
                    <w:spacing w:before="40" w:after="40"/>
                    <w:rPr>
                      <w:rFonts w:cs="Arial"/>
                      <w:color w:val="auto"/>
                    </w:rPr>
                  </w:pPr>
                  <w:r w:rsidRPr="005D4222">
                    <w:rPr>
                      <w:rFonts w:cs="Arial"/>
                      <w:color w:val="auto"/>
                    </w:rPr>
                    <w:t>Reporting Instructions</w:t>
                  </w:r>
                </w:p>
              </w:tc>
            </w:tr>
            <w:tr w:rsidR="00D10B74" w:rsidRPr="005D4222" w14:paraId="0049190C" w14:textId="77777777">
              <w:tc>
                <w:tcPr>
                  <w:tcW w:w="1616" w:type="dxa"/>
                  <w:tcBorders>
                    <w:top w:val="single" w:sz="4" w:space="0" w:color="000000" w:themeColor="text1"/>
                    <w:left w:val="single" w:sz="4" w:space="0" w:color="auto"/>
                    <w:bottom w:val="single" w:sz="4" w:space="0" w:color="auto"/>
                    <w:right w:val="single" w:sz="4" w:space="0" w:color="auto"/>
                  </w:tcBorders>
                  <w:tcMar>
                    <w:top w:w="0" w:type="dxa"/>
                    <w:left w:w="72" w:type="dxa"/>
                    <w:bottom w:w="0" w:type="dxa"/>
                    <w:right w:w="72" w:type="dxa"/>
                  </w:tcMar>
                  <w:hideMark/>
                </w:tcPr>
                <w:p w14:paraId="70C1ABDC" w14:textId="77777777" w:rsidR="00D10B74" w:rsidRPr="005D4222" w:rsidRDefault="00D10B74">
                  <w:pPr>
                    <w:pStyle w:val="TableText"/>
                    <w:spacing w:before="40" w:after="40"/>
                    <w:rPr>
                      <w:rFonts w:cs="Arial"/>
                      <w:szCs w:val="21"/>
                    </w:rPr>
                  </w:pPr>
                  <w:r w:rsidRPr="005D4222">
                    <w:rPr>
                      <w:rFonts w:cs="Arial"/>
                      <w:szCs w:val="21"/>
                    </w:rPr>
                    <w:t>FollowUp30Day</w:t>
                  </w:r>
                </w:p>
              </w:tc>
              <w:tc>
                <w:tcPr>
                  <w:tcW w:w="810" w:type="dxa"/>
                  <w:tcBorders>
                    <w:top w:val="single" w:sz="4" w:space="0" w:color="000000" w:themeColor="text1"/>
                    <w:left w:val="single" w:sz="4" w:space="0" w:color="auto"/>
                    <w:bottom w:val="single" w:sz="4" w:space="0" w:color="auto"/>
                    <w:right w:val="single" w:sz="4" w:space="0" w:color="auto"/>
                  </w:tcBorders>
                  <w:tcMar>
                    <w:top w:w="0" w:type="dxa"/>
                    <w:left w:w="72" w:type="dxa"/>
                    <w:bottom w:w="0" w:type="dxa"/>
                    <w:right w:w="72" w:type="dxa"/>
                  </w:tcMar>
                  <w:hideMark/>
                </w:tcPr>
                <w:p w14:paraId="50EAFF72" w14:textId="77777777" w:rsidR="00D10B74" w:rsidRPr="005D4222" w:rsidRDefault="00D10B74">
                  <w:pPr>
                    <w:pStyle w:val="TableText"/>
                    <w:spacing w:before="40" w:after="40"/>
                    <w:rPr>
                      <w:rFonts w:cs="Arial"/>
                      <w:szCs w:val="21"/>
                    </w:rPr>
                  </w:pPr>
                  <w:r w:rsidRPr="005D4222">
                    <w:rPr>
                      <w:rFonts w:cs="Arial"/>
                      <w:szCs w:val="21"/>
                    </w:rPr>
                    <w:t>13-17</w:t>
                  </w:r>
                </w:p>
              </w:tc>
              <w:tc>
                <w:tcPr>
                  <w:tcW w:w="2250" w:type="dxa"/>
                  <w:tcBorders>
                    <w:top w:val="single" w:sz="4" w:space="0" w:color="000000" w:themeColor="text1"/>
                    <w:left w:val="single" w:sz="4" w:space="0" w:color="auto"/>
                    <w:bottom w:val="single" w:sz="4" w:space="0" w:color="auto"/>
                    <w:right w:val="single" w:sz="4" w:space="0" w:color="auto"/>
                  </w:tcBorders>
                  <w:tcMar>
                    <w:top w:w="0" w:type="dxa"/>
                    <w:left w:w="72" w:type="dxa"/>
                    <w:bottom w:w="0" w:type="dxa"/>
                    <w:right w:w="72" w:type="dxa"/>
                  </w:tcMar>
                  <w:hideMark/>
                </w:tcPr>
                <w:p w14:paraId="6256A13D" w14:textId="77777777" w:rsidR="00D10B74" w:rsidRPr="005D4222" w:rsidRDefault="00D10B74">
                  <w:pPr>
                    <w:pStyle w:val="TableText"/>
                    <w:spacing w:before="40" w:after="40"/>
                    <w:rPr>
                      <w:rFonts w:cs="Arial"/>
                      <w:szCs w:val="21"/>
                    </w:rPr>
                  </w:pPr>
                  <w:r w:rsidRPr="005D4222">
                    <w:rPr>
                      <w:rFonts w:cs="Arial"/>
                      <w:szCs w:val="21"/>
                    </w:rPr>
                    <w:t>Benefit</w:t>
                  </w:r>
                </w:p>
              </w:tc>
              <w:tc>
                <w:tcPr>
                  <w:tcW w:w="2699" w:type="dxa"/>
                  <w:tcBorders>
                    <w:top w:val="single" w:sz="4" w:space="0" w:color="000000" w:themeColor="text1"/>
                    <w:left w:val="single" w:sz="4" w:space="0" w:color="auto"/>
                    <w:bottom w:val="single" w:sz="6" w:space="0" w:color="auto"/>
                    <w:right w:val="single" w:sz="4" w:space="0" w:color="auto"/>
                  </w:tcBorders>
                  <w:tcMar>
                    <w:top w:w="0" w:type="dxa"/>
                    <w:left w:w="72" w:type="dxa"/>
                    <w:bottom w:w="0" w:type="dxa"/>
                    <w:right w:w="72" w:type="dxa"/>
                  </w:tcMar>
                  <w:hideMark/>
                </w:tcPr>
                <w:p w14:paraId="30747F6C" w14:textId="77777777" w:rsidR="00D10B74" w:rsidRPr="005D4222" w:rsidRDefault="00D10B74">
                  <w:pPr>
                    <w:pStyle w:val="TableText"/>
                    <w:spacing w:before="40" w:after="40"/>
                    <w:rPr>
                      <w:rFonts w:eastAsia="Wingdings" w:cs="Arial"/>
                      <w:szCs w:val="21"/>
                    </w:rPr>
                  </w:pPr>
                  <w:r w:rsidRPr="005D4222">
                    <w:rPr>
                      <w:rFonts w:eastAsia="Wingdings" w:cs="Arial"/>
                      <w:szCs w:val="21"/>
                    </w:rPr>
                    <w:t>Metadata</w:t>
                  </w:r>
                </w:p>
              </w:tc>
            </w:tr>
            <w:tr w:rsidR="00D10B74" w:rsidRPr="005D4222" w14:paraId="692CBCCE" w14:textId="77777777" w:rsidTr="00FE5195">
              <w:tc>
                <w:tcPr>
                  <w:tcW w:w="161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72" w:type="dxa"/>
                    <w:bottom w:w="0" w:type="dxa"/>
                    <w:right w:w="72" w:type="dxa"/>
                  </w:tcMar>
                  <w:hideMark/>
                </w:tcPr>
                <w:p w14:paraId="0F52876D" w14:textId="77777777" w:rsidR="00D10B74" w:rsidRPr="005D4222" w:rsidRDefault="00D10B74">
                  <w:pPr>
                    <w:pStyle w:val="TableText"/>
                    <w:spacing w:before="40" w:after="40"/>
                    <w:rPr>
                      <w:rFonts w:cs="Arial"/>
                      <w:szCs w:val="21"/>
                    </w:rPr>
                  </w:pPr>
                  <w:r w:rsidRPr="005D4222">
                    <w:rPr>
                      <w:rFonts w:cs="Arial"/>
                      <w:szCs w:val="21"/>
                    </w:rPr>
                    <w:t>FollowUp7Day</w:t>
                  </w:r>
                </w:p>
              </w:tc>
              <w:tc>
                <w:tcPr>
                  <w:tcW w:w="81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72" w:type="dxa"/>
                    <w:bottom w:w="0" w:type="dxa"/>
                    <w:right w:w="72" w:type="dxa"/>
                  </w:tcMar>
                  <w:hideMark/>
                </w:tcPr>
                <w:p w14:paraId="6C221E90" w14:textId="77777777" w:rsidR="00D10B74" w:rsidRPr="005D4222" w:rsidRDefault="00D10B74">
                  <w:pPr>
                    <w:pStyle w:val="TableText"/>
                    <w:spacing w:before="40" w:after="40"/>
                    <w:rPr>
                      <w:rFonts w:cs="Arial"/>
                      <w:szCs w:val="21"/>
                    </w:rPr>
                  </w:pPr>
                  <w:r w:rsidRPr="005D4222">
                    <w:rPr>
                      <w:rFonts w:cs="Arial"/>
                      <w:szCs w:val="21"/>
                    </w:rPr>
                    <w:t>18+</w:t>
                  </w:r>
                </w:p>
              </w:tc>
              <w:tc>
                <w:tcPr>
                  <w:tcW w:w="225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72" w:type="dxa"/>
                    <w:bottom w:w="0" w:type="dxa"/>
                    <w:right w:w="72" w:type="dxa"/>
                  </w:tcMar>
                  <w:hideMark/>
                </w:tcPr>
                <w:p w14:paraId="73FB6AD5" w14:textId="77777777" w:rsidR="00D10B74" w:rsidRPr="005D4222" w:rsidRDefault="00D10B74">
                  <w:pPr>
                    <w:pStyle w:val="TableText"/>
                    <w:spacing w:before="40" w:after="40"/>
                    <w:rPr>
                      <w:rFonts w:cs="Arial"/>
                      <w:szCs w:val="21"/>
                    </w:rPr>
                  </w:pPr>
                  <w:r w:rsidRPr="005D4222">
                    <w:rPr>
                      <w:rFonts w:cs="Arial"/>
                      <w:szCs w:val="21"/>
                    </w:rPr>
                    <w:t xml:space="preserve">InitialPopulation </w:t>
                  </w:r>
                </w:p>
              </w:tc>
              <w:tc>
                <w:tcPr>
                  <w:tcW w:w="2699" w:type="dxa"/>
                  <w:tcBorders>
                    <w:top w:val="single" w:sz="6" w:space="0" w:color="auto"/>
                    <w:left w:val="single" w:sz="4" w:space="0" w:color="auto"/>
                    <w:bottom w:val="single" w:sz="6" w:space="0" w:color="auto"/>
                    <w:right w:val="single" w:sz="4" w:space="0" w:color="auto"/>
                  </w:tcBorders>
                  <w:shd w:val="clear" w:color="auto" w:fill="FFFFFF" w:themeFill="background1"/>
                  <w:tcMar>
                    <w:top w:w="0" w:type="dxa"/>
                    <w:left w:w="72" w:type="dxa"/>
                    <w:bottom w:w="0" w:type="dxa"/>
                    <w:right w:w="72" w:type="dxa"/>
                  </w:tcMar>
                  <w:hideMark/>
                </w:tcPr>
                <w:p w14:paraId="0F3E6EC9" w14:textId="77777777" w:rsidR="00D10B74" w:rsidRPr="005D4222" w:rsidRDefault="00D10B74">
                  <w:pPr>
                    <w:pStyle w:val="TableText"/>
                    <w:spacing w:before="40" w:after="40"/>
                    <w:rPr>
                      <w:rFonts w:eastAsia="Wingdings" w:cs="Arial"/>
                      <w:szCs w:val="21"/>
                    </w:rPr>
                  </w:pPr>
                  <w:r w:rsidRPr="005D4222">
                    <w:rPr>
                      <w:rFonts w:eastAsia="Wingdings" w:cs="Arial"/>
                      <w:szCs w:val="21"/>
                    </w:rPr>
                    <w:t>For each Stratification, repeat per Metric</w:t>
                  </w:r>
                </w:p>
              </w:tc>
            </w:tr>
            <w:tr w:rsidR="00902BB1" w:rsidRPr="005D4222" w14:paraId="6F37AB08" w14:textId="77777777" w:rsidTr="002C2D19">
              <w:tc>
                <w:tcPr>
                  <w:tcW w:w="1616" w:type="dxa"/>
                  <w:tcBorders>
                    <w:top w:val="single" w:sz="4" w:space="0" w:color="auto"/>
                    <w:left w:val="nil"/>
                    <w:bottom w:val="nil"/>
                    <w:right w:val="single" w:sz="4" w:space="0" w:color="auto"/>
                  </w:tcBorders>
                  <w:shd w:val="clear" w:color="auto" w:fill="FFFFFF" w:themeFill="background1"/>
                  <w:tcMar>
                    <w:top w:w="0" w:type="dxa"/>
                    <w:left w:w="72" w:type="dxa"/>
                    <w:bottom w:w="0" w:type="dxa"/>
                    <w:right w:w="72" w:type="dxa"/>
                  </w:tcMar>
                </w:tcPr>
                <w:p w14:paraId="419FA291" w14:textId="77777777" w:rsidR="00902BB1" w:rsidRPr="005D4222" w:rsidRDefault="00902BB1" w:rsidP="00902BB1">
                  <w:pPr>
                    <w:pStyle w:val="TableText"/>
                    <w:spacing w:before="40" w:after="40"/>
                    <w:rPr>
                      <w:rFonts w:cs="Arial"/>
                      <w:szCs w:val="21"/>
                    </w:rPr>
                  </w:pPr>
                </w:p>
              </w:tc>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72" w:type="dxa"/>
                    <w:bottom w:w="0" w:type="dxa"/>
                    <w:right w:w="72" w:type="dxa"/>
                  </w:tcMar>
                </w:tcPr>
                <w:p w14:paraId="242C653A" w14:textId="1D44F974" w:rsidR="00902BB1" w:rsidRPr="005D4222" w:rsidRDefault="00902BB1" w:rsidP="00902BB1">
                  <w:pPr>
                    <w:pStyle w:val="TableText"/>
                    <w:spacing w:before="40" w:after="40"/>
                    <w:rPr>
                      <w:rFonts w:cs="Arial"/>
                      <w:szCs w:val="21"/>
                    </w:rPr>
                  </w:pPr>
                  <w:r w:rsidRPr="005D4222">
                    <w:rPr>
                      <w:rFonts w:cs="Arial"/>
                    </w:rPr>
                    <w:t>Total</w:t>
                  </w:r>
                </w:p>
              </w:tc>
              <w:tc>
                <w:tcPr>
                  <w:tcW w:w="225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72" w:type="dxa"/>
                    <w:bottom w:w="0" w:type="dxa"/>
                    <w:right w:w="72" w:type="dxa"/>
                  </w:tcMar>
                </w:tcPr>
                <w:p w14:paraId="56341FA9" w14:textId="7A22910F" w:rsidR="00902BB1" w:rsidRPr="005D4222" w:rsidRDefault="00902BB1" w:rsidP="00902BB1">
                  <w:pPr>
                    <w:pStyle w:val="TableText"/>
                    <w:spacing w:before="40" w:after="40"/>
                    <w:rPr>
                      <w:rFonts w:cs="Arial"/>
                      <w:szCs w:val="21"/>
                    </w:rPr>
                  </w:pPr>
                  <w:r w:rsidRPr="005D4222">
                    <w:rPr>
                      <w:rFonts w:cs="Arial"/>
                    </w:rPr>
                    <w:t>Exclusions</w:t>
                  </w:r>
                </w:p>
              </w:tc>
              <w:tc>
                <w:tcPr>
                  <w:tcW w:w="2699" w:type="dxa"/>
                  <w:tcBorders>
                    <w:top w:val="single" w:sz="6" w:space="0" w:color="auto"/>
                    <w:left w:val="single" w:sz="4" w:space="0" w:color="auto"/>
                    <w:bottom w:val="single" w:sz="6" w:space="0" w:color="auto"/>
                    <w:right w:val="single" w:sz="4" w:space="0" w:color="auto"/>
                  </w:tcBorders>
                  <w:shd w:val="clear" w:color="auto" w:fill="FFFFFF" w:themeFill="background1"/>
                  <w:tcMar>
                    <w:top w:w="0" w:type="dxa"/>
                    <w:left w:w="72" w:type="dxa"/>
                    <w:bottom w:w="0" w:type="dxa"/>
                    <w:right w:w="72" w:type="dxa"/>
                  </w:tcMar>
                </w:tcPr>
                <w:p w14:paraId="28AF7C13" w14:textId="1B23D5F3" w:rsidR="00902BB1" w:rsidRPr="005D4222" w:rsidRDefault="00902BB1" w:rsidP="00902BB1">
                  <w:pPr>
                    <w:pStyle w:val="TableText"/>
                    <w:spacing w:before="40" w:after="40"/>
                    <w:rPr>
                      <w:rFonts w:eastAsia="Wingdings" w:cs="Arial"/>
                      <w:szCs w:val="21"/>
                    </w:rPr>
                  </w:pPr>
                  <w:r w:rsidRPr="005D4222">
                    <w:rPr>
                      <w:rFonts w:eastAsia="Wingdings" w:cs="Arial"/>
                    </w:rPr>
                    <w:t>For each Stratification, repeat per Metric</w:t>
                  </w:r>
                </w:p>
              </w:tc>
            </w:tr>
            <w:tr w:rsidR="00902BB1" w:rsidRPr="005D4222" w14:paraId="4518244C" w14:textId="77777777" w:rsidTr="00FE5195">
              <w:tc>
                <w:tcPr>
                  <w:tcW w:w="1616" w:type="dxa"/>
                  <w:tcBorders>
                    <w:top w:val="nil"/>
                    <w:left w:val="nil"/>
                    <w:bottom w:val="nil"/>
                    <w:right w:val="nil"/>
                  </w:tcBorders>
                  <w:shd w:val="clear" w:color="auto" w:fill="FFFFFF" w:themeFill="background1"/>
                  <w:tcMar>
                    <w:top w:w="0" w:type="dxa"/>
                    <w:left w:w="72" w:type="dxa"/>
                    <w:bottom w:w="0" w:type="dxa"/>
                    <w:right w:w="72" w:type="dxa"/>
                  </w:tcMar>
                </w:tcPr>
                <w:p w14:paraId="34BC04C2" w14:textId="77777777" w:rsidR="00902BB1" w:rsidRPr="005D4222" w:rsidRDefault="00902BB1" w:rsidP="00902BB1">
                  <w:pPr>
                    <w:pStyle w:val="TableText"/>
                    <w:spacing w:before="40" w:after="40"/>
                    <w:rPr>
                      <w:rFonts w:cs="Arial"/>
                      <w:szCs w:val="21"/>
                    </w:rPr>
                  </w:pPr>
                </w:p>
              </w:tc>
              <w:tc>
                <w:tcPr>
                  <w:tcW w:w="810" w:type="dxa"/>
                  <w:tcBorders>
                    <w:top w:val="single" w:sz="4" w:space="0" w:color="auto"/>
                    <w:left w:val="nil"/>
                    <w:bottom w:val="nil"/>
                    <w:right w:val="single" w:sz="4" w:space="0" w:color="auto"/>
                  </w:tcBorders>
                  <w:shd w:val="clear" w:color="auto" w:fill="FFFFFF" w:themeFill="background1"/>
                  <w:tcMar>
                    <w:top w:w="0" w:type="dxa"/>
                    <w:left w:w="72" w:type="dxa"/>
                    <w:bottom w:w="0" w:type="dxa"/>
                    <w:right w:w="72" w:type="dxa"/>
                  </w:tcMar>
                  <w:hideMark/>
                </w:tcPr>
                <w:p w14:paraId="2C0F4857" w14:textId="77777777" w:rsidR="00902BB1" w:rsidRPr="005D4222" w:rsidRDefault="00902BB1" w:rsidP="00902BB1">
                  <w:pPr>
                    <w:pStyle w:val="TableText"/>
                    <w:spacing w:before="40" w:after="40"/>
                    <w:rPr>
                      <w:rFonts w:cs="Arial"/>
                      <w:szCs w:val="21"/>
                    </w:rPr>
                  </w:pPr>
                </w:p>
              </w:tc>
              <w:tc>
                <w:tcPr>
                  <w:tcW w:w="225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72" w:type="dxa"/>
                    <w:bottom w:w="0" w:type="dxa"/>
                    <w:right w:w="72" w:type="dxa"/>
                  </w:tcMar>
                  <w:hideMark/>
                </w:tcPr>
                <w:p w14:paraId="6156FE7B" w14:textId="77777777" w:rsidR="00902BB1" w:rsidRPr="005D4222" w:rsidRDefault="00902BB1" w:rsidP="00902BB1">
                  <w:pPr>
                    <w:pStyle w:val="TableText"/>
                    <w:spacing w:before="40" w:after="40"/>
                    <w:rPr>
                      <w:rFonts w:cs="Arial"/>
                    </w:rPr>
                  </w:pPr>
                  <w:r w:rsidRPr="005D4222">
                    <w:rPr>
                      <w:rFonts w:cs="Arial"/>
                    </w:rPr>
                    <w:t>Denominator</w:t>
                  </w:r>
                </w:p>
              </w:tc>
              <w:tc>
                <w:tcPr>
                  <w:tcW w:w="2699" w:type="dxa"/>
                  <w:tcBorders>
                    <w:top w:val="single" w:sz="6" w:space="0" w:color="auto"/>
                    <w:left w:val="single" w:sz="4" w:space="0" w:color="auto"/>
                    <w:bottom w:val="single" w:sz="6" w:space="0" w:color="auto"/>
                    <w:right w:val="single" w:sz="4" w:space="0" w:color="auto"/>
                  </w:tcBorders>
                  <w:shd w:val="clear" w:color="auto" w:fill="FFFFFF" w:themeFill="background1"/>
                  <w:tcMar>
                    <w:top w:w="0" w:type="dxa"/>
                    <w:left w:w="72" w:type="dxa"/>
                    <w:bottom w:w="0" w:type="dxa"/>
                    <w:right w:w="72" w:type="dxa"/>
                  </w:tcMar>
                  <w:hideMark/>
                </w:tcPr>
                <w:p w14:paraId="616D9C75" w14:textId="77777777" w:rsidR="00902BB1" w:rsidRPr="005D4222" w:rsidRDefault="00902BB1" w:rsidP="00902BB1">
                  <w:pPr>
                    <w:pStyle w:val="TableText"/>
                    <w:spacing w:before="40" w:after="40"/>
                    <w:rPr>
                      <w:rFonts w:eastAsia="Wingdings" w:cs="Arial"/>
                      <w:szCs w:val="21"/>
                    </w:rPr>
                  </w:pPr>
                  <w:r w:rsidRPr="005D4222">
                    <w:rPr>
                      <w:rFonts w:eastAsia="Wingdings" w:cs="Arial"/>
                      <w:szCs w:val="21"/>
                    </w:rPr>
                    <w:t>For each Stratification, repeat per Metric</w:t>
                  </w:r>
                </w:p>
              </w:tc>
            </w:tr>
            <w:tr w:rsidR="00902BB1" w:rsidRPr="005D4222" w14:paraId="74074FEE" w14:textId="77777777">
              <w:tc>
                <w:tcPr>
                  <w:tcW w:w="1616" w:type="dxa"/>
                  <w:tcBorders>
                    <w:top w:val="nil"/>
                    <w:left w:val="nil"/>
                    <w:bottom w:val="nil"/>
                    <w:right w:val="nil"/>
                  </w:tcBorders>
                  <w:shd w:val="clear" w:color="auto" w:fill="FFFFFF" w:themeFill="background1"/>
                  <w:tcMar>
                    <w:top w:w="0" w:type="dxa"/>
                    <w:left w:w="72" w:type="dxa"/>
                    <w:bottom w:w="0" w:type="dxa"/>
                    <w:right w:w="72" w:type="dxa"/>
                  </w:tcMar>
                </w:tcPr>
                <w:p w14:paraId="4A3551BF" w14:textId="77777777" w:rsidR="00902BB1" w:rsidRPr="005D4222" w:rsidRDefault="00902BB1" w:rsidP="00902BB1">
                  <w:pPr>
                    <w:pStyle w:val="TableText"/>
                    <w:spacing w:before="40" w:after="40"/>
                    <w:rPr>
                      <w:rFonts w:cs="Arial"/>
                      <w:szCs w:val="21"/>
                    </w:rPr>
                  </w:pPr>
                </w:p>
              </w:tc>
              <w:tc>
                <w:tcPr>
                  <w:tcW w:w="810" w:type="dxa"/>
                  <w:tcBorders>
                    <w:top w:val="nil"/>
                    <w:left w:val="nil"/>
                    <w:bottom w:val="nil"/>
                    <w:right w:val="single" w:sz="4" w:space="0" w:color="auto"/>
                  </w:tcBorders>
                  <w:shd w:val="clear" w:color="auto" w:fill="FFFFFF" w:themeFill="background1"/>
                  <w:tcMar>
                    <w:top w:w="0" w:type="dxa"/>
                    <w:left w:w="72" w:type="dxa"/>
                    <w:bottom w:w="0" w:type="dxa"/>
                    <w:right w:w="72" w:type="dxa"/>
                  </w:tcMar>
                </w:tcPr>
                <w:p w14:paraId="7A8DF9EE" w14:textId="77777777" w:rsidR="00902BB1" w:rsidRPr="005D4222" w:rsidRDefault="00902BB1" w:rsidP="00902BB1">
                  <w:pPr>
                    <w:pStyle w:val="TableText"/>
                    <w:spacing w:before="40" w:after="40"/>
                    <w:rPr>
                      <w:rFonts w:cs="Arial"/>
                      <w:szCs w:val="21"/>
                    </w:rPr>
                  </w:pPr>
                </w:p>
              </w:tc>
              <w:tc>
                <w:tcPr>
                  <w:tcW w:w="225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72" w:type="dxa"/>
                    <w:bottom w:w="0" w:type="dxa"/>
                    <w:right w:w="72" w:type="dxa"/>
                  </w:tcMar>
                  <w:hideMark/>
                </w:tcPr>
                <w:p w14:paraId="33BA0EBB" w14:textId="77777777" w:rsidR="00902BB1" w:rsidRPr="005D4222" w:rsidRDefault="00902BB1" w:rsidP="00902BB1">
                  <w:pPr>
                    <w:pStyle w:val="TableText"/>
                    <w:spacing w:before="40" w:after="40"/>
                    <w:rPr>
                      <w:rFonts w:cs="Arial"/>
                      <w:szCs w:val="21"/>
                    </w:rPr>
                  </w:pPr>
                  <w:r w:rsidRPr="005D4222">
                    <w:rPr>
                      <w:rFonts w:cs="Arial"/>
                      <w:szCs w:val="21"/>
                    </w:rPr>
                    <w:t>NumeratorByAdmin</w:t>
                  </w:r>
                </w:p>
              </w:tc>
              <w:tc>
                <w:tcPr>
                  <w:tcW w:w="2699" w:type="dxa"/>
                  <w:tcBorders>
                    <w:top w:val="single" w:sz="6" w:space="0" w:color="auto"/>
                    <w:left w:val="single" w:sz="4" w:space="0" w:color="auto"/>
                    <w:bottom w:val="single" w:sz="6" w:space="0" w:color="auto"/>
                    <w:right w:val="single" w:sz="4" w:space="0" w:color="auto"/>
                  </w:tcBorders>
                  <w:shd w:val="clear" w:color="auto" w:fill="FFFFFF" w:themeFill="background1"/>
                  <w:tcMar>
                    <w:top w:w="0" w:type="dxa"/>
                    <w:left w:w="72" w:type="dxa"/>
                    <w:bottom w:w="0" w:type="dxa"/>
                    <w:right w:w="72" w:type="dxa"/>
                  </w:tcMar>
                  <w:hideMark/>
                </w:tcPr>
                <w:p w14:paraId="03D3EBBC" w14:textId="77777777" w:rsidR="00902BB1" w:rsidRPr="005D4222" w:rsidRDefault="00902BB1" w:rsidP="00902BB1">
                  <w:pPr>
                    <w:pStyle w:val="TableText"/>
                    <w:spacing w:before="40" w:after="40"/>
                    <w:rPr>
                      <w:rFonts w:eastAsia="Wingdings" w:cs="Arial"/>
                      <w:szCs w:val="21"/>
                    </w:rPr>
                  </w:pPr>
                  <w:r w:rsidRPr="005D4222">
                    <w:rPr>
                      <w:rFonts w:eastAsia="Wingdings" w:cs="Arial"/>
                      <w:szCs w:val="21"/>
                    </w:rPr>
                    <w:t>For each Metric and Stratification</w:t>
                  </w:r>
                </w:p>
              </w:tc>
            </w:tr>
            <w:tr w:rsidR="00902BB1" w:rsidRPr="005D4222" w14:paraId="5184A416" w14:textId="77777777">
              <w:tc>
                <w:tcPr>
                  <w:tcW w:w="1616" w:type="dxa"/>
                  <w:tcBorders>
                    <w:top w:val="nil"/>
                    <w:left w:val="nil"/>
                    <w:bottom w:val="nil"/>
                    <w:right w:val="nil"/>
                  </w:tcBorders>
                  <w:shd w:val="clear" w:color="auto" w:fill="FFFFFF" w:themeFill="background1"/>
                  <w:tcMar>
                    <w:top w:w="0" w:type="dxa"/>
                    <w:left w:w="72" w:type="dxa"/>
                    <w:bottom w:w="0" w:type="dxa"/>
                    <w:right w:w="72" w:type="dxa"/>
                  </w:tcMar>
                </w:tcPr>
                <w:p w14:paraId="579245FC" w14:textId="77777777" w:rsidR="00902BB1" w:rsidRPr="005D4222" w:rsidRDefault="00902BB1" w:rsidP="00902BB1">
                  <w:pPr>
                    <w:pStyle w:val="TableText"/>
                    <w:spacing w:before="40" w:after="40"/>
                    <w:rPr>
                      <w:rFonts w:cs="Arial"/>
                      <w:szCs w:val="21"/>
                    </w:rPr>
                  </w:pPr>
                </w:p>
              </w:tc>
              <w:tc>
                <w:tcPr>
                  <w:tcW w:w="810" w:type="dxa"/>
                  <w:tcBorders>
                    <w:top w:val="nil"/>
                    <w:left w:val="nil"/>
                    <w:bottom w:val="nil"/>
                    <w:right w:val="single" w:sz="4" w:space="0" w:color="auto"/>
                  </w:tcBorders>
                  <w:shd w:val="clear" w:color="auto" w:fill="FFFFFF" w:themeFill="background1"/>
                  <w:tcMar>
                    <w:top w:w="0" w:type="dxa"/>
                    <w:left w:w="72" w:type="dxa"/>
                    <w:bottom w:w="0" w:type="dxa"/>
                    <w:right w:w="72" w:type="dxa"/>
                  </w:tcMar>
                </w:tcPr>
                <w:p w14:paraId="2193BD60" w14:textId="77777777" w:rsidR="00902BB1" w:rsidRPr="005D4222" w:rsidRDefault="00902BB1" w:rsidP="00902BB1">
                  <w:pPr>
                    <w:pStyle w:val="TableText"/>
                    <w:spacing w:before="40" w:after="40"/>
                    <w:rPr>
                      <w:rFonts w:cs="Arial"/>
                      <w:szCs w:val="21"/>
                    </w:rPr>
                  </w:pPr>
                </w:p>
              </w:tc>
              <w:tc>
                <w:tcPr>
                  <w:tcW w:w="2250"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3BD4C3C6" w14:textId="77777777" w:rsidR="00902BB1" w:rsidRPr="005D4222" w:rsidRDefault="00902BB1" w:rsidP="00902BB1">
                  <w:pPr>
                    <w:pStyle w:val="TableText"/>
                    <w:spacing w:before="40" w:after="40"/>
                    <w:rPr>
                      <w:rFonts w:cs="Arial"/>
                      <w:szCs w:val="21"/>
                    </w:rPr>
                  </w:pPr>
                  <w:r w:rsidRPr="005D4222">
                    <w:rPr>
                      <w:rFonts w:cs="Arial"/>
                      <w:szCs w:val="21"/>
                    </w:rPr>
                    <w:t>NumeratorBySupplemental</w:t>
                  </w:r>
                </w:p>
              </w:tc>
              <w:tc>
                <w:tcPr>
                  <w:tcW w:w="2699" w:type="dxa"/>
                  <w:tcBorders>
                    <w:top w:val="single" w:sz="6" w:space="0" w:color="auto"/>
                    <w:left w:val="single" w:sz="4" w:space="0" w:color="auto"/>
                    <w:bottom w:val="single" w:sz="6" w:space="0" w:color="auto"/>
                    <w:right w:val="single" w:sz="4" w:space="0" w:color="auto"/>
                  </w:tcBorders>
                  <w:tcMar>
                    <w:top w:w="0" w:type="dxa"/>
                    <w:left w:w="72" w:type="dxa"/>
                    <w:bottom w:w="0" w:type="dxa"/>
                    <w:right w:w="72" w:type="dxa"/>
                  </w:tcMar>
                  <w:hideMark/>
                </w:tcPr>
                <w:p w14:paraId="6C6749BC" w14:textId="77777777" w:rsidR="00902BB1" w:rsidRPr="005D4222" w:rsidRDefault="00902BB1" w:rsidP="00902BB1">
                  <w:pPr>
                    <w:pStyle w:val="TableText"/>
                    <w:spacing w:before="40" w:after="40"/>
                    <w:rPr>
                      <w:rFonts w:eastAsia="Wingdings" w:cs="Arial"/>
                      <w:szCs w:val="21"/>
                    </w:rPr>
                  </w:pPr>
                  <w:r w:rsidRPr="005D4222">
                    <w:rPr>
                      <w:rFonts w:eastAsia="Wingdings" w:cs="Arial"/>
                      <w:szCs w:val="21"/>
                    </w:rPr>
                    <w:t>For each Metric and Stratification</w:t>
                  </w:r>
                </w:p>
              </w:tc>
            </w:tr>
            <w:tr w:rsidR="00902BB1" w:rsidRPr="005D4222" w14:paraId="4D0D8040" w14:textId="77777777">
              <w:tc>
                <w:tcPr>
                  <w:tcW w:w="1616" w:type="dxa"/>
                  <w:tcBorders>
                    <w:top w:val="nil"/>
                    <w:left w:val="nil"/>
                    <w:bottom w:val="nil"/>
                    <w:right w:val="nil"/>
                  </w:tcBorders>
                  <w:shd w:val="clear" w:color="auto" w:fill="FFFFFF" w:themeFill="background1"/>
                  <w:tcMar>
                    <w:top w:w="0" w:type="dxa"/>
                    <w:left w:w="72" w:type="dxa"/>
                    <w:bottom w:w="0" w:type="dxa"/>
                    <w:right w:w="72" w:type="dxa"/>
                  </w:tcMar>
                </w:tcPr>
                <w:p w14:paraId="6897C452" w14:textId="77777777" w:rsidR="00902BB1" w:rsidRPr="005D4222" w:rsidRDefault="00902BB1" w:rsidP="00902BB1">
                  <w:pPr>
                    <w:pStyle w:val="TableText"/>
                    <w:spacing w:before="40" w:after="40"/>
                    <w:rPr>
                      <w:rFonts w:cs="Arial"/>
                      <w:szCs w:val="21"/>
                    </w:rPr>
                  </w:pPr>
                </w:p>
              </w:tc>
              <w:tc>
                <w:tcPr>
                  <w:tcW w:w="810" w:type="dxa"/>
                  <w:tcBorders>
                    <w:top w:val="nil"/>
                    <w:left w:val="nil"/>
                    <w:bottom w:val="nil"/>
                    <w:right w:val="single" w:sz="4" w:space="0" w:color="auto"/>
                  </w:tcBorders>
                  <w:shd w:val="clear" w:color="auto" w:fill="FFFFFF" w:themeFill="background1"/>
                  <w:tcMar>
                    <w:top w:w="0" w:type="dxa"/>
                    <w:left w:w="72" w:type="dxa"/>
                    <w:bottom w:w="0" w:type="dxa"/>
                    <w:right w:w="72" w:type="dxa"/>
                  </w:tcMar>
                </w:tcPr>
                <w:p w14:paraId="21535FF3" w14:textId="77777777" w:rsidR="00902BB1" w:rsidRPr="005D4222" w:rsidRDefault="00902BB1" w:rsidP="00902BB1">
                  <w:pPr>
                    <w:pStyle w:val="TableText"/>
                    <w:spacing w:before="40" w:after="40"/>
                    <w:rPr>
                      <w:rFonts w:cs="Arial"/>
                      <w:szCs w:val="21"/>
                    </w:rPr>
                  </w:pPr>
                </w:p>
              </w:tc>
              <w:tc>
                <w:tcPr>
                  <w:tcW w:w="22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72" w:type="dxa"/>
                    <w:bottom w:w="0" w:type="dxa"/>
                    <w:right w:w="72" w:type="dxa"/>
                  </w:tcMar>
                  <w:hideMark/>
                </w:tcPr>
                <w:p w14:paraId="16949ECF" w14:textId="77777777" w:rsidR="00902BB1" w:rsidRPr="005D4222" w:rsidRDefault="00902BB1" w:rsidP="00902BB1">
                  <w:pPr>
                    <w:pStyle w:val="TableText"/>
                    <w:spacing w:before="40" w:after="40"/>
                    <w:rPr>
                      <w:rFonts w:cs="Arial"/>
                      <w:szCs w:val="21"/>
                    </w:rPr>
                  </w:pPr>
                  <w:r w:rsidRPr="005D4222">
                    <w:rPr>
                      <w:rFonts w:cs="Arial"/>
                      <w:szCs w:val="21"/>
                    </w:rPr>
                    <w:t>Rate</w:t>
                  </w:r>
                </w:p>
              </w:tc>
              <w:tc>
                <w:tcPr>
                  <w:tcW w:w="2699" w:type="dxa"/>
                  <w:tcBorders>
                    <w:top w:val="single" w:sz="6" w:space="0" w:color="auto"/>
                    <w:left w:val="single" w:sz="4" w:space="0" w:color="auto"/>
                    <w:bottom w:val="single" w:sz="6" w:space="0" w:color="auto"/>
                    <w:right w:val="single" w:sz="4" w:space="0" w:color="auto"/>
                  </w:tcBorders>
                  <w:shd w:val="clear" w:color="auto" w:fill="D9D9D9" w:themeFill="background1" w:themeFillShade="D9"/>
                  <w:tcMar>
                    <w:top w:w="0" w:type="dxa"/>
                    <w:left w:w="72" w:type="dxa"/>
                    <w:bottom w:w="0" w:type="dxa"/>
                    <w:right w:w="72" w:type="dxa"/>
                  </w:tcMar>
                  <w:hideMark/>
                </w:tcPr>
                <w:p w14:paraId="5E9D2125" w14:textId="77777777" w:rsidR="00902BB1" w:rsidRPr="005D4222" w:rsidRDefault="00902BB1" w:rsidP="00902BB1">
                  <w:pPr>
                    <w:pStyle w:val="TableText"/>
                    <w:spacing w:before="40" w:after="40"/>
                    <w:rPr>
                      <w:rFonts w:eastAsia="Wingdings" w:cs="Arial"/>
                      <w:szCs w:val="21"/>
                    </w:rPr>
                  </w:pPr>
                  <w:r w:rsidRPr="005D4222">
                    <w:rPr>
                      <w:rFonts w:eastAsia="Wingdings" w:cs="Arial"/>
                      <w:szCs w:val="21"/>
                    </w:rPr>
                    <w:t>(Percent)</w:t>
                  </w:r>
                </w:p>
              </w:tc>
            </w:tr>
          </w:tbl>
          <w:p w14:paraId="19FE021A" w14:textId="547D67BE" w:rsidR="00D10B74" w:rsidRPr="005D4222" w:rsidRDefault="00D10B74">
            <w:pPr>
              <w:pStyle w:val="Heading3"/>
            </w:pPr>
            <w:r w:rsidRPr="005D4222">
              <w:t xml:space="preserve">Table FUA-B-1/2/3: Data Elements for Follow-Up After Emergency Department Visit for </w:t>
            </w:r>
            <w:r w:rsidRPr="005D4222">
              <w:rPr>
                <w:color w:val="000000"/>
              </w:rPr>
              <w:t>Substance Use</w:t>
            </w:r>
            <w:r w:rsidRPr="005D4222">
              <w:t xml:space="preserve">: </w:t>
            </w:r>
            <w:r w:rsidR="00B51CDC" w:rsidRPr="005D4222">
              <w:t>Stratifications</w:t>
            </w:r>
            <w:r w:rsidRPr="005D4222">
              <w:t xml:space="preserve"> by Race</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8" w:type="dxa"/>
                <w:right w:w="58" w:type="dxa"/>
              </w:tblCellMar>
              <w:tblLook w:val="04A0" w:firstRow="1" w:lastRow="0" w:firstColumn="1" w:lastColumn="0" w:noHBand="0" w:noVBand="1"/>
            </w:tblPr>
            <w:tblGrid>
              <w:gridCol w:w="1436"/>
              <w:gridCol w:w="3150"/>
              <w:gridCol w:w="1260"/>
              <w:gridCol w:w="1067"/>
              <w:gridCol w:w="462"/>
            </w:tblGrid>
            <w:tr w:rsidR="00D10B74" w:rsidRPr="005D4222" w14:paraId="51D05F35" w14:textId="77777777">
              <w:tc>
                <w:tcPr>
                  <w:tcW w:w="1436" w:type="dxa"/>
                  <w:tcBorders>
                    <w:top w:val="single" w:sz="4" w:space="0" w:color="000000" w:themeColor="text1"/>
                    <w:left w:val="single" w:sz="4" w:space="0" w:color="auto"/>
                    <w:bottom w:val="single" w:sz="4" w:space="0" w:color="auto"/>
                    <w:right w:val="single" w:sz="4" w:space="0" w:color="FFFFFF" w:themeColor="background1"/>
                  </w:tcBorders>
                  <w:shd w:val="clear" w:color="auto" w:fill="000000" w:themeFill="text1"/>
                  <w:tcMar>
                    <w:left w:w="72" w:type="dxa"/>
                    <w:right w:w="72" w:type="dxa"/>
                  </w:tcMar>
                  <w:vAlign w:val="bottom"/>
                  <w:hideMark/>
                </w:tcPr>
                <w:p w14:paraId="40A353AC" w14:textId="77777777" w:rsidR="00D10B74" w:rsidRPr="005D4222" w:rsidRDefault="00D10B74">
                  <w:pPr>
                    <w:pStyle w:val="TableHead"/>
                    <w:spacing w:before="40" w:after="40"/>
                    <w:rPr>
                      <w:rFonts w:cs="Arial"/>
                      <w:b w:val="0"/>
                      <w:color w:val="FFFFFF"/>
                    </w:rPr>
                  </w:pPr>
                  <w:r w:rsidRPr="005D4222">
                    <w:t>Metric</w:t>
                  </w:r>
                </w:p>
              </w:tc>
              <w:tc>
                <w:tcPr>
                  <w:tcW w:w="315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72" w:type="dxa"/>
                    <w:right w:w="72" w:type="dxa"/>
                  </w:tcMar>
                  <w:vAlign w:val="bottom"/>
                  <w:hideMark/>
                </w:tcPr>
                <w:p w14:paraId="54CDB81D" w14:textId="77777777" w:rsidR="00D10B74" w:rsidRPr="005D4222" w:rsidRDefault="00D10B74">
                  <w:pPr>
                    <w:pStyle w:val="TableHead"/>
                    <w:spacing w:before="40" w:after="40"/>
                    <w:rPr>
                      <w:rFonts w:cs="Arial"/>
                      <w:b w:val="0"/>
                      <w:color w:val="FFFFFF"/>
                    </w:rPr>
                  </w:pPr>
                  <w:r w:rsidRPr="005D4222">
                    <w:t>Race</w:t>
                  </w:r>
                </w:p>
              </w:tc>
              <w:tc>
                <w:tcPr>
                  <w:tcW w:w="126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72" w:type="dxa"/>
                    <w:right w:w="72" w:type="dxa"/>
                  </w:tcMar>
                  <w:vAlign w:val="bottom"/>
                  <w:hideMark/>
                </w:tcPr>
                <w:p w14:paraId="731D0713" w14:textId="77777777" w:rsidR="00D10B74" w:rsidRPr="005D4222" w:rsidRDefault="00D10B74">
                  <w:pPr>
                    <w:pStyle w:val="TableHead"/>
                    <w:spacing w:before="40" w:after="40"/>
                    <w:rPr>
                      <w:rFonts w:cs="Arial"/>
                      <w:b w:val="0"/>
                      <w:color w:val="FFFFFF"/>
                    </w:rPr>
                  </w:pPr>
                  <w:r w:rsidRPr="005D4222">
                    <w:t>Data Element</w:t>
                  </w:r>
                </w:p>
              </w:tc>
              <w:tc>
                <w:tcPr>
                  <w:tcW w:w="1529" w:type="dxa"/>
                  <w:gridSpan w:val="2"/>
                  <w:tcBorders>
                    <w:top w:val="single" w:sz="4" w:space="0" w:color="000000" w:themeColor="text1"/>
                    <w:left w:val="single" w:sz="4" w:space="0" w:color="FFFFFF" w:themeColor="background1"/>
                    <w:bottom w:val="single" w:sz="4" w:space="0" w:color="000000" w:themeColor="text1"/>
                    <w:right w:val="single" w:sz="4" w:space="0" w:color="auto"/>
                  </w:tcBorders>
                  <w:shd w:val="clear" w:color="auto" w:fill="000000" w:themeFill="text1"/>
                  <w:tcMar>
                    <w:left w:w="72" w:type="dxa"/>
                    <w:right w:w="72" w:type="dxa"/>
                  </w:tcMar>
                  <w:vAlign w:val="bottom"/>
                  <w:hideMark/>
                </w:tcPr>
                <w:p w14:paraId="3BA55C3D" w14:textId="77777777" w:rsidR="00D10B74" w:rsidRPr="005D4222" w:rsidRDefault="00D10B74">
                  <w:pPr>
                    <w:pStyle w:val="TableHead"/>
                    <w:spacing w:before="40" w:after="40"/>
                    <w:rPr>
                      <w:rFonts w:cs="Arial"/>
                      <w:b w:val="0"/>
                      <w:color w:val="FFFFFF"/>
                    </w:rPr>
                  </w:pPr>
                  <w:r w:rsidRPr="005D4222">
                    <w:t xml:space="preserve">Reporting </w:t>
                  </w:r>
                  <w:r w:rsidRPr="005D4222">
                    <w:rPr>
                      <w:rFonts w:cs="Arial"/>
                      <w:color w:val="FFFFFF"/>
                    </w:rPr>
                    <w:t>Instructions</w:t>
                  </w:r>
                </w:p>
              </w:tc>
            </w:tr>
            <w:tr w:rsidR="00D10B74" w:rsidRPr="005D4222" w14:paraId="7BA07479" w14:textId="77777777">
              <w:tc>
                <w:tcPr>
                  <w:tcW w:w="1436"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41E1664C" w14:textId="77777777" w:rsidR="00D10B74" w:rsidRPr="005D4222" w:rsidRDefault="00D10B74">
                  <w:pPr>
                    <w:pStyle w:val="TableText"/>
                    <w:spacing w:before="40" w:after="40"/>
                    <w:rPr>
                      <w:rFonts w:cs="Arial"/>
                      <w:szCs w:val="21"/>
                    </w:rPr>
                  </w:pPr>
                  <w:r w:rsidRPr="005D4222">
                    <w:rPr>
                      <w:rFonts w:cs="Arial"/>
                      <w:szCs w:val="21"/>
                    </w:rPr>
                    <w:t>FollowUp30Day</w:t>
                  </w:r>
                </w:p>
              </w:tc>
              <w:tc>
                <w:tcPr>
                  <w:tcW w:w="3150" w:type="dxa"/>
                  <w:tcBorders>
                    <w:top w:val="single" w:sz="4" w:space="0" w:color="000000" w:themeColor="text1"/>
                    <w:left w:val="single" w:sz="4" w:space="0" w:color="auto"/>
                    <w:bottom w:val="single" w:sz="4" w:space="0" w:color="auto"/>
                    <w:right w:val="single" w:sz="4" w:space="0" w:color="auto"/>
                  </w:tcBorders>
                  <w:tcMar>
                    <w:left w:w="72" w:type="dxa"/>
                    <w:right w:w="72" w:type="dxa"/>
                  </w:tcMar>
                  <w:hideMark/>
                </w:tcPr>
                <w:p w14:paraId="7F1E369D" w14:textId="77777777" w:rsidR="00D10B74" w:rsidRPr="005D4222" w:rsidRDefault="00D10B74">
                  <w:pPr>
                    <w:pStyle w:val="TableText"/>
                    <w:spacing w:before="40" w:after="40"/>
                    <w:rPr>
                      <w:rFonts w:cs="Arial"/>
                      <w:szCs w:val="21"/>
                    </w:rPr>
                  </w:pPr>
                  <w:r w:rsidRPr="005D4222">
                    <w:rPr>
                      <w:rFonts w:cs="Arial"/>
                      <w:szCs w:val="21"/>
                    </w:rPr>
                    <w:t>AmericanIndianOrAlaskaNative</w:t>
                  </w:r>
                </w:p>
              </w:tc>
              <w:tc>
                <w:tcPr>
                  <w:tcW w:w="1260" w:type="dxa"/>
                  <w:tcBorders>
                    <w:top w:val="single" w:sz="4" w:space="0" w:color="000000" w:themeColor="text1"/>
                    <w:left w:val="single" w:sz="4" w:space="0" w:color="auto"/>
                    <w:bottom w:val="single" w:sz="4" w:space="0" w:color="auto"/>
                    <w:right w:val="single" w:sz="4" w:space="0" w:color="auto"/>
                  </w:tcBorders>
                  <w:tcMar>
                    <w:left w:w="72" w:type="dxa"/>
                    <w:right w:w="72" w:type="dxa"/>
                  </w:tcMar>
                  <w:hideMark/>
                </w:tcPr>
                <w:p w14:paraId="45223067" w14:textId="77777777" w:rsidR="00D10B74" w:rsidRPr="005D4222" w:rsidRDefault="00D10B74">
                  <w:pPr>
                    <w:pStyle w:val="TableText"/>
                    <w:spacing w:before="40" w:after="40"/>
                    <w:rPr>
                      <w:rFonts w:cs="Arial"/>
                    </w:rPr>
                  </w:pPr>
                  <w:r w:rsidRPr="005D4222">
                    <w:rPr>
                      <w:rFonts w:cs="Arial"/>
                    </w:rPr>
                    <w:t>Denominator</w:t>
                  </w:r>
                </w:p>
              </w:tc>
              <w:tc>
                <w:tcPr>
                  <w:tcW w:w="1529" w:type="dxa"/>
                  <w:gridSpan w:val="2"/>
                  <w:tcBorders>
                    <w:top w:val="single" w:sz="4" w:space="0" w:color="000000" w:themeColor="text1"/>
                    <w:left w:val="single" w:sz="4" w:space="0" w:color="auto"/>
                    <w:bottom w:val="single" w:sz="6" w:space="0" w:color="auto"/>
                    <w:right w:val="single" w:sz="4" w:space="0" w:color="auto"/>
                  </w:tcBorders>
                  <w:tcMar>
                    <w:left w:w="72" w:type="dxa"/>
                    <w:right w:w="72" w:type="dxa"/>
                  </w:tcMar>
                  <w:hideMark/>
                </w:tcPr>
                <w:p w14:paraId="4BA7B390" w14:textId="77777777" w:rsidR="00D10B74" w:rsidRPr="005D4222" w:rsidRDefault="00D10B74">
                  <w:pPr>
                    <w:pStyle w:val="TableText"/>
                    <w:spacing w:before="40" w:after="40"/>
                    <w:rPr>
                      <w:rFonts w:eastAsia="Wingdings" w:cs="Arial"/>
                      <w:szCs w:val="21"/>
                    </w:rPr>
                  </w:pPr>
                  <w:r w:rsidRPr="005D4222">
                    <w:rPr>
                      <w:rFonts w:eastAsia="Wingdings" w:cs="Arial"/>
                      <w:szCs w:val="21"/>
                    </w:rPr>
                    <w:t>For each Stratification, repeat per Metric</w:t>
                  </w:r>
                </w:p>
              </w:tc>
            </w:tr>
            <w:tr w:rsidR="00D10B74" w:rsidRPr="005D4222" w14:paraId="26270428" w14:textId="77777777">
              <w:tc>
                <w:tcPr>
                  <w:tcW w:w="1436"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55A14C01" w14:textId="77777777" w:rsidR="00D10B74" w:rsidRPr="005D4222" w:rsidRDefault="00D10B74">
                  <w:pPr>
                    <w:pStyle w:val="TableText"/>
                    <w:spacing w:before="40" w:after="40"/>
                    <w:rPr>
                      <w:rFonts w:cs="Arial"/>
                      <w:szCs w:val="21"/>
                    </w:rPr>
                  </w:pPr>
                  <w:r w:rsidRPr="005D4222">
                    <w:rPr>
                      <w:rFonts w:cs="Arial"/>
                      <w:szCs w:val="21"/>
                    </w:rPr>
                    <w:t>FollowUp7Day</w:t>
                  </w:r>
                </w:p>
              </w:tc>
              <w:tc>
                <w:tcPr>
                  <w:tcW w:w="315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27ED9A8E" w14:textId="77777777" w:rsidR="00D10B74" w:rsidRPr="005D4222" w:rsidRDefault="00D10B74">
                  <w:pPr>
                    <w:pStyle w:val="TableText"/>
                    <w:spacing w:before="40" w:after="40"/>
                    <w:rPr>
                      <w:rFonts w:cs="Arial"/>
                      <w:szCs w:val="21"/>
                    </w:rPr>
                  </w:pPr>
                  <w:r w:rsidRPr="005D4222">
                    <w:rPr>
                      <w:rFonts w:cs="Arial"/>
                      <w:szCs w:val="21"/>
                    </w:rPr>
                    <w:t>Asian</w:t>
                  </w:r>
                </w:p>
              </w:tc>
              <w:tc>
                <w:tcPr>
                  <w:tcW w:w="126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614F0B68" w14:textId="77777777" w:rsidR="00D10B74" w:rsidRPr="005D4222" w:rsidRDefault="00D10B74">
                  <w:pPr>
                    <w:pStyle w:val="TableText"/>
                    <w:spacing w:before="40" w:after="40"/>
                    <w:rPr>
                      <w:rFonts w:cs="Arial"/>
                      <w:szCs w:val="21"/>
                    </w:rPr>
                  </w:pPr>
                  <w:r w:rsidRPr="005D4222">
                    <w:rPr>
                      <w:rFonts w:cs="Arial"/>
                      <w:szCs w:val="21"/>
                    </w:rPr>
                    <w:t>Numerator</w:t>
                  </w:r>
                </w:p>
              </w:tc>
              <w:tc>
                <w:tcPr>
                  <w:tcW w:w="1529" w:type="dxa"/>
                  <w:gridSpan w:val="2"/>
                  <w:tcBorders>
                    <w:top w:val="single" w:sz="6"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30757C1C" w14:textId="77777777" w:rsidR="00D10B74" w:rsidRPr="005D4222" w:rsidRDefault="00D10B74">
                  <w:pPr>
                    <w:pStyle w:val="TableText"/>
                    <w:spacing w:before="40" w:after="40"/>
                    <w:rPr>
                      <w:rFonts w:eastAsia="Wingdings" w:cs="Arial"/>
                      <w:szCs w:val="21"/>
                    </w:rPr>
                  </w:pPr>
                  <w:r w:rsidRPr="005D4222">
                    <w:rPr>
                      <w:rFonts w:eastAsia="Wingdings" w:cs="Arial"/>
                      <w:szCs w:val="21"/>
                    </w:rPr>
                    <w:t>For each Metric and Stratification</w:t>
                  </w:r>
                </w:p>
              </w:tc>
            </w:tr>
            <w:tr w:rsidR="00D10B74" w:rsidRPr="005D4222" w14:paraId="08610173" w14:textId="77777777">
              <w:tc>
                <w:tcPr>
                  <w:tcW w:w="1436" w:type="dxa"/>
                  <w:tcBorders>
                    <w:top w:val="single" w:sz="4" w:space="0" w:color="auto"/>
                    <w:left w:val="nil"/>
                    <w:bottom w:val="nil"/>
                    <w:right w:val="single" w:sz="4" w:space="0" w:color="auto"/>
                  </w:tcBorders>
                  <w:tcMar>
                    <w:left w:w="72" w:type="dxa"/>
                    <w:right w:w="72" w:type="dxa"/>
                  </w:tcMar>
                </w:tcPr>
                <w:p w14:paraId="41D73F09" w14:textId="77777777" w:rsidR="00D10B74" w:rsidRPr="005D4222" w:rsidRDefault="00D10B74">
                  <w:pPr>
                    <w:pStyle w:val="TableText"/>
                    <w:spacing w:before="40" w:after="40"/>
                    <w:rPr>
                      <w:rFonts w:cs="Arial"/>
                      <w:szCs w:val="21"/>
                    </w:rPr>
                  </w:pPr>
                </w:p>
              </w:tc>
              <w:tc>
                <w:tcPr>
                  <w:tcW w:w="315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799A0133" w14:textId="77777777" w:rsidR="00D10B74" w:rsidRPr="005D4222" w:rsidRDefault="00D10B74">
                  <w:pPr>
                    <w:pStyle w:val="TableText"/>
                    <w:spacing w:before="40" w:after="40"/>
                    <w:rPr>
                      <w:rFonts w:cs="Arial"/>
                      <w:szCs w:val="21"/>
                    </w:rPr>
                  </w:pPr>
                  <w:r w:rsidRPr="005D4222">
                    <w:rPr>
                      <w:rFonts w:cs="Arial"/>
                      <w:szCs w:val="21"/>
                    </w:rPr>
                    <w:t xml:space="preserve">BlackOrAfricanAmerican </w:t>
                  </w:r>
                </w:p>
              </w:tc>
              <w:tc>
                <w:tcPr>
                  <w:tcW w:w="1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242D05ED" w14:textId="77777777" w:rsidR="00D10B74" w:rsidRPr="005D4222" w:rsidRDefault="00D10B74">
                  <w:pPr>
                    <w:pStyle w:val="TableText"/>
                    <w:spacing w:before="40" w:after="40"/>
                    <w:rPr>
                      <w:rFonts w:cs="Arial"/>
                      <w:szCs w:val="21"/>
                    </w:rPr>
                  </w:pPr>
                  <w:r w:rsidRPr="005D4222">
                    <w:rPr>
                      <w:rFonts w:cs="Arial"/>
                      <w:szCs w:val="21"/>
                    </w:rPr>
                    <w:t>Rate</w:t>
                  </w:r>
                </w:p>
              </w:tc>
              <w:tc>
                <w:tcPr>
                  <w:tcW w:w="152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6E492D70" w14:textId="77777777" w:rsidR="00D10B74" w:rsidRPr="005D4222" w:rsidRDefault="00D10B74">
                  <w:pPr>
                    <w:pStyle w:val="TableText"/>
                    <w:spacing w:before="40" w:after="40"/>
                    <w:rPr>
                      <w:rFonts w:eastAsia="Wingdings" w:cs="Arial"/>
                      <w:szCs w:val="21"/>
                    </w:rPr>
                  </w:pPr>
                  <w:r w:rsidRPr="005D4222">
                    <w:rPr>
                      <w:rFonts w:eastAsia="Wingdings" w:cs="Arial"/>
                      <w:szCs w:val="21"/>
                    </w:rPr>
                    <w:t>(Percent)</w:t>
                  </w:r>
                </w:p>
              </w:tc>
            </w:tr>
            <w:tr w:rsidR="00D10B74" w:rsidRPr="005D4222" w14:paraId="796E4954" w14:textId="77777777">
              <w:tc>
                <w:tcPr>
                  <w:tcW w:w="1436" w:type="dxa"/>
                  <w:tcBorders>
                    <w:top w:val="nil"/>
                    <w:left w:val="nil"/>
                    <w:bottom w:val="nil"/>
                    <w:right w:val="single" w:sz="4" w:space="0" w:color="auto"/>
                  </w:tcBorders>
                  <w:tcMar>
                    <w:left w:w="72" w:type="dxa"/>
                    <w:right w:w="72" w:type="dxa"/>
                  </w:tcMar>
                </w:tcPr>
                <w:p w14:paraId="0C8151A7" w14:textId="77777777" w:rsidR="00D10B74" w:rsidRPr="005D4222" w:rsidRDefault="00D10B74">
                  <w:pPr>
                    <w:pStyle w:val="TableText"/>
                    <w:spacing w:before="40" w:after="40"/>
                    <w:rPr>
                      <w:rFonts w:cs="Arial"/>
                      <w:szCs w:val="21"/>
                    </w:rPr>
                  </w:pPr>
                </w:p>
              </w:tc>
              <w:tc>
                <w:tcPr>
                  <w:tcW w:w="3150" w:type="dxa"/>
                  <w:tcBorders>
                    <w:top w:val="single" w:sz="4" w:space="0" w:color="auto"/>
                    <w:left w:val="single" w:sz="4" w:space="0" w:color="auto"/>
                    <w:bottom w:val="single" w:sz="4" w:space="0" w:color="auto"/>
                    <w:right w:val="single" w:sz="4" w:space="0" w:color="auto"/>
                  </w:tcBorders>
                  <w:tcMar>
                    <w:left w:w="72" w:type="dxa"/>
                    <w:right w:w="72" w:type="dxa"/>
                  </w:tcMar>
                </w:tcPr>
                <w:p w14:paraId="582621F9" w14:textId="77777777" w:rsidR="00D10B74" w:rsidRPr="005D4222" w:rsidRDefault="00D10B74">
                  <w:pPr>
                    <w:pStyle w:val="TableText"/>
                    <w:spacing w:before="40" w:after="40"/>
                    <w:rPr>
                      <w:rFonts w:cs="Arial"/>
                      <w:szCs w:val="21"/>
                    </w:rPr>
                  </w:pPr>
                  <w:r w:rsidRPr="005D4222">
                    <w:rPr>
                      <w:rFonts w:cs="Arial"/>
                      <w:szCs w:val="21"/>
                    </w:rPr>
                    <w:t>MiddleEasternOrNorthAfrican</w:t>
                  </w:r>
                </w:p>
              </w:tc>
              <w:tc>
                <w:tcPr>
                  <w:tcW w:w="1260" w:type="dxa"/>
                  <w:tcBorders>
                    <w:top w:val="single" w:sz="4" w:space="0" w:color="auto"/>
                    <w:left w:val="single" w:sz="4" w:space="0" w:color="auto"/>
                    <w:bottom w:val="nil"/>
                    <w:right w:val="nil"/>
                  </w:tcBorders>
                  <w:tcMar>
                    <w:left w:w="72" w:type="dxa"/>
                    <w:right w:w="72" w:type="dxa"/>
                  </w:tcMar>
                </w:tcPr>
                <w:p w14:paraId="49F23109" w14:textId="77777777" w:rsidR="00D10B74" w:rsidRPr="005D4222" w:rsidRDefault="00D10B74">
                  <w:pPr>
                    <w:pStyle w:val="TableText"/>
                    <w:spacing w:before="40" w:after="40"/>
                    <w:rPr>
                      <w:rFonts w:cs="Arial"/>
                      <w:szCs w:val="21"/>
                    </w:rPr>
                  </w:pPr>
                </w:p>
              </w:tc>
              <w:tc>
                <w:tcPr>
                  <w:tcW w:w="1529" w:type="dxa"/>
                  <w:gridSpan w:val="2"/>
                  <w:tcBorders>
                    <w:top w:val="single" w:sz="4" w:space="0" w:color="auto"/>
                    <w:left w:val="nil"/>
                    <w:bottom w:val="nil"/>
                    <w:right w:val="nil"/>
                  </w:tcBorders>
                  <w:tcMar>
                    <w:left w:w="72" w:type="dxa"/>
                    <w:right w:w="72" w:type="dxa"/>
                  </w:tcMar>
                </w:tcPr>
                <w:p w14:paraId="6B500F77" w14:textId="77777777" w:rsidR="00D10B74" w:rsidRPr="005D4222" w:rsidRDefault="00D10B74">
                  <w:pPr>
                    <w:pStyle w:val="TableText"/>
                    <w:spacing w:before="40" w:after="40"/>
                    <w:rPr>
                      <w:rFonts w:eastAsia="Wingdings" w:cs="Arial"/>
                      <w:szCs w:val="21"/>
                    </w:rPr>
                  </w:pPr>
                </w:p>
              </w:tc>
            </w:tr>
            <w:tr w:rsidR="00D10B74" w:rsidRPr="005D4222" w14:paraId="10FEECFE" w14:textId="77777777">
              <w:trPr>
                <w:gridAfter w:val="1"/>
                <w:wAfter w:w="462" w:type="dxa"/>
              </w:trPr>
              <w:tc>
                <w:tcPr>
                  <w:tcW w:w="1436" w:type="dxa"/>
                  <w:tcBorders>
                    <w:top w:val="nil"/>
                    <w:left w:val="nil"/>
                    <w:bottom w:val="nil"/>
                    <w:right w:val="single" w:sz="4" w:space="0" w:color="auto"/>
                  </w:tcBorders>
                  <w:tcMar>
                    <w:left w:w="72" w:type="dxa"/>
                    <w:right w:w="72" w:type="dxa"/>
                  </w:tcMar>
                </w:tcPr>
                <w:p w14:paraId="17001A86" w14:textId="77777777" w:rsidR="00D10B74" w:rsidRPr="005D4222" w:rsidRDefault="00D10B74">
                  <w:pPr>
                    <w:pStyle w:val="TableText"/>
                    <w:spacing w:before="40" w:after="40"/>
                    <w:rPr>
                      <w:rFonts w:cs="Arial"/>
                      <w:szCs w:val="21"/>
                    </w:rPr>
                  </w:pPr>
                </w:p>
              </w:tc>
              <w:tc>
                <w:tcPr>
                  <w:tcW w:w="315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7A0635A8" w14:textId="77777777" w:rsidR="00D10B74" w:rsidRPr="005D4222" w:rsidRDefault="00D10B74">
                  <w:pPr>
                    <w:pStyle w:val="TableText"/>
                    <w:spacing w:before="40" w:after="40"/>
                    <w:rPr>
                      <w:rFonts w:cs="Arial"/>
                      <w:szCs w:val="21"/>
                    </w:rPr>
                  </w:pPr>
                  <w:r w:rsidRPr="005D4222">
                    <w:rPr>
                      <w:rFonts w:cs="Arial"/>
                      <w:szCs w:val="21"/>
                    </w:rPr>
                    <w:t>NativeHawaiianOrPacificIslander</w:t>
                  </w:r>
                </w:p>
              </w:tc>
              <w:tc>
                <w:tcPr>
                  <w:tcW w:w="2327" w:type="dxa"/>
                  <w:gridSpan w:val="2"/>
                  <w:tcBorders>
                    <w:top w:val="nil"/>
                    <w:left w:val="nil"/>
                    <w:bottom w:val="nil"/>
                    <w:right w:val="nil"/>
                  </w:tcBorders>
                  <w:tcMar>
                    <w:left w:w="72" w:type="dxa"/>
                    <w:right w:w="72" w:type="dxa"/>
                  </w:tcMar>
                </w:tcPr>
                <w:p w14:paraId="5B4569F6" w14:textId="77777777" w:rsidR="00D10B74" w:rsidRPr="005D4222" w:rsidRDefault="00D10B74">
                  <w:pPr>
                    <w:pStyle w:val="TableText"/>
                    <w:spacing w:before="40" w:after="40"/>
                    <w:rPr>
                      <w:rFonts w:eastAsia="Wingdings" w:cs="Arial"/>
                      <w:szCs w:val="21"/>
                    </w:rPr>
                  </w:pPr>
                </w:p>
              </w:tc>
            </w:tr>
            <w:tr w:rsidR="00D10B74" w:rsidRPr="005D4222" w14:paraId="3D85491D" w14:textId="77777777">
              <w:tc>
                <w:tcPr>
                  <w:tcW w:w="1436" w:type="dxa"/>
                  <w:tcBorders>
                    <w:top w:val="nil"/>
                    <w:left w:val="nil"/>
                    <w:bottom w:val="nil"/>
                    <w:right w:val="single" w:sz="4" w:space="0" w:color="auto"/>
                  </w:tcBorders>
                  <w:tcMar>
                    <w:left w:w="72" w:type="dxa"/>
                    <w:right w:w="72" w:type="dxa"/>
                  </w:tcMar>
                </w:tcPr>
                <w:p w14:paraId="1ED691F6" w14:textId="77777777" w:rsidR="00D10B74" w:rsidRPr="005D4222" w:rsidRDefault="00D10B74">
                  <w:pPr>
                    <w:pStyle w:val="TableText"/>
                    <w:spacing w:before="40" w:after="40"/>
                    <w:rPr>
                      <w:rFonts w:cs="Arial"/>
                      <w:szCs w:val="21"/>
                    </w:rPr>
                  </w:pPr>
                </w:p>
              </w:tc>
              <w:tc>
                <w:tcPr>
                  <w:tcW w:w="315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28AA3AFF" w14:textId="77777777" w:rsidR="00D10B74" w:rsidRPr="005D4222" w:rsidRDefault="00D10B74">
                  <w:pPr>
                    <w:pStyle w:val="TableText"/>
                    <w:spacing w:before="40" w:after="40"/>
                    <w:rPr>
                      <w:rFonts w:cs="Arial"/>
                      <w:szCs w:val="21"/>
                    </w:rPr>
                  </w:pPr>
                  <w:r w:rsidRPr="005D4222">
                    <w:rPr>
                      <w:rFonts w:cs="Arial"/>
                      <w:szCs w:val="21"/>
                    </w:rPr>
                    <w:t>White</w:t>
                  </w:r>
                </w:p>
              </w:tc>
              <w:tc>
                <w:tcPr>
                  <w:tcW w:w="1260" w:type="dxa"/>
                  <w:tcBorders>
                    <w:top w:val="nil"/>
                    <w:left w:val="nil"/>
                    <w:bottom w:val="nil"/>
                    <w:right w:val="nil"/>
                  </w:tcBorders>
                  <w:tcMar>
                    <w:left w:w="72" w:type="dxa"/>
                    <w:right w:w="72" w:type="dxa"/>
                  </w:tcMar>
                </w:tcPr>
                <w:p w14:paraId="25A61E0F" w14:textId="77777777" w:rsidR="00D10B74" w:rsidRPr="005D4222" w:rsidRDefault="00D10B74">
                  <w:pPr>
                    <w:pStyle w:val="TableText"/>
                    <w:spacing w:before="40" w:after="40"/>
                    <w:rPr>
                      <w:rFonts w:cs="Arial"/>
                      <w:szCs w:val="21"/>
                    </w:rPr>
                  </w:pPr>
                </w:p>
              </w:tc>
              <w:tc>
                <w:tcPr>
                  <w:tcW w:w="1529" w:type="dxa"/>
                  <w:gridSpan w:val="2"/>
                  <w:tcBorders>
                    <w:top w:val="nil"/>
                    <w:left w:val="nil"/>
                    <w:bottom w:val="nil"/>
                    <w:right w:val="nil"/>
                  </w:tcBorders>
                  <w:tcMar>
                    <w:left w:w="72" w:type="dxa"/>
                    <w:right w:w="72" w:type="dxa"/>
                  </w:tcMar>
                </w:tcPr>
                <w:p w14:paraId="70DBDB9F" w14:textId="77777777" w:rsidR="00D10B74" w:rsidRPr="005D4222" w:rsidRDefault="00D10B74">
                  <w:pPr>
                    <w:pStyle w:val="TableText"/>
                    <w:spacing w:before="40" w:after="40"/>
                    <w:rPr>
                      <w:rFonts w:eastAsia="Wingdings" w:cs="Arial"/>
                      <w:szCs w:val="21"/>
                    </w:rPr>
                  </w:pPr>
                </w:p>
              </w:tc>
            </w:tr>
            <w:tr w:rsidR="00D10B74" w:rsidRPr="005D4222" w14:paraId="3CD97BB0" w14:textId="77777777">
              <w:tc>
                <w:tcPr>
                  <w:tcW w:w="1436" w:type="dxa"/>
                  <w:tcBorders>
                    <w:top w:val="nil"/>
                    <w:left w:val="nil"/>
                    <w:bottom w:val="nil"/>
                    <w:right w:val="single" w:sz="4" w:space="0" w:color="auto"/>
                  </w:tcBorders>
                  <w:tcMar>
                    <w:left w:w="72" w:type="dxa"/>
                    <w:right w:w="72" w:type="dxa"/>
                  </w:tcMar>
                </w:tcPr>
                <w:p w14:paraId="3D52BC2C" w14:textId="77777777" w:rsidR="00D10B74" w:rsidRPr="005D4222" w:rsidRDefault="00D10B74">
                  <w:pPr>
                    <w:pStyle w:val="TableText"/>
                    <w:spacing w:before="40" w:after="40"/>
                    <w:rPr>
                      <w:rFonts w:cs="Arial"/>
                      <w:szCs w:val="21"/>
                    </w:rPr>
                  </w:pPr>
                </w:p>
              </w:tc>
              <w:tc>
                <w:tcPr>
                  <w:tcW w:w="315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2A09A746" w14:textId="77777777" w:rsidR="00D10B74" w:rsidRPr="005D4222" w:rsidRDefault="00D10B74">
                  <w:pPr>
                    <w:pStyle w:val="TableText"/>
                    <w:spacing w:before="40" w:after="40"/>
                    <w:rPr>
                      <w:rFonts w:cs="Arial"/>
                      <w:szCs w:val="21"/>
                    </w:rPr>
                  </w:pPr>
                  <w:r w:rsidRPr="005D4222">
                    <w:rPr>
                      <w:rFonts w:cs="Arial"/>
                      <w:szCs w:val="21"/>
                    </w:rPr>
                    <w:t>SomeOtherRace</w:t>
                  </w:r>
                </w:p>
              </w:tc>
              <w:tc>
                <w:tcPr>
                  <w:tcW w:w="1260" w:type="dxa"/>
                  <w:tcBorders>
                    <w:top w:val="nil"/>
                    <w:left w:val="nil"/>
                    <w:bottom w:val="nil"/>
                    <w:right w:val="nil"/>
                  </w:tcBorders>
                  <w:tcMar>
                    <w:left w:w="72" w:type="dxa"/>
                    <w:right w:w="72" w:type="dxa"/>
                  </w:tcMar>
                </w:tcPr>
                <w:p w14:paraId="4F62E040" w14:textId="77777777" w:rsidR="00D10B74" w:rsidRPr="005D4222" w:rsidRDefault="00D10B74">
                  <w:pPr>
                    <w:pStyle w:val="TableText"/>
                    <w:spacing w:before="40" w:after="40"/>
                    <w:rPr>
                      <w:rFonts w:cs="Arial"/>
                      <w:szCs w:val="21"/>
                    </w:rPr>
                  </w:pPr>
                </w:p>
              </w:tc>
              <w:tc>
                <w:tcPr>
                  <w:tcW w:w="1529" w:type="dxa"/>
                  <w:gridSpan w:val="2"/>
                  <w:tcBorders>
                    <w:top w:val="nil"/>
                    <w:left w:val="nil"/>
                    <w:bottom w:val="nil"/>
                    <w:right w:val="nil"/>
                  </w:tcBorders>
                  <w:tcMar>
                    <w:left w:w="72" w:type="dxa"/>
                    <w:right w:w="72" w:type="dxa"/>
                  </w:tcMar>
                </w:tcPr>
                <w:p w14:paraId="1F41DD74" w14:textId="77777777" w:rsidR="00D10B74" w:rsidRPr="005D4222" w:rsidRDefault="00D10B74">
                  <w:pPr>
                    <w:pStyle w:val="TableText"/>
                    <w:spacing w:before="40" w:after="40"/>
                    <w:rPr>
                      <w:rFonts w:eastAsia="Wingdings" w:cs="Arial"/>
                      <w:szCs w:val="21"/>
                    </w:rPr>
                  </w:pPr>
                </w:p>
              </w:tc>
            </w:tr>
            <w:tr w:rsidR="00D10B74" w:rsidRPr="005D4222" w14:paraId="6ABC66DE" w14:textId="77777777">
              <w:tc>
                <w:tcPr>
                  <w:tcW w:w="1436" w:type="dxa"/>
                  <w:tcBorders>
                    <w:top w:val="nil"/>
                    <w:left w:val="nil"/>
                    <w:bottom w:val="nil"/>
                    <w:right w:val="single" w:sz="4" w:space="0" w:color="auto"/>
                  </w:tcBorders>
                  <w:tcMar>
                    <w:left w:w="72" w:type="dxa"/>
                    <w:right w:w="72" w:type="dxa"/>
                  </w:tcMar>
                </w:tcPr>
                <w:p w14:paraId="7E6AF2E3" w14:textId="77777777" w:rsidR="00D10B74" w:rsidRPr="005D4222" w:rsidRDefault="00D10B74">
                  <w:pPr>
                    <w:pStyle w:val="TableText"/>
                    <w:spacing w:before="40" w:after="40"/>
                    <w:rPr>
                      <w:rFonts w:cs="Arial"/>
                      <w:szCs w:val="21"/>
                    </w:rPr>
                  </w:pPr>
                </w:p>
              </w:tc>
              <w:tc>
                <w:tcPr>
                  <w:tcW w:w="315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67F4FA81" w14:textId="77777777" w:rsidR="00D10B74" w:rsidRPr="005D4222" w:rsidRDefault="00D10B74">
                  <w:pPr>
                    <w:pStyle w:val="TableText"/>
                    <w:spacing w:before="40" w:after="40"/>
                    <w:rPr>
                      <w:rFonts w:cs="Arial"/>
                      <w:szCs w:val="21"/>
                    </w:rPr>
                  </w:pPr>
                  <w:r w:rsidRPr="005D4222">
                    <w:rPr>
                      <w:rFonts w:cs="Arial"/>
                      <w:szCs w:val="21"/>
                    </w:rPr>
                    <w:t>TwoOrMoreRaces</w:t>
                  </w:r>
                </w:p>
              </w:tc>
              <w:tc>
                <w:tcPr>
                  <w:tcW w:w="1260" w:type="dxa"/>
                  <w:tcBorders>
                    <w:top w:val="nil"/>
                    <w:left w:val="nil"/>
                    <w:bottom w:val="nil"/>
                    <w:right w:val="nil"/>
                  </w:tcBorders>
                  <w:tcMar>
                    <w:left w:w="72" w:type="dxa"/>
                    <w:right w:w="72" w:type="dxa"/>
                  </w:tcMar>
                </w:tcPr>
                <w:p w14:paraId="3C3B136F" w14:textId="77777777" w:rsidR="00D10B74" w:rsidRPr="005D4222" w:rsidRDefault="00D10B74">
                  <w:pPr>
                    <w:pStyle w:val="TableText"/>
                    <w:spacing w:before="40" w:after="40"/>
                    <w:rPr>
                      <w:rFonts w:cs="Arial"/>
                      <w:szCs w:val="21"/>
                    </w:rPr>
                  </w:pPr>
                </w:p>
              </w:tc>
              <w:tc>
                <w:tcPr>
                  <w:tcW w:w="1529" w:type="dxa"/>
                  <w:gridSpan w:val="2"/>
                  <w:tcBorders>
                    <w:top w:val="nil"/>
                    <w:left w:val="nil"/>
                    <w:bottom w:val="nil"/>
                    <w:right w:val="nil"/>
                  </w:tcBorders>
                  <w:tcMar>
                    <w:left w:w="72" w:type="dxa"/>
                    <w:right w:w="72" w:type="dxa"/>
                  </w:tcMar>
                </w:tcPr>
                <w:p w14:paraId="41656ABB" w14:textId="77777777" w:rsidR="00D10B74" w:rsidRPr="005D4222" w:rsidRDefault="00D10B74">
                  <w:pPr>
                    <w:pStyle w:val="TableText"/>
                    <w:spacing w:before="40" w:after="40"/>
                    <w:rPr>
                      <w:rFonts w:eastAsia="Wingdings" w:cs="Arial"/>
                      <w:szCs w:val="21"/>
                    </w:rPr>
                  </w:pPr>
                </w:p>
              </w:tc>
            </w:tr>
            <w:tr w:rsidR="00D10B74" w:rsidRPr="005D4222" w14:paraId="7B4DA6F2" w14:textId="77777777">
              <w:tc>
                <w:tcPr>
                  <w:tcW w:w="1436" w:type="dxa"/>
                  <w:tcBorders>
                    <w:top w:val="nil"/>
                    <w:left w:val="nil"/>
                    <w:bottom w:val="nil"/>
                    <w:right w:val="single" w:sz="4" w:space="0" w:color="auto"/>
                  </w:tcBorders>
                  <w:tcMar>
                    <w:left w:w="72" w:type="dxa"/>
                    <w:right w:w="72" w:type="dxa"/>
                  </w:tcMar>
                </w:tcPr>
                <w:p w14:paraId="58C331CE" w14:textId="77777777" w:rsidR="00D10B74" w:rsidRPr="005D4222" w:rsidRDefault="00D10B74">
                  <w:pPr>
                    <w:pStyle w:val="TableText"/>
                    <w:spacing w:before="40" w:after="40"/>
                    <w:rPr>
                      <w:rFonts w:cs="Arial"/>
                      <w:szCs w:val="21"/>
                    </w:rPr>
                  </w:pPr>
                </w:p>
              </w:tc>
              <w:tc>
                <w:tcPr>
                  <w:tcW w:w="315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535A9FE6" w14:textId="77777777" w:rsidR="00D10B74" w:rsidRPr="005D4222" w:rsidRDefault="00D10B74">
                  <w:pPr>
                    <w:pStyle w:val="TableText"/>
                    <w:spacing w:before="40" w:after="40"/>
                    <w:rPr>
                      <w:rFonts w:cs="Arial"/>
                      <w:szCs w:val="21"/>
                    </w:rPr>
                  </w:pPr>
                  <w:r w:rsidRPr="005D4222">
                    <w:rPr>
                      <w:rFonts w:cs="Arial"/>
                      <w:szCs w:val="21"/>
                    </w:rPr>
                    <w:t>AskedButNoAnswer</w:t>
                  </w:r>
                </w:p>
              </w:tc>
              <w:tc>
                <w:tcPr>
                  <w:tcW w:w="1260" w:type="dxa"/>
                  <w:tcBorders>
                    <w:top w:val="nil"/>
                    <w:left w:val="nil"/>
                    <w:bottom w:val="nil"/>
                    <w:right w:val="nil"/>
                  </w:tcBorders>
                  <w:tcMar>
                    <w:left w:w="72" w:type="dxa"/>
                    <w:right w:w="72" w:type="dxa"/>
                  </w:tcMar>
                </w:tcPr>
                <w:p w14:paraId="56B52241" w14:textId="77777777" w:rsidR="00D10B74" w:rsidRPr="005D4222" w:rsidRDefault="00D10B74">
                  <w:pPr>
                    <w:pStyle w:val="TableText"/>
                    <w:spacing w:before="40" w:after="40"/>
                    <w:rPr>
                      <w:rFonts w:cs="Arial"/>
                      <w:szCs w:val="21"/>
                    </w:rPr>
                  </w:pPr>
                </w:p>
              </w:tc>
              <w:tc>
                <w:tcPr>
                  <w:tcW w:w="1529" w:type="dxa"/>
                  <w:gridSpan w:val="2"/>
                  <w:tcBorders>
                    <w:top w:val="nil"/>
                    <w:left w:val="nil"/>
                    <w:bottom w:val="nil"/>
                    <w:right w:val="nil"/>
                  </w:tcBorders>
                  <w:tcMar>
                    <w:left w:w="72" w:type="dxa"/>
                    <w:right w:w="72" w:type="dxa"/>
                  </w:tcMar>
                </w:tcPr>
                <w:p w14:paraId="7DF0006F" w14:textId="77777777" w:rsidR="00D10B74" w:rsidRPr="005D4222" w:rsidRDefault="00D10B74">
                  <w:pPr>
                    <w:pStyle w:val="TableText"/>
                    <w:spacing w:before="40" w:after="40"/>
                    <w:rPr>
                      <w:rFonts w:eastAsia="Wingdings" w:cs="Arial"/>
                      <w:szCs w:val="21"/>
                    </w:rPr>
                  </w:pPr>
                </w:p>
              </w:tc>
            </w:tr>
            <w:tr w:rsidR="00902BB1" w:rsidRPr="005D4222" w14:paraId="00F75CA7" w14:textId="77777777">
              <w:tc>
                <w:tcPr>
                  <w:tcW w:w="1436" w:type="dxa"/>
                  <w:tcBorders>
                    <w:top w:val="nil"/>
                    <w:left w:val="nil"/>
                    <w:bottom w:val="nil"/>
                    <w:right w:val="single" w:sz="4" w:space="0" w:color="auto"/>
                  </w:tcBorders>
                  <w:tcMar>
                    <w:left w:w="72" w:type="dxa"/>
                    <w:right w:w="72" w:type="dxa"/>
                  </w:tcMar>
                </w:tcPr>
                <w:p w14:paraId="1208658D" w14:textId="77777777" w:rsidR="00902BB1" w:rsidRPr="005D4222" w:rsidRDefault="00902BB1">
                  <w:pPr>
                    <w:pStyle w:val="TableText"/>
                    <w:spacing w:before="40" w:after="40"/>
                    <w:rPr>
                      <w:rFonts w:cs="Arial"/>
                      <w:szCs w:val="21"/>
                    </w:rPr>
                  </w:pPr>
                </w:p>
              </w:tc>
              <w:tc>
                <w:tcPr>
                  <w:tcW w:w="3150" w:type="dxa"/>
                  <w:tcBorders>
                    <w:top w:val="single" w:sz="4" w:space="0" w:color="auto"/>
                    <w:left w:val="single" w:sz="4" w:space="0" w:color="auto"/>
                    <w:bottom w:val="single" w:sz="4" w:space="0" w:color="auto"/>
                    <w:right w:val="single" w:sz="4" w:space="0" w:color="auto"/>
                  </w:tcBorders>
                  <w:tcMar>
                    <w:left w:w="72" w:type="dxa"/>
                    <w:right w:w="72" w:type="dxa"/>
                  </w:tcMar>
                </w:tcPr>
                <w:p w14:paraId="672C846C" w14:textId="00941A2A" w:rsidR="00902BB1" w:rsidRPr="005D4222" w:rsidRDefault="00902BB1">
                  <w:pPr>
                    <w:pStyle w:val="TableText"/>
                    <w:spacing w:before="40" w:after="40"/>
                    <w:rPr>
                      <w:rFonts w:cs="Arial"/>
                      <w:szCs w:val="21"/>
                    </w:rPr>
                  </w:pPr>
                  <w:r w:rsidRPr="005D4222">
                    <w:rPr>
                      <w:rFonts w:cs="Arial"/>
                      <w:szCs w:val="21"/>
                    </w:rPr>
                    <w:t>Unknown</w:t>
                  </w:r>
                </w:p>
              </w:tc>
              <w:tc>
                <w:tcPr>
                  <w:tcW w:w="1260" w:type="dxa"/>
                  <w:tcBorders>
                    <w:top w:val="nil"/>
                    <w:left w:val="nil"/>
                    <w:bottom w:val="nil"/>
                    <w:right w:val="nil"/>
                  </w:tcBorders>
                  <w:tcMar>
                    <w:left w:w="72" w:type="dxa"/>
                    <w:right w:w="72" w:type="dxa"/>
                  </w:tcMar>
                </w:tcPr>
                <w:p w14:paraId="31E117E6" w14:textId="77777777" w:rsidR="00902BB1" w:rsidRPr="005D4222" w:rsidRDefault="00902BB1">
                  <w:pPr>
                    <w:pStyle w:val="TableText"/>
                    <w:spacing w:before="40" w:after="40"/>
                    <w:rPr>
                      <w:rFonts w:cs="Arial"/>
                      <w:szCs w:val="21"/>
                    </w:rPr>
                  </w:pPr>
                </w:p>
              </w:tc>
              <w:tc>
                <w:tcPr>
                  <w:tcW w:w="1529" w:type="dxa"/>
                  <w:gridSpan w:val="2"/>
                  <w:tcBorders>
                    <w:top w:val="nil"/>
                    <w:left w:val="nil"/>
                    <w:bottom w:val="nil"/>
                    <w:right w:val="nil"/>
                  </w:tcBorders>
                  <w:tcMar>
                    <w:left w:w="72" w:type="dxa"/>
                    <w:right w:w="72" w:type="dxa"/>
                  </w:tcMar>
                </w:tcPr>
                <w:p w14:paraId="235EA547" w14:textId="77777777" w:rsidR="00902BB1" w:rsidRPr="005D4222" w:rsidRDefault="00902BB1">
                  <w:pPr>
                    <w:pStyle w:val="TableText"/>
                    <w:spacing w:before="40" w:after="40"/>
                    <w:rPr>
                      <w:rFonts w:eastAsia="Wingdings" w:cs="Arial"/>
                      <w:szCs w:val="21"/>
                    </w:rPr>
                  </w:pPr>
                </w:p>
              </w:tc>
            </w:tr>
          </w:tbl>
          <w:p w14:paraId="471A8DED" w14:textId="77777777" w:rsidR="00D10B74" w:rsidRPr="005D4222" w:rsidRDefault="00D10B74">
            <w:pPr>
              <w:pStyle w:val="Heading3"/>
              <w:rPr>
                <w:rFonts w:eastAsia="Calibri"/>
              </w:rPr>
            </w:pPr>
          </w:p>
        </w:tc>
      </w:tr>
    </w:tbl>
    <w:p w14:paraId="4BF2364E" w14:textId="77777777" w:rsidR="00D10B74" w:rsidRPr="005D4222" w:rsidRDefault="00D10B74" w:rsidP="00D10B74"/>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D10B74" w:rsidRPr="005D4222" w14:paraId="441E7350" w14:textId="77777777">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5E2C83E" w14:textId="77777777" w:rsidR="00D10B74" w:rsidRPr="005D4222" w:rsidRDefault="00D10B74">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828C7DD" w14:textId="603994D1" w:rsidR="00D10B74" w:rsidRPr="005D4222" w:rsidRDefault="00D10B74">
            <w:pPr>
              <w:pStyle w:val="Heading3"/>
              <w:spacing w:before="120"/>
            </w:pPr>
            <w:r w:rsidRPr="005D4222">
              <w:t xml:space="preserve">Table FUA-C-1/2/3: Data Elements for Follow-Up After Emergency Department Visit for </w:t>
            </w:r>
            <w:r w:rsidRPr="005D4222">
              <w:rPr>
                <w:color w:val="000000"/>
              </w:rPr>
              <w:t>Substance Use</w:t>
            </w:r>
            <w:r w:rsidRPr="005D4222">
              <w:t xml:space="preserve">: </w:t>
            </w:r>
            <w:r w:rsidR="00B51CDC" w:rsidRPr="005D4222">
              <w:t>Stratifications</w:t>
            </w:r>
            <w:r w:rsidRPr="005D4222">
              <w:t xml:space="preserve"> by Ethnicity</w:t>
            </w:r>
          </w:p>
          <w:tbl>
            <w:tblPr>
              <w:tblW w:w="7334" w:type="dxa"/>
              <w:tblInd w:w="4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8" w:type="dxa"/>
                <w:right w:w="58" w:type="dxa"/>
              </w:tblCellMar>
              <w:tblLook w:val="04A0" w:firstRow="1" w:lastRow="0" w:firstColumn="1" w:lastColumn="0" w:noHBand="0" w:noVBand="1"/>
            </w:tblPr>
            <w:tblGrid>
              <w:gridCol w:w="1664"/>
              <w:gridCol w:w="1890"/>
              <w:gridCol w:w="1734"/>
              <w:gridCol w:w="2046"/>
            </w:tblGrid>
            <w:tr w:rsidR="00D10B74" w:rsidRPr="005D4222" w14:paraId="240C6520" w14:textId="77777777">
              <w:tc>
                <w:tcPr>
                  <w:tcW w:w="1664" w:type="dxa"/>
                  <w:tcBorders>
                    <w:top w:val="single" w:sz="4" w:space="0" w:color="000000" w:themeColor="text1"/>
                    <w:left w:val="single" w:sz="4" w:space="0" w:color="000000" w:themeColor="text1"/>
                    <w:bottom w:val="single" w:sz="4" w:space="0" w:color="auto"/>
                    <w:right w:val="single" w:sz="4" w:space="0" w:color="FFFFFF" w:themeColor="background1"/>
                  </w:tcBorders>
                  <w:shd w:val="clear" w:color="auto" w:fill="000000" w:themeFill="text1"/>
                  <w:tcMar>
                    <w:left w:w="72" w:type="dxa"/>
                    <w:right w:w="72" w:type="dxa"/>
                  </w:tcMar>
                  <w:vAlign w:val="bottom"/>
                  <w:hideMark/>
                </w:tcPr>
                <w:p w14:paraId="4F886537" w14:textId="77777777" w:rsidR="00D10B74" w:rsidRPr="005D4222" w:rsidRDefault="00D10B74">
                  <w:pPr>
                    <w:pStyle w:val="TableHead"/>
                    <w:spacing w:before="40" w:after="40"/>
                    <w:rPr>
                      <w:rFonts w:cs="Arial"/>
                      <w:b w:val="0"/>
                    </w:rPr>
                  </w:pPr>
                  <w:r w:rsidRPr="005D4222">
                    <w:t>Metric</w:t>
                  </w:r>
                </w:p>
              </w:tc>
              <w:tc>
                <w:tcPr>
                  <w:tcW w:w="189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72" w:type="dxa"/>
                    <w:right w:w="72" w:type="dxa"/>
                  </w:tcMar>
                  <w:vAlign w:val="bottom"/>
                  <w:hideMark/>
                </w:tcPr>
                <w:p w14:paraId="3E9FD99B" w14:textId="77777777" w:rsidR="00D10B74" w:rsidRPr="005D4222" w:rsidRDefault="00D10B74">
                  <w:pPr>
                    <w:pStyle w:val="TableHead"/>
                    <w:spacing w:before="40" w:after="40"/>
                    <w:rPr>
                      <w:rFonts w:cs="Arial"/>
                      <w:b w:val="0"/>
                    </w:rPr>
                  </w:pPr>
                  <w:r w:rsidRPr="005D4222">
                    <w:t>Ethnicity</w:t>
                  </w:r>
                </w:p>
              </w:tc>
              <w:tc>
                <w:tcPr>
                  <w:tcW w:w="1734"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72" w:type="dxa"/>
                    <w:right w:w="72" w:type="dxa"/>
                  </w:tcMar>
                  <w:vAlign w:val="bottom"/>
                  <w:hideMark/>
                </w:tcPr>
                <w:p w14:paraId="156BD4FF" w14:textId="77777777" w:rsidR="00D10B74" w:rsidRPr="005D4222" w:rsidRDefault="00D10B74">
                  <w:pPr>
                    <w:pStyle w:val="TableHead"/>
                    <w:spacing w:before="40" w:after="40"/>
                    <w:rPr>
                      <w:rFonts w:cs="Arial"/>
                      <w:b w:val="0"/>
                    </w:rPr>
                  </w:pPr>
                  <w:r w:rsidRPr="005D4222">
                    <w:t>Data Element</w:t>
                  </w:r>
                </w:p>
              </w:tc>
              <w:tc>
                <w:tcPr>
                  <w:tcW w:w="2046" w:type="dxa"/>
                  <w:tcBorders>
                    <w:top w:val="single" w:sz="4" w:space="0" w:color="000000" w:themeColor="text1"/>
                    <w:left w:val="single" w:sz="4" w:space="0" w:color="FFFFFF" w:themeColor="background1"/>
                    <w:bottom w:val="single" w:sz="4" w:space="0" w:color="000000" w:themeColor="text1"/>
                    <w:right w:val="single" w:sz="4" w:space="0" w:color="auto"/>
                  </w:tcBorders>
                  <w:shd w:val="clear" w:color="auto" w:fill="000000" w:themeFill="text1"/>
                  <w:tcMar>
                    <w:left w:w="72" w:type="dxa"/>
                    <w:right w:w="72" w:type="dxa"/>
                  </w:tcMar>
                  <w:vAlign w:val="bottom"/>
                  <w:hideMark/>
                </w:tcPr>
                <w:p w14:paraId="64D6EB43" w14:textId="77777777" w:rsidR="00D10B74" w:rsidRPr="005D4222" w:rsidRDefault="00D10B74">
                  <w:pPr>
                    <w:pStyle w:val="TableHead"/>
                    <w:spacing w:before="40" w:after="40"/>
                    <w:rPr>
                      <w:rFonts w:cs="Arial"/>
                      <w:b w:val="0"/>
                    </w:rPr>
                  </w:pPr>
                  <w:r w:rsidRPr="005D4222">
                    <w:t>Reporting Instructions</w:t>
                  </w:r>
                </w:p>
              </w:tc>
            </w:tr>
            <w:tr w:rsidR="00D10B74" w:rsidRPr="005D4222" w14:paraId="32445336" w14:textId="77777777">
              <w:tc>
                <w:tcPr>
                  <w:tcW w:w="1664"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0A9032CD" w14:textId="77777777" w:rsidR="00D10B74" w:rsidRPr="005D4222" w:rsidRDefault="00D10B74">
                  <w:pPr>
                    <w:pStyle w:val="TableText"/>
                    <w:spacing w:before="40" w:after="40"/>
                    <w:rPr>
                      <w:rFonts w:cs="Arial"/>
                      <w:bCs/>
                      <w:szCs w:val="21"/>
                    </w:rPr>
                  </w:pPr>
                  <w:r w:rsidRPr="005D4222">
                    <w:rPr>
                      <w:rFonts w:cs="Arial"/>
                      <w:bCs/>
                      <w:szCs w:val="21"/>
                    </w:rPr>
                    <w:t>FollowUp30Day</w:t>
                  </w:r>
                </w:p>
              </w:tc>
              <w:tc>
                <w:tcPr>
                  <w:tcW w:w="1890" w:type="dxa"/>
                  <w:tcBorders>
                    <w:top w:val="single" w:sz="4" w:space="0" w:color="000000" w:themeColor="text1"/>
                    <w:left w:val="single" w:sz="4" w:space="0" w:color="auto"/>
                    <w:bottom w:val="single" w:sz="4" w:space="0" w:color="auto"/>
                    <w:right w:val="single" w:sz="4" w:space="0" w:color="auto"/>
                  </w:tcBorders>
                  <w:tcMar>
                    <w:left w:w="72" w:type="dxa"/>
                    <w:right w:w="72" w:type="dxa"/>
                  </w:tcMar>
                  <w:hideMark/>
                </w:tcPr>
                <w:p w14:paraId="58F9A276" w14:textId="77777777" w:rsidR="00D10B74" w:rsidRPr="005D4222" w:rsidRDefault="00D10B74">
                  <w:pPr>
                    <w:pStyle w:val="TableText"/>
                    <w:spacing w:before="40" w:after="40"/>
                    <w:rPr>
                      <w:rFonts w:cs="Arial"/>
                      <w:bCs/>
                      <w:szCs w:val="21"/>
                    </w:rPr>
                  </w:pPr>
                  <w:r w:rsidRPr="005D4222">
                    <w:rPr>
                      <w:rFonts w:cs="Arial"/>
                      <w:bCs/>
                      <w:szCs w:val="21"/>
                    </w:rPr>
                    <w:t>HispanicOrLatino</w:t>
                  </w:r>
                </w:p>
              </w:tc>
              <w:tc>
                <w:tcPr>
                  <w:tcW w:w="1734" w:type="dxa"/>
                  <w:tcBorders>
                    <w:top w:val="single" w:sz="4" w:space="0" w:color="000000" w:themeColor="text1"/>
                    <w:left w:val="single" w:sz="4" w:space="0" w:color="auto"/>
                    <w:bottom w:val="single" w:sz="4" w:space="0" w:color="auto"/>
                    <w:right w:val="single" w:sz="4" w:space="0" w:color="auto"/>
                  </w:tcBorders>
                  <w:tcMar>
                    <w:left w:w="72" w:type="dxa"/>
                    <w:right w:w="72" w:type="dxa"/>
                  </w:tcMar>
                  <w:hideMark/>
                </w:tcPr>
                <w:p w14:paraId="7BDA6759" w14:textId="77777777" w:rsidR="00D10B74" w:rsidRPr="005D4222" w:rsidRDefault="00D10B74">
                  <w:pPr>
                    <w:pStyle w:val="TableText"/>
                    <w:spacing w:before="40" w:after="40"/>
                    <w:rPr>
                      <w:rFonts w:cs="Arial"/>
                    </w:rPr>
                  </w:pPr>
                  <w:r w:rsidRPr="005D4222">
                    <w:rPr>
                      <w:rFonts w:cs="Arial"/>
                    </w:rPr>
                    <w:t>Denominator</w:t>
                  </w:r>
                </w:p>
              </w:tc>
              <w:tc>
                <w:tcPr>
                  <w:tcW w:w="2046" w:type="dxa"/>
                  <w:tcBorders>
                    <w:top w:val="single" w:sz="4" w:space="0" w:color="000000" w:themeColor="text1"/>
                    <w:left w:val="single" w:sz="4" w:space="0" w:color="auto"/>
                    <w:bottom w:val="single" w:sz="6" w:space="0" w:color="auto"/>
                    <w:right w:val="single" w:sz="4" w:space="0" w:color="auto"/>
                  </w:tcBorders>
                  <w:tcMar>
                    <w:left w:w="72" w:type="dxa"/>
                    <w:right w:w="72" w:type="dxa"/>
                  </w:tcMar>
                  <w:hideMark/>
                </w:tcPr>
                <w:p w14:paraId="04BBC369" w14:textId="77777777" w:rsidR="00D10B74" w:rsidRPr="005D4222" w:rsidRDefault="00D10B74">
                  <w:pPr>
                    <w:pStyle w:val="TableText"/>
                    <w:spacing w:before="40" w:after="40"/>
                    <w:rPr>
                      <w:rFonts w:eastAsia="Wingdings" w:cs="Arial"/>
                      <w:bCs/>
                      <w:szCs w:val="21"/>
                    </w:rPr>
                  </w:pPr>
                  <w:r w:rsidRPr="005D4222">
                    <w:rPr>
                      <w:rFonts w:eastAsia="Wingdings" w:cs="Arial"/>
                      <w:bCs/>
                      <w:szCs w:val="21"/>
                    </w:rPr>
                    <w:t>For each Stratification, repeat per Metric</w:t>
                  </w:r>
                </w:p>
              </w:tc>
            </w:tr>
            <w:tr w:rsidR="00D10B74" w:rsidRPr="005D4222" w14:paraId="700E7AEE" w14:textId="77777777">
              <w:tc>
                <w:tcPr>
                  <w:tcW w:w="1664"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0238FDB6" w14:textId="77777777" w:rsidR="00D10B74" w:rsidRPr="005D4222" w:rsidRDefault="00D10B74">
                  <w:pPr>
                    <w:pStyle w:val="TableText"/>
                    <w:spacing w:before="40" w:after="40"/>
                    <w:rPr>
                      <w:rFonts w:cs="Arial"/>
                      <w:bCs/>
                      <w:szCs w:val="21"/>
                    </w:rPr>
                  </w:pPr>
                  <w:r w:rsidRPr="005D4222">
                    <w:rPr>
                      <w:rFonts w:cs="Arial"/>
                      <w:bCs/>
                      <w:szCs w:val="21"/>
                    </w:rPr>
                    <w:t>FollowUp7Day</w:t>
                  </w:r>
                </w:p>
              </w:tc>
              <w:tc>
                <w:tcPr>
                  <w:tcW w:w="189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5F69E058" w14:textId="77777777" w:rsidR="00D10B74" w:rsidRPr="005D4222" w:rsidRDefault="00D10B74">
                  <w:pPr>
                    <w:pStyle w:val="TableText"/>
                    <w:spacing w:before="40" w:after="40"/>
                    <w:rPr>
                      <w:rFonts w:cs="Arial"/>
                      <w:bCs/>
                      <w:szCs w:val="21"/>
                    </w:rPr>
                  </w:pPr>
                  <w:r w:rsidRPr="005D4222">
                    <w:rPr>
                      <w:rFonts w:cs="Arial"/>
                      <w:bCs/>
                      <w:szCs w:val="21"/>
                    </w:rPr>
                    <w:t>NotHispanicOrLatino</w:t>
                  </w:r>
                </w:p>
              </w:tc>
              <w:tc>
                <w:tcPr>
                  <w:tcW w:w="1734"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7BD076C5" w14:textId="77777777" w:rsidR="00D10B74" w:rsidRPr="005D4222" w:rsidRDefault="00D10B74">
                  <w:pPr>
                    <w:pStyle w:val="TableText"/>
                    <w:spacing w:before="40" w:after="40"/>
                    <w:rPr>
                      <w:rFonts w:cs="Arial"/>
                      <w:bCs/>
                      <w:szCs w:val="21"/>
                    </w:rPr>
                  </w:pPr>
                  <w:r w:rsidRPr="005D4222">
                    <w:rPr>
                      <w:rFonts w:cs="Arial"/>
                      <w:bCs/>
                      <w:szCs w:val="21"/>
                    </w:rPr>
                    <w:t>Numerator</w:t>
                  </w:r>
                </w:p>
              </w:tc>
              <w:tc>
                <w:tcPr>
                  <w:tcW w:w="2046" w:type="dxa"/>
                  <w:tcBorders>
                    <w:top w:val="single" w:sz="6"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07695C81" w14:textId="77777777" w:rsidR="00D10B74" w:rsidRPr="005D4222" w:rsidRDefault="00D10B74">
                  <w:pPr>
                    <w:pStyle w:val="TableText"/>
                    <w:spacing w:before="40" w:after="40"/>
                    <w:rPr>
                      <w:rFonts w:eastAsia="Wingdings" w:cs="Arial"/>
                      <w:bCs/>
                      <w:szCs w:val="21"/>
                    </w:rPr>
                  </w:pPr>
                  <w:r w:rsidRPr="005D4222">
                    <w:rPr>
                      <w:rFonts w:eastAsia="Wingdings" w:cs="Arial"/>
                      <w:bCs/>
                      <w:szCs w:val="21"/>
                    </w:rPr>
                    <w:t>For each Metric and Stratification</w:t>
                  </w:r>
                </w:p>
              </w:tc>
            </w:tr>
            <w:tr w:rsidR="00D10B74" w:rsidRPr="005D4222" w14:paraId="3A5597C3" w14:textId="77777777">
              <w:tc>
                <w:tcPr>
                  <w:tcW w:w="1664" w:type="dxa"/>
                  <w:tcBorders>
                    <w:top w:val="single" w:sz="4" w:space="0" w:color="auto"/>
                    <w:left w:val="nil"/>
                    <w:bottom w:val="nil"/>
                    <w:right w:val="nil"/>
                  </w:tcBorders>
                  <w:shd w:val="clear" w:color="auto" w:fill="FFFFFF" w:themeFill="background1"/>
                  <w:tcMar>
                    <w:left w:w="72" w:type="dxa"/>
                    <w:right w:w="72" w:type="dxa"/>
                  </w:tcMar>
                </w:tcPr>
                <w:p w14:paraId="768EF3E5" w14:textId="77777777" w:rsidR="00D10B74" w:rsidRPr="005D4222" w:rsidRDefault="00D10B74">
                  <w:pPr>
                    <w:pStyle w:val="TableText"/>
                    <w:spacing w:before="40" w:after="40"/>
                    <w:rPr>
                      <w:rFonts w:cs="Arial"/>
                      <w:bCs/>
                      <w:szCs w:val="21"/>
                    </w:rPr>
                  </w:pPr>
                </w:p>
              </w:tc>
              <w:tc>
                <w:tcPr>
                  <w:tcW w:w="189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652F86B5" w14:textId="77777777" w:rsidR="00D10B74" w:rsidRPr="005D4222" w:rsidRDefault="00D10B74">
                  <w:pPr>
                    <w:pStyle w:val="TableText"/>
                    <w:spacing w:before="40" w:after="40"/>
                    <w:rPr>
                      <w:rFonts w:cs="Arial"/>
                      <w:bCs/>
                      <w:szCs w:val="21"/>
                    </w:rPr>
                  </w:pPr>
                  <w:r w:rsidRPr="005D4222">
                    <w:rPr>
                      <w:rFonts w:cs="Arial"/>
                      <w:bCs/>
                      <w:szCs w:val="21"/>
                    </w:rPr>
                    <w:t>AskedButNoAnswer</w:t>
                  </w:r>
                </w:p>
              </w:tc>
              <w:tc>
                <w:tcPr>
                  <w:tcW w:w="17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6B4FCAF5" w14:textId="77777777" w:rsidR="00D10B74" w:rsidRPr="005D4222" w:rsidRDefault="00D10B74">
                  <w:pPr>
                    <w:pStyle w:val="TableText"/>
                    <w:spacing w:before="40" w:after="40"/>
                    <w:rPr>
                      <w:rFonts w:cs="Arial"/>
                      <w:bCs/>
                      <w:szCs w:val="21"/>
                    </w:rPr>
                  </w:pPr>
                  <w:r w:rsidRPr="005D4222">
                    <w:rPr>
                      <w:rFonts w:cs="Arial"/>
                      <w:bCs/>
                      <w:szCs w:val="21"/>
                    </w:rPr>
                    <w:t>Rate</w:t>
                  </w:r>
                </w:p>
              </w:tc>
              <w:tc>
                <w:tcPr>
                  <w:tcW w:w="204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6F2A06D9" w14:textId="77777777" w:rsidR="00D10B74" w:rsidRPr="005D4222" w:rsidRDefault="00D10B74">
                  <w:pPr>
                    <w:pStyle w:val="TableText"/>
                    <w:spacing w:before="40" w:after="40"/>
                    <w:rPr>
                      <w:rFonts w:eastAsia="Wingdings" w:cs="Arial"/>
                      <w:bCs/>
                      <w:szCs w:val="21"/>
                    </w:rPr>
                  </w:pPr>
                  <w:r w:rsidRPr="005D4222">
                    <w:rPr>
                      <w:rFonts w:eastAsia="Wingdings" w:cs="Arial"/>
                      <w:bCs/>
                      <w:szCs w:val="21"/>
                    </w:rPr>
                    <w:t>(Percent)</w:t>
                  </w:r>
                </w:p>
              </w:tc>
            </w:tr>
            <w:tr w:rsidR="00D10B74" w:rsidRPr="005D4222" w14:paraId="5E3CD1F9" w14:textId="77777777">
              <w:tc>
                <w:tcPr>
                  <w:tcW w:w="1664" w:type="dxa"/>
                  <w:tcBorders>
                    <w:top w:val="nil"/>
                    <w:left w:val="nil"/>
                    <w:bottom w:val="nil"/>
                    <w:right w:val="nil"/>
                  </w:tcBorders>
                  <w:shd w:val="clear" w:color="auto" w:fill="FFFFFF" w:themeFill="background1"/>
                  <w:tcMar>
                    <w:left w:w="72" w:type="dxa"/>
                    <w:right w:w="72" w:type="dxa"/>
                  </w:tcMar>
                </w:tcPr>
                <w:p w14:paraId="00ABE118" w14:textId="77777777" w:rsidR="00D10B74" w:rsidRPr="005D4222" w:rsidRDefault="00D10B74">
                  <w:pPr>
                    <w:pStyle w:val="TableText"/>
                    <w:spacing w:before="40" w:after="40"/>
                    <w:rPr>
                      <w:rFonts w:cs="Arial"/>
                      <w:bCs/>
                      <w:szCs w:val="21"/>
                    </w:rPr>
                  </w:pPr>
                </w:p>
              </w:tc>
              <w:tc>
                <w:tcPr>
                  <w:tcW w:w="189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5CE7139C" w14:textId="77777777" w:rsidR="00D10B74" w:rsidRPr="005D4222" w:rsidRDefault="00D10B74">
                  <w:pPr>
                    <w:pStyle w:val="TableText"/>
                    <w:spacing w:before="40" w:after="40"/>
                    <w:rPr>
                      <w:rFonts w:cs="Arial"/>
                      <w:bCs/>
                      <w:szCs w:val="21"/>
                    </w:rPr>
                  </w:pPr>
                  <w:r w:rsidRPr="005D4222">
                    <w:rPr>
                      <w:rFonts w:cs="Arial"/>
                      <w:bCs/>
                      <w:szCs w:val="21"/>
                    </w:rPr>
                    <w:t>Unknown</w:t>
                  </w:r>
                </w:p>
              </w:tc>
              <w:tc>
                <w:tcPr>
                  <w:tcW w:w="1734" w:type="dxa"/>
                  <w:tcBorders>
                    <w:top w:val="single" w:sz="4" w:space="0" w:color="auto"/>
                    <w:left w:val="single" w:sz="4" w:space="0" w:color="auto"/>
                    <w:bottom w:val="nil"/>
                    <w:right w:val="nil"/>
                  </w:tcBorders>
                  <w:tcMar>
                    <w:left w:w="72" w:type="dxa"/>
                    <w:right w:w="72" w:type="dxa"/>
                  </w:tcMar>
                </w:tcPr>
                <w:p w14:paraId="27E822DD" w14:textId="77777777" w:rsidR="00D10B74" w:rsidRPr="005D4222" w:rsidRDefault="00D10B74">
                  <w:pPr>
                    <w:pStyle w:val="TableText"/>
                    <w:spacing w:before="40" w:after="40"/>
                    <w:rPr>
                      <w:rFonts w:cs="Arial"/>
                      <w:bCs/>
                      <w:szCs w:val="21"/>
                    </w:rPr>
                  </w:pPr>
                </w:p>
              </w:tc>
              <w:tc>
                <w:tcPr>
                  <w:tcW w:w="2046" w:type="dxa"/>
                  <w:tcBorders>
                    <w:top w:val="single" w:sz="4" w:space="0" w:color="auto"/>
                    <w:left w:val="nil"/>
                    <w:bottom w:val="nil"/>
                    <w:right w:val="nil"/>
                  </w:tcBorders>
                  <w:tcMar>
                    <w:left w:w="72" w:type="dxa"/>
                    <w:right w:w="72" w:type="dxa"/>
                  </w:tcMar>
                </w:tcPr>
                <w:p w14:paraId="0F8E3967" w14:textId="77777777" w:rsidR="00D10B74" w:rsidRPr="005D4222" w:rsidRDefault="00D10B74">
                  <w:pPr>
                    <w:pStyle w:val="TableText"/>
                    <w:spacing w:before="40" w:after="40"/>
                    <w:rPr>
                      <w:rFonts w:eastAsia="Wingdings" w:cs="Arial"/>
                      <w:bCs/>
                      <w:szCs w:val="21"/>
                    </w:rPr>
                  </w:pPr>
                </w:p>
              </w:tc>
            </w:tr>
          </w:tbl>
          <w:p w14:paraId="5E502814" w14:textId="77777777" w:rsidR="00D10B74" w:rsidRPr="005D4222" w:rsidRDefault="00D10B74">
            <w:pPr>
              <w:pStyle w:val="Body"/>
              <w:rPr>
                <w:b/>
                <w:i/>
              </w:rPr>
            </w:pPr>
          </w:p>
        </w:tc>
      </w:tr>
      <w:tr w:rsidR="00D10B74" w:rsidRPr="005D4222" w14:paraId="18CDE2F9" w14:textId="77777777">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F3A9B0D" w14:textId="77777777" w:rsidR="00D10B74" w:rsidRPr="005D4222" w:rsidRDefault="00D10B74">
            <w:pPr>
              <w:pStyle w:val="ECDSMarginHead"/>
            </w:pPr>
            <w:r w:rsidRPr="005D4222">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65B3D81" w14:textId="77777777" w:rsidR="00D10B74" w:rsidRPr="005D4222" w:rsidRDefault="00D10B74">
            <w:pPr>
              <w:pStyle w:val="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55535A66" w14:textId="77777777" w:rsidR="00D10B74" w:rsidRPr="005D4222" w:rsidRDefault="00D10B74">
            <w:pPr>
              <w:pStyle w:val="Body"/>
              <w:rPr>
                <w:b/>
              </w:rPr>
            </w:pPr>
            <w:r w:rsidRPr="005D4222">
              <w:rPr>
                <w:b/>
              </w:rPr>
              <w:t>Adjusted HEDIS measures may not be used for HEDIS health plan reporting.</w:t>
            </w:r>
          </w:p>
          <w:p w14:paraId="79BFE167" w14:textId="77777777" w:rsidR="00D10B74" w:rsidRPr="005D4222" w:rsidRDefault="00D10B74">
            <w:pPr>
              <w:pStyle w:val="Adjustments"/>
              <w:rPr>
                <w:b w:val="0"/>
              </w:rPr>
            </w:pPr>
            <w:r w:rsidRPr="005D4222">
              <w:t>Adjustments</w:t>
            </w:r>
            <w:r w:rsidRPr="005D4222">
              <w:rPr>
                <w:bCs/>
              </w:rPr>
              <w:t xml:space="preserve"> a</w:t>
            </w:r>
            <w:r w:rsidRPr="005D4222">
              <w:t>llowed</w:t>
            </w:r>
          </w:p>
          <w:p w14:paraId="51373144" w14:textId="77777777" w:rsidR="00D10B74" w:rsidRPr="005D4222" w:rsidRDefault="00D10B74" w:rsidP="005D6173">
            <w:pPr>
              <w:pStyle w:val="ProcessBullet"/>
              <w:numPr>
                <w:ilvl w:val="0"/>
                <w:numId w:val="63"/>
              </w:numPr>
              <w:ind w:left="216" w:hanging="216"/>
            </w:pPr>
            <w:r w:rsidRPr="005D4222">
              <w:rPr>
                <w:i/>
                <w:iCs/>
              </w:rPr>
              <w:t>Product lines</w:t>
            </w:r>
            <w:r w:rsidRPr="005D4222">
              <w:t>. Organizations are not required to use product line criteria; product lines may be combined, and all (or no) product line criteria may be used.</w:t>
            </w:r>
          </w:p>
          <w:p w14:paraId="70C97DCE" w14:textId="77777777" w:rsidR="00D10B74" w:rsidRPr="005D4222" w:rsidRDefault="00D10B74" w:rsidP="005D6173">
            <w:pPr>
              <w:pStyle w:val="ProcessBullet"/>
              <w:numPr>
                <w:ilvl w:val="0"/>
                <w:numId w:val="63"/>
              </w:numPr>
              <w:ind w:left="216" w:hanging="216"/>
            </w:pPr>
            <w:r w:rsidRPr="005D4222">
              <w:rPr>
                <w:i/>
                <w:iCs/>
              </w:rPr>
              <w:t>Attribution</w:t>
            </w:r>
            <w:r w:rsidRPr="005D4222">
              <w:t>. Organizations are not required to use enrollment criteria.</w:t>
            </w:r>
          </w:p>
          <w:p w14:paraId="7CEC292A" w14:textId="77777777" w:rsidR="00D10B74" w:rsidRPr="005D4222" w:rsidRDefault="00D10B74" w:rsidP="005D6173">
            <w:pPr>
              <w:pStyle w:val="ProcessBullet"/>
              <w:numPr>
                <w:ilvl w:val="0"/>
                <w:numId w:val="63"/>
              </w:numPr>
              <w:ind w:left="216" w:hanging="216"/>
            </w:pPr>
            <w:r w:rsidRPr="005D4222">
              <w:rPr>
                <w:i/>
                <w:iCs/>
              </w:rPr>
              <w:t>Benefits</w:t>
            </w:r>
            <w:r w:rsidRPr="005D4222">
              <w:t>. Organizations are not required to use a benefit.</w:t>
            </w:r>
          </w:p>
          <w:p w14:paraId="7F7311A3" w14:textId="3601EB5D" w:rsidR="00EB6E6B" w:rsidRPr="005D4222" w:rsidRDefault="00EB6E6B" w:rsidP="00EB6E6B">
            <w:pPr>
              <w:pStyle w:val="ProcessBullet"/>
              <w:numPr>
                <w:ilvl w:val="0"/>
                <w:numId w:val="63"/>
              </w:numPr>
              <w:ind w:left="216" w:hanging="216"/>
            </w:pPr>
            <w:r w:rsidRPr="005D4222">
              <w:rPr>
                <w:i/>
                <w:iCs/>
              </w:rPr>
              <w:t>Ages.</w:t>
            </w:r>
            <w:r w:rsidRPr="005D4222">
              <w:t xml:space="preserve"> </w:t>
            </w:r>
            <w:r w:rsidRPr="005D4222">
              <w:rPr>
                <w:rFonts w:eastAsia="Arial"/>
              </w:rPr>
              <w:t xml:space="preserve">The denominator age range may be expanded. </w:t>
            </w:r>
            <w:r w:rsidRPr="005D4222">
              <w:t>The age determination date(s) may be changed (i.e., age 13 as of ED visit).</w:t>
            </w:r>
          </w:p>
          <w:p w14:paraId="0AF42EAA" w14:textId="77777777" w:rsidR="00D10B74" w:rsidRPr="005D4222" w:rsidRDefault="00D10B74" w:rsidP="005D6173">
            <w:pPr>
              <w:pStyle w:val="ProcessBullet"/>
              <w:numPr>
                <w:ilvl w:val="0"/>
                <w:numId w:val="63"/>
              </w:numPr>
              <w:ind w:left="216" w:hanging="216"/>
            </w:pPr>
            <w:r w:rsidRPr="005D4222">
              <w:rPr>
                <w:i/>
                <w:iCs/>
              </w:rPr>
              <w:t>Other</w:t>
            </w:r>
            <w:r w:rsidRPr="005D4222">
              <w:t xml:space="preserve">. Organizations may use additional initial population criteria to focus on an area of interest defined by gender, race, ethnicity, socioeconomic or sociodemographic characteristics, geographic region, or another characteristic. </w:t>
            </w:r>
          </w:p>
          <w:p w14:paraId="54AEF3B8" w14:textId="77777777" w:rsidR="00D10B74" w:rsidRPr="005D4222" w:rsidRDefault="00D10B74" w:rsidP="005D6173">
            <w:pPr>
              <w:pStyle w:val="ProcessBullet"/>
              <w:numPr>
                <w:ilvl w:val="0"/>
                <w:numId w:val="63"/>
              </w:numPr>
              <w:ind w:left="216" w:hanging="216"/>
            </w:pPr>
            <w:r w:rsidRPr="005D4222">
              <w:rPr>
                <w:i/>
                <w:iCs/>
              </w:rPr>
              <w:t>Measurement period adjustments</w:t>
            </w:r>
            <w:r w:rsidRPr="005D4222">
              <w:t xml:space="preserve">. Organizations may adjust the measurement period. </w:t>
            </w:r>
          </w:p>
          <w:p w14:paraId="56C8AA04" w14:textId="77777777" w:rsidR="00D10B74" w:rsidRPr="005D4222" w:rsidRDefault="00D10B74" w:rsidP="005D6173">
            <w:pPr>
              <w:pStyle w:val="ProcessBullet"/>
              <w:numPr>
                <w:ilvl w:val="0"/>
                <w:numId w:val="63"/>
              </w:numPr>
              <w:ind w:left="216" w:hanging="216"/>
              <w:rPr>
                <w:color w:val="000000" w:themeColor="text1"/>
              </w:rPr>
            </w:pPr>
            <w:r w:rsidRPr="005D4222">
              <w:rPr>
                <w:i/>
                <w:iCs/>
                <w:color w:val="000000" w:themeColor="text1"/>
              </w:rPr>
              <w:t xml:space="preserve">Stratifications: </w:t>
            </w:r>
            <w:r w:rsidRPr="005D4222">
              <w:rPr>
                <w:color w:val="000000" w:themeColor="text1"/>
              </w:rPr>
              <w:t>Race and ethnicity stratification. The race and ethnicity stratification is</w:t>
            </w:r>
            <w:r w:rsidRPr="005D4222" w:rsidDel="00CB3932">
              <w:rPr>
                <w:color w:val="000000" w:themeColor="text1"/>
              </w:rPr>
              <w:t xml:space="preserve"> </w:t>
            </w:r>
            <w:r w:rsidRPr="005D4222">
              <w:rPr>
                <w:color w:val="000000" w:themeColor="text1"/>
              </w:rPr>
              <w:t>not required. Organizations may adjust this stratification as needed.</w:t>
            </w:r>
          </w:p>
          <w:p w14:paraId="6B2F42ED" w14:textId="77777777" w:rsidR="00D10B74" w:rsidRPr="005D4222" w:rsidRDefault="00D10B74" w:rsidP="005D6173">
            <w:pPr>
              <w:pStyle w:val="ProcessBullet"/>
              <w:numPr>
                <w:ilvl w:val="0"/>
                <w:numId w:val="63"/>
              </w:numPr>
              <w:ind w:left="216" w:hanging="216"/>
            </w:pPr>
            <w:r w:rsidRPr="005D4222">
              <w:rPr>
                <w:i/>
                <w:iCs/>
              </w:rPr>
              <w:t>Exclusions</w:t>
            </w:r>
            <w:r w:rsidRPr="005D4222">
              <w:t xml:space="preserve">. The hospice and deceased person exclusions are not required. </w:t>
            </w:r>
          </w:p>
          <w:p w14:paraId="0F277862" w14:textId="77777777" w:rsidR="00D10B74" w:rsidRPr="005D4222" w:rsidRDefault="00D10B74" w:rsidP="005D6173">
            <w:pPr>
              <w:pStyle w:val="ProcessBullet"/>
              <w:numPr>
                <w:ilvl w:val="0"/>
                <w:numId w:val="63"/>
              </w:numPr>
              <w:ind w:left="216" w:hanging="216"/>
            </w:pPr>
            <w:r w:rsidRPr="005D4222">
              <w:rPr>
                <w:i/>
                <w:iCs/>
              </w:rPr>
              <w:t>Telehealth</w:t>
            </w:r>
            <w:r w:rsidRPr="005D4222">
              <w:t>.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78420BDC" w14:textId="77777777" w:rsidR="00D10B74" w:rsidRPr="005D4222" w:rsidRDefault="00D10B74" w:rsidP="005D6173">
            <w:pPr>
              <w:pStyle w:val="ProcessBullet"/>
              <w:numPr>
                <w:ilvl w:val="0"/>
                <w:numId w:val="64"/>
              </w:numPr>
              <w:spacing w:after="80"/>
              <w:ind w:left="216" w:hanging="216"/>
              <w:rPr>
                <w:i/>
                <w:iCs/>
              </w:rPr>
            </w:pPr>
            <w:r w:rsidRPr="005D4222">
              <w:rPr>
                <w:i/>
                <w:iCs/>
              </w:rPr>
              <w:t xml:space="preserve">Supplemental data. </w:t>
            </w:r>
            <w:r w:rsidRPr="005D4222">
              <w:t>Supplemental data may be used to identify initial population, denominator, exclusion and numerator events.</w:t>
            </w:r>
          </w:p>
        </w:tc>
      </w:tr>
    </w:tbl>
    <w:p w14:paraId="2D891B3D" w14:textId="77777777" w:rsidR="00D10B74" w:rsidRPr="005D4222" w:rsidRDefault="00D10B74" w:rsidP="00D10B74"/>
    <w:p w14:paraId="7FE6B026" w14:textId="77777777" w:rsidR="00D10B74" w:rsidRPr="005D4222" w:rsidRDefault="00D10B74" w:rsidP="00D10B74">
      <w:pPr>
        <w:spacing w:after="160" w:line="259" w:lineRule="auto"/>
      </w:pPr>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D10B74" w:rsidRPr="005D4222" w14:paraId="76FAF1A8" w14:textId="77777777">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0009C76" w14:textId="77777777" w:rsidR="00D10B74" w:rsidRPr="005D4222" w:rsidRDefault="00D10B74">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27F420B" w14:textId="77777777" w:rsidR="00D10B74" w:rsidRPr="005D4222" w:rsidRDefault="00D10B74" w:rsidP="00D57A25">
            <w:pPr>
              <w:pStyle w:val="Adjustments"/>
              <w:spacing w:before="120"/>
              <w:rPr>
                <w:b w:val="0"/>
              </w:rPr>
            </w:pPr>
            <w:r w:rsidRPr="005D4222">
              <w:t xml:space="preserve">Adjustments </w:t>
            </w:r>
            <w:r w:rsidRPr="005D4222">
              <w:rPr>
                <w:bCs/>
              </w:rPr>
              <w:t>a</w:t>
            </w:r>
            <w:r w:rsidRPr="005D4222">
              <w:t xml:space="preserve">llowed with </w:t>
            </w:r>
            <w:r w:rsidRPr="005D4222">
              <w:rPr>
                <w:bCs/>
              </w:rPr>
              <w:t>l</w:t>
            </w:r>
            <w:r w:rsidRPr="005D4222">
              <w:t>imits</w:t>
            </w:r>
          </w:p>
          <w:p w14:paraId="27157E68" w14:textId="77777777" w:rsidR="00D10B74" w:rsidRPr="005D4222" w:rsidRDefault="00D10B74" w:rsidP="005D6173">
            <w:pPr>
              <w:pStyle w:val="ProcessBullet"/>
              <w:numPr>
                <w:ilvl w:val="0"/>
                <w:numId w:val="65"/>
              </w:numPr>
              <w:ind w:left="216" w:hanging="216"/>
            </w:pPr>
            <w:r w:rsidRPr="005D4222">
              <w:rPr>
                <w:i/>
                <w:iCs/>
              </w:rPr>
              <w:t xml:space="preserve">Initial population: </w:t>
            </w:r>
            <w:r w:rsidRPr="005D4222">
              <w:t>Event.</w:t>
            </w:r>
            <w:r w:rsidRPr="005D4222">
              <w:rPr>
                <w:i/>
                <w:iCs/>
              </w:rPr>
              <w:t xml:space="preserve"> </w:t>
            </w:r>
            <w:r w:rsidRPr="005D4222">
              <w:t>Only events/diagnoses that contain (or map to) codes in the value sets may be used to identify visits with a diagnosis. Value sets and logic may not be changed.</w:t>
            </w:r>
          </w:p>
          <w:p w14:paraId="7E9F3086" w14:textId="77777777" w:rsidR="00D10B74" w:rsidRPr="005D4222" w:rsidRDefault="00D10B74" w:rsidP="003C5FB7">
            <w:pPr>
              <w:pStyle w:val="Note"/>
              <w:spacing w:before="80"/>
              <w:ind w:left="216"/>
              <w:rPr>
                <w:b/>
                <w:bCs/>
              </w:rPr>
            </w:pPr>
            <w:r w:rsidRPr="005D4222">
              <w:rPr>
                <w:b/>
                <w:bCs/>
              </w:rPr>
              <w:t xml:space="preserve">Note: </w:t>
            </w:r>
            <w:r w:rsidRPr="005D4222">
              <w:t xml:space="preserve">Organizations may assess at the person level by applying measure logic appropriately (i.e., percentage of persons with documentation of an ED visit, with a principal diagnosis of SUD or any diagnosis of unintentional drug overdose, who had a follow-up visit). </w:t>
            </w:r>
          </w:p>
          <w:p w14:paraId="3C156F3A" w14:textId="77777777" w:rsidR="00D10B74" w:rsidRPr="005D4222" w:rsidRDefault="00D10B74">
            <w:pPr>
              <w:pStyle w:val="Adjustments"/>
              <w:rPr>
                <w:b w:val="0"/>
              </w:rPr>
            </w:pPr>
            <w:r w:rsidRPr="005D4222">
              <w:t xml:space="preserve">Adjustments </w:t>
            </w:r>
            <w:r w:rsidRPr="005D4222">
              <w:rPr>
                <w:bCs/>
              </w:rPr>
              <w:t>not allowed</w:t>
            </w:r>
          </w:p>
          <w:p w14:paraId="1D58E94D" w14:textId="77777777" w:rsidR="00D10B74" w:rsidRPr="005D4222" w:rsidRDefault="00D10B74" w:rsidP="005D6173">
            <w:pPr>
              <w:pStyle w:val="ProcessBullet"/>
              <w:numPr>
                <w:ilvl w:val="0"/>
                <w:numId w:val="66"/>
              </w:numPr>
              <w:spacing w:after="80"/>
              <w:ind w:left="216" w:hanging="216"/>
              <w:rPr>
                <w:b/>
                <w:i/>
              </w:rPr>
            </w:pPr>
            <w:r w:rsidRPr="005D4222">
              <w:rPr>
                <w:i/>
                <w:iCs/>
              </w:rPr>
              <w:t>Numerator.</w:t>
            </w:r>
            <w:r w:rsidRPr="005D4222">
              <w:t xml:space="preserve"> Value sets, medication lists and logic may not be changed.</w:t>
            </w:r>
          </w:p>
        </w:tc>
      </w:tr>
    </w:tbl>
    <w:p w14:paraId="41A6579A" w14:textId="77777777" w:rsidR="00857835" w:rsidRPr="005D4222" w:rsidRDefault="00857835" w:rsidP="005B3667">
      <w:pPr>
        <w:pStyle w:val="ECDSBody"/>
        <w:sectPr w:rsidR="00857835" w:rsidRPr="005D4222" w:rsidSect="0074514A">
          <w:headerReference w:type="default" r:id="rId121"/>
          <w:type w:val="nextColumn"/>
          <w:pgSz w:w="12240" w:h="15840" w:code="1"/>
          <w:pgMar w:top="1080" w:right="1080" w:bottom="1080" w:left="1440" w:header="720" w:footer="720" w:gutter="0"/>
          <w:cols w:space="720"/>
          <w:docGrid w:linePitch="360"/>
        </w:sectPr>
      </w:pPr>
    </w:p>
    <w:p w14:paraId="3EA4D60C" w14:textId="511F53AB" w:rsidR="005B3667" w:rsidRPr="005D4222" w:rsidRDefault="00C208BB" w:rsidP="00C208BB">
      <w:pPr>
        <w:pStyle w:val="MeasureTitle"/>
      </w:pPr>
      <w:bookmarkStart w:id="304" w:name="_Toc201813414"/>
      <w:r w:rsidRPr="005D4222">
        <w:lastRenderedPageBreak/>
        <w:t>Pharmacotherapy for Opioid Use Disorder</w:t>
      </w:r>
      <w:r w:rsidR="0096709F" w:rsidRPr="005D4222">
        <w:t xml:space="preserve"> (POD)</w:t>
      </w:r>
      <w:bookmarkEnd w:id="304"/>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5351"/>
        <w:gridCol w:w="1486"/>
        <w:gridCol w:w="720"/>
      </w:tblGrid>
      <w:tr w:rsidR="0070488F" w:rsidRPr="005D4222" w14:paraId="486DE23F" w14:textId="77777777">
        <w:tc>
          <w:tcPr>
            <w:tcW w:w="2157" w:type="dxa"/>
            <w:shd w:val="clear" w:color="auto" w:fill="BFBFBF" w:themeFill="background1" w:themeFillShade="BF"/>
            <w:tcMar>
              <w:top w:w="0" w:type="dxa"/>
              <w:left w:w="86" w:type="dxa"/>
              <w:bottom w:w="43" w:type="dxa"/>
              <w:right w:w="86" w:type="dxa"/>
            </w:tcMar>
            <w:hideMark/>
          </w:tcPr>
          <w:p w14:paraId="348A967D" w14:textId="77777777" w:rsidR="0070488F" w:rsidRPr="005D4222" w:rsidRDefault="0070488F">
            <w:pPr>
              <w:pStyle w:val="ECDSMarginHead"/>
            </w:pPr>
            <w:r w:rsidRPr="005D4222">
              <w:t>Measure title</w:t>
            </w:r>
          </w:p>
        </w:tc>
        <w:tc>
          <w:tcPr>
            <w:tcW w:w="5351" w:type="dxa"/>
            <w:tcMar>
              <w:top w:w="0" w:type="dxa"/>
              <w:left w:w="86" w:type="dxa"/>
              <w:bottom w:w="43" w:type="dxa"/>
              <w:right w:w="86" w:type="dxa"/>
            </w:tcMar>
          </w:tcPr>
          <w:p w14:paraId="43BBF80D" w14:textId="77777777" w:rsidR="0070488F" w:rsidRPr="005D4222" w:rsidRDefault="0070488F">
            <w:pPr>
              <w:pStyle w:val="ECDSBody"/>
            </w:pPr>
            <w:r w:rsidRPr="005D4222">
              <w:t>Pharmacotherapy for Opioid Use Disorder</w:t>
            </w:r>
            <w:r w:rsidRPr="005D4222">
              <w:rPr>
                <w:b/>
              </w:rPr>
              <w:t>*</w:t>
            </w:r>
          </w:p>
        </w:tc>
        <w:tc>
          <w:tcPr>
            <w:tcW w:w="1486" w:type="dxa"/>
            <w:shd w:val="clear" w:color="auto" w:fill="BFBFBF" w:themeFill="background1" w:themeFillShade="BF"/>
            <w:tcMar>
              <w:top w:w="0" w:type="dxa"/>
              <w:left w:w="86" w:type="dxa"/>
              <w:bottom w:w="43" w:type="dxa"/>
              <w:right w:w="86" w:type="dxa"/>
            </w:tcMar>
          </w:tcPr>
          <w:p w14:paraId="1D27DEDF" w14:textId="77777777" w:rsidR="0070488F" w:rsidRPr="005D4222" w:rsidRDefault="0070488F" w:rsidP="006F2F36">
            <w:pPr>
              <w:pStyle w:val="ECDSMarginHead"/>
            </w:pPr>
            <w:r w:rsidRPr="005D4222">
              <w:t>Measure ID</w:t>
            </w:r>
          </w:p>
        </w:tc>
        <w:tc>
          <w:tcPr>
            <w:tcW w:w="720" w:type="dxa"/>
            <w:tcMar>
              <w:top w:w="0" w:type="dxa"/>
              <w:left w:w="86" w:type="dxa"/>
              <w:bottom w:w="43" w:type="dxa"/>
              <w:right w:w="86" w:type="dxa"/>
            </w:tcMar>
          </w:tcPr>
          <w:p w14:paraId="1D9DC3D1" w14:textId="77777777" w:rsidR="0070488F" w:rsidRPr="005D4222" w:rsidRDefault="0070488F">
            <w:pPr>
              <w:pStyle w:val="ECDSBody"/>
            </w:pPr>
            <w:r w:rsidRPr="005D4222">
              <w:t>POD</w:t>
            </w:r>
          </w:p>
        </w:tc>
      </w:tr>
      <w:tr w:rsidR="0070488F" w:rsidRPr="005D4222" w14:paraId="12A8716E" w14:textId="77777777">
        <w:tc>
          <w:tcPr>
            <w:tcW w:w="2157" w:type="dxa"/>
            <w:shd w:val="clear" w:color="auto" w:fill="BFBFBF" w:themeFill="background1" w:themeFillShade="BF"/>
            <w:tcMar>
              <w:top w:w="0" w:type="dxa"/>
              <w:left w:w="86" w:type="dxa"/>
              <w:bottom w:w="43" w:type="dxa"/>
              <w:right w:w="86" w:type="dxa"/>
            </w:tcMar>
            <w:hideMark/>
          </w:tcPr>
          <w:p w14:paraId="3A8D6301" w14:textId="77777777" w:rsidR="0070488F" w:rsidRPr="005D4222" w:rsidRDefault="0070488F">
            <w:pPr>
              <w:pStyle w:val="ECDSMarginHead"/>
            </w:pPr>
            <w:r w:rsidRPr="005D4222">
              <w:t>Description</w:t>
            </w:r>
          </w:p>
        </w:tc>
        <w:tc>
          <w:tcPr>
            <w:tcW w:w="7557" w:type="dxa"/>
            <w:gridSpan w:val="3"/>
            <w:tcMar>
              <w:top w:w="0" w:type="dxa"/>
              <w:left w:w="86" w:type="dxa"/>
              <w:bottom w:w="43" w:type="dxa"/>
              <w:right w:w="86" w:type="dxa"/>
            </w:tcMar>
          </w:tcPr>
          <w:p w14:paraId="5D1BE837" w14:textId="77777777" w:rsidR="0070488F" w:rsidRPr="005D4222" w:rsidRDefault="0070488F">
            <w:pPr>
              <w:pStyle w:val="ECDSBody"/>
            </w:pPr>
            <w:r w:rsidRPr="005D4222">
              <w:t>The percentage of opioid use disorder (OUD) pharmacotherapy events that lasted at least 180 days among persons 16 years of age and older with a diagnosis of OUD and a new OUD pharmacotherapy event.</w:t>
            </w:r>
          </w:p>
        </w:tc>
      </w:tr>
      <w:tr w:rsidR="0070488F" w:rsidRPr="005D4222" w14:paraId="1776CA5B" w14:textId="77777777">
        <w:tc>
          <w:tcPr>
            <w:tcW w:w="2157" w:type="dxa"/>
            <w:shd w:val="clear" w:color="auto" w:fill="BFBFBF" w:themeFill="background1" w:themeFillShade="BF"/>
            <w:tcMar>
              <w:top w:w="0" w:type="dxa"/>
              <w:left w:w="86" w:type="dxa"/>
              <w:bottom w:w="43" w:type="dxa"/>
              <w:right w:w="86" w:type="dxa"/>
            </w:tcMar>
          </w:tcPr>
          <w:p w14:paraId="63144E91" w14:textId="77777777" w:rsidR="0070488F" w:rsidRPr="005D4222" w:rsidRDefault="0070488F">
            <w:pPr>
              <w:pStyle w:val="ECDSMarginHead"/>
            </w:pPr>
            <w:r w:rsidRPr="005D4222">
              <w:t>Measurement period</w:t>
            </w:r>
          </w:p>
        </w:tc>
        <w:tc>
          <w:tcPr>
            <w:tcW w:w="7557" w:type="dxa"/>
            <w:gridSpan w:val="3"/>
            <w:tcMar>
              <w:top w:w="0" w:type="dxa"/>
              <w:left w:w="86" w:type="dxa"/>
              <w:bottom w:w="43" w:type="dxa"/>
              <w:right w:w="86" w:type="dxa"/>
            </w:tcMar>
          </w:tcPr>
          <w:p w14:paraId="1D170711" w14:textId="77777777" w:rsidR="0070488F" w:rsidRPr="005D4222" w:rsidRDefault="0070488F">
            <w:pPr>
              <w:pStyle w:val="ECDSBody"/>
            </w:pPr>
            <w:r w:rsidRPr="005D4222">
              <w:t>January 1–December 31.</w:t>
            </w:r>
            <w:r w:rsidRPr="005D4222">
              <w:rPr>
                <w:szCs w:val="21"/>
              </w:rPr>
              <w:t xml:space="preserve"> </w:t>
            </w:r>
          </w:p>
        </w:tc>
      </w:tr>
      <w:tr w:rsidR="0070488F" w:rsidRPr="005D4222" w14:paraId="6B8481EF" w14:textId="77777777">
        <w:tc>
          <w:tcPr>
            <w:tcW w:w="2157" w:type="dxa"/>
            <w:shd w:val="clear" w:color="auto" w:fill="BFBFBF" w:themeFill="background1" w:themeFillShade="BF"/>
            <w:tcMar>
              <w:top w:w="0" w:type="dxa"/>
              <w:left w:w="86" w:type="dxa"/>
              <w:bottom w:w="43" w:type="dxa"/>
              <w:right w:w="86" w:type="dxa"/>
            </w:tcMar>
            <w:hideMark/>
          </w:tcPr>
          <w:p w14:paraId="433DBADB" w14:textId="77777777" w:rsidR="0070488F" w:rsidRPr="005D4222" w:rsidRDefault="0070488F">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32364D6F" w14:textId="77777777" w:rsidR="0070488F" w:rsidRPr="005D4222" w:rsidRDefault="0070488F">
            <w:pPr>
              <w:pStyle w:val="ECDSBody"/>
              <w:ind w:left="92" w:hanging="92"/>
              <w:rPr>
                <w:i/>
                <w:iCs/>
              </w:rPr>
            </w:pPr>
            <w:r w:rsidRPr="005D4222">
              <w:rPr>
                <w:bCs w:val="0"/>
                <w:szCs w:val="21"/>
              </w:rPr>
              <w:t>*</w:t>
            </w:r>
            <w:r w:rsidRPr="005D4222">
              <w:rPr>
                <w:b/>
                <w:szCs w:val="21"/>
              </w:rPr>
              <w:tab/>
            </w:r>
            <w:r w:rsidRPr="005D4222">
              <w:rPr>
                <w:i/>
                <w:iCs/>
                <w:szCs w:val="21"/>
              </w:rPr>
              <w:t>Adapted with permission by NCQA from the “Continuity of Pharmacotherapy for Opioid Use Disorder” measure owned by The RAND Corporation.</w:t>
            </w:r>
          </w:p>
          <w:p w14:paraId="6845680C" w14:textId="77777777" w:rsidR="0070488F" w:rsidRPr="005D4222" w:rsidRDefault="0070488F">
            <w:pPr>
              <w:pStyle w:val="ECDSBody"/>
            </w:pPr>
            <w:r w:rsidRPr="005D4222">
              <w:t xml:space="preserve">Refer to the complete copyright and disclaimer information at the front of this publication. </w:t>
            </w:r>
          </w:p>
          <w:p w14:paraId="49B59490" w14:textId="77777777" w:rsidR="0070488F" w:rsidRPr="005D4222" w:rsidRDefault="0070488F">
            <w:pPr>
              <w:pStyle w:val="ECDSBody"/>
              <w:spacing w:before="80"/>
            </w:pPr>
            <w:r w:rsidRPr="005D4222">
              <w:t xml:space="preserve">NCQA website: </w:t>
            </w:r>
            <w:r w:rsidRPr="005D4222">
              <w:rPr>
                <w:u w:val="single"/>
              </w:rPr>
              <w:t>www.ncqa.org</w:t>
            </w:r>
            <w:r w:rsidRPr="005D4222">
              <w:t xml:space="preserve">.  </w:t>
            </w:r>
          </w:p>
          <w:p w14:paraId="561129FC" w14:textId="77777777" w:rsidR="0070488F" w:rsidRPr="005D4222" w:rsidRDefault="0070488F">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70488F" w:rsidRPr="005D4222" w14:paraId="46ADCD4B" w14:textId="77777777">
        <w:trPr>
          <w:trHeight w:val="655"/>
        </w:trPr>
        <w:tc>
          <w:tcPr>
            <w:tcW w:w="2157" w:type="dxa"/>
            <w:shd w:val="clear" w:color="auto" w:fill="BFBFBF" w:themeFill="background1" w:themeFillShade="BF"/>
            <w:tcMar>
              <w:top w:w="0" w:type="dxa"/>
              <w:left w:w="86" w:type="dxa"/>
              <w:bottom w:w="43" w:type="dxa"/>
              <w:right w:w="86" w:type="dxa"/>
            </w:tcMar>
            <w:hideMark/>
          </w:tcPr>
          <w:p w14:paraId="5579A269" w14:textId="77777777" w:rsidR="0070488F" w:rsidRPr="005D4222" w:rsidRDefault="0070488F">
            <w:pPr>
              <w:pStyle w:val="ECDSMarginHead"/>
            </w:pPr>
            <w:r w:rsidRPr="005D4222">
              <w:t>Clinical recommendation statement/</w:t>
            </w:r>
            <w:r w:rsidRPr="005D4222" w:rsidDel="00EF1F55">
              <w:t xml:space="preserve"> </w:t>
            </w:r>
            <w:r w:rsidRPr="005D4222">
              <w:t>rationale</w:t>
            </w:r>
          </w:p>
        </w:tc>
        <w:tc>
          <w:tcPr>
            <w:tcW w:w="7557" w:type="dxa"/>
            <w:gridSpan w:val="3"/>
            <w:tcMar>
              <w:top w:w="0" w:type="dxa"/>
              <w:left w:w="86" w:type="dxa"/>
              <w:bottom w:w="43" w:type="dxa"/>
              <w:right w:w="86" w:type="dxa"/>
            </w:tcMar>
          </w:tcPr>
          <w:p w14:paraId="36588843" w14:textId="77777777" w:rsidR="0070488F" w:rsidRPr="005D4222" w:rsidRDefault="0070488F">
            <w:pPr>
              <w:pStyle w:val="ECDSBody"/>
            </w:pPr>
            <w:r w:rsidRPr="005D4222">
              <w:t xml:space="preserve">In 2022, over 9 million U.S. residents 12 years of age and older required treatment for an opioid use disorder (OUD). OUD includes recurrent use and desire for opioids despite both functional and clinical interference; it can be mild, moderate or severe, according to the Diagnostic and Statistical Manual of Mental Disorders, Fifth Edition (DSM-5). </w:t>
            </w:r>
          </w:p>
          <w:p w14:paraId="7D703E50" w14:textId="77777777" w:rsidR="0070488F" w:rsidRPr="005D4222" w:rsidRDefault="0070488F">
            <w:pPr>
              <w:pStyle w:val="ECDSBody"/>
            </w:pPr>
            <w:r w:rsidRPr="005D4222">
              <w:t xml:space="preserve">Individuals with OUD are at increased risk of death, opioid-related overdose, emergency department visits and readmissions and blood-borne infectious disease. Opioid-related overdose deaths in the U.S. increased more than ten-fold between 1999 and 2022. In 2022, more than 108,000 deaths were due to drug overdose; of those, 76% involved an opioid. Total overall costs of substance misuse and substance use disorders in the U.S., including loss of work productivity, direct health care expenditures and crime-related costs, exceed $400 billion annually. </w:t>
            </w:r>
          </w:p>
          <w:p w14:paraId="56138A4F" w14:textId="77777777" w:rsidR="0070488F" w:rsidRPr="005D4222" w:rsidRDefault="0070488F">
            <w:pPr>
              <w:pStyle w:val="ECDSBody"/>
              <w:rPr>
                <w:szCs w:val="21"/>
              </w:rPr>
            </w:pPr>
            <w:r w:rsidRPr="005D4222">
              <w:t>Use of and adherence to appropriate evidence-based treatment for OUD has been shown to improve outcomes for patients and reduce the burden on the health care system by preventing acute exacerbations and emergencies. The benefits of pharmacotherapy for the treatment of individuals with OUD extends beyond the reduction of substance use, overdose and mortality to include reduced crime and recidivism, reduced risk of infectious disease and improved patient function.</w:t>
            </w:r>
          </w:p>
        </w:tc>
      </w:tr>
      <w:tr w:rsidR="0070488F" w:rsidRPr="005D4222" w14:paraId="4ABAEB50" w14:textId="77777777">
        <w:tc>
          <w:tcPr>
            <w:tcW w:w="2157" w:type="dxa"/>
            <w:shd w:val="clear" w:color="auto" w:fill="BFBFBF" w:themeFill="background1" w:themeFillShade="BF"/>
            <w:tcMar>
              <w:top w:w="0" w:type="dxa"/>
              <w:left w:w="86" w:type="dxa"/>
              <w:bottom w:w="43" w:type="dxa"/>
              <w:right w:w="86" w:type="dxa"/>
            </w:tcMar>
          </w:tcPr>
          <w:p w14:paraId="14A992DC" w14:textId="77777777" w:rsidR="0070488F" w:rsidRPr="005D4222" w:rsidRDefault="0070488F">
            <w:pPr>
              <w:pStyle w:val="ECDSMarginHead"/>
            </w:pPr>
            <w:r w:rsidRPr="005D4222">
              <w:t>Citations</w:t>
            </w:r>
          </w:p>
        </w:tc>
        <w:tc>
          <w:tcPr>
            <w:tcW w:w="7557" w:type="dxa"/>
            <w:gridSpan w:val="3"/>
            <w:tcMar>
              <w:top w:w="0" w:type="dxa"/>
              <w:left w:w="86" w:type="dxa"/>
              <w:bottom w:w="43" w:type="dxa"/>
              <w:right w:w="86" w:type="dxa"/>
            </w:tcMar>
          </w:tcPr>
          <w:p w14:paraId="4873C8E1" w14:textId="77777777" w:rsidR="0070488F" w:rsidRPr="005D4222" w:rsidRDefault="0070488F">
            <w:pPr>
              <w:pStyle w:val="ECDSBody"/>
            </w:pPr>
            <w:r w:rsidRPr="005D4222">
              <w:t xml:space="preserve">Substance Abuse and Mental Health Services Administration. 2022. </w:t>
            </w:r>
            <w:r w:rsidRPr="005D4222">
              <w:rPr>
                <w:i/>
                <w:iCs/>
              </w:rPr>
              <w:t xml:space="preserve">Key substance use and mental health indicators in the United States: Results from the 2021 National Survey on Drug Use and Health </w:t>
            </w:r>
            <w:r w:rsidRPr="005D4222">
              <w:t xml:space="preserve">(HHS Publication No. PEP22-07-01-005, NSDUH Series H-57). </w:t>
            </w:r>
          </w:p>
          <w:p w14:paraId="7A37D387" w14:textId="079946AF" w:rsidR="000E4DF0" w:rsidRPr="005D4222" w:rsidRDefault="0070488F" w:rsidP="000E4DF0">
            <w:pPr>
              <w:pStyle w:val="ECDSBody"/>
            </w:pPr>
            <w:r w:rsidRPr="005D4222">
              <w:t xml:space="preserve">Center for Behavioral Health Statistics and Quality, Substance Abuse and Mental Health Services Administration. https://www.samhsa.gov/data/report/2021-nsduh-annual-national-report </w:t>
            </w:r>
          </w:p>
        </w:tc>
      </w:tr>
    </w:tbl>
    <w:p w14:paraId="2A332FAF" w14:textId="77777777" w:rsidR="000E4DF0" w:rsidRPr="005D4222" w:rsidRDefault="000E4DF0">
      <w:r w:rsidRPr="005D4222">
        <w:br w:type="page"/>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70488F" w:rsidRPr="005D4222" w14:paraId="4208C37E" w14:textId="77777777">
        <w:tc>
          <w:tcPr>
            <w:tcW w:w="2157" w:type="dxa"/>
            <w:shd w:val="clear" w:color="auto" w:fill="BFBFBF" w:themeFill="background1" w:themeFillShade="BF"/>
            <w:tcMar>
              <w:top w:w="0" w:type="dxa"/>
              <w:left w:w="86" w:type="dxa"/>
              <w:bottom w:w="43" w:type="dxa"/>
              <w:right w:w="86" w:type="dxa"/>
            </w:tcMar>
          </w:tcPr>
          <w:p w14:paraId="22E1C01C" w14:textId="77777777" w:rsidR="0070488F" w:rsidRPr="005D4222" w:rsidRDefault="0070488F">
            <w:pPr>
              <w:pStyle w:val="ECDSMarginHead"/>
            </w:pPr>
          </w:p>
        </w:tc>
        <w:tc>
          <w:tcPr>
            <w:tcW w:w="7557" w:type="dxa"/>
            <w:tcMar>
              <w:top w:w="0" w:type="dxa"/>
              <w:left w:w="86" w:type="dxa"/>
              <w:bottom w:w="43" w:type="dxa"/>
              <w:right w:w="86" w:type="dxa"/>
            </w:tcMar>
          </w:tcPr>
          <w:p w14:paraId="1734B6A2" w14:textId="77777777" w:rsidR="000E4DF0" w:rsidRPr="005D4222" w:rsidRDefault="000E4DF0" w:rsidP="000E4DF0">
            <w:pPr>
              <w:pStyle w:val="ECDSBody"/>
            </w:pPr>
            <w:r w:rsidRPr="005D4222">
              <w:t xml:space="preserve">SAMHSA. 2024. </w:t>
            </w:r>
            <w:r w:rsidRPr="005D4222">
              <w:rPr>
                <w:i/>
                <w:iCs/>
              </w:rPr>
              <w:t>Substance Use Disorders.</w:t>
            </w:r>
            <w:r w:rsidRPr="005D4222">
              <w:t xml:space="preserve"> http://www.samhsa.gov/disorders/substance-use</w:t>
            </w:r>
          </w:p>
          <w:p w14:paraId="4993C784" w14:textId="77777777" w:rsidR="0070488F" w:rsidRPr="005D4222" w:rsidRDefault="0070488F">
            <w:pPr>
              <w:pStyle w:val="ECDSBody"/>
            </w:pPr>
            <w:r w:rsidRPr="005D4222">
              <w:t xml:space="preserve">National Academies of Sciences, Engineering, and Medicine; Health and Medicine Division; Board on Health Sciences Policy; Committee on Pain Management and Regulatory Strategies to Address Prescription Opioid Abuse; Phillips, J.K., M.A. Ford, R.J. Bonnie, editors. 2017. </w:t>
            </w:r>
            <w:r w:rsidRPr="005D4222">
              <w:rPr>
                <w:i/>
                <w:iCs/>
              </w:rPr>
              <w:t>Pain Management and the Opioid Epidemic: Balancing Societal and Individual Benefits and Risks of Prescription Opioid Use.</w:t>
            </w:r>
            <w:r w:rsidRPr="005D4222">
              <w:t xml:space="preserve"> Washington (DC): National Academies Press (US). https://www.ncbi.nlm.nih.gov/books/NBK458661/</w:t>
            </w:r>
          </w:p>
          <w:p w14:paraId="4559E885" w14:textId="77777777" w:rsidR="0070488F" w:rsidRPr="005D4222" w:rsidRDefault="0070488F">
            <w:pPr>
              <w:pStyle w:val="ECDSBody"/>
            </w:pPr>
            <w:r w:rsidRPr="005D4222">
              <w:t xml:space="preserve">Centers for Disease Control and Prevention (CDC). National Center for Injury Prevention and Control. 2024. </w:t>
            </w:r>
            <w:r w:rsidRPr="005D4222">
              <w:rPr>
                <w:i/>
                <w:iCs/>
              </w:rPr>
              <w:t xml:space="preserve">Understanding the Epidemic. </w:t>
            </w:r>
            <w:r w:rsidRPr="005D4222">
              <w:t>https://www.cdc.gov/overdose-prevention/about/understanding-the-opioid-overdose-epidemic.html</w:t>
            </w:r>
          </w:p>
          <w:p w14:paraId="253A20CB" w14:textId="77777777" w:rsidR="0070488F" w:rsidRPr="005D4222" w:rsidRDefault="0070488F">
            <w:pPr>
              <w:pStyle w:val="ECDSBody"/>
            </w:pPr>
            <w:r w:rsidRPr="005D4222">
              <w:t xml:space="preserve">The Pew Charitable Trusts. 2016. </w:t>
            </w:r>
            <w:r w:rsidRPr="005D4222">
              <w:rPr>
                <w:i/>
                <w:iCs/>
              </w:rPr>
              <w:t xml:space="preserve">Medication-Assisted Treatment Improves Outcomes for Patients with Opioid Use Disorder. </w:t>
            </w:r>
            <w:r w:rsidRPr="005D4222">
              <w:t>https://www.pewtrusts.org/en/research-and-analysis/fact-sheets/2016/11/medication-assisted-treatment-improves-outcomes-for-patients-with-opioid-use-disorder</w:t>
            </w:r>
          </w:p>
        </w:tc>
      </w:tr>
      <w:tr w:rsidR="0070488F" w:rsidRPr="005D4222" w14:paraId="7A145964" w14:textId="77777777">
        <w:tc>
          <w:tcPr>
            <w:tcW w:w="9714" w:type="dxa"/>
            <w:gridSpan w:val="2"/>
            <w:tcBorders>
              <w:bottom w:val="single" w:sz="4" w:space="0" w:color="auto"/>
            </w:tcBorders>
            <w:shd w:val="clear" w:color="auto" w:fill="BFBFBF" w:themeFill="background1" w:themeFillShade="BF"/>
            <w:tcMar>
              <w:top w:w="0" w:type="dxa"/>
              <w:left w:w="86" w:type="dxa"/>
              <w:bottom w:w="43" w:type="dxa"/>
              <w:right w:w="86" w:type="dxa"/>
            </w:tcMar>
          </w:tcPr>
          <w:p w14:paraId="65409801" w14:textId="77777777" w:rsidR="0070488F" w:rsidRPr="005D4222" w:rsidRDefault="0070488F">
            <w:pPr>
              <w:pStyle w:val="ECDSMarginHead"/>
            </w:pPr>
            <w:r w:rsidRPr="005D4222">
              <w:t>Characteristics</w:t>
            </w:r>
          </w:p>
        </w:tc>
      </w:tr>
      <w:tr w:rsidR="0070488F" w:rsidRPr="005D4222" w14:paraId="7C689E62" w14:textId="77777777">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79B65B45" w14:textId="77777777" w:rsidR="0070488F" w:rsidRPr="005D4222" w:rsidRDefault="0070488F" w:rsidP="000E4DF0">
            <w:pPr>
              <w:pStyle w:val="ECDSMarginSubhead"/>
              <w:spacing w:after="0"/>
            </w:pPr>
            <w:r w:rsidRPr="005D4222">
              <w:t>Scoring</w:t>
            </w: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63D84F57" w14:textId="77777777" w:rsidR="0070488F" w:rsidRPr="005D4222" w:rsidRDefault="0070488F" w:rsidP="000E4DF0">
            <w:pPr>
              <w:pStyle w:val="ECDSBody"/>
              <w:spacing w:after="0"/>
            </w:pPr>
            <w:r w:rsidRPr="005D4222">
              <w:t>Proportion.</w:t>
            </w:r>
          </w:p>
        </w:tc>
      </w:tr>
      <w:tr w:rsidR="0070488F" w:rsidRPr="005D4222" w14:paraId="2F507152"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54911760" w14:textId="77777777" w:rsidR="0070488F" w:rsidRPr="005D4222" w:rsidRDefault="0070488F" w:rsidP="000E4DF0">
            <w:pPr>
              <w:pStyle w:val="ECDSMarginSubhead"/>
              <w:spacing w:after="0"/>
            </w:pPr>
            <w:r w:rsidRPr="005D4222">
              <w:t>Type</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5D3AAECA" w14:textId="77777777" w:rsidR="0070488F" w:rsidRPr="005D4222" w:rsidRDefault="0070488F" w:rsidP="000E4DF0">
            <w:pPr>
              <w:pStyle w:val="ECDSBody"/>
              <w:spacing w:after="0"/>
            </w:pPr>
            <w:r w:rsidRPr="005D4222">
              <w:t>Process.</w:t>
            </w:r>
          </w:p>
        </w:tc>
      </w:tr>
      <w:tr w:rsidR="0070488F" w:rsidRPr="005D4222" w14:paraId="1CDAB8B1"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3C182CE2" w14:textId="27D0ABD9" w:rsidR="0070488F" w:rsidRPr="005D4222" w:rsidRDefault="00B51CDC">
            <w:pPr>
              <w:pStyle w:val="ECDSMarginSubhead"/>
            </w:pPr>
            <w:r w:rsidRPr="005D4222">
              <w:t>Product lines</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067EA8A1" w14:textId="77777777" w:rsidR="0070488F" w:rsidRPr="005D4222" w:rsidRDefault="0070488F" w:rsidP="00B00BA1">
            <w:pPr>
              <w:pStyle w:val="ProcessBullet"/>
              <w:tabs>
                <w:tab w:val="left" w:pos="216"/>
              </w:tabs>
              <w:spacing w:before="120"/>
            </w:pPr>
            <w:r w:rsidRPr="005D4222">
              <w:t xml:space="preserve">Commercial. </w:t>
            </w:r>
          </w:p>
          <w:p w14:paraId="4417E9C0" w14:textId="77777777" w:rsidR="0070488F" w:rsidRPr="005D4222" w:rsidRDefault="0070488F" w:rsidP="00B00BA1">
            <w:pPr>
              <w:pStyle w:val="ProcessBullet"/>
              <w:tabs>
                <w:tab w:val="left" w:pos="216"/>
              </w:tabs>
            </w:pPr>
            <w:r w:rsidRPr="005D4222">
              <w:t xml:space="preserve">Medicaid. </w:t>
            </w:r>
          </w:p>
          <w:p w14:paraId="646F4C9B" w14:textId="77777777" w:rsidR="0070488F" w:rsidRPr="005D4222" w:rsidRDefault="0070488F" w:rsidP="00B00BA1">
            <w:pPr>
              <w:pStyle w:val="ProcessBullet"/>
              <w:tabs>
                <w:tab w:val="left" w:pos="216"/>
              </w:tabs>
            </w:pPr>
            <w:r w:rsidRPr="005D4222">
              <w:t>Medicare.</w:t>
            </w:r>
          </w:p>
        </w:tc>
      </w:tr>
      <w:tr w:rsidR="0070488F" w:rsidRPr="005D4222" w14:paraId="5ACB6263" w14:textId="77777777">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0DEC24BD" w14:textId="073B9F69" w:rsidR="0070488F" w:rsidRPr="005D4222" w:rsidRDefault="00B51CDC">
            <w:pPr>
              <w:pStyle w:val="ECDSMarginSubhead"/>
            </w:pPr>
            <w:r w:rsidRPr="005D4222">
              <w:t>Stratifications</w:t>
            </w:r>
            <w:r w:rsidR="0070488F" w:rsidRPr="005D4222">
              <w:t xml:space="preserve"> </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hideMark/>
          </w:tcPr>
          <w:p w14:paraId="374A103F" w14:textId="77777777" w:rsidR="0070488F" w:rsidRPr="005D4222" w:rsidRDefault="0070488F">
            <w:pPr>
              <w:pStyle w:val="ECDSBody"/>
              <w:rPr>
                <w:rFonts w:eastAsia="Arial,Arial,Arial,Arial,Arial,A"/>
              </w:rPr>
            </w:pPr>
            <w:r w:rsidRPr="005D4222">
              <w:rPr>
                <w:rFonts w:eastAsia="Arial,Arial,Arial,Arial,Arial,A"/>
              </w:rPr>
              <w:t xml:space="preserve">Ages </w:t>
            </w:r>
            <w:r w:rsidRPr="005D4222">
              <w:rPr>
                <w:rFonts w:eastAsia="Arial,Times New Roman"/>
              </w:rPr>
              <w:t xml:space="preserve">as of </w:t>
            </w:r>
            <w:r w:rsidRPr="005D4222" w:rsidDel="00034178">
              <w:rPr>
                <w:rFonts w:eastAsia="Arial,Times New Roman"/>
              </w:rPr>
              <w:t xml:space="preserve">the </w:t>
            </w:r>
            <w:r w:rsidRPr="005D4222">
              <w:rPr>
                <w:rFonts w:eastAsia="Arial,Times New Roman"/>
              </w:rPr>
              <w:t>treatment period start date.</w:t>
            </w:r>
          </w:p>
          <w:p w14:paraId="2F5E1376" w14:textId="77777777" w:rsidR="0070488F" w:rsidRPr="005D4222" w:rsidRDefault="0070488F" w:rsidP="00B00BA1">
            <w:pPr>
              <w:pStyle w:val="Bullet"/>
              <w:rPr>
                <w:rFonts w:eastAsia="Arial,Arial,Arial,Arial,Arial,A"/>
              </w:rPr>
            </w:pPr>
            <w:r w:rsidRPr="005D4222">
              <w:rPr>
                <w:rFonts w:eastAsia="Arial,Arial,Arial,Arial,Arial,A"/>
              </w:rPr>
              <w:t>16–64 years.</w:t>
            </w:r>
          </w:p>
          <w:p w14:paraId="471D4FC9" w14:textId="77777777" w:rsidR="0070488F" w:rsidRPr="005D4222" w:rsidRDefault="0070488F" w:rsidP="00B00BA1">
            <w:pPr>
              <w:pStyle w:val="Bullet"/>
              <w:rPr>
                <w:rFonts w:eastAsia="Arial,Arial,Arial,Arial,Arial,A"/>
              </w:rPr>
            </w:pPr>
            <w:r w:rsidRPr="005D4222">
              <w:rPr>
                <w:rFonts w:eastAsia="Arial,Arial,Arial,Arial,Arial,A"/>
              </w:rPr>
              <w:t>65 years and older.</w:t>
            </w:r>
          </w:p>
          <w:p w14:paraId="4A8ABB85" w14:textId="51C01941" w:rsidR="0070488F" w:rsidRPr="005D4222" w:rsidRDefault="0070488F">
            <w:pPr>
              <w:pStyle w:val="ECDSBody"/>
            </w:pPr>
            <w:r w:rsidRPr="005D4222">
              <w:t xml:space="preserve">Race. (Refer to </w:t>
            </w:r>
            <w:hyperlink w:anchor="GG_Race_and_Ethnicity" w:history="1">
              <w:r w:rsidRPr="005D4222">
                <w:rPr>
                  <w:rStyle w:val="Hyperlink"/>
                  <w:i/>
                  <w:iCs/>
                </w:rPr>
                <w:t>General Guideline: Race and Ethnicity Stratification</w:t>
              </w:r>
            </w:hyperlink>
            <w:r w:rsidRPr="005D4222">
              <w:rPr>
                <w:i/>
                <w:iCs/>
              </w:rPr>
              <w:t>.</w:t>
            </w:r>
            <w:r w:rsidRPr="005D4222">
              <w:t>)</w:t>
            </w:r>
          </w:p>
          <w:p w14:paraId="4748AD91" w14:textId="77777777" w:rsidR="0070488F" w:rsidRPr="005D4222" w:rsidRDefault="0070488F" w:rsidP="0070488F">
            <w:pPr>
              <w:pStyle w:val="Bullet"/>
              <w:numPr>
                <w:ilvl w:val="0"/>
                <w:numId w:val="4"/>
              </w:numPr>
              <w:tabs>
                <w:tab w:val="left" w:pos="360"/>
                <w:tab w:val="left" w:pos="576"/>
              </w:tabs>
              <w:ind w:left="576" w:hanging="216"/>
            </w:pPr>
            <w:r w:rsidRPr="005D4222">
              <w:t xml:space="preserve">American Indian or Alaska Native. </w:t>
            </w:r>
          </w:p>
          <w:p w14:paraId="4A375BC2" w14:textId="77777777" w:rsidR="0070488F" w:rsidRPr="005D4222" w:rsidRDefault="0070488F" w:rsidP="0070488F">
            <w:pPr>
              <w:pStyle w:val="Bullet"/>
              <w:numPr>
                <w:ilvl w:val="0"/>
                <w:numId w:val="4"/>
              </w:numPr>
              <w:tabs>
                <w:tab w:val="left" w:pos="360"/>
                <w:tab w:val="left" w:pos="576"/>
              </w:tabs>
              <w:ind w:left="576" w:hanging="216"/>
            </w:pPr>
            <w:r w:rsidRPr="005D4222">
              <w:t xml:space="preserve">Asian. </w:t>
            </w:r>
          </w:p>
          <w:p w14:paraId="48C7F146" w14:textId="77777777" w:rsidR="0070488F" w:rsidRPr="005D4222" w:rsidRDefault="0070488F" w:rsidP="0070488F">
            <w:pPr>
              <w:pStyle w:val="Bullet"/>
              <w:numPr>
                <w:ilvl w:val="0"/>
                <w:numId w:val="4"/>
              </w:numPr>
              <w:tabs>
                <w:tab w:val="left" w:pos="360"/>
                <w:tab w:val="left" w:pos="576"/>
              </w:tabs>
              <w:ind w:left="576" w:hanging="216"/>
            </w:pPr>
            <w:r w:rsidRPr="005D4222">
              <w:t>Black or African American.</w:t>
            </w:r>
          </w:p>
          <w:p w14:paraId="397FF56E" w14:textId="77777777" w:rsidR="0070488F" w:rsidRPr="005D4222" w:rsidRDefault="0070488F" w:rsidP="0070488F">
            <w:pPr>
              <w:pStyle w:val="Bullet"/>
              <w:numPr>
                <w:ilvl w:val="0"/>
                <w:numId w:val="4"/>
              </w:numPr>
              <w:tabs>
                <w:tab w:val="left" w:pos="360"/>
                <w:tab w:val="left" w:pos="576"/>
              </w:tabs>
              <w:ind w:left="576" w:hanging="216"/>
            </w:pPr>
            <w:r w:rsidRPr="005D4222">
              <w:t>Middle Eastern or North African.</w:t>
            </w:r>
          </w:p>
          <w:p w14:paraId="7CF73F1F" w14:textId="77777777" w:rsidR="0070488F" w:rsidRPr="005D4222" w:rsidRDefault="0070488F" w:rsidP="0070488F">
            <w:pPr>
              <w:pStyle w:val="Bullet"/>
              <w:numPr>
                <w:ilvl w:val="0"/>
                <w:numId w:val="4"/>
              </w:numPr>
              <w:tabs>
                <w:tab w:val="left" w:pos="360"/>
                <w:tab w:val="left" w:pos="576"/>
              </w:tabs>
              <w:ind w:left="576" w:hanging="216"/>
            </w:pPr>
            <w:r w:rsidRPr="005D4222">
              <w:t>Native Hawaiian or Pacific Islander.</w:t>
            </w:r>
          </w:p>
          <w:p w14:paraId="343D7103" w14:textId="77777777" w:rsidR="0070488F" w:rsidRPr="005D4222" w:rsidRDefault="0070488F" w:rsidP="0070488F">
            <w:pPr>
              <w:pStyle w:val="Bullet"/>
              <w:numPr>
                <w:ilvl w:val="0"/>
                <w:numId w:val="4"/>
              </w:numPr>
              <w:tabs>
                <w:tab w:val="left" w:pos="360"/>
                <w:tab w:val="left" w:pos="576"/>
              </w:tabs>
              <w:ind w:left="576" w:hanging="216"/>
            </w:pPr>
            <w:r w:rsidRPr="005D4222">
              <w:t xml:space="preserve">White. </w:t>
            </w:r>
          </w:p>
          <w:p w14:paraId="34255788" w14:textId="77777777" w:rsidR="0070488F" w:rsidRPr="005D4222" w:rsidRDefault="0070488F" w:rsidP="0070488F">
            <w:pPr>
              <w:pStyle w:val="Bullet"/>
              <w:numPr>
                <w:ilvl w:val="0"/>
                <w:numId w:val="4"/>
              </w:numPr>
              <w:tabs>
                <w:tab w:val="left" w:pos="360"/>
                <w:tab w:val="left" w:pos="576"/>
              </w:tabs>
              <w:ind w:left="576" w:hanging="216"/>
            </w:pPr>
            <w:r w:rsidRPr="005D4222">
              <w:t xml:space="preserve">Some Other Race. </w:t>
            </w:r>
          </w:p>
          <w:p w14:paraId="179BD546" w14:textId="77777777" w:rsidR="0070488F" w:rsidRPr="005D4222" w:rsidRDefault="0070488F" w:rsidP="0070488F">
            <w:pPr>
              <w:pStyle w:val="Bullet"/>
              <w:numPr>
                <w:ilvl w:val="0"/>
                <w:numId w:val="4"/>
              </w:numPr>
              <w:tabs>
                <w:tab w:val="left" w:pos="360"/>
                <w:tab w:val="left" w:pos="576"/>
              </w:tabs>
              <w:ind w:left="576" w:hanging="216"/>
            </w:pPr>
            <w:r w:rsidRPr="005D4222">
              <w:t xml:space="preserve">Two or More Races. </w:t>
            </w:r>
          </w:p>
          <w:p w14:paraId="5051A23D" w14:textId="77777777" w:rsidR="0070488F" w:rsidRPr="005D4222" w:rsidRDefault="0070488F" w:rsidP="0070488F">
            <w:pPr>
              <w:pStyle w:val="Bullet"/>
              <w:numPr>
                <w:ilvl w:val="0"/>
                <w:numId w:val="4"/>
              </w:numPr>
              <w:tabs>
                <w:tab w:val="left" w:pos="360"/>
                <w:tab w:val="left" w:pos="576"/>
              </w:tabs>
              <w:ind w:left="576" w:hanging="216"/>
            </w:pPr>
            <w:r w:rsidRPr="005D4222">
              <w:t xml:space="preserve">Asked But No Answer. </w:t>
            </w:r>
          </w:p>
          <w:p w14:paraId="1A982B8C" w14:textId="3E4F43A6" w:rsidR="00B00BA1" w:rsidRPr="005D4222" w:rsidRDefault="0070488F" w:rsidP="00787FD1">
            <w:pPr>
              <w:pStyle w:val="Bullet"/>
              <w:numPr>
                <w:ilvl w:val="0"/>
                <w:numId w:val="4"/>
              </w:numPr>
              <w:tabs>
                <w:tab w:val="left" w:pos="360"/>
                <w:tab w:val="left" w:pos="576"/>
              </w:tabs>
              <w:spacing w:after="80"/>
              <w:ind w:left="576" w:hanging="216"/>
            </w:pPr>
            <w:r w:rsidRPr="005D4222">
              <w:t xml:space="preserve">Unknown. </w:t>
            </w:r>
          </w:p>
        </w:tc>
      </w:tr>
    </w:tbl>
    <w:p w14:paraId="478A6993" w14:textId="77777777" w:rsidR="0070488F" w:rsidRPr="005D4222" w:rsidRDefault="0070488F" w:rsidP="0070488F"/>
    <w:tbl>
      <w:tblPr>
        <w:tblW w:w="9714" w:type="dxa"/>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70488F" w:rsidRPr="005D4222" w14:paraId="17112656" w14:textId="77777777">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2400FEAD" w14:textId="77777777" w:rsidR="0070488F" w:rsidRPr="005D4222" w:rsidRDefault="0070488F">
            <w:pPr>
              <w:pStyle w:val="ECDSMarginSubhead"/>
            </w:pP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1EF30692" w14:textId="77777777" w:rsidR="00787FD1" w:rsidRPr="005D4222" w:rsidRDefault="00787FD1" w:rsidP="00787FD1">
            <w:pPr>
              <w:pStyle w:val="ECDSBody"/>
            </w:pPr>
            <w:r w:rsidRPr="005D4222">
              <w:t xml:space="preserve">Ethnicity. (Refer to </w:t>
            </w:r>
            <w:hyperlink w:anchor="GG_Race_and_Ethnicity" w:history="1">
              <w:r w:rsidRPr="005D4222">
                <w:rPr>
                  <w:rStyle w:val="Hyperlink"/>
                  <w:i/>
                  <w:iCs/>
                </w:rPr>
                <w:t>General Guideline: Race and Ethnicity Stratification</w:t>
              </w:r>
            </w:hyperlink>
            <w:r w:rsidRPr="005D4222">
              <w:rPr>
                <w:i/>
                <w:iCs/>
              </w:rPr>
              <w:t>.</w:t>
            </w:r>
            <w:r w:rsidRPr="005D4222">
              <w:t>)</w:t>
            </w:r>
          </w:p>
          <w:p w14:paraId="7F4D9811" w14:textId="77777777" w:rsidR="00B00BA1" w:rsidRPr="005D4222" w:rsidRDefault="00B00BA1" w:rsidP="00B00BA1">
            <w:pPr>
              <w:pStyle w:val="Bullet"/>
              <w:numPr>
                <w:ilvl w:val="0"/>
                <w:numId w:val="4"/>
              </w:numPr>
              <w:tabs>
                <w:tab w:val="left" w:pos="360"/>
                <w:tab w:val="left" w:pos="576"/>
              </w:tabs>
              <w:ind w:left="576" w:hanging="216"/>
            </w:pPr>
            <w:r w:rsidRPr="005D4222">
              <w:t xml:space="preserve">Hispanic or Latino. </w:t>
            </w:r>
          </w:p>
          <w:p w14:paraId="5ECFD011" w14:textId="77777777" w:rsidR="00B00BA1" w:rsidRPr="005D4222" w:rsidRDefault="00B00BA1" w:rsidP="00B00BA1">
            <w:pPr>
              <w:pStyle w:val="Bullet"/>
              <w:numPr>
                <w:ilvl w:val="0"/>
                <w:numId w:val="4"/>
              </w:numPr>
              <w:tabs>
                <w:tab w:val="left" w:pos="360"/>
                <w:tab w:val="left" w:pos="576"/>
              </w:tabs>
              <w:spacing w:after="80"/>
              <w:ind w:left="576" w:hanging="216"/>
            </w:pPr>
            <w:r w:rsidRPr="005D4222">
              <w:t xml:space="preserve">Not Hispanic or Latino. </w:t>
            </w:r>
          </w:p>
          <w:p w14:paraId="5536F742" w14:textId="77777777" w:rsidR="0070488F" w:rsidRPr="005D4222" w:rsidRDefault="0070488F" w:rsidP="0070488F">
            <w:pPr>
              <w:pStyle w:val="Bullet"/>
              <w:numPr>
                <w:ilvl w:val="0"/>
                <w:numId w:val="4"/>
              </w:numPr>
              <w:tabs>
                <w:tab w:val="left" w:pos="360"/>
                <w:tab w:val="left" w:pos="576"/>
              </w:tabs>
              <w:ind w:left="576" w:hanging="216"/>
            </w:pPr>
            <w:r w:rsidRPr="005D4222">
              <w:t xml:space="preserve">Asked But No Answer. </w:t>
            </w:r>
          </w:p>
          <w:p w14:paraId="38B87299" w14:textId="651D3113" w:rsidR="0070488F" w:rsidRPr="005D4222" w:rsidRDefault="0070488F" w:rsidP="0070488F">
            <w:pPr>
              <w:pStyle w:val="Bullet"/>
              <w:numPr>
                <w:ilvl w:val="0"/>
                <w:numId w:val="4"/>
              </w:numPr>
              <w:tabs>
                <w:tab w:val="left" w:pos="360"/>
                <w:tab w:val="left" w:pos="576"/>
              </w:tabs>
              <w:ind w:left="576" w:hanging="216"/>
              <w:rPr>
                <w:rFonts w:eastAsia="Arial,Arial,Arial,Arial,Arial,A"/>
              </w:rPr>
            </w:pPr>
            <w:r w:rsidRPr="005D4222">
              <w:t>Unknown.</w:t>
            </w:r>
          </w:p>
        </w:tc>
      </w:tr>
      <w:tr w:rsidR="0070488F" w:rsidRPr="005D4222" w14:paraId="1C0534B4"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07F8610D" w14:textId="77777777" w:rsidR="0070488F" w:rsidRPr="005D4222" w:rsidRDefault="0070488F" w:rsidP="00B00BA1">
            <w:pPr>
              <w:pStyle w:val="ECDSMarginSubhead"/>
              <w:spacing w:after="0"/>
            </w:pPr>
            <w:r w:rsidRPr="005D4222">
              <w:t>Risk adjustment</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5EAFDEDA" w14:textId="77777777" w:rsidR="0070488F" w:rsidRPr="005D4222" w:rsidRDefault="0070488F" w:rsidP="00B00BA1">
            <w:pPr>
              <w:pStyle w:val="ECDSBody"/>
              <w:spacing w:after="0"/>
            </w:pPr>
            <w:r w:rsidRPr="005D4222">
              <w:t>None.</w:t>
            </w:r>
          </w:p>
        </w:tc>
      </w:tr>
      <w:tr w:rsidR="0070488F" w:rsidRPr="005D4222" w14:paraId="79C584EE"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0EC39943" w14:textId="77777777" w:rsidR="0070488F" w:rsidRPr="005D4222" w:rsidRDefault="0070488F" w:rsidP="00B00BA1">
            <w:pPr>
              <w:pStyle w:val="ECDSMarginSubhead"/>
              <w:spacing w:after="0"/>
            </w:pPr>
            <w:r w:rsidRPr="005D4222">
              <w:t>Improvement notation</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00DB57D7" w14:textId="77777777" w:rsidR="0070488F" w:rsidRPr="005D4222" w:rsidRDefault="0070488F" w:rsidP="00B00BA1">
            <w:pPr>
              <w:pStyle w:val="ECDSBody"/>
              <w:spacing w:after="0"/>
            </w:pPr>
            <w:r w:rsidRPr="005D4222">
              <w:t xml:space="preserve">Increased score indicates improvement. </w:t>
            </w:r>
          </w:p>
        </w:tc>
      </w:tr>
      <w:tr w:rsidR="0070488F" w:rsidRPr="005D4222" w14:paraId="025783D6" w14:textId="77777777">
        <w:trPr>
          <w:trHeight w:val="633"/>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298996A6" w14:textId="77777777" w:rsidR="0070488F" w:rsidRPr="005D4222" w:rsidRDefault="0070488F">
            <w:pPr>
              <w:pStyle w:val="ECDSMarginSubhead"/>
            </w:pPr>
            <w:r w:rsidRPr="005D4222">
              <w:t>Guidance</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1E652ACF" w14:textId="13894EA0" w:rsidR="0070488F" w:rsidRPr="005D4222" w:rsidRDefault="0070488F">
            <w:pPr>
              <w:pStyle w:val="ECDSBody"/>
            </w:pPr>
            <w:r w:rsidRPr="005D4222">
              <w:rPr>
                <w:b/>
              </w:rPr>
              <w:t>Data collection methodology:</w:t>
            </w:r>
            <w:r w:rsidRPr="005D4222">
              <w:t xml:space="preserve"> Administrative. Refer to </w:t>
            </w:r>
            <w:hyperlink w:anchor="General_Guideline_Data_Collection_Method" w:history="1">
              <w:r w:rsidRPr="005D4222">
                <w:rPr>
                  <w:rStyle w:val="Hyperlink"/>
                  <w:i/>
                </w:rPr>
                <w:t>General Guideline: Data Collection Methods</w:t>
              </w:r>
            </w:hyperlink>
            <w:r w:rsidRPr="005D4222">
              <w:t xml:space="preserve"> for additional information. </w:t>
            </w:r>
          </w:p>
          <w:p w14:paraId="2A280C23" w14:textId="77777777" w:rsidR="0070488F" w:rsidRPr="005D4222" w:rsidRDefault="0070488F">
            <w:pPr>
              <w:pStyle w:val="ECDSBody"/>
            </w:pPr>
            <w:r w:rsidRPr="005D4222">
              <w:rPr>
                <w:b/>
              </w:rPr>
              <w:t xml:space="preserve">Date specificity: </w:t>
            </w:r>
            <w:r w:rsidRPr="005D4222">
              <w:t>Dates must be specific enough to determine the event occurred in the period being measured.</w:t>
            </w:r>
          </w:p>
          <w:p w14:paraId="5D665263" w14:textId="77777777" w:rsidR="0070488F" w:rsidRPr="005D4222" w:rsidRDefault="0070488F">
            <w:pPr>
              <w:pStyle w:val="ECDSBody"/>
            </w:pPr>
            <w:r w:rsidRPr="005D4222">
              <w:rPr>
                <w:b/>
              </w:rPr>
              <w:t xml:space="preserve">Which services count? </w:t>
            </w:r>
            <w:r w:rsidRPr="005D4222">
              <w:t>When using claims, include all paid, suspended, pending and denied claims.</w:t>
            </w:r>
          </w:p>
          <w:p w14:paraId="3973783B" w14:textId="77777777" w:rsidR="0070488F" w:rsidRPr="005D4222" w:rsidRDefault="0070488F">
            <w:pPr>
              <w:pStyle w:val="ECDSBody"/>
              <w:rPr>
                <w:b/>
              </w:rPr>
            </w:pPr>
            <w:r w:rsidRPr="005D4222">
              <w:rPr>
                <w:b/>
              </w:rPr>
              <w:t>Medication lists</w:t>
            </w:r>
            <w:r w:rsidRPr="005D4222">
              <w:rPr>
                <w:b/>
                <w:bCs w:val="0"/>
              </w:rPr>
              <w:t>:</w:t>
            </w:r>
            <w:r w:rsidRPr="005D4222">
              <w:t xml:space="preserve"> If an organization uses both pharmacy data (NDC codes) and clinical data (RxNorm codes) for reporting, and there are both NDC and RxNorm codes on the same date of service, use only one data source for the date of service (only NDC codes or only RxNorm codes).</w:t>
            </w:r>
          </w:p>
          <w:p w14:paraId="1DD8483A" w14:textId="77777777" w:rsidR="0070488F" w:rsidRPr="005D4222" w:rsidRDefault="0070488F">
            <w:pPr>
              <w:pStyle w:val="ECDSBody"/>
              <w:rPr>
                <w:b/>
              </w:rPr>
            </w:pPr>
            <w:r w:rsidRPr="005D4222">
              <w:rPr>
                <w:b/>
              </w:rPr>
              <w:t>Other guidance:</w:t>
            </w:r>
          </w:p>
          <w:p w14:paraId="0D5795EA" w14:textId="77777777" w:rsidR="0070488F" w:rsidRPr="005D4222" w:rsidRDefault="0070488F" w:rsidP="00B00BA1">
            <w:pPr>
              <w:pStyle w:val="ProcessBullet"/>
            </w:pPr>
            <w:r w:rsidRPr="005D4222">
              <w:t>The measure is based on episodes; therefore, it is possible for the denominator to include multiple events for the same person.</w:t>
            </w:r>
          </w:p>
          <w:p w14:paraId="741EF85D" w14:textId="77777777" w:rsidR="0070488F" w:rsidRPr="005D4222" w:rsidRDefault="0070488F" w:rsidP="00B00BA1">
            <w:pPr>
              <w:pStyle w:val="ProcessBullet"/>
            </w:pPr>
            <w:r w:rsidRPr="005D4222">
              <w:t xml:space="preserve">Methadone is not included on the medication lists for this measure. Methadone for OUD administered or dispensed by federally certified opioid treatment programs is billed on a medical claim. A pharmacy claim for methadone would be indicative of treatment for pain rather than OUD. </w:t>
            </w:r>
          </w:p>
          <w:p w14:paraId="632AF720" w14:textId="77777777" w:rsidR="0070488F" w:rsidRPr="005D4222" w:rsidRDefault="0070488F" w:rsidP="00B00BA1">
            <w:pPr>
              <w:pStyle w:val="ProcessBullet"/>
              <w:spacing w:after="80"/>
              <w:rPr>
                <w:i/>
                <w:iCs/>
              </w:rPr>
            </w:pPr>
            <w:r w:rsidRPr="005D4222">
              <w:t>The allowable gaps in the measure numerator of 7 or fewer consecutive days are used to account for weekly billing and other variations in billing practices and do not necessarily indicate that OUD pharmacotherapy ended. For example, persons receiving daily methadone treatment over their 180-day treatment period meet numerator criteria if their treatment is billed weekly.</w:t>
            </w:r>
          </w:p>
        </w:tc>
      </w:tr>
      <w:tr w:rsidR="0070488F" w:rsidRPr="005D4222" w14:paraId="4C4361B4" w14:textId="77777777">
        <w:trPr>
          <w:trHeight w:val="50"/>
        </w:trPr>
        <w:tc>
          <w:tcPr>
            <w:tcW w:w="9714" w:type="dxa"/>
            <w:gridSpan w:val="2"/>
            <w:tcBorders>
              <w:top w:val="single" w:sz="4" w:space="0" w:color="auto"/>
              <w:bottom w:val="nil"/>
            </w:tcBorders>
            <w:shd w:val="clear" w:color="auto" w:fill="BFBFBF" w:themeFill="background1" w:themeFillShade="BF"/>
            <w:tcMar>
              <w:top w:w="0" w:type="dxa"/>
              <w:left w:w="86" w:type="dxa"/>
              <w:bottom w:w="43" w:type="dxa"/>
              <w:right w:w="86" w:type="dxa"/>
            </w:tcMar>
          </w:tcPr>
          <w:p w14:paraId="726949DC" w14:textId="77777777" w:rsidR="0070488F" w:rsidRPr="005D4222" w:rsidRDefault="0070488F">
            <w:pPr>
              <w:pStyle w:val="ECDSMarginHead"/>
            </w:pPr>
            <w:r w:rsidRPr="005D4222">
              <w:t xml:space="preserve">Definitions </w:t>
            </w:r>
          </w:p>
        </w:tc>
      </w:tr>
      <w:tr w:rsidR="0070488F" w:rsidRPr="005D4222" w14:paraId="50ABC41E" w14:textId="77777777">
        <w:trPr>
          <w:trHeight w:val="320"/>
        </w:trPr>
        <w:tc>
          <w:tcPr>
            <w:tcW w:w="2157" w:type="dxa"/>
            <w:tcBorders>
              <w:bottom w:val="single" w:sz="4" w:space="0" w:color="auto"/>
            </w:tcBorders>
            <w:tcMar>
              <w:top w:w="0" w:type="dxa"/>
              <w:left w:w="86" w:type="dxa"/>
              <w:bottom w:w="43" w:type="dxa"/>
              <w:right w:w="86" w:type="dxa"/>
            </w:tcMar>
          </w:tcPr>
          <w:p w14:paraId="50080CA2" w14:textId="77777777" w:rsidR="0070488F" w:rsidRPr="005D4222" w:rsidRDefault="0070488F">
            <w:pPr>
              <w:pStyle w:val="ECDSMarginSubhead"/>
            </w:pPr>
            <w:r w:rsidRPr="005D4222">
              <w:rPr>
                <w:rFonts w:eastAsia="Arial,Times New Roman"/>
              </w:rPr>
              <w:t>Determining same or different medications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FD97F50" w14:textId="77777777" w:rsidR="0070488F" w:rsidRPr="005D4222" w:rsidRDefault="0070488F">
            <w:pPr>
              <w:pStyle w:val="ECDSBody"/>
              <w:rPr>
                <w:rFonts w:eastAsia="Arial,Times New Roman"/>
              </w:rPr>
            </w:pPr>
            <w:r w:rsidRPr="005D4222">
              <w:rPr>
                <w:b/>
              </w:rPr>
              <w:t xml:space="preserve">Same medications: </w:t>
            </w:r>
            <w:r w:rsidRPr="005D4222" w:rsidDel="00D63A4E">
              <w:rPr>
                <w:rFonts w:eastAsia="Arial,Times New Roman"/>
              </w:rPr>
              <w:t>Medication lists and value sets that are in the same row of the Opioid Use Disorder Treatment Medications table</w:t>
            </w:r>
            <w:r w:rsidRPr="005D4222">
              <w:rPr>
                <w:rFonts w:eastAsia="Arial,Times New Roman"/>
              </w:rPr>
              <w:t xml:space="preserve">. </w:t>
            </w:r>
            <w:r w:rsidRPr="005D4222" w:rsidDel="00D63A4E">
              <w:rPr>
                <w:rFonts w:eastAsia="Arial,Times New Roman"/>
              </w:rPr>
              <w:t xml:space="preserve"> </w:t>
            </w:r>
          </w:p>
          <w:p w14:paraId="35F5FF72" w14:textId="77777777" w:rsidR="0070488F" w:rsidRPr="005D4222" w:rsidDel="00D63A4E" w:rsidRDefault="0070488F" w:rsidP="0070488F">
            <w:pPr>
              <w:pStyle w:val="Bullet"/>
              <w:numPr>
                <w:ilvl w:val="0"/>
                <w:numId w:val="4"/>
              </w:numPr>
              <w:tabs>
                <w:tab w:val="left" w:pos="360"/>
                <w:tab w:val="left" w:pos="576"/>
              </w:tabs>
              <w:ind w:left="576" w:hanging="216"/>
              <w:rPr>
                <w:rFonts w:eastAsia="Arial,Times New Roman"/>
              </w:rPr>
            </w:pPr>
            <w:r w:rsidRPr="005D4222" w:rsidDel="00D63A4E">
              <w:rPr>
                <w:rFonts w:eastAsia="Arial,Times New Roman"/>
                <w:i/>
                <w:iCs/>
              </w:rPr>
              <w:t>For example,</w:t>
            </w:r>
            <w:r w:rsidRPr="005D4222" w:rsidDel="00D63A4E">
              <w:rPr>
                <w:rFonts w:eastAsia="Arial,Times New Roman"/>
              </w:rPr>
              <w:t xml:space="preserve"> a dispensing event from the </w:t>
            </w:r>
            <w:r w:rsidRPr="005D4222" w:rsidDel="00D63A4E">
              <w:rPr>
                <w:rFonts w:eastAsia="Arial,Times New Roman"/>
                <w:u w:val="single"/>
              </w:rPr>
              <w:t>Buprenorphine Oral Medications List</w:t>
            </w:r>
            <w:r w:rsidRPr="005D4222" w:rsidDel="00D63A4E">
              <w:rPr>
                <w:rFonts w:eastAsia="Arial,Times New Roman"/>
              </w:rPr>
              <w:t xml:space="preserve"> and an encounter with a code from the </w:t>
            </w:r>
            <w:r w:rsidRPr="005D4222" w:rsidDel="00D63A4E">
              <w:rPr>
                <w:rFonts w:eastAsia="Arial,Times New Roman"/>
                <w:u w:val="single"/>
              </w:rPr>
              <w:t>Buprenorphine Oral Value Set</w:t>
            </w:r>
            <w:r w:rsidRPr="005D4222" w:rsidDel="00D63A4E">
              <w:rPr>
                <w:rFonts w:eastAsia="Arial,Times New Roman"/>
              </w:rPr>
              <w:t xml:space="preserve"> </w:t>
            </w:r>
            <w:r w:rsidRPr="005D4222">
              <w:rPr>
                <w:rFonts w:eastAsia="Arial,Times New Roman"/>
              </w:rPr>
              <w:t xml:space="preserve">are </w:t>
            </w:r>
            <w:r w:rsidRPr="005D4222" w:rsidDel="00D63A4E">
              <w:rPr>
                <w:rFonts w:eastAsia="Arial,Times New Roman"/>
              </w:rPr>
              <w:t xml:space="preserve">considered two dispensing events for the same medication. </w:t>
            </w:r>
          </w:p>
          <w:p w14:paraId="2428EA28" w14:textId="01D4E096" w:rsidR="0070488F" w:rsidRPr="005D4222" w:rsidRDefault="0070488F" w:rsidP="00147367">
            <w:pPr>
              <w:pStyle w:val="ECDSBody"/>
            </w:pPr>
            <w:r w:rsidRPr="005D4222">
              <w:rPr>
                <w:rFonts w:eastAsia="Arial,Times New Roman"/>
                <w:b/>
              </w:rPr>
              <w:t xml:space="preserve">Different medications: </w:t>
            </w:r>
            <w:r w:rsidRPr="005D4222" w:rsidDel="00D63A4E">
              <w:rPr>
                <w:rFonts w:eastAsia="Arial,Times New Roman"/>
              </w:rPr>
              <w:t>Medication lists and value sets that are in different rows of the Opioid Use Disorder Treatment Medications table</w:t>
            </w:r>
            <w:r w:rsidRPr="005D4222">
              <w:rPr>
                <w:rFonts w:eastAsia="Arial,Times New Roman"/>
              </w:rPr>
              <w:t xml:space="preserve">. </w:t>
            </w:r>
            <w:r w:rsidRPr="005D4222" w:rsidDel="00D63A4E">
              <w:rPr>
                <w:rFonts w:eastAsia="Arial,Times New Roman"/>
              </w:rPr>
              <w:t xml:space="preserve"> </w:t>
            </w:r>
          </w:p>
        </w:tc>
      </w:tr>
    </w:tbl>
    <w:p w14:paraId="4CE4B5F2" w14:textId="77777777" w:rsidR="00147367" w:rsidRPr="005D4222" w:rsidRDefault="00147367">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147367" w:rsidRPr="005D4222" w14:paraId="4D031FE2" w14:textId="77777777" w:rsidTr="00147367">
        <w:trPr>
          <w:trHeight w:val="320"/>
        </w:trPr>
        <w:tc>
          <w:tcPr>
            <w:tcW w:w="2157" w:type="dxa"/>
            <w:tcBorders>
              <w:bottom w:val="nil"/>
            </w:tcBorders>
            <w:tcMar>
              <w:top w:w="0" w:type="dxa"/>
              <w:left w:w="86" w:type="dxa"/>
              <w:bottom w:w="43" w:type="dxa"/>
              <w:right w:w="86" w:type="dxa"/>
            </w:tcMar>
          </w:tcPr>
          <w:p w14:paraId="5BCA8C97" w14:textId="77777777" w:rsidR="00147367" w:rsidRPr="005D4222" w:rsidRDefault="00147367">
            <w:pPr>
              <w:pStyle w:val="ECDSMarginSubhead"/>
              <w:rPr>
                <w:rFonts w:eastAsia="Arial,Times New Roman"/>
              </w:rPr>
            </w:pP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0480672F" w14:textId="597D305A" w:rsidR="00147367" w:rsidRPr="005D4222" w:rsidRDefault="00147367" w:rsidP="00147367">
            <w:pPr>
              <w:pStyle w:val="Bullet"/>
              <w:numPr>
                <w:ilvl w:val="0"/>
                <w:numId w:val="4"/>
              </w:numPr>
              <w:tabs>
                <w:tab w:val="left" w:pos="360"/>
                <w:tab w:val="left" w:pos="576"/>
              </w:tabs>
              <w:ind w:left="576" w:hanging="216"/>
              <w:rPr>
                <w:b/>
              </w:rPr>
            </w:pPr>
            <w:r w:rsidRPr="005D4222" w:rsidDel="00D63A4E">
              <w:rPr>
                <w:rFonts w:eastAsia="Arial,Times New Roman"/>
                <w:i/>
                <w:iCs/>
              </w:rPr>
              <w:t>For example,</w:t>
            </w:r>
            <w:r w:rsidRPr="005D4222" w:rsidDel="00D63A4E">
              <w:rPr>
                <w:rFonts w:eastAsia="Arial,Times New Roman"/>
              </w:rPr>
              <w:t xml:space="preserve"> a dispensing event from the </w:t>
            </w:r>
            <w:r w:rsidRPr="005D4222" w:rsidDel="00D63A4E">
              <w:rPr>
                <w:rFonts w:eastAsia="Arial,Times New Roman"/>
                <w:u w:val="single"/>
              </w:rPr>
              <w:t>Buprenorphine Oral Medications List</w:t>
            </w:r>
            <w:r w:rsidRPr="005D4222" w:rsidDel="00D63A4E">
              <w:rPr>
                <w:rFonts w:eastAsia="Arial,Times New Roman"/>
              </w:rPr>
              <w:t xml:space="preserve"> and a dispensing event from the </w:t>
            </w:r>
            <w:r w:rsidRPr="005D4222" w:rsidDel="00D63A4E">
              <w:rPr>
                <w:rFonts w:eastAsia="Arial,Times New Roman"/>
                <w:u w:val="single"/>
              </w:rPr>
              <w:t>Buprenorphine Injection Medications List</w:t>
            </w:r>
            <w:r w:rsidRPr="005D4222" w:rsidDel="00D63A4E">
              <w:rPr>
                <w:rFonts w:eastAsia="Arial,Times New Roman"/>
              </w:rPr>
              <w:t xml:space="preserve"> </w:t>
            </w:r>
            <w:r w:rsidRPr="005D4222">
              <w:rPr>
                <w:rFonts w:eastAsia="Arial,Times New Roman"/>
              </w:rPr>
              <w:t xml:space="preserve">are </w:t>
            </w:r>
            <w:r w:rsidRPr="005D4222" w:rsidDel="00D63A4E">
              <w:rPr>
                <w:rFonts w:eastAsia="Arial,Times New Roman"/>
              </w:rPr>
              <w:t>considered two dispensing events for different medications.</w:t>
            </w:r>
          </w:p>
        </w:tc>
      </w:tr>
      <w:tr w:rsidR="0070488F" w:rsidRPr="005D4222" w14:paraId="1EE0E8DB" w14:textId="77777777" w:rsidTr="00147367">
        <w:trPr>
          <w:trHeight w:val="320"/>
        </w:trPr>
        <w:tc>
          <w:tcPr>
            <w:tcW w:w="2157" w:type="dxa"/>
            <w:tcBorders>
              <w:top w:val="nil"/>
              <w:left w:val="single" w:sz="4" w:space="0" w:color="auto"/>
              <w:bottom w:val="nil"/>
            </w:tcBorders>
            <w:tcMar>
              <w:top w:w="0" w:type="dxa"/>
              <w:left w:w="86" w:type="dxa"/>
              <w:bottom w:w="43" w:type="dxa"/>
              <w:right w:w="86" w:type="dxa"/>
            </w:tcMar>
          </w:tcPr>
          <w:p w14:paraId="652B4AEF" w14:textId="77777777" w:rsidR="0070488F" w:rsidRPr="005D4222" w:rsidRDefault="0070488F">
            <w:pPr>
              <w:pStyle w:val="ECDSMarginSubhead"/>
              <w:rPr>
                <w:rFonts w:eastAsia="Arial,Times New Roman"/>
              </w:rPr>
            </w:pPr>
            <w:r w:rsidRPr="005D4222">
              <w:rPr>
                <w:rFonts w:eastAsia="Arial,Times New Roman"/>
              </w:rPr>
              <w:t>Direct transfer</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48E6AB3C" w14:textId="77777777" w:rsidR="0070488F" w:rsidRPr="005D4222" w:rsidRDefault="0070488F">
            <w:pPr>
              <w:pStyle w:val="ECDSBody"/>
            </w:pPr>
            <w:r w:rsidRPr="005D4222">
              <w:t xml:space="preserve">When the discharge date from the first inpatient setting precedes the admission date to a second inpatient setting by 1 calendar day or less. </w:t>
            </w:r>
          </w:p>
          <w:p w14:paraId="5443F2AA" w14:textId="77777777" w:rsidR="0070488F" w:rsidRPr="005D4222" w:rsidRDefault="0070488F" w:rsidP="0070488F">
            <w:pPr>
              <w:pStyle w:val="Bullet"/>
              <w:numPr>
                <w:ilvl w:val="0"/>
                <w:numId w:val="4"/>
              </w:numPr>
              <w:tabs>
                <w:tab w:val="left" w:pos="360"/>
                <w:tab w:val="left" w:pos="576"/>
              </w:tabs>
              <w:ind w:left="576" w:hanging="216"/>
              <w:rPr>
                <w:i/>
                <w:iCs/>
              </w:rPr>
            </w:pPr>
            <w:r w:rsidRPr="005D4222">
              <w:rPr>
                <w:i/>
                <w:iCs/>
              </w:rPr>
              <w:t>For example:</w:t>
            </w:r>
          </w:p>
          <w:p w14:paraId="4DC143BE" w14:textId="77777777" w:rsidR="0070488F" w:rsidRPr="005D4222" w:rsidRDefault="0070488F" w:rsidP="0070488F">
            <w:pPr>
              <w:pStyle w:val="Dash"/>
              <w:tabs>
                <w:tab w:val="left" w:pos="576"/>
                <w:tab w:val="left" w:pos="792"/>
              </w:tabs>
              <w:rPr>
                <w:i/>
                <w:iCs/>
              </w:rPr>
            </w:pPr>
            <w:r w:rsidRPr="005D4222">
              <w:t xml:space="preserve">An inpatient discharge on June 1, followed by an admission to another inpatient setting on June 1, </w:t>
            </w:r>
            <w:r w:rsidRPr="005D4222">
              <w:rPr>
                <w:i/>
                <w:iCs/>
              </w:rPr>
              <w:t>is a direct transfer.</w:t>
            </w:r>
          </w:p>
          <w:p w14:paraId="0A509DA7" w14:textId="77777777" w:rsidR="0070488F" w:rsidRPr="005D4222" w:rsidRDefault="0070488F" w:rsidP="0070488F">
            <w:pPr>
              <w:pStyle w:val="Dash"/>
              <w:tabs>
                <w:tab w:val="left" w:pos="576"/>
                <w:tab w:val="left" w:pos="792"/>
              </w:tabs>
              <w:rPr>
                <w:i/>
                <w:iCs/>
              </w:rPr>
            </w:pPr>
            <w:r w:rsidRPr="005D4222">
              <w:t xml:space="preserve">An inpatient discharge on June 1, followed by an admission to an inpatient setting on June 2, </w:t>
            </w:r>
            <w:r w:rsidRPr="005D4222">
              <w:rPr>
                <w:i/>
                <w:iCs/>
              </w:rPr>
              <w:t>is a direct transfer.</w:t>
            </w:r>
          </w:p>
          <w:p w14:paraId="51BCCA09" w14:textId="77777777" w:rsidR="0070488F" w:rsidRPr="005D4222" w:rsidRDefault="0070488F" w:rsidP="0070488F">
            <w:pPr>
              <w:pStyle w:val="Dash"/>
              <w:tabs>
                <w:tab w:val="left" w:pos="576"/>
                <w:tab w:val="left" w:pos="792"/>
              </w:tabs>
            </w:pPr>
            <w:r w:rsidRPr="005D4222">
              <w:t xml:space="preserve">An inpatient discharge on June 1, followed by an admission to another inpatient setting on June 3, </w:t>
            </w:r>
            <w:r w:rsidRPr="005D4222">
              <w:rPr>
                <w:i/>
                <w:iCs/>
              </w:rPr>
              <w:t>is not a direct transfer;</w:t>
            </w:r>
            <w:r w:rsidRPr="005D4222">
              <w:t xml:space="preserve"> these are two distinct inpatient stays.</w:t>
            </w:r>
          </w:p>
          <w:p w14:paraId="529FA837" w14:textId="77777777" w:rsidR="0070488F" w:rsidRPr="005D4222" w:rsidRDefault="0070488F">
            <w:pPr>
              <w:pStyle w:val="ECDSBody"/>
            </w:pPr>
            <w:r w:rsidRPr="005D4222">
              <w:t>Use the following method to identify admissions to and discharges from inpatient settings.</w:t>
            </w:r>
          </w:p>
          <w:p w14:paraId="520523DD" w14:textId="77777777" w:rsidR="0070488F" w:rsidRPr="005D4222" w:rsidRDefault="0070488F" w:rsidP="005D6173">
            <w:pPr>
              <w:pStyle w:val="Body"/>
              <w:numPr>
                <w:ilvl w:val="0"/>
                <w:numId w:val="67"/>
              </w:numPr>
              <w:spacing w:before="60" w:after="80"/>
              <w:ind w:left="648" w:hanging="288"/>
            </w:pPr>
            <w:r w:rsidRPr="005D4222">
              <w:t>Identify all acute and nonacute inpatient stays (</w:t>
            </w:r>
            <w:r w:rsidRPr="005D4222">
              <w:rPr>
                <w:u w:val="single"/>
              </w:rPr>
              <w:t>Inpatient Stay Value Set</w:t>
            </w:r>
            <w:r w:rsidRPr="005D4222">
              <w:t>).</w:t>
            </w:r>
          </w:p>
          <w:p w14:paraId="2A3DC5FB" w14:textId="77777777" w:rsidR="0070488F" w:rsidRPr="005D4222" w:rsidRDefault="0070488F" w:rsidP="005D6173">
            <w:pPr>
              <w:pStyle w:val="Body"/>
              <w:numPr>
                <w:ilvl w:val="0"/>
                <w:numId w:val="67"/>
              </w:numPr>
              <w:spacing w:before="60"/>
              <w:ind w:left="648" w:hanging="288"/>
            </w:pPr>
            <w:r w:rsidRPr="005D4222">
              <w:t>Identify the admission and discharge dates for the stay.</w:t>
            </w:r>
          </w:p>
        </w:tc>
      </w:tr>
      <w:tr w:rsidR="0070488F" w:rsidRPr="005D4222" w14:paraId="47C6BF5E" w14:textId="77777777" w:rsidTr="00147367">
        <w:trPr>
          <w:trHeight w:val="320"/>
        </w:trPr>
        <w:tc>
          <w:tcPr>
            <w:tcW w:w="2157" w:type="dxa"/>
            <w:tcBorders>
              <w:top w:val="nil"/>
              <w:left w:val="single" w:sz="4" w:space="0" w:color="auto"/>
              <w:bottom w:val="nil"/>
            </w:tcBorders>
            <w:tcMar>
              <w:top w:w="0" w:type="dxa"/>
              <w:left w:w="86" w:type="dxa"/>
              <w:bottom w:w="43" w:type="dxa"/>
              <w:right w:w="86" w:type="dxa"/>
            </w:tcMar>
          </w:tcPr>
          <w:p w14:paraId="3551D5A7" w14:textId="77777777" w:rsidR="0070488F" w:rsidRPr="005D4222" w:rsidRDefault="0070488F">
            <w:pPr>
              <w:pStyle w:val="ECDSMarginSubhead"/>
            </w:pPr>
            <w:r w:rsidRPr="005D4222">
              <w:t>Intake period</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1F7E3512" w14:textId="77777777" w:rsidR="0070488F" w:rsidRPr="005D4222" w:rsidRDefault="0070488F">
            <w:pPr>
              <w:pStyle w:val="ECDSBody"/>
              <w:spacing w:after="0"/>
            </w:pPr>
            <w:r w:rsidRPr="005D4222">
              <w:t>July 1 of the year prior to the measurement period to June 30 of the measurement period.</w:t>
            </w:r>
          </w:p>
        </w:tc>
      </w:tr>
      <w:tr w:rsidR="0070488F" w:rsidRPr="005D4222" w14:paraId="4C5889D6" w14:textId="77777777" w:rsidTr="00147367">
        <w:trPr>
          <w:trHeight w:val="320"/>
        </w:trPr>
        <w:tc>
          <w:tcPr>
            <w:tcW w:w="2157" w:type="dxa"/>
            <w:tcBorders>
              <w:top w:val="nil"/>
              <w:left w:val="single" w:sz="4" w:space="0" w:color="auto"/>
              <w:bottom w:val="nil"/>
            </w:tcBorders>
            <w:tcMar>
              <w:top w:w="0" w:type="dxa"/>
              <w:left w:w="86" w:type="dxa"/>
              <w:bottom w:w="43" w:type="dxa"/>
              <w:right w:w="86" w:type="dxa"/>
            </w:tcMar>
          </w:tcPr>
          <w:p w14:paraId="2EA84C18" w14:textId="77777777" w:rsidR="0070488F" w:rsidRPr="005D4222" w:rsidRDefault="0070488F">
            <w:pPr>
              <w:pStyle w:val="ECDSMarginSubhead"/>
            </w:pPr>
            <w:r w:rsidRPr="005D4222">
              <w:t>Negative medication history</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097C117C" w14:textId="77777777" w:rsidR="0070488F" w:rsidRPr="005D4222" w:rsidRDefault="0070488F">
            <w:pPr>
              <w:pStyle w:val="ECDSBody"/>
            </w:pPr>
            <w:r w:rsidRPr="005D4222">
              <w:t>To qualify for negative medication history, the following criteria must be met:</w:t>
            </w:r>
          </w:p>
          <w:p w14:paraId="77B77093" w14:textId="77777777" w:rsidR="0070488F" w:rsidRPr="005D4222" w:rsidRDefault="0070488F" w:rsidP="0070488F">
            <w:pPr>
              <w:pStyle w:val="Bullet"/>
              <w:numPr>
                <w:ilvl w:val="0"/>
                <w:numId w:val="4"/>
              </w:numPr>
              <w:tabs>
                <w:tab w:val="left" w:pos="360"/>
                <w:tab w:val="left" w:pos="576"/>
              </w:tabs>
              <w:spacing w:after="80"/>
              <w:ind w:left="576" w:hanging="216"/>
            </w:pPr>
            <w:r w:rsidRPr="005D4222">
              <w:t>A period of 31 days prior to the OUD dispensing or medication administration event when the person had no OUD dispensing or medication administration events.</w:t>
            </w:r>
          </w:p>
          <w:p w14:paraId="5366AFE3" w14:textId="77777777" w:rsidR="0070488F" w:rsidRPr="005D4222" w:rsidRDefault="0070488F" w:rsidP="0070488F">
            <w:pPr>
              <w:pStyle w:val="Bullet"/>
              <w:numPr>
                <w:ilvl w:val="0"/>
                <w:numId w:val="4"/>
              </w:numPr>
              <w:tabs>
                <w:tab w:val="left" w:pos="360"/>
                <w:tab w:val="left" w:pos="576"/>
              </w:tabs>
              <w:ind w:left="576" w:hanging="216"/>
              <w:rPr>
                <w:rFonts w:cs="Arial"/>
              </w:rPr>
            </w:pPr>
            <w:r w:rsidRPr="005D4222">
              <w:t xml:space="preserve">A period of 31 days prior to the OUD dispensing or medication administration event when the person was not already receiving OUD pharmacotherapy. </w:t>
            </w:r>
          </w:p>
          <w:p w14:paraId="2576744E" w14:textId="77777777" w:rsidR="0070488F" w:rsidRPr="005D4222" w:rsidRDefault="0070488F" w:rsidP="0070488F">
            <w:pPr>
              <w:pStyle w:val="Dash"/>
              <w:tabs>
                <w:tab w:val="left" w:pos="576"/>
                <w:tab w:val="left" w:pos="792"/>
              </w:tabs>
              <w:spacing w:after="0"/>
            </w:pPr>
            <w:r w:rsidRPr="005D4222">
              <w:rPr>
                <w:i/>
                <w:iCs/>
              </w:rPr>
              <w:t xml:space="preserve">For example, </w:t>
            </w:r>
            <w:r w:rsidRPr="005D4222">
              <w:t>for an OUD dispensing event with a date of service of January 1, the 31 days prior includes December 1–31. If a person received a buprenorphine implant (180 days supply) any time during the 179 days prior to December 1, they are already receiving OUD pharmacotherapy on December 1 and do not have a negative medication history.</w:t>
            </w:r>
          </w:p>
        </w:tc>
      </w:tr>
      <w:tr w:rsidR="0070488F" w:rsidRPr="005D4222" w14:paraId="077ED824" w14:textId="77777777" w:rsidTr="00147367">
        <w:trPr>
          <w:trHeight w:val="320"/>
        </w:trPr>
        <w:tc>
          <w:tcPr>
            <w:tcW w:w="2157" w:type="dxa"/>
            <w:tcBorders>
              <w:top w:val="nil"/>
              <w:left w:val="single" w:sz="4" w:space="0" w:color="auto"/>
              <w:bottom w:val="nil"/>
            </w:tcBorders>
            <w:tcMar>
              <w:top w:w="0" w:type="dxa"/>
              <w:left w:w="86" w:type="dxa"/>
              <w:bottom w:w="43" w:type="dxa"/>
              <w:right w:w="86" w:type="dxa"/>
            </w:tcMar>
          </w:tcPr>
          <w:p w14:paraId="7BACA4BD" w14:textId="77777777" w:rsidR="0070488F" w:rsidRPr="005D4222" w:rsidRDefault="0070488F" w:rsidP="009355DF">
            <w:pPr>
              <w:pStyle w:val="ECDSMarginSubhead"/>
              <w:spacing w:after="0"/>
            </w:pPr>
            <w:r w:rsidRPr="005D4222">
              <w:t>OUD dispensing event</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2938EA3C" w14:textId="77777777" w:rsidR="0070488F" w:rsidRPr="005D4222" w:rsidRDefault="0070488F" w:rsidP="009355DF">
            <w:pPr>
              <w:pStyle w:val="ECDSBody"/>
              <w:spacing w:after="0"/>
            </w:pPr>
            <w:r w:rsidRPr="005D4222">
              <w:t>OUD pharmacotherapy identified using pharmacy data (medication lists).</w:t>
            </w:r>
          </w:p>
        </w:tc>
      </w:tr>
      <w:tr w:rsidR="0070488F" w:rsidRPr="005D4222" w14:paraId="59118FBA" w14:textId="77777777" w:rsidTr="00147367">
        <w:trPr>
          <w:trHeight w:val="320"/>
        </w:trPr>
        <w:tc>
          <w:tcPr>
            <w:tcW w:w="2157" w:type="dxa"/>
            <w:tcBorders>
              <w:top w:val="nil"/>
              <w:left w:val="single" w:sz="4" w:space="0" w:color="auto"/>
              <w:bottom w:val="nil"/>
            </w:tcBorders>
            <w:tcMar>
              <w:top w:w="0" w:type="dxa"/>
              <w:left w:w="86" w:type="dxa"/>
              <w:bottom w:w="43" w:type="dxa"/>
              <w:right w:w="86" w:type="dxa"/>
            </w:tcMar>
          </w:tcPr>
          <w:p w14:paraId="2836967A" w14:textId="77777777" w:rsidR="0070488F" w:rsidRPr="005D4222" w:rsidRDefault="0070488F" w:rsidP="009355DF">
            <w:pPr>
              <w:pStyle w:val="ECDSMarginSubhead"/>
              <w:spacing w:after="0"/>
            </w:pPr>
            <w:r w:rsidRPr="005D4222">
              <w:t>OUD medication administration event</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51377F0A" w14:textId="77777777" w:rsidR="0070488F" w:rsidRPr="005D4222" w:rsidRDefault="0070488F" w:rsidP="009355DF">
            <w:pPr>
              <w:pStyle w:val="ECDSBody"/>
              <w:spacing w:after="0"/>
            </w:pPr>
            <w:r w:rsidRPr="005D4222">
              <w:t>OUD pharmacotherapy identified using medical claims data (value sets).</w:t>
            </w:r>
          </w:p>
        </w:tc>
      </w:tr>
      <w:tr w:rsidR="0070488F" w:rsidRPr="005D4222" w14:paraId="2BC7D251" w14:textId="77777777" w:rsidTr="00147367">
        <w:trPr>
          <w:trHeight w:val="320"/>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11C3BE65" w14:textId="77777777" w:rsidR="0070488F" w:rsidRPr="005D4222" w:rsidRDefault="0070488F" w:rsidP="009355DF">
            <w:pPr>
              <w:pStyle w:val="ECDSMarginSubhead"/>
              <w:spacing w:after="0"/>
            </w:pPr>
            <w:r w:rsidRPr="005D4222">
              <w:t>Treatment period</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1D6BEAC8" w14:textId="77777777" w:rsidR="0070488F" w:rsidRPr="005D4222" w:rsidRDefault="0070488F" w:rsidP="009355DF">
            <w:pPr>
              <w:pStyle w:val="ECDSBody"/>
              <w:spacing w:after="0"/>
            </w:pPr>
            <w:r w:rsidRPr="005D4222">
              <w:t>A period of 180 calendar days beginning on the treatment period start date through 179 days after the treatment period start date.</w:t>
            </w:r>
          </w:p>
          <w:p w14:paraId="501AB613" w14:textId="77777777" w:rsidR="0070488F" w:rsidRPr="005D4222" w:rsidRDefault="0070488F" w:rsidP="00147367">
            <w:pPr>
              <w:pStyle w:val="Note"/>
              <w:spacing w:after="80"/>
            </w:pPr>
            <w:r w:rsidRPr="005D4222">
              <w:rPr>
                <w:b/>
              </w:rPr>
              <w:t>Note:</w:t>
            </w:r>
            <w:r w:rsidRPr="005D4222">
              <w:t xml:space="preserve"> Persons can have multiple treatment period start dates and treatment periods during the measurement period. Treatment periods can overlap.</w:t>
            </w:r>
          </w:p>
        </w:tc>
      </w:tr>
      <w:tr w:rsidR="0070488F" w:rsidRPr="005D4222" w14:paraId="06055393" w14:textId="77777777" w:rsidTr="00147367">
        <w:trPr>
          <w:trHeight w:val="60"/>
        </w:trPr>
        <w:tc>
          <w:tcPr>
            <w:tcW w:w="21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BDC37FB" w14:textId="77777777" w:rsidR="0070488F" w:rsidRPr="005D4222" w:rsidRDefault="0070488F">
            <w:pPr>
              <w:pStyle w:val="ECDSMarginSubhead"/>
            </w:pPr>
            <w:r w:rsidRPr="005D4222">
              <w:lastRenderedPageBreak/>
              <w:t>Treatment period start date</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A5C67C2" w14:textId="77777777" w:rsidR="0070488F" w:rsidRPr="005D4222" w:rsidRDefault="0070488F">
            <w:pPr>
              <w:pStyle w:val="ECDSBody"/>
            </w:pPr>
            <w:r w:rsidRPr="005D4222">
              <w:t xml:space="preserve">The date of an OUD dispensing or medication administration event with a negative medication history during the intake period. </w:t>
            </w:r>
          </w:p>
        </w:tc>
      </w:tr>
      <w:tr w:rsidR="0070488F" w:rsidRPr="005D4222" w14:paraId="5251E965" w14:textId="77777777">
        <w:trPr>
          <w:trHeight w:val="320"/>
        </w:trPr>
        <w:tc>
          <w:tcPr>
            <w:tcW w:w="2157" w:type="dxa"/>
            <w:tcBorders>
              <w:top w:val="single" w:sz="4" w:space="0" w:color="auto"/>
            </w:tcBorders>
            <w:shd w:val="clear" w:color="auto" w:fill="BFBFBF" w:themeFill="background1" w:themeFillShade="BF"/>
            <w:tcMar>
              <w:top w:w="0" w:type="dxa"/>
              <w:left w:w="86" w:type="dxa"/>
              <w:bottom w:w="43" w:type="dxa"/>
              <w:right w:w="86" w:type="dxa"/>
            </w:tcMar>
          </w:tcPr>
          <w:p w14:paraId="322B39F1" w14:textId="77777777" w:rsidR="0070488F" w:rsidRPr="005D4222" w:rsidRDefault="0070488F">
            <w:pPr>
              <w:pStyle w:val="ECDSMarginHead"/>
            </w:pPr>
            <w:r w:rsidRPr="005D4222">
              <w:t>Initial population</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F5A8E0B" w14:textId="77777777" w:rsidR="0070488F" w:rsidRPr="005D4222" w:rsidRDefault="0070488F">
            <w:pPr>
              <w:pStyle w:val="ECDSBody"/>
            </w:pPr>
            <w:r w:rsidRPr="005D4222">
              <w:rPr>
                <w:i/>
                <w:iCs/>
              </w:rPr>
              <w:t>Measure item count:</w:t>
            </w:r>
            <w:r w:rsidRPr="005D4222">
              <w:t xml:space="preserve"> Episode.</w:t>
            </w:r>
          </w:p>
          <w:p w14:paraId="10081E61" w14:textId="77777777" w:rsidR="0070488F" w:rsidRPr="005D4222" w:rsidRDefault="0070488F">
            <w:pPr>
              <w:pStyle w:val="ECDSBody"/>
            </w:pPr>
            <w:r w:rsidRPr="005D4222">
              <w:rPr>
                <w:i/>
                <w:iCs/>
              </w:rPr>
              <w:t xml:space="preserve">Attribution basis: </w:t>
            </w:r>
            <w:r w:rsidRPr="005D4222">
              <w:t>Enrollment.</w:t>
            </w:r>
          </w:p>
          <w:p w14:paraId="228235AC" w14:textId="77777777" w:rsidR="0070488F" w:rsidRPr="005D4222" w:rsidRDefault="0070488F" w:rsidP="0070488F">
            <w:pPr>
              <w:pStyle w:val="Bullet"/>
              <w:numPr>
                <w:ilvl w:val="0"/>
                <w:numId w:val="4"/>
              </w:numPr>
              <w:tabs>
                <w:tab w:val="left" w:pos="360"/>
                <w:tab w:val="left" w:pos="576"/>
              </w:tabs>
              <w:ind w:left="576" w:hanging="216"/>
            </w:pPr>
            <w:r w:rsidRPr="005D4222">
              <w:rPr>
                <w:i/>
                <w:iCs/>
              </w:rPr>
              <w:t>Benefits:</w:t>
            </w:r>
            <w:r w:rsidRPr="005D4222">
              <w:t xml:space="preserve"> Medical and pharmacy.</w:t>
            </w:r>
          </w:p>
          <w:p w14:paraId="7851D76E" w14:textId="77777777" w:rsidR="0070488F" w:rsidRPr="005D4222" w:rsidRDefault="0070488F" w:rsidP="0070488F">
            <w:pPr>
              <w:pStyle w:val="Bullet"/>
              <w:numPr>
                <w:ilvl w:val="0"/>
                <w:numId w:val="4"/>
              </w:numPr>
              <w:tabs>
                <w:tab w:val="left" w:pos="360"/>
                <w:tab w:val="left" w:pos="576"/>
              </w:tabs>
              <w:ind w:left="576" w:hanging="216"/>
              <w:rPr>
                <w:rFonts w:eastAsia="Arial,Times New Roman"/>
              </w:rPr>
            </w:pPr>
            <w:r w:rsidRPr="005D4222">
              <w:rPr>
                <w:i/>
                <w:iCs/>
              </w:rPr>
              <w:t>Continuous enrollment:</w:t>
            </w:r>
            <w:r w:rsidRPr="005D4222">
              <w:t xml:space="preserve"> </w:t>
            </w:r>
            <w:r w:rsidRPr="005D4222">
              <w:rPr>
                <w:rFonts w:eastAsia="Arial,Times New Roman"/>
                <w:sz w:val="20"/>
              </w:rPr>
              <w:t xml:space="preserve">31 </w:t>
            </w:r>
            <w:r w:rsidRPr="005D4222">
              <w:rPr>
                <w:rFonts w:eastAsia="Arial,Times New Roman"/>
              </w:rPr>
              <w:t>days prior to the treatment period start date through 179 days after the treatment period start date (</w:t>
            </w:r>
            <w:r w:rsidRPr="005D4222">
              <w:rPr>
                <w:rFonts w:eastAsia="Arial,Times New Roman"/>
                <w:sz w:val="20"/>
              </w:rPr>
              <w:t xml:space="preserve">211 </w:t>
            </w:r>
            <w:r w:rsidRPr="005D4222">
              <w:rPr>
                <w:rFonts w:eastAsia="Arial,Times New Roman"/>
              </w:rPr>
              <w:t>total days).</w:t>
            </w:r>
          </w:p>
          <w:p w14:paraId="76C28FE4" w14:textId="77777777" w:rsidR="0070488F" w:rsidRPr="005D4222" w:rsidRDefault="0070488F" w:rsidP="0070488F">
            <w:pPr>
              <w:pStyle w:val="Bullet"/>
              <w:numPr>
                <w:ilvl w:val="0"/>
                <w:numId w:val="4"/>
              </w:numPr>
              <w:tabs>
                <w:tab w:val="left" w:pos="360"/>
                <w:tab w:val="left" w:pos="576"/>
              </w:tabs>
              <w:ind w:left="576" w:hanging="216"/>
            </w:pPr>
            <w:r w:rsidRPr="005D4222">
              <w:rPr>
                <w:i/>
                <w:iCs/>
              </w:rPr>
              <w:t>Allowable gap</w:t>
            </w:r>
            <w:r w:rsidRPr="005D4222">
              <w:t>: None.</w:t>
            </w:r>
          </w:p>
          <w:p w14:paraId="211724A0" w14:textId="77777777" w:rsidR="0070488F" w:rsidRPr="005D4222" w:rsidRDefault="0070488F">
            <w:pPr>
              <w:pStyle w:val="ECDSBody"/>
            </w:pPr>
            <w:r w:rsidRPr="005D4222">
              <w:rPr>
                <w:i/>
                <w:iCs/>
              </w:rPr>
              <w:t>Ages:</w:t>
            </w:r>
            <w:r w:rsidRPr="005D4222">
              <w:t xml:space="preserve"> </w:t>
            </w:r>
            <w:r w:rsidRPr="005D4222">
              <w:rPr>
                <w:rFonts w:eastAsia="Arial,Times New Roman"/>
              </w:rPr>
              <w:t xml:space="preserve">16 years of age and older as of </w:t>
            </w:r>
            <w:r w:rsidRPr="005D4222" w:rsidDel="00034178">
              <w:rPr>
                <w:rFonts w:eastAsia="Arial,Times New Roman"/>
              </w:rPr>
              <w:t xml:space="preserve">the </w:t>
            </w:r>
            <w:r w:rsidRPr="005D4222">
              <w:rPr>
                <w:rFonts w:eastAsia="Arial,Times New Roman"/>
              </w:rPr>
              <w:t>treatment period start date.</w:t>
            </w:r>
          </w:p>
          <w:p w14:paraId="0FE4DF47" w14:textId="77777777" w:rsidR="0070488F" w:rsidRPr="005D4222" w:rsidRDefault="0070488F">
            <w:pPr>
              <w:pStyle w:val="ECDSBody"/>
              <w:rPr>
                <w:i/>
                <w:iCs/>
              </w:rPr>
            </w:pPr>
            <w:r w:rsidRPr="005D4222">
              <w:rPr>
                <w:i/>
              </w:rPr>
              <w:t>Event:</w:t>
            </w:r>
            <w:r w:rsidRPr="005D4222">
              <w:t xml:space="preserve"> </w:t>
            </w:r>
            <w:r w:rsidRPr="005D4222">
              <w:rPr>
                <w:b/>
                <w:bCs w:val="0"/>
                <w:iCs/>
              </w:rPr>
              <w:t>Opioid use disorder (OUD) pharmacotherapy events.</w:t>
            </w:r>
          </w:p>
          <w:p w14:paraId="5A564F67" w14:textId="77777777" w:rsidR="0070488F" w:rsidRPr="005D4222" w:rsidRDefault="0070488F">
            <w:pPr>
              <w:pStyle w:val="ECDSBody"/>
              <w:rPr>
                <w:i/>
                <w:iCs/>
              </w:rPr>
            </w:pPr>
            <w:r w:rsidRPr="005D4222">
              <w:rPr>
                <w:rFonts w:eastAsia="Arial,Times New Roman"/>
                <w:b/>
              </w:rPr>
              <w:t>Step 1</w:t>
            </w:r>
            <w:r w:rsidRPr="005D4222">
              <w:rPr>
                <w:rFonts w:eastAsia="Arial,Times New Roman"/>
                <w:b/>
                <w:i/>
                <w:iCs/>
              </w:rPr>
              <w:t>.</w:t>
            </w:r>
            <w:r w:rsidRPr="005D4222">
              <w:rPr>
                <w:rFonts w:eastAsia="Arial,Times New Roman"/>
              </w:rPr>
              <w:t xml:space="preserve"> Identify persons with any diagnosis of OUD (</w:t>
            </w:r>
            <w:r w:rsidRPr="005D4222">
              <w:rPr>
                <w:rFonts w:eastAsia="Arial,Times New Roman"/>
                <w:u w:val="single"/>
              </w:rPr>
              <w:t>Opioid Abuse and Dependence Value Set</w:t>
            </w:r>
            <w:r w:rsidRPr="005D4222">
              <w:rPr>
                <w:rFonts w:eastAsia="Arial,Times New Roman"/>
              </w:rPr>
              <w:t>*) during the intake period.</w:t>
            </w:r>
          </w:p>
          <w:p w14:paraId="3C310D7E" w14:textId="77777777" w:rsidR="0070488F" w:rsidRPr="005D4222" w:rsidRDefault="0070488F">
            <w:pPr>
              <w:pStyle w:val="ECDSBody"/>
              <w:rPr>
                <w:iCs/>
                <w:szCs w:val="21"/>
              </w:rPr>
            </w:pPr>
            <w:r w:rsidRPr="005D4222">
              <w:rPr>
                <w:b/>
                <w:szCs w:val="21"/>
              </w:rPr>
              <w:t>Step 2</w:t>
            </w:r>
            <w:r w:rsidRPr="005D4222">
              <w:rPr>
                <w:b/>
                <w:i/>
                <w:szCs w:val="21"/>
              </w:rPr>
              <w:t xml:space="preserve">. </w:t>
            </w:r>
            <w:r w:rsidRPr="005D4222">
              <w:rPr>
                <w:iCs/>
                <w:szCs w:val="21"/>
              </w:rPr>
              <w:t>For each person identified in step 1, identify all OUD dispensing events or OUD medication administration events during the intake period. Use all medication lists and value sets in the Opioid Use Disorder Treatment Medications table below to identify OUD dispensing events and OUD administration events.</w:t>
            </w:r>
          </w:p>
          <w:p w14:paraId="40DF63E7" w14:textId="77777777" w:rsidR="0070488F" w:rsidRPr="005D4222" w:rsidRDefault="0070488F">
            <w:pPr>
              <w:pStyle w:val="ECDSBody"/>
              <w:rPr>
                <w:rFonts w:eastAsia="Arial,Times New Roman"/>
                <w:szCs w:val="21"/>
              </w:rPr>
            </w:pPr>
            <w:r w:rsidRPr="005D4222">
              <w:rPr>
                <w:b/>
                <w:szCs w:val="21"/>
              </w:rPr>
              <w:t>Step 3</w:t>
            </w:r>
            <w:r w:rsidRPr="005D4222">
              <w:rPr>
                <w:b/>
                <w:bCs w:val="0"/>
                <w:i/>
                <w:iCs/>
                <w:szCs w:val="21"/>
              </w:rPr>
              <w:t>.</w:t>
            </w:r>
            <w:r w:rsidRPr="005D4222">
              <w:rPr>
                <w:i/>
                <w:iCs/>
                <w:szCs w:val="21"/>
              </w:rPr>
              <w:t xml:space="preserve"> </w:t>
            </w:r>
            <w:r w:rsidRPr="005D4222">
              <w:t>Test for negative medication history. For each OUD dispensing event or OUD medication administration event in step 2, test for a negative medication history.</w:t>
            </w:r>
            <w:r w:rsidRPr="005D4222" w:rsidDel="00C06688">
              <w:t xml:space="preserve"> </w:t>
            </w:r>
            <w:r w:rsidRPr="005D4222">
              <w:t>Remove</w:t>
            </w:r>
            <w:r w:rsidRPr="005D4222" w:rsidDel="005C69F8">
              <w:t xml:space="preserve"> </w:t>
            </w:r>
            <w:r w:rsidRPr="005D4222">
              <w:t xml:space="preserve">events that do not have a negative medication history. All remaining events with a negative medication history are considered treatment period start dates. </w:t>
            </w:r>
          </w:p>
          <w:p w14:paraId="5508798C" w14:textId="77777777" w:rsidR="0070488F" w:rsidRPr="005D4222" w:rsidRDefault="0070488F">
            <w:pPr>
              <w:pStyle w:val="ECDSBody"/>
              <w:rPr>
                <w:rFonts w:eastAsia="Arial,Times New Roman"/>
              </w:rPr>
            </w:pPr>
            <w:r w:rsidRPr="005D4222">
              <w:rPr>
                <w:rFonts w:eastAsia="Arial,Times New Roman"/>
              </w:rPr>
              <w:t xml:space="preserve">Identify start and end dates for OUD dispensing events and OUD medication administration events. The start date is the event date and the end date is the start date plus the days supply minus one. </w:t>
            </w:r>
          </w:p>
          <w:p w14:paraId="412BC787" w14:textId="77777777" w:rsidR="0070488F" w:rsidRPr="005D4222" w:rsidRDefault="0070488F">
            <w:pPr>
              <w:pStyle w:val="ECDSBody"/>
              <w:rPr>
                <w:rFonts w:eastAsia="Arial,Times New Roman"/>
              </w:rPr>
            </w:pPr>
            <w:r w:rsidRPr="005D4222">
              <w:rPr>
                <w:rFonts w:eastAsia="Arial,Times New Roman"/>
              </w:rPr>
              <w:t>For OUD dispensing events and OUD medication administration events with overlapping days supply, apply the following rules:</w:t>
            </w:r>
          </w:p>
          <w:p w14:paraId="47924D73" w14:textId="77777777" w:rsidR="0070488F" w:rsidRPr="005D4222" w:rsidRDefault="0070488F" w:rsidP="0070488F">
            <w:pPr>
              <w:pStyle w:val="Bullet"/>
              <w:numPr>
                <w:ilvl w:val="0"/>
                <w:numId w:val="4"/>
              </w:numPr>
              <w:tabs>
                <w:tab w:val="left" w:pos="360"/>
                <w:tab w:val="left" w:pos="576"/>
              </w:tabs>
              <w:ind w:left="576" w:hanging="216"/>
              <w:rPr>
                <w:rFonts w:eastAsia="Arial,Times New Roman"/>
              </w:rPr>
            </w:pPr>
            <w:r w:rsidRPr="005D4222">
              <w:rPr>
                <w:rFonts w:eastAsia="Arial,Times New Roman"/>
              </w:rPr>
              <w:t xml:space="preserve">For multiple OUD dispensing events or OUD medication administration events for different medications on the same or different dates of service with overlapping days supply, calculate the start and end dates for each medication individually. </w:t>
            </w:r>
          </w:p>
          <w:p w14:paraId="52B21296" w14:textId="5089B939" w:rsidR="0070488F" w:rsidRPr="005D4222" w:rsidRDefault="0070488F" w:rsidP="0070488F">
            <w:pPr>
              <w:pStyle w:val="Dash"/>
              <w:tabs>
                <w:tab w:val="left" w:pos="576"/>
                <w:tab w:val="left" w:pos="792"/>
              </w:tabs>
              <w:rPr>
                <w:rFonts w:eastAsia="Arial,Times New Roman"/>
              </w:rPr>
            </w:pPr>
            <w:r w:rsidRPr="005D4222">
              <w:rPr>
                <w:rFonts w:eastAsia="Arial,Times New Roman"/>
                <w:i/>
                <w:iCs/>
              </w:rPr>
              <w:t>For example,</w:t>
            </w:r>
            <w:r w:rsidRPr="005D4222">
              <w:rPr>
                <w:rFonts w:eastAsia="Arial,Times New Roman"/>
              </w:rPr>
              <w:t xml:space="preserve"> if there is a 7</w:t>
            </w:r>
            <w:r w:rsidR="00CF717A" w:rsidRPr="005D4222">
              <w:rPr>
                <w:rFonts w:eastAsia="Arial,Times New Roman"/>
              </w:rPr>
              <w:t xml:space="preserve"> </w:t>
            </w:r>
            <w:r w:rsidRPr="005D4222">
              <w:rPr>
                <w:rFonts w:eastAsia="Arial,Times New Roman"/>
              </w:rPr>
              <w:t>days supply of oral buprenorphine on January 1 and a 31</w:t>
            </w:r>
            <w:r w:rsidR="00CF717A" w:rsidRPr="005D4222">
              <w:rPr>
                <w:rFonts w:eastAsia="Arial,Times New Roman"/>
              </w:rPr>
              <w:t xml:space="preserve"> </w:t>
            </w:r>
            <w:r w:rsidRPr="005D4222">
              <w:rPr>
                <w:rFonts w:eastAsia="Arial,Times New Roman"/>
              </w:rPr>
              <w:t xml:space="preserve">days supply of buprenorphine injection on </w:t>
            </w:r>
            <w:r w:rsidRPr="005D4222">
              <w:rPr>
                <w:rFonts w:eastAsia="Arial,Times New Roman"/>
              </w:rPr>
              <w:br/>
              <w:t>January 5:</w:t>
            </w:r>
          </w:p>
          <w:p w14:paraId="147FEE38" w14:textId="77777777" w:rsidR="0070488F" w:rsidRPr="005D4222" w:rsidRDefault="0070488F" w:rsidP="0070488F">
            <w:pPr>
              <w:pStyle w:val="Box"/>
              <w:tabs>
                <w:tab w:val="left" w:pos="792"/>
              </w:tabs>
              <w:ind w:left="1008" w:hanging="216"/>
              <w:rPr>
                <w:rFonts w:eastAsia="Arial,Times New Roman"/>
              </w:rPr>
            </w:pPr>
            <w:r w:rsidRPr="005D4222">
              <w:rPr>
                <w:rFonts w:eastAsia="Arial,Times New Roman"/>
              </w:rPr>
              <w:t>The oral buprenorphine start date is January 1 and the end date is January 7.</w:t>
            </w:r>
          </w:p>
          <w:p w14:paraId="0AE29923" w14:textId="77777777" w:rsidR="0070488F" w:rsidRPr="005D4222" w:rsidRDefault="0070488F" w:rsidP="0070488F">
            <w:pPr>
              <w:pStyle w:val="Box"/>
              <w:tabs>
                <w:tab w:val="left" w:pos="792"/>
              </w:tabs>
              <w:ind w:left="1008" w:hanging="216"/>
              <w:rPr>
                <w:rFonts w:eastAsia="Arial,Times New Roman"/>
              </w:rPr>
            </w:pPr>
            <w:r w:rsidRPr="005D4222">
              <w:rPr>
                <w:rFonts w:eastAsia="Arial,Times New Roman"/>
              </w:rPr>
              <w:t>The buprenorphine injection start date is January 5 and the end date is February 4.</w:t>
            </w:r>
          </w:p>
          <w:p w14:paraId="7CAB4A64" w14:textId="3E1CBCF8" w:rsidR="0070488F" w:rsidRPr="005D4222" w:rsidRDefault="0070488F" w:rsidP="00147367">
            <w:pPr>
              <w:pStyle w:val="Bullet"/>
              <w:numPr>
                <w:ilvl w:val="0"/>
                <w:numId w:val="4"/>
              </w:numPr>
              <w:tabs>
                <w:tab w:val="left" w:pos="360"/>
                <w:tab w:val="left" w:pos="576"/>
              </w:tabs>
              <w:spacing w:after="80"/>
              <w:ind w:left="576" w:hanging="216"/>
              <w:rPr>
                <w:rFonts w:eastAsia="Arial,Times New Roman"/>
              </w:rPr>
            </w:pPr>
            <w:r w:rsidRPr="005D4222">
              <w:rPr>
                <w:rFonts w:eastAsia="Arial,Times New Roman"/>
              </w:rPr>
              <w:t xml:space="preserve">For multiple OUD dispensing events or OUD medication administration events for the same medication on the same date of service or on different dates of service with overlapping days supply, sum the days supply and then calculate start and end dates. </w:t>
            </w:r>
          </w:p>
        </w:tc>
      </w:tr>
    </w:tbl>
    <w:p w14:paraId="5A14AC2D" w14:textId="77777777" w:rsidR="00147367" w:rsidRPr="005D4222" w:rsidRDefault="00147367"/>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147367" w:rsidRPr="005D4222" w14:paraId="6B130C75" w14:textId="77777777">
        <w:trPr>
          <w:trHeight w:val="320"/>
        </w:trPr>
        <w:tc>
          <w:tcPr>
            <w:tcW w:w="2157" w:type="dxa"/>
            <w:tcBorders>
              <w:top w:val="single" w:sz="4" w:space="0" w:color="auto"/>
            </w:tcBorders>
            <w:shd w:val="clear" w:color="auto" w:fill="BFBFBF" w:themeFill="background1" w:themeFillShade="BF"/>
            <w:tcMar>
              <w:top w:w="0" w:type="dxa"/>
              <w:left w:w="86" w:type="dxa"/>
              <w:bottom w:w="43" w:type="dxa"/>
              <w:right w:w="86" w:type="dxa"/>
            </w:tcMar>
          </w:tcPr>
          <w:p w14:paraId="65D73B08" w14:textId="77777777" w:rsidR="00147367" w:rsidRPr="005D4222" w:rsidRDefault="00147367">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C18A8FA" w14:textId="77777777" w:rsidR="00147367" w:rsidRPr="005D4222" w:rsidRDefault="00147367" w:rsidP="00147367">
            <w:pPr>
              <w:pStyle w:val="Bullet"/>
              <w:numPr>
                <w:ilvl w:val="0"/>
                <w:numId w:val="0"/>
              </w:numPr>
              <w:ind w:left="576"/>
              <w:rPr>
                <w:rFonts w:eastAsia="Arial,Times New Roman"/>
              </w:rPr>
            </w:pPr>
            <w:r w:rsidRPr="005D4222">
              <w:rPr>
                <w:rFonts w:eastAsia="Arial,Times New Roman"/>
                <w:i/>
                <w:iCs/>
              </w:rPr>
              <w:t xml:space="preserve">For example: </w:t>
            </w:r>
          </w:p>
          <w:p w14:paraId="79174374" w14:textId="3A1AF835" w:rsidR="00147367" w:rsidRPr="005D4222" w:rsidRDefault="00147367" w:rsidP="00147367">
            <w:pPr>
              <w:pStyle w:val="Dash"/>
              <w:tabs>
                <w:tab w:val="left" w:pos="576"/>
                <w:tab w:val="left" w:pos="792"/>
              </w:tabs>
              <w:rPr>
                <w:rFonts w:eastAsia="Arial,Times New Roman"/>
              </w:rPr>
            </w:pPr>
            <w:r w:rsidRPr="005D4222">
              <w:rPr>
                <w:rFonts w:eastAsia="Arial,Times New Roman"/>
              </w:rPr>
              <w:t>If a 7</w:t>
            </w:r>
            <w:r w:rsidR="00CF717A" w:rsidRPr="005D4222">
              <w:rPr>
                <w:rFonts w:eastAsia="Arial,Times New Roman"/>
              </w:rPr>
              <w:t xml:space="preserve"> </w:t>
            </w:r>
            <w:r w:rsidRPr="005D4222">
              <w:rPr>
                <w:rFonts w:eastAsia="Arial,Times New Roman"/>
              </w:rPr>
              <w:t xml:space="preserve">days supply and a 14-days supply of buprenorphine are dispensed on January 1, the start date is January 1 and the end date is January 21. </w:t>
            </w:r>
          </w:p>
          <w:p w14:paraId="0C83A1AB" w14:textId="142C6930" w:rsidR="00147367" w:rsidRPr="005D4222" w:rsidRDefault="00147367" w:rsidP="0074275F">
            <w:pPr>
              <w:pStyle w:val="Dash"/>
              <w:tabs>
                <w:tab w:val="left" w:pos="576"/>
                <w:tab w:val="left" w:pos="792"/>
              </w:tabs>
              <w:rPr>
                <w:rFonts w:eastAsia="Arial,Times New Roman"/>
              </w:rPr>
            </w:pPr>
            <w:r w:rsidRPr="005D4222">
              <w:rPr>
                <w:rFonts w:eastAsia="Arial,Times New Roman"/>
              </w:rPr>
              <w:t>If a 7</w:t>
            </w:r>
            <w:r w:rsidR="00CF717A" w:rsidRPr="005D4222">
              <w:rPr>
                <w:rFonts w:eastAsia="Arial,Times New Roman"/>
              </w:rPr>
              <w:t xml:space="preserve"> </w:t>
            </w:r>
            <w:r w:rsidRPr="005D4222">
              <w:rPr>
                <w:rFonts w:eastAsia="Arial,Times New Roman"/>
              </w:rPr>
              <w:t xml:space="preserve">days supply of buprenorphine is dispensed on January 1 and January 5, the start date is January 1 and the end date is January 14. </w:t>
            </w:r>
          </w:p>
          <w:p w14:paraId="30DDDF95" w14:textId="77777777" w:rsidR="00147367" w:rsidRPr="005D4222" w:rsidRDefault="00147367" w:rsidP="0074275F">
            <w:pPr>
              <w:pStyle w:val="Dash"/>
              <w:tabs>
                <w:tab w:val="left" w:pos="576"/>
                <w:tab w:val="left" w:pos="792"/>
              </w:tabs>
              <w:rPr>
                <w:rFonts w:eastAsia="Arial,Times New Roman"/>
              </w:rPr>
            </w:pPr>
            <w:r w:rsidRPr="005D4222">
              <w:rPr>
                <w:rFonts w:eastAsia="Arial,Times New Roman"/>
              </w:rPr>
              <w:t xml:space="preserve">If a person has three codes (or one code billed as three units) from the </w:t>
            </w:r>
            <w:r w:rsidRPr="005D4222">
              <w:rPr>
                <w:rFonts w:eastAsia="Arial,Times New Roman"/>
                <w:u w:val="single"/>
              </w:rPr>
              <w:t>Buprenorphine Oral Weekly Value Set</w:t>
            </w:r>
            <w:r w:rsidRPr="005D4222">
              <w:rPr>
                <w:rFonts w:eastAsia="Arial,Times New Roman"/>
              </w:rPr>
              <w:t xml:space="preserve"> on January 1, the start date is January 1 and the end date is January 21.</w:t>
            </w:r>
          </w:p>
          <w:p w14:paraId="4AD73563" w14:textId="77777777" w:rsidR="00147367" w:rsidRPr="005D4222" w:rsidRDefault="00147367" w:rsidP="0074275F">
            <w:pPr>
              <w:pStyle w:val="Dash"/>
              <w:tabs>
                <w:tab w:val="left" w:pos="576"/>
                <w:tab w:val="left" w:pos="792"/>
              </w:tabs>
              <w:rPr>
                <w:rFonts w:eastAsia="Arial,Times New Roman"/>
              </w:rPr>
            </w:pPr>
            <w:r w:rsidRPr="005D4222">
              <w:rPr>
                <w:rFonts w:eastAsia="Arial,Times New Roman"/>
              </w:rPr>
              <w:t xml:space="preserve">If a person has four codes (or one code billed as four units) from the </w:t>
            </w:r>
            <w:r w:rsidRPr="005D4222">
              <w:rPr>
                <w:rFonts w:eastAsia="Arial,Times New Roman"/>
                <w:u w:val="single"/>
              </w:rPr>
              <w:t>Methadone Oral Weekly Value Set</w:t>
            </w:r>
            <w:r w:rsidRPr="005D4222">
              <w:rPr>
                <w:rFonts w:eastAsia="Arial,Times New Roman"/>
              </w:rPr>
              <w:t xml:space="preserve"> on January 1, the start date is January 1 and the end date is January 28.</w:t>
            </w:r>
          </w:p>
          <w:p w14:paraId="3D280423" w14:textId="77777777" w:rsidR="00147367" w:rsidRPr="005D4222" w:rsidRDefault="00147367" w:rsidP="00147367">
            <w:pPr>
              <w:pStyle w:val="ECDSBody"/>
              <w:rPr>
                <w:rFonts w:eastAsia="Arial,Times New Roman"/>
              </w:rPr>
            </w:pPr>
            <w:r w:rsidRPr="005D4222" w:rsidDel="00D63A4E">
              <w:rPr>
                <w:rFonts w:eastAsia="Arial,Times New Roman"/>
                <w:i/>
                <w:iCs/>
              </w:rPr>
              <w:t xml:space="preserve">For </w:t>
            </w:r>
            <w:r w:rsidRPr="005D4222">
              <w:rPr>
                <w:rFonts w:eastAsia="Arial,Times New Roman"/>
                <w:i/>
                <w:iCs/>
              </w:rPr>
              <w:t xml:space="preserve">OUD </w:t>
            </w:r>
            <w:r w:rsidRPr="005D4222" w:rsidDel="00D63A4E">
              <w:rPr>
                <w:rFonts w:eastAsia="Arial,Times New Roman"/>
                <w:i/>
                <w:iCs/>
              </w:rPr>
              <w:t>medication administration events identified using a value set,</w:t>
            </w:r>
            <w:r w:rsidRPr="005D4222" w:rsidDel="00D63A4E">
              <w:rPr>
                <w:rFonts w:eastAsia="Arial,Times New Roman"/>
              </w:rPr>
              <w:t xml:space="preserve"> use </w:t>
            </w:r>
            <w:r w:rsidRPr="005D4222">
              <w:rPr>
                <w:rFonts w:eastAsia="Arial,Times New Roman"/>
              </w:rPr>
              <w:t xml:space="preserve">the </w:t>
            </w:r>
            <w:r w:rsidRPr="005D4222" w:rsidDel="00D63A4E">
              <w:rPr>
                <w:rFonts w:eastAsia="Arial,Times New Roman"/>
              </w:rPr>
              <w:t xml:space="preserve">days supply listed in the Opioid Use Disorder Treatment Medications table. </w:t>
            </w:r>
          </w:p>
          <w:p w14:paraId="43337F24" w14:textId="60739BD6" w:rsidR="00147367" w:rsidRPr="005D4222" w:rsidRDefault="00147367" w:rsidP="00147367">
            <w:pPr>
              <w:pStyle w:val="ECDSBody"/>
              <w:rPr>
                <w:rFonts w:eastAsia="Arial,Times New Roman"/>
              </w:rPr>
            </w:pPr>
            <w:r w:rsidRPr="005D4222" w:rsidDel="00D63A4E">
              <w:rPr>
                <w:rFonts w:eastAsia="Arial,Times New Roman"/>
                <w:i/>
                <w:iCs/>
              </w:rPr>
              <w:t xml:space="preserve">For </w:t>
            </w:r>
            <w:r w:rsidRPr="005D4222">
              <w:rPr>
                <w:rFonts w:eastAsia="Arial,Times New Roman"/>
                <w:i/>
                <w:iCs/>
              </w:rPr>
              <w:t xml:space="preserve">OUD </w:t>
            </w:r>
            <w:r w:rsidRPr="005D4222" w:rsidDel="00D63A4E">
              <w:rPr>
                <w:rFonts w:eastAsia="Arial,Times New Roman"/>
                <w:i/>
                <w:iCs/>
              </w:rPr>
              <w:t>dispensing events identified using a medication list,</w:t>
            </w:r>
            <w:r w:rsidRPr="005D4222" w:rsidDel="00D63A4E">
              <w:rPr>
                <w:rFonts w:eastAsia="Arial,Times New Roman"/>
              </w:rPr>
              <w:t xml:space="preserve"> use </w:t>
            </w:r>
            <w:r w:rsidRPr="005D4222">
              <w:rPr>
                <w:rFonts w:eastAsia="Arial,Times New Roman"/>
              </w:rPr>
              <w:t xml:space="preserve">the </w:t>
            </w:r>
            <w:r w:rsidRPr="005D4222" w:rsidDel="00D63A4E">
              <w:rPr>
                <w:rFonts w:eastAsia="Arial,Times New Roman"/>
              </w:rPr>
              <w:t xml:space="preserve">days supply in the pharmacy data. If days supply is not available in the pharmacy data then use </w:t>
            </w:r>
            <w:r w:rsidRPr="005D4222">
              <w:rPr>
                <w:rFonts w:eastAsia="Arial,Times New Roman"/>
              </w:rPr>
              <w:t xml:space="preserve">the </w:t>
            </w:r>
            <w:r w:rsidRPr="005D4222" w:rsidDel="00D63A4E">
              <w:rPr>
                <w:rFonts w:eastAsia="Arial,Times New Roman"/>
              </w:rPr>
              <w:t>days supply listed for the corresponding value set.</w:t>
            </w:r>
            <w:r w:rsidRPr="005D4222">
              <w:rPr>
                <w:rFonts w:eastAsia="Arial,Times New Roman"/>
              </w:rPr>
              <w:t xml:space="preserve"> If the pharmacy data for a buprenorphine oral medication does not contain days supply, count as a 7</w:t>
            </w:r>
            <w:r w:rsidR="00CF717A" w:rsidRPr="005D4222">
              <w:rPr>
                <w:rFonts w:eastAsia="Arial,Times New Roman"/>
              </w:rPr>
              <w:t xml:space="preserve"> </w:t>
            </w:r>
            <w:r w:rsidRPr="005D4222">
              <w:rPr>
                <w:rFonts w:eastAsia="Arial,Times New Roman"/>
              </w:rPr>
              <w:t>days supply.</w:t>
            </w:r>
          </w:p>
          <w:p w14:paraId="29A16C69" w14:textId="77777777" w:rsidR="00147367" w:rsidRPr="005D4222" w:rsidRDefault="00147367" w:rsidP="00147367">
            <w:pPr>
              <w:pStyle w:val="ECDSBody"/>
              <w:rPr>
                <w:rFonts w:eastAsia="Arial,Times New Roman"/>
              </w:rPr>
            </w:pPr>
            <w:r w:rsidRPr="005D4222">
              <w:rPr>
                <w:b/>
              </w:rPr>
              <w:t>Step 4</w:t>
            </w:r>
            <w:r w:rsidRPr="005D4222">
              <w:rPr>
                <w:b/>
                <w:i/>
              </w:rPr>
              <w:t xml:space="preserve">. </w:t>
            </w:r>
            <w:r w:rsidRPr="005D4222">
              <w:rPr>
                <w:rFonts w:eastAsia="Arial,Times New Roman"/>
              </w:rPr>
              <w:t>Remove any treatment period start dates where the person had a</w:t>
            </w:r>
            <w:r w:rsidRPr="005D4222">
              <w:t>n acute or nonacute inpatient stay of 8 or more days during the treatment period:</w:t>
            </w:r>
          </w:p>
          <w:p w14:paraId="30C8B3F0" w14:textId="77777777" w:rsidR="00147367" w:rsidRPr="005D4222" w:rsidRDefault="00147367" w:rsidP="00147367">
            <w:pPr>
              <w:pStyle w:val="Body"/>
              <w:spacing w:before="80"/>
              <w:ind w:left="648" w:hanging="288"/>
            </w:pPr>
            <w:r w:rsidRPr="005D4222">
              <w:t>1.</w:t>
            </w:r>
            <w:r w:rsidRPr="005D4222">
              <w:tab/>
              <w:t>Identify all acute and nonacute inpatient stays (</w:t>
            </w:r>
            <w:r w:rsidRPr="005D4222">
              <w:rPr>
                <w:u w:val="single"/>
              </w:rPr>
              <w:t>Inpatient Stay Value Set</w:t>
            </w:r>
            <w:r w:rsidRPr="005D4222">
              <w:t>).</w:t>
            </w:r>
          </w:p>
          <w:p w14:paraId="1EABD615" w14:textId="77777777" w:rsidR="00147367" w:rsidRPr="005D4222" w:rsidRDefault="00147367" w:rsidP="00147367">
            <w:pPr>
              <w:pStyle w:val="Body"/>
              <w:spacing w:before="80"/>
              <w:ind w:left="648" w:hanging="288"/>
              <w:rPr>
                <w:rStyle w:val="eop"/>
                <w:rFonts w:eastAsiaTheme="majorEastAsia" w:cs="Arial"/>
              </w:rPr>
            </w:pPr>
            <w:r w:rsidRPr="005D4222">
              <w:t>2.</w:t>
            </w:r>
            <w:r w:rsidRPr="005D4222">
              <w:tab/>
              <w:t>Identify the admission and discharge dates for the stay.</w:t>
            </w:r>
            <w:r w:rsidRPr="005D4222">
              <w:rPr>
                <w:rStyle w:val="eop"/>
                <w:rFonts w:eastAsiaTheme="majorEastAsia" w:cs="Arial"/>
              </w:rPr>
              <w:t> </w:t>
            </w:r>
          </w:p>
          <w:p w14:paraId="41409994" w14:textId="77777777" w:rsidR="00147367" w:rsidRPr="005D4222" w:rsidRDefault="00147367" w:rsidP="00147367">
            <w:pPr>
              <w:pStyle w:val="Body"/>
              <w:spacing w:before="80"/>
              <w:ind w:left="648" w:hanging="288"/>
            </w:pPr>
            <w:r w:rsidRPr="005D4222">
              <w:t>3.</w:t>
            </w:r>
            <w:r w:rsidRPr="005D4222">
              <w:tab/>
              <w:t>Calculate length of stay (LOS) as the admission date through and including the discharge date. If there are direct transfers between stays, add the LOS from any subsequent direct transfers to the initial LOS to calculate a total LOS. If direct transfer days overlap, count each day only once.</w:t>
            </w:r>
          </w:p>
          <w:p w14:paraId="66509436" w14:textId="77777777" w:rsidR="00147367" w:rsidRPr="005D4222" w:rsidRDefault="00147367" w:rsidP="00147367">
            <w:pPr>
              <w:pStyle w:val="Bullet"/>
              <w:numPr>
                <w:ilvl w:val="0"/>
                <w:numId w:val="4"/>
              </w:numPr>
              <w:tabs>
                <w:tab w:val="left" w:pos="360"/>
                <w:tab w:val="left" w:pos="576"/>
              </w:tabs>
              <w:ind w:left="576" w:hanging="216"/>
              <w:rPr>
                <w:rFonts w:eastAsia="Arial,Times New Roman"/>
                <w:i/>
                <w:iCs/>
              </w:rPr>
            </w:pPr>
            <w:r w:rsidRPr="005D4222">
              <w:rPr>
                <w:rFonts w:eastAsia="Arial,Times New Roman"/>
                <w:i/>
                <w:iCs/>
              </w:rPr>
              <w:t>For example:</w:t>
            </w:r>
          </w:p>
          <w:p w14:paraId="3C52C677" w14:textId="77777777" w:rsidR="00147367" w:rsidRPr="005D4222" w:rsidRDefault="00147367" w:rsidP="00147367">
            <w:pPr>
              <w:pStyle w:val="Dash"/>
              <w:tabs>
                <w:tab w:val="left" w:pos="576"/>
                <w:tab w:val="left" w:pos="792"/>
              </w:tabs>
              <w:rPr>
                <w:rFonts w:eastAsia="Arial,Times New Roman"/>
              </w:rPr>
            </w:pPr>
            <w:r w:rsidRPr="005D4222">
              <w:rPr>
                <w:rFonts w:eastAsia="Arial,Times New Roman"/>
              </w:rPr>
              <w:t>Remove a July 1 treatment period start date where a person was admitted for an inpatient hospital stay on August 1 and discharged on August 8 (LOS = 8 days).</w:t>
            </w:r>
          </w:p>
          <w:p w14:paraId="4E949DD1" w14:textId="77777777" w:rsidR="00147367" w:rsidRPr="005D4222" w:rsidRDefault="00147367" w:rsidP="00147367">
            <w:pPr>
              <w:pStyle w:val="Dash"/>
              <w:tabs>
                <w:tab w:val="left" w:pos="576"/>
                <w:tab w:val="left" w:pos="792"/>
              </w:tabs>
              <w:rPr>
                <w:rFonts w:eastAsia="Arial,Times New Roman"/>
              </w:rPr>
            </w:pPr>
            <w:r w:rsidRPr="005D4222">
              <w:rPr>
                <w:rFonts w:eastAsia="Arial,Times New Roman"/>
              </w:rPr>
              <w:t>Remove a July 1 treatment period start date where a person had an acute inpatient stay (admission date August 1; discharge date August 4; LOS = 4 days), followed by a direct transfer to a nonacute inpatient facility (admission date August 5; discharge date August 8; LOS = 4 days). Total LOS = 8 days.</w:t>
            </w:r>
          </w:p>
          <w:p w14:paraId="0D0099A5" w14:textId="0BD3D352" w:rsidR="00147367" w:rsidRPr="005D4222" w:rsidRDefault="00147367" w:rsidP="00147367">
            <w:pPr>
              <w:pStyle w:val="ECDSBody"/>
              <w:rPr>
                <w:i/>
                <w:iCs/>
              </w:rPr>
            </w:pPr>
            <w:r w:rsidRPr="005D4222">
              <w:rPr>
                <w:rFonts w:eastAsia="Arial,Times New Roman"/>
              </w:rPr>
              <w:t>Do not remove a July 1 treatment period start date where a person had an acute inpatient stay (admission date August 1; discharge date August 4; LOS = 4 days), followed by a direct transfer to a nonacute inpatient facility (admission date August 4; discharge date August 7, LOS = 4 days). Total LOS = 7 days (do not double count August 4).</w:t>
            </w:r>
          </w:p>
        </w:tc>
      </w:tr>
    </w:tbl>
    <w:p w14:paraId="27D943CA" w14:textId="77777777" w:rsidR="00147367" w:rsidRPr="005D4222" w:rsidRDefault="00147367">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147367" w:rsidRPr="005D4222" w14:paraId="28FCCB87" w14:textId="77777777">
        <w:trPr>
          <w:trHeight w:val="320"/>
        </w:trPr>
        <w:tc>
          <w:tcPr>
            <w:tcW w:w="2157" w:type="dxa"/>
            <w:tcBorders>
              <w:top w:val="single" w:sz="4" w:space="0" w:color="auto"/>
            </w:tcBorders>
            <w:shd w:val="clear" w:color="auto" w:fill="BFBFBF" w:themeFill="background1" w:themeFillShade="BF"/>
            <w:tcMar>
              <w:top w:w="0" w:type="dxa"/>
              <w:left w:w="86" w:type="dxa"/>
              <w:bottom w:w="43" w:type="dxa"/>
              <w:right w:w="86" w:type="dxa"/>
            </w:tcMar>
          </w:tcPr>
          <w:p w14:paraId="0392DADD" w14:textId="77777777" w:rsidR="00147367" w:rsidRPr="005D4222" w:rsidRDefault="00147367">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D194C3E" w14:textId="77777777" w:rsidR="00147367" w:rsidRPr="005D4222" w:rsidRDefault="00147367" w:rsidP="00147367">
            <w:pPr>
              <w:pStyle w:val="Body"/>
              <w:spacing w:before="120"/>
              <w:rPr>
                <w:rFonts w:eastAsia="Arial,Times New Roman"/>
              </w:rPr>
            </w:pPr>
            <w:r w:rsidRPr="005D4222">
              <w:rPr>
                <w:rFonts w:cs="Arial"/>
                <w:b/>
                <w:szCs w:val="21"/>
              </w:rPr>
              <w:t>Step 5</w:t>
            </w:r>
            <w:r w:rsidRPr="005D4222">
              <w:rPr>
                <w:rFonts w:cs="Arial"/>
                <w:b/>
                <w:i/>
                <w:szCs w:val="21"/>
              </w:rPr>
              <w:t xml:space="preserve">. </w:t>
            </w:r>
            <w:r w:rsidRPr="005D4222">
              <w:rPr>
                <w:rFonts w:eastAsia="Arial,Times New Roman"/>
              </w:rPr>
              <w:t xml:space="preserve">Calculate continuous enrollment. </w:t>
            </w:r>
          </w:p>
          <w:p w14:paraId="3E8EA83C" w14:textId="77777777" w:rsidR="00147367" w:rsidRPr="005D4222" w:rsidRDefault="00147367" w:rsidP="00147367">
            <w:pPr>
              <w:pStyle w:val="Note"/>
              <w:rPr>
                <w:rFonts w:cs="Arial"/>
                <w:i w:val="0"/>
              </w:rPr>
            </w:pPr>
            <w:r w:rsidRPr="005D4222">
              <w:rPr>
                <w:rFonts w:eastAsia="Arial,Times New Roman"/>
                <w:b/>
              </w:rPr>
              <w:t>Note:</w:t>
            </w:r>
            <w:r w:rsidRPr="005D4222">
              <w:rPr>
                <w:rFonts w:eastAsia="Arial,Times New Roman"/>
              </w:rPr>
              <w:t xml:space="preserve"> All treatment period start dates (OUD dispensing events or OUD medication administration events) that were not removed remain in the initial population. The denominator for this measure is based on events, not persons.</w:t>
            </w:r>
          </w:p>
          <w:p w14:paraId="01D8EB1B" w14:textId="77777777" w:rsidR="00147367" w:rsidRPr="005D4222" w:rsidRDefault="00147367" w:rsidP="00147367">
            <w:pPr>
              <w:pStyle w:val="ECDSBody"/>
              <w:spacing w:after="0"/>
              <w:rPr>
                <w:rFonts w:eastAsia="Arial,Times New Roman"/>
                <w:b/>
                <w:bCs w:val="0"/>
              </w:rPr>
            </w:pPr>
            <w:r w:rsidRPr="005D4222">
              <w:rPr>
                <w:rFonts w:eastAsia="Arial,Times New Roman"/>
                <w:b/>
                <w:bCs w:val="0"/>
              </w:rPr>
              <w:t>Coding Guidance</w:t>
            </w:r>
          </w:p>
          <w:p w14:paraId="33E31080" w14:textId="79C00E19" w:rsidR="00147367" w:rsidRPr="005D4222" w:rsidRDefault="00147367" w:rsidP="00147367">
            <w:pPr>
              <w:pStyle w:val="ECDSBody"/>
              <w:spacing w:before="0"/>
              <w:rPr>
                <w:i/>
                <w:iCs/>
              </w:rPr>
            </w:pPr>
            <w:r w:rsidRPr="005D4222">
              <w:rPr>
                <w:rFonts w:eastAsia="Arial,Times New Roman"/>
              </w:rPr>
              <w:t>*Do not include laboratory claims (claims with POS code 81).</w:t>
            </w:r>
          </w:p>
        </w:tc>
      </w:tr>
      <w:tr w:rsidR="0070488F" w:rsidRPr="005D4222" w14:paraId="5BCDB03B" w14:textId="77777777">
        <w:tc>
          <w:tcPr>
            <w:tcW w:w="2157" w:type="dxa"/>
            <w:shd w:val="clear" w:color="auto" w:fill="BFBFBF" w:themeFill="background1" w:themeFillShade="BF"/>
            <w:tcMar>
              <w:top w:w="0" w:type="dxa"/>
              <w:left w:w="86" w:type="dxa"/>
              <w:bottom w:w="43" w:type="dxa"/>
              <w:right w:w="86" w:type="dxa"/>
            </w:tcMar>
          </w:tcPr>
          <w:p w14:paraId="2B73A654" w14:textId="77777777" w:rsidR="0070488F" w:rsidRPr="005D4222" w:rsidRDefault="0070488F">
            <w:pPr>
              <w:pStyle w:val="ECDSMarginHead"/>
            </w:pPr>
            <w:r w:rsidRPr="005D4222">
              <w:t xml:space="preserve">Denominator exclusions </w:t>
            </w:r>
          </w:p>
        </w:tc>
        <w:tc>
          <w:tcPr>
            <w:tcW w:w="7557" w:type="dxa"/>
            <w:tcMar>
              <w:top w:w="0" w:type="dxa"/>
              <w:left w:w="86" w:type="dxa"/>
              <w:bottom w:w="43" w:type="dxa"/>
              <w:right w:w="86" w:type="dxa"/>
            </w:tcMar>
            <w:vAlign w:val="center"/>
          </w:tcPr>
          <w:p w14:paraId="0EC0A7CE" w14:textId="77777777" w:rsidR="0070488F" w:rsidRPr="005D4222" w:rsidRDefault="0070488F">
            <w:pPr>
              <w:pStyle w:val="ECDSBody"/>
              <w:rPr>
                <w:rFonts w:cs="Segoe UI"/>
                <w:szCs w:val="18"/>
              </w:rPr>
            </w:pPr>
            <w:r w:rsidRPr="005D4222">
              <w:rPr>
                <w:b/>
              </w:rPr>
              <w:t xml:space="preserve">Persons with a date of death. </w:t>
            </w:r>
            <w:r w:rsidRPr="005D4222">
              <w:rPr>
                <w:b/>
              </w:rPr>
              <w:br/>
            </w:r>
            <w:r w:rsidRPr="005D4222">
              <w:t>Death in the measurement period, identified using data sources determined by the organization. Method and data sources are subject to review during the HEDIS audit.  </w:t>
            </w:r>
          </w:p>
          <w:p w14:paraId="0FF241A9" w14:textId="77777777" w:rsidR="0070488F" w:rsidRPr="005D4222" w:rsidRDefault="0070488F">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70488F" w:rsidRPr="005D4222" w14:paraId="6E34588F" w14:textId="77777777">
        <w:tc>
          <w:tcPr>
            <w:tcW w:w="2157" w:type="dxa"/>
            <w:shd w:val="clear" w:color="auto" w:fill="BFBFBF" w:themeFill="background1" w:themeFillShade="BF"/>
            <w:tcMar>
              <w:top w:w="0" w:type="dxa"/>
              <w:left w:w="86" w:type="dxa"/>
              <w:bottom w:w="43" w:type="dxa"/>
              <w:right w:w="86" w:type="dxa"/>
            </w:tcMar>
          </w:tcPr>
          <w:p w14:paraId="7CEEBE57" w14:textId="77777777" w:rsidR="0070488F" w:rsidRPr="005D4222" w:rsidRDefault="0070488F">
            <w:pPr>
              <w:pStyle w:val="ECDSMarginHead"/>
            </w:pPr>
            <w:r w:rsidRPr="005D4222">
              <w:t>Denominator</w:t>
            </w:r>
          </w:p>
        </w:tc>
        <w:tc>
          <w:tcPr>
            <w:tcW w:w="7557" w:type="dxa"/>
            <w:tcMar>
              <w:top w:w="0" w:type="dxa"/>
              <w:left w:w="86" w:type="dxa"/>
              <w:bottom w:w="43" w:type="dxa"/>
              <w:right w:w="86" w:type="dxa"/>
            </w:tcMar>
          </w:tcPr>
          <w:p w14:paraId="6E0919EC" w14:textId="77777777" w:rsidR="0070488F" w:rsidRPr="005D4222" w:rsidRDefault="0070488F">
            <w:pPr>
              <w:pStyle w:val="ECDSBody"/>
              <w:rPr>
                <w:rFonts w:eastAsia="Arial,Arial,Arial,Arial,Arial,A"/>
              </w:rPr>
            </w:pPr>
            <w:r w:rsidRPr="005D4222">
              <w:rPr>
                <w:rFonts w:eastAsia="Arial,Arial,Arial,Arial,Arial,A"/>
              </w:rPr>
              <w:t>The initial population minus denominator exclusions.</w:t>
            </w:r>
          </w:p>
        </w:tc>
      </w:tr>
      <w:tr w:rsidR="0070488F" w:rsidRPr="005D4222" w14:paraId="0F8831AC" w14:textId="77777777">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9366074" w14:textId="77777777" w:rsidR="0070488F" w:rsidRPr="005D4222" w:rsidRDefault="0070488F">
            <w:pPr>
              <w:pStyle w:val="ECDSMarginHead"/>
            </w:pPr>
            <w:r w:rsidRPr="005D4222">
              <w:t>Numerator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661F41BE" w14:textId="77777777" w:rsidR="0070488F" w:rsidRPr="005D4222" w:rsidRDefault="0070488F">
            <w:pPr>
              <w:pStyle w:val="ECDSBody"/>
            </w:pPr>
            <w:r w:rsidRPr="005D4222">
              <w:rPr>
                <w:b/>
              </w:rPr>
              <w:t>New OUD pharmacotherapy events with OUD pharmacotherapy.</w:t>
            </w:r>
            <w:r w:rsidRPr="005D4222">
              <w:rPr>
                <w:b/>
              </w:rPr>
              <w:br/>
            </w:r>
            <w:r w:rsidRPr="005D4222">
              <w:t>New OUD pharmacotherapy events with OUD pharmacotherapy for 180 or more days without a gap in treatment of 8 or more consecutive days.</w:t>
            </w:r>
            <w:r w:rsidRPr="005D4222">
              <w:rPr>
                <w:bCs w:val="0"/>
              </w:rPr>
              <w:t xml:space="preserve"> Use the steps below to identify the numerator.</w:t>
            </w:r>
          </w:p>
          <w:p w14:paraId="5829FCAD" w14:textId="77777777" w:rsidR="0070488F" w:rsidRPr="005D4222" w:rsidRDefault="0070488F">
            <w:pPr>
              <w:pStyle w:val="ECDSBody"/>
              <w:rPr>
                <w:rFonts w:eastAsia="Arial,Times New Roman"/>
              </w:rPr>
            </w:pPr>
            <w:r w:rsidRPr="005D4222">
              <w:rPr>
                <w:rFonts w:eastAsia="Arial,Times New Roman"/>
                <w:b/>
              </w:rPr>
              <w:t>Step 1</w:t>
            </w:r>
            <w:r w:rsidRPr="005D4222">
              <w:rPr>
                <w:rFonts w:eastAsia="Arial,Times New Roman"/>
                <w:b/>
                <w:bCs w:val="0"/>
                <w:i/>
                <w:iCs/>
              </w:rPr>
              <w:t>.</w:t>
            </w:r>
            <w:r w:rsidRPr="005D4222">
              <w:rPr>
                <w:rFonts w:eastAsia="Arial,Times New Roman"/>
                <w:i/>
                <w:iCs/>
              </w:rPr>
              <w:t xml:space="preserve"> </w:t>
            </w:r>
            <w:r w:rsidRPr="005D4222">
              <w:rPr>
                <w:rFonts w:eastAsia="Arial,Times New Roman"/>
              </w:rPr>
              <w:t>Identify the treatment period for each treatment period start date in the denominator.</w:t>
            </w:r>
          </w:p>
          <w:p w14:paraId="5DCF4CD7" w14:textId="77777777" w:rsidR="0070488F" w:rsidRPr="005D4222" w:rsidRDefault="0070488F">
            <w:pPr>
              <w:pStyle w:val="ECDSBody"/>
              <w:rPr>
                <w:rFonts w:eastAsia="Arial,Times New Roman"/>
                <w:szCs w:val="21"/>
              </w:rPr>
            </w:pPr>
            <w:r w:rsidRPr="005D4222">
              <w:rPr>
                <w:rFonts w:eastAsia="Arial,Times New Roman"/>
                <w:b/>
              </w:rPr>
              <w:t>Step 2</w:t>
            </w:r>
            <w:r w:rsidRPr="005D4222">
              <w:rPr>
                <w:rFonts w:eastAsia="Arial,Times New Roman"/>
                <w:b/>
                <w:bCs w:val="0"/>
                <w:i/>
                <w:iCs/>
              </w:rPr>
              <w:t>.</w:t>
            </w:r>
            <w:r w:rsidRPr="005D4222">
              <w:rPr>
                <w:rFonts w:eastAsia="Arial,Times New Roman"/>
                <w:i/>
                <w:iCs/>
              </w:rPr>
              <w:t xml:space="preserve"> </w:t>
            </w:r>
            <w:r w:rsidRPr="005D4222">
              <w:rPr>
                <w:rFonts w:eastAsia="Arial,Times New Roman"/>
              </w:rPr>
              <w:t xml:space="preserve">Identify all OUD dispensing events and OUD medication administration events during the treatment period. </w:t>
            </w:r>
            <w:r w:rsidRPr="005D4222">
              <w:rPr>
                <w:rFonts w:eastAsia="Arial,Times New Roman"/>
                <w:szCs w:val="21"/>
              </w:rPr>
              <w:t xml:space="preserve">Use all the medication lists and value sets in the Opioid Use Disorder Treatment Medications table to identify OUD dispensing events and OUD medication administration events. </w:t>
            </w:r>
          </w:p>
          <w:p w14:paraId="74C3C5B2" w14:textId="77777777" w:rsidR="0070488F" w:rsidRPr="005D4222" w:rsidRDefault="0070488F">
            <w:pPr>
              <w:pStyle w:val="ECDSBody"/>
              <w:rPr>
                <w:rFonts w:eastAsia="Arial,Times New Roman"/>
              </w:rPr>
            </w:pPr>
            <w:r w:rsidRPr="005D4222">
              <w:rPr>
                <w:rFonts w:eastAsia="Arial,Times New Roman"/>
                <w:b/>
              </w:rPr>
              <w:t>Step 3</w:t>
            </w:r>
            <w:r w:rsidRPr="005D4222">
              <w:rPr>
                <w:rFonts w:eastAsia="Arial,Times New Roman"/>
                <w:b/>
                <w:bCs w:val="0"/>
                <w:i/>
                <w:iCs/>
              </w:rPr>
              <w:t>.</w:t>
            </w:r>
            <w:r w:rsidRPr="005D4222">
              <w:rPr>
                <w:rFonts w:eastAsia="Arial,Times New Roman"/>
                <w:i/>
                <w:iCs/>
              </w:rPr>
              <w:t xml:space="preserve"> </w:t>
            </w:r>
            <w:r w:rsidRPr="005D4222">
              <w:rPr>
                <w:rFonts w:eastAsia="Arial,Times New Roman"/>
              </w:rPr>
              <w:t>Identify start and end dates for OUD dispensing events and OUD medication administration events. The start date is the event date and the end date is the start date plus the days supply minus one.</w:t>
            </w:r>
          </w:p>
          <w:p w14:paraId="15842598" w14:textId="77777777" w:rsidR="0070488F" w:rsidRPr="005D4222" w:rsidRDefault="0070488F">
            <w:pPr>
              <w:pStyle w:val="ECDSBody"/>
              <w:rPr>
                <w:rFonts w:eastAsia="Arial,Times New Roman"/>
              </w:rPr>
            </w:pPr>
            <w:r w:rsidRPr="005D4222">
              <w:rPr>
                <w:rFonts w:eastAsia="Arial,Times New Roman"/>
              </w:rPr>
              <w:t>For OUD dispensing events and OUD medication administration events with overlapping days supply, apply the following rules:</w:t>
            </w:r>
          </w:p>
          <w:p w14:paraId="09A2E94D" w14:textId="77777777" w:rsidR="0070488F" w:rsidRPr="005D4222" w:rsidRDefault="0070488F" w:rsidP="0070488F">
            <w:pPr>
              <w:pStyle w:val="Bullet"/>
              <w:numPr>
                <w:ilvl w:val="0"/>
                <w:numId w:val="4"/>
              </w:numPr>
              <w:tabs>
                <w:tab w:val="left" w:pos="360"/>
                <w:tab w:val="left" w:pos="576"/>
              </w:tabs>
              <w:ind w:left="576" w:hanging="216"/>
              <w:rPr>
                <w:rFonts w:eastAsia="Arial,Times New Roman"/>
              </w:rPr>
            </w:pPr>
            <w:r w:rsidRPr="005D4222">
              <w:rPr>
                <w:rFonts w:eastAsia="Arial,Times New Roman"/>
              </w:rPr>
              <w:t xml:space="preserve">For multiple OUD dispensing or medication administration events for different medications on the same or different dates of service with overlapping days supply, calculate the start and end dates for each medication individually. </w:t>
            </w:r>
          </w:p>
          <w:p w14:paraId="49DCE179" w14:textId="1313F7E4" w:rsidR="0070488F" w:rsidRPr="005D4222" w:rsidRDefault="0070488F">
            <w:pPr>
              <w:pStyle w:val="ECDSBody"/>
              <w:spacing w:before="80"/>
              <w:ind w:left="576"/>
              <w:rPr>
                <w:rFonts w:eastAsia="Arial,Times New Roman"/>
              </w:rPr>
            </w:pPr>
            <w:r w:rsidRPr="005D4222">
              <w:rPr>
                <w:rFonts w:eastAsia="Arial,Times New Roman"/>
                <w:i/>
                <w:iCs/>
              </w:rPr>
              <w:t>For example,</w:t>
            </w:r>
            <w:r w:rsidRPr="005D4222">
              <w:rPr>
                <w:rFonts w:eastAsia="Arial,Times New Roman"/>
              </w:rPr>
              <w:t xml:space="preserve"> for a 7</w:t>
            </w:r>
            <w:r w:rsidR="00CF717A" w:rsidRPr="005D4222">
              <w:rPr>
                <w:rFonts w:eastAsia="Arial,Times New Roman"/>
              </w:rPr>
              <w:t xml:space="preserve"> </w:t>
            </w:r>
            <w:r w:rsidRPr="005D4222">
              <w:rPr>
                <w:rFonts w:eastAsia="Arial,Times New Roman"/>
              </w:rPr>
              <w:t>days supply of oral buprenorphine on January 1 and a 31</w:t>
            </w:r>
            <w:r w:rsidR="00CF717A" w:rsidRPr="005D4222">
              <w:rPr>
                <w:rFonts w:eastAsia="Arial,Times New Roman"/>
              </w:rPr>
              <w:t xml:space="preserve"> </w:t>
            </w:r>
            <w:r w:rsidRPr="005D4222">
              <w:rPr>
                <w:rFonts w:eastAsia="Arial,Times New Roman"/>
              </w:rPr>
              <w:t>days supply of buprenorphine injection on January 5:</w:t>
            </w:r>
          </w:p>
          <w:p w14:paraId="39C2C922" w14:textId="77777777" w:rsidR="0070488F" w:rsidRPr="005D4222" w:rsidRDefault="0070488F" w:rsidP="0070488F">
            <w:pPr>
              <w:pStyle w:val="Dash"/>
              <w:tabs>
                <w:tab w:val="left" w:pos="576"/>
                <w:tab w:val="left" w:pos="792"/>
              </w:tabs>
              <w:rPr>
                <w:rFonts w:eastAsia="Arial,Times New Roman"/>
              </w:rPr>
            </w:pPr>
            <w:r w:rsidRPr="005D4222">
              <w:rPr>
                <w:rFonts w:eastAsia="Arial,Times New Roman"/>
              </w:rPr>
              <w:t xml:space="preserve">The oral buprenorphine start date is January 1 and the end date is January 7. </w:t>
            </w:r>
          </w:p>
          <w:p w14:paraId="29B13D44" w14:textId="1C87FA12" w:rsidR="0070488F" w:rsidRPr="005D4222" w:rsidRDefault="0070488F" w:rsidP="00147367">
            <w:pPr>
              <w:pStyle w:val="Dash"/>
              <w:tabs>
                <w:tab w:val="left" w:pos="576"/>
                <w:tab w:val="left" w:pos="792"/>
              </w:tabs>
              <w:spacing w:after="80"/>
              <w:rPr>
                <w:i/>
                <w:iCs/>
              </w:rPr>
            </w:pPr>
            <w:r w:rsidRPr="005D4222">
              <w:rPr>
                <w:rFonts w:eastAsia="Arial,Times New Roman"/>
              </w:rPr>
              <w:t>The buprenorphine injection start date is January 5 and the end date is February 4.</w:t>
            </w:r>
          </w:p>
        </w:tc>
      </w:tr>
    </w:tbl>
    <w:p w14:paraId="1DCB968A" w14:textId="77777777" w:rsidR="00147367" w:rsidRPr="005D4222" w:rsidRDefault="00147367">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147367" w:rsidRPr="005D4222" w14:paraId="23D0722B" w14:textId="77777777">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E1D80C0" w14:textId="77777777" w:rsidR="00147367" w:rsidRPr="005D4222" w:rsidRDefault="00147367">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42D64EC2" w14:textId="77777777" w:rsidR="00147367" w:rsidRPr="005D4222" w:rsidRDefault="00147367" w:rsidP="00147367">
            <w:pPr>
              <w:pStyle w:val="Bullet"/>
              <w:numPr>
                <w:ilvl w:val="0"/>
                <w:numId w:val="4"/>
              </w:numPr>
              <w:tabs>
                <w:tab w:val="left" w:pos="360"/>
                <w:tab w:val="left" w:pos="576"/>
              </w:tabs>
              <w:ind w:left="576" w:hanging="216"/>
              <w:rPr>
                <w:rFonts w:eastAsia="Arial,Times New Roman"/>
              </w:rPr>
            </w:pPr>
            <w:r w:rsidRPr="005D4222">
              <w:rPr>
                <w:rFonts w:eastAsia="Arial,Times New Roman"/>
              </w:rPr>
              <w:t xml:space="preserve">For multiple OUD dispensing or medication administration events for the same medication on the same date of service or on different dates of service with overlapping days supply, sum the days supply and then calculate start and end dates. </w:t>
            </w:r>
          </w:p>
          <w:p w14:paraId="3298356E" w14:textId="77777777" w:rsidR="00147367" w:rsidRPr="005D4222" w:rsidRDefault="00147367" w:rsidP="00147367">
            <w:pPr>
              <w:pStyle w:val="ECDSBody"/>
              <w:spacing w:before="80"/>
              <w:ind w:left="576"/>
              <w:rPr>
                <w:rFonts w:eastAsia="Arial,Times New Roman"/>
                <w:i/>
                <w:iCs/>
              </w:rPr>
            </w:pPr>
            <w:r w:rsidRPr="005D4222">
              <w:rPr>
                <w:rFonts w:eastAsia="Arial,Times New Roman"/>
                <w:i/>
                <w:iCs/>
              </w:rPr>
              <w:t xml:space="preserve">For example: </w:t>
            </w:r>
          </w:p>
          <w:p w14:paraId="14468558" w14:textId="05FF93ED" w:rsidR="00147367" w:rsidRPr="005D4222" w:rsidRDefault="00147367" w:rsidP="00147367">
            <w:pPr>
              <w:pStyle w:val="Dash"/>
              <w:tabs>
                <w:tab w:val="left" w:pos="576"/>
                <w:tab w:val="left" w:pos="792"/>
              </w:tabs>
              <w:spacing w:after="80"/>
              <w:rPr>
                <w:rFonts w:eastAsia="Arial,Times New Roman"/>
              </w:rPr>
            </w:pPr>
            <w:r w:rsidRPr="005D4222">
              <w:rPr>
                <w:rFonts w:eastAsia="Arial,Times New Roman"/>
              </w:rPr>
              <w:t>For a 7</w:t>
            </w:r>
            <w:r w:rsidR="00CF717A" w:rsidRPr="005D4222">
              <w:rPr>
                <w:rFonts w:eastAsia="Arial,Times New Roman"/>
              </w:rPr>
              <w:t xml:space="preserve"> </w:t>
            </w:r>
            <w:r w:rsidRPr="005D4222">
              <w:rPr>
                <w:rFonts w:eastAsia="Arial,Times New Roman"/>
              </w:rPr>
              <w:t xml:space="preserve">days supply and a 14-days supply of buprenorphine dispensed on January 1, the start date is January 1 and the end date is January 21. </w:t>
            </w:r>
          </w:p>
          <w:p w14:paraId="70764646" w14:textId="347E3089" w:rsidR="00147367" w:rsidRPr="005D4222" w:rsidRDefault="00147367" w:rsidP="00147367">
            <w:pPr>
              <w:pStyle w:val="Dash"/>
              <w:tabs>
                <w:tab w:val="left" w:pos="576"/>
                <w:tab w:val="left" w:pos="792"/>
              </w:tabs>
              <w:spacing w:before="120"/>
              <w:rPr>
                <w:rFonts w:eastAsia="Arial,Times New Roman"/>
              </w:rPr>
            </w:pPr>
            <w:r w:rsidRPr="005D4222">
              <w:rPr>
                <w:rFonts w:eastAsia="Arial,Times New Roman"/>
              </w:rPr>
              <w:t>For a 7</w:t>
            </w:r>
            <w:r w:rsidR="00CF717A" w:rsidRPr="005D4222">
              <w:rPr>
                <w:rFonts w:eastAsia="Arial,Times New Roman"/>
              </w:rPr>
              <w:t xml:space="preserve"> </w:t>
            </w:r>
            <w:r w:rsidRPr="005D4222">
              <w:rPr>
                <w:rFonts w:eastAsia="Arial,Times New Roman"/>
              </w:rPr>
              <w:t xml:space="preserve">days supply of buprenorphine dispensed on January 1 </w:t>
            </w:r>
            <w:r w:rsidRPr="005D4222">
              <w:rPr>
                <w:rFonts w:eastAsia="Arial,Times New Roman"/>
              </w:rPr>
              <w:br/>
              <w:t xml:space="preserve">and January 5, the start date is January 1 and the end date is January 14. </w:t>
            </w:r>
          </w:p>
          <w:p w14:paraId="0472EC4F" w14:textId="77777777" w:rsidR="00147367" w:rsidRPr="005D4222" w:rsidRDefault="00147367" w:rsidP="00147367">
            <w:pPr>
              <w:pStyle w:val="Dash"/>
              <w:tabs>
                <w:tab w:val="left" w:pos="576"/>
                <w:tab w:val="left" w:pos="792"/>
              </w:tabs>
              <w:rPr>
                <w:rFonts w:eastAsia="Arial,Times New Roman"/>
              </w:rPr>
            </w:pPr>
            <w:r w:rsidRPr="005D4222">
              <w:rPr>
                <w:rFonts w:eastAsia="Arial,Times New Roman"/>
              </w:rPr>
              <w:t xml:space="preserve">If a person has three codes (or one code billed as three units) from the </w:t>
            </w:r>
            <w:r w:rsidRPr="005D4222">
              <w:rPr>
                <w:rFonts w:eastAsia="Arial,Times New Roman"/>
                <w:u w:val="single"/>
              </w:rPr>
              <w:t>Buprenorphine Oral Weekly Value Set</w:t>
            </w:r>
            <w:r w:rsidRPr="005D4222">
              <w:rPr>
                <w:rFonts w:eastAsia="Arial,Times New Roman"/>
              </w:rPr>
              <w:t xml:space="preserve"> on January 1, the start date is January 1 and the end date is January 21.</w:t>
            </w:r>
          </w:p>
          <w:p w14:paraId="47E0565C" w14:textId="77777777" w:rsidR="00147367" w:rsidRPr="005D4222" w:rsidRDefault="00147367" w:rsidP="00147367">
            <w:pPr>
              <w:pStyle w:val="Dash"/>
              <w:tabs>
                <w:tab w:val="left" w:pos="576"/>
                <w:tab w:val="left" w:pos="792"/>
              </w:tabs>
              <w:rPr>
                <w:rFonts w:eastAsia="Arial,Times New Roman"/>
              </w:rPr>
            </w:pPr>
            <w:r w:rsidRPr="005D4222">
              <w:rPr>
                <w:rFonts w:eastAsia="Arial,Times New Roman"/>
              </w:rPr>
              <w:t xml:space="preserve">If a person has four codes (or one code billed as four units) from the </w:t>
            </w:r>
            <w:r w:rsidRPr="005D4222">
              <w:rPr>
                <w:rFonts w:eastAsia="Arial,Times New Roman"/>
                <w:u w:val="single"/>
              </w:rPr>
              <w:t>Methadone Oral Weekly Value Set</w:t>
            </w:r>
            <w:r w:rsidRPr="005D4222">
              <w:rPr>
                <w:rFonts w:eastAsia="Arial,Times New Roman"/>
              </w:rPr>
              <w:t xml:space="preserve"> on January 1, the start date is January 1 and the end date is January 28.</w:t>
            </w:r>
          </w:p>
          <w:p w14:paraId="045DE217" w14:textId="77777777" w:rsidR="00147367" w:rsidRPr="005D4222" w:rsidRDefault="00147367" w:rsidP="00147367">
            <w:pPr>
              <w:pStyle w:val="ECDSBody"/>
              <w:rPr>
                <w:rFonts w:eastAsia="Arial,Times New Roman"/>
              </w:rPr>
            </w:pPr>
            <w:r w:rsidRPr="005D4222" w:rsidDel="00D63A4E">
              <w:rPr>
                <w:rFonts w:eastAsia="Arial,Times New Roman"/>
              </w:rPr>
              <w:t xml:space="preserve">For </w:t>
            </w:r>
            <w:r w:rsidRPr="005D4222">
              <w:rPr>
                <w:rFonts w:eastAsia="Arial,Times New Roman"/>
              </w:rPr>
              <w:t xml:space="preserve">OUD </w:t>
            </w:r>
            <w:r w:rsidRPr="005D4222" w:rsidDel="00D63A4E">
              <w:rPr>
                <w:rFonts w:eastAsia="Arial,Times New Roman"/>
              </w:rPr>
              <w:t xml:space="preserve">medication administration events identified using a value set, use </w:t>
            </w:r>
            <w:r w:rsidRPr="005D4222">
              <w:rPr>
                <w:rFonts w:eastAsia="Arial,Times New Roman"/>
              </w:rPr>
              <w:t xml:space="preserve">the </w:t>
            </w:r>
            <w:r w:rsidRPr="005D4222" w:rsidDel="00D63A4E">
              <w:rPr>
                <w:rFonts w:eastAsia="Arial,Times New Roman"/>
              </w:rPr>
              <w:t xml:space="preserve">days supply listed in the Opioid Use Disorder Treatment Medications table. For </w:t>
            </w:r>
            <w:r w:rsidRPr="005D4222">
              <w:rPr>
                <w:rFonts w:eastAsia="Arial,Times New Roman"/>
              </w:rPr>
              <w:t xml:space="preserve">OUD </w:t>
            </w:r>
            <w:r w:rsidRPr="005D4222" w:rsidDel="00D63A4E">
              <w:rPr>
                <w:rFonts w:eastAsia="Arial,Times New Roman"/>
              </w:rPr>
              <w:t xml:space="preserve">dispensing events identified using a medication list, use </w:t>
            </w:r>
            <w:r w:rsidRPr="005D4222">
              <w:rPr>
                <w:rFonts w:eastAsia="Arial,Times New Roman"/>
              </w:rPr>
              <w:t xml:space="preserve">the </w:t>
            </w:r>
            <w:r w:rsidRPr="005D4222" w:rsidDel="00D63A4E">
              <w:rPr>
                <w:rFonts w:eastAsia="Arial,Times New Roman"/>
              </w:rPr>
              <w:t xml:space="preserve">days supply in the pharmacy data. </w:t>
            </w:r>
          </w:p>
          <w:p w14:paraId="20B73797" w14:textId="77777777" w:rsidR="00147367" w:rsidRPr="005D4222" w:rsidRDefault="00147367" w:rsidP="00147367">
            <w:pPr>
              <w:pStyle w:val="Bullet"/>
              <w:numPr>
                <w:ilvl w:val="0"/>
                <w:numId w:val="4"/>
              </w:numPr>
              <w:tabs>
                <w:tab w:val="left" w:pos="360"/>
                <w:tab w:val="left" w:pos="576"/>
              </w:tabs>
              <w:ind w:left="576" w:hanging="216"/>
              <w:rPr>
                <w:rFonts w:eastAsia="Arial,Times New Roman"/>
              </w:rPr>
            </w:pPr>
            <w:r w:rsidRPr="005D4222" w:rsidDel="00D63A4E">
              <w:rPr>
                <w:rFonts w:eastAsia="Arial,Times New Roman"/>
              </w:rPr>
              <w:t xml:space="preserve">If </w:t>
            </w:r>
            <w:r w:rsidRPr="005D4222">
              <w:rPr>
                <w:rFonts w:eastAsia="Arial,Times New Roman"/>
              </w:rPr>
              <w:t xml:space="preserve">the </w:t>
            </w:r>
            <w:r w:rsidRPr="005D4222" w:rsidDel="00D63A4E">
              <w:rPr>
                <w:rFonts w:eastAsia="Arial,Times New Roman"/>
              </w:rPr>
              <w:t>days supply is not available in the pharmacy data</w:t>
            </w:r>
            <w:r w:rsidRPr="005D4222">
              <w:rPr>
                <w:rFonts w:eastAsia="Arial,Times New Roman"/>
              </w:rPr>
              <w:t>,</w:t>
            </w:r>
            <w:r w:rsidRPr="005D4222" w:rsidDel="00D63A4E">
              <w:rPr>
                <w:rFonts w:eastAsia="Arial,Times New Roman"/>
              </w:rPr>
              <w:t xml:space="preserve"> use </w:t>
            </w:r>
            <w:r w:rsidRPr="005D4222">
              <w:rPr>
                <w:rFonts w:eastAsia="Arial,Times New Roman"/>
              </w:rPr>
              <w:t xml:space="preserve">the </w:t>
            </w:r>
            <w:r w:rsidRPr="005D4222" w:rsidDel="00D63A4E">
              <w:rPr>
                <w:rFonts w:eastAsia="Arial,Times New Roman"/>
              </w:rPr>
              <w:t>days supply listed for the corresponding value set.</w:t>
            </w:r>
            <w:r w:rsidRPr="005D4222">
              <w:rPr>
                <w:rFonts w:eastAsia="Arial,Times New Roman"/>
              </w:rPr>
              <w:t xml:space="preserve"> </w:t>
            </w:r>
          </w:p>
          <w:p w14:paraId="2FDC6E47" w14:textId="183FE11A" w:rsidR="00147367" w:rsidRPr="005D4222" w:rsidRDefault="00147367" w:rsidP="00147367">
            <w:pPr>
              <w:pStyle w:val="Bullet"/>
              <w:numPr>
                <w:ilvl w:val="0"/>
                <w:numId w:val="4"/>
              </w:numPr>
              <w:tabs>
                <w:tab w:val="left" w:pos="360"/>
                <w:tab w:val="left" w:pos="576"/>
              </w:tabs>
              <w:ind w:left="576" w:hanging="216"/>
              <w:rPr>
                <w:rFonts w:eastAsia="Arial,Times New Roman"/>
                <w:b/>
                <w:bCs/>
              </w:rPr>
            </w:pPr>
            <w:r w:rsidRPr="005D4222">
              <w:rPr>
                <w:rFonts w:eastAsia="Arial,Times New Roman"/>
              </w:rPr>
              <w:t>If the pharmacy data for a buprenorphine oral medication does not contain days supply, count as a 7</w:t>
            </w:r>
            <w:r w:rsidR="00CF717A" w:rsidRPr="005D4222">
              <w:rPr>
                <w:rFonts w:eastAsia="Arial,Times New Roman"/>
              </w:rPr>
              <w:t xml:space="preserve"> </w:t>
            </w:r>
            <w:r w:rsidRPr="005D4222">
              <w:rPr>
                <w:rFonts w:eastAsia="Arial,Times New Roman"/>
              </w:rPr>
              <w:t>days supply.</w:t>
            </w:r>
          </w:p>
          <w:p w14:paraId="367F6C24" w14:textId="6EEFC455" w:rsidR="00147367" w:rsidRPr="005D4222" w:rsidRDefault="00147367" w:rsidP="00147367">
            <w:pPr>
              <w:pStyle w:val="Bullet"/>
              <w:numPr>
                <w:ilvl w:val="0"/>
                <w:numId w:val="0"/>
              </w:numPr>
              <w:spacing w:before="180" w:after="120"/>
              <w:rPr>
                <w:rFonts w:cs="Arial"/>
                <w:color w:val="000000" w:themeColor="text1"/>
                <w:szCs w:val="21"/>
              </w:rPr>
            </w:pPr>
            <w:r w:rsidRPr="005D4222">
              <w:rPr>
                <w:rFonts w:eastAsia="Arial,Times New Roman"/>
                <w:b/>
              </w:rPr>
              <w:t xml:space="preserve">Step 4. </w:t>
            </w:r>
            <w:r w:rsidRPr="005D4222">
              <w:rPr>
                <w:rFonts w:eastAsia="Arial,Times New Roman"/>
              </w:rPr>
              <w:t xml:space="preserve">For each treatment period, using the start and end dates identified </w:t>
            </w:r>
            <w:r w:rsidR="0096484C">
              <w:rPr>
                <w:rFonts w:eastAsia="Arial,Times New Roman"/>
              </w:rPr>
              <w:t>in step 3</w:t>
            </w:r>
            <w:r w:rsidRPr="005D4222">
              <w:rPr>
                <w:rFonts w:eastAsia="Arial,Times New Roman"/>
              </w:rPr>
              <w:t xml:space="preserve">, determine calendar days (treatment days) covered by an OUD dispensing or medication administration event. </w:t>
            </w:r>
          </w:p>
          <w:p w14:paraId="51646C75" w14:textId="77777777" w:rsidR="00147367" w:rsidRPr="005D4222" w:rsidRDefault="00147367" w:rsidP="00147367">
            <w:pPr>
              <w:pStyle w:val="Bullet"/>
              <w:numPr>
                <w:ilvl w:val="0"/>
                <w:numId w:val="0"/>
              </w:numPr>
              <w:spacing w:after="120"/>
              <w:rPr>
                <w:rFonts w:cs="Arial"/>
                <w:color w:val="000000" w:themeColor="text1"/>
                <w:szCs w:val="21"/>
              </w:rPr>
            </w:pPr>
            <w:r w:rsidRPr="005D4222">
              <w:rPr>
                <w:rFonts w:eastAsia="Arial,Times New Roman"/>
                <w:b/>
              </w:rPr>
              <w:t xml:space="preserve">Step 5. </w:t>
            </w:r>
            <w:r w:rsidRPr="005D4222">
              <w:rPr>
                <w:rFonts w:eastAsia="Arial,Times New Roman"/>
              </w:rPr>
              <w:t>Identify gaps in treatment days of 8 or more consecutive days.</w:t>
            </w:r>
          </w:p>
          <w:p w14:paraId="14A19401" w14:textId="77777777" w:rsidR="00147367" w:rsidRPr="005D4222" w:rsidRDefault="00147367" w:rsidP="00147367">
            <w:pPr>
              <w:pStyle w:val="Bullet"/>
              <w:numPr>
                <w:ilvl w:val="0"/>
                <w:numId w:val="0"/>
              </w:numPr>
              <w:rPr>
                <w:rFonts w:eastAsia="Arial,Times New Roman"/>
              </w:rPr>
            </w:pPr>
            <w:r w:rsidRPr="005D4222">
              <w:rPr>
                <w:rFonts w:eastAsia="Arial,Times New Roman"/>
                <w:b/>
              </w:rPr>
              <w:t>Step 6.</w:t>
            </w:r>
            <w:r w:rsidRPr="005D4222">
              <w:rPr>
                <w:rFonts w:eastAsia="Arial,Times New Roman"/>
                <w:b/>
                <w:bCs/>
                <w:i/>
                <w:iCs/>
              </w:rPr>
              <w:t xml:space="preserve"> </w:t>
            </w:r>
            <w:r w:rsidRPr="005D4222">
              <w:rPr>
                <w:rFonts w:eastAsia="Arial,Times New Roman"/>
              </w:rPr>
              <w:t xml:space="preserve">Determine numerator compliance. </w:t>
            </w:r>
          </w:p>
          <w:p w14:paraId="15B7B97E" w14:textId="77777777" w:rsidR="00147367" w:rsidRPr="005D4222" w:rsidRDefault="00147367" w:rsidP="00147367">
            <w:pPr>
              <w:pStyle w:val="Bullet"/>
              <w:numPr>
                <w:ilvl w:val="0"/>
                <w:numId w:val="4"/>
              </w:numPr>
              <w:tabs>
                <w:tab w:val="left" w:pos="360"/>
                <w:tab w:val="left" w:pos="576"/>
              </w:tabs>
              <w:ind w:left="576" w:hanging="216"/>
              <w:rPr>
                <w:rFonts w:eastAsia="Arial,Times New Roman"/>
              </w:rPr>
            </w:pPr>
            <w:r w:rsidRPr="005D4222">
              <w:rPr>
                <w:rFonts w:eastAsia="Arial,Times New Roman"/>
              </w:rPr>
              <w:t xml:space="preserve">If the treatment period does not contain any gaps in treatment of 8 or more consecutive calendar days, the event is numerator compliant. </w:t>
            </w:r>
          </w:p>
          <w:p w14:paraId="4453C30E" w14:textId="77777777" w:rsidR="00147367" w:rsidRPr="005D4222" w:rsidRDefault="00147367" w:rsidP="00147367">
            <w:pPr>
              <w:pStyle w:val="Bullet"/>
              <w:numPr>
                <w:ilvl w:val="0"/>
                <w:numId w:val="4"/>
              </w:numPr>
              <w:tabs>
                <w:tab w:val="left" w:pos="360"/>
                <w:tab w:val="left" w:pos="576"/>
              </w:tabs>
              <w:ind w:left="576" w:hanging="216"/>
              <w:rPr>
                <w:rFonts w:eastAsia="Arial,Times New Roman"/>
              </w:rPr>
            </w:pPr>
            <w:r w:rsidRPr="005D4222">
              <w:rPr>
                <w:rFonts w:eastAsia="Arial,Times New Roman"/>
              </w:rPr>
              <w:t>If the treatment period contains at least one gap in treatment of 8 or more consecutive calendar days, the event is not numerator compliant.</w:t>
            </w:r>
          </w:p>
          <w:p w14:paraId="5C6ED756" w14:textId="6D187020" w:rsidR="00147367" w:rsidRPr="005D4222" w:rsidRDefault="00147367" w:rsidP="00147367">
            <w:pPr>
              <w:pStyle w:val="Heading3"/>
              <w:spacing w:before="120"/>
              <w:rPr>
                <w:i w:val="0"/>
              </w:rPr>
            </w:pPr>
            <w:r w:rsidRPr="005D4222">
              <w:t xml:space="preserve">Opioid </w:t>
            </w:r>
            <w:r w:rsidR="00404D29" w:rsidRPr="005D4222">
              <w:t>Use Disorder Treatment Medications</w:t>
            </w:r>
          </w:p>
          <w:tbl>
            <w:tblPr>
              <w:tblW w:w="737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63"/>
              <w:gridCol w:w="1890"/>
              <w:gridCol w:w="2192"/>
              <w:gridCol w:w="2128"/>
            </w:tblGrid>
            <w:tr w:rsidR="00147367" w:rsidRPr="005D4222" w14:paraId="57CDB9AB" w14:textId="77777777" w:rsidTr="00A53E8C">
              <w:trPr>
                <w:trHeight w:val="199"/>
              </w:trPr>
              <w:tc>
                <w:tcPr>
                  <w:tcW w:w="1163" w:type="dxa"/>
                  <w:tcBorders>
                    <w:bottom w:val="single" w:sz="6" w:space="0" w:color="auto"/>
                    <w:right w:val="single" w:sz="6" w:space="0" w:color="FFFFFF" w:themeColor="background1"/>
                  </w:tcBorders>
                  <w:shd w:val="clear" w:color="auto" w:fill="000000" w:themeFill="text1"/>
                  <w:tcMar>
                    <w:left w:w="58" w:type="dxa"/>
                    <w:right w:w="58" w:type="dxa"/>
                  </w:tcMar>
                  <w:vAlign w:val="bottom"/>
                </w:tcPr>
                <w:p w14:paraId="2347E39F" w14:textId="77777777" w:rsidR="00147367" w:rsidRPr="005D4222" w:rsidRDefault="00147367" w:rsidP="00147367">
                  <w:pPr>
                    <w:pStyle w:val="TableHead"/>
                  </w:pPr>
                  <w:r w:rsidRPr="005D4222">
                    <w:t>Description</w:t>
                  </w:r>
                </w:p>
              </w:tc>
              <w:tc>
                <w:tcPr>
                  <w:tcW w:w="1890" w:type="dxa"/>
                  <w:tcBorders>
                    <w:left w:val="single" w:sz="6" w:space="0" w:color="FFFFFF" w:themeColor="background1"/>
                    <w:bottom w:val="single" w:sz="6" w:space="0" w:color="auto"/>
                    <w:right w:val="single" w:sz="4" w:space="0" w:color="auto"/>
                  </w:tcBorders>
                  <w:shd w:val="clear" w:color="auto" w:fill="000000" w:themeFill="text1"/>
                  <w:tcMar>
                    <w:left w:w="58" w:type="dxa"/>
                    <w:right w:w="58" w:type="dxa"/>
                  </w:tcMar>
                  <w:vAlign w:val="bottom"/>
                </w:tcPr>
                <w:p w14:paraId="17F41B63" w14:textId="77777777" w:rsidR="00147367" w:rsidRPr="005D4222" w:rsidRDefault="00147367" w:rsidP="00147367">
                  <w:pPr>
                    <w:pStyle w:val="TableHead"/>
                  </w:pPr>
                  <w:r w:rsidRPr="005D4222">
                    <w:t>Prescription</w:t>
                  </w:r>
                </w:p>
              </w:tc>
              <w:tc>
                <w:tcPr>
                  <w:tcW w:w="2192" w:type="dxa"/>
                  <w:tcBorders>
                    <w:left w:val="single" w:sz="6" w:space="0" w:color="FFFFFF" w:themeColor="background1"/>
                    <w:bottom w:val="single" w:sz="6" w:space="0" w:color="auto"/>
                    <w:right w:val="single" w:sz="4" w:space="0" w:color="auto"/>
                  </w:tcBorders>
                  <w:shd w:val="clear" w:color="auto" w:fill="000000" w:themeFill="text1"/>
                  <w:tcMar>
                    <w:left w:w="58" w:type="dxa"/>
                    <w:right w:w="58" w:type="dxa"/>
                  </w:tcMar>
                  <w:vAlign w:val="bottom"/>
                </w:tcPr>
                <w:p w14:paraId="0ACB6987" w14:textId="77777777" w:rsidR="00147367" w:rsidRPr="005D4222" w:rsidRDefault="00147367" w:rsidP="00147367">
                  <w:pPr>
                    <w:pStyle w:val="TableHead"/>
                  </w:pPr>
                  <w:r w:rsidRPr="005D4222">
                    <w:t>Medication Lists</w:t>
                  </w:r>
                </w:p>
              </w:tc>
              <w:tc>
                <w:tcPr>
                  <w:tcW w:w="2128" w:type="dxa"/>
                  <w:tcBorders>
                    <w:left w:val="single" w:sz="6" w:space="0" w:color="FFFFFF" w:themeColor="background1"/>
                    <w:bottom w:val="single" w:sz="6" w:space="0" w:color="auto"/>
                    <w:right w:val="single" w:sz="4" w:space="0" w:color="auto"/>
                  </w:tcBorders>
                  <w:shd w:val="clear" w:color="auto" w:fill="000000" w:themeFill="text1"/>
                  <w:tcMar>
                    <w:left w:w="58" w:type="dxa"/>
                    <w:right w:w="58" w:type="dxa"/>
                  </w:tcMar>
                  <w:vAlign w:val="bottom"/>
                </w:tcPr>
                <w:p w14:paraId="389C1B3D" w14:textId="77777777" w:rsidR="00147367" w:rsidRPr="005D4222" w:rsidRDefault="00147367" w:rsidP="00147367">
                  <w:pPr>
                    <w:pStyle w:val="TableHead"/>
                  </w:pPr>
                  <w:r w:rsidRPr="005D4222">
                    <w:t xml:space="preserve">Value Sets and </w:t>
                  </w:r>
                  <w:r w:rsidRPr="005D4222">
                    <w:br/>
                    <w:t>Days Supply</w:t>
                  </w:r>
                </w:p>
              </w:tc>
            </w:tr>
            <w:tr w:rsidR="00147367" w:rsidRPr="005D4222" w14:paraId="285F5038" w14:textId="77777777" w:rsidTr="00A53E8C">
              <w:trPr>
                <w:trHeight w:val="199"/>
              </w:trPr>
              <w:tc>
                <w:tcPr>
                  <w:tcW w:w="1163" w:type="dxa"/>
                  <w:tcMar>
                    <w:left w:w="58" w:type="dxa"/>
                    <w:right w:w="58" w:type="dxa"/>
                  </w:tcMar>
                </w:tcPr>
                <w:p w14:paraId="0A58AC0B" w14:textId="77777777" w:rsidR="00147367" w:rsidRPr="005D4222" w:rsidRDefault="00147367" w:rsidP="00147367">
                  <w:pPr>
                    <w:pStyle w:val="TableText"/>
                    <w:rPr>
                      <w:szCs w:val="21"/>
                    </w:rPr>
                  </w:pPr>
                  <w:r w:rsidRPr="005D4222">
                    <w:rPr>
                      <w:szCs w:val="21"/>
                    </w:rPr>
                    <w:t xml:space="preserve">Antagonist </w:t>
                  </w:r>
                </w:p>
              </w:tc>
              <w:tc>
                <w:tcPr>
                  <w:tcW w:w="1890" w:type="dxa"/>
                  <w:tcMar>
                    <w:left w:w="58" w:type="dxa"/>
                    <w:right w:w="58" w:type="dxa"/>
                  </w:tcMar>
                </w:tcPr>
                <w:p w14:paraId="06CCCA16" w14:textId="77777777" w:rsidR="00147367" w:rsidRPr="005D4222" w:rsidRDefault="00147367" w:rsidP="00147367">
                  <w:pPr>
                    <w:pStyle w:val="TableBullet"/>
                    <w:numPr>
                      <w:ilvl w:val="0"/>
                      <w:numId w:val="0"/>
                    </w:numPr>
                    <w:spacing w:after="60"/>
                  </w:pPr>
                  <w:r w:rsidRPr="005D4222">
                    <w:t xml:space="preserve">Naltrexone (oral) </w:t>
                  </w:r>
                </w:p>
              </w:tc>
              <w:tc>
                <w:tcPr>
                  <w:tcW w:w="2192" w:type="dxa"/>
                  <w:tcMar>
                    <w:left w:w="58" w:type="dxa"/>
                    <w:right w:w="58" w:type="dxa"/>
                  </w:tcMar>
                </w:tcPr>
                <w:p w14:paraId="79716849" w14:textId="77777777" w:rsidR="00147367" w:rsidRPr="005D4222" w:rsidRDefault="00147367" w:rsidP="00147367">
                  <w:pPr>
                    <w:pStyle w:val="TableBullet"/>
                    <w:numPr>
                      <w:ilvl w:val="0"/>
                      <w:numId w:val="0"/>
                    </w:numPr>
                    <w:spacing w:after="60"/>
                    <w:rPr>
                      <w:u w:val="single"/>
                    </w:rPr>
                  </w:pPr>
                  <w:r w:rsidRPr="005D4222">
                    <w:rPr>
                      <w:u w:val="single"/>
                    </w:rPr>
                    <w:t>Naltrexone Oral Medications List</w:t>
                  </w:r>
                </w:p>
              </w:tc>
              <w:tc>
                <w:tcPr>
                  <w:tcW w:w="2128" w:type="dxa"/>
                  <w:tcMar>
                    <w:left w:w="58" w:type="dxa"/>
                    <w:right w:w="58" w:type="dxa"/>
                  </w:tcMar>
                </w:tcPr>
                <w:p w14:paraId="0EBA9E80" w14:textId="77777777" w:rsidR="00147367" w:rsidRPr="005D4222" w:rsidRDefault="00147367" w:rsidP="00147367">
                  <w:pPr>
                    <w:pStyle w:val="TableBullet"/>
                    <w:numPr>
                      <w:ilvl w:val="0"/>
                      <w:numId w:val="0"/>
                    </w:numPr>
                    <w:spacing w:after="60"/>
                  </w:pPr>
                  <w:r w:rsidRPr="005D4222">
                    <w:t>NA—Codes do not exist</w:t>
                  </w:r>
                </w:p>
              </w:tc>
            </w:tr>
            <w:tr w:rsidR="00147367" w:rsidRPr="005D4222" w14:paraId="2690590D" w14:textId="77777777" w:rsidTr="00A53E8C">
              <w:trPr>
                <w:trHeight w:val="507"/>
              </w:trPr>
              <w:tc>
                <w:tcPr>
                  <w:tcW w:w="1163" w:type="dxa"/>
                  <w:shd w:val="clear" w:color="auto" w:fill="FFFFFF" w:themeFill="background1"/>
                  <w:tcMar>
                    <w:left w:w="58" w:type="dxa"/>
                    <w:right w:w="58" w:type="dxa"/>
                  </w:tcMar>
                </w:tcPr>
                <w:p w14:paraId="6B954544" w14:textId="77777777" w:rsidR="00147367" w:rsidRPr="005D4222" w:rsidRDefault="00147367" w:rsidP="00147367">
                  <w:pPr>
                    <w:pStyle w:val="TableText"/>
                    <w:rPr>
                      <w:szCs w:val="21"/>
                    </w:rPr>
                  </w:pPr>
                  <w:r w:rsidRPr="005D4222">
                    <w:rPr>
                      <w:szCs w:val="21"/>
                    </w:rPr>
                    <w:t>Antagonist</w:t>
                  </w:r>
                </w:p>
              </w:tc>
              <w:tc>
                <w:tcPr>
                  <w:tcW w:w="1890" w:type="dxa"/>
                  <w:shd w:val="clear" w:color="auto" w:fill="FFFFFF" w:themeFill="background1"/>
                  <w:tcMar>
                    <w:left w:w="58" w:type="dxa"/>
                    <w:right w:w="58" w:type="dxa"/>
                  </w:tcMar>
                </w:tcPr>
                <w:p w14:paraId="588F2222" w14:textId="77777777" w:rsidR="00147367" w:rsidRPr="005D4222" w:rsidRDefault="00147367" w:rsidP="00147367">
                  <w:pPr>
                    <w:pStyle w:val="TableBullet"/>
                    <w:numPr>
                      <w:ilvl w:val="0"/>
                      <w:numId w:val="0"/>
                    </w:numPr>
                    <w:spacing w:after="60"/>
                  </w:pPr>
                  <w:r w:rsidRPr="005D4222">
                    <w:t>Naltrexone (injectable)</w:t>
                  </w:r>
                </w:p>
              </w:tc>
              <w:tc>
                <w:tcPr>
                  <w:tcW w:w="2192" w:type="dxa"/>
                  <w:shd w:val="clear" w:color="auto" w:fill="FFFFFF" w:themeFill="background1"/>
                  <w:tcMar>
                    <w:left w:w="58" w:type="dxa"/>
                    <w:right w:w="58" w:type="dxa"/>
                  </w:tcMar>
                </w:tcPr>
                <w:p w14:paraId="061D69DE" w14:textId="77777777" w:rsidR="00147367" w:rsidRPr="005D4222" w:rsidRDefault="00147367" w:rsidP="00147367">
                  <w:pPr>
                    <w:pStyle w:val="TableBullet"/>
                    <w:numPr>
                      <w:ilvl w:val="0"/>
                      <w:numId w:val="0"/>
                    </w:numPr>
                    <w:spacing w:after="60"/>
                    <w:rPr>
                      <w:u w:val="single"/>
                    </w:rPr>
                  </w:pPr>
                  <w:r w:rsidRPr="005D4222">
                    <w:rPr>
                      <w:u w:val="single"/>
                    </w:rPr>
                    <w:t>Naltrexone Injection Medications List</w:t>
                  </w:r>
                </w:p>
              </w:tc>
              <w:tc>
                <w:tcPr>
                  <w:tcW w:w="2128" w:type="dxa"/>
                  <w:shd w:val="clear" w:color="auto" w:fill="FFFFFF" w:themeFill="background1"/>
                  <w:tcMar>
                    <w:left w:w="58" w:type="dxa"/>
                    <w:right w:w="58" w:type="dxa"/>
                  </w:tcMar>
                </w:tcPr>
                <w:p w14:paraId="31731243" w14:textId="77777777" w:rsidR="00147367" w:rsidRPr="005D4222" w:rsidRDefault="00147367" w:rsidP="00147367">
                  <w:pPr>
                    <w:pStyle w:val="TableBullet"/>
                    <w:numPr>
                      <w:ilvl w:val="0"/>
                      <w:numId w:val="0"/>
                    </w:numPr>
                    <w:spacing w:after="60"/>
                  </w:pPr>
                  <w:r w:rsidRPr="005D4222">
                    <w:rPr>
                      <w:u w:val="single"/>
                    </w:rPr>
                    <w:t>Naltrexone Injection Value Set</w:t>
                  </w:r>
                  <w:r w:rsidRPr="005D4222">
                    <w:t xml:space="preserve"> (31 days supply)</w:t>
                  </w:r>
                </w:p>
              </w:tc>
            </w:tr>
          </w:tbl>
          <w:p w14:paraId="3CE1218A" w14:textId="77777777" w:rsidR="00147367" w:rsidRPr="005D4222" w:rsidRDefault="00147367">
            <w:pPr>
              <w:pStyle w:val="ECDSBody"/>
              <w:rPr>
                <w:b/>
              </w:rPr>
            </w:pPr>
          </w:p>
        </w:tc>
      </w:tr>
    </w:tbl>
    <w:p w14:paraId="41182E78" w14:textId="77777777" w:rsidR="0070488F" w:rsidRPr="005D4222" w:rsidRDefault="0070488F">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70488F" w:rsidRPr="005D4222" w14:paraId="176B2DE9" w14:textId="77777777">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938003F" w14:textId="77777777" w:rsidR="0070488F" w:rsidRPr="005D4222" w:rsidRDefault="0070488F">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346E4808" w14:textId="77777777" w:rsidR="0070488F" w:rsidRPr="005D4222" w:rsidRDefault="0070488F">
            <w:pPr>
              <w:rPr>
                <w:sz w:val="10"/>
                <w:szCs w:val="10"/>
              </w:rPr>
            </w:pPr>
          </w:p>
          <w:tbl>
            <w:tblPr>
              <w:tblW w:w="737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63"/>
              <w:gridCol w:w="1890"/>
              <w:gridCol w:w="2192"/>
              <w:gridCol w:w="2128"/>
            </w:tblGrid>
            <w:tr w:rsidR="0070488F" w:rsidRPr="005D4222" w14:paraId="3C625292" w14:textId="77777777">
              <w:trPr>
                <w:trHeight w:val="199"/>
              </w:trPr>
              <w:tc>
                <w:tcPr>
                  <w:tcW w:w="1163" w:type="dxa"/>
                  <w:tcBorders>
                    <w:bottom w:val="single" w:sz="6" w:space="0" w:color="auto"/>
                    <w:right w:val="single" w:sz="6" w:space="0" w:color="FFFFFF" w:themeColor="background1"/>
                  </w:tcBorders>
                  <w:shd w:val="clear" w:color="auto" w:fill="000000" w:themeFill="text1"/>
                  <w:tcMar>
                    <w:left w:w="58" w:type="dxa"/>
                    <w:right w:w="58" w:type="dxa"/>
                  </w:tcMar>
                  <w:vAlign w:val="bottom"/>
                </w:tcPr>
                <w:p w14:paraId="05CE17E7" w14:textId="77777777" w:rsidR="0070488F" w:rsidRPr="005D4222" w:rsidRDefault="0070488F">
                  <w:pPr>
                    <w:pStyle w:val="TableHead"/>
                    <w:spacing w:before="40" w:after="40"/>
                  </w:pPr>
                  <w:r w:rsidRPr="005D4222">
                    <w:t>Description</w:t>
                  </w:r>
                </w:p>
              </w:tc>
              <w:tc>
                <w:tcPr>
                  <w:tcW w:w="1890" w:type="dxa"/>
                  <w:tcBorders>
                    <w:left w:val="single" w:sz="6" w:space="0" w:color="FFFFFF" w:themeColor="background1"/>
                    <w:bottom w:val="single" w:sz="6" w:space="0" w:color="auto"/>
                    <w:right w:val="single" w:sz="4" w:space="0" w:color="auto"/>
                  </w:tcBorders>
                  <w:shd w:val="clear" w:color="auto" w:fill="000000" w:themeFill="text1"/>
                  <w:tcMar>
                    <w:left w:w="58" w:type="dxa"/>
                    <w:right w:w="58" w:type="dxa"/>
                  </w:tcMar>
                  <w:vAlign w:val="bottom"/>
                </w:tcPr>
                <w:p w14:paraId="4E77A6D9" w14:textId="77777777" w:rsidR="0070488F" w:rsidRPr="005D4222" w:rsidRDefault="0070488F">
                  <w:pPr>
                    <w:pStyle w:val="TableHead"/>
                    <w:spacing w:before="40" w:after="40"/>
                  </w:pPr>
                  <w:r w:rsidRPr="005D4222">
                    <w:t>Prescription</w:t>
                  </w:r>
                </w:p>
              </w:tc>
              <w:tc>
                <w:tcPr>
                  <w:tcW w:w="2192" w:type="dxa"/>
                  <w:tcBorders>
                    <w:left w:val="single" w:sz="6" w:space="0" w:color="FFFFFF" w:themeColor="background1"/>
                    <w:bottom w:val="single" w:sz="6" w:space="0" w:color="auto"/>
                    <w:right w:val="single" w:sz="4" w:space="0" w:color="auto"/>
                  </w:tcBorders>
                  <w:shd w:val="clear" w:color="auto" w:fill="000000" w:themeFill="text1"/>
                  <w:tcMar>
                    <w:left w:w="58" w:type="dxa"/>
                    <w:right w:w="58" w:type="dxa"/>
                  </w:tcMar>
                  <w:vAlign w:val="bottom"/>
                </w:tcPr>
                <w:p w14:paraId="5F48B9EF" w14:textId="77777777" w:rsidR="0070488F" w:rsidRPr="005D4222" w:rsidRDefault="0070488F">
                  <w:pPr>
                    <w:pStyle w:val="TableHead"/>
                    <w:spacing w:before="40" w:after="40"/>
                  </w:pPr>
                  <w:r w:rsidRPr="005D4222">
                    <w:t>Medication Lists</w:t>
                  </w:r>
                </w:p>
              </w:tc>
              <w:tc>
                <w:tcPr>
                  <w:tcW w:w="2128" w:type="dxa"/>
                  <w:tcBorders>
                    <w:left w:val="single" w:sz="6" w:space="0" w:color="FFFFFF" w:themeColor="background1"/>
                    <w:bottom w:val="single" w:sz="6" w:space="0" w:color="auto"/>
                    <w:right w:val="single" w:sz="4" w:space="0" w:color="auto"/>
                  </w:tcBorders>
                  <w:shd w:val="clear" w:color="auto" w:fill="000000" w:themeFill="text1"/>
                  <w:tcMar>
                    <w:left w:w="58" w:type="dxa"/>
                    <w:right w:w="58" w:type="dxa"/>
                  </w:tcMar>
                  <w:vAlign w:val="bottom"/>
                </w:tcPr>
                <w:p w14:paraId="0411DD45" w14:textId="77777777" w:rsidR="0070488F" w:rsidRPr="005D4222" w:rsidRDefault="0070488F">
                  <w:pPr>
                    <w:pStyle w:val="TableHead"/>
                    <w:spacing w:before="40" w:after="40"/>
                  </w:pPr>
                  <w:r w:rsidRPr="005D4222">
                    <w:t xml:space="preserve">Value Sets and </w:t>
                  </w:r>
                  <w:r w:rsidRPr="005D4222">
                    <w:br/>
                    <w:t>Days Supply</w:t>
                  </w:r>
                </w:p>
              </w:tc>
            </w:tr>
            <w:tr w:rsidR="00147367" w:rsidRPr="005D4222" w14:paraId="337D5C08" w14:textId="77777777" w:rsidTr="00A53E8C">
              <w:trPr>
                <w:trHeight w:val="507"/>
              </w:trPr>
              <w:tc>
                <w:tcPr>
                  <w:tcW w:w="1163" w:type="dxa"/>
                  <w:shd w:val="clear" w:color="auto" w:fill="FFFFFF" w:themeFill="background1"/>
                  <w:tcMar>
                    <w:left w:w="58" w:type="dxa"/>
                    <w:right w:w="58" w:type="dxa"/>
                  </w:tcMar>
                </w:tcPr>
                <w:p w14:paraId="3FDE371D" w14:textId="77777777" w:rsidR="00147367" w:rsidRPr="005D4222" w:rsidRDefault="00147367" w:rsidP="00147367">
                  <w:pPr>
                    <w:pStyle w:val="TableText"/>
                    <w:rPr>
                      <w:szCs w:val="21"/>
                    </w:rPr>
                  </w:pPr>
                  <w:r w:rsidRPr="005D4222">
                    <w:rPr>
                      <w:szCs w:val="21"/>
                    </w:rPr>
                    <w:t>Partial agonist</w:t>
                  </w:r>
                </w:p>
              </w:tc>
              <w:tc>
                <w:tcPr>
                  <w:tcW w:w="1890" w:type="dxa"/>
                  <w:shd w:val="clear" w:color="auto" w:fill="FFFFFF" w:themeFill="background1"/>
                  <w:tcMar>
                    <w:left w:w="58" w:type="dxa"/>
                    <w:right w:w="58" w:type="dxa"/>
                  </w:tcMar>
                </w:tcPr>
                <w:p w14:paraId="4AF535B1" w14:textId="77777777" w:rsidR="00147367" w:rsidRPr="005D4222" w:rsidRDefault="00147367" w:rsidP="00147367">
                  <w:pPr>
                    <w:pStyle w:val="TableBullet"/>
                    <w:numPr>
                      <w:ilvl w:val="0"/>
                      <w:numId w:val="0"/>
                    </w:numPr>
                    <w:spacing w:after="60"/>
                  </w:pPr>
                  <w:r w:rsidRPr="005D4222">
                    <w:t xml:space="preserve">Buprenorphine (sublingual tablet) </w:t>
                  </w:r>
                </w:p>
              </w:tc>
              <w:tc>
                <w:tcPr>
                  <w:tcW w:w="2192" w:type="dxa"/>
                  <w:shd w:val="clear" w:color="auto" w:fill="FFFFFF" w:themeFill="background1"/>
                  <w:tcMar>
                    <w:left w:w="58" w:type="dxa"/>
                    <w:right w:w="58" w:type="dxa"/>
                  </w:tcMar>
                </w:tcPr>
                <w:p w14:paraId="3C199F31" w14:textId="77777777" w:rsidR="00147367" w:rsidRPr="005D4222" w:rsidRDefault="00147367" w:rsidP="00147367">
                  <w:pPr>
                    <w:pStyle w:val="TableBullet"/>
                    <w:numPr>
                      <w:ilvl w:val="0"/>
                      <w:numId w:val="0"/>
                    </w:numPr>
                    <w:spacing w:after="60"/>
                    <w:rPr>
                      <w:u w:val="single"/>
                    </w:rPr>
                  </w:pPr>
                  <w:r w:rsidRPr="005D4222">
                    <w:rPr>
                      <w:u w:val="single"/>
                    </w:rPr>
                    <w:t>Buprenorphine Oral Medications List</w:t>
                  </w:r>
                </w:p>
              </w:tc>
              <w:tc>
                <w:tcPr>
                  <w:tcW w:w="2128" w:type="dxa"/>
                  <w:shd w:val="clear" w:color="auto" w:fill="FFFFFF" w:themeFill="background1"/>
                  <w:tcMar>
                    <w:left w:w="58" w:type="dxa"/>
                    <w:right w:w="58" w:type="dxa"/>
                  </w:tcMar>
                </w:tcPr>
                <w:p w14:paraId="3DFCF71D" w14:textId="77777777" w:rsidR="00147367" w:rsidRPr="005D4222" w:rsidRDefault="00147367" w:rsidP="00147367">
                  <w:pPr>
                    <w:pStyle w:val="TableBullet"/>
                    <w:numPr>
                      <w:ilvl w:val="0"/>
                      <w:numId w:val="0"/>
                    </w:numPr>
                    <w:spacing w:after="60"/>
                  </w:pPr>
                  <w:r w:rsidRPr="005D4222">
                    <w:rPr>
                      <w:u w:val="single"/>
                    </w:rPr>
                    <w:t>Buprenorphine Oral Value Set</w:t>
                  </w:r>
                  <w:r w:rsidRPr="005D4222">
                    <w:t xml:space="preserve"> (1 day supply)</w:t>
                  </w:r>
                </w:p>
                <w:p w14:paraId="2CA0E4FC" w14:textId="77777777" w:rsidR="00147367" w:rsidRPr="005D4222" w:rsidRDefault="00147367" w:rsidP="00147367">
                  <w:pPr>
                    <w:pStyle w:val="TableBullet"/>
                    <w:numPr>
                      <w:ilvl w:val="0"/>
                      <w:numId w:val="0"/>
                    </w:numPr>
                    <w:spacing w:after="60"/>
                  </w:pPr>
                  <w:r w:rsidRPr="005D4222">
                    <w:rPr>
                      <w:u w:val="single"/>
                    </w:rPr>
                    <w:t>Buprenorphine Oral Weekly Value Set</w:t>
                  </w:r>
                  <w:r w:rsidRPr="005D4222">
                    <w:t xml:space="preserve"> </w:t>
                  </w:r>
                  <w:r w:rsidRPr="005D4222">
                    <w:br/>
                    <w:t>(7 days supply)</w:t>
                  </w:r>
                </w:p>
              </w:tc>
            </w:tr>
            <w:tr w:rsidR="00147367" w:rsidRPr="005D4222" w14:paraId="42342552" w14:textId="77777777" w:rsidTr="00A53E8C">
              <w:trPr>
                <w:trHeight w:val="507"/>
              </w:trPr>
              <w:tc>
                <w:tcPr>
                  <w:tcW w:w="1163" w:type="dxa"/>
                  <w:shd w:val="clear" w:color="auto" w:fill="FFFFFF" w:themeFill="background1"/>
                  <w:tcMar>
                    <w:left w:w="58" w:type="dxa"/>
                    <w:right w:w="58" w:type="dxa"/>
                  </w:tcMar>
                </w:tcPr>
                <w:p w14:paraId="6B40797E" w14:textId="77777777" w:rsidR="00147367" w:rsidRPr="005D4222" w:rsidRDefault="00147367" w:rsidP="00147367">
                  <w:pPr>
                    <w:pStyle w:val="TableText"/>
                    <w:rPr>
                      <w:szCs w:val="21"/>
                    </w:rPr>
                  </w:pPr>
                  <w:r w:rsidRPr="005D4222">
                    <w:rPr>
                      <w:szCs w:val="21"/>
                    </w:rPr>
                    <w:t>Partial agonist</w:t>
                  </w:r>
                </w:p>
              </w:tc>
              <w:tc>
                <w:tcPr>
                  <w:tcW w:w="1890" w:type="dxa"/>
                  <w:shd w:val="clear" w:color="auto" w:fill="FFFFFF" w:themeFill="background1"/>
                  <w:tcMar>
                    <w:left w:w="58" w:type="dxa"/>
                    <w:right w:w="58" w:type="dxa"/>
                  </w:tcMar>
                </w:tcPr>
                <w:p w14:paraId="2381C7C4" w14:textId="77777777" w:rsidR="00147367" w:rsidRPr="005D4222" w:rsidRDefault="00147367" w:rsidP="00147367">
                  <w:pPr>
                    <w:pStyle w:val="TableBullet"/>
                    <w:numPr>
                      <w:ilvl w:val="0"/>
                      <w:numId w:val="0"/>
                    </w:numPr>
                    <w:spacing w:after="60"/>
                  </w:pPr>
                  <w:r w:rsidRPr="005D4222">
                    <w:t>Buprenorphine (injection)</w:t>
                  </w:r>
                </w:p>
              </w:tc>
              <w:tc>
                <w:tcPr>
                  <w:tcW w:w="2192" w:type="dxa"/>
                  <w:shd w:val="clear" w:color="auto" w:fill="FFFFFF" w:themeFill="background1"/>
                  <w:tcMar>
                    <w:left w:w="58" w:type="dxa"/>
                    <w:right w:w="58" w:type="dxa"/>
                  </w:tcMar>
                </w:tcPr>
                <w:p w14:paraId="44D980BF" w14:textId="77777777" w:rsidR="00147367" w:rsidRPr="005D4222" w:rsidRDefault="00147367" w:rsidP="00147367">
                  <w:pPr>
                    <w:pStyle w:val="TableBullet"/>
                    <w:numPr>
                      <w:ilvl w:val="0"/>
                      <w:numId w:val="0"/>
                    </w:numPr>
                    <w:spacing w:after="60"/>
                    <w:rPr>
                      <w:u w:val="single"/>
                    </w:rPr>
                  </w:pPr>
                  <w:r w:rsidRPr="005D4222">
                    <w:rPr>
                      <w:u w:val="single"/>
                    </w:rPr>
                    <w:t>Buprenorphine Injection Medications List</w:t>
                  </w:r>
                </w:p>
              </w:tc>
              <w:tc>
                <w:tcPr>
                  <w:tcW w:w="2128" w:type="dxa"/>
                  <w:shd w:val="clear" w:color="auto" w:fill="FFFFFF" w:themeFill="background1"/>
                  <w:tcMar>
                    <w:left w:w="58" w:type="dxa"/>
                    <w:right w:w="58" w:type="dxa"/>
                  </w:tcMar>
                </w:tcPr>
                <w:p w14:paraId="672CF15B" w14:textId="77777777" w:rsidR="00147367" w:rsidRPr="005D4222" w:rsidRDefault="00147367" w:rsidP="00147367">
                  <w:pPr>
                    <w:pStyle w:val="TableBullet"/>
                    <w:numPr>
                      <w:ilvl w:val="0"/>
                      <w:numId w:val="0"/>
                    </w:numPr>
                    <w:spacing w:after="60"/>
                  </w:pPr>
                  <w:r w:rsidRPr="005D4222">
                    <w:rPr>
                      <w:u w:val="single"/>
                    </w:rPr>
                    <w:t>Buprenorphine Injection Value Set</w:t>
                  </w:r>
                  <w:r w:rsidRPr="005D4222">
                    <w:t xml:space="preserve"> (31 days supply)</w:t>
                  </w:r>
                </w:p>
              </w:tc>
            </w:tr>
            <w:tr w:rsidR="00147367" w:rsidRPr="005D4222" w14:paraId="0155AEC5" w14:textId="77777777" w:rsidTr="00A53E8C">
              <w:trPr>
                <w:trHeight w:val="507"/>
              </w:trPr>
              <w:tc>
                <w:tcPr>
                  <w:tcW w:w="1163" w:type="dxa"/>
                  <w:shd w:val="clear" w:color="auto" w:fill="FFFFFF" w:themeFill="background1"/>
                  <w:tcMar>
                    <w:left w:w="58" w:type="dxa"/>
                    <w:right w:w="58" w:type="dxa"/>
                  </w:tcMar>
                </w:tcPr>
                <w:p w14:paraId="65889EE4" w14:textId="77777777" w:rsidR="00147367" w:rsidRPr="005D4222" w:rsidRDefault="00147367" w:rsidP="00147367">
                  <w:pPr>
                    <w:pStyle w:val="TableText"/>
                    <w:rPr>
                      <w:szCs w:val="21"/>
                    </w:rPr>
                  </w:pPr>
                  <w:r w:rsidRPr="005D4222">
                    <w:rPr>
                      <w:szCs w:val="21"/>
                    </w:rPr>
                    <w:t>Partial agonist</w:t>
                  </w:r>
                </w:p>
              </w:tc>
              <w:tc>
                <w:tcPr>
                  <w:tcW w:w="1890" w:type="dxa"/>
                  <w:shd w:val="clear" w:color="auto" w:fill="FFFFFF" w:themeFill="background1"/>
                  <w:tcMar>
                    <w:left w:w="58" w:type="dxa"/>
                    <w:right w:w="58" w:type="dxa"/>
                  </w:tcMar>
                </w:tcPr>
                <w:p w14:paraId="45448471" w14:textId="77777777" w:rsidR="00147367" w:rsidRPr="005D4222" w:rsidRDefault="00147367" w:rsidP="00147367">
                  <w:pPr>
                    <w:pStyle w:val="TableBullet"/>
                    <w:numPr>
                      <w:ilvl w:val="0"/>
                      <w:numId w:val="0"/>
                    </w:numPr>
                    <w:spacing w:after="60"/>
                  </w:pPr>
                  <w:r w:rsidRPr="005D4222">
                    <w:t xml:space="preserve">Buprenorphine (implant) </w:t>
                  </w:r>
                </w:p>
              </w:tc>
              <w:tc>
                <w:tcPr>
                  <w:tcW w:w="2192" w:type="dxa"/>
                  <w:shd w:val="clear" w:color="auto" w:fill="FFFFFF" w:themeFill="background1"/>
                  <w:tcMar>
                    <w:left w:w="58" w:type="dxa"/>
                    <w:right w:w="58" w:type="dxa"/>
                  </w:tcMar>
                </w:tcPr>
                <w:p w14:paraId="7099C74D" w14:textId="77777777" w:rsidR="00147367" w:rsidRPr="005D4222" w:rsidRDefault="00147367" w:rsidP="00147367">
                  <w:pPr>
                    <w:pStyle w:val="TableBullet"/>
                    <w:numPr>
                      <w:ilvl w:val="0"/>
                      <w:numId w:val="0"/>
                    </w:numPr>
                    <w:spacing w:after="60"/>
                    <w:rPr>
                      <w:u w:val="single"/>
                    </w:rPr>
                  </w:pPr>
                  <w:r w:rsidRPr="005D4222">
                    <w:rPr>
                      <w:u w:val="single"/>
                    </w:rPr>
                    <w:t>Buprenorphine Implant Medications List</w:t>
                  </w:r>
                </w:p>
              </w:tc>
              <w:tc>
                <w:tcPr>
                  <w:tcW w:w="2128" w:type="dxa"/>
                  <w:shd w:val="clear" w:color="auto" w:fill="FFFFFF" w:themeFill="background1"/>
                  <w:tcMar>
                    <w:left w:w="58" w:type="dxa"/>
                    <w:right w:w="58" w:type="dxa"/>
                  </w:tcMar>
                </w:tcPr>
                <w:p w14:paraId="567FD686" w14:textId="77777777" w:rsidR="00147367" w:rsidRPr="005D4222" w:rsidRDefault="00147367" w:rsidP="00147367">
                  <w:pPr>
                    <w:pStyle w:val="TableBullet"/>
                    <w:numPr>
                      <w:ilvl w:val="0"/>
                      <w:numId w:val="0"/>
                    </w:numPr>
                    <w:spacing w:after="60"/>
                  </w:pPr>
                  <w:r w:rsidRPr="005D4222">
                    <w:rPr>
                      <w:u w:val="single"/>
                    </w:rPr>
                    <w:t>Buprenorphine Implant Value Set</w:t>
                  </w:r>
                  <w:r w:rsidRPr="005D4222">
                    <w:t xml:space="preserve"> (180 days supply)</w:t>
                  </w:r>
                </w:p>
              </w:tc>
            </w:tr>
            <w:tr w:rsidR="0070488F" w:rsidRPr="005D4222" w14:paraId="6005FAE7" w14:textId="77777777">
              <w:trPr>
                <w:trHeight w:val="507"/>
              </w:trPr>
              <w:tc>
                <w:tcPr>
                  <w:tcW w:w="1163" w:type="dxa"/>
                  <w:shd w:val="clear" w:color="auto" w:fill="FFFFFF" w:themeFill="background1"/>
                  <w:tcMar>
                    <w:left w:w="58" w:type="dxa"/>
                    <w:right w:w="58" w:type="dxa"/>
                  </w:tcMar>
                </w:tcPr>
                <w:p w14:paraId="23066EDA" w14:textId="77777777" w:rsidR="0070488F" w:rsidRPr="005D4222" w:rsidRDefault="0070488F" w:rsidP="009355DF">
                  <w:pPr>
                    <w:pStyle w:val="TableText"/>
                    <w:rPr>
                      <w:szCs w:val="21"/>
                    </w:rPr>
                  </w:pPr>
                  <w:r w:rsidRPr="005D4222">
                    <w:rPr>
                      <w:szCs w:val="21"/>
                    </w:rPr>
                    <w:t>Partial agonist</w:t>
                  </w:r>
                </w:p>
              </w:tc>
              <w:tc>
                <w:tcPr>
                  <w:tcW w:w="1890" w:type="dxa"/>
                  <w:shd w:val="clear" w:color="auto" w:fill="FFFFFF" w:themeFill="background1"/>
                  <w:tcMar>
                    <w:left w:w="58" w:type="dxa"/>
                    <w:right w:w="58" w:type="dxa"/>
                  </w:tcMar>
                </w:tcPr>
                <w:p w14:paraId="48D7636F" w14:textId="77777777" w:rsidR="0070488F" w:rsidRPr="005D4222" w:rsidRDefault="0070488F" w:rsidP="009355DF">
                  <w:pPr>
                    <w:pStyle w:val="TableBullet"/>
                    <w:numPr>
                      <w:ilvl w:val="0"/>
                      <w:numId w:val="0"/>
                    </w:numPr>
                    <w:spacing w:after="60"/>
                  </w:pPr>
                  <w:r w:rsidRPr="005D4222">
                    <w:t>Buprenorphine/ naloxone (sublingual tablet, buccal film, sublingual film)</w:t>
                  </w:r>
                </w:p>
              </w:tc>
              <w:tc>
                <w:tcPr>
                  <w:tcW w:w="2192" w:type="dxa"/>
                  <w:shd w:val="clear" w:color="auto" w:fill="FFFFFF" w:themeFill="background1"/>
                  <w:tcMar>
                    <w:left w:w="58" w:type="dxa"/>
                    <w:right w:w="58" w:type="dxa"/>
                  </w:tcMar>
                </w:tcPr>
                <w:p w14:paraId="0A0E62AF" w14:textId="77777777" w:rsidR="0070488F" w:rsidRPr="005D4222" w:rsidRDefault="0070488F" w:rsidP="009355DF">
                  <w:pPr>
                    <w:pStyle w:val="TableBullet"/>
                    <w:numPr>
                      <w:ilvl w:val="0"/>
                      <w:numId w:val="0"/>
                    </w:numPr>
                    <w:spacing w:after="60"/>
                    <w:rPr>
                      <w:u w:val="single"/>
                    </w:rPr>
                  </w:pPr>
                  <w:r w:rsidRPr="005D4222">
                    <w:rPr>
                      <w:u w:val="single"/>
                    </w:rPr>
                    <w:t>Buprenorphine Naloxone Medications List</w:t>
                  </w:r>
                </w:p>
              </w:tc>
              <w:tc>
                <w:tcPr>
                  <w:tcW w:w="2128" w:type="dxa"/>
                  <w:shd w:val="clear" w:color="auto" w:fill="FFFFFF" w:themeFill="background1"/>
                  <w:tcMar>
                    <w:left w:w="58" w:type="dxa"/>
                    <w:right w:w="58" w:type="dxa"/>
                  </w:tcMar>
                </w:tcPr>
                <w:p w14:paraId="64EC8061" w14:textId="77777777" w:rsidR="0070488F" w:rsidRPr="005D4222" w:rsidRDefault="0070488F" w:rsidP="009355DF">
                  <w:pPr>
                    <w:pStyle w:val="TableBullet"/>
                    <w:numPr>
                      <w:ilvl w:val="0"/>
                      <w:numId w:val="0"/>
                    </w:numPr>
                    <w:spacing w:after="60"/>
                    <w:rPr>
                      <w:u w:val="single"/>
                    </w:rPr>
                  </w:pPr>
                  <w:r w:rsidRPr="005D4222">
                    <w:rPr>
                      <w:u w:val="single"/>
                    </w:rPr>
                    <w:t>Buprenorphine Naloxone Value Set</w:t>
                  </w:r>
                  <w:r w:rsidRPr="005D4222">
                    <w:t xml:space="preserve"> (1 day supply)</w:t>
                  </w:r>
                </w:p>
              </w:tc>
            </w:tr>
            <w:tr w:rsidR="0070488F" w:rsidRPr="005D4222" w14:paraId="22113D65" w14:textId="77777777">
              <w:trPr>
                <w:trHeight w:val="507"/>
              </w:trPr>
              <w:tc>
                <w:tcPr>
                  <w:tcW w:w="1163" w:type="dxa"/>
                  <w:tcMar>
                    <w:left w:w="58" w:type="dxa"/>
                    <w:right w:w="58" w:type="dxa"/>
                  </w:tcMar>
                </w:tcPr>
                <w:p w14:paraId="60775ECF" w14:textId="77777777" w:rsidR="0070488F" w:rsidRPr="005D4222" w:rsidRDefault="0070488F" w:rsidP="009355DF">
                  <w:pPr>
                    <w:pStyle w:val="TableText"/>
                    <w:rPr>
                      <w:szCs w:val="21"/>
                    </w:rPr>
                  </w:pPr>
                  <w:r w:rsidRPr="005D4222">
                    <w:rPr>
                      <w:szCs w:val="21"/>
                    </w:rPr>
                    <w:t>Agonist</w:t>
                  </w:r>
                </w:p>
              </w:tc>
              <w:tc>
                <w:tcPr>
                  <w:tcW w:w="1890" w:type="dxa"/>
                  <w:tcMar>
                    <w:left w:w="58" w:type="dxa"/>
                    <w:right w:w="58" w:type="dxa"/>
                  </w:tcMar>
                </w:tcPr>
                <w:p w14:paraId="5E7D24CE" w14:textId="77777777" w:rsidR="0070488F" w:rsidRPr="005D4222" w:rsidRDefault="0070488F" w:rsidP="009355DF">
                  <w:pPr>
                    <w:pStyle w:val="TableBullet"/>
                    <w:numPr>
                      <w:ilvl w:val="0"/>
                      <w:numId w:val="0"/>
                    </w:numPr>
                    <w:spacing w:after="60"/>
                  </w:pPr>
                  <w:r w:rsidRPr="005D4222">
                    <w:t>Methadone (oral)</w:t>
                  </w:r>
                </w:p>
              </w:tc>
              <w:tc>
                <w:tcPr>
                  <w:tcW w:w="2192" w:type="dxa"/>
                  <w:tcMar>
                    <w:left w:w="58" w:type="dxa"/>
                    <w:right w:w="58" w:type="dxa"/>
                  </w:tcMar>
                </w:tcPr>
                <w:p w14:paraId="01F9EB79" w14:textId="77777777" w:rsidR="0070488F" w:rsidRPr="005D4222" w:rsidRDefault="0070488F" w:rsidP="009355DF">
                  <w:pPr>
                    <w:pStyle w:val="TableBullet"/>
                    <w:numPr>
                      <w:ilvl w:val="0"/>
                      <w:numId w:val="0"/>
                    </w:numPr>
                    <w:spacing w:after="60"/>
                  </w:pPr>
                  <w:r w:rsidRPr="005D4222">
                    <w:t xml:space="preserve">NA (refer to </w:t>
                  </w:r>
                  <w:r w:rsidRPr="005D4222">
                    <w:rPr>
                      <w:i/>
                      <w:iCs/>
                    </w:rPr>
                    <w:t xml:space="preserve">Note </w:t>
                  </w:r>
                  <w:r w:rsidRPr="005D4222">
                    <w:t>below)</w:t>
                  </w:r>
                </w:p>
              </w:tc>
              <w:tc>
                <w:tcPr>
                  <w:tcW w:w="2128" w:type="dxa"/>
                  <w:tcMar>
                    <w:left w:w="58" w:type="dxa"/>
                    <w:right w:w="58" w:type="dxa"/>
                  </w:tcMar>
                </w:tcPr>
                <w:p w14:paraId="6BCB455D" w14:textId="77777777" w:rsidR="0070488F" w:rsidRPr="005D4222" w:rsidRDefault="0070488F" w:rsidP="009355DF">
                  <w:pPr>
                    <w:pStyle w:val="TableBullet"/>
                    <w:numPr>
                      <w:ilvl w:val="0"/>
                      <w:numId w:val="0"/>
                    </w:numPr>
                    <w:spacing w:after="60"/>
                  </w:pPr>
                  <w:r w:rsidRPr="005D4222">
                    <w:rPr>
                      <w:u w:val="single"/>
                    </w:rPr>
                    <w:t>Methadone Oral Value Set</w:t>
                  </w:r>
                  <w:r w:rsidRPr="005D4222">
                    <w:t xml:space="preserve"> (1 day supply)</w:t>
                  </w:r>
                </w:p>
                <w:p w14:paraId="7030FAC5" w14:textId="77777777" w:rsidR="0070488F" w:rsidRPr="005D4222" w:rsidRDefault="0070488F" w:rsidP="009355DF">
                  <w:pPr>
                    <w:pStyle w:val="TableBullet"/>
                    <w:numPr>
                      <w:ilvl w:val="0"/>
                      <w:numId w:val="0"/>
                    </w:numPr>
                    <w:spacing w:after="60"/>
                  </w:pPr>
                  <w:r w:rsidRPr="005D4222">
                    <w:rPr>
                      <w:u w:val="single"/>
                    </w:rPr>
                    <w:t>Methadone Oral Weekly Value Set</w:t>
                  </w:r>
                  <w:r w:rsidRPr="005D4222">
                    <w:t xml:space="preserve"> (7 days supply)</w:t>
                  </w:r>
                </w:p>
              </w:tc>
            </w:tr>
          </w:tbl>
          <w:p w14:paraId="0A6D1FD7" w14:textId="77777777" w:rsidR="0070488F" w:rsidRPr="005D4222" w:rsidRDefault="0070488F">
            <w:pPr>
              <w:pStyle w:val="ECDSBody"/>
              <w:rPr>
                <w:b/>
                <w:bCs w:val="0"/>
              </w:rPr>
            </w:pPr>
          </w:p>
        </w:tc>
      </w:tr>
      <w:tr w:rsidR="0070488F" w:rsidRPr="005D4222" w14:paraId="380BB706"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5CCFCF8" w14:textId="77777777" w:rsidR="0070488F" w:rsidRPr="005D4222" w:rsidRDefault="0070488F">
            <w:pPr>
              <w:pStyle w:val="ECDSMarginHead"/>
            </w:pPr>
            <w:r w:rsidRPr="005D4222">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41167D9" w14:textId="77777777" w:rsidR="0070488F" w:rsidRPr="005D4222" w:rsidRDefault="0070488F" w:rsidP="005D6173">
            <w:pPr>
              <w:pStyle w:val="ProcessBullet"/>
              <w:numPr>
                <w:ilvl w:val="0"/>
                <w:numId w:val="68"/>
              </w:numPr>
              <w:tabs>
                <w:tab w:val="left" w:pos="216"/>
              </w:tabs>
              <w:spacing w:before="120"/>
              <w:ind w:left="202" w:hanging="202"/>
            </w:pPr>
            <w:r w:rsidRPr="005D4222">
              <w:t>Updated the race and ethnicity stratification categories to align with OMB SPD 15 2024.</w:t>
            </w:r>
          </w:p>
          <w:p w14:paraId="4AC9BAAF" w14:textId="77777777" w:rsidR="0070488F" w:rsidRPr="005D4222" w:rsidRDefault="0070488F" w:rsidP="005D6173">
            <w:pPr>
              <w:pStyle w:val="ProcessBullet"/>
              <w:numPr>
                <w:ilvl w:val="0"/>
                <w:numId w:val="68"/>
              </w:numPr>
              <w:spacing w:after="80"/>
              <w:ind w:left="202" w:hanging="202"/>
              <w:rPr>
                <w:color w:val="000000" w:themeColor="text1"/>
              </w:rPr>
            </w:pPr>
            <w:r w:rsidRPr="005D4222">
              <w:t>Added instructions on allowable adjustments to the race and ethnicity stratification.</w:t>
            </w:r>
          </w:p>
        </w:tc>
      </w:tr>
      <w:tr w:rsidR="0070488F" w:rsidRPr="005D4222" w14:paraId="32BD2DA9" w14:textId="77777777">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47926CA" w14:textId="77777777" w:rsidR="0070488F" w:rsidRPr="005D4222" w:rsidRDefault="0070488F">
            <w:pPr>
              <w:pStyle w:val="ECDS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6D1E368" w14:textId="77777777" w:rsidR="0070488F" w:rsidRPr="005D4222" w:rsidRDefault="0070488F">
            <w:pPr>
              <w:pStyle w:val="ECDSBody"/>
              <w:rPr>
                <w:rFonts w:eastAsia="Arial,Times New Roman"/>
              </w:rPr>
            </w:pPr>
            <w:r w:rsidRPr="005D4222">
              <w:rPr>
                <w:rFonts w:eastAsia="Arial,Times New Roman"/>
              </w:rPr>
              <w:t xml:space="preserve">Organizations that submit HEDIS data to NCQA must provide the following data elements. </w:t>
            </w:r>
          </w:p>
          <w:p w14:paraId="5D0DE652" w14:textId="77777777" w:rsidR="0070488F" w:rsidRPr="005D4222" w:rsidRDefault="0070488F">
            <w:pPr>
              <w:pStyle w:val="Heading3"/>
              <w:spacing w:before="120"/>
              <w:rPr>
                <w:strike/>
              </w:rPr>
            </w:pPr>
            <w:r w:rsidRPr="005D4222">
              <w:t xml:space="preserve">Table POD-A-1/2/3: Data Elements for Pharmacotherapy for Opioid Use </w:t>
            </w:r>
            <w:r w:rsidRPr="005D4222">
              <w:rPr>
                <w:iCs/>
              </w:rPr>
              <w:t>Disorder</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089"/>
              <w:gridCol w:w="1049"/>
              <w:gridCol w:w="2258"/>
              <w:gridCol w:w="1979"/>
            </w:tblGrid>
            <w:tr w:rsidR="0070488F" w:rsidRPr="005D4222" w14:paraId="24569879" w14:textId="77777777" w:rsidTr="00EB6F18">
              <w:tc>
                <w:tcPr>
                  <w:tcW w:w="2089"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tcMar>
                    <w:left w:w="72" w:type="dxa"/>
                    <w:right w:w="72" w:type="dxa"/>
                  </w:tcMar>
                  <w:hideMark/>
                </w:tcPr>
                <w:p w14:paraId="7949B3F3" w14:textId="77777777" w:rsidR="0070488F" w:rsidRPr="005D4222" w:rsidRDefault="0070488F">
                  <w:pPr>
                    <w:pStyle w:val="TableHead"/>
                    <w:spacing w:before="40" w:after="40"/>
                    <w:rPr>
                      <w:rFonts w:cs="Arial"/>
                      <w:color w:val="auto"/>
                    </w:rPr>
                  </w:pPr>
                  <w:r w:rsidRPr="005D4222">
                    <w:rPr>
                      <w:rFonts w:cs="Arial"/>
                      <w:color w:val="auto"/>
                    </w:rPr>
                    <w:t>Metric</w:t>
                  </w:r>
                </w:p>
              </w:tc>
              <w:tc>
                <w:tcPr>
                  <w:tcW w:w="1049"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72" w:type="dxa"/>
                    <w:right w:w="72" w:type="dxa"/>
                  </w:tcMar>
                  <w:hideMark/>
                </w:tcPr>
                <w:p w14:paraId="1B895B27" w14:textId="77777777" w:rsidR="0070488F" w:rsidRPr="005D4222" w:rsidRDefault="0070488F">
                  <w:pPr>
                    <w:pStyle w:val="TableHead"/>
                    <w:spacing w:before="40" w:after="40"/>
                    <w:rPr>
                      <w:rFonts w:cs="Arial"/>
                      <w:color w:val="auto"/>
                    </w:rPr>
                  </w:pPr>
                  <w:r w:rsidRPr="005D4222">
                    <w:rPr>
                      <w:rFonts w:cs="Arial"/>
                      <w:color w:val="auto"/>
                    </w:rPr>
                    <w:t>Age</w:t>
                  </w:r>
                </w:p>
              </w:tc>
              <w:tc>
                <w:tcPr>
                  <w:tcW w:w="2258"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72" w:type="dxa"/>
                    <w:right w:w="72" w:type="dxa"/>
                  </w:tcMar>
                  <w:hideMark/>
                </w:tcPr>
                <w:p w14:paraId="7F7AB3F7" w14:textId="77777777" w:rsidR="0070488F" w:rsidRPr="005D4222" w:rsidRDefault="0070488F">
                  <w:pPr>
                    <w:pStyle w:val="TableHead"/>
                    <w:spacing w:before="40" w:after="40"/>
                    <w:rPr>
                      <w:rFonts w:cs="Arial"/>
                      <w:color w:val="auto"/>
                    </w:rPr>
                  </w:pPr>
                  <w:r w:rsidRPr="005D4222">
                    <w:rPr>
                      <w:rFonts w:cs="Arial"/>
                      <w:color w:val="auto"/>
                    </w:rPr>
                    <w:t>Data Element</w:t>
                  </w:r>
                </w:p>
              </w:tc>
              <w:tc>
                <w:tcPr>
                  <w:tcW w:w="1979"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tcMar>
                    <w:left w:w="72" w:type="dxa"/>
                    <w:right w:w="72" w:type="dxa"/>
                  </w:tcMar>
                  <w:hideMark/>
                </w:tcPr>
                <w:p w14:paraId="215711E7" w14:textId="77777777" w:rsidR="0070488F" w:rsidRPr="005D4222" w:rsidRDefault="0070488F">
                  <w:pPr>
                    <w:pStyle w:val="TableHead"/>
                    <w:spacing w:before="40" w:after="40"/>
                    <w:rPr>
                      <w:rFonts w:cs="Arial"/>
                      <w:color w:val="auto"/>
                    </w:rPr>
                  </w:pPr>
                  <w:r w:rsidRPr="005D4222">
                    <w:rPr>
                      <w:rFonts w:cs="Arial"/>
                      <w:color w:val="auto"/>
                    </w:rPr>
                    <w:t>Reporting Instructions</w:t>
                  </w:r>
                </w:p>
              </w:tc>
            </w:tr>
            <w:tr w:rsidR="0070488F" w:rsidRPr="005D4222" w14:paraId="7EEA17F2" w14:textId="77777777" w:rsidTr="00EB6F18">
              <w:tc>
                <w:tcPr>
                  <w:tcW w:w="2089" w:type="dxa"/>
                  <w:tcBorders>
                    <w:top w:val="single" w:sz="4" w:space="0" w:color="000000" w:themeColor="text1"/>
                    <w:left w:val="single" w:sz="4" w:space="0" w:color="auto"/>
                    <w:bottom w:val="single" w:sz="4" w:space="0" w:color="auto"/>
                    <w:right w:val="single" w:sz="4" w:space="0" w:color="auto"/>
                  </w:tcBorders>
                  <w:tcMar>
                    <w:left w:w="72" w:type="dxa"/>
                    <w:right w:w="72" w:type="dxa"/>
                  </w:tcMar>
                  <w:hideMark/>
                </w:tcPr>
                <w:p w14:paraId="29240D5C" w14:textId="77777777" w:rsidR="0070488F" w:rsidRPr="005D4222" w:rsidRDefault="0070488F">
                  <w:pPr>
                    <w:pStyle w:val="TableText"/>
                    <w:spacing w:before="40" w:after="40"/>
                    <w:rPr>
                      <w:rFonts w:cs="Arial"/>
                      <w:szCs w:val="21"/>
                    </w:rPr>
                  </w:pPr>
                  <w:r w:rsidRPr="005D4222">
                    <w:rPr>
                      <w:rFonts w:cs="Arial"/>
                      <w:szCs w:val="21"/>
                    </w:rPr>
                    <w:t>PharmacotherapyOpioidUseDisorder</w:t>
                  </w:r>
                </w:p>
              </w:tc>
              <w:tc>
                <w:tcPr>
                  <w:tcW w:w="1049" w:type="dxa"/>
                  <w:tcBorders>
                    <w:top w:val="single" w:sz="4" w:space="0" w:color="000000" w:themeColor="text1"/>
                    <w:left w:val="single" w:sz="4" w:space="0" w:color="auto"/>
                    <w:bottom w:val="single" w:sz="4" w:space="0" w:color="auto"/>
                    <w:right w:val="single" w:sz="4" w:space="0" w:color="auto"/>
                  </w:tcBorders>
                  <w:tcMar>
                    <w:left w:w="72" w:type="dxa"/>
                    <w:right w:w="72" w:type="dxa"/>
                  </w:tcMar>
                  <w:hideMark/>
                </w:tcPr>
                <w:p w14:paraId="67214D20" w14:textId="77777777" w:rsidR="0070488F" w:rsidRPr="005D4222" w:rsidRDefault="0070488F">
                  <w:pPr>
                    <w:pStyle w:val="TableText"/>
                    <w:spacing w:before="40" w:after="40"/>
                    <w:rPr>
                      <w:rFonts w:cs="Arial"/>
                      <w:szCs w:val="21"/>
                    </w:rPr>
                  </w:pPr>
                  <w:r w:rsidRPr="005D4222">
                    <w:rPr>
                      <w:rFonts w:cs="Arial"/>
                      <w:szCs w:val="21"/>
                    </w:rPr>
                    <w:t>16-64</w:t>
                  </w:r>
                </w:p>
              </w:tc>
              <w:tc>
                <w:tcPr>
                  <w:tcW w:w="2258" w:type="dxa"/>
                  <w:tcBorders>
                    <w:top w:val="single" w:sz="4" w:space="0" w:color="000000" w:themeColor="text1"/>
                    <w:left w:val="single" w:sz="4" w:space="0" w:color="auto"/>
                    <w:bottom w:val="single" w:sz="4" w:space="0" w:color="auto"/>
                    <w:right w:val="single" w:sz="4" w:space="0" w:color="auto"/>
                  </w:tcBorders>
                  <w:tcMar>
                    <w:left w:w="72" w:type="dxa"/>
                    <w:right w:w="72" w:type="dxa"/>
                  </w:tcMar>
                  <w:hideMark/>
                </w:tcPr>
                <w:p w14:paraId="0398A224" w14:textId="77777777" w:rsidR="0070488F" w:rsidRPr="005D4222" w:rsidRDefault="0070488F">
                  <w:pPr>
                    <w:pStyle w:val="TableText"/>
                    <w:spacing w:before="40" w:after="40"/>
                    <w:rPr>
                      <w:rFonts w:cs="Arial"/>
                      <w:szCs w:val="21"/>
                    </w:rPr>
                  </w:pPr>
                  <w:r w:rsidRPr="005D4222">
                    <w:rPr>
                      <w:rFonts w:cs="Arial"/>
                      <w:szCs w:val="21"/>
                    </w:rPr>
                    <w:t>Benefit</w:t>
                  </w:r>
                </w:p>
              </w:tc>
              <w:tc>
                <w:tcPr>
                  <w:tcW w:w="1979" w:type="dxa"/>
                  <w:tcBorders>
                    <w:top w:val="single" w:sz="4" w:space="0" w:color="000000" w:themeColor="text1"/>
                    <w:left w:val="single" w:sz="4" w:space="0" w:color="auto"/>
                    <w:bottom w:val="single" w:sz="6" w:space="0" w:color="auto"/>
                    <w:right w:val="single" w:sz="4" w:space="0" w:color="auto"/>
                  </w:tcBorders>
                  <w:tcMar>
                    <w:left w:w="72" w:type="dxa"/>
                    <w:right w:w="72" w:type="dxa"/>
                  </w:tcMar>
                  <w:hideMark/>
                </w:tcPr>
                <w:p w14:paraId="1190E692" w14:textId="77777777" w:rsidR="0070488F" w:rsidRPr="005D4222" w:rsidRDefault="0070488F">
                  <w:pPr>
                    <w:pStyle w:val="TableText"/>
                    <w:spacing w:before="40" w:after="40"/>
                    <w:rPr>
                      <w:rFonts w:eastAsia="Wingdings" w:cs="Arial"/>
                      <w:szCs w:val="21"/>
                    </w:rPr>
                  </w:pPr>
                  <w:r w:rsidRPr="005D4222">
                    <w:rPr>
                      <w:rFonts w:eastAsia="Wingdings" w:cs="Arial"/>
                      <w:szCs w:val="21"/>
                    </w:rPr>
                    <w:t>Metadata</w:t>
                  </w:r>
                </w:p>
              </w:tc>
            </w:tr>
            <w:tr w:rsidR="0070488F" w:rsidRPr="005D4222" w14:paraId="5871995D" w14:textId="77777777" w:rsidTr="00EB6F18">
              <w:tc>
                <w:tcPr>
                  <w:tcW w:w="2089" w:type="dxa"/>
                  <w:tcBorders>
                    <w:top w:val="single" w:sz="4" w:space="0" w:color="auto"/>
                    <w:left w:val="nil"/>
                    <w:bottom w:val="nil"/>
                    <w:right w:val="single" w:sz="4" w:space="0" w:color="auto"/>
                  </w:tcBorders>
                  <w:shd w:val="clear" w:color="auto" w:fill="FFFFFF" w:themeFill="background1"/>
                  <w:tcMar>
                    <w:left w:w="72" w:type="dxa"/>
                    <w:right w:w="72" w:type="dxa"/>
                  </w:tcMar>
                </w:tcPr>
                <w:p w14:paraId="75A5A5DB" w14:textId="77777777" w:rsidR="0070488F" w:rsidRPr="005D4222" w:rsidRDefault="0070488F">
                  <w:pPr>
                    <w:pStyle w:val="TableText"/>
                    <w:spacing w:before="40" w:after="40"/>
                    <w:rPr>
                      <w:rFonts w:cs="Arial"/>
                      <w:szCs w:val="21"/>
                    </w:rPr>
                  </w:pPr>
                </w:p>
              </w:tc>
              <w:tc>
                <w:tcPr>
                  <w:tcW w:w="1049"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6ED8C801" w14:textId="77777777" w:rsidR="0070488F" w:rsidRPr="005D4222" w:rsidRDefault="0070488F">
                  <w:pPr>
                    <w:pStyle w:val="TableText"/>
                    <w:spacing w:before="40" w:after="40"/>
                    <w:rPr>
                      <w:rFonts w:cs="Arial"/>
                      <w:szCs w:val="21"/>
                    </w:rPr>
                  </w:pPr>
                  <w:r w:rsidRPr="005D4222">
                    <w:rPr>
                      <w:rFonts w:cs="Arial"/>
                      <w:szCs w:val="21"/>
                    </w:rPr>
                    <w:t>65+</w:t>
                  </w:r>
                </w:p>
              </w:tc>
              <w:tc>
                <w:tcPr>
                  <w:tcW w:w="2258"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0D7DBB8A" w14:textId="77777777" w:rsidR="0070488F" w:rsidRPr="005D4222" w:rsidRDefault="0070488F">
                  <w:pPr>
                    <w:pStyle w:val="TableText"/>
                    <w:spacing w:before="40" w:after="40"/>
                    <w:rPr>
                      <w:rFonts w:cs="Arial"/>
                      <w:szCs w:val="21"/>
                    </w:rPr>
                  </w:pPr>
                  <w:r w:rsidRPr="005D4222">
                    <w:rPr>
                      <w:rFonts w:cs="Arial"/>
                      <w:szCs w:val="21"/>
                    </w:rPr>
                    <w:t xml:space="preserve">InitialPopulation </w:t>
                  </w:r>
                </w:p>
              </w:tc>
              <w:tc>
                <w:tcPr>
                  <w:tcW w:w="1979" w:type="dxa"/>
                  <w:tcBorders>
                    <w:top w:val="single" w:sz="6" w:space="0" w:color="auto"/>
                    <w:left w:val="single" w:sz="4" w:space="0" w:color="auto"/>
                    <w:bottom w:val="single" w:sz="6" w:space="0" w:color="auto"/>
                    <w:right w:val="single" w:sz="4" w:space="0" w:color="auto"/>
                  </w:tcBorders>
                  <w:shd w:val="clear" w:color="auto" w:fill="FFFFFF" w:themeFill="background1"/>
                  <w:tcMar>
                    <w:left w:w="72" w:type="dxa"/>
                    <w:right w:w="72" w:type="dxa"/>
                  </w:tcMar>
                  <w:hideMark/>
                </w:tcPr>
                <w:p w14:paraId="2B904346" w14:textId="77777777" w:rsidR="0070488F" w:rsidRPr="005D4222" w:rsidRDefault="0070488F">
                  <w:pPr>
                    <w:pStyle w:val="TableText"/>
                    <w:spacing w:before="40" w:after="40"/>
                    <w:rPr>
                      <w:rFonts w:eastAsia="Wingdings" w:cs="Arial"/>
                      <w:szCs w:val="21"/>
                    </w:rPr>
                  </w:pPr>
                  <w:r w:rsidRPr="005D4222">
                    <w:rPr>
                      <w:rFonts w:eastAsia="Wingdings" w:cs="Arial"/>
                      <w:szCs w:val="21"/>
                    </w:rPr>
                    <w:t>For each Stratification</w:t>
                  </w:r>
                </w:p>
              </w:tc>
            </w:tr>
            <w:tr w:rsidR="0070488F" w:rsidRPr="005D4222" w14:paraId="4B080BFC" w14:textId="77777777" w:rsidTr="00EB6F18">
              <w:tc>
                <w:tcPr>
                  <w:tcW w:w="2089" w:type="dxa"/>
                  <w:tcBorders>
                    <w:top w:val="nil"/>
                    <w:left w:val="nil"/>
                    <w:bottom w:val="nil"/>
                    <w:right w:val="nil"/>
                  </w:tcBorders>
                  <w:shd w:val="clear" w:color="auto" w:fill="FFFFFF" w:themeFill="background1"/>
                  <w:tcMar>
                    <w:left w:w="72" w:type="dxa"/>
                    <w:right w:w="72" w:type="dxa"/>
                  </w:tcMar>
                </w:tcPr>
                <w:p w14:paraId="191562D3" w14:textId="77777777" w:rsidR="0070488F" w:rsidRPr="005D4222" w:rsidRDefault="0070488F">
                  <w:pPr>
                    <w:pStyle w:val="TableText"/>
                    <w:spacing w:before="40" w:after="40"/>
                    <w:rPr>
                      <w:rFonts w:cs="Arial"/>
                      <w:szCs w:val="21"/>
                    </w:rPr>
                  </w:pPr>
                </w:p>
              </w:tc>
              <w:tc>
                <w:tcPr>
                  <w:tcW w:w="104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647CEA8D" w14:textId="77777777" w:rsidR="0070488F" w:rsidRPr="005D4222" w:rsidRDefault="0070488F">
                  <w:pPr>
                    <w:pStyle w:val="TableText"/>
                    <w:spacing w:before="40" w:after="40"/>
                    <w:rPr>
                      <w:rFonts w:cs="Arial"/>
                      <w:szCs w:val="21"/>
                    </w:rPr>
                  </w:pPr>
                  <w:r w:rsidRPr="005D4222">
                    <w:rPr>
                      <w:rFonts w:cs="Arial"/>
                      <w:szCs w:val="21"/>
                    </w:rPr>
                    <w:t>Total</w:t>
                  </w:r>
                </w:p>
              </w:tc>
              <w:tc>
                <w:tcPr>
                  <w:tcW w:w="2258"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273F2261" w14:textId="77777777" w:rsidR="0070488F" w:rsidRPr="005D4222" w:rsidRDefault="0070488F">
                  <w:pPr>
                    <w:pStyle w:val="TableText"/>
                    <w:spacing w:before="40" w:after="40"/>
                    <w:rPr>
                      <w:rFonts w:cs="Arial"/>
                    </w:rPr>
                  </w:pPr>
                  <w:r w:rsidRPr="005D4222">
                    <w:rPr>
                      <w:rFonts w:cs="Arial"/>
                    </w:rPr>
                    <w:t>Exclusions</w:t>
                  </w:r>
                </w:p>
              </w:tc>
              <w:tc>
                <w:tcPr>
                  <w:tcW w:w="1979" w:type="dxa"/>
                  <w:tcBorders>
                    <w:top w:val="single" w:sz="6" w:space="0" w:color="auto"/>
                    <w:left w:val="single" w:sz="4" w:space="0" w:color="auto"/>
                    <w:bottom w:val="single" w:sz="6" w:space="0" w:color="auto"/>
                    <w:right w:val="single" w:sz="4" w:space="0" w:color="auto"/>
                  </w:tcBorders>
                  <w:shd w:val="clear" w:color="auto" w:fill="FFFFFF" w:themeFill="background1"/>
                  <w:tcMar>
                    <w:left w:w="72" w:type="dxa"/>
                    <w:right w:w="72" w:type="dxa"/>
                  </w:tcMar>
                  <w:hideMark/>
                </w:tcPr>
                <w:p w14:paraId="3C16A015" w14:textId="77777777" w:rsidR="0070488F" w:rsidRPr="005D4222" w:rsidRDefault="0070488F">
                  <w:pPr>
                    <w:pStyle w:val="TableText"/>
                    <w:spacing w:before="40" w:after="40"/>
                    <w:rPr>
                      <w:rFonts w:eastAsia="Wingdings" w:cs="Arial"/>
                      <w:szCs w:val="21"/>
                    </w:rPr>
                  </w:pPr>
                  <w:r w:rsidRPr="005D4222">
                    <w:rPr>
                      <w:rFonts w:eastAsia="Wingdings" w:cs="Arial"/>
                      <w:szCs w:val="21"/>
                    </w:rPr>
                    <w:t>For each Stratification</w:t>
                  </w:r>
                </w:p>
              </w:tc>
            </w:tr>
            <w:tr w:rsidR="0070488F" w:rsidRPr="005D4222" w14:paraId="1EB1436D" w14:textId="77777777" w:rsidTr="00EB6F18">
              <w:tc>
                <w:tcPr>
                  <w:tcW w:w="2089" w:type="dxa"/>
                  <w:tcBorders>
                    <w:top w:val="nil"/>
                    <w:left w:val="nil"/>
                    <w:bottom w:val="nil"/>
                    <w:right w:val="nil"/>
                  </w:tcBorders>
                  <w:tcMar>
                    <w:left w:w="72" w:type="dxa"/>
                    <w:right w:w="72" w:type="dxa"/>
                  </w:tcMar>
                </w:tcPr>
                <w:p w14:paraId="0EC0B1E5" w14:textId="77777777" w:rsidR="0070488F" w:rsidRPr="005D4222" w:rsidRDefault="0070488F">
                  <w:pPr>
                    <w:pStyle w:val="TableText"/>
                    <w:spacing w:before="40" w:after="40"/>
                    <w:rPr>
                      <w:rFonts w:cs="Arial"/>
                      <w:szCs w:val="21"/>
                    </w:rPr>
                  </w:pPr>
                </w:p>
              </w:tc>
              <w:tc>
                <w:tcPr>
                  <w:tcW w:w="1049" w:type="dxa"/>
                  <w:tcBorders>
                    <w:top w:val="single" w:sz="4" w:space="0" w:color="auto"/>
                    <w:left w:val="nil"/>
                    <w:bottom w:val="nil"/>
                    <w:right w:val="single" w:sz="4" w:space="0" w:color="auto"/>
                  </w:tcBorders>
                  <w:tcMar>
                    <w:left w:w="72" w:type="dxa"/>
                    <w:right w:w="72" w:type="dxa"/>
                  </w:tcMar>
                </w:tcPr>
                <w:p w14:paraId="11754E86" w14:textId="77777777" w:rsidR="0070488F" w:rsidRPr="005D4222" w:rsidRDefault="0070488F">
                  <w:pPr>
                    <w:pStyle w:val="TableText"/>
                    <w:spacing w:before="40" w:after="40"/>
                    <w:rPr>
                      <w:rFonts w:cs="Arial"/>
                      <w:szCs w:val="21"/>
                    </w:rPr>
                  </w:pPr>
                </w:p>
              </w:tc>
              <w:tc>
                <w:tcPr>
                  <w:tcW w:w="2258"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5C522439" w14:textId="77777777" w:rsidR="0070488F" w:rsidRPr="005D4222" w:rsidRDefault="0070488F">
                  <w:pPr>
                    <w:pStyle w:val="TableText"/>
                    <w:spacing w:before="40" w:after="40"/>
                    <w:rPr>
                      <w:rFonts w:cs="Arial"/>
                      <w:szCs w:val="21"/>
                    </w:rPr>
                  </w:pPr>
                  <w:r w:rsidRPr="005D4222">
                    <w:rPr>
                      <w:rFonts w:cs="Arial"/>
                      <w:szCs w:val="21"/>
                    </w:rPr>
                    <w:t>Denominator</w:t>
                  </w:r>
                </w:p>
              </w:tc>
              <w:tc>
                <w:tcPr>
                  <w:tcW w:w="1979" w:type="dxa"/>
                  <w:tcBorders>
                    <w:top w:val="single" w:sz="6" w:space="0" w:color="auto"/>
                    <w:left w:val="single" w:sz="4" w:space="0" w:color="auto"/>
                    <w:bottom w:val="single" w:sz="6" w:space="0" w:color="auto"/>
                    <w:right w:val="single" w:sz="4" w:space="0" w:color="auto"/>
                  </w:tcBorders>
                  <w:shd w:val="clear" w:color="auto" w:fill="FFFFFF" w:themeFill="background1"/>
                  <w:tcMar>
                    <w:left w:w="72" w:type="dxa"/>
                    <w:right w:w="72" w:type="dxa"/>
                  </w:tcMar>
                </w:tcPr>
                <w:p w14:paraId="56448BBA" w14:textId="77777777" w:rsidR="0070488F" w:rsidRPr="005D4222" w:rsidRDefault="0070488F">
                  <w:pPr>
                    <w:pStyle w:val="TableText"/>
                    <w:spacing w:before="40" w:after="40"/>
                    <w:rPr>
                      <w:rFonts w:eastAsia="Wingdings" w:cs="Arial"/>
                      <w:szCs w:val="21"/>
                    </w:rPr>
                  </w:pPr>
                  <w:r w:rsidRPr="005D4222">
                    <w:rPr>
                      <w:rFonts w:eastAsia="Wingdings" w:cs="Arial"/>
                      <w:szCs w:val="21"/>
                    </w:rPr>
                    <w:t>For each Stratification</w:t>
                  </w:r>
                </w:p>
              </w:tc>
            </w:tr>
            <w:tr w:rsidR="0070488F" w:rsidRPr="005D4222" w14:paraId="7FF0B574" w14:textId="77777777" w:rsidTr="00EB6F18">
              <w:tc>
                <w:tcPr>
                  <w:tcW w:w="2089" w:type="dxa"/>
                  <w:tcBorders>
                    <w:top w:val="nil"/>
                    <w:left w:val="nil"/>
                    <w:bottom w:val="nil"/>
                    <w:right w:val="nil"/>
                  </w:tcBorders>
                  <w:shd w:val="clear" w:color="auto" w:fill="FFFFFF" w:themeFill="background1"/>
                  <w:tcMar>
                    <w:left w:w="72" w:type="dxa"/>
                    <w:right w:w="72" w:type="dxa"/>
                  </w:tcMar>
                </w:tcPr>
                <w:p w14:paraId="117472CF" w14:textId="77777777" w:rsidR="0070488F" w:rsidRPr="005D4222" w:rsidRDefault="0070488F">
                  <w:pPr>
                    <w:pStyle w:val="TableText"/>
                    <w:spacing w:before="40" w:after="40"/>
                    <w:rPr>
                      <w:rFonts w:cs="Arial"/>
                      <w:szCs w:val="21"/>
                    </w:rPr>
                  </w:pPr>
                </w:p>
              </w:tc>
              <w:tc>
                <w:tcPr>
                  <w:tcW w:w="1049" w:type="dxa"/>
                  <w:tcBorders>
                    <w:top w:val="nil"/>
                    <w:left w:val="nil"/>
                    <w:bottom w:val="nil"/>
                    <w:right w:val="single" w:sz="4" w:space="0" w:color="auto"/>
                  </w:tcBorders>
                  <w:shd w:val="clear" w:color="auto" w:fill="FFFFFF" w:themeFill="background1"/>
                  <w:tcMar>
                    <w:left w:w="72" w:type="dxa"/>
                    <w:right w:w="72" w:type="dxa"/>
                  </w:tcMar>
                </w:tcPr>
                <w:p w14:paraId="3B652A3E" w14:textId="77777777" w:rsidR="0070488F" w:rsidRPr="005D4222" w:rsidRDefault="0070488F">
                  <w:pPr>
                    <w:pStyle w:val="TableText"/>
                    <w:spacing w:before="40" w:after="40"/>
                    <w:rPr>
                      <w:rFonts w:cs="Arial"/>
                      <w:szCs w:val="21"/>
                    </w:rPr>
                  </w:pPr>
                </w:p>
              </w:tc>
              <w:tc>
                <w:tcPr>
                  <w:tcW w:w="2258"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33126B75" w14:textId="77777777" w:rsidR="0070488F" w:rsidRPr="005D4222" w:rsidRDefault="0070488F">
                  <w:pPr>
                    <w:pStyle w:val="TableText"/>
                    <w:spacing w:before="40" w:after="40"/>
                    <w:rPr>
                      <w:rFonts w:cs="Arial"/>
                      <w:szCs w:val="21"/>
                    </w:rPr>
                  </w:pPr>
                  <w:r w:rsidRPr="005D4222">
                    <w:rPr>
                      <w:rFonts w:cs="Arial"/>
                      <w:szCs w:val="21"/>
                    </w:rPr>
                    <w:t>NumeratorByAdmin</w:t>
                  </w:r>
                </w:p>
              </w:tc>
              <w:tc>
                <w:tcPr>
                  <w:tcW w:w="1979" w:type="dxa"/>
                  <w:tcBorders>
                    <w:top w:val="single" w:sz="6" w:space="0" w:color="auto"/>
                    <w:left w:val="single" w:sz="4" w:space="0" w:color="auto"/>
                    <w:bottom w:val="single" w:sz="6" w:space="0" w:color="auto"/>
                    <w:right w:val="single" w:sz="4" w:space="0" w:color="auto"/>
                  </w:tcBorders>
                  <w:shd w:val="clear" w:color="auto" w:fill="FFFFFF" w:themeFill="background1"/>
                  <w:tcMar>
                    <w:left w:w="72" w:type="dxa"/>
                    <w:right w:w="72" w:type="dxa"/>
                  </w:tcMar>
                  <w:hideMark/>
                </w:tcPr>
                <w:p w14:paraId="64B146A9" w14:textId="77777777" w:rsidR="0070488F" w:rsidRPr="005D4222" w:rsidRDefault="0070488F">
                  <w:pPr>
                    <w:pStyle w:val="TableText"/>
                    <w:spacing w:before="40" w:after="40"/>
                    <w:rPr>
                      <w:rFonts w:eastAsia="Wingdings" w:cs="Arial"/>
                      <w:szCs w:val="21"/>
                    </w:rPr>
                  </w:pPr>
                  <w:r w:rsidRPr="005D4222">
                    <w:rPr>
                      <w:rFonts w:eastAsia="Wingdings" w:cs="Arial"/>
                      <w:szCs w:val="21"/>
                    </w:rPr>
                    <w:t>For each Stratification</w:t>
                  </w:r>
                </w:p>
              </w:tc>
            </w:tr>
            <w:tr w:rsidR="0070488F" w:rsidRPr="005D4222" w14:paraId="3BB334CE" w14:textId="77777777" w:rsidTr="00EB6F18">
              <w:tc>
                <w:tcPr>
                  <w:tcW w:w="2089" w:type="dxa"/>
                  <w:tcBorders>
                    <w:top w:val="nil"/>
                    <w:left w:val="nil"/>
                    <w:bottom w:val="nil"/>
                    <w:right w:val="nil"/>
                  </w:tcBorders>
                  <w:shd w:val="clear" w:color="auto" w:fill="FFFFFF" w:themeFill="background1"/>
                  <w:tcMar>
                    <w:left w:w="72" w:type="dxa"/>
                    <w:right w:w="72" w:type="dxa"/>
                  </w:tcMar>
                </w:tcPr>
                <w:p w14:paraId="506E3134" w14:textId="77777777" w:rsidR="0070488F" w:rsidRPr="005D4222" w:rsidRDefault="0070488F">
                  <w:pPr>
                    <w:pStyle w:val="TableText"/>
                    <w:spacing w:before="40" w:after="40"/>
                    <w:rPr>
                      <w:rFonts w:cs="Arial"/>
                      <w:szCs w:val="21"/>
                    </w:rPr>
                  </w:pPr>
                </w:p>
              </w:tc>
              <w:tc>
                <w:tcPr>
                  <w:tcW w:w="1049" w:type="dxa"/>
                  <w:tcBorders>
                    <w:top w:val="nil"/>
                    <w:left w:val="nil"/>
                    <w:bottom w:val="nil"/>
                    <w:right w:val="single" w:sz="4" w:space="0" w:color="auto"/>
                  </w:tcBorders>
                  <w:shd w:val="clear" w:color="auto" w:fill="FFFFFF" w:themeFill="background1"/>
                  <w:tcMar>
                    <w:left w:w="72" w:type="dxa"/>
                    <w:right w:w="72" w:type="dxa"/>
                  </w:tcMar>
                </w:tcPr>
                <w:p w14:paraId="2E6280B7" w14:textId="77777777" w:rsidR="0070488F" w:rsidRPr="005D4222" w:rsidRDefault="0070488F">
                  <w:pPr>
                    <w:pStyle w:val="TableText"/>
                    <w:spacing w:before="40" w:after="40"/>
                    <w:rPr>
                      <w:rFonts w:cs="Arial"/>
                      <w:szCs w:val="21"/>
                    </w:rPr>
                  </w:pPr>
                </w:p>
              </w:tc>
              <w:tc>
                <w:tcPr>
                  <w:tcW w:w="2258"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13F0CABE" w14:textId="77777777" w:rsidR="0070488F" w:rsidRPr="005D4222" w:rsidRDefault="0070488F">
                  <w:pPr>
                    <w:pStyle w:val="TableText"/>
                    <w:spacing w:before="40" w:after="40"/>
                    <w:rPr>
                      <w:rFonts w:cs="Arial"/>
                      <w:szCs w:val="21"/>
                    </w:rPr>
                  </w:pPr>
                  <w:r w:rsidRPr="005D4222">
                    <w:rPr>
                      <w:rFonts w:cs="Arial"/>
                      <w:szCs w:val="21"/>
                    </w:rPr>
                    <w:t>NumeratorBySupplemental</w:t>
                  </w:r>
                </w:p>
              </w:tc>
              <w:tc>
                <w:tcPr>
                  <w:tcW w:w="1979" w:type="dxa"/>
                  <w:tcBorders>
                    <w:top w:val="single" w:sz="6" w:space="0" w:color="auto"/>
                    <w:left w:val="single" w:sz="4" w:space="0" w:color="auto"/>
                    <w:bottom w:val="single" w:sz="6" w:space="0" w:color="auto"/>
                    <w:right w:val="single" w:sz="4" w:space="0" w:color="auto"/>
                  </w:tcBorders>
                  <w:shd w:val="clear" w:color="auto" w:fill="FFFFFF" w:themeFill="background1"/>
                  <w:tcMar>
                    <w:left w:w="72" w:type="dxa"/>
                    <w:right w:w="72" w:type="dxa"/>
                  </w:tcMar>
                  <w:hideMark/>
                </w:tcPr>
                <w:p w14:paraId="179EA1D5" w14:textId="77777777" w:rsidR="0070488F" w:rsidRPr="005D4222" w:rsidRDefault="0070488F">
                  <w:pPr>
                    <w:pStyle w:val="TableText"/>
                    <w:spacing w:before="40" w:after="40"/>
                    <w:rPr>
                      <w:rFonts w:eastAsia="Wingdings" w:cs="Arial"/>
                      <w:szCs w:val="21"/>
                    </w:rPr>
                  </w:pPr>
                  <w:r w:rsidRPr="005D4222">
                    <w:rPr>
                      <w:rFonts w:eastAsia="Wingdings" w:cs="Arial"/>
                      <w:szCs w:val="21"/>
                    </w:rPr>
                    <w:t>For each Stratification</w:t>
                  </w:r>
                </w:p>
              </w:tc>
            </w:tr>
            <w:tr w:rsidR="0070488F" w:rsidRPr="005D4222" w14:paraId="61837A8A" w14:textId="77777777" w:rsidTr="00EB6F18">
              <w:tc>
                <w:tcPr>
                  <w:tcW w:w="2089" w:type="dxa"/>
                  <w:tcBorders>
                    <w:top w:val="nil"/>
                    <w:left w:val="nil"/>
                    <w:bottom w:val="nil"/>
                    <w:right w:val="nil"/>
                  </w:tcBorders>
                  <w:tcMar>
                    <w:left w:w="72" w:type="dxa"/>
                    <w:right w:w="72" w:type="dxa"/>
                  </w:tcMar>
                </w:tcPr>
                <w:p w14:paraId="64FDA72A" w14:textId="77777777" w:rsidR="0070488F" w:rsidRPr="005D4222" w:rsidRDefault="0070488F">
                  <w:pPr>
                    <w:pStyle w:val="TableText"/>
                    <w:spacing w:before="40" w:after="40"/>
                    <w:rPr>
                      <w:rFonts w:cs="Arial"/>
                      <w:szCs w:val="21"/>
                    </w:rPr>
                  </w:pPr>
                </w:p>
              </w:tc>
              <w:tc>
                <w:tcPr>
                  <w:tcW w:w="1049" w:type="dxa"/>
                  <w:tcBorders>
                    <w:top w:val="nil"/>
                    <w:left w:val="nil"/>
                    <w:bottom w:val="nil"/>
                    <w:right w:val="single" w:sz="4" w:space="0" w:color="auto"/>
                  </w:tcBorders>
                  <w:tcMar>
                    <w:left w:w="72" w:type="dxa"/>
                    <w:right w:w="72" w:type="dxa"/>
                  </w:tcMar>
                </w:tcPr>
                <w:p w14:paraId="7202D869" w14:textId="77777777" w:rsidR="0070488F" w:rsidRPr="005D4222" w:rsidRDefault="0070488F">
                  <w:pPr>
                    <w:pStyle w:val="TableText"/>
                    <w:spacing w:before="40" w:after="40"/>
                    <w:rPr>
                      <w:rFonts w:cs="Arial"/>
                      <w:szCs w:val="21"/>
                    </w:rPr>
                  </w:pPr>
                </w:p>
              </w:tc>
              <w:tc>
                <w:tcPr>
                  <w:tcW w:w="22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72353265" w14:textId="77777777" w:rsidR="0070488F" w:rsidRPr="005D4222" w:rsidRDefault="0070488F">
                  <w:pPr>
                    <w:pStyle w:val="TableText"/>
                    <w:spacing w:before="40" w:after="40"/>
                    <w:rPr>
                      <w:rFonts w:cs="Arial"/>
                      <w:szCs w:val="21"/>
                    </w:rPr>
                  </w:pPr>
                  <w:r w:rsidRPr="005D4222">
                    <w:rPr>
                      <w:rFonts w:cs="Arial"/>
                      <w:szCs w:val="21"/>
                    </w:rPr>
                    <w:t>Rate</w:t>
                  </w:r>
                </w:p>
              </w:tc>
              <w:tc>
                <w:tcPr>
                  <w:tcW w:w="1979" w:type="dxa"/>
                  <w:tcBorders>
                    <w:top w:val="single" w:sz="6" w:space="0" w:color="auto"/>
                    <w:left w:val="single" w:sz="4" w:space="0" w:color="auto"/>
                    <w:bottom w:val="single" w:sz="6" w:space="0" w:color="auto"/>
                    <w:right w:val="single" w:sz="4" w:space="0" w:color="auto"/>
                  </w:tcBorders>
                  <w:shd w:val="clear" w:color="auto" w:fill="D9D9D9" w:themeFill="background1" w:themeFillShade="D9"/>
                  <w:tcMar>
                    <w:left w:w="72" w:type="dxa"/>
                    <w:right w:w="72" w:type="dxa"/>
                  </w:tcMar>
                  <w:hideMark/>
                </w:tcPr>
                <w:p w14:paraId="7DDB4F70" w14:textId="77777777" w:rsidR="0070488F" w:rsidRPr="005D4222" w:rsidRDefault="0070488F">
                  <w:pPr>
                    <w:pStyle w:val="TableText"/>
                    <w:spacing w:before="40" w:after="40"/>
                    <w:rPr>
                      <w:rFonts w:eastAsia="Wingdings" w:cs="Arial"/>
                      <w:szCs w:val="21"/>
                    </w:rPr>
                  </w:pPr>
                  <w:r w:rsidRPr="005D4222">
                    <w:rPr>
                      <w:rFonts w:eastAsia="Wingdings" w:cs="Arial"/>
                      <w:szCs w:val="21"/>
                    </w:rPr>
                    <w:t>(Percent)</w:t>
                  </w:r>
                </w:p>
              </w:tc>
            </w:tr>
          </w:tbl>
          <w:p w14:paraId="430F0846" w14:textId="77777777" w:rsidR="0070488F" w:rsidRPr="005D4222" w:rsidRDefault="0070488F">
            <w:pPr>
              <w:pStyle w:val="TableText"/>
              <w:spacing w:before="0"/>
            </w:pPr>
          </w:p>
        </w:tc>
      </w:tr>
    </w:tbl>
    <w:p w14:paraId="3F3B5A14" w14:textId="77777777" w:rsidR="00147367" w:rsidRPr="005D4222" w:rsidRDefault="00147367">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70488F" w:rsidRPr="005D4222" w14:paraId="65912499" w14:textId="77777777">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E8D8A22" w14:textId="77777777" w:rsidR="0070488F" w:rsidRPr="005D4222" w:rsidRDefault="0070488F">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A62F2D9" w14:textId="7E65639B" w:rsidR="00147367" w:rsidRPr="005D4222" w:rsidRDefault="00147367" w:rsidP="00147367">
            <w:pPr>
              <w:pStyle w:val="Heading3"/>
              <w:spacing w:before="120"/>
            </w:pPr>
            <w:r w:rsidRPr="005D4222">
              <w:t xml:space="preserve">Table POD-B-1/2/3: Data Elements for Pharmacotherapy for Opioid Use: </w:t>
            </w:r>
            <w:r w:rsidR="00B51CDC" w:rsidRPr="005D4222">
              <w:t>Stratifications</w:t>
            </w:r>
            <w:r w:rsidRPr="005D4222">
              <w:t xml:space="preserve"> by Race</w:t>
            </w:r>
          </w:p>
          <w:tbl>
            <w:tblPr>
              <w:tblW w:w="73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8" w:type="dxa"/>
                <w:right w:w="58" w:type="dxa"/>
              </w:tblCellMar>
              <w:tblLook w:val="04A0" w:firstRow="1" w:lastRow="0" w:firstColumn="1" w:lastColumn="0" w:noHBand="0" w:noVBand="1"/>
            </w:tblPr>
            <w:tblGrid>
              <w:gridCol w:w="2080"/>
              <w:gridCol w:w="2776"/>
              <w:gridCol w:w="1350"/>
              <w:gridCol w:w="1170"/>
            </w:tblGrid>
            <w:tr w:rsidR="00147367" w:rsidRPr="005D4222" w14:paraId="002E9128" w14:textId="77777777" w:rsidTr="00A53E8C">
              <w:tc>
                <w:tcPr>
                  <w:tcW w:w="2080" w:type="dxa"/>
                  <w:tcBorders>
                    <w:top w:val="single" w:sz="4" w:space="0" w:color="000000" w:themeColor="text1"/>
                    <w:left w:val="single" w:sz="4" w:space="0" w:color="auto"/>
                    <w:bottom w:val="single" w:sz="4" w:space="0" w:color="auto"/>
                    <w:right w:val="single" w:sz="4" w:space="0" w:color="FFFFFF" w:themeColor="background1"/>
                  </w:tcBorders>
                  <w:shd w:val="clear" w:color="auto" w:fill="000000" w:themeFill="text1"/>
                  <w:tcMar>
                    <w:top w:w="0" w:type="dxa"/>
                    <w:left w:w="72" w:type="dxa"/>
                    <w:bottom w:w="0" w:type="dxa"/>
                    <w:right w:w="72" w:type="dxa"/>
                  </w:tcMar>
                  <w:vAlign w:val="bottom"/>
                  <w:hideMark/>
                </w:tcPr>
                <w:p w14:paraId="010B4707" w14:textId="77777777" w:rsidR="00147367" w:rsidRPr="005D4222" w:rsidRDefault="00147367" w:rsidP="00147367">
                  <w:pPr>
                    <w:pStyle w:val="TableHead"/>
                    <w:spacing w:before="40" w:after="40"/>
                    <w:rPr>
                      <w:rFonts w:cs="Arial"/>
                    </w:rPr>
                  </w:pPr>
                  <w:r w:rsidRPr="005D4222">
                    <w:rPr>
                      <w:rFonts w:cs="Arial"/>
                    </w:rPr>
                    <w:t>Metric</w:t>
                  </w:r>
                </w:p>
              </w:tc>
              <w:tc>
                <w:tcPr>
                  <w:tcW w:w="2776"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top w:w="0" w:type="dxa"/>
                    <w:left w:w="72" w:type="dxa"/>
                    <w:bottom w:w="0" w:type="dxa"/>
                    <w:right w:w="72" w:type="dxa"/>
                  </w:tcMar>
                  <w:vAlign w:val="bottom"/>
                  <w:hideMark/>
                </w:tcPr>
                <w:p w14:paraId="28B08301" w14:textId="77777777" w:rsidR="00147367" w:rsidRPr="005D4222" w:rsidRDefault="00147367" w:rsidP="00147367">
                  <w:pPr>
                    <w:pStyle w:val="TableHead"/>
                    <w:spacing w:before="40" w:after="40"/>
                    <w:rPr>
                      <w:rFonts w:cs="Arial"/>
                    </w:rPr>
                  </w:pPr>
                  <w:r w:rsidRPr="005D4222">
                    <w:rPr>
                      <w:rFonts w:cs="Arial"/>
                    </w:rPr>
                    <w:t>Race</w:t>
                  </w:r>
                </w:p>
              </w:tc>
              <w:tc>
                <w:tcPr>
                  <w:tcW w:w="135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top w:w="0" w:type="dxa"/>
                    <w:left w:w="72" w:type="dxa"/>
                    <w:bottom w:w="0" w:type="dxa"/>
                    <w:right w:w="72" w:type="dxa"/>
                  </w:tcMar>
                  <w:vAlign w:val="bottom"/>
                  <w:hideMark/>
                </w:tcPr>
                <w:p w14:paraId="169E7E55" w14:textId="77777777" w:rsidR="00147367" w:rsidRPr="005D4222" w:rsidRDefault="00147367" w:rsidP="00147367">
                  <w:pPr>
                    <w:pStyle w:val="TableHead"/>
                    <w:spacing w:before="40" w:after="40"/>
                    <w:rPr>
                      <w:rFonts w:cs="Arial"/>
                    </w:rPr>
                  </w:pPr>
                  <w:r w:rsidRPr="005D4222">
                    <w:rPr>
                      <w:rFonts w:cs="Arial"/>
                    </w:rPr>
                    <w:t>Data Element</w:t>
                  </w:r>
                </w:p>
              </w:tc>
              <w:tc>
                <w:tcPr>
                  <w:tcW w:w="1170" w:type="dxa"/>
                  <w:tcBorders>
                    <w:top w:val="single" w:sz="4" w:space="0" w:color="000000" w:themeColor="text1"/>
                    <w:left w:val="single" w:sz="4" w:space="0" w:color="FFFFFF" w:themeColor="background1"/>
                    <w:bottom w:val="single" w:sz="4" w:space="0" w:color="000000" w:themeColor="text1"/>
                    <w:right w:val="single" w:sz="4" w:space="0" w:color="auto"/>
                  </w:tcBorders>
                  <w:shd w:val="clear" w:color="auto" w:fill="000000" w:themeFill="text1"/>
                  <w:tcMar>
                    <w:top w:w="0" w:type="dxa"/>
                    <w:left w:w="72" w:type="dxa"/>
                    <w:bottom w:w="0" w:type="dxa"/>
                    <w:right w:w="72" w:type="dxa"/>
                  </w:tcMar>
                  <w:vAlign w:val="bottom"/>
                  <w:hideMark/>
                </w:tcPr>
                <w:p w14:paraId="59612E00" w14:textId="77777777" w:rsidR="00147367" w:rsidRPr="005D4222" w:rsidRDefault="00147367" w:rsidP="00147367">
                  <w:pPr>
                    <w:pStyle w:val="TableHead"/>
                    <w:spacing w:before="40" w:after="40"/>
                    <w:rPr>
                      <w:rFonts w:cs="Arial"/>
                    </w:rPr>
                  </w:pPr>
                  <w:r w:rsidRPr="005D4222">
                    <w:rPr>
                      <w:rFonts w:cs="Arial"/>
                    </w:rPr>
                    <w:t>Reporting Instructions</w:t>
                  </w:r>
                </w:p>
              </w:tc>
            </w:tr>
            <w:tr w:rsidR="00147367" w:rsidRPr="005D4222" w14:paraId="24C78A19" w14:textId="77777777" w:rsidTr="00A53E8C">
              <w:tc>
                <w:tcPr>
                  <w:tcW w:w="2080"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15834A8E" w14:textId="77777777" w:rsidR="00147367" w:rsidRPr="005D4222" w:rsidRDefault="00147367" w:rsidP="00147367">
                  <w:pPr>
                    <w:pStyle w:val="TableText"/>
                    <w:spacing w:before="40" w:after="40"/>
                    <w:rPr>
                      <w:rFonts w:cs="Arial"/>
                      <w:szCs w:val="21"/>
                    </w:rPr>
                  </w:pPr>
                  <w:r w:rsidRPr="005D4222">
                    <w:rPr>
                      <w:rFonts w:cs="Arial"/>
                      <w:szCs w:val="21"/>
                    </w:rPr>
                    <w:t>PharmacotherapyOpioidUseDisorder</w:t>
                  </w:r>
                </w:p>
              </w:tc>
              <w:tc>
                <w:tcPr>
                  <w:tcW w:w="2776" w:type="dxa"/>
                  <w:tcBorders>
                    <w:top w:val="single" w:sz="4" w:space="0" w:color="000000" w:themeColor="text1"/>
                    <w:left w:val="single" w:sz="4" w:space="0" w:color="auto"/>
                    <w:bottom w:val="single" w:sz="4" w:space="0" w:color="auto"/>
                    <w:right w:val="single" w:sz="4" w:space="0" w:color="auto"/>
                  </w:tcBorders>
                  <w:tcMar>
                    <w:top w:w="0" w:type="dxa"/>
                    <w:left w:w="72" w:type="dxa"/>
                    <w:bottom w:w="0" w:type="dxa"/>
                    <w:right w:w="72" w:type="dxa"/>
                  </w:tcMar>
                  <w:hideMark/>
                </w:tcPr>
                <w:p w14:paraId="68CFE4B4" w14:textId="77777777" w:rsidR="00147367" w:rsidRPr="005D4222" w:rsidRDefault="00147367" w:rsidP="00147367">
                  <w:pPr>
                    <w:pStyle w:val="TableText"/>
                    <w:spacing w:before="40" w:after="40"/>
                    <w:rPr>
                      <w:rFonts w:cs="Arial"/>
                      <w:szCs w:val="21"/>
                    </w:rPr>
                  </w:pPr>
                  <w:r w:rsidRPr="005D4222">
                    <w:rPr>
                      <w:rFonts w:cs="Arial"/>
                      <w:szCs w:val="21"/>
                    </w:rPr>
                    <w:t>AmericanIndianOrAlaskaNative</w:t>
                  </w:r>
                </w:p>
              </w:tc>
              <w:tc>
                <w:tcPr>
                  <w:tcW w:w="1350" w:type="dxa"/>
                  <w:tcBorders>
                    <w:top w:val="single" w:sz="4" w:space="0" w:color="000000" w:themeColor="text1"/>
                    <w:left w:val="single" w:sz="4" w:space="0" w:color="auto"/>
                    <w:bottom w:val="single" w:sz="4" w:space="0" w:color="auto"/>
                    <w:right w:val="single" w:sz="4" w:space="0" w:color="auto"/>
                  </w:tcBorders>
                  <w:tcMar>
                    <w:top w:w="0" w:type="dxa"/>
                    <w:left w:w="72" w:type="dxa"/>
                    <w:bottom w:w="0" w:type="dxa"/>
                    <w:right w:w="72" w:type="dxa"/>
                  </w:tcMar>
                  <w:hideMark/>
                </w:tcPr>
                <w:p w14:paraId="0A85C1AA" w14:textId="77777777" w:rsidR="00147367" w:rsidRPr="005D4222" w:rsidRDefault="00147367" w:rsidP="00147367">
                  <w:pPr>
                    <w:pStyle w:val="TableText"/>
                    <w:spacing w:before="40" w:after="40"/>
                    <w:rPr>
                      <w:rFonts w:cs="Arial"/>
                      <w:szCs w:val="21"/>
                    </w:rPr>
                  </w:pPr>
                  <w:r w:rsidRPr="005D4222">
                    <w:rPr>
                      <w:rFonts w:cs="Arial"/>
                      <w:szCs w:val="21"/>
                    </w:rPr>
                    <w:t>Denominator</w:t>
                  </w:r>
                </w:p>
              </w:tc>
              <w:tc>
                <w:tcPr>
                  <w:tcW w:w="1170" w:type="dxa"/>
                  <w:tcBorders>
                    <w:top w:val="single" w:sz="4" w:space="0" w:color="000000" w:themeColor="text1"/>
                    <w:left w:val="single" w:sz="4" w:space="0" w:color="auto"/>
                    <w:bottom w:val="single" w:sz="6" w:space="0" w:color="auto"/>
                    <w:right w:val="single" w:sz="4" w:space="0" w:color="auto"/>
                  </w:tcBorders>
                  <w:tcMar>
                    <w:top w:w="0" w:type="dxa"/>
                    <w:left w:w="72" w:type="dxa"/>
                    <w:bottom w:w="0" w:type="dxa"/>
                    <w:right w:w="72" w:type="dxa"/>
                  </w:tcMar>
                  <w:hideMark/>
                </w:tcPr>
                <w:p w14:paraId="48634E81" w14:textId="77777777" w:rsidR="00147367" w:rsidRPr="005D4222" w:rsidRDefault="00147367" w:rsidP="00147367">
                  <w:pPr>
                    <w:pStyle w:val="TableText"/>
                    <w:spacing w:before="40" w:after="40"/>
                    <w:rPr>
                      <w:rFonts w:eastAsia="Wingdings" w:cs="Arial"/>
                      <w:szCs w:val="21"/>
                    </w:rPr>
                  </w:pPr>
                  <w:r w:rsidRPr="005D4222">
                    <w:rPr>
                      <w:rFonts w:eastAsia="Wingdings" w:cs="Arial"/>
                      <w:szCs w:val="21"/>
                    </w:rPr>
                    <w:t>For each Stratification</w:t>
                  </w:r>
                </w:p>
              </w:tc>
            </w:tr>
            <w:tr w:rsidR="00147367" w:rsidRPr="005D4222" w14:paraId="32A0D0E9" w14:textId="77777777" w:rsidTr="00A53E8C">
              <w:tc>
                <w:tcPr>
                  <w:tcW w:w="2080" w:type="dxa"/>
                  <w:tcBorders>
                    <w:top w:val="single" w:sz="4" w:space="0" w:color="auto"/>
                    <w:left w:val="nil"/>
                    <w:bottom w:val="nil"/>
                    <w:right w:val="single" w:sz="4" w:space="0" w:color="auto"/>
                  </w:tcBorders>
                  <w:shd w:val="clear" w:color="auto" w:fill="FFFFFF" w:themeFill="background1"/>
                  <w:tcMar>
                    <w:top w:w="0" w:type="dxa"/>
                    <w:left w:w="72" w:type="dxa"/>
                    <w:bottom w:w="0" w:type="dxa"/>
                    <w:right w:w="72" w:type="dxa"/>
                  </w:tcMar>
                </w:tcPr>
                <w:p w14:paraId="1609B5C1" w14:textId="77777777" w:rsidR="00147367" w:rsidRPr="005D4222" w:rsidRDefault="00147367" w:rsidP="00147367">
                  <w:pPr>
                    <w:pStyle w:val="TableText"/>
                    <w:spacing w:before="40" w:after="40"/>
                    <w:rPr>
                      <w:rFonts w:cs="Arial"/>
                      <w:szCs w:val="21"/>
                    </w:rPr>
                  </w:pPr>
                </w:p>
              </w:tc>
              <w:tc>
                <w:tcPr>
                  <w:tcW w:w="277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72" w:type="dxa"/>
                    <w:bottom w:w="0" w:type="dxa"/>
                    <w:right w:w="72" w:type="dxa"/>
                  </w:tcMar>
                  <w:hideMark/>
                </w:tcPr>
                <w:p w14:paraId="0D8E6A55" w14:textId="77777777" w:rsidR="00147367" w:rsidRPr="005D4222" w:rsidRDefault="00147367" w:rsidP="00147367">
                  <w:pPr>
                    <w:pStyle w:val="TableText"/>
                    <w:spacing w:before="40" w:after="40"/>
                    <w:rPr>
                      <w:rFonts w:cs="Arial"/>
                      <w:szCs w:val="21"/>
                    </w:rPr>
                  </w:pPr>
                  <w:r w:rsidRPr="005D4222">
                    <w:rPr>
                      <w:rFonts w:cs="Arial"/>
                      <w:szCs w:val="21"/>
                    </w:rPr>
                    <w:t>Asian</w:t>
                  </w:r>
                </w:p>
              </w:tc>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72" w:type="dxa"/>
                    <w:bottom w:w="0" w:type="dxa"/>
                    <w:right w:w="72" w:type="dxa"/>
                  </w:tcMar>
                  <w:hideMark/>
                </w:tcPr>
                <w:p w14:paraId="2B9201B7" w14:textId="77777777" w:rsidR="00147367" w:rsidRPr="005D4222" w:rsidRDefault="00147367" w:rsidP="00147367">
                  <w:pPr>
                    <w:pStyle w:val="TableText"/>
                    <w:spacing w:before="40" w:after="40"/>
                    <w:rPr>
                      <w:rFonts w:cs="Arial"/>
                      <w:szCs w:val="21"/>
                    </w:rPr>
                  </w:pPr>
                  <w:r w:rsidRPr="005D4222">
                    <w:rPr>
                      <w:rFonts w:cs="Arial"/>
                      <w:szCs w:val="21"/>
                    </w:rPr>
                    <w:t>Numerator</w:t>
                  </w:r>
                </w:p>
              </w:tc>
              <w:tc>
                <w:tcPr>
                  <w:tcW w:w="1170" w:type="dxa"/>
                  <w:tcBorders>
                    <w:top w:val="single" w:sz="6" w:space="0" w:color="auto"/>
                    <w:left w:val="single" w:sz="4" w:space="0" w:color="auto"/>
                    <w:bottom w:val="single" w:sz="4" w:space="0" w:color="auto"/>
                    <w:right w:val="single" w:sz="4" w:space="0" w:color="auto"/>
                  </w:tcBorders>
                  <w:shd w:val="clear" w:color="auto" w:fill="FFFFFF" w:themeFill="background1"/>
                  <w:tcMar>
                    <w:top w:w="0" w:type="dxa"/>
                    <w:left w:w="72" w:type="dxa"/>
                    <w:bottom w:w="0" w:type="dxa"/>
                    <w:right w:w="72" w:type="dxa"/>
                  </w:tcMar>
                  <w:hideMark/>
                </w:tcPr>
                <w:p w14:paraId="1B58A439" w14:textId="77777777" w:rsidR="00147367" w:rsidRPr="005D4222" w:rsidRDefault="00147367" w:rsidP="00147367">
                  <w:pPr>
                    <w:pStyle w:val="TableText"/>
                    <w:spacing w:before="40" w:after="40"/>
                    <w:rPr>
                      <w:rFonts w:eastAsia="Wingdings" w:cs="Arial"/>
                      <w:szCs w:val="21"/>
                    </w:rPr>
                  </w:pPr>
                  <w:r w:rsidRPr="005D4222">
                    <w:rPr>
                      <w:rFonts w:eastAsia="Wingdings" w:cs="Arial"/>
                      <w:szCs w:val="21"/>
                    </w:rPr>
                    <w:t>For each Stratification</w:t>
                  </w:r>
                </w:p>
              </w:tc>
            </w:tr>
            <w:tr w:rsidR="00147367" w:rsidRPr="005D4222" w14:paraId="52C09D1B" w14:textId="77777777" w:rsidTr="00A53E8C">
              <w:tc>
                <w:tcPr>
                  <w:tcW w:w="2080" w:type="dxa"/>
                  <w:tcBorders>
                    <w:top w:val="nil"/>
                    <w:left w:val="nil"/>
                    <w:bottom w:val="nil"/>
                    <w:right w:val="single" w:sz="4" w:space="0" w:color="auto"/>
                  </w:tcBorders>
                  <w:tcMar>
                    <w:top w:w="0" w:type="dxa"/>
                    <w:left w:w="72" w:type="dxa"/>
                    <w:bottom w:w="0" w:type="dxa"/>
                    <w:right w:w="72" w:type="dxa"/>
                  </w:tcMar>
                </w:tcPr>
                <w:p w14:paraId="5E7B48F1" w14:textId="77777777" w:rsidR="00147367" w:rsidRPr="005D4222" w:rsidRDefault="00147367" w:rsidP="00147367">
                  <w:pPr>
                    <w:pStyle w:val="TableText"/>
                    <w:spacing w:before="40" w:after="40"/>
                    <w:rPr>
                      <w:rFonts w:cs="Arial"/>
                      <w:szCs w:val="21"/>
                    </w:rPr>
                  </w:pPr>
                </w:p>
              </w:tc>
              <w:tc>
                <w:tcPr>
                  <w:tcW w:w="2776"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3AAA3EA3" w14:textId="77777777" w:rsidR="00147367" w:rsidRPr="005D4222" w:rsidRDefault="00147367" w:rsidP="00147367">
                  <w:pPr>
                    <w:pStyle w:val="TableText"/>
                    <w:spacing w:before="40" w:after="40"/>
                    <w:rPr>
                      <w:rFonts w:cs="Arial"/>
                      <w:szCs w:val="21"/>
                    </w:rPr>
                  </w:pPr>
                  <w:r w:rsidRPr="005D4222">
                    <w:rPr>
                      <w:rFonts w:cs="Arial"/>
                      <w:szCs w:val="21"/>
                    </w:rPr>
                    <w:t xml:space="preserve">BlackOrAfricanAmerican </w:t>
                  </w: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72" w:type="dxa"/>
                    <w:bottom w:w="0" w:type="dxa"/>
                    <w:right w:w="72" w:type="dxa"/>
                  </w:tcMar>
                  <w:hideMark/>
                </w:tcPr>
                <w:p w14:paraId="3031BB13" w14:textId="77777777" w:rsidR="00147367" w:rsidRPr="005D4222" w:rsidRDefault="00147367" w:rsidP="00147367">
                  <w:pPr>
                    <w:pStyle w:val="TableText"/>
                    <w:spacing w:before="40" w:after="40"/>
                    <w:rPr>
                      <w:rFonts w:cs="Arial"/>
                      <w:szCs w:val="21"/>
                    </w:rPr>
                  </w:pPr>
                  <w:r w:rsidRPr="005D4222">
                    <w:rPr>
                      <w:rFonts w:cs="Arial"/>
                      <w:szCs w:val="21"/>
                    </w:rPr>
                    <w:t>Rate</w:t>
                  </w: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72" w:type="dxa"/>
                    <w:bottom w:w="0" w:type="dxa"/>
                    <w:right w:w="72" w:type="dxa"/>
                  </w:tcMar>
                  <w:hideMark/>
                </w:tcPr>
                <w:p w14:paraId="7EE282CB" w14:textId="77777777" w:rsidR="00147367" w:rsidRPr="005D4222" w:rsidRDefault="00147367" w:rsidP="00147367">
                  <w:pPr>
                    <w:pStyle w:val="TableText"/>
                    <w:spacing w:before="40" w:after="40"/>
                    <w:rPr>
                      <w:rFonts w:eastAsia="Wingdings" w:cs="Arial"/>
                      <w:szCs w:val="21"/>
                    </w:rPr>
                  </w:pPr>
                  <w:r w:rsidRPr="005D4222">
                    <w:rPr>
                      <w:rFonts w:eastAsia="Wingdings" w:cs="Arial"/>
                      <w:szCs w:val="21"/>
                    </w:rPr>
                    <w:t>(Percent)</w:t>
                  </w:r>
                </w:p>
              </w:tc>
            </w:tr>
            <w:tr w:rsidR="00147367" w:rsidRPr="005D4222" w14:paraId="193C0B62" w14:textId="77777777" w:rsidTr="00A53E8C">
              <w:tc>
                <w:tcPr>
                  <w:tcW w:w="2080" w:type="dxa"/>
                  <w:tcBorders>
                    <w:top w:val="nil"/>
                    <w:left w:val="nil"/>
                    <w:bottom w:val="nil"/>
                    <w:right w:val="single" w:sz="4" w:space="0" w:color="auto"/>
                  </w:tcBorders>
                  <w:tcMar>
                    <w:top w:w="0" w:type="dxa"/>
                    <w:left w:w="72" w:type="dxa"/>
                    <w:bottom w:w="0" w:type="dxa"/>
                    <w:right w:w="72" w:type="dxa"/>
                  </w:tcMar>
                </w:tcPr>
                <w:p w14:paraId="4257FC49" w14:textId="77777777" w:rsidR="00147367" w:rsidRPr="005D4222" w:rsidRDefault="00147367" w:rsidP="00147367">
                  <w:pPr>
                    <w:pStyle w:val="TableText"/>
                    <w:spacing w:before="40" w:after="40"/>
                    <w:rPr>
                      <w:rFonts w:ascii="Arial" w:hAnsi="Arial" w:cs="Arial"/>
                      <w:szCs w:val="21"/>
                    </w:rPr>
                  </w:pPr>
                </w:p>
              </w:tc>
              <w:tc>
                <w:tcPr>
                  <w:tcW w:w="2776"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44765070" w14:textId="77777777" w:rsidR="00147367" w:rsidRPr="005D4222" w:rsidRDefault="00147367" w:rsidP="00147367">
                  <w:pPr>
                    <w:pStyle w:val="TableText"/>
                    <w:spacing w:before="40" w:after="40"/>
                    <w:rPr>
                      <w:rFonts w:cs="Arial"/>
                      <w:szCs w:val="21"/>
                    </w:rPr>
                  </w:pPr>
                  <w:r w:rsidRPr="005D4222">
                    <w:rPr>
                      <w:rFonts w:cs="Arial"/>
                      <w:szCs w:val="21"/>
                    </w:rPr>
                    <w:t>MiddleEasternOrNorthAfrican</w:t>
                  </w:r>
                </w:p>
              </w:tc>
              <w:tc>
                <w:tcPr>
                  <w:tcW w:w="1350" w:type="dxa"/>
                  <w:tcBorders>
                    <w:top w:val="single" w:sz="4" w:space="0" w:color="auto"/>
                    <w:left w:val="single" w:sz="4" w:space="0" w:color="auto"/>
                    <w:bottom w:val="nil"/>
                    <w:right w:val="nil"/>
                  </w:tcBorders>
                  <w:tcMar>
                    <w:top w:w="0" w:type="dxa"/>
                    <w:left w:w="72" w:type="dxa"/>
                    <w:bottom w:w="0" w:type="dxa"/>
                    <w:right w:w="72" w:type="dxa"/>
                  </w:tcMar>
                </w:tcPr>
                <w:p w14:paraId="09F8C350" w14:textId="77777777" w:rsidR="00147367" w:rsidRPr="005D4222" w:rsidRDefault="00147367" w:rsidP="00147367">
                  <w:pPr>
                    <w:pStyle w:val="TableText"/>
                    <w:spacing w:before="40" w:after="40"/>
                    <w:rPr>
                      <w:rFonts w:ascii="Arial" w:hAnsi="Arial" w:cs="Arial"/>
                      <w:szCs w:val="21"/>
                    </w:rPr>
                  </w:pPr>
                </w:p>
              </w:tc>
              <w:tc>
                <w:tcPr>
                  <w:tcW w:w="1170" w:type="dxa"/>
                  <w:tcBorders>
                    <w:top w:val="single" w:sz="4" w:space="0" w:color="auto"/>
                    <w:left w:val="nil"/>
                    <w:bottom w:val="nil"/>
                    <w:right w:val="nil"/>
                  </w:tcBorders>
                  <w:tcMar>
                    <w:top w:w="0" w:type="dxa"/>
                    <w:left w:w="72" w:type="dxa"/>
                    <w:bottom w:w="0" w:type="dxa"/>
                    <w:right w:w="72" w:type="dxa"/>
                  </w:tcMar>
                </w:tcPr>
                <w:p w14:paraId="276999BF" w14:textId="77777777" w:rsidR="00147367" w:rsidRPr="005D4222" w:rsidRDefault="00147367" w:rsidP="00147367">
                  <w:pPr>
                    <w:pStyle w:val="TableText"/>
                    <w:spacing w:before="40" w:after="40"/>
                    <w:rPr>
                      <w:rFonts w:ascii="Arial" w:eastAsia="Wingdings" w:hAnsi="Arial" w:cs="Arial"/>
                      <w:szCs w:val="21"/>
                    </w:rPr>
                  </w:pPr>
                </w:p>
              </w:tc>
            </w:tr>
            <w:tr w:rsidR="00147367" w:rsidRPr="005D4222" w14:paraId="7AA5CA40" w14:textId="77777777" w:rsidTr="00A53E8C">
              <w:tc>
                <w:tcPr>
                  <w:tcW w:w="2080" w:type="dxa"/>
                  <w:tcBorders>
                    <w:top w:val="nil"/>
                    <w:left w:val="nil"/>
                    <w:bottom w:val="nil"/>
                    <w:right w:val="single" w:sz="4" w:space="0" w:color="auto"/>
                  </w:tcBorders>
                  <w:tcMar>
                    <w:top w:w="0" w:type="dxa"/>
                    <w:left w:w="72" w:type="dxa"/>
                    <w:bottom w:w="0" w:type="dxa"/>
                    <w:right w:w="72" w:type="dxa"/>
                  </w:tcMar>
                </w:tcPr>
                <w:p w14:paraId="2F8D5DA8" w14:textId="77777777" w:rsidR="00147367" w:rsidRPr="005D4222" w:rsidRDefault="00147367" w:rsidP="00147367">
                  <w:pPr>
                    <w:pStyle w:val="TableText"/>
                    <w:spacing w:before="40" w:after="40"/>
                    <w:rPr>
                      <w:rFonts w:ascii="Arial" w:hAnsi="Arial" w:cs="Arial"/>
                      <w:szCs w:val="21"/>
                    </w:rPr>
                  </w:pPr>
                </w:p>
              </w:tc>
              <w:tc>
                <w:tcPr>
                  <w:tcW w:w="2776"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5D4ED291" w14:textId="77777777" w:rsidR="00147367" w:rsidRPr="005D4222" w:rsidRDefault="00147367" w:rsidP="00147367">
                  <w:pPr>
                    <w:pStyle w:val="TableText"/>
                    <w:spacing w:before="40" w:after="40"/>
                    <w:rPr>
                      <w:rFonts w:cs="Arial"/>
                      <w:szCs w:val="21"/>
                    </w:rPr>
                  </w:pPr>
                  <w:r w:rsidRPr="005D4222">
                    <w:rPr>
                      <w:rFonts w:cs="Arial"/>
                      <w:szCs w:val="21"/>
                    </w:rPr>
                    <w:t>NativeHawaiianOrPacificIslander</w:t>
                  </w:r>
                </w:p>
              </w:tc>
              <w:tc>
                <w:tcPr>
                  <w:tcW w:w="1350" w:type="dxa"/>
                  <w:tcBorders>
                    <w:top w:val="nil"/>
                    <w:left w:val="nil"/>
                    <w:bottom w:val="nil"/>
                    <w:right w:val="nil"/>
                  </w:tcBorders>
                  <w:tcMar>
                    <w:top w:w="0" w:type="dxa"/>
                    <w:left w:w="72" w:type="dxa"/>
                    <w:bottom w:w="0" w:type="dxa"/>
                    <w:right w:w="72" w:type="dxa"/>
                  </w:tcMar>
                </w:tcPr>
                <w:p w14:paraId="33F0EB07" w14:textId="77777777" w:rsidR="00147367" w:rsidRPr="005D4222" w:rsidRDefault="00147367" w:rsidP="00147367">
                  <w:pPr>
                    <w:pStyle w:val="TableText"/>
                    <w:spacing w:before="40" w:after="40"/>
                    <w:rPr>
                      <w:rFonts w:ascii="Arial" w:hAnsi="Arial" w:cs="Arial"/>
                      <w:szCs w:val="21"/>
                    </w:rPr>
                  </w:pPr>
                </w:p>
              </w:tc>
              <w:tc>
                <w:tcPr>
                  <w:tcW w:w="1170" w:type="dxa"/>
                  <w:tcBorders>
                    <w:top w:val="nil"/>
                    <w:left w:val="nil"/>
                    <w:bottom w:val="nil"/>
                    <w:right w:val="nil"/>
                  </w:tcBorders>
                  <w:tcMar>
                    <w:top w:w="0" w:type="dxa"/>
                    <w:left w:w="72" w:type="dxa"/>
                    <w:bottom w:w="0" w:type="dxa"/>
                    <w:right w:w="72" w:type="dxa"/>
                  </w:tcMar>
                </w:tcPr>
                <w:p w14:paraId="3C754A07" w14:textId="77777777" w:rsidR="00147367" w:rsidRPr="005D4222" w:rsidRDefault="00147367" w:rsidP="00147367">
                  <w:pPr>
                    <w:pStyle w:val="TableText"/>
                    <w:spacing w:before="40" w:after="40"/>
                    <w:rPr>
                      <w:rFonts w:ascii="Arial" w:eastAsia="Wingdings" w:hAnsi="Arial" w:cs="Arial"/>
                      <w:szCs w:val="21"/>
                    </w:rPr>
                  </w:pPr>
                </w:p>
              </w:tc>
            </w:tr>
            <w:tr w:rsidR="00147367" w:rsidRPr="005D4222" w14:paraId="51E34898" w14:textId="77777777" w:rsidTr="00A53E8C">
              <w:tc>
                <w:tcPr>
                  <w:tcW w:w="2080" w:type="dxa"/>
                  <w:tcBorders>
                    <w:top w:val="nil"/>
                    <w:left w:val="nil"/>
                    <w:bottom w:val="nil"/>
                    <w:right w:val="single" w:sz="4" w:space="0" w:color="auto"/>
                  </w:tcBorders>
                  <w:tcMar>
                    <w:top w:w="0" w:type="dxa"/>
                    <w:left w:w="72" w:type="dxa"/>
                    <w:bottom w:w="0" w:type="dxa"/>
                    <w:right w:w="72" w:type="dxa"/>
                  </w:tcMar>
                </w:tcPr>
                <w:p w14:paraId="454D060A" w14:textId="77777777" w:rsidR="00147367" w:rsidRPr="005D4222" w:rsidRDefault="00147367" w:rsidP="00147367">
                  <w:pPr>
                    <w:pStyle w:val="TableText"/>
                    <w:spacing w:before="40" w:after="40"/>
                    <w:rPr>
                      <w:rFonts w:ascii="Arial" w:hAnsi="Arial" w:cs="Arial"/>
                      <w:szCs w:val="21"/>
                    </w:rPr>
                  </w:pPr>
                </w:p>
              </w:tc>
              <w:tc>
                <w:tcPr>
                  <w:tcW w:w="2776"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36ED9329" w14:textId="77777777" w:rsidR="00147367" w:rsidRPr="005D4222" w:rsidRDefault="00147367" w:rsidP="00147367">
                  <w:pPr>
                    <w:pStyle w:val="TableText"/>
                    <w:spacing w:before="40" w:after="40"/>
                    <w:rPr>
                      <w:rFonts w:cs="Arial"/>
                      <w:szCs w:val="21"/>
                    </w:rPr>
                  </w:pPr>
                  <w:r w:rsidRPr="005D4222">
                    <w:rPr>
                      <w:rFonts w:cs="Arial"/>
                      <w:szCs w:val="21"/>
                    </w:rPr>
                    <w:t>White</w:t>
                  </w:r>
                </w:p>
              </w:tc>
              <w:tc>
                <w:tcPr>
                  <w:tcW w:w="1350" w:type="dxa"/>
                  <w:tcBorders>
                    <w:top w:val="nil"/>
                    <w:left w:val="nil"/>
                    <w:bottom w:val="nil"/>
                    <w:right w:val="nil"/>
                  </w:tcBorders>
                  <w:tcMar>
                    <w:top w:w="0" w:type="dxa"/>
                    <w:left w:w="72" w:type="dxa"/>
                    <w:bottom w:w="0" w:type="dxa"/>
                    <w:right w:w="72" w:type="dxa"/>
                  </w:tcMar>
                </w:tcPr>
                <w:p w14:paraId="53336A74" w14:textId="77777777" w:rsidR="00147367" w:rsidRPr="005D4222" w:rsidRDefault="00147367" w:rsidP="00147367">
                  <w:pPr>
                    <w:pStyle w:val="TableText"/>
                    <w:spacing w:before="40" w:after="40"/>
                    <w:rPr>
                      <w:rFonts w:ascii="Arial" w:hAnsi="Arial" w:cs="Arial"/>
                      <w:szCs w:val="21"/>
                    </w:rPr>
                  </w:pPr>
                </w:p>
              </w:tc>
              <w:tc>
                <w:tcPr>
                  <w:tcW w:w="1170" w:type="dxa"/>
                  <w:tcBorders>
                    <w:top w:val="nil"/>
                    <w:left w:val="nil"/>
                    <w:bottom w:val="nil"/>
                    <w:right w:val="nil"/>
                  </w:tcBorders>
                  <w:tcMar>
                    <w:top w:w="0" w:type="dxa"/>
                    <w:left w:w="72" w:type="dxa"/>
                    <w:bottom w:w="0" w:type="dxa"/>
                    <w:right w:w="72" w:type="dxa"/>
                  </w:tcMar>
                </w:tcPr>
                <w:p w14:paraId="7687C6D1" w14:textId="77777777" w:rsidR="00147367" w:rsidRPr="005D4222" w:rsidRDefault="00147367" w:rsidP="00147367">
                  <w:pPr>
                    <w:pStyle w:val="TableText"/>
                    <w:spacing w:before="40" w:after="40"/>
                    <w:rPr>
                      <w:rFonts w:ascii="Arial" w:eastAsia="Wingdings" w:hAnsi="Arial" w:cs="Arial"/>
                      <w:szCs w:val="21"/>
                    </w:rPr>
                  </w:pPr>
                </w:p>
              </w:tc>
            </w:tr>
            <w:tr w:rsidR="00147367" w:rsidRPr="005D4222" w14:paraId="7C6817FB" w14:textId="77777777" w:rsidTr="00A53E8C">
              <w:tc>
                <w:tcPr>
                  <w:tcW w:w="2080" w:type="dxa"/>
                  <w:tcBorders>
                    <w:top w:val="nil"/>
                    <w:left w:val="nil"/>
                    <w:bottom w:val="nil"/>
                    <w:right w:val="single" w:sz="4" w:space="0" w:color="auto"/>
                  </w:tcBorders>
                  <w:tcMar>
                    <w:top w:w="0" w:type="dxa"/>
                    <w:left w:w="72" w:type="dxa"/>
                    <w:bottom w:w="0" w:type="dxa"/>
                    <w:right w:w="72" w:type="dxa"/>
                  </w:tcMar>
                </w:tcPr>
                <w:p w14:paraId="1764D50D" w14:textId="77777777" w:rsidR="00147367" w:rsidRPr="005D4222" w:rsidRDefault="00147367" w:rsidP="00147367">
                  <w:pPr>
                    <w:pStyle w:val="TableText"/>
                    <w:spacing w:before="40" w:after="40"/>
                    <w:rPr>
                      <w:rFonts w:ascii="Arial" w:hAnsi="Arial" w:cs="Arial"/>
                      <w:szCs w:val="21"/>
                    </w:rPr>
                  </w:pPr>
                </w:p>
              </w:tc>
              <w:tc>
                <w:tcPr>
                  <w:tcW w:w="2776"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124E016F" w14:textId="77777777" w:rsidR="00147367" w:rsidRPr="005D4222" w:rsidRDefault="00147367" w:rsidP="00147367">
                  <w:pPr>
                    <w:pStyle w:val="TableText"/>
                    <w:spacing w:before="40" w:after="40"/>
                    <w:rPr>
                      <w:rFonts w:cs="Arial"/>
                      <w:szCs w:val="21"/>
                    </w:rPr>
                  </w:pPr>
                  <w:r w:rsidRPr="005D4222">
                    <w:rPr>
                      <w:rFonts w:cs="Arial"/>
                      <w:szCs w:val="21"/>
                    </w:rPr>
                    <w:t>SomeOtherRace</w:t>
                  </w:r>
                </w:p>
              </w:tc>
              <w:tc>
                <w:tcPr>
                  <w:tcW w:w="1350" w:type="dxa"/>
                  <w:tcBorders>
                    <w:top w:val="nil"/>
                    <w:left w:val="nil"/>
                    <w:bottom w:val="nil"/>
                    <w:right w:val="nil"/>
                  </w:tcBorders>
                  <w:tcMar>
                    <w:top w:w="0" w:type="dxa"/>
                    <w:left w:w="72" w:type="dxa"/>
                    <w:bottom w:w="0" w:type="dxa"/>
                    <w:right w:w="72" w:type="dxa"/>
                  </w:tcMar>
                </w:tcPr>
                <w:p w14:paraId="5599AB28" w14:textId="77777777" w:rsidR="00147367" w:rsidRPr="005D4222" w:rsidRDefault="00147367" w:rsidP="00147367">
                  <w:pPr>
                    <w:pStyle w:val="TableText"/>
                    <w:spacing w:before="40" w:after="40"/>
                    <w:rPr>
                      <w:rFonts w:ascii="Arial" w:hAnsi="Arial" w:cs="Arial"/>
                      <w:szCs w:val="21"/>
                    </w:rPr>
                  </w:pPr>
                </w:p>
              </w:tc>
              <w:tc>
                <w:tcPr>
                  <w:tcW w:w="1170" w:type="dxa"/>
                  <w:tcBorders>
                    <w:top w:val="nil"/>
                    <w:left w:val="nil"/>
                    <w:bottom w:val="nil"/>
                    <w:right w:val="nil"/>
                  </w:tcBorders>
                  <w:tcMar>
                    <w:top w:w="0" w:type="dxa"/>
                    <w:left w:w="72" w:type="dxa"/>
                    <w:bottom w:w="0" w:type="dxa"/>
                    <w:right w:w="72" w:type="dxa"/>
                  </w:tcMar>
                </w:tcPr>
                <w:p w14:paraId="03480157" w14:textId="77777777" w:rsidR="00147367" w:rsidRPr="005D4222" w:rsidRDefault="00147367" w:rsidP="00147367">
                  <w:pPr>
                    <w:pStyle w:val="TableText"/>
                    <w:spacing w:before="40" w:after="40"/>
                    <w:rPr>
                      <w:rFonts w:ascii="Arial" w:eastAsia="Wingdings" w:hAnsi="Arial" w:cs="Arial"/>
                      <w:szCs w:val="21"/>
                    </w:rPr>
                  </w:pPr>
                </w:p>
              </w:tc>
            </w:tr>
            <w:tr w:rsidR="00147367" w:rsidRPr="005D4222" w14:paraId="18CAB385" w14:textId="77777777" w:rsidTr="00A53E8C">
              <w:tc>
                <w:tcPr>
                  <w:tcW w:w="2080" w:type="dxa"/>
                  <w:tcBorders>
                    <w:top w:val="nil"/>
                    <w:left w:val="nil"/>
                    <w:bottom w:val="nil"/>
                    <w:right w:val="single" w:sz="4" w:space="0" w:color="auto"/>
                  </w:tcBorders>
                  <w:tcMar>
                    <w:top w:w="0" w:type="dxa"/>
                    <w:left w:w="72" w:type="dxa"/>
                    <w:bottom w:w="0" w:type="dxa"/>
                    <w:right w:w="72" w:type="dxa"/>
                  </w:tcMar>
                </w:tcPr>
                <w:p w14:paraId="406CECED" w14:textId="77777777" w:rsidR="00147367" w:rsidRPr="005D4222" w:rsidRDefault="00147367" w:rsidP="00147367">
                  <w:pPr>
                    <w:pStyle w:val="TableText"/>
                    <w:spacing w:before="40" w:after="40"/>
                    <w:rPr>
                      <w:rFonts w:ascii="Arial" w:hAnsi="Arial" w:cs="Arial"/>
                      <w:szCs w:val="21"/>
                    </w:rPr>
                  </w:pPr>
                </w:p>
              </w:tc>
              <w:tc>
                <w:tcPr>
                  <w:tcW w:w="2776"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2DCA0A81" w14:textId="77777777" w:rsidR="00147367" w:rsidRPr="005D4222" w:rsidRDefault="00147367" w:rsidP="00147367">
                  <w:pPr>
                    <w:pStyle w:val="TableText"/>
                    <w:spacing w:before="40" w:after="40"/>
                    <w:rPr>
                      <w:rFonts w:cs="Arial"/>
                      <w:szCs w:val="21"/>
                    </w:rPr>
                  </w:pPr>
                  <w:r w:rsidRPr="005D4222">
                    <w:rPr>
                      <w:rFonts w:cs="Arial"/>
                      <w:szCs w:val="21"/>
                    </w:rPr>
                    <w:t>TwoOrMoreRaces</w:t>
                  </w:r>
                </w:p>
              </w:tc>
              <w:tc>
                <w:tcPr>
                  <w:tcW w:w="1350" w:type="dxa"/>
                  <w:tcBorders>
                    <w:top w:val="nil"/>
                    <w:left w:val="nil"/>
                    <w:bottom w:val="nil"/>
                    <w:right w:val="nil"/>
                  </w:tcBorders>
                  <w:tcMar>
                    <w:top w:w="0" w:type="dxa"/>
                    <w:left w:w="72" w:type="dxa"/>
                    <w:bottom w:w="0" w:type="dxa"/>
                    <w:right w:w="72" w:type="dxa"/>
                  </w:tcMar>
                </w:tcPr>
                <w:p w14:paraId="3B01B880" w14:textId="77777777" w:rsidR="00147367" w:rsidRPr="005D4222" w:rsidRDefault="00147367" w:rsidP="00147367">
                  <w:pPr>
                    <w:pStyle w:val="TableText"/>
                    <w:spacing w:before="40" w:after="40"/>
                    <w:rPr>
                      <w:rFonts w:ascii="Arial" w:hAnsi="Arial" w:cs="Arial"/>
                      <w:szCs w:val="21"/>
                    </w:rPr>
                  </w:pPr>
                </w:p>
              </w:tc>
              <w:tc>
                <w:tcPr>
                  <w:tcW w:w="1170" w:type="dxa"/>
                  <w:tcBorders>
                    <w:top w:val="nil"/>
                    <w:left w:val="nil"/>
                    <w:bottom w:val="nil"/>
                    <w:right w:val="nil"/>
                  </w:tcBorders>
                  <w:tcMar>
                    <w:top w:w="0" w:type="dxa"/>
                    <w:left w:w="72" w:type="dxa"/>
                    <w:bottom w:w="0" w:type="dxa"/>
                    <w:right w:w="72" w:type="dxa"/>
                  </w:tcMar>
                </w:tcPr>
                <w:p w14:paraId="4C0FE4D6" w14:textId="77777777" w:rsidR="00147367" w:rsidRPr="005D4222" w:rsidRDefault="00147367" w:rsidP="00147367">
                  <w:pPr>
                    <w:pStyle w:val="TableText"/>
                    <w:spacing w:before="40" w:after="40"/>
                    <w:rPr>
                      <w:rFonts w:ascii="Arial" w:eastAsia="Wingdings" w:hAnsi="Arial" w:cs="Arial"/>
                      <w:szCs w:val="21"/>
                    </w:rPr>
                  </w:pPr>
                </w:p>
              </w:tc>
            </w:tr>
            <w:tr w:rsidR="00147367" w:rsidRPr="005D4222" w14:paraId="39B989E1" w14:textId="77777777" w:rsidTr="00A53E8C">
              <w:tc>
                <w:tcPr>
                  <w:tcW w:w="2080" w:type="dxa"/>
                  <w:tcBorders>
                    <w:top w:val="nil"/>
                    <w:left w:val="nil"/>
                    <w:bottom w:val="nil"/>
                    <w:right w:val="single" w:sz="4" w:space="0" w:color="auto"/>
                  </w:tcBorders>
                  <w:tcMar>
                    <w:top w:w="0" w:type="dxa"/>
                    <w:left w:w="72" w:type="dxa"/>
                    <w:bottom w:w="0" w:type="dxa"/>
                    <w:right w:w="72" w:type="dxa"/>
                  </w:tcMar>
                </w:tcPr>
                <w:p w14:paraId="3355BDA0" w14:textId="77777777" w:rsidR="00147367" w:rsidRPr="005D4222" w:rsidRDefault="00147367" w:rsidP="00147367">
                  <w:pPr>
                    <w:pStyle w:val="TableText"/>
                    <w:spacing w:before="40" w:after="40"/>
                    <w:rPr>
                      <w:rFonts w:ascii="Arial" w:hAnsi="Arial" w:cs="Arial"/>
                      <w:szCs w:val="21"/>
                    </w:rPr>
                  </w:pPr>
                </w:p>
              </w:tc>
              <w:tc>
                <w:tcPr>
                  <w:tcW w:w="2776"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7B586176" w14:textId="77777777" w:rsidR="00147367" w:rsidRPr="005D4222" w:rsidRDefault="00147367" w:rsidP="00147367">
                  <w:pPr>
                    <w:pStyle w:val="TableText"/>
                    <w:spacing w:before="40" w:after="40"/>
                    <w:rPr>
                      <w:rFonts w:cs="Arial"/>
                      <w:szCs w:val="21"/>
                    </w:rPr>
                  </w:pPr>
                  <w:r w:rsidRPr="005D4222">
                    <w:rPr>
                      <w:rFonts w:cs="Arial"/>
                      <w:szCs w:val="21"/>
                    </w:rPr>
                    <w:t>AskedButNoAnswer</w:t>
                  </w:r>
                </w:p>
              </w:tc>
              <w:tc>
                <w:tcPr>
                  <w:tcW w:w="1350" w:type="dxa"/>
                  <w:tcBorders>
                    <w:top w:val="nil"/>
                    <w:left w:val="nil"/>
                    <w:bottom w:val="nil"/>
                    <w:right w:val="nil"/>
                  </w:tcBorders>
                  <w:tcMar>
                    <w:top w:w="0" w:type="dxa"/>
                    <w:left w:w="72" w:type="dxa"/>
                    <w:bottom w:w="0" w:type="dxa"/>
                    <w:right w:w="72" w:type="dxa"/>
                  </w:tcMar>
                </w:tcPr>
                <w:p w14:paraId="089FF0DE" w14:textId="77777777" w:rsidR="00147367" w:rsidRPr="005D4222" w:rsidRDefault="00147367" w:rsidP="00147367">
                  <w:pPr>
                    <w:pStyle w:val="TableText"/>
                    <w:spacing w:before="40" w:after="40"/>
                    <w:rPr>
                      <w:rFonts w:ascii="Arial" w:hAnsi="Arial" w:cs="Arial"/>
                      <w:szCs w:val="21"/>
                    </w:rPr>
                  </w:pPr>
                </w:p>
              </w:tc>
              <w:tc>
                <w:tcPr>
                  <w:tcW w:w="1170" w:type="dxa"/>
                  <w:tcBorders>
                    <w:top w:val="nil"/>
                    <w:left w:val="nil"/>
                    <w:bottom w:val="nil"/>
                    <w:right w:val="nil"/>
                  </w:tcBorders>
                  <w:tcMar>
                    <w:top w:w="0" w:type="dxa"/>
                    <w:left w:w="72" w:type="dxa"/>
                    <w:bottom w:w="0" w:type="dxa"/>
                    <w:right w:w="72" w:type="dxa"/>
                  </w:tcMar>
                </w:tcPr>
                <w:p w14:paraId="7AE83801" w14:textId="77777777" w:rsidR="00147367" w:rsidRPr="005D4222" w:rsidRDefault="00147367" w:rsidP="00147367">
                  <w:pPr>
                    <w:pStyle w:val="TableText"/>
                    <w:spacing w:before="40" w:after="40"/>
                    <w:rPr>
                      <w:rFonts w:ascii="Arial" w:eastAsia="Wingdings" w:hAnsi="Arial" w:cs="Arial"/>
                      <w:szCs w:val="21"/>
                    </w:rPr>
                  </w:pPr>
                </w:p>
              </w:tc>
            </w:tr>
            <w:tr w:rsidR="00147367" w:rsidRPr="005D4222" w14:paraId="2029C2DB" w14:textId="77777777" w:rsidTr="00A53E8C">
              <w:tc>
                <w:tcPr>
                  <w:tcW w:w="2080" w:type="dxa"/>
                  <w:tcBorders>
                    <w:top w:val="nil"/>
                    <w:left w:val="nil"/>
                    <w:bottom w:val="nil"/>
                    <w:right w:val="single" w:sz="4" w:space="0" w:color="auto"/>
                  </w:tcBorders>
                  <w:tcMar>
                    <w:top w:w="0" w:type="dxa"/>
                    <w:left w:w="72" w:type="dxa"/>
                    <w:bottom w:w="0" w:type="dxa"/>
                    <w:right w:w="72" w:type="dxa"/>
                  </w:tcMar>
                </w:tcPr>
                <w:p w14:paraId="1DEB5EF9" w14:textId="77777777" w:rsidR="00147367" w:rsidRPr="005D4222" w:rsidRDefault="00147367" w:rsidP="00147367">
                  <w:pPr>
                    <w:pStyle w:val="TableText"/>
                    <w:spacing w:before="40" w:after="40"/>
                    <w:rPr>
                      <w:rFonts w:ascii="Arial" w:hAnsi="Arial" w:cs="Arial"/>
                      <w:szCs w:val="21"/>
                    </w:rPr>
                  </w:pPr>
                </w:p>
              </w:tc>
              <w:tc>
                <w:tcPr>
                  <w:tcW w:w="2776"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69A72EF3" w14:textId="77777777" w:rsidR="00147367" w:rsidRPr="005D4222" w:rsidRDefault="00147367" w:rsidP="00147367">
                  <w:pPr>
                    <w:pStyle w:val="TableText"/>
                    <w:spacing w:before="40" w:after="40"/>
                    <w:rPr>
                      <w:rFonts w:cs="Arial"/>
                      <w:szCs w:val="21"/>
                    </w:rPr>
                  </w:pPr>
                  <w:r w:rsidRPr="005D4222">
                    <w:rPr>
                      <w:rFonts w:cs="Arial"/>
                      <w:szCs w:val="21"/>
                    </w:rPr>
                    <w:t>Unknown</w:t>
                  </w:r>
                </w:p>
              </w:tc>
              <w:tc>
                <w:tcPr>
                  <w:tcW w:w="1350" w:type="dxa"/>
                  <w:tcBorders>
                    <w:top w:val="nil"/>
                    <w:left w:val="nil"/>
                    <w:bottom w:val="nil"/>
                    <w:right w:val="nil"/>
                  </w:tcBorders>
                  <w:tcMar>
                    <w:top w:w="0" w:type="dxa"/>
                    <w:left w:w="72" w:type="dxa"/>
                    <w:bottom w:w="0" w:type="dxa"/>
                    <w:right w:w="72" w:type="dxa"/>
                  </w:tcMar>
                </w:tcPr>
                <w:p w14:paraId="4DC11ED5" w14:textId="77777777" w:rsidR="00147367" w:rsidRPr="005D4222" w:rsidRDefault="00147367" w:rsidP="00147367">
                  <w:pPr>
                    <w:pStyle w:val="TableText"/>
                    <w:spacing w:before="40" w:after="40"/>
                    <w:rPr>
                      <w:rFonts w:ascii="Arial" w:hAnsi="Arial" w:cs="Arial"/>
                      <w:szCs w:val="21"/>
                    </w:rPr>
                  </w:pPr>
                </w:p>
              </w:tc>
              <w:tc>
                <w:tcPr>
                  <w:tcW w:w="1170" w:type="dxa"/>
                  <w:tcBorders>
                    <w:top w:val="nil"/>
                    <w:left w:val="nil"/>
                    <w:bottom w:val="nil"/>
                    <w:right w:val="nil"/>
                  </w:tcBorders>
                  <w:tcMar>
                    <w:top w:w="0" w:type="dxa"/>
                    <w:left w:w="72" w:type="dxa"/>
                    <w:bottom w:w="0" w:type="dxa"/>
                    <w:right w:w="72" w:type="dxa"/>
                  </w:tcMar>
                </w:tcPr>
                <w:p w14:paraId="04C8A334" w14:textId="77777777" w:rsidR="00147367" w:rsidRPr="005D4222" w:rsidRDefault="00147367" w:rsidP="00147367">
                  <w:pPr>
                    <w:pStyle w:val="TableText"/>
                    <w:spacing w:before="40" w:after="40"/>
                    <w:rPr>
                      <w:rFonts w:ascii="Arial" w:eastAsia="Wingdings" w:hAnsi="Arial" w:cs="Arial"/>
                      <w:szCs w:val="21"/>
                    </w:rPr>
                  </w:pPr>
                </w:p>
              </w:tc>
            </w:tr>
          </w:tbl>
          <w:p w14:paraId="36F8F6BF" w14:textId="4B219126" w:rsidR="0070488F" w:rsidRPr="005D4222" w:rsidRDefault="0070488F" w:rsidP="00147367">
            <w:pPr>
              <w:pStyle w:val="Heading3"/>
            </w:pPr>
            <w:r w:rsidRPr="005D4222">
              <w:t xml:space="preserve">Table POD-C-1/2/3: Data Elements for Pharmacotherapy for Opioid Use: </w:t>
            </w:r>
            <w:r w:rsidR="00B51CDC" w:rsidRPr="005D4222">
              <w:t>Stratifications</w:t>
            </w:r>
            <w:r w:rsidRPr="005D4222">
              <w:t xml:space="preserve"> by Ethnicity</w:t>
            </w:r>
          </w:p>
          <w:tbl>
            <w:tblPr>
              <w:tblW w:w="73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66"/>
              <w:gridCol w:w="1800"/>
              <w:gridCol w:w="1440"/>
              <w:gridCol w:w="1170"/>
            </w:tblGrid>
            <w:tr w:rsidR="0070488F" w:rsidRPr="005D4222" w14:paraId="3218EC23" w14:textId="77777777">
              <w:tc>
                <w:tcPr>
                  <w:tcW w:w="2966" w:type="dxa"/>
                  <w:tcBorders>
                    <w:top w:val="single" w:sz="4" w:space="0" w:color="000000" w:themeColor="text1"/>
                    <w:left w:val="single" w:sz="4" w:space="0" w:color="000000" w:themeColor="text1"/>
                    <w:bottom w:val="single" w:sz="4" w:space="0" w:color="auto"/>
                    <w:right w:val="single" w:sz="4" w:space="0" w:color="FFFFFF" w:themeColor="background1"/>
                  </w:tcBorders>
                  <w:shd w:val="clear" w:color="auto" w:fill="000000" w:themeFill="text1"/>
                  <w:tcMar>
                    <w:top w:w="0" w:type="dxa"/>
                    <w:left w:w="72" w:type="dxa"/>
                    <w:bottom w:w="0" w:type="dxa"/>
                    <w:right w:w="72" w:type="dxa"/>
                  </w:tcMar>
                  <w:vAlign w:val="bottom"/>
                  <w:hideMark/>
                </w:tcPr>
                <w:p w14:paraId="081EC04D" w14:textId="77777777" w:rsidR="0070488F" w:rsidRPr="005D4222" w:rsidRDefault="0070488F">
                  <w:pPr>
                    <w:pStyle w:val="TableHead"/>
                    <w:rPr>
                      <w:rFonts w:cs="Arial"/>
                    </w:rPr>
                  </w:pPr>
                  <w:r w:rsidRPr="005D4222">
                    <w:rPr>
                      <w:rFonts w:cs="Arial"/>
                    </w:rPr>
                    <w:t>Metric</w:t>
                  </w:r>
                </w:p>
              </w:tc>
              <w:tc>
                <w:tcPr>
                  <w:tcW w:w="180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top w:w="0" w:type="dxa"/>
                    <w:left w:w="72" w:type="dxa"/>
                    <w:bottom w:w="0" w:type="dxa"/>
                    <w:right w:w="72" w:type="dxa"/>
                  </w:tcMar>
                  <w:vAlign w:val="bottom"/>
                  <w:hideMark/>
                </w:tcPr>
                <w:p w14:paraId="1EC40551" w14:textId="77777777" w:rsidR="0070488F" w:rsidRPr="005D4222" w:rsidRDefault="0070488F">
                  <w:pPr>
                    <w:pStyle w:val="TableHead"/>
                    <w:rPr>
                      <w:rFonts w:cs="Arial"/>
                    </w:rPr>
                  </w:pPr>
                  <w:r w:rsidRPr="005D4222">
                    <w:rPr>
                      <w:rFonts w:cs="Arial"/>
                    </w:rPr>
                    <w:t>Ethnicity</w:t>
                  </w:r>
                </w:p>
              </w:tc>
              <w:tc>
                <w:tcPr>
                  <w:tcW w:w="144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top w:w="0" w:type="dxa"/>
                    <w:left w:w="72" w:type="dxa"/>
                    <w:bottom w:w="0" w:type="dxa"/>
                    <w:right w:w="72" w:type="dxa"/>
                  </w:tcMar>
                  <w:vAlign w:val="bottom"/>
                  <w:hideMark/>
                </w:tcPr>
                <w:p w14:paraId="610CC8DE" w14:textId="77777777" w:rsidR="0070488F" w:rsidRPr="005D4222" w:rsidRDefault="0070488F">
                  <w:pPr>
                    <w:pStyle w:val="TableHead"/>
                    <w:rPr>
                      <w:rFonts w:cs="Arial"/>
                    </w:rPr>
                  </w:pPr>
                  <w:r w:rsidRPr="005D4222">
                    <w:rPr>
                      <w:rFonts w:cs="Arial"/>
                    </w:rPr>
                    <w:t>Data Element</w:t>
                  </w:r>
                </w:p>
              </w:tc>
              <w:tc>
                <w:tcPr>
                  <w:tcW w:w="1170" w:type="dxa"/>
                  <w:tcBorders>
                    <w:top w:val="single" w:sz="4" w:space="0" w:color="000000" w:themeColor="text1"/>
                    <w:left w:val="single" w:sz="4" w:space="0" w:color="FFFFFF" w:themeColor="background1"/>
                    <w:bottom w:val="single" w:sz="4" w:space="0" w:color="000000" w:themeColor="text1"/>
                    <w:right w:val="single" w:sz="4" w:space="0" w:color="auto"/>
                  </w:tcBorders>
                  <w:shd w:val="clear" w:color="auto" w:fill="000000" w:themeFill="text1"/>
                  <w:tcMar>
                    <w:top w:w="0" w:type="dxa"/>
                    <w:left w:w="72" w:type="dxa"/>
                    <w:bottom w:w="0" w:type="dxa"/>
                    <w:right w:w="72" w:type="dxa"/>
                  </w:tcMar>
                  <w:vAlign w:val="bottom"/>
                  <w:hideMark/>
                </w:tcPr>
                <w:p w14:paraId="4282E1B0" w14:textId="77777777" w:rsidR="0070488F" w:rsidRPr="005D4222" w:rsidRDefault="0070488F">
                  <w:pPr>
                    <w:pStyle w:val="TableHead"/>
                    <w:rPr>
                      <w:rFonts w:cs="Arial"/>
                    </w:rPr>
                  </w:pPr>
                  <w:r w:rsidRPr="005D4222">
                    <w:rPr>
                      <w:rFonts w:cs="Arial"/>
                    </w:rPr>
                    <w:t>Reporting Instructions</w:t>
                  </w:r>
                </w:p>
              </w:tc>
            </w:tr>
            <w:tr w:rsidR="0070488F" w:rsidRPr="005D4222" w14:paraId="2EF61E9B" w14:textId="77777777">
              <w:tc>
                <w:tcPr>
                  <w:tcW w:w="2966"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0127D455" w14:textId="77777777" w:rsidR="0070488F" w:rsidRPr="005D4222" w:rsidRDefault="0070488F">
                  <w:pPr>
                    <w:pStyle w:val="TableText"/>
                    <w:rPr>
                      <w:rFonts w:cs="Arial"/>
                      <w:szCs w:val="21"/>
                    </w:rPr>
                  </w:pPr>
                  <w:r w:rsidRPr="005D4222">
                    <w:rPr>
                      <w:rFonts w:cs="Arial"/>
                      <w:szCs w:val="21"/>
                    </w:rPr>
                    <w:t>PharmacotherapyOpioidUseDisorder</w:t>
                  </w:r>
                </w:p>
              </w:tc>
              <w:tc>
                <w:tcPr>
                  <w:tcW w:w="1800" w:type="dxa"/>
                  <w:tcBorders>
                    <w:top w:val="single" w:sz="4" w:space="0" w:color="000000" w:themeColor="text1"/>
                    <w:left w:val="single" w:sz="4" w:space="0" w:color="auto"/>
                    <w:bottom w:val="single" w:sz="4" w:space="0" w:color="auto"/>
                    <w:right w:val="single" w:sz="4" w:space="0" w:color="auto"/>
                  </w:tcBorders>
                  <w:tcMar>
                    <w:top w:w="0" w:type="dxa"/>
                    <w:left w:w="72" w:type="dxa"/>
                    <w:bottom w:w="0" w:type="dxa"/>
                    <w:right w:w="72" w:type="dxa"/>
                  </w:tcMar>
                  <w:hideMark/>
                </w:tcPr>
                <w:p w14:paraId="70097DA5" w14:textId="77777777" w:rsidR="0070488F" w:rsidRPr="005D4222" w:rsidRDefault="0070488F">
                  <w:pPr>
                    <w:pStyle w:val="TableText"/>
                    <w:rPr>
                      <w:rFonts w:cs="Arial"/>
                      <w:szCs w:val="21"/>
                    </w:rPr>
                  </w:pPr>
                  <w:r w:rsidRPr="005D4222">
                    <w:rPr>
                      <w:rFonts w:cs="Arial"/>
                      <w:szCs w:val="21"/>
                    </w:rPr>
                    <w:t>HispanicOrLatino</w:t>
                  </w:r>
                </w:p>
              </w:tc>
              <w:tc>
                <w:tcPr>
                  <w:tcW w:w="1440" w:type="dxa"/>
                  <w:tcBorders>
                    <w:top w:val="single" w:sz="4" w:space="0" w:color="000000" w:themeColor="text1"/>
                    <w:left w:val="single" w:sz="4" w:space="0" w:color="auto"/>
                    <w:bottom w:val="single" w:sz="4" w:space="0" w:color="auto"/>
                    <w:right w:val="single" w:sz="4" w:space="0" w:color="auto"/>
                  </w:tcBorders>
                  <w:tcMar>
                    <w:top w:w="0" w:type="dxa"/>
                    <w:left w:w="72" w:type="dxa"/>
                    <w:bottom w:w="0" w:type="dxa"/>
                    <w:right w:w="72" w:type="dxa"/>
                  </w:tcMar>
                  <w:hideMark/>
                </w:tcPr>
                <w:p w14:paraId="372608B2" w14:textId="77777777" w:rsidR="0070488F" w:rsidRPr="005D4222" w:rsidRDefault="0070488F">
                  <w:pPr>
                    <w:pStyle w:val="TableText"/>
                    <w:rPr>
                      <w:rFonts w:cs="Arial"/>
                    </w:rPr>
                  </w:pPr>
                  <w:r w:rsidRPr="005D4222">
                    <w:rPr>
                      <w:rFonts w:cs="Arial"/>
                    </w:rPr>
                    <w:t>Denominator</w:t>
                  </w:r>
                </w:p>
              </w:tc>
              <w:tc>
                <w:tcPr>
                  <w:tcW w:w="1170" w:type="dxa"/>
                  <w:tcBorders>
                    <w:top w:val="single" w:sz="4" w:space="0" w:color="000000" w:themeColor="text1"/>
                    <w:left w:val="single" w:sz="4" w:space="0" w:color="auto"/>
                    <w:bottom w:val="single" w:sz="6" w:space="0" w:color="auto"/>
                    <w:right w:val="single" w:sz="4" w:space="0" w:color="auto"/>
                  </w:tcBorders>
                  <w:tcMar>
                    <w:top w:w="0" w:type="dxa"/>
                    <w:left w:w="72" w:type="dxa"/>
                    <w:bottom w:w="0" w:type="dxa"/>
                    <w:right w:w="72" w:type="dxa"/>
                  </w:tcMar>
                  <w:hideMark/>
                </w:tcPr>
                <w:p w14:paraId="49286D4E" w14:textId="77777777" w:rsidR="0070488F" w:rsidRPr="005D4222" w:rsidRDefault="0070488F">
                  <w:pPr>
                    <w:pStyle w:val="TableText"/>
                    <w:rPr>
                      <w:rFonts w:eastAsia="Wingdings" w:cs="Arial"/>
                      <w:szCs w:val="21"/>
                    </w:rPr>
                  </w:pPr>
                  <w:r w:rsidRPr="005D4222">
                    <w:rPr>
                      <w:rFonts w:eastAsia="Wingdings" w:cs="Arial"/>
                      <w:szCs w:val="21"/>
                    </w:rPr>
                    <w:t>For each Stratification</w:t>
                  </w:r>
                </w:p>
              </w:tc>
            </w:tr>
            <w:tr w:rsidR="0070488F" w:rsidRPr="005D4222" w14:paraId="2E47A060" w14:textId="77777777">
              <w:tc>
                <w:tcPr>
                  <w:tcW w:w="2966" w:type="dxa"/>
                  <w:tcBorders>
                    <w:top w:val="single" w:sz="4" w:space="0" w:color="auto"/>
                    <w:left w:val="nil"/>
                    <w:bottom w:val="nil"/>
                    <w:right w:val="single" w:sz="4" w:space="0" w:color="auto"/>
                  </w:tcBorders>
                  <w:shd w:val="clear" w:color="auto" w:fill="FFFFFF" w:themeFill="background1"/>
                  <w:tcMar>
                    <w:top w:w="0" w:type="dxa"/>
                    <w:left w:w="72" w:type="dxa"/>
                    <w:bottom w:w="0" w:type="dxa"/>
                    <w:right w:w="72" w:type="dxa"/>
                  </w:tcMar>
                </w:tcPr>
                <w:p w14:paraId="3300EEE9" w14:textId="77777777" w:rsidR="0070488F" w:rsidRPr="005D4222" w:rsidRDefault="0070488F">
                  <w:pPr>
                    <w:pStyle w:val="TableText"/>
                    <w:rPr>
                      <w:rFonts w:cs="Arial"/>
                      <w:szCs w:val="21"/>
                    </w:rPr>
                  </w:pP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72" w:type="dxa"/>
                    <w:bottom w:w="0" w:type="dxa"/>
                    <w:right w:w="72" w:type="dxa"/>
                  </w:tcMar>
                  <w:hideMark/>
                </w:tcPr>
                <w:p w14:paraId="45DA28E0" w14:textId="77777777" w:rsidR="0070488F" w:rsidRPr="005D4222" w:rsidRDefault="0070488F">
                  <w:pPr>
                    <w:pStyle w:val="TableText"/>
                    <w:rPr>
                      <w:rFonts w:cs="Arial"/>
                      <w:szCs w:val="21"/>
                    </w:rPr>
                  </w:pPr>
                  <w:r w:rsidRPr="005D4222">
                    <w:rPr>
                      <w:rFonts w:cs="Arial"/>
                      <w:szCs w:val="21"/>
                    </w:rPr>
                    <w:t>NotHispanicOrLatino</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72" w:type="dxa"/>
                    <w:bottom w:w="0" w:type="dxa"/>
                    <w:right w:w="72" w:type="dxa"/>
                  </w:tcMar>
                  <w:hideMark/>
                </w:tcPr>
                <w:p w14:paraId="5D5EF71C" w14:textId="77777777" w:rsidR="0070488F" w:rsidRPr="005D4222" w:rsidRDefault="0070488F">
                  <w:pPr>
                    <w:pStyle w:val="TableText"/>
                    <w:rPr>
                      <w:rFonts w:cs="Arial"/>
                      <w:szCs w:val="21"/>
                    </w:rPr>
                  </w:pPr>
                  <w:r w:rsidRPr="005D4222">
                    <w:rPr>
                      <w:rFonts w:cs="Arial"/>
                      <w:szCs w:val="21"/>
                    </w:rPr>
                    <w:t>Numerator</w:t>
                  </w:r>
                </w:p>
              </w:tc>
              <w:tc>
                <w:tcPr>
                  <w:tcW w:w="1170" w:type="dxa"/>
                  <w:tcBorders>
                    <w:top w:val="single" w:sz="6" w:space="0" w:color="auto"/>
                    <w:left w:val="single" w:sz="4" w:space="0" w:color="auto"/>
                    <w:bottom w:val="single" w:sz="4" w:space="0" w:color="auto"/>
                    <w:right w:val="single" w:sz="4" w:space="0" w:color="auto"/>
                  </w:tcBorders>
                  <w:shd w:val="clear" w:color="auto" w:fill="FFFFFF" w:themeFill="background1"/>
                  <w:tcMar>
                    <w:top w:w="0" w:type="dxa"/>
                    <w:left w:w="72" w:type="dxa"/>
                    <w:bottom w:w="0" w:type="dxa"/>
                    <w:right w:w="72" w:type="dxa"/>
                  </w:tcMar>
                  <w:hideMark/>
                </w:tcPr>
                <w:p w14:paraId="1F3ACFEE" w14:textId="77777777" w:rsidR="0070488F" w:rsidRPr="005D4222" w:rsidRDefault="0070488F">
                  <w:pPr>
                    <w:pStyle w:val="TableText"/>
                    <w:rPr>
                      <w:rFonts w:eastAsia="Wingdings" w:cs="Arial"/>
                      <w:szCs w:val="21"/>
                    </w:rPr>
                  </w:pPr>
                  <w:r w:rsidRPr="005D4222">
                    <w:rPr>
                      <w:rFonts w:eastAsia="Wingdings" w:cs="Arial"/>
                      <w:szCs w:val="21"/>
                    </w:rPr>
                    <w:t>For each Stratification</w:t>
                  </w:r>
                </w:p>
              </w:tc>
            </w:tr>
            <w:tr w:rsidR="0070488F" w:rsidRPr="005D4222" w14:paraId="797739EA" w14:textId="77777777">
              <w:tc>
                <w:tcPr>
                  <w:tcW w:w="2966" w:type="dxa"/>
                  <w:tcBorders>
                    <w:top w:val="nil"/>
                    <w:left w:val="nil"/>
                    <w:bottom w:val="nil"/>
                    <w:right w:val="nil"/>
                  </w:tcBorders>
                  <w:shd w:val="clear" w:color="auto" w:fill="FFFFFF" w:themeFill="background1"/>
                  <w:tcMar>
                    <w:top w:w="0" w:type="dxa"/>
                    <w:left w:w="72" w:type="dxa"/>
                    <w:bottom w:w="0" w:type="dxa"/>
                    <w:right w:w="72" w:type="dxa"/>
                  </w:tcMar>
                </w:tcPr>
                <w:p w14:paraId="0CE03E39" w14:textId="77777777" w:rsidR="0070488F" w:rsidRPr="005D4222" w:rsidRDefault="0070488F">
                  <w:pPr>
                    <w:pStyle w:val="TableText"/>
                    <w:rPr>
                      <w:rFonts w:cs="Arial"/>
                      <w:szCs w:val="21"/>
                    </w:rPr>
                  </w:pPr>
                </w:p>
              </w:tc>
              <w:tc>
                <w:tcPr>
                  <w:tcW w:w="1800"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11BFBECB" w14:textId="77777777" w:rsidR="0070488F" w:rsidRPr="005D4222" w:rsidRDefault="0070488F">
                  <w:pPr>
                    <w:pStyle w:val="TableText"/>
                    <w:rPr>
                      <w:rFonts w:cs="Arial"/>
                      <w:szCs w:val="21"/>
                    </w:rPr>
                  </w:pPr>
                  <w:r w:rsidRPr="005D4222">
                    <w:rPr>
                      <w:rFonts w:cs="Arial"/>
                      <w:szCs w:val="21"/>
                    </w:rPr>
                    <w:t>AskedButNoAnswer</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72" w:type="dxa"/>
                    <w:bottom w:w="0" w:type="dxa"/>
                    <w:right w:w="72" w:type="dxa"/>
                  </w:tcMar>
                  <w:hideMark/>
                </w:tcPr>
                <w:p w14:paraId="04071A10" w14:textId="77777777" w:rsidR="0070488F" w:rsidRPr="005D4222" w:rsidRDefault="0070488F">
                  <w:pPr>
                    <w:pStyle w:val="TableText"/>
                    <w:rPr>
                      <w:rFonts w:cs="Arial"/>
                      <w:szCs w:val="21"/>
                    </w:rPr>
                  </w:pPr>
                  <w:r w:rsidRPr="005D4222">
                    <w:rPr>
                      <w:rFonts w:cs="Arial"/>
                      <w:szCs w:val="21"/>
                    </w:rPr>
                    <w:t>Rate</w:t>
                  </w: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72" w:type="dxa"/>
                    <w:bottom w:w="0" w:type="dxa"/>
                    <w:right w:w="72" w:type="dxa"/>
                  </w:tcMar>
                  <w:hideMark/>
                </w:tcPr>
                <w:p w14:paraId="1F7F80A7" w14:textId="77777777" w:rsidR="0070488F" w:rsidRPr="005D4222" w:rsidRDefault="0070488F">
                  <w:pPr>
                    <w:pStyle w:val="TableText"/>
                    <w:rPr>
                      <w:rFonts w:eastAsia="Wingdings" w:cs="Arial"/>
                      <w:szCs w:val="21"/>
                    </w:rPr>
                  </w:pPr>
                  <w:r w:rsidRPr="005D4222">
                    <w:rPr>
                      <w:rFonts w:eastAsia="Wingdings" w:cs="Arial"/>
                      <w:szCs w:val="21"/>
                    </w:rPr>
                    <w:t>(Percent)</w:t>
                  </w:r>
                </w:p>
              </w:tc>
            </w:tr>
            <w:tr w:rsidR="0070488F" w:rsidRPr="005D4222" w14:paraId="61F5E6C8" w14:textId="77777777">
              <w:tc>
                <w:tcPr>
                  <w:tcW w:w="2966" w:type="dxa"/>
                  <w:tcBorders>
                    <w:top w:val="nil"/>
                    <w:left w:val="nil"/>
                    <w:bottom w:val="nil"/>
                    <w:right w:val="nil"/>
                  </w:tcBorders>
                  <w:shd w:val="clear" w:color="auto" w:fill="FFFFFF" w:themeFill="background1"/>
                  <w:tcMar>
                    <w:top w:w="0" w:type="dxa"/>
                    <w:left w:w="72" w:type="dxa"/>
                    <w:bottom w:w="0" w:type="dxa"/>
                    <w:right w:w="72" w:type="dxa"/>
                  </w:tcMar>
                </w:tcPr>
                <w:p w14:paraId="6DF5CF80" w14:textId="77777777" w:rsidR="0070488F" w:rsidRPr="005D4222" w:rsidRDefault="0070488F">
                  <w:pPr>
                    <w:pStyle w:val="TableText"/>
                    <w:rPr>
                      <w:rFonts w:ascii="Arial" w:hAnsi="Arial" w:cs="Arial"/>
                      <w:szCs w:val="21"/>
                    </w:rPr>
                  </w:pPr>
                </w:p>
              </w:tc>
              <w:tc>
                <w:tcPr>
                  <w:tcW w:w="1800"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0A264755" w14:textId="77777777" w:rsidR="0070488F" w:rsidRPr="005D4222" w:rsidRDefault="0070488F">
                  <w:pPr>
                    <w:pStyle w:val="TableText"/>
                    <w:rPr>
                      <w:rFonts w:cs="Arial"/>
                      <w:szCs w:val="21"/>
                    </w:rPr>
                  </w:pPr>
                  <w:r w:rsidRPr="005D4222">
                    <w:rPr>
                      <w:rFonts w:cs="Arial"/>
                      <w:szCs w:val="21"/>
                    </w:rPr>
                    <w:t>Unknown</w:t>
                  </w:r>
                </w:p>
              </w:tc>
              <w:tc>
                <w:tcPr>
                  <w:tcW w:w="1440" w:type="dxa"/>
                  <w:tcBorders>
                    <w:top w:val="single" w:sz="4" w:space="0" w:color="auto"/>
                    <w:left w:val="single" w:sz="4" w:space="0" w:color="auto"/>
                    <w:bottom w:val="nil"/>
                    <w:right w:val="nil"/>
                  </w:tcBorders>
                  <w:tcMar>
                    <w:top w:w="0" w:type="dxa"/>
                    <w:left w:w="72" w:type="dxa"/>
                    <w:bottom w:w="0" w:type="dxa"/>
                    <w:right w:w="72" w:type="dxa"/>
                  </w:tcMar>
                </w:tcPr>
                <w:p w14:paraId="798B35A8" w14:textId="77777777" w:rsidR="0070488F" w:rsidRPr="005D4222" w:rsidRDefault="0070488F">
                  <w:pPr>
                    <w:pStyle w:val="TableText"/>
                    <w:rPr>
                      <w:rFonts w:ascii="Arial" w:hAnsi="Arial" w:cs="Arial"/>
                      <w:szCs w:val="21"/>
                    </w:rPr>
                  </w:pPr>
                </w:p>
              </w:tc>
              <w:tc>
                <w:tcPr>
                  <w:tcW w:w="1170" w:type="dxa"/>
                  <w:tcBorders>
                    <w:top w:val="single" w:sz="4" w:space="0" w:color="auto"/>
                    <w:left w:val="nil"/>
                    <w:bottom w:val="nil"/>
                    <w:right w:val="nil"/>
                  </w:tcBorders>
                  <w:tcMar>
                    <w:top w:w="0" w:type="dxa"/>
                    <w:left w:w="72" w:type="dxa"/>
                    <w:bottom w:w="0" w:type="dxa"/>
                    <w:right w:w="72" w:type="dxa"/>
                  </w:tcMar>
                </w:tcPr>
                <w:p w14:paraId="6C966D8F" w14:textId="77777777" w:rsidR="0070488F" w:rsidRPr="005D4222" w:rsidRDefault="0070488F">
                  <w:pPr>
                    <w:pStyle w:val="TableText"/>
                    <w:rPr>
                      <w:rFonts w:ascii="Arial" w:eastAsia="Wingdings" w:hAnsi="Arial" w:cs="Arial"/>
                      <w:szCs w:val="21"/>
                    </w:rPr>
                  </w:pPr>
                </w:p>
              </w:tc>
            </w:tr>
          </w:tbl>
          <w:p w14:paraId="31A36CC9" w14:textId="77777777" w:rsidR="0070488F" w:rsidRPr="005D4222" w:rsidRDefault="0070488F">
            <w:pPr>
              <w:pStyle w:val="ECDSBody"/>
              <w:rPr>
                <w:b/>
                <w:i/>
              </w:rPr>
            </w:pPr>
          </w:p>
        </w:tc>
      </w:tr>
      <w:tr w:rsidR="0070488F" w:rsidRPr="005D4222" w14:paraId="0272491C" w14:textId="77777777">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C35E9A9" w14:textId="77777777" w:rsidR="0070488F" w:rsidRPr="005D4222" w:rsidRDefault="0070488F">
            <w:pPr>
              <w:pStyle w:val="ECDSMarginHead"/>
            </w:pPr>
            <w:r w:rsidRPr="005D4222">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B51B756" w14:textId="77777777" w:rsidR="0070488F" w:rsidRPr="005D4222" w:rsidRDefault="0070488F">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58F327E5" w14:textId="77777777" w:rsidR="0070488F" w:rsidRPr="005D4222" w:rsidRDefault="0070488F">
            <w:pPr>
              <w:pStyle w:val="ECDSBody"/>
              <w:rPr>
                <w:b/>
              </w:rPr>
            </w:pPr>
            <w:r w:rsidRPr="005D4222">
              <w:rPr>
                <w:b/>
              </w:rPr>
              <w:t>Adjusted HEDIS measures may not be used for HEDIS health plan reporting.</w:t>
            </w:r>
          </w:p>
          <w:p w14:paraId="034E6B3D" w14:textId="77777777" w:rsidR="0070488F" w:rsidRPr="005D4222" w:rsidRDefault="0070488F">
            <w:pPr>
              <w:pStyle w:val="Adjustments"/>
              <w:rPr>
                <w:b w:val="0"/>
              </w:rPr>
            </w:pPr>
            <w:r w:rsidRPr="005D4222">
              <w:t>Adjustments</w:t>
            </w:r>
            <w:r w:rsidRPr="005D4222">
              <w:rPr>
                <w:bCs/>
              </w:rPr>
              <w:t xml:space="preserve"> a</w:t>
            </w:r>
            <w:r w:rsidRPr="005D4222">
              <w:t>llowed</w:t>
            </w:r>
          </w:p>
          <w:p w14:paraId="7274BDFA" w14:textId="783922C9" w:rsidR="0070488F" w:rsidRPr="005D4222" w:rsidRDefault="0070488F" w:rsidP="0070488F">
            <w:pPr>
              <w:pStyle w:val="ProcessBullet"/>
              <w:tabs>
                <w:tab w:val="left" w:pos="216"/>
              </w:tabs>
              <w:ind w:left="202" w:hanging="202"/>
              <w:rPr>
                <w:b/>
              </w:rPr>
            </w:pPr>
            <w:r w:rsidRPr="005D4222">
              <w:rPr>
                <w:i/>
                <w:iCs/>
              </w:rPr>
              <w:t>Product lines</w:t>
            </w:r>
            <w:r w:rsidRPr="005D4222">
              <w:t>. Organizations are not required to use product line criteria; product lines may be combined</w:t>
            </w:r>
            <w:r w:rsidR="00E8671F" w:rsidRPr="005D4222">
              <w:t>,</w:t>
            </w:r>
            <w:r w:rsidRPr="005D4222">
              <w:t xml:space="preserve"> and all (or no) product line criteria may be used.</w:t>
            </w:r>
          </w:p>
          <w:p w14:paraId="03A91038" w14:textId="77777777" w:rsidR="0070488F" w:rsidRPr="005D4222" w:rsidRDefault="0070488F" w:rsidP="0070488F">
            <w:pPr>
              <w:pStyle w:val="ProcessBullet"/>
              <w:tabs>
                <w:tab w:val="left" w:pos="216"/>
              </w:tabs>
              <w:ind w:left="202" w:hanging="202"/>
              <w:rPr>
                <w:b/>
                <w:i/>
                <w:iCs/>
              </w:rPr>
            </w:pPr>
            <w:r w:rsidRPr="005D4222">
              <w:rPr>
                <w:rFonts w:eastAsia="Arial"/>
                <w:i/>
                <w:iCs/>
              </w:rPr>
              <w:t xml:space="preserve">Attribution. </w:t>
            </w:r>
            <w:r w:rsidRPr="005D4222">
              <w:rPr>
                <w:rFonts w:eastAsia="Arial"/>
              </w:rPr>
              <w:t>Organizations are not required to use enrollment criteria.</w:t>
            </w:r>
          </w:p>
          <w:p w14:paraId="07DFEA39" w14:textId="77777777" w:rsidR="0070488F" w:rsidRPr="005D4222" w:rsidRDefault="0070488F" w:rsidP="0070488F">
            <w:pPr>
              <w:pStyle w:val="ProcessBullet"/>
              <w:tabs>
                <w:tab w:val="left" w:pos="216"/>
              </w:tabs>
              <w:ind w:left="202" w:hanging="202"/>
              <w:rPr>
                <w:b/>
                <w:i/>
                <w:iCs/>
              </w:rPr>
            </w:pPr>
            <w:r w:rsidRPr="005D4222">
              <w:rPr>
                <w:rFonts w:eastAsia="Arial"/>
                <w:i/>
                <w:iCs/>
              </w:rPr>
              <w:t>Benefits.</w:t>
            </w:r>
            <w:r w:rsidRPr="005D4222">
              <w:rPr>
                <w:b/>
                <w:i/>
                <w:iCs/>
              </w:rPr>
              <w:t xml:space="preserve"> </w:t>
            </w:r>
            <w:r w:rsidRPr="005D4222">
              <w:rPr>
                <w:rFonts w:eastAsia="Arial"/>
              </w:rPr>
              <w:t>Organizations are not required to use a benefit.</w:t>
            </w:r>
          </w:p>
          <w:p w14:paraId="342930D3" w14:textId="77777777" w:rsidR="0070488F" w:rsidRPr="005D4222" w:rsidRDefault="0070488F" w:rsidP="00147367">
            <w:pPr>
              <w:pStyle w:val="ProcessBullet"/>
              <w:tabs>
                <w:tab w:val="left" w:pos="216"/>
              </w:tabs>
              <w:spacing w:after="80"/>
              <w:ind w:left="202" w:hanging="202"/>
              <w:rPr>
                <w:b/>
                <w:i/>
                <w:iCs/>
              </w:rPr>
            </w:pPr>
            <w:r w:rsidRPr="005D4222">
              <w:rPr>
                <w:rFonts w:eastAsia="Arial"/>
                <w:i/>
                <w:iCs/>
              </w:rPr>
              <w:t>Other.</w:t>
            </w:r>
            <w:r w:rsidRPr="005D4222">
              <w:rPr>
                <w:bCs/>
              </w:rPr>
              <w:t xml:space="preserve"> </w:t>
            </w:r>
            <w:r w:rsidRPr="005D4222">
              <w:rPr>
                <w:rFonts w:eastAsia="Arial"/>
              </w:rPr>
              <w:t xml:space="preserve">Organizations may use additional initial population criteria to focus on an area of interest defined by gender, race, ethnicity, socioeconomic or sociodemographic characteristics, geographic </w:t>
            </w:r>
            <w:r w:rsidRPr="005D4222" w:rsidDel="0069502A">
              <w:rPr>
                <w:rFonts w:eastAsia="Arial"/>
              </w:rPr>
              <w:t>region</w:t>
            </w:r>
            <w:r w:rsidRPr="005D4222">
              <w:rPr>
                <w:rFonts w:eastAsia="Arial"/>
              </w:rPr>
              <w:t xml:space="preserve"> or another characteristic.</w:t>
            </w:r>
          </w:p>
          <w:p w14:paraId="2B42D742" w14:textId="77777777" w:rsidR="0070488F" w:rsidRPr="005D4222" w:rsidRDefault="0070488F" w:rsidP="00147367">
            <w:pPr>
              <w:pStyle w:val="ProcessBullet"/>
              <w:tabs>
                <w:tab w:val="left" w:pos="216"/>
              </w:tabs>
              <w:spacing w:before="180"/>
              <w:ind w:left="237" w:hanging="180"/>
              <w:rPr>
                <w:color w:val="000000" w:themeColor="text1"/>
              </w:rPr>
            </w:pPr>
            <w:r w:rsidRPr="005D4222">
              <w:rPr>
                <w:i/>
                <w:iCs/>
                <w:color w:val="000000" w:themeColor="text1"/>
              </w:rPr>
              <w:lastRenderedPageBreak/>
              <w:t xml:space="preserve">Stratifications: </w:t>
            </w:r>
            <w:r w:rsidRPr="005D4222">
              <w:rPr>
                <w:iCs/>
                <w:color w:val="000000" w:themeColor="text1"/>
              </w:rPr>
              <w:t xml:space="preserve">Race and ethnicity stratification. </w:t>
            </w:r>
            <w:r w:rsidRPr="005D4222">
              <w:rPr>
                <w:color w:val="000000" w:themeColor="text1"/>
              </w:rPr>
              <w:t>The race and ethnicity stratification is not required. Organizations may adjust this stratification as needed.</w:t>
            </w:r>
          </w:p>
          <w:p w14:paraId="3E48D931" w14:textId="77777777" w:rsidR="0070488F" w:rsidRPr="005D4222" w:rsidRDefault="0070488F" w:rsidP="0070488F">
            <w:pPr>
              <w:pStyle w:val="ProcessBullet"/>
              <w:tabs>
                <w:tab w:val="left" w:pos="216"/>
              </w:tabs>
              <w:ind w:left="202" w:hanging="202"/>
              <w:rPr>
                <w:i/>
                <w:iCs/>
              </w:rPr>
            </w:pPr>
            <w:r w:rsidRPr="005D4222">
              <w:rPr>
                <w:rFonts w:eastAsia="Arial"/>
                <w:i/>
                <w:iCs/>
              </w:rPr>
              <w:t>Exclusions.</w:t>
            </w:r>
            <w:r w:rsidRPr="005D4222">
              <w:rPr>
                <w:i/>
                <w:iCs/>
              </w:rPr>
              <w:t xml:space="preserve"> </w:t>
            </w:r>
            <w:r w:rsidRPr="005D4222">
              <w:rPr>
                <w:rFonts w:eastAsia="Arial"/>
              </w:rPr>
              <w:t>The hospice and deceased person exclusions are not required.</w:t>
            </w:r>
            <w:r w:rsidRPr="005D4222">
              <w:rPr>
                <w:i/>
                <w:iCs/>
              </w:rPr>
              <w:t xml:space="preserve"> </w:t>
            </w:r>
          </w:p>
          <w:p w14:paraId="0BC0FAF4" w14:textId="5CC87BB8" w:rsidR="0070488F" w:rsidRPr="005D4222" w:rsidRDefault="0070488F" w:rsidP="0070488F">
            <w:pPr>
              <w:pStyle w:val="ProcessBullet"/>
              <w:tabs>
                <w:tab w:val="left" w:pos="216"/>
              </w:tabs>
              <w:ind w:left="202" w:hanging="202"/>
            </w:pPr>
            <w:r w:rsidRPr="005D4222">
              <w:rPr>
                <w:i/>
                <w:iCs/>
              </w:rPr>
              <w:t xml:space="preserve">Telehealth. </w:t>
            </w:r>
            <w:r w:rsidRPr="005D4222">
              <w:t xml:space="preserve">Services/events that allow the use of synchronous telehealth visits, telephone visits and asynchronous telehealth (e-visits, virtual check-ins) may be stratified to identify services performed via telehealth. This adjustment is not allowed for </w:t>
            </w:r>
            <w:r w:rsidR="00F45777" w:rsidRPr="005D4222">
              <w:t>events</w:t>
            </w:r>
            <w:r w:rsidRPr="005D4222">
              <w:t>, numerators and exclusions that do not allow the use of telehealth.</w:t>
            </w:r>
          </w:p>
          <w:p w14:paraId="0568276E" w14:textId="77777777" w:rsidR="0070488F" w:rsidRPr="005D4222" w:rsidRDefault="0070488F" w:rsidP="0070488F">
            <w:pPr>
              <w:pStyle w:val="ProcessBullet"/>
              <w:tabs>
                <w:tab w:val="left" w:pos="216"/>
              </w:tabs>
              <w:ind w:left="202" w:hanging="202"/>
            </w:pPr>
            <w:r w:rsidRPr="005D4222">
              <w:rPr>
                <w:i/>
                <w:iCs/>
              </w:rPr>
              <w:t>Supplemental data.</w:t>
            </w:r>
            <w:r w:rsidRPr="005D4222">
              <w:t xml:space="preserve"> Supplemental data may be used to identify initial population, denominator, exclusion and numerator events.</w:t>
            </w:r>
          </w:p>
          <w:p w14:paraId="07BD50B3" w14:textId="77777777" w:rsidR="0070488F" w:rsidRPr="005D4222" w:rsidRDefault="0070488F">
            <w:pPr>
              <w:pStyle w:val="Adjustments"/>
              <w:rPr>
                <w:b w:val="0"/>
              </w:rPr>
            </w:pPr>
            <w:r w:rsidRPr="005D4222">
              <w:t>Adjustments allowed with limits</w:t>
            </w:r>
          </w:p>
          <w:p w14:paraId="04CD9D2D" w14:textId="77777777" w:rsidR="0070488F" w:rsidRPr="005D4222" w:rsidRDefault="0070488F" w:rsidP="0070488F">
            <w:pPr>
              <w:pStyle w:val="ProcessBullet"/>
              <w:tabs>
                <w:tab w:val="left" w:pos="216"/>
              </w:tabs>
              <w:spacing w:after="80"/>
              <w:ind w:left="202" w:hanging="202"/>
            </w:pPr>
            <w:r w:rsidRPr="005D4222">
              <w:rPr>
                <w:i/>
                <w:iCs/>
              </w:rPr>
              <w:t>Ages</w:t>
            </w:r>
            <w:r w:rsidRPr="005D4222">
              <w:t>. The age determination dates may be changed (e.g., select, “age as of June 30”). Changing the denominator age range is allowed if the limits are within the specified age range. The denominator age may not be expanded.</w:t>
            </w:r>
          </w:p>
          <w:p w14:paraId="5F137906" w14:textId="3C1AE074" w:rsidR="0070488F" w:rsidRPr="005D4222" w:rsidRDefault="0070488F" w:rsidP="000B2C46">
            <w:pPr>
              <w:pStyle w:val="ProcessBullet"/>
              <w:tabs>
                <w:tab w:val="left" w:pos="216"/>
              </w:tabs>
              <w:spacing w:before="180"/>
              <w:ind w:left="202" w:hanging="202"/>
              <w:rPr>
                <w:rFonts w:ascii="Arial Narrow" w:eastAsia="Arial" w:hAnsi="Arial Narrow"/>
                <w:szCs w:val="19"/>
              </w:rPr>
            </w:pPr>
            <w:r w:rsidRPr="005D4222">
              <w:rPr>
                <w:i/>
                <w:iCs/>
              </w:rPr>
              <w:t>Initial population:</w:t>
            </w:r>
            <w:r w:rsidRPr="005D4222">
              <w:t xml:space="preserve"> </w:t>
            </w:r>
            <w:r w:rsidRPr="005D4222">
              <w:rPr>
                <w:iCs/>
              </w:rPr>
              <w:t xml:space="preserve">Event. </w:t>
            </w:r>
            <w:r w:rsidRPr="005D4222">
              <w:rPr>
                <w:rFonts w:eastAsia="Arial" w:cs="Arial"/>
                <w:szCs w:val="19"/>
              </w:rPr>
              <w:t>Only events and diagnoses that contain (or map to) codes in the value sets and medication lists may be used to identify visits with a diagnosis. Medication lists, value sets and logic may not be changed.</w:t>
            </w:r>
          </w:p>
          <w:p w14:paraId="0916C56F" w14:textId="77777777" w:rsidR="0070488F" w:rsidRPr="005D4222" w:rsidRDefault="0070488F" w:rsidP="001E3CD1">
            <w:pPr>
              <w:pStyle w:val="Note"/>
              <w:ind w:left="188"/>
            </w:pPr>
            <w:r w:rsidRPr="005D4222">
              <w:rPr>
                <w:b/>
                <w:bCs/>
              </w:rPr>
              <w:t>Note:</w:t>
            </w:r>
            <w:r w:rsidRPr="005D4222">
              <w:t xml:space="preserve"> Organizations may assess at the person level by applying measure logic appropriately (i.e., percentage of pharmacotherapy events with OUD pharmacotherapy for 180 or more days with a diagnosis of OUD).</w:t>
            </w:r>
          </w:p>
          <w:p w14:paraId="49A0D62A" w14:textId="77777777" w:rsidR="0070488F" w:rsidRPr="005D4222" w:rsidRDefault="0070488F">
            <w:pPr>
              <w:pStyle w:val="Adjustments"/>
              <w:rPr>
                <w:b w:val="0"/>
              </w:rPr>
            </w:pPr>
            <w:r w:rsidRPr="005D4222">
              <w:t>Adjustments not allowed</w:t>
            </w:r>
          </w:p>
          <w:p w14:paraId="3A44F4DB" w14:textId="77777777" w:rsidR="0070488F" w:rsidRPr="005D4222" w:rsidRDefault="0070488F" w:rsidP="000B2C46">
            <w:pPr>
              <w:pStyle w:val="ProcessBullet"/>
              <w:tabs>
                <w:tab w:val="left" w:pos="216"/>
              </w:tabs>
              <w:spacing w:after="80"/>
              <w:rPr>
                <w:i/>
                <w:iCs/>
              </w:rPr>
            </w:pPr>
            <w:r w:rsidRPr="005D4222">
              <w:rPr>
                <w:rFonts w:eastAsia="Arial"/>
                <w:i/>
                <w:iCs/>
              </w:rPr>
              <w:t>Numerator</w:t>
            </w:r>
            <w:r w:rsidRPr="005D4222">
              <w:rPr>
                <w:rFonts w:eastAsia="Arial"/>
              </w:rPr>
              <w:t>. Medication lists, value sets and logic may not be changed.</w:t>
            </w:r>
          </w:p>
        </w:tc>
      </w:tr>
    </w:tbl>
    <w:p w14:paraId="6528A531" w14:textId="77777777" w:rsidR="00533B22" w:rsidRPr="005D4222" w:rsidRDefault="00533B22" w:rsidP="00C208BB">
      <w:pPr>
        <w:pStyle w:val="ECDSBody"/>
        <w:sectPr w:rsidR="00533B22" w:rsidRPr="005D4222" w:rsidSect="0074514A">
          <w:headerReference w:type="default" r:id="rId122"/>
          <w:type w:val="nextColumn"/>
          <w:pgSz w:w="12240" w:h="15840" w:code="1"/>
          <w:pgMar w:top="1080" w:right="1080" w:bottom="1080" w:left="1440" w:header="720" w:footer="720" w:gutter="0"/>
          <w:cols w:space="720"/>
          <w:docGrid w:linePitch="360"/>
        </w:sectPr>
      </w:pPr>
    </w:p>
    <w:p w14:paraId="1D0E86D2" w14:textId="34E11FC0" w:rsidR="00C208BB" w:rsidRPr="005D4222" w:rsidRDefault="000340B1" w:rsidP="000340B1">
      <w:pPr>
        <w:pStyle w:val="MeasureTitle"/>
      </w:pPr>
      <w:bookmarkStart w:id="305" w:name="_Toc201813415"/>
      <w:r w:rsidRPr="005D4222">
        <w:lastRenderedPageBreak/>
        <w:t>Diabetes Screening for People With Schizophrenia or Bipolar Disorder Who Are Using Antipsychotic Medications</w:t>
      </w:r>
      <w:r w:rsidR="0096709F" w:rsidRPr="005D4222">
        <w:t xml:space="preserve"> (SSD)</w:t>
      </w:r>
      <w:bookmarkEnd w:id="305"/>
    </w:p>
    <w:tbl>
      <w:tblPr>
        <w:tblW w:w="9720"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42"/>
        <w:gridCol w:w="5170"/>
        <w:gridCol w:w="1418"/>
        <w:gridCol w:w="990"/>
      </w:tblGrid>
      <w:tr w:rsidR="00C7239F" w:rsidRPr="005D4222" w14:paraId="2D211405" w14:textId="77777777" w:rsidTr="0056341E">
        <w:tc>
          <w:tcPr>
            <w:tcW w:w="2142" w:type="dxa"/>
            <w:shd w:val="clear" w:color="auto" w:fill="BFBFBF" w:themeFill="background1" w:themeFillShade="BF"/>
            <w:tcMar>
              <w:top w:w="0" w:type="dxa"/>
              <w:left w:w="86" w:type="dxa"/>
              <w:bottom w:w="43" w:type="dxa"/>
              <w:right w:w="86" w:type="dxa"/>
            </w:tcMar>
            <w:hideMark/>
          </w:tcPr>
          <w:p w14:paraId="658C9585" w14:textId="77777777" w:rsidR="00C7239F" w:rsidRPr="005D4222" w:rsidRDefault="00C7239F">
            <w:pPr>
              <w:pStyle w:val="ECDSMarginHead"/>
            </w:pPr>
            <w:r w:rsidRPr="005D4222">
              <w:t>Measure title</w:t>
            </w:r>
          </w:p>
        </w:tc>
        <w:tc>
          <w:tcPr>
            <w:tcW w:w="5170" w:type="dxa"/>
            <w:tcMar>
              <w:top w:w="0" w:type="dxa"/>
              <w:left w:w="86" w:type="dxa"/>
              <w:bottom w:w="43" w:type="dxa"/>
              <w:right w:w="86" w:type="dxa"/>
            </w:tcMar>
          </w:tcPr>
          <w:p w14:paraId="5D510AA6" w14:textId="77777777" w:rsidR="00C7239F" w:rsidRPr="005D4222" w:rsidRDefault="00C7239F">
            <w:pPr>
              <w:pStyle w:val="ECDSBody"/>
            </w:pPr>
            <w:r w:rsidRPr="005D4222">
              <w:t>Diabetes Screening for People With Schizophrenia or Bipolar Disorder Who Are Using Antipsychotic Medications</w:t>
            </w:r>
          </w:p>
        </w:tc>
        <w:tc>
          <w:tcPr>
            <w:tcW w:w="1418" w:type="dxa"/>
            <w:shd w:val="clear" w:color="auto" w:fill="BFBFBF" w:themeFill="background1" w:themeFillShade="BF"/>
            <w:tcMar>
              <w:top w:w="0" w:type="dxa"/>
              <w:left w:w="86" w:type="dxa"/>
              <w:bottom w:w="43" w:type="dxa"/>
              <w:right w:w="86" w:type="dxa"/>
            </w:tcMar>
          </w:tcPr>
          <w:p w14:paraId="09125B66" w14:textId="77777777" w:rsidR="00C7239F" w:rsidRPr="005D4222" w:rsidRDefault="00C7239F">
            <w:pPr>
              <w:pStyle w:val="ECDSMarginHead"/>
            </w:pPr>
            <w:r w:rsidRPr="005D4222">
              <w:t>Measure ID</w:t>
            </w:r>
          </w:p>
        </w:tc>
        <w:tc>
          <w:tcPr>
            <w:tcW w:w="990" w:type="dxa"/>
            <w:tcMar>
              <w:top w:w="0" w:type="dxa"/>
              <w:left w:w="86" w:type="dxa"/>
              <w:bottom w:w="43" w:type="dxa"/>
              <w:right w:w="86" w:type="dxa"/>
            </w:tcMar>
          </w:tcPr>
          <w:p w14:paraId="20490A69" w14:textId="77777777" w:rsidR="00C7239F" w:rsidRPr="005D4222" w:rsidRDefault="00C7239F">
            <w:pPr>
              <w:pStyle w:val="ECDSBody"/>
            </w:pPr>
            <w:r w:rsidRPr="005D4222">
              <w:t>SSD</w:t>
            </w:r>
          </w:p>
        </w:tc>
      </w:tr>
      <w:tr w:rsidR="00C7239F" w:rsidRPr="005D4222" w14:paraId="712DD231" w14:textId="77777777" w:rsidTr="00652945">
        <w:tc>
          <w:tcPr>
            <w:tcW w:w="2142" w:type="dxa"/>
            <w:shd w:val="clear" w:color="auto" w:fill="BFBFBF" w:themeFill="background1" w:themeFillShade="BF"/>
            <w:tcMar>
              <w:top w:w="0" w:type="dxa"/>
              <w:left w:w="86" w:type="dxa"/>
              <w:bottom w:w="43" w:type="dxa"/>
              <w:right w:w="86" w:type="dxa"/>
            </w:tcMar>
            <w:hideMark/>
          </w:tcPr>
          <w:p w14:paraId="6909CE4B" w14:textId="77777777" w:rsidR="00C7239F" w:rsidRPr="005D4222" w:rsidRDefault="00C7239F">
            <w:pPr>
              <w:pStyle w:val="ECDSMarginHead"/>
            </w:pPr>
            <w:r w:rsidRPr="005D4222">
              <w:t>Description</w:t>
            </w:r>
          </w:p>
        </w:tc>
        <w:tc>
          <w:tcPr>
            <w:tcW w:w="7578" w:type="dxa"/>
            <w:gridSpan w:val="3"/>
            <w:tcMar>
              <w:top w:w="0" w:type="dxa"/>
              <w:left w:w="86" w:type="dxa"/>
              <w:bottom w:w="43" w:type="dxa"/>
              <w:right w:w="86" w:type="dxa"/>
            </w:tcMar>
          </w:tcPr>
          <w:p w14:paraId="383C0237" w14:textId="77777777" w:rsidR="00C7239F" w:rsidRPr="005D4222" w:rsidRDefault="00C7239F">
            <w:pPr>
              <w:pStyle w:val="ECDSBody"/>
            </w:pPr>
            <w:r w:rsidRPr="005D4222">
              <w:t xml:space="preserve">The percentage of persons 18–64 years of age with schizophrenia, schizoaffective disorder or bipolar disorder who were dispensed an antipsychotic medication and had a diabetes screening test during the measurement period. </w:t>
            </w:r>
          </w:p>
        </w:tc>
      </w:tr>
      <w:tr w:rsidR="00C7239F" w:rsidRPr="005D4222" w14:paraId="3094D596" w14:textId="77777777" w:rsidTr="00652945">
        <w:tc>
          <w:tcPr>
            <w:tcW w:w="2142" w:type="dxa"/>
            <w:shd w:val="clear" w:color="auto" w:fill="BFBFBF" w:themeFill="background1" w:themeFillShade="BF"/>
            <w:tcMar>
              <w:top w:w="0" w:type="dxa"/>
              <w:left w:w="86" w:type="dxa"/>
              <w:bottom w:w="43" w:type="dxa"/>
              <w:right w:w="86" w:type="dxa"/>
            </w:tcMar>
          </w:tcPr>
          <w:p w14:paraId="05E59651" w14:textId="77777777" w:rsidR="00C7239F" w:rsidRPr="005D4222" w:rsidRDefault="00C7239F">
            <w:pPr>
              <w:pStyle w:val="ECDSMarginHead"/>
            </w:pPr>
            <w:r w:rsidRPr="005D4222">
              <w:t>Measurement period</w:t>
            </w:r>
          </w:p>
        </w:tc>
        <w:tc>
          <w:tcPr>
            <w:tcW w:w="7578" w:type="dxa"/>
            <w:gridSpan w:val="3"/>
            <w:tcMar>
              <w:top w:w="0" w:type="dxa"/>
              <w:left w:w="86" w:type="dxa"/>
              <w:bottom w:w="43" w:type="dxa"/>
              <w:right w:w="86" w:type="dxa"/>
            </w:tcMar>
          </w:tcPr>
          <w:p w14:paraId="53C46649" w14:textId="77777777" w:rsidR="00C7239F" w:rsidRPr="005D4222" w:rsidRDefault="00C7239F">
            <w:pPr>
              <w:pStyle w:val="ECDSBody"/>
            </w:pPr>
            <w:r w:rsidRPr="005D4222">
              <w:t>January 1–December 31.</w:t>
            </w:r>
          </w:p>
        </w:tc>
      </w:tr>
      <w:tr w:rsidR="00C7239F" w:rsidRPr="005D4222" w14:paraId="19CC26A4" w14:textId="77777777" w:rsidTr="00652945">
        <w:tc>
          <w:tcPr>
            <w:tcW w:w="2142" w:type="dxa"/>
            <w:shd w:val="clear" w:color="auto" w:fill="BFBFBF" w:themeFill="background1" w:themeFillShade="BF"/>
            <w:tcMar>
              <w:top w:w="0" w:type="dxa"/>
              <w:left w:w="86" w:type="dxa"/>
              <w:bottom w:w="43" w:type="dxa"/>
              <w:right w:w="86" w:type="dxa"/>
            </w:tcMar>
            <w:hideMark/>
          </w:tcPr>
          <w:p w14:paraId="58D2B7E1" w14:textId="77777777" w:rsidR="00C7239F" w:rsidRPr="005D4222" w:rsidRDefault="00C7239F">
            <w:pPr>
              <w:pStyle w:val="ECDSMarginHead"/>
              <w:rPr>
                <w:rFonts w:eastAsia="Arial"/>
              </w:rPr>
            </w:pPr>
            <w:r w:rsidRPr="005D4222">
              <w:rPr>
                <w:rFonts w:eastAsia="Arial"/>
              </w:rPr>
              <w:t>Copyright and disclaimer notice</w:t>
            </w:r>
          </w:p>
        </w:tc>
        <w:tc>
          <w:tcPr>
            <w:tcW w:w="7578" w:type="dxa"/>
            <w:gridSpan w:val="3"/>
            <w:tcMar>
              <w:top w:w="0" w:type="dxa"/>
              <w:left w:w="86" w:type="dxa"/>
              <w:bottom w:w="43" w:type="dxa"/>
              <w:right w:w="86" w:type="dxa"/>
            </w:tcMar>
          </w:tcPr>
          <w:p w14:paraId="26E50B28" w14:textId="77777777" w:rsidR="00C7239F" w:rsidRPr="005D4222" w:rsidRDefault="00C7239F">
            <w:pPr>
              <w:pStyle w:val="ECDSBody"/>
            </w:pPr>
            <w:r w:rsidRPr="005D4222">
              <w:t xml:space="preserve">Refer to the complete copyright and disclaimer information at the front of this publication. </w:t>
            </w:r>
          </w:p>
          <w:p w14:paraId="3BE9BDE5" w14:textId="77777777" w:rsidR="00C7239F" w:rsidRPr="005D4222" w:rsidRDefault="00C7239F">
            <w:pPr>
              <w:pStyle w:val="ECDSBody"/>
              <w:spacing w:before="80"/>
            </w:pPr>
            <w:r w:rsidRPr="005D4222">
              <w:t xml:space="preserve">NCQA website: </w:t>
            </w:r>
            <w:r w:rsidRPr="005D4222">
              <w:rPr>
                <w:u w:val="single"/>
              </w:rPr>
              <w:t>www.ncqa.org</w:t>
            </w:r>
            <w:r w:rsidRPr="005D4222">
              <w:t xml:space="preserve">.  </w:t>
            </w:r>
          </w:p>
          <w:p w14:paraId="1126D528" w14:textId="77777777" w:rsidR="00C7239F" w:rsidRPr="005D4222" w:rsidRDefault="00C7239F">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C7239F" w:rsidRPr="005D4222" w14:paraId="68C33FC3" w14:textId="77777777" w:rsidTr="00652945">
        <w:tc>
          <w:tcPr>
            <w:tcW w:w="2142" w:type="dxa"/>
            <w:shd w:val="clear" w:color="auto" w:fill="BFBFBF" w:themeFill="background1" w:themeFillShade="BF"/>
            <w:tcMar>
              <w:top w:w="0" w:type="dxa"/>
              <w:left w:w="86" w:type="dxa"/>
              <w:bottom w:w="43" w:type="dxa"/>
              <w:right w:w="86" w:type="dxa"/>
            </w:tcMar>
            <w:hideMark/>
          </w:tcPr>
          <w:p w14:paraId="47F32384" w14:textId="77777777" w:rsidR="00C7239F" w:rsidRPr="005D4222" w:rsidRDefault="00C7239F">
            <w:pPr>
              <w:pStyle w:val="ECDSMarginHead"/>
            </w:pPr>
            <w:r w:rsidRPr="005D4222">
              <w:t>Clinical recommendation statement/ rationale</w:t>
            </w:r>
          </w:p>
        </w:tc>
        <w:tc>
          <w:tcPr>
            <w:tcW w:w="7578" w:type="dxa"/>
            <w:gridSpan w:val="3"/>
            <w:tcMar>
              <w:top w:w="0" w:type="dxa"/>
              <w:left w:w="86" w:type="dxa"/>
              <w:bottom w:w="43" w:type="dxa"/>
              <w:right w:w="86" w:type="dxa"/>
            </w:tcMar>
          </w:tcPr>
          <w:p w14:paraId="55A652CC" w14:textId="77777777" w:rsidR="00C7239F" w:rsidRPr="005D4222" w:rsidRDefault="00C7239F">
            <w:pPr>
              <w:pStyle w:val="ECDSBody"/>
              <w:rPr>
                <w:szCs w:val="21"/>
              </w:rPr>
            </w:pPr>
            <w:r w:rsidRPr="005D4222">
              <w:rPr>
                <w:rStyle w:val="ui-provider"/>
              </w:rPr>
              <w:t>Patients with schizophrenia and bipolar disorder who are prescribed antipsychotic medications are at greater risk for diabetes. Regular diabetes screening for this population leads to earlier identification and treatment of diabetes.</w:t>
            </w:r>
          </w:p>
        </w:tc>
      </w:tr>
      <w:tr w:rsidR="00C7239F" w:rsidRPr="005D4222" w14:paraId="6F792BE8" w14:textId="77777777" w:rsidTr="00652945">
        <w:tc>
          <w:tcPr>
            <w:tcW w:w="2142" w:type="dxa"/>
            <w:shd w:val="clear" w:color="auto" w:fill="BFBFBF" w:themeFill="background1" w:themeFillShade="BF"/>
            <w:tcMar>
              <w:top w:w="0" w:type="dxa"/>
              <w:left w:w="86" w:type="dxa"/>
              <w:bottom w:w="43" w:type="dxa"/>
              <w:right w:w="86" w:type="dxa"/>
            </w:tcMar>
          </w:tcPr>
          <w:p w14:paraId="25720C02" w14:textId="77777777" w:rsidR="00C7239F" w:rsidRPr="005D4222" w:rsidRDefault="00C7239F">
            <w:pPr>
              <w:pStyle w:val="ECDSMarginHead"/>
            </w:pPr>
            <w:r w:rsidRPr="005D4222">
              <w:t>Citations</w:t>
            </w:r>
          </w:p>
        </w:tc>
        <w:tc>
          <w:tcPr>
            <w:tcW w:w="7578" w:type="dxa"/>
            <w:gridSpan w:val="3"/>
            <w:tcMar>
              <w:top w:w="0" w:type="dxa"/>
              <w:left w:w="86" w:type="dxa"/>
              <w:bottom w:w="43" w:type="dxa"/>
              <w:right w:w="86" w:type="dxa"/>
            </w:tcMar>
          </w:tcPr>
          <w:p w14:paraId="23437F59" w14:textId="77777777" w:rsidR="00C7239F" w:rsidRPr="005D4222" w:rsidRDefault="00C7239F">
            <w:pPr>
              <w:pStyle w:val="ECDSBody"/>
            </w:pPr>
            <w:r w:rsidRPr="005D4222">
              <w:t xml:space="preserve">Vancampfort, D., B. Stubbs, A.J. Mitchell, M. De Hert, M. Wampers, P.B. Ward, S. Rosenbaum, and C.U. Correll. 2015. “Risk of Metabolic Syndrome and Its Components in People with Schizophrenia and Related Psychotic Disorders, Bipolar Disorder and Major Depressive Disorder: A Systematic Review and Meta-Analysis.” </w:t>
            </w:r>
            <w:r w:rsidRPr="005D4222">
              <w:rPr>
                <w:i/>
                <w:iCs/>
              </w:rPr>
              <w:t xml:space="preserve">World Psychiatry </w:t>
            </w:r>
            <w:r w:rsidRPr="005D4222">
              <w:t>14 (3): 339–47.</w:t>
            </w:r>
          </w:p>
        </w:tc>
      </w:tr>
      <w:tr w:rsidR="00C7239F" w:rsidRPr="005D4222" w14:paraId="203197DE" w14:textId="77777777" w:rsidTr="005C7B04">
        <w:tc>
          <w:tcPr>
            <w:tcW w:w="9720"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1696546D" w14:textId="77777777" w:rsidR="00C7239F" w:rsidRPr="005D4222" w:rsidRDefault="00C7239F">
            <w:pPr>
              <w:pStyle w:val="ECDSMarginHead"/>
            </w:pPr>
            <w:r w:rsidRPr="005D4222">
              <w:t>Characteristics</w:t>
            </w:r>
          </w:p>
        </w:tc>
      </w:tr>
      <w:tr w:rsidR="00C7239F" w:rsidRPr="005D4222" w14:paraId="32F1F22C" w14:textId="77777777" w:rsidTr="00652945">
        <w:tc>
          <w:tcPr>
            <w:tcW w:w="2142"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299BD0F4" w14:textId="77777777" w:rsidR="00C7239F" w:rsidRPr="005D4222" w:rsidRDefault="00C7239F" w:rsidP="00C7239F">
            <w:pPr>
              <w:pStyle w:val="ECDSMarginSubhead"/>
              <w:spacing w:after="0"/>
            </w:pPr>
            <w:r w:rsidRPr="005D4222">
              <w:t>Scoring</w:t>
            </w:r>
          </w:p>
        </w:tc>
        <w:tc>
          <w:tcPr>
            <w:tcW w:w="7578"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59ABE80C" w14:textId="77777777" w:rsidR="00C7239F" w:rsidRPr="005D4222" w:rsidRDefault="00C7239F" w:rsidP="00C7239F">
            <w:pPr>
              <w:pStyle w:val="ECDSBody"/>
              <w:spacing w:after="0"/>
            </w:pPr>
            <w:r w:rsidRPr="005D4222">
              <w:t>Proportion.</w:t>
            </w:r>
          </w:p>
        </w:tc>
      </w:tr>
      <w:tr w:rsidR="00C7239F" w:rsidRPr="005D4222" w14:paraId="3DD45558" w14:textId="77777777" w:rsidTr="00652945">
        <w:tc>
          <w:tcPr>
            <w:tcW w:w="2142" w:type="dxa"/>
            <w:tcBorders>
              <w:top w:val="nil"/>
              <w:left w:val="single" w:sz="4" w:space="0" w:color="auto"/>
              <w:bottom w:val="nil"/>
              <w:right w:val="single" w:sz="4" w:space="0" w:color="auto"/>
            </w:tcBorders>
            <w:tcMar>
              <w:top w:w="0" w:type="dxa"/>
              <w:left w:w="86" w:type="dxa"/>
              <w:bottom w:w="43" w:type="dxa"/>
              <w:right w:w="86" w:type="dxa"/>
            </w:tcMar>
          </w:tcPr>
          <w:p w14:paraId="06E44559" w14:textId="77777777" w:rsidR="00C7239F" w:rsidRPr="005D4222" w:rsidRDefault="00C7239F" w:rsidP="00C7239F">
            <w:pPr>
              <w:pStyle w:val="ECDSMarginSubhead"/>
              <w:spacing w:after="0"/>
            </w:pPr>
            <w:r w:rsidRPr="005D4222">
              <w:t>Type</w:t>
            </w:r>
          </w:p>
        </w:tc>
        <w:tc>
          <w:tcPr>
            <w:tcW w:w="7578" w:type="dxa"/>
            <w:gridSpan w:val="3"/>
            <w:tcBorders>
              <w:top w:val="nil"/>
              <w:left w:val="single" w:sz="4" w:space="0" w:color="auto"/>
              <w:bottom w:val="nil"/>
              <w:right w:val="single" w:sz="4" w:space="0" w:color="auto"/>
            </w:tcBorders>
            <w:tcMar>
              <w:top w:w="0" w:type="dxa"/>
              <w:left w:w="86" w:type="dxa"/>
              <w:bottom w:w="43" w:type="dxa"/>
              <w:right w:w="86" w:type="dxa"/>
            </w:tcMar>
          </w:tcPr>
          <w:p w14:paraId="7E45261E" w14:textId="77777777" w:rsidR="00C7239F" w:rsidRPr="005D4222" w:rsidRDefault="00C7239F" w:rsidP="00C7239F">
            <w:pPr>
              <w:pStyle w:val="ECDSBody"/>
              <w:spacing w:after="0"/>
            </w:pPr>
            <w:r w:rsidRPr="005D4222">
              <w:t>Process.</w:t>
            </w:r>
          </w:p>
        </w:tc>
      </w:tr>
      <w:tr w:rsidR="00C7239F" w:rsidRPr="005D4222" w14:paraId="050DED4F" w14:textId="77777777" w:rsidTr="00652945">
        <w:tc>
          <w:tcPr>
            <w:tcW w:w="2142" w:type="dxa"/>
            <w:tcBorders>
              <w:top w:val="nil"/>
              <w:left w:val="single" w:sz="4" w:space="0" w:color="auto"/>
              <w:bottom w:val="nil"/>
              <w:right w:val="single" w:sz="4" w:space="0" w:color="auto"/>
            </w:tcBorders>
            <w:tcMar>
              <w:top w:w="0" w:type="dxa"/>
              <w:left w:w="86" w:type="dxa"/>
              <w:bottom w:w="43" w:type="dxa"/>
              <w:right w:w="86" w:type="dxa"/>
            </w:tcMar>
          </w:tcPr>
          <w:p w14:paraId="15DAE1F8" w14:textId="1901EB52" w:rsidR="00C7239F" w:rsidRPr="005D4222" w:rsidRDefault="00B51CDC" w:rsidP="00C7239F">
            <w:pPr>
              <w:pStyle w:val="ECDSMarginSubhead"/>
              <w:spacing w:after="0"/>
            </w:pPr>
            <w:r w:rsidRPr="005D4222">
              <w:t>Product lines</w:t>
            </w:r>
          </w:p>
        </w:tc>
        <w:tc>
          <w:tcPr>
            <w:tcW w:w="7578" w:type="dxa"/>
            <w:gridSpan w:val="3"/>
            <w:tcBorders>
              <w:top w:val="nil"/>
              <w:left w:val="single" w:sz="4" w:space="0" w:color="auto"/>
              <w:bottom w:val="nil"/>
              <w:right w:val="single" w:sz="4" w:space="0" w:color="auto"/>
            </w:tcBorders>
            <w:tcMar>
              <w:top w:w="0" w:type="dxa"/>
              <w:left w:w="86" w:type="dxa"/>
              <w:bottom w:w="43" w:type="dxa"/>
              <w:right w:w="86" w:type="dxa"/>
            </w:tcMar>
          </w:tcPr>
          <w:p w14:paraId="091BA823" w14:textId="77777777" w:rsidR="00C7239F" w:rsidRPr="005D4222" w:rsidRDefault="00C7239F" w:rsidP="00C7239F">
            <w:pPr>
              <w:pStyle w:val="ECDSBody"/>
              <w:spacing w:after="0"/>
            </w:pPr>
            <w:r w:rsidRPr="005D4222">
              <w:t>Medicaid.</w:t>
            </w:r>
          </w:p>
        </w:tc>
      </w:tr>
      <w:tr w:rsidR="00C7239F" w:rsidRPr="005D4222" w14:paraId="260683B0" w14:textId="77777777" w:rsidTr="00652945">
        <w:tc>
          <w:tcPr>
            <w:tcW w:w="2142" w:type="dxa"/>
            <w:tcBorders>
              <w:top w:val="nil"/>
              <w:left w:val="single" w:sz="4" w:space="0" w:color="auto"/>
              <w:bottom w:val="nil"/>
              <w:right w:val="single" w:sz="4" w:space="0" w:color="auto"/>
            </w:tcBorders>
            <w:tcMar>
              <w:top w:w="0" w:type="dxa"/>
              <w:left w:w="86" w:type="dxa"/>
              <w:bottom w:w="43" w:type="dxa"/>
              <w:right w:w="86" w:type="dxa"/>
            </w:tcMar>
          </w:tcPr>
          <w:p w14:paraId="025591B9" w14:textId="26B23AB1" w:rsidR="00C7239F" w:rsidRPr="005D4222" w:rsidRDefault="00B51CDC" w:rsidP="00C7239F">
            <w:pPr>
              <w:pStyle w:val="ECDSMarginSubhead"/>
              <w:spacing w:after="0"/>
            </w:pPr>
            <w:r w:rsidRPr="005D4222">
              <w:t>Stratifications</w:t>
            </w:r>
            <w:r w:rsidR="00C7239F" w:rsidRPr="005D4222">
              <w:t xml:space="preserve"> </w:t>
            </w:r>
          </w:p>
        </w:tc>
        <w:tc>
          <w:tcPr>
            <w:tcW w:w="7578"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27C40527" w14:textId="77777777" w:rsidR="00C7239F" w:rsidRPr="005D4222" w:rsidRDefault="00C7239F" w:rsidP="00C7239F">
            <w:pPr>
              <w:pStyle w:val="ECDSBody"/>
              <w:spacing w:after="0"/>
            </w:pPr>
            <w:r w:rsidRPr="005D4222">
              <w:t>None.</w:t>
            </w:r>
          </w:p>
        </w:tc>
      </w:tr>
      <w:tr w:rsidR="00C7239F" w:rsidRPr="005D4222" w14:paraId="196D28E6" w14:textId="77777777" w:rsidTr="00652945">
        <w:tc>
          <w:tcPr>
            <w:tcW w:w="2142" w:type="dxa"/>
            <w:tcBorders>
              <w:top w:val="nil"/>
              <w:left w:val="single" w:sz="4" w:space="0" w:color="auto"/>
              <w:bottom w:val="nil"/>
              <w:right w:val="single" w:sz="4" w:space="0" w:color="auto"/>
            </w:tcBorders>
            <w:tcMar>
              <w:top w:w="0" w:type="dxa"/>
              <w:left w:w="86" w:type="dxa"/>
              <w:bottom w:w="43" w:type="dxa"/>
              <w:right w:w="86" w:type="dxa"/>
            </w:tcMar>
          </w:tcPr>
          <w:p w14:paraId="62F6AB3C" w14:textId="77777777" w:rsidR="00C7239F" w:rsidRPr="005D4222" w:rsidRDefault="00C7239F" w:rsidP="00C7239F">
            <w:pPr>
              <w:pStyle w:val="ECDSMarginSubhead"/>
              <w:spacing w:after="0"/>
            </w:pPr>
            <w:r w:rsidRPr="005D4222">
              <w:t>Risk adjustment</w:t>
            </w:r>
          </w:p>
        </w:tc>
        <w:tc>
          <w:tcPr>
            <w:tcW w:w="7578"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2C1414C2" w14:textId="77777777" w:rsidR="00C7239F" w:rsidRPr="005D4222" w:rsidRDefault="00C7239F" w:rsidP="00C7239F">
            <w:pPr>
              <w:pStyle w:val="ECDSBody"/>
              <w:spacing w:after="0"/>
            </w:pPr>
            <w:r w:rsidRPr="005D4222">
              <w:t>None.</w:t>
            </w:r>
          </w:p>
        </w:tc>
      </w:tr>
      <w:tr w:rsidR="00C7239F" w:rsidRPr="005D4222" w14:paraId="7B4E711B" w14:textId="77777777" w:rsidTr="00652945">
        <w:tc>
          <w:tcPr>
            <w:tcW w:w="2142" w:type="dxa"/>
            <w:tcBorders>
              <w:top w:val="nil"/>
              <w:left w:val="single" w:sz="4" w:space="0" w:color="auto"/>
              <w:bottom w:val="nil"/>
              <w:right w:val="single" w:sz="4" w:space="0" w:color="auto"/>
            </w:tcBorders>
            <w:tcMar>
              <w:top w:w="0" w:type="dxa"/>
              <w:left w:w="86" w:type="dxa"/>
              <w:bottom w:w="43" w:type="dxa"/>
              <w:right w:w="86" w:type="dxa"/>
            </w:tcMar>
          </w:tcPr>
          <w:p w14:paraId="0BC6D1E8" w14:textId="77777777" w:rsidR="00C7239F" w:rsidRPr="005D4222" w:rsidRDefault="00C7239F" w:rsidP="00C7239F">
            <w:pPr>
              <w:pStyle w:val="ECDSMarginSubhead"/>
              <w:spacing w:after="0"/>
            </w:pPr>
            <w:r w:rsidRPr="005D4222">
              <w:t>Improvement notation</w:t>
            </w:r>
          </w:p>
        </w:tc>
        <w:tc>
          <w:tcPr>
            <w:tcW w:w="7578"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656F564B" w14:textId="77777777" w:rsidR="00C7239F" w:rsidRPr="005D4222" w:rsidRDefault="00C7239F" w:rsidP="00C7239F">
            <w:pPr>
              <w:pStyle w:val="ECDSBody"/>
              <w:spacing w:after="0"/>
            </w:pPr>
            <w:r w:rsidRPr="005D4222">
              <w:t>Increased score indicates improvement.</w:t>
            </w:r>
          </w:p>
        </w:tc>
      </w:tr>
      <w:tr w:rsidR="00C7239F" w:rsidRPr="005D4222" w14:paraId="3BBC6133" w14:textId="77777777" w:rsidTr="00652945">
        <w:tc>
          <w:tcPr>
            <w:tcW w:w="2142"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0B560E4D" w14:textId="77777777" w:rsidR="00C7239F" w:rsidRPr="005D4222" w:rsidRDefault="00C7239F">
            <w:pPr>
              <w:pStyle w:val="ECDSMarginSubhead"/>
            </w:pPr>
            <w:r w:rsidRPr="005D4222">
              <w:t>Guidance</w:t>
            </w:r>
          </w:p>
        </w:tc>
        <w:tc>
          <w:tcPr>
            <w:tcW w:w="7578"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7F6F4C40" w14:textId="5D59F77F" w:rsidR="00C7239F" w:rsidRPr="005D4222" w:rsidRDefault="00C7239F">
            <w:pPr>
              <w:pStyle w:val="ECDSBody"/>
            </w:pPr>
            <w:r w:rsidRPr="005D4222">
              <w:rPr>
                <w:b/>
              </w:rPr>
              <w:t>Data collection methodology:</w:t>
            </w:r>
            <w:r w:rsidRPr="005D4222">
              <w:t xml:space="preserve"> Administrative. Refer to </w:t>
            </w:r>
            <w:hyperlink w:anchor="General_Guideline_Data_Collection_Method" w:history="1">
              <w:r w:rsidRPr="005D4222">
                <w:rPr>
                  <w:rStyle w:val="Hyperlink"/>
                  <w:i/>
                </w:rPr>
                <w:t>General Guideline: Data Collection Methods</w:t>
              </w:r>
            </w:hyperlink>
            <w:r w:rsidRPr="005D4222">
              <w:t xml:space="preserve"> for additional information. </w:t>
            </w:r>
          </w:p>
          <w:p w14:paraId="3C3E43D0" w14:textId="3E4AF714" w:rsidR="00C7239F" w:rsidRPr="005D4222" w:rsidRDefault="00C7239F" w:rsidP="00C7239F">
            <w:pPr>
              <w:pStyle w:val="ECDSBody"/>
              <w:rPr>
                <w:b/>
              </w:rPr>
            </w:pPr>
            <w:r w:rsidRPr="005D4222">
              <w:rPr>
                <w:b/>
              </w:rPr>
              <w:t xml:space="preserve">Date specificity: </w:t>
            </w:r>
            <w:r w:rsidRPr="005D4222">
              <w:t>Dates must be specific enough to determine the event occurred in the period being measured.</w:t>
            </w:r>
          </w:p>
        </w:tc>
      </w:tr>
      <w:tr w:rsidR="00C7239F" w:rsidRPr="005D4222" w14:paraId="14171994" w14:textId="77777777" w:rsidTr="00652945">
        <w:tc>
          <w:tcPr>
            <w:tcW w:w="2142"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FC7C1DA" w14:textId="77777777" w:rsidR="00C7239F" w:rsidRPr="005D4222" w:rsidRDefault="00C7239F">
            <w:pPr>
              <w:pStyle w:val="ECDSMarginSubhead"/>
            </w:pPr>
          </w:p>
        </w:tc>
        <w:tc>
          <w:tcPr>
            <w:tcW w:w="7578"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D648389" w14:textId="76D8E605" w:rsidR="00C7239F" w:rsidRPr="005D4222" w:rsidRDefault="00C7239F">
            <w:pPr>
              <w:pStyle w:val="ECDSBody"/>
              <w:rPr>
                <w:b/>
              </w:rPr>
            </w:pPr>
            <w:r w:rsidRPr="005D4222">
              <w:rPr>
                <w:b/>
              </w:rPr>
              <w:t xml:space="preserve">Which services count? </w:t>
            </w:r>
            <w:r w:rsidRPr="005D4222">
              <w:t>When using claims, include all paid, suspended, pending and denied claims.</w:t>
            </w:r>
          </w:p>
        </w:tc>
      </w:tr>
      <w:tr w:rsidR="00C7239F" w:rsidRPr="005D4222" w14:paraId="5AD1AF9B" w14:textId="77777777" w:rsidTr="00652945">
        <w:tc>
          <w:tcPr>
            <w:tcW w:w="2142" w:type="dxa"/>
            <w:shd w:val="clear" w:color="auto" w:fill="BFBFBF" w:themeFill="background1" w:themeFillShade="BF"/>
            <w:tcMar>
              <w:top w:w="0" w:type="dxa"/>
              <w:left w:w="86" w:type="dxa"/>
              <w:bottom w:w="43" w:type="dxa"/>
              <w:right w:w="86" w:type="dxa"/>
            </w:tcMar>
          </w:tcPr>
          <w:p w14:paraId="52649DBF" w14:textId="77777777" w:rsidR="00C7239F" w:rsidRPr="005D4222" w:rsidRDefault="00C7239F">
            <w:pPr>
              <w:pStyle w:val="ECDSMarginHead"/>
            </w:pPr>
            <w:r w:rsidRPr="005D4222">
              <w:t>Initial population</w:t>
            </w:r>
          </w:p>
        </w:tc>
        <w:tc>
          <w:tcPr>
            <w:tcW w:w="7578"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9048E96" w14:textId="77777777" w:rsidR="00C7239F" w:rsidRPr="005D4222" w:rsidRDefault="00C7239F">
            <w:pPr>
              <w:pStyle w:val="ECDSBody"/>
            </w:pPr>
            <w:r w:rsidRPr="005D4222">
              <w:rPr>
                <w:i/>
              </w:rPr>
              <w:t>Measure item count:</w:t>
            </w:r>
            <w:r w:rsidRPr="005D4222">
              <w:t xml:space="preserve"> Person.</w:t>
            </w:r>
          </w:p>
          <w:p w14:paraId="3EDF0767" w14:textId="77777777" w:rsidR="00C7239F" w:rsidRPr="005D4222" w:rsidRDefault="00C7239F">
            <w:pPr>
              <w:pStyle w:val="ECDSBody"/>
            </w:pPr>
            <w:r w:rsidRPr="005D4222">
              <w:rPr>
                <w:i/>
                <w:iCs/>
              </w:rPr>
              <w:t>Attribution basis</w:t>
            </w:r>
            <w:r w:rsidRPr="005D4222">
              <w:rPr>
                <w:i/>
              </w:rPr>
              <w:t>:</w:t>
            </w:r>
            <w:r w:rsidRPr="005D4222">
              <w:t xml:space="preserve"> Enrollment.</w:t>
            </w:r>
          </w:p>
          <w:p w14:paraId="0D2BDE73" w14:textId="77777777" w:rsidR="00C7239F" w:rsidRPr="005D4222" w:rsidRDefault="00C7239F" w:rsidP="00C7239F">
            <w:pPr>
              <w:pStyle w:val="Bullet"/>
              <w:numPr>
                <w:ilvl w:val="0"/>
                <w:numId w:val="4"/>
              </w:numPr>
              <w:tabs>
                <w:tab w:val="left" w:pos="360"/>
                <w:tab w:val="left" w:pos="576"/>
              </w:tabs>
              <w:ind w:left="576" w:hanging="216"/>
            </w:pPr>
            <w:r w:rsidRPr="005D4222">
              <w:rPr>
                <w:i/>
                <w:iCs/>
              </w:rPr>
              <w:t>Benefits:</w:t>
            </w:r>
            <w:r w:rsidRPr="005D4222">
              <w:t xml:space="preserve"> Medical and pharmacy.</w:t>
            </w:r>
          </w:p>
          <w:p w14:paraId="6701A80F" w14:textId="77777777" w:rsidR="00C7239F" w:rsidRPr="005D4222" w:rsidRDefault="00C7239F" w:rsidP="00C7239F">
            <w:pPr>
              <w:pStyle w:val="Bullet"/>
              <w:numPr>
                <w:ilvl w:val="0"/>
                <w:numId w:val="4"/>
              </w:numPr>
              <w:tabs>
                <w:tab w:val="left" w:pos="360"/>
                <w:tab w:val="left" w:pos="576"/>
              </w:tabs>
              <w:ind w:left="576" w:hanging="216"/>
              <w:rPr>
                <w:szCs w:val="21"/>
              </w:rPr>
            </w:pPr>
            <w:r w:rsidRPr="005D4222">
              <w:rPr>
                <w:i/>
                <w:iCs/>
              </w:rPr>
              <w:t>Continuous enrollment:</w:t>
            </w:r>
            <w:r w:rsidRPr="005D4222">
              <w:t xml:space="preserve"> The measurement period.</w:t>
            </w:r>
            <w:r w:rsidRPr="005D4222">
              <w:rPr>
                <w:szCs w:val="21"/>
              </w:rPr>
              <w:t xml:space="preserve"> </w:t>
            </w:r>
          </w:p>
          <w:p w14:paraId="45992FD3" w14:textId="77777777" w:rsidR="00C7239F" w:rsidRPr="005D4222" w:rsidRDefault="00C7239F" w:rsidP="00C7239F">
            <w:pPr>
              <w:pStyle w:val="Bullet"/>
              <w:numPr>
                <w:ilvl w:val="0"/>
                <w:numId w:val="4"/>
              </w:numPr>
              <w:tabs>
                <w:tab w:val="left" w:pos="360"/>
                <w:tab w:val="left" w:pos="576"/>
              </w:tabs>
              <w:ind w:left="576" w:hanging="216"/>
              <w:rPr>
                <w:rStyle w:val="normaltextrun"/>
                <w:color w:val="000000"/>
                <w:szCs w:val="21"/>
              </w:rPr>
            </w:pPr>
            <w:r w:rsidRPr="005D4222">
              <w:rPr>
                <w:i/>
                <w:iCs/>
                <w:szCs w:val="21"/>
              </w:rPr>
              <w:t>Allowable gap:</w:t>
            </w:r>
            <w:r w:rsidRPr="005D4222">
              <w:rPr>
                <w:szCs w:val="21"/>
              </w:rPr>
              <w:t xml:space="preserve"> No more than one gap of ≤45 days during the measurement period. No gaps on the last day of the measurement period.</w:t>
            </w:r>
          </w:p>
          <w:p w14:paraId="20CC8C78" w14:textId="75DAF2C4" w:rsidR="00C7239F" w:rsidRPr="005D4222" w:rsidRDefault="00C7239F">
            <w:pPr>
              <w:pStyle w:val="ECDSBody"/>
            </w:pPr>
            <w:r w:rsidRPr="005D4222">
              <w:rPr>
                <w:i/>
              </w:rPr>
              <w:t xml:space="preserve">Ages: </w:t>
            </w:r>
            <w:r w:rsidRPr="005D4222">
              <w:t>18–64 years of age as of the last day of the measurement period.</w:t>
            </w:r>
          </w:p>
          <w:p w14:paraId="6D202049" w14:textId="77777777" w:rsidR="00922D2C" w:rsidRPr="005D4222" w:rsidRDefault="00C7239F">
            <w:pPr>
              <w:pStyle w:val="ECDSBody"/>
              <w:rPr>
                <w:rFonts w:eastAsia="Arial,Arial,Arial,Arial,Arial,A"/>
                <w:b/>
                <w:bCs w:val="0"/>
              </w:rPr>
            </w:pPr>
            <w:r w:rsidRPr="005D4222">
              <w:rPr>
                <w:i/>
                <w:iCs/>
              </w:rPr>
              <w:t xml:space="preserve">Event: </w:t>
            </w:r>
            <w:r w:rsidRPr="005D4222">
              <w:rPr>
                <w:b/>
                <w:bCs w:val="0"/>
              </w:rPr>
              <w:t xml:space="preserve">Persons with </w:t>
            </w:r>
            <w:r w:rsidRPr="005D4222">
              <w:rPr>
                <w:rFonts w:eastAsia="Arial,Arial,Arial,Arial,Arial,A"/>
                <w:b/>
                <w:bCs w:val="0"/>
              </w:rPr>
              <w:t>schizophrenia or bipolar disorder.</w:t>
            </w:r>
          </w:p>
          <w:p w14:paraId="623590C3" w14:textId="3188EE06" w:rsidR="00C7239F" w:rsidRPr="005D4222" w:rsidRDefault="00C7239F">
            <w:pPr>
              <w:pStyle w:val="ECDSBody"/>
            </w:pPr>
            <w:r w:rsidRPr="005D4222">
              <w:t>Identify persons who met at least one of the following criteria during the measurement period.</w:t>
            </w:r>
          </w:p>
          <w:p w14:paraId="3BFF7962" w14:textId="77777777" w:rsidR="00C7239F" w:rsidRPr="005D4222" w:rsidRDefault="00C7239F" w:rsidP="00C7239F">
            <w:pPr>
              <w:pStyle w:val="Bullet"/>
              <w:numPr>
                <w:ilvl w:val="0"/>
                <w:numId w:val="4"/>
              </w:numPr>
              <w:tabs>
                <w:tab w:val="left" w:pos="360"/>
                <w:tab w:val="left" w:pos="576"/>
              </w:tabs>
              <w:ind w:left="576" w:hanging="216"/>
            </w:pPr>
            <w:r w:rsidRPr="005D4222">
              <w:t>At least one acute inpatient encounter with any diagnosis of schizophrenia, schizoaffective disorder or bipolar disorder. Any of the following combinations meet criteria:</w:t>
            </w:r>
          </w:p>
          <w:p w14:paraId="52E077B2" w14:textId="77777777" w:rsidR="00C7239F" w:rsidRPr="005D4222" w:rsidRDefault="00C7239F" w:rsidP="005D6173">
            <w:pPr>
              <w:pStyle w:val="Dash"/>
              <w:numPr>
                <w:ilvl w:val="0"/>
                <w:numId w:val="69"/>
              </w:numPr>
              <w:tabs>
                <w:tab w:val="left" w:pos="576"/>
                <w:tab w:val="left" w:pos="792"/>
              </w:tabs>
              <w:ind w:left="792" w:hanging="216"/>
              <w:rPr>
                <w:u w:val="single"/>
              </w:rPr>
            </w:pPr>
            <w:r w:rsidRPr="005D4222">
              <w:rPr>
                <w:u w:val="single"/>
              </w:rPr>
              <w:t>BH Stand Alone Acute Inpatient Value Set</w:t>
            </w:r>
            <w:r w:rsidRPr="005D4222">
              <w:t xml:space="preserve"> </w:t>
            </w:r>
            <w:r w:rsidRPr="005D4222">
              <w:rPr>
                <w:b/>
                <w:i/>
              </w:rPr>
              <w:t>with</w:t>
            </w:r>
            <w:r w:rsidRPr="005D4222">
              <w:t xml:space="preserve"> (</w:t>
            </w:r>
            <w:r w:rsidRPr="005D4222">
              <w:rPr>
                <w:u w:val="single"/>
              </w:rPr>
              <w:t>Schizophrenia Value Set</w:t>
            </w:r>
            <w:r w:rsidRPr="005D4222">
              <w:t xml:space="preserve">; </w:t>
            </w:r>
            <w:r w:rsidRPr="005D4222">
              <w:rPr>
                <w:u w:val="single"/>
              </w:rPr>
              <w:t>Bipolar Disorder Value Set</w:t>
            </w:r>
            <w:r w:rsidRPr="005D4222">
              <w:t xml:space="preserve">; </w:t>
            </w:r>
            <w:r w:rsidRPr="005D4222">
              <w:rPr>
                <w:u w:val="single"/>
              </w:rPr>
              <w:t>Other Bipolar Disorder Value Set</w:t>
            </w:r>
            <w:r w:rsidRPr="005D4222">
              <w:t>).</w:t>
            </w:r>
          </w:p>
          <w:p w14:paraId="085CD25E" w14:textId="77777777" w:rsidR="00C7239F" w:rsidRPr="005D4222" w:rsidRDefault="00C7239F" w:rsidP="005D6173">
            <w:pPr>
              <w:pStyle w:val="Dash"/>
              <w:numPr>
                <w:ilvl w:val="0"/>
                <w:numId w:val="69"/>
              </w:numPr>
              <w:tabs>
                <w:tab w:val="left" w:pos="576"/>
                <w:tab w:val="left" w:pos="792"/>
              </w:tabs>
              <w:ind w:left="792" w:hanging="216"/>
              <w:rPr>
                <w:u w:val="single"/>
              </w:rPr>
            </w:pPr>
            <w:r w:rsidRPr="005D4222">
              <w:rPr>
                <w:u w:val="single"/>
              </w:rPr>
              <w:t>Visit Setting Unspecified Value Set</w:t>
            </w:r>
            <w:r w:rsidRPr="005D4222">
              <w:t xml:space="preserve"> </w:t>
            </w:r>
            <w:r w:rsidRPr="005D4222">
              <w:rPr>
                <w:b/>
                <w:i/>
              </w:rPr>
              <w:t>with</w:t>
            </w:r>
            <w:r w:rsidRPr="005D4222">
              <w:t xml:space="preserve"> </w:t>
            </w:r>
            <w:r w:rsidRPr="005D4222">
              <w:rPr>
                <w:u w:val="single"/>
              </w:rPr>
              <w:t xml:space="preserve">Acute Inpatient POS Value Set </w:t>
            </w:r>
            <w:r w:rsidRPr="005D4222">
              <w:rPr>
                <w:b/>
                <w:i/>
              </w:rPr>
              <w:t>with</w:t>
            </w:r>
            <w:r w:rsidRPr="005D4222">
              <w:t xml:space="preserve"> </w:t>
            </w:r>
            <w:r w:rsidRPr="005D4222">
              <w:rPr>
                <w:u w:val="single"/>
              </w:rPr>
              <w:t>Schizophrenia Value Set</w:t>
            </w:r>
            <w:r w:rsidRPr="005D4222">
              <w:t xml:space="preserve">; </w:t>
            </w:r>
            <w:r w:rsidRPr="005D4222">
              <w:rPr>
                <w:u w:val="single"/>
              </w:rPr>
              <w:t>Bipolar Disorder Value Set</w:t>
            </w:r>
            <w:r w:rsidRPr="005D4222">
              <w:t xml:space="preserve">; </w:t>
            </w:r>
            <w:r w:rsidRPr="005D4222">
              <w:rPr>
                <w:u w:val="single"/>
              </w:rPr>
              <w:t>Other Bipolar Disorder Value Set</w:t>
            </w:r>
            <w:r w:rsidRPr="005D4222">
              <w:t>.</w:t>
            </w:r>
          </w:p>
          <w:p w14:paraId="6BFF066F" w14:textId="77777777" w:rsidR="00C7239F" w:rsidRPr="005D4222" w:rsidRDefault="00C7239F" w:rsidP="00C7239F">
            <w:pPr>
              <w:pStyle w:val="Bullet"/>
              <w:numPr>
                <w:ilvl w:val="0"/>
                <w:numId w:val="4"/>
              </w:numPr>
              <w:tabs>
                <w:tab w:val="left" w:pos="360"/>
                <w:tab w:val="left" w:pos="576"/>
              </w:tabs>
              <w:ind w:left="576" w:hanging="216"/>
            </w:pPr>
            <w:r w:rsidRPr="005D4222">
              <w:t>At least two of the following, on different dates of service, where both encounters have any diagnosis of schizophrenia or schizoaffective disorder (</w:t>
            </w:r>
            <w:r w:rsidRPr="005D4222">
              <w:rPr>
                <w:u w:val="single"/>
              </w:rPr>
              <w:t>Schizophrenia Value Set</w:t>
            </w:r>
            <w:r w:rsidRPr="005D4222">
              <w:t>) or both encounters have any diagnosis of bipolar disorder (</w:t>
            </w:r>
            <w:r w:rsidRPr="005D4222">
              <w:rPr>
                <w:u w:val="single"/>
              </w:rPr>
              <w:t>Bipolar Disorder Value Set</w:t>
            </w:r>
            <w:r w:rsidRPr="005D4222">
              <w:t xml:space="preserve">; </w:t>
            </w:r>
            <w:r w:rsidRPr="005D4222">
              <w:rPr>
                <w:u w:val="single"/>
              </w:rPr>
              <w:t>Other Bipolar Disorder Value Set</w:t>
            </w:r>
            <w:r w:rsidRPr="005D4222">
              <w:t>):</w:t>
            </w:r>
          </w:p>
          <w:p w14:paraId="31A6C98F" w14:textId="77777777" w:rsidR="00C7239F" w:rsidRPr="005D4222" w:rsidRDefault="00C7239F" w:rsidP="00C7239F">
            <w:pPr>
              <w:pStyle w:val="Dash"/>
              <w:tabs>
                <w:tab w:val="left" w:pos="576"/>
                <w:tab w:val="left" w:pos="792"/>
              </w:tabs>
            </w:pPr>
            <w:r w:rsidRPr="005D4222">
              <w:t>An outpatient visit (</w:t>
            </w:r>
            <w:r w:rsidRPr="005D4222">
              <w:rPr>
                <w:u w:val="single"/>
              </w:rPr>
              <w:t>Visit Setting Unspecified Value Set</w:t>
            </w:r>
            <w:r w:rsidRPr="005D4222">
              <w:t xml:space="preserve"> </w:t>
            </w:r>
            <w:r w:rsidRPr="005D4222">
              <w:rPr>
                <w:b/>
                <w:i/>
              </w:rPr>
              <w:t>with</w:t>
            </w:r>
            <w:r w:rsidRPr="005D4222">
              <w:t xml:space="preserve"> </w:t>
            </w:r>
            <w:r w:rsidRPr="005D4222">
              <w:rPr>
                <w:u w:val="single"/>
              </w:rPr>
              <w:t>Outpatient POS Value Set</w:t>
            </w:r>
            <w:r w:rsidRPr="005D4222">
              <w:t>).</w:t>
            </w:r>
          </w:p>
          <w:p w14:paraId="668F48E4" w14:textId="77777777" w:rsidR="00C7239F" w:rsidRPr="005D4222" w:rsidRDefault="00C7239F" w:rsidP="00C7239F">
            <w:pPr>
              <w:pStyle w:val="Dash"/>
              <w:tabs>
                <w:tab w:val="left" w:pos="576"/>
                <w:tab w:val="left" w:pos="792"/>
              </w:tabs>
            </w:pPr>
            <w:r w:rsidRPr="005D4222">
              <w:t>An outpatient visit (</w:t>
            </w:r>
            <w:r w:rsidRPr="005D4222">
              <w:rPr>
                <w:u w:val="single"/>
              </w:rPr>
              <w:t>BH Outpatient Value Set</w:t>
            </w:r>
            <w:r w:rsidRPr="005D4222">
              <w:t xml:space="preserve">). </w:t>
            </w:r>
          </w:p>
          <w:p w14:paraId="21EC39C8" w14:textId="77777777" w:rsidR="00C7239F" w:rsidRPr="005D4222" w:rsidRDefault="00C7239F" w:rsidP="00C7239F">
            <w:pPr>
              <w:pStyle w:val="Dash"/>
              <w:tabs>
                <w:tab w:val="left" w:pos="576"/>
                <w:tab w:val="left" w:pos="792"/>
              </w:tabs>
            </w:pPr>
            <w:r w:rsidRPr="005D4222">
              <w:t>An intensive outpatient encounter or partial hospitalization (</w:t>
            </w:r>
            <w:r w:rsidRPr="005D4222">
              <w:rPr>
                <w:u w:val="single"/>
              </w:rPr>
              <w:t>Visit Setting Unspecified Value Set</w:t>
            </w:r>
            <w:r w:rsidRPr="005D4222">
              <w:t xml:space="preserve"> </w:t>
            </w:r>
            <w:r w:rsidRPr="005D4222">
              <w:rPr>
                <w:b/>
                <w:i/>
              </w:rPr>
              <w:t>with</w:t>
            </w:r>
            <w:r w:rsidRPr="005D4222">
              <w:t xml:space="preserve"> POS code 52). </w:t>
            </w:r>
          </w:p>
          <w:p w14:paraId="7E717728" w14:textId="77777777" w:rsidR="00C7239F" w:rsidRPr="005D4222" w:rsidRDefault="00C7239F" w:rsidP="00C7239F">
            <w:pPr>
              <w:pStyle w:val="Dash"/>
              <w:tabs>
                <w:tab w:val="left" w:pos="576"/>
                <w:tab w:val="left" w:pos="792"/>
              </w:tabs>
            </w:pPr>
            <w:r w:rsidRPr="005D4222">
              <w:t>An intensive outpatient encounter or partial hospitalization (</w:t>
            </w:r>
            <w:r w:rsidRPr="005D4222">
              <w:rPr>
                <w:u w:val="single"/>
              </w:rPr>
              <w:t>Partial Hospitalization or Intensive Outpatient Value Set</w:t>
            </w:r>
            <w:r w:rsidRPr="005D4222">
              <w:t xml:space="preserve">). </w:t>
            </w:r>
          </w:p>
          <w:p w14:paraId="61F54100" w14:textId="77777777" w:rsidR="00C7239F" w:rsidRPr="005D4222" w:rsidRDefault="00C7239F" w:rsidP="00C7239F">
            <w:pPr>
              <w:pStyle w:val="Dash"/>
              <w:tabs>
                <w:tab w:val="left" w:pos="576"/>
                <w:tab w:val="left" w:pos="792"/>
              </w:tabs>
            </w:pPr>
            <w:r w:rsidRPr="005D4222">
              <w:t>A community mental health center visit (</w:t>
            </w:r>
            <w:r w:rsidRPr="005D4222">
              <w:rPr>
                <w:u w:val="single"/>
              </w:rPr>
              <w:t>Visit Setting Unspecified Value Set</w:t>
            </w:r>
            <w:r w:rsidRPr="005D4222">
              <w:t xml:space="preserve"> </w:t>
            </w:r>
            <w:r w:rsidRPr="005D4222">
              <w:rPr>
                <w:b/>
                <w:i/>
              </w:rPr>
              <w:t>with</w:t>
            </w:r>
            <w:r w:rsidRPr="005D4222">
              <w:t xml:space="preserve"> POS code 53). </w:t>
            </w:r>
          </w:p>
          <w:p w14:paraId="18CB866D" w14:textId="77777777" w:rsidR="00C7239F" w:rsidRPr="005D4222" w:rsidRDefault="00C7239F" w:rsidP="005D6173">
            <w:pPr>
              <w:pStyle w:val="Dash"/>
              <w:numPr>
                <w:ilvl w:val="0"/>
                <w:numId w:val="69"/>
              </w:numPr>
              <w:tabs>
                <w:tab w:val="left" w:pos="576"/>
                <w:tab w:val="left" w:pos="792"/>
              </w:tabs>
              <w:ind w:left="792" w:hanging="216"/>
            </w:pPr>
            <w:r w:rsidRPr="005D4222">
              <w:t>Electroconvulsive therapy (</w:t>
            </w:r>
            <w:r w:rsidRPr="005D4222">
              <w:rPr>
                <w:u w:val="single"/>
              </w:rPr>
              <w:t>Electroconvulsive Therapy Value Set</w:t>
            </w:r>
            <w:r w:rsidRPr="005D4222">
              <w:t>).</w:t>
            </w:r>
          </w:p>
          <w:p w14:paraId="52F0CCE0" w14:textId="77777777" w:rsidR="00C7239F" w:rsidRPr="005D4222" w:rsidRDefault="00C7239F" w:rsidP="005D6173">
            <w:pPr>
              <w:pStyle w:val="Dash"/>
              <w:numPr>
                <w:ilvl w:val="0"/>
                <w:numId w:val="69"/>
              </w:numPr>
              <w:tabs>
                <w:tab w:val="left" w:pos="576"/>
                <w:tab w:val="left" w:pos="792"/>
              </w:tabs>
              <w:ind w:left="792" w:hanging="216"/>
            </w:pPr>
            <w:r w:rsidRPr="005D4222">
              <w:t>An ED visit (</w:t>
            </w:r>
            <w:r w:rsidRPr="005D4222">
              <w:rPr>
                <w:u w:val="single"/>
              </w:rPr>
              <w:t>ED Value Set</w:t>
            </w:r>
            <w:r w:rsidRPr="005D4222">
              <w:t xml:space="preserve">). </w:t>
            </w:r>
          </w:p>
          <w:p w14:paraId="7AF09FF0" w14:textId="77777777" w:rsidR="00C7239F" w:rsidRPr="005D4222" w:rsidRDefault="00C7239F" w:rsidP="005D6173">
            <w:pPr>
              <w:pStyle w:val="Dash"/>
              <w:numPr>
                <w:ilvl w:val="0"/>
                <w:numId w:val="69"/>
              </w:numPr>
              <w:tabs>
                <w:tab w:val="left" w:pos="576"/>
                <w:tab w:val="left" w:pos="792"/>
              </w:tabs>
              <w:ind w:left="792" w:hanging="216"/>
            </w:pPr>
            <w:r w:rsidRPr="005D4222">
              <w:t>An ED visit (</w:t>
            </w:r>
            <w:r w:rsidRPr="005D4222">
              <w:rPr>
                <w:u w:val="single"/>
              </w:rPr>
              <w:t>Visit Setting Unspecified Value Set</w:t>
            </w:r>
            <w:r w:rsidRPr="005D4222">
              <w:t xml:space="preserve"> </w:t>
            </w:r>
            <w:r w:rsidRPr="005D4222">
              <w:rPr>
                <w:b/>
                <w:i/>
              </w:rPr>
              <w:t>with</w:t>
            </w:r>
            <w:r w:rsidRPr="005D4222">
              <w:t xml:space="preserve"> POS code 23).</w:t>
            </w:r>
          </w:p>
          <w:p w14:paraId="7C34AFF9" w14:textId="77777777" w:rsidR="00C7239F" w:rsidRPr="005D4222" w:rsidRDefault="00C7239F" w:rsidP="005D6173">
            <w:pPr>
              <w:pStyle w:val="Dash"/>
              <w:numPr>
                <w:ilvl w:val="0"/>
                <w:numId w:val="69"/>
              </w:numPr>
              <w:tabs>
                <w:tab w:val="left" w:pos="576"/>
                <w:tab w:val="left" w:pos="792"/>
              </w:tabs>
              <w:spacing w:after="0"/>
              <w:ind w:left="792" w:hanging="216"/>
            </w:pPr>
            <w:r w:rsidRPr="005D4222">
              <w:t>A nonacute inpatient encounter (</w:t>
            </w:r>
            <w:r w:rsidRPr="005D4222">
              <w:rPr>
                <w:u w:val="single"/>
              </w:rPr>
              <w:t>BH Stand Alone Nonacute Inpatient Value Set</w:t>
            </w:r>
            <w:r w:rsidRPr="005D4222">
              <w:t>).</w:t>
            </w:r>
          </w:p>
          <w:p w14:paraId="0C4FD1FB" w14:textId="77777777" w:rsidR="00C7239F" w:rsidRPr="005D4222" w:rsidRDefault="00C7239F" w:rsidP="005D6173">
            <w:pPr>
              <w:pStyle w:val="Dash"/>
              <w:numPr>
                <w:ilvl w:val="0"/>
                <w:numId w:val="69"/>
              </w:numPr>
              <w:tabs>
                <w:tab w:val="left" w:pos="576"/>
                <w:tab w:val="left" w:pos="792"/>
              </w:tabs>
              <w:ind w:left="792" w:hanging="216"/>
            </w:pPr>
            <w:r w:rsidRPr="005D4222">
              <w:t>A nonacute inpatient encounter (</w:t>
            </w:r>
            <w:r w:rsidRPr="005D4222">
              <w:rPr>
                <w:u w:val="single"/>
              </w:rPr>
              <w:t>Visit Setting Unspecified Value Set</w:t>
            </w:r>
            <w:r w:rsidRPr="005D4222">
              <w:t xml:space="preserve"> </w:t>
            </w:r>
            <w:r w:rsidRPr="005D4222">
              <w:rPr>
                <w:b/>
                <w:i/>
              </w:rPr>
              <w:t>with</w:t>
            </w:r>
            <w:r w:rsidRPr="005D4222">
              <w:t xml:space="preserve"> </w:t>
            </w:r>
            <w:r w:rsidRPr="005D4222">
              <w:rPr>
                <w:u w:val="single"/>
              </w:rPr>
              <w:t>Nonacute Inpatient POS Value Set</w:t>
            </w:r>
            <w:r w:rsidRPr="005D4222">
              <w:t>).</w:t>
            </w:r>
          </w:p>
          <w:p w14:paraId="6D373AA9" w14:textId="77777777" w:rsidR="00C7239F" w:rsidRPr="005D4222" w:rsidRDefault="00C7239F" w:rsidP="005D6173">
            <w:pPr>
              <w:pStyle w:val="Dash"/>
              <w:numPr>
                <w:ilvl w:val="0"/>
                <w:numId w:val="69"/>
              </w:numPr>
              <w:tabs>
                <w:tab w:val="left" w:pos="576"/>
                <w:tab w:val="left" w:pos="792"/>
              </w:tabs>
              <w:spacing w:after="80"/>
              <w:ind w:left="792" w:hanging="216"/>
            </w:pPr>
            <w:r w:rsidRPr="005D4222">
              <w:t>A telehealth visit (</w:t>
            </w:r>
            <w:r w:rsidRPr="005D4222">
              <w:rPr>
                <w:u w:val="single"/>
              </w:rPr>
              <w:t>Visit Setting Unspecified Value Set</w:t>
            </w:r>
            <w:r w:rsidRPr="005D4222">
              <w:t xml:space="preserve"> </w:t>
            </w:r>
            <w:r w:rsidRPr="005D4222">
              <w:rPr>
                <w:b/>
                <w:i/>
              </w:rPr>
              <w:t>with</w:t>
            </w:r>
            <w:r w:rsidRPr="005D4222">
              <w:t xml:space="preserve"> </w:t>
            </w:r>
            <w:r w:rsidRPr="005D4222">
              <w:rPr>
                <w:u w:val="single"/>
              </w:rPr>
              <w:t>Telehealth POS Value Set</w:t>
            </w:r>
            <w:r w:rsidRPr="005D4222">
              <w:t>).</w:t>
            </w:r>
          </w:p>
          <w:p w14:paraId="7AD2533C" w14:textId="77777777" w:rsidR="00C7239F" w:rsidRPr="005D4222" w:rsidRDefault="00C7239F" w:rsidP="005D6173">
            <w:pPr>
              <w:pStyle w:val="Dash"/>
              <w:numPr>
                <w:ilvl w:val="0"/>
                <w:numId w:val="69"/>
              </w:numPr>
              <w:tabs>
                <w:tab w:val="left" w:pos="576"/>
                <w:tab w:val="left" w:pos="792"/>
              </w:tabs>
              <w:spacing w:before="120"/>
              <w:ind w:left="792" w:hanging="216"/>
            </w:pPr>
            <w:r w:rsidRPr="005D4222">
              <w:lastRenderedPageBreak/>
              <w:t>A telephone visit (</w:t>
            </w:r>
            <w:r w:rsidRPr="005D4222">
              <w:rPr>
                <w:u w:val="single"/>
              </w:rPr>
              <w:t>Telephone Visits Value Set</w:t>
            </w:r>
            <w:r w:rsidRPr="005D4222">
              <w:t>).</w:t>
            </w:r>
          </w:p>
          <w:p w14:paraId="71D03016" w14:textId="77777777" w:rsidR="00C7239F" w:rsidRPr="005D4222" w:rsidRDefault="00C7239F" w:rsidP="005D6173">
            <w:pPr>
              <w:pStyle w:val="Dash"/>
              <w:numPr>
                <w:ilvl w:val="0"/>
                <w:numId w:val="69"/>
              </w:numPr>
              <w:tabs>
                <w:tab w:val="left" w:pos="576"/>
                <w:tab w:val="left" w:pos="792"/>
              </w:tabs>
              <w:spacing w:after="80"/>
              <w:ind w:left="792" w:hanging="216"/>
              <w:rPr>
                <w:rFonts w:eastAsia="Arial" w:cs="Arial"/>
              </w:rPr>
            </w:pPr>
            <w:r w:rsidRPr="005D4222">
              <w:t>An e-visit or virtual check-in</w:t>
            </w:r>
            <w:r w:rsidRPr="005D4222" w:rsidDel="00F42B66">
              <w:t xml:space="preserve"> </w:t>
            </w:r>
            <w:r w:rsidRPr="005D4222">
              <w:t>(</w:t>
            </w:r>
            <w:r w:rsidRPr="005D4222">
              <w:rPr>
                <w:u w:val="single"/>
              </w:rPr>
              <w:t>Online Assessments Value Set</w:t>
            </w:r>
            <w:r w:rsidRPr="005D4222">
              <w:t>).</w:t>
            </w:r>
          </w:p>
        </w:tc>
      </w:tr>
      <w:tr w:rsidR="00C7239F" w:rsidRPr="005D4222" w14:paraId="505E3E0F" w14:textId="77777777" w:rsidTr="00652945">
        <w:tc>
          <w:tcPr>
            <w:tcW w:w="2142"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94AB1A3" w14:textId="77777777" w:rsidR="00C7239F" w:rsidRPr="005D4222" w:rsidRDefault="00C7239F">
            <w:pPr>
              <w:pStyle w:val="ECDSMarginHead"/>
            </w:pPr>
            <w:r w:rsidRPr="005D4222">
              <w:lastRenderedPageBreak/>
              <w:t xml:space="preserve">Denominator exclusions </w:t>
            </w:r>
          </w:p>
        </w:tc>
        <w:tc>
          <w:tcPr>
            <w:tcW w:w="7578"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18D9C60" w14:textId="77777777" w:rsidR="00C7239F" w:rsidRPr="005D4222" w:rsidRDefault="00C7239F">
            <w:pPr>
              <w:pStyle w:val="ECDSBody"/>
              <w:rPr>
                <w:rFonts w:eastAsia="Arial,Arial,Arial,Arial,Arial,A"/>
              </w:rPr>
            </w:pPr>
            <w:r w:rsidRPr="005D4222">
              <w:rPr>
                <w:rFonts w:eastAsia="Arial,Arial,Arial,Arial,Arial,A"/>
                <w:b/>
              </w:rPr>
              <w:t>Persons with a date of death.</w:t>
            </w:r>
            <w:r w:rsidRPr="005D4222">
              <w:rPr>
                <w:rFonts w:eastAsia="Arial,Arial,Arial,Arial,Arial,A"/>
                <w:b/>
              </w:rPr>
              <w:br/>
            </w:r>
            <w:r w:rsidRPr="005D4222">
              <w:rPr>
                <w:rFonts w:eastAsia="Arial,Arial,Arial,Arial,Arial,A"/>
                <w:iCs/>
              </w:rPr>
              <w:t>Death in the measurement period, identified using</w:t>
            </w:r>
            <w:r w:rsidRPr="005D4222">
              <w:rPr>
                <w:rFonts w:eastAsia="Arial,Arial,Arial,Arial,Arial,A"/>
              </w:rPr>
              <w:t xml:space="preserve"> data sources determined by the organization. Method and data sources are subject to review during the HEDIS audit.</w:t>
            </w:r>
          </w:p>
          <w:p w14:paraId="30B4C067" w14:textId="77777777" w:rsidR="00C7239F" w:rsidRPr="005D4222" w:rsidRDefault="00C7239F">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21460BBC" w14:textId="77777777" w:rsidR="00C7239F" w:rsidRPr="005D4222" w:rsidRDefault="00C7239F">
            <w:pPr>
              <w:pStyle w:val="ECDSBody"/>
            </w:pPr>
            <w:r w:rsidRPr="005D4222">
              <w:rPr>
                <w:b/>
              </w:rPr>
              <w:t>Persons with a diagnosis of diabetes.</w:t>
            </w:r>
            <w:r w:rsidRPr="005D4222">
              <w:rPr>
                <w:b/>
              </w:rPr>
              <w:br/>
            </w:r>
            <w:r w:rsidRPr="005D4222">
              <w:t xml:space="preserve">Either of the following meets criteria: </w:t>
            </w:r>
          </w:p>
          <w:p w14:paraId="173CE1E3" w14:textId="77777777" w:rsidR="00C7239F" w:rsidRPr="005D4222" w:rsidRDefault="00C7239F" w:rsidP="00C7239F">
            <w:pPr>
              <w:pStyle w:val="Bullet"/>
              <w:numPr>
                <w:ilvl w:val="0"/>
                <w:numId w:val="4"/>
              </w:numPr>
              <w:tabs>
                <w:tab w:val="left" w:pos="360"/>
                <w:tab w:val="left" w:pos="576"/>
              </w:tabs>
              <w:ind w:left="576" w:hanging="216"/>
            </w:pPr>
            <w:r w:rsidRPr="005D4222">
              <w:rPr>
                <w:i/>
                <w:iCs/>
              </w:rPr>
              <w:t>Claim/encounter data.</w:t>
            </w:r>
            <w:r w:rsidRPr="005D4222">
              <w:t xml:space="preserve"> At least two diagnoses of diabetes (</w:t>
            </w:r>
            <w:r w:rsidRPr="005D4222">
              <w:rPr>
                <w:u w:val="single"/>
              </w:rPr>
              <w:t>Diabetes Value Set</w:t>
            </w:r>
            <w:r w:rsidRPr="005D4222">
              <w:t>*) on different dates of service during the measurement period or the year prior to the measurement period.</w:t>
            </w:r>
          </w:p>
          <w:p w14:paraId="15B26E3D" w14:textId="77777777" w:rsidR="00C7239F" w:rsidRPr="005D4222" w:rsidRDefault="00C7239F" w:rsidP="00C7239F">
            <w:pPr>
              <w:pStyle w:val="Bullet"/>
              <w:numPr>
                <w:ilvl w:val="0"/>
                <w:numId w:val="4"/>
              </w:numPr>
              <w:tabs>
                <w:tab w:val="left" w:pos="360"/>
                <w:tab w:val="left" w:pos="576"/>
              </w:tabs>
              <w:ind w:left="576" w:hanging="216"/>
              <w:rPr>
                <w:b/>
                <w:bCs/>
              </w:rPr>
            </w:pPr>
            <w:r w:rsidRPr="005D4222">
              <w:rPr>
                <w:i/>
                <w:iCs/>
              </w:rPr>
              <w:t>Pharmacy data.</w:t>
            </w:r>
            <w:r w:rsidRPr="005D4222">
              <w:t xml:space="preserve"> At least one diagnosis of diabetes (</w:t>
            </w:r>
            <w:r w:rsidRPr="005D4222">
              <w:rPr>
                <w:u w:val="single"/>
              </w:rPr>
              <w:t>Diabetes Value Set</w:t>
            </w:r>
            <w:r w:rsidRPr="005D4222">
              <w:t xml:space="preserve">*) </w:t>
            </w:r>
            <w:r w:rsidRPr="005D4222">
              <w:rPr>
                <w:b/>
                <w:bCs/>
                <w:i/>
                <w:iCs/>
              </w:rPr>
              <w:t xml:space="preserve">and </w:t>
            </w:r>
            <w:r w:rsidRPr="005D4222">
              <w:t>at least one diabetes medication dispensing event of insulin or a hypoglycemic/antihyperglycemic medication (</w:t>
            </w:r>
            <w:r w:rsidRPr="005D4222">
              <w:rPr>
                <w:u w:val="single"/>
              </w:rPr>
              <w:t>Diabetes Medications List</w:t>
            </w:r>
            <w:r w:rsidRPr="005D4222">
              <w:t>) during the measurement period or the year prior to the measurement period.</w:t>
            </w:r>
          </w:p>
          <w:p w14:paraId="793BCECB" w14:textId="77777777" w:rsidR="00C7239F" w:rsidRPr="005D4222" w:rsidRDefault="00C7239F">
            <w:pPr>
              <w:pStyle w:val="ECDSBody"/>
            </w:pPr>
            <w:r w:rsidRPr="005D4222">
              <w:rPr>
                <w:b/>
              </w:rPr>
              <w:t>Persons without at least one antipsychotic medication dispensing event.</w:t>
            </w:r>
            <w:r w:rsidRPr="005D4222">
              <w:rPr>
                <w:b/>
              </w:rPr>
              <w:br/>
            </w:r>
            <w:r w:rsidRPr="005D4222">
              <w:t>Either of the following meets criteria:</w:t>
            </w:r>
          </w:p>
          <w:p w14:paraId="067945E3" w14:textId="77777777" w:rsidR="00C7239F" w:rsidRPr="005D4222" w:rsidRDefault="00C7239F" w:rsidP="00C7239F">
            <w:pPr>
              <w:pStyle w:val="Bullet"/>
              <w:numPr>
                <w:ilvl w:val="0"/>
                <w:numId w:val="4"/>
              </w:numPr>
              <w:tabs>
                <w:tab w:val="left" w:pos="360"/>
                <w:tab w:val="left" w:pos="576"/>
              </w:tabs>
              <w:ind w:left="576" w:hanging="216"/>
            </w:pPr>
            <w:r w:rsidRPr="005D4222">
              <w:rPr>
                <w:i/>
                <w:iCs/>
              </w:rPr>
              <w:t>Claim/encounter data.</w:t>
            </w:r>
            <w:r w:rsidRPr="005D4222">
              <w:t xml:space="preserve"> An antipsychotic medication (</w:t>
            </w:r>
            <w:r w:rsidRPr="005D4222">
              <w:rPr>
                <w:u w:val="single"/>
              </w:rPr>
              <w:t>Long Acting Injections Value Set</w:t>
            </w:r>
            <w:r w:rsidRPr="005D4222">
              <w:t xml:space="preserve">). </w:t>
            </w:r>
          </w:p>
          <w:p w14:paraId="757AC232" w14:textId="77777777" w:rsidR="00C7239F" w:rsidRPr="005D4222" w:rsidRDefault="00C7239F" w:rsidP="00C7239F">
            <w:pPr>
              <w:pStyle w:val="Bullet"/>
              <w:numPr>
                <w:ilvl w:val="0"/>
                <w:numId w:val="4"/>
              </w:numPr>
              <w:tabs>
                <w:tab w:val="left" w:pos="360"/>
                <w:tab w:val="left" w:pos="576"/>
              </w:tabs>
              <w:ind w:left="576" w:hanging="216"/>
              <w:rPr>
                <w:b/>
                <w:bCs/>
              </w:rPr>
            </w:pPr>
            <w:r w:rsidRPr="005D4222">
              <w:rPr>
                <w:i/>
                <w:iCs/>
              </w:rPr>
              <w:t>Pharmacy data.</w:t>
            </w:r>
            <w:r w:rsidRPr="005D4222">
              <w:t xml:space="preserve"> Dispensed an antipsychotic medication (</w:t>
            </w:r>
            <w:r w:rsidRPr="005D4222">
              <w:rPr>
                <w:u w:val="single"/>
              </w:rPr>
              <w:t>SSD Antipsychotic Medications List</w:t>
            </w:r>
            <w:r w:rsidRPr="005D4222">
              <w:t>).</w:t>
            </w:r>
          </w:p>
          <w:p w14:paraId="0178E2DE" w14:textId="77777777" w:rsidR="00C7239F" w:rsidRPr="005D4222" w:rsidRDefault="00C7239F">
            <w:pPr>
              <w:pStyle w:val="ECDSBody"/>
              <w:spacing w:after="0"/>
              <w:rPr>
                <w:b/>
              </w:rPr>
            </w:pPr>
            <w:r w:rsidRPr="005D4222">
              <w:rPr>
                <w:b/>
              </w:rPr>
              <w:t>Coding Guidance</w:t>
            </w:r>
          </w:p>
          <w:p w14:paraId="15A404F1" w14:textId="77777777" w:rsidR="00C7239F" w:rsidRPr="005D4222" w:rsidRDefault="00C7239F">
            <w:pPr>
              <w:pStyle w:val="ECDSBody"/>
              <w:spacing w:before="0"/>
              <w:rPr>
                <w:rFonts w:ascii="Segoe UI" w:hAnsi="Segoe UI" w:cs="Segoe UI"/>
                <w:sz w:val="18"/>
                <w:szCs w:val="18"/>
              </w:rPr>
            </w:pPr>
            <w:r w:rsidRPr="005D4222">
              <w:rPr>
                <w:szCs w:val="21"/>
              </w:rPr>
              <w:t>*</w:t>
            </w:r>
            <w:r w:rsidRPr="005D4222">
              <w:rPr>
                <w:rStyle w:val="BodyChar1"/>
              </w:rPr>
              <w:t>Do not include laboratory claims (claims with POS code 81). </w:t>
            </w:r>
          </w:p>
        </w:tc>
      </w:tr>
      <w:tr w:rsidR="00C7239F" w:rsidRPr="005D4222" w14:paraId="3337D808" w14:textId="77777777" w:rsidTr="00652945">
        <w:tc>
          <w:tcPr>
            <w:tcW w:w="2142"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A7FA6BE" w14:textId="77777777" w:rsidR="00C7239F" w:rsidRPr="005D4222" w:rsidRDefault="00C7239F">
            <w:pPr>
              <w:pStyle w:val="ECDSMarginHead"/>
            </w:pPr>
            <w:r w:rsidRPr="005D4222">
              <w:t>Denominator</w:t>
            </w:r>
          </w:p>
        </w:tc>
        <w:tc>
          <w:tcPr>
            <w:tcW w:w="7578"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E2CAEBA" w14:textId="77777777" w:rsidR="00C7239F" w:rsidRPr="005D4222" w:rsidRDefault="00C7239F">
            <w:pPr>
              <w:pStyle w:val="ECDSBody"/>
              <w:rPr>
                <w:rFonts w:eastAsia="Arial,Arial,Arial,Arial,Arial,A"/>
                <w:b/>
              </w:rPr>
            </w:pPr>
            <w:r w:rsidRPr="005D4222">
              <w:rPr>
                <w:rFonts w:eastAsia="Arial,Arial,Arial,Arial,Arial,A"/>
              </w:rPr>
              <w:t>The initial population minus denominator exclusions.</w:t>
            </w:r>
          </w:p>
        </w:tc>
      </w:tr>
      <w:tr w:rsidR="00C7239F" w:rsidRPr="005D4222" w14:paraId="3528CBA5" w14:textId="77777777" w:rsidTr="00652945">
        <w:tc>
          <w:tcPr>
            <w:tcW w:w="2142"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0067892C" w14:textId="77777777" w:rsidR="00C7239F" w:rsidRPr="005D4222" w:rsidRDefault="00C7239F">
            <w:pPr>
              <w:pStyle w:val="ECDSMarginHead"/>
            </w:pPr>
            <w:r w:rsidRPr="005D4222">
              <w:t>Numerator</w:t>
            </w:r>
          </w:p>
        </w:tc>
        <w:tc>
          <w:tcPr>
            <w:tcW w:w="7578" w:type="dxa"/>
            <w:gridSpan w:val="3"/>
            <w:tcBorders>
              <w:top w:val="single" w:sz="4" w:space="0" w:color="auto"/>
              <w:left w:val="single" w:sz="4" w:space="0" w:color="auto"/>
              <w:right w:val="single" w:sz="4" w:space="0" w:color="auto"/>
            </w:tcBorders>
            <w:tcMar>
              <w:top w:w="0" w:type="dxa"/>
              <w:left w:w="86" w:type="dxa"/>
              <w:bottom w:w="43" w:type="dxa"/>
              <w:right w:w="86" w:type="dxa"/>
            </w:tcMar>
          </w:tcPr>
          <w:p w14:paraId="1F05FD6E" w14:textId="77777777" w:rsidR="00C7239F" w:rsidRPr="005D4222" w:rsidRDefault="00C7239F">
            <w:pPr>
              <w:pStyle w:val="ECDSBody"/>
            </w:pPr>
            <w:r w:rsidRPr="005D4222">
              <w:rPr>
                <w:b/>
              </w:rPr>
              <w:t>Persons with a glucose test or HbA1c test.</w:t>
            </w:r>
            <w:r w:rsidRPr="005D4222">
              <w:rPr>
                <w:b/>
                <w:bCs w:val="0"/>
              </w:rPr>
              <w:br/>
            </w:r>
            <w:r w:rsidRPr="005D4222">
              <w:t>Any of the following meet criteria:</w:t>
            </w:r>
          </w:p>
          <w:p w14:paraId="43D83164" w14:textId="77777777" w:rsidR="00C7239F" w:rsidRPr="005D4222" w:rsidRDefault="00C7239F" w:rsidP="00C7239F">
            <w:pPr>
              <w:pStyle w:val="Bullet"/>
              <w:numPr>
                <w:ilvl w:val="0"/>
                <w:numId w:val="4"/>
              </w:numPr>
              <w:tabs>
                <w:tab w:val="left" w:pos="360"/>
                <w:tab w:val="left" w:pos="576"/>
              </w:tabs>
              <w:ind w:left="576" w:hanging="216"/>
            </w:pPr>
            <w:r w:rsidRPr="005D4222">
              <w:rPr>
                <w:u w:val="single"/>
              </w:rPr>
              <w:t>Glucose Lab Test Value Set</w:t>
            </w:r>
            <w:r w:rsidRPr="005D4222">
              <w:t>.</w:t>
            </w:r>
          </w:p>
          <w:p w14:paraId="57EB95AE" w14:textId="77777777" w:rsidR="00C7239F" w:rsidRPr="005D4222" w:rsidRDefault="00C7239F" w:rsidP="00C7239F">
            <w:pPr>
              <w:pStyle w:val="Bullet"/>
              <w:numPr>
                <w:ilvl w:val="0"/>
                <w:numId w:val="4"/>
              </w:numPr>
              <w:tabs>
                <w:tab w:val="left" w:pos="360"/>
                <w:tab w:val="left" w:pos="576"/>
              </w:tabs>
              <w:ind w:left="576" w:hanging="216"/>
            </w:pPr>
            <w:r w:rsidRPr="005D4222">
              <w:rPr>
                <w:u w:val="single"/>
              </w:rPr>
              <w:t>Glucose Test Result or Finding Value Set</w:t>
            </w:r>
            <w:r w:rsidRPr="005D4222">
              <w:t xml:space="preserve">. </w:t>
            </w:r>
          </w:p>
          <w:p w14:paraId="03DA1193" w14:textId="77777777" w:rsidR="00C7239F" w:rsidRPr="005D4222" w:rsidRDefault="00C7239F" w:rsidP="00C7239F">
            <w:pPr>
              <w:pStyle w:val="Bullet"/>
              <w:numPr>
                <w:ilvl w:val="0"/>
                <w:numId w:val="4"/>
              </w:numPr>
              <w:tabs>
                <w:tab w:val="left" w:pos="360"/>
                <w:tab w:val="left" w:pos="576"/>
              </w:tabs>
              <w:ind w:left="576" w:hanging="216"/>
            </w:pPr>
            <w:r w:rsidRPr="005D4222">
              <w:rPr>
                <w:u w:val="single"/>
              </w:rPr>
              <w:t>HbA1c Lab Test Value Set</w:t>
            </w:r>
            <w:r w:rsidRPr="005D4222">
              <w:t>.</w:t>
            </w:r>
          </w:p>
          <w:p w14:paraId="5FE0F451" w14:textId="77777777" w:rsidR="00C7239F" w:rsidRPr="005D4222" w:rsidRDefault="00C7239F" w:rsidP="00C7239F">
            <w:pPr>
              <w:pStyle w:val="Bullet"/>
              <w:numPr>
                <w:ilvl w:val="0"/>
                <w:numId w:val="4"/>
              </w:numPr>
              <w:tabs>
                <w:tab w:val="left" w:pos="360"/>
                <w:tab w:val="left" w:pos="576"/>
              </w:tabs>
              <w:spacing w:after="80"/>
              <w:ind w:left="576" w:hanging="216"/>
              <w:rPr>
                <w:rFonts w:ascii="Calibri" w:hAnsi="Calibri" w:cs="Calibri"/>
              </w:rPr>
            </w:pPr>
            <w:r w:rsidRPr="005D4222">
              <w:rPr>
                <w:u w:val="single"/>
              </w:rPr>
              <w:t>HbA1c Test Result or Finding Value Set</w:t>
            </w:r>
            <w:r w:rsidRPr="005D4222">
              <w:t>*</w:t>
            </w:r>
            <w:r w:rsidRPr="005D4222">
              <w:rPr>
                <w:rFonts w:ascii="Arial Narrow" w:hAnsi="Arial Narrow" w:cs="Calibri"/>
                <w:position w:val="2"/>
              </w:rPr>
              <w:t>†</w:t>
            </w:r>
            <w:r w:rsidRPr="005D4222">
              <w:t>.</w:t>
            </w:r>
          </w:p>
          <w:p w14:paraId="54099EF1" w14:textId="77777777" w:rsidR="00C7239F" w:rsidRPr="005D4222" w:rsidRDefault="00C7239F">
            <w:pPr>
              <w:pStyle w:val="ECDSBody"/>
              <w:spacing w:after="0"/>
              <w:rPr>
                <w:b/>
                <w:bCs w:val="0"/>
              </w:rPr>
            </w:pPr>
            <w:r w:rsidRPr="005D4222">
              <w:rPr>
                <w:b/>
                <w:bCs w:val="0"/>
              </w:rPr>
              <w:t>Coding Guidance</w:t>
            </w:r>
          </w:p>
          <w:p w14:paraId="10236363" w14:textId="77777777" w:rsidR="00C7239F" w:rsidRPr="005D4222" w:rsidRDefault="00C7239F">
            <w:pPr>
              <w:pStyle w:val="ECDSBody"/>
              <w:spacing w:before="0" w:after="0"/>
            </w:pPr>
            <w:r w:rsidRPr="005D4222">
              <w:t>*</w:t>
            </w:r>
            <w:r w:rsidRPr="005D4222">
              <w:rPr>
                <w:rStyle w:val="BodyChar1"/>
              </w:rPr>
              <w:t>Do not include laboratory claims (claims with POS code 81). </w:t>
            </w:r>
          </w:p>
          <w:p w14:paraId="38A88CA8" w14:textId="77777777" w:rsidR="00C7239F" w:rsidRPr="005D4222" w:rsidRDefault="00C7239F">
            <w:pPr>
              <w:pStyle w:val="ECDSBody"/>
              <w:spacing w:before="0"/>
              <w:rPr>
                <w:rFonts w:ascii="Calibri" w:hAnsi="Calibri" w:cs="Calibri"/>
              </w:rPr>
            </w:pPr>
            <w:r w:rsidRPr="005D4222">
              <w:rPr>
                <w:rFonts w:ascii="Arial Narrow" w:hAnsi="Arial Narrow" w:cs="Calibri"/>
                <w:position w:val="2"/>
              </w:rPr>
              <w:t>†</w:t>
            </w:r>
            <w:r w:rsidRPr="005D4222">
              <w:t>Do not include codes with a modifier (</w:t>
            </w:r>
            <w:r w:rsidRPr="005D4222">
              <w:rPr>
                <w:u w:val="single"/>
              </w:rPr>
              <w:t>CPT CAT II Modifier Value Set</w:t>
            </w:r>
            <w:r w:rsidRPr="005D4222">
              <w:t>).</w:t>
            </w:r>
          </w:p>
        </w:tc>
      </w:tr>
      <w:tr w:rsidR="00C7239F" w:rsidRPr="005D4222" w14:paraId="449BC32C" w14:textId="77777777" w:rsidTr="00652945">
        <w:tc>
          <w:tcPr>
            <w:tcW w:w="2142"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9193EC5" w14:textId="77777777" w:rsidR="00C7239F" w:rsidRPr="005D4222" w:rsidRDefault="00C7239F">
            <w:pPr>
              <w:pStyle w:val="ECDSMarginHead"/>
            </w:pPr>
            <w:r w:rsidRPr="005D4222">
              <w:t>Summary of changes</w:t>
            </w:r>
          </w:p>
        </w:tc>
        <w:tc>
          <w:tcPr>
            <w:tcW w:w="7578"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88A16DB" w14:textId="77777777" w:rsidR="00C7239F" w:rsidRPr="005D4222" w:rsidRDefault="00C7239F" w:rsidP="00C7239F">
            <w:pPr>
              <w:pStyle w:val="ProcessBullet"/>
              <w:tabs>
                <w:tab w:val="left" w:pos="216"/>
              </w:tabs>
              <w:spacing w:before="120"/>
            </w:pPr>
            <w:r w:rsidRPr="005D4222">
              <w:t xml:space="preserve">No changes to this measure. </w:t>
            </w:r>
          </w:p>
        </w:tc>
      </w:tr>
    </w:tbl>
    <w:p w14:paraId="2FD52659" w14:textId="77777777" w:rsidR="00C7239F" w:rsidRPr="005D4222" w:rsidRDefault="00C7239F" w:rsidP="00C7239F">
      <w:pPr>
        <w:spacing w:after="160" w:line="259" w:lineRule="auto"/>
      </w:pPr>
      <w:r w:rsidRPr="005D4222">
        <w:br w:type="page"/>
      </w:r>
    </w:p>
    <w:tbl>
      <w:tblPr>
        <w:tblW w:w="9720"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61"/>
        <w:gridCol w:w="7559"/>
      </w:tblGrid>
      <w:tr w:rsidR="006439AD" w:rsidRPr="005D4222" w14:paraId="346B3F57" w14:textId="77777777">
        <w:tc>
          <w:tcPr>
            <w:tcW w:w="2161"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F2D0059" w14:textId="77777777" w:rsidR="00C7239F" w:rsidRPr="005D4222" w:rsidRDefault="00C7239F">
            <w:pPr>
              <w:pStyle w:val="ECDSMarginHead"/>
            </w:pPr>
            <w:r w:rsidRPr="005D4222">
              <w:lastRenderedPageBreak/>
              <w:t>Data element tables</w:t>
            </w:r>
          </w:p>
        </w:tc>
        <w:tc>
          <w:tcPr>
            <w:tcW w:w="7559"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C730BE9" w14:textId="77777777" w:rsidR="00C7239F" w:rsidRPr="005D4222" w:rsidDel="00D76DAC" w:rsidRDefault="00C7239F">
            <w:pPr>
              <w:pStyle w:val="ECDSBody"/>
            </w:pPr>
            <w:r w:rsidRPr="005D4222">
              <w:t>Organizations that submit HEDIS data to NCQA must provide the following data elements.</w:t>
            </w:r>
          </w:p>
          <w:p w14:paraId="049C9841" w14:textId="77777777" w:rsidR="00C7239F" w:rsidRPr="005D4222" w:rsidRDefault="00C7239F">
            <w:pPr>
              <w:pStyle w:val="Heading3"/>
              <w:spacing w:before="120"/>
            </w:pPr>
            <w:r w:rsidRPr="005D4222">
              <w:t>Table SSD-1: Data Elements for Diabetes Screening for People with Schizophrenia or Bipolar Disorder Who Are Using Antipsychotic Medications</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5"/>
              <w:gridCol w:w="2610"/>
              <w:gridCol w:w="1802"/>
            </w:tblGrid>
            <w:tr w:rsidR="00C7239F" w:rsidRPr="005D4222" w14:paraId="53F15F05" w14:textId="77777777">
              <w:trPr>
                <w:trHeight w:val="288"/>
              </w:trPr>
              <w:tc>
                <w:tcPr>
                  <w:tcW w:w="2965"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tcMar>
                    <w:left w:w="43" w:type="dxa"/>
                    <w:right w:w="43" w:type="dxa"/>
                  </w:tcMar>
                  <w:vAlign w:val="bottom"/>
                </w:tcPr>
                <w:p w14:paraId="0689A858" w14:textId="77777777" w:rsidR="00C7239F" w:rsidRPr="005D4222" w:rsidRDefault="00C7239F">
                  <w:pPr>
                    <w:pStyle w:val="TableHead"/>
                  </w:pPr>
                  <w:r w:rsidRPr="005D4222">
                    <w:t>Metric</w:t>
                  </w:r>
                </w:p>
              </w:tc>
              <w:tc>
                <w:tcPr>
                  <w:tcW w:w="261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43" w:type="dxa"/>
                    <w:right w:w="43" w:type="dxa"/>
                  </w:tcMar>
                  <w:vAlign w:val="bottom"/>
                </w:tcPr>
                <w:p w14:paraId="6A0BEA51" w14:textId="77777777" w:rsidR="00C7239F" w:rsidRPr="005D4222" w:rsidRDefault="00C7239F">
                  <w:pPr>
                    <w:pStyle w:val="TableHead"/>
                  </w:pPr>
                  <w:r w:rsidRPr="005D4222">
                    <w:t>Data Element</w:t>
                  </w:r>
                </w:p>
              </w:tc>
              <w:tc>
                <w:tcPr>
                  <w:tcW w:w="1802"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tcMar>
                    <w:left w:w="43" w:type="dxa"/>
                    <w:right w:w="43" w:type="dxa"/>
                  </w:tcMar>
                  <w:vAlign w:val="bottom"/>
                </w:tcPr>
                <w:p w14:paraId="66292806" w14:textId="77777777" w:rsidR="00C7239F" w:rsidRPr="005D4222" w:rsidRDefault="00C7239F">
                  <w:pPr>
                    <w:pStyle w:val="TableHead"/>
                  </w:pPr>
                  <w:r w:rsidRPr="005D4222">
                    <w:t>Reporting Instructions</w:t>
                  </w:r>
                </w:p>
              </w:tc>
            </w:tr>
            <w:tr w:rsidR="00C7239F" w:rsidRPr="005D4222" w14:paraId="2A4C6423" w14:textId="77777777">
              <w:trPr>
                <w:trHeight w:val="355"/>
              </w:trPr>
              <w:tc>
                <w:tcPr>
                  <w:tcW w:w="2965" w:type="dxa"/>
                  <w:tcBorders>
                    <w:top w:val="single" w:sz="4" w:space="0" w:color="000000" w:themeColor="text1"/>
                    <w:left w:val="single" w:sz="4" w:space="0" w:color="auto"/>
                    <w:bottom w:val="single" w:sz="4" w:space="0" w:color="auto"/>
                    <w:right w:val="single" w:sz="4" w:space="0" w:color="auto"/>
                  </w:tcBorders>
                  <w:tcMar>
                    <w:left w:w="43" w:type="dxa"/>
                    <w:right w:w="43" w:type="dxa"/>
                  </w:tcMar>
                </w:tcPr>
                <w:p w14:paraId="6DD731C8" w14:textId="77777777" w:rsidR="00C7239F" w:rsidRPr="005D4222" w:rsidRDefault="00C7239F">
                  <w:pPr>
                    <w:pStyle w:val="TableText"/>
                    <w:rPr>
                      <w:sz w:val="20"/>
                      <w:szCs w:val="20"/>
                    </w:rPr>
                  </w:pPr>
                  <w:r w:rsidRPr="005D4222">
                    <w:rPr>
                      <w:sz w:val="20"/>
                      <w:szCs w:val="20"/>
                    </w:rPr>
                    <w:t>DiabetesScreeningSchizophreniaUsingAntipsychotics</w:t>
                  </w:r>
                </w:p>
              </w:tc>
              <w:tc>
                <w:tcPr>
                  <w:tcW w:w="2610" w:type="dxa"/>
                  <w:tcBorders>
                    <w:top w:val="single" w:sz="4" w:space="0" w:color="000000" w:themeColor="text1"/>
                    <w:left w:val="single" w:sz="4" w:space="0" w:color="auto"/>
                    <w:bottom w:val="single" w:sz="4" w:space="0" w:color="auto"/>
                    <w:right w:val="single" w:sz="4" w:space="0" w:color="auto"/>
                  </w:tcBorders>
                  <w:tcMar>
                    <w:left w:w="43" w:type="dxa"/>
                    <w:right w:w="43" w:type="dxa"/>
                  </w:tcMar>
                </w:tcPr>
                <w:p w14:paraId="739DC63B" w14:textId="77777777" w:rsidR="00C7239F" w:rsidRPr="005D4222" w:rsidRDefault="00C7239F">
                  <w:pPr>
                    <w:pStyle w:val="TableText"/>
                    <w:rPr>
                      <w:sz w:val="20"/>
                      <w:szCs w:val="20"/>
                    </w:rPr>
                  </w:pPr>
                  <w:r w:rsidRPr="005D4222">
                    <w:rPr>
                      <w:sz w:val="20"/>
                      <w:szCs w:val="20"/>
                    </w:rPr>
                    <w:t>Benefit</w:t>
                  </w:r>
                </w:p>
              </w:tc>
              <w:tc>
                <w:tcPr>
                  <w:tcW w:w="1802" w:type="dxa"/>
                  <w:tcBorders>
                    <w:top w:val="single" w:sz="4" w:space="0" w:color="000000" w:themeColor="text1"/>
                    <w:left w:val="single" w:sz="4" w:space="0" w:color="auto"/>
                    <w:bottom w:val="single" w:sz="6" w:space="0" w:color="auto"/>
                    <w:right w:val="single" w:sz="4" w:space="0" w:color="auto"/>
                  </w:tcBorders>
                  <w:tcMar>
                    <w:left w:w="43" w:type="dxa"/>
                    <w:right w:w="43" w:type="dxa"/>
                  </w:tcMar>
                </w:tcPr>
                <w:p w14:paraId="06CAB9F3" w14:textId="77777777" w:rsidR="00C7239F" w:rsidRPr="005D4222" w:rsidRDefault="00C7239F">
                  <w:pPr>
                    <w:pStyle w:val="TableText"/>
                    <w:rPr>
                      <w:rFonts w:eastAsia="Wingdings"/>
                      <w:sz w:val="20"/>
                      <w:szCs w:val="20"/>
                    </w:rPr>
                  </w:pPr>
                  <w:r w:rsidRPr="005D4222">
                    <w:rPr>
                      <w:rFonts w:eastAsia="Wingdings"/>
                      <w:sz w:val="20"/>
                      <w:szCs w:val="20"/>
                    </w:rPr>
                    <w:t>Metadata</w:t>
                  </w:r>
                </w:p>
              </w:tc>
            </w:tr>
            <w:tr w:rsidR="00666A4A" w:rsidRPr="005D4222" w14:paraId="3052B2DF" w14:textId="77777777">
              <w:trPr>
                <w:trHeight w:val="365"/>
              </w:trPr>
              <w:tc>
                <w:tcPr>
                  <w:tcW w:w="2965" w:type="dxa"/>
                  <w:tcBorders>
                    <w:top w:val="single" w:sz="4" w:space="0" w:color="auto"/>
                    <w:left w:val="nil"/>
                    <w:bottom w:val="nil"/>
                    <w:right w:val="single" w:sz="4" w:space="0" w:color="auto"/>
                  </w:tcBorders>
                  <w:shd w:val="clear" w:color="auto" w:fill="FFFFFF" w:themeFill="background1"/>
                  <w:tcMar>
                    <w:left w:w="43" w:type="dxa"/>
                    <w:right w:w="43" w:type="dxa"/>
                  </w:tcMar>
                </w:tcPr>
                <w:p w14:paraId="4FAA69C8" w14:textId="77777777" w:rsidR="00C7239F" w:rsidRPr="005D4222" w:rsidRDefault="00C7239F">
                  <w:pPr>
                    <w:pStyle w:val="TableText"/>
                    <w:rPr>
                      <w:sz w:val="20"/>
                      <w:szCs w:val="20"/>
                    </w:rPr>
                  </w:pPr>
                </w:p>
              </w:tc>
              <w:tc>
                <w:tcPr>
                  <w:tcW w:w="2610" w:type="dxa"/>
                  <w:tcBorders>
                    <w:top w:val="single" w:sz="4" w:space="0" w:color="auto"/>
                    <w:left w:val="single" w:sz="4" w:space="0" w:color="auto"/>
                    <w:bottom w:val="single" w:sz="4" w:space="0" w:color="auto"/>
                    <w:right w:val="single" w:sz="4" w:space="0" w:color="auto"/>
                  </w:tcBorders>
                  <w:shd w:val="clear" w:color="auto" w:fill="FFFFFF" w:themeFill="background1"/>
                  <w:tcMar>
                    <w:left w:w="43" w:type="dxa"/>
                    <w:right w:w="43" w:type="dxa"/>
                  </w:tcMar>
                </w:tcPr>
                <w:p w14:paraId="57A8FA0B" w14:textId="77777777" w:rsidR="00C7239F" w:rsidRPr="005D4222" w:rsidRDefault="00C7239F">
                  <w:pPr>
                    <w:pStyle w:val="TableText"/>
                    <w:rPr>
                      <w:sz w:val="20"/>
                      <w:szCs w:val="20"/>
                    </w:rPr>
                  </w:pPr>
                  <w:r w:rsidRPr="005D4222">
                    <w:rPr>
                      <w:sz w:val="20"/>
                      <w:szCs w:val="20"/>
                    </w:rPr>
                    <w:t>InitialPopulation</w:t>
                  </w:r>
                </w:p>
              </w:tc>
              <w:tc>
                <w:tcPr>
                  <w:tcW w:w="1802" w:type="dxa"/>
                  <w:tcBorders>
                    <w:left w:val="single" w:sz="4" w:space="0" w:color="auto"/>
                    <w:right w:val="single" w:sz="4" w:space="0" w:color="auto"/>
                  </w:tcBorders>
                  <w:shd w:val="clear" w:color="auto" w:fill="FFFFFF" w:themeFill="background1"/>
                  <w:tcMar>
                    <w:left w:w="43" w:type="dxa"/>
                    <w:right w:w="43" w:type="dxa"/>
                  </w:tcMar>
                </w:tcPr>
                <w:p w14:paraId="088D506A" w14:textId="77777777" w:rsidR="00C7239F" w:rsidRPr="005D4222" w:rsidRDefault="00C7239F">
                  <w:pPr>
                    <w:pStyle w:val="TableText"/>
                    <w:rPr>
                      <w:rFonts w:eastAsia="Wingdings"/>
                      <w:sz w:val="20"/>
                      <w:szCs w:val="20"/>
                    </w:rPr>
                  </w:pPr>
                  <w:r w:rsidRPr="005D4222">
                    <w:rPr>
                      <w:rFonts w:eastAsia="Wingdings"/>
                      <w:sz w:val="20"/>
                      <w:szCs w:val="20"/>
                    </w:rPr>
                    <w:t>Report once</w:t>
                  </w:r>
                </w:p>
              </w:tc>
            </w:tr>
            <w:tr w:rsidR="00C7239F" w:rsidRPr="005D4222" w14:paraId="2629C8C6" w14:textId="77777777">
              <w:trPr>
                <w:trHeight w:val="365"/>
              </w:trPr>
              <w:tc>
                <w:tcPr>
                  <w:tcW w:w="2965" w:type="dxa"/>
                  <w:tcBorders>
                    <w:top w:val="nil"/>
                    <w:left w:val="nil"/>
                    <w:bottom w:val="nil"/>
                    <w:right w:val="single" w:sz="4" w:space="0" w:color="auto"/>
                  </w:tcBorders>
                  <w:shd w:val="clear" w:color="auto" w:fill="FFFFFF" w:themeFill="background1"/>
                  <w:tcMar>
                    <w:left w:w="43" w:type="dxa"/>
                    <w:right w:w="43" w:type="dxa"/>
                  </w:tcMar>
                </w:tcPr>
                <w:p w14:paraId="6FA4EFF9" w14:textId="77777777" w:rsidR="00C7239F" w:rsidRPr="005D4222" w:rsidRDefault="00C7239F">
                  <w:pPr>
                    <w:pStyle w:val="TableText"/>
                    <w:rPr>
                      <w:sz w:val="20"/>
                      <w:szCs w:val="20"/>
                    </w:rPr>
                  </w:pPr>
                </w:p>
              </w:tc>
              <w:tc>
                <w:tcPr>
                  <w:tcW w:w="2610" w:type="dxa"/>
                  <w:tcBorders>
                    <w:top w:val="single" w:sz="4" w:space="0" w:color="auto"/>
                    <w:left w:val="single" w:sz="4" w:space="0" w:color="auto"/>
                    <w:bottom w:val="single" w:sz="4" w:space="0" w:color="auto"/>
                    <w:right w:val="single" w:sz="4" w:space="0" w:color="auto"/>
                  </w:tcBorders>
                  <w:shd w:val="clear" w:color="auto" w:fill="FFFFFF" w:themeFill="background1"/>
                  <w:tcMar>
                    <w:left w:w="43" w:type="dxa"/>
                    <w:right w:w="43" w:type="dxa"/>
                  </w:tcMar>
                </w:tcPr>
                <w:p w14:paraId="259710EE" w14:textId="7E79FEE3" w:rsidR="00C7239F" w:rsidRPr="005D4222" w:rsidRDefault="00C7239F">
                  <w:pPr>
                    <w:pStyle w:val="TableText"/>
                    <w:rPr>
                      <w:sz w:val="20"/>
                      <w:szCs w:val="20"/>
                    </w:rPr>
                  </w:pPr>
                  <w:r w:rsidRPr="005D4222">
                    <w:rPr>
                      <w:sz w:val="20"/>
                      <w:szCs w:val="20"/>
                    </w:rPr>
                    <w:t>Exclusions</w:t>
                  </w:r>
                </w:p>
              </w:tc>
              <w:tc>
                <w:tcPr>
                  <w:tcW w:w="1802" w:type="dxa"/>
                  <w:tcBorders>
                    <w:left w:val="single" w:sz="4" w:space="0" w:color="auto"/>
                    <w:right w:val="single" w:sz="4" w:space="0" w:color="auto"/>
                  </w:tcBorders>
                  <w:shd w:val="clear" w:color="auto" w:fill="FFFFFF" w:themeFill="background1"/>
                  <w:tcMar>
                    <w:left w:w="43" w:type="dxa"/>
                    <w:right w:w="43" w:type="dxa"/>
                  </w:tcMar>
                </w:tcPr>
                <w:p w14:paraId="2F713C79" w14:textId="77777777" w:rsidR="00C7239F" w:rsidRPr="005D4222" w:rsidRDefault="00C7239F">
                  <w:pPr>
                    <w:pStyle w:val="TableText"/>
                    <w:rPr>
                      <w:rFonts w:eastAsia="Wingdings"/>
                      <w:sz w:val="20"/>
                      <w:szCs w:val="20"/>
                    </w:rPr>
                  </w:pPr>
                  <w:r w:rsidRPr="005D4222">
                    <w:rPr>
                      <w:rFonts w:eastAsia="Wingdings"/>
                      <w:sz w:val="20"/>
                      <w:szCs w:val="20"/>
                    </w:rPr>
                    <w:t>Report once</w:t>
                  </w:r>
                </w:p>
              </w:tc>
            </w:tr>
            <w:tr w:rsidR="00C7239F" w:rsidRPr="005D4222" w14:paraId="6D7E700A" w14:textId="77777777">
              <w:trPr>
                <w:trHeight w:val="365"/>
              </w:trPr>
              <w:tc>
                <w:tcPr>
                  <w:tcW w:w="2965" w:type="dxa"/>
                  <w:tcBorders>
                    <w:top w:val="nil"/>
                    <w:left w:val="nil"/>
                    <w:bottom w:val="nil"/>
                    <w:right w:val="single" w:sz="4" w:space="0" w:color="auto"/>
                  </w:tcBorders>
                  <w:shd w:val="clear" w:color="auto" w:fill="FFFFFF" w:themeFill="background1"/>
                  <w:tcMar>
                    <w:left w:w="43" w:type="dxa"/>
                    <w:right w:w="43" w:type="dxa"/>
                  </w:tcMar>
                </w:tcPr>
                <w:p w14:paraId="2C080D1A" w14:textId="77777777" w:rsidR="00C7239F" w:rsidRPr="005D4222" w:rsidRDefault="00C7239F">
                  <w:pPr>
                    <w:pStyle w:val="TableText"/>
                    <w:rPr>
                      <w:sz w:val="20"/>
                      <w:szCs w:val="20"/>
                    </w:rPr>
                  </w:pPr>
                </w:p>
              </w:tc>
              <w:tc>
                <w:tcPr>
                  <w:tcW w:w="2610" w:type="dxa"/>
                  <w:tcBorders>
                    <w:top w:val="single" w:sz="4" w:space="0" w:color="auto"/>
                    <w:left w:val="single" w:sz="4" w:space="0" w:color="auto"/>
                    <w:bottom w:val="single" w:sz="4" w:space="0" w:color="auto"/>
                    <w:right w:val="single" w:sz="4" w:space="0" w:color="auto"/>
                  </w:tcBorders>
                  <w:shd w:val="clear" w:color="auto" w:fill="FFFFFF" w:themeFill="background1"/>
                  <w:tcMar>
                    <w:left w:w="43" w:type="dxa"/>
                    <w:right w:w="43" w:type="dxa"/>
                  </w:tcMar>
                </w:tcPr>
                <w:p w14:paraId="4BEB68A0" w14:textId="77777777" w:rsidR="00C7239F" w:rsidRPr="005D4222" w:rsidRDefault="00C7239F">
                  <w:pPr>
                    <w:pStyle w:val="TableText"/>
                    <w:rPr>
                      <w:sz w:val="20"/>
                      <w:szCs w:val="20"/>
                    </w:rPr>
                  </w:pPr>
                  <w:r w:rsidRPr="005D4222">
                    <w:rPr>
                      <w:sz w:val="20"/>
                      <w:szCs w:val="20"/>
                    </w:rPr>
                    <w:t>Denominator</w:t>
                  </w:r>
                </w:p>
              </w:tc>
              <w:tc>
                <w:tcPr>
                  <w:tcW w:w="1802" w:type="dxa"/>
                  <w:tcBorders>
                    <w:left w:val="single" w:sz="4" w:space="0" w:color="auto"/>
                    <w:right w:val="single" w:sz="4" w:space="0" w:color="auto"/>
                  </w:tcBorders>
                  <w:shd w:val="clear" w:color="auto" w:fill="FFFFFF" w:themeFill="background1"/>
                  <w:tcMar>
                    <w:left w:w="43" w:type="dxa"/>
                    <w:right w:w="43" w:type="dxa"/>
                  </w:tcMar>
                </w:tcPr>
                <w:p w14:paraId="21199539" w14:textId="77777777" w:rsidR="00C7239F" w:rsidRPr="005D4222" w:rsidRDefault="00C7239F">
                  <w:pPr>
                    <w:pStyle w:val="TableText"/>
                    <w:rPr>
                      <w:rFonts w:eastAsia="Wingdings"/>
                      <w:sz w:val="20"/>
                      <w:szCs w:val="20"/>
                    </w:rPr>
                  </w:pPr>
                  <w:r w:rsidRPr="005D4222">
                    <w:rPr>
                      <w:rFonts w:eastAsia="Wingdings"/>
                      <w:sz w:val="20"/>
                      <w:szCs w:val="20"/>
                    </w:rPr>
                    <w:t>Report once</w:t>
                  </w:r>
                </w:p>
              </w:tc>
            </w:tr>
            <w:tr w:rsidR="00666A4A" w:rsidRPr="005D4222" w14:paraId="03CFA123" w14:textId="77777777">
              <w:trPr>
                <w:trHeight w:val="365"/>
              </w:trPr>
              <w:tc>
                <w:tcPr>
                  <w:tcW w:w="2965" w:type="dxa"/>
                  <w:tcBorders>
                    <w:top w:val="nil"/>
                    <w:left w:val="nil"/>
                    <w:bottom w:val="nil"/>
                    <w:right w:val="single" w:sz="4" w:space="0" w:color="auto"/>
                  </w:tcBorders>
                  <w:shd w:val="clear" w:color="auto" w:fill="FFFFFF" w:themeFill="background1"/>
                  <w:tcMar>
                    <w:left w:w="43" w:type="dxa"/>
                    <w:right w:w="43" w:type="dxa"/>
                  </w:tcMar>
                </w:tcPr>
                <w:p w14:paraId="269D22A6" w14:textId="77777777" w:rsidR="00C7239F" w:rsidRPr="005D4222" w:rsidRDefault="00C7239F">
                  <w:pPr>
                    <w:pStyle w:val="TableText"/>
                    <w:rPr>
                      <w:sz w:val="20"/>
                      <w:szCs w:val="20"/>
                    </w:rPr>
                  </w:pPr>
                </w:p>
              </w:tc>
              <w:tc>
                <w:tcPr>
                  <w:tcW w:w="2610" w:type="dxa"/>
                  <w:tcBorders>
                    <w:top w:val="single" w:sz="4" w:space="0" w:color="auto"/>
                    <w:left w:val="single" w:sz="4" w:space="0" w:color="auto"/>
                    <w:bottom w:val="single" w:sz="4" w:space="0" w:color="auto"/>
                    <w:right w:val="single" w:sz="4" w:space="0" w:color="auto"/>
                  </w:tcBorders>
                  <w:shd w:val="clear" w:color="auto" w:fill="FFFFFF" w:themeFill="background1"/>
                  <w:tcMar>
                    <w:left w:w="43" w:type="dxa"/>
                    <w:right w:w="43" w:type="dxa"/>
                  </w:tcMar>
                </w:tcPr>
                <w:p w14:paraId="75470D3F" w14:textId="77777777" w:rsidR="00C7239F" w:rsidRPr="005D4222" w:rsidRDefault="00C7239F">
                  <w:pPr>
                    <w:pStyle w:val="TableText"/>
                    <w:rPr>
                      <w:sz w:val="20"/>
                      <w:szCs w:val="20"/>
                    </w:rPr>
                  </w:pPr>
                  <w:r w:rsidRPr="005D4222">
                    <w:rPr>
                      <w:sz w:val="20"/>
                      <w:szCs w:val="20"/>
                    </w:rPr>
                    <w:t>NumeratorByAdmin</w:t>
                  </w:r>
                </w:p>
              </w:tc>
              <w:tc>
                <w:tcPr>
                  <w:tcW w:w="1802" w:type="dxa"/>
                  <w:tcBorders>
                    <w:left w:val="single" w:sz="4" w:space="0" w:color="auto"/>
                    <w:bottom w:val="single" w:sz="6" w:space="0" w:color="auto"/>
                    <w:right w:val="single" w:sz="4" w:space="0" w:color="auto"/>
                  </w:tcBorders>
                  <w:shd w:val="clear" w:color="auto" w:fill="FFFFFF" w:themeFill="background1"/>
                  <w:tcMar>
                    <w:left w:w="43" w:type="dxa"/>
                    <w:right w:w="43" w:type="dxa"/>
                  </w:tcMar>
                </w:tcPr>
                <w:p w14:paraId="41D42D03" w14:textId="77777777" w:rsidR="00C7239F" w:rsidRPr="005D4222" w:rsidRDefault="00C7239F">
                  <w:pPr>
                    <w:pStyle w:val="TableText"/>
                    <w:rPr>
                      <w:rFonts w:eastAsia="Wingdings"/>
                      <w:sz w:val="20"/>
                      <w:szCs w:val="20"/>
                    </w:rPr>
                  </w:pPr>
                  <w:r w:rsidRPr="005D4222">
                    <w:rPr>
                      <w:rFonts w:eastAsia="Wingdings"/>
                      <w:sz w:val="20"/>
                      <w:szCs w:val="20"/>
                    </w:rPr>
                    <w:t>Report once</w:t>
                  </w:r>
                </w:p>
              </w:tc>
            </w:tr>
            <w:tr w:rsidR="00666A4A" w:rsidRPr="005D4222" w14:paraId="2527B064" w14:textId="77777777">
              <w:trPr>
                <w:trHeight w:val="365"/>
              </w:trPr>
              <w:tc>
                <w:tcPr>
                  <w:tcW w:w="2965" w:type="dxa"/>
                  <w:tcBorders>
                    <w:top w:val="nil"/>
                    <w:left w:val="nil"/>
                    <w:bottom w:val="nil"/>
                    <w:right w:val="single" w:sz="4" w:space="0" w:color="auto"/>
                  </w:tcBorders>
                  <w:shd w:val="clear" w:color="auto" w:fill="FFFFFF" w:themeFill="background1"/>
                  <w:tcMar>
                    <w:left w:w="43" w:type="dxa"/>
                    <w:right w:w="43" w:type="dxa"/>
                  </w:tcMar>
                </w:tcPr>
                <w:p w14:paraId="4F657569" w14:textId="77777777" w:rsidR="00C7239F" w:rsidRPr="005D4222" w:rsidRDefault="00C7239F">
                  <w:pPr>
                    <w:pStyle w:val="TableText"/>
                    <w:rPr>
                      <w:sz w:val="20"/>
                      <w:szCs w:val="20"/>
                    </w:rPr>
                  </w:pPr>
                </w:p>
              </w:tc>
              <w:tc>
                <w:tcPr>
                  <w:tcW w:w="2610" w:type="dxa"/>
                  <w:tcBorders>
                    <w:top w:val="single" w:sz="4" w:space="0" w:color="auto"/>
                    <w:left w:val="single" w:sz="4" w:space="0" w:color="auto"/>
                    <w:bottom w:val="single" w:sz="4" w:space="0" w:color="auto"/>
                    <w:right w:val="single" w:sz="4" w:space="0" w:color="auto"/>
                  </w:tcBorders>
                  <w:shd w:val="clear" w:color="auto" w:fill="FFFFFF" w:themeFill="background1"/>
                  <w:tcMar>
                    <w:left w:w="43" w:type="dxa"/>
                    <w:right w:w="43" w:type="dxa"/>
                  </w:tcMar>
                </w:tcPr>
                <w:p w14:paraId="025611BE" w14:textId="77777777" w:rsidR="00C7239F" w:rsidRPr="005D4222" w:rsidRDefault="00C7239F">
                  <w:pPr>
                    <w:pStyle w:val="TableText"/>
                    <w:rPr>
                      <w:sz w:val="20"/>
                      <w:szCs w:val="20"/>
                    </w:rPr>
                  </w:pPr>
                  <w:r w:rsidRPr="005D4222">
                    <w:rPr>
                      <w:sz w:val="20"/>
                      <w:szCs w:val="20"/>
                    </w:rPr>
                    <w:t>NumeratorBySupplemental</w:t>
                  </w:r>
                </w:p>
              </w:tc>
              <w:tc>
                <w:tcPr>
                  <w:tcW w:w="1802" w:type="dxa"/>
                  <w:tcBorders>
                    <w:left w:val="single" w:sz="4" w:space="0" w:color="auto"/>
                    <w:bottom w:val="single" w:sz="6" w:space="0" w:color="auto"/>
                    <w:right w:val="single" w:sz="4" w:space="0" w:color="auto"/>
                  </w:tcBorders>
                  <w:shd w:val="clear" w:color="auto" w:fill="FFFFFF" w:themeFill="background1"/>
                  <w:tcMar>
                    <w:left w:w="43" w:type="dxa"/>
                    <w:right w:w="43" w:type="dxa"/>
                  </w:tcMar>
                </w:tcPr>
                <w:p w14:paraId="3AF35C46" w14:textId="77777777" w:rsidR="00C7239F" w:rsidRPr="005D4222" w:rsidRDefault="00C7239F">
                  <w:pPr>
                    <w:pStyle w:val="TableText"/>
                    <w:rPr>
                      <w:rFonts w:eastAsia="Wingdings"/>
                      <w:sz w:val="20"/>
                      <w:szCs w:val="20"/>
                    </w:rPr>
                  </w:pPr>
                  <w:r w:rsidRPr="005D4222">
                    <w:rPr>
                      <w:rFonts w:eastAsia="Wingdings"/>
                      <w:sz w:val="20"/>
                      <w:szCs w:val="20"/>
                    </w:rPr>
                    <w:t>Report once</w:t>
                  </w:r>
                </w:p>
              </w:tc>
            </w:tr>
            <w:tr w:rsidR="00666A4A" w:rsidRPr="005D4222" w14:paraId="66ABAA4A" w14:textId="77777777">
              <w:trPr>
                <w:trHeight w:val="377"/>
              </w:trPr>
              <w:tc>
                <w:tcPr>
                  <w:tcW w:w="2965" w:type="dxa"/>
                  <w:tcBorders>
                    <w:top w:val="nil"/>
                    <w:left w:val="nil"/>
                    <w:bottom w:val="nil"/>
                    <w:right w:val="single" w:sz="4" w:space="0" w:color="auto"/>
                  </w:tcBorders>
                  <w:shd w:val="clear" w:color="auto" w:fill="FFFFFF" w:themeFill="background1"/>
                  <w:tcMar>
                    <w:left w:w="43" w:type="dxa"/>
                    <w:right w:w="43" w:type="dxa"/>
                  </w:tcMar>
                </w:tcPr>
                <w:p w14:paraId="7EA6B754" w14:textId="77777777" w:rsidR="00C7239F" w:rsidRPr="005D4222" w:rsidRDefault="00C7239F">
                  <w:pPr>
                    <w:pStyle w:val="TableText"/>
                    <w:rPr>
                      <w:sz w:val="20"/>
                      <w:szCs w:val="20"/>
                    </w:rPr>
                  </w:pPr>
                </w:p>
              </w:tc>
              <w:tc>
                <w:tcPr>
                  <w:tcW w:w="26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43" w:type="dxa"/>
                    <w:right w:w="43" w:type="dxa"/>
                  </w:tcMar>
                </w:tcPr>
                <w:p w14:paraId="5CD40AE6" w14:textId="77777777" w:rsidR="00C7239F" w:rsidRPr="005D4222" w:rsidRDefault="00C7239F">
                  <w:pPr>
                    <w:pStyle w:val="TableText"/>
                    <w:rPr>
                      <w:sz w:val="20"/>
                      <w:szCs w:val="20"/>
                    </w:rPr>
                  </w:pPr>
                  <w:r w:rsidRPr="005D4222">
                    <w:rPr>
                      <w:sz w:val="20"/>
                      <w:szCs w:val="20"/>
                    </w:rPr>
                    <w:t>Rate</w:t>
                  </w:r>
                </w:p>
              </w:tc>
              <w:tc>
                <w:tcPr>
                  <w:tcW w:w="1802" w:type="dxa"/>
                  <w:tcBorders>
                    <w:left w:val="single" w:sz="4" w:space="0" w:color="auto"/>
                    <w:bottom w:val="single" w:sz="6" w:space="0" w:color="auto"/>
                    <w:right w:val="single" w:sz="4" w:space="0" w:color="auto"/>
                  </w:tcBorders>
                  <w:shd w:val="clear" w:color="auto" w:fill="D9D9D9" w:themeFill="background1" w:themeFillShade="D9"/>
                  <w:tcMar>
                    <w:left w:w="43" w:type="dxa"/>
                    <w:right w:w="43" w:type="dxa"/>
                  </w:tcMar>
                </w:tcPr>
                <w:p w14:paraId="4DB2FD49" w14:textId="77777777" w:rsidR="00C7239F" w:rsidRPr="005D4222" w:rsidRDefault="00C7239F">
                  <w:pPr>
                    <w:pStyle w:val="TableText"/>
                    <w:rPr>
                      <w:rFonts w:eastAsia="Wingdings"/>
                      <w:sz w:val="20"/>
                      <w:szCs w:val="20"/>
                    </w:rPr>
                  </w:pPr>
                  <w:r w:rsidRPr="005D4222">
                    <w:rPr>
                      <w:rFonts w:eastAsia="Wingdings"/>
                      <w:sz w:val="20"/>
                      <w:szCs w:val="20"/>
                    </w:rPr>
                    <w:t>(Percent)</w:t>
                  </w:r>
                </w:p>
              </w:tc>
            </w:tr>
          </w:tbl>
          <w:p w14:paraId="62B0D1BE" w14:textId="77777777" w:rsidR="00C7239F" w:rsidRPr="005D4222" w:rsidRDefault="00C7239F">
            <w:pPr>
              <w:pStyle w:val="ProcessDash"/>
              <w:numPr>
                <w:ilvl w:val="0"/>
                <w:numId w:val="0"/>
              </w:numPr>
              <w:rPr>
                <w:color w:val="000000" w:themeColor="text1"/>
                <w:highlight w:val="yellow"/>
              </w:rPr>
            </w:pPr>
          </w:p>
        </w:tc>
      </w:tr>
      <w:tr w:rsidR="006439AD" w:rsidRPr="005D4222" w14:paraId="571C73A6" w14:textId="77777777">
        <w:tc>
          <w:tcPr>
            <w:tcW w:w="2161"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169B3DE" w14:textId="77777777" w:rsidR="00C7239F" w:rsidRPr="005D4222" w:rsidRDefault="00C7239F">
            <w:pPr>
              <w:pStyle w:val="ECDSMarginHead"/>
            </w:pPr>
            <w:r w:rsidRPr="005D4222">
              <w:t>Rules for Allowable Adjustments</w:t>
            </w:r>
          </w:p>
        </w:tc>
        <w:tc>
          <w:tcPr>
            <w:tcW w:w="7559"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F25F529" w14:textId="77777777" w:rsidR="00C7239F" w:rsidRPr="005D4222" w:rsidRDefault="00C7239F">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0E3AF180" w14:textId="77777777" w:rsidR="00C7239F" w:rsidRPr="005D4222" w:rsidRDefault="00C7239F">
            <w:pPr>
              <w:pStyle w:val="ECDSBody"/>
              <w:rPr>
                <w:b/>
              </w:rPr>
            </w:pPr>
            <w:r w:rsidRPr="005D4222">
              <w:rPr>
                <w:b/>
              </w:rPr>
              <w:t>Adjusted HEDIS measures may not be used for HEDIS health plan reporting.</w:t>
            </w:r>
          </w:p>
          <w:p w14:paraId="064F798B" w14:textId="77777777" w:rsidR="00C7239F" w:rsidRPr="005D4222" w:rsidRDefault="00C7239F">
            <w:pPr>
              <w:pStyle w:val="Adjustments"/>
              <w:rPr>
                <w:b w:val="0"/>
              </w:rPr>
            </w:pPr>
            <w:r w:rsidRPr="005D4222">
              <w:t>Adjustments</w:t>
            </w:r>
            <w:r w:rsidRPr="005D4222">
              <w:rPr>
                <w:bCs/>
              </w:rPr>
              <w:t xml:space="preserve"> a</w:t>
            </w:r>
            <w:r w:rsidRPr="005D4222">
              <w:t>llowed</w:t>
            </w:r>
          </w:p>
          <w:p w14:paraId="31F68C42" w14:textId="4FEAE17D" w:rsidR="00C7239F" w:rsidRPr="005D4222" w:rsidRDefault="00C7239F" w:rsidP="00C7239F">
            <w:pPr>
              <w:pStyle w:val="ProcessBullet"/>
              <w:numPr>
                <w:ilvl w:val="0"/>
                <w:numId w:val="51"/>
              </w:numPr>
              <w:tabs>
                <w:tab w:val="left" w:pos="216"/>
              </w:tabs>
              <w:ind w:left="216" w:hanging="216"/>
              <w:rPr>
                <w:b/>
                <w:bCs/>
                <w:color w:val="000000" w:themeColor="text1"/>
              </w:rPr>
            </w:pPr>
            <w:r w:rsidRPr="005D4222">
              <w:rPr>
                <w:i/>
              </w:rPr>
              <w:t xml:space="preserve">Product lines. </w:t>
            </w:r>
            <w:r w:rsidRPr="005D4222">
              <w:t>Organizations are not required to use product line criteria; product lines may be combined</w:t>
            </w:r>
            <w:r w:rsidR="00E8671F" w:rsidRPr="005D4222">
              <w:t>,</w:t>
            </w:r>
            <w:r w:rsidRPr="005D4222">
              <w:t xml:space="preserve"> and all (or no) product line criteria may be used.</w:t>
            </w:r>
          </w:p>
          <w:p w14:paraId="5A6F93BF" w14:textId="77777777" w:rsidR="00C7239F" w:rsidRPr="005D4222" w:rsidRDefault="00C7239F" w:rsidP="00C7239F">
            <w:pPr>
              <w:pStyle w:val="ProcessBullet"/>
              <w:numPr>
                <w:ilvl w:val="0"/>
                <w:numId w:val="51"/>
              </w:numPr>
              <w:tabs>
                <w:tab w:val="left" w:pos="216"/>
              </w:tabs>
              <w:ind w:left="216" w:hanging="216"/>
              <w:rPr>
                <w:b/>
                <w:bCs/>
                <w:color w:val="000000" w:themeColor="text1"/>
              </w:rPr>
            </w:pPr>
            <w:r w:rsidRPr="005D4222">
              <w:rPr>
                <w:i/>
              </w:rPr>
              <w:t>Attribution.</w:t>
            </w:r>
            <w:r w:rsidRPr="005D4222">
              <w:t xml:space="preserve"> Organizations are not required to use enrollment criteria. </w:t>
            </w:r>
          </w:p>
          <w:p w14:paraId="0583E314" w14:textId="4D318785" w:rsidR="00C7239F" w:rsidRPr="005D4222" w:rsidRDefault="00362E76" w:rsidP="00C7239F">
            <w:pPr>
              <w:pStyle w:val="ProcessBullet"/>
              <w:numPr>
                <w:ilvl w:val="0"/>
                <w:numId w:val="51"/>
              </w:numPr>
              <w:tabs>
                <w:tab w:val="left" w:pos="216"/>
              </w:tabs>
              <w:spacing w:after="80"/>
              <w:ind w:left="216" w:hanging="216"/>
              <w:rPr>
                <w:b/>
                <w:bCs/>
                <w:color w:val="000000" w:themeColor="text1"/>
              </w:rPr>
            </w:pPr>
            <w:r w:rsidRPr="005D4222">
              <w:rPr>
                <w:i/>
              </w:rPr>
              <w:t>Benefits.</w:t>
            </w:r>
            <w:r w:rsidR="00C7239F" w:rsidRPr="005D4222">
              <w:t xml:space="preserve"> Organizations are not required to use a benefit.</w:t>
            </w:r>
          </w:p>
          <w:p w14:paraId="2FAB1DD4" w14:textId="11ECF6D3" w:rsidR="00C7239F" w:rsidRPr="005D4222" w:rsidRDefault="00C7239F" w:rsidP="00C7239F">
            <w:pPr>
              <w:pStyle w:val="ProcessBullet"/>
              <w:numPr>
                <w:ilvl w:val="0"/>
                <w:numId w:val="51"/>
              </w:numPr>
              <w:tabs>
                <w:tab w:val="left" w:pos="216"/>
              </w:tabs>
              <w:ind w:left="216" w:hanging="216"/>
              <w:rPr>
                <w:b/>
                <w:bCs/>
                <w:color w:val="000000" w:themeColor="text1"/>
              </w:rPr>
            </w:pPr>
            <w:r w:rsidRPr="005D4222">
              <w:rPr>
                <w:i/>
              </w:rPr>
              <w:t>Other.</w:t>
            </w:r>
            <w:r w:rsidRPr="005D4222">
              <w:t xml:space="preserve"> Organizations may use additional initial population criteria to focus on an area of interest as defined by gender, race, ethnicity, socioeconomic or sociodemographic </w:t>
            </w:r>
            <w:r w:rsidR="00F31C68" w:rsidRPr="005D4222">
              <w:t>characteristics</w:t>
            </w:r>
            <w:r w:rsidRPr="005D4222">
              <w:t>, geographic region or another characteristic.</w:t>
            </w:r>
          </w:p>
          <w:p w14:paraId="52A42442" w14:textId="77777777" w:rsidR="00C7239F" w:rsidRPr="005D4222" w:rsidRDefault="00C7239F" w:rsidP="00C7239F">
            <w:pPr>
              <w:pStyle w:val="ProcessBullet"/>
              <w:numPr>
                <w:ilvl w:val="0"/>
                <w:numId w:val="51"/>
              </w:numPr>
              <w:tabs>
                <w:tab w:val="left" w:pos="216"/>
              </w:tabs>
              <w:ind w:left="216" w:hanging="216"/>
              <w:rPr>
                <w:b/>
                <w:bCs/>
                <w:color w:val="000000" w:themeColor="text1"/>
              </w:rPr>
            </w:pPr>
            <w:r w:rsidRPr="005D4222">
              <w:rPr>
                <w:i/>
              </w:rPr>
              <w:t xml:space="preserve">Measurement </w:t>
            </w:r>
            <w:r w:rsidRPr="005D4222">
              <w:rPr>
                <w:i/>
                <w:iCs/>
              </w:rPr>
              <w:t>period a</w:t>
            </w:r>
            <w:r w:rsidRPr="005D4222">
              <w:rPr>
                <w:i/>
              </w:rPr>
              <w:t>djustments.</w:t>
            </w:r>
            <w:r w:rsidRPr="005D4222">
              <w:t xml:space="preserve"> Organizations may adjust the measurement period. </w:t>
            </w:r>
          </w:p>
          <w:p w14:paraId="7E0FD46F" w14:textId="0B728BF5" w:rsidR="00C7239F" w:rsidRPr="005D4222" w:rsidRDefault="00C7239F" w:rsidP="00C7239F">
            <w:pPr>
              <w:pStyle w:val="ProcessBullet"/>
              <w:numPr>
                <w:ilvl w:val="0"/>
                <w:numId w:val="51"/>
              </w:numPr>
              <w:tabs>
                <w:tab w:val="left" w:pos="216"/>
              </w:tabs>
              <w:ind w:left="216" w:hanging="216"/>
              <w:rPr>
                <w:b/>
                <w:bCs/>
                <w:color w:val="000000" w:themeColor="text1"/>
              </w:rPr>
            </w:pPr>
            <w:r w:rsidRPr="005D4222">
              <w:rPr>
                <w:i/>
              </w:rPr>
              <w:t>Exclusions.</w:t>
            </w:r>
            <w:r w:rsidRPr="005D4222">
              <w:t xml:space="preserve"> The hospice and deceased </w:t>
            </w:r>
            <w:r w:rsidR="002B5FBD" w:rsidRPr="005D4222">
              <w:t>persons</w:t>
            </w:r>
            <w:r w:rsidRPr="005D4222">
              <w:t xml:space="preserve"> exclusion</w:t>
            </w:r>
            <w:r w:rsidR="002B5FBD" w:rsidRPr="005D4222">
              <w:t>s</w:t>
            </w:r>
            <w:r w:rsidRPr="005D4222">
              <w:t xml:space="preserve"> are not required.</w:t>
            </w:r>
          </w:p>
          <w:p w14:paraId="4055AC12" w14:textId="016F2D10" w:rsidR="00C7239F" w:rsidRPr="005D4222" w:rsidRDefault="00C7239F" w:rsidP="00C7239F">
            <w:pPr>
              <w:pStyle w:val="ProcessBullet"/>
              <w:tabs>
                <w:tab w:val="left" w:pos="216"/>
              </w:tabs>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w:t>
            </w:r>
            <w:r w:rsidR="00F45777" w:rsidRPr="005D4222">
              <w:t>events</w:t>
            </w:r>
            <w:r w:rsidRPr="005D4222">
              <w:t>, numerators and exclusions that do not allow the use of telehealth.</w:t>
            </w:r>
          </w:p>
          <w:p w14:paraId="31B71139" w14:textId="77777777" w:rsidR="00C7239F" w:rsidRPr="005D4222" w:rsidRDefault="00C7239F" w:rsidP="00C7239F">
            <w:pPr>
              <w:pStyle w:val="ProcessBullet"/>
              <w:tabs>
                <w:tab w:val="left" w:pos="216"/>
              </w:tabs>
              <w:spacing w:after="80"/>
              <w:rPr>
                <w:b/>
                <w:bCs/>
                <w:color w:val="000000" w:themeColor="text1"/>
              </w:rPr>
            </w:pPr>
            <w:r w:rsidRPr="005D4222">
              <w:rPr>
                <w:i/>
                <w:iCs/>
                <w:color w:val="000000" w:themeColor="text1"/>
              </w:rPr>
              <w:t>Supplemental data.</w:t>
            </w:r>
            <w:r w:rsidRPr="005D4222">
              <w:rPr>
                <w:color w:val="000000" w:themeColor="text1"/>
              </w:rPr>
              <w:t xml:space="preserve"> Supplemental data may be used to identify initial population, denominator, exclusion and numerator events.</w:t>
            </w:r>
          </w:p>
        </w:tc>
      </w:tr>
    </w:tbl>
    <w:p w14:paraId="466C256C" w14:textId="77777777" w:rsidR="00C7239F" w:rsidRPr="005D4222" w:rsidRDefault="00C7239F" w:rsidP="00C7239F">
      <w:pPr>
        <w:spacing w:after="160" w:line="259" w:lineRule="auto"/>
      </w:pPr>
      <w:r w:rsidRPr="005D4222">
        <w:br w:type="page"/>
      </w:r>
    </w:p>
    <w:tbl>
      <w:tblPr>
        <w:tblW w:w="9720"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61"/>
        <w:gridCol w:w="7559"/>
      </w:tblGrid>
      <w:tr w:rsidR="006439AD" w:rsidRPr="005D4222" w14:paraId="1094270B" w14:textId="77777777">
        <w:tc>
          <w:tcPr>
            <w:tcW w:w="2161"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DE47295" w14:textId="77777777" w:rsidR="00C7239F" w:rsidRPr="005D4222" w:rsidRDefault="00C7239F">
            <w:pPr>
              <w:pStyle w:val="ECDSMarginHead"/>
            </w:pPr>
          </w:p>
        </w:tc>
        <w:tc>
          <w:tcPr>
            <w:tcW w:w="7559"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00C8983" w14:textId="77777777" w:rsidR="00C7239F" w:rsidRPr="005D4222" w:rsidRDefault="00C7239F" w:rsidP="00523BCA">
            <w:pPr>
              <w:pStyle w:val="Adjustments"/>
              <w:spacing w:before="120"/>
              <w:rPr>
                <w:b w:val="0"/>
              </w:rPr>
            </w:pPr>
            <w:r w:rsidRPr="005D4222">
              <w:t xml:space="preserve">Adjustments </w:t>
            </w:r>
            <w:r w:rsidRPr="005D4222">
              <w:rPr>
                <w:bCs/>
              </w:rPr>
              <w:t>a</w:t>
            </w:r>
            <w:r w:rsidRPr="005D4222">
              <w:t xml:space="preserve">llowed with </w:t>
            </w:r>
            <w:r w:rsidRPr="005D4222">
              <w:rPr>
                <w:bCs/>
              </w:rPr>
              <w:t>l</w:t>
            </w:r>
            <w:r w:rsidRPr="005D4222">
              <w:t>imits</w:t>
            </w:r>
          </w:p>
          <w:p w14:paraId="7C040FB9" w14:textId="77777777" w:rsidR="00C7239F" w:rsidRPr="005D4222" w:rsidRDefault="00C7239F" w:rsidP="00C7239F">
            <w:pPr>
              <w:pStyle w:val="ProcessBullet"/>
              <w:numPr>
                <w:ilvl w:val="0"/>
                <w:numId w:val="51"/>
              </w:numPr>
              <w:tabs>
                <w:tab w:val="left" w:pos="216"/>
              </w:tabs>
              <w:ind w:left="216" w:hanging="216"/>
              <w:rPr>
                <w:b/>
                <w:bCs/>
                <w:color w:val="000000" w:themeColor="text1"/>
              </w:rPr>
            </w:pPr>
            <w:r w:rsidRPr="005D4222">
              <w:rPr>
                <w:i/>
              </w:rPr>
              <w:t>Ages.</w:t>
            </w:r>
            <w:r w:rsidRPr="005D4222">
              <w:t xml:space="preserve"> </w:t>
            </w:r>
            <w:r w:rsidRPr="005D4222">
              <w:rPr>
                <w:rFonts w:cs="Arial"/>
              </w:rPr>
              <w:t xml:space="preserve">Age determination dates may be changed (e.g., </w:t>
            </w:r>
            <w:r w:rsidRPr="005D4222" w:rsidDel="00EA72E7">
              <w:rPr>
                <w:rFonts w:cs="Arial"/>
              </w:rPr>
              <w:t xml:space="preserve">select, </w:t>
            </w:r>
            <w:r w:rsidRPr="005D4222">
              <w:rPr>
                <w:rFonts w:cs="Arial"/>
              </w:rPr>
              <w:t xml:space="preserve">“age as of June 30”). </w:t>
            </w:r>
            <w:r w:rsidRPr="005D4222">
              <w:t>Changing the denominator age range is allowed within a specific age range (18 years of age or older).</w:t>
            </w:r>
          </w:p>
          <w:p w14:paraId="42DC21B2" w14:textId="77777777" w:rsidR="00C7239F" w:rsidRPr="005D4222" w:rsidRDefault="00C7239F">
            <w:pPr>
              <w:pStyle w:val="Adjustments"/>
              <w:rPr>
                <w:b w:val="0"/>
              </w:rPr>
            </w:pPr>
            <w:r w:rsidRPr="005D4222">
              <w:t xml:space="preserve">Adjustments </w:t>
            </w:r>
            <w:r w:rsidRPr="005D4222">
              <w:rPr>
                <w:bCs/>
              </w:rPr>
              <w:t>not allowed</w:t>
            </w:r>
          </w:p>
          <w:p w14:paraId="12058A1A" w14:textId="77777777" w:rsidR="00C7239F" w:rsidRPr="005D4222" w:rsidRDefault="00C7239F" w:rsidP="00C7239F">
            <w:pPr>
              <w:pStyle w:val="ProcessBullet"/>
              <w:numPr>
                <w:ilvl w:val="0"/>
                <w:numId w:val="51"/>
              </w:numPr>
              <w:tabs>
                <w:tab w:val="left" w:pos="216"/>
              </w:tabs>
              <w:ind w:left="216" w:hanging="216"/>
            </w:pPr>
            <w:r w:rsidRPr="005D4222">
              <w:rPr>
                <w:bCs/>
                <w:i/>
                <w:iCs/>
              </w:rPr>
              <w:t xml:space="preserve">Initial population: </w:t>
            </w:r>
            <w:r w:rsidRPr="005D4222">
              <w:rPr>
                <w:bCs/>
              </w:rPr>
              <w:t xml:space="preserve">Event. </w:t>
            </w:r>
            <w:r w:rsidRPr="005D4222">
              <w:t xml:space="preserve">Only events, medications and diagnoses that contain (or map to) codes in the medication lists and value sets may be used to identify visits, medication use and diagnosis. Medication lists, value sets and logic may not be changed.   </w:t>
            </w:r>
          </w:p>
          <w:p w14:paraId="798FB227" w14:textId="77777777" w:rsidR="00C7239F" w:rsidRPr="005D4222" w:rsidRDefault="00C7239F" w:rsidP="00C7239F">
            <w:pPr>
              <w:pStyle w:val="ProcessBullet"/>
              <w:numPr>
                <w:ilvl w:val="0"/>
                <w:numId w:val="51"/>
              </w:numPr>
              <w:tabs>
                <w:tab w:val="left" w:pos="216"/>
              </w:tabs>
              <w:ind w:left="216" w:hanging="216"/>
              <w:rPr>
                <w:b/>
                <w:bCs/>
                <w:color w:val="000000" w:themeColor="text1"/>
              </w:rPr>
            </w:pPr>
            <w:r w:rsidRPr="005D4222">
              <w:rPr>
                <w:i/>
              </w:rPr>
              <w:t>Exclusions.</w:t>
            </w:r>
            <w:r w:rsidRPr="005D4222">
              <w:t xml:space="preserve"> The diabetes and antipsychotic medications exclusions must be applied. Value sets and medication lists may not be changed.  </w:t>
            </w:r>
          </w:p>
          <w:p w14:paraId="18B2708A" w14:textId="77777777" w:rsidR="00C7239F" w:rsidRPr="005D4222" w:rsidRDefault="00C7239F" w:rsidP="00C7239F">
            <w:pPr>
              <w:pStyle w:val="ProcessBullet"/>
              <w:numPr>
                <w:ilvl w:val="0"/>
                <w:numId w:val="51"/>
              </w:numPr>
              <w:tabs>
                <w:tab w:val="left" w:pos="216"/>
              </w:tabs>
              <w:spacing w:after="80"/>
              <w:ind w:left="216" w:hanging="216"/>
              <w:rPr>
                <w:b/>
                <w:i/>
              </w:rPr>
            </w:pPr>
            <w:r w:rsidRPr="005D4222">
              <w:rPr>
                <w:i/>
              </w:rPr>
              <w:t xml:space="preserve">Numerator. </w:t>
            </w:r>
            <w:r w:rsidRPr="005D4222">
              <w:rPr>
                <w:iCs/>
              </w:rPr>
              <w:t xml:space="preserve">Medication lists, </w:t>
            </w:r>
            <w:r w:rsidRPr="005D4222">
              <w:t>value sets and logic may not be changed.</w:t>
            </w:r>
          </w:p>
        </w:tc>
      </w:tr>
    </w:tbl>
    <w:p w14:paraId="6C902799" w14:textId="77777777" w:rsidR="00C7239F" w:rsidRPr="005D4222" w:rsidRDefault="00C7239F" w:rsidP="000340B1">
      <w:pPr>
        <w:pStyle w:val="ECDSBody"/>
        <w:sectPr w:rsidR="00C7239F" w:rsidRPr="005D4222" w:rsidSect="0074514A">
          <w:headerReference w:type="default" r:id="rId123"/>
          <w:type w:val="nextColumn"/>
          <w:pgSz w:w="12240" w:h="15840" w:code="1"/>
          <w:pgMar w:top="1080" w:right="1080" w:bottom="1080" w:left="1440" w:header="720" w:footer="720" w:gutter="0"/>
          <w:cols w:space="720"/>
          <w:docGrid w:linePitch="360"/>
        </w:sectPr>
      </w:pPr>
    </w:p>
    <w:p w14:paraId="3AD6C0DE" w14:textId="4542B88C" w:rsidR="000340B1" w:rsidRPr="005D4222" w:rsidRDefault="00EC737D" w:rsidP="00EC737D">
      <w:pPr>
        <w:pStyle w:val="MeasureTitle"/>
      </w:pPr>
      <w:bookmarkStart w:id="306" w:name="_Toc201813416"/>
      <w:r w:rsidRPr="005D4222">
        <w:lastRenderedPageBreak/>
        <w:t>Diabetes Monitoring for People With Diabetes and Schizophrenia</w:t>
      </w:r>
      <w:r w:rsidR="0096709F" w:rsidRPr="005D4222">
        <w:t xml:space="preserve"> (SMD)</w:t>
      </w:r>
      <w:bookmarkEnd w:id="306"/>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4951"/>
        <w:gridCol w:w="1606"/>
        <w:gridCol w:w="1000"/>
      </w:tblGrid>
      <w:tr w:rsidR="00F22965" w:rsidRPr="005D4222" w14:paraId="197F4E19" w14:textId="77777777">
        <w:tc>
          <w:tcPr>
            <w:tcW w:w="2157" w:type="dxa"/>
            <w:shd w:val="clear" w:color="auto" w:fill="BFBFBF" w:themeFill="background1" w:themeFillShade="BF"/>
            <w:tcMar>
              <w:top w:w="0" w:type="dxa"/>
              <w:left w:w="86" w:type="dxa"/>
              <w:bottom w:w="43" w:type="dxa"/>
              <w:right w:w="86" w:type="dxa"/>
            </w:tcMar>
            <w:hideMark/>
          </w:tcPr>
          <w:p w14:paraId="56ED022A" w14:textId="77777777" w:rsidR="00F22965" w:rsidRPr="005D4222" w:rsidRDefault="00F22965">
            <w:pPr>
              <w:pStyle w:val="ECDSMarginHead"/>
            </w:pPr>
            <w:r w:rsidRPr="005D4222">
              <w:t>Measure title</w:t>
            </w:r>
          </w:p>
        </w:tc>
        <w:tc>
          <w:tcPr>
            <w:tcW w:w="4951" w:type="dxa"/>
            <w:tcMar>
              <w:top w:w="0" w:type="dxa"/>
              <w:left w:w="86" w:type="dxa"/>
              <w:bottom w:w="43" w:type="dxa"/>
              <w:right w:w="86" w:type="dxa"/>
            </w:tcMar>
          </w:tcPr>
          <w:p w14:paraId="5D78E4A4" w14:textId="77777777" w:rsidR="00F22965" w:rsidRPr="005D4222" w:rsidRDefault="00F22965">
            <w:pPr>
              <w:pStyle w:val="ECDSBody"/>
            </w:pPr>
            <w:r w:rsidRPr="005D4222">
              <w:t>Diabetes Monitoring for People With Diabetes and Schizophrenia</w:t>
            </w:r>
          </w:p>
        </w:tc>
        <w:tc>
          <w:tcPr>
            <w:tcW w:w="1606" w:type="dxa"/>
            <w:shd w:val="clear" w:color="auto" w:fill="BFBFBF" w:themeFill="background1" w:themeFillShade="BF"/>
            <w:tcMar>
              <w:top w:w="0" w:type="dxa"/>
              <w:left w:w="86" w:type="dxa"/>
              <w:bottom w:w="43" w:type="dxa"/>
              <w:right w:w="86" w:type="dxa"/>
            </w:tcMar>
          </w:tcPr>
          <w:p w14:paraId="01E84A30" w14:textId="77777777" w:rsidR="00F22965" w:rsidRPr="005D4222" w:rsidRDefault="00F22965">
            <w:pPr>
              <w:pStyle w:val="ECDSMarginHead"/>
            </w:pPr>
            <w:r w:rsidRPr="005D4222">
              <w:t>Measure ID</w:t>
            </w:r>
          </w:p>
        </w:tc>
        <w:tc>
          <w:tcPr>
            <w:tcW w:w="1000" w:type="dxa"/>
            <w:tcMar>
              <w:top w:w="0" w:type="dxa"/>
              <w:left w:w="86" w:type="dxa"/>
              <w:bottom w:w="43" w:type="dxa"/>
              <w:right w:w="86" w:type="dxa"/>
            </w:tcMar>
          </w:tcPr>
          <w:p w14:paraId="4772C869" w14:textId="77777777" w:rsidR="00F22965" w:rsidRPr="005D4222" w:rsidRDefault="00F22965">
            <w:pPr>
              <w:pStyle w:val="ECDSBody"/>
            </w:pPr>
            <w:r w:rsidRPr="005D4222">
              <w:t>SMD</w:t>
            </w:r>
          </w:p>
        </w:tc>
      </w:tr>
      <w:tr w:rsidR="00F22965" w:rsidRPr="005D4222" w14:paraId="2852A98D" w14:textId="77777777">
        <w:tc>
          <w:tcPr>
            <w:tcW w:w="2157" w:type="dxa"/>
            <w:shd w:val="clear" w:color="auto" w:fill="BFBFBF" w:themeFill="background1" w:themeFillShade="BF"/>
            <w:tcMar>
              <w:top w:w="0" w:type="dxa"/>
              <w:left w:w="86" w:type="dxa"/>
              <w:bottom w:w="43" w:type="dxa"/>
              <w:right w:w="86" w:type="dxa"/>
            </w:tcMar>
            <w:hideMark/>
          </w:tcPr>
          <w:p w14:paraId="43E3D96B" w14:textId="77777777" w:rsidR="00F22965" w:rsidRPr="005D4222" w:rsidRDefault="00F22965">
            <w:pPr>
              <w:pStyle w:val="ECDSMarginHead"/>
            </w:pPr>
            <w:r w:rsidRPr="005D4222">
              <w:t>Description</w:t>
            </w:r>
          </w:p>
        </w:tc>
        <w:tc>
          <w:tcPr>
            <w:tcW w:w="7557" w:type="dxa"/>
            <w:gridSpan w:val="3"/>
            <w:tcMar>
              <w:top w:w="0" w:type="dxa"/>
              <w:left w:w="86" w:type="dxa"/>
              <w:bottom w:w="43" w:type="dxa"/>
              <w:right w:w="86" w:type="dxa"/>
            </w:tcMar>
          </w:tcPr>
          <w:p w14:paraId="1718AA87" w14:textId="77777777" w:rsidR="00F22965" w:rsidRPr="005D4222" w:rsidRDefault="00F22965">
            <w:pPr>
              <w:pStyle w:val="ECDSBody"/>
            </w:pPr>
            <w:r w:rsidRPr="005D4222">
              <w:t>The percentage of persons 18–64 years of age with schizophrenia or schizoaffective disorder and diabetes who had both an LDL-C test and an HbA1c test during the measurement period.</w:t>
            </w:r>
          </w:p>
        </w:tc>
      </w:tr>
      <w:tr w:rsidR="00F22965" w:rsidRPr="005D4222" w14:paraId="40987357" w14:textId="77777777">
        <w:tc>
          <w:tcPr>
            <w:tcW w:w="2157" w:type="dxa"/>
            <w:shd w:val="clear" w:color="auto" w:fill="BFBFBF" w:themeFill="background1" w:themeFillShade="BF"/>
            <w:tcMar>
              <w:top w:w="0" w:type="dxa"/>
              <w:left w:w="86" w:type="dxa"/>
              <w:bottom w:w="43" w:type="dxa"/>
              <w:right w:w="86" w:type="dxa"/>
            </w:tcMar>
          </w:tcPr>
          <w:p w14:paraId="063F5C05" w14:textId="77777777" w:rsidR="00F22965" w:rsidRPr="005D4222" w:rsidRDefault="00F22965">
            <w:pPr>
              <w:pStyle w:val="ECDSMarginHead"/>
            </w:pPr>
            <w:r w:rsidRPr="005D4222">
              <w:t>Measurement period</w:t>
            </w:r>
          </w:p>
        </w:tc>
        <w:tc>
          <w:tcPr>
            <w:tcW w:w="7557" w:type="dxa"/>
            <w:gridSpan w:val="3"/>
            <w:tcMar>
              <w:top w:w="0" w:type="dxa"/>
              <w:left w:w="86" w:type="dxa"/>
              <w:bottom w:w="43" w:type="dxa"/>
              <w:right w:w="86" w:type="dxa"/>
            </w:tcMar>
          </w:tcPr>
          <w:p w14:paraId="47B9DE78" w14:textId="77777777" w:rsidR="00F22965" w:rsidRPr="005D4222" w:rsidRDefault="00F22965">
            <w:pPr>
              <w:pStyle w:val="ECDSBody"/>
            </w:pPr>
            <w:r w:rsidRPr="005D4222">
              <w:t>January 1–December 31.</w:t>
            </w:r>
          </w:p>
        </w:tc>
      </w:tr>
      <w:tr w:rsidR="00F22965" w:rsidRPr="005D4222" w14:paraId="2E7984DF" w14:textId="77777777">
        <w:tc>
          <w:tcPr>
            <w:tcW w:w="2157" w:type="dxa"/>
            <w:shd w:val="clear" w:color="auto" w:fill="BFBFBF" w:themeFill="background1" w:themeFillShade="BF"/>
            <w:tcMar>
              <w:top w:w="0" w:type="dxa"/>
              <w:left w:w="86" w:type="dxa"/>
              <w:bottom w:w="43" w:type="dxa"/>
              <w:right w:w="86" w:type="dxa"/>
            </w:tcMar>
            <w:hideMark/>
          </w:tcPr>
          <w:p w14:paraId="338DB0F7" w14:textId="77777777" w:rsidR="00F22965" w:rsidRPr="005D4222" w:rsidRDefault="00F22965">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5DCABDD5" w14:textId="77777777" w:rsidR="00F22965" w:rsidRPr="005D4222" w:rsidRDefault="00F22965">
            <w:pPr>
              <w:pStyle w:val="ECDSBody"/>
            </w:pPr>
            <w:r w:rsidRPr="005D4222">
              <w:t xml:space="preserve">Refer to the complete copyright and disclaimer information at the front of this publication. </w:t>
            </w:r>
          </w:p>
          <w:p w14:paraId="45E186DF" w14:textId="77777777" w:rsidR="00F22965" w:rsidRPr="005D4222" w:rsidRDefault="00F22965">
            <w:pPr>
              <w:pStyle w:val="ECDSBody"/>
              <w:spacing w:before="80"/>
            </w:pPr>
            <w:r w:rsidRPr="005D4222">
              <w:t xml:space="preserve">NCQA website: </w:t>
            </w:r>
            <w:r w:rsidRPr="005D4222">
              <w:rPr>
                <w:u w:val="single"/>
              </w:rPr>
              <w:t>www.ncqa.org</w:t>
            </w:r>
            <w:r w:rsidRPr="005D4222">
              <w:t xml:space="preserve">.  </w:t>
            </w:r>
          </w:p>
          <w:p w14:paraId="77FFE177" w14:textId="77777777" w:rsidR="00F22965" w:rsidRPr="005D4222" w:rsidRDefault="00F22965">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F22965" w:rsidRPr="005D4222" w14:paraId="3FBFDEF0" w14:textId="77777777">
        <w:trPr>
          <w:trHeight w:val="655"/>
        </w:trPr>
        <w:tc>
          <w:tcPr>
            <w:tcW w:w="2157" w:type="dxa"/>
            <w:shd w:val="clear" w:color="auto" w:fill="BFBFBF" w:themeFill="background1" w:themeFillShade="BF"/>
            <w:tcMar>
              <w:top w:w="0" w:type="dxa"/>
              <w:left w:w="86" w:type="dxa"/>
              <w:bottom w:w="43" w:type="dxa"/>
              <w:right w:w="86" w:type="dxa"/>
            </w:tcMar>
            <w:hideMark/>
          </w:tcPr>
          <w:p w14:paraId="06EB358F" w14:textId="77777777" w:rsidR="00F22965" w:rsidRPr="005D4222" w:rsidRDefault="00F22965">
            <w:pPr>
              <w:pStyle w:val="ECDSMarginHead"/>
            </w:pPr>
            <w:r w:rsidRPr="005D4222">
              <w:t>Clinical recommendation statement/</w:t>
            </w:r>
            <w:r w:rsidRPr="005D4222" w:rsidDel="00B92946">
              <w:t xml:space="preserve"> </w:t>
            </w:r>
            <w:r w:rsidRPr="005D4222">
              <w:t>rationale</w:t>
            </w:r>
          </w:p>
        </w:tc>
        <w:tc>
          <w:tcPr>
            <w:tcW w:w="7557" w:type="dxa"/>
            <w:gridSpan w:val="3"/>
            <w:tcMar>
              <w:top w:w="0" w:type="dxa"/>
              <w:left w:w="86" w:type="dxa"/>
              <w:bottom w:w="43" w:type="dxa"/>
              <w:right w:w="86" w:type="dxa"/>
            </w:tcMar>
          </w:tcPr>
          <w:p w14:paraId="08725A90" w14:textId="77777777" w:rsidR="00F22965" w:rsidRPr="005D4222" w:rsidRDefault="00F22965">
            <w:pPr>
              <w:pStyle w:val="ECDSBody"/>
              <w:rPr>
                <w:szCs w:val="21"/>
              </w:rPr>
            </w:pPr>
            <w:r w:rsidRPr="005D4222">
              <w:rPr>
                <w:szCs w:val="21"/>
              </w:rPr>
              <w:t xml:space="preserve">Among patients with co-occurring schizophrenia and metabolic disorders, the nontreatment rate for diabetes is approximately 32%. In addition to general diabetes risk factors, diabetes is promoted in patients with schizophrenia by initial and current treatment with olanzapine and mid-potency first-generation antipsychotics (FGA), as well as by current treatment with low-potency FGAs and clozapine. </w:t>
            </w:r>
          </w:p>
          <w:p w14:paraId="2608EEDA" w14:textId="77777777" w:rsidR="00F22965" w:rsidRPr="005D4222" w:rsidRDefault="00F22965">
            <w:pPr>
              <w:pStyle w:val="ECDSBody"/>
              <w:rPr>
                <w:szCs w:val="21"/>
              </w:rPr>
            </w:pPr>
            <w:r w:rsidRPr="005D4222">
              <w:rPr>
                <w:szCs w:val="21"/>
              </w:rPr>
              <w:t>Improving blood sugar control has shown to lead to lower use of health care services and better overall satisfaction with diabetes treatment. People who control their diabetes also report improved quality of life and emotional well-being.</w:t>
            </w:r>
          </w:p>
        </w:tc>
      </w:tr>
      <w:tr w:rsidR="00F22965" w:rsidRPr="005D4222" w14:paraId="39C3F66C" w14:textId="77777777">
        <w:tc>
          <w:tcPr>
            <w:tcW w:w="2157" w:type="dxa"/>
            <w:shd w:val="clear" w:color="auto" w:fill="BFBFBF" w:themeFill="background1" w:themeFillShade="BF"/>
            <w:tcMar>
              <w:top w:w="0" w:type="dxa"/>
              <w:left w:w="86" w:type="dxa"/>
              <w:bottom w:w="43" w:type="dxa"/>
              <w:right w:w="86" w:type="dxa"/>
            </w:tcMar>
          </w:tcPr>
          <w:p w14:paraId="3ED86A70" w14:textId="77777777" w:rsidR="00F22965" w:rsidRPr="005D4222" w:rsidRDefault="00F22965">
            <w:pPr>
              <w:pStyle w:val="ECDSMarginHead"/>
            </w:pPr>
            <w:r w:rsidRPr="005D4222">
              <w:t>Citations</w:t>
            </w:r>
          </w:p>
        </w:tc>
        <w:tc>
          <w:tcPr>
            <w:tcW w:w="7557" w:type="dxa"/>
            <w:gridSpan w:val="3"/>
            <w:tcMar>
              <w:top w:w="0" w:type="dxa"/>
              <w:left w:w="86" w:type="dxa"/>
              <w:bottom w:w="43" w:type="dxa"/>
              <w:right w:w="86" w:type="dxa"/>
            </w:tcMar>
          </w:tcPr>
          <w:p w14:paraId="0F782EF2" w14:textId="77777777" w:rsidR="00F22965" w:rsidRPr="005D4222" w:rsidRDefault="00F22965">
            <w:pPr>
              <w:pStyle w:val="ECDSBody"/>
            </w:pPr>
            <w:r w:rsidRPr="005D4222">
              <w:t xml:space="preserve">Vancampfort, D., B. Stubbs, A.J. Mitchell, M. De Hert, M. Wampers, P.B. Ward, S. Rosenbaum, and C.U. Correll. 2015. “Risk of Metabolic Syndrome and Its Components in People with Schizophrenia and Related Psychotic Disorders, Bipolar Disorder and Major Depressive Disorder: A Systematic Review and Meta-Analysis.” </w:t>
            </w:r>
            <w:r w:rsidRPr="005D4222">
              <w:rPr>
                <w:i/>
                <w:iCs/>
              </w:rPr>
              <w:t xml:space="preserve">World Psychiatry </w:t>
            </w:r>
            <w:r w:rsidRPr="005D4222">
              <w:t>14 (3): 339–47.</w:t>
            </w:r>
          </w:p>
          <w:p w14:paraId="10ADAEBE" w14:textId="77777777" w:rsidR="00F22965" w:rsidRPr="005D4222" w:rsidRDefault="00F22965">
            <w:pPr>
              <w:pStyle w:val="ECDSBody"/>
            </w:pPr>
            <w:r w:rsidRPr="005D4222">
              <w:t xml:space="preserve">Nasrallah, H.A., J.M. Meyer, D.C. Goff, J.P. McEvoy, S.M. Davis, T.S. Stroup, et al. 2006. “Low Rates of Treatment for Hypertension, Dyslipidemia and Diabetes in Schizophrenia: Data from the CATIE Schizophrenia Trial Sample at Baseline.” </w:t>
            </w:r>
            <w:r w:rsidRPr="005D4222">
              <w:rPr>
                <w:i/>
                <w:iCs/>
              </w:rPr>
              <w:t xml:space="preserve">Schizophr Res </w:t>
            </w:r>
            <w:r w:rsidRPr="005D4222">
              <w:t xml:space="preserve">86(1-3): 15–22. </w:t>
            </w:r>
          </w:p>
          <w:p w14:paraId="721564AB" w14:textId="77777777" w:rsidR="00F22965" w:rsidRPr="005D4222" w:rsidRDefault="00F22965">
            <w:pPr>
              <w:pStyle w:val="ECDSBody"/>
            </w:pPr>
            <w:r w:rsidRPr="005D4222">
              <w:t xml:space="preserve">Nielsen, J., S. Skadhede, C.U. Correll. 2010. “Antipsychotics Associated with the Development of Type 2 Diabetes in Antipsychotic-Naive Schizophrenia Patients.” </w:t>
            </w:r>
            <w:r w:rsidRPr="005D4222">
              <w:rPr>
                <w:i/>
              </w:rPr>
              <w:t>Neuropsychopharmacology</w:t>
            </w:r>
            <w:r w:rsidRPr="005D4222">
              <w:t xml:space="preserve"> 35(9):1997–2004.</w:t>
            </w:r>
          </w:p>
        </w:tc>
      </w:tr>
      <w:tr w:rsidR="00F22965" w:rsidRPr="005D4222" w14:paraId="54B41DDA" w14:textId="77777777">
        <w:tc>
          <w:tcPr>
            <w:tcW w:w="9714"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2DD16248" w14:textId="77777777" w:rsidR="00F22965" w:rsidRPr="005D4222" w:rsidRDefault="00F22965">
            <w:pPr>
              <w:pStyle w:val="ECDSMarginHead"/>
            </w:pPr>
            <w:r w:rsidRPr="005D4222">
              <w:t>Characteristics</w:t>
            </w:r>
          </w:p>
        </w:tc>
      </w:tr>
      <w:tr w:rsidR="00F22965" w:rsidRPr="005D4222" w14:paraId="546C4298" w14:textId="77777777">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1CEA08CB" w14:textId="77777777" w:rsidR="00F22965" w:rsidRPr="005D4222" w:rsidRDefault="00F22965" w:rsidP="00F22965">
            <w:pPr>
              <w:pStyle w:val="ECDSMarginSubhead"/>
              <w:spacing w:after="0"/>
            </w:pPr>
            <w:r w:rsidRPr="005D4222">
              <w:t>Scoring</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596009FE" w14:textId="77777777" w:rsidR="00F22965" w:rsidRPr="005D4222" w:rsidRDefault="00F22965" w:rsidP="00F22965">
            <w:pPr>
              <w:pStyle w:val="ECDSBody"/>
              <w:spacing w:after="0"/>
            </w:pPr>
            <w:r w:rsidRPr="005D4222">
              <w:t>Proportion.</w:t>
            </w:r>
          </w:p>
        </w:tc>
      </w:tr>
      <w:tr w:rsidR="00F22965" w:rsidRPr="005D4222" w14:paraId="0B8143E4" w14:textId="77777777" w:rsidTr="00F22965">
        <w:tc>
          <w:tcPr>
            <w:tcW w:w="2157" w:type="dxa"/>
            <w:tcBorders>
              <w:top w:val="nil"/>
              <w:left w:val="single" w:sz="4" w:space="0" w:color="auto"/>
              <w:bottom w:val="nil"/>
              <w:right w:val="single" w:sz="4" w:space="0" w:color="auto"/>
            </w:tcBorders>
            <w:tcMar>
              <w:top w:w="0" w:type="dxa"/>
              <w:left w:w="86" w:type="dxa"/>
              <w:bottom w:w="43" w:type="dxa"/>
              <w:right w:w="86" w:type="dxa"/>
            </w:tcMar>
          </w:tcPr>
          <w:p w14:paraId="58439B95" w14:textId="77777777" w:rsidR="00F22965" w:rsidRPr="005D4222" w:rsidRDefault="00F22965" w:rsidP="00F22965">
            <w:pPr>
              <w:pStyle w:val="ECDSMarginSubhead"/>
              <w:spacing w:after="0"/>
            </w:pPr>
            <w:r w:rsidRPr="005D4222">
              <w:t>Type</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34B47F37" w14:textId="77777777" w:rsidR="00F22965" w:rsidRPr="005D4222" w:rsidRDefault="00F22965" w:rsidP="00F22965">
            <w:pPr>
              <w:pStyle w:val="ECDSBody"/>
              <w:spacing w:after="0"/>
            </w:pPr>
            <w:r w:rsidRPr="005D4222">
              <w:t>Process.</w:t>
            </w:r>
          </w:p>
        </w:tc>
      </w:tr>
      <w:tr w:rsidR="00F22965" w:rsidRPr="005D4222" w14:paraId="67CF5A62" w14:textId="77777777" w:rsidTr="00F22965">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79162C4F" w14:textId="0AC4EDDC" w:rsidR="00F22965" w:rsidRPr="005D4222" w:rsidRDefault="00B51CDC" w:rsidP="00F22965">
            <w:pPr>
              <w:pStyle w:val="ECDSMarginSubhead"/>
            </w:pPr>
            <w:r w:rsidRPr="005D4222">
              <w:t>Product lines</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62AED286" w14:textId="77777777" w:rsidR="00F22965" w:rsidRPr="005D4222" w:rsidRDefault="00F22965" w:rsidP="00F22965">
            <w:pPr>
              <w:pStyle w:val="ECDSBody"/>
            </w:pPr>
            <w:r w:rsidRPr="005D4222">
              <w:t>Medicaid.</w:t>
            </w:r>
          </w:p>
        </w:tc>
      </w:tr>
      <w:tr w:rsidR="00F22965" w:rsidRPr="005D4222" w14:paraId="65BDD9D9" w14:textId="77777777" w:rsidTr="00F22965">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18CB5D89" w14:textId="0AF1DCD1" w:rsidR="00F22965" w:rsidRPr="005D4222" w:rsidRDefault="00B51CDC" w:rsidP="00F22965">
            <w:pPr>
              <w:pStyle w:val="ECDSMarginSubhead"/>
              <w:spacing w:after="0"/>
            </w:pPr>
            <w:r w:rsidRPr="005D4222">
              <w:lastRenderedPageBreak/>
              <w:t>Stratifications</w:t>
            </w:r>
            <w:r w:rsidR="00F22965" w:rsidRPr="005D4222">
              <w:t xml:space="preserve"> </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4CD014E1" w14:textId="77777777" w:rsidR="00F22965" w:rsidRPr="005D4222" w:rsidRDefault="00F22965" w:rsidP="00F22965">
            <w:pPr>
              <w:pStyle w:val="ECDSBody"/>
              <w:spacing w:after="0"/>
              <w:rPr>
                <w:rFonts w:eastAsia="Arial,Arial,Arial,Arial,Arial,A"/>
              </w:rPr>
            </w:pPr>
            <w:r w:rsidRPr="005D4222">
              <w:rPr>
                <w:rFonts w:eastAsia="Arial,Arial,Arial,Arial,Arial,A"/>
              </w:rPr>
              <w:t>None.</w:t>
            </w:r>
          </w:p>
        </w:tc>
      </w:tr>
      <w:tr w:rsidR="00F22965" w:rsidRPr="005D4222" w14:paraId="56B7E30C" w14:textId="77777777" w:rsidTr="00922D2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3F5B3911" w14:textId="77777777" w:rsidR="00F22965" w:rsidRPr="005D4222" w:rsidRDefault="00F22965" w:rsidP="00F22965">
            <w:pPr>
              <w:pStyle w:val="ECDSMarginSubhead"/>
              <w:spacing w:after="0"/>
            </w:pPr>
            <w:r w:rsidRPr="005D4222">
              <w:t>Risk adjustment</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29A915D9" w14:textId="77777777" w:rsidR="00F22965" w:rsidRPr="005D4222" w:rsidRDefault="00F22965" w:rsidP="00F22965">
            <w:pPr>
              <w:pStyle w:val="ECDSBody"/>
              <w:spacing w:after="0"/>
            </w:pPr>
            <w:r w:rsidRPr="005D4222">
              <w:t>None.</w:t>
            </w:r>
          </w:p>
        </w:tc>
      </w:tr>
      <w:tr w:rsidR="00F22965" w:rsidRPr="005D4222" w14:paraId="2667EC81" w14:textId="77777777" w:rsidTr="00922D2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678E2C8E" w14:textId="77777777" w:rsidR="00F22965" w:rsidRPr="005D4222" w:rsidRDefault="00F22965" w:rsidP="00F22965">
            <w:pPr>
              <w:pStyle w:val="ECDSMarginSubhead"/>
              <w:spacing w:after="0"/>
            </w:pPr>
            <w:r w:rsidRPr="005D4222">
              <w:t>Improvement notation</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545044B0" w14:textId="77777777" w:rsidR="00F22965" w:rsidRPr="005D4222" w:rsidRDefault="00F22965" w:rsidP="00F22965">
            <w:pPr>
              <w:pStyle w:val="ECDSBody"/>
              <w:spacing w:after="0"/>
            </w:pPr>
            <w:r w:rsidRPr="005D4222">
              <w:rPr>
                <w:iCs/>
              </w:rPr>
              <w:t>Increased score indicates improvement.</w:t>
            </w:r>
          </w:p>
        </w:tc>
      </w:tr>
      <w:tr w:rsidR="00F22965" w:rsidRPr="005D4222" w14:paraId="13A8C8D4" w14:textId="77777777">
        <w:trPr>
          <w:trHeight w:val="633"/>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7BE8DF29" w14:textId="77777777" w:rsidR="00F22965" w:rsidRPr="005D4222" w:rsidRDefault="00F22965">
            <w:pPr>
              <w:pStyle w:val="ECDSMarginSubhead"/>
            </w:pPr>
            <w:r w:rsidRPr="005D4222">
              <w:t>Guidance</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2FC620FB" w14:textId="7759C5FD" w:rsidR="00F22965" w:rsidRPr="005D4222" w:rsidRDefault="00F22965">
            <w:pPr>
              <w:pStyle w:val="ECDSBody"/>
              <w:spacing w:after="0"/>
            </w:pPr>
            <w:r w:rsidRPr="005D4222">
              <w:rPr>
                <w:b/>
              </w:rPr>
              <w:t>Data collection methodology:</w:t>
            </w:r>
            <w:r w:rsidRPr="005D4222">
              <w:t xml:space="preserve"> Administrative. Refer to </w:t>
            </w:r>
            <w:hyperlink w:anchor="General_Guideline_Data_Collection_Method" w:history="1">
              <w:r w:rsidRPr="005D4222">
                <w:rPr>
                  <w:rStyle w:val="Hyperlink"/>
                  <w:i/>
                  <w:iCs/>
                </w:rPr>
                <w:t>General Guideline: Data Collection Methods</w:t>
              </w:r>
            </w:hyperlink>
            <w:r w:rsidRPr="005D4222">
              <w:t xml:space="preserve"> for additional information. </w:t>
            </w:r>
          </w:p>
          <w:p w14:paraId="5EEC050A" w14:textId="77777777" w:rsidR="00F22965" w:rsidRPr="005D4222" w:rsidRDefault="00F22965">
            <w:pPr>
              <w:pStyle w:val="ECDSBody"/>
              <w:spacing w:after="0"/>
            </w:pPr>
            <w:r w:rsidRPr="005D4222">
              <w:rPr>
                <w:b/>
              </w:rPr>
              <w:t xml:space="preserve">Date specificity: </w:t>
            </w:r>
            <w:r w:rsidRPr="005D4222">
              <w:t>Dates must be specific enough to determine the event occurred in the period being measured.</w:t>
            </w:r>
          </w:p>
          <w:p w14:paraId="1F8A31E4" w14:textId="77777777" w:rsidR="00F22965" w:rsidRPr="005D4222" w:rsidRDefault="00F22965">
            <w:pPr>
              <w:pStyle w:val="ECDSBody"/>
            </w:pPr>
            <w:r w:rsidRPr="005D4222">
              <w:rPr>
                <w:b/>
              </w:rPr>
              <w:t xml:space="preserve">Which services count? </w:t>
            </w:r>
            <w:r w:rsidRPr="005D4222">
              <w:t>When using claims, include all paid, suspended, pending and denied claims.</w:t>
            </w:r>
          </w:p>
        </w:tc>
      </w:tr>
      <w:tr w:rsidR="00F22965" w:rsidRPr="005D4222" w14:paraId="494832DA" w14:textId="77777777">
        <w:trPr>
          <w:trHeight w:val="320"/>
        </w:trPr>
        <w:tc>
          <w:tcPr>
            <w:tcW w:w="2157" w:type="dxa"/>
            <w:shd w:val="clear" w:color="auto" w:fill="BFBFBF" w:themeFill="background1" w:themeFillShade="BF"/>
            <w:tcMar>
              <w:top w:w="0" w:type="dxa"/>
              <w:left w:w="86" w:type="dxa"/>
              <w:bottom w:w="43" w:type="dxa"/>
              <w:right w:w="86" w:type="dxa"/>
            </w:tcMar>
          </w:tcPr>
          <w:p w14:paraId="4D2D2E0E" w14:textId="77777777" w:rsidR="00F22965" w:rsidRPr="005D4222" w:rsidRDefault="00F22965">
            <w:pPr>
              <w:pStyle w:val="ECDSMarginHead"/>
            </w:pPr>
            <w:r w:rsidRPr="005D4222">
              <w:t>Initial population</w:t>
            </w:r>
          </w:p>
        </w:tc>
        <w:tc>
          <w:tcPr>
            <w:tcW w:w="7557"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94C9C09" w14:textId="77777777" w:rsidR="00F22965" w:rsidRPr="005D4222" w:rsidRDefault="00F22965">
            <w:pPr>
              <w:pStyle w:val="ECDSBody"/>
            </w:pPr>
            <w:r w:rsidRPr="005D4222">
              <w:rPr>
                <w:i/>
                <w:iCs/>
              </w:rPr>
              <w:t>Measure item count:</w:t>
            </w:r>
            <w:r w:rsidRPr="005D4222">
              <w:t xml:space="preserve"> Person.</w:t>
            </w:r>
          </w:p>
          <w:p w14:paraId="6B0AF403" w14:textId="77777777" w:rsidR="00F22965" w:rsidRPr="005D4222" w:rsidRDefault="00F22965">
            <w:pPr>
              <w:pStyle w:val="ECDSBody"/>
            </w:pPr>
            <w:r w:rsidRPr="005D4222">
              <w:rPr>
                <w:i/>
                <w:iCs/>
              </w:rPr>
              <w:t>Attribution basis:</w:t>
            </w:r>
            <w:r w:rsidRPr="005D4222">
              <w:t xml:space="preserve"> Enrollment.</w:t>
            </w:r>
          </w:p>
          <w:p w14:paraId="1E4002C4" w14:textId="77777777" w:rsidR="00F22965" w:rsidRPr="005D4222" w:rsidRDefault="00F22965" w:rsidP="00F22965">
            <w:pPr>
              <w:pStyle w:val="Bullet"/>
              <w:numPr>
                <w:ilvl w:val="0"/>
                <w:numId w:val="4"/>
              </w:numPr>
              <w:tabs>
                <w:tab w:val="left" w:pos="360"/>
                <w:tab w:val="left" w:pos="576"/>
              </w:tabs>
              <w:ind w:left="576" w:hanging="216"/>
            </w:pPr>
            <w:r w:rsidRPr="005D4222">
              <w:rPr>
                <w:i/>
                <w:iCs/>
              </w:rPr>
              <w:t>Benefits:</w:t>
            </w:r>
            <w:r w:rsidRPr="005D4222">
              <w:t xml:space="preserve"> Medical.</w:t>
            </w:r>
          </w:p>
          <w:p w14:paraId="18B6CD6E" w14:textId="77777777" w:rsidR="00F22965" w:rsidRPr="005D4222" w:rsidRDefault="00F22965" w:rsidP="00F22965">
            <w:pPr>
              <w:pStyle w:val="Bullet"/>
              <w:numPr>
                <w:ilvl w:val="0"/>
                <w:numId w:val="4"/>
              </w:numPr>
              <w:tabs>
                <w:tab w:val="left" w:pos="360"/>
                <w:tab w:val="left" w:pos="576"/>
              </w:tabs>
              <w:ind w:left="576" w:hanging="216"/>
            </w:pPr>
            <w:r w:rsidRPr="005D4222">
              <w:rPr>
                <w:i/>
                <w:iCs/>
              </w:rPr>
              <w:t>Continuous enrollment:</w:t>
            </w:r>
            <w:r w:rsidRPr="005D4222">
              <w:t xml:space="preserve"> The measurement period.</w:t>
            </w:r>
          </w:p>
          <w:p w14:paraId="37F3BF97" w14:textId="77777777" w:rsidR="00F22965" w:rsidRPr="005D4222" w:rsidRDefault="00F22965" w:rsidP="00F22965">
            <w:pPr>
              <w:pStyle w:val="Bullet"/>
              <w:numPr>
                <w:ilvl w:val="0"/>
                <w:numId w:val="4"/>
              </w:numPr>
              <w:tabs>
                <w:tab w:val="left" w:pos="360"/>
                <w:tab w:val="left" w:pos="576"/>
              </w:tabs>
              <w:ind w:left="576" w:hanging="216"/>
            </w:pPr>
            <w:r w:rsidRPr="005D4222">
              <w:rPr>
                <w:i/>
                <w:iCs/>
              </w:rPr>
              <w:t>Allowable gap:</w:t>
            </w:r>
            <w:r w:rsidRPr="005D4222">
              <w:t xml:space="preserve"> No more than one gap of ≤45 days during the measurement period. No gaps on the last day of the measurement period.</w:t>
            </w:r>
          </w:p>
          <w:p w14:paraId="1D09DA66" w14:textId="77777777" w:rsidR="00F22965" w:rsidRPr="005D4222" w:rsidRDefault="00F22965">
            <w:pPr>
              <w:pStyle w:val="ECDSBody"/>
            </w:pPr>
            <w:r w:rsidRPr="005D4222">
              <w:rPr>
                <w:i/>
                <w:iCs/>
              </w:rPr>
              <w:t>Ages:</w:t>
            </w:r>
            <w:r w:rsidRPr="005D4222">
              <w:t xml:space="preserve"> 18–64 years of age as of the last day of the measurement period.</w:t>
            </w:r>
          </w:p>
          <w:p w14:paraId="1E0C4D07" w14:textId="77777777" w:rsidR="00F22965" w:rsidRPr="005D4222" w:rsidRDefault="00F22965">
            <w:pPr>
              <w:pStyle w:val="ECDSBody"/>
              <w:rPr>
                <w:b/>
              </w:rPr>
            </w:pPr>
            <w:r w:rsidRPr="005D4222">
              <w:rPr>
                <w:i/>
                <w:iCs/>
              </w:rPr>
              <w:t xml:space="preserve">Event: </w:t>
            </w:r>
            <w:r w:rsidRPr="005D4222">
              <w:rPr>
                <w:b/>
                <w:bCs w:val="0"/>
              </w:rPr>
              <w:t>Persons with schizophrenia or schizoaffective disorder and diabetes.</w:t>
            </w:r>
          </w:p>
          <w:p w14:paraId="58F3D471" w14:textId="77777777" w:rsidR="00F22965" w:rsidRPr="005D4222" w:rsidRDefault="00F22965">
            <w:pPr>
              <w:pStyle w:val="ECDSBody"/>
            </w:pPr>
            <w:r w:rsidRPr="005D4222">
              <w:rPr>
                <w:b/>
              </w:rPr>
              <w:t>Step 1</w:t>
            </w:r>
            <w:r w:rsidRPr="005D4222">
              <w:rPr>
                <w:b/>
                <w:i/>
                <w:iCs/>
              </w:rPr>
              <w:t>.</w:t>
            </w:r>
            <w:r w:rsidRPr="005D4222">
              <w:t xml:space="preserve"> Identify persons with schizophrenia or schizoaffective disorder as those who met at least one of the following criteria during the measurement period:</w:t>
            </w:r>
          </w:p>
          <w:p w14:paraId="1D29D728" w14:textId="77777777" w:rsidR="00F22965" w:rsidRPr="005D4222" w:rsidRDefault="00F22965" w:rsidP="005D6173">
            <w:pPr>
              <w:pStyle w:val="Bullet"/>
              <w:numPr>
                <w:ilvl w:val="0"/>
                <w:numId w:val="70"/>
              </w:numPr>
              <w:tabs>
                <w:tab w:val="left" w:pos="360"/>
                <w:tab w:val="left" w:pos="576"/>
              </w:tabs>
              <w:ind w:left="576" w:hanging="216"/>
            </w:pPr>
            <w:r w:rsidRPr="005D4222">
              <w:t>At least one acute inpatient encounter with any diagnosis of schizophrenia or schizoaffective disorder. Either of the following combinations meets criteria:</w:t>
            </w:r>
          </w:p>
          <w:p w14:paraId="692FE6C8" w14:textId="77777777" w:rsidR="00F22965" w:rsidRPr="005D4222" w:rsidRDefault="00F22965" w:rsidP="005D6173">
            <w:pPr>
              <w:pStyle w:val="Dash"/>
              <w:numPr>
                <w:ilvl w:val="0"/>
                <w:numId w:val="69"/>
              </w:numPr>
              <w:tabs>
                <w:tab w:val="left" w:pos="576"/>
                <w:tab w:val="left" w:pos="792"/>
              </w:tabs>
              <w:ind w:left="792" w:hanging="216"/>
            </w:pPr>
            <w:r w:rsidRPr="005D4222">
              <w:rPr>
                <w:u w:val="single"/>
              </w:rPr>
              <w:t>BH Stand Alone Acute Inpatient Value Set</w:t>
            </w:r>
            <w:r w:rsidRPr="005D4222">
              <w:t xml:space="preserve"> </w:t>
            </w:r>
            <w:r w:rsidRPr="005D4222">
              <w:rPr>
                <w:b/>
                <w:i/>
              </w:rPr>
              <w:t>with</w:t>
            </w:r>
            <w:r w:rsidRPr="005D4222">
              <w:t xml:space="preserve"> </w:t>
            </w:r>
            <w:r w:rsidRPr="005D4222">
              <w:rPr>
                <w:u w:val="single"/>
              </w:rPr>
              <w:t>Schizophrenia Value Set</w:t>
            </w:r>
            <w:r w:rsidRPr="005D4222">
              <w:t>.</w:t>
            </w:r>
          </w:p>
          <w:p w14:paraId="6DB56AE8" w14:textId="77777777" w:rsidR="00F22965" w:rsidRPr="005D4222" w:rsidRDefault="00F22965" w:rsidP="005D6173">
            <w:pPr>
              <w:pStyle w:val="Dash"/>
              <w:numPr>
                <w:ilvl w:val="0"/>
                <w:numId w:val="69"/>
              </w:numPr>
              <w:tabs>
                <w:tab w:val="left" w:pos="576"/>
                <w:tab w:val="left" w:pos="792"/>
              </w:tabs>
              <w:ind w:left="792" w:hanging="216"/>
            </w:pPr>
            <w:r w:rsidRPr="005D4222">
              <w:rPr>
                <w:u w:val="single"/>
              </w:rPr>
              <w:t>Visit Setting Unspecified Value Set</w:t>
            </w:r>
            <w:r w:rsidRPr="005D4222">
              <w:t xml:space="preserve"> </w:t>
            </w:r>
            <w:r w:rsidRPr="005D4222">
              <w:rPr>
                <w:b/>
                <w:i/>
              </w:rPr>
              <w:t>with</w:t>
            </w:r>
            <w:r w:rsidRPr="005D4222">
              <w:t xml:space="preserve"> </w:t>
            </w:r>
            <w:r w:rsidRPr="005D4222">
              <w:rPr>
                <w:u w:val="single"/>
              </w:rPr>
              <w:t>Acute Inpatient POS Value Set</w:t>
            </w:r>
            <w:r w:rsidRPr="005D4222">
              <w:t xml:space="preserve"> </w:t>
            </w:r>
            <w:r w:rsidRPr="005D4222">
              <w:rPr>
                <w:b/>
                <w:i/>
              </w:rPr>
              <w:t>with</w:t>
            </w:r>
            <w:r w:rsidRPr="005D4222">
              <w:t xml:space="preserve"> </w:t>
            </w:r>
            <w:r w:rsidRPr="005D4222">
              <w:rPr>
                <w:u w:val="single"/>
              </w:rPr>
              <w:t>Schizophrenia Value Set</w:t>
            </w:r>
            <w:r w:rsidRPr="005D4222">
              <w:t>.</w:t>
            </w:r>
          </w:p>
          <w:p w14:paraId="63D347D5" w14:textId="77777777" w:rsidR="00F22965" w:rsidRPr="005D4222" w:rsidRDefault="00F22965" w:rsidP="00F22965">
            <w:pPr>
              <w:pStyle w:val="Bullet"/>
              <w:numPr>
                <w:ilvl w:val="0"/>
                <w:numId w:val="4"/>
              </w:numPr>
              <w:tabs>
                <w:tab w:val="left" w:pos="360"/>
                <w:tab w:val="left" w:pos="576"/>
              </w:tabs>
              <w:ind w:left="576" w:hanging="216"/>
            </w:pPr>
            <w:r w:rsidRPr="005D4222">
              <w:t>At least two visits in an outpatient, intensive outpatient, partial hospitalization, ED or nonacute inpatient setting, on different dates of service, with any diagnosis of schizophrenia or schizoaffective disorder. Two of any of the following meets criteria:</w:t>
            </w:r>
          </w:p>
          <w:p w14:paraId="3B779277" w14:textId="77777777" w:rsidR="00F22965" w:rsidRPr="005D4222" w:rsidRDefault="00F22965" w:rsidP="00F22965">
            <w:pPr>
              <w:pStyle w:val="Dash"/>
              <w:tabs>
                <w:tab w:val="left" w:pos="576"/>
                <w:tab w:val="left" w:pos="792"/>
              </w:tabs>
            </w:pPr>
            <w:r w:rsidRPr="005D4222">
              <w:t>An outpatient visit with any diagnosis of schizophrenia or schizoaffective disorder (</w:t>
            </w:r>
            <w:r w:rsidRPr="005D4222">
              <w:rPr>
                <w:u w:val="single"/>
              </w:rPr>
              <w:t>Visit Setting Unspecified Value Set</w:t>
            </w:r>
            <w:r w:rsidRPr="005D4222">
              <w:t xml:space="preserve"> </w:t>
            </w:r>
            <w:r w:rsidRPr="005D4222">
              <w:rPr>
                <w:b/>
                <w:bCs/>
                <w:i/>
                <w:iCs/>
              </w:rPr>
              <w:t>with</w:t>
            </w:r>
            <w:r w:rsidRPr="005D4222">
              <w:t xml:space="preserve"> </w:t>
            </w:r>
            <w:r w:rsidRPr="005D4222">
              <w:rPr>
                <w:u w:val="single"/>
              </w:rPr>
              <w:t>Outpatient POS Value Set</w:t>
            </w:r>
            <w:r w:rsidRPr="005D4222">
              <w:rPr>
                <w:b/>
                <w:bCs/>
                <w:i/>
                <w:iCs/>
              </w:rPr>
              <w:t xml:space="preserve"> with</w:t>
            </w:r>
            <w:r w:rsidRPr="005D4222">
              <w:t xml:space="preserve"> </w:t>
            </w:r>
            <w:r w:rsidRPr="005D4222">
              <w:rPr>
                <w:u w:val="single"/>
              </w:rPr>
              <w:t>Schizophrenia Value Set</w:t>
            </w:r>
            <w:r w:rsidRPr="005D4222">
              <w:t>).</w:t>
            </w:r>
          </w:p>
          <w:p w14:paraId="6A36898F" w14:textId="2A9BCF39" w:rsidR="00F22965" w:rsidRPr="005D4222" w:rsidRDefault="00F22965" w:rsidP="00020CC5">
            <w:pPr>
              <w:pStyle w:val="Dash"/>
              <w:tabs>
                <w:tab w:val="left" w:pos="576"/>
                <w:tab w:val="left" w:pos="792"/>
              </w:tabs>
              <w:spacing w:after="80"/>
              <w:rPr>
                <w:rFonts w:asciiTheme="majorHAnsi" w:eastAsiaTheme="majorEastAsia" w:hAnsiTheme="majorHAnsi"/>
                <w:color w:val="2F5496" w:themeColor="accent1" w:themeShade="BF"/>
              </w:rPr>
            </w:pPr>
            <w:r w:rsidRPr="005D4222">
              <w:t>An outpatient visit with any diagnosis of schizophrenia or schizoaffective disorder (</w:t>
            </w:r>
            <w:r w:rsidRPr="005D4222">
              <w:rPr>
                <w:u w:val="single"/>
              </w:rPr>
              <w:t>BH Outpatient Value Set</w:t>
            </w:r>
            <w:r w:rsidRPr="005D4222">
              <w:t xml:space="preserve"> </w:t>
            </w:r>
            <w:r w:rsidRPr="005D4222">
              <w:rPr>
                <w:b/>
                <w:bCs/>
                <w:i/>
                <w:iCs/>
              </w:rPr>
              <w:t>with</w:t>
            </w:r>
            <w:r w:rsidRPr="005D4222">
              <w:t xml:space="preserve"> </w:t>
            </w:r>
            <w:r w:rsidRPr="005D4222">
              <w:rPr>
                <w:u w:val="single"/>
              </w:rPr>
              <w:t>Schizophrenia Value Set</w:t>
            </w:r>
            <w:r w:rsidRPr="005D4222">
              <w:t>).</w:t>
            </w:r>
          </w:p>
        </w:tc>
      </w:tr>
    </w:tbl>
    <w:p w14:paraId="2B6A62F2" w14:textId="77777777" w:rsidR="00097717" w:rsidRPr="005D4222" w:rsidRDefault="00097717">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F22965" w:rsidRPr="005D4222" w14:paraId="609CFA50" w14:textId="77777777">
        <w:trPr>
          <w:trHeight w:val="320"/>
        </w:trPr>
        <w:tc>
          <w:tcPr>
            <w:tcW w:w="2157" w:type="dxa"/>
            <w:shd w:val="clear" w:color="auto" w:fill="BFBFBF" w:themeFill="background1" w:themeFillShade="BF"/>
            <w:tcMar>
              <w:top w:w="0" w:type="dxa"/>
              <w:left w:w="86" w:type="dxa"/>
              <w:bottom w:w="43" w:type="dxa"/>
              <w:right w:w="86" w:type="dxa"/>
            </w:tcMar>
          </w:tcPr>
          <w:p w14:paraId="6147D9EE" w14:textId="77777777" w:rsidR="00F22965" w:rsidRPr="005D4222" w:rsidDel="006248BE" w:rsidRDefault="00F22965">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F4C84E8" w14:textId="77777777" w:rsidR="00F22965" w:rsidRPr="005D4222" w:rsidRDefault="00F22965" w:rsidP="00F22965">
            <w:pPr>
              <w:pStyle w:val="Dash"/>
              <w:tabs>
                <w:tab w:val="left" w:pos="576"/>
                <w:tab w:val="left" w:pos="792"/>
              </w:tabs>
              <w:spacing w:before="80" w:after="80"/>
              <w:rPr>
                <w:rFonts w:asciiTheme="majorHAnsi" w:eastAsiaTheme="majorEastAsia" w:hAnsiTheme="majorHAnsi"/>
                <w:color w:val="2F5496" w:themeColor="accent1" w:themeShade="BF"/>
              </w:rPr>
            </w:pPr>
            <w:r w:rsidRPr="005D4222">
              <w:t>An intensive outpatient encounter or partial hospitalization with any diagnosis of schizophrenia or schizoaffective disorder (</w:t>
            </w:r>
            <w:r w:rsidRPr="005D4222">
              <w:rPr>
                <w:u w:val="single"/>
              </w:rPr>
              <w:t>Visit Setting Unspecified Value Set</w:t>
            </w:r>
            <w:r w:rsidRPr="005D4222">
              <w:t xml:space="preserve"> </w:t>
            </w:r>
            <w:r w:rsidRPr="005D4222">
              <w:rPr>
                <w:b/>
                <w:bCs/>
                <w:i/>
                <w:iCs/>
              </w:rPr>
              <w:t>with</w:t>
            </w:r>
            <w:r w:rsidRPr="005D4222">
              <w:t xml:space="preserve"> POS code 52</w:t>
            </w:r>
            <w:r w:rsidRPr="005D4222">
              <w:rPr>
                <w:b/>
                <w:bCs/>
                <w:i/>
                <w:iCs/>
              </w:rPr>
              <w:t xml:space="preserve"> with</w:t>
            </w:r>
            <w:r w:rsidRPr="005D4222">
              <w:t xml:space="preserve"> </w:t>
            </w:r>
            <w:r w:rsidRPr="005D4222">
              <w:rPr>
                <w:u w:val="single"/>
              </w:rPr>
              <w:t>Schizophrenia Value Set</w:t>
            </w:r>
            <w:r w:rsidRPr="005D4222">
              <w:t xml:space="preserve">). </w:t>
            </w:r>
          </w:p>
          <w:p w14:paraId="1C8072A1" w14:textId="77777777" w:rsidR="00F22965" w:rsidRPr="005D4222" w:rsidRDefault="00F22965" w:rsidP="00F22965">
            <w:pPr>
              <w:pStyle w:val="Dash"/>
              <w:tabs>
                <w:tab w:val="left" w:pos="576"/>
                <w:tab w:val="left" w:pos="792"/>
              </w:tabs>
              <w:spacing w:before="80"/>
            </w:pPr>
            <w:r w:rsidRPr="005D4222">
              <w:t>An intensive outpatient encounter or partial hospitalization with any diagnosis of schizophrenia or schizoaffective disorder (</w:t>
            </w:r>
            <w:r w:rsidRPr="005D4222">
              <w:rPr>
                <w:u w:val="single"/>
              </w:rPr>
              <w:t>Partial Hospitalization or Intensive Outpatient Value Set</w:t>
            </w:r>
            <w:r w:rsidRPr="005D4222">
              <w:t xml:space="preserve"> </w:t>
            </w:r>
            <w:r w:rsidRPr="005D4222">
              <w:rPr>
                <w:b/>
                <w:bCs/>
                <w:i/>
                <w:iCs/>
              </w:rPr>
              <w:t>with</w:t>
            </w:r>
            <w:r w:rsidRPr="005D4222">
              <w:t xml:space="preserve"> </w:t>
            </w:r>
            <w:r w:rsidRPr="005D4222">
              <w:rPr>
                <w:u w:val="single"/>
              </w:rPr>
              <w:t>Schizophrenia Value Set</w:t>
            </w:r>
            <w:r w:rsidRPr="005D4222">
              <w:t xml:space="preserve">). </w:t>
            </w:r>
          </w:p>
          <w:p w14:paraId="06BA44F0" w14:textId="77777777" w:rsidR="00F22965" w:rsidRPr="005D4222" w:rsidRDefault="00F22965" w:rsidP="00F22965">
            <w:pPr>
              <w:pStyle w:val="Dash"/>
              <w:tabs>
                <w:tab w:val="left" w:pos="576"/>
                <w:tab w:val="left" w:pos="792"/>
              </w:tabs>
            </w:pPr>
            <w:r w:rsidRPr="005D4222">
              <w:t>A community mental health center visit with any diagnosis of schizophrenia or schizoaffective disorder (</w:t>
            </w:r>
            <w:r w:rsidRPr="005D4222">
              <w:rPr>
                <w:u w:val="single"/>
              </w:rPr>
              <w:t>Visit Setting Unspecified Value Set</w:t>
            </w:r>
            <w:r w:rsidRPr="005D4222">
              <w:t xml:space="preserve"> </w:t>
            </w:r>
            <w:r w:rsidRPr="005D4222">
              <w:rPr>
                <w:b/>
                <w:bCs/>
                <w:i/>
                <w:iCs/>
              </w:rPr>
              <w:t>with</w:t>
            </w:r>
            <w:r w:rsidRPr="005D4222">
              <w:t xml:space="preserve"> POS code 53 </w:t>
            </w:r>
            <w:r w:rsidRPr="005D4222">
              <w:rPr>
                <w:b/>
                <w:bCs/>
                <w:i/>
                <w:iCs/>
              </w:rPr>
              <w:t>with</w:t>
            </w:r>
            <w:r w:rsidRPr="005D4222">
              <w:t xml:space="preserve"> </w:t>
            </w:r>
            <w:r w:rsidRPr="005D4222">
              <w:rPr>
                <w:u w:val="single"/>
              </w:rPr>
              <w:t>Schizophrenia Value Set</w:t>
            </w:r>
            <w:r w:rsidRPr="005D4222">
              <w:t xml:space="preserve">). </w:t>
            </w:r>
          </w:p>
          <w:p w14:paraId="32F35260" w14:textId="77777777" w:rsidR="00F22965" w:rsidRPr="005D4222" w:rsidRDefault="00F22965" w:rsidP="00F22965">
            <w:pPr>
              <w:pStyle w:val="Dash"/>
              <w:tabs>
                <w:tab w:val="left" w:pos="576"/>
                <w:tab w:val="left" w:pos="792"/>
              </w:tabs>
            </w:pPr>
            <w:r w:rsidRPr="005D4222">
              <w:t>Electroconvulsive therapy (</w:t>
            </w:r>
            <w:r w:rsidRPr="005D4222">
              <w:rPr>
                <w:u w:val="single"/>
              </w:rPr>
              <w:t>Electroconvulsive Therapy Value Set</w:t>
            </w:r>
            <w:r w:rsidRPr="005D4222">
              <w:t xml:space="preserve">) </w:t>
            </w:r>
            <w:r w:rsidRPr="005D4222">
              <w:rPr>
                <w:b/>
                <w:bCs/>
                <w:i/>
                <w:iCs/>
              </w:rPr>
              <w:t>with</w:t>
            </w:r>
            <w:r w:rsidRPr="005D4222">
              <w:t xml:space="preserve"> any diagnosis of schizophrenia or schizoaffective disorder (</w:t>
            </w:r>
            <w:r w:rsidRPr="005D4222">
              <w:rPr>
                <w:u w:val="single"/>
              </w:rPr>
              <w:t>Schizophrenia Value Set</w:t>
            </w:r>
            <w:r w:rsidRPr="005D4222">
              <w:t xml:space="preserve">). </w:t>
            </w:r>
          </w:p>
          <w:p w14:paraId="3BAC06A4" w14:textId="77777777" w:rsidR="00F22965" w:rsidRPr="005D4222" w:rsidRDefault="00F22965" w:rsidP="00F22965">
            <w:pPr>
              <w:pStyle w:val="Dash"/>
              <w:tabs>
                <w:tab w:val="left" w:pos="576"/>
                <w:tab w:val="left" w:pos="792"/>
              </w:tabs>
            </w:pPr>
            <w:r w:rsidRPr="005D4222">
              <w:t>An ED visit (</w:t>
            </w:r>
            <w:r w:rsidRPr="005D4222">
              <w:rPr>
                <w:u w:val="single"/>
              </w:rPr>
              <w:t>ED Value Set</w:t>
            </w:r>
            <w:r w:rsidRPr="005D4222">
              <w:t xml:space="preserve">) </w:t>
            </w:r>
            <w:r w:rsidRPr="005D4222">
              <w:rPr>
                <w:b/>
                <w:bCs/>
                <w:i/>
                <w:iCs/>
              </w:rPr>
              <w:t>with</w:t>
            </w:r>
            <w:r w:rsidRPr="005D4222">
              <w:t xml:space="preserve"> any diagnosis of schizophrenia or schizoaffective disorder (</w:t>
            </w:r>
            <w:r w:rsidRPr="005D4222">
              <w:rPr>
                <w:u w:val="single"/>
              </w:rPr>
              <w:t>Schizophrenia Value Set</w:t>
            </w:r>
            <w:r w:rsidRPr="005D4222">
              <w:t xml:space="preserve">). </w:t>
            </w:r>
          </w:p>
          <w:p w14:paraId="51878C48" w14:textId="77777777" w:rsidR="00F22965" w:rsidRPr="005D4222" w:rsidRDefault="00F22965" w:rsidP="00F22965">
            <w:pPr>
              <w:pStyle w:val="Dash"/>
              <w:tabs>
                <w:tab w:val="left" w:pos="576"/>
                <w:tab w:val="left" w:pos="792"/>
              </w:tabs>
            </w:pPr>
            <w:r w:rsidRPr="005D4222">
              <w:t>An ED visit with any diagnosis of schizophrenia or schizoaffective disorder (</w:t>
            </w:r>
            <w:r w:rsidRPr="005D4222">
              <w:rPr>
                <w:u w:val="single"/>
              </w:rPr>
              <w:t>Visit Setting Unspecified Value Set</w:t>
            </w:r>
            <w:r w:rsidRPr="005D4222">
              <w:t xml:space="preserve"> </w:t>
            </w:r>
            <w:r w:rsidRPr="005D4222">
              <w:rPr>
                <w:b/>
                <w:bCs/>
                <w:i/>
                <w:iCs/>
              </w:rPr>
              <w:t>with</w:t>
            </w:r>
            <w:r w:rsidRPr="005D4222">
              <w:t xml:space="preserve"> POS code 23</w:t>
            </w:r>
            <w:r w:rsidRPr="005D4222">
              <w:rPr>
                <w:b/>
                <w:bCs/>
                <w:i/>
                <w:iCs/>
              </w:rPr>
              <w:t xml:space="preserve"> with</w:t>
            </w:r>
            <w:r w:rsidRPr="005D4222">
              <w:t xml:space="preserve"> </w:t>
            </w:r>
            <w:r w:rsidRPr="005D4222">
              <w:rPr>
                <w:u w:val="single"/>
              </w:rPr>
              <w:t>Schizophrenia Value Set</w:t>
            </w:r>
            <w:r w:rsidRPr="005D4222">
              <w:t>).</w:t>
            </w:r>
          </w:p>
          <w:p w14:paraId="581D83AA" w14:textId="77777777" w:rsidR="00F22965" w:rsidRPr="005D4222" w:rsidRDefault="00F22965" w:rsidP="00F22965">
            <w:pPr>
              <w:pStyle w:val="Dash"/>
              <w:tabs>
                <w:tab w:val="left" w:pos="576"/>
                <w:tab w:val="left" w:pos="792"/>
              </w:tabs>
            </w:pPr>
            <w:r w:rsidRPr="005D4222">
              <w:t>A nonacute inpatient encounter (</w:t>
            </w:r>
            <w:r w:rsidRPr="005D4222">
              <w:rPr>
                <w:u w:val="single"/>
              </w:rPr>
              <w:t>BH Stand Alone Nonacute Inpatient Value Set</w:t>
            </w:r>
            <w:r w:rsidRPr="005D4222">
              <w:t xml:space="preserve">) </w:t>
            </w:r>
            <w:r w:rsidRPr="005D4222">
              <w:rPr>
                <w:b/>
                <w:bCs/>
                <w:i/>
                <w:iCs/>
              </w:rPr>
              <w:t>with</w:t>
            </w:r>
            <w:r w:rsidRPr="005D4222">
              <w:t xml:space="preserve"> any diagnosis of schizophrenia or schizoaffective disorder (</w:t>
            </w:r>
            <w:r w:rsidRPr="005D4222">
              <w:rPr>
                <w:u w:val="single"/>
              </w:rPr>
              <w:t>Schizophrenia Value Set</w:t>
            </w:r>
            <w:r w:rsidRPr="005D4222">
              <w:t>).</w:t>
            </w:r>
          </w:p>
          <w:p w14:paraId="7F5104F8" w14:textId="77777777" w:rsidR="00F22965" w:rsidRPr="005D4222" w:rsidRDefault="00F22965" w:rsidP="00F22965">
            <w:pPr>
              <w:pStyle w:val="Dash"/>
              <w:tabs>
                <w:tab w:val="left" w:pos="576"/>
                <w:tab w:val="left" w:pos="792"/>
              </w:tabs>
            </w:pPr>
            <w:r w:rsidRPr="005D4222">
              <w:t>A nonacute inpatient encounter with any diagnosis of schizophrenia or schizoaffective disorder (</w:t>
            </w:r>
            <w:r w:rsidRPr="005D4222">
              <w:rPr>
                <w:u w:val="single"/>
              </w:rPr>
              <w:t>Visit Setting Unspecified Value Set</w:t>
            </w:r>
            <w:r w:rsidRPr="005D4222">
              <w:t xml:space="preserve"> </w:t>
            </w:r>
            <w:r w:rsidRPr="005D4222">
              <w:rPr>
                <w:b/>
                <w:bCs/>
                <w:i/>
                <w:iCs/>
              </w:rPr>
              <w:t>with</w:t>
            </w:r>
            <w:r w:rsidRPr="005D4222">
              <w:t xml:space="preserve"> </w:t>
            </w:r>
            <w:r w:rsidRPr="005D4222">
              <w:rPr>
                <w:u w:val="single"/>
              </w:rPr>
              <w:t>Nonacute Inpatient POS Value Set</w:t>
            </w:r>
            <w:r w:rsidRPr="005D4222">
              <w:t xml:space="preserve"> </w:t>
            </w:r>
            <w:r w:rsidRPr="005D4222">
              <w:rPr>
                <w:b/>
                <w:bCs/>
                <w:i/>
                <w:iCs/>
              </w:rPr>
              <w:t>with</w:t>
            </w:r>
            <w:r w:rsidRPr="005D4222">
              <w:t xml:space="preserve"> </w:t>
            </w:r>
            <w:r w:rsidRPr="005D4222">
              <w:rPr>
                <w:u w:val="single"/>
              </w:rPr>
              <w:t>Schizophrenia Value Set</w:t>
            </w:r>
            <w:r w:rsidRPr="005D4222">
              <w:t>).</w:t>
            </w:r>
          </w:p>
          <w:p w14:paraId="623893BB" w14:textId="77777777" w:rsidR="00F22965" w:rsidRPr="005D4222" w:rsidRDefault="00F22965" w:rsidP="00F22965">
            <w:pPr>
              <w:pStyle w:val="Dash"/>
              <w:tabs>
                <w:tab w:val="left" w:pos="576"/>
                <w:tab w:val="left" w:pos="792"/>
              </w:tabs>
              <w:rPr>
                <w:rFonts w:cs="Arial"/>
                <w:bCs/>
              </w:rPr>
            </w:pPr>
            <w:r w:rsidRPr="005D4222">
              <w:t>A telehealth visit with any diagnosis of schizophrenia or schizoaffective disorder (</w:t>
            </w:r>
            <w:r w:rsidRPr="005D4222">
              <w:rPr>
                <w:u w:val="single"/>
              </w:rPr>
              <w:t>Visit Setting Unspecified Value Set</w:t>
            </w:r>
            <w:r w:rsidRPr="005D4222">
              <w:t xml:space="preserve"> </w:t>
            </w:r>
            <w:r w:rsidRPr="005D4222">
              <w:rPr>
                <w:b/>
                <w:bCs/>
                <w:i/>
                <w:iCs/>
              </w:rPr>
              <w:t>with</w:t>
            </w:r>
            <w:r w:rsidRPr="005D4222">
              <w:t xml:space="preserve"> </w:t>
            </w:r>
            <w:r w:rsidRPr="005D4222">
              <w:rPr>
                <w:u w:val="single"/>
              </w:rPr>
              <w:t>Telehealth POS Value Set</w:t>
            </w:r>
            <w:r w:rsidRPr="005D4222">
              <w:rPr>
                <w:b/>
                <w:bCs/>
                <w:i/>
                <w:iCs/>
              </w:rPr>
              <w:t xml:space="preserve"> with</w:t>
            </w:r>
            <w:r w:rsidRPr="005D4222">
              <w:t xml:space="preserve"> </w:t>
            </w:r>
            <w:r w:rsidRPr="005D4222">
              <w:rPr>
                <w:u w:val="single"/>
              </w:rPr>
              <w:t>Schizophrenia Value Set</w:t>
            </w:r>
            <w:r w:rsidRPr="005D4222">
              <w:t>).</w:t>
            </w:r>
          </w:p>
          <w:p w14:paraId="2F884DAB" w14:textId="77777777" w:rsidR="00F22965" w:rsidRPr="005D4222" w:rsidRDefault="00F22965" w:rsidP="00F22965">
            <w:pPr>
              <w:pStyle w:val="Dash"/>
              <w:tabs>
                <w:tab w:val="left" w:pos="576"/>
                <w:tab w:val="left" w:pos="792"/>
              </w:tabs>
            </w:pPr>
            <w:r w:rsidRPr="005D4222">
              <w:t>A telephone visit (</w:t>
            </w:r>
            <w:r w:rsidRPr="005D4222">
              <w:rPr>
                <w:u w:val="single"/>
              </w:rPr>
              <w:t>Telephone Visits Value Set</w:t>
            </w:r>
            <w:r w:rsidRPr="005D4222">
              <w:t xml:space="preserve">) </w:t>
            </w:r>
            <w:r w:rsidRPr="005D4222">
              <w:rPr>
                <w:b/>
                <w:bCs/>
                <w:i/>
                <w:iCs/>
              </w:rPr>
              <w:t>with</w:t>
            </w:r>
            <w:r w:rsidRPr="005D4222">
              <w:t xml:space="preserve"> any diagnosis of schizophrenia or schizoaffective disorder (</w:t>
            </w:r>
            <w:r w:rsidRPr="005D4222">
              <w:rPr>
                <w:u w:val="single"/>
              </w:rPr>
              <w:t>Schizophrenia Value Set</w:t>
            </w:r>
            <w:r w:rsidRPr="005D4222">
              <w:t>).</w:t>
            </w:r>
          </w:p>
          <w:p w14:paraId="1B185FB5" w14:textId="77777777" w:rsidR="00F22965" w:rsidRPr="005D4222" w:rsidRDefault="00F22965" w:rsidP="00F22965">
            <w:pPr>
              <w:pStyle w:val="Dash"/>
              <w:tabs>
                <w:tab w:val="left" w:pos="576"/>
                <w:tab w:val="left" w:pos="792"/>
              </w:tabs>
            </w:pPr>
            <w:r w:rsidRPr="005D4222">
              <w:t>An e-visit or virtual check-in (</w:t>
            </w:r>
            <w:r w:rsidRPr="005D4222">
              <w:rPr>
                <w:u w:val="single"/>
              </w:rPr>
              <w:t>Online Assessments Value Set</w:t>
            </w:r>
            <w:r w:rsidRPr="005D4222">
              <w:t xml:space="preserve">) </w:t>
            </w:r>
            <w:r w:rsidRPr="005D4222">
              <w:rPr>
                <w:b/>
                <w:bCs/>
                <w:i/>
                <w:iCs/>
              </w:rPr>
              <w:t>with</w:t>
            </w:r>
            <w:r w:rsidRPr="005D4222">
              <w:t xml:space="preserve"> any diagnosis of schizophrenia or schizoaffective disorder (</w:t>
            </w:r>
            <w:r w:rsidRPr="005D4222">
              <w:rPr>
                <w:u w:val="single"/>
              </w:rPr>
              <w:t>Schizophrenia Value Set</w:t>
            </w:r>
            <w:r w:rsidRPr="005D4222">
              <w:t>).</w:t>
            </w:r>
          </w:p>
          <w:p w14:paraId="111C5A47" w14:textId="77777777" w:rsidR="00F22965" w:rsidRPr="005D4222" w:rsidRDefault="00F22965">
            <w:pPr>
              <w:pStyle w:val="ECDSBody"/>
            </w:pPr>
            <w:r w:rsidRPr="005D4222">
              <w:rPr>
                <w:b/>
              </w:rPr>
              <w:t>Step 2</w:t>
            </w:r>
            <w:r w:rsidRPr="005D4222">
              <w:rPr>
                <w:b/>
                <w:i/>
                <w:iCs/>
              </w:rPr>
              <w:t xml:space="preserve">. </w:t>
            </w:r>
            <w:r w:rsidRPr="005D4222">
              <w:t>Identify persons from step 1 who also have diabetes. Either of the following meets criteria:</w:t>
            </w:r>
          </w:p>
          <w:p w14:paraId="07C02020" w14:textId="77777777" w:rsidR="00F22965" w:rsidRPr="005D4222" w:rsidRDefault="00F22965" w:rsidP="00F22965">
            <w:pPr>
              <w:pStyle w:val="Bullet"/>
              <w:numPr>
                <w:ilvl w:val="0"/>
                <w:numId w:val="4"/>
              </w:numPr>
              <w:tabs>
                <w:tab w:val="left" w:pos="360"/>
                <w:tab w:val="left" w:pos="576"/>
              </w:tabs>
              <w:ind w:left="576" w:hanging="216"/>
            </w:pPr>
            <w:r w:rsidRPr="005D4222">
              <w:rPr>
                <w:i/>
                <w:iCs/>
              </w:rPr>
              <w:t>Claim/encounter data.</w:t>
            </w:r>
            <w:r w:rsidRPr="005D4222">
              <w:t xml:space="preserve"> At least two diagnoses of diabetes (</w:t>
            </w:r>
            <w:r w:rsidRPr="005D4222">
              <w:rPr>
                <w:u w:val="single"/>
              </w:rPr>
              <w:t>Diabetes Value Set</w:t>
            </w:r>
            <w:r w:rsidRPr="005D4222">
              <w:t>*) on different dates of service during the measurement period or the year prior to the measurement period.</w:t>
            </w:r>
          </w:p>
          <w:p w14:paraId="709D264B" w14:textId="77777777" w:rsidR="00F22965" w:rsidRPr="005D4222" w:rsidRDefault="00F22965" w:rsidP="00F22965">
            <w:pPr>
              <w:pStyle w:val="Bullet"/>
              <w:numPr>
                <w:ilvl w:val="0"/>
                <w:numId w:val="4"/>
              </w:numPr>
              <w:tabs>
                <w:tab w:val="left" w:pos="360"/>
                <w:tab w:val="left" w:pos="576"/>
              </w:tabs>
              <w:spacing w:after="80"/>
              <w:ind w:left="576" w:hanging="216"/>
            </w:pPr>
            <w:r w:rsidRPr="005D4222">
              <w:rPr>
                <w:i/>
                <w:iCs/>
              </w:rPr>
              <w:t>Pharmacy data.</w:t>
            </w:r>
            <w:r w:rsidRPr="005D4222">
              <w:t xml:space="preserve"> At least one diagnosis of diabetes (</w:t>
            </w:r>
            <w:r w:rsidRPr="005D4222">
              <w:rPr>
                <w:u w:val="single"/>
              </w:rPr>
              <w:t>Diabetes Value Set</w:t>
            </w:r>
            <w:r w:rsidRPr="005D4222">
              <w:t xml:space="preserve">*) </w:t>
            </w:r>
            <w:r w:rsidRPr="005D4222">
              <w:rPr>
                <w:b/>
                <w:bCs/>
                <w:i/>
                <w:iCs/>
              </w:rPr>
              <w:t xml:space="preserve">and </w:t>
            </w:r>
            <w:r w:rsidRPr="005D4222">
              <w:t>at least one diabetes medication dispensing event of insulin or a hypoglycemic/antihyperglycemic medication (</w:t>
            </w:r>
            <w:r w:rsidRPr="005D4222">
              <w:rPr>
                <w:u w:val="single"/>
              </w:rPr>
              <w:t>Diabetes Medications List</w:t>
            </w:r>
            <w:r w:rsidRPr="005D4222">
              <w:t>) during the measurement period or the year prior to the measurement period. </w:t>
            </w:r>
          </w:p>
          <w:p w14:paraId="57D2EDB3" w14:textId="77777777" w:rsidR="00F22965" w:rsidRPr="005D4222" w:rsidRDefault="00F22965">
            <w:pPr>
              <w:pStyle w:val="ECDSBody"/>
              <w:spacing w:before="180" w:after="0"/>
              <w:rPr>
                <w:rFonts w:eastAsia="Arial,Arial,Arial,Arial,Arial,A"/>
                <w:b/>
                <w:bCs w:val="0"/>
              </w:rPr>
            </w:pPr>
            <w:r w:rsidRPr="005D4222">
              <w:rPr>
                <w:rFonts w:eastAsia="Arial,Arial,Arial,Arial,Arial,A"/>
                <w:b/>
                <w:bCs w:val="0"/>
              </w:rPr>
              <w:t>Coding Guidance</w:t>
            </w:r>
          </w:p>
          <w:p w14:paraId="51F5DFF1" w14:textId="77777777" w:rsidR="00F22965" w:rsidRPr="005D4222" w:rsidRDefault="00F22965">
            <w:pPr>
              <w:pStyle w:val="ECDSBody"/>
              <w:spacing w:before="0"/>
              <w:rPr>
                <w:i/>
                <w:iCs/>
              </w:rPr>
            </w:pPr>
            <w:r w:rsidRPr="005D4222">
              <w:rPr>
                <w:rFonts w:eastAsia="Arial,Arial,Arial,Arial,Arial,A"/>
              </w:rPr>
              <w:t>*Do not include laboratory claims (claims with POS code 81).</w:t>
            </w:r>
          </w:p>
        </w:tc>
      </w:tr>
    </w:tbl>
    <w:p w14:paraId="3E52E979" w14:textId="77777777" w:rsidR="00020CC5" w:rsidRPr="005D4222" w:rsidRDefault="00020CC5"/>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F22965" w:rsidRPr="005D4222" w14:paraId="361A18E9"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11A2A96" w14:textId="6E2428E3" w:rsidR="00F22965" w:rsidRPr="005D4222" w:rsidRDefault="00020CC5">
            <w:pPr>
              <w:pStyle w:val="MarginHead"/>
            </w:pPr>
            <w:r w:rsidRPr="005D4222">
              <w:lastRenderedPageBreak/>
              <w:t>Denominator exclusions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0DACEED4" w14:textId="77777777" w:rsidR="00020CC5" w:rsidRPr="005D4222" w:rsidRDefault="00020CC5" w:rsidP="00020CC5">
            <w:pPr>
              <w:pStyle w:val="ECDSBody"/>
            </w:pPr>
            <w:r w:rsidRPr="005D4222">
              <w:rPr>
                <w:b/>
              </w:rPr>
              <w:t>Persons with a date of death.</w:t>
            </w:r>
            <w:r w:rsidRPr="005D4222">
              <w:rPr>
                <w:b/>
              </w:rPr>
              <w:br/>
            </w:r>
            <w:r w:rsidRPr="005D4222">
              <w:t xml:space="preserve">Death in the measurement period, identified using data sources determined by the organization. Method and data sources are subject to review during the HEDIS audit.  </w:t>
            </w:r>
          </w:p>
          <w:p w14:paraId="63E07CA1" w14:textId="77777777" w:rsidR="00F22965" w:rsidRPr="005D4222" w:rsidRDefault="00F22965">
            <w:pPr>
              <w:pStyle w:val="ECDSBody"/>
              <w:rPr>
                <w:b/>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F22965" w:rsidRPr="005D4222" w14:paraId="7ADFF6CC" w14:textId="77777777">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23A8195" w14:textId="77777777" w:rsidR="00F22965" w:rsidRPr="005D4222" w:rsidRDefault="00F22965">
            <w:pPr>
              <w:pStyle w:val="MarginHead"/>
            </w:pPr>
            <w:r w:rsidRPr="005D4222">
              <w:t>Denominator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989E9ED" w14:textId="77777777" w:rsidR="00F22965" w:rsidRPr="005D4222" w:rsidRDefault="00F22965">
            <w:pPr>
              <w:pStyle w:val="ProcessBullet"/>
              <w:numPr>
                <w:ilvl w:val="0"/>
                <w:numId w:val="0"/>
              </w:numPr>
              <w:spacing w:before="120"/>
              <w:ind w:left="216" w:hanging="216"/>
              <w:rPr>
                <w:b/>
                <w:bCs/>
              </w:rPr>
            </w:pPr>
            <w:r w:rsidRPr="005D4222">
              <w:rPr>
                <w:rFonts w:eastAsia="Arial,Arial,Arial,Arial,Arial,A"/>
              </w:rPr>
              <w:t>The initial population minus denominator exclusions.</w:t>
            </w:r>
          </w:p>
        </w:tc>
      </w:tr>
      <w:tr w:rsidR="00F22965" w:rsidRPr="005D4222" w14:paraId="306568F2" w14:textId="77777777">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D0BD7CF" w14:textId="77777777" w:rsidR="00F22965" w:rsidRPr="005D4222" w:rsidRDefault="00F22965">
            <w:pPr>
              <w:pStyle w:val="MarginHead"/>
            </w:pPr>
            <w:r w:rsidRPr="005D4222">
              <w:t>Numerator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4A630906" w14:textId="77777777" w:rsidR="00F22965" w:rsidRPr="005D4222" w:rsidRDefault="00F22965">
            <w:pPr>
              <w:pStyle w:val="ECDSBody"/>
            </w:pPr>
            <w:r w:rsidRPr="005D4222">
              <w:rPr>
                <w:b/>
                <w:bCs w:val="0"/>
              </w:rPr>
              <w:t>Persons who had both an HbA1c and LDL-C test performed during the measurement period.</w:t>
            </w:r>
            <w:r w:rsidRPr="005D4222">
              <w:rPr>
                <w:b/>
                <w:bCs w:val="0"/>
              </w:rPr>
              <w:br/>
            </w:r>
            <w:r w:rsidRPr="005D4222">
              <w:t>An HbA1c and LDL-C test performed during the measurement period (on the same or different dates of service). The person must have both tests to be included in the numerator. The organization may use a calculated or direct LDL.</w:t>
            </w:r>
          </w:p>
          <w:p w14:paraId="545E0983" w14:textId="77777777" w:rsidR="00F22965" w:rsidRPr="005D4222" w:rsidRDefault="00F22965" w:rsidP="005D6173">
            <w:pPr>
              <w:pStyle w:val="Body"/>
              <w:numPr>
                <w:ilvl w:val="0"/>
                <w:numId w:val="71"/>
              </w:numPr>
              <w:spacing w:before="80"/>
              <w:ind w:left="576" w:hanging="216"/>
            </w:pPr>
            <w:r w:rsidRPr="005D4222">
              <w:rPr>
                <w:u w:val="single"/>
              </w:rPr>
              <w:t>HbA1c Lab Test Value Set</w:t>
            </w:r>
            <w:r w:rsidRPr="005D4222">
              <w:t>.</w:t>
            </w:r>
          </w:p>
          <w:p w14:paraId="369FDABB" w14:textId="77777777" w:rsidR="00F22965" w:rsidRPr="005D4222" w:rsidRDefault="00F22965" w:rsidP="005D6173">
            <w:pPr>
              <w:pStyle w:val="Body"/>
              <w:numPr>
                <w:ilvl w:val="0"/>
                <w:numId w:val="71"/>
              </w:numPr>
              <w:spacing w:before="80"/>
              <w:ind w:left="576" w:hanging="216"/>
            </w:pPr>
            <w:r w:rsidRPr="005D4222">
              <w:rPr>
                <w:u w:val="single"/>
              </w:rPr>
              <w:t>HbA1c Test Result or Finding Value Set</w:t>
            </w:r>
            <w:r w:rsidRPr="005D4222">
              <w:t>*</w:t>
            </w:r>
            <w:r w:rsidRPr="005D4222">
              <w:rPr>
                <w:rFonts w:ascii="Arial Narrow" w:eastAsia="Arial Narrow" w:hAnsi="Arial Narrow" w:cs="Arial Narrow"/>
              </w:rPr>
              <w:t>†.</w:t>
            </w:r>
          </w:p>
          <w:p w14:paraId="2D97003E" w14:textId="77777777" w:rsidR="00F22965" w:rsidRPr="005D4222" w:rsidRDefault="00F22965" w:rsidP="005D6173">
            <w:pPr>
              <w:pStyle w:val="Body"/>
              <w:numPr>
                <w:ilvl w:val="0"/>
                <w:numId w:val="71"/>
              </w:numPr>
              <w:spacing w:before="80"/>
              <w:ind w:left="576" w:hanging="216"/>
            </w:pPr>
            <w:r w:rsidRPr="005D4222">
              <w:rPr>
                <w:u w:val="single"/>
              </w:rPr>
              <w:t>LDL C Lab Test Value Set</w:t>
            </w:r>
            <w:r w:rsidRPr="005D4222">
              <w:t>.</w:t>
            </w:r>
          </w:p>
          <w:p w14:paraId="14F108DE" w14:textId="77777777" w:rsidR="00F22965" w:rsidRPr="005D4222" w:rsidRDefault="00F22965" w:rsidP="005D6173">
            <w:pPr>
              <w:pStyle w:val="Body"/>
              <w:numPr>
                <w:ilvl w:val="0"/>
                <w:numId w:val="71"/>
              </w:numPr>
              <w:spacing w:before="80"/>
              <w:ind w:left="576" w:hanging="216"/>
            </w:pPr>
            <w:r w:rsidRPr="005D4222">
              <w:rPr>
                <w:u w:val="single"/>
              </w:rPr>
              <w:t>LDL C Test Result or Finding Value Set</w:t>
            </w:r>
            <w:r w:rsidRPr="005D4222">
              <w:t>*</w:t>
            </w:r>
            <w:r w:rsidRPr="005D4222">
              <w:rPr>
                <w:rFonts w:ascii="Arial Narrow" w:eastAsia="Arial Narrow" w:hAnsi="Arial Narrow" w:cs="Arial Narrow"/>
              </w:rPr>
              <w:t>†</w:t>
            </w:r>
            <w:r w:rsidRPr="005D4222">
              <w:t xml:space="preserve">. </w:t>
            </w:r>
          </w:p>
          <w:p w14:paraId="7DEDE4EB" w14:textId="77777777" w:rsidR="00F22965" w:rsidRPr="005D4222" w:rsidRDefault="00F22965">
            <w:pPr>
              <w:pStyle w:val="ECDSBody"/>
              <w:spacing w:before="180" w:after="0"/>
              <w:rPr>
                <w:b/>
                <w:bCs w:val="0"/>
              </w:rPr>
            </w:pPr>
            <w:r w:rsidRPr="005D4222">
              <w:rPr>
                <w:b/>
                <w:bCs w:val="0"/>
              </w:rPr>
              <w:t>Coding Guidance</w:t>
            </w:r>
          </w:p>
          <w:p w14:paraId="2A73F506" w14:textId="77777777" w:rsidR="00F22965" w:rsidRPr="005D4222" w:rsidRDefault="00F22965">
            <w:pPr>
              <w:pStyle w:val="ECDSBody"/>
              <w:spacing w:before="40" w:after="0"/>
              <w:rPr>
                <w:color w:val="000000"/>
                <w:szCs w:val="21"/>
              </w:rPr>
            </w:pPr>
            <w:r w:rsidRPr="005D4222">
              <w:rPr>
                <w:szCs w:val="21"/>
              </w:rPr>
              <w:t>*</w:t>
            </w:r>
            <w:r w:rsidRPr="005D4222">
              <w:rPr>
                <w:rStyle w:val="BodyChar1"/>
              </w:rPr>
              <w:t>Do not include laboratory claims (claims with POS code 81). </w:t>
            </w:r>
          </w:p>
          <w:p w14:paraId="3D8B9F27" w14:textId="77777777" w:rsidR="00F22965" w:rsidRPr="005D4222" w:rsidRDefault="00F22965">
            <w:pPr>
              <w:pStyle w:val="ECDSBody"/>
              <w:spacing w:before="0"/>
              <w:rPr>
                <w:rFonts w:eastAsia="Arial,Arial,Arial,Arial,Arial,A"/>
                <w:color w:val="000000" w:themeColor="text1"/>
                <w:highlight w:val="yellow"/>
              </w:rPr>
            </w:pPr>
            <w:r w:rsidRPr="005D4222">
              <w:rPr>
                <w:rFonts w:ascii="Arial Narrow" w:eastAsia="Arial Narrow" w:hAnsi="Arial Narrow" w:cs="Arial Narrow"/>
              </w:rPr>
              <w:t>†</w:t>
            </w:r>
            <w:r w:rsidRPr="005D4222">
              <w:t>Do not include codes with a modifier (</w:t>
            </w:r>
            <w:r w:rsidRPr="005D4222">
              <w:rPr>
                <w:u w:val="single"/>
              </w:rPr>
              <w:t>CPT CAT II Modifier Value Set</w:t>
            </w:r>
            <w:r w:rsidRPr="005D4222">
              <w:t xml:space="preserve">). </w:t>
            </w:r>
          </w:p>
        </w:tc>
      </w:tr>
      <w:tr w:rsidR="00F22965" w:rsidRPr="005D4222" w14:paraId="0139A3FF"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D77D438" w14:textId="77777777" w:rsidR="00F22965" w:rsidRPr="005D4222" w:rsidRDefault="00F22965">
            <w:pPr>
              <w:pStyle w:val="MarginHead"/>
            </w:pPr>
            <w:r w:rsidRPr="005D4222">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9154D0C" w14:textId="77777777" w:rsidR="00F22965" w:rsidRPr="005D4222" w:rsidRDefault="00F22965">
            <w:pPr>
              <w:pStyle w:val="ProcessBullet"/>
              <w:spacing w:before="120"/>
            </w:pPr>
            <w:r w:rsidRPr="005D4222">
              <w:t>No changes to this measure.</w:t>
            </w:r>
          </w:p>
        </w:tc>
      </w:tr>
      <w:tr w:rsidR="00F22965" w:rsidRPr="005D4222" w14:paraId="0B8B3CF8" w14:textId="77777777">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B5530ED" w14:textId="77777777" w:rsidR="00F22965" w:rsidRPr="005D4222" w:rsidRDefault="00F22965">
            <w:pPr>
              <w:pStyle w:val="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E42ABEC" w14:textId="77777777" w:rsidR="00F22965" w:rsidRPr="005D4222" w:rsidRDefault="00F22965">
            <w:pPr>
              <w:pStyle w:val="ECDSBody"/>
            </w:pPr>
            <w:r w:rsidRPr="005D4222">
              <w:t>Organizations that submit HEDIS data to NCQA must provide the following data elements.</w:t>
            </w:r>
          </w:p>
          <w:p w14:paraId="4ECA4813" w14:textId="77777777" w:rsidR="00F22965" w:rsidRPr="005D4222" w:rsidRDefault="00F22965">
            <w:pPr>
              <w:pStyle w:val="Heading3"/>
              <w:spacing w:before="120"/>
            </w:pPr>
            <w:r w:rsidRPr="005D4222">
              <w:t xml:space="preserve">Table SMD-1: Data Elements for Diabetes Monitoring for People With Diabetes and Schizophrenia </w:t>
            </w:r>
          </w:p>
          <w:tbl>
            <w:tblPr>
              <w:tblW w:w="73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876"/>
              <w:gridCol w:w="2430"/>
              <w:gridCol w:w="2070"/>
            </w:tblGrid>
            <w:tr w:rsidR="00F22965" w:rsidRPr="005D4222" w14:paraId="74CA8CC0" w14:textId="77777777">
              <w:tc>
                <w:tcPr>
                  <w:tcW w:w="2876"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hideMark/>
                </w:tcPr>
                <w:p w14:paraId="413BE019" w14:textId="77777777" w:rsidR="00F22965" w:rsidRPr="005D4222" w:rsidRDefault="00F22965">
                  <w:pPr>
                    <w:pStyle w:val="TableHead"/>
                  </w:pPr>
                  <w:r w:rsidRPr="005D4222">
                    <w:t>Metric</w:t>
                  </w:r>
                </w:p>
              </w:tc>
              <w:tc>
                <w:tcPr>
                  <w:tcW w:w="243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hideMark/>
                </w:tcPr>
                <w:p w14:paraId="3111037D" w14:textId="77777777" w:rsidR="00F22965" w:rsidRPr="005D4222" w:rsidRDefault="00F22965">
                  <w:pPr>
                    <w:pStyle w:val="TableHead"/>
                  </w:pPr>
                  <w:r w:rsidRPr="005D4222">
                    <w:t>Data Element</w:t>
                  </w:r>
                </w:p>
              </w:tc>
              <w:tc>
                <w:tcPr>
                  <w:tcW w:w="2070"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hideMark/>
                </w:tcPr>
                <w:p w14:paraId="74BF952B" w14:textId="77777777" w:rsidR="00F22965" w:rsidRPr="005D4222" w:rsidRDefault="00F22965">
                  <w:pPr>
                    <w:pStyle w:val="TableHead"/>
                  </w:pPr>
                  <w:r w:rsidRPr="005D4222">
                    <w:t>Reporting Instructions</w:t>
                  </w:r>
                </w:p>
              </w:tc>
            </w:tr>
            <w:tr w:rsidR="00F22965" w:rsidRPr="005D4222" w14:paraId="62A3F75E" w14:textId="77777777">
              <w:tc>
                <w:tcPr>
                  <w:tcW w:w="2876" w:type="dxa"/>
                  <w:tcBorders>
                    <w:top w:val="single" w:sz="4" w:space="0" w:color="000000" w:themeColor="text1"/>
                    <w:left w:val="single" w:sz="4" w:space="0" w:color="auto"/>
                    <w:bottom w:val="single" w:sz="4" w:space="0" w:color="auto"/>
                    <w:right w:val="single" w:sz="4" w:space="0" w:color="auto"/>
                  </w:tcBorders>
                  <w:hideMark/>
                </w:tcPr>
                <w:p w14:paraId="1986A4F4" w14:textId="77777777" w:rsidR="00F22965" w:rsidRPr="005D4222" w:rsidRDefault="00F22965">
                  <w:pPr>
                    <w:pStyle w:val="TableText"/>
                    <w:rPr>
                      <w:rFonts w:cs="Arial"/>
                      <w:szCs w:val="21"/>
                    </w:rPr>
                  </w:pPr>
                  <w:r w:rsidRPr="005D4222">
                    <w:rPr>
                      <w:rFonts w:cs="Arial"/>
                      <w:szCs w:val="21"/>
                    </w:rPr>
                    <w:t>DiabetesMonitoringSchizophrenia</w:t>
                  </w:r>
                </w:p>
              </w:tc>
              <w:tc>
                <w:tcPr>
                  <w:tcW w:w="2430" w:type="dxa"/>
                  <w:tcBorders>
                    <w:top w:val="single" w:sz="4" w:space="0" w:color="000000" w:themeColor="text1"/>
                    <w:left w:val="single" w:sz="4" w:space="0" w:color="auto"/>
                    <w:bottom w:val="single" w:sz="4" w:space="0" w:color="auto"/>
                    <w:right w:val="single" w:sz="4" w:space="0" w:color="auto"/>
                  </w:tcBorders>
                  <w:hideMark/>
                </w:tcPr>
                <w:p w14:paraId="5D72DA36" w14:textId="77777777" w:rsidR="00F22965" w:rsidRPr="005D4222" w:rsidRDefault="00F22965">
                  <w:pPr>
                    <w:pStyle w:val="TableText"/>
                    <w:rPr>
                      <w:rFonts w:cs="Arial"/>
                      <w:szCs w:val="21"/>
                    </w:rPr>
                  </w:pPr>
                  <w:r w:rsidRPr="005D4222">
                    <w:rPr>
                      <w:rFonts w:cs="Arial"/>
                      <w:szCs w:val="21"/>
                    </w:rPr>
                    <w:t xml:space="preserve">InitialPopulation </w:t>
                  </w:r>
                </w:p>
              </w:tc>
              <w:tc>
                <w:tcPr>
                  <w:tcW w:w="2070" w:type="dxa"/>
                  <w:tcBorders>
                    <w:top w:val="single" w:sz="4" w:space="0" w:color="000000" w:themeColor="text1"/>
                    <w:left w:val="single" w:sz="4" w:space="0" w:color="auto"/>
                    <w:bottom w:val="single" w:sz="6" w:space="0" w:color="auto"/>
                    <w:right w:val="single" w:sz="4" w:space="0" w:color="auto"/>
                  </w:tcBorders>
                  <w:hideMark/>
                </w:tcPr>
                <w:p w14:paraId="1A2A44F4" w14:textId="77777777" w:rsidR="00F22965" w:rsidRPr="005D4222" w:rsidRDefault="00F22965">
                  <w:pPr>
                    <w:pStyle w:val="TableText"/>
                    <w:rPr>
                      <w:rFonts w:eastAsia="Wingdings" w:cs="Arial"/>
                      <w:szCs w:val="21"/>
                    </w:rPr>
                  </w:pPr>
                  <w:r w:rsidRPr="005D4222">
                    <w:rPr>
                      <w:rFonts w:eastAsia="Wingdings" w:cs="Arial"/>
                      <w:szCs w:val="21"/>
                    </w:rPr>
                    <w:t>Report once</w:t>
                  </w:r>
                </w:p>
              </w:tc>
            </w:tr>
            <w:tr w:rsidR="00F22965" w:rsidRPr="005D4222" w14:paraId="417D8780" w14:textId="77777777">
              <w:tc>
                <w:tcPr>
                  <w:tcW w:w="2876" w:type="dxa"/>
                  <w:tcBorders>
                    <w:top w:val="nil"/>
                    <w:left w:val="nil"/>
                    <w:bottom w:val="nil"/>
                    <w:right w:val="single" w:sz="4" w:space="0" w:color="auto"/>
                  </w:tcBorders>
                  <w:shd w:val="clear" w:color="auto" w:fill="FFFFFF" w:themeFill="background1"/>
                </w:tcPr>
                <w:p w14:paraId="4755A9DD" w14:textId="77777777" w:rsidR="00F22965" w:rsidRPr="005D4222" w:rsidRDefault="00F22965">
                  <w:pPr>
                    <w:pStyle w:val="TableText"/>
                    <w:rPr>
                      <w:rFonts w:cs="Arial"/>
                      <w:szCs w:val="21"/>
                    </w:rPr>
                  </w:pPr>
                </w:p>
              </w:tc>
              <w:tc>
                <w:tcPr>
                  <w:tcW w:w="243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C625F86" w14:textId="77777777" w:rsidR="00F22965" w:rsidRPr="005D4222" w:rsidRDefault="00F22965">
                  <w:pPr>
                    <w:pStyle w:val="TableText"/>
                    <w:rPr>
                      <w:rFonts w:cs="Arial"/>
                    </w:rPr>
                  </w:pPr>
                  <w:r w:rsidRPr="005D4222">
                    <w:rPr>
                      <w:rFonts w:cs="Arial"/>
                    </w:rPr>
                    <w:t>Exclusions</w:t>
                  </w:r>
                </w:p>
              </w:tc>
              <w:tc>
                <w:tcPr>
                  <w:tcW w:w="2070"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24F76229" w14:textId="77777777" w:rsidR="00F22965" w:rsidRPr="005D4222" w:rsidRDefault="00F22965">
                  <w:pPr>
                    <w:pStyle w:val="TableText"/>
                    <w:rPr>
                      <w:rFonts w:eastAsia="Wingdings" w:cs="Arial"/>
                      <w:szCs w:val="21"/>
                    </w:rPr>
                  </w:pPr>
                  <w:r w:rsidRPr="005D4222">
                    <w:rPr>
                      <w:rFonts w:eastAsia="Wingdings" w:cs="Arial"/>
                      <w:szCs w:val="21"/>
                    </w:rPr>
                    <w:t>Report once</w:t>
                  </w:r>
                </w:p>
              </w:tc>
            </w:tr>
            <w:tr w:rsidR="00F22965" w:rsidRPr="005D4222" w14:paraId="41502550" w14:textId="77777777">
              <w:tc>
                <w:tcPr>
                  <w:tcW w:w="2876" w:type="dxa"/>
                  <w:tcBorders>
                    <w:top w:val="nil"/>
                    <w:left w:val="nil"/>
                    <w:bottom w:val="nil"/>
                    <w:right w:val="nil"/>
                  </w:tcBorders>
                  <w:shd w:val="clear" w:color="auto" w:fill="FFFFFF" w:themeFill="background1"/>
                </w:tcPr>
                <w:p w14:paraId="07C413B8" w14:textId="77777777" w:rsidR="00F22965" w:rsidRPr="005D4222" w:rsidRDefault="00F22965">
                  <w:pPr>
                    <w:pStyle w:val="TableText"/>
                    <w:rPr>
                      <w:rFonts w:cs="Arial"/>
                      <w:szCs w:val="21"/>
                    </w:rPr>
                  </w:pPr>
                </w:p>
              </w:tc>
              <w:tc>
                <w:tcPr>
                  <w:tcW w:w="2430" w:type="dxa"/>
                  <w:tcBorders>
                    <w:top w:val="single" w:sz="4" w:space="0" w:color="auto"/>
                    <w:left w:val="single" w:sz="4" w:space="0" w:color="auto"/>
                    <w:bottom w:val="single" w:sz="4" w:space="0" w:color="auto"/>
                    <w:right w:val="single" w:sz="4" w:space="0" w:color="auto"/>
                  </w:tcBorders>
                  <w:shd w:val="clear" w:color="auto" w:fill="FFFFFF" w:themeFill="background1"/>
                </w:tcPr>
                <w:p w14:paraId="083521A2" w14:textId="77777777" w:rsidR="00F22965" w:rsidRPr="005D4222" w:rsidRDefault="00F22965">
                  <w:pPr>
                    <w:pStyle w:val="TableText"/>
                    <w:rPr>
                      <w:rFonts w:cs="Arial"/>
                      <w:szCs w:val="21"/>
                    </w:rPr>
                  </w:pPr>
                  <w:r w:rsidRPr="005D4222">
                    <w:rPr>
                      <w:rFonts w:cs="Arial"/>
                      <w:szCs w:val="21"/>
                    </w:rPr>
                    <w:t>Denominator</w:t>
                  </w:r>
                </w:p>
              </w:tc>
              <w:tc>
                <w:tcPr>
                  <w:tcW w:w="2070" w:type="dxa"/>
                  <w:tcBorders>
                    <w:top w:val="single" w:sz="6" w:space="0" w:color="auto"/>
                    <w:left w:val="single" w:sz="4" w:space="0" w:color="auto"/>
                    <w:bottom w:val="single" w:sz="6" w:space="0" w:color="auto"/>
                    <w:right w:val="single" w:sz="4" w:space="0" w:color="auto"/>
                  </w:tcBorders>
                  <w:shd w:val="clear" w:color="auto" w:fill="FFFFFF" w:themeFill="background1"/>
                </w:tcPr>
                <w:p w14:paraId="795808A2" w14:textId="77777777" w:rsidR="00F22965" w:rsidRPr="005D4222" w:rsidRDefault="00F22965">
                  <w:pPr>
                    <w:pStyle w:val="TableText"/>
                    <w:rPr>
                      <w:rFonts w:eastAsia="Wingdings" w:cs="Arial"/>
                      <w:szCs w:val="21"/>
                    </w:rPr>
                  </w:pPr>
                  <w:r w:rsidRPr="005D4222">
                    <w:rPr>
                      <w:rFonts w:eastAsia="Wingdings" w:cs="Arial"/>
                      <w:szCs w:val="21"/>
                    </w:rPr>
                    <w:t>Report once</w:t>
                  </w:r>
                </w:p>
              </w:tc>
            </w:tr>
            <w:tr w:rsidR="00F22965" w:rsidRPr="005D4222" w14:paraId="14184D5D" w14:textId="77777777">
              <w:tc>
                <w:tcPr>
                  <w:tcW w:w="2876" w:type="dxa"/>
                  <w:tcBorders>
                    <w:top w:val="nil"/>
                    <w:left w:val="nil"/>
                    <w:bottom w:val="nil"/>
                    <w:right w:val="nil"/>
                  </w:tcBorders>
                  <w:shd w:val="clear" w:color="auto" w:fill="FFFFFF" w:themeFill="background1"/>
                </w:tcPr>
                <w:p w14:paraId="3AB44EA5" w14:textId="77777777" w:rsidR="00F22965" w:rsidRPr="005D4222" w:rsidRDefault="00F22965">
                  <w:pPr>
                    <w:pStyle w:val="TableText"/>
                    <w:rPr>
                      <w:rFonts w:cs="Arial"/>
                      <w:szCs w:val="21"/>
                    </w:rPr>
                  </w:pPr>
                </w:p>
              </w:tc>
              <w:tc>
                <w:tcPr>
                  <w:tcW w:w="243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239EEF4" w14:textId="77777777" w:rsidR="00F22965" w:rsidRPr="005D4222" w:rsidRDefault="00F22965">
                  <w:pPr>
                    <w:pStyle w:val="TableText"/>
                    <w:rPr>
                      <w:rFonts w:cs="Arial"/>
                      <w:szCs w:val="21"/>
                    </w:rPr>
                  </w:pPr>
                  <w:r w:rsidRPr="005D4222">
                    <w:rPr>
                      <w:rFonts w:cs="Arial"/>
                      <w:szCs w:val="21"/>
                    </w:rPr>
                    <w:t>NumeratorByAdmin</w:t>
                  </w:r>
                </w:p>
              </w:tc>
              <w:tc>
                <w:tcPr>
                  <w:tcW w:w="2070"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7390C667" w14:textId="77777777" w:rsidR="00F22965" w:rsidRPr="005D4222" w:rsidRDefault="00F22965">
                  <w:pPr>
                    <w:pStyle w:val="TableText"/>
                    <w:rPr>
                      <w:rFonts w:eastAsia="Wingdings" w:cs="Arial"/>
                      <w:szCs w:val="21"/>
                    </w:rPr>
                  </w:pPr>
                  <w:r w:rsidRPr="005D4222">
                    <w:rPr>
                      <w:rFonts w:eastAsia="Wingdings" w:cs="Arial"/>
                      <w:szCs w:val="21"/>
                    </w:rPr>
                    <w:t>Report once</w:t>
                  </w:r>
                </w:p>
              </w:tc>
            </w:tr>
            <w:tr w:rsidR="00F22965" w:rsidRPr="005D4222" w14:paraId="2985C7D7" w14:textId="77777777">
              <w:tc>
                <w:tcPr>
                  <w:tcW w:w="2876" w:type="dxa"/>
                  <w:tcBorders>
                    <w:top w:val="nil"/>
                    <w:left w:val="nil"/>
                    <w:bottom w:val="nil"/>
                    <w:right w:val="nil"/>
                  </w:tcBorders>
                  <w:shd w:val="clear" w:color="auto" w:fill="FFFFFF" w:themeFill="background1"/>
                </w:tcPr>
                <w:p w14:paraId="035CAAA7" w14:textId="77777777" w:rsidR="00F22965" w:rsidRPr="005D4222" w:rsidRDefault="00F22965">
                  <w:pPr>
                    <w:pStyle w:val="TableText"/>
                    <w:rPr>
                      <w:rFonts w:cs="Arial"/>
                      <w:szCs w:val="21"/>
                    </w:rPr>
                  </w:pPr>
                </w:p>
              </w:tc>
              <w:tc>
                <w:tcPr>
                  <w:tcW w:w="243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50B6F2F" w14:textId="77777777" w:rsidR="00F22965" w:rsidRPr="005D4222" w:rsidRDefault="00F22965">
                  <w:pPr>
                    <w:pStyle w:val="TableText"/>
                    <w:rPr>
                      <w:rFonts w:cs="Arial"/>
                      <w:szCs w:val="21"/>
                    </w:rPr>
                  </w:pPr>
                  <w:r w:rsidRPr="005D4222">
                    <w:rPr>
                      <w:rFonts w:cs="Arial"/>
                      <w:szCs w:val="21"/>
                    </w:rPr>
                    <w:t>NumeratorBySupplemental</w:t>
                  </w:r>
                </w:p>
              </w:tc>
              <w:tc>
                <w:tcPr>
                  <w:tcW w:w="2070"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72B51F7C" w14:textId="77777777" w:rsidR="00F22965" w:rsidRPr="005D4222" w:rsidRDefault="00F22965">
                  <w:pPr>
                    <w:pStyle w:val="TableText"/>
                    <w:rPr>
                      <w:rFonts w:eastAsia="Wingdings" w:cs="Arial"/>
                      <w:szCs w:val="21"/>
                    </w:rPr>
                  </w:pPr>
                  <w:r w:rsidRPr="005D4222">
                    <w:rPr>
                      <w:rFonts w:eastAsia="Wingdings" w:cs="Arial"/>
                      <w:szCs w:val="21"/>
                    </w:rPr>
                    <w:t>Report once</w:t>
                  </w:r>
                </w:p>
              </w:tc>
            </w:tr>
            <w:tr w:rsidR="00F22965" w:rsidRPr="005D4222" w14:paraId="5D035D23" w14:textId="77777777">
              <w:tc>
                <w:tcPr>
                  <w:tcW w:w="2876" w:type="dxa"/>
                  <w:tcBorders>
                    <w:top w:val="nil"/>
                    <w:left w:val="nil"/>
                    <w:bottom w:val="nil"/>
                    <w:right w:val="nil"/>
                  </w:tcBorders>
                </w:tcPr>
                <w:p w14:paraId="0C505D3F" w14:textId="77777777" w:rsidR="00F22965" w:rsidRPr="005D4222" w:rsidRDefault="00F22965">
                  <w:pPr>
                    <w:pStyle w:val="TableText"/>
                    <w:rPr>
                      <w:rFonts w:cs="Arial"/>
                      <w:szCs w:val="21"/>
                    </w:rPr>
                  </w:pPr>
                </w:p>
              </w:tc>
              <w:tc>
                <w:tcPr>
                  <w:tcW w:w="24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2160113" w14:textId="77777777" w:rsidR="00F22965" w:rsidRPr="005D4222" w:rsidRDefault="00F22965">
                  <w:pPr>
                    <w:pStyle w:val="TableText"/>
                    <w:rPr>
                      <w:rFonts w:cs="Arial"/>
                      <w:szCs w:val="21"/>
                    </w:rPr>
                  </w:pPr>
                  <w:r w:rsidRPr="005D4222">
                    <w:rPr>
                      <w:rFonts w:cs="Arial"/>
                      <w:szCs w:val="21"/>
                    </w:rPr>
                    <w:t>Rate</w:t>
                  </w:r>
                </w:p>
              </w:tc>
              <w:tc>
                <w:tcPr>
                  <w:tcW w:w="2070" w:type="dxa"/>
                  <w:tcBorders>
                    <w:top w:val="single" w:sz="6" w:space="0" w:color="auto"/>
                    <w:left w:val="single" w:sz="4" w:space="0" w:color="auto"/>
                    <w:bottom w:val="single" w:sz="6" w:space="0" w:color="auto"/>
                    <w:right w:val="single" w:sz="4" w:space="0" w:color="auto"/>
                  </w:tcBorders>
                  <w:shd w:val="clear" w:color="auto" w:fill="D9D9D9" w:themeFill="background1" w:themeFillShade="D9"/>
                  <w:hideMark/>
                </w:tcPr>
                <w:p w14:paraId="2133D872" w14:textId="77777777" w:rsidR="00F22965" w:rsidRPr="005D4222" w:rsidRDefault="00F22965">
                  <w:pPr>
                    <w:pStyle w:val="TableText"/>
                    <w:rPr>
                      <w:rFonts w:eastAsia="Wingdings" w:cs="Arial"/>
                      <w:szCs w:val="21"/>
                    </w:rPr>
                  </w:pPr>
                  <w:r w:rsidRPr="005D4222">
                    <w:rPr>
                      <w:rFonts w:eastAsia="Wingdings" w:cs="Arial"/>
                      <w:szCs w:val="21"/>
                    </w:rPr>
                    <w:t>(Percent)</w:t>
                  </w:r>
                </w:p>
              </w:tc>
            </w:tr>
          </w:tbl>
          <w:p w14:paraId="651902BF" w14:textId="77777777" w:rsidR="00F22965" w:rsidRPr="005D4222" w:rsidRDefault="00F22965">
            <w:pPr>
              <w:pStyle w:val="ProcessDash"/>
              <w:numPr>
                <w:ilvl w:val="0"/>
                <w:numId w:val="0"/>
              </w:numPr>
              <w:rPr>
                <w:rFonts w:cs="Arial"/>
                <w:color w:val="000000" w:themeColor="text1"/>
                <w:highlight w:val="yellow"/>
              </w:rPr>
            </w:pPr>
          </w:p>
        </w:tc>
      </w:tr>
      <w:tr w:rsidR="00F22965" w:rsidRPr="005D4222" w14:paraId="78DBF6A3" w14:textId="77777777">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7AEB8ED" w14:textId="77777777" w:rsidR="00F22965" w:rsidRPr="005D4222" w:rsidRDefault="00F22965">
            <w:pPr>
              <w:pStyle w:val="ECDSMarginHead"/>
            </w:pPr>
            <w:r w:rsidRPr="005D4222">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4F95D34" w14:textId="77777777" w:rsidR="00F22965" w:rsidRPr="005D4222" w:rsidRDefault="00F22965">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6D79462A" w14:textId="77777777" w:rsidR="00F22965" w:rsidRPr="005D4222" w:rsidRDefault="00F22965">
            <w:pPr>
              <w:pStyle w:val="ECDSBody"/>
              <w:spacing w:before="180"/>
              <w:rPr>
                <w:b/>
              </w:rPr>
            </w:pPr>
            <w:r w:rsidRPr="005D4222">
              <w:rPr>
                <w:b/>
              </w:rPr>
              <w:lastRenderedPageBreak/>
              <w:t>Adjusted HEDIS measures may not be used for HEDIS health plan reporting.</w:t>
            </w:r>
          </w:p>
          <w:p w14:paraId="6085B4E3" w14:textId="77777777" w:rsidR="00F22965" w:rsidRPr="005D4222" w:rsidRDefault="00F22965" w:rsidP="000D55FF">
            <w:pPr>
              <w:pStyle w:val="Adjustments"/>
              <w:spacing w:before="120"/>
              <w:rPr>
                <w:b w:val="0"/>
              </w:rPr>
            </w:pPr>
            <w:r w:rsidRPr="005D4222">
              <w:t>Adjustments</w:t>
            </w:r>
            <w:r w:rsidRPr="005D4222">
              <w:rPr>
                <w:bCs/>
              </w:rPr>
              <w:t xml:space="preserve"> a</w:t>
            </w:r>
            <w:r w:rsidRPr="005D4222">
              <w:t>llowed</w:t>
            </w:r>
          </w:p>
          <w:p w14:paraId="04795D95" w14:textId="2F06B276" w:rsidR="00F22965" w:rsidRPr="005D4222" w:rsidRDefault="00F22965" w:rsidP="005D6173">
            <w:pPr>
              <w:pStyle w:val="ProcessBullet"/>
              <w:numPr>
                <w:ilvl w:val="0"/>
                <w:numId w:val="72"/>
              </w:numPr>
              <w:ind w:left="216" w:hanging="216"/>
              <w:rPr>
                <w:b/>
              </w:rPr>
            </w:pPr>
            <w:r w:rsidRPr="005D4222">
              <w:rPr>
                <w:i/>
                <w:iCs/>
              </w:rPr>
              <w:t>Product lines</w:t>
            </w:r>
            <w:r w:rsidRPr="005D4222">
              <w:t>. Organizations are not required to use product line criteria; product lines may be combined</w:t>
            </w:r>
            <w:r w:rsidR="00E8671F" w:rsidRPr="005D4222">
              <w:t>,</w:t>
            </w:r>
            <w:r w:rsidRPr="005D4222">
              <w:t xml:space="preserve"> and all (or no) product line criteria may be used.</w:t>
            </w:r>
          </w:p>
          <w:p w14:paraId="3F07CCEF" w14:textId="77777777" w:rsidR="00F22965" w:rsidRPr="005D4222" w:rsidRDefault="00F22965" w:rsidP="005D6173">
            <w:pPr>
              <w:pStyle w:val="ProcessBullet"/>
              <w:numPr>
                <w:ilvl w:val="0"/>
                <w:numId w:val="72"/>
              </w:numPr>
              <w:ind w:left="216" w:hanging="216"/>
              <w:rPr>
                <w:bCs/>
              </w:rPr>
            </w:pPr>
            <w:r w:rsidRPr="005D4222">
              <w:rPr>
                <w:bCs/>
                <w:i/>
                <w:iCs/>
              </w:rPr>
              <w:t xml:space="preserve">Attribution. </w:t>
            </w:r>
            <w:r w:rsidRPr="005D4222">
              <w:rPr>
                <w:bCs/>
              </w:rPr>
              <w:t>Organizations are not required to use enrollment criteria.</w:t>
            </w:r>
          </w:p>
          <w:p w14:paraId="294DC252" w14:textId="77777777" w:rsidR="00F22965" w:rsidRPr="005D4222" w:rsidRDefault="00F22965" w:rsidP="005D6173">
            <w:pPr>
              <w:pStyle w:val="ProcessBullet"/>
              <w:numPr>
                <w:ilvl w:val="0"/>
                <w:numId w:val="72"/>
              </w:numPr>
              <w:ind w:left="216" w:hanging="216"/>
              <w:rPr>
                <w:bCs/>
                <w:i/>
                <w:iCs/>
              </w:rPr>
            </w:pPr>
            <w:r w:rsidRPr="005D4222">
              <w:rPr>
                <w:bCs/>
                <w:i/>
                <w:iCs/>
              </w:rPr>
              <w:t xml:space="preserve">Benefits. </w:t>
            </w:r>
            <w:r w:rsidRPr="005D4222">
              <w:rPr>
                <w:bCs/>
              </w:rPr>
              <w:t>Organizations are not required to use a benefit.</w:t>
            </w:r>
          </w:p>
          <w:p w14:paraId="272480EF" w14:textId="77777777" w:rsidR="00F22965" w:rsidRPr="005D4222" w:rsidRDefault="00F22965" w:rsidP="005D6173">
            <w:pPr>
              <w:pStyle w:val="ProcessBullet"/>
              <w:numPr>
                <w:ilvl w:val="0"/>
                <w:numId w:val="72"/>
              </w:numPr>
              <w:ind w:left="216" w:hanging="216"/>
              <w:rPr>
                <w:bCs/>
                <w:i/>
                <w:iCs/>
              </w:rPr>
            </w:pPr>
            <w:r w:rsidRPr="005D4222">
              <w:rPr>
                <w:bCs/>
                <w:i/>
                <w:iCs/>
              </w:rPr>
              <w:t xml:space="preserve">Other. </w:t>
            </w:r>
            <w:r w:rsidRPr="005D4222">
              <w:rPr>
                <w:bCs/>
              </w:rPr>
              <w:t>Organizations may use additional initial population criteria to focus on an area of interest defined by gender, race, ethnicity, socioeconomic or sociodemographic characteristics, geographic region or another characteristic.</w:t>
            </w:r>
          </w:p>
          <w:p w14:paraId="3E730CB1" w14:textId="77777777" w:rsidR="00F22965" w:rsidRPr="005D4222" w:rsidRDefault="00F22965" w:rsidP="005D6173">
            <w:pPr>
              <w:pStyle w:val="ProcessBullet"/>
              <w:numPr>
                <w:ilvl w:val="0"/>
                <w:numId w:val="72"/>
              </w:numPr>
              <w:ind w:left="216" w:hanging="216"/>
            </w:pPr>
            <w:r w:rsidRPr="005D4222">
              <w:rPr>
                <w:i/>
                <w:iCs/>
              </w:rPr>
              <w:t xml:space="preserve">Exclusions. </w:t>
            </w:r>
            <w:r w:rsidRPr="005D4222">
              <w:t xml:space="preserve">The hospice and deceased person exclusions are not required. </w:t>
            </w:r>
          </w:p>
          <w:p w14:paraId="5EBAC129" w14:textId="3916662F" w:rsidR="00F22965" w:rsidRPr="005D4222" w:rsidRDefault="00F22965" w:rsidP="005D6173">
            <w:pPr>
              <w:pStyle w:val="ProcessBullet"/>
              <w:numPr>
                <w:ilvl w:val="0"/>
                <w:numId w:val="72"/>
              </w:numPr>
              <w:ind w:left="216" w:hanging="216"/>
            </w:pPr>
            <w:r w:rsidRPr="005D4222">
              <w:rPr>
                <w:i/>
                <w:iCs/>
              </w:rPr>
              <w:t xml:space="preserve">Telehealth. </w:t>
            </w:r>
            <w:r w:rsidRPr="005D4222">
              <w:t xml:space="preserve">Services/events that allow the use of synchronous telehealth visits, telephone visits and asynchronous telehealth (e-visits, virtual check-ins) may be stratified to identify services performed via telehealth. This adjustment is not allowed for </w:t>
            </w:r>
            <w:r w:rsidR="00F45777" w:rsidRPr="005D4222">
              <w:t>events</w:t>
            </w:r>
            <w:r w:rsidRPr="005D4222">
              <w:t>, numerators and exclusions that do not allow the use of telehealth.</w:t>
            </w:r>
          </w:p>
          <w:p w14:paraId="3D911A16" w14:textId="77777777" w:rsidR="00F22965" w:rsidRPr="005D4222" w:rsidRDefault="00F22965" w:rsidP="005D6173">
            <w:pPr>
              <w:pStyle w:val="ProcessBullet"/>
              <w:numPr>
                <w:ilvl w:val="0"/>
                <w:numId w:val="72"/>
              </w:numPr>
              <w:ind w:left="216" w:hanging="216"/>
            </w:pPr>
            <w:r w:rsidRPr="005D4222">
              <w:rPr>
                <w:i/>
                <w:iCs/>
              </w:rPr>
              <w:t>Supplemental data.</w:t>
            </w:r>
            <w:r w:rsidRPr="005D4222">
              <w:t xml:space="preserve"> Supplemental data may be used to identify initial population, denominator, exclusion and numerator events.</w:t>
            </w:r>
          </w:p>
          <w:p w14:paraId="02A28FD1" w14:textId="77777777" w:rsidR="00F22965" w:rsidRPr="005D4222" w:rsidRDefault="00F22965">
            <w:pPr>
              <w:pStyle w:val="Adjustments"/>
              <w:rPr>
                <w:b w:val="0"/>
              </w:rPr>
            </w:pPr>
            <w:r w:rsidRPr="005D4222">
              <w:t>Adjustments allowed with limits</w:t>
            </w:r>
          </w:p>
          <w:p w14:paraId="317405E4" w14:textId="77777777" w:rsidR="00F22965" w:rsidRPr="005D4222" w:rsidRDefault="00F22965" w:rsidP="005D6173">
            <w:pPr>
              <w:pStyle w:val="ProcessBullet"/>
              <w:numPr>
                <w:ilvl w:val="0"/>
                <w:numId w:val="73"/>
              </w:numPr>
              <w:ind w:left="216" w:hanging="216"/>
            </w:pPr>
            <w:r w:rsidRPr="005D4222">
              <w:rPr>
                <w:i/>
                <w:iCs/>
              </w:rPr>
              <w:t>Ages</w:t>
            </w:r>
            <w:r w:rsidRPr="005D4222">
              <w:t>. The age determination dates may be changed (e.g., select, “age as of June 30”). Expanding the denominator age range to 65 years and older is allowed. Changing the denominator age range is allowed within a specified age range (18 years and older).</w:t>
            </w:r>
          </w:p>
          <w:p w14:paraId="4B12C1D0" w14:textId="77777777" w:rsidR="00F22965" w:rsidRPr="005D4222" w:rsidRDefault="00F22965">
            <w:pPr>
              <w:pStyle w:val="Adjustments"/>
              <w:rPr>
                <w:b w:val="0"/>
              </w:rPr>
            </w:pPr>
            <w:r w:rsidRPr="005D4222">
              <w:t>Adjustments not allowed</w:t>
            </w:r>
          </w:p>
          <w:p w14:paraId="29A22C12" w14:textId="77777777" w:rsidR="00F22965" w:rsidRPr="005D4222" w:rsidRDefault="00F22965" w:rsidP="005D6173">
            <w:pPr>
              <w:pStyle w:val="ProcessBullet"/>
              <w:numPr>
                <w:ilvl w:val="0"/>
                <w:numId w:val="74"/>
              </w:numPr>
              <w:ind w:left="216" w:hanging="216"/>
              <w:rPr>
                <w:i/>
                <w:iCs/>
              </w:rPr>
            </w:pPr>
            <w:r w:rsidRPr="005D4222">
              <w:rPr>
                <w:i/>
                <w:iCs/>
              </w:rPr>
              <w:t>Initial population:</w:t>
            </w:r>
            <w:r w:rsidRPr="005D4222">
              <w:t xml:space="preserve"> </w:t>
            </w:r>
            <w:r w:rsidRPr="005D4222">
              <w:rPr>
                <w:iCs/>
              </w:rPr>
              <w:t xml:space="preserve">Event. </w:t>
            </w:r>
            <w:r w:rsidRPr="005D4222">
              <w:t>Only events, medications and diagnoses that contain (or map to) codes in the medication lists and value sets may be used to identify visits and diagnosis. Medication lists, value sets and logic may not be changed.</w:t>
            </w:r>
          </w:p>
          <w:p w14:paraId="4D816A68" w14:textId="77777777" w:rsidR="00F22965" w:rsidRPr="005D4222" w:rsidRDefault="00F22965" w:rsidP="005D6173">
            <w:pPr>
              <w:pStyle w:val="ProcessBullet"/>
              <w:numPr>
                <w:ilvl w:val="0"/>
                <w:numId w:val="74"/>
              </w:numPr>
              <w:spacing w:after="120"/>
              <w:ind w:left="216" w:hanging="216"/>
            </w:pPr>
            <w:r w:rsidRPr="005D4222">
              <w:rPr>
                <w:i/>
                <w:iCs/>
              </w:rPr>
              <w:t>Numerator</w:t>
            </w:r>
            <w:r w:rsidRPr="005D4222">
              <w:t>. Value sets and logic may not be changed.</w:t>
            </w:r>
          </w:p>
        </w:tc>
      </w:tr>
    </w:tbl>
    <w:p w14:paraId="7D5C4D5E" w14:textId="77777777" w:rsidR="0023755C" w:rsidRPr="005D4222" w:rsidRDefault="0023755C" w:rsidP="00EC737D">
      <w:pPr>
        <w:pStyle w:val="ECDSBody"/>
        <w:sectPr w:rsidR="0023755C" w:rsidRPr="005D4222" w:rsidSect="0074514A">
          <w:headerReference w:type="default" r:id="rId124"/>
          <w:type w:val="nextColumn"/>
          <w:pgSz w:w="12240" w:h="15840" w:code="1"/>
          <w:pgMar w:top="1080" w:right="1080" w:bottom="1080" w:left="1440" w:header="720" w:footer="720" w:gutter="0"/>
          <w:cols w:space="720"/>
          <w:docGrid w:linePitch="360"/>
        </w:sectPr>
      </w:pPr>
    </w:p>
    <w:p w14:paraId="73374F86" w14:textId="61C4EF8E" w:rsidR="00EC737D" w:rsidRPr="005D4222" w:rsidRDefault="0089169F" w:rsidP="0089169F">
      <w:pPr>
        <w:pStyle w:val="MeasureTitle"/>
      </w:pPr>
      <w:bookmarkStart w:id="307" w:name="_Toc201813417"/>
      <w:r w:rsidRPr="005D4222">
        <w:lastRenderedPageBreak/>
        <w:t xml:space="preserve">Cardiovascular Monitoring for People With Cardiovascular Disease </w:t>
      </w:r>
      <w:r w:rsidR="0096709F" w:rsidRPr="005D4222">
        <w:br/>
      </w:r>
      <w:r w:rsidRPr="005D4222">
        <w:t>and Schizophrenia</w:t>
      </w:r>
      <w:r w:rsidR="0096709F" w:rsidRPr="005D4222">
        <w:t xml:space="preserve"> (SMC)</w:t>
      </w:r>
      <w:bookmarkEnd w:id="307"/>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4860"/>
        <w:gridCol w:w="1530"/>
        <w:gridCol w:w="1167"/>
      </w:tblGrid>
      <w:tr w:rsidR="009B4A75" w:rsidRPr="005D4222" w14:paraId="1682A080" w14:textId="77777777" w:rsidTr="009B4A75">
        <w:tc>
          <w:tcPr>
            <w:tcW w:w="2157" w:type="dxa"/>
            <w:shd w:val="clear" w:color="auto" w:fill="BFBFBF" w:themeFill="background1" w:themeFillShade="BF"/>
            <w:tcMar>
              <w:top w:w="0" w:type="dxa"/>
              <w:left w:w="86" w:type="dxa"/>
              <w:bottom w:w="43" w:type="dxa"/>
              <w:right w:w="86" w:type="dxa"/>
            </w:tcMar>
            <w:hideMark/>
          </w:tcPr>
          <w:p w14:paraId="5EAE6B75" w14:textId="77777777" w:rsidR="009B4A75" w:rsidRPr="005D4222" w:rsidRDefault="009B4A75">
            <w:pPr>
              <w:pStyle w:val="ECDSMarginHead"/>
            </w:pPr>
            <w:r w:rsidRPr="005D4222">
              <w:t>Measure title</w:t>
            </w:r>
          </w:p>
        </w:tc>
        <w:tc>
          <w:tcPr>
            <w:tcW w:w="4860" w:type="dxa"/>
            <w:tcMar>
              <w:top w:w="0" w:type="dxa"/>
              <w:left w:w="86" w:type="dxa"/>
              <w:bottom w:w="43" w:type="dxa"/>
              <w:right w:w="86" w:type="dxa"/>
            </w:tcMar>
          </w:tcPr>
          <w:p w14:paraId="645D5439" w14:textId="77777777" w:rsidR="009B4A75" w:rsidRPr="005D4222" w:rsidRDefault="009B4A75">
            <w:pPr>
              <w:pStyle w:val="ECDSBody"/>
            </w:pPr>
            <w:r w:rsidRPr="005D4222">
              <w:t>Cardiovascular Monitoring for People With Cardiovascular Disease and Schizophrenia</w:t>
            </w:r>
          </w:p>
        </w:tc>
        <w:tc>
          <w:tcPr>
            <w:tcW w:w="1530" w:type="dxa"/>
            <w:shd w:val="clear" w:color="auto" w:fill="BFBFBF" w:themeFill="background1" w:themeFillShade="BF"/>
            <w:tcMar>
              <w:top w:w="0" w:type="dxa"/>
              <w:left w:w="86" w:type="dxa"/>
              <w:bottom w:w="43" w:type="dxa"/>
              <w:right w:w="86" w:type="dxa"/>
            </w:tcMar>
          </w:tcPr>
          <w:p w14:paraId="6B750C6F" w14:textId="77777777" w:rsidR="009B4A75" w:rsidRPr="005D4222" w:rsidRDefault="009B4A75">
            <w:pPr>
              <w:pStyle w:val="ECDSMarginHead"/>
            </w:pPr>
            <w:r w:rsidRPr="005D4222">
              <w:t>Measure ID</w:t>
            </w:r>
          </w:p>
        </w:tc>
        <w:tc>
          <w:tcPr>
            <w:tcW w:w="1167" w:type="dxa"/>
            <w:tcMar>
              <w:top w:w="0" w:type="dxa"/>
              <w:left w:w="86" w:type="dxa"/>
              <w:bottom w:w="43" w:type="dxa"/>
              <w:right w:w="86" w:type="dxa"/>
            </w:tcMar>
          </w:tcPr>
          <w:p w14:paraId="046AF697" w14:textId="77777777" w:rsidR="009B4A75" w:rsidRPr="005D4222" w:rsidRDefault="009B4A75">
            <w:pPr>
              <w:pStyle w:val="ECDSBody"/>
            </w:pPr>
            <w:r w:rsidRPr="005D4222">
              <w:t>SMC</w:t>
            </w:r>
          </w:p>
        </w:tc>
      </w:tr>
      <w:tr w:rsidR="009B4A75" w:rsidRPr="005D4222" w14:paraId="49298F00" w14:textId="77777777" w:rsidTr="009B4A75">
        <w:tc>
          <w:tcPr>
            <w:tcW w:w="2157" w:type="dxa"/>
            <w:shd w:val="clear" w:color="auto" w:fill="BFBFBF" w:themeFill="background1" w:themeFillShade="BF"/>
            <w:tcMar>
              <w:top w:w="0" w:type="dxa"/>
              <w:left w:w="86" w:type="dxa"/>
              <w:bottom w:w="43" w:type="dxa"/>
              <w:right w:w="86" w:type="dxa"/>
            </w:tcMar>
            <w:hideMark/>
          </w:tcPr>
          <w:p w14:paraId="2C541755" w14:textId="77777777" w:rsidR="009B4A75" w:rsidRPr="005D4222" w:rsidRDefault="009B4A75">
            <w:pPr>
              <w:pStyle w:val="ECDSMarginHead"/>
            </w:pPr>
            <w:r w:rsidRPr="005D4222">
              <w:t>Description</w:t>
            </w:r>
          </w:p>
        </w:tc>
        <w:tc>
          <w:tcPr>
            <w:tcW w:w="7557" w:type="dxa"/>
            <w:gridSpan w:val="3"/>
            <w:tcMar>
              <w:top w:w="0" w:type="dxa"/>
              <w:left w:w="86" w:type="dxa"/>
              <w:bottom w:w="43" w:type="dxa"/>
              <w:right w:w="86" w:type="dxa"/>
            </w:tcMar>
          </w:tcPr>
          <w:p w14:paraId="310FE0A3" w14:textId="77777777" w:rsidR="009B4A75" w:rsidRPr="005D4222" w:rsidRDefault="009B4A75">
            <w:pPr>
              <w:pStyle w:val="ECDSBody"/>
            </w:pPr>
            <w:r w:rsidRPr="005D4222">
              <w:t>The percentage of persons 18–64 years of age with schizophrenia or schizoaffective disorder and cardiovascular disease, who had an LDL-C test during the measurement period.</w:t>
            </w:r>
          </w:p>
        </w:tc>
      </w:tr>
      <w:tr w:rsidR="009B4A75" w:rsidRPr="005D4222" w14:paraId="0459DDCA" w14:textId="77777777" w:rsidTr="009B4A75">
        <w:tc>
          <w:tcPr>
            <w:tcW w:w="2157" w:type="dxa"/>
            <w:shd w:val="clear" w:color="auto" w:fill="BFBFBF" w:themeFill="background1" w:themeFillShade="BF"/>
            <w:tcMar>
              <w:top w:w="0" w:type="dxa"/>
              <w:left w:w="86" w:type="dxa"/>
              <w:bottom w:w="43" w:type="dxa"/>
              <w:right w:w="86" w:type="dxa"/>
            </w:tcMar>
          </w:tcPr>
          <w:p w14:paraId="5A5FDF45" w14:textId="77777777" w:rsidR="009B4A75" w:rsidRPr="005D4222" w:rsidRDefault="009B4A75">
            <w:pPr>
              <w:pStyle w:val="ECDSMarginHead"/>
            </w:pPr>
            <w:r w:rsidRPr="005D4222">
              <w:t>Measurement period</w:t>
            </w:r>
          </w:p>
        </w:tc>
        <w:tc>
          <w:tcPr>
            <w:tcW w:w="7557" w:type="dxa"/>
            <w:gridSpan w:val="3"/>
            <w:tcMar>
              <w:top w:w="0" w:type="dxa"/>
              <w:left w:w="86" w:type="dxa"/>
              <w:bottom w:w="43" w:type="dxa"/>
              <w:right w:w="86" w:type="dxa"/>
            </w:tcMar>
          </w:tcPr>
          <w:p w14:paraId="2B0545F7" w14:textId="77777777" w:rsidR="009B4A75" w:rsidRPr="005D4222" w:rsidRDefault="009B4A75">
            <w:pPr>
              <w:pStyle w:val="ECDSBody"/>
            </w:pPr>
            <w:r w:rsidRPr="005D4222">
              <w:t>January 1–December 31.</w:t>
            </w:r>
          </w:p>
        </w:tc>
      </w:tr>
      <w:tr w:rsidR="009B4A75" w:rsidRPr="005D4222" w14:paraId="4F928A97" w14:textId="77777777" w:rsidTr="009B4A75">
        <w:tc>
          <w:tcPr>
            <w:tcW w:w="2157" w:type="dxa"/>
            <w:shd w:val="clear" w:color="auto" w:fill="BFBFBF" w:themeFill="background1" w:themeFillShade="BF"/>
            <w:tcMar>
              <w:top w:w="0" w:type="dxa"/>
              <w:left w:w="86" w:type="dxa"/>
              <w:bottom w:w="43" w:type="dxa"/>
              <w:right w:w="86" w:type="dxa"/>
            </w:tcMar>
            <w:hideMark/>
          </w:tcPr>
          <w:p w14:paraId="069E45AF" w14:textId="77777777" w:rsidR="009B4A75" w:rsidRPr="005D4222" w:rsidRDefault="009B4A75">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00E40001" w14:textId="77777777" w:rsidR="009B4A75" w:rsidRPr="005D4222" w:rsidRDefault="009B4A75">
            <w:pPr>
              <w:pStyle w:val="ECDSBody"/>
            </w:pPr>
            <w:r w:rsidRPr="005D4222">
              <w:t xml:space="preserve">Refer to the complete copyright and disclaimer information at the front of this publication. </w:t>
            </w:r>
          </w:p>
          <w:p w14:paraId="45E0C708" w14:textId="77777777" w:rsidR="009B4A75" w:rsidRPr="005D4222" w:rsidRDefault="009B4A75">
            <w:pPr>
              <w:pStyle w:val="ECDSBody"/>
              <w:spacing w:before="80"/>
            </w:pPr>
            <w:r w:rsidRPr="005D4222">
              <w:t xml:space="preserve">NCQA website: </w:t>
            </w:r>
            <w:r w:rsidRPr="005D4222">
              <w:rPr>
                <w:u w:val="single"/>
              </w:rPr>
              <w:t>www.ncqa.org</w:t>
            </w:r>
            <w:r w:rsidRPr="005D4222">
              <w:t xml:space="preserve">.  </w:t>
            </w:r>
          </w:p>
          <w:p w14:paraId="5B405F3D" w14:textId="77777777" w:rsidR="009B4A75" w:rsidRPr="005D4222" w:rsidRDefault="009B4A75">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9B4A75" w:rsidRPr="005D4222" w14:paraId="51F9DA8E" w14:textId="77777777" w:rsidTr="009B4A75">
        <w:tc>
          <w:tcPr>
            <w:tcW w:w="2157" w:type="dxa"/>
            <w:shd w:val="clear" w:color="auto" w:fill="BFBFBF" w:themeFill="background1" w:themeFillShade="BF"/>
            <w:tcMar>
              <w:top w:w="0" w:type="dxa"/>
              <w:left w:w="86" w:type="dxa"/>
              <w:bottom w:w="43" w:type="dxa"/>
              <w:right w:w="86" w:type="dxa"/>
            </w:tcMar>
            <w:hideMark/>
          </w:tcPr>
          <w:p w14:paraId="43DB9E1E" w14:textId="77777777" w:rsidR="009B4A75" w:rsidRPr="005D4222" w:rsidRDefault="009B4A75">
            <w:pPr>
              <w:pStyle w:val="ECDSMarginHead"/>
            </w:pPr>
            <w:r w:rsidRPr="005D4222">
              <w:t>Clinical recommendation statement/</w:t>
            </w:r>
            <w:r w:rsidRPr="005D4222" w:rsidDel="007F2670">
              <w:t xml:space="preserve"> </w:t>
            </w:r>
            <w:r w:rsidRPr="005D4222">
              <w:t>rationale</w:t>
            </w:r>
          </w:p>
        </w:tc>
        <w:tc>
          <w:tcPr>
            <w:tcW w:w="7557" w:type="dxa"/>
            <w:gridSpan w:val="3"/>
            <w:tcMar>
              <w:top w:w="0" w:type="dxa"/>
              <w:left w:w="86" w:type="dxa"/>
              <w:bottom w:w="43" w:type="dxa"/>
              <w:right w:w="86" w:type="dxa"/>
            </w:tcMar>
          </w:tcPr>
          <w:p w14:paraId="5B4DC7E1" w14:textId="77777777" w:rsidR="009B4A75" w:rsidRPr="005D4222" w:rsidRDefault="009B4A75">
            <w:pPr>
              <w:pStyle w:val="ECDSBody"/>
              <w:rPr>
                <w:szCs w:val="21"/>
              </w:rPr>
            </w:pPr>
            <w:r w:rsidRPr="005D4222">
              <w:rPr>
                <w:szCs w:val="21"/>
              </w:rPr>
              <w:t>Patients with schizophrenia</w:t>
            </w:r>
            <w:r w:rsidRPr="005D4222">
              <w:t xml:space="preserve"> </w:t>
            </w:r>
            <w:r w:rsidRPr="005D4222">
              <w:rPr>
                <w:szCs w:val="21"/>
              </w:rPr>
              <w:t>or schizoaffective disorder are likely to have higher levels of blood cholesterol than the general population. Patients with schizophrenia and elevated blood cholesterol levels are prescribed statins at approximately a quarter of the rate of the general population. Furthermore, certain atypical antipsychotic drugs increase total and low-density lipoprotein (LDL) cholesterol and triglycerides, and decrease high-density lipoprotein (HDL) cholesterol, which increases the risk of coronary heart disease.</w:t>
            </w:r>
          </w:p>
        </w:tc>
      </w:tr>
      <w:tr w:rsidR="009B4A75" w:rsidRPr="005D4222" w14:paraId="1E9FF862" w14:textId="77777777" w:rsidTr="009B4A75">
        <w:tc>
          <w:tcPr>
            <w:tcW w:w="2157" w:type="dxa"/>
            <w:shd w:val="clear" w:color="auto" w:fill="BFBFBF" w:themeFill="background1" w:themeFillShade="BF"/>
            <w:tcMar>
              <w:top w:w="0" w:type="dxa"/>
              <w:left w:w="86" w:type="dxa"/>
              <w:bottom w:w="43" w:type="dxa"/>
              <w:right w:w="86" w:type="dxa"/>
            </w:tcMar>
          </w:tcPr>
          <w:p w14:paraId="79424EED" w14:textId="77777777" w:rsidR="009B4A75" w:rsidRPr="005D4222" w:rsidRDefault="009B4A75">
            <w:pPr>
              <w:pStyle w:val="ECDSMarginHead"/>
            </w:pPr>
            <w:r w:rsidRPr="005D4222">
              <w:t>Citations</w:t>
            </w:r>
          </w:p>
        </w:tc>
        <w:tc>
          <w:tcPr>
            <w:tcW w:w="7557" w:type="dxa"/>
            <w:gridSpan w:val="3"/>
            <w:tcMar>
              <w:top w:w="0" w:type="dxa"/>
              <w:left w:w="86" w:type="dxa"/>
              <w:bottom w:w="43" w:type="dxa"/>
              <w:right w:w="86" w:type="dxa"/>
            </w:tcMar>
          </w:tcPr>
          <w:p w14:paraId="7FDAD607" w14:textId="77777777" w:rsidR="009B4A75" w:rsidRPr="005D4222" w:rsidRDefault="009B4A75">
            <w:pPr>
              <w:pStyle w:val="ECDSBody"/>
            </w:pPr>
            <w:r w:rsidRPr="005D4222">
              <w:t>Rossom, R.C., S.A. Hooker, P.J. O’Connor, A.L. Crain, and J.M. Sperl</w:t>
            </w:r>
            <w:r w:rsidRPr="005D4222">
              <w:rPr>
                <w:rFonts w:ascii="Cambria Math" w:hAnsi="Cambria Math" w:cs="Cambria Math"/>
              </w:rPr>
              <w:t>‐</w:t>
            </w:r>
            <w:r w:rsidRPr="005D4222">
              <w:t xml:space="preserve">Hillen. 2022. “Cardiovascular Risk for Patients With and Without Schizophrenia, Schizoaffective Disorder, or Bipolar Disorder.” </w:t>
            </w:r>
            <w:r w:rsidRPr="005D4222">
              <w:rPr>
                <w:i/>
                <w:iCs/>
              </w:rPr>
              <w:t>Journal of the American Heart Association</w:t>
            </w:r>
            <w:r w:rsidRPr="005D4222">
              <w:t xml:space="preserve"> 11 (6): e021444.</w:t>
            </w:r>
          </w:p>
          <w:p w14:paraId="0951B52B" w14:textId="77777777" w:rsidR="009B4A75" w:rsidRPr="005D4222" w:rsidRDefault="009B4A75">
            <w:pPr>
              <w:pStyle w:val="ECDSBody"/>
            </w:pPr>
            <w:r w:rsidRPr="005D4222">
              <w:t xml:space="preserve">Pillinger, T., R.A. McCutcheon, L. Vano, Y. Mizuno, A. Arumuham, G. Hindley, K. Beck, et al. 2020. “Comparative Effects of 18 Antipsychotics on Metabolic Function in Patients with Schizophrenia, Predictors of Metabolic Dysregulation, and Association with Psychopathology: A Systematic Review and Network Meta-Analysis.” </w:t>
            </w:r>
            <w:r w:rsidRPr="005D4222">
              <w:rPr>
                <w:i/>
                <w:iCs/>
              </w:rPr>
              <w:t>The Lancet Psychiatry</w:t>
            </w:r>
            <w:r w:rsidRPr="005D4222">
              <w:t xml:space="preserve"> 7 (1): 64–77.</w:t>
            </w:r>
          </w:p>
        </w:tc>
      </w:tr>
      <w:tr w:rsidR="009B4A75" w:rsidRPr="005D4222" w14:paraId="330498D3" w14:textId="77777777" w:rsidTr="009B4A75">
        <w:tc>
          <w:tcPr>
            <w:tcW w:w="9714"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7A087F32" w14:textId="77777777" w:rsidR="009B4A75" w:rsidRPr="005D4222" w:rsidRDefault="009B4A75">
            <w:pPr>
              <w:pStyle w:val="ECDSMarginHead"/>
            </w:pPr>
            <w:r w:rsidRPr="005D4222">
              <w:t>Characteristics</w:t>
            </w:r>
          </w:p>
        </w:tc>
      </w:tr>
      <w:tr w:rsidR="009B4A75" w:rsidRPr="005D4222" w14:paraId="521A8536" w14:textId="77777777" w:rsidTr="009B4A75">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5267B3A3" w14:textId="77777777" w:rsidR="009B4A75" w:rsidRPr="005D4222" w:rsidRDefault="009B4A75" w:rsidP="009B4A75">
            <w:pPr>
              <w:pStyle w:val="ECDSMarginSubhead"/>
              <w:spacing w:after="0"/>
            </w:pPr>
            <w:r w:rsidRPr="005D4222">
              <w:t>Scoring</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6F635E03" w14:textId="77777777" w:rsidR="009B4A75" w:rsidRPr="005D4222" w:rsidRDefault="009B4A75" w:rsidP="009B4A75">
            <w:pPr>
              <w:pStyle w:val="ECDSBody"/>
              <w:spacing w:after="0"/>
            </w:pPr>
            <w:r w:rsidRPr="005D4222">
              <w:t>Proportion.</w:t>
            </w:r>
          </w:p>
        </w:tc>
      </w:tr>
      <w:tr w:rsidR="009B4A75" w:rsidRPr="005D4222" w14:paraId="0FA8459E" w14:textId="77777777" w:rsidTr="009B4A75">
        <w:tc>
          <w:tcPr>
            <w:tcW w:w="2157" w:type="dxa"/>
            <w:tcBorders>
              <w:top w:val="nil"/>
              <w:left w:val="single" w:sz="4" w:space="0" w:color="auto"/>
              <w:bottom w:val="nil"/>
              <w:right w:val="single" w:sz="4" w:space="0" w:color="auto"/>
            </w:tcBorders>
            <w:tcMar>
              <w:top w:w="0" w:type="dxa"/>
              <w:left w:w="86" w:type="dxa"/>
              <w:bottom w:w="43" w:type="dxa"/>
              <w:right w:w="86" w:type="dxa"/>
            </w:tcMar>
          </w:tcPr>
          <w:p w14:paraId="5E7546A7" w14:textId="77777777" w:rsidR="009B4A75" w:rsidRPr="005D4222" w:rsidRDefault="009B4A75" w:rsidP="009B4A75">
            <w:pPr>
              <w:pStyle w:val="ECDSMarginSubhead"/>
              <w:spacing w:after="0"/>
            </w:pPr>
            <w:r w:rsidRPr="005D4222">
              <w:t>Type</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54244CEF" w14:textId="77777777" w:rsidR="009B4A75" w:rsidRPr="005D4222" w:rsidRDefault="009B4A75" w:rsidP="009B4A75">
            <w:pPr>
              <w:pStyle w:val="ECDSBody"/>
              <w:spacing w:after="0"/>
            </w:pPr>
            <w:r w:rsidRPr="005D4222">
              <w:t>Process.</w:t>
            </w:r>
          </w:p>
        </w:tc>
      </w:tr>
      <w:tr w:rsidR="009B4A75" w:rsidRPr="005D4222" w14:paraId="239D0A15" w14:textId="77777777" w:rsidTr="009B4A75">
        <w:tc>
          <w:tcPr>
            <w:tcW w:w="2157" w:type="dxa"/>
            <w:tcBorders>
              <w:top w:val="nil"/>
              <w:left w:val="single" w:sz="4" w:space="0" w:color="auto"/>
              <w:bottom w:val="nil"/>
              <w:right w:val="single" w:sz="4" w:space="0" w:color="auto"/>
            </w:tcBorders>
            <w:tcMar>
              <w:top w:w="0" w:type="dxa"/>
              <w:left w:w="86" w:type="dxa"/>
              <w:bottom w:w="43" w:type="dxa"/>
              <w:right w:w="86" w:type="dxa"/>
            </w:tcMar>
          </w:tcPr>
          <w:p w14:paraId="45837B3D" w14:textId="6FE8297A" w:rsidR="009B4A75" w:rsidRPr="005D4222" w:rsidRDefault="00B51CDC" w:rsidP="009B4A75">
            <w:pPr>
              <w:pStyle w:val="ECDSMarginSubhead"/>
              <w:spacing w:after="0"/>
            </w:pPr>
            <w:r w:rsidRPr="005D4222">
              <w:t>Product lines</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601BBFE1" w14:textId="77777777" w:rsidR="009B4A75" w:rsidRPr="005D4222" w:rsidRDefault="009B4A75" w:rsidP="009B4A75">
            <w:pPr>
              <w:pStyle w:val="ECDSBody"/>
              <w:spacing w:after="0"/>
            </w:pPr>
            <w:r w:rsidRPr="005D4222">
              <w:t>Medicaid.</w:t>
            </w:r>
          </w:p>
        </w:tc>
      </w:tr>
      <w:tr w:rsidR="009B4A75" w:rsidRPr="005D4222" w14:paraId="5FDB8CAF" w14:textId="77777777" w:rsidTr="009B4A75">
        <w:tc>
          <w:tcPr>
            <w:tcW w:w="2157" w:type="dxa"/>
            <w:tcBorders>
              <w:top w:val="nil"/>
              <w:left w:val="single" w:sz="4" w:space="0" w:color="auto"/>
              <w:bottom w:val="nil"/>
              <w:right w:val="single" w:sz="4" w:space="0" w:color="auto"/>
            </w:tcBorders>
            <w:tcMar>
              <w:top w:w="0" w:type="dxa"/>
              <w:left w:w="86" w:type="dxa"/>
              <w:bottom w:w="43" w:type="dxa"/>
              <w:right w:w="86" w:type="dxa"/>
            </w:tcMar>
          </w:tcPr>
          <w:p w14:paraId="5A989E52" w14:textId="4FE19A4D" w:rsidR="009B4A75" w:rsidRPr="005D4222" w:rsidRDefault="00B51CDC" w:rsidP="009B4A75">
            <w:pPr>
              <w:pStyle w:val="ECDSMarginSubhead"/>
              <w:spacing w:after="0"/>
            </w:pPr>
            <w:r w:rsidRPr="005D4222">
              <w:t>Stratifications</w:t>
            </w:r>
            <w:r w:rsidR="009B4A75" w:rsidRPr="005D4222">
              <w:t xml:space="preserve"> </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2BFE8FB3" w14:textId="77777777" w:rsidR="009B4A75" w:rsidRPr="005D4222" w:rsidRDefault="009B4A75" w:rsidP="009B4A75">
            <w:pPr>
              <w:pStyle w:val="ECDSBody"/>
              <w:spacing w:after="0"/>
            </w:pPr>
            <w:r w:rsidRPr="005D4222">
              <w:t>None.</w:t>
            </w:r>
          </w:p>
        </w:tc>
      </w:tr>
      <w:tr w:rsidR="009B4A75" w:rsidRPr="005D4222" w14:paraId="2A069708" w14:textId="77777777" w:rsidTr="009B4A75">
        <w:tc>
          <w:tcPr>
            <w:tcW w:w="2157" w:type="dxa"/>
            <w:tcBorders>
              <w:top w:val="nil"/>
              <w:left w:val="single" w:sz="4" w:space="0" w:color="auto"/>
              <w:bottom w:val="nil"/>
              <w:right w:val="single" w:sz="4" w:space="0" w:color="auto"/>
            </w:tcBorders>
            <w:tcMar>
              <w:top w:w="0" w:type="dxa"/>
              <w:left w:w="86" w:type="dxa"/>
              <w:bottom w:w="43" w:type="dxa"/>
              <w:right w:w="86" w:type="dxa"/>
            </w:tcMar>
          </w:tcPr>
          <w:p w14:paraId="04B0FA6F" w14:textId="77777777" w:rsidR="009B4A75" w:rsidRPr="005D4222" w:rsidRDefault="009B4A75" w:rsidP="009B4A75">
            <w:pPr>
              <w:pStyle w:val="ECDSMarginSubhead"/>
              <w:spacing w:after="0"/>
            </w:pPr>
            <w:r w:rsidRPr="005D4222">
              <w:t>Risk adjustment</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1484142C" w14:textId="77777777" w:rsidR="009B4A75" w:rsidRPr="005D4222" w:rsidRDefault="009B4A75" w:rsidP="009B4A75">
            <w:pPr>
              <w:pStyle w:val="ECDSBody"/>
              <w:spacing w:after="0"/>
            </w:pPr>
            <w:r w:rsidRPr="005D4222">
              <w:t xml:space="preserve">None. </w:t>
            </w:r>
          </w:p>
        </w:tc>
      </w:tr>
      <w:tr w:rsidR="009B4A75" w:rsidRPr="005D4222" w14:paraId="5BBFDD62" w14:textId="77777777" w:rsidTr="009B4A75">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59DCC67A" w14:textId="77777777" w:rsidR="009B4A75" w:rsidRPr="005D4222" w:rsidRDefault="009B4A75">
            <w:pPr>
              <w:pStyle w:val="ECDSMarginSubhead"/>
            </w:pPr>
            <w:r w:rsidRPr="005D4222">
              <w:t>Improvement notation</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hideMark/>
          </w:tcPr>
          <w:p w14:paraId="05B7157C" w14:textId="77777777" w:rsidR="009B4A75" w:rsidRPr="005D4222" w:rsidRDefault="009B4A75">
            <w:pPr>
              <w:pStyle w:val="ECDSBody"/>
              <w:spacing w:after="0"/>
              <w:rPr>
                <w:iCs/>
              </w:rPr>
            </w:pPr>
            <w:r w:rsidRPr="005D4222">
              <w:rPr>
                <w:iCs/>
              </w:rPr>
              <w:t>Increased score indicates improvement.</w:t>
            </w:r>
          </w:p>
        </w:tc>
      </w:tr>
      <w:tr w:rsidR="009B4A75" w:rsidRPr="005D4222" w14:paraId="0D924674" w14:textId="77777777" w:rsidTr="009B4A75">
        <w:tc>
          <w:tcPr>
            <w:tcW w:w="21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BE33738" w14:textId="0A7C75E9" w:rsidR="009B4A75" w:rsidRPr="005D4222" w:rsidRDefault="009B4A75">
            <w:pPr>
              <w:pStyle w:val="ECDSMarginSubhead"/>
            </w:pPr>
            <w:r w:rsidRPr="005D4222">
              <w:lastRenderedPageBreak/>
              <w:t>Guidance</w:t>
            </w:r>
          </w:p>
        </w:tc>
        <w:tc>
          <w:tcPr>
            <w:tcW w:w="7557"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B188813" w14:textId="13490675" w:rsidR="009B4A75" w:rsidRPr="005D4222" w:rsidRDefault="009B4A75" w:rsidP="009B4A75">
            <w:pPr>
              <w:pStyle w:val="ECDSBody"/>
            </w:pPr>
            <w:r w:rsidRPr="005D4222">
              <w:rPr>
                <w:b/>
              </w:rPr>
              <w:t>Data collection methodology:</w:t>
            </w:r>
            <w:r w:rsidRPr="005D4222">
              <w:t xml:space="preserve"> Administrative. Refer to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46CA1D4F" w14:textId="77777777" w:rsidR="009B4A75" w:rsidRPr="005D4222" w:rsidRDefault="009B4A75">
            <w:pPr>
              <w:pStyle w:val="ECDSBody"/>
            </w:pPr>
            <w:r w:rsidRPr="005D4222">
              <w:rPr>
                <w:b/>
              </w:rPr>
              <w:t xml:space="preserve">Date specificity: </w:t>
            </w:r>
            <w:r w:rsidRPr="005D4222">
              <w:t>Dates must be specific enough to determine the event occurred in the period being measured.</w:t>
            </w:r>
          </w:p>
          <w:p w14:paraId="52D341DB" w14:textId="77777777" w:rsidR="009B4A75" w:rsidRPr="005D4222" w:rsidRDefault="009B4A75">
            <w:pPr>
              <w:pStyle w:val="ECDSBody"/>
              <w:rPr>
                <w:b/>
              </w:rPr>
            </w:pPr>
            <w:r w:rsidRPr="005D4222">
              <w:rPr>
                <w:b/>
              </w:rPr>
              <w:t xml:space="preserve">Which services count? </w:t>
            </w:r>
            <w:r w:rsidRPr="005D4222">
              <w:t>When using claims, include all paid, suspended, pending and denied claims.</w:t>
            </w:r>
          </w:p>
        </w:tc>
      </w:tr>
      <w:tr w:rsidR="009B4A75" w:rsidRPr="005D4222" w14:paraId="539DA658" w14:textId="77777777" w:rsidTr="009B4A75">
        <w:tc>
          <w:tcPr>
            <w:tcW w:w="2157" w:type="dxa"/>
            <w:shd w:val="clear" w:color="auto" w:fill="BFBFBF" w:themeFill="background1" w:themeFillShade="BF"/>
            <w:tcMar>
              <w:top w:w="0" w:type="dxa"/>
              <w:left w:w="86" w:type="dxa"/>
              <w:bottom w:w="43" w:type="dxa"/>
              <w:right w:w="86" w:type="dxa"/>
            </w:tcMar>
          </w:tcPr>
          <w:p w14:paraId="3FA58617" w14:textId="77777777" w:rsidR="009B4A75" w:rsidRPr="005D4222" w:rsidRDefault="009B4A75">
            <w:pPr>
              <w:pStyle w:val="ECDSMarginHead"/>
            </w:pPr>
            <w:r w:rsidRPr="005D4222">
              <w:t>Initial population</w:t>
            </w:r>
          </w:p>
        </w:tc>
        <w:tc>
          <w:tcPr>
            <w:tcW w:w="7557"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C15F1CD" w14:textId="77777777" w:rsidR="009B4A75" w:rsidRPr="005D4222" w:rsidRDefault="009B4A75">
            <w:pPr>
              <w:pStyle w:val="ECDSBody"/>
            </w:pPr>
            <w:r w:rsidRPr="005D4222">
              <w:rPr>
                <w:i/>
                <w:iCs/>
              </w:rPr>
              <w:t xml:space="preserve">Measure item count: </w:t>
            </w:r>
            <w:r w:rsidRPr="005D4222">
              <w:t>Person.</w:t>
            </w:r>
          </w:p>
          <w:p w14:paraId="00EA3053" w14:textId="77777777" w:rsidR="009B4A75" w:rsidRPr="005D4222" w:rsidRDefault="009B4A75">
            <w:pPr>
              <w:pStyle w:val="ECDSBody"/>
            </w:pPr>
            <w:r w:rsidRPr="005D4222">
              <w:rPr>
                <w:i/>
                <w:iCs/>
              </w:rPr>
              <w:t>Attribution basis:</w:t>
            </w:r>
            <w:r w:rsidRPr="005D4222">
              <w:t xml:space="preserve"> Enrollment.</w:t>
            </w:r>
          </w:p>
          <w:p w14:paraId="334C9461" w14:textId="77777777" w:rsidR="009B4A75" w:rsidRPr="005D4222" w:rsidRDefault="009B4A75" w:rsidP="009B4A75">
            <w:pPr>
              <w:pStyle w:val="Bullet"/>
              <w:numPr>
                <w:ilvl w:val="0"/>
                <w:numId w:val="4"/>
              </w:numPr>
              <w:tabs>
                <w:tab w:val="left" w:pos="360"/>
                <w:tab w:val="left" w:pos="576"/>
              </w:tabs>
              <w:ind w:left="576" w:hanging="216"/>
            </w:pPr>
            <w:r w:rsidRPr="005D4222">
              <w:rPr>
                <w:i/>
                <w:iCs/>
              </w:rPr>
              <w:t>Benefits:</w:t>
            </w:r>
            <w:r w:rsidRPr="005D4222">
              <w:t xml:space="preserve"> Medical.</w:t>
            </w:r>
          </w:p>
          <w:p w14:paraId="1BE517DF" w14:textId="77777777" w:rsidR="009B4A75" w:rsidRPr="005D4222" w:rsidRDefault="009B4A75" w:rsidP="009B4A75">
            <w:pPr>
              <w:pStyle w:val="Bullet"/>
              <w:numPr>
                <w:ilvl w:val="0"/>
                <w:numId w:val="4"/>
              </w:numPr>
              <w:tabs>
                <w:tab w:val="left" w:pos="360"/>
                <w:tab w:val="left" w:pos="576"/>
              </w:tabs>
              <w:ind w:left="576" w:hanging="216"/>
            </w:pPr>
            <w:r w:rsidRPr="005D4222">
              <w:rPr>
                <w:i/>
                <w:iCs/>
              </w:rPr>
              <w:t>Continuous enrollment:</w:t>
            </w:r>
            <w:r w:rsidRPr="005D4222">
              <w:t xml:space="preserve"> The measurement period and the year prior to the measurement period.</w:t>
            </w:r>
          </w:p>
          <w:p w14:paraId="3ED181B1" w14:textId="77777777" w:rsidR="009B4A75" w:rsidRPr="005D4222" w:rsidRDefault="009B4A75" w:rsidP="009B4A75">
            <w:pPr>
              <w:pStyle w:val="Bullet"/>
              <w:numPr>
                <w:ilvl w:val="0"/>
                <w:numId w:val="4"/>
              </w:numPr>
              <w:tabs>
                <w:tab w:val="left" w:pos="360"/>
                <w:tab w:val="left" w:pos="576"/>
              </w:tabs>
              <w:ind w:left="576" w:hanging="216"/>
            </w:pPr>
            <w:r w:rsidRPr="005D4222">
              <w:rPr>
                <w:i/>
                <w:iCs/>
              </w:rPr>
              <w:t>Allowable gap:</w:t>
            </w:r>
            <w:r w:rsidRPr="005D4222">
              <w:t xml:space="preserve"> No more than one gap of ≤45 days during each year in the continuous enrollment period. No gaps on the last day of the measurement period.</w:t>
            </w:r>
          </w:p>
          <w:p w14:paraId="066943ED" w14:textId="77777777" w:rsidR="009B4A75" w:rsidRPr="005D4222" w:rsidRDefault="009B4A75">
            <w:pPr>
              <w:pStyle w:val="ECDSBody"/>
            </w:pPr>
            <w:r w:rsidRPr="005D4222">
              <w:rPr>
                <w:i/>
                <w:iCs/>
              </w:rPr>
              <w:t>Ages:</w:t>
            </w:r>
            <w:r w:rsidRPr="005D4222">
              <w:t xml:space="preserve"> 18–64 years of age as of the last day of the measurement period.</w:t>
            </w:r>
          </w:p>
          <w:p w14:paraId="0F5F8403" w14:textId="77777777" w:rsidR="009B4A75" w:rsidRPr="005D4222" w:rsidRDefault="009B4A75">
            <w:pPr>
              <w:pStyle w:val="ECDSBody"/>
              <w:rPr>
                <w:b/>
              </w:rPr>
            </w:pPr>
            <w:r w:rsidRPr="005D4222">
              <w:rPr>
                <w:i/>
                <w:iCs/>
              </w:rPr>
              <w:t>Event:</w:t>
            </w:r>
            <w:r w:rsidRPr="005D4222">
              <w:t xml:space="preserve"> </w:t>
            </w:r>
            <w:r w:rsidRPr="005D4222">
              <w:rPr>
                <w:b/>
                <w:bCs w:val="0"/>
              </w:rPr>
              <w:t>Persons with cardiovascular disease and schizophrenia</w:t>
            </w:r>
          </w:p>
          <w:p w14:paraId="5E58214F" w14:textId="77777777" w:rsidR="009B4A75" w:rsidRPr="005D4222" w:rsidRDefault="009B4A75">
            <w:pPr>
              <w:pStyle w:val="ECDSBody"/>
              <w:rPr>
                <w:b/>
              </w:rPr>
            </w:pPr>
            <w:r w:rsidRPr="005D4222">
              <w:rPr>
                <w:b/>
              </w:rPr>
              <w:t>Step 1.</w:t>
            </w:r>
            <w:r w:rsidRPr="005D4222">
              <w:rPr>
                <w:bCs w:val="0"/>
              </w:rPr>
              <w:t xml:space="preserve"> Identify </w:t>
            </w:r>
            <w:r w:rsidRPr="005D4222">
              <w:t>persons with schizophrenia or schizoaffective disorder as those who met at least one of the following criteria during the measurement period:</w:t>
            </w:r>
          </w:p>
          <w:p w14:paraId="7602B2B5" w14:textId="77777777" w:rsidR="009B4A75" w:rsidRPr="005D4222" w:rsidRDefault="009B4A75" w:rsidP="005D6173">
            <w:pPr>
              <w:pStyle w:val="Bullet"/>
              <w:numPr>
                <w:ilvl w:val="0"/>
                <w:numId w:val="70"/>
              </w:numPr>
              <w:tabs>
                <w:tab w:val="left" w:pos="360"/>
                <w:tab w:val="left" w:pos="576"/>
              </w:tabs>
              <w:ind w:left="576" w:hanging="216"/>
            </w:pPr>
            <w:r w:rsidRPr="005D4222">
              <w:t>At least one acute inpatient encounter with any diagnosis of schizophrenia or schizoaffective disorder. Either of the following combinations meets criteria:</w:t>
            </w:r>
          </w:p>
          <w:p w14:paraId="608EAFE1" w14:textId="77777777" w:rsidR="009B4A75" w:rsidRPr="005D4222" w:rsidRDefault="009B4A75" w:rsidP="005D6173">
            <w:pPr>
              <w:pStyle w:val="Dash"/>
              <w:numPr>
                <w:ilvl w:val="0"/>
                <w:numId w:val="69"/>
              </w:numPr>
              <w:tabs>
                <w:tab w:val="left" w:pos="576"/>
                <w:tab w:val="left" w:pos="792"/>
              </w:tabs>
              <w:ind w:left="792" w:hanging="216"/>
            </w:pPr>
            <w:r w:rsidRPr="005D4222">
              <w:rPr>
                <w:u w:val="single"/>
              </w:rPr>
              <w:t>BH Stand Alone Acute Inpatient Value Set</w:t>
            </w:r>
            <w:r w:rsidRPr="005D4222">
              <w:t xml:space="preserve"> </w:t>
            </w:r>
            <w:r w:rsidRPr="005D4222">
              <w:rPr>
                <w:b/>
                <w:i/>
              </w:rPr>
              <w:t>with</w:t>
            </w:r>
            <w:r w:rsidRPr="005D4222">
              <w:t xml:space="preserve"> </w:t>
            </w:r>
            <w:r w:rsidRPr="005D4222">
              <w:rPr>
                <w:u w:val="single"/>
              </w:rPr>
              <w:t>Schizophrenia Value Set</w:t>
            </w:r>
            <w:r w:rsidRPr="005D4222">
              <w:t>.</w:t>
            </w:r>
          </w:p>
          <w:p w14:paraId="5CFE3AC1" w14:textId="77777777" w:rsidR="009B4A75" w:rsidRPr="005D4222" w:rsidRDefault="009B4A75" w:rsidP="005D6173">
            <w:pPr>
              <w:pStyle w:val="Dash"/>
              <w:numPr>
                <w:ilvl w:val="0"/>
                <w:numId w:val="69"/>
              </w:numPr>
              <w:tabs>
                <w:tab w:val="left" w:pos="576"/>
                <w:tab w:val="left" w:pos="792"/>
              </w:tabs>
              <w:ind w:left="792" w:hanging="216"/>
            </w:pPr>
            <w:r w:rsidRPr="005D4222">
              <w:rPr>
                <w:u w:val="single"/>
              </w:rPr>
              <w:t>Visit Setting Unspecified Value Set</w:t>
            </w:r>
            <w:r w:rsidRPr="005D4222">
              <w:t xml:space="preserve"> </w:t>
            </w:r>
            <w:r w:rsidRPr="005D4222">
              <w:rPr>
                <w:b/>
                <w:i/>
              </w:rPr>
              <w:t>with</w:t>
            </w:r>
            <w:r w:rsidRPr="005D4222">
              <w:t xml:space="preserve"> </w:t>
            </w:r>
            <w:r w:rsidRPr="005D4222">
              <w:rPr>
                <w:u w:val="single"/>
              </w:rPr>
              <w:t>Acute Inpatient POS Value Set</w:t>
            </w:r>
            <w:r w:rsidRPr="005D4222">
              <w:t xml:space="preserve"> </w:t>
            </w:r>
            <w:r w:rsidRPr="005D4222">
              <w:rPr>
                <w:b/>
                <w:i/>
              </w:rPr>
              <w:t>with</w:t>
            </w:r>
            <w:r w:rsidRPr="005D4222">
              <w:t xml:space="preserve"> </w:t>
            </w:r>
            <w:r w:rsidRPr="005D4222">
              <w:rPr>
                <w:u w:val="single"/>
              </w:rPr>
              <w:t>Schizophrenia Value Set</w:t>
            </w:r>
            <w:r w:rsidRPr="005D4222">
              <w:t>.</w:t>
            </w:r>
          </w:p>
          <w:p w14:paraId="2020ED29" w14:textId="77777777" w:rsidR="009B4A75" w:rsidRPr="005D4222" w:rsidRDefault="009B4A75" w:rsidP="009B4A75">
            <w:pPr>
              <w:pStyle w:val="Bullet"/>
              <w:numPr>
                <w:ilvl w:val="0"/>
                <w:numId w:val="4"/>
              </w:numPr>
              <w:tabs>
                <w:tab w:val="left" w:pos="360"/>
                <w:tab w:val="left" w:pos="576"/>
              </w:tabs>
              <w:ind w:left="576" w:hanging="216"/>
            </w:pPr>
            <w:r w:rsidRPr="005D4222">
              <w:t>At least two visits in an outpatient, intensive outpatient, partial hospitalization, ED or nonacute inpatient setting, on different dates of service, with any diagnosis of schizophrenia or schizoaffective disorder. Two of any of the following meets criteria:</w:t>
            </w:r>
          </w:p>
          <w:p w14:paraId="2A36F8B7" w14:textId="77777777" w:rsidR="009B4A75" w:rsidRPr="005D4222" w:rsidRDefault="009B4A75" w:rsidP="005D6173">
            <w:pPr>
              <w:pStyle w:val="Body"/>
              <w:numPr>
                <w:ilvl w:val="0"/>
                <w:numId w:val="75"/>
              </w:numPr>
              <w:spacing w:before="40" w:after="40"/>
              <w:ind w:left="792" w:hanging="216"/>
              <w:rPr>
                <w:rFonts w:cs="Arial"/>
                <w:i/>
                <w:iCs/>
              </w:rPr>
            </w:pPr>
            <w:r w:rsidRPr="005D4222">
              <w:t>An outpatient visit with any diagnosis of schizophrenia or schizoaffective disorder (</w:t>
            </w:r>
            <w:r w:rsidRPr="005D4222">
              <w:rPr>
                <w:u w:val="single"/>
              </w:rPr>
              <w:t xml:space="preserve">Visit Setting Unspecified Value Set </w:t>
            </w:r>
            <w:r w:rsidRPr="005D4222">
              <w:rPr>
                <w:b/>
                <w:bCs/>
                <w:i/>
                <w:iCs/>
                <w:u w:val="single"/>
              </w:rPr>
              <w:t>with</w:t>
            </w:r>
            <w:r w:rsidRPr="005D4222">
              <w:t xml:space="preserve"> </w:t>
            </w:r>
            <w:r w:rsidRPr="005D4222">
              <w:rPr>
                <w:u w:val="single"/>
              </w:rPr>
              <w:t>Outpatient POS Value Set</w:t>
            </w:r>
            <w:r w:rsidRPr="005D4222">
              <w:t xml:space="preserve"> </w:t>
            </w:r>
            <w:r w:rsidRPr="005D4222">
              <w:rPr>
                <w:b/>
                <w:bCs/>
                <w:i/>
                <w:iCs/>
              </w:rPr>
              <w:t>with</w:t>
            </w:r>
            <w:r w:rsidRPr="005D4222">
              <w:t xml:space="preserve"> </w:t>
            </w:r>
            <w:r w:rsidRPr="005D4222">
              <w:rPr>
                <w:u w:val="single"/>
              </w:rPr>
              <w:t>Schizophrenia Value Set</w:t>
            </w:r>
            <w:r w:rsidRPr="005D4222">
              <w:t>).</w:t>
            </w:r>
          </w:p>
          <w:p w14:paraId="19F04E83" w14:textId="77777777" w:rsidR="009B4A75" w:rsidRPr="005D4222" w:rsidRDefault="009B4A75" w:rsidP="005D6173">
            <w:pPr>
              <w:pStyle w:val="Dash"/>
              <w:numPr>
                <w:ilvl w:val="0"/>
                <w:numId w:val="69"/>
              </w:numPr>
              <w:tabs>
                <w:tab w:val="left" w:pos="576"/>
                <w:tab w:val="left" w:pos="792"/>
              </w:tabs>
              <w:ind w:left="792" w:hanging="216"/>
            </w:pPr>
            <w:r w:rsidRPr="005D4222">
              <w:t>An outpatient visit with any diagnosis of schizophrenia or schizoaffective disorder (</w:t>
            </w:r>
            <w:r w:rsidRPr="005D4222">
              <w:rPr>
                <w:u w:val="single"/>
              </w:rPr>
              <w:t>BH Outpatient Value Set</w:t>
            </w:r>
            <w:r w:rsidRPr="005D4222">
              <w:t xml:space="preserve"> </w:t>
            </w:r>
            <w:r w:rsidRPr="005D4222">
              <w:rPr>
                <w:b/>
                <w:i/>
              </w:rPr>
              <w:t>with</w:t>
            </w:r>
            <w:r w:rsidRPr="005D4222">
              <w:t xml:space="preserve"> </w:t>
            </w:r>
            <w:r w:rsidRPr="005D4222">
              <w:rPr>
                <w:u w:val="single"/>
              </w:rPr>
              <w:t>Schizophrenia Value Set</w:t>
            </w:r>
            <w:r w:rsidRPr="005D4222">
              <w:t xml:space="preserve">). </w:t>
            </w:r>
          </w:p>
          <w:p w14:paraId="3300BCC0" w14:textId="77777777" w:rsidR="009B4A75" w:rsidRPr="005D4222" w:rsidRDefault="009B4A75" w:rsidP="005D6173">
            <w:pPr>
              <w:pStyle w:val="Dash"/>
              <w:numPr>
                <w:ilvl w:val="0"/>
                <w:numId w:val="69"/>
              </w:numPr>
              <w:tabs>
                <w:tab w:val="left" w:pos="576"/>
                <w:tab w:val="left" w:pos="792"/>
              </w:tabs>
              <w:ind w:left="792" w:hanging="216"/>
            </w:pPr>
            <w:r w:rsidRPr="005D4222">
              <w:t>An intensive outpatient encounter or partial hospitalization with any diagnosis of schizophrenia or schizoaffective disorder (</w:t>
            </w:r>
            <w:r w:rsidRPr="005D4222">
              <w:rPr>
                <w:u w:val="single"/>
              </w:rPr>
              <w:t>Visit Setting Unspecified Value Set</w:t>
            </w:r>
            <w:r w:rsidRPr="005D4222">
              <w:t xml:space="preserve">) </w:t>
            </w:r>
            <w:r w:rsidRPr="005D4222">
              <w:rPr>
                <w:b/>
                <w:i/>
              </w:rPr>
              <w:t>with</w:t>
            </w:r>
            <w:r w:rsidRPr="005D4222">
              <w:t xml:space="preserve"> </w:t>
            </w:r>
            <w:r w:rsidRPr="005D4222">
              <w:rPr>
                <w:bCs/>
                <w:iCs/>
              </w:rPr>
              <w:t>POS code 52</w:t>
            </w:r>
            <w:r w:rsidRPr="005D4222">
              <w:rPr>
                <w:b/>
                <w:i/>
              </w:rPr>
              <w:t xml:space="preserve"> with</w:t>
            </w:r>
            <w:r w:rsidRPr="005D4222">
              <w:t xml:space="preserve"> </w:t>
            </w:r>
            <w:r w:rsidRPr="005D4222">
              <w:rPr>
                <w:u w:val="single"/>
              </w:rPr>
              <w:t>Schizophrenia Value Set</w:t>
            </w:r>
            <w:r w:rsidRPr="005D4222">
              <w:t xml:space="preserve">. </w:t>
            </w:r>
          </w:p>
          <w:p w14:paraId="3E55DE54" w14:textId="77777777" w:rsidR="009B4A75" w:rsidRPr="005D4222" w:rsidRDefault="009B4A75" w:rsidP="009B4A75">
            <w:pPr>
              <w:pStyle w:val="Dash"/>
              <w:tabs>
                <w:tab w:val="left" w:pos="576"/>
                <w:tab w:val="left" w:pos="792"/>
              </w:tabs>
              <w:spacing w:after="80"/>
            </w:pPr>
            <w:r w:rsidRPr="005D4222">
              <w:t>An intensive outpatient encounter or partial hospitalization with any diagnosis of schizophrenia or schizoaffective disorder (</w:t>
            </w:r>
            <w:r w:rsidRPr="005D4222">
              <w:rPr>
                <w:u w:val="single"/>
              </w:rPr>
              <w:t>Partial Hospitalization or Intensive Outpatient Value Set</w:t>
            </w:r>
            <w:r w:rsidRPr="005D4222">
              <w:t xml:space="preserve"> </w:t>
            </w:r>
            <w:r w:rsidRPr="005D4222">
              <w:rPr>
                <w:b/>
                <w:bCs/>
                <w:i/>
                <w:iCs/>
              </w:rPr>
              <w:t>with</w:t>
            </w:r>
            <w:r w:rsidRPr="005D4222">
              <w:t xml:space="preserve"> </w:t>
            </w:r>
            <w:r w:rsidRPr="005D4222">
              <w:rPr>
                <w:u w:val="single"/>
              </w:rPr>
              <w:t>Schizophrenia Value Set</w:t>
            </w:r>
            <w:r w:rsidRPr="005D4222">
              <w:t xml:space="preserve">). </w:t>
            </w:r>
          </w:p>
          <w:p w14:paraId="7F3F086A" w14:textId="77777777" w:rsidR="009B4A75" w:rsidRPr="005D4222" w:rsidRDefault="009B4A75" w:rsidP="005D6173">
            <w:pPr>
              <w:pStyle w:val="Dash"/>
              <w:numPr>
                <w:ilvl w:val="0"/>
                <w:numId w:val="69"/>
              </w:numPr>
              <w:tabs>
                <w:tab w:val="left" w:pos="576"/>
                <w:tab w:val="left" w:pos="792"/>
              </w:tabs>
              <w:spacing w:before="120" w:after="80"/>
              <w:ind w:left="792" w:hanging="216"/>
            </w:pPr>
            <w:r w:rsidRPr="005D4222">
              <w:lastRenderedPageBreak/>
              <w:t>A community mental health center visit with any diagnosis of schizophrenia or schizoaffective disorder (</w:t>
            </w:r>
            <w:r w:rsidRPr="005D4222">
              <w:rPr>
                <w:u w:val="single"/>
              </w:rPr>
              <w:t>Visit Setting Unspecified Value Set</w:t>
            </w:r>
            <w:r w:rsidRPr="005D4222">
              <w:t xml:space="preserve">) </w:t>
            </w:r>
            <w:r w:rsidRPr="005D4222">
              <w:rPr>
                <w:b/>
                <w:i/>
              </w:rPr>
              <w:t>with</w:t>
            </w:r>
            <w:r w:rsidRPr="005D4222">
              <w:t xml:space="preserve"> POS code 53</w:t>
            </w:r>
            <w:r w:rsidRPr="005D4222" w:rsidDel="0032363A">
              <w:t xml:space="preserve"> </w:t>
            </w:r>
            <w:r w:rsidRPr="005D4222">
              <w:rPr>
                <w:b/>
                <w:bCs/>
                <w:i/>
              </w:rPr>
              <w:t>with</w:t>
            </w:r>
            <w:r w:rsidRPr="005D4222">
              <w:t xml:space="preserve"> </w:t>
            </w:r>
            <w:r w:rsidRPr="005D4222">
              <w:rPr>
                <w:u w:val="single"/>
              </w:rPr>
              <w:t>Schizophrenia Value Set</w:t>
            </w:r>
            <w:r w:rsidRPr="005D4222">
              <w:t xml:space="preserve">. </w:t>
            </w:r>
          </w:p>
          <w:p w14:paraId="3032CAC9" w14:textId="77777777" w:rsidR="009B4A75" w:rsidRPr="005D4222" w:rsidRDefault="009B4A75" w:rsidP="005D6173">
            <w:pPr>
              <w:pStyle w:val="Dash"/>
              <w:numPr>
                <w:ilvl w:val="0"/>
                <w:numId w:val="69"/>
              </w:numPr>
              <w:tabs>
                <w:tab w:val="left" w:pos="576"/>
                <w:tab w:val="left" w:pos="792"/>
              </w:tabs>
              <w:ind w:left="792" w:hanging="216"/>
              <w:rPr>
                <w:strike/>
              </w:rPr>
            </w:pPr>
            <w:r w:rsidRPr="005D4222">
              <w:t>Electroconvulsive therapy (</w:t>
            </w:r>
            <w:r w:rsidRPr="005D4222">
              <w:rPr>
                <w:u w:val="single"/>
              </w:rPr>
              <w:t>Electroconvulsive Therapy Value Set</w:t>
            </w:r>
            <w:r w:rsidRPr="005D4222">
              <w:t xml:space="preserve">) </w:t>
            </w:r>
            <w:r w:rsidRPr="005D4222">
              <w:rPr>
                <w:b/>
                <w:bCs/>
                <w:i/>
              </w:rPr>
              <w:t>with</w:t>
            </w:r>
            <w:r w:rsidRPr="005D4222">
              <w:t xml:space="preserve"> any diagnosis of schizophrenia or schizoaffective disorder (</w:t>
            </w:r>
            <w:r w:rsidRPr="005D4222">
              <w:rPr>
                <w:u w:val="single"/>
              </w:rPr>
              <w:t>Schizophrenia Value Set</w:t>
            </w:r>
            <w:r w:rsidRPr="005D4222">
              <w:t xml:space="preserve">). </w:t>
            </w:r>
          </w:p>
          <w:p w14:paraId="279A59A9" w14:textId="77777777" w:rsidR="009B4A75" w:rsidRPr="005D4222" w:rsidRDefault="009B4A75" w:rsidP="005D6173">
            <w:pPr>
              <w:pStyle w:val="Dash"/>
              <w:numPr>
                <w:ilvl w:val="0"/>
                <w:numId w:val="69"/>
              </w:numPr>
              <w:tabs>
                <w:tab w:val="left" w:pos="576"/>
                <w:tab w:val="left" w:pos="792"/>
              </w:tabs>
              <w:ind w:left="792" w:hanging="216"/>
            </w:pPr>
            <w:r w:rsidRPr="005D4222">
              <w:t>An ED visit (</w:t>
            </w:r>
            <w:r w:rsidRPr="005D4222">
              <w:rPr>
                <w:u w:val="single"/>
              </w:rPr>
              <w:t>ED Value Set</w:t>
            </w:r>
            <w:r w:rsidRPr="005D4222">
              <w:t xml:space="preserve">) </w:t>
            </w:r>
            <w:r w:rsidRPr="005D4222">
              <w:rPr>
                <w:b/>
                <w:i/>
              </w:rPr>
              <w:t>with</w:t>
            </w:r>
            <w:r w:rsidRPr="005D4222">
              <w:t xml:space="preserve"> any diagnosis of schizophrenia or schizoaffective disorder (</w:t>
            </w:r>
            <w:r w:rsidRPr="005D4222">
              <w:rPr>
                <w:u w:val="single"/>
              </w:rPr>
              <w:t>Schizophrenia Value Set</w:t>
            </w:r>
            <w:r w:rsidRPr="005D4222">
              <w:t xml:space="preserve">). </w:t>
            </w:r>
          </w:p>
          <w:p w14:paraId="676E7DA9" w14:textId="77777777" w:rsidR="009B4A75" w:rsidRPr="005D4222" w:rsidRDefault="009B4A75" w:rsidP="005D6173">
            <w:pPr>
              <w:pStyle w:val="Dash"/>
              <w:numPr>
                <w:ilvl w:val="0"/>
                <w:numId w:val="69"/>
              </w:numPr>
              <w:tabs>
                <w:tab w:val="left" w:pos="576"/>
                <w:tab w:val="left" w:pos="792"/>
              </w:tabs>
              <w:spacing w:after="0"/>
              <w:ind w:left="792" w:hanging="216"/>
            </w:pPr>
            <w:r w:rsidRPr="005D4222">
              <w:t>An ED visit with any diagnosis of schizophrenia or schizoaffective disorder (</w:t>
            </w:r>
            <w:r w:rsidRPr="005D4222">
              <w:rPr>
                <w:u w:val="single"/>
              </w:rPr>
              <w:t>Visit Setting Unspecified Value Set</w:t>
            </w:r>
            <w:r w:rsidRPr="005D4222">
              <w:t xml:space="preserve"> </w:t>
            </w:r>
            <w:r w:rsidRPr="005D4222">
              <w:rPr>
                <w:b/>
                <w:i/>
              </w:rPr>
              <w:t>with</w:t>
            </w:r>
            <w:r w:rsidRPr="005D4222">
              <w:t xml:space="preserve"> POS code 23 </w:t>
            </w:r>
            <w:r w:rsidRPr="005D4222">
              <w:rPr>
                <w:b/>
                <w:i/>
              </w:rPr>
              <w:t>with</w:t>
            </w:r>
            <w:r w:rsidRPr="005D4222">
              <w:t xml:space="preserve"> </w:t>
            </w:r>
            <w:r w:rsidRPr="005D4222">
              <w:rPr>
                <w:u w:val="single"/>
              </w:rPr>
              <w:t>Schizophrenia Value Set</w:t>
            </w:r>
            <w:r w:rsidRPr="005D4222">
              <w:t>).</w:t>
            </w:r>
          </w:p>
          <w:p w14:paraId="14D7B15C" w14:textId="77777777" w:rsidR="009B4A75" w:rsidRPr="005D4222" w:rsidRDefault="009B4A75" w:rsidP="005D6173">
            <w:pPr>
              <w:pStyle w:val="Dash"/>
              <w:numPr>
                <w:ilvl w:val="0"/>
                <w:numId w:val="69"/>
              </w:numPr>
              <w:tabs>
                <w:tab w:val="left" w:pos="576"/>
                <w:tab w:val="left" w:pos="792"/>
              </w:tabs>
              <w:spacing w:after="0"/>
              <w:ind w:left="792" w:hanging="216"/>
            </w:pPr>
            <w:r w:rsidRPr="005D4222">
              <w:t>A nonacute inpatient encounter (</w:t>
            </w:r>
            <w:r w:rsidRPr="005D4222">
              <w:rPr>
                <w:u w:val="single"/>
              </w:rPr>
              <w:t>BH Stand Alone Nonacute Inpatient Value Set</w:t>
            </w:r>
            <w:r w:rsidRPr="005D4222">
              <w:t xml:space="preserve">) </w:t>
            </w:r>
            <w:r w:rsidRPr="005D4222">
              <w:rPr>
                <w:b/>
                <w:i/>
              </w:rPr>
              <w:t>with</w:t>
            </w:r>
            <w:r w:rsidRPr="005D4222">
              <w:t xml:space="preserve"> any diagnosis of schizophrenia or schizoaffective disorder (</w:t>
            </w:r>
            <w:r w:rsidRPr="005D4222">
              <w:rPr>
                <w:u w:val="single"/>
              </w:rPr>
              <w:t>Schizophrenia Value Set</w:t>
            </w:r>
            <w:r w:rsidRPr="005D4222">
              <w:t>).</w:t>
            </w:r>
          </w:p>
          <w:p w14:paraId="31BBDEA7" w14:textId="77777777" w:rsidR="009B4A75" w:rsidRPr="005D4222" w:rsidRDefault="009B4A75" w:rsidP="005D6173">
            <w:pPr>
              <w:pStyle w:val="Dash"/>
              <w:numPr>
                <w:ilvl w:val="0"/>
                <w:numId w:val="69"/>
              </w:numPr>
              <w:tabs>
                <w:tab w:val="left" w:pos="576"/>
                <w:tab w:val="left" w:pos="792"/>
              </w:tabs>
              <w:spacing w:after="0"/>
              <w:ind w:left="792" w:hanging="216"/>
            </w:pPr>
            <w:r w:rsidRPr="005D4222">
              <w:t>A nonacute inpatient encounter with any diagnosis of schizophrenia or schizoaffective disorder (</w:t>
            </w:r>
            <w:r w:rsidRPr="005D4222">
              <w:rPr>
                <w:u w:val="single"/>
              </w:rPr>
              <w:t xml:space="preserve">Visit Setting Unspecified Value Set </w:t>
            </w:r>
            <w:r w:rsidRPr="005D4222">
              <w:rPr>
                <w:b/>
                <w:i/>
              </w:rPr>
              <w:t>with</w:t>
            </w:r>
            <w:r w:rsidRPr="005D4222">
              <w:t xml:space="preserve"> </w:t>
            </w:r>
            <w:r w:rsidRPr="005D4222">
              <w:rPr>
                <w:u w:val="single"/>
              </w:rPr>
              <w:t>Nonacute Inpatient POS Value Set</w:t>
            </w:r>
            <w:r w:rsidRPr="005D4222">
              <w:t xml:space="preserve"> </w:t>
            </w:r>
            <w:r w:rsidRPr="005D4222">
              <w:rPr>
                <w:b/>
                <w:i/>
              </w:rPr>
              <w:t>with</w:t>
            </w:r>
            <w:r w:rsidRPr="005D4222">
              <w:t xml:space="preserve"> </w:t>
            </w:r>
            <w:r w:rsidRPr="005D4222">
              <w:rPr>
                <w:u w:val="single"/>
              </w:rPr>
              <w:t>Schizophrenia Value Set</w:t>
            </w:r>
            <w:r w:rsidRPr="005D4222">
              <w:t>).</w:t>
            </w:r>
          </w:p>
          <w:p w14:paraId="0F598A68" w14:textId="77777777" w:rsidR="009B4A75" w:rsidRPr="005D4222" w:rsidRDefault="009B4A75" w:rsidP="005D6173">
            <w:pPr>
              <w:pStyle w:val="Dash"/>
              <w:numPr>
                <w:ilvl w:val="0"/>
                <w:numId w:val="69"/>
              </w:numPr>
              <w:tabs>
                <w:tab w:val="left" w:pos="576"/>
                <w:tab w:val="left" w:pos="792"/>
              </w:tabs>
              <w:spacing w:after="0"/>
              <w:ind w:left="792" w:hanging="216"/>
            </w:pPr>
            <w:r w:rsidRPr="005D4222">
              <w:t>A telehealth visit with any diagnosis of schizophrenia or schizoaffective disorder (</w:t>
            </w:r>
            <w:r w:rsidRPr="005D4222">
              <w:rPr>
                <w:u w:val="single"/>
              </w:rPr>
              <w:t xml:space="preserve">Visit Setting Unspecified Value Set </w:t>
            </w:r>
            <w:r w:rsidRPr="005D4222">
              <w:rPr>
                <w:b/>
                <w:i/>
              </w:rPr>
              <w:t>with</w:t>
            </w:r>
            <w:r w:rsidRPr="005D4222">
              <w:t xml:space="preserve"> </w:t>
            </w:r>
            <w:r w:rsidRPr="005D4222">
              <w:rPr>
                <w:u w:val="single"/>
              </w:rPr>
              <w:t>Telehealth POS Value Set</w:t>
            </w:r>
            <w:r w:rsidRPr="005D4222">
              <w:rPr>
                <w:b/>
                <w:i/>
              </w:rPr>
              <w:t xml:space="preserve"> with</w:t>
            </w:r>
            <w:r w:rsidRPr="005D4222">
              <w:t xml:space="preserve"> </w:t>
            </w:r>
            <w:r w:rsidRPr="005D4222">
              <w:rPr>
                <w:u w:val="single"/>
              </w:rPr>
              <w:t>Schizophrenia Value Set</w:t>
            </w:r>
            <w:r w:rsidRPr="005D4222">
              <w:t>).</w:t>
            </w:r>
          </w:p>
          <w:p w14:paraId="791F742C" w14:textId="77777777" w:rsidR="009B4A75" w:rsidRPr="005D4222" w:rsidRDefault="009B4A75" w:rsidP="005D6173">
            <w:pPr>
              <w:pStyle w:val="Dash"/>
              <w:numPr>
                <w:ilvl w:val="0"/>
                <w:numId w:val="69"/>
              </w:numPr>
              <w:tabs>
                <w:tab w:val="left" w:pos="576"/>
                <w:tab w:val="left" w:pos="792"/>
              </w:tabs>
              <w:spacing w:after="0"/>
              <w:ind w:left="792" w:hanging="216"/>
            </w:pPr>
            <w:r w:rsidRPr="005D4222">
              <w:t>A telephone visit (</w:t>
            </w:r>
            <w:r w:rsidRPr="005D4222">
              <w:rPr>
                <w:u w:val="single"/>
              </w:rPr>
              <w:t>Telephone Visits Value Set</w:t>
            </w:r>
            <w:r w:rsidRPr="005D4222">
              <w:t xml:space="preserve">) </w:t>
            </w:r>
            <w:r w:rsidRPr="005D4222">
              <w:rPr>
                <w:b/>
                <w:i/>
              </w:rPr>
              <w:t>with</w:t>
            </w:r>
            <w:r w:rsidRPr="005D4222">
              <w:t xml:space="preserve"> any diagnosis of schizophrenia or schizoaffective disorder (</w:t>
            </w:r>
            <w:r w:rsidRPr="005D4222">
              <w:rPr>
                <w:u w:val="single"/>
              </w:rPr>
              <w:t>Schizophrenia Value Set</w:t>
            </w:r>
            <w:r w:rsidRPr="005D4222">
              <w:t>).</w:t>
            </w:r>
          </w:p>
          <w:p w14:paraId="46B8A542" w14:textId="77777777" w:rsidR="009B4A75" w:rsidRPr="005D4222" w:rsidRDefault="009B4A75" w:rsidP="005D6173">
            <w:pPr>
              <w:pStyle w:val="Body"/>
              <w:numPr>
                <w:ilvl w:val="0"/>
                <w:numId w:val="75"/>
              </w:numPr>
              <w:spacing w:before="40" w:after="40"/>
              <w:ind w:left="792" w:hanging="216"/>
              <w:rPr>
                <w:rFonts w:cs="Arial"/>
                <w:i/>
                <w:iCs/>
              </w:rPr>
            </w:pPr>
            <w:r w:rsidRPr="005D4222">
              <w:t>An e-visit or virtual check-in</w:t>
            </w:r>
            <w:r w:rsidRPr="005D4222" w:rsidDel="00CF4E55">
              <w:t xml:space="preserve"> </w:t>
            </w:r>
            <w:r w:rsidRPr="005D4222">
              <w:t>(</w:t>
            </w:r>
            <w:r w:rsidRPr="005D4222">
              <w:rPr>
                <w:u w:val="single"/>
              </w:rPr>
              <w:t>Online Assessments Value Set</w:t>
            </w:r>
            <w:r w:rsidRPr="005D4222">
              <w:t xml:space="preserve">) </w:t>
            </w:r>
            <w:r w:rsidRPr="005D4222">
              <w:rPr>
                <w:b/>
                <w:i/>
              </w:rPr>
              <w:t>with</w:t>
            </w:r>
            <w:r w:rsidRPr="005D4222">
              <w:t xml:space="preserve"> any diagnosis of schizophrenia or schizoaffective disorder (</w:t>
            </w:r>
            <w:r w:rsidRPr="005D4222">
              <w:rPr>
                <w:u w:val="single"/>
              </w:rPr>
              <w:t>Schizophrenia Value Set</w:t>
            </w:r>
            <w:r w:rsidRPr="005D4222">
              <w:t>).</w:t>
            </w:r>
          </w:p>
          <w:p w14:paraId="34A8B6C2" w14:textId="77777777" w:rsidR="009B4A75" w:rsidRPr="005D4222" w:rsidRDefault="009B4A75">
            <w:pPr>
              <w:pStyle w:val="ECDSBody"/>
            </w:pPr>
            <w:r w:rsidRPr="005D4222">
              <w:rPr>
                <w:b/>
              </w:rPr>
              <w:t>Step 2</w:t>
            </w:r>
            <w:r w:rsidRPr="005D4222">
              <w:rPr>
                <w:b/>
                <w:bCs w:val="0"/>
              </w:rPr>
              <w:t>.</w:t>
            </w:r>
            <w:r w:rsidRPr="005D4222">
              <w:t xml:space="preserve"> Identify persons from step 1 who also have cardiovascular disease. There are two methods to identify persons with cardiovascular disease: by event </w:t>
            </w:r>
            <w:r w:rsidRPr="005D4222">
              <w:rPr>
                <w:b/>
                <w:i/>
                <w:iCs/>
              </w:rPr>
              <w:t>or</w:t>
            </w:r>
            <w:r w:rsidRPr="005D4222">
              <w:t xml:space="preserve"> by diagnosis. A person only needs to be identified by one method to be included in the measure. </w:t>
            </w:r>
          </w:p>
          <w:p w14:paraId="47780BE4" w14:textId="77777777" w:rsidR="009B4A75" w:rsidRPr="005D4222" w:rsidRDefault="009B4A75" w:rsidP="00890697">
            <w:pPr>
              <w:pStyle w:val="Bullet"/>
            </w:pPr>
            <w:r w:rsidRPr="005D4222">
              <w:rPr>
                <w:i/>
              </w:rPr>
              <w:t xml:space="preserve">Event. </w:t>
            </w:r>
            <w:r w:rsidRPr="005D4222">
              <w:t>Any of the following during the year prior to the measurement period meet criteria:</w:t>
            </w:r>
          </w:p>
          <w:p w14:paraId="636CF461" w14:textId="77777777" w:rsidR="009B4A75" w:rsidRPr="005D4222" w:rsidRDefault="009B4A75" w:rsidP="009B4A75">
            <w:pPr>
              <w:pStyle w:val="Dash"/>
              <w:tabs>
                <w:tab w:val="left" w:pos="576"/>
                <w:tab w:val="left" w:pos="792"/>
              </w:tabs>
            </w:pPr>
            <w:r w:rsidRPr="005D4222">
              <w:rPr>
                <w:rFonts w:eastAsia="SymbolMT"/>
                <w:i/>
                <w:iCs/>
              </w:rPr>
              <w:t>AMI</w:t>
            </w:r>
            <w:r w:rsidRPr="005D4222">
              <w:rPr>
                <w:rFonts w:eastAsia="SymbolMT"/>
              </w:rPr>
              <w:t>. Discharged from an inpatient setting with an AMI diagnosis (</w:t>
            </w:r>
            <w:r w:rsidRPr="005D4222">
              <w:rPr>
                <w:rFonts w:eastAsia="SymbolMT"/>
                <w:u w:val="single"/>
              </w:rPr>
              <w:t>AMI Value Set</w:t>
            </w:r>
            <w:r w:rsidRPr="005D4222">
              <w:rPr>
                <w:rFonts w:eastAsia="SymbolMT"/>
              </w:rPr>
              <w:t xml:space="preserve">) on the discharge claim. </w:t>
            </w:r>
            <w:r w:rsidRPr="005D4222">
              <w:t>To identify discharges:</w:t>
            </w:r>
          </w:p>
          <w:p w14:paraId="65E8232C" w14:textId="77777777" w:rsidR="009B4A75" w:rsidRPr="005D4222" w:rsidRDefault="009B4A75" w:rsidP="005D6173">
            <w:pPr>
              <w:pStyle w:val="Body"/>
              <w:numPr>
                <w:ilvl w:val="0"/>
                <w:numId w:val="76"/>
              </w:numPr>
              <w:spacing w:before="60" w:after="60"/>
              <w:ind w:hanging="288"/>
            </w:pPr>
            <w:r w:rsidRPr="005D4222">
              <w:t>Identify all acute and nonacute inpatient stays (</w:t>
            </w:r>
            <w:r w:rsidRPr="005D4222">
              <w:rPr>
                <w:u w:val="single"/>
              </w:rPr>
              <w:t>Inpatient Stay Value Set</w:t>
            </w:r>
            <w:r w:rsidRPr="005D4222">
              <w:t>).</w:t>
            </w:r>
          </w:p>
          <w:p w14:paraId="159A4B71" w14:textId="77777777" w:rsidR="009B4A75" w:rsidRPr="005D4222" w:rsidRDefault="009B4A75" w:rsidP="005D6173">
            <w:pPr>
              <w:pStyle w:val="Body"/>
              <w:numPr>
                <w:ilvl w:val="0"/>
                <w:numId w:val="76"/>
              </w:numPr>
              <w:spacing w:before="60" w:after="60"/>
              <w:ind w:hanging="288"/>
            </w:pPr>
            <w:r w:rsidRPr="005D4222">
              <w:t>Identify the discharge date for the stay.</w:t>
            </w:r>
          </w:p>
          <w:p w14:paraId="5B4CFC93" w14:textId="77777777" w:rsidR="009B4A75" w:rsidRPr="005D4222" w:rsidRDefault="009B4A75" w:rsidP="009B4A75">
            <w:pPr>
              <w:pStyle w:val="Dash"/>
              <w:tabs>
                <w:tab w:val="left" w:pos="576"/>
                <w:tab w:val="left" w:pos="792"/>
              </w:tabs>
              <w:rPr>
                <w:rFonts w:eastAsia="SymbolMT"/>
              </w:rPr>
            </w:pPr>
            <w:r w:rsidRPr="005D4222">
              <w:rPr>
                <w:rFonts w:eastAsia="SymbolMT"/>
                <w:i/>
                <w:iCs/>
              </w:rPr>
              <w:t>CABG</w:t>
            </w:r>
            <w:r w:rsidRPr="005D4222">
              <w:rPr>
                <w:rFonts w:eastAsia="SymbolMT"/>
              </w:rPr>
              <w:t>. Persons who had CABG (</w:t>
            </w:r>
            <w:r w:rsidRPr="005D4222">
              <w:rPr>
                <w:rFonts w:eastAsia="SymbolMT"/>
                <w:u w:val="single"/>
              </w:rPr>
              <w:t>CABG Value Set</w:t>
            </w:r>
            <w:r w:rsidRPr="005D4222">
              <w:rPr>
                <w:rFonts w:eastAsia="SymbolMT"/>
              </w:rPr>
              <w:t xml:space="preserve">) in any setting. </w:t>
            </w:r>
          </w:p>
          <w:p w14:paraId="33827B07" w14:textId="77777777" w:rsidR="009B4A75" w:rsidRPr="005D4222" w:rsidRDefault="009B4A75" w:rsidP="009B4A75">
            <w:pPr>
              <w:pStyle w:val="Dash"/>
              <w:tabs>
                <w:tab w:val="left" w:pos="576"/>
                <w:tab w:val="left" w:pos="792"/>
              </w:tabs>
            </w:pPr>
            <w:r w:rsidRPr="005D4222">
              <w:rPr>
                <w:i/>
                <w:iCs/>
              </w:rPr>
              <w:t>PCI</w:t>
            </w:r>
            <w:r w:rsidRPr="005D4222">
              <w:t>. Persons who had PCI (</w:t>
            </w:r>
            <w:r w:rsidRPr="005D4222">
              <w:rPr>
                <w:u w:val="single"/>
              </w:rPr>
              <w:t>PCI Value Set</w:t>
            </w:r>
            <w:r w:rsidRPr="005D4222">
              <w:t>) in any setting.</w:t>
            </w:r>
          </w:p>
          <w:p w14:paraId="2FB69D67" w14:textId="77777777" w:rsidR="009B4A75" w:rsidRPr="005D4222" w:rsidRDefault="009B4A75" w:rsidP="00890697">
            <w:pPr>
              <w:pStyle w:val="Bullet"/>
            </w:pPr>
            <w:r w:rsidRPr="005D4222">
              <w:rPr>
                <w:i/>
                <w:iCs/>
              </w:rPr>
              <w:t>Diagnosis</w:t>
            </w:r>
            <w:r w:rsidRPr="005D4222">
              <w:t xml:space="preserve">. Identify persons with IVD as those who met at least one of the following criteria during both the measurement period and the year prior to the measurement period. Criteria need not be the same across both years. </w:t>
            </w:r>
          </w:p>
          <w:p w14:paraId="0BC13470" w14:textId="77777777" w:rsidR="009B4A75" w:rsidRPr="005D4222" w:rsidRDefault="009B4A75" w:rsidP="002924AD">
            <w:pPr>
              <w:pStyle w:val="Dash"/>
              <w:tabs>
                <w:tab w:val="left" w:pos="576"/>
                <w:tab w:val="left" w:pos="792"/>
              </w:tabs>
              <w:spacing w:after="80"/>
              <w:rPr>
                <w:b/>
                <w:i/>
              </w:rPr>
            </w:pPr>
            <w:r w:rsidRPr="005D4222">
              <w:t>An outpatient visit, telephone visit, e-visit, virtual check-in or acute inpatient encounter (</w:t>
            </w:r>
            <w:r w:rsidRPr="005D4222">
              <w:rPr>
                <w:u w:val="single"/>
              </w:rPr>
              <w:t>Outpatient, Telehealth and Acute Inpatient Value Set</w:t>
            </w:r>
            <w:r w:rsidRPr="005D4222">
              <w:t>) with an IVD diagnosis (</w:t>
            </w:r>
            <w:r w:rsidRPr="005D4222">
              <w:rPr>
                <w:u w:val="single"/>
              </w:rPr>
              <w:t>IVD Value Set</w:t>
            </w:r>
            <w:r w:rsidRPr="005D4222">
              <w:t xml:space="preserve">). </w:t>
            </w:r>
          </w:p>
          <w:p w14:paraId="0E057320" w14:textId="77777777" w:rsidR="009B4A75" w:rsidRPr="005D4222" w:rsidRDefault="009B4A75" w:rsidP="00890697">
            <w:pPr>
              <w:pStyle w:val="Dash"/>
              <w:tabs>
                <w:tab w:val="left" w:pos="576"/>
                <w:tab w:val="left" w:pos="792"/>
              </w:tabs>
              <w:spacing w:before="120" w:after="0"/>
            </w:pPr>
            <w:r w:rsidRPr="005D4222">
              <w:lastRenderedPageBreak/>
              <w:t>At least one acute inpatient discharge with a diagnosis of IVD (</w:t>
            </w:r>
            <w:r w:rsidRPr="005D4222">
              <w:rPr>
                <w:u w:val="single"/>
              </w:rPr>
              <w:t>IVD Value Set</w:t>
            </w:r>
            <w:r w:rsidRPr="005D4222">
              <w:t>) on the discharge claim. To identify an acute inpatient discharge:</w:t>
            </w:r>
          </w:p>
          <w:p w14:paraId="021E3C37" w14:textId="77777777" w:rsidR="009B4A75" w:rsidRPr="005D4222" w:rsidRDefault="009B4A75">
            <w:pPr>
              <w:pStyle w:val="Body"/>
              <w:spacing w:before="40" w:after="60"/>
              <w:ind w:left="1080" w:hanging="288"/>
            </w:pPr>
            <w:r w:rsidRPr="005D4222">
              <w:t>1.</w:t>
            </w:r>
            <w:r w:rsidRPr="005D4222">
              <w:tab/>
              <w:t>Identify all acute and nonacute inpatient stays (</w:t>
            </w:r>
            <w:r w:rsidRPr="005D4222">
              <w:rPr>
                <w:u w:val="single"/>
              </w:rPr>
              <w:t>Inpatient Stay Value Set</w:t>
            </w:r>
            <w:r w:rsidRPr="005D4222">
              <w:t>).</w:t>
            </w:r>
          </w:p>
          <w:p w14:paraId="5CF8B630" w14:textId="77777777" w:rsidR="009B4A75" w:rsidRPr="005D4222" w:rsidRDefault="009B4A75">
            <w:pPr>
              <w:pStyle w:val="Body"/>
              <w:spacing w:before="60" w:after="60"/>
              <w:ind w:left="1080" w:hanging="288"/>
            </w:pPr>
            <w:r w:rsidRPr="005D4222">
              <w:t>2.</w:t>
            </w:r>
            <w:r w:rsidRPr="005D4222">
              <w:tab/>
            </w:r>
            <w:r w:rsidRPr="005D4222" w:rsidDel="00666155">
              <w:t xml:space="preserve">Exclude </w:t>
            </w:r>
            <w:r w:rsidRPr="005D4222">
              <w:t>nonacute inpatient stays (</w:t>
            </w:r>
            <w:r w:rsidRPr="005D4222">
              <w:rPr>
                <w:u w:val="single"/>
              </w:rPr>
              <w:t>Nonacute Inpatient Stay Value Set</w:t>
            </w:r>
            <w:r w:rsidRPr="005D4222">
              <w:t>).</w:t>
            </w:r>
          </w:p>
          <w:p w14:paraId="4C722FB9" w14:textId="77777777" w:rsidR="009B4A75" w:rsidRPr="005D4222" w:rsidRDefault="009B4A75">
            <w:pPr>
              <w:pStyle w:val="Body"/>
              <w:spacing w:before="60" w:after="60"/>
              <w:ind w:left="1080" w:hanging="288"/>
            </w:pPr>
            <w:r w:rsidRPr="005D4222">
              <w:t>3. Identify the discharge date for the stay.</w:t>
            </w:r>
          </w:p>
        </w:tc>
      </w:tr>
      <w:tr w:rsidR="009B4A75" w:rsidRPr="005D4222" w14:paraId="53DB0FF8" w14:textId="77777777" w:rsidTr="009B4A75">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2036B83" w14:textId="77777777" w:rsidR="009B4A75" w:rsidRPr="005D4222" w:rsidRDefault="009B4A75">
            <w:pPr>
              <w:pStyle w:val="ECDSMarginHead"/>
            </w:pPr>
            <w:r w:rsidRPr="005D4222">
              <w:lastRenderedPageBreak/>
              <w:t xml:space="preserve">Denominator exclusions </w:t>
            </w:r>
          </w:p>
        </w:tc>
        <w:tc>
          <w:tcPr>
            <w:tcW w:w="7557"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38406FDC" w14:textId="77777777" w:rsidR="009B4A75" w:rsidRPr="005D4222" w:rsidRDefault="009B4A75">
            <w:pPr>
              <w:pStyle w:val="ECDSBody"/>
            </w:pPr>
            <w:r w:rsidRPr="005D4222">
              <w:rPr>
                <w:b/>
              </w:rPr>
              <w:t xml:space="preserve">Persons with a date of death. </w:t>
            </w:r>
            <w:r w:rsidRPr="005D4222">
              <w:rPr>
                <w:b/>
              </w:rPr>
              <w:br/>
            </w:r>
            <w:r w:rsidRPr="005D4222">
              <w:t>Death in the measurement period, identified using</w:t>
            </w:r>
            <w:r w:rsidRPr="005D4222">
              <w:rPr>
                <w:rFonts w:eastAsia="Arial,Arial,Arial,Arial,Arial,A"/>
              </w:rPr>
              <w:t xml:space="preserve"> data sources determined by the organization</w:t>
            </w:r>
            <w:r w:rsidRPr="005D4222">
              <w:t xml:space="preserve">. </w:t>
            </w:r>
            <w:r w:rsidRPr="005D4222">
              <w:rPr>
                <w:rFonts w:eastAsia="Arial,Arial,Arial,Arial,Arial,A"/>
              </w:rPr>
              <w:t>Method and data sources are subject to review during the HEDIS audit.</w:t>
            </w:r>
            <w:r w:rsidRPr="005D4222">
              <w:t xml:space="preserve">  </w:t>
            </w:r>
          </w:p>
          <w:p w14:paraId="1B101AA6" w14:textId="77777777" w:rsidR="009B4A75" w:rsidRPr="005D4222" w:rsidRDefault="009B4A75">
            <w:pPr>
              <w:pStyle w:val="ECDSBody"/>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9B4A75" w:rsidRPr="005D4222" w14:paraId="7A5B3414" w14:textId="77777777" w:rsidTr="009B4A75">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60089BE" w14:textId="77777777" w:rsidR="009B4A75" w:rsidRPr="005D4222" w:rsidRDefault="009B4A75">
            <w:pPr>
              <w:pStyle w:val="ECDSMarginHead"/>
            </w:pPr>
            <w:r w:rsidRPr="005D4222">
              <w:t>Denominator</w:t>
            </w:r>
          </w:p>
        </w:tc>
        <w:tc>
          <w:tcPr>
            <w:tcW w:w="7557"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DB10009" w14:textId="77777777" w:rsidR="009B4A75" w:rsidRPr="005D4222" w:rsidRDefault="009B4A75">
            <w:pPr>
              <w:pStyle w:val="ECDSBody"/>
              <w:rPr>
                <w:b/>
                <w:szCs w:val="21"/>
              </w:rPr>
            </w:pPr>
            <w:r w:rsidRPr="005D4222">
              <w:rPr>
                <w:rFonts w:eastAsia="Arial,Arial,Arial,Arial,Arial,A"/>
              </w:rPr>
              <w:t>The initial population minus denominator exclusions.</w:t>
            </w:r>
          </w:p>
        </w:tc>
      </w:tr>
      <w:tr w:rsidR="009B4A75" w:rsidRPr="005D4222" w14:paraId="736BF873" w14:textId="77777777" w:rsidTr="009B4A75">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7E9E92A" w14:textId="77777777" w:rsidR="009B4A75" w:rsidRPr="005D4222" w:rsidRDefault="009B4A75">
            <w:pPr>
              <w:pStyle w:val="ECDSMarginHead"/>
            </w:pPr>
            <w:r w:rsidRPr="005D4222">
              <w:t>Numerator</w:t>
            </w:r>
          </w:p>
        </w:tc>
        <w:tc>
          <w:tcPr>
            <w:tcW w:w="7557"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03A2BA84" w14:textId="77777777" w:rsidR="009B4A75" w:rsidRPr="005D4222" w:rsidRDefault="009B4A75">
            <w:pPr>
              <w:pStyle w:val="ECDSBody"/>
            </w:pPr>
            <w:r w:rsidRPr="005D4222">
              <w:rPr>
                <w:b/>
                <w:bCs w:val="0"/>
              </w:rPr>
              <w:t>Persons who had at least one LDL-C test performed in the measurement period.</w:t>
            </w:r>
            <w:r w:rsidRPr="005D4222">
              <w:rPr>
                <w:b/>
                <w:bCs w:val="0"/>
              </w:rPr>
              <w:br/>
            </w:r>
            <w:r w:rsidRPr="005D4222">
              <w:t>Either of the following meets criteria:</w:t>
            </w:r>
          </w:p>
          <w:p w14:paraId="14DA0DA8" w14:textId="77777777" w:rsidR="009B4A75" w:rsidRPr="005D4222" w:rsidRDefault="009B4A75" w:rsidP="009B4A75">
            <w:pPr>
              <w:pStyle w:val="Bullet"/>
              <w:numPr>
                <w:ilvl w:val="0"/>
                <w:numId w:val="4"/>
              </w:numPr>
              <w:tabs>
                <w:tab w:val="left" w:pos="360"/>
                <w:tab w:val="left" w:pos="576"/>
              </w:tabs>
              <w:ind w:left="576" w:hanging="216"/>
            </w:pPr>
            <w:r w:rsidRPr="005D4222">
              <w:rPr>
                <w:u w:val="single"/>
              </w:rPr>
              <w:t>LDL C Lab Test Value Set</w:t>
            </w:r>
            <w:r w:rsidRPr="005D4222">
              <w:t>.</w:t>
            </w:r>
          </w:p>
          <w:p w14:paraId="0C4AA640" w14:textId="77777777" w:rsidR="009B4A75" w:rsidRPr="005D4222" w:rsidRDefault="009B4A75" w:rsidP="009B4A75">
            <w:pPr>
              <w:pStyle w:val="Bullet"/>
              <w:numPr>
                <w:ilvl w:val="0"/>
                <w:numId w:val="4"/>
              </w:numPr>
              <w:tabs>
                <w:tab w:val="left" w:pos="360"/>
                <w:tab w:val="left" w:pos="576"/>
              </w:tabs>
              <w:ind w:left="576" w:hanging="216"/>
            </w:pPr>
            <w:r w:rsidRPr="005D4222">
              <w:rPr>
                <w:u w:val="single"/>
              </w:rPr>
              <w:t>LDL C Test Result or Finding Value Set</w:t>
            </w:r>
            <w:r w:rsidRPr="005D4222">
              <w:t>*</w:t>
            </w:r>
            <w:r w:rsidRPr="005D4222">
              <w:rPr>
                <w:rFonts w:ascii="Arial Narrow" w:eastAsia="Arial Narrow" w:hAnsi="Arial Narrow" w:cs="Arial Narrow"/>
                <w:position w:val="2"/>
                <w:szCs w:val="21"/>
              </w:rPr>
              <w:t>†</w:t>
            </w:r>
            <w:r w:rsidRPr="005D4222">
              <w:t xml:space="preserve">. </w:t>
            </w:r>
          </w:p>
          <w:p w14:paraId="26D88BEA" w14:textId="77777777" w:rsidR="009B4A75" w:rsidRPr="005D4222" w:rsidRDefault="009B4A75">
            <w:pPr>
              <w:pStyle w:val="ECDSBody"/>
              <w:rPr>
                <w:b/>
              </w:rPr>
            </w:pPr>
            <w:r w:rsidRPr="005D4222">
              <w:t xml:space="preserve">The organization may use a calculated or direct LDL. </w:t>
            </w:r>
            <w:r w:rsidRPr="005D4222">
              <w:rPr>
                <w:b/>
              </w:rPr>
              <w:t xml:space="preserve"> </w:t>
            </w:r>
          </w:p>
          <w:p w14:paraId="5C7C5F5B" w14:textId="77777777" w:rsidR="009B4A75" w:rsidRPr="005D4222" w:rsidRDefault="009B4A75">
            <w:pPr>
              <w:pStyle w:val="ECDSBody"/>
              <w:spacing w:after="0"/>
              <w:rPr>
                <w:b/>
                <w:color w:val="000000" w:themeColor="text1"/>
              </w:rPr>
            </w:pPr>
            <w:r w:rsidRPr="005D4222">
              <w:rPr>
                <w:b/>
                <w:color w:val="000000" w:themeColor="text1"/>
              </w:rPr>
              <w:t>Coding Guidance</w:t>
            </w:r>
          </w:p>
          <w:p w14:paraId="2A630D9C" w14:textId="77777777" w:rsidR="009B4A75" w:rsidRPr="005D4222" w:rsidRDefault="009B4A75">
            <w:pPr>
              <w:pStyle w:val="ECDSBody"/>
              <w:spacing w:before="0" w:after="0"/>
              <w:rPr>
                <w:color w:val="000000"/>
                <w:szCs w:val="21"/>
              </w:rPr>
            </w:pPr>
            <w:r w:rsidRPr="005D4222">
              <w:rPr>
                <w:b/>
                <w:szCs w:val="21"/>
              </w:rPr>
              <w:t>*</w:t>
            </w:r>
            <w:r w:rsidRPr="005D4222">
              <w:rPr>
                <w:rStyle w:val="BodyChar1"/>
              </w:rPr>
              <w:t>Do not include laboratory claims (claims with POS code 81). </w:t>
            </w:r>
          </w:p>
          <w:p w14:paraId="350DF490" w14:textId="77777777" w:rsidR="009B4A75" w:rsidRPr="005D4222" w:rsidRDefault="009B4A75">
            <w:pPr>
              <w:pStyle w:val="ECDSBody"/>
              <w:spacing w:before="0"/>
              <w:rPr>
                <w:color w:val="000000" w:themeColor="text1"/>
              </w:rPr>
            </w:pPr>
            <w:r w:rsidRPr="005D4222">
              <w:rPr>
                <w:rFonts w:ascii="Arial Narrow" w:eastAsia="Arial Narrow" w:hAnsi="Arial Narrow" w:cs="Arial Narrow"/>
                <w:bCs w:val="0"/>
                <w:position w:val="2"/>
                <w:szCs w:val="21"/>
              </w:rPr>
              <w:t>†</w:t>
            </w:r>
            <w:r w:rsidRPr="005D4222">
              <w:rPr>
                <w:color w:val="000000" w:themeColor="text1"/>
              </w:rPr>
              <w:t>Do not include codes with a modifier (</w:t>
            </w:r>
            <w:r w:rsidRPr="005D4222">
              <w:rPr>
                <w:u w:val="single"/>
              </w:rPr>
              <w:t>CPT CAT II Modifier Value Set)</w:t>
            </w:r>
            <w:r w:rsidRPr="005D4222">
              <w:rPr>
                <w:color w:val="000000" w:themeColor="text1"/>
              </w:rPr>
              <w:t xml:space="preserve">. </w:t>
            </w:r>
          </w:p>
        </w:tc>
      </w:tr>
      <w:tr w:rsidR="009B4A75" w:rsidRPr="005D4222" w14:paraId="646078AF" w14:textId="77777777" w:rsidTr="009B4A75">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0274034" w14:textId="77777777" w:rsidR="009B4A75" w:rsidRPr="005D4222" w:rsidRDefault="009B4A75">
            <w:pPr>
              <w:pStyle w:val="ECDSMarginHead"/>
            </w:pPr>
            <w:r w:rsidRPr="005D4222">
              <w:t>Summary of changes</w:t>
            </w:r>
          </w:p>
        </w:tc>
        <w:tc>
          <w:tcPr>
            <w:tcW w:w="7557"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CD6B812" w14:textId="77777777" w:rsidR="009B4A75" w:rsidRPr="005D4222" w:rsidRDefault="009B4A75">
            <w:pPr>
              <w:pStyle w:val="ProcessBullet"/>
              <w:spacing w:before="120"/>
            </w:pPr>
            <w:r w:rsidRPr="005D4222">
              <w:t>No changes to this measure.</w:t>
            </w:r>
          </w:p>
        </w:tc>
      </w:tr>
      <w:tr w:rsidR="009B4A75" w:rsidRPr="005D4222" w14:paraId="2049FA7F" w14:textId="77777777" w:rsidTr="009B4A75">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402ABDC" w14:textId="77777777" w:rsidR="009B4A75" w:rsidRPr="005D4222" w:rsidRDefault="009B4A75">
            <w:pPr>
              <w:pStyle w:val="ECDSMarginHead"/>
            </w:pPr>
            <w:r w:rsidRPr="005D4222">
              <w:t>Data element tables</w:t>
            </w:r>
          </w:p>
        </w:tc>
        <w:tc>
          <w:tcPr>
            <w:tcW w:w="7557"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5881267" w14:textId="77777777" w:rsidR="009B4A75" w:rsidRPr="005D4222" w:rsidRDefault="009B4A75">
            <w:pPr>
              <w:pStyle w:val="ECDSBody"/>
            </w:pPr>
            <w:r w:rsidRPr="005D4222">
              <w:t>Organizations that submit HEDIS data to NCQA must provide the following data elements.</w:t>
            </w:r>
          </w:p>
          <w:p w14:paraId="6036E071" w14:textId="77777777" w:rsidR="009B4A75" w:rsidRPr="005D4222" w:rsidRDefault="009B4A75">
            <w:pPr>
              <w:pStyle w:val="Heading3"/>
              <w:spacing w:before="120"/>
            </w:pPr>
            <w:r w:rsidRPr="005D4222">
              <w:t>Table SMC-1: Data Elements for Cardiovascular Monitoring for People With Cardiovascular Disease and Schizophrenia</w:t>
            </w:r>
          </w:p>
          <w:tbl>
            <w:tblPr>
              <w:tblW w:w="73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326"/>
              <w:gridCol w:w="2430"/>
              <w:gridCol w:w="1620"/>
            </w:tblGrid>
            <w:tr w:rsidR="009B4A75" w:rsidRPr="005D4222" w14:paraId="03EA6687" w14:textId="77777777">
              <w:tc>
                <w:tcPr>
                  <w:tcW w:w="3326"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vAlign w:val="bottom"/>
                  <w:hideMark/>
                </w:tcPr>
                <w:p w14:paraId="344D45E3" w14:textId="77777777" w:rsidR="009B4A75" w:rsidRPr="005D4222" w:rsidRDefault="009B4A75">
                  <w:pPr>
                    <w:pStyle w:val="TableHead"/>
                  </w:pPr>
                  <w:r w:rsidRPr="005D4222">
                    <w:t>Metric</w:t>
                  </w:r>
                </w:p>
              </w:tc>
              <w:tc>
                <w:tcPr>
                  <w:tcW w:w="243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vAlign w:val="bottom"/>
                  <w:hideMark/>
                </w:tcPr>
                <w:p w14:paraId="137EF274" w14:textId="77777777" w:rsidR="009B4A75" w:rsidRPr="005D4222" w:rsidRDefault="009B4A75">
                  <w:pPr>
                    <w:pStyle w:val="TableHead"/>
                  </w:pPr>
                  <w:r w:rsidRPr="005D4222">
                    <w:t>Data Element</w:t>
                  </w:r>
                </w:p>
              </w:tc>
              <w:tc>
                <w:tcPr>
                  <w:tcW w:w="1620"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vAlign w:val="bottom"/>
                  <w:hideMark/>
                </w:tcPr>
                <w:p w14:paraId="08280F94" w14:textId="77777777" w:rsidR="009B4A75" w:rsidRPr="005D4222" w:rsidRDefault="009B4A75">
                  <w:pPr>
                    <w:pStyle w:val="TableHead"/>
                  </w:pPr>
                  <w:r w:rsidRPr="005D4222">
                    <w:t>Reporting Instructions</w:t>
                  </w:r>
                </w:p>
              </w:tc>
            </w:tr>
            <w:tr w:rsidR="009B4A75" w:rsidRPr="005D4222" w14:paraId="62954D59" w14:textId="77777777">
              <w:tc>
                <w:tcPr>
                  <w:tcW w:w="3326" w:type="dxa"/>
                  <w:tcBorders>
                    <w:top w:val="single" w:sz="4" w:space="0" w:color="000000" w:themeColor="text1"/>
                    <w:left w:val="single" w:sz="4" w:space="0" w:color="auto"/>
                    <w:bottom w:val="single" w:sz="4" w:space="0" w:color="auto"/>
                    <w:right w:val="single" w:sz="4" w:space="0" w:color="auto"/>
                  </w:tcBorders>
                  <w:hideMark/>
                </w:tcPr>
                <w:p w14:paraId="526C00A4" w14:textId="77777777" w:rsidR="009B4A75" w:rsidRPr="005D4222" w:rsidRDefault="009B4A75">
                  <w:pPr>
                    <w:pStyle w:val="TableText"/>
                    <w:rPr>
                      <w:rFonts w:cs="Arial"/>
                      <w:szCs w:val="21"/>
                    </w:rPr>
                  </w:pPr>
                  <w:r w:rsidRPr="005D4222">
                    <w:rPr>
                      <w:rFonts w:cs="Arial"/>
                      <w:szCs w:val="21"/>
                    </w:rPr>
                    <w:t>CardiovascularMonitoringSchizophrenia</w:t>
                  </w:r>
                </w:p>
              </w:tc>
              <w:tc>
                <w:tcPr>
                  <w:tcW w:w="2430" w:type="dxa"/>
                  <w:tcBorders>
                    <w:top w:val="single" w:sz="4" w:space="0" w:color="000000" w:themeColor="text1"/>
                    <w:left w:val="single" w:sz="4" w:space="0" w:color="auto"/>
                    <w:bottom w:val="single" w:sz="4" w:space="0" w:color="auto"/>
                    <w:right w:val="single" w:sz="4" w:space="0" w:color="auto"/>
                  </w:tcBorders>
                  <w:hideMark/>
                </w:tcPr>
                <w:p w14:paraId="146164E1" w14:textId="77777777" w:rsidR="009B4A75" w:rsidRPr="005D4222" w:rsidRDefault="009B4A75">
                  <w:pPr>
                    <w:pStyle w:val="TableText"/>
                    <w:rPr>
                      <w:rFonts w:cs="Arial"/>
                      <w:szCs w:val="21"/>
                    </w:rPr>
                  </w:pPr>
                  <w:r w:rsidRPr="005D4222">
                    <w:rPr>
                      <w:rFonts w:cs="Arial"/>
                      <w:szCs w:val="21"/>
                    </w:rPr>
                    <w:t xml:space="preserve">InitialPopulation </w:t>
                  </w:r>
                </w:p>
              </w:tc>
              <w:tc>
                <w:tcPr>
                  <w:tcW w:w="1620" w:type="dxa"/>
                  <w:tcBorders>
                    <w:top w:val="single" w:sz="4" w:space="0" w:color="000000" w:themeColor="text1"/>
                    <w:left w:val="single" w:sz="4" w:space="0" w:color="auto"/>
                    <w:bottom w:val="single" w:sz="6" w:space="0" w:color="auto"/>
                    <w:right w:val="single" w:sz="4" w:space="0" w:color="auto"/>
                  </w:tcBorders>
                  <w:hideMark/>
                </w:tcPr>
                <w:p w14:paraId="7767C248" w14:textId="77777777" w:rsidR="009B4A75" w:rsidRPr="005D4222" w:rsidRDefault="009B4A75">
                  <w:pPr>
                    <w:pStyle w:val="TableText"/>
                    <w:rPr>
                      <w:rFonts w:eastAsia="Wingdings" w:cs="Arial"/>
                      <w:szCs w:val="21"/>
                    </w:rPr>
                  </w:pPr>
                  <w:r w:rsidRPr="005D4222">
                    <w:rPr>
                      <w:rFonts w:eastAsia="Wingdings" w:cs="Arial"/>
                      <w:szCs w:val="21"/>
                    </w:rPr>
                    <w:t>Report once</w:t>
                  </w:r>
                </w:p>
              </w:tc>
            </w:tr>
            <w:tr w:rsidR="009B4A75" w:rsidRPr="005D4222" w14:paraId="22E3665E" w14:textId="77777777">
              <w:tc>
                <w:tcPr>
                  <w:tcW w:w="3326" w:type="dxa"/>
                  <w:tcBorders>
                    <w:top w:val="single" w:sz="4" w:space="0" w:color="auto"/>
                    <w:left w:val="nil"/>
                    <w:bottom w:val="nil"/>
                    <w:right w:val="single" w:sz="4" w:space="0" w:color="auto"/>
                  </w:tcBorders>
                  <w:shd w:val="clear" w:color="auto" w:fill="FFFFFF" w:themeFill="background1"/>
                </w:tcPr>
                <w:p w14:paraId="14C53FA7" w14:textId="77777777" w:rsidR="009B4A75" w:rsidRPr="005D4222" w:rsidRDefault="009B4A75">
                  <w:pPr>
                    <w:pStyle w:val="TableText"/>
                    <w:rPr>
                      <w:rFonts w:cs="Arial"/>
                      <w:szCs w:val="21"/>
                    </w:rPr>
                  </w:pPr>
                </w:p>
              </w:tc>
              <w:tc>
                <w:tcPr>
                  <w:tcW w:w="243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E27A7DB" w14:textId="77777777" w:rsidR="009B4A75" w:rsidRPr="005D4222" w:rsidRDefault="009B4A75">
                  <w:pPr>
                    <w:pStyle w:val="TableText"/>
                    <w:rPr>
                      <w:rFonts w:cs="Arial"/>
                    </w:rPr>
                  </w:pPr>
                  <w:r w:rsidRPr="005D4222">
                    <w:rPr>
                      <w:rFonts w:cs="Arial"/>
                    </w:rPr>
                    <w:t>Exclusions</w:t>
                  </w:r>
                </w:p>
              </w:tc>
              <w:tc>
                <w:tcPr>
                  <w:tcW w:w="1620"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025F73A0" w14:textId="77777777" w:rsidR="009B4A75" w:rsidRPr="005D4222" w:rsidRDefault="009B4A75">
                  <w:pPr>
                    <w:pStyle w:val="TableText"/>
                    <w:rPr>
                      <w:rFonts w:eastAsia="Wingdings" w:cs="Arial"/>
                      <w:szCs w:val="21"/>
                    </w:rPr>
                  </w:pPr>
                  <w:r w:rsidRPr="005D4222">
                    <w:rPr>
                      <w:rFonts w:eastAsia="Wingdings" w:cs="Arial"/>
                      <w:szCs w:val="21"/>
                    </w:rPr>
                    <w:t>Report once</w:t>
                  </w:r>
                </w:p>
              </w:tc>
            </w:tr>
            <w:tr w:rsidR="009B4A75" w:rsidRPr="005D4222" w14:paraId="43419AC0" w14:textId="77777777">
              <w:tc>
                <w:tcPr>
                  <w:tcW w:w="3326" w:type="dxa"/>
                  <w:tcBorders>
                    <w:top w:val="nil"/>
                    <w:left w:val="nil"/>
                    <w:bottom w:val="nil"/>
                    <w:right w:val="nil"/>
                  </w:tcBorders>
                  <w:shd w:val="clear" w:color="auto" w:fill="FFFFFF" w:themeFill="background1"/>
                </w:tcPr>
                <w:p w14:paraId="08DAE232" w14:textId="77777777" w:rsidR="009B4A75" w:rsidRPr="005D4222" w:rsidRDefault="009B4A75">
                  <w:pPr>
                    <w:pStyle w:val="TableText"/>
                    <w:rPr>
                      <w:rFonts w:cs="Arial"/>
                      <w:szCs w:val="21"/>
                    </w:rPr>
                  </w:pPr>
                </w:p>
              </w:tc>
              <w:tc>
                <w:tcPr>
                  <w:tcW w:w="2430" w:type="dxa"/>
                  <w:tcBorders>
                    <w:top w:val="single" w:sz="4" w:space="0" w:color="auto"/>
                    <w:left w:val="single" w:sz="4" w:space="0" w:color="auto"/>
                    <w:bottom w:val="single" w:sz="4" w:space="0" w:color="auto"/>
                    <w:right w:val="single" w:sz="4" w:space="0" w:color="auto"/>
                  </w:tcBorders>
                  <w:shd w:val="clear" w:color="auto" w:fill="FFFFFF" w:themeFill="background1"/>
                </w:tcPr>
                <w:p w14:paraId="50244B90" w14:textId="77777777" w:rsidR="009B4A75" w:rsidRPr="005D4222" w:rsidRDefault="009B4A75">
                  <w:pPr>
                    <w:pStyle w:val="TableText"/>
                    <w:rPr>
                      <w:rFonts w:cs="Arial"/>
                      <w:szCs w:val="21"/>
                    </w:rPr>
                  </w:pPr>
                  <w:r w:rsidRPr="005D4222">
                    <w:rPr>
                      <w:rFonts w:cs="Arial"/>
                      <w:szCs w:val="21"/>
                    </w:rPr>
                    <w:t>Denominator</w:t>
                  </w:r>
                </w:p>
              </w:tc>
              <w:tc>
                <w:tcPr>
                  <w:tcW w:w="1620" w:type="dxa"/>
                  <w:tcBorders>
                    <w:top w:val="single" w:sz="6" w:space="0" w:color="auto"/>
                    <w:left w:val="single" w:sz="4" w:space="0" w:color="auto"/>
                    <w:bottom w:val="single" w:sz="6" w:space="0" w:color="auto"/>
                    <w:right w:val="single" w:sz="4" w:space="0" w:color="auto"/>
                  </w:tcBorders>
                  <w:shd w:val="clear" w:color="auto" w:fill="FFFFFF" w:themeFill="background1"/>
                </w:tcPr>
                <w:p w14:paraId="1B73C462" w14:textId="77777777" w:rsidR="009B4A75" w:rsidRPr="005D4222" w:rsidRDefault="009B4A75">
                  <w:pPr>
                    <w:pStyle w:val="TableText"/>
                    <w:rPr>
                      <w:rFonts w:eastAsia="Wingdings" w:cs="Arial"/>
                      <w:szCs w:val="21"/>
                    </w:rPr>
                  </w:pPr>
                  <w:r w:rsidRPr="005D4222">
                    <w:rPr>
                      <w:rFonts w:eastAsia="Wingdings" w:cs="Arial"/>
                      <w:szCs w:val="21"/>
                    </w:rPr>
                    <w:t>Report once</w:t>
                  </w:r>
                </w:p>
              </w:tc>
            </w:tr>
            <w:tr w:rsidR="009B4A75" w:rsidRPr="005D4222" w14:paraId="7DF2EB1A" w14:textId="77777777">
              <w:tc>
                <w:tcPr>
                  <w:tcW w:w="3326" w:type="dxa"/>
                  <w:tcBorders>
                    <w:top w:val="nil"/>
                    <w:left w:val="nil"/>
                    <w:bottom w:val="nil"/>
                    <w:right w:val="nil"/>
                  </w:tcBorders>
                  <w:shd w:val="clear" w:color="auto" w:fill="FFFFFF" w:themeFill="background1"/>
                </w:tcPr>
                <w:p w14:paraId="46DA859A" w14:textId="77777777" w:rsidR="009B4A75" w:rsidRPr="005D4222" w:rsidRDefault="009B4A75">
                  <w:pPr>
                    <w:pStyle w:val="TableText"/>
                    <w:rPr>
                      <w:rFonts w:cs="Arial"/>
                      <w:szCs w:val="21"/>
                    </w:rPr>
                  </w:pPr>
                </w:p>
              </w:tc>
              <w:tc>
                <w:tcPr>
                  <w:tcW w:w="243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8443438" w14:textId="77777777" w:rsidR="009B4A75" w:rsidRPr="005D4222" w:rsidRDefault="009B4A75">
                  <w:pPr>
                    <w:pStyle w:val="TableText"/>
                    <w:rPr>
                      <w:rFonts w:cs="Arial"/>
                      <w:szCs w:val="21"/>
                    </w:rPr>
                  </w:pPr>
                  <w:r w:rsidRPr="005D4222">
                    <w:rPr>
                      <w:rFonts w:cs="Arial"/>
                      <w:szCs w:val="21"/>
                    </w:rPr>
                    <w:t>NumeratorByAdmin</w:t>
                  </w:r>
                </w:p>
              </w:tc>
              <w:tc>
                <w:tcPr>
                  <w:tcW w:w="1620"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7B9428EC" w14:textId="77777777" w:rsidR="009B4A75" w:rsidRPr="005D4222" w:rsidRDefault="009B4A75">
                  <w:pPr>
                    <w:pStyle w:val="TableText"/>
                    <w:rPr>
                      <w:rFonts w:eastAsia="Wingdings" w:cs="Arial"/>
                      <w:szCs w:val="21"/>
                    </w:rPr>
                  </w:pPr>
                  <w:r w:rsidRPr="005D4222">
                    <w:rPr>
                      <w:rFonts w:eastAsia="Wingdings" w:cs="Arial"/>
                      <w:szCs w:val="21"/>
                    </w:rPr>
                    <w:t>Report once</w:t>
                  </w:r>
                </w:p>
              </w:tc>
            </w:tr>
            <w:tr w:rsidR="009B4A75" w:rsidRPr="005D4222" w14:paraId="1BC8EDDC" w14:textId="77777777">
              <w:tc>
                <w:tcPr>
                  <w:tcW w:w="3326" w:type="dxa"/>
                  <w:tcBorders>
                    <w:top w:val="nil"/>
                    <w:left w:val="nil"/>
                    <w:bottom w:val="nil"/>
                    <w:right w:val="nil"/>
                  </w:tcBorders>
                  <w:shd w:val="clear" w:color="auto" w:fill="FFFFFF" w:themeFill="background1"/>
                </w:tcPr>
                <w:p w14:paraId="6B3250EF" w14:textId="77777777" w:rsidR="009B4A75" w:rsidRPr="005D4222" w:rsidRDefault="009B4A75">
                  <w:pPr>
                    <w:pStyle w:val="TableText"/>
                    <w:rPr>
                      <w:rFonts w:cs="Arial"/>
                      <w:szCs w:val="21"/>
                    </w:rPr>
                  </w:pPr>
                </w:p>
              </w:tc>
              <w:tc>
                <w:tcPr>
                  <w:tcW w:w="243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457D0D9" w14:textId="77777777" w:rsidR="009B4A75" w:rsidRPr="005D4222" w:rsidRDefault="009B4A75">
                  <w:pPr>
                    <w:pStyle w:val="TableText"/>
                    <w:rPr>
                      <w:rFonts w:cs="Arial"/>
                      <w:szCs w:val="21"/>
                    </w:rPr>
                  </w:pPr>
                  <w:r w:rsidRPr="005D4222">
                    <w:rPr>
                      <w:rFonts w:cs="Arial"/>
                      <w:szCs w:val="21"/>
                    </w:rPr>
                    <w:t>NumeratorBySupplemental</w:t>
                  </w:r>
                </w:p>
              </w:tc>
              <w:tc>
                <w:tcPr>
                  <w:tcW w:w="1620"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37F3B73A" w14:textId="77777777" w:rsidR="009B4A75" w:rsidRPr="005D4222" w:rsidRDefault="009B4A75">
                  <w:pPr>
                    <w:pStyle w:val="TableText"/>
                    <w:rPr>
                      <w:rFonts w:eastAsia="Wingdings" w:cs="Arial"/>
                      <w:szCs w:val="21"/>
                    </w:rPr>
                  </w:pPr>
                  <w:r w:rsidRPr="005D4222">
                    <w:rPr>
                      <w:rFonts w:eastAsia="Wingdings" w:cs="Arial"/>
                      <w:szCs w:val="21"/>
                    </w:rPr>
                    <w:t>Report once</w:t>
                  </w:r>
                </w:p>
              </w:tc>
            </w:tr>
            <w:tr w:rsidR="009B4A75" w:rsidRPr="005D4222" w14:paraId="6AC4D378" w14:textId="77777777">
              <w:tc>
                <w:tcPr>
                  <w:tcW w:w="3326" w:type="dxa"/>
                  <w:tcBorders>
                    <w:top w:val="nil"/>
                    <w:left w:val="nil"/>
                    <w:bottom w:val="nil"/>
                    <w:right w:val="nil"/>
                  </w:tcBorders>
                </w:tcPr>
                <w:p w14:paraId="0659D6D5" w14:textId="77777777" w:rsidR="009B4A75" w:rsidRPr="005D4222" w:rsidRDefault="009B4A75">
                  <w:pPr>
                    <w:pStyle w:val="TableText"/>
                    <w:rPr>
                      <w:rFonts w:cs="Arial"/>
                      <w:szCs w:val="21"/>
                    </w:rPr>
                  </w:pPr>
                </w:p>
              </w:tc>
              <w:tc>
                <w:tcPr>
                  <w:tcW w:w="24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F936EEA" w14:textId="77777777" w:rsidR="009B4A75" w:rsidRPr="005D4222" w:rsidRDefault="009B4A75">
                  <w:pPr>
                    <w:pStyle w:val="TableText"/>
                    <w:rPr>
                      <w:rFonts w:cs="Arial"/>
                      <w:szCs w:val="21"/>
                    </w:rPr>
                  </w:pPr>
                  <w:r w:rsidRPr="005D4222">
                    <w:rPr>
                      <w:rFonts w:cs="Arial"/>
                      <w:szCs w:val="21"/>
                    </w:rPr>
                    <w:t>Rate</w:t>
                  </w:r>
                </w:p>
              </w:tc>
              <w:tc>
                <w:tcPr>
                  <w:tcW w:w="1620" w:type="dxa"/>
                  <w:tcBorders>
                    <w:top w:val="single" w:sz="6" w:space="0" w:color="auto"/>
                    <w:left w:val="single" w:sz="4" w:space="0" w:color="auto"/>
                    <w:bottom w:val="single" w:sz="6" w:space="0" w:color="auto"/>
                    <w:right w:val="single" w:sz="4" w:space="0" w:color="auto"/>
                  </w:tcBorders>
                  <w:shd w:val="clear" w:color="auto" w:fill="D9D9D9" w:themeFill="background1" w:themeFillShade="D9"/>
                  <w:hideMark/>
                </w:tcPr>
                <w:p w14:paraId="1612D011" w14:textId="77777777" w:rsidR="009B4A75" w:rsidRPr="005D4222" w:rsidRDefault="009B4A75">
                  <w:pPr>
                    <w:pStyle w:val="TableText"/>
                    <w:rPr>
                      <w:rFonts w:eastAsia="Wingdings" w:cs="Arial"/>
                      <w:szCs w:val="21"/>
                    </w:rPr>
                  </w:pPr>
                  <w:r w:rsidRPr="005D4222">
                    <w:rPr>
                      <w:rFonts w:eastAsia="Wingdings" w:cs="Arial"/>
                      <w:szCs w:val="21"/>
                    </w:rPr>
                    <w:t>(Percent)</w:t>
                  </w:r>
                </w:p>
              </w:tc>
            </w:tr>
          </w:tbl>
          <w:p w14:paraId="1BF1A4BF" w14:textId="77777777" w:rsidR="009B4A75" w:rsidRPr="005D4222" w:rsidRDefault="009B4A75">
            <w:pPr>
              <w:pStyle w:val="ProcessDash"/>
              <w:numPr>
                <w:ilvl w:val="0"/>
                <w:numId w:val="0"/>
              </w:numPr>
              <w:rPr>
                <w:rFonts w:cs="Arial"/>
                <w:color w:val="000000" w:themeColor="text1"/>
                <w:highlight w:val="yellow"/>
              </w:rPr>
            </w:pPr>
          </w:p>
        </w:tc>
      </w:tr>
      <w:tr w:rsidR="009B4A75" w:rsidRPr="005D4222" w14:paraId="06ABFEA9" w14:textId="77777777" w:rsidTr="009B4A75">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11B9C13" w14:textId="77777777" w:rsidR="009B4A75" w:rsidRPr="005D4222" w:rsidRDefault="009B4A75">
            <w:pPr>
              <w:pStyle w:val="ECDSMarginHead"/>
            </w:pPr>
            <w:r w:rsidRPr="005D4222">
              <w:lastRenderedPageBreak/>
              <w:t>Rules for Allowable Adjustments</w:t>
            </w:r>
          </w:p>
        </w:tc>
        <w:tc>
          <w:tcPr>
            <w:tcW w:w="7557"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B3F58C0" w14:textId="77777777" w:rsidR="009B4A75" w:rsidRPr="005D4222" w:rsidRDefault="009B4A75">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383C7B0B" w14:textId="77777777" w:rsidR="009B4A75" w:rsidRPr="005D4222" w:rsidRDefault="009B4A75">
            <w:pPr>
              <w:pStyle w:val="ECDSBody"/>
              <w:spacing w:before="180"/>
              <w:rPr>
                <w:b/>
              </w:rPr>
            </w:pPr>
            <w:r w:rsidRPr="005D4222">
              <w:rPr>
                <w:b/>
              </w:rPr>
              <w:t>Adjusted HEDIS measures may not be used for HEDIS health plan reporting.</w:t>
            </w:r>
          </w:p>
          <w:p w14:paraId="03491ECE" w14:textId="77777777" w:rsidR="009B4A75" w:rsidRPr="005D4222" w:rsidRDefault="009B4A75">
            <w:pPr>
              <w:pStyle w:val="Adjustments"/>
            </w:pPr>
            <w:r w:rsidRPr="005D4222">
              <w:t>Adjustments allowed</w:t>
            </w:r>
          </w:p>
          <w:p w14:paraId="272F7517" w14:textId="2940853F" w:rsidR="009B4A75" w:rsidRPr="005D4222" w:rsidRDefault="009B4A75">
            <w:pPr>
              <w:pStyle w:val="ProcessBullet"/>
              <w:rPr>
                <w:b/>
              </w:rPr>
            </w:pPr>
            <w:r w:rsidRPr="005D4222">
              <w:rPr>
                <w:i/>
              </w:rPr>
              <w:t>Product</w:t>
            </w:r>
            <w:r w:rsidRPr="005D4222">
              <w:rPr>
                <w:i/>
                <w:iCs/>
              </w:rPr>
              <w:t xml:space="preserve"> lines</w:t>
            </w:r>
            <w:r w:rsidRPr="005D4222">
              <w:t>. Organizations are not required to use product line criteria; product lines may be combined</w:t>
            </w:r>
            <w:r w:rsidR="00E8671F" w:rsidRPr="005D4222">
              <w:t>,</w:t>
            </w:r>
            <w:r w:rsidRPr="005D4222">
              <w:t xml:space="preserve"> and all (or no) product line criteria may be used.</w:t>
            </w:r>
          </w:p>
          <w:p w14:paraId="62ABCC4C" w14:textId="77777777" w:rsidR="009B4A75" w:rsidRPr="005D4222" w:rsidRDefault="009B4A75">
            <w:pPr>
              <w:pStyle w:val="ProcessBullet"/>
            </w:pPr>
            <w:r w:rsidRPr="005D4222">
              <w:rPr>
                <w:i/>
              </w:rPr>
              <w:t>Attribution</w:t>
            </w:r>
            <w:r w:rsidRPr="005D4222">
              <w:rPr>
                <w:i/>
                <w:iCs/>
              </w:rPr>
              <w:t xml:space="preserve">. </w:t>
            </w:r>
            <w:r w:rsidRPr="005D4222">
              <w:t>Organizations are not required to use enrollment criteria.</w:t>
            </w:r>
          </w:p>
          <w:p w14:paraId="73C96163" w14:textId="77777777" w:rsidR="009B4A75" w:rsidRPr="005D4222" w:rsidRDefault="009B4A75">
            <w:pPr>
              <w:pStyle w:val="ProcessBullet"/>
              <w:rPr>
                <w:i/>
                <w:iCs/>
              </w:rPr>
            </w:pPr>
            <w:r w:rsidRPr="005D4222">
              <w:rPr>
                <w:i/>
              </w:rPr>
              <w:t>Benefits.</w:t>
            </w:r>
            <w:r w:rsidRPr="005D4222">
              <w:rPr>
                <w:i/>
                <w:iCs/>
              </w:rPr>
              <w:t xml:space="preserve"> </w:t>
            </w:r>
            <w:r w:rsidRPr="005D4222">
              <w:t>Organizations are not required to use a benefit.</w:t>
            </w:r>
          </w:p>
          <w:p w14:paraId="0FAA14BE" w14:textId="77777777" w:rsidR="009B4A75" w:rsidRPr="005D4222" w:rsidRDefault="009B4A75">
            <w:pPr>
              <w:pStyle w:val="ProcessBullet"/>
              <w:rPr>
                <w:i/>
                <w:iCs/>
              </w:rPr>
            </w:pPr>
            <w:r w:rsidRPr="005D4222">
              <w:rPr>
                <w:i/>
              </w:rPr>
              <w:t>Other.</w:t>
            </w:r>
            <w:r w:rsidRPr="005D4222">
              <w:rPr>
                <w:i/>
                <w:iCs/>
              </w:rPr>
              <w:t xml:space="preserve"> </w:t>
            </w:r>
            <w:r w:rsidRPr="005D4222">
              <w:t xml:space="preserve">Organizations may use additional </w:t>
            </w:r>
            <w:r w:rsidRPr="005D4222">
              <w:rPr>
                <w:rFonts w:eastAsia="Arial"/>
              </w:rPr>
              <w:t xml:space="preserve">initial </w:t>
            </w:r>
            <w:r w:rsidRPr="005D4222">
              <w:t>population criteria to focus on an area of interest defined by gender, race, ethnicity, socioeconomic or sociodemographic characteristics, geographic region or another characteristic.</w:t>
            </w:r>
          </w:p>
          <w:p w14:paraId="0AEA8795" w14:textId="77777777" w:rsidR="009B4A75" w:rsidRPr="005D4222" w:rsidRDefault="009B4A75">
            <w:pPr>
              <w:pStyle w:val="ProcessBullet"/>
              <w:rPr>
                <w:i/>
                <w:iCs/>
              </w:rPr>
            </w:pPr>
            <w:r w:rsidRPr="005D4222">
              <w:rPr>
                <w:i/>
                <w:iCs/>
              </w:rPr>
              <w:t xml:space="preserve">Exclusions. </w:t>
            </w:r>
            <w:r w:rsidRPr="005D4222">
              <w:rPr>
                <w:rFonts w:eastAsia="Arial"/>
              </w:rPr>
              <w:t xml:space="preserve">The hospice and deceased person exclusions are not required. </w:t>
            </w:r>
          </w:p>
          <w:p w14:paraId="62600856" w14:textId="75A8F370" w:rsidR="009B4A75" w:rsidRPr="005D4222" w:rsidRDefault="009B4A75">
            <w:pPr>
              <w:pStyle w:val="ProcessBullet"/>
            </w:pPr>
            <w:r w:rsidRPr="005D4222">
              <w:rPr>
                <w:i/>
                <w:iCs/>
              </w:rPr>
              <w:t xml:space="preserve">Telehealth. </w:t>
            </w:r>
            <w:r w:rsidRPr="005D4222">
              <w:t xml:space="preserve">Services/events that allow the use of synchronous telehealth visits, telephone visits and asynchronous telehealth (e-visits, virtual check-ins) may be stratified to identify services performed via telehealth. This adjustment is not allowed for </w:t>
            </w:r>
            <w:r w:rsidR="00F45777" w:rsidRPr="005D4222">
              <w:t>events</w:t>
            </w:r>
            <w:r w:rsidRPr="005D4222">
              <w:t>, numerators and exclusions that do not allow the use of telehealth.</w:t>
            </w:r>
          </w:p>
          <w:p w14:paraId="192CC7B3" w14:textId="77777777" w:rsidR="009B4A75" w:rsidRPr="005D4222" w:rsidRDefault="009B4A75">
            <w:pPr>
              <w:pStyle w:val="ProcessBullet"/>
            </w:pPr>
            <w:r w:rsidRPr="005D4222">
              <w:rPr>
                <w:i/>
                <w:iCs/>
              </w:rPr>
              <w:t>Supplemental data.</w:t>
            </w:r>
            <w:r w:rsidRPr="005D4222">
              <w:t xml:space="preserve"> Supplemental data may be used to identify initial population, denominator, exclusion and numerator events.</w:t>
            </w:r>
          </w:p>
          <w:p w14:paraId="65F5EC8D" w14:textId="77777777" w:rsidR="009B4A75" w:rsidRPr="005D4222" w:rsidRDefault="009B4A75">
            <w:pPr>
              <w:pStyle w:val="Adjustments"/>
            </w:pPr>
            <w:r w:rsidRPr="005D4222">
              <w:t>Adjustments allowed with limits</w:t>
            </w:r>
          </w:p>
          <w:p w14:paraId="2680C4DA" w14:textId="77777777" w:rsidR="009B4A75" w:rsidRPr="005D4222" w:rsidRDefault="009B4A75">
            <w:pPr>
              <w:pStyle w:val="ProcessBullet"/>
            </w:pPr>
            <w:r w:rsidRPr="005D4222">
              <w:rPr>
                <w:i/>
              </w:rPr>
              <w:t>Ages</w:t>
            </w:r>
            <w:r w:rsidRPr="005D4222">
              <w:t>. The age determination dates may be changed (e.g., select, “age as of June 30”). Changing denominator age range is allowed within a specified age range (18 years and older).</w:t>
            </w:r>
          </w:p>
          <w:p w14:paraId="350C9AB0" w14:textId="77777777" w:rsidR="009B4A75" w:rsidRPr="005D4222" w:rsidRDefault="009B4A75">
            <w:pPr>
              <w:pStyle w:val="Adjustments"/>
            </w:pPr>
            <w:r w:rsidRPr="005D4222">
              <w:t>Adjustments not allowed</w:t>
            </w:r>
          </w:p>
          <w:p w14:paraId="3F973452" w14:textId="77777777" w:rsidR="009B4A75" w:rsidRPr="005D4222" w:rsidRDefault="009B4A75">
            <w:pPr>
              <w:pStyle w:val="ProcessBullet"/>
              <w:rPr>
                <w:i/>
                <w:iCs/>
              </w:rPr>
            </w:pPr>
            <w:r w:rsidRPr="005D4222">
              <w:rPr>
                <w:i/>
                <w:iCs/>
              </w:rPr>
              <w:t>Initial population:</w:t>
            </w:r>
            <w:r w:rsidRPr="005D4222">
              <w:t xml:space="preserve"> </w:t>
            </w:r>
            <w:r w:rsidRPr="005D4222">
              <w:rPr>
                <w:iCs/>
              </w:rPr>
              <w:t xml:space="preserve">Event. </w:t>
            </w:r>
            <w:r w:rsidRPr="005D4222">
              <w:t>Only events or diagnoses that contain (or map to) codes in the value sets may be used to identify visits and diagnosis. Value sets and logic may not be changed.</w:t>
            </w:r>
          </w:p>
          <w:p w14:paraId="26BEF439" w14:textId="77777777" w:rsidR="009B4A75" w:rsidRPr="005D4222" w:rsidRDefault="009B4A75">
            <w:pPr>
              <w:pStyle w:val="ProcessBullet"/>
              <w:spacing w:after="80"/>
            </w:pPr>
            <w:r w:rsidRPr="005D4222">
              <w:rPr>
                <w:i/>
              </w:rPr>
              <w:t>Numerator</w:t>
            </w:r>
            <w:r w:rsidRPr="005D4222">
              <w:t>. Value sets and logic may not be changed.</w:t>
            </w:r>
          </w:p>
        </w:tc>
      </w:tr>
    </w:tbl>
    <w:p w14:paraId="461EA59D" w14:textId="77777777" w:rsidR="00890697" w:rsidRPr="005D4222" w:rsidRDefault="00890697" w:rsidP="0089169F">
      <w:pPr>
        <w:pStyle w:val="ECDSBody"/>
        <w:sectPr w:rsidR="00890697" w:rsidRPr="005D4222" w:rsidSect="0074514A">
          <w:headerReference w:type="default" r:id="rId125"/>
          <w:type w:val="nextColumn"/>
          <w:pgSz w:w="12240" w:h="15840" w:code="1"/>
          <w:pgMar w:top="1080" w:right="1080" w:bottom="1080" w:left="1440" w:header="720" w:footer="720" w:gutter="0"/>
          <w:cols w:space="720"/>
          <w:docGrid w:linePitch="360"/>
        </w:sectPr>
      </w:pPr>
    </w:p>
    <w:p w14:paraId="1C5B6F13" w14:textId="62B56FDA" w:rsidR="0089169F" w:rsidRPr="005D4222" w:rsidRDefault="00D27757" w:rsidP="00D27757">
      <w:pPr>
        <w:pStyle w:val="MeasureTitle"/>
      </w:pPr>
      <w:bookmarkStart w:id="308" w:name="_Toc201813418"/>
      <w:r w:rsidRPr="005D4222">
        <w:lastRenderedPageBreak/>
        <w:t xml:space="preserve">Adherence to Antipsychotic Medications for Individuals </w:t>
      </w:r>
      <w:r w:rsidR="002924AD" w:rsidRPr="005D4222">
        <w:br/>
      </w:r>
      <w:r w:rsidRPr="005D4222">
        <w:t>With Schizophrenia</w:t>
      </w:r>
      <w:r w:rsidR="0096709F" w:rsidRPr="005D4222">
        <w:t xml:space="preserve"> (SAA)</w:t>
      </w:r>
      <w:bookmarkEnd w:id="308"/>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40" w:type="dxa"/>
          <w:left w:w="15" w:type="dxa"/>
          <w:bottom w:w="40" w:type="dxa"/>
          <w:right w:w="15" w:type="dxa"/>
        </w:tblCellMar>
        <w:tblLook w:val="04A0" w:firstRow="1" w:lastRow="0" w:firstColumn="1" w:lastColumn="0" w:noHBand="0" w:noVBand="1"/>
      </w:tblPr>
      <w:tblGrid>
        <w:gridCol w:w="2157"/>
        <w:gridCol w:w="5271"/>
        <w:gridCol w:w="1372"/>
        <w:gridCol w:w="914"/>
      </w:tblGrid>
      <w:tr w:rsidR="00CE5992" w:rsidRPr="005D4222" w14:paraId="11311DEE" w14:textId="77777777">
        <w:tc>
          <w:tcPr>
            <w:tcW w:w="2157" w:type="dxa"/>
            <w:shd w:val="clear" w:color="auto" w:fill="BFBFBF" w:themeFill="background1" w:themeFillShade="BF"/>
            <w:tcMar>
              <w:top w:w="0" w:type="dxa"/>
              <w:left w:w="86" w:type="dxa"/>
              <w:bottom w:w="43" w:type="dxa"/>
              <w:right w:w="86" w:type="dxa"/>
            </w:tcMar>
            <w:hideMark/>
          </w:tcPr>
          <w:p w14:paraId="634013D0" w14:textId="77777777" w:rsidR="00CE5992" w:rsidRPr="005D4222" w:rsidRDefault="00CE5992">
            <w:pPr>
              <w:pStyle w:val="ECDSMarginHead"/>
            </w:pPr>
            <w:r w:rsidRPr="005D4222">
              <w:t>Measure title</w:t>
            </w:r>
          </w:p>
        </w:tc>
        <w:tc>
          <w:tcPr>
            <w:tcW w:w="5271" w:type="dxa"/>
            <w:tcMar>
              <w:top w:w="0" w:type="dxa"/>
              <w:left w:w="86" w:type="dxa"/>
              <w:bottom w:w="43" w:type="dxa"/>
              <w:right w:w="86" w:type="dxa"/>
            </w:tcMar>
          </w:tcPr>
          <w:p w14:paraId="2C450893" w14:textId="77777777" w:rsidR="00CE5992" w:rsidRPr="005D4222" w:rsidRDefault="00CE5992">
            <w:pPr>
              <w:pStyle w:val="ECDSBody"/>
            </w:pPr>
            <w:r w:rsidRPr="005D4222">
              <w:t>Adherence to Antipsychotic Medications for Individuals With Schizophrenia</w:t>
            </w:r>
            <w:r w:rsidRPr="005D4222">
              <w:rPr>
                <w:b/>
              </w:rPr>
              <w:t>*</w:t>
            </w:r>
          </w:p>
        </w:tc>
        <w:tc>
          <w:tcPr>
            <w:tcW w:w="1372" w:type="dxa"/>
            <w:shd w:val="clear" w:color="auto" w:fill="BFBFBF" w:themeFill="background1" w:themeFillShade="BF"/>
            <w:tcMar>
              <w:top w:w="0" w:type="dxa"/>
              <w:left w:w="86" w:type="dxa"/>
              <w:bottom w:w="43" w:type="dxa"/>
              <w:right w:w="86" w:type="dxa"/>
            </w:tcMar>
          </w:tcPr>
          <w:p w14:paraId="6F66CC76" w14:textId="77777777" w:rsidR="00CE5992" w:rsidRPr="005D4222" w:rsidRDefault="00CE5992">
            <w:pPr>
              <w:pStyle w:val="ECDSMarginHead"/>
            </w:pPr>
            <w:r w:rsidRPr="005D4222">
              <w:t>Measure ID</w:t>
            </w:r>
          </w:p>
        </w:tc>
        <w:tc>
          <w:tcPr>
            <w:tcW w:w="914" w:type="dxa"/>
            <w:tcMar>
              <w:top w:w="0" w:type="dxa"/>
              <w:left w:w="86" w:type="dxa"/>
              <w:bottom w:w="43" w:type="dxa"/>
              <w:right w:w="86" w:type="dxa"/>
            </w:tcMar>
          </w:tcPr>
          <w:p w14:paraId="55BEBBA2" w14:textId="77777777" w:rsidR="00CE5992" w:rsidRPr="005D4222" w:rsidRDefault="00CE5992">
            <w:pPr>
              <w:pStyle w:val="ECDSBody"/>
            </w:pPr>
            <w:r w:rsidRPr="005D4222">
              <w:t>SAA</w:t>
            </w:r>
          </w:p>
        </w:tc>
      </w:tr>
      <w:tr w:rsidR="00CE5992" w:rsidRPr="005D4222" w14:paraId="2DEB5896" w14:textId="77777777">
        <w:tc>
          <w:tcPr>
            <w:tcW w:w="2157" w:type="dxa"/>
            <w:shd w:val="clear" w:color="auto" w:fill="BFBFBF" w:themeFill="background1" w:themeFillShade="BF"/>
            <w:tcMar>
              <w:top w:w="0" w:type="dxa"/>
              <w:left w:w="86" w:type="dxa"/>
              <w:bottom w:w="43" w:type="dxa"/>
              <w:right w:w="86" w:type="dxa"/>
            </w:tcMar>
            <w:hideMark/>
          </w:tcPr>
          <w:p w14:paraId="2455F267" w14:textId="77777777" w:rsidR="00CE5992" w:rsidRPr="005D4222" w:rsidRDefault="00CE5992">
            <w:pPr>
              <w:pStyle w:val="ECDSMarginHead"/>
            </w:pPr>
            <w:r w:rsidRPr="005D4222">
              <w:t>Description</w:t>
            </w:r>
          </w:p>
        </w:tc>
        <w:tc>
          <w:tcPr>
            <w:tcW w:w="7557" w:type="dxa"/>
            <w:gridSpan w:val="3"/>
            <w:tcMar>
              <w:top w:w="0" w:type="dxa"/>
              <w:left w:w="86" w:type="dxa"/>
              <w:bottom w:w="43" w:type="dxa"/>
              <w:right w:w="86" w:type="dxa"/>
            </w:tcMar>
          </w:tcPr>
          <w:p w14:paraId="10412313" w14:textId="77777777" w:rsidR="00CE5992" w:rsidRPr="005D4222" w:rsidRDefault="00CE5992">
            <w:pPr>
              <w:pStyle w:val="ECDSBody"/>
            </w:pPr>
            <w:r w:rsidRPr="005D4222">
              <w:t xml:space="preserve">The percentage of persons 18 years of age and older during the measurement period, with schizophrenia or schizoaffective disorder, who were dispensed and remained on an antipsychotic medication for at least 80% of their treatment period. </w:t>
            </w:r>
          </w:p>
        </w:tc>
      </w:tr>
      <w:tr w:rsidR="00CE5992" w:rsidRPr="005D4222" w14:paraId="42B8FDE1" w14:textId="77777777">
        <w:tc>
          <w:tcPr>
            <w:tcW w:w="2157" w:type="dxa"/>
            <w:shd w:val="clear" w:color="auto" w:fill="BFBFBF" w:themeFill="background1" w:themeFillShade="BF"/>
            <w:tcMar>
              <w:top w:w="0" w:type="dxa"/>
              <w:left w:w="86" w:type="dxa"/>
              <w:bottom w:w="43" w:type="dxa"/>
              <w:right w:w="86" w:type="dxa"/>
            </w:tcMar>
          </w:tcPr>
          <w:p w14:paraId="38B22D50" w14:textId="77777777" w:rsidR="00CE5992" w:rsidRPr="005D4222" w:rsidRDefault="00CE5992">
            <w:pPr>
              <w:pStyle w:val="ECDSMarginHead"/>
            </w:pPr>
            <w:r w:rsidRPr="005D4222">
              <w:t>Measurement period</w:t>
            </w:r>
          </w:p>
        </w:tc>
        <w:tc>
          <w:tcPr>
            <w:tcW w:w="7557" w:type="dxa"/>
            <w:gridSpan w:val="3"/>
            <w:tcMar>
              <w:top w:w="0" w:type="dxa"/>
              <w:left w:w="86" w:type="dxa"/>
              <w:bottom w:w="43" w:type="dxa"/>
              <w:right w:w="86" w:type="dxa"/>
            </w:tcMar>
          </w:tcPr>
          <w:p w14:paraId="26812018" w14:textId="77777777" w:rsidR="00CE5992" w:rsidRPr="005D4222" w:rsidRDefault="00CE5992">
            <w:pPr>
              <w:pStyle w:val="ECDSBody"/>
              <w:rPr>
                <w:szCs w:val="21"/>
              </w:rPr>
            </w:pPr>
            <w:r w:rsidRPr="005D4222">
              <w:rPr>
                <w:szCs w:val="21"/>
              </w:rPr>
              <w:t>January 1–December 31.</w:t>
            </w:r>
          </w:p>
        </w:tc>
      </w:tr>
      <w:tr w:rsidR="00CE5992" w:rsidRPr="005D4222" w14:paraId="74E5DDBA" w14:textId="77777777">
        <w:tc>
          <w:tcPr>
            <w:tcW w:w="2157" w:type="dxa"/>
            <w:shd w:val="clear" w:color="auto" w:fill="BFBFBF" w:themeFill="background1" w:themeFillShade="BF"/>
            <w:tcMar>
              <w:top w:w="0" w:type="dxa"/>
              <w:left w:w="86" w:type="dxa"/>
              <w:bottom w:w="43" w:type="dxa"/>
              <w:right w:w="86" w:type="dxa"/>
            </w:tcMar>
            <w:hideMark/>
          </w:tcPr>
          <w:p w14:paraId="4DF06D51" w14:textId="77777777" w:rsidR="00CE5992" w:rsidRPr="005D4222" w:rsidRDefault="00CE5992">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1B9E8855" w14:textId="77777777" w:rsidR="00CE5992" w:rsidRPr="005D4222" w:rsidRDefault="00CE5992">
            <w:pPr>
              <w:pStyle w:val="ECDSBody"/>
              <w:rPr>
                <w:i/>
                <w:iCs/>
                <w:sz w:val="18"/>
                <w:szCs w:val="18"/>
              </w:rPr>
            </w:pPr>
            <w:r w:rsidRPr="005D4222">
              <w:rPr>
                <w:bCs w:val="0"/>
              </w:rPr>
              <w:t>*</w:t>
            </w:r>
            <w:r w:rsidRPr="005D4222">
              <w:rPr>
                <w:i/>
                <w:iCs/>
              </w:rPr>
              <w:t>Adapted by NCQA with permission of the measure developer, CMS.</w:t>
            </w:r>
          </w:p>
          <w:p w14:paraId="2BE0D86E" w14:textId="77777777" w:rsidR="00CE5992" w:rsidRPr="005D4222" w:rsidRDefault="00CE5992">
            <w:pPr>
              <w:pStyle w:val="ECDSBody"/>
            </w:pPr>
            <w:r w:rsidRPr="005D4222">
              <w:t xml:space="preserve">Refer to the complete copyright and disclaimer information at the front of this publication. </w:t>
            </w:r>
          </w:p>
          <w:p w14:paraId="6BDBCC99" w14:textId="77777777" w:rsidR="00CE5992" w:rsidRPr="005D4222" w:rsidRDefault="00CE5992">
            <w:pPr>
              <w:pStyle w:val="ECDSBody"/>
              <w:spacing w:before="80"/>
            </w:pPr>
            <w:r w:rsidRPr="005D4222">
              <w:t xml:space="preserve">NCQA website: </w:t>
            </w:r>
            <w:r w:rsidRPr="005D4222">
              <w:rPr>
                <w:u w:val="single"/>
              </w:rPr>
              <w:t>www.ncqa.org</w:t>
            </w:r>
            <w:r w:rsidRPr="005D4222">
              <w:t xml:space="preserve">.  </w:t>
            </w:r>
          </w:p>
          <w:p w14:paraId="6A450536" w14:textId="77777777" w:rsidR="00CE5992" w:rsidRPr="005D4222" w:rsidRDefault="00CE5992">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CE5992" w:rsidRPr="005D4222" w14:paraId="118C3970" w14:textId="77777777">
        <w:tc>
          <w:tcPr>
            <w:tcW w:w="2157" w:type="dxa"/>
            <w:shd w:val="clear" w:color="auto" w:fill="BFBFBF" w:themeFill="background1" w:themeFillShade="BF"/>
            <w:tcMar>
              <w:top w:w="0" w:type="dxa"/>
              <w:left w:w="86" w:type="dxa"/>
              <w:bottom w:w="43" w:type="dxa"/>
              <w:right w:w="86" w:type="dxa"/>
            </w:tcMar>
            <w:hideMark/>
          </w:tcPr>
          <w:p w14:paraId="3178251A" w14:textId="77777777" w:rsidR="00CE5992" w:rsidRPr="005D4222" w:rsidRDefault="00CE5992">
            <w:pPr>
              <w:pStyle w:val="ECDSMarginHead"/>
            </w:pPr>
            <w:r w:rsidRPr="005D4222">
              <w:t>Clinical recommendation statement/</w:t>
            </w:r>
            <w:r w:rsidRPr="005D4222" w:rsidDel="00C05B2D">
              <w:t xml:space="preserve"> </w:t>
            </w:r>
            <w:r w:rsidRPr="005D4222">
              <w:t>rationale</w:t>
            </w:r>
          </w:p>
        </w:tc>
        <w:tc>
          <w:tcPr>
            <w:tcW w:w="7557" w:type="dxa"/>
            <w:gridSpan w:val="3"/>
            <w:tcMar>
              <w:top w:w="0" w:type="dxa"/>
              <w:left w:w="86" w:type="dxa"/>
              <w:bottom w:w="43" w:type="dxa"/>
              <w:right w:w="86" w:type="dxa"/>
            </w:tcMar>
          </w:tcPr>
          <w:p w14:paraId="69342C16" w14:textId="77777777" w:rsidR="00CE5992" w:rsidRPr="005D4222" w:rsidRDefault="00CE5992">
            <w:pPr>
              <w:pStyle w:val="ECDSBody"/>
              <w:rPr>
                <w:b/>
                <w:szCs w:val="21"/>
              </w:rPr>
            </w:pPr>
            <w:r w:rsidRPr="005D4222">
              <w:t>Nonadherence to treatment with antipsychotics is common for people with schizophrenia, and medication nonadherence is a significant cause of relapse. Measuring antipsychotic medication adherence may lead to fewer relapses and hospitalizations. There is the potential for interventions to improve adherence and help close the gap in care between people with schizophrenia and the general population.</w:t>
            </w:r>
          </w:p>
        </w:tc>
      </w:tr>
      <w:tr w:rsidR="00CE5992" w:rsidRPr="005D4222" w14:paraId="1A61A1D4" w14:textId="77777777">
        <w:tc>
          <w:tcPr>
            <w:tcW w:w="2157" w:type="dxa"/>
            <w:shd w:val="clear" w:color="auto" w:fill="BFBFBF" w:themeFill="background1" w:themeFillShade="BF"/>
            <w:tcMar>
              <w:top w:w="0" w:type="dxa"/>
              <w:left w:w="86" w:type="dxa"/>
              <w:bottom w:w="43" w:type="dxa"/>
              <w:right w:w="86" w:type="dxa"/>
            </w:tcMar>
          </w:tcPr>
          <w:p w14:paraId="4B843150" w14:textId="77777777" w:rsidR="00CE5992" w:rsidRPr="005D4222" w:rsidRDefault="00CE5992">
            <w:pPr>
              <w:pStyle w:val="ECDSMarginHead"/>
            </w:pPr>
            <w:r w:rsidRPr="005D4222">
              <w:t>Citations</w:t>
            </w:r>
          </w:p>
        </w:tc>
        <w:tc>
          <w:tcPr>
            <w:tcW w:w="7557" w:type="dxa"/>
            <w:gridSpan w:val="3"/>
            <w:tcMar>
              <w:top w:w="0" w:type="dxa"/>
              <w:left w:w="86" w:type="dxa"/>
              <w:bottom w:w="43" w:type="dxa"/>
              <w:right w:w="86" w:type="dxa"/>
            </w:tcMar>
          </w:tcPr>
          <w:p w14:paraId="2964A9AC" w14:textId="77777777" w:rsidR="00CE5992" w:rsidRPr="005D4222" w:rsidRDefault="00CE5992">
            <w:pPr>
              <w:pStyle w:val="ECDSBody"/>
              <w:rPr>
                <w:bCs w:val="0"/>
              </w:rPr>
            </w:pPr>
            <w:r w:rsidRPr="005D4222">
              <w:rPr>
                <w:bCs w:val="0"/>
              </w:rPr>
              <w:t xml:space="preserve">Alvarez-Jimenez, M., A. Priede, S. E. Hetrick, S. Bendall, E. Killackey, A. G. Parker, P. D. McGorry, and J. F. Gleeson. 2012. “Risk Factors for Relapse Following Treatment for First Episode Psychosis: A Systematic Review and Meta-Analysis of Longitudinal Studies.” </w:t>
            </w:r>
            <w:r w:rsidRPr="005D4222">
              <w:rPr>
                <w:bCs w:val="0"/>
                <w:i/>
                <w:iCs/>
              </w:rPr>
              <w:t>Schizophrenia Research</w:t>
            </w:r>
            <w:r w:rsidRPr="005D4222">
              <w:rPr>
                <w:bCs w:val="0"/>
              </w:rPr>
              <w:t xml:space="preserve"> 139 (1–3): 116–28.</w:t>
            </w:r>
          </w:p>
          <w:p w14:paraId="15CDFCA2" w14:textId="77777777" w:rsidR="00CE5992" w:rsidRPr="005D4222" w:rsidRDefault="00CE5992">
            <w:pPr>
              <w:pStyle w:val="ECDSBody"/>
            </w:pPr>
            <w:r w:rsidRPr="005D4222">
              <w:rPr>
                <w:bCs w:val="0"/>
              </w:rPr>
              <w:t xml:space="preserve">Olfson, M., S.C. Marcus, and G.J. Wan. 2009. “Treatment Patterns for Schizoaffective Disorder and Schizophrenia Among Medicaid Patients.” </w:t>
            </w:r>
            <w:r w:rsidRPr="005D4222">
              <w:rPr>
                <w:bCs w:val="0"/>
                <w:i/>
                <w:iCs/>
              </w:rPr>
              <w:t xml:space="preserve">Psychiatric Services </w:t>
            </w:r>
            <w:r w:rsidRPr="005D4222">
              <w:rPr>
                <w:bCs w:val="0"/>
              </w:rPr>
              <w:t>60 (2): 210–16.</w:t>
            </w:r>
          </w:p>
        </w:tc>
      </w:tr>
      <w:tr w:rsidR="00CE5992" w:rsidRPr="005D4222" w14:paraId="0030D6B4" w14:textId="77777777">
        <w:tc>
          <w:tcPr>
            <w:tcW w:w="9714"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2E8A06BA" w14:textId="77777777" w:rsidR="00CE5992" w:rsidRPr="005D4222" w:rsidRDefault="00CE5992">
            <w:pPr>
              <w:pStyle w:val="ECDSMarginHead"/>
            </w:pPr>
            <w:r w:rsidRPr="005D4222">
              <w:t>Characteristics</w:t>
            </w:r>
          </w:p>
        </w:tc>
      </w:tr>
      <w:tr w:rsidR="00CE5992" w:rsidRPr="005D4222" w14:paraId="53FCF9D2" w14:textId="77777777">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6CA975A7" w14:textId="77777777" w:rsidR="00CE5992" w:rsidRPr="005D4222" w:rsidRDefault="00CE5992" w:rsidP="00CE5992">
            <w:pPr>
              <w:pStyle w:val="ECDSMarginSubhead"/>
              <w:spacing w:after="0"/>
            </w:pPr>
            <w:r w:rsidRPr="005D4222">
              <w:t>Scoring</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3C1385B3" w14:textId="77777777" w:rsidR="00CE5992" w:rsidRPr="005D4222" w:rsidRDefault="00CE5992" w:rsidP="00CE5992">
            <w:pPr>
              <w:pStyle w:val="ECDSBody"/>
              <w:spacing w:after="0"/>
            </w:pPr>
            <w:r w:rsidRPr="005D4222">
              <w:t>Proportion.</w:t>
            </w:r>
          </w:p>
        </w:tc>
      </w:tr>
      <w:tr w:rsidR="00CE5992" w:rsidRPr="005D4222" w14:paraId="1454B5FD"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2B08C64E" w14:textId="77777777" w:rsidR="00CE5992" w:rsidRPr="005D4222" w:rsidRDefault="00CE5992" w:rsidP="00CE5992">
            <w:pPr>
              <w:pStyle w:val="ECDSMarginSubhead"/>
              <w:spacing w:after="0"/>
            </w:pPr>
            <w:r w:rsidRPr="005D4222">
              <w:t>Type</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0AAC7016" w14:textId="77777777" w:rsidR="00CE5992" w:rsidRPr="005D4222" w:rsidRDefault="00CE5992" w:rsidP="00CE5992">
            <w:pPr>
              <w:pStyle w:val="ECDSBody"/>
              <w:spacing w:after="0"/>
            </w:pPr>
            <w:r w:rsidRPr="005D4222">
              <w:t>Process.</w:t>
            </w:r>
          </w:p>
        </w:tc>
      </w:tr>
      <w:tr w:rsidR="00CE5992" w:rsidRPr="005D4222" w14:paraId="36EF43F6" w14:textId="77777777" w:rsidTr="00CE5992">
        <w:tc>
          <w:tcPr>
            <w:tcW w:w="2157" w:type="dxa"/>
            <w:tcBorders>
              <w:top w:val="nil"/>
              <w:left w:val="single" w:sz="4" w:space="0" w:color="auto"/>
              <w:bottom w:val="nil"/>
              <w:right w:val="single" w:sz="4" w:space="0" w:color="auto"/>
            </w:tcBorders>
            <w:tcMar>
              <w:top w:w="0" w:type="dxa"/>
              <w:left w:w="86" w:type="dxa"/>
              <w:bottom w:w="43" w:type="dxa"/>
              <w:right w:w="86" w:type="dxa"/>
            </w:tcMar>
          </w:tcPr>
          <w:p w14:paraId="10D67504" w14:textId="7505FC10" w:rsidR="00CE5992" w:rsidRPr="005D4222" w:rsidRDefault="00B51CDC" w:rsidP="00CE5992">
            <w:pPr>
              <w:pStyle w:val="ECDSMarginSubhead"/>
              <w:spacing w:after="0"/>
            </w:pPr>
            <w:r w:rsidRPr="005D4222">
              <w:t>Product lines</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0E53E695" w14:textId="77777777" w:rsidR="00CE5992" w:rsidRPr="005D4222" w:rsidRDefault="00CE5992" w:rsidP="00CE5992">
            <w:pPr>
              <w:pStyle w:val="ProcessBullet"/>
              <w:spacing w:before="120"/>
            </w:pPr>
            <w:r w:rsidRPr="005D4222">
              <w:t>Commercial.</w:t>
            </w:r>
          </w:p>
          <w:p w14:paraId="43C1AA96" w14:textId="77777777" w:rsidR="00CE5992" w:rsidRPr="005D4222" w:rsidRDefault="00CE5992" w:rsidP="00CE5992">
            <w:pPr>
              <w:pStyle w:val="ProcessBullet"/>
            </w:pPr>
            <w:r w:rsidRPr="005D4222">
              <w:t>Medicaid.</w:t>
            </w:r>
          </w:p>
          <w:p w14:paraId="77BA08C4" w14:textId="77777777" w:rsidR="00CE5992" w:rsidRPr="005D4222" w:rsidRDefault="00CE5992" w:rsidP="00CE5992">
            <w:pPr>
              <w:pStyle w:val="ProcessBullet"/>
            </w:pPr>
            <w:r w:rsidRPr="005D4222">
              <w:t>Medicare.</w:t>
            </w:r>
          </w:p>
        </w:tc>
      </w:tr>
      <w:tr w:rsidR="00CE5992" w:rsidRPr="005D4222" w14:paraId="69EAE131" w14:textId="77777777" w:rsidTr="00CE5992">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140EF87B" w14:textId="41BE3982" w:rsidR="00CE5992" w:rsidRPr="005D4222" w:rsidRDefault="00B51CDC">
            <w:pPr>
              <w:pStyle w:val="ECDSMarginSubhead"/>
            </w:pPr>
            <w:r w:rsidRPr="005D4222">
              <w:t>Stratifications</w:t>
            </w:r>
            <w:r w:rsidR="00CE5992" w:rsidRPr="005D4222">
              <w:t xml:space="preserve"> </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hideMark/>
          </w:tcPr>
          <w:p w14:paraId="1D5F3E6F" w14:textId="77777777" w:rsidR="00CE5992" w:rsidRPr="005D4222" w:rsidRDefault="00CE5992">
            <w:pPr>
              <w:pStyle w:val="ECDSBody"/>
              <w:spacing w:after="0"/>
              <w:rPr>
                <w:rFonts w:eastAsia="Arial,Arial,Arial,Arial,Arial,A"/>
              </w:rPr>
            </w:pPr>
            <w:r w:rsidRPr="005D4222">
              <w:t>None.</w:t>
            </w:r>
          </w:p>
        </w:tc>
      </w:tr>
      <w:tr w:rsidR="00CE5992" w:rsidRPr="005D4222" w14:paraId="16E93D48" w14:textId="77777777" w:rsidTr="00CE5992">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72CE0FD5" w14:textId="77777777" w:rsidR="00CE5992" w:rsidRPr="005D4222" w:rsidRDefault="00CE5992" w:rsidP="00CE5992">
            <w:pPr>
              <w:pStyle w:val="ECDSMarginSubhead"/>
              <w:spacing w:after="0"/>
            </w:pPr>
            <w:r w:rsidRPr="005D4222">
              <w:lastRenderedPageBreak/>
              <w:t>Risk adjustment</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664241F5" w14:textId="77777777" w:rsidR="00CE5992" w:rsidRPr="005D4222" w:rsidRDefault="00CE5992" w:rsidP="00CE5992">
            <w:pPr>
              <w:pStyle w:val="ECDSBody"/>
              <w:spacing w:after="0"/>
            </w:pPr>
            <w:r w:rsidRPr="005D4222">
              <w:t>None.</w:t>
            </w:r>
          </w:p>
        </w:tc>
      </w:tr>
      <w:tr w:rsidR="00CE5992" w:rsidRPr="005D4222" w14:paraId="04FC6A98" w14:textId="77777777" w:rsidTr="00CE5992">
        <w:tc>
          <w:tcPr>
            <w:tcW w:w="2157" w:type="dxa"/>
            <w:tcBorders>
              <w:top w:val="nil"/>
              <w:left w:val="single" w:sz="4" w:space="0" w:color="auto"/>
              <w:bottom w:val="nil"/>
              <w:right w:val="single" w:sz="4" w:space="0" w:color="auto"/>
            </w:tcBorders>
            <w:tcMar>
              <w:top w:w="0" w:type="dxa"/>
              <w:left w:w="86" w:type="dxa"/>
              <w:bottom w:w="43" w:type="dxa"/>
              <w:right w:w="86" w:type="dxa"/>
            </w:tcMar>
          </w:tcPr>
          <w:p w14:paraId="0CE0AE81" w14:textId="77777777" w:rsidR="00CE5992" w:rsidRPr="005D4222" w:rsidRDefault="00CE5992" w:rsidP="00CE5992">
            <w:pPr>
              <w:pStyle w:val="ECDSMarginSubhead"/>
              <w:spacing w:after="0"/>
            </w:pPr>
            <w:r w:rsidRPr="005D4222">
              <w:t>Improvement notation</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229338F2" w14:textId="77777777" w:rsidR="00CE5992" w:rsidRPr="005D4222" w:rsidRDefault="00CE5992" w:rsidP="00CE5992">
            <w:pPr>
              <w:pStyle w:val="ECDSBody"/>
              <w:spacing w:after="0"/>
            </w:pPr>
            <w:r w:rsidRPr="005D4222">
              <w:rPr>
                <w:szCs w:val="21"/>
              </w:rPr>
              <w:t>Increased score indicates improvement.</w:t>
            </w:r>
          </w:p>
        </w:tc>
      </w:tr>
      <w:tr w:rsidR="00CE5992" w:rsidRPr="005D4222" w14:paraId="7D6B6913" w14:textId="77777777" w:rsidTr="00CE5992">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6291F20E" w14:textId="77777777" w:rsidR="00CE5992" w:rsidRPr="005D4222" w:rsidRDefault="00CE5992">
            <w:pPr>
              <w:pStyle w:val="ECDSMarginSubhead"/>
            </w:pPr>
            <w:r w:rsidRPr="005D4222">
              <w:t>Guidance</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13FFDCB4" w14:textId="10725A35" w:rsidR="00CE5992" w:rsidRPr="005D4222" w:rsidRDefault="00CE5992" w:rsidP="00CE5992">
            <w:pPr>
              <w:pStyle w:val="ECDSBody"/>
              <w:rPr>
                <w:b/>
              </w:rPr>
            </w:pPr>
            <w:r w:rsidRPr="005D4222">
              <w:rPr>
                <w:b/>
              </w:rPr>
              <w:t>Data collection methodology:</w:t>
            </w:r>
            <w:r w:rsidRPr="005D4222">
              <w:t xml:space="preserve"> Administrative. Refer to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59C2A228" w14:textId="77777777" w:rsidR="00CE5992" w:rsidRPr="005D4222" w:rsidRDefault="00CE5992" w:rsidP="00CE5992">
            <w:pPr>
              <w:pStyle w:val="ECDSBody"/>
            </w:pPr>
            <w:r w:rsidRPr="005D4222">
              <w:rPr>
                <w:b/>
              </w:rPr>
              <w:t xml:space="preserve">Date specificity: </w:t>
            </w:r>
            <w:r w:rsidRPr="005D4222">
              <w:t>Dates must be specific enough to determine the event occurred in the period being measured.</w:t>
            </w:r>
          </w:p>
          <w:p w14:paraId="1AD3BE49" w14:textId="77777777" w:rsidR="00CE5992" w:rsidRPr="005D4222" w:rsidRDefault="00CE5992" w:rsidP="00CE5992">
            <w:pPr>
              <w:pStyle w:val="ECDSBody"/>
            </w:pPr>
            <w:r w:rsidRPr="005D4222">
              <w:rPr>
                <w:b/>
              </w:rPr>
              <w:t>Which services count?</w:t>
            </w:r>
            <w:r w:rsidRPr="005D4222">
              <w:t xml:space="preserve"> When using claims, include all paid, suspended, pending and denied claims. </w:t>
            </w:r>
          </w:p>
          <w:p w14:paraId="4837C39F" w14:textId="77777777" w:rsidR="00CE5992" w:rsidRPr="005D4222" w:rsidRDefault="00CE5992" w:rsidP="00CE5992">
            <w:pPr>
              <w:pStyle w:val="ECDSBody"/>
              <w:rPr>
                <w:b/>
              </w:rPr>
            </w:pPr>
            <w:r w:rsidRPr="005D4222">
              <w:rPr>
                <w:b/>
              </w:rPr>
              <w:t>Medication lists:</w:t>
            </w:r>
            <w:r w:rsidRPr="005D4222">
              <w:t xml:space="preserve"> If </w:t>
            </w:r>
            <w:r w:rsidRPr="005D4222" w:rsidDel="00EC0D45">
              <w:t xml:space="preserve">an organization uses both pharmacy data (NDC codes) and clinical data (RxNorm codes) for reporting, and </w:t>
            </w:r>
            <w:r w:rsidRPr="005D4222">
              <w:t>there are both NDC and RxNorm codes on the same date of service, use only one data source for the date of service</w:t>
            </w:r>
            <w:r w:rsidRPr="005D4222" w:rsidDel="00F4786B">
              <w:t xml:space="preserve"> (only NDC codes or only RxNorm codes)</w:t>
            </w:r>
            <w:r w:rsidRPr="005D4222">
              <w:t xml:space="preserve">. </w:t>
            </w:r>
          </w:p>
          <w:p w14:paraId="1E588115" w14:textId="77777777" w:rsidR="00CE5992" w:rsidRPr="005D4222" w:rsidRDefault="00CE5992">
            <w:pPr>
              <w:pStyle w:val="Body"/>
            </w:pPr>
            <w:r w:rsidRPr="005D4222">
              <w:rPr>
                <w:b/>
                <w:bCs/>
              </w:rPr>
              <w:t>Other guidance:</w:t>
            </w:r>
          </w:p>
          <w:p w14:paraId="445CBFB2" w14:textId="77777777" w:rsidR="00CE5992" w:rsidRPr="005D4222" w:rsidRDefault="00CE5992">
            <w:pPr>
              <w:pStyle w:val="ProcessBullet"/>
            </w:pPr>
            <w:r w:rsidRPr="005D4222">
              <w:t>If an oral medication and a long-acting injection are dispensed on the same day, calculate the number of days covered by an antipsychotic medication (for the numerator) using the prescription with the longest days supply.</w:t>
            </w:r>
          </w:p>
          <w:p w14:paraId="3532EAED" w14:textId="77777777" w:rsidR="00CE5992" w:rsidRPr="005D4222" w:rsidRDefault="00CE5992">
            <w:pPr>
              <w:pStyle w:val="ProcessBullet"/>
              <w:spacing w:after="80"/>
              <w:rPr>
                <w:b/>
                <w:bCs/>
              </w:rPr>
            </w:pPr>
            <w:r w:rsidRPr="005D4222">
              <w:t>If an oral medication and long-acting injection are dispensed on different days, with some overlapping days of supply, count each day in the treatment period only once toward the numerator.</w:t>
            </w:r>
          </w:p>
        </w:tc>
      </w:tr>
      <w:tr w:rsidR="00CE5992" w:rsidRPr="005D4222" w14:paraId="669586F8" w14:textId="77777777">
        <w:tc>
          <w:tcPr>
            <w:tcW w:w="9714" w:type="dxa"/>
            <w:gridSpan w:val="4"/>
            <w:tcBorders>
              <w:top w:val="single" w:sz="4" w:space="0" w:color="auto"/>
              <w:bottom w:val="single" w:sz="4" w:space="0" w:color="auto"/>
            </w:tcBorders>
            <w:shd w:val="clear" w:color="auto" w:fill="BFBFBF" w:themeFill="background1" w:themeFillShade="BF"/>
            <w:tcMar>
              <w:top w:w="0" w:type="dxa"/>
              <w:left w:w="86" w:type="dxa"/>
              <w:bottom w:w="43" w:type="dxa"/>
              <w:right w:w="86" w:type="dxa"/>
            </w:tcMar>
          </w:tcPr>
          <w:p w14:paraId="1CAAFC16" w14:textId="77777777" w:rsidR="00CE5992" w:rsidRPr="005D4222" w:rsidRDefault="00CE5992">
            <w:pPr>
              <w:pStyle w:val="ECDSMarginHead"/>
            </w:pPr>
            <w:r w:rsidRPr="005D4222">
              <w:t xml:space="preserve">Definitions </w:t>
            </w:r>
          </w:p>
        </w:tc>
      </w:tr>
      <w:tr w:rsidR="00CE5992" w:rsidRPr="005D4222" w14:paraId="7208EF0A" w14:textId="77777777">
        <w:tc>
          <w:tcPr>
            <w:tcW w:w="2157" w:type="dxa"/>
            <w:tcBorders>
              <w:top w:val="single" w:sz="4" w:space="0" w:color="auto"/>
              <w:bottom w:val="nil"/>
              <w:right w:val="single" w:sz="4" w:space="0" w:color="auto"/>
            </w:tcBorders>
            <w:tcMar>
              <w:top w:w="0" w:type="dxa"/>
              <w:left w:w="86" w:type="dxa"/>
              <w:bottom w:w="43" w:type="dxa"/>
              <w:right w:w="86" w:type="dxa"/>
            </w:tcMar>
          </w:tcPr>
          <w:p w14:paraId="1167D407" w14:textId="77777777" w:rsidR="00CE5992" w:rsidRPr="005D4222" w:rsidRDefault="00CE5992" w:rsidP="004A699E">
            <w:pPr>
              <w:pStyle w:val="ECDSMarginSubhead"/>
              <w:spacing w:after="0"/>
            </w:pPr>
            <w:r w:rsidRPr="005D4222">
              <w:rPr>
                <w:snapToGrid w:val="0"/>
              </w:rPr>
              <w:t>Calculating number of days covered for long-acting injections</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tcPr>
          <w:p w14:paraId="573DD4A7" w14:textId="77777777" w:rsidR="00CE5992" w:rsidRPr="005D4222" w:rsidRDefault="00CE5992" w:rsidP="004A699E">
            <w:pPr>
              <w:pStyle w:val="ECDSBody"/>
              <w:spacing w:after="0"/>
            </w:pPr>
            <w:r w:rsidRPr="005D4222">
              <w:t>Calculate number of days covered (for the numerator) for long-acting injections using the days supply specified for the medication in the medication list name or in the value set name.</w:t>
            </w:r>
          </w:p>
          <w:p w14:paraId="7A13E8C6" w14:textId="77777777" w:rsidR="00CE5992" w:rsidRPr="005D4222" w:rsidRDefault="00CE5992" w:rsidP="004A699E">
            <w:pPr>
              <w:pStyle w:val="ECDSBody"/>
              <w:spacing w:after="0"/>
              <w:rPr>
                <w:iCs/>
              </w:rPr>
            </w:pPr>
            <w:r w:rsidRPr="005D4222">
              <w:rPr>
                <w:iCs/>
              </w:rPr>
              <w:t xml:space="preserve">For multiple codes (from the value sets and medication lists) </w:t>
            </w:r>
            <w:r w:rsidRPr="005D4222">
              <w:rPr>
                <w:i/>
              </w:rPr>
              <w:t>for the same or different medications on the same day,</w:t>
            </w:r>
            <w:r w:rsidRPr="005D4222">
              <w:rPr>
                <w:iCs/>
              </w:rPr>
              <w:t xml:space="preserve"> use the medication with the longest days supply. </w:t>
            </w:r>
          </w:p>
          <w:p w14:paraId="34D888E8" w14:textId="36A506F8" w:rsidR="00CE5992" w:rsidRPr="005D4222" w:rsidRDefault="00CE5992" w:rsidP="004A699E">
            <w:pPr>
              <w:pStyle w:val="ECDSBody"/>
              <w:spacing w:after="0"/>
              <w:rPr>
                <w:rFonts w:eastAsiaTheme="minorEastAsia"/>
                <w:lang w:eastAsia="zh-CN"/>
              </w:rPr>
            </w:pPr>
            <w:r w:rsidRPr="005D4222">
              <w:t xml:space="preserve">For multiple codes (from the value sets and medication lists) </w:t>
            </w:r>
            <w:r w:rsidRPr="005D4222">
              <w:rPr>
                <w:i/>
              </w:rPr>
              <w:t>for the same or different medications on different days,</w:t>
            </w:r>
            <w:r w:rsidRPr="005D4222">
              <w:t xml:space="preserve"> with overlapping days supply, count each day in the treatment period only once toward the numerator. Count HCPCS code J2798 (a direct reference code) as a 30-days supply. </w:t>
            </w:r>
            <w:r w:rsidRPr="005D4222">
              <w:rPr>
                <w:rFonts w:eastAsiaTheme="minorEastAsia"/>
                <w:i/>
                <w:iCs/>
                <w:sz w:val="20"/>
                <w:szCs w:val="20"/>
              </w:rPr>
              <w:t xml:space="preserve"> </w:t>
            </w:r>
          </w:p>
        </w:tc>
      </w:tr>
      <w:tr w:rsidR="00CE5992" w:rsidRPr="005D4222" w14:paraId="03D784EE" w14:textId="77777777">
        <w:tc>
          <w:tcPr>
            <w:tcW w:w="2157" w:type="dxa"/>
            <w:tcBorders>
              <w:top w:val="nil"/>
              <w:bottom w:val="single" w:sz="4" w:space="0" w:color="auto"/>
              <w:right w:val="single" w:sz="4" w:space="0" w:color="auto"/>
            </w:tcBorders>
            <w:tcMar>
              <w:top w:w="0" w:type="dxa"/>
              <w:left w:w="86" w:type="dxa"/>
              <w:bottom w:w="43" w:type="dxa"/>
              <w:right w:w="86" w:type="dxa"/>
            </w:tcMar>
          </w:tcPr>
          <w:p w14:paraId="5BC74CC4" w14:textId="77777777" w:rsidR="00CE5992" w:rsidRPr="005D4222" w:rsidRDefault="00CE5992">
            <w:pPr>
              <w:pStyle w:val="ECDSMarginSubhead"/>
              <w:rPr>
                <w:snapToGrid w:val="0"/>
              </w:rPr>
            </w:pPr>
            <w:r w:rsidRPr="005D4222">
              <w:t>Calculating number of days covered for oral medications</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15E742CF" w14:textId="77777777" w:rsidR="00CE5992" w:rsidRDefault="00CE5992" w:rsidP="00CE5992">
            <w:pPr>
              <w:pStyle w:val="ECDSBody"/>
            </w:pPr>
            <w:r w:rsidRPr="005D4222">
              <w:t xml:space="preserve">If multiple prescriptions for the same or different oral medications are dispensed on the same day, calculate number of days covered by an antipsychotic medication (for the numerator) using the prescription with the longest days supply. </w:t>
            </w:r>
          </w:p>
          <w:p w14:paraId="6B7F944A" w14:textId="77777777" w:rsidR="004A699E" w:rsidRPr="005D4222" w:rsidRDefault="004A699E" w:rsidP="004A699E">
            <w:pPr>
              <w:pStyle w:val="ECDSBody"/>
            </w:pPr>
            <w:r w:rsidRPr="005D4222">
              <w:t>If multiple prescriptions for different oral medications are dispensed on different days, count each day in the treatment period only once toward the numerator.</w:t>
            </w:r>
          </w:p>
          <w:p w14:paraId="79927D22" w14:textId="5729BE33" w:rsidR="004A699E" w:rsidRPr="005D4222" w:rsidRDefault="004A699E" w:rsidP="004A699E">
            <w:pPr>
              <w:pStyle w:val="ECDSBody"/>
            </w:pPr>
            <w:r w:rsidRPr="005D4222">
              <w:t>If multiple prescriptions for the same oral medication are dispensed on different days, sum the days supply and use the total to calculate the number of days covered by an antipsychotic medication (for the numerator).</w:t>
            </w:r>
          </w:p>
        </w:tc>
      </w:tr>
    </w:tbl>
    <w:p w14:paraId="5C43DE3F" w14:textId="77777777" w:rsidR="004A699E" w:rsidRDefault="004A699E">
      <w:r>
        <w:br w:type="page"/>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40" w:type="dxa"/>
          <w:left w:w="15" w:type="dxa"/>
          <w:bottom w:w="40" w:type="dxa"/>
          <w:right w:w="15" w:type="dxa"/>
        </w:tblCellMar>
        <w:tblLook w:val="04A0" w:firstRow="1" w:lastRow="0" w:firstColumn="1" w:lastColumn="0" w:noHBand="0" w:noVBand="1"/>
      </w:tblPr>
      <w:tblGrid>
        <w:gridCol w:w="2155"/>
        <w:gridCol w:w="7557"/>
      </w:tblGrid>
      <w:tr w:rsidR="00CE5992" w:rsidRPr="005D4222" w14:paraId="6B70D0F9" w14:textId="77777777" w:rsidTr="00FA0BED">
        <w:tc>
          <w:tcPr>
            <w:tcW w:w="2157" w:type="dxa"/>
            <w:tcBorders>
              <w:top w:val="single" w:sz="4" w:space="0" w:color="auto"/>
              <w:bottom w:val="nil"/>
              <w:right w:val="single" w:sz="4" w:space="0" w:color="auto"/>
            </w:tcBorders>
            <w:tcMar>
              <w:top w:w="0" w:type="dxa"/>
              <w:left w:w="86" w:type="dxa"/>
              <w:bottom w:w="43" w:type="dxa"/>
              <w:right w:w="86" w:type="dxa"/>
            </w:tcMar>
          </w:tcPr>
          <w:p w14:paraId="7E13506F" w14:textId="77777777" w:rsidR="00CE5992" w:rsidRPr="005D4222" w:rsidRDefault="00CE5992">
            <w:pPr>
              <w:pStyle w:val="ECDSMarginSubhead"/>
            </w:pPr>
          </w:p>
        </w:tc>
        <w:tc>
          <w:tcPr>
            <w:tcW w:w="7555"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4601B872" w14:textId="77777777" w:rsidR="00CE5992" w:rsidRPr="005D4222" w:rsidRDefault="00CE5992" w:rsidP="00CE5992">
            <w:pPr>
              <w:pStyle w:val="Bullet"/>
              <w:numPr>
                <w:ilvl w:val="0"/>
                <w:numId w:val="4"/>
              </w:numPr>
              <w:tabs>
                <w:tab w:val="left" w:pos="360"/>
                <w:tab w:val="left" w:pos="576"/>
              </w:tabs>
              <w:ind w:left="576" w:hanging="216"/>
            </w:pPr>
            <w:r w:rsidRPr="005D4222">
              <w:rPr>
                <w:i/>
                <w:iCs/>
              </w:rPr>
              <w:t xml:space="preserve">For example, </w:t>
            </w:r>
            <w:r w:rsidRPr="005D4222">
              <w:t>if three antipsychotic prescriptions for the same oral medication are dispensed on different days, each with a 30-day supply; sum the days supply for a total of 90 days covered by an oral antipsychotic (even if there is overlap).</w:t>
            </w:r>
          </w:p>
          <w:p w14:paraId="4B0DCCA6" w14:textId="1F1E3358" w:rsidR="00CE5992" w:rsidRPr="005D4222" w:rsidRDefault="00CE5992" w:rsidP="004A699E">
            <w:pPr>
              <w:pStyle w:val="Body"/>
              <w:spacing w:before="120"/>
            </w:pPr>
            <w:r w:rsidRPr="005D4222">
              <w:rPr>
                <w:rFonts w:eastAsia="Arial,Times New Roman"/>
              </w:rPr>
              <w:t>Use the medication lists to determine if drugs are the same or different. Drugs in different lists are considered different drugs.</w:t>
            </w:r>
            <w:r w:rsidR="004A699E">
              <w:rPr>
                <w:rFonts w:eastAsia="Arial,Times New Roman"/>
              </w:rPr>
              <w:t xml:space="preserve"> </w:t>
            </w:r>
            <w:r w:rsidR="00696147">
              <w:rPr>
                <w:rFonts w:eastAsia="Arial,Times New Roman"/>
              </w:rPr>
              <w:t>If multiple prescriptions for the same oral medication are dispensed on different days, sum the days supply and use the total to calculate the number of days covered by an antipsychotic medication (for the numerator).</w:t>
            </w:r>
          </w:p>
        </w:tc>
      </w:tr>
      <w:tr w:rsidR="00CE5992" w:rsidRPr="005D4222" w14:paraId="6F9E9433" w14:textId="77777777" w:rsidTr="00FA0BED">
        <w:tc>
          <w:tcPr>
            <w:tcW w:w="2157" w:type="dxa"/>
            <w:tcBorders>
              <w:top w:val="nil"/>
              <w:bottom w:val="nil"/>
              <w:right w:val="single" w:sz="4" w:space="0" w:color="auto"/>
            </w:tcBorders>
            <w:tcMar>
              <w:top w:w="0" w:type="dxa"/>
              <w:left w:w="86" w:type="dxa"/>
              <w:bottom w:w="43" w:type="dxa"/>
              <w:right w:w="86" w:type="dxa"/>
            </w:tcMar>
          </w:tcPr>
          <w:p w14:paraId="620DC409" w14:textId="77777777" w:rsidR="00CE5992" w:rsidRPr="005D4222" w:rsidRDefault="00CE5992">
            <w:pPr>
              <w:pStyle w:val="ECDSMarginSubhead"/>
            </w:pPr>
            <w:r w:rsidRPr="005D4222">
              <w:t>IPSD</w:t>
            </w:r>
          </w:p>
        </w:tc>
        <w:tc>
          <w:tcPr>
            <w:tcW w:w="7555" w:type="dxa"/>
            <w:tcBorders>
              <w:top w:val="nil"/>
              <w:left w:val="single" w:sz="4" w:space="0" w:color="auto"/>
              <w:bottom w:val="nil"/>
              <w:right w:val="single" w:sz="4" w:space="0" w:color="auto"/>
            </w:tcBorders>
            <w:tcMar>
              <w:top w:w="0" w:type="dxa"/>
              <w:left w:w="86" w:type="dxa"/>
              <w:bottom w:w="43" w:type="dxa"/>
              <w:right w:w="86" w:type="dxa"/>
            </w:tcMar>
          </w:tcPr>
          <w:p w14:paraId="4526768B" w14:textId="77777777" w:rsidR="00CE5992" w:rsidRPr="005D4222" w:rsidRDefault="00CE5992">
            <w:pPr>
              <w:pStyle w:val="ECDSBody"/>
              <w:spacing w:after="0"/>
            </w:pPr>
            <w:r w:rsidRPr="005D4222">
              <w:t>Index prescription start date. The earliest prescription dispensing date for any antipsychotic medication during the measurement period.</w:t>
            </w:r>
          </w:p>
        </w:tc>
      </w:tr>
      <w:tr w:rsidR="00CE5992" w:rsidRPr="005D4222" w14:paraId="6F1AEE70" w14:textId="77777777" w:rsidTr="00FA0BED">
        <w:tc>
          <w:tcPr>
            <w:tcW w:w="2157" w:type="dxa"/>
            <w:tcBorders>
              <w:top w:val="nil"/>
              <w:bottom w:val="nil"/>
              <w:right w:val="single" w:sz="4" w:space="0" w:color="auto"/>
            </w:tcBorders>
            <w:tcMar>
              <w:top w:w="0" w:type="dxa"/>
              <w:left w:w="86" w:type="dxa"/>
              <w:bottom w:w="43" w:type="dxa"/>
              <w:right w:w="86" w:type="dxa"/>
            </w:tcMar>
          </w:tcPr>
          <w:p w14:paraId="31A86356" w14:textId="77777777" w:rsidR="00CE5992" w:rsidRPr="005D4222" w:rsidRDefault="00CE5992" w:rsidP="001F64D1">
            <w:pPr>
              <w:pStyle w:val="ECDSMarginSubhead"/>
              <w:spacing w:after="0"/>
            </w:pPr>
            <w:r w:rsidRPr="005D4222">
              <w:t>Long-acting injections dispensing event</w:t>
            </w:r>
          </w:p>
        </w:tc>
        <w:tc>
          <w:tcPr>
            <w:tcW w:w="7555" w:type="dxa"/>
            <w:tcBorders>
              <w:top w:val="nil"/>
              <w:left w:val="single" w:sz="4" w:space="0" w:color="auto"/>
              <w:bottom w:val="nil"/>
              <w:right w:val="single" w:sz="4" w:space="0" w:color="auto"/>
            </w:tcBorders>
            <w:tcMar>
              <w:top w:w="0" w:type="dxa"/>
              <w:left w:w="86" w:type="dxa"/>
              <w:bottom w:w="43" w:type="dxa"/>
              <w:right w:w="86" w:type="dxa"/>
            </w:tcMar>
          </w:tcPr>
          <w:p w14:paraId="23F7A8FE" w14:textId="77777777" w:rsidR="00CE5992" w:rsidRPr="005D4222" w:rsidRDefault="00CE5992" w:rsidP="001F64D1">
            <w:pPr>
              <w:pStyle w:val="ECDSBody"/>
              <w:spacing w:after="0"/>
            </w:pPr>
            <w:r w:rsidRPr="005D4222">
              <w:t xml:space="preserve">Injections count as one dispensing event. Multiple codes (from the value sets and medication lists) for the same or different medication on the same day count as a single dispensing event. </w:t>
            </w:r>
          </w:p>
        </w:tc>
      </w:tr>
      <w:tr w:rsidR="00CE5992" w:rsidRPr="005D4222" w14:paraId="05D15189" w14:textId="77777777" w:rsidTr="00FA0BED">
        <w:tc>
          <w:tcPr>
            <w:tcW w:w="2157" w:type="dxa"/>
            <w:tcBorders>
              <w:top w:val="nil"/>
              <w:bottom w:val="nil"/>
              <w:right w:val="single" w:sz="4" w:space="0" w:color="auto"/>
            </w:tcBorders>
            <w:tcMar>
              <w:top w:w="0" w:type="dxa"/>
              <w:left w:w="86" w:type="dxa"/>
              <w:bottom w:w="43" w:type="dxa"/>
              <w:right w:w="86" w:type="dxa"/>
            </w:tcMar>
          </w:tcPr>
          <w:p w14:paraId="773A3A8A" w14:textId="77777777" w:rsidR="00CE5992" w:rsidRPr="005D4222" w:rsidRDefault="00CE5992">
            <w:pPr>
              <w:pStyle w:val="ECDSMarginSubhead"/>
            </w:pPr>
            <w:r w:rsidRPr="005D4222">
              <w:t>Oral medication dispensing event</w:t>
            </w:r>
          </w:p>
        </w:tc>
        <w:tc>
          <w:tcPr>
            <w:tcW w:w="7555" w:type="dxa"/>
            <w:tcBorders>
              <w:top w:val="nil"/>
              <w:left w:val="single" w:sz="4" w:space="0" w:color="auto"/>
              <w:bottom w:val="nil"/>
              <w:right w:val="single" w:sz="4" w:space="0" w:color="auto"/>
            </w:tcBorders>
            <w:tcMar>
              <w:top w:w="0" w:type="dxa"/>
              <w:left w:w="86" w:type="dxa"/>
              <w:bottom w:w="43" w:type="dxa"/>
              <w:right w:w="86" w:type="dxa"/>
            </w:tcMar>
          </w:tcPr>
          <w:p w14:paraId="0FE4CA14" w14:textId="77777777" w:rsidR="00CE5992" w:rsidRPr="005D4222" w:rsidRDefault="00CE5992">
            <w:pPr>
              <w:pStyle w:val="ECDSBody"/>
              <w:spacing w:after="0"/>
            </w:pPr>
            <w:r w:rsidRPr="005D4222">
              <w:t xml:space="preserve">One prescription of an amount lasting 30 days or less. To calculate dispensing events for prescriptions longer than 30 days, divide the days supply by 30 and round down to convert. </w:t>
            </w:r>
          </w:p>
          <w:p w14:paraId="5729242D" w14:textId="77777777" w:rsidR="00CE5992" w:rsidRPr="005D4222" w:rsidRDefault="00CE5992" w:rsidP="00CE5992">
            <w:pPr>
              <w:pStyle w:val="Bullet"/>
              <w:numPr>
                <w:ilvl w:val="0"/>
                <w:numId w:val="4"/>
              </w:numPr>
              <w:tabs>
                <w:tab w:val="left" w:pos="360"/>
                <w:tab w:val="left" w:pos="576"/>
              </w:tabs>
              <w:ind w:left="576" w:hanging="216"/>
            </w:pPr>
            <w:r w:rsidRPr="005D4222">
              <w:rPr>
                <w:i/>
              </w:rPr>
              <w:t>For example,</w:t>
            </w:r>
            <w:r w:rsidRPr="005D4222">
              <w:t xml:space="preserve"> a 100-days prescription is equal to three dispensing events. </w:t>
            </w:r>
          </w:p>
          <w:p w14:paraId="605DB40D" w14:textId="77777777" w:rsidR="00CE5992" w:rsidRPr="005D4222" w:rsidRDefault="00CE5992">
            <w:pPr>
              <w:pStyle w:val="ECDSBody"/>
              <w:spacing w:after="0"/>
            </w:pPr>
            <w:r w:rsidRPr="005D4222">
              <w:t xml:space="preserve">Multiple prescriptions for different medications dispensed on the same day count as separate dispensing events. If multiple prescriptions for the same medication are dispensed on the same day, use the prescription with the longest days supply. </w:t>
            </w:r>
            <w:r w:rsidRPr="005D4222">
              <w:rPr>
                <w:rFonts w:eastAsia="Arial,Times New Roman"/>
              </w:rPr>
              <w:t>Use the medication lists to determine if drugs are the same or different. Drugs in different lists are considered different drugs.</w:t>
            </w:r>
          </w:p>
        </w:tc>
      </w:tr>
      <w:tr w:rsidR="00CE5992" w:rsidRPr="005D4222" w14:paraId="530D87A1" w14:textId="77777777" w:rsidTr="00FA0BED">
        <w:tc>
          <w:tcPr>
            <w:tcW w:w="2157" w:type="dxa"/>
            <w:tcBorders>
              <w:top w:val="nil"/>
              <w:bottom w:val="nil"/>
              <w:right w:val="single" w:sz="4" w:space="0" w:color="auto"/>
            </w:tcBorders>
            <w:tcMar>
              <w:top w:w="0" w:type="dxa"/>
              <w:left w:w="86" w:type="dxa"/>
              <w:bottom w:w="43" w:type="dxa"/>
              <w:right w:w="86" w:type="dxa"/>
            </w:tcMar>
          </w:tcPr>
          <w:p w14:paraId="4A319D15" w14:textId="77777777" w:rsidR="00CE5992" w:rsidRPr="005D4222" w:rsidRDefault="00CE5992">
            <w:pPr>
              <w:pStyle w:val="ECDSMarginSubhead"/>
            </w:pPr>
            <w:r w:rsidRPr="005D4222">
              <w:t>PDC</w:t>
            </w:r>
          </w:p>
        </w:tc>
        <w:tc>
          <w:tcPr>
            <w:tcW w:w="7555" w:type="dxa"/>
            <w:tcBorders>
              <w:top w:val="nil"/>
              <w:left w:val="single" w:sz="4" w:space="0" w:color="auto"/>
              <w:bottom w:val="nil"/>
              <w:right w:val="single" w:sz="4" w:space="0" w:color="auto"/>
            </w:tcBorders>
            <w:tcMar>
              <w:top w:w="0" w:type="dxa"/>
              <w:left w:w="86" w:type="dxa"/>
              <w:bottom w:w="43" w:type="dxa"/>
              <w:right w:w="86" w:type="dxa"/>
            </w:tcMar>
          </w:tcPr>
          <w:p w14:paraId="6C63FDD3" w14:textId="77777777" w:rsidR="00CE5992" w:rsidRPr="005D4222" w:rsidRDefault="00CE5992">
            <w:pPr>
              <w:pStyle w:val="ECDSBody"/>
              <w:spacing w:after="0"/>
            </w:pPr>
            <w:r w:rsidRPr="005D4222">
              <w:t>Proportion of days covered. The number of days a person is covered by at least one antipsychotic medication prescription, divided by the number of days in the treatment period.</w:t>
            </w:r>
          </w:p>
        </w:tc>
      </w:tr>
      <w:tr w:rsidR="00CE5992" w:rsidRPr="005D4222" w14:paraId="3B300A45" w14:textId="77777777" w:rsidTr="00FA0BED">
        <w:tc>
          <w:tcPr>
            <w:tcW w:w="2157" w:type="dxa"/>
            <w:tcBorders>
              <w:top w:val="nil"/>
              <w:bottom w:val="nil"/>
              <w:right w:val="single" w:sz="4" w:space="0" w:color="auto"/>
            </w:tcBorders>
            <w:tcMar>
              <w:top w:w="0" w:type="dxa"/>
              <w:left w:w="86" w:type="dxa"/>
              <w:bottom w:w="43" w:type="dxa"/>
              <w:right w:w="86" w:type="dxa"/>
            </w:tcMar>
          </w:tcPr>
          <w:p w14:paraId="49190E9E" w14:textId="77777777" w:rsidR="00CE5992" w:rsidRPr="005D4222" w:rsidRDefault="00CE5992">
            <w:pPr>
              <w:pStyle w:val="ECDSMarginSubhead"/>
            </w:pPr>
            <w:r w:rsidRPr="005D4222">
              <w:t xml:space="preserve">Treatment period </w:t>
            </w:r>
          </w:p>
        </w:tc>
        <w:tc>
          <w:tcPr>
            <w:tcW w:w="7555" w:type="dxa"/>
            <w:tcBorders>
              <w:top w:val="nil"/>
              <w:left w:val="single" w:sz="4" w:space="0" w:color="auto"/>
              <w:bottom w:val="nil"/>
              <w:right w:val="single" w:sz="4" w:space="0" w:color="auto"/>
            </w:tcBorders>
            <w:tcMar>
              <w:top w:w="0" w:type="dxa"/>
              <w:left w:w="86" w:type="dxa"/>
              <w:bottom w:w="43" w:type="dxa"/>
              <w:right w:w="86" w:type="dxa"/>
            </w:tcMar>
          </w:tcPr>
          <w:p w14:paraId="6152A926" w14:textId="77777777" w:rsidR="00CE5992" w:rsidRPr="005D4222" w:rsidRDefault="00CE5992" w:rsidP="00D82878">
            <w:pPr>
              <w:pStyle w:val="ECDSBody"/>
            </w:pPr>
            <w:r w:rsidRPr="005D4222">
              <w:t>The period</w:t>
            </w:r>
            <w:r w:rsidRPr="005D4222" w:rsidDel="00F30EEE">
              <w:t xml:space="preserve"> </w:t>
            </w:r>
            <w:r w:rsidRPr="005D4222">
              <w:t xml:space="preserve">beginning on the IPSD through the last day of the measurement period. </w:t>
            </w:r>
          </w:p>
        </w:tc>
      </w:tr>
      <w:tr w:rsidR="00CE5992" w:rsidRPr="005D4222" w14:paraId="7BD8C820" w14:textId="77777777" w:rsidTr="00FA0BED">
        <w:tc>
          <w:tcPr>
            <w:tcW w:w="2157" w:type="dxa"/>
            <w:tcBorders>
              <w:bottom w:val="single" w:sz="4" w:space="0" w:color="auto"/>
            </w:tcBorders>
            <w:shd w:val="clear" w:color="auto" w:fill="BFBFBF" w:themeFill="background1" w:themeFillShade="BF"/>
            <w:tcMar>
              <w:top w:w="0" w:type="dxa"/>
              <w:left w:w="86" w:type="dxa"/>
              <w:bottom w:w="43" w:type="dxa"/>
              <w:right w:w="86" w:type="dxa"/>
            </w:tcMar>
          </w:tcPr>
          <w:p w14:paraId="3D06CF62" w14:textId="77777777" w:rsidR="00CE5992" w:rsidRPr="005D4222" w:rsidRDefault="00CE5992">
            <w:pPr>
              <w:pStyle w:val="ECDSMarginHead"/>
            </w:pPr>
            <w:r w:rsidRPr="005D4222">
              <w:t>Initial population</w:t>
            </w:r>
          </w:p>
        </w:tc>
        <w:tc>
          <w:tcPr>
            <w:tcW w:w="7555"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94EC608" w14:textId="77777777" w:rsidR="00CE5992" w:rsidRPr="005D4222" w:rsidRDefault="00CE5992">
            <w:pPr>
              <w:pStyle w:val="ECDSBody"/>
            </w:pPr>
            <w:r w:rsidRPr="005D4222">
              <w:rPr>
                <w:i/>
                <w:iCs/>
              </w:rPr>
              <w:t xml:space="preserve">Measure item count: </w:t>
            </w:r>
            <w:r w:rsidRPr="005D4222">
              <w:t xml:space="preserve">Person. </w:t>
            </w:r>
          </w:p>
          <w:p w14:paraId="6E0FFC2B" w14:textId="77777777" w:rsidR="00CE5992" w:rsidRPr="005D4222" w:rsidRDefault="00CE5992">
            <w:pPr>
              <w:pStyle w:val="ECDSBody"/>
            </w:pPr>
            <w:r w:rsidRPr="005D4222">
              <w:rPr>
                <w:i/>
                <w:iCs/>
              </w:rPr>
              <w:t xml:space="preserve">Attribution basis: </w:t>
            </w:r>
            <w:r w:rsidRPr="005D4222">
              <w:t>Enrollment.</w:t>
            </w:r>
          </w:p>
          <w:p w14:paraId="7649E099" w14:textId="77777777" w:rsidR="00CE5992" w:rsidRPr="005D4222" w:rsidRDefault="00CE5992" w:rsidP="00CE5992">
            <w:pPr>
              <w:pStyle w:val="Bullet"/>
              <w:numPr>
                <w:ilvl w:val="0"/>
                <w:numId w:val="4"/>
              </w:numPr>
              <w:tabs>
                <w:tab w:val="left" w:pos="360"/>
                <w:tab w:val="left" w:pos="576"/>
              </w:tabs>
              <w:ind w:left="576" w:hanging="216"/>
            </w:pPr>
            <w:r w:rsidRPr="005D4222">
              <w:rPr>
                <w:i/>
                <w:iCs/>
              </w:rPr>
              <w:t>Benefits:</w:t>
            </w:r>
            <w:r w:rsidRPr="005D4222">
              <w:t xml:space="preserve"> Medical and pharmacy.</w:t>
            </w:r>
          </w:p>
          <w:p w14:paraId="0B3A4BD7" w14:textId="77777777" w:rsidR="00CE5992" w:rsidRPr="005D4222" w:rsidRDefault="00CE5992" w:rsidP="00CE5992">
            <w:pPr>
              <w:pStyle w:val="Bullet"/>
              <w:numPr>
                <w:ilvl w:val="0"/>
                <w:numId w:val="4"/>
              </w:numPr>
              <w:tabs>
                <w:tab w:val="left" w:pos="360"/>
                <w:tab w:val="left" w:pos="576"/>
              </w:tabs>
              <w:ind w:left="576" w:hanging="216"/>
              <w:rPr>
                <w:rFonts w:cs="Arial"/>
              </w:rPr>
            </w:pPr>
            <w:r w:rsidRPr="005D4222">
              <w:rPr>
                <w:rFonts w:cs="Arial"/>
                <w:i/>
                <w:iCs/>
              </w:rPr>
              <w:t>Continuous enrollment:</w:t>
            </w:r>
            <w:r w:rsidRPr="005D4222">
              <w:rPr>
                <w:rFonts w:cs="Arial"/>
              </w:rPr>
              <w:t xml:space="preserve"> The measurement period.</w:t>
            </w:r>
            <w:r w:rsidRPr="005D4222">
              <w:t xml:space="preserve"> </w:t>
            </w:r>
          </w:p>
          <w:p w14:paraId="567C2D21" w14:textId="1E8456BF" w:rsidR="00CE5992" w:rsidRPr="005D4222" w:rsidRDefault="00CE5992" w:rsidP="00305034">
            <w:pPr>
              <w:pStyle w:val="Bullet"/>
              <w:numPr>
                <w:ilvl w:val="0"/>
                <w:numId w:val="4"/>
              </w:numPr>
              <w:tabs>
                <w:tab w:val="left" w:pos="360"/>
                <w:tab w:val="left" w:pos="576"/>
              </w:tabs>
              <w:ind w:left="576" w:hanging="216"/>
              <w:rPr>
                <w:rFonts w:cs="Arial"/>
              </w:rPr>
            </w:pPr>
            <w:r w:rsidRPr="005D4222">
              <w:rPr>
                <w:rFonts w:cs="Arial"/>
                <w:i/>
                <w:iCs/>
              </w:rPr>
              <w:t>Allowable gap:</w:t>
            </w:r>
            <w:r w:rsidRPr="005D4222">
              <w:rPr>
                <w:rFonts w:cs="Arial"/>
              </w:rPr>
              <w:t xml:space="preserve"> </w:t>
            </w:r>
            <w:r w:rsidRPr="005D4222">
              <w:rPr>
                <w:rStyle w:val="normaltextrun"/>
                <w:rFonts w:cs="Arial"/>
                <w:color w:val="000000"/>
                <w:szCs w:val="21"/>
                <w:shd w:val="clear" w:color="auto" w:fill="FFFFFF"/>
              </w:rPr>
              <w:t xml:space="preserve">No more than one gap of ≤45 days during the continuous enrollment period. </w:t>
            </w:r>
            <w:r w:rsidR="00305034" w:rsidRPr="005D4222">
              <w:t>No gaps on the last day of the measurement period.</w:t>
            </w:r>
          </w:p>
          <w:p w14:paraId="74DC2367" w14:textId="77777777" w:rsidR="00CE5992" w:rsidRPr="005D4222" w:rsidRDefault="00CE5992">
            <w:pPr>
              <w:pStyle w:val="ECDSBody"/>
            </w:pPr>
            <w:r w:rsidRPr="005D4222">
              <w:rPr>
                <w:i/>
                <w:iCs/>
              </w:rPr>
              <w:t xml:space="preserve">Ages: </w:t>
            </w:r>
            <w:r w:rsidRPr="005D4222">
              <w:t>18 years of age and older as of the start of the measurement period.</w:t>
            </w:r>
            <w:r w:rsidRPr="005D4222" w:rsidDel="0080640A">
              <w:t xml:space="preserve"> </w:t>
            </w:r>
          </w:p>
          <w:p w14:paraId="375DE28D" w14:textId="77777777" w:rsidR="002924AD" w:rsidRPr="005D4222" w:rsidRDefault="00CE5992">
            <w:pPr>
              <w:pStyle w:val="ECDSBody"/>
              <w:rPr>
                <w:b/>
                <w:bCs w:val="0"/>
              </w:rPr>
            </w:pPr>
            <w:r w:rsidRPr="005D4222">
              <w:rPr>
                <w:i/>
                <w:iCs/>
              </w:rPr>
              <w:t xml:space="preserve">Event: </w:t>
            </w:r>
            <w:r w:rsidRPr="005D4222">
              <w:rPr>
                <w:b/>
                <w:bCs w:val="0"/>
              </w:rPr>
              <w:t xml:space="preserve">Persons with </w:t>
            </w:r>
            <w:r w:rsidRPr="005D4222">
              <w:rPr>
                <w:rFonts w:eastAsia="Arial,Arial,Arial,Arial,Arial,A"/>
                <w:b/>
                <w:bCs w:val="0"/>
              </w:rPr>
              <w:t>a</w:t>
            </w:r>
            <w:r w:rsidRPr="005D4222">
              <w:rPr>
                <w:rFonts w:eastAsia="Arial,Arial,Arial,Arial,Arial,A"/>
                <w:b/>
                <w:bCs w:val="0"/>
                <w:i/>
                <w:iCs/>
              </w:rPr>
              <w:t xml:space="preserve"> </w:t>
            </w:r>
            <w:r w:rsidRPr="005D4222">
              <w:rPr>
                <w:rFonts w:eastAsia="Arial,Arial,Arial,Arial,Arial,A"/>
                <w:b/>
                <w:bCs w:val="0"/>
              </w:rPr>
              <w:t xml:space="preserve">diagnosis of schizophrenia or </w:t>
            </w:r>
            <w:r w:rsidRPr="005D4222">
              <w:rPr>
                <w:b/>
                <w:bCs w:val="0"/>
              </w:rPr>
              <w:t>schizoaffective disorder.</w:t>
            </w:r>
          </w:p>
          <w:p w14:paraId="3C470D25" w14:textId="7766A1E6" w:rsidR="00CE5992" w:rsidRPr="005D4222" w:rsidRDefault="00CE5992">
            <w:pPr>
              <w:pStyle w:val="ECDSBody"/>
            </w:pPr>
            <w:r w:rsidRPr="005D4222">
              <w:t>Identify persons with schizophrenia or schizoaffective disorder as those who met at least one of the following criteria during the measurement period:</w:t>
            </w:r>
          </w:p>
          <w:p w14:paraId="0CD01F7C" w14:textId="77777777" w:rsidR="00CE5992" w:rsidRPr="005D4222" w:rsidRDefault="00CE5992" w:rsidP="00561057">
            <w:pPr>
              <w:pStyle w:val="Bullet"/>
              <w:numPr>
                <w:ilvl w:val="0"/>
                <w:numId w:val="70"/>
              </w:numPr>
              <w:tabs>
                <w:tab w:val="left" w:pos="360"/>
                <w:tab w:val="left" w:pos="576"/>
              </w:tabs>
              <w:spacing w:after="80"/>
              <w:ind w:left="576" w:hanging="216"/>
            </w:pPr>
            <w:r w:rsidRPr="005D4222">
              <w:t>At least one acute inpatient encounter with any diagnosis of schizophrenia or schizoaffective disorder. Either of the following combinations meets criteria:</w:t>
            </w:r>
          </w:p>
          <w:p w14:paraId="27547FC3" w14:textId="77777777" w:rsidR="00CE5992" w:rsidRPr="005D4222" w:rsidRDefault="00CE5992" w:rsidP="00561057">
            <w:pPr>
              <w:pStyle w:val="Dash"/>
              <w:numPr>
                <w:ilvl w:val="0"/>
                <w:numId w:val="69"/>
              </w:numPr>
              <w:tabs>
                <w:tab w:val="left" w:pos="576"/>
                <w:tab w:val="left" w:pos="792"/>
              </w:tabs>
              <w:spacing w:before="120" w:after="0"/>
              <w:ind w:left="792" w:hanging="216"/>
            </w:pPr>
            <w:r w:rsidRPr="005D4222">
              <w:rPr>
                <w:u w:val="single"/>
              </w:rPr>
              <w:lastRenderedPageBreak/>
              <w:t>BH Stand Alone Acute Inpatient Value Set</w:t>
            </w:r>
            <w:r w:rsidRPr="005D4222">
              <w:t xml:space="preserve"> </w:t>
            </w:r>
            <w:r w:rsidRPr="005D4222">
              <w:rPr>
                <w:b/>
                <w:i/>
              </w:rPr>
              <w:t>with</w:t>
            </w:r>
            <w:r w:rsidRPr="005D4222">
              <w:t xml:space="preserve"> </w:t>
            </w:r>
            <w:r w:rsidRPr="005D4222">
              <w:rPr>
                <w:u w:val="single"/>
              </w:rPr>
              <w:t>Schizophrenia Value Set</w:t>
            </w:r>
            <w:r w:rsidRPr="005D4222">
              <w:t>.</w:t>
            </w:r>
          </w:p>
          <w:p w14:paraId="6FB619A7" w14:textId="77777777" w:rsidR="00CE5992" w:rsidRPr="005D4222" w:rsidRDefault="00CE5992" w:rsidP="00561057">
            <w:pPr>
              <w:pStyle w:val="Dash"/>
              <w:numPr>
                <w:ilvl w:val="0"/>
                <w:numId w:val="69"/>
              </w:numPr>
              <w:tabs>
                <w:tab w:val="left" w:pos="576"/>
                <w:tab w:val="left" w:pos="792"/>
              </w:tabs>
              <w:ind w:left="792" w:hanging="216"/>
            </w:pPr>
            <w:r w:rsidRPr="005D4222">
              <w:rPr>
                <w:u w:val="single"/>
              </w:rPr>
              <w:t>Visit Setting Unspecified Value Set</w:t>
            </w:r>
            <w:r w:rsidRPr="005D4222">
              <w:t xml:space="preserve"> </w:t>
            </w:r>
            <w:r w:rsidRPr="005D4222">
              <w:rPr>
                <w:b/>
                <w:i/>
              </w:rPr>
              <w:t>with</w:t>
            </w:r>
            <w:r w:rsidRPr="005D4222">
              <w:t xml:space="preserve"> </w:t>
            </w:r>
            <w:r w:rsidRPr="005D4222">
              <w:rPr>
                <w:u w:val="single"/>
              </w:rPr>
              <w:t>Acute Inpatient POS Value Set</w:t>
            </w:r>
            <w:r w:rsidRPr="005D4222">
              <w:t xml:space="preserve"> </w:t>
            </w:r>
            <w:r w:rsidRPr="005D4222">
              <w:rPr>
                <w:b/>
                <w:i/>
              </w:rPr>
              <w:t>with</w:t>
            </w:r>
            <w:r w:rsidRPr="005D4222">
              <w:t xml:space="preserve"> </w:t>
            </w:r>
            <w:r w:rsidRPr="005D4222">
              <w:rPr>
                <w:u w:val="single"/>
              </w:rPr>
              <w:t>Schizophrenia Value Set</w:t>
            </w:r>
            <w:r w:rsidRPr="005D4222">
              <w:t>.</w:t>
            </w:r>
          </w:p>
          <w:p w14:paraId="38031640" w14:textId="77777777" w:rsidR="00CE5992" w:rsidRPr="005D4222" w:rsidRDefault="00CE5992" w:rsidP="005D6173">
            <w:pPr>
              <w:pStyle w:val="Bullet"/>
              <w:numPr>
                <w:ilvl w:val="0"/>
                <w:numId w:val="70"/>
              </w:numPr>
              <w:tabs>
                <w:tab w:val="left" w:pos="360"/>
                <w:tab w:val="left" w:pos="576"/>
              </w:tabs>
              <w:ind w:left="576" w:hanging="216"/>
            </w:pPr>
            <w:r w:rsidRPr="005D4222">
              <w:t>At least two visits in an outpatient, intensive outpatient, partial hospitalization, ED or nonacute inpatient setting, on different dates of service, with any diagnosis of schizophrenia or schizoaffective disorder. Two of any of the following meets criteria:</w:t>
            </w:r>
          </w:p>
          <w:p w14:paraId="69797561" w14:textId="77777777" w:rsidR="00CE5992" w:rsidRPr="005D4222" w:rsidRDefault="00CE5992" w:rsidP="005D6173">
            <w:pPr>
              <w:pStyle w:val="Dash"/>
              <w:numPr>
                <w:ilvl w:val="0"/>
                <w:numId w:val="69"/>
              </w:numPr>
              <w:tabs>
                <w:tab w:val="left" w:pos="576"/>
                <w:tab w:val="left" w:pos="792"/>
              </w:tabs>
              <w:ind w:left="792" w:hanging="216"/>
            </w:pPr>
            <w:r w:rsidRPr="005D4222">
              <w:t>An outpatient visit with any diagnosis of schizophrenia or schizoaffective disorder (</w:t>
            </w:r>
            <w:r w:rsidRPr="005D4222">
              <w:rPr>
                <w:u w:val="single"/>
              </w:rPr>
              <w:t>Visit Setting Unspecified Value Set</w:t>
            </w:r>
            <w:r w:rsidRPr="005D4222">
              <w:t xml:space="preserve"> </w:t>
            </w:r>
            <w:r w:rsidRPr="005D4222">
              <w:rPr>
                <w:b/>
                <w:i/>
              </w:rPr>
              <w:t>with</w:t>
            </w:r>
            <w:r w:rsidRPr="005D4222">
              <w:t xml:space="preserve"> </w:t>
            </w:r>
            <w:r w:rsidRPr="005D4222">
              <w:rPr>
                <w:u w:val="single"/>
              </w:rPr>
              <w:t>Outpatient POS Value Set</w:t>
            </w:r>
            <w:r w:rsidRPr="005D4222">
              <w:rPr>
                <w:b/>
                <w:i/>
              </w:rPr>
              <w:t xml:space="preserve"> with</w:t>
            </w:r>
            <w:r w:rsidRPr="005D4222">
              <w:t xml:space="preserve"> </w:t>
            </w:r>
            <w:r w:rsidRPr="005D4222">
              <w:rPr>
                <w:u w:val="single"/>
              </w:rPr>
              <w:t>Schizophrenia Value Set</w:t>
            </w:r>
            <w:r w:rsidRPr="005D4222">
              <w:t>).</w:t>
            </w:r>
          </w:p>
          <w:p w14:paraId="73990C29" w14:textId="77777777" w:rsidR="00CE5992" w:rsidRPr="005D4222" w:rsidRDefault="00CE5992" w:rsidP="005D6173">
            <w:pPr>
              <w:pStyle w:val="Dash"/>
              <w:numPr>
                <w:ilvl w:val="0"/>
                <w:numId w:val="69"/>
              </w:numPr>
              <w:tabs>
                <w:tab w:val="left" w:pos="576"/>
                <w:tab w:val="left" w:pos="792"/>
              </w:tabs>
              <w:ind w:left="792" w:hanging="216"/>
            </w:pPr>
            <w:r w:rsidRPr="005D4222">
              <w:t>An outpatient visit with any diagnosis of schizophrenia or schizoaffective disorder (</w:t>
            </w:r>
            <w:r w:rsidRPr="005D4222">
              <w:rPr>
                <w:u w:val="single"/>
              </w:rPr>
              <w:t>BH Outpatient Value Set</w:t>
            </w:r>
            <w:r w:rsidRPr="005D4222">
              <w:t xml:space="preserve"> </w:t>
            </w:r>
            <w:r w:rsidRPr="005D4222">
              <w:rPr>
                <w:b/>
                <w:i/>
              </w:rPr>
              <w:t>with</w:t>
            </w:r>
            <w:r w:rsidRPr="005D4222">
              <w:t xml:space="preserve"> </w:t>
            </w:r>
            <w:r w:rsidRPr="005D4222">
              <w:rPr>
                <w:u w:val="single"/>
              </w:rPr>
              <w:t>Schizophrenia Value Set</w:t>
            </w:r>
            <w:r w:rsidRPr="005D4222">
              <w:t xml:space="preserve">). </w:t>
            </w:r>
          </w:p>
          <w:p w14:paraId="51747FBF" w14:textId="77777777" w:rsidR="00CE5992" w:rsidRPr="005D4222" w:rsidRDefault="00CE5992" w:rsidP="005D6173">
            <w:pPr>
              <w:pStyle w:val="Dash"/>
              <w:numPr>
                <w:ilvl w:val="0"/>
                <w:numId w:val="69"/>
              </w:numPr>
              <w:tabs>
                <w:tab w:val="left" w:pos="576"/>
                <w:tab w:val="left" w:pos="792"/>
              </w:tabs>
              <w:ind w:left="792" w:hanging="216"/>
            </w:pPr>
            <w:r w:rsidRPr="005D4222">
              <w:t>An intensive outpatient encounter or partial hospitalization with any diagnosis of schizophrenia or schizoaffective disorder (</w:t>
            </w:r>
            <w:r w:rsidRPr="005D4222">
              <w:rPr>
                <w:u w:val="single"/>
              </w:rPr>
              <w:t>Visit Setting Unspecified Value Set</w:t>
            </w:r>
            <w:r w:rsidRPr="005D4222">
              <w:t xml:space="preserve"> </w:t>
            </w:r>
            <w:r w:rsidRPr="005D4222">
              <w:rPr>
                <w:b/>
                <w:i/>
              </w:rPr>
              <w:t xml:space="preserve">with </w:t>
            </w:r>
            <w:r w:rsidRPr="005D4222">
              <w:t xml:space="preserve">POS </w:t>
            </w:r>
            <w:r w:rsidRPr="005D4222">
              <w:rPr>
                <w:bCs/>
                <w:iCs/>
              </w:rPr>
              <w:t xml:space="preserve">code </w:t>
            </w:r>
            <w:r w:rsidRPr="005D4222">
              <w:t>52</w:t>
            </w:r>
            <w:r w:rsidRPr="005D4222" w:rsidDel="00A7099A">
              <w:rPr>
                <w:b/>
                <w:i/>
              </w:rPr>
              <w:t xml:space="preserve"> </w:t>
            </w:r>
            <w:r w:rsidRPr="005D4222">
              <w:rPr>
                <w:b/>
                <w:i/>
              </w:rPr>
              <w:t>with</w:t>
            </w:r>
            <w:r w:rsidRPr="005D4222">
              <w:t xml:space="preserve"> </w:t>
            </w:r>
            <w:r w:rsidRPr="005D4222">
              <w:rPr>
                <w:u w:val="single"/>
              </w:rPr>
              <w:t>Schizophrenia Value Set</w:t>
            </w:r>
            <w:r w:rsidRPr="005D4222">
              <w:t xml:space="preserve">). </w:t>
            </w:r>
          </w:p>
          <w:p w14:paraId="7D55B027" w14:textId="77777777" w:rsidR="00CE5992" w:rsidRPr="005D4222" w:rsidRDefault="00CE5992" w:rsidP="005D6173">
            <w:pPr>
              <w:pStyle w:val="Dash"/>
              <w:numPr>
                <w:ilvl w:val="0"/>
                <w:numId w:val="69"/>
              </w:numPr>
              <w:tabs>
                <w:tab w:val="left" w:pos="576"/>
                <w:tab w:val="left" w:pos="792"/>
              </w:tabs>
              <w:ind w:left="792" w:hanging="216"/>
            </w:pPr>
            <w:r w:rsidRPr="005D4222">
              <w:t>An intensive outpatient encounter or partial hospitalization with any diagnosis of schizophrenia or schizoaffective disorder (</w:t>
            </w:r>
            <w:r w:rsidRPr="005D4222">
              <w:rPr>
                <w:u w:val="single"/>
              </w:rPr>
              <w:t>Partial Hospitalization or Intensive Outpatient Value Set</w:t>
            </w:r>
            <w:r w:rsidRPr="005D4222">
              <w:t xml:space="preserve"> </w:t>
            </w:r>
            <w:r w:rsidRPr="005D4222">
              <w:rPr>
                <w:b/>
                <w:i/>
              </w:rPr>
              <w:t>with</w:t>
            </w:r>
            <w:r w:rsidRPr="005D4222">
              <w:t xml:space="preserve"> </w:t>
            </w:r>
            <w:r w:rsidRPr="005D4222">
              <w:rPr>
                <w:u w:val="single"/>
              </w:rPr>
              <w:t>Schizophrenia Value Set</w:t>
            </w:r>
            <w:r w:rsidRPr="005D4222">
              <w:t xml:space="preserve">). </w:t>
            </w:r>
          </w:p>
          <w:p w14:paraId="5B53CC57" w14:textId="77777777" w:rsidR="00CE5992" w:rsidRPr="005D4222" w:rsidRDefault="00CE5992" w:rsidP="005D6173">
            <w:pPr>
              <w:pStyle w:val="Dash"/>
              <w:numPr>
                <w:ilvl w:val="0"/>
                <w:numId w:val="69"/>
              </w:numPr>
              <w:tabs>
                <w:tab w:val="left" w:pos="576"/>
                <w:tab w:val="left" w:pos="792"/>
              </w:tabs>
              <w:ind w:left="792" w:hanging="216"/>
            </w:pPr>
            <w:r w:rsidRPr="005D4222">
              <w:t>A community mental health center visit with any diagnosis of schizophrenia or schizoaffective disorder (</w:t>
            </w:r>
            <w:r w:rsidRPr="005D4222">
              <w:rPr>
                <w:u w:val="single"/>
              </w:rPr>
              <w:t>Visit Setting Unspecified Value Set</w:t>
            </w:r>
            <w:r w:rsidRPr="005D4222">
              <w:t xml:space="preserve"> </w:t>
            </w:r>
            <w:r w:rsidRPr="005D4222">
              <w:rPr>
                <w:b/>
                <w:i/>
              </w:rPr>
              <w:t>with</w:t>
            </w:r>
            <w:r w:rsidRPr="005D4222">
              <w:t xml:space="preserve"> POS code 53 </w:t>
            </w:r>
            <w:r w:rsidRPr="005D4222">
              <w:rPr>
                <w:b/>
                <w:i/>
              </w:rPr>
              <w:t>with</w:t>
            </w:r>
            <w:r w:rsidRPr="005D4222">
              <w:t xml:space="preserve"> </w:t>
            </w:r>
            <w:r w:rsidRPr="005D4222">
              <w:rPr>
                <w:u w:val="single"/>
              </w:rPr>
              <w:t>Schizophrenia Value Set</w:t>
            </w:r>
            <w:r w:rsidRPr="005D4222">
              <w:t xml:space="preserve">). </w:t>
            </w:r>
          </w:p>
          <w:p w14:paraId="38D30F54" w14:textId="77777777" w:rsidR="00CE5992" w:rsidRPr="005D4222" w:rsidRDefault="00CE5992" w:rsidP="005D6173">
            <w:pPr>
              <w:pStyle w:val="Dash"/>
              <w:numPr>
                <w:ilvl w:val="0"/>
                <w:numId w:val="69"/>
              </w:numPr>
              <w:tabs>
                <w:tab w:val="left" w:pos="576"/>
                <w:tab w:val="left" w:pos="792"/>
              </w:tabs>
              <w:ind w:left="792" w:hanging="216"/>
              <w:rPr>
                <w:strike/>
              </w:rPr>
            </w:pPr>
            <w:r w:rsidRPr="005D4222">
              <w:t>Electroconvulsive therapy (</w:t>
            </w:r>
            <w:r w:rsidRPr="005D4222">
              <w:rPr>
                <w:u w:val="single"/>
              </w:rPr>
              <w:t>Electroconvulsive Therapy Value Set</w:t>
            </w:r>
            <w:r w:rsidRPr="005D4222">
              <w:t xml:space="preserve">) </w:t>
            </w:r>
            <w:r w:rsidRPr="005D4222">
              <w:rPr>
                <w:b/>
                <w:i/>
              </w:rPr>
              <w:t>with</w:t>
            </w:r>
            <w:r w:rsidRPr="005D4222">
              <w:t xml:space="preserve"> any diagnosis of schizophrenia or schizoaffective disorder (</w:t>
            </w:r>
            <w:r w:rsidRPr="005D4222">
              <w:rPr>
                <w:u w:val="single"/>
              </w:rPr>
              <w:t>Schizophrenia Value Set</w:t>
            </w:r>
            <w:r w:rsidRPr="005D4222">
              <w:t xml:space="preserve">). </w:t>
            </w:r>
          </w:p>
          <w:p w14:paraId="13FFEEAC" w14:textId="77777777" w:rsidR="00CE5992" w:rsidRPr="005D4222" w:rsidRDefault="00CE5992" w:rsidP="005D6173">
            <w:pPr>
              <w:pStyle w:val="Dash"/>
              <w:numPr>
                <w:ilvl w:val="0"/>
                <w:numId w:val="69"/>
              </w:numPr>
              <w:tabs>
                <w:tab w:val="left" w:pos="576"/>
                <w:tab w:val="left" w:pos="792"/>
              </w:tabs>
              <w:ind w:left="792" w:hanging="216"/>
            </w:pPr>
            <w:r w:rsidRPr="005D4222">
              <w:t>An ED visit (</w:t>
            </w:r>
            <w:r w:rsidRPr="005D4222">
              <w:rPr>
                <w:u w:val="single"/>
              </w:rPr>
              <w:t>ED Value Set</w:t>
            </w:r>
            <w:r w:rsidRPr="005D4222">
              <w:t xml:space="preserve">) </w:t>
            </w:r>
            <w:r w:rsidRPr="005D4222">
              <w:rPr>
                <w:b/>
                <w:i/>
              </w:rPr>
              <w:t>with</w:t>
            </w:r>
            <w:r w:rsidRPr="005D4222">
              <w:t xml:space="preserve"> any diagnosis of schizophrenia or schizoaffective disorder (</w:t>
            </w:r>
            <w:r w:rsidRPr="005D4222">
              <w:rPr>
                <w:u w:val="single"/>
              </w:rPr>
              <w:t>Schizophrenia Value Set</w:t>
            </w:r>
            <w:r w:rsidRPr="005D4222">
              <w:t xml:space="preserve">). </w:t>
            </w:r>
          </w:p>
          <w:p w14:paraId="5C73F833" w14:textId="77777777" w:rsidR="00CE5992" w:rsidRPr="005D4222" w:rsidRDefault="00CE5992" w:rsidP="005D6173">
            <w:pPr>
              <w:pStyle w:val="Dash"/>
              <w:numPr>
                <w:ilvl w:val="0"/>
                <w:numId w:val="69"/>
              </w:numPr>
              <w:tabs>
                <w:tab w:val="left" w:pos="576"/>
                <w:tab w:val="left" w:pos="792"/>
              </w:tabs>
              <w:ind w:left="792" w:hanging="216"/>
            </w:pPr>
            <w:r w:rsidRPr="005D4222">
              <w:t>An ED visit with any diagnosis of schizophrenia or schizoaffective disorder (</w:t>
            </w:r>
            <w:r w:rsidRPr="005D4222">
              <w:rPr>
                <w:u w:val="single"/>
              </w:rPr>
              <w:t>Visit Setting Unspecified Value Set</w:t>
            </w:r>
            <w:r w:rsidRPr="005D4222">
              <w:t xml:space="preserve"> </w:t>
            </w:r>
            <w:r w:rsidRPr="005D4222">
              <w:rPr>
                <w:b/>
                <w:i/>
              </w:rPr>
              <w:t>with</w:t>
            </w:r>
            <w:r w:rsidRPr="005D4222">
              <w:t xml:space="preserve"> POS</w:t>
            </w:r>
            <w:r w:rsidRPr="005D4222" w:rsidDel="00AE5FCD">
              <w:t xml:space="preserve"> </w:t>
            </w:r>
            <w:r w:rsidRPr="005D4222">
              <w:t>code 23</w:t>
            </w:r>
            <w:r w:rsidRPr="005D4222">
              <w:rPr>
                <w:b/>
                <w:i/>
              </w:rPr>
              <w:t xml:space="preserve"> with</w:t>
            </w:r>
            <w:r w:rsidRPr="005D4222">
              <w:t xml:space="preserve"> </w:t>
            </w:r>
            <w:r w:rsidRPr="005D4222">
              <w:rPr>
                <w:u w:val="single"/>
              </w:rPr>
              <w:t>Schizophrenia Value Set</w:t>
            </w:r>
            <w:r w:rsidRPr="005D4222">
              <w:t>).</w:t>
            </w:r>
          </w:p>
          <w:p w14:paraId="6805B3D0" w14:textId="77777777" w:rsidR="00CE5992" w:rsidRPr="005D4222" w:rsidRDefault="00CE5992" w:rsidP="005D6173">
            <w:pPr>
              <w:pStyle w:val="Dash"/>
              <w:numPr>
                <w:ilvl w:val="0"/>
                <w:numId w:val="69"/>
              </w:numPr>
              <w:tabs>
                <w:tab w:val="left" w:pos="576"/>
                <w:tab w:val="left" w:pos="792"/>
              </w:tabs>
              <w:ind w:left="792" w:hanging="216"/>
            </w:pPr>
            <w:r w:rsidRPr="005D4222">
              <w:t>A nonacute inpatient encounter (</w:t>
            </w:r>
            <w:r w:rsidRPr="005D4222">
              <w:rPr>
                <w:u w:val="single"/>
              </w:rPr>
              <w:t>BH Stand Alone Nonacute Inpatient Value Set</w:t>
            </w:r>
            <w:r w:rsidRPr="005D4222">
              <w:t xml:space="preserve">) </w:t>
            </w:r>
            <w:r w:rsidRPr="005D4222">
              <w:rPr>
                <w:b/>
                <w:i/>
              </w:rPr>
              <w:t>with</w:t>
            </w:r>
            <w:r w:rsidRPr="005D4222">
              <w:t xml:space="preserve"> any diagnosis of schizophrenia or schizoaffective disorder (</w:t>
            </w:r>
            <w:r w:rsidRPr="005D4222">
              <w:rPr>
                <w:u w:val="single"/>
              </w:rPr>
              <w:t>Schizophrenia Value Set</w:t>
            </w:r>
            <w:r w:rsidRPr="005D4222">
              <w:t>).</w:t>
            </w:r>
          </w:p>
          <w:p w14:paraId="3DD012FF" w14:textId="77777777" w:rsidR="00CE5992" w:rsidRPr="005D4222" w:rsidRDefault="00CE5992" w:rsidP="005D6173">
            <w:pPr>
              <w:pStyle w:val="Dash"/>
              <w:numPr>
                <w:ilvl w:val="0"/>
                <w:numId w:val="69"/>
              </w:numPr>
              <w:tabs>
                <w:tab w:val="left" w:pos="576"/>
                <w:tab w:val="left" w:pos="792"/>
              </w:tabs>
              <w:ind w:left="792" w:hanging="216"/>
              <w:rPr>
                <w:rFonts w:cs="Arial"/>
                <w:bCs/>
              </w:rPr>
            </w:pPr>
            <w:r w:rsidRPr="005D4222">
              <w:t>A nonacute inpatient encounter with any diagnosis of schizophrenia or schizoaffective disorder (</w:t>
            </w:r>
            <w:r w:rsidRPr="005D4222">
              <w:rPr>
                <w:u w:val="single"/>
              </w:rPr>
              <w:t>Visit Setting Unspecified Value Set</w:t>
            </w:r>
            <w:r w:rsidRPr="005D4222">
              <w:t xml:space="preserve"> </w:t>
            </w:r>
            <w:r w:rsidRPr="005D4222">
              <w:rPr>
                <w:b/>
                <w:i/>
              </w:rPr>
              <w:t>with</w:t>
            </w:r>
            <w:r w:rsidRPr="005D4222">
              <w:t xml:space="preserve"> </w:t>
            </w:r>
            <w:r w:rsidRPr="005D4222">
              <w:rPr>
                <w:u w:val="single"/>
              </w:rPr>
              <w:t>Nonacute Inpatient POS Value Set</w:t>
            </w:r>
            <w:r w:rsidRPr="005D4222">
              <w:t xml:space="preserve"> </w:t>
            </w:r>
            <w:r w:rsidRPr="005D4222">
              <w:rPr>
                <w:b/>
                <w:i/>
              </w:rPr>
              <w:t>with</w:t>
            </w:r>
            <w:r w:rsidRPr="005D4222">
              <w:t xml:space="preserve"> </w:t>
            </w:r>
            <w:r w:rsidRPr="005D4222">
              <w:rPr>
                <w:u w:val="single"/>
              </w:rPr>
              <w:t>Schizophrenia Value Set</w:t>
            </w:r>
            <w:r w:rsidRPr="005D4222">
              <w:t>).</w:t>
            </w:r>
          </w:p>
          <w:p w14:paraId="727591B5" w14:textId="77777777" w:rsidR="00CE5992" w:rsidRPr="005D4222" w:rsidRDefault="00CE5992" w:rsidP="005D6173">
            <w:pPr>
              <w:pStyle w:val="Dash"/>
              <w:numPr>
                <w:ilvl w:val="0"/>
                <w:numId w:val="69"/>
              </w:numPr>
              <w:tabs>
                <w:tab w:val="left" w:pos="576"/>
                <w:tab w:val="left" w:pos="792"/>
              </w:tabs>
              <w:ind w:left="792" w:hanging="216"/>
              <w:rPr>
                <w:rFonts w:cs="Arial"/>
                <w:bCs/>
              </w:rPr>
            </w:pPr>
            <w:r w:rsidRPr="005D4222">
              <w:t>A telehealth visit with any diagnosis of schizophrenia or schizoaffective disorder (</w:t>
            </w:r>
            <w:r w:rsidRPr="005D4222">
              <w:rPr>
                <w:u w:val="single"/>
              </w:rPr>
              <w:t>Visit Setting Unspecified Value Set</w:t>
            </w:r>
            <w:r w:rsidRPr="005D4222">
              <w:t xml:space="preserve"> </w:t>
            </w:r>
            <w:r w:rsidRPr="005D4222">
              <w:rPr>
                <w:b/>
                <w:i/>
              </w:rPr>
              <w:t>with</w:t>
            </w:r>
            <w:r w:rsidRPr="005D4222">
              <w:t xml:space="preserve"> </w:t>
            </w:r>
            <w:r w:rsidRPr="005D4222">
              <w:rPr>
                <w:u w:val="single"/>
              </w:rPr>
              <w:t>Telehealth POS Value Set</w:t>
            </w:r>
            <w:r w:rsidRPr="005D4222">
              <w:rPr>
                <w:b/>
                <w:i/>
              </w:rPr>
              <w:t xml:space="preserve"> with</w:t>
            </w:r>
            <w:r w:rsidRPr="005D4222">
              <w:t xml:space="preserve"> </w:t>
            </w:r>
            <w:r w:rsidRPr="005D4222">
              <w:rPr>
                <w:u w:val="single"/>
              </w:rPr>
              <w:t>Schizophrenia Value Set</w:t>
            </w:r>
            <w:r w:rsidRPr="005D4222">
              <w:t>).</w:t>
            </w:r>
          </w:p>
          <w:p w14:paraId="01B9BFE4" w14:textId="77777777" w:rsidR="00CE5992" w:rsidRPr="004A699E" w:rsidRDefault="00CE5992" w:rsidP="005D6173">
            <w:pPr>
              <w:pStyle w:val="Dash"/>
              <w:numPr>
                <w:ilvl w:val="0"/>
                <w:numId w:val="69"/>
              </w:numPr>
              <w:tabs>
                <w:tab w:val="left" w:pos="576"/>
                <w:tab w:val="left" w:pos="792"/>
              </w:tabs>
              <w:spacing w:before="0" w:after="80"/>
              <w:ind w:left="792" w:hanging="216"/>
              <w:rPr>
                <w:rFonts w:cs="Arial"/>
                <w:bCs/>
              </w:rPr>
            </w:pPr>
            <w:r w:rsidRPr="005D4222">
              <w:t>A telephone visit (</w:t>
            </w:r>
            <w:r w:rsidRPr="005D4222">
              <w:rPr>
                <w:u w:val="single"/>
              </w:rPr>
              <w:t>Telephone Visits Value Set</w:t>
            </w:r>
            <w:r w:rsidRPr="005D4222">
              <w:t xml:space="preserve">) </w:t>
            </w:r>
            <w:r w:rsidRPr="005D4222">
              <w:rPr>
                <w:b/>
                <w:i/>
              </w:rPr>
              <w:t>with</w:t>
            </w:r>
            <w:r w:rsidRPr="005D4222">
              <w:t xml:space="preserve"> any diagnosis of schizophrenia or schizoaffective disorder (</w:t>
            </w:r>
            <w:r w:rsidRPr="005D4222">
              <w:rPr>
                <w:u w:val="single"/>
              </w:rPr>
              <w:t>Schizophrenia Value Set</w:t>
            </w:r>
            <w:r w:rsidRPr="005D4222">
              <w:t>).</w:t>
            </w:r>
          </w:p>
          <w:p w14:paraId="440E8388" w14:textId="2246DC4D" w:rsidR="004A699E" w:rsidRPr="005D4222" w:rsidRDefault="004A699E" w:rsidP="005D6173">
            <w:pPr>
              <w:pStyle w:val="Dash"/>
              <w:numPr>
                <w:ilvl w:val="0"/>
                <w:numId w:val="69"/>
              </w:numPr>
              <w:tabs>
                <w:tab w:val="left" w:pos="576"/>
                <w:tab w:val="left" w:pos="792"/>
              </w:tabs>
              <w:spacing w:before="0" w:after="80"/>
              <w:ind w:left="792" w:hanging="216"/>
              <w:rPr>
                <w:rFonts w:cs="Arial"/>
                <w:bCs/>
              </w:rPr>
            </w:pPr>
            <w:r w:rsidRPr="005D4222">
              <w:t>An e-visit or virtual check-in</w:t>
            </w:r>
            <w:r w:rsidRPr="005D4222" w:rsidDel="00EE3599">
              <w:t xml:space="preserve"> </w:t>
            </w:r>
            <w:r w:rsidRPr="005D4222">
              <w:t>(</w:t>
            </w:r>
            <w:r w:rsidRPr="005D4222">
              <w:rPr>
                <w:u w:val="single"/>
              </w:rPr>
              <w:t>Online Assessments Value Set</w:t>
            </w:r>
            <w:r w:rsidRPr="005D4222">
              <w:t xml:space="preserve">) </w:t>
            </w:r>
            <w:r w:rsidRPr="005D4222">
              <w:rPr>
                <w:b/>
                <w:i/>
              </w:rPr>
              <w:t>with</w:t>
            </w:r>
            <w:r w:rsidRPr="005D4222">
              <w:t xml:space="preserve"> any diagnosis of schizophrenia or schizoaffective disorder (</w:t>
            </w:r>
            <w:r w:rsidRPr="005D4222">
              <w:rPr>
                <w:u w:val="single"/>
              </w:rPr>
              <w:t>Schizophrenia Value Set</w:t>
            </w:r>
            <w:r w:rsidRPr="005D4222">
              <w:t>).</w:t>
            </w:r>
          </w:p>
        </w:tc>
      </w:tr>
      <w:tr w:rsidR="00CE5992" w:rsidRPr="005D4222" w14:paraId="1186B6C4" w14:textId="77777777" w:rsidTr="004A699E">
        <w:tc>
          <w:tcPr>
            <w:tcW w:w="2155" w:type="dxa"/>
            <w:shd w:val="clear" w:color="auto" w:fill="BFBFBF" w:themeFill="background1" w:themeFillShade="BF"/>
            <w:tcMar>
              <w:top w:w="0" w:type="dxa"/>
              <w:left w:w="86" w:type="dxa"/>
              <w:bottom w:w="43" w:type="dxa"/>
              <w:right w:w="86" w:type="dxa"/>
            </w:tcMar>
          </w:tcPr>
          <w:p w14:paraId="46827E04" w14:textId="77777777" w:rsidR="00CE5992" w:rsidRPr="005D4222" w:rsidRDefault="00CE5992">
            <w:pPr>
              <w:pStyle w:val="ECDSMarginHead"/>
            </w:pPr>
            <w:r w:rsidRPr="005D4222">
              <w:lastRenderedPageBreak/>
              <w:t>Denominator exclusions</w:t>
            </w: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tcPr>
          <w:p w14:paraId="17294C2D" w14:textId="77777777" w:rsidR="00CE5992" w:rsidRPr="005D4222" w:rsidRDefault="00CE5992">
            <w:pPr>
              <w:pStyle w:val="ECDSBody"/>
              <w:rPr>
                <w:i/>
                <w:iCs/>
              </w:rPr>
            </w:pPr>
            <w:r w:rsidRPr="005D4222">
              <w:rPr>
                <w:b/>
              </w:rPr>
              <w:t xml:space="preserve">Persons with a date of death. </w:t>
            </w:r>
            <w:r w:rsidRPr="005D4222">
              <w:rPr>
                <w:b/>
              </w:rPr>
              <w:br/>
            </w:r>
            <w:r w:rsidRPr="005D4222">
              <w:t>Death in the measurement period, identified using</w:t>
            </w:r>
            <w:r w:rsidRPr="005D4222">
              <w:rPr>
                <w:rFonts w:eastAsia="Arial,Arial,Arial,Arial,Arial,A"/>
              </w:rPr>
              <w:t xml:space="preserve"> data sources determined by the organization</w:t>
            </w:r>
            <w:r w:rsidRPr="005D4222">
              <w:t xml:space="preserve">. </w:t>
            </w:r>
            <w:r w:rsidRPr="005D4222">
              <w:rPr>
                <w:rFonts w:eastAsia="Arial,Arial,Arial,Arial,Arial,A"/>
              </w:rPr>
              <w:t>Method and data sources are subject to review during the HEDIS audit.</w:t>
            </w:r>
            <w:r w:rsidRPr="005D4222">
              <w:t xml:space="preserve">  </w:t>
            </w:r>
          </w:p>
          <w:p w14:paraId="265C2354" w14:textId="77777777" w:rsidR="00CE5992" w:rsidRPr="005D4222" w:rsidRDefault="00CE5992">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37C42435" w14:textId="77777777" w:rsidR="00CE5992" w:rsidRPr="005D4222" w:rsidRDefault="00CE5992">
            <w:pPr>
              <w:pStyle w:val="ECDSBody"/>
              <w:rPr>
                <w:rStyle w:val="normaltextrun"/>
                <w:kern w:val="24"/>
                <w14:ligatures w14:val="standardContextual"/>
              </w:rPr>
            </w:pPr>
            <w:r w:rsidRPr="005D4222">
              <w:rPr>
                <w:rStyle w:val="normaltextrun"/>
                <w:b/>
                <w:color w:val="000000"/>
                <w:shd w:val="clear" w:color="auto" w:fill="FFFFFF"/>
              </w:rPr>
              <w:t>Medicare enrollees,</w:t>
            </w:r>
            <w:r w:rsidRPr="005D4222" w:rsidDel="00DF435D">
              <w:rPr>
                <w:rStyle w:val="normaltextrun"/>
                <w:b/>
                <w:color w:val="000000"/>
                <w:shd w:val="clear" w:color="auto" w:fill="FFFFFF"/>
              </w:rPr>
              <w:t xml:space="preserve"> </w:t>
            </w:r>
            <w:r w:rsidRPr="005D4222">
              <w:rPr>
                <w:rStyle w:val="normaltextrun"/>
                <w:b/>
                <w:color w:val="000000"/>
                <w:shd w:val="clear" w:color="auto" w:fill="FFFFFF"/>
              </w:rPr>
              <w:t>66 years of age and older by the last day of the measurement period, in an institutional SNP (I-SNP) or living long-term in an institution (LTI).</w:t>
            </w:r>
          </w:p>
          <w:p w14:paraId="7AADE529" w14:textId="77777777" w:rsidR="00CE5992" w:rsidRPr="005D4222" w:rsidRDefault="00CE5992">
            <w:pPr>
              <w:pStyle w:val="ProcessBullet"/>
              <w:rPr>
                <w:rFonts w:cs="Arial"/>
              </w:rPr>
            </w:pPr>
            <w:r w:rsidRPr="005D4222">
              <w:t>Enrolled in an Institutional SNP (I-SNP) any time during the measurement period.</w:t>
            </w:r>
          </w:p>
          <w:p w14:paraId="7C3D42E9" w14:textId="77777777" w:rsidR="00CE5992" w:rsidRPr="005D4222" w:rsidRDefault="00CE5992">
            <w:pPr>
              <w:pStyle w:val="ProcessBullet"/>
              <w:rPr>
                <w:rFonts w:eastAsia="Arial,Arial,Arial,Arial,Arial,A" w:cs="Arial"/>
                <w:bCs/>
              </w:rPr>
            </w:pPr>
            <w:r w:rsidRPr="005D4222">
              <w:t>Living</w:t>
            </w:r>
            <w:r w:rsidRPr="005D4222" w:rsidDel="00C07362">
              <w:t xml:space="preserve"> long-term in an institution</w:t>
            </w:r>
            <w:r w:rsidRPr="005D4222">
              <w:t xml:space="preserve"> any time during the measurement period as identified by the LTI flag in the Monthly Membership Detail Data File. Use the run date of the file to determine if a member had an LTI flag during the measurement period.</w:t>
            </w:r>
          </w:p>
          <w:p w14:paraId="553CEFEF" w14:textId="77777777" w:rsidR="00CE5992" w:rsidRPr="005D4222" w:rsidRDefault="00CE5992">
            <w:pPr>
              <w:pStyle w:val="ECDSBody"/>
              <w:rPr>
                <w:b/>
                <w:bCs w:val="0"/>
              </w:rPr>
            </w:pPr>
            <w:r w:rsidRPr="005D4222">
              <w:rPr>
                <w:b/>
                <w:bCs w:val="0"/>
              </w:rPr>
              <w:t>Persons 66–80 years of age by the last day of the measurement period, with both frailty and advanced illness.</w:t>
            </w:r>
          </w:p>
          <w:p w14:paraId="1DCD9771" w14:textId="77777777" w:rsidR="00CE5992" w:rsidRPr="005D4222" w:rsidRDefault="00CE5992">
            <w:pPr>
              <w:pStyle w:val="Body"/>
              <w:spacing w:before="60" w:after="60"/>
              <w:ind w:left="288" w:hanging="288"/>
              <w:rPr>
                <w:rFonts w:cs="Arial"/>
                <w:u w:val="single"/>
              </w:rPr>
            </w:pPr>
            <w:r w:rsidRPr="005D4222">
              <w:t>1.</w:t>
            </w:r>
            <w:r w:rsidRPr="005D4222">
              <w:rPr>
                <w:b/>
                <w:bCs/>
              </w:rPr>
              <w:tab/>
              <w:t>Frailty.</w:t>
            </w:r>
            <w:r w:rsidRPr="005D4222">
              <w:t xml:space="preserve"> </w:t>
            </w:r>
            <w:r w:rsidRPr="005D4222">
              <w:rPr>
                <w:rFonts w:cs="Arial"/>
              </w:rPr>
              <w:t>At least two indications of frailty (</w:t>
            </w:r>
            <w:r w:rsidRPr="005D4222">
              <w:rPr>
                <w:rFonts w:cs="Arial"/>
                <w:u w:val="single"/>
              </w:rPr>
              <w:t>Frailty Device Value Set</w:t>
            </w:r>
            <w:r w:rsidRPr="005D4222">
              <w:rPr>
                <w:rFonts w:cs="Arial"/>
              </w:rPr>
              <w:t xml:space="preserve">; </w:t>
            </w:r>
            <w:r w:rsidRPr="005D4222">
              <w:rPr>
                <w:rFonts w:cs="Arial"/>
                <w:u w:val="single"/>
              </w:rPr>
              <w:t>Frailty Diagnosis Value Set</w:t>
            </w:r>
            <w:r w:rsidRPr="005D4222">
              <w:rPr>
                <w:rFonts w:cs="Arial"/>
              </w:rPr>
              <w:t xml:space="preserve">*; </w:t>
            </w:r>
            <w:r w:rsidRPr="005D4222">
              <w:rPr>
                <w:rFonts w:cs="Arial"/>
                <w:u w:val="single"/>
              </w:rPr>
              <w:t>Frailty Encounter Value Set</w:t>
            </w:r>
            <w:r w:rsidRPr="005D4222">
              <w:rPr>
                <w:rFonts w:cs="Arial"/>
              </w:rPr>
              <w:t xml:space="preserve">; </w:t>
            </w:r>
            <w:r w:rsidRPr="005D4222">
              <w:rPr>
                <w:rFonts w:cs="Arial"/>
                <w:u w:val="single"/>
              </w:rPr>
              <w:t>Frailty Symptom Value Set</w:t>
            </w:r>
            <w:r w:rsidRPr="005D4222">
              <w:rPr>
                <w:rFonts w:cs="Arial"/>
              </w:rPr>
              <w:t>*) with different dates of service during the measurement period.</w:t>
            </w:r>
          </w:p>
          <w:p w14:paraId="733787F0" w14:textId="77777777" w:rsidR="00CE5992" w:rsidRPr="005D4222" w:rsidRDefault="00CE5992" w:rsidP="002924AD">
            <w:pPr>
              <w:pStyle w:val="Body"/>
              <w:spacing w:before="80"/>
              <w:ind w:left="288" w:hanging="288"/>
              <w:rPr>
                <w:rFonts w:cs="Arial"/>
              </w:rPr>
            </w:pPr>
            <w:r w:rsidRPr="005D4222">
              <w:t>2.</w:t>
            </w:r>
            <w:r w:rsidRPr="005D4222">
              <w:tab/>
            </w:r>
            <w:r w:rsidRPr="005D4222">
              <w:rPr>
                <w:b/>
                <w:bCs/>
              </w:rPr>
              <w:t>Advanced Illness.</w:t>
            </w:r>
            <w:r w:rsidRPr="005D4222">
              <w:t xml:space="preserve"> Either</w:t>
            </w:r>
            <w:r w:rsidRPr="005D4222">
              <w:rPr>
                <w:rFonts w:cs="Arial"/>
              </w:rPr>
              <w:t xml:space="preserve"> of the following during the measurement period or the year prior to the measurement period: </w:t>
            </w:r>
          </w:p>
          <w:p w14:paraId="346703BD" w14:textId="77777777" w:rsidR="00CE5992" w:rsidRPr="005D4222" w:rsidRDefault="00CE5992" w:rsidP="00CE5992">
            <w:pPr>
              <w:pStyle w:val="Dash"/>
              <w:tabs>
                <w:tab w:val="left" w:pos="576"/>
              </w:tabs>
              <w:ind w:left="504"/>
            </w:pPr>
            <w:r w:rsidRPr="005D4222">
              <w:t xml:space="preserve">Advanced illness </w:t>
            </w:r>
            <w:r w:rsidRPr="005D4222">
              <w:rPr>
                <w:rFonts w:cs="Arial"/>
              </w:rPr>
              <w:t>(</w:t>
            </w:r>
            <w:r w:rsidRPr="005D4222">
              <w:rPr>
                <w:rFonts w:cs="Arial"/>
                <w:u w:val="single"/>
              </w:rPr>
              <w:t>Advanced Illness Value Set</w:t>
            </w:r>
            <w:r w:rsidRPr="005D4222">
              <w:rPr>
                <w:rFonts w:cs="Arial"/>
              </w:rPr>
              <w:t>*) on at least two different dates of service.</w:t>
            </w:r>
          </w:p>
          <w:p w14:paraId="6F0745BF" w14:textId="77777777" w:rsidR="00CE5992" w:rsidRPr="005D4222" w:rsidRDefault="00CE5992" w:rsidP="00CE5992">
            <w:pPr>
              <w:pStyle w:val="Dash"/>
              <w:tabs>
                <w:tab w:val="left" w:pos="576"/>
              </w:tabs>
              <w:ind w:left="504"/>
            </w:pPr>
            <w:r w:rsidRPr="005D4222">
              <w:t>Dispensed dementia medication (</w:t>
            </w:r>
            <w:r w:rsidRPr="005D4222">
              <w:rPr>
                <w:u w:val="single"/>
              </w:rPr>
              <w:t>Dementia Medications List</w:t>
            </w:r>
            <w:r w:rsidRPr="005D4222">
              <w:t>).</w:t>
            </w:r>
          </w:p>
          <w:p w14:paraId="281E7518" w14:textId="2DD89B24" w:rsidR="00CE5992" w:rsidRPr="005D4222" w:rsidRDefault="00CE5992" w:rsidP="00675209">
            <w:pPr>
              <w:pStyle w:val="ECDSBody"/>
            </w:pPr>
            <w:r w:rsidRPr="005D4222">
              <w:rPr>
                <w:rFonts w:eastAsia="SymbolMT"/>
                <w:b/>
                <w:bCs w:val="0"/>
              </w:rPr>
              <w:t>Persons 81 years of age</w:t>
            </w:r>
            <w:r w:rsidRPr="005D4222">
              <w:rPr>
                <w:b/>
                <w:bCs w:val="0"/>
              </w:rPr>
              <w:t xml:space="preserve"> and older by the </w:t>
            </w:r>
            <w:r w:rsidR="00FD3FF9" w:rsidRPr="005D4222">
              <w:rPr>
                <w:b/>
                <w:bCs w:val="0"/>
              </w:rPr>
              <w:t>last day</w:t>
            </w:r>
            <w:r w:rsidRPr="005D4222">
              <w:rPr>
                <w:b/>
                <w:bCs w:val="0"/>
              </w:rPr>
              <w:t xml:space="preserve"> of the measurement period,</w:t>
            </w:r>
            <w:r w:rsidRPr="005D4222">
              <w:rPr>
                <w:rFonts w:eastAsia="SymbolMT"/>
                <w:b/>
                <w:bCs w:val="0"/>
              </w:rPr>
              <w:t xml:space="preserve"> with frailty.</w:t>
            </w:r>
            <w:r w:rsidR="00675209" w:rsidRPr="005D4222">
              <w:rPr>
                <w:rFonts w:eastAsia="SymbolMT"/>
                <w:b/>
                <w:bCs w:val="0"/>
              </w:rPr>
              <w:br/>
            </w:r>
            <w:r w:rsidRPr="005D4222">
              <w:rPr>
                <w:rFonts w:ascii="ArialMT" w:eastAsiaTheme="minorEastAsia" w:hAnsi="ArialMT" w:cs="ArialMT"/>
              </w:rPr>
              <w:t xml:space="preserve">At least two indications of </w:t>
            </w:r>
            <w:r w:rsidRPr="005D4222">
              <w:rPr>
                <w:rFonts w:eastAsia="SymbolMT"/>
              </w:rPr>
              <w:t>frailty (</w:t>
            </w:r>
            <w:r w:rsidRPr="005D4222">
              <w:rPr>
                <w:rFonts w:eastAsia="SymbolMT"/>
                <w:u w:val="single"/>
              </w:rPr>
              <w:t xml:space="preserve">Frailty </w:t>
            </w:r>
            <w:r w:rsidRPr="005D4222">
              <w:rPr>
                <w:u w:val="single"/>
              </w:rPr>
              <w:t>Device Value Set</w:t>
            </w:r>
            <w:r w:rsidRPr="005D4222">
              <w:t xml:space="preserve">; </w:t>
            </w:r>
            <w:r w:rsidRPr="005D4222">
              <w:rPr>
                <w:u w:val="single"/>
              </w:rPr>
              <w:t>Frailty Diagnosis Value Set</w:t>
            </w:r>
            <w:r w:rsidRPr="005D4222">
              <w:t xml:space="preserve">*; </w:t>
            </w:r>
            <w:r w:rsidRPr="005D4222">
              <w:rPr>
                <w:u w:val="single"/>
              </w:rPr>
              <w:t>Frailty Encounter Value Set</w:t>
            </w:r>
            <w:r w:rsidRPr="005D4222">
              <w:t xml:space="preserve">; </w:t>
            </w:r>
            <w:r w:rsidRPr="005D4222">
              <w:rPr>
                <w:u w:val="single"/>
              </w:rPr>
              <w:t xml:space="preserve">Frailty Symptom </w:t>
            </w:r>
            <w:r w:rsidRPr="005D4222">
              <w:rPr>
                <w:rFonts w:eastAsia="SymbolMT"/>
                <w:u w:val="single"/>
              </w:rPr>
              <w:t>Value Set</w:t>
            </w:r>
            <w:r w:rsidRPr="005D4222">
              <w:t>*</w:t>
            </w:r>
            <w:r w:rsidRPr="005D4222">
              <w:rPr>
                <w:rFonts w:eastAsia="SymbolMT"/>
              </w:rPr>
              <w:t xml:space="preserve">), </w:t>
            </w:r>
            <w:r w:rsidRPr="005D4222">
              <w:rPr>
                <w:rFonts w:ascii="ArialMT" w:eastAsiaTheme="minorEastAsia" w:hAnsi="ArialMT" w:cs="ArialMT"/>
              </w:rPr>
              <w:t xml:space="preserve">with different dates of service </w:t>
            </w:r>
            <w:r w:rsidRPr="005D4222">
              <w:rPr>
                <w:rFonts w:eastAsia="SymbolMT"/>
              </w:rPr>
              <w:t xml:space="preserve">during the measurement period. </w:t>
            </w:r>
          </w:p>
          <w:p w14:paraId="337EF32F" w14:textId="77777777" w:rsidR="00CE5992" w:rsidRPr="005D4222" w:rsidRDefault="00CE5992">
            <w:pPr>
              <w:pStyle w:val="ECDSBody"/>
            </w:pPr>
            <w:r w:rsidRPr="005D4222">
              <w:rPr>
                <w:b/>
                <w:bCs w:val="0"/>
              </w:rPr>
              <w:t>Persons with dementia.</w:t>
            </w:r>
            <w:r w:rsidRPr="005D4222">
              <w:rPr>
                <w:b/>
                <w:bCs w:val="0"/>
              </w:rPr>
              <w:br/>
            </w:r>
            <w:r w:rsidRPr="005D4222">
              <w:t>A diagnosis of dementia (</w:t>
            </w:r>
            <w:r w:rsidRPr="005D4222">
              <w:rPr>
                <w:u w:val="single"/>
              </w:rPr>
              <w:t>Dementia Value Set</w:t>
            </w:r>
            <w:r w:rsidRPr="005D4222">
              <w:t xml:space="preserve">*) during the measurement period. </w:t>
            </w:r>
          </w:p>
          <w:p w14:paraId="28442745" w14:textId="77777777" w:rsidR="00CE5992" w:rsidRPr="005D4222" w:rsidRDefault="00CE5992">
            <w:pPr>
              <w:pStyle w:val="ECDSBody"/>
            </w:pPr>
            <w:r w:rsidRPr="005D4222">
              <w:rPr>
                <w:b/>
                <w:bCs w:val="0"/>
              </w:rPr>
              <w:t xml:space="preserve">Persons who </w:t>
            </w:r>
            <w:r w:rsidRPr="005D4222">
              <w:rPr>
                <w:b/>
                <w:bCs w:val="0"/>
                <w:i/>
                <w:iCs/>
              </w:rPr>
              <w:t>did not</w:t>
            </w:r>
            <w:r w:rsidRPr="005D4222">
              <w:rPr>
                <w:b/>
                <w:bCs w:val="0"/>
              </w:rPr>
              <w:t xml:space="preserve"> have at least two antipsychotic medication dispensing events. </w:t>
            </w:r>
            <w:r w:rsidRPr="005D4222">
              <w:rPr>
                <w:b/>
                <w:bCs w:val="0"/>
              </w:rPr>
              <w:br/>
            </w:r>
            <w:r w:rsidRPr="005D4222">
              <w:t>Either of the following meets criteria:</w:t>
            </w:r>
          </w:p>
          <w:p w14:paraId="59A349B2" w14:textId="77777777" w:rsidR="00CE5992" w:rsidRPr="005D4222" w:rsidRDefault="00CE5992" w:rsidP="00CE5992">
            <w:pPr>
              <w:pStyle w:val="Bullet"/>
              <w:numPr>
                <w:ilvl w:val="0"/>
                <w:numId w:val="4"/>
              </w:numPr>
              <w:tabs>
                <w:tab w:val="left" w:pos="360"/>
                <w:tab w:val="left" w:pos="576"/>
              </w:tabs>
              <w:spacing w:after="80"/>
              <w:ind w:left="576" w:hanging="216"/>
            </w:pPr>
            <w:r w:rsidRPr="005D4222">
              <w:rPr>
                <w:i/>
                <w:iCs/>
              </w:rPr>
              <w:t>Claim/encounter data.</w:t>
            </w:r>
            <w:r w:rsidRPr="005D4222">
              <w:t xml:space="preserve"> An antipsychotic medication (</w:t>
            </w:r>
            <w:r w:rsidRPr="005D4222" w:rsidDel="00D27B5D">
              <w:t xml:space="preserve">HCPCS code </w:t>
            </w:r>
            <w:r w:rsidRPr="005D4222">
              <w:t xml:space="preserve">J2798; </w:t>
            </w:r>
            <w:r w:rsidRPr="005D4222">
              <w:rPr>
                <w:u w:val="single"/>
              </w:rPr>
              <w:t>Long Acting Injections 14 Days Supply Value Set</w:t>
            </w:r>
            <w:r w:rsidRPr="005D4222">
              <w:t xml:space="preserve">; </w:t>
            </w:r>
            <w:r w:rsidRPr="005D4222">
              <w:rPr>
                <w:u w:val="single"/>
              </w:rPr>
              <w:t>Long Acting Injections 28 Days Supply Value Set</w:t>
            </w:r>
            <w:r w:rsidRPr="005D4222">
              <w:t>).</w:t>
            </w:r>
          </w:p>
          <w:p w14:paraId="684F2461" w14:textId="77777777" w:rsidR="00CE5992" w:rsidRPr="005D4222" w:rsidRDefault="00CE5992" w:rsidP="00FB0334">
            <w:pPr>
              <w:pStyle w:val="Bullet"/>
              <w:numPr>
                <w:ilvl w:val="0"/>
                <w:numId w:val="4"/>
              </w:numPr>
              <w:tabs>
                <w:tab w:val="left" w:pos="360"/>
                <w:tab w:val="left" w:pos="576"/>
              </w:tabs>
              <w:spacing w:before="120" w:after="80"/>
              <w:ind w:left="576" w:hanging="216"/>
              <w:rPr>
                <w:i/>
                <w:iCs/>
              </w:rPr>
            </w:pPr>
            <w:r w:rsidRPr="005D4222">
              <w:rPr>
                <w:i/>
                <w:iCs/>
              </w:rPr>
              <w:t>Pharmacy data.</w:t>
            </w:r>
            <w:r w:rsidRPr="005D4222">
              <w:t xml:space="preserve"> Dispensed an antipsychotic medication. Use all the medication lists in the Oral Antipsychotic Medications and Long-Acting Injections tables below to identify antipsychotic medication dispensing events.</w:t>
            </w:r>
          </w:p>
          <w:p w14:paraId="3F337A99" w14:textId="77777777" w:rsidR="00CE5992" w:rsidRPr="005D4222" w:rsidRDefault="00CE5992" w:rsidP="004A699E">
            <w:pPr>
              <w:pStyle w:val="Heading3"/>
              <w:spacing w:before="180"/>
            </w:pPr>
            <w:r w:rsidRPr="005D4222">
              <w:lastRenderedPageBreak/>
              <w:t xml:space="preserve">Oral Antipsychotic Medications </w:t>
            </w:r>
          </w:p>
          <w:tbl>
            <w:tblPr>
              <w:tblStyle w:val="TableGrid"/>
              <w:tblW w:w="0" w:type="auto"/>
              <w:tblLook w:val="04A0" w:firstRow="1" w:lastRow="0" w:firstColumn="1" w:lastColumn="0" w:noHBand="0" w:noVBand="1"/>
            </w:tblPr>
            <w:tblGrid>
              <w:gridCol w:w="3236"/>
              <w:gridCol w:w="4055"/>
            </w:tblGrid>
            <w:tr w:rsidR="00CE5992" w:rsidRPr="005D4222" w14:paraId="10409BE0" w14:textId="77777777">
              <w:tc>
                <w:tcPr>
                  <w:tcW w:w="3236" w:type="dxa"/>
                  <w:tcBorders>
                    <w:right w:val="nil"/>
                  </w:tcBorders>
                  <w:tcMar>
                    <w:left w:w="58" w:type="dxa"/>
                    <w:right w:w="58" w:type="dxa"/>
                  </w:tcMar>
                </w:tcPr>
                <w:p w14:paraId="34F325DC" w14:textId="77777777" w:rsidR="00CE5992" w:rsidRPr="005D4222" w:rsidRDefault="00CE5992">
                  <w:pPr>
                    <w:pStyle w:val="TableText"/>
                    <w:rPr>
                      <w:u w:val="single"/>
                    </w:rPr>
                  </w:pPr>
                  <w:r w:rsidRPr="005D4222">
                    <w:rPr>
                      <w:u w:val="single"/>
                    </w:rPr>
                    <w:t>Aripiprazole Oral Medications List</w:t>
                  </w:r>
                </w:p>
                <w:p w14:paraId="6F004070" w14:textId="77777777" w:rsidR="00CE5992" w:rsidRPr="005D4222" w:rsidRDefault="00CE5992">
                  <w:pPr>
                    <w:pStyle w:val="TableText"/>
                    <w:rPr>
                      <w:u w:val="single"/>
                    </w:rPr>
                  </w:pPr>
                  <w:r w:rsidRPr="005D4222">
                    <w:rPr>
                      <w:u w:val="single"/>
                    </w:rPr>
                    <w:t>Asenapine Oral Medications List</w:t>
                  </w:r>
                </w:p>
                <w:p w14:paraId="77B4E885" w14:textId="77777777" w:rsidR="00CE5992" w:rsidRPr="005D4222" w:rsidRDefault="00CE5992">
                  <w:pPr>
                    <w:pStyle w:val="TableText"/>
                    <w:rPr>
                      <w:u w:val="single"/>
                    </w:rPr>
                  </w:pPr>
                  <w:r w:rsidRPr="005D4222">
                    <w:rPr>
                      <w:u w:val="single"/>
                    </w:rPr>
                    <w:t>Brexpiprazole Oral Medications List</w:t>
                  </w:r>
                </w:p>
                <w:p w14:paraId="72491C71" w14:textId="77777777" w:rsidR="00CE5992" w:rsidRPr="005D4222" w:rsidRDefault="00CE5992">
                  <w:pPr>
                    <w:pStyle w:val="TableText"/>
                    <w:rPr>
                      <w:u w:val="single"/>
                    </w:rPr>
                  </w:pPr>
                  <w:r w:rsidRPr="005D4222">
                    <w:rPr>
                      <w:u w:val="single"/>
                    </w:rPr>
                    <w:t>Cariprazine Oral Medications List</w:t>
                  </w:r>
                </w:p>
                <w:p w14:paraId="79D50B11" w14:textId="77777777" w:rsidR="00CE5992" w:rsidRPr="005D4222" w:rsidRDefault="00CE5992">
                  <w:pPr>
                    <w:pStyle w:val="TableText"/>
                    <w:rPr>
                      <w:u w:val="single"/>
                    </w:rPr>
                  </w:pPr>
                  <w:r w:rsidRPr="005D4222">
                    <w:rPr>
                      <w:u w:val="single"/>
                    </w:rPr>
                    <w:t>Clozapine Oral Medications List</w:t>
                  </w:r>
                </w:p>
                <w:p w14:paraId="7D167A4B" w14:textId="77777777" w:rsidR="00CE5992" w:rsidRPr="005D4222" w:rsidRDefault="00CE5992">
                  <w:pPr>
                    <w:pStyle w:val="TableText"/>
                    <w:rPr>
                      <w:u w:val="single"/>
                    </w:rPr>
                  </w:pPr>
                  <w:r w:rsidRPr="005D4222">
                    <w:rPr>
                      <w:u w:val="single"/>
                    </w:rPr>
                    <w:t>Haloperidol Oral Medications List</w:t>
                  </w:r>
                </w:p>
                <w:p w14:paraId="625E7778" w14:textId="77777777" w:rsidR="00CE5992" w:rsidRPr="005D4222" w:rsidRDefault="00CE5992">
                  <w:pPr>
                    <w:pStyle w:val="TableText"/>
                    <w:rPr>
                      <w:u w:val="single"/>
                    </w:rPr>
                  </w:pPr>
                  <w:r w:rsidRPr="005D4222">
                    <w:rPr>
                      <w:u w:val="single"/>
                    </w:rPr>
                    <w:t>Iloperidone Oral Medications List</w:t>
                  </w:r>
                </w:p>
                <w:p w14:paraId="5D1A29E8" w14:textId="77777777" w:rsidR="00CE5992" w:rsidRPr="005D4222" w:rsidRDefault="00CE5992">
                  <w:pPr>
                    <w:pStyle w:val="TableText"/>
                    <w:rPr>
                      <w:u w:val="single"/>
                    </w:rPr>
                  </w:pPr>
                  <w:r w:rsidRPr="005D4222">
                    <w:rPr>
                      <w:u w:val="single"/>
                    </w:rPr>
                    <w:t>Loxapine Oral Medications List</w:t>
                  </w:r>
                </w:p>
                <w:p w14:paraId="4FC69806" w14:textId="77777777" w:rsidR="00CE5992" w:rsidRPr="005D4222" w:rsidRDefault="00CE5992">
                  <w:pPr>
                    <w:pStyle w:val="TableText"/>
                    <w:rPr>
                      <w:u w:val="single"/>
                    </w:rPr>
                  </w:pPr>
                  <w:r w:rsidRPr="005D4222">
                    <w:rPr>
                      <w:u w:val="single"/>
                    </w:rPr>
                    <w:t>Lumateperone Oral Medications List</w:t>
                  </w:r>
                </w:p>
                <w:p w14:paraId="10C309DB" w14:textId="77777777" w:rsidR="00CE5992" w:rsidRPr="005D4222" w:rsidRDefault="00CE5992">
                  <w:pPr>
                    <w:pStyle w:val="TableText"/>
                    <w:rPr>
                      <w:u w:val="single"/>
                    </w:rPr>
                  </w:pPr>
                  <w:r w:rsidRPr="005D4222">
                    <w:rPr>
                      <w:u w:val="single"/>
                    </w:rPr>
                    <w:t>Lurasidone Oral Medications List</w:t>
                  </w:r>
                </w:p>
                <w:p w14:paraId="255DCAB6" w14:textId="77777777" w:rsidR="00CE5992" w:rsidRPr="005D4222" w:rsidRDefault="00CE5992">
                  <w:pPr>
                    <w:pStyle w:val="TableText"/>
                    <w:rPr>
                      <w:u w:val="single"/>
                    </w:rPr>
                  </w:pPr>
                  <w:r w:rsidRPr="005D4222">
                    <w:rPr>
                      <w:u w:val="single"/>
                    </w:rPr>
                    <w:t>Molindone Oral Medications List</w:t>
                  </w:r>
                </w:p>
                <w:p w14:paraId="1A366BC8" w14:textId="77777777" w:rsidR="00CE5992" w:rsidRPr="005D4222" w:rsidRDefault="00CE5992">
                  <w:pPr>
                    <w:pStyle w:val="TableText"/>
                    <w:rPr>
                      <w:u w:val="single"/>
                    </w:rPr>
                  </w:pPr>
                  <w:r w:rsidRPr="005D4222">
                    <w:rPr>
                      <w:u w:val="single"/>
                    </w:rPr>
                    <w:t>Olanzapine Oral Medications List</w:t>
                  </w:r>
                </w:p>
              </w:tc>
              <w:tc>
                <w:tcPr>
                  <w:tcW w:w="4055" w:type="dxa"/>
                  <w:tcBorders>
                    <w:left w:val="nil"/>
                  </w:tcBorders>
                  <w:tcMar>
                    <w:left w:w="58" w:type="dxa"/>
                    <w:right w:w="58" w:type="dxa"/>
                  </w:tcMar>
                </w:tcPr>
                <w:p w14:paraId="34D18BF5" w14:textId="77777777" w:rsidR="00CE5992" w:rsidRPr="005D4222" w:rsidRDefault="00CE5992">
                  <w:pPr>
                    <w:pStyle w:val="TableText"/>
                    <w:rPr>
                      <w:u w:val="single"/>
                    </w:rPr>
                  </w:pPr>
                  <w:r w:rsidRPr="005D4222">
                    <w:rPr>
                      <w:u w:val="single"/>
                    </w:rPr>
                    <w:t>Paliperidone Oral Medications List</w:t>
                  </w:r>
                </w:p>
                <w:p w14:paraId="65F30799" w14:textId="77777777" w:rsidR="00CE5992" w:rsidRPr="005D4222" w:rsidRDefault="00CE5992">
                  <w:pPr>
                    <w:pStyle w:val="TableText"/>
                    <w:rPr>
                      <w:u w:val="single"/>
                    </w:rPr>
                  </w:pPr>
                  <w:r w:rsidRPr="005D4222">
                    <w:rPr>
                      <w:u w:val="single"/>
                    </w:rPr>
                    <w:t>Quetiapine Oral Medications List</w:t>
                  </w:r>
                </w:p>
                <w:p w14:paraId="3777715E" w14:textId="77777777" w:rsidR="00CE5992" w:rsidRPr="005D4222" w:rsidRDefault="00CE5992">
                  <w:pPr>
                    <w:pStyle w:val="TableText"/>
                    <w:rPr>
                      <w:u w:val="single"/>
                    </w:rPr>
                  </w:pPr>
                  <w:r w:rsidRPr="005D4222">
                    <w:rPr>
                      <w:u w:val="single"/>
                    </w:rPr>
                    <w:t>Risperidone Oral Medications List</w:t>
                  </w:r>
                </w:p>
                <w:p w14:paraId="7C44F57E" w14:textId="77777777" w:rsidR="00CE5992" w:rsidRPr="005D4222" w:rsidRDefault="00CE5992">
                  <w:pPr>
                    <w:pStyle w:val="TableText"/>
                    <w:rPr>
                      <w:u w:val="single"/>
                    </w:rPr>
                  </w:pPr>
                  <w:r w:rsidRPr="005D4222">
                    <w:rPr>
                      <w:u w:val="single"/>
                    </w:rPr>
                    <w:t>Ziprasidone Oral Medications List</w:t>
                  </w:r>
                </w:p>
                <w:p w14:paraId="7C8AD483" w14:textId="77777777" w:rsidR="00CE5992" w:rsidRPr="005D4222" w:rsidRDefault="00CE5992">
                  <w:pPr>
                    <w:pStyle w:val="TableText"/>
                    <w:rPr>
                      <w:u w:val="single"/>
                    </w:rPr>
                  </w:pPr>
                  <w:r w:rsidRPr="005D4222">
                    <w:rPr>
                      <w:u w:val="single"/>
                    </w:rPr>
                    <w:t>Chlorpromazine Oral Medications List</w:t>
                  </w:r>
                </w:p>
                <w:p w14:paraId="75079B99" w14:textId="77777777" w:rsidR="00CE5992" w:rsidRPr="005D4222" w:rsidRDefault="00CE5992">
                  <w:pPr>
                    <w:pStyle w:val="TableText"/>
                    <w:rPr>
                      <w:u w:val="single"/>
                    </w:rPr>
                  </w:pPr>
                  <w:r w:rsidRPr="005D4222">
                    <w:rPr>
                      <w:u w:val="single"/>
                    </w:rPr>
                    <w:t>Fluphenazine Oral Medications List</w:t>
                  </w:r>
                </w:p>
                <w:p w14:paraId="3FE94015" w14:textId="77777777" w:rsidR="00CE5992" w:rsidRPr="005D4222" w:rsidRDefault="00CE5992">
                  <w:pPr>
                    <w:pStyle w:val="TableText"/>
                    <w:rPr>
                      <w:u w:val="single"/>
                    </w:rPr>
                  </w:pPr>
                  <w:r w:rsidRPr="005D4222">
                    <w:rPr>
                      <w:u w:val="single"/>
                    </w:rPr>
                    <w:t>Perphenazine Oral Medications List</w:t>
                  </w:r>
                </w:p>
                <w:p w14:paraId="724C3713" w14:textId="77777777" w:rsidR="00CE5992" w:rsidRPr="005D4222" w:rsidRDefault="00CE5992">
                  <w:pPr>
                    <w:pStyle w:val="TableText"/>
                    <w:rPr>
                      <w:u w:val="single"/>
                    </w:rPr>
                  </w:pPr>
                  <w:r w:rsidRPr="005D4222">
                    <w:rPr>
                      <w:u w:val="single"/>
                    </w:rPr>
                    <w:t>Prochlorperazine Oral Medications List</w:t>
                  </w:r>
                </w:p>
                <w:p w14:paraId="70E9BEBF" w14:textId="77777777" w:rsidR="00CE5992" w:rsidRPr="005D4222" w:rsidRDefault="00CE5992">
                  <w:pPr>
                    <w:pStyle w:val="TableText"/>
                    <w:rPr>
                      <w:u w:val="single"/>
                    </w:rPr>
                  </w:pPr>
                  <w:r w:rsidRPr="005D4222">
                    <w:rPr>
                      <w:u w:val="single"/>
                    </w:rPr>
                    <w:t>Thioridazine Oral Medications List</w:t>
                  </w:r>
                </w:p>
                <w:p w14:paraId="5247A67D" w14:textId="77777777" w:rsidR="00CE5992" w:rsidRPr="005D4222" w:rsidRDefault="00CE5992">
                  <w:pPr>
                    <w:pStyle w:val="TableText"/>
                    <w:rPr>
                      <w:u w:val="single"/>
                    </w:rPr>
                  </w:pPr>
                  <w:r w:rsidRPr="005D4222">
                    <w:rPr>
                      <w:u w:val="single"/>
                    </w:rPr>
                    <w:t>Trifluoperazine Oral Medications List</w:t>
                  </w:r>
                </w:p>
                <w:p w14:paraId="21CAE20D" w14:textId="77777777" w:rsidR="00CE5992" w:rsidRPr="005D4222" w:rsidRDefault="00CE5992">
                  <w:pPr>
                    <w:pStyle w:val="TableText"/>
                    <w:rPr>
                      <w:u w:val="single"/>
                    </w:rPr>
                  </w:pPr>
                  <w:r w:rsidRPr="005D4222">
                    <w:rPr>
                      <w:u w:val="single"/>
                    </w:rPr>
                    <w:t>Amitriptyline Perphenazine Oral Medications List</w:t>
                  </w:r>
                </w:p>
                <w:p w14:paraId="7F4EE1FD" w14:textId="77777777" w:rsidR="00CE5992" w:rsidRPr="005D4222" w:rsidRDefault="00CE5992">
                  <w:pPr>
                    <w:pStyle w:val="TableText"/>
                    <w:rPr>
                      <w:u w:val="single"/>
                    </w:rPr>
                  </w:pPr>
                  <w:r w:rsidRPr="005D4222">
                    <w:rPr>
                      <w:u w:val="single"/>
                    </w:rPr>
                    <w:t>Thiothixene Oral Medications List</w:t>
                  </w:r>
                </w:p>
              </w:tc>
            </w:tr>
          </w:tbl>
          <w:p w14:paraId="765BFFE9" w14:textId="77777777" w:rsidR="00CE5992" w:rsidRPr="005D4222" w:rsidRDefault="00CE5992" w:rsidP="00CE5992">
            <w:pPr>
              <w:pStyle w:val="TableHead"/>
              <w:spacing w:before="120"/>
              <w:jc w:val="left"/>
              <w:rPr>
                <w:b w:val="0"/>
                <w:i/>
                <w:szCs w:val="18"/>
              </w:rPr>
            </w:pPr>
            <w:r w:rsidRPr="005D4222">
              <w:rPr>
                <w:i/>
                <w:color w:val="auto"/>
              </w:rPr>
              <w:t>Long-Acting Injections</w:t>
            </w:r>
          </w:p>
          <w:tbl>
            <w:tblPr>
              <w:tblW w:w="72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5"/>
              <w:gridCol w:w="4026"/>
            </w:tblGrid>
            <w:tr w:rsidR="00CE5992" w:rsidRPr="005D4222" w14:paraId="4627E91F" w14:textId="77777777">
              <w:trPr>
                <w:cantSplit/>
              </w:trPr>
              <w:tc>
                <w:tcPr>
                  <w:tcW w:w="3265" w:type="dxa"/>
                  <w:tcBorders>
                    <w:right w:val="nil"/>
                  </w:tcBorders>
                </w:tcPr>
                <w:p w14:paraId="427592A4" w14:textId="77777777" w:rsidR="00CE5992" w:rsidRPr="005D4222" w:rsidRDefault="00CE5992">
                  <w:pPr>
                    <w:pStyle w:val="TableText"/>
                    <w:rPr>
                      <w:u w:val="single"/>
                    </w:rPr>
                  </w:pPr>
                  <w:r w:rsidRPr="005D4222">
                    <w:rPr>
                      <w:u w:val="single"/>
                    </w:rPr>
                    <w:t>Long Acting Injections 14 Days Supply Medications List</w:t>
                  </w:r>
                </w:p>
                <w:p w14:paraId="3387874E" w14:textId="77777777" w:rsidR="00CE5992" w:rsidRPr="005D4222" w:rsidRDefault="00CE5992">
                  <w:pPr>
                    <w:pStyle w:val="TableText"/>
                    <w:rPr>
                      <w:u w:val="single"/>
                    </w:rPr>
                  </w:pPr>
                  <w:r w:rsidRPr="005D4222">
                    <w:rPr>
                      <w:u w:val="single"/>
                    </w:rPr>
                    <w:t>Long Acting Injections 28 Days Supply Medications List</w:t>
                  </w:r>
                </w:p>
                <w:p w14:paraId="715E7A20" w14:textId="77777777" w:rsidR="00CE5992" w:rsidRPr="005D4222" w:rsidRDefault="00CE5992">
                  <w:pPr>
                    <w:pStyle w:val="TableText"/>
                    <w:rPr>
                      <w:u w:val="single"/>
                    </w:rPr>
                  </w:pPr>
                  <w:r w:rsidRPr="005D4222">
                    <w:rPr>
                      <w:u w:val="single"/>
                    </w:rPr>
                    <w:t>Long Acting Injections 30 Days Supply Medications List</w:t>
                  </w:r>
                </w:p>
              </w:tc>
              <w:tc>
                <w:tcPr>
                  <w:tcW w:w="4026" w:type="dxa"/>
                  <w:tcBorders>
                    <w:left w:val="nil"/>
                  </w:tcBorders>
                </w:tcPr>
                <w:p w14:paraId="507FFFB5" w14:textId="77777777" w:rsidR="00CE5992" w:rsidRPr="005D4222" w:rsidRDefault="00CE5992">
                  <w:pPr>
                    <w:pStyle w:val="TableText"/>
                    <w:rPr>
                      <w:u w:val="single"/>
                    </w:rPr>
                  </w:pPr>
                  <w:r w:rsidRPr="005D4222">
                    <w:rPr>
                      <w:u w:val="single"/>
                    </w:rPr>
                    <w:t>Long Acting Injections 35 Days Supply Medications List</w:t>
                  </w:r>
                </w:p>
                <w:p w14:paraId="598193C0" w14:textId="77777777" w:rsidR="00CE5992" w:rsidRPr="005D4222" w:rsidRDefault="00CE5992">
                  <w:pPr>
                    <w:pStyle w:val="TableText"/>
                    <w:rPr>
                      <w:u w:val="single"/>
                    </w:rPr>
                  </w:pPr>
                  <w:r w:rsidRPr="005D4222">
                    <w:rPr>
                      <w:u w:val="single"/>
                    </w:rPr>
                    <w:t>Long Acting Injections 104 Days Supply Medications List</w:t>
                  </w:r>
                </w:p>
                <w:p w14:paraId="5B0E1426" w14:textId="77777777" w:rsidR="00CE5992" w:rsidRPr="005D4222" w:rsidRDefault="00CE5992">
                  <w:pPr>
                    <w:pStyle w:val="TableText"/>
                    <w:rPr>
                      <w:u w:val="single"/>
                    </w:rPr>
                  </w:pPr>
                  <w:r w:rsidRPr="005D4222">
                    <w:rPr>
                      <w:u w:val="single"/>
                    </w:rPr>
                    <w:t>Long Acting Injections 201 Days Supply Medications List</w:t>
                  </w:r>
                </w:p>
              </w:tc>
            </w:tr>
          </w:tbl>
          <w:p w14:paraId="042712A5" w14:textId="77777777" w:rsidR="00CE5992" w:rsidRPr="005D4222" w:rsidRDefault="00CE5992">
            <w:pPr>
              <w:pStyle w:val="ECDSBody"/>
              <w:spacing w:after="0"/>
              <w:rPr>
                <w:b/>
                <w:bCs w:val="0"/>
              </w:rPr>
            </w:pPr>
            <w:r w:rsidRPr="005D4222">
              <w:rPr>
                <w:b/>
                <w:bCs w:val="0"/>
              </w:rPr>
              <w:t>Coding Guidance</w:t>
            </w:r>
          </w:p>
          <w:p w14:paraId="6A03093F" w14:textId="77777777" w:rsidR="00CE5992" w:rsidRPr="005D4222" w:rsidRDefault="00CE5992">
            <w:pPr>
              <w:pStyle w:val="ProcessBullet"/>
              <w:numPr>
                <w:ilvl w:val="0"/>
                <w:numId w:val="0"/>
              </w:numPr>
              <w:spacing w:before="0" w:after="80"/>
              <w:rPr>
                <w:i/>
                <w:iCs/>
              </w:rPr>
            </w:pPr>
            <w:r w:rsidRPr="005D4222">
              <w:t>*Do not include laboratory claims (claims with POS code 81).</w:t>
            </w:r>
          </w:p>
        </w:tc>
      </w:tr>
      <w:tr w:rsidR="00CE5992" w:rsidRPr="005D4222" w14:paraId="32B49406" w14:textId="77777777" w:rsidTr="004A699E">
        <w:tc>
          <w:tcPr>
            <w:tcW w:w="2155"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81E40DC" w14:textId="77777777" w:rsidR="00CE5992" w:rsidRPr="005D4222" w:rsidRDefault="00CE5992">
            <w:pPr>
              <w:pStyle w:val="ECDSMarginHead"/>
            </w:pPr>
            <w:r w:rsidRPr="005D4222">
              <w:lastRenderedPageBreak/>
              <w:t>Denominator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BAB38F3" w14:textId="77777777" w:rsidR="00CE5992" w:rsidRPr="005D4222" w:rsidRDefault="00CE5992">
            <w:pPr>
              <w:pStyle w:val="ECDSBody"/>
            </w:pPr>
            <w:r w:rsidRPr="005D4222">
              <w:t>The initial population minus denominator exclusions.</w:t>
            </w:r>
          </w:p>
        </w:tc>
      </w:tr>
      <w:tr w:rsidR="00CE5992" w:rsidRPr="005D4222" w14:paraId="3312D950" w14:textId="77777777" w:rsidTr="004A699E">
        <w:tc>
          <w:tcPr>
            <w:tcW w:w="2155"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49F8A89" w14:textId="77777777" w:rsidR="00CE5992" w:rsidRPr="005D4222" w:rsidRDefault="00CE5992">
            <w:pPr>
              <w:pStyle w:val="ECDSMarginHead"/>
            </w:pPr>
            <w:r w:rsidRPr="005D4222">
              <w:t>Numerator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7929A3E" w14:textId="77777777" w:rsidR="00CE5992" w:rsidRPr="005D4222" w:rsidRDefault="00CE5992">
            <w:pPr>
              <w:pStyle w:val="ECDSBody"/>
              <w:rPr>
                <w:rFonts w:ascii="Arial Narrow" w:hAnsi="Arial Narrow"/>
              </w:rPr>
            </w:pPr>
            <w:r w:rsidRPr="005D4222">
              <w:rPr>
                <w:b/>
                <w:bCs w:val="0"/>
              </w:rPr>
              <w:t>Persons who achieved a PDC of at least 80% for their antipsychotic medications during the measurement period.</w:t>
            </w:r>
            <w:r w:rsidRPr="005D4222">
              <w:rPr>
                <w:rFonts w:ascii="Arial Narrow" w:hAnsi="Arial Narrow"/>
                <w:b/>
                <w:bCs w:val="0"/>
              </w:rPr>
              <w:t xml:space="preserve"> </w:t>
            </w:r>
            <w:r w:rsidRPr="005D4222">
              <w:rPr>
                <w:rFonts w:ascii="Arial Narrow" w:hAnsi="Arial Narrow"/>
                <w:b/>
                <w:bCs w:val="0"/>
              </w:rPr>
              <w:br/>
            </w:r>
            <w:r w:rsidRPr="005D4222">
              <w:t>Follow the steps below to identify numerator compliance. Use</w:t>
            </w:r>
            <w:r w:rsidRPr="005D4222" w:rsidDel="00CB6020">
              <w:t xml:space="preserve"> </w:t>
            </w:r>
            <w:r w:rsidRPr="005D4222">
              <w:t xml:space="preserve">HCPCS code J2798, </w:t>
            </w:r>
            <w:r w:rsidRPr="005D4222">
              <w:rPr>
                <w:u w:val="single"/>
              </w:rPr>
              <w:t>Long Acting Injections 14 Days Supply Value Set</w:t>
            </w:r>
            <w:r w:rsidRPr="005D4222">
              <w:t xml:space="preserve">, </w:t>
            </w:r>
            <w:r w:rsidRPr="005D4222">
              <w:rPr>
                <w:u w:val="single"/>
              </w:rPr>
              <w:t>Long Acting Injections 28 Days Supply Value Set</w:t>
            </w:r>
            <w:r w:rsidRPr="005D4222" w:rsidDel="00654EAA">
              <w:t xml:space="preserve"> a</w:t>
            </w:r>
            <w:r w:rsidRPr="005D4222">
              <w:t>nd all the medication lists in the Oral Antipsychotic Medications and Long-Acting Injections tables above to identify antipsychotic medication dispensing events.</w:t>
            </w:r>
          </w:p>
          <w:p w14:paraId="1E33E24A" w14:textId="77777777" w:rsidR="00CE5992" w:rsidRPr="005D4222" w:rsidRDefault="00CE5992">
            <w:pPr>
              <w:pStyle w:val="ECDSBody"/>
            </w:pPr>
            <w:r w:rsidRPr="005D4222">
              <w:rPr>
                <w:b/>
              </w:rPr>
              <w:t>Step 1.</w:t>
            </w:r>
            <w:r w:rsidRPr="005D4222">
              <w:t xml:space="preserve"> Identify the IPSD.  </w:t>
            </w:r>
          </w:p>
          <w:p w14:paraId="477CF957" w14:textId="77777777" w:rsidR="00CE5992" w:rsidRPr="005D4222" w:rsidRDefault="00CE5992">
            <w:pPr>
              <w:pStyle w:val="ECDSBody"/>
            </w:pPr>
            <w:r w:rsidRPr="005D4222">
              <w:rPr>
                <w:b/>
              </w:rPr>
              <w:t>Step 2.</w:t>
            </w:r>
            <w:r w:rsidRPr="005D4222">
              <w:rPr>
                <w:b/>
                <w:bCs w:val="0"/>
              </w:rPr>
              <w:t xml:space="preserve"> </w:t>
            </w:r>
            <w:r w:rsidRPr="005D4222">
              <w:t>Determine the treatment period.</w:t>
            </w:r>
          </w:p>
          <w:p w14:paraId="20764AE2" w14:textId="77777777" w:rsidR="00CE5992" w:rsidRPr="005D4222" w:rsidRDefault="00CE5992">
            <w:pPr>
              <w:pStyle w:val="ECDSBody"/>
            </w:pPr>
            <w:r w:rsidRPr="005D4222">
              <w:rPr>
                <w:b/>
              </w:rPr>
              <w:t>Step 3.</w:t>
            </w:r>
            <w:r w:rsidRPr="005D4222">
              <w:rPr>
                <w:b/>
                <w:bCs w:val="0"/>
              </w:rPr>
              <w:t xml:space="preserve"> </w:t>
            </w:r>
            <w:r w:rsidRPr="005D4222">
              <w:t>Count the days covered by at least one antipsychotic medications during the treatment period. To ensure that days supply that extend beyond the measurement period are not counted, subtract any days supply that extends beyond December 31 of the measurement period.</w:t>
            </w:r>
          </w:p>
          <w:p w14:paraId="2D2CAA11" w14:textId="77777777" w:rsidR="00CE5992" w:rsidRDefault="00CE5992" w:rsidP="00675209">
            <w:pPr>
              <w:pStyle w:val="ECDSBody"/>
            </w:pPr>
            <w:r w:rsidRPr="005D4222">
              <w:rPr>
                <w:b/>
              </w:rPr>
              <w:t>Step 4.</w:t>
            </w:r>
            <w:r w:rsidRPr="005D4222">
              <w:t xml:space="preserve"> Calculate the person’s PDC using the following equation. Multiply the equation by 100 and round (using the</w:t>
            </w:r>
            <w:r w:rsidR="00F63996" w:rsidRPr="005D4222">
              <w:t xml:space="preserve"> </w:t>
            </w:r>
            <w:r w:rsidRPr="005D4222">
              <w:t xml:space="preserve">.5 rule) to the nearest whole number. </w:t>
            </w:r>
          </w:p>
          <w:p w14:paraId="3311205A" w14:textId="1B616C3D" w:rsidR="004A699E" w:rsidRPr="004A699E" w:rsidRDefault="004A699E" w:rsidP="00675209">
            <w:pPr>
              <w:pStyle w:val="Bullet"/>
              <w:numPr>
                <w:ilvl w:val="0"/>
                <w:numId w:val="4"/>
              </w:numPr>
              <w:tabs>
                <w:tab w:val="left" w:pos="360"/>
                <w:tab w:val="left" w:pos="576"/>
              </w:tabs>
              <w:spacing w:after="80"/>
              <w:ind w:left="576" w:hanging="216"/>
              <w:rPr>
                <w:rFonts w:eastAsia="Arial,Arial,Arial,Arial,Arial,A"/>
                <w:color w:val="000000" w:themeColor="text1"/>
              </w:rPr>
            </w:pPr>
            <w:r w:rsidRPr="005D4222">
              <w:rPr>
                <w:i/>
                <w:iCs/>
              </w:rPr>
              <w:t>For example,</w:t>
            </w:r>
            <w:r w:rsidRPr="005D4222">
              <w:t xml:space="preserve"> if </w:t>
            </w:r>
            <w:r w:rsidRPr="005D4222" w:rsidDel="00415C57">
              <w:t xml:space="preserve">a person has </w:t>
            </w:r>
            <w:r w:rsidRPr="005D4222">
              <w:t>291 total days covered by a medication during a 365-day treatment period, this calculates to 0.7972. Multiply this number by 100, convert it to 79.72% and round it to 80%, the nearest whole number.</w:t>
            </w:r>
          </w:p>
        </w:tc>
      </w:tr>
      <w:tr w:rsidR="00EB78C0" w:rsidRPr="005D4222" w14:paraId="0E463BA9" w14:textId="77777777" w:rsidTr="004A699E">
        <w:tc>
          <w:tcPr>
            <w:tcW w:w="2155"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BE3E468" w14:textId="77777777" w:rsidR="00EB78C0" w:rsidRPr="005D4222" w:rsidRDefault="00EB78C0">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9D17A7C" w14:textId="77777777" w:rsidR="00EB78C0" w:rsidRPr="005D4222" w:rsidRDefault="00EB78C0" w:rsidP="004A699E">
            <w:pPr>
              <w:pStyle w:val="ECDSBody"/>
              <w:pBdr>
                <w:bottom w:val="single" w:sz="4" w:space="1" w:color="auto"/>
              </w:pBdr>
              <w:jc w:val="center"/>
            </w:pPr>
            <w:r w:rsidRPr="005D4222">
              <w:t>Total Days Covered by an Antipsychotic Medication in the Treatment Period (step 3)</w:t>
            </w:r>
          </w:p>
          <w:p w14:paraId="145495BB" w14:textId="77777777" w:rsidR="00EB78C0" w:rsidRPr="005D4222" w:rsidRDefault="00EB78C0" w:rsidP="00EB78C0">
            <w:pPr>
              <w:pStyle w:val="ECDSBody"/>
              <w:jc w:val="center"/>
            </w:pPr>
            <w:r w:rsidRPr="005D4222">
              <w:t>Total Days in Treatment Period (step 2)</w:t>
            </w:r>
          </w:p>
          <w:p w14:paraId="30BE4412" w14:textId="0C00E0A2" w:rsidR="00EB78C0" w:rsidRPr="005D4222" w:rsidRDefault="00EB78C0" w:rsidP="00EB78C0">
            <w:pPr>
              <w:pStyle w:val="ECDSBody"/>
              <w:rPr>
                <w:b/>
                <w:bCs w:val="0"/>
              </w:rPr>
            </w:pPr>
            <w:r w:rsidRPr="005D4222">
              <w:rPr>
                <w:b/>
              </w:rPr>
              <w:t>Step 5.</w:t>
            </w:r>
            <w:r w:rsidRPr="005D4222">
              <w:t xml:space="preserve"> Sum the number of persons whose PDC is ≥80% for their treatment period.</w:t>
            </w:r>
          </w:p>
        </w:tc>
      </w:tr>
      <w:tr w:rsidR="00CE5992" w:rsidRPr="005D4222" w14:paraId="3ECFE546" w14:textId="77777777" w:rsidTr="004A699E">
        <w:tc>
          <w:tcPr>
            <w:tcW w:w="2155"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527A9E0" w14:textId="77777777" w:rsidR="00CE5992" w:rsidRPr="005D4222" w:rsidRDefault="00CE5992">
            <w:pPr>
              <w:pStyle w:val="ECDSMarginHead"/>
            </w:pPr>
            <w:r w:rsidRPr="005D4222">
              <w:t>Summary of changes</w:t>
            </w: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0DACF216" w14:textId="77777777" w:rsidR="00CE5992" w:rsidRPr="005D4222" w:rsidRDefault="00CE5992">
            <w:pPr>
              <w:pStyle w:val="ProcessBullet"/>
              <w:spacing w:before="120"/>
              <w:rPr>
                <w:rFonts w:cs="Arial"/>
                <w:b/>
                <w:bCs/>
              </w:rPr>
            </w:pPr>
            <w:r w:rsidRPr="005D4222">
              <w:rPr>
                <w:rFonts w:cs="Arial"/>
              </w:rPr>
              <w:t>No changes to this measure.</w:t>
            </w:r>
          </w:p>
        </w:tc>
      </w:tr>
      <w:tr w:rsidR="00CE5992" w:rsidRPr="005D4222" w14:paraId="69AC3DCD" w14:textId="77777777" w:rsidTr="004A699E">
        <w:tc>
          <w:tcPr>
            <w:tcW w:w="2155"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89B7982" w14:textId="77777777" w:rsidR="00CE5992" w:rsidRPr="005D4222" w:rsidRDefault="00CE5992">
            <w:pPr>
              <w:pStyle w:val="ECDS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F914A38" w14:textId="77777777" w:rsidR="00CE5992" w:rsidRPr="005D4222" w:rsidDel="00D76DAC" w:rsidRDefault="00CE5992">
            <w:pPr>
              <w:pStyle w:val="ECDSBody"/>
            </w:pPr>
            <w:r w:rsidRPr="005D4222">
              <w:t>Organizations that submit HEDIS data to NCQA must provide the following data elements.</w:t>
            </w:r>
          </w:p>
          <w:p w14:paraId="53D8FF97" w14:textId="77777777" w:rsidR="00CE5992" w:rsidRPr="005D4222" w:rsidRDefault="00CE5992">
            <w:pPr>
              <w:pStyle w:val="Heading3"/>
              <w:spacing w:before="120"/>
            </w:pPr>
            <w:r w:rsidRPr="005D4222">
              <w:t>Table SAA-1/2/3:</w:t>
            </w:r>
            <w:r w:rsidRPr="005D4222">
              <w:tab/>
              <w:t>Data Elements for Adherence to Antipsychotic Medications for Individuals With Schizophrenia</w:t>
            </w:r>
          </w:p>
          <w:tbl>
            <w:tblPr>
              <w:tblW w:w="735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26"/>
              <w:gridCol w:w="2441"/>
              <w:gridCol w:w="1584"/>
            </w:tblGrid>
            <w:tr w:rsidR="00CE5992" w:rsidRPr="005D4222" w14:paraId="329C888F" w14:textId="77777777">
              <w:tc>
                <w:tcPr>
                  <w:tcW w:w="3326"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tcPr>
                <w:p w14:paraId="46D21501" w14:textId="77777777" w:rsidR="00CE5992" w:rsidRPr="005D4222" w:rsidRDefault="00CE5992">
                  <w:pPr>
                    <w:pStyle w:val="TableHead"/>
                  </w:pPr>
                  <w:r w:rsidRPr="005D4222">
                    <w:t>Metric</w:t>
                  </w:r>
                </w:p>
              </w:tc>
              <w:tc>
                <w:tcPr>
                  <w:tcW w:w="2441"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Pr>
                <w:p w14:paraId="047C9657" w14:textId="77777777" w:rsidR="00CE5992" w:rsidRPr="005D4222" w:rsidRDefault="00CE5992">
                  <w:pPr>
                    <w:spacing w:before="40" w:after="40" w:line="216" w:lineRule="auto"/>
                    <w:jc w:val="center"/>
                    <w:rPr>
                      <w:rFonts w:ascii="Arial Narrow" w:hAnsi="Arial Narrow"/>
                      <w:b/>
                    </w:rPr>
                  </w:pPr>
                  <w:r w:rsidRPr="005D4222">
                    <w:rPr>
                      <w:rFonts w:ascii="Arial Narrow" w:hAnsi="Arial Narrow"/>
                      <w:b/>
                    </w:rPr>
                    <w:t>Data Element</w:t>
                  </w:r>
                </w:p>
              </w:tc>
              <w:tc>
                <w:tcPr>
                  <w:tcW w:w="1584"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tcPr>
                <w:p w14:paraId="3AA04C51" w14:textId="77777777" w:rsidR="00CE5992" w:rsidRPr="005D4222" w:rsidRDefault="00CE5992">
                  <w:pPr>
                    <w:spacing w:before="40" w:after="40" w:line="216" w:lineRule="auto"/>
                    <w:jc w:val="center"/>
                    <w:rPr>
                      <w:rFonts w:ascii="Arial Narrow" w:hAnsi="Arial Narrow"/>
                      <w:b/>
                    </w:rPr>
                  </w:pPr>
                  <w:r w:rsidRPr="005D4222">
                    <w:rPr>
                      <w:rFonts w:ascii="Arial Narrow" w:hAnsi="Arial Narrow"/>
                      <w:b/>
                    </w:rPr>
                    <w:t>Reporting Instructions</w:t>
                  </w:r>
                </w:p>
              </w:tc>
            </w:tr>
            <w:tr w:rsidR="00CE5992" w:rsidRPr="005D4222" w14:paraId="583C2FED" w14:textId="77777777">
              <w:tc>
                <w:tcPr>
                  <w:tcW w:w="3326" w:type="dxa"/>
                  <w:tcBorders>
                    <w:top w:val="single" w:sz="4" w:space="0" w:color="000000" w:themeColor="text1"/>
                    <w:left w:val="single" w:sz="4" w:space="0" w:color="auto"/>
                    <w:bottom w:val="single" w:sz="4" w:space="0" w:color="auto"/>
                    <w:right w:val="single" w:sz="4" w:space="0" w:color="auto"/>
                  </w:tcBorders>
                </w:tcPr>
                <w:p w14:paraId="3A2F9437" w14:textId="77777777" w:rsidR="00CE5992" w:rsidRPr="005D4222" w:rsidRDefault="00CE5992">
                  <w:pPr>
                    <w:pStyle w:val="TableText"/>
                  </w:pPr>
                  <w:r w:rsidRPr="005D4222">
                    <w:t>AdherenceAntipsychoticsSchizophrenia</w:t>
                  </w:r>
                </w:p>
              </w:tc>
              <w:tc>
                <w:tcPr>
                  <w:tcW w:w="2441" w:type="dxa"/>
                  <w:tcBorders>
                    <w:top w:val="single" w:sz="4" w:space="0" w:color="000000" w:themeColor="text1"/>
                    <w:left w:val="single" w:sz="4" w:space="0" w:color="auto"/>
                    <w:bottom w:val="single" w:sz="4" w:space="0" w:color="auto"/>
                    <w:right w:val="single" w:sz="4" w:space="0" w:color="auto"/>
                  </w:tcBorders>
                </w:tcPr>
                <w:p w14:paraId="4E55D9A5" w14:textId="77777777" w:rsidR="00CE5992" w:rsidRPr="005D4222" w:rsidRDefault="00CE5992">
                  <w:pPr>
                    <w:pStyle w:val="TableText"/>
                  </w:pPr>
                  <w:r w:rsidRPr="005D4222">
                    <w:t>Benefit</w:t>
                  </w:r>
                </w:p>
              </w:tc>
              <w:tc>
                <w:tcPr>
                  <w:tcW w:w="1584" w:type="dxa"/>
                  <w:tcBorders>
                    <w:top w:val="single" w:sz="4" w:space="0" w:color="000000" w:themeColor="text1"/>
                    <w:left w:val="single" w:sz="4" w:space="0" w:color="auto"/>
                    <w:bottom w:val="single" w:sz="6" w:space="0" w:color="auto"/>
                    <w:right w:val="single" w:sz="4" w:space="0" w:color="auto"/>
                  </w:tcBorders>
                </w:tcPr>
                <w:p w14:paraId="4E8B7CB6" w14:textId="77777777" w:rsidR="00CE5992" w:rsidRPr="005D4222" w:rsidRDefault="00CE5992">
                  <w:pPr>
                    <w:pStyle w:val="TableText"/>
                    <w:rPr>
                      <w:rFonts w:eastAsia="Wingdings"/>
                    </w:rPr>
                  </w:pPr>
                  <w:r w:rsidRPr="005D4222">
                    <w:rPr>
                      <w:rFonts w:eastAsia="Wingdings"/>
                    </w:rPr>
                    <w:t>Metadata</w:t>
                  </w:r>
                </w:p>
              </w:tc>
            </w:tr>
            <w:tr w:rsidR="00CE5992" w:rsidRPr="005D4222" w14:paraId="2F905B5A" w14:textId="77777777">
              <w:tc>
                <w:tcPr>
                  <w:tcW w:w="3326" w:type="dxa"/>
                  <w:tcBorders>
                    <w:top w:val="single" w:sz="4" w:space="0" w:color="auto"/>
                    <w:left w:val="nil"/>
                    <w:bottom w:val="nil"/>
                    <w:right w:val="single" w:sz="4" w:space="0" w:color="auto"/>
                  </w:tcBorders>
                  <w:shd w:val="clear" w:color="auto" w:fill="FFFFFF" w:themeFill="background1"/>
                </w:tcPr>
                <w:p w14:paraId="180780D3" w14:textId="77777777" w:rsidR="00CE5992" w:rsidRPr="005D4222" w:rsidRDefault="00CE5992">
                  <w:pPr>
                    <w:pStyle w:val="TableText"/>
                  </w:pPr>
                </w:p>
              </w:tc>
              <w:tc>
                <w:tcPr>
                  <w:tcW w:w="2441" w:type="dxa"/>
                  <w:tcBorders>
                    <w:top w:val="single" w:sz="4" w:space="0" w:color="auto"/>
                    <w:left w:val="single" w:sz="4" w:space="0" w:color="auto"/>
                    <w:bottom w:val="single" w:sz="4" w:space="0" w:color="auto"/>
                    <w:right w:val="single" w:sz="4" w:space="0" w:color="auto"/>
                  </w:tcBorders>
                  <w:shd w:val="clear" w:color="auto" w:fill="FFFFFF" w:themeFill="background1"/>
                </w:tcPr>
                <w:p w14:paraId="72E5DD71" w14:textId="77777777" w:rsidR="00CE5992" w:rsidRPr="005D4222" w:rsidRDefault="00CE5992">
                  <w:pPr>
                    <w:pStyle w:val="TableText"/>
                  </w:pPr>
                  <w:r w:rsidRPr="005D4222">
                    <w:t xml:space="preserve">InitialPopulation </w:t>
                  </w:r>
                </w:p>
              </w:tc>
              <w:tc>
                <w:tcPr>
                  <w:tcW w:w="1584" w:type="dxa"/>
                  <w:tcBorders>
                    <w:left w:val="single" w:sz="4" w:space="0" w:color="auto"/>
                    <w:right w:val="single" w:sz="4" w:space="0" w:color="auto"/>
                  </w:tcBorders>
                  <w:shd w:val="clear" w:color="auto" w:fill="FFFFFF" w:themeFill="background1"/>
                </w:tcPr>
                <w:p w14:paraId="776D1A21" w14:textId="77777777" w:rsidR="00CE5992" w:rsidRPr="005D4222" w:rsidRDefault="00CE5992">
                  <w:pPr>
                    <w:pStyle w:val="TableText"/>
                    <w:rPr>
                      <w:rFonts w:eastAsia="Wingdings"/>
                    </w:rPr>
                  </w:pPr>
                  <w:r w:rsidRPr="005D4222">
                    <w:rPr>
                      <w:rFonts w:eastAsia="Wingdings"/>
                    </w:rPr>
                    <w:t>Report once</w:t>
                  </w:r>
                </w:p>
              </w:tc>
            </w:tr>
            <w:tr w:rsidR="00CE5992" w:rsidRPr="005D4222" w14:paraId="394EDC5D" w14:textId="77777777">
              <w:tc>
                <w:tcPr>
                  <w:tcW w:w="3326" w:type="dxa"/>
                  <w:tcBorders>
                    <w:top w:val="nil"/>
                    <w:left w:val="nil"/>
                    <w:bottom w:val="nil"/>
                    <w:right w:val="single" w:sz="4" w:space="0" w:color="auto"/>
                  </w:tcBorders>
                  <w:shd w:val="clear" w:color="auto" w:fill="FFFFFF" w:themeFill="background1"/>
                </w:tcPr>
                <w:p w14:paraId="500D4CCF" w14:textId="77777777" w:rsidR="00CE5992" w:rsidRPr="005D4222" w:rsidRDefault="00CE5992">
                  <w:pPr>
                    <w:pStyle w:val="TableText"/>
                  </w:pPr>
                </w:p>
              </w:tc>
              <w:tc>
                <w:tcPr>
                  <w:tcW w:w="2441" w:type="dxa"/>
                  <w:tcBorders>
                    <w:top w:val="single" w:sz="4" w:space="0" w:color="auto"/>
                    <w:left w:val="single" w:sz="4" w:space="0" w:color="auto"/>
                    <w:bottom w:val="single" w:sz="4" w:space="0" w:color="auto"/>
                    <w:right w:val="single" w:sz="4" w:space="0" w:color="auto"/>
                  </w:tcBorders>
                  <w:shd w:val="clear" w:color="auto" w:fill="FFFFFF" w:themeFill="background1"/>
                </w:tcPr>
                <w:p w14:paraId="2948751F" w14:textId="77777777" w:rsidR="00CE5992" w:rsidRPr="005D4222" w:rsidRDefault="00CE5992">
                  <w:pPr>
                    <w:pStyle w:val="TableText"/>
                  </w:pPr>
                  <w:r w:rsidRPr="005D4222">
                    <w:t>Exclusions</w:t>
                  </w:r>
                </w:p>
              </w:tc>
              <w:tc>
                <w:tcPr>
                  <w:tcW w:w="1584" w:type="dxa"/>
                  <w:tcBorders>
                    <w:left w:val="single" w:sz="4" w:space="0" w:color="auto"/>
                    <w:bottom w:val="single" w:sz="6" w:space="0" w:color="auto"/>
                    <w:right w:val="single" w:sz="4" w:space="0" w:color="auto"/>
                  </w:tcBorders>
                  <w:shd w:val="clear" w:color="auto" w:fill="FFFFFF" w:themeFill="background1"/>
                </w:tcPr>
                <w:p w14:paraId="5BC1EA85" w14:textId="77777777" w:rsidR="00CE5992" w:rsidRPr="005D4222" w:rsidRDefault="00CE5992">
                  <w:pPr>
                    <w:pStyle w:val="TableText"/>
                    <w:rPr>
                      <w:rFonts w:eastAsia="Wingdings"/>
                    </w:rPr>
                  </w:pPr>
                  <w:r w:rsidRPr="005D4222">
                    <w:rPr>
                      <w:rFonts w:eastAsia="Wingdings"/>
                    </w:rPr>
                    <w:t>Report once</w:t>
                  </w:r>
                </w:p>
              </w:tc>
            </w:tr>
            <w:tr w:rsidR="00CE5992" w:rsidRPr="005D4222" w14:paraId="00A9E006" w14:textId="77777777">
              <w:tc>
                <w:tcPr>
                  <w:tcW w:w="3326" w:type="dxa"/>
                  <w:tcBorders>
                    <w:top w:val="nil"/>
                    <w:left w:val="nil"/>
                    <w:bottom w:val="nil"/>
                    <w:right w:val="single" w:sz="4" w:space="0" w:color="auto"/>
                  </w:tcBorders>
                  <w:shd w:val="clear" w:color="auto" w:fill="FFFFFF" w:themeFill="background1"/>
                </w:tcPr>
                <w:p w14:paraId="2168B2C7" w14:textId="77777777" w:rsidR="00CE5992" w:rsidRPr="005D4222" w:rsidRDefault="00CE5992">
                  <w:pPr>
                    <w:pStyle w:val="TableText"/>
                  </w:pPr>
                </w:p>
              </w:tc>
              <w:tc>
                <w:tcPr>
                  <w:tcW w:w="2441" w:type="dxa"/>
                  <w:tcBorders>
                    <w:top w:val="single" w:sz="4" w:space="0" w:color="auto"/>
                    <w:left w:val="single" w:sz="4" w:space="0" w:color="auto"/>
                    <w:bottom w:val="single" w:sz="4" w:space="0" w:color="auto"/>
                    <w:right w:val="single" w:sz="4" w:space="0" w:color="auto"/>
                  </w:tcBorders>
                  <w:shd w:val="clear" w:color="auto" w:fill="FFFFFF" w:themeFill="background1"/>
                </w:tcPr>
                <w:p w14:paraId="489F51B6" w14:textId="77777777" w:rsidR="00CE5992" w:rsidRPr="005D4222" w:rsidRDefault="00CE5992">
                  <w:pPr>
                    <w:pStyle w:val="TableText"/>
                  </w:pPr>
                  <w:r w:rsidRPr="005D4222">
                    <w:t>Denominator</w:t>
                  </w:r>
                </w:p>
              </w:tc>
              <w:tc>
                <w:tcPr>
                  <w:tcW w:w="1584" w:type="dxa"/>
                  <w:tcBorders>
                    <w:left w:val="single" w:sz="4" w:space="0" w:color="auto"/>
                    <w:bottom w:val="single" w:sz="6" w:space="0" w:color="auto"/>
                    <w:right w:val="single" w:sz="4" w:space="0" w:color="auto"/>
                  </w:tcBorders>
                  <w:shd w:val="clear" w:color="auto" w:fill="FFFFFF" w:themeFill="background1"/>
                </w:tcPr>
                <w:p w14:paraId="230E8FA8" w14:textId="77777777" w:rsidR="00CE5992" w:rsidRPr="005D4222" w:rsidRDefault="00CE5992">
                  <w:pPr>
                    <w:pStyle w:val="TableText"/>
                    <w:rPr>
                      <w:rFonts w:eastAsia="Wingdings"/>
                    </w:rPr>
                  </w:pPr>
                  <w:r w:rsidRPr="005D4222">
                    <w:rPr>
                      <w:rFonts w:eastAsia="Wingdings"/>
                    </w:rPr>
                    <w:t>Report once</w:t>
                  </w:r>
                </w:p>
              </w:tc>
            </w:tr>
            <w:tr w:rsidR="00CE5992" w:rsidRPr="005D4222" w14:paraId="34F9049A" w14:textId="77777777">
              <w:tc>
                <w:tcPr>
                  <w:tcW w:w="3326" w:type="dxa"/>
                  <w:tcBorders>
                    <w:top w:val="nil"/>
                    <w:left w:val="nil"/>
                    <w:bottom w:val="nil"/>
                    <w:right w:val="single" w:sz="4" w:space="0" w:color="auto"/>
                  </w:tcBorders>
                  <w:shd w:val="clear" w:color="auto" w:fill="FFFFFF" w:themeFill="background1"/>
                </w:tcPr>
                <w:p w14:paraId="1003FE4E" w14:textId="77777777" w:rsidR="00CE5992" w:rsidRPr="005D4222" w:rsidRDefault="00CE5992">
                  <w:pPr>
                    <w:pStyle w:val="TableText"/>
                  </w:pPr>
                </w:p>
              </w:tc>
              <w:tc>
                <w:tcPr>
                  <w:tcW w:w="2441" w:type="dxa"/>
                  <w:tcBorders>
                    <w:top w:val="single" w:sz="4" w:space="0" w:color="auto"/>
                    <w:left w:val="single" w:sz="4" w:space="0" w:color="auto"/>
                    <w:bottom w:val="single" w:sz="4" w:space="0" w:color="auto"/>
                    <w:right w:val="single" w:sz="4" w:space="0" w:color="auto"/>
                  </w:tcBorders>
                  <w:shd w:val="clear" w:color="auto" w:fill="FFFFFF" w:themeFill="background1"/>
                </w:tcPr>
                <w:p w14:paraId="043FABB1" w14:textId="77777777" w:rsidR="00CE5992" w:rsidRPr="005D4222" w:rsidRDefault="00CE5992">
                  <w:pPr>
                    <w:pStyle w:val="TableText"/>
                  </w:pPr>
                  <w:r w:rsidRPr="005D4222">
                    <w:t>NumeratorByAdmin</w:t>
                  </w:r>
                </w:p>
              </w:tc>
              <w:tc>
                <w:tcPr>
                  <w:tcW w:w="1584" w:type="dxa"/>
                  <w:tcBorders>
                    <w:left w:val="single" w:sz="4" w:space="0" w:color="auto"/>
                    <w:bottom w:val="single" w:sz="6" w:space="0" w:color="auto"/>
                    <w:right w:val="single" w:sz="4" w:space="0" w:color="auto"/>
                  </w:tcBorders>
                  <w:shd w:val="clear" w:color="auto" w:fill="FFFFFF" w:themeFill="background1"/>
                </w:tcPr>
                <w:p w14:paraId="19AA4A81" w14:textId="77777777" w:rsidR="00CE5992" w:rsidRPr="005D4222" w:rsidRDefault="00CE5992">
                  <w:pPr>
                    <w:pStyle w:val="TableText"/>
                    <w:rPr>
                      <w:rFonts w:eastAsia="Wingdings"/>
                    </w:rPr>
                  </w:pPr>
                  <w:r w:rsidRPr="005D4222">
                    <w:rPr>
                      <w:rFonts w:eastAsia="Wingdings"/>
                    </w:rPr>
                    <w:t>Report once</w:t>
                  </w:r>
                </w:p>
              </w:tc>
            </w:tr>
            <w:tr w:rsidR="00CE5992" w:rsidRPr="005D4222" w14:paraId="376A0FA0" w14:textId="77777777">
              <w:tc>
                <w:tcPr>
                  <w:tcW w:w="3326" w:type="dxa"/>
                  <w:tcBorders>
                    <w:top w:val="nil"/>
                    <w:left w:val="nil"/>
                    <w:bottom w:val="nil"/>
                    <w:right w:val="single" w:sz="4" w:space="0" w:color="auto"/>
                  </w:tcBorders>
                  <w:shd w:val="clear" w:color="auto" w:fill="FFFFFF" w:themeFill="background1"/>
                </w:tcPr>
                <w:p w14:paraId="50325FF3" w14:textId="77777777" w:rsidR="00CE5992" w:rsidRPr="005D4222" w:rsidRDefault="00CE5992">
                  <w:pPr>
                    <w:pStyle w:val="TableText"/>
                  </w:pPr>
                </w:p>
              </w:tc>
              <w:tc>
                <w:tcPr>
                  <w:tcW w:w="2441" w:type="dxa"/>
                  <w:tcBorders>
                    <w:top w:val="single" w:sz="4" w:space="0" w:color="auto"/>
                    <w:left w:val="single" w:sz="4" w:space="0" w:color="auto"/>
                    <w:bottom w:val="single" w:sz="4" w:space="0" w:color="auto"/>
                    <w:right w:val="single" w:sz="4" w:space="0" w:color="auto"/>
                  </w:tcBorders>
                  <w:shd w:val="clear" w:color="auto" w:fill="FFFFFF" w:themeFill="background1"/>
                </w:tcPr>
                <w:p w14:paraId="3797C0DC" w14:textId="77777777" w:rsidR="00CE5992" w:rsidRPr="005D4222" w:rsidRDefault="00CE5992">
                  <w:pPr>
                    <w:pStyle w:val="TableText"/>
                  </w:pPr>
                  <w:r w:rsidRPr="005D4222">
                    <w:t>NumeratorBySupplemental</w:t>
                  </w:r>
                </w:p>
              </w:tc>
              <w:tc>
                <w:tcPr>
                  <w:tcW w:w="1584" w:type="dxa"/>
                  <w:tcBorders>
                    <w:left w:val="single" w:sz="4" w:space="0" w:color="auto"/>
                    <w:bottom w:val="single" w:sz="6" w:space="0" w:color="auto"/>
                    <w:right w:val="single" w:sz="4" w:space="0" w:color="auto"/>
                  </w:tcBorders>
                  <w:shd w:val="clear" w:color="auto" w:fill="FFFFFF" w:themeFill="background1"/>
                </w:tcPr>
                <w:p w14:paraId="53CE9655" w14:textId="77777777" w:rsidR="00CE5992" w:rsidRPr="005D4222" w:rsidRDefault="00CE5992">
                  <w:pPr>
                    <w:pStyle w:val="TableText"/>
                    <w:rPr>
                      <w:rFonts w:eastAsia="Wingdings"/>
                    </w:rPr>
                  </w:pPr>
                  <w:r w:rsidRPr="005D4222">
                    <w:rPr>
                      <w:rFonts w:eastAsia="Wingdings"/>
                    </w:rPr>
                    <w:t>Report once</w:t>
                  </w:r>
                </w:p>
              </w:tc>
            </w:tr>
            <w:tr w:rsidR="00CE5992" w:rsidRPr="005D4222" w14:paraId="7C8EEBC4" w14:textId="77777777">
              <w:tc>
                <w:tcPr>
                  <w:tcW w:w="3326" w:type="dxa"/>
                  <w:tcBorders>
                    <w:top w:val="nil"/>
                    <w:left w:val="nil"/>
                    <w:bottom w:val="nil"/>
                    <w:right w:val="single" w:sz="4" w:space="0" w:color="auto"/>
                  </w:tcBorders>
                  <w:shd w:val="clear" w:color="auto" w:fill="FFFFFF" w:themeFill="background1"/>
                </w:tcPr>
                <w:p w14:paraId="7AE6314E" w14:textId="77777777" w:rsidR="00CE5992" w:rsidRPr="005D4222" w:rsidRDefault="00CE5992">
                  <w:pPr>
                    <w:pStyle w:val="TableText"/>
                  </w:pPr>
                </w:p>
              </w:tc>
              <w:tc>
                <w:tcPr>
                  <w:tcW w:w="24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BFE88C6" w14:textId="77777777" w:rsidR="00CE5992" w:rsidRPr="005D4222" w:rsidRDefault="00CE5992">
                  <w:pPr>
                    <w:pStyle w:val="TableText"/>
                  </w:pPr>
                  <w:r w:rsidRPr="005D4222">
                    <w:t>Rate</w:t>
                  </w:r>
                </w:p>
              </w:tc>
              <w:tc>
                <w:tcPr>
                  <w:tcW w:w="1584" w:type="dxa"/>
                  <w:tcBorders>
                    <w:left w:val="single" w:sz="4" w:space="0" w:color="auto"/>
                    <w:bottom w:val="single" w:sz="6" w:space="0" w:color="auto"/>
                    <w:right w:val="single" w:sz="4" w:space="0" w:color="auto"/>
                  </w:tcBorders>
                  <w:shd w:val="clear" w:color="auto" w:fill="D9D9D9" w:themeFill="background1" w:themeFillShade="D9"/>
                </w:tcPr>
                <w:p w14:paraId="1ED2157C" w14:textId="77777777" w:rsidR="00CE5992" w:rsidRPr="005D4222" w:rsidRDefault="00CE5992">
                  <w:pPr>
                    <w:pStyle w:val="TableText"/>
                    <w:rPr>
                      <w:rFonts w:eastAsia="Wingdings"/>
                    </w:rPr>
                  </w:pPr>
                  <w:r w:rsidRPr="005D4222">
                    <w:rPr>
                      <w:rFonts w:eastAsia="Wingdings"/>
                    </w:rPr>
                    <w:t>(Percent)</w:t>
                  </w:r>
                </w:p>
              </w:tc>
            </w:tr>
          </w:tbl>
          <w:p w14:paraId="11F7C77A" w14:textId="77777777" w:rsidR="00CE5992" w:rsidRPr="005D4222" w:rsidRDefault="00CE5992">
            <w:pPr>
              <w:pStyle w:val="Body"/>
              <w:rPr>
                <w:b/>
                <w:i/>
              </w:rPr>
            </w:pPr>
          </w:p>
        </w:tc>
      </w:tr>
      <w:tr w:rsidR="00CE5992" w:rsidRPr="005D4222" w14:paraId="4C16CD1D" w14:textId="77777777" w:rsidTr="004A699E">
        <w:tc>
          <w:tcPr>
            <w:tcW w:w="2155"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FCBE14E" w14:textId="77777777" w:rsidR="00CE5992" w:rsidRPr="005D4222" w:rsidRDefault="00CE5992">
            <w:pPr>
              <w:pStyle w:val="ECDSMarginHead"/>
            </w:pPr>
            <w:r w:rsidRPr="005D4222">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B8F1C2B" w14:textId="77777777" w:rsidR="00CE5992" w:rsidRPr="005D4222" w:rsidRDefault="00CE5992">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5C386540" w14:textId="77777777" w:rsidR="00CE5992" w:rsidRPr="005D4222" w:rsidRDefault="00CE5992">
            <w:pPr>
              <w:pStyle w:val="ECDSBody"/>
              <w:rPr>
                <w:b/>
              </w:rPr>
            </w:pPr>
            <w:r w:rsidRPr="005D4222">
              <w:rPr>
                <w:b/>
              </w:rPr>
              <w:t>Adjusted HEDIS measures may not be used for HEDIS health plan reporting.</w:t>
            </w:r>
          </w:p>
          <w:p w14:paraId="7A913AF6" w14:textId="77777777" w:rsidR="00CE5992" w:rsidRPr="005D4222" w:rsidRDefault="00CE5992">
            <w:pPr>
              <w:pStyle w:val="Adjustments"/>
              <w:rPr>
                <w:b w:val="0"/>
              </w:rPr>
            </w:pPr>
            <w:r w:rsidRPr="005D4222">
              <w:t>Adjustments</w:t>
            </w:r>
            <w:r w:rsidRPr="005D4222">
              <w:rPr>
                <w:bCs/>
              </w:rPr>
              <w:t xml:space="preserve"> a</w:t>
            </w:r>
            <w:r w:rsidRPr="005D4222">
              <w:t>llowed</w:t>
            </w:r>
          </w:p>
          <w:p w14:paraId="308FF318" w14:textId="01F031FE" w:rsidR="00CE5992" w:rsidRPr="005D4222" w:rsidRDefault="00CE5992" w:rsidP="005D6173">
            <w:pPr>
              <w:pStyle w:val="ProcessBullet"/>
              <w:numPr>
                <w:ilvl w:val="0"/>
                <w:numId w:val="77"/>
              </w:numPr>
              <w:ind w:left="216" w:hanging="216"/>
              <w:rPr>
                <w:b/>
                <w:bCs/>
                <w:color w:val="000000" w:themeColor="text1"/>
              </w:rPr>
            </w:pPr>
            <w:r w:rsidRPr="005D4222">
              <w:rPr>
                <w:i/>
              </w:rPr>
              <w:t xml:space="preserve">Product lines. </w:t>
            </w:r>
            <w:r w:rsidRPr="005D4222">
              <w:t>Organizations are not required to use product line criteria; product lines may be combined</w:t>
            </w:r>
            <w:r w:rsidR="00E8671F" w:rsidRPr="005D4222">
              <w:t>,</w:t>
            </w:r>
            <w:r w:rsidRPr="005D4222">
              <w:t xml:space="preserve"> and all (or no) product line criteria may be used.</w:t>
            </w:r>
          </w:p>
          <w:p w14:paraId="1D6D9FC9" w14:textId="77777777" w:rsidR="00CE5992" w:rsidRPr="005D4222" w:rsidRDefault="00CE5992" w:rsidP="005D6173">
            <w:pPr>
              <w:pStyle w:val="ProcessBullet"/>
              <w:numPr>
                <w:ilvl w:val="0"/>
                <w:numId w:val="77"/>
              </w:numPr>
              <w:ind w:left="216" w:hanging="216"/>
              <w:rPr>
                <w:b/>
                <w:bCs/>
                <w:color w:val="000000" w:themeColor="text1"/>
              </w:rPr>
            </w:pPr>
            <w:r w:rsidRPr="005D4222">
              <w:rPr>
                <w:i/>
              </w:rPr>
              <w:t>Attribution.</w:t>
            </w:r>
            <w:r w:rsidRPr="005D4222">
              <w:t xml:space="preserve"> Organizations are not required to use enrollment criteria. </w:t>
            </w:r>
          </w:p>
          <w:p w14:paraId="1197A11D" w14:textId="3C5B8A20" w:rsidR="00CE5992" w:rsidRPr="005D4222" w:rsidRDefault="00362E76" w:rsidP="005D6173">
            <w:pPr>
              <w:pStyle w:val="ProcessBullet"/>
              <w:numPr>
                <w:ilvl w:val="0"/>
                <w:numId w:val="77"/>
              </w:numPr>
              <w:ind w:left="216" w:hanging="216"/>
              <w:rPr>
                <w:b/>
                <w:bCs/>
                <w:color w:val="000000" w:themeColor="text1"/>
              </w:rPr>
            </w:pPr>
            <w:r w:rsidRPr="005D4222">
              <w:rPr>
                <w:i/>
              </w:rPr>
              <w:t>Benefits.</w:t>
            </w:r>
            <w:r w:rsidR="00CE5992" w:rsidRPr="005D4222">
              <w:t xml:space="preserve"> Organizations are not required to use a benefit.</w:t>
            </w:r>
          </w:p>
          <w:p w14:paraId="010C86C4" w14:textId="77777777" w:rsidR="00CE5992" w:rsidRPr="005D4222" w:rsidRDefault="00CE5992" w:rsidP="005D6173">
            <w:pPr>
              <w:pStyle w:val="ProcessBullet"/>
              <w:numPr>
                <w:ilvl w:val="0"/>
                <w:numId w:val="77"/>
              </w:numPr>
              <w:spacing w:after="80"/>
              <w:ind w:left="216" w:hanging="216"/>
              <w:rPr>
                <w:b/>
                <w:bCs/>
                <w:color w:val="000000" w:themeColor="text1"/>
              </w:rPr>
            </w:pPr>
            <w:r w:rsidRPr="005D4222">
              <w:rPr>
                <w:i/>
              </w:rPr>
              <w:t>Other.</w:t>
            </w:r>
            <w:r w:rsidRPr="005D4222">
              <w:t xml:space="preserve"> Organizations may use additional initial population criteria to focus on an area of interest defined by gender, race, ethnicity, socioeconomic or sociodemographic characteristics, geographic region or another characteristic.</w:t>
            </w:r>
          </w:p>
          <w:p w14:paraId="589ACDA4" w14:textId="77777777" w:rsidR="00CE5992" w:rsidRPr="005D4222" w:rsidRDefault="00CE5992" w:rsidP="004A699E">
            <w:pPr>
              <w:pStyle w:val="ProcessBullet"/>
              <w:numPr>
                <w:ilvl w:val="0"/>
                <w:numId w:val="77"/>
              </w:numPr>
              <w:ind w:left="216" w:hanging="216"/>
              <w:rPr>
                <w:b/>
                <w:bCs/>
                <w:color w:val="000000" w:themeColor="text1"/>
              </w:rPr>
            </w:pPr>
            <w:r w:rsidRPr="005D4222">
              <w:rPr>
                <w:i/>
              </w:rPr>
              <w:t xml:space="preserve">Measurement </w:t>
            </w:r>
            <w:r w:rsidRPr="005D4222">
              <w:rPr>
                <w:i/>
                <w:iCs/>
              </w:rPr>
              <w:t>period a</w:t>
            </w:r>
            <w:r w:rsidRPr="005D4222">
              <w:rPr>
                <w:i/>
              </w:rPr>
              <w:t>djustments.</w:t>
            </w:r>
            <w:r w:rsidRPr="005D4222">
              <w:t xml:space="preserve"> Organizations may adjust the measurement period. </w:t>
            </w:r>
          </w:p>
          <w:p w14:paraId="73FD00DB" w14:textId="175BFE1A" w:rsidR="004A699E" w:rsidRPr="005D4222" w:rsidRDefault="00CE5992" w:rsidP="004A699E">
            <w:pPr>
              <w:pStyle w:val="ProcessBullet"/>
              <w:numPr>
                <w:ilvl w:val="0"/>
                <w:numId w:val="77"/>
              </w:numPr>
              <w:spacing w:after="80"/>
              <w:ind w:left="216" w:hanging="216"/>
            </w:pPr>
            <w:r w:rsidRPr="005D4222">
              <w:rPr>
                <w:i/>
              </w:rPr>
              <w:t>Exclusions.</w:t>
            </w:r>
            <w:r w:rsidRPr="005D4222">
              <w:t xml:space="preserve"> </w:t>
            </w:r>
            <w:r w:rsidR="00915620" w:rsidRPr="005D4222">
              <w:t xml:space="preserve">The hospice, deceased persons, </w:t>
            </w:r>
            <w:r w:rsidRPr="005D4222">
              <w:t>I-SNP, LTI, frailty</w:t>
            </w:r>
            <w:r w:rsidR="00915620" w:rsidRPr="005D4222">
              <w:t xml:space="preserve"> and</w:t>
            </w:r>
            <w:r w:rsidRPr="005D4222">
              <w:t xml:space="preserve"> advanced illness exclusions are not required.</w:t>
            </w:r>
          </w:p>
        </w:tc>
      </w:tr>
      <w:tr w:rsidR="004A699E" w:rsidRPr="005D4222" w14:paraId="783EF8BE" w14:textId="77777777" w:rsidTr="004A699E">
        <w:tc>
          <w:tcPr>
            <w:tcW w:w="2155"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8F34F1D" w14:textId="77777777" w:rsidR="004A699E" w:rsidRPr="005D4222" w:rsidRDefault="004A699E">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FEA0A72" w14:textId="77777777" w:rsidR="004A699E" w:rsidRPr="005D4222" w:rsidRDefault="004A699E" w:rsidP="004A699E">
            <w:pPr>
              <w:pStyle w:val="ProcessBullet"/>
              <w:numPr>
                <w:ilvl w:val="0"/>
                <w:numId w:val="77"/>
              </w:numPr>
              <w:ind w:left="216" w:hanging="216"/>
              <w:rPr>
                <w:color w:val="000000" w:themeColor="text1"/>
              </w:rPr>
            </w:pPr>
            <w:r w:rsidRPr="005D4222">
              <w:rPr>
                <w:i/>
                <w:iCs/>
                <w:color w:val="000000" w:themeColor="text1"/>
              </w:rPr>
              <w:t>Telehealth.</w:t>
            </w:r>
            <w:r w:rsidRPr="005D4222">
              <w:rPr>
                <w:color w:val="000000" w:themeColor="text1"/>
              </w:rPr>
              <w:t xml:space="preserve"> Services/events that allow the use of synchronous telehealth visits, telephone visits and asynchronous telehealth (e-visits, virtual check-ins) may be stratified to identify services performed via telehealth. </w:t>
            </w:r>
            <w:r w:rsidRPr="005D4222">
              <w:t>This adjustment is not allowed for events, numerators and exclusions that do not allow the use of telehealth.</w:t>
            </w:r>
          </w:p>
          <w:p w14:paraId="009FB320" w14:textId="77777777" w:rsidR="004A699E" w:rsidRPr="005D4222" w:rsidRDefault="004A699E" w:rsidP="004A699E">
            <w:pPr>
              <w:pStyle w:val="ProcessBullet"/>
              <w:numPr>
                <w:ilvl w:val="0"/>
                <w:numId w:val="77"/>
              </w:numPr>
              <w:ind w:left="216" w:hanging="216"/>
              <w:rPr>
                <w:color w:val="000000" w:themeColor="text1"/>
              </w:rPr>
            </w:pPr>
            <w:r w:rsidRPr="005D4222">
              <w:rPr>
                <w:i/>
                <w:iCs/>
                <w:color w:val="000000" w:themeColor="text1"/>
              </w:rPr>
              <w:t>Supplemental data.</w:t>
            </w:r>
            <w:r w:rsidRPr="005D4222">
              <w:rPr>
                <w:color w:val="000000" w:themeColor="text1"/>
              </w:rPr>
              <w:t xml:space="preserve"> Supplemental data may be used to identify initial population, denominator, exclusion and numerator events.</w:t>
            </w:r>
          </w:p>
          <w:p w14:paraId="09A781E9" w14:textId="77777777" w:rsidR="004A699E" w:rsidRPr="005D4222" w:rsidRDefault="004A699E" w:rsidP="004A699E">
            <w:pPr>
              <w:pStyle w:val="Adjustments"/>
              <w:rPr>
                <w:b w:val="0"/>
              </w:rPr>
            </w:pPr>
            <w:r w:rsidRPr="005D4222">
              <w:t xml:space="preserve">Adjustments </w:t>
            </w:r>
            <w:r w:rsidRPr="005D4222">
              <w:rPr>
                <w:bCs/>
              </w:rPr>
              <w:t>a</w:t>
            </w:r>
            <w:r w:rsidRPr="005D4222">
              <w:t xml:space="preserve">llowed </w:t>
            </w:r>
            <w:r w:rsidRPr="005D4222">
              <w:rPr>
                <w:bCs/>
              </w:rPr>
              <w:t>with</w:t>
            </w:r>
            <w:r w:rsidRPr="005D4222">
              <w:t xml:space="preserve"> </w:t>
            </w:r>
            <w:r w:rsidRPr="005D4222">
              <w:rPr>
                <w:bCs/>
              </w:rPr>
              <w:t>l</w:t>
            </w:r>
            <w:r w:rsidRPr="005D4222">
              <w:t>imits</w:t>
            </w:r>
          </w:p>
          <w:p w14:paraId="7A2F6C5B" w14:textId="77777777" w:rsidR="004A699E" w:rsidRPr="005D4222" w:rsidRDefault="004A699E" w:rsidP="004A699E">
            <w:pPr>
              <w:pStyle w:val="ProcessBullet"/>
              <w:numPr>
                <w:ilvl w:val="0"/>
                <w:numId w:val="77"/>
              </w:numPr>
              <w:ind w:left="216" w:hanging="216"/>
            </w:pPr>
            <w:r w:rsidRPr="005D4222">
              <w:rPr>
                <w:i/>
              </w:rPr>
              <w:t>Ages.</w:t>
            </w:r>
            <w:r w:rsidRPr="005D4222">
              <w:t xml:space="preserve"> </w:t>
            </w:r>
            <w:r w:rsidRPr="005D4222">
              <w:rPr>
                <w:rFonts w:cs="Arial"/>
              </w:rPr>
              <w:t xml:space="preserve">Age determination dates may be changed (e.g., select, “age as of June 30”). </w:t>
            </w:r>
            <w:r w:rsidRPr="005D4222">
              <w:t>Changing the denominator age range is allowed within a specified age range (18 years of age and older).</w:t>
            </w:r>
          </w:p>
          <w:p w14:paraId="085CEAEA" w14:textId="77777777" w:rsidR="004A699E" w:rsidRPr="005D4222" w:rsidRDefault="004A699E" w:rsidP="004A699E">
            <w:pPr>
              <w:pStyle w:val="Adjustments"/>
              <w:rPr>
                <w:b w:val="0"/>
              </w:rPr>
            </w:pPr>
            <w:r w:rsidRPr="005D4222">
              <w:t xml:space="preserve">Adjustments </w:t>
            </w:r>
            <w:r w:rsidRPr="005D4222">
              <w:rPr>
                <w:bCs/>
              </w:rPr>
              <w:t>not allowed</w:t>
            </w:r>
          </w:p>
          <w:p w14:paraId="6FACDB03" w14:textId="77777777" w:rsidR="004A699E" w:rsidRPr="005D4222" w:rsidRDefault="004A699E" w:rsidP="004A699E">
            <w:pPr>
              <w:pStyle w:val="ProcessBullet"/>
              <w:numPr>
                <w:ilvl w:val="0"/>
                <w:numId w:val="77"/>
              </w:numPr>
              <w:ind w:left="216" w:hanging="216"/>
            </w:pPr>
            <w:r w:rsidRPr="005D4222">
              <w:rPr>
                <w:i/>
              </w:rPr>
              <w:t>Initial population:</w:t>
            </w:r>
            <w:r w:rsidRPr="005D4222">
              <w:rPr>
                <w:iCs/>
              </w:rPr>
              <w:t xml:space="preserve"> Event. </w:t>
            </w:r>
            <w:r w:rsidRPr="005D4222">
              <w:t xml:space="preserve">Only events or diagnoses that contain (or map to) codes in the value sets may be used to identify visits and diagnosis. Medication lists, value sets and logic may not be changed. </w:t>
            </w:r>
          </w:p>
          <w:p w14:paraId="555AF148" w14:textId="77777777" w:rsidR="004A699E" w:rsidRPr="005D4222" w:rsidRDefault="004A699E" w:rsidP="004A699E">
            <w:pPr>
              <w:pStyle w:val="ProcessBullet"/>
              <w:numPr>
                <w:ilvl w:val="0"/>
                <w:numId w:val="77"/>
              </w:numPr>
              <w:ind w:left="216" w:hanging="216"/>
              <w:rPr>
                <w:rStyle w:val="eop"/>
                <w:rFonts w:eastAsiaTheme="majorEastAsia"/>
              </w:rPr>
            </w:pPr>
            <w:r w:rsidRPr="005D4222">
              <w:rPr>
                <w:rStyle w:val="normaltextrun"/>
                <w:rFonts w:cs="Arial"/>
                <w:i/>
                <w:iCs/>
                <w:color w:val="000000"/>
                <w:shd w:val="clear" w:color="auto" w:fill="FFFFFF"/>
              </w:rPr>
              <w:t>Exclusions.</w:t>
            </w:r>
            <w:r w:rsidRPr="005D4222">
              <w:rPr>
                <w:rStyle w:val="normaltextrun"/>
                <w:rFonts w:cs="Arial"/>
                <w:color w:val="000000"/>
                <w:shd w:val="clear" w:color="auto" w:fill="FFFFFF"/>
              </w:rPr>
              <w:t xml:space="preserve"> The dementia and antipsychotic medication exclusions must be applied. Value sets and medication lists may not be changed.</w:t>
            </w:r>
          </w:p>
          <w:p w14:paraId="592EECCA" w14:textId="6EA26D20" w:rsidR="004A699E" w:rsidRPr="004A699E" w:rsidRDefault="004A699E" w:rsidP="004A699E">
            <w:pPr>
              <w:pStyle w:val="ProcessBullet"/>
              <w:numPr>
                <w:ilvl w:val="0"/>
                <w:numId w:val="77"/>
              </w:numPr>
              <w:spacing w:after="80"/>
              <w:ind w:left="216" w:hanging="216"/>
            </w:pPr>
            <w:r w:rsidRPr="005D4222">
              <w:rPr>
                <w:i/>
                <w:iCs/>
              </w:rPr>
              <w:t>Numerator.</w:t>
            </w:r>
            <w:r w:rsidRPr="005D4222">
              <w:rPr>
                <w:i/>
              </w:rPr>
              <w:t xml:space="preserve"> </w:t>
            </w:r>
            <w:r w:rsidRPr="005D4222">
              <w:rPr>
                <w:iCs/>
              </w:rPr>
              <w:t>Value sets and m</w:t>
            </w:r>
            <w:r w:rsidRPr="005D4222">
              <w:t>edication lists</w:t>
            </w:r>
            <w:r w:rsidR="00DD46E4">
              <w:t xml:space="preserve"> and logic</w:t>
            </w:r>
            <w:r w:rsidRPr="005D4222">
              <w:t xml:space="preserve"> may not be changed. </w:t>
            </w:r>
          </w:p>
        </w:tc>
      </w:tr>
    </w:tbl>
    <w:p w14:paraId="42BD94BE" w14:textId="77777777" w:rsidR="005D42C2" w:rsidRPr="005D4222" w:rsidRDefault="005D42C2" w:rsidP="00D27757">
      <w:pPr>
        <w:pStyle w:val="ECDSBody"/>
        <w:sectPr w:rsidR="005D42C2" w:rsidRPr="005D4222" w:rsidSect="0074514A">
          <w:headerReference w:type="default" r:id="rId126"/>
          <w:type w:val="nextColumn"/>
          <w:pgSz w:w="12240" w:h="15840" w:code="1"/>
          <w:pgMar w:top="1080" w:right="1080" w:bottom="1080" w:left="1440" w:header="720" w:footer="720" w:gutter="0"/>
          <w:cols w:space="720"/>
          <w:docGrid w:linePitch="360"/>
        </w:sectPr>
      </w:pPr>
    </w:p>
    <w:p w14:paraId="32B7D17A" w14:textId="1577CDEF" w:rsidR="00F81C18" w:rsidRPr="005D4222" w:rsidRDefault="00F81C18" w:rsidP="00966DCB">
      <w:pPr>
        <w:pStyle w:val="BreakPage2"/>
        <w:rPr>
          <w:i w:val="0"/>
          <w:iCs w:val="0"/>
        </w:rPr>
      </w:pPr>
      <w:bookmarkStart w:id="309" w:name="_Toc201813419"/>
      <w:r w:rsidRPr="005D4222">
        <w:lastRenderedPageBreak/>
        <w:t>Care Coordination</w:t>
      </w:r>
      <w:bookmarkEnd w:id="309"/>
    </w:p>
    <w:p w14:paraId="79DC0F67" w14:textId="77777777" w:rsidR="00F81C18" w:rsidRPr="005D4222" w:rsidRDefault="00F81C18" w:rsidP="00966DCB">
      <w:pPr>
        <w:pStyle w:val="BreakPage2"/>
        <w:sectPr w:rsidR="00F81C18" w:rsidRPr="005D4222" w:rsidSect="0074514A">
          <w:headerReference w:type="default" r:id="rId127"/>
          <w:footerReference w:type="default" r:id="rId128"/>
          <w:type w:val="nextColumn"/>
          <w:pgSz w:w="12240" w:h="15840" w:code="1"/>
          <w:pgMar w:top="1080" w:right="1080" w:bottom="1080" w:left="1440" w:header="720" w:footer="720" w:gutter="0"/>
          <w:cols w:space="720"/>
          <w:docGrid w:linePitch="360"/>
        </w:sectPr>
      </w:pPr>
    </w:p>
    <w:p w14:paraId="73009EE1" w14:textId="20ECB7E9" w:rsidR="00F81C18" w:rsidRPr="005D4222" w:rsidRDefault="00FF3378" w:rsidP="00FF3378">
      <w:pPr>
        <w:pStyle w:val="MeasureTitle"/>
      </w:pPr>
      <w:bookmarkStart w:id="310" w:name="_Toc201813420"/>
      <w:r w:rsidRPr="005D4222">
        <w:lastRenderedPageBreak/>
        <w:t>Advance Care Planning</w:t>
      </w:r>
      <w:r w:rsidR="0096709F" w:rsidRPr="005D4222">
        <w:t xml:space="preserve"> (ACP)</w:t>
      </w:r>
      <w:bookmarkEnd w:id="310"/>
    </w:p>
    <w:tbl>
      <w:tblPr>
        <w:tblW w:w="5002"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5041"/>
        <w:gridCol w:w="1440"/>
        <w:gridCol w:w="1080"/>
      </w:tblGrid>
      <w:tr w:rsidR="009325D0" w:rsidRPr="005D4222" w14:paraId="3A018424" w14:textId="77777777" w:rsidTr="009325D0">
        <w:tc>
          <w:tcPr>
            <w:tcW w:w="2157" w:type="dxa"/>
            <w:shd w:val="clear" w:color="auto" w:fill="BFBFBF" w:themeFill="background1" w:themeFillShade="BF"/>
            <w:tcMar>
              <w:top w:w="0" w:type="dxa"/>
              <w:left w:w="86" w:type="dxa"/>
              <w:bottom w:w="43" w:type="dxa"/>
              <w:right w:w="86" w:type="dxa"/>
            </w:tcMar>
            <w:hideMark/>
          </w:tcPr>
          <w:p w14:paraId="23CE5B40" w14:textId="77777777" w:rsidR="009325D0" w:rsidRPr="005D4222" w:rsidRDefault="009325D0">
            <w:pPr>
              <w:pStyle w:val="ECDSMarginHead"/>
            </w:pPr>
            <w:r w:rsidRPr="005D4222">
              <w:t>Measure title</w:t>
            </w:r>
          </w:p>
        </w:tc>
        <w:tc>
          <w:tcPr>
            <w:tcW w:w="5041" w:type="dxa"/>
            <w:tcMar>
              <w:top w:w="0" w:type="dxa"/>
              <w:left w:w="86" w:type="dxa"/>
              <w:bottom w:w="43" w:type="dxa"/>
              <w:right w:w="86" w:type="dxa"/>
            </w:tcMar>
          </w:tcPr>
          <w:p w14:paraId="3E8F5CA6" w14:textId="77777777" w:rsidR="009325D0" w:rsidRPr="005D4222" w:rsidRDefault="009325D0">
            <w:pPr>
              <w:pStyle w:val="ECDSBody"/>
            </w:pPr>
            <w:r w:rsidRPr="005D4222">
              <w:t>Advance Care Planning</w:t>
            </w:r>
          </w:p>
        </w:tc>
        <w:tc>
          <w:tcPr>
            <w:tcW w:w="1440" w:type="dxa"/>
            <w:shd w:val="clear" w:color="auto" w:fill="BFBFBF" w:themeFill="background1" w:themeFillShade="BF"/>
            <w:tcMar>
              <w:top w:w="0" w:type="dxa"/>
              <w:left w:w="86" w:type="dxa"/>
              <w:bottom w:w="43" w:type="dxa"/>
              <w:right w:w="86" w:type="dxa"/>
            </w:tcMar>
          </w:tcPr>
          <w:p w14:paraId="1CE22133" w14:textId="77777777" w:rsidR="009325D0" w:rsidRPr="005D4222" w:rsidRDefault="009325D0">
            <w:pPr>
              <w:pStyle w:val="ECDSMarginHead"/>
            </w:pPr>
            <w:r w:rsidRPr="005D4222">
              <w:t>Measure ID</w:t>
            </w:r>
          </w:p>
        </w:tc>
        <w:tc>
          <w:tcPr>
            <w:tcW w:w="1080" w:type="dxa"/>
            <w:tcMar>
              <w:top w:w="0" w:type="dxa"/>
              <w:left w:w="86" w:type="dxa"/>
              <w:bottom w:w="43" w:type="dxa"/>
              <w:right w:w="86" w:type="dxa"/>
            </w:tcMar>
          </w:tcPr>
          <w:p w14:paraId="2A2073A7" w14:textId="77777777" w:rsidR="009325D0" w:rsidRPr="005D4222" w:rsidRDefault="009325D0">
            <w:pPr>
              <w:pStyle w:val="ECDSBody"/>
            </w:pPr>
            <w:r w:rsidRPr="005D4222">
              <w:t xml:space="preserve">ACP </w:t>
            </w:r>
          </w:p>
        </w:tc>
      </w:tr>
      <w:tr w:rsidR="009325D0" w:rsidRPr="005D4222" w14:paraId="5685316F" w14:textId="77777777" w:rsidTr="009325D0">
        <w:tc>
          <w:tcPr>
            <w:tcW w:w="2157" w:type="dxa"/>
            <w:shd w:val="clear" w:color="auto" w:fill="BFBFBF" w:themeFill="background1" w:themeFillShade="BF"/>
            <w:tcMar>
              <w:top w:w="0" w:type="dxa"/>
              <w:left w:w="86" w:type="dxa"/>
              <w:bottom w:w="43" w:type="dxa"/>
              <w:right w:w="86" w:type="dxa"/>
            </w:tcMar>
            <w:hideMark/>
          </w:tcPr>
          <w:p w14:paraId="673734F0" w14:textId="77777777" w:rsidR="009325D0" w:rsidRPr="005D4222" w:rsidRDefault="009325D0">
            <w:pPr>
              <w:pStyle w:val="ECDSMarginHead"/>
            </w:pPr>
            <w:r w:rsidRPr="005D4222">
              <w:t>Description</w:t>
            </w:r>
          </w:p>
        </w:tc>
        <w:tc>
          <w:tcPr>
            <w:tcW w:w="7561" w:type="dxa"/>
            <w:gridSpan w:val="3"/>
            <w:tcMar>
              <w:top w:w="0" w:type="dxa"/>
              <w:left w:w="86" w:type="dxa"/>
              <w:bottom w:w="43" w:type="dxa"/>
              <w:right w:w="86" w:type="dxa"/>
            </w:tcMar>
          </w:tcPr>
          <w:p w14:paraId="4BF6CF8D" w14:textId="77777777" w:rsidR="009325D0" w:rsidRPr="005D4222" w:rsidRDefault="009325D0">
            <w:pPr>
              <w:pStyle w:val="ECDSBody"/>
            </w:pPr>
            <w:r w:rsidRPr="005D4222">
              <w:t>The percentage of persons 66–80 years of age with advanced illness, an indication of frailty or who are receiving palliative care, and persons 81 years of age and older who had advance care planning during the measurement period.</w:t>
            </w:r>
          </w:p>
        </w:tc>
      </w:tr>
      <w:tr w:rsidR="009325D0" w:rsidRPr="005D4222" w14:paraId="5E5DBB09" w14:textId="77777777" w:rsidTr="009325D0">
        <w:tc>
          <w:tcPr>
            <w:tcW w:w="2157" w:type="dxa"/>
            <w:shd w:val="clear" w:color="auto" w:fill="BFBFBF" w:themeFill="background1" w:themeFillShade="BF"/>
            <w:tcMar>
              <w:top w:w="0" w:type="dxa"/>
              <w:left w:w="86" w:type="dxa"/>
              <w:bottom w:w="43" w:type="dxa"/>
              <w:right w:w="86" w:type="dxa"/>
            </w:tcMar>
          </w:tcPr>
          <w:p w14:paraId="4EC647AA" w14:textId="77777777" w:rsidR="009325D0" w:rsidRPr="005D4222" w:rsidRDefault="009325D0">
            <w:pPr>
              <w:pStyle w:val="ECDSMarginHead"/>
            </w:pPr>
            <w:r w:rsidRPr="005D4222">
              <w:t>Measurement period</w:t>
            </w:r>
          </w:p>
        </w:tc>
        <w:tc>
          <w:tcPr>
            <w:tcW w:w="7561" w:type="dxa"/>
            <w:gridSpan w:val="3"/>
            <w:tcMar>
              <w:top w:w="0" w:type="dxa"/>
              <w:left w:w="86" w:type="dxa"/>
              <w:bottom w:w="43" w:type="dxa"/>
              <w:right w:w="86" w:type="dxa"/>
            </w:tcMar>
          </w:tcPr>
          <w:p w14:paraId="27B82485" w14:textId="77777777" w:rsidR="009325D0" w:rsidRPr="005D4222" w:rsidRDefault="009325D0">
            <w:pPr>
              <w:pStyle w:val="ECDSBody"/>
            </w:pPr>
            <w:r w:rsidRPr="005D4222">
              <w:t>January 1–December 31.</w:t>
            </w:r>
          </w:p>
        </w:tc>
      </w:tr>
      <w:tr w:rsidR="009325D0" w:rsidRPr="005D4222" w14:paraId="728EA163" w14:textId="77777777" w:rsidTr="009325D0">
        <w:tc>
          <w:tcPr>
            <w:tcW w:w="2157" w:type="dxa"/>
            <w:shd w:val="clear" w:color="auto" w:fill="BFBFBF" w:themeFill="background1" w:themeFillShade="BF"/>
            <w:tcMar>
              <w:top w:w="0" w:type="dxa"/>
              <w:left w:w="86" w:type="dxa"/>
              <w:bottom w:w="43" w:type="dxa"/>
              <w:right w:w="86" w:type="dxa"/>
            </w:tcMar>
            <w:hideMark/>
          </w:tcPr>
          <w:p w14:paraId="4CDD355D" w14:textId="77777777" w:rsidR="009325D0" w:rsidRPr="005D4222" w:rsidRDefault="009325D0">
            <w:pPr>
              <w:pStyle w:val="ECDSMarginHead"/>
              <w:rPr>
                <w:rFonts w:eastAsia="Arial"/>
              </w:rPr>
            </w:pPr>
            <w:r w:rsidRPr="005D4222">
              <w:rPr>
                <w:rFonts w:eastAsia="Arial"/>
              </w:rPr>
              <w:t>Copyright and disclaimer notice</w:t>
            </w:r>
          </w:p>
        </w:tc>
        <w:tc>
          <w:tcPr>
            <w:tcW w:w="7561" w:type="dxa"/>
            <w:gridSpan w:val="3"/>
            <w:tcMar>
              <w:top w:w="0" w:type="dxa"/>
              <w:left w:w="86" w:type="dxa"/>
              <w:bottom w:w="43" w:type="dxa"/>
              <w:right w:w="86" w:type="dxa"/>
            </w:tcMar>
          </w:tcPr>
          <w:p w14:paraId="5D551C9B" w14:textId="77777777" w:rsidR="009325D0" w:rsidRPr="005D4222" w:rsidRDefault="009325D0">
            <w:pPr>
              <w:pStyle w:val="ECDSBody"/>
            </w:pPr>
            <w:r w:rsidRPr="005D4222">
              <w:t>Refer to the complete copyright and disclaimer information at the front of this publication.</w:t>
            </w:r>
          </w:p>
          <w:p w14:paraId="25374EC3" w14:textId="77777777" w:rsidR="009325D0" w:rsidRPr="005D4222" w:rsidRDefault="009325D0">
            <w:pPr>
              <w:pStyle w:val="ECDSBody"/>
              <w:spacing w:before="80"/>
            </w:pPr>
            <w:r w:rsidRPr="005D4222">
              <w:t xml:space="preserve">NCQA website: </w:t>
            </w:r>
            <w:r w:rsidRPr="005D4222">
              <w:rPr>
                <w:u w:val="single"/>
              </w:rPr>
              <w:t>www.ncqa.org</w:t>
            </w:r>
            <w:r w:rsidRPr="005D4222">
              <w:t xml:space="preserve">.  </w:t>
            </w:r>
          </w:p>
          <w:p w14:paraId="55D54A42" w14:textId="77777777" w:rsidR="009325D0" w:rsidRPr="005D4222" w:rsidRDefault="009325D0">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9325D0" w:rsidRPr="005D4222" w14:paraId="7D29F41D" w14:textId="77777777" w:rsidTr="009325D0">
        <w:tc>
          <w:tcPr>
            <w:tcW w:w="2157" w:type="dxa"/>
            <w:shd w:val="clear" w:color="auto" w:fill="BFBFBF" w:themeFill="background1" w:themeFillShade="BF"/>
            <w:tcMar>
              <w:top w:w="0" w:type="dxa"/>
              <w:left w:w="86" w:type="dxa"/>
              <w:bottom w:w="43" w:type="dxa"/>
              <w:right w:w="86" w:type="dxa"/>
            </w:tcMar>
            <w:hideMark/>
          </w:tcPr>
          <w:p w14:paraId="64D243E1" w14:textId="77777777" w:rsidR="009325D0" w:rsidRPr="005D4222" w:rsidRDefault="009325D0">
            <w:pPr>
              <w:pStyle w:val="ECDSMarginHead"/>
            </w:pPr>
            <w:r w:rsidRPr="005D4222">
              <w:t>Clinical recommendation statement/ rationale</w:t>
            </w:r>
          </w:p>
        </w:tc>
        <w:tc>
          <w:tcPr>
            <w:tcW w:w="7561" w:type="dxa"/>
            <w:gridSpan w:val="3"/>
            <w:tcMar>
              <w:top w:w="0" w:type="dxa"/>
              <w:left w:w="86" w:type="dxa"/>
              <w:bottom w:w="43" w:type="dxa"/>
              <w:right w:w="86" w:type="dxa"/>
            </w:tcMar>
          </w:tcPr>
          <w:p w14:paraId="718304BF" w14:textId="77777777" w:rsidR="009325D0" w:rsidRPr="005D4222" w:rsidRDefault="009325D0">
            <w:pPr>
              <w:pStyle w:val="ECDSBody"/>
              <w:rPr>
                <w:rFonts w:eastAsiaTheme="minorEastAsia"/>
                <w:szCs w:val="21"/>
              </w:rPr>
            </w:pPr>
            <w:r w:rsidRPr="005D4222">
              <w:rPr>
                <w:rFonts w:eastAsiaTheme="minorEastAsia"/>
              </w:rPr>
              <w:t>Advance</w:t>
            </w:r>
            <w:r w:rsidRPr="005D4222">
              <w:rPr>
                <w:rFonts w:eastAsiaTheme="minorEastAsia"/>
                <w:szCs w:val="21"/>
              </w:rPr>
              <w:t xml:space="preserve"> care planning can lead to decreased psychological distress and hospitalizations, improved end-of-life care, increased trust in providers and improved quality of life, and can facilitate hope. It has also been associated with increased knowledge about treatment options, documentation of advance care planning, patient-surrogate congruence, goal-concordant care and compliance with patient wishes, among other benefits.</w:t>
            </w:r>
          </w:p>
          <w:p w14:paraId="4A5A16D0" w14:textId="77777777" w:rsidR="009325D0" w:rsidRPr="005D4222" w:rsidRDefault="009325D0">
            <w:pPr>
              <w:pStyle w:val="ECDSBody"/>
              <w:rPr>
                <w:szCs w:val="21"/>
              </w:rPr>
            </w:pPr>
            <w:r w:rsidRPr="005D4222">
              <w:rPr>
                <w:szCs w:val="21"/>
              </w:rPr>
              <w:t>Although it is widely agreed that advance care planning is a critical part of patient care, only about 50% of older adults have engaged in advance care planning. Of those older adults, about one-third have documented their wishes and only 10%–20% have discussed their wishes with clinicians. A 2017 study found that 70% of providers indicated they only have advance care planning conversations with patients experiencing advanced illness. The benefits of advance care planning may only be realized if the care team has access to and follows the patient’s advance care plan.</w:t>
            </w:r>
          </w:p>
        </w:tc>
      </w:tr>
      <w:tr w:rsidR="009325D0" w:rsidRPr="005D4222" w14:paraId="58EC9C88" w14:textId="77777777" w:rsidTr="009325D0">
        <w:tc>
          <w:tcPr>
            <w:tcW w:w="2157" w:type="dxa"/>
            <w:shd w:val="clear" w:color="auto" w:fill="BFBFBF" w:themeFill="background1" w:themeFillShade="BF"/>
            <w:tcMar>
              <w:top w:w="0" w:type="dxa"/>
              <w:left w:w="86" w:type="dxa"/>
              <w:bottom w:w="43" w:type="dxa"/>
              <w:right w:w="86" w:type="dxa"/>
            </w:tcMar>
          </w:tcPr>
          <w:p w14:paraId="4D86F279" w14:textId="77777777" w:rsidR="009325D0" w:rsidRPr="005D4222" w:rsidRDefault="009325D0">
            <w:pPr>
              <w:pStyle w:val="ECDSMarginHead"/>
            </w:pPr>
            <w:r w:rsidRPr="005D4222">
              <w:t>Citations</w:t>
            </w:r>
          </w:p>
        </w:tc>
        <w:tc>
          <w:tcPr>
            <w:tcW w:w="7561" w:type="dxa"/>
            <w:gridSpan w:val="3"/>
            <w:tcMar>
              <w:top w:w="0" w:type="dxa"/>
              <w:left w:w="86" w:type="dxa"/>
              <w:bottom w:w="43" w:type="dxa"/>
              <w:right w:w="86" w:type="dxa"/>
            </w:tcMar>
          </w:tcPr>
          <w:p w14:paraId="4D10E233" w14:textId="77777777" w:rsidR="009325D0" w:rsidRPr="005D4222" w:rsidRDefault="009325D0">
            <w:pPr>
              <w:pStyle w:val="ECDSBody"/>
              <w:rPr>
                <w:rStyle w:val="Hyperlink"/>
                <w:color w:val="auto"/>
                <w:szCs w:val="21"/>
              </w:rPr>
            </w:pPr>
            <w:r w:rsidRPr="005D4222">
              <w:t xml:space="preserve">Bires, J.L., E.F. Franklin, H.M. Nichols, &amp; J.G. Cagle. 2018. “Advance Care Planning Communication: Oncology Patients and Providers Voice their Perspectives.” </w:t>
            </w:r>
            <w:r w:rsidRPr="005D4222">
              <w:rPr>
                <w:i/>
                <w:szCs w:val="21"/>
              </w:rPr>
              <w:t xml:space="preserve">Journal of Cancer Education </w:t>
            </w:r>
            <w:r w:rsidRPr="005D4222">
              <w:rPr>
                <w:iCs/>
                <w:szCs w:val="21"/>
              </w:rPr>
              <w:t>33(</w:t>
            </w:r>
            <w:r w:rsidRPr="005D4222">
              <w:rPr>
                <w:szCs w:val="21"/>
              </w:rPr>
              <w:t>5), 1140–7. https://doi.org/10.1007/s13187-017-1225-4</w:t>
            </w:r>
          </w:p>
          <w:p w14:paraId="1BC29AFE" w14:textId="77777777" w:rsidR="009325D0" w:rsidRPr="005D4222" w:rsidRDefault="009325D0">
            <w:pPr>
              <w:pStyle w:val="ECDSBody"/>
              <w:rPr>
                <w:rStyle w:val="Hyperlink"/>
                <w:color w:val="auto"/>
                <w:szCs w:val="21"/>
              </w:rPr>
            </w:pPr>
            <w:r w:rsidRPr="005D4222">
              <w:t xml:space="preserve">Bischoff, K.E., R. Sudore, Y. Miao, W.J. Boscardin, &amp; A.K. Smith. 2013. “Advance Care Planning and the Quality of End-of-Life Care in Older Adults.” </w:t>
            </w:r>
            <w:r w:rsidRPr="005D4222">
              <w:rPr>
                <w:i/>
                <w:szCs w:val="21"/>
              </w:rPr>
              <w:t>Journal of the American Geriatrics Society</w:t>
            </w:r>
            <w:r w:rsidRPr="005D4222">
              <w:rPr>
                <w:szCs w:val="21"/>
              </w:rPr>
              <w:t xml:space="preserve"> </w:t>
            </w:r>
            <w:r w:rsidRPr="005D4222">
              <w:rPr>
                <w:iCs/>
                <w:szCs w:val="21"/>
              </w:rPr>
              <w:t>61</w:t>
            </w:r>
            <w:r w:rsidRPr="005D4222">
              <w:rPr>
                <w:szCs w:val="21"/>
              </w:rPr>
              <w:t>(2), 209–14. https://doi.org/10.1111/jgs.12105</w:t>
            </w:r>
          </w:p>
          <w:p w14:paraId="13C0BB4C" w14:textId="77777777" w:rsidR="009325D0" w:rsidRPr="005D4222" w:rsidRDefault="009325D0">
            <w:pPr>
              <w:pStyle w:val="ECDSBody"/>
              <w:rPr>
                <w:rStyle w:val="Hyperlink"/>
                <w:color w:val="auto"/>
                <w:szCs w:val="21"/>
              </w:rPr>
            </w:pPr>
            <w:r w:rsidRPr="005D4222">
              <w:t xml:space="preserve">Martin, R.S., B. Hayes, K. Gregorevic, &amp; W.K. Lim. 2016. “The Effects of Advance Care Planning Interventions on Nursing Home Residents: A Systematic Review.” </w:t>
            </w:r>
            <w:r w:rsidRPr="005D4222">
              <w:rPr>
                <w:i/>
              </w:rPr>
              <w:t>Journal of the American Medical Directors Association</w:t>
            </w:r>
            <w:r w:rsidRPr="005D4222">
              <w:t xml:space="preserve"> 17(4), 284–93. https://doi.org/10.1016/j.jamda.2015.12.017</w:t>
            </w:r>
          </w:p>
          <w:p w14:paraId="63DE0EDA" w14:textId="77777777" w:rsidR="009325D0" w:rsidRPr="005D4222" w:rsidRDefault="009325D0">
            <w:pPr>
              <w:pStyle w:val="ECDSBody"/>
            </w:pPr>
            <w:r w:rsidRPr="00DD64E0">
              <w:rPr>
                <w:lang w:val="es-ES"/>
              </w:rPr>
              <w:t xml:space="preserve">McMahan, R.D., I. Tellez, &amp; R.L. Sudore. </w:t>
            </w:r>
            <w:r w:rsidRPr="005D4222">
              <w:t xml:space="preserve">2021. “Deconstructing the Complexities of Advance Care Planning Outcomes: What Do We Know and Where Do We Go? A Scoping Review.” </w:t>
            </w:r>
            <w:r w:rsidRPr="005D4222">
              <w:rPr>
                <w:i/>
              </w:rPr>
              <w:t xml:space="preserve">Journal of the American Geriatrics Society </w:t>
            </w:r>
            <w:r w:rsidRPr="005D4222">
              <w:t>69(1), 234–244. https://doi.org/10.1111/jgs.16801</w:t>
            </w:r>
          </w:p>
        </w:tc>
      </w:tr>
      <w:tr w:rsidR="009325D0" w:rsidRPr="005D4222" w14:paraId="6E317F36" w14:textId="77777777" w:rsidTr="009325D0">
        <w:tc>
          <w:tcPr>
            <w:tcW w:w="2157" w:type="dxa"/>
            <w:shd w:val="clear" w:color="auto" w:fill="BFBFBF" w:themeFill="background1" w:themeFillShade="BF"/>
            <w:tcMar>
              <w:top w:w="0" w:type="dxa"/>
              <w:left w:w="86" w:type="dxa"/>
              <w:bottom w:w="43" w:type="dxa"/>
              <w:right w:w="86" w:type="dxa"/>
            </w:tcMar>
          </w:tcPr>
          <w:p w14:paraId="624C8ED4" w14:textId="77777777" w:rsidR="009325D0" w:rsidRPr="005D4222" w:rsidRDefault="009325D0">
            <w:pPr>
              <w:pStyle w:val="ECDSMarginHead"/>
            </w:pPr>
          </w:p>
        </w:tc>
        <w:tc>
          <w:tcPr>
            <w:tcW w:w="7561" w:type="dxa"/>
            <w:gridSpan w:val="3"/>
            <w:tcMar>
              <w:top w:w="0" w:type="dxa"/>
              <w:left w:w="86" w:type="dxa"/>
              <w:bottom w:w="43" w:type="dxa"/>
              <w:right w:w="86" w:type="dxa"/>
            </w:tcMar>
          </w:tcPr>
          <w:p w14:paraId="2E10536D" w14:textId="77777777" w:rsidR="009325D0" w:rsidRPr="005D4222" w:rsidRDefault="009325D0">
            <w:pPr>
              <w:pStyle w:val="ECDSBody"/>
            </w:pPr>
            <w:r w:rsidRPr="005D4222">
              <w:t xml:space="preserve">Rosenberg, A.R., B. Popp, D.S. Dizon, A. El-Jawahri, &amp; R. Spence. 2020. “Now, More Than Ever, Is the Time for Early and Frequent Advance Care Planning.” </w:t>
            </w:r>
            <w:r w:rsidRPr="005D4222">
              <w:rPr>
                <w:i/>
              </w:rPr>
              <w:t>Journal of Clinical Oncology</w:t>
            </w:r>
            <w:r w:rsidRPr="005D4222">
              <w:t xml:space="preserve"> JCO.20.01080. https://doi.org/10.1200/JCO.20.01080</w:t>
            </w:r>
          </w:p>
          <w:p w14:paraId="435D5277" w14:textId="77777777" w:rsidR="009325D0" w:rsidRPr="005D4222" w:rsidRDefault="009325D0">
            <w:pPr>
              <w:pStyle w:val="ECDSBody"/>
            </w:pPr>
            <w:r w:rsidRPr="005D4222">
              <w:t xml:space="preserve">Yadav, K.N., N.B. Gabler, E. Cooney, S. Kent, J. Kim, N. Herbst, A. Mante, S.D. Halpern, &amp; K.R. Courtright. 2017. “Approximately One in Three US Adults Completes Any Type of Advance Directive for End-Of-Life Care.” </w:t>
            </w:r>
            <w:r w:rsidRPr="005D4222">
              <w:rPr>
                <w:i/>
              </w:rPr>
              <w:t xml:space="preserve">Health Affairs </w:t>
            </w:r>
            <w:r w:rsidRPr="005D4222">
              <w:rPr>
                <w:iCs/>
              </w:rPr>
              <w:t>36</w:t>
            </w:r>
            <w:r w:rsidRPr="005D4222">
              <w:t>(7), 1244–51. https://doi.org/10.1377/hlthaff.2017.0175</w:t>
            </w:r>
          </w:p>
        </w:tc>
      </w:tr>
      <w:tr w:rsidR="009325D0" w:rsidRPr="005D4222" w14:paraId="620AD10A" w14:textId="77777777" w:rsidTr="009325D0">
        <w:tc>
          <w:tcPr>
            <w:tcW w:w="9718"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7BEA2E9A" w14:textId="77777777" w:rsidR="009325D0" w:rsidRPr="005D4222" w:rsidRDefault="009325D0">
            <w:pPr>
              <w:pStyle w:val="ECDSMarginHead"/>
            </w:pPr>
            <w:r w:rsidRPr="005D4222">
              <w:t>Characteristics</w:t>
            </w:r>
          </w:p>
        </w:tc>
      </w:tr>
      <w:tr w:rsidR="009325D0" w:rsidRPr="005D4222" w14:paraId="31561AE4" w14:textId="77777777" w:rsidTr="009325D0">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540259A7" w14:textId="77777777" w:rsidR="009325D0" w:rsidRPr="005D4222" w:rsidRDefault="009325D0" w:rsidP="00675209">
            <w:pPr>
              <w:pStyle w:val="ECDSSubhead"/>
            </w:pPr>
            <w:r w:rsidRPr="005D4222">
              <w:t>Scoring</w:t>
            </w:r>
          </w:p>
        </w:tc>
        <w:tc>
          <w:tcPr>
            <w:tcW w:w="7561"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79364085" w14:textId="77777777" w:rsidR="009325D0" w:rsidRPr="005D4222" w:rsidRDefault="009325D0">
            <w:pPr>
              <w:pStyle w:val="ECDSBody"/>
              <w:spacing w:after="0"/>
            </w:pPr>
            <w:r w:rsidRPr="005D4222">
              <w:t>Proportion.</w:t>
            </w:r>
          </w:p>
        </w:tc>
      </w:tr>
      <w:tr w:rsidR="009325D0" w:rsidRPr="005D4222" w14:paraId="42FF60F7" w14:textId="77777777" w:rsidTr="009325D0">
        <w:tc>
          <w:tcPr>
            <w:tcW w:w="2157" w:type="dxa"/>
            <w:tcBorders>
              <w:top w:val="nil"/>
              <w:left w:val="single" w:sz="4" w:space="0" w:color="auto"/>
              <w:bottom w:val="nil"/>
              <w:right w:val="single" w:sz="4" w:space="0" w:color="auto"/>
            </w:tcBorders>
            <w:tcMar>
              <w:top w:w="0" w:type="dxa"/>
              <w:left w:w="86" w:type="dxa"/>
              <w:bottom w:w="43" w:type="dxa"/>
              <w:right w:w="86" w:type="dxa"/>
            </w:tcMar>
          </w:tcPr>
          <w:p w14:paraId="4F5257F2" w14:textId="77777777" w:rsidR="009325D0" w:rsidRPr="005D4222" w:rsidRDefault="009325D0" w:rsidP="00675209">
            <w:pPr>
              <w:pStyle w:val="ECDSSubhead"/>
            </w:pPr>
            <w:r w:rsidRPr="005D4222">
              <w:t>Type</w:t>
            </w:r>
          </w:p>
        </w:tc>
        <w:tc>
          <w:tcPr>
            <w:tcW w:w="7561" w:type="dxa"/>
            <w:gridSpan w:val="3"/>
            <w:tcBorders>
              <w:top w:val="nil"/>
              <w:left w:val="single" w:sz="4" w:space="0" w:color="auto"/>
              <w:bottom w:val="nil"/>
              <w:right w:val="single" w:sz="4" w:space="0" w:color="auto"/>
            </w:tcBorders>
            <w:tcMar>
              <w:top w:w="0" w:type="dxa"/>
              <w:left w:w="86" w:type="dxa"/>
              <w:bottom w:w="43" w:type="dxa"/>
              <w:right w:w="86" w:type="dxa"/>
            </w:tcMar>
          </w:tcPr>
          <w:p w14:paraId="2504C4D2" w14:textId="77777777" w:rsidR="009325D0" w:rsidRPr="005D4222" w:rsidRDefault="009325D0">
            <w:pPr>
              <w:pStyle w:val="ECDSBody"/>
              <w:spacing w:after="0"/>
            </w:pPr>
            <w:r w:rsidRPr="005D4222">
              <w:t>Process.</w:t>
            </w:r>
          </w:p>
        </w:tc>
      </w:tr>
      <w:tr w:rsidR="009325D0" w:rsidRPr="005D4222" w14:paraId="7B4C3DAB" w14:textId="77777777" w:rsidTr="009325D0">
        <w:tc>
          <w:tcPr>
            <w:tcW w:w="2157" w:type="dxa"/>
            <w:tcBorders>
              <w:top w:val="nil"/>
              <w:left w:val="single" w:sz="4" w:space="0" w:color="auto"/>
              <w:bottom w:val="nil"/>
              <w:right w:val="single" w:sz="4" w:space="0" w:color="auto"/>
            </w:tcBorders>
            <w:tcMar>
              <w:top w:w="0" w:type="dxa"/>
              <w:left w:w="86" w:type="dxa"/>
              <w:bottom w:w="43" w:type="dxa"/>
              <w:right w:w="86" w:type="dxa"/>
            </w:tcMar>
          </w:tcPr>
          <w:p w14:paraId="5A37B1CE" w14:textId="5A62A843" w:rsidR="009325D0" w:rsidRPr="005D4222" w:rsidRDefault="00B51CDC" w:rsidP="00675209">
            <w:pPr>
              <w:pStyle w:val="ECDSSubhead"/>
            </w:pPr>
            <w:r w:rsidRPr="005D4222">
              <w:t>Product lines</w:t>
            </w:r>
          </w:p>
        </w:tc>
        <w:tc>
          <w:tcPr>
            <w:tcW w:w="7561" w:type="dxa"/>
            <w:gridSpan w:val="3"/>
            <w:tcBorders>
              <w:top w:val="nil"/>
              <w:left w:val="single" w:sz="4" w:space="0" w:color="auto"/>
              <w:bottom w:val="nil"/>
              <w:right w:val="single" w:sz="4" w:space="0" w:color="auto"/>
            </w:tcBorders>
            <w:tcMar>
              <w:top w:w="0" w:type="dxa"/>
              <w:left w:w="86" w:type="dxa"/>
              <w:bottom w:w="43" w:type="dxa"/>
              <w:right w:w="86" w:type="dxa"/>
            </w:tcMar>
          </w:tcPr>
          <w:p w14:paraId="25AD1004" w14:textId="77777777" w:rsidR="009325D0" w:rsidRPr="005D4222" w:rsidRDefault="009325D0">
            <w:pPr>
              <w:pStyle w:val="ECDSBody"/>
              <w:spacing w:after="0"/>
              <w:rPr>
                <w:rFonts w:eastAsia="Arial,Arial,Arial,Arial,Arial,A"/>
              </w:rPr>
            </w:pPr>
            <w:r w:rsidRPr="005D4222">
              <w:rPr>
                <w:rFonts w:eastAsia="Arial,Arial,Arial,Arial,Arial,A"/>
              </w:rPr>
              <w:t>Medicare.</w:t>
            </w:r>
          </w:p>
        </w:tc>
      </w:tr>
      <w:tr w:rsidR="009325D0" w:rsidRPr="005D4222" w14:paraId="56B584BA" w14:textId="77777777" w:rsidTr="009325D0">
        <w:tc>
          <w:tcPr>
            <w:tcW w:w="2157" w:type="dxa"/>
            <w:tcBorders>
              <w:top w:val="nil"/>
              <w:left w:val="single" w:sz="4" w:space="0" w:color="auto"/>
              <w:bottom w:val="nil"/>
              <w:right w:val="single" w:sz="4" w:space="0" w:color="auto"/>
            </w:tcBorders>
            <w:tcMar>
              <w:top w:w="0" w:type="dxa"/>
              <w:left w:w="86" w:type="dxa"/>
              <w:bottom w:w="43" w:type="dxa"/>
              <w:right w:w="86" w:type="dxa"/>
            </w:tcMar>
          </w:tcPr>
          <w:p w14:paraId="36E6CF9E" w14:textId="2E5DF3BD" w:rsidR="009325D0" w:rsidRPr="005D4222" w:rsidRDefault="00B51CDC" w:rsidP="00675209">
            <w:pPr>
              <w:pStyle w:val="ECDSSubhead"/>
            </w:pPr>
            <w:r w:rsidRPr="005D4222">
              <w:t>Stratifications</w:t>
            </w:r>
            <w:r w:rsidR="009325D0" w:rsidRPr="005D4222">
              <w:t xml:space="preserve"> </w:t>
            </w:r>
          </w:p>
        </w:tc>
        <w:tc>
          <w:tcPr>
            <w:tcW w:w="7561"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4FB7BC09" w14:textId="77777777" w:rsidR="009325D0" w:rsidRPr="005D4222" w:rsidRDefault="009325D0">
            <w:pPr>
              <w:pStyle w:val="ECDSBody"/>
              <w:spacing w:after="0"/>
              <w:rPr>
                <w:rFonts w:eastAsia="Arial,Arial,Arial,Arial,Arial,A"/>
              </w:rPr>
            </w:pPr>
            <w:r w:rsidRPr="005D4222">
              <w:rPr>
                <w:rFonts w:eastAsia="Arial,Arial,Arial,Arial,Arial,A"/>
              </w:rPr>
              <w:t>None.</w:t>
            </w:r>
          </w:p>
        </w:tc>
      </w:tr>
      <w:tr w:rsidR="009325D0" w:rsidRPr="005D4222" w14:paraId="5E76165A" w14:textId="77777777" w:rsidTr="009325D0">
        <w:tc>
          <w:tcPr>
            <w:tcW w:w="2157" w:type="dxa"/>
            <w:tcBorders>
              <w:top w:val="nil"/>
              <w:left w:val="single" w:sz="4" w:space="0" w:color="auto"/>
              <w:bottom w:val="nil"/>
              <w:right w:val="single" w:sz="4" w:space="0" w:color="auto"/>
            </w:tcBorders>
            <w:tcMar>
              <w:top w:w="0" w:type="dxa"/>
              <w:left w:w="86" w:type="dxa"/>
              <w:bottom w:w="43" w:type="dxa"/>
              <w:right w:w="86" w:type="dxa"/>
            </w:tcMar>
          </w:tcPr>
          <w:p w14:paraId="0CB1BD26" w14:textId="77777777" w:rsidR="009325D0" w:rsidRPr="005D4222" w:rsidRDefault="009325D0" w:rsidP="00675209">
            <w:pPr>
              <w:pStyle w:val="ECDSSubhead"/>
            </w:pPr>
            <w:r w:rsidRPr="005D4222">
              <w:t>Risk adjustment</w:t>
            </w:r>
          </w:p>
        </w:tc>
        <w:tc>
          <w:tcPr>
            <w:tcW w:w="7561"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19B20BA9" w14:textId="77777777" w:rsidR="009325D0" w:rsidRPr="005D4222" w:rsidRDefault="009325D0">
            <w:pPr>
              <w:pStyle w:val="ECDSBody"/>
              <w:spacing w:after="0"/>
            </w:pPr>
            <w:r w:rsidRPr="005D4222">
              <w:t>None.</w:t>
            </w:r>
          </w:p>
        </w:tc>
      </w:tr>
      <w:tr w:rsidR="009325D0" w:rsidRPr="005D4222" w14:paraId="03737DA5" w14:textId="77777777" w:rsidTr="009325D0">
        <w:tc>
          <w:tcPr>
            <w:tcW w:w="2157" w:type="dxa"/>
            <w:tcBorders>
              <w:top w:val="nil"/>
              <w:left w:val="single" w:sz="4" w:space="0" w:color="auto"/>
              <w:bottom w:val="nil"/>
              <w:right w:val="single" w:sz="4" w:space="0" w:color="auto"/>
            </w:tcBorders>
            <w:tcMar>
              <w:top w:w="0" w:type="dxa"/>
              <w:left w:w="86" w:type="dxa"/>
              <w:bottom w:w="43" w:type="dxa"/>
              <w:right w:w="86" w:type="dxa"/>
            </w:tcMar>
          </w:tcPr>
          <w:p w14:paraId="7344713B" w14:textId="77777777" w:rsidR="009325D0" w:rsidRPr="005D4222" w:rsidRDefault="009325D0" w:rsidP="00675209">
            <w:pPr>
              <w:pStyle w:val="ECDSSubhead"/>
            </w:pPr>
            <w:r w:rsidRPr="005D4222">
              <w:t>Improvement notation</w:t>
            </w:r>
          </w:p>
        </w:tc>
        <w:tc>
          <w:tcPr>
            <w:tcW w:w="7561"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23B8CBE9" w14:textId="77777777" w:rsidR="009325D0" w:rsidRPr="005D4222" w:rsidRDefault="009325D0">
            <w:pPr>
              <w:pStyle w:val="ECDSBody"/>
              <w:spacing w:after="0"/>
            </w:pPr>
            <w:r w:rsidRPr="005D4222">
              <w:t>Increased score indicates improvement.</w:t>
            </w:r>
          </w:p>
        </w:tc>
      </w:tr>
      <w:tr w:rsidR="009325D0" w:rsidRPr="005D4222" w14:paraId="30B32850" w14:textId="77777777" w:rsidTr="009325D0">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00A7C7CF" w14:textId="77777777" w:rsidR="009325D0" w:rsidRPr="005D4222" w:rsidRDefault="009325D0" w:rsidP="00675209">
            <w:pPr>
              <w:pStyle w:val="ECDSSubhead"/>
            </w:pPr>
            <w:r w:rsidRPr="005D4222">
              <w:t>Guidance</w:t>
            </w:r>
          </w:p>
        </w:tc>
        <w:tc>
          <w:tcPr>
            <w:tcW w:w="7561"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3FA911C3" w14:textId="7D0C650B" w:rsidR="009325D0" w:rsidRPr="005D4222" w:rsidRDefault="009325D0">
            <w:pPr>
              <w:pStyle w:val="ECDSBody"/>
            </w:pPr>
            <w:r w:rsidRPr="005D4222">
              <w:rPr>
                <w:rStyle w:val="normaltextrun"/>
                <w:b/>
                <w:color w:val="000000"/>
                <w:szCs w:val="21"/>
                <w:shd w:val="clear" w:color="auto" w:fill="FFFFFF"/>
              </w:rPr>
              <w:t>Data collection methodology:</w:t>
            </w:r>
            <w:r w:rsidRPr="005D4222">
              <w:rPr>
                <w:rStyle w:val="normaltextrun"/>
                <w:color w:val="000000"/>
                <w:szCs w:val="21"/>
                <w:shd w:val="clear" w:color="auto" w:fill="FFFFFF"/>
              </w:rPr>
              <w:t xml:space="preserve"> Administrative. Refer to </w:t>
            </w:r>
            <w:hyperlink w:anchor="General_Guideline_Data_Collection_Method" w:history="1">
              <w:r w:rsidRPr="005D4222">
                <w:rPr>
                  <w:rStyle w:val="Hyperlink"/>
                  <w:i/>
                  <w:szCs w:val="21"/>
                  <w:shd w:val="clear" w:color="auto" w:fill="FFFFFF"/>
                </w:rPr>
                <w:t>General Guideline: Data Collection Methods</w:t>
              </w:r>
            </w:hyperlink>
            <w:r w:rsidRPr="005D4222">
              <w:rPr>
                <w:rStyle w:val="normaltextrun"/>
                <w:color w:val="000000"/>
                <w:szCs w:val="21"/>
                <w:shd w:val="clear" w:color="auto" w:fill="FFFFFF"/>
              </w:rPr>
              <w:t xml:space="preserve"> for additional information.</w:t>
            </w:r>
            <w:r w:rsidRPr="005D4222">
              <w:rPr>
                <w:rStyle w:val="eop"/>
                <w:rFonts w:eastAsiaTheme="majorEastAsia"/>
                <w:color w:val="000000"/>
                <w:shd w:val="clear" w:color="auto" w:fill="FFFFFF"/>
              </w:rPr>
              <w:t> </w:t>
            </w:r>
          </w:p>
          <w:p w14:paraId="541B3D35" w14:textId="77777777" w:rsidR="009325D0" w:rsidRPr="005D4222" w:rsidRDefault="009325D0">
            <w:pPr>
              <w:pStyle w:val="ECDSBody"/>
              <w:rPr>
                <w:b/>
                <w:bCs w:val="0"/>
              </w:rPr>
            </w:pPr>
            <w:r w:rsidRPr="005D4222">
              <w:rPr>
                <w:b/>
              </w:rPr>
              <w:t xml:space="preserve">Date specificity: </w:t>
            </w:r>
            <w:r w:rsidRPr="005D4222">
              <w:t>Dates must be specific enough to determine the event occurred in the period being measured.</w:t>
            </w:r>
          </w:p>
          <w:p w14:paraId="3407F79E" w14:textId="77777777" w:rsidR="009325D0" w:rsidRPr="005D4222" w:rsidRDefault="009325D0">
            <w:pPr>
              <w:pStyle w:val="ECDSBody"/>
            </w:pPr>
            <w:r w:rsidRPr="005D4222">
              <w:rPr>
                <w:b/>
              </w:rPr>
              <w:t xml:space="preserve">Which services count? </w:t>
            </w:r>
            <w:r w:rsidRPr="005D4222">
              <w:t xml:space="preserve">When using claims, include all paid, suspended, pended and denied claims. </w:t>
            </w:r>
          </w:p>
        </w:tc>
      </w:tr>
      <w:tr w:rsidR="009325D0" w:rsidRPr="005D4222" w14:paraId="7BD27998" w14:textId="77777777" w:rsidTr="009325D0">
        <w:tc>
          <w:tcPr>
            <w:tcW w:w="9718" w:type="dxa"/>
            <w:gridSpan w:val="4"/>
            <w:tcBorders>
              <w:top w:val="single" w:sz="4" w:space="0" w:color="auto"/>
              <w:bottom w:val="nil"/>
            </w:tcBorders>
            <w:shd w:val="clear" w:color="auto" w:fill="BFBFBF" w:themeFill="background1" w:themeFillShade="BF"/>
            <w:tcMar>
              <w:top w:w="0" w:type="dxa"/>
              <w:left w:w="86" w:type="dxa"/>
              <w:bottom w:w="43" w:type="dxa"/>
              <w:right w:w="86" w:type="dxa"/>
            </w:tcMar>
          </w:tcPr>
          <w:p w14:paraId="641E5C94" w14:textId="77777777" w:rsidR="009325D0" w:rsidRPr="005D4222" w:rsidRDefault="009325D0">
            <w:pPr>
              <w:pStyle w:val="ECDSMarginHead"/>
            </w:pPr>
            <w:r w:rsidRPr="005D4222">
              <w:t xml:space="preserve">Definitions </w:t>
            </w:r>
          </w:p>
        </w:tc>
      </w:tr>
      <w:tr w:rsidR="009325D0" w:rsidRPr="005D4222" w14:paraId="403A6597" w14:textId="77777777" w:rsidTr="00675209">
        <w:tc>
          <w:tcPr>
            <w:tcW w:w="2157" w:type="dxa"/>
            <w:tcBorders>
              <w:top w:val="single" w:sz="4" w:space="0" w:color="auto"/>
              <w:bottom w:val="nil"/>
            </w:tcBorders>
            <w:tcMar>
              <w:top w:w="0" w:type="dxa"/>
              <w:left w:w="86" w:type="dxa"/>
              <w:bottom w:w="43" w:type="dxa"/>
              <w:right w:w="86" w:type="dxa"/>
            </w:tcMar>
          </w:tcPr>
          <w:p w14:paraId="548FC8A2" w14:textId="77777777" w:rsidR="009325D0" w:rsidRPr="005D4222" w:rsidRDefault="009325D0" w:rsidP="00675209">
            <w:pPr>
              <w:pStyle w:val="ECDSSubhead"/>
            </w:pPr>
            <w:r w:rsidRPr="005D4222">
              <w:t>Advance care planning</w:t>
            </w:r>
          </w:p>
        </w:tc>
        <w:tc>
          <w:tcPr>
            <w:tcW w:w="7561" w:type="dxa"/>
            <w:gridSpan w:val="3"/>
            <w:tcBorders>
              <w:top w:val="single" w:sz="4" w:space="0" w:color="auto"/>
              <w:bottom w:val="nil"/>
            </w:tcBorders>
            <w:tcMar>
              <w:left w:w="86" w:type="dxa"/>
              <w:bottom w:w="43" w:type="dxa"/>
              <w:right w:w="86" w:type="dxa"/>
            </w:tcMar>
          </w:tcPr>
          <w:p w14:paraId="2B10D7FA" w14:textId="77777777" w:rsidR="009325D0" w:rsidRPr="005D4222" w:rsidRDefault="009325D0">
            <w:pPr>
              <w:pStyle w:val="ECDSBody"/>
            </w:pPr>
            <w:r w:rsidRPr="005D4222">
              <w:t xml:space="preserve">A discussion or documentation about preferences for resuscitation, life-sustaining treatment and end of life care. </w:t>
            </w:r>
          </w:p>
        </w:tc>
      </w:tr>
      <w:tr w:rsidR="009325D0" w:rsidRPr="005D4222" w14:paraId="7CE3B4A7" w14:textId="77777777" w:rsidTr="009325D0">
        <w:tc>
          <w:tcPr>
            <w:tcW w:w="2157" w:type="dxa"/>
            <w:shd w:val="clear" w:color="auto" w:fill="BFBFBF" w:themeFill="background1" w:themeFillShade="BF"/>
            <w:tcMar>
              <w:top w:w="0" w:type="dxa"/>
              <w:left w:w="86" w:type="dxa"/>
              <w:bottom w:w="43" w:type="dxa"/>
              <w:right w:w="86" w:type="dxa"/>
            </w:tcMar>
          </w:tcPr>
          <w:p w14:paraId="1B582E8B" w14:textId="77777777" w:rsidR="009325D0" w:rsidRPr="005D4222" w:rsidRDefault="009325D0">
            <w:pPr>
              <w:pStyle w:val="ECDSMarginHead"/>
            </w:pPr>
            <w:r w:rsidRPr="005D4222">
              <w:t>Initial population</w:t>
            </w:r>
          </w:p>
        </w:tc>
        <w:tc>
          <w:tcPr>
            <w:tcW w:w="7561"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0FE586C" w14:textId="77777777" w:rsidR="009325D0" w:rsidRPr="005D4222" w:rsidRDefault="009325D0">
            <w:pPr>
              <w:pStyle w:val="ECDSBody"/>
            </w:pPr>
            <w:r w:rsidRPr="005D4222">
              <w:rPr>
                <w:i/>
              </w:rPr>
              <w:t xml:space="preserve">Measure item count: </w:t>
            </w:r>
            <w:r w:rsidRPr="005D4222">
              <w:t>Person.</w:t>
            </w:r>
          </w:p>
          <w:p w14:paraId="5892FD7A" w14:textId="77777777" w:rsidR="009325D0" w:rsidRPr="005D4222" w:rsidRDefault="009325D0">
            <w:pPr>
              <w:pStyle w:val="ECDSBody"/>
            </w:pPr>
            <w:r w:rsidRPr="005D4222">
              <w:rPr>
                <w:i/>
              </w:rPr>
              <w:t xml:space="preserve">Attribution basis: </w:t>
            </w:r>
            <w:r w:rsidRPr="005D4222">
              <w:t>Enrollment.</w:t>
            </w:r>
          </w:p>
          <w:p w14:paraId="1A130DC9" w14:textId="77777777" w:rsidR="009325D0" w:rsidRPr="005D4222" w:rsidRDefault="009325D0" w:rsidP="009325D0">
            <w:pPr>
              <w:pStyle w:val="Bullet"/>
              <w:numPr>
                <w:ilvl w:val="0"/>
                <w:numId w:val="4"/>
              </w:numPr>
              <w:tabs>
                <w:tab w:val="left" w:pos="360"/>
                <w:tab w:val="left" w:pos="576"/>
              </w:tabs>
              <w:ind w:left="576" w:hanging="216"/>
            </w:pPr>
            <w:r w:rsidRPr="005D4222">
              <w:rPr>
                <w:i/>
                <w:iCs/>
              </w:rPr>
              <w:t>Benefits:</w:t>
            </w:r>
            <w:r w:rsidRPr="005D4222">
              <w:t xml:space="preserve"> Medical.</w:t>
            </w:r>
          </w:p>
          <w:p w14:paraId="6804910A" w14:textId="77777777" w:rsidR="009325D0" w:rsidRPr="005D4222" w:rsidRDefault="009325D0" w:rsidP="009325D0">
            <w:pPr>
              <w:pStyle w:val="Bullet"/>
              <w:numPr>
                <w:ilvl w:val="0"/>
                <w:numId w:val="4"/>
              </w:numPr>
              <w:tabs>
                <w:tab w:val="left" w:pos="360"/>
                <w:tab w:val="left" w:pos="576"/>
              </w:tabs>
              <w:ind w:left="576" w:hanging="216"/>
            </w:pPr>
            <w:r w:rsidRPr="005D4222">
              <w:rPr>
                <w:i/>
                <w:iCs/>
              </w:rPr>
              <w:t xml:space="preserve">Continuous enrollment: </w:t>
            </w:r>
            <w:r w:rsidRPr="005D4222">
              <w:t>The measurement period.</w:t>
            </w:r>
          </w:p>
          <w:p w14:paraId="123D0F3E" w14:textId="77777777" w:rsidR="009325D0" w:rsidRPr="005D4222" w:rsidRDefault="009325D0" w:rsidP="009325D0">
            <w:pPr>
              <w:pStyle w:val="Bullet"/>
              <w:numPr>
                <w:ilvl w:val="0"/>
                <w:numId w:val="4"/>
              </w:numPr>
              <w:tabs>
                <w:tab w:val="left" w:pos="360"/>
                <w:tab w:val="left" w:pos="576"/>
              </w:tabs>
              <w:ind w:left="576" w:hanging="216"/>
            </w:pPr>
            <w:r w:rsidRPr="005D4222">
              <w:rPr>
                <w:i/>
                <w:iCs/>
              </w:rPr>
              <w:t>Allowable gap</w:t>
            </w:r>
            <w:r w:rsidRPr="005D4222">
              <w:t>: No more than one gap of ≤45 days during the measurement period. No gaps on the last day of the measurement period.</w:t>
            </w:r>
          </w:p>
          <w:p w14:paraId="4B7E727F" w14:textId="77777777" w:rsidR="009325D0" w:rsidRPr="005D4222" w:rsidRDefault="009325D0">
            <w:pPr>
              <w:pStyle w:val="ECDSBody"/>
            </w:pPr>
            <w:r w:rsidRPr="005D4222">
              <w:rPr>
                <w:i/>
              </w:rPr>
              <w:t xml:space="preserve">Ages: </w:t>
            </w:r>
            <w:r w:rsidRPr="005D4222">
              <w:t>66 years of age and older as of the last day of the measurement period.</w:t>
            </w:r>
          </w:p>
          <w:p w14:paraId="4CFB5C16" w14:textId="77777777" w:rsidR="009325D0" w:rsidRPr="005D4222" w:rsidRDefault="009325D0">
            <w:pPr>
              <w:pStyle w:val="ECDSBody"/>
              <w:spacing w:before="80"/>
              <w:rPr>
                <w:i/>
                <w:iCs/>
              </w:rPr>
            </w:pPr>
            <w:r w:rsidRPr="005D4222">
              <w:rPr>
                <w:i/>
                <w:iCs/>
              </w:rPr>
              <w:t xml:space="preserve">Event: </w:t>
            </w:r>
          </w:p>
          <w:p w14:paraId="62088BAF" w14:textId="77777777" w:rsidR="009325D0" w:rsidRPr="005D4222" w:rsidRDefault="009325D0">
            <w:pPr>
              <w:pStyle w:val="ECDSBody"/>
              <w:spacing w:before="80"/>
              <w:rPr>
                <w:rFonts w:eastAsia="Arial,Arial,Arial,Arial,Arial,A"/>
              </w:rPr>
            </w:pPr>
            <w:r w:rsidRPr="005D4222">
              <w:rPr>
                <w:b/>
                <w:bCs w:val="0"/>
              </w:rPr>
              <w:t xml:space="preserve">Step 1. </w:t>
            </w:r>
            <w:r w:rsidRPr="005D4222">
              <w:t>Include persons 66–80 years of age as of the last day of the measurement period who meet any of the following criteria:</w:t>
            </w:r>
          </w:p>
        </w:tc>
      </w:tr>
    </w:tbl>
    <w:p w14:paraId="143D9B5C" w14:textId="77777777" w:rsidR="00675209" w:rsidRPr="005D4222" w:rsidRDefault="00675209"/>
    <w:tbl>
      <w:tblPr>
        <w:tblW w:w="5003"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61"/>
      </w:tblGrid>
      <w:tr w:rsidR="009325D0" w:rsidRPr="005D4222" w14:paraId="2C2E7124" w14:textId="77777777" w:rsidTr="00675209">
        <w:tc>
          <w:tcPr>
            <w:tcW w:w="2157" w:type="dxa"/>
            <w:shd w:val="clear" w:color="auto" w:fill="BFBFBF" w:themeFill="background1" w:themeFillShade="BF"/>
            <w:tcMar>
              <w:top w:w="0" w:type="dxa"/>
              <w:left w:w="86" w:type="dxa"/>
              <w:bottom w:w="43" w:type="dxa"/>
              <w:right w:w="86" w:type="dxa"/>
            </w:tcMar>
          </w:tcPr>
          <w:p w14:paraId="1263CC36" w14:textId="77777777" w:rsidR="009325D0" w:rsidRPr="005D4222" w:rsidRDefault="009325D0">
            <w:pPr>
              <w:pStyle w:val="ECDSMarginHead"/>
            </w:pPr>
          </w:p>
        </w:tc>
        <w:tc>
          <w:tcPr>
            <w:tcW w:w="7561"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99DF435" w14:textId="77777777" w:rsidR="009325D0" w:rsidRPr="005D4222" w:rsidRDefault="009325D0" w:rsidP="009325D0">
            <w:pPr>
              <w:pStyle w:val="Bullet"/>
              <w:numPr>
                <w:ilvl w:val="0"/>
                <w:numId w:val="4"/>
              </w:numPr>
              <w:tabs>
                <w:tab w:val="left" w:pos="360"/>
                <w:tab w:val="left" w:pos="576"/>
              </w:tabs>
              <w:ind w:left="576" w:hanging="216"/>
            </w:pPr>
            <w:r w:rsidRPr="005D4222">
              <w:rPr>
                <w:i/>
              </w:rPr>
              <w:t>Advanced illness.</w:t>
            </w:r>
            <w:r w:rsidRPr="005D4222">
              <w:t xml:space="preserve"> Either of the following during the measurement period: </w:t>
            </w:r>
          </w:p>
          <w:p w14:paraId="5BAE5EC2" w14:textId="77777777" w:rsidR="009325D0" w:rsidRPr="005D4222" w:rsidRDefault="009325D0" w:rsidP="009325D0">
            <w:pPr>
              <w:pStyle w:val="Dash"/>
              <w:tabs>
                <w:tab w:val="left" w:pos="576"/>
                <w:tab w:val="left" w:pos="792"/>
              </w:tabs>
            </w:pPr>
            <w:r w:rsidRPr="005D4222">
              <w:t>Advanced illness (</w:t>
            </w:r>
            <w:r w:rsidRPr="005D4222">
              <w:rPr>
                <w:u w:val="single"/>
              </w:rPr>
              <w:t>Advanced Illness Value Set</w:t>
            </w:r>
            <w:r w:rsidRPr="005D4222">
              <w:t>*) on at least two different dates of service.</w:t>
            </w:r>
          </w:p>
          <w:p w14:paraId="4B761995" w14:textId="77777777" w:rsidR="009325D0" w:rsidRPr="005D4222" w:rsidRDefault="009325D0" w:rsidP="009325D0">
            <w:pPr>
              <w:pStyle w:val="Dash"/>
              <w:tabs>
                <w:tab w:val="left" w:pos="576"/>
                <w:tab w:val="left" w:pos="792"/>
              </w:tabs>
            </w:pPr>
            <w:r w:rsidRPr="005D4222">
              <w:t>Dispensed dementia medication (</w:t>
            </w:r>
            <w:r w:rsidRPr="005D4222">
              <w:rPr>
                <w:u w:val="single"/>
              </w:rPr>
              <w:t>Dementia Medications List</w:t>
            </w:r>
            <w:r w:rsidRPr="005D4222">
              <w:t>).</w:t>
            </w:r>
          </w:p>
          <w:p w14:paraId="0CC0528E" w14:textId="77777777" w:rsidR="009325D0" w:rsidRPr="005D4222" w:rsidRDefault="009325D0" w:rsidP="009325D0">
            <w:pPr>
              <w:pStyle w:val="Bullet"/>
              <w:numPr>
                <w:ilvl w:val="0"/>
                <w:numId w:val="4"/>
              </w:numPr>
              <w:tabs>
                <w:tab w:val="left" w:pos="360"/>
                <w:tab w:val="left" w:pos="576"/>
              </w:tabs>
              <w:ind w:left="576" w:hanging="216"/>
            </w:pPr>
            <w:r w:rsidRPr="005D4222">
              <w:rPr>
                <w:i/>
                <w:iCs/>
              </w:rPr>
              <w:t>Frailty.</w:t>
            </w:r>
            <w:r w:rsidRPr="005D4222">
              <w:t xml:space="preserve"> An indication of frailty (</w:t>
            </w:r>
            <w:r w:rsidRPr="005D4222">
              <w:rPr>
                <w:u w:val="single"/>
              </w:rPr>
              <w:t>Frailty Device Value Set</w:t>
            </w:r>
            <w:r w:rsidRPr="005D4222">
              <w:t xml:space="preserve">*; </w:t>
            </w:r>
            <w:r w:rsidRPr="005D4222">
              <w:rPr>
                <w:u w:val="single"/>
              </w:rPr>
              <w:t>Frailty Diagnosis Value Set</w:t>
            </w:r>
            <w:r w:rsidRPr="005D4222">
              <w:t xml:space="preserve">*; </w:t>
            </w:r>
            <w:r w:rsidRPr="005D4222">
              <w:rPr>
                <w:u w:val="single"/>
              </w:rPr>
              <w:t>Frailty Encounter Value Set</w:t>
            </w:r>
            <w:r w:rsidRPr="005D4222">
              <w:t xml:space="preserve">*; </w:t>
            </w:r>
            <w:r w:rsidRPr="005D4222">
              <w:rPr>
                <w:u w:val="single"/>
              </w:rPr>
              <w:t>Frailty Symptom Value Set</w:t>
            </w:r>
            <w:r w:rsidRPr="005D4222">
              <w:t xml:space="preserve">*) during the measurement period. </w:t>
            </w:r>
          </w:p>
          <w:p w14:paraId="492BDADE" w14:textId="77777777" w:rsidR="009325D0" w:rsidRPr="005D4222" w:rsidRDefault="009325D0" w:rsidP="009325D0">
            <w:pPr>
              <w:pStyle w:val="Bullet"/>
              <w:numPr>
                <w:ilvl w:val="0"/>
                <w:numId w:val="4"/>
              </w:numPr>
              <w:tabs>
                <w:tab w:val="left" w:pos="360"/>
                <w:tab w:val="left" w:pos="576"/>
              </w:tabs>
              <w:ind w:left="576" w:hanging="216"/>
            </w:pPr>
            <w:r w:rsidRPr="005D4222">
              <w:rPr>
                <w:i/>
                <w:iCs/>
              </w:rPr>
              <w:t>Palliative care.</w:t>
            </w:r>
            <w:r w:rsidRPr="005D4222" w:rsidDel="00D54DE2">
              <w:t xml:space="preserve"> </w:t>
            </w:r>
            <w:r w:rsidRPr="005D4222">
              <w:t>Persons receiving palliative care (</w:t>
            </w:r>
            <w:r w:rsidRPr="005D4222">
              <w:rPr>
                <w:u w:val="single"/>
              </w:rPr>
              <w:t>Palliative Care Assessment Value Set</w:t>
            </w:r>
            <w:r w:rsidRPr="005D4222">
              <w:t xml:space="preserve">; </w:t>
            </w:r>
            <w:r w:rsidRPr="005D4222">
              <w:rPr>
                <w:u w:val="single"/>
              </w:rPr>
              <w:t>Palliative Care Encounter Value Set</w:t>
            </w:r>
            <w:r w:rsidRPr="005D4222">
              <w:t xml:space="preserve">; </w:t>
            </w:r>
            <w:r w:rsidRPr="005D4222">
              <w:rPr>
                <w:u w:val="single"/>
              </w:rPr>
              <w:t>Palliative Care Intervention Value Set</w:t>
            </w:r>
            <w:r w:rsidRPr="005D4222">
              <w:t xml:space="preserve">) or who had an encounter for palliative care (ICD-10-CM code Z51.5*) any time during the measurement period. </w:t>
            </w:r>
          </w:p>
          <w:p w14:paraId="327842DA" w14:textId="77777777" w:rsidR="009325D0" w:rsidRPr="005D4222" w:rsidRDefault="009325D0">
            <w:pPr>
              <w:pStyle w:val="ECDSBody"/>
              <w:spacing w:after="0"/>
            </w:pPr>
            <w:r w:rsidRPr="005D4222">
              <w:rPr>
                <w:rFonts w:eastAsia="Arial,Arial,Arial,Arial,Arial,A"/>
                <w:b/>
                <w:bCs w:val="0"/>
              </w:rPr>
              <w:t xml:space="preserve">Step 2. </w:t>
            </w:r>
            <w:r w:rsidRPr="005D4222">
              <w:rPr>
                <w:rFonts w:eastAsia="Arial,Arial,Arial,Arial,Arial,A"/>
              </w:rPr>
              <w:t xml:space="preserve">Include all persons 81 years of age and older, </w:t>
            </w:r>
            <w:r w:rsidRPr="005D4222">
              <w:t xml:space="preserve">as of the last day of the measurement period. </w:t>
            </w:r>
          </w:p>
          <w:p w14:paraId="4AA9749E" w14:textId="77777777" w:rsidR="009325D0" w:rsidRPr="005D4222" w:rsidRDefault="009325D0">
            <w:pPr>
              <w:pStyle w:val="ECDSBody"/>
              <w:spacing w:after="0"/>
              <w:rPr>
                <w:rFonts w:eastAsia="Arial,Arial,Arial,Arial,Arial,A"/>
                <w:b/>
                <w:bCs w:val="0"/>
              </w:rPr>
            </w:pPr>
            <w:r w:rsidRPr="005D4222">
              <w:rPr>
                <w:rFonts w:eastAsia="Arial,Arial,Arial,Arial,Arial,A"/>
                <w:b/>
                <w:bCs w:val="0"/>
              </w:rPr>
              <w:t>Coding Guidance</w:t>
            </w:r>
          </w:p>
          <w:p w14:paraId="61EBBFEA" w14:textId="77777777" w:rsidR="009325D0" w:rsidRPr="005D4222" w:rsidRDefault="009325D0">
            <w:pPr>
              <w:pStyle w:val="ECDSBody"/>
              <w:spacing w:before="0"/>
              <w:rPr>
                <w:i/>
                <w:iCs/>
              </w:rPr>
            </w:pPr>
            <w:r w:rsidRPr="005D4222">
              <w:rPr>
                <w:rFonts w:eastAsia="Arial,Arial,Arial,Arial,Arial,A"/>
              </w:rPr>
              <w:t>*Do not include laboratory claims (claims with POS code 81).</w:t>
            </w:r>
          </w:p>
        </w:tc>
      </w:tr>
      <w:tr w:rsidR="009325D0" w:rsidRPr="005D4222" w14:paraId="05006ABC" w14:textId="77777777" w:rsidTr="00675209">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CB73298" w14:textId="77777777" w:rsidR="009325D0" w:rsidRPr="005D4222" w:rsidRDefault="009325D0">
            <w:pPr>
              <w:pStyle w:val="ECDSMarginHead"/>
            </w:pPr>
            <w:r w:rsidRPr="005D4222">
              <w:t xml:space="preserve">Denominator exclusions </w:t>
            </w:r>
          </w:p>
        </w:tc>
        <w:tc>
          <w:tcPr>
            <w:tcW w:w="7561"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6B1CB3C1" w14:textId="77777777" w:rsidR="009325D0" w:rsidRPr="005D4222" w:rsidRDefault="009325D0">
            <w:pPr>
              <w:pStyle w:val="ECDSBody"/>
              <w:rPr>
                <w:rFonts w:cs="Segoe UI"/>
                <w:szCs w:val="18"/>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p w14:paraId="4728D857" w14:textId="77777777" w:rsidR="009325D0" w:rsidRPr="005D4222" w:rsidRDefault="009325D0">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9325D0" w:rsidRPr="005D4222" w14:paraId="0E65FE45" w14:textId="77777777" w:rsidTr="00675209">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C0B5BB3" w14:textId="77777777" w:rsidR="009325D0" w:rsidRPr="005D4222" w:rsidRDefault="009325D0">
            <w:pPr>
              <w:pStyle w:val="ECDSMarginHead"/>
            </w:pPr>
            <w:r w:rsidRPr="005D4222">
              <w:t>Denominator</w:t>
            </w:r>
          </w:p>
        </w:tc>
        <w:tc>
          <w:tcPr>
            <w:tcW w:w="7561"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AC9E513" w14:textId="77777777" w:rsidR="009325D0" w:rsidRPr="005D4222" w:rsidRDefault="009325D0">
            <w:pPr>
              <w:pStyle w:val="ECDSBody"/>
              <w:rPr>
                <w:b/>
                <w:bCs w:val="0"/>
              </w:rPr>
            </w:pPr>
            <w:r w:rsidRPr="005D4222">
              <w:rPr>
                <w:rFonts w:eastAsia="Arial,Arial,Arial,Arial,Arial,A"/>
              </w:rPr>
              <w:t>The initial population minus denominator exclusions.</w:t>
            </w:r>
          </w:p>
        </w:tc>
      </w:tr>
      <w:tr w:rsidR="009325D0" w:rsidRPr="005D4222" w14:paraId="3ACB1692" w14:textId="77777777" w:rsidTr="00675209">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9D853E9" w14:textId="77777777" w:rsidR="009325D0" w:rsidRPr="005D4222" w:rsidRDefault="009325D0">
            <w:pPr>
              <w:pStyle w:val="ECDSMarginHead"/>
            </w:pPr>
            <w:r w:rsidRPr="005D4222">
              <w:t>Numerator</w:t>
            </w:r>
          </w:p>
        </w:tc>
        <w:tc>
          <w:tcPr>
            <w:tcW w:w="7561"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7B181058" w14:textId="77777777" w:rsidR="009325D0" w:rsidRPr="005D4222" w:rsidRDefault="009325D0">
            <w:pPr>
              <w:pStyle w:val="ECDSBody"/>
              <w:rPr>
                <w:i/>
                <w:iCs/>
              </w:rPr>
            </w:pPr>
            <w:r w:rsidRPr="005D4222">
              <w:rPr>
                <w:b/>
              </w:rPr>
              <w:t xml:space="preserve">Advance care planning. </w:t>
            </w:r>
            <w:r w:rsidRPr="005D4222">
              <w:rPr>
                <w:b/>
                <w:bCs w:val="0"/>
              </w:rPr>
              <w:br/>
            </w:r>
            <w:r w:rsidRPr="005D4222">
              <w:t>Evidence of advance care planning during the measurement period (</w:t>
            </w:r>
            <w:r w:rsidRPr="005D4222">
              <w:rPr>
                <w:u w:val="single"/>
              </w:rPr>
              <w:t>Advance Care Planning Value Set</w:t>
            </w:r>
            <w:r w:rsidRPr="005D4222">
              <w:t>*</w:t>
            </w:r>
            <w:r w:rsidRPr="005D4222">
              <w:rPr>
                <w:rFonts w:ascii="Arial Narrow" w:hAnsi="Arial Narrow"/>
                <w:color w:val="000000" w:themeColor="text1"/>
              </w:rPr>
              <w:t>†</w:t>
            </w:r>
            <w:r w:rsidRPr="005D4222">
              <w:t>).</w:t>
            </w:r>
          </w:p>
          <w:p w14:paraId="6538062A" w14:textId="77777777" w:rsidR="009325D0" w:rsidRPr="005D4222" w:rsidRDefault="009325D0">
            <w:pPr>
              <w:pStyle w:val="ECDSBody"/>
              <w:spacing w:after="0"/>
              <w:rPr>
                <w:b/>
                <w:bCs w:val="0"/>
                <w:color w:val="000000" w:themeColor="text1"/>
              </w:rPr>
            </w:pPr>
            <w:r w:rsidRPr="005D4222">
              <w:rPr>
                <w:b/>
                <w:color w:val="000000" w:themeColor="text1"/>
              </w:rPr>
              <w:t>Coding Guidance</w:t>
            </w:r>
          </w:p>
          <w:p w14:paraId="31515F63" w14:textId="77777777" w:rsidR="009325D0" w:rsidRPr="005D4222" w:rsidRDefault="009325D0">
            <w:pPr>
              <w:pStyle w:val="ECDSBody"/>
              <w:spacing w:before="0" w:after="0"/>
              <w:rPr>
                <w:color w:val="000000" w:themeColor="text1"/>
              </w:rPr>
            </w:pPr>
            <w:r w:rsidRPr="005D4222">
              <w:rPr>
                <w:color w:val="000000" w:themeColor="text1"/>
              </w:rPr>
              <w:t>*Do not include laboratory claims (claims with POS code 81).</w:t>
            </w:r>
          </w:p>
          <w:p w14:paraId="19C5228C" w14:textId="77777777" w:rsidR="009325D0" w:rsidRPr="005D4222" w:rsidRDefault="009325D0">
            <w:pPr>
              <w:pStyle w:val="ECDSBody"/>
              <w:spacing w:before="0"/>
              <w:rPr>
                <w:color w:val="000000" w:themeColor="text1"/>
              </w:rPr>
            </w:pPr>
            <w:r w:rsidRPr="005D4222">
              <w:rPr>
                <w:rFonts w:ascii="Arial Narrow" w:hAnsi="Arial Narrow"/>
                <w:color w:val="000000" w:themeColor="text1"/>
              </w:rPr>
              <w:t>†</w:t>
            </w:r>
            <w:r w:rsidRPr="005D4222">
              <w:rPr>
                <w:color w:val="000000" w:themeColor="text1"/>
              </w:rPr>
              <w:t>Do not include codes with a modifier (</w:t>
            </w:r>
            <w:r w:rsidRPr="005D4222">
              <w:rPr>
                <w:u w:val="single"/>
              </w:rPr>
              <w:t>CPT CAT II Modifier Value Set)</w:t>
            </w:r>
            <w:r w:rsidRPr="005D4222">
              <w:rPr>
                <w:color w:val="000000" w:themeColor="text1"/>
              </w:rPr>
              <w:t>.</w:t>
            </w:r>
          </w:p>
        </w:tc>
      </w:tr>
      <w:tr w:rsidR="009325D0" w:rsidRPr="005D4222" w14:paraId="742D1BCD" w14:textId="77777777" w:rsidTr="00675209">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C2DC458" w14:textId="77777777" w:rsidR="009325D0" w:rsidRPr="005D4222" w:rsidRDefault="009325D0">
            <w:pPr>
              <w:pStyle w:val="ECDSMarginHead"/>
            </w:pPr>
            <w:r w:rsidRPr="005D4222">
              <w:t>Summary of changes</w:t>
            </w:r>
          </w:p>
        </w:tc>
        <w:tc>
          <w:tcPr>
            <w:tcW w:w="7561"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2D22DA0" w14:textId="77777777" w:rsidR="009325D0" w:rsidRPr="005D4222" w:rsidRDefault="009325D0" w:rsidP="009325D0">
            <w:pPr>
              <w:pStyle w:val="ProcessBullet"/>
              <w:tabs>
                <w:tab w:val="left" w:pos="216"/>
              </w:tabs>
              <w:spacing w:before="120"/>
            </w:pPr>
            <w:r w:rsidRPr="005D4222">
              <w:t>No changes to this measure.</w:t>
            </w:r>
          </w:p>
        </w:tc>
      </w:tr>
    </w:tbl>
    <w:p w14:paraId="01908F06" w14:textId="77777777" w:rsidR="009325D0" w:rsidRPr="005D4222" w:rsidRDefault="009325D0" w:rsidP="009325D0">
      <w:pPr>
        <w:spacing w:after="160" w:line="259" w:lineRule="auto"/>
      </w:pPr>
      <w:r w:rsidRPr="005D4222">
        <w:br w:type="page"/>
      </w:r>
    </w:p>
    <w:tbl>
      <w:tblPr>
        <w:tblW w:w="5003"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61"/>
      </w:tblGrid>
      <w:tr w:rsidR="009325D0" w:rsidRPr="005D4222" w14:paraId="727F27F1"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1CB7CEC" w14:textId="77777777" w:rsidR="009325D0" w:rsidRPr="005D4222" w:rsidRDefault="009325D0">
            <w:pPr>
              <w:pStyle w:val="ECDSMarginHead"/>
            </w:pPr>
            <w:r w:rsidRPr="005D4222">
              <w:lastRenderedPageBreak/>
              <w:t>Data element tables</w:t>
            </w:r>
          </w:p>
        </w:tc>
        <w:tc>
          <w:tcPr>
            <w:tcW w:w="7561"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68435DE" w14:textId="77777777" w:rsidR="009325D0" w:rsidRPr="005D4222" w:rsidRDefault="009325D0">
            <w:pPr>
              <w:pStyle w:val="ECDSBody"/>
            </w:pPr>
            <w:r w:rsidRPr="005D4222">
              <w:t>Organizations that submit HEDIS data to NCQA must provide the following data elements.</w:t>
            </w:r>
          </w:p>
          <w:p w14:paraId="6913333D" w14:textId="77777777" w:rsidR="009325D0" w:rsidRPr="005D4222" w:rsidRDefault="009325D0">
            <w:pPr>
              <w:pStyle w:val="Heading3"/>
              <w:spacing w:before="120"/>
            </w:pPr>
            <w:r w:rsidRPr="005D4222">
              <w:t>Table ACP-3: Data Elements for Advance Care Planning</w:t>
            </w:r>
          </w:p>
          <w:tbl>
            <w:tblPr>
              <w:tblW w:w="73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336"/>
              <w:gridCol w:w="2700"/>
              <w:gridCol w:w="2340"/>
            </w:tblGrid>
            <w:tr w:rsidR="009325D0" w:rsidRPr="005D4222" w14:paraId="198C927D" w14:textId="77777777">
              <w:tc>
                <w:tcPr>
                  <w:tcW w:w="2336" w:type="dxa"/>
                  <w:tcBorders>
                    <w:top w:val="single" w:sz="4" w:space="0" w:color="000000" w:themeColor="text1"/>
                    <w:left w:val="single" w:sz="4" w:space="0" w:color="000000" w:themeColor="text1"/>
                    <w:bottom w:val="single" w:sz="4" w:space="0" w:color="auto"/>
                    <w:right w:val="single" w:sz="4" w:space="0" w:color="FFFFFF" w:themeColor="background1"/>
                  </w:tcBorders>
                  <w:shd w:val="clear" w:color="auto" w:fill="000000" w:themeFill="text1"/>
                  <w:vAlign w:val="bottom"/>
                  <w:hideMark/>
                </w:tcPr>
                <w:p w14:paraId="20A1AC73" w14:textId="77777777" w:rsidR="009325D0" w:rsidRPr="005D4222" w:rsidRDefault="009325D0">
                  <w:pPr>
                    <w:pStyle w:val="TableHead"/>
                  </w:pPr>
                  <w:r w:rsidRPr="005D4222">
                    <w:t>Metric</w:t>
                  </w:r>
                </w:p>
              </w:tc>
              <w:tc>
                <w:tcPr>
                  <w:tcW w:w="270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vAlign w:val="bottom"/>
                  <w:hideMark/>
                </w:tcPr>
                <w:p w14:paraId="75618E8B" w14:textId="77777777" w:rsidR="009325D0" w:rsidRPr="005D4222" w:rsidRDefault="009325D0">
                  <w:pPr>
                    <w:pStyle w:val="TableHead"/>
                  </w:pPr>
                  <w:r w:rsidRPr="005D4222">
                    <w:t>Data Element</w:t>
                  </w:r>
                </w:p>
              </w:tc>
              <w:tc>
                <w:tcPr>
                  <w:tcW w:w="2340"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vAlign w:val="bottom"/>
                  <w:hideMark/>
                </w:tcPr>
                <w:p w14:paraId="3AA65160" w14:textId="77777777" w:rsidR="009325D0" w:rsidRPr="005D4222" w:rsidRDefault="009325D0">
                  <w:pPr>
                    <w:pStyle w:val="TableHead"/>
                  </w:pPr>
                  <w:r w:rsidRPr="005D4222">
                    <w:t>Reporting Instructions</w:t>
                  </w:r>
                </w:p>
              </w:tc>
            </w:tr>
            <w:tr w:rsidR="009325D0" w:rsidRPr="005D4222" w14:paraId="480EB1B6" w14:textId="77777777">
              <w:trPr>
                <w:trHeight w:val="20"/>
              </w:trPr>
              <w:tc>
                <w:tcPr>
                  <w:tcW w:w="2336" w:type="dxa"/>
                  <w:tcBorders>
                    <w:top w:val="single" w:sz="4" w:space="0" w:color="auto"/>
                    <w:left w:val="single" w:sz="4" w:space="0" w:color="auto"/>
                    <w:bottom w:val="single" w:sz="4" w:space="0" w:color="auto"/>
                    <w:right w:val="single" w:sz="4" w:space="0" w:color="auto"/>
                  </w:tcBorders>
                  <w:hideMark/>
                </w:tcPr>
                <w:p w14:paraId="40DC8B3E" w14:textId="77777777" w:rsidR="009325D0" w:rsidRPr="005D4222" w:rsidRDefault="009325D0">
                  <w:pPr>
                    <w:pStyle w:val="TableText"/>
                    <w:rPr>
                      <w:rFonts w:cs="Arial"/>
                      <w:szCs w:val="21"/>
                    </w:rPr>
                  </w:pPr>
                  <w:r w:rsidRPr="005D4222">
                    <w:rPr>
                      <w:rFonts w:cs="Arial"/>
                      <w:szCs w:val="21"/>
                    </w:rPr>
                    <w:t>AdvanceCarePlanning</w:t>
                  </w:r>
                </w:p>
              </w:tc>
              <w:tc>
                <w:tcPr>
                  <w:tcW w:w="2700" w:type="dxa"/>
                  <w:tcBorders>
                    <w:top w:val="single" w:sz="4" w:space="0" w:color="000000" w:themeColor="text1"/>
                    <w:left w:val="single" w:sz="4" w:space="0" w:color="auto"/>
                    <w:bottom w:val="single" w:sz="4" w:space="0" w:color="000000" w:themeColor="text1"/>
                    <w:right w:val="single" w:sz="4" w:space="0" w:color="auto"/>
                  </w:tcBorders>
                  <w:hideMark/>
                </w:tcPr>
                <w:p w14:paraId="67D6AE73" w14:textId="77777777" w:rsidR="009325D0" w:rsidRPr="005D4222" w:rsidRDefault="009325D0">
                  <w:pPr>
                    <w:pStyle w:val="TableText"/>
                    <w:rPr>
                      <w:rFonts w:cs="Arial"/>
                      <w:szCs w:val="21"/>
                    </w:rPr>
                  </w:pPr>
                  <w:r w:rsidRPr="005D4222">
                    <w:rPr>
                      <w:rFonts w:cs="Arial"/>
                      <w:szCs w:val="21"/>
                    </w:rPr>
                    <w:t xml:space="preserve">InitialPopulation </w:t>
                  </w:r>
                </w:p>
              </w:tc>
              <w:tc>
                <w:tcPr>
                  <w:tcW w:w="2340" w:type="dxa"/>
                  <w:tcBorders>
                    <w:top w:val="single" w:sz="4" w:space="0" w:color="000000" w:themeColor="text1"/>
                    <w:left w:val="single" w:sz="4" w:space="0" w:color="auto"/>
                    <w:bottom w:val="single" w:sz="4" w:space="0" w:color="000000" w:themeColor="text1"/>
                    <w:right w:val="single" w:sz="4" w:space="0" w:color="auto"/>
                  </w:tcBorders>
                  <w:hideMark/>
                </w:tcPr>
                <w:p w14:paraId="31EF6551" w14:textId="77777777" w:rsidR="009325D0" w:rsidRPr="005D4222" w:rsidRDefault="009325D0">
                  <w:pPr>
                    <w:pStyle w:val="TableText"/>
                    <w:rPr>
                      <w:rFonts w:eastAsia="Wingdings" w:cs="Arial"/>
                      <w:szCs w:val="21"/>
                    </w:rPr>
                  </w:pPr>
                  <w:r w:rsidRPr="005D4222">
                    <w:rPr>
                      <w:rFonts w:eastAsia="Wingdings" w:cs="Arial"/>
                      <w:szCs w:val="21"/>
                    </w:rPr>
                    <w:t>Report once</w:t>
                  </w:r>
                </w:p>
              </w:tc>
            </w:tr>
            <w:tr w:rsidR="009325D0" w:rsidRPr="005D4222" w14:paraId="57D7830F" w14:textId="77777777">
              <w:trPr>
                <w:trHeight w:val="20"/>
              </w:trPr>
              <w:tc>
                <w:tcPr>
                  <w:tcW w:w="2336" w:type="dxa"/>
                  <w:tcBorders>
                    <w:top w:val="single" w:sz="4" w:space="0" w:color="auto"/>
                    <w:left w:val="nil"/>
                    <w:bottom w:val="nil"/>
                    <w:right w:val="single" w:sz="4" w:space="0" w:color="auto"/>
                  </w:tcBorders>
                </w:tcPr>
                <w:p w14:paraId="76C4726C" w14:textId="77777777" w:rsidR="009325D0" w:rsidRPr="005D4222" w:rsidRDefault="009325D0">
                  <w:pPr>
                    <w:pStyle w:val="TableText"/>
                    <w:rPr>
                      <w:rFonts w:cs="Arial"/>
                      <w:szCs w:val="21"/>
                    </w:rPr>
                  </w:pPr>
                </w:p>
              </w:tc>
              <w:tc>
                <w:tcPr>
                  <w:tcW w:w="2700" w:type="dxa"/>
                  <w:tcBorders>
                    <w:top w:val="single" w:sz="4" w:space="0" w:color="000000" w:themeColor="text1"/>
                    <w:left w:val="single" w:sz="4" w:space="0" w:color="auto"/>
                    <w:bottom w:val="single" w:sz="4" w:space="0" w:color="000000" w:themeColor="text1"/>
                    <w:right w:val="single" w:sz="4" w:space="0" w:color="auto"/>
                  </w:tcBorders>
                </w:tcPr>
                <w:p w14:paraId="69669B3C" w14:textId="77777777" w:rsidR="009325D0" w:rsidRPr="005D4222" w:rsidRDefault="009325D0">
                  <w:pPr>
                    <w:pStyle w:val="TableText"/>
                    <w:rPr>
                      <w:rFonts w:cs="Arial"/>
                    </w:rPr>
                  </w:pPr>
                  <w:r w:rsidRPr="005D4222">
                    <w:rPr>
                      <w:rFonts w:cs="Arial"/>
                    </w:rPr>
                    <w:t>Exclusions</w:t>
                  </w:r>
                </w:p>
              </w:tc>
              <w:tc>
                <w:tcPr>
                  <w:tcW w:w="2340" w:type="dxa"/>
                  <w:tcBorders>
                    <w:top w:val="single" w:sz="4" w:space="0" w:color="000000" w:themeColor="text1"/>
                    <w:left w:val="single" w:sz="4" w:space="0" w:color="auto"/>
                    <w:bottom w:val="single" w:sz="4" w:space="0" w:color="000000" w:themeColor="text1"/>
                    <w:right w:val="single" w:sz="4" w:space="0" w:color="auto"/>
                  </w:tcBorders>
                </w:tcPr>
                <w:p w14:paraId="205E2C55" w14:textId="77777777" w:rsidR="009325D0" w:rsidRPr="005D4222" w:rsidRDefault="009325D0">
                  <w:pPr>
                    <w:pStyle w:val="TableText"/>
                    <w:rPr>
                      <w:rFonts w:eastAsia="Wingdings" w:cs="Arial"/>
                      <w:szCs w:val="21"/>
                    </w:rPr>
                  </w:pPr>
                  <w:r w:rsidRPr="005D4222">
                    <w:rPr>
                      <w:rFonts w:eastAsia="Wingdings" w:cs="Arial"/>
                      <w:szCs w:val="21"/>
                    </w:rPr>
                    <w:t>Report once</w:t>
                  </w:r>
                </w:p>
              </w:tc>
            </w:tr>
            <w:tr w:rsidR="009325D0" w:rsidRPr="005D4222" w14:paraId="1D0B61CD" w14:textId="77777777">
              <w:trPr>
                <w:trHeight w:val="20"/>
              </w:trPr>
              <w:tc>
                <w:tcPr>
                  <w:tcW w:w="2336" w:type="dxa"/>
                  <w:tcBorders>
                    <w:top w:val="nil"/>
                    <w:left w:val="nil"/>
                    <w:bottom w:val="nil"/>
                    <w:right w:val="single" w:sz="4" w:space="0" w:color="auto"/>
                  </w:tcBorders>
                </w:tcPr>
                <w:p w14:paraId="01CBA98C" w14:textId="77777777" w:rsidR="009325D0" w:rsidRPr="005D4222" w:rsidRDefault="009325D0">
                  <w:pPr>
                    <w:pStyle w:val="TableText"/>
                    <w:rPr>
                      <w:rFonts w:cs="Arial"/>
                      <w:szCs w:val="21"/>
                    </w:rPr>
                  </w:pPr>
                </w:p>
              </w:tc>
              <w:tc>
                <w:tcPr>
                  <w:tcW w:w="2700" w:type="dxa"/>
                  <w:tcBorders>
                    <w:top w:val="single" w:sz="4" w:space="0" w:color="000000" w:themeColor="text1"/>
                    <w:left w:val="single" w:sz="4" w:space="0" w:color="auto"/>
                    <w:bottom w:val="single" w:sz="4" w:space="0" w:color="000000" w:themeColor="text1"/>
                    <w:right w:val="single" w:sz="4" w:space="0" w:color="auto"/>
                  </w:tcBorders>
                </w:tcPr>
                <w:p w14:paraId="7D342431" w14:textId="77777777" w:rsidR="009325D0" w:rsidRPr="005D4222" w:rsidRDefault="009325D0">
                  <w:pPr>
                    <w:pStyle w:val="TableText"/>
                    <w:rPr>
                      <w:rFonts w:cs="Arial"/>
                      <w:szCs w:val="21"/>
                    </w:rPr>
                  </w:pPr>
                  <w:r w:rsidRPr="005D4222">
                    <w:rPr>
                      <w:rFonts w:cs="Arial"/>
                    </w:rPr>
                    <w:t>Denominator</w:t>
                  </w:r>
                </w:p>
              </w:tc>
              <w:tc>
                <w:tcPr>
                  <w:tcW w:w="2340" w:type="dxa"/>
                  <w:tcBorders>
                    <w:top w:val="single" w:sz="4" w:space="0" w:color="000000" w:themeColor="text1"/>
                    <w:left w:val="single" w:sz="4" w:space="0" w:color="auto"/>
                    <w:bottom w:val="single" w:sz="4" w:space="0" w:color="000000" w:themeColor="text1"/>
                    <w:right w:val="single" w:sz="4" w:space="0" w:color="auto"/>
                  </w:tcBorders>
                </w:tcPr>
                <w:p w14:paraId="545D5ED1" w14:textId="77777777" w:rsidR="009325D0" w:rsidRPr="005D4222" w:rsidRDefault="009325D0">
                  <w:pPr>
                    <w:pStyle w:val="TableText"/>
                    <w:rPr>
                      <w:rFonts w:eastAsia="Wingdings" w:cs="Arial"/>
                      <w:szCs w:val="21"/>
                    </w:rPr>
                  </w:pPr>
                  <w:r w:rsidRPr="005D4222">
                    <w:rPr>
                      <w:rFonts w:eastAsia="Wingdings" w:cs="Arial"/>
                    </w:rPr>
                    <w:t>Report once</w:t>
                  </w:r>
                </w:p>
              </w:tc>
            </w:tr>
            <w:tr w:rsidR="009325D0" w:rsidRPr="005D4222" w14:paraId="696BF4AE" w14:textId="77777777">
              <w:trPr>
                <w:trHeight w:val="20"/>
              </w:trPr>
              <w:tc>
                <w:tcPr>
                  <w:tcW w:w="2336" w:type="dxa"/>
                  <w:tcBorders>
                    <w:top w:val="nil"/>
                    <w:left w:val="nil"/>
                    <w:bottom w:val="nil"/>
                    <w:right w:val="single" w:sz="4" w:space="0" w:color="auto"/>
                  </w:tcBorders>
                </w:tcPr>
                <w:p w14:paraId="58B3C233" w14:textId="77777777" w:rsidR="009325D0" w:rsidRPr="005D4222" w:rsidRDefault="009325D0">
                  <w:pPr>
                    <w:pStyle w:val="TableText"/>
                    <w:rPr>
                      <w:rFonts w:cs="Arial"/>
                      <w:szCs w:val="21"/>
                    </w:rPr>
                  </w:pPr>
                </w:p>
              </w:tc>
              <w:tc>
                <w:tcPr>
                  <w:tcW w:w="2700" w:type="dxa"/>
                  <w:tcBorders>
                    <w:top w:val="single" w:sz="4" w:space="0" w:color="000000" w:themeColor="text1"/>
                    <w:left w:val="single" w:sz="4" w:space="0" w:color="auto"/>
                    <w:bottom w:val="single" w:sz="4" w:space="0" w:color="000000" w:themeColor="text1"/>
                    <w:right w:val="single" w:sz="4" w:space="0" w:color="auto"/>
                  </w:tcBorders>
                </w:tcPr>
                <w:p w14:paraId="032DF85F" w14:textId="77777777" w:rsidR="009325D0" w:rsidRPr="005D4222" w:rsidRDefault="009325D0">
                  <w:pPr>
                    <w:pStyle w:val="TableText"/>
                    <w:rPr>
                      <w:rFonts w:cs="Arial"/>
                      <w:szCs w:val="21"/>
                    </w:rPr>
                  </w:pPr>
                  <w:r w:rsidRPr="005D4222">
                    <w:rPr>
                      <w:rFonts w:cs="Arial"/>
                      <w:szCs w:val="21"/>
                    </w:rPr>
                    <w:t>NumeratorByAdmin</w:t>
                  </w:r>
                </w:p>
              </w:tc>
              <w:tc>
                <w:tcPr>
                  <w:tcW w:w="2340" w:type="dxa"/>
                  <w:tcBorders>
                    <w:top w:val="single" w:sz="4" w:space="0" w:color="000000" w:themeColor="text1"/>
                    <w:left w:val="single" w:sz="4" w:space="0" w:color="auto"/>
                    <w:bottom w:val="single" w:sz="4" w:space="0" w:color="000000" w:themeColor="text1"/>
                    <w:right w:val="single" w:sz="4" w:space="0" w:color="auto"/>
                  </w:tcBorders>
                </w:tcPr>
                <w:p w14:paraId="159DFFD3" w14:textId="77777777" w:rsidR="009325D0" w:rsidRPr="005D4222" w:rsidRDefault="009325D0">
                  <w:pPr>
                    <w:pStyle w:val="TableText"/>
                    <w:rPr>
                      <w:rFonts w:eastAsia="Wingdings" w:cs="Arial"/>
                      <w:szCs w:val="21"/>
                    </w:rPr>
                  </w:pPr>
                  <w:r w:rsidRPr="005D4222">
                    <w:rPr>
                      <w:rFonts w:eastAsia="Wingdings" w:cs="Arial"/>
                      <w:szCs w:val="21"/>
                    </w:rPr>
                    <w:t>Report once</w:t>
                  </w:r>
                </w:p>
              </w:tc>
            </w:tr>
            <w:tr w:rsidR="009325D0" w:rsidRPr="005D4222" w14:paraId="3A7C976B" w14:textId="77777777">
              <w:trPr>
                <w:trHeight w:val="20"/>
              </w:trPr>
              <w:tc>
                <w:tcPr>
                  <w:tcW w:w="2336" w:type="dxa"/>
                  <w:tcBorders>
                    <w:top w:val="nil"/>
                    <w:left w:val="nil"/>
                    <w:bottom w:val="nil"/>
                    <w:right w:val="single" w:sz="4" w:space="0" w:color="auto"/>
                  </w:tcBorders>
                </w:tcPr>
                <w:p w14:paraId="6D969C70" w14:textId="77777777" w:rsidR="009325D0" w:rsidRPr="005D4222" w:rsidRDefault="009325D0">
                  <w:pPr>
                    <w:pStyle w:val="TableText"/>
                    <w:rPr>
                      <w:rFonts w:cs="Arial"/>
                      <w:szCs w:val="21"/>
                    </w:rPr>
                  </w:pPr>
                </w:p>
              </w:tc>
              <w:tc>
                <w:tcPr>
                  <w:tcW w:w="2700" w:type="dxa"/>
                  <w:tcBorders>
                    <w:top w:val="single" w:sz="4" w:space="0" w:color="000000" w:themeColor="text1"/>
                    <w:left w:val="single" w:sz="4" w:space="0" w:color="auto"/>
                    <w:bottom w:val="single" w:sz="4" w:space="0" w:color="000000" w:themeColor="text1"/>
                    <w:right w:val="single" w:sz="4" w:space="0" w:color="auto"/>
                  </w:tcBorders>
                </w:tcPr>
                <w:p w14:paraId="45FC5DBD" w14:textId="77777777" w:rsidR="009325D0" w:rsidRPr="005D4222" w:rsidRDefault="009325D0">
                  <w:pPr>
                    <w:pStyle w:val="TableText"/>
                    <w:rPr>
                      <w:rFonts w:cs="Arial"/>
                      <w:szCs w:val="21"/>
                    </w:rPr>
                  </w:pPr>
                  <w:r w:rsidRPr="005D4222">
                    <w:rPr>
                      <w:rFonts w:cs="Arial"/>
                      <w:szCs w:val="21"/>
                    </w:rPr>
                    <w:t>NumeratorBySupplemental</w:t>
                  </w:r>
                </w:p>
              </w:tc>
              <w:tc>
                <w:tcPr>
                  <w:tcW w:w="2340" w:type="dxa"/>
                  <w:tcBorders>
                    <w:top w:val="single" w:sz="4" w:space="0" w:color="000000" w:themeColor="text1"/>
                    <w:left w:val="single" w:sz="4" w:space="0" w:color="auto"/>
                    <w:bottom w:val="single" w:sz="4" w:space="0" w:color="000000" w:themeColor="text1"/>
                    <w:right w:val="single" w:sz="4" w:space="0" w:color="auto"/>
                  </w:tcBorders>
                </w:tcPr>
                <w:p w14:paraId="7DA4E89C" w14:textId="77777777" w:rsidR="009325D0" w:rsidRPr="005D4222" w:rsidRDefault="009325D0">
                  <w:pPr>
                    <w:pStyle w:val="TableText"/>
                    <w:rPr>
                      <w:rFonts w:eastAsia="Wingdings" w:cs="Arial"/>
                      <w:szCs w:val="21"/>
                    </w:rPr>
                  </w:pPr>
                  <w:r w:rsidRPr="005D4222">
                    <w:rPr>
                      <w:rFonts w:eastAsia="Wingdings" w:cs="Arial"/>
                      <w:szCs w:val="21"/>
                    </w:rPr>
                    <w:t>Report once</w:t>
                  </w:r>
                </w:p>
              </w:tc>
            </w:tr>
            <w:tr w:rsidR="009325D0" w:rsidRPr="005D4222" w14:paraId="1240E901" w14:textId="77777777">
              <w:trPr>
                <w:trHeight w:val="20"/>
              </w:trPr>
              <w:tc>
                <w:tcPr>
                  <w:tcW w:w="2336" w:type="dxa"/>
                  <w:tcBorders>
                    <w:top w:val="nil"/>
                    <w:left w:val="nil"/>
                    <w:bottom w:val="nil"/>
                    <w:right w:val="single" w:sz="4" w:space="0" w:color="auto"/>
                  </w:tcBorders>
                </w:tcPr>
                <w:p w14:paraId="58C9A954" w14:textId="77777777" w:rsidR="009325D0" w:rsidRPr="005D4222" w:rsidRDefault="009325D0">
                  <w:pPr>
                    <w:pStyle w:val="TableText"/>
                    <w:rPr>
                      <w:rFonts w:cs="Arial"/>
                      <w:szCs w:val="21"/>
                    </w:rPr>
                  </w:pPr>
                </w:p>
              </w:tc>
              <w:tc>
                <w:tcPr>
                  <w:tcW w:w="2700" w:type="dxa"/>
                  <w:tcBorders>
                    <w:top w:val="single" w:sz="4" w:space="0" w:color="000000" w:themeColor="text1"/>
                    <w:left w:val="single" w:sz="4" w:space="0" w:color="auto"/>
                    <w:bottom w:val="single" w:sz="4" w:space="0" w:color="auto"/>
                    <w:right w:val="single" w:sz="4" w:space="0" w:color="auto"/>
                  </w:tcBorders>
                  <w:shd w:val="clear" w:color="auto" w:fill="D9D9D9" w:themeFill="background1" w:themeFillShade="D9"/>
                </w:tcPr>
                <w:p w14:paraId="4B71E3F7" w14:textId="77777777" w:rsidR="009325D0" w:rsidRPr="005D4222" w:rsidRDefault="009325D0">
                  <w:pPr>
                    <w:pStyle w:val="TableText"/>
                    <w:rPr>
                      <w:rFonts w:cs="Arial"/>
                      <w:szCs w:val="21"/>
                    </w:rPr>
                  </w:pPr>
                  <w:r w:rsidRPr="005D4222">
                    <w:rPr>
                      <w:rFonts w:cs="Arial"/>
                      <w:szCs w:val="21"/>
                    </w:rPr>
                    <w:t>Rate</w:t>
                  </w:r>
                </w:p>
              </w:tc>
              <w:tc>
                <w:tcPr>
                  <w:tcW w:w="2340" w:type="dxa"/>
                  <w:tcBorders>
                    <w:top w:val="single" w:sz="4" w:space="0" w:color="000000" w:themeColor="text1"/>
                    <w:left w:val="single" w:sz="4" w:space="0" w:color="auto"/>
                    <w:bottom w:val="single" w:sz="4" w:space="0" w:color="auto"/>
                    <w:right w:val="single" w:sz="4" w:space="0" w:color="auto"/>
                  </w:tcBorders>
                  <w:shd w:val="clear" w:color="auto" w:fill="D9D9D9" w:themeFill="background1" w:themeFillShade="D9"/>
                </w:tcPr>
                <w:p w14:paraId="6B435C82" w14:textId="77777777" w:rsidR="009325D0" w:rsidRPr="005D4222" w:rsidRDefault="009325D0">
                  <w:pPr>
                    <w:pStyle w:val="TableText"/>
                    <w:rPr>
                      <w:rFonts w:eastAsia="Wingdings" w:cs="Arial"/>
                      <w:szCs w:val="21"/>
                    </w:rPr>
                  </w:pPr>
                  <w:r w:rsidRPr="005D4222">
                    <w:rPr>
                      <w:rFonts w:eastAsia="Wingdings" w:cs="Arial"/>
                      <w:szCs w:val="21"/>
                    </w:rPr>
                    <w:t>(Percent)</w:t>
                  </w:r>
                </w:p>
              </w:tc>
            </w:tr>
          </w:tbl>
          <w:p w14:paraId="5F3795EA" w14:textId="77777777" w:rsidR="009325D0" w:rsidRPr="005D4222" w:rsidRDefault="009325D0">
            <w:pPr>
              <w:pStyle w:val="ProcessDash"/>
              <w:numPr>
                <w:ilvl w:val="0"/>
                <w:numId w:val="0"/>
              </w:numPr>
              <w:rPr>
                <w:rFonts w:cs="Arial"/>
                <w:color w:val="000000" w:themeColor="text1"/>
                <w:highlight w:val="yellow"/>
              </w:rPr>
            </w:pPr>
          </w:p>
        </w:tc>
      </w:tr>
      <w:tr w:rsidR="009325D0" w:rsidRPr="005D4222" w14:paraId="610868B7"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32C4502" w14:textId="77777777" w:rsidR="009325D0" w:rsidRPr="005D4222" w:rsidRDefault="009325D0">
            <w:pPr>
              <w:pStyle w:val="ECDSMarginHead"/>
            </w:pPr>
            <w:r w:rsidRPr="005D4222">
              <w:t>Rules for Allowable Adjustments</w:t>
            </w:r>
          </w:p>
        </w:tc>
        <w:tc>
          <w:tcPr>
            <w:tcW w:w="7561"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4602C54" w14:textId="77777777" w:rsidR="009325D0" w:rsidRPr="005D4222" w:rsidRDefault="009325D0">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18915AC0" w14:textId="77777777" w:rsidR="009325D0" w:rsidRPr="005D4222" w:rsidRDefault="009325D0">
            <w:pPr>
              <w:pStyle w:val="ECDSBody"/>
              <w:rPr>
                <w:b/>
                <w:bCs w:val="0"/>
              </w:rPr>
            </w:pPr>
            <w:r w:rsidRPr="005D4222">
              <w:rPr>
                <w:b/>
              </w:rPr>
              <w:t>Adjusted HEDIS measures may not be used for HEDIS health plan reporting.</w:t>
            </w:r>
          </w:p>
          <w:p w14:paraId="1B532F20" w14:textId="77777777" w:rsidR="009325D0" w:rsidRPr="005D4222" w:rsidRDefault="009325D0">
            <w:pPr>
              <w:pStyle w:val="Adjustments"/>
              <w:rPr>
                <w:b w:val="0"/>
                <w:bCs/>
              </w:rPr>
            </w:pPr>
            <w:r w:rsidRPr="005D4222">
              <w:t>Adjustments allowed</w:t>
            </w:r>
          </w:p>
          <w:p w14:paraId="61439B04" w14:textId="6DF55B7F" w:rsidR="009325D0" w:rsidRPr="005D4222" w:rsidRDefault="009325D0" w:rsidP="009325D0">
            <w:pPr>
              <w:pStyle w:val="ProcessBullet"/>
              <w:tabs>
                <w:tab w:val="left" w:pos="216"/>
              </w:tabs>
              <w:rPr>
                <w:b/>
              </w:rPr>
            </w:pPr>
            <w:r w:rsidRPr="005D4222">
              <w:rPr>
                <w:i/>
                <w:iCs/>
              </w:rPr>
              <w:t>Product lines.</w:t>
            </w:r>
            <w:r w:rsidRPr="005D4222">
              <w:t xml:space="preserve"> Organizations are not required to use product line criteria; product lines may be combined</w:t>
            </w:r>
            <w:r w:rsidR="00E8671F" w:rsidRPr="005D4222">
              <w:t>,</w:t>
            </w:r>
            <w:r w:rsidRPr="005D4222">
              <w:t xml:space="preserve"> and all (or no) product line criteria may be used.</w:t>
            </w:r>
          </w:p>
          <w:p w14:paraId="799ED1B9" w14:textId="77777777" w:rsidR="009325D0" w:rsidRPr="005D4222" w:rsidRDefault="009325D0" w:rsidP="009325D0">
            <w:pPr>
              <w:pStyle w:val="ProcessBullet"/>
              <w:tabs>
                <w:tab w:val="left" w:pos="216"/>
              </w:tabs>
            </w:pPr>
            <w:r w:rsidRPr="005D4222">
              <w:rPr>
                <w:i/>
                <w:iCs/>
              </w:rPr>
              <w:t xml:space="preserve">Attribution. </w:t>
            </w:r>
            <w:r w:rsidRPr="005D4222">
              <w:t xml:space="preserve">Organizations are not required to use enrollment criteria. </w:t>
            </w:r>
          </w:p>
          <w:p w14:paraId="5CE0AE46" w14:textId="77777777" w:rsidR="009325D0" w:rsidRPr="005D4222" w:rsidRDefault="009325D0" w:rsidP="009325D0">
            <w:pPr>
              <w:pStyle w:val="ProcessBullet"/>
              <w:tabs>
                <w:tab w:val="left" w:pos="216"/>
              </w:tabs>
              <w:rPr>
                <w:b/>
              </w:rPr>
            </w:pPr>
            <w:r w:rsidRPr="005D4222">
              <w:rPr>
                <w:i/>
                <w:iCs/>
              </w:rPr>
              <w:t xml:space="preserve">Benefits. </w:t>
            </w:r>
            <w:r w:rsidRPr="005D4222">
              <w:t>Organizations are not required to use a benefit.</w:t>
            </w:r>
          </w:p>
          <w:p w14:paraId="328AAE3D" w14:textId="77777777" w:rsidR="009325D0" w:rsidRPr="005D4222" w:rsidRDefault="009325D0" w:rsidP="009325D0">
            <w:pPr>
              <w:pStyle w:val="ProcessBullet"/>
              <w:tabs>
                <w:tab w:val="left" w:pos="216"/>
              </w:tabs>
              <w:rPr>
                <w:b/>
              </w:rPr>
            </w:pPr>
            <w:r w:rsidRPr="005D4222">
              <w:rPr>
                <w:bCs/>
                <w:i/>
                <w:iCs/>
              </w:rPr>
              <w:t>Other.</w:t>
            </w:r>
            <w:r w:rsidRPr="005D4222">
              <w:rPr>
                <w:bCs/>
              </w:rPr>
              <w:t xml:space="preserve"> </w:t>
            </w:r>
            <w:r w:rsidRPr="005D4222">
              <w:t>Organizations may use additional initial population criteria to focus on an area of interest defined by gender, race, ethnicity, socioeconomic or sociodemographic characteristics, geographic region or another characteristic.</w:t>
            </w:r>
            <w:r w:rsidRPr="005D4222">
              <w:rPr>
                <w:b/>
              </w:rPr>
              <w:t xml:space="preserve">  </w:t>
            </w:r>
          </w:p>
          <w:p w14:paraId="0D4B28D7" w14:textId="77777777" w:rsidR="009325D0" w:rsidRPr="005D4222" w:rsidRDefault="009325D0" w:rsidP="009325D0">
            <w:pPr>
              <w:pStyle w:val="ProcessBullet"/>
              <w:tabs>
                <w:tab w:val="left" w:pos="216"/>
              </w:tabs>
              <w:rPr>
                <w:b/>
                <w:bCs/>
                <w:color w:val="000000" w:themeColor="text1"/>
              </w:rPr>
            </w:pPr>
            <w:r w:rsidRPr="005D4222">
              <w:rPr>
                <w:i/>
                <w:iCs/>
              </w:rPr>
              <w:t>Measurement period adjustments.</w:t>
            </w:r>
            <w:r w:rsidRPr="005D4222">
              <w:t xml:space="preserve"> Organizations may adjust the measurement period. </w:t>
            </w:r>
          </w:p>
          <w:p w14:paraId="176A68F2" w14:textId="77777777" w:rsidR="009325D0" w:rsidRPr="005D4222" w:rsidRDefault="009325D0" w:rsidP="009325D0">
            <w:pPr>
              <w:pStyle w:val="ProcessBullet"/>
              <w:tabs>
                <w:tab w:val="left" w:pos="216"/>
              </w:tabs>
              <w:rPr>
                <w:b/>
              </w:rPr>
            </w:pPr>
            <w:r w:rsidRPr="005D4222">
              <w:rPr>
                <w:bCs/>
                <w:i/>
                <w:iCs/>
              </w:rPr>
              <w:t>Exclusions.</w:t>
            </w:r>
            <w:r w:rsidRPr="005D4222">
              <w:rPr>
                <w:bCs/>
              </w:rPr>
              <w:t xml:space="preserve"> </w:t>
            </w:r>
            <w:r w:rsidRPr="005D4222">
              <w:t xml:space="preserve">The hospice and deceased person exclusions are not required. </w:t>
            </w:r>
          </w:p>
          <w:p w14:paraId="6848BF2A" w14:textId="77777777" w:rsidR="009325D0" w:rsidRPr="005D4222" w:rsidRDefault="009325D0" w:rsidP="009325D0">
            <w:pPr>
              <w:pStyle w:val="ProcessBullet"/>
              <w:tabs>
                <w:tab w:val="left" w:pos="216"/>
              </w:tabs>
            </w:pPr>
            <w:r w:rsidRPr="005D4222">
              <w:rPr>
                <w:i/>
                <w:iCs/>
              </w:rPr>
              <w:t xml:space="preserve">Telehealth. </w:t>
            </w:r>
            <w:r w:rsidRPr="005D4222">
              <w:t>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13A9BDFE" w14:textId="77777777" w:rsidR="009325D0" w:rsidRPr="005D4222" w:rsidRDefault="009325D0" w:rsidP="009325D0">
            <w:pPr>
              <w:pStyle w:val="ProcessBullet"/>
              <w:tabs>
                <w:tab w:val="left" w:pos="216"/>
              </w:tabs>
              <w:spacing w:after="80"/>
            </w:pPr>
            <w:r w:rsidRPr="005D4222">
              <w:rPr>
                <w:i/>
                <w:iCs/>
              </w:rPr>
              <w:t>Supplemental data.</w:t>
            </w:r>
            <w:r w:rsidRPr="005D4222">
              <w:t xml:space="preserve"> Supplemental data may be used to identify initial population, denominator, exclusion and numerator events.</w:t>
            </w:r>
          </w:p>
          <w:p w14:paraId="38B2C812" w14:textId="77777777" w:rsidR="00C05E46" w:rsidRPr="005D4222" w:rsidRDefault="00C05E46" w:rsidP="00C05E46">
            <w:pPr>
              <w:pStyle w:val="Adjustments"/>
              <w:rPr>
                <w:b w:val="0"/>
                <w:szCs w:val="24"/>
              </w:rPr>
            </w:pPr>
            <w:r w:rsidRPr="005D4222">
              <w:t xml:space="preserve">Adjustments </w:t>
            </w:r>
            <w:r w:rsidRPr="005D4222">
              <w:rPr>
                <w:szCs w:val="24"/>
              </w:rPr>
              <w:t>allowed with limits</w:t>
            </w:r>
          </w:p>
          <w:p w14:paraId="49DA9163" w14:textId="359C4011" w:rsidR="00C05E46" w:rsidRPr="005D4222" w:rsidRDefault="00C05E46" w:rsidP="00C05E46">
            <w:pPr>
              <w:pStyle w:val="ProcessBullet"/>
              <w:tabs>
                <w:tab w:val="left" w:pos="216"/>
              </w:tabs>
              <w:spacing w:after="80"/>
            </w:pPr>
            <w:r w:rsidRPr="005D4222">
              <w:rPr>
                <w:i/>
                <w:iCs/>
              </w:rPr>
              <w:t>Ages</w:t>
            </w:r>
            <w:r w:rsidRPr="005D4222">
              <w:t>. The age determination dates may be changed (e.g., select “age as of June 30”). Expanding the denominator age range to 18 years and older is allowed.</w:t>
            </w:r>
          </w:p>
        </w:tc>
      </w:tr>
      <w:tr w:rsidR="009325D0" w:rsidRPr="005D4222" w14:paraId="63D8D367" w14:textId="77777777">
        <w:tblPrEx>
          <w:tblCellMar>
            <w:top w:w="40" w:type="dxa"/>
            <w:left w:w="15" w:type="dxa"/>
            <w:right w:w="15" w:type="dxa"/>
          </w:tblCellMar>
        </w:tblPrEx>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357453B" w14:textId="77777777" w:rsidR="009325D0" w:rsidRPr="005D4222" w:rsidRDefault="009325D0">
            <w:pPr>
              <w:pStyle w:val="ECDSMarginHead"/>
            </w:pPr>
          </w:p>
        </w:tc>
        <w:tc>
          <w:tcPr>
            <w:tcW w:w="7561"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FCB95C9" w14:textId="77777777" w:rsidR="009325D0" w:rsidRPr="005D4222" w:rsidRDefault="009325D0" w:rsidP="00523BCA">
            <w:pPr>
              <w:pStyle w:val="Adjustments"/>
              <w:spacing w:before="120"/>
            </w:pPr>
            <w:r w:rsidRPr="005D4222">
              <w:t xml:space="preserve">Adjustments </w:t>
            </w:r>
            <w:r w:rsidRPr="005D4222">
              <w:rPr>
                <w:bCs/>
              </w:rPr>
              <w:t>not allowed</w:t>
            </w:r>
          </w:p>
          <w:p w14:paraId="303E1AAF" w14:textId="77777777" w:rsidR="009325D0" w:rsidRPr="005D4222" w:rsidRDefault="009325D0">
            <w:pPr>
              <w:pStyle w:val="ProcessBullet"/>
            </w:pPr>
            <w:r w:rsidRPr="005D4222">
              <w:rPr>
                <w:i/>
                <w:iCs/>
              </w:rPr>
              <w:t>Initial population:</w:t>
            </w:r>
            <w:r w:rsidRPr="005D4222">
              <w:t xml:space="preserve"> Event. Medication lists, value sets and logic may not be changed.</w:t>
            </w:r>
          </w:p>
          <w:p w14:paraId="59927D2B" w14:textId="77777777" w:rsidR="009325D0" w:rsidRPr="005D4222" w:rsidRDefault="009325D0">
            <w:pPr>
              <w:pStyle w:val="ProcessBullet"/>
              <w:spacing w:after="80"/>
              <w:rPr>
                <w:b/>
                <w:i/>
              </w:rPr>
            </w:pPr>
            <w:r w:rsidRPr="005D4222">
              <w:rPr>
                <w:i/>
                <w:iCs/>
              </w:rPr>
              <w:t>Numerator</w:t>
            </w:r>
            <w:r w:rsidRPr="005D4222">
              <w:t>. Value sets and logic may not be changed.</w:t>
            </w:r>
          </w:p>
        </w:tc>
      </w:tr>
    </w:tbl>
    <w:p w14:paraId="227683C8" w14:textId="77777777" w:rsidR="00831F98" w:rsidRPr="005D4222" w:rsidRDefault="00831F98" w:rsidP="009325D0">
      <w:pPr>
        <w:pStyle w:val="ECDSBody"/>
        <w:sectPr w:rsidR="00831F98" w:rsidRPr="005D4222" w:rsidSect="0074514A">
          <w:headerReference w:type="default" r:id="rId129"/>
          <w:footerReference w:type="default" r:id="rId130"/>
          <w:type w:val="nextColumn"/>
          <w:pgSz w:w="12240" w:h="15840" w:code="1"/>
          <w:pgMar w:top="1080" w:right="1080" w:bottom="1080" w:left="1440" w:header="720" w:footer="720" w:gutter="0"/>
          <w:cols w:space="720"/>
          <w:docGrid w:linePitch="360"/>
        </w:sectPr>
      </w:pPr>
    </w:p>
    <w:p w14:paraId="179BBB1B" w14:textId="043857B7" w:rsidR="009325D0" w:rsidRPr="005D4222" w:rsidRDefault="00C34891" w:rsidP="00C34891">
      <w:pPr>
        <w:pStyle w:val="MeasureTitle"/>
      </w:pPr>
      <w:bookmarkStart w:id="311" w:name="_Toc201813421"/>
      <w:r w:rsidRPr="005D4222">
        <w:lastRenderedPageBreak/>
        <w:t>Transitions of Care</w:t>
      </w:r>
      <w:r w:rsidR="0096709F" w:rsidRPr="005D4222">
        <w:t xml:space="preserve"> (TRC)</w:t>
      </w:r>
      <w:bookmarkEnd w:id="311"/>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4477"/>
        <w:gridCol w:w="1454"/>
        <w:gridCol w:w="1626"/>
      </w:tblGrid>
      <w:tr w:rsidR="00CE045A" w:rsidRPr="005D4222" w14:paraId="1BD72495" w14:textId="77777777">
        <w:tc>
          <w:tcPr>
            <w:tcW w:w="2157" w:type="dxa"/>
            <w:shd w:val="clear" w:color="auto" w:fill="BFBFBF" w:themeFill="background1" w:themeFillShade="BF"/>
            <w:tcMar>
              <w:top w:w="0" w:type="dxa"/>
              <w:left w:w="86" w:type="dxa"/>
              <w:bottom w:w="43" w:type="dxa"/>
              <w:right w:w="86" w:type="dxa"/>
            </w:tcMar>
            <w:hideMark/>
          </w:tcPr>
          <w:p w14:paraId="426D83B6" w14:textId="77777777" w:rsidR="00CE045A" w:rsidRPr="005D4222" w:rsidRDefault="00CE045A">
            <w:pPr>
              <w:pStyle w:val="ECDSMarginHead"/>
            </w:pPr>
            <w:r w:rsidRPr="005D4222">
              <w:t>Measure title</w:t>
            </w:r>
          </w:p>
        </w:tc>
        <w:tc>
          <w:tcPr>
            <w:tcW w:w="4477" w:type="dxa"/>
            <w:tcMar>
              <w:top w:w="0" w:type="dxa"/>
              <w:left w:w="86" w:type="dxa"/>
              <w:bottom w:w="43" w:type="dxa"/>
              <w:right w:w="86" w:type="dxa"/>
            </w:tcMar>
          </w:tcPr>
          <w:p w14:paraId="7E62BC33" w14:textId="77777777" w:rsidR="00CE045A" w:rsidRPr="005D4222" w:rsidRDefault="00CE045A">
            <w:pPr>
              <w:pStyle w:val="ECDSBody"/>
            </w:pPr>
            <w:r w:rsidRPr="005D4222">
              <w:t xml:space="preserve">Transitions of Care </w:t>
            </w:r>
          </w:p>
        </w:tc>
        <w:tc>
          <w:tcPr>
            <w:tcW w:w="1454" w:type="dxa"/>
            <w:shd w:val="clear" w:color="auto" w:fill="BFBFBF" w:themeFill="background1" w:themeFillShade="BF"/>
            <w:tcMar>
              <w:top w:w="0" w:type="dxa"/>
              <w:left w:w="86" w:type="dxa"/>
              <w:bottom w:w="43" w:type="dxa"/>
              <w:right w:w="86" w:type="dxa"/>
            </w:tcMar>
          </w:tcPr>
          <w:p w14:paraId="2CDADDA0" w14:textId="77777777" w:rsidR="00CE045A" w:rsidRPr="005D4222" w:rsidRDefault="00CE045A" w:rsidP="00675209">
            <w:pPr>
              <w:pStyle w:val="ECDSMarginHead"/>
            </w:pPr>
            <w:r w:rsidRPr="005D4222">
              <w:t>Measure ID</w:t>
            </w:r>
          </w:p>
        </w:tc>
        <w:tc>
          <w:tcPr>
            <w:tcW w:w="1626" w:type="dxa"/>
            <w:tcMar>
              <w:top w:w="0" w:type="dxa"/>
              <w:left w:w="86" w:type="dxa"/>
              <w:bottom w:w="43" w:type="dxa"/>
              <w:right w:w="86" w:type="dxa"/>
            </w:tcMar>
          </w:tcPr>
          <w:p w14:paraId="63750895" w14:textId="77777777" w:rsidR="00CE045A" w:rsidRPr="005D4222" w:rsidRDefault="00CE045A">
            <w:pPr>
              <w:pStyle w:val="ECDSBody"/>
            </w:pPr>
            <w:r w:rsidRPr="005D4222">
              <w:t xml:space="preserve">TRC </w:t>
            </w:r>
          </w:p>
        </w:tc>
      </w:tr>
      <w:tr w:rsidR="00CE045A" w:rsidRPr="005D4222" w14:paraId="63501AA0" w14:textId="77777777">
        <w:tc>
          <w:tcPr>
            <w:tcW w:w="2157" w:type="dxa"/>
            <w:shd w:val="clear" w:color="auto" w:fill="BFBFBF" w:themeFill="background1" w:themeFillShade="BF"/>
            <w:tcMar>
              <w:top w:w="0" w:type="dxa"/>
              <w:left w:w="86" w:type="dxa"/>
              <w:bottom w:w="43" w:type="dxa"/>
              <w:right w:w="86" w:type="dxa"/>
            </w:tcMar>
            <w:hideMark/>
          </w:tcPr>
          <w:p w14:paraId="27A3238D" w14:textId="77777777" w:rsidR="00CE045A" w:rsidRPr="005D4222" w:rsidRDefault="00CE045A">
            <w:pPr>
              <w:pStyle w:val="ECDSMarginHead"/>
            </w:pPr>
            <w:r w:rsidRPr="005D4222">
              <w:t>Description</w:t>
            </w:r>
          </w:p>
        </w:tc>
        <w:tc>
          <w:tcPr>
            <w:tcW w:w="7557" w:type="dxa"/>
            <w:gridSpan w:val="3"/>
            <w:tcMar>
              <w:top w:w="0" w:type="dxa"/>
              <w:left w:w="86" w:type="dxa"/>
              <w:bottom w:w="43" w:type="dxa"/>
              <w:right w:w="86" w:type="dxa"/>
            </w:tcMar>
          </w:tcPr>
          <w:p w14:paraId="38978D46" w14:textId="77777777" w:rsidR="00CE045A" w:rsidRPr="005D4222" w:rsidRDefault="00CE045A">
            <w:pPr>
              <w:pStyle w:val="ECDSBody"/>
            </w:pPr>
            <w:r w:rsidRPr="005D4222">
              <w:t>The percentage of discharges for persons 18 years of age and older who had each of the following. Four rates are reported:</w:t>
            </w:r>
          </w:p>
          <w:p w14:paraId="291380FC" w14:textId="77777777" w:rsidR="00CE045A" w:rsidRPr="005D4222" w:rsidRDefault="00CE045A" w:rsidP="005D6173">
            <w:pPr>
              <w:pStyle w:val="Bullet"/>
              <w:numPr>
                <w:ilvl w:val="0"/>
                <w:numId w:val="82"/>
              </w:numPr>
              <w:tabs>
                <w:tab w:val="left" w:pos="360"/>
              </w:tabs>
              <w:spacing w:before="120" w:after="80"/>
              <w:ind w:left="648" w:hanging="288"/>
            </w:pPr>
            <w:r w:rsidRPr="005D4222">
              <w:rPr>
                <w:i/>
                <w:iCs/>
              </w:rPr>
              <w:t>Notification of Inpatient Admission</w:t>
            </w:r>
            <w:r w:rsidRPr="005D4222">
              <w:t xml:space="preserve">. </w:t>
            </w:r>
            <w:r w:rsidRPr="005D4222">
              <w:rPr>
                <w:rFonts w:eastAsia="Arial"/>
              </w:rPr>
              <w:t>Documentation of receipt of notification of inpatient admission on the day of admission through 2 days after the admission (3 total days)</w:t>
            </w:r>
            <w:r w:rsidRPr="005D4222">
              <w:t>.</w:t>
            </w:r>
          </w:p>
          <w:p w14:paraId="6C48131E" w14:textId="77777777" w:rsidR="00CE045A" w:rsidRPr="005D4222" w:rsidRDefault="00CE045A" w:rsidP="005D6173">
            <w:pPr>
              <w:pStyle w:val="Bullet"/>
              <w:numPr>
                <w:ilvl w:val="0"/>
                <w:numId w:val="82"/>
              </w:numPr>
              <w:tabs>
                <w:tab w:val="left" w:pos="360"/>
              </w:tabs>
              <w:spacing w:before="120" w:after="80"/>
              <w:ind w:left="648" w:hanging="288"/>
            </w:pPr>
            <w:r w:rsidRPr="005D4222">
              <w:rPr>
                <w:i/>
                <w:iCs/>
              </w:rPr>
              <w:t xml:space="preserve">Receipt of Discharge </w:t>
            </w:r>
            <w:r w:rsidRPr="005D4222" w:rsidDel="001A4A99">
              <w:rPr>
                <w:i/>
                <w:iCs/>
              </w:rPr>
              <w:t>I</w:t>
            </w:r>
            <w:r w:rsidRPr="005D4222">
              <w:rPr>
                <w:i/>
                <w:iCs/>
              </w:rPr>
              <w:t xml:space="preserve">nformation. </w:t>
            </w:r>
            <w:r w:rsidRPr="005D4222">
              <w:rPr>
                <w:rFonts w:eastAsia="Arial"/>
              </w:rPr>
              <w:t>Documentation of receipt of discharge information on the day of discharge through 2 days after the discharge (3 total days)</w:t>
            </w:r>
            <w:r w:rsidRPr="005D4222">
              <w:t>.</w:t>
            </w:r>
          </w:p>
          <w:p w14:paraId="2412625B" w14:textId="77777777" w:rsidR="00CE045A" w:rsidRPr="005D4222" w:rsidRDefault="00CE045A" w:rsidP="005D6173">
            <w:pPr>
              <w:pStyle w:val="Bullet"/>
              <w:numPr>
                <w:ilvl w:val="0"/>
                <w:numId w:val="82"/>
              </w:numPr>
              <w:tabs>
                <w:tab w:val="left" w:pos="360"/>
              </w:tabs>
              <w:spacing w:before="120" w:after="80"/>
              <w:ind w:left="648" w:hanging="288"/>
            </w:pPr>
            <w:r w:rsidRPr="00DD64E0">
              <w:rPr>
                <w:i/>
                <w:lang w:val="fr-FR"/>
              </w:rPr>
              <w:t>Patient Engagement After Inpatient Discharge</w:t>
            </w:r>
            <w:r w:rsidRPr="00DD64E0">
              <w:rPr>
                <w:lang w:val="fr-FR"/>
              </w:rPr>
              <w:t xml:space="preserve">. </w:t>
            </w:r>
            <w:r w:rsidRPr="005D4222">
              <w:t>Documentation of patient engagement (e.g., office visits, visits to the home, telehealth) provided within 30 days after discharge.</w:t>
            </w:r>
          </w:p>
          <w:p w14:paraId="70540BA8" w14:textId="77777777" w:rsidR="00CE045A" w:rsidRPr="005D4222" w:rsidRDefault="00CE045A" w:rsidP="005D6173">
            <w:pPr>
              <w:pStyle w:val="Bullet"/>
              <w:numPr>
                <w:ilvl w:val="0"/>
                <w:numId w:val="82"/>
              </w:numPr>
              <w:tabs>
                <w:tab w:val="left" w:pos="360"/>
              </w:tabs>
              <w:spacing w:before="120" w:after="80"/>
              <w:ind w:left="648" w:hanging="288"/>
            </w:pPr>
            <w:r w:rsidRPr="005D4222">
              <w:rPr>
                <w:i/>
                <w:iCs/>
              </w:rPr>
              <w:t>Medication Reconciliation Post-Discharge</w:t>
            </w:r>
            <w:r w:rsidRPr="005D4222">
              <w:t>. Documentation of medication reconciliation on the date of discharge through 30 days after discharge (31 total days).</w:t>
            </w:r>
          </w:p>
        </w:tc>
      </w:tr>
      <w:tr w:rsidR="00CE045A" w:rsidRPr="005D4222" w14:paraId="27B35920" w14:textId="77777777">
        <w:tc>
          <w:tcPr>
            <w:tcW w:w="2157" w:type="dxa"/>
            <w:shd w:val="clear" w:color="auto" w:fill="BFBFBF" w:themeFill="background1" w:themeFillShade="BF"/>
            <w:tcMar>
              <w:top w:w="0" w:type="dxa"/>
              <w:left w:w="86" w:type="dxa"/>
              <w:bottom w:w="43" w:type="dxa"/>
              <w:right w:w="86" w:type="dxa"/>
            </w:tcMar>
          </w:tcPr>
          <w:p w14:paraId="131A49DD" w14:textId="77777777" w:rsidR="00CE045A" w:rsidRPr="005D4222" w:rsidRDefault="00CE045A">
            <w:pPr>
              <w:pStyle w:val="ECDSMarginHead"/>
            </w:pPr>
            <w:r w:rsidRPr="005D4222">
              <w:t>Measurement period</w:t>
            </w:r>
          </w:p>
        </w:tc>
        <w:tc>
          <w:tcPr>
            <w:tcW w:w="7557" w:type="dxa"/>
            <w:gridSpan w:val="3"/>
            <w:tcMar>
              <w:top w:w="0" w:type="dxa"/>
              <w:left w:w="86" w:type="dxa"/>
              <w:bottom w:w="43" w:type="dxa"/>
              <w:right w:w="86" w:type="dxa"/>
            </w:tcMar>
          </w:tcPr>
          <w:p w14:paraId="72905FAD" w14:textId="77777777" w:rsidR="00CE045A" w:rsidRPr="005D4222" w:rsidRDefault="00CE045A">
            <w:pPr>
              <w:pStyle w:val="ECDSBody"/>
            </w:pPr>
            <w:r w:rsidRPr="005D4222">
              <w:t>January 1–December 31.</w:t>
            </w:r>
          </w:p>
        </w:tc>
      </w:tr>
      <w:tr w:rsidR="00CE045A" w:rsidRPr="005D4222" w14:paraId="56FF1B09" w14:textId="77777777">
        <w:tc>
          <w:tcPr>
            <w:tcW w:w="2157" w:type="dxa"/>
            <w:shd w:val="clear" w:color="auto" w:fill="BFBFBF" w:themeFill="background1" w:themeFillShade="BF"/>
            <w:tcMar>
              <w:top w:w="0" w:type="dxa"/>
              <w:left w:w="86" w:type="dxa"/>
              <w:bottom w:w="43" w:type="dxa"/>
              <w:right w:w="86" w:type="dxa"/>
            </w:tcMar>
            <w:hideMark/>
          </w:tcPr>
          <w:p w14:paraId="266EDC0C" w14:textId="77777777" w:rsidR="00CE045A" w:rsidRPr="005D4222" w:rsidRDefault="00CE045A">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05FC6D6A" w14:textId="77777777" w:rsidR="00CE045A" w:rsidRPr="005D4222" w:rsidRDefault="00CE045A">
            <w:pPr>
              <w:pStyle w:val="ECDSBody"/>
            </w:pPr>
            <w:r w:rsidRPr="005D4222">
              <w:t xml:space="preserve">Refer to the complete copyright and disclaimer information at the front of this publication. </w:t>
            </w:r>
          </w:p>
          <w:p w14:paraId="3FFE1FB3" w14:textId="77777777" w:rsidR="00CE045A" w:rsidRPr="005D4222" w:rsidRDefault="00CE045A">
            <w:pPr>
              <w:pStyle w:val="ECDSBody"/>
              <w:spacing w:before="80"/>
            </w:pPr>
            <w:r w:rsidRPr="005D4222">
              <w:t xml:space="preserve">NCQA website: </w:t>
            </w:r>
            <w:r w:rsidRPr="005D4222">
              <w:rPr>
                <w:u w:val="single"/>
              </w:rPr>
              <w:t>www.ncqa.org</w:t>
            </w:r>
            <w:r w:rsidRPr="005D4222">
              <w:t>.</w:t>
            </w:r>
          </w:p>
          <w:p w14:paraId="1312E59B" w14:textId="77777777" w:rsidR="00CE045A" w:rsidRPr="005D4222" w:rsidRDefault="00CE045A">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CE045A" w:rsidRPr="005D4222" w14:paraId="16353F59" w14:textId="77777777">
        <w:tc>
          <w:tcPr>
            <w:tcW w:w="2157" w:type="dxa"/>
            <w:shd w:val="clear" w:color="auto" w:fill="BFBFBF" w:themeFill="background1" w:themeFillShade="BF"/>
            <w:tcMar>
              <w:top w:w="0" w:type="dxa"/>
              <w:left w:w="86" w:type="dxa"/>
              <w:bottom w:w="43" w:type="dxa"/>
              <w:right w:w="86" w:type="dxa"/>
            </w:tcMar>
            <w:hideMark/>
          </w:tcPr>
          <w:p w14:paraId="13BD1D29" w14:textId="77777777" w:rsidR="00CE045A" w:rsidRPr="005D4222" w:rsidRDefault="00CE045A">
            <w:pPr>
              <w:pStyle w:val="ECDSMarginHead"/>
            </w:pPr>
            <w:r w:rsidRPr="005D4222">
              <w:t>Clinical recommendation statement/ rationale</w:t>
            </w:r>
          </w:p>
        </w:tc>
        <w:tc>
          <w:tcPr>
            <w:tcW w:w="7557" w:type="dxa"/>
            <w:gridSpan w:val="3"/>
            <w:tcMar>
              <w:top w:w="0" w:type="dxa"/>
              <w:left w:w="86" w:type="dxa"/>
              <w:bottom w:w="43" w:type="dxa"/>
              <w:right w:w="86" w:type="dxa"/>
            </w:tcMar>
          </w:tcPr>
          <w:p w14:paraId="59146F28" w14:textId="77777777" w:rsidR="00CE045A" w:rsidRPr="005D4222" w:rsidRDefault="00CE045A">
            <w:pPr>
              <w:pStyle w:val="ECDSBody"/>
            </w:pPr>
            <w:r w:rsidRPr="005D4222">
              <w:t xml:space="preserve">Transitions from an inpatient setting to home often result in poor care coordination, including communication lapses between inpatient and outpatient providers; </w:t>
            </w:r>
            <w:r w:rsidRPr="005D4222" w:rsidDel="00FC78C6">
              <w:t xml:space="preserve">intentional and unintentional </w:t>
            </w:r>
            <w:r w:rsidRPr="005D4222">
              <w:t>medication changes; incomplete diagnostic work-ups; and inadequate beneficiary, caregiver and provider understanding of diagnoses, medication and follow-up needs. Poor hospital transitions are not only associated with poor health outcomes, but also with increased health care utilization and cost, including duplicate medical services, medication errors and increased emergency department visits and readmissions.</w:t>
            </w:r>
          </w:p>
          <w:p w14:paraId="7FF93362" w14:textId="77777777" w:rsidR="00CE045A" w:rsidRPr="005D4222" w:rsidRDefault="00CE045A">
            <w:pPr>
              <w:pStyle w:val="ECDSBody"/>
              <w:rPr>
                <w:szCs w:val="21"/>
              </w:rPr>
            </w:pPr>
            <w:r w:rsidRPr="005D4222">
              <w:rPr>
                <w:szCs w:val="21"/>
              </w:rPr>
              <w:t xml:space="preserve">Effective care coordination efforts must include notifying patients’ primary care practitioners (PCP) of admission, PCP receipt of meaningful and timely discharge information, patient engagement through follow-up </w:t>
            </w:r>
            <w:r w:rsidRPr="005D4222" w:rsidDel="009A1490">
              <w:rPr>
                <w:szCs w:val="21"/>
              </w:rPr>
              <w:t xml:space="preserve">provided </w:t>
            </w:r>
            <w:r w:rsidRPr="005D4222" w:rsidDel="001A6A61">
              <w:rPr>
                <w:szCs w:val="21"/>
              </w:rPr>
              <w:t xml:space="preserve">post-discharge </w:t>
            </w:r>
            <w:r w:rsidRPr="005D4222">
              <w:rPr>
                <w:szCs w:val="21"/>
              </w:rPr>
              <w:t>and medication reconciliation post-discharge.</w:t>
            </w:r>
          </w:p>
        </w:tc>
      </w:tr>
      <w:tr w:rsidR="00CE045A" w:rsidRPr="005D4222" w14:paraId="4C3696E0" w14:textId="77777777">
        <w:tc>
          <w:tcPr>
            <w:tcW w:w="2157" w:type="dxa"/>
            <w:shd w:val="clear" w:color="auto" w:fill="BFBFBF" w:themeFill="background1" w:themeFillShade="BF"/>
            <w:tcMar>
              <w:top w:w="0" w:type="dxa"/>
              <w:left w:w="86" w:type="dxa"/>
              <w:bottom w:w="43" w:type="dxa"/>
              <w:right w:w="86" w:type="dxa"/>
            </w:tcMar>
          </w:tcPr>
          <w:p w14:paraId="13CBFFD8" w14:textId="77777777" w:rsidR="00CE045A" w:rsidRPr="005D4222" w:rsidRDefault="00CE045A">
            <w:pPr>
              <w:pStyle w:val="ECDSMarginHead"/>
            </w:pPr>
            <w:r w:rsidRPr="005D4222">
              <w:t>Citations</w:t>
            </w:r>
          </w:p>
        </w:tc>
        <w:tc>
          <w:tcPr>
            <w:tcW w:w="7557" w:type="dxa"/>
            <w:gridSpan w:val="3"/>
            <w:tcMar>
              <w:top w:w="0" w:type="dxa"/>
              <w:left w:w="86" w:type="dxa"/>
              <w:bottom w:w="43" w:type="dxa"/>
              <w:right w:w="86" w:type="dxa"/>
            </w:tcMar>
          </w:tcPr>
          <w:p w14:paraId="1422B206" w14:textId="77777777" w:rsidR="00CE045A" w:rsidRPr="005D4222" w:rsidRDefault="00CE045A">
            <w:pPr>
              <w:pStyle w:val="ECDSBody"/>
            </w:pPr>
            <w:r w:rsidRPr="005D4222">
              <w:t xml:space="preserve">Rennke, S., O.K. Nguyen, M.H. Shoeb, Y. Magan, R.M. Wachter and S.R. Ranji. 2013. “Hospital-Initiated Transitional Care as a Patient Safety Strategy: A Systematic Review.” </w:t>
            </w:r>
            <w:r w:rsidRPr="005D4222">
              <w:rPr>
                <w:i/>
              </w:rPr>
              <w:t>Annals of Internal Medicine</w:t>
            </w:r>
            <w:r w:rsidRPr="005D4222">
              <w:t xml:space="preserve"> 158(5, Pt. 2), 433–40.</w:t>
            </w:r>
          </w:p>
          <w:p w14:paraId="12145EA2" w14:textId="77777777" w:rsidR="00CE045A" w:rsidRPr="005D4222" w:rsidRDefault="00CE045A" w:rsidP="00666A4A">
            <w:pPr>
              <w:pStyle w:val="ECDSBody"/>
              <w:spacing w:before="180"/>
            </w:pPr>
            <w:r w:rsidRPr="005D4222">
              <w:lastRenderedPageBreak/>
              <w:t xml:space="preserve">Sato, M., T. Shaffer, A.I. Arbaje and I.H. Zuckerman. 2011. “Residential and Health Care Transition Patterns Among Older Medicare Beneficiaries Over Time.” </w:t>
            </w:r>
            <w:r w:rsidRPr="005D4222">
              <w:rPr>
                <w:i/>
              </w:rPr>
              <w:t>The Gerontologist</w:t>
            </w:r>
            <w:r w:rsidRPr="005D4222">
              <w:t xml:space="preserve"> 51(2), 170–8.</w:t>
            </w:r>
          </w:p>
          <w:p w14:paraId="327F2726" w14:textId="77777777" w:rsidR="00CE045A" w:rsidRPr="005D4222" w:rsidRDefault="00CE045A" w:rsidP="00666A4A">
            <w:pPr>
              <w:pStyle w:val="ECDSBody"/>
            </w:pPr>
            <w:r w:rsidRPr="005D4222">
              <w:t xml:space="preserve">Centers for Disease Control and Prevention (CDC). 2010. </w:t>
            </w:r>
            <w:r w:rsidRPr="005D4222">
              <w:rPr>
                <w:i/>
              </w:rPr>
              <w:t>Number, Rate, and Average Length of Stay for Discharges From Short-Stay Hospitals, by Age, Region, and Sex: United States, 2010.</w:t>
            </w:r>
          </w:p>
          <w:p w14:paraId="530D9C6B" w14:textId="77777777" w:rsidR="00CE045A" w:rsidRPr="005D4222" w:rsidRDefault="00CE045A">
            <w:pPr>
              <w:pStyle w:val="ECDSBody"/>
            </w:pPr>
            <w:r w:rsidRPr="005D4222">
              <w:t xml:space="preserve">Kripalani, S., A.T. Jackson, J.L. Schnipper and E.A. Coleman. 2007. “Promoting Effective Transitions of Care at Hospital Discharge: A Review of Key Issues for Hospitalists.” </w:t>
            </w:r>
            <w:r w:rsidRPr="005D4222">
              <w:rPr>
                <w:i/>
              </w:rPr>
              <w:t>Journal of Hospital Medicine</w:t>
            </w:r>
            <w:r w:rsidRPr="005D4222">
              <w:t xml:space="preserve"> 2(5).</w:t>
            </w:r>
          </w:p>
        </w:tc>
      </w:tr>
      <w:tr w:rsidR="00CE045A" w:rsidRPr="005D4222" w14:paraId="6FCC0DDA" w14:textId="77777777">
        <w:tc>
          <w:tcPr>
            <w:tcW w:w="9714"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6546FFB1" w14:textId="77777777" w:rsidR="00CE045A" w:rsidRPr="005D4222" w:rsidRDefault="00CE045A">
            <w:pPr>
              <w:pStyle w:val="ECDSMarginHead"/>
            </w:pPr>
            <w:r w:rsidRPr="005D4222">
              <w:lastRenderedPageBreak/>
              <w:t>Characteristics</w:t>
            </w:r>
          </w:p>
        </w:tc>
      </w:tr>
      <w:tr w:rsidR="00CE045A" w:rsidRPr="005D4222" w14:paraId="05ED182D" w14:textId="77777777">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023C5B43" w14:textId="77777777" w:rsidR="00CE045A" w:rsidRPr="005D4222" w:rsidRDefault="00CE045A" w:rsidP="00666A4A">
            <w:pPr>
              <w:pStyle w:val="ECDSMarginSubhead"/>
              <w:spacing w:after="0"/>
            </w:pPr>
            <w:r w:rsidRPr="005D4222">
              <w:t>Scoring</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6085BE94" w14:textId="77777777" w:rsidR="00CE045A" w:rsidRPr="005D4222" w:rsidRDefault="00CE045A" w:rsidP="00666A4A">
            <w:pPr>
              <w:pStyle w:val="ECDSBody"/>
              <w:spacing w:after="0"/>
            </w:pPr>
            <w:r w:rsidRPr="005D4222">
              <w:t>Proportion.</w:t>
            </w:r>
          </w:p>
        </w:tc>
      </w:tr>
      <w:tr w:rsidR="00CE045A" w:rsidRPr="005D4222" w14:paraId="30A9C0BA"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73C529BF" w14:textId="77777777" w:rsidR="00CE045A" w:rsidRPr="005D4222" w:rsidRDefault="00CE045A" w:rsidP="00666A4A">
            <w:pPr>
              <w:pStyle w:val="ECDSMarginSubhead"/>
              <w:spacing w:after="0"/>
            </w:pPr>
            <w:r w:rsidRPr="005D4222">
              <w:t>Type</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6DDF7573" w14:textId="77777777" w:rsidR="00CE045A" w:rsidRPr="005D4222" w:rsidRDefault="00CE045A" w:rsidP="00666A4A">
            <w:pPr>
              <w:pStyle w:val="ECDSBody"/>
              <w:spacing w:after="0"/>
            </w:pPr>
            <w:r w:rsidRPr="005D4222">
              <w:t>Process.</w:t>
            </w:r>
          </w:p>
        </w:tc>
      </w:tr>
      <w:tr w:rsidR="00CE045A" w:rsidRPr="005D4222" w14:paraId="7F311887"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7B537476" w14:textId="12D429D5" w:rsidR="00CE045A" w:rsidRPr="005D4222" w:rsidRDefault="00B51CDC" w:rsidP="00666A4A">
            <w:pPr>
              <w:pStyle w:val="ECDSMarginSubhead"/>
              <w:spacing w:after="0"/>
            </w:pPr>
            <w:r w:rsidRPr="005D4222">
              <w:t>Product lines</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4BA7CB5A" w14:textId="77777777" w:rsidR="00CE045A" w:rsidRPr="005D4222" w:rsidRDefault="00CE045A" w:rsidP="00666A4A">
            <w:pPr>
              <w:pStyle w:val="ECDSBody"/>
              <w:spacing w:after="0"/>
            </w:pPr>
            <w:r w:rsidRPr="005D4222">
              <w:t>Medicare.</w:t>
            </w:r>
          </w:p>
        </w:tc>
      </w:tr>
      <w:tr w:rsidR="00CE045A" w:rsidRPr="005D4222" w14:paraId="6C4E957F"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1986F545" w14:textId="4C546664" w:rsidR="00CE045A" w:rsidRPr="005D4222" w:rsidRDefault="00B51CDC" w:rsidP="00666A4A">
            <w:pPr>
              <w:pStyle w:val="ECDSMarginSubhead"/>
              <w:spacing w:after="0"/>
            </w:pPr>
            <w:r w:rsidRPr="005D4222">
              <w:t>Stratifications</w:t>
            </w:r>
            <w:r w:rsidR="00CE045A" w:rsidRPr="005D4222">
              <w:t xml:space="preserve"> </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697C2637" w14:textId="77777777" w:rsidR="00CE045A" w:rsidRPr="005D4222" w:rsidRDefault="00CE045A" w:rsidP="00666A4A">
            <w:pPr>
              <w:pStyle w:val="ECDSBody"/>
              <w:spacing w:after="0"/>
              <w:rPr>
                <w:rFonts w:eastAsia="Arial,Arial,Arial,Arial,Arial,A"/>
              </w:rPr>
            </w:pPr>
            <w:r w:rsidRPr="005D4222">
              <w:rPr>
                <w:rFonts w:eastAsia="Arial,Arial,Arial,Arial,Arial,A"/>
              </w:rPr>
              <w:t>Age as of the last day of the measurement period.</w:t>
            </w:r>
          </w:p>
          <w:p w14:paraId="5AD2F720" w14:textId="77777777" w:rsidR="00CE045A" w:rsidRPr="005D4222" w:rsidRDefault="00CE045A" w:rsidP="00666A4A">
            <w:pPr>
              <w:pStyle w:val="Bullet"/>
              <w:numPr>
                <w:ilvl w:val="0"/>
                <w:numId w:val="4"/>
              </w:numPr>
              <w:tabs>
                <w:tab w:val="left" w:pos="360"/>
                <w:tab w:val="left" w:pos="576"/>
              </w:tabs>
              <w:ind w:left="576" w:hanging="216"/>
            </w:pPr>
            <w:r w:rsidRPr="005D4222">
              <w:t>18–64 years.</w:t>
            </w:r>
          </w:p>
          <w:p w14:paraId="6A5F7D16" w14:textId="77777777" w:rsidR="00CE045A" w:rsidRPr="005D4222" w:rsidRDefault="00CE045A" w:rsidP="00666A4A">
            <w:pPr>
              <w:pStyle w:val="Bullet"/>
              <w:numPr>
                <w:ilvl w:val="0"/>
                <w:numId w:val="4"/>
              </w:numPr>
              <w:tabs>
                <w:tab w:val="left" w:pos="360"/>
                <w:tab w:val="left" w:pos="576"/>
              </w:tabs>
              <w:ind w:left="576" w:hanging="216"/>
              <w:rPr>
                <w:rFonts w:cs="Arial"/>
              </w:rPr>
            </w:pPr>
            <w:r w:rsidRPr="005D4222">
              <w:t xml:space="preserve">65 years and older. </w:t>
            </w:r>
          </w:p>
        </w:tc>
      </w:tr>
      <w:tr w:rsidR="00CE045A" w:rsidRPr="005D4222" w14:paraId="2E662FAE"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1DCA278B" w14:textId="77777777" w:rsidR="00CE045A" w:rsidRPr="005D4222" w:rsidRDefault="00CE045A" w:rsidP="00666A4A">
            <w:pPr>
              <w:pStyle w:val="ECDSMarginSubhead"/>
              <w:spacing w:after="0"/>
            </w:pPr>
            <w:r w:rsidRPr="005D4222">
              <w:t>Risk adjustment</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6F5BC374" w14:textId="77777777" w:rsidR="00CE045A" w:rsidRPr="005D4222" w:rsidRDefault="00CE045A" w:rsidP="00666A4A">
            <w:pPr>
              <w:pStyle w:val="ECDSBody"/>
              <w:spacing w:after="0"/>
            </w:pPr>
            <w:r w:rsidRPr="005D4222">
              <w:t>None.</w:t>
            </w:r>
          </w:p>
        </w:tc>
      </w:tr>
      <w:tr w:rsidR="00CE045A" w:rsidRPr="005D4222" w14:paraId="319983F2"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213FE77A" w14:textId="77777777" w:rsidR="00CE045A" w:rsidRPr="005D4222" w:rsidRDefault="00CE045A" w:rsidP="00666A4A">
            <w:pPr>
              <w:pStyle w:val="ECDSMarginSubhead"/>
              <w:spacing w:after="0"/>
            </w:pPr>
            <w:r w:rsidRPr="005D4222">
              <w:t>Improvement notation</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2B9FEED1" w14:textId="77777777" w:rsidR="00CE045A" w:rsidRPr="005D4222" w:rsidRDefault="00CE045A" w:rsidP="00666A4A">
            <w:pPr>
              <w:pStyle w:val="ECDSBody"/>
              <w:spacing w:after="0"/>
            </w:pPr>
            <w:r w:rsidRPr="005D4222">
              <w:t>Increased score indicates improvement.</w:t>
            </w:r>
          </w:p>
        </w:tc>
      </w:tr>
      <w:tr w:rsidR="00CE045A" w:rsidRPr="005D4222" w14:paraId="3FBF4FC8" w14:textId="77777777">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6967A158" w14:textId="77777777" w:rsidR="00CE045A" w:rsidRPr="005D4222" w:rsidRDefault="00CE045A" w:rsidP="00666A4A">
            <w:pPr>
              <w:pStyle w:val="ECDSMarginSubhead"/>
            </w:pPr>
            <w:r w:rsidRPr="005D4222">
              <w:t>Guidance</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47A5A348" w14:textId="614447AF" w:rsidR="00CE045A" w:rsidRPr="005D4222" w:rsidRDefault="00CE045A">
            <w:pPr>
              <w:pStyle w:val="ECDSBody"/>
            </w:pPr>
            <w:r w:rsidRPr="005D4222">
              <w:rPr>
                <w:b/>
              </w:rPr>
              <w:t>Data collection methodology:</w:t>
            </w:r>
            <w:r w:rsidRPr="005D4222">
              <w:t xml:space="preserve"> Administrative and hybrid. Refer to the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3875D3BA" w14:textId="77777777" w:rsidR="00CE045A" w:rsidRPr="005D4222" w:rsidRDefault="00CE045A">
            <w:pPr>
              <w:pStyle w:val="ECDSBody"/>
            </w:pPr>
            <w:r w:rsidRPr="005D4222">
              <w:rPr>
                <w:b/>
              </w:rPr>
              <w:t xml:space="preserve">Date specificity: </w:t>
            </w:r>
            <w:r w:rsidRPr="005D4222">
              <w:t>Dates must be specific enough to determine the event occurred in the period being measured.</w:t>
            </w:r>
          </w:p>
          <w:p w14:paraId="1B4866DB" w14:textId="77777777" w:rsidR="00CE045A" w:rsidRPr="005D4222" w:rsidRDefault="00CE045A">
            <w:pPr>
              <w:pStyle w:val="ECDSBody"/>
            </w:pPr>
            <w:r w:rsidRPr="005D4222">
              <w:rPr>
                <w:b/>
              </w:rPr>
              <w:t xml:space="preserve">Which services count? </w:t>
            </w:r>
            <w:r w:rsidRPr="005D4222">
              <w:t>When using claims, include all paid, suspended, pending and denied claims.</w:t>
            </w:r>
          </w:p>
          <w:p w14:paraId="439EA2B2" w14:textId="77777777" w:rsidR="00CE045A" w:rsidRPr="005D4222" w:rsidRDefault="00CE045A">
            <w:pPr>
              <w:pStyle w:val="ECDSBody"/>
              <w:rPr>
                <w:b/>
              </w:rPr>
            </w:pPr>
            <w:r w:rsidRPr="005D4222">
              <w:rPr>
                <w:b/>
              </w:rPr>
              <w:t xml:space="preserve">Other guidance: </w:t>
            </w:r>
          </w:p>
          <w:p w14:paraId="37D456EA" w14:textId="77777777" w:rsidR="00CE045A" w:rsidRPr="005D4222" w:rsidRDefault="00CE045A">
            <w:pPr>
              <w:pStyle w:val="ProcessBullet"/>
              <w:rPr>
                <w:i/>
              </w:rPr>
            </w:pPr>
            <w:r w:rsidRPr="005D4222">
              <w:t>The measure is based on episodes; therefore, it is possible for the denominator to include multiple events for the same person.</w:t>
            </w:r>
          </w:p>
          <w:p w14:paraId="68171716" w14:textId="272F5D7D" w:rsidR="00CE045A" w:rsidRPr="005D4222" w:rsidRDefault="00CE045A">
            <w:pPr>
              <w:pStyle w:val="ProcessBullet"/>
              <w:rPr>
                <w:i/>
              </w:rPr>
            </w:pPr>
            <w:r w:rsidRPr="005D4222">
              <w:t xml:space="preserve">Refer to </w:t>
            </w:r>
            <w:hyperlink w:anchor="Appendix_1" w:history="1">
              <w:r w:rsidR="00697063" w:rsidRPr="005D4222">
                <w:rPr>
                  <w:rStyle w:val="Hyperlink"/>
                </w:rPr>
                <w:t>Appendix 1</w:t>
              </w:r>
            </w:hyperlink>
            <w:r w:rsidR="00697063">
              <w:t xml:space="preserve"> </w:t>
            </w:r>
            <w:r w:rsidRPr="005D4222">
              <w:t xml:space="preserve">for the definition of </w:t>
            </w:r>
            <w:r w:rsidRPr="005D4222">
              <w:rPr>
                <w:i/>
              </w:rPr>
              <w:t>PCP</w:t>
            </w:r>
            <w:r w:rsidRPr="005D4222">
              <w:t xml:space="preserve"> and </w:t>
            </w:r>
            <w:r w:rsidRPr="005D4222">
              <w:rPr>
                <w:i/>
              </w:rPr>
              <w:t>ongoing care provider.</w:t>
            </w:r>
          </w:p>
          <w:p w14:paraId="58DD9D27" w14:textId="77777777" w:rsidR="00CE045A" w:rsidRPr="005D4222" w:rsidRDefault="00CE045A">
            <w:pPr>
              <w:pStyle w:val="ProcessBullet"/>
            </w:pPr>
            <w:r w:rsidRPr="005D4222">
              <w:t xml:space="preserve">The denominator is based on the discharge date found in administrative/ claims data, but organizations may use other systems (including data found during medical record review) to identify data errors and make corrections. </w:t>
            </w:r>
          </w:p>
          <w:p w14:paraId="48E2CC2A" w14:textId="77777777" w:rsidR="00CE045A" w:rsidRPr="005D4222" w:rsidRDefault="00CE045A" w:rsidP="00CE045A">
            <w:pPr>
              <w:pStyle w:val="ProcessDash"/>
              <w:spacing w:after="40"/>
            </w:pPr>
            <w:r w:rsidRPr="005D4222">
              <w:t>If the organization chooses to use a different discharge date found in the medical record, it must assess all indicators using that date, including those that were previously compliant based on administrative data.</w:t>
            </w:r>
          </w:p>
        </w:tc>
      </w:tr>
    </w:tbl>
    <w:p w14:paraId="56AE7E74" w14:textId="77777777" w:rsidR="00D04B55" w:rsidRPr="005D4222" w:rsidRDefault="00D04B55">
      <w:pPr>
        <w:sectPr w:rsidR="00D04B55" w:rsidRPr="005D4222" w:rsidSect="0074514A">
          <w:headerReference w:type="default" r:id="rId131"/>
          <w:type w:val="nextColumn"/>
          <w:pgSz w:w="12240" w:h="15840" w:code="1"/>
          <w:pgMar w:top="1080" w:right="1080" w:bottom="1080" w:left="1440" w:header="720" w:footer="720" w:gutter="0"/>
          <w:cols w:space="720"/>
          <w:docGrid w:linePitch="360"/>
        </w:sect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CE045A" w:rsidRPr="005D4222" w14:paraId="129E3113" w14:textId="77777777">
        <w:tc>
          <w:tcPr>
            <w:tcW w:w="9714" w:type="dxa"/>
            <w:gridSpan w:val="2"/>
            <w:tcBorders>
              <w:top w:val="single" w:sz="4" w:space="0" w:color="auto"/>
              <w:bottom w:val="nil"/>
            </w:tcBorders>
            <w:shd w:val="clear" w:color="auto" w:fill="BFBFBF" w:themeFill="background1" w:themeFillShade="BF"/>
            <w:tcMar>
              <w:top w:w="0" w:type="dxa"/>
              <w:left w:w="86" w:type="dxa"/>
              <w:bottom w:w="43" w:type="dxa"/>
              <w:right w:w="86" w:type="dxa"/>
            </w:tcMar>
          </w:tcPr>
          <w:p w14:paraId="29649468" w14:textId="77777777" w:rsidR="00CE045A" w:rsidRPr="005D4222" w:rsidRDefault="00CE045A">
            <w:pPr>
              <w:pStyle w:val="ECDSMarginHead"/>
            </w:pPr>
            <w:r w:rsidRPr="005D4222">
              <w:lastRenderedPageBreak/>
              <w:t xml:space="preserve">Definitions </w:t>
            </w:r>
          </w:p>
        </w:tc>
      </w:tr>
      <w:tr w:rsidR="00CE045A" w:rsidRPr="005D4222" w14:paraId="5B82CECF" w14:textId="77777777">
        <w:tc>
          <w:tcPr>
            <w:tcW w:w="2157" w:type="dxa"/>
            <w:tcBorders>
              <w:bottom w:val="nil"/>
            </w:tcBorders>
            <w:tcMar>
              <w:top w:w="0" w:type="dxa"/>
              <w:left w:w="86" w:type="dxa"/>
              <w:bottom w:w="43" w:type="dxa"/>
              <w:right w:w="86" w:type="dxa"/>
            </w:tcMar>
          </w:tcPr>
          <w:p w14:paraId="59CD70D4" w14:textId="77777777" w:rsidR="00CE045A" w:rsidRPr="005D4222" w:rsidRDefault="00CE045A" w:rsidP="00D04B55">
            <w:pPr>
              <w:pStyle w:val="ECDSMarginSubhead"/>
            </w:pPr>
            <w:r w:rsidRPr="005D4222">
              <w:t>Medication list</w:t>
            </w: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396E676F" w14:textId="77777777" w:rsidR="00CE045A" w:rsidRPr="005D4222" w:rsidRDefault="00CE045A">
            <w:pPr>
              <w:pStyle w:val="ECDSBody"/>
              <w:spacing w:after="0"/>
              <w:rPr>
                <w:rFonts w:eastAsia="Arial"/>
              </w:rPr>
            </w:pPr>
            <w:r w:rsidRPr="005D4222">
              <w:t>A list of medications in the medical record. May include</w:t>
            </w:r>
            <w:r w:rsidRPr="005D4222" w:rsidDel="00A94DE6">
              <w:t xml:space="preserve"> </w:t>
            </w:r>
            <w:r w:rsidRPr="005D4222">
              <w:t xml:space="preserve">medication names only, or may include dosages, frequency, over-the-counter (OTC) medications and herbal or supplemental therapies. </w:t>
            </w:r>
          </w:p>
        </w:tc>
      </w:tr>
      <w:tr w:rsidR="00CE045A" w:rsidRPr="005D4222" w14:paraId="3410BD86" w14:textId="77777777">
        <w:tc>
          <w:tcPr>
            <w:tcW w:w="2157" w:type="dxa"/>
            <w:tcBorders>
              <w:top w:val="nil"/>
            </w:tcBorders>
            <w:tcMar>
              <w:top w:w="0" w:type="dxa"/>
              <w:left w:w="86" w:type="dxa"/>
              <w:bottom w:w="43" w:type="dxa"/>
              <w:right w:w="86" w:type="dxa"/>
            </w:tcMar>
          </w:tcPr>
          <w:p w14:paraId="4444D1F6" w14:textId="77777777" w:rsidR="00CE045A" w:rsidRPr="005D4222" w:rsidRDefault="00CE045A" w:rsidP="00D04B55">
            <w:pPr>
              <w:pStyle w:val="ECDSMarginSubhead"/>
            </w:pPr>
            <w:r w:rsidRPr="005D4222">
              <w:t>Medication reconciliation</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1F37A063" w14:textId="77777777" w:rsidR="00CE045A" w:rsidRPr="005D4222" w:rsidRDefault="00CE045A">
            <w:pPr>
              <w:pStyle w:val="ECDSBody"/>
            </w:pPr>
            <w:r w:rsidRPr="005D4222">
              <w:rPr>
                <w:rFonts w:eastAsia="Arial"/>
              </w:rPr>
              <w:t>A type of review in which the discharge medications are reconciled with the most recent medication list in the outpatient medical record.</w:t>
            </w:r>
          </w:p>
        </w:tc>
      </w:tr>
      <w:tr w:rsidR="00CE045A" w:rsidRPr="005D4222" w14:paraId="0B13B603" w14:textId="77777777">
        <w:tc>
          <w:tcPr>
            <w:tcW w:w="2157" w:type="dxa"/>
            <w:shd w:val="clear" w:color="auto" w:fill="BFBFBF" w:themeFill="background1" w:themeFillShade="BF"/>
            <w:tcMar>
              <w:top w:w="0" w:type="dxa"/>
              <w:left w:w="86" w:type="dxa"/>
              <w:bottom w:w="43" w:type="dxa"/>
              <w:right w:w="86" w:type="dxa"/>
            </w:tcMar>
          </w:tcPr>
          <w:p w14:paraId="01438311" w14:textId="77777777" w:rsidR="00CE045A" w:rsidRPr="005D4222" w:rsidRDefault="00CE045A">
            <w:pPr>
              <w:pStyle w:val="ECDSMarginHead"/>
            </w:pPr>
            <w:r w:rsidRPr="005D4222">
              <w:t>Initial population</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607DE4C" w14:textId="77777777" w:rsidR="00CE045A" w:rsidRPr="005D4222" w:rsidRDefault="00CE045A">
            <w:pPr>
              <w:pStyle w:val="ECDSBody"/>
            </w:pPr>
            <w:r w:rsidRPr="005D4222">
              <w:rPr>
                <w:i/>
                <w:iCs/>
              </w:rPr>
              <w:t xml:space="preserve">Measure item count: </w:t>
            </w:r>
            <w:r w:rsidRPr="005D4222">
              <w:t>Episode.</w:t>
            </w:r>
          </w:p>
          <w:p w14:paraId="46E7C926" w14:textId="77777777" w:rsidR="00CE045A" w:rsidRPr="005D4222" w:rsidRDefault="00CE045A">
            <w:pPr>
              <w:pStyle w:val="ECDSBody"/>
            </w:pPr>
            <w:r w:rsidRPr="005D4222">
              <w:rPr>
                <w:i/>
                <w:iCs/>
              </w:rPr>
              <w:t xml:space="preserve">Attribution basis: </w:t>
            </w:r>
            <w:r w:rsidRPr="005D4222">
              <w:t>Enrollment.</w:t>
            </w:r>
          </w:p>
          <w:p w14:paraId="451C9D58" w14:textId="77777777" w:rsidR="00CE045A" w:rsidRPr="005D4222" w:rsidRDefault="00CE045A" w:rsidP="00CE045A">
            <w:pPr>
              <w:pStyle w:val="Bullet"/>
              <w:numPr>
                <w:ilvl w:val="0"/>
                <w:numId w:val="4"/>
              </w:numPr>
              <w:tabs>
                <w:tab w:val="left" w:pos="360"/>
                <w:tab w:val="left" w:pos="576"/>
              </w:tabs>
              <w:ind w:left="576" w:hanging="216"/>
            </w:pPr>
            <w:r w:rsidRPr="005D4222">
              <w:rPr>
                <w:i/>
              </w:rPr>
              <w:t>Benefits:</w:t>
            </w:r>
            <w:r w:rsidRPr="005D4222">
              <w:t xml:space="preserve"> Medical.</w:t>
            </w:r>
          </w:p>
          <w:p w14:paraId="75CD15BA" w14:textId="77777777" w:rsidR="00CE045A" w:rsidRPr="005D4222" w:rsidRDefault="00CE045A" w:rsidP="00CE045A">
            <w:pPr>
              <w:pStyle w:val="Bullet"/>
              <w:numPr>
                <w:ilvl w:val="0"/>
                <w:numId w:val="4"/>
              </w:numPr>
              <w:tabs>
                <w:tab w:val="left" w:pos="360"/>
                <w:tab w:val="left" w:pos="576"/>
              </w:tabs>
              <w:ind w:left="576" w:hanging="216"/>
            </w:pPr>
            <w:r w:rsidRPr="005D4222">
              <w:rPr>
                <w:i/>
              </w:rPr>
              <w:t xml:space="preserve">Continuous enrollment: </w:t>
            </w:r>
            <w:r w:rsidRPr="005D4222">
              <w:t>Date of discharge through 30 days after discharge (31 days total).</w:t>
            </w:r>
          </w:p>
          <w:p w14:paraId="57C77BD4" w14:textId="77777777" w:rsidR="00CE045A" w:rsidRPr="005D4222" w:rsidRDefault="00CE045A" w:rsidP="00CE045A">
            <w:pPr>
              <w:pStyle w:val="Bullet"/>
              <w:numPr>
                <w:ilvl w:val="0"/>
                <w:numId w:val="4"/>
              </w:numPr>
              <w:tabs>
                <w:tab w:val="left" w:pos="360"/>
                <w:tab w:val="left" w:pos="576"/>
              </w:tabs>
              <w:ind w:left="576" w:hanging="216"/>
            </w:pPr>
            <w:r w:rsidRPr="005D4222">
              <w:rPr>
                <w:i/>
                <w:iCs/>
              </w:rPr>
              <w:t>Allowable gap:</w:t>
            </w:r>
            <w:r w:rsidRPr="005D4222">
              <w:t xml:space="preserve"> None.</w:t>
            </w:r>
          </w:p>
          <w:p w14:paraId="1AE64637" w14:textId="77777777" w:rsidR="00CE045A" w:rsidRPr="005D4222" w:rsidRDefault="00CE045A">
            <w:pPr>
              <w:pStyle w:val="ECDSBody"/>
            </w:pPr>
            <w:r w:rsidRPr="005D4222">
              <w:rPr>
                <w:i/>
              </w:rPr>
              <w:t>Ages:</w:t>
            </w:r>
            <w:r w:rsidRPr="005D4222">
              <w:t xml:space="preserve"> 18 years of age and older as of the last day of the measurement period.</w:t>
            </w:r>
          </w:p>
          <w:p w14:paraId="6B6ACCA4" w14:textId="77777777" w:rsidR="00887E7A" w:rsidRPr="005D4222" w:rsidRDefault="00CE045A">
            <w:pPr>
              <w:pStyle w:val="ECDSBody"/>
              <w:rPr>
                <w:b/>
                <w:bCs w:val="0"/>
              </w:rPr>
            </w:pPr>
            <w:r w:rsidRPr="005D4222">
              <w:rPr>
                <w:i/>
                <w:iCs/>
              </w:rPr>
              <w:t xml:space="preserve">Event: </w:t>
            </w:r>
            <w:r w:rsidRPr="005D4222">
              <w:rPr>
                <w:b/>
                <w:bCs w:val="0"/>
              </w:rPr>
              <w:t>Acute and nonacute inpatient discharges.</w:t>
            </w:r>
          </w:p>
          <w:p w14:paraId="0F20696D" w14:textId="5A00CAA4" w:rsidR="00CE045A" w:rsidRPr="005D4222" w:rsidRDefault="00CE045A">
            <w:pPr>
              <w:pStyle w:val="ECDSBody"/>
              <w:rPr>
                <w:bCs w:val="0"/>
              </w:rPr>
            </w:pPr>
            <w:r w:rsidRPr="005D4222">
              <w:rPr>
                <w:bCs w:val="0"/>
              </w:rPr>
              <w:t xml:space="preserve">An acute or nonacute inpatient discharge on or between January 1 and December 1 of the measurement period. </w:t>
            </w:r>
          </w:p>
          <w:p w14:paraId="69792BF9" w14:textId="77777777" w:rsidR="00CE045A" w:rsidRPr="005D4222" w:rsidRDefault="00CE045A">
            <w:pPr>
              <w:pStyle w:val="ECDSBody"/>
            </w:pPr>
            <w:r w:rsidRPr="005D4222">
              <w:t>To identify acute and nonacute inpatient discharges:</w:t>
            </w:r>
          </w:p>
          <w:p w14:paraId="6898E431" w14:textId="77777777" w:rsidR="00CE045A" w:rsidRPr="005D4222" w:rsidRDefault="00CE045A" w:rsidP="005D6173">
            <w:pPr>
              <w:pStyle w:val="Bullet"/>
              <w:numPr>
                <w:ilvl w:val="0"/>
                <w:numId w:val="78"/>
              </w:numPr>
              <w:tabs>
                <w:tab w:val="left" w:pos="360"/>
              </w:tabs>
              <w:ind w:left="648" w:hanging="288"/>
            </w:pPr>
            <w:r w:rsidRPr="005D4222">
              <w:t>Identify all acute and nonacute inpatient stays (</w:t>
            </w:r>
            <w:r w:rsidRPr="005D4222">
              <w:rPr>
                <w:u w:val="single"/>
              </w:rPr>
              <w:t>Inpatient Stay Value Set</w:t>
            </w:r>
            <w:r w:rsidRPr="005D4222">
              <w:t>).</w:t>
            </w:r>
          </w:p>
          <w:p w14:paraId="4C772BDA" w14:textId="77777777" w:rsidR="00CE045A" w:rsidRPr="005D4222" w:rsidRDefault="00CE045A" w:rsidP="005D6173">
            <w:pPr>
              <w:pStyle w:val="Bullet"/>
              <w:numPr>
                <w:ilvl w:val="0"/>
                <w:numId w:val="78"/>
              </w:numPr>
              <w:tabs>
                <w:tab w:val="left" w:pos="360"/>
              </w:tabs>
              <w:ind w:left="648" w:hanging="288"/>
            </w:pPr>
            <w:r w:rsidRPr="005D4222">
              <w:t>Identify the discharge date for the stay.</w:t>
            </w:r>
          </w:p>
          <w:p w14:paraId="12DA344C" w14:textId="77777777" w:rsidR="00CE045A" w:rsidRPr="005D4222" w:rsidRDefault="00CE045A">
            <w:pPr>
              <w:pStyle w:val="ECDSBody"/>
              <w:rPr>
                <w:szCs w:val="21"/>
              </w:rPr>
            </w:pPr>
            <w:r w:rsidRPr="005D4222">
              <w:rPr>
                <w:b/>
                <w:i/>
              </w:rPr>
              <w:t>Observation stays that precede the inpatient stay.</w:t>
            </w:r>
            <w:r w:rsidRPr="005D4222">
              <w:rPr>
                <w:i/>
              </w:rPr>
              <w:t xml:space="preserve"> </w:t>
            </w:r>
            <w:r w:rsidRPr="005D4222">
              <w:rPr>
                <w:iCs/>
              </w:rPr>
              <w:br/>
            </w:r>
            <w:r w:rsidRPr="005D4222">
              <w:rPr>
                <w:szCs w:val="21"/>
              </w:rPr>
              <w:t xml:space="preserve">Do not adjust the admit date if the discharge is preceded by an observation stay; use the admit date from the acute or nonacute inpatient stay. </w:t>
            </w:r>
          </w:p>
          <w:p w14:paraId="581502E0" w14:textId="77777777" w:rsidR="00CE045A" w:rsidRPr="005D4222" w:rsidRDefault="00CE045A">
            <w:pPr>
              <w:pStyle w:val="ECDSBody"/>
            </w:pPr>
            <w:r w:rsidRPr="005D4222">
              <w:rPr>
                <w:b/>
                <w:i/>
              </w:rPr>
              <w:t>Readmission or direct transfer.</w:t>
            </w:r>
            <w:r w:rsidRPr="005D4222">
              <w:rPr>
                <w:i/>
              </w:rPr>
              <w:t xml:space="preserve"> </w:t>
            </w:r>
            <w:r w:rsidRPr="005D4222">
              <w:rPr>
                <w:iCs/>
              </w:rPr>
              <w:br/>
            </w:r>
            <w:r w:rsidRPr="005D4222">
              <w:t>If the discharge is followed by a readmission or direct transfer to an acute or nonacute inpatient care setting on the date of discharge through 30 days after discharge (31 days total), use the admit date from the first admission and the discharge date from the last discharge. To identify readmissions and direct transfers during the 31-day period:</w:t>
            </w:r>
          </w:p>
          <w:p w14:paraId="391C3F37" w14:textId="77777777" w:rsidR="00CE045A" w:rsidRPr="005D4222" w:rsidRDefault="00CE045A" w:rsidP="005D6173">
            <w:pPr>
              <w:pStyle w:val="Body"/>
              <w:numPr>
                <w:ilvl w:val="0"/>
                <w:numId w:val="81"/>
              </w:numPr>
              <w:spacing w:before="80"/>
              <w:ind w:left="648" w:hanging="288"/>
            </w:pPr>
            <w:r w:rsidRPr="005D4222">
              <w:t>Identify all acute and nonacute inpatient stays (</w:t>
            </w:r>
            <w:r w:rsidRPr="005D4222">
              <w:rPr>
                <w:u w:val="single"/>
              </w:rPr>
              <w:t>Inpatient Stay Value Set)</w:t>
            </w:r>
            <w:r w:rsidRPr="005D4222">
              <w:t>.</w:t>
            </w:r>
          </w:p>
          <w:p w14:paraId="0BB1F3C8" w14:textId="77777777" w:rsidR="00CE045A" w:rsidRPr="005D4222" w:rsidRDefault="00CE045A" w:rsidP="005D6173">
            <w:pPr>
              <w:pStyle w:val="Body"/>
              <w:numPr>
                <w:ilvl w:val="0"/>
                <w:numId w:val="81"/>
              </w:numPr>
              <w:spacing w:before="80"/>
              <w:ind w:left="648" w:hanging="288"/>
            </w:pPr>
            <w:r w:rsidRPr="005D4222">
              <w:t>Identify the admission date for the stay (the admission date must occur during the 31-day period).</w:t>
            </w:r>
          </w:p>
          <w:p w14:paraId="44E1E81E" w14:textId="77777777" w:rsidR="00CE045A" w:rsidRPr="005D4222" w:rsidRDefault="00CE045A" w:rsidP="005D6173">
            <w:pPr>
              <w:pStyle w:val="Body"/>
              <w:numPr>
                <w:ilvl w:val="0"/>
                <w:numId w:val="81"/>
              </w:numPr>
              <w:spacing w:before="80"/>
              <w:ind w:left="648" w:hanging="288"/>
            </w:pPr>
            <w:r w:rsidRPr="005D4222">
              <w:t>Identify the discharge date for the stay (the discharge date is the event date).</w:t>
            </w:r>
          </w:p>
          <w:p w14:paraId="2992A409" w14:textId="77777777" w:rsidR="00CE045A" w:rsidRPr="005D4222" w:rsidRDefault="00CE045A">
            <w:pPr>
              <w:pStyle w:val="ECDSBody"/>
            </w:pPr>
            <w:r w:rsidRPr="005D4222">
              <w:t>Exclude both the initial and the readmission/direct transfer discharge if the last discharge occurs after December 1 of the measurement period.</w:t>
            </w:r>
          </w:p>
          <w:p w14:paraId="74CA2C55" w14:textId="607B2922" w:rsidR="00CE045A" w:rsidRPr="005D4222" w:rsidRDefault="00CE045A" w:rsidP="00887E7A">
            <w:pPr>
              <w:pStyle w:val="ECDSBody"/>
              <w:rPr>
                <w:u w:val="single"/>
              </w:rPr>
            </w:pPr>
            <w:r w:rsidRPr="005D4222">
              <w:t xml:space="preserve">If the admission date and the discharge date for an acute inpatient stay occur between the admission and discharge dates for a nonacute inpatient stay, include only the nonacute inpatient discharge. </w:t>
            </w:r>
          </w:p>
        </w:tc>
      </w:tr>
    </w:tbl>
    <w:p w14:paraId="0E8DBAAA" w14:textId="77777777" w:rsidR="00D04B55" w:rsidRPr="005D4222" w:rsidRDefault="00D04B55"/>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D04B55" w:rsidRPr="005D4222" w14:paraId="04E50C8E" w14:textId="77777777" w:rsidTr="00D04B55">
        <w:tc>
          <w:tcPr>
            <w:tcW w:w="2157" w:type="dxa"/>
            <w:shd w:val="clear" w:color="auto" w:fill="BFBFBF" w:themeFill="background1" w:themeFillShade="BF"/>
            <w:tcMar>
              <w:top w:w="0" w:type="dxa"/>
              <w:left w:w="86" w:type="dxa"/>
              <w:bottom w:w="43" w:type="dxa"/>
              <w:right w:w="86" w:type="dxa"/>
            </w:tcMar>
          </w:tcPr>
          <w:p w14:paraId="6FCAFCF6" w14:textId="77777777" w:rsidR="00D04B55" w:rsidRPr="005D4222" w:rsidRDefault="00D04B55">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AA35619" w14:textId="77777777" w:rsidR="00D04B55" w:rsidRPr="005D4222" w:rsidRDefault="00D04B55" w:rsidP="00D04B55">
            <w:pPr>
              <w:pStyle w:val="ECDSBody"/>
            </w:pPr>
            <w:r w:rsidRPr="005D4222">
              <w:t>To identify acute inpatient discharges:</w:t>
            </w:r>
          </w:p>
          <w:p w14:paraId="272AD460" w14:textId="77777777" w:rsidR="00D04B55" w:rsidRPr="005D4222" w:rsidRDefault="00D04B55" w:rsidP="005D6173">
            <w:pPr>
              <w:pStyle w:val="Body"/>
              <w:numPr>
                <w:ilvl w:val="0"/>
                <w:numId w:val="79"/>
              </w:numPr>
              <w:spacing w:before="80"/>
              <w:ind w:left="648" w:hanging="288"/>
              <w:rPr>
                <w:rFonts w:cs="Arial"/>
                <w:u w:val="single"/>
              </w:rPr>
            </w:pPr>
            <w:r w:rsidRPr="005D4222">
              <w:rPr>
                <w:rFonts w:cs="Arial"/>
              </w:rPr>
              <w:t>Identify all acute and nonacute inpatient stays (</w:t>
            </w:r>
            <w:r w:rsidRPr="005D4222">
              <w:rPr>
                <w:rFonts w:cs="Arial"/>
                <w:u w:val="single"/>
              </w:rPr>
              <w:t>Inpatient Stay Value Set</w:t>
            </w:r>
            <w:r w:rsidRPr="005D4222">
              <w:rPr>
                <w:rFonts w:cs="Arial"/>
              </w:rPr>
              <w:t>).</w:t>
            </w:r>
          </w:p>
          <w:p w14:paraId="312231CE" w14:textId="77777777" w:rsidR="00D04B55" w:rsidRPr="005D4222" w:rsidRDefault="00D04B55" w:rsidP="005D6173">
            <w:pPr>
              <w:pStyle w:val="Body"/>
              <w:numPr>
                <w:ilvl w:val="0"/>
                <w:numId w:val="79"/>
              </w:numPr>
              <w:spacing w:before="80"/>
              <w:ind w:left="648" w:hanging="288"/>
              <w:rPr>
                <w:rFonts w:cs="Arial"/>
              </w:rPr>
            </w:pPr>
            <w:r w:rsidRPr="005D4222">
              <w:rPr>
                <w:rFonts w:cs="Arial"/>
              </w:rPr>
              <w:t>Exclude nonacute inpatient stays (</w:t>
            </w:r>
            <w:r w:rsidRPr="005D4222">
              <w:rPr>
                <w:rFonts w:cs="Arial"/>
                <w:u w:val="single"/>
              </w:rPr>
              <w:t>Nonacute Inpatient Stay Value Set</w:t>
            </w:r>
            <w:r w:rsidRPr="005D4222">
              <w:rPr>
                <w:rFonts w:cs="Arial"/>
              </w:rPr>
              <w:t>).</w:t>
            </w:r>
          </w:p>
          <w:p w14:paraId="07DD77E4" w14:textId="77777777" w:rsidR="00D04B55" w:rsidRPr="005D4222" w:rsidRDefault="00D04B55" w:rsidP="005D6173">
            <w:pPr>
              <w:pStyle w:val="Body"/>
              <w:numPr>
                <w:ilvl w:val="0"/>
                <w:numId w:val="79"/>
              </w:numPr>
              <w:spacing w:before="80"/>
              <w:ind w:left="648" w:hanging="288"/>
              <w:rPr>
                <w:rFonts w:cs="Arial"/>
              </w:rPr>
            </w:pPr>
            <w:r w:rsidRPr="005D4222">
              <w:rPr>
                <w:rFonts w:cs="Arial"/>
              </w:rPr>
              <w:t>Identify the admission date for the stay.</w:t>
            </w:r>
          </w:p>
          <w:p w14:paraId="564D2750" w14:textId="77777777" w:rsidR="00D04B55" w:rsidRPr="005D4222" w:rsidRDefault="00D04B55" w:rsidP="005D6173">
            <w:pPr>
              <w:pStyle w:val="Body"/>
              <w:numPr>
                <w:ilvl w:val="0"/>
                <w:numId w:val="79"/>
              </w:numPr>
              <w:spacing w:before="80"/>
              <w:ind w:left="648" w:hanging="288"/>
              <w:rPr>
                <w:rFonts w:cs="Arial"/>
              </w:rPr>
            </w:pPr>
            <w:r w:rsidRPr="005D4222">
              <w:rPr>
                <w:rFonts w:cs="Arial"/>
              </w:rPr>
              <w:t>Identify the discharge date for the stay.</w:t>
            </w:r>
          </w:p>
          <w:p w14:paraId="68EA1ED2" w14:textId="77777777" w:rsidR="00D04B55" w:rsidRPr="005D4222" w:rsidRDefault="00D04B55" w:rsidP="00D04B55">
            <w:pPr>
              <w:pStyle w:val="ECDSBody"/>
            </w:pPr>
            <w:r w:rsidRPr="005D4222">
              <w:t>To identify nonacute inpatient discharges:</w:t>
            </w:r>
          </w:p>
          <w:p w14:paraId="78AD5AAB" w14:textId="77777777" w:rsidR="00D04B55" w:rsidRPr="005D4222" w:rsidRDefault="00D04B55" w:rsidP="005D6173">
            <w:pPr>
              <w:pStyle w:val="Body"/>
              <w:numPr>
                <w:ilvl w:val="0"/>
                <w:numId w:val="80"/>
              </w:numPr>
              <w:spacing w:before="80" w:after="80"/>
              <w:ind w:left="648" w:hanging="288"/>
              <w:rPr>
                <w:rFonts w:cs="Arial"/>
              </w:rPr>
            </w:pPr>
            <w:r w:rsidRPr="005D4222">
              <w:rPr>
                <w:rFonts w:cs="Arial"/>
              </w:rPr>
              <w:t>Identify all acute and nonacute inpatient stays (</w:t>
            </w:r>
            <w:r w:rsidRPr="005D4222">
              <w:rPr>
                <w:rFonts w:cs="Arial"/>
                <w:u w:val="single"/>
              </w:rPr>
              <w:t>Inpatient Stay Value Set</w:t>
            </w:r>
            <w:r w:rsidRPr="005D4222">
              <w:rPr>
                <w:rFonts w:cs="Arial"/>
              </w:rPr>
              <w:t>).</w:t>
            </w:r>
          </w:p>
          <w:p w14:paraId="2D7C400B" w14:textId="77777777" w:rsidR="00D04B55" w:rsidRPr="005D4222" w:rsidRDefault="00D04B55" w:rsidP="005D6173">
            <w:pPr>
              <w:pStyle w:val="Body"/>
              <w:numPr>
                <w:ilvl w:val="0"/>
                <w:numId w:val="80"/>
              </w:numPr>
              <w:ind w:left="648" w:hanging="288"/>
              <w:rPr>
                <w:rFonts w:cs="Arial"/>
                <w:u w:val="single"/>
              </w:rPr>
            </w:pPr>
            <w:r w:rsidRPr="005D4222">
              <w:rPr>
                <w:rFonts w:cs="Arial"/>
              </w:rPr>
              <w:t>Confirm the stay was for nonacute care based on the presence of a nonacute code (</w:t>
            </w:r>
            <w:r w:rsidRPr="005D4222">
              <w:rPr>
                <w:rFonts w:cs="Arial"/>
                <w:u w:val="single"/>
              </w:rPr>
              <w:t>Nonacute Inpatient Stay Value Set</w:t>
            </w:r>
            <w:r w:rsidRPr="005D4222">
              <w:rPr>
                <w:rFonts w:cs="Arial"/>
              </w:rPr>
              <w:t>).</w:t>
            </w:r>
          </w:p>
          <w:p w14:paraId="12B1AB75" w14:textId="77777777" w:rsidR="00D04B55" w:rsidRPr="005D4222" w:rsidRDefault="00D04B55" w:rsidP="005D6173">
            <w:pPr>
              <w:pStyle w:val="Body"/>
              <w:numPr>
                <w:ilvl w:val="0"/>
                <w:numId w:val="80"/>
              </w:numPr>
              <w:spacing w:before="80"/>
              <w:ind w:left="648" w:hanging="288"/>
              <w:rPr>
                <w:rFonts w:cs="Arial"/>
              </w:rPr>
            </w:pPr>
            <w:r w:rsidRPr="005D4222">
              <w:rPr>
                <w:rFonts w:cs="Arial"/>
              </w:rPr>
              <w:t>Identify the admission date for the stay.</w:t>
            </w:r>
          </w:p>
          <w:p w14:paraId="450B6997" w14:textId="77777777" w:rsidR="00D04B55" w:rsidRPr="005D4222" w:rsidRDefault="00D04B55" w:rsidP="005D6173">
            <w:pPr>
              <w:pStyle w:val="Body"/>
              <w:numPr>
                <w:ilvl w:val="0"/>
                <w:numId w:val="80"/>
              </w:numPr>
              <w:spacing w:before="80" w:after="80"/>
              <w:ind w:left="648" w:hanging="288"/>
              <w:rPr>
                <w:rFonts w:cs="Arial"/>
                <w:u w:val="single"/>
              </w:rPr>
            </w:pPr>
            <w:r w:rsidRPr="005D4222">
              <w:rPr>
                <w:rFonts w:cs="Arial"/>
              </w:rPr>
              <w:t>Identify the discharge date for the stay.</w:t>
            </w:r>
          </w:p>
          <w:p w14:paraId="61DEA7A3" w14:textId="77777777" w:rsidR="00D04B55" w:rsidRPr="005D4222" w:rsidRDefault="00D04B55" w:rsidP="00D04B55">
            <w:pPr>
              <w:pStyle w:val="Note"/>
            </w:pPr>
            <w:r w:rsidRPr="005D4222">
              <w:rPr>
                <w:rFonts w:cs="Arial"/>
                <w:b/>
                <w:bCs/>
              </w:rPr>
              <w:t>Note:</w:t>
            </w:r>
            <w:r w:rsidRPr="005D4222">
              <w:rPr>
                <w:rFonts w:cs="Arial"/>
              </w:rPr>
              <w:t xml:space="preserve"> </w:t>
            </w:r>
            <w:r w:rsidRPr="005D4222">
              <w:t>If a person remains in an acute or nonacute facility through December 1 of the measurement period, the discharge is not included in the measure, but the organization must have a method for identifying the person’s status for the remainder of the measurement period, and may not assume the person remained admitted based only on the absence of a discharge before December 1.</w:t>
            </w:r>
          </w:p>
          <w:p w14:paraId="59574AFF" w14:textId="35D1F3A1" w:rsidR="00D04B55" w:rsidRPr="005D4222" w:rsidRDefault="00D04B55" w:rsidP="00D04B55">
            <w:pPr>
              <w:pStyle w:val="Note"/>
              <w:spacing w:after="80"/>
              <w:rPr>
                <w:iCs/>
              </w:rPr>
            </w:pPr>
            <w:r w:rsidRPr="005D4222">
              <w:rPr>
                <w:rFonts w:eastAsia="Arial"/>
              </w:rPr>
              <w:t>If the organization is unable to confirm the person remained in the acute or nonacute care setting through December 1, disregard the readmission or direct transfer and use the initial discharge date.</w:t>
            </w:r>
          </w:p>
        </w:tc>
      </w:tr>
      <w:tr w:rsidR="00CE045A" w:rsidRPr="005D4222" w14:paraId="36DBFE32" w14:textId="77777777" w:rsidTr="00D04B55">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E3A51C2" w14:textId="77777777" w:rsidR="00CE045A" w:rsidRPr="005D4222" w:rsidRDefault="00CE045A">
            <w:pPr>
              <w:pStyle w:val="ECDSMarginHead"/>
            </w:pPr>
            <w:r w:rsidRPr="005D4222">
              <w:t xml:space="preserve">Denominator exclusions </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E5F2995" w14:textId="77777777" w:rsidR="00CE045A" w:rsidRPr="005D4222" w:rsidRDefault="00CE045A">
            <w:pPr>
              <w:pStyle w:val="ECDSBody"/>
              <w:rPr>
                <w:rFonts w:cs="Segoe UI"/>
                <w:szCs w:val="18"/>
              </w:rPr>
            </w:pPr>
            <w:r w:rsidRPr="005D4222">
              <w:rPr>
                <w:b/>
              </w:rPr>
              <w:t>Persons with a date of death. </w:t>
            </w:r>
            <w:r w:rsidRPr="005D4222">
              <w:rPr>
                <w:b/>
              </w:rPr>
              <w:br/>
            </w:r>
            <w:r w:rsidRPr="005D4222">
              <w:t>Death in the measurement period, identified using data sources determined by the organization. Method and data sources are subject to review during the HEDIS audit. </w:t>
            </w:r>
          </w:p>
          <w:p w14:paraId="53CB3C7A" w14:textId="77777777" w:rsidR="00CE045A" w:rsidRPr="005D4222" w:rsidRDefault="00CE045A">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CE045A" w:rsidRPr="005D4222" w14:paraId="013CD424" w14:textId="77777777" w:rsidTr="00D04B55">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0B390E4" w14:textId="77777777" w:rsidR="00CE045A" w:rsidRPr="005D4222" w:rsidRDefault="00CE045A">
            <w:pPr>
              <w:pStyle w:val="ECDSMarginHead"/>
            </w:pPr>
            <w:r w:rsidRPr="005D4222">
              <w:t xml:space="preserve">Denominator </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3CA54AA" w14:textId="77777777" w:rsidR="00CE045A" w:rsidRPr="005D4222" w:rsidRDefault="00CE045A">
            <w:pPr>
              <w:pStyle w:val="Admin"/>
            </w:pPr>
            <w:r w:rsidRPr="005D4222">
              <w:t xml:space="preserve">ADMINISTRATIVE </w:t>
            </w:r>
          </w:p>
          <w:p w14:paraId="341EF5CB" w14:textId="77777777" w:rsidR="00CE045A" w:rsidRPr="005D4222" w:rsidRDefault="00CE045A">
            <w:pPr>
              <w:pStyle w:val="Body"/>
              <w:spacing w:before="0"/>
              <w:rPr>
                <w:rFonts w:eastAsia="Arial,Arial,Arial,Arial,Arial,A"/>
              </w:rPr>
            </w:pPr>
            <w:r w:rsidRPr="005D4222">
              <w:rPr>
                <w:rFonts w:eastAsia="Arial,Arial,Arial,Arial,Arial,A"/>
              </w:rPr>
              <w:t>The initial population minus denominator exclusions.</w:t>
            </w:r>
          </w:p>
          <w:p w14:paraId="22C8464A" w14:textId="77777777" w:rsidR="00CE045A" w:rsidRPr="005D4222" w:rsidRDefault="00CE045A">
            <w:pPr>
              <w:pStyle w:val="Admin"/>
              <w:spacing w:before="180"/>
            </w:pPr>
            <w:r w:rsidRPr="005D4222">
              <w:t xml:space="preserve">HYBRID </w:t>
            </w:r>
          </w:p>
          <w:p w14:paraId="783D3AAE" w14:textId="77777777" w:rsidR="00CE045A" w:rsidRPr="005D4222" w:rsidRDefault="00CE045A">
            <w:pPr>
              <w:pStyle w:val="ECDSBody"/>
            </w:pPr>
            <w:r w:rsidRPr="005D4222">
              <w:rPr>
                <w:rFonts w:eastAsia="Arial,Arial,Arial,Arial,Arial,A"/>
              </w:rPr>
              <w:t>A s</w:t>
            </w:r>
            <w:r w:rsidRPr="005D4222">
              <w:t>ystematic sample drawn from the administrative denominator.</w:t>
            </w:r>
          </w:p>
          <w:p w14:paraId="60010F15" w14:textId="77777777" w:rsidR="00CE045A" w:rsidRPr="005D4222" w:rsidRDefault="00CE045A">
            <w:pPr>
              <w:pStyle w:val="ECDSBody"/>
            </w:pPr>
            <w:r w:rsidRPr="005D4222">
              <w:t>The denominator is based on discharges; therefore, persons may appear more than once in the sample.</w:t>
            </w:r>
          </w:p>
          <w:p w14:paraId="23AC8BCC" w14:textId="77777777" w:rsidR="00CE045A" w:rsidRPr="005D4222" w:rsidRDefault="00CE045A">
            <w:pPr>
              <w:pStyle w:val="ECDSBody"/>
              <w:rPr>
                <w:szCs w:val="21"/>
              </w:rPr>
            </w:pPr>
            <w:r w:rsidRPr="005D4222">
              <w:rPr>
                <w:szCs w:val="21"/>
              </w:rPr>
              <w:t xml:space="preserve">Organizations may reduce the sample size based only on the prior year’s audited, product line-specific rate for the lowest rate of all TRC indicators. </w:t>
            </w:r>
          </w:p>
          <w:p w14:paraId="2D7BCB8E" w14:textId="5507894B" w:rsidR="00CE045A" w:rsidRPr="005D4222" w:rsidRDefault="00CE045A">
            <w:pPr>
              <w:pStyle w:val="ECDSBody"/>
              <w:rPr>
                <w:b/>
                <w:u w:val="single"/>
              </w:rPr>
            </w:pPr>
            <w:r w:rsidRPr="005D4222">
              <w:rPr>
                <w:szCs w:val="21"/>
              </w:rPr>
              <w:t xml:space="preserve">Refer to the </w:t>
            </w:r>
            <w:hyperlink w:anchor="Guidelines_for_Sampling" w:history="1">
              <w:r w:rsidRPr="005D4222">
                <w:rPr>
                  <w:rStyle w:val="Hyperlink"/>
                  <w:i/>
                  <w:iCs/>
                  <w:szCs w:val="21"/>
                </w:rPr>
                <w:t>Guidelines for Calculations and Sampling</w:t>
              </w:r>
            </w:hyperlink>
            <w:r w:rsidRPr="005D4222">
              <w:rPr>
                <w:i/>
                <w:iCs/>
                <w:szCs w:val="21"/>
              </w:rPr>
              <w:t xml:space="preserve"> </w:t>
            </w:r>
            <w:r w:rsidRPr="005D4222">
              <w:rPr>
                <w:szCs w:val="21"/>
              </w:rPr>
              <w:t xml:space="preserve">for information on reducing the sample size. </w:t>
            </w:r>
          </w:p>
        </w:tc>
      </w:tr>
    </w:tbl>
    <w:p w14:paraId="55533EE2" w14:textId="77777777" w:rsidR="00D04B55" w:rsidRPr="005D4222" w:rsidRDefault="00D04B55"/>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D04B55" w:rsidRPr="005D4222" w14:paraId="0339CA0C" w14:textId="77777777" w:rsidTr="00747086">
        <w:tc>
          <w:tcPr>
            <w:tcW w:w="2157"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15A31C7B" w14:textId="77777777" w:rsidR="00D04B55" w:rsidRPr="005D4222" w:rsidRDefault="00D04B55">
            <w:pPr>
              <w:pStyle w:val="ECDSMarginHead"/>
            </w:pPr>
            <w:r w:rsidRPr="005D4222">
              <w:lastRenderedPageBreak/>
              <w:t>Numerator</w:t>
            </w: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tcPr>
          <w:p w14:paraId="2D886564" w14:textId="77777777" w:rsidR="00D04B55" w:rsidRPr="005D4222" w:rsidRDefault="00D04B55">
            <w:pPr>
              <w:pStyle w:val="Admin"/>
            </w:pPr>
            <w:r w:rsidRPr="005D4222">
              <w:t>ADMINISTRATIVE</w:t>
            </w:r>
          </w:p>
          <w:p w14:paraId="64A66FFA" w14:textId="77777777" w:rsidR="00D04B55" w:rsidRPr="005D4222" w:rsidRDefault="00D04B55">
            <w:pPr>
              <w:pStyle w:val="ECDSBody"/>
            </w:pPr>
            <w:r w:rsidRPr="005D4222">
              <w:rPr>
                <w:b/>
                <w:bCs w:val="0"/>
              </w:rPr>
              <w:t>Numerator 1: Notification of inpatient admission.</w:t>
            </w:r>
            <w:r w:rsidRPr="005D4222">
              <w:rPr>
                <w:b/>
                <w:bCs w:val="0"/>
              </w:rPr>
              <w:br/>
            </w:r>
            <w:r w:rsidRPr="005D4222">
              <w:t xml:space="preserve">Administrative reporting is not available. </w:t>
            </w:r>
          </w:p>
          <w:p w14:paraId="6022A651" w14:textId="77777777" w:rsidR="00D04B55" w:rsidRPr="005D4222" w:rsidRDefault="00D04B55">
            <w:pPr>
              <w:pStyle w:val="ECDSBody"/>
            </w:pPr>
            <w:r w:rsidRPr="005D4222">
              <w:rPr>
                <w:b/>
                <w:bCs w:val="0"/>
              </w:rPr>
              <w:t>Numerator 2: Receipt of discharge information.</w:t>
            </w:r>
            <w:r w:rsidRPr="005D4222">
              <w:rPr>
                <w:b/>
                <w:bCs w:val="0"/>
              </w:rPr>
              <w:br/>
            </w:r>
            <w:r w:rsidRPr="005D4222">
              <w:t xml:space="preserve">Administrative reporting is not available. </w:t>
            </w:r>
          </w:p>
          <w:p w14:paraId="2C536784" w14:textId="77777777" w:rsidR="00D04B55" w:rsidRPr="005D4222" w:rsidRDefault="00D04B55">
            <w:pPr>
              <w:pStyle w:val="ECDSBody"/>
              <w:rPr>
                <w:szCs w:val="21"/>
              </w:rPr>
            </w:pPr>
            <w:r w:rsidRPr="005D4222">
              <w:rPr>
                <w:b/>
                <w:bCs w:val="0"/>
              </w:rPr>
              <w:t>Numerator 3: Patient engagement after inpatient discharge.</w:t>
            </w:r>
            <w:r w:rsidRPr="005D4222">
              <w:rPr>
                <w:b/>
                <w:bCs w:val="0"/>
              </w:rPr>
              <w:br/>
            </w:r>
            <w:r w:rsidRPr="005D4222">
              <w:rPr>
                <w:szCs w:val="21"/>
              </w:rPr>
              <w:t>Patient engagement within 30 days after discharge. Do not include engagement on the date of discharge. Either of the following meets criteria:</w:t>
            </w:r>
          </w:p>
          <w:p w14:paraId="2AD3513D" w14:textId="77777777" w:rsidR="00D04B55" w:rsidRPr="005D4222" w:rsidRDefault="00D04B55" w:rsidP="00747086">
            <w:pPr>
              <w:pStyle w:val="Bullet"/>
              <w:rPr>
                <w:i/>
              </w:rPr>
            </w:pPr>
            <w:r w:rsidRPr="005D4222">
              <w:t>An outpatient visit, telephone visit, e-visit or virtual check-in (</w:t>
            </w:r>
            <w:r w:rsidRPr="005D4222">
              <w:rPr>
                <w:u w:val="single"/>
              </w:rPr>
              <w:t>Outpatient and Telehealth Value Set</w:t>
            </w:r>
            <w:r w:rsidRPr="005D4222">
              <w:t>).</w:t>
            </w:r>
          </w:p>
          <w:p w14:paraId="07E057D2" w14:textId="77777777" w:rsidR="00D04B55" w:rsidRPr="005D4222" w:rsidRDefault="00D04B55" w:rsidP="00CE045A">
            <w:pPr>
              <w:pStyle w:val="Bullet"/>
              <w:numPr>
                <w:ilvl w:val="0"/>
                <w:numId w:val="4"/>
              </w:numPr>
              <w:tabs>
                <w:tab w:val="left" w:pos="360"/>
                <w:tab w:val="left" w:pos="576"/>
              </w:tabs>
              <w:spacing w:before="120" w:after="80"/>
              <w:ind w:left="576" w:hanging="216"/>
              <w:rPr>
                <w:i/>
              </w:rPr>
            </w:pPr>
            <w:r w:rsidRPr="005D4222">
              <w:t>Transitional care management services (</w:t>
            </w:r>
            <w:r w:rsidRPr="005D4222">
              <w:rPr>
                <w:u w:val="single"/>
              </w:rPr>
              <w:t>Transitional Care Management Services Value Set</w:t>
            </w:r>
            <w:r w:rsidRPr="005D4222">
              <w:t>).</w:t>
            </w:r>
          </w:p>
          <w:p w14:paraId="4495D1C8" w14:textId="77777777" w:rsidR="00D04B55" w:rsidRPr="005D4222" w:rsidRDefault="00D04B55">
            <w:pPr>
              <w:pStyle w:val="ECDSBody"/>
            </w:pPr>
            <w:r w:rsidRPr="005D4222">
              <w:rPr>
                <w:b/>
                <w:bCs w:val="0"/>
              </w:rPr>
              <w:t>Numerator 4: Medication reconciliation post-discharge.</w:t>
            </w:r>
            <w:r w:rsidRPr="005D4222">
              <w:rPr>
                <w:b/>
                <w:bCs w:val="0"/>
              </w:rPr>
              <w:br/>
            </w:r>
            <w:r w:rsidRPr="005D4222">
              <w:t>Medication reconciliation (</w:t>
            </w:r>
            <w:r w:rsidRPr="005D4222">
              <w:rPr>
                <w:u w:val="single"/>
              </w:rPr>
              <w:t>Medical Reconciliation Encounter Value Set</w:t>
            </w:r>
            <w:r w:rsidRPr="005D4222">
              <w:t xml:space="preserve">, </w:t>
            </w:r>
            <w:r w:rsidRPr="005D4222">
              <w:rPr>
                <w:u w:val="single"/>
              </w:rPr>
              <w:t>Medication Reconciliation Intervention Value Set</w:t>
            </w:r>
            <w:r w:rsidRPr="005D4222">
              <w:rPr>
                <w:rStyle w:val="normaltextrun"/>
                <w:color w:val="000000"/>
                <w:szCs w:val="21"/>
                <w:bdr w:val="none" w:sz="0" w:space="0" w:color="auto" w:frame="1"/>
              </w:rPr>
              <w:t>†)</w:t>
            </w:r>
            <w:r w:rsidRPr="005D4222">
              <w:t xml:space="preserve"> conducted by a prescribing practitioner, clinical pharmacist, physician assistant or registered nurse on the date of discharge through 30 days after discharge (31 total days).</w:t>
            </w:r>
          </w:p>
          <w:p w14:paraId="429DABDD" w14:textId="77777777" w:rsidR="00D04B55" w:rsidRPr="005D4222" w:rsidRDefault="00D04B55">
            <w:pPr>
              <w:pStyle w:val="ECDSBody"/>
              <w:spacing w:after="0"/>
              <w:rPr>
                <w:b/>
                <w:bCs w:val="0"/>
              </w:rPr>
            </w:pPr>
            <w:r w:rsidRPr="005D4222">
              <w:rPr>
                <w:b/>
                <w:bCs w:val="0"/>
              </w:rPr>
              <w:t>Coding Guidance</w:t>
            </w:r>
          </w:p>
          <w:p w14:paraId="35D71EB1" w14:textId="77777777" w:rsidR="00D04B55" w:rsidRPr="005D4222" w:rsidRDefault="00D04B55">
            <w:pPr>
              <w:pStyle w:val="ECDSBody"/>
              <w:spacing w:before="0"/>
            </w:pPr>
            <w:r w:rsidRPr="005D4222">
              <w:rPr>
                <w:rStyle w:val="normaltextrun"/>
                <w:color w:val="000000"/>
                <w:szCs w:val="21"/>
                <w:bdr w:val="none" w:sz="0" w:space="0" w:color="auto" w:frame="1"/>
              </w:rPr>
              <w:t>†</w:t>
            </w:r>
            <w:r w:rsidRPr="005D4222">
              <w:t>Do not include codes with a modifier (</w:t>
            </w:r>
            <w:r w:rsidRPr="005D4222">
              <w:rPr>
                <w:u w:val="single"/>
              </w:rPr>
              <w:t>CPT CAT II Modifier Value Set</w:t>
            </w:r>
            <w:r w:rsidRPr="005D4222">
              <w:t>).</w:t>
            </w:r>
          </w:p>
          <w:p w14:paraId="18C14B3D" w14:textId="77777777" w:rsidR="00D04B55" w:rsidRPr="005D4222" w:rsidRDefault="00D04B55">
            <w:pPr>
              <w:pStyle w:val="Admin"/>
              <w:spacing w:before="180"/>
            </w:pPr>
            <w:r w:rsidRPr="005D4222">
              <w:t xml:space="preserve">HYBRID </w:t>
            </w:r>
          </w:p>
          <w:p w14:paraId="4A701BF5" w14:textId="77777777" w:rsidR="00D04B55" w:rsidRPr="005D4222" w:rsidRDefault="00D04B55">
            <w:pPr>
              <w:pStyle w:val="ECDSBody"/>
              <w:rPr>
                <w:b/>
                <w:u w:val="single"/>
              </w:rPr>
            </w:pPr>
            <w:r w:rsidRPr="005D4222">
              <w:rPr>
                <w:b/>
                <w:bCs w:val="0"/>
              </w:rPr>
              <w:t>Administrative:</w:t>
            </w:r>
            <w:r w:rsidRPr="005D4222">
              <w:t xml:space="preserve"> Refer to </w:t>
            </w:r>
            <w:r w:rsidRPr="005D4222">
              <w:rPr>
                <w:iCs/>
              </w:rPr>
              <w:t>administrative</w:t>
            </w:r>
            <w:r w:rsidRPr="005D4222">
              <w:t xml:space="preserve"> specifications to identify positive numerator hits from administrative data. Administrative reporting is not available for numerators 1 and 2.</w:t>
            </w:r>
          </w:p>
          <w:p w14:paraId="49ED53B4" w14:textId="77777777" w:rsidR="00D04B55" w:rsidRPr="005D4222" w:rsidRDefault="00D04B55">
            <w:pPr>
              <w:pStyle w:val="ECDSBody"/>
              <w:rPr>
                <w:i/>
              </w:rPr>
            </w:pPr>
            <w:r w:rsidRPr="005D4222">
              <w:rPr>
                <w:b/>
                <w:i/>
              </w:rPr>
              <w:t>Identifying the medical record.</w:t>
            </w:r>
            <w:r w:rsidRPr="005D4222">
              <w:rPr>
                <w:bCs w:val="0"/>
                <w:i/>
              </w:rPr>
              <w:t xml:space="preserve"> </w:t>
            </w:r>
          </w:p>
          <w:p w14:paraId="30B10818" w14:textId="77777777" w:rsidR="00D04B55" w:rsidRPr="005D4222" w:rsidRDefault="00D04B55" w:rsidP="00F66DB0">
            <w:pPr>
              <w:pStyle w:val="ECDSBody"/>
              <w:spacing w:before="80"/>
            </w:pPr>
            <w:r w:rsidRPr="005D4222">
              <w:t>Documentation in any outpatient medical record that is accessible to the PCP or ongoing care provider is eligible for use in reporting.</w:t>
            </w:r>
          </w:p>
          <w:p w14:paraId="1290432F" w14:textId="77777777" w:rsidR="00D04B55" w:rsidRPr="005D4222" w:rsidRDefault="00D04B55">
            <w:pPr>
              <w:pStyle w:val="ECDSBody"/>
            </w:pPr>
            <w:r w:rsidRPr="005D4222">
              <w:rPr>
                <w:b/>
                <w:bCs w:val="0"/>
              </w:rPr>
              <w:t>Numerator 1: Notification of inpatient admission.</w:t>
            </w:r>
            <w:r w:rsidRPr="005D4222">
              <w:rPr>
                <w:b/>
                <w:bCs w:val="0"/>
              </w:rPr>
              <w:br/>
            </w:r>
            <w:r w:rsidRPr="005D4222">
              <w:rPr>
                <w:rFonts w:eastAsia="Arial"/>
              </w:rPr>
              <w:t xml:space="preserve">Documentation of receipt of notification of inpatient admission </w:t>
            </w:r>
            <w:r w:rsidRPr="005D4222">
              <w:t xml:space="preserve">on the day of admission or </w:t>
            </w:r>
            <w:r w:rsidRPr="005D4222">
              <w:rPr>
                <w:rFonts w:eastAsia="Arial"/>
              </w:rPr>
              <w:t xml:space="preserve">on the day of admission through 2 days after </w:t>
            </w:r>
            <w:r w:rsidRPr="005D4222">
              <w:t xml:space="preserve">the </w:t>
            </w:r>
            <w:r w:rsidRPr="005D4222">
              <w:rPr>
                <w:rFonts w:eastAsia="Arial"/>
              </w:rPr>
              <w:t>admission (3 total days</w:t>
            </w:r>
            <w:r w:rsidRPr="005D4222">
              <w:t>).</w:t>
            </w:r>
          </w:p>
          <w:p w14:paraId="436E19F9" w14:textId="77777777" w:rsidR="00D04B55" w:rsidRPr="005D4222" w:rsidRDefault="00D04B55">
            <w:pPr>
              <w:pStyle w:val="ECDSBody"/>
              <w:spacing w:after="120"/>
            </w:pPr>
            <w:r w:rsidRPr="005D4222">
              <w:rPr>
                <w:rFonts w:eastAsia="Arial"/>
                <w:i/>
                <w:iCs/>
              </w:rPr>
              <w:t>Medical record</w:t>
            </w:r>
            <w:r w:rsidRPr="005D4222">
              <w:rPr>
                <w:rFonts w:eastAsia="Arial"/>
              </w:rPr>
              <w:t>: Documentation in the outpatient medical record must include evidence of receipt of notification of inpatient admission on the day of admission through 2 days after the admission (3 total days). Evidence that the information was integrated in the appropriate medical record and is accessible to the PCP or ongoing care provider on the day of admission through 2 days after admission (3 total days) meets criteria.</w:t>
            </w:r>
          </w:p>
          <w:p w14:paraId="71E72C43" w14:textId="77777777" w:rsidR="00D04B55" w:rsidRPr="005D4222" w:rsidRDefault="00D04B55">
            <w:pPr>
              <w:pStyle w:val="ECDSBody"/>
            </w:pPr>
            <w:r w:rsidRPr="005D4222">
              <w:t xml:space="preserve">Documentation in the outpatient medical record must include evidence of receipt of notification of inpatient admission that includes evidence of the date when the documentation was received. Any of the following </w:t>
            </w:r>
            <w:r w:rsidRPr="005D4222" w:rsidDel="00EF4CF9">
              <w:t xml:space="preserve">examples </w:t>
            </w:r>
            <w:r w:rsidRPr="005D4222">
              <w:t>meet criteria:</w:t>
            </w:r>
          </w:p>
          <w:p w14:paraId="4C99F921" w14:textId="77777777" w:rsidR="00D04B55" w:rsidRPr="005D4222" w:rsidRDefault="00D04B55" w:rsidP="00CE045A">
            <w:pPr>
              <w:pStyle w:val="Bullet"/>
              <w:numPr>
                <w:ilvl w:val="0"/>
                <w:numId w:val="4"/>
              </w:numPr>
              <w:tabs>
                <w:tab w:val="left" w:pos="360"/>
                <w:tab w:val="left" w:pos="576"/>
              </w:tabs>
              <w:ind w:left="576" w:hanging="216"/>
            </w:pPr>
            <w:r w:rsidRPr="005D4222">
              <w:t>Communication between inpatient providers or staff and the PCP or ongoing care provider (e.g., phone call, email, fax).</w:t>
            </w:r>
          </w:p>
          <w:p w14:paraId="16B6F09F" w14:textId="0E651DAC" w:rsidR="00747086" w:rsidRPr="005D4222" w:rsidRDefault="00D04B55" w:rsidP="00747086">
            <w:pPr>
              <w:pStyle w:val="Bullet"/>
              <w:numPr>
                <w:ilvl w:val="0"/>
                <w:numId w:val="4"/>
              </w:numPr>
              <w:tabs>
                <w:tab w:val="left" w:pos="360"/>
                <w:tab w:val="left" w:pos="576"/>
              </w:tabs>
              <w:spacing w:after="80"/>
              <w:ind w:left="576" w:hanging="216"/>
              <w:rPr>
                <w:i/>
              </w:rPr>
            </w:pPr>
            <w:r w:rsidRPr="005D4222">
              <w:t>Communication about admission between emergency department and the PCP or ongoing care provider (e.g., phone call, email, fax).</w:t>
            </w:r>
          </w:p>
        </w:tc>
      </w:tr>
      <w:tr w:rsidR="00CE045A" w:rsidRPr="005D4222" w14:paraId="6FD6191A" w14:textId="77777777">
        <w:tblPrEx>
          <w:tblCellMar>
            <w:top w:w="40" w:type="dxa"/>
            <w:left w:w="15" w:type="dxa"/>
            <w:right w:w="15" w:type="dxa"/>
          </w:tblCellMar>
        </w:tblPrEx>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0" w:type="dxa"/>
              <w:right w:w="86" w:type="dxa"/>
            </w:tcMar>
          </w:tcPr>
          <w:p w14:paraId="6ED6E989" w14:textId="77777777" w:rsidR="00CE045A" w:rsidRPr="005D4222" w:rsidRDefault="00CE045A">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tcPr>
          <w:p w14:paraId="78CC1D4D" w14:textId="77777777" w:rsidR="00747086" w:rsidRPr="005D4222" w:rsidRDefault="00747086" w:rsidP="00747086">
            <w:pPr>
              <w:pStyle w:val="Bullet"/>
              <w:numPr>
                <w:ilvl w:val="0"/>
                <w:numId w:val="4"/>
              </w:numPr>
              <w:tabs>
                <w:tab w:val="left" w:pos="360"/>
                <w:tab w:val="left" w:pos="576"/>
              </w:tabs>
              <w:ind w:left="576" w:hanging="216"/>
            </w:pPr>
            <w:r w:rsidRPr="005D4222">
              <w:t>Communication about admission with the PCP or ongoing care provider, through a health information exchange or automated admission discharge transfer (ADT) alert system.</w:t>
            </w:r>
          </w:p>
          <w:p w14:paraId="498D1D71" w14:textId="77777777" w:rsidR="00747086" w:rsidRPr="005D4222" w:rsidRDefault="00747086" w:rsidP="00747086">
            <w:pPr>
              <w:pStyle w:val="Bullet"/>
              <w:numPr>
                <w:ilvl w:val="0"/>
                <w:numId w:val="4"/>
              </w:numPr>
              <w:tabs>
                <w:tab w:val="left" w:pos="360"/>
                <w:tab w:val="left" w:pos="576"/>
              </w:tabs>
              <w:ind w:left="576" w:hanging="216"/>
            </w:pPr>
            <w:r w:rsidRPr="005D4222">
              <w:t>Communication about admission with the PCP or ongoing care provider through a shared electronic medical record (EMR) system. Evidence that the information was integrated in the EMR and is accessible to the PCP or ongoing care provider on the day of admission through 2 days after the admission (3 total days) meets criteria.</w:t>
            </w:r>
          </w:p>
          <w:p w14:paraId="45AF53B0" w14:textId="77777777" w:rsidR="00747086" w:rsidRPr="005D4222" w:rsidRDefault="00747086" w:rsidP="00747086">
            <w:pPr>
              <w:pStyle w:val="Bullet"/>
              <w:numPr>
                <w:ilvl w:val="0"/>
                <w:numId w:val="4"/>
              </w:numPr>
              <w:tabs>
                <w:tab w:val="left" w:pos="360"/>
                <w:tab w:val="left" w:pos="576"/>
              </w:tabs>
              <w:ind w:left="576" w:hanging="216"/>
            </w:pPr>
            <w:r w:rsidRPr="005D4222">
              <w:t>Communication about admission with the PCP or ongoing care provider from the health plan.</w:t>
            </w:r>
          </w:p>
          <w:p w14:paraId="722A6665" w14:textId="77777777" w:rsidR="00747086" w:rsidRPr="005D4222" w:rsidRDefault="00747086" w:rsidP="00747086">
            <w:pPr>
              <w:pStyle w:val="Bullet"/>
              <w:numPr>
                <w:ilvl w:val="0"/>
                <w:numId w:val="4"/>
              </w:numPr>
              <w:tabs>
                <w:tab w:val="left" w:pos="360"/>
                <w:tab w:val="left" w:pos="576"/>
              </w:tabs>
              <w:spacing w:after="80"/>
              <w:ind w:left="576" w:hanging="216"/>
            </w:pPr>
            <w:r w:rsidRPr="005D4222">
              <w:t>Indication that the PCP or ongoing care provider admitted the person to the hospital.</w:t>
            </w:r>
          </w:p>
          <w:p w14:paraId="5FA71A44" w14:textId="77777777" w:rsidR="00747086" w:rsidRPr="005D4222" w:rsidRDefault="00747086" w:rsidP="00492D56">
            <w:pPr>
              <w:pStyle w:val="Bullet"/>
              <w:numPr>
                <w:ilvl w:val="0"/>
                <w:numId w:val="4"/>
              </w:numPr>
              <w:tabs>
                <w:tab w:val="left" w:pos="360"/>
                <w:tab w:val="left" w:pos="576"/>
              </w:tabs>
              <w:spacing w:after="80"/>
              <w:ind w:left="576" w:hanging="216"/>
            </w:pPr>
            <w:r w:rsidRPr="005D4222">
              <w:t>Indication that a specialist admitted the person to the hospital and notified the PCP or ongoing care provider.</w:t>
            </w:r>
          </w:p>
          <w:p w14:paraId="28A779FF" w14:textId="77777777" w:rsidR="00747086" w:rsidRPr="005D4222" w:rsidRDefault="00747086" w:rsidP="00747086">
            <w:pPr>
              <w:pStyle w:val="Bullet"/>
              <w:numPr>
                <w:ilvl w:val="0"/>
                <w:numId w:val="4"/>
              </w:numPr>
              <w:tabs>
                <w:tab w:val="left" w:pos="360"/>
                <w:tab w:val="left" w:pos="576"/>
              </w:tabs>
              <w:spacing w:after="80"/>
              <w:ind w:left="576" w:hanging="216"/>
            </w:pPr>
            <w:r w:rsidRPr="005D4222">
              <w:t>Indication that the PCP or ongoing care provider placed orders for tests and treatments any time during the inpatient stay.</w:t>
            </w:r>
          </w:p>
          <w:p w14:paraId="3BFFF691" w14:textId="77777777" w:rsidR="00747086" w:rsidRPr="005D4222" w:rsidRDefault="00747086" w:rsidP="00747086">
            <w:pPr>
              <w:pStyle w:val="Bullet"/>
              <w:numPr>
                <w:ilvl w:val="0"/>
                <w:numId w:val="4"/>
              </w:numPr>
              <w:tabs>
                <w:tab w:val="left" w:pos="360"/>
                <w:tab w:val="left" w:pos="576"/>
              </w:tabs>
              <w:ind w:left="576" w:hanging="216"/>
            </w:pPr>
            <w:r w:rsidRPr="005D4222">
              <w:t xml:space="preserve">Documentation that the PCP or ongoing care provider performed a preadmission exam or received communication about a planned inpatient admission. </w:t>
            </w:r>
          </w:p>
          <w:p w14:paraId="65A2E4BA" w14:textId="77777777" w:rsidR="00747086" w:rsidRPr="005D4222" w:rsidRDefault="00747086" w:rsidP="00747086">
            <w:pPr>
              <w:pStyle w:val="Dash"/>
              <w:tabs>
                <w:tab w:val="left" w:pos="576"/>
                <w:tab w:val="left" w:pos="792"/>
              </w:tabs>
            </w:pPr>
            <w:r w:rsidRPr="005D4222">
              <w:t>The time frame for communicating the planned inpatient admission is not limited to the day of admission through 2 days after the admission (3 total days); documentation that the PCP or ongoing care provider performed a preadmission exam or received notification of a planned admission prior to the admission date also meets criteria.</w:t>
            </w:r>
          </w:p>
          <w:p w14:paraId="352D9B6C" w14:textId="77777777" w:rsidR="00747086" w:rsidRPr="005D4222" w:rsidRDefault="00747086" w:rsidP="00747086">
            <w:pPr>
              <w:pStyle w:val="Dash"/>
              <w:tabs>
                <w:tab w:val="left" w:pos="576"/>
                <w:tab w:val="left" w:pos="792"/>
              </w:tabs>
            </w:pPr>
            <w:r w:rsidRPr="005D4222">
              <w:t>The planned admission documentation or preadmission exam must clearly pertain to the denominator event.</w:t>
            </w:r>
          </w:p>
          <w:p w14:paraId="31B04EA2" w14:textId="77777777" w:rsidR="00747086" w:rsidRPr="005D4222" w:rsidRDefault="00747086" w:rsidP="00747086">
            <w:pPr>
              <w:pStyle w:val="Note"/>
            </w:pPr>
            <w:r w:rsidRPr="005D4222">
              <w:rPr>
                <w:b/>
                <w:bCs/>
                <w:iCs/>
              </w:rPr>
              <w:t>Note:</w:t>
            </w:r>
            <w:r w:rsidRPr="005D4222">
              <w:t xml:space="preserve"> When an ED visit results in an inpatient admission, notification that a provider sent the person to the ED does not meet criteria. Evidence that the PCP or ongoing care provider communicated with the ED about the admission meets criteria.</w:t>
            </w:r>
          </w:p>
          <w:p w14:paraId="53C572DE" w14:textId="77777777" w:rsidR="00747086" w:rsidRPr="005D4222" w:rsidRDefault="00747086" w:rsidP="00747086">
            <w:pPr>
              <w:pStyle w:val="ECDSBody"/>
              <w:spacing w:before="180"/>
              <w:rPr>
                <w:b/>
                <w:bCs w:val="0"/>
              </w:rPr>
            </w:pPr>
            <w:r w:rsidRPr="005D4222">
              <w:rPr>
                <w:b/>
                <w:bCs w:val="0"/>
              </w:rPr>
              <w:t xml:space="preserve">Numerator 2: Receipt of discharge information. </w:t>
            </w:r>
            <w:r w:rsidRPr="005D4222">
              <w:rPr>
                <w:b/>
                <w:bCs w:val="0"/>
              </w:rPr>
              <w:br/>
            </w:r>
            <w:r w:rsidRPr="005D4222">
              <w:t>Documentation of receipt of discharge information on the day of discharge through 2 days after the discharge (3 total days).</w:t>
            </w:r>
          </w:p>
          <w:p w14:paraId="58D49C91" w14:textId="77777777" w:rsidR="00747086" w:rsidRPr="005D4222" w:rsidRDefault="00747086" w:rsidP="00747086">
            <w:pPr>
              <w:pStyle w:val="ECDSBody"/>
            </w:pPr>
            <w:r w:rsidRPr="005D4222">
              <w:rPr>
                <w:rFonts w:eastAsia="Arial"/>
                <w:i/>
                <w:iCs/>
              </w:rPr>
              <w:t>Medical record</w:t>
            </w:r>
            <w:r w:rsidRPr="005D4222">
              <w:rPr>
                <w:rFonts w:eastAsia="Arial"/>
              </w:rPr>
              <w:t xml:space="preserve">: </w:t>
            </w:r>
            <w:r w:rsidRPr="005D4222">
              <w:t xml:space="preserve">Documentation </w:t>
            </w:r>
            <w:r w:rsidRPr="005D4222">
              <w:rPr>
                <w:rFonts w:eastAsia="Arial"/>
              </w:rPr>
              <w:t xml:space="preserve">of receipt of discharge information </w:t>
            </w:r>
            <w:r w:rsidRPr="005D4222">
              <w:t xml:space="preserve">in the outpatient medical record </w:t>
            </w:r>
            <w:r w:rsidRPr="005D4222">
              <w:rPr>
                <w:rFonts w:eastAsia="Arial"/>
              </w:rPr>
              <w:t xml:space="preserve">on the day of discharge through 2 days after the discharge (3 total days), </w:t>
            </w:r>
            <w:r w:rsidRPr="005D4222">
              <w:t>with evidence of the date when the documentation was received</w:t>
            </w:r>
            <w:r w:rsidRPr="005D4222">
              <w:rPr>
                <w:rFonts w:eastAsia="Arial"/>
              </w:rPr>
              <w:t xml:space="preserve">. </w:t>
            </w:r>
            <w:r w:rsidRPr="005D4222">
              <w:t>Evidence that the information was integrated in the appropriate medical record and is accessible to the PCP or ongoing care provider on the day of discharge through 2 days after the discharge (3 total days) meets criteria.</w:t>
            </w:r>
          </w:p>
          <w:p w14:paraId="6F87526C" w14:textId="77777777" w:rsidR="00747086" w:rsidRPr="005D4222" w:rsidRDefault="00747086" w:rsidP="00747086">
            <w:pPr>
              <w:pStyle w:val="ECDSBody"/>
              <w:rPr>
                <w:rFonts w:eastAsia="Arial"/>
              </w:rPr>
            </w:pPr>
            <w:r w:rsidRPr="005D4222">
              <w:rPr>
                <w:rFonts w:eastAsia="Arial"/>
              </w:rPr>
              <w:t xml:space="preserve">Discharge information may be included in, but not limited to, a discharge summary or summary of care record, or in structured fields in an EHR. </w:t>
            </w:r>
            <w:r w:rsidRPr="005D4222">
              <w:t>Discharge information must include all of the following:</w:t>
            </w:r>
          </w:p>
          <w:p w14:paraId="3571DAB8" w14:textId="77777777" w:rsidR="00747086" w:rsidRPr="005D4222" w:rsidRDefault="00747086" w:rsidP="00747086">
            <w:pPr>
              <w:pStyle w:val="Bullet"/>
              <w:numPr>
                <w:ilvl w:val="0"/>
                <w:numId w:val="4"/>
              </w:numPr>
              <w:tabs>
                <w:tab w:val="left" w:pos="360"/>
                <w:tab w:val="left" w:pos="576"/>
              </w:tabs>
              <w:ind w:left="576" w:hanging="216"/>
            </w:pPr>
            <w:r w:rsidRPr="005D4222">
              <w:t>The practitioner responsible for the person’s care during the inpatient stay.</w:t>
            </w:r>
          </w:p>
          <w:p w14:paraId="4D4F21F2" w14:textId="73CD062B" w:rsidR="009573D1" w:rsidRPr="005D4222" w:rsidRDefault="00747086" w:rsidP="009573D1">
            <w:pPr>
              <w:pStyle w:val="Bullet"/>
              <w:numPr>
                <w:ilvl w:val="0"/>
                <w:numId w:val="4"/>
              </w:numPr>
              <w:tabs>
                <w:tab w:val="left" w:pos="360"/>
                <w:tab w:val="left" w:pos="576"/>
              </w:tabs>
              <w:spacing w:after="80"/>
              <w:ind w:left="576" w:hanging="216"/>
            </w:pPr>
            <w:r w:rsidRPr="005D4222">
              <w:t>Procedures or treatment provided.</w:t>
            </w:r>
          </w:p>
        </w:tc>
      </w:tr>
      <w:tr w:rsidR="009573D1" w:rsidRPr="005D4222" w14:paraId="0A241B3B" w14:textId="77777777">
        <w:tblPrEx>
          <w:tblCellMar>
            <w:top w:w="40" w:type="dxa"/>
            <w:left w:w="15" w:type="dxa"/>
            <w:right w:w="15" w:type="dxa"/>
          </w:tblCellMar>
        </w:tblPrEx>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0" w:type="dxa"/>
              <w:right w:w="86" w:type="dxa"/>
            </w:tcMar>
          </w:tcPr>
          <w:p w14:paraId="6C7975F7" w14:textId="77777777" w:rsidR="009573D1" w:rsidRPr="005D4222" w:rsidRDefault="009573D1">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tcPr>
          <w:p w14:paraId="4E1F11D2" w14:textId="77777777" w:rsidR="009573D1" w:rsidRPr="005D4222" w:rsidRDefault="009573D1" w:rsidP="009573D1">
            <w:pPr>
              <w:pStyle w:val="Bullet"/>
              <w:numPr>
                <w:ilvl w:val="0"/>
                <w:numId w:val="4"/>
              </w:numPr>
              <w:tabs>
                <w:tab w:val="left" w:pos="360"/>
                <w:tab w:val="left" w:pos="576"/>
              </w:tabs>
              <w:ind w:left="576" w:hanging="216"/>
            </w:pPr>
            <w:r w:rsidRPr="005D4222">
              <w:t>Diagnoses at discharge.</w:t>
            </w:r>
          </w:p>
          <w:p w14:paraId="18FB8CC5" w14:textId="77777777" w:rsidR="009573D1" w:rsidRPr="005D4222" w:rsidRDefault="009573D1" w:rsidP="009573D1">
            <w:pPr>
              <w:pStyle w:val="Bullet"/>
              <w:numPr>
                <w:ilvl w:val="0"/>
                <w:numId w:val="4"/>
              </w:numPr>
              <w:tabs>
                <w:tab w:val="left" w:pos="360"/>
                <w:tab w:val="left" w:pos="576"/>
              </w:tabs>
              <w:ind w:left="576" w:hanging="216"/>
            </w:pPr>
            <w:r w:rsidRPr="005D4222">
              <w:t xml:space="preserve">Current medication list. </w:t>
            </w:r>
          </w:p>
          <w:p w14:paraId="05540F20" w14:textId="77777777" w:rsidR="009573D1" w:rsidRPr="005D4222" w:rsidRDefault="009573D1" w:rsidP="009573D1">
            <w:pPr>
              <w:pStyle w:val="Bullet"/>
              <w:numPr>
                <w:ilvl w:val="0"/>
                <w:numId w:val="4"/>
              </w:numPr>
              <w:tabs>
                <w:tab w:val="left" w:pos="360"/>
                <w:tab w:val="left" w:pos="576"/>
              </w:tabs>
              <w:ind w:left="576" w:hanging="216"/>
            </w:pPr>
            <w:r w:rsidRPr="005D4222">
              <w:t xml:space="preserve">Testing results, or documentation of pending tests or no tests pending. </w:t>
            </w:r>
          </w:p>
          <w:p w14:paraId="04D502E3" w14:textId="77777777" w:rsidR="009573D1" w:rsidRPr="005D4222" w:rsidRDefault="009573D1" w:rsidP="009573D1">
            <w:pPr>
              <w:pStyle w:val="Bullet"/>
              <w:numPr>
                <w:ilvl w:val="0"/>
                <w:numId w:val="4"/>
              </w:numPr>
              <w:tabs>
                <w:tab w:val="left" w:pos="360"/>
                <w:tab w:val="left" w:pos="576"/>
              </w:tabs>
              <w:ind w:left="576" w:hanging="216"/>
            </w:pPr>
            <w:r w:rsidRPr="005D4222">
              <w:t xml:space="preserve">Instructions for patient care post-discharge. </w:t>
            </w:r>
          </w:p>
          <w:p w14:paraId="7ADC8425" w14:textId="77777777" w:rsidR="009573D1" w:rsidRPr="005D4222" w:rsidRDefault="009573D1" w:rsidP="009573D1">
            <w:pPr>
              <w:pStyle w:val="Note"/>
            </w:pPr>
            <w:r w:rsidRPr="005D4222">
              <w:rPr>
                <w:b/>
                <w:bCs/>
                <w:iCs/>
              </w:rPr>
              <w:t>Note:</w:t>
            </w:r>
            <w:r w:rsidRPr="005D4222">
              <w:t xml:space="preserve"> If</w:t>
            </w:r>
            <w:r w:rsidRPr="005D4222" w:rsidDel="00134AFE">
              <w:t xml:space="preserve"> </w:t>
            </w:r>
            <w:r w:rsidRPr="005D4222">
              <w:t xml:space="preserve">the PCP or ongoing care provider is the discharging provider, the discharge information must be documented in the medical record on the day of discharge through 2 days after the discharge (3 total days).  </w:t>
            </w:r>
          </w:p>
          <w:p w14:paraId="78C67CCB" w14:textId="77777777" w:rsidR="009573D1" w:rsidRPr="005D4222" w:rsidRDefault="009573D1" w:rsidP="009573D1">
            <w:pPr>
              <w:pStyle w:val="Note"/>
              <w:spacing w:after="80"/>
              <w:rPr>
                <w:iCs/>
              </w:rPr>
            </w:pPr>
            <w:r w:rsidRPr="005D4222">
              <w:rPr>
                <w:iCs/>
              </w:rPr>
              <w:t xml:space="preserve">Evidence that the information was integrated in the EMR and is accessible to the PCP or ongoing care provider on the day of discharge through 2 days after the discharge (3 total days) meets criteria.  </w:t>
            </w:r>
          </w:p>
          <w:p w14:paraId="71AE739A" w14:textId="77777777" w:rsidR="009573D1" w:rsidRPr="005D4222" w:rsidRDefault="009573D1" w:rsidP="009573D1">
            <w:pPr>
              <w:pStyle w:val="ECDSBody"/>
              <w:rPr>
                <w:bCs w:val="0"/>
              </w:rPr>
            </w:pPr>
            <w:r w:rsidRPr="005D4222">
              <w:rPr>
                <w:b/>
                <w:bCs w:val="0"/>
              </w:rPr>
              <w:t>Numerator</w:t>
            </w:r>
            <w:r w:rsidRPr="005D4222">
              <w:rPr>
                <w:b/>
              </w:rPr>
              <w:t xml:space="preserve"> 3: Patient engagement after inpatient discharge.</w:t>
            </w:r>
            <w:r w:rsidRPr="005D4222">
              <w:rPr>
                <w:b/>
              </w:rPr>
              <w:br/>
            </w:r>
            <w:r w:rsidRPr="005D4222">
              <w:rPr>
                <w:rFonts w:eastAsia="Arial"/>
              </w:rPr>
              <w:t xml:space="preserve">Documentation of patient engagement (e.g., office visits, visits to the home, or telehealth) provided within </w:t>
            </w:r>
            <w:r w:rsidRPr="005D4222">
              <w:t xml:space="preserve">30 days after discharge. Do not include </w:t>
            </w:r>
            <w:r w:rsidRPr="005D4222">
              <w:rPr>
                <w:bCs w:val="0"/>
              </w:rPr>
              <w:t xml:space="preserve">patient </w:t>
            </w:r>
            <w:r w:rsidRPr="005D4222">
              <w:t xml:space="preserve">engagement </w:t>
            </w:r>
            <w:r w:rsidRPr="005D4222">
              <w:rPr>
                <w:bCs w:val="0"/>
              </w:rPr>
              <w:t xml:space="preserve">that occurs </w:t>
            </w:r>
            <w:r w:rsidRPr="005D4222">
              <w:t>on the date of discharge.</w:t>
            </w:r>
          </w:p>
          <w:p w14:paraId="4C95BE86" w14:textId="77777777" w:rsidR="009573D1" w:rsidRPr="005D4222" w:rsidRDefault="009573D1" w:rsidP="009573D1">
            <w:pPr>
              <w:pStyle w:val="ECDSBody"/>
            </w:pPr>
            <w:r w:rsidRPr="005D4222">
              <w:rPr>
                <w:rFonts w:eastAsia="Arial"/>
                <w:i/>
                <w:iCs/>
              </w:rPr>
              <w:t>Medical record</w:t>
            </w:r>
            <w:r w:rsidRPr="005D4222">
              <w:rPr>
                <w:rFonts w:eastAsia="Arial"/>
              </w:rPr>
              <w:t xml:space="preserve">: </w:t>
            </w:r>
            <w:r w:rsidRPr="005D4222">
              <w:t>Documentation in the outpatient medical record must include evidence of patient engagement within 30 days after discharge. Any of the following meet criteria:</w:t>
            </w:r>
          </w:p>
          <w:p w14:paraId="27BB03F5" w14:textId="77777777" w:rsidR="009573D1" w:rsidRPr="005D4222" w:rsidRDefault="009573D1" w:rsidP="009573D1">
            <w:pPr>
              <w:pStyle w:val="Bullet"/>
              <w:numPr>
                <w:ilvl w:val="0"/>
                <w:numId w:val="4"/>
              </w:numPr>
              <w:tabs>
                <w:tab w:val="left" w:pos="360"/>
                <w:tab w:val="left" w:pos="576"/>
              </w:tabs>
              <w:ind w:left="576" w:hanging="216"/>
            </w:pPr>
            <w:r w:rsidRPr="005D4222">
              <w:t xml:space="preserve">An outpatient visit, including office visits and home visits. </w:t>
            </w:r>
          </w:p>
          <w:p w14:paraId="4C938959" w14:textId="77777777" w:rsidR="009573D1" w:rsidRPr="005D4222" w:rsidRDefault="009573D1" w:rsidP="009573D1">
            <w:pPr>
              <w:pStyle w:val="Bullet"/>
              <w:numPr>
                <w:ilvl w:val="0"/>
                <w:numId w:val="4"/>
              </w:numPr>
              <w:tabs>
                <w:tab w:val="left" w:pos="360"/>
                <w:tab w:val="left" w:pos="576"/>
              </w:tabs>
              <w:ind w:left="576" w:hanging="216"/>
            </w:pPr>
            <w:r w:rsidRPr="005D4222">
              <w:t>A telephone visit.</w:t>
            </w:r>
          </w:p>
          <w:p w14:paraId="5308EFC6" w14:textId="77777777" w:rsidR="009573D1" w:rsidRPr="005D4222" w:rsidRDefault="009573D1" w:rsidP="009573D1">
            <w:pPr>
              <w:pStyle w:val="Bullet"/>
              <w:numPr>
                <w:ilvl w:val="0"/>
                <w:numId w:val="4"/>
              </w:numPr>
              <w:tabs>
                <w:tab w:val="left" w:pos="360"/>
                <w:tab w:val="left" w:pos="576"/>
              </w:tabs>
              <w:ind w:left="576" w:hanging="216"/>
            </w:pPr>
            <w:r w:rsidRPr="005D4222">
              <w:t>A synchronous telehealth visit where real-time interaction occurred between the person and provider using audio and video communication.</w:t>
            </w:r>
          </w:p>
          <w:p w14:paraId="18E373F8" w14:textId="77777777" w:rsidR="009573D1" w:rsidRPr="005D4222" w:rsidRDefault="009573D1" w:rsidP="009573D1">
            <w:pPr>
              <w:pStyle w:val="Bullet"/>
              <w:numPr>
                <w:ilvl w:val="0"/>
                <w:numId w:val="4"/>
              </w:numPr>
              <w:tabs>
                <w:tab w:val="left" w:pos="360"/>
                <w:tab w:val="left" w:pos="576"/>
              </w:tabs>
              <w:ind w:left="576" w:hanging="216"/>
              <w:rPr>
                <w:rFonts w:ascii="Calibri" w:hAnsi="Calibri"/>
              </w:rPr>
            </w:pPr>
            <w:r w:rsidRPr="005D4222">
              <w:t xml:space="preserve">An e-visit or virtual check-in (asynchronous telehealth where two-way interaction, which was not in real-time, occurred between the person and provider). </w:t>
            </w:r>
          </w:p>
          <w:p w14:paraId="68E4C04A" w14:textId="77777777" w:rsidR="009573D1" w:rsidRPr="005D4222" w:rsidRDefault="009573D1" w:rsidP="009573D1">
            <w:pPr>
              <w:pStyle w:val="Note"/>
            </w:pPr>
            <w:r w:rsidRPr="005D4222">
              <w:rPr>
                <w:b/>
                <w:bCs/>
              </w:rPr>
              <w:t xml:space="preserve">Note: </w:t>
            </w:r>
            <w:r w:rsidRPr="005D4222">
              <w:t>If the person is unable to communicate with the provider, interaction between the caregiver and the provider meets criteria.</w:t>
            </w:r>
          </w:p>
          <w:p w14:paraId="2AB1D6DD" w14:textId="77777777" w:rsidR="009573D1" w:rsidRPr="005D4222" w:rsidRDefault="009573D1" w:rsidP="009573D1">
            <w:pPr>
              <w:pStyle w:val="ECDSBody"/>
              <w:spacing w:before="180"/>
            </w:pPr>
            <w:r w:rsidRPr="005D4222">
              <w:rPr>
                <w:b/>
                <w:bCs w:val="0"/>
              </w:rPr>
              <w:t>Numerator 4: Medication reconciliation post-discharge.</w:t>
            </w:r>
            <w:r w:rsidRPr="005D4222">
              <w:rPr>
                <w:b/>
                <w:bCs w:val="0"/>
              </w:rPr>
              <w:br/>
            </w:r>
            <w:r w:rsidRPr="005D4222">
              <w:t>Medication reconciliation conducted by a prescribing practitioner, clinical pharmacist, physician assistant or registered nurse, as documented through either administrative data or medical record review on the date of discharge through 30 days after discharge (31 total days).</w:t>
            </w:r>
          </w:p>
          <w:p w14:paraId="038C990E" w14:textId="77777777" w:rsidR="009573D1" w:rsidRPr="005D4222" w:rsidRDefault="009573D1" w:rsidP="009573D1">
            <w:pPr>
              <w:pStyle w:val="ECDSBody"/>
            </w:pPr>
            <w:r w:rsidRPr="005D4222" w:rsidDel="00343F3C">
              <w:rPr>
                <w:rFonts w:eastAsia="Arial"/>
                <w:i/>
                <w:iCs/>
              </w:rPr>
              <w:t>M</w:t>
            </w:r>
            <w:r w:rsidRPr="005D4222">
              <w:rPr>
                <w:rFonts w:eastAsia="Arial"/>
                <w:i/>
                <w:iCs/>
              </w:rPr>
              <w:t>edical record</w:t>
            </w:r>
            <w:r w:rsidRPr="005D4222">
              <w:rPr>
                <w:rFonts w:eastAsia="Arial"/>
              </w:rPr>
              <w:t xml:space="preserve">: </w:t>
            </w:r>
            <w:r w:rsidRPr="005D4222">
              <w:t xml:space="preserve">Documentation in the outpatient medical record must include evidence of medication reconciliation and the date when it was performed. Any of the following </w:t>
            </w:r>
            <w:r w:rsidRPr="005D4222" w:rsidDel="00AE79BB">
              <w:t xml:space="preserve">examples </w:t>
            </w:r>
            <w:r w:rsidRPr="005D4222">
              <w:t>meet criteria:</w:t>
            </w:r>
          </w:p>
          <w:p w14:paraId="43D86D7A" w14:textId="77777777" w:rsidR="009573D1" w:rsidRPr="005D4222" w:rsidRDefault="009573D1" w:rsidP="009573D1">
            <w:pPr>
              <w:pStyle w:val="Bullet"/>
              <w:numPr>
                <w:ilvl w:val="0"/>
                <w:numId w:val="4"/>
              </w:numPr>
              <w:tabs>
                <w:tab w:val="left" w:pos="360"/>
                <w:tab w:val="left" w:pos="576"/>
              </w:tabs>
              <w:ind w:left="576" w:hanging="216"/>
            </w:pPr>
            <w:r w:rsidRPr="005D4222">
              <w:t>Documentation of a current medication list, with a notation that the provider reconciled current and discharge medications.</w:t>
            </w:r>
          </w:p>
          <w:p w14:paraId="60ECAE6B" w14:textId="77777777" w:rsidR="009573D1" w:rsidRPr="005D4222" w:rsidRDefault="009573D1" w:rsidP="009573D1">
            <w:pPr>
              <w:pStyle w:val="Bullet"/>
              <w:numPr>
                <w:ilvl w:val="0"/>
                <w:numId w:val="4"/>
              </w:numPr>
              <w:tabs>
                <w:tab w:val="left" w:pos="360"/>
                <w:tab w:val="left" w:pos="576"/>
              </w:tabs>
              <w:ind w:left="576" w:hanging="216"/>
            </w:pPr>
            <w:r w:rsidRPr="005D4222">
              <w:t>Documentation of a current medication list, with a notation that references discharge medications (e.g., no changes in medications since discharge, same medications at discharge, discontinue all discharge medications).</w:t>
            </w:r>
          </w:p>
          <w:p w14:paraId="1726ACB9" w14:textId="77777777" w:rsidR="009573D1" w:rsidRPr="005D4222" w:rsidRDefault="009573D1" w:rsidP="00EB6812">
            <w:pPr>
              <w:pStyle w:val="Bullet"/>
              <w:numPr>
                <w:ilvl w:val="0"/>
                <w:numId w:val="4"/>
              </w:numPr>
              <w:tabs>
                <w:tab w:val="left" w:pos="360"/>
                <w:tab w:val="left" w:pos="576"/>
              </w:tabs>
              <w:ind w:left="576" w:hanging="216"/>
            </w:pPr>
            <w:r w:rsidRPr="005D4222">
              <w:t>Documentation of a current medication list, with a notation that discharge medications were reviewed.</w:t>
            </w:r>
          </w:p>
          <w:p w14:paraId="0AAF823D" w14:textId="626D1094" w:rsidR="00436C93" w:rsidRPr="005D4222" w:rsidRDefault="00436C93" w:rsidP="00436C93">
            <w:pPr>
              <w:pStyle w:val="Bullet"/>
              <w:numPr>
                <w:ilvl w:val="0"/>
                <w:numId w:val="4"/>
              </w:numPr>
              <w:tabs>
                <w:tab w:val="left" w:pos="360"/>
                <w:tab w:val="left" w:pos="576"/>
              </w:tabs>
              <w:spacing w:after="80"/>
              <w:ind w:left="576" w:hanging="216"/>
            </w:pPr>
            <w:r w:rsidRPr="005D4222">
              <w:t>Documentation of a current medication list and discharge medication list, with a notation that both lists were reviewed on the same date.</w:t>
            </w:r>
          </w:p>
        </w:tc>
      </w:tr>
    </w:tbl>
    <w:p w14:paraId="3CE06417" w14:textId="77777777" w:rsidR="00EB6812" w:rsidRPr="005D4222" w:rsidRDefault="00EB6812"/>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9573D1" w:rsidRPr="005D4222" w14:paraId="509F70EE"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0" w:type="dxa"/>
              <w:right w:w="86" w:type="dxa"/>
            </w:tcMar>
          </w:tcPr>
          <w:p w14:paraId="0A2A05BE" w14:textId="77777777" w:rsidR="009573D1" w:rsidRPr="005D4222" w:rsidRDefault="009573D1">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tcPr>
          <w:p w14:paraId="0D0147FD" w14:textId="77777777" w:rsidR="00EB6812" w:rsidRPr="005D4222" w:rsidRDefault="00EB6812" w:rsidP="00EB6812">
            <w:pPr>
              <w:pStyle w:val="Bullet"/>
              <w:numPr>
                <w:ilvl w:val="0"/>
                <w:numId w:val="4"/>
              </w:numPr>
              <w:tabs>
                <w:tab w:val="left" w:pos="360"/>
                <w:tab w:val="left" w:pos="576"/>
              </w:tabs>
              <w:ind w:left="576" w:hanging="216"/>
            </w:pPr>
            <w:r w:rsidRPr="005D4222">
              <w:t xml:space="preserve">Documentation of a current medication list, with evidence that the person was seen for post-discharge hospital follow-up with evidence of medication reconciliation or review. </w:t>
            </w:r>
          </w:p>
          <w:p w14:paraId="0533695D" w14:textId="77777777" w:rsidR="00EB6812" w:rsidRPr="005D4222" w:rsidRDefault="00EB6812" w:rsidP="00EB6812">
            <w:pPr>
              <w:pStyle w:val="Dash"/>
              <w:tabs>
                <w:tab w:val="left" w:pos="576"/>
                <w:tab w:val="left" w:pos="792"/>
              </w:tabs>
            </w:pPr>
            <w:r w:rsidRPr="005D4222">
              <w:t>Evidence of post-discharge hospital follow-up requires documentation that indicates the provider was aware of the hospitalization and/or discharge.</w:t>
            </w:r>
          </w:p>
          <w:p w14:paraId="205DCDF5" w14:textId="77777777" w:rsidR="00EB6812" w:rsidRPr="005D4222" w:rsidRDefault="00EB6812" w:rsidP="00EB6812">
            <w:pPr>
              <w:pStyle w:val="Bullet"/>
              <w:numPr>
                <w:ilvl w:val="0"/>
                <w:numId w:val="4"/>
              </w:numPr>
              <w:tabs>
                <w:tab w:val="left" w:pos="360"/>
                <w:tab w:val="left" w:pos="576"/>
              </w:tabs>
              <w:ind w:left="576" w:hanging="216"/>
            </w:pPr>
            <w:r w:rsidRPr="005D4222">
              <w:t xml:space="preserve">Documentation in the discharge summary that discharge medications were reconciled with the most recent medication list in the outpatient medical record. </w:t>
            </w:r>
          </w:p>
          <w:p w14:paraId="49B2FA2F" w14:textId="77777777" w:rsidR="00EB6812" w:rsidRPr="005D4222" w:rsidRDefault="00EB6812" w:rsidP="00EB6812">
            <w:pPr>
              <w:pStyle w:val="Dash"/>
              <w:tabs>
                <w:tab w:val="left" w:pos="576"/>
                <w:tab w:val="left" w:pos="792"/>
              </w:tabs>
              <w:spacing w:after="80"/>
            </w:pPr>
            <w:r w:rsidRPr="005D4222">
              <w:t>There must be evidence that the discharge summary was filed in the outpatient chart on the date of discharge through 30 days after discharge (31 total days).</w:t>
            </w:r>
          </w:p>
          <w:p w14:paraId="7234B02B" w14:textId="77777777" w:rsidR="00EB6812" w:rsidRPr="005D4222" w:rsidRDefault="00EB6812" w:rsidP="00C46E9D">
            <w:pPr>
              <w:pStyle w:val="Bullet"/>
              <w:numPr>
                <w:ilvl w:val="0"/>
                <w:numId w:val="4"/>
              </w:numPr>
              <w:tabs>
                <w:tab w:val="left" w:pos="360"/>
                <w:tab w:val="left" w:pos="576"/>
              </w:tabs>
              <w:ind w:left="576" w:hanging="216"/>
            </w:pPr>
            <w:r w:rsidRPr="005D4222">
              <w:t>Notation that no medications were prescribed or ordered upon discharge.</w:t>
            </w:r>
          </w:p>
          <w:p w14:paraId="6A574C51" w14:textId="77777777" w:rsidR="00EB6812" w:rsidRPr="005D4222" w:rsidRDefault="00EB6812" w:rsidP="002B51D3">
            <w:pPr>
              <w:pStyle w:val="ECDSBody"/>
              <w:rPr>
                <w:b/>
                <w:i/>
                <w:sz w:val="20"/>
                <w:szCs w:val="20"/>
              </w:rPr>
            </w:pPr>
            <w:r w:rsidRPr="005D4222">
              <w:rPr>
                <w:b/>
                <w:i/>
                <w:sz w:val="20"/>
                <w:szCs w:val="20"/>
              </w:rPr>
              <w:t>Note</w:t>
            </w:r>
          </w:p>
          <w:p w14:paraId="3217B271" w14:textId="77777777" w:rsidR="00EB6812" w:rsidRPr="005D4222" w:rsidRDefault="00EB6812" w:rsidP="00EB6812">
            <w:pPr>
              <w:pStyle w:val="ProcessBullet"/>
              <w:rPr>
                <w:i/>
                <w:iCs/>
                <w:sz w:val="20"/>
                <w:szCs w:val="20"/>
              </w:rPr>
            </w:pPr>
            <w:r w:rsidRPr="005D4222">
              <w:rPr>
                <w:i/>
                <w:iCs/>
                <w:sz w:val="20"/>
                <w:szCs w:val="20"/>
              </w:rPr>
              <w:t>The following notations or examples of documentation do not count as numerator compliant:</w:t>
            </w:r>
          </w:p>
          <w:p w14:paraId="52256BEC" w14:textId="77777777" w:rsidR="00EB6812" w:rsidRPr="005D4222" w:rsidRDefault="00EB6812" w:rsidP="00EB6812">
            <w:pPr>
              <w:pStyle w:val="ProcessDash"/>
              <w:spacing w:after="40"/>
              <w:rPr>
                <w:i/>
                <w:iCs/>
                <w:sz w:val="20"/>
              </w:rPr>
            </w:pPr>
            <w:r w:rsidRPr="005D4222">
              <w:rPr>
                <w:i/>
                <w:iCs/>
                <w:sz w:val="20"/>
              </w:rPr>
              <w:t xml:space="preserve">Notification of Inpatient </w:t>
            </w:r>
            <w:r w:rsidRPr="005D4222" w:rsidDel="000361D8">
              <w:rPr>
                <w:i/>
                <w:iCs/>
                <w:sz w:val="20"/>
              </w:rPr>
              <w:t>A</w:t>
            </w:r>
            <w:r w:rsidRPr="005D4222">
              <w:rPr>
                <w:i/>
                <w:iCs/>
                <w:sz w:val="20"/>
              </w:rPr>
              <w:t>dmission and Receipt of Discharge Information:</w:t>
            </w:r>
          </w:p>
          <w:p w14:paraId="00AA1288" w14:textId="77777777" w:rsidR="00EB6812" w:rsidRPr="005D4222" w:rsidRDefault="00EB6812" w:rsidP="00EB6812">
            <w:pPr>
              <w:pStyle w:val="SquareBullet"/>
              <w:spacing w:after="40"/>
              <w:rPr>
                <w:i/>
                <w:iCs/>
                <w:sz w:val="20"/>
                <w:szCs w:val="20"/>
              </w:rPr>
            </w:pPr>
            <w:r w:rsidRPr="005D4222">
              <w:rPr>
                <w:i/>
                <w:iCs/>
                <w:sz w:val="20"/>
                <w:szCs w:val="20"/>
              </w:rPr>
              <w:t>Documentation that the person or the person’s family notified the person’s PCP or ongoing care provider of the admission or discharge.</w:t>
            </w:r>
          </w:p>
          <w:p w14:paraId="17959E10" w14:textId="77777777" w:rsidR="00EB6812" w:rsidRPr="005D4222" w:rsidRDefault="00EB6812" w:rsidP="00EB6812">
            <w:pPr>
              <w:pStyle w:val="SquareBullet"/>
              <w:spacing w:after="40"/>
              <w:rPr>
                <w:i/>
                <w:iCs/>
                <w:sz w:val="20"/>
                <w:szCs w:val="20"/>
              </w:rPr>
            </w:pPr>
            <w:r w:rsidRPr="005D4222">
              <w:rPr>
                <w:i/>
                <w:iCs/>
                <w:sz w:val="20"/>
                <w:szCs w:val="20"/>
              </w:rPr>
              <w:t>Documentation of notification that does not include a time frame or date when the documentation was received.</w:t>
            </w:r>
          </w:p>
          <w:p w14:paraId="61DD7732" w14:textId="77777777" w:rsidR="00EB6812" w:rsidRPr="005D4222" w:rsidRDefault="00EB6812" w:rsidP="00EB6812">
            <w:pPr>
              <w:pStyle w:val="ProcessDash"/>
              <w:spacing w:after="40"/>
              <w:rPr>
                <w:i/>
                <w:iCs/>
                <w:sz w:val="20"/>
              </w:rPr>
            </w:pPr>
            <w:r w:rsidRPr="005D4222">
              <w:rPr>
                <w:i/>
                <w:iCs/>
                <w:sz w:val="20"/>
              </w:rPr>
              <w:t xml:space="preserve">Medication Reconciliation Post-Discharge: </w:t>
            </w:r>
          </w:p>
          <w:p w14:paraId="0832A507" w14:textId="77777777" w:rsidR="00EB6812" w:rsidRPr="005D4222" w:rsidRDefault="00EB6812" w:rsidP="00EB6812">
            <w:pPr>
              <w:pStyle w:val="SquareBullet"/>
              <w:spacing w:after="40"/>
              <w:rPr>
                <w:i/>
                <w:iCs/>
                <w:sz w:val="20"/>
                <w:szCs w:val="20"/>
              </w:rPr>
            </w:pPr>
            <w:r w:rsidRPr="005D4222">
              <w:rPr>
                <w:i/>
                <w:iCs/>
                <w:sz w:val="20"/>
                <w:szCs w:val="20"/>
              </w:rPr>
              <w:t xml:space="preserve">The following examples </w:t>
            </w:r>
            <w:r w:rsidRPr="005D4222">
              <w:rPr>
                <w:rStyle w:val="ui-provider"/>
                <w:rFonts w:eastAsiaTheme="majorEastAsia"/>
                <w:i/>
                <w:iCs/>
                <w:sz w:val="20"/>
                <w:szCs w:val="20"/>
              </w:rPr>
              <w:t xml:space="preserve">(without a reference to “hospitalization,” “admission” or “inpatient stay”) </w:t>
            </w:r>
            <w:r w:rsidRPr="005D4222">
              <w:rPr>
                <w:i/>
                <w:iCs/>
                <w:sz w:val="20"/>
                <w:szCs w:val="20"/>
              </w:rPr>
              <w:t>are not considered evidence that the provider was aware of the person’s hospitalization or discharge:</w:t>
            </w:r>
          </w:p>
          <w:p w14:paraId="19F1AFE6" w14:textId="77777777" w:rsidR="00EB6812" w:rsidRPr="005D4222" w:rsidRDefault="00EB6812" w:rsidP="00EB6812">
            <w:pPr>
              <w:pStyle w:val="Bullet"/>
              <w:numPr>
                <w:ilvl w:val="0"/>
                <w:numId w:val="4"/>
              </w:numPr>
              <w:tabs>
                <w:tab w:val="left" w:pos="360"/>
                <w:tab w:val="left" w:pos="576"/>
              </w:tabs>
              <w:ind w:left="864" w:hanging="216"/>
              <w:rPr>
                <w:i/>
                <w:iCs/>
                <w:sz w:val="20"/>
                <w:szCs w:val="20"/>
              </w:rPr>
            </w:pPr>
            <w:r w:rsidRPr="005D4222">
              <w:rPr>
                <w:i/>
                <w:iCs/>
                <w:sz w:val="20"/>
                <w:szCs w:val="20"/>
              </w:rPr>
              <w:t xml:space="preserve">Documentation of “post-op/surgery follow-up.” </w:t>
            </w:r>
          </w:p>
          <w:p w14:paraId="67F5C06D" w14:textId="77777777" w:rsidR="00EB6812" w:rsidRPr="005D4222" w:rsidRDefault="00EB6812" w:rsidP="00EB6812">
            <w:pPr>
              <w:pStyle w:val="Bullet"/>
              <w:numPr>
                <w:ilvl w:val="0"/>
                <w:numId w:val="4"/>
              </w:numPr>
              <w:tabs>
                <w:tab w:val="left" w:pos="360"/>
                <w:tab w:val="left" w:pos="576"/>
              </w:tabs>
              <w:ind w:left="864" w:hanging="216"/>
              <w:rPr>
                <w:i/>
                <w:iCs/>
                <w:sz w:val="20"/>
                <w:szCs w:val="20"/>
              </w:rPr>
            </w:pPr>
            <w:r w:rsidRPr="005D4222">
              <w:rPr>
                <w:i/>
                <w:iCs/>
                <w:sz w:val="20"/>
                <w:szCs w:val="20"/>
              </w:rPr>
              <w:t xml:space="preserve">Documentation only of a procedure that is typically inpatient (e.g. open-heart surgery). </w:t>
            </w:r>
          </w:p>
          <w:p w14:paraId="59E40670" w14:textId="77777777" w:rsidR="00EB6812" w:rsidRPr="005D4222" w:rsidRDefault="00EB6812" w:rsidP="00EB6812">
            <w:pPr>
              <w:pStyle w:val="Bullet"/>
              <w:numPr>
                <w:ilvl w:val="0"/>
                <w:numId w:val="4"/>
              </w:numPr>
              <w:tabs>
                <w:tab w:val="left" w:pos="360"/>
                <w:tab w:val="left" w:pos="576"/>
              </w:tabs>
              <w:ind w:left="864" w:hanging="216"/>
              <w:rPr>
                <w:i/>
                <w:iCs/>
                <w:sz w:val="20"/>
                <w:szCs w:val="20"/>
              </w:rPr>
            </w:pPr>
            <w:r w:rsidRPr="005D4222">
              <w:rPr>
                <w:i/>
                <w:iCs/>
                <w:sz w:val="20"/>
                <w:szCs w:val="20"/>
              </w:rPr>
              <w:t xml:space="preserve">Documentation indicating </w:t>
            </w:r>
            <w:r w:rsidRPr="005D4222" w:rsidDel="00844B27">
              <w:rPr>
                <w:i/>
                <w:iCs/>
                <w:sz w:val="20"/>
                <w:szCs w:val="20"/>
              </w:rPr>
              <w:t xml:space="preserve">that </w:t>
            </w:r>
            <w:r w:rsidRPr="005D4222">
              <w:rPr>
                <w:i/>
                <w:iCs/>
                <w:sz w:val="20"/>
                <w:szCs w:val="20"/>
              </w:rPr>
              <w:t>the visit was with the same provider who admitted the person or who performed the surgery.</w:t>
            </w:r>
          </w:p>
          <w:p w14:paraId="1BD7E5A9" w14:textId="77777777" w:rsidR="00EB6812" w:rsidRPr="005D4222" w:rsidRDefault="00EB6812" w:rsidP="00EB6812">
            <w:pPr>
              <w:pStyle w:val="ProcessBullet"/>
              <w:rPr>
                <w:i/>
                <w:iCs/>
                <w:sz w:val="20"/>
                <w:szCs w:val="20"/>
              </w:rPr>
            </w:pPr>
            <w:r w:rsidRPr="005D4222">
              <w:rPr>
                <w:i/>
                <w:iCs/>
                <w:sz w:val="20"/>
                <w:szCs w:val="20"/>
              </w:rPr>
              <w:t>The Medication Reconciliation Post-Discharge numerator assesses whether medication reconciliation occurred. It does not attempt to assess the quality of the medication list documented in the medical record or the process used to document the most recent medication list in the medical record.</w:t>
            </w:r>
          </w:p>
          <w:p w14:paraId="092AF902" w14:textId="7A73F1F9" w:rsidR="009573D1" w:rsidRPr="005D4222" w:rsidRDefault="00EB6812" w:rsidP="00B332AD">
            <w:pPr>
              <w:pStyle w:val="ProcessBullet"/>
              <w:spacing w:after="80"/>
            </w:pPr>
            <w:r w:rsidRPr="005D4222">
              <w:rPr>
                <w:i/>
                <w:iCs/>
                <w:sz w:val="20"/>
                <w:szCs w:val="20"/>
              </w:rPr>
              <w:t>A medication reconciliation performed without the person present meets criteria.</w:t>
            </w:r>
          </w:p>
        </w:tc>
      </w:tr>
      <w:tr w:rsidR="00CE045A" w:rsidRPr="005D4222" w14:paraId="1AC6A4E9"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86" w:type="dxa"/>
              <w:left w:w="86" w:type="dxa"/>
              <w:bottom w:w="43" w:type="dxa"/>
              <w:right w:w="86" w:type="dxa"/>
            </w:tcMar>
          </w:tcPr>
          <w:p w14:paraId="038DF2A2" w14:textId="77777777" w:rsidR="00CE045A" w:rsidRPr="005D4222" w:rsidRDefault="00CE045A">
            <w:pPr>
              <w:pStyle w:val="ECDSMarginHead"/>
            </w:pPr>
            <w:r w:rsidRPr="005D4222">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7A1F1D0" w14:textId="77777777" w:rsidR="00CE045A" w:rsidRPr="005D4222" w:rsidRDefault="00CE045A">
            <w:pPr>
              <w:pStyle w:val="ProcessBullet"/>
            </w:pPr>
            <w:r w:rsidRPr="005D4222">
              <w:t>No changes to this measure.</w:t>
            </w:r>
          </w:p>
        </w:tc>
      </w:tr>
    </w:tbl>
    <w:p w14:paraId="76A5C18A" w14:textId="77777777" w:rsidR="00AF0E3E" w:rsidRPr="005D4222" w:rsidRDefault="00AF0E3E">
      <w:pPr>
        <w:sectPr w:rsidR="00AF0E3E" w:rsidRPr="005D4222" w:rsidSect="0074514A">
          <w:type w:val="nextColumn"/>
          <w:pgSz w:w="12240" w:h="15840" w:code="1"/>
          <w:pgMar w:top="1080" w:right="1080" w:bottom="1080" w:left="1440" w:header="720" w:footer="720" w:gutter="0"/>
          <w:cols w:space="720"/>
          <w:docGrid w:linePitch="360"/>
        </w:sectPr>
      </w:pPr>
    </w:p>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AF0E3E" w:rsidRPr="005D4222" w14:paraId="7179C0FF" w14:textId="77777777" w:rsidTr="00436C93">
        <w:tc>
          <w:tcPr>
            <w:tcW w:w="2157"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51B14B4C" w14:textId="77777777" w:rsidR="00AF0E3E" w:rsidRPr="005D4222" w:rsidRDefault="00AF0E3E">
            <w:pPr>
              <w:pStyle w:val="ECDSMarginHead"/>
            </w:pPr>
            <w:r w:rsidRPr="005D4222">
              <w:lastRenderedPageBreak/>
              <w:t>Data element tables</w:t>
            </w: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tcPr>
          <w:p w14:paraId="19A2757C" w14:textId="77777777" w:rsidR="00AF0E3E" w:rsidRPr="005D4222" w:rsidRDefault="00AF0E3E" w:rsidP="00887E7A">
            <w:pPr>
              <w:pStyle w:val="Body"/>
              <w:spacing w:before="120"/>
              <w:rPr>
                <w:rFonts w:cs="Arial"/>
                <w:szCs w:val="21"/>
              </w:rPr>
            </w:pPr>
            <w:r w:rsidRPr="005D4222">
              <w:t xml:space="preserve">Organizations that submit </w:t>
            </w:r>
            <w:r w:rsidRPr="005D4222">
              <w:rPr>
                <w:rFonts w:cs="Arial"/>
                <w:szCs w:val="21"/>
              </w:rPr>
              <w:t>HEDIS data to NCQA must provide the following data elements.</w:t>
            </w:r>
          </w:p>
          <w:p w14:paraId="0881C57B" w14:textId="77777777" w:rsidR="00AF0E3E" w:rsidRPr="005D4222" w:rsidRDefault="00AF0E3E">
            <w:pPr>
              <w:pStyle w:val="Heading3"/>
              <w:spacing w:before="120"/>
              <w:rPr>
                <w:b w:val="0"/>
                <w:bCs w:val="0"/>
                <w:iCs/>
                <w:szCs w:val="21"/>
              </w:rPr>
            </w:pPr>
            <w:r w:rsidRPr="005D4222">
              <w:t xml:space="preserve">Table </w:t>
            </w:r>
            <w:r w:rsidRPr="005D4222">
              <w:rPr>
                <w:szCs w:val="21"/>
              </w:rPr>
              <w:t>TRC-3: Data Elements for Transitions of Care</w:t>
            </w:r>
          </w:p>
          <w:tbl>
            <w:tblPr>
              <w:tblW w:w="7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5"/>
              <w:gridCol w:w="718"/>
              <w:gridCol w:w="2341"/>
              <w:gridCol w:w="1578"/>
              <w:gridCol w:w="394"/>
            </w:tblGrid>
            <w:tr w:rsidR="00AF0E3E" w:rsidRPr="005D4222" w14:paraId="7BC65E31" w14:textId="77777777" w:rsidTr="001E3756">
              <w:trPr>
                <w:cantSplit/>
                <w:tblHeader/>
              </w:trPr>
              <w:tc>
                <w:tcPr>
                  <w:tcW w:w="1589" w:type="pct"/>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tcMar>
                    <w:top w:w="0" w:type="dxa"/>
                    <w:left w:w="43" w:type="dxa"/>
                    <w:bottom w:w="0" w:type="dxa"/>
                    <w:right w:w="43" w:type="dxa"/>
                  </w:tcMar>
                  <w:vAlign w:val="bottom"/>
                  <w:hideMark/>
                </w:tcPr>
                <w:p w14:paraId="7581B255" w14:textId="77777777" w:rsidR="00AF0E3E" w:rsidRPr="005D4222" w:rsidRDefault="00AF0E3E" w:rsidP="00436C93">
                  <w:pPr>
                    <w:spacing w:before="50" w:after="50" w:line="216" w:lineRule="auto"/>
                    <w:jc w:val="center"/>
                    <w:rPr>
                      <w:rFonts w:ascii="Arial Narrow" w:eastAsia="Arial Narrow" w:hAnsi="Arial Narrow" w:cs="Arial"/>
                      <w:b/>
                      <w:sz w:val="20"/>
                    </w:rPr>
                  </w:pPr>
                  <w:r w:rsidRPr="005D4222">
                    <w:rPr>
                      <w:rFonts w:ascii="Arial Narrow" w:eastAsia="Arial Narrow" w:hAnsi="Arial Narrow" w:cs="Arial"/>
                      <w:b/>
                      <w:sz w:val="20"/>
                    </w:rPr>
                    <w:t>Metric</w:t>
                  </w:r>
                </w:p>
              </w:tc>
              <w:tc>
                <w:tcPr>
                  <w:tcW w:w="487" w:type="pct"/>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top w:w="0" w:type="dxa"/>
                    <w:left w:w="43" w:type="dxa"/>
                    <w:bottom w:w="0" w:type="dxa"/>
                    <w:right w:w="43" w:type="dxa"/>
                  </w:tcMar>
                  <w:vAlign w:val="bottom"/>
                  <w:hideMark/>
                </w:tcPr>
                <w:p w14:paraId="0BA35EFE" w14:textId="77777777" w:rsidR="00AF0E3E" w:rsidRPr="005D4222" w:rsidRDefault="00AF0E3E" w:rsidP="00436C93">
                  <w:pPr>
                    <w:spacing w:before="50" w:after="50" w:line="216" w:lineRule="auto"/>
                    <w:jc w:val="center"/>
                    <w:rPr>
                      <w:rFonts w:ascii="Arial Narrow" w:eastAsia="Arial Narrow" w:hAnsi="Arial Narrow" w:cs="Arial"/>
                      <w:b/>
                      <w:sz w:val="20"/>
                    </w:rPr>
                  </w:pPr>
                  <w:r w:rsidRPr="005D4222">
                    <w:rPr>
                      <w:rFonts w:ascii="Arial Narrow" w:eastAsia="Arial Narrow" w:hAnsi="Arial Narrow" w:cs="Arial"/>
                      <w:b/>
                      <w:sz w:val="20"/>
                    </w:rPr>
                    <w:t>Age</w:t>
                  </w:r>
                </w:p>
              </w:tc>
              <w:tc>
                <w:tcPr>
                  <w:tcW w:w="1587" w:type="pct"/>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top w:w="0" w:type="dxa"/>
                    <w:left w:w="43" w:type="dxa"/>
                    <w:bottom w:w="0" w:type="dxa"/>
                    <w:right w:w="43" w:type="dxa"/>
                  </w:tcMar>
                  <w:vAlign w:val="bottom"/>
                  <w:hideMark/>
                </w:tcPr>
                <w:p w14:paraId="157FF059" w14:textId="77777777" w:rsidR="00AF0E3E" w:rsidRPr="005D4222" w:rsidRDefault="00AF0E3E" w:rsidP="00436C93">
                  <w:pPr>
                    <w:spacing w:before="50" w:after="50" w:line="216" w:lineRule="auto"/>
                    <w:jc w:val="center"/>
                    <w:rPr>
                      <w:rFonts w:ascii="Arial Narrow" w:eastAsia="Arial Narrow" w:hAnsi="Arial Narrow" w:cs="Arial"/>
                      <w:b/>
                      <w:sz w:val="20"/>
                    </w:rPr>
                  </w:pPr>
                  <w:r w:rsidRPr="005D4222">
                    <w:rPr>
                      <w:rFonts w:ascii="Arial Narrow" w:eastAsia="Arial Narrow" w:hAnsi="Arial Narrow" w:cs="Arial"/>
                      <w:b/>
                      <w:sz w:val="20"/>
                    </w:rPr>
                    <w:t>Data Element</w:t>
                  </w:r>
                </w:p>
              </w:tc>
              <w:tc>
                <w:tcPr>
                  <w:tcW w:w="1070" w:type="pct"/>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top w:w="0" w:type="dxa"/>
                    <w:left w:w="43" w:type="dxa"/>
                    <w:bottom w:w="0" w:type="dxa"/>
                    <w:right w:w="43" w:type="dxa"/>
                  </w:tcMar>
                  <w:vAlign w:val="bottom"/>
                  <w:hideMark/>
                </w:tcPr>
                <w:p w14:paraId="6834310A" w14:textId="77777777" w:rsidR="00AF0E3E" w:rsidRPr="005D4222" w:rsidRDefault="00AF0E3E" w:rsidP="00436C93">
                  <w:pPr>
                    <w:spacing w:before="50" w:after="50" w:line="216" w:lineRule="auto"/>
                    <w:jc w:val="center"/>
                    <w:rPr>
                      <w:rFonts w:ascii="Arial Narrow" w:eastAsia="Arial Narrow" w:hAnsi="Arial Narrow" w:cs="Arial"/>
                      <w:b/>
                      <w:sz w:val="20"/>
                    </w:rPr>
                  </w:pPr>
                  <w:r w:rsidRPr="005D4222">
                    <w:rPr>
                      <w:rFonts w:ascii="Arial Narrow" w:eastAsia="Arial Narrow" w:hAnsi="Arial Narrow" w:cs="Arial"/>
                      <w:b/>
                      <w:sz w:val="20"/>
                    </w:rPr>
                    <w:t>Reporting Instructions</w:t>
                  </w:r>
                </w:p>
              </w:tc>
              <w:tc>
                <w:tcPr>
                  <w:tcW w:w="268" w:type="pct"/>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tcMar>
                    <w:top w:w="0" w:type="dxa"/>
                    <w:left w:w="43" w:type="dxa"/>
                    <w:bottom w:w="0" w:type="dxa"/>
                    <w:right w:w="43" w:type="dxa"/>
                  </w:tcMar>
                  <w:vAlign w:val="bottom"/>
                  <w:hideMark/>
                </w:tcPr>
                <w:p w14:paraId="354A3B01" w14:textId="77777777" w:rsidR="00AF0E3E" w:rsidRPr="005D4222" w:rsidRDefault="00AF0E3E" w:rsidP="00436C93">
                  <w:pPr>
                    <w:spacing w:before="50" w:after="50" w:line="216" w:lineRule="auto"/>
                    <w:jc w:val="center"/>
                    <w:rPr>
                      <w:rFonts w:ascii="Arial Narrow" w:eastAsia="Arial Narrow" w:hAnsi="Arial Narrow" w:cs="Arial"/>
                      <w:b/>
                      <w:sz w:val="20"/>
                    </w:rPr>
                  </w:pPr>
                  <w:r w:rsidRPr="005D4222">
                    <w:rPr>
                      <w:rFonts w:ascii="Arial Narrow" w:eastAsia="Arial Narrow" w:hAnsi="Arial Narrow" w:cs="Arial"/>
                      <w:b/>
                      <w:sz w:val="20"/>
                    </w:rPr>
                    <w:t>A</w:t>
                  </w:r>
                </w:p>
              </w:tc>
            </w:tr>
            <w:tr w:rsidR="00AF0E3E" w:rsidRPr="005D4222" w14:paraId="15CF7894" w14:textId="77777777" w:rsidTr="001E3756">
              <w:trPr>
                <w:cantSplit/>
              </w:trPr>
              <w:tc>
                <w:tcPr>
                  <w:tcW w:w="1589" w:type="pct"/>
                  <w:tcBorders>
                    <w:top w:val="single" w:sz="4" w:space="0" w:color="000000" w:themeColor="text1"/>
                    <w:left w:val="single" w:sz="4" w:space="0" w:color="auto"/>
                    <w:bottom w:val="single" w:sz="4" w:space="0" w:color="auto"/>
                    <w:right w:val="single" w:sz="4" w:space="0" w:color="auto"/>
                  </w:tcBorders>
                  <w:tcMar>
                    <w:top w:w="0" w:type="dxa"/>
                    <w:left w:w="43" w:type="dxa"/>
                    <w:bottom w:w="0" w:type="dxa"/>
                    <w:right w:w="43" w:type="dxa"/>
                  </w:tcMar>
                  <w:hideMark/>
                </w:tcPr>
                <w:p w14:paraId="04186CEC" w14:textId="77777777" w:rsidR="00AF0E3E" w:rsidRPr="005D4222" w:rsidRDefault="00AF0E3E" w:rsidP="00436C93">
                  <w:pPr>
                    <w:pStyle w:val="TableText"/>
                    <w:spacing w:before="50" w:after="50"/>
                    <w:rPr>
                      <w:rFonts w:cs="Arial"/>
                      <w:sz w:val="20"/>
                      <w:szCs w:val="20"/>
                    </w:rPr>
                  </w:pPr>
                  <w:r w:rsidRPr="005D4222">
                    <w:rPr>
                      <w:rFonts w:cs="Arial"/>
                      <w:sz w:val="20"/>
                      <w:szCs w:val="20"/>
                    </w:rPr>
                    <w:t>MedicationReconciliationPostDischarge</w:t>
                  </w:r>
                </w:p>
              </w:tc>
              <w:tc>
                <w:tcPr>
                  <w:tcW w:w="487" w:type="pct"/>
                  <w:tcBorders>
                    <w:top w:val="single" w:sz="4" w:space="0" w:color="000000" w:themeColor="text1"/>
                    <w:left w:val="single" w:sz="4" w:space="0" w:color="auto"/>
                    <w:bottom w:val="single" w:sz="4" w:space="0" w:color="auto"/>
                    <w:right w:val="single" w:sz="4" w:space="0" w:color="auto"/>
                  </w:tcBorders>
                  <w:tcMar>
                    <w:top w:w="0" w:type="dxa"/>
                    <w:left w:w="43" w:type="dxa"/>
                    <w:bottom w:w="0" w:type="dxa"/>
                    <w:right w:w="43" w:type="dxa"/>
                  </w:tcMar>
                  <w:hideMark/>
                </w:tcPr>
                <w:p w14:paraId="38175B99" w14:textId="77777777" w:rsidR="00AF0E3E" w:rsidRPr="005D4222" w:rsidRDefault="00AF0E3E" w:rsidP="00436C93">
                  <w:pPr>
                    <w:pStyle w:val="TableText"/>
                    <w:spacing w:before="50" w:after="50"/>
                    <w:rPr>
                      <w:rFonts w:cs="Arial"/>
                      <w:sz w:val="20"/>
                      <w:szCs w:val="20"/>
                    </w:rPr>
                  </w:pPr>
                  <w:r w:rsidRPr="005D4222">
                    <w:rPr>
                      <w:rFonts w:cs="Arial"/>
                      <w:sz w:val="20"/>
                      <w:szCs w:val="20"/>
                    </w:rPr>
                    <w:t>18-64</w:t>
                  </w:r>
                </w:p>
              </w:tc>
              <w:tc>
                <w:tcPr>
                  <w:tcW w:w="1587" w:type="pct"/>
                  <w:tcBorders>
                    <w:top w:val="single" w:sz="4" w:space="0" w:color="000000" w:themeColor="text1"/>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hideMark/>
                </w:tcPr>
                <w:p w14:paraId="7321C975" w14:textId="77777777" w:rsidR="00AF0E3E" w:rsidRPr="005D4222" w:rsidRDefault="00AF0E3E" w:rsidP="00436C93">
                  <w:pPr>
                    <w:pStyle w:val="TableText"/>
                    <w:spacing w:before="50" w:after="50"/>
                    <w:rPr>
                      <w:rFonts w:cs="Arial"/>
                      <w:sz w:val="20"/>
                      <w:szCs w:val="20"/>
                    </w:rPr>
                  </w:pPr>
                  <w:r w:rsidRPr="005D4222">
                    <w:rPr>
                      <w:rFonts w:eastAsia="Arial Narrow" w:cs="Arial"/>
                      <w:sz w:val="20"/>
                      <w:szCs w:val="20"/>
                    </w:rPr>
                    <w:t>CollectionMethod</w:t>
                  </w:r>
                </w:p>
              </w:tc>
              <w:tc>
                <w:tcPr>
                  <w:tcW w:w="1070" w:type="pct"/>
                  <w:tcBorders>
                    <w:top w:val="single" w:sz="4" w:space="0" w:color="000000" w:themeColor="text1"/>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hideMark/>
                </w:tcPr>
                <w:p w14:paraId="723A7547" w14:textId="77777777" w:rsidR="00AF0E3E" w:rsidRPr="005D4222" w:rsidRDefault="00AF0E3E" w:rsidP="00436C93">
                  <w:pPr>
                    <w:pStyle w:val="TableText"/>
                    <w:spacing w:before="50" w:after="50"/>
                    <w:rPr>
                      <w:rFonts w:cs="Arial"/>
                      <w:sz w:val="20"/>
                      <w:szCs w:val="20"/>
                    </w:rPr>
                  </w:pPr>
                  <w:r w:rsidRPr="005D4222">
                    <w:rPr>
                      <w:rFonts w:cs="Arial"/>
                      <w:sz w:val="20"/>
                      <w:szCs w:val="20"/>
                    </w:rPr>
                    <w:t>For each Metric,</w:t>
                  </w:r>
                  <w:r w:rsidRPr="005D4222">
                    <w:rPr>
                      <w:rFonts w:cs="Arial"/>
                      <w:sz w:val="20"/>
                      <w:szCs w:val="20"/>
                    </w:rPr>
                    <w:br/>
                    <w:t>repeat per Stratification</w:t>
                  </w:r>
                </w:p>
              </w:tc>
              <w:tc>
                <w:tcPr>
                  <w:tcW w:w="268" w:type="pct"/>
                  <w:tcBorders>
                    <w:top w:val="single" w:sz="4" w:space="0" w:color="000000" w:themeColor="text1"/>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hideMark/>
                </w:tcPr>
                <w:p w14:paraId="47B214A9" w14:textId="77777777" w:rsidR="00AF0E3E" w:rsidRPr="005D4222" w:rsidRDefault="00AF0E3E" w:rsidP="00436C93">
                  <w:pPr>
                    <w:spacing w:before="50" w:after="50" w:line="216" w:lineRule="auto"/>
                    <w:jc w:val="center"/>
                    <w:rPr>
                      <w:rFonts w:ascii="Wingdings" w:hAnsi="Wingdings" w:cs="Arial"/>
                      <w:sz w:val="20"/>
                    </w:rPr>
                  </w:pPr>
                  <w:r w:rsidRPr="005D4222">
                    <w:rPr>
                      <w:rStyle w:val="normaltextrun"/>
                      <w:rFonts w:ascii="Wingdings" w:hAnsi="Wingdings"/>
                      <w:sz w:val="20"/>
                      <w:shd w:val="clear" w:color="auto" w:fill="FFFFFF"/>
                    </w:rPr>
                    <w:t>ü</w:t>
                  </w:r>
                </w:p>
              </w:tc>
            </w:tr>
            <w:tr w:rsidR="00AF0E3E" w:rsidRPr="005D4222" w14:paraId="77C03A05" w14:textId="77777777" w:rsidTr="001E3756">
              <w:trPr>
                <w:cantSplit/>
              </w:trPr>
              <w:tc>
                <w:tcPr>
                  <w:tcW w:w="1589" w:type="pct"/>
                  <w:tcBorders>
                    <w:top w:val="single" w:sz="4" w:space="0" w:color="auto"/>
                    <w:left w:val="single" w:sz="4" w:space="0" w:color="auto"/>
                    <w:bottom w:val="single" w:sz="4" w:space="0" w:color="auto"/>
                    <w:right w:val="single" w:sz="4" w:space="0" w:color="auto"/>
                  </w:tcBorders>
                  <w:tcMar>
                    <w:top w:w="0" w:type="dxa"/>
                    <w:left w:w="43" w:type="dxa"/>
                    <w:bottom w:w="0" w:type="dxa"/>
                    <w:right w:w="43" w:type="dxa"/>
                  </w:tcMar>
                  <w:hideMark/>
                </w:tcPr>
                <w:p w14:paraId="53518FCB" w14:textId="77777777" w:rsidR="00AF0E3E" w:rsidRPr="005D4222" w:rsidRDefault="00AF0E3E" w:rsidP="00436C93">
                  <w:pPr>
                    <w:pStyle w:val="TableText"/>
                    <w:spacing w:before="50" w:after="50"/>
                    <w:rPr>
                      <w:rFonts w:cs="Arial"/>
                      <w:sz w:val="20"/>
                      <w:szCs w:val="20"/>
                    </w:rPr>
                  </w:pPr>
                  <w:r w:rsidRPr="005D4222">
                    <w:rPr>
                      <w:rFonts w:cs="Arial"/>
                      <w:sz w:val="20"/>
                      <w:szCs w:val="20"/>
                    </w:rPr>
                    <w:t>PatientEngagementAfterInpatientDischarge</w:t>
                  </w:r>
                </w:p>
              </w:tc>
              <w:tc>
                <w:tcPr>
                  <w:tcW w:w="487" w:type="pct"/>
                  <w:tcBorders>
                    <w:top w:val="single" w:sz="4" w:space="0" w:color="auto"/>
                    <w:left w:val="single" w:sz="4" w:space="0" w:color="auto"/>
                    <w:bottom w:val="single" w:sz="4" w:space="0" w:color="auto"/>
                    <w:right w:val="single" w:sz="4" w:space="0" w:color="auto"/>
                  </w:tcBorders>
                  <w:tcMar>
                    <w:top w:w="0" w:type="dxa"/>
                    <w:left w:w="43" w:type="dxa"/>
                    <w:bottom w:w="0" w:type="dxa"/>
                    <w:right w:w="43" w:type="dxa"/>
                  </w:tcMar>
                  <w:hideMark/>
                </w:tcPr>
                <w:p w14:paraId="7B064A44" w14:textId="77777777" w:rsidR="00AF0E3E" w:rsidRPr="005D4222" w:rsidRDefault="00AF0E3E" w:rsidP="00436C93">
                  <w:pPr>
                    <w:pStyle w:val="TableText"/>
                    <w:spacing w:before="50" w:after="50"/>
                    <w:rPr>
                      <w:rFonts w:cs="Arial"/>
                      <w:sz w:val="20"/>
                      <w:szCs w:val="20"/>
                    </w:rPr>
                  </w:pPr>
                  <w:r w:rsidRPr="005D4222">
                    <w:rPr>
                      <w:rFonts w:cs="Arial"/>
                      <w:sz w:val="20"/>
                      <w:szCs w:val="20"/>
                    </w:rPr>
                    <w:t>65+</w:t>
                  </w:r>
                </w:p>
              </w:tc>
              <w:tc>
                <w:tcPr>
                  <w:tcW w:w="1587"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hideMark/>
                </w:tcPr>
                <w:p w14:paraId="3B5C05A5" w14:textId="77777777" w:rsidR="00AF0E3E" w:rsidRPr="005D4222" w:rsidRDefault="00AF0E3E" w:rsidP="00436C93">
                  <w:pPr>
                    <w:pStyle w:val="TableText"/>
                    <w:spacing w:before="50" w:after="50"/>
                    <w:rPr>
                      <w:rFonts w:cs="Arial"/>
                      <w:sz w:val="20"/>
                      <w:szCs w:val="20"/>
                    </w:rPr>
                  </w:pPr>
                  <w:r w:rsidRPr="005D4222">
                    <w:rPr>
                      <w:rFonts w:eastAsia="Arial Narrow" w:cs="Arial"/>
                      <w:sz w:val="20"/>
                      <w:szCs w:val="20"/>
                    </w:rPr>
                    <w:t>InitialPopulation</w:t>
                  </w:r>
                  <w:r w:rsidRPr="005D4222">
                    <w:rPr>
                      <w:rFonts w:eastAsia="Arial Narrow" w:cs="Arial"/>
                      <w:b/>
                      <w:bCs/>
                      <w:sz w:val="20"/>
                      <w:szCs w:val="20"/>
                    </w:rPr>
                    <w:t>*</w:t>
                  </w:r>
                </w:p>
              </w:tc>
              <w:tc>
                <w:tcPr>
                  <w:tcW w:w="1070"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hideMark/>
                </w:tcPr>
                <w:p w14:paraId="545156FE" w14:textId="77777777" w:rsidR="00AF0E3E" w:rsidRPr="005D4222" w:rsidRDefault="00AF0E3E" w:rsidP="00436C93">
                  <w:pPr>
                    <w:pStyle w:val="TableText"/>
                    <w:spacing w:before="50" w:after="50"/>
                    <w:rPr>
                      <w:rFonts w:cs="Arial"/>
                      <w:sz w:val="20"/>
                      <w:szCs w:val="20"/>
                    </w:rPr>
                  </w:pPr>
                  <w:r w:rsidRPr="005D4222">
                    <w:rPr>
                      <w:rFonts w:cs="Arial"/>
                      <w:sz w:val="20"/>
                      <w:szCs w:val="20"/>
                    </w:rPr>
                    <w:t>For each Metric and Stratification</w:t>
                  </w:r>
                </w:p>
              </w:tc>
              <w:tc>
                <w:tcPr>
                  <w:tcW w:w="268"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hideMark/>
                </w:tcPr>
                <w:p w14:paraId="4F833620" w14:textId="77777777" w:rsidR="00AF0E3E" w:rsidRPr="005D4222" w:rsidRDefault="00AF0E3E" w:rsidP="00436C93">
                  <w:pPr>
                    <w:spacing w:before="50" w:after="50" w:line="216" w:lineRule="auto"/>
                    <w:jc w:val="center"/>
                    <w:rPr>
                      <w:rFonts w:ascii="Wingdings" w:hAnsi="Wingdings" w:cs="Arial"/>
                      <w:sz w:val="20"/>
                    </w:rPr>
                  </w:pPr>
                  <w:r w:rsidRPr="005D4222">
                    <w:rPr>
                      <w:rStyle w:val="normaltextrun"/>
                      <w:rFonts w:ascii="Wingdings" w:hAnsi="Wingdings"/>
                      <w:sz w:val="20"/>
                      <w:shd w:val="clear" w:color="auto" w:fill="FFFFFF"/>
                    </w:rPr>
                    <w:t>ü</w:t>
                  </w:r>
                </w:p>
              </w:tc>
            </w:tr>
            <w:tr w:rsidR="00AF0E3E" w:rsidRPr="005D4222" w14:paraId="61099B46" w14:textId="77777777" w:rsidTr="001E3756">
              <w:trPr>
                <w:cantSplit/>
              </w:trPr>
              <w:tc>
                <w:tcPr>
                  <w:tcW w:w="1589"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hideMark/>
                </w:tcPr>
                <w:p w14:paraId="247ECE33" w14:textId="77777777" w:rsidR="00AF0E3E" w:rsidRPr="005D4222" w:rsidRDefault="00AF0E3E" w:rsidP="00436C93">
                  <w:pPr>
                    <w:pStyle w:val="TableText"/>
                    <w:spacing w:before="50" w:after="50"/>
                    <w:rPr>
                      <w:rFonts w:cs="Arial"/>
                      <w:sz w:val="20"/>
                      <w:szCs w:val="20"/>
                    </w:rPr>
                  </w:pPr>
                  <w:r w:rsidRPr="005D4222">
                    <w:rPr>
                      <w:rFonts w:cs="Arial"/>
                      <w:sz w:val="20"/>
                      <w:szCs w:val="20"/>
                    </w:rPr>
                    <w:t>NotificationInpatientAdmission</w:t>
                  </w:r>
                </w:p>
              </w:tc>
              <w:tc>
                <w:tcPr>
                  <w:tcW w:w="4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43" w:type="dxa"/>
                    <w:bottom w:w="0" w:type="dxa"/>
                    <w:right w:w="43" w:type="dxa"/>
                  </w:tcMar>
                  <w:hideMark/>
                </w:tcPr>
                <w:p w14:paraId="2FB94216" w14:textId="77777777" w:rsidR="00AF0E3E" w:rsidRPr="005D4222" w:rsidRDefault="00AF0E3E" w:rsidP="00436C93">
                  <w:pPr>
                    <w:pStyle w:val="TableText"/>
                    <w:spacing w:before="50" w:after="50"/>
                    <w:rPr>
                      <w:rFonts w:cs="Arial"/>
                      <w:sz w:val="20"/>
                      <w:szCs w:val="20"/>
                    </w:rPr>
                  </w:pPr>
                  <w:r w:rsidRPr="005D4222">
                    <w:rPr>
                      <w:rFonts w:cs="Arial"/>
                      <w:sz w:val="20"/>
                      <w:szCs w:val="20"/>
                    </w:rPr>
                    <w:t>Total</w:t>
                  </w:r>
                </w:p>
              </w:tc>
              <w:tc>
                <w:tcPr>
                  <w:tcW w:w="1587"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hideMark/>
                </w:tcPr>
                <w:p w14:paraId="71290B60" w14:textId="77777777" w:rsidR="00AF0E3E" w:rsidRPr="005D4222" w:rsidRDefault="00AF0E3E" w:rsidP="00436C93">
                  <w:pPr>
                    <w:pStyle w:val="TableText"/>
                    <w:spacing w:before="50" w:after="50"/>
                    <w:rPr>
                      <w:rFonts w:cs="Arial"/>
                      <w:sz w:val="20"/>
                      <w:szCs w:val="20"/>
                    </w:rPr>
                  </w:pPr>
                  <w:r w:rsidRPr="005D4222">
                    <w:rPr>
                      <w:rFonts w:eastAsia="Arial Narrow" w:cs="Arial"/>
                      <w:sz w:val="20"/>
                      <w:szCs w:val="20"/>
                    </w:rPr>
                    <w:t>Exclusions</w:t>
                  </w:r>
                  <w:r w:rsidRPr="005D4222">
                    <w:rPr>
                      <w:rFonts w:eastAsia="Arial Narrow" w:cs="Arial"/>
                      <w:b/>
                      <w:bCs/>
                      <w:sz w:val="20"/>
                      <w:szCs w:val="20"/>
                    </w:rPr>
                    <w:t>*</w:t>
                  </w:r>
                  <w:r w:rsidRPr="005D4222">
                    <w:rPr>
                      <w:rFonts w:eastAsia="Calibri" w:cs="Arial"/>
                      <w:b/>
                      <w:bCs/>
                      <w:sz w:val="20"/>
                      <w:szCs w:val="20"/>
                      <w:vertAlign w:val="superscript"/>
                    </w:rPr>
                    <w:t>†</w:t>
                  </w:r>
                </w:p>
              </w:tc>
              <w:tc>
                <w:tcPr>
                  <w:tcW w:w="1070"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hideMark/>
                </w:tcPr>
                <w:p w14:paraId="4EA6435B" w14:textId="77777777" w:rsidR="00AF0E3E" w:rsidRPr="005D4222" w:rsidRDefault="00AF0E3E" w:rsidP="00436C93">
                  <w:pPr>
                    <w:pStyle w:val="TableText"/>
                    <w:spacing w:before="50" w:after="50"/>
                    <w:rPr>
                      <w:rFonts w:cs="Arial"/>
                      <w:sz w:val="20"/>
                      <w:szCs w:val="20"/>
                    </w:rPr>
                  </w:pPr>
                  <w:r w:rsidRPr="005D4222">
                    <w:rPr>
                      <w:rFonts w:cs="Arial"/>
                      <w:sz w:val="20"/>
                      <w:szCs w:val="20"/>
                    </w:rPr>
                    <w:t>For each Metric and Stratification</w:t>
                  </w:r>
                </w:p>
              </w:tc>
              <w:tc>
                <w:tcPr>
                  <w:tcW w:w="268"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hideMark/>
                </w:tcPr>
                <w:p w14:paraId="5B72E009" w14:textId="77777777" w:rsidR="00AF0E3E" w:rsidRPr="005D4222" w:rsidRDefault="00AF0E3E" w:rsidP="00436C93">
                  <w:pPr>
                    <w:spacing w:before="50" w:after="50" w:line="216" w:lineRule="auto"/>
                    <w:jc w:val="center"/>
                    <w:rPr>
                      <w:rFonts w:ascii="Wingdings" w:hAnsi="Wingdings" w:cs="Arial"/>
                      <w:sz w:val="20"/>
                    </w:rPr>
                  </w:pPr>
                  <w:r w:rsidRPr="005D4222">
                    <w:rPr>
                      <w:rStyle w:val="normaltextrun"/>
                      <w:rFonts w:ascii="Wingdings" w:hAnsi="Wingdings"/>
                      <w:sz w:val="20"/>
                      <w:shd w:val="clear" w:color="auto" w:fill="FFFFFF"/>
                    </w:rPr>
                    <w:t>ü</w:t>
                  </w:r>
                </w:p>
              </w:tc>
            </w:tr>
            <w:tr w:rsidR="001E3756" w:rsidRPr="005D4222" w14:paraId="65A34F2D" w14:textId="77777777" w:rsidTr="001E3756">
              <w:trPr>
                <w:cantSplit/>
                <w:trHeight w:val="620"/>
              </w:trPr>
              <w:tc>
                <w:tcPr>
                  <w:tcW w:w="1589"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tcPr>
                <w:p w14:paraId="30399488" w14:textId="380B34C9" w:rsidR="001E3756" w:rsidRPr="005D4222" w:rsidRDefault="001E3756" w:rsidP="00436C93">
                  <w:pPr>
                    <w:pStyle w:val="TableText"/>
                    <w:spacing w:before="50" w:after="50"/>
                    <w:rPr>
                      <w:rFonts w:cs="Arial"/>
                      <w:sz w:val="20"/>
                      <w:szCs w:val="20"/>
                    </w:rPr>
                  </w:pPr>
                  <w:r w:rsidRPr="005D4222">
                    <w:rPr>
                      <w:rFonts w:cs="Arial"/>
                      <w:sz w:val="20"/>
                      <w:szCs w:val="20"/>
                    </w:rPr>
                    <w:t>ReceiptDischargeInformation</w:t>
                  </w:r>
                </w:p>
              </w:tc>
              <w:tc>
                <w:tcPr>
                  <w:tcW w:w="487" w:type="pct"/>
                  <w:vMerge w:val="restart"/>
                  <w:tcBorders>
                    <w:top w:val="single" w:sz="4" w:space="0" w:color="auto"/>
                    <w:left w:val="single" w:sz="4" w:space="0" w:color="auto"/>
                    <w:right w:val="single" w:sz="4" w:space="0" w:color="auto"/>
                  </w:tcBorders>
                  <w:tcMar>
                    <w:top w:w="0" w:type="dxa"/>
                    <w:left w:w="43" w:type="dxa"/>
                    <w:bottom w:w="0" w:type="dxa"/>
                    <w:right w:w="43" w:type="dxa"/>
                  </w:tcMar>
                </w:tcPr>
                <w:p w14:paraId="2C03FEA6" w14:textId="77777777" w:rsidR="001E3756" w:rsidRPr="005D4222" w:rsidRDefault="001E3756" w:rsidP="00436C93">
                  <w:pPr>
                    <w:pStyle w:val="TableText"/>
                    <w:spacing w:before="50" w:after="50"/>
                    <w:rPr>
                      <w:rFonts w:cs="Arial"/>
                      <w:sz w:val="20"/>
                      <w:szCs w:val="20"/>
                    </w:rPr>
                  </w:pPr>
                </w:p>
              </w:tc>
              <w:tc>
                <w:tcPr>
                  <w:tcW w:w="1587"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tcPr>
                <w:p w14:paraId="304CE698" w14:textId="6DBB2ABA" w:rsidR="001E3756" w:rsidRPr="005D4222" w:rsidRDefault="001E3756" w:rsidP="00436C93">
                  <w:pPr>
                    <w:pStyle w:val="TableText"/>
                    <w:spacing w:before="50" w:after="50"/>
                    <w:rPr>
                      <w:rFonts w:eastAsia="Arial Narrow" w:cs="Arial"/>
                      <w:sz w:val="20"/>
                      <w:szCs w:val="20"/>
                    </w:rPr>
                  </w:pPr>
                  <w:r w:rsidRPr="005D4222">
                    <w:rPr>
                      <w:rFonts w:cs="Arial"/>
                      <w:sz w:val="20"/>
                      <w:szCs w:val="20"/>
                    </w:rPr>
                    <w:t>Denominator*</w:t>
                  </w:r>
                </w:p>
              </w:tc>
              <w:tc>
                <w:tcPr>
                  <w:tcW w:w="1070"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tcPr>
                <w:p w14:paraId="11372937" w14:textId="6362AD2C" w:rsidR="001E3756" w:rsidRPr="005D4222" w:rsidRDefault="001E3756" w:rsidP="00436C93">
                  <w:pPr>
                    <w:pStyle w:val="TableText"/>
                    <w:spacing w:before="50" w:after="50"/>
                    <w:rPr>
                      <w:rFonts w:cs="Arial"/>
                      <w:sz w:val="20"/>
                      <w:szCs w:val="20"/>
                    </w:rPr>
                  </w:pPr>
                  <w:r w:rsidRPr="005D4222">
                    <w:rPr>
                      <w:rFonts w:cs="Arial"/>
                      <w:sz w:val="20"/>
                      <w:szCs w:val="20"/>
                    </w:rPr>
                    <w:t>For each Stratification, repeat per Metric</w:t>
                  </w:r>
                </w:p>
              </w:tc>
              <w:tc>
                <w:tcPr>
                  <w:tcW w:w="268"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tcPr>
                <w:p w14:paraId="0C34EE36" w14:textId="5B9A5AB5" w:rsidR="001E3756" w:rsidRPr="005D4222" w:rsidRDefault="001E3756" w:rsidP="00436C93">
                  <w:pPr>
                    <w:spacing w:before="50" w:after="50" w:line="216" w:lineRule="auto"/>
                    <w:jc w:val="center"/>
                    <w:rPr>
                      <w:rStyle w:val="normaltextrun"/>
                      <w:rFonts w:ascii="Wingdings" w:hAnsi="Wingdings"/>
                      <w:sz w:val="20"/>
                      <w:shd w:val="clear" w:color="auto" w:fill="FFFFFF"/>
                    </w:rPr>
                  </w:pPr>
                  <w:r w:rsidRPr="005D4222">
                    <w:rPr>
                      <w:rStyle w:val="normaltextrun"/>
                      <w:rFonts w:ascii="Wingdings" w:hAnsi="Wingdings"/>
                      <w:sz w:val="20"/>
                      <w:shd w:val="clear" w:color="auto" w:fill="FFFFFF"/>
                    </w:rPr>
                    <w:t xml:space="preserve"> ü</w:t>
                  </w:r>
                </w:p>
              </w:tc>
            </w:tr>
            <w:tr w:rsidR="001E3756" w:rsidRPr="005D4222" w14:paraId="56BC19DF" w14:textId="77777777" w:rsidTr="001E3756">
              <w:trPr>
                <w:cantSplit/>
              </w:trPr>
              <w:tc>
                <w:tcPr>
                  <w:tcW w:w="1589" w:type="pct"/>
                  <w:tcBorders>
                    <w:top w:val="single" w:sz="4" w:space="0" w:color="auto"/>
                    <w:left w:val="nil"/>
                    <w:bottom w:val="nil"/>
                    <w:right w:val="nil"/>
                  </w:tcBorders>
                  <w:tcMar>
                    <w:top w:w="0" w:type="dxa"/>
                    <w:left w:w="43" w:type="dxa"/>
                    <w:bottom w:w="0" w:type="dxa"/>
                    <w:right w:w="43" w:type="dxa"/>
                  </w:tcMar>
                  <w:hideMark/>
                </w:tcPr>
                <w:p w14:paraId="3E5832B8" w14:textId="77777777" w:rsidR="001E3756" w:rsidRPr="005D4222" w:rsidRDefault="001E3756" w:rsidP="00436C93">
                  <w:pPr>
                    <w:spacing w:before="50" w:after="50"/>
                    <w:rPr>
                      <w:rFonts w:cs="Arial"/>
                      <w:sz w:val="20"/>
                    </w:rPr>
                  </w:pPr>
                </w:p>
              </w:tc>
              <w:tc>
                <w:tcPr>
                  <w:tcW w:w="487" w:type="pct"/>
                  <w:vMerge/>
                  <w:tcBorders>
                    <w:left w:val="nil"/>
                    <w:bottom w:val="nil"/>
                    <w:right w:val="single" w:sz="4" w:space="0" w:color="auto"/>
                  </w:tcBorders>
                  <w:tcMar>
                    <w:top w:w="0" w:type="dxa"/>
                    <w:left w:w="43" w:type="dxa"/>
                    <w:bottom w:w="0" w:type="dxa"/>
                    <w:right w:w="43" w:type="dxa"/>
                  </w:tcMar>
                </w:tcPr>
                <w:p w14:paraId="589E9243" w14:textId="77777777" w:rsidR="001E3756" w:rsidRPr="005D4222" w:rsidRDefault="001E3756" w:rsidP="00436C93">
                  <w:pPr>
                    <w:pStyle w:val="TableText"/>
                    <w:spacing w:before="50" w:after="50"/>
                    <w:rPr>
                      <w:rFonts w:cs="Arial"/>
                      <w:sz w:val="20"/>
                      <w:szCs w:val="20"/>
                    </w:rPr>
                  </w:pPr>
                </w:p>
              </w:tc>
              <w:tc>
                <w:tcPr>
                  <w:tcW w:w="1587"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hideMark/>
                </w:tcPr>
                <w:p w14:paraId="565DF0E0" w14:textId="77777777" w:rsidR="001E3756" w:rsidRPr="005D4222" w:rsidRDefault="001E3756" w:rsidP="00436C93">
                  <w:pPr>
                    <w:pStyle w:val="TableText"/>
                    <w:spacing w:before="50" w:after="50"/>
                    <w:rPr>
                      <w:rFonts w:cs="Arial"/>
                      <w:sz w:val="20"/>
                      <w:szCs w:val="20"/>
                    </w:rPr>
                  </w:pPr>
                  <w:r w:rsidRPr="005D4222">
                    <w:rPr>
                      <w:rFonts w:cs="Arial"/>
                      <w:sz w:val="20"/>
                      <w:szCs w:val="20"/>
                    </w:rPr>
                    <w:t>NumeratorByAdminDenom</w:t>
                  </w:r>
                  <w:r w:rsidRPr="005D4222">
                    <w:rPr>
                      <w:rFonts w:eastAsia="Calibri" w:cs="Arial"/>
                      <w:b/>
                      <w:sz w:val="20"/>
                      <w:szCs w:val="20"/>
                      <w:vertAlign w:val="superscript"/>
                    </w:rPr>
                    <w:t>†</w:t>
                  </w:r>
                </w:p>
              </w:tc>
              <w:tc>
                <w:tcPr>
                  <w:tcW w:w="1070"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hideMark/>
                </w:tcPr>
                <w:p w14:paraId="6CEEA7BA" w14:textId="77777777" w:rsidR="001E3756" w:rsidRPr="005D4222" w:rsidRDefault="001E3756" w:rsidP="00436C93">
                  <w:pPr>
                    <w:pStyle w:val="TableText"/>
                    <w:spacing w:before="50" w:after="50"/>
                    <w:rPr>
                      <w:rFonts w:cs="Arial"/>
                      <w:sz w:val="20"/>
                      <w:szCs w:val="20"/>
                    </w:rPr>
                  </w:pPr>
                  <w:r w:rsidRPr="005D4222">
                    <w:rPr>
                      <w:rFonts w:cs="Arial"/>
                      <w:sz w:val="20"/>
                      <w:szCs w:val="20"/>
                    </w:rPr>
                    <w:t>For each Metric and Stratification</w:t>
                  </w:r>
                </w:p>
              </w:tc>
              <w:tc>
                <w:tcPr>
                  <w:tcW w:w="268"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tcPr>
                <w:p w14:paraId="1AA5690F" w14:textId="77777777" w:rsidR="001E3756" w:rsidRPr="005D4222" w:rsidRDefault="001E3756" w:rsidP="00436C93">
                  <w:pPr>
                    <w:spacing w:before="50" w:after="50" w:line="216" w:lineRule="auto"/>
                    <w:rPr>
                      <w:rFonts w:ascii="Arial Narrow" w:hAnsi="Arial Narrow" w:cs="Arial"/>
                      <w:sz w:val="20"/>
                    </w:rPr>
                  </w:pPr>
                </w:p>
              </w:tc>
            </w:tr>
            <w:tr w:rsidR="00AF0E3E" w:rsidRPr="005D4222" w14:paraId="1E6B4657" w14:textId="77777777" w:rsidTr="001E3756">
              <w:trPr>
                <w:cantSplit/>
              </w:trPr>
              <w:tc>
                <w:tcPr>
                  <w:tcW w:w="1589" w:type="pct"/>
                  <w:tcBorders>
                    <w:top w:val="nil"/>
                    <w:left w:val="nil"/>
                    <w:bottom w:val="nil"/>
                    <w:right w:val="nil"/>
                  </w:tcBorders>
                  <w:tcMar>
                    <w:top w:w="0" w:type="dxa"/>
                    <w:left w:w="43" w:type="dxa"/>
                    <w:bottom w:w="0" w:type="dxa"/>
                    <w:right w:w="43" w:type="dxa"/>
                  </w:tcMar>
                </w:tcPr>
                <w:p w14:paraId="09396D69" w14:textId="77777777" w:rsidR="00AF0E3E" w:rsidRPr="005D4222" w:rsidRDefault="00AF0E3E" w:rsidP="00436C93">
                  <w:pPr>
                    <w:pStyle w:val="TableText"/>
                    <w:spacing w:before="50" w:after="50"/>
                    <w:rPr>
                      <w:rFonts w:cs="Arial"/>
                      <w:sz w:val="20"/>
                      <w:szCs w:val="20"/>
                    </w:rPr>
                  </w:pPr>
                </w:p>
              </w:tc>
              <w:tc>
                <w:tcPr>
                  <w:tcW w:w="487" w:type="pct"/>
                  <w:tcBorders>
                    <w:top w:val="nil"/>
                    <w:left w:val="nil"/>
                    <w:bottom w:val="nil"/>
                    <w:right w:val="single" w:sz="4" w:space="0" w:color="auto"/>
                  </w:tcBorders>
                  <w:tcMar>
                    <w:top w:w="0" w:type="dxa"/>
                    <w:left w:w="43" w:type="dxa"/>
                    <w:bottom w:w="0" w:type="dxa"/>
                    <w:right w:w="43" w:type="dxa"/>
                  </w:tcMar>
                </w:tcPr>
                <w:p w14:paraId="7B27101C" w14:textId="77777777" w:rsidR="00AF0E3E" w:rsidRPr="005D4222" w:rsidRDefault="00AF0E3E" w:rsidP="00436C93">
                  <w:pPr>
                    <w:pStyle w:val="TableText"/>
                    <w:spacing w:before="50" w:after="50"/>
                    <w:rPr>
                      <w:rFonts w:cs="Arial"/>
                      <w:sz w:val="20"/>
                      <w:szCs w:val="20"/>
                    </w:rPr>
                  </w:pPr>
                </w:p>
              </w:tc>
              <w:tc>
                <w:tcPr>
                  <w:tcW w:w="15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43" w:type="dxa"/>
                    <w:bottom w:w="0" w:type="dxa"/>
                    <w:right w:w="43" w:type="dxa"/>
                  </w:tcMar>
                </w:tcPr>
                <w:p w14:paraId="24A20081" w14:textId="77777777" w:rsidR="00AF0E3E" w:rsidRPr="005D4222" w:rsidRDefault="00AF0E3E" w:rsidP="00436C93">
                  <w:pPr>
                    <w:pStyle w:val="TableText"/>
                    <w:spacing w:before="50" w:after="50"/>
                    <w:rPr>
                      <w:rFonts w:cs="Arial"/>
                      <w:sz w:val="20"/>
                      <w:szCs w:val="20"/>
                    </w:rPr>
                  </w:pPr>
                  <w:r w:rsidRPr="005D4222">
                    <w:rPr>
                      <w:rFonts w:cs="Arial"/>
                      <w:sz w:val="20"/>
                      <w:szCs w:val="20"/>
                    </w:rPr>
                    <w:t>CYAR</w:t>
                  </w:r>
                  <w:r w:rsidRPr="005D4222">
                    <w:rPr>
                      <w:rFonts w:eastAsia="Calibri" w:cs="Arial"/>
                      <w:b/>
                      <w:sz w:val="20"/>
                      <w:szCs w:val="20"/>
                      <w:vertAlign w:val="superscript"/>
                    </w:rPr>
                    <w:t>†</w:t>
                  </w:r>
                </w:p>
              </w:tc>
              <w:tc>
                <w:tcPr>
                  <w:tcW w:w="107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43" w:type="dxa"/>
                    <w:bottom w:w="0" w:type="dxa"/>
                    <w:right w:w="43" w:type="dxa"/>
                  </w:tcMar>
                </w:tcPr>
                <w:p w14:paraId="75FA11ED" w14:textId="77777777" w:rsidR="00AF0E3E" w:rsidRPr="005D4222" w:rsidRDefault="00AF0E3E" w:rsidP="00436C93">
                  <w:pPr>
                    <w:pStyle w:val="TableText"/>
                    <w:spacing w:before="50" w:after="50"/>
                    <w:rPr>
                      <w:rFonts w:cs="Arial"/>
                      <w:sz w:val="20"/>
                      <w:szCs w:val="20"/>
                    </w:rPr>
                  </w:pPr>
                  <w:r w:rsidRPr="005D4222">
                    <w:rPr>
                      <w:rFonts w:cs="Arial"/>
                      <w:sz w:val="20"/>
                      <w:szCs w:val="20"/>
                    </w:rPr>
                    <w:t>Only for Total (Percent)</w:t>
                  </w:r>
                </w:p>
              </w:tc>
              <w:tc>
                <w:tcPr>
                  <w:tcW w:w="26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43" w:type="dxa"/>
                    <w:bottom w:w="0" w:type="dxa"/>
                    <w:right w:w="43" w:type="dxa"/>
                  </w:tcMar>
                </w:tcPr>
                <w:p w14:paraId="158EB2BA" w14:textId="77777777" w:rsidR="00AF0E3E" w:rsidRPr="005D4222" w:rsidRDefault="00AF0E3E" w:rsidP="00436C93">
                  <w:pPr>
                    <w:spacing w:before="50" w:after="50" w:line="216" w:lineRule="auto"/>
                    <w:rPr>
                      <w:rFonts w:ascii="Arial Narrow" w:hAnsi="Arial Narrow" w:cs="Arial"/>
                      <w:sz w:val="20"/>
                    </w:rPr>
                  </w:pPr>
                </w:p>
              </w:tc>
            </w:tr>
            <w:tr w:rsidR="00AF0E3E" w:rsidRPr="005D4222" w14:paraId="2B2ED192" w14:textId="77777777" w:rsidTr="001E3756">
              <w:trPr>
                <w:cantSplit/>
              </w:trPr>
              <w:tc>
                <w:tcPr>
                  <w:tcW w:w="1589" w:type="pct"/>
                  <w:tcBorders>
                    <w:top w:val="nil"/>
                    <w:left w:val="nil"/>
                    <w:bottom w:val="nil"/>
                    <w:right w:val="nil"/>
                  </w:tcBorders>
                  <w:tcMar>
                    <w:top w:w="0" w:type="dxa"/>
                    <w:left w:w="43" w:type="dxa"/>
                    <w:bottom w:w="0" w:type="dxa"/>
                    <w:right w:w="43" w:type="dxa"/>
                  </w:tcMar>
                </w:tcPr>
                <w:p w14:paraId="147636FF" w14:textId="77777777" w:rsidR="00AF0E3E" w:rsidRPr="005D4222" w:rsidRDefault="00AF0E3E" w:rsidP="00436C93">
                  <w:pPr>
                    <w:pStyle w:val="TableText"/>
                    <w:spacing w:before="50" w:after="50"/>
                    <w:rPr>
                      <w:rFonts w:cs="Arial"/>
                      <w:sz w:val="20"/>
                      <w:szCs w:val="20"/>
                    </w:rPr>
                  </w:pPr>
                </w:p>
              </w:tc>
              <w:tc>
                <w:tcPr>
                  <w:tcW w:w="487" w:type="pct"/>
                  <w:tcBorders>
                    <w:top w:val="nil"/>
                    <w:left w:val="nil"/>
                    <w:bottom w:val="nil"/>
                    <w:right w:val="single" w:sz="4" w:space="0" w:color="auto"/>
                  </w:tcBorders>
                  <w:tcMar>
                    <w:top w:w="0" w:type="dxa"/>
                    <w:left w:w="43" w:type="dxa"/>
                    <w:bottom w:w="0" w:type="dxa"/>
                    <w:right w:w="43" w:type="dxa"/>
                  </w:tcMar>
                </w:tcPr>
                <w:p w14:paraId="1628A1BE" w14:textId="77777777" w:rsidR="00AF0E3E" w:rsidRPr="005D4222" w:rsidRDefault="00AF0E3E" w:rsidP="00436C93">
                  <w:pPr>
                    <w:pStyle w:val="TableText"/>
                    <w:spacing w:before="50" w:after="50"/>
                    <w:rPr>
                      <w:rFonts w:cs="Arial"/>
                      <w:sz w:val="20"/>
                      <w:szCs w:val="20"/>
                    </w:rPr>
                  </w:pPr>
                </w:p>
              </w:tc>
              <w:tc>
                <w:tcPr>
                  <w:tcW w:w="1587"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tcPr>
                <w:p w14:paraId="2FD1A5FB" w14:textId="77777777" w:rsidR="00AF0E3E" w:rsidRPr="005D4222" w:rsidRDefault="00AF0E3E" w:rsidP="00436C93">
                  <w:pPr>
                    <w:pStyle w:val="TableText"/>
                    <w:spacing w:before="50" w:after="50"/>
                    <w:rPr>
                      <w:rFonts w:cs="Arial"/>
                      <w:sz w:val="20"/>
                      <w:szCs w:val="20"/>
                    </w:rPr>
                  </w:pPr>
                  <w:r w:rsidRPr="005D4222">
                    <w:rPr>
                      <w:rFonts w:cs="Arial"/>
                      <w:sz w:val="20"/>
                      <w:szCs w:val="20"/>
                    </w:rPr>
                    <w:t>MinReqSampleSize</w:t>
                  </w:r>
                </w:p>
              </w:tc>
              <w:tc>
                <w:tcPr>
                  <w:tcW w:w="1070"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tcPr>
                <w:p w14:paraId="18D94B41" w14:textId="77777777" w:rsidR="00AF0E3E" w:rsidRPr="005D4222" w:rsidRDefault="00AF0E3E" w:rsidP="00436C93">
                  <w:pPr>
                    <w:pStyle w:val="TableText"/>
                    <w:spacing w:before="50" w:after="50"/>
                    <w:rPr>
                      <w:rFonts w:cs="Arial"/>
                      <w:sz w:val="20"/>
                      <w:szCs w:val="20"/>
                    </w:rPr>
                  </w:pPr>
                  <w:r w:rsidRPr="005D4222">
                    <w:rPr>
                      <w:rFonts w:cs="Arial"/>
                      <w:sz w:val="20"/>
                      <w:szCs w:val="20"/>
                    </w:rPr>
                    <w:t xml:space="preserve">For each Metric, </w:t>
                  </w:r>
                  <w:r w:rsidRPr="005D4222">
                    <w:rPr>
                      <w:rFonts w:cs="Arial"/>
                      <w:sz w:val="20"/>
                      <w:szCs w:val="20"/>
                    </w:rPr>
                    <w:br/>
                    <w:t>repeat per Stratification</w:t>
                  </w:r>
                </w:p>
              </w:tc>
              <w:tc>
                <w:tcPr>
                  <w:tcW w:w="268"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tcPr>
                <w:p w14:paraId="6328B183" w14:textId="77777777" w:rsidR="00AF0E3E" w:rsidRPr="005D4222" w:rsidRDefault="00AF0E3E" w:rsidP="00436C93">
                  <w:pPr>
                    <w:spacing w:before="50" w:after="50" w:line="216" w:lineRule="auto"/>
                    <w:rPr>
                      <w:rFonts w:ascii="Arial Narrow" w:hAnsi="Arial Narrow" w:cs="Arial"/>
                      <w:sz w:val="20"/>
                    </w:rPr>
                  </w:pPr>
                </w:p>
              </w:tc>
            </w:tr>
            <w:tr w:rsidR="00AF0E3E" w:rsidRPr="005D4222" w14:paraId="57478DD5" w14:textId="77777777" w:rsidTr="001E3756">
              <w:trPr>
                <w:cantSplit/>
              </w:trPr>
              <w:tc>
                <w:tcPr>
                  <w:tcW w:w="1589" w:type="pct"/>
                  <w:tcBorders>
                    <w:top w:val="nil"/>
                    <w:left w:val="nil"/>
                    <w:bottom w:val="nil"/>
                    <w:right w:val="nil"/>
                  </w:tcBorders>
                  <w:tcMar>
                    <w:top w:w="0" w:type="dxa"/>
                    <w:left w:w="43" w:type="dxa"/>
                    <w:bottom w:w="0" w:type="dxa"/>
                    <w:right w:w="43" w:type="dxa"/>
                  </w:tcMar>
                </w:tcPr>
                <w:p w14:paraId="3E2AA5DB" w14:textId="77777777" w:rsidR="00AF0E3E" w:rsidRPr="005D4222" w:rsidRDefault="00AF0E3E" w:rsidP="00436C93">
                  <w:pPr>
                    <w:pStyle w:val="TableText"/>
                    <w:spacing w:before="50" w:after="50"/>
                    <w:rPr>
                      <w:rFonts w:cs="Arial"/>
                      <w:sz w:val="20"/>
                      <w:szCs w:val="20"/>
                    </w:rPr>
                  </w:pPr>
                </w:p>
              </w:tc>
              <w:tc>
                <w:tcPr>
                  <w:tcW w:w="487" w:type="pct"/>
                  <w:tcBorders>
                    <w:top w:val="nil"/>
                    <w:left w:val="nil"/>
                    <w:bottom w:val="nil"/>
                    <w:right w:val="single" w:sz="4" w:space="0" w:color="auto"/>
                  </w:tcBorders>
                  <w:tcMar>
                    <w:top w:w="0" w:type="dxa"/>
                    <w:left w:w="43" w:type="dxa"/>
                    <w:bottom w:w="0" w:type="dxa"/>
                    <w:right w:w="43" w:type="dxa"/>
                  </w:tcMar>
                </w:tcPr>
                <w:p w14:paraId="052997E8" w14:textId="77777777" w:rsidR="00AF0E3E" w:rsidRPr="005D4222" w:rsidRDefault="00AF0E3E" w:rsidP="00436C93">
                  <w:pPr>
                    <w:pStyle w:val="TableText"/>
                    <w:spacing w:before="50" w:after="50"/>
                    <w:rPr>
                      <w:rFonts w:cs="Arial"/>
                      <w:sz w:val="20"/>
                      <w:szCs w:val="20"/>
                    </w:rPr>
                  </w:pPr>
                </w:p>
              </w:tc>
              <w:tc>
                <w:tcPr>
                  <w:tcW w:w="1587"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hideMark/>
                </w:tcPr>
                <w:p w14:paraId="27B54E7D" w14:textId="77777777" w:rsidR="00AF0E3E" w:rsidRPr="005D4222" w:rsidRDefault="00AF0E3E" w:rsidP="00436C93">
                  <w:pPr>
                    <w:pStyle w:val="TableText"/>
                    <w:spacing w:before="50" w:after="50"/>
                    <w:rPr>
                      <w:rFonts w:eastAsia="Arial Narrow" w:cs="Arial"/>
                      <w:sz w:val="20"/>
                      <w:szCs w:val="20"/>
                    </w:rPr>
                  </w:pPr>
                  <w:r w:rsidRPr="005D4222">
                    <w:rPr>
                      <w:rFonts w:eastAsia="Arial Narrow" w:cs="Arial"/>
                      <w:sz w:val="20"/>
                      <w:szCs w:val="20"/>
                    </w:rPr>
                    <w:t>OversampleRate</w:t>
                  </w:r>
                </w:p>
              </w:tc>
              <w:tc>
                <w:tcPr>
                  <w:tcW w:w="1070"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hideMark/>
                </w:tcPr>
                <w:p w14:paraId="7190D584" w14:textId="77777777" w:rsidR="00AF0E3E" w:rsidRPr="005D4222" w:rsidRDefault="00AF0E3E" w:rsidP="00436C93">
                  <w:pPr>
                    <w:pStyle w:val="TableText"/>
                    <w:spacing w:before="50" w:after="50"/>
                    <w:rPr>
                      <w:rFonts w:eastAsia="Arial Narrow" w:cs="Arial"/>
                      <w:sz w:val="20"/>
                      <w:szCs w:val="20"/>
                    </w:rPr>
                  </w:pPr>
                  <w:r w:rsidRPr="005D4222">
                    <w:rPr>
                      <w:rFonts w:cs="Arial"/>
                      <w:sz w:val="20"/>
                      <w:szCs w:val="20"/>
                    </w:rPr>
                    <w:t xml:space="preserve">For each Metric, </w:t>
                  </w:r>
                  <w:r w:rsidRPr="005D4222">
                    <w:rPr>
                      <w:rFonts w:cs="Arial"/>
                      <w:sz w:val="20"/>
                      <w:szCs w:val="20"/>
                    </w:rPr>
                    <w:br/>
                    <w:t>repeat per Stratification</w:t>
                  </w:r>
                </w:p>
              </w:tc>
              <w:tc>
                <w:tcPr>
                  <w:tcW w:w="268"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tcPr>
                <w:p w14:paraId="5C5C2D6D" w14:textId="77777777" w:rsidR="00AF0E3E" w:rsidRPr="005D4222" w:rsidRDefault="00AF0E3E" w:rsidP="00436C93">
                  <w:pPr>
                    <w:spacing w:before="50" w:after="50" w:line="216" w:lineRule="auto"/>
                    <w:rPr>
                      <w:rFonts w:ascii="Arial Narrow" w:hAnsi="Arial Narrow" w:cs="Arial"/>
                      <w:sz w:val="20"/>
                    </w:rPr>
                  </w:pPr>
                </w:p>
              </w:tc>
            </w:tr>
            <w:tr w:rsidR="00AF0E3E" w:rsidRPr="005D4222" w14:paraId="13FCB682" w14:textId="77777777" w:rsidTr="001E3756">
              <w:trPr>
                <w:cantSplit/>
              </w:trPr>
              <w:tc>
                <w:tcPr>
                  <w:tcW w:w="1589" w:type="pct"/>
                  <w:tcBorders>
                    <w:top w:val="nil"/>
                    <w:left w:val="nil"/>
                    <w:bottom w:val="nil"/>
                    <w:right w:val="nil"/>
                  </w:tcBorders>
                  <w:tcMar>
                    <w:top w:w="0" w:type="dxa"/>
                    <w:left w:w="43" w:type="dxa"/>
                    <w:bottom w:w="0" w:type="dxa"/>
                    <w:right w:w="43" w:type="dxa"/>
                  </w:tcMar>
                </w:tcPr>
                <w:p w14:paraId="6F18F90C" w14:textId="77777777" w:rsidR="00AF0E3E" w:rsidRPr="005D4222" w:rsidRDefault="00AF0E3E" w:rsidP="00436C93">
                  <w:pPr>
                    <w:pStyle w:val="TableText"/>
                    <w:spacing w:before="50" w:after="50"/>
                    <w:rPr>
                      <w:rFonts w:cs="Arial"/>
                      <w:sz w:val="20"/>
                      <w:szCs w:val="20"/>
                    </w:rPr>
                  </w:pPr>
                </w:p>
              </w:tc>
              <w:tc>
                <w:tcPr>
                  <w:tcW w:w="487" w:type="pct"/>
                  <w:tcBorders>
                    <w:top w:val="nil"/>
                    <w:left w:val="nil"/>
                    <w:bottom w:val="nil"/>
                    <w:right w:val="single" w:sz="4" w:space="0" w:color="auto"/>
                  </w:tcBorders>
                  <w:tcMar>
                    <w:top w:w="0" w:type="dxa"/>
                    <w:left w:w="43" w:type="dxa"/>
                    <w:bottom w:w="0" w:type="dxa"/>
                    <w:right w:w="43" w:type="dxa"/>
                  </w:tcMar>
                </w:tcPr>
                <w:p w14:paraId="2C1724F1" w14:textId="77777777" w:rsidR="00AF0E3E" w:rsidRPr="005D4222" w:rsidRDefault="00AF0E3E" w:rsidP="00436C93">
                  <w:pPr>
                    <w:pStyle w:val="TableText"/>
                    <w:spacing w:before="50" w:after="50"/>
                    <w:rPr>
                      <w:rFonts w:cs="Arial"/>
                      <w:sz w:val="20"/>
                      <w:szCs w:val="20"/>
                    </w:rPr>
                  </w:pPr>
                </w:p>
              </w:tc>
              <w:tc>
                <w:tcPr>
                  <w:tcW w:w="15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43" w:type="dxa"/>
                    <w:bottom w:w="0" w:type="dxa"/>
                    <w:right w:w="43" w:type="dxa"/>
                  </w:tcMar>
                  <w:hideMark/>
                </w:tcPr>
                <w:p w14:paraId="0EF0F477" w14:textId="77777777" w:rsidR="00AF0E3E" w:rsidRPr="005D4222" w:rsidRDefault="00AF0E3E" w:rsidP="00436C93">
                  <w:pPr>
                    <w:pStyle w:val="TableText"/>
                    <w:spacing w:before="50" w:after="50"/>
                    <w:rPr>
                      <w:rFonts w:eastAsia="Arial Narrow" w:cs="Arial"/>
                      <w:sz w:val="20"/>
                      <w:szCs w:val="20"/>
                    </w:rPr>
                  </w:pPr>
                  <w:r w:rsidRPr="005D4222">
                    <w:rPr>
                      <w:rFonts w:cs="Arial"/>
                      <w:sz w:val="20"/>
                      <w:szCs w:val="20"/>
                    </w:rPr>
                    <w:t>OversampleRecordsNumber</w:t>
                  </w:r>
                </w:p>
              </w:tc>
              <w:tc>
                <w:tcPr>
                  <w:tcW w:w="107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43" w:type="dxa"/>
                    <w:bottom w:w="0" w:type="dxa"/>
                    <w:right w:w="43" w:type="dxa"/>
                  </w:tcMar>
                  <w:hideMark/>
                </w:tcPr>
                <w:p w14:paraId="4CDF3493" w14:textId="77777777" w:rsidR="00AF0E3E" w:rsidRPr="005D4222" w:rsidRDefault="00AF0E3E" w:rsidP="00436C93">
                  <w:pPr>
                    <w:pStyle w:val="TableText"/>
                    <w:spacing w:before="50" w:after="50"/>
                    <w:rPr>
                      <w:rFonts w:eastAsia="Arial Narrow" w:cs="Arial"/>
                      <w:sz w:val="20"/>
                      <w:szCs w:val="20"/>
                    </w:rPr>
                  </w:pPr>
                  <w:r w:rsidRPr="005D4222">
                    <w:rPr>
                      <w:rFonts w:eastAsia="Arial Narrow" w:cs="Arial"/>
                      <w:sz w:val="20"/>
                      <w:szCs w:val="20"/>
                    </w:rPr>
                    <w:t>(Count)</w:t>
                  </w:r>
                </w:p>
              </w:tc>
              <w:tc>
                <w:tcPr>
                  <w:tcW w:w="26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43" w:type="dxa"/>
                    <w:bottom w:w="0" w:type="dxa"/>
                    <w:right w:w="43" w:type="dxa"/>
                  </w:tcMar>
                </w:tcPr>
                <w:p w14:paraId="29F0BFD9" w14:textId="77777777" w:rsidR="00AF0E3E" w:rsidRPr="005D4222" w:rsidRDefault="00AF0E3E" w:rsidP="00436C93">
                  <w:pPr>
                    <w:spacing w:before="50" w:after="50" w:line="216" w:lineRule="auto"/>
                    <w:rPr>
                      <w:rFonts w:ascii="Arial Narrow" w:hAnsi="Arial Narrow" w:cs="Arial"/>
                      <w:sz w:val="20"/>
                    </w:rPr>
                  </w:pPr>
                </w:p>
              </w:tc>
            </w:tr>
            <w:tr w:rsidR="00AF0E3E" w:rsidRPr="005D4222" w14:paraId="082B9AD9" w14:textId="77777777" w:rsidTr="001E3756">
              <w:trPr>
                <w:cantSplit/>
              </w:trPr>
              <w:tc>
                <w:tcPr>
                  <w:tcW w:w="1589" w:type="pct"/>
                  <w:tcBorders>
                    <w:top w:val="nil"/>
                    <w:left w:val="nil"/>
                    <w:bottom w:val="nil"/>
                    <w:right w:val="nil"/>
                  </w:tcBorders>
                  <w:tcMar>
                    <w:top w:w="0" w:type="dxa"/>
                    <w:left w:w="43" w:type="dxa"/>
                    <w:bottom w:w="0" w:type="dxa"/>
                    <w:right w:w="43" w:type="dxa"/>
                  </w:tcMar>
                </w:tcPr>
                <w:p w14:paraId="60F2686D" w14:textId="77777777" w:rsidR="00AF0E3E" w:rsidRPr="005D4222" w:rsidRDefault="00AF0E3E" w:rsidP="00436C93">
                  <w:pPr>
                    <w:pStyle w:val="TableText"/>
                    <w:spacing w:before="50" w:after="50"/>
                    <w:rPr>
                      <w:rFonts w:eastAsia="Arial Narrow" w:cs="Arial"/>
                      <w:sz w:val="20"/>
                      <w:szCs w:val="20"/>
                    </w:rPr>
                  </w:pPr>
                </w:p>
              </w:tc>
              <w:tc>
                <w:tcPr>
                  <w:tcW w:w="487" w:type="pct"/>
                  <w:tcBorders>
                    <w:top w:val="nil"/>
                    <w:left w:val="nil"/>
                    <w:bottom w:val="nil"/>
                    <w:right w:val="single" w:sz="4" w:space="0" w:color="auto"/>
                  </w:tcBorders>
                  <w:tcMar>
                    <w:top w:w="0" w:type="dxa"/>
                    <w:left w:w="43" w:type="dxa"/>
                    <w:bottom w:w="0" w:type="dxa"/>
                    <w:right w:w="43" w:type="dxa"/>
                  </w:tcMar>
                </w:tcPr>
                <w:p w14:paraId="4E9CF736" w14:textId="77777777" w:rsidR="00AF0E3E" w:rsidRPr="005D4222" w:rsidRDefault="00AF0E3E" w:rsidP="00436C93">
                  <w:pPr>
                    <w:pStyle w:val="TableText"/>
                    <w:spacing w:before="50" w:after="50"/>
                    <w:rPr>
                      <w:rFonts w:eastAsia="Arial Narrow" w:cs="Arial"/>
                      <w:sz w:val="20"/>
                      <w:szCs w:val="20"/>
                    </w:rPr>
                  </w:pPr>
                </w:p>
              </w:tc>
              <w:tc>
                <w:tcPr>
                  <w:tcW w:w="1587" w:type="pct"/>
                  <w:tcBorders>
                    <w:top w:val="single" w:sz="4" w:space="0" w:color="auto"/>
                    <w:left w:val="single" w:sz="4" w:space="0" w:color="auto"/>
                    <w:bottom w:val="single" w:sz="4" w:space="0" w:color="auto"/>
                    <w:right w:val="single" w:sz="4" w:space="0" w:color="auto"/>
                  </w:tcBorders>
                  <w:tcMar>
                    <w:top w:w="0" w:type="dxa"/>
                    <w:left w:w="43" w:type="dxa"/>
                    <w:bottom w:w="0" w:type="dxa"/>
                    <w:right w:w="43" w:type="dxa"/>
                  </w:tcMar>
                  <w:hideMark/>
                </w:tcPr>
                <w:p w14:paraId="76C4B5BF" w14:textId="77777777" w:rsidR="00AF0E3E" w:rsidRPr="005D4222" w:rsidRDefault="00AF0E3E" w:rsidP="00436C93">
                  <w:pPr>
                    <w:pStyle w:val="TableText"/>
                    <w:spacing w:before="50" w:after="50"/>
                    <w:rPr>
                      <w:rFonts w:eastAsia="Arial Narrow" w:cs="Arial"/>
                      <w:sz w:val="20"/>
                      <w:szCs w:val="20"/>
                    </w:rPr>
                  </w:pPr>
                  <w:r w:rsidRPr="005D4222">
                    <w:rPr>
                      <w:rFonts w:eastAsia="Arial Narrow" w:cs="Arial"/>
                      <w:sz w:val="20"/>
                      <w:szCs w:val="20"/>
                    </w:rPr>
                    <w:t>ExclusionValidDataErrors</w:t>
                  </w:r>
                </w:p>
              </w:tc>
              <w:tc>
                <w:tcPr>
                  <w:tcW w:w="1070" w:type="pct"/>
                  <w:tcBorders>
                    <w:top w:val="single" w:sz="4" w:space="0" w:color="auto"/>
                    <w:left w:val="single" w:sz="4" w:space="0" w:color="auto"/>
                    <w:bottom w:val="single" w:sz="4" w:space="0" w:color="auto"/>
                    <w:right w:val="single" w:sz="4" w:space="0" w:color="auto"/>
                  </w:tcBorders>
                  <w:tcMar>
                    <w:top w:w="0" w:type="dxa"/>
                    <w:left w:w="43" w:type="dxa"/>
                    <w:bottom w:w="0" w:type="dxa"/>
                    <w:right w:w="43" w:type="dxa"/>
                  </w:tcMar>
                  <w:hideMark/>
                </w:tcPr>
                <w:p w14:paraId="737D4623" w14:textId="77777777" w:rsidR="00AF0E3E" w:rsidRPr="005D4222" w:rsidRDefault="00AF0E3E" w:rsidP="00436C93">
                  <w:pPr>
                    <w:pStyle w:val="TableText"/>
                    <w:spacing w:before="50" w:after="50"/>
                    <w:rPr>
                      <w:rFonts w:eastAsia="Arial Narrow" w:cs="Arial"/>
                      <w:sz w:val="20"/>
                      <w:szCs w:val="20"/>
                    </w:rPr>
                  </w:pPr>
                  <w:r w:rsidRPr="005D4222">
                    <w:rPr>
                      <w:rFonts w:cs="Arial"/>
                      <w:sz w:val="20"/>
                      <w:szCs w:val="20"/>
                    </w:rPr>
                    <w:t xml:space="preserve">For each Metric, </w:t>
                  </w:r>
                  <w:r w:rsidRPr="005D4222">
                    <w:rPr>
                      <w:rFonts w:cs="Arial"/>
                      <w:sz w:val="20"/>
                      <w:szCs w:val="20"/>
                    </w:rPr>
                    <w:br/>
                    <w:t>repeat per Stratification</w:t>
                  </w:r>
                </w:p>
              </w:tc>
              <w:tc>
                <w:tcPr>
                  <w:tcW w:w="268" w:type="pct"/>
                  <w:tcBorders>
                    <w:top w:val="single" w:sz="4" w:space="0" w:color="auto"/>
                    <w:left w:val="single" w:sz="4" w:space="0" w:color="auto"/>
                    <w:bottom w:val="single" w:sz="4" w:space="0" w:color="auto"/>
                    <w:right w:val="single" w:sz="4" w:space="0" w:color="auto"/>
                  </w:tcBorders>
                  <w:tcMar>
                    <w:top w:w="0" w:type="dxa"/>
                    <w:left w:w="43" w:type="dxa"/>
                    <w:bottom w:w="0" w:type="dxa"/>
                    <w:right w:w="43" w:type="dxa"/>
                  </w:tcMar>
                </w:tcPr>
                <w:p w14:paraId="27F8A055" w14:textId="77777777" w:rsidR="00AF0E3E" w:rsidRPr="005D4222" w:rsidRDefault="00AF0E3E" w:rsidP="00436C93">
                  <w:pPr>
                    <w:spacing w:before="50" w:after="50" w:line="216" w:lineRule="auto"/>
                    <w:rPr>
                      <w:rFonts w:ascii="Arial Narrow" w:hAnsi="Arial Narrow" w:cs="Arial"/>
                      <w:sz w:val="20"/>
                    </w:rPr>
                  </w:pPr>
                </w:p>
              </w:tc>
            </w:tr>
            <w:tr w:rsidR="00AF0E3E" w:rsidRPr="005D4222" w14:paraId="2FFE26C2" w14:textId="77777777" w:rsidTr="001E3756">
              <w:trPr>
                <w:cantSplit/>
              </w:trPr>
              <w:tc>
                <w:tcPr>
                  <w:tcW w:w="1589" w:type="pct"/>
                  <w:tcBorders>
                    <w:top w:val="nil"/>
                    <w:left w:val="nil"/>
                    <w:bottom w:val="nil"/>
                    <w:right w:val="nil"/>
                  </w:tcBorders>
                  <w:tcMar>
                    <w:top w:w="0" w:type="dxa"/>
                    <w:left w:w="43" w:type="dxa"/>
                    <w:bottom w:w="0" w:type="dxa"/>
                    <w:right w:w="43" w:type="dxa"/>
                  </w:tcMar>
                </w:tcPr>
                <w:p w14:paraId="0BE032A1" w14:textId="77777777" w:rsidR="00AF0E3E" w:rsidRPr="005D4222" w:rsidRDefault="00AF0E3E" w:rsidP="00436C93">
                  <w:pPr>
                    <w:pStyle w:val="TableText"/>
                    <w:spacing w:before="50" w:after="50"/>
                    <w:rPr>
                      <w:rFonts w:ascii="Arial" w:eastAsia="Arial Narrow" w:hAnsi="Arial" w:cs="Arial"/>
                      <w:sz w:val="20"/>
                      <w:szCs w:val="20"/>
                    </w:rPr>
                  </w:pPr>
                </w:p>
              </w:tc>
              <w:tc>
                <w:tcPr>
                  <w:tcW w:w="487" w:type="pct"/>
                  <w:tcBorders>
                    <w:top w:val="nil"/>
                    <w:left w:val="nil"/>
                    <w:bottom w:val="nil"/>
                    <w:right w:val="single" w:sz="4" w:space="0" w:color="auto"/>
                  </w:tcBorders>
                  <w:tcMar>
                    <w:top w:w="0" w:type="dxa"/>
                    <w:left w:w="43" w:type="dxa"/>
                    <w:bottom w:w="0" w:type="dxa"/>
                    <w:right w:w="43" w:type="dxa"/>
                  </w:tcMar>
                </w:tcPr>
                <w:p w14:paraId="3302FC04" w14:textId="77777777" w:rsidR="00AF0E3E" w:rsidRPr="005D4222" w:rsidRDefault="00AF0E3E" w:rsidP="00436C93">
                  <w:pPr>
                    <w:pStyle w:val="TableText"/>
                    <w:spacing w:before="50" w:after="50"/>
                    <w:rPr>
                      <w:rFonts w:ascii="Arial" w:eastAsia="Arial Narrow" w:hAnsi="Arial" w:cs="Arial"/>
                      <w:sz w:val="20"/>
                      <w:szCs w:val="20"/>
                    </w:rPr>
                  </w:pPr>
                </w:p>
              </w:tc>
              <w:tc>
                <w:tcPr>
                  <w:tcW w:w="1587"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hideMark/>
                </w:tcPr>
                <w:p w14:paraId="148B01C5" w14:textId="77777777" w:rsidR="00AF0E3E" w:rsidRPr="005D4222" w:rsidRDefault="00AF0E3E" w:rsidP="00436C93">
                  <w:pPr>
                    <w:pStyle w:val="TableText"/>
                    <w:spacing w:before="50" w:after="50"/>
                    <w:rPr>
                      <w:rFonts w:eastAsia="Arial Narrow" w:cs="Arial"/>
                      <w:sz w:val="20"/>
                      <w:szCs w:val="20"/>
                    </w:rPr>
                  </w:pPr>
                  <w:r w:rsidRPr="005D4222">
                    <w:rPr>
                      <w:rFonts w:cs="Arial"/>
                      <w:sz w:val="20"/>
                      <w:szCs w:val="20"/>
                    </w:rPr>
                    <w:t>ExclusionEmployeeOrDep</w:t>
                  </w:r>
                </w:p>
              </w:tc>
              <w:tc>
                <w:tcPr>
                  <w:tcW w:w="1070"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hideMark/>
                </w:tcPr>
                <w:p w14:paraId="33CF8DA7" w14:textId="77777777" w:rsidR="00AF0E3E" w:rsidRPr="005D4222" w:rsidRDefault="00AF0E3E" w:rsidP="00436C93">
                  <w:pPr>
                    <w:pStyle w:val="TableText"/>
                    <w:spacing w:before="50" w:after="50"/>
                    <w:rPr>
                      <w:rFonts w:eastAsia="Arial Narrow" w:cs="Arial"/>
                      <w:sz w:val="20"/>
                      <w:szCs w:val="20"/>
                    </w:rPr>
                  </w:pPr>
                  <w:r w:rsidRPr="005D4222">
                    <w:rPr>
                      <w:rFonts w:cs="Arial"/>
                      <w:sz w:val="20"/>
                      <w:szCs w:val="20"/>
                    </w:rPr>
                    <w:t xml:space="preserve">For each Metric, </w:t>
                  </w:r>
                  <w:r w:rsidRPr="005D4222">
                    <w:rPr>
                      <w:rFonts w:cs="Arial"/>
                      <w:sz w:val="20"/>
                      <w:szCs w:val="20"/>
                    </w:rPr>
                    <w:br/>
                    <w:t>repeat per Stratification</w:t>
                  </w:r>
                </w:p>
              </w:tc>
              <w:tc>
                <w:tcPr>
                  <w:tcW w:w="268"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tcPr>
                <w:p w14:paraId="3C7A0427" w14:textId="77777777" w:rsidR="00AF0E3E" w:rsidRPr="005D4222" w:rsidRDefault="00AF0E3E" w:rsidP="00436C93">
                  <w:pPr>
                    <w:spacing w:before="50" w:after="50" w:line="216" w:lineRule="auto"/>
                    <w:rPr>
                      <w:rFonts w:ascii="Arial Narrow" w:hAnsi="Arial Narrow" w:cs="Arial"/>
                      <w:sz w:val="20"/>
                    </w:rPr>
                  </w:pPr>
                </w:p>
              </w:tc>
            </w:tr>
            <w:tr w:rsidR="00AF0E3E" w:rsidRPr="005D4222" w14:paraId="005FDFFD" w14:textId="77777777" w:rsidTr="001E3756">
              <w:trPr>
                <w:cantSplit/>
              </w:trPr>
              <w:tc>
                <w:tcPr>
                  <w:tcW w:w="1589" w:type="pct"/>
                  <w:tcBorders>
                    <w:top w:val="nil"/>
                    <w:left w:val="nil"/>
                    <w:bottom w:val="nil"/>
                    <w:right w:val="nil"/>
                  </w:tcBorders>
                  <w:tcMar>
                    <w:top w:w="0" w:type="dxa"/>
                    <w:left w:w="43" w:type="dxa"/>
                    <w:bottom w:w="0" w:type="dxa"/>
                    <w:right w:w="43" w:type="dxa"/>
                  </w:tcMar>
                </w:tcPr>
                <w:p w14:paraId="4421AB1B" w14:textId="77777777" w:rsidR="00AF0E3E" w:rsidRPr="005D4222" w:rsidRDefault="00AF0E3E" w:rsidP="00436C93">
                  <w:pPr>
                    <w:pStyle w:val="TableText"/>
                    <w:spacing w:before="50" w:after="50"/>
                    <w:rPr>
                      <w:rFonts w:ascii="Arial" w:hAnsi="Arial" w:cs="Arial"/>
                      <w:sz w:val="20"/>
                      <w:szCs w:val="20"/>
                    </w:rPr>
                  </w:pPr>
                </w:p>
              </w:tc>
              <w:tc>
                <w:tcPr>
                  <w:tcW w:w="487" w:type="pct"/>
                  <w:tcBorders>
                    <w:top w:val="nil"/>
                    <w:left w:val="nil"/>
                    <w:bottom w:val="nil"/>
                    <w:right w:val="single" w:sz="4" w:space="0" w:color="auto"/>
                  </w:tcBorders>
                  <w:tcMar>
                    <w:top w:w="0" w:type="dxa"/>
                    <w:left w:w="43" w:type="dxa"/>
                    <w:bottom w:w="0" w:type="dxa"/>
                    <w:right w:w="43" w:type="dxa"/>
                  </w:tcMar>
                </w:tcPr>
                <w:p w14:paraId="5AAE0159" w14:textId="77777777" w:rsidR="00AF0E3E" w:rsidRPr="005D4222" w:rsidRDefault="00AF0E3E" w:rsidP="00436C93">
                  <w:pPr>
                    <w:pStyle w:val="TableText"/>
                    <w:spacing w:before="50" w:after="50"/>
                    <w:rPr>
                      <w:rFonts w:ascii="Arial" w:hAnsi="Arial" w:cs="Arial"/>
                      <w:sz w:val="20"/>
                      <w:szCs w:val="20"/>
                    </w:rPr>
                  </w:pPr>
                </w:p>
              </w:tc>
              <w:tc>
                <w:tcPr>
                  <w:tcW w:w="1587"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hideMark/>
                </w:tcPr>
                <w:p w14:paraId="6076ABAA" w14:textId="77777777" w:rsidR="00AF0E3E" w:rsidRPr="005D4222" w:rsidRDefault="00AF0E3E" w:rsidP="00436C93">
                  <w:pPr>
                    <w:pStyle w:val="TableText"/>
                    <w:spacing w:before="50" w:after="50"/>
                    <w:rPr>
                      <w:rFonts w:eastAsia="Arial Narrow" w:cs="Arial"/>
                      <w:sz w:val="20"/>
                      <w:szCs w:val="20"/>
                    </w:rPr>
                  </w:pPr>
                  <w:r w:rsidRPr="005D4222">
                    <w:rPr>
                      <w:rFonts w:eastAsia="Arial Narrow" w:cs="Arial"/>
                      <w:sz w:val="20"/>
                      <w:szCs w:val="20"/>
                    </w:rPr>
                    <w:t>OversampleRecsAdded</w:t>
                  </w:r>
                </w:p>
              </w:tc>
              <w:tc>
                <w:tcPr>
                  <w:tcW w:w="1070"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hideMark/>
                </w:tcPr>
                <w:p w14:paraId="43A48E05" w14:textId="77777777" w:rsidR="00AF0E3E" w:rsidRPr="005D4222" w:rsidRDefault="00AF0E3E" w:rsidP="00436C93">
                  <w:pPr>
                    <w:pStyle w:val="TableText"/>
                    <w:spacing w:before="50" w:after="50"/>
                    <w:rPr>
                      <w:rFonts w:eastAsia="Arial Narrow" w:cs="Arial"/>
                      <w:sz w:val="20"/>
                      <w:szCs w:val="20"/>
                    </w:rPr>
                  </w:pPr>
                  <w:r w:rsidRPr="005D4222">
                    <w:rPr>
                      <w:rFonts w:cs="Arial"/>
                      <w:sz w:val="20"/>
                      <w:szCs w:val="20"/>
                    </w:rPr>
                    <w:t xml:space="preserve">For each Metric, </w:t>
                  </w:r>
                  <w:r w:rsidRPr="005D4222">
                    <w:rPr>
                      <w:rFonts w:cs="Arial"/>
                      <w:sz w:val="20"/>
                      <w:szCs w:val="20"/>
                    </w:rPr>
                    <w:br/>
                    <w:t>repeat per Stratification</w:t>
                  </w:r>
                </w:p>
              </w:tc>
              <w:tc>
                <w:tcPr>
                  <w:tcW w:w="268"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tcPr>
                <w:p w14:paraId="1AE939EC" w14:textId="77777777" w:rsidR="00AF0E3E" w:rsidRPr="005D4222" w:rsidRDefault="00AF0E3E" w:rsidP="00436C93">
                  <w:pPr>
                    <w:spacing w:before="50" w:after="50" w:line="216" w:lineRule="auto"/>
                    <w:rPr>
                      <w:rFonts w:ascii="Arial Narrow" w:hAnsi="Arial Narrow" w:cs="Arial"/>
                      <w:sz w:val="20"/>
                    </w:rPr>
                  </w:pPr>
                </w:p>
              </w:tc>
            </w:tr>
            <w:tr w:rsidR="00AF0E3E" w:rsidRPr="005D4222" w14:paraId="56FB398C" w14:textId="77777777" w:rsidTr="001E3756">
              <w:trPr>
                <w:cantSplit/>
              </w:trPr>
              <w:tc>
                <w:tcPr>
                  <w:tcW w:w="1589" w:type="pct"/>
                  <w:tcBorders>
                    <w:top w:val="nil"/>
                    <w:left w:val="nil"/>
                    <w:bottom w:val="nil"/>
                    <w:right w:val="nil"/>
                  </w:tcBorders>
                  <w:tcMar>
                    <w:top w:w="0" w:type="dxa"/>
                    <w:left w:w="43" w:type="dxa"/>
                    <w:bottom w:w="0" w:type="dxa"/>
                    <w:right w:w="43" w:type="dxa"/>
                  </w:tcMar>
                </w:tcPr>
                <w:p w14:paraId="7920AACC" w14:textId="77777777" w:rsidR="00AF0E3E" w:rsidRPr="005D4222" w:rsidRDefault="00AF0E3E" w:rsidP="00436C93">
                  <w:pPr>
                    <w:pStyle w:val="TableText"/>
                    <w:spacing w:before="50" w:after="50"/>
                    <w:rPr>
                      <w:rFonts w:ascii="Arial" w:hAnsi="Arial" w:cs="Arial"/>
                      <w:sz w:val="20"/>
                      <w:szCs w:val="20"/>
                    </w:rPr>
                  </w:pPr>
                </w:p>
              </w:tc>
              <w:tc>
                <w:tcPr>
                  <w:tcW w:w="487" w:type="pct"/>
                  <w:tcBorders>
                    <w:top w:val="nil"/>
                    <w:left w:val="nil"/>
                    <w:bottom w:val="nil"/>
                    <w:right w:val="single" w:sz="4" w:space="0" w:color="auto"/>
                  </w:tcBorders>
                  <w:tcMar>
                    <w:top w:w="0" w:type="dxa"/>
                    <w:left w:w="43" w:type="dxa"/>
                    <w:bottom w:w="0" w:type="dxa"/>
                    <w:right w:w="43" w:type="dxa"/>
                  </w:tcMar>
                </w:tcPr>
                <w:p w14:paraId="754555A9" w14:textId="77777777" w:rsidR="00AF0E3E" w:rsidRPr="005D4222" w:rsidRDefault="00AF0E3E" w:rsidP="00436C93">
                  <w:pPr>
                    <w:pStyle w:val="TableText"/>
                    <w:spacing w:before="50" w:after="50"/>
                    <w:rPr>
                      <w:rFonts w:ascii="Arial" w:hAnsi="Arial" w:cs="Arial"/>
                      <w:sz w:val="20"/>
                      <w:szCs w:val="20"/>
                    </w:rPr>
                  </w:pPr>
                </w:p>
              </w:tc>
              <w:tc>
                <w:tcPr>
                  <w:tcW w:w="1587"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hideMark/>
                </w:tcPr>
                <w:p w14:paraId="7FF41EDD" w14:textId="77777777" w:rsidR="00AF0E3E" w:rsidRPr="005D4222" w:rsidRDefault="00AF0E3E" w:rsidP="00436C93">
                  <w:pPr>
                    <w:pStyle w:val="TableText"/>
                    <w:spacing w:before="50" w:after="50"/>
                    <w:rPr>
                      <w:rFonts w:cs="Arial"/>
                      <w:sz w:val="20"/>
                      <w:szCs w:val="20"/>
                    </w:rPr>
                  </w:pPr>
                  <w:r w:rsidRPr="005D4222">
                    <w:rPr>
                      <w:rFonts w:cs="Arial"/>
                      <w:sz w:val="20"/>
                      <w:szCs w:val="20"/>
                    </w:rPr>
                    <w:t>NumeratorByAdmin</w:t>
                  </w:r>
                  <w:r w:rsidRPr="005D4222">
                    <w:rPr>
                      <w:rFonts w:eastAsia="Calibri" w:cs="Arial"/>
                      <w:b/>
                      <w:sz w:val="20"/>
                      <w:szCs w:val="20"/>
                      <w:vertAlign w:val="superscript"/>
                    </w:rPr>
                    <w:t>†</w:t>
                  </w:r>
                </w:p>
              </w:tc>
              <w:tc>
                <w:tcPr>
                  <w:tcW w:w="1070"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hideMark/>
                </w:tcPr>
                <w:p w14:paraId="535108D5" w14:textId="77777777" w:rsidR="00AF0E3E" w:rsidRPr="005D4222" w:rsidRDefault="00AF0E3E" w:rsidP="00436C93">
                  <w:pPr>
                    <w:pStyle w:val="TableText"/>
                    <w:spacing w:before="50" w:after="50"/>
                    <w:rPr>
                      <w:rFonts w:eastAsia="Arial Narrow" w:cs="Arial"/>
                      <w:sz w:val="20"/>
                      <w:szCs w:val="20"/>
                    </w:rPr>
                  </w:pPr>
                  <w:r w:rsidRPr="005D4222">
                    <w:rPr>
                      <w:rFonts w:cs="Arial"/>
                      <w:sz w:val="20"/>
                      <w:szCs w:val="20"/>
                    </w:rPr>
                    <w:t xml:space="preserve">For each </w:t>
                  </w:r>
                  <w:r w:rsidRPr="005D4222">
                    <w:rPr>
                      <w:rFonts w:cs="Arial"/>
                      <w:sz w:val="20"/>
                      <w:szCs w:val="20"/>
                    </w:rPr>
                    <w:br/>
                    <w:t>Metric and Stratification</w:t>
                  </w:r>
                </w:p>
              </w:tc>
              <w:tc>
                <w:tcPr>
                  <w:tcW w:w="268"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hideMark/>
                </w:tcPr>
                <w:p w14:paraId="66CCB9A7" w14:textId="77777777" w:rsidR="00AF0E3E" w:rsidRPr="005D4222" w:rsidRDefault="00AF0E3E" w:rsidP="00436C93">
                  <w:pPr>
                    <w:spacing w:before="50" w:after="50" w:line="216" w:lineRule="auto"/>
                    <w:jc w:val="center"/>
                    <w:rPr>
                      <w:rFonts w:ascii="Wingdings" w:hAnsi="Wingdings" w:cs="Arial"/>
                      <w:sz w:val="20"/>
                    </w:rPr>
                  </w:pPr>
                  <w:r w:rsidRPr="005D4222">
                    <w:rPr>
                      <w:rStyle w:val="normaltextrun"/>
                      <w:rFonts w:ascii="Wingdings" w:hAnsi="Wingdings"/>
                      <w:sz w:val="20"/>
                      <w:shd w:val="clear" w:color="auto" w:fill="FFFFFF"/>
                    </w:rPr>
                    <w:t>ü</w:t>
                  </w:r>
                </w:p>
              </w:tc>
            </w:tr>
            <w:tr w:rsidR="00AF0E3E" w:rsidRPr="005D4222" w14:paraId="38F16CA4" w14:textId="77777777" w:rsidTr="001E3756">
              <w:trPr>
                <w:cantSplit/>
              </w:trPr>
              <w:tc>
                <w:tcPr>
                  <w:tcW w:w="1589" w:type="pct"/>
                  <w:tcBorders>
                    <w:top w:val="nil"/>
                    <w:left w:val="nil"/>
                    <w:bottom w:val="nil"/>
                    <w:right w:val="nil"/>
                  </w:tcBorders>
                  <w:tcMar>
                    <w:top w:w="0" w:type="dxa"/>
                    <w:left w:w="43" w:type="dxa"/>
                    <w:bottom w:w="0" w:type="dxa"/>
                    <w:right w:w="43" w:type="dxa"/>
                  </w:tcMar>
                </w:tcPr>
                <w:p w14:paraId="7EDB8FB0" w14:textId="77777777" w:rsidR="00AF0E3E" w:rsidRPr="005D4222" w:rsidRDefault="00AF0E3E" w:rsidP="00436C93">
                  <w:pPr>
                    <w:pStyle w:val="TableText"/>
                    <w:spacing w:before="50" w:after="50"/>
                    <w:rPr>
                      <w:rFonts w:ascii="Arial" w:hAnsi="Arial" w:cs="Arial"/>
                      <w:sz w:val="20"/>
                      <w:szCs w:val="20"/>
                    </w:rPr>
                  </w:pPr>
                </w:p>
              </w:tc>
              <w:tc>
                <w:tcPr>
                  <w:tcW w:w="487" w:type="pct"/>
                  <w:tcBorders>
                    <w:top w:val="nil"/>
                    <w:left w:val="nil"/>
                    <w:bottom w:val="nil"/>
                    <w:right w:val="single" w:sz="4" w:space="0" w:color="auto"/>
                  </w:tcBorders>
                  <w:tcMar>
                    <w:top w:w="0" w:type="dxa"/>
                    <w:left w:w="43" w:type="dxa"/>
                    <w:bottom w:w="0" w:type="dxa"/>
                    <w:right w:w="43" w:type="dxa"/>
                  </w:tcMar>
                </w:tcPr>
                <w:p w14:paraId="48245F5A" w14:textId="77777777" w:rsidR="00AF0E3E" w:rsidRPr="005D4222" w:rsidRDefault="00AF0E3E" w:rsidP="00436C93">
                  <w:pPr>
                    <w:pStyle w:val="TableText"/>
                    <w:spacing w:before="50" w:after="50"/>
                    <w:rPr>
                      <w:rFonts w:ascii="Arial" w:hAnsi="Arial" w:cs="Arial"/>
                      <w:sz w:val="20"/>
                      <w:szCs w:val="20"/>
                    </w:rPr>
                  </w:pPr>
                </w:p>
              </w:tc>
              <w:tc>
                <w:tcPr>
                  <w:tcW w:w="1587"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hideMark/>
                </w:tcPr>
                <w:p w14:paraId="366AE8D2" w14:textId="77777777" w:rsidR="00AF0E3E" w:rsidRPr="005D4222" w:rsidRDefault="00AF0E3E" w:rsidP="00436C93">
                  <w:pPr>
                    <w:pStyle w:val="TableText"/>
                    <w:spacing w:before="50" w:after="50"/>
                    <w:rPr>
                      <w:rFonts w:cs="Arial"/>
                      <w:sz w:val="20"/>
                      <w:szCs w:val="20"/>
                    </w:rPr>
                  </w:pPr>
                  <w:r w:rsidRPr="005D4222">
                    <w:rPr>
                      <w:rFonts w:cs="Arial"/>
                      <w:sz w:val="20"/>
                      <w:szCs w:val="20"/>
                    </w:rPr>
                    <w:t>NumeratorByMedicalRecords</w:t>
                  </w:r>
                </w:p>
              </w:tc>
              <w:tc>
                <w:tcPr>
                  <w:tcW w:w="1070"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hideMark/>
                </w:tcPr>
                <w:p w14:paraId="3E72940F" w14:textId="77777777" w:rsidR="00AF0E3E" w:rsidRPr="005D4222" w:rsidRDefault="00AF0E3E" w:rsidP="00436C93">
                  <w:pPr>
                    <w:pStyle w:val="TableText"/>
                    <w:spacing w:before="50" w:after="50"/>
                    <w:rPr>
                      <w:rFonts w:eastAsia="Arial Narrow" w:cs="Arial"/>
                      <w:sz w:val="20"/>
                      <w:szCs w:val="20"/>
                    </w:rPr>
                  </w:pPr>
                  <w:r w:rsidRPr="005D4222">
                    <w:rPr>
                      <w:rFonts w:cs="Arial"/>
                      <w:sz w:val="20"/>
                      <w:szCs w:val="20"/>
                    </w:rPr>
                    <w:t xml:space="preserve">For each </w:t>
                  </w:r>
                  <w:r w:rsidRPr="005D4222">
                    <w:rPr>
                      <w:rFonts w:cs="Arial"/>
                      <w:sz w:val="20"/>
                      <w:szCs w:val="20"/>
                    </w:rPr>
                    <w:br/>
                    <w:t>Metric and Stratification</w:t>
                  </w:r>
                </w:p>
              </w:tc>
              <w:tc>
                <w:tcPr>
                  <w:tcW w:w="268"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tcPr>
                <w:p w14:paraId="4CA6E023" w14:textId="77777777" w:rsidR="00AF0E3E" w:rsidRPr="005D4222" w:rsidRDefault="00AF0E3E" w:rsidP="00436C93">
                  <w:pPr>
                    <w:spacing w:before="50" w:after="50" w:line="216" w:lineRule="auto"/>
                    <w:jc w:val="center"/>
                    <w:rPr>
                      <w:rFonts w:ascii="Arial Narrow" w:hAnsi="Arial Narrow" w:cs="Arial"/>
                      <w:sz w:val="20"/>
                    </w:rPr>
                  </w:pPr>
                </w:p>
              </w:tc>
            </w:tr>
            <w:tr w:rsidR="00AF0E3E" w:rsidRPr="005D4222" w14:paraId="453DD58E" w14:textId="77777777" w:rsidTr="001E3756">
              <w:trPr>
                <w:cantSplit/>
              </w:trPr>
              <w:tc>
                <w:tcPr>
                  <w:tcW w:w="1589" w:type="pct"/>
                  <w:tcBorders>
                    <w:top w:val="nil"/>
                    <w:left w:val="nil"/>
                    <w:bottom w:val="nil"/>
                    <w:right w:val="nil"/>
                  </w:tcBorders>
                  <w:tcMar>
                    <w:top w:w="0" w:type="dxa"/>
                    <w:left w:w="43" w:type="dxa"/>
                    <w:bottom w:w="0" w:type="dxa"/>
                    <w:right w:w="43" w:type="dxa"/>
                  </w:tcMar>
                </w:tcPr>
                <w:p w14:paraId="20E1A5D3" w14:textId="77777777" w:rsidR="00AF0E3E" w:rsidRPr="005D4222" w:rsidRDefault="00AF0E3E" w:rsidP="00436C93">
                  <w:pPr>
                    <w:pStyle w:val="TableText"/>
                    <w:spacing w:before="50" w:after="50"/>
                    <w:rPr>
                      <w:rFonts w:ascii="Arial" w:hAnsi="Arial" w:cs="Arial"/>
                      <w:sz w:val="20"/>
                      <w:szCs w:val="20"/>
                    </w:rPr>
                  </w:pPr>
                </w:p>
              </w:tc>
              <w:tc>
                <w:tcPr>
                  <w:tcW w:w="487" w:type="pct"/>
                  <w:tcBorders>
                    <w:top w:val="nil"/>
                    <w:left w:val="nil"/>
                    <w:bottom w:val="nil"/>
                    <w:right w:val="single" w:sz="4" w:space="0" w:color="auto"/>
                  </w:tcBorders>
                  <w:tcMar>
                    <w:top w:w="0" w:type="dxa"/>
                    <w:left w:w="43" w:type="dxa"/>
                    <w:bottom w:w="0" w:type="dxa"/>
                    <w:right w:w="43" w:type="dxa"/>
                  </w:tcMar>
                </w:tcPr>
                <w:p w14:paraId="0BA345C1" w14:textId="77777777" w:rsidR="00AF0E3E" w:rsidRPr="005D4222" w:rsidRDefault="00AF0E3E" w:rsidP="00436C93">
                  <w:pPr>
                    <w:pStyle w:val="TableText"/>
                    <w:spacing w:before="50" w:after="50"/>
                    <w:rPr>
                      <w:rFonts w:ascii="Arial" w:hAnsi="Arial" w:cs="Arial"/>
                      <w:sz w:val="20"/>
                      <w:szCs w:val="20"/>
                    </w:rPr>
                  </w:pPr>
                </w:p>
              </w:tc>
              <w:tc>
                <w:tcPr>
                  <w:tcW w:w="1587"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hideMark/>
                </w:tcPr>
                <w:p w14:paraId="11B7B623" w14:textId="77777777" w:rsidR="00AF0E3E" w:rsidRPr="005D4222" w:rsidRDefault="00AF0E3E" w:rsidP="00436C93">
                  <w:pPr>
                    <w:pStyle w:val="TableText"/>
                    <w:spacing w:before="50" w:after="50"/>
                    <w:rPr>
                      <w:rFonts w:cs="Arial"/>
                      <w:sz w:val="20"/>
                      <w:szCs w:val="20"/>
                    </w:rPr>
                  </w:pPr>
                  <w:r w:rsidRPr="005D4222">
                    <w:rPr>
                      <w:rFonts w:cs="Arial"/>
                      <w:sz w:val="20"/>
                      <w:szCs w:val="20"/>
                    </w:rPr>
                    <w:t>NumeratorBySupplemental</w:t>
                  </w:r>
                </w:p>
              </w:tc>
              <w:tc>
                <w:tcPr>
                  <w:tcW w:w="1070"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hideMark/>
                </w:tcPr>
                <w:p w14:paraId="4FD318F5" w14:textId="77777777" w:rsidR="00AF0E3E" w:rsidRPr="005D4222" w:rsidRDefault="00AF0E3E" w:rsidP="00436C93">
                  <w:pPr>
                    <w:pStyle w:val="TableText"/>
                    <w:spacing w:before="50" w:after="50"/>
                    <w:rPr>
                      <w:rFonts w:eastAsia="Arial Narrow" w:cs="Arial"/>
                      <w:sz w:val="20"/>
                      <w:szCs w:val="20"/>
                    </w:rPr>
                  </w:pPr>
                  <w:r w:rsidRPr="005D4222">
                    <w:rPr>
                      <w:rFonts w:cs="Arial"/>
                      <w:sz w:val="20"/>
                      <w:szCs w:val="20"/>
                    </w:rPr>
                    <w:t xml:space="preserve">For each </w:t>
                  </w:r>
                  <w:r w:rsidRPr="005D4222">
                    <w:rPr>
                      <w:rFonts w:cs="Arial"/>
                      <w:sz w:val="20"/>
                      <w:szCs w:val="20"/>
                    </w:rPr>
                    <w:br/>
                    <w:t>Metric and Stratification</w:t>
                  </w:r>
                </w:p>
              </w:tc>
              <w:tc>
                <w:tcPr>
                  <w:tcW w:w="268"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43" w:type="dxa"/>
                    <w:bottom w:w="0" w:type="dxa"/>
                    <w:right w:w="43" w:type="dxa"/>
                  </w:tcMar>
                  <w:hideMark/>
                </w:tcPr>
                <w:p w14:paraId="70714A57" w14:textId="77777777" w:rsidR="00AF0E3E" w:rsidRPr="005D4222" w:rsidRDefault="00AF0E3E" w:rsidP="00436C93">
                  <w:pPr>
                    <w:spacing w:before="50" w:after="50" w:line="216" w:lineRule="auto"/>
                    <w:jc w:val="center"/>
                    <w:rPr>
                      <w:rFonts w:ascii="Wingdings" w:hAnsi="Wingdings" w:cs="Arial"/>
                      <w:sz w:val="20"/>
                    </w:rPr>
                  </w:pPr>
                  <w:r w:rsidRPr="005D4222">
                    <w:rPr>
                      <w:rStyle w:val="normaltextrun"/>
                      <w:rFonts w:ascii="Wingdings" w:hAnsi="Wingdings"/>
                      <w:sz w:val="20"/>
                      <w:shd w:val="clear" w:color="auto" w:fill="FFFFFF"/>
                    </w:rPr>
                    <w:t>ü</w:t>
                  </w:r>
                </w:p>
              </w:tc>
            </w:tr>
            <w:tr w:rsidR="00AF0E3E" w:rsidRPr="005D4222" w14:paraId="6F9AE1B1" w14:textId="77777777" w:rsidTr="001E3756">
              <w:trPr>
                <w:cantSplit/>
              </w:trPr>
              <w:tc>
                <w:tcPr>
                  <w:tcW w:w="1589" w:type="pct"/>
                  <w:tcBorders>
                    <w:top w:val="nil"/>
                    <w:left w:val="nil"/>
                    <w:bottom w:val="nil"/>
                    <w:right w:val="nil"/>
                  </w:tcBorders>
                  <w:tcMar>
                    <w:top w:w="0" w:type="dxa"/>
                    <w:left w:w="43" w:type="dxa"/>
                    <w:bottom w:w="0" w:type="dxa"/>
                    <w:right w:w="43" w:type="dxa"/>
                  </w:tcMar>
                </w:tcPr>
                <w:p w14:paraId="70367C6E" w14:textId="77777777" w:rsidR="00AF0E3E" w:rsidRPr="005D4222" w:rsidRDefault="00AF0E3E" w:rsidP="00436C93">
                  <w:pPr>
                    <w:pStyle w:val="TableText"/>
                    <w:spacing w:before="50" w:after="50"/>
                    <w:rPr>
                      <w:rFonts w:ascii="Arial" w:hAnsi="Arial" w:cs="Arial"/>
                      <w:sz w:val="20"/>
                      <w:szCs w:val="20"/>
                    </w:rPr>
                  </w:pPr>
                </w:p>
              </w:tc>
              <w:tc>
                <w:tcPr>
                  <w:tcW w:w="487" w:type="pct"/>
                  <w:tcBorders>
                    <w:top w:val="nil"/>
                    <w:left w:val="nil"/>
                    <w:bottom w:val="nil"/>
                    <w:right w:val="single" w:sz="4" w:space="0" w:color="auto"/>
                  </w:tcBorders>
                  <w:tcMar>
                    <w:top w:w="0" w:type="dxa"/>
                    <w:left w:w="43" w:type="dxa"/>
                    <w:bottom w:w="0" w:type="dxa"/>
                    <w:right w:w="43" w:type="dxa"/>
                  </w:tcMar>
                </w:tcPr>
                <w:p w14:paraId="75506B9D" w14:textId="77777777" w:rsidR="00AF0E3E" w:rsidRPr="005D4222" w:rsidRDefault="00AF0E3E" w:rsidP="00436C93">
                  <w:pPr>
                    <w:pStyle w:val="TableText"/>
                    <w:spacing w:before="50" w:after="50"/>
                    <w:rPr>
                      <w:rFonts w:ascii="Arial" w:hAnsi="Arial" w:cs="Arial"/>
                      <w:sz w:val="20"/>
                      <w:szCs w:val="20"/>
                    </w:rPr>
                  </w:pPr>
                </w:p>
              </w:tc>
              <w:tc>
                <w:tcPr>
                  <w:tcW w:w="15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43" w:type="dxa"/>
                    <w:bottom w:w="0" w:type="dxa"/>
                    <w:right w:w="43" w:type="dxa"/>
                  </w:tcMar>
                  <w:hideMark/>
                </w:tcPr>
                <w:p w14:paraId="293D565B" w14:textId="77777777" w:rsidR="00AF0E3E" w:rsidRPr="005D4222" w:rsidRDefault="00AF0E3E" w:rsidP="00436C93">
                  <w:pPr>
                    <w:pStyle w:val="TableText"/>
                    <w:spacing w:before="50" w:after="50"/>
                    <w:rPr>
                      <w:rFonts w:cs="Arial"/>
                      <w:sz w:val="20"/>
                      <w:szCs w:val="20"/>
                    </w:rPr>
                  </w:pPr>
                  <w:r w:rsidRPr="005D4222">
                    <w:rPr>
                      <w:rFonts w:cs="Arial"/>
                      <w:sz w:val="20"/>
                      <w:szCs w:val="20"/>
                    </w:rPr>
                    <w:t>Rate</w:t>
                  </w:r>
                </w:p>
              </w:tc>
              <w:tc>
                <w:tcPr>
                  <w:tcW w:w="107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43" w:type="dxa"/>
                    <w:bottom w:w="0" w:type="dxa"/>
                    <w:right w:w="43" w:type="dxa"/>
                  </w:tcMar>
                  <w:hideMark/>
                </w:tcPr>
                <w:p w14:paraId="31269F53" w14:textId="77777777" w:rsidR="00AF0E3E" w:rsidRPr="005D4222" w:rsidRDefault="00AF0E3E" w:rsidP="00436C93">
                  <w:pPr>
                    <w:pStyle w:val="TableText"/>
                    <w:spacing w:before="50" w:after="50"/>
                    <w:rPr>
                      <w:rFonts w:eastAsia="Arial Narrow" w:cs="Arial"/>
                      <w:sz w:val="20"/>
                      <w:szCs w:val="20"/>
                    </w:rPr>
                  </w:pPr>
                  <w:r w:rsidRPr="005D4222">
                    <w:rPr>
                      <w:rFonts w:eastAsia="Arial Narrow" w:cs="Arial"/>
                      <w:sz w:val="20"/>
                      <w:szCs w:val="20"/>
                    </w:rPr>
                    <w:t>(Percent)</w:t>
                  </w:r>
                </w:p>
              </w:tc>
              <w:tc>
                <w:tcPr>
                  <w:tcW w:w="26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43" w:type="dxa"/>
                    <w:bottom w:w="0" w:type="dxa"/>
                    <w:right w:w="43" w:type="dxa"/>
                  </w:tcMar>
                  <w:hideMark/>
                </w:tcPr>
                <w:p w14:paraId="31BB0AD2" w14:textId="77777777" w:rsidR="00AF0E3E" w:rsidRPr="005D4222" w:rsidRDefault="00AF0E3E" w:rsidP="00436C93">
                  <w:pPr>
                    <w:spacing w:before="50" w:after="50" w:line="216" w:lineRule="auto"/>
                    <w:jc w:val="center"/>
                    <w:rPr>
                      <w:rFonts w:ascii="Wingdings" w:hAnsi="Wingdings" w:cs="Arial"/>
                      <w:sz w:val="20"/>
                    </w:rPr>
                  </w:pPr>
                  <w:r w:rsidRPr="005D4222">
                    <w:rPr>
                      <w:rFonts w:ascii="Wingdings" w:eastAsia="Wingdings" w:hAnsi="Wingdings" w:cs="Arial"/>
                      <w:sz w:val="20"/>
                    </w:rPr>
                    <w:t></w:t>
                  </w:r>
                </w:p>
              </w:tc>
            </w:tr>
          </w:tbl>
          <w:p w14:paraId="23D1477A" w14:textId="77777777" w:rsidR="00AF0E3E" w:rsidRPr="005D4222" w:rsidRDefault="00AF0E3E">
            <w:pPr>
              <w:pStyle w:val="TableText"/>
              <w:spacing w:before="120" w:after="0"/>
              <w:ind w:left="90" w:hanging="90"/>
              <w:rPr>
                <w:rFonts w:ascii="Arial" w:eastAsia="Calibri" w:hAnsi="Arial" w:cs="Arial"/>
                <w:b/>
                <w:sz w:val="18"/>
                <w:szCs w:val="18"/>
              </w:rPr>
            </w:pPr>
            <w:bookmarkStart w:id="312" w:name="_Hlk72301854"/>
            <w:r w:rsidRPr="005D4222">
              <w:rPr>
                <w:rFonts w:ascii="Arial" w:eastAsia="Calibri" w:hAnsi="Arial" w:cs="Arial"/>
                <w:b/>
              </w:rPr>
              <w:t>*</w:t>
            </w:r>
            <w:r w:rsidRPr="005D4222">
              <w:rPr>
                <w:rFonts w:ascii="Arial" w:hAnsi="Arial" w:cs="Arial"/>
                <w:sz w:val="18"/>
                <w:szCs w:val="18"/>
              </w:rPr>
              <w:t>Repeat the InitialPopulation, Exclusions and Denominator values for metrics using the administrative method.</w:t>
            </w:r>
          </w:p>
          <w:p w14:paraId="43CB8352" w14:textId="2EAFD6AF" w:rsidR="00AF0E3E" w:rsidRPr="005D4222" w:rsidRDefault="00AF0E3E" w:rsidP="00D11013">
            <w:pPr>
              <w:pStyle w:val="Body"/>
              <w:spacing w:before="0" w:after="80"/>
              <w:ind w:left="92" w:hanging="92"/>
              <w:rPr>
                <w:rFonts w:eastAsia="Calibri"/>
              </w:rPr>
            </w:pPr>
            <w:r w:rsidRPr="005D4222">
              <w:rPr>
                <w:rFonts w:eastAsia="Calibri" w:cs="Arial"/>
                <w:b/>
                <w:szCs w:val="21"/>
                <w:vertAlign w:val="superscript"/>
              </w:rPr>
              <w:t>†</w:t>
            </w:r>
            <w:r w:rsidRPr="005D4222">
              <w:rPr>
                <w:rFonts w:eastAsia="Calibri" w:cs="Arial"/>
                <w:sz w:val="18"/>
                <w:szCs w:val="18"/>
              </w:rPr>
              <w:t>These data elements are only reported or calculated for the MedicationReconciliationPostDischarge and PatientEngagementAfterInpatientDischarge metrics.</w:t>
            </w:r>
            <w:bookmarkEnd w:id="312"/>
          </w:p>
        </w:tc>
      </w:tr>
      <w:tr w:rsidR="00436C93" w:rsidRPr="005D4222" w14:paraId="7C81AC83" w14:textId="77777777" w:rsidTr="00D11013">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86" w:type="dxa"/>
              <w:right w:w="86" w:type="dxa"/>
            </w:tcMar>
          </w:tcPr>
          <w:p w14:paraId="152694CF" w14:textId="77777777" w:rsidR="00436C93" w:rsidRPr="005D4222" w:rsidRDefault="00436C93">
            <w:pPr>
              <w:pStyle w:val="ECDSMarginHead"/>
            </w:pPr>
            <w:r w:rsidRPr="005D4222">
              <w:lastRenderedPageBreak/>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86" w:type="dxa"/>
              <w:right w:w="86" w:type="dxa"/>
            </w:tcMar>
          </w:tcPr>
          <w:p w14:paraId="2F97484A" w14:textId="77777777" w:rsidR="00436C93" w:rsidRPr="005D4222" w:rsidRDefault="00436C93">
            <w:pPr>
              <w:pStyle w:val="ECDSBody"/>
              <w:rPr>
                <w:sz w:val="10"/>
                <w:szCs w:val="10"/>
              </w:rPr>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59BD05EA" w14:textId="77777777" w:rsidR="00436C93" w:rsidRPr="005D4222" w:rsidRDefault="00436C93">
            <w:pPr>
              <w:pStyle w:val="ECDSBody"/>
              <w:rPr>
                <w:b/>
                <w:bCs w:val="0"/>
              </w:rPr>
            </w:pPr>
            <w:r w:rsidRPr="005D4222">
              <w:rPr>
                <w:b/>
                <w:bCs w:val="0"/>
              </w:rPr>
              <w:t>Adjusted HEDIS measures may not be used for HEDIS health plan reporting.</w:t>
            </w:r>
          </w:p>
          <w:p w14:paraId="4398C357" w14:textId="77777777" w:rsidR="00436C93" w:rsidRPr="005D4222" w:rsidRDefault="00436C93">
            <w:pPr>
              <w:pStyle w:val="ECDSBody"/>
              <w:rPr>
                <w:bCs w:val="0"/>
              </w:rPr>
            </w:pPr>
            <w:r w:rsidRPr="005D4222">
              <w:rPr>
                <w:rStyle w:val="normaltextrun"/>
                <w:b/>
                <w:bCs w:val="0"/>
                <w:color w:val="000000"/>
                <w:szCs w:val="21"/>
                <w:shd w:val="clear" w:color="auto" w:fill="FFFFFF"/>
              </w:rPr>
              <w:t>The Rules do not apply to the hybrid portion of the measure; only the administrative sections may be changed. </w:t>
            </w:r>
          </w:p>
          <w:p w14:paraId="568AB892" w14:textId="77777777" w:rsidR="00436C93" w:rsidRPr="005D4222" w:rsidRDefault="00436C93">
            <w:pPr>
              <w:pStyle w:val="Adjustments"/>
              <w:spacing w:before="120"/>
            </w:pPr>
            <w:r w:rsidRPr="005D4222">
              <w:t>Adjustments allowed</w:t>
            </w:r>
          </w:p>
          <w:p w14:paraId="22D79C52" w14:textId="12B81946" w:rsidR="00436C93" w:rsidRPr="005D4222" w:rsidRDefault="00436C93">
            <w:pPr>
              <w:pStyle w:val="MarginBullet"/>
              <w:rPr>
                <w:b/>
                <w:color w:val="000000" w:themeColor="text1"/>
              </w:rPr>
            </w:pPr>
            <w:r w:rsidRPr="005D4222">
              <w:rPr>
                <w:i/>
              </w:rPr>
              <w:t xml:space="preserve">Product lines. </w:t>
            </w:r>
            <w:r w:rsidRPr="005D4222">
              <w:t>Organizations are not required to use product line criteria; product lines may be combined</w:t>
            </w:r>
            <w:r w:rsidR="00E8671F" w:rsidRPr="005D4222">
              <w:t>,</w:t>
            </w:r>
            <w:r w:rsidRPr="005D4222">
              <w:t xml:space="preserve"> and all (or no) product line criteria may be used.</w:t>
            </w:r>
          </w:p>
          <w:p w14:paraId="4494C31D" w14:textId="77777777" w:rsidR="00436C93" w:rsidRPr="005D4222" w:rsidRDefault="00436C93">
            <w:pPr>
              <w:pStyle w:val="MarginBullet"/>
              <w:rPr>
                <w:b/>
                <w:bCs/>
                <w:color w:val="000000" w:themeColor="text1"/>
              </w:rPr>
            </w:pPr>
            <w:r w:rsidRPr="005D4222">
              <w:rPr>
                <w:i/>
                <w:iCs/>
              </w:rPr>
              <w:t>Attribution.</w:t>
            </w:r>
            <w:r w:rsidRPr="005D4222">
              <w:t xml:space="preserve"> Organizations are not required to use enrollment criteria. </w:t>
            </w:r>
          </w:p>
          <w:p w14:paraId="1A0E1AC3" w14:textId="7C850EC5" w:rsidR="00436C93" w:rsidRPr="005D4222" w:rsidRDefault="00362E76">
            <w:pPr>
              <w:pStyle w:val="MarginBullet"/>
              <w:rPr>
                <w:b/>
                <w:bCs/>
                <w:color w:val="000000" w:themeColor="text1"/>
              </w:rPr>
            </w:pPr>
            <w:r w:rsidRPr="005D4222">
              <w:rPr>
                <w:i/>
                <w:iCs/>
              </w:rPr>
              <w:t>Benefits.</w:t>
            </w:r>
            <w:r w:rsidR="00436C93" w:rsidRPr="005D4222">
              <w:t xml:space="preserve"> Organizations are not required to use a benefit.</w:t>
            </w:r>
          </w:p>
          <w:p w14:paraId="2A255B8B" w14:textId="77777777" w:rsidR="00436C93" w:rsidRPr="005D4222" w:rsidRDefault="00436C93">
            <w:pPr>
              <w:pStyle w:val="MarginBullet"/>
              <w:rPr>
                <w:b/>
                <w:bCs/>
                <w:color w:val="000000" w:themeColor="text1"/>
              </w:rPr>
            </w:pPr>
            <w:r w:rsidRPr="005D4222">
              <w:rPr>
                <w:i/>
                <w:iCs/>
              </w:rPr>
              <w:t>Other.</w:t>
            </w:r>
            <w:r w:rsidRPr="005D4222">
              <w:t xml:space="preserve"> Organizations may use additional initial population criteria to focus on an area of interest defined by gender, race, ethnicity, socioeconomic or sociodemographic characteristics, geographic region or another characteristic.</w:t>
            </w:r>
          </w:p>
          <w:p w14:paraId="7635BFE1" w14:textId="77777777" w:rsidR="00436C93" w:rsidRPr="005D4222" w:rsidRDefault="00436C93">
            <w:pPr>
              <w:pStyle w:val="MarginBullet"/>
              <w:rPr>
                <w:b/>
                <w:bCs/>
                <w:color w:val="000000" w:themeColor="text1"/>
              </w:rPr>
            </w:pPr>
            <w:r w:rsidRPr="005D4222">
              <w:rPr>
                <w:i/>
                <w:iCs/>
              </w:rPr>
              <w:t>Measurement period adjustments.</w:t>
            </w:r>
            <w:r w:rsidRPr="005D4222">
              <w:t xml:space="preserve"> Organizations may adjust the measurement period. </w:t>
            </w:r>
          </w:p>
          <w:p w14:paraId="070F1985" w14:textId="77777777" w:rsidR="00436C93" w:rsidRPr="005D4222" w:rsidRDefault="00436C93">
            <w:pPr>
              <w:pStyle w:val="MarginBullet"/>
              <w:rPr>
                <w:i/>
              </w:rPr>
            </w:pPr>
            <w:r w:rsidRPr="005D4222">
              <w:rPr>
                <w:bCs/>
                <w:i/>
                <w:iCs/>
              </w:rPr>
              <w:t>Exclusions.</w:t>
            </w:r>
            <w:r w:rsidRPr="005D4222">
              <w:rPr>
                <w:i/>
              </w:rPr>
              <w:t xml:space="preserve"> </w:t>
            </w:r>
            <w:r w:rsidRPr="005D4222">
              <w:t xml:space="preserve">The hospice and deceased person exclusions are not required. </w:t>
            </w:r>
          </w:p>
          <w:p w14:paraId="6952C3AD" w14:textId="51B841A3" w:rsidR="00436C93" w:rsidRPr="005D4222" w:rsidRDefault="00436C93">
            <w:pPr>
              <w:pStyle w:val="MarginBullet"/>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w:t>
            </w:r>
            <w:r w:rsidR="00F45777" w:rsidRPr="005D4222">
              <w:t>events</w:t>
            </w:r>
            <w:r w:rsidRPr="005D4222">
              <w:t>, numerators and exclusions that do not allow the use of telehealth.</w:t>
            </w:r>
          </w:p>
          <w:p w14:paraId="2729C52D" w14:textId="77777777" w:rsidR="00436C93" w:rsidRPr="005D4222" w:rsidRDefault="00436C93">
            <w:pPr>
              <w:pStyle w:val="MarginBullet"/>
            </w:pPr>
            <w:r w:rsidRPr="005D4222">
              <w:rPr>
                <w:i/>
                <w:iCs/>
              </w:rPr>
              <w:t>Supplemental data.</w:t>
            </w:r>
            <w:r w:rsidRPr="005D4222">
              <w:t xml:space="preserve"> Supplemental data may be used to identify initial population, denominator, exclusion and numerator events.</w:t>
            </w:r>
          </w:p>
          <w:p w14:paraId="087E1675" w14:textId="77777777" w:rsidR="00436C93" w:rsidRPr="005D4222" w:rsidRDefault="00436C93">
            <w:pPr>
              <w:pStyle w:val="Adjustments"/>
            </w:pPr>
            <w:r w:rsidRPr="005D4222">
              <w:t xml:space="preserve">Adjustments </w:t>
            </w:r>
            <w:r w:rsidRPr="005D4222">
              <w:rPr>
                <w:bCs/>
              </w:rPr>
              <w:t>a</w:t>
            </w:r>
            <w:r w:rsidRPr="005D4222">
              <w:t xml:space="preserve">llowed with </w:t>
            </w:r>
            <w:r w:rsidRPr="005D4222">
              <w:rPr>
                <w:bCs/>
              </w:rPr>
              <w:t>l</w:t>
            </w:r>
            <w:r w:rsidRPr="005D4222">
              <w:t>imits</w:t>
            </w:r>
          </w:p>
          <w:p w14:paraId="68304870" w14:textId="77777777" w:rsidR="00436C93" w:rsidRPr="005D4222" w:rsidRDefault="00436C93">
            <w:pPr>
              <w:pStyle w:val="MarginBullet"/>
            </w:pPr>
            <w:r w:rsidRPr="005D4222">
              <w:rPr>
                <w:i/>
                <w:iCs/>
              </w:rPr>
              <w:t>Initial population:</w:t>
            </w:r>
            <w:r w:rsidRPr="005D4222">
              <w:t xml:space="preserve"> Event. </w:t>
            </w:r>
            <w:r w:rsidRPr="005D4222">
              <w:rPr>
                <w:rFonts w:eastAsia="Arial"/>
              </w:rPr>
              <w:t>Organizations may assess at the person level (vs. discharge level) by applying measure logic appropriately (i.e., percentage of persons with documentation of medication reconciliation after each discharge).</w:t>
            </w:r>
            <w:r w:rsidRPr="005D4222">
              <w:t xml:space="preserve"> Only events that contain (or map to) codes in the value sets may be used to identify the initial population for each rate. The value sets and logic may not be changed.</w:t>
            </w:r>
          </w:p>
          <w:p w14:paraId="1F57EAE6" w14:textId="77777777" w:rsidR="00436C93" w:rsidRPr="005D4222" w:rsidRDefault="00436C93">
            <w:pPr>
              <w:pStyle w:val="Adjustments"/>
            </w:pPr>
            <w:r w:rsidRPr="005D4222">
              <w:t>Adjustments not allowed</w:t>
            </w:r>
          </w:p>
          <w:p w14:paraId="5F6DAD73" w14:textId="77777777" w:rsidR="00436C93" w:rsidRPr="005D4222" w:rsidRDefault="00436C93">
            <w:pPr>
              <w:pStyle w:val="MarginBullet"/>
              <w:spacing w:after="80"/>
              <w:rPr>
                <w:sz w:val="10"/>
                <w:szCs w:val="10"/>
              </w:rPr>
            </w:pPr>
            <w:r w:rsidRPr="005D4222">
              <w:rPr>
                <w:rFonts w:eastAsia="Arial"/>
                <w:i/>
                <w:iCs/>
              </w:rPr>
              <w:t xml:space="preserve">Numerators: </w:t>
            </w:r>
            <w:r w:rsidRPr="005D4222">
              <w:rPr>
                <w:rFonts w:eastAsia="Arial"/>
              </w:rPr>
              <w:t>Notification of inpatient admission,</w:t>
            </w:r>
            <w:r w:rsidRPr="005D4222" w:rsidDel="0039521E">
              <w:rPr>
                <w:rFonts w:eastAsia="Arial"/>
              </w:rPr>
              <w:t xml:space="preserve"> </w:t>
            </w:r>
            <w:r w:rsidRPr="005D4222">
              <w:rPr>
                <w:rFonts w:eastAsia="Arial"/>
              </w:rPr>
              <w:t xml:space="preserve">receipt of discharge information. Allowable adjustments are not permitted for the components of this measure. </w:t>
            </w:r>
          </w:p>
          <w:p w14:paraId="04278E10" w14:textId="0DA404CC" w:rsidR="00C84AC0" w:rsidRPr="005D4222" w:rsidRDefault="00C84AC0">
            <w:pPr>
              <w:pStyle w:val="MarginBullet"/>
              <w:spacing w:after="80"/>
              <w:rPr>
                <w:sz w:val="10"/>
                <w:szCs w:val="10"/>
              </w:rPr>
            </w:pPr>
            <w:r w:rsidRPr="005D4222">
              <w:rPr>
                <w:rFonts w:eastAsia="Arial"/>
                <w:i/>
              </w:rPr>
              <w:t xml:space="preserve">Numerators: </w:t>
            </w:r>
            <w:r w:rsidRPr="005D4222">
              <w:rPr>
                <w:iCs/>
              </w:rPr>
              <w:t>Patient engagement after inpatient discharge,</w:t>
            </w:r>
            <w:r w:rsidRPr="005D4222" w:rsidDel="0039521E">
              <w:rPr>
                <w:iCs/>
              </w:rPr>
              <w:t xml:space="preserve"> </w:t>
            </w:r>
            <w:r w:rsidRPr="005D4222">
              <w:rPr>
                <w:rFonts w:eastAsia="Arial"/>
                <w:iCs/>
              </w:rPr>
              <w:t xml:space="preserve">medication reconciliation post-discharge. </w:t>
            </w:r>
            <w:r w:rsidRPr="005D4222">
              <w:rPr>
                <w:rFonts w:eastAsia="Arial"/>
              </w:rPr>
              <w:t>Value sets and logic may not be changed.</w:t>
            </w:r>
          </w:p>
        </w:tc>
      </w:tr>
    </w:tbl>
    <w:p w14:paraId="78973A43" w14:textId="77777777" w:rsidR="00BC6F92" w:rsidRPr="005D4222" w:rsidRDefault="00BC6F92" w:rsidP="00C34891">
      <w:pPr>
        <w:pStyle w:val="ECDSBody"/>
        <w:sectPr w:rsidR="00BC6F92" w:rsidRPr="005D4222" w:rsidSect="0074514A">
          <w:type w:val="nextColumn"/>
          <w:pgSz w:w="12240" w:h="15840" w:code="1"/>
          <w:pgMar w:top="1080" w:right="1080" w:bottom="1080" w:left="1440" w:header="720" w:footer="720" w:gutter="0"/>
          <w:cols w:space="720"/>
          <w:docGrid w:linePitch="360"/>
        </w:sectPr>
      </w:pPr>
    </w:p>
    <w:p w14:paraId="546AC6BC" w14:textId="6DD74541" w:rsidR="00C34891" w:rsidRPr="005D4222" w:rsidRDefault="00DE2FCF" w:rsidP="00A16BE8">
      <w:pPr>
        <w:pStyle w:val="MeasureTitle"/>
        <w:spacing w:after="240"/>
      </w:pPr>
      <w:bookmarkStart w:id="313" w:name="_Toc201813422"/>
      <w:r w:rsidRPr="005D4222">
        <w:lastRenderedPageBreak/>
        <w:t xml:space="preserve">Follow-Up After Emergency Department Visit for People With </w:t>
      </w:r>
      <w:r w:rsidRPr="005D4222">
        <w:br/>
        <w:t>Multiple High-Risk Chronic Conditions</w:t>
      </w:r>
      <w:r w:rsidR="0096709F" w:rsidRPr="005D4222">
        <w:t xml:space="preserve"> (FMC)</w:t>
      </w:r>
      <w:bookmarkEnd w:id="313"/>
    </w:p>
    <w:tbl>
      <w:tblPr>
        <w:tblW w:w="971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5040"/>
        <w:gridCol w:w="1440"/>
        <w:gridCol w:w="1079"/>
      </w:tblGrid>
      <w:tr w:rsidR="00A16BE8" w:rsidRPr="005D4222" w14:paraId="023675F3" w14:textId="77777777">
        <w:tc>
          <w:tcPr>
            <w:tcW w:w="2157" w:type="dxa"/>
            <w:shd w:val="clear" w:color="auto" w:fill="BFBFBF" w:themeFill="background1" w:themeFillShade="BF"/>
            <w:tcMar>
              <w:top w:w="0" w:type="dxa"/>
              <w:left w:w="86" w:type="dxa"/>
              <w:bottom w:w="0" w:type="dxa"/>
              <w:right w:w="86" w:type="dxa"/>
            </w:tcMar>
            <w:hideMark/>
          </w:tcPr>
          <w:p w14:paraId="5F9F2AF3" w14:textId="77777777" w:rsidR="00A16BE8" w:rsidRPr="005D4222" w:rsidRDefault="00A16BE8">
            <w:pPr>
              <w:pStyle w:val="ECDSMarginHead"/>
            </w:pPr>
            <w:r w:rsidRPr="005D4222">
              <w:t>Measure title</w:t>
            </w:r>
          </w:p>
        </w:tc>
        <w:tc>
          <w:tcPr>
            <w:tcW w:w="5040" w:type="dxa"/>
            <w:tcMar>
              <w:top w:w="0" w:type="dxa"/>
              <w:left w:w="86" w:type="dxa"/>
              <w:bottom w:w="0" w:type="dxa"/>
              <w:right w:w="86" w:type="dxa"/>
            </w:tcMar>
          </w:tcPr>
          <w:p w14:paraId="783F8A76" w14:textId="77777777" w:rsidR="00A16BE8" w:rsidRPr="005D4222" w:rsidRDefault="00A16BE8">
            <w:pPr>
              <w:pStyle w:val="ECDSBody"/>
            </w:pPr>
            <w:r w:rsidRPr="005D4222">
              <w:t>Follow-Up After Emergency Department Visit for People With Multiple High-Risk Chronic Conditions</w:t>
            </w:r>
          </w:p>
        </w:tc>
        <w:tc>
          <w:tcPr>
            <w:tcW w:w="1440" w:type="dxa"/>
            <w:shd w:val="clear" w:color="auto" w:fill="BFBFBF" w:themeFill="background1" w:themeFillShade="BF"/>
            <w:tcMar>
              <w:top w:w="0" w:type="dxa"/>
              <w:left w:w="86" w:type="dxa"/>
              <w:bottom w:w="0" w:type="dxa"/>
              <w:right w:w="86" w:type="dxa"/>
            </w:tcMar>
          </w:tcPr>
          <w:p w14:paraId="38AFB712" w14:textId="77777777" w:rsidR="00A16BE8" w:rsidRPr="005D4222" w:rsidRDefault="00A16BE8">
            <w:pPr>
              <w:pStyle w:val="MarginHead"/>
            </w:pPr>
            <w:r w:rsidRPr="005D4222">
              <w:t>Measure ID</w:t>
            </w:r>
          </w:p>
        </w:tc>
        <w:tc>
          <w:tcPr>
            <w:tcW w:w="1079" w:type="dxa"/>
            <w:tcMar>
              <w:top w:w="0" w:type="dxa"/>
              <w:left w:w="86" w:type="dxa"/>
              <w:bottom w:w="0" w:type="dxa"/>
              <w:right w:w="86" w:type="dxa"/>
            </w:tcMar>
          </w:tcPr>
          <w:p w14:paraId="480EFE16" w14:textId="77777777" w:rsidR="00A16BE8" w:rsidRPr="005D4222" w:rsidRDefault="00A16BE8">
            <w:pPr>
              <w:pStyle w:val="ECDSBody"/>
            </w:pPr>
            <w:r w:rsidRPr="005D4222">
              <w:t>FMC</w:t>
            </w:r>
          </w:p>
        </w:tc>
      </w:tr>
      <w:tr w:rsidR="00A16BE8" w:rsidRPr="005D4222" w14:paraId="7F492135" w14:textId="77777777">
        <w:tc>
          <w:tcPr>
            <w:tcW w:w="2157" w:type="dxa"/>
            <w:shd w:val="clear" w:color="auto" w:fill="BFBFBF" w:themeFill="background1" w:themeFillShade="BF"/>
            <w:tcMar>
              <w:top w:w="0" w:type="dxa"/>
              <w:left w:w="86" w:type="dxa"/>
              <w:bottom w:w="0" w:type="dxa"/>
              <w:right w:w="86" w:type="dxa"/>
            </w:tcMar>
            <w:hideMark/>
          </w:tcPr>
          <w:p w14:paraId="7E57AA97" w14:textId="77777777" w:rsidR="00A16BE8" w:rsidRPr="005D4222" w:rsidRDefault="00A16BE8">
            <w:pPr>
              <w:pStyle w:val="ECDSMarginHead"/>
            </w:pPr>
            <w:r w:rsidRPr="005D4222">
              <w:t>Description</w:t>
            </w:r>
          </w:p>
        </w:tc>
        <w:tc>
          <w:tcPr>
            <w:tcW w:w="7559" w:type="dxa"/>
            <w:gridSpan w:val="3"/>
            <w:tcMar>
              <w:top w:w="0" w:type="dxa"/>
              <w:left w:w="86" w:type="dxa"/>
              <w:bottom w:w="0" w:type="dxa"/>
              <w:right w:w="86" w:type="dxa"/>
            </w:tcMar>
          </w:tcPr>
          <w:p w14:paraId="04384F5C" w14:textId="77777777" w:rsidR="00A16BE8" w:rsidRPr="005D4222" w:rsidRDefault="00A16BE8">
            <w:pPr>
              <w:pStyle w:val="ECDSBody"/>
            </w:pPr>
            <w:r w:rsidRPr="005D4222">
              <w:t>The percentage of emergency department (ED) visits for persons 18 years of age and older who have multiple high-risk chronic conditions who had a follow-up service within 7 days of the ED visit.</w:t>
            </w:r>
          </w:p>
        </w:tc>
      </w:tr>
      <w:tr w:rsidR="00A16BE8" w:rsidRPr="005D4222" w14:paraId="3C313318" w14:textId="77777777">
        <w:tc>
          <w:tcPr>
            <w:tcW w:w="2157" w:type="dxa"/>
            <w:shd w:val="clear" w:color="auto" w:fill="BFBFBF" w:themeFill="background1" w:themeFillShade="BF"/>
            <w:tcMar>
              <w:top w:w="0" w:type="dxa"/>
              <w:left w:w="86" w:type="dxa"/>
              <w:bottom w:w="0" w:type="dxa"/>
              <w:right w:w="86" w:type="dxa"/>
            </w:tcMar>
          </w:tcPr>
          <w:p w14:paraId="338BF593" w14:textId="77777777" w:rsidR="00A16BE8" w:rsidRPr="005D4222" w:rsidRDefault="00A16BE8">
            <w:pPr>
              <w:pStyle w:val="ECDSMarginHead"/>
            </w:pPr>
            <w:r w:rsidRPr="005D4222">
              <w:t>Measurement period</w:t>
            </w:r>
          </w:p>
        </w:tc>
        <w:tc>
          <w:tcPr>
            <w:tcW w:w="7559" w:type="dxa"/>
            <w:gridSpan w:val="3"/>
            <w:tcMar>
              <w:top w:w="0" w:type="dxa"/>
              <w:left w:w="86" w:type="dxa"/>
              <w:bottom w:w="0" w:type="dxa"/>
              <w:right w:w="86" w:type="dxa"/>
            </w:tcMar>
          </w:tcPr>
          <w:p w14:paraId="1B58E40B" w14:textId="77777777" w:rsidR="00A16BE8" w:rsidRPr="005D4222" w:rsidRDefault="00A16BE8">
            <w:pPr>
              <w:pStyle w:val="ECDSBody"/>
            </w:pPr>
            <w:r w:rsidRPr="005D4222">
              <w:t>January 1–December 31.</w:t>
            </w:r>
          </w:p>
        </w:tc>
      </w:tr>
      <w:tr w:rsidR="00A16BE8" w:rsidRPr="005D4222" w14:paraId="0B7E63E2" w14:textId="77777777">
        <w:tc>
          <w:tcPr>
            <w:tcW w:w="2157" w:type="dxa"/>
            <w:shd w:val="clear" w:color="auto" w:fill="BFBFBF" w:themeFill="background1" w:themeFillShade="BF"/>
            <w:tcMar>
              <w:top w:w="0" w:type="dxa"/>
              <w:left w:w="86" w:type="dxa"/>
              <w:bottom w:w="0" w:type="dxa"/>
              <w:right w:w="86" w:type="dxa"/>
            </w:tcMar>
            <w:hideMark/>
          </w:tcPr>
          <w:p w14:paraId="4681E2EE" w14:textId="77777777" w:rsidR="00A16BE8" w:rsidRPr="005D4222" w:rsidRDefault="00A16BE8">
            <w:pPr>
              <w:pStyle w:val="ECDSMarginHead"/>
              <w:rPr>
                <w:rFonts w:eastAsia="Arial"/>
              </w:rPr>
            </w:pPr>
            <w:r w:rsidRPr="005D4222">
              <w:rPr>
                <w:rFonts w:eastAsia="Arial"/>
              </w:rPr>
              <w:t>Copyright and disclaimer notice</w:t>
            </w:r>
          </w:p>
        </w:tc>
        <w:tc>
          <w:tcPr>
            <w:tcW w:w="7559" w:type="dxa"/>
            <w:gridSpan w:val="3"/>
            <w:tcMar>
              <w:top w:w="0" w:type="dxa"/>
              <w:left w:w="86" w:type="dxa"/>
              <w:bottom w:w="0" w:type="dxa"/>
              <w:right w:w="86" w:type="dxa"/>
            </w:tcMar>
          </w:tcPr>
          <w:p w14:paraId="7FEB9BAD" w14:textId="77777777" w:rsidR="00A16BE8" w:rsidRPr="005D4222" w:rsidRDefault="00A16BE8">
            <w:pPr>
              <w:pStyle w:val="ECDSBody"/>
              <w:rPr>
                <w:rFonts w:ascii="Arial Bold" w:hAnsi="Arial Bold" w:cs="Segoe UI"/>
                <w:b/>
                <w:szCs w:val="18"/>
              </w:rPr>
            </w:pPr>
            <w:r w:rsidRPr="005D4222">
              <w:t>Refer to the complete copyright and disclaimer information at the front of this publication.  </w:t>
            </w:r>
          </w:p>
          <w:p w14:paraId="0CC0262D" w14:textId="77777777" w:rsidR="00A16BE8" w:rsidRPr="005D4222" w:rsidRDefault="00A16BE8">
            <w:pPr>
              <w:pStyle w:val="ECDSBody"/>
              <w:spacing w:before="80"/>
            </w:pPr>
            <w:r w:rsidRPr="005D4222">
              <w:t xml:space="preserve">NCQA website: </w:t>
            </w:r>
            <w:r w:rsidRPr="005D4222">
              <w:rPr>
                <w:u w:val="single"/>
              </w:rPr>
              <w:t>www.ncqa.org</w:t>
            </w:r>
            <w:r w:rsidRPr="005D4222">
              <w:t>.</w:t>
            </w:r>
          </w:p>
          <w:p w14:paraId="4285363C" w14:textId="77777777" w:rsidR="00A16BE8" w:rsidRPr="005D4222" w:rsidRDefault="00A16BE8">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A16BE8" w:rsidRPr="005D4222" w14:paraId="0EDF8B53" w14:textId="77777777">
        <w:trPr>
          <w:trHeight w:val="655"/>
        </w:trPr>
        <w:tc>
          <w:tcPr>
            <w:tcW w:w="2157" w:type="dxa"/>
            <w:shd w:val="clear" w:color="auto" w:fill="BFBFBF" w:themeFill="background1" w:themeFillShade="BF"/>
            <w:tcMar>
              <w:top w:w="0" w:type="dxa"/>
              <w:left w:w="86" w:type="dxa"/>
              <w:bottom w:w="0" w:type="dxa"/>
              <w:right w:w="86" w:type="dxa"/>
            </w:tcMar>
            <w:hideMark/>
          </w:tcPr>
          <w:p w14:paraId="0ACA7E8A" w14:textId="77777777" w:rsidR="00A16BE8" w:rsidRPr="005D4222" w:rsidRDefault="00A16BE8">
            <w:pPr>
              <w:pStyle w:val="ECDSMarginHead"/>
            </w:pPr>
            <w:r w:rsidRPr="005D4222">
              <w:t>Clinical recommendation statement/ rationale</w:t>
            </w:r>
          </w:p>
        </w:tc>
        <w:tc>
          <w:tcPr>
            <w:tcW w:w="7559" w:type="dxa"/>
            <w:gridSpan w:val="3"/>
            <w:tcMar>
              <w:top w:w="0" w:type="dxa"/>
              <w:left w:w="86" w:type="dxa"/>
              <w:bottom w:w="0" w:type="dxa"/>
              <w:right w:w="86" w:type="dxa"/>
            </w:tcMar>
          </w:tcPr>
          <w:p w14:paraId="156538C5" w14:textId="768DA476" w:rsidR="00A16BE8" w:rsidRPr="005D4222" w:rsidRDefault="00A16BE8">
            <w:pPr>
              <w:pStyle w:val="ECDSBody"/>
            </w:pPr>
            <w:r w:rsidRPr="005D4222">
              <w:t>Patients with multiple high-risk chronic conditions (MCC) often receive care from multiple providers and settings and are more likely to experience fragmented care and adverse health care outcomes, including an increased likelihood of ED visits. Poor care coordination following an ED visit for patients with MCC increase</w:t>
            </w:r>
            <w:r w:rsidR="00D84475" w:rsidRPr="005D4222">
              <w:t>s</w:t>
            </w:r>
            <w:r w:rsidRPr="005D4222">
              <w:t xml:space="preserve"> the risk of medication errors, repeat ED visits, hospitalizations, nursing home admissions and death. </w:t>
            </w:r>
          </w:p>
          <w:p w14:paraId="673F9FBA" w14:textId="77777777" w:rsidR="00A16BE8" w:rsidRPr="005D4222" w:rsidRDefault="00A16BE8">
            <w:pPr>
              <w:pStyle w:val="ECDSBody"/>
              <w:rPr>
                <w:szCs w:val="21"/>
              </w:rPr>
            </w:pPr>
            <w:r w:rsidRPr="005D4222">
              <w:rPr>
                <w:szCs w:val="21"/>
              </w:rPr>
              <w:t xml:space="preserve">Medicare beneficiaries with MCCs are some of the heaviest users of high-cost, preventable services such as those offered by the ED. </w:t>
            </w:r>
          </w:p>
        </w:tc>
      </w:tr>
      <w:tr w:rsidR="00A16BE8" w:rsidRPr="005D4222" w14:paraId="417B4098" w14:textId="77777777">
        <w:tc>
          <w:tcPr>
            <w:tcW w:w="2157" w:type="dxa"/>
            <w:shd w:val="clear" w:color="auto" w:fill="BFBFBF" w:themeFill="background1" w:themeFillShade="BF"/>
            <w:tcMar>
              <w:top w:w="0" w:type="dxa"/>
              <w:left w:w="86" w:type="dxa"/>
              <w:bottom w:w="0" w:type="dxa"/>
              <w:right w:w="86" w:type="dxa"/>
            </w:tcMar>
          </w:tcPr>
          <w:p w14:paraId="30F0A015" w14:textId="77777777" w:rsidR="00A16BE8" w:rsidRPr="005D4222" w:rsidRDefault="00A16BE8">
            <w:pPr>
              <w:pStyle w:val="ECDSMarginHead"/>
            </w:pPr>
            <w:r w:rsidRPr="005D4222">
              <w:t>Citations</w:t>
            </w:r>
          </w:p>
        </w:tc>
        <w:tc>
          <w:tcPr>
            <w:tcW w:w="7559" w:type="dxa"/>
            <w:gridSpan w:val="3"/>
            <w:tcMar>
              <w:top w:w="0" w:type="dxa"/>
              <w:left w:w="86" w:type="dxa"/>
              <w:bottom w:w="0" w:type="dxa"/>
              <w:right w:w="86" w:type="dxa"/>
            </w:tcMar>
          </w:tcPr>
          <w:p w14:paraId="1A3A108F" w14:textId="77777777" w:rsidR="00A16BE8" w:rsidRPr="005D4222" w:rsidRDefault="00A16BE8">
            <w:pPr>
              <w:pStyle w:val="ECDSBody"/>
              <w:rPr>
                <w:szCs w:val="21"/>
              </w:rPr>
            </w:pPr>
            <w:r w:rsidRPr="005D4222">
              <w:rPr>
                <w:szCs w:val="21"/>
              </w:rPr>
              <w:t>Agency for Healthcare Quality and Research (AHRQ). 2012. “Coordinating Care for Adults with Complex Care Needs in the Patient-Centered Medical Home: Challenges and Solutions.” https://pcmh.ahrq.gov/sites/default/files/attachments/coordinating-care-for-adults-with-complex-care-needs-white-paper.pdf</w:t>
            </w:r>
          </w:p>
          <w:p w14:paraId="409A0A00" w14:textId="77777777" w:rsidR="00A16BE8" w:rsidRPr="005D4222" w:rsidRDefault="00A16BE8">
            <w:pPr>
              <w:pStyle w:val="ECDSBody"/>
              <w:rPr>
                <w:szCs w:val="21"/>
              </w:rPr>
            </w:pPr>
            <w:r w:rsidRPr="005D4222">
              <w:rPr>
                <w:szCs w:val="21"/>
              </w:rPr>
              <w:t xml:space="preserve">Coleman, E.A., R.A. Berenson. 2004. “Lost in Transition: Challenges and Opportunities for Improving the Quality of Transitional Care.” </w:t>
            </w:r>
            <w:r w:rsidRPr="005D4222">
              <w:rPr>
                <w:i/>
                <w:iCs/>
                <w:szCs w:val="21"/>
              </w:rPr>
              <w:t xml:space="preserve">Annals of Internal Medicine </w:t>
            </w:r>
            <w:r w:rsidRPr="005D4222">
              <w:rPr>
                <w:szCs w:val="21"/>
              </w:rPr>
              <w:t>141(7).</w:t>
            </w:r>
          </w:p>
          <w:p w14:paraId="707E89D9" w14:textId="77777777" w:rsidR="00A16BE8" w:rsidRPr="005D4222" w:rsidRDefault="00A16BE8">
            <w:pPr>
              <w:pStyle w:val="ECDSBody"/>
              <w:rPr>
                <w:szCs w:val="21"/>
              </w:rPr>
            </w:pPr>
            <w:r w:rsidRPr="005D4222">
              <w:rPr>
                <w:szCs w:val="21"/>
              </w:rPr>
              <w:t xml:space="preserve">Dunnion, M.E., and B. Kelly. 2005. “From the Emergency Department to Home.” </w:t>
            </w:r>
            <w:r w:rsidRPr="005D4222">
              <w:rPr>
                <w:i/>
                <w:iCs/>
                <w:szCs w:val="21"/>
              </w:rPr>
              <w:t>Journal of Clinical Nursing</w:t>
            </w:r>
            <w:r w:rsidRPr="005D4222">
              <w:rPr>
                <w:szCs w:val="21"/>
              </w:rPr>
              <w:t xml:space="preserve"> 14(6), 776–85.</w:t>
            </w:r>
          </w:p>
        </w:tc>
      </w:tr>
      <w:tr w:rsidR="00A16BE8" w:rsidRPr="005D4222" w14:paraId="685C1496" w14:textId="77777777">
        <w:tc>
          <w:tcPr>
            <w:tcW w:w="9716" w:type="dxa"/>
            <w:gridSpan w:val="4"/>
            <w:tcBorders>
              <w:bottom w:val="single" w:sz="4" w:space="0" w:color="auto"/>
            </w:tcBorders>
            <w:shd w:val="clear" w:color="auto" w:fill="BFBFBF" w:themeFill="background1" w:themeFillShade="BF"/>
            <w:tcMar>
              <w:top w:w="0" w:type="dxa"/>
              <w:left w:w="86" w:type="dxa"/>
              <w:bottom w:w="0" w:type="dxa"/>
              <w:right w:w="86" w:type="dxa"/>
            </w:tcMar>
          </w:tcPr>
          <w:p w14:paraId="3069DD50" w14:textId="77777777" w:rsidR="00A16BE8" w:rsidRPr="005D4222" w:rsidRDefault="00A16BE8">
            <w:pPr>
              <w:pStyle w:val="ECDSMarginHead"/>
            </w:pPr>
            <w:r w:rsidRPr="005D4222">
              <w:t>Characteristics</w:t>
            </w:r>
          </w:p>
        </w:tc>
      </w:tr>
      <w:tr w:rsidR="00A16BE8" w:rsidRPr="005D4222" w14:paraId="0648047F" w14:textId="77777777">
        <w:tc>
          <w:tcPr>
            <w:tcW w:w="2157" w:type="dxa"/>
            <w:tcBorders>
              <w:top w:val="single" w:sz="4" w:space="0" w:color="auto"/>
              <w:left w:val="single" w:sz="4" w:space="0" w:color="auto"/>
              <w:bottom w:val="nil"/>
              <w:right w:val="single" w:sz="4" w:space="0" w:color="auto"/>
            </w:tcBorders>
            <w:tcMar>
              <w:top w:w="0" w:type="dxa"/>
              <w:left w:w="86" w:type="dxa"/>
              <w:bottom w:w="0" w:type="dxa"/>
              <w:right w:w="86" w:type="dxa"/>
            </w:tcMar>
          </w:tcPr>
          <w:p w14:paraId="2F8EA61F" w14:textId="77777777" w:rsidR="00A16BE8" w:rsidRPr="005D4222" w:rsidRDefault="00A16BE8">
            <w:pPr>
              <w:pStyle w:val="ECDSMarginSubhead"/>
            </w:pPr>
            <w:r w:rsidRPr="005D4222">
              <w:t>Scoring</w:t>
            </w:r>
          </w:p>
        </w:tc>
        <w:tc>
          <w:tcPr>
            <w:tcW w:w="7559" w:type="dxa"/>
            <w:gridSpan w:val="3"/>
            <w:tcBorders>
              <w:top w:val="single" w:sz="4" w:space="0" w:color="auto"/>
              <w:left w:val="single" w:sz="4" w:space="0" w:color="auto"/>
              <w:bottom w:val="nil"/>
              <w:right w:val="single" w:sz="4" w:space="0" w:color="auto"/>
            </w:tcBorders>
            <w:tcMar>
              <w:top w:w="0" w:type="dxa"/>
              <w:left w:w="86" w:type="dxa"/>
              <w:bottom w:w="0" w:type="dxa"/>
              <w:right w:w="86" w:type="dxa"/>
            </w:tcMar>
            <w:hideMark/>
          </w:tcPr>
          <w:p w14:paraId="0E87AEC2" w14:textId="77777777" w:rsidR="00A16BE8" w:rsidRPr="005D4222" w:rsidRDefault="00A16BE8">
            <w:pPr>
              <w:pStyle w:val="ECDSBody"/>
              <w:spacing w:after="0"/>
            </w:pPr>
            <w:r w:rsidRPr="005D4222">
              <w:t>Proportion.</w:t>
            </w:r>
          </w:p>
        </w:tc>
      </w:tr>
      <w:tr w:rsidR="00A16BE8" w:rsidRPr="005D4222" w14:paraId="44837E7B" w14:textId="77777777">
        <w:tc>
          <w:tcPr>
            <w:tcW w:w="2157" w:type="dxa"/>
            <w:tcBorders>
              <w:top w:val="nil"/>
              <w:left w:val="single" w:sz="4" w:space="0" w:color="auto"/>
              <w:bottom w:val="nil"/>
              <w:right w:val="single" w:sz="4" w:space="0" w:color="auto"/>
            </w:tcBorders>
            <w:tcMar>
              <w:top w:w="0" w:type="dxa"/>
              <w:left w:w="86" w:type="dxa"/>
              <w:bottom w:w="0" w:type="dxa"/>
              <w:right w:w="86" w:type="dxa"/>
            </w:tcMar>
          </w:tcPr>
          <w:p w14:paraId="13E14293" w14:textId="77777777" w:rsidR="00A16BE8" w:rsidRPr="005D4222" w:rsidRDefault="00A16BE8">
            <w:pPr>
              <w:pStyle w:val="ECDSMarginSubhead"/>
            </w:pPr>
            <w:r w:rsidRPr="005D4222">
              <w:t>Type</w:t>
            </w:r>
          </w:p>
        </w:tc>
        <w:tc>
          <w:tcPr>
            <w:tcW w:w="7559" w:type="dxa"/>
            <w:gridSpan w:val="3"/>
            <w:tcBorders>
              <w:top w:val="nil"/>
              <w:left w:val="single" w:sz="4" w:space="0" w:color="auto"/>
              <w:bottom w:val="nil"/>
              <w:right w:val="single" w:sz="4" w:space="0" w:color="auto"/>
            </w:tcBorders>
            <w:tcMar>
              <w:top w:w="0" w:type="dxa"/>
              <w:left w:w="86" w:type="dxa"/>
              <w:bottom w:w="0" w:type="dxa"/>
              <w:right w:w="86" w:type="dxa"/>
            </w:tcMar>
          </w:tcPr>
          <w:p w14:paraId="43C3AAFD" w14:textId="77777777" w:rsidR="00A16BE8" w:rsidRPr="005D4222" w:rsidRDefault="00A16BE8">
            <w:pPr>
              <w:pStyle w:val="ECDSBody"/>
              <w:spacing w:after="0"/>
            </w:pPr>
            <w:r w:rsidRPr="005D4222">
              <w:t>Process.</w:t>
            </w:r>
          </w:p>
        </w:tc>
      </w:tr>
      <w:tr w:rsidR="00A16BE8" w:rsidRPr="005D4222" w14:paraId="6A9274AE" w14:textId="77777777" w:rsidTr="00A16BE8">
        <w:tc>
          <w:tcPr>
            <w:tcW w:w="2157" w:type="dxa"/>
            <w:tcBorders>
              <w:top w:val="nil"/>
              <w:left w:val="single" w:sz="4" w:space="0" w:color="auto"/>
              <w:bottom w:val="nil"/>
              <w:right w:val="single" w:sz="4" w:space="0" w:color="auto"/>
            </w:tcBorders>
            <w:tcMar>
              <w:top w:w="0" w:type="dxa"/>
              <w:left w:w="86" w:type="dxa"/>
              <w:bottom w:w="0" w:type="dxa"/>
              <w:right w:w="86" w:type="dxa"/>
            </w:tcMar>
          </w:tcPr>
          <w:p w14:paraId="039814F8" w14:textId="32B53DCF" w:rsidR="00A16BE8" w:rsidRPr="005D4222" w:rsidRDefault="00B51CDC">
            <w:pPr>
              <w:pStyle w:val="ECDSMarginSubhead"/>
            </w:pPr>
            <w:r w:rsidRPr="005D4222">
              <w:t>Product lines</w:t>
            </w:r>
          </w:p>
        </w:tc>
        <w:tc>
          <w:tcPr>
            <w:tcW w:w="7559" w:type="dxa"/>
            <w:gridSpan w:val="3"/>
            <w:tcBorders>
              <w:top w:val="nil"/>
              <w:left w:val="single" w:sz="4" w:space="0" w:color="auto"/>
              <w:bottom w:val="nil"/>
              <w:right w:val="single" w:sz="4" w:space="0" w:color="auto"/>
            </w:tcBorders>
            <w:tcMar>
              <w:top w:w="0" w:type="dxa"/>
              <w:left w:w="86" w:type="dxa"/>
              <w:bottom w:w="0" w:type="dxa"/>
              <w:right w:w="86" w:type="dxa"/>
            </w:tcMar>
          </w:tcPr>
          <w:p w14:paraId="7C69313A" w14:textId="77777777" w:rsidR="00A16BE8" w:rsidRPr="005D4222" w:rsidRDefault="00A16BE8">
            <w:pPr>
              <w:pStyle w:val="ECDSBody"/>
              <w:spacing w:after="0"/>
            </w:pPr>
            <w:r w:rsidRPr="005D4222">
              <w:t>Medicare.</w:t>
            </w:r>
          </w:p>
        </w:tc>
      </w:tr>
      <w:tr w:rsidR="00A16BE8" w:rsidRPr="005D4222" w14:paraId="08C9A729" w14:textId="77777777" w:rsidTr="00A16BE8">
        <w:tc>
          <w:tcPr>
            <w:tcW w:w="2157" w:type="dxa"/>
            <w:tcBorders>
              <w:top w:val="nil"/>
              <w:left w:val="single" w:sz="4" w:space="0" w:color="auto"/>
              <w:bottom w:val="single" w:sz="4" w:space="0" w:color="auto"/>
              <w:right w:val="single" w:sz="4" w:space="0" w:color="auto"/>
            </w:tcBorders>
            <w:tcMar>
              <w:top w:w="0" w:type="dxa"/>
              <w:left w:w="86" w:type="dxa"/>
              <w:bottom w:w="0" w:type="dxa"/>
              <w:right w:w="86" w:type="dxa"/>
            </w:tcMar>
          </w:tcPr>
          <w:p w14:paraId="0F9325BC" w14:textId="1B4E7F99" w:rsidR="00A16BE8" w:rsidRPr="005D4222" w:rsidRDefault="00B51CDC">
            <w:pPr>
              <w:pStyle w:val="ECDSMarginSubhead"/>
            </w:pPr>
            <w:r w:rsidRPr="005D4222">
              <w:t>Stratifications</w:t>
            </w:r>
            <w:r w:rsidR="00A16BE8" w:rsidRPr="005D4222">
              <w:t xml:space="preserve"> </w:t>
            </w:r>
          </w:p>
        </w:tc>
        <w:tc>
          <w:tcPr>
            <w:tcW w:w="7559" w:type="dxa"/>
            <w:gridSpan w:val="3"/>
            <w:tcBorders>
              <w:top w:val="nil"/>
              <w:left w:val="single" w:sz="4" w:space="0" w:color="auto"/>
              <w:bottom w:val="single" w:sz="4" w:space="0" w:color="auto"/>
              <w:right w:val="single" w:sz="4" w:space="0" w:color="auto"/>
            </w:tcBorders>
            <w:tcMar>
              <w:top w:w="0" w:type="dxa"/>
              <w:left w:w="86" w:type="dxa"/>
              <w:bottom w:w="0" w:type="dxa"/>
              <w:right w:w="86" w:type="dxa"/>
            </w:tcMar>
            <w:hideMark/>
          </w:tcPr>
          <w:p w14:paraId="1B1B4DB4" w14:textId="77777777" w:rsidR="00A16BE8" w:rsidRPr="005D4222" w:rsidRDefault="00A16BE8">
            <w:pPr>
              <w:pStyle w:val="ECDSBody"/>
              <w:rPr>
                <w:i/>
              </w:rPr>
            </w:pPr>
            <w:r w:rsidRPr="005D4222">
              <w:t>Age as of the ED visit.</w:t>
            </w:r>
          </w:p>
          <w:p w14:paraId="0180B2E8" w14:textId="77777777" w:rsidR="00A16BE8" w:rsidRPr="005D4222" w:rsidRDefault="00A16BE8" w:rsidP="00A16BE8">
            <w:pPr>
              <w:pStyle w:val="Bullet"/>
              <w:numPr>
                <w:ilvl w:val="0"/>
                <w:numId w:val="4"/>
              </w:numPr>
              <w:tabs>
                <w:tab w:val="left" w:pos="360"/>
                <w:tab w:val="left" w:pos="576"/>
              </w:tabs>
              <w:ind w:left="576" w:hanging="216"/>
            </w:pPr>
            <w:r w:rsidRPr="005D4222">
              <w:t>18–64 years.</w:t>
            </w:r>
          </w:p>
          <w:p w14:paraId="415C30D1" w14:textId="77777777" w:rsidR="00A16BE8" w:rsidRPr="005D4222" w:rsidRDefault="00A16BE8" w:rsidP="00A16BE8">
            <w:pPr>
              <w:pStyle w:val="Bullet"/>
              <w:numPr>
                <w:ilvl w:val="0"/>
                <w:numId w:val="4"/>
              </w:numPr>
              <w:tabs>
                <w:tab w:val="left" w:pos="360"/>
                <w:tab w:val="left" w:pos="576"/>
              </w:tabs>
              <w:spacing w:after="80"/>
              <w:ind w:left="576" w:hanging="216"/>
            </w:pPr>
            <w:r w:rsidRPr="005D4222">
              <w:t>65 years and older.</w:t>
            </w:r>
          </w:p>
        </w:tc>
      </w:tr>
      <w:tr w:rsidR="00A16BE8" w:rsidRPr="005D4222" w14:paraId="73BF4E84" w14:textId="77777777" w:rsidTr="00A16BE8">
        <w:tc>
          <w:tcPr>
            <w:tcW w:w="2157" w:type="dxa"/>
            <w:tcBorders>
              <w:top w:val="single" w:sz="4" w:space="0" w:color="auto"/>
              <w:left w:val="single" w:sz="4" w:space="0" w:color="auto"/>
              <w:bottom w:val="nil"/>
              <w:right w:val="single" w:sz="4" w:space="0" w:color="auto"/>
            </w:tcBorders>
            <w:tcMar>
              <w:top w:w="0" w:type="dxa"/>
              <w:left w:w="86" w:type="dxa"/>
              <w:bottom w:w="0" w:type="dxa"/>
              <w:right w:w="86" w:type="dxa"/>
            </w:tcMar>
          </w:tcPr>
          <w:p w14:paraId="3B1E77AF" w14:textId="77777777" w:rsidR="00A16BE8" w:rsidRPr="005D4222" w:rsidRDefault="00A16BE8">
            <w:pPr>
              <w:pStyle w:val="ECDSMarginSubhead"/>
            </w:pPr>
            <w:r w:rsidRPr="005D4222">
              <w:lastRenderedPageBreak/>
              <w:t>Risk adjustment</w:t>
            </w:r>
          </w:p>
        </w:tc>
        <w:tc>
          <w:tcPr>
            <w:tcW w:w="7559" w:type="dxa"/>
            <w:gridSpan w:val="3"/>
            <w:tcBorders>
              <w:top w:val="single" w:sz="4" w:space="0" w:color="auto"/>
              <w:left w:val="single" w:sz="4" w:space="0" w:color="auto"/>
              <w:bottom w:val="nil"/>
              <w:right w:val="single" w:sz="4" w:space="0" w:color="auto"/>
            </w:tcBorders>
            <w:tcMar>
              <w:top w:w="0" w:type="dxa"/>
              <w:left w:w="86" w:type="dxa"/>
              <w:bottom w:w="0" w:type="dxa"/>
              <w:right w:w="86" w:type="dxa"/>
            </w:tcMar>
            <w:hideMark/>
          </w:tcPr>
          <w:p w14:paraId="1AE2395C" w14:textId="77777777" w:rsidR="00A16BE8" w:rsidRPr="005D4222" w:rsidRDefault="00A16BE8">
            <w:pPr>
              <w:pStyle w:val="ECDSBody"/>
              <w:spacing w:after="0"/>
            </w:pPr>
            <w:r w:rsidRPr="005D4222">
              <w:t>None.</w:t>
            </w:r>
          </w:p>
        </w:tc>
      </w:tr>
      <w:tr w:rsidR="00A16BE8" w:rsidRPr="005D4222" w14:paraId="4C56928C" w14:textId="77777777" w:rsidTr="00A16BE8">
        <w:tc>
          <w:tcPr>
            <w:tcW w:w="2157" w:type="dxa"/>
            <w:tcBorders>
              <w:top w:val="nil"/>
              <w:left w:val="single" w:sz="4" w:space="0" w:color="auto"/>
              <w:bottom w:val="nil"/>
              <w:right w:val="single" w:sz="4" w:space="0" w:color="auto"/>
            </w:tcBorders>
            <w:tcMar>
              <w:top w:w="0" w:type="dxa"/>
              <w:left w:w="86" w:type="dxa"/>
              <w:bottom w:w="0" w:type="dxa"/>
              <w:right w:w="86" w:type="dxa"/>
            </w:tcMar>
          </w:tcPr>
          <w:p w14:paraId="0D3424D4" w14:textId="77777777" w:rsidR="00A16BE8" w:rsidRPr="005D4222" w:rsidRDefault="00A16BE8" w:rsidP="00A16BE8">
            <w:pPr>
              <w:pStyle w:val="ECDSMarginSubhead"/>
              <w:spacing w:after="0"/>
            </w:pPr>
            <w:r w:rsidRPr="005D4222">
              <w:t>Improvement notation</w:t>
            </w:r>
          </w:p>
        </w:tc>
        <w:tc>
          <w:tcPr>
            <w:tcW w:w="7559" w:type="dxa"/>
            <w:gridSpan w:val="3"/>
            <w:tcBorders>
              <w:top w:val="nil"/>
              <w:left w:val="single" w:sz="4" w:space="0" w:color="auto"/>
              <w:bottom w:val="nil"/>
              <w:right w:val="single" w:sz="4" w:space="0" w:color="auto"/>
            </w:tcBorders>
            <w:tcMar>
              <w:top w:w="0" w:type="dxa"/>
              <w:left w:w="86" w:type="dxa"/>
              <w:bottom w:w="0" w:type="dxa"/>
              <w:right w:w="86" w:type="dxa"/>
            </w:tcMar>
            <w:hideMark/>
          </w:tcPr>
          <w:p w14:paraId="24758AB2" w14:textId="77777777" w:rsidR="00A16BE8" w:rsidRPr="005D4222" w:rsidRDefault="00A16BE8" w:rsidP="00A16BE8">
            <w:pPr>
              <w:pStyle w:val="ECDSBody"/>
              <w:spacing w:after="0"/>
            </w:pPr>
            <w:r w:rsidRPr="005D4222">
              <w:t>Increased score indicates improvement.</w:t>
            </w:r>
          </w:p>
        </w:tc>
      </w:tr>
      <w:tr w:rsidR="00A16BE8" w:rsidRPr="005D4222" w14:paraId="01775F97" w14:textId="77777777" w:rsidTr="00A16BE8">
        <w:trPr>
          <w:trHeight w:val="633"/>
        </w:trPr>
        <w:tc>
          <w:tcPr>
            <w:tcW w:w="2157" w:type="dxa"/>
            <w:tcBorders>
              <w:top w:val="nil"/>
              <w:left w:val="single" w:sz="4" w:space="0" w:color="auto"/>
              <w:bottom w:val="single" w:sz="4" w:space="0" w:color="auto"/>
              <w:right w:val="single" w:sz="4" w:space="0" w:color="auto"/>
            </w:tcBorders>
            <w:tcMar>
              <w:top w:w="0" w:type="dxa"/>
              <w:left w:w="86" w:type="dxa"/>
              <w:bottom w:w="0" w:type="dxa"/>
              <w:right w:w="86" w:type="dxa"/>
            </w:tcMar>
          </w:tcPr>
          <w:p w14:paraId="3040F46E" w14:textId="77777777" w:rsidR="00A16BE8" w:rsidRPr="005D4222" w:rsidRDefault="00A16BE8">
            <w:pPr>
              <w:pStyle w:val="ECDSMarginSubhead"/>
            </w:pPr>
            <w:r w:rsidRPr="005D4222">
              <w:t>Guidance</w:t>
            </w:r>
          </w:p>
        </w:tc>
        <w:tc>
          <w:tcPr>
            <w:tcW w:w="7559" w:type="dxa"/>
            <w:gridSpan w:val="3"/>
            <w:tcBorders>
              <w:top w:val="nil"/>
              <w:left w:val="single" w:sz="4" w:space="0" w:color="auto"/>
              <w:bottom w:val="single" w:sz="4" w:space="0" w:color="auto"/>
              <w:right w:val="single" w:sz="4" w:space="0" w:color="auto"/>
            </w:tcBorders>
            <w:tcMar>
              <w:top w:w="0" w:type="dxa"/>
              <w:left w:w="86" w:type="dxa"/>
              <w:bottom w:w="0" w:type="dxa"/>
              <w:right w:w="86" w:type="dxa"/>
            </w:tcMar>
          </w:tcPr>
          <w:p w14:paraId="46EDE532" w14:textId="4B707450" w:rsidR="00A16BE8" w:rsidRPr="005D4222" w:rsidRDefault="00A16BE8" w:rsidP="00A16BE8">
            <w:pPr>
              <w:pStyle w:val="ECDSBody"/>
            </w:pPr>
            <w:r w:rsidRPr="005D4222">
              <w:rPr>
                <w:b/>
              </w:rPr>
              <w:t>Data collection methodology:</w:t>
            </w:r>
            <w:r w:rsidRPr="005D4222">
              <w:t xml:space="preserve"> Administrative. Refer to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2F7E82B6" w14:textId="77777777" w:rsidR="00A16BE8" w:rsidRPr="005D4222" w:rsidRDefault="00A16BE8" w:rsidP="00A16BE8">
            <w:pPr>
              <w:pStyle w:val="ECDSBody"/>
              <w:rPr>
                <w:szCs w:val="21"/>
              </w:rPr>
            </w:pPr>
            <w:r w:rsidRPr="005D4222">
              <w:rPr>
                <w:b/>
              </w:rPr>
              <w:t>Date specificity:</w:t>
            </w:r>
            <w:r w:rsidRPr="005D4222">
              <w:t xml:space="preserve"> Dates must be specific enough to determine the event occurred in the period being measured.</w:t>
            </w:r>
          </w:p>
          <w:p w14:paraId="236947E7" w14:textId="77777777" w:rsidR="00A16BE8" w:rsidRPr="005D4222" w:rsidRDefault="00A16BE8" w:rsidP="00A16BE8">
            <w:pPr>
              <w:pStyle w:val="ECDSBody"/>
            </w:pPr>
            <w:r w:rsidRPr="005D4222">
              <w:rPr>
                <w:b/>
                <w:szCs w:val="21"/>
              </w:rPr>
              <w:t xml:space="preserve">Which services count? </w:t>
            </w:r>
            <w:r w:rsidRPr="005D4222">
              <w:t>When using claims, include all paid, suspended, pending and denied claims.</w:t>
            </w:r>
          </w:p>
          <w:p w14:paraId="18F81CD9" w14:textId="77777777" w:rsidR="00A16BE8" w:rsidRPr="005D4222" w:rsidRDefault="00A16BE8" w:rsidP="00A16BE8">
            <w:pPr>
              <w:pStyle w:val="ECDSBody"/>
            </w:pPr>
            <w:r w:rsidRPr="005D4222">
              <w:rPr>
                <w:b/>
              </w:rPr>
              <w:t xml:space="preserve">Other guidance: </w:t>
            </w:r>
            <w:r w:rsidRPr="005D4222">
              <w:t>The measure is based on episodes; therefore, it is possible for the denominator to include multiple events for the same person.</w:t>
            </w:r>
          </w:p>
        </w:tc>
      </w:tr>
      <w:tr w:rsidR="00A16BE8" w:rsidRPr="005D4222" w14:paraId="6E6FB939" w14:textId="77777777">
        <w:trPr>
          <w:trHeight w:val="320"/>
        </w:trPr>
        <w:tc>
          <w:tcPr>
            <w:tcW w:w="2157" w:type="dxa"/>
            <w:shd w:val="clear" w:color="auto" w:fill="BFBFBF" w:themeFill="background1" w:themeFillShade="BF"/>
            <w:tcMar>
              <w:top w:w="0" w:type="dxa"/>
              <w:left w:w="86" w:type="dxa"/>
              <w:bottom w:w="0" w:type="dxa"/>
              <w:right w:w="86" w:type="dxa"/>
            </w:tcMar>
          </w:tcPr>
          <w:p w14:paraId="5B9AE484" w14:textId="77777777" w:rsidR="00A16BE8" w:rsidRPr="005D4222" w:rsidRDefault="00A16BE8">
            <w:pPr>
              <w:pStyle w:val="ECDSMarginHead"/>
            </w:pPr>
            <w:r w:rsidRPr="005D4222">
              <w:t>Initial population</w:t>
            </w:r>
          </w:p>
        </w:tc>
        <w:tc>
          <w:tcPr>
            <w:tcW w:w="7559" w:type="dxa"/>
            <w:gridSpan w:val="3"/>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tcPr>
          <w:p w14:paraId="603D92CA" w14:textId="77777777" w:rsidR="00A16BE8" w:rsidRPr="005D4222" w:rsidRDefault="00A16BE8">
            <w:pPr>
              <w:pStyle w:val="ECDSBody"/>
            </w:pPr>
            <w:r w:rsidRPr="005D4222">
              <w:rPr>
                <w:i/>
                <w:iCs/>
              </w:rPr>
              <w:t xml:space="preserve">Measure item count: </w:t>
            </w:r>
            <w:r w:rsidRPr="005D4222">
              <w:t xml:space="preserve">Episode. </w:t>
            </w:r>
          </w:p>
          <w:p w14:paraId="353537D5" w14:textId="77777777" w:rsidR="00A16BE8" w:rsidRPr="005D4222" w:rsidRDefault="00A16BE8">
            <w:pPr>
              <w:pStyle w:val="ECDSBody"/>
            </w:pPr>
            <w:r w:rsidRPr="005D4222">
              <w:rPr>
                <w:i/>
                <w:iCs/>
              </w:rPr>
              <w:t xml:space="preserve">Attribution basis: </w:t>
            </w:r>
            <w:r w:rsidRPr="005D4222">
              <w:t>Enrollment.</w:t>
            </w:r>
          </w:p>
          <w:p w14:paraId="55ABC829" w14:textId="77777777" w:rsidR="00A16BE8" w:rsidRPr="005D4222" w:rsidRDefault="00A16BE8" w:rsidP="00A16BE8">
            <w:pPr>
              <w:pStyle w:val="Bullet"/>
              <w:numPr>
                <w:ilvl w:val="0"/>
                <w:numId w:val="4"/>
              </w:numPr>
              <w:tabs>
                <w:tab w:val="left" w:pos="360"/>
                <w:tab w:val="left" w:pos="576"/>
              </w:tabs>
              <w:ind w:left="576" w:hanging="216"/>
            </w:pPr>
            <w:r w:rsidRPr="005D4222">
              <w:rPr>
                <w:i/>
                <w:iCs/>
              </w:rPr>
              <w:t>Benefits:</w:t>
            </w:r>
            <w:r w:rsidRPr="005D4222">
              <w:t xml:space="preserve"> Medical. </w:t>
            </w:r>
          </w:p>
          <w:p w14:paraId="3A2AA84F" w14:textId="77777777" w:rsidR="00A16BE8" w:rsidRPr="005D4222" w:rsidRDefault="00A16BE8" w:rsidP="00A16BE8">
            <w:pPr>
              <w:pStyle w:val="Bullet"/>
              <w:numPr>
                <w:ilvl w:val="0"/>
                <w:numId w:val="4"/>
              </w:numPr>
              <w:tabs>
                <w:tab w:val="left" w:pos="360"/>
                <w:tab w:val="left" w:pos="576"/>
              </w:tabs>
              <w:ind w:left="576" w:hanging="216"/>
            </w:pPr>
            <w:r w:rsidRPr="005D4222">
              <w:rPr>
                <w:i/>
                <w:iCs/>
              </w:rPr>
              <w:t>Continuous enrollment:</w:t>
            </w:r>
            <w:r w:rsidRPr="005D4222">
              <w:t xml:space="preserve"> 365 days prior to the ED visit through 7 days after the ED visit.</w:t>
            </w:r>
          </w:p>
          <w:p w14:paraId="1187A942" w14:textId="77777777" w:rsidR="00A16BE8" w:rsidRPr="005D4222" w:rsidRDefault="00A16BE8" w:rsidP="00A16BE8">
            <w:pPr>
              <w:pStyle w:val="Bullet"/>
              <w:numPr>
                <w:ilvl w:val="0"/>
                <w:numId w:val="4"/>
              </w:numPr>
              <w:tabs>
                <w:tab w:val="left" w:pos="360"/>
                <w:tab w:val="left" w:pos="576"/>
              </w:tabs>
              <w:ind w:left="576" w:hanging="216"/>
            </w:pPr>
            <w:r w:rsidRPr="005D4222">
              <w:rPr>
                <w:i/>
                <w:iCs/>
              </w:rPr>
              <w:t>Allowable gap:</w:t>
            </w:r>
            <w:r w:rsidRPr="005D4222">
              <w:t xml:space="preserve"> No more than one gap of ≤45 days during the 365 days prior to the ED visit. No gaps on the date of the ED visit through the</w:t>
            </w:r>
            <w:r w:rsidRPr="005D4222">
              <w:br/>
              <w:t xml:space="preserve">7 days following the visit. </w:t>
            </w:r>
          </w:p>
          <w:p w14:paraId="1C74F231" w14:textId="77777777" w:rsidR="00A16BE8" w:rsidRPr="005D4222" w:rsidRDefault="00A16BE8">
            <w:pPr>
              <w:pStyle w:val="ECDSBody"/>
            </w:pPr>
            <w:r w:rsidRPr="005D4222">
              <w:rPr>
                <w:i/>
                <w:iCs/>
              </w:rPr>
              <w:t>Ages</w:t>
            </w:r>
            <w:r w:rsidRPr="005D4222">
              <w:t>: 18 years of age or older as of the ED visit.</w:t>
            </w:r>
          </w:p>
          <w:p w14:paraId="4D7BF188" w14:textId="77777777" w:rsidR="00A16BE8" w:rsidRPr="005D4222" w:rsidRDefault="00A16BE8">
            <w:pPr>
              <w:pStyle w:val="ECDSBody"/>
              <w:rPr>
                <w:b/>
              </w:rPr>
            </w:pPr>
            <w:r w:rsidRPr="005D4222">
              <w:rPr>
                <w:i/>
                <w:iCs/>
              </w:rPr>
              <w:t>Event:</w:t>
            </w:r>
            <w:r w:rsidRPr="005D4222">
              <w:t xml:space="preserve"> </w:t>
            </w:r>
            <w:r w:rsidRPr="005D4222">
              <w:rPr>
                <w:b/>
              </w:rPr>
              <w:t>ED visits for persons who have multiple high-risk chronic conditions.</w:t>
            </w:r>
          </w:p>
          <w:p w14:paraId="26EDBCEF" w14:textId="77777777" w:rsidR="00A16BE8" w:rsidRPr="005D4222" w:rsidRDefault="00A16BE8">
            <w:pPr>
              <w:pStyle w:val="ECDSBody"/>
            </w:pPr>
            <w:r w:rsidRPr="005D4222">
              <w:rPr>
                <w:b/>
              </w:rPr>
              <w:t>Step 1.</w:t>
            </w:r>
            <w:r w:rsidRPr="005D4222">
              <w:rPr>
                <w:b/>
                <w:i/>
                <w:iCs/>
              </w:rPr>
              <w:t xml:space="preserve"> </w:t>
            </w:r>
            <w:r w:rsidRPr="005D4222">
              <w:t>Identify all ED visits (</w:t>
            </w:r>
            <w:r w:rsidRPr="005D4222">
              <w:rPr>
                <w:u w:val="single"/>
              </w:rPr>
              <w:t>ED Value Set</w:t>
            </w:r>
            <w:r w:rsidRPr="005D4222">
              <w:t>) on or between January 1 and December 24 of the measurement period.</w:t>
            </w:r>
          </w:p>
          <w:p w14:paraId="0975DE17" w14:textId="77777777" w:rsidR="00A16BE8" w:rsidRPr="005D4222" w:rsidRDefault="00A16BE8">
            <w:pPr>
              <w:pStyle w:val="ECDSBody"/>
            </w:pPr>
            <w:r w:rsidRPr="005D4222">
              <w:rPr>
                <w:b/>
                <w:iCs/>
              </w:rPr>
              <w:t>Step 2.</w:t>
            </w:r>
            <w:r w:rsidRPr="005D4222">
              <w:t xml:space="preserve"> </w:t>
            </w:r>
            <w:r w:rsidRPr="005D4222">
              <w:rPr>
                <w:bCs w:val="0"/>
                <w:iCs/>
              </w:rPr>
              <w:t>Exclude ED visits that result in an inpatient stay.</w:t>
            </w:r>
            <w:r w:rsidRPr="005D4222">
              <w:rPr>
                <w:b/>
                <w:i/>
                <w:iCs/>
              </w:rPr>
              <w:t xml:space="preserve"> </w:t>
            </w:r>
            <w:r w:rsidRPr="005D4222">
              <w:t>Exclude ED visits followed by admission to an acute or nonacute inpatient care setting on the date of the ED visit or within 7 days after the ED visit.</w:t>
            </w:r>
          </w:p>
          <w:p w14:paraId="09D5D3DA" w14:textId="77777777" w:rsidR="00A16BE8" w:rsidRPr="005D4222" w:rsidRDefault="00A16BE8">
            <w:pPr>
              <w:pStyle w:val="ECDSBody"/>
            </w:pPr>
            <w:r w:rsidRPr="005D4222">
              <w:t>To identify admissions to an acute or nonacute inpatient care setting:</w:t>
            </w:r>
          </w:p>
          <w:p w14:paraId="6B2D0E36" w14:textId="77777777" w:rsidR="00A16BE8" w:rsidRPr="005D4222" w:rsidRDefault="00A16BE8" w:rsidP="005D6173">
            <w:pPr>
              <w:pStyle w:val="Body"/>
              <w:numPr>
                <w:ilvl w:val="0"/>
                <w:numId w:val="83"/>
              </w:numPr>
              <w:spacing w:before="60" w:after="60"/>
              <w:ind w:left="648" w:hanging="288"/>
              <w:rPr>
                <w:rFonts w:cs="Arial"/>
              </w:rPr>
            </w:pPr>
            <w:r w:rsidRPr="005D4222">
              <w:rPr>
                <w:rFonts w:cs="Arial"/>
              </w:rPr>
              <w:t xml:space="preserve">Identify all acute and nonacute inpatient stays </w:t>
            </w:r>
            <w:r w:rsidRPr="005D4222">
              <w:rPr>
                <w:rFonts w:eastAsia="Arial"/>
                <w:szCs w:val="21"/>
              </w:rPr>
              <w:t>(</w:t>
            </w:r>
            <w:r w:rsidRPr="005D4222">
              <w:rPr>
                <w:rFonts w:eastAsia="Arial"/>
                <w:szCs w:val="21"/>
                <w:u w:val="single"/>
              </w:rPr>
              <w:t>Inpatient Stay Value Set</w:t>
            </w:r>
            <w:r w:rsidRPr="005D4222">
              <w:rPr>
                <w:rFonts w:eastAsia="Arial"/>
                <w:szCs w:val="21"/>
              </w:rPr>
              <w:t>)</w:t>
            </w:r>
            <w:r w:rsidRPr="005D4222">
              <w:rPr>
                <w:rFonts w:cs="Arial"/>
              </w:rPr>
              <w:t>.</w:t>
            </w:r>
          </w:p>
          <w:p w14:paraId="3A871A6A" w14:textId="77777777" w:rsidR="00A16BE8" w:rsidRPr="005D4222" w:rsidRDefault="00A16BE8" w:rsidP="005D6173">
            <w:pPr>
              <w:pStyle w:val="Body"/>
              <w:numPr>
                <w:ilvl w:val="0"/>
                <w:numId w:val="83"/>
              </w:numPr>
              <w:spacing w:before="60" w:after="60"/>
              <w:ind w:left="648" w:hanging="288"/>
              <w:rPr>
                <w:rFonts w:cs="Arial"/>
              </w:rPr>
            </w:pPr>
            <w:r w:rsidRPr="005D4222">
              <w:rPr>
                <w:rFonts w:cs="Arial"/>
              </w:rPr>
              <w:t>Identify the admission date for the stay.</w:t>
            </w:r>
          </w:p>
          <w:p w14:paraId="6C0D2474" w14:textId="77777777" w:rsidR="00A16BE8" w:rsidRPr="005D4222" w:rsidRDefault="00A16BE8">
            <w:pPr>
              <w:pStyle w:val="ECDSBody"/>
            </w:pPr>
            <w:r w:rsidRPr="005D4222">
              <w:rPr>
                <w:b/>
              </w:rPr>
              <w:t>Step 3.</w:t>
            </w:r>
            <w:r w:rsidRPr="005D4222">
              <w:rPr>
                <w:b/>
                <w:i/>
                <w:iCs/>
              </w:rPr>
              <w:t xml:space="preserve"> </w:t>
            </w:r>
            <w:r w:rsidRPr="005D4222">
              <w:t>Identify ED visits where the person had a chronic condition prior to the ED visit.</w:t>
            </w:r>
          </w:p>
          <w:p w14:paraId="4F3C6F13" w14:textId="77777777" w:rsidR="00A16BE8" w:rsidRPr="005D4222" w:rsidRDefault="00A16BE8">
            <w:pPr>
              <w:pStyle w:val="ECDSBody"/>
            </w:pPr>
            <w:r w:rsidRPr="005D4222">
              <w:t>The following are eligible chronic condition diagnoses. Each bullet indicates an eligible chronic condition (for example, COPD and asthma are considered the same chronic condition):</w:t>
            </w:r>
          </w:p>
          <w:p w14:paraId="5C7E0C55" w14:textId="77777777" w:rsidR="00A16BE8" w:rsidRPr="005D4222" w:rsidRDefault="00A16BE8" w:rsidP="00A16BE8">
            <w:pPr>
              <w:pStyle w:val="Bullet"/>
              <w:numPr>
                <w:ilvl w:val="0"/>
                <w:numId w:val="4"/>
              </w:numPr>
              <w:tabs>
                <w:tab w:val="left" w:pos="360"/>
                <w:tab w:val="left" w:pos="576"/>
              </w:tabs>
              <w:ind w:left="576" w:hanging="216"/>
              <w:rPr>
                <w:szCs w:val="21"/>
              </w:rPr>
            </w:pPr>
            <w:r w:rsidRPr="005D4222">
              <w:rPr>
                <w:szCs w:val="21"/>
              </w:rPr>
              <w:t>COPD, asthma or unspecified bronchitis (</w:t>
            </w:r>
            <w:r w:rsidRPr="005D4222">
              <w:rPr>
                <w:szCs w:val="21"/>
                <w:u w:val="single"/>
              </w:rPr>
              <w:t>Asthma, COPD and Unspecified Bronchitis Value Set</w:t>
            </w:r>
            <w:r w:rsidRPr="005D4222">
              <w:rPr>
                <w:szCs w:val="21"/>
              </w:rPr>
              <w:t>).</w:t>
            </w:r>
          </w:p>
          <w:p w14:paraId="6AAC1050" w14:textId="77777777" w:rsidR="00A16BE8" w:rsidRPr="005D4222" w:rsidRDefault="00A16BE8" w:rsidP="00A16BE8">
            <w:pPr>
              <w:pStyle w:val="Bullet"/>
              <w:numPr>
                <w:ilvl w:val="0"/>
                <w:numId w:val="4"/>
              </w:numPr>
              <w:tabs>
                <w:tab w:val="left" w:pos="360"/>
                <w:tab w:val="left" w:pos="576"/>
              </w:tabs>
              <w:ind w:left="576" w:hanging="216"/>
              <w:rPr>
                <w:szCs w:val="21"/>
              </w:rPr>
            </w:pPr>
            <w:r w:rsidRPr="005D4222">
              <w:rPr>
                <w:szCs w:val="21"/>
              </w:rPr>
              <w:t>Alzheimer’s disease and related disorders (</w:t>
            </w:r>
            <w:r w:rsidRPr="005D4222">
              <w:rPr>
                <w:szCs w:val="21"/>
                <w:u w:val="single"/>
              </w:rPr>
              <w:t>Dementia Value Set</w:t>
            </w:r>
            <w:r w:rsidRPr="005D4222">
              <w:rPr>
                <w:szCs w:val="21"/>
              </w:rPr>
              <w:t xml:space="preserve">; </w:t>
            </w:r>
            <w:r w:rsidRPr="005D4222">
              <w:rPr>
                <w:szCs w:val="21"/>
                <w:u w:val="single"/>
              </w:rPr>
              <w:t>Frontotemporal Dementia Value Set</w:t>
            </w:r>
            <w:r w:rsidRPr="005D4222">
              <w:rPr>
                <w:szCs w:val="21"/>
              </w:rPr>
              <w:t>).</w:t>
            </w:r>
          </w:p>
          <w:p w14:paraId="4BA40564" w14:textId="5C6D93C4" w:rsidR="002F5EB4" w:rsidRPr="005D4222" w:rsidRDefault="00A16BE8" w:rsidP="002F5EB4">
            <w:pPr>
              <w:pStyle w:val="Bullet"/>
              <w:numPr>
                <w:ilvl w:val="0"/>
                <w:numId w:val="4"/>
              </w:numPr>
              <w:tabs>
                <w:tab w:val="left" w:pos="360"/>
                <w:tab w:val="left" w:pos="576"/>
              </w:tabs>
              <w:spacing w:after="80"/>
              <w:ind w:left="576" w:hanging="216"/>
              <w:rPr>
                <w:rFonts w:cs="Arial"/>
              </w:rPr>
            </w:pPr>
            <w:r w:rsidRPr="005D4222">
              <w:rPr>
                <w:szCs w:val="21"/>
              </w:rPr>
              <w:t>Chronic kidney disease (</w:t>
            </w:r>
            <w:r w:rsidRPr="005D4222">
              <w:rPr>
                <w:szCs w:val="21"/>
                <w:u w:val="single"/>
              </w:rPr>
              <w:t>Chronic Kidney Disease Value Set</w:t>
            </w:r>
            <w:r w:rsidRPr="005D4222">
              <w:rPr>
                <w:szCs w:val="21"/>
              </w:rPr>
              <w:t>).</w:t>
            </w:r>
          </w:p>
        </w:tc>
      </w:tr>
      <w:tr w:rsidR="00A16BE8" w:rsidRPr="005D4222" w14:paraId="3E77079D" w14:textId="77777777">
        <w:trPr>
          <w:trHeight w:val="320"/>
        </w:trPr>
        <w:tc>
          <w:tcPr>
            <w:tcW w:w="2157" w:type="dxa"/>
            <w:shd w:val="clear" w:color="auto" w:fill="BFBFBF" w:themeFill="background1" w:themeFillShade="BF"/>
            <w:tcMar>
              <w:top w:w="0" w:type="dxa"/>
              <w:left w:w="86" w:type="dxa"/>
              <w:bottom w:w="0" w:type="dxa"/>
              <w:right w:w="86" w:type="dxa"/>
            </w:tcMar>
          </w:tcPr>
          <w:p w14:paraId="4F21AF20" w14:textId="77777777" w:rsidR="00A16BE8" w:rsidRPr="005D4222" w:rsidRDefault="00A16BE8">
            <w:pPr>
              <w:pStyle w:val="ECDSMarginHead"/>
            </w:pPr>
          </w:p>
        </w:tc>
        <w:tc>
          <w:tcPr>
            <w:tcW w:w="7559" w:type="dxa"/>
            <w:gridSpan w:val="3"/>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tcPr>
          <w:p w14:paraId="790FAE1A" w14:textId="77777777" w:rsidR="002F5EB4" w:rsidRPr="005D4222" w:rsidRDefault="002F5EB4" w:rsidP="002F5EB4">
            <w:pPr>
              <w:pStyle w:val="Bullet"/>
              <w:numPr>
                <w:ilvl w:val="0"/>
                <w:numId w:val="4"/>
              </w:numPr>
              <w:tabs>
                <w:tab w:val="left" w:pos="360"/>
                <w:tab w:val="left" w:pos="576"/>
              </w:tabs>
              <w:ind w:left="576" w:hanging="216"/>
              <w:rPr>
                <w:szCs w:val="21"/>
              </w:rPr>
            </w:pPr>
            <w:r w:rsidRPr="005D4222">
              <w:rPr>
                <w:szCs w:val="21"/>
              </w:rPr>
              <w:t>Depression (</w:t>
            </w:r>
            <w:r w:rsidRPr="005D4222">
              <w:rPr>
                <w:szCs w:val="21"/>
                <w:u w:val="single"/>
              </w:rPr>
              <w:t>Major Depression Value Set</w:t>
            </w:r>
            <w:r w:rsidRPr="005D4222">
              <w:rPr>
                <w:szCs w:val="21"/>
              </w:rPr>
              <w:t xml:space="preserve">; </w:t>
            </w:r>
            <w:r w:rsidRPr="005D4222">
              <w:rPr>
                <w:szCs w:val="21"/>
                <w:u w:val="single"/>
              </w:rPr>
              <w:t>Dysthymic Disorder Value Set</w:t>
            </w:r>
            <w:r w:rsidRPr="005D4222">
              <w:rPr>
                <w:szCs w:val="21"/>
              </w:rPr>
              <w:t>).</w:t>
            </w:r>
          </w:p>
          <w:p w14:paraId="6997089D" w14:textId="77777777" w:rsidR="002F5EB4" w:rsidRPr="005D4222" w:rsidRDefault="002F5EB4" w:rsidP="002F5EB4">
            <w:pPr>
              <w:pStyle w:val="Bullet"/>
              <w:numPr>
                <w:ilvl w:val="0"/>
                <w:numId w:val="4"/>
              </w:numPr>
              <w:tabs>
                <w:tab w:val="left" w:pos="360"/>
                <w:tab w:val="left" w:pos="576"/>
              </w:tabs>
              <w:ind w:left="576" w:hanging="216"/>
              <w:rPr>
                <w:szCs w:val="21"/>
              </w:rPr>
            </w:pPr>
            <w:r w:rsidRPr="005D4222">
              <w:rPr>
                <w:szCs w:val="21"/>
              </w:rPr>
              <w:t>Heart failure (</w:t>
            </w:r>
            <w:r w:rsidRPr="005D4222">
              <w:rPr>
                <w:szCs w:val="21"/>
                <w:u w:val="single"/>
              </w:rPr>
              <w:t>Heart Failure and Cardiomyopathy Value Set</w:t>
            </w:r>
            <w:r w:rsidRPr="005D4222">
              <w:rPr>
                <w:szCs w:val="21"/>
              </w:rPr>
              <w:t>).</w:t>
            </w:r>
          </w:p>
          <w:p w14:paraId="623261E6" w14:textId="77777777" w:rsidR="002F5EB4" w:rsidRPr="005D4222" w:rsidRDefault="002F5EB4" w:rsidP="002F5EB4">
            <w:pPr>
              <w:pStyle w:val="Bullet"/>
              <w:numPr>
                <w:ilvl w:val="0"/>
                <w:numId w:val="4"/>
              </w:numPr>
              <w:tabs>
                <w:tab w:val="left" w:pos="360"/>
                <w:tab w:val="left" w:pos="576"/>
              </w:tabs>
              <w:ind w:left="576" w:hanging="216"/>
              <w:rPr>
                <w:szCs w:val="21"/>
              </w:rPr>
            </w:pPr>
            <w:r w:rsidRPr="005D4222">
              <w:rPr>
                <w:szCs w:val="21"/>
              </w:rPr>
              <w:t>Acute myocardial infarction (</w:t>
            </w:r>
            <w:r w:rsidRPr="005D4222">
              <w:rPr>
                <w:szCs w:val="21"/>
                <w:u w:val="single"/>
              </w:rPr>
              <w:t>MI Value Set</w:t>
            </w:r>
            <w:r w:rsidRPr="005D4222">
              <w:rPr>
                <w:szCs w:val="21"/>
              </w:rPr>
              <w:t xml:space="preserve">; </w:t>
            </w:r>
            <w:r w:rsidRPr="005D4222">
              <w:rPr>
                <w:szCs w:val="21"/>
                <w:u w:val="single"/>
              </w:rPr>
              <w:t>Old Myocardial Infarction Value Set</w:t>
            </w:r>
            <w:r w:rsidRPr="005D4222">
              <w:rPr>
                <w:szCs w:val="21"/>
              </w:rPr>
              <w:t>).</w:t>
            </w:r>
          </w:p>
          <w:p w14:paraId="41E29FDA" w14:textId="77777777" w:rsidR="002F5EB4" w:rsidRPr="005D4222" w:rsidRDefault="002F5EB4" w:rsidP="002F5EB4">
            <w:pPr>
              <w:pStyle w:val="Bullet"/>
              <w:numPr>
                <w:ilvl w:val="0"/>
                <w:numId w:val="4"/>
              </w:numPr>
              <w:tabs>
                <w:tab w:val="left" w:pos="360"/>
                <w:tab w:val="left" w:pos="576"/>
              </w:tabs>
              <w:spacing w:after="80"/>
              <w:ind w:left="576" w:hanging="216"/>
              <w:rPr>
                <w:rFonts w:cs="Arial"/>
              </w:rPr>
            </w:pPr>
            <w:r w:rsidRPr="005D4222">
              <w:rPr>
                <w:szCs w:val="21"/>
              </w:rPr>
              <w:t>Atrial fibrillation (</w:t>
            </w:r>
            <w:r w:rsidRPr="005D4222">
              <w:rPr>
                <w:szCs w:val="21"/>
                <w:u w:val="single"/>
              </w:rPr>
              <w:t>Atrial Fibrillation Value Set</w:t>
            </w:r>
            <w:r w:rsidRPr="005D4222">
              <w:rPr>
                <w:szCs w:val="21"/>
              </w:rPr>
              <w:t>).</w:t>
            </w:r>
          </w:p>
          <w:p w14:paraId="5A483C5C" w14:textId="77777777" w:rsidR="00A16BE8" w:rsidRPr="005D4222" w:rsidRDefault="00A16BE8" w:rsidP="00A16BE8">
            <w:pPr>
              <w:pStyle w:val="Bullet"/>
              <w:numPr>
                <w:ilvl w:val="0"/>
                <w:numId w:val="4"/>
              </w:numPr>
              <w:tabs>
                <w:tab w:val="left" w:pos="360"/>
                <w:tab w:val="left" w:pos="576"/>
              </w:tabs>
              <w:ind w:left="576" w:hanging="216"/>
              <w:rPr>
                <w:szCs w:val="21"/>
              </w:rPr>
            </w:pPr>
            <w:r w:rsidRPr="005D4222">
              <w:rPr>
                <w:szCs w:val="21"/>
              </w:rPr>
              <w:t>Stroke and transient ischemic attack (</w:t>
            </w:r>
            <w:r w:rsidRPr="005D4222">
              <w:rPr>
                <w:szCs w:val="21"/>
                <w:u w:val="single"/>
              </w:rPr>
              <w:t>Stroke Value Set</w:t>
            </w:r>
            <w:r w:rsidRPr="005D4222">
              <w:rPr>
                <w:szCs w:val="21"/>
              </w:rPr>
              <w:t>).</w:t>
            </w:r>
          </w:p>
          <w:p w14:paraId="2040782E" w14:textId="77777777" w:rsidR="00A16BE8" w:rsidRPr="005D4222" w:rsidRDefault="00A16BE8" w:rsidP="00A16BE8">
            <w:pPr>
              <w:pStyle w:val="Dash"/>
              <w:tabs>
                <w:tab w:val="left" w:pos="576"/>
                <w:tab w:val="left" w:pos="792"/>
              </w:tabs>
              <w:spacing w:after="0"/>
              <w:rPr>
                <w:rFonts w:eastAsia="Arial"/>
              </w:rPr>
            </w:pPr>
            <w:r w:rsidRPr="005D4222">
              <w:t xml:space="preserve">Remove any visit with a principal diagnosis of encounter for other specified aftercare (ICD-10-CM code Z51.89). </w:t>
            </w:r>
          </w:p>
          <w:p w14:paraId="644F3F9F" w14:textId="6BE45944" w:rsidR="00A16BE8" w:rsidRPr="005D4222" w:rsidRDefault="00A16BE8" w:rsidP="00A16BE8">
            <w:pPr>
              <w:pStyle w:val="Dash"/>
              <w:tabs>
                <w:tab w:val="left" w:pos="576"/>
                <w:tab w:val="left" w:pos="792"/>
              </w:tabs>
              <w:spacing w:after="0"/>
              <w:rPr>
                <w:rFonts w:eastAsia="Arial"/>
              </w:rPr>
            </w:pPr>
            <w:r w:rsidRPr="005D4222">
              <w:t>Remove any visit with any diagnosis of concussion with loss of consciousness or fracture of vault of skull, initial encounter (</w:t>
            </w:r>
            <w:r w:rsidRPr="005D4222">
              <w:rPr>
                <w:u w:val="single"/>
              </w:rPr>
              <w:t>Other Stroke Exclusions Value Set</w:t>
            </w:r>
            <w:r w:rsidRPr="005D4222">
              <w:t>)</w:t>
            </w:r>
            <w:r w:rsidR="00A54374" w:rsidRPr="005D4222">
              <w:t>.</w:t>
            </w:r>
          </w:p>
          <w:p w14:paraId="4F489878" w14:textId="77777777" w:rsidR="00A16BE8" w:rsidRPr="005D4222" w:rsidRDefault="00A16BE8">
            <w:pPr>
              <w:pStyle w:val="ECDSBody"/>
              <w:rPr>
                <w:rFonts w:eastAsia="Arial"/>
              </w:rPr>
            </w:pPr>
            <w:r w:rsidRPr="005D4222">
              <w:rPr>
                <w:rFonts w:eastAsia="Arial"/>
              </w:rPr>
              <w:t xml:space="preserve">Using the eligible chronic condition diagnoses above, identify persons who had any of the following during the measurement period or the year prior to the measurement period, but prior to the ED visit: </w:t>
            </w:r>
          </w:p>
          <w:p w14:paraId="2F0E080A" w14:textId="7EF74445" w:rsidR="00A16BE8" w:rsidRPr="005D4222" w:rsidRDefault="00A16BE8" w:rsidP="00A16BE8">
            <w:pPr>
              <w:pStyle w:val="Bullet"/>
              <w:numPr>
                <w:ilvl w:val="0"/>
                <w:numId w:val="4"/>
              </w:numPr>
              <w:tabs>
                <w:tab w:val="left" w:pos="360"/>
                <w:tab w:val="left" w:pos="576"/>
              </w:tabs>
              <w:spacing w:before="40"/>
              <w:ind w:left="576" w:hanging="216"/>
              <w:rPr>
                <w:i/>
                <w:iCs/>
                <w:szCs w:val="21"/>
              </w:rPr>
            </w:pPr>
            <w:r w:rsidRPr="005D4222">
              <w:rPr>
                <w:szCs w:val="21"/>
              </w:rPr>
              <w:t xml:space="preserve">At least two outpatient visits, ED visits, </w:t>
            </w:r>
            <w:r w:rsidRPr="005D4222">
              <w:t xml:space="preserve">telephone visits, e-visits, virtual check-ins or </w:t>
            </w:r>
            <w:r w:rsidRPr="005D4222">
              <w:rPr>
                <w:szCs w:val="21"/>
              </w:rPr>
              <w:t>nonacute inpatient encounters (</w:t>
            </w:r>
            <w:r w:rsidRPr="005D4222">
              <w:rPr>
                <w:szCs w:val="21"/>
                <w:u w:val="single"/>
              </w:rPr>
              <w:t>Outpatient, ED, Telehealth and Nonacute Inpatient Value Set</w:t>
            </w:r>
            <w:r w:rsidRPr="005D4222">
              <w:rPr>
                <w:szCs w:val="21"/>
              </w:rPr>
              <w:t>) or nonacute inpatient discharges (instructions below</w:t>
            </w:r>
            <w:r w:rsidRPr="005D4222">
              <w:t>; the diagnosis must be on the discharge claim)</w:t>
            </w:r>
            <w:r w:rsidRPr="005D4222">
              <w:rPr>
                <w:szCs w:val="21"/>
              </w:rPr>
              <w:t xml:space="preserve"> on different dates of service, with an eligible chronic condition. Visit type need not be the same for the two visits, but the visits must be for the same eligible chronic condition</w:t>
            </w:r>
            <w:r w:rsidRPr="005D4222">
              <w:rPr>
                <w:i/>
                <w:iCs/>
                <w:szCs w:val="21"/>
              </w:rPr>
              <w:t>.</w:t>
            </w:r>
            <w:r w:rsidRPr="005D4222">
              <w:rPr>
                <w:bCs/>
                <w:iCs/>
                <w:szCs w:val="21"/>
              </w:rPr>
              <w:t xml:space="preserve"> To identi</w:t>
            </w:r>
            <w:r w:rsidR="006F0839" w:rsidRPr="005D4222">
              <w:rPr>
                <w:bCs/>
                <w:iCs/>
                <w:szCs w:val="21"/>
              </w:rPr>
              <w:t>f</w:t>
            </w:r>
            <w:r w:rsidRPr="005D4222">
              <w:rPr>
                <w:bCs/>
                <w:iCs/>
                <w:szCs w:val="21"/>
              </w:rPr>
              <w:t>y a nonacute inpatient discharge:</w:t>
            </w:r>
          </w:p>
          <w:p w14:paraId="4857364F" w14:textId="77777777" w:rsidR="00A16BE8" w:rsidRPr="005D4222" w:rsidRDefault="00A16BE8">
            <w:pPr>
              <w:pStyle w:val="Body"/>
              <w:spacing w:before="60" w:after="60"/>
              <w:ind w:left="864" w:hanging="288"/>
              <w:rPr>
                <w:i/>
              </w:rPr>
            </w:pPr>
            <w:r w:rsidRPr="005D4222">
              <w:t>1.</w:t>
            </w:r>
            <w:r w:rsidRPr="005D4222">
              <w:tab/>
              <w:t>Identify all acute and nonacute inpatient stays (</w:t>
            </w:r>
            <w:r w:rsidRPr="005D4222">
              <w:rPr>
                <w:u w:val="single"/>
              </w:rPr>
              <w:t>Inpatient Stay Value Set</w:t>
            </w:r>
            <w:r w:rsidRPr="005D4222">
              <w:t>).</w:t>
            </w:r>
          </w:p>
          <w:p w14:paraId="54CB43E6" w14:textId="77777777" w:rsidR="00A16BE8" w:rsidRPr="005D4222" w:rsidRDefault="00A16BE8">
            <w:pPr>
              <w:pStyle w:val="Body"/>
              <w:spacing w:before="60" w:after="60"/>
              <w:ind w:left="864" w:hanging="288"/>
              <w:rPr>
                <w:i/>
              </w:rPr>
            </w:pPr>
            <w:r w:rsidRPr="005D4222">
              <w:t>2.</w:t>
            </w:r>
            <w:r w:rsidRPr="005D4222">
              <w:tab/>
              <w:t>Confirm the stay was for nonacute care based on the presence of a nonacute code (</w:t>
            </w:r>
            <w:r w:rsidRPr="005D4222">
              <w:rPr>
                <w:u w:val="single"/>
              </w:rPr>
              <w:t>Nonacute Inpatient Stay Value Set</w:t>
            </w:r>
            <w:r w:rsidRPr="005D4222">
              <w:t xml:space="preserve">) on the claim. </w:t>
            </w:r>
          </w:p>
          <w:p w14:paraId="14F8A82C" w14:textId="77777777" w:rsidR="00A16BE8" w:rsidRPr="005D4222" w:rsidRDefault="00A16BE8">
            <w:pPr>
              <w:pStyle w:val="Body"/>
              <w:spacing w:before="60" w:after="60"/>
              <w:ind w:left="864" w:hanging="288"/>
              <w:rPr>
                <w:i/>
              </w:rPr>
            </w:pPr>
            <w:r w:rsidRPr="005D4222">
              <w:t>3.</w:t>
            </w:r>
            <w:r w:rsidRPr="005D4222">
              <w:tab/>
              <w:t>Identify the discharge date for the stay.</w:t>
            </w:r>
          </w:p>
          <w:p w14:paraId="22585CC1" w14:textId="77777777" w:rsidR="00A16BE8" w:rsidRPr="005D4222" w:rsidRDefault="00A16BE8" w:rsidP="00A16BE8">
            <w:pPr>
              <w:pStyle w:val="Bullet"/>
              <w:numPr>
                <w:ilvl w:val="0"/>
                <w:numId w:val="4"/>
              </w:numPr>
              <w:tabs>
                <w:tab w:val="left" w:pos="360"/>
                <w:tab w:val="left" w:pos="576"/>
              </w:tabs>
              <w:ind w:left="576" w:hanging="216"/>
            </w:pPr>
            <w:r w:rsidRPr="005D4222">
              <w:t>At least one acute inpatient encounter (</w:t>
            </w:r>
            <w:r w:rsidRPr="005D4222">
              <w:rPr>
                <w:u w:val="single"/>
              </w:rPr>
              <w:t>Acute Inpatient Value Set</w:t>
            </w:r>
            <w:r w:rsidRPr="005D4222">
              <w:t>) with an eligible chronic condition.</w:t>
            </w:r>
          </w:p>
          <w:p w14:paraId="32EB1781" w14:textId="77777777" w:rsidR="00A16BE8" w:rsidRPr="005D4222" w:rsidRDefault="00A16BE8" w:rsidP="00A16BE8">
            <w:pPr>
              <w:pStyle w:val="Bullet"/>
              <w:numPr>
                <w:ilvl w:val="0"/>
                <w:numId w:val="4"/>
              </w:numPr>
              <w:tabs>
                <w:tab w:val="left" w:pos="360"/>
                <w:tab w:val="left" w:pos="576"/>
              </w:tabs>
              <w:ind w:left="576" w:hanging="216"/>
            </w:pPr>
            <w:r w:rsidRPr="005D4222">
              <w:t>At least one acute inpatient discharge with an eligible chronic condition on the discharge claim. To identify an acute inpatient discharge:</w:t>
            </w:r>
          </w:p>
          <w:p w14:paraId="7FF17CF6" w14:textId="77777777" w:rsidR="00A16BE8" w:rsidRPr="005D4222" w:rsidRDefault="00A16BE8">
            <w:pPr>
              <w:pStyle w:val="Body"/>
              <w:spacing w:before="60" w:after="60"/>
              <w:ind w:left="864" w:hanging="288"/>
              <w:rPr>
                <w:i/>
              </w:rPr>
            </w:pPr>
            <w:r w:rsidRPr="005D4222">
              <w:t>1.</w:t>
            </w:r>
            <w:r w:rsidRPr="005D4222">
              <w:tab/>
              <w:t>Identify all acute and nonacute inpatient stays (</w:t>
            </w:r>
            <w:r w:rsidRPr="005D4222">
              <w:rPr>
                <w:u w:val="single"/>
              </w:rPr>
              <w:t>Inpatient Stay Value Set</w:t>
            </w:r>
            <w:r w:rsidRPr="005D4222">
              <w:t>).</w:t>
            </w:r>
          </w:p>
          <w:p w14:paraId="6E53E60C" w14:textId="77777777" w:rsidR="00A16BE8" w:rsidRPr="005D4222" w:rsidRDefault="00A16BE8">
            <w:pPr>
              <w:pStyle w:val="Body"/>
              <w:spacing w:before="60" w:after="60"/>
              <w:ind w:left="864" w:hanging="288"/>
              <w:rPr>
                <w:i/>
              </w:rPr>
            </w:pPr>
            <w:r w:rsidRPr="005D4222">
              <w:t>2.</w:t>
            </w:r>
            <w:r w:rsidRPr="005D4222">
              <w:tab/>
              <w:t>Exclude nonacute inpatient stays (</w:t>
            </w:r>
            <w:r w:rsidRPr="005D4222">
              <w:rPr>
                <w:u w:val="single"/>
              </w:rPr>
              <w:t>Nonacute Inpatient Stay Value Set</w:t>
            </w:r>
            <w:r w:rsidRPr="005D4222">
              <w:t>).</w:t>
            </w:r>
          </w:p>
          <w:p w14:paraId="23AD3DCB" w14:textId="77777777" w:rsidR="00A16BE8" w:rsidRPr="005D4222" w:rsidRDefault="00A16BE8">
            <w:pPr>
              <w:pStyle w:val="Body"/>
              <w:spacing w:before="60" w:after="60"/>
              <w:ind w:left="864" w:hanging="288"/>
              <w:rPr>
                <w:i/>
              </w:rPr>
            </w:pPr>
            <w:r w:rsidRPr="005D4222">
              <w:t>3.</w:t>
            </w:r>
            <w:r w:rsidRPr="005D4222">
              <w:tab/>
              <w:t>Identify the discharge date for the stay.</w:t>
            </w:r>
          </w:p>
          <w:p w14:paraId="482849B8" w14:textId="77777777" w:rsidR="00A16BE8" w:rsidRPr="005D4222" w:rsidRDefault="00A16BE8" w:rsidP="002F5EB4">
            <w:pPr>
              <w:pStyle w:val="ECDSBody"/>
              <w:rPr>
                <w:rFonts w:eastAsia="Arial,Arial,Arial,Arial,Arial,A"/>
              </w:rPr>
            </w:pPr>
            <w:r w:rsidRPr="005D4222">
              <w:rPr>
                <w:rFonts w:eastAsia="Arial,Arial,Arial,Arial,Arial,A"/>
              </w:rPr>
              <w:t>For each ED visit, identify the total number of chronic conditions the person had prior to the ED visit.</w:t>
            </w:r>
          </w:p>
          <w:p w14:paraId="4CA101CB" w14:textId="77777777" w:rsidR="00A16BE8" w:rsidRPr="005D4222" w:rsidRDefault="00A16BE8" w:rsidP="002F5EB4">
            <w:pPr>
              <w:pStyle w:val="ECDSBody"/>
              <w:rPr>
                <w:rFonts w:eastAsia="Arial,Arial,Arial,Arial,Arial,A"/>
              </w:rPr>
            </w:pPr>
            <w:r w:rsidRPr="005D4222">
              <w:rPr>
                <w:rFonts w:eastAsia="Arial,Arial,Arial,Arial,Arial,A"/>
                <w:b/>
              </w:rPr>
              <w:t>Step 4.</w:t>
            </w:r>
            <w:r w:rsidRPr="005D4222">
              <w:rPr>
                <w:rFonts w:eastAsia="Arial,Arial,Arial,Arial,Arial,A"/>
              </w:rPr>
              <w:t xml:space="preserve"> Identify ED visits where the person had two or more different chronic conditions prior to the ED visit, that meet the criteria included in step 3. These are eligible ED visits.</w:t>
            </w:r>
          </w:p>
          <w:p w14:paraId="2C5470C5" w14:textId="3E118845" w:rsidR="002F5EB4" w:rsidRPr="005D4222" w:rsidRDefault="00A16BE8" w:rsidP="003B4904">
            <w:pPr>
              <w:pStyle w:val="ECDSBody"/>
              <w:rPr>
                <w:i/>
                <w:iCs/>
              </w:rPr>
            </w:pPr>
            <w:r w:rsidRPr="005D4222">
              <w:rPr>
                <w:rFonts w:eastAsia="Arial,Arial,Arial,Arial,Arial,A"/>
                <w:b/>
              </w:rPr>
              <w:t>Step 5</w:t>
            </w:r>
            <w:r w:rsidRPr="005D4222">
              <w:rPr>
                <w:rFonts w:eastAsia="Arial,Arial,Arial,Arial,Arial,A"/>
                <w:b/>
                <w:i/>
                <w:iCs/>
              </w:rPr>
              <w:t xml:space="preserve">. </w:t>
            </w:r>
            <w:r w:rsidRPr="005D4222">
              <w:rPr>
                <w:rFonts w:eastAsia="Arial,Arial,Arial,Arial,Arial,A"/>
              </w:rPr>
              <w:t xml:space="preserve">Only include the first ED visit with there are multiple visits in 8-day period. </w:t>
            </w:r>
            <w:r w:rsidRPr="005D4222">
              <w:t>If there is</w:t>
            </w:r>
            <w:r w:rsidR="009E4DC0" w:rsidRPr="005D4222">
              <w:rPr>
                <w:rFonts w:eastAsia="Arial,Arial,Arial,Arial,Arial,A"/>
              </w:rPr>
              <w:t xml:space="preserve"> </w:t>
            </w:r>
            <w:r w:rsidR="009E4DC0" w:rsidRPr="005D4222">
              <w:t xml:space="preserve">more than </w:t>
            </w:r>
            <w:r w:rsidRPr="005D4222">
              <w:t xml:space="preserve">one ED visit in an 8-day period, include only the first eligible ED visit. </w:t>
            </w:r>
          </w:p>
        </w:tc>
      </w:tr>
      <w:tr w:rsidR="002F5EB4" w:rsidRPr="005D4222" w14:paraId="37528616" w14:textId="77777777">
        <w:trPr>
          <w:trHeight w:val="320"/>
        </w:trPr>
        <w:tc>
          <w:tcPr>
            <w:tcW w:w="2157" w:type="dxa"/>
            <w:shd w:val="clear" w:color="auto" w:fill="BFBFBF" w:themeFill="background1" w:themeFillShade="BF"/>
            <w:tcMar>
              <w:top w:w="0" w:type="dxa"/>
              <w:left w:w="86" w:type="dxa"/>
              <w:bottom w:w="0" w:type="dxa"/>
              <w:right w:w="86" w:type="dxa"/>
            </w:tcMar>
          </w:tcPr>
          <w:p w14:paraId="479A6551" w14:textId="77777777" w:rsidR="002F5EB4" w:rsidRPr="005D4222" w:rsidRDefault="002F5EB4">
            <w:pPr>
              <w:pStyle w:val="ECDSMarginHead"/>
            </w:pPr>
          </w:p>
        </w:tc>
        <w:tc>
          <w:tcPr>
            <w:tcW w:w="7559" w:type="dxa"/>
            <w:gridSpan w:val="3"/>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tcPr>
          <w:p w14:paraId="092DA653" w14:textId="2ADCA36C" w:rsidR="002F5EB4" w:rsidRPr="005D4222" w:rsidRDefault="002F5EB4" w:rsidP="002F5EB4">
            <w:pPr>
              <w:pStyle w:val="Bullet"/>
              <w:numPr>
                <w:ilvl w:val="0"/>
                <w:numId w:val="4"/>
              </w:numPr>
              <w:tabs>
                <w:tab w:val="left" w:pos="360"/>
                <w:tab w:val="left" w:pos="576"/>
              </w:tabs>
              <w:spacing w:after="80"/>
              <w:ind w:left="576" w:hanging="216"/>
              <w:rPr>
                <w:szCs w:val="21"/>
              </w:rPr>
            </w:pPr>
            <w:r w:rsidRPr="005D4222">
              <w:rPr>
                <w:i/>
                <w:iCs/>
              </w:rPr>
              <w:t>For example,</w:t>
            </w:r>
            <w:r w:rsidRPr="005D4222">
              <w:t xml:space="preserve"> </w:t>
            </w:r>
            <w:r w:rsidRPr="005D4222" w:rsidDel="007E7F56">
              <w:t xml:space="preserve">for </w:t>
            </w:r>
            <w:r w:rsidRPr="005D4222">
              <w:t xml:space="preserve">an eligible ED visit on January 1, include </w:t>
            </w:r>
            <w:r w:rsidRPr="005D4222" w:rsidDel="007E7F56">
              <w:t>the January 1</w:t>
            </w:r>
            <w:r w:rsidRPr="005D4222">
              <w:t xml:space="preserve"> visit and do not include ED visits that occur on or between January 2 and January 8. Then, if applicable, include the next eligible ED visit that occurs on or after January 9. Identify visits chronologically, including only one visit per 8-day period.</w:t>
            </w:r>
          </w:p>
        </w:tc>
      </w:tr>
      <w:tr w:rsidR="00A16BE8" w:rsidRPr="005D4222" w14:paraId="36661C1A" w14:textId="77777777">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0" w:type="dxa"/>
              <w:right w:w="86" w:type="dxa"/>
            </w:tcMar>
          </w:tcPr>
          <w:p w14:paraId="776BE7E6" w14:textId="77777777" w:rsidR="00A16BE8" w:rsidRPr="005D4222" w:rsidRDefault="00A16BE8">
            <w:pPr>
              <w:pStyle w:val="ECDSMarginHead"/>
            </w:pPr>
            <w:r w:rsidRPr="005D4222">
              <w:t xml:space="preserve">Denominator exclusions </w:t>
            </w:r>
          </w:p>
        </w:tc>
        <w:tc>
          <w:tcPr>
            <w:tcW w:w="7559" w:type="dxa"/>
            <w:gridSpan w:val="3"/>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vAlign w:val="center"/>
          </w:tcPr>
          <w:p w14:paraId="01AC68E8" w14:textId="77777777" w:rsidR="00A16BE8" w:rsidRPr="005D4222" w:rsidRDefault="00A16BE8">
            <w:pPr>
              <w:pStyle w:val="ECDSBody"/>
            </w:pPr>
            <w:r w:rsidRPr="005D4222">
              <w:rPr>
                <w:b/>
              </w:rPr>
              <w:t xml:space="preserve">Persons with a date of death. </w:t>
            </w:r>
            <w:r w:rsidRPr="005D4222">
              <w:rPr>
                <w:b/>
              </w:rPr>
              <w:br/>
            </w:r>
            <w:r w:rsidRPr="005D4222">
              <w:t>Death in the measurement period, identified using data sources determined by the organization. Method and data sources are subject to review during the HEDIS audit.  </w:t>
            </w:r>
          </w:p>
          <w:p w14:paraId="4E41339E" w14:textId="77777777" w:rsidR="00A16BE8" w:rsidRPr="005D4222" w:rsidRDefault="00A16BE8">
            <w:pPr>
              <w:pStyle w:val="ECDSBody"/>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A16BE8" w:rsidRPr="005D4222" w14:paraId="5A291CBC" w14:textId="77777777">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0" w:type="dxa"/>
              <w:right w:w="86" w:type="dxa"/>
            </w:tcMar>
          </w:tcPr>
          <w:p w14:paraId="0650EAEA" w14:textId="77777777" w:rsidR="00A16BE8" w:rsidRPr="005D4222" w:rsidRDefault="00A16BE8">
            <w:pPr>
              <w:pStyle w:val="ECDSMarginHead"/>
            </w:pPr>
            <w:r w:rsidRPr="005D4222">
              <w:t>Denominator</w:t>
            </w:r>
          </w:p>
        </w:tc>
        <w:tc>
          <w:tcPr>
            <w:tcW w:w="7559" w:type="dxa"/>
            <w:gridSpan w:val="3"/>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tcPr>
          <w:p w14:paraId="6950C1D6" w14:textId="77777777" w:rsidR="00A16BE8" w:rsidRPr="005D4222" w:rsidRDefault="00A16BE8">
            <w:pPr>
              <w:pStyle w:val="ECDSBody"/>
              <w:rPr>
                <w:b/>
              </w:rPr>
            </w:pPr>
            <w:r w:rsidRPr="005D4222">
              <w:rPr>
                <w:rFonts w:eastAsia="Arial,Arial,Arial,Arial,Arial,A"/>
              </w:rPr>
              <w:t>The initial population minus denominator exclusions.</w:t>
            </w:r>
          </w:p>
        </w:tc>
      </w:tr>
      <w:tr w:rsidR="00A16BE8" w:rsidRPr="005D4222" w14:paraId="49B3CB8C" w14:textId="77777777">
        <w:trPr>
          <w:trHeight w:val="503"/>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0" w:type="dxa"/>
              <w:right w:w="86" w:type="dxa"/>
            </w:tcMar>
          </w:tcPr>
          <w:p w14:paraId="76404B02" w14:textId="77777777" w:rsidR="00A16BE8" w:rsidRPr="005D4222" w:rsidRDefault="00A16BE8">
            <w:pPr>
              <w:pStyle w:val="ECDSMarginHead"/>
            </w:pPr>
            <w:r w:rsidRPr="005D4222">
              <w:t>Numerator</w:t>
            </w:r>
          </w:p>
        </w:tc>
        <w:tc>
          <w:tcPr>
            <w:tcW w:w="7559" w:type="dxa"/>
            <w:gridSpan w:val="3"/>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vAlign w:val="center"/>
          </w:tcPr>
          <w:p w14:paraId="1B8A8F74" w14:textId="77777777" w:rsidR="00A16BE8" w:rsidRPr="005D4222" w:rsidRDefault="00A16BE8">
            <w:pPr>
              <w:pStyle w:val="ECDSBody"/>
            </w:pPr>
            <w:r w:rsidRPr="005D4222">
              <w:rPr>
                <w:b/>
                <w:bCs w:val="0"/>
              </w:rPr>
              <w:t xml:space="preserve">7-day follow-up. </w:t>
            </w:r>
            <w:r w:rsidRPr="005D4222">
              <w:rPr>
                <w:b/>
                <w:bCs w:val="0"/>
              </w:rPr>
              <w:br/>
            </w:r>
            <w:r w:rsidRPr="005D4222">
              <w:t>Include visits that occur on the date of the ED visit through 7 days after the ED visit (8 total days).</w:t>
            </w:r>
          </w:p>
          <w:p w14:paraId="2DAE1535" w14:textId="77777777" w:rsidR="00A16BE8" w:rsidRPr="005D4222" w:rsidRDefault="00A16BE8">
            <w:pPr>
              <w:pStyle w:val="ECDSBody"/>
            </w:pPr>
            <w:r w:rsidRPr="005D4222">
              <w:t>Any of the following meet criteria for a follow-up service.</w:t>
            </w:r>
          </w:p>
          <w:p w14:paraId="0A705159" w14:textId="77777777" w:rsidR="00A16BE8" w:rsidRPr="005D4222" w:rsidRDefault="00A16BE8" w:rsidP="00A16BE8">
            <w:pPr>
              <w:pStyle w:val="Bullet"/>
              <w:numPr>
                <w:ilvl w:val="0"/>
                <w:numId w:val="4"/>
              </w:numPr>
              <w:tabs>
                <w:tab w:val="left" w:pos="360"/>
                <w:tab w:val="left" w:pos="576"/>
              </w:tabs>
              <w:ind w:left="576" w:hanging="216"/>
              <w:rPr>
                <w:rFonts w:eastAsia="Arial"/>
              </w:rPr>
            </w:pPr>
            <w:r w:rsidRPr="005D4222">
              <w:t>An outpatient visit, telephone visit, e-visit or virtual check-in (</w:t>
            </w:r>
            <w:r w:rsidRPr="005D4222">
              <w:rPr>
                <w:u w:val="single"/>
              </w:rPr>
              <w:t>Outpatient and Telehealth Value Set</w:t>
            </w:r>
            <w:r w:rsidRPr="005D4222">
              <w:t>).</w:t>
            </w:r>
          </w:p>
          <w:p w14:paraId="11ED7490" w14:textId="77777777" w:rsidR="00A16BE8" w:rsidRPr="005D4222" w:rsidRDefault="00A16BE8" w:rsidP="00A16BE8">
            <w:pPr>
              <w:pStyle w:val="Bullet"/>
              <w:numPr>
                <w:ilvl w:val="0"/>
                <w:numId w:val="4"/>
              </w:numPr>
              <w:tabs>
                <w:tab w:val="left" w:pos="360"/>
                <w:tab w:val="left" w:pos="576"/>
              </w:tabs>
              <w:ind w:left="576" w:hanging="216"/>
              <w:rPr>
                <w:rFonts w:eastAsia="Arial"/>
              </w:rPr>
            </w:pPr>
            <w:r w:rsidRPr="005D4222">
              <w:rPr>
                <w:rFonts w:eastAsia="Arial,SymbolMT"/>
              </w:rPr>
              <w:t>Transitional care management services (</w:t>
            </w:r>
            <w:r w:rsidRPr="005D4222">
              <w:rPr>
                <w:rFonts w:eastAsia="Arial,SymbolMT"/>
                <w:u w:val="single"/>
              </w:rPr>
              <w:t>Transitional Care Management Services Value Set</w:t>
            </w:r>
            <w:r w:rsidRPr="005D4222">
              <w:rPr>
                <w:rFonts w:eastAsia="Arial,SymbolMT"/>
              </w:rPr>
              <w:t>).</w:t>
            </w:r>
          </w:p>
          <w:p w14:paraId="5D9D78C0" w14:textId="77777777" w:rsidR="00A16BE8" w:rsidRPr="005D4222" w:rsidRDefault="00A16BE8" w:rsidP="00A16BE8">
            <w:pPr>
              <w:pStyle w:val="Bullet"/>
              <w:numPr>
                <w:ilvl w:val="0"/>
                <w:numId w:val="4"/>
              </w:numPr>
              <w:tabs>
                <w:tab w:val="left" w:pos="360"/>
                <w:tab w:val="left" w:pos="576"/>
              </w:tabs>
              <w:ind w:left="576" w:hanging="216"/>
              <w:rPr>
                <w:rFonts w:eastAsia="Arial"/>
              </w:rPr>
            </w:pPr>
            <w:r w:rsidRPr="005D4222">
              <w:rPr>
                <w:rFonts w:eastAsia="Arial,SymbolMT"/>
              </w:rPr>
              <w:t>Case management visits (</w:t>
            </w:r>
            <w:r w:rsidRPr="005D4222">
              <w:rPr>
                <w:rFonts w:eastAsia="Arial,SymbolMT"/>
                <w:u w:val="single"/>
              </w:rPr>
              <w:t>Case Management Encounter Value Set</w:t>
            </w:r>
            <w:r w:rsidRPr="005D4222">
              <w:rPr>
                <w:rFonts w:eastAsia="Arial,SymbolMT"/>
              </w:rPr>
              <w:t xml:space="preserve">). </w:t>
            </w:r>
          </w:p>
          <w:p w14:paraId="7D2E3FAE" w14:textId="77777777" w:rsidR="00A16BE8" w:rsidRPr="005D4222" w:rsidRDefault="00A16BE8" w:rsidP="00A16BE8">
            <w:pPr>
              <w:pStyle w:val="Bullet"/>
              <w:numPr>
                <w:ilvl w:val="0"/>
                <w:numId w:val="4"/>
              </w:numPr>
              <w:tabs>
                <w:tab w:val="left" w:pos="360"/>
                <w:tab w:val="left" w:pos="576"/>
              </w:tabs>
              <w:ind w:left="576" w:hanging="216"/>
            </w:pPr>
            <w:r w:rsidRPr="005D4222">
              <w:rPr>
                <w:rFonts w:eastAsia="Arial,SymbolMT"/>
              </w:rPr>
              <w:t>Complex Care Management Services (</w:t>
            </w:r>
            <w:r w:rsidRPr="005D4222">
              <w:rPr>
                <w:rFonts w:eastAsia="Arial,SymbolMT"/>
                <w:u w:val="single"/>
              </w:rPr>
              <w:t>Complex Care Management Services Value Set</w:t>
            </w:r>
            <w:r w:rsidRPr="005D4222">
              <w:rPr>
                <w:rFonts w:eastAsia="Arial,SymbolMT"/>
              </w:rPr>
              <w:t>).</w:t>
            </w:r>
          </w:p>
          <w:p w14:paraId="724DDF8F" w14:textId="77777777" w:rsidR="00A16BE8" w:rsidRPr="005D4222" w:rsidRDefault="00A16BE8" w:rsidP="00A16BE8">
            <w:pPr>
              <w:pStyle w:val="Bullet"/>
              <w:numPr>
                <w:ilvl w:val="0"/>
                <w:numId w:val="4"/>
              </w:numPr>
              <w:tabs>
                <w:tab w:val="left" w:pos="360"/>
                <w:tab w:val="left" w:pos="576"/>
              </w:tabs>
              <w:ind w:left="576" w:hanging="216"/>
            </w:pPr>
            <w:r w:rsidRPr="005D4222">
              <w:t>An outpatient or telehealth behavioral health visit (</w:t>
            </w:r>
            <w:r w:rsidRPr="005D4222">
              <w:rPr>
                <w:u w:val="single"/>
              </w:rPr>
              <w:t>Visit Setting Unspecified Value Set</w:t>
            </w:r>
            <w:r w:rsidRPr="005D4222">
              <w:t xml:space="preserve"> </w:t>
            </w:r>
            <w:r w:rsidRPr="005D4222">
              <w:rPr>
                <w:b/>
                <w:bCs/>
                <w:i/>
                <w:iCs/>
              </w:rPr>
              <w:t>with</w:t>
            </w:r>
            <w:r w:rsidRPr="005D4222">
              <w:t xml:space="preserve"> </w:t>
            </w:r>
            <w:r w:rsidRPr="005D4222">
              <w:rPr>
                <w:u w:val="single"/>
              </w:rPr>
              <w:t>Outpatient POS Value Set</w:t>
            </w:r>
            <w:r w:rsidRPr="005D4222">
              <w:t>).</w:t>
            </w:r>
          </w:p>
          <w:p w14:paraId="308659C6" w14:textId="77777777" w:rsidR="00A16BE8" w:rsidRPr="005D4222" w:rsidRDefault="00A16BE8" w:rsidP="00A16BE8">
            <w:pPr>
              <w:pStyle w:val="Bullet"/>
              <w:numPr>
                <w:ilvl w:val="0"/>
                <w:numId w:val="4"/>
              </w:numPr>
              <w:tabs>
                <w:tab w:val="left" w:pos="360"/>
                <w:tab w:val="left" w:pos="576"/>
              </w:tabs>
              <w:ind w:left="576" w:hanging="216"/>
            </w:pPr>
            <w:r w:rsidRPr="005D4222">
              <w:t>An outpatient or telehealth behavioral health visit (</w:t>
            </w:r>
            <w:r w:rsidRPr="005D4222">
              <w:rPr>
                <w:u w:val="single"/>
              </w:rPr>
              <w:t>BH Outpatient Value Set</w:t>
            </w:r>
            <w:r w:rsidRPr="005D4222">
              <w:t>).</w:t>
            </w:r>
          </w:p>
          <w:p w14:paraId="2D2EDF44" w14:textId="77777777" w:rsidR="00A16BE8" w:rsidRPr="005D4222" w:rsidRDefault="00A16BE8" w:rsidP="00A16BE8">
            <w:pPr>
              <w:pStyle w:val="Bullet"/>
              <w:numPr>
                <w:ilvl w:val="0"/>
                <w:numId w:val="4"/>
              </w:numPr>
              <w:tabs>
                <w:tab w:val="left" w:pos="360"/>
                <w:tab w:val="left" w:pos="576"/>
              </w:tabs>
              <w:ind w:left="576" w:hanging="216"/>
            </w:pPr>
            <w:r w:rsidRPr="005D4222">
              <w:t>An intensive outpatient encounter or partial hospitalization (</w:t>
            </w:r>
            <w:r w:rsidRPr="005D4222">
              <w:rPr>
                <w:u w:val="single"/>
              </w:rPr>
              <w:t>Visit Setting Unspecified Value Set</w:t>
            </w:r>
            <w:r w:rsidRPr="005D4222">
              <w:t xml:space="preserve"> </w:t>
            </w:r>
            <w:r w:rsidRPr="005D4222">
              <w:rPr>
                <w:b/>
                <w:bCs/>
                <w:i/>
                <w:iCs/>
              </w:rPr>
              <w:t>with</w:t>
            </w:r>
            <w:r w:rsidRPr="005D4222">
              <w:t xml:space="preserve"> POS code 52).</w:t>
            </w:r>
          </w:p>
          <w:p w14:paraId="7A38017A" w14:textId="77777777" w:rsidR="00A16BE8" w:rsidRPr="005D4222" w:rsidRDefault="00A16BE8" w:rsidP="00A16BE8">
            <w:pPr>
              <w:pStyle w:val="Bullet"/>
              <w:numPr>
                <w:ilvl w:val="0"/>
                <w:numId w:val="4"/>
              </w:numPr>
              <w:tabs>
                <w:tab w:val="left" w:pos="360"/>
                <w:tab w:val="left" w:pos="576"/>
              </w:tabs>
              <w:ind w:left="576" w:hanging="216"/>
            </w:pPr>
            <w:r w:rsidRPr="005D4222">
              <w:t>An intensive outpatient encounter or partial hospitalization (</w:t>
            </w:r>
            <w:r w:rsidRPr="005D4222">
              <w:rPr>
                <w:u w:val="single"/>
              </w:rPr>
              <w:t>Partial Hospitalization or Intensive Outpatient Value Set)</w:t>
            </w:r>
            <w:r w:rsidRPr="005D4222">
              <w:t>.</w:t>
            </w:r>
          </w:p>
          <w:p w14:paraId="519D93FD" w14:textId="77777777" w:rsidR="00A16BE8" w:rsidRPr="005D4222" w:rsidRDefault="00A16BE8" w:rsidP="00A16BE8">
            <w:pPr>
              <w:pStyle w:val="Bullet"/>
              <w:numPr>
                <w:ilvl w:val="0"/>
                <w:numId w:val="4"/>
              </w:numPr>
              <w:tabs>
                <w:tab w:val="left" w:pos="360"/>
                <w:tab w:val="left" w:pos="576"/>
              </w:tabs>
              <w:ind w:left="576" w:hanging="216"/>
            </w:pPr>
            <w:r w:rsidRPr="005D4222">
              <w:t>A community mental health center visit (</w:t>
            </w:r>
            <w:r w:rsidRPr="005D4222">
              <w:rPr>
                <w:u w:val="single"/>
              </w:rPr>
              <w:t>Visit Setting Unspecified Value Set</w:t>
            </w:r>
            <w:r w:rsidRPr="005D4222">
              <w:t xml:space="preserve"> </w:t>
            </w:r>
            <w:r w:rsidRPr="005D4222">
              <w:rPr>
                <w:b/>
                <w:bCs/>
                <w:i/>
                <w:iCs/>
              </w:rPr>
              <w:t>with</w:t>
            </w:r>
            <w:r w:rsidRPr="005D4222">
              <w:t xml:space="preserve"> POS code 53).</w:t>
            </w:r>
          </w:p>
          <w:p w14:paraId="254335B1" w14:textId="77777777" w:rsidR="00A16BE8" w:rsidRPr="005D4222" w:rsidRDefault="00A16BE8" w:rsidP="00A16BE8">
            <w:pPr>
              <w:pStyle w:val="Bullet"/>
              <w:numPr>
                <w:ilvl w:val="0"/>
                <w:numId w:val="4"/>
              </w:numPr>
              <w:tabs>
                <w:tab w:val="left" w:pos="360"/>
                <w:tab w:val="left" w:pos="576"/>
              </w:tabs>
              <w:ind w:left="576" w:hanging="216"/>
            </w:pPr>
            <w:r w:rsidRPr="005D4222">
              <w:t>Electroconvulsive therapy (</w:t>
            </w:r>
            <w:r w:rsidRPr="005D4222">
              <w:rPr>
                <w:u w:val="single"/>
              </w:rPr>
              <w:t>Electroconvulsive Therapy Value Set</w:t>
            </w:r>
            <w:r w:rsidRPr="005D4222">
              <w:t xml:space="preserve">) </w:t>
            </w:r>
            <w:r w:rsidRPr="005D4222">
              <w:rPr>
                <w:b/>
                <w:bCs/>
                <w:i/>
                <w:iCs/>
              </w:rPr>
              <w:t>with</w:t>
            </w:r>
            <w:r w:rsidRPr="005D4222">
              <w:t xml:space="preserve"> (</w:t>
            </w:r>
            <w:r w:rsidRPr="005D4222">
              <w:rPr>
                <w:u w:val="single"/>
              </w:rPr>
              <w:t>Outpatient POS Value Set</w:t>
            </w:r>
            <w:r w:rsidRPr="005D4222">
              <w:t>; POS code 24; POS code 52; POS code 53).</w:t>
            </w:r>
          </w:p>
          <w:p w14:paraId="1E6F868B" w14:textId="77777777" w:rsidR="00A16BE8" w:rsidRPr="005D4222" w:rsidRDefault="00A16BE8" w:rsidP="00A16BE8">
            <w:pPr>
              <w:pStyle w:val="Bullet"/>
              <w:numPr>
                <w:ilvl w:val="0"/>
                <w:numId w:val="4"/>
              </w:numPr>
              <w:tabs>
                <w:tab w:val="left" w:pos="360"/>
                <w:tab w:val="left" w:pos="576"/>
              </w:tabs>
              <w:ind w:left="576" w:hanging="216"/>
            </w:pPr>
            <w:r w:rsidRPr="005D4222">
              <w:t>A telehealth visit (</w:t>
            </w:r>
            <w:r w:rsidRPr="005D4222">
              <w:rPr>
                <w:u w:val="single"/>
              </w:rPr>
              <w:t>Visit Setting Unspecified Value Set</w:t>
            </w:r>
            <w:r w:rsidRPr="005D4222">
              <w:t xml:space="preserve"> </w:t>
            </w:r>
            <w:r w:rsidRPr="005D4222">
              <w:rPr>
                <w:b/>
                <w:bCs/>
                <w:i/>
                <w:iCs/>
              </w:rPr>
              <w:t>with</w:t>
            </w:r>
            <w:r w:rsidRPr="005D4222">
              <w:t xml:space="preserve"> </w:t>
            </w:r>
            <w:r w:rsidRPr="005D4222">
              <w:rPr>
                <w:u w:val="single"/>
              </w:rPr>
              <w:t>Telehealth POS Value Set</w:t>
            </w:r>
            <w:r w:rsidRPr="005D4222">
              <w:t>).</w:t>
            </w:r>
          </w:p>
          <w:p w14:paraId="378941A9" w14:textId="77777777" w:rsidR="00A16BE8" w:rsidRPr="005D4222" w:rsidRDefault="00A16BE8" w:rsidP="00A16BE8">
            <w:pPr>
              <w:pStyle w:val="Bullet"/>
              <w:numPr>
                <w:ilvl w:val="0"/>
                <w:numId w:val="4"/>
              </w:numPr>
              <w:tabs>
                <w:tab w:val="left" w:pos="360"/>
                <w:tab w:val="left" w:pos="576"/>
              </w:tabs>
              <w:ind w:left="576" w:hanging="216"/>
            </w:pPr>
            <w:r w:rsidRPr="005D4222">
              <w:t>A substance use disorder service (</w:t>
            </w:r>
            <w:r w:rsidRPr="005D4222">
              <w:rPr>
                <w:u w:val="single"/>
              </w:rPr>
              <w:t>Substance Use Disorder Services Value Set</w:t>
            </w:r>
            <w:r w:rsidRPr="005D4222">
              <w:t>).</w:t>
            </w:r>
          </w:p>
          <w:p w14:paraId="27A8CEF5" w14:textId="77777777" w:rsidR="00A16BE8" w:rsidRPr="005D4222" w:rsidRDefault="00A16BE8" w:rsidP="002F5EB4">
            <w:pPr>
              <w:pStyle w:val="Bullet"/>
              <w:numPr>
                <w:ilvl w:val="0"/>
                <w:numId w:val="4"/>
              </w:numPr>
              <w:tabs>
                <w:tab w:val="left" w:pos="360"/>
                <w:tab w:val="left" w:pos="576"/>
              </w:tabs>
              <w:spacing w:after="80"/>
              <w:ind w:left="576" w:hanging="216"/>
              <w:rPr>
                <w:b/>
                <w:bCs/>
              </w:rPr>
            </w:pPr>
            <w:r w:rsidRPr="005D4222">
              <w:t>Substance use disorder counseling and surveillance (</w:t>
            </w:r>
            <w:r w:rsidRPr="005D4222">
              <w:rPr>
                <w:rFonts w:cs="Arial"/>
                <w:u w:val="single"/>
              </w:rPr>
              <w:t>Substance Abuse Counseling and Surveillance Value Set</w:t>
            </w:r>
            <w:r w:rsidRPr="005D4222">
              <w:rPr>
                <w:rFonts w:cs="Arial"/>
              </w:rPr>
              <w:t>*</w:t>
            </w:r>
            <w:r w:rsidRPr="005D4222">
              <w:t xml:space="preserve">). </w:t>
            </w:r>
          </w:p>
          <w:p w14:paraId="12184953" w14:textId="77777777" w:rsidR="00A16BE8" w:rsidRPr="005D4222" w:rsidRDefault="00A16BE8">
            <w:pPr>
              <w:pStyle w:val="ECDSBody"/>
              <w:spacing w:before="180" w:after="0"/>
              <w:rPr>
                <w:b/>
                <w:bCs w:val="0"/>
              </w:rPr>
            </w:pPr>
            <w:r w:rsidRPr="005D4222">
              <w:rPr>
                <w:b/>
                <w:bCs w:val="0"/>
              </w:rPr>
              <w:lastRenderedPageBreak/>
              <w:t>Coding Guidance</w:t>
            </w:r>
          </w:p>
          <w:p w14:paraId="48C1B118" w14:textId="77777777" w:rsidR="00A16BE8" w:rsidRPr="005D4222" w:rsidRDefault="00A16BE8">
            <w:pPr>
              <w:pStyle w:val="ECDSBody"/>
              <w:spacing w:before="0"/>
              <w:rPr>
                <w:kern w:val="24"/>
              </w:rPr>
            </w:pPr>
            <w:r w:rsidRPr="005D4222">
              <w:rPr>
                <w:rStyle w:val="ui-provider"/>
                <w:b/>
              </w:rPr>
              <w:t>*</w:t>
            </w:r>
            <w:r w:rsidRPr="005D4222">
              <w:rPr>
                <w:rStyle w:val="ui-provider"/>
              </w:rPr>
              <w:t>Do not include laboratory claims (claims with POS code 81).</w:t>
            </w:r>
          </w:p>
        </w:tc>
      </w:tr>
      <w:tr w:rsidR="00A16BE8" w:rsidRPr="005D4222" w14:paraId="5AE6D1D6"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0" w:type="dxa"/>
              <w:right w:w="86" w:type="dxa"/>
            </w:tcMar>
          </w:tcPr>
          <w:p w14:paraId="11948DEF" w14:textId="77777777" w:rsidR="00A16BE8" w:rsidRPr="005D4222" w:rsidRDefault="00A16BE8">
            <w:pPr>
              <w:pStyle w:val="ECDSMarginHead"/>
            </w:pPr>
            <w:r w:rsidRPr="005D4222">
              <w:lastRenderedPageBreak/>
              <w:t>Summary of changes</w:t>
            </w:r>
          </w:p>
        </w:tc>
        <w:tc>
          <w:tcPr>
            <w:tcW w:w="7559" w:type="dxa"/>
            <w:gridSpan w:val="3"/>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tcPr>
          <w:p w14:paraId="0B15B5A9" w14:textId="77777777" w:rsidR="00A16BE8" w:rsidRPr="005D4222" w:rsidRDefault="00A16BE8" w:rsidP="002F5EB4">
            <w:pPr>
              <w:pStyle w:val="ProcessBullet"/>
              <w:spacing w:before="120" w:after="80"/>
            </w:pPr>
            <w:r w:rsidRPr="005D4222">
              <w:t>Revised the allowable gap language to not allow a gap in enrollment on the date of the ED visit.</w:t>
            </w:r>
          </w:p>
        </w:tc>
      </w:tr>
      <w:tr w:rsidR="00A16BE8" w:rsidRPr="005D4222" w14:paraId="3ADE7F91" w14:textId="77777777" w:rsidTr="009606EC">
        <w:trPr>
          <w:trHeight w:val="3770"/>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0" w:type="dxa"/>
              <w:right w:w="86" w:type="dxa"/>
            </w:tcMar>
          </w:tcPr>
          <w:p w14:paraId="640CD67B" w14:textId="77777777" w:rsidR="00A16BE8" w:rsidRPr="005D4222" w:rsidRDefault="00A16BE8">
            <w:pPr>
              <w:pStyle w:val="ECDSMarginHead"/>
            </w:pPr>
            <w:r w:rsidRPr="005D4222">
              <w:t>Data element tables</w:t>
            </w:r>
          </w:p>
        </w:tc>
        <w:tc>
          <w:tcPr>
            <w:tcW w:w="7559" w:type="dxa"/>
            <w:gridSpan w:val="3"/>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tcPr>
          <w:p w14:paraId="5B8D216C" w14:textId="77777777" w:rsidR="00A16BE8" w:rsidRPr="005D4222" w:rsidRDefault="00A16BE8">
            <w:pPr>
              <w:pStyle w:val="Body"/>
            </w:pPr>
            <w:r w:rsidRPr="005D4222">
              <w:t>Organizations that submit HEDIS data to NCQA must provide the following data elements.</w:t>
            </w:r>
          </w:p>
          <w:p w14:paraId="504805EC" w14:textId="77777777" w:rsidR="00A16BE8" w:rsidRPr="005D4222" w:rsidRDefault="00A16BE8">
            <w:pPr>
              <w:pStyle w:val="Heading3"/>
              <w:spacing w:before="120"/>
            </w:pPr>
            <w:r w:rsidRPr="005D4222">
              <w:t>Table FMC-3: Data Elements for Follow-Up After Emergency Department Visit for People With High-Risk Multiple Chronic Conditions</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581"/>
              <w:gridCol w:w="1333"/>
              <w:gridCol w:w="2335"/>
              <w:gridCol w:w="2128"/>
            </w:tblGrid>
            <w:tr w:rsidR="00A16BE8" w:rsidRPr="005D4222" w14:paraId="65E36CAC" w14:textId="77777777" w:rsidTr="002F5EB4">
              <w:tc>
                <w:tcPr>
                  <w:tcW w:w="1581"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hideMark/>
                </w:tcPr>
                <w:p w14:paraId="761818D4" w14:textId="77777777" w:rsidR="00A16BE8" w:rsidRPr="005D4222" w:rsidRDefault="00A16BE8">
                  <w:pPr>
                    <w:pStyle w:val="TableHead"/>
                    <w:rPr>
                      <w:rFonts w:cs="Arial"/>
                      <w:color w:val="auto"/>
                    </w:rPr>
                  </w:pPr>
                  <w:r w:rsidRPr="005D4222">
                    <w:rPr>
                      <w:rFonts w:cs="Arial"/>
                      <w:color w:val="auto"/>
                    </w:rPr>
                    <w:t>Metric</w:t>
                  </w:r>
                </w:p>
              </w:tc>
              <w:tc>
                <w:tcPr>
                  <w:tcW w:w="1333"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hideMark/>
                </w:tcPr>
                <w:p w14:paraId="157D8503" w14:textId="77777777" w:rsidR="00A16BE8" w:rsidRPr="005D4222" w:rsidRDefault="00A16BE8">
                  <w:pPr>
                    <w:pStyle w:val="TableHead"/>
                    <w:rPr>
                      <w:rFonts w:cs="Arial"/>
                      <w:color w:val="auto"/>
                    </w:rPr>
                  </w:pPr>
                  <w:r w:rsidRPr="005D4222">
                    <w:rPr>
                      <w:rFonts w:cs="Arial"/>
                      <w:color w:val="auto"/>
                    </w:rPr>
                    <w:t>Age</w:t>
                  </w:r>
                </w:p>
              </w:tc>
              <w:tc>
                <w:tcPr>
                  <w:tcW w:w="2335"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hideMark/>
                </w:tcPr>
                <w:p w14:paraId="0B6491A5" w14:textId="77777777" w:rsidR="00A16BE8" w:rsidRPr="005D4222" w:rsidRDefault="00A16BE8">
                  <w:pPr>
                    <w:pStyle w:val="TableHead"/>
                    <w:rPr>
                      <w:rFonts w:cs="Arial"/>
                      <w:color w:val="auto"/>
                    </w:rPr>
                  </w:pPr>
                  <w:r w:rsidRPr="005D4222">
                    <w:rPr>
                      <w:rFonts w:cs="Arial"/>
                      <w:color w:val="auto"/>
                    </w:rPr>
                    <w:t>Data Element</w:t>
                  </w:r>
                </w:p>
              </w:tc>
              <w:tc>
                <w:tcPr>
                  <w:tcW w:w="2128"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hideMark/>
                </w:tcPr>
                <w:p w14:paraId="2C341A58" w14:textId="77777777" w:rsidR="00A16BE8" w:rsidRPr="005D4222" w:rsidRDefault="00A16BE8">
                  <w:pPr>
                    <w:pStyle w:val="TableHead"/>
                    <w:rPr>
                      <w:rFonts w:cs="Arial"/>
                      <w:color w:val="auto"/>
                    </w:rPr>
                  </w:pPr>
                  <w:r w:rsidRPr="005D4222">
                    <w:rPr>
                      <w:rFonts w:cs="Arial"/>
                      <w:color w:val="auto"/>
                    </w:rPr>
                    <w:t>Reporting Instructions</w:t>
                  </w:r>
                </w:p>
              </w:tc>
            </w:tr>
            <w:tr w:rsidR="00A16BE8" w:rsidRPr="005D4222" w14:paraId="54E2CC8A" w14:textId="77777777" w:rsidTr="002F5EB4">
              <w:tc>
                <w:tcPr>
                  <w:tcW w:w="1581" w:type="dxa"/>
                  <w:tcBorders>
                    <w:top w:val="single" w:sz="4" w:space="0" w:color="000000" w:themeColor="text1"/>
                    <w:left w:val="single" w:sz="4" w:space="0" w:color="auto"/>
                    <w:bottom w:val="single" w:sz="4" w:space="0" w:color="auto"/>
                    <w:right w:val="single" w:sz="4" w:space="0" w:color="auto"/>
                  </w:tcBorders>
                  <w:hideMark/>
                </w:tcPr>
                <w:p w14:paraId="60CCDFFE" w14:textId="77777777" w:rsidR="00A16BE8" w:rsidRPr="005D4222" w:rsidRDefault="00A16BE8">
                  <w:pPr>
                    <w:pStyle w:val="TableText"/>
                    <w:rPr>
                      <w:rFonts w:cs="Arial"/>
                      <w:szCs w:val="21"/>
                    </w:rPr>
                  </w:pPr>
                  <w:r w:rsidRPr="005D4222">
                    <w:rPr>
                      <w:rFonts w:cs="Arial"/>
                      <w:szCs w:val="21"/>
                    </w:rPr>
                    <w:t>FollowUp7Day</w:t>
                  </w:r>
                </w:p>
              </w:tc>
              <w:tc>
                <w:tcPr>
                  <w:tcW w:w="1333" w:type="dxa"/>
                  <w:tcBorders>
                    <w:top w:val="single" w:sz="4" w:space="0" w:color="000000" w:themeColor="text1"/>
                    <w:left w:val="single" w:sz="4" w:space="0" w:color="auto"/>
                    <w:bottom w:val="single" w:sz="4" w:space="0" w:color="auto"/>
                    <w:right w:val="single" w:sz="4" w:space="0" w:color="auto"/>
                  </w:tcBorders>
                  <w:hideMark/>
                </w:tcPr>
                <w:p w14:paraId="2EBA077D" w14:textId="77777777" w:rsidR="00A16BE8" w:rsidRPr="005D4222" w:rsidRDefault="00A16BE8">
                  <w:pPr>
                    <w:pStyle w:val="TableText"/>
                    <w:rPr>
                      <w:rFonts w:cs="Arial"/>
                      <w:szCs w:val="21"/>
                    </w:rPr>
                  </w:pPr>
                  <w:r w:rsidRPr="005D4222">
                    <w:rPr>
                      <w:rFonts w:cs="Arial"/>
                      <w:szCs w:val="21"/>
                    </w:rPr>
                    <w:t>18-64</w:t>
                  </w:r>
                </w:p>
              </w:tc>
              <w:tc>
                <w:tcPr>
                  <w:tcW w:w="2335" w:type="dxa"/>
                  <w:tcBorders>
                    <w:top w:val="single" w:sz="4" w:space="0" w:color="000000" w:themeColor="text1"/>
                    <w:left w:val="single" w:sz="4" w:space="0" w:color="auto"/>
                    <w:bottom w:val="single" w:sz="4" w:space="0" w:color="auto"/>
                    <w:right w:val="single" w:sz="4" w:space="0" w:color="auto"/>
                  </w:tcBorders>
                  <w:hideMark/>
                </w:tcPr>
                <w:p w14:paraId="31BE15AF" w14:textId="77777777" w:rsidR="00A16BE8" w:rsidRPr="005D4222" w:rsidRDefault="00A16BE8">
                  <w:pPr>
                    <w:pStyle w:val="TableText"/>
                    <w:rPr>
                      <w:rFonts w:cs="Arial"/>
                      <w:szCs w:val="21"/>
                    </w:rPr>
                  </w:pPr>
                  <w:r w:rsidRPr="005D4222">
                    <w:rPr>
                      <w:rFonts w:cs="Arial"/>
                      <w:szCs w:val="21"/>
                    </w:rPr>
                    <w:t xml:space="preserve">InitialPopulation </w:t>
                  </w:r>
                </w:p>
              </w:tc>
              <w:tc>
                <w:tcPr>
                  <w:tcW w:w="2128" w:type="dxa"/>
                  <w:tcBorders>
                    <w:top w:val="single" w:sz="4" w:space="0" w:color="000000" w:themeColor="text1"/>
                    <w:left w:val="single" w:sz="4" w:space="0" w:color="auto"/>
                    <w:bottom w:val="single" w:sz="6" w:space="0" w:color="auto"/>
                    <w:right w:val="single" w:sz="4" w:space="0" w:color="auto"/>
                  </w:tcBorders>
                  <w:hideMark/>
                </w:tcPr>
                <w:p w14:paraId="6452BB28" w14:textId="77777777" w:rsidR="00A16BE8" w:rsidRPr="005D4222" w:rsidRDefault="00A16BE8">
                  <w:pPr>
                    <w:pStyle w:val="TableText"/>
                    <w:rPr>
                      <w:rFonts w:eastAsia="Wingdings" w:cs="Arial"/>
                      <w:szCs w:val="21"/>
                    </w:rPr>
                  </w:pPr>
                  <w:r w:rsidRPr="005D4222">
                    <w:rPr>
                      <w:rFonts w:eastAsia="Wingdings" w:cs="Arial"/>
                      <w:szCs w:val="21"/>
                    </w:rPr>
                    <w:t>For each Stratification</w:t>
                  </w:r>
                </w:p>
              </w:tc>
            </w:tr>
            <w:tr w:rsidR="00DF474B" w:rsidRPr="005D4222" w14:paraId="22DA5480" w14:textId="77777777">
              <w:tc>
                <w:tcPr>
                  <w:tcW w:w="1581" w:type="dxa"/>
                  <w:vMerge w:val="restart"/>
                  <w:tcBorders>
                    <w:top w:val="single" w:sz="4" w:space="0" w:color="auto"/>
                    <w:left w:val="nil"/>
                    <w:right w:val="single" w:sz="4" w:space="0" w:color="auto"/>
                  </w:tcBorders>
                  <w:shd w:val="clear" w:color="auto" w:fill="FFFFFF" w:themeFill="background1"/>
                </w:tcPr>
                <w:p w14:paraId="1BCDB043" w14:textId="77777777" w:rsidR="00DF474B" w:rsidRPr="005D4222" w:rsidRDefault="00DF474B">
                  <w:pPr>
                    <w:pStyle w:val="TableText"/>
                    <w:rPr>
                      <w:rFonts w:cs="Arial"/>
                      <w:szCs w:val="21"/>
                    </w:rPr>
                  </w:pPr>
                </w:p>
              </w:tc>
              <w:tc>
                <w:tcPr>
                  <w:tcW w:w="133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CEFC3EC" w14:textId="77777777" w:rsidR="00DF474B" w:rsidRPr="005D4222" w:rsidRDefault="00DF474B">
                  <w:pPr>
                    <w:pStyle w:val="TableText"/>
                    <w:rPr>
                      <w:rFonts w:cs="Arial"/>
                      <w:szCs w:val="21"/>
                    </w:rPr>
                  </w:pPr>
                  <w:r w:rsidRPr="005D4222">
                    <w:rPr>
                      <w:rFonts w:cs="Arial"/>
                      <w:szCs w:val="21"/>
                    </w:rPr>
                    <w:t>65+</w:t>
                  </w:r>
                </w:p>
              </w:tc>
              <w:tc>
                <w:tcPr>
                  <w:tcW w:w="233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53BF672" w14:textId="77777777" w:rsidR="00DF474B" w:rsidRPr="005D4222" w:rsidRDefault="00DF474B">
                  <w:pPr>
                    <w:pStyle w:val="TableText"/>
                    <w:rPr>
                      <w:rFonts w:cs="Arial"/>
                    </w:rPr>
                  </w:pPr>
                  <w:r w:rsidRPr="005D4222">
                    <w:rPr>
                      <w:rFonts w:cs="Arial"/>
                    </w:rPr>
                    <w:t>Exclusions</w:t>
                  </w:r>
                </w:p>
              </w:tc>
              <w:tc>
                <w:tcPr>
                  <w:tcW w:w="2128"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786A58B7" w14:textId="77777777" w:rsidR="00DF474B" w:rsidRPr="005D4222" w:rsidRDefault="00DF474B">
                  <w:pPr>
                    <w:pStyle w:val="TableText"/>
                    <w:rPr>
                      <w:rFonts w:eastAsia="Wingdings" w:cs="Arial"/>
                      <w:szCs w:val="21"/>
                    </w:rPr>
                  </w:pPr>
                  <w:r w:rsidRPr="005D4222">
                    <w:rPr>
                      <w:rFonts w:eastAsia="Wingdings" w:cs="Arial"/>
                      <w:szCs w:val="21"/>
                    </w:rPr>
                    <w:t>For each Stratification</w:t>
                  </w:r>
                </w:p>
              </w:tc>
            </w:tr>
            <w:tr w:rsidR="00DF474B" w:rsidRPr="005D4222" w14:paraId="03B95425" w14:textId="77777777">
              <w:tc>
                <w:tcPr>
                  <w:tcW w:w="1581" w:type="dxa"/>
                  <w:vMerge/>
                  <w:tcBorders>
                    <w:left w:val="nil"/>
                    <w:bottom w:val="nil"/>
                    <w:right w:val="single" w:sz="4" w:space="0" w:color="auto"/>
                  </w:tcBorders>
                  <w:shd w:val="clear" w:color="auto" w:fill="FFFFFF" w:themeFill="background1"/>
                </w:tcPr>
                <w:p w14:paraId="7A07CCD7" w14:textId="77777777" w:rsidR="00DF474B" w:rsidRPr="005D4222" w:rsidRDefault="00DF474B" w:rsidP="002F5EB4">
                  <w:pPr>
                    <w:pStyle w:val="TableText"/>
                    <w:rPr>
                      <w:rFonts w:cs="Arial"/>
                      <w:szCs w:val="21"/>
                    </w:rPr>
                  </w:pPr>
                </w:p>
              </w:tc>
              <w:tc>
                <w:tcPr>
                  <w:tcW w:w="133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84A42ED" w14:textId="7D91CCFE" w:rsidR="00DF474B" w:rsidRPr="005D4222" w:rsidRDefault="00DF474B" w:rsidP="002F5EB4">
                  <w:pPr>
                    <w:pStyle w:val="TableText"/>
                    <w:rPr>
                      <w:rFonts w:cs="Arial"/>
                      <w:szCs w:val="21"/>
                    </w:rPr>
                  </w:pPr>
                  <w:r w:rsidRPr="005D4222">
                    <w:rPr>
                      <w:rFonts w:cs="Arial"/>
                    </w:rPr>
                    <w:t>Total</w:t>
                  </w:r>
                </w:p>
              </w:tc>
              <w:tc>
                <w:tcPr>
                  <w:tcW w:w="2335" w:type="dxa"/>
                  <w:tcBorders>
                    <w:top w:val="single" w:sz="4" w:space="0" w:color="auto"/>
                    <w:left w:val="single" w:sz="4" w:space="0" w:color="auto"/>
                    <w:bottom w:val="single" w:sz="4" w:space="0" w:color="auto"/>
                    <w:right w:val="single" w:sz="4" w:space="0" w:color="auto"/>
                  </w:tcBorders>
                  <w:shd w:val="clear" w:color="auto" w:fill="FFFFFF" w:themeFill="background1"/>
                </w:tcPr>
                <w:p w14:paraId="73F64A72" w14:textId="5D7232C5" w:rsidR="00DF474B" w:rsidRPr="005D4222" w:rsidRDefault="00DF474B" w:rsidP="002F5EB4">
                  <w:pPr>
                    <w:pStyle w:val="TableText"/>
                    <w:rPr>
                      <w:rFonts w:cs="Arial"/>
                    </w:rPr>
                  </w:pPr>
                  <w:r w:rsidRPr="005D4222">
                    <w:rPr>
                      <w:rFonts w:cs="Arial"/>
                    </w:rPr>
                    <w:t>Denominator</w:t>
                  </w:r>
                </w:p>
              </w:tc>
              <w:tc>
                <w:tcPr>
                  <w:tcW w:w="2128" w:type="dxa"/>
                  <w:tcBorders>
                    <w:top w:val="single" w:sz="6" w:space="0" w:color="auto"/>
                    <w:left w:val="single" w:sz="4" w:space="0" w:color="auto"/>
                    <w:bottom w:val="single" w:sz="6" w:space="0" w:color="auto"/>
                    <w:right w:val="single" w:sz="4" w:space="0" w:color="auto"/>
                  </w:tcBorders>
                  <w:shd w:val="clear" w:color="auto" w:fill="FFFFFF" w:themeFill="background1"/>
                </w:tcPr>
                <w:p w14:paraId="4A92FB23" w14:textId="01128B35" w:rsidR="00DF474B" w:rsidRPr="005D4222" w:rsidRDefault="00DF474B" w:rsidP="002F5EB4">
                  <w:pPr>
                    <w:pStyle w:val="TableText"/>
                    <w:rPr>
                      <w:rFonts w:eastAsia="Wingdings" w:cs="Arial"/>
                      <w:szCs w:val="21"/>
                    </w:rPr>
                  </w:pPr>
                  <w:r w:rsidRPr="005D4222">
                    <w:rPr>
                      <w:rFonts w:eastAsia="Wingdings" w:cs="Arial"/>
                    </w:rPr>
                    <w:t>For each Stratification</w:t>
                  </w:r>
                </w:p>
              </w:tc>
            </w:tr>
            <w:tr w:rsidR="002F5EB4" w:rsidRPr="005D4222" w14:paraId="2AB469D3" w14:textId="77777777" w:rsidTr="002F5EB4">
              <w:trPr>
                <w:trHeight w:val="51"/>
              </w:trPr>
              <w:tc>
                <w:tcPr>
                  <w:tcW w:w="1581" w:type="dxa"/>
                  <w:tcBorders>
                    <w:top w:val="nil"/>
                    <w:left w:val="nil"/>
                    <w:bottom w:val="nil"/>
                    <w:right w:val="nil"/>
                  </w:tcBorders>
                  <w:shd w:val="clear" w:color="auto" w:fill="FFFFFF" w:themeFill="background1"/>
                </w:tcPr>
                <w:p w14:paraId="250D78A4" w14:textId="77777777" w:rsidR="002F5EB4" w:rsidRPr="005D4222" w:rsidRDefault="002F5EB4" w:rsidP="002F5EB4">
                  <w:pPr>
                    <w:pStyle w:val="TableText"/>
                    <w:rPr>
                      <w:rFonts w:cs="Arial"/>
                      <w:szCs w:val="21"/>
                    </w:rPr>
                  </w:pPr>
                </w:p>
              </w:tc>
              <w:tc>
                <w:tcPr>
                  <w:tcW w:w="1333" w:type="dxa"/>
                  <w:tcBorders>
                    <w:top w:val="single" w:sz="4" w:space="0" w:color="auto"/>
                    <w:left w:val="nil"/>
                    <w:bottom w:val="nil"/>
                    <w:right w:val="single" w:sz="4" w:space="0" w:color="auto"/>
                  </w:tcBorders>
                  <w:shd w:val="clear" w:color="auto" w:fill="FFFFFF" w:themeFill="background1"/>
                  <w:hideMark/>
                </w:tcPr>
                <w:p w14:paraId="10DA039F" w14:textId="77777777" w:rsidR="002F5EB4" w:rsidRPr="005D4222" w:rsidRDefault="002F5EB4" w:rsidP="002F5EB4">
                  <w:pPr>
                    <w:pStyle w:val="TableText"/>
                    <w:rPr>
                      <w:rFonts w:cs="Arial"/>
                      <w:szCs w:val="21"/>
                    </w:rPr>
                  </w:pPr>
                </w:p>
              </w:tc>
              <w:tc>
                <w:tcPr>
                  <w:tcW w:w="233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6C9AEA6" w14:textId="77777777" w:rsidR="002F5EB4" w:rsidRPr="005D4222" w:rsidRDefault="002F5EB4" w:rsidP="002F5EB4">
                  <w:pPr>
                    <w:pStyle w:val="TableText"/>
                    <w:rPr>
                      <w:rFonts w:cs="Arial"/>
                      <w:szCs w:val="21"/>
                    </w:rPr>
                  </w:pPr>
                  <w:r w:rsidRPr="005D4222">
                    <w:rPr>
                      <w:rFonts w:cs="Arial"/>
                      <w:szCs w:val="21"/>
                    </w:rPr>
                    <w:t>NumeratorByAdmin</w:t>
                  </w:r>
                </w:p>
              </w:tc>
              <w:tc>
                <w:tcPr>
                  <w:tcW w:w="2128"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523DDF82" w14:textId="77777777" w:rsidR="002F5EB4" w:rsidRPr="005D4222" w:rsidRDefault="002F5EB4" w:rsidP="002F5EB4">
                  <w:pPr>
                    <w:pStyle w:val="TableText"/>
                    <w:rPr>
                      <w:rFonts w:eastAsia="Wingdings" w:cs="Arial"/>
                      <w:szCs w:val="21"/>
                    </w:rPr>
                  </w:pPr>
                  <w:r w:rsidRPr="005D4222">
                    <w:rPr>
                      <w:rFonts w:eastAsia="Wingdings" w:cs="Arial"/>
                      <w:szCs w:val="21"/>
                    </w:rPr>
                    <w:t>For each Stratification</w:t>
                  </w:r>
                </w:p>
              </w:tc>
            </w:tr>
            <w:tr w:rsidR="002F5EB4" w:rsidRPr="005D4222" w14:paraId="0A37E993" w14:textId="77777777" w:rsidTr="002F5EB4">
              <w:tc>
                <w:tcPr>
                  <w:tcW w:w="1581" w:type="dxa"/>
                  <w:tcBorders>
                    <w:top w:val="nil"/>
                    <w:left w:val="nil"/>
                    <w:bottom w:val="nil"/>
                    <w:right w:val="nil"/>
                  </w:tcBorders>
                  <w:shd w:val="clear" w:color="auto" w:fill="FFFFFF" w:themeFill="background1"/>
                </w:tcPr>
                <w:p w14:paraId="664C9732" w14:textId="77777777" w:rsidR="002F5EB4" w:rsidRPr="005D4222" w:rsidRDefault="002F5EB4" w:rsidP="002F5EB4">
                  <w:pPr>
                    <w:pStyle w:val="TableText"/>
                    <w:rPr>
                      <w:rFonts w:cs="Arial"/>
                      <w:szCs w:val="21"/>
                    </w:rPr>
                  </w:pPr>
                </w:p>
              </w:tc>
              <w:tc>
                <w:tcPr>
                  <w:tcW w:w="1333" w:type="dxa"/>
                  <w:tcBorders>
                    <w:top w:val="nil"/>
                    <w:left w:val="nil"/>
                    <w:bottom w:val="nil"/>
                    <w:right w:val="single" w:sz="4" w:space="0" w:color="auto"/>
                  </w:tcBorders>
                  <w:shd w:val="clear" w:color="auto" w:fill="FFFFFF" w:themeFill="background1"/>
                </w:tcPr>
                <w:p w14:paraId="23514750" w14:textId="77777777" w:rsidR="002F5EB4" w:rsidRPr="005D4222" w:rsidRDefault="002F5EB4" w:rsidP="002F5EB4">
                  <w:pPr>
                    <w:pStyle w:val="TableText"/>
                    <w:rPr>
                      <w:rFonts w:cs="Arial"/>
                      <w:szCs w:val="21"/>
                    </w:rPr>
                  </w:pPr>
                </w:p>
              </w:tc>
              <w:tc>
                <w:tcPr>
                  <w:tcW w:w="233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0297BFE" w14:textId="77777777" w:rsidR="002F5EB4" w:rsidRPr="005D4222" w:rsidRDefault="002F5EB4" w:rsidP="002F5EB4">
                  <w:pPr>
                    <w:pStyle w:val="TableText"/>
                    <w:rPr>
                      <w:rFonts w:cs="Arial"/>
                      <w:szCs w:val="21"/>
                    </w:rPr>
                  </w:pPr>
                  <w:r w:rsidRPr="005D4222">
                    <w:rPr>
                      <w:rFonts w:cs="Arial"/>
                      <w:szCs w:val="21"/>
                    </w:rPr>
                    <w:t>NumeratorBySupplemental</w:t>
                  </w:r>
                </w:p>
              </w:tc>
              <w:tc>
                <w:tcPr>
                  <w:tcW w:w="2128"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52866E07" w14:textId="77777777" w:rsidR="002F5EB4" w:rsidRPr="005D4222" w:rsidRDefault="002F5EB4" w:rsidP="002F5EB4">
                  <w:pPr>
                    <w:pStyle w:val="TableText"/>
                    <w:rPr>
                      <w:rFonts w:eastAsia="Wingdings" w:cs="Arial"/>
                      <w:szCs w:val="21"/>
                    </w:rPr>
                  </w:pPr>
                  <w:r w:rsidRPr="005D4222">
                    <w:rPr>
                      <w:rFonts w:eastAsia="Wingdings" w:cs="Arial"/>
                      <w:szCs w:val="21"/>
                    </w:rPr>
                    <w:t>For each Stratification</w:t>
                  </w:r>
                </w:p>
              </w:tc>
            </w:tr>
            <w:tr w:rsidR="002F5EB4" w:rsidRPr="005D4222" w14:paraId="44767A1D" w14:textId="77777777" w:rsidTr="002F5EB4">
              <w:tc>
                <w:tcPr>
                  <w:tcW w:w="1581" w:type="dxa"/>
                  <w:tcBorders>
                    <w:top w:val="nil"/>
                    <w:left w:val="nil"/>
                    <w:bottom w:val="nil"/>
                    <w:right w:val="nil"/>
                  </w:tcBorders>
                </w:tcPr>
                <w:p w14:paraId="1E0864E7" w14:textId="77777777" w:rsidR="002F5EB4" w:rsidRPr="005D4222" w:rsidRDefault="002F5EB4" w:rsidP="002F5EB4">
                  <w:pPr>
                    <w:pStyle w:val="TableText"/>
                    <w:rPr>
                      <w:rFonts w:cs="Arial"/>
                      <w:szCs w:val="21"/>
                    </w:rPr>
                  </w:pPr>
                </w:p>
              </w:tc>
              <w:tc>
                <w:tcPr>
                  <w:tcW w:w="1333" w:type="dxa"/>
                  <w:tcBorders>
                    <w:top w:val="nil"/>
                    <w:left w:val="nil"/>
                    <w:bottom w:val="nil"/>
                    <w:right w:val="single" w:sz="4" w:space="0" w:color="auto"/>
                  </w:tcBorders>
                </w:tcPr>
                <w:p w14:paraId="4313A3BF" w14:textId="77777777" w:rsidR="002F5EB4" w:rsidRPr="005D4222" w:rsidRDefault="002F5EB4" w:rsidP="002F5EB4">
                  <w:pPr>
                    <w:pStyle w:val="TableText"/>
                    <w:rPr>
                      <w:rFonts w:cs="Arial"/>
                      <w:szCs w:val="21"/>
                    </w:rPr>
                  </w:pPr>
                </w:p>
              </w:tc>
              <w:tc>
                <w:tcPr>
                  <w:tcW w:w="233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37DA835" w14:textId="77777777" w:rsidR="002F5EB4" w:rsidRPr="005D4222" w:rsidRDefault="002F5EB4" w:rsidP="002F5EB4">
                  <w:pPr>
                    <w:pStyle w:val="TableText"/>
                    <w:rPr>
                      <w:rFonts w:cs="Arial"/>
                      <w:szCs w:val="21"/>
                    </w:rPr>
                  </w:pPr>
                  <w:r w:rsidRPr="005D4222">
                    <w:rPr>
                      <w:rFonts w:cs="Arial"/>
                      <w:szCs w:val="21"/>
                    </w:rPr>
                    <w:t>Rate</w:t>
                  </w:r>
                </w:p>
              </w:tc>
              <w:tc>
                <w:tcPr>
                  <w:tcW w:w="2128" w:type="dxa"/>
                  <w:tcBorders>
                    <w:top w:val="single" w:sz="6" w:space="0" w:color="auto"/>
                    <w:left w:val="single" w:sz="4" w:space="0" w:color="auto"/>
                    <w:bottom w:val="single" w:sz="6" w:space="0" w:color="auto"/>
                    <w:right w:val="single" w:sz="4" w:space="0" w:color="auto"/>
                  </w:tcBorders>
                  <w:shd w:val="clear" w:color="auto" w:fill="D9D9D9" w:themeFill="background1" w:themeFillShade="D9"/>
                  <w:hideMark/>
                </w:tcPr>
                <w:p w14:paraId="66AAE094" w14:textId="77777777" w:rsidR="002F5EB4" w:rsidRPr="005D4222" w:rsidRDefault="002F5EB4" w:rsidP="002F5EB4">
                  <w:pPr>
                    <w:pStyle w:val="TableText"/>
                    <w:rPr>
                      <w:rFonts w:eastAsia="Wingdings" w:cs="Arial"/>
                      <w:szCs w:val="21"/>
                    </w:rPr>
                  </w:pPr>
                  <w:r w:rsidRPr="005D4222">
                    <w:rPr>
                      <w:rFonts w:eastAsia="Wingdings" w:cs="Arial"/>
                      <w:szCs w:val="21"/>
                    </w:rPr>
                    <w:t>(Percent)</w:t>
                  </w:r>
                </w:p>
              </w:tc>
            </w:tr>
          </w:tbl>
          <w:p w14:paraId="1037770A" w14:textId="77777777" w:rsidR="00A16BE8" w:rsidRPr="005D4222" w:rsidRDefault="00A16BE8">
            <w:pPr>
              <w:pStyle w:val="ProcessDash"/>
              <w:numPr>
                <w:ilvl w:val="0"/>
                <w:numId w:val="0"/>
              </w:numPr>
              <w:rPr>
                <w:rFonts w:cs="Arial"/>
                <w:color w:val="000000" w:themeColor="text1"/>
                <w:highlight w:val="yellow"/>
              </w:rPr>
            </w:pPr>
          </w:p>
        </w:tc>
      </w:tr>
      <w:tr w:rsidR="00A16BE8" w:rsidRPr="005D4222" w14:paraId="0E44A59D" w14:textId="77777777">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0" w:type="dxa"/>
              <w:right w:w="86" w:type="dxa"/>
            </w:tcMar>
          </w:tcPr>
          <w:p w14:paraId="04D0BBB7" w14:textId="77777777" w:rsidR="00A16BE8" w:rsidRPr="005D4222" w:rsidRDefault="00A16BE8">
            <w:pPr>
              <w:pStyle w:val="ECDSMarginHead"/>
            </w:pPr>
            <w:r w:rsidRPr="005D4222">
              <w:t>Rules for Allowable Adjustments</w:t>
            </w:r>
          </w:p>
        </w:tc>
        <w:tc>
          <w:tcPr>
            <w:tcW w:w="7559" w:type="dxa"/>
            <w:gridSpan w:val="3"/>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tcPr>
          <w:p w14:paraId="56BE0D62" w14:textId="77777777" w:rsidR="00A16BE8" w:rsidRPr="005D4222" w:rsidRDefault="00A16BE8">
            <w:pPr>
              <w:pStyle w:val="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54144164" w14:textId="77777777" w:rsidR="00A16BE8" w:rsidRPr="005D4222" w:rsidRDefault="00A16BE8">
            <w:pPr>
              <w:pStyle w:val="Body"/>
              <w:rPr>
                <w:b/>
              </w:rPr>
            </w:pPr>
            <w:r w:rsidRPr="005D4222">
              <w:rPr>
                <w:b/>
              </w:rPr>
              <w:t>Adjusted HEDIS measures may not be used for HEDIS health plan reporting.</w:t>
            </w:r>
          </w:p>
          <w:p w14:paraId="281D7C89" w14:textId="77777777" w:rsidR="00A16BE8" w:rsidRPr="005D4222" w:rsidRDefault="00A16BE8">
            <w:pPr>
              <w:pStyle w:val="Adjustments"/>
              <w:rPr>
                <w:b w:val="0"/>
              </w:rPr>
            </w:pPr>
            <w:r w:rsidRPr="005D4222">
              <w:t>Adjustments</w:t>
            </w:r>
            <w:r w:rsidRPr="005D4222">
              <w:rPr>
                <w:bCs/>
              </w:rPr>
              <w:t xml:space="preserve"> a</w:t>
            </w:r>
            <w:r w:rsidRPr="005D4222">
              <w:t>llowed</w:t>
            </w:r>
          </w:p>
          <w:p w14:paraId="0E3F5A21" w14:textId="7E9D591D" w:rsidR="00A16BE8" w:rsidRPr="005D4222" w:rsidRDefault="00A16BE8" w:rsidP="005D6173">
            <w:pPr>
              <w:pStyle w:val="ProcessBullet"/>
              <w:numPr>
                <w:ilvl w:val="0"/>
                <w:numId w:val="84"/>
              </w:numPr>
              <w:tabs>
                <w:tab w:val="left" w:pos="0"/>
              </w:tabs>
              <w:ind w:left="216" w:hanging="216"/>
              <w:rPr>
                <w:rFonts w:ascii="Arial Narrow" w:eastAsia="Arial" w:hAnsi="Arial Narrow"/>
                <w:szCs w:val="19"/>
              </w:rPr>
            </w:pPr>
            <w:r w:rsidRPr="005D4222">
              <w:rPr>
                <w:i/>
                <w:iCs/>
              </w:rPr>
              <w:t>Product lines</w:t>
            </w:r>
            <w:r w:rsidRPr="005D4222">
              <w:t xml:space="preserve">. </w:t>
            </w:r>
            <w:r w:rsidRPr="005D4222">
              <w:rPr>
                <w:rFonts w:eastAsia="Arial"/>
              </w:rPr>
              <w:t>Organizations are not required to use product line criteria; product lines may be combined</w:t>
            </w:r>
            <w:r w:rsidR="003857E8" w:rsidRPr="005D4222">
              <w:rPr>
                <w:rFonts w:eastAsia="Arial"/>
              </w:rPr>
              <w:t>,</w:t>
            </w:r>
            <w:r w:rsidRPr="005D4222">
              <w:rPr>
                <w:rFonts w:eastAsia="Arial"/>
              </w:rPr>
              <w:t xml:space="preserve"> and all (or no) product line criteria may be used.</w:t>
            </w:r>
          </w:p>
          <w:p w14:paraId="2F716CF8" w14:textId="1289FB7A" w:rsidR="00A16BE8" w:rsidRPr="005D4222" w:rsidRDefault="00A16BE8" w:rsidP="005D6173">
            <w:pPr>
              <w:pStyle w:val="ProcessBullet"/>
              <w:numPr>
                <w:ilvl w:val="0"/>
                <w:numId w:val="84"/>
              </w:numPr>
              <w:tabs>
                <w:tab w:val="left" w:pos="0"/>
              </w:tabs>
              <w:ind w:left="216" w:hanging="216"/>
              <w:rPr>
                <w:rFonts w:ascii="Arial Narrow" w:eastAsia="Arial" w:hAnsi="Arial Narrow"/>
                <w:szCs w:val="19"/>
              </w:rPr>
            </w:pPr>
            <w:r w:rsidRPr="005D4222">
              <w:rPr>
                <w:i/>
                <w:iCs/>
              </w:rPr>
              <w:t>Ages.</w:t>
            </w:r>
            <w:r w:rsidRPr="005D4222">
              <w:rPr>
                <w:b/>
              </w:rPr>
              <w:t xml:space="preserve"> </w:t>
            </w:r>
            <w:r w:rsidR="004A270B" w:rsidRPr="005D4222">
              <w:t xml:space="preserve">The denominator age range may be expanded. </w:t>
            </w:r>
            <w:r w:rsidRPr="005D4222">
              <w:rPr>
                <w:rFonts w:eastAsia="Arial" w:cs="Arial"/>
                <w:szCs w:val="19"/>
              </w:rPr>
              <w:t xml:space="preserve">The age determination dates may be changed (e.g., select, “age as of June 30”). </w:t>
            </w:r>
          </w:p>
          <w:p w14:paraId="2D6E3CCA" w14:textId="77777777" w:rsidR="00A16BE8" w:rsidRPr="005D4222" w:rsidRDefault="00A16BE8" w:rsidP="005D6173">
            <w:pPr>
              <w:pStyle w:val="ProcessBullet"/>
              <w:numPr>
                <w:ilvl w:val="0"/>
                <w:numId w:val="84"/>
              </w:numPr>
              <w:tabs>
                <w:tab w:val="left" w:pos="0"/>
              </w:tabs>
              <w:ind w:left="216" w:hanging="216"/>
              <w:rPr>
                <w:b/>
                <w:bCs/>
                <w:color w:val="000000" w:themeColor="text1"/>
              </w:rPr>
            </w:pPr>
            <w:r w:rsidRPr="005D4222">
              <w:rPr>
                <w:i/>
                <w:iCs/>
              </w:rPr>
              <w:t>Attribution.</w:t>
            </w:r>
            <w:r w:rsidRPr="005D4222">
              <w:t xml:space="preserve"> Organizations are not required to use enrollment criteria. </w:t>
            </w:r>
          </w:p>
          <w:p w14:paraId="791ECAED" w14:textId="3A8D6D4C" w:rsidR="00A16BE8" w:rsidRPr="005D4222" w:rsidRDefault="00362E76" w:rsidP="005D6173">
            <w:pPr>
              <w:pStyle w:val="ProcessBullet"/>
              <w:numPr>
                <w:ilvl w:val="0"/>
                <w:numId w:val="84"/>
              </w:numPr>
              <w:tabs>
                <w:tab w:val="left" w:pos="0"/>
              </w:tabs>
              <w:ind w:left="216" w:hanging="216"/>
              <w:rPr>
                <w:b/>
                <w:bCs/>
                <w:color w:val="000000" w:themeColor="text1"/>
              </w:rPr>
            </w:pPr>
            <w:r w:rsidRPr="005D4222">
              <w:rPr>
                <w:i/>
                <w:iCs/>
              </w:rPr>
              <w:t>Benefits.</w:t>
            </w:r>
            <w:r w:rsidR="00A16BE8" w:rsidRPr="005D4222">
              <w:t xml:space="preserve"> Organizations are not required to use a benefit.</w:t>
            </w:r>
          </w:p>
          <w:p w14:paraId="2D5BD31F" w14:textId="77777777" w:rsidR="00A16BE8" w:rsidRPr="005D4222" w:rsidRDefault="00A16BE8" w:rsidP="005D6173">
            <w:pPr>
              <w:pStyle w:val="ProcessBullet"/>
              <w:numPr>
                <w:ilvl w:val="0"/>
                <w:numId w:val="84"/>
              </w:numPr>
              <w:tabs>
                <w:tab w:val="left" w:pos="0"/>
              </w:tabs>
              <w:ind w:left="216" w:hanging="216"/>
              <w:rPr>
                <w:b/>
                <w:bCs/>
                <w:color w:val="000000" w:themeColor="text1"/>
              </w:rPr>
            </w:pPr>
            <w:r w:rsidRPr="005D4222">
              <w:rPr>
                <w:i/>
                <w:iCs/>
              </w:rPr>
              <w:t>Other.</w:t>
            </w:r>
            <w:r w:rsidRPr="005D4222">
              <w:t xml:space="preserve"> Organizations may use additional initial population criteria to focus on an area of interest defined by gender, race, ethnicity, socioeconomic or sociodemographic characteristics, geographic region or another characteristic.</w:t>
            </w:r>
          </w:p>
          <w:p w14:paraId="36BF0AD4" w14:textId="77777777" w:rsidR="00A16BE8" w:rsidRPr="005D4222" w:rsidRDefault="00A16BE8" w:rsidP="005D6173">
            <w:pPr>
              <w:pStyle w:val="ProcessBullet"/>
              <w:numPr>
                <w:ilvl w:val="0"/>
                <w:numId w:val="84"/>
              </w:numPr>
              <w:tabs>
                <w:tab w:val="left" w:pos="0"/>
              </w:tabs>
              <w:ind w:left="216" w:hanging="216"/>
              <w:rPr>
                <w:b/>
                <w:bCs/>
                <w:color w:val="000000" w:themeColor="text1"/>
              </w:rPr>
            </w:pPr>
            <w:r w:rsidRPr="005D4222">
              <w:rPr>
                <w:i/>
                <w:iCs/>
              </w:rPr>
              <w:t>Measurement period adjustments.</w:t>
            </w:r>
            <w:r w:rsidRPr="005D4222">
              <w:t xml:space="preserve"> Organizations may adjust the measurement period. </w:t>
            </w:r>
          </w:p>
          <w:p w14:paraId="2C99404D" w14:textId="7A4B0E09" w:rsidR="002F5EB4" w:rsidRPr="005D4222" w:rsidRDefault="00A16BE8" w:rsidP="005D6173">
            <w:pPr>
              <w:pStyle w:val="ProcessBullet"/>
              <w:numPr>
                <w:ilvl w:val="0"/>
                <w:numId w:val="84"/>
              </w:numPr>
              <w:tabs>
                <w:tab w:val="left" w:pos="0"/>
              </w:tabs>
              <w:spacing w:after="80"/>
              <w:ind w:left="216" w:hanging="216"/>
            </w:pPr>
            <w:r w:rsidRPr="005D4222">
              <w:rPr>
                <w:i/>
                <w:iCs/>
              </w:rPr>
              <w:t xml:space="preserve">Exclusions. </w:t>
            </w:r>
            <w:r w:rsidRPr="005D4222">
              <w:rPr>
                <w:rFonts w:eastAsia="Arial"/>
                <w:iCs/>
                <w:szCs w:val="18"/>
              </w:rPr>
              <w:t xml:space="preserve">The hospice and deceased person exclusions are not required. </w:t>
            </w:r>
          </w:p>
        </w:tc>
      </w:tr>
    </w:tbl>
    <w:p w14:paraId="5D7ACAB2" w14:textId="77777777" w:rsidR="002F5EB4" w:rsidRPr="005D4222" w:rsidRDefault="002F5EB4">
      <w:r w:rsidRPr="005D4222">
        <w:br w:type="page"/>
      </w:r>
    </w:p>
    <w:tbl>
      <w:tblPr>
        <w:tblW w:w="971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9"/>
      </w:tblGrid>
      <w:tr w:rsidR="00A16BE8" w:rsidRPr="005D4222" w14:paraId="3DEE5B78" w14:textId="77777777" w:rsidTr="00EB79FE">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0" w:type="dxa"/>
              <w:right w:w="86" w:type="dxa"/>
            </w:tcMar>
          </w:tcPr>
          <w:p w14:paraId="7A923121" w14:textId="77777777" w:rsidR="00A16BE8" w:rsidRPr="005D4222" w:rsidRDefault="00A16BE8">
            <w:pPr>
              <w:pStyle w:val="ECDSMarginHead"/>
            </w:pPr>
          </w:p>
        </w:tc>
        <w:tc>
          <w:tcPr>
            <w:tcW w:w="7559" w:type="dxa"/>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tcPr>
          <w:p w14:paraId="4A2185D4" w14:textId="77777777" w:rsidR="002F5EB4" w:rsidRPr="005D4222" w:rsidRDefault="002F5EB4" w:rsidP="005D6173">
            <w:pPr>
              <w:pStyle w:val="ProcessBullet"/>
              <w:numPr>
                <w:ilvl w:val="0"/>
                <w:numId w:val="84"/>
              </w:numPr>
              <w:tabs>
                <w:tab w:val="left" w:pos="0"/>
              </w:tabs>
              <w:spacing w:after="80"/>
              <w:ind w:left="216" w:hanging="216"/>
            </w:pPr>
            <w:r w:rsidRPr="005D4222">
              <w:rPr>
                <w:i/>
                <w:iCs/>
                <w:color w:val="000000" w:themeColor="text1"/>
              </w:rPr>
              <w:t>Telehealth.</w:t>
            </w:r>
            <w:r w:rsidRPr="005D4222">
              <w:rPr>
                <w:color w:val="000000" w:themeColor="text1"/>
              </w:rPr>
              <w:t xml:space="preserve"> Services/events that allow the use of synchronous telehealth visits, telephone visits and asynchronous telehealth (e-visits, virtual check-ins) may be stratified to identify services performed via telehealth. </w:t>
            </w:r>
            <w:r w:rsidRPr="005D4222">
              <w:t>This adjustment is not allowed for events, numerators and exclusions that do not allow the use of telehealth.</w:t>
            </w:r>
          </w:p>
          <w:p w14:paraId="0317F105" w14:textId="77777777" w:rsidR="002F5EB4" w:rsidRPr="005D4222" w:rsidRDefault="002F5EB4" w:rsidP="005D6173">
            <w:pPr>
              <w:pStyle w:val="ProcessBullet"/>
              <w:numPr>
                <w:ilvl w:val="0"/>
                <w:numId w:val="84"/>
              </w:numPr>
              <w:tabs>
                <w:tab w:val="left" w:pos="0"/>
              </w:tabs>
              <w:spacing w:after="80"/>
              <w:ind w:left="216" w:hanging="216"/>
            </w:pPr>
            <w:r w:rsidRPr="005D4222">
              <w:rPr>
                <w:i/>
                <w:iCs/>
                <w:color w:val="000000" w:themeColor="text1"/>
              </w:rPr>
              <w:t>Supplemental data.</w:t>
            </w:r>
            <w:r w:rsidRPr="005D4222">
              <w:rPr>
                <w:color w:val="000000" w:themeColor="text1"/>
              </w:rPr>
              <w:t xml:space="preserve"> Supplemental data may be used to identify initial population, denominator, exclusion and numerator events.</w:t>
            </w:r>
          </w:p>
          <w:p w14:paraId="5573A890" w14:textId="77777777" w:rsidR="00A16BE8" w:rsidRPr="005D4222" w:rsidRDefault="00A16BE8">
            <w:pPr>
              <w:pStyle w:val="Adjustments"/>
            </w:pPr>
            <w:r w:rsidRPr="005D4222">
              <w:t>Adjustments allowed with limits</w:t>
            </w:r>
          </w:p>
          <w:p w14:paraId="5116739A" w14:textId="77777777" w:rsidR="00A16BE8" w:rsidRPr="005D4222" w:rsidRDefault="00A16BE8" w:rsidP="005D6173">
            <w:pPr>
              <w:pStyle w:val="ProcessBullet"/>
              <w:numPr>
                <w:ilvl w:val="0"/>
                <w:numId w:val="85"/>
              </w:numPr>
              <w:ind w:left="216" w:hanging="216"/>
              <w:rPr>
                <w:rFonts w:ascii="Arial Narrow" w:eastAsia="Arial" w:hAnsi="Arial Narrow"/>
              </w:rPr>
            </w:pPr>
            <w:r w:rsidRPr="005D4222">
              <w:rPr>
                <w:i/>
                <w:iCs/>
              </w:rPr>
              <w:t>Initial population:</w:t>
            </w:r>
            <w:r w:rsidRPr="005D4222">
              <w:t xml:space="preserve"> Event. Organizations may assess at the person level by applying measure logic appropriately (i.e., percentage of persons with multiple high-risk chronic conditions, with documentation of an emergency department visit, who had a follow-up visit within 7 days). </w:t>
            </w:r>
            <w:r w:rsidRPr="005D4222">
              <w:rPr>
                <w:rFonts w:eastAsia="Arial"/>
              </w:rPr>
              <w:t>Only events or diagnoses that contain (or map to) codes in the value sets may be used to identify visits with a diagnosis. The value sets and logic may not be changed.</w:t>
            </w:r>
          </w:p>
          <w:p w14:paraId="655DCC3C" w14:textId="77777777" w:rsidR="00A16BE8" w:rsidRPr="005D4222" w:rsidRDefault="00A16BE8">
            <w:pPr>
              <w:pStyle w:val="Adjustments"/>
            </w:pPr>
            <w:r w:rsidRPr="005D4222">
              <w:t>Adjustments not allowed</w:t>
            </w:r>
          </w:p>
          <w:p w14:paraId="5A710C36" w14:textId="77777777" w:rsidR="00A16BE8" w:rsidRPr="005D4222" w:rsidRDefault="00A16BE8" w:rsidP="005D6173">
            <w:pPr>
              <w:pStyle w:val="ProcessBullet"/>
              <w:numPr>
                <w:ilvl w:val="0"/>
                <w:numId w:val="85"/>
              </w:numPr>
              <w:spacing w:after="80"/>
              <w:ind w:left="216" w:hanging="216"/>
            </w:pPr>
            <w:r w:rsidRPr="005D4222">
              <w:rPr>
                <w:i/>
                <w:iCs/>
              </w:rPr>
              <w:t>Numerator</w:t>
            </w:r>
            <w:r w:rsidRPr="005D4222">
              <w:t>.</w:t>
            </w:r>
            <w:r w:rsidRPr="005D4222">
              <w:rPr>
                <w:i/>
                <w:iCs/>
              </w:rPr>
              <w:t xml:space="preserve"> </w:t>
            </w:r>
            <w:r w:rsidRPr="005D4222">
              <w:t>Value sets and logic may not be changed.</w:t>
            </w:r>
          </w:p>
        </w:tc>
      </w:tr>
    </w:tbl>
    <w:p w14:paraId="617EEB5D" w14:textId="77777777" w:rsidR="001D1B84" w:rsidRPr="005D4222" w:rsidRDefault="001D1B84" w:rsidP="00063174">
      <w:pPr>
        <w:pStyle w:val="ECDSBody"/>
        <w:sectPr w:rsidR="001D1B84" w:rsidRPr="005D4222" w:rsidSect="0074514A">
          <w:headerReference w:type="default" r:id="rId132"/>
          <w:type w:val="nextColumn"/>
          <w:pgSz w:w="12240" w:h="15840" w:code="1"/>
          <w:pgMar w:top="1080" w:right="1080" w:bottom="1080" w:left="1440" w:header="720" w:footer="720" w:gutter="0"/>
          <w:cols w:space="720"/>
          <w:docGrid w:linePitch="360"/>
        </w:sectPr>
      </w:pPr>
    </w:p>
    <w:p w14:paraId="122024B0" w14:textId="1516E43F" w:rsidR="001D1B84" w:rsidRPr="005D4222" w:rsidRDefault="001D1B84" w:rsidP="00966DCB">
      <w:pPr>
        <w:pStyle w:val="BreakPage2"/>
        <w:rPr>
          <w:i w:val="0"/>
          <w:iCs w:val="0"/>
        </w:rPr>
      </w:pPr>
      <w:bookmarkStart w:id="314" w:name="_Toc201813423"/>
      <w:r w:rsidRPr="005D4222">
        <w:lastRenderedPageBreak/>
        <w:t>Overuse</w:t>
      </w:r>
      <w:bookmarkEnd w:id="314"/>
      <w:r w:rsidR="00F704AA" w:rsidRPr="005D4222">
        <w:t>/Appropriateness</w:t>
      </w:r>
    </w:p>
    <w:p w14:paraId="0B188047" w14:textId="77777777" w:rsidR="001D1B84" w:rsidRPr="005D4222" w:rsidRDefault="001D1B84" w:rsidP="001D1B84">
      <w:pPr>
        <w:pStyle w:val="Breakpage"/>
        <w:rPr>
          <w:i/>
          <w:iCs/>
        </w:rPr>
        <w:sectPr w:rsidR="001D1B84" w:rsidRPr="005D4222" w:rsidSect="0074514A">
          <w:headerReference w:type="default" r:id="rId133"/>
          <w:footerReference w:type="default" r:id="rId134"/>
          <w:type w:val="nextColumn"/>
          <w:pgSz w:w="12240" w:h="15840" w:code="1"/>
          <w:pgMar w:top="1080" w:right="1080" w:bottom="1080" w:left="1440" w:header="720" w:footer="720" w:gutter="0"/>
          <w:cols w:space="720"/>
          <w:docGrid w:linePitch="360"/>
        </w:sectPr>
      </w:pPr>
    </w:p>
    <w:p w14:paraId="205F825A" w14:textId="748BF7D2" w:rsidR="001D1B84" w:rsidRPr="005D4222" w:rsidRDefault="00D606F6" w:rsidP="00D606F6">
      <w:pPr>
        <w:pStyle w:val="MeasureTitle"/>
      </w:pPr>
      <w:bookmarkStart w:id="315" w:name="_Toc201813424"/>
      <w:r w:rsidRPr="005D4222">
        <w:lastRenderedPageBreak/>
        <w:t>Non-Recommended PSA-Based Screening in Older Men</w:t>
      </w:r>
      <w:r w:rsidR="0096709F" w:rsidRPr="005D4222">
        <w:t xml:space="preserve"> (PSA)</w:t>
      </w:r>
      <w:bookmarkEnd w:id="315"/>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4948"/>
        <w:gridCol w:w="1811"/>
        <w:gridCol w:w="798"/>
      </w:tblGrid>
      <w:tr w:rsidR="002A1CE5" w:rsidRPr="005D4222" w14:paraId="66FC81B0" w14:textId="77777777">
        <w:tc>
          <w:tcPr>
            <w:tcW w:w="2157" w:type="dxa"/>
            <w:shd w:val="clear" w:color="auto" w:fill="BFBFBF" w:themeFill="background1" w:themeFillShade="BF"/>
            <w:tcMar>
              <w:top w:w="0" w:type="dxa"/>
              <w:left w:w="86" w:type="dxa"/>
              <w:bottom w:w="43" w:type="dxa"/>
              <w:right w:w="86" w:type="dxa"/>
            </w:tcMar>
            <w:hideMark/>
          </w:tcPr>
          <w:p w14:paraId="29757E5E" w14:textId="77777777" w:rsidR="002A1CE5" w:rsidRPr="005D4222" w:rsidRDefault="002A1CE5">
            <w:pPr>
              <w:pStyle w:val="ECDSMarginHead"/>
            </w:pPr>
            <w:r w:rsidRPr="005D4222">
              <w:t>Measure title</w:t>
            </w:r>
          </w:p>
        </w:tc>
        <w:tc>
          <w:tcPr>
            <w:tcW w:w="4948" w:type="dxa"/>
            <w:tcMar>
              <w:top w:w="0" w:type="dxa"/>
              <w:left w:w="86" w:type="dxa"/>
              <w:bottom w:w="43" w:type="dxa"/>
              <w:right w:w="86" w:type="dxa"/>
            </w:tcMar>
          </w:tcPr>
          <w:p w14:paraId="1B7DA44F" w14:textId="77777777" w:rsidR="002A1CE5" w:rsidRPr="005D4222" w:rsidRDefault="002A1CE5">
            <w:pPr>
              <w:pStyle w:val="ECDSBody"/>
            </w:pPr>
            <w:r w:rsidRPr="005D4222">
              <w:t>Non-Recommended PSA-Based Screening in Older Men</w:t>
            </w:r>
            <w:r w:rsidRPr="005D4222">
              <w:rPr>
                <w:b/>
              </w:rPr>
              <w:t>*</w:t>
            </w:r>
          </w:p>
        </w:tc>
        <w:tc>
          <w:tcPr>
            <w:tcW w:w="1811" w:type="dxa"/>
            <w:shd w:val="clear" w:color="auto" w:fill="BFBFBF" w:themeFill="background1" w:themeFillShade="BF"/>
            <w:tcMar>
              <w:top w:w="0" w:type="dxa"/>
              <w:left w:w="86" w:type="dxa"/>
              <w:bottom w:w="43" w:type="dxa"/>
              <w:right w:w="86" w:type="dxa"/>
            </w:tcMar>
          </w:tcPr>
          <w:p w14:paraId="3E151B1A" w14:textId="77777777" w:rsidR="002A1CE5" w:rsidRPr="005D4222" w:rsidRDefault="002A1CE5" w:rsidP="005811DC">
            <w:pPr>
              <w:pStyle w:val="ECDSMarginHead"/>
            </w:pPr>
            <w:r w:rsidRPr="005D4222">
              <w:t>Measure ID</w:t>
            </w:r>
          </w:p>
        </w:tc>
        <w:tc>
          <w:tcPr>
            <w:tcW w:w="798" w:type="dxa"/>
            <w:tcMar>
              <w:top w:w="0" w:type="dxa"/>
              <w:left w:w="86" w:type="dxa"/>
              <w:bottom w:w="43" w:type="dxa"/>
              <w:right w:w="86" w:type="dxa"/>
            </w:tcMar>
          </w:tcPr>
          <w:p w14:paraId="4ABD9B52" w14:textId="77777777" w:rsidR="002A1CE5" w:rsidRPr="005D4222" w:rsidRDefault="002A1CE5">
            <w:pPr>
              <w:pStyle w:val="ECDSBody"/>
            </w:pPr>
            <w:r w:rsidRPr="005D4222">
              <w:t>PSA</w:t>
            </w:r>
          </w:p>
        </w:tc>
      </w:tr>
      <w:tr w:rsidR="002A1CE5" w:rsidRPr="005D4222" w14:paraId="30473981" w14:textId="77777777">
        <w:tc>
          <w:tcPr>
            <w:tcW w:w="2157" w:type="dxa"/>
            <w:shd w:val="clear" w:color="auto" w:fill="BFBFBF" w:themeFill="background1" w:themeFillShade="BF"/>
            <w:tcMar>
              <w:top w:w="0" w:type="dxa"/>
              <w:left w:w="86" w:type="dxa"/>
              <w:bottom w:w="43" w:type="dxa"/>
              <w:right w:w="86" w:type="dxa"/>
            </w:tcMar>
            <w:hideMark/>
          </w:tcPr>
          <w:p w14:paraId="0008222B" w14:textId="77777777" w:rsidR="002A1CE5" w:rsidRPr="005D4222" w:rsidRDefault="002A1CE5">
            <w:pPr>
              <w:pStyle w:val="ECDSMarginHead"/>
            </w:pPr>
            <w:r w:rsidRPr="005D4222">
              <w:t>Description</w:t>
            </w:r>
          </w:p>
        </w:tc>
        <w:tc>
          <w:tcPr>
            <w:tcW w:w="7557" w:type="dxa"/>
            <w:gridSpan w:val="3"/>
            <w:tcMar>
              <w:top w:w="0" w:type="dxa"/>
              <w:left w:w="86" w:type="dxa"/>
              <w:bottom w:w="43" w:type="dxa"/>
              <w:right w:w="86" w:type="dxa"/>
            </w:tcMar>
          </w:tcPr>
          <w:p w14:paraId="53138E4E" w14:textId="77777777" w:rsidR="002A1CE5" w:rsidRPr="005D4222" w:rsidRDefault="002A1CE5">
            <w:pPr>
              <w:pStyle w:val="ECDSBody"/>
            </w:pPr>
            <w:r w:rsidRPr="005D4222">
              <w:t>The percentage of men 70 years and older who were screened unnecessarily for prostate cancer using prostate-specific antigen (PSA)-based screening.</w:t>
            </w:r>
          </w:p>
        </w:tc>
      </w:tr>
      <w:tr w:rsidR="002A1CE5" w:rsidRPr="005D4222" w14:paraId="3A9C311E" w14:textId="77777777">
        <w:tc>
          <w:tcPr>
            <w:tcW w:w="2157" w:type="dxa"/>
            <w:shd w:val="clear" w:color="auto" w:fill="BFBFBF" w:themeFill="background1" w:themeFillShade="BF"/>
            <w:tcMar>
              <w:top w:w="0" w:type="dxa"/>
              <w:left w:w="86" w:type="dxa"/>
              <w:bottom w:w="43" w:type="dxa"/>
              <w:right w:w="86" w:type="dxa"/>
            </w:tcMar>
          </w:tcPr>
          <w:p w14:paraId="3775D1F2" w14:textId="77777777" w:rsidR="002A1CE5" w:rsidRPr="005D4222" w:rsidRDefault="002A1CE5">
            <w:pPr>
              <w:pStyle w:val="ECDSMarginHead"/>
            </w:pPr>
            <w:r w:rsidRPr="005D4222">
              <w:t>Measurement period</w:t>
            </w:r>
          </w:p>
        </w:tc>
        <w:tc>
          <w:tcPr>
            <w:tcW w:w="7557" w:type="dxa"/>
            <w:gridSpan w:val="3"/>
            <w:tcMar>
              <w:top w:w="0" w:type="dxa"/>
              <w:left w:w="86" w:type="dxa"/>
              <w:bottom w:w="43" w:type="dxa"/>
              <w:right w:w="86" w:type="dxa"/>
            </w:tcMar>
          </w:tcPr>
          <w:p w14:paraId="3E0400B7" w14:textId="77777777" w:rsidR="002A1CE5" w:rsidRPr="005D4222" w:rsidRDefault="002A1CE5">
            <w:pPr>
              <w:pStyle w:val="ECDSBody"/>
            </w:pPr>
            <w:r w:rsidRPr="005D4222">
              <w:t>January 1–December 31.</w:t>
            </w:r>
          </w:p>
        </w:tc>
      </w:tr>
      <w:tr w:rsidR="002A1CE5" w:rsidRPr="005D4222" w14:paraId="2EE21A8B" w14:textId="77777777">
        <w:tc>
          <w:tcPr>
            <w:tcW w:w="2157" w:type="dxa"/>
            <w:shd w:val="clear" w:color="auto" w:fill="BFBFBF" w:themeFill="background1" w:themeFillShade="BF"/>
            <w:tcMar>
              <w:top w:w="0" w:type="dxa"/>
              <w:left w:w="86" w:type="dxa"/>
              <w:bottom w:w="43" w:type="dxa"/>
              <w:right w:w="86" w:type="dxa"/>
            </w:tcMar>
            <w:hideMark/>
          </w:tcPr>
          <w:p w14:paraId="15150E10" w14:textId="77777777" w:rsidR="002A1CE5" w:rsidRPr="005D4222" w:rsidRDefault="002A1CE5">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63C93E32" w14:textId="77777777" w:rsidR="002A1CE5" w:rsidRPr="005D4222" w:rsidRDefault="002A1CE5">
            <w:pPr>
              <w:pStyle w:val="ECDSBody"/>
              <w:ind w:left="92" w:hanging="92"/>
              <w:rPr>
                <w:i/>
                <w:iCs/>
                <w:szCs w:val="21"/>
              </w:rPr>
            </w:pPr>
            <w:r w:rsidRPr="005D4222">
              <w:rPr>
                <w:bCs w:val="0"/>
                <w:szCs w:val="21"/>
              </w:rPr>
              <w:t>*</w:t>
            </w:r>
            <w:r w:rsidRPr="005D4222">
              <w:rPr>
                <w:b/>
                <w:szCs w:val="21"/>
              </w:rPr>
              <w:tab/>
            </w:r>
            <w:r w:rsidRPr="005D4222">
              <w:rPr>
                <w:i/>
                <w:iCs/>
                <w:szCs w:val="21"/>
              </w:rPr>
              <w:t>Adapted with financial support from the Centers for Medicare &amp; Medicaid Services.</w:t>
            </w:r>
          </w:p>
          <w:p w14:paraId="3A6401D2" w14:textId="77777777" w:rsidR="002A1CE5" w:rsidRPr="005D4222" w:rsidRDefault="002A1CE5">
            <w:pPr>
              <w:pStyle w:val="ECDSBody"/>
            </w:pPr>
            <w:r w:rsidRPr="005D4222">
              <w:t xml:space="preserve">Refer to the complete copyright and disclaimer information at the front of this publication. </w:t>
            </w:r>
          </w:p>
          <w:p w14:paraId="29A6A038" w14:textId="77777777" w:rsidR="002A1CE5" w:rsidRPr="005D4222" w:rsidRDefault="002A1CE5">
            <w:pPr>
              <w:pStyle w:val="ECDSBody"/>
              <w:spacing w:before="80"/>
            </w:pPr>
            <w:r w:rsidRPr="005D4222">
              <w:t xml:space="preserve">NCQA website: </w:t>
            </w:r>
            <w:r w:rsidRPr="005D4222">
              <w:rPr>
                <w:u w:val="single"/>
              </w:rPr>
              <w:t>www.ncqa.org</w:t>
            </w:r>
            <w:r w:rsidRPr="005D4222">
              <w:t>.</w:t>
            </w:r>
          </w:p>
          <w:p w14:paraId="785D5065" w14:textId="77777777" w:rsidR="002A1CE5" w:rsidRPr="005D4222" w:rsidRDefault="002A1CE5">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2A1CE5" w:rsidRPr="005D4222" w14:paraId="4D013423" w14:textId="77777777">
        <w:trPr>
          <w:trHeight w:val="655"/>
        </w:trPr>
        <w:tc>
          <w:tcPr>
            <w:tcW w:w="2157" w:type="dxa"/>
            <w:shd w:val="clear" w:color="auto" w:fill="BFBFBF" w:themeFill="background1" w:themeFillShade="BF"/>
            <w:tcMar>
              <w:top w:w="0" w:type="dxa"/>
              <w:left w:w="86" w:type="dxa"/>
              <w:bottom w:w="43" w:type="dxa"/>
              <w:right w:w="86" w:type="dxa"/>
            </w:tcMar>
            <w:hideMark/>
          </w:tcPr>
          <w:p w14:paraId="3321170C" w14:textId="77777777" w:rsidR="002A1CE5" w:rsidRPr="005D4222" w:rsidRDefault="002A1CE5">
            <w:pPr>
              <w:pStyle w:val="ECDSMarginHead"/>
            </w:pPr>
            <w:r w:rsidRPr="005D4222">
              <w:t>Clinical recommendation statement/ rationale</w:t>
            </w:r>
          </w:p>
        </w:tc>
        <w:tc>
          <w:tcPr>
            <w:tcW w:w="7557" w:type="dxa"/>
            <w:gridSpan w:val="3"/>
            <w:tcMar>
              <w:top w:w="0" w:type="dxa"/>
              <w:left w:w="86" w:type="dxa"/>
              <w:bottom w:w="43" w:type="dxa"/>
              <w:right w:w="86" w:type="dxa"/>
            </w:tcMar>
          </w:tcPr>
          <w:p w14:paraId="177DE4F4" w14:textId="77777777" w:rsidR="002A1CE5" w:rsidRPr="005D4222" w:rsidRDefault="002A1CE5">
            <w:pPr>
              <w:pStyle w:val="ECDSBody"/>
            </w:pPr>
            <w:r w:rsidRPr="005D4222">
              <w:t xml:space="preserve">The U.S. Preventive Services Task Force recommends against PSA-based screening for prostate cancer in men in the general U.S. population, regardless of age (D Recommendation, 2012), concluding that the overall benefits do not outweigh the associated harms with testing, subsequent diagnosis procedures and treatments. </w:t>
            </w:r>
          </w:p>
          <w:p w14:paraId="53C523F4" w14:textId="77777777" w:rsidR="002A1CE5" w:rsidRPr="005D4222" w:rsidRDefault="002A1CE5">
            <w:pPr>
              <w:pStyle w:val="ECDSBody"/>
              <w:rPr>
                <w:szCs w:val="21"/>
              </w:rPr>
            </w:pPr>
            <w:r w:rsidRPr="005D4222">
              <w:t xml:space="preserve">The American Urological Association recommends against routine PSA screening in men 70 years of age and older, or any man with a life expectancy of less than 10–15 years. </w:t>
            </w:r>
          </w:p>
        </w:tc>
      </w:tr>
      <w:tr w:rsidR="002A1CE5" w:rsidRPr="005D4222" w14:paraId="5A0A9BFF" w14:textId="77777777">
        <w:tc>
          <w:tcPr>
            <w:tcW w:w="2157" w:type="dxa"/>
            <w:shd w:val="clear" w:color="auto" w:fill="BFBFBF" w:themeFill="background1" w:themeFillShade="BF"/>
            <w:tcMar>
              <w:top w:w="0" w:type="dxa"/>
              <w:left w:w="86" w:type="dxa"/>
              <w:bottom w:w="43" w:type="dxa"/>
              <w:right w:w="86" w:type="dxa"/>
            </w:tcMar>
          </w:tcPr>
          <w:p w14:paraId="4239FD27" w14:textId="77777777" w:rsidR="002A1CE5" w:rsidRPr="005D4222" w:rsidRDefault="002A1CE5">
            <w:pPr>
              <w:pStyle w:val="ECDSMarginHead"/>
            </w:pPr>
            <w:r w:rsidRPr="005D4222">
              <w:t>Citations</w:t>
            </w:r>
          </w:p>
        </w:tc>
        <w:tc>
          <w:tcPr>
            <w:tcW w:w="7557" w:type="dxa"/>
            <w:gridSpan w:val="3"/>
            <w:tcMar>
              <w:top w:w="0" w:type="dxa"/>
              <w:left w:w="86" w:type="dxa"/>
              <w:bottom w:w="43" w:type="dxa"/>
              <w:right w:w="86" w:type="dxa"/>
            </w:tcMar>
          </w:tcPr>
          <w:p w14:paraId="45B1A439" w14:textId="77777777" w:rsidR="002A1CE5" w:rsidRPr="005D4222" w:rsidRDefault="002A1CE5">
            <w:pPr>
              <w:pStyle w:val="ECDSBody"/>
            </w:pPr>
            <w:r w:rsidRPr="005D4222">
              <w:t xml:space="preserve">U.S. Preventive Services Task Force. 2013. </w:t>
            </w:r>
            <w:r w:rsidRPr="005D4222">
              <w:rPr>
                <w:i/>
                <w:iCs/>
              </w:rPr>
              <w:t>Ann Intern Med</w:t>
            </w:r>
            <w:r w:rsidRPr="005D4222">
              <w:t xml:space="preserve"> 2012;157:120–34. </w:t>
            </w:r>
            <w:r w:rsidRPr="005D4222">
              <w:br/>
              <w:t>doi:10.7326/0003-4819-157-2-201207170-00459</w:t>
            </w:r>
          </w:p>
          <w:p w14:paraId="4AF5FD7E" w14:textId="77777777" w:rsidR="002A1CE5" w:rsidRPr="005D4222" w:rsidRDefault="002A1CE5">
            <w:pPr>
              <w:pStyle w:val="ECDSBody"/>
              <w:rPr>
                <w:szCs w:val="21"/>
              </w:rPr>
            </w:pPr>
            <w:r w:rsidRPr="005D4222">
              <w:rPr>
                <w:szCs w:val="21"/>
              </w:rPr>
              <w:t>Fenton, J.J., M.S. Weyrich, S. Durbin, Y. Liu, H. Bang, and J. Melnikow. 2018. “Prostate-Specific Antigen-Based Screening for Prostate Cancer: A Systematic Evidence Review for the U.S. Preventive Services Task Force.” U.S. Preventive Services Task Force Evidence Syntheses, Formerly Systematic Evidence Reviews. Rockville (MD): Agency for Healthcare Research and Quality (US). http://www.ncbi.nlm.nih.gov/books/NBK518890/</w:t>
            </w:r>
          </w:p>
        </w:tc>
      </w:tr>
      <w:tr w:rsidR="002A1CE5" w:rsidRPr="005D4222" w14:paraId="3C3923B8" w14:textId="77777777">
        <w:tc>
          <w:tcPr>
            <w:tcW w:w="9714"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640F5B94" w14:textId="77777777" w:rsidR="002A1CE5" w:rsidRPr="005D4222" w:rsidRDefault="002A1CE5">
            <w:pPr>
              <w:pStyle w:val="ECDSMarginHead"/>
            </w:pPr>
            <w:r w:rsidRPr="005D4222">
              <w:t>Characteristics</w:t>
            </w:r>
          </w:p>
        </w:tc>
      </w:tr>
      <w:tr w:rsidR="002A1CE5" w:rsidRPr="005D4222" w14:paraId="43DF981D" w14:textId="77777777">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771C1358" w14:textId="77777777" w:rsidR="002A1CE5" w:rsidRPr="005D4222" w:rsidRDefault="002A1CE5" w:rsidP="00A826A4">
            <w:pPr>
              <w:pStyle w:val="ECDSMarginSubhead"/>
              <w:spacing w:after="0"/>
            </w:pPr>
            <w:r w:rsidRPr="005D4222">
              <w:t>Scoring</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0B1F1E71" w14:textId="77777777" w:rsidR="002A1CE5" w:rsidRPr="005D4222" w:rsidRDefault="002A1CE5" w:rsidP="00A826A4">
            <w:pPr>
              <w:pStyle w:val="ECDSBody"/>
              <w:spacing w:after="0"/>
            </w:pPr>
            <w:r w:rsidRPr="005D4222">
              <w:t xml:space="preserve">Proportion. </w:t>
            </w:r>
          </w:p>
        </w:tc>
      </w:tr>
      <w:tr w:rsidR="002A1CE5" w:rsidRPr="005D4222" w14:paraId="557A887C"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73DB59D0" w14:textId="77777777" w:rsidR="002A1CE5" w:rsidRPr="005D4222" w:rsidRDefault="002A1CE5" w:rsidP="00A826A4">
            <w:pPr>
              <w:pStyle w:val="ECDSMarginSubhead"/>
              <w:spacing w:after="0"/>
            </w:pPr>
            <w:r w:rsidRPr="005D4222">
              <w:t>Type</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41117321" w14:textId="77777777" w:rsidR="002A1CE5" w:rsidRPr="005D4222" w:rsidRDefault="002A1CE5" w:rsidP="00A826A4">
            <w:pPr>
              <w:pStyle w:val="ECDSBody"/>
              <w:spacing w:after="0"/>
            </w:pPr>
            <w:r w:rsidRPr="005D4222">
              <w:t>Process.</w:t>
            </w:r>
          </w:p>
        </w:tc>
      </w:tr>
      <w:tr w:rsidR="002A1CE5" w:rsidRPr="005D4222" w14:paraId="71E07DC2"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58D2F289" w14:textId="2D02C0BD" w:rsidR="002A1CE5" w:rsidRPr="005D4222" w:rsidRDefault="00B51CDC" w:rsidP="00A826A4">
            <w:pPr>
              <w:pStyle w:val="ECDSMarginSubhead"/>
              <w:spacing w:after="0"/>
            </w:pPr>
            <w:r w:rsidRPr="005D4222">
              <w:t>Product lines</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2FAF446B" w14:textId="77777777" w:rsidR="002A1CE5" w:rsidRPr="005D4222" w:rsidRDefault="002A1CE5" w:rsidP="00A826A4">
            <w:pPr>
              <w:pStyle w:val="ECDSBody"/>
              <w:spacing w:after="0"/>
              <w:rPr>
                <w:rFonts w:eastAsia="Arial,Arial,Arial,Arial,Arial,A"/>
              </w:rPr>
            </w:pPr>
            <w:r w:rsidRPr="005D4222">
              <w:rPr>
                <w:rFonts w:eastAsia="Arial,Arial,Arial,Arial,Arial,A"/>
              </w:rPr>
              <w:t>Medicare.</w:t>
            </w:r>
          </w:p>
        </w:tc>
      </w:tr>
      <w:tr w:rsidR="002A1CE5" w:rsidRPr="005D4222" w14:paraId="7B0EE980" w14:textId="77777777" w:rsidTr="00A826A4">
        <w:tc>
          <w:tcPr>
            <w:tcW w:w="2157" w:type="dxa"/>
            <w:tcBorders>
              <w:top w:val="nil"/>
              <w:left w:val="single" w:sz="4" w:space="0" w:color="auto"/>
              <w:bottom w:val="nil"/>
              <w:right w:val="single" w:sz="4" w:space="0" w:color="auto"/>
            </w:tcBorders>
            <w:tcMar>
              <w:top w:w="0" w:type="dxa"/>
              <w:left w:w="86" w:type="dxa"/>
              <w:bottom w:w="43" w:type="dxa"/>
              <w:right w:w="86" w:type="dxa"/>
            </w:tcMar>
          </w:tcPr>
          <w:p w14:paraId="4C4560DB" w14:textId="6FE348AF" w:rsidR="002A1CE5" w:rsidRPr="005D4222" w:rsidRDefault="00B51CDC" w:rsidP="00A826A4">
            <w:pPr>
              <w:pStyle w:val="ECDSMarginSubhead"/>
              <w:spacing w:after="0"/>
            </w:pPr>
            <w:r w:rsidRPr="005D4222">
              <w:t>Stratifications</w:t>
            </w:r>
            <w:r w:rsidR="002A1CE5" w:rsidRPr="005D4222">
              <w:t xml:space="preserve"> </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1CA18242" w14:textId="77777777" w:rsidR="002A1CE5" w:rsidRPr="005D4222" w:rsidRDefault="002A1CE5" w:rsidP="00A826A4">
            <w:pPr>
              <w:pStyle w:val="ECDSBody"/>
              <w:spacing w:after="0"/>
            </w:pPr>
            <w:r w:rsidRPr="005D4222">
              <w:rPr>
                <w:rFonts w:eastAsia="Arial,Arial,Arial,Arial,Arial,A"/>
              </w:rPr>
              <w:t>None.</w:t>
            </w:r>
          </w:p>
        </w:tc>
      </w:tr>
      <w:tr w:rsidR="002A1CE5" w:rsidRPr="005D4222" w14:paraId="066963D4" w14:textId="77777777" w:rsidTr="00A826A4">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0620D74D" w14:textId="77777777" w:rsidR="002A1CE5" w:rsidRPr="005D4222" w:rsidRDefault="002A1CE5">
            <w:pPr>
              <w:pStyle w:val="ECDSMarginSubhead"/>
            </w:pPr>
            <w:r w:rsidRPr="005D4222">
              <w:t>Risk adjustment</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hideMark/>
          </w:tcPr>
          <w:p w14:paraId="34F06BEE" w14:textId="77777777" w:rsidR="002A1CE5" w:rsidRPr="005D4222" w:rsidRDefault="002A1CE5">
            <w:pPr>
              <w:pStyle w:val="ECDSBody"/>
              <w:spacing w:after="0"/>
            </w:pPr>
            <w:r w:rsidRPr="005D4222">
              <w:t>None.</w:t>
            </w:r>
          </w:p>
        </w:tc>
      </w:tr>
    </w:tbl>
    <w:p w14:paraId="24B953D4" w14:textId="77777777" w:rsidR="00A826A4" w:rsidRPr="005D4222" w:rsidRDefault="00A826A4"/>
    <w:tbl>
      <w:tblPr>
        <w:tblW w:w="9714" w:type="dxa"/>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2A1CE5" w:rsidRPr="005D4222" w14:paraId="575D8586" w14:textId="77777777" w:rsidTr="00A826A4">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142771BE" w14:textId="77777777" w:rsidR="002A1CE5" w:rsidRPr="005D4222" w:rsidRDefault="002A1CE5" w:rsidP="00A826A4">
            <w:pPr>
              <w:pStyle w:val="ECDSMarginSubhead"/>
              <w:spacing w:after="0"/>
            </w:pPr>
            <w:r w:rsidRPr="005D4222">
              <w:lastRenderedPageBreak/>
              <w:t>Improvement notation</w:t>
            </w: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48434291" w14:textId="77777777" w:rsidR="002A1CE5" w:rsidRPr="005D4222" w:rsidRDefault="002A1CE5" w:rsidP="00A826A4">
            <w:pPr>
              <w:pStyle w:val="ECDSBody"/>
              <w:spacing w:after="0"/>
              <w:rPr>
                <w:iCs/>
              </w:rPr>
            </w:pPr>
            <w:r w:rsidRPr="005D4222">
              <w:rPr>
                <w:iCs/>
              </w:rPr>
              <w:t>Decreased score indicates improvement.</w:t>
            </w:r>
          </w:p>
        </w:tc>
      </w:tr>
      <w:tr w:rsidR="002A1CE5" w:rsidRPr="005D4222" w14:paraId="4905E17B" w14:textId="77777777" w:rsidTr="00A826A4">
        <w:trPr>
          <w:trHeight w:val="633"/>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39D83F25" w14:textId="77777777" w:rsidR="002A1CE5" w:rsidRPr="005D4222" w:rsidRDefault="002A1CE5">
            <w:pPr>
              <w:pStyle w:val="ECDSMarginSubhead"/>
            </w:pPr>
            <w:r w:rsidRPr="005D4222">
              <w:t>Guidance</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37FB43A3" w14:textId="52F0E2A8" w:rsidR="002A1CE5" w:rsidRPr="005D4222" w:rsidRDefault="002A1CE5" w:rsidP="00A826A4">
            <w:pPr>
              <w:pStyle w:val="ECDSBody"/>
              <w:rPr>
                <w:b/>
              </w:rPr>
            </w:pPr>
            <w:r w:rsidRPr="005D4222">
              <w:rPr>
                <w:b/>
              </w:rPr>
              <w:t>Data collection methodology:</w:t>
            </w:r>
            <w:r w:rsidRPr="005D4222">
              <w:t xml:space="preserve"> Administrative. Refer to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3D5E8BD9" w14:textId="77777777" w:rsidR="002A1CE5" w:rsidRPr="005D4222" w:rsidRDefault="002A1CE5" w:rsidP="00A826A4">
            <w:pPr>
              <w:pStyle w:val="ECDSBody"/>
            </w:pPr>
            <w:r w:rsidRPr="005D4222">
              <w:rPr>
                <w:b/>
              </w:rPr>
              <w:t>Date specificity:</w:t>
            </w:r>
            <w:r w:rsidRPr="005D4222">
              <w:t xml:space="preserve"> Dates must be specific enough to determine the event occurred in the period being measured.</w:t>
            </w:r>
          </w:p>
          <w:p w14:paraId="6F27D02E" w14:textId="77777777" w:rsidR="002A1CE5" w:rsidRPr="005D4222" w:rsidRDefault="002A1CE5" w:rsidP="00A826A4">
            <w:pPr>
              <w:pStyle w:val="ECDSBody"/>
              <w:rPr>
                <w:b/>
              </w:rPr>
            </w:pPr>
            <w:r w:rsidRPr="005D4222">
              <w:rPr>
                <w:b/>
              </w:rPr>
              <w:t xml:space="preserve">Which services count? </w:t>
            </w:r>
          </w:p>
          <w:p w14:paraId="656A786F" w14:textId="77777777" w:rsidR="002A1CE5" w:rsidRPr="005D4222" w:rsidRDefault="002A1CE5">
            <w:pPr>
              <w:pStyle w:val="ProcessBullet"/>
              <w:spacing w:after="80"/>
            </w:pPr>
            <w:r w:rsidRPr="005D4222">
              <w:t>Include all paid, suspended, pending and denied claims to identify the initial population and denominator exclusions.</w:t>
            </w:r>
          </w:p>
          <w:p w14:paraId="409B20C0" w14:textId="77777777" w:rsidR="002A1CE5" w:rsidRPr="005D4222" w:rsidRDefault="002A1CE5">
            <w:pPr>
              <w:pStyle w:val="ProcessBullet"/>
              <w:rPr>
                <w:kern w:val="24"/>
              </w:rPr>
            </w:pPr>
            <w:r w:rsidRPr="005D4222">
              <w:rPr>
                <w:kern w:val="24"/>
              </w:rPr>
              <w:t>Do not include denied claims when identifying numerator events; only include claims the organization paid for or expects to pay for (i.e., claims incurred but not paid).</w:t>
            </w:r>
            <w:r w:rsidRPr="005D4222">
              <w:t xml:space="preserve"> </w:t>
            </w:r>
          </w:p>
          <w:p w14:paraId="1A444B35" w14:textId="77777777" w:rsidR="002A1CE5" w:rsidRPr="005D4222" w:rsidRDefault="002A1CE5" w:rsidP="00A826A4">
            <w:pPr>
              <w:pStyle w:val="ECDSBody"/>
            </w:pPr>
            <w:r w:rsidRPr="005D4222">
              <w:rPr>
                <w:b/>
              </w:rPr>
              <w:t>Supplemental data exceptions:</w:t>
            </w:r>
            <w:r w:rsidRPr="005D4222">
              <w:t xml:space="preserve"> Supplemental data may not be used for this measure, except for denominator exclusions.</w:t>
            </w:r>
          </w:p>
        </w:tc>
      </w:tr>
      <w:tr w:rsidR="002A1CE5" w:rsidRPr="005D4222" w14:paraId="119436CB" w14:textId="77777777" w:rsidTr="00A826A4">
        <w:trPr>
          <w:trHeight w:val="320"/>
        </w:trPr>
        <w:tc>
          <w:tcPr>
            <w:tcW w:w="2157" w:type="dxa"/>
            <w:shd w:val="clear" w:color="auto" w:fill="BFBFBF" w:themeFill="background1" w:themeFillShade="BF"/>
            <w:tcMar>
              <w:top w:w="0" w:type="dxa"/>
              <w:left w:w="86" w:type="dxa"/>
              <w:bottom w:w="43" w:type="dxa"/>
              <w:right w:w="86" w:type="dxa"/>
            </w:tcMar>
          </w:tcPr>
          <w:p w14:paraId="01A8127D" w14:textId="77777777" w:rsidR="002A1CE5" w:rsidRPr="005D4222" w:rsidRDefault="002A1CE5">
            <w:pPr>
              <w:pStyle w:val="ECDSMarginHead"/>
            </w:pPr>
            <w:r w:rsidRPr="005D4222">
              <w:t>Initial population</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7DA00FB" w14:textId="77777777" w:rsidR="002A1CE5" w:rsidRPr="005D4222" w:rsidRDefault="002A1CE5">
            <w:pPr>
              <w:pStyle w:val="ECDSBody"/>
            </w:pPr>
            <w:r w:rsidRPr="005D4222">
              <w:rPr>
                <w:i/>
                <w:iCs/>
              </w:rPr>
              <w:t xml:space="preserve">Measure item count: </w:t>
            </w:r>
            <w:r w:rsidRPr="005D4222">
              <w:t>Person.</w:t>
            </w:r>
          </w:p>
          <w:p w14:paraId="7164602B" w14:textId="77777777" w:rsidR="002A1CE5" w:rsidRPr="005D4222" w:rsidRDefault="002A1CE5">
            <w:pPr>
              <w:pStyle w:val="ECDSBody"/>
            </w:pPr>
            <w:r w:rsidRPr="005D4222">
              <w:rPr>
                <w:i/>
                <w:iCs/>
              </w:rPr>
              <w:t xml:space="preserve">Attribution basis: </w:t>
            </w:r>
            <w:r w:rsidRPr="005D4222">
              <w:t>Enrollment.</w:t>
            </w:r>
          </w:p>
          <w:p w14:paraId="32CA45CC" w14:textId="77777777" w:rsidR="002A1CE5" w:rsidRPr="005D4222" w:rsidRDefault="002A1CE5" w:rsidP="002A1CE5">
            <w:pPr>
              <w:pStyle w:val="Bullet"/>
              <w:numPr>
                <w:ilvl w:val="0"/>
                <w:numId w:val="4"/>
              </w:numPr>
              <w:tabs>
                <w:tab w:val="left" w:pos="360"/>
                <w:tab w:val="left" w:pos="576"/>
              </w:tabs>
              <w:ind w:left="576" w:hanging="216"/>
            </w:pPr>
            <w:r w:rsidRPr="005D4222">
              <w:rPr>
                <w:i/>
                <w:iCs/>
              </w:rPr>
              <w:t>Benefits:</w:t>
            </w:r>
            <w:r w:rsidRPr="005D4222">
              <w:t xml:space="preserve"> Medical.</w:t>
            </w:r>
          </w:p>
          <w:p w14:paraId="14E48232" w14:textId="77777777" w:rsidR="002A1CE5" w:rsidRPr="005D4222" w:rsidRDefault="002A1CE5" w:rsidP="002A1CE5">
            <w:pPr>
              <w:pStyle w:val="Bullet"/>
              <w:numPr>
                <w:ilvl w:val="0"/>
                <w:numId w:val="4"/>
              </w:numPr>
              <w:tabs>
                <w:tab w:val="left" w:pos="360"/>
                <w:tab w:val="left" w:pos="576"/>
              </w:tabs>
              <w:ind w:left="576" w:hanging="216"/>
            </w:pPr>
            <w:r w:rsidRPr="005D4222">
              <w:rPr>
                <w:i/>
                <w:iCs/>
              </w:rPr>
              <w:t>Continuous enrollment:</w:t>
            </w:r>
            <w:r w:rsidRPr="005D4222">
              <w:t xml:space="preserve"> The measurement period.</w:t>
            </w:r>
          </w:p>
          <w:p w14:paraId="1D637EE6" w14:textId="77777777" w:rsidR="002A1CE5" w:rsidRPr="005D4222" w:rsidRDefault="002A1CE5" w:rsidP="002A1CE5">
            <w:pPr>
              <w:pStyle w:val="Bullet"/>
              <w:numPr>
                <w:ilvl w:val="0"/>
                <w:numId w:val="4"/>
              </w:numPr>
              <w:tabs>
                <w:tab w:val="left" w:pos="360"/>
                <w:tab w:val="left" w:pos="576"/>
              </w:tabs>
              <w:ind w:left="576" w:hanging="216"/>
            </w:pPr>
            <w:r w:rsidRPr="005D4222">
              <w:rPr>
                <w:i/>
                <w:iCs/>
              </w:rPr>
              <w:t>Allowable gap:</w:t>
            </w:r>
            <w:r w:rsidRPr="005D4222">
              <w:t xml:space="preserve"> No more than one gap of ≤45 days during the measurement period. No gaps on the last day of the measurement period.  </w:t>
            </w:r>
          </w:p>
          <w:p w14:paraId="0D080304" w14:textId="77777777" w:rsidR="002A1CE5" w:rsidRPr="005D4222" w:rsidRDefault="002A1CE5">
            <w:pPr>
              <w:pStyle w:val="ECDSBody"/>
            </w:pPr>
            <w:r w:rsidRPr="005D4222">
              <w:rPr>
                <w:i/>
                <w:iCs/>
              </w:rPr>
              <w:t>Ages:</w:t>
            </w:r>
            <w:r w:rsidRPr="005D4222">
              <w:t xml:space="preserve"> 70 years of age and older as of the last day of the measurement period.</w:t>
            </w:r>
          </w:p>
          <w:p w14:paraId="0768728B" w14:textId="77777777" w:rsidR="002A1CE5" w:rsidRPr="005D4222" w:rsidRDefault="002A1CE5">
            <w:pPr>
              <w:pStyle w:val="ECDSBody"/>
              <w:rPr>
                <w:i/>
                <w:iCs/>
              </w:rPr>
            </w:pPr>
            <w:r w:rsidRPr="005D4222">
              <w:rPr>
                <w:i/>
                <w:iCs/>
              </w:rPr>
              <w:t xml:space="preserve">Gender/sex criteria: </w:t>
            </w:r>
          </w:p>
          <w:p w14:paraId="4CFEF9EA" w14:textId="77777777" w:rsidR="002A1CE5" w:rsidRPr="005D4222" w:rsidRDefault="002A1CE5" w:rsidP="002A1CE5">
            <w:pPr>
              <w:pStyle w:val="Bullet"/>
              <w:numPr>
                <w:ilvl w:val="0"/>
                <w:numId w:val="4"/>
              </w:numPr>
              <w:tabs>
                <w:tab w:val="left" w:pos="360"/>
                <w:tab w:val="left" w:pos="576"/>
              </w:tabs>
              <w:ind w:left="576" w:hanging="216"/>
            </w:pPr>
            <w:r w:rsidRPr="005D4222">
              <w:t>Administrative Gender of Male (AdministrativeGender code male) any time in the person’s history.</w:t>
            </w:r>
          </w:p>
          <w:p w14:paraId="6CC6616B" w14:textId="77777777" w:rsidR="002A1CE5" w:rsidRPr="005D4222" w:rsidRDefault="002A1CE5">
            <w:pPr>
              <w:pStyle w:val="ECDSBody"/>
            </w:pPr>
            <w:r w:rsidRPr="005D4222">
              <w:rPr>
                <w:i/>
                <w:iCs/>
              </w:rPr>
              <w:t>Event:</w:t>
            </w:r>
            <w:r w:rsidRPr="005D4222">
              <w:t xml:space="preserve"> None.</w:t>
            </w:r>
          </w:p>
        </w:tc>
      </w:tr>
      <w:tr w:rsidR="002A1CE5" w:rsidRPr="005D4222" w14:paraId="15845765" w14:textId="77777777" w:rsidTr="00A826A4">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E06B307" w14:textId="77777777" w:rsidR="002A1CE5" w:rsidRPr="005D4222" w:rsidRDefault="002A1CE5">
            <w:pPr>
              <w:pStyle w:val="ECDSMarginHead"/>
            </w:pPr>
            <w:r w:rsidRPr="005D4222">
              <w:t xml:space="preserve">Denominator exclusions </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620F16F7" w14:textId="77777777" w:rsidR="002A1CE5" w:rsidRPr="005D4222" w:rsidRDefault="002A1CE5">
            <w:pPr>
              <w:pStyle w:val="ECDSBody"/>
              <w:rPr>
                <w:rFonts w:cs="Segoe UI"/>
                <w:szCs w:val="18"/>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p w14:paraId="77F0F2A5" w14:textId="77777777" w:rsidR="002A1CE5" w:rsidRPr="005D4222" w:rsidRDefault="002A1CE5">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719999E0" w14:textId="77777777" w:rsidR="002A1CE5" w:rsidRPr="005D4222" w:rsidRDefault="002A1CE5">
            <w:pPr>
              <w:pStyle w:val="ECDSBody"/>
            </w:pPr>
            <w:r w:rsidRPr="005D4222">
              <w:rPr>
                <w:b/>
              </w:rPr>
              <w:t>Persons with a diagnosis or event for which PSA-based testing is clinically appropriate.</w:t>
            </w:r>
            <w:r w:rsidRPr="005D4222">
              <w:t xml:space="preserve"> </w:t>
            </w:r>
            <w:r w:rsidRPr="005D4222">
              <w:br/>
              <w:t>Any of the following meet criteria:</w:t>
            </w:r>
          </w:p>
          <w:p w14:paraId="2CB122FB" w14:textId="77777777" w:rsidR="002A1CE5" w:rsidRPr="005D4222" w:rsidRDefault="002A1CE5" w:rsidP="00B91B77">
            <w:pPr>
              <w:pStyle w:val="Bullet"/>
              <w:numPr>
                <w:ilvl w:val="0"/>
                <w:numId w:val="4"/>
              </w:numPr>
              <w:tabs>
                <w:tab w:val="left" w:pos="360"/>
                <w:tab w:val="left" w:pos="576"/>
              </w:tabs>
              <w:spacing w:after="80"/>
              <w:ind w:left="576" w:hanging="216"/>
            </w:pPr>
            <w:r w:rsidRPr="005D4222">
              <w:t>Prostate cancer diagnosis (</w:t>
            </w:r>
            <w:r w:rsidRPr="005D4222">
              <w:rPr>
                <w:u w:val="single"/>
              </w:rPr>
              <w:t>Prostate Cancer and History of Prostate Cancer Value Set</w:t>
            </w:r>
            <w:r w:rsidRPr="005D4222">
              <w:t xml:space="preserve">*) any time during the person’s history through the last day of the measurement period. </w:t>
            </w:r>
          </w:p>
          <w:p w14:paraId="2297D3B9" w14:textId="77777777" w:rsidR="002A1CE5" w:rsidRPr="005D4222" w:rsidRDefault="002A1CE5" w:rsidP="00B91B77">
            <w:pPr>
              <w:pStyle w:val="Bullet"/>
              <w:numPr>
                <w:ilvl w:val="0"/>
                <w:numId w:val="4"/>
              </w:numPr>
              <w:tabs>
                <w:tab w:val="left" w:pos="360"/>
                <w:tab w:val="left" w:pos="576"/>
              </w:tabs>
              <w:spacing w:before="180"/>
              <w:ind w:left="576" w:hanging="216"/>
            </w:pPr>
            <w:r w:rsidRPr="005D4222">
              <w:lastRenderedPageBreak/>
              <w:t>Dysplasia of the prostate (</w:t>
            </w:r>
            <w:r w:rsidRPr="005D4222">
              <w:rPr>
                <w:u w:val="single"/>
              </w:rPr>
              <w:t>Prostate Dysplasia Value Set</w:t>
            </w:r>
            <w:r w:rsidRPr="005D4222">
              <w:t>*) any time during the</w:t>
            </w:r>
            <w:r w:rsidRPr="005D4222">
              <w:rPr>
                <w:sz w:val="18"/>
                <w:szCs w:val="18"/>
              </w:rPr>
              <w:t xml:space="preserve"> </w:t>
            </w:r>
            <w:r w:rsidRPr="005D4222">
              <w:t>measurement period or the year prior to the measurement</w:t>
            </w:r>
            <w:r w:rsidRPr="005D4222">
              <w:rPr>
                <w:sz w:val="18"/>
                <w:szCs w:val="18"/>
              </w:rPr>
              <w:t xml:space="preserve"> </w:t>
            </w:r>
            <w:r w:rsidRPr="005D4222">
              <w:t xml:space="preserve">period. </w:t>
            </w:r>
          </w:p>
          <w:p w14:paraId="35A22032" w14:textId="4B7B83A1" w:rsidR="002A1CE5" w:rsidRPr="005D4222" w:rsidRDefault="002A1CE5" w:rsidP="002A1CE5">
            <w:pPr>
              <w:pStyle w:val="Bullet"/>
              <w:numPr>
                <w:ilvl w:val="0"/>
                <w:numId w:val="4"/>
              </w:numPr>
              <w:tabs>
                <w:tab w:val="left" w:pos="360"/>
                <w:tab w:val="left" w:pos="576"/>
              </w:tabs>
              <w:ind w:left="576" w:hanging="216"/>
              <w:rPr>
                <w:u w:val="single"/>
              </w:rPr>
            </w:pPr>
            <w:r w:rsidRPr="005D4222">
              <w:t>A PSA test (</w:t>
            </w:r>
            <w:r w:rsidRPr="005D4222">
              <w:rPr>
                <w:u w:val="single"/>
              </w:rPr>
              <w:t>PSA Lab Test Exclusion Value Set</w:t>
            </w:r>
            <w:r w:rsidRPr="005D4222">
              <w:t>) during the year prior to the measurement period where laboratory data indicate an elevated result (&gt;4.0 nanograms/milliliter [ng/mL]).</w:t>
            </w:r>
          </w:p>
          <w:p w14:paraId="27B9FCA7" w14:textId="77777777" w:rsidR="002A1CE5" w:rsidRPr="005D4222" w:rsidRDefault="002A1CE5" w:rsidP="002A1CE5">
            <w:pPr>
              <w:pStyle w:val="Bullet"/>
              <w:numPr>
                <w:ilvl w:val="0"/>
                <w:numId w:val="4"/>
              </w:numPr>
              <w:tabs>
                <w:tab w:val="left" w:pos="360"/>
                <w:tab w:val="left" w:pos="576"/>
              </w:tabs>
              <w:spacing w:after="80"/>
              <w:ind w:left="576" w:hanging="216"/>
              <w:rPr>
                <w:u w:val="single"/>
              </w:rPr>
            </w:pPr>
            <w:r w:rsidRPr="005D4222">
              <w:t>An abnormal PSA test result or finding (</w:t>
            </w:r>
            <w:r w:rsidRPr="005D4222">
              <w:rPr>
                <w:u w:val="single"/>
              </w:rPr>
              <w:t>Abnormal PSA Test Result or Finding Value Set</w:t>
            </w:r>
            <w:r w:rsidRPr="005D4222">
              <w:t xml:space="preserve">) during the year prior to the measurement period. </w:t>
            </w:r>
          </w:p>
          <w:p w14:paraId="251E4805" w14:textId="77777777" w:rsidR="002A1CE5" w:rsidRPr="005D4222" w:rsidRDefault="002A1CE5" w:rsidP="002A1CE5">
            <w:pPr>
              <w:pStyle w:val="Bullet"/>
              <w:numPr>
                <w:ilvl w:val="0"/>
                <w:numId w:val="4"/>
              </w:numPr>
              <w:tabs>
                <w:tab w:val="left" w:pos="360"/>
                <w:tab w:val="left" w:pos="576"/>
              </w:tabs>
              <w:spacing w:before="180" w:after="80"/>
              <w:ind w:left="576" w:hanging="216"/>
              <w:rPr>
                <w:u w:val="single"/>
              </w:rPr>
            </w:pPr>
            <w:r w:rsidRPr="005D4222">
              <w:t>Dispensed prescription for a 5-alpha reductase inhibitor (</w:t>
            </w:r>
            <w:r w:rsidRPr="005D4222">
              <w:rPr>
                <w:u w:val="single"/>
              </w:rPr>
              <w:t>5 ARI Medications List</w:t>
            </w:r>
            <w:r w:rsidRPr="005D4222">
              <w:t>) during the measurement period.</w:t>
            </w:r>
          </w:p>
          <w:p w14:paraId="15BDA7E2" w14:textId="77777777" w:rsidR="002A1CE5" w:rsidRPr="005D4222" w:rsidRDefault="002A1CE5">
            <w:pPr>
              <w:pStyle w:val="ECDSBody"/>
              <w:spacing w:before="180" w:after="0"/>
              <w:rPr>
                <w:b/>
                <w:bCs w:val="0"/>
              </w:rPr>
            </w:pPr>
            <w:r w:rsidRPr="005D4222">
              <w:rPr>
                <w:b/>
                <w:bCs w:val="0"/>
              </w:rPr>
              <w:t>Coding Guidance</w:t>
            </w:r>
          </w:p>
          <w:p w14:paraId="27DE4831" w14:textId="77777777" w:rsidR="002A1CE5" w:rsidRPr="005D4222" w:rsidRDefault="002A1CE5">
            <w:pPr>
              <w:pStyle w:val="ECDSBody"/>
              <w:spacing w:before="0"/>
            </w:pPr>
            <w:r w:rsidRPr="005D4222">
              <w:t>*Do not include laboratory claims (claims with POS code 81).</w:t>
            </w:r>
          </w:p>
        </w:tc>
      </w:tr>
      <w:tr w:rsidR="002A1CE5" w:rsidRPr="005D4222" w14:paraId="5705B5B8" w14:textId="77777777" w:rsidTr="00A826A4">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1197E22" w14:textId="77777777" w:rsidR="002A1CE5" w:rsidRPr="005D4222" w:rsidRDefault="002A1CE5">
            <w:pPr>
              <w:pStyle w:val="ECDSMarginHead"/>
            </w:pPr>
            <w:r w:rsidRPr="005D4222">
              <w:lastRenderedPageBreak/>
              <w:t>Denominator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A0899EC" w14:textId="77777777" w:rsidR="002A1CE5" w:rsidRPr="005D4222" w:rsidRDefault="002A1CE5">
            <w:pPr>
              <w:pStyle w:val="ECDSBody"/>
              <w:rPr>
                <w:b/>
              </w:rPr>
            </w:pPr>
            <w:r w:rsidRPr="005D4222">
              <w:rPr>
                <w:rFonts w:eastAsia="Arial,Arial,Arial,Arial,Arial,A"/>
              </w:rPr>
              <w:t>The initial population minus denominator exclusions.</w:t>
            </w:r>
          </w:p>
        </w:tc>
      </w:tr>
      <w:tr w:rsidR="002A1CE5" w:rsidRPr="005D4222" w14:paraId="245A84A1" w14:textId="77777777" w:rsidTr="00A826A4">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1193C86" w14:textId="77777777" w:rsidR="002A1CE5" w:rsidRPr="005D4222" w:rsidRDefault="002A1CE5">
            <w:pPr>
              <w:pStyle w:val="ECDSMarginHead"/>
            </w:pPr>
            <w:r w:rsidRPr="005D4222">
              <w:t>Numerator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10338AA5" w14:textId="77777777" w:rsidR="002A1CE5" w:rsidRPr="005D4222" w:rsidRDefault="002A1CE5">
            <w:pPr>
              <w:pStyle w:val="ECDSBody"/>
              <w:rPr>
                <w:rFonts w:eastAsia="Arial,Arial,Arial,Arial,Arial,A"/>
                <w:color w:val="000000" w:themeColor="text1"/>
                <w:highlight w:val="yellow"/>
              </w:rPr>
            </w:pPr>
            <w:r w:rsidRPr="005D4222">
              <w:rPr>
                <w:b/>
                <w:bCs w:val="0"/>
              </w:rPr>
              <w:t xml:space="preserve">PSA-based screening test. </w:t>
            </w:r>
            <w:r w:rsidRPr="005D4222">
              <w:rPr>
                <w:b/>
                <w:bCs w:val="0"/>
              </w:rPr>
              <w:br/>
            </w:r>
            <w:r w:rsidRPr="005D4222">
              <w:t>A PSA-based screening test (</w:t>
            </w:r>
            <w:r w:rsidRPr="005D4222">
              <w:rPr>
                <w:u w:val="single"/>
              </w:rPr>
              <w:t>PSA Lab Test Value Set</w:t>
            </w:r>
            <w:r w:rsidRPr="005D4222">
              <w:t xml:space="preserve">; </w:t>
            </w:r>
            <w:r w:rsidRPr="005D4222">
              <w:rPr>
                <w:u w:val="single"/>
              </w:rPr>
              <w:t>PSA Test Result or Finding Value Set</w:t>
            </w:r>
            <w:r w:rsidRPr="005D4222">
              <w:t>) performed during the measurement period.</w:t>
            </w:r>
          </w:p>
        </w:tc>
      </w:tr>
      <w:tr w:rsidR="002A1CE5" w:rsidRPr="005D4222" w14:paraId="2A41837E" w14:textId="77777777" w:rsidTr="00A826A4">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F9EE02B" w14:textId="77777777" w:rsidR="002A1CE5" w:rsidRPr="005D4222" w:rsidRDefault="002A1CE5">
            <w:pPr>
              <w:pStyle w:val="ECDSMarginHead"/>
            </w:pPr>
            <w:r w:rsidRPr="005D4222">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D0A96A1" w14:textId="777EE0C7" w:rsidR="002A1CE5" w:rsidRPr="005D4222" w:rsidRDefault="00D81F5D" w:rsidP="00B91B77">
            <w:pPr>
              <w:pStyle w:val="ProcessBullet"/>
              <w:spacing w:before="120"/>
            </w:pPr>
            <w:r w:rsidRPr="00D81F5D">
              <w:t xml:space="preserve">Added </w:t>
            </w:r>
            <w:r>
              <w:t xml:space="preserve">an </w:t>
            </w:r>
            <w:r w:rsidRPr="00D81F5D">
              <w:t>administrative gender code</w:t>
            </w:r>
            <w:r>
              <w:t xml:space="preserve"> </w:t>
            </w:r>
            <w:r w:rsidRPr="00D81F5D">
              <w:t>to the initial population.</w:t>
            </w:r>
          </w:p>
        </w:tc>
      </w:tr>
      <w:tr w:rsidR="002A1CE5" w:rsidRPr="005D4222" w14:paraId="04C42EDD" w14:textId="77777777" w:rsidTr="00A826A4">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E5E4CEB" w14:textId="77777777" w:rsidR="002A1CE5" w:rsidRPr="005D4222" w:rsidRDefault="002A1CE5">
            <w:pPr>
              <w:pStyle w:val="ECDS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2B9AC88" w14:textId="77777777" w:rsidR="002A1CE5" w:rsidRPr="005D4222" w:rsidRDefault="002A1CE5">
            <w:pPr>
              <w:pStyle w:val="ECDSBody"/>
            </w:pPr>
            <w:r w:rsidRPr="005D4222">
              <w:t>Organizations that submit HEDIS data to NCQA must provide the following data elements.</w:t>
            </w:r>
          </w:p>
          <w:p w14:paraId="581CE374" w14:textId="77777777" w:rsidR="002A1CE5" w:rsidRPr="005D4222" w:rsidRDefault="002A1CE5">
            <w:pPr>
              <w:pStyle w:val="Heading3"/>
              <w:spacing w:before="120"/>
            </w:pPr>
            <w:r w:rsidRPr="005D4222">
              <w:t xml:space="preserve">Table PSA-3: Data Elements for Non-Recommended PSA-Based Screening in Older Men </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66"/>
              <w:gridCol w:w="2051"/>
              <w:gridCol w:w="2358"/>
            </w:tblGrid>
            <w:tr w:rsidR="002A1CE5" w:rsidRPr="005D4222" w14:paraId="56DCEE0A" w14:textId="77777777">
              <w:tc>
                <w:tcPr>
                  <w:tcW w:w="2966"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hideMark/>
                </w:tcPr>
                <w:p w14:paraId="674EB154" w14:textId="77777777" w:rsidR="002A1CE5" w:rsidRPr="005D4222" w:rsidRDefault="002A1CE5">
                  <w:pPr>
                    <w:pStyle w:val="TableHead"/>
                    <w:rPr>
                      <w:rFonts w:cs="Arial"/>
                      <w:b w:val="0"/>
                    </w:rPr>
                  </w:pPr>
                  <w:r w:rsidRPr="005D4222">
                    <w:rPr>
                      <w:rFonts w:cs="Arial"/>
                    </w:rPr>
                    <w:t>Metric</w:t>
                  </w:r>
                </w:p>
              </w:tc>
              <w:tc>
                <w:tcPr>
                  <w:tcW w:w="2051"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hideMark/>
                </w:tcPr>
                <w:p w14:paraId="50F5DBB3" w14:textId="77777777" w:rsidR="002A1CE5" w:rsidRPr="005D4222" w:rsidRDefault="002A1CE5">
                  <w:pPr>
                    <w:pStyle w:val="TableHead"/>
                    <w:rPr>
                      <w:rFonts w:cs="Arial"/>
                      <w:b w:val="0"/>
                    </w:rPr>
                  </w:pPr>
                  <w:r w:rsidRPr="005D4222">
                    <w:rPr>
                      <w:rFonts w:cs="Arial"/>
                    </w:rPr>
                    <w:t>Data Element</w:t>
                  </w:r>
                </w:p>
              </w:tc>
              <w:tc>
                <w:tcPr>
                  <w:tcW w:w="2358"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hideMark/>
                </w:tcPr>
                <w:p w14:paraId="02FA495C" w14:textId="77777777" w:rsidR="002A1CE5" w:rsidRPr="005D4222" w:rsidRDefault="002A1CE5">
                  <w:pPr>
                    <w:pStyle w:val="TableHead"/>
                    <w:rPr>
                      <w:rFonts w:cs="Arial"/>
                      <w:b w:val="0"/>
                    </w:rPr>
                  </w:pPr>
                  <w:r w:rsidRPr="005D4222">
                    <w:rPr>
                      <w:rFonts w:cs="Arial"/>
                    </w:rPr>
                    <w:t>Reporting Instructions</w:t>
                  </w:r>
                </w:p>
              </w:tc>
            </w:tr>
            <w:tr w:rsidR="002A1CE5" w:rsidRPr="005D4222" w14:paraId="183B5112" w14:textId="77777777">
              <w:tc>
                <w:tcPr>
                  <w:tcW w:w="2966" w:type="dxa"/>
                  <w:tcBorders>
                    <w:top w:val="single" w:sz="4" w:space="0" w:color="000000" w:themeColor="text1"/>
                    <w:left w:val="single" w:sz="4" w:space="0" w:color="auto"/>
                    <w:bottom w:val="single" w:sz="4" w:space="0" w:color="auto"/>
                    <w:right w:val="single" w:sz="4" w:space="0" w:color="auto"/>
                  </w:tcBorders>
                  <w:hideMark/>
                </w:tcPr>
                <w:p w14:paraId="74A4E87F" w14:textId="77777777" w:rsidR="002A1CE5" w:rsidRPr="005D4222" w:rsidRDefault="002A1CE5">
                  <w:pPr>
                    <w:pStyle w:val="TableText"/>
                    <w:rPr>
                      <w:rFonts w:cs="Arial"/>
                      <w:szCs w:val="21"/>
                    </w:rPr>
                  </w:pPr>
                  <w:r w:rsidRPr="005D4222">
                    <w:rPr>
                      <w:rFonts w:cs="Arial"/>
                      <w:szCs w:val="21"/>
                    </w:rPr>
                    <w:t>NonRecommendedPSAScreening</w:t>
                  </w:r>
                </w:p>
              </w:tc>
              <w:tc>
                <w:tcPr>
                  <w:tcW w:w="2051" w:type="dxa"/>
                  <w:tcBorders>
                    <w:top w:val="single" w:sz="4" w:space="0" w:color="000000" w:themeColor="text1"/>
                    <w:left w:val="single" w:sz="4" w:space="0" w:color="auto"/>
                    <w:bottom w:val="single" w:sz="4" w:space="0" w:color="auto"/>
                    <w:right w:val="single" w:sz="4" w:space="0" w:color="auto"/>
                  </w:tcBorders>
                  <w:hideMark/>
                </w:tcPr>
                <w:p w14:paraId="7578526F" w14:textId="77777777" w:rsidR="002A1CE5" w:rsidRPr="005D4222" w:rsidRDefault="002A1CE5">
                  <w:pPr>
                    <w:pStyle w:val="TableText"/>
                    <w:rPr>
                      <w:rFonts w:cs="Arial"/>
                      <w:szCs w:val="21"/>
                    </w:rPr>
                  </w:pPr>
                  <w:r w:rsidRPr="005D4222">
                    <w:rPr>
                      <w:rFonts w:cs="Arial"/>
                      <w:szCs w:val="21"/>
                    </w:rPr>
                    <w:t xml:space="preserve">InitialPopulation </w:t>
                  </w:r>
                </w:p>
              </w:tc>
              <w:tc>
                <w:tcPr>
                  <w:tcW w:w="2358" w:type="dxa"/>
                  <w:tcBorders>
                    <w:top w:val="single" w:sz="4" w:space="0" w:color="000000" w:themeColor="text1"/>
                    <w:left w:val="single" w:sz="4" w:space="0" w:color="auto"/>
                    <w:bottom w:val="single" w:sz="6" w:space="0" w:color="auto"/>
                    <w:right w:val="single" w:sz="4" w:space="0" w:color="auto"/>
                  </w:tcBorders>
                  <w:hideMark/>
                </w:tcPr>
                <w:p w14:paraId="23FF67BC" w14:textId="77777777" w:rsidR="002A1CE5" w:rsidRPr="005D4222" w:rsidRDefault="002A1CE5">
                  <w:pPr>
                    <w:pStyle w:val="TableText"/>
                    <w:rPr>
                      <w:rFonts w:eastAsia="Wingdings" w:cs="Arial"/>
                      <w:szCs w:val="21"/>
                    </w:rPr>
                  </w:pPr>
                  <w:r w:rsidRPr="005D4222">
                    <w:rPr>
                      <w:rFonts w:eastAsia="Wingdings" w:cs="Arial"/>
                      <w:szCs w:val="21"/>
                    </w:rPr>
                    <w:t>Report once</w:t>
                  </w:r>
                </w:p>
              </w:tc>
            </w:tr>
            <w:tr w:rsidR="002A1CE5" w:rsidRPr="005D4222" w14:paraId="3C58AF58" w14:textId="77777777">
              <w:tc>
                <w:tcPr>
                  <w:tcW w:w="2966" w:type="dxa"/>
                  <w:tcBorders>
                    <w:top w:val="single" w:sz="4" w:space="0" w:color="auto"/>
                    <w:left w:val="nil"/>
                    <w:bottom w:val="nil"/>
                    <w:right w:val="single" w:sz="4" w:space="0" w:color="auto"/>
                  </w:tcBorders>
                  <w:shd w:val="clear" w:color="auto" w:fill="FFFFFF" w:themeFill="background1"/>
                </w:tcPr>
                <w:p w14:paraId="36A1D4BD" w14:textId="77777777" w:rsidR="002A1CE5" w:rsidRPr="005D4222" w:rsidRDefault="002A1CE5">
                  <w:pPr>
                    <w:pStyle w:val="TableText"/>
                    <w:rPr>
                      <w:rFonts w:cs="Arial"/>
                      <w:szCs w:val="21"/>
                    </w:rPr>
                  </w:pPr>
                </w:p>
              </w:tc>
              <w:tc>
                <w:tcPr>
                  <w:tcW w:w="205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96B2F26" w14:textId="77777777" w:rsidR="002A1CE5" w:rsidRPr="005D4222" w:rsidRDefault="002A1CE5">
                  <w:pPr>
                    <w:pStyle w:val="TableText"/>
                    <w:rPr>
                      <w:rFonts w:cs="Arial"/>
                    </w:rPr>
                  </w:pPr>
                  <w:r w:rsidRPr="005D4222">
                    <w:rPr>
                      <w:rFonts w:cs="Arial"/>
                    </w:rPr>
                    <w:t>Exclusions</w:t>
                  </w:r>
                </w:p>
              </w:tc>
              <w:tc>
                <w:tcPr>
                  <w:tcW w:w="2358"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1FFCB281" w14:textId="77777777" w:rsidR="002A1CE5" w:rsidRPr="005D4222" w:rsidRDefault="002A1CE5">
                  <w:pPr>
                    <w:pStyle w:val="TableText"/>
                    <w:rPr>
                      <w:rFonts w:eastAsia="Wingdings" w:cs="Arial"/>
                      <w:szCs w:val="21"/>
                    </w:rPr>
                  </w:pPr>
                  <w:r w:rsidRPr="005D4222">
                    <w:rPr>
                      <w:rFonts w:eastAsia="Wingdings" w:cs="Arial"/>
                      <w:szCs w:val="21"/>
                    </w:rPr>
                    <w:t>Report once</w:t>
                  </w:r>
                </w:p>
              </w:tc>
            </w:tr>
            <w:tr w:rsidR="002A1CE5" w:rsidRPr="005D4222" w14:paraId="29BD41F8" w14:textId="77777777">
              <w:tc>
                <w:tcPr>
                  <w:tcW w:w="2966" w:type="dxa"/>
                  <w:tcBorders>
                    <w:top w:val="nil"/>
                    <w:left w:val="nil"/>
                    <w:bottom w:val="nil"/>
                    <w:right w:val="single" w:sz="4" w:space="0" w:color="auto"/>
                  </w:tcBorders>
                  <w:shd w:val="clear" w:color="auto" w:fill="FFFFFF" w:themeFill="background1"/>
                </w:tcPr>
                <w:p w14:paraId="314B8A74" w14:textId="77777777" w:rsidR="002A1CE5" w:rsidRPr="005D4222" w:rsidRDefault="002A1CE5">
                  <w:pPr>
                    <w:pStyle w:val="TableText"/>
                    <w:rPr>
                      <w:rFonts w:cs="Arial"/>
                      <w:szCs w:val="21"/>
                    </w:rPr>
                  </w:pPr>
                </w:p>
              </w:tc>
              <w:tc>
                <w:tcPr>
                  <w:tcW w:w="2051" w:type="dxa"/>
                  <w:tcBorders>
                    <w:top w:val="single" w:sz="4" w:space="0" w:color="auto"/>
                    <w:left w:val="single" w:sz="4" w:space="0" w:color="auto"/>
                    <w:bottom w:val="single" w:sz="4" w:space="0" w:color="auto"/>
                    <w:right w:val="single" w:sz="4" w:space="0" w:color="auto"/>
                  </w:tcBorders>
                  <w:shd w:val="clear" w:color="auto" w:fill="FFFFFF" w:themeFill="background1"/>
                </w:tcPr>
                <w:p w14:paraId="3A0B428E" w14:textId="77777777" w:rsidR="002A1CE5" w:rsidRPr="005D4222" w:rsidRDefault="002A1CE5">
                  <w:pPr>
                    <w:pStyle w:val="TableText"/>
                    <w:rPr>
                      <w:rFonts w:cs="Arial"/>
                      <w:szCs w:val="21"/>
                    </w:rPr>
                  </w:pPr>
                  <w:r w:rsidRPr="005D4222">
                    <w:rPr>
                      <w:rFonts w:cs="Arial"/>
                      <w:szCs w:val="21"/>
                    </w:rPr>
                    <w:t>Denominator</w:t>
                  </w:r>
                </w:p>
              </w:tc>
              <w:tc>
                <w:tcPr>
                  <w:tcW w:w="2358" w:type="dxa"/>
                  <w:tcBorders>
                    <w:top w:val="single" w:sz="6" w:space="0" w:color="auto"/>
                    <w:left w:val="single" w:sz="4" w:space="0" w:color="auto"/>
                    <w:bottom w:val="single" w:sz="6" w:space="0" w:color="auto"/>
                    <w:right w:val="single" w:sz="4" w:space="0" w:color="auto"/>
                  </w:tcBorders>
                  <w:shd w:val="clear" w:color="auto" w:fill="FFFFFF" w:themeFill="background1"/>
                </w:tcPr>
                <w:p w14:paraId="5D052730" w14:textId="77777777" w:rsidR="002A1CE5" w:rsidRPr="005D4222" w:rsidRDefault="002A1CE5">
                  <w:pPr>
                    <w:pStyle w:val="TableText"/>
                    <w:rPr>
                      <w:rFonts w:eastAsia="Wingdings" w:cs="Arial"/>
                      <w:szCs w:val="21"/>
                    </w:rPr>
                  </w:pPr>
                  <w:r w:rsidRPr="005D4222">
                    <w:rPr>
                      <w:rFonts w:eastAsia="Wingdings" w:cs="Arial"/>
                      <w:szCs w:val="21"/>
                    </w:rPr>
                    <w:t>Report once</w:t>
                  </w:r>
                </w:p>
              </w:tc>
            </w:tr>
            <w:tr w:rsidR="002A1CE5" w:rsidRPr="005D4222" w14:paraId="73076D39" w14:textId="77777777">
              <w:tc>
                <w:tcPr>
                  <w:tcW w:w="2966" w:type="dxa"/>
                  <w:tcBorders>
                    <w:top w:val="nil"/>
                    <w:left w:val="nil"/>
                    <w:bottom w:val="nil"/>
                    <w:right w:val="nil"/>
                  </w:tcBorders>
                  <w:shd w:val="clear" w:color="auto" w:fill="FFFFFF" w:themeFill="background1"/>
                </w:tcPr>
                <w:p w14:paraId="5C987F4A" w14:textId="77777777" w:rsidR="002A1CE5" w:rsidRPr="005D4222" w:rsidRDefault="002A1CE5">
                  <w:pPr>
                    <w:pStyle w:val="TableText"/>
                    <w:rPr>
                      <w:rFonts w:cs="Arial"/>
                      <w:szCs w:val="21"/>
                    </w:rPr>
                  </w:pPr>
                </w:p>
              </w:tc>
              <w:tc>
                <w:tcPr>
                  <w:tcW w:w="205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1581C90" w14:textId="77777777" w:rsidR="002A1CE5" w:rsidRPr="005D4222" w:rsidRDefault="002A1CE5">
                  <w:pPr>
                    <w:pStyle w:val="TableText"/>
                    <w:rPr>
                      <w:rFonts w:cs="Arial"/>
                      <w:szCs w:val="21"/>
                    </w:rPr>
                  </w:pPr>
                  <w:r w:rsidRPr="005D4222">
                    <w:rPr>
                      <w:rFonts w:cs="Arial"/>
                      <w:szCs w:val="21"/>
                    </w:rPr>
                    <w:t>NumeratorByAdmin</w:t>
                  </w:r>
                </w:p>
              </w:tc>
              <w:tc>
                <w:tcPr>
                  <w:tcW w:w="2358"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0C4CA29F" w14:textId="77777777" w:rsidR="002A1CE5" w:rsidRPr="005D4222" w:rsidRDefault="002A1CE5">
                  <w:pPr>
                    <w:pStyle w:val="TableText"/>
                    <w:rPr>
                      <w:rFonts w:eastAsia="Wingdings" w:cs="Arial"/>
                      <w:szCs w:val="21"/>
                    </w:rPr>
                  </w:pPr>
                  <w:r w:rsidRPr="005D4222">
                    <w:rPr>
                      <w:rFonts w:eastAsia="Wingdings" w:cs="Arial"/>
                      <w:szCs w:val="21"/>
                    </w:rPr>
                    <w:t>Report once</w:t>
                  </w:r>
                </w:p>
              </w:tc>
            </w:tr>
            <w:tr w:rsidR="002A1CE5" w:rsidRPr="005D4222" w14:paraId="00B08B32" w14:textId="77777777">
              <w:tc>
                <w:tcPr>
                  <w:tcW w:w="2966" w:type="dxa"/>
                  <w:tcBorders>
                    <w:top w:val="nil"/>
                    <w:left w:val="nil"/>
                    <w:bottom w:val="nil"/>
                    <w:right w:val="nil"/>
                  </w:tcBorders>
                  <w:shd w:val="clear" w:color="auto" w:fill="FFFFFF" w:themeFill="background1"/>
                </w:tcPr>
                <w:p w14:paraId="7EF61E23" w14:textId="77777777" w:rsidR="002A1CE5" w:rsidRPr="005D4222" w:rsidRDefault="002A1CE5">
                  <w:pPr>
                    <w:pStyle w:val="TableText"/>
                    <w:rPr>
                      <w:rFonts w:cs="Arial"/>
                      <w:szCs w:val="21"/>
                    </w:rPr>
                  </w:pPr>
                </w:p>
              </w:tc>
              <w:tc>
                <w:tcPr>
                  <w:tcW w:w="205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2EF1D6D" w14:textId="77777777" w:rsidR="002A1CE5" w:rsidRPr="005D4222" w:rsidRDefault="002A1CE5">
                  <w:pPr>
                    <w:pStyle w:val="TableText"/>
                    <w:rPr>
                      <w:rFonts w:cs="Arial"/>
                      <w:szCs w:val="21"/>
                    </w:rPr>
                  </w:pPr>
                  <w:r w:rsidRPr="005D4222">
                    <w:rPr>
                      <w:rFonts w:cs="Arial"/>
                      <w:szCs w:val="21"/>
                    </w:rPr>
                    <w:t>Rate</w:t>
                  </w:r>
                </w:p>
              </w:tc>
              <w:tc>
                <w:tcPr>
                  <w:tcW w:w="2358" w:type="dxa"/>
                  <w:tcBorders>
                    <w:top w:val="single" w:sz="6" w:space="0" w:color="auto"/>
                    <w:left w:val="single" w:sz="4" w:space="0" w:color="auto"/>
                    <w:bottom w:val="single" w:sz="6" w:space="0" w:color="auto"/>
                    <w:right w:val="single" w:sz="4" w:space="0" w:color="auto"/>
                  </w:tcBorders>
                  <w:shd w:val="clear" w:color="auto" w:fill="D9D9D9" w:themeFill="background1" w:themeFillShade="D9"/>
                  <w:hideMark/>
                </w:tcPr>
                <w:p w14:paraId="6A48AA0C" w14:textId="77777777" w:rsidR="002A1CE5" w:rsidRPr="005D4222" w:rsidRDefault="002A1CE5">
                  <w:pPr>
                    <w:pStyle w:val="TableText"/>
                    <w:rPr>
                      <w:rFonts w:eastAsia="Wingdings" w:cs="Arial"/>
                      <w:szCs w:val="21"/>
                    </w:rPr>
                  </w:pPr>
                  <w:r w:rsidRPr="005D4222">
                    <w:rPr>
                      <w:rFonts w:eastAsia="Wingdings" w:cs="Arial"/>
                      <w:szCs w:val="21"/>
                    </w:rPr>
                    <w:t>(Percent)</w:t>
                  </w:r>
                </w:p>
              </w:tc>
            </w:tr>
          </w:tbl>
          <w:p w14:paraId="0FD8A1CF" w14:textId="77777777" w:rsidR="002A1CE5" w:rsidRPr="005D4222" w:rsidRDefault="002A1CE5">
            <w:pPr>
              <w:pStyle w:val="ProcessDash"/>
              <w:numPr>
                <w:ilvl w:val="0"/>
                <w:numId w:val="0"/>
              </w:numPr>
              <w:rPr>
                <w:rFonts w:cs="Arial"/>
                <w:color w:val="000000" w:themeColor="text1"/>
                <w:highlight w:val="yellow"/>
              </w:rPr>
            </w:pPr>
          </w:p>
        </w:tc>
      </w:tr>
      <w:tr w:rsidR="002A1CE5" w:rsidRPr="005D4222" w14:paraId="55A637DB" w14:textId="77777777" w:rsidTr="00A826A4">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54676C9" w14:textId="77777777" w:rsidR="002A1CE5" w:rsidRPr="005D4222" w:rsidRDefault="002A1CE5">
            <w:pPr>
              <w:pStyle w:val="ECDSMarginHead"/>
            </w:pPr>
            <w:r w:rsidRPr="005D4222">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B4802CE" w14:textId="77777777" w:rsidR="002A1CE5" w:rsidRPr="005D4222" w:rsidRDefault="002A1CE5">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04A06BC9" w14:textId="77777777" w:rsidR="002A1CE5" w:rsidRPr="005D4222" w:rsidRDefault="002A1CE5">
            <w:pPr>
              <w:pStyle w:val="ECDSBody"/>
              <w:rPr>
                <w:b/>
              </w:rPr>
            </w:pPr>
            <w:r w:rsidRPr="005D4222">
              <w:rPr>
                <w:b/>
              </w:rPr>
              <w:t>Adjusted HEDIS measures may not be used for HEDIS health plan reporting.</w:t>
            </w:r>
          </w:p>
          <w:p w14:paraId="1953B46C" w14:textId="77777777" w:rsidR="002A1CE5" w:rsidRPr="005D4222" w:rsidRDefault="002A1CE5">
            <w:pPr>
              <w:pStyle w:val="Adjustments"/>
            </w:pPr>
            <w:r w:rsidRPr="005D4222">
              <w:t>Adjustments allowed</w:t>
            </w:r>
          </w:p>
          <w:p w14:paraId="3B3D41C4" w14:textId="28BF5B51" w:rsidR="002A1CE5" w:rsidRPr="005D4222" w:rsidRDefault="002A1CE5">
            <w:pPr>
              <w:pStyle w:val="ProcessBullet"/>
              <w:rPr>
                <w:b/>
              </w:rPr>
            </w:pPr>
            <w:r w:rsidRPr="005D4222">
              <w:rPr>
                <w:i/>
                <w:iCs/>
              </w:rPr>
              <w:t>Product lines</w:t>
            </w:r>
            <w:r w:rsidRPr="005D4222">
              <w:t>. Organizations are not required to use product line criteria; product lines may be combined</w:t>
            </w:r>
            <w:r w:rsidR="00E8671F" w:rsidRPr="005D4222">
              <w:t>,</w:t>
            </w:r>
            <w:r w:rsidRPr="005D4222">
              <w:t xml:space="preserve"> and all (or no) product line criteria may be used.</w:t>
            </w:r>
          </w:p>
          <w:p w14:paraId="3810CE53" w14:textId="77777777" w:rsidR="002A1CE5" w:rsidRPr="005D4222" w:rsidRDefault="002A1CE5" w:rsidP="00B91B77">
            <w:pPr>
              <w:pStyle w:val="ProcessBullet"/>
              <w:spacing w:after="80"/>
            </w:pPr>
            <w:r w:rsidRPr="005D4222">
              <w:rPr>
                <w:i/>
                <w:iCs/>
              </w:rPr>
              <w:t xml:space="preserve">Attribution. </w:t>
            </w:r>
            <w:r w:rsidRPr="005D4222">
              <w:t xml:space="preserve">Organizations are not required to use enrollment criteria. </w:t>
            </w:r>
          </w:p>
          <w:p w14:paraId="77C822FC" w14:textId="77777777" w:rsidR="002A1CE5" w:rsidRPr="005D4222" w:rsidRDefault="002A1CE5" w:rsidP="00B91B77">
            <w:pPr>
              <w:pStyle w:val="ProcessBullet"/>
              <w:spacing w:before="180"/>
            </w:pPr>
            <w:r w:rsidRPr="005D4222">
              <w:rPr>
                <w:i/>
                <w:iCs/>
              </w:rPr>
              <w:lastRenderedPageBreak/>
              <w:t>Benefits.</w:t>
            </w:r>
            <w:r w:rsidRPr="005D4222">
              <w:t xml:space="preserve"> Organizations are not required to use a benefit.</w:t>
            </w:r>
          </w:p>
          <w:p w14:paraId="53F31FC5" w14:textId="77777777" w:rsidR="002A1CE5" w:rsidRPr="005D4222" w:rsidRDefault="002A1CE5">
            <w:pPr>
              <w:pStyle w:val="ProcessBullet"/>
              <w:spacing w:after="80"/>
            </w:pPr>
            <w:r w:rsidRPr="005D4222">
              <w:rPr>
                <w:i/>
                <w:iCs/>
              </w:rPr>
              <w:t>Other.</w:t>
            </w:r>
            <w:r w:rsidRPr="005D4222">
              <w:t xml:space="preserve"> Organizations may use additional initial population criteria to focus on an area of interest defined by gender, race, ethnicity, socioeconomic or sociodemographic characteristics, geographic region or another characteristic.  </w:t>
            </w:r>
          </w:p>
          <w:p w14:paraId="3116BD15" w14:textId="77777777" w:rsidR="002A1CE5" w:rsidRPr="005D4222" w:rsidRDefault="002A1CE5">
            <w:pPr>
              <w:pStyle w:val="ProcessBullet"/>
              <w:spacing w:after="80"/>
              <w:rPr>
                <w:b/>
                <w:bCs/>
                <w:color w:val="000000" w:themeColor="text1"/>
              </w:rPr>
            </w:pPr>
            <w:r w:rsidRPr="005D4222">
              <w:rPr>
                <w:i/>
                <w:iCs/>
              </w:rPr>
              <w:t>Measurement period adjustments.</w:t>
            </w:r>
            <w:r w:rsidRPr="005D4222">
              <w:t xml:space="preserve"> Organizations may adjust the measurement period. </w:t>
            </w:r>
          </w:p>
          <w:p w14:paraId="5060936A" w14:textId="77777777" w:rsidR="002A1CE5" w:rsidRPr="005D4222" w:rsidRDefault="002A1CE5" w:rsidP="00543AE0">
            <w:pPr>
              <w:pStyle w:val="ProcessBullet"/>
              <w:spacing w:after="80"/>
              <w:rPr>
                <w:iCs/>
              </w:rPr>
            </w:pPr>
            <w:r w:rsidRPr="005D4222">
              <w:rPr>
                <w:i/>
                <w:iCs/>
              </w:rPr>
              <w:t xml:space="preserve">Exclusions. </w:t>
            </w:r>
            <w:r w:rsidRPr="005D4222">
              <w:rPr>
                <w:rFonts w:eastAsia="Arial"/>
                <w:iCs/>
                <w:szCs w:val="18"/>
              </w:rPr>
              <w:t xml:space="preserve">The hospice and deceased person exclusions are not required. </w:t>
            </w:r>
          </w:p>
          <w:p w14:paraId="2404199C" w14:textId="526469A0" w:rsidR="002A1CE5" w:rsidRPr="005D4222" w:rsidRDefault="002A1CE5">
            <w:pPr>
              <w:pStyle w:val="ProcessBullet"/>
              <w:spacing w:after="80"/>
            </w:pPr>
            <w:r w:rsidRPr="005D4222">
              <w:rPr>
                <w:i/>
                <w:iCs/>
              </w:rPr>
              <w:t xml:space="preserve">Telehealth. </w:t>
            </w:r>
            <w:r w:rsidRPr="005D4222">
              <w:t xml:space="preserve">Services/events that allow the use of synchronous telehealth visits, telephone visits and asynchronous telehealth (e-visits, virtual check-ins) may be stratified to identify services performed via telehealth. This adjustment is not allowed for </w:t>
            </w:r>
            <w:r w:rsidR="00F45777" w:rsidRPr="005D4222">
              <w:t>events</w:t>
            </w:r>
            <w:r w:rsidRPr="005D4222">
              <w:t>, numerators and exclusions that do not allow the use of telehealth.</w:t>
            </w:r>
          </w:p>
          <w:p w14:paraId="4C572FD1" w14:textId="77777777" w:rsidR="002A1CE5" w:rsidRPr="005D4222" w:rsidRDefault="002A1CE5">
            <w:pPr>
              <w:pStyle w:val="ProcessBullet"/>
            </w:pPr>
            <w:r w:rsidRPr="005D4222">
              <w:rPr>
                <w:i/>
                <w:iCs/>
              </w:rPr>
              <w:t>Supplemental data.</w:t>
            </w:r>
            <w:r w:rsidRPr="005D4222">
              <w:t xml:space="preserve"> Supplemental data may be used to identify initial population, denominator, exclusion and numerator events.</w:t>
            </w:r>
          </w:p>
          <w:p w14:paraId="47D23CF7" w14:textId="77777777" w:rsidR="002A1CE5" w:rsidRPr="005D4222" w:rsidRDefault="002A1CE5">
            <w:pPr>
              <w:pStyle w:val="Adjustments"/>
            </w:pPr>
            <w:r w:rsidRPr="005D4222">
              <w:t>Adjustments allowed with limits</w:t>
            </w:r>
          </w:p>
          <w:p w14:paraId="6779B9FA" w14:textId="77777777" w:rsidR="002A1CE5" w:rsidRPr="005D4222" w:rsidRDefault="002A1CE5">
            <w:pPr>
              <w:pStyle w:val="ProcessBullet"/>
            </w:pPr>
            <w:r w:rsidRPr="005D4222">
              <w:rPr>
                <w:i/>
                <w:iCs/>
              </w:rPr>
              <w:t>Ages</w:t>
            </w:r>
            <w:r w:rsidRPr="005D4222">
              <w:t>. The age determination dates may be changed (e.g., select “age as of June 30”). Changing the denominator age range is allowed if the limits are within the specified age range (70 years and older). The denominator age may not be expanded.</w:t>
            </w:r>
          </w:p>
          <w:p w14:paraId="43E09B63" w14:textId="2156D95B" w:rsidR="002A1CE5" w:rsidRPr="005D4222" w:rsidRDefault="002A1CE5">
            <w:pPr>
              <w:pStyle w:val="ProcessBullet"/>
              <w:rPr>
                <w:i/>
                <w:iCs/>
              </w:rPr>
            </w:pPr>
            <w:r w:rsidRPr="005D4222">
              <w:rPr>
                <w:i/>
                <w:iCs/>
              </w:rPr>
              <w:t>Exclusions</w:t>
            </w:r>
            <w:r w:rsidR="00851338" w:rsidRPr="005D4222">
              <w:rPr>
                <w:i/>
                <w:iCs/>
              </w:rPr>
              <w:t>.</w:t>
            </w:r>
            <w:r w:rsidRPr="005D4222">
              <w:t xml:space="preserve"> </w:t>
            </w:r>
            <w:r w:rsidR="00DF2AEB" w:rsidRPr="005D4222">
              <w:t>The d</w:t>
            </w:r>
            <w:r w:rsidRPr="005D4222">
              <w:t xml:space="preserve">iagnosis or event for which PSA-based testing is clinically appropriate exclusions </w:t>
            </w:r>
            <w:r w:rsidR="00CA635C" w:rsidRPr="005D4222">
              <w:t>must be applied</w:t>
            </w:r>
            <w:r w:rsidRPr="005D4222">
              <w:t>.</w:t>
            </w:r>
            <w:r w:rsidR="00CA635C" w:rsidRPr="005D4222">
              <w:t xml:space="preserve"> Value sets and logic</w:t>
            </w:r>
            <w:r w:rsidR="004D5CC3" w:rsidRPr="005D4222">
              <w:t xml:space="preserve"> may not be changed.</w:t>
            </w:r>
          </w:p>
          <w:p w14:paraId="1AB61091" w14:textId="77777777" w:rsidR="002A1CE5" w:rsidRPr="005D4222" w:rsidRDefault="002A1CE5" w:rsidP="005D6173">
            <w:pPr>
              <w:pStyle w:val="Note"/>
              <w:numPr>
                <w:ilvl w:val="0"/>
                <w:numId w:val="86"/>
              </w:numPr>
              <w:spacing w:before="80" w:after="80"/>
              <w:ind w:left="182" w:hanging="180"/>
              <w:rPr>
                <w:sz w:val="21"/>
                <w:szCs w:val="21"/>
              </w:rPr>
            </w:pPr>
            <w:r w:rsidRPr="005D4222">
              <w:rPr>
                <w:sz w:val="21"/>
                <w:szCs w:val="21"/>
              </w:rPr>
              <w:t xml:space="preserve">Numerator. </w:t>
            </w:r>
            <w:r w:rsidRPr="005D4222">
              <w:rPr>
                <w:i w:val="0"/>
                <w:sz w:val="21"/>
                <w:szCs w:val="21"/>
              </w:rPr>
              <w:t>Value sets and logic may not be changed. Organizations may include denied claims to calculate the numerator.</w:t>
            </w:r>
          </w:p>
        </w:tc>
      </w:tr>
    </w:tbl>
    <w:p w14:paraId="060557F1" w14:textId="77777777" w:rsidR="00543AE0" w:rsidRPr="005D4222" w:rsidRDefault="00543AE0" w:rsidP="00D606F6">
      <w:pPr>
        <w:pStyle w:val="ECDSBody"/>
        <w:sectPr w:rsidR="00543AE0" w:rsidRPr="005D4222" w:rsidSect="0074514A">
          <w:headerReference w:type="default" r:id="rId135"/>
          <w:footerReference w:type="default" r:id="rId136"/>
          <w:type w:val="nextColumn"/>
          <w:pgSz w:w="12240" w:h="15840" w:code="1"/>
          <w:pgMar w:top="1080" w:right="1080" w:bottom="1080" w:left="1440" w:header="720" w:footer="720" w:gutter="0"/>
          <w:cols w:space="720"/>
          <w:docGrid w:linePitch="360"/>
        </w:sectPr>
      </w:pPr>
    </w:p>
    <w:p w14:paraId="5871AFA2" w14:textId="741B979F" w:rsidR="00D606F6" w:rsidRPr="005D4222" w:rsidRDefault="000F5E7E" w:rsidP="00342506">
      <w:pPr>
        <w:pStyle w:val="MeasureTitle"/>
      </w:pPr>
      <w:bookmarkStart w:id="316" w:name="_Toc201813425"/>
      <w:r w:rsidRPr="005D4222">
        <w:lastRenderedPageBreak/>
        <w:t>Appropriate Treatment for Upper Respiratory Infection</w:t>
      </w:r>
      <w:r w:rsidR="0096709F" w:rsidRPr="005D4222">
        <w:t xml:space="preserve"> (URI)</w:t>
      </w:r>
      <w:bookmarkEnd w:id="316"/>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86" w:type="dxa"/>
          <w:bottom w:w="40" w:type="dxa"/>
          <w:right w:w="86" w:type="dxa"/>
        </w:tblCellMar>
        <w:tblLook w:val="04A0" w:firstRow="1" w:lastRow="0" w:firstColumn="1" w:lastColumn="0" w:noHBand="0" w:noVBand="1"/>
      </w:tblPr>
      <w:tblGrid>
        <w:gridCol w:w="2157"/>
        <w:gridCol w:w="5400"/>
        <w:gridCol w:w="1440"/>
        <w:gridCol w:w="717"/>
      </w:tblGrid>
      <w:tr w:rsidR="00C56CC6" w:rsidRPr="005D4222" w14:paraId="1BAE617D" w14:textId="77777777">
        <w:tc>
          <w:tcPr>
            <w:tcW w:w="2157" w:type="dxa"/>
            <w:shd w:val="clear" w:color="auto" w:fill="BFBFBF" w:themeFill="background1" w:themeFillShade="BF"/>
            <w:tcMar>
              <w:top w:w="0" w:type="dxa"/>
              <w:left w:w="86" w:type="dxa"/>
              <w:bottom w:w="0" w:type="dxa"/>
              <w:right w:w="86" w:type="dxa"/>
            </w:tcMar>
            <w:hideMark/>
          </w:tcPr>
          <w:p w14:paraId="61B18E14" w14:textId="77777777" w:rsidR="00C56CC6" w:rsidRPr="005D4222" w:rsidRDefault="00C56CC6">
            <w:pPr>
              <w:pStyle w:val="ECDSMarginHead"/>
            </w:pPr>
            <w:r w:rsidRPr="005D4222">
              <w:t>Measure title</w:t>
            </w:r>
          </w:p>
        </w:tc>
        <w:tc>
          <w:tcPr>
            <w:tcW w:w="5400" w:type="dxa"/>
            <w:tcMar>
              <w:top w:w="0" w:type="dxa"/>
              <w:left w:w="86" w:type="dxa"/>
              <w:bottom w:w="0" w:type="dxa"/>
              <w:right w:w="86" w:type="dxa"/>
            </w:tcMar>
          </w:tcPr>
          <w:p w14:paraId="73A481C2" w14:textId="77777777" w:rsidR="00C56CC6" w:rsidRPr="005D4222" w:rsidRDefault="00C56CC6">
            <w:pPr>
              <w:pStyle w:val="ECDSBody"/>
            </w:pPr>
            <w:r w:rsidRPr="005D4222">
              <w:t>Appropriate Treatment for Upper Respiratory Infection</w:t>
            </w:r>
          </w:p>
        </w:tc>
        <w:tc>
          <w:tcPr>
            <w:tcW w:w="1440" w:type="dxa"/>
            <w:shd w:val="clear" w:color="auto" w:fill="BFBFBF" w:themeFill="background1" w:themeFillShade="BF"/>
            <w:tcMar>
              <w:top w:w="0" w:type="dxa"/>
              <w:left w:w="86" w:type="dxa"/>
              <w:bottom w:w="0" w:type="dxa"/>
              <w:right w:w="86" w:type="dxa"/>
            </w:tcMar>
          </w:tcPr>
          <w:p w14:paraId="0912F048" w14:textId="77777777" w:rsidR="00C56CC6" w:rsidRPr="005D4222" w:rsidRDefault="00C56CC6" w:rsidP="00CE6D38">
            <w:pPr>
              <w:pStyle w:val="ECDSMarginHead"/>
            </w:pPr>
            <w:r w:rsidRPr="005D4222">
              <w:t>Measure ID</w:t>
            </w:r>
          </w:p>
        </w:tc>
        <w:tc>
          <w:tcPr>
            <w:tcW w:w="717" w:type="dxa"/>
            <w:tcMar>
              <w:top w:w="0" w:type="dxa"/>
              <w:left w:w="86" w:type="dxa"/>
              <w:bottom w:w="0" w:type="dxa"/>
              <w:right w:w="86" w:type="dxa"/>
            </w:tcMar>
          </w:tcPr>
          <w:p w14:paraId="3698B6ED" w14:textId="77777777" w:rsidR="00C56CC6" w:rsidRPr="005D4222" w:rsidRDefault="00C56CC6">
            <w:pPr>
              <w:pStyle w:val="ECDSBody"/>
            </w:pPr>
            <w:r w:rsidRPr="005D4222">
              <w:t>URI</w:t>
            </w:r>
          </w:p>
        </w:tc>
      </w:tr>
      <w:tr w:rsidR="00C56CC6" w:rsidRPr="005D4222" w14:paraId="0BFE8FB7" w14:textId="77777777">
        <w:tc>
          <w:tcPr>
            <w:tcW w:w="2157" w:type="dxa"/>
            <w:shd w:val="clear" w:color="auto" w:fill="BFBFBF" w:themeFill="background1" w:themeFillShade="BF"/>
            <w:tcMar>
              <w:top w:w="0" w:type="dxa"/>
              <w:left w:w="86" w:type="dxa"/>
              <w:bottom w:w="0" w:type="dxa"/>
              <w:right w:w="86" w:type="dxa"/>
            </w:tcMar>
            <w:hideMark/>
          </w:tcPr>
          <w:p w14:paraId="0BDEC584" w14:textId="77777777" w:rsidR="00C56CC6" w:rsidRPr="005D4222" w:rsidRDefault="00C56CC6">
            <w:pPr>
              <w:pStyle w:val="ECDSMarginHead"/>
            </w:pPr>
            <w:r w:rsidRPr="005D4222">
              <w:t>Description</w:t>
            </w:r>
          </w:p>
        </w:tc>
        <w:tc>
          <w:tcPr>
            <w:tcW w:w="7557" w:type="dxa"/>
            <w:gridSpan w:val="3"/>
            <w:tcMar>
              <w:top w:w="0" w:type="dxa"/>
              <w:left w:w="86" w:type="dxa"/>
              <w:bottom w:w="0" w:type="dxa"/>
              <w:right w:w="86" w:type="dxa"/>
            </w:tcMar>
          </w:tcPr>
          <w:p w14:paraId="7C4C08E7" w14:textId="77777777" w:rsidR="00C56CC6" w:rsidRPr="005D4222" w:rsidRDefault="00C56CC6">
            <w:pPr>
              <w:pStyle w:val="ECDSBody"/>
            </w:pPr>
            <w:r w:rsidRPr="005D4222">
              <w:t>The percentage of episodes for persons 3 months of age and older with a diagnosis of upper respiratory infection (URI) that did not result in an antibiotic dispensing event.</w:t>
            </w:r>
          </w:p>
        </w:tc>
      </w:tr>
      <w:tr w:rsidR="00C56CC6" w:rsidRPr="005D4222" w14:paraId="7EE9960C" w14:textId="77777777">
        <w:tc>
          <w:tcPr>
            <w:tcW w:w="2157" w:type="dxa"/>
            <w:shd w:val="clear" w:color="auto" w:fill="BFBFBF" w:themeFill="background1" w:themeFillShade="BF"/>
            <w:tcMar>
              <w:top w:w="0" w:type="dxa"/>
              <w:left w:w="86" w:type="dxa"/>
              <w:bottom w:w="0" w:type="dxa"/>
              <w:right w:w="86" w:type="dxa"/>
            </w:tcMar>
          </w:tcPr>
          <w:p w14:paraId="3FDC1475" w14:textId="77777777" w:rsidR="00C56CC6" w:rsidRPr="005D4222" w:rsidRDefault="00C56CC6">
            <w:pPr>
              <w:pStyle w:val="ECDSMarginHead"/>
            </w:pPr>
            <w:r w:rsidRPr="005D4222">
              <w:t>Measurement period</w:t>
            </w:r>
          </w:p>
        </w:tc>
        <w:tc>
          <w:tcPr>
            <w:tcW w:w="7557" w:type="dxa"/>
            <w:gridSpan w:val="3"/>
            <w:tcMar>
              <w:top w:w="0" w:type="dxa"/>
              <w:left w:w="86" w:type="dxa"/>
              <w:bottom w:w="0" w:type="dxa"/>
              <w:right w:w="86" w:type="dxa"/>
            </w:tcMar>
          </w:tcPr>
          <w:p w14:paraId="79099016" w14:textId="77777777" w:rsidR="00C56CC6" w:rsidRPr="005D4222" w:rsidRDefault="00C56CC6">
            <w:pPr>
              <w:pStyle w:val="ECDSBody"/>
            </w:pPr>
            <w:r w:rsidRPr="005D4222">
              <w:t xml:space="preserve">January 1–December 31.  </w:t>
            </w:r>
          </w:p>
        </w:tc>
      </w:tr>
      <w:tr w:rsidR="00C56CC6" w:rsidRPr="005D4222" w14:paraId="1F7E008A" w14:textId="77777777">
        <w:tc>
          <w:tcPr>
            <w:tcW w:w="2157" w:type="dxa"/>
            <w:shd w:val="clear" w:color="auto" w:fill="BFBFBF" w:themeFill="background1" w:themeFillShade="BF"/>
            <w:tcMar>
              <w:top w:w="0" w:type="dxa"/>
              <w:left w:w="86" w:type="dxa"/>
              <w:bottom w:w="0" w:type="dxa"/>
              <w:right w:w="86" w:type="dxa"/>
            </w:tcMar>
            <w:hideMark/>
          </w:tcPr>
          <w:p w14:paraId="622E4684" w14:textId="77777777" w:rsidR="00C56CC6" w:rsidRPr="005D4222" w:rsidRDefault="00C56CC6">
            <w:pPr>
              <w:pStyle w:val="ECDSMarginHead"/>
              <w:rPr>
                <w:rFonts w:eastAsia="Arial"/>
              </w:rPr>
            </w:pPr>
            <w:r w:rsidRPr="005D4222">
              <w:rPr>
                <w:rFonts w:eastAsia="Arial"/>
              </w:rPr>
              <w:t>Copyright and disclaimer notice</w:t>
            </w:r>
          </w:p>
        </w:tc>
        <w:tc>
          <w:tcPr>
            <w:tcW w:w="7557" w:type="dxa"/>
            <w:gridSpan w:val="3"/>
            <w:tcMar>
              <w:top w:w="0" w:type="dxa"/>
              <w:left w:w="86" w:type="dxa"/>
              <w:bottom w:w="0" w:type="dxa"/>
              <w:right w:w="86" w:type="dxa"/>
            </w:tcMar>
          </w:tcPr>
          <w:p w14:paraId="24540F0B" w14:textId="77777777" w:rsidR="00C56CC6" w:rsidRPr="005D4222" w:rsidRDefault="00C56CC6">
            <w:pPr>
              <w:pStyle w:val="ECDSBody"/>
            </w:pPr>
            <w:r w:rsidRPr="005D4222">
              <w:t xml:space="preserve">Refer to the complete copyright and disclaimer information at the front of this publication. </w:t>
            </w:r>
          </w:p>
          <w:p w14:paraId="47D1F1B6" w14:textId="77777777" w:rsidR="00C56CC6" w:rsidRPr="005D4222" w:rsidRDefault="00C56CC6">
            <w:pPr>
              <w:pStyle w:val="ECDSBody"/>
              <w:spacing w:before="80"/>
            </w:pPr>
            <w:r w:rsidRPr="005D4222">
              <w:t xml:space="preserve">NCQA website: </w:t>
            </w:r>
            <w:r w:rsidRPr="005D4222">
              <w:rPr>
                <w:u w:val="single"/>
              </w:rPr>
              <w:t>www.ncqa.org</w:t>
            </w:r>
            <w:r w:rsidRPr="005D4222">
              <w:t>.</w:t>
            </w:r>
          </w:p>
          <w:p w14:paraId="5C32AF5A" w14:textId="77777777" w:rsidR="00C56CC6" w:rsidRPr="005D4222" w:rsidRDefault="00C56CC6">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C56CC6" w:rsidRPr="005D4222" w14:paraId="2E850187" w14:textId="77777777">
        <w:trPr>
          <w:trHeight w:val="2015"/>
        </w:trPr>
        <w:tc>
          <w:tcPr>
            <w:tcW w:w="2157" w:type="dxa"/>
            <w:shd w:val="clear" w:color="auto" w:fill="BFBFBF" w:themeFill="background1" w:themeFillShade="BF"/>
            <w:tcMar>
              <w:top w:w="0" w:type="dxa"/>
              <w:left w:w="86" w:type="dxa"/>
              <w:bottom w:w="0" w:type="dxa"/>
              <w:right w:w="86" w:type="dxa"/>
            </w:tcMar>
            <w:hideMark/>
          </w:tcPr>
          <w:p w14:paraId="3FE776BD" w14:textId="77777777" w:rsidR="00C56CC6" w:rsidRPr="005D4222" w:rsidRDefault="00C56CC6">
            <w:pPr>
              <w:pStyle w:val="ECDSMarginHead"/>
            </w:pPr>
            <w:r w:rsidRPr="005D4222">
              <w:t>Clinical recommendation statement/ rationale</w:t>
            </w:r>
          </w:p>
        </w:tc>
        <w:tc>
          <w:tcPr>
            <w:tcW w:w="7557" w:type="dxa"/>
            <w:gridSpan w:val="3"/>
            <w:tcMar>
              <w:top w:w="0" w:type="dxa"/>
              <w:left w:w="86" w:type="dxa"/>
              <w:bottom w:w="0" w:type="dxa"/>
              <w:right w:w="86" w:type="dxa"/>
            </w:tcMar>
          </w:tcPr>
          <w:p w14:paraId="2DC30AE0" w14:textId="77777777" w:rsidR="00C56CC6" w:rsidRPr="005D4222" w:rsidRDefault="00C56CC6">
            <w:pPr>
              <w:pStyle w:val="ECDSBody"/>
            </w:pPr>
            <w:r w:rsidRPr="005D4222">
              <w:t>The common cold (or URI) is a frequent reason for patients visiting the doctor’s office. Though existing clinical guidelines do not support the use of antibiotics for the common cold, physicians often prescribe them for this ailment. Clinical practice guidelines do not recommend antibiotics for a majority of URIs because of the viral etiology of these infections, including the common cold. A performance measure of antibiotic use for URI sheds light on the prevalence of inappropriate antibiotic prescribing in clinical practice and raises awareness of the importance of reducing inappropriate antibiotic use to combat antibiotic resistance in the community.</w:t>
            </w:r>
          </w:p>
        </w:tc>
      </w:tr>
      <w:tr w:rsidR="00C56CC6" w:rsidRPr="005D4222" w14:paraId="03A1FC0A" w14:textId="77777777">
        <w:tc>
          <w:tcPr>
            <w:tcW w:w="2157" w:type="dxa"/>
            <w:shd w:val="clear" w:color="auto" w:fill="BFBFBF" w:themeFill="background1" w:themeFillShade="BF"/>
            <w:tcMar>
              <w:top w:w="0" w:type="dxa"/>
              <w:left w:w="86" w:type="dxa"/>
              <w:bottom w:w="0" w:type="dxa"/>
              <w:right w:w="86" w:type="dxa"/>
            </w:tcMar>
          </w:tcPr>
          <w:p w14:paraId="3F985CD4" w14:textId="77777777" w:rsidR="00C56CC6" w:rsidRPr="005D4222" w:rsidRDefault="00C56CC6">
            <w:pPr>
              <w:pStyle w:val="ECDSMarginHead"/>
            </w:pPr>
            <w:r w:rsidRPr="005D4222">
              <w:t>Citations</w:t>
            </w:r>
          </w:p>
        </w:tc>
        <w:tc>
          <w:tcPr>
            <w:tcW w:w="7557" w:type="dxa"/>
            <w:gridSpan w:val="3"/>
            <w:tcMar>
              <w:top w:w="0" w:type="dxa"/>
              <w:left w:w="86" w:type="dxa"/>
              <w:bottom w:w="0" w:type="dxa"/>
              <w:right w:w="86" w:type="dxa"/>
            </w:tcMar>
          </w:tcPr>
          <w:p w14:paraId="532E011D" w14:textId="77777777" w:rsidR="00C56CC6" w:rsidRPr="005D4222" w:rsidRDefault="00C56CC6">
            <w:pPr>
              <w:pStyle w:val="ECDSBody"/>
            </w:pPr>
            <w:r w:rsidRPr="00D81F5D">
              <w:rPr>
                <w:lang w:val="fr-FR"/>
              </w:rPr>
              <w:t xml:space="preserve">Sur, D.K.C., &amp; M.L. Plesa. </w:t>
            </w:r>
            <w:r w:rsidRPr="005D4222">
              <w:t xml:space="preserve">2022. “Antibiotic Use in Acute Upper Respiratory Tract Infections.” </w:t>
            </w:r>
            <w:r w:rsidRPr="005D4222">
              <w:rPr>
                <w:i/>
                <w:iCs/>
              </w:rPr>
              <w:t xml:space="preserve">Am Fam Physician </w:t>
            </w:r>
            <w:r w:rsidRPr="005D4222">
              <w:t>106(6):628–36.</w:t>
            </w:r>
          </w:p>
          <w:p w14:paraId="26ED960B" w14:textId="77777777" w:rsidR="00C56CC6" w:rsidRPr="005D4222" w:rsidRDefault="00C56CC6">
            <w:pPr>
              <w:pStyle w:val="ECDSBody"/>
            </w:pPr>
            <w:r w:rsidRPr="005D4222">
              <w:t xml:space="preserve">Kimberlin, D.W., R. Banerjee, E.D. Barnett, et al. 2024. “Principles of Appropriate Use of Antimicrobial Therapy for Upper Respiratory Tract Infections.” In: D.W. Kimberlin, R. Banerjee, E.D. Barnett, R. Lynfield, M.H. Sawyer, eds. </w:t>
            </w:r>
            <w:r w:rsidRPr="005D4222">
              <w:rPr>
                <w:i/>
                <w:iCs/>
              </w:rPr>
              <w:t>Red Book: 2024–2027 Report of the Committee on Infectious Diseases</w:t>
            </w:r>
            <w:r w:rsidRPr="005D4222">
              <w:t>. 33rd ed. Committee on Infectious Diseases, American Academy of Pediatrics.</w:t>
            </w:r>
          </w:p>
        </w:tc>
      </w:tr>
      <w:tr w:rsidR="00C56CC6" w:rsidRPr="005D4222" w14:paraId="027BEA87" w14:textId="77777777">
        <w:tc>
          <w:tcPr>
            <w:tcW w:w="0" w:type="auto"/>
            <w:gridSpan w:val="4"/>
            <w:tcBorders>
              <w:bottom w:val="single" w:sz="4" w:space="0" w:color="auto"/>
            </w:tcBorders>
            <w:shd w:val="clear" w:color="auto" w:fill="BFBFBF" w:themeFill="background1" w:themeFillShade="BF"/>
            <w:tcMar>
              <w:top w:w="0" w:type="dxa"/>
              <w:left w:w="86" w:type="dxa"/>
              <w:bottom w:w="0" w:type="dxa"/>
              <w:right w:w="86" w:type="dxa"/>
            </w:tcMar>
          </w:tcPr>
          <w:p w14:paraId="784ECF84" w14:textId="77777777" w:rsidR="00C56CC6" w:rsidRPr="005D4222" w:rsidRDefault="00C56CC6">
            <w:pPr>
              <w:pStyle w:val="ECDSMarginHead"/>
            </w:pPr>
            <w:r w:rsidRPr="005D4222">
              <w:t>Characteristics</w:t>
            </w:r>
          </w:p>
        </w:tc>
      </w:tr>
      <w:tr w:rsidR="00C56CC6" w:rsidRPr="005D4222" w14:paraId="32E15743" w14:textId="77777777">
        <w:tc>
          <w:tcPr>
            <w:tcW w:w="2157" w:type="dxa"/>
            <w:tcBorders>
              <w:top w:val="single" w:sz="4" w:space="0" w:color="auto"/>
              <w:left w:val="single" w:sz="4" w:space="0" w:color="auto"/>
              <w:bottom w:val="nil"/>
              <w:right w:val="single" w:sz="4" w:space="0" w:color="auto"/>
            </w:tcBorders>
            <w:tcMar>
              <w:top w:w="0" w:type="dxa"/>
              <w:left w:w="86" w:type="dxa"/>
              <w:bottom w:w="0" w:type="dxa"/>
              <w:right w:w="86" w:type="dxa"/>
            </w:tcMar>
          </w:tcPr>
          <w:p w14:paraId="66E0DBFC" w14:textId="77777777" w:rsidR="00C56CC6" w:rsidRPr="005D4222" w:rsidRDefault="00C56CC6" w:rsidP="00CE6D38">
            <w:pPr>
              <w:pStyle w:val="ECDSMarginSubhead"/>
              <w:spacing w:after="0"/>
            </w:pPr>
            <w:r w:rsidRPr="005D4222">
              <w:t>Scoring</w:t>
            </w:r>
          </w:p>
        </w:tc>
        <w:tc>
          <w:tcPr>
            <w:tcW w:w="7557" w:type="dxa"/>
            <w:gridSpan w:val="3"/>
            <w:tcBorders>
              <w:top w:val="single" w:sz="4" w:space="0" w:color="auto"/>
              <w:left w:val="single" w:sz="4" w:space="0" w:color="auto"/>
              <w:bottom w:val="nil"/>
              <w:right w:val="single" w:sz="4" w:space="0" w:color="auto"/>
            </w:tcBorders>
            <w:tcMar>
              <w:top w:w="0" w:type="dxa"/>
              <w:left w:w="86" w:type="dxa"/>
              <w:bottom w:w="0" w:type="dxa"/>
              <w:right w:w="86" w:type="dxa"/>
            </w:tcMar>
            <w:hideMark/>
          </w:tcPr>
          <w:p w14:paraId="5B64536D" w14:textId="77777777" w:rsidR="00C56CC6" w:rsidRPr="005D4222" w:rsidRDefault="00C56CC6" w:rsidP="00CE6D38">
            <w:pPr>
              <w:pStyle w:val="ECDSBody"/>
              <w:spacing w:after="0"/>
            </w:pPr>
            <w:r w:rsidRPr="005D4222">
              <w:t>Proportion.</w:t>
            </w:r>
          </w:p>
        </w:tc>
      </w:tr>
      <w:tr w:rsidR="00C56CC6" w:rsidRPr="005D4222" w14:paraId="02B2DE06" w14:textId="77777777">
        <w:tc>
          <w:tcPr>
            <w:tcW w:w="2157" w:type="dxa"/>
            <w:tcBorders>
              <w:top w:val="nil"/>
              <w:left w:val="single" w:sz="4" w:space="0" w:color="auto"/>
              <w:bottom w:val="nil"/>
              <w:right w:val="single" w:sz="4" w:space="0" w:color="auto"/>
            </w:tcBorders>
            <w:tcMar>
              <w:top w:w="0" w:type="dxa"/>
              <w:left w:w="86" w:type="dxa"/>
              <w:bottom w:w="0" w:type="dxa"/>
              <w:right w:w="86" w:type="dxa"/>
            </w:tcMar>
          </w:tcPr>
          <w:p w14:paraId="09DD76F1" w14:textId="77777777" w:rsidR="00C56CC6" w:rsidRPr="005D4222" w:rsidRDefault="00C56CC6" w:rsidP="00CE6D38">
            <w:pPr>
              <w:pStyle w:val="ECDSMarginSubhead"/>
              <w:spacing w:after="0"/>
            </w:pPr>
            <w:r w:rsidRPr="005D4222">
              <w:t>Type</w:t>
            </w:r>
          </w:p>
        </w:tc>
        <w:tc>
          <w:tcPr>
            <w:tcW w:w="7557" w:type="dxa"/>
            <w:gridSpan w:val="3"/>
            <w:tcBorders>
              <w:top w:val="nil"/>
              <w:left w:val="single" w:sz="4" w:space="0" w:color="auto"/>
              <w:bottom w:val="nil"/>
              <w:right w:val="single" w:sz="4" w:space="0" w:color="auto"/>
            </w:tcBorders>
            <w:tcMar>
              <w:top w:w="0" w:type="dxa"/>
              <w:left w:w="86" w:type="dxa"/>
              <w:bottom w:w="0" w:type="dxa"/>
              <w:right w:w="86" w:type="dxa"/>
            </w:tcMar>
          </w:tcPr>
          <w:p w14:paraId="1028A79D" w14:textId="77777777" w:rsidR="00C56CC6" w:rsidRPr="005D4222" w:rsidRDefault="00C56CC6" w:rsidP="00CE6D38">
            <w:pPr>
              <w:pStyle w:val="ECDSBody"/>
              <w:spacing w:after="0"/>
            </w:pPr>
            <w:r w:rsidRPr="005D4222">
              <w:t>Process.</w:t>
            </w:r>
          </w:p>
        </w:tc>
      </w:tr>
      <w:tr w:rsidR="00C56CC6" w:rsidRPr="005D4222" w14:paraId="760F7D12" w14:textId="77777777" w:rsidTr="00CE6D38">
        <w:tc>
          <w:tcPr>
            <w:tcW w:w="2157" w:type="dxa"/>
            <w:tcBorders>
              <w:top w:val="nil"/>
              <w:left w:val="single" w:sz="4" w:space="0" w:color="auto"/>
              <w:bottom w:val="nil"/>
              <w:right w:val="single" w:sz="4" w:space="0" w:color="auto"/>
            </w:tcBorders>
            <w:tcMar>
              <w:top w:w="0" w:type="dxa"/>
              <w:left w:w="86" w:type="dxa"/>
              <w:bottom w:w="0" w:type="dxa"/>
              <w:right w:w="86" w:type="dxa"/>
            </w:tcMar>
          </w:tcPr>
          <w:p w14:paraId="22FC3132" w14:textId="320F6D75" w:rsidR="00C56CC6" w:rsidRPr="005D4222" w:rsidRDefault="00B51CDC">
            <w:pPr>
              <w:pStyle w:val="ECDSMarginSubhead"/>
            </w:pPr>
            <w:r w:rsidRPr="005D4222">
              <w:t>Product lines</w:t>
            </w:r>
          </w:p>
        </w:tc>
        <w:tc>
          <w:tcPr>
            <w:tcW w:w="7557" w:type="dxa"/>
            <w:gridSpan w:val="3"/>
            <w:tcBorders>
              <w:top w:val="nil"/>
              <w:left w:val="single" w:sz="4" w:space="0" w:color="auto"/>
              <w:bottom w:val="nil"/>
              <w:right w:val="single" w:sz="4" w:space="0" w:color="auto"/>
            </w:tcBorders>
            <w:tcMar>
              <w:top w:w="0" w:type="dxa"/>
              <w:left w:w="86" w:type="dxa"/>
              <w:bottom w:w="0" w:type="dxa"/>
              <w:right w:w="86" w:type="dxa"/>
            </w:tcMar>
          </w:tcPr>
          <w:p w14:paraId="3FF81AAA" w14:textId="77777777" w:rsidR="00C56CC6" w:rsidRPr="005D4222" w:rsidRDefault="00C56CC6">
            <w:pPr>
              <w:pStyle w:val="ProcessBullet"/>
            </w:pPr>
            <w:r w:rsidRPr="005D4222">
              <w:t>Commercial.</w:t>
            </w:r>
          </w:p>
          <w:p w14:paraId="2C23D1E3" w14:textId="77777777" w:rsidR="00C56CC6" w:rsidRPr="005D4222" w:rsidRDefault="00C56CC6">
            <w:pPr>
              <w:pStyle w:val="ProcessBullet"/>
            </w:pPr>
            <w:r w:rsidRPr="005D4222">
              <w:t>Medicaid.</w:t>
            </w:r>
          </w:p>
          <w:p w14:paraId="7537BB0B" w14:textId="77777777" w:rsidR="00C56CC6" w:rsidRPr="005D4222" w:rsidRDefault="00C56CC6">
            <w:pPr>
              <w:pStyle w:val="ProcessBullet"/>
            </w:pPr>
            <w:r w:rsidRPr="005D4222">
              <w:t>Medicare.</w:t>
            </w:r>
          </w:p>
        </w:tc>
      </w:tr>
      <w:tr w:rsidR="00C56CC6" w:rsidRPr="005D4222" w14:paraId="030152B7" w14:textId="77777777" w:rsidTr="00CE6D38">
        <w:tc>
          <w:tcPr>
            <w:tcW w:w="2157" w:type="dxa"/>
            <w:tcBorders>
              <w:top w:val="nil"/>
              <w:left w:val="single" w:sz="4" w:space="0" w:color="auto"/>
              <w:bottom w:val="single" w:sz="4" w:space="0" w:color="auto"/>
              <w:right w:val="single" w:sz="4" w:space="0" w:color="auto"/>
            </w:tcBorders>
            <w:tcMar>
              <w:top w:w="0" w:type="dxa"/>
              <w:left w:w="86" w:type="dxa"/>
              <w:bottom w:w="0" w:type="dxa"/>
              <w:right w:w="86" w:type="dxa"/>
            </w:tcMar>
          </w:tcPr>
          <w:p w14:paraId="4B3E00EB" w14:textId="12011A47" w:rsidR="00C56CC6" w:rsidRPr="005D4222" w:rsidRDefault="00B51CDC">
            <w:pPr>
              <w:pStyle w:val="ECDSMarginSubhead"/>
            </w:pPr>
            <w:r w:rsidRPr="005D4222">
              <w:t>Stratifications</w:t>
            </w:r>
            <w:r w:rsidR="00C56CC6" w:rsidRPr="005D4222">
              <w:t xml:space="preserve"> </w:t>
            </w:r>
          </w:p>
        </w:tc>
        <w:tc>
          <w:tcPr>
            <w:tcW w:w="7557" w:type="dxa"/>
            <w:gridSpan w:val="3"/>
            <w:tcBorders>
              <w:top w:val="nil"/>
              <w:left w:val="single" w:sz="4" w:space="0" w:color="auto"/>
              <w:bottom w:val="single" w:sz="4" w:space="0" w:color="auto"/>
              <w:right w:val="single" w:sz="4" w:space="0" w:color="auto"/>
            </w:tcBorders>
            <w:tcMar>
              <w:top w:w="0" w:type="dxa"/>
              <w:left w:w="86" w:type="dxa"/>
              <w:bottom w:w="0" w:type="dxa"/>
              <w:right w:w="86" w:type="dxa"/>
            </w:tcMar>
            <w:hideMark/>
          </w:tcPr>
          <w:p w14:paraId="24B60812" w14:textId="77777777" w:rsidR="00C56CC6" w:rsidRPr="005D4222" w:rsidRDefault="00C56CC6">
            <w:pPr>
              <w:pStyle w:val="ECDSBody"/>
              <w:rPr>
                <w:rFonts w:eastAsia="Arial,Arial,Arial,Arial,Arial,A"/>
              </w:rPr>
            </w:pPr>
            <w:r w:rsidRPr="005D4222">
              <w:rPr>
                <w:rFonts w:eastAsia="Arial,Arial,Arial,Arial,Arial,A"/>
              </w:rPr>
              <w:t xml:space="preserve">Age </w:t>
            </w:r>
            <w:r w:rsidRPr="005D4222">
              <w:t>as of the episode date.</w:t>
            </w:r>
          </w:p>
          <w:p w14:paraId="76606610" w14:textId="77777777" w:rsidR="00C56CC6" w:rsidRPr="005D4222" w:rsidRDefault="00C56CC6" w:rsidP="00C56CC6">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3 months–17 years.</w:t>
            </w:r>
          </w:p>
          <w:p w14:paraId="6B38779C" w14:textId="77777777" w:rsidR="00C56CC6" w:rsidRPr="005D4222" w:rsidRDefault="00C56CC6" w:rsidP="00C56CC6">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18–64 years.</w:t>
            </w:r>
          </w:p>
          <w:p w14:paraId="705188FD" w14:textId="77777777" w:rsidR="00C56CC6" w:rsidRPr="005D4222" w:rsidRDefault="00C56CC6" w:rsidP="00CE6D38">
            <w:pPr>
              <w:pStyle w:val="Bullet"/>
              <w:numPr>
                <w:ilvl w:val="0"/>
                <w:numId w:val="4"/>
              </w:numPr>
              <w:tabs>
                <w:tab w:val="left" w:pos="360"/>
                <w:tab w:val="left" w:pos="576"/>
              </w:tabs>
              <w:spacing w:after="80"/>
              <w:ind w:left="576" w:hanging="216"/>
              <w:rPr>
                <w:rFonts w:eastAsia="Arial,Arial,Arial,Arial,Arial,A"/>
              </w:rPr>
            </w:pPr>
            <w:r w:rsidRPr="005D4222">
              <w:rPr>
                <w:rFonts w:eastAsia="Arial,Arial,Arial,Arial,Arial,A"/>
              </w:rPr>
              <w:t>65 years and older.</w:t>
            </w:r>
          </w:p>
        </w:tc>
      </w:tr>
      <w:tr w:rsidR="00C56CC6" w:rsidRPr="005D4222" w14:paraId="7FEA80AE" w14:textId="77777777" w:rsidTr="00CE6D38">
        <w:tc>
          <w:tcPr>
            <w:tcW w:w="2157" w:type="dxa"/>
            <w:tcBorders>
              <w:top w:val="single" w:sz="4" w:space="0" w:color="auto"/>
              <w:left w:val="single" w:sz="4" w:space="0" w:color="auto"/>
              <w:bottom w:val="nil"/>
              <w:right w:val="single" w:sz="4" w:space="0" w:color="auto"/>
            </w:tcBorders>
            <w:tcMar>
              <w:top w:w="0" w:type="dxa"/>
              <w:left w:w="86" w:type="dxa"/>
              <w:bottom w:w="0" w:type="dxa"/>
              <w:right w:w="86" w:type="dxa"/>
            </w:tcMar>
          </w:tcPr>
          <w:p w14:paraId="64CEF33F" w14:textId="77777777" w:rsidR="00C56CC6" w:rsidRPr="005D4222" w:rsidRDefault="00C56CC6" w:rsidP="00CE6D38">
            <w:pPr>
              <w:pStyle w:val="ECDSMarginSubhead"/>
              <w:spacing w:after="0"/>
            </w:pPr>
            <w:r w:rsidRPr="005D4222">
              <w:lastRenderedPageBreak/>
              <w:t>Risk adjustment</w:t>
            </w:r>
          </w:p>
        </w:tc>
        <w:tc>
          <w:tcPr>
            <w:tcW w:w="7557" w:type="dxa"/>
            <w:gridSpan w:val="3"/>
            <w:tcBorders>
              <w:top w:val="single" w:sz="4" w:space="0" w:color="auto"/>
              <w:left w:val="single" w:sz="4" w:space="0" w:color="auto"/>
              <w:bottom w:val="nil"/>
              <w:right w:val="single" w:sz="4" w:space="0" w:color="auto"/>
            </w:tcBorders>
            <w:tcMar>
              <w:top w:w="0" w:type="dxa"/>
              <w:left w:w="86" w:type="dxa"/>
              <w:bottom w:w="0" w:type="dxa"/>
              <w:right w:w="86" w:type="dxa"/>
            </w:tcMar>
            <w:hideMark/>
          </w:tcPr>
          <w:p w14:paraId="72569DA4" w14:textId="77777777" w:rsidR="00C56CC6" w:rsidRPr="005D4222" w:rsidRDefault="00C56CC6" w:rsidP="00CE6D38">
            <w:pPr>
              <w:pStyle w:val="ECDSBody"/>
              <w:spacing w:after="0"/>
            </w:pPr>
            <w:r w:rsidRPr="005D4222">
              <w:t>None.</w:t>
            </w:r>
          </w:p>
        </w:tc>
      </w:tr>
      <w:tr w:rsidR="00C56CC6" w:rsidRPr="005D4222" w14:paraId="644FEF56" w14:textId="77777777" w:rsidTr="00CE6D38">
        <w:tc>
          <w:tcPr>
            <w:tcW w:w="2157" w:type="dxa"/>
            <w:tcBorders>
              <w:top w:val="nil"/>
              <w:left w:val="single" w:sz="4" w:space="0" w:color="auto"/>
              <w:bottom w:val="nil"/>
              <w:right w:val="single" w:sz="4" w:space="0" w:color="auto"/>
            </w:tcBorders>
            <w:tcMar>
              <w:top w:w="0" w:type="dxa"/>
              <w:left w:w="86" w:type="dxa"/>
              <w:bottom w:w="0" w:type="dxa"/>
              <w:right w:w="86" w:type="dxa"/>
            </w:tcMar>
          </w:tcPr>
          <w:p w14:paraId="625786D3" w14:textId="77777777" w:rsidR="00C56CC6" w:rsidRPr="005D4222" w:rsidRDefault="00C56CC6" w:rsidP="005A1C55">
            <w:pPr>
              <w:pStyle w:val="ECDSMarginSubhead"/>
              <w:spacing w:after="0"/>
            </w:pPr>
            <w:r w:rsidRPr="005D4222">
              <w:t>Improvement notation</w:t>
            </w:r>
          </w:p>
        </w:tc>
        <w:tc>
          <w:tcPr>
            <w:tcW w:w="7557" w:type="dxa"/>
            <w:gridSpan w:val="3"/>
            <w:tcBorders>
              <w:top w:val="nil"/>
              <w:left w:val="single" w:sz="4" w:space="0" w:color="auto"/>
              <w:bottom w:val="nil"/>
              <w:right w:val="single" w:sz="4" w:space="0" w:color="auto"/>
            </w:tcBorders>
            <w:tcMar>
              <w:top w:w="0" w:type="dxa"/>
              <w:left w:w="86" w:type="dxa"/>
              <w:bottom w:w="0" w:type="dxa"/>
              <w:right w:w="86" w:type="dxa"/>
            </w:tcMar>
            <w:hideMark/>
          </w:tcPr>
          <w:p w14:paraId="52DC30FB" w14:textId="77777777" w:rsidR="00C56CC6" w:rsidRPr="005D4222" w:rsidRDefault="00C56CC6">
            <w:pPr>
              <w:pStyle w:val="ECDSBody"/>
              <w:spacing w:after="0"/>
            </w:pPr>
            <w:r w:rsidRPr="005D4222">
              <w:t>Increased score indicates improvement.</w:t>
            </w:r>
          </w:p>
        </w:tc>
      </w:tr>
      <w:tr w:rsidR="00C56CC6" w:rsidRPr="005D4222" w14:paraId="01664E16" w14:textId="77777777">
        <w:tc>
          <w:tcPr>
            <w:tcW w:w="2157" w:type="dxa"/>
            <w:tcBorders>
              <w:top w:val="nil"/>
              <w:left w:val="single" w:sz="4" w:space="0" w:color="auto"/>
              <w:bottom w:val="single" w:sz="4" w:space="0" w:color="auto"/>
              <w:right w:val="single" w:sz="4" w:space="0" w:color="auto"/>
            </w:tcBorders>
            <w:tcMar>
              <w:top w:w="0" w:type="dxa"/>
              <w:left w:w="86" w:type="dxa"/>
              <w:bottom w:w="0" w:type="dxa"/>
              <w:right w:w="86" w:type="dxa"/>
            </w:tcMar>
          </w:tcPr>
          <w:p w14:paraId="699DB47F" w14:textId="77777777" w:rsidR="00C56CC6" w:rsidRPr="005D4222" w:rsidRDefault="00C56CC6">
            <w:pPr>
              <w:pStyle w:val="ECDSMarginSubhead"/>
            </w:pPr>
            <w:r w:rsidRPr="005D4222">
              <w:t>Guidance</w:t>
            </w:r>
          </w:p>
        </w:tc>
        <w:tc>
          <w:tcPr>
            <w:tcW w:w="7557" w:type="dxa"/>
            <w:gridSpan w:val="3"/>
            <w:tcBorders>
              <w:top w:val="nil"/>
              <w:left w:val="single" w:sz="4" w:space="0" w:color="auto"/>
              <w:bottom w:val="single" w:sz="4" w:space="0" w:color="auto"/>
              <w:right w:val="single" w:sz="4" w:space="0" w:color="auto"/>
            </w:tcBorders>
            <w:tcMar>
              <w:top w:w="0" w:type="dxa"/>
              <w:left w:w="86" w:type="dxa"/>
              <w:bottom w:w="0" w:type="dxa"/>
              <w:right w:w="86" w:type="dxa"/>
            </w:tcMar>
          </w:tcPr>
          <w:p w14:paraId="62224872" w14:textId="5790FF5C" w:rsidR="00C56CC6" w:rsidRPr="005D4222" w:rsidRDefault="00C56CC6">
            <w:pPr>
              <w:pStyle w:val="ECDSBody"/>
            </w:pPr>
            <w:r w:rsidRPr="005D4222">
              <w:rPr>
                <w:b/>
              </w:rPr>
              <w:t>Data collection methodology:</w:t>
            </w:r>
            <w:r w:rsidRPr="005D4222">
              <w:t xml:space="preserve"> Administrative. Refer to </w:t>
            </w:r>
            <w:hyperlink w:anchor="General_Guideline_Data_Collection_Method" w:history="1">
              <w:r w:rsidRPr="005D4222">
                <w:rPr>
                  <w:rStyle w:val="Hyperlink"/>
                  <w:i/>
                  <w:iCs/>
                </w:rPr>
                <w:t>General Guideline: Data Collection Methods</w:t>
              </w:r>
            </w:hyperlink>
            <w:r w:rsidRPr="005D4222">
              <w:t xml:space="preserve"> for additional information. </w:t>
            </w:r>
          </w:p>
          <w:p w14:paraId="58423539" w14:textId="77777777" w:rsidR="00C56CC6" w:rsidRPr="005D4222" w:rsidRDefault="00C56CC6">
            <w:pPr>
              <w:pStyle w:val="ECDSBody"/>
            </w:pPr>
            <w:r w:rsidRPr="005D4222">
              <w:rPr>
                <w:b/>
              </w:rPr>
              <w:t xml:space="preserve">Date specificity: </w:t>
            </w:r>
            <w:r w:rsidRPr="005D4222">
              <w:t>Dates must be specific enough to determine the event occurred in the period being measured.</w:t>
            </w:r>
          </w:p>
          <w:p w14:paraId="7F00B68D" w14:textId="77777777" w:rsidR="00C56CC6" w:rsidRPr="005D4222" w:rsidRDefault="00C56CC6">
            <w:pPr>
              <w:pStyle w:val="ECDSBody"/>
              <w:rPr>
                <w:b/>
              </w:rPr>
            </w:pPr>
            <w:r w:rsidRPr="005D4222">
              <w:rPr>
                <w:b/>
              </w:rPr>
              <w:t>Which services count?</w:t>
            </w:r>
          </w:p>
          <w:p w14:paraId="5968402C" w14:textId="77777777" w:rsidR="00C56CC6" w:rsidRPr="005D4222" w:rsidRDefault="00C56CC6">
            <w:pPr>
              <w:pStyle w:val="ProcessBullet"/>
            </w:pPr>
            <w:r w:rsidRPr="005D4222">
              <w:t>Include all paid, suspended, pending and denied claims to identify the initial population and denominator exclusions.</w:t>
            </w:r>
          </w:p>
          <w:p w14:paraId="0F72C90E" w14:textId="77777777" w:rsidR="00C56CC6" w:rsidRPr="005D4222" w:rsidRDefault="00C56CC6">
            <w:pPr>
              <w:pStyle w:val="ProcessBullet"/>
            </w:pPr>
            <w:r w:rsidRPr="005D4222">
              <w:t>Do not include denied claims when identifying numerator events; only include claims the organization paid for or expects to pay for (i.e., claims incurred but not paid).</w:t>
            </w:r>
          </w:p>
          <w:p w14:paraId="4197D53C" w14:textId="77777777" w:rsidR="00C56CC6" w:rsidRPr="005D4222" w:rsidRDefault="00C56CC6">
            <w:pPr>
              <w:pStyle w:val="ECDSBody"/>
            </w:pPr>
            <w:r w:rsidRPr="005D4222">
              <w:rPr>
                <w:b/>
              </w:rPr>
              <w:t>Supplemental data exceptions:</w:t>
            </w:r>
            <w:r w:rsidRPr="005D4222">
              <w:t xml:space="preserve"> Supplemental data may not be used for this measure, except for denominator exclusions. </w:t>
            </w:r>
          </w:p>
          <w:p w14:paraId="78DC2CA5" w14:textId="77777777" w:rsidR="00C56CC6" w:rsidRPr="005D4222" w:rsidRDefault="00C56CC6">
            <w:pPr>
              <w:pStyle w:val="ECDSBody"/>
            </w:pPr>
            <w:r w:rsidRPr="005D4222">
              <w:rPr>
                <w:b/>
              </w:rPr>
              <w:t>Other</w:t>
            </w:r>
            <w:r w:rsidRPr="005D4222">
              <w:t xml:space="preserve"> </w:t>
            </w:r>
            <w:r w:rsidRPr="005D4222">
              <w:rPr>
                <w:b/>
              </w:rPr>
              <w:t>guidance</w:t>
            </w:r>
            <w:r w:rsidRPr="005D4222">
              <w:rPr>
                <w:b/>
                <w:bCs w:val="0"/>
              </w:rPr>
              <w:t>:</w:t>
            </w:r>
            <w:r w:rsidRPr="005D4222">
              <w:t xml:space="preserve"> </w:t>
            </w:r>
          </w:p>
          <w:p w14:paraId="31A9AB94" w14:textId="77777777" w:rsidR="00C56CC6" w:rsidRPr="005D4222" w:rsidRDefault="00C56CC6" w:rsidP="006F462A">
            <w:pPr>
              <w:pStyle w:val="ProcessBullet"/>
            </w:pPr>
            <w:r w:rsidRPr="005D4222">
              <w:t xml:space="preserve">Reported as an inverted rate [1–(numerator/denominator)]. </w:t>
            </w:r>
            <w:r w:rsidRPr="005D4222">
              <w:br/>
              <w:t>A higher rate indicates appropriate treatment (i.e., the proportion of episodes that did not result in an antibiotic dispensing event).</w:t>
            </w:r>
          </w:p>
          <w:p w14:paraId="55282D7F" w14:textId="77777777" w:rsidR="00C56CC6" w:rsidRPr="005D4222" w:rsidRDefault="00C56CC6" w:rsidP="006F462A">
            <w:pPr>
              <w:pStyle w:val="ProcessBullet"/>
              <w:spacing w:after="80"/>
              <w:rPr>
                <w:b/>
              </w:rPr>
            </w:pPr>
            <w:r w:rsidRPr="005D4222">
              <w:t xml:space="preserve">The measure is based on episodes; therefore, it is possible for the denominator to include multiple events for the same person. </w:t>
            </w:r>
          </w:p>
        </w:tc>
      </w:tr>
      <w:tr w:rsidR="00C56CC6" w:rsidRPr="005D4222" w14:paraId="234CE749" w14:textId="77777777">
        <w:tc>
          <w:tcPr>
            <w:tcW w:w="0" w:type="auto"/>
            <w:gridSpan w:val="4"/>
            <w:tcBorders>
              <w:top w:val="single" w:sz="4" w:space="0" w:color="auto"/>
              <w:bottom w:val="single" w:sz="4" w:space="0" w:color="auto"/>
            </w:tcBorders>
            <w:shd w:val="clear" w:color="auto" w:fill="BFBFBF" w:themeFill="background1" w:themeFillShade="BF"/>
            <w:tcMar>
              <w:top w:w="0" w:type="dxa"/>
              <w:left w:w="86" w:type="dxa"/>
              <w:bottom w:w="0" w:type="dxa"/>
              <w:right w:w="86" w:type="dxa"/>
            </w:tcMar>
          </w:tcPr>
          <w:p w14:paraId="4CCE5983" w14:textId="77777777" w:rsidR="00C56CC6" w:rsidRPr="005D4222" w:rsidRDefault="00C56CC6">
            <w:pPr>
              <w:pStyle w:val="ECDSMarginHead"/>
            </w:pPr>
            <w:r w:rsidRPr="005D4222">
              <w:t xml:space="preserve">Definitions </w:t>
            </w:r>
          </w:p>
        </w:tc>
      </w:tr>
      <w:tr w:rsidR="00C56CC6" w:rsidRPr="005D4222" w14:paraId="522E14DD" w14:textId="77777777">
        <w:tc>
          <w:tcPr>
            <w:tcW w:w="2157" w:type="dxa"/>
            <w:tcBorders>
              <w:top w:val="nil"/>
              <w:bottom w:val="nil"/>
            </w:tcBorders>
            <w:tcMar>
              <w:top w:w="0" w:type="dxa"/>
              <w:left w:w="86" w:type="dxa"/>
              <w:bottom w:w="0" w:type="dxa"/>
              <w:right w:w="86" w:type="dxa"/>
            </w:tcMar>
          </w:tcPr>
          <w:p w14:paraId="5851A1A7" w14:textId="77777777" w:rsidR="00C56CC6" w:rsidRPr="005D4222" w:rsidRDefault="00C56CC6">
            <w:pPr>
              <w:pStyle w:val="ECDSMarginSubhead"/>
            </w:pPr>
            <w:r w:rsidRPr="005D4222">
              <w:t>Episode date</w:t>
            </w:r>
          </w:p>
        </w:tc>
        <w:tc>
          <w:tcPr>
            <w:tcW w:w="7557" w:type="dxa"/>
            <w:gridSpan w:val="3"/>
            <w:tcBorders>
              <w:top w:val="nil"/>
              <w:bottom w:val="nil"/>
            </w:tcBorders>
            <w:tcMar>
              <w:left w:w="86" w:type="dxa"/>
              <w:bottom w:w="0" w:type="dxa"/>
              <w:right w:w="86" w:type="dxa"/>
            </w:tcMar>
          </w:tcPr>
          <w:p w14:paraId="4EB35E1B" w14:textId="77777777" w:rsidR="00C56CC6" w:rsidRPr="005D4222" w:rsidRDefault="00C56CC6">
            <w:pPr>
              <w:pStyle w:val="ECDSBody"/>
              <w:spacing w:after="0"/>
              <w:rPr>
                <w:highlight w:val="yellow"/>
              </w:rPr>
            </w:pPr>
            <w:r w:rsidRPr="005D4222">
              <w:t xml:space="preserve">The date of service for any outpatient, telephone or ED visit, e-visit or virtual check-in during the intake period with a diagnosis of URI. </w:t>
            </w:r>
          </w:p>
        </w:tc>
      </w:tr>
      <w:tr w:rsidR="00C56CC6" w:rsidRPr="005D4222" w14:paraId="61A9AEC8" w14:textId="77777777">
        <w:tc>
          <w:tcPr>
            <w:tcW w:w="2157" w:type="dxa"/>
            <w:tcBorders>
              <w:top w:val="nil"/>
              <w:bottom w:val="nil"/>
            </w:tcBorders>
            <w:tcMar>
              <w:top w:w="0" w:type="dxa"/>
              <w:left w:w="86" w:type="dxa"/>
              <w:bottom w:w="0" w:type="dxa"/>
              <w:right w:w="86" w:type="dxa"/>
            </w:tcMar>
          </w:tcPr>
          <w:p w14:paraId="4CE34112" w14:textId="77777777" w:rsidR="00C56CC6" w:rsidRPr="005D4222" w:rsidRDefault="00C56CC6">
            <w:pPr>
              <w:pStyle w:val="ECDSMarginSubhead"/>
            </w:pPr>
            <w:r w:rsidRPr="005D4222">
              <w:t>Intake period</w:t>
            </w:r>
          </w:p>
        </w:tc>
        <w:tc>
          <w:tcPr>
            <w:tcW w:w="7557" w:type="dxa"/>
            <w:gridSpan w:val="3"/>
            <w:tcBorders>
              <w:top w:val="nil"/>
              <w:bottom w:val="nil"/>
            </w:tcBorders>
            <w:tcMar>
              <w:left w:w="86" w:type="dxa"/>
              <w:bottom w:w="0" w:type="dxa"/>
              <w:right w:w="86" w:type="dxa"/>
            </w:tcMar>
          </w:tcPr>
          <w:p w14:paraId="454420C3" w14:textId="77777777" w:rsidR="00C56CC6" w:rsidRPr="005D4222" w:rsidRDefault="00C56CC6">
            <w:pPr>
              <w:pStyle w:val="ECDSBody"/>
              <w:spacing w:after="0"/>
            </w:pPr>
            <w:r w:rsidRPr="005D4222">
              <w:t xml:space="preserve">July 1 of the year prior to the measurement period to June 30 of the measurement period. The intake period captures eligible episodes of treatment. </w:t>
            </w:r>
          </w:p>
        </w:tc>
      </w:tr>
      <w:tr w:rsidR="00C56CC6" w:rsidRPr="005D4222" w14:paraId="13FF5E75" w14:textId="77777777">
        <w:tc>
          <w:tcPr>
            <w:tcW w:w="2157" w:type="dxa"/>
            <w:tcBorders>
              <w:top w:val="nil"/>
              <w:bottom w:val="nil"/>
            </w:tcBorders>
            <w:tcMar>
              <w:top w:w="0" w:type="dxa"/>
              <w:left w:w="86" w:type="dxa"/>
              <w:bottom w:w="0" w:type="dxa"/>
              <w:right w:w="86" w:type="dxa"/>
            </w:tcMar>
          </w:tcPr>
          <w:p w14:paraId="45A3159C" w14:textId="77777777" w:rsidR="00C56CC6" w:rsidRPr="005D4222" w:rsidRDefault="00C56CC6">
            <w:pPr>
              <w:pStyle w:val="ECDSMarginSubhead"/>
            </w:pPr>
            <w:r w:rsidRPr="005D4222">
              <w:t>Negative comorbid condition history</w:t>
            </w:r>
          </w:p>
        </w:tc>
        <w:tc>
          <w:tcPr>
            <w:tcW w:w="7557" w:type="dxa"/>
            <w:gridSpan w:val="3"/>
            <w:tcBorders>
              <w:top w:val="nil"/>
              <w:bottom w:val="nil"/>
            </w:tcBorders>
            <w:tcMar>
              <w:left w:w="86" w:type="dxa"/>
              <w:bottom w:w="0" w:type="dxa"/>
              <w:right w:w="86" w:type="dxa"/>
            </w:tcMar>
          </w:tcPr>
          <w:p w14:paraId="1C80CB2E" w14:textId="77777777" w:rsidR="00C56CC6" w:rsidRPr="005D4222" w:rsidRDefault="00C56CC6">
            <w:pPr>
              <w:pStyle w:val="ECDSBody"/>
              <w:spacing w:after="0"/>
            </w:pPr>
            <w:r w:rsidRPr="005D4222">
              <w:t xml:space="preserve">A period of 365 days prior to and including the episode date when the person had no claims/encounters with a diagnosis for a comorbid condition (366 days total). </w:t>
            </w:r>
          </w:p>
        </w:tc>
      </w:tr>
      <w:tr w:rsidR="00C56CC6" w:rsidRPr="005D4222" w14:paraId="12C1D336" w14:textId="77777777" w:rsidTr="0068678C">
        <w:tc>
          <w:tcPr>
            <w:tcW w:w="2157" w:type="dxa"/>
            <w:tcBorders>
              <w:top w:val="nil"/>
              <w:bottom w:val="nil"/>
            </w:tcBorders>
            <w:tcMar>
              <w:top w:w="0" w:type="dxa"/>
              <w:left w:w="86" w:type="dxa"/>
              <w:bottom w:w="0" w:type="dxa"/>
              <w:right w:w="86" w:type="dxa"/>
            </w:tcMar>
          </w:tcPr>
          <w:p w14:paraId="46D77191" w14:textId="77777777" w:rsidR="00C56CC6" w:rsidRPr="005D4222" w:rsidRDefault="00C56CC6">
            <w:pPr>
              <w:pStyle w:val="ECDSMarginSubhead"/>
            </w:pPr>
            <w:r w:rsidRPr="005D4222">
              <w:t>Negative competing diagnosis</w:t>
            </w:r>
          </w:p>
        </w:tc>
        <w:tc>
          <w:tcPr>
            <w:tcW w:w="7557" w:type="dxa"/>
            <w:gridSpan w:val="3"/>
            <w:tcBorders>
              <w:top w:val="nil"/>
              <w:bottom w:val="nil"/>
            </w:tcBorders>
            <w:tcMar>
              <w:left w:w="86" w:type="dxa"/>
              <w:bottom w:w="0" w:type="dxa"/>
              <w:right w:w="86" w:type="dxa"/>
            </w:tcMar>
          </w:tcPr>
          <w:p w14:paraId="522C90F4" w14:textId="77777777" w:rsidR="00C56CC6" w:rsidRPr="005D4222" w:rsidRDefault="00C56CC6">
            <w:pPr>
              <w:pStyle w:val="ECDSBody"/>
              <w:spacing w:after="0"/>
            </w:pPr>
            <w:r w:rsidRPr="005D4222">
              <w:t xml:space="preserve">The episode date and 3 days following the episode date when the person had no claims/encounters with a competing diagnosis. </w:t>
            </w:r>
          </w:p>
        </w:tc>
      </w:tr>
      <w:tr w:rsidR="00C56CC6" w:rsidRPr="005D4222" w14:paraId="76E8E13A" w14:textId="77777777" w:rsidTr="0068678C">
        <w:tc>
          <w:tcPr>
            <w:tcW w:w="2157" w:type="dxa"/>
            <w:tcBorders>
              <w:top w:val="nil"/>
              <w:bottom w:val="single" w:sz="4" w:space="0" w:color="auto"/>
            </w:tcBorders>
            <w:tcMar>
              <w:top w:w="0" w:type="dxa"/>
              <w:left w:w="86" w:type="dxa"/>
              <w:bottom w:w="0" w:type="dxa"/>
              <w:right w:w="86" w:type="dxa"/>
            </w:tcMar>
          </w:tcPr>
          <w:p w14:paraId="30D067AE" w14:textId="77777777" w:rsidR="00C56CC6" w:rsidRPr="005D4222" w:rsidRDefault="00C56CC6">
            <w:pPr>
              <w:pStyle w:val="ECDSMarginSubhead"/>
            </w:pPr>
            <w:r w:rsidRPr="005D4222">
              <w:t>Negative medication history</w:t>
            </w:r>
          </w:p>
        </w:tc>
        <w:tc>
          <w:tcPr>
            <w:tcW w:w="7557" w:type="dxa"/>
            <w:gridSpan w:val="3"/>
            <w:tcBorders>
              <w:top w:val="nil"/>
              <w:bottom w:val="single" w:sz="4" w:space="0" w:color="auto"/>
            </w:tcBorders>
            <w:tcMar>
              <w:left w:w="86" w:type="dxa"/>
              <w:bottom w:w="0" w:type="dxa"/>
              <w:right w:w="86" w:type="dxa"/>
            </w:tcMar>
          </w:tcPr>
          <w:p w14:paraId="4626465E" w14:textId="77777777" w:rsidR="00C56CC6" w:rsidRPr="005D4222" w:rsidRDefault="00C56CC6">
            <w:pPr>
              <w:pStyle w:val="ECDSBody"/>
            </w:pPr>
            <w:r w:rsidRPr="005D4222">
              <w:t>To qualify for negative medication history, the following criteria must be met:</w:t>
            </w:r>
          </w:p>
          <w:p w14:paraId="45665AEA" w14:textId="77777777" w:rsidR="00C56CC6" w:rsidRPr="005D4222" w:rsidRDefault="00C56CC6" w:rsidP="00C56CC6">
            <w:pPr>
              <w:pStyle w:val="Bullet"/>
              <w:numPr>
                <w:ilvl w:val="0"/>
                <w:numId w:val="4"/>
              </w:numPr>
              <w:tabs>
                <w:tab w:val="left" w:pos="360"/>
                <w:tab w:val="left" w:pos="576"/>
              </w:tabs>
              <w:ind w:left="576" w:hanging="216"/>
              <w:rPr>
                <w:szCs w:val="21"/>
              </w:rPr>
            </w:pPr>
            <w:r w:rsidRPr="005D4222">
              <w:t xml:space="preserve">A period of 30 days prior to the episode date when the </w:t>
            </w:r>
            <w:r w:rsidRPr="005D4222">
              <w:rPr>
                <w:szCs w:val="21"/>
              </w:rPr>
              <w:t xml:space="preserve">person had no pharmacy claims for either new or refill prescriptions for a listed antibiotic drug. </w:t>
            </w:r>
          </w:p>
          <w:p w14:paraId="02BAA9E3" w14:textId="77777777" w:rsidR="00C56CC6" w:rsidRPr="005D4222" w:rsidRDefault="00C56CC6" w:rsidP="00C56CC6">
            <w:pPr>
              <w:pStyle w:val="Bullet"/>
              <w:numPr>
                <w:ilvl w:val="0"/>
                <w:numId w:val="4"/>
              </w:numPr>
              <w:tabs>
                <w:tab w:val="left" w:pos="360"/>
                <w:tab w:val="left" w:pos="576"/>
              </w:tabs>
              <w:ind w:left="576" w:hanging="216"/>
              <w:rPr>
                <w:szCs w:val="21"/>
              </w:rPr>
            </w:pPr>
            <w:r w:rsidRPr="005D4222">
              <w:t xml:space="preserve">No prescriptions dispensed more than 30 days prior to the episode date that are active on the </w:t>
            </w:r>
            <w:r w:rsidRPr="005D4222">
              <w:rPr>
                <w:szCs w:val="21"/>
              </w:rPr>
              <w:t>episode date.</w:t>
            </w:r>
          </w:p>
          <w:p w14:paraId="4E142C00" w14:textId="77777777" w:rsidR="00C56CC6" w:rsidRPr="005D4222" w:rsidRDefault="00C56CC6">
            <w:pPr>
              <w:pStyle w:val="ECDSBody"/>
              <w:rPr>
                <w:szCs w:val="21"/>
              </w:rPr>
            </w:pPr>
            <w:r w:rsidRPr="005D4222">
              <w:t>A prescription is considered active if the “days supply” indicated on the date when the person was dispensed the prescription is the number of days or more between that date and the relevant service date. The 30-day look-back period for pharmacy data includes the 30 days prior to the intake period.</w:t>
            </w:r>
            <w:r w:rsidRPr="005D4222">
              <w:rPr>
                <w:szCs w:val="21"/>
              </w:rPr>
              <w:t xml:space="preserve"> </w:t>
            </w:r>
          </w:p>
        </w:tc>
      </w:tr>
      <w:tr w:rsidR="00C56CC6" w:rsidRPr="005D4222" w14:paraId="5B56BC0D" w14:textId="77777777" w:rsidTr="00FA73C5">
        <w:tc>
          <w:tcPr>
            <w:tcW w:w="2157" w:type="dxa"/>
            <w:tcBorders>
              <w:top w:val="single" w:sz="4" w:space="0" w:color="auto"/>
            </w:tcBorders>
            <w:shd w:val="clear" w:color="auto" w:fill="BFBFBF" w:themeFill="background1" w:themeFillShade="BF"/>
            <w:tcMar>
              <w:top w:w="0" w:type="dxa"/>
              <w:left w:w="86" w:type="dxa"/>
              <w:bottom w:w="0" w:type="dxa"/>
              <w:right w:w="86" w:type="dxa"/>
            </w:tcMar>
          </w:tcPr>
          <w:p w14:paraId="5F156E1F" w14:textId="77777777" w:rsidR="00C56CC6" w:rsidRPr="005D4222" w:rsidRDefault="00C56CC6">
            <w:pPr>
              <w:pStyle w:val="ECDSMarginHead"/>
            </w:pPr>
            <w:r w:rsidRPr="005D4222">
              <w:lastRenderedPageBreak/>
              <w:t>Initial population</w:t>
            </w:r>
          </w:p>
        </w:tc>
        <w:tc>
          <w:tcPr>
            <w:tcW w:w="7557" w:type="dxa"/>
            <w:gridSpan w:val="3"/>
            <w:tcBorders>
              <w:top w:val="single" w:sz="4" w:space="0" w:color="auto"/>
              <w:left w:val="single" w:sz="4" w:space="0" w:color="auto"/>
              <w:right w:val="single" w:sz="4" w:space="0" w:color="auto"/>
            </w:tcBorders>
            <w:tcMar>
              <w:top w:w="0" w:type="dxa"/>
              <w:left w:w="86" w:type="dxa"/>
              <w:bottom w:w="0" w:type="dxa"/>
              <w:right w:w="86" w:type="dxa"/>
            </w:tcMar>
          </w:tcPr>
          <w:p w14:paraId="542E856F" w14:textId="77777777" w:rsidR="00C56CC6" w:rsidRPr="005D4222" w:rsidRDefault="00C56CC6">
            <w:pPr>
              <w:pStyle w:val="ECDSBody"/>
            </w:pPr>
            <w:r w:rsidRPr="005D4222">
              <w:rPr>
                <w:i/>
                <w:iCs/>
              </w:rPr>
              <w:t>Measure item count:</w:t>
            </w:r>
            <w:r w:rsidRPr="005D4222">
              <w:t xml:space="preserve"> Episode.</w:t>
            </w:r>
          </w:p>
          <w:p w14:paraId="17C1DBED" w14:textId="77777777" w:rsidR="00C56CC6" w:rsidRPr="005D4222" w:rsidRDefault="00C56CC6">
            <w:pPr>
              <w:pStyle w:val="ECDSBody"/>
            </w:pPr>
            <w:r w:rsidRPr="005D4222">
              <w:rPr>
                <w:i/>
                <w:iCs/>
              </w:rPr>
              <w:t>Attribution basis:</w:t>
            </w:r>
            <w:r w:rsidRPr="005D4222">
              <w:t xml:space="preserve"> Enrollment.</w:t>
            </w:r>
          </w:p>
          <w:p w14:paraId="031EDC75" w14:textId="77777777" w:rsidR="00C56CC6" w:rsidRPr="005D4222" w:rsidRDefault="00C56CC6" w:rsidP="00C56CC6">
            <w:pPr>
              <w:pStyle w:val="Bullet"/>
              <w:numPr>
                <w:ilvl w:val="0"/>
                <w:numId w:val="4"/>
              </w:numPr>
              <w:tabs>
                <w:tab w:val="left" w:pos="360"/>
                <w:tab w:val="left" w:pos="576"/>
              </w:tabs>
              <w:spacing w:after="80"/>
              <w:ind w:left="576" w:hanging="216"/>
              <w:rPr>
                <w:rFonts w:ascii="Arial Narrow" w:eastAsia="Arial,Arial,Arial,Arial,Arial,A" w:hAnsi="Arial Narrow"/>
                <w:szCs w:val="19"/>
              </w:rPr>
            </w:pPr>
            <w:r w:rsidRPr="005D4222">
              <w:rPr>
                <w:i/>
              </w:rPr>
              <w:t xml:space="preserve">Benefits: </w:t>
            </w:r>
            <w:r w:rsidRPr="005D4222">
              <w:t>Medical and pharmacy.</w:t>
            </w:r>
          </w:p>
          <w:p w14:paraId="51FC214F" w14:textId="77777777" w:rsidR="00C56CC6" w:rsidRPr="005D4222" w:rsidRDefault="00C56CC6" w:rsidP="00C56CC6">
            <w:pPr>
              <w:pStyle w:val="Bullet"/>
              <w:numPr>
                <w:ilvl w:val="0"/>
                <w:numId w:val="4"/>
              </w:numPr>
              <w:tabs>
                <w:tab w:val="left" w:pos="360"/>
                <w:tab w:val="left" w:pos="576"/>
              </w:tabs>
              <w:spacing w:after="80"/>
              <w:ind w:left="576" w:hanging="216"/>
            </w:pPr>
            <w:r w:rsidRPr="005D4222">
              <w:rPr>
                <w:i/>
              </w:rPr>
              <w:t>Continuous enrollment:</w:t>
            </w:r>
            <w:r w:rsidRPr="005D4222">
              <w:t xml:space="preserve"> 30 days prior to the episode date through 3 days after the episode date (34 total days).</w:t>
            </w:r>
          </w:p>
          <w:p w14:paraId="5096C55E" w14:textId="77777777" w:rsidR="00C56CC6" w:rsidRPr="005D4222" w:rsidRDefault="00C56CC6" w:rsidP="00C56CC6">
            <w:pPr>
              <w:pStyle w:val="Bullet"/>
              <w:numPr>
                <w:ilvl w:val="0"/>
                <w:numId w:val="4"/>
              </w:numPr>
              <w:tabs>
                <w:tab w:val="left" w:pos="360"/>
                <w:tab w:val="left" w:pos="576"/>
              </w:tabs>
              <w:spacing w:after="80"/>
              <w:ind w:left="576" w:hanging="216"/>
            </w:pPr>
            <w:r w:rsidRPr="005D4222">
              <w:rPr>
                <w:i/>
              </w:rPr>
              <w:t>Allowable gap:</w:t>
            </w:r>
            <w:r w:rsidRPr="005D4222">
              <w:t xml:space="preserve"> None.</w:t>
            </w:r>
          </w:p>
          <w:p w14:paraId="431E86AF" w14:textId="77777777" w:rsidR="00C56CC6" w:rsidRPr="005D4222" w:rsidRDefault="00C56CC6">
            <w:pPr>
              <w:pStyle w:val="ECDSBody"/>
            </w:pPr>
            <w:r w:rsidRPr="005D4222">
              <w:rPr>
                <w:i/>
              </w:rPr>
              <w:t xml:space="preserve">Ages: </w:t>
            </w:r>
            <w:r w:rsidRPr="005D4222">
              <w:t>3 months</w:t>
            </w:r>
            <w:r w:rsidRPr="005D4222" w:rsidDel="000C01E3">
              <w:t xml:space="preserve"> </w:t>
            </w:r>
            <w:r w:rsidRPr="005D4222" w:rsidDel="00207464">
              <w:t xml:space="preserve">of age </w:t>
            </w:r>
            <w:r w:rsidRPr="005D4222">
              <w:t>or older as of the episode date.</w:t>
            </w:r>
          </w:p>
          <w:p w14:paraId="0521B1C2" w14:textId="77777777" w:rsidR="00C56CC6" w:rsidRPr="005D4222" w:rsidRDefault="00C56CC6">
            <w:pPr>
              <w:pStyle w:val="ECDSBody"/>
            </w:pPr>
            <w:r w:rsidRPr="005D4222">
              <w:rPr>
                <w:i/>
              </w:rPr>
              <w:t xml:space="preserve">Event: </w:t>
            </w:r>
            <w:r w:rsidRPr="005D4222">
              <w:rPr>
                <w:b/>
                <w:bCs w:val="0"/>
                <w:iCs/>
              </w:rPr>
              <w:t xml:space="preserve">Episodes of </w:t>
            </w:r>
            <w:r w:rsidRPr="005D4222">
              <w:rPr>
                <w:b/>
                <w:bCs w:val="0"/>
              </w:rPr>
              <w:t xml:space="preserve">upper respiratory infection </w:t>
            </w:r>
            <w:r w:rsidRPr="005D4222">
              <w:rPr>
                <w:b/>
              </w:rPr>
              <w:t>diagnosis</w:t>
            </w:r>
            <w:r w:rsidRPr="005D4222">
              <w:rPr>
                <w:b/>
                <w:bCs w:val="0"/>
              </w:rPr>
              <w:t xml:space="preserve">. </w:t>
            </w:r>
          </w:p>
          <w:p w14:paraId="78AD0C35" w14:textId="77777777" w:rsidR="00C56CC6" w:rsidRPr="005D4222" w:rsidRDefault="00C56CC6">
            <w:pPr>
              <w:pStyle w:val="ECDSBody"/>
            </w:pPr>
            <w:r w:rsidRPr="005D4222">
              <w:rPr>
                <w:b/>
              </w:rPr>
              <w:t xml:space="preserve">Step 1. </w:t>
            </w:r>
            <w:r w:rsidRPr="005D4222">
              <w:t>Identify all persons who had an outpatient visit, ED visit telephone visit, e-visit or virtual check-in (</w:t>
            </w:r>
            <w:r w:rsidRPr="005D4222">
              <w:rPr>
                <w:u w:val="single"/>
              </w:rPr>
              <w:t>Outpatient, ED and Telehealth Value Set</w:t>
            </w:r>
            <w:r w:rsidRPr="005D4222">
              <w:t>) during the intake period, with a diagnosis of URI (</w:t>
            </w:r>
            <w:r w:rsidRPr="005D4222">
              <w:rPr>
                <w:u w:val="single"/>
              </w:rPr>
              <w:t>URI Value Set</w:t>
            </w:r>
            <w:r w:rsidRPr="005D4222">
              <w:t>).</w:t>
            </w:r>
          </w:p>
          <w:p w14:paraId="21BA37F4" w14:textId="77777777" w:rsidR="00C56CC6" w:rsidRPr="005D4222" w:rsidRDefault="00C56CC6">
            <w:pPr>
              <w:pStyle w:val="ECDSBody"/>
            </w:pPr>
            <w:r w:rsidRPr="005D4222">
              <w:rPr>
                <w:b/>
              </w:rPr>
              <w:t>Step 2.</w:t>
            </w:r>
            <w:r w:rsidRPr="005D4222">
              <w:t xml:space="preserve"> Determine all URI episode dates. For each person identified in step 1, determine all outpatient, telephone or ED visits, e-visits and virtual check-ins with a URI diagnosis. </w:t>
            </w:r>
          </w:p>
          <w:p w14:paraId="0001584C" w14:textId="77777777" w:rsidR="00C56CC6" w:rsidRPr="005D4222" w:rsidRDefault="00C56CC6">
            <w:pPr>
              <w:pStyle w:val="ECDSBody"/>
              <w:spacing w:before="0"/>
              <w:rPr>
                <w:iCs/>
              </w:rPr>
            </w:pPr>
            <w:r w:rsidRPr="005D4222" w:rsidDel="00AD70DF">
              <w:rPr>
                <w:iCs/>
              </w:rPr>
              <w:t xml:space="preserve">Exclude </w:t>
            </w:r>
            <w:r w:rsidRPr="005D4222">
              <w:rPr>
                <w:iCs/>
              </w:rPr>
              <w:t>visits that result in an inpatient stay (</w:t>
            </w:r>
            <w:r w:rsidRPr="005D4222">
              <w:rPr>
                <w:iCs/>
                <w:u w:val="single"/>
              </w:rPr>
              <w:t>Inpatient Stay Value Set</w:t>
            </w:r>
            <w:r w:rsidRPr="005D4222">
              <w:rPr>
                <w:iCs/>
              </w:rPr>
              <w:t>).</w:t>
            </w:r>
          </w:p>
          <w:p w14:paraId="4EA5081E" w14:textId="52470CF5" w:rsidR="00C56CC6" w:rsidRPr="005D4222" w:rsidRDefault="00C56CC6">
            <w:pPr>
              <w:pStyle w:val="ECDSBody"/>
              <w:rPr>
                <w:iCs/>
              </w:rPr>
            </w:pPr>
            <w:r w:rsidRPr="005D4222">
              <w:rPr>
                <w:b/>
                <w:iCs/>
              </w:rPr>
              <w:t>Step 3.</w:t>
            </w:r>
            <w:r w:rsidRPr="005D4222">
              <w:rPr>
                <w:iCs/>
              </w:rPr>
              <w:t xml:space="preserve"> </w:t>
            </w:r>
            <w:r w:rsidRPr="005D4222">
              <w:rPr>
                <w:iCs/>
                <w:szCs w:val="21"/>
              </w:rPr>
              <w:t xml:space="preserve">Test for negative comorbid condition history. </w:t>
            </w:r>
            <w:r w:rsidRPr="005D4222">
              <w:rPr>
                <w:iCs/>
              </w:rPr>
              <w:t xml:space="preserve">Remove episode dates where the </w:t>
            </w:r>
            <w:r w:rsidR="002B5FBD" w:rsidRPr="005D4222">
              <w:rPr>
                <w:iCs/>
              </w:rPr>
              <w:t>person</w:t>
            </w:r>
            <w:r w:rsidRPr="005D4222">
              <w:rPr>
                <w:iCs/>
              </w:rPr>
              <w:t xml:space="preserve"> had a claim/encounter with any diagnosis for a comorbid condition (</w:t>
            </w:r>
            <w:r w:rsidRPr="005D4222">
              <w:rPr>
                <w:iCs/>
                <w:u w:val="single"/>
              </w:rPr>
              <w:t>Comorbid Conditions Value Set</w:t>
            </w:r>
            <w:r w:rsidRPr="005D4222">
              <w:rPr>
                <w:iCs/>
              </w:rPr>
              <w:t>*) during the 365 days prior to or on the episode date.</w:t>
            </w:r>
            <w:r w:rsidRPr="005D4222">
              <w:rPr>
                <w:iCs/>
                <w:szCs w:val="21"/>
              </w:rPr>
              <w:t xml:space="preserve">  </w:t>
            </w:r>
          </w:p>
          <w:p w14:paraId="2C353CB2" w14:textId="77777777" w:rsidR="00C56CC6" w:rsidRPr="005D4222" w:rsidRDefault="00C56CC6">
            <w:pPr>
              <w:pStyle w:val="ECDSBody"/>
              <w:rPr>
                <w:iCs/>
                <w:szCs w:val="21"/>
              </w:rPr>
            </w:pPr>
            <w:r w:rsidRPr="005D4222">
              <w:rPr>
                <w:b/>
                <w:iCs/>
              </w:rPr>
              <w:t>Step 4.</w:t>
            </w:r>
            <w:r w:rsidRPr="005D4222">
              <w:rPr>
                <w:iCs/>
                <w:szCs w:val="21"/>
              </w:rPr>
              <w:t xml:space="preserve"> Test for negative medication history. Remove episode dates where a new or refill prescription for an antibiotic medication (</w:t>
            </w:r>
            <w:r w:rsidRPr="005D4222">
              <w:rPr>
                <w:iCs/>
                <w:szCs w:val="21"/>
                <w:u w:val="single"/>
              </w:rPr>
              <w:t>AAB Antibiotic Medications List</w:t>
            </w:r>
            <w:r w:rsidRPr="005D4222">
              <w:rPr>
                <w:iCs/>
                <w:szCs w:val="21"/>
              </w:rPr>
              <w:t>) was dispensed 30 days prior to the episode date or was active on the episode date.</w:t>
            </w:r>
          </w:p>
          <w:p w14:paraId="1166392E" w14:textId="77777777" w:rsidR="00C56CC6" w:rsidRPr="005D4222" w:rsidRDefault="00C56CC6">
            <w:pPr>
              <w:pStyle w:val="ECDSBody"/>
              <w:rPr>
                <w:u w:val="single"/>
              </w:rPr>
            </w:pPr>
            <w:r w:rsidRPr="005D4222">
              <w:rPr>
                <w:b/>
                <w:iCs/>
                <w:szCs w:val="21"/>
              </w:rPr>
              <w:t>Step 5.</w:t>
            </w:r>
            <w:r w:rsidRPr="005D4222">
              <w:rPr>
                <w:iCs/>
                <w:szCs w:val="21"/>
              </w:rPr>
              <w:t xml:space="preserve"> </w:t>
            </w:r>
            <w:r w:rsidRPr="005D4222">
              <w:rPr>
                <w:iCs/>
              </w:rPr>
              <w:t>Test for negative competing diagnosis. Remove episode dates where the person had a claim/encounter with a competing diagnosis (</w:t>
            </w:r>
            <w:r w:rsidRPr="005D4222">
              <w:rPr>
                <w:iCs/>
                <w:u w:val="single"/>
              </w:rPr>
              <w:t>Pharyngitis Value Set</w:t>
            </w:r>
            <w:r w:rsidRPr="005D4222">
              <w:t xml:space="preserve">*; </w:t>
            </w:r>
            <w:r w:rsidRPr="005D4222">
              <w:rPr>
                <w:u w:val="single"/>
              </w:rPr>
              <w:t>Competing Diagnosis Value Set</w:t>
            </w:r>
            <w:r w:rsidRPr="005D4222">
              <w:t>*)</w:t>
            </w:r>
            <w:r w:rsidRPr="005D4222">
              <w:rPr>
                <w:iCs/>
              </w:rPr>
              <w:t xml:space="preserve"> on or three days after the episode date. </w:t>
            </w:r>
          </w:p>
          <w:p w14:paraId="19AC5C40" w14:textId="77777777" w:rsidR="00C56CC6" w:rsidRPr="005D4222" w:rsidRDefault="00C56CC6">
            <w:pPr>
              <w:pStyle w:val="Body"/>
              <w:rPr>
                <w:bCs/>
              </w:rPr>
            </w:pPr>
            <w:r w:rsidRPr="005D4222">
              <w:rPr>
                <w:b/>
                <w:bCs/>
              </w:rPr>
              <w:t>Step 6.</w:t>
            </w:r>
            <w:r w:rsidRPr="005D4222">
              <w:t xml:space="preserve"> </w:t>
            </w:r>
            <w:r w:rsidRPr="005D4222">
              <w:rPr>
                <w:bCs/>
              </w:rPr>
              <w:t>Calculate continuous enrollment.</w:t>
            </w:r>
          </w:p>
          <w:p w14:paraId="045BC21E" w14:textId="77777777" w:rsidR="00C56CC6" w:rsidRPr="005D4222" w:rsidRDefault="00C56CC6">
            <w:pPr>
              <w:pStyle w:val="Body"/>
            </w:pPr>
            <w:r w:rsidRPr="005D4222">
              <w:rPr>
                <w:b/>
                <w:bCs/>
              </w:rPr>
              <w:t>Step 7.</w:t>
            </w:r>
            <w:r w:rsidRPr="005D4222">
              <w:t xml:space="preserve"> </w:t>
            </w:r>
            <w:r w:rsidRPr="005D4222">
              <w:rPr>
                <w:rFonts w:cs="Arial"/>
                <w:bCs/>
                <w:szCs w:val="21"/>
              </w:rPr>
              <w:t xml:space="preserve">Deduplicate eligible episodes. If </w:t>
            </w:r>
            <w:r w:rsidRPr="005D4222" w:rsidDel="003B418D">
              <w:rPr>
                <w:rFonts w:cs="Arial"/>
                <w:bCs/>
                <w:szCs w:val="21"/>
              </w:rPr>
              <w:t xml:space="preserve">a person has </w:t>
            </w:r>
            <w:r w:rsidRPr="005D4222">
              <w:rPr>
                <w:rFonts w:cs="Arial"/>
                <w:bCs/>
                <w:szCs w:val="21"/>
              </w:rPr>
              <w:t xml:space="preserve">more than one eligible episode in a 31-day period, include only the first eligible episode. For example, if </w:t>
            </w:r>
            <w:r w:rsidRPr="005D4222" w:rsidDel="003B418D">
              <w:rPr>
                <w:rFonts w:cs="Arial"/>
                <w:bCs/>
                <w:szCs w:val="21"/>
              </w:rPr>
              <w:t xml:space="preserve">a person has </w:t>
            </w:r>
            <w:r w:rsidRPr="005D4222">
              <w:rPr>
                <w:rFonts w:cs="Arial"/>
                <w:bCs/>
                <w:szCs w:val="21"/>
              </w:rPr>
              <w:t xml:space="preserve">an eligible episode on January 1, include </w:t>
            </w:r>
            <w:r w:rsidRPr="005D4222" w:rsidDel="003B418D">
              <w:rPr>
                <w:rFonts w:cs="Arial"/>
                <w:bCs/>
                <w:szCs w:val="21"/>
              </w:rPr>
              <w:t>the January 1</w:t>
            </w:r>
            <w:r w:rsidRPr="005D4222">
              <w:rPr>
                <w:rFonts w:cs="Arial"/>
                <w:bCs/>
                <w:szCs w:val="21"/>
              </w:rPr>
              <w:t xml:space="preserve"> visit and do not include eligible episodes that occur on or between January 2 and January 31; </w:t>
            </w:r>
            <w:r w:rsidRPr="005D4222" w:rsidDel="003B418D">
              <w:rPr>
                <w:rFonts w:cs="Arial"/>
                <w:bCs/>
                <w:szCs w:val="21"/>
              </w:rPr>
              <w:t>t</w:t>
            </w:r>
            <w:r w:rsidRPr="005D4222">
              <w:rPr>
                <w:rFonts w:cs="Arial"/>
                <w:bCs/>
                <w:szCs w:val="21"/>
              </w:rPr>
              <w:t>hen, if applicable, include the next eligible episode that occurs on or after February 1. Identify visits chronologically, including only one per 31-day period.</w:t>
            </w:r>
          </w:p>
          <w:p w14:paraId="4F32BB96" w14:textId="77777777" w:rsidR="00C56CC6" w:rsidRPr="005D4222" w:rsidRDefault="00C56CC6">
            <w:pPr>
              <w:pStyle w:val="ECDSBody"/>
              <w:spacing w:after="0"/>
              <w:rPr>
                <w:rFonts w:eastAsia="Arial,Arial,Arial,Arial,Arial,A"/>
                <w:b/>
                <w:bCs w:val="0"/>
              </w:rPr>
            </w:pPr>
            <w:r w:rsidRPr="005D4222">
              <w:rPr>
                <w:rFonts w:eastAsia="Arial,Arial,Arial,Arial,Arial,A"/>
                <w:b/>
                <w:bCs w:val="0"/>
              </w:rPr>
              <w:t>Coding Guidance</w:t>
            </w:r>
          </w:p>
          <w:p w14:paraId="6853364B" w14:textId="77777777" w:rsidR="00C56CC6" w:rsidRPr="005D4222" w:rsidRDefault="00C56CC6">
            <w:pPr>
              <w:pStyle w:val="ECDSBody"/>
              <w:spacing w:before="0"/>
              <w:rPr>
                <w:rFonts w:ascii="Arial Narrow" w:eastAsia="Arial,Arial,Arial,Arial,Arial,A" w:hAnsi="Arial Narrow"/>
                <w:szCs w:val="19"/>
              </w:rPr>
            </w:pPr>
            <w:r w:rsidRPr="005D4222">
              <w:rPr>
                <w:rFonts w:eastAsia="Arial,Arial,Arial,Arial,Arial,A"/>
              </w:rPr>
              <w:t>*</w:t>
            </w:r>
            <w:r w:rsidRPr="005D4222">
              <w:rPr>
                <w:rStyle w:val="BodyChar1"/>
                <w:rFonts w:eastAsia="Arial,Arial,Arial,Arial,Arial,A"/>
              </w:rPr>
              <w:t>Do not include laboratory claims (claims with POS code 81).</w:t>
            </w:r>
          </w:p>
        </w:tc>
      </w:tr>
      <w:tr w:rsidR="00C56CC6" w:rsidRPr="005D4222" w14:paraId="3B283CFA" w14:textId="77777777">
        <w:tc>
          <w:tcPr>
            <w:tcW w:w="2157" w:type="dxa"/>
            <w:tcBorders>
              <w:top w:val="single" w:sz="2" w:space="0" w:color="auto"/>
              <w:left w:val="single" w:sz="2" w:space="0" w:color="auto"/>
              <w:right w:val="single" w:sz="2" w:space="0" w:color="auto"/>
            </w:tcBorders>
            <w:shd w:val="clear" w:color="auto" w:fill="BFBFBF" w:themeFill="background1" w:themeFillShade="BF"/>
            <w:tcMar>
              <w:top w:w="0" w:type="dxa"/>
              <w:left w:w="86" w:type="dxa"/>
              <w:bottom w:w="0" w:type="dxa"/>
              <w:right w:w="86" w:type="dxa"/>
            </w:tcMar>
          </w:tcPr>
          <w:p w14:paraId="297932A3" w14:textId="77777777" w:rsidR="00C56CC6" w:rsidRPr="005D4222" w:rsidRDefault="00C56CC6">
            <w:pPr>
              <w:pStyle w:val="ECDSMarginHead"/>
              <w:rPr>
                <w:iCs/>
              </w:rPr>
            </w:pPr>
            <w:r w:rsidRPr="005D4222">
              <w:rPr>
                <w:iCs/>
              </w:rPr>
              <w:t xml:space="preserve">Denominator exclusions </w:t>
            </w:r>
          </w:p>
        </w:tc>
        <w:tc>
          <w:tcPr>
            <w:tcW w:w="7557" w:type="dxa"/>
            <w:gridSpan w:val="3"/>
            <w:tcBorders>
              <w:top w:val="single" w:sz="4" w:space="0" w:color="auto"/>
              <w:left w:val="single" w:sz="4" w:space="0" w:color="auto"/>
              <w:right w:val="single" w:sz="4" w:space="0" w:color="auto"/>
            </w:tcBorders>
            <w:tcMar>
              <w:top w:w="0" w:type="dxa"/>
              <w:left w:w="86" w:type="dxa"/>
              <w:bottom w:w="0" w:type="dxa"/>
              <w:right w:w="86" w:type="dxa"/>
            </w:tcMar>
            <w:vAlign w:val="center"/>
          </w:tcPr>
          <w:p w14:paraId="583317E3" w14:textId="0F075D34" w:rsidR="00C56CC6" w:rsidRPr="005D4222" w:rsidRDefault="00C56CC6" w:rsidP="0068678C">
            <w:pPr>
              <w:pStyle w:val="ECDSBody"/>
              <w:rPr>
                <w:rFonts w:eastAsia="Arial,Arial,Arial,Arial,Arial,A"/>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w:t>
            </w:r>
          </w:p>
        </w:tc>
      </w:tr>
    </w:tbl>
    <w:p w14:paraId="288F4DD0" w14:textId="77777777" w:rsidR="0068678C" w:rsidRPr="005D4222" w:rsidRDefault="0068678C"/>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86" w:type="dxa"/>
          <w:bottom w:w="40" w:type="dxa"/>
          <w:right w:w="86" w:type="dxa"/>
        </w:tblCellMar>
        <w:tblLook w:val="04A0" w:firstRow="1" w:lastRow="0" w:firstColumn="1" w:lastColumn="0" w:noHBand="0" w:noVBand="1"/>
      </w:tblPr>
      <w:tblGrid>
        <w:gridCol w:w="2157"/>
        <w:gridCol w:w="7557"/>
      </w:tblGrid>
      <w:tr w:rsidR="0068678C" w:rsidRPr="005D4222" w14:paraId="6D48CFD4" w14:textId="77777777" w:rsidTr="0068678C">
        <w:tc>
          <w:tcPr>
            <w:tcW w:w="2157" w:type="dxa"/>
            <w:tcBorders>
              <w:top w:val="single" w:sz="2" w:space="0" w:color="auto"/>
              <w:left w:val="single" w:sz="2" w:space="0" w:color="auto"/>
              <w:right w:val="single" w:sz="2" w:space="0" w:color="auto"/>
            </w:tcBorders>
            <w:shd w:val="clear" w:color="auto" w:fill="BFBFBF" w:themeFill="background1" w:themeFillShade="BF"/>
            <w:tcMar>
              <w:top w:w="0" w:type="dxa"/>
              <w:left w:w="86" w:type="dxa"/>
              <w:bottom w:w="0" w:type="dxa"/>
              <w:right w:w="86" w:type="dxa"/>
            </w:tcMar>
          </w:tcPr>
          <w:p w14:paraId="791F940A" w14:textId="77777777" w:rsidR="0068678C" w:rsidRPr="005D4222" w:rsidRDefault="0068678C">
            <w:pPr>
              <w:pStyle w:val="ECDSMarginHead"/>
              <w:rPr>
                <w:iCs/>
              </w:rPr>
            </w:pPr>
          </w:p>
        </w:tc>
        <w:tc>
          <w:tcPr>
            <w:tcW w:w="7557" w:type="dxa"/>
            <w:tcBorders>
              <w:top w:val="single" w:sz="4" w:space="0" w:color="auto"/>
              <w:left w:val="single" w:sz="4" w:space="0" w:color="auto"/>
              <w:right w:val="single" w:sz="4" w:space="0" w:color="auto"/>
            </w:tcBorders>
            <w:tcMar>
              <w:top w:w="0" w:type="dxa"/>
              <w:left w:w="86" w:type="dxa"/>
              <w:bottom w:w="0" w:type="dxa"/>
              <w:right w:w="86" w:type="dxa"/>
            </w:tcMar>
            <w:vAlign w:val="center"/>
          </w:tcPr>
          <w:p w14:paraId="4B7F4A0E" w14:textId="551E3DD6" w:rsidR="0068678C" w:rsidRPr="005D4222" w:rsidRDefault="0068678C">
            <w:pPr>
              <w:pStyle w:val="ECDSBody"/>
              <w:rPr>
                <w:b/>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C56CC6" w:rsidRPr="005D4222" w14:paraId="6FA0A40E" w14:textId="77777777" w:rsidTr="0068678C">
        <w:tblPrEx>
          <w:tblCellMar>
            <w:top w:w="40" w:type="dxa"/>
            <w:left w:w="15" w:type="dxa"/>
            <w:right w:w="15" w:type="dxa"/>
          </w:tblCellMar>
        </w:tblPrEx>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0" w:type="dxa"/>
              <w:right w:w="86" w:type="dxa"/>
            </w:tcMar>
          </w:tcPr>
          <w:p w14:paraId="11B810AD" w14:textId="77777777" w:rsidR="00C56CC6" w:rsidRPr="005D4222" w:rsidRDefault="00C56CC6">
            <w:pPr>
              <w:pStyle w:val="ECDSMarginHead"/>
              <w:rPr>
                <w:i/>
              </w:rPr>
            </w:pPr>
            <w:r w:rsidRPr="005D4222">
              <w:t>Denominator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tcPr>
          <w:p w14:paraId="5D6465C2" w14:textId="77777777" w:rsidR="00C56CC6" w:rsidRPr="005D4222" w:rsidRDefault="00C56CC6" w:rsidP="0068678C">
            <w:pPr>
              <w:pStyle w:val="ECDSBody"/>
              <w:rPr>
                <w:b/>
              </w:rPr>
            </w:pPr>
            <w:r w:rsidRPr="005D4222">
              <w:rPr>
                <w:rFonts w:eastAsia="Arial,Arial,Arial,Arial,Arial,A"/>
              </w:rPr>
              <w:t>The initial population minus denominator exclusions.</w:t>
            </w:r>
          </w:p>
        </w:tc>
      </w:tr>
      <w:tr w:rsidR="00C56CC6" w:rsidRPr="005D4222" w14:paraId="1DCEC86F" w14:textId="77777777" w:rsidTr="0068678C">
        <w:tblPrEx>
          <w:tblCellMar>
            <w:top w:w="40" w:type="dxa"/>
            <w:left w:w="15" w:type="dxa"/>
            <w:right w:w="15" w:type="dxa"/>
          </w:tblCellMar>
        </w:tblPrEx>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0" w:type="dxa"/>
              <w:right w:w="86" w:type="dxa"/>
            </w:tcMar>
          </w:tcPr>
          <w:p w14:paraId="00C2B276" w14:textId="77777777" w:rsidR="00C56CC6" w:rsidRPr="005D4222" w:rsidRDefault="00C56CC6">
            <w:pPr>
              <w:pStyle w:val="ECDSMarginHead"/>
            </w:pPr>
            <w:r w:rsidRPr="005D4222">
              <w:t>Numerator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vAlign w:val="center"/>
          </w:tcPr>
          <w:p w14:paraId="484518A2" w14:textId="77777777" w:rsidR="00C56CC6" w:rsidRPr="005D4222" w:rsidRDefault="00C56CC6" w:rsidP="00484F07">
            <w:pPr>
              <w:pStyle w:val="ECDSBody"/>
              <w:rPr>
                <w:rFonts w:eastAsia="Arial,Arial,Arial,Arial,Arial,A"/>
              </w:rPr>
            </w:pPr>
            <w:r w:rsidRPr="005D4222">
              <w:rPr>
                <w:b/>
              </w:rPr>
              <w:t>Antibiotic medication was dispensed.</w:t>
            </w:r>
            <w:r w:rsidRPr="005D4222">
              <w:rPr>
                <w:b/>
              </w:rPr>
              <w:br/>
            </w:r>
            <w:r w:rsidRPr="005D4222">
              <w:t>Dispensed prescription for an antibiotic medication (</w:t>
            </w:r>
            <w:r w:rsidRPr="005D4222">
              <w:rPr>
                <w:u w:val="single"/>
              </w:rPr>
              <w:t>AAB Antibiotic Medications List</w:t>
            </w:r>
            <w:r w:rsidRPr="005D4222">
              <w:t>) on or 3 days after the episode date.</w:t>
            </w:r>
          </w:p>
        </w:tc>
      </w:tr>
      <w:tr w:rsidR="00C56CC6" w:rsidRPr="005D4222" w14:paraId="06CA0C55" w14:textId="77777777" w:rsidTr="0068678C">
        <w:tblPrEx>
          <w:tblCellMar>
            <w:top w:w="40" w:type="dxa"/>
            <w:left w:w="15" w:type="dxa"/>
            <w:right w:w="15" w:type="dxa"/>
          </w:tblCellMar>
        </w:tblPrEx>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0" w:type="dxa"/>
              <w:right w:w="86" w:type="dxa"/>
            </w:tcMar>
          </w:tcPr>
          <w:p w14:paraId="20EC1781" w14:textId="77777777" w:rsidR="00C56CC6" w:rsidRPr="005D4222" w:rsidRDefault="00C56CC6">
            <w:pPr>
              <w:pStyle w:val="ECDSMarginHead"/>
            </w:pPr>
            <w:r w:rsidRPr="005D4222">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tcPr>
          <w:p w14:paraId="1C4E66CA" w14:textId="77777777" w:rsidR="00C56CC6" w:rsidRPr="005D4222" w:rsidRDefault="00C56CC6">
            <w:pPr>
              <w:pStyle w:val="ProcessBullet"/>
              <w:spacing w:before="120"/>
              <w:rPr>
                <w:rFonts w:eastAsia="Arial" w:cs="Arial"/>
              </w:rPr>
            </w:pPr>
            <w:r w:rsidRPr="005D4222">
              <w:rPr>
                <w:rFonts w:eastAsia="Arial" w:cs="Arial"/>
              </w:rPr>
              <w:t>No changes to this measure.</w:t>
            </w:r>
          </w:p>
        </w:tc>
      </w:tr>
      <w:tr w:rsidR="00C56CC6" w:rsidRPr="005D4222" w14:paraId="19AC72B7" w14:textId="77777777" w:rsidTr="0068678C">
        <w:tblPrEx>
          <w:tblCellMar>
            <w:top w:w="40" w:type="dxa"/>
            <w:left w:w="15" w:type="dxa"/>
            <w:right w:w="15" w:type="dxa"/>
          </w:tblCellMar>
        </w:tblPrEx>
        <w:trPr>
          <w:trHeight w:val="3959"/>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0" w:type="dxa"/>
              <w:right w:w="86" w:type="dxa"/>
            </w:tcMar>
          </w:tcPr>
          <w:p w14:paraId="1047CE28" w14:textId="77777777" w:rsidR="00C56CC6" w:rsidRPr="005D4222" w:rsidRDefault="00C56CC6">
            <w:pPr>
              <w:pStyle w:val="ECDS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tcPr>
          <w:p w14:paraId="2DBC8DA1" w14:textId="77777777" w:rsidR="00C56CC6" w:rsidRPr="005D4222" w:rsidRDefault="00C56CC6">
            <w:pPr>
              <w:pStyle w:val="ECDSBody"/>
            </w:pPr>
            <w:r w:rsidRPr="005D4222">
              <w:t>Organizations that submit HEDIS data to NCQA must provide the following data elements.</w:t>
            </w:r>
          </w:p>
          <w:p w14:paraId="35921CB3" w14:textId="77777777" w:rsidR="00C56CC6" w:rsidRPr="005D4222" w:rsidRDefault="00C56CC6">
            <w:pPr>
              <w:pStyle w:val="Heading3"/>
              <w:spacing w:before="120"/>
              <w:rPr>
                <w:b w:val="0"/>
                <w:bCs w:val="0"/>
              </w:rPr>
            </w:pPr>
            <w:r w:rsidRPr="005D4222">
              <w:t>Table URI-1/23: Data Elements for Appropriate Treatment for Upper Respiratory Infection</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2" w:type="dxa"/>
                <w:right w:w="72" w:type="dxa"/>
              </w:tblCellMar>
              <w:tblLook w:val="04A0" w:firstRow="1" w:lastRow="0" w:firstColumn="1" w:lastColumn="0" w:noHBand="0" w:noVBand="1"/>
            </w:tblPr>
            <w:tblGrid>
              <w:gridCol w:w="2473"/>
              <w:gridCol w:w="861"/>
              <w:gridCol w:w="2076"/>
              <w:gridCol w:w="1965"/>
            </w:tblGrid>
            <w:tr w:rsidR="00C56CC6" w:rsidRPr="005D4222" w14:paraId="21DC3C1A" w14:textId="77777777">
              <w:tc>
                <w:tcPr>
                  <w:tcW w:w="3130"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vAlign w:val="bottom"/>
                  <w:hideMark/>
                </w:tcPr>
                <w:p w14:paraId="4163D63E" w14:textId="77777777" w:rsidR="00C56CC6" w:rsidRPr="005D4222" w:rsidRDefault="00C56CC6">
                  <w:pPr>
                    <w:pStyle w:val="TableHead"/>
                  </w:pPr>
                  <w:r w:rsidRPr="005D4222">
                    <w:t>Metric</w:t>
                  </w:r>
                </w:p>
              </w:tc>
              <w:tc>
                <w:tcPr>
                  <w:tcW w:w="1475"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vAlign w:val="bottom"/>
                  <w:hideMark/>
                </w:tcPr>
                <w:p w14:paraId="2E1EF2D9" w14:textId="77777777" w:rsidR="00C56CC6" w:rsidRPr="005D4222" w:rsidRDefault="00C56CC6">
                  <w:pPr>
                    <w:pStyle w:val="TableHead"/>
                  </w:pPr>
                  <w:r w:rsidRPr="005D4222">
                    <w:t>Age</w:t>
                  </w:r>
                </w:p>
              </w:tc>
              <w:tc>
                <w:tcPr>
                  <w:tcW w:w="2865"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vAlign w:val="bottom"/>
                  <w:hideMark/>
                </w:tcPr>
                <w:p w14:paraId="74573F01" w14:textId="77777777" w:rsidR="00C56CC6" w:rsidRPr="005D4222" w:rsidRDefault="00C56CC6">
                  <w:pPr>
                    <w:pStyle w:val="TableHead"/>
                  </w:pPr>
                  <w:r w:rsidRPr="005D4222">
                    <w:t>Data Element</w:t>
                  </w:r>
                </w:p>
              </w:tc>
              <w:tc>
                <w:tcPr>
                  <w:tcW w:w="3503"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vAlign w:val="bottom"/>
                  <w:hideMark/>
                </w:tcPr>
                <w:p w14:paraId="5218F0D7" w14:textId="77777777" w:rsidR="00C56CC6" w:rsidRPr="005D4222" w:rsidRDefault="00C56CC6">
                  <w:pPr>
                    <w:pStyle w:val="TableHead"/>
                  </w:pPr>
                  <w:r w:rsidRPr="005D4222">
                    <w:t>Reporting Instructions</w:t>
                  </w:r>
                </w:p>
              </w:tc>
            </w:tr>
            <w:tr w:rsidR="00C56CC6" w:rsidRPr="005D4222" w14:paraId="2C065758" w14:textId="77777777">
              <w:tc>
                <w:tcPr>
                  <w:tcW w:w="3130" w:type="dxa"/>
                  <w:tcBorders>
                    <w:top w:val="single" w:sz="4" w:space="0" w:color="000000" w:themeColor="text1"/>
                    <w:left w:val="single" w:sz="4" w:space="0" w:color="auto"/>
                    <w:bottom w:val="single" w:sz="4" w:space="0" w:color="auto"/>
                    <w:right w:val="single" w:sz="4" w:space="0" w:color="auto"/>
                  </w:tcBorders>
                  <w:hideMark/>
                </w:tcPr>
                <w:p w14:paraId="18FA7CAD" w14:textId="77777777" w:rsidR="00C56CC6" w:rsidRPr="005D4222" w:rsidRDefault="00C56CC6">
                  <w:pPr>
                    <w:pStyle w:val="TableText"/>
                    <w:rPr>
                      <w:rFonts w:cs="Arial"/>
                      <w:szCs w:val="21"/>
                    </w:rPr>
                  </w:pPr>
                  <w:r w:rsidRPr="005D4222">
                    <w:rPr>
                      <w:rFonts w:cs="Arial"/>
                      <w:szCs w:val="21"/>
                    </w:rPr>
                    <w:t>AppropriateURITreatment</w:t>
                  </w:r>
                </w:p>
              </w:tc>
              <w:tc>
                <w:tcPr>
                  <w:tcW w:w="1475" w:type="dxa"/>
                  <w:tcBorders>
                    <w:top w:val="single" w:sz="4" w:space="0" w:color="000000" w:themeColor="text1"/>
                    <w:left w:val="single" w:sz="4" w:space="0" w:color="auto"/>
                    <w:bottom w:val="single" w:sz="4" w:space="0" w:color="auto"/>
                    <w:right w:val="single" w:sz="4" w:space="0" w:color="auto"/>
                  </w:tcBorders>
                  <w:hideMark/>
                </w:tcPr>
                <w:p w14:paraId="5C8DBA69" w14:textId="77777777" w:rsidR="00C56CC6" w:rsidRPr="005D4222" w:rsidRDefault="00C56CC6">
                  <w:pPr>
                    <w:pStyle w:val="TableText"/>
                    <w:rPr>
                      <w:rFonts w:cs="Arial"/>
                      <w:szCs w:val="21"/>
                    </w:rPr>
                  </w:pPr>
                  <w:r w:rsidRPr="005D4222">
                    <w:rPr>
                      <w:rFonts w:cs="Arial"/>
                      <w:szCs w:val="21"/>
                    </w:rPr>
                    <w:t>3m-17</w:t>
                  </w:r>
                </w:p>
              </w:tc>
              <w:tc>
                <w:tcPr>
                  <w:tcW w:w="2865" w:type="dxa"/>
                  <w:tcBorders>
                    <w:top w:val="single" w:sz="4" w:space="0" w:color="000000" w:themeColor="text1"/>
                    <w:left w:val="single" w:sz="4" w:space="0" w:color="auto"/>
                    <w:bottom w:val="single" w:sz="4" w:space="0" w:color="auto"/>
                    <w:right w:val="single" w:sz="4" w:space="0" w:color="auto"/>
                  </w:tcBorders>
                  <w:hideMark/>
                </w:tcPr>
                <w:p w14:paraId="44352583" w14:textId="77777777" w:rsidR="00C56CC6" w:rsidRPr="005D4222" w:rsidRDefault="00C56CC6">
                  <w:pPr>
                    <w:pStyle w:val="TableText"/>
                    <w:rPr>
                      <w:rFonts w:cs="Arial"/>
                      <w:szCs w:val="21"/>
                    </w:rPr>
                  </w:pPr>
                  <w:r w:rsidRPr="005D4222">
                    <w:rPr>
                      <w:rFonts w:cs="Arial"/>
                      <w:szCs w:val="21"/>
                    </w:rPr>
                    <w:t>Benefit</w:t>
                  </w:r>
                </w:p>
              </w:tc>
              <w:tc>
                <w:tcPr>
                  <w:tcW w:w="3503" w:type="dxa"/>
                  <w:tcBorders>
                    <w:top w:val="single" w:sz="4" w:space="0" w:color="000000" w:themeColor="text1"/>
                    <w:left w:val="single" w:sz="4" w:space="0" w:color="auto"/>
                    <w:bottom w:val="single" w:sz="6" w:space="0" w:color="auto"/>
                    <w:right w:val="single" w:sz="4" w:space="0" w:color="auto"/>
                  </w:tcBorders>
                  <w:hideMark/>
                </w:tcPr>
                <w:p w14:paraId="45ECE47D" w14:textId="77777777" w:rsidR="00C56CC6" w:rsidRPr="005D4222" w:rsidRDefault="00C56CC6">
                  <w:pPr>
                    <w:pStyle w:val="TableText"/>
                    <w:rPr>
                      <w:rFonts w:eastAsia="Wingdings" w:cs="Arial"/>
                      <w:szCs w:val="21"/>
                    </w:rPr>
                  </w:pPr>
                  <w:r w:rsidRPr="005D4222">
                    <w:rPr>
                      <w:rFonts w:eastAsia="Wingdings" w:cs="Arial"/>
                      <w:szCs w:val="21"/>
                    </w:rPr>
                    <w:t>Metadata</w:t>
                  </w:r>
                </w:p>
              </w:tc>
            </w:tr>
            <w:tr w:rsidR="00C56CC6" w:rsidRPr="005D4222" w14:paraId="06A0CE7D" w14:textId="77777777">
              <w:tc>
                <w:tcPr>
                  <w:tcW w:w="3130" w:type="dxa"/>
                  <w:tcBorders>
                    <w:top w:val="single" w:sz="4" w:space="0" w:color="auto"/>
                    <w:left w:val="nil"/>
                    <w:bottom w:val="nil"/>
                    <w:right w:val="single" w:sz="4" w:space="0" w:color="auto"/>
                  </w:tcBorders>
                  <w:shd w:val="clear" w:color="auto" w:fill="FFFFFF" w:themeFill="background1"/>
                </w:tcPr>
                <w:p w14:paraId="0A518CD6" w14:textId="77777777" w:rsidR="00C56CC6" w:rsidRPr="005D4222" w:rsidRDefault="00C56CC6">
                  <w:pPr>
                    <w:pStyle w:val="TableText"/>
                    <w:rPr>
                      <w:rFonts w:cs="Arial"/>
                      <w:szCs w:val="21"/>
                    </w:rPr>
                  </w:pPr>
                </w:p>
              </w:tc>
              <w:tc>
                <w:tcPr>
                  <w:tcW w:w="147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5949441" w14:textId="77777777" w:rsidR="00C56CC6" w:rsidRPr="005D4222" w:rsidRDefault="00C56CC6">
                  <w:pPr>
                    <w:pStyle w:val="TableText"/>
                    <w:rPr>
                      <w:rFonts w:cs="Arial"/>
                      <w:szCs w:val="21"/>
                    </w:rPr>
                  </w:pPr>
                  <w:r w:rsidRPr="005D4222">
                    <w:rPr>
                      <w:rFonts w:cs="Arial"/>
                      <w:szCs w:val="21"/>
                    </w:rPr>
                    <w:t>18-64</w:t>
                  </w:r>
                </w:p>
              </w:tc>
              <w:tc>
                <w:tcPr>
                  <w:tcW w:w="286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0086963" w14:textId="77777777" w:rsidR="00C56CC6" w:rsidRPr="005D4222" w:rsidRDefault="00C56CC6">
                  <w:pPr>
                    <w:pStyle w:val="TableText"/>
                    <w:rPr>
                      <w:rFonts w:cs="Arial"/>
                      <w:szCs w:val="21"/>
                    </w:rPr>
                  </w:pPr>
                  <w:r w:rsidRPr="005D4222">
                    <w:rPr>
                      <w:rFonts w:cs="Arial"/>
                      <w:szCs w:val="21"/>
                    </w:rPr>
                    <w:t>InitialPopulation</w:t>
                  </w:r>
                </w:p>
              </w:tc>
              <w:tc>
                <w:tcPr>
                  <w:tcW w:w="3503"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3DBFEAD5" w14:textId="77777777" w:rsidR="00C56CC6" w:rsidRPr="005D4222" w:rsidRDefault="00C56CC6">
                  <w:pPr>
                    <w:pStyle w:val="TableText"/>
                    <w:rPr>
                      <w:rFonts w:eastAsia="Wingdings" w:cs="Arial"/>
                      <w:szCs w:val="21"/>
                    </w:rPr>
                  </w:pPr>
                  <w:r w:rsidRPr="005D4222">
                    <w:rPr>
                      <w:rFonts w:eastAsia="Wingdings" w:cs="Arial"/>
                      <w:szCs w:val="21"/>
                    </w:rPr>
                    <w:t>For each Stratification</w:t>
                  </w:r>
                </w:p>
              </w:tc>
            </w:tr>
            <w:tr w:rsidR="00C56CC6" w:rsidRPr="005D4222" w14:paraId="2150DDC6" w14:textId="77777777">
              <w:tc>
                <w:tcPr>
                  <w:tcW w:w="3130" w:type="dxa"/>
                  <w:tcBorders>
                    <w:top w:val="nil"/>
                    <w:left w:val="nil"/>
                    <w:bottom w:val="nil"/>
                    <w:right w:val="single" w:sz="4" w:space="0" w:color="auto"/>
                  </w:tcBorders>
                  <w:shd w:val="clear" w:color="auto" w:fill="FFFFFF" w:themeFill="background1"/>
                </w:tcPr>
                <w:p w14:paraId="621E5478" w14:textId="77777777" w:rsidR="00C56CC6" w:rsidRPr="005D4222" w:rsidRDefault="00C56CC6">
                  <w:pPr>
                    <w:pStyle w:val="TableText"/>
                    <w:rPr>
                      <w:rFonts w:cs="Arial"/>
                      <w:szCs w:val="21"/>
                    </w:rPr>
                  </w:pPr>
                </w:p>
              </w:tc>
              <w:tc>
                <w:tcPr>
                  <w:tcW w:w="147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09B6F3D" w14:textId="77777777" w:rsidR="00C56CC6" w:rsidRPr="005D4222" w:rsidRDefault="00C56CC6">
                  <w:pPr>
                    <w:pStyle w:val="TableText"/>
                    <w:rPr>
                      <w:rFonts w:cs="Arial"/>
                      <w:szCs w:val="21"/>
                    </w:rPr>
                  </w:pPr>
                  <w:r w:rsidRPr="005D4222">
                    <w:rPr>
                      <w:rFonts w:cs="Arial"/>
                      <w:szCs w:val="21"/>
                    </w:rPr>
                    <w:t>65+</w:t>
                  </w:r>
                </w:p>
              </w:tc>
              <w:tc>
                <w:tcPr>
                  <w:tcW w:w="286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607435D" w14:textId="77777777" w:rsidR="00C56CC6" w:rsidRPr="005D4222" w:rsidRDefault="00C56CC6">
                  <w:pPr>
                    <w:pStyle w:val="TableText"/>
                    <w:rPr>
                      <w:rFonts w:cs="Arial"/>
                    </w:rPr>
                  </w:pPr>
                  <w:r w:rsidRPr="005D4222">
                    <w:rPr>
                      <w:rFonts w:cs="Arial"/>
                    </w:rPr>
                    <w:t>Exclusions</w:t>
                  </w:r>
                </w:p>
              </w:tc>
              <w:tc>
                <w:tcPr>
                  <w:tcW w:w="3503"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7FB01635" w14:textId="77777777" w:rsidR="00C56CC6" w:rsidRPr="005D4222" w:rsidRDefault="00C56CC6">
                  <w:pPr>
                    <w:pStyle w:val="TableText"/>
                    <w:rPr>
                      <w:rFonts w:eastAsia="Wingdings" w:cs="Arial"/>
                      <w:szCs w:val="21"/>
                    </w:rPr>
                  </w:pPr>
                  <w:r w:rsidRPr="005D4222">
                    <w:rPr>
                      <w:rFonts w:eastAsia="Wingdings" w:cs="Arial"/>
                      <w:szCs w:val="21"/>
                    </w:rPr>
                    <w:t>For each Stratification</w:t>
                  </w:r>
                </w:p>
              </w:tc>
            </w:tr>
            <w:tr w:rsidR="00C56CC6" w:rsidRPr="005D4222" w14:paraId="6404B9C5" w14:textId="77777777">
              <w:tc>
                <w:tcPr>
                  <w:tcW w:w="3130" w:type="dxa"/>
                  <w:tcBorders>
                    <w:top w:val="nil"/>
                    <w:left w:val="nil"/>
                    <w:bottom w:val="nil"/>
                    <w:right w:val="nil"/>
                  </w:tcBorders>
                  <w:shd w:val="clear" w:color="auto" w:fill="FFFFFF" w:themeFill="background1"/>
                </w:tcPr>
                <w:p w14:paraId="3658CBC6" w14:textId="77777777" w:rsidR="00C56CC6" w:rsidRPr="005D4222" w:rsidRDefault="00C56CC6">
                  <w:pPr>
                    <w:pStyle w:val="TableText"/>
                    <w:rPr>
                      <w:rFonts w:cs="Arial"/>
                      <w:szCs w:val="21"/>
                    </w:rPr>
                  </w:pPr>
                </w:p>
              </w:tc>
              <w:tc>
                <w:tcPr>
                  <w:tcW w:w="14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78E326A" w14:textId="77777777" w:rsidR="00C56CC6" w:rsidRPr="005D4222" w:rsidRDefault="00C56CC6">
                  <w:pPr>
                    <w:pStyle w:val="TableText"/>
                    <w:rPr>
                      <w:rFonts w:cs="Arial"/>
                      <w:szCs w:val="21"/>
                    </w:rPr>
                  </w:pPr>
                  <w:r w:rsidRPr="005D4222">
                    <w:rPr>
                      <w:rFonts w:cs="Arial"/>
                      <w:szCs w:val="21"/>
                    </w:rPr>
                    <w:t>Total</w:t>
                  </w:r>
                </w:p>
              </w:tc>
              <w:tc>
                <w:tcPr>
                  <w:tcW w:w="2865" w:type="dxa"/>
                  <w:tcBorders>
                    <w:top w:val="single" w:sz="4" w:space="0" w:color="auto"/>
                    <w:left w:val="single" w:sz="4" w:space="0" w:color="auto"/>
                    <w:bottom w:val="single" w:sz="4" w:space="0" w:color="auto"/>
                    <w:right w:val="single" w:sz="4" w:space="0" w:color="auto"/>
                  </w:tcBorders>
                  <w:shd w:val="clear" w:color="auto" w:fill="FFFFFF" w:themeFill="background1"/>
                </w:tcPr>
                <w:p w14:paraId="7530CAEC" w14:textId="77777777" w:rsidR="00C56CC6" w:rsidRPr="005D4222" w:rsidRDefault="00C56CC6">
                  <w:pPr>
                    <w:pStyle w:val="TableText"/>
                    <w:rPr>
                      <w:rFonts w:cs="Arial"/>
                      <w:szCs w:val="21"/>
                    </w:rPr>
                  </w:pPr>
                  <w:r w:rsidRPr="005D4222">
                    <w:rPr>
                      <w:rFonts w:cs="Arial"/>
                      <w:szCs w:val="21"/>
                    </w:rPr>
                    <w:t>Denominator</w:t>
                  </w:r>
                </w:p>
              </w:tc>
              <w:tc>
                <w:tcPr>
                  <w:tcW w:w="3503" w:type="dxa"/>
                  <w:tcBorders>
                    <w:top w:val="single" w:sz="6" w:space="0" w:color="auto"/>
                    <w:left w:val="single" w:sz="4" w:space="0" w:color="auto"/>
                    <w:bottom w:val="single" w:sz="6" w:space="0" w:color="auto"/>
                    <w:right w:val="single" w:sz="4" w:space="0" w:color="auto"/>
                  </w:tcBorders>
                  <w:shd w:val="clear" w:color="auto" w:fill="FFFFFF" w:themeFill="background1"/>
                </w:tcPr>
                <w:p w14:paraId="6BE5A556" w14:textId="77777777" w:rsidR="00C56CC6" w:rsidRPr="005D4222" w:rsidRDefault="00C56CC6">
                  <w:pPr>
                    <w:pStyle w:val="TableText"/>
                    <w:rPr>
                      <w:rFonts w:eastAsia="Wingdings" w:cs="Arial"/>
                      <w:szCs w:val="21"/>
                    </w:rPr>
                  </w:pPr>
                  <w:r w:rsidRPr="005D4222">
                    <w:rPr>
                      <w:rFonts w:eastAsia="Wingdings" w:cs="Arial"/>
                      <w:szCs w:val="21"/>
                    </w:rPr>
                    <w:t>For each Stratification</w:t>
                  </w:r>
                </w:p>
              </w:tc>
            </w:tr>
            <w:tr w:rsidR="00C56CC6" w:rsidRPr="005D4222" w14:paraId="31C02739" w14:textId="77777777">
              <w:tc>
                <w:tcPr>
                  <w:tcW w:w="3130" w:type="dxa"/>
                  <w:tcBorders>
                    <w:top w:val="nil"/>
                    <w:left w:val="nil"/>
                    <w:bottom w:val="nil"/>
                    <w:right w:val="nil"/>
                  </w:tcBorders>
                  <w:shd w:val="clear" w:color="auto" w:fill="FFFFFF" w:themeFill="background1"/>
                </w:tcPr>
                <w:p w14:paraId="24579934" w14:textId="77777777" w:rsidR="00C56CC6" w:rsidRPr="005D4222" w:rsidRDefault="00C56CC6">
                  <w:pPr>
                    <w:pStyle w:val="TableText"/>
                    <w:rPr>
                      <w:rFonts w:cs="Arial"/>
                      <w:szCs w:val="21"/>
                    </w:rPr>
                  </w:pPr>
                </w:p>
              </w:tc>
              <w:tc>
                <w:tcPr>
                  <w:tcW w:w="1475" w:type="dxa"/>
                  <w:tcBorders>
                    <w:top w:val="single" w:sz="4" w:space="0" w:color="auto"/>
                    <w:left w:val="nil"/>
                    <w:bottom w:val="nil"/>
                    <w:right w:val="single" w:sz="4" w:space="0" w:color="auto"/>
                  </w:tcBorders>
                  <w:shd w:val="clear" w:color="auto" w:fill="FFFFFF" w:themeFill="background1"/>
                  <w:hideMark/>
                </w:tcPr>
                <w:p w14:paraId="4F9D232D" w14:textId="77777777" w:rsidR="00C56CC6" w:rsidRPr="005D4222" w:rsidRDefault="00C56CC6">
                  <w:pPr>
                    <w:pStyle w:val="TableText"/>
                    <w:rPr>
                      <w:rFonts w:cs="Arial"/>
                      <w:szCs w:val="21"/>
                    </w:rPr>
                  </w:pPr>
                </w:p>
              </w:tc>
              <w:tc>
                <w:tcPr>
                  <w:tcW w:w="286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A5B5388" w14:textId="77777777" w:rsidR="00C56CC6" w:rsidRPr="005D4222" w:rsidRDefault="00C56CC6">
                  <w:pPr>
                    <w:pStyle w:val="TableText"/>
                    <w:rPr>
                      <w:rFonts w:cs="Arial"/>
                      <w:szCs w:val="21"/>
                    </w:rPr>
                  </w:pPr>
                  <w:r w:rsidRPr="005D4222">
                    <w:rPr>
                      <w:rFonts w:cs="Arial"/>
                      <w:szCs w:val="21"/>
                    </w:rPr>
                    <w:t>NumeratorByAdmin</w:t>
                  </w:r>
                </w:p>
              </w:tc>
              <w:tc>
                <w:tcPr>
                  <w:tcW w:w="3503"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7CA06E9B" w14:textId="77777777" w:rsidR="00C56CC6" w:rsidRPr="005D4222" w:rsidRDefault="00C56CC6">
                  <w:pPr>
                    <w:pStyle w:val="TableText"/>
                    <w:rPr>
                      <w:rFonts w:eastAsia="Wingdings" w:cs="Arial"/>
                      <w:szCs w:val="21"/>
                    </w:rPr>
                  </w:pPr>
                  <w:r w:rsidRPr="005D4222">
                    <w:rPr>
                      <w:rFonts w:eastAsia="Wingdings" w:cs="Arial"/>
                      <w:szCs w:val="21"/>
                    </w:rPr>
                    <w:t>For each Stratification</w:t>
                  </w:r>
                </w:p>
              </w:tc>
            </w:tr>
            <w:tr w:rsidR="00C56CC6" w:rsidRPr="005D4222" w14:paraId="410B8141" w14:textId="77777777">
              <w:tc>
                <w:tcPr>
                  <w:tcW w:w="3130" w:type="dxa"/>
                  <w:tcBorders>
                    <w:top w:val="nil"/>
                    <w:left w:val="nil"/>
                    <w:bottom w:val="nil"/>
                    <w:right w:val="nil"/>
                  </w:tcBorders>
                  <w:shd w:val="clear" w:color="auto" w:fill="FFFFFF" w:themeFill="background1"/>
                </w:tcPr>
                <w:p w14:paraId="33AD7360" w14:textId="77777777" w:rsidR="00C56CC6" w:rsidRPr="005D4222" w:rsidRDefault="00C56CC6">
                  <w:pPr>
                    <w:pStyle w:val="TableText"/>
                    <w:rPr>
                      <w:rFonts w:cs="Arial"/>
                      <w:szCs w:val="21"/>
                    </w:rPr>
                  </w:pPr>
                </w:p>
              </w:tc>
              <w:tc>
                <w:tcPr>
                  <w:tcW w:w="1475" w:type="dxa"/>
                  <w:tcBorders>
                    <w:top w:val="nil"/>
                    <w:left w:val="nil"/>
                    <w:bottom w:val="nil"/>
                    <w:right w:val="single" w:sz="4" w:space="0" w:color="auto"/>
                  </w:tcBorders>
                  <w:shd w:val="clear" w:color="auto" w:fill="FFFFFF" w:themeFill="background1"/>
                </w:tcPr>
                <w:p w14:paraId="202FF029" w14:textId="77777777" w:rsidR="00C56CC6" w:rsidRPr="005D4222" w:rsidRDefault="00C56CC6">
                  <w:pPr>
                    <w:pStyle w:val="TableText"/>
                    <w:rPr>
                      <w:rFonts w:cs="Arial"/>
                      <w:szCs w:val="21"/>
                    </w:rPr>
                  </w:pPr>
                </w:p>
              </w:tc>
              <w:tc>
                <w:tcPr>
                  <w:tcW w:w="286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A1D16E7" w14:textId="77777777" w:rsidR="00C56CC6" w:rsidRPr="005D4222" w:rsidRDefault="00C56CC6">
                  <w:pPr>
                    <w:pStyle w:val="TableText"/>
                    <w:rPr>
                      <w:rFonts w:cs="Arial"/>
                      <w:szCs w:val="21"/>
                    </w:rPr>
                  </w:pPr>
                  <w:r w:rsidRPr="005D4222">
                    <w:rPr>
                      <w:rFonts w:cs="Arial"/>
                      <w:szCs w:val="21"/>
                    </w:rPr>
                    <w:t>Rate</w:t>
                  </w:r>
                </w:p>
              </w:tc>
              <w:tc>
                <w:tcPr>
                  <w:tcW w:w="3503" w:type="dxa"/>
                  <w:tcBorders>
                    <w:top w:val="single" w:sz="6" w:space="0" w:color="auto"/>
                    <w:left w:val="single" w:sz="4" w:space="0" w:color="auto"/>
                    <w:bottom w:val="single" w:sz="4" w:space="0" w:color="auto"/>
                    <w:right w:val="single" w:sz="4" w:space="0" w:color="auto"/>
                  </w:tcBorders>
                  <w:shd w:val="clear" w:color="auto" w:fill="D9D9D9" w:themeFill="background1" w:themeFillShade="D9"/>
                  <w:hideMark/>
                </w:tcPr>
                <w:p w14:paraId="79049D17" w14:textId="77777777" w:rsidR="00C56CC6" w:rsidRPr="005D4222" w:rsidRDefault="00C56CC6">
                  <w:pPr>
                    <w:pStyle w:val="TableText"/>
                    <w:rPr>
                      <w:rFonts w:eastAsia="Wingdings" w:cs="Arial"/>
                      <w:szCs w:val="21"/>
                    </w:rPr>
                  </w:pPr>
                  <w:r w:rsidRPr="005D4222">
                    <w:rPr>
                      <w:rFonts w:eastAsia="Wingdings" w:cs="Arial"/>
                      <w:szCs w:val="21"/>
                    </w:rPr>
                    <w:t>(Percent)</w:t>
                  </w:r>
                </w:p>
              </w:tc>
            </w:tr>
          </w:tbl>
          <w:p w14:paraId="716A64DD" w14:textId="77777777" w:rsidR="00C56CC6" w:rsidRPr="005D4222" w:rsidRDefault="00C56CC6">
            <w:pPr>
              <w:pStyle w:val="ProcessDash"/>
              <w:numPr>
                <w:ilvl w:val="0"/>
                <w:numId w:val="0"/>
              </w:numPr>
              <w:rPr>
                <w:rFonts w:cs="Arial"/>
                <w:color w:val="000000" w:themeColor="text1"/>
                <w:highlight w:val="yellow"/>
              </w:rPr>
            </w:pPr>
          </w:p>
        </w:tc>
      </w:tr>
      <w:tr w:rsidR="00C56CC6" w:rsidRPr="005D4222" w14:paraId="517E2B21" w14:textId="77777777" w:rsidTr="0068678C">
        <w:tblPrEx>
          <w:tblCellMar>
            <w:top w:w="40" w:type="dxa"/>
            <w:left w:w="15" w:type="dxa"/>
            <w:right w:w="15" w:type="dxa"/>
          </w:tblCellMar>
        </w:tblPrEx>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0" w:type="dxa"/>
              <w:right w:w="86" w:type="dxa"/>
            </w:tcMar>
          </w:tcPr>
          <w:p w14:paraId="07B996D9" w14:textId="77777777" w:rsidR="00C56CC6" w:rsidRPr="005D4222" w:rsidRDefault="00C56CC6">
            <w:pPr>
              <w:pStyle w:val="ECDSMarginHead"/>
            </w:pPr>
            <w:r w:rsidRPr="005D4222">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tcPr>
          <w:p w14:paraId="75DCB76E" w14:textId="77777777" w:rsidR="00C56CC6" w:rsidRPr="005D4222" w:rsidRDefault="00C56CC6">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2F75E46F" w14:textId="77777777" w:rsidR="00C56CC6" w:rsidRPr="005D4222" w:rsidRDefault="00C56CC6">
            <w:pPr>
              <w:pStyle w:val="ECDSBody"/>
              <w:rPr>
                <w:b/>
              </w:rPr>
            </w:pPr>
            <w:r w:rsidRPr="005D4222">
              <w:rPr>
                <w:b/>
              </w:rPr>
              <w:t>Adjusted HEDIS measures may not be used for HEDIS health plan reporting.</w:t>
            </w:r>
          </w:p>
          <w:p w14:paraId="58C93856" w14:textId="77777777" w:rsidR="00C56CC6" w:rsidRPr="005D4222" w:rsidRDefault="00C56CC6">
            <w:pPr>
              <w:pStyle w:val="Adjustments"/>
            </w:pPr>
            <w:r w:rsidRPr="005D4222">
              <w:t>Adjustments</w:t>
            </w:r>
            <w:r w:rsidRPr="005D4222">
              <w:rPr>
                <w:bCs/>
              </w:rPr>
              <w:t xml:space="preserve"> a</w:t>
            </w:r>
            <w:r w:rsidRPr="005D4222">
              <w:t>llowed</w:t>
            </w:r>
          </w:p>
          <w:p w14:paraId="3A83160E" w14:textId="4E3E0B61" w:rsidR="00C56CC6" w:rsidRPr="005D4222" w:rsidRDefault="00C56CC6">
            <w:pPr>
              <w:pStyle w:val="ProcessBullet"/>
              <w:rPr>
                <w:b/>
              </w:rPr>
            </w:pPr>
            <w:r w:rsidRPr="005D4222">
              <w:rPr>
                <w:i/>
              </w:rPr>
              <w:t>Product lines</w:t>
            </w:r>
            <w:r w:rsidRPr="005D4222">
              <w:t>. Organizations are not required to use product line criteria; product lines may be combined</w:t>
            </w:r>
            <w:r w:rsidR="00E8671F" w:rsidRPr="005D4222">
              <w:t>,</w:t>
            </w:r>
            <w:r w:rsidRPr="005D4222">
              <w:t xml:space="preserve"> and all (or no) product line criteria may be used.</w:t>
            </w:r>
          </w:p>
          <w:p w14:paraId="51F1F69E" w14:textId="77777777" w:rsidR="00C56CC6" w:rsidRPr="005D4222" w:rsidRDefault="00C56CC6">
            <w:pPr>
              <w:pStyle w:val="ProcessBullet"/>
              <w:rPr>
                <w:bCs/>
              </w:rPr>
            </w:pPr>
            <w:r w:rsidRPr="005D4222">
              <w:rPr>
                <w:i/>
              </w:rPr>
              <w:t>Attribution</w:t>
            </w:r>
            <w:r w:rsidRPr="005D4222">
              <w:rPr>
                <w:bCs/>
                <w:i/>
                <w:iCs/>
              </w:rPr>
              <w:t xml:space="preserve">. </w:t>
            </w:r>
            <w:r w:rsidRPr="005D4222">
              <w:rPr>
                <w:bCs/>
              </w:rPr>
              <w:t xml:space="preserve">Organizations are not required to use enrollment criteria. </w:t>
            </w:r>
          </w:p>
          <w:p w14:paraId="4A8EFBF1" w14:textId="4152AD64" w:rsidR="00C56CC6" w:rsidRPr="005D4222" w:rsidRDefault="00362E76">
            <w:pPr>
              <w:pStyle w:val="ProcessBullet"/>
              <w:rPr>
                <w:bCs/>
                <w:i/>
                <w:iCs/>
              </w:rPr>
            </w:pPr>
            <w:r w:rsidRPr="005D4222">
              <w:rPr>
                <w:i/>
              </w:rPr>
              <w:t>Benefits.</w:t>
            </w:r>
            <w:r w:rsidR="00C56CC6" w:rsidRPr="005D4222">
              <w:rPr>
                <w:i/>
              </w:rPr>
              <w:t xml:space="preserve"> </w:t>
            </w:r>
            <w:r w:rsidR="00C56CC6" w:rsidRPr="005D4222">
              <w:t>Organizations are not required to use a benefit.</w:t>
            </w:r>
          </w:p>
          <w:p w14:paraId="53B7E94E" w14:textId="501D0074" w:rsidR="00D01552" w:rsidRPr="005D4222" w:rsidRDefault="00C56CC6" w:rsidP="00D01552">
            <w:pPr>
              <w:pStyle w:val="ProcessBullet"/>
              <w:spacing w:after="80"/>
            </w:pPr>
            <w:r w:rsidRPr="005D4222">
              <w:rPr>
                <w:i/>
              </w:rPr>
              <w:t>Other.</w:t>
            </w:r>
            <w:r w:rsidRPr="005D4222">
              <w:t xml:space="preserve"> Organizations may use additional initial population criteria to focus on an area of interest defined by gender, race, ethnicity, socioeconomic or sociodemographic characteristics, geographic region or another characteristic.</w:t>
            </w:r>
          </w:p>
        </w:tc>
      </w:tr>
    </w:tbl>
    <w:p w14:paraId="3CA6CD38" w14:textId="77777777" w:rsidR="00D01552" w:rsidRPr="005D4222" w:rsidRDefault="00D01552">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40" w:type="dxa"/>
          <w:left w:w="15" w:type="dxa"/>
          <w:bottom w:w="40" w:type="dxa"/>
          <w:right w:w="15" w:type="dxa"/>
        </w:tblCellMar>
        <w:tblLook w:val="04A0" w:firstRow="1" w:lastRow="0" w:firstColumn="1" w:lastColumn="0" w:noHBand="0" w:noVBand="1"/>
      </w:tblPr>
      <w:tblGrid>
        <w:gridCol w:w="2157"/>
        <w:gridCol w:w="7557"/>
      </w:tblGrid>
      <w:tr w:rsidR="00C56CC6" w:rsidRPr="005D4222" w14:paraId="24A7318D" w14:textId="77777777" w:rsidTr="00D01552">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0" w:type="dxa"/>
              <w:right w:w="86" w:type="dxa"/>
            </w:tcMar>
          </w:tcPr>
          <w:p w14:paraId="70496A00" w14:textId="77777777" w:rsidR="00C56CC6" w:rsidRPr="005D4222" w:rsidRDefault="00C56CC6">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tcPr>
          <w:p w14:paraId="118475B8" w14:textId="77777777" w:rsidR="006B75DD" w:rsidRPr="005D4222" w:rsidRDefault="00D01552" w:rsidP="00D01552">
            <w:pPr>
              <w:pStyle w:val="ProcessBullet"/>
              <w:rPr>
                <w:b/>
                <w:bCs/>
                <w:color w:val="000000" w:themeColor="text1"/>
              </w:rPr>
            </w:pPr>
            <w:r w:rsidRPr="005D4222">
              <w:rPr>
                <w:i/>
                <w:iCs/>
              </w:rPr>
              <w:t>Measurement period adjustments.</w:t>
            </w:r>
            <w:r w:rsidRPr="005D4222">
              <w:t xml:space="preserve"> Organizations may adjust the measurement period. </w:t>
            </w:r>
          </w:p>
          <w:p w14:paraId="241B21EA" w14:textId="2F292BD7" w:rsidR="00D01552" w:rsidRPr="005D4222" w:rsidRDefault="006B75DD" w:rsidP="006B75DD">
            <w:pPr>
              <w:pStyle w:val="ProcessBullet"/>
              <w:numPr>
                <w:ilvl w:val="0"/>
                <w:numId w:val="0"/>
              </w:numPr>
              <w:ind w:left="216"/>
              <w:rPr>
                <w:b/>
                <w:bCs/>
                <w:color w:val="000000" w:themeColor="text1"/>
              </w:rPr>
            </w:pPr>
            <w:r w:rsidRPr="005D4222">
              <w:rPr>
                <w:b/>
                <w:bCs/>
                <w:i/>
                <w:iCs/>
              </w:rPr>
              <w:t>Note</w:t>
            </w:r>
            <w:r w:rsidRPr="005D4222">
              <w:rPr>
                <w:i/>
                <w:iCs/>
              </w:rPr>
              <w:t>:</w:t>
            </w:r>
            <w:r w:rsidRPr="005D4222">
              <w:t xml:space="preserve"> </w:t>
            </w:r>
            <w:r w:rsidR="00D01552" w:rsidRPr="005D4222">
              <w:rPr>
                <w:i/>
              </w:rPr>
              <w:t>Changes to these criteria can affect how the event will be calculated using the intake period, episode date, IESD, negative medication history and negative competing diagnosis.</w:t>
            </w:r>
          </w:p>
          <w:p w14:paraId="3FF0C60E" w14:textId="5FCB6ED3" w:rsidR="00D01552" w:rsidRPr="005D4222" w:rsidRDefault="00D01552" w:rsidP="00D01552">
            <w:pPr>
              <w:pStyle w:val="ProcessBullet"/>
              <w:rPr>
                <w:b/>
                <w:bCs/>
                <w:color w:val="000000" w:themeColor="text1"/>
              </w:rPr>
            </w:pPr>
            <w:r w:rsidRPr="005D4222">
              <w:rPr>
                <w:i/>
              </w:rPr>
              <w:t>Exclusions.</w:t>
            </w:r>
            <w:r w:rsidRPr="005D4222">
              <w:t xml:space="preserve"> </w:t>
            </w:r>
            <w:r w:rsidR="006B75DD" w:rsidRPr="005D4222">
              <w:t>The h</w:t>
            </w:r>
            <w:r w:rsidRPr="005D4222">
              <w:t xml:space="preserve">ospice and deceased person exclusions are not required. </w:t>
            </w:r>
          </w:p>
          <w:p w14:paraId="4B747A1C" w14:textId="0B6EDDAA" w:rsidR="00C56CC6" w:rsidRPr="005D4222" w:rsidRDefault="00D01552">
            <w:pPr>
              <w:pStyle w:val="ProcessBullet"/>
              <w:numPr>
                <w:ilvl w:val="0"/>
                <w:numId w:val="0"/>
              </w:numPr>
              <w:spacing w:after="80"/>
              <w:ind w:left="216"/>
            </w:pPr>
            <w:r w:rsidRPr="005D4222">
              <w:rPr>
                <w:i/>
                <w:iCs/>
                <w:color w:val="000000" w:themeColor="text1"/>
              </w:rPr>
              <w:t>Telehealth.</w:t>
            </w:r>
            <w:r w:rsidRPr="005D4222">
              <w:rPr>
                <w:color w:val="000000" w:themeColor="text1"/>
              </w:rPr>
              <w:t xml:space="preserve"> Services/events that allow the use of synchronous telehealth visits, telephone visits and asynchronous telehealth (e-visits, virtual check-ins) may be stratified to identify services performed via telehealth. </w:t>
            </w:r>
            <w:r w:rsidRPr="005D4222">
              <w:t xml:space="preserve">This </w:t>
            </w:r>
            <w:r w:rsidR="00C56CC6" w:rsidRPr="005D4222">
              <w:t xml:space="preserve">adjustment is not allowed for </w:t>
            </w:r>
            <w:r w:rsidR="00F45777" w:rsidRPr="005D4222">
              <w:t>events</w:t>
            </w:r>
            <w:r w:rsidR="00C56CC6" w:rsidRPr="005D4222">
              <w:t>, numerators and exclusions that do not allow the use of telehealth.</w:t>
            </w:r>
          </w:p>
          <w:p w14:paraId="4E7D649B" w14:textId="77777777" w:rsidR="00C56CC6" w:rsidRPr="005D4222" w:rsidRDefault="00C56CC6">
            <w:pPr>
              <w:pStyle w:val="Adjustments"/>
              <w:spacing w:before="120"/>
            </w:pPr>
            <w:r w:rsidRPr="005D4222">
              <w:t xml:space="preserve">Adjustments </w:t>
            </w:r>
            <w:r w:rsidRPr="005D4222">
              <w:rPr>
                <w:bCs/>
              </w:rPr>
              <w:t>a</w:t>
            </w:r>
            <w:r w:rsidRPr="005D4222">
              <w:t xml:space="preserve">llowed with </w:t>
            </w:r>
            <w:r w:rsidRPr="005D4222">
              <w:rPr>
                <w:bCs/>
              </w:rPr>
              <w:t>l</w:t>
            </w:r>
            <w:r w:rsidRPr="005D4222">
              <w:t>imits</w:t>
            </w:r>
          </w:p>
          <w:p w14:paraId="3B895F62" w14:textId="77777777" w:rsidR="00C56CC6" w:rsidRPr="005D4222" w:rsidRDefault="00C56CC6">
            <w:pPr>
              <w:pStyle w:val="ProcessBullet"/>
            </w:pPr>
            <w:r w:rsidRPr="005D4222">
              <w:rPr>
                <w:i/>
              </w:rPr>
              <w:t>Ages</w:t>
            </w:r>
            <w:r w:rsidRPr="005D4222">
              <w:t>. The age determination dates may be changed (e.g., select, “age as of June 30”). Changing the denominator age range is allowed if the limits are within the specified age range. The denominator age may not be expanded.</w:t>
            </w:r>
          </w:p>
          <w:p w14:paraId="201CFA9C" w14:textId="77777777" w:rsidR="00C56CC6" w:rsidRPr="005D4222" w:rsidRDefault="00C56CC6">
            <w:pPr>
              <w:pStyle w:val="ProcessBullet"/>
            </w:pPr>
            <w:r w:rsidRPr="005D4222">
              <w:rPr>
                <w:i/>
              </w:rPr>
              <w:t>Numerator</w:t>
            </w:r>
            <w:r w:rsidRPr="005D4222">
              <w:t xml:space="preserve">. Organizations may include denied claims to calculate the numerator. Medication lists, value sets and logic may not be changed. </w:t>
            </w:r>
          </w:p>
          <w:p w14:paraId="12C6FB81" w14:textId="77777777" w:rsidR="00C56CC6" w:rsidRPr="005D4222" w:rsidRDefault="00C56CC6">
            <w:pPr>
              <w:pStyle w:val="Adjustments"/>
            </w:pPr>
            <w:r w:rsidRPr="005D4222">
              <w:t xml:space="preserve">Adjustments </w:t>
            </w:r>
            <w:r w:rsidRPr="005D4222">
              <w:rPr>
                <w:bCs/>
              </w:rPr>
              <w:t>not allowed</w:t>
            </w:r>
          </w:p>
          <w:p w14:paraId="76AB4C9E" w14:textId="77777777" w:rsidR="00C56CC6" w:rsidRPr="005D4222" w:rsidRDefault="00C56CC6">
            <w:pPr>
              <w:pStyle w:val="ProcessBullet"/>
              <w:spacing w:after="80"/>
            </w:pPr>
            <w:r w:rsidRPr="005D4222">
              <w:rPr>
                <w:i/>
              </w:rPr>
              <w:t xml:space="preserve">Initial population: </w:t>
            </w:r>
            <w:r w:rsidRPr="005D4222">
              <w:rPr>
                <w:iCs/>
              </w:rPr>
              <w:t>Event.</w:t>
            </w:r>
            <w:r w:rsidRPr="005D4222">
              <w:rPr>
                <w:i/>
              </w:rPr>
              <w:t xml:space="preserve"> </w:t>
            </w:r>
            <w:r w:rsidRPr="005D4222">
              <w:t>Only events that contain (or map to) codes in the medication lists and value sets may be used to identify visits, diagnoses and medication history. Medication lists, value sets and logic may not be changed.</w:t>
            </w:r>
          </w:p>
        </w:tc>
      </w:tr>
    </w:tbl>
    <w:p w14:paraId="181F659C" w14:textId="77777777" w:rsidR="00484F07" w:rsidRPr="005D4222" w:rsidRDefault="00484F07" w:rsidP="000F5E7E">
      <w:pPr>
        <w:pStyle w:val="ECDSBody"/>
        <w:sectPr w:rsidR="00484F07" w:rsidRPr="005D4222" w:rsidSect="0074514A">
          <w:headerReference w:type="default" r:id="rId137"/>
          <w:type w:val="nextColumn"/>
          <w:pgSz w:w="12240" w:h="15840" w:code="1"/>
          <w:pgMar w:top="1080" w:right="1080" w:bottom="1080" w:left="1440" w:header="720" w:footer="720" w:gutter="0"/>
          <w:cols w:space="720"/>
          <w:docGrid w:linePitch="360"/>
        </w:sectPr>
      </w:pPr>
    </w:p>
    <w:p w14:paraId="4F6C94F8" w14:textId="792662F6" w:rsidR="000F5E7E" w:rsidRPr="005D4222" w:rsidRDefault="004B1916" w:rsidP="004B1916">
      <w:pPr>
        <w:pStyle w:val="MeasureTitle"/>
      </w:pPr>
      <w:bookmarkStart w:id="317" w:name="_Toc201813426"/>
      <w:r w:rsidRPr="005D4222">
        <w:lastRenderedPageBreak/>
        <w:t>Avoidance of Antibiotic Treatment for Acute Bronchitis/Bronchiolitis</w:t>
      </w:r>
      <w:r w:rsidR="0096709F" w:rsidRPr="005D4222">
        <w:t xml:space="preserve"> (AAB)</w:t>
      </w:r>
      <w:bookmarkEnd w:id="317"/>
    </w:p>
    <w:tbl>
      <w:tblPr>
        <w:tblW w:w="5002"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5131"/>
        <w:gridCol w:w="1530"/>
        <w:gridCol w:w="900"/>
      </w:tblGrid>
      <w:tr w:rsidR="00CD3787" w:rsidRPr="005D4222" w14:paraId="2016F98F" w14:textId="77777777">
        <w:tc>
          <w:tcPr>
            <w:tcW w:w="2157" w:type="dxa"/>
            <w:shd w:val="clear" w:color="auto" w:fill="BFBFBF" w:themeFill="background1" w:themeFillShade="BF"/>
            <w:tcMar>
              <w:top w:w="0" w:type="dxa"/>
              <w:left w:w="86" w:type="dxa"/>
              <w:bottom w:w="43" w:type="dxa"/>
              <w:right w:w="86" w:type="dxa"/>
            </w:tcMar>
            <w:hideMark/>
          </w:tcPr>
          <w:p w14:paraId="320AA3E8" w14:textId="77777777" w:rsidR="00CD3787" w:rsidRPr="005D4222" w:rsidRDefault="00CD3787">
            <w:pPr>
              <w:pStyle w:val="ECDSMarginHead"/>
            </w:pPr>
            <w:r w:rsidRPr="005D4222">
              <w:t>Measure title</w:t>
            </w:r>
          </w:p>
        </w:tc>
        <w:tc>
          <w:tcPr>
            <w:tcW w:w="5131" w:type="dxa"/>
            <w:tcMar>
              <w:top w:w="0" w:type="dxa"/>
              <w:left w:w="86" w:type="dxa"/>
              <w:bottom w:w="43" w:type="dxa"/>
              <w:right w:w="86" w:type="dxa"/>
            </w:tcMar>
          </w:tcPr>
          <w:p w14:paraId="5D3ED3C5" w14:textId="70558B85" w:rsidR="00CD3787" w:rsidRPr="005D4222" w:rsidRDefault="00CD3787">
            <w:pPr>
              <w:pStyle w:val="ECDSBody"/>
            </w:pPr>
            <w:r w:rsidRPr="005D4222">
              <w:t>Avoidance of Antibiotic Treatment for Acute Bronchitis/Bronchiolitis</w:t>
            </w:r>
          </w:p>
        </w:tc>
        <w:tc>
          <w:tcPr>
            <w:tcW w:w="1530" w:type="dxa"/>
            <w:shd w:val="clear" w:color="auto" w:fill="BFBFBF" w:themeFill="background1" w:themeFillShade="BF"/>
            <w:tcMar>
              <w:top w:w="0" w:type="dxa"/>
              <w:left w:w="86" w:type="dxa"/>
              <w:bottom w:w="43" w:type="dxa"/>
              <w:right w:w="86" w:type="dxa"/>
            </w:tcMar>
          </w:tcPr>
          <w:p w14:paraId="4E4F1A43" w14:textId="77777777" w:rsidR="00CD3787" w:rsidRPr="005D4222" w:rsidRDefault="00CD3787">
            <w:pPr>
              <w:pStyle w:val="ECDSMarginHead"/>
            </w:pPr>
            <w:r w:rsidRPr="005D4222">
              <w:t>Measure ID</w:t>
            </w:r>
          </w:p>
        </w:tc>
        <w:tc>
          <w:tcPr>
            <w:tcW w:w="900" w:type="dxa"/>
            <w:tcMar>
              <w:top w:w="0" w:type="dxa"/>
              <w:left w:w="86" w:type="dxa"/>
              <w:bottom w:w="43" w:type="dxa"/>
              <w:right w:w="86" w:type="dxa"/>
            </w:tcMar>
          </w:tcPr>
          <w:p w14:paraId="4BAF532E" w14:textId="77777777" w:rsidR="00CD3787" w:rsidRPr="005D4222" w:rsidRDefault="00CD3787">
            <w:pPr>
              <w:pStyle w:val="ECDSBody"/>
            </w:pPr>
            <w:r w:rsidRPr="005D4222">
              <w:t>AAB</w:t>
            </w:r>
          </w:p>
        </w:tc>
      </w:tr>
      <w:tr w:rsidR="00CD3787" w:rsidRPr="005D4222" w14:paraId="19C4857F" w14:textId="77777777">
        <w:tc>
          <w:tcPr>
            <w:tcW w:w="2157" w:type="dxa"/>
            <w:shd w:val="clear" w:color="auto" w:fill="BFBFBF" w:themeFill="background1" w:themeFillShade="BF"/>
            <w:tcMar>
              <w:top w:w="0" w:type="dxa"/>
              <w:left w:w="86" w:type="dxa"/>
              <w:bottom w:w="43" w:type="dxa"/>
              <w:right w:w="86" w:type="dxa"/>
            </w:tcMar>
            <w:hideMark/>
          </w:tcPr>
          <w:p w14:paraId="2C70A15E" w14:textId="77777777" w:rsidR="00CD3787" w:rsidRPr="005D4222" w:rsidRDefault="00CD3787">
            <w:pPr>
              <w:pStyle w:val="ECDSMarginHead"/>
            </w:pPr>
            <w:r w:rsidRPr="005D4222">
              <w:t>Description</w:t>
            </w:r>
          </w:p>
        </w:tc>
        <w:tc>
          <w:tcPr>
            <w:tcW w:w="7561" w:type="dxa"/>
            <w:gridSpan w:val="3"/>
            <w:tcMar>
              <w:top w:w="0" w:type="dxa"/>
              <w:left w:w="86" w:type="dxa"/>
              <w:bottom w:w="43" w:type="dxa"/>
              <w:right w:w="86" w:type="dxa"/>
            </w:tcMar>
          </w:tcPr>
          <w:p w14:paraId="77EB5263" w14:textId="77777777" w:rsidR="00CD3787" w:rsidRPr="005D4222" w:rsidRDefault="00CD3787">
            <w:pPr>
              <w:pStyle w:val="ECDSBody"/>
            </w:pPr>
            <w:r w:rsidRPr="005D4222">
              <w:t>The percentage of episodes for persons 3 months of age and older with a diagnosis of acute bronchitis/bronchiolitis that did not result in an antibiotic dispensing event.</w:t>
            </w:r>
          </w:p>
        </w:tc>
      </w:tr>
      <w:tr w:rsidR="00CD3787" w:rsidRPr="005D4222" w14:paraId="53BDD625" w14:textId="77777777">
        <w:tc>
          <w:tcPr>
            <w:tcW w:w="2157" w:type="dxa"/>
            <w:shd w:val="clear" w:color="auto" w:fill="BFBFBF" w:themeFill="background1" w:themeFillShade="BF"/>
            <w:tcMar>
              <w:top w:w="0" w:type="dxa"/>
              <w:left w:w="86" w:type="dxa"/>
              <w:bottom w:w="43" w:type="dxa"/>
              <w:right w:w="86" w:type="dxa"/>
            </w:tcMar>
          </w:tcPr>
          <w:p w14:paraId="23421169" w14:textId="77777777" w:rsidR="00CD3787" w:rsidRPr="005D4222" w:rsidRDefault="00CD3787">
            <w:pPr>
              <w:pStyle w:val="ECDSMarginHead"/>
            </w:pPr>
            <w:r w:rsidRPr="005D4222">
              <w:t>Measurement period</w:t>
            </w:r>
          </w:p>
        </w:tc>
        <w:tc>
          <w:tcPr>
            <w:tcW w:w="7561" w:type="dxa"/>
            <w:gridSpan w:val="3"/>
            <w:tcMar>
              <w:top w:w="0" w:type="dxa"/>
              <w:left w:w="86" w:type="dxa"/>
              <w:bottom w:w="43" w:type="dxa"/>
              <w:right w:w="86" w:type="dxa"/>
            </w:tcMar>
          </w:tcPr>
          <w:p w14:paraId="38A2AC6E" w14:textId="77777777" w:rsidR="00CD3787" w:rsidRPr="005D4222" w:rsidRDefault="00CD3787">
            <w:pPr>
              <w:pStyle w:val="ECDSBody"/>
            </w:pPr>
            <w:r w:rsidRPr="005D4222">
              <w:t xml:space="preserve">January 1–December 31.  </w:t>
            </w:r>
          </w:p>
        </w:tc>
      </w:tr>
      <w:tr w:rsidR="00CD3787" w:rsidRPr="005D4222" w14:paraId="57AAE45D" w14:textId="77777777">
        <w:tc>
          <w:tcPr>
            <w:tcW w:w="2157" w:type="dxa"/>
            <w:shd w:val="clear" w:color="auto" w:fill="BFBFBF" w:themeFill="background1" w:themeFillShade="BF"/>
            <w:tcMar>
              <w:top w:w="0" w:type="dxa"/>
              <w:left w:w="86" w:type="dxa"/>
              <w:bottom w:w="43" w:type="dxa"/>
              <w:right w:w="86" w:type="dxa"/>
            </w:tcMar>
            <w:hideMark/>
          </w:tcPr>
          <w:p w14:paraId="34CD2FA5" w14:textId="77777777" w:rsidR="00CD3787" w:rsidRPr="005D4222" w:rsidRDefault="00CD3787">
            <w:pPr>
              <w:pStyle w:val="ECDSMarginHead"/>
              <w:rPr>
                <w:rFonts w:eastAsia="Arial"/>
              </w:rPr>
            </w:pPr>
            <w:r w:rsidRPr="005D4222">
              <w:rPr>
                <w:rFonts w:eastAsia="Arial"/>
              </w:rPr>
              <w:t>Copyright and disclaimer notice</w:t>
            </w:r>
          </w:p>
        </w:tc>
        <w:tc>
          <w:tcPr>
            <w:tcW w:w="7561" w:type="dxa"/>
            <w:gridSpan w:val="3"/>
            <w:tcMar>
              <w:top w:w="0" w:type="dxa"/>
              <w:left w:w="86" w:type="dxa"/>
              <w:bottom w:w="43" w:type="dxa"/>
              <w:right w:w="86" w:type="dxa"/>
            </w:tcMar>
          </w:tcPr>
          <w:p w14:paraId="3EA99D7D" w14:textId="77777777" w:rsidR="00CD3787" w:rsidRPr="005D4222" w:rsidRDefault="00CD3787">
            <w:pPr>
              <w:pStyle w:val="ECDSBody"/>
            </w:pPr>
            <w:r w:rsidRPr="005D4222">
              <w:t xml:space="preserve">Refer to the complete copyright and disclaimer information at the front of this publication. </w:t>
            </w:r>
          </w:p>
          <w:p w14:paraId="0C0BA85E" w14:textId="77777777" w:rsidR="00CD3787" w:rsidRPr="005D4222" w:rsidRDefault="00CD3787">
            <w:pPr>
              <w:pStyle w:val="ECDSBody"/>
              <w:spacing w:before="80"/>
            </w:pPr>
            <w:r w:rsidRPr="005D4222">
              <w:t xml:space="preserve">NCQA website: </w:t>
            </w:r>
            <w:r w:rsidRPr="005D4222">
              <w:rPr>
                <w:u w:val="single"/>
              </w:rPr>
              <w:t>www.ncqa.org</w:t>
            </w:r>
            <w:r w:rsidRPr="005D4222">
              <w:t>.</w:t>
            </w:r>
          </w:p>
          <w:p w14:paraId="3646DD77" w14:textId="77777777" w:rsidR="00CD3787" w:rsidRPr="005D4222" w:rsidRDefault="00CD3787">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CD3787" w:rsidRPr="005D4222" w14:paraId="09C1BEA1" w14:textId="77777777">
        <w:tc>
          <w:tcPr>
            <w:tcW w:w="2157" w:type="dxa"/>
            <w:shd w:val="clear" w:color="auto" w:fill="BFBFBF" w:themeFill="background1" w:themeFillShade="BF"/>
            <w:tcMar>
              <w:top w:w="0" w:type="dxa"/>
              <w:left w:w="86" w:type="dxa"/>
              <w:bottom w:w="43" w:type="dxa"/>
              <w:right w:w="86" w:type="dxa"/>
            </w:tcMar>
            <w:hideMark/>
          </w:tcPr>
          <w:p w14:paraId="52079E39" w14:textId="77777777" w:rsidR="00CD3787" w:rsidRPr="005D4222" w:rsidRDefault="00CD3787">
            <w:pPr>
              <w:pStyle w:val="ECDSMarginHead"/>
            </w:pPr>
            <w:r w:rsidRPr="005D4222">
              <w:t>Clinical recommendation statement/ rationale</w:t>
            </w:r>
          </w:p>
        </w:tc>
        <w:tc>
          <w:tcPr>
            <w:tcW w:w="7561" w:type="dxa"/>
            <w:gridSpan w:val="3"/>
            <w:tcMar>
              <w:top w:w="0" w:type="dxa"/>
              <w:left w:w="86" w:type="dxa"/>
              <w:bottom w:w="43" w:type="dxa"/>
              <w:right w:w="86" w:type="dxa"/>
            </w:tcMar>
          </w:tcPr>
          <w:p w14:paraId="094DD3C4" w14:textId="77777777" w:rsidR="00CD3787" w:rsidRPr="005D4222" w:rsidRDefault="00CD3787">
            <w:pPr>
              <w:pStyle w:val="ECDSBody"/>
            </w:pPr>
            <w:r w:rsidRPr="005D4222">
              <w:t>Antibiotics are not indicated in clinical guidelines for treating patients with acute bronchitis who do not have a comorbidity or other infection for which antibiotics may be appropriate. Inappropriate antibiotic treatment of patients with acute bronchitis is of clinical concern, especially since misuse and overuse of antibiotics lead to antibiotic drug resistance. Acute bronchitis ranks among the top 10 most common outpatient illnesses in the U.S.</w:t>
            </w:r>
            <w:r w:rsidRPr="005D4222" w:rsidDel="00B37FDA">
              <w:t xml:space="preserve"> </w:t>
            </w:r>
            <w:r w:rsidRPr="005D4222">
              <w:t xml:space="preserve">While most acute bronchitis cases (more than 90%) have a nonbacterial cause, inappropriate antibiotic prescriptions are still common, occurring between 58%–72% of </w:t>
            </w:r>
            <w:r w:rsidRPr="005D4222">
              <w:br/>
              <w:t xml:space="preserve">the time. </w:t>
            </w:r>
          </w:p>
        </w:tc>
      </w:tr>
      <w:tr w:rsidR="00CD3787" w:rsidRPr="005D4222" w14:paraId="615DF44D" w14:textId="77777777">
        <w:tc>
          <w:tcPr>
            <w:tcW w:w="2157" w:type="dxa"/>
            <w:shd w:val="clear" w:color="auto" w:fill="BFBFBF" w:themeFill="background1" w:themeFillShade="BF"/>
            <w:tcMar>
              <w:top w:w="0" w:type="dxa"/>
              <w:left w:w="86" w:type="dxa"/>
              <w:bottom w:w="43" w:type="dxa"/>
              <w:right w:w="86" w:type="dxa"/>
            </w:tcMar>
          </w:tcPr>
          <w:p w14:paraId="68BAD158" w14:textId="77777777" w:rsidR="00CD3787" w:rsidRPr="005D4222" w:rsidRDefault="00CD3787">
            <w:pPr>
              <w:pStyle w:val="ECDSMarginHead"/>
            </w:pPr>
            <w:r w:rsidRPr="005D4222">
              <w:t>Citations</w:t>
            </w:r>
          </w:p>
        </w:tc>
        <w:tc>
          <w:tcPr>
            <w:tcW w:w="7561" w:type="dxa"/>
            <w:gridSpan w:val="3"/>
            <w:tcMar>
              <w:top w:w="0" w:type="dxa"/>
              <w:left w:w="86" w:type="dxa"/>
              <w:bottom w:w="43" w:type="dxa"/>
              <w:right w:w="86" w:type="dxa"/>
            </w:tcMar>
          </w:tcPr>
          <w:p w14:paraId="61FE1946" w14:textId="77777777" w:rsidR="00CD3787" w:rsidRPr="005D4222" w:rsidRDefault="00CD3787">
            <w:pPr>
              <w:pStyle w:val="ECDSBody"/>
            </w:pPr>
            <w:r w:rsidRPr="00D81F5D">
              <w:rPr>
                <w:lang w:val="fr-FR"/>
              </w:rPr>
              <w:t xml:space="preserve">Baillie, E.J., G. Merlo, P. Magin, et al. 2033. </w:t>
            </w:r>
            <w:r w:rsidRPr="005D4222">
              <w:t xml:space="preserve">“Antibiotic Prescribing for Upper Respiratory Tract Infections and Acute Bronchitis: A Longitudinal Analysis of General Practitioner Trainees.” </w:t>
            </w:r>
            <w:r w:rsidRPr="005D4222">
              <w:rPr>
                <w:i/>
                <w:iCs/>
              </w:rPr>
              <w:t xml:space="preserve">Fam Pract </w:t>
            </w:r>
            <w:r w:rsidRPr="005D4222">
              <w:t>39(6):1063–9. doi:10.1093/fampra/cmac052.</w:t>
            </w:r>
          </w:p>
          <w:p w14:paraId="6C1C7961" w14:textId="77777777" w:rsidR="00CD3787" w:rsidRPr="005D4222" w:rsidRDefault="00CD3787">
            <w:pPr>
              <w:pStyle w:val="ECDSBody"/>
            </w:pPr>
            <w:r w:rsidRPr="005D4222">
              <w:t xml:space="preserve">Bronchiolitis—Clinical Practice Guideline. American Academy of Family Physicians. Updated 2019. Accessed April 7, 2025. </w:t>
            </w:r>
            <w:hyperlink r:id="rId138" w:history="1">
              <w:r w:rsidRPr="005D4222">
                <w:t>https://www.aafp.org/family-physician/patient-care/clinical-recommendations/all-clinical-recommendations/bronchiolitis.html</w:t>
              </w:r>
            </w:hyperlink>
          </w:p>
          <w:p w14:paraId="1B696E1C" w14:textId="77777777" w:rsidR="00CD3787" w:rsidRPr="005D4222" w:rsidRDefault="00CD3787">
            <w:pPr>
              <w:pStyle w:val="ECDSBody"/>
            </w:pPr>
            <w:r w:rsidRPr="005D4222">
              <w:t xml:space="preserve">Singh, A., A. Avula, E. Zahn. 2024. </w:t>
            </w:r>
            <w:r w:rsidRPr="005D4222">
              <w:rPr>
                <w:bCs w:val="0"/>
                <w:i/>
                <w:iCs/>
              </w:rPr>
              <w:t>Acute Bronchitis</w:t>
            </w:r>
            <w:r w:rsidRPr="005D4222">
              <w:rPr>
                <w:i/>
                <w:iCs/>
              </w:rPr>
              <w:t xml:space="preserve">. </w:t>
            </w:r>
            <w:r w:rsidRPr="005D4222">
              <w:rPr>
                <w:bCs w:val="0"/>
              </w:rPr>
              <w:t>StatPearls Publishing</w:t>
            </w:r>
            <w:r w:rsidRPr="005D4222">
              <w:t xml:space="preserve">. </w:t>
            </w:r>
          </w:p>
          <w:p w14:paraId="36B1E2FE" w14:textId="77777777" w:rsidR="00CD3787" w:rsidRPr="005D4222" w:rsidRDefault="00CD3787">
            <w:pPr>
              <w:pStyle w:val="ECDSBody"/>
            </w:pPr>
            <w:r w:rsidRPr="005D4222">
              <w:t xml:space="preserve">Snyder, R.L., L.M. King, A.L. Hersh, K.E. Fleming-Dutra. 2020. “Unnecessary Antibiotic Prescribing in Pediatric Ambulatory Care Visits for Bronchitis and Bronchiolitis in the United States, 2006–2015.” </w:t>
            </w:r>
            <w:r w:rsidRPr="005D4222">
              <w:rPr>
                <w:i/>
                <w:iCs/>
              </w:rPr>
              <w:t xml:space="preserve">Infect Control Hosp Epidemiol </w:t>
            </w:r>
            <w:r w:rsidRPr="005D4222">
              <w:t>42(5):612–15. doi:10.1017/ice.2020.1231.</w:t>
            </w:r>
          </w:p>
        </w:tc>
      </w:tr>
      <w:tr w:rsidR="00CD3787" w:rsidRPr="005D4222" w14:paraId="7048E9B6" w14:textId="77777777">
        <w:tc>
          <w:tcPr>
            <w:tcW w:w="9718" w:type="dxa"/>
            <w:gridSpan w:val="4"/>
            <w:tcBorders>
              <w:bottom w:val="single" w:sz="4" w:space="0" w:color="auto"/>
            </w:tcBorders>
            <w:shd w:val="clear" w:color="auto" w:fill="BFBFBF" w:themeFill="background1" w:themeFillShade="BF"/>
            <w:tcMar>
              <w:top w:w="0" w:type="dxa"/>
              <w:left w:w="86" w:type="dxa"/>
              <w:bottom w:w="0" w:type="dxa"/>
              <w:right w:w="86" w:type="dxa"/>
            </w:tcMar>
          </w:tcPr>
          <w:p w14:paraId="6C72197E" w14:textId="77777777" w:rsidR="00CD3787" w:rsidRPr="005D4222" w:rsidRDefault="00CD3787">
            <w:pPr>
              <w:pStyle w:val="ECDSMarginHead"/>
            </w:pPr>
            <w:r w:rsidRPr="005D4222">
              <w:t>Characteristics</w:t>
            </w:r>
          </w:p>
        </w:tc>
      </w:tr>
      <w:tr w:rsidR="00CD3787" w:rsidRPr="005D4222" w14:paraId="65679E3E" w14:textId="77777777" w:rsidTr="00CD3787">
        <w:tc>
          <w:tcPr>
            <w:tcW w:w="2157" w:type="dxa"/>
            <w:tcBorders>
              <w:top w:val="single" w:sz="4" w:space="0" w:color="auto"/>
              <w:left w:val="single" w:sz="4" w:space="0" w:color="auto"/>
              <w:bottom w:val="nil"/>
              <w:right w:val="single" w:sz="4" w:space="0" w:color="auto"/>
            </w:tcBorders>
            <w:tcMar>
              <w:top w:w="0" w:type="dxa"/>
              <w:left w:w="86" w:type="dxa"/>
              <w:bottom w:w="0" w:type="dxa"/>
              <w:right w:w="86" w:type="dxa"/>
            </w:tcMar>
          </w:tcPr>
          <w:p w14:paraId="383ADD89" w14:textId="77777777" w:rsidR="00CD3787" w:rsidRPr="005D4222" w:rsidRDefault="00CD3787" w:rsidP="00CD3787">
            <w:pPr>
              <w:pStyle w:val="ECDSMarginSubhead"/>
              <w:spacing w:after="0"/>
            </w:pPr>
            <w:r w:rsidRPr="005D4222">
              <w:t>Scoring</w:t>
            </w:r>
          </w:p>
        </w:tc>
        <w:tc>
          <w:tcPr>
            <w:tcW w:w="7561" w:type="dxa"/>
            <w:gridSpan w:val="3"/>
            <w:tcBorders>
              <w:top w:val="single" w:sz="4" w:space="0" w:color="auto"/>
              <w:left w:val="single" w:sz="4" w:space="0" w:color="auto"/>
              <w:bottom w:val="nil"/>
              <w:right w:val="single" w:sz="4" w:space="0" w:color="auto"/>
            </w:tcBorders>
            <w:tcMar>
              <w:top w:w="0" w:type="dxa"/>
              <w:left w:w="86" w:type="dxa"/>
              <w:bottom w:w="0" w:type="dxa"/>
              <w:right w:w="86" w:type="dxa"/>
            </w:tcMar>
            <w:hideMark/>
          </w:tcPr>
          <w:p w14:paraId="45519255" w14:textId="77777777" w:rsidR="00CD3787" w:rsidRPr="005D4222" w:rsidRDefault="00CD3787" w:rsidP="00CD3787">
            <w:pPr>
              <w:pStyle w:val="ECDSBody"/>
              <w:spacing w:after="0"/>
            </w:pPr>
            <w:r w:rsidRPr="005D4222">
              <w:t>Proportion.</w:t>
            </w:r>
          </w:p>
        </w:tc>
      </w:tr>
      <w:tr w:rsidR="00CD3787" w:rsidRPr="005D4222" w14:paraId="7194C880" w14:textId="77777777" w:rsidTr="00CD3787">
        <w:tc>
          <w:tcPr>
            <w:tcW w:w="2157" w:type="dxa"/>
            <w:tcBorders>
              <w:top w:val="nil"/>
              <w:left w:val="single" w:sz="4" w:space="0" w:color="auto"/>
              <w:bottom w:val="single" w:sz="4" w:space="0" w:color="auto"/>
              <w:right w:val="single" w:sz="4" w:space="0" w:color="auto"/>
            </w:tcBorders>
            <w:tcMar>
              <w:top w:w="0" w:type="dxa"/>
              <w:left w:w="86" w:type="dxa"/>
              <w:bottom w:w="0" w:type="dxa"/>
              <w:right w:w="86" w:type="dxa"/>
            </w:tcMar>
          </w:tcPr>
          <w:p w14:paraId="532EA8C8" w14:textId="77777777" w:rsidR="00CD3787" w:rsidRPr="005D4222" w:rsidRDefault="00CD3787" w:rsidP="00CD3787">
            <w:pPr>
              <w:pStyle w:val="ECDSMarginSubhead"/>
            </w:pPr>
            <w:r w:rsidRPr="005D4222">
              <w:t>Type</w:t>
            </w:r>
          </w:p>
        </w:tc>
        <w:tc>
          <w:tcPr>
            <w:tcW w:w="7561" w:type="dxa"/>
            <w:gridSpan w:val="3"/>
            <w:tcBorders>
              <w:top w:val="nil"/>
              <w:left w:val="single" w:sz="4" w:space="0" w:color="auto"/>
              <w:bottom w:val="single" w:sz="4" w:space="0" w:color="auto"/>
              <w:right w:val="single" w:sz="4" w:space="0" w:color="auto"/>
            </w:tcBorders>
            <w:tcMar>
              <w:top w:w="0" w:type="dxa"/>
              <w:left w:w="86" w:type="dxa"/>
              <w:bottom w:w="0" w:type="dxa"/>
              <w:right w:w="86" w:type="dxa"/>
            </w:tcMar>
          </w:tcPr>
          <w:p w14:paraId="400DEEF3" w14:textId="77777777" w:rsidR="00CD3787" w:rsidRPr="005D4222" w:rsidRDefault="00CD3787" w:rsidP="00CD3787">
            <w:pPr>
              <w:pStyle w:val="ECDSBody"/>
            </w:pPr>
            <w:r w:rsidRPr="005D4222">
              <w:t>Process.</w:t>
            </w:r>
          </w:p>
        </w:tc>
      </w:tr>
    </w:tbl>
    <w:p w14:paraId="556C8284" w14:textId="77777777" w:rsidR="00CD3787" w:rsidRPr="005D4222" w:rsidRDefault="00CD3787">
      <w:r w:rsidRPr="005D4222">
        <w:br w:type="page"/>
      </w:r>
    </w:p>
    <w:tbl>
      <w:tblPr>
        <w:tblW w:w="5004"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bottom w:w="40" w:type="dxa"/>
          <w:right w:w="86" w:type="dxa"/>
        </w:tblCellMar>
        <w:tblLook w:val="04A0" w:firstRow="1" w:lastRow="0" w:firstColumn="1" w:lastColumn="0" w:noHBand="0" w:noVBand="1"/>
      </w:tblPr>
      <w:tblGrid>
        <w:gridCol w:w="2157"/>
        <w:gridCol w:w="7561"/>
      </w:tblGrid>
      <w:tr w:rsidR="00CD3787" w:rsidRPr="005D4222" w14:paraId="1CB262FC" w14:textId="77777777" w:rsidTr="00CD3787">
        <w:tc>
          <w:tcPr>
            <w:tcW w:w="2157" w:type="dxa"/>
            <w:tcBorders>
              <w:bottom w:val="nil"/>
            </w:tcBorders>
            <w:tcMar>
              <w:top w:w="0" w:type="dxa"/>
              <w:left w:w="86" w:type="dxa"/>
              <w:bottom w:w="0" w:type="dxa"/>
              <w:right w:w="86" w:type="dxa"/>
            </w:tcMar>
          </w:tcPr>
          <w:p w14:paraId="73DCC9BD" w14:textId="14A1BF0D" w:rsidR="00CD3787" w:rsidRPr="005D4222" w:rsidRDefault="00B51CDC">
            <w:pPr>
              <w:pStyle w:val="ECDSMarginSubhead"/>
            </w:pPr>
            <w:r w:rsidRPr="005D4222">
              <w:lastRenderedPageBreak/>
              <w:t>Product lines</w:t>
            </w:r>
          </w:p>
        </w:tc>
        <w:tc>
          <w:tcPr>
            <w:tcW w:w="7561" w:type="dxa"/>
            <w:tcBorders>
              <w:bottom w:val="nil"/>
            </w:tcBorders>
            <w:tcMar>
              <w:top w:w="0" w:type="dxa"/>
              <w:left w:w="86" w:type="dxa"/>
              <w:bottom w:w="0" w:type="dxa"/>
              <w:right w:w="86" w:type="dxa"/>
            </w:tcMar>
          </w:tcPr>
          <w:p w14:paraId="78343F95" w14:textId="77777777" w:rsidR="00CD3787" w:rsidRPr="005D4222" w:rsidRDefault="00CD3787">
            <w:pPr>
              <w:pStyle w:val="ProcessBullet"/>
              <w:spacing w:before="120"/>
              <w:rPr>
                <w:rFonts w:eastAsia="Arial,Arial,Arial,Arial,Arial,A"/>
              </w:rPr>
            </w:pPr>
            <w:r w:rsidRPr="005D4222">
              <w:rPr>
                <w:rFonts w:eastAsia="Arial,Arial,Arial,Arial,Arial,A"/>
              </w:rPr>
              <w:t>Commercial.</w:t>
            </w:r>
          </w:p>
          <w:p w14:paraId="077834F0" w14:textId="77777777" w:rsidR="00CD3787" w:rsidRPr="005D4222" w:rsidRDefault="00CD3787">
            <w:pPr>
              <w:pStyle w:val="ProcessBullet"/>
              <w:rPr>
                <w:rFonts w:eastAsia="Arial,Arial,Arial,Arial,Arial,A"/>
              </w:rPr>
            </w:pPr>
            <w:r w:rsidRPr="005D4222">
              <w:rPr>
                <w:rFonts w:eastAsia="Arial,Arial,Arial,Arial,Arial,A"/>
              </w:rPr>
              <w:t>Medicaid.</w:t>
            </w:r>
          </w:p>
          <w:p w14:paraId="29938DC4" w14:textId="77777777" w:rsidR="00CD3787" w:rsidRPr="005D4222" w:rsidDel="002A0C1B" w:rsidRDefault="00CD3787" w:rsidP="00B24D0D">
            <w:pPr>
              <w:pStyle w:val="ProcessBullet"/>
              <w:rPr>
                <w:rFonts w:eastAsia="Arial,Arial,Arial,Arial,Arial,A"/>
              </w:rPr>
            </w:pPr>
            <w:r w:rsidRPr="005D4222">
              <w:rPr>
                <w:rFonts w:eastAsia="Arial,Arial,Arial,Arial,Arial,A"/>
              </w:rPr>
              <w:t>Medicare.</w:t>
            </w:r>
          </w:p>
        </w:tc>
      </w:tr>
      <w:tr w:rsidR="00CD3787" w:rsidRPr="005D4222" w14:paraId="137A5617" w14:textId="77777777" w:rsidTr="00CD37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c>
          <w:tcPr>
            <w:tcW w:w="2157" w:type="dxa"/>
            <w:tcBorders>
              <w:top w:val="nil"/>
              <w:left w:val="single" w:sz="4" w:space="0" w:color="auto"/>
              <w:bottom w:val="nil"/>
              <w:right w:val="single" w:sz="4" w:space="0" w:color="auto"/>
            </w:tcBorders>
            <w:tcMar>
              <w:top w:w="0" w:type="dxa"/>
              <w:left w:w="86" w:type="dxa"/>
              <w:bottom w:w="0" w:type="dxa"/>
              <w:right w:w="86" w:type="dxa"/>
            </w:tcMar>
          </w:tcPr>
          <w:p w14:paraId="540E127D" w14:textId="787306A0" w:rsidR="00CD3787" w:rsidRPr="005D4222" w:rsidRDefault="00B51CDC">
            <w:pPr>
              <w:pStyle w:val="ECDSMarginSubhead"/>
            </w:pPr>
            <w:r w:rsidRPr="005D4222">
              <w:t>Stratifications</w:t>
            </w:r>
            <w:r w:rsidR="00CD3787" w:rsidRPr="005D4222">
              <w:t xml:space="preserve"> </w:t>
            </w:r>
          </w:p>
        </w:tc>
        <w:tc>
          <w:tcPr>
            <w:tcW w:w="7561" w:type="dxa"/>
            <w:tcBorders>
              <w:top w:val="nil"/>
              <w:left w:val="single" w:sz="4" w:space="0" w:color="auto"/>
              <w:bottom w:val="nil"/>
              <w:right w:val="single" w:sz="4" w:space="0" w:color="auto"/>
            </w:tcBorders>
            <w:tcMar>
              <w:top w:w="0" w:type="dxa"/>
              <w:left w:w="86" w:type="dxa"/>
              <w:bottom w:w="0" w:type="dxa"/>
              <w:right w:w="86" w:type="dxa"/>
            </w:tcMar>
            <w:hideMark/>
          </w:tcPr>
          <w:p w14:paraId="3AE81510" w14:textId="77777777" w:rsidR="00CD3787" w:rsidRPr="005D4222" w:rsidRDefault="00CD3787">
            <w:pPr>
              <w:pStyle w:val="ECDSBody"/>
              <w:rPr>
                <w:rFonts w:eastAsia="Arial,Arial,Arial,Arial,Arial,A"/>
              </w:rPr>
            </w:pPr>
            <w:r w:rsidRPr="005D4222">
              <w:rPr>
                <w:rFonts w:eastAsia="Arial,Arial,Arial,Arial,Arial,A"/>
              </w:rPr>
              <w:t>Age</w:t>
            </w:r>
            <w:r w:rsidRPr="005D4222">
              <w:t xml:space="preserve"> </w:t>
            </w:r>
            <w:r w:rsidRPr="005D4222">
              <w:rPr>
                <w:rFonts w:eastAsia="Arial,Arial,Arial,Arial,Arial,A"/>
              </w:rPr>
              <w:t>as of the episode date.</w:t>
            </w:r>
          </w:p>
          <w:p w14:paraId="747CD483" w14:textId="77777777" w:rsidR="00CD3787" w:rsidRPr="005D4222" w:rsidRDefault="00CD3787" w:rsidP="00CD3787">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3 months–17 years.</w:t>
            </w:r>
          </w:p>
          <w:p w14:paraId="73F18D4A" w14:textId="77777777" w:rsidR="00CD3787" w:rsidRPr="005D4222" w:rsidRDefault="00CD3787" w:rsidP="00CD3787">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18–64 years.</w:t>
            </w:r>
          </w:p>
          <w:p w14:paraId="14C638B6" w14:textId="77777777" w:rsidR="00CD3787" w:rsidRPr="005D4222" w:rsidRDefault="00CD3787" w:rsidP="00CD3787">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65 years and older.</w:t>
            </w:r>
          </w:p>
        </w:tc>
      </w:tr>
      <w:tr w:rsidR="00CD3787" w:rsidRPr="005D4222" w14:paraId="6D7A5FBC" w14:textId="7777777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c>
          <w:tcPr>
            <w:tcW w:w="2157" w:type="dxa"/>
            <w:tcBorders>
              <w:top w:val="nil"/>
              <w:left w:val="single" w:sz="4" w:space="0" w:color="auto"/>
              <w:bottom w:val="nil"/>
              <w:right w:val="single" w:sz="4" w:space="0" w:color="auto"/>
            </w:tcBorders>
            <w:tcMar>
              <w:top w:w="0" w:type="dxa"/>
              <w:left w:w="86" w:type="dxa"/>
              <w:bottom w:w="43" w:type="dxa"/>
              <w:right w:w="86" w:type="dxa"/>
            </w:tcMar>
          </w:tcPr>
          <w:p w14:paraId="57457E21" w14:textId="77777777" w:rsidR="00CD3787" w:rsidRPr="005D4222" w:rsidRDefault="00CD3787" w:rsidP="00CD3787">
            <w:pPr>
              <w:pStyle w:val="ECDSMarginSubhead"/>
              <w:spacing w:after="0"/>
            </w:pPr>
            <w:r w:rsidRPr="005D4222">
              <w:t>Risk adjustment</w:t>
            </w:r>
          </w:p>
        </w:tc>
        <w:tc>
          <w:tcPr>
            <w:tcW w:w="7561" w:type="dxa"/>
            <w:tcBorders>
              <w:top w:val="nil"/>
              <w:left w:val="single" w:sz="4" w:space="0" w:color="auto"/>
              <w:bottom w:val="nil"/>
              <w:right w:val="single" w:sz="4" w:space="0" w:color="auto"/>
            </w:tcBorders>
            <w:tcMar>
              <w:top w:w="0" w:type="dxa"/>
              <w:left w:w="86" w:type="dxa"/>
              <w:bottom w:w="43" w:type="dxa"/>
              <w:right w:w="86" w:type="dxa"/>
            </w:tcMar>
            <w:hideMark/>
          </w:tcPr>
          <w:p w14:paraId="2004A6A9" w14:textId="77777777" w:rsidR="00CD3787" w:rsidRPr="005D4222" w:rsidRDefault="00CD3787" w:rsidP="00CD3787">
            <w:pPr>
              <w:pStyle w:val="ECDSBody"/>
              <w:spacing w:after="0"/>
            </w:pPr>
            <w:r w:rsidRPr="005D4222">
              <w:t>None.</w:t>
            </w:r>
          </w:p>
        </w:tc>
      </w:tr>
      <w:tr w:rsidR="00CD3787" w:rsidRPr="005D4222" w14:paraId="51E8693A" w14:textId="7777777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c>
          <w:tcPr>
            <w:tcW w:w="2157" w:type="dxa"/>
            <w:tcBorders>
              <w:top w:val="nil"/>
              <w:left w:val="single" w:sz="4" w:space="0" w:color="auto"/>
              <w:bottom w:val="nil"/>
              <w:right w:val="single" w:sz="4" w:space="0" w:color="auto"/>
            </w:tcBorders>
            <w:tcMar>
              <w:top w:w="0" w:type="dxa"/>
              <w:left w:w="86" w:type="dxa"/>
              <w:bottom w:w="43" w:type="dxa"/>
              <w:right w:w="86" w:type="dxa"/>
            </w:tcMar>
          </w:tcPr>
          <w:p w14:paraId="0AB78DEF" w14:textId="77777777" w:rsidR="00CD3787" w:rsidRPr="005D4222" w:rsidRDefault="00CD3787" w:rsidP="00CD3787">
            <w:pPr>
              <w:pStyle w:val="ECDSMarginSubhead"/>
              <w:spacing w:after="0"/>
            </w:pPr>
            <w:r w:rsidRPr="005D4222">
              <w:t>Improvement notation</w:t>
            </w:r>
          </w:p>
        </w:tc>
        <w:tc>
          <w:tcPr>
            <w:tcW w:w="7561" w:type="dxa"/>
            <w:tcBorders>
              <w:top w:val="nil"/>
              <w:left w:val="single" w:sz="4" w:space="0" w:color="auto"/>
              <w:bottom w:val="nil"/>
              <w:right w:val="single" w:sz="4" w:space="0" w:color="auto"/>
            </w:tcBorders>
            <w:tcMar>
              <w:top w:w="0" w:type="dxa"/>
              <w:left w:w="86" w:type="dxa"/>
              <w:bottom w:w="43" w:type="dxa"/>
              <w:right w:w="86" w:type="dxa"/>
            </w:tcMar>
            <w:hideMark/>
          </w:tcPr>
          <w:p w14:paraId="3ECCCD2F" w14:textId="77777777" w:rsidR="00CD3787" w:rsidRPr="005D4222" w:rsidRDefault="00CD3787" w:rsidP="00CD3787">
            <w:pPr>
              <w:pStyle w:val="ECDSBody"/>
              <w:spacing w:after="0"/>
            </w:pPr>
            <w:r w:rsidRPr="005D4222">
              <w:t>Increased score indicates improvement.</w:t>
            </w:r>
          </w:p>
        </w:tc>
      </w:tr>
      <w:tr w:rsidR="00CD3787" w:rsidRPr="005D4222" w14:paraId="3B1BAEDC" w14:textId="7777777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4441"/>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5C19B826" w14:textId="77777777" w:rsidR="00CD3787" w:rsidRPr="005D4222" w:rsidRDefault="00CD3787">
            <w:pPr>
              <w:pStyle w:val="ECDSMarginSubhead"/>
            </w:pPr>
            <w:r w:rsidRPr="005D4222">
              <w:t>Guidance</w:t>
            </w:r>
          </w:p>
        </w:tc>
        <w:tc>
          <w:tcPr>
            <w:tcW w:w="7561"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61BA8117" w14:textId="3A6539F2" w:rsidR="00CD3787" w:rsidRPr="005D4222" w:rsidRDefault="00CD3787">
            <w:pPr>
              <w:pStyle w:val="ECDSBody"/>
            </w:pPr>
            <w:r w:rsidRPr="005D4222">
              <w:rPr>
                <w:rStyle w:val="normaltextrun"/>
                <w:b/>
                <w:color w:val="000000"/>
                <w:szCs w:val="21"/>
                <w:shd w:val="clear" w:color="auto" w:fill="FFFFFF"/>
              </w:rPr>
              <w:t>Data collection methodology</w:t>
            </w:r>
            <w:r w:rsidRPr="005D4222">
              <w:rPr>
                <w:rStyle w:val="normaltextrun"/>
                <w:b/>
                <w:bCs w:val="0"/>
                <w:color w:val="000000"/>
                <w:szCs w:val="21"/>
                <w:shd w:val="clear" w:color="auto" w:fill="FFFFFF"/>
              </w:rPr>
              <w:t>:</w:t>
            </w:r>
            <w:r w:rsidRPr="005D4222">
              <w:rPr>
                <w:rStyle w:val="normaltextrun"/>
                <w:color w:val="000000"/>
                <w:szCs w:val="21"/>
                <w:shd w:val="clear" w:color="auto" w:fill="FFFFFF"/>
              </w:rPr>
              <w:t xml:space="preserve"> Administrative. Refer to </w:t>
            </w:r>
            <w:hyperlink w:anchor="General_Guideline_Data_Collection_Method" w:history="1">
              <w:r w:rsidRPr="005D4222">
                <w:rPr>
                  <w:rStyle w:val="Hyperlink"/>
                  <w:i/>
                  <w:iCs/>
                  <w:szCs w:val="21"/>
                  <w:shd w:val="clear" w:color="auto" w:fill="FFFFFF"/>
                </w:rPr>
                <w:t>General Guideline: Data Collection Methods</w:t>
              </w:r>
            </w:hyperlink>
            <w:r w:rsidRPr="005D4222">
              <w:rPr>
                <w:rStyle w:val="normaltextrun"/>
                <w:color w:val="000000"/>
                <w:szCs w:val="21"/>
                <w:shd w:val="clear" w:color="auto" w:fill="FFFFFF"/>
              </w:rPr>
              <w:t xml:space="preserve"> for additional information.</w:t>
            </w:r>
            <w:r w:rsidRPr="005D4222">
              <w:rPr>
                <w:rStyle w:val="eop"/>
                <w:rFonts w:eastAsiaTheme="majorEastAsia"/>
                <w:color w:val="000000"/>
                <w:shd w:val="clear" w:color="auto" w:fill="FFFFFF"/>
              </w:rPr>
              <w:t> </w:t>
            </w:r>
          </w:p>
          <w:p w14:paraId="4AF72FCA" w14:textId="77777777" w:rsidR="00CD3787" w:rsidRPr="005D4222" w:rsidRDefault="00CD3787">
            <w:pPr>
              <w:pStyle w:val="ECDSBody"/>
            </w:pPr>
            <w:r w:rsidRPr="005D4222">
              <w:rPr>
                <w:b/>
              </w:rPr>
              <w:t xml:space="preserve">Date specificity: </w:t>
            </w:r>
            <w:r w:rsidRPr="005D4222">
              <w:t>Dates must be specific enough to determine the event occurred in the period being measured.</w:t>
            </w:r>
          </w:p>
          <w:p w14:paraId="07F12975" w14:textId="77777777" w:rsidR="00CD3787" w:rsidRPr="005D4222" w:rsidRDefault="00CD3787">
            <w:pPr>
              <w:pStyle w:val="ECDSBody"/>
              <w:rPr>
                <w:b/>
              </w:rPr>
            </w:pPr>
            <w:r w:rsidRPr="005D4222">
              <w:rPr>
                <w:b/>
              </w:rPr>
              <w:t>Which services count?</w:t>
            </w:r>
          </w:p>
          <w:p w14:paraId="49D03582" w14:textId="77777777" w:rsidR="00CD3787" w:rsidRPr="005D4222" w:rsidRDefault="00CD3787">
            <w:pPr>
              <w:pStyle w:val="ProcessBullet"/>
            </w:pPr>
            <w:r w:rsidRPr="005D4222">
              <w:t>Include all paid, suspended, pending and denied claims to identify the initial population and denominator exclusions.</w:t>
            </w:r>
          </w:p>
          <w:p w14:paraId="53A1AB6B" w14:textId="77777777" w:rsidR="00CD3787" w:rsidRPr="005D4222" w:rsidRDefault="00CD3787">
            <w:pPr>
              <w:pStyle w:val="ProcessBullet"/>
            </w:pPr>
            <w:r w:rsidRPr="005D4222">
              <w:t>Do not include denied claims when identifying numerator events; only include claims the organization paid for or expects to pay for (i.e., claims incurred but not paid).</w:t>
            </w:r>
          </w:p>
          <w:p w14:paraId="7C3A16FD" w14:textId="77777777" w:rsidR="00CD3787" w:rsidRPr="005D4222" w:rsidRDefault="00CD3787">
            <w:pPr>
              <w:pStyle w:val="ECDSBody"/>
            </w:pPr>
            <w:r w:rsidRPr="005D4222">
              <w:rPr>
                <w:b/>
              </w:rPr>
              <w:t>Supplemental data exceptions:</w:t>
            </w:r>
            <w:r w:rsidRPr="005D4222">
              <w:t xml:space="preserve"> Supplemental data may not be used for this measure, except for denominator exclusions. </w:t>
            </w:r>
          </w:p>
          <w:p w14:paraId="5B90D00F" w14:textId="77777777" w:rsidR="00CD3787" w:rsidRPr="005D4222" w:rsidRDefault="00CD3787">
            <w:pPr>
              <w:pStyle w:val="ECDSBody"/>
              <w:rPr>
                <w:b/>
              </w:rPr>
            </w:pPr>
            <w:r w:rsidRPr="005D4222">
              <w:rPr>
                <w:b/>
              </w:rPr>
              <w:t xml:space="preserve">Other guidance: </w:t>
            </w:r>
          </w:p>
          <w:p w14:paraId="5D8ABBDE" w14:textId="77777777" w:rsidR="00CD3787" w:rsidRPr="005D4222" w:rsidRDefault="00CD3787" w:rsidP="00FE4C5F">
            <w:pPr>
              <w:pStyle w:val="ProcessBullet"/>
            </w:pPr>
            <w:r w:rsidRPr="005D4222">
              <w:t xml:space="preserve">Reported as an inverted rate [1–(numerator/denominator)]. </w:t>
            </w:r>
            <w:r w:rsidRPr="005D4222">
              <w:br/>
              <w:t>A higher rate indicates appropriate acute bronchitis/bronchiolitis treatment (i.e., the proportion for episodes that did not result in an antibiotic dispensing event).</w:t>
            </w:r>
          </w:p>
          <w:p w14:paraId="2E562D7C" w14:textId="77777777" w:rsidR="00CD3787" w:rsidRPr="005D4222" w:rsidRDefault="00CD3787" w:rsidP="00FE4C5F">
            <w:pPr>
              <w:pStyle w:val="ProcessBullet"/>
              <w:spacing w:after="80"/>
            </w:pPr>
            <w:r w:rsidRPr="005D4222">
              <w:t>The measure is based on episodes; therefore, it is possible for the denominator to include multiple events for the same person.</w:t>
            </w:r>
          </w:p>
        </w:tc>
      </w:tr>
      <w:tr w:rsidR="00CD3787" w:rsidRPr="005D4222" w14:paraId="72B5ED9F" w14:textId="7777777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c>
          <w:tcPr>
            <w:tcW w:w="9718" w:type="dxa"/>
            <w:gridSpan w:val="2"/>
            <w:tcBorders>
              <w:top w:val="single" w:sz="4" w:space="0" w:color="auto"/>
              <w:bottom w:val="single" w:sz="4" w:space="0" w:color="auto"/>
            </w:tcBorders>
            <w:shd w:val="clear" w:color="auto" w:fill="BFBFBF" w:themeFill="background1" w:themeFillShade="BF"/>
            <w:tcMar>
              <w:top w:w="0" w:type="dxa"/>
              <w:left w:w="86" w:type="dxa"/>
              <w:bottom w:w="43" w:type="dxa"/>
              <w:right w:w="86" w:type="dxa"/>
            </w:tcMar>
          </w:tcPr>
          <w:p w14:paraId="30100C55" w14:textId="77777777" w:rsidR="00CD3787" w:rsidRPr="005D4222" w:rsidRDefault="00CD3787">
            <w:pPr>
              <w:pStyle w:val="ECDSMarginHead"/>
            </w:pPr>
            <w:r w:rsidRPr="005D4222">
              <w:t xml:space="preserve">Definitions </w:t>
            </w:r>
          </w:p>
        </w:tc>
      </w:tr>
      <w:tr w:rsidR="00CD3787" w:rsidRPr="005D4222" w14:paraId="06C32B27" w14:textId="7777777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c>
          <w:tcPr>
            <w:tcW w:w="2157" w:type="dxa"/>
            <w:tcBorders>
              <w:top w:val="single" w:sz="4" w:space="0" w:color="auto"/>
              <w:bottom w:val="nil"/>
            </w:tcBorders>
            <w:tcMar>
              <w:top w:w="0" w:type="dxa"/>
              <w:left w:w="86" w:type="dxa"/>
              <w:bottom w:w="43" w:type="dxa"/>
              <w:right w:w="86" w:type="dxa"/>
            </w:tcMar>
          </w:tcPr>
          <w:p w14:paraId="4869D74F" w14:textId="77777777" w:rsidR="00CD3787" w:rsidRPr="005D4222" w:rsidRDefault="00CD3787" w:rsidP="00B24D0D">
            <w:pPr>
              <w:pStyle w:val="ECDSSubhead"/>
            </w:pPr>
            <w:r w:rsidRPr="005D4222">
              <w:t>Episode date</w:t>
            </w:r>
          </w:p>
        </w:tc>
        <w:tc>
          <w:tcPr>
            <w:tcW w:w="7561" w:type="dxa"/>
            <w:tcBorders>
              <w:top w:val="single" w:sz="4" w:space="0" w:color="auto"/>
              <w:bottom w:val="nil"/>
            </w:tcBorders>
            <w:tcMar>
              <w:left w:w="86" w:type="dxa"/>
              <w:bottom w:w="43" w:type="dxa"/>
              <w:right w:w="86" w:type="dxa"/>
            </w:tcMar>
          </w:tcPr>
          <w:p w14:paraId="1F75D6EE" w14:textId="77777777" w:rsidR="00CD3787" w:rsidRPr="005D4222" w:rsidRDefault="00CD3787">
            <w:pPr>
              <w:pStyle w:val="ECDSBody"/>
              <w:spacing w:after="0"/>
              <w:rPr>
                <w:b/>
                <w:highlight w:val="yellow"/>
              </w:rPr>
            </w:pPr>
            <w:r w:rsidRPr="005D4222">
              <w:t>The date of service for any outpatient, telephone or ED visit, e-visit or virtual check-in during the intake period with a diagnosis of acute bronchitis/ bronchiolitis.</w:t>
            </w:r>
          </w:p>
        </w:tc>
      </w:tr>
      <w:tr w:rsidR="00CD3787" w:rsidRPr="005D4222" w14:paraId="4A23E073" w14:textId="77777777" w:rsidTr="00FE4C5F">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c>
          <w:tcPr>
            <w:tcW w:w="2157" w:type="dxa"/>
            <w:tcBorders>
              <w:top w:val="nil"/>
              <w:bottom w:val="nil"/>
            </w:tcBorders>
            <w:tcMar>
              <w:top w:w="0" w:type="dxa"/>
              <w:left w:w="86" w:type="dxa"/>
              <w:bottom w:w="43" w:type="dxa"/>
              <w:right w:w="86" w:type="dxa"/>
            </w:tcMar>
          </w:tcPr>
          <w:p w14:paraId="085B1D9C" w14:textId="77777777" w:rsidR="00CD3787" w:rsidRPr="005D4222" w:rsidRDefault="00CD3787" w:rsidP="00B24D0D">
            <w:pPr>
              <w:pStyle w:val="ECDSSubhead"/>
            </w:pPr>
            <w:r w:rsidRPr="005D4222">
              <w:t>Intake period</w:t>
            </w:r>
          </w:p>
        </w:tc>
        <w:tc>
          <w:tcPr>
            <w:tcW w:w="7561" w:type="dxa"/>
            <w:tcBorders>
              <w:top w:val="nil"/>
              <w:bottom w:val="nil"/>
            </w:tcBorders>
            <w:tcMar>
              <w:left w:w="86" w:type="dxa"/>
              <w:bottom w:w="43" w:type="dxa"/>
              <w:right w:w="86" w:type="dxa"/>
            </w:tcMar>
          </w:tcPr>
          <w:p w14:paraId="2A8BA41E" w14:textId="77777777" w:rsidR="00CD3787" w:rsidRPr="005D4222" w:rsidRDefault="00CD3787">
            <w:pPr>
              <w:pStyle w:val="ECDSBody"/>
              <w:spacing w:after="0"/>
              <w:rPr>
                <w:b/>
                <w:highlight w:val="yellow"/>
              </w:rPr>
            </w:pPr>
            <w:r w:rsidRPr="005D4222">
              <w:t>July 1 of the year prior to the measurement period to June 30 of the measurement period. The intake period captures eligible episodes of treatment.</w:t>
            </w:r>
          </w:p>
        </w:tc>
      </w:tr>
      <w:tr w:rsidR="00CD3787" w:rsidRPr="005D4222" w14:paraId="38B8220A" w14:textId="77777777" w:rsidTr="00FE4C5F">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c>
          <w:tcPr>
            <w:tcW w:w="2157" w:type="dxa"/>
            <w:tcBorders>
              <w:top w:val="nil"/>
              <w:bottom w:val="single" w:sz="4" w:space="0" w:color="auto"/>
            </w:tcBorders>
            <w:tcMar>
              <w:top w:w="0" w:type="dxa"/>
              <w:left w:w="86" w:type="dxa"/>
              <w:bottom w:w="0" w:type="dxa"/>
              <w:right w:w="86" w:type="dxa"/>
            </w:tcMar>
          </w:tcPr>
          <w:p w14:paraId="5D66758A" w14:textId="77777777" w:rsidR="00CD3787" w:rsidRPr="005D4222" w:rsidRDefault="00CD3787" w:rsidP="00B24D0D">
            <w:pPr>
              <w:pStyle w:val="ECDSSubhead"/>
            </w:pPr>
            <w:r w:rsidRPr="005D4222">
              <w:t>Negative comorbid condition history</w:t>
            </w:r>
          </w:p>
        </w:tc>
        <w:tc>
          <w:tcPr>
            <w:tcW w:w="7561" w:type="dxa"/>
            <w:tcBorders>
              <w:top w:val="nil"/>
              <w:bottom w:val="single" w:sz="4" w:space="0" w:color="auto"/>
            </w:tcBorders>
            <w:tcMar>
              <w:left w:w="86" w:type="dxa"/>
              <w:bottom w:w="0" w:type="dxa"/>
              <w:right w:w="86" w:type="dxa"/>
            </w:tcMar>
          </w:tcPr>
          <w:p w14:paraId="3EB82033" w14:textId="77777777" w:rsidR="00CD3787" w:rsidRPr="005D4222" w:rsidRDefault="00CD3787" w:rsidP="00FE4C5F">
            <w:pPr>
              <w:pStyle w:val="ECDSBody"/>
              <w:rPr>
                <w:b/>
                <w:highlight w:val="yellow"/>
              </w:rPr>
            </w:pPr>
            <w:r w:rsidRPr="005D4222">
              <w:t>A period of 365 days prior to and including the episode date when the person had no claims/encounters with any diagnosis for a comorbid condition (366 total days).</w:t>
            </w:r>
          </w:p>
        </w:tc>
      </w:tr>
    </w:tbl>
    <w:p w14:paraId="2D5BBE25" w14:textId="77777777" w:rsidR="00FE4C5F" w:rsidRPr="005D4222" w:rsidRDefault="00FE4C5F">
      <w:r w:rsidRPr="005D4222">
        <w:br w:type="page"/>
      </w:r>
    </w:p>
    <w:tbl>
      <w:tblPr>
        <w:tblW w:w="5002"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61"/>
      </w:tblGrid>
      <w:tr w:rsidR="00CD3787" w:rsidRPr="005D4222" w14:paraId="5A949D5F" w14:textId="77777777" w:rsidTr="007C3D8B">
        <w:tc>
          <w:tcPr>
            <w:tcW w:w="2157" w:type="dxa"/>
            <w:tcBorders>
              <w:top w:val="single" w:sz="4" w:space="0" w:color="auto"/>
              <w:bottom w:val="nil"/>
            </w:tcBorders>
            <w:tcMar>
              <w:top w:w="0" w:type="dxa"/>
              <w:left w:w="86" w:type="dxa"/>
              <w:bottom w:w="0" w:type="dxa"/>
              <w:right w:w="86" w:type="dxa"/>
            </w:tcMar>
          </w:tcPr>
          <w:p w14:paraId="0AFEA77D" w14:textId="77777777" w:rsidR="00CD3787" w:rsidRPr="005D4222" w:rsidRDefault="00CD3787" w:rsidP="00B24D0D">
            <w:pPr>
              <w:pStyle w:val="ECDSSubhead"/>
            </w:pPr>
            <w:r w:rsidRPr="005D4222">
              <w:lastRenderedPageBreak/>
              <w:t>Negative competing diagnosis</w:t>
            </w:r>
          </w:p>
        </w:tc>
        <w:tc>
          <w:tcPr>
            <w:tcW w:w="7561" w:type="dxa"/>
            <w:tcBorders>
              <w:top w:val="single" w:sz="4" w:space="0" w:color="auto"/>
              <w:bottom w:val="nil"/>
            </w:tcBorders>
            <w:tcMar>
              <w:left w:w="86" w:type="dxa"/>
              <w:bottom w:w="0" w:type="dxa"/>
              <w:right w:w="86" w:type="dxa"/>
            </w:tcMar>
          </w:tcPr>
          <w:p w14:paraId="666C0F52" w14:textId="77777777" w:rsidR="00CD3787" w:rsidRPr="005D4222" w:rsidRDefault="00CD3787">
            <w:pPr>
              <w:pStyle w:val="ECDSBody"/>
              <w:spacing w:after="0"/>
            </w:pPr>
            <w:r w:rsidRPr="005D4222">
              <w:t xml:space="preserve">The episode date and 3 days following the episode date when the person had no claims/encounters with any competing diagnosis. </w:t>
            </w:r>
          </w:p>
        </w:tc>
      </w:tr>
      <w:tr w:rsidR="00CD3787" w:rsidRPr="005D4222" w14:paraId="6E35EFCC" w14:textId="77777777" w:rsidTr="007C3D8B">
        <w:tc>
          <w:tcPr>
            <w:tcW w:w="2157" w:type="dxa"/>
            <w:tcBorders>
              <w:top w:val="nil"/>
              <w:bottom w:val="single" w:sz="4" w:space="0" w:color="auto"/>
            </w:tcBorders>
            <w:tcMar>
              <w:top w:w="0" w:type="dxa"/>
              <w:left w:w="86" w:type="dxa"/>
              <w:bottom w:w="0" w:type="dxa"/>
              <w:right w:w="86" w:type="dxa"/>
            </w:tcMar>
          </w:tcPr>
          <w:p w14:paraId="12662486" w14:textId="77777777" w:rsidR="00CD3787" w:rsidRPr="005D4222" w:rsidRDefault="00CD3787" w:rsidP="00B24D0D">
            <w:pPr>
              <w:pStyle w:val="ECDSSubhead"/>
            </w:pPr>
            <w:r w:rsidRPr="005D4222">
              <w:t xml:space="preserve">Negative </w:t>
            </w:r>
            <w:r w:rsidRPr="005D4222">
              <w:rPr>
                <w:bCs/>
              </w:rPr>
              <w:t>medication dispensed</w:t>
            </w:r>
            <w:r w:rsidRPr="005D4222">
              <w:t xml:space="preserve"> history</w:t>
            </w:r>
          </w:p>
        </w:tc>
        <w:tc>
          <w:tcPr>
            <w:tcW w:w="7561" w:type="dxa"/>
            <w:tcBorders>
              <w:top w:val="nil"/>
              <w:bottom w:val="single" w:sz="4" w:space="0" w:color="auto"/>
            </w:tcBorders>
            <w:tcMar>
              <w:left w:w="86" w:type="dxa"/>
              <w:bottom w:w="0" w:type="dxa"/>
              <w:right w:w="86" w:type="dxa"/>
            </w:tcMar>
          </w:tcPr>
          <w:p w14:paraId="7393E871" w14:textId="77777777" w:rsidR="00CD3787" w:rsidRPr="005D4222" w:rsidRDefault="00CD3787">
            <w:pPr>
              <w:pStyle w:val="ECDSBody"/>
              <w:rPr>
                <w:b/>
              </w:rPr>
            </w:pPr>
            <w:r w:rsidRPr="005D4222">
              <w:t>To qualify for negative medication history, the following criteria must be met:</w:t>
            </w:r>
          </w:p>
          <w:p w14:paraId="0C4926FF" w14:textId="77777777" w:rsidR="00CD3787" w:rsidRPr="005D4222" w:rsidRDefault="00CD3787" w:rsidP="00CD3787">
            <w:pPr>
              <w:pStyle w:val="Bullet"/>
              <w:numPr>
                <w:ilvl w:val="0"/>
                <w:numId w:val="4"/>
              </w:numPr>
              <w:tabs>
                <w:tab w:val="left" w:pos="360"/>
                <w:tab w:val="left" w:pos="576"/>
              </w:tabs>
              <w:ind w:left="576" w:hanging="216"/>
              <w:rPr>
                <w:bCs/>
              </w:rPr>
            </w:pPr>
            <w:r w:rsidRPr="005D4222">
              <w:t xml:space="preserve">A period of 30 days prior to the episode date when the </w:t>
            </w:r>
            <w:r w:rsidRPr="005D4222">
              <w:rPr>
                <w:rFonts w:cs="Arial"/>
                <w:bCs/>
                <w:szCs w:val="21"/>
              </w:rPr>
              <w:t>person had no pharmacy claims for either new or refill prescriptions for a listed antibiotic drug.</w:t>
            </w:r>
          </w:p>
          <w:p w14:paraId="6D69C67F" w14:textId="77777777" w:rsidR="00CD3787" w:rsidRPr="005D4222" w:rsidRDefault="00CD3787" w:rsidP="00CD3787">
            <w:pPr>
              <w:pStyle w:val="Bullet"/>
              <w:numPr>
                <w:ilvl w:val="0"/>
                <w:numId w:val="4"/>
              </w:numPr>
              <w:tabs>
                <w:tab w:val="left" w:pos="360"/>
                <w:tab w:val="left" w:pos="576"/>
              </w:tabs>
              <w:spacing w:after="80"/>
              <w:ind w:left="576" w:hanging="216"/>
            </w:pPr>
            <w:r w:rsidRPr="005D4222">
              <w:t>No prescriptions dispensed more than 30 days prior to the episode date that are active on the episode date.</w:t>
            </w:r>
          </w:p>
          <w:p w14:paraId="0DF0E961" w14:textId="77777777" w:rsidR="00CD3787" w:rsidRPr="005D4222" w:rsidRDefault="00CD3787">
            <w:pPr>
              <w:pStyle w:val="Bullet"/>
              <w:numPr>
                <w:ilvl w:val="0"/>
                <w:numId w:val="0"/>
              </w:numPr>
              <w:spacing w:after="80"/>
            </w:pPr>
            <w:r w:rsidRPr="005D4222">
              <w:t>A prescription is considered active if the “days supply” indicated on the date when the person was dispensed the prescription is the number of days or more between that date and the relevant service date. The 30-day look-back period for pharmacy data includes the 30 days prior to the intake period.</w:t>
            </w:r>
          </w:p>
        </w:tc>
      </w:tr>
      <w:tr w:rsidR="00CD3787" w:rsidRPr="005D4222" w14:paraId="1B607BF5" w14:textId="77777777" w:rsidTr="007C3D8B">
        <w:tc>
          <w:tcPr>
            <w:tcW w:w="2157" w:type="dxa"/>
            <w:shd w:val="clear" w:color="auto" w:fill="BFBFBF" w:themeFill="background1" w:themeFillShade="BF"/>
            <w:tcMar>
              <w:top w:w="0" w:type="dxa"/>
              <w:left w:w="86" w:type="dxa"/>
              <w:bottom w:w="0" w:type="dxa"/>
              <w:right w:w="86" w:type="dxa"/>
            </w:tcMar>
          </w:tcPr>
          <w:p w14:paraId="263D62D7" w14:textId="77777777" w:rsidR="00CD3787" w:rsidRPr="005D4222" w:rsidRDefault="00CD3787">
            <w:pPr>
              <w:pStyle w:val="ECDSMarginHead"/>
            </w:pPr>
            <w:r w:rsidRPr="005D4222">
              <w:t>Initial population</w:t>
            </w:r>
          </w:p>
        </w:tc>
        <w:tc>
          <w:tcPr>
            <w:tcW w:w="7561" w:type="dxa"/>
            <w:tcBorders>
              <w:top w:val="single" w:sz="4" w:space="0" w:color="auto"/>
              <w:left w:val="single" w:sz="4" w:space="0" w:color="auto"/>
              <w:right w:val="single" w:sz="4" w:space="0" w:color="auto"/>
            </w:tcBorders>
            <w:tcMar>
              <w:top w:w="0" w:type="dxa"/>
              <w:left w:w="86" w:type="dxa"/>
              <w:bottom w:w="0" w:type="dxa"/>
              <w:right w:w="86" w:type="dxa"/>
            </w:tcMar>
          </w:tcPr>
          <w:p w14:paraId="1C05A428" w14:textId="77777777" w:rsidR="00CD3787" w:rsidRPr="005D4222" w:rsidRDefault="00CD3787">
            <w:pPr>
              <w:pStyle w:val="ECDSBody"/>
            </w:pPr>
            <w:r w:rsidRPr="005D4222">
              <w:rPr>
                <w:i/>
                <w:iCs/>
              </w:rPr>
              <w:t xml:space="preserve">Measure item count: </w:t>
            </w:r>
            <w:r w:rsidRPr="005D4222">
              <w:t>Episode.</w:t>
            </w:r>
          </w:p>
          <w:p w14:paraId="1F77420A" w14:textId="77777777" w:rsidR="00CD3787" w:rsidRPr="005D4222" w:rsidRDefault="00CD3787">
            <w:pPr>
              <w:pStyle w:val="ECDSBody"/>
            </w:pPr>
            <w:r w:rsidRPr="005D4222">
              <w:rPr>
                <w:i/>
                <w:iCs/>
              </w:rPr>
              <w:t xml:space="preserve">Attribution basis: </w:t>
            </w:r>
            <w:r w:rsidRPr="005D4222">
              <w:t>Enrollment.</w:t>
            </w:r>
          </w:p>
          <w:p w14:paraId="3D2D3341" w14:textId="77777777" w:rsidR="00CD3787" w:rsidRPr="005D4222" w:rsidRDefault="00CD3787" w:rsidP="00CD3787">
            <w:pPr>
              <w:pStyle w:val="Bullet"/>
              <w:numPr>
                <w:ilvl w:val="0"/>
                <w:numId w:val="4"/>
              </w:numPr>
              <w:tabs>
                <w:tab w:val="left" w:pos="360"/>
                <w:tab w:val="left" w:pos="576"/>
              </w:tabs>
              <w:ind w:left="576" w:hanging="216"/>
            </w:pPr>
            <w:r w:rsidRPr="005D4222">
              <w:rPr>
                <w:i/>
                <w:iCs/>
              </w:rPr>
              <w:t>Benefits:</w:t>
            </w:r>
            <w:r w:rsidRPr="005D4222">
              <w:t xml:space="preserve"> Medical and pharmacy.</w:t>
            </w:r>
          </w:p>
          <w:p w14:paraId="0A14123E" w14:textId="77777777" w:rsidR="00CD3787" w:rsidRPr="005D4222" w:rsidRDefault="00CD3787" w:rsidP="00CD3787">
            <w:pPr>
              <w:pStyle w:val="Bullet"/>
              <w:numPr>
                <w:ilvl w:val="0"/>
                <w:numId w:val="4"/>
              </w:numPr>
              <w:tabs>
                <w:tab w:val="left" w:pos="360"/>
                <w:tab w:val="left" w:pos="576"/>
              </w:tabs>
              <w:ind w:left="576" w:hanging="216"/>
              <w:rPr>
                <w:rFonts w:eastAsia="Arial"/>
                <w:szCs w:val="21"/>
              </w:rPr>
            </w:pPr>
            <w:r w:rsidRPr="005D4222">
              <w:rPr>
                <w:rFonts w:eastAsia="Arial"/>
                <w:i/>
                <w:szCs w:val="21"/>
              </w:rPr>
              <w:t xml:space="preserve">Continuous enrollment: </w:t>
            </w:r>
            <w:r w:rsidRPr="005D4222">
              <w:rPr>
                <w:rFonts w:eastAsia="Arial"/>
                <w:szCs w:val="21"/>
              </w:rPr>
              <w:t>30 days prior to the episode date through 3 days after the episode date (34 days total).</w:t>
            </w:r>
          </w:p>
          <w:p w14:paraId="3F0C8EE5" w14:textId="77777777" w:rsidR="00CD3787" w:rsidRPr="005D4222" w:rsidRDefault="00CD3787" w:rsidP="00CD3787">
            <w:pPr>
              <w:pStyle w:val="Bullet"/>
              <w:numPr>
                <w:ilvl w:val="0"/>
                <w:numId w:val="4"/>
              </w:numPr>
              <w:tabs>
                <w:tab w:val="left" w:pos="360"/>
                <w:tab w:val="left" w:pos="576"/>
              </w:tabs>
              <w:ind w:left="576" w:hanging="216"/>
            </w:pPr>
            <w:r w:rsidRPr="005D4222">
              <w:rPr>
                <w:i/>
                <w:iCs/>
              </w:rPr>
              <w:t>Allowable gap:</w:t>
            </w:r>
            <w:r w:rsidRPr="005D4222">
              <w:t xml:space="preserve"> None.</w:t>
            </w:r>
          </w:p>
          <w:p w14:paraId="5FD2ADC6" w14:textId="77777777" w:rsidR="00CD3787" w:rsidRPr="005D4222" w:rsidRDefault="00CD3787">
            <w:pPr>
              <w:pStyle w:val="ECDSBody"/>
            </w:pPr>
            <w:r w:rsidRPr="005D4222">
              <w:rPr>
                <w:i/>
                <w:iCs/>
              </w:rPr>
              <w:t>Ages:</w:t>
            </w:r>
            <w:r w:rsidRPr="005D4222">
              <w:t xml:space="preserve"> 3 months of age or older as of the episode date.</w:t>
            </w:r>
          </w:p>
          <w:p w14:paraId="306162D1" w14:textId="77777777" w:rsidR="00CD3787" w:rsidRPr="005D4222" w:rsidRDefault="00CD3787">
            <w:pPr>
              <w:pStyle w:val="ECDSBody"/>
              <w:rPr>
                <w:bCs w:val="0"/>
              </w:rPr>
            </w:pPr>
            <w:r w:rsidRPr="005D4222">
              <w:rPr>
                <w:i/>
                <w:iCs/>
              </w:rPr>
              <w:t xml:space="preserve">Event: </w:t>
            </w:r>
            <w:r w:rsidRPr="005D4222">
              <w:rPr>
                <w:b/>
              </w:rPr>
              <w:t>Episodes of acute bronchitis/bronchiolitis diagnosis.</w:t>
            </w:r>
          </w:p>
          <w:p w14:paraId="2318B642" w14:textId="77777777" w:rsidR="00CD3787" w:rsidRPr="005D4222" w:rsidRDefault="00CD3787">
            <w:pPr>
              <w:pStyle w:val="ECDSBody"/>
            </w:pPr>
            <w:r w:rsidRPr="005D4222">
              <w:rPr>
                <w:b/>
              </w:rPr>
              <w:t xml:space="preserve">Step 1. </w:t>
            </w:r>
            <w:r w:rsidRPr="005D4222">
              <w:t>Identify all persons who had an outpatient, ED, telephone or e-visit or virtual check-in visit (</w:t>
            </w:r>
            <w:r w:rsidRPr="005D4222">
              <w:rPr>
                <w:u w:val="single"/>
              </w:rPr>
              <w:t>Outpatient, ED and Telehealth Value Set</w:t>
            </w:r>
            <w:r w:rsidRPr="005D4222">
              <w:t>) during the intake period with a diagnosis of acute bronchitis/bronchiolitis (</w:t>
            </w:r>
            <w:r w:rsidRPr="005D4222">
              <w:rPr>
                <w:u w:val="single"/>
              </w:rPr>
              <w:t>Acute Bronchitis Value Set</w:t>
            </w:r>
            <w:r w:rsidRPr="005D4222">
              <w:t>).</w:t>
            </w:r>
          </w:p>
          <w:p w14:paraId="0614BCA6" w14:textId="77777777" w:rsidR="00CD3787" w:rsidRPr="005D4222" w:rsidRDefault="00CD3787">
            <w:pPr>
              <w:pStyle w:val="ECDSBody"/>
              <w:rPr>
                <w:b/>
              </w:rPr>
            </w:pPr>
            <w:r w:rsidRPr="005D4222">
              <w:rPr>
                <w:b/>
              </w:rPr>
              <w:t xml:space="preserve">Step 2. </w:t>
            </w:r>
            <w:r w:rsidRPr="005D4222">
              <w:t>For each person identified in step 1, determine all acute bronchitis/ bronchiolitis episode dates. Exclude visits that result in an inpatient stay (</w:t>
            </w:r>
            <w:r w:rsidRPr="005D4222">
              <w:rPr>
                <w:u w:val="single"/>
              </w:rPr>
              <w:t>Inpatient Stay Value Set</w:t>
            </w:r>
            <w:r w:rsidRPr="005D4222">
              <w:t>).</w:t>
            </w:r>
          </w:p>
          <w:p w14:paraId="6495E865" w14:textId="77777777" w:rsidR="00CD3787" w:rsidRPr="005D4222" w:rsidRDefault="00CD3787">
            <w:pPr>
              <w:pStyle w:val="ECDSBody"/>
            </w:pPr>
            <w:r w:rsidRPr="005D4222">
              <w:rPr>
                <w:b/>
              </w:rPr>
              <w:t xml:space="preserve">Step 3. </w:t>
            </w:r>
            <w:r w:rsidRPr="005D4222">
              <w:t>Test for negative comorbid condition history. Remove episode dates where the person had a claim/encounter with any diagnosis for a comorbid condition (</w:t>
            </w:r>
            <w:r w:rsidRPr="005D4222">
              <w:rPr>
                <w:u w:val="single"/>
              </w:rPr>
              <w:t>Comorbid Conditions Value Set</w:t>
            </w:r>
            <w:r w:rsidRPr="005D4222">
              <w:t>*) during the 365 days prior to or on the episode date (366 days total).</w:t>
            </w:r>
            <w:r w:rsidRPr="005D4222">
              <w:rPr>
                <w:b/>
              </w:rPr>
              <w:t xml:space="preserve"> </w:t>
            </w:r>
          </w:p>
          <w:p w14:paraId="66015E74" w14:textId="77777777" w:rsidR="00CD3787" w:rsidRPr="005D4222" w:rsidRDefault="00CD3787">
            <w:pPr>
              <w:pStyle w:val="ECDSBody"/>
            </w:pPr>
            <w:r w:rsidRPr="005D4222">
              <w:rPr>
                <w:b/>
                <w:szCs w:val="21"/>
              </w:rPr>
              <w:t xml:space="preserve">Step 4. </w:t>
            </w:r>
            <w:r w:rsidRPr="005D4222">
              <w:rPr>
                <w:szCs w:val="21"/>
              </w:rPr>
              <w:t xml:space="preserve">Test for negative medication history. </w:t>
            </w:r>
            <w:r w:rsidRPr="005D4222">
              <w:t>Remove episode dates where a new or refill prescription for an antibiotic medication (</w:t>
            </w:r>
            <w:r w:rsidRPr="005D4222">
              <w:rPr>
                <w:u w:val="single"/>
              </w:rPr>
              <w:t>AAB Antibiotic Medications List</w:t>
            </w:r>
            <w:r w:rsidRPr="005D4222">
              <w:t xml:space="preserve">) was dispensed 30 days prior to the episode date or was active on the episode date. </w:t>
            </w:r>
          </w:p>
          <w:p w14:paraId="5D917A54" w14:textId="77777777" w:rsidR="00CD3787" w:rsidRPr="005D4222" w:rsidRDefault="00CD3787">
            <w:pPr>
              <w:pStyle w:val="ECDSBody"/>
              <w:rPr>
                <w:i/>
              </w:rPr>
            </w:pPr>
            <w:r w:rsidRPr="005D4222">
              <w:rPr>
                <w:b/>
              </w:rPr>
              <w:t xml:space="preserve">Step 5. </w:t>
            </w:r>
            <w:r w:rsidRPr="005D4222">
              <w:t>Test for negative competing diagnoses. Remove episode dates where the person had a claim/encounter with a competing diagnosis (</w:t>
            </w:r>
            <w:r w:rsidRPr="005D4222">
              <w:rPr>
                <w:u w:val="single"/>
              </w:rPr>
              <w:t>Pharyngitis Value Set</w:t>
            </w:r>
            <w:r w:rsidRPr="005D4222">
              <w:t xml:space="preserve">*, </w:t>
            </w:r>
            <w:r w:rsidRPr="005D4222">
              <w:rPr>
                <w:u w:val="single"/>
              </w:rPr>
              <w:t>Competing Diagnosis Value Set</w:t>
            </w:r>
            <w:r w:rsidRPr="005D4222">
              <w:t>*) on or 3 days after the episode date.</w:t>
            </w:r>
          </w:p>
          <w:p w14:paraId="310EE1D3" w14:textId="77777777" w:rsidR="00CD3787" w:rsidRPr="005D4222" w:rsidRDefault="00CD3787">
            <w:pPr>
              <w:pStyle w:val="ECDSBody"/>
              <w:rPr>
                <w:b/>
              </w:rPr>
            </w:pPr>
            <w:r w:rsidRPr="005D4222">
              <w:rPr>
                <w:b/>
              </w:rPr>
              <w:t xml:space="preserve">Step 6. </w:t>
            </w:r>
            <w:r w:rsidRPr="005D4222">
              <w:t>Calculate continuous enrollment.</w:t>
            </w:r>
          </w:p>
          <w:p w14:paraId="22FA386A" w14:textId="77777777" w:rsidR="00CD3787" w:rsidRPr="005D4222" w:rsidRDefault="00CD3787" w:rsidP="00FE4C5F">
            <w:pPr>
              <w:pStyle w:val="ECDSBody"/>
              <w:spacing w:before="180"/>
            </w:pPr>
            <w:r w:rsidRPr="005D4222">
              <w:rPr>
                <w:b/>
              </w:rPr>
              <w:lastRenderedPageBreak/>
              <w:t xml:space="preserve">Step 7. </w:t>
            </w:r>
            <w:r w:rsidRPr="005D4222">
              <w:t xml:space="preserve">Deduplicate eligible episodes. Identify visits chronologically, including only one per 31-day period. If a person has more than one eligible episode in a 31-day period, include only the first eligible episode. </w:t>
            </w:r>
          </w:p>
          <w:p w14:paraId="74530F66" w14:textId="77777777" w:rsidR="00CD3787" w:rsidRPr="005D4222" w:rsidRDefault="00CD3787" w:rsidP="00CD3787">
            <w:pPr>
              <w:pStyle w:val="Bullet"/>
              <w:numPr>
                <w:ilvl w:val="0"/>
                <w:numId w:val="4"/>
              </w:numPr>
              <w:tabs>
                <w:tab w:val="left" w:pos="360"/>
                <w:tab w:val="left" w:pos="576"/>
              </w:tabs>
              <w:ind w:left="576" w:hanging="216"/>
            </w:pPr>
            <w:r w:rsidRPr="005D4222">
              <w:rPr>
                <w:i/>
                <w:iCs/>
              </w:rPr>
              <w:t xml:space="preserve">For example, </w:t>
            </w:r>
            <w:r w:rsidRPr="005D4222">
              <w:t xml:space="preserve">if </w:t>
            </w:r>
            <w:r w:rsidRPr="005D4222" w:rsidDel="00404CF6">
              <w:t>a person has</w:t>
            </w:r>
            <w:r w:rsidRPr="005D4222">
              <w:t xml:space="preserve"> an eligible episode on January 1, include </w:t>
            </w:r>
            <w:r w:rsidRPr="005D4222" w:rsidDel="00FA6ADA">
              <w:t>the January 1</w:t>
            </w:r>
            <w:r w:rsidRPr="005D4222">
              <w:t xml:space="preserve"> visit and do not include eligible episodes that occur on or between January 2 and January 31. Then, if applicable, include the next eligible episode that occurs on or after February 1. </w:t>
            </w:r>
          </w:p>
          <w:p w14:paraId="3182B48A" w14:textId="77777777" w:rsidR="00CD3787" w:rsidRPr="005D4222" w:rsidRDefault="00CD3787">
            <w:pPr>
              <w:pStyle w:val="ECDSBody"/>
              <w:spacing w:after="0"/>
              <w:rPr>
                <w:rFonts w:eastAsia="Arial,Arial,Arial,Arial,Arial,A"/>
                <w:b/>
                <w:bCs w:val="0"/>
              </w:rPr>
            </w:pPr>
            <w:r w:rsidRPr="005D4222">
              <w:rPr>
                <w:rFonts w:eastAsia="Arial,Arial,Arial,Arial,Arial,A"/>
                <w:b/>
                <w:bCs w:val="0"/>
              </w:rPr>
              <w:t>Coding Guidance</w:t>
            </w:r>
          </w:p>
          <w:p w14:paraId="7E54EEF7" w14:textId="77777777" w:rsidR="00CD3787" w:rsidRPr="005D4222" w:rsidRDefault="00CD3787">
            <w:pPr>
              <w:pStyle w:val="ECDSBody"/>
              <w:spacing w:before="0"/>
              <w:rPr>
                <w:i/>
              </w:rPr>
            </w:pPr>
            <w:r w:rsidRPr="005D4222">
              <w:rPr>
                <w:rFonts w:eastAsia="Arial,Arial,Arial,Arial,Arial,A"/>
              </w:rPr>
              <w:t>*Do not include laboratory claims (claims with POS code 81).</w:t>
            </w:r>
          </w:p>
        </w:tc>
      </w:tr>
      <w:tr w:rsidR="00CD3787" w:rsidRPr="005D4222" w14:paraId="1478EA92" w14:textId="77777777" w:rsidTr="007C3D8B">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0" w:type="dxa"/>
              <w:right w:w="86" w:type="dxa"/>
            </w:tcMar>
          </w:tcPr>
          <w:p w14:paraId="27E89E87" w14:textId="77777777" w:rsidR="00CD3787" w:rsidRPr="005D4222" w:rsidRDefault="00CD3787">
            <w:pPr>
              <w:pStyle w:val="ECDSMarginHead"/>
            </w:pPr>
            <w:r w:rsidRPr="005D4222">
              <w:lastRenderedPageBreak/>
              <w:t xml:space="preserve">Denominator exclusions </w:t>
            </w:r>
          </w:p>
        </w:tc>
        <w:tc>
          <w:tcPr>
            <w:tcW w:w="7561" w:type="dxa"/>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vAlign w:val="center"/>
          </w:tcPr>
          <w:p w14:paraId="22165B31" w14:textId="77777777" w:rsidR="00CD3787" w:rsidRPr="005D4222" w:rsidRDefault="00CD3787">
            <w:pPr>
              <w:pStyle w:val="ECDSBody"/>
              <w:rPr>
                <w:rFonts w:cs="Segoe UI"/>
                <w:szCs w:val="18"/>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p w14:paraId="4EB5187A" w14:textId="77777777" w:rsidR="00CD3787" w:rsidRPr="005D4222" w:rsidRDefault="00CD3787">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CD3787" w:rsidRPr="005D4222" w14:paraId="350D22CF" w14:textId="77777777" w:rsidTr="007C3D8B">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DCBAC3E" w14:textId="77777777" w:rsidR="00CD3787" w:rsidRPr="005D4222" w:rsidRDefault="00CD3787">
            <w:pPr>
              <w:pStyle w:val="ECDSMarginHead"/>
            </w:pPr>
            <w:r w:rsidRPr="005D4222">
              <w:t>Denominator</w:t>
            </w:r>
          </w:p>
        </w:tc>
        <w:tc>
          <w:tcPr>
            <w:tcW w:w="7561"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99BB220" w14:textId="77777777" w:rsidR="00CD3787" w:rsidRPr="005D4222" w:rsidRDefault="00CD3787">
            <w:pPr>
              <w:pStyle w:val="ECDSBody"/>
              <w:rPr>
                <w:b/>
              </w:rPr>
            </w:pPr>
            <w:r w:rsidRPr="005D4222">
              <w:rPr>
                <w:rFonts w:eastAsia="Arial,Arial,Arial,Arial,Arial,A"/>
              </w:rPr>
              <w:t>The initial population minus denominator exclusions.</w:t>
            </w:r>
          </w:p>
        </w:tc>
      </w:tr>
      <w:tr w:rsidR="00CD3787" w:rsidRPr="005D4222" w14:paraId="2AEF0814" w14:textId="77777777" w:rsidTr="007C3D8B">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3FD26FB" w14:textId="77777777" w:rsidR="00CD3787" w:rsidRPr="005D4222" w:rsidRDefault="00CD3787">
            <w:pPr>
              <w:pStyle w:val="ECDSMarginHead"/>
            </w:pPr>
            <w:r w:rsidRPr="005D4222">
              <w:t>Numerator</w:t>
            </w:r>
          </w:p>
        </w:tc>
        <w:tc>
          <w:tcPr>
            <w:tcW w:w="7561"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31CD4579" w14:textId="77777777" w:rsidR="00CD3787" w:rsidRPr="005D4222" w:rsidRDefault="00CD3787">
            <w:pPr>
              <w:pStyle w:val="ECDSBody"/>
            </w:pPr>
            <w:r w:rsidRPr="005D4222">
              <w:rPr>
                <w:b/>
                <w:bCs w:val="0"/>
              </w:rPr>
              <w:t>Antibiotic medication was dispensed.</w:t>
            </w:r>
            <w:r w:rsidRPr="005D4222">
              <w:rPr>
                <w:b/>
                <w:bCs w:val="0"/>
              </w:rPr>
              <w:br/>
            </w:r>
            <w:r w:rsidRPr="005D4222">
              <w:t>Dispensed prescription for an antibiotic medication (</w:t>
            </w:r>
            <w:r w:rsidRPr="005D4222">
              <w:rPr>
                <w:u w:val="single"/>
              </w:rPr>
              <w:t>AAB Antibiotic Medications List</w:t>
            </w:r>
            <w:r w:rsidRPr="005D4222">
              <w:t>) on or 3 days after the episode date.</w:t>
            </w:r>
          </w:p>
        </w:tc>
      </w:tr>
      <w:tr w:rsidR="00CD3787" w:rsidRPr="005D4222" w14:paraId="3B341ED0" w14:textId="77777777" w:rsidTr="007C3D8B">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F15A7EE" w14:textId="77777777" w:rsidR="00CD3787" w:rsidRPr="005D4222" w:rsidRDefault="00CD3787">
            <w:pPr>
              <w:pStyle w:val="ECDSMarginHead"/>
            </w:pPr>
            <w:r w:rsidRPr="005D4222">
              <w:t>Summary of changes</w:t>
            </w:r>
          </w:p>
        </w:tc>
        <w:tc>
          <w:tcPr>
            <w:tcW w:w="7561"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CD825EE" w14:textId="77777777" w:rsidR="00CD3787" w:rsidRPr="005D4222" w:rsidRDefault="00CD3787" w:rsidP="007C3D8B">
            <w:pPr>
              <w:pStyle w:val="ProcessBullet"/>
              <w:spacing w:before="120"/>
            </w:pPr>
            <w:r w:rsidRPr="005D4222">
              <w:t>No changes to this measure.</w:t>
            </w:r>
          </w:p>
        </w:tc>
      </w:tr>
      <w:tr w:rsidR="00CD3787" w:rsidRPr="005D4222" w14:paraId="70B3C5A7" w14:textId="77777777" w:rsidTr="007C3D8B">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98ED512" w14:textId="77777777" w:rsidR="00CD3787" w:rsidRPr="005D4222" w:rsidRDefault="00CD3787">
            <w:pPr>
              <w:pStyle w:val="ECDSMarginHead"/>
            </w:pPr>
            <w:r w:rsidRPr="005D4222">
              <w:t>Data element tables</w:t>
            </w:r>
          </w:p>
        </w:tc>
        <w:tc>
          <w:tcPr>
            <w:tcW w:w="7561"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79106A1" w14:textId="77777777" w:rsidR="00CD3787" w:rsidRPr="005D4222" w:rsidRDefault="00CD3787">
            <w:pPr>
              <w:pStyle w:val="ECDSBody"/>
            </w:pPr>
            <w:r w:rsidRPr="005D4222">
              <w:t xml:space="preserve">Organizations that submit HEDIS data to NCQA must provide the following data elements. </w:t>
            </w:r>
          </w:p>
          <w:p w14:paraId="71B82853" w14:textId="77777777" w:rsidR="00CD3787" w:rsidRPr="005D4222" w:rsidRDefault="00CD3787">
            <w:pPr>
              <w:pStyle w:val="Heading3"/>
              <w:spacing w:before="120"/>
              <w:rPr>
                <w:b w:val="0"/>
                <w:i w:val="0"/>
                <w:szCs w:val="21"/>
              </w:rPr>
            </w:pPr>
            <w:r w:rsidRPr="005D4222">
              <w:t>Table AAB-1/2/3: Data Elements for Avoidance of Antibiotic Treatment for Acute Bronchitis/Bronchiolitis</w:t>
            </w:r>
          </w:p>
          <w:tbl>
            <w:tblPr>
              <w:tblW w:w="740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526"/>
              <w:gridCol w:w="932"/>
              <w:gridCol w:w="1933"/>
              <w:gridCol w:w="2016"/>
            </w:tblGrid>
            <w:tr w:rsidR="00CD3787" w:rsidRPr="005D4222" w14:paraId="26279B2D" w14:textId="77777777">
              <w:trPr>
                <w:trHeight w:val="220"/>
              </w:trPr>
              <w:tc>
                <w:tcPr>
                  <w:tcW w:w="2526"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hideMark/>
                </w:tcPr>
                <w:p w14:paraId="40EFF030" w14:textId="77777777" w:rsidR="00CD3787" w:rsidRPr="005D4222" w:rsidRDefault="00CD3787">
                  <w:pPr>
                    <w:pStyle w:val="TableHead"/>
                    <w:spacing w:before="40" w:after="40"/>
                  </w:pPr>
                  <w:r w:rsidRPr="005D4222">
                    <w:t>Metric</w:t>
                  </w:r>
                </w:p>
              </w:tc>
              <w:tc>
                <w:tcPr>
                  <w:tcW w:w="932"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hideMark/>
                </w:tcPr>
                <w:p w14:paraId="4FDE3AFA" w14:textId="77777777" w:rsidR="00CD3787" w:rsidRPr="005D4222" w:rsidRDefault="00CD3787">
                  <w:pPr>
                    <w:pStyle w:val="TableHead"/>
                    <w:spacing w:before="40" w:after="40"/>
                  </w:pPr>
                  <w:r w:rsidRPr="005D4222">
                    <w:t>Age</w:t>
                  </w:r>
                </w:p>
              </w:tc>
              <w:tc>
                <w:tcPr>
                  <w:tcW w:w="1933"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hideMark/>
                </w:tcPr>
                <w:p w14:paraId="1B8964FC" w14:textId="77777777" w:rsidR="00CD3787" w:rsidRPr="005D4222" w:rsidRDefault="00CD3787">
                  <w:pPr>
                    <w:pStyle w:val="TableHead"/>
                    <w:spacing w:before="40" w:after="40"/>
                  </w:pPr>
                  <w:r w:rsidRPr="005D4222">
                    <w:t>Data Element</w:t>
                  </w:r>
                </w:p>
              </w:tc>
              <w:tc>
                <w:tcPr>
                  <w:tcW w:w="2016"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hideMark/>
                </w:tcPr>
                <w:p w14:paraId="00F3DB10" w14:textId="77777777" w:rsidR="00CD3787" w:rsidRPr="005D4222" w:rsidRDefault="00CD3787">
                  <w:pPr>
                    <w:pStyle w:val="TableHead"/>
                    <w:spacing w:before="40" w:after="40"/>
                  </w:pPr>
                  <w:r w:rsidRPr="005D4222">
                    <w:t>Reporting Instructions</w:t>
                  </w:r>
                </w:p>
              </w:tc>
            </w:tr>
            <w:tr w:rsidR="00CD3787" w:rsidRPr="005D4222" w14:paraId="012C3F25" w14:textId="77777777">
              <w:trPr>
                <w:trHeight w:val="290"/>
              </w:trPr>
              <w:tc>
                <w:tcPr>
                  <w:tcW w:w="2526" w:type="dxa"/>
                  <w:tcBorders>
                    <w:top w:val="single" w:sz="4" w:space="0" w:color="000000" w:themeColor="text1"/>
                    <w:left w:val="single" w:sz="4" w:space="0" w:color="auto"/>
                    <w:bottom w:val="single" w:sz="4" w:space="0" w:color="auto"/>
                    <w:right w:val="single" w:sz="4" w:space="0" w:color="auto"/>
                  </w:tcBorders>
                  <w:hideMark/>
                </w:tcPr>
                <w:p w14:paraId="5878E730" w14:textId="77777777" w:rsidR="00CD3787" w:rsidRPr="005D4222" w:rsidRDefault="00CD3787">
                  <w:pPr>
                    <w:pStyle w:val="TableText"/>
                    <w:spacing w:before="40" w:after="40"/>
                    <w:rPr>
                      <w:rFonts w:cs="Arial"/>
                      <w:szCs w:val="21"/>
                    </w:rPr>
                  </w:pPr>
                  <w:r w:rsidRPr="005D4222">
                    <w:rPr>
                      <w:rFonts w:cs="Arial"/>
                      <w:szCs w:val="21"/>
                    </w:rPr>
                    <w:t>AvoidanceAntibioticTreatment</w:t>
                  </w:r>
                </w:p>
              </w:tc>
              <w:tc>
                <w:tcPr>
                  <w:tcW w:w="932" w:type="dxa"/>
                  <w:tcBorders>
                    <w:top w:val="single" w:sz="4" w:space="0" w:color="000000" w:themeColor="text1"/>
                    <w:left w:val="single" w:sz="4" w:space="0" w:color="auto"/>
                    <w:bottom w:val="single" w:sz="4" w:space="0" w:color="auto"/>
                    <w:right w:val="single" w:sz="4" w:space="0" w:color="auto"/>
                  </w:tcBorders>
                  <w:hideMark/>
                </w:tcPr>
                <w:p w14:paraId="3149F99D" w14:textId="77777777" w:rsidR="00CD3787" w:rsidRPr="005D4222" w:rsidRDefault="00CD3787">
                  <w:pPr>
                    <w:pStyle w:val="TableText"/>
                    <w:spacing w:before="40" w:after="40"/>
                    <w:rPr>
                      <w:rFonts w:cs="Arial"/>
                      <w:szCs w:val="21"/>
                    </w:rPr>
                  </w:pPr>
                  <w:r w:rsidRPr="005D4222">
                    <w:rPr>
                      <w:rFonts w:cs="Arial"/>
                      <w:szCs w:val="21"/>
                    </w:rPr>
                    <w:t>3m-17</w:t>
                  </w:r>
                </w:p>
              </w:tc>
              <w:tc>
                <w:tcPr>
                  <w:tcW w:w="1933" w:type="dxa"/>
                  <w:tcBorders>
                    <w:top w:val="single" w:sz="4" w:space="0" w:color="000000" w:themeColor="text1"/>
                    <w:left w:val="single" w:sz="4" w:space="0" w:color="auto"/>
                    <w:bottom w:val="single" w:sz="4" w:space="0" w:color="auto"/>
                    <w:right w:val="single" w:sz="4" w:space="0" w:color="auto"/>
                  </w:tcBorders>
                  <w:hideMark/>
                </w:tcPr>
                <w:p w14:paraId="7DF9BDAB" w14:textId="77777777" w:rsidR="00CD3787" w:rsidRPr="005D4222" w:rsidRDefault="00CD3787">
                  <w:pPr>
                    <w:pStyle w:val="TableText"/>
                    <w:spacing w:before="40" w:after="40"/>
                    <w:rPr>
                      <w:rFonts w:cs="Arial"/>
                      <w:szCs w:val="21"/>
                    </w:rPr>
                  </w:pPr>
                  <w:r w:rsidRPr="005D4222">
                    <w:rPr>
                      <w:rFonts w:cs="Arial"/>
                      <w:szCs w:val="21"/>
                    </w:rPr>
                    <w:t>Benefit</w:t>
                  </w:r>
                </w:p>
              </w:tc>
              <w:tc>
                <w:tcPr>
                  <w:tcW w:w="2016" w:type="dxa"/>
                  <w:tcBorders>
                    <w:top w:val="single" w:sz="4" w:space="0" w:color="000000" w:themeColor="text1"/>
                    <w:left w:val="single" w:sz="4" w:space="0" w:color="auto"/>
                    <w:bottom w:val="single" w:sz="6" w:space="0" w:color="auto"/>
                    <w:right w:val="single" w:sz="4" w:space="0" w:color="auto"/>
                  </w:tcBorders>
                  <w:hideMark/>
                </w:tcPr>
                <w:p w14:paraId="70EE4DD1" w14:textId="77777777" w:rsidR="00CD3787" w:rsidRPr="005D4222" w:rsidRDefault="00CD3787">
                  <w:pPr>
                    <w:pStyle w:val="TableText"/>
                    <w:spacing w:before="40" w:after="40"/>
                    <w:rPr>
                      <w:rFonts w:eastAsia="Wingdings" w:cs="Arial"/>
                      <w:szCs w:val="21"/>
                    </w:rPr>
                  </w:pPr>
                  <w:r w:rsidRPr="005D4222">
                    <w:rPr>
                      <w:rFonts w:eastAsia="Wingdings" w:cs="Arial"/>
                      <w:szCs w:val="21"/>
                    </w:rPr>
                    <w:t>Metadata</w:t>
                  </w:r>
                </w:p>
              </w:tc>
            </w:tr>
            <w:tr w:rsidR="00CD3787" w:rsidRPr="005D4222" w14:paraId="51E8B30C" w14:textId="77777777">
              <w:trPr>
                <w:trHeight w:val="290"/>
              </w:trPr>
              <w:tc>
                <w:tcPr>
                  <w:tcW w:w="2526" w:type="dxa"/>
                  <w:tcBorders>
                    <w:top w:val="single" w:sz="4" w:space="0" w:color="auto"/>
                    <w:left w:val="nil"/>
                    <w:bottom w:val="nil"/>
                    <w:right w:val="single" w:sz="4" w:space="0" w:color="auto"/>
                  </w:tcBorders>
                  <w:shd w:val="clear" w:color="auto" w:fill="FFFFFF" w:themeFill="background1"/>
                </w:tcPr>
                <w:p w14:paraId="197F176E" w14:textId="77777777" w:rsidR="00CD3787" w:rsidRPr="005D4222" w:rsidRDefault="00CD3787">
                  <w:pPr>
                    <w:pStyle w:val="TableText"/>
                    <w:spacing w:before="40" w:after="40"/>
                    <w:rPr>
                      <w:rFonts w:cs="Arial"/>
                      <w:szCs w:val="21"/>
                    </w:rPr>
                  </w:pPr>
                </w:p>
              </w:tc>
              <w:tc>
                <w:tcPr>
                  <w:tcW w:w="93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BB29826" w14:textId="77777777" w:rsidR="00CD3787" w:rsidRPr="005D4222" w:rsidRDefault="00CD3787">
                  <w:pPr>
                    <w:pStyle w:val="TableText"/>
                    <w:spacing w:before="40" w:after="40"/>
                    <w:rPr>
                      <w:rFonts w:cs="Arial"/>
                      <w:szCs w:val="21"/>
                    </w:rPr>
                  </w:pPr>
                  <w:r w:rsidRPr="005D4222">
                    <w:rPr>
                      <w:rFonts w:cs="Arial"/>
                      <w:szCs w:val="21"/>
                    </w:rPr>
                    <w:t>18-64</w:t>
                  </w:r>
                </w:p>
              </w:tc>
              <w:tc>
                <w:tcPr>
                  <w:tcW w:w="193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D83D032" w14:textId="77777777" w:rsidR="00CD3787" w:rsidRPr="005D4222" w:rsidRDefault="00CD3787">
                  <w:pPr>
                    <w:pStyle w:val="TableText"/>
                    <w:spacing w:before="40" w:after="40"/>
                    <w:rPr>
                      <w:rFonts w:cs="Arial"/>
                      <w:szCs w:val="21"/>
                    </w:rPr>
                  </w:pPr>
                  <w:r w:rsidRPr="005D4222">
                    <w:rPr>
                      <w:rFonts w:cs="Arial"/>
                      <w:szCs w:val="21"/>
                    </w:rPr>
                    <w:t>InitialPopulation</w:t>
                  </w:r>
                </w:p>
              </w:tc>
              <w:tc>
                <w:tcPr>
                  <w:tcW w:w="2016"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54D6DCFD" w14:textId="77777777" w:rsidR="00CD3787" w:rsidRPr="005D4222" w:rsidRDefault="00CD3787">
                  <w:pPr>
                    <w:pStyle w:val="TableText"/>
                    <w:spacing w:before="40" w:after="40"/>
                    <w:rPr>
                      <w:rFonts w:eastAsia="Wingdings" w:cs="Arial"/>
                      <w:szCs w:val="21"/>
                    </w:rPr>
                  </w:pPr>
                  <w:r w:rsidRPr="005D4222">
                    <w:rPr>
                      <w:rFonts w:eastAsia="Wingdings" w:cs="Arial"/>
                      <w:szCs w:val="21"/>
                    </w:rPr>
                    <w:t>For each Stratification</w:t>
                  </w:r>
                </w:p>
              </w:tc>
            </w:tr>
            <w:tr w:rsidR="00CD3787" w:rsidRPr="005D4222" w14:paraId="38EB29A4" w14:textId="77777777">
              <w:trPr>
                <w:trHeight w:val="290"/>
              </w:trPr>
              <w:tc>
                <w:tcPr>
                  <w:tcW w:w="2526" w:type="dxa"/>
                  <w:tcBorders>
                    <w:top w:val="nil"/>
                    <w:left w:val="nil"/>
                    <w:bottom w:val="nil"/>
                    <w:right w:val="nil"/>
                  </w:tcBorders>
                  <w:shd w:val="clear" w:color="auto" w:fill="FFFFFF" w:themeFill="background1"/>
                </w:tcPr>
                <w:p w14:paraId="6729A4BB" w14:textId="77777777" w:rsidR="00CD3787" w:rsidRPr="005D4222" w:rsidRDefault="00CD3787">
                  <w:pPr>
                    <w:pStyle w:val="TableText"/>
                    <w:spacing w:before="40" w:after="40"/>
                    <w:rPr>
                      <w:rFonts w:cs="Arial"/>
                      <w:szCs w:val="21"/>
                    </w:rPr>
                  </w:pPr>
                </w:p>
              </w:tc>
              <w:tc>
                <w:tcPr>
                  <w:tcW w:w="932" w:type="dxa"/>
                  <w:tcBorders>
                    <w:top w:val="single" w:sz="4" w:space="0" w:color="auto"/>
                    <w:left w:val="single" w:sz="4" w:space="0" w:color="auto"/>
                    <w:bottom w:val="single" w:sz="4" w:space="0" w:color="auto"/>
                    <w:right w:val="single" w:sz="4" w:space="0" w:color="auto"/>
                  </w:tcBorders>
                  <w:hideMark/>
                </w:tcPr>
                <w:p w14:paraId="43A17DD0" w14:textId="77777777" w:rsidR="00CD3787" w:rsidRPr="005D4222" w:rsidRDefault="00CD3787">
                  <w:pPr>
                    <w:pStyle w:val="TableText"/>
                    <w:spacing w:before="40" w:after="40"/>
                    <w:rPr>
                      <w:rFonts w:cs="Arial"/>
                      <w:szCs w:val="21"/>
                    </w:rPr>
                  </w:pPr>
                  <w:r w:rsidRPr="005D4222">
                    <w:rPr>
                      <w:rFonts w:cs="Arial"/>
                      <w:szCs w:val="21"/>
                    </w:rPr>
                    <w:t>65+</w:t>
                  </w:r>
                </w:p>
              </w:tc>
              <w:tc>
                <w:tcPr>
                  <w:tcW w:w="193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5647346" w14:textId="77777777" w:rsidR="00CD3787" w:rsidRPr="005D4222" w:rsidRDefault="00CD3787">
                  <w:pPr>
                    <w:pStyle w:val="TableText"/>
                    <w:spacing w:before="40" w:after="40"/>
                    <w:rPr>
                      <w:rFonts w:cs="Arial"/>
                    </w:rPr>
                  </w:pPr>
                  <w:r w:rsidRPr="005D4222">
                    <w:rPr>
                      <w:rFonts w:cs="Arial"/>
                    </w:rPr>
                    <w:t>Exclusions</w:t>
                  </w:r>
                </w:p>
              </w:tc>
              <w:tc>
                <w:tcPr>
                  <w:tcW w:w="2016"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19A70EB0" w14:textId="77777777" w:rsidR="00CD3787" w:rsidRPr="005D4222" w:rsidRDefault="00CD3787">
                  <w:pPr>
                    <w:pStyle w:val="TableText"/>
                    <w:spacing w:before="40" w:after="40"/>
                    <w:rPr>
                      <w:rFonts w:eastAsia="Wingdings" w:cs="Arial"/>
                      <w:szCs w:val="21"/>
                    </w:rPr>
                  </w:pPr>
                  <w:r w:rsidRPr="005D4222">
                    <w:rPr>
                      <w:rFonts w:eastAsia="Wingdings" w:cs="Arial"/>
                      <w:szCs w:val="21"/>
                    </w:rPr>
                    <w:t>For each Stratification</w:t>
                  </w:r>
                </w:p>
              </w:tc>
            </w:tr>
            <w:tr w:rsidR="00CD3787" w:rsidRPr="005D4222" w14:paraId="2AB9ECDC" w14:textId="77777777">
              <w:trPr>
                <w:trHeight w:val="301"/>
              </w:trPr>
              <w:tc>
                <w:tcPr>
                  <w:tcW w:w="2526" w:type="dxa"/>
                  <w:tcBorders>
                    <w:top w:val="nil"/>
                    <w:left w:val="nil"/>
                    <w:bottom w:val="nil"/>
                    <w:right w:val="nil"/>
                  </w:tcBorders>
                  <w:shd w:val="clear" w:color="auto" w:fill="FFFFFF" w:themeFill="background1"/>
                </w:tcPr>
                <w:p w14:paraId="30A938CB" w14:textId="77777777" w:rsidR="00CD3787" w:rsidRPr="005D4222" w:rsidRDefault="00CD3787">
                  <w:pPr>
                    <w:pStyle w:val="TableText"/>
                    <w:spacing w:before="40" w:after="40"/>
                    <w:rPr>
                      <w:rFonts w:cs="Arial"/>
                      <w:szCs w:val="21"/>
                    </w:rPr>
                  </w:pPr>
                </w:p>
              </w:tc>
              <w:tc>
                <w:tcPr>
                  <w:tcW w:w="9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F490C5" w14:textId="77777777" w:rsidR="00CD3787" w:rsidRPr="005D4222" w:rsidRDefault="00CD3787">
                  <w:pPr>
                    <w:pStyle w:val="TableText"/>
                    <w:spacing w:before="40" w:after="40"/>
                    <w:rPr>
                      <w:rFonts w:cs="Arial"/>
                      <w:szCs w:val="21"/>
                    </w:rPr>
                  </w:pPr>
                  <w:r w:rsidRPr="005D4222">
                    <w:rPr>
                      <w:rFonts w:cs="Arial"/>
                      <w:szCs w:val="21"/>
                    </w:rPr>
                    <w:t>Total</w:t>
                  </w:r>
                </w:p>
              </w:tc>
              <w:tc>
                <w:tcPr>
                  <w:tcW w:w="193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F62CB47" w14:textId="77777777" w:rsidR="00CD3787" w:rsidRPr="005D4222" w:rsidRDefault="00CD3787">
                  <w:pPr>
                    <w:pStyle w:val="TableText"/>
                    <w:spacing w:before="40" w:after="40"/>
                    <w:rPr>
                      <w:rFonts w:cs="Arial"/>
                      <w:szCs w:val="21"/>
                    </w:rPr>
                  </w:pPr>
                  <w:r w:rsidRPr="005D4222">
                    <w:rPr>
                      <w:rFonts w:cs="Arial"/>
                      <w:szCs w:val="21"/>
                    </w:rPr>
                    <w:t>Denominator</w:t>
                  </w:r>
                </w:p>
              </w:tc>
              <w:tc>
                <w:tcPr>
                  <w:tcW w:w="2016"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1C1D4A59" w14:textId="77777777" w:rsidR="00CD3787" w:rsidRPr="005D4222" w:rsidRDefault="00CD3787">
                  <w:pPr>
                    <w:pStyle w:val="TableText"/>
                    <w:spacing w:before="40" w:after="40"/>
                    <w:rPr>
                      <w:rFonts w:eastAsia="Wingdings" w:cs="Arial"/>
                      <w:szCs w:val="21"/>
                    </w:rPr>
                  </w:pPr>
                  <w:r w:rsidRPr="005D4222">
                    <w:rPr>
                      <w:rFonts w:eastAsia="Wingdings" w:cs="Arial"/>
                      <w:szCs w:val="21"/>
                    </w:rPr>
                    <w:t>For each Stratification</w:t>
                  </w:r>
                </w:p>
              </w:tc>
            </w:tr>
            <w:tr w:rsidR="00CD3787" w:rsidRPr="005D4222" w14:paraId="3FF0F055" w14:textId="77777777">
              <w:trPr>
                <w:trHeight w:val="290"/>
              </w:trPr>
              <w:tc>
                <w:tcPr>
                  <w:tcW w:w="2526" w:type="dxa"/>
                  <w:tcBorders>
                    <w:top w:val="nil"/>
                    <w:left w:val="nil"/>
                    <w:bottom w:val="nil"/>
                    <w:right w:val="nil"/>
                  </w:tcBorders>
                  <w:shd w:val="clear" w:color="auto" w:fill="FFFFFF" w:themeFill="background1"/>
                </w:tcPr>
                <w:p w14:paraId="39C07410" w14:textId="77777777" w:rsidR="00CD3787" w:rsidRPr="005D4222" w:rsidRDefault="00CD3787">
                  <w:pPr>
                    <w:pStyle w:val="TableText"/>
                    <w:spacing w:before="40" w:after="40"/>
                    <w:rPr>
                      <w:rFonts w:cs="Arial"/>
                      <w:szCs w:val="21"/>
                    </w:rPr>
                  </w:pPr>
                </w:p>
              </w:tc>
              <w:tc>
                <w:tcPr>
                  <w:tcW w:w="932" w:type="dxa"/>
                  <w:tcBorders>
                    <w:top w:val="single" w:sz="4" w:space="0" w:color="auto"/>
                    <w:left w:val="nil"/>
                    <w:bottom w:val="nil"/>
                    <w:right w:val="single" w:sz="4" w:space="0" w:color="auto"/>
                  </w:tcBorders>
                  <w:shd w:val="clear" w:color="auto" w:fill="FFFFFF" w:themeFill="background1"/>
                </w:tcPr>
                <w:p w14:paraId="27314FDF" w14:textId="77777777" w:rsidR="00CD3787" w:rsidRPr="005D4222" w:rsidRDefault="00CD3787">
                  <w:pPr>
                    <w:pStyle w:val="TableText"/>
                    <w:spacing w:before="40" w:after="40"/>
                    <w:rPr>
                      <w:rFonts w:cs="Arial"/>
                      <w:szCs w:val="21"/>
                    </w:rPr>
                  </w:pPr>
                </w:p>
              </w:tc>
              <w:tc>
                <w:tcPr>
                  <w:tcW w:w="1933" w:type="dxa"/>
                  <w:tcBorders>
                    <w:top w:val="single" w:sz="4" w:space="0" w:color="auto"/>
                    <w:left w:val="single" w:sz="4" w:space="0" w:color="auto"/>
                    <w:bottom w:val="single" w:sz="4" w:space="0" w:color="auto"/>
                    <w:right w:val="single" w:sz="4" w:space="0" w:color="auto"/>
                  </w:tcBorders>
                  <w:shd w:val="clear" w:color="auto" w:fill="FFFFFF" w:themeFill="background1"/>
                </w:tcPr>
                <w:p w14:paraId="29D1F17C" w14:textId="77777777" w:rsidR="00CD3787" w:rsidRPr="005D4222" w:rsidRDefault="00CD3787">
                  <w:pPr>
                    <w:pStyle w:val="TableText"/>
                    <w:spacing w:before="40" w:after="40"/>
                    <w:rPr>
                      <w:rFonts w:cs="Arial"/>
                      <w:szCs w:val="21"/>
                    </w:rPr>
                  </w:pPr>
                  <w:r w:rsidRPr="005D4222">
                    <w:rPr>
                      <w:rFonts w:cs="Arial"/>
                      <w:szCs w:val="21"/>
                    </w:rPr>
                    <w:t>NumeratorByAdmin</w:t>
                  </w:r>
                </w:p>
              </w:tc>
              <w:tc>
                <w:tcPr>
                  <w:tcW w:w="2016" w:type="dxa"/>
                  <w:tcBorders>
                    <w:top w:val="single" w:sz="6" w:space="0" w:color="auto"/>
                    <w:left w:val="single" w:sz="4" w:space="0" w:color="auto"/>
                    <w:bottom w:val="single" w:sz="6" w:space="0" w:color="auto"/>
                    <w:right w:val="single" w:sz="4" w:space="0" w:color="auto"/>
                  </w:tcBorders>
                  <w:shd w:val="clear" w:color="auto" w:fill="FFFFFF" w:themeFill="background1"/>
                </w:tcPr>
                <w:p w14:paraId="7629E2DB" w14:textId="77777777" w:rsidR="00CD3787" w:rsidRPr="005D4222" w:rsidRDefault="00CD3787">
                  <w:pPr>
                    <w:pStyle w:val="TableText"/>
                    <w:spacing w:before="40" w:after="40"/>
                    <w:rPr>
                      <w:rFonts w:eastAsia="Wingdings" w:cs="Arial"/>
                      <w:szCs w:val="21"/>
                    </w:rPr>
                  </w:pPr>
                  <w:r w:rsidRPr="005D4222">
                    <w:rPr>
                      <w:rFonts w:eastAsia="Wingdings" w:cs="Arial"/>
                      <w:szCs w:val="21"/>
                    </w:rPr>
                    <w:t>For each Stratification</w:t>
                  </w:r>
                </w:p>
              </w:tc>
            </w:tr>
            <w:tr w:rsidR="00CD3787" w:rsidRPr="005D4222" w14:paraId="7E715DD2" w14:textId="77777777">
              <w:trPr>
                <w:trHeight w:val="290"/>
              </w:trPr>
              <w:tc>
                <w:tcPr>
                  <w:tcW w:w="2526" w:type="dxa"/>
                  <w:tcBorders>
                    <w:top w:val="nil"/>
                    <w:left w:val="nil"/>
                    <w:bottom w:val="nil"/>
                    <w:right w:val="nil"/>
                  </w:tcBorders>
                  <w:shd w:val="clear" w:color="auto" w:fill="FFFFFF" w:themeFill="background1"/>
                </w:tcPr>
                <w:p w14:paraId="1940C1A0" w14:textId="77777777" w:rsidR="00CD3787" w:rsidRPr="005D4222" w:rsidRDefault="00CD3787">
                  <w:pPr>
                    <w:pStyle w:val="TableText"/>
                    <w:spacing w:before="40" w:after="40"/>
                    <w:rPr>
                      <w:rFonts w:cs="Arial"/>
                      <w:szCs w:val="21"/>
                    </w:rPr>
                  </w:pPr>
                </w:p>
              </w:tc>
              <w:tc>
                <w:tcPr>
                  <w:tcW w:w="932" w:type="dxa"/>
                  <w:tcBorders>
                    <w:top w:val="nil"/>
                    <w:left w:val="nil"/>
                    <w:bottom w:val="nil"/>
                    <w:right w:val="single" w:sz="4" w:space="0" w:color="auto"/>
                  </w:tcBorders>
                  <w:shd w:val="clear" w:color="auto" w:fill="FFFFFF" w:themeFill="background1"/>
                </w:tcPr>
                <w:p w14:paraId="6450DB4F" w14:textId="77777777" w:rsidR="00CD3787" w:rsidRPr="005D4222" w:rsidRDefault="00CD3787">
                  <w:pPr>
                    <w:pStyle w:val="TableText"/>
                    <w:spacing w:before="40" w:after="40"/>
                    <w:rPr>
                      <w:rFonts w:cs="Arial"/>
                      <w:szCs w:val="21"/>
                    </w:rPr>
                  </w:pPr>
                </w:p>
              </w:tc>
              <w:tc>
                <w:tcPr>
                  <w:tcW w:w="193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CFA4AC8" w14:textId="77777777" w:rsidR="00CD3787" w:rsidRPr="005D4222" w:rsidRDefault="00CD3787">
                  <w:pPr>
                    <w:pStyle w:val="TableText"/>
                    <w:spacing w:before="40" w:after="40"/>
                    <w:rPr>
                      <w:rFonts w:cs="Arial"/>
                      <w:szCs w:val="21"/>
                    </w:rPr>
                  </w:pPr>
                  <w:r w:rsidRPr="005D4222">
                    <w:rPr>
                      <w:rFonts w:cs="Arial"/>
                      <w:szCs w:val="21"/>
                    </w:rPr>
                    <w:t>Rate</w:t>
                  </w:r>
                </w:p>
              </w:tc>
              <w:tc>
                <w:tcPr>
                  <w:tcW w:w="2016" w:type="dxa"/>
                  <w:tcBorders>
                    <w:top w:val="single" w:sz="6" w:space="0" w:color="auto"/>
                    <w:left w:val="single" w:sz="4" w:space="0" w:color="auto"/>
                    <w:bottom w:val="single" w:sz="6" w:space="0" w:color="auto"/>
                    <w:right w:val="single" w:sz="4" w:space="0" w:color="auto"/>
                  </w:tcBorders>
                  <w:shd w:val="clear" w:color="auto" w:fill="D9D9D9" w:themeFill="background1" w:themeFillShade="D9"/>
                </w:tcPr>
                <w:p w14:paraId="79138F67" w14:textId="77777777" w:rsidR="00CD3787" w:rsidRPr="005D4222" w:rsidRDefault="00CD3787">
                  <w:pPr>
                    <w:pStyle w:val="TableText"/>
                    <w:spacing w:before="40" w:after="40"/>
                    <w:rPr>
                      <w:rFonts w:eastAsia="Wingdings" w:cs="Arial"/>
                      <w:szCs w:val="21"/>
                    </w:rPr>
                  </w:pPr>
                  <w:r w:rsidRPr="005D4222">
                    <w:rPr>
                      <w:rFonts w:eastAsia="Wingdings" w:cs="Arial"/>
                      <w:szCs w:val="21"/>
                    </w:rPr>
                    <w:t>(Percent)</w:t>
                  </w:r>
                </w:p>
              </w:tc>
            </w:tr>
          </w:tbl>
          <w:p w14:paraId="5E2947C9" w14:textId="77777777" w:rsidR="00CD3787" w:rsidRPr="005D4222" w:rsidRDefault="00CD3787">
            <w:pPr>
              <w:pStyle w:val="ProcessDash"/>
              <w:numPr>
                <w:ilvl w:val="0"/>
                <w:numId w:val="0"/>
              </w:numPr>
              <w:rPr>
                <w:rFonts w:cs="Arial"/>
                <w:color w:val="000000" w:themeColor="text1"/>
                <w:highlight w:val="yellow"/>
              </w:rPr>
            </w:pPr>
          </w:p>
        </w:tc>
      </w:tr>
      <w:tr w:rsidR="00CD3787" w:rsidRPr="005D4222" w14:paraId="5664DE6C" w14:textId="77777777" w:rsidTr="007C3D8B">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0" w:type="dxa"/>
              <w:right w:w="86" w:type="dxa"/>
            </w:tcMar>
          </w:tcPr>
          <w:p w14:paraId="3BB29D7E" w14:textId="77777777" w:rsidR="00CD3787" w:rsidRPr="005D4222" w:rsidRDefault="00CD3787">
            <w:pPr>
              <w:pStyle w:val="ECDSMarginHead"/>
            </w:pPr>
            <w:r w:rsidRPr="005D4222">
              <w:t>Rules for Allowable Adjustments</w:t>
            </w:r>
          </w:p>
        </w:tc>
        <w:tc>
          <w:tcPr>
            <w:tcW w:w="7561" w:type="dxa"/>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tcPr>
          <w:p w14:paraId="4E50AE22" w14:textId="77777777" w:rsidR="00CD3787" w:rsidRPr="005D4222" w:rsidRDefault="00CD3787">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65039B2C" w14:textId="1AA5FD29" w:rsidR="007C3D8B" w:rsidRPr="005D4222" w:rsidRDefault="00CD3787" w:rsidP="007C3D8B">
            <w:pPr>
              <w:pStyle w:val="ECDSBody"/>
            </w:pPr>
            <w:r w:rsidRPr="005D4222">
              <w:rPr>
                <w:b/>
              </w:rPr>
              <w:t>Adjusted HEDIS measures may not be used for HEDIS health plan reporting.</w:t>
            </w:r>
          </w:p>
        </w:tc>
      </w:tr>
      <w:tr w:rsidR="00CD3787" w:rsidRPr="005D4222" w14:paraId="6DC0839B" w14:textId="77777777" w:rsidTr="007C3D8B">
        <w:tblPrEx>
          <w:tblBorders>
            <w:top w:val="single" w:sz="4" w:space="0" w:color="auto"/>
            <w:bottom w:val="single" w:sz="4" w:space="0" w:color="auto"/>
            <w:right w:val="single" w:sz="4" w:space="0" w:color="auto"/>
            <w:insideH w:val="single" w:sz="4" w:space="0" w:color="auto"/>
            <w:insideV w:val="single" w:sz="4" w:space="0" w:color="auto"/>
          </w:tblBorders>
        </w:tblPrEx>
        <w:tc>
          <w:tcPr>
            <w:tcW w:w="2157" w:type="dxa"/>
            <w:shd w:val="clear" w:color="auto" w:fill="BFBFBF" w:themeFill="background1" w:themeFillShade="BF"/>
            <w:tcMar>
              <w:top w:w="0" w:type="dxa"/>
              <w:left w:w="86" w:type="dxa"/>
              <w:bottom w:w="0" w:type="dxa"/>
              <w:right w:w="86" w:type="dxa"/>
            </w:tcMar>
          </w:tcPr>
          <w:p w14:paraId="33D094A7" w14:textId="77777777" w:rsidR="00CD3787" w:rsidRPr="005D4222" w:rsidRDefault="00CD3787">
            <w:pPr>
              <w:pStyle w:val="ECDSMarginHead"/>
            </w:pPr>
          </w:p>
        </w:tc>
        <w:tc>
          <w:tcPr>
            <w:tcW w:w="7561" w:type="dxa"/>
            <w:tcMar>
              <w:top w:w="0" w:type="dxa"/>
              <w:left w:w="86" w:type="dxa"/>
              <w:bottom w:w="0" w:type="dxa"/>
              <w:right w:w="86" w:type="dxa"/>
            </w:tcMar>
          </w:tcPr>
          <w:p w14:paraId="38D50C1C" w14:textId="77777777" w:rsidR="007C3D8B" w:rsidRPr="005D4222" w:rsidRDefault="007C3D8B" w:rsidP="00B24D0D">
            <w:pPr>
              <w:pStyle w:val="Adjustments"/>
              <w:spacing w:before="120"/>
            </w:pPr>
            <w:r w:rsidRPr="005D4222">
              <w:t>Adjustments</w:t>
            </w:r>
            <w:r w:rsidRPr="005D4222">
              <w:rPr>
                <w:bCs/>
              </w:rPr>
              <w:t xml:space="preserve"> a</w:t>
            </w:r>
            <w:r w:rsidRPr="005D4222">
              <w:t>llowed</w:t>
            </w:r>
          </w:p>
          <w:p w14:paraId="603E7007" w14:textId="78AC925D" w:rsidR="007C3D8B" w:rsidRPr="005D4222" w:rsidRDefault="007C3D8B" w:rsidP="007C3D8B">
            <w:pPr>
              <w:pStyle w:val="ProcessBullet"/>
              <w:rPr>
                <w:b/>
              </w:rPr>
            </w:pPr>
            <w:r w:rsidRPr="005D4222">
              <w:rPr>
                <w:i/>
                <w:iCs/>
              </w:rPr>
              <w:t>Product lines</w:t>
            </w:r>
            <w:r w:rsidRPr="005D4222">
              <w:t>. Organizations are not required to use product line criteria; product lines may be combined</w:t>
            </w:r>
            <w:r w:rsidR="00E8671F" w:rsidRPr="005D4222">
              <w:t>,</w:t>
            </w:r>
            <w:r w:rsidRPr="005D4222">
              <w:t xml:space="preserve"> and all (or no) product line criteria may be used.</w:t>
            </w:r>
          </w:p>
          <w:p w14:paraId="565C9EEC" w14:textId="7F3C74D1" w:rsidR="007C3D8B" w:rsidRPr="005D4222" w:rsidRDefault="007C3D8B" w:rsidP="007C3D8B">
            <w:pPr>
              <w:pStyle w:val="ProcessBullet"/>
              <w:spacing w:after="80"/>
            </w:pPr>
            <w:r w:rsidRPr="005D4222">
              <w:rPr>
                <w:i/>
                <w:iCs/>
              </w:rPr>
              <w:t xml:space="preserve">Attribution. </w:t>
            </w:r>
            <w:r w:rsidRPr="005D4222">
              <w:t xml:space="preserve">Organizations are not required to use enrollment criteria. </w:t>
            </w:r>
          </w:p>
          <w:p w14:paraId="63E39452" w14:textId="7A4990CD" w:rsidR="00CD3787" w:rsidRPr="005D4222" w:rsidRDefault="00362E76">
            <w:pPr>
              <w:pStyle w:val="ProcessBullet"/>
              <w:spacing w:before="120"/>
              <w:rPr>
                <w:bCs/>
                <w:i/>
                <w:iCs/>
              </w:rPr>
            </w:pPr>
            <w:r w:rsidRPr="005D4222">
              <w:rPr>
                <w:bCs/>
                <w:i/>
                <w:iCs/>
              </w:rPr>
              <w:t>Benefits.</w:t>
            </w:r>
            <w:r w:rsidR="00CD3787" w:rsidRPr="005D4222">
              <w:rPr>
                <w:bCs/>
                <w:i/>
                <w:iCs/>
              </w:rPr>
              <w:t xml:space="preserve"> </w:t>
            </w:r>
            <w:r w:rsidR="00CD3787" w:rsidRPr="005D4222">
              <w:t>Organizations are not required to use a benefit.</w:t>
            </w:r>
          </w:p>
          <w:p w14:paraId="2CBDFCD6" w14:textId="77777777" w:rsidR="00CD3787" w:rsidRPr="005D4222" w:rsidRDefault="00CD3787">
            <w:pPr>
              <w:pStyle w:val="ProcessBullet"/>
              <w:rPr>
                <w:b/>
                <w:bCs/>
                <w:color w:val="000000" w:themeColor="text1"/>
              </w:rPr>
            </w:pPr>
            <w:r w:rsidRPr="005D4222">
              <w:rPr>
                <w:i/>
              </w:rPr>
              <w:t>Other.</w:t>
            </w:r>
            <w:r w:rsidRPr="005D4222">
              <w:t xml:space="preserve"> Organizations may use additional initial population criteria to focus on an area of interest defined by gender, race, ethnicity, socioeconomic or sociodemographic characteristics, geographic region or another characteristic.</w:t>
            </w:r>
          </w:p>
          <w:p w14:paraId="01A47BF3" w14:textId="77777777" w:rsidR="002F0D6B" w:rsidRPr="005D4222" w:rsidRDefault="00CD3787">
            <w:pPr>
              <w:pStyle w:val="ProcessBullet"/>
              <w:rPr>
                <w:b/>
                <w:bCs/>
                <w:color w:val="000000" w:themeColor="text1"/>
              </w:rPr>
            </w:pPr>
            <w:r w:rsidRPr="005D4222">
              <w:rPr>
                <w:i/>
              </w:rPr>
              <w:t xml:space="preserve">Measurement </w:t>
            </w:r>
            <w:r w:rsidRPr="005D4222">
              <w:rPr>
                <w:i/>
                <w:iCs/>
              </w:rPr>
              <w:t>period a</w:t>
            </w:r>
            <w:r w:rsidRPr="005D4222">
              <w:rPr>
                <w:i/>
              </w:rPr>
              <w:t>djustments.</w:t>
            </w:r>
            <w:r w:rsidRPr="005D4222">
              <w:t xml:space="preserve"> Organizations may adjust the measurement period. </w:t>
            </w:r>
          </w:p>
          <w:p w14:paraId="0F995890" w14:textId="1FF67FBC" w:rsidR="00CD3787" w:rsidRPr="005D4222" w:rsidRDefault="002F0D6B" w:rsidP="002F0D6B">
            <w:pPr>
              <w:pStyle w:val="ProcessBullet"/>
              <w:numPr>
                <w:ilvl w:val="0"/>
                <w:numId w:val="0"/>
              </w:numPr>
              <w:ind w:left="216"/>
              <w:rPr>
                <w:b/>
                <w:bCs/>
                <w:color w:val="000000" w:themeColor="text1"/>
              </w:rPr>
            </w:pPr>
            <w:r w:rsidRPr="005D4222">
              <w:rPr>
                <w:b/>
                <w:bCs/>
                <w:i/>
              </w:rPr>
              <w:t>Note</w:t>
            </w:r>
            <w:r w:rsidRPr="005D4222">
              <w:rPr>
                <w:i/>
              </w:rPr>
              <w:t xml:space="preserve">: </w:t>
            </w:r>
            <w:r w:rsidR="008231EF" w:rsidRPr="005D4222">
              <w:rPr>
                <w:i/>
              </w:rPr>
              <w:t>Changes to these criteria can affect how the events/diagnoses will be calculated using the intake period, episode date, IESD, negative medication history, negative competing diagnosis, negative comorbid condition history</w:t>
            </w:r>
            <w:r w:rsidR="008231EF" w:rsidRPr="005D4222">
              <w:t>.</w:t>
            </w:r>
          </w:p>
          <w:p w14:paraId="08E75658" w14:textId="18D267E3" w:rsidR="00CD3787" w:rsidRPr="005D4222" w:rsidRDefault="00CD3787">
            <w:pPr>
              <w:pStyle w:val="ProcessBullet"/>
              <w:rPr>
                <w:b/>
                <w:bCs/>
                <w:color w:val="000000" w:themeColor="text1"/>
              </w:rPr>
            </w:pPr>
            <w:r w:rsidRPr="005D4222">
              <w:rPr>
                <w:i/>
              </w:rPr>
              <w:t>Exclusions.</w:t>
            </w:r>
            <w:r w:rsidRPr="005D4222">
              <w:t xml:space="preserve"> </w:t>
            </w:r>
            <w:r w:rsidR="00DB0C83" w:rsidRPr="005D4222">
              <w:t>The h</w:t>
            </w:r>
            <w:r w:rsidRPr="005D4222">
              <w:t xml:space="preserve">ospice and deceased person exclusions are not required. </w:t>
            </w:r>
          </w:p>
          <w:p w14:paraId="2DE83321" w14:textId="77777777" w:rsidR="00CD3787" w:rsidRPr="005D4222" w:rsidRDefault="00CD3787">
            <w:pPr>
              <w:pStyle w:val="ProcessBullet"/>
              <w:rPr>
                <w:b/>
                <w:bCs/>
                <w:kern w:val="24"/>
              </w:rPr>
            </w:pPr>
            <w:r w:rsidRPr="005D4222">
              <w:rPr>
                <w:i/>
                <w:iCs/>
                <w:color w:val="000000" w:themeColor="text1"/>
              </w:rPr>
              <w:t>Telehealth.</w:t>
            </w:r>
            <w:r w:rsidRPr="005D4222">
              <w:rPr>
                <w:color w:val="000000" w:themeColor="text1"/>
              </w:rPr>
              <w:t xml:space="preserve"> Services/events that allow the use of synchronous telehealth visits, telephone visits and asynchronous telehealth (e-visits, virtual check-ins) may be stratified to identify services performed via telehealth. </w:t>
            </w:r>
            <w:r w:rsidRPr="005D4222">
              <w:t>This adjustment is not allowed for events, numerators and exclusions that do not allow the use of telehealth.</w:t>
            </w:r>
          </w:p>
          <w:p w14:paraId="3FFE4591" w14:textId="77777777" w:rsidR="00CD3787" w:rsidRPr="005D4222" w:rsidRDefault="00CD3787">
            <w:pPr>
              <w:pStyle w:val="ProcessBullet"/>
              <w:rPr>
                <w:b/>
                <w:kern w:val="24"/>
              </w:rPr>
            </w:pPr>
            <w:r w:rsidRPr="005D4222">
              <w:rPr>
                <w:i/>
                <w:iCs/>
              </w:rPr>
              <w:t>Supplemental data.</w:t>
            </w:r>
            <w:r w:rsidRPr="005D4222">
              <w:t xml:space="preserve"> Supplemental data may be used to identify initial population, denominator, exclusion and numerator events.</w:t>
            </w:r>
          </w:p>
          <w:p w14:paraId="18BF9795" w14:textId="77777777" w:rsidR="00CD3787" w:rsidRPr="005D4222" w:rsidRDefault="00CD3787">
            <w:pPr>
              <w:pStyle w:val="Adjustments"/>
            </w:pPr>
            <w:r w:rsidRPr="005D4222">
              <w:t>Adjustments allowed with limits</w:t>
            </w:r>
          </w:p>
          <w:p w14:paraId="0926E2AF" w14:textId="77777777" w:rsidR="00CD3787" w:rsidRPr="005D4222" w:rsidRDefault="00CD3787">
            <w:pPr>
              <w:pStyle w:val="ProcessBullet"/>
            </w:pPr>
            <w:r w:rsidRPr="005D4222">
              <w:rPr>
                <w:i/>
                <w:iCs/>
              </w:rPr>
              <w:t>Ages</w:t>
            </w:r>
            <w:r w:rsidRPr="005D4222">
              <w:t>. The age determination dates may be changed (e.g., select, “age as of June 30”). Changing the denominator age range is allowed if the limits are within the specified age range. The denominator age may not be expanded.</w:t>
            </w:r>
          </w:p>
          <w:p w14:paraId="33D305DA" w14:textId="77777777" w:rsidR="00CD3787" w:rsidRPr="005D4222" w:rsidRDefault="00CD3787">
            <w:pPr>
              <w:pStyle w:val="ProcessBullet"/>
            </w:pPr>
            <w:r w:rsidRPr="005D4222">
              <w:rPr>
                <w:i/>
                <w:iCs/>
              </w:rPr>
              <w:t>Numerator</w:t>
            </w:r>
            <w:r w:rsidRPr="005D4222">
              <w:t xml:space="preserve">. Organizations may include denied claims to calculate the numerator. Medication lists, value sets and logic may not be changed. </w:t>
            </w:r>
          </w:p>
          <w:p w14:paraId="41945177" w14:textId="77777777" w:rsidR="00CD3787" w:rsidRPr="005D4222" w:rsidRDefault="00CD3787">
            <w:pPr>
              <w:pStyle w:val="Adjustments"/>
            </w:pPr>
            <w:r w:rsidRPr="005D4222">
              <w:t>Adjustments not allowed</w:t>
            </w:r>
          </w:p>
          <w:p w14:paraId="720610D4" w14:textId="77777777" w:rsidR="00CD3787" w:rsidRPr="005D4222" w:rsidRDefault="00CD3787" w:rsidP="005D6173">
            <w:pPr>
              <w:pStyle w:val="ProcessBullet"/>
              <w:numPr>
                <w:ilvl w:val="0"/>
                <w:numId w:val="87"/>
              </w:numPr>
              <w:spacing w:after="80"/>
              <w:ind w:left="216" w:hanging="216"/>
            </w:pPr>
            <w:r w:rsidRPr="005D4222">
              <w:rPr>
                <w:i/>
                <w:iCs/>
              </w:rPr>
              <w:t>Initial population:</w:t>
            </w:r>
            <w:r w:rsidRPr="005D4222">
              <w:t xml:space="preserve"> Event. Medication lists, value sets and logic may not be changed. </w:t>
            </w:r>
          </w:p>
        </w:tc>
      </w:tr>
    </w:tbl>
    <w:p w14:paraId="7569BCF8" w14:textId="77777777" w:rsidR="007C3D8B" w:rsidRPr="005D4222" w:rsidRDefault="007C3D8B" w:rsidP="004B1916">
      <w:pPr>
        <w:pStyle w:val="ECDSBody"/>
        <w:sectPr w:rsidR="007C3D8B" w:rsidRPr="005D4222" w:rsidSect="0074514A">
          <w:headerReference w:type="default" r:id="rId139"/>
          <w:type w:val="nextColumn"/>
          <w:pgSz w:w="12240" w:h="15840" w:code="1"/>
          <w:pgMar w:top="1080" w:right="1080" w:bottom="1080" w:left="1440" w:header="720" w:footer="720" w:gutter="0"/>
          <w:cols w:space="720"/>
          <w:docGrid w:linePitch="360"/>
        </w:sectPr>
      </w:pPr>
    </w:p>
    <w:p w14:paraId="6F914D6E" w14:textId="51149346" w:rsidR="004B1916" w:rsidRPr="005D4222" w:rsidRDefault="009750E1" w:rsidP="009750E1">
      <w:pPr>
        <w:pStyle w:val="MeasureTitle"/>
      </w:pPr>
      <w:bookmarkStart w:id="318" w:name="_Toc201813427"/>
      <w:r w:rsidRPr="005D4222">
        <w:lastRenderedPageBreak/>
        <w:t>Use of Imaging Studies for Low Back Pain</w:t>
      </w:r>
      <w:r w:rsidR="0096709F" w:rsidRPr="005D4222">
        <w:t xml:space="preserve"> (LBP)</w:t>
      </w:r>
      <w:bookmarkEnd w:id="318"/>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45"/>
        <w:gridCol w:w="5142"/>
        <w:gridCol w:w="1440"/>
        <w:gridCol w:w="987"/>
      </w:tblGrid>
      <w:tr w:rsidR="00DE0DD5" w:rsidRPr="005D4222" w14:paraId="26B084D3" w14:textId="77777777">
        <w:tc>
          <w:tcPr>
            <w:tcW w:w="2145" w:type="dxa"/>
            <w:shd w:val="clear" w:color="auto" w:fill="BFBFBF" w:themeFill="background1" w:themeFillShade="BF"/>
            <w:noWrap/>
            <w:tcMar>
              <w:top w:w="0" w:type="dxa"/>
              <w:left w:w="86" w:type="dxa"/>
              <w:bottom w:w="43" w:type="dxa"/>
              <w:right w:w="86" w:type="dxa"/>
            </w:tcMar>
            <w:hideMark/>
          </w:tcPr>
          <w:p w14:paraId="739CEA72" w14:textId="77777777" w:rsidR="00DE0DD5" w:rsidRPr="005D4222" w:rsidRDefault="00DE0DD5">
            <w:pPr>
              <w:pStyle w:val="ECDSMarginHead"/>
            </w:pPr>
            <w:r w:rsidRPr="005D4222">
              <w:t>Measure title</w:t>
            </w:r>
          </w:p>
        </w:tc>
        <w:tc>
          <w:tcPr>
            <w:tcW w:w="5142" w:type="dxa"/>
            <w:noWrap/>
            <w:tcMar>
              <w:top w:w="0" w:type="dxa"/>
              <w:left w:w="86" w:type="dxa"/>
              <w:bottom w:w="43" w:type="dxa"/>
              <w:right w:w="86" w:type="dxa"/>
            </w:tcMar>
          </w:tcPr>
          <w:p w14:paraId="65DB0B8D" w14:textId="77777777" w:rsidR="00DE0DD5" w:rsidRPr="005D4222" w:rsidRDefault="00DE0DD5">
            <w:pPr>
              <w:pStyle w:val="ECDSBody"/>
            </w:pPr>
            <w:r w:rsidRPr="005D4222">
              <w:t>Use of Imaging Studies for Low Back Pain</w:t>
            </w:r>
          </w:p>
        </w:tc>
        <w:tc>
          <w:tcPr>
            <w:tcW w:w="1440" w:type="dxa"/>
            <w:shd w:val="clear" w:color="auto" w:fill="BFBFBF" w:themeFill="background1" w:themeFillShade="BF"/>
            <w:noWrap/>
            <w:tcMar>
              <w:top w:w="0" w:type="dxa"/>
              <w:left w:w="86" w:type="dxa"/>
              <w:bottom w:w="43" w:type="dxa"/>
              <w:right w:w="86" w:type="dxa"/>
            </w:tcMar>
          </w:tcPr>
          <w:p w14:paraId="1F570F0B" w14:textId="77777777" w:rsidR="00DE0DD5" w:rsidRPr="005D4222" w:rsidRDefault="00DE0DD5">
            <w:pPr>
              <w:pStyle w:val="ECDSMarginHead"/>
            </w:pPr>
            <w:r w:rsidRPr="005D4222">
              <w:t>Measure ID</w:t>
            </w:r>
          </w:p>
        </w:tc>
        <w:tc>
          <w:tcPr>
            <w:tcW w:w="987" w:type="dxa"/>
            <w:noWrap/>
            <w:tcMar>
              <w:top w:w="0" w:type="dxa"/>
              <w:left w:w="86" w:type="dxa"/>
              <w:bottom w:w="43" w:type="dxa"/>
              <w:right w:w="86" w:type="dxa"/>
            </w:tcMar>
          </w:tcPr>
          <w:p w14:paraId="69E8E545" w14:textId="77777777" w:rsidR="00DE0DD5" w:rsidRPr="005D4222" w:rsidRDefault="00DE0DD5">
            <w:pPr>
              <w:pStyle w:val="ECDSBody"/>
            </w:pPr>
            <w:r w:rsidRPr="005D4222">
              <w:t>LBP</w:t>
            </w:r>
          </w:p>
        </w:tc>
      </w:tr>
      <w:tr w:rsidR="00DE0DD5" w:rsidRPr="005D4222" w14:paraId="773E639E" w14:textId="77777777">
        <w:tc>
          <w:tcPr>
            <w:tcW w:w="2145" w:type="dxa"/>
            <w:shd w:val="clear" w:color="auto" w:fill="BFBFBF" w:themeFill="background1" w:themeFillShade="BF"/>
            <w:noWrap/>
            <w:tcMar>
              <w:top w:w="0" w:type="dxa"/>
              <w:left w:w="86" w:type="dxa"/>
              <w:bottom w:w="43" w:type="dxa"/>
              <w:right w:w="86" w:type="dxa"/>
            </w:tcMar>
            <w:hideMark/>
          </w:tcPr>
          <w:p w14:paraId="5CE456B0" w14:textId="77777777" w:rsidR="00DE0DD5" w:rsidRPr="005D4222" w:rsidRDefault="00DE0DD5">
            <w:pPr>
              <w:pStyle w:val="ECDSMarginHead"/>
            </w:pPr>
            <w:r w:rsidRPr="005D4222">
              <w:t>Description</w:t>
            </w:r>
          </w:p>
        </w:tc>
        <w:tc>
          <w:tcPr>
            <w:tcW w:w="7569" w:type="dxa"/>
            <w:gridSpan w:val="3"/>
            <w:noWrap/>
            <w:tcMar>
              <w:top w:w="0" w:type="dxa"/>
              <w:left w:w="86" w:type="dxa"/>
              <w:bottom w:w="43" w:type="dxa"/>
              <w:right w:w="86" w:type="dxa"/>
            </w:tcMar>
          </w:tcPr>
          <w:p w14:paraId="3EDE7514" w14:textId="77777777" w:rsidR="00DE0DD5" w:rsidRPr="005D4222" w:rsidRDefault="00DE0DD5">
            <w:pPr>
              <w:pStyle w:val="ECDSBody"/>
            </w:pPr>
            <w:r w:rsidRPr="005D4222">
              <w:t>The percentage of persons 18–75 years of age with a principal diagnosis of low back pain who did not have an imaging study (plain X-ray, MRI, CT scan) within 28 days of the diagnosis.</w:t>
            </w:r>
          </w:p>
        </w:tc>
      </w:tr>
      <w:tr w:rsidR="00DE0DD5" w:rsidRPr="005D4222" w14:paraId="0BE9BFC1" w14:textId="77777777">
        <w:tc>
          <w:tcPr>
            <w:tcW w:w="2145" w:type="dxa"/>
            <w:shd w:val="clear" w:color="auto" w:fill="BFBFBF" w:themeFill="background1" w:themeFillShade="BF"/>
            <w:noWrap/>
            <w:tcMar>
              <w:top w:w="0" w:type="dxa"/>
              <w:left w:w="86" w:type="dxa"/>
              <w:bottom w:w="43" w:type="dxa"/>
              <w:right w:w="86" w:type="dxa"/>
            </w:tcMar>
          </w:tcPr>
          <w:p w14:paraId="2F809F0F" w14:textId="77777777" w:rsidR="00DE0DD5" w:rsidRPr="005D4222" w:rsidRDefault="00DE0DD5">
            <w:pPr>
              <w:pStyle w:val="ECDSMarginHead"/>
            </w:pPr>
            <w:r w:rsidRPr="005D4222">
              <w:t>Measurement period</w:t>
            </w:r>
          </w:p>
        </w:tc>
        <w:tc>
          <w:tcPr>
            <w:tcW w:w="7569" w:type="dxa"/>
            <w:gridSpan w:val="3"/>
            <w:noWrap/>
            <w:tcMar>
              <w:top w:w="0" w:type="dxa"/>
              <w:left w:w="86" w:type="dxa"/>
              <w:bottom w:w="43" w:type="dxa"/>
              <w:right w:w="86" w:type="dxa"/>
            </w:tcMar>
          </w:tcPr>
          <w:p w14:paraId="7462C342" w14:textId="77777777" w:rsidR="00DE0DD5" w:rsidRPr="005D4222" w:rsidRDefault="00DE0DD5">
            <w:pPr>
              <w:pStyle w:val="ECDSBody"/>
            </w:pPr>
            <w:r w:rsidRPr="005D4222">
              <w:t>January 1–December 31.</w:t>
            </w:r>
          </w:p>
        </w:tc>
      </w:tr>
      <w:tr w:rsidR="00DE0DD5" w:rsidRPr="005D4222" w14:paraId="31D5F7E2" w14:textId="77777777">
        <w:tc>
          <w:tcPr>
            <w:tcW w:w="2145" w:type="dxa"/>
            <w:shd w:val="clear" w:color="auto" w:fill="BFBFBF" w:themeFill="background1" w:themeFillShade="BF"/>
            <w:noWrap/>
            <w:tcMar>
              <w:top w:w="0" w:type="dxa"/>
              <w:left w:w="86" w:type="dxa"/>
              <w:bottom w:w="43" w:type="dxa"/>
              <w:right w:w="86" w:type="dxa"/>
            </w:tcMar>
            <w:hideMark/>
          </w:tcPr>
          <w:p w14:paraId="216DFD7F" w14:textId="77777777" w:rsidR="00DE0DD5" w:rsidRPr="005D4222" w:rsidRDefault="00DE0DD5">
            <w:pPr>
              <w:pStyle w:val="ECDSMarginHead"/>
              <w:rPr>
                <w:rFonts w:eastAsia="Arial"/>
              </w:rPr>
            </w:pPr>
            <w:r w:rsidRPr="005D4222">
              <w:rPr>
                <w:rFonts w:eastAsia="Arial"/>
              </w:rPr>
              <w:t>Copyright and disclaimer notice</w:t>
            </w:r>
          </w:p>
        </w:tc>
        <w:tc>
          <w:tcPr>
            <w:tcW w:w="7569" w:type="dxa"/>
            <w:gridSpan w:val="3"/>
            <w:noWrap/>
            <w:tcMar>
              <w:top w:w="0" w:type="dxa"/>
              <w:left w:w="86" w:type="dxa"/>
              <w:bottom w:w="43" w:type="dxa"/>
              <w:right w:w="86" w:type="dxa"/>
            </w:tcMar>
          </w:tcPr>
          <w:p w14:paraId="13A2B553" w14:textId="77777777" w:rsidR="00DE0DD5" w:rsidRPr="005D4222" w:rsidRDefault="00DE0DD5">
            <w:pPr>
              <w:pStyle w:val="ECDSBody"/>
              <w:rPr>
                <w:szCs w:val="21"/>
              </w:rPr>
            </w:pPr>
            <w:r w:rsidRPr="005D4222">
              <w:rPr>
                <w:szCs w:val="21"/>
              </w:rPr>
              <w:t xml:space="preserve">Refer to the complete copyright and disclaimer information at the front of this publication. </w:t>
            </w:r>
          </w:p>
          <w:p w14:paraId="6412EFDE" w14:textId="77777777" w:rsidR="00DE0DD5" w:rsidRPr="005D4222" w:rsidRDefault="00DE0DD5">
            <w:pPr>
              <w:pStyle w:val="ECDSBody"/>
              <w:spacing w:before="80"/>
            </w:pPr>
            <w:r w:rsidRPr="005D4222">
              <w:t xml:space="preserve">NCQA website: </w:t>
            </w:r>
            <w:r w:rsidRPr="005D4222">
              <w:rPr>
                <w:u w:val="single"/>
              </w:rPr>
              <w:t>www.ncqa.org</w:t>
            </w:r>
            <w:r w:rsidRPr="005D4222">
              <w:t>.</w:t>
            </w:r>
          </w:p>
          <w:p w14:paraId="4588F2C3" w14:textId="77777777" w:rsidR="00DE0DD5" w:rsidRPr="005D4222" w:rsidRDefault="00DE0DD5">
            <w:pPr>
              <w:pStyle w:val="ECDSBody"/>
              <w:spacing w:before="80"/>
              <w:rPr>
                <w:sz w:val="18"/>
                <w:szCs w:val="18"/>
              </w:rPr>
            </w:pPr>
            <w:r w:rsidRPr="005D4222">
              <w:rPr>
                <w:szCs w:val="21"/>
              </w:rPr>
              <w:t>Submit policy clarification support questions via My NCQA (</w:t>
            </w:r>
            <w:r w:rsidRPr="005D4222">
              <w:rPr>
                <w:szCs w:val="21"/>
                <w:u w:val="single"/>
              </w:rPr>
              <w:t>https://my.ncqa.org</w:t>
            </w:r>
            <w:r w:rsidRPr="005D4222">
              <w:rPr>
                <w:szCs w:val="21"/>
              </w:rPr>
              <w:t>).</w:t>
            </w:r>
          </w:p>
        </w:tc>
      </w:tr>
      <w:tr w:rsidR="00DE0DD5" w:rsidRPr="005D4222" w14:paraId="15190E19" w14:textId="77777777">
        <w:trPr>
          <w:trHeight w:val="655"/>
        </w:trPr>
        <w:tc>
          <w:tcPr>
            <w:tcW w:w="2145" w:type="dxa"/>
            <w:shd w:val="clear" w:color="auto" w:fill="BFBFBF" w:themeFill="background1" w:themeFillShade="BF"/>
            <w:noWrap/>
            <w:tcMar>
              <w:top w:w="0" w:type="dxa"/>
              <w:left w:w="86" w:type="dxa"/>
              <w:bottom w:w="43" w:type="dxa"/>
              <w:right w:w="86" w:type="dxa"/>
            </w:tcMar>
            <w:hideMark/>
          </w:tcPr>
          <w:p w14:paraId="78937928" w14:textId="77777777" w:rsidR="00DE0DD5" w:rsidRPr="005D4222" w:rsidRDefault="00DE0DD5">
            <w:pPr>
              <w:pStyle w:val="ECDSMarginHead"/>
            </w:pPr>
            <w:r w:rsidRPr="005D4222">
              <w:t>Clinical recommendation statement/ rationale</w:t>
            </w:r>
          </w:p>
        </w:tc>
        <w:tc>
          <w:tcPr>
            <w:tcW w:w="7569" w:type="dxa"/>
            <w:gridSpan w:val="3"/>
            <w:noWrap/>
            <w:tcMar>
              <w:top w:w="0" w:type="dxa"/>
              <w:left w:w="86" w:type="dxa"/>
              <w:bottom w:w="43" w:type="dxa"/>
              <w:right w:w="86" w:type="dxa"/>
            </w:tcMar>
          </w:tcPr>
          <w:p w14:paraId="4C9BEE7D" w14:textId="77777777" w:rsidR="00DE0DD5" w:rsidRPr="005D4222" w:rsidRDefault="00DE0DD5">
            <w:pPr>
              <w:pStyle w:val="ECDSBody"/>
            </w:pPr>
            <w:r w:rsidRPr="005D4222">
              <w:rPr>
                <w:rFonts w:eastAsia="Calibri"/>
              </w:rPr>
              <w:t xml:space="preserve">Approximately 2.6 million emergency department visits in the U.S. each year are due to a low back pain-related disorder. Nine specialty societies have published recommendations regarding the use of imaging for patients with low back pain, indicating the topic’s importance to health care providers. </w:t>
            </w:r>
            <w:r w:rsidRPr="005D4222">
              <w:t>Clinical guidelines for treating patients with acute low back pain strongly recommend against imaging in the absence of “red flags” (i.e., indications of a serious underlying pathology such as a fracture or tumor). Organizations can provide information, best-care practice models and other support to providers, imaging centers and members to increase knowledge and ensure that imaging studies are used appropriately for evaluation of lower back pain patients, based on the duration of symptoms and the presence of red flags.</w:t>
            </w:r>
          </w:p>
        </w:tc>
      </w:tr>
      <w:tr w:rsidR="00DE0DD5" w:rsidRPr="005D4222" w14:paraId="5CC2B797" w14:textId="77777777">
        <w:tc>
          <w:tcPr>
            <w:tcW w:w="2145" w:type="dxa"/>
            <w:shd w:val="clear" w:color="auto" w:fill="BFBFBF" w:themeFill="background1" w:themeFillShade="BF"/>
            <w:noWrap/>
            <w:tcMar>
              <w:top w:w="0" w:type="dxa"/>
              <w:left w:w="86" w:type="dxa"/>
              <w:bottom w:w="43" w:type="dxa"/>
              <w:right w:w="86" w:type="dxa"/>
            </w:tcMar>
          </w:tcPr>
          <w:p w14:paraId="7D3EA301" w14:textId="77777777" w:rsidR="00DE0DD5" w:rsidRPr="005D4222" w:rsidRDefault="00DE0DD5">
            <w:pPr>
              <w:pStyle w:val="ECDSMarginHead"/>
            </w:pPr>
            <w:r w:rsidRPr="005D4222">
              <w:t>Citations</w:t>
            </w:r>
          </w:p>
        </w:tc>
        <w:tc>
          <w:tcPr>
            <w:tcW w:w="7569" w:type="dxa"/>
            <w:gridSpan w:val="3"/>
            <w:noWrap/>
            <w:tcMar>
              <w:top w:w="0" w:type="dxa"/>
              <w:left w:w="86" w:type="dxa"/>
              <w:bottom w:w="43" w:type="dxa"/>
              <w:right w:w="86" w:type="dxa"/>
            </w:tcMar>
          </w:tcPr>
          <w:p w14:paraId="670059F8" w14:textId="77777777" w:rsidR="00DE0DD5" w:rsidRPr="005D4222" w:rsidRDefault="00DE0DD5">
            <w:pPr>
              <w:pStyle w:val="ECDSBody"/>
            </w:pPr>
            <w:r w:rsidRPr="005D4222">
              <w:t xml:space="preserve">Deyo, R.A., S.K. Mirza, B.I. Martin. 2006. “Back Pain Prevalence and Visit Rates: Estimates from U.S. National Surveys, 2002.” </w:t>
            </w:r>
            <w:r w:rsidRPr="005D4222">
              <w:rPr>
                <w:i/>
              </w:rPr>
              <w:t>Spine</w:t>
            </w:r>
            <w:r w:rsidRPr="005D4222">
              <w:t xml:space="preserve"> 31(23):2724–7.</w:t>
            </w:r>
          </w:p>
          <w:p w14:paraId="13885BA2" w14:textId="77777777" w:rsidR="00DE0DD5" w:rsidRPr="005D4222" w:rsidRDefault="00DE0DD5">
            <w:pPr>
              <w:pStyle w:val="ECDSBody"/>
            </w:pPr>
            <w:r w:rsidRPr="005D4222">
              <w:rPr>
                <w:szCs w:val="18"/>
              </w:rPr>
              <w:t xml:space="preserve">Downie, A., et al. 2013. “Red Flags to Screen for Malignancy and Fracture in Patients with Low Back Pain: Systematic Review.” </w:t>
            </w:r>
            <w:r w:rsidRPr="005D4222">
              <w:rPr>
                <w:i/>
                <w:szCs w:val="18"/>
              </w:rPr>
              <w:t>BMJ</w:t>
            </w:r>
            <w:r w:rsidRPr="005D4222">
              <w:rPr>
                <w:szCs w:val="18"/>
              </w:rPr>
              <w:t xml:space="preserve"> 347:f7095. </w:t>
            </w:r>
            <w:r w:rsidRPr="005D4222">
              <w:rPr>
                <w:szCs w:val="18"/>
              </w:rPr>
              <w:br/>
              <w:t>doi: 10.1136/bmj.f7095.</w:t>
            </w:r>
          </w:p>
          <w:p w14:paraId="713015D6" w14:textId="77777777" w:rsidR="00DE0DD5" w:rsidRPr="005D4222" w:rsidRDefault="00DE0DD5">
            <w:pPr>
              <w:pStyle w:val="ECDSBody"/>
            </w:pPr>
            <w:r w:rsidRPr="005D4222">
              <w:t xml:space="preserve">Friedman, B.W., M. Chilstrom, P.E. Bijur, &amp; E.J. Gallagher. 2010. “Diagnostic Testing and Treatment of Low Back Pain in US Emergency Departments. A National Perspective.” </w:t>
            </w:r>
            <w:r w:rsidRPr="005D4222">
              <w:rPr>
                <w:i/>
                <w:iCs/>
              </w:rPr>
              <w:t xml:space="preserve">Spine </w:t>
            </w:r>
            <w:r w:rsidRPr="005D4222">
              <w:t xml:space="preserve">35(24), E1406–11. </w:t>
            </w:r>
            <w:hyperlink r:id="rId140">
              <w:r w:rsidRPr="005D4222">
                <w:t>https://doi.org/10.1097/BRS.0b013e3181d952a5</w:t>
              </w:r>
            </w:hyperlink>
          </w:p>
        </w:tc>
      </w:tr>
      <w:tr w:rsidR="00DE0DD5" w:rsidRPr="005D4222" w14:paraId="5A6E3BF9" w14:textId="77777777">
        <w:tc>
          <w:tcPr>
            <w:tcW w:w="9714" w:type="dxa"/>
            <w:gridSpan w:val="4"/>
            <w:tcBorders>
              <w:bottom w:val="single" w:sz="4" w:space="0" w:color="auto"/>
            </w:tcBorders>
            <w:shd w:val="clear" w:color="auto" w:fill="BFBFBF" w:themeFill="background1" w:themeFillShade="BF"/>
            <w:noWrap/>
            <w:tcMar>
              <w:top w:w="0" w:type="dxa"/>
              <w:left w:w="86" w:type="dxa"/>
              <w:bottom w:w="43" w:type="dxa"/>
              <w:right w:w="86" w:type="dxa"/>
            </w:tcMar>
          </w:tcPr>
          <w:p w14:paraId="3509F7A5" w14:textId="77777777" w:rsidR="00DE0DD5" w:rsidRPr="005D4222" w:rsidRDefault="00DE0DD5">
            <w:pPr>
              <w:pStyle w:val="ECDSMarginHead"/>
            </w:pPr>
            <w:r w:rsidRPr="005D4222">
              <w:t>Characteristics</w:t>
            </w:r>
          </w:p>
        </w:tc>
      </w:tr>
      <w:tr w:rsidR="00DE0DD5" w:rsidRPr="005D4222" w14:paraId="5AE6629C" w14:textId="77777777">
        <w:tc>
          <w:tcPr>
            <w:tcW w:w="2145" w:type="dxa"/>
            <w:tcBorders>
              <w:top w:val="single" w:sz="4" w:space="0" w:color="auto"/>
              <w:left w:val="single" w:sz="4" w:space="0" w:color="auto"/>
              <w:bottom w:val="nil"/>
              <w:right w:val="single" w:sz="4" w:space="0" w:color="auto"/>
            </w:tcBorders>
            <w:noWrap/>
            <w:tcMar>
              <w:top w:w="0" w:type="dxa"/>
              <w:left w:w="86" w:type="dxa"/>
              <w:bottom w:w="43" w:type="dxa"/>
              <w:right w:w="86" w:type="dxa"/>
            </w:tcMar>
          </w:tcPr>
          <w:p w14:paraId="51FFA0CA" w14:textId="77777777" w:rsidR="00DE0DD5" w:rsidRPr="005D4222" w:rsidRDefault="00DE0DD5" w:rsidP="00DE0DD5">
            <w:pPr>
              <w:pStyle w:val="ECDSSubhead"/>
            </w:pPr>
            <w:r w:rsidRPr="005D4222">
              <w:t>Scoring</w:t>
            </w:r>
          </w:p>
        </w:tc>
        <w:tc>
          <w:tcPr>
            <w:tcW w:w="7569" w:type="dxa"/>
            <w:gridSpan w:val="3"/>
            <w:tcBorders>
              <w:top w:val="single" w:sz="4" w:space="0" w:color="auto"/>
              <w:left w:val="single" w:sz="4" w:space="0" w:color="auto"/>
              <w:bottom w:val="nil"/>
              <w:right w:val="single" w:sz="4" w:space="0" w:color="auto"/>
            </w:tcBorders>
            <w:noWrap/>
            <w:tcMar>
              <w:top w:w="0" w:type="dxa"/>
              <w:left w:w="86" w:type="dxa"/>
              <w:bottom w:w="43" w:type="dxa"/>
              <w:right w:w="86" w:type="dxa"/>
            </w:tcMar>
            <w:hideMark/>
          </w:tcPr>
          <w:p w14:paraId="56C83D59" w14:textId="77777777" w:rsidR="00DE0DD5" w:rsidRPr="005D4222" w:rsidRDefault="00DE0DD5">
            <w:pPr>
              <w:pStyle w:val="ECDSBody"/>
              <w:spacing w:after="0"/>
            </w:pPr>
            <w:r w:rsidRPr="005D4222">
              <w:t>Proportion.</w:t>
            </w:r>
          </w:p>
        </w:tc>
      </w:tr>
      <w:tr w:rsidR="00DE0DD5" w:rsidRPr="005D4222" w14:paraId="412AD302" w14:textId="77777777">
        <w:tc>
          <w:tcPr>
            <w:tcW w:w="2145" w:type="dxa"/>
            <w:tcBorders>
              <w:top w:val="nil"/>
              <w:left w:val="single" w:sz="4" w:space="0" w:color="auto"/>
              <w:bottom w:val="nil"/>
              <w:right w:val="single" w:sz="4" w:space="0" w:color="auto"/>
            </w:tcBorders>
            <w:noWrap/>
            <w:tcMar>
              <w:top w:w="0" w:type="dxa"/>
              <w:left w:w="86" w:type="dxa"/>
              <w:bottom w:w="43" w:type="dxa"/>
              <w:right w:w="86" w:type="dxa"/>
            </w:tcMar>
          </w:tcPr>
          <w:p w14:paraId="5361EE5C" w14:textId="77777777" w:rsidR="00DE0DD5" w:rsidRPr="005D4222" w:rsidRDefault="00DE0DD5" w:rsidP="00DE0DD5">
            <w:pPr>
              <w:pStyle w:val="ECDSSubhead"/>
            </w:pPr>
            <w:r w:rsidRPr="005D4222">
              <w:t>Type</w:t>
            </w:r>
          </w:p>
        </w:tc>
        <w:tc>
          <w:tcPr>
            <w:tcW w:w="7569" w:type="dxa"/>
            <w:gridSpan w:val="3"/>
            <w:tcBorders>
              <w:top w:val="nil"/>
              <w:left w:val="single" w:sz="4" w:space="0" w:color="auto"/>
              <w:bottom w:val="nil"/>
              <w:right w:val="single" w:sz="4" w:space="0" w:color="auto"/>
            </w:tcBorders>
            <w:noWrap/>
            <w:tcMar>
              <w:top w:w="0" w:type="dxa"/>
              <w:left w:w="86" w:type="dxa"/>
              <w:bottom w:w="43" w:type="dxa"/>
              <w:right w:w="86" w:type="dxa"/>
            </w:tcMar>
          </w:tcPr>
          <w:p w14:paraId="6F022AA4" w14:textId="77777777" w:rsidR="00DE0DD5" w:rsidRPr="005D4222" w:rsidRDefault="00DE0DD5">
            <w:pPr>
              <w:pStyle w:val="ECDSBody"/>
              <w:spacing w:after="0"/>
            </w:pPr>
            <w:r w:rsidRPr="005D4222">
              <w:t>Process.</w:t>
            </w:r>
          </w:p>
        </w:tc>
      </w:tr>
      <w:tr w:rsidR="00DE0DD5" w:rsidRPr="005D4222" w14:paraId="536CC25C" w14:textId="77777777">
        <w:tc>
          <w:tcPr>
            <w:tcW w:w="2145" w:type="dxa"/>
            <w:tcBorders>
              <w:top w:val="nil"/>
              <w:left w:val="single" w:sz="4" w:space="0" w:color="auto"/>
              <w:bottom w:val="single" w:sz="4" w:space="0" w:color="auto"/>
              <w:right w:val="single" w:sz="4" w:space="0" w:color="auto"/>
            </w:tcBorders>
            <w:noWrap/>
            <w:tcMar>
              <w:top w:w="0" w:type="dxa"/>
              <w:left w:w="86" w:type="dxa"/>
              <w:bottom w:w="43" w:type="dxa"/>
              <w:right w:w="86" w:type="dxa"/>
            </w:tcMar>
          </w:tcPr>
          <w:p w14:paraId="22EDD044" w14:textId="5C22C74A" w:rsidR="00DE0DD5" w:rsidRPr="005D4222" w:rsidRDefault="00B51CDC" w:rsidP="00DE0DD5">
            <w:pPr>
              <w:pStyle w:val="ECDSSubhead"/>
            </w:pPr>
            <w:r w:rsidRPr="005D4222">
              <w:t>Product lines</w:t>
            </w:r>
          </w:p>
        </w:tc>
        <w:tc>
          <w:tcPr>
            <w:tcW w:w="7569" w:type="dxa"/>
            <w:gridSpan w:val="3"/>
            <w:tcBorders>
              <w:top w:val="nil"/>
              <w:left w:val="single" w:sz="4" w:space="0" w:color="auto"/>
              <w:bottom w:val="single" w:sz="4" w:space="0" w:color="auto"/>
              <w:right w:val="single" w:sz="4" w:space="0" w:color="auto"/>
            </w:tcBorders>
            <w:noWrap/>
            <w:tcMar>
              <w:top w:w="0" w:type="dxa"/>
              <w:left w:w="86" w:type="dxa"/>
              <w:bottom w:w="43" w:type="dxa"/>
              <w:right w:w="86" w:type="dxa"/>
            </w:tcMar>
          </w:tcPr>
          <w:p w14:paraId="185B80B2" w14:textId="77777777" w:rsidR="00DE0DD5" w:rsidRPr="005D4222" w:rsidRDefault="00DE0DD5">
            <w:pPr>
              <w:pStyle w:val="ProcessBullet"/>
              <w:rPr>
                <w:rFonts w:cs="Arial"/>
              </w:rPr>
            </w:pPr>
            <w:r w:rsidRPr="005D4222">
              <w:rPr>
                <w:rFonts w:cs="Arial"/>
              </w:rPr>
              <w:t>Commercial.</w:t>
            </w:r>
          </w:p>
          <w:p w14:paraId="0964E4CA" w14:textId="77777777" w:rsidR="00DE0DD5" w:rsidRPr="005D4222" w:rsidRDefault="00DE0DD5">
            <w:pPr>
              <w:pStyle w:val="ProcessBullet"/>
              <w:rPr>
                <w:rFonts w:cs="Arial"/>
              </w:rPr>
            </w:pPr>
            <w:r w:rsidRPr="005D4222">
              <w:rPr>
                <w:rFonts w:cs="Arial"/>
              </w:rPr>
              <w:t>Medicaid.</w:t>
            </w:r>
          </w:p>
          <w:p w14:paraId="7EA9CEBA" w14:textId="77777777" w:rsidR="00DE0DD5" w:rsidRPr="005D4222" w:rsidRDefault="00DE0DD5">
            <w:pPr>
              <w:pStyle w:val="ProcessBullet"/>
              <w:spacing w:after="80"/>
              <w:rPr>
                <w:rFonts w:cs="Arial"/>
              </w:rPr>
            </w:pPr>
            <w:r w:rsidRPr="005D4222">
              <w:rPr>
                <w:rFonts w:cs="Arial"/>
              </w:rPr>
              <w:t>Medicare.</w:t>
            </w:r>
          </w:p>
        </w:tc>
      </w:tr>
    </w:tbl>
    <w:p w14:paraId="0E6928F4" w14:textId="77777777" w:rsidR="00DE0DD5" w:rsidRPr="005D4222" w:rsidRDefault="00DE0DD5" w:rsidP="00DE0DD5">
      <w:pPr>
        <w:spacing w:after="160" w:line="259" w:lineRule="auto"/>
      </w:pPr>
      <w:r w:rsidRPr="005D4222">
        <w:br w:type="page"/>
      </w:r>
    </w:p>
    <w:tbl>
      <w:tblPr>
        <w:tblW w:w="9714" w:type="dxa"/>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45"/>
        <w:gridCol w:w="7569"/>
      </w:tblGrid>
      <w:tr w:rsidR="00DE0DD5" w:rsidRPr="005D4222" w14:paraId="594A6F54" w14:textId="77777777">
        <w:tc>
          <w:tcPr>
            <w:tcW w:w="2145" w:type="dxa"/>
            <w:tcBorders>
              <w:top w:val="single" w:sz="4" w:space="0" w:color="auto"/>
              <w:left w:val="single" w:sz="4" w:space="0" w:color="auto"/>
              <w:bottom w:val="nil"/>
              <w:right w:val="single" w:sz="4" w:space="0" w:color="auto"/>
            </w:tcBorders>
            <w:noWrap/>
            <w:tcMar>
              <w:top w:w="0" w:type="dxa"/>
              <w:left w:w="86" w:type="dxa"/>
              <w:bottom w:w="43" w:type="dxa"/>
              <w:right w:w="86" w:type="dxa"/>
            </w:tcMar>
          </w:tcPr>
          <w:p w14:paraId="7354D0D6" w14:textId="17722B10" w:rsidR="00DE0DD5" w:rsidRPr="005D4222" w:rsidRDefault="00B51CDC" w:rsidP="00DE0DD5">
            <w:pPr>
              <w:pStyle w:val="ECDSSubhead"/>
            </w:pPr>
            <w:r w:rsidRPr="005D4222">
              <w:lastRenderedPageBreak/>
              <w:t>Stratifications</w:t>
            </w:r>
            <w:r w:rsidR="00DE0DD5" w:rsidRPr="005D4222">
              <w:t xml:space="preserve"> </w:t>
            </w:r>
          </w:p>
        </w:tc>
        <w:tc>
          <w:tcPr>
            <w:tcW w:w="7569" w:type="dxa"/>
            <w:tcBorders>
              <w:top w:val="single" w:sz="4" w:space="0" w:color="auto"/>
              <w:left w:val="single" w:sz="4" w:space="0" w:color="auto"/>
              <w:bottom w:val="nil"/>
              <w:right w:val="single" w:sz="4" w:space="0" w:color="auto"/>
            </w:tcBorders>
            <w:noWrap/>
            <w:tcMar>
              <w:top w:w="0" w:type="dxa"/>
              <w:left w:w="86" w:type="dxa"/>
              <w:bottom w:w="43" w:type="dxa"/>
              <w:right w:w="86" w:type="dxa"/>
            </w:tcMar>
            <w:hideMark/>
          </w:tcPr>
          <w:p w14:paraId="17DC846D" w14:textId="77777777" w:rsidR="00DE0DD5" w:rsidRPr="005D4222" w:rsidRDefault="00DE0DD5">
            <w:pPr>
              <w:pStyle w:val="ECDSBody"/>
              <w:rPr>
                <w:rFonts w:eastAsia="Arial,Arial,Arial,Arial,Arial,A"/>
              </w:rPr>
            </w:pPr>
            <w:r w:rsidRPr="005D4222">
              <w:rPr>
                <w:rFonts w:eastAsia="Arial,Arial,Arial,Arial,Arial,A"/>
              </w:rPr>
              <w:t xml:space="preserve">Age </w:t>
            </w:r>
            <w:r w:rsidRPr="005D4222">
              <w:t>as of the last day of measurement period</w:t>
            </w:r>
            <w:r w:rsidRPr="005D4222">
              <w:rPr>
                <w:rFonts w:eastAsia="Arial,Arial,Arial,Arial,Arial,A"/>
              </w:rPr>
              <w:t>.</w:t>
            </w:r>
          </w:p>
          <w:p w14:paraId="01D1059F" w14:textId="77777777" w:rsidR="00DE0DD5" w:rsidRPr="005D4222" w:rsidRDefault="00DE0DD5" w:rsidP="00DE0DD5">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18–64 years.</w:t>
            </w:r>
          </w:p>
          <w:p w14:paraId="4AD144D5" w14:textId="77777777" w:rsidR="00DE0DD5" w:rsidRPr="005D4222" w:rsidRDefault="00DE0DD5" w:rsidP="00DE0DD5">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65–75 years.</w:t>
            </w:r>
          </w:p>
        </w:tc>
      </w:tr>
      <w:tr w:rsidR="00DE0DD5" w:rsidRPr="005D4222" w14:paraId="5794FB5C" w14:textId="77777777">
        <w:tc>
          <w:tcPr>
            <w:tcW w:w="2145" w:type="dxa"/>
            <w:tcBorders>
              <w:top w:val="nil"/>
              <w:left w:val="single" w:sz="4" w:space="0" w:color="auto"/>
              <w:bottom w:val="nil"/>
              <w:right w:val="single" w:sz="4" w:space="0" w:color="auto"/>
            </w:tcBorders>
            <w:noWrap/>
            <w:tcMar>
              <w:top w:w="0" w:type="dxa"/>
              <w:left w:w="86" w:type="dxa"/>
              <w:bottom w:w="43" w:type="dxa"/>
              <w:right w:w="86" w:type="dxa"/>
            </w:tcMar>
          </w:tcPr>
          <w:p w14:paraId="179DD318" w14:textId="77777777" w:rsidR="00DE0DD5" w:rsidRPr="005D4222" w:rsidRDefault="00DE0DD5" w:rsidP="00DE0DD5">
            <w:pPr>
              <w:pStyle w:val="ECDSSubhead"/>
            </w:pPr>
            <w:r w:rsidRPr="005D4222">
              <w:t>Risk adjustment</w:t>
            </w:r>
          </w:p>
        </w:tc>
        <w:tc>
          <w:tcPr>
            <w:tcW w:w="7569" w:type="dxa"/>
            <w:tcBorders>
              <w:top w:val="nil"/>
              <w:left w:val="single" w:sz="4" w:space="0" w:color="auto"/>
              <w:bottom w:val="nil"/>
              <w:right w:val="single" w:sz="4" w:space="0" w:color="auto"/>
            </w:tcBorders>
            <w:noWrap/>
            <w:tcMar>
              <w:top w:w="0" w:type="dxa"/>
              <w:left w:w="86" w:type="dxa"/>
              <w:bottom w:w="43" w:type="dxa"/>
              <w:right w:w="86" w:type="dxa"/>
            </w:tcMar>
            <w:hideMark/>
          </w:tcPr>
          <w:p w14:paraId="1CB7F093" w14:textId="77777777" w:rsidR="00DE0DD5" w:rsidRPr="005D4222" w:rsidRDefault="00DE0DD5">
            <w:pPr>
              <w:pStyle w:val="ECDSBody"/>
              <w:spacing w:after="0"/>
            </w:pPr>
            <w:r w:rsidRPr="005D4222">
              <w:t>None.</w:t>
            </w:r>
          </w:p>
        </w:tc>
      </w:tr>
      <w:tr w:rsidR="00DE0DD5" w:rsidRPr="005D4222" w14:paraId="5C9D869A" w14:textId="77777777">
        <w:tc>
          <w:tcPr>
            <w:tcW w:w="2145" w:type="dxa"/>
            <w:tcBorders>
              <w:top w:val="nil"/>
              <w:left w:val="single" w:sz="4" w:space="0" w:color="auto"/>
              <w:bottom w:val="nil"/>
              <w:right w:val="single" w:sz="4" w:space="0" w:color="auto"/>
            </w:tcBorders>
            <w:noWrap/>
            <w:tcMar>
              <w:top w:w="0" w:type="dxa"/>
              <w:left w:w="86" w:type="dxa"/>
              <w:bottom w:w="43" w:type="dxa"/>
              <w:right w:w="86" w:type="dxa"/>
            </w:tcMar>
          </w:tcPr>
          <w:p w14:paraId="097BEEF6" w14:textId="77777777" w:rsidR="00DE0DD5" w:rsidRPr="005D4222" w:rsidRDefault="00DE0DD5" w:rsidP="00DE0DD5">
            <w:pPr>
              <w:pStyle w:val="ECDSSubhead"/>
            </w:pPr>
            <w:r w:rsidRPr="005D4222">
              <w:t>Improvement notation</w:t>
            </w:r>
          </w:p>
        </w:tc>
        <w:tc>
          <w:tcPr>
            <w:tcW w:w="7569" w:type="dxa"/>
            <w:tcBorders>
              <w:top w:val="nil"/>
              <w:left w:val="single" w:sz="4" w:space="0" w:color="auto"/>
              <w:bottom w:val="nil"/>
              <w:right w:val="single" w:sz="4" w:space="0" w:color="auto"/>
            </w:tcBorders>
            <w:noWrap/>
            <w:tcMar>
              <w:top w:w="0" w:type="dxa"/>
              <w:left w:w="86" w:type="dxa"/>
              <w:bottom w:w="43" w:type="dxa"/>
              <w:right w:w="86" w:type="dxa"/>
            </w:tcMar>
            <w:hideMark/>
          </w:tcPr>
          <w:p w14:paraId="728B147A" w14:textId="77777777" w:rsidR="00DE0DD5" w:rsidRPr="005D4222" w:rsidRDefault="00DE0DD5">
            <w:pPr>
              <w:pStyle w:val="ECDSBody"/>
              <w:spacing w:after="0"/>
            </w:pPr>
            <w:r w:rsidRPr="005D4222">
              <w:t xml:space="preserve">Increased score indicates improvement. </w:t>
            </w:r>
          </w:p>
        </w:tc>
      </w:tr>
      <w:tr w:rsidR="00DE0DD5" w:rsidRPr="005D4222" w14:paraId="177C22A5" w14:textId="77777777">
        <w:trPr>
          <w:trHeight w:val="633"/>
        </w:trPr>
        <w:tc>
          <w:tcPr>
            <w:tcW w:w="2145" w:type="dxa"/>
            <w:tcBorders>
              <w:top w:val="nil"/>
              <w:left w:val="single" w:sz="4" w:space="0" w:color="auto"/>
              <w:bottom w:val="single" w:sz="4" w:space="0" w:color="auto"/>
              <w:right w:val="single" w:sz="4" w:space="0" w:color="auto"/>
            </w:tcBorders>
            <w:noWrap/>
            <w:tcMar>
              <w:top w:w="0" w:type="dxa"/>
              <w:left w:w="86" w:type="dxa"/>
              <w:bottom w:w="43" w:type="dxa"/>
              <w:right w:w="86" w:type="dxa"/>
            </w:tcMar>
          </w:tcPr>
          <w:p w14:paraId="2241AC92" w14:textId="77777777" w:rsidR="00DE0DD5" w:rsidRPr="005D4222" w:rsidRDefault="00DE0DD5" w:rsidP="00DE0DD5">
            <w:pPr>
              <w:pStyle w:val="ECDSSubhead"/>
            </w:pPr>
            <w:r w:rsidRPr="005D4222">
              <w:t>Guidance</w:t>
            </w:r>
          </w:p>
        </w:tc>
        <w:tc>
          <w:tcPr>
            <w:tcW w:w="7569" w:type="dxa"/>
            <w:tcBorders>
              <w:top w:val="nil"/>
              <w:left w:val="single" w:sz="4" w:space="0" w:color="auto"/>
              <w:bottom w:val="single" w:sz="4" w:space="0" w:color="auto"/>
              <w:right w:val="single" w:sz="4" w:space="0" w:color="auto"/>
            </w:tcBorders>
            <w:noWrap/>
            <w:tcMar>
              <w:top w:w="0" w:type="dxa"/>
              <w:left w:w="86" w:type="dxa"/>
              <w:bottom w:w="43" w:type="dxa"/>
              <w:right w:w="86" w:type="dxa"/>
            </w:tcMar>
          </w:tcPr>
          <w:p w14:paraId="4C8622B9" w14:textId="22DBA542" w:rsidR="00DE0DD5" w:rsidRPr="005D4222" w:rsidRDefault="00DE0DD5">
            <w:pPr>
              <w:pStyle w:val="ECDSBody"/>
            </w:pPr>
            <w:r w:rsidRPr="005D4222">
              <w:rPr>
                <w:b/>
              </w:rPr>
              <w:t xml:space="preserve">Data collection methodology: </w:t>
            </w:r>
            <w:r w:rsidRPr="005D4222">
              <w:t xml:space="preserve">Administrative. Refer to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50EEEA33" w14:textId="77777777" w:rsidR="00DE0DD5" w:rsidRPr="005D4222" w:rsidRDefault="00DE0DD5">
            <w:pPr>
              <w:pStyle w:val="ECDSBody"/>
            </w:pPr>
            <w:r w:rsidRPr="005D4222">
              <w:rPr>
                <w:b/>
              </w:rPr>
              <w:t xml:space="preserve">Date specificity: </w:t>
            </w:r>
            <w:r w:rsidRPr="005D4222">
              <w:t>Dates must be specific enough to determine the event occurred in the period being measured.</w:t>
            </w:r>
          </w:p>
          <w:p w14:paraId="789B7BF1" w14:textId="77777777" w:rsidR="00DE0DD5" w:rsidRPr="005D4222" w:rsidRDefault="00DE0DD5">
            <w:pPr>
              <w:pStyle w:val="ECDSBody"/>
              <w:rPr>
                <w:b/>
              </w:rPr>
            </w:pPr>
            <w:r w:rsidRPr="005D4222">
              <w:rPr>
                <w:b/>
              </w:rPr>
              <w:t>Which services count?</w:t>
            </w:r>
          </w:p>
          <w:p w14:paraId="7FEECF72" w14:textId="77777777" w:rsidR="00DE0DD5" w:rsidRPr="005D4222" w:rsidRDefault="00DE0DD5">
            <w:pPr>
              <w:pStyle w:val="ProcessBullet"/>
            </w:pPr>
            <w:r w:rsidRPr="005D4222">
              <w:t>Include all paid, suspended, pending and denied claims to identify the initial population and denominator exclusions.</w:t>
            </w:r>
          </w:p>
          <w:p w14:paraId="07995535" w14:textId="77777777" w:rsidR="00DE0DD5" w:rsidRPr="005D4222" w:rsidRDefault="00DE0DD5">
            <w:pPr>
              <w:pStyle w:val="ProcessBullet"/>
            </w:pPr>
            <w:r w:rsidRPr="005D4222">
              <w:t>Do not include denied claims when identifying numerator events; only include claims the organization paid for or expects to pay for (i.e., claims incurred but not paid).</w:t>
            </w:r>
          </w:p>
          <w:p w14:paraId="2066916C" w14:textId="77777777" w:rsidR="00DE0DD5" w:rsidRPr="005D4222" w:rsidRDefault="00DE0DD5">
            <w:pPr>
              <w:pStyle w:val="ECDSBody"/>
              <w:rPr>
                <w:b/>
                <w:bCs w:val="0"/>
                <w:iCs/>
              </w:rPr>
            </w:pPr>
            <w:r w:rsidRPr="005D4222">
              <w:rPr>
                <w:b/>
                <w:bCs w:val="0"/>
              </w:rPr>
              <w:t>Supplemental data exceptions:</w:t>
            </w:r>
            <w:r w:rsidRPr="005D4222">
              <w:rPr>
                <w:b/>
                <w:bCs w:val="0"/>
                <w:iCs/>
              </w:rPr>
              <w:t xml:space="preserve"> </w:t>
            </w:r>
            <w:r w:rsidRPr="005D4222">
              <w:rPr>
                <w:iCs/>
              </w:rPr>
              <w:t>Supplemental data may not be used for this measure, except for denominator exclusions.</w:t>
            </w:r>
          </w:p>
          <w:p w14:paraId="19E5946F" w14:textId="77777777" w:rsidR="00DE0DD5" w:rsidRPr="005D4222" w:rsidRDefault="00DE0DD5">
            <w:pPr>
              <w:pStyle w:val="ECDSBody"/>
            </w:pPr>
            <w:r w:rsidRPr="005D4222">
              <w:rPr>
                <w:b/>
              </w:rPr>
              <w:t>Other</w:t>
            </w:r>
            <w:r w:rsidRPr="005D4222">
              <w:t xml:space="preserve"> </w:t>
            </w:r>
            <w:r w:rsidRPr="005D4222">
              <w:rPr>
                <w:b/>
              </w:rPr>
              <w:t>guidance</w:t>
            </w:r>
            <w:r w:rsidRPr="005D4222">
              <w:rPr>
                <w:b/>
                <w:bCs w:val="0"/>
              </w:rPr>
              <w:t>:</w:t>
            </w:r>
            <w:r w:rsidRPr="005D4222">
              <w:t xml:space="preserve"> Reported as an inverted rate [1– (numerator/denominator)]. </w:t>
            </w:r>
            <w:r w:rsidRPr="005D4222">
              <w:br/>
              <w:t>A higher score indicates appropriate treatment of low back pain (i.e., the proportion for whom imaging studies did not occur).</w:t>
            </w:r>
          </w:p>
        </w:tc>
      </w:tr>
      <w:tr w:rsidR="00DE0DD5" w:rsidRPr="005D4222" w14:paraId="7AB8F6ED" w14:textId="77777777">
        <w:tc>
          <w:tcPr>
            <w:tcW w:w="9714" w:type="dxa"/>
            <w:gridSpan w:val="2"/>
            <w:tcBorders>
              <w:top w:val="single" w:sz="4" w:space="0" w:color="auto"/>
              <w:bottom w:val="single" w:sz="4" w:space="0" w:color="auto"/>
            </w:tcBorders>
            <w:shd w:val="clear" w:color="auto" w:fill="BFBFBF" w:themeFill="background1" w:themeFillShade="BF"/>
            <w:noWrap/>
            <w:tcMar>
              <w:top w:w="0" w:type="dxa"/>
              <w:left w:w="86" w:type="dxa"/>
              <w:bottom w:w="43" w:type="dxa"/>
              <w:right w:w="86" w:type="dxa"/>
            </w:tcMar>
          </w:tcPr>
          <w:p w14:paraId="1049CFE3" w14:textId="77777777" w:rsidR="00DE0DD5" w:rsidRPr="005D4222" w:rsidRDefault="00DE0DD5">
            <w:pPr>
              <w:pStyle w:val="ECDSMarginHead"/>
            </w:pPr>
            <w:r w:rsidRPr="005D4222">
              <w:t xml:space="preserve">Definitions </w:t>
            </w:r>
          </w:p>
        </w:tc>
      </w:tr>
      <w:tr w:rsidR="00DE0DD5" w:rsidRPr="005D4222" w14:paraId="33B0FA7E" w14:textId="77777777">
        <w:tc>
          <w:tcPr>
            <w:tcW w:w="2145" w:type="dxa"/>
            <w:tcBorders>
              <w:top w:val="single" w:sz="4" w:space="0" w:color="auto"/>
              <w:bottom w:val="nil"/>
            </w:tcBorders>
            <w:noWrap/>
            <w:tcMar>
              <w:top w:w="0" w:type="dxa"/>
              <w:left w:w="86" w:type="dxa"/>
              <w:bottom w:w="43" w:type="dxa"/>
              <w:right w:w="86" w:type="dxa"/>
            </w:tcMar>
          </w:tcPr>
          <w:p w14:paraId="24E5DC88" w14:textId="77777777" w:rsidR="00DE0DD5" w:rsidRPr="005D4222" w:rsidRDefault="00DE0DD5" w:rsidP="00DE0DD5">
            <w:pPr>
              <w:pStyle w:val="ECDSSubhead"/>
            </w:pPr>
            <w:r w:rsidRPr="005D4222">
              <w:t>IESD</w:t>
            </w:r>
          </w:p>
        </w:tc>
        <w:tc>
          <w:tcPr>
            <w:tcW w:w="7569" w:type="dxa"/>
            <w:tcBorders>
              <w:top w:val="single" w:sz="4" w:space="0" w:color="auto"/>
              <w:bottom w:val="nil"/>
            </w:tcBorders>
            <w:noWrap/>
            <w:tcMar>
              <w:left w:w="86" w:type="dxa"/>
              <w:bottom w:w="43" w:type="dxa"/>
              <w:right w:w="86" w:type="dxa"/>
            </w:tcMar>
          </w:tcPr>
          <w:p w14:paraId="214A1FC1" w14:textId="77777777" w:rsidR="00DE0DD5" w:rsidRPr="005D4222" w:rsidRDefault="00DE0DD5">
            <w:pPr>
              <w:pStyle w:val="ECDSBody"/>
              <w:spacing w:after="0"/>
              <w:rPr>
                <w:b/>
                <w:szCs w:val="21"/>
              </w:rPr>
            </w:pPr>
            <w:r w:rsidRPr="005D4222">
              <w:t>Index episode start date. The earliest date of service for an eligible encounter during the intake period with a principal diagnosis of low back pain.</w:t>
            </w:r>
          </w:p>
        </w:tc>
      </w:tr>
      <w:tr w:rsidR="00DE0DD5" w:rsidRPr="005D4222" w14:paraId="7C34913A" w14:textId="77777777">
        <w:tc>
          <w:tcPr>
            <w:tcW w:w="2145" w:type="dxa"/>
            <w:tcBorders>
              <w:top w:val="nil"/>
              <w:bottom w:val="nil"/>
            </w:tcBorders>
            <w:noWrap/>
            <w:tcMar>
              <w:top w:w="0" w:type="dxa"/>
              <w:left w:w="86" w:type="dxa"/>
              <w:bottom w:w="43" w:type="dxa"/>
              <w:right w:w="86" w:type="dxa"/>
            </w:tcMar>
          </w:tcPr>
          <w:p w14:paraId="27868346" w14:textId="77777777" w:rsidR="00DE0DD5" w:rsidRPr="005D4222" w:rsidRDefault="00DE0DD5" w:rsidP="00DE0DD5">
            <w:pPr>
              <w:pStyle w:val="ECDSSubhead"/>
            </w:pPr>
            <w:r w:rsidRPr="005D4222">
              <w:t>Intake period</w:t>
            </w:r>
          </w:p>
        </w:tc>
        <w:tc>
          <w:tcPr>
            <w:tcW w:w="7569" w:type="dxa"/>
            <w:tcBorders>
              <w:top w:val="nil"/>
              <w:bottom w:val="nil"/>
            </w:tcBorders>
            <w:noWrap/>
            <w:tcMar>
              <w:left w:w="86" w:type="dxa"/>
              <w:bottom w:w="43" w:type="dxa"/>
              <w:right w:w="86" w:type="dxa"/>
            </w:tcMar>
          </w:tcPr>
          <w:p w14:paraId="6E66E38D" w14:textId="77777777" w:rsidR="00DE0DD5" w:rsidRPr="005D4222" w:rsidRDefault="00DE0DD5">
            <w:pPr>
              <w:pStyle w:val="ECDSBody"/>
              <w:spacing w:after="0"/>
              <w:rPr>
                <w:szCs w:val="21"/>
              </w:rPr>
            </w:pPr>
            <w:r w:rsidRPr="005D4222">
              <w:t>January 1–December 3 of the measurement period. The intake period is used to identify the first eligible encounter with a principal diagnosis of low back pain.</w:t>
            </w:r>
          </w:p>
        </w:tc>
      </w:tr>
      <w:tr w:rsidR="00DE0DD5" w:rsidRPr="005D4222" w14:paraId="49CB9406" w14:textId="77777777">
        <w:tc>
          <w:tcPr>
            <w:tcW w:w="2145" w:type="dxa"/>
            <w:tcBorders>
              <w:top w:val="nil"/>
              <w:bottom w:val="nil"/>
            </w:tcBorders>
            <w:noWrap/>
            <w:tcMar>
              <w:top w:w="0" w:type="dxa"/>
              <w:left w:w="86" w:type="dxa"/>
              <w:bottom w:w="43" w:type="dxa"/>
              <w:right w:w="86" w:type="dxa"/>
            </w:tcMar>
          </w:tcPr>
          <w:p w14:paraId="07B46BC3" w14:textId="77777777" w:rsidR="00DE0DD5" w:rsidRPr="005D4222" w:rsidRDefault="00DE0DD5" w:rsidP="00DE0DD5">
            <w:pPr>
              <w:pStyle w:val="ECDSSubhead"/>
            </w:pPr>
            <w:r w:rsidRPr="005D4222">
              <w:t>Negative diagnosis history</w:t>
            </w:r>
          </w:p>
        </w:tc>
        <w:tc>
          <w:tcPr>
            <w:tcW w:w="7569" w:type="dxa"/>
            <w:tcBorders>
              <w:top w:val="nil"/>
              <w:bottom w:val="nil"/>
            </w:tcBorders>
            <w:noWrap/>
            <w:tcMar>
              <w:left w:w="86" w:type="dxa"/>
              <w:bottom w:w="43" w:type="dxa"/>
              <w:right w:w="86" w:type="dxa"/>
            </w:tcMar>
          </w:tcPr>
          <w:p w14:paraId="2F96DDE6" w14:textId="77777777" w:rsidR="00DE0DD5" w:rsidRPr="005D4222" w:rsidRDefault="00DE0DD5">
            <w:pPr>
              <w:pStyle w:val="ECDSBody"/>
              <w:rPr>
                <w:b/>
                <w:szCs w:val="21"/>
              </w:rPr>
            </w:pPr>
            <w:r w:rsidRPr="005D4222">
              <w:rPr>
                <w:szCs w:val="21"/>
              </w:rPr>
              <w:t>A period of 180 days prior to the IESD when the person had no claims/ encounters with any diagnosis of low back pain.</w:t>
            </w:r>
          </w:p>
        </w:tc>
      </w:tr>
      <w:tr w:rsidR="00DE0DD5" w:rsidRPr="005D4222" w14:paraId="1D50CB96" w14:textId="77777777">
        <w:trPr>
          <w:trHeight w:val="320"/>
        </w:trPr>
        <w:tc>
          <w:tcPr>
            <w:tcW w:w="2145" w:type="dxa"/>
            <w:shd w:val="clear" w:color="auto" w:fill="BFBFBF" w:themeFill="background1" w:themeFillShade="BF"/>
            <w:noWrap/>
            <w:tcMar>
              <w:top w:w="0" w:type="dxa"/>
              <w:left w:w="86" w:type="dxa"/>
              <w:bottom w:w="43" w:type="dxa"/>
              <w:right w:w="86" w:type="dxa"/>
            </w:tcMar>
          </w:tcPr>
          <w:p w14:paraId="21FA915C" w14:textId="77777777" w:rsidR="00DE0DD5" w:rsidRPr="005D4222" w:rsidRDefault="00DE0DD5">
            <w:pPr>
              <w:pStyle w:val="ECDSMarginHead"/>
            </w:pPr>
            <w:r w:rsidRPr="005D4222">
              <w:t>Initial population</w:t>
            </w:r>
          </w:p>
        </w:tc>
        <w:tc>
          <w:tcPr>
            <w:tcW w:w="7569" w:type="dxa"/>
            <w:tcBorders>
              <w:top w:val="single" w:sz="4" w:space="0" w:color="auto"/>
              <w:left w:val="single" w:sz="4" w:space="0" w:color="auto"/>
              <w:bottom w:val="single" w:sz="4" w:space="0" w:color="auto"/>
              <w:right w:val="single" w:sz="4" w:space="0" w:color="auto"/>
            </w:tcBorders>
            <w:noWrap/>
            <w:tcMar>
              <w:top w:w="0" w:type="dxa"/>
              <w:left w:w="86" w:type="dxa"/>
              <w:bottom w:w="43" w:type="dxa"/>
              <w:right w:w="86" w:type="dxa"/>
            </w:tcMar>
          </w:tcPr>
          <w:p w14:paraId="24A72E78" w14:textId="77777777" w:rsidR="00DE0DD5" w:rsidRPr="005D4222" w:rsidRDefault="00DE0DD5">
            <w:pPr>
              <w:pStyle w:val="ECDSBody"/>
            </w:pPr>
            <w:r w:rsidRPr="005D4222">
              <w:rPr>
                <w:i/>
                <w:iCs/>
              </w:rPr>
              <w:t xml:space="preserve">Measure item count: </w:t>
            </w:r>
            <w:r w:rsidRPr="005D4222">
              <w:t>Person.</w:t>
            </w:r>
          </w:p>
          <w:p w14:paraId="3CAE8657" w14:textId="77777777" w:rsidR="00DE0DD5" w:rsidRPr="005D4222" w:rsidRDefault="00DE0DD5">
            <w:pPr>
              <w:pStyle w:val="ECDSBody"/>
            </w:pPr>
            <w:r w:rsidRPr="005D4222">
              <w:rPr>
                <w:i/>
                <w:iCs/>
              </w:rPr>
              <w:t xml:space="preserve">Attribution basis: </w:t>
            </w:r>
            <w:r w:rsidRPr="005D4222">
              <w:t>Enrollment.</w:t>
            </w:r>
          </w:p>
          <w:p w14:paraId="0E647BCB" w14:textId="77777777" w:rsidR="00DE0DD5" w:rsidRPr="005D4222" w:rsidRDefault="00DE0DD5" w:rsidP="00DE0DD5">
            <w:pPr>
              <w:pStyle w:val="Bullet"/>
              <w:numPr>
                <w:ilvl w:val="0"/>
                <w:numId w:val="4"/>
              </w:numPr>
              <w:tabs>
                <w:tab w:val="left" w:pos="360"/>
                <w:tab w:val="left" w:pos="576"/>
              </w:tabs>
              <w:ind w:left="576" w:hanging="216"/>
            </w:pPr>
            <w:r w:rsidRPr="005D4222">
              <w:rPr>
                <w:i/>
                <w:iCs/>
              </w:rPr>
              <w:t xml:space="preserve">Benefits: </w:t>
            </w:r>
            <w:r w:rsidRPr="005D4222">
              <w:t>Medical.</w:t>
            </w:r>
          </w:p>
          <w:p w14:paraId="3FEDD976" w14:textId="77777777" w:rsidR="00DE0DD5" w:rsidRPr="005D4222" w:rsidRDefault="00DE0DD5" w:rsidP="00DE0DD5">
            <w:pPr>
              <w:pStyle w:val="Bullet"/>
              <w:numPr>
                <w:ilvl w:val="0"/>
                <w:numId w:val="4"/>
              </w:numPr>
              <w:tabs>
                <w:tab w:val="left" w:pos="360"/>
                <w:tab w:val="left" w:pos="576"/>
              </w:tabs>
              <w:ind w:left="576" w:hanging="216"/>
            </w:pPr>
            <w:r w:rsidRPr="005D4222">
              <w:rPr>
                <w:i/>
                <w:iCs/>
              </w:rPr>
              <w:t xml:space="preserve">Continuous enrollment: </w:t>
            </w:r>
            <w:r w:rsidRPr="005D4222">
              <w:t>180 days prior to the IESD through 28 days after the IESD.</w:t>
            </w:r>
          </w:p>
          <w:p w14:paraId="22BC5EFB" w14:textId="77777777" w:rsidR="00DE0DD5" w:rsidRPr="005D4222" w:rsidRDefault="00DE0DD5" w:rsidP="00DE0DD5">
            <w:pPr>
              <w:pStyle w:val="Bullet"/>
              <w:numPr>
                <w:ilvl w:val="0"/>
                <w:numId w:val="4"/>
              </w:numPr>
              <w:tabs>
                <w:tab w:val="left" w:pos="360"/>
                <w:tab w:val="left" w:pos="576"/>
              </w:tabs>
              <w:ind w:left="576" w:hanging="216"/>
            </w:pPr>
            <w:r w:rsidRPr="005D4222">
              <w:rPr>
                <w:i/>
                <w:iCs/>
              </w:rPr>
              <w:t xml:space="preserve">Allowable gap: </w:t>
            </w:r>
            <w:r w:rsidRPr="005D4222">
              <w:t>None.</w:t>
            </w:r>
          </w:p>
          <w:p w14:paraId="2F94983B" w14:textId="77777777" w:rsidR="00DE0DD5" w:rsidRPr="005D4222" w:rsidRDefault="00DE0DD5">
            <w:pPr>
              <w:pStyle w:val="ECDSBody"/>
            </w:pPr>
            <w:r w:rsidRPr="005D4222">
              <w:rPr>
                <w:i/>
                <w:iCs/>
              </w:rPr>
              <w:t>Ages:</w:t>
            </w:r>
            <w:r w:rsidRPr="005D4222">
              <w:t xml:space="preserve"> 18–75 years of age as of the last day of measurement period.</w:t>
            </w:r>
          </w:p>
          <w:p w14:paraId="72A0C920" w14:textId="77777777" w:rsidR="00DE0DD5" w:rsidRPr="005D4222" w:rsidRDefault="00DE0DD5">
            <w:pPr>
              <w:pStyle w:val="ECDSBody"/>
            </w:pPr>
            <w:r w:rsidRPr="005D4222">
              <w:rPr>
                <w:i/>
                <w:iCs/>
              </w:rPr>
              <w:t xml:space="preserve">Event: </w:t>
            </w:r>
            <w:r w:rsidRPr="005D4222">
              <w:rPr>
                <w:b/>
                <w:bCs w:val="0"/>
              </w:rPr>
              <w:t>Low</w:t>
            </w:r>
            <w:r w:rsidRPr="005D4222">
              <w:rPr>
                <w:b/>
              </w:rPr>
              <w:t xml:space="preserve"> back pain diagnosis.</w:t>
            </w:r>
            <w:r w:rsidRPr="005D4222">
              <w:t xml:space="preserve"> </w:t>
            </w:r>
          </w:p>
        </w:tc>
      </w:tr>
    </w:tbl>
    <w:p w14:paraId="4F62F2DA" w14:textId="77777777" w:rsidR="00DE0DD5" w:rsidRPr="005D4222" w:rsidRDefault="00DE0DD5" w:rsidP="00DE0DD5">
      <w:pPr>
        <w:spacing w:after="160" w:line="259" w:lineRule="auto"/>
      </w:pPr>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45"/>
        <w:gridCol w:w="7569"/>
      </w:tblGrid>
      <w:tr w:rsidR="00DE0DD5" w:rsidRPr="005D4222" w14:paraId="0EB3A3EA" w14:textId="77777777">
        <w:trPr>
          <w:trHeight w:val="320"/>
        </w:trPr>
        <w:tc>
          <w:tcPr>
            <w:tcW w:w="2145" w:type="dxa"/>
            <w:shd w:val="clear" w:color="auto" w:fill="BFBFBF" w:themeFill="background1" w:themeFillShade="BF"/>
            <w:noWrap/>
            <w:tcMar>
              <w:top w:w="0" w:type="dxa"/>
              <w:left w:w="86" w:type="dxa"/>
              <w:bottom w:w="43" w:type="dxa"/>
              <w:right w:w="86" w:type="dxa"/>
            </w:tcMar>
          </w:tcPr>
          <w:p w14:paraId="220B6B71" w14:textId="77777777" w:rsidR="00DE0DD5" w:rsidRPr="005D4222" w:rsidRDefault="00DE0DD5">
            <w:pPr>
              <w:pStyle w:val="ECDSMarginHead"/>
            </w:pPr>
          </w:p>
        </w:tc>
        <w:tc>
          <w:tcPr>
            <w:tcW w:w="7569" w:type="dxa"/>
            <w:tcBorders>
              <w:top w:val="single" w:sz="4" w:space="0" w:color="auto"/>
              <w:left w:val="single" w:sz="4" w:space="0" w:color="auto"/>
              <w:bottom w:val="single" w:sz="4" w:space="0" w:color="auto"/>
              <w:right w:val="single" w:sz="4" w:space="0" w:color="auto"/>
            </w:tcBorders>
            <w:noWrap/>
            <w:tcMar>
              <w:top w:w="0" w:type="dxa"/>
              <w:left w:w="86" w:type="dxa"/>
              <w:bottom w:w="43" w:type="dxa"/>
              <w:right w:w="86" w:type="dxa"/>
            </w:tcMar>
          </w:tcPr>
          <w:p w14:paraId="2B258427" w14:textId="77777777" w:rsidR="00DE0DD5" w:rsidRPr="005D4222" w:rsidRDefault="00DE0DD5">
            <w:pPr>
              <w:pStyle w:val="ECDSBody"/>
            </w:pPr>
            <w:r w:rsidRPr="005D4222">
              <w:rPr>
                <w:b/>
              </w:rPr>
              <w:t xml:space="preserve">Step 1. </w:t>
            </w:r>
            <w:r w:rsidRPr="005D4222">
              <w:t>Identify persons with a principal diagnosis of uncomplicated low back pain (</w:t>
            </w:r>
            <w:r w:rsidRPr="005D4222">
              <w:rPr>
                <w:u w:val="single"/>
              </w:rPr>
              <w:t>Uncomplicated Low Back Pain Value Set</w:t>
            </w:r>
            <w:r w:rsidRPr="005D4222">
              <w:t>*) during the intake period. Do not include inpatient stays (</w:t>
            </w:r>
            <w:r w:rsidRPr="005D4222">
              <w:rPr>
                <w:u w:val="single"/>
              </w:rPr>
              <w:t>Inpatient Stay Value Set</w:t>
            </w:r>
            <w:r w:rsidRPr="005D4222">
              <w:t>) or visits that result in an inpatient stay (</w:t>
            </w:r>
            <w:r w:rsidRPr="005D4222">
              <w:rPr>
                <w:u w:val="single"/>
              </w:rPr>
              <w:t>Inpatient Stay Value Set</w:t>
            </w:r>
            <w:r w:rsidRPr="005D4222">
              <w:t xml:space="preserve">). </w:t>
            </w:r>
          </w:p>
          <w:p w14:paraId="594B8530" w14:textId="77777777" w:rsidR="00DE0DD5" w:rsidRPr="005D4222" w:rsidRDefault="00DE0DD5">
            <w:pPr>
              <w:pStyle w:val="ECDSBody"/>
            </w:pPr>
            <w:r w:rsidRPr="005D4222">
              <w:rPr>
                <w:b/>
              </w:rPr>
              <w:t xml:space="preserve">Step 2. </w:t>
            </w:r>
            <w:r w:rsidRPr="005D4222">
              <w:t>Determine the IESD. For each person identified in step 1, determine the earliest episode of low back pain. If the person had more than one encounter, include only the first encounter.</w:t>
            </w:r>
          </w:p>
          <w:p w14:paraId="4141650B" w14:textId="77777777" w:rsidR="00DE0DD5" w:rsidRPr="005D4222" w:rsidRDefault="00DE0DD5">
            <w:pPr>
              <w:pStyle w:val="ECDSBody"/>
            </w:pPr>
            <w:r w:rsidRPr="005D4222">
              <w:rPr>
                <w:b/>
              </w:rPr>
              <w:t xml:space="preserve">Step 3. </w:t>
            </w:r>
            <w:r w:rsidRPr="005D4222">
              <w:t>Test for negative diagnosis history. Remove persons with a diagnosis of uncomplicated low back pain (</w:t>
            </w:r>
            <w:r w:rsidRPr="005D4222">
              <w:rPr>
                <w:u w:val="single"/>
              </w:rPr>
              <w:t>Uncomplicated Low Back Pain Value Set</w:t>
            </w:r>
            <w:r w:rsidRPr="005D4222">
              <w:t xml:space="preserve">*) during the 180 days prior to the IESD. </w:t>
            </w:r>
          </w:p>
          <w:p w14:paraId="04CE3256" w14:textId="77777777" w:rsidR="00DE0DD5" w:rsidRPr="005D4222" w:rsidRDefault="00DE0DD5">
            <w:pPr>
              <w:pStyle w:val="ECDSBody"/>
            </w:pPr>
            <w:r w:rsidRPr="005D4222">
              <w:rPr>
                <w:b/>
              </w:rPr>
              <w:t xml:space="preserve">Step 4. </w:t>
            </w:r>
            <w:r w:rsidRPr="005D4222">
              <w:t>Calculate continuous enrollment.</w:t>
            </w:r>
          </w:p>
          <w:p w14:paraId="756DD0D3" w14:textId="77777777" w:rsidR="00DE0DD5" w:rsidRPr="005D4222" w:rsidRDefault="00DE0DD5">
            <w:pPr>
              <w:pStyle w:val="ECDSBody"/>
              <w:spacing w:after="0"/>
              <w:rPr>
                <w:b/>
              </w:rPr>
            </w:pPr>
            <w:r w:rsidRPr="005D4222">
              <w:rPr>
                <w:b/>
              </w:rPr>
              <w:t>Coding Guidance</w:t>
            </w:r>
          </w:p>
          <w:p w14:paraId="10F128B7" w14:textId="77777777" w:rsidR="00DE0DD5" w:rsidRPr="005D4222" w:rsidRDefault="00DE0DD5">
            <w:pPr>
              <w:pStyle w:val="ECDSBody"/>
              <w:spacing w:before="0"/>
              <w:rPr>
                <w:i/>
                <w:iCs/>
              </w:rPr>
            </w:pPr>
            <w:r w:rsidRPr="005D4222">
              <w:rPr>
                <w:b/>
              </w:rPr>
              <w:t>*</w:t>
            </w:r>
            <w:r w:rsidRPr="005D4222">
              <w:t>Do not include laboratory claims (claims with POS code 81).</w:t>
            </w:r>
          </w:p>
        </w:tc>
      </w:tr>
      <w:tr w:rsidR="00DE0DD5" w:rsidRPr="005D4222" w14:paraId="15FCA6A9" w14:textId="77777777">
        <w:tc>
          <w:tcPr>
            <w:tcW w:w="2145" w:type="dxa"/>
            <w:tcBorders>
              <w:top w:val="single" w:sz="2" w:space="0" w:color="auto"/>
              <w:left w:val="single" w:sz="2" w:space="0" w:color="auto"/>
              <w:bottom w:val="single" w:sz="4" w:space="0" w:color="auto"/>
              <w:right w:val="single" w:sz="2" w:space="0" w:color="auto"/>
            </w:tcBorders>
            <w:shd w:val="clear" w:color="auto" w:fill="BFBFBF" w:themeFill="background1" w:themeFillShade="BF"/>
            <w:noWrap/>
            <w:tcMar>
              <w:top w:w="0" w:type="dxa"/>
              <w:left w:w="86" w:type="dxa"/>
              <w:bottom w:w="43" w:type="dxa"/>
              <w:right w:w="86" w:type="dxa"/>
            </w:tcMar>
          </w:tcPr>
          <w:p w14:paraId="1CA3FAA9" w14:textId="77777777" w:rsidR="00DE0DD5" w:rsidRPr="005D4222" w:rsidRDefault="00DE0DD5">
            <w:pPr>
              <w:pStyle w:val="ECDSMarginHead"/>
            </w:pPr>
            <w:r w:rsidRPr="005D4222">
              <w:t xml:space="preserve">Denominator exclusions </w:t>
            </w:r>
          </w:p>
        </w:tc>
        <w:tc>
          <w:tcPr>
            <w:tcW w:w="7569" w:type="dxa"/>
            <w:tcBorders>
              <w:top w:val="single" w:sz="4" w:space="0" w:color="auto"/>
              <w:left w:val="single" w:sz="4" w:space="0" w:color="auto"/>
              <w:bottom w:val="single" w:sz="4" w:space="0" w:color="auto"/>
              <w:right w:val="single" w:sz="4" w:space="0" w:color="auto"/>
            </w:tcBorders>
            <w:noWrap/>
            <w:tcMar>
              <w:top w:w="0" w:type="dxa"/>
              <w:left w:w="86" w:type="dxa"/>
              <w:bottom w:w="43" w:type="dxa"/>
              <w:right w:w="86" w:type="dxa"/>
            </w:tcMar>
            <w:vAlign w:val="center"/>
          </w:tcPr>
          <w:p w14:paraId="59D3F724" w14:textId="77777777" w:rsidR="00DE0DD5" w:rsidRPr="005D4222" w:rsidRDefault="00DE0DD5">
            <w:pPr>
              <w:pStyle w:val="ECDSBody"/>
              <w:rPr>
                <w:rFonts w:ascii="Segoe UI" w:hAnsi="Segoe UI" w:cs="Segoe UI"/>
                <w:sz w:val="18"/>
                <w:szCs w:val="18"/>
              </w:rPr>
            </w:pPr>
            <w:r w:rsidRPr="005D4222" w:rsidDel="00A91419">
              <w:rPr>
                <w:b/>
              </w:rPr>
              <w:t xml:space="preserve">Persons with a </w:t>
            </w:r>
            <w:r w:rsidRPr="005D4222">
              <w:rPr>
                <w:b/>
              </w:rPr>
              <w:t>date of death.</w:t>
            </w:r>
            <w:r w:rsidRPr="005D4222">
              <w:rPr>
                <w:b/>
              </w:rPr>
              <w:br/>
            </w:r>
            <w:r w:rsidRPr="005D4222">
              <w:t>Death in the measurement period, identified using data sources determined by the organization. Method and data sources are subject to review during the HEDIS audit. </w:t>
            </w:r>
          </w:p>
          <w:p w14:paraId="33BD0070" w14:textId="77777777" w:rsidR="00DE0DD5" w:rsidRPr="005D4222" w:rsidRDefault="00DE0DD5">
            <w:pPr>
              <w:pStyle w:val="ECDSBody"/>
              <w:rPr>
                <w:rFonts w:eastAsia="Arial,Arial,Arial,Arial,Arial,A"/>
              </w:rPr>
            </w:pPr>
            <w:r w:rsidRPr="005D4222" w:rsidDel="00A91419">
              <w:rPr>
                <w:rFonts w:eastAsia="Arial,Arial,Arial,Arial,Arial,A"/>
                <w:b/>
              </w:rPr>
              <w:t xml:space="preserve">Persons </w:t>
            </w:r>
            <w:r w:rsidRPr="005D4222">
              <w:rPr>
                <w:rFonts w:eastAsia="Arial,Arial,Arial,Arial,Arial,A"/>
                <w:b/>
              </w:rPr>
              <w:t>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74C692CA" w14:textId="77777777" w:rsidR="00DE0DD5" w:rsidRPr="005D4222" w:rsidRDefault="00DE0DD5">
            <w:pPr>
              <w:pStyle w:val="ECDSBody"/>
            </w:pPr>
            <w:r w:rsidRPr="005D4222" w:rsidDel="00AA4A01">
              <w:rPr>
                <w:b/>
              </w:rPr>
              <w:t xml:space="preserve">Persons </w:t>
            </w:r>
            <w:r w:rsidRPr="005D4222">
              <w:rPr>
                <w:b/>
              </w:rPr>
              <w:t>receiving palliative care.</w:t>
            </w:r>
            <w:r w:rsidRPr="005D4222">
              <w:rPr>
                <w:b/>
              </w:rPr>
              <w:br/>
            </w:r>
            <w:r w:rsidRPr="005D4222">
              <w:t>Persons receiving palliative care (</w:t>
            </w:r>
            <w:r w:rsidRPr="005D4222">
              <w:rPr>
                <w:u w:val="single"/>
              </w:rPr>
              <w:t>Palliative Care Assessment Value Set</w:t>
            </w:r>
            <w:r w:rsidRPr="005D4222">
              <w:t xml:space="preserve">; </w:t>
            </w:r>
            <w:r w:rsidRPr="005D4222">
              <w:rPr>
                <w:u w:val="single"/>
              </w:rPr>
              <w:t>Palliative Care Encounter Value Set</w:t>
            </w:r>
            <w:r w:rsidRPr="005D4222">
              <w:t xml:space="preserve">; </w:t>
            </w:r>
            <w:r w:rsidRPr="005D4222">
              <w:rPr>
                <w:u w:val="single"/>
              </w:rPr>
              <w:t>Palliative Care Intervention Value Set</w:t>
            </w:r>
            <w:r w:rsidRPr="005D4222">
              <w:t xml:space="preserve">) or who had an encounter for palliative care (ICD-10-CM code Z51.5*) any time during the measurement period. </w:t>
            </w:r>
          </w:p>
          <w:p w14:paraId="00FA41E1" w14:textId="77777777" w:rsidR="00DE0DD5" w:rsidRPr="005D4222" w:rsidRDefault="00DE0DD5">
            <w:pPr>
              <w:pStyle w:val="ECDSBody"/>
              <w:rPr>
                <w:b/>
              </w:rPr>
            </w:pPr>
            <w:r w:rsidRPr="005D4222">
              <w:rPr>
                <w:b/>
              </w:rPr>
              <w:t>Persons 66 years of age and older by the last day of the measurement period, with both frailty and advanced illness.</w:t>
            </w:r>
          </w:p>
          <w:p w14:paraId="1BBDF6D5" w14:textId="77777777" w:rsidR="00DE0DD5" w:rsidRPr="005D4222" w:rsidRDefault="00DE0DD5">
            <w:pPr>
              <w:pStyle w:val="Body"/>
              <w:spacing w:before="60" w:after="60"/>
              <w:ind w:left="288" w:hanging="288"/>
              <w:rPr>
                <w:rFonts w:cs="Arial"/>
                <w:u w:val="single"/>
              </w:rPr>
            </w:pPr>
            <w:r w:rsidRPr="005D4222">
              <w:t>1.</w:t>
            </w:r>
            <w:r w:rsidRPr="005D4222">
              <w:rPr>
                <w:b/>
                <w:bCs/>
              </w:rPr>
              <w:tab/>
              <w:t>Frailty.</w:t>
            </w:r>
            <w:r w:rsidRPr="005D4222">
              <w:t xml:space="preserve"> </w:t>
            </w:r>
            <w:r w:rsidRPr="005D4222">
              <w:rPr>
                <w:rFonts w:cs="Arial"/>
              </w:rPr>
              <w:t>At least two indications of frailty (</w:t>
            </w:r>
            <w:r w:rsidRPr="005D4222">
              <w:rPr>
                <w:rFonts w:cs="Arial"/>
                <w:u w:val="single"/>
              </w:rPr>
              <w:t>Frailty Device Value Set</w:t>
            </w:r>
            <w:r w:rsidRPr="005D4222">
              <w:rPr>
                <w:rFonts w:cs="Arial"/>
              </w:rPr>
              <w:t xml:space="preserve">; </w:t>
            </w:r>
            <w:r w:rsidRPr="005D4222">
              <w:rPr>
                <w:rFonts w:cs="Arial"/>
                <w:u w:val="single"/>
              </w:rPr>
              <w:t>Frailty Diagnosis Value Set</w:t>
            </w:r>
            <w:r w:rsidRPr="005D4222">
              <w:rPr>
                <w:rFonts w:cs="Arial"/>
              </w:rPr>
              <w:t xml:space="preserve">*; </w:t>
            </w:r>
            <w:r w:rsidRPr="005D4222">
              <w:rPr>
                <w:rFonts w:cs="Arial"/>
                <w:u w:val="single"/>
              </w:rPr>
              <w:t>Frailty Encounter Value Set</w:t>
            </w:r>
            <w:r w:rsidRPr="005D4222">
              <w:rPr>
                <w:rFonts w:cs="Arial"/>
              </w:rPr>
              <w:t xml:space="preserve">; </w:t>
            </w:r>
            <w:r w:rsidRPr="005D4222">
              <w:rPr>
                <w:rFonts w:cs="Arial"/>
                <w:u w:val="single"/>
              </w:rPr>
              <w:t>Frailty Symptom Value Set</w:t>
            </w:r>
            <w:r w:rsidRPr="005D4222">
              <w:rPr>
                <w:rFonts w:cs="Arial"/>
              </w:rPr>
              <w:t>*) with different dates of service during the measurement period.</w:t>
            </w:r>
          </w:p>
          <w:p w14:paraId="61B315A8" w14:textId="77777777" w:rsidR="00DE0DD5" w:rsidRPr="005D4222" w:rsidRDefault="00DE0DD5">
            <w:pPr>
              <w:pStyle w:val="Body"/>
              <w:spacing w:before="60" w:after="60"/>
              <w:ind w:left="288" w:hanging="288"/>
              <w:rPr>
                <w:rFonts w:cs="Arial"/>
              </w:rPr>
            </w:pPr>
            <w:r w:rsidRPr="005D4222">
              <w:t>2.</w:t>
            </w:r>
            <w:r w:rsidRPr="005D4222">
              <w:tab/>
            </w:r>
            <w:r w:rsidRPr="005D4222">
              <w:rPr>
                <w:b/>
                <w:bCs/>
              </w:rPr>
              <w:t>Advanced illness.</w:t>
            </w:r>
            <w:r w:rsidRPr="005D4222">
              <w:t xml:space="preserve"> Either</w:t>
            </w:r>
            <w:r w:rsidRPr="005D4222">
              <w:rPr>
                <w:rFonts w:cs="Arial"/>
              </w:rPr>
              <w:t xml:space="preserve"> of the following during the measurement period or the year prior to the measurement period: </w:t>
            </w:r>
          </w:p>
          <w:p w14:paraId="2E52AFED" w14:textId="77777777" w:rsidR="00DE0DD5" w:rsidRPr="005D4222" w:rsidRDefault="00DE0DD5" w:rsidP="00DE0DD5">
            <w:pPr>
              <w:pStyle w:val="ProcessDash"/>
              <w:tabs>
                <w:tab w:val="clear" w:pos="432"/>
              </w:tabs>
              <w:spacing w:after="40"/>
              <w:ind w:left="504"/>
            </w:pPr>
            <w:r w:rsidRPr="005D4222">
              <w:t>Advanced illness (</w:t>
            </w:r>
            <w:r w:rsidRPr="005D4222">
              <w:rPr>
                <w:u w:val="single"/>
              </w:rPr>
              <w:t>Advanced Illness Value Set</w:t>
            </w:r>
            <w:r w:rsidRPr="005D4222">
              <w:t>*) on at least two different dates of service.</w:t>
            </w:r>
          </w:p>
          <w:p w14:paraId="3533E9D2" w14:textId="77777777" w:rsidR="00DE0DD5" w:rsidRPr="005D4222" w:rsidRDefault="00DE0DD5" w:rsidP="00DE0DD5">
            <w:pPr>
              <w:pStyle w:val="ProcessDash"/>
              <w:tabs>
                <w:tab w:val="clear" w:pos="432"/>
              </w:tabs>
              <w:spacing w:after="40"/>
              <w:ind w:left="504"/>
            </w:pPr>
            <w:r w:rsidRPr="005D4222">
              <w:t>Dispensed dementia medication (</w:t>
            </w:r>
            <w:r w:rsidRPr="005D4222">
              <w:rPr>
                <w:u w:val="single"/>
              </w:rPr>
              <w:t>Dementia Medications List</w:t>
            </w:r>
            <w:r w:rsidRPr="005D4222">
              <w:t>).</w:t>
            </w:r>
          </w:p>
          <w:p w14:paraId="239DE526" w14:textId="77777777" w:rsidR="00DE0DD5" w:rsidRPr="005D4222" w:rsidRDefault="00DE0DD5">
            <w:pPr>
              <w:pStyle w:val="ECDSBody"/>
              <w:rPr>
                <w:b/>
                <w:bCs w:val="0"/>
              </w:rPr>
            </w:pPr>
            <w:r w:rsidRPr="005D4222">
              <w:rPr>
                <w:b/>
                <w:bCs w:val="0"/>
              </w:rPr>
              <w:t>Persons with the following diagnoses or procedures that may warrant imaging any time during the person’s history through 28 days after the IESD:</w:t>
            </w:r>
          </w:p>
          <w:p w14:paraId="7B6C9DB2" w14:textId="77777777" w:rsidR="00DE0DD5" w:rsidRPr="005D4222" w:rsidRDefault="00DE0DD5">
            <w:pPr>
              <w:pStyle w:val="ProcessBullet"/>
            </w:pPr>
            <w:r w:rsidRPr="005D4222">
              <w:t>Cancer, HIV, history of organ transplant, osteoporosis or spondylopathy (</w:t>
            </w:r>
            <w:r w:rsidRPr="005D4222">
              <w:rPr>
                <w:u w:val="single"/>
              </w:rPr>
              <w:t>Diagnosis History That May Warrant Imaging Value Set</w:t>
            </w:r>
            <w:r w:rsidRPr="005D4222">
              <w:rPr>
                <w:rFonts w:cs="Arial"/>
              </w:rPr>
              <w:t>*</w:t>
            </w:r>
            <w:r w:rsidRPr="005D4222">
              <w:t>).</w:t>
            </w:r>
          </w:p>
          <w:p w14:paraId="10EAAD07" w14:textId="77777777" w:rsidR="00DE0DD5" w:rsidRPr="005D4222" w:rsidRDefault="00DE0DD5">
            <w:pPr>
              <w:pStyle w:val="ProcessBullet"/>
              <w:spacing w:after="80"/>
              <w:rPr>
                <w:rStyle w:val="contextualspellingandgrammarerror"/>
                <w:rFonts w:eastAsiaTheme="majorEastAsia"/>
              </w:rPr>
            </w:pPr>
            <w:r w:rsidRPr="005D4222">
              <w:t>Organ transplant, lumbar surgery or medication treatment for osteoporosis (</w:t>
            </w:r>
            <w:r w:rsidRPr="005D4222">
              <w:rPr>
                <w:u w:val="single"/>
              </w:rPr>
              <w:t>Procedure History That May Warrant Imaging Value Set</w:t>
            </w:r>
            <w:r w:rsidRPr="005D4222">
              <w:t>).</w:t>
            </w:r>
          </w:p>
        </w:tc>
      </w:tr>
    </w:tbl>
    <w:p w14:paraId="18924EF4" w14:textId="77777777" w:rsidR="00DE0DD5" w:rsidRPr="005D4222" w:rsidRDefault="00DE0DD5" w:rsidP="00DE0DD5">
      <w:pPr>
        <w:spacing w:after="160" w:line="259" w:lineRule="auto"/>
      </w:pPr>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45"/>
        <w:gridCol w:w="7569"/>
      </w:tblGrid>
      <w:tr w:rsidR="00DE0DD5" w:rsidRPr="005D4222" w14:paraId="008B6F01" w14:textId="77777777">
        <w:tc>
          <w:tcPr>
            <w:tcW w:w="2145" w:type="dxa"/>
            <w:tcBorders>
              <w:top w:val="single" w:sz="2" w:space="0" w:color="auto"/>
              <w:left w:val="single" w:sz="2" w:space="0" w:color="auto"/>
              <w:bottom w:val="single" w:sz="4" w:space="0" w:color="auto"/>
              <w:right w:val="single" w:sz="2" w:space="0" w:color="auto"/>
            </w:tcBorders>
            <w:shd w:val="clear" w:color="auto" w:fill="BFBFBF" w:themeFill="background1" w:themeFillShade="BF"/>
            <w:noWrap/>
            <w:tcMar>
              <w:top w:w="0" w:type="dxa"/>
              <w:left w:w="86" w:type="dxa"/>
              <w:bottom w:w="43" w:type="dxa"/>
              <w:right w:w="86" w:type="dxa"/>
            </w:tcMar>
          </w:tcPr>
          <w:p w14:paraId="3FEBAAE7" w14:textId="77777777" w:rsidR="00DE0DD5" w:rsidRPr="005D4222" w:rsidRDefault="00DE0DD5">
            <w:pPr>
              <w:pStyle w:val="ECDSMarginHead"/>
            </w:pPr>
          </w:p>
        </w:tc>
        <w:tc>
          <w:tcPr>
            <w:tcW w:w="7569" w:type="dxa"/>
            <w:tcBorders>
              <w:top w:val="single" w:sz="4" w:space="0" w:color="auto"/>
              <w:left w:val="single" w:sz="4" w:space="0" w:color="auto"/>
              <w:bottom w:val="single" w:sz="4" w:space="0" w:color="auto"/>
              <w:right w:val="single" w:sz="4" w:space="0" w:color="auto"/>
            </w:tcBorders>
            <w:noWrap/>
            <w:tcMar>
              <w:top w:w="0" w:type="dxa"/>
              <w:left w:w="86" w:type="dxa"/>
              <w:bottom w:w="43" w:type="dxa"/>
              <w:right w:w="86" w:type="dxa"/>
            </w:tcMar>
            <w:vAlign w:val="center"/>
          </w:tcPr>
          <w:p w14:paraId="4F08259A" w14:textId="77777777" w:rsidR="00DE0DD5" w:rsidRPr="005D4222" w:rsidRDefault="00DE0DD5">
            <w:pPr>
              <w:pStyle w:val="ProcessBullet"/>
              <w:spacing w:before="120"/>
            </w:pPr>
            <w:r w:rsidRPr="005D4222">
              <w:t>A dispensed prescription to treat osteoporosis (</w:t>
            </w:r>
            <w:r w:rsidRPr="005D4222">
              <w:rPr>
                <w:u w:val="single"/>
              </w:rPr>
              <w:t>Osteoporosis Medications List</w:t>
            </w:r>
            <w:r w:rsidRPr="005D4222">
              <w:t>).</w:t>
            </w:r>
          </w:p>
          <w:p w14:paraId="06975BF1" w14:textId="77777777" w:rsidR="00DE0DD5" w:rsidRPr="005D4222" w:rsidRDefault="00DE0DD5">
            <w:pPr>
              <w:pStyle w:val="ECDSBody"/>
            </w:pPr>
            <w:r w:rsidRPr="005D4222">
              <w:rPr>
                <w:b/>
                <w:bCs w:val="0"/>
              </w:rPr>
              <w:t>Persons with a recent diagnosis that may warrant imaging any time during the 365 days prior to the IESD through 28 days after the IESD.</w:t>
            </w:r>
            <w:r w:rsidRPr="005D4222">
              <w:rPr>
                <w:b/>
                <w:bCs w:val="0"/>
              </w:rPr>
              <w:br/>
            </w:r>
            <w:r w:rsidRPr="005D4222">
              <w:t>IV drug abuse, neurologic impairment or spinal infection (</w:t>
            </w:r>
            <w:r w:rsidRPr="005D4222">
              <w:rPr>
                <w:u w:val="single"/>
              </w:rPr>
              <w:t>Recent Diagnoses That May Warrant Imaging Value Set</w:t>
            </w:r>
            <w:r w:rsidRPr="005D4222">
              <w:t>*).</w:t>
            </w:r>
          </w:p>
          <w:p w14:paraId="77AEDB9A" w14:textId="77777777" w:rsidR="00DE0DD5" w:rsidRPr="005D4222" w:rsidRDefault="00DE0DD5">
            <w:pPr>
              <w:pStyle w:val="ECDSBody"/>
            </w:pPr>
            <w:r w:rsidRPr="005D4222">
              <w:rPr>
                <w:b/>
                <w:bCs w:val="0"/>
              </w:rPr>
              <w:t>Persons with a recent injury that may warrant imaging any time during the 90 days prior to the IESD through 28 days after the IESD.</w:t>
            </w:r>
            <w:r w:rsidRPr="005D4222">
              <w:rPr>
                <w:b/>
                <w:bCs w:val="0"/>
              </w:rPr>
              <w:br/>
            </w:r>
            <w:r w:rsidRPr="005D4222">
              <w:t>Trauma or a fragility fracture (</w:t>
            </w:r>
            <w:r w:rsidRPr="005D4222">
              <w:rPr>
                <w:u w:val="single"/>
              </w:rPr>
              <w:t>Recent Injuries That May Warrant Imaging Value Set</w:t>
            </w:r>
            <w:r w:rsidRPr="005D4222">
              <w:t>*).</w:t>
            </w:r>
          </w:p>
          <w:p w14:paraId="0A2BA5D9" w14:textId="77777777" w:rsidR="00DE0DD5" w:rsidRPr="005D4222" w:rsidRDefault="00DE0DD5">
            <w:pPr>
              <w:pStyle w:val="ECDSBody"/>
            </w:pPr>
            <w:r w:rsidRPr="005D4222">
              <w:rPr>
                <w:b/>
                <w:bCs w:val="0"/>
              </w:rPr>
              <w:t xml:space="preserve">Persons with prolonged use of corticosteroids. </w:t>
            </w:r>
            <w:r w:rsidRPr="005D4222">
              <w:rPr>
                <w:b/>
                <w:bCs w:val="0"/>
              </w:rPr>
              <w:br/>
            </w:r>
            <w:r w:rsidRPr="005D4222">
              <w:t xml:space="preserve">90 consecutive days of corticosteroid treatment any time during the 366-day period that begins 365 days prior to the IESD and ends on the IESD. </w:t>
            </w:r>
          </w:p>
          <w:p w14:paraId="478635E5" w14:textId="77777777" w:rsidR="00DE0DD5" w:rsidRPr="005D4222" w:rsidRDefault="00DE0DD5">
            <w:pPr>
              <w:pStyle w:val="ECDSBody"/>
            </w:pPr>
            <w:r w:rsidRPr="005D4222">
              <w:t>To identify consecutive treatment days, identify calendar days covered by at least one dispensed corticosteroid (</w:t>
            </w:r>
            <w:r w:rsidRPr="005D4222">
              <w:rPr>
                <w:u w:val="single"/>
              </w:rPr>
              <w:t>Corticosteroid Medications List</w:t>
            </w:r>
            <w:r w:rsidRPr="005D4222">
              <w:t xml:space="preserve">). For overlapping prescriptions and multiple prescriptions on the same day assume the person started taking the second prescription after exhausting the first prescription. </w:t>
            </w:r>
          </w:p>
          <w:p w14:paraId="02CE77A6" w14:textId="77777777" w:rsidR="00DE0DD5" w:rsidRPr="005D4222" w:rsidRDefault="00DE0DD5" w:rsidP="00DE0DD5">
            <w:pPr>
              <w:pStyle w:val="Bullet"/>
              <w:numPr>
                <w:ilvl w:val="0"/>
                <w:numId w:val="4"/>
              </w:numPr>
              <w:tabs>
                <w:tab w:val="left" w:pos="360"/>
                <w:tab w:val="left" w:pos="576"/>
              </w:tabs>
              <w:ind w:left="576" w:hanging="216"/>
            </w:pPr>
            <w:r w:rsidRPr="005D4222">
              <w:rPr>
                <w:i/>
              </w:rPr>
              <w:t>For example</w:t>
            </w:r>
            <w:r w:rsidRPr="005D4222">
              <w:t>, if there is a 30-day prescription dispensed on June 1 and a 30-day prescription dispensed on June 26, there are 60 covered calendar days (June 1–July 30).</w:t>
            </w:r>
          </w:p>
          <w:p w14:paraId="45D0CC88" w14:textId="77777777" w:rsidR="00DE0DD5" w:rsidRPr="005D4222" w:rsidRDefault="00DE0DD5">
            <w:pPr>
              <w:pStyle w:val="ECDSBody"/>
            </w:pPr>
            <w:r w:rsidRPr="005D4222">
              <w:t xml:space="preserve">Count only medications dispensed during the 365 days prior to and including the IESD. When identifying consecutive treatment days, do not count days supply that extend beyond the IESD. </w:t>
            </w:r>
          </w:p>
          <w:p w14:paraId="76436435" w14:textId="77777777" w:rsidR="00DE0DD5" w:rsidRPr="005D4222" w:rsidRDefault="00DE0DD5" w:rsidP="00DE0DD5">
            <w:pPr>
              <w:pStyle w:val="Bullet"/>
              <w:numPr>
                <w:ilvl w:val="0"/>
                <w:numId w:val="4"/>
              </w:numPr>
              <w:tabs>
                <w:tab w:val="left" w:pos="360"/>
                <w:tab w:val="left" w:pos="576"/>
              </w:tabs>
              <w:ind w:left="576" w:hanging="216"/>
            </w:pPr>
            <w:r w:rsidRPr="005D4222">
              <w:rPr>
                <w:i/>
              </w:rPr>
              <w:t>For example</w:t>
            </w:r>
            <w:r w:rsidRPr="005D4222">
              <w:t>, if there is a 90-day prescription dispensed on the IESD, there is one covered calendar day (the IESD).</w:t>
            </w:r>
          </w:p>
          <w:p w14:paraId="12683E31" w14:textId="77777777" w:rsidR="00DE0DD5" w:rsidRPr="005D4222" w:rsidRDefault="00DE0DD5">
            <w:pPr>
              <w:pStyle w:val="ECDSBody"/>
            </w:pPr>
            <w:r w:rsidRPr="005D4222">
              <w:t>No gaps are allowed.</w:t>
            </w:r>
          </w:p>
          <w:p w14:paraId="442697DF" w14:textId="77777777" w:rsidR="00DE0DD5" w:rsidRPr="005D4222" w:rsidRDefault="00DE0DD5">
            <w:pPr>
              <w:pStyle w:val="ECDSBody"/>
              <w:spacing w:after="0"/>
              <w:rPr>
                <w:b/>
                <w:bCs w:val="0"/>
              </w:rPr>
            </w:pPr>
            <w:r w:rsidRPr="005D4222">
              <w:rPr>
                <w:b/>
                <w:bCs w:val="0"/>
              </w:rPr>
              <w:t>Coding Guidance</w:t>
            </w:r>
          </w:p>
          <w:p w14:paraId="179D1716" w14:textId="77777777" w:rsidR="00DE0DD5" w:rsidRPr="005D4222" w:rsidDel="00A91419" w:rsidRDefault="00DE0DD5">
            <w:pPr>
              <w:pStyle w:val="ECDSBody"/>
              <w:spacing w:before="0"/>
            </w:pPr>
            <w:r w:rsidRPr="005D4222">
              <w:t>*Do not include laboratory claims (claims with POS code 81).</w:t>
            </w:r>
          </w:p>
        </w:tc>
      </w:tr>
      <w:tr w:rsidR="00DE0DD5" w:rsidRPr="005D4222" w14:paraId="7029A300" w14:textId="77777777">
        <w:tc>
          <w:tcPr>
            <w:tcW w:w="2145" w:type="dxa"/>
            <w:tcBorders>
              <w:top w:val="single" w:sz="2" w:space="0" w:color="auto"/>
              <w:left w:val="single" w:sz="2" w:space="0" w:color="auto"/>
              <w:bottom w:val="single" w:sz="4" w:space="0" w:color="auto"/>
              <w:right w:val="single" w:sz="2" w:space="0" w:color="auto"/>
            </w:tcBorders>
            <w:shd w:val="clear" w:color="auto" w:fill="BFBFBF" w:themeFill="background1" w:themeFillShade="BF"/>
            <w:noWrap/>
            <w:tcMar>
              <w:top w:w="0" w:type="dxa"/>
              <w:left w:w="86" w:type="dxa"/>
              <w:bottom w:w="43" w:type="dxa"/>
              <w:right w:w="86" w:type="dxa"/>
            </w:tcMar>
          </w:tcPr>
          <w:p w14:paraId="002E1BD6" w14:textId="77777777" w:rsidR="00DE0DD5" w:rsidRPr="005D4222" w:rsidRDefault="00DE0DD5">
            <w:pPr>
              <w:pStyle w:val="ECDSMarginHead"/>
            </w:pPr>
            <w:r w:rsidRPr="005D4222">
              <w:t>Denominator</w:t>
            </w:r>
          </w:p>
        </w:tc>
        <w:tc>
          <w:tcPr>
            <w:tcW w:w="7569" w:type="dxa"/>
            <w:tcBorders>
              <w:top w:val="single" w:sz="4" w:space="0" w:color="auto"/>
              <w:left w:val="single" w:sz="4" w:space="0" w:color="auto"/>
              <w:bottom w:val="single" w:sz="4" w:space="0" w:color="auto"/>
              <w:right w:val="single" w:sz="4" w:space="0" w:color="auto"/>
            </w:tcBorders>
            <w:noWrap/>
            <w:tcMar>
              <w:top w:w="0" w:type="dxa"/>
              <w:left w:w="86" w:type="dxa"/>
              <w:bottom w:w="43" w:type="dxa"/>
              <w:right w:w="86" w:type="dxa"/>
            </w:tcMar>
          </w:tcPr>
          <w:p w14:paraId="03EE8324" w14:textId="77777777" w:rsidR="00DE0DD5" w:rsidRPr="005D4222" w:rsidRDefault="00DE0DD5" w:rsidP="001F7536">
            <w:pPr>
              <w:pStyle w:val="ECDSBody"/>
            </w:pPr>
            <w:r w:rsidRPr="005D4222">
              <w:rPr>
                <w:rFonts w:eastAsia="Arial,Arial,Arial,Arial,Arial,A"/>
              </w:rPr>
              <w:t>The initial population minus denominator exclusions.</w:t>
            </w:r>
          </w:p>
        </w:tc>
      </w:tr>
      <w:tr w:rsidR="00DE0DD5" w:rsidRPr="005D4222" w14:paraId="5A06DEEA" w14:textId="77777777">
        <w:trPr>
          <w:trHeight w:val="417"/>
        </w:trPr>
        <w:tc>
          <w:tcPr>
            <w:tcW w:w="2145" w:type="dxa"/>
            <w:tcBorders>
              <w:top w:val="single" w:sz="4" w:space="0" w:color="auto"/>
              <w:left w:val="single" w:sz="2" w:space="0" w:color="auto"/>
              <w:bottom w:val="single" w:sz="4" w:space="0" w:color="auto"/>
              <w:right w:val="single" w:sz="2" w:space="0" w:color="auto"/>
            </w:tcBorders>
            <w:shd w:val="clear" w:color="auto" w:fill="BFBFBF" w:themeFill="background1" w:themeFillShade="BF"/>
            <w:noWrap/>
            <w:tcMar>
              <w:top w:w="0" w:type="dxa"/>
              <w:left w:w="86" w:type="dxa"/>
              <w:bottom w:w="43" w:type="dxa"/>
              <w:right w:w="86" w:type="dxa"/>
            </w:tcMar>
          </w:tcPr>
          <w:p w14:paraId="085F1DCD" w14:textId="77777777" w:rsidR="00DE0DD5" w:rsidRPr="005D4222" w:rsidRDefault="00DE0DD5">
            <w:pPr>
              <w:pStyle w:val="ECDSMarginHead"/>
            </w:pPr>
            <w:r w:rsidRPr="005D4222">
              <w:t>Numerator</w:t>
            </w:r>
          </w:p>
        </w:tc>
        <w:tc>
          <w:tcPr>
            <w:tcW w:w="7569" w:type="dxa"/>
            <w:tcBorders>
              <w:top w:val="single" w:sz="4" w:space="0" w:color="auto"/>
              <w:left w:val="single" w:sz="4" w:space="0" w:color="auto"/>
              <w:bottom w:val="single" w:sz="4" w:space="0" w:color="auto"/>
              <w:right w:val="single" w:sz="4" w:space="0" w:color="auto"/>
            </w:tcBorders>
            <w:noWrap/>
            <w:tcMar>
              <w:top w:w="0" w:type="dxa"/>
              <w:left w:w="86" w:type="dxa"/>
              <w:bottom w:w="43" w:type="dxa"/>
              <w:right w:w="86" w:type="dxa"/>
            </w:tcMar>
            <w:vAlign w:val="center"/>
          </w:tcPr>
          <w:p w14:paraId="4406F58C" w14:textId="77777777" w:rsidR="00DE0DD5" w:rsidRPr="005D4222" w:rsidRDefault="00DE0DD5">
            <w:pPr>
              <w:pStyle w:val="ECDSBody"/>
            </w:pPr>
            <w:r w:rsidRPr="005D4222">
              <w:rPr>
                <w:b/>
                <w:bCs w:val="0"/>
              </w:rPr>
              <w:t xml:space="preserve">An imaging study </w:t>
            </w:r>
            <w:r w:rsidRPr="005D4222">
              <w:rPr>
                <w:b/>
                <w:bCs w:val="0"/>
                <w:i/>
                <w:iCs/>
              </w:rPr>
              <w:t>with</w:t>
            </w:r>
            <w:r w:rsidRPr="005D4222">
              <w:rPr>
                <w:b/>
                <w:bCs w:val="0"/>
              </w:rPr>
              <w:t xml:space="preserve"> a diagnosis of uncomplicated low back pain.</w:t>
            </w:r>
            <w:r w:rsidRPr="005D4222">
              <w:rPr>
                <w:b/>
                <w:bCs w:val="0"/>
              </w:rPr>
              <w:br/>
            </w:r>
            <w:r w:rsidRPr="005D4222">
              <w:rPr>
                <w:szCs w:val="21"/>
              </w:rPr>
              <w:t>An imaging study (</w:t>
            </w:r>
            <w:r w:rsidRPr="005D4222">
              <w:rPr>
                <w:szCs w:val="21"/>
                <w:u w:val="single"/>
              </w:rPr>
              <w:t>Imaging Study Value Set</w:t>
            </w:r>
            <w:r w:rsidRPr="005D4222">
              <w:rPr>
                <w:szCs w:val="21"/>
              </w:rPr>
              <w:t>) with a diagnosis of uncomplicated low back pain (</w:t>
            </w:r>
            <w:r w:rsidRPr="005D4222">
              <w:rPr>
                <w:szCs w:val="21"/>
                <w:u w:val="single"/>
              </w:rPr>
              <w:t>Uncomplicated Low Back Pain Value Set</w:t>
            </w:r>
            <w:r w:rsidRPr="005D4222">
              <w:rPr>
                <w:szCs w:val="21"/>
              </w:rPr>
              <w:t xml:space="preserve">) on the IESD or in the 28 days following the IESD. </w:t>
            </w:r>
          </w:p>
        </w:tc>
      </w:tr>
      <w:tr w:rsidR="00DE0DD5" w:rsidRPr="005D4222" w14:paraId="0B76C90A" w14:textId="77777777">
        <w:tc>
          <w:tcPr>
            <w:tcW w:w="2145" w:type="dxa"/>
            <w:tcBorders>
              <w:top w:val="single" w:sz="4" w:space="0" w:color="auto"/>
              <w:left w:val="single" w:sz="2" w:space="0" w:color="auto"/>
              <w:bottom w:val="single" w:sz="4" w:space="0" w:color="auto"/>
              <w:right w:val="single" w:sz="2" w:space="0" w:color="auto"/>
            </w:tcBorders>
            <w:shd w:val="clear" w:color="auto" w:fill="BFBFBF" w:themeFill="background1" w:themeFillShade="BF"/>
            <w:noWrap/>
            <w:tcMar>
              <w:top w:w="0" w:type="dxa"/>
              <w:left w:w="86" w:type="dxa"/>
              <w:bottom w:w="43" w:type="dxa"/>
              <w:right w:w="86" w:type="dxa"/>
            </w:tcMar>
          </w:tcPr>
          <w:p w14:paraId="54A295CB" w14:textId="77777777" w:rsidR="00DE0DD5" w:rsidRPr="005D4222" w:rsidRDefault="00DE0DD5">
            <w:pPr>
              <w:pStyle w:val="ECDSMarginHead"/>
            </w:pPr>
            <w:r w:rsidRPr="005D4222">
              <w:t>Summary of changes</w:t>
            </w:r>
          </w:p>
        </w:tc>
        <w:tc>
          <w:tcPr>
            <w:tcW w:w="7569" w:type="dxa"/>
            <w:tcBorders>
              <w:top w:val="single" w:sz="4" w:space="0" w:color="auto"/>
              <w:left w:val="single" w:sz="4" w:space="0" w:color="auto"/>
              <w:bottom w:val="single" w:sz="4" w:space="0" w:color="auto"/>
              <w:right w:val="single" w:sz="4" w:space="0" w:color="auto"/>
            </w:tcBorders>
            <w:noWrap/>
            <w:tcMar>
              <w:top w:w="0" w:type="dxa"/>
              <w:left w:w="86" w:type="dxa"/>
              <w:bottom w:w="43" w:type="dxa"/>
              <w:right w:w="86" w:type="dxa"/>
            </w:tcMar>
          </w:tcPr>
          <w:p w14:paraId="7C595DF7" w14:textId="77777777" w:rsidR="00DE0DD5" w:rsidRPr="005D4222" w:rsidRDefault="00DE0DD5">
            <w:pPr>
              <w:pStyle w:val="ProcessBullet"/>
              <w:spacing w:before="120"/>
            </w:pPr>
            <w:r w:rsidRPr="005D4222">
              <w:t>No changes to this measure.</w:t>
            </w:r>
          </w:p>
        </w:tc>
      </w:tr>
    </w:tbl>
    <w:p w14:paraId="67A1A92E" w14:textId="47010895" w:rsidR="001F7536" w:rsidRPr="005D4222" w:rsidRDefault="001F7536"/>
    <w:p w14:paraId="0DB32256" w14:textId="77777777" w:rsidR="001F7536" w:rsidRPr="005D4222" w:rsidRDefault="001F7536">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45"/>
        <w:gridCol w:w="7569"/>
      </w:tblGrid>
      <w:tr w:rsidR="001F7536" w:rsidRPr="005D4222" w14:paraId="53611705" w14:textId="77777777">
        <w:trPr>
          <w:trHeight w:val="3289"/>
        </w:trPr>
        <w:tc>
          <w:tcPr>
            <w:tcW w:w="2145" w:type="dxa"/>
            <w:tcBorders>
              <w:top w:val="single" w:sz="4" w:space="0" w:color="auto"/>
              <w:left w:val="single" w:sz="2" w:space="0" w:color="auto"/>
              <w:right w:val="single" w:sz="2" w:space="0" w:color="auto"/>
            </w:tcBorders>
            <w:shd w:val="clear" w:color="auto" w:fill="BFBFBF" w:themeFill="background1" w:themeFillShade="BF"/>
            <w:noWrap/>
            <w:tcMar>
              <w:top w:w="0" w:type="dxa"/>
              <w:left w:w="86" w:type="dxa"/>
              <w:bottom w:w="43" w:type="dxa"/>
              <w:right w:w="86" w:type="dxa"/>
            </w:tcMar>
          </w:tcPr>
          <w:p w14:paraId="670B454B" w14:textId="77777777" w:rsidR="001F7536" w:rsidRPr="005D4222" w:rsidRDefault="001F7536">
            <w:pPr>
              <w:pStyle w:val="ECDSMarginHead"/>
            </w:pPr>
            <w:r w:rsidRPr="005D4222">
              <w:lastRenderedPageBreak/>
              <w:t>Data element tables</w:t>
            </w:r>
          </w:p>
        </w:tc>
        <w:tc>
          <w:tcPr>
            <w:tcW w:w="7569" w:type="dxa"/>
            <w:tcBorders>
              <w:top w:val="single" w:sz="4" w:space="0" w:color="auto"/>
              <w:left w:val="single" w:sz="4" w:space="0" w:color="auto"/>
              <w:right w:val="single" w:sz="4" w:space="0" w:color="auto"/>
            </w:tcBorders>
            <w:noWrap/>
            <w:tcMar>
              <w:top w:w="0" w:type="dxa"/>
              <w:left w:w="86" w:type="dxa"/>
              <w:bottom w:w="43" w:type="dxa"/>
              <w:right w:w="86" w:type="dxa"/>
            </w:tcMar>
          </w:tcPr>
          <w:p w14:paraId="366E4515" w14:textId="77777777" w:rsidR="001F7536" w:rsidRPr="005D4222" w:rsidRDefault="001F7536">
            <w:pPr>
              <w:pStyle w:val="ECDSBody"/>
            </w:pPr>
            <w:r w:rsidRPr="005D4222">
              <w:t>Organizations that submit HEDIS data to NCQA must provide the following data elements.</w:t>
            </w:r>
          </w:p>
          <w:p w14:paraId="3F5D139E" w14:textId="39EA0DFB" w:rsidR="001F7536" w:rsidRPr="005D4222" w:rsidRDefault="001F7536">
            <w:pPr>
              <w:pStyle w:val="Heading3"/>
              <w:spacing w:before="120"/>
            </w:pPr>
            <w:r w:rsidRPr="005D4222">
              <w:t xml:space="preserve">Table LBP-1/2/3: Data Elements for Use of Imaging Studies for Low Back Pain </w:t>
            </w:r>
          </w:p>
          <w:tbl>
            <w:tblPr>
              <w:tblW w:w="738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987"/>
              <w:gridCol w:w="1080"/>
              <w:gridCol w:w="1980"/>
              <w:gridCol w:w="2340"/>
            </w:tblGrid>
            <w:tr w:rsidR="001F7536" w:rsidRPr="005D4222" w14:paraId="5739B80F" w14:textId="77777777" w:rsidTr="005F2D14">
              <w:tc>
                <w:tcPr>
                  <w:tcW w:w="1987"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vAlign w:val="bottom"/>
                  <w:hideMark/>
                </w:tcPr>
                <w:p w14:paraId="70C657D5" w14:textId="77777777" w:rsidR="001F7536" w:rsidRPr="005D4222" w:rsidRDefault="001F7536">
                  <w:pPr>
                    <w:pStyle w:val="TableHead"/>
                    <w:rPr>
                      <w:rFonts w:cs="Arial"/>
                      <w:color w:val="auto"/>
                    </w:rPr>
                  </w:pPr>
                  <w:r w:rsidRPr="005D4222">
                    <w:rPr>
                      <w:rFonts w:cs="Arial"/>
                      <w:color w:val="auto"/>
                    </w:rPr>
                    <w:t>Metric</w:t>
                  </w:r>
                </w:p>
              </w:tc>
              <w:tc>
                <w:tcPr>
                  <w:tcW w:w="108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vAlign w:val="bottom"/>
                  <w:hideMark/>
                </w:tcPr>
                <w:p w14:paraId="04247281" w14:textId="77777777" w:rsidR="001F7536" w:rsidRPr="005D4222" w:rsidRDefault="001F7536">
                  <w:pPr>
                    <w:pStyle w:val="TableHead"/>
                    <w:rPr>
                      <w:rFonts w:cs="Arial"/>
                      <w:color w:val="auto"/>
                    </w:rPr>
                  </w:pPr>
                  <w:r w:rsidRPr="005D4222">
                    <w:rPr>
                      <w:rFonts w:cs="Arial"/>
                      <w:color w:val="auto"/>
                    </w:rPr>
                    <w:t>Age</w:t>
                  </w:r>
                </w:p>
              </w:tc>
              <w:tc>
                <w:tcPr>
                  <w:tcW w:w="198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vAlign w:val="bottom"/>
                  <w:hideMark/>
                </w:tcPr>
                <w:p w14:paraId="0549768A" w14:textId="77777777" w:rsidR="001F7536" w:rsidRPr="005D4222" w:rsidRDefault="001F7536">
                  <w:pPr>
                    <w:pStyle w:val="TableHead"/>
                    <w:rPr>
                      <w:rFonts w:cs="Arial"/>
                      <w:color w:val="auto"/>
                    </w:rPr>
                  </w:pPr>
                  <w:r w:rsidRPr="005D4222">
                    <w:rPr>
                      <w:rFonts w:cs="Arial"/>
                      <w:color w:val="auto"/>
                    </w:rPr>
                    <w:t>Data Element</w:t>
                  </w:r>
                </w:p>
              </w:tc>
              <w:tc>
                <w:tcPr>
                  <w:tcW w:w="2340"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vAlign w:val="bottom"/>
                  <w:hideMark/>
                </w:tcPr>
                <w:p w14:paraId="6E553E08" w14:textId="77777777" w:rsidR="001F7536" w:rsidRPr="005D4222" w:rsidRDefault="001F7536">
                  <w:pPr>
                    <w:pStyle w:val="TableHead"/>
                    <w:rPr>
                      <w:rFonts w:cs="Arial"/>
                      <w:color w:val="auto"/>
                    </w:rPr>
                  </w:pPr>
                  <w:r w:rsidRPr="005D4222">
                    <w:rPr>
                      <w:rFonts w:cs="Arial"/>
                      <w:color w:val="auto"/>
                    </w:rPr>
                    <w:t>Reporting Instructions</w:t>
                  </w:r>
                </w:p>
              </w:tc>
            </w:tr>
            <w:tr w:rsidR="001F7536" w:rsidRPr="005D4222" w14:paraId="7FCE129A" w14:textId="77777777" w:rsidTr="005F2D14">
              <w:tc>
                <w:tcPr>
                  <w:tcW w:w="1987" w:type="dxa"/>
                  <w:tcBorders>
                    <w:top w:val="single" w:sz="4" w:space="0" w:color="000000" w:themeColor="text1"/>
                    <w:left w:val="single" w:sz="4" w:space="0" w:color="auto"/>
                    <w:bottom w:val="single" w:sz="4" w:space="0" w:color="auto"/>
                    <w:right w:val="single" w:sz="4" w:space="0" w:color="auto"/>
                  </w:tcBorders>
                  <w:hideMark/>
                </w:tcPr>
                <w:p w14:paraId="5C56FABA" w14:textId="77777777" w:rsidR="001F7536" w:rsidRPr="005D4222" w:rsidRDefault="001F7536">
                  <w:pPr>
                    <w:pStyle w:val="TableText"/>
                    <w:rPr>
                      <w:rFonts w:cs="Arial"/>
                      <w:szCs w:val="21"/>
                    </w:rPr>
                  </w:pPr>
                  <w:r w:rsidRPr="005D4222">
                    <w:rPr>
                      <w:rFonts w:cs="Arial"/>
                      <w:szCs w:val="21"/>
                    </w:rPr>
                    <w:t>LowBackPainImaging</w:t>
                  </w:r>
                </w:p>
              </w:tc>
              <w:tc>
                <w:tcPr>
                  <w:tcW w:w="1080" w:type="dxa"/>
                  <w:tcBorders>
                    <w:top w:val="single" w:sz="4" w:space="0" w:color="000000" w:themeColor="text1"/>
                    <w:left w:val="single" w:sz="4" w:space="0" w:color="auto"/>
                    <w:bottom w:val="single" w:sz="4" w:space="0" w:color="auto"/>
                    <w:right w:val="single" w:sz="4" w:space="0" w:color="auto"/>
                  </w:tcBorders>
                  <w:hideMark/>
                </w:tcPr>
                <w:p w14:paraId="0FDDA543" w14:textId="77777777" w:rsidR="001F7536" w:rsidRPr="005D4222" w:rsidRDefault="001F7536">
                  <w:pPr>
                    <w:pStyle w:val="TableText"/>
                    <w:rPr>
                      <w:rFonts w:cs="Arial"/>
                      <w:szCs w:val="21"/>
                    </w:rPr>
                  </w:pPr>
                  <w:r w:rsidRPr="005D4222">
                    <w:rPr>
                      <w:rFonts w:cs="Arial"/>
                      <w:szCs w:val="21"/>
                    </w:rPr>
                    <w:t>18-64</w:t>
                  </w:r>
                </w:p>
              </w:tc>
              <w:tc>
                <w:tcPr>
                  <w:tcW w:w="1980" w:type="dxa"/>
                  <w:tcBorders>
                    <w:top w:val="single" w:sz="4" w:space="0" w:color="000000" w:themeColor="text1"/>
                    <w:left w:val="single" w:sz="4" w:space="0" w:color="auto"/>
                    <w:bottom w:val="single" w:sz="4" w:space="0" w:color="auto"/>
                    <w:right w:val="single" w:sz="4" w:space="0" w:color="auto"/>
                  </w:tcBorders>
                  <w:hideMark/>
                </w:tcPr>
                <w:p w14:paraId="4519C033" w14:textId="77777777" w:rsidR="001F7536" w:rsidRPr="005D4222" w:rsidRDefault="001F7536">
                  <w:pPr>
                    <w:pStyle w:val="TableText"/>
                    <w:rPr>
                      <w:rFonts w:cs="Arial"/>
                      <w:szCs w:val="21"/>
                    </w:rPr>
                  </w:pPr>
                  <w:r w:rsidRPr="005D4222">
                    <w:rPr>
                      <w:rFonts w:cs="Arial"/>
                      <w:szCs w:val="21"/>
                    </w:rPr>
                    <w:t xml:space="preserve">InitialPopulation </w:t>
                  </w:r>
                </w:p>
              </w:tc>
              <w:tc>
                <w:tcPr>
                  <w:tcW w:w="2340" w:type="dxa"/>
                  <w:tcBorders>
                    <w:top w:val="single" w:sz="4" w:space="0" w:color="000000" w:themeColor="text1"/>
                    <w:left w:val="single" w:sz="4" w:space="0" w:color="auto"/>
                    <w:bottom w:val="single" w:sz="6" w:space="0" w:color="auto"/>
                    <w:right w:val="single" w:sz="4" w:space="0" w:color="auto"/>
                  </w:tcBorders>
                  <w:hideMark/>
                </w:tcPr>
                <w:p w14:paraId="07EF3B99" w14:textId="77777777" w:rsidR="001F7536" w:rsidRPr="005D4222" w:rsidRDefault="001F7536">
                  <w:pPr>
                    <w:pStyle w:val="TableText"/>
                    <w:rPr>
                      <w:rFonts w:eastAsia="Wingdings" w:cs="Arial"/>
                      <w:szCs w:val="21"/>
                    </w:rPr>
                  </w:pPr>
                  <w:r w:rsidRPr="005D4222">
                    <w:rPr>
                      <w:rFonts w:eastAsia="Wingdings" w:cs="Arial"/>
                      <w:szCs w:val="21"/>
                    </w:rPr>
                    <w:t>For each Stratification</w:t>
                  </w:r>
                </w:p>
              </w:tc>
            </w:tr>
            <w:tr w:rsidR="001F7536" w:rsidRPr="005D4222" w14:paraId="59B2B9B6" w14:textId="77777777" w:rsidTr="005F2D14">
              <w:tc>
                <w:tcPr>
                  <w:tcW w:w="1987" w:type="dxa"/>
                  <w:tcBorders>
                    <w:top w:val="single" w:sz="4" w:space="0" w:color="auto"/>
                    <w:left w:val="nil"/>
                    <w:bottom w:val="nil"/>
                    <w:right w:val="single" w:sz="4" w:space="0" w:color="auto"/>
                  </w:tcBorders>
                  <w:shd w:val="clear" w:color="auto" w:fill="FFFFFF" w:themeFill="background1"/>
                </w:tcPr>
                <w:p w14:paraId="1FAC9CBA" w14:textId="77777777" w:rsidR="001F7536" w:rsidRPr="005D4222" w:rsidRDefault="001F7536">
                  <w:pPr>
                    <w:pStyle w:val="TableText"/>
                    <w:rPr>
                      <w:rFonts w:cs="Arial"/>
                      <w:szCs w:val="21"/>
                    </w:rPr>
                  </w:pP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C054BEF" w14:textId="77777777" w:rsidR="001F7536" w:rsidRPr="005D4222" w:rsidRDefault="001F7536">
                  <w:pPr>
                    <w:pStyle w:val="TableText"/>
                    <w:rPr>
                      <w:rFonts w:cs="Arial"/>
                      <w:szCs w:val="21"/>
                    </w:rPr>
                  </w:pPr>
                  <w:r w:rsidRPr="005D4222">
                    <w:rPr>
                      <w:rFonts w:cs="Arial"/>
                      <w:szCs w:val="21"/>
                    </w:rPr>
                    <w:t>65-75</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23EEACA" w14:textId="77777777" w:rsidR="001F7536" w:rsidRPr="005D4222" w:rsidRDefault="001F7536">
                  <w:pPr>
                    <w:pStyle w:val="TableText"/>
                    <w:rPr>
                      <w:rFonts w:cs="Arial"/>
                    </w:rPr>
                  </w:pPr>
                  <w:r w:rsidRPr="005D4222">
                    <w:rPr>
                      <w:rFonts w:cs="Arial"/>
                    </w:rPr>
                    <w:t>Exclusions</w:t>
                  </w:r>
                </w:p>
              </w:tc>
              <w:tc>
                <w:tcPr>
                  <w:tcW w:w="2340"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32C20E7E" w14:textId="77777777" w:rsidR="001F7536" w:rsidRPr="005D4222" w:rsidRDefault="001F7536">
                  <w:pPr>
                    <w:pStyle w:val="TableText"/>
                    <w:rPr>
                      <w:rFonts w:eastAsia="Wingdings" w:cs="Arial"/>
                      <w:szCs w:val="21"/>
                    </w:rPr>
                  </w:pPr>
                  <w:r w:rsidRPr="005D4222">
                    <w:rPr>
                      <w:rFonts w:eastAsia="Wingdings" w:cs="Arial"/>
                      <w:szCs w:val="21"/>
                    </w:rPr>
                    <w:t>For each Stratification</w:t>
                  </w:r>
                </w:p>
              </w:tc>
            </w:tr>
            <w:tr w:rsidR="005F2D14" w:rsidRPr="005D4222" w14:paraId="1D7C9F46" w14:textId="77777777" w:rsidTr="002C2D19">
              <w:trPr>
                <w:trHeight w:val="300"/>
              </w:trPr>
              <w:tc>
                <w:tcPr>
                  <w:tcW w:w="1987" w:type="dxa"/>
                  <w:tcBorders>
                    <w:top w:val="nil"/>
                    <w:left w:val="nil"/>
                    <w:bottom w:val="nil"/>
                    <w:right w:val="single" w:sz="4" w:space="0" w:color="auto"/>
                  </w:tcBorders>
                  <w:shd w:val="clear" w:color="auto" w:fill="FFFFFF" w:themeFill="background1"/>
                </w:tcPr>
                <w:p w14:paraId="6DB0384A" w14:textId="77777777" w:rsidR="005F2D14" w:rsidRPr="005D4222" w:rsidRDefault="005F2D14">
                  <w:pPr>
                    <w:pStyle w:val="TableText"/>
                    <w:rPr>
                      <w:rFonts w:cs="Arial"/>
                      <w:szCs w:val="21"/>
                    </w:rPr>
                  </w:pP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5B23EF8" w14:textId="77777777" w:rsidR="005F2D14" w:rsidRPr="005D4222" w:rsidRDefault="005F2D14">
                  <w:pPr>
                    <w:pStyle w:val="TableText"/>
                    <w:rPr>
                      <w:rFonts w:cs="Arial"/>
                      <w:szCs w:val="21"/>
                    </w:rPr>
                  </w:pPr>
                  <w:r w:rsidRPr="005D4222">
                    <w:rPr>
                      <w:rFonts w:cs="Arial"/>
                      <w:szCs w:val="21"/>
                    </w:rPr>
                    <w:t>Total</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2226630C" w14:textId="77777777" w:rsidR="005F2D14" w:rsidRPr="005D4222" w:rsidRDefault="005F2D14">
                  <w:pPr>
                    <w:pStyle w:val="TableText"/>
                    <w:rPr>
                      <w:rFonts w:cs="Arial"/>
                      <w:szCs w:val="21"/>
                    </w:rPr>
                  </w:pPr>
                  <w:r w:rsidRPr="005D4222">
                    <w:rPr>
                      <w:rFonts w:cs="Arial"/>
                      <w:szCs w:val="21"/>
                    </w:rPr>
                    <w:t>Denominator</w:t>
                  </w:r>
                </w:p>
              </w:tc>
              <w:tc>
                <w:tcPr>
                  <w:tcW w:w="2340" w:type="dxa"/>
                  <w:tcBorders>
                    <w:top w:val="single" w:sz="6" w:space="0" w:color="auto"/>
                    <w:left w:val="single" w:sz="4" w:space="0" w:color="auto"/>
                    <w:bottom w:val="single" w:sz="6" w:space="0" w:color="auto"/>
                    <w:right w:val="single" w:sz="4" w:space="0" w:color="auto"/>
                  </w:tcBorders>
                  <w:shd w:val="clear" w:color="auto" w:fill="FFFFFF" w:themeFill="background1"/>
                </w:tcPr>
                <w:p w14:paraId="35B28A9E" w14:textId="77777777" w:rsidR="005F2D14" w:rsidRPr="005D4222" w:rsidRDefault="005F2D14">
                  <w:pPr>
                    <w:pStyle w:val="TableText"/>
                    <w:rPr>
                      <w:rFonts w:eastAsia="Wingdings" w:cs="Arial"/>
                      <w:szCs w:val="21"/>
                    </w:rPr>
                  </w:pPr>
                  <w:r w:rsidRPr="005D4222">
                    <w:rPr>
                      <w:rFonts w:eastAsia="Wingdings" w:cs="Arial"/>
                      <w:szCs w:val="21"/>
                    </w:rPr>
                    <w:t>For each Stratification</w:t>
                  </w:r>
                </w:p>
              </w:tc>
            </w:tr>
            <w:tr w:rsidR="005F2D14" w:rsidRPr="005D4222" w14:paraId="6D700A66" w14:textId="77777777" w:rsidTr="005F2D14">
              <w:trPr>
                <w:trHeight w:val="300"/>
              </w:trPr>
              <w:tc>
                <w:tcPr>
                  <w:tcW w:w="1987" w:type="dxa"/>
                  <w:tcBorders>
                    <w:top w:val="nil"/>
                    <w:left w:val="nil"/>
                    <w:bottom w:val="nil"/>
                    <w:right w:val="nil"/>
                  </w:tcBorders>
                  <w:shd w:val="clear" w:color="auto" w:fill="FFFFFF" w:themeFill="background1"/>
                </w:tcPr>
                <w:p w14:paraId="50F70C08" w14:textId="77777777" w:rsidR="005F2D14" w:rsidRPr="005D4222" w:rsidRDefault="005F2D14">
                  <w:pPr>
                    <w:pStyle w:val="TableText"/>
                    <w:rPr>
                      <w:rFonts w:cs="Arial"/>
                      <w:szCs w:val="21"/>
                    </w:rPr>
                  </w:pPr>
                </w:p>
              </w:tc>
              <w:tc>
                <w:tcPr>
                  <w:tcW w:w="1080" w:type="dxa"/>
                  <w:tcBorders>
                    <w:top w:val="single" w:sz="4" w:space="0" w:color="auto"/>
                    <w:left w:val="nil"/>
                    <w:bottom w:val="nil"/>
                    <w:right w:val="single" w:sz="4" w:space="0" w:color="auto"/>
                  </w:tcBorders>
                  <w:shd w:val="clear" w:color="auto" w:fill="FFFFFF" w:themeFill="background1"/>
                </w:tcPr>
                <w:p w14:paraId="707586D2" w14:textId="77777777" w:rsidR="005F2D14" w:rsidRPr="005D4222" w:rsidRDefault="005F2D14">
                  <w:pPr>
                    <w:pStyle w:val="TableText"/>
                    <w:rPr>
                      <w:rFonts w:cs="Arial"/>
                      <w:szCs w:val="21"/>
                    </w:rPr>
                  </w:pP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7C2206C" w14:textId="77777777" w:rsidR="005F2D14" w:rsidRPr="005D4222" w:rsidRDefault="005F2D14">
                  <w:pPr>
                    <w:pStyle w:val="TableText"/>
                    <w:rPr>
                      <w:rFonts w:cs="Arial"/>
                      <w:szCs w:val="21"/>
                    </w:rPr>
                  </w:pPr>
                  <w:r w:rsidRPr="005D4222">
                    <w:rPr>
                      <w:rFonts w:cs="Arial"/>
                      <w:szCs w:val="21"/>
                    </w:rPr>
                    <w:t>NumeratorByAdmin</w:t>
                  </w:r>
                </w:p>
              </w:tc>
              <w:tc>
                <w:tcPr>
                  <w:tcW w:w="2340"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1D62AC13" w14:textId="77777777" w:rsidR="005F2D14" w:rsidRPr="005D4222" w:rsidRDefault="005F2D14">
                  <w:pPr>
                    <w:pStyle w:val="TableText"/>
                    <w:rPr>
                      <w:rFonts w:eastAsia="Wingdings" w:cs="Arial"/>
                      <w:szCs w:val="21"/>
                    </w:rPr>
                  </w:pPr>
                  <w:r w:rsidRPr="005D4222">
                    <w:rPr>
                      <w:rFonts w:eastAsia="Wingdings" w:cs="Arial"/>
                      <w:szCs w:val="21"/>
                    </w:rPr>
                    <w:t>For each Stratification</w:t>
                  </w:r>
                </w:p>
              </w:tc>
            </w:tr>
            <w:tr w:rsidR="005F2D14" w:rsidRPr="005D4222" w14:paraId="0E151577" w14:textId="77777777" w:rsidTr="005F2D14">
              <w:trPr>
                <w:trHeight w:val="300"/>
              </w:trPr>
              <w:tc>
                <w:tcPr>
                  <w:tcW w:w="1987" w:type="dxa"/>
                  <w:tcBorders>
                    <w:top w:val="nil"/>
                    <w:left w:val="nil"/>
                    <w:bottom w:val="nil"/>
                    <w:right w:val="nil"/>
                  </w:tcBorders>
                  <w:shd w:val="clear" w:color="auto" w:fill="FFFFFF" w:themeFill="background1"/>
                </w:tcPr>
                <w:p w14:paraId="7E4BDF6A" w14:textId="77777777" w:rsidR="005F2D14" w:rsidRPr="005D4222" w:rsidRDefault="005F2D14">
                  <w:pPr>
                    <w:pStyle w:val="TableText"/>
                    <w:rPr>
                      <w:rFonts w:cs="Arial"/>
                      <w:szCs w:val="21"/>
                    </w:rPr>
                  </w:pPr>
                </w:p>
              </w:tc>
              <w:tc>
                <w:tcPr>
                  <w:tcW w:w="1080" w:type="dxa"/>
                  <w:tcBorders>
                    <w:top w:val="nil"/>
                    <w:left w:val="nil"/>
                    <w:bottom w:val="nil"/>
                    <w:right w:val="single" w:sz="4" w:space="0" w:color="auto"/>
                  </w:tcBorders>
                  <w:shd w:val="clear" w:color="auto" w:fill="FFFFFF" w:themeFill="background1"/>
                </w:tcPr>
                <w:p w14:paraId="4CEB82EA" w14:textId="77777777" w:rsidR="005F2D14" w:rsidRPr="005D4222" w:rsidRDefault="005F2D14">
                  <w:pPr>
                    <w:pStyle w:val="TableText"/>
                    <w:rPr>
                      <w:rFonts w:cs="Arial"/>
                      <w:szCs w:val="21"/>
                    </w:rPr>
                  </w:pPr>
                </w:p>
              </w:tc>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20A2D9E" w14:textId="77777777" w:rsidR="005F2D14" w:rsidRPr="005D4222" w:rsidRDefault="005F2D14">
                  <w:pPr>
                    <w:pStyle w:val="TableText"/>
                    <w:rPr>
                      <w:rFonts w:cs="Arial"/>
                      <w:szCs w:val="21"/>
                    </w:rPr>
                  </w:pPr>
                  <w:r w:rsidRPr="005D4222">
                    <w:rPr>
                      <w:rFonts w:cs="Arial"/>
                      <w:szCs w:val="21"/>
                    </w:rPr>
                    <w:t>Rate</w:t>
                  </w:r>
                </w:p>
              </w:tc>
              <w:tc>
                <w:tcPr>
                  <w:tcW w:w="2340" w:type="dxa"/>
                  <w:tcBorders>
                    <w:top w:val="single" w:sz="6" w:space="0" w:color="auto"/>
                    <w:left w:val="single" w:sz="4" w:space="0" w:color="auto"/>
                    <w:bottom w:val="single" w:sz="6" w:space="0" w:color="auto"/>
                    <w:right w:val="single" w:sz="4" w:space="0" w:color="auto"/>
                  </w:tcBorders>
                  <w:shd w:val="clear" w:color="auto" w:fill="D9D9D9" w:themeFill="background1" w:themeFillShade="D9"/>
                  <w:hideMark/>
                </w:tcPr>
                <w:p w14:paraId="5B84BB5F" w14:textId="77777777" w:rsidR="005F2D14" w:rsidRPr="005D4222" w:rsidRDefault="005F2D14">
                  <w:pPr>
                    <w:pStyle w:val="TableText"/>
                    <w:rPr>
                      <w:rFonts w:eastAsia="Wingdings" w:cs="Arial"/>
                      <w:szCs w:val="21"/>
                    </w:rPr>
                  </w:pPr>
                  <w:r w:rsidRPr="005D4222">
                    <w:rPr>
                      <w:rFonts w:eastAsia="Wingdings" w:cs="Arial"/>
                      <w:szCs w:val="21"/>
                    </w:rPr>
                    <w:t>(Percent)</w:t>
                  </w:r>
                </w:p>
              </w:tc>
            </w:tr>
          </w:tbl>
          <w:p w14:paraId="388B4EF6" w14:textId="77777777" w:rsidR="001F7536" w:rsidRPr="005D4222" w:rsidRDefault="001F7536">
            <w:pPr>
              <w:pStyle w:val="ECDSBody"/>
              <w:rPr>
                <w:color w:val="000000" w:themeColor="text1"/>
                <w:highlight w:val="yellow"/>
              </w:rPr>
            </w:pPr>
          </w:p>
        </w:tc>
      </w:tr>
      <w:tr w:rsidR="00DE0DD5" w:rsidRPr="005D4222" w14:paraId="3F3FDC51" w14:textId="77777777">
        <w:tc>
          <w:tcPr>
            <w:tcW w:w="2145" w:type="dxa"/>
            <w:tcBorders>
              <w:top w:val="single" w:sz="4" w:space="0" w:color="auto"/>
              <w:left w:val="single" w:sz="2" w:space="0" w:color="auto"/>
              <w:bottom w:val="single" w:sz="4" w:space="0" w:color="auto"/>
              <w:right w:val="single" w:sz="2" w:space="0" w:color="auto"/>
            </w:tcBorders>
            <w:shd w:val="clear" w:color="auto" w:fill="BFBFBF" w:themeFill="background1" w:themeFillShade="BF"/>
            <w:noWrap/>
            <w:tcMar>
              <w:top w:w="0" w:type="dxa"/>
              <w:left w:w="86" w:type="dxa"/>
              <w:bottom w:w="43" w:type="dxa"/>
              <w:right w:w="86" w:type="dxa"/>
            </w:tcMar>
          </w:tcPr>
          <w:p w14:paraId="7EEFA4E4" w14:textId="77777777" w:rsidR="00DE0DD5" w:rsidRPr="005D4222" w:rsidRDefault="00DE0DD5">
            <w:pPr>
              <w:pStyle w:val="ECDSMarginHead"/>
            </w:pPr>
            <w:r w:rsidRPr="005D4222">
              <w:t>Rules for Allowable Adjustments</w:t>
            </w:r>
          </w:p>
        </w:tc>
        <w:tc>
          <w:tcPr>
            <w:tcW w:w="7569" w:type="dxa"/>
            <w:tcBorders>
              <w:top w:val="single" w:sz="4" w:space="0" w:color="auto"/>
              <w:left w:val="single" w:sz="4" w:space="0" w:color="auto"/>
              <w:bottom w:val="single" w:sz="4" w:space="0" w:color="auto"/>
              <w:right w:val="single" w:sz="4" w:space="0" w:color="auto"/>
            </w:tcBorders>
            <w:noWrap/>
            <w:tcMar>
              <w:top w:w="0" w:type="dxa"/>
              <w:left w:w="86" w:type="dxa"/>
              <w:bottom w:w="43" w:type="dxa"/>
              <w:right w:w="86" w:type="dxa"/>
            </w:tcMar>
          </w:tcPr>
          <w:p w14:paraId="4A95AA33" w14:textId="77777777" w:rsidR="00DE0DD5" w:rsidRPr="005D4222" w:rsidRDefault="00DE0DD5">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6AAF4B9A" w14:textId="77777777" w:rsidR="00DE0DD5" w:rsidRPr="005D4222" w:rsidRDefault="00DE0DD5">
            <w:pPr>
              <w:pStyle w:val="ECDSBody"/>
              <w:rPr>
                <w:b/>
              </w:rPr>
            </w:pPr>
            <w:r w:rsidRPr="005D4222">
              <w:rPr>
                <w:b/>
              </w:rPr>
              <w:t>Adjusted HEDIS measures may not be used for HEDIS health plan reporting.</w:t>
            </w:r>
          </w:p>
          <w:p w14:paraId="61F4546B" w14:textId="77777777" w:rsidR="00DE0DD5" w:rsidRPr="005D4222" w:rsidRDefault="00DE0DD5">
            <w:pPr>
              <w:pStyle w:val="Adjustments"/>
            </w:pPr>
            <w:r w:rsidRPr="005D4222">
              <w:t>Adjustments</w:t>
            </w:r>
            <w:r w:rsidRPr="005D4222">
              <w:rPr>
                <w:bCs/>
              </w:rPr>
              <w:t xml:space="preserve"> a</w:t>
            </w:r>
            <w:r w:rsidRPr="005D4222">
              <w:t>llowed</w:t>
            </w:r>
          </w:p>
          <w:p w14:paraId="75578846" w14:textId="06514C98" w:rsidR="00DE0DD5" w:rsidRPr="005D4222" w:rsidRDefault="00DE0DD5">
            <w:pPr>
              <w:pStyle w:val="ProcessBullet"/>
              <w:rPr>
                <w:b/>
                <w:bCs/>
                <w:color w:val="000000" w:themeColor="text1"/>
              </w:rPr>
            </w:pPr>
            <w:r w:rsidRPr="005D4222">
              <w:rPr>
                <w:i/>
                <w:iCs/>
              </w:rPr>
              <w:t xml:space="preserve">Product lines. </w:t>
            </w:r>
            <w:r w:rsidRPr="005D4222">
              <w:t>Organizations are not required to use product line criteria; product lines may be combined</w:t>
            </w:r>
            <w:r w:rsidR="00E8671F" w:rsidRPr="005D4222">
              <w:t>,</w:t>
            </w:r>
            <w:r w:rsidRPr="005D4222">
              <w:t xml:space="preserve"> and all (or no) product line criteria may be used.</w:t>
            </w:r>
          </w:p>
          <w:p w14:paraId="3A13EBDA" w14:textId="77777777" w:rsidR="00DE0DD5" w:rsidRPr="005D4222" w:rsidRDefault="00DE0DD5">
            <w:pPr>
              <w:pStyle w:val="ProcessBullet"/>
              <w:rPr>
                <w:b/>
                <w:bCs/>
                <w:color w:val="000000" w:themeColor="text1"/>
              </w:rPr>
            </w:pPr>
            <w:r w:rsidRPr="005D4222">
              <w:rPr>
                <w:i/>
                <w:iCs/>
              </w:rPr>
              <w:t>Allocation.</w:t>
            </w:r>
            <w:r w:rsidRPr="005D4222">
              <w:t xml:space="preserve"> Organizations are not required to use enrollment criteria. </w:t>
            </w:r>
          </w:p>
          <w:p w14:paraId="294BDEF1" w14:textId="3A7905E0" w:rsidR="00DE0DD5" w:rsidRPr="005D4222" w:rsidRDefault="00362E76">
            <w:pPr>
              <w:pStyle w:val="ProcessBullet"/>
              <w:rPr>
                <w:b/>
                <w:bCs/>
                <w:color w:val="000000" w:themeColor="text1"/>
              </w:rPr>
            </w:pPr>
            <w:r w:rsidRPr="005D4222">
              <w:rPr>
                <w:i/>
                <w:iCs/>
              </w:rPr>
              <w:t>Benefits.</w:t>
            </w:r>
            <w:r w:rsidR="00DE0DD5" w:rsidRPr="005D4222">
              <w:t xml:space="preserve"> Organizations are not required to use a benefit.</w:t>
            </w:r>
          </w:p>
          <w:p w14:paraId="5EB487BC" w14:textId="0F28719E" w:rsidR="00DE0DD5" w:rsidRPr="005D4222" w:rsidRDefault="00DE0DD5">
            <w:pPr>
              <w:pStyle w:val="ProcessBullet"/>
              <w:rPr>
                <w:b/>
                <w:bCs/>
                <w:color w:val="000000" w:themeColor="text1"/>
              </w:rPr>
            </w:pPr>
            <w:r w:rsidRPr="005D4222">
              <w:rPr>
                <w:i/>
                <w:iCs/>
              </w:rPr>
              <w:t>Other.</w:t>
            </w:r>
            <w:r w:rsidRPr="005D4222">
              <w:t xml:space="preserve"> Organizations may use additional initial population criteria to focus on a population of interest such as gender, race, ethnicity, socioeconomic</w:t>
            </w:r>
            <w:r w:rsidR="00203DFE" w:rsidRPr="005D4222">
              <w:t xml:space="preserve"> or</w:t>
            </w:r>
            <w:r w:rsidRPr="005D4222">
              <w:t xml:space="preserve"> sociodemographic </w:t>
            </w:r>
            <w:r w:rsidR="00F31C68" w:rsidRPr="005D4222">
              <w:t>characteristics</w:t>
            </w:r>
            <w:r w:rsidRPr="005D4222">
              <w:t>, geographic region or another characteristic.</w:t>
            </w:r>
          </w:p>
          <w:p w14:paraId="4EC81C60" w14:textId="669C8FC1" w:rsidR="00DE0DD5" w:rsidRPr="005D4222" w:rsidRDefault="00DE0DD5">
            <w:pPr>
              <w:pStyle w:val="ProcessBullet"/>
            </w:pPr>
            <w:r w:rsidRPr="005D4222">
              <w:rPr>
                <w:i/>
                <w:iCs/>
              </w:rPr>
              <w:t>Measurement period adjustments.</w:t>
            </w:r>
            <w:r w:rsidRPr="005D4222">
              <w:t xml:space="preserve"> Organizations may adjust the measurement period. </w:t>
            </w:r>
            <w:r w:rsidRPr="005D4222">
              <w:br/>
            </w:r>
            <w:r w:rsidRPr="005D4222">
              <w:rPr>
                <w:rStyle w:val="NoteChar"/>
                <w:b/>
                <w:bCs/>
              </w:rPr>
              <w:t xml:space="preserve">Note: </w:t>
            </w:r>
            <w:r w:rsidRPr="005D4222">
              <w:rPr>
                <w:rStyle w:val="NoteChar"/>
              </w:rPr>
              <w:t>Changes to these criteria can affect how the event will be calculated using the intake period, IESD and negative diagnosis history.</w:t>
            </w:r>
          </w:p>
          <w:p w14:paraId="6DF569FC" w14:textId="7D57492E" w:rsidR="00DE0DD5" w:rsidRPr="005D4222" w:rsidRDefault="00DE0DD5">
            <w:pPr>
              <w:pStyle w:val="ProcessBullet"/>
              <w:rPr>
                <w:b/>
                <w:bCs/>
                <w:color w:val="000000" w:themeColor="text1"/>
              </w:rPr>
            </w:pPr>
            <w:r w:rsidRPr="005D4222">
              <w:rPr>
                <w:i/>
                <w:iCs/>
              </w:rPr>
              <w:t>Exclusions.</w:t>
            </w:r>
            <w:r w:rsidRPr="005D4222">
              <w:t xml:space="preserve"> </w:t>
            </w:r>
            <w:r w:rsidR="00DB0C83" w:rsidRPr="005D4222">
              <w:t>The h</w:t>
            </w:r>
            <w:r w:rsidRPr="005D4222">
              <w:t xml:space="preserve">ospice, deceased persons, palliative care, frailty or advanced illness exclusions are not required. </w:t>
            </w:r>
          </w:p>
          <w:p w14:paraId="7AEFE3F3" w14:textId="4C91D819" w:rsidR="00DE0DD5" w:rsidRPr="005D4222" w:rsidRDefault="00DE0DD5">
            <w:pPr>
              <w:pStyle w:val="ProcessBullet"/>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w:t>
            </w:r>
            <w:r w:rsidR="00F45777" w:rsidRPr="005D4222">
              <w:t>events</w:t>
            </w:r>
            <w:r w:rsidRPr="005D4222">
              <w:t>, numerators and exclusions that do not allow the use of telehealth.</w:t>
            </w:r>
          </w:p>
          <w:p w14:paraId="463375ED" w14:textId="7D394EF2" w:rsidR="009E0E7D" w:rsidRPr="005D4222" w:rsidRDefault="00DE0DD5" w:rsidP="009E0E7D">
            <w:pPr>
              <w:pStyle w:val="ProcessBullet"/>
              <w:spacing w:after="80"/>
              <w:rPr>
                <w:b/>
                <w:bCs/>
              </w:rPr>
            </w:pPr>
            <w:r w:rsidRPr="005D4222">
              <w:rPr>
                <w:i/>
                <w:iCs/>
              </w:rPr>
              <w:t>Supplemental data.</w:t>
            </w:r>
            <w:r w:rsidRPr="005D4222">
              <w:t xml:space="preserve"> Supplemental data may be used to identify initial population, denominator, exclusion and numerator events.</w:t>
            </w:r>
          </w:p>
        </w:tc>
      </w:tr>
    </w:tbl>
    <w:p w14:paraId="0FF3D364" w14:textId="77777777" w:rsidR="00DE0DD5" w:rsidRPr="005D4222" w:rsidRDefault="00DE0DD5" w:rsidP="00DE0DD5">
      <w:pPr>
        <w:spacing w:after="160" w:line="259" w:lineRule="auto"/>
      </w:pPr>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45"/>
        <w:gridCol w:w="7569"/>
      </w:tblGrid>
      <w:tr w:rsidR="00DE0DD5" w:rsidRPr="005D4222" w14:paraId="645A7377" w14:textId="77777777">
        <w:tc>
          <w:tcPr>
            <w:tcW w:w="2145" w:type="dxa"/>
            <w:tcBorders>
              <w:top w:val="single" w:sz="4" w:space="0" w:color="auto"/>
              <w:left w:val="single" w:sz="2" w:space="0" w:color="auto"/>
              <w:right w:val="single" w:sz="2" w:space="0" w:color="auto"/>
            </w:tcBorders>
            <w:shd w:val="clear" w:color="auto" w:fill="BFBFBF" w:themeFill="background1" w:themeFillShade="BF"/>
            <w:noWrap/>
            <w:tcMar>
              <w:top w:w="0" w:type="dxa"/>
              <w:left w:w="86" w:type="dxa"/>
              <w:bottom w:w="43" w:type="dxa"/>
              <w:right w:w="86" w:type="dxa"/>
            </w:tcMar>
          </w:tcPr>
          <w:p w14:paraId="18014D24" w14:textId="77777777" w:rsidR="00DE0DD5" w:rsidRPr="005D4222" w:rsidRDefault="00DE0DD5">
            <w:pPr>
              <w:pStyle w:val="ECDSMarginHead"/>
            </w:pPr>
          </w:p>
        </w:tc>
        <w:tc>
          <w:tcPr>
            <w:tcW w:w="7569" w:type="dxa"/>
            <w:tcBorders>
              <w:top w:val="single" w:sz="4" w:space="0" w:color="auto"/>
              <w:left w:val="single" w:sz="4" w:space="0" w:color="auto"/>
              <w:right w:val="single" w:sz="4" w:space="0" w:color="auto"/>
            </w:tcBorders>
            <w:noWrap/>
            <w:tcMar>
              <w:top w:w="0" w:type="dxa"/>
              <w:left w:w="86" w:type="dxa"/>
              <w:bottom w:w="43" w:type="dxa"/>
              <w:right w:w="86" w:type="dxa"/>
            </w:tcMar>
          </w:tcPr>
          <w:p w14:paraId="72AE17A2" w14:textId="77777777" w:rsidR="009E0E7D" w:rsidRPr="005D4222" w:rsidRDefault="009E0E7D" w:rsidP="00EE79F3">
            <w:pPr>
              <w:pStyle w:val="Adjustments"/>
              <w:spacing w:before="120"/>
            </w:pPr>
            <w:r w:rsidRPr="005D4222">
              <w:t>Adjustments allowed with limits</w:t>
            </w:r>
          </w:p>
          <w:p w14:paraId="1BCD917F" w14:textId="77777777" w:rsidR="009E0E7D" w:rsidRPr="005D4222" w:rsidRDefault="009E0E7D" w:rsidP="009E0E7D">
            <w:pPr>
              <w:pStyle w:val="ProcessBullet"/>
              <w:rPr>
                <w:rFonts w:eastAsia="Arial"/>
                <w:i/>
                <w:iCs/>
              </w:rPr>
            </w:pPr>
            <w:r w:rsidRPr="005D4222">
              <w:rPr>
                <w:rFonts w:eastAsia="Arial"/>
                <w:i/>
                <w:iCs/>
              </w:rPr>
              <w:t xml:space="preserve">Ages. </w:t>
            </w:r>
            <w:r w:rsidRPr="005D4222">
              <w:rPr>
                <w:rFonts w:eastAsia="Arial"/>
              </w:rPr>
              <w:t>The age determination dates may be changed (e.g., select “age as of June 30”). Changing the denominator age range is allowed if the limits are within the specified age range (18–50 years). The denominator age may not be expanded.</w:t>
            </w:r>
          </w:p>
          <w:p w14:paraId="3853817D" w14:textId="77777777" w:rsidR="009E0E7D" w:rsidRPr="005D4222" w:rsidRDefault="009E0E7D" w:rsidP="009E0E7D">
            <w:pPr>
              <w:pStyle w:val="ProcessBullet"/>
              <w:spacing w:after="80"/>
              <w:rPr>
                <w:b/>
                <w:bCs/>
              </w:rPr>
            </w:pPr>
            <w:r w:rsidRPr="005D4222">
              <w:rPr>
                <w:i/>
              </w:rPr>
              <w:t xml:space="preserve">Numerator. </w:t>
            </w:r>
            <w:r w:rsidRPr="005D4222">
              <w:t>Value sets and logic may not be changed. Denied claims may be used to calculate the numerator.</w:t>
            </w:r>
          </w:p>
          <w:p w14:paraId="04F91F32" w14:textId="77777777" w:rsidR="00DE0DD5" w:rsidRPr="005D4222" w:rsidRDefault="00DE0DD5">
            <w:pPr>
              <w:pStyle w:val="Adjustments"/>
              <w:spacing w:before="120"/>
            </w:pPr>
            <w:r w:rsidRPr="005D4222">
              <w:t>Adjustments not allowed</w:t>
            </w:r>
          </w:p>
          <w:p w14:paraId="0F818FB8" w14:textId="77777777" w:rsidR="00DE0DD5" w:rsidRPr="005D4222" w:rsidRDefault="00DE0DD5">
            <w:pPr>
              <w:pStyle w:val="ProcessBullet"/>
              <w:spacing w:after="80"/>
              <w:rPr>
                <w:b/>
                <w:i/>
              </w:rPr>
            </w:pPr>
            <w:r w:rsidRPr="005D4222">
              <w:rPr>
                <w:i/>
                <w:iCs/>
              </w:rPr>
              <w:t>Initial population:</w:t>
            </w:r>
            <w:r w:rsidRPr="005D4222">
              <w:t xml:space="preserve"> </w:t>
            </w:r>
            <w:r w:rsidRPr="005D4222">
              <w:rPr>
                <w:iCs/>
              </w:rPr>
              <w:t xml:space="preserve">Event. </w:t>
            </w:r>
            <w:r w:rsidRPr="005D4222">
              <w:t xml:space="preserve">Value sets, medication lists and logic may not be changed. </w:t>
            </w:r>
          </w:p>
          <w:p w14:paraId="642E6EB8" w14:textId="4D2F3851" w:rsidR="00C6290A" w:rsidRPr="005D4222" w:rsidRDefault="00C6290A">
            <w:pPr>
              <w:pStyle w:val="ProcessBullet"/>
              <w:spacing w:after="80"/>
              <w:rPr>
                <w:b/>
                <w:i/>
              </w:rPr>
            </w:pPr>
            <w:r w:rsidRPr="005D4222">
              <w:rPr>
                <w:i/>
                <w:iCs/>
              </w:rPr>
              <w:t>Exclusions</w:t>
            </w:r>
            <w:r w:rsidR="00B71C3B" w:rsidRPr="005D4222">
              <w:rPr>
                <w:i/>
                <w:iCs/>
              </w:rPr>
              <w:t>.</w:t>
            </w:r>
            <w:r w:rsidR="00B71C3B" w:rsidRPr="005D4222">
              <w:rPr>
                <w:b/>
                <w:i/>
              </w:rPr>
              <w:t xml:space="preserve"> </w:t>
            </w:r>
            <w:r w:rsidR="00FD362E" w:rsidRPr="005D4222">
              <w:rPr>
                <w:bCs/>
                <w:iCs/>
              </w:rPr>
              <w:t>The diagno</w:t>
            </w:r>
            <w:r w:rsidR="00DF4001" w:rsidRPr="005D4222">
              <w:rPr>
                <w:bCs/>
                <w:iCs/>
              </w:rPr>
              <w:t xml:space="preserve">ses and procedures that may warrant imaging </w:t>
            </w:r>
            <w:r w:rsidR="008E5498" w:rsidRPr="005D4222">
              <w:rPr>
                <w:bCs/>
                <w:iCs/>
              </w:rPr>
              <w:t xml:space="preserve">and prolonged use of corticosteroids </w:t>
            </w:r>
            <w:r w:rsidR="00316F1D" w:rsidRPr="005D4222">
              <w:rPr>
                <w:bCs/>
                <w:iCs/>
              </w:rPr>
              <w:t>exclusions</w:t>
            </w:r>
            <w:r w:rsidR="009F4AC1" w:rsidRPr="005D4222">
              <w:rPr>
                <w:bCs/>
                <w:iCs/>
              </w:rPr>
              <w:t xml:space="preserve"> must be applied. The value sets, medication lists and logic may not be changed. </w:t>
            </w:r>
          </w:p>
        </w:tc>
      </w:tr>
    </w:tbl>
    <w:p w14:paraId="26980697" w14:textId="77777777" w:rsidR="00F73FB4" w:rsidRPr="005D4222" w:rsidRDefault="00F73FB4" w:rsidP="009750E1">
      <w:pPr>
        <w:pStyle w:val="ECDSBody"/>
        <w:sectPr w:rsidR="00F73FB4" w:rsidRPr="005D4222" w:rsidSect="0074514A">
          <w:headerReference w:type="default" r:id="rId141"/>
          <w:type w:val="nextColumn"/>
          <w:pgSz w:w="12240" w:h="15840" w:code="1"/>
          <w:pgMar w:top="1080" w:right="1080" w:bottom="1080" w:left="1440" w:header="720" w:footer="720" w:gutter="0"/>
          <w:cols w:space="720"/>
          <w:docGrid w:linePitch="360"/>
        </w:sectPr>
      </w:pPr>
    </w:p>
    <w:p w14:paraId="3B3DC3A1" w14:textId="1C09322B" w:rsidR="009750E1" w:rsidRPr="005D4222" w:rsidRDefault="00CC71CC" w:rsidP="00CC71CC">
      <w:pPr>
        <w:pStyle w:val="MeasureTitle"/>
      </w:pPr>
      <w:bookmarkStart w:id="319" w:name="_Toc201813428"/>
      <w:r w:rsidRPr="005D4222">
        <w:lastRenderedPageBreak/>
        <w:t>Potentially Harmful Drug-Disease Interactions in Older Adults</w:t>
      </w:r>
      <w:r w:rsidR="0096709F" w:rsidRPr="005D4222">
        <w:t xml:space="preserve"> (DDE)</w:t>
      </w:r>
      <w:bookmarkEnd w:id="319"/>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4904"/>
        <w:gridCol w:w="1820"/>
        <w:gridCol w:w="833"/>
      </w:tblGrid>
      <w:tr w:rsidR="0042622B" w:rsidRPr="005D4222" w14:paraId="373F2561" w14:textId="77777777" w:rsidTr="00AD3602">
        <w:trPr>
          <w:trHeight w:val="300"/>
        </w:trPr>
        <w:tc>
          <w:tcPr>
            <w:tcW w:w="2157" w:type="dxa"/>
            <w:shd w:val="clear" w:color="auto" w:fill="BFBFBF" w:themeFill="background1" w:themeFillShade="BF"/>
            <w:noWrap/>
            <w:tcMar>
              <w:top w:w="0" w:type="dxa"/>
              <w:left w:w="86" w:type="dxa"/>
              <w:bottom w:w="43" w:type="dxa"/>
              <w:right w:w="86" w:type="dxa"/>
            </w:tcMar>
            <w:hideMark/>
          </w:tcPr>
          <w:p w14:paraId="4D65B9FF" w14:textId="77777777" w:rsidR="0042622B" w:rsidRPr="005D4222" w:rsidRDefault="0042622B">
            <w:pPr>
              <w:pStyle w:val="ECDSMarginHead"/>
            </w:pPr>
            <w:r w:rsidRPr="005D4222">
              <w:t>Measure title</w:t>
            </w:r>
          </w:p>
        </w:tc>
        <w:tc>
          <w:tcPr>
            <w:tcW w:w="4904" w:type="dxa"/>
            <w:noWrap/>
            <w:tcMar>
              <w:top w:w="0" w:type="dxa"/>
              <w:left w:w="86" w:type="dxa"/>
              <w:bottom w:w="43" w:type="dxa"/>
              <w:right w:w="86" w:type="dxa"/>
            </w:tcMar>
          </w:tcPr>
          <w:p w14:paraId="529D4ACB" w14:textId="77777777" w:rsidR="0042622B" w:rsidRPr="005D4222" w:rsidRDefault="0042622B">
            <w:pPr>
              <w:pStyle w:val="ECDSBody"/>
            </w:pPr>
            <w:r w:rsidRPr="005D4222">
              <w:t>Potentially Harmful Drug-Disease Interactions in Older Adults</w:t>
            </w:r>
          </w:p>
        </w:tc>
        <w:tc>
          <w:tcPr>
            <w:tcW w:w="1820" w:type="dxa"/>
            <w:shd w:val="clear" w:color="auto" w:fill="BFBFBF" w:themeFill="background1" w:themeFillShade="BF"/>
            <w:noWrap/>
            <w:tcMar>
              <w:top w:w="0" w:type="dxa"/>
              <w:left w:w="86" w:type="dxa"/>
              <w:bottom w:w="43" w:type="dxa"/>
              <w:right w:w="86" w:type="dxa"/>
            </w:tcMar>
          </w:tcPr>
          <w:p w14:paraId="774B41CF" w14:textId="77777777" w:rsidR="0042622B" w:rsidRPr="005D4222" w:rsidRDefault="0042622B">
            <w:pPr>
              <w:pStyle w:val="ECDSMarginHead"/>
            </w:pPr>
            <w:r w:rsidRPr="005D4222">
              <w:t>Measure ID</w:t>
            </w:r>
          </w:p>
        </w:tc>
        <w:tc>
          <w:tcPr>
            <w:tcW w:w="833" w:type="dxa"/>
            <w:noWrap/>
            <w:tcMar>
              <w:top w:w="0" w:type="dxa"/>
              <w:left w:w="86" w:type="dxa"/>
              <w:bottom w:w="43" w:type="dxa"/>
              <w:right w:w="86" w:type="dxa"/>
            </w:tcMar>
          </w:tcPr>
          <w:p w14:paraId="1D2889E7" w14:textId="77777777" w:rsidR="0042622B" w:rsidRPr="005D4222" w:rsidRDefault="0042622B">
            <w:pPr>
              <w:pStyle w:val="ECDSBody"/>
            </w:pPr>
            <w:r w:rsidRPr="005D4222">
              <w:t>DDE</w:t>
            </w:r>
          </w:p>
        </w:tc>
      </w:tr>
      <w:tr w:rsidR="0042622B" w:rsidRPr="005D4222" w14:paraId="19E046E0" w14:textId="77777777" w:rsidTr="00AD3602">
        <w:trPr>
          <w:trHeight w:val="300"/>
        </w:trPr>
        <w:tc>
          <w:tcPr>
            <w:tcW w:w="2157" w:type="dxa"/>
            <w:shd w:val="clear" w:color="auto" w:fill="BFBFBF" w:themeFill="background1" w:themeFillShade="BF"/>
            <w:noWrap/>
            <w:tcMar>
              <w:top w:w="0" w:type="dxa"/>
              <w:left w:w="86" w:type="dxa"/>
              <w:bottom w:w="43" w:type="dxa"/>
              <w:right w:w="86" w:type="dxa"/>
            </w:tcMar>
            <w:hideMark/>
          </w:tcPr>
          <w:p w14:paraId="0C89D880" w14:textId="77777777" w:rsidR="0042622B" w:rsidRPr="005D4222" w:rsidRDefault="0042622B">
            <w:pPr>
              <w:pStyle w:val="ECDSMarginHead"/>
            </w:pPr>
            <w:r w:rsidRPr="005D4222">
              <w:t>Description</w:t>
            </w:r>
          </w:p>
        </w:tc>
        <w:tc>
          <w:tcPr>
            <w:tcW w:w="7557" w:type="dxa"/>
            <w:gridSpan w:val="3"/>
            <w:noWrap/>
            <w:tcMar>
              <w:top w:w="0" w:type="dxa"/>
              <w:left w:w="86" w:type="dxa"/>
              <w:bottom w:w="43" w:type="dxa"/>
              <w:right w:w="86" w:type="dxa"/>
            </w:tcMar>
          </w:tcPr>
          <w:p w14:paraId="1F436D4F" w14:textId="77777777" w:rsidR="0042622B" w:rsidRPr="005D4222" w:rsidRDefault="0042622B">
            <w:pPr>
              <w:pStyle w:val="ECDSBody"/>
            </w:pPr>
            <w:r w:rsidRPr="005D4222">
              <w:t xml:space="preserve">The percentage of persons 67 years of age and older who have evidence of an underlying disease, condition or health concern and </w:t>
            </w:r>
            <w:r w:rsidRPr="005D4222" w:rsidDel="00243E4B">
              <w:t xml:space="preserve">who </w:t>
            </w:r>
            <w:r w:rsidRPr="005D4222">
              <w:t>were dispensed an ambulatory prescription for a potentially harmful medication, concurrent with or after the diagnosis. Three rates are reported:</w:t>
            </w:r>
          </w:p>
          <w:p w14:paraId="78C53C1F" w14:textId="77777777" w:rsidR="0042622B" w:rsidRPr="005D4222" w:rsidRDefault="0042622B">
            <w:pPr>
              <w:pStyle w:val="Body"/>
              <w:spacing w:before="80"/>
              <w:ind w:left="648" w:hanging="288"/>
            </w:pPr>
            <w:r w:rsidRPr="005D4222">
              <w:t>1.</w:t>
            </w:r>
            <w:r w:rsidRPr="005D4222">
              <w:tab/>
              <w:t>A history of falls and a prescription for anticholinergic agents, antiepileptics, antipsychotics, benzodiazepines, nonbenzodiazepine hypnotics or antidepressants (SSRIs, tricyclic antidepressants and SNRIs).</w:t>
            </w:r>
          </w:p>
          <w:p w14:paraId="41A07BF4" w14:textId="77777777" w:rsidR="0042622B" w:rsidRPr="005D4222" w:rsidRDefault="0042622B">
            <w:pPr>
              <w:pStyle w:val="Body"/>
              <w:spacing w:before="80"/>
              <w:ind w:left="648" w:hanging="288"/>
            </w:pPr>
            <w:r w:rsidRPr="005D4222">
              <w:t>2.</w:t>
            </w:r>
            <w:r w:rsidRPr="005D4222">
              <w:tab/>
              <w:t>Dementia and a prescription for antipsychotics, benzodiazepines, nonbenzodiazepine hypnotics, tricyclic antidepressants or anticholinergic agents.</w:t>
            </w:r>
          </w:p>
          <w:p w14:paraId="44C021DF" w14:textId="77777777" w:rsidR="0042622B" w:rsidRPr="005D4222" w:rsidRDefault="0042622B">
            <w:pPr>
              <w:pStyle w:val="Body"/>
              <w:spacing w:before="80"/>
              <w:ind w:left="648" w:hanging="288"/>
            </w:pPr>
            <w:r w:rsidRPr="005D4222">
              <w:t>3.</w:t>
            </w:r>
            <w:r w:rsidRPr="005D4222">
              <w:tab/>
              <w:t>Chronic kidney disease and prescription for Cox-2 selective NSAIDs or nonaspirin NSAIDs.</w:t>
            </w:r>
          </w:p>
        </w:tc>
      </w:tr>
      <w:tr w:rsidR="0042622B" w:rsidRPr="005D4222" w14:paraId="66A7D271" w14:textId="77777777" w:rsidTr="00AD3602">
        <w:trPr>
          <w:trHeight w:val="300"/>
        </w:trPr>
        <w:tc>
          <w:tcPr>
            <w:tcW w:w="2157" w:type="dxa"/>
            <w:shd w:val="clear" w:color="auto" w:fill="BFBFBF" w:themeFill="background1" w:themeFillShade="BF"/>
            <w:noWrap/>
            <w:tcMar>
              <w:top w:w="0" w:type="dxa"/>
              <w:left w:w="86" w:type="dxa"/>
              <w:bottom w:w="43" w:type="dxa"/>
              <w:right w:w="86" w:type="dxa"/>
            </w:tcMar>
          </w:tcPr>
          <w:p w14:paraId="4C0BB134" w14:textId="77777777" w:rsidR="0042622B" w:rsidRPr="005D4222" w:rsidRDefault="0042622B">
            <w:pPr>
              <w:pStyle w:val="ECDSMarginHead"/>
            </w:pPr>
            <w:r w:rsidRPr="005D4222">
              <w:t>Measurement period</w:t>
            </w:r>
          </w:p>
        </w:tc>
        <w:tc>
          <w:tcPr>
            <w:tcW w:w="7557" w:type="dxa"/>
            <w:gridSpan w:val="3"/>
            <w:noWrap/>
            <w:tcMar>
              <w:top w:w="0" w:type="dxa"/>
              <w:left w:w="86" w:type="dxa"/>
              <w:bottom w:w="43" w:type="dxa"/>
              <w:right w:w="86" w:type="dxa"/>
            </w:tcMar>
          </w:tcPr>
          <w:p w14:paraId="7799E9B6" w14:textId="77777777" w:rsidR="0042622B" w:rsidRPr="005D4222" w:rsidRDefault="0042622B">
            <w:pPr>
              <w:pStyle w:val="ECDSBody"/>
            </w:pPr>
            <w:r w:rsidRPr="005D4222">
              <w:t>January 1–December 31.</w:t>
            </w:r>
          </w:p>
        </w:tc>
      </w:tr>
      <w:tr w:rsidR="0042622B" w:rsidRPr="005D4222" w14:paraId="1D5F1A5A" w14:textId="77777777" w:rsidTr="00AD3602">
        <w:trPr>
          <w:trHeight w:val="300"/>
        </w:trPr>
        <w:tc>
          <w:tcPr>
            <w:tcW w:w="2157" w:type="dxa"/>
            <w:shd w:val="clear" w:color="auto" w:fill="BFBFBF" w:themeFill="background1" w:themeFillShade="BF"/>
            <w:noWrap/>
            <w:tcMar>
              <w:top w:w="0" w:type="dxa"/>
              <w:left w:w="86" w:type="dxa"/>
              <w:bottom w:w="43" w:type="dxa"/>
              <w:right w:w="86" w:type="dxa"/>
            </w:tcMar>
            <w:hideMark/>
          </w:tcPr>
          <w:p w14:paraId="4F412579" w14:textId="77777777" w:rsidR="0042622B" w:rsidRPr="005D4222" w:rsidRDefault="0042622B">
            <w:pPr>
              <w:pStyle w:val="ECDSMarginHead"/>
              <w:rPr>
                <w:rFonts w:eastAsia="Arial"/>
              </w:rPr>
            </w:pPr>
            <w:r w:rsidRPr="005D4222">
              <w:rPr>
                <w:rFonts w:eastAsia="Arial"/>
              </w:rPr>
              <w:t>Copyright and disclaimer notice</w:t>
            </w:r>
          </w:p>
        </w:tc>
        <w:tc>
          <w:tcPr>
            <w:tcW w:w="7557" w:type="dxa"/>
            <w:gridSpan w:val="3"/>
            <w:noWrap/>
            <w:tcMar>
              <w:top w:w="0" w:type="dxa"/>
              <w:left w:w="86" w:type="dxa"/>
              <w:bottom w:w="43" w:type="dxa"/>
              <w:right w:w="86" w:type="dxa"/>
            </w:tcMar>
          </w:tcPr>
          <w:p w14:paraId="1147666E" w14:textId="77777777" w:rsidR="0042622B" w:rsidRPr="005D4222" w:rsidRDefault="0042622B">
            <w:pPr>
              <w:pStyle w:val="ECDSBody"/>
            </w:pPr>
            <w:r w:rsidRPr="005D4222">
              <w:t xml:space="preserve">Refer to the complete copyright and disclaimer information at the front of this publication. </w:t>
            </w:r>
          </w:p>
          <w:p w14:paraId="7B314AC5" w14:textId="77777777" w:rsidR="0042622B" w:rsidRPr="005D4222" w:rsidRDefault="0042622B">
            <w:pPr>
              <w:pStyle w:val="ECDSBody"/>
              <w:spacing w:before="80"/>
            </w:pPr>
            <w:r w:rsidRPr="005D4222">
              <w:t xml:space="preserve">NCQA website: </w:t>
            </w:r>
            <w:r w:rsidRPr="005D4222">
              <w:rPr>
                <w:u w:val="single"/>
              </w:rPr>
              <w:t>www.ncqa.org</w:t>
            </w:r>
            <w:r w:rsidRPr="005D4222">
              <w:t>.</w:t>
            </w:r>
          </w:p>
          <w:p w14:paraId="2D0E6C57" w14:textId="77777777" w:rsidR="0042622B" w:rsidRPr="005D4222" w:rsidRDefault="0042622B">
            <w:pPr>
              <w:pStyle w:val="ECDSBody"/>
              <w:spacing w:before="80"/>
              <w:rPr>
                <w:sz w:val="18"/>
                <w:szCs w:val="18"/>
              </w:rPr>
            </w:pPr>
            <w:r w:rsidRPr="005D4222">
              <w:rPr>
                <w:szCs w:val="21"/>
              </w:rPr>
              <w:t>Submit policy clarification support questions via My NCQA (</w:t>
            </w:r>
            <w:r w:rsidRPr="005D4222">
              <w:rPr>
                <w:szCs w:val="21"/>
                <w:u w:val="single"/>
              </w:rPr>
              <w:t>https://my.ncqa.org</w:t>
            </w:r>
            <w:r w:rsidRPr="005D4222">
              <w:rPr>
                <w:szCs w:val="21"/>
              </w:rPr>
              <w:t>).</w:t>
            </w:r>
          </w:p>
        </w:tc>
      </w:tr>
      <w:tr w:rsidR="0042622B" w:rsidRPr="005D4222" w14:paraId="1C4A9B0B" w14:textId="77777777" w:rsidTr="00AD3602">
        <w:trPr>
          <w:trHeight w:val="655"/>
        </w:trPr>
        <w:tc>
          <w:tcPr>
            <w:tcW w:w="2157" w:type="dxa"/>
            <w:shd w:val="clear" w:color="auto" w:fill="BFBFBF" w:themeFill="background1" w:themeFillShade="BF"/>
            <w:noWrap/>
            <w:tcMar>
              <w:top w:w="0" w:type="dxa"/>
              <w:left w:w="86" w:type="dxa"/>
              <w:bottom w:w="43" w:type="dxa"/>
              <w:right w:w="86" w:type="dxa"/>
            </w:tcMar>
            <w:hideMark/>
          </w:tcPr>
          <w:p w14:paraId="6482B2E1" w14:textId="77777777" w:rsidR="0042622B" w:rsidRPr="005D4222" w:rsidRDefault="0042622B">
            <w:pPr>
              <w:pStyle w:val="ECDSMarginHead"/>
            </w:pPr>
            <w:r w:rsidRPr="005D4222">
              <w:t>Clinical recommendation statement/ rationale</w:t>
            </w:r>
          </w:p>
        </w:tc>
        <w:tc>
          <w:tcPr>
            <w:tcW w:w="7557" w:type="dxa"/>
            <w:gridSpan w:val="3"/>
            <w:noWrap/>
            <w:tcMar>
              <w:top w:w="0" w:type="dxa"/>
              <w:left w:w="86" w:type="dxa"/>
              <w:bottom w:w="43" w:type="dxa"/>
              <w:right w:w="86" w:type="dxa"/>
            </w:tcMar>
          </w:tcPr>
          <w:p w14:paraId="051546D2" w14:textId="77777777" w:rsidR="0042622B" w:rsidRPr="005D4222" w:rsidRDefault="0042622B">
            <w:pPr>
              <w:pStyle w:val="ECDSBody"/>
              <w:rPr>
                <w:szCs w:val="21"/>
              </w:rPr>
            </w:pPr>
            <w:r w:rsidRPr="005D4222">
              <w:rPr>
                <w:szCs w:val="21"/>
              </w:rPr>
              <w:t>This measure is based on recommendations in the American Geriatrics Society (AGS) 2023 Updated Beers Criteria for Potentially Inappropriate Medication Use in Older Adults. The AGS Beers Criteria are one of the most widely used sources about the safety of medication prescribing in older adults. They include evidence-based recommendations on medications that are potentially harmful in all older adults and those with specific diseases or conditions.</w:t>
            </w:r>
          </w:p>
        </w:tc>
      </w:tr>
      <w:tr w:rsidR="0042622B" w:rsidRPr="005D4222" w14:paraId="5060B006" w14:textId="77777777" w:rsidTr="00AD3602">
        <w:trPr>
          <w:trHeight w:val="300"/>
        </w:trPr>
        <w:tc>
          <w:tcPr>
            <w:tcW w:w="2157" w:type="dxa"/>
            <w:shd w:val="clear" w:color="auto" w:fill="BFBFBF" w:themeFill="background1" w:themeFillShade="BF"/>
            <w:noWrap/>
            <w:tcMar>
              <w:top w:w="0" w:type="dxa"/>
              <w:left w:w="86" w:type="dxa"/>
              <w:bottom w:w="43" w:type="dxa"/>
              <w:right w:w="86" w:type="dxa"/>
            </w:tcMar>
          </w:tcPr>
          <w:p w14:paraId="752AA3AC" w14:textId="77777777" w:rsidR="0042622B" w:rsidRPr="005D4222" w:rsidRDefault="0042622B">
            <w:pPr>
              <w:pStyle w:val="ECDSMarginHead"/>
            </w:pPr>
            <w:r w:rsidRPr="005D4222">
              <w:t>Citations</w:t>
            </w:r>
          </w:p>
        </w:tc>
        <w:tc>
          <w:tcPr>
            <w:tcW w:w="7557" w:type="dxa"/>
            <w:gridSpan w:val="3"/>
            <w:noWrap/>
            <w:tcMar>
              <w:top w:w="0" w:type="dxa"/>
              <w:left w:w="86" w:type="dxa"/>
              <w:bottom w:w="43" w:type="dxa"/>
              <w:right w:w="86" w:type="dxa"/>
            </w:tcMar>
          </w:tcPr>
          <w:p w14:paraId="7FD603E7" w14:textId="77777777" w:rsidR="0042622B" w:rsidRPr="005D4222" w:rsidRDefault="0042622B">
            <w:pPr>
              <w:pStyle w:val="ECDSBody"/>
              <w:rPr>
                <w:szCs w:val="21"/>
              </w:rPr>
            </w:pPr>
            <w:r w:rsidRPr="005D4222">
              <w:rPr>
                <w:szCs w:val="21"/>
              </w:rPr>
              <w:t xml:space="preserve">2023 American Geriatrics Society Beers Criteria Update Expert Panel. 2023. “American Geriatrics Society 2023 Updated Beers Criteria for Potentially Inappropriate Medication Use in Older Adults.” </w:t>
            </w:r>
            <w:r w:rsidRPr="005D4222">
              <w:rPr>
                <w:i/>
                <w:szCs w:val="21"/>
              </w:rPr>
              <w:t xml:space="preserve">Journal of the American Geriatrics Society </w:t>
            </w:r>
            <w:r w:rsidRPr="005D4222">
              <w:rPr>
                <w:iCs/>
                <w:szCs w:val="21"/>
              </w:rPr>
              <w:t>71(7): 2052–81</w:t>
            </w:r>
            <w:r w:rsidRPr="005D4222">
              <w:rPr>
                <w:i/>
                <w:szCs w:val="21"/>
              </w:rPr>
              <w:t>.</w:t>
            </w:r>
          </w:p>
        </w:tc>
      </w:tr>
      <w:tr w:rsidR="0042622B" w:rsidRPr="005D4222" w14:paraId="49EA6485" w14:textId="77777777" w:rsidTr="00AD3602">
        <w:trPr>
          <w:trHeight w:val="300"/>
        </w:trPr>
        <w:tc>
          <w:tcPr>
            <w:tcW w:w="9714" w:type="dxa"/>
            <w:gridSpan w:val="4"/>
            <w:tcBorders>
              <w:bottom w:val="single" w:sz="4" w:space="0" w:color="auto"/>
            </w:tcBorders>
            <w:shd w:val="clear" w:color="auto" w:fill="BFBFBF" w:themeFill="background1" w:themeFillShade="BF"/>
            <w:noWrap/>
            <w:tcMar>
              <w:top w:w="0" w:type="dxa"/>
              <w:left w:w="86" w:type="dxa"/>
              <w:bottom w:w="43" w:type="dxa"/>
              <w:right w:w="86" w:type="dxa"/>
            </w:tcMar>
          </w:tcPr>
          <w:p w14:paraId="284DC0CE" w14:textId="77777777" w:rsidR="0042622B" w:rsidRPr="005D4222" w:rsidRDefault="0042622B">
            <w:pPr>
              <w:pStyle w:val="ECDSMarginHead"/>
            </w:pPr>
            <w:r w:rsidRPr="005D4222">
              <w:t>Characteristics</w:t>
            </w:r>
          </w:p>
        </w:tc>
      </w:tr>
      <w:tr w:rsidR="0042622B" w:rsidRPr="005D4222" w14:paraId="116F7870" w14:textId="77777777" w:rsidTr="00AD3602">
        <w:trPr>
          <w:trHeight w:val="300"/>
        </w:trPr>
        <w:tc>
          <w:tcPr>
            <w:tcW w:w="2157" w:type="dxa"/>
            <w:tcBorders>
              <w:top w:val="single" w:sz="4" w:space="0" w:color="auto"/>
              <w:left w:val="single" w:sz="4" w:space="0" w:color="auto"/>
              <w:bottom w:val="nil"/>
              <w:right w:val="single" w:sz="4" w:space="0" w:color="auto"/>
            </w:tcBorders>
            <w:noWrap/>
            <w:tcMar>
              <w:top w:w="0" w:type="dxa"/>
              <w:left w:w="86" w:type="dxa"/>
              <w:bottom w:w="43" w:type="dxa"/>
              <w:right w:w="86" w:type="dxa"/>
            </w:tcMar>
          </w:tcPr>
          <w:p w14:paraId="401F194F" w14:textId="77777777" w:rsidR="0042622B" w:rsidRPr="005D4222" w:rsidRDefault="0042622B" w:rsidP="00E57C2C">
            <w:pPr>
              <w:pStyle w:val="ECDSSubhead"/>
            </w:pPr>
            <w:r w:rsidRPr="005D4222">
              <w:t>Scoring</w:t>
            </w:r>
          </w:p>
        </w:tc>
        <w:tc>
          <w:tcPr>
            <w:tcW w:w="7557" w:type="dxa"/>
            <w:gridSpan w:val="3"/>
            <w:tcBorders>
              <w:top w:val="single" w:sz="4" w:space="0" w:color="auto"/>
              <w:left w:val="single" w:sz="4" w:space="0" w:color="auto"/>
              <w:bottom w:val="nil"/>
              <w:right w:val="single" w:sz="4" w:space="0" w:color="auto"/>
            </w:tcBorders>
            <w:noWrap/>
            <w:tcMar>
              <w:top w:w="0" w:type="dxa"/>
              <w:left w:w="86" w:type="dxa"/>
              <w:bottom w:w="43" w:type="dxa"/>
              <w:right w:w="86" w:type="dxa"/>
            </w:tcMar>
            <w:hideMark/>
          </w:tcPr>
          <w:p w14:paraId="041AC11F" w14:textId="078553BD" w:rsidR="0042622B" w:rsidRPr="005D4222" w:rsidRDefault="00F95285">
            <w:pPr>
              <w:pStyle w:val="ECDSBody"/>
              <w:spacing w:after="0"/>
            </w:pPr>
            <w:r w:rsidRPr="005D4222">
              <w:t>Proportion</w:t>
            </w:r>
            <w:r w:rsidR="0042622B" w:rsidRPr="005D4222">
              <w:t>.</w:t>
            </w:r>
          </w:p>
        </w:tc>
      </w:tr>
      <w:tr w:rsidR="0042622B" w:rsidRPr="005D4222" w14:paraId="1ED877AB" w14:textId="77777777" w:rsidTr="00AD3602">
        <w:trPr>
          <w:trHeight w:val="300"/>
        </w:trPr>
        <w:tc>
          <w:tcPr>
            <w:tcW w:w="2157" w:type="dxa"/>
            <w:tcBorders>
              <w:top w:val="nil"/>
              <w:left w:val="single" w:sz="4" w:space="0" w:color="auto"/>
              <w:bottom w:val="nil"/>
              <w:right w:val="single" w:sz="4" w:space="0" w:color="auto"/>
            </w:tcBorders>
            <w:noWrap/>
            <w:tcMar>
              <w:top w:w="0" w:type="dxa"/>
              <w:left w:w="86" w:type="dxa"/>
              <w:bottom w:w="43" w:type="dxa"/>
              <w:right w:w="86" w:type="dxa"/>
            </w:tcMar>
          </w:tcPr>
          <w:p w14:paraId="7C6C20AC" w14:textId="77777777" w:rsidR="0042622B" w:rsidRPr="005D4222" w:rsidRDefault="0042622B" w:rsidP="00E57C2C">
            <w:pPr>
              <w:pStyle w:val="ECDSSubhead"/>
            </w:pPr>
            <w:r w:rsidRPr="005D4222">
              <w:t>Type</w:t>
            </w:r>
          </w:p>
        </w:tc>
        <w:tc>
          <w:tcPr>
            <w:tcW w:w="7557" w:type="dxa"/>
            <w:gridSpan w:val="3"/>
            <w:tcBorders>
              <w:top w:val="nil"/>
              <w:left w:val="single" w:sz="4" w:space="0" w:color="auto"/>
              <w:bottom w:val="nil"/>
              <w:right w:val="single" w:sz="4" w:space="0" w:color="auto"/>
            </w:tcBorders>
            <w:noWrap/>
            <w:tcMar>
              <w:top w:w="0" w:type="dxa"/>
              <w:left w:w="86" w:type="dxa"/>
              <w:bottom w:w="43" w:type="dxa"/>
              <w:right w:w="86" w:type="dxa"/>
            </w:tcMar>
          </w:tcPr>
          <w:p w14:paraId="5B2E6B55" w14:textId="77777777" w:rsidR="0042622B" w:rsidRPr="005D4222" w:rsidRDefault="0042622B">
            <w:pPr>
              <w:pStyle w:val="ECDSBody"/>
              <w:spacing w:after="0"/>
            </w:pPr>
            <w:r w:rsidRPr="005D4222">
              <w:t>Process.</w:t>
            </w:r>
          </w:p>
        </w:tc>
      </w:tr>
      <w:tr w:rsidR="0042622B" w:rsidRPr="005D4222" w14:paraId="08C76D8B" w14:textId="77777777" w:rsidTr="00AD3602">
        <w:trPr>
          <w:trHeight w:val="300"/>
        </w:trPr>
        <w:tc>
          <w:tcPr>
            <w:tcW w:w="2157" w:type="dxa"/>
            <w:tcBorders>
              <w:top w:val="nil"/>
              <w:left w:val="single" w:sz="4" w:space="0" w:color="auto"/>
              <w:bottom w:val="nil"/>
              <w:right w:val="single" w:sz="4" w:space="0" w:color="auto"/>
            </w:tcBorders>
            <w:noWrap/>
            <w:tcMar>
              <w:top w:w="0" w:type="dxa"/>
              <w:left w:w="86" w:type="dxa"/>
              <w:bottom w:w="43" w:type="dxa"/>
              <w:right w:w="86" w:type="dxa"/>
            </w:tcMar>
          </w:tcPr>
          <w:p w14:paraId="7173A227" w14:textId="155BF25E" w:rsidR="0042622B" w:rsidRPr="005D4222" w:rsidRDefault="00B51CDC" w:rsidP="00E57C2C">
            <w:pPr>
              <w:pStyle w:val="ECDSSubhead"/>
            </w:pPr>
            <w:r w:rsidRPr="005D4222">
              <w:t>Product lines</w:t>
            </w:r>
            <w:r w:rsidR="0042622B" w:rsidRPr="005D4222">
              <w:t xml:space="preserve"> </w:t>
            </w:r>
          </w:p>
        </w:tc>
        <w:tc>
          <w:tcPr>
            <w:tcW w:w="7557" w:type="dxa"/>
            <w:gridSpan w:val="3"/>
            <w:tcBorders>
              <w:top w:val="nil"/>
              <w:left w:val="single" w:sz="4" w:space="0" w:color="auto"/>
              <w:bottom w:val="nil"/>
              <w:right w:val="single" w:sz="4" w:space="0" w:color="auto"/>
            </w:tcBorders>
            <w:noWrap/>
            <w:tcMar>
              <w:top w:w="0" w:type="dxa"/>
              <w:left w:w="86" w:type="dxa"/>
              <w:bottom w:w="43" w:type="dxa"/>
              <w:right w:w="86" w:type="dxa"/>
            </w:tcMar>
            <w:hideMark/>
          </w:tcPr>
          <w:p w14:paraId="7C20937F" w14:textId="77777777" w:rsidR="0042622B" w:rsidRPr="005D4222" w:rsidRDefault="0042622B">
            <w:pPr>
              <w:pStyle w:val="ECDSBody"/>
              <w:spacing w:after="0"/>
            </w:pPr>
            <w:r w:rsidRPr="005D4222">
              <w:rPr>
                <w:rFonts w:eastAsia="Arial,Arial,Arial,Arial,Arial,A"/>
              </w:rPr>
              <w:t>Medicare.</w:t>
            </w:r>
          </w:p>
        </w:tc>
      </w:tr>
      <w:tr w:rsidR="0042622B" w:rsidRPr="005D4222" w14:paraId="48E24553" w14:textId="77777777" w:rsidTr="00B14D3A">
        <w:trPr>
          <w:trHeight w:val="300"/>
        </w:trPr>
        <w:tc>
          <w:tcPr>
            <w:tcW w:w="2157" w:type="dxa"/>
            <w:tcBorders>
              <w:top w:val="nil"/>
              <w:left w:val="single" w:sz="4" w:space="0" w:color="auto"/>
              <w:bottom w:val="nil"/>
              <w:right w:val="single" w:sz="4" w:space="0" w:color="auto"/>
            </w:tcBorders>
            <w:noWrap/>
            <w:tcMar>
              <w:top w:w="0" w:type="dxa"/>
              <w:left w:w="86" w:type="dxa"/>
              <w:bottom w:w="43" w:type="dxa"/>
              <w:right w:w="86" w:type="dxa"/>
            </w:tcMar>
          </w:tcPr>
          <w:p w14:paraId="65C23174" w14:textId="427ACA64" w:rsidR="0042622B" w:rsidRPr="005D4222" w:rsidRDefault="00B51CDC" w:rsidP="00E57C2C">
            <w:pPr>
              <w:pStyle w:val="ECDSSubhead"/>
            </w:pPr>
            <w:r w:rsidRPr="005D4222">
              <w:t>Stratifications</w:t>
            </w:r>
          </w:p>
        </w:tc>
        <w:tc>
          <w:tcPr>
            <w:tcW w:w="7557" w:type="dxa"/>
            <w:gridSpan w:val="3"/>
            <w:tcBorders>
              <w:top w:val="nil"/>
              <w:left w:val="single" w:sz="4" w:space="0" w:color="auto"/>
              <w:bottom w:val="nil"/>
              <w:right w:val="single" w:sz="4" w:space="0" w:color="auto"/>
            </w:tcBorders>
            <w:noWrap/>
            <w:tcMar>
              <w:top w:w="0" w:type="dxa"/>
              <w:left w:w="86" w:type="dxa"/>
              <w:bottom w:w="43" w:type="dxa"/>
              <w:right w:w="86" w:type="dxa"/>
            </w:tcMar>
          </w:tcPr>
          <w:p w14:paraId="65F025AD" w14:textId="77777777" w:rsidR="0042622B" w:rsidRPr="005D4222" w:rsidRDefault="0042622B">
            <w:pPr>
              <w:pStyle w:val="ECDSBody"/>
              <w:spacing w:after="0"/>
            </w:pPr>
            <w:r w:rsidRPr="005D4222">
              <w:t>None.</w:t>
            </w:r>
          </w:p>
        </w:tc>
      </w:tr>
      <w:tr w:rsidR="0042622B" w:rsidRPr="005D4222" w14:paraId="7C6AD6F0" w14:textId="77777777" w:rsidTr="00B14D3A">
        <w:trPr>
          <w:trHeight w:val="300"/>
        </w:trPr>
        <w:tc>
          <w:tcPr>
            <w:tcW w:w="2157" w:type="dxa"/>
            <w:tcBorders>
              <w:top w:val="nil"/>
              <w:left w:val="single" w:sz="4" w:space="0" w:color="auto"/>
              <w:bottom w:val="single" w:sz="4" w:space="0" w:color="auto"/>
              <w:right w:val="single" w:sz="4" w:space="0" w:color="auto"/>
            </w:tcBorders>
            <w:noWrap/>
            <w:tcMar>
              <w:top w:w="0" w:type="dxa"/>
              <w:left w:w="86" w:type="dxa"/>
              <w:bottom w:w="43" w:type="dxa"/>
              <w:right w:w="86" w:type="dxa"/>
            </w:tcMar>
          </w:tcPr>
          <w:p w14:paraId="2B8A5513" w14:textId="77777777" w:rsidR="0042622B" w:rsidRPr="005D4222" w:rsidRDefault="0042622B" w:rsidP="00E57C2C">
            <w:pPr>
              <w:pStyle w:val="ECDSSubhead"/>
              <w:spacing w:after="80"/>
            </w:pPr>
            <w:r w:rsidRPr="005D4222">
              <w:t>Risk adjustment</w:t>
            </w:r>
          </w:p>
        </w:tc>
        <w:tc>
          <w:tcPr>
            <w:tcW w:w="7557" w:type="dxa"/>
            <w:gridSpan w:val="3"/>
            <w:tcBorders>
              <w:top w:val="nil"/>
              <w:left w:val="single" w:sz="4" w:space="0" w:color="auto"/>
              <w:bottom w:val="single" w:sz="4" w:space="0" w:color="auto"/>
              <w:right w:val="single" w:sz="4" w:space="0" w:color="auto"/>
            </w:tcBorders>
            <w:noWrap/>
            <w:tcMar>
              <w:top w:w="0" w:type="dxa"/>
              <w:left w:w="86" w:type="dxa"/>
              <w:bottom w:w="43" w:type="dxa"/>
              <w:right w:w="86" w:type="dxa"/>
            </w:tcMar>
            <w:hideMark/>
          </w:tcPr>
          <w:p w14:paraId="74EE7E29" w14:textId="77777777" w:rsidR="0042622B" w:rsidRPr="005D4222" w:rsidRDefault="0042622B">
            <w:pPr>
              <w:pStyle w:val="ECDSBody"/>
            </w:pPr>
            <w:r w:rsidRPr="005D4222">
              <w:t>None.</w:t>
            </w:r>
          </w:p>
        </w:tc>
      </w:tr>
      <w:tr w:rsidR="0042622B" w:rsidRPr="005D4222" w14:paraId="7DB2094A" w14:textId="77777777" w:rsidTr="00B14D3A">
        <w:trPr>
          <w:trHeight w:val="300"/>
        </w:trPr>
        <w:tc>
          <w:tcPr>
            <w:tcW w:w="2157" w:type="dxa"/>
            <w:tcBorders>
              <w:top w:val="single" w:sz="4" w:space="0" w:color="auto"/>
              <w:left w:val="single" w:sz="4" w:space="0" w:color="auto"/>
              <w:bottom w:val="nil"/>
              <w:right w:val="single" w:sz="4" w:space="0" w:color="auto"/>
            </w:tcBorders>
            <w:noWrap/>
            <w:tcMar>
              <w:top w:w="0" w:type="dxa"/>
              <w:left w:w="86" w:type="dxa"/>
              <w:bottom w:w="43" w:type="dxa"/>
              <w:right w:w="86" w:type="dxa"/>
            </w:tcMar>
          </w:tcPr>
          <w:p w14:paraId="7A0813BA" w14:textId="77777777" w:rsidR="0042622B" w:rsidRPr="005D4222" w:rsidRDefault="0042622B" w:rsidP="00AD3602">
            <w:pPr>
              <w:pStyle w:val="ECDSSubhead"/>
            </w:pPr>
            <w:r w:rsidRPr="005D4222">
              <w:lastRenderedPageBreak/>
              <w:t>Improvement notation</w:t>
            </w:r>
          </w:p>
        </w:tc>
        <w:tc>
          <w:tcPr>
            <w:tcW w:w="7557" w:type="dxa"/>
            <w:gridSpan w:val="3"/>
            <w:tcBorders>
              <w:top w:val="single" w:sz="4" w:space="0" w:color="auto"/>
              <w:left w:val="single" w:sz="4" w:space="0" w:color="auto"/>
              <w:bottom w:val="nil"/>
              <w:right w:val="single" w:sz="4" w:space="0" w:color="auto"/>
            </w:tcBorders>
            <w:noWrap/>
            <w:tcMar>
              <w:top w:w="0" w:type="dxa"/>
              <w:left w:w="86" w:type="dxa"/>
              <w:bottom w:w="43" w:type="dxa"/>
              <w:right w:w="86" w:type="dxa"/>
            </w:tcMar>
            <w:hideMark/>
          </w:tcPr>
          <w:p w14:paraId="22E9C833" w14:textId="77777777" w:rsidR="0042622B" w:rsidRPr="005D4222" w:rsidRDefault="0042622B">
            <w:pPr>
              <w:pStyle w:val="ECDSBody"/>
              <w:spacing w:after="0"/>
            </w:pPr>
            <w:r w:rsidRPr="005D4222">
              <w:t xml:space="preserve">Decreased score indicates improvement. </w:t>
            </w:r>
          </w:p>
        </w:tc>
      </w:tr>
      <w:tr w:rsidR="0042622B" w:rsidRPr="005D4222" w14:paraId="00EE71DA" w14:textId="77777777" w:rsidTr="00AD3602">
        <w:trPr>
          <w:trHeight w:val="633"/>
        </w:trPr>
        <w:tc>
          <w:tcPr>
            <w:tcW w:w="2157" w:type="dxa"/>
            <w:tcBorders>
              <w:top w:val="nil"/>
              <w:left w:val="single" w:sz="4" w:space="0" w:color="auto"/>
              <w:bottom w:val="single" w:sz="4" w:space="0" w:color="auto"/>
              <w:right w:val="single" w:sz="4" w:space="0" w:color="auto"/>
            </w:tcBorders>
            <w:noWrap/>
            <w:tcMar>
              <w:top w:w="0" w:type="dxa"/>
              <w:left w:w="86" w:type="dxa"/>
              <w:bottom w:w="43" w:type="dxa"/>
              <w:right w:w="86" w:type="dxa"/>
            </w:tcMar>
          </w:tcPr>
          <w:p w14:paraId="321B6800" w14:textId="77777777" w:rsidR="0042622B" w:rsidRPr="005D4222" w:rsidRDefault="0042622B" w:rsidP="00AD3602">
            <w:pPr>
              <w:pStyle w:val="ECDSSubhead"/>
            </w:pPr>
            <w:r w:rsidRPr="005D4222">
              <w:t>Guidance</w:t>
            </w:r>
          </w:p>
        </w:tc>
        <w:tc>
          <w:tcPr>
            <w:tcW w:w="7557" w:type="dxa"/>
            <w:gridSpan w:val="3"/>
            <w:tcBorders>
              <w:top w:val="nil"/>
              <w:left w:val="single" w:sz="4" w:space="0" w:color="auto"/>
              <w:bottom w:val="single" w:sz="4" w:space="0" w:color="auto"/>
              <w:right w:val="single" w:sz="4" w:space="0" w:color="auto"/>
            </w:tcBorders>
            <w:noWrap/>
            <w:tcMar>
              <w:top w:w="0" w:type="dxa"/>
              <w:left w:w="86" w:type="dxa"/>
              <w:bottom w:w="43" w:type="dxa"/>
              <w:right w:w="86" w:type="dxa"/>
            </w:tcMar>
          </w:tcPr>
          <w:p w14:paraId="60719540" w14:textId="532E8F6B" w:rsidR="0042622B" w:rsidRPr="005D4222" w:rsidRDefault="0042622B">
            <w:pPr>
              <w:pStyle w:val="ECDSBody"/>
              <w:rPr>
                <w:rStyle w:val="eop"/>
                <w:rFonts w:eastAsiaTheme="majorEastAsia"/>
                <w:color w:val="000000"/>
                <w:shd w:val="clear" w:color="auto" w:fill="FFFFFF"/>
              </w:rPr>
            </w:pPr>
            <w:r w:rsidRPr="005D4222">
              <w:rPr>
                <w:rStyle w:val="normaltextrun"/>
                <w:b/>
                <w:color w:val="000000"/>
                <w:szCs w:val="21"/>
                <w:shd w:val="clear" w:color="auto" w:fill="FFFFFF"/>
              </w:rPr>
              <w:t>Data collection methodology</w:t>
            </w:r>
            <w:r w:rsidRPr="005D4222">
              <w:rPr>
                <w:rStyle w:val="normaltextrun"/>
                <w:b/>
                <w:bCs w:val="0"/>
                <w:color w:val="000000"/>
                <w:szCs w:val="21"/>
                <w:shd w:val="clear" w:color="auto" w:fill="FFFFFF"/>
              </w:rPr>
              <w:t>:</w:t>
            </w:r>
            <w:r w:rsidRPr="005D4222">
              <w:rPr>
                <w:rStyle w:val="normaltextrun"/>
                <w:color w:val="000000"/>
                <w:szCs w:val="21"/>
                <w:shd w:val="clear" w:color="auto" w:fill="FFFFFF"/>
              </w:rPr>
              <w:t xml:space="preserve"> Administrative. Refer to </w:t>
            </w:r>
            <w:hyperlink w:anchor="General_Guideline_Data_Collection_Method" w:history="1">
              <w:r w:rsidRPr="005D4222">
                <w:rPr>
                  <w:rStyle w:val="Hyperlink"/>
                  <w:i/>
                  <w:iCs/>
                  <w:szCs w:val="21"/>
                  <w:shd w:val="clear" w:color="auto" w:fill="FFFFFF"/>
                </w:rPr>
                <w:t>General Guideline: Data Collection Methods</w:t>
              </w:r>
            </w:hyperlink>
            <w:r w:rsidRPr="005D4222">
              <w:rPr>
                <w:rStyle w:val="normaltextrun"/>
                <w:color w:val="000000"/>
                <w:szCs w:val="21"/>
                <w:shd w:val="clear" w:color="auto" w:fill="FFFFFF"/>
              </w:rPr>
              <w:t xml:space="preserve"> for additional information.</w:t>
            </w:r>
            <w:r w:rsidRPr="005D4222">
              <w:rPr>
                <w:rStyle w:val="eop"/>
                <w:rFonts w:eastAsiaTheme="majorEastAsia"/>
                <w:color w:val="000000"/>
                <w:shd w:val="clear" w:color="auto" w:fill="FFFFFF"/>
              </w:rPr>
              <w:t> </w:t>
            </w:r>
          </w:p>
          <w:p w14:paraId="00779C82" w14:textId="77777777" w:rsidR="0042622B" w:rsidRPr="005D4222" w:rsidRDefault="0042622B">
            <w:pPr>
              <w:pStyle w:val="ECDSBody"/>
            </w:pPr>
            <w:r w:rsidRPr="005D4222">
              <w:rPr>
                <w:b/>
              </w:rPr>
              <w:t xml:space="preserve">Date specificity: </w:t>
            </w:r>
            <w:r w:rsidRPr="005D4222">
              <w:t>Dates must be specific enough to determine the event occurred in the period being measured.</w:t>
            </w:r>
          </w:p>
          <w:p w14:paraId="07BBDC0E" w14:textId="77777777" w:rsidR="0042622B" w:rsidRPr="005D4222" w:rsidRDefault="0042622B">
            <w:pPr>
              <w:pStyle w:val="ECDSBody"/>
              <w:rPr>
                <w:b/>
              </w:rPr>
            </w:pPr>
            <w:r w:rsidRPr="005D4222">
              <w:rPr>
                <w:b/>
              </w:rPr>
              <w:t>Which services count?</w:t>
            </w:r>
          </w:p>
          <w:p w14:paraId="4CF5BABC" w14:textId="77777777" w:rsidR="0042622B" w:rsidRPr="005D4222" w:rsidRDefault="0042622B">
            <w:pPr>
              <w:pStyle w:val="ProcessBullet"/>
            </w:pPr>
            <w:r w:rsidRPr="005D4222">
              <w:t>Include all paid, suspended, pending and denied claims to identify the initial population and denominator exclusions.</w:t>
            </w:r>
          </w:p>
          <w:p w14:paraId="0A09A5BD" w14:textId="77777777" w:rsidR="0042622B" w:rsidRPr="005D4222" w:rsidRDefault="0042622B">
            <w:pPr>
              <w:pStyle w:val="ProcessBullet"/>
            </w:pPr>
            <w:r w:rsidRPr="005D4222">
              <w:t>Do not include denied claims when identifying numerator events; only include claims the organization paid for or expects to pay for (i.e., claims incurred but not paid).</w:t>
            </w:r>
          </w:p>
          <w:p w14:paraId="2F2800F4" w14:textId="77777777" w:rsidR="0042622B" w:rsidRPr="005D4222" w:rsidRDefault="0042622B">
            <w:pPr>
              <w:pStyle w:val="ECDSBody"/>
              <w:rPr>
                <w:b/>
                <w:bCs w:val="0"/>
                <w:iCs/>
              </w:rPr>
            </w:pPr>
            <w:r w:rsidRPr="005D4222">
              <w:rPr>
                <w:b/>
                <w:bCs w:val="0"/>
              </w:rPr>
              <w:t>Supplemental data exceptions:</w:t>
            </w:r>
            <w:r w:rsidRPr="005D4222">
              <w:rPr>
                <w:b/>
                <w:bCs w:val="0"/>
                <w:iCs/>
              </w:rPr>
              <w:t xml:space="preserve"> </w:t>
            </w:r>
            <w:r w:rsidRPr="005D4222">
              <w:rPr>
                <w:iCs/>
              </w:rPr>
              <w:t>Supplemental data may not be used for this measure, except for denominator exclusions.</w:t>
            </w:r>
          </w:p>
          <w:p w14:paraId="2CB95A72" w14:textId="77777777" w:rsidR="0042622B" w:rsidRPr="005D4222" w:rsidRDefault="0042622B">
            <w:pPr>
              <w:pStyle w:val="ECDSBody"/>
              <w:rPr>
                <w:b/>
              </w:rPr>
            </w:pPr>
            <w:r w:rsidRPr="005D4222">
              <w:rPr>
                <w:b/>
                <w:bCs w:val="0"/>
              </w:rPr>
              <w:t xml:space="preserve">Medication lists: </w:t>
            </w:r>
            <w:r w:rsidRPr="005D4222">
              <w:t xml:space="preserve">If </w:t>
            </w:r>
            <w:r w:rsidRPr="005D4222" w:rsidDel="00F410F8">
              <w:t xml:space="preserve">an organization uses both pharmacy data (NDC codes) and clinical data (RxNorm codes) for reporting, and </w:t>
            </w:r>
            <w:r w:rsidRPr="005D4222">
              <w:t xml:space="preserve">there are both NDC and RxNorm codes on the same date of service, use only one data source for the date of service. </w:t>
            </w:r>
          </w:p>
          <w:p w14:paraId="5DCF9E08" w14:textId="77777777" w:rsidR="0042622B" w:rsidRPr="005D4222" w:rsidRDefault="0042622B">
            <w:pPr>
              <w:pStyle w:val="ECDSBody"/>
            </w:pPr>
            <w:r w:rsidRPr="005D4222">
              <w:rPr>
                <w:b/>
              </w:rPr>
              <w:t>Other guidance:</w:t>
            </w:r>
            <w:r w:rsidRPr="005D4222">
              <w:t xml:space="preserve"> Persons with more than one disease or condition may appear in the measure multiple times (i.e., in each indicator for which they qualify).</w:t>
            </w:r>
          </w:p>
        </w:tc>
      </w:tr>
      <w:tr w:rsidR="0042622B" w:rsidRPr="005D4222" w14:paraId="47F7B127" w14:textId="77777777" w:rsidTr="00AD3602">
        <w:trPr>
          <w:trHeight w:val="300"/>
        </w:trPr>
        <w:tc>
          <w:tcPr>
            <w:tcW w:w="9714" w:type="dxa"/>
            <w:gridSpan w:val="4"/>
            <w:tcBorders>
              <w:top w:val="single" w:sz="4" w:space="0" w:color="auto"/>
              <w:bottom w:val="single" w:sz="4" w:space="0" w:color="auto"/>
            </w:tcBorders>
            <w:shd w:val="clear" w:color="auto" w:fill="BFBFBF" w:themeFill="background1" w:themeFillShade="BF"/>
            <w:noWrap/>
            <w:tcMar>
              <w:top w:w="0" w:type="dxa"/>
              <w:left w:w="86" w:type="dxa"/>
              <w:bottom w:w="43" w:type="dxa"/>
              <w:right w:w="86" w:type="dxa"/>
            </w:tcMar>
          </w:tcPr>
          <w:p w14:paraId="56925C9C" w14:textId="77777777" w:rsidR="0042622B" w:rsidRPr="005D4222" w:rsidRDefault="0042622B">
            <w:pPr>
              <w:pStyle w:val="ECDSMarginHead"/>
            </w:pPr>
            <w:r w:rsidRPr="005D4222">
              <w:t xml:space="preserve">Definitions </w:t>
            </w:r>
          </w:p>
        </w:tc>
      </w:tr>
      <w:tr w:rsidR="0042622B" w:rsidRPr="005D4222" w14:paraId="1C3C05DE" w14:textId="77777777" w:rsidTr="00B14D3A">
        <w:trPr>
          <w:trHeight w:val="300"/>
        </w:trPr>
        <w:tc>
          <w:tcPr>
            <w:tcW w:w="2157" w:type="dxa"/>
            <w:tcBorders>
              <w:top w:val="single" w:sz="4" w:space="0" w:color="auto"/>
              <w:bottom w:val="single" w:sz="4" w:space="0" w:color="auto"/>
            </w:tcBorders>
            <w:noWrap/>
            <w:tcMar>
              <w:top w:w="0" w:type="dxa"/>
              <w:left w:w="86" w:type="dxa"/>
              <w:bottom w:w="43" w:type="dxa"/>
              <w:right w:w="86" w:type="dxa"/>
            </w:tcMar>
          </w:tcPr>
          <w:p w14:paraId="0453FA5E" w14:textId="77777777" w:rsidR="0042622B" w:rsidRPr="005D4222" w:rsidRDefault="0042622B" w:rsidP="00E57C2C">
            <w:pPr>
              <w:pStyle w:val="ECDSSubhead"/>
            </w:pPr>
            <w:r w:rsidRPr="005D4222">
              <w:t>IESD</w:t>
            </w:r>
          </w:p>
        </w:tc>
        <w:tc>
          <w:tcPr>
            <w:tcW w:w="7557" w:type="dxa"/>
            <w:gridSpan w:val="3"/>
            <w:tcBorders>
              <w:top w:val="single" w:sz="4" w:space="0" w:color="auto"/>
              <w:bottom w:val="single" w:sz="4" w:space="0" w:color="auto"/>
            </w:tcBorders>
            <w:noWrap/>
            <w:tcMar>
              <w:left w:w="86" w:type="dxa"/>
              <w:bottom w:w="43" w:type="dxa"/>
              <w:right w:w="86" w:type="dxa"/>
            </w:tcMar>
          </w:tcPr>
          <w:p w14:paraId="24B8896B" w14:textId="77777777" w:rsidR="0042622B" w:rsidRPr="005D4222" w:rsidRDefault="0042622B">
            <w:pPr>
              <w:pStyle w:val="ECDSBody"/>
            </w:pPr>
            <w:r w:rsidRPr="005D4222">
              <w:t xml:space="preserve">Index episode start date. The earliest diagnosis, procedure or prescription between January 1 of the year prior to the measurement period and December 1 of the measurement period. </w:t>
            </w:r>
          </w:p>
          <w:p w14:paraId="567C9A39" w14:textId="77777777" w:rsidR="0042622B" w:rsidRPr="005D4222" w:rsidRDefault="0042622B" w:rsidP="0042622B">
            <w:pPr>
              <w:pStyle w:val="Bullet"/>
              <w:numPr>
                <w:ilvl w:val="0"/>
                <w:numId w:val="4"/>
              </w:numPr>
              <w:tabs>
                <w:tab w:val="left" w:pos="360"/>
                <w:tab w:val="left" w:pos="576"/>
              </w:tabs>
              <w:ind w:left="576" w:hanging="216"/>
              <w:rPr>
                <w:szCs w:val="21"/>
              </w:rPr>
            </w:pPr>
            <w:r w:rsidRPr="005D4222">
              <w:t>For an o</w:t>
            </w:r>
            <w:r w:rsidRPr="005D4222">
              <w:rPr>
                <w:szCs w:val="21"/>
              </w:rPr>
              <w:t xml:space="preserve">utpatient or ED visit, the </w:t>
            </w:r>
            <w:r w:rsidRPr="005D4222">
              <w:rPr>
                <w:i/>
                <w:szCs w:val="21"/>
              </w:rPr>
              <w:t>IESD is the date of service</w:t>
            </w:r>
            <w:r w:rsidRPr="005D4222">
              <w:rPr>
                <w:szCs w:val="21"/>
              </w:rPr>
              <w:t xml:space="preserve">. </w:t>
            </w:r>
          </w:p>
          <w:p w14:paraId="05355A12" w14:textId="77777777" w:rsidR="0042622B" w:rsidRPr="005D4222" w:rsidRDefault="0042622B" w:rsidP="0042622B">
            <w:pPr>
              <w:pStyle w:val="Bullet"/>
              <w:numPr>
                <w:ilvl w:val="0"/>
                <w:numId w:val="4"/>
              </w:numPr>
              <w:tabs>
                <w:tab w:val="left" w:pos="360"/>
                <w:tab w:val="left" w:pos="576"/>
              </w:tabs>
              <w:ind w:left="576" w:hanging="216"/>
              <w:rPr>
                <w:szCs w:val="21"/>
              </w:rPr>
            </w:pPr>
            <w:r w:rsidRPr="005D4222">
              <w:t>For an i</w:t>
            </w:r>
            <w:r w:rsidRPr="005D4222">
              <w:rPr>
                <w:szCs w:val="21"/>
              </w:rPr>
              <w:t>npatient discharge, the</w:t>
            </w:r>
            <w:r w:rsidRPr="005D4222">
              <w:rPr>
                <w:i/>
                <w:szCs w:val="21"/>
              </w:rPr>
              <w:t xml:space="preserve"> IESD is the discharge date</w:t>
            </w:r>
            <w:r w:rsidRPr="005D4222">
              <w:rPr>
                <w:szCs w:val="21"/>
              </w:rPr>
              <w:t xml:space="preserve">. </w:t>
            </w:r>
          </w:p>
          <w:p w14:paraId="6ACD2473" w14:textId="77777777" w:rsidR="0042622B" w:rsidRPr="005D4222" w:rsidRDefault="0042622B" w:rsidP="0042622B">
            <w:pPr>
              <w:pStyle w:val="Bullet"/>
              <w:numPr>
                <w:ilvl w:val="0"/>
                <w:numId w:val="4"/>
              </w:numPr>
              <w:tabs>
                <w:tab w:val="left" w:pos="360"/>
                <w:tab w:val="left" w:pos="576"/>
              </w:tabs>
              <w:ind w:left="576" w:hanging="216"/>
              <w:rPr>
                <w:szCs w:val="21"/>
              </w:rPr>
            </w:pPr>
            <w:r w:rsidRPr="005D4222">
              <w:t>For an a</w:t>
            </w:r>
            <w:r w:rsidRPr="005D4222">
              <w:rPr>
                <w:szCs w:val="21"/>
              </w:rPr>
              <w:t xml:space="preserve">cute or nonacute inpatient encounter identified only by a professional claim (where the discharge date cannot be determined), the </w:t>
            </w:r>
            <w:r w:rsidRPr="005D4222">
              <w:rPr>
                <w:i/>
                <w:szCs w:val="21"/>
              </w:rPr>
              <w:t>IESD is the date of service</w:t>
            </w:r>
            <w:r w:rsidRPr="005D4222">
              <w:rPr>
                <w:szCs w:val="21"/>
              </w:rPr>
              <w:t xml:space="preserve">. </w:t>
            </w:r>
          </w:p>
          <w:p w14:paraId="5AFC4DA8" w14:textId="77777777" w:rsidR="0042622B" w:rsidRPr="005D4222" w:rsidRDefault="0042622B" w:rsidP="0042622B">
            <w:pPr>
              <w:pStyle w:val="Bullet"/>
              <w:numPr>
                <w:ilvl w:val="0"/>
                <w:numId w:val="4"/>
              </w:numPr>
              <w:tabs>
                <w:tab w:val="left" w:pos="360"/>
                <w:tab w:val="left" w:pos="576"/>
              </w:tabs>
              <w:spacing w:after="80"/>
              <w:ind w:left="576" w:hanging="216"/>
            </w:pPr>
            <w:r w:rsidRPr="005D4222">
              <w:t>For dispensed</w:t>
            </w:r>
            <w:r w:rsidRPr="005D4222">
              <w:rPr>
                <w:b/>
              </w:rPr>
              <w:t xml:space="preserve"> </w:t>
            </w:r>
            <w:r w:rsidRPr="005D4222">
              <w:t xml:space="preserve">prescriptions, the </w:t>
            </w:r>
            <w:r w:rsidRPr="005D4222">
              <w:rPr>
                <w:i/>
              </w:rPr>
              <w:t>IESD is the dispense date</w:t>
            </w:r>
            <w:r w:rsidRPr="005D4222">
              <w:t>.</w:t>
            </w:r>
          </w:p>
        </w:tc>
      </w:tr>
      <w:tr w:rsidR="0042622B" w:rsidRPr="005D4222" w14:paraId="696244A5" w14:textId="77777777" w:rsidTr="00AD3602">
        <w:tc>
          <w:tcPr>
            <w:tcW w:w="2157" w:type="dxa"/>
            <w:tcBorders>
              <w:top w:val="single" w:sz="4" w:space="0" w:color="auto"/>
              <w:bottom w:val="single" w:sz="4" w:space="0" w:color="auto"/>
            </w:tcBorders>
            <w:shd w:val="clear" w:color="auto" w:fill="BFBFBF" w:themeFill="background1" w:themeFillShade="BF"/>
            <w:noWrap/>
            <w:tcMar>
              <w:top w:w="0" w:type="dxa"/>
              <w:left w:w="86" w:type="dxa"/>
              <w:bottom w:w="43" w:type="dxa"/>
              <w:right w:w="86" w:type="dxa"/>
            </w:tcMar>
          </w:tcPr>
          <w:p w14:paraId="45B9D556" w14:textId="77777777" w:rsidR="0042622B" w:rsidRPr="005D4222" w:rsidRDefault="0042622B">
            <w:pPr>
              <w:pStyle w:val="ECDSMarginHead"/>
            </w:pPr>
            <w:r w:rsidRPr="005D4222">
              <w:t>Initial population</w:t>
            </w:r>
          </w:p>
        </w:tc>
        <w:tc>
          <w:tcPr>
            <w:tcW w:w="7557" w:type="dxa"/>
            <w:gridSpan w:val="3"/>
            <w:tcBorders>
              <w:top w:val="single" w:sz="4" w:space="0" w:color="auto"/>
              <w:left w:val="single" w:sz="4" w:space="0" w:color="auto"/>
              <w:bottom w:val="single" w:sz="4" w:space="0" w:color="auto"/>
              <w:right w:val="single" w:sz="4" w:space="0" w:color="auto"/>
            </w:tcBorders>
            <w:noWrap/>
            <w:tcMar>
              <w:left w:w="86" w:type="dxa"/>
              <w:bottom w:w="43" w:type="dxa"/>
              <w:right w:w="86" w:type="dxa"/>
            </w:tcMar>
          </w:tcPr>
          <w:p w14:paraId="053A2D38" w14:textId="77777777" w:rsidR="0042622B" w:rsidRPr="005D4222" w:rsidRDefault="0042622B">
            <w:pPr>
              <w:pStyle w:val="ECDSBody"/>
            </w:pPr>
            <w:r w:rsidRPr="005D4222">
              <w:rPr>
                <w:i/>
                <w:iCs/>
              </w:rPr>
              <w:t xml:space="preserve">Measure item count: </w:t>
            </w:r>
            <w:r w:rsidRPr="005D4222">
              <w:t>Person.</w:t>
            </w:r>
          </w:p>
          <w:p w14:paraId="23E5832E" w14:textId="77777777" w:rsidR="0042622B" w:rsidRPr="005D4222" w:rsidRDefault="0042622B">
            <w:pPr>
              <w:pStyle w:val="ECDSBody"/>
            </w:pPr>
            <w:r w:rsidRPr="005D4222">
              <w:rPr>
                <w:i/>
                <w:iCs/>
              </w:rPr>
              <w:t xml:space="preserve">Attribution basis: </w:t>
            </w:r>
            <w:r w:rsidRPr="005D4222">
              <w:t>Enrollment.</w:t>
            </w:r>
          </w:p>
          <w:p w14:paraId="36E63A47" w14:textId="77777777" w:rsidR="0042622B" w:rsidRPr="005D4222" w:rsidRDefault="0042622B" w:rsidP="0042622B">
            <w:pPr>
              <w:pStyle w:val="Bullet"/>
              <w:numPr>
                <w:ilvl w:val="0"/>
                <w:numId w:val="4"/>
              </w:numPr>
              <w:tabs>
                <w:tab w:val="left" w:pos="360"/>
                <w:tab w:val="left" w:pos="576"/>
              </w:tabs>
              <w:spacing w:after="80"/>
              <w:ind w:left="576" w:hanging="216"/>
              <w:rPr>
                <w:rFonts w:eastAsia="Arial"/>
              </w:rPr>
            </w:pPr>
            <w:r w:rsidRPr="005D4222">
              <w:rPr>
                <w:rFonts w:eastAsia="Arial"/>
                <w:i/>
              </w:rPr>
              <w:t xml:space="preserve">Benefits: </w:t>
            </w:r>
            <w:r w:rsidRPr="005D4222">
              <w:rPr>
                <w:rFonts w:eastAsia="Arial"/>
              </w:rPr>
              <w:t>Medical and pharmacy.</w:t>
            </w:r>
          </w:p>
          <w:p w14:paraId="395682F8" w14:textId="77777777" w:rsidR="0042622B" w:rsidRPr="005D4222" w:rsidRDefault="0042622B" w:rsidP="0042622B">
            <w:pPr>
              <w:pStyle w:val="Bullet"/>
              <w:numPr>
                <w:ilvl w:val="0"/>
                <w:numId w:val="4"/>
              </w:numPr>
              <w:tabs>
                <w:tab w:val="left" w:pos="360"/>
                <w:tab w:val="left" w:pos="576"/>
              </w:tabs>
              <w:spacing w:after="80"/>
              <w:ind w:left="576" w:hanging="216"/>
              <w:rPr>
                <w:rFonts w:eastAsia="Arial"/>
              </w:rPr>
            </w:pPr>
            <w:r w:rsidRPr="005D4222">
              <w:rPr>
                <w:rFonts w:eastAsia="Arial"/>
                <w:i/>
              </w:rPr>
              <w:t xml:space="preserve">Continuous enrollment: </w:t>
            </w:r>
            <w:r w:rsidRPr="005D4222">
              <w:rPr>
                <w:rFonts w:eastAsia="Arial"/>
              </w:rPr>
              <w:t>Measurement period and year prior to the measurement period.</w:t>
            </w:r>
          </w:p>
          <w:p w14:paraId="46EB4161" w14:textId="77777777" w:rsidR="0042622B" w:rsidRPr="005D4222" w:rsidRDefault="0042622B" w:rsidP="0042622B">
            <w:pPr>
              <w:pStyle w:val="Bullet"/>
              <w:numPr>
                <w:ilvl w:val="0"/>
                <w:numId w:val="4"/>
              </w:numPr>
              <w:tabs>
                <w:tab w:val="left" w:pos="360"/>
                <w:tab w:val="left" w:pos="576"/>
              </w:tabs>
              <w:spacing w:after="80"/>
              <w:ind w:left="576" w:hanging="216"/>
              <w:rPr>
                <w:rFonts w:eastAsia="Arial"/>
              </w:rPr>
            </w:pPr>
            <w:r w:rsidRPr="005D4222">
              <w:rPr>
                <w:rFonts w:eastAsia="Arial"/>
                <w:i/>
                <w:iCs/>
              </w:rPr>
              <w:t>Allowable gap:</w:t>
            </w:r>
            <w:r w:rsidRPr="005D4222">
              <w:rPr>
                <w:rFonts w:eastAsia="Arial"/>
              </w:rPr>
              <w:t xml:space="preserve"> No more than one gap of ≤45 days during each year of the continuous enrollment period. No gaps on the last day of the measurement period.</w:t>
            </w:r>
          </w:p>
          <w:p w14:paraId="4A38058C" w14:textId="77777777" w:rsidR="0042622B" w:rsidRPr="005D4222" w:rsidRDefault="0042622B">
            <w:pPr>
              <w:pStyle w:val="ECDSBody"/>
            </w:pPr>
            <w:r w:rsidRPr="005D4222">
              <w:rPr>
                <w:i/>
              </w:rPr>
              <w:t xml:space="preserve">Ages: </w:t>
            </w:r>
            <w:r w:rsidRPr="005D4222">
              <w:t>67 years of age and older as of the last day of the measurement period.</w:t>
            </w:r>
          </w:p>
          <w:p w14:paraId="3655C86C" w14:textId="77777777" w:rsidR="00B14D3A" w:rsidRPr="005D4222" w:rsidRDefault="0042622B">
            <w:pPr>
              <w:pStyle w:val="ECDSBody"/>
              <w:spacing w:before="180"/>
              <w:rPr>
                <w:b/>
              </w:rPr>
            </w:pPr>
            <w:r w:rsidRPr="005D4222">
              <w:rPr>
                <w:i/>
              </w:rPr>
              <w:lastRenderedPageBreak/>
              <w:t xml:space="preserve">Event: </w:t>
            </w:r>
            <w:r w:rsidRPr="005D4222">
              <w:rPr>
                <w:b/>
              </w:rPr>
              <w:t>Persons with at least one disease, condition or procedure in the measurement period or year prior to the measurement period.</w:t>
            </w:r>
          </w:p>
          <w:p w14:paraId="6239A77F" w14:textId="346F8BDF" w:rsidR="0042622B" w:rsidRPr="005D4222" w:rsidRDefault="0042622B" w:rsidP="00C30472">
            <w:pPr>
              <w:pStyle w:val="ECDSBody"/>
              <w:rPr>
                <w:bCs w:val="0"/>
              </w:rPr>
            </w:pPr>
            <w:r w:rsidRPr="005D4222">
              <w:rPr>
                <w:bCs w:val="0"/>
              </w:rPr>
              <w:t xml:space="preserve">Refer to additional initial population criteria for each rate. </w:t>
            </w:r>
          </w:p>
          <w:p w14:paraId="58DB9298" w14:textId="77777777" w:rsidR="0042622B" w:rsidRPr="005D4222" w:rsidRDefault="0042622B">
            <w:pPr>
              <w:pStyle w:val="ECDSBody"/>
              <w:rPr>
                <w:b/>
                <w:i/>
                <w:kern w:val="24"/>
                <w:szCs w:val="20"/>
              </w:rPr>
            </w:pPr>
            <w:r w:rsidRPr="005D4222">
              <w:rPr>
                <w:b/>
                <w:i/>
                <w:kern w:val="24"/>
                <w:szCs w:val="20"/>
              </w:rPr>
              <w:t>Additional Initial Population Criteria:</w:t>
            </w:r>
          </w:p>
          <w:p w14:paraId="7A93BACA" w14:textId="3430493A" w:rsidR="0042622B" w:rsidRPr="005D4222" w:rsidRDefault="0042622B">
            <w:pPr>
              <w:pStyle w:val="ECDSBody"/>
              <w:rPr>
                <w:b/>
                <w:i/>
                <w:iCs/>
                <w:kern w:val="24"/>
                <w:szCs w:val="20"/>
              </w:rPr>
            </w:pPr>
            <w:r w:rsidRPr="005D4222">
              <w:rPr>
                <w:b/>
                <w:iCs/>
                <w:kern w:val="24"/>
                <w:szCs w:val="20"/>
              </w:rPr>
              <w:t xml:space="preserve">Initial </w:t>
            </w:r>
            <w:r w:rsidR="00011A72" w:rsidRPr="005D4222">
              <w:rPr>
                <w:b/>
                <w:iCs/>
                <w:kern w:val="24"/>
                <w:szCs w:val="20"/>
              </w:rPr>
              <w:t>p</w:t>
            </w:r>
            <w:r w:rsidRPr="005D4222">
              <w:rPr>
                <w:b/>
                <w:iCs/>
                <w:kern w:val="24"/>
                <w:szCs w:val="20"/>
              </w:rPr>
              <w:t>opulation 1</w:t>
            </w:r>
            <w:r w:rsidRPr="005D4222">
              <w:rPr>
                <w:b/>
                <w:i/>
                <w:kern w:val="24"/>
                <w:szCs w:val="20"/>
              </w:rPr>
              <w:t>:</w:t>
            </w:r>
            <w:r w:rsidRPr="005D4222">
              <w:rPr>
                <w:b/>
                <w:iCs/>
                <w:kern w:val="24"/>
                <w:szCs w:val="20"/>
              </w:rPr>
              <w:t xml:space="preserve"> Drug-</w:t>
            </w:r>
            <w:r w:rsidR="00011A72" w:rsidRPr="005D4222">
              <w:rPr>
                <w:b/>
                <w:iCs/>
                <w:kern w:val="24"/>
                <w:szCs w:val="20"/>
              </w:rPr>
              <w:t>disease interact</w:t>
            </w:r>
            <w:r w:rsidRPr="005D4222">
              <w:rPr>
                <w:b/>
                <w:iCs/>
                <w:kern w:val="24"/>
                <w:szCs w:val="20"/>
              </w:rPr>
              <w:t xml:space="preserve">ions—History of </w:t>
            </w:r>
            <w:r w:rsidR="00011A72" w:rsidRPr="005D4222">
              <w:rPr>
                <w:b/>
                <w:iCs/>
                <w:kern w:val="24"/>
                <w:szCs w:val="20"/>
              </w:rPr>
              <w:t>falls and anticholinergic agents, antiepileptics, antipsychotics, benzodiazepines, nonbenzodiazepine hypnotics or antidepressants</w:t>
            </w:r>
            <w:r w:rsidRPr="005D4222">
              <w:rPr>
                <w:b/>
                <w:iCs/>
                <w:kern w:val="24"/>
                <w:szCs w:val="20"/>
              </w:rPr>
              <w:t xml:space="preserve"> (SSRIs, T</w:t>
            </w:r>
            <w:r w:rsidR="00011A72" w:rsidRPr="005D4222">
              <w:rPr>
                <w:b/>
                <w:iCs/>
                <w:kern w:val="24"/>
                <w:szCs w:val="20"/>
              </w:rPr>
              <w:t>ricyclic antidepressants</w:t>
            </w:r>
            <w:r w:rsidRPr="005D4222">
              <w:rPr>
                <w:b/>
                <w:iCs/>
                <w:kern w:val="24"/>
                <w:szCs w:val="20"/>
              </w:rPr>
              <w:t xml:space="preserve"> and SNRIs).</w:t>
            </w:r>
          </w:p>
          <w:p w14:paraId="1071D4F7" w14:textId="77777777" w:rsidR="0042622B" w:rsidRPr="005D4222" w:rsidRDefault="0042622B">
            <w:pPr>
              <w:pStyle w:val="ECDSBody"/>
              <w:rPr>
                <w:bCs w:val="0"/>
              </w:rPr>
            </w:pPr>
            <w:r w:rsidRPr="005D4222">
              <w:rPr>
                <w:bCs w:val="0"/>
              </w:rPr>
              <w:t>An accidental fall or hip fracture on or between January 1 of the year prior to the measurement period and December 1 of the measurement period.</w:t>
            </w:r>
          </w:p>
          <w:p w14:paraId="7A03CBB0" w14:textId="77777777" w:rsidR="0042622B" w:rsidRPr="005D4222" w:rsidRDefault="0042622B" w:rsidP="00AD3602">
            <w:pPr>
              <w:pStyle w:val="Note"/>
              <w:rPr>
                <w:bCs/>
              </w:rPr>
            </w:pPr>
            <w:r w:rsidRPr="005D4222">
              <w:rPr>
                <w:b/>
              </w:rPr>
              <w:t>Note</w:t>
            </w:r>
            <w:r w:rsidRPr="005D4222">
              <w:rPr>
                <w:b/>
                <w:bCs/>
              </w:rPr>
              <w:t>:</w:t>
            </w:r>
            <w:r w:rsidRPr="005D4222">
              <w:t xml:space="preserve"> Hip fractures are used as a proxy for identifying accidental falls.</w:t>
            </w:r>
          </w:p>
          <w:p w14:paraId="7EAA1578" w14:textId="77777777" w:rsidR="0042622B" w:rsidRPr="005D4222" w:rsidRDefault="0042622B">
            <w:pPr>
              <w:pStyle w:val="ECDSBody"/>
            </w:pPr>
            <w:r w:rsidRPr="005D4222">
              <w:t>Identify persons who had an accidental fall or a hip fracture. Persons with any of the following on or between January 1 of the year prior to the measurement period and December 1 of the measurement period meet criteria:</w:t>
            </w:r>
          </w:p>
          <w:p w14:paraId="5E06AA95" w14:textId="77777777" w:rsidR="0042622B" w:rsidRPr="005D4222" w:rsidRDefault="0042622B" w:rsidP="0042622B">
            <w:pPr>
              <w:pStyle w:val="Bullet"/>
              <w:numPr>
                <w:ilvl w:val="0"/>
                <w:numId w:val="4"/>
              </w:numPr>
              <w:tabs>
                <w:tab w:val="left" w:pos="360"/>
                <w:tab w:val="left" w:pos="576"/>
              </w:tabs>
              <w:ind w:left="576" w:hanging="216"/>
            </w:pPr>
            <w:r w:rsidRPr="005D4222">
              <w:t>An accidental fall (</w:t>
            </w:r>
            <w:r w:rsidRPr="005D4222">
              <w:rPr>
                <w:u w:val="single"/>
              </w:rPr>
              <w:t>Falls Value Set</w:t>
            </w:r>
            <w:r w:rsidRPr="005D4222">
              <w:t xml:space="preserve">*). </w:t>
            </w:r>
          </w:p>
          <w:p w14:paraId="40CAF80F" w14:textId="77777777" w:rsidR="0042622B" w:rsidRPr="005D4222" w:rsidRDefault="0042622B" w:rsidP="0042622B">
            <w:pPr>
              <w:pStyle w:val="Bullet"/>
              <w:numPr>
                <w:ilvl w:val="0"/>
                <w:numId w:val="4"/>
              </w:numPr>
              <w:tabs>
                <w:tab w:val="left" w:pos="360"/>
                <w:tab w:val="left" w:pos="576"/>
              </w:tabs>
              <w:ind w:left="576" w:hanging="216"/>
            </w:pPr>
            <w:r w:rsidRPr="005D4222">
              <w:rPr>
                <w:bCs/>
              </w:rPr>
              <w:t>An outpatient visit, ED visit, acute inpatient encounter or nonacute inpatient encounter (</w:t>
            </w:r>
            <w:r w:rsidRPr="005D4222">
              <w:rPr>
                <w:bCs/>
                <w:u w:val="single"/>
              </w:rPr>
              <w:t>Outpatient, ED, Acute Inpatient and Nonacute Inpatient Value Set</w:t>
            </w:r>
            <w:r w:rsidRPr="005D4222">
              <w:rPr>
                <w:bCs/>
              </w:rPr>
              <w:t xml:space="preserve">) with </w:t>
            </w:r>
            <w:r w:rsidRPr="005D4222">
              <w:t>a hip fracture (</w:t>
            </w:r>
            <w:r w:rsidRPr="005D4222">
              <w:rPr>
                <w:u w:val="single"/>
              </w:rPr>
              <w:t>Hip Fractures Value Set</w:t>
            </w:r>
            <w:r w:rsidRPr="005D4222">
              <w:t>).</w:t>
            </w:r>
          </w:p>
          <w:p w14:paraId="459B40CC" w14:textId="77777777" w:rsidR="0042622B" w:rsidRPr="005D4222" w:rsidRDefault="0042622B" w:rsidP="0042622B">
            <w:pPr>
              <w:pStyle w:val="Bullet"/>
              <w:numPr>
                <w:ilvl w:val="0"/>
                <w:numId w:val="4"/>
              </w:numPr>
              <w:tabs>
                <w:tab w:val="left" w:pos="360"/>
                <w:tab w:val="left" w:pos="576"/>
              </w:tabs>
              <w:ind w:left="576" w:hanging="216"/>
            </w:pPr>
            <w:r w:rsidRPr="005D4222">
              <w:t>An acute or nonacute inpatient discharge with a hip fracture (</w:t>
            </w:r>
            <w:r w:rsidRPr="005D4222">
              <w:rPr>
                <w:u w:val="single"/>
              </w:rPr>
              <w:t>Hip Fractures Value Set</w:t>
            </w:r>
            <w:r w:rsidRPr="005D4222">
              <w:t>) on the discharge claim. To identify acute and nonacute inpatient discharges:</w:t>
            </w:r>
          </w:p>
          <w:p w14:paraId="7011BAC8" w14:textId="77777777" w:rsidR="0042622B" w:rsidRPr="005D4222" w:rsidRDefault="0042622B">
            <w:pPr>
              <w:pStyle w:val="Body"/>
              <w:spacing w:before="40"/>
              <w:ind w:left="864" w:hanging="288"/>
            </w:pPr>
            <w:r w:rsidRPr="005D4222">
              <w:t>1.</w:t>
            </w:r>
            <w:r w:rsidRPr="005D4222">
              <w:tab/>
              <w:t>Identify all acute and nonacute inpatient stays (</w:t>
            </w:r>
            <w:r w:rsidRPr="005D4222">
              <w:rPr>
                <w:u w:val="single"/>
              </w:rPr>
              <w:t>Inpatient Stay Value Set</w:t>
            </w:r>
            <w:r w:rsidRPr="005D4222">
              <w:t>).</w:t>
            </w:r>
          </w:p>
          <w:p w14:paraId="73378157" w14:textId="77777777" w:rsidR="0042622B" w:rsidRPr="005D4222" w:rsidRDefault="0042622B">
            <w:pPr>
              <w:pStyle w:val="Body"/>
              <w:spacing w:before="0"/>
              <w:ind w:left="864" w:hanging="288"/>
            </w:pPr>
            <w:r w:rsidRPr="005D4222">
              <w:t>2.</w:t>
            </w:r>
            <w:r w:rsidRPr="005D4222">
              <w:tab/>
              <w:t>Identify the discharge date for the stay.</w:t>
            </w:r>
          </w:p>
          <w:p w14:paraId="3369DC05" w14:textId="77777777" w:rsidR="0042622B" w:rsidRPr="005D4222" w:rsidRDefault="0042622B">
            <w:pPr>
              <w:pStyle w:val="ECDSBody"/>
            </w:pPr>
            <w:r w:rsidRPr="005D4222">
              <w:t>Identify the IESD for each person.</w:t>
            </w:r>
          </w:p>
          <w:p w14:paraId="7F2A7791" w14:textId="5843BFDA" w:rsidR="0042622B" w:rsidRPr="005D4222" w:rsidRDefault="0042622B">
            <w:pPr>
              <w:pStyle w:val="ECDSBody"/>
              <w:spacing w:before="160"/>
              <w:rPr>
                <w:b/>
                <w:i/>
                <w:iCs/>
                <w:szCs w:val="21"/>
              </w:rPr>
            </w:pPr>
            <w:r w:rsidRPr="005D4222">
              <w:rPr>
                <w:b/>
                <w:iCs/>
                <w:kern w:val="24"/>
                <w:szCs w:val="20"/>
              </w:rPr>
              <w:t xml:space="preserve">Initial </w:t>
            </w:r>
            <w:r w:rsidR="00011A72" w:rsidRPr="005D4222">
              <w:rPr>
                <w:b/>
                <w:iCs/>
                <w:kern w:val="24"/>
                <w:szCs w:val="20"/>
              </w:rPr>
              <w:t>pop</w:t>
            </w:r>
            <w:r w:rsidRPr="005D4222">
              <w:rPr>
                <w:b/>
                <w:iCs/>
                <w:kern w:val="24"/>
                <w:szCs w:val="20"/>
              </w:rPr>
              <w:t xml:space="preserve">ulation </w:t>
            </w:r>
            <w:r w:rsidRPr="005D4222">
              <w:rPr>
                <w:b/>
                <w:iCs/>
                <w:szCs w:val="21"/>
              </w:rPr>
              <w:t>2</w:t>
            </w:r>
            <w:r w:rsidRPr="005D4222">
              <w:rPr>
                <w:b/>
                <w:i/>
                <w:szCs w:val="21"/>
              </w:rPr>
              <w:t xml:space="preserve">: </w:t>
            </w:r>
            <w:r w:rsidRPr="005D4222">
              <w:rPr>
                <w:b/>
                <w:iCs/>
                <w:szCs w:val="21"/>
              </w:rPr>
              <w:t>Drug-</w:t>
            </w:r>
            <w:r w:rsidR="00011A72" w:rsidRPr="005D4222">
              <w:rPr>
                <w:b/>
                <w:iCs/>
                <w:szCs w:val="21"/>
              </w:rPr>
              <w:t>disease intera</w:t>
            </w:r>
            <w:r w:rsidRPr="005D4222">
              <w:rPr>
                <w:b/>
                <w:iCs/>
                <w:szCs w:val="21"/>
              </w:rPr>
              <w:t xml:space="preserve">ctions—Dementia and </w:t>
            </w:r>
            <w:r w:rsidR="00011A72" w:rsidRPr="005D4222">
              <w:rPr>
                <w:b/>
                <w:iCs/>
                <w:szCs w:val="21"/>
              </w:rPr>
              <w:t>antipsychotics, benzodiazepines, nonbenzodiazepine hypnotics, tricyclic antidepressants or anticholinergic ag</w:t>
            </w:r>
            <w:r w:rsidRPr="005D4222">
              <w:rPr>
                <w:b/>
                <w:iCs/>
                <w:szCs w:val="21"/>
              </w:rPr>
              <w:t>ents.</w:t>
            </w:r>
          </w:p>
          <w:p w14:paraId="1B39E805" w14:textId="77777777" w:rsidR="0042622B" w:rsidRPr="005D4222" w:rsidRDefault="0042622B">
            <w:pPr>
              <w:pStyle w:val="ECDSBody"/>
              <w:rPr>
                <w:iCs/>
                <w:szCs w:val="21"/>
              </w:rPr>
            </w:pPr>
            <w:r w:rsidRPr="005D4222">
              <w:rPr>
                <w:iCs/>
                <w:szCs w:val="21"/>
              </w:rPr>
              <w:t>Identify persons with a diagnosis of dementia (</w:t>
            </w:r>
            <w:r w:rsidRPr="005D4222">
              <w:rPr>
                <w:iCs/>
                <w:szCs w:val="21"/>
                <w:u w:val="single"/>
              </w:rPr>
              <w:t>Dementia Value Set</w:t>
            </w:r>
            <w:r w:rsidRPr="005D4222">
              <w:rPr>
                <w:iCs/>
                <w:szCs w:val="21"/>
              </w:rPr>
              <w:t>*) or a dispensed dementia medication (</w:t>
            </w:r>
            <w:r w:rsidRPr="005D4222">
              <w:rPr>
                <w:iCs/>
                <w:szCs w:val="21"/>
                <w:u w:val="single"/>
              </w:rPr>
              <w:t>Dementia Medications List</w:t>
            </w:r>
            <w:r w:rsidRPr="005D4222">
              <w:rPr>
                <w:iCs/>
                <w:szCs w:val="21"/>
              </w:rPr>
              <w:t xml:space="preserve">) on or between January 1 of the period prior to the measurement period and December 1 of the measurement period. </w:t>
            </w:r>
          </w:p>
          <w:p w14:paraId="1786C27D" w14:textId="05E551AA" w:rsidR="0042622B" w:rsidRPr="005D4222" w:rsidRDefault="0042622B">
            <w:pPr>
              <w:pStyle w:val="ECDSBody"/>
              <w:rPr>
                <w:iCs/>
                <w:szCs w:val="21"/>
              </w:rPr>
            </w:pPr>
            <w:r w:rsidRPr="005D4222">
              <w:rPr>
                <w:iCs/>
                <w:szCs w:val="21"/>
              </w:rPr>
              <w:t xml:space="preserve">Identify the IESD for each person. </w:t>
            </w:r>
          </w:p>
          <w:p w14:paraId="27DFF181" w14:textId="29E44224" w:rsidR="0042622B" w:rsidRPr="005D4222" w:rsidRDefault="0042622B">
            <w:pPr>
              <w:pStyle w:val="ECDSBody"/>
              <w:rPr>
                <w:b/>
                <w:i/>
                <w:iCs/>
                <w:szCs w:val="21"/>
              </w:rPr>
            </w:pPr>
            <w:r w:rsidRPr="005D4222">
              <w:rPr>
                <w:b/>
                <w:iCs/>
                <w:kern w:val="24"/>
                <w:szCs w:val="20"/>
              </w:rPr>
              <w:t xml:space="preserve">Initial </w:t>
            </w:r>
            <w:r w:rsidR="00011A72" w:rsidRPr="005D4222">
              <w:rPr>
                <w:b/>
                <w:iCs/>
                <w:kern w:val="24"/>
                <w:szCs w:val="20"/>
              </w:rPr>
              <w:t>po</w:t>
            </w:r>
            <w:r w:rsidRPr="005D4222">
              <w:rPr>
                <w:b/>
                <w:iCs/>
                <w:kern w:val="24"/>
                <w:szCs w:val="20"/>
              </w:rPr>
              <w:t xml:space="preserve">pulation </w:t>
            </w:r>
            <w:r w:rsidRPr="005D4222">
              <w:rPr>
                <w:b/>
                <w:iCs/>
                <w:szCs w:val="21"/>
              </w:rPr>
              <w:t>3: Drug-</w:t>
            </w:r>
            <w:r w:rsidR="00011A72" w:rsidRPr="005D4222">
              <w:rPr>
                <w:b/>
                <w:iCs/>
                <w:szCs w:val="21"/>
              </w:rPr>
              <w:t>disease intera</w:t>
            </w:r>
            <w:r w:rsidRPr="005D4222">
              <w:rPr>
                <w:b/>
                <w:iCs/>
                <w:szCs w:val="21"/>
              </w:rPr>
              <w:t xml:space="preserve">ctions—Chronic </w:t>
            </w:r>
            <w:r w:rsidR="00011A72" w:rsidRPr="005D4222">
              <w:rPr>
                <w:b/>
                <w:iCs/>
                <w:szCs w:val="21"/>
              </w:rPr>
              <w:t>kidney disease</w:t>
            </w:r>
            <w:r w:rsidRPr="005D4222">
              <w:rPr>
                <w:b/>
                <w:iCs/>
                <w:szCs w:val="21"/>
              </w:rPr>
              <w:t xml:space="preserve"> and Cox-2 </w:t>
            </w:r>
            <w:r w:rsidR="00011A72" w:rsidRPr="005D4222">
              <w:rPr>
                <w:b/>
                <w:iCs/>
                <w:szCs w:val="21"/>
              </w:rPr>
              <w:t>selective</w:t>
            </w:r>
            <w:r w:rsidRPr="005D4222">
              <w:rPr>
                <w:b/>
                <w:iCs/>
                <w:szCs w:val="21"/>
              </w:rPr>
              <w:t xml:space="preserve"> NSAIDS or </w:t>
            </w:r>
            <w:r w:rsidR="00011A72" w:rsidRPr="005D4222">
              <w:rPr>
                <w:b/>
                <w:iCs/>
                <w:szCs w:val="21"/>
              </w:rPr>
              <w:t>n</w:t>
            </w:r>
            <w:r w:rsidRPr="005D4222">
              <w:rPr>
                <w:b/>
                <w:iCs/>
                <w:szCs w:val="21"/>
              </w:rPr>
              <w:t>onaspirin NSAIDS.</w:t>
            </w:r>
          </w:p>
          <w:p w14:paraId="5540AF43" w14:textId="77777777" w:rsidR="0042622B" w:rsidRPr="005D4222" w:rsidRDefault="0042622B">
            <w:pPr>
              <w:pStyle w:val="ECDSBody"/>
              <w:rPr>
                <w:szCs w:val="21"/>
              </w:rPr>
            </w:pPr>
            <w:r w:rsidRPr="005D4222">
              <w:rPr>
                <w:szCs w:val="21"/>
              </w:rPr>
              <w:t xml:space="preserve">Identified chronic kidney disease by any of the following on or between January 1 of the period prior to the measurement period and December 1 of the measurement period: </w:t>
            </w:r>
          </w:p>
          <w:p w14:paraId="2D908F88" w14:textId="77777777" w:rsidR="0042622B" w:rsidRPr="005D4222" w:rsidRDefault="0042622B" w:rsidP="0042622B">
            <w:pPr>
              <w:pStyle w:val="Bullet"/>
              <w:numPr>
                <w:ilvl w:val="0"/>
                <w:numId w:val="4"/>
              </w:numPr>
              <w:tabs>
                <w:tab w:val="left" w:pos="360"/>
                <w:tab w:val="left" w:pos="576"/>
              </w:tabs>
              <w:spacing w:after="80"/>
              <w:ind w:left="576" w:hanging="216"/>
              <w:rPr>
                <w:b/>
                <w:i/>
                <w:iCs/>
              </w:rPr>
            </w:pPr>
            <w:r w:rsidRPr="005D4222">
              <w:rPr>
                <w:szCs w:val="21"/>
              </w:rPr>
              <w:t>ESRD (</w:t>
            </w:r>
            <w:r w:rsidRPr="005D4222">
              <w:rPr>
                <w:szCs w:val="21"/>
                <w:u w:val="single"/>
              </w:rPr>
              <w:t>ESRD Diagnosis Value Set</w:t>
            </w:r>
            <w:r w:rsidRPr="005D4222">
              <w:rPr>
                <w:szCs w:val="21"/>
              </w:rPr>
              <w:t>*).</w:t>
            </w:r>
          </w:p>
          <w:p w14:paraId="1DDF275B" w14:textId="77777777" w:rsidR="0042622B" w:rsidRPr="005D4222" w:rsidRDefault="0042622B" w:rsidP="0042622B">
            <w:pPr>
              <w:pStyle w:val="Bullet"/>
              <w:numPr>
                <w:ilvl w:val="0"/>
                <w:numId w:val="4"/>
              </w:numPr>
              <w:tabs>
                <w:tab w:val="left" w:pos="360"/>
                <w:tab w:val="left" w:pos="576"/>
              </w:tabs>
              <w:spacing w:after="80"/>
              <w:ind w:left="576" w:hanging="216"/>
              <w:rPr>
                <w:b/>
                <w:i/>
                <w:iCs/>
              </w:rPr>
            </w:pPr>
            <w:r w:rsidRPr="005D4222">
              <w:rPr>
                <w:szCs w:val="21"/>
              </w:rPr>
              <w:t>Stage 4 chronic kidney disease (</w:t>
            </w:r>
            <w:r w:rsidRPr="005D4222">
              <w:rPr>
                <w:szCs w:val="21"/>
                <w:u w:val="single"/>
              </w:rPr>
              <w:t>CKD Stage 4 Value Set</w:t>
            </w:r>
            <w:r w:rsidRPr="005D4222">
              <w:rPr>
                <w:szCs w:val="21"/>
              </w:rPr>
              <w:t xml:space="preserve">*). </w:t>
            </w:r>
          </w:p>
          <w:p w14:paraId="14F58476" w14:textId="77777777" w:rsidR="0042622B" w:rsidRPr="005D4222" w:rsidRDefault="0042622B" w:rsidP="0042622B">
            <w:pPr>
              <w:pStyle w:val="Bullet"/>
              <w:numPr>
                <w:ilvl w:val="0"/>
                <w:numId w:val="4"/>
              </w:numPr>
              <w:tabs>
                <w:tab w:val="left" w:pos="360"/>
                <w:tab w:val="left" w:pos="576"/>
              </w:tabs>
              <w:ind w:left="576" w:hanging="216"/>
              <w:rPr>
                <w:szCs w:val="21"/>
              </w:rPr>
            </w:pPr>
            <w:r w:rsidRPr="005D4222">
              <w:rPr>
                <w:szCs w:val="21"/>
              </w:rPr>
              <w:t>Dialysis (</w:t>
            </w:r>
            <w:r w:rsidRPr="005D4222">
              <w:rPr>
                <w:szCs w:val="21"/>
                <w:u w:val="single"/>
              </w:rPr>
              <w:t>Dialysis Procedure Value Set</w:t>
            </w:r>
            <w:r w:rsidRPr="005D4222">
              <w:rPr>
                <w:szCs w:val="21"/>
              </w:rPr>
              <w:t>).</w:t>
            </w:r>
          </w:p>
          <w:p w14:paraId="29E75166" w14:textId="77777777" w:rsidR="0042622B" w:rsidRPr="005D4222" w:rsidRDefault="0042622B" w:rsidP="0042622B">
            <w:pPr>
              <w:pStyle w:val="Bullet"/>
              <w:numPr>
                <w:ilvl w:val="0"/>
                <w:numId w:val="4"/>
              </w:numPr>
              <w:tabs>
                <w:tab w:val="left" w:pos="360"/>
                <w:tab w:val="left" w:pos="576"/>
              </w:tabs>
              <w:ind w:left="576" w:hanging="216"/>
              <w:rPr>
                <w:szCs w:val="21"/>
              </w:rPr>
            </w:pPr>
            <w:r w:rsidRPr="005D4222">
              <w:rPr>
                <w:szCs w:val="21"/>
              </w:rPr>
              <w:t>Nephrectomy (</w:t>
            </w:r>
            <w:r w:rsidRPr="005D4222">
              <w:rPr>
                <w:szCs w:val="21"/>
                <w:u w:val="single"/>
              </w:rPr>
              <w:t>Total Nephrectomy Value Set</w:t>
            </w:r>
            <w:r w:rsidRPr="005D4222">
              <w:rPr>
                <w:szCs w:val="21"/>
              </w:rPr>
              <w:t>).</w:t>
            </w:r>
          </w:p>
          <w:p w14:paraId="2A2A882E" w14:textId="77777777" w:rsidR="0042622B" w:rsidRPr="005D4222" w:rsidRDefault="0042622B" w:rsidP="0042622B">
            <w:pPr>
              <w:pStyle w:val="Bullet"/>
              <w:numPr>
                <w:ilvl w:val="0"/>
                <w:numId w:val="4"/>
              </w:numPr>
              <w:tabs>
                <w:tab w:val="left" w:pos="360"/>
                <w:tab w:val="left" w:pos="576"/>
              </w:tabs>
              <w:spacing w:after="80"/>
              <w:ind w:left="576" w:hanging="216"/>
              <w:rPr>
                <w:b/>
                <w:i/>
                <w:iCs/>
              </w:rPr>
            </w:pPr>
            <w:r w:rsidRPr="005D4222">
              <w:rPr>
                <w:szCs w:val="21"/>
              </w:rPr>
              <w:t>Kidney Transplant (</w:t>
            </w:r>
            <w:r w:rsidRPr="005D4222">
              <w:rPr>
                <w:szCs w:val="21"/>
                <w:u w:val="single"/>
              </w:rPr>
              <w:t>Kidney Transplant Value Set</w:t>
            </w:r>
            <w:r w:rsidRPr="005D4222">
              <w:rPr>
                <w:szCs w:val="21"/>
              </w:rPr>
              <w:t>).</w:t>
            </w:r>
          </w:p>
          <w:p w14:paraId="3CB7032F" w14:textId="77777777" w:rsidR="0042622B" w:rsidRPr="005D4222" w:rsidRDefault="0042622B" w:rsidP="00AD3602">
            <w:pPr>
              <w:pStyle w:val="ECDSBody"/>
              <w:spacing w:before="180"/>
              <w:rPr>
                <w:b/>
              </w:rPr>
            </w:pPr>
            <w:r w:rsidRPr="005D4222">
              <w:lastRenderedPageBreak/>
              <w:t xml:space="preserve">Identify the IESD for each person. </w:t>
            </w:r>
          </w:p>
          <w:p w14:paraId="5401FDEF" w14:textId="77777777" w:rsidR="0042622B" w:rsidRPr="005D4222" w:rsidRDefault="0042622B">
            <w:pPr>
              <w:pStyle w:val="ECDSBody"/>
              <w:spacing w:after="0"/>
              <w:rPr>
                <w:rFonts w:eastAsia="Arial,Arial,Arial,Arial,Arial,A"/>
                <w:b/>
                <w:bCs w:val="0"/>
              </w:rPr>
            </w:pPr>
            <w:r w:rsidRPr="005D4222">
              <w:rPr>
                <w:rFonts w:eastAsia="Arial,Arial,Arial,Arial,Arial,A"/>
                <w:b/>
                <w:bCs w:val="0"/>
              </w:rPr>
              <w:t>Coding Guidance</w:t>
            </w:r>
          </w:p>
          <w:p w14:paraId="6B77AE2F" w14:textId="77777777" w:rsidR="0042622B" w:rsidRPr="005D4222" w:rsidRDefault="0042622B" w:rsidP="00B14D3A">
            <w:pPr>
              <w:pStyle w:val="Bullet"/>
              <w:numPr>
                <w:ilvl w:val="0"/>
                <w:numId w:val="0"/>
              </w:numPr>
              <w:spacing w:before="0" w:after="80"/>
              <w:rPr>
                <w:b/>
                <w:i/>
                <w:iCs/>
              </w:rPr>
            </w:pPr>
            <w:r w:rsidRPr="005D4222">
              <w:rPr>
                <w:rFonts w:eastAsia="Arial,Arial,Arial,Arial,Arial,A"/>
                <w:iCs/>
              </w:rPr>
              <w:t>*Do not include laboratory claims (claims with POS code 81).</w:t>
            </w:r>
          </w:p>
        </w:tc>
      </w:tr>
      <w:tr w:rsidR="0042622B" w:rsidRPr="005D4222" w14:paraId="2BEB3029" w14:textId="77777777" w:rsidTr="00AD3602">
        <w:trPr>
          <w:trHeight w:val="1313"/>
        </w:trPr>
        <w:tc>
          <w:tcPr>
            <w:tcW w:w="2157" w:type="dxa"/>
            <w:shd w:val="clear" w:color="auto" w:fill="BFBFBF" w:themeFill="background1" w:themeFillShade="BF"/>
            <w:noWrap/>
            <w:tcMar>
              <w:top w:w="0" w:type="dxa"/>
              <w:left w:w="86" w:type="dxa"/>
              <w:bottom w:w="43" w:type="dxa"/>
              <w:right w:w="86" w:type="dxa"/>
            </w:tcMar>
          </w:tcPr>
          <w:p w14:paraId="79F06CA4" w14:textId="77777777" w:rsidR="0042622B" w:rsidRPr="005D4222" w:rsidRDefault="0042622B">
            <w:pPr>
              <w:pStyle w:val="ECDSMarginHead"/>
              <w:rPr>
                <w:iCs/>
              </w:rPr>
            </w:pPr>
            <w:r w:rsidRPr="005D4222">
              <w:rPr>
                <w:iCs/>
              </w:rPr>
              <w:lastRenderedPageBreak/>
              <w:t>Denominator exclusions</w:t>
            </w:r>
          </w:p>
        </w:tc>
        <w:tc>
          <w:tcPr>
            <w:tcW w:w="7557" w:type="dxa"/>
            <w:gridSpan w:val="3"/>
            <w:noWrap/>
            <w:tcMar>
              <w:left w:w="86" w:type="dxa"/>
              <w:bottom w:w="43" w:type="dxa"/>
              <w:right w:w="86" w:type="dxa"/>
            </w:tcMar>
          </w:tcPr>
          <w:p w14:paraId="1784D5B4" w14:textId="77777777" w:rsidR="0042622B" w:rsidRPr="005D4222" w:rsidRDefault="0042622B">
            <w:pPr>
              <w:pStyle w:val="ECDSBody"/>
              <w:rPr>
                <w:b/>
                <w:i/>
                <w:iCs/>
              </w:rPr>
            </w:pPr>
            <w:r w:rsidRPr="005D4222">
              <w:rPr>
                <w:b/>
                <w:i/>
                <w:iCs/>
              </w:rPr>
              <w:t>The following exclusions apply to all denominators:</w:t>
            </w:r>
          </w:p>
          <w:p w14:paraId="5E071342" w14:textId="77777777" w:rsidR="0042622B" w:rsidRPr="005D4222" w:rsidRDefault="0042622B" w:rsidP="00BE1635">
            <w:pPr>
              <w:pStyle w:val="ProcessBullet"/>
            </w:pPr>
            <w:r w:rsidRPr="005D4222">
              <w:rPr>
                <w:b/>
                <w:bCs/>
              </w:rPr>
              <w:t>Persons with a date of death.</w:t>
            </w:r>
            <w:r w:rsidRPr="005D4222">
              <w:rPr>
                <w:b/>
                <w:bCs/>
              </w:rPr>
              <w:br/>
            </w:r>
            <w:r w:rsidRPr="005D4222">
              <w:t>Death in the measurement period, identified using data sources determined by the organization. Method and data sources are subject to review during the HEDIS audit.  </w:t>
            </w:r>
          </w:p>
          <w:p w14:paraId="507AC602" w14:textId="77777777" w:rsidR="0042622B" w:rsidRPr="005D4222" w:rsidRDefault="0042622B" w:rsidP="00BE1635">
            <w:pPr>
              <w:pStyle w:val="ProcessBullet"/>
              <w:rPr>
                <w:rFonts w:eastAsia="Arial,Arial,Arial,Arial,Arial,A"/>
              </w:rPr>
            </w:pPr>
            <w:r w:rsidRPr="005D4222" w:rsidDel="00A91419">
              <w:rPr>
                <w:rFonts w:eastAsia="Arial,Arial,Arial,Arial,Arial,A"/>
                <w:b/>
                <w:bCs/>
              </w:rPr>
              <w:t xml:space="preserve">Persons </w:t>
            </w:r>
            <w:r w:rsidRPr="005D4222">
              <w:rPr>
                <w:rFonts w:eastAsia="Arial,Arial,Arial,Arial,Arial,A"/>
                <w:b/>
                <w:bCs/>
              </w:rPr>
              <w:t>in hospice or using hospice services.</w:t>
            </w:r>
            <w:r w:rsidRPr="005D4222">
              <w:rPr>
                <w:rFonts w:eastAsia="Arial,Arial,Arial,Arial,Arial,A"/>
                <w:b/>
                <w:bCs/>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110B1E4F" w14:textId="77777777" w:rsidR="0042622B" w:rsidRPr="005D4222" w:rsidRDefault="0042622B" w:rsidP="00BE1635">
            <w:pPr>
              <w:pStyle w:val="ProcessBullet"/>
              <w:rPr>
                <w:rFonts w:eastAsia="Arial,Arial,Arial,Arial,Arial,A"/>
              </w:rPr>
            </w:pPr>
            <w:r w:rsidRPr="005D4222" w:rsidDel="00AA4A01">
              <w:rPr>
                <w:b/>
                <w:bCs/>
              </w:rPr>
              <w:t xml:space="preserve">Persons </w:t>
            </w:r>
            <w:r w:rsidRPr="005D4222">
              <w:rPr>
                <w:b/>
                <w:bCs/>
              </w:rPr>
              <w:t>receiving palliative care.</w:t>
            </w:r>
            <w:r w:rsidRPr="005D4222">
              <w:rPr>
                <w:b/>
                <w:bCs/>
              </w:rPr>
              <w:br/>
            </w:r>
            <w:r w:rsidRPr="005D4222">
              <w:t>Persons receiving palliative care (</w:t>
            </w:r>
            <w:r w:rsidRPr="005D4222">
              <w:rPr>
                <w:u w:val="single"/>
              </w:rPr>
              <w:t>Palliative Care Assessment Value Set</w:t>
            </w:r>
            <w:r w:rsidRPr="005D4222">
              <w:t xml:space="preserve">; </w:t>
            </w:r>
            <w:r w:rsidRPr="005D4222">
              <w:rPr>
                <w:u w:val="single"/>
              </w:rPr>
              <w:t>Palliative Care Encounter Value Set</w:t>
            </w:r>
            <w:r w:rsidRPr="005D4222">
              <w:t xml:space="preserve">; </w:t>
            </w:r>
            <w:r w:rsidRPr="005D4222">
              <w:rPr>
                <w:u w:val="single"/>
              </w:rPr>
              <w:t>Palliative Care Intervention Value Set</w:t>
            </w:r>
            <w:r w:rsidRPr="005D4222">
              <w:t>) or who had an encounter for palliative care (ICD-10-CM code Z51.5*) any time during the measurement period.</w:t>
            </w:r>
          </w:p>
          <w:p w14:paraId="72967F88" w14:textId="77777777" w:rsidR="0042622B" w:rsidRPr="005D4222" w:rsidRDefault="0042622B">
            <w:pPr>
              <w:pStyle w:val="ECDSBody"/>
              <w:spacing w:before="180" w:after="0"/>
              <w:rPr>
                <w:rFonts w:eastAsia="Arial,Arial,Arial,Arial,Arial,A"/>
                <w:b/>
                <w:bCs w:val="0"/>
              </w:rPr>
            </w:pPr>
            <w:r w:rsidRPr="005D4222">
              <w:rPr>
                <w:rFonts w:eastAsia="Arial,Arial,Arial,Arial,Arial,A"/>
                <w:b/>
                <w:bCs w:val="0"/>
              </w:rPr>
              <w:t xml:space="preserve">Additional denominator 1 exclusions. </w:t>
            </w:r>
          </w:p>
          <w:p w14:paraId="12A78583" w14:textId="77777777" w:rsidR="0042622B" w:rsidRPr="005D4222" w:rsidRDefault="0042622B">
            <w:pPr>
              <w:pStyle w:val="ECDSBody"/>
              <w:spacing w:before="0"/>
              <w:rPr>
                <w:rFonts w:eastAsia="Arial,Arial,Arial,Arial,Arial,A"/>
              </w:rPr>
            </w:pPr>
            <w:r w:rsidRPr="005D4222">
              <w:t>Persons with at least one of the following diagnoses on or between January 1 of the year prior to the measurement period and December 1 of the measurement period:</w:t>
            </w:r>
          </w:p>
          <w:p w14:paraId="3FB9A4DE" w14:textId="77777777" w:rsidR="0042622B" w:rsidRPr="005D4222" w:rsidRDefault="0042622B" w:rsidP="0042622B">
            <w:pPr>
              <w:pStyle w:val="Bullet"/>
              <w:numPr>
                <w:ilvl w:val="0"/>
                <w:numId w:val="4"/>
              </w:numPr>
              <w:tabs>
                <w:tab w:val="left" w:pos="360"/>
                <w:tab w:val="left" w:pos="576"/>
              </w:tabs>
              <w:ind w:left="576" w:hanging="216"/>
              <w:rPr>
                <w:rFonts w:eastAsia="Arial,Arial,Arial,Arial,Arial,A"/>
                <w:b/>
                <w:bCs/>
              </w:rPr>
            </w:pPr>
            <w:r w:rsidRPr="005D4222">
              <w:t>Psychosis (</w:t>
            </w:r>
            <w:r w:rsidRPr="005D4222">
              <w:rPr>
                <w:u w:val="single"/>
              </w:rPr>
              <w:t>Psychosis Value Set</w:t>
            </w:r>
            <w:r w:rsidRPr="005D4222">
              <w:t>*).</w:t>
            </w:r>
          </w:p>
          <w:p w14:paraId="4FF6ADEB" w14:textId="77777777" w:rsidR="0042622B" w:rsidRPr="005D4222" w:rsidRDefault="0042622B" w:rsidP="0042622B">
            <w:pPr>
              <w:pStyle w:val="Bullet"/>
              <w:numPr>
                <w:ilvl w:val="0"/>
                <w:numId w:val="4"/>
              </w:numPr>
              <w:tabs>
                <w:tab w:val="left" w:pos="360"/>
                <w:tab w:val="left" w:pos="576"/>
              </w:tabs>
              <w:ind w:left="576" w:hanging="216"/>
              <w:rPr>
                <w:rFonts w:eastAsia="Arial,Arial,Arial,Arial,Arial,A"/>
                <w:b/>
                <w:bCs/>
              </w:rPr>
            </w:pPr>
            <w:r w:rsidRPr="005D4222">
              <w:t>Schizophrenia, schizoaffective disorder (</w:t>
            </w:r>
            <w:r w:rsidRPr="005D4222">
              <w:rPr>
                <w:u w:val="single"/>
              </w:rPr>
              <w:t>Schizophrenia Value Set</w:t>
            </w:r>
            <w:r w:rsidRPr="005D4222">
              <w:t>*).</w:t>
            </w:r>
          </w:p>
          <w:p w14:paraId="457ADEF9" w14:textId="77777777" w:rsidR="0042622B" w:rsidRPr="005D4222" w:rsidRDefault="0042622B" w:rsidP="0042622B">
            <w:pPr>
              <w:pStyle w:val="Bullet"/>
              <w:numPr>
                <w:ilvl w:val="0"/>
                <w:numId w:val="4"/>
              </w:numPr>
              <w:tabs>
                <w:tab w:val="left" w:pos="360"/>
                <w:tab w:val="left" w:pos="576"/>
              </w:tabs>
              <w:ind w:left="576" w:hanging="216"/>
              <w:rPr>
                <w:rFonts w:eastAsia="Arial,Arial,Arial,Arial,Arial,A"/>
                <w:b/>
                <w:bCs/>
              </w:rPr>
            </w:pPr>
            <w:r w:rsidRPr="005D4222">
              <w:t>Bipolar disorder (</w:t>
            </w:r>
            <w:r w:rsidRPr="005D4222">
              <w:rPr>
                <w:u w:val="single"/>
              </w:rPr>
              <w:t>Bipolar Disorder Value Set</w:t>
            </w:r>
            <w:r w:rsidRPr="005D4222">
              <w:t xml:space="preserve">*; </w:t>
            </w:r>
            <w:r w:rsidRPr="005D4222">
              <w:rPr>
                <w:u w:val="single"/>
              </w:rPr>
              <w:t>Other Bipolar Disorder Value Set</w:t>
            </w:r>
            <w:r w:rsidRPr="005D4222">
              <w:t xml:space="preserve">*). </w:t>
            </w:r>
          </w:p>
          <w:p w14:paraId="15C8BEB1" w14:textId="77777777" w:rsidR="0042622B" w:rsidRPr="005D4222" w:rsidRDefault="0042622B" w:rsidP="0042622B">
            <w:pPr>
              <w:pStyle w:val="Bullet"/>
              <w:numPr>
                <w:ilvl w:val="0"/>
                <w:numId w:val="4"/>
              </w:numPr>
              <w:tabs>
                <w:tab w:val="left" w:pos="360"/>
                <w:tab w:val="left" w:pos="576"/>
              </w:tabs>
              <w:ind w:left="576" w:hanging="216"/>
              <w:rPr>
                <w:rFonts w:eastAsia="Arial,Arial,Arial,Arial,Arial,A"/>
                <w:b/>
                <w:bCs/>
              </w:rPr>
            </w:pPr>
            <w:r w:rsidRPr="005D4222">
              <w:t>Major depressive disorder (</w:t>
            </w:r>
            <w:r w:rsidRPr="005D4222">
              <w:rPr>
                <w:u w:val="single"/>
              </w:rPr>
              <w:t>Major Depression or Dysthymia Value Set</w:t>
            </w:r>
            <w:r w:rsidRPr="005D4222">
              <w:t xml:space="preserve">*). </w:t>
            </w:r>
          </w:p>
          <w:p w14:paraId="514843AC" w14:textId="77777777" w:rsidR="0042622B" w:rsidRPr="005D4222" w:rsidRDefault="0042622B" w:rsidP="0042622B">
            <w:pPr>
              <w:pStyle w:val="Bullet"/>
              <w:numPr>
                <w:ilvl w:val="0"/>
                <w:numId w:val="4"/>
              </w:numPr>
              <w:tabs>
                <w:tab w:val="left" w:pos="360"/>
                <w:tab w:val="left" w:pos="576"/>
              </w:tabs>
              <w:ind w:left="576" w:hanging="216"/>
              <w:rPr>
                <w:rFonts w:eastAsia="Arial,Arial,Arial,Arial,Arial,A"/>
                <w:b/>
              </w:rPr>
            </w:pPr>
            <w:r w:rsidRPr="005D4222">
              <w:t>Seizure disorder (</w:t>
            </w:r>
            <w:r w:rsidRPr="005D4222">
              <w:rPr>
                <w:u w:val="single"/>
              </w:rPr>
              <w:t>Seizure Disorders Value Set</w:t>
            </w:r>
            <w:r w:rsidRPr="005D4222">
              <w:t xml:space="preserve">*). </w:t>
            </w:r>
          </w:p>
          <w:p w14:paraId="5C59003D" w14:textId="77777777" w:rsidR="0042622B" w:rsidRPr="005D4222" w:rsidRDefault="0042622B">
            <w:pPr>
              <w:pStyle w:val="Body"/>
              <w:rPr>
                <w:rFonts w:eastAsia="Arial,Arial,Arial,Arial,Arial,A"/>
                <w:b/>
                <w:bCs/>
              </w:rPr>
            </w:pPr>
            <w:r w:rsidRPr="005D4222">
              <w:rPr>
                <w:rFonts w:eastAsia="Arial,Arial,Arial,Arial,Arial,A"/>
                <w:b/>
                <w:bCs/>
              </w:rPr>
              <w:t xml:space="preserve">Additional denominator 2 exclusions. </w:t>
            </w:r>
          </w:p>
          <w:p w14:paraId="5D6B0D6F" w14:textId="77777777" w:rsidR="0042622B" w:rsidRPr="005D4222" w:rsidRDefault="0042622B">
            <w:pPr>
              <w:pStyle w:val="Body"/>
              <w:spacing w:before="0"/>
              <w:rPr>
                <w:rFonts w:eastAsia="Arial,Arial,Arial,Arial,Arial,A"/>
              </w:rPr>
            </w:pPr>
            <w:r w:rsidRPr="005D4222">
              <w:t>Persons with at least one of the following diagnoses on or between January 1 of the year prior to the measurement period and December 1 of the measurement period:</w:t>
            </w:r>
          </w:p>
          <w:p w14:paraId="6EEF3D07" w14:textId="77777777" w:rsidR="0042622B" w:rsidRPr="005D4222" w:rsidRDefault="0042622B" w:rsidP="0042622B">
            <w:pPr>
              <w:pStyle w:val="Bullet"/>
              <w:numPr>
                <w:ilvl w:val="0"/>
                <w:numId w:val="4"/>
              </w:numPr>
              <w:tabs>
                <w:tab w:val="left" w:pos="360"/>
                <w:tab w:val="left" w:pos="576"/>
              </w:tabs>
              <w:ind w:left="576" w:hanging="216"/>
              <w:rPr>
                <w:rFonts w:eastAsia="Arial,Arial,Arial,Arial,Arial,A"/>
                <w:b/>
                <w:bCs/>
              </w:rPr>
            </w:pPr>
            <w:r w:rsidRPr="005D4222">
              <w:t>Psychosis (</w:t>
            </w:r>
            <w:r w:rsidRPr="005D4222">
              <w:rPr>
                <w:u w:val="single"/>
              </w:rPr>
              <w:t>Psychosis Value Set</w:t>
            </w:r>
            <w:r w:rsidRPr="005D4222">
              <w:t>*).</w:t>
            </w:r>
          </w:p>
          <w:p w14:paraId="6B053059" w14:textId="77777777" w:rsidR="0042622B" w:rsidRPr="005D4222" w:rsidRDefault="0042622B" w:rsidP="0042622B">
            <w:pPr>
              <w:pStyle w:val="Bullet"/>
              <w:numPr>
                <w:ilvl w:val="0"/>
                <w:numId w:val="4"/>
              </w:numPr>
              <w:tabs>
                <w:tab w:val="left" w:pos="360"/>
                <w:tab w:val="left" w:pos="576"/>
              </w:tabs>
              <w:ind w:left="576" w:hanging="216"/>
              <w:rPr>
                <w:rFonts w:eastAsia="Arial,Arial,Arial,Arial,Arial,A"/>
              </w:rPr>
            </w:pPr>
            <w:r w:rsidRPr="005D4222">
              <w:t>Schizophrenia, schizoaffective disorder (</w:t>
            </w:r>
            <w:r w:rsidRPr="005D4222">
              <w:rPr>
                <w:u w:val="single"/>
              </w:rPr>
              <w:t>Schizophrenia Value Set</w:t>
            </w:r>
            <w:r w:rsidRPr="005D4222">
              <w:t>*).</w:t>
            </w:r>
          </w:p>
          <w:p w14:paraId="411CBB72" w14:textId="77777777" w:rsidR="0042622B" w:rsidRPr="005D4222" w:rsidRDefault="0042622B" w:rsidP="0042622B">
            <w:pPr>
              <w:pStyle w:val="Bullet"/>
              <w:numPr>
                <w:ilvl w:val="0"/>
                <w:numId w:val="4"/>
              </w:numPr>
              <w:tabs>
                <w:tab w:val="left" w:pos="360"/>
                <w:tab w:val="left" w:pos="576"/>
              </w:tabs>
              <w:ind w:left="576" w:hanging="216"/>
              <w:rPr>
                <w:rFonts w:eastAsia="Arial,Arial,Arial,Arial,Arial,A"/>
                <w:b/>
                <w:bCs/>
              </w:rPr>
            </w:pPr>
            <w:r w:rsidRPr="005D4222">
              <w:t>Bipolar disorder (</w:t>
            </w:r>
            <w:r w:rsidRPr="005D4222">
              <w:rPr>
                <w:u w:val="single"/>
              </w:rPr>
              <w:t>Bipolar Disorder Value Set</w:t>
            </w:r>
            <w:r w:rsidRPr="005D4222">
              <w:t xml:space="preserve">*; </w:t>
            </w:r>
            <w:r w:rsidRPr="005D4222">
              <w:rPr>
                <w:u w:val="single"/>
              </w:rPr>
              <w:t>Other Bipolar Disorder Value Set</w:t>
            </w:r>
            <w:r w:rsidRPr="005D4222">
              <w:t>*).</w:t>
            </w:r>
          </w:p>
          <w:p w14:paraId="064FDAA9" w14:textId="77777777" w:rsidR="0042622B" w:rsidRPr="005D4222" w:rsidRDefault="0042622B">
            <w:pPr>
              <w:pStyle w:val="ECDSBody"/>
              <w:spacing w:after="0"/>
              <w:rPr>
                <w:rFonts w:eastAsia="Arial,Arial,Arial,Arial,Arial,A"/>
                <w:b/>
                <w:bCs w:val="0"/>
              </w:rPr>
            </w:pPr>
            <w:r w:rsidRPr="005D4222">
              <w:rPr>
                <w:rFonts w:eastAsia="Arial,Arial,Arial,Arial,Arial,A"/>
                <w:b/>
                <w:bCs w:val="0"/>
              </w:rPr>
              <w:t>Coding Guideline</w:t>
            </w:r>
          </w:p>
          <w:p w14:paraId="40843B7E" w14:textId="77777777" w:rsidR="0042622B" w:rsidRPr="005D4222" w:rsidRDefault="0042622B">
            <w:pPr>
              <w:pStyle w:val="ECDSBody"/>
              <w:spacing w:before="0"/>
              <w:rPr>
                <w:rFonts w:eastAsia="Arial,Arial,Arial,Arial,Arial,A"/>
              </w:rPr>
            </w:pPr>
            <w:r w:rsidRPr="005D4222">
              <w:rPr>
                <w:rFonts w:eastAsia="Arial,Arial,Arial,Arial,Arial,A"/>
              </w:rPr>
              <w:t>*Do not include laboratory claims (claims with POS code 81).</w:t>
            </w:r>
          </w:p>
        </w:tc>
      </w:tr>
      <w:tr w:rsidR="0042622B" w:rsidRPr="005D4222" w14:paraId="68E97551" w14:textId="77777777" w:rsidTr="00AD3602">
        <w:tblPrEx>
          <w:tblCellMar>
            <w:top w:w="40" w:type="dxa"/>
            <w:left w:w="15" w:type="dxa"/>
            <w:right w:w="15" w:type="dxa"/>
          </w:tblCellMar>
        </w:tblPrEx>
        <w:trPr>
          <w:trHeight w:val="300"/>
        </w:trPr>
        <w:tc>
          <w:tcPr>
            <w:tcW w:w="2157" w:type="dxa"/>
            <w:shd w:val="clear" w:color="auto" w:fill="BFBFBF" w:themeFill="background1" w:themeFillShade="BF"/>
            <w:noWrap/>
            <w:tcMar>
              <w:top w:w="0" w:type="dxa"/>
              <w:left w:w="86" w:type="dxa"/>
              <w:bottom w:w="43" w:type="dxa"/>
              <w:right w:w="86" w:type="dxa"/>
            </w:tcMar>
          </w:tcPr>
          <w:p w14:paraId="78A35122" w14:textId="77777777" w:rsidR="0042622B" w:rsidRPr="005D4222" w:rsidRDefault="0042622B">
            <w:pPr>
              <w:pStyle w:val="ECDSMarginHead"/>
            </w:pPr>
            <w:r w:rsidRPr="005D4222">
              <w:t>Denominator</w:t>
            </w:r>
          </w:p>
        </w:tc>
        <w:tc>
          <w:tcPr>
            <w:tcW w:w="7557" w:type="dxa"/>
            <w:gridSpan w:val="3"/>
            <w:noWrap/>
            <w:tcMar>
              <w:left w:w="86" w:type="dxa"/>
              <w:bottom w:w="43" w:type="dxa"/>
              <w:right w:w="86" w:type="dxa"/>
            </w:tcMar>
          </w:tcPr>
          <w:p w14:paraId="2C6C870E" w14:textId="30643274" w:rsidR="0042622B" w:rsidRPr="005D4222" w:rsidRDefault="0042622B">
            <w:pPr>
              <w:pStyle w:val="ECDSBody"/>
            </w:pPr>
            <w:r w:rsidRPr="005D4222">
              <w:rPr>
                <w:b/>
                <w:bCs w:val="0"/>
              </w:rPr>
              <w:t xml:space="preserve">Denominator 1: </w:t>
            </w:r>
            <w:r w:rsidRPr="005D4222">
              <w:t>The initial population and a</w:t>
            </w:r>
            <w:r w:rsidRPr="005D4222">
              <w:rPr>
                <w:iCs/>
              </w:rPr>
              <w:t xml:space="preserve">dditional initial population 1 criteria </w:t>
            </w:r>
            <w:r w:rsidRPr="005D4222">
              <w:t>minus denominator exclusions and additional</w:t>
            </w:r>
            <w:r w:rsidRPr="005D4222">
              <w:rPr>
                <w:rFonts w:eastAsia="Arial,Arial,Arial,Arial,Arial,A"/>
              </w:rPr>
              <w:t xml:space="preserve"> denominator 1 exclusions</w:t>
            </w:r>
            <w:r w:rsidRPr="005D4222">
              <w:t>.</w:t>
            </w:r>
          </w:p>
          <w:p w14:paraId="5A85E7BF" w14:textId="0B231AC6" w:rsidR="0042622B" w:rsidRPr="005D4222" w:rsidRDefault="0042622B">
            <w:pPr>
              <w:pStyle w:val="ECDSBody"/>
            </w:pPr>
            <w:r w:rsidRPr="005D4222">
              <w:rPr>
                <w:b/>
                <w:bCs w:val="0"/>
              </w:rPr>
              <w:t xml:space="preserve">Denominator 2: </w:t>
            </w:r>
            <w:r w:rsidRPr="005D4222">
              <w:t>The initial population and a</w:t>
            </w:r>
            <w:r w:rsidRPr="005D4222">
              <w:rPr>
                <w:iCs/>
              </w:rPr>
              <w:t xml:space="preserve">dditional initial population 2 criteria </w:t>
            </w:r>
            <w:r w:rsidRPr="005D4222">
              <w:t>minus denominator exclusions and additional</w:t>
            </w:r>
            <w:r w:rsidRPr="005D4222">
              <w:rPr>
                <w:rFonts w:eastAsia="Arial,Arial,Arial,Arial,Arial,A"/>
              </w:rPr>
              <w:t xml:space="preserve"> denominator 2 exclusions</w:t>
            </w:r>
            <w:r w:rsidRPr="005D4222">
              <w:t>.</w:t>
            </w:r>
          </w:p>
          <w:p w14:paraId="5E18650C" w14:textId="0EF05426" w:rsidR="0042622B" w:rsidRPr="005D4222" w:rsidRDefault="0042622B">
            <w:pPr>
              <w:pStyle w:val="ECDSBody"/>
            </w:pPr>
            <w:r w:rsidRPr="005D4222">
              <w:rPr>
                <w:b/>
                <w:bCs w:val="0"/>
              </w:rPr>
              <w:lastRenderedPageBreak/>
              <w:t xml:space="preserve">Denominator 3: </w:t>
            </w:r>
            <w:r w:rsidRPr="005D4222">
              <w:t>The initial population and a</w:t>
            </w:r>
            <w:r w:rsidRPr="005D4222">
              <w:rPr>
                <w:iCs/>
              </w:rPr>
              <w:t xml:space="preserve">dditional initial population 3 criteria </w:t>
            </w:r>
            <w:r w:rsidRPr="005D4222">
              <w:t>minus denominator exclusions.</w:t>
            </w:r>
          </w:p>
        </w:tc>
      </w:tr>
      <w:tr w:rsidR="0042622B" w:rsidRPr="005D4222" w14:paraId="41AA339C" w14:textId="77777777" w:rsidTr="00AD3602">
        <w:tblPrEx>
          <w:tblCellMar>
            <w:top w:w="40" w:type="dxa"/>
            <w:left w:w="15" w:type="dxa"/>
            <w:right w:w="15" w:type="dxa"/>
          </w:tblCellMar>
        </w:tblPrEx>
        <w:trPr>
          <w:trHeight w:val="1232"/>
        </w:trPr>
        <w:tc>
          <w:tcPr>
            <w:tcW w:w="2157" w:type="dxa"/>
            <w:shd w:val="clear" w:color="auto" w:fill="BFBFBF" w:themeFill="background1" w:themeFillShade="BF"/>
            <w:noWrap/>
            <w:tcMar>
              <w:top w:w="0" w:type="dxa"/>
              <w:left w:w="86" w:type="dxa"/>
              <w:bottom w:w="43" w:type="dxa"/>
              <w:right w:w="86" w:type="dxa"/>
            </w:tcMar>
          </w:tcPr>
          <w:p w14:paraId="5F469D35" w14:textId="77777777" w:rsidR="0042622B" w:rsidRPr="005D4222" w:rsidRDefault="0042622B">
            <w:pPr>
              <w:pStyle w:val="ECDSMarginHead"/>
            </w:pPr>
            <w:r w:rsidRPr="005D4222">
              <w:lastRenderedPageBreak/>
              <w:t xml:space="preserve">Numerator </w:t>
            </w:r>
          </w:p>
        </w:tc>
        <w:tc>
          <w:tcPr>
            <w:tcW w:w="7557" w:type="dxa"/>
            <w:gridSpan w:val="3"/>
            <w:noWrap/>
            <w:tcMar>
              <w:left w:w="86" w:type="dxa"/>
              <w:bottom w:w="43" w:type="dxa"/>
              <w:right w:w="86" w:type="dxa"/>
            </w:tcMar>
          </w:tcPr>
          <w:p w14:paraId="3309F2F7" w14:textId="77777777" w:rsidR="0042622B" w:rsidRPr="005D4222" w:rsidRDefault="0042622B">
            <w:pPr>
              <w:pStyle w:val="ECDSBody"/>
            </w:pPr>
            <w:r w:rsidRPr="005D4222">
              <w:rPr>
                <w:b/>
                <w:bCs w:val="0"/>
              </w:rPr>
              <w:t>Numerator 1</w:t>
            </w:r>
            <w:r w:rsidRPr="005D4222">
              <w:rPr>
                <w:b/>
                <w:bCs w:val="0"/>
                <w:i/>
                <w:iCs/>
              </w:rPr>
              <w:t xml:space="preserve">: </w:t>
            </w:r>
            <w:r w:rsidRPr="005D4222">
              <w:rPr>
                <w:b/>
                <w:bCs w:val="0"/>
              </w:rPr>
              <w:t xml:space="preserve">Drug-Disease Interactions—History of Falls And Antiepileptics, Antipsychotics, Benzodiazepines, Nonbenzodiazepine Hypnotics or Antidepressants (SSRIs, Tricyclic Antidepressants and SNRIs). </w:t>
            </w:r>
            <w:r w:rsidRPr="005D4222">
              <w:rPr>
                <w:b/>
                <w:bCs w:val="0"/>
              </w:rPr>
              <w:br/>
            </w:r>
            <w:r w:rsidRPr="005D4222">
              <w:t>Dispensed an ambulatory prescription for an antiepileptic, SSRI, SNRI, anticholinergic agent, antipsychotic, benzodiazepine, nonbenzodiazepine hypnotic or tricyclic antidepressant (</w:t>
            </w:r>
            <w:r w:rsidRPr="005D4222">
              <w:rPr>
                <w:u w:val="single"/>
              </w:rPr>
              <w:t>Potentially Harmful Drugs for Older Adults With a History of Falls Medications List</w:t>
            </w:r>
            <w:r w:rsidRPr="005D4222">
              <w:t>) on or between the IESD and the last day of the measurement period.</w:t>
            </w:r>
          </w:p>
          <w:p w14:paraId="1FBAB91C" w14:textId="77777777" w:rsidR="0042622B" w:rsidRPr="005D4222" w:rsidRDefault="0042622B">
            <w:pPr>
              <w:pStyle w:val="ECDSBody"/>
            </w:pPr>
            <w:r w:rsidRPr="005D4222">
              <w:rPr>
                <w:b/>
                <w:bCs w:val="0"/>
              </w:rPr>
              <w:t>Numerator 2: Drug-Disease Interactions—Dementia and Antipsychotics, Benzodiazepines, Nonbenzodiazepine Hypnotics, Tricyclic Antidepressants or Anticholinergic Agents.</w:t>
            </w:r>
            <w:r w:rsidRPr="005D4222">
              <w:rPr>
                <w:b/>
                <w:bCs w:val="0"/>
              </w:rPr>
              <w:br/>
            </w:r>
            <w:r w:rsidRPr="005D4222">
              <w:t>Dispensed an ambulatory prescription for an antipsychotic, benzodiazepine, nonbenzodiazepine hypnotic, tricyclic antidepressant or anticholinergic agent (</w:t>
            </w:r>
            <w:r w:rsidRPr="005D4222">
              <w:rPr>
                <w:u w:val="single"/>
              </w:rPr>
              <w:t>Potentially Harmful Drugs for Older Adults With a History of Dementia Medications List</w:t>
            </w:r>
            <w:r w:rsidRPr="005D4222">
              <w:t>) on or between the IESD and the last day of the measurement period.</w:t>
            </w:r>
          </w:p>
          <w:p w14:paraId="595C36AB" w14:textId="77777777" w:rsidR="0042622B" w:rsidRPr="005D4222" w:rsidRDefault="0042622B">
            <w:pPr>
              <w:pStyle w:val="ECDSBody"/>
            </w:pPr>
            <w:r w:rsidRPr="005D4222">
              <w:rPr>
                <w:b/>
                <w:bCs w:val="0"/>
              </w:rPr>
              <w:t xml:space="preserve">Numerator 3: Drug-Disease Interactions—Chronic Kidney Disease and Cox-2 Selective NSAIDS or Nonaspirin NSAIDS. </w:t>
            </w:r>
            <w:r w:rsidRPr="005D4222">
              <w:rPr>
                <w:b/>
                <w:bCs w:val="0"/>
              </w:rPr>
              <w:br/>
            </w:r>
            <w:r w:rsidRPr="005D4222">
              <w:t>Dispensed an ambulatory prescription for a Cox-2 selective NSAID or nonaspirin NSAID (</w:t>
            </w:r>
            <w:r w:rsidRPr="005D4222">
              <w:rPr>
                <w:u w:val="single"/>
              </w:rPr>
              <w:t>Potentially Harmful Drugs for Older Adults With a History of Chronic Kidney Disease Medications List</w:t>
            </w:r>
            <w:r w:rsidRPr="005D4222">
              <w:t>) on or between the IESD and the last day of the measurement period.</w:t>
            </w:r>
          </w:p>
        </w:tc>
      </w:tr>
      <w:tr w:rsidR="0042622B" w:rsidRPr="005D4222" w14:paraId="09F97E3B" w14:textId="77777777" w:rsidTr="00AD3602">
        <w:tblPrEx>
          <w:tblCellMar>
            <w:top w:w="40" w:type="dxa"/>
            <w:left w:w="15" w:type="dxa"/>
            <w:right w:w="15" w:type="dxa"/>
          </w:tblCellMar>
        </w:tblPrEx>
        <w:trPr>
          <w:trHeight w:val="300"/>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noWrap/>
            <w:tcMar>
              <w:top w:w="0" w:type="dxa"/>
              <w:left w:w="86" w:type="dxa"/>
              <w:bottom w:w="43" w:type="dxa"/>
              <w:right w:w="86" w:type="dxa"/>
            </w:tcMar>
          </w:tcPr>
          <w:p w14:paraId="398ABA52" w14:textId="77777777" w:rsidR="0042622B" w:rsidRPr="005D4222" w:rsidRDefault="0042622B">
            <w:pPr>
              <w:pStyle w:val="ECDSMarginHead"/>
              <w:rPr>
                <w:i/>
              </w:rPr>
            </w:pPr>
            <w:r w:rsidRPr="005D4222">
              <w:t>Summary of changes</w:t>
            </w:r>
          </w:p>
        </w:tc>
        <w:tc>
          <w:tcPr>
            <w:tcW w:w="7557" w:type="dxa"/>
            <w:gridSpan w:val="3"/>
            <w:tcBorders>
              <w:top w:val="single" w:sz="4" w:space="0" w:color="auto"/>
              <w:left w:val="single" w:sz="4" w:space="0" w:color="auto"/>
              <w:bottom w:val="single" w:sz="4" w:space="0" w:color="auto"/>
              <w:right w:val="single" w:sz="4" w:space="0" w:color="auto"/>
            </w:tcBorders>
            <w:noWrap/>
            <w:tcMar>
              <w:top w:w="0" w:type="dxa"/>
              <w:left w:w="86" w:type="dxa"/>
              <w:bottom w:w="43" w:type="dxa"/>
              <w:right w:w="86" w:type="dxa"/>
            </w:tcMar>
          </w:tcPr>
          <w:p w14:paraId="1A1A9CAE" w14:textId="77777777" w:rsidR="0042622B" w:rsidRPr="005D4222" w:rsidRDefault="0042622B">
            <w:pPr>
              <w:pStyle w:val="ProcessBullet"/>
              <w:spacing w:before="120"/>
            </w:pPr>
            <w:r w:rsidRPr="005D4222">
              <w:t>No changes to this measure.</w:t>
            </w:r>
          </w:p>
        </w:tc>
      </w:tr>
      <w:tr w:rsidR="0042622B" w:rsidRPr="005D4222" w14:paraId="24264A1D" w14:textId="77777777" w:rsidTr="00AD3602">
        <w:tblPrEx>
          <w:tblCellMar>
            <w:top w:w="40" w:type="dxa"/>
            <w:left w:w="15" w:type="dxa"/>
            <w:right w:w="15" w:type="dxa"/>
          </w:tblCellMar>
        </w:tblPrEx>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noWrap/>
            <w:tcMar>
              <w:top w:w="0" w:type="dxa"/>
              <w:left w:w="86" w:type="dxa"/>
              <w:bottom w:w="43" w:type="dxa"/>
              <w:right w:w="86" w:type="dxa"/>
            </w:tcMar>
          </w:tcPr>
          <w:p w14:paraId="2C9E3844" w14:textId="77777777" w:rsidR="0042622B" w:rsidRPr="005D4222" w:rsidRDefault="0042622B">
            <w:pPr>
              <w:pStyle w:val="ECDSMarginHead"/>
            </w:pPr>
            <w:r w:rsidRPr="005D4222">
              <w:t>Data element tables</w:t>
            </w:r>
          </w:p>
        </w:tc>
        <w:tc>
          <w:tcPr>
            <w:tcW w:w="7557" w:type="dxa"/>
            <w:gridSpan w:val="3"/>
            <w:tcBorders>
              <w:top w:val="single" w:sz="4" w:space="0" w:color="auto"/>
              <w:left w:val="single" w:sz="4" w:space="0" w:color="auto"/>
              <w:bottom w:val="single" w:sz="4" w:space="0" w:color="auto"/>
              <w:right w:val="single" w:sz="4" w:space="0" w:color="auto"/>
            </w:tcBorders>
            <w:noWrap/>
            <w:tcMar>
              <w:top w:w="0" w:type="dxa"/>
              <w:left w:w="86" w:type="dxa"/>
              <w:bottom w:w="43" w:type="dxa"/>
              <w:right w:w="86" w:type="dxa"/>
            </w:tcMar>
          </w:tcPr>
          <w:p w14:paraId="4CE14F36" w14:textId="77777777" w:rsidR="0042622B" w:rsidRPr="005D4222" w:rsidRDefault="0042622B">
            <w:pPr>
              <w:pStyle w:val="ECDSBody"/>
            </w:pPr>
            <w:r w:rsidRPr="005D4222">
              <w:t>Organizations that submit HEDIS data to NCQA must provide the following data elements.</w:t>
            </w:r>
          </w:p>
          <w:p w14:paraId="7AA8A188" w14:textId="77777777" w:rsidR="0042622B" w:rsidRPr="005D4222" w:rsidRDefault="0042622B">
            <w:pPr>
              <w:pStyle w:val="Heading3"/>
              <w:spacing w:before="120"/>
              <w:rPr>
                <w:b w:val="0"/>
                <w:bCs w:val="0"/>
                <w:szCs w:val="21"/>
              </w:rPr>
            </w:pPr>
            <w:r w:rsidRPr="005D4222">
              <w:t xml:space="preserve">Table DDE-3: Data Elements for Potentially Harmful Drug-Disease Interactions in Older Adults </w:t>
            </w:r>
          </w:p>
          <w:tbl>
            <w:tblPr>
              <w:tblW w:w="73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458"/>
              <w:gridCol w:w="2459"/>
              <w:gridCol w:w="2459"/>
            </w:tblGrid>
            <w:tr w:rsidR="0042622B" w:rsidRPr="005D4222" w14:paraId="4B133FB8" w14:textId="77777777">
              <w:tc>
                <w:tcPr>
                  <w:tcW w:w="2458" w:type="dxa"/>
                  <w:tcBorders>
                    <w:top w:val="single" w:sz="4" w:space="0" w:color="000000" w:themeColor="text1"/>
                    <w:left w:val="single" w:sz="4" w:space="0" w:color="auto"/>
                    <w:bottom w:val="single" w:sz="4" w:space="0" w:color="auto"/>
                    <w:right w:val="single" w:sz="4" w:space="0" w:color="FFFFFF" w:themeColor="background1"/>
                  </w:tcBorders>
                  <w:shd w:val="clear" w:color="auto" w:fill="000000" w:themeFill="text1"/>
                  <w:tcMar>
                    <w:left w:w="72" w:type="dxa"/>
                    <w:right w:w="72" w:type="dxa"/>
                  </w:tcMar>
                  <w:hideMark/>
                </w:tcPr>
                <w:p w14:paraId="3249D338" w14:textId="77777777" w:rsidR="0042622B" w:rsidRPr="005D4222" w:rsidRDefault="0042622B">
                  <w:pPr>
                    <w:pStyle w:val="TableHead"/>
                  </w:pPr>
                  <w:r w:rsidRPr="005D4222">
                    <w:t>Metric</w:t>
                  </w:r>
                </w:p>
              </w:tc>
              <w:tc>
                <w:tcPr>
                  <w:tcW w:w="2459"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72" w:type="dxa"/>
                    <w:right w:w="72" w:type="dxa"/>
                  </w:tcMar>
                  <w:hideMark/>
                </w:tcPr>
                <w:p w14:paraId="5538EC13" w14:textId="77777777" w:rsidR="0042622B" w:rsidRPr="005D4222" w:rsidRDefault="0042622B">
                  <w:pPr>
                    <w:pStyle w:val="TableHead"/>
                  </w:pPr>
                  <w:r w:rsidRPr="005D4222">
                    <w:t>Data Element</w:t>
                  </w:r>
                </w:p>
              </w:tc>
              <w:tc>
                <w:tcPr>
                  <w:tcW w:w="2459"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tcMar>
                    <w:left w:w="72" w:type="dxa"/>
                    <w:right w:w="72" w:type="dxa"/>
                  </w:tcMar>
                  <w:hideMark/>
                </w:tcPr>
                <w:p w14:paraId="03C581DA" w14:textId="77777777" w:rsidR="0042622B" w:rsidRPr="005D4222" w:rsidRDefault="0042622B">
                  <w:pPr>
                    <w:pStyle w:val="TableHead"/>
                  </w:pPr>
                  <w:r w:rsidRPr="005D4222">
                    <w:t>Reporting Instructions</w:t>
                  </w:r>
                </w:p>
              </w:tc>
            </w:tr>
            <w:tr w:rsidR="0042622B" w:rsidRPr="005D4222" w14:paraId="7977A80B" w14:textId="77777777">
              <w:tc>
                <w:tcPr>
                  <w:tcW w:w="2458"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3C80402C" w14:textId="77777777" w:rsidR="0042622B" w:rsidRPr="005D4222" w:rsidRDefault="0042622B">
                  <w:pPr>
                    <w:pStyle w:val="TableText"/>
                    <w:rPr>
                      <w:rFonts w:cs="Arial"/>
                      <w:szCs w:val="21"/>
                    </w:rPr>
                  </w:pPr>
                  <w:r w:rsidRPr="005D4222">
                    <w:rPr>
                      <w:rFonts w:cs="Arial"/>
                      <w:szCs w:val="21"/>
                    </w:rPr>
                    <w:t>HistoryOfFalls</w:t>
                  </w:r>
                </w:p>
              </w:tc>
              <w:tc>
                <w:tcPr>
                  <w:tcW w:w="2459" w:type="dxa"/>
                  <w:tcBorders>
                    <w:top w:val="single" w:sz="4" w:space="0" w:color="000000" w:themeColor="text1"/>
                    <w:left w:val="single" w:sz="4" w:space="0" w:color="auto"/>
                    <w:bottom w:val="single" w:sz="4" w:space="0" w:color="auto"/>
                    <w:right w:val="single" w:sz="4" w:space="0" w:color="auto"/>
                  </w:tcBorders>
                  <w:tcMar>
                    <w:left w:w="72" w:type="dxa"/>
                    <w:right w:w="72" w:type="dxa"/>
                  </w:tcMar>
                  <w:hideMark/>
                </w:tcPr>
                <w:p w14:paraId="1F2AB905" w14:textId="77777777" w:rsidR="0042622B" w:rsidRPr="005D4222" w:rsidRDefault="0042622B">
                  <w:pPr>
                    <w:pStyle w:val="TableText"/>
                    <w:rPr>
                      <w:rFonts w:cs="Arial"/>
                      <w:szCs w:val="21"/>
                    </w:rPr>
                  </w:pPr>
                  <w:r w:rsidRPr="005D4222">
                    <w:rPr>
                      <w:rFonts w:cs="Arial"/>
                      <w:szCs w:val="21"/>
                    </w:rPr>
                    <w:t>Benefit</w:t>
                  </w:r>
                </w:p>
              </w:tc>
              <w:tc>
                <w:tcPr>
                  <w:tcW w:w="2459" w:type="dxa"/>
                  <w:tcBorders>
                    <w:top w:val="single" w:sz="4" w:space="0" w:color="000000" w:themeColor="text1"/>
                    <w:left w:val="single" w:sz="4" w:space="0" w:color="auto"/>
                    <w:bottom w:val="single" w:sz="6" w:space="0" w:color="auto"/>
                    <w:right w:val="single" w:sz="4" w:space="0" w:color="auto"/>
                  </w:tcBorders>
                  <w:tcMar>
                    <w:left w:w="72" w:type="dxa"/>
                    <w:right w:w="72" w:type="dxa"/>
                  </w:tcMar>
                  <w:hideMark/>
                </w:tcPr>
                <w:p w14:paraId="4508B0E9" w14:textId="77777777" w:rsidR="0042622B" w:rsidRPr="005D4222" w:rsidRDefault="0042622B">
                  <w:pPr>
                    <w:pStyle w:val="TableText"/>
                    <w:rPr>
                      <w:rFonts w:eastAsia="Wingdings" w:cs="Arial"/>
                      <w:szCs w:val="21"/>
                    </w:rPr>
                  </w:pPr>
                  <w:r w:rsidRPr="005D4222">
                    <w:rPr>
                      <w:rFonts w:eastAsia="Wingdings" w:cs="Arial"/>
                      <w:szCs w:val="21"/>
                    </w:rPr>
                    <w:t>Metadata</w:t>
                  </w:r>
                </w:p>
              </w:tc>
            </w:tr>
            <w:tr w:rsidR="0042622B" w:rsidRPr="005D4222" w14:paraId="15E3C48D" w14:textId="77777777">
              <w:tc>
                <w:tcPr>
                  <w:tcW w:w="2458"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7E76A02F" w14:textId="77777777" w:rsidR="0042622B" w:rsidRPr="005D4222" w:rsidRDefault="0042622B">
                  <w:pPr>
                    <w:pStyle w:val="TableText"/>
                    <w:rPr>
                      <w:rFonts w:cs="Arial"/>
                      <w:szCs w:val="21"/>
                    </w:rPr>
                  </w:pPr>
                  <w:r w:rsidRPr="005D4222">
                    <w:rPr>
                      <w:rFonts w:cs="Arial"/>
                      <w:szCs w:val="21"/>
                    </w:rPr>
                    <w:t>Dementia</w:t>
                  </w:r>
                </w:p>
              </w:tc>
              <w:tc>
                <w:tcPr>
                  <w:tcW w:w="2459"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27EC2463" w14:textId="77777777" w:rsidR="0042622B" w:rsidRPr="005D4222" w:rsidRDefault="0042622B">
                  <w:pPr>
                    <w:pStyle w:val="TableText"/>
                    <w:rPr>
                      <w:rFonts w:cs="Arial"/>
                      <w:szCs w:val="21"/>
                    </w:rPr>
                  </w:pPr>
                  <w:r w:rsidRPr="005D4222">
                    <w:rPr>
                      <w:rFonts w:cs="Arial"/>
                      <w:szCs w:val="21"/>
                    </w:rPr>
                    <w:t>InitialPopulation</w:t>
                  </w:r>
                </w:p>
              </w:tc>
              <w:tc>
                <w:tcPr>
                  <w:tcW w:w="2459" w:type="dxa"/>
                  <w:tcBorders>
                    <w:top w:val="single" w:sz="6" w:space="0" w:color="auto"/>
                    <w:left w:val="single" w:sz="4" w:space="0" w:color="auto"/>
                    <w:bottom w:val="single" w:sz="6" w:space="0" w:color="auto"/>
                    <w:right w:val="single" w:sz="4" w:space="0" w:color="auto"/>
                  </w:tcBorders>
                  <w:shd w:val="clear" w:color="auto" w:fill="FFFFFF" w:themeFill="background1"/>
                  <w:tcMar>
                    <w:left w:w="72" w:type="dxa"/>
                    <w:right w:w="72" w:type="dxa"/>
                  </w:tcMar>
                  <w:hideMark/>
                </w:tcPr>
                <w:p w14:paraId="293CA070" w14:textId="77777777" w:rsidR="0042622B" w:rsidRPr="005D4222" w:rsidRDefault="0042622B">
                  <w:pPr>
                    <w:pStyle w:val="TableText"/>
                    <w:rPr>
                      <w:rFonts w:eastAsia="Wingdings" w:cs="Arial"/>
                      <w:szCs w:val="21"/>
                    </w:rPr>
                  </w:pPr>
                  <w:r w:rsidRPr="005D4222">
                    <w:rPr>
                      <w:rFonts w:eastAsia="Wingdings" w:cs="Arial"/>
                      <w:szCs w:val="21"/>
                    </w:rPr>
                    <w:t>For each Metric</w:t>
                  </w:r>
                </w:p>
              </w:tc>
            </w:tr>
            <w:tr w:rsidR="0042622B" w:rsidRPr="005D4222" w14:paraId="11E126E1" w14:textId="77777777">
              <w:tc>
                <w:tcPr>
                  <w:tcW w:w="2458"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5DF82339" w14:textId="77777777" w:rsidR="0042622B" w:rsidRPr="005D4222" w:rsidRDefault="0042622B">
                  <w:pPr>
                    <w:pStyle w:val="TableText"/>
                    <w:rPr>
                      <w:rFonts w:cs="Arial"/>
                      <w:szCs w:val="21"/>
                    </w:rPr>
                  </w:pPr>
                  <w:r w:rsidRPr="005D4222">
                    <w:rPr>
                      <w:rFonts w:cs="Arial"/>
                      <w:szCs w:val="21"/>
                    </w:rPr>
                    <w:t>ChronicKidneyDisease</w:t>
                  </w:r>
                </w:p>
              </w:tc>
              <w:tc>
                <w:tcPr>
                  <w:tcW w:w="2459"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136C1EEC" w14:textId="77777777" w:rsidR="0042622B" w:rsidRPr="005D4222" w:rsidRDefault="0042622B">
                  <w:pPr>
                    <w:pStyle w:val="TableText"/>
                    <w:rPr>
                      <w:rFonts w:cs="Arial"/>
                    </w:rPr>
                  </w:pPr>
                  <w:r w:rsidRPr="005D4222">
                    <w:rPr>
                      <w:rFonts w:cs="Arial"/>
                    </w:rPr>
                    <w:t>Exclusions</w:t>
                  </w:r>
                </w:p>
              </w:tc>
              <w:tc>
                <w:tcPr>
                  <w:tcW w:w="2459" w:type="dxa"/>
                  <w:tcBorders>
                    <w:top w:val="single" w:sz="6" w:space="0" w:color="auto"/>
                    <w:left w:val="single" w:sz="4" w:space="0" w:color="auto"/>
                    <w:bottom w:val="single" w:sz="6" w:space="0" w:color="auto"/>
                    <w:right w:val="single" w:sz="4" w:space="0" w:color="auto"/>
                  </w:tcBorders>
                  <w:shd w:val="clear" w:color="auto" w:fill="FFFFFF" w:themeFill="background1"/>
                  <w:tcMar>
                    <w:left w:w="72" w:type="dxa"/>
                    <w:right w:w="72" w:type="dxa"/>
                  </w:tcMar>
                  <w:hideMark/>
                </w:tcPr>
                <w:p w14:paraId="35EAF5B6" w14:textId="77777777" w:rsidR="0042622B" w:rsidRPr="005D4222" w:rsidRDefault="0042622B">
                  <w:pPr>
                    <w:pStyle w:val="TableText"/>
                    <w:rPr>
                      <w:rFonts w:eastAsia="Wingdings" w:cs="Arial"/>
                      <w:szCs w:val="21"/>
                    </w:rPr>
                  </w:pPr>
                  <w:r w:rsidRPr="005D4222">
                    <w:rPr>
                      <w:rFonts w:eastAsia="Wingdings" w:cs="Arial"/>
                      <w:szCs w:val="21"/>
                    </w:rPr>
                    <w:t>For each Metric</w:t>
                  </w:r>
                </w:p>
              </w:tc>
            </w:tr>
            <w:tr w:rsidR="0042622B" w:rsidRPr="005D4222" w14:paraId="6A253FF1" w14:textId="77777777">
              <w:tc>
                <w:tcPr>
                  <w:tcW w:w="2458" w:type="dxa"/>
                  <w:tcBorders>
                    <w:top w:val="single" w:sz="4" w:space="0" w:color="auto"/>
                    <w:left w:val="nil"/>
                    <w:bottom w:val="none" w:sz="6" w:space="0" w:color="000000" w:themeColor="text1"/>
                    <w:right w:val="single" w:sz="4" w:space="0" w:color="auto"/>
                  </w:tcBorders>
                  <w:shd w:val="clear" w:color="auto" w:fill="FFFFFF" w:themeFill="background1"/>
                  <w:tcMar>
                    <w:left w:w="72" w:type="dxa"/>
                    <w:right w:w="72" w:type="dxa"/>
                  </w:tcMar>
                </w:tcPr>
                <w:p w14:paraId="059D3E77" w14:textId="77777777" w:rsidR="0042622B" w:rsidRPr="005D4222" w:rsidRDefault="0042622B">
                  <w:pPr>
                    <w:pStyle w:val="TableText"/>
                    <w:rPr>
                      <w:rFonts w:cs="Arial"/>
                      <w:szCs w:val="21"/>
                    </w:rPr>
                  </w:pPr>
                </w:p>
              </w:tc>
              <w:tc>
                <w:tcPr>
                  <w:tcW w:w="2459"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7C71FB99" w14:textId="77777777" w:rsidR="0042622B" w:rsidRPr="005D4222" w:rsidRDefault="0042622B">
                  <w:pPr>
                    <w:pStyle w:val="TableText"/>
                    <w:rPr>
                      <w:rFonts w:cs="Arial"/>
                    </w:rPr>
                  </w:pPr>
                  <w:r w:rsidRPr="005D4222">
                    <w:rPr>
                      <w:rFonts w:cs="Arial"/>
                    </w:rPr>
                    <w:t>Denominator</w:t>
                  </w:r>
                </w:p>
              </w:tc>
              <w:tc>
                <w:tcPr>
                  <w:tcW w:w="2459" w:type="dxa"/>
                  <w:tcBorders>
                    <w:top w:val="single" w:sz="6" w:space="0" w:color="auto"/>
                    <w:left w:val="single" w:sz="4" w:space="0" w:color="auto"/>
                    <w:bottom w:val="single" w:sz="6" w:space="0" w:color="auto"/>
                    <w:right w:val="single" w:sz="4" w:space="0" w:color="auto"/>
                  </w:tcBorders>
                  <w:shd w:val="clear" w:color="auto" w:fill="FFFFFF" w:themeFill="background1"/>
                  <w:tcMar>
                    <w:left w:w="72" w:type="dxa"/>
                    <w:right w:w="72" w:type="dxa"/>
                  </w:tcMar>
                </w:tcPr>
                <w:p w14:paraId="3BCE0868" w14:textId="77777777" w:rsidR="0042622B" w:rsidRPr="005D4222" w:rsidRDefault="0042622B">
                  <w:pPr>
                    <w:pStyle w:val="TableText"/>
                    <w:rPr>
                      <w:rFonts w:eastAsia="Wingdings" w:cs="Arial"/>
                    </w:rPr>
                  </w:pPr>
                  <w:r w:rsidRPr="005D4222">
                    <w:rPr>
                      <w:rFonts w:eastAsia="Wingdings" w:cs="Arial"/>
                    </w:rPr>
                    <w:t>For each Metric</w:t>
                  </w:r>
                </w:p>
              </w:tc>
            </w:tr>
            <w:tr w:rsidR="0042622B" w:rsidRPr="005D4222" w14:paraId="4BE7F7E7" w14:textId="77777777">
              <w:trPr>
                <w:trHeight w:val="300"/>
              </w:trPr>
              <w:tc>
                <w:tcPr>
                  <w:tcW w:w="2458" w:type="dxa"/>
                  <w:tcBorders>
                    <w:top w:val="none" w:sz="4" w:space="0" w:color="000000" w:themeColor="text1"/>
                    <w:left w:val="none" w:sz="6" w:space="0" w:color="000000" w:themeColor="text1"/>
                    <w:bottom w:val="none" w:sz="6" w:space="0" w:color="000000" w:themeColor="text1"/>
                    <w:right w:val="single" w:sz="4" w:space="0" w:color="auto"/>
                  </w:tcBorders>
                  <w:shd w:val="clear" w:color="auto" w:fill="FFFFFF" w:themeFill="background1"/>
                  <w:tcMar>
                    <w:left w:w="72" w:type="dxa"/>
                    <w:right w:w="72" w:type="dxa"/>
                  </w:tcMar>
                </w:tcPr>
                <w:p w14:paraId="3212E94D" w14:textId="77777777" w:rsidR="0042622B" w:rsidRPr="005D4222" w:rsidRDefault="0042622B">
                  <w:pPr>
                    <w:pStyle w:val="TableText"/>
                    <w:rPr>
                      <w:rFonts w:cs="Arial"/>
                    </w:rPr>
                  </w:pPr>
                </w:p>
              </w:tc>
              <w:tc>
                <w:tcPr>
                  <w:tcW w:w="2459"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1A8D0644" w14:textId="77777777" w:rsidR="0042622B" w:rsidRPr="005D4222" w:rsidRDefault="0042622B">
                  <w:pPr>
                    <w:pStyle w:val="TableText"/>
                    <w:rPr>
                      <w:rFonts w:cs="Arial"/>
                    </w:rPr>
                  </w:pPr>
                  <w:r w:rsidRPr="005D4222">
                    <w:rPr>
                      <w:rFonts w:cs="Arial"/>
                    </w:rPr>
                    <w:t>NumeratorByAdmin</w:t>
                  </w:r>
                </w:p>
              </w:tc>
              <w:tc>
                <w:tcPr>
                  <w:tcW w:w="2459" w:type="dxa"/>
                  <w:tcBorders>
                    <w:top w:val="single" w:sz="6" w:space="0" w:color="auto"/>
                    <w:left w:val="single" w:sz="4" w:space="0" w:color="auto"/>
                    <w:bottom w:val="single" w:sz="6" w:space="0" w:color="auto"/>
                    <w:right w:val="single" w:sz="4" w:space="0" w:color="auto"/>
                  </w:tcBorders>
                  <w:shd w:val="clear" w:color="auto" w:fill="FFFFFF" w:themeFill="background1"/>
                  <w:tcMar>
                    <w:left w:w="72" w:type="dxa"/>
                    <w:right w:w="72" w:type="dxa"/>
                  </w:tcMar>
                </w:tcPr>
                <w:p w14:paraId="2F3629A2" w14:textId="77777777" w:rsidR="0042622B" w:rsidRPr="005D4222" w:rsidRDefault="0042622B">
                  <w:pPr>
                    <w:pStyle w:val="TableText"/>
                    <w:rPr>
                      <w:rFonts w:eastAsia="Wingdings" w:cs="Arial"/>
                    </w:rPr>
                  </w:pPr>
                  <w:r w:rsidRPr="005D4222">
                    <w:rPr>
                      <w:rFonts w:eastAsia="Wingdings" w:cs="Arial"/>
                    </w:rPr>
                    <w:t>For each Metric</w:t>
                  </w:r>
                </w:p>
              </w:tc>
            </w:tr>
            <w:tr w:rsidR="0042622B" w:rsidRPr="005D4222" w14:paraId="56105F4E" w14:textId="77777777">
              <w:tc>
                <w:tcPr>
                  <w:tcW w:w="2458" w:type="dxa"/>
                  <w:tcBorders>
                    <w:top w:val="none" w:sz="6" w:space="0" w:color="000000" w:themeColor="text1"/>
                    <w:left w:val="nil"/>
                    <w:bottom w:val="nil"/>
                    <w:right w:val="single" w:sz="4" w:space="0" w:color="auto"/>
                  </w:tcBorders>
                  <w:shd w:val="clear" w:color="auto" w:fill="FFFFFF" w:themeFill="background1"/>
                  <w:tcMar>
                    <w:left w:w="72" w:type="dxa"/>
                    <w:right w:w="72" w:type="dxa"/>
                  </w:tcMar>
                </w:tcPr>
                <w:p w14:paraId="1D1E40C5" w14:textId="77777777" w:rsidR="0042622B" w:rsidRPr="005D4222" w:rsidRDefault="0042622B">
                  <w:pPr>
                    <w:pStyle w:val="TableText"/>
                    <w:rPr>
                      <w:rFonts w:cs="Arial"/>
                      <w:szCs w:val="21"/>
                    </w:rPr>
                  </w:pPr>
                </w:p>
              </w:tc>
              <w:tc>
                <w:tcPr>
                  <w:tcW w:w="24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2CA795F7" w14:textId="77777777" w:rsidR="0042622B" w:rsidRPr="005D4222" w:rsidRDefault="0042622B">
                  <w:pPr>
                    <w:pStyle w:val="TableText"/>
                    <w:rPr>
                      <w:rFonts w:cs="Arial"/>
                      <w:szCs w:val="21"/>
                    </w:rPr>
                  </w:pPr>
                  <w:r w:rsidRPr="005D4222">
                    <w:rPr>
                      <w:rFonts w:cs="Arial"/>
                      <w:szCs w:val="21"/>
                    </w:rPr>
                    <w:t>Rate</w:t>
                  </w:r>
                </w:p>
              </w:tc>
              <w:tc>
                <w:tcPr>
                  <w:tcW w:w="2459" w:type="dxa"/>
                  <w:tcBorders>
                    <w:top w:val="single" w:sz="6" w:space="0" w:color="auto"/>
                    <w:left w:val="single" w:sz="4" w:space="0" w:color="auto"/>
                    <w:bottom w:val="single" w:sz="6" w:space="0" w:color="auto"/>
                    <w:right w:val="single" w:sz="4" w:space="0" w:color="auto"/>
                  </w:tcBorders>
                  <w:shd w:val="clear" w:color="auto" w:fill="D9D9D9" w:themeFill="background1" w:themeFillShade="D9"/>
                  <w:tcMar>
                    <w:left w:w="72" w:type="dxa"/>
                    <w:right w:w="72" w:type="dxa"/>
                  </w:tcMar>
                  <w:hideMark/>
                </w:tcPr>
                <w:p w14:paraId="3430FAC0" w14:textId="77777777" w:rsidR="0042622B" w:rsidRPr="005D4222" w:rsidRDefault="0042622B">
                  <w:pPr>
                    <w:pStyle w:val="TableText"/>
                    <w:rPr>
                      <w:rFonts w:eastAsia="Wingdings" w:cs="Arial"/>
                      <w:szCs w:val="21"/>
                    </w:rPr>
                  </w:pPr>
                  <w:r w:rsidRPr="005D4222">
                    <w:rPr>
                      <w:rFonts w:eastAsia="Wingdings" w:cs="Arial"/>
                      <w:szCs w:val="21"/>
                    </w:rPr>
                    <w:t>(Percent)</w:t>
                  </w:r>
                </w:p>
              </w:tc>
            </w:tr>
          </w:tbl>
          <w:p w14:paraId="4D251F15" w14:textId="77777777" w:rsidR="0042622B" w:rsidRPr="005D4222" w:rsidRDefault="0042622B">
            <w:pPr>
              <w:pStyle w:val="ProcessDash"/>
              <w:numPr>
                <w:ilvl w:val="0"/>
                <w:numId w:val="0"/>
              </w:numPr>
              <w:ind w:left="576" w:hanging="360"/>
              <w:jc w:val="center"/>
              <w:rPr>
                <w:rFonts w:eastAsia="Arial,Arial,Arial,Arial,Arial,A"/>
                <w:color w:val="000000" w:themeColor="text1"/>
                <w:highlight w:val="yellow"/>
              </w:rPr>
            </w:pPr>
          </w:p>
        </w:tc>
      </w:tr>
      <w:tr w:rsidR="00ED137D" w:rsidRPr="005D4222" w14:paraId="6803731E" w14:textId="77777777" w:rsidTr="00B14D3A">
        <w:tblPrEx>
          <w:tblCellMar>
            <w:top w:w="40" w:type="dxa"/>
            <w:left w:w="15" w:type="dxa"/>
            <w:right w:w="15" w:type="dxa"/>
          </w:tblCellMar>
        </w:tblPrEx>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noWrap/>
            <w:tcMar>
              <w:top w:w="0" w:type="dxa"/>
              <w:left w:w="86" w:type="dxa"/>
              <w:bottom w:w="43" w:type="dxa"/>
              <w:right w:w="86" w:type="dxa"/>
            </w:tcMar>
          </w:tcPr>
          <w:p w14:paraId="6BF5FA12" w14:textId="77777777" w:rsidR="00ED137D" w:rsidRPr="005D4222" w:rsidRDefault="00ED137D">
            <w:pPr>
              <w:pStyle w:val="ECDSMarginHead"/>
            </w:pPr>
            <w:r w:rsidRPr="005D4222">
              <w:t>Rules for Allowable Adjustments</w:t>
            </w:r>
          </w:p>
        </w:tc>
        <w:tc>
          <w:tcPr>
            <w:tcW w:w="7557" w:type="dxa"/>
            <w:gridSpan w:val="3"/>
            <w:tcBorders>
              <w:top w:val="single" w:sz="4" w:space="0" w:color="auto"/>
              <w:left w:val="single" w:sz="4" w:space="0" w:color="auto"/>
              <w:bottom w:val="single" w:sz="4" w:space="0" w:color="auto"/>
              <w:right w:val="single" w:sz="4" w:space="0" w:color="auto"/>
            </w:tcBorders>
            <w:noWrap/>
            <w:tcMar>
              <w:top w:w="0" w:type="dxa"/>
              <w:left w:w="86" w:type="dxa"/>
              <w:bottom w:w="43" w:type="dxa"/>
              <w:right w:w="86" w:type="dxa"/>
            </w:tcMar>
          </w:tcPr>
          <w:p w14:paraId="568785F0" w14:textId="77777777" w:rsidR="00ED137D" w:rsidRPr="005D4222" w:rsidRDefault="00ED137D">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282A3CB4" w14:textId="77777777" w:rsidR="00ED137D" w:rsidRPr="005D4222" w:rsidRDefault="00ED137D" w:rsidP="00B14D3A">
            <w:pPr>
              <w:pStyle w:val="ECDSBody"/>
              <w:spacing w:before="180"/>
              <w:rPr>
                <w:b/>
              </w:rPr>
            </w:pPr>
            <w:r w:rsidRPr="005D4222">
              <w:rPr>
                <w:b/>
              </w:rPr>
              <w:lastRenderedPageBreak/>
              <w:t>Adjusted HEDIS measures may not be used for HEDIS health plan reporting.</w:t>
            </w:r>
          </w:p>
          <w:p w14:paraId="77678A2C" w14:textId="77777777" w:rsidR="00ED137D" w:rsidRPr="005D4222" w:rsidRDefault="00ED137D">
            <w:pPr>
              <w:pStyle w:val="Adjustments"/>
            </w:pPr>
            <w:r w:rsidRPr="005D4222">
              <w:t>Adjustments allowed</w:t>
            </w:r>
          </w:p>
          <w:p w14:paraId="5A2CB072" w14:textId="6C3C83A2" w:rsidR="00ED137D" w:rsidRPr="005D4222" w:rsidRDefault="00ED137D">
            <w:pPr>
              <w:pStyle w:val="ProcessBullet"/>
              <w:rPr>
                <w:b/>
              </w:rPr>
            </w:pPr>
            <w:r w:rsidRPr="005D4222">
              <w:rPr>
                <w:i/>
              </w:rPr>
              <w:t>Product lines</w:t>
            </w:r>
            <w:r w:rsidRPr="005D4222">
              <w:t>. Organizations are not required to use product line criteria; product lines may be combined</w:t>
            </w:r>
            <w:r w:rsidR="00E8671F" w:rsidRPr="005D4222">
              <w:t>,</w:t>
            </w:r>
            <w:r w:rsidRPr="005D4222">
              <w:t xml:space="preserve"> and all (or no) product line criteria may be used.</w:t>
            </w:r>
          </w:p>
          <w:p w14:paraId="7F79E5FE" w14:textId="63A3DCD0" w:rsidR="00ED137D" w:rsidRPr="005D4222" w:rsidRDefault="00ED137D">
            <w:pPr>
              <w:pStyle w:val="ProcessBullet"/>
              <w:rPr>
                <w:bCs/>
              </w:rPr>
            </w:pPr>
            <w:r w:rsidRPr="005D4222">
              <w:rPr>
                <w:i/>
              </w:rPr>
              <w:t>Attribution.</w:t>
            </w:r>
            <w:r w:rsidRPr="005D4222">
              <w:rPr>
                <w:bCs/>
                <w:i/>
                <w:iCs/>
              </w:rPr>
              <w:t xml:space="preserve"> </w:t>
            </w:r>
            <w:r w:rsidRPr="005D4222">
              <w:rPr>
                <w:bCs/>
              </w:rPr>
              <w:t>Organizations are not required to use enrollment criteria.</w:t>
            </w:r>
          </w:p>
          <w:p w14:paraId="027946A6" w14:textId="205B069C" w:rsidR="00ED137D" w:rsidRPr="005D4222" w:rsidRDefault="00ED137D">
            <w:pPr>
              <w:pStyle w:val="ProcessBullet"/>
              <w:rPr>
                <w:bCs/>
                <w:i/>
                <w:iCs/>
              </w:rPr>
            </w:pPr>
            <w:r w:rsidRPr="005D4222">
              <w:rPr>
                <w:i/>
              </w:rPr>
              <w:t>Benefits.</w:t>
            </w:r>
            <w:r w:rsidRPr="005D4222">
              <w:rPr>
                <w:bCs/>
                <w:i/>
                <w:iCs/>
              </w:rPr>
              <w:t xml:space="preserve"> </w:t>
            </w:r>
            <w:r w:rsidRPr="005D4222">
              <w:rPr>
                <w:bCs/>
              </w:rPr>
              <w:t>Organizations are not required to use a benefit.</w:t>
            </w:r>
          </w:p>
          <w:p w14:paraId="01980E13" w14:textId="77777777" w:rsidR="00ED137D" w:rsidRPr="005D4222" w:rsidRDefault="00ED137D">
            <w:pPr>
              <w:pStyle w:val="ProcessBullet"/>
              <w:rPr>
                <w:bCs/>
                <w:i/>
                <w:iCs/>
              </w:rPr>
            </w:pPr>
            <w:r w:rsidRPr="005D4222">
              <w:rPr>
                <w:i/>
              </w:rPr>
              <w:t xml:space="preserve">Other. </w:t>
            </w:r>
            <w:r w:rsidRPr="005D4222">
              <w:rPr>
                <w:bCs/>
              </w:rPr>
              <w:t>Organizations may use additional initial population criteria to focus on an area of interest defined by gender, race, ethnicity, socioeconomic or sociodemographic characteristics, geographic region or another characteristic.</w:t>
            </w:r>
          </w:p>
          <w:p w14:paraId="4160921F" w14:textId="0EAA60FB" w:rsidR="00ED137D" w:rsidRPr="005D4222" w:rsidRDefault="00ED137D">
            <w:pPr>
              <w:pStyle w:val="ProcessBullet"/>
              <w:spacing w:after="80"/>
              <w:rPr>
                <w:bCs/>
                <w:i/>
                <w:iCs/>
              </w:rPr>
            </w:pPr>
            <w:r w:rsidRPr="005D4222">
              <w:rPr>
                <w:rStyle w:val="normaltextrun"/>
                <w:rFonts w:cs="Arial"/>
                <w:i/>
                <w:color w:val="000000"/>
                <w:shd w:val="clear" w:color="auto" w:fill="FFFFFF"/>
              </w:rPr>
              <w:t>D</w:t>
            </w:r>
            <w:r w:rsidRPr="005D4222">
              <w:rPr>
                <w:rStyle w:val="normaltextrun"/>
                <w:rFonts w:cs="Arial"/>
                <w:i/>
                <w:iCs/>
                <w:color w:val="000000"/>
                <w:shd w:val="clear" w:color="auto" w:fill="FFFFFF"/>
              </w:rPr>
              <w:t>enominator 1</w:t>
            </w:r>
            <w:r w:rsidRPr="005D4222">
              <w:rPr>
                <w:rStyle w:val="normaltextrun"/>
                <w:rFonts w:cs="Arial"/>
                <w:i/>
                <w:iCs/>
                <w:color w:val="000000" w:themeColor="text1"/>
              </w:rPr>
              <w:t>–</w:t>
            </w:r>
            <w:r w:rsidRPr="005D4222">
              <w:rPr>
                <w:rStyle w:val="normaltextrun"/>
                <w:rFonts w:cs="Arial"/>
                <w:i/>
                <w:iCs/>
                <w:color w:val="000000"/>
                <w:shd w:val="clear" w:color="auto" w:fill="FFFFFF"/>
              </w:rPr>
              <w:t>3 e</w:t>
            </w:r>
            <w:r w:rsidRPr="005D4222">
              <w:rPr>
                <w:rStyle w:val="normaltextrun"/>
                <w:rFonts w:cs="Arial"/>
                <w:i/>
                <w:color w:val="000000"/>
                <w:shd w:val="clear" w:color="auto" w:fill="FFFFFF"/>
              </w:rPr>
              <w:t>xclusions</w:t>
            </w:r>
            <w:r w:rsidRPr="005D4222">
              <w:rPr>
                <w:rStyle w:val="normaltextrun"/>
                <w:rFonts w:cs="Arial"/>
                <w:i/>
                <w:iCs/>
                <w:color w:val="000000"/>
                <w:shd w:val="clear" w:color="auto" w:fill="FFFFFF"/>
              </w:rPr>
              <w:t>.</w:t>
            </w:r>
            <w:r w:rsidRPr="005D4222">
              <w:rPr>
                <w:rStyle w:val="normaltextrun"/>
                <w:rFonts w:cs="Arial"/>
                <w:color w:val="000000"/>
                <w:shd w:val="clear" w:color="auto" w:fill="FFFFFF"/>
              </w:rPr>
              <w:t xml:space="preserve"> </w:t>
            </w:r>
            <w:r w:rsidR="00A6494C" w:rsidRPr="005D4222">
              <w:rPr>
                <w:rStyle w:val="normaltextrun"/>
                <w:rFonts w:cs="Arial"/>
                <w:color w:val="000000"/>
                <w:shd w:val="clear" w:color="auto" w:fill="FFFFFF"/>
              </w:rPr>
              <w:t>The h</w:t>
            </w:r>
            <w:r w:rsidRPr="005D4222">
              <w:rPr>
                <w:rStyle w:val="normaltextrun"/>
                <w:rFonts w:cs="Arial"/>
                <w:color w:val="000000"/>
                <w:shd w:val="clear" w:color="auto" w:fill="FFFFFF"/>
              </w:rPr>
              <w:t>ospice, deceased persons and palliative care exclusions are not required.</w:t>
            </w:r>
          </w:p>
          <w:p w14:paraId="30D287F9" w14:textId="77777777" w:rsidR="00ED137D" w:rsidRPr="005D4222" w:rsidRDefault="00ED137D">
            <w:pPr>
              <w:pStyle w:val="ProcessBullet"/>
            </w:pPr>
            <w:r w:rsidRPr="005D4222">
              <w:rPr>
                <w:rFonts w:cs="Arial"/>
                <w:i/>
                <w:color w:val="000000" w:themeColor="text1"/>
              </w:rPr>
              <w:t>Telehealth</w:t>
            </w:r>
            <w:r w:rsidRPr="005D4222">
              <w:rPr>
                <w:rFonts w:cs="Arial"/>
                <w:i/>
                <w:iCs/>
                <w:color w:val="000000" w:themeColor="text1"/>
              </w:rPr>
              <w:t>.</w:t>
            </w:r>
            <w:r w:rsidRPr="005D4222">
              <w:rPr>
                <w:rFonts w:cs="Arial"/>
                <w:color w:val="000000" w:themeColor="text1"/>
              </w:rPr>
              <w:t xml:space="preserve"> Services/events that allow the use of synchronous telehealth visits, telephone visits and asynchronous telehealth (e-visits, virtual check-ins) may be stratified to identify services performed via telehealth. </w:t>
            </w:r>
            <w:r w:rsidRPr="005D4222">
              <w:t>This adjustment is not allowed for events, numerators and exclusions that do not allow the use of telehealth.</w:t>
            </w:r>
          </w:p>
          <w:p w14:paraId="29ADC532" w14:textId="77777777" w:rsidR="00ED137D" w:rsidRPr="005D4222" w:rsidRDefault="00ED137D">
            <w:pPr>
              <w:pStyle w:val="ProcessBullet"/>
              <w:spacing w:after="80"/>
              <w:rPr>
                <w:i/>
              </w:rPr>
            </w:pPr>
            <w:r w:rsidRPr="005D4222">
              <w:rPr>
                <w:rFonts w:cs="Arial"/>
                <w:i/>
                <w:color w:val="000000" w:themeColor="text1"/>
              </w:rPr>
              <w:t xml:space="preserve">Supplemental </w:t>
            </w:r>
            <w:r w:rsidRPr="005D4222">
              <w:rPr>
                <w:rFonts w:cs="Arial"/>
                <w:i/>
                <w:iCs/>
                <w:color w:val="000000" w:themeColor="text1"/>
              </w:rPr>
              <w:t>data.</w:t>
            </w:r>
            <w:r w:rsidRPr="005D4222">
              <w:rPr>
                <w:rFonts w:cs="Arial"/>
                <w:color w:val="000000" w:themeColor="text1"/>
              </w:rPr>
              <w:t xml:space="preserve"> Supplemental data may be used to identify initial population, denominator, exclusion and numerator events.</w:t>
            </w:r>
          </w:p>
          <w:p w14:paraId="0A72E6FC" w14:textId="77777777" w:rsidR="00ED137D" w:rsidRPr="005D4222" w:rsidRDefault="00ED137D" w:rsidP="00ED137D">
            <w:pPr>
              <w:pStyle w:val="Adjustments"/>
            </w:pPr>
            <w:r w:rsidRPr="005D4222">
              <w:t>Adjustments allowed with limits</w:t>
            </w:r>
          </w:p>
          <w:p w14:paraId="75140086" w14:textId="77777777" w:rsidR="00ED137D" w:rsidRPr="005D4222" w:rsidRDefault="00ED137D">
            <w:pPr>
              <w:pStyle w:val="ProcessBullet"/>
            </w:pPr>
            <w:r w:rsidRPr="005D4222">
              <w:rPr>
                <w:i/>
              </w:rPr>
              <w:t>Ages</w:t>
            </w:r>
            <w:r w:rsidRPr="005D4222">
              <w:t>. The age determination dates may be changed (e.g., select, “age as of June 30”). Changing the denominator age range is allowed if the limits are within the specified age range (65 years and older). The denominator age may not be expanded.</w:t>
            </w:r>
          </w:p>
          <w:p w14:paraId="1B65109D" w14:textId="77777777" w:rsidR="00ED137D" w:rsidRPr="005D4222" w:rsidRDefault="00ED137D">
            <w:pPr>
              <w:pStyle w:val="ProcessBullet"/>
            </w:pPr>
            <w:r w:rsidRPr="005D4222">
              <w:rPr>
                <w:i/>
              </w:rPr>
              <w:t>Initial population</w:t>
            </w:r>
            <w:r w:rsidRPr="005D4222">
              <w:rPr>
                <w:i/>
                <w:iCs/>
              </w:rPr>
              <w:t xml:space="preserve"> 1: </w:t>
            </w:r>
            <w:r w:rsidRPr="005D4222">
              <w:rPr>
                <w:iCs/>
              </w:rPr>
              <w:t xml:space="preserve">History of falls. </w:t>
            </w:r>
            <w:r w:rsidRPr="005D4222">
              <w:t>Organizations may use multiple episodes during a measurement period (vs. using only the Index Episode).</w:t>
            </w:r>
          </w:p>
          <w:p w14:paraId="0F3B1B4C" w14:textId="77777777" w:rsidR="00ED137D" w:rsidRPr="005D4222" w:rsidRDefault="00ED137D">
            <w:pPr>
              <w:pStyle w:val="ProcessBullet"/>
            </w:pPr>
            <w:r w:rsidRPr="005D4222">
              <w:rPr>
                <w:i/>
              </w:rPr>
              <w:t>Numerators 1</w:t>
            </w:r>
            <w:r w:rsidRPr="005D4222">
              <w:rPr>
                <w:i/>
                <w:iCs/>
              </w:rPr>
              <w:t>–</w:t>
            </w:r>
            <w:r w:rsidRPr="005D4222">
              <w:rPr>
                <w:i/>
              </w:rPr>
              <w:t>3:</w:t>
            </w:r>
            <w:r w:rsidRPr="005D4222">
              <w:t xml:space="preserve"> Organizations may include denied claims to calculate the numerators.</w:t>
            </w:r>
            <w:r w:rsidRPr="005D4222">
              <w:rPr>
                <w:rFonts w:eastAsia="Arial"/>
              </w:rPr>
              <w:t xml:space="preserve"> Medication lists and logic may not be changed.</w:t>
            </w:r>
          </w:p>
          <w:p w14:paraId="6992F84A" w14:textId="77777777" w:rsidR="00ED137D" w:rsidRPr="005D4222" w:rsidRDefault="00ED137D">
            <w:pPr>
              <w:pStyle w:val="Adjustments"/>
            </w:pPr>
            <w:r w:rsidRPr="005D4222">
              <w:t>Adjustments not allowed</w:t>
            </w:r>
          </w:p>
          <w:p w14:paraId="464C2C3D" w14:textId="77777777" w:rsidR="00ED137D" w:rsidRPr="005D4222" w:rsidRDefault="00ED137D">
            <w:pPr>
              <w:pStyle w:val="ProcessBullet"/>
              <w:rPr>
                <w:i/>
                <w:iCs/>
              </w:rPr>
            </w:pPr>
            <w:r w:rsidRPr="005D4222">
              <w:rPr>
                <w:i/>
              </w:rPr>
              <w:t>Initial population</w:t>
            </w:r>
            <w:r w:rsidRPr="005D4222">
              <w:rPr>
                <w:i/>
                <w:iCs/>
              </w:rPr>
              <w:t xml:space="preserve"> 2: </w:t>
            </w:r>
            <w:r w:rsidRPr="005D4222">
              <w:rPr>
                <w:iCs/>
              </w:rPr>
              <w:t xml:space="preserve">Dementia. </w:t>
            </w:r>
            <w:r w:rsidRPr="005D4222">
              <w:t>The medication lists, value sets and logic may not be changed.</w:t>
            </w:r>
          </w:p>
          <w:p w14:paraId="6AB93B41" w14:textId="77777777" w:rsidR="00ED137D" w:rsidRPr="005D4222" w:rsidRDefault="00ED137D" w:rsidP="00C208F3">
            <w:pPr>
              <w:pStyle w:val="ProcessBullet"/>
              <w:spacing w:after="80"/>
              <w:rPr>
                <w:i/>
              </w:rPr>
            </w:pPr>
            <w:r w:rsidRPr="005D4222">
              <w:rPr>
                <w:i/>
              </w:rPr>
              <w:t xml:space="preserve">Initial population </w:t>
            </w:r>
            <w:r w:rsidRPr="005D4222">
              <w:rPr>
                <w:i/>
                <w:iCs/>
              </w:rPr>
              <w:t xml:space="preserve">3: </w:t>
            </w:r>
            <w:r w:rsidRPr="005D4222">
              <w:rPr>
                <w:iCs/>
              </w:rPr>
              <w:t>Chronic kidney disease.</w:t>
            </w:r>
            <w:r w:rsidRPr="005D4222">
              <w:t xml:space="preserve"> The value sets and logic may not be changed.</w:t>
            </w:r>
          </w:p>
          <w:p w14:paraId="17B72497" w14:textId="21D5D910" w:rsidR="00ED137D" w:rsidRPr="005D4222" w:rsidRDefault="00B14D3A" w:rsidP="00C208F3">
            <w:pPr>
              <w:pStyle w:val="ProcessBullet"/>
              <w:spacing w:after="80"/>
              <w:rPr>
                <w:i/>
              </w:rPr>
            </w:pPr>
            <w:r w:rsidRPr="005D4222">
              <w:rPr>
                <w:i/>
              </w:rPr>
              <w:t xml:space="preserve">Denominator 1 and denominator 2 exclusions. </w:t>
            </w:r>
            <w:r w:rsidR="00CD0D5F" w:rsidRPr="005D4222">
              <w:rPr>
                <w:iCs/>
              </w:rPr>
              <w:t>The</w:t>
            </w:r>
            <w:r w:rsidRPr="005D4222">
              <w:t xml:space="preserve"> psychosis, schizophrenia, schizoaffective disorder, bipolar disorder, major depressive disorder and seizure disorder exclusions </w:t>
            </w:r>
            <w:r w:rsidR="002315EC" w:rsidRPr="005D4222">
              <w:t xml:space="preserve">must be applied. The value sets, </w:t>
            </w:r>
            <w:r w:rsidRPr="005D4222">
              <w:t>medication lists and</w:t>
            </w:r>
            <w:r w:rsidR="002315EC" w:rsidRPr="005D4222">
              <w:t xml:space="preserve"> logic may not be changed</w:t>
            </w:r>
            <w:r w:rsidRPr="005D4222">
              <w:t>.</w:t>
            </w:r>
          </w:p>
        </w:tc>
      </w:tr>
    </w:tbl>
    <w:p w14:paraId="2D49E1BC" w14:textId="77777777" w:rsidR="00C208F3" w:rsidRPr="005D4222" w:rsidRDefault="00C208F3" w:rsidP="00CC71CC">
      <w:pPr>
        <w:pStyle w:val="ECDSBody"/>
        <w:sectPr w:rsidR="00C208F3" w:rsidRPr="005D4222" w:rsidSect="0074514A">
          <w:headerReference w:type="default" r:id="rId142"/>
          <w:type w:val="nextColumn"/>
          <w:pgSz w:w="12240" w:h="15840" w:code="1"/>
          <w:pgMar w:top="1080" w:right="1080" w:bottom="1080" w:left="1440" w:header="720" w:footer="720" w:gutter="0"/>
          <w:cols w:space="720"/>
          <w:docGrid w:linePitch="360"/>
        </w:sectPr>
      </w:pPr>
    </w:p>
    <w:p w14:paraId="697A2F27" w14:textId="33ECB8C1" w:rsidR="00CC71CC" w:rsidRPr="005D4222" w:rsidRDefault="00C208F3" w:rsidP="00C208F3">
      <w:pPr>
        <w:pStyle w:val="MeasureTitle"/>
      </w:pPr>
      <w:bookmarkStart w:id="320" w:name="_Toc201813429"/>
      <w:r w:rsidRPr="005D4222">
        <w:lastRenderedPageBreak/>
        <w:t>Use of High-Risk Medications in Older Adults</w:t>
      </w:r>
      <w:r w:rsidR="0096709F" w:rsidRPr="005D4222">
        <w:t xml:space="preserve"> (DAE)</w:t>
      </w:r>
      <w:bookmarkEnd w:id="320"/>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4729"/>
        <w:gridCol w:w="1729"/>
        <w:gridCol w:w="1099"/>
      </w:tblGrid>
      <w:tr w:rsidR="00E76D86" w:rsidRPr="005D4222" w14:paraId="552B28BC" w14:textId="77777777">
        <w:tc>
          <w:tcPr>
            <w:tcW w:w="2157" w:type="dxa"/>
            <w:shd w:val="clear" w:color="auto" w:fill="BFBFBF" w:themeFill="background1" w:themeFillShade="BF"/>
            <w:tcMar>
              <w:top w:w="0" w:type="dxa"/>
              <w:left w:w="86" w:type="dxa"/>
              <w:bottom w:w="43" w:type="dxa"/>
              <w:right w:w="86" w:type="dxa"/>
            </w:tcMar>
            <w:hideMark/>
          </w:tcPr>
          <w:p w14:paraId="10A03954" w14:textId="77777777" w:rsidR="00E76D86" w:rsidRPr="005D4222" w:rsidRDefault="00E76D86">
            <w:pPr>
              <w:pStyle w:val="ECDSMarginHead"/>
            </w:pPr>
            <w:r w:rsidRPr="005D4222">
              <w:t>Measure title</w:t>
            </w:r>
          </w:p>
        </w:tc>
        <w:tc>
          <w:tcPr>
            <w:tcW w:w="4729" w:type="dxa"/>
            <w:tcMar>
              <w:top w:w="0" w:type="dxa"/>
              <w:left w:w="86" w:type="dxa"/>
              <w:bottom w:w="43" w:type="dxa"/>
              <w:right w:w="86" w:type="dxa"/>
            </w:tcMar>
          </w:tcPr>
          <w:p w14:paraId="6DC3FFE3" w14:textId="77777777" w:rsidR="00E76D86" w:rsidRPr="005D4222" w:rsidRDefault="00E76D86">
            <w:pPr>
              <w:pStyle w:val="ECDSBody"/>
            </w:pPr>
            <w:r w:rsidRPr="005D4222">
              <w:t>Use of High-Risk Medications in Older Adults</w:t>
            </w:r>
          </w:p>
        </w:tc>
        <w:tc>
          <w:tcPr>
            <w:tcW w:w="1729" w:type="dxa"/>
            <w:shd w:val="clear" w:color="auto" w:fill="BFBFBF" w:themeFill="background1" w:themeFillShade="BF"/>
            <w:tcMar>
              <w:top w:w="0" w:type="dxa"/>
              <w:left w:w="86" w:type="dxa"/>
              <w:bottom w:w="43" w:type="dxa"/>
              <w:right w:w="86" w:type="dxa"/>
            </w:tcMar>
          </w:tcPr>
          <w:p w14:paraId="133CA665" w14:textId="77777777" w:rsidR="00E76D86" w:rsidRPr="005D4222" w:rsidRDefault="00E76D86">
            <w:pPr>
              <w:pStyle w:val="ECDSMarginHead"/>
            </w:pPr>
            <w:r w:rsidRPr="005D4222">
              <w:t>Measure ID</w:t>
            </w:r>
          </w:p>
        </w:tc>
        <w:tc>
          <w:tcPr>
            <w:tcW w:w="1099" w:type="dxa"/>
            <w:tcMar>
              <w:top w:w="0" w:type="dxa"/>
              <w:left w:w="86" w:type="dxa"/>
              <w:bottom w:w="43" w:type="dxa"/>
              <w:right w:w="86" w:type="dxa"/>
            </w:tcMar>
          </w:tcPr>
          <w:p w14:paraId="18C83F25" w14:textId="77777777" w:rsidR="00E76D86" w:rsidRPr="005D4222" w:rsidRDefault="00E76D86">
            <w:pPr>
              <w:pStyle w:val="ECDSBody"/>
            </w:pPr>
            <w:r w:rsidRPr="005D4222">
              <w:t xml:space="preserve">DAE  </w:t>
            </w:r>
          </w:p>
        </w:tc>
      </w:tr>
      <w:tr w:rsidR="00E76D86" w:rsidRPr="005D4222" w14:paraId="2C0F9640" w14:textId="77777777">
        <w:trPr>
          <w:trHeight w:val="2465"/>
        </w:trPr>
        <w:tc>
          <w:tcPr>
            <w:tcW w:w="2157" w:type="dxa"/>
            <w:shd w:val="clear" w:color="auto" w:fill="BFBFBF" w:themeFill="background1" w:themeFillShade="BF"/>
            <w:tcMar>
              <w:top w:w="0" w:type="dxa"/>
              <w:left w:w="86" w:type="dxa"/>
              <w:bottom w:w="43" w:type="dxa"/>
              <w:right w:w="86" w:type="dxa"/>
            </w:tcMar>
            <w:hideMark/>
          </w:tcPr>
          <w:p w14:paraId="73C69A45" w14:textId="77777777" w:rsidR="00E76D86" w:rsidRPr="005D4222" w:rsidRDefault="00E76D86">
            <w:pPr>
              <w:pStyle w:val="ECDSMarginHead"/>
            </w:pPr>
            <w:r w:rsidRPr="005D4222">
              <w:t>Description</w:t>
            </w:r>
          </w:p>
        </w:tc>
        <w:tc>
          <w:tcPr>
            <w:tcW w:w="7557" w:type="dxa"/>
            <w:gridSpan w:val="3"/>
            <w:tcMar>
              <w:top w:w="0" w:type="dxa"/>
              <w:left w:w="86" w:type="dxa"/>
              <w:bottom w:w="43" w:type="dxa"/>
              <w:right w:w="86" w:type="dxa"/>
            </w:tcMar>
          </w:tcPr>
          <w:p w14:paraId="25195170" w14:textId="77777777" w:rsidR="00E76D86" w:rsidRPr="005D4222" w:rsidRDefault="00E76D86">
            <w:pPr>
              <w:pStyle w:val="ECDSBody"/>
            </w:pPr>
            <w:r w:rsidRPr="005D4222">
              <w:t xml:space="preserve">The percentage of persons 67 years of age and older who had at least two dispensing events for the same high-risk medication. Three rates are reported: </w:t>
            </w:r>
          </w:p>
          <w:p w14:paraId="5755FFA4" w14:textId="77777777" w:rsidR="00E76D86" w:rsidRPr="005D4222" w:rsidRDefault="00E76D86" w:rsidP="00F94813">
            <w:pPr>
              <w:pStyle w:val="Body"/>
              <w:spacing w:before="120" w:after="80"/>
              <w:ind w:left="648" w:hanging="288"/>
            </w:pPr>
            <w:r w:rsidRPr="005D4222">
              <w:t>1.</w:t>
            </w:r>
            <w:r w:rsidRPr="005D4222">
              <w:tab/>
              <w:t>The percentage of persons 67 years of age and older who had at least two dispensing events for high-risk medications to avoid from the same drug class.</w:t>
            </w:r>
          </w:p>
          <w:p w14:paraId="193D1B22" w14:textId="77777777" w:rsidR="00E76D86" w:rsidRPr="005D4222" w:rsidRDefault="00E76D86" w:rsidP="00F94813">
            <w:pPr>
              <w:pStyle w:val="Body"/>
              <w:spacing w:before="120" w:after="80"/>
              <w:ind w:left="648" w:hanging="288"/>
            </w:pPr>
            <w:r w:rsidRPr="005D4222">
              <w:t>2.</w:t>
            </w:r>
            <w:r w:rsidRPr="005D4222">
              <w:tab/>
              <w:t>The percentage of persons 67 years of age and older who had at least two dispensing events for high-risk medications to avoid from the same drug class, except for appropriate diagnoses.</w:t>
            </w:r>
          </w:p>
          <w:p w14:paraId="5846B80C" w14:textId="77777777" w:rsidR="00E76D86" w:rsidRPr="005D4222" w:rsidRDefault="00E76D86" w:rsidP="00F94813">
            <w:pPr>
              <w:pStyle w:val="Body"/>
              <w:spacing w:before="120" w:after="80"/>
              <w:ind w:left="648" w:hanging="288"/>
            </w:pPr>
            <w:r w:rsidRPr="005D4222">
              <w:t>3.</w:t>
            </w:r>
            <w:r w:rsidRPr="005D4222">
              <w:tab/>
              <w:t>Total rate (the sum of the two numerators divided by the denominator, deduplicating for persons in both numerators).</w:t>
            </w:r>
          </w:p>
        </w:tc>
      </w:tr>
      <w:tr w:rsidR="00E76D86" w:rsidRPr="005D4222" w14:paraId="57CC1BD5" w14:textId="77777777">
        <w:tc>
          <w:tcPr>
            <w:tcW w:w="2157" w:type="dxa"/>
            <w:shd w:val="clear" w:color="auto" w:fill="BFBFBF" w:themeFill="background1" w:themeFillShade="BF"/>
            <w:tcMar>
              <w:top w:w="0" w:type="dxa"/>
              <w:left w:w="86" w:type="dxa"/>
              <w:bottom w:w="43" w:type="dxa"/>
              <w:right w:w="86" w:type="dxa"/>
            </w:tcMar>
          </w:tcPr>
          <w:p w14:paraId="6D03F2AF" w14:textId="77777777" w:rsidR="00E76D86" w:rsidRPr="005D4222" w:rsidRDefault="00E76D86">
            <w:pPr>
              <w:pStyle w:val="ECDSMarginHead"/>
            </w:pPr>
            <w:r w:rsidRPr="005D4222">
              <w:t>Measurement period</w:t>
            </w:r>
          </w:p>
        </w:tc>
        <w:tc>
          <w:tcPr>
            <w:tcW w:w="7557" w:type="dxa"/>
            <w:gridSpan w:val="3"/>
            <w:tcMar>
              <w:top w:w="0" w:type="dxa"/>
              <w:left w:w="86" w:type="dxa"/>
              <w:bottom w:w="43" w:type="dxa"/>
              <w:right w:w="86" w:type="dxa"/>
            </w:tcMar>
          </w:tcPr>
          <w:p w14:paraId="4B8210D2" w14:textId="77777777" w:rsidR="00E76D86" w:rsidRPr="005D4222" w:rsidRDefault="00E76D86">
            <w:pPr>
              <w:pStyle w:val="ECDSBody"/>
            </w:pPr>
            <w:r w:rsidRPr="005D4222">
              <w:t>January 1–December 31.</w:t>
            </w:r>
          </w:p>
        </w:tc>
      </w:tr>
      <w:tr w:rsidR="00E76D86" w:rsidRPr="005D4222" w14:paraId="6047D56A" w14:textId="77777777">
        <w:tc>
          <w:tcPr>
            <w:tcW w:w="2157" w:type="dxa"/>
            <w:shd w:val="clear" w:color="auto" w:fill="BFBFBF" w:themeFill="background1" w:themeFillShade="BF"/>
            <w:tcMar>
              <w:top w:w="0" w:type="dxa"/>
              <w:left w:w="86" w:type="dxa"/>
              <w:bottom w:w="43" w:type="dxa"/>
              <w:right w:w="86" w:type="dxa"/>
            </w:tcMar>
            <w:hideMark/>
          </w:tcPr>
          <w:p w14:paraId="4C54A886" w14:textId="77777777" w:rsidR="00E76D86" w:rsidRPr="005D4222" w:rsidRDefault="00E76D86">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66D1F6F7" w14:textId="77777777" w:rsidR="00E76D86" w:rsidRPr="005D4222" w:rsidRDefault="00E76D86">
            <w:pPr>
              <w:pStyle w:val="ECDSBody"/>
            </w:pPr>
            <w:r w:rsidRPr="005D4222">
              <w:t>Refer to the complete copyright and disclaimer information at the front of this publication.</w:t>
            </w:r>
          </w:p>
          <w:p w14:paraId="1FFC5D37" w14:textId="77777777" w:rsidR="00E76D86" w:rsidRPr="005D4222" w:rsidRDefault="00E76D86">
            <w:pPr>
              <w:pStyle w:val="ECDSBody"/>
            </w:pPr>
            <w:r w:rsidRPr="005D4222">
              <w:t xml:space="preserve">NCQA website: </w:t>
            </w:r>
            <w:r w:rsidRPr="005D4222">
              <w:rPr>
                <w:u w:val="single"/>
              </w:rPr>
              <w:t>www.ncqa.org</w:t>
            </w:r>
            <w:r w:rsidRPr="005D4222">
              <w:t>.</w:t>
            </w:r>
          </w:p>
          <w:p w14:paraId="2F90C7A5" w14:textId="77777777" w:rsidR="00E76D86" w:rsidRPr="005D4222" w:rsidRDefault="00E76D86">
            <w:pPr>
              <w:pStyle w:val="ECDSBody"/>
              <w:rPr>
                <w:sz w:val="18"/>
                <w:szCs w:val="18"/>
              </w:rPr>
            </w:pPr>
            <w:r w:rsidRPr="005D4222">
              <w:t>Submit policy clarification support questions via My NCQA (</w:t>
            </w:r>
            <w:r w:rsidRPr="005D4222">
              <w:rPr>
                <w:u w:val="single"/>
              </w:rPr>
              <w:t>https://my.ncqa.org</w:t>
            </w:r>
            <w:r w:rsidRPr="005D4222">
              <w:t>).</w:t>
            </w:r>
          </w:p>
        </w:tc>
      </w:tr>
      <w:tr w:rsidR="00E76D86" w:rsidRPr="005D4222" w14:paraId="4035AC29" w14:textId="77777777">
        <w:trPr>
          <w:trHeight w:val="655"/>
        </w:trPr>
        <w:tc>
          <w:tcPr>
            <w:tcW w:w="2157" w:type="dxa"/>
            <w:shd w:val="clear" w:color="auto" w:fill="BFBFBF" w:themeFill="background1" w:themeFillShade="BF"/>
            <w:tcMar>
              <w:top w:w="0" w:type="dxa"/>
              <w:left w:w="86" w:type="dxa"/>
              <w:bottom w:w="43" w:type="dxa"/>
              <w:right w:w="86" w:type="dxa"/>
            </w:tcMar>
            <w:hideMark/>
          </w:tcPr>
          <w:p w14:paraId="3ED3207F" w14:textId="77777777" w:rsidR="00E76D86" w:rsidRPr="005D4222" w:rsidRDefault="00E76D86">
            <w:pPr>
              <w:pStyle w:val="ECDSMarginHead"/>
            </w:pPr>
            <w:r w:rsidRPr="005D4222">
              <w:t>Clinical recommendation statement/ rationale</w:t>
            </w:r>
          </w:p>
        </w:tc>
        <w:tc>
          <w:tcPr>
            <w:tcW w:w="7557" w:type="dxa"/>
            <w:gridSpan w:val="3"/>
            <w:tcMar>
              <w:top w:w="0" w:type="dxa"/>
              <w:left w:w="86" w:type="dxa"/>
              <w:bottom w:w="43" w:type="dxa"/>
              <w:right w:w="86" w:type="dxa"/>
            </w:tcMar>
          </w:tcPr>
          <w:p w14:paraId="44926B92" w14:textId="77777777" w:rsidR="00E76D86" w:rsidRPr="005D4222" w:rsidRDefault="00E76D86">
            <w:pPr>
              <w:pStyle w:val="ECDSBody"/>
              <w:rPr>
                <w:szCs w:val="21"/>
              </w:rPr>
            </w:pPr>
            <w:r w:rsidRPr="005D4222">
              <w:rPr>
                <w:szCs w:val="21"/>
              </w:rPr>
              <w:t>This measure is based on Table 2 of the American Geriatrics Society Beers Criteria, which includes potentially inappropriate medications for use in older adults. In older adults, certain medications are associated with increased risk of harm from drug side-effects and drug toxicity and pose a concern for patient safety. Use of potentially inappropriate medications in older adults can lead to poor health outcomes, including adverse drug events, confusion, falls, hospitalizations, and death (American Geriatrics Society Beers Criteria Update Expert Panel, 2015, 2019, 2023).</w:t>
            </w:r>
          </w:p>
        </w:tc>
      </w:tr>
      <w:tr w:rsidR="00E76D86" w:rsidRPr="005D4222" w14:paraId="65626B8D" w14:textId="77777777">
        <w:tc>
          <w:tcPr>
            <w:tcW w:w="2157" w:type="dxa"/>
            <w:shd w:val="clear" w:color="auto" w:fill="BFBFBF" w:themeFill="background1" w:themeFillShade="BF"/>
            <w:tcMar>
              <w:top w:w="0" w:type="dxa"/>
              <w:left w:w="86" w:type="dxa"/>
              <w:bottom w:w="43" w:type="dxa"/>
              <w:right w:w="86" w:type="dxa"/>
            </w:tcMar>
          </w:tcPr>
          <w:p w14:paraId="661A7EDA" w14:textId="77777777" w:rsidR="00E76D86" w:rsidRPr="005D4222" w:rsidRDefault="00E76D86">
            <w:pPr>
              <w:pStyle w:val="ECDSMarginHead"/>
            </w:pPr>
            <w:r w:rsidRPr="005D4222">
              <w:t>Citations</w:t>
            </w:r>
          </w:p>
        </w:tc>
        <w:tc>
          <w:tcPr>
            <w:tcW w:w="7557" w:type="dxa"/>
            <w:gridSpan w:val="3"/>
            <w:tcMar>
              <w:top w:w="0" w:type="dxa"/>
              <w:left w:w="86" w:type="dxa"/>
              <w:bottom w:w="43" w:type="dxa"/>
              <w:right w:w="86" w:type="dxa"/>
            </w:tcMar>
          </w:tcPr>
          <w:p w14:paraId="218168DC" w14:textId="77777777" w:rsidR="00E76D86" w:rsidRPr="005D4222" w:rsidRDefault="00E76D86">
            <w:pPr>
              <w:pStyle w:val="ECDSBody"/>
            </w:pPr>
            <w:r w:rsidRPr="005D4222">
              <w:t xml:space="preserve">American Geriatrics Society Beers Criteria Update Expert Panel. 2023. “American Geriatrics Society 2023 Updated Beers Criteria for Potentially Inappropriate Medication Use in Older Adults.” </w:t>
            </w:r>
            <w:r w:rsidRPr="005D4222">
              <w:rPr>
                <w:i/>
                <w:iCs/>
              </w:rPr>
              <w:t>Journal of the American Geriatrics Society</w:t>
            </w:r>
            <w:r w:rsidRPr="005D4222">
              <w:t xml:space="preserve"> 71(7), 2052–81. </w:t>
            </w:r>
          </w:p>
          <w:p w14:paraId="7CA07677" w14:textId="77777777" w:rsidR="00E76D86" w:rsidRPr="005D4222" w:rsidRDefault="00E76D86">
            <w:pPr>
              <w:pStyle w:val="ECDSBody"/>
            </w:pPr>
            <w:r w:rsidRPr="005D4222">
              <w:t xml:space="preserve">American Geriatrics Society Beers Criteria Update Expert Panel. 2019. “American Geriatrics Society 2019 Updated Beers Criteria for Potentially Inappropriate Medication Use in Older Adults.” </w:t>
            </w:r>
            <w:r w:rsidRPr="005D4222">
              <w:rPr>
                <w:i/>
                <w:iCs/>
              </w:rPr>
              <w:t xml:space="preserve">Journal of the American Geriatrics Society </w:t>
            </w:r>
            <w:r w:rsidRPr="005D4222">
              <w:t>67(4), 674–94.</w:t>
            </w:r>
          </w:p>
          <w:p w14:paraId="32EDBC6D" w14:textId="77777777" w:rsidR="00E76D86" w:rsidRPr="005D4222" w:rsidRDefault="00E76D86">
            <w:pPr>
              <w:pStyle w:val="ECDSBody"/>
            </w:pPr>
            <w:r w:rsidRPr="005D4222">
              <w:t xml:space="preserve">American Geriatrics Society Beers Criteria Update Expert Panel. 2015. “American Geriatrics Society 2015 Updated AGS Beers Criteria for Potentially Inappropriate Medication Use in Older Adults.” </w:t>
            </w:r>
            <w:r w:rsidRPr="005D4222">
              <w:rPr>
                <w:i/>
                <w:iCs/>
              </w:rPr>
              <w:t>Journal of the American Geriatrics Society</w:t>
            </w:r>
            <w:r w:rsidRPr="005D4222">
              <w:t xml:space="preserve"> 63, 2227–46.</w:t>
            </w:r>
          </w:p>
        </w:tc>
      </w:tr>
    </w:tbl>
    <w:p w14:paraId="1B8976FE" w14:textId="77777777" w:rsidR="00E76D86" w:rsidRPr="005D4222" w:rsidRDefault="00E76D86" w:rsidP="00E76D86">
      <w:pPr>
        <w:spacing w:after="160" w:line="259" w:lineRule="auto"/>
      </w:pPr>
      <w:r w:rsidRPr="005D4222">
        <w:br w:type="page"/>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E76D86" w:rsidRPr="005D4222" w14:paraId="2E32CAE9" w14:textId="77777777">
        <w:tc>
          <w:tcPr>
            <w:tcW w:w="9714" w:type="dxa"/>
            <w:gridSpan w:val="2"/>
            <w:tcBorders>
              <w:bottom w:val="single" w:sz="4" w:space="0" w:color="auto"/>
            </w:tcBorders>
            <w:shd w:val="clear" w:color="auto" w:fill="BFBFBF" w:themeFill="background1" w:themeFillShade="BF"/>
            <w:tcMar>
              <w:top w:w="0" w:type="dxa"/>
              <w:left w:w="86" w:type="dxa"/>
              <w:bottom w:w="43" w:type="dxa"/>
              <w:right w:w="86" w:type="dxa"/>
            </w:tcMar>
          </w:tcPr>
          <w:p w14:paraId="03A6B9CE" w14:textId="77777777" w:rsidR="00E76D86" w:rsidRPr="005D4222" w:rsidRDefault="00E76D86">
            <w:pPr>
              <w:pStyle w:val="ECDSMarginHead"/>
            </w:pPr>
            <w:r w:rsidRPr="005D4222">
              <w:lastRenderedPageBreak/>
              <w:t>Characteristics</w:t>
            </w:r>
          </w:p>
        </w:tc>
      </w:tr>
      <w:tr w:rsidR="00E76D86" w:rsidRPr="005D4222" w14:paraId="0E20A9F9" w14:textId="77777777">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6D9F1386" w14:textId="77777777" w:rsidR="00E76D86" w:rsidRPr="005D4222" w:rsidRDefault="00E76D86" w:rsidP="00B14D3A">
            <w:pPr>
              <w:pStyle w:val="ECDSSubhead"/>
            </w:pPr>
            <w:r w:rsidRPr="005D4222">
              <w:t>Scoring</w:t>
            </w: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0ABCF571" w14:textId="77777777" w:rsidR="00E76D86" w:rsidRPr="005D4222" w:rsidRDefault="00E76D86">
            <w:pPr>
              <w:pStyle w:val="ECDSBody"/>
              <w:spacing w:after="0"/>
            </w:pPr>
            <w:r w:rsidRPr="005D4222">
              <w:t>Composite.</w:t>
            </w:r>
          </w:p>
        </w:tc>
      </w:tr>
      <w:tr w:rsidR="00E76D86" w:rsidRPr="005D4222" w14:paraId="5479D6AD"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16257898" w14:textId="77777777" w:rsidR="00E76D86" w:rsidRPr="005D4222" w:rsidRDefault="00E76D86" w:rsidP="00B14D3A">
            <w:pPr>
              <w:pStyle w:val="ECDSSubhead"/>
            </w:pPr>
            <w:r w:rsidRPr="005D4222">
              <w:t>Type</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36902F78" w14:textId="77777777" w:rsidR="00E76D86" w:rsidRPr="005D4222" w:rsidRDefault="00E76D86">
            <w:pPr>
              <w:pStyle w:val="ECDSBody"/>
              <w:spacing w:after="0"/>
              <w:rPr>
                <w:szCs w:val="21"/>
              </w:rPr>
            </w:pPr>
            <w:r w:rsidRPr="005D4222">
              <w:rPr>
                <w:szCs w:val="21"/>
              </w:rPr>
              <w:t>Process.</w:t>
            </w:r>
          </w:p>
        </w:tc>
      </w:tr>
      <w:tr w:rsidR="00E76D86" w:rsidRPr="005D4222" w14:paraId="73FC3DB6"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612D7AA5" w14:textId="0F64ABEC" w:rsidR="00E76D86" w:rsidRPr="005D4222" w:rsidRDefault="00B51CDC" w:rsidP="00B14D3A">
            <w:pPr>
              <w:pStyle w:val="ECDSSubhead"/>
            </w:pPr>
            <w:r w:rsidRPr="005D4222">
              <w:t>Product lines</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28C6F6F1" w14:textId="77777777" w:rsidR="00E76D86" w:rsidRPr="005D4222" w:rsidRDefault="00E76D86">
            <w:pPr>
              <w:pStyle w:val="ECDSBody"/>
              <w:spacing w:after="0"/>
            </w:pPr>
            <w:r w:rsidRPr="005D4222">
              <w:t>Medicare.</w:t>
            </w:r>
          </w:p>
        </w:tc>
      </w:tr>
      <w:tr w:rsidR="00E76D86" w:rsidRPr="005D4222" w14:paraId="3C0FC639"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2ED857DE" w14:textId="664B68B7" w:rsidR="00E76D86" w:rsidRPr="005D4222" w:rsidRDefault="00B51CDC" w:rsidP="00B14D3A">
            <w:pPr>
              <w:pStyle w:val="ECDSSubhead"/>
            </w:pPr>
            <w:r w:rsidRPr="005D4222">
              <w:t>Stratifications</w:t>
            </w:r>
            <w:r w:rsidR="00E76D86" w:rsidRPr="005D4222">
              <w:t xml:space="preserve"> </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3CAFB717" w14:textId="77777777" w:rsidR="00E76D86" w:rsidRPr="005D4222" w:rsidRDefault="00E76D86">
            <w:pPr>
              <w:pStyle w:val="ECDSBody"/>
              <w:spacing w:after="0"/>
            </w:pPr>
            <w:r w:rsidRPr="005D4222">
              <w:t>None.</w:t>
            </w:r>
          </w:p>
        </w:tc>
      </w:tr>
      <w:tr w:rsidR="00E76D86" w:rsidRPr="005D4222" w14:paraId="31711CF1"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44343C84" w14:textId="77777777" w:rsidR="00E76D86" w:rsidRPr="005D4222" w:rsidRDefault="00E76D86" w:rsidP="00B14D3A">
            <w:pPr>
              <w:pStyle w:val="ECDSSubhead"/>
            </w:pPr>
            <w:r w:rsidRPr="005D4222">
              <w:t>Risk adjustment</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23027C8E" w14:textId="77777777" w:rsidR="00E76D86" w:rsidRPr="005D4222" w:rsidRDefault="00E76D86">
            <w:pPr>
              <w:pStyle w:val="ECDSBody"/>
              <w:spacing w:after="0"/>
              <w:rPr>
                <w:szCs w:val="21"/>
              </w:rPr>
            </w:pPr>
            <w:r w:rsidRPr="005D4222">
              <w:rPr>
                <w:szCs w:val="21"/>
              </w:rPr>
              <w:t>None.</w:t>
            </w:r>
          </w:p>
        </w:tc>
      </w:tr>
      <w:tr w:rsidR="00E76D86" w:rsidRPr="005D4222" w14:paraId="70225A1E"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5B701CB8" w14:textId="77777777" w:rsidR="00E76D86" w:rsidRPr="005D4222" w:rsidRDefault="00E76D86" w:rsidP="00B14D3A">
            <w:pPr>
              <w:pStyle w:val="ECDSSubhead"/>
            </w:pPr>
            <w:r w:rsidRPr="005D4222">
              <w:t>Improvement notation</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770AB082" w14:textId="77777777" w:rsidR="00E76D86" w:rsidRPr="005D4222" w:rsidRDefault="00E76D86">
            <w:pPr>
              <w:pStyle w:val="ECDSBody"/>
              <w:spacing w:after="0"/>
            </w:pPr>
            <w:r w:rsidRPr="005D4222">
              <w:t>Decreased score indicates improvement.</w:t>
            </w:r>
          </w:p>
        </w:tc>
      </w:tr>
      <w:tr w:rsidR="00E76D86" w:rsidRPr="005D4222" w14:paraId="3BC7DD4A" w14:textId="77777777">
        <w:trPr>
          <w:trHeight w:val="633"/>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70E82A81" w14:textId="77777777" w:rsidR="00E76D86" w:rsidRPr="005D4222" w:rsidRDefault="00E76D86" w:rsidP="00B14D3A">
            <w:pPr>
              <w:pStyle w:val="ECDSSubhead"/>
            </w:pPr>
            <w:r w:rsidRPr="005D4222">
              <w:t>Guidance</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15B38F93" w14:textId="2F0DC384" w:rsidR="00E76D86" w:rsidRPr="005D4222" w:rsidRDefault="00E76D86">
            <w:pPr>
              <w:pStyle w:val="ECDSBody"/>
            </w:pPr>
            <w:r w:rsidRPr="005D4222">
              <w:rPr>
                <w:b/>
              </w:rPr>
              <w:t>Data collection methodology:</w:t>
            </w:r>
            <w:r w:rsidRPr="005D4222">
              <w:t xml:space="preserve"> Administrative. Refer to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2497C5DB" w14:textId="77777777" w:rsidR="00E76D86" w:rsidRPr="005D4222" w:rsidRDefault="00E76D86">
            <w:pPr>
              <w:pStyle w:val="ECDSBody"/>
            </w:pPr>
            <w:r w:rsidRPr="005D4222">
              <w:rPr>
                <w:b/>
              </w:rPr>
              <w:t xml:space="preserve">Date specificity: </w:t>
            </w:r>
            <w:r w:rsidRPr="005D4222">
              <w:t>Dates must be specific enough to determine the event occurred in the period being measured.</w:t>
            </w:r>
          </w:p>
          <w:p w14:paraId="6D8E3906" w14:textId="77777777" w:rsidR="00E76D86" w:rsidRPr="005D4222" w:rsidRDefault="00E76D86">
            <w:pPr>
              <w:pStyle w:val="ECDSBody"/>
              <w:rPr>
                <w:b/>
              </w:rPr>
            </w:pPr>
            <w:r w:rsidRPr="005D4222">
              <w:rPr>
                <w:b/>
              </w:rPr>
              <w:t>Which services count?</w:t>
            </w:r>
          </w:p>
          <w:p w14:paraId="042E8C8D" w14:textId="77777777" w:rsidR="00E76D86" w:rsidRPr="005D4222" w:rsidRDefault="00E76D86">
            <w:pPr>
              <w:pStyle w:val="ProcessBullet"/>
            </w:pPr>
            <w:r w:rsidRPr="005D4222">
              <w:t>Include all paid, suspended, pending and denied claims to identify the initial population and denominator exclusions.</w:t>
            </w:r>
          </w:p>
          <w:p w14:paraId="08D2A9F5" w14:textId="77777777" w:rsidR="00E76D86" w:rsidRPr="005D4222" w:rsidRDefault="00E76D86">
            <w:pPr>
              <w:pStyle w:val="ProcessBullet"/>
              <w:rPr>
                <w:kern w:val="24"/>
              </w:rPr>
            </w:pPr>
            <w:r w:rsidRPr="005D4222">
              <w:rPr>
                <w:kern w:val="24"/>
              </w:rPr>
              <w:t>Do not include denied claims when identifying numerator events; only include claims the organization paid for or expects to pay for (i.e., claims incurred but not paid).</w:t>
            </w:r>
          </w:p>
          <w:p w14:paraId="14CEE057" w14:textId="77777777" w:rsidR="00E76D86" w:rsidRPr="005D4222" w:rsidRDefault="00E76D86">
            <w:pPr>
              <w:pStyle w:val="ECDSBody"/>
              <w:rPr>
                <w:b/>
                <w:bCs w:val="0"/>
              </w:rPr>
            </w:pPr>
            <w:r w:rsidRPr="005D4222">
              <w:rPr>
                <w:b/>
                <w:bCs w:val="0"/>
              </w:rPr>
              <w:t xml:space="preserve">Supplemental data exceptions: </w:t>
            </w:r>
            <w:r w:rsidRPr="005D4222">
              <w:t>Supplemental data may not be used for this measure, except for denominator exclusions.</w:t>
            </w:r>
          </w:p>
          <w:p w14:paraId="5F813641" w14:textId="77777777" w:rsidR="00E76D86" w:rsidRPr="005D4222" w:rsidRDefault="00E76D86">
            <w:pPr>
              <w:pStyle w:val="Body"/>
              <w:rPr>
                <w:rFonts w:cs="Arial"/>
              </w:rPr>
            </w:pPr>
            <w:r w:rsidRPr="005D4222">
              <w:rPr>
                <w:rFonts w:cs="Arial"/>
                <w:b/>
                <w:bCs/>
              </w:rPr>
              <w:t>Medication lists:</w:t>
            </w:r>
            <w:r w:rsidRPr="005D4222">
              <w:rPr>
                <w:rFonts w:cs="Arial"/>
              </w:rPr>
              <w:t xml:space="preserve"> </w:t>
            </w:r>
          </w:p>
          <w:p w14:paraId="7B0B54D8" w14:textId="77777777" w:rsidR="00E76D86" w:rsidRPr="005D4222" w:rsidRDefault="00E76D86">
            <w:pPr>
              <w:pStyle w:val="ProcessBullet"/>
            </w:pPr>
            <w:r w:rsidRPr="005D4222">
              <w:t xml:space="preserve">If </w:t>
            </w:r>
            <w:r w:rsidRPr="005D4222" w:rsidDel="000522C5">
              <w:t xml:space="preserve">an organization uses both pharmacy data (NDC codes) and clinical data (RxNorm codes) for reporting, and </w:t>
            </w:r>
            <w:r w:rsidRPr="005D4222">
              <w:t>there are both NDC and RxNorm codes on the same date of service, use only one data source for the date of service.</w:t>
            </w:r>
          </w:p>
          <w:p w14:paraId="7CC2DE9F" w14:textId="77777777" w:rsidR="00E76D86" w:rsidRPr="005D4222" w:rsidRDefault="00E76D86">
            <w:pPr>
              <w:pStyle w:val="ProcessBullet"/>
            </w:pPr>
            <w:r w:rsidRPr="005D4222">
              <w:t>Medication lists used for this measure contain any applicable combination products.</w:t>
            </w:r>
          </w:p>
          <w:p w14:paraId="5AE37937" w14:textId="77777777" w:rsidR="00E76D86" w:rsidRPr="005D4222" w:rsidRDefault="00E76D86">
            <w:pPr>
              <w:pStyle w:val="ECDSBody"/>
            </w:pPr>
            <w:r w:rsidRPr="005D4222">
              <w:rPr>
                <w:b/>
              </w:rPr>
              <w:t>Other guidance:</w:t>
            </w:r>
            <w:r w:rsidRPr="005D4222">
              <w:t xml:space="preserve"> </w:t>
            </w:r>
          </w:p>
          <w:p w14:paraId="63AE0BC5" w14:textId="77777777" w:rsidR="00E76D86" w:rsidRPr="005D4222" w:rsidRDefault="00E76D86" w:rsidP="00432B53">
            <w:pPr>
              <w:pStyle w:val="ProcessBullet"/>
              <w:rPr>
                <w:rFonts w:eastAsia="Arial,Arial,Arial,Arial,Arial,A"/>
              </w:rPr>
            </w:pPr>
            <w:r w:rsidRPr="005D4222">
              <w:rPr>
                <w:rFonts w:eastAsia="Arial,Arial,Arial,Arial,Arial,A"/>
              </w:rPr>
              <w:t>The total rate is the sum of the two numerators divided by the denominator; deduplicate persons in the two numerators prior to calculating and reporting the total rate.</w:t>
            </w:r>
          </w:p>
          <w:p w14:paraId="270667C6" w14:textId="77777777" w:rsidR="00E76D86" w:rsidRPr="005D4222" w:rsidRDefault="00E76D86" w:rsidP="00432B53">
            <w:pPr>
              <w:pStyle w:val="ProcessBullet"/>
              <w:spacing w:after="80"/>
            </w:pPr>
            <w:r w:rsidRPr="005D4222">
              <w:t>The measure reflects potentially inappropriate medication use in older adults, both for medications where any use is inappropriate (Numerator 1) and for medications where use under all but specific indications is potentially inappropriate (Numerator 2).</w:t>
            </w:r>
          </w:p>
        </w:tc>
      </w:tr>
      <w:tr w:rsidR="00E76D86" w:rsidRPr="005D4222" w14:paraId="5F097CFA" w14:textId="77777777">
        <w:tc>
          <w:tcPr>
            <w:tcW w:w="9714" w:type="dxa"/>
            <w:gridSpan w:val="2"/>
            <w:tcBorders>
              <w:top w:val="single" w:sz="4" w:space="0" w:color="auto"/>
              <w:bottom w:val="nil"/>
            </w:tcBorders>
            <w:shd w:val="clear" w:color="auto" w:fill="BFBFBF" w:themeFill="background1" w:themeFillShade="BF"/>
            <w:tcMar>
              <w:top w:w="0" w:type="dxa"/>
              <w:left w:w="86" w:type="dxa"/>
              <w:bottom w:w="43" w:type="dxa"/>
              <w:right w:w="86" w:type="dxa"/>
            </w:tcMar>
          </w:tcPr>
          <w:p w14:paraId="7D8128DC" w14:textId="77777777" w:rsidR="00E76D86" w:rsidRPr="005D4222" w:rsidRDefault="00E76D86">
            <w:pPr>
              <w:pStyle w:val="ECDSMarginHead"/>
            </w:pPr>
            <w:r w:rsidRPr="005D4222">
              <w:t xml:space="preserve">Definitions </w:t>
            </w:r>
          </w:p>
        </w:tc>
      </w:tr>
      <w:tr w:rsidR="00E76D86" w:rsidRPr="005D4222" w14:paraId="1B96FD9A" w14:textId="77777777">
        <w:trPr>
          <w:trHeight w:val="320"/>
        </w:trPr>
        <w:tc>
          <w:tcPr>
            <w:tcW w:w="2157" w:type="dxa"/>
            <w:tcMar>
              <w:top w:w="0" w:type="dxa"/>
              <w:left w:w="86" w:type="dxa"/>
              <w:bottom w:w="43" w:type="dxa"/>
              <w:right w:w="86" w:type="dxa"/>
            </w:tcMar>
          </w:tcPr>
          <w:p w14:paraId="0A0C62CF" w14:textId="77777777" w:rsidR="00E76D86" w:rsidRPr="005D4222" w:rsidRDefault="00E76D86">
            <w:pPr>
              <w:pStyle w:val="MarginHead"/>
            </w:pPr>
            <w:r w:rsidRPr="005D4222">
              <w:t>IPSD</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8374677" w14:textId="77777777" w:rsidR="00E76D86" w:rsidRPr="005D4222" w:rsidRDefault="00E76D86">
            <w:pPr>
              <w:pStyle w:val="ECDSBody"/>
            </w:pPr>
            <w:r w:rsidRPr="005D4222">
              <w:t xml:space="preserve">Index prescription start date. The earliest prescription dispensing date for a high-risk medication during the measurement period. </w:t>
            </w:r>
          </w:p>
        </w:tc>
      </w:tr>
    </w:tbl>
    <w:p w14:paraId="2578C588" w14:textId="77777777" w:rsidR="00761C6B" w:rsidRPr="005D4222" w:rsidRDefault="00761C6B"/>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E76D86" w:rsidRPr="005D4222" w14:paraId="0FB3C918" w14:textId="77777777" w:rsidTr="00761C6B">
        <w:trPr>
          <w:trHeight w:val="320"/>
        </w:trPr>
        <w:tc>
          <w:tcPr>
            <w:tcW w:w="2157" w:type="dxa"/>
            <w:shd w:val="clear" w:color="auto" w:fill="BFBFBF" w:themeFill="background1" w:themeFillShade="BF"/>
            <w:tcMar>
              <w:top w:w="0" w:type="dxa"/>
              <w:left w:w="86" w:type="dxa"/>
              <w:bottom w:w="43" w:type="dxa"/>
              <w:right w:w="86" w:type="dxa"/>
            </w:tcMar>
          </w:tcPr>
          <w:p w14:paraId="0A8BC388" w14:textId="77777777" w:rsidR="00E76D86" w:rsidRPr="005D4222" w:rsidRDefault="00E76D86">
            <w:pPr>
              <w:pStyle w:val="ECDSMarginHead"/>
            </w:pPr>
            <w:r w:rsidRPr="005D4222">
              <w:lastRenderedPageBreak/>
              <w:t>Initial population</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ED8EFEE" w14:textId="77777777" w:rsidR="00E76D86" w:rsidRPr="005D4222" w:rsidRDefault="00E76D86">
            <w:pPr>
              <w:pStyle w:val="ECDSBody"/>
            </w:pPr>
            <w:r w:rsidRPr="005D4222">
              <w:rPr>
                <w:i/>
                <w:iCs/>
              </w:rPr>
              <w:t>Measure item count:</w:t>
            </w:r>
            <w:r w:rsidRPr="005D4222">
              <w:t xml:space="preserve"> Person.</w:t>
            </w:r>
          </w:p>
          <w:p w14:paraId="537947CA" w14:textId="77777777" w:rsidR="00E76D86" w:rsidRPr="005D4222" w:rsidRDefault="00E76D86">
            <w:pPr>
              <w:pStyle w:val="ECDSBody"/>
            </w:pPr>
            <w:r w:rsidRPr="005D4222">
              <w:rPr>
                <w:i/>
                <w:iCs/>
              </w:rPr>
              <w:t>Attribution basis:</w:t>
            </w:r>
            <w:r w:rsidRPr="005D4222">
              <w:t xml:space="preserve"> Enrollment.</w:t>
            </w:r>
          </w:p>
          <w:p w14:paraId="6EC3F16A" w14:textId="77777777" w:rsidR="00E76D86" w:rsidRPr="005D4222" w:rsidRDefault="00E76D86" w:rsidP="00E76D86">
            <w:pPr>
              <w:pStyle w:val="Bullet"/>
              <w:numPr>
                <w:ilvl w:val="0"/>
                <w:numId w:val="4"/>
              </w:numPr>
              <w:tabs>
                <w:tab w:val="left" w:pos="360"/>
                <w:tab w:val="left" w:pos="576"/>
              </w:tabs>
              <w:ind w:left="576" w:hanging="216"/>
            </w:pPr>
            <w:r w:rsidRPr="005D4222">
              <w:rPr>
                <w:i/>
                <w:iCs/>
              </w:rPr>
              <w:t xml:space="preserve">Benefits: </w:t>
            </w:r>
            <w:r w:rsidRPr="005D4222">
              <w:t>Medical and pharmacy.</w:t>
            </w:r>
          </w:p>
          <w:p w14:paraId="6E1151F6" w14:textId="77777777" w:rsidR="00E76D86" w:rsidRPr="005D4222" w:rsidRDefault="00E76D86" w:rsidP="00E76D86">
            <w:pPr>
              <w:pStyle w:val="Bullet"/>
              <w:numPr>
                <w:ilvl w:val="0"/>
                <w:numId w:val="4"/>
              </w:numPr>
              <w:tabs>
                <w:tab w:val="left" w:pos="360"/>
                <w:tab w:val="left" w:pos="576"/>
              </w:tabs>
              <w:spacing w:after="80"/>
              <w:ind w:left="576" w:hanging="216"/>
            </w:pPr>
            <w:r w:rsidRPr="005D4222">
              <w:rPr>
                <w:i/>
                <w:iCs/>
              </w:rPr>
              <w:t xml:space="preserve">Continuous enrollment: </w:t>
            </w:r>
            <w:r w:rsidRPr="005D4222">
              <w:t>Measurement period and year prior to the measurement period.</w:t>
            </w:r>
          </w:p>
          <w:p w14:paraId="29823E48" w14:textId="77777777" w:rsidR="00E76D86" w:rsidRPr="005D4222" w:rsidRDefault="00E76D86" w:rsidP="008C4D72">
            <w:pPr>
              <w:pStyle w:val="Bullet"/>
            </w:pPr>
            <w:r w:rsidRPr="005D4222">
              <w:rPr>
                <w:i/>
                <w:iCs/>
              </w:rPr>
              <w:t>Allowable gap:</w:t>
            </w:r>
            <w:r w:rsidRPr="005D4222">
              <w:t xml:space="preserve"> No more than one gap of ≤45 days during each year of the continuous enrollment period. No gaps on the last day of the measurement period.</w:t>
            </w:r>
          </w:p>
          <w:p w14:paraId="049C2A00" w14:textId="77777777" w:rsidR="00E76D86" w:rsidRPr="005D4222" w:rsidRDefault="00E76D86">
            <w:pPr>
              <w:pStyle w:val="ECDSBody"/>
            </w:pPr>
            <w:r w:rsidRPr="005D4222">
              <w:rPr>
                <w:i/>
                <w:iCs/>
              </w:rPr>
              <w:t>Ages:</w:t>
            </w:r>
            <w:r w:rsidRPr="005D4222">
              <w:t xml:space="preserve"> 67 years of age and older as of the last day of the measurement period.</w:t>
            </w:r>
          </w:p>
          <w:p w14:paraId="7603ED4E" w14:textId="77777777" w:rsidR="00E76D86" w:rsidRPr="005D4222" w:rsidRDefault="00E76D86">
            <w:pPr>
              <w:pStyle w:val="ECDSBody"/>
            </w:pPr>
            <w:r w:rsidRPr="005D4222">
              <w:rPr>
                <w:i/>
                <w:iCs/>
              </w:rPr>
              <w:t>Event:</w:t>
            </w:r>
            <w:r w:rsidRPr="005D4222">
              <w:t xml:space="preserve"> None.</w:t>
            </w:r>
          </w:p>
        </w:tc>
      </w:tr>
      <w:tr w:rsidR="00E76D86" w:rsidRPr="005D4222" w14:paraId="3697FE58" w14:textId="77777777" w:rsidTr="00761C6B">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F3645A7" w14:textId="77777777" w:rsidR="00E76D86" w:rsidRPr="005D4222" w:rsidRDefault="00E76D86">
            <w:pPr>
              <w:pStyle w:val="ECDSMarginHead"/>
            </w:pPr>
            <w:r w:rsidRPr="005D4222">
              <w:t xml:space="preserve">Denominator exclusions </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601B10C0" w14:textId="77777777" w:rsidR="00E76D86" w:rsidRPr="005D4222" w:rsidRDefault="00E76D86">
            <w:pPr>
              <w:pStyle w:val="ECDSBody"/>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p w14:paraId="095E83F9" w14:textId="77777777" w:rsidR="00E76D86" w:rsidRPr="005D4222" w:rsidRDefault="00E76D86">
            <w:pPr>
              <w:pStyle w:val="ECDSBody"/>
              <w:rPr>
                <w:rFonts w:eastAsia="Arial,Arial,Arial,Arial,Arial,A"/>
              </w:rPr>
            </w:pPr>
            <w:r w:rsidRPr="005D4222" w:rsidDel="00A91419">
              <w:rPr>
                <w:rFonts w:eastAsia="Arial,Arial,Arial,Arial,Arial,A"/>
                <w:b/>
              </w:rPr>
              <w:t xml:space="preserve">Persons </w:t>
            </w:r>
            <w:r w:rsidRPr="005D4222">
              <w:rPr>
                <w:rFonts w:eastAsia="Arial,Arial,Arial,Arial,Arial,A"/>
                <w:b/>
              </w:rPr>
              <w:t>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09F9A25B" w14:textId="77777777" w:rsidR="00E76D86" w:rsidRPr="005D4222" w:rsidRDefault="00E76D86">
            <w:pPr>
              <w:pStyle w:val="ECDSBody"/>
              <w:rPr>
                <w:rFonts w:eastAsia="Arial,Arial,Arial,Arial,Arial,A"/>
              </w:rPr>
            </w:pPr>
            <w:r w:rsidRPr="005D4222" w:rsidDel="00AA4A01">
              <w:rPr>
                <w:b/>
              </w:rPr>
              <w:t xml:space="preserve">Persons </w:t>
            </w:r>
            <w:r w:rsidRPr="005D4222">
              <w:rPr>
                <w:b/>
              </w:rPr>
              <w:t>receiving palliative care.</w:t>
            </w:r>
            <w:r w:rsidRPr="005D4222">
              <w:rPr>
                <w:b/>
              </w:rPr>
              <w:br/>
            </w:r>
            <w:r w:rsidRPr="005D4222">
              <w:t>Persons receiving palliative care (</w:t>
            </w:r>
            <w:r w:rsidRPr="005D4222">
              <w:rPr>
                <w:u w:val="single"/>
              </w:rPr>
              <w:t>Palliative Care Assessment Value Set</w:t>
            </w:r>
            <w:r w:rsidRPr="005D4222">
              <w:t xml:space="preserve">; </w:t>
            </w:r>
            <w:r w:rsidRPr="005D4222">
              <w:rPr>
                <w:u w:val="single"/>
              </w:rPr>
              <w:t>Palliative Care Encounter Value Set</w:t>
            </w:r>
            <w:r w:rsidRPr="005D4222">
              <w:t xml:space="preserve">; </w:t>
            </w:r>
            <w:r w:rsidRPr="005D4222">
              <w:rPr>
                <w:u w:val="single"/>
              </w:rPr>
              <w:t>Palliative Care Intervention Value Set</w:t>
            </w:r>
            <w:r w:rsidRPr="005D4222">
              <w:t>) or who had an encounter for palliative care (ICD-10-CM code Z51.5*) any time during the measurement period.</w:t>
            </w:r>
          </w:p>
          <w:p w14:paraId="48D627B1" w14:textId="77777777" w:rsidR="00E76D86" w:rsidRPr="005D4222" w:rsidRDefault="00E76D86">
            <w:pPr>
              <w:pStyle w:val="ECDSBody"/>
              <w:spacing w:after="0"/>
              <w:rPr>
                <w:rFonts w:eastAsia="Arial,Arial,Arial,Arial,Arial,A"/>
                <w:b/>
                <w:bCs w:val="0"/>
              </w:rPr>
            </w:pPr>
            <w:r w:rsidRPr="005D4222">
              <w:rPr>
                <w:rFonts w:eastAsia="Arial,Arial,Arial,Arial,Arial,A"/>
                <w:b/>
                <w:bCs w:val="0"/>
              </w:rPr>
              <w:t>Coding Guidance</w:t>
            </w:r>
          </w:p>
          <w:p w14:paraId="5ABD98B3" w14:textId="77777777" w:rsidR="00E76D86" w:rsidRPr="005D4222" w:rsidRDefault="00E76D86">
            <w:pPr>
              <w:pStyle w:val="ECDSBody"/>
              <w:spacing w:before="0"/>
              <w:rPr>
                <w:rFonts w:asciiTheme="majorHAnsi" w:eastAsiaTheme="majorEastAsia" w:hAnsiTheme="majorHAnsi"/>
                <w:color w:val="2F5496" w:themeColor="accent1" w:themeShade="BF"/>
              </w:rPr>
            </w:pPr>
            <w:r w:rsidRPr="005D4222">
              <w:rPr>
                <w:rFonts w:eastAsia="Arial,Arial,Arial,Arial,Arial,A"/>
              </w:rPr>
              <w:t>*Do not include laboratory claims (claims with POS code 81).</w:t>
            </w:r>
          </w:p>
        </w:tc>
      </w:tr>
      <w:tr w:rsidR="00E76D86" w:rsidRPr="005D4222" w14:paraId="7E46A8E0" w14:textId="77777777" w:rsidTr="00761C6B">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0053E5B" w14:textId="77777777" w:rsidR="00E76D86" w:rsidRPr="005D4222" w:rsidRDefault="00E76D86">
            <w:pPr>
              <w:pStyle w:val="ECDSMarginHead"/>
            </w:pPr>
            <w:r w:rsidRPr="005D4222">
              <w:t>Denominator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435C801" w14:textId="77777777" w:rsidR="00E76D86" w:rsidRPr="005D4222" w:rsidRDefault="00E76D86">
            <w:pPr>
              <w:pStyle w:val="ECDSBody"/>
              <w:rPr>
                <w:rFonts w:eastAsia="Arial,Arial,Arial,Arial,Arial,A"/>
                <w:b/>
                <w:kern w:val="24"/>
                <w14:ligatures w14:val="standardContextual"/>
              </w:rPr>
            </w:pPr>
            <w:r w:rsidRPr="005D4222">
              <w:rPr>
                <w:rFonts w:eastAsia="Arial,Arial,Arial,Arial,Arial,A"/>
              </w:rPr>
              <w:t>The initial population minus denominator exclusions.</w:t>
            </w:r>
          </w:p>
        </w:tc>
      </w:tr>
      <w:tr w:rsidR="00E76D86" w:rsidRPr="005D4222" w14:paraId="0DD0CDED" w14:textId="77777777" w:rsidTr="00A47704">
        <w:tc>
          <w:tcPr>
            <w:tcW w:w="2157"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77C99142" w14:textId="77777777" w:rsidR="00E76D86" w:rsidRPr="005D4222" w:rsidRDefault="00E76D86">
            <w:pPr>
              <w:pStyle w:val="ECDSMarginHead"/>
            </w:pPr>
            <w:r w:rsidRPr="005D4222">
              <w:t>Numerator</w:t>
            </w: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tcPr>
          <w:p w14:paraId="0AD682CC" w14:textId="77777777" w:rsidR="00E76D86" w:rsidRPr="005D4222" w:rsidRDefault="00E76D86">
            <w:pPr>
              <w:pStyle w:val="ECDSBody"/>
            </w:pPr>
            <w:r w:rsidRPr="005D4222">
              <w:rPr>
                <w:b/>
                <w:bCs w:val="0"/>
              </w:rPr>
              <w:t>Numerator 1: High-risk medications to avoid.</w:t>
            </w:r>
            <w:r w:rsidRPr="005D4222">
              <w:br/>
              <w:t>Persons who received at least two dispensing events for high-risk medications from the same drug class during the measurement period.</w:t>
            </w:r>
          </w:p>
          <w:p w14:paraId="4BD1032D" w14:textId="77777777" w:rsidR="00761C6B" w:rsidRPr="005D4222" w:rsidRDefault="00E76D86" w:rsidP="00761C6B">
            <w:pPr>
              <w:pStyle w:val="ECDSBody"/>
              <w:rPr>
                <w:b/>
                <w:bCs w:val="0"/>
              </w:rPr>
            </w:pPr>
            <w:r w:rsidRPr="005D4222">
              <w:t>Follow the instructions for each medication group below (high-risk medications, high-risk medications with days supply criteria, high-risk medications with average daily dose criteria) to identify numerator compliance. If a person meets criteria for at least one of the following medication groups, they are numerator compliant. Include people who meet criteria for more than one medication group only once in the numerator.</w:t>
            </w:r>
          </w:p>
          <w:p w14:paraId="6555209B" w14:textId="7C5B2981" w:rsidR="00E156B6" w:rsidRPr="005D4222" w:rsidRDefault="00761C6B" w:rsidP="00F12823">
            <w:pPr>
              <w:pStyle w:val="ECDSBody"/>
              <w:rPr>
                <w:b/>
                <w:bCs w:val="0"/>
              </w:rPr>
            </w:pPr>
            <w:r w:rsidRPr="005D4222">
              <w:rPr>
                <w:b/>
                <w:i/>
              </w:rPr>
              <w:t>High-risk medications.</w:t>
            </w:r>
            <w:r w:rsidRPr="005D4222">
              <w:rPr>
                <w:i/>
              </w:rPr>
              <w:t xml:space="preserve"> </w:t>
            </w:r>
            <w:r w:rsidRPr="005D4222">
              <w:rPr>
                <w:i/>
              </w:rPr>
              <w:br/>
            </w:r>
            <w:r w:rsidRPr="005D4222">
              <w:t xml:space="preserve">Persons with two or more dispensing events (any days supply) for high-risk medications from the same drug class on different dates of service during the measurement period are numerator compliant. </w:t>
            </w:r>
          </w:p>
        </w:tc>
      </w:tr>
      <w:tr w:rsidR="00761C6B" w:rsidRPr="005D4222" w14:paraId="34343D17" w14:textId="77777777" w:rsidTr="00A53E8C">
        <w:trPr>
          <w:trHeight w:val="12625"/>
        </w:trPr>
        <w:tc>
          <w:tcPr>
            <w:tcW w:w="2157"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1DED3FBC" w14:textId="77777777" w:rsidR="00761C6B" w:rsidRPr="005D4222" w:rsidRDefault="00761C6B">
            <w:pPr>
              <w:pStyle w:val="ECDSMarginHead"/>
            </w:pP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vAlign w:val="center"/>
          </w:tcPr>
          <w:p w14:paraId="6AB894BB" w14:textId="77777777" w:rsidR="00761C6B" w:rsidRPr="005D4222" w:rsidRDefault="00761C6B" w:rsidP="00761C6B">
            <w:pPr>
              <w:pStyle w:val="ECDSBody"/>
            </w:pPr>
            <w:r w:rsidRPr="005D4222">
              <w:t>Use the medication lists to determine if drugs are in the same or different drug class. Drugs in the same medication list are considered to be in the same drug class.</w:t>
            </w:r>
          </w:p>
          <w:p w14:paraId="462EBDC6" w14:textId="77777777" w:rsidR="00761C6B" w:rsidRPr="005D4222" w:rsidRDefault="00761C6B" w:rsidP="00761C6B">
            <w:pPr>
              <w:pStyle w:val="Heading3"/>
              <w:spacing w:before="120"/>
            </w:pPr>
            <w:r w:rsidRPr="005D4222">
              <w:rPr>
                <w:szCs w:val="18"/>
              </w:rPr>
              <w:t>High-Risk Medications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86"/>
              <w:gridCol w:w="3686"/>
            </w:tblGrid>
            <w:tr w:rsidR="00761C6B" w:rsidRPr="005D4222" w14:paraId="61ABD4D3" w14:textId="77777777" w:rsidTr="00A53E8C">
              <w:trPr>
                <w:tblHeader/>
              </w:trPr>
              <w:tc>
                <w:tcPr>
                  <w:tcW w:w="2500" w:type="pct"/>
                  <w:tcBorders>
                    <w:top w:val="single" w:sz="18" w:space="0" w:color="auto"/>
                    <w:bottom w:val="single" w:sz="4" w:space="0" w:color="auto"/>
                    <w:right w:val="single" w:sz="4" w:space="0" w:color="FFFFFF" w:themeColor="background1"/>
                  </w:tcBorders>
                  <w:shd w:val="clear" w:color="auto" w:fill="000000" w:themeFill="text1"/>
                  <w:vAlign w:val="bottom"/>
                </w:tcPr>
                <w:p w14:paraId="0A3327BB" w14:textId="77777777" w:rsidR="00761C6B" w:rsidRPr="005D4222" w:rsidRDefault="00761C6B" w:rsidP="00761C6B">
                  <w:pPr>
                    <w:pStyle w:val="TableHead"/>
                  </w:pPr>
                  <w:r w:rsidRPr="005D4222">
                    <w:t>Drug Class</w:t>
                  </w:r>
                </w:p>
              </w:tc>
              <w:tc>
                <w:tcPr>
                  <w:tcW w:w="2500" w:type="pct"/>
                  <w:tcBorders>
                    <w:top w:val="single" w:sz="18" w:space="0" w:color="auto"/>
                    <w:left w:val="single" w:sz="4" w:space="0" w:color="FFFFFF" w:themeColor="background1"/>
                    <w:bottom w:val="single" w:sz="4" w:space="0" w:color="auto"/>
                    <w:right w:val="single" w:sz="6" w:space="0" w:color="auto"/>
                  </w:tcBorders>
                  <w:shd w:val="clear" w:color="auto" w:fill="000000" w:themeFill="text1"/>
                  <w:vAlign w:val="bottom"/>
                </w:tcPr>
                <w:p w14:paraId="6787D965" w14:textId="77777777" w:rsidR="00761C6B" w:rsidRPr="005D4222" w:rsidRDefault="00761C6B" w:rsidP="00761C6B">
                  <w:pPr>
                    <w:pStyle w:val="TableHead"/>
                  </w:pPr>
                  <w:r w:rsidRPr="005D4222">
                    <w:t>Medication Lists</w:t>
                  </w:r>
                </w:p>
              </w:tc>
            </w:tr>
            <w:tr w:rsidR="00761C6B" w:rsidRPr="005D4222" w14:paraId="1E705C2E" w14:textId="77777777" w:rsidTr="00A53E8C">
              <w:tc>
                <w:tcPr>
                  <w:tcW w:w="2500" w:type="pct"/>
                  <w:tcBorders>
                    <w:left w:val="single" w:sz="4" w:space="0" w:color="auto"/>
                    <w:bottom w:val="single" w:sz="4" w:space="0" w:color="auto"/>
                    <w:right w:val="single" w:sz="4" w:space="0" w:color="auto"/>
                  </w:tcBorders>
                  <w:shd w:val="clear" w:color="auto" w:fill="FFFFFF" w:themeFill="background1"/>
                </w:tcPr>
                <w:p w14:paraId="18109A64" w14:textId="77777777" w:rsidR="00761C6B" w:rsidRPr="005D4222" w:rsidRDefault="00761C6B" w:rsidP="00761C6B">
                  <w:pPr>
                    <w:pStyle w:val="TableText"/>
                    <w:rPr>
                      <w:snapToGrid w:val="0"/>
                      <w:szCs w:val="21"/>
                    </w:rPr>
                  </w:pPr>
                  <w:r w:rsidRPr="005D4222">
                    <w:rPr>
                      <w:snapToGrid w:val="0"/>
                      <w:szCs w:val="21"/>
                    </w:rPr>
                    <w:t xml:space="preserve">Anticholinergics, first-generation antihistamines </w:t>
                  </w:r>
                </w:p>
              </w:tc>
              <w:tc>
                <w:tcPr>
                  <w:tcW w:w="2500" w:type="pct"/>
                  <w:tcBorders>
                    <w:top w:val="single" w:sz="4" w:space="0" w:color="auto"/>
                    <w:left w:val="single" w:sz="6" w:space="0" w:color="auto"/>
                    <w:bottom w:val="single" w:sz="4" w:space="0" w:color="auto"/>
                    <w:right w:val="single" w:sz="6" w:space="0" w:color="auto"/>
                  </w:tcBorders>
                  <w:shd w:val="clear" w:color="auto" w:fill="FFFFFF" w:themeFill="background1"/>
                </w:tcPr>
                <w:p w14:paraId="4FFFABD8" w14:textId="77777777" w:rsidR="00761C6B" w:rsidRPr="005D4222" w:rsidRDefault="00761C6B" w:rsidP="00761C6B">
                  <w:pPr>
                    <w:spacing w:before="74" w:after="74" w:line="216" w:lineRule="auto"/>
                    <w:rPr>
                      <w:rFonts w:ascii="Arial Narrow" w:hAnsi="Arial Narrow"/>
                      <w:u w:val="single"/>
                    </w:rPr>
                  </w:pPr>
                  <w:r w:rsidRPr="005D4222">
                    <w:rPr>
                      <w:rFonts w:ascii="Arial Narrow" w:hAnsi="Arial Narrow"/>
                      <w:u w:val="single"/>
                    </w:rPr>
                    <w:t>Potentially Harmful Antihistamines for Older Adults Medications List</w:t>
                  </w:r>
                </w:p>
              </w:tc>
            </w:tr>
            <w:tr w:rsidR="00761C6B" w:rsidRPr="005D4222" w14:paraId="33120553" w14:textId="77777777" w:rsidTr="00A53E8C">
              <w:tc>
                <w:tcPr>
                  <w:tcW w:w="2500" w:type="pct"/>
                  <w:tcBorders>
                    <w:top w:val="nil"/>
                    <w:left w:val="single" w:sz="4" w:space="0" w:color="auto"/>
                    <w:bottom w:val="single" w:sz="4" w:space="0" w:color="auto"/>
                    <w:right w:val="single" w:sz="4" w:space="0" w:color="auto"/>
                  </w:tcBorders>
                  <w:shd w:val="clear" w:color="auto" w:fill="FFFFFF" w:themeFill="background1"/>
                </w:tcPr>
                <w:p w14:paraId="578D1AF7" w14:textId="77777777" w:rsidR="00761C6B" w:rsidRPr="005D4222" w:rsidRDefault="00761C6B" w:rsidP="00761C6B">
                  <w:pPr>
                    <w:pStyle w:val="TableText"/>
                    <w:rPr>
                      <w:snapToGrid w:val="0"/>
                      <w:szCs w:val="21"/>
                    </w:rPr>
                  </w:pPr>
                  <w:r w:rsidRPr="005D4222">
                    <w:rPr>
                      <w:snapToGrid w:val="0"/>
                      <w:szCs w:val="21"/>
                    </w:rPr>
                    <w:t>Anticholinergics, anti-Parkinson agents</w:t>
                  </w:r>
                </w:p>
              </w:tc>
              <w:tc>
                <w:tcPr>
                  <w:tcW w:w="2500" w:type="pct"/>
                  <w:tcBorders>
                    <w:top w:val="nil"/>
                    <w:left w:val="single" w:sz="4" w:space="0" w:color="auto"/>
                    <w:bottom w:val="single" w:sz="4" w:space="0" w:color="auto"/>
                    <w:right w:val="single" w:sz="4" w:space="0" w:color="auto"/>
                  </w:tcBorders>
                  <w:shd w:val="clear" w:color="auto" w:fill="FFFFFF" w:themeFill="background1"/>
                </w:tcPr>
                <w:p w14:paraId="5B504FCB" w14:textId="77777777" w:rsidR="00761C6B" w:rsidRPr="005D4222" w:rsidRDefault="00761C6B" w:rsidP="00761C6B">
                  <w:pPr>
                    <w:spacing w:before="60" w:after="60" w:line="216" w:lineRule="auto"/>
                    <w:rPr>
                      <w:rFonts w:ascii="Arial Narrow" w:hAnsi="Arial Narrow"/>
                      <w:u w:val="single"/>
                    </w:rPr>
                  </w:pPr>
                  <w:r w:rsidRPr="005D4222">
                    <w:rPr>
                      <w:rFonts w:ascii="Arial Narrow" w:hAnsi="Arial Narrow"/>
                      <w:u w:val="single"/>
                    </w:rPr>
                    <w:t>Potentially Harmful Antiparkinsonian Agents for Older Adults Medications List</w:t>
                  </w:r>
                </w:p>
              </w:tc>
            </w:tr>
            <w:tr w:rsidR="00761C6B" w:rsidRPr="005D4222" w14:paraId="7C0B88FF" w14:textId="77777777" w:rsidTr="00A53E8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55630E2D" w14:textId="77777777" w:rsidR="00761C6B" w:rsidRPr="005D4222" w:rsidRDefault="00761C6B" w:rsidP="00761C6B">
                  <w:pPr>
                    <w:pStyle w:val="TableText"/>
                    <w:rPr>
                      <w:snapToGrid w:val="0"/>
                      <w:szCs w:val="21"/>
                    </w:rPr>
                  </w:pPr>
                  <w:r w:rsidRPr="005D4222">
                    <w:rPr>
                      <w:snapToGrid w:val="0"/>
                      <w:szCs w:val="21"/>
                    </w:rPr>
                    <w:t>Antispasmodics</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5423CA0F" w14:textId="77777777" w:rsidR="00761C6B" w:rsidRPr="005D4222" w:rsidRDefault="00761C6B" w:rsidP="00761C6B">
                  <w:pPr>
                    <w:spacing w:before="72" w:after="72" w:line="216" w:lineRule="auto"/>
                    <w:rPr>
                      <w:rFonts w:ascii="Arial Narrow" w:hAnsi="Arial Narrow"/>
                      <w:u w:val="single"/>
                    </w:rPr>
                  </w:pPr>
                  <w:r w:rsidRPr="005D4222">
                    <w:rPr>
                      <w:rFonts w:ascii="Arial Narrow" w:hAnsi="Arial Narrow"/>
                      <w:u w:val="single"/>
                    </w:rPr>
                    <w:t>Potentially Harmful Gastrointestinal Antispasmodics for Older Adults Medications List</w:t>
                  </w:r>
                </w:p>
              </w:tc>
            </w:tr>
            <w:tr w:rsidR="00761C6B" w:rsidRPr="005D4222" w14:paraId="2C46A906" w14:textId="77777777" w:rsidTr="00A53E8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61939FE3" w14:textId="77777777" w:rsidR="00761C6B" w:rsidRPr="005D4222" w:rsidRDefault="00761C6B" w:rsidP="00761C6B">
                  <w:pPr>
                    <w:pStyle w:val="TableText"/>
                    <w:rPr>
                      <w:szCs w:val="21"/>
                    </w:rPr>
                  </w:pPr>
                  <w:r w:rsidRPr="005D4222">
                    <w:rPr>
                      <w:szCs w:val="21"/>
                    </w:rPr>
                    <w:t>Antithrombotic</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7769AE0A" w14:textId="77777777" w:rsidR="00761C6B" w:rsidRPr="005D4222" w:rsidRDefault="00761C6B" w:rsidP="00761C6B">
                  <w:pPr>
                    <w:spacing w:before="60" w:after="60" w:line="216" w:lineRule="auto"/>
                    <w:ind w:left="158" w:hanging="158"/>
                    <w:rPr>
                      <w:rFonts w:ascii="Arial Narrow" w:hAnsi="Arial Narrow"/>
                      <w:u w:val="single"/>
                    </w:rPr>
                  </w:pPr>
                  <w:r w:rsidRPr="005D4222">
                    <w:rPr>
                      <w:rFonts w:ascii="Arial Narrow" w:hAnsi="Arial Narrow"/>
                      <w:u w:val="single"/>
                    </w:rPr>
                    <w:t>Dipyridamole Medications List</w:t>
                  </w:r>
                </w:p>
              </w:tc>
            </w:tr>
            <w:tr w:rsidR="00761C6B" w:rsidRPr="005D4222" w14:paraId="2506661C" w14:textId="77777777" w:rsidTr="00A53E8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2DCF1A88" w14:textId="77777777" w:rsidR="00761C6B" w:rsidRPr="005D4222" w:rsidRDefault="00761C6B" w:rsidP="00761C6B">
                  <w:pPr>
                    <w:pStyle w:val="TableText"/>
                    <w:rPr>
                      <w:szCs w:val="21"/>
                    </w:rPr>
                  </w:pPr>
                  <w:r w:rsidRPr="005D4222">
                    <w:rPr>
                      <w:szCs w:val="21"/>
                    </w:rPr>
                    <w:t>Cardiovascular, alpha agonists, central</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7D399497" w14:textId="77777777" w:rsidR="00761C6B" w:rsidRPr="005D4222" w:rsidRDefault="00761C6B" w:rsidP="00761C6B">
                  <w:pPr>
                    <w:spacing w:before="60" w:after="60" w:line="216" w:lineRule="auto"/>
                    <w:rPr>
                      <w:rFonts w:ascii="Arial Narrow" w:hAnsi="Arial Narrow"/>
                      <w:u w:val="single"/>
                    </w:rPr>
                  </w:pPr>
                  <w:r w:rsidRPr="005D4222">
                    <w:rPr>
                      <w:rFonts w:ascii="Arial Narrow" w:hAnsi="Arial Narrow"/>
                      <w:u w:val="single"/>
                    </w:rPr>
                    <w:t>Guanfacine Medications List</w:t>
                  </w:r>
                </w:p>
              </w:tc>
            </w:tr>
            <w:tr w:rsidR="00761C6B" w:rsidRPr="005D4222" w14:paraId="2A10B9A0" w14:textId="77777777" w:rsidTr="00A53E8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01880064" w14:textId="77777777" w:rsidR="00761C6B" w:rsidRPr="005D4222" w:rsidRDefault="00761C6B" w:rsidP="00761C6B">
                  <w:pPr>
                    <w:pStyle w:val="TableText"/>
                    <w:rPr>
                      <w:szCs w:val="21"/>
                    </w:rPr>
                  </w:pPr>
                  <w:r w:rsidRPr="005D4222">
                    <w:rPr>
                      <w:szCs w:val="21"/>
                    </w:rPr>
                    <w:t>Cardiovascular, other</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5983A2FD" w14:textId="77777777" w:rsidR="00761C6B" w:rsidRPr="005D4222" w:rsidRDefault="00761C6B" w:rsidP="00761C6B">
                  <w:pPr>
                    <w:spacing w:before="60" w:after="60" w:line="216" w:lineRule="auto"/>
                    <w:rPr>
                      <w:rFonts w:ascii="Arial Narrow" w:hAnsi="Arial Narrow"/>
                      <w:u w:val="single"/>
                    </w:rPr>
                  </w:pPr>
                  <w:r w:rsidRPr="005D4222">
                    <w:rPr>
                      <w:rFonts w:ascii="Arial Narrow" w:hAnsi="Arial Narrow"/>
                      <w:u w:val="single"/>
                    </w:rPr>
                    <w:t>Nifedipine Medications List</w:t>
                  </w:r>
                </w:p>
              </w:tc>
            </w:tr>
            <w:tr w:rsidR="00761C6B" w:rsidRPr="005D4222" w14:paraId="5BF8250D" w14:textId="77777777" w:rsidTr="00A53E8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5EADFBC6" w14:textId="77777777" w:rsidR="00761C6B" w:rsidRPr="005D4222" w:rsidRDefault="00761C6B" w:rsidP="00761C6B">
                  <w:pPr>
                    <w:pStyle w:val="TableText"/>
                    <w:rPr>
                      <w:szCs w:val="21"/>
                    </w:rPr>
                  </w:pPr>
                  <w:r w:rsidRPr="005D4222">
                    <w:rPr>
                      <w:szCs w:val="21"/>
                    </w:rPr>
                    <w:t>Central nervous system, antidepressants</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53A0D42A" w14:textId="77777777" w:rsidR="00761C6B" w:rsidRPr="005D4222" w:rsidRDefault="00761C6B" w:rsidP="00761C6B">
                  <w:pPr>
                    <w:widowControl w:val="0"/>
                    <w:spacing w:before="60" w:after="60" w:line="216" w:lineRule="auto"/>
                    <w:rPr>
                      <w:rFonts w:ascii="Arial Narrow" w:hAnsi="Arial Narrow"/>
                      <w:u w:val="single"/>
                    </w:rPr>
                  </w:pPr>
                  <w:r w:rsidRPr="005D4222">
                    <w:rPr>
                      <w:rFonts w:ascii="Arial Narrow" w:hAnsi="Arial Narrow"/>
                      <w:u w:val="single"/>
                    </w:rPr>
                    <w:t>Potentially Harmful Antidepressants for Older Adults Medications List</w:t>
                  </w:r>
                </w:p>
              </w:tc>
            </w:tr>
            <w:tr w:rsidR="00761C6B" w:rsidRPr="005D4222" w14:paraId="5BA3A623" w14:textId="77777777" w:rsidTr="00A53E8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59B23CBC" w14:textId="77777777" w:rsidR="00761C6B" w:rsidRPr="005D4222" w:rsidRDefault="00761C6B" w:rsidP="00761C6B">
                  <w:pPr>
                    <w:pStyle w:val="TableText"/>
                    <w:rPr>
                      <w:szCs w:val="21"/>
                    </w:rPr>
                  </w:pPr>
                  <w:r w:rsidRPr="005D4222">
                    <w:rPr>
                      <w:szCs w:val="21"/>
                    </w:rPr>
                    <w:t>Central nervous system, barbiturates</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25D0F069" w14:textId="77777777" w:rsidR="00761C6B" w:rsidRPr="005D4222" w:rsidRDefault="00761C6B" w:rsidP="00761C6B">
                  <w:pPr>
                    <w:spacing w:before="70" w:after="70" w:line="216" w:lineRule="auto"/>
                    <w:rPr>
                      <w:rFonts w:ascii="Arial Narrow" w:hAnsi="Arial Narrow"/>
                      <w:u w:val="single"/>
                    </w:rPr>
                  </w:pPr>
                  <w:r w:rsidRPr="005D4222">
                    <w:rPr>
                      <w:rFonts w:ascii="Arial Narrow" w:hAnsi="Arial Narrow"/>
                      <w:u w:val="single"/>
                    </w:rPr>
                    <w:t>Potentially Harmful Barbiturates for Older Adults Medications List</w:t>
                  </w:r>
                </w:p>
              </w:tc>
            </w:tr>
            <w:tr w:rsidR="00761C6B" w:rsidRPr="005D4222" w14:paraId="180FD359" w14:textId="77777777" w:rsidTr="00A53E8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30297D2F" w14:textId="77777777" w:rsidR="00761C6B" w:rsidRPr="005D4222" w:rsidRDefault="00761C6B" w:rsidP="00761C6B">
                  <w:pPr>
                    <w:pStyle w:val="TableText"/>
                    <w:rPr>
                      <w:szCs w:val="21"/>
                    </w:rPr>
                  </w:pPr>
                  <w:r w:rsidRPr="005D4222">
                    <w:rPr>
                      <w:szCs w:val="21"/>
                    </w:rPr>
                    <w:t>Central nervous system, vasodilators</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42B44034" w14:textId="77777777" w:rsidR="00761C6B" w:rsidRPr="005D4222" w:rsidRDefault="00761C6B" w:rsidP="00761C6B">
                  <w:pPr>
                    <w:spacing w:before="60" w:after="60" w:line="216" w:lineRule="auto"/>
                    <w:rPr>
                      <w:rFonts w:ascii="Arial Narrow" w:hAnsi="Arial Narrow"/>
                      <w:u w:val="single"/>
                    </w:rPr>
                  </w:pPr>
                  <w:r w:rsidRPr="005D4222">
                    <w:rPr>
                      <w:rFonts w:ascii="Arial Narrow" w:hAnsi="Arial Narrow"/>
                      <w:u w:val="single"/>
                    </w:rPr>
                    <w:t>Ergoloid Mesylates Medications List</w:t>
                  </w:r>
                </w:p>
              </w:tc>
            </w:tr>
            <w:tr w:rsidR="00761C6B" w:rsidRPr="005D4222" w14:paraId="06271C37" w14:textId="77777777" w:rsidTr="00A53E8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322BC99C" w14:textId="77777777" w:rsidR="00761C6B" w:rsidRPr="005D4222" w:rsidRDefault="00761C6B" w:rsidP="00761C6B">
                  <w:pPr>
                    <w:pStyle w:val="TableText"/>
                    <w:rPr>
                      <w:szCs w:val="21"/>
                    </w:rPr>
                  </w:pPr>
                  <w:r w:rsidRPr="005D4222">
                    <w:rPr>
                      <w:szCs w:val="21"/>
                    </w:rPr>
                    <w:t>Central nervous system, other</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54E23C10" w14:textId="77777777" w:rsidR="00761C6B" w:rsidRPr="005D4222" w:rsidRDefault="00761C6B" w:rsidP="00761C6B">
                  <w:pPr>
                    <w:spacing w:before="60" w:after="60" w:line="216" w:lineRule="auto"/>
                    <w:ind w:left="158" w:hanging="158"/>
                    <w:rPr>
                      <w:rFonts w:ascii="Arial Narrow" w:hAnsi="Arial Narrow"/>
                      <w:u w:val="single"/>
                    </w:rPr>
                  </w:pPr>
                  <w:r w:rsidRPr="005D4222">
                    <w:rPr>
                      <w:rFonts w:ascii="Arial Narrow" w:hAnsi="Arial Narrow"/>
                      <w:u w:val="single"/>
                    </w:rPr>
                    <w:t>Meprobamate Medications List</w:t>
                  </w:r>
                </w:p>
              </w:tc>
            </w:tr>
            <w:tr w:rsidR="00761C6B" w:rsidRPr="005D4222" w14:paraId="3D912AAC" w14:textId="77777777" w:rsidTr="00A53E8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25721AC3" w14:textId="77777777" w:rsidR="00761C6B" w:rsidRPr="005D4222" w:rsidRDefault="00761C6B" w:rsidP="00761C6B">
                  <w:pPr>
                    <w:pStyle w:val="TableText"/>
                    <w:rPr>
                      <w:szCs w:val="21"/>
                    </w:rPr>
                  </w:pPr>
                  <w:r w:rsidRPr="005D4222">
                    <w:rPr>
                      <w:szCs w:val="21"/>
                    </w:rPr>
                    <w:t>Endocrine system, estrogens with or without progestins; include only oral and topical patch products</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257967D5" w14:textId="77777777" w:rsidR="00761C6B" w:rsidRPr="005D4222" w:rsidRDefault="00761C6B" w:rsidP="00761C6B">
                  <w:pPr>
                    <w:spacing w:before="70" w:after="70" w:line="216" w:lineRule="auto"/>
                    <w:rPr>
                      <w:rFonts w:ascii="Arial Narrow" w:hAnsi="Arial Narrow"/>
                      <w:u w:val="single"/>
                    </w:rPr>
                  </w:pPr>
                  <w:r w:rsidRPr="005D4222">
                    <w:rPr>
                      <w:rFonts w:ascii="Arial Narrow" w:hAnsi="Arial Narrow"/>
                      <w:u w:val="single"/>
                    </w:rPr>
                    <w:t>Potentially Harmful Estrogens for Older Adults Medications List</w:t>
                  </w:r>
                </w:p>
              </w:tc>
            </w:tr>
            <w:tr w:rsidR="00761C6B" w:rsidRPr="005D4222" w14:paraId="61C7BDB0" w14:textId="77777777" w:rsidTr="00A53E8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051EEF97" w14:textId="77777777" w:rsidR="00761C6B" w:rsidRPr="005D4222" w:rsidRDefault="00761C6B" w:rsidP="00761C6B">
                  <w:pPr>
                    <w:pStyle w:val="TableText"/>
                    <w:rPr>
                      <w:szCs w:val="21"/>
                    </w:rPr>
                  </w:pPr>
                  <w:r w:rsidRPr="005D4222">
                    <w:rPr>
                      <w:szCs w:val="21"/>
                    </w:rPr>
                    <w:t>Endocrine system, sulfonylureas, long-duration</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0EDA24F0" w14:textId="77777777" w:rsidR="00761C6B" w:rsidRPr="005D4222" w:rsidRDefault="00761C6B" w:rsidP="00761C6B">
                  <w:pPr>
                    <w:spacing w:before="60" w:after="60" w:line="216" w:lineRule="auto"/>
                    <w:rPr>
                      <w:rFonts w:ascii="Arial Narrow" w:hAnsi="Arial Narrow"/>
                      <w:u w:val="single"/>
                    </w:rPr>
                  </w:pPr>
                  <w:r w:rsidRPr="005D4222">
                    <w:rPr>
                      <w:rFonts w:ascii="Arial Narrow" w:hAnsi="Arial Narrow"/>
                      <w:u w:val="single"/>
                    </w:rPr>
                    <w:t>Potentially Harmful Sulfonylureas for Older Adults Medications List</w:t>
                  </w:r>
                </w:p>
              </w:tc>
            </w:tr>
            <w:tr w:rsidR="00761C6B" w:rsidRPr="005D4222" w14:paraId="3F46B249" w14:textId="77777777" w:rsidTr="00A53E8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46C4F31C" w14:textId="77777777" w:rsidR="00761C6B" w:rsidRPr="005D4222" w:rsidRDefault="00761C6B" w:rsidP="00761C6B">
                  <w:pPr>
                    <w:pStyle w:val="TableText"/>
                    <w:rPr>
                      <w:szCs w:val="21"/>
                    </w:rPr>
                  </w:pPr>
                  <w:r w:rsidRPr="005D4222">
                    <w:rPr>
                      <w:szCs w:val="21"/>
                    </w:rPr>
                    <w:t>Endocrine system, desiccated thyroid</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0CAF61C6" w14:textId="77777777" w:rsidR="00761C6B" w:rsidRPr="005D4222" w:rsidRDefault="00761C6B" w:rsidP="00761C6B">
                  <w:pPr>
                    <w:spacing w:before="60" w:after="60" w:line="216" w:lineRule="auto"/>
                    <w:rPr>
                      <w:rFonts w:ascii="Arial Narrow" w:hAnsi="Arial Narrow"/>
                      <w:u w:val="single"/>
                    </w:rPr>
                  </w:pPr>
                  <w:r w:rsidRPr="005D4222">
                    <w:rPr>
                      <w:rFonts w:ascii="Arial Narrow" w:hAnsi="Arial Narrow"/>
                      <w:u w:val="single"/>
                    </w:rPr>
                    <w:t>Desiccated Thyroid Medications List</w:t>
                  </w:r>
                </w:p>
              </w:tc>
            </w:tr>
            <w:tr w:rsidR="00761C6B" w:rsidRPr="005D4222" w14:paraId="498304D7" w14:textId="77777777" w:rsidTr="00A53E8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16326DB1" w14:textId="77777777" w:rsidR="00761C6B" w:rsidRPr="005D4222" w:rsidRDefault="00761C6B" w:rsidP="00761C6B">
                  <w:pPr>
                    <w:pStyle w:val="TableText"/>
                    <w:rPr>
                      <w:szCs w:val="21"/>
                    </w:rPr>
                  </w:pPr>
                  <w:r w:rsidRPr="005D4222">
                    <w:rPr>
                      <w:szCs w:val="21"/>
                    </w:rPr>
                    <w:t>Endocrine system, megestrol</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27A6EA9B" w14:textId="77777777" w:rsidR="00761C6B" w:rsidRPr="005D4222" w:rsidRDefault="00761C6B" w:rsidP="00761C6B">
                  <w:pPr>
                    <w:spacing w:before="60" w:after="60" w:line="216" w:lineRule="auto"/>
                    <w:rPr>
                      <w:rFonts w:ascii="Arial Narrow" w:hAnsi="Arial Narrow"/>
                      <w:u w:val="single"/>
                    </w:rPr>
                  </w:pPr>
                  <w:r w:rsidRPr="005D4222">
                    <w:rPr>
                      <w:rFonts w:ascii="Arial Narrow" w:hAnsi="Arial Narrow"/>
                      <w:u w:val="single"/>
                    </w:rPr>
                    <w:t>Megestrol Medications List</w:t>
                  </w:r>
                </w:p>
              </w:tc>
            </w:tr>
            <w:tr w:rsidR="00761C6B" w:rsidRPr="005D4222" w14:paraId="3E7FFB81" w14:textId="77777777" w:rsidTr="00A53E8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425D7F5A" w14:textId="77777777" w:rsidR="00761C6B" w:rsidRPr="005D4222" w:rsidRDefault="00761C6B" w:rsidP="00761C6B">
                  <w:pPr>
                    <w:pStyle w:val="TableText"/>
                    <w:rPr>
                      <w:szCs w:val="21"/>
                    </w:rPr>
                  </w:pPr>
                  <w:r w:rsidRPr="005D4222">
                    <w:rPr>
                      <w:szCs w:val="21"/>
                    </w:rPr>
                    <w:t>Nonbenzodiazepine hypnotics</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17EB71F8" w14:textId="77777777" w:rsidR="00761C6B" w:rsidRPr="005D4222" w:rsidRDefault="00761C6B" w:rsidP="00761C6B">
                  <w:pPr>
                    <w:spacing w:before="60" w:after="60" w:line="216" w:lineRule="auto"/>
                    <w:rPr>
                      <w:rFonts w:ascii="Arial Narrow" w:hAnsi="Arial Narrow"/>
                      <w:u w:val="single"/>
                    </w:rPr>
                  </w:pPr>
                  <w:r w:rsidRPr="005D4222">
                    <w:rPr>
                      <w:rFonts w:ascii="Arial Narrow" w:hAnsi="Arial Narrow"/>
                      <w:u w:val="single"/>
                    </w:rPr>
                    <w:t>Potentially Harmful Nonbenzodiazepine Hypnotics for Older Adults Medications List</w:t>
                  </w:r>
                </w:p>
              </w:tc>
            </w:tr>
            <w:tr w:rsidR="00761C6B" w:rsidRPr="005D4222" w14:paraId="15A3AE48" w14:textId="77777777" w:rsidTr="00A53E8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4EE0577C" w14:textId="77777777" w:rsidR="00761C6B" w:rsidRPr="005D4222" w:rsidRDefault="00761C6B" w:rsidP="00761C6B">
                  <w:pPr>
                    <w:pStyle w:val="TableText"/>
                    <w:rPr>
                      <w:szCs w:val="21"/>
                    </w:rPr>
                  </w:pPr>
                  <w:r w:rsidRPr="005D4222">
                    <w:rPr>
                      <w:szCs w:val="21"/>
                    </w:rPr>
                    <w:t xml:space="preserve">Pain medications, skeletal muscle relaxants </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0F88FECD" w14:textId="77777777" w:rsidR="00761C6B" w:rsidRPr="005D4222" w:rsidRDefault="00761C6B" w:rsidP="00761C6B">
                  <w:pPr>
                    <w:spacing w:before="70" w:after="70" w:line="216" w:lineRule="auto"/>
                    <w:rPr>
                      <w:rFonts w:ascii="Arial Narrow" w:hAnsi="Arial Narrow"/>
                      <w:u w:val="single"/>
                    </w:rPr>
                  </w:pPr>
                  <w:r w:rsidRPr="005D4222">
                    <w:rPr>
                      <w:rFonts w:ascii="Arial Narrow" w:hAnsi="Arial Narrow"/>
                      <w:u w:val="single"/>
                    </w:rPr>
                    <w:t>Potentially Harmful Skeletal Muscle Relaxants for Older Adults Medications List</w:t>
                  </w:r>
                </w:p>
              </w:tc>
            </w:tr>
            <w:tr w:rsidR="00761C6B" w:rsidRPr="005D4222" w14:paraId="1313336A" w14:textId="77777777" w:rsidTr="007B5FC3">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4361AF49" w14:textId="77777777" w:rsidR="00761C6B" w:rsidRPr="005D4222" w:rsidRDefault="00761C6B" w:rsidP="00761C6B">
                  <w:pPr>
                    <w:pStyle w:val="TableText"/>
                    <w:rPr>
                      <w:szCs w:val="21"/>
                    </w:rPr>
                  </w:pPr>
                  <w:r w:rsidRPr="005D4222">
                    <w:rPr>
                      <w:szCs w:val="21"/>
                    </w:rPr>
                    <w:t>Pain medications, meperidine</w:t>
                  </w:r>
                </w:p>
              </w:tc>
              <w:tc>
                <w:tcPr>
                  <w:tcW w:w="2500" w:type="pct"/>
                  <w:tcBorders>
                    <w:top w:val="single" w:sz="4" w:space="0" w:color="auto"/>
                    <w:left w:val="single" w:sz="4" w:space="0" w:color="auto"/>
                    <w:bottom w:val="single" w:sz="4" w:space="0" w:color="auto"/>
                    <w:right w:val="single" w:sz="4" w:space="0" w:color="auto"/>
                  </w:tcBorders>
                </w:tcPr>
                <w:p w14:paraId="158E6707" w14:textId="77777777" w:rsidR="00761C6B" w:rsidRPr="005D4222" w:rsidRDefault="00761C6B" w:rsidP="00761C6B">
                  <w:pPr>
                    <w:spacing w:before="60" w:after="60" w:line="216" w:lineRule="auto"/>
                    <w:rPr>
                      <w:rFonts w:ascii="Arial Narrow" w:hAnsi="Arial Narrow"/>
                      <w:u w:val="single"/>
                    </w:rPr>
                  </w:pPr>
                  <w:r w:rsidRPr="005D4222">
                    <w:rPr>
                      <w:rFonts w:ascii="Arial Narrow" w:hAnsi="Arial Narrow"/>
                      <w:u w:val="single"/>
                    </w:rPr>
                    <w:t>Meperidine Combinations Medications List</w:t>
                  </w:r>
                </w:p>
              </w:tc>
            </w:tr>
            <w:tr w:rsidR="00761C6B" w:rsidRPr="005D4222" w14:paraId="51AB1168" w14:textId="77777777" w:rsidTr="007B5FC3">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62A82201" w14:textId="77777777" w:rsidR="00761C6B" w:rsidRPr="005D4222" w:rsidRDefault="00761C6B" w:rsidP="00761C6B">
                  <w:pPr>
                    <w:pStyle w:val="TableText"/>
                    <w:rPr>
                      <w:szCs w:val="21"/>
                    </w:rPr>
                  </w:pPr>
                  <w:r w:rsidRPr="005D4222">
                    <w:rPr>
                      <w:szCs w:val="21"/>
                    </w:rPr>
                    <w:t>Pain medications, other</w:t>
                  </w:r>
                </w:p>
              </w:tc>
              <w:tc>
                <w:tcPr>
                  <w:tcW w:w="2500" w:type="pct"/>
                  <w:tcBorders>
                    <w:top w:val="single" w:sz="4" w:space="0" w:color="auto"/>
                    <w:left w:val="single" w:sz="4" w:space="0" w:color="auto"/>
                    <w:bottom w:val="single" w:sz="4" w:space="0" w:color="auto"/>
                    <w:right w:val="single" w:sz="4" w:space="0" w:color="auto"/>
                  </w:tcBorders>
                </w:tcPr>
                <w:p w14:paraId="672D588D" w14:textId="77777777" w:rsidR="00761C6B" w:rsidRPr="005D4222" w:rsidRDefault="00761C6B" w:rsidP="00761C6B">
                  <w:pPr>
                    <w:spacing w:before="60" w:after="60" w:line="216" w:lineRule="auto"/>
                    <w:rPr>
                      <w:rFonts w:ascii="Arial Narrow" w:hAnsi="Arial Narrow"/>
                      <w:u w:val="single"/>
                    </w:rPr>
                  </w:pPr>
                  <w:r w:rsidRPr="005D4222">
                    <w:rPr>
                      <w:rFonts w:ascii="Arial Narrow" w:hAnsi="Arial Narrow"/>
                      <w:u w:val="single"/>
                    </w:rPr>
                    <w:t>Potentially Harmful Pain Medications for Older Adults Medications List</w:t>
                  </w:r>
                </w:p>
              </w:tc>
            </w:tr>
          </w:tbl>
          <w:p w14:paraId="2D6B8B8C" w14:textId="77777777" w:rsidR="00761C6B" w:rsidRPr="005D4222" w:rsidRDefault="00761C6B" w:rsidP="007C4439">
            <w:pPr>
              <w:pStyle w:val="ECDSBody"/>
              <w:rPr>
                <w:szCs w:val="21"/>
              </w:rPr>
            </w:pPr>
            <w:r w:rsidRPr="005D4222">
              <w:rPr>
                <w:b/>
                <w:i/>
              </w:rPr>
              <w:t>High-risk medications with days supply criteria.</w:t>
            </w:r>
            <w:r w:rsidRPr="005D4222">
              <w:rPr>
                <w:i/>
              </w:rPr>
              <w:t xml:space="preserve"> </w:t>
            </w:r>
            <w:r w:rsidRPr="005D4222">
              <w:rPr>
                <w:iCs/>
              </w:rPr>
              <w:br/>
            </w:r>
            <w:r w:rsidRPr="005D4222">
              <w:rPr>
                <w:szCs w:val="21"/>
              </w:rPr>
              <w:t xml:space="preserve">For each person, identify dispensing events during the measurement period for medications in the </w:t>
            </w:r>
            <w:r w:rsidRPr="005D4222">
              <w:rPr>
                <w:szCs w:val="21"/>
                <w:u w:val="single"/>
              </w:rPr>
              <w:t>Potentially Harmful Anti Infectives for Older Adults Medications List</w:t>
            </w:r>
            <w:r w:rsidRPr="005D4222">
              <w:rPr>
                <w:szCs w:val="21"/>
              </w:rPr>
              <w:t xml:space="preserve">. </w:t>
            </w:r>
          </w:p>
          <w:p w14:paraId="31B2D222" w14:textId="0C88493D" w:rsidR="00761C6B" w:rsidRPr="005D4222" w:rsidRDefault="00761C6B" w:rsidP="00761C6B">
            <w:pPr>
              <w:pStyle w:val="ECDSBody"/>
              <w:rPr>
                <w:b/>
                <w:i/>
              </w:rPr>
            </w:pPr>
            <w:r w:rsidRPr="005D4222">
              <w:rPr>
                <w:szCs w:val="21"/>
              </w:rPr>
              <w:t xml:space="preserve">Calculate days supply for all dispensing events. Sum the days supply and include any days supply that extends beyond December 31 of the measurement period. </w:t>
            </w:r>
          </w:p>
        </w:tc>
      </w:tr>
    </w:tbl>
    <w:p w14:paraId="53CA851A" w14:textId="77777777" w:rsidR="00761C6B" w:rsidRPr="005D4222" w:rsidRDefault="00761C6B"/>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6B7B14" w:rsidRPr="005D4222" w14:paraId="37F0ACFB" w14:textId="77777777" w:rsidTr="006B7B14">
        <w:trPr>
          <w:trHeight w:val="12769"/>
        </w:trPr>
        <w:tc>
          <w:tcPr>
            <w:tcW w:w="2157"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1E225C0A" w14:textId="77777777" w:rsidR="006B7B14" w:rsidRPr="005D4222" w:rsidRDefault="006B7B14">
            <w:pPr>
              <w:pStyle w:val="ECDSMarginHead"/>
            </w:pP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tcPr>
          <w:p w14:paraId="199052B3" w14:textId="636E537E" w:rsidR="006B7B14" w:rsidRPr="005D4222" w:rsidRDefault="0026422A" w:rsidP="0026422A">
            <w:pPr>
              <w:pStyle w:val="Bullet"/>
            </w:pPr>
            <w:r w:rsidRPr="005D4222">
              <w:rPr>
                <w:rStyle w:val="BulletChar"/>
                <w:i/>
                <w:iCs/>
              </w:rPr>
              <w:t>For example,</w:t>
            </w:r>
            <w:r w:rsidRPr="005D4222">
              <w:rPr>
                <w:rStyle w:val="BulletChar"/>
              </w:rPr>
              <w:t xml:space="preserve"> a prescription of a 90-days supply </w:t>
            </w:r>
            <w:r w:rsidR="006B7B14" w:rsidRPr="005D4222">
              <w:t xml:space="preserve">dispensed on December 1 of the measurement period counts as a 90-days supply. </w:t>
            </w:r>
          </w:p>
          <w:p w14:paraId="50C16F39" w14:textId="77777777" w:rsidR="006B7B14" w:rsidRPr="005D4222" w:rsidRDefault="006B7B14" w:rsidP="006B7B14">
            <w:pPr>
              <w:pStyle w:val="ECDSBody"/>
            </w:pPr>
            <w:r w:rsidRPr="005D4222">
              <w:t>Persons who meet both of the following are numerator compliant:</w:t>
            </w:r>
          </w:p>
          <w:p w14:paraId="27D4C183" w14:textId="77777777" w:rsidR="006B7B14" w:rsidRPr="005D4222" w:rsidRDefault="006B7B14" w:rsidP="006B7B14">
            <w:pPr>
              <w:pStyle w:val="Bullet"/>
              <w:numPr>
                <w:ilvl w:val="0"/>
                <w:numId w:val="4"/>
              </w:numPr>
              <w:tabs>
                <w:tab w:val="left" w:pos="360"/>
                <w:tab w:val="left" w:pos="576"/>
              </w:tabs>
              <w:spacing w:after="80"/>
              <w:ind w:left="576" w:hanging="216"/>
              <w:rPr>
                <w:szCs w:val="21"/>
              </w:rPr>
            </w:pPr>
            <w:r w:rsidRPr="005D4222">
              <w:t>Two or more dispensing events on different dates of service.</w:t>
            </w:r>
          </w:p>
          <w:p w14:paraId="28109655" w14:textId="77777777" w:rsidR="006B7B14" w:rsidRPr="005D4222" w:rsidRDefault="006B7B14" w:rsidP="006B7B14">
            <w:pPr>
              <w:pStyle w:val="Bullet"/>
              <w:numPr>
                <w:ilvl w:val="0"/>
                <w:numId w:val="4"/>
              </w:numPr>
              <w:tabs>
                <w:tab w:val="left" w:pos="360"/>
                <w:tab w:val="left" w:pos="576"/>
              </w:tabs>
              <w:ind w:left="576" w:hanging="216"/>
            </w:pPr>
            <w:r w:rsidRPr="005D4222">
              <w:t>Summed days supply exceeds the days supply criteria.</w:t>
            </w:r>
          </w:p>
          <w:p w14:paraId="1F640942" w14:textId="77777777" w:rsidR="006B7B14" w:rsidRPr="005D4222" w:rsidRDefault="006B7B14" w:rsidP="006B7B14">
            <w:pPr>
              <w:pStyle w:val="Note"/>
              <w:spacing w:after="80"/>
            </w:pPr>
            <w:r w:rsidRPr="005D4222">
              <w:rPr>
                <w:b/>
              </w:rPr>
              <w:t>Note:</w:t>
            </w:r>
            <w:r w:rsidRPr="005D4222">
              <w:t xml:space="preserve"> The intent is to identify all persons who had multiple dispensing events where the summed days supply exceeds the days supply criteria; there is no requirement that each dispensing event exceed the days supply criteria.</w:t>
            </w:r>
          </w:p>
          <w:p w14:paraId="5BC3DC4D" w14:textId="77777777" w:rsidR="006B7B14" w:rsidRPr="005D4222" w:rsidRDefault="006B7B14" w:rsidP="006B7B14">
            <w:pPr>
              <w:pStyle w:val="Heading3"/>
              <w:spacing w:before="120"/>
              <w:rPr>
                <w:i w:val="0"/>
                <w:szCs w:val="18"/>
              </w:rPr>
            </w:pPr>
            <w:r w:rsidRPr="005D4222">
              <w:rPr>
                <w:szCs w:val="18"/>
              </w:rPr>
              <w:t xml:space="preserve">High-Risk Medications With Days Supply Criteria </w:t>
            </w:r>
          </w:p>
          <w:tbl>
            <w:tblPr>
              <w:tblW w:w="7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2"/>
              <w:gridCol w:w="1348"/>
              <w:gridCol w:w="4036"/>
            </w:tblGrid>
            <w:tr w:rsidR="006B7B14" w:rsidRPr="005D4222" w14:paraId="742C46A9" w14:textId="77777777" w:rsidTr="006B7B14">
              <w:trPr>
                <w:cantSplit/>
              </w:trPr>
              <w:tc>
                <w:tcPr>
                  <w:tcW w:w="1350" w:type="pct"/>
                  <w:tcBorders>
                    <w:bottom w:val="single" w:sz="4" w:space="0" w:color="auto"/>
                    <w:right w:val="single" w:sz="4" w:space="0" w:color="FFFFFF" w:themeColor="background1"/>
                  </w:tcBorders>
                  <w:shd w:val="clear" w:color="auto" w:fill="000000" w:themeFill="text1"/>
                  <w:vAlign w:val="bottom"/>
                </w:tcPr>
                <w:p w14:paraId="03E76013" w14:textId="77777777" w:rsidR="006B7B14" w:rsidRPr="005D4222" w:rsidRDefault="006B7B14" w:rsidP="006B7B14">
                  <w:pPr>
                    <w:pStyle w:val="TableHead"/>
                    <w:rPr>
                      <w:color w:val="auto"/>
                    </w:rPr>
                  </w:pPr>
                  <w:r w:rsidRPr="005D4222">
                    <w:rPr>
                      <w:color w:val="auto"/>
                    </w:rPr>
                    <w:t>Description</w:t>
                  </w:r>
                </w:p>
              </w:tc>
              <w:tc>
                <w:tcPr>
                  <w:tcW w:w="914" w:type="pct"/>
                  <w:tcBorders>
                    <w:left w:val="single" w:sz="4" w:space="0" w:color="FFFFFF" w:themeColor="background1"/>
                    <w:bottom w:val="single" w:sz="4" w:space="0" w:color="auto"/>
                    <w:right w:val="single" w:sz="4" w:space="0" w:color="FFFFFF" w:themeColor="background1"/>
                  </w:tcBorders>
                  <w:shd w:val="clear" w:color="auto" w:fill="000000" w:themeFill="text1"/>
                  <w:vAlign w:val="bottom"/>
                </w:tcPr>
                <w:p w14:paraId="5E5D742B" w14:textId="77777777" w:rsidR="006B7B14" w:rsidRPr="005D4222" w:rsidRDefault="006B7B14" w:rsidP="006B7B14">
                  <w:pPr>
                    <w:pStyle w:val="TableHead"/>
                    <w:rPr>
                      <w:color w:val="auto"/>
                    </w:rPr>
                  </w:pPr>
                  <w:r w:rsidRPr="005D4222">
                    <w:rPr>
                      <w:color w:val="auto"/>
                    </w:rPr>
                    <w:t>Days Supply Criteria</w:t>
                  </w:r>
                </w:p>
              </w:tc>
              <w:tc>
                <w:tcPr>
                  <w:tcW w:w="2737" w:type="pct"/>
                  <w:tcBorders>
                    <w:left w:val="single" w:sz="4" w:space="0" w:color="FFFFFF" w:themeColor="background1"/>
                    <w:bottom w:val="single" w:sz="4" w:space="0" w:color="auto"/>
                    <w:right w:val="single" w:sz="6" w:space="0" w:color="auto"/>
                  </w:tcBorders>
                  <w:shd w:val="clear" w:color="auto" w:fill="000000" w:themeFill="text1"/>
                  <w:vAlign w:val="bottom"/>
                </w:tcPr>
                <w:p w14:paraId="423E8976" w14:textId="77777777" w:rsidR="006B7B14" w:rsidRPr="005D4222" w:rsidRDefault="006B7B14" w:rsidP="006B7B14">
                  <w:pPr>
                    <w:pStyle w:val="TableHead"/>
                    <w:rPr>
                      <w:color w:val="auto"/>
                    </w:rPr>
                  </w:pPr>
                  <w:r w:rsidRPr="005D4222">
                    <w:rPr>
                      <w:color w:val="auto"/>
                    </w:rPr>
                    <w:t>Medication Lists</w:t>
                  </w:r>
                </w:p>
              </w:tc>
            </w:tr>
            <w:tr w:rsidR="006B7B14" w:rsidRPr="005D4222" w14:paraId="65D47DC8" w14:textId="77777777" w:rsidTr="007B5FC3">
              <w:trPr>
                <w:trHeight w:val="64"/>
              </w:trPr>
              <w:tc>
                <w:tcPr>
                  <w:tcW w:w="1350" w:type="pct"/>
                  <w:tcBorders>
                    <w:left w:val="single" w:sz="4" w:space="0" w:color="auto"/>
                    <w:right w:val="single" w:sz="4" w:space="0" w:color="auto"/>
                  </w:tcBorders>
                </w:tcPr>
                <w:p w14:paraId="619FB695" w14:textId="77777777" w:rsidR="006B7B14" w:rsidRPr="005D4222" w:rsidRDefault="006B7B14" w:rsidP="006B7B14">
                  <w:pPr>
                    <w:pStyle w:val="TableText"/>
                  </w:pPr>
                  <w:r w:rsidRPr="005D4222">
                    <w:t>Anti-Infectives, other</w:t>
                  </w:r>
                </w:p>
              </w:tc>
              <w:tc>
                <w:tcPr>
                  <w:tcW w:w="914" w:type="pct"/>
                  <w:tcBorders>
                    <w:top w:val="single" w:sz="4" w:space="0" w:color="auto"/>
                    <w:left w:val="nil"/>
                    <w:bottom w:val="single" w:sz="4" w:space="0" w:color="auto"/>
                    <w:right w:val="single" w:sz="4" w:space="0" w:color="auto"/>
                  </w:tcBorders>
                </w:tcPr>
                <w:p w14:paraId="472C4F44" w14:textId="77777777" w:rsidR="006B7B14" w:rsidRPr="005D4222" w:rsidRDefault="006B7B14" w:rsidP="006B7B14">
                  <w:pPr>
                    <w:pStyle w:val="TableText"/>
                  </w:pPr>
                  <w:r w:rsidRPr="005D4222">
                    <w:t>&gt;90 days</w:t>
                  </w:r>
                </w:p>
              </w:tc>
              <w:tc>
                <w:tcPr>
                  <w:tcW w:w="2737" w:type="pct"/>
                  <w:tcBorders>
                    <w:top w:val="single" w:sz="4" w:space="0" w:color="auto"/>
                    <w:left w:val="nil"/>
                    <w:bottom w:val="single" w:sz="4" w:space="0" w:color="auto"/>
                    <w:right w:val="single" w:sz="4" w:space="0" w:color="auto"/>
                  </w:tcBorders>
                </w:tcPr>
                <w:p w14:paraId="09E9B514" w14:textId="77777777" w:rsidR="006B7B14" w:rsidRPr="005D4222" w:rsidRDefault="006B7B14" w:rsidP="006B7B14">
                  <w:pPr>
                    <w:pStyle w:val="TableText"/>
                    <w:rPr>
                      <w:u w:val="single"/>
                    </w:rPr>
                  </w:pPr>
                  <w:r w:rsidRPr="005D4222">
                    <w:rPr>
                      <w:u w:val="single"/>
                    </w:rPr>
                    <w:t>Potentially Harmful Antiinfectives for Older Adults Medications List</w:t>
                  </w:r>
                </w:p>
              </w:tc>
            </w:tr>
          </w:tbl>
          <w:p w14:paraId="23EA405E" w14:textId="77777777" w:rsidR="006B7B14" w:rsidRPr="005D4222" w:rsidRDefault="006B7B14" w:rsidP="006B7B14">
            <w:pPr>
              <w:pStyle w:val="ECDSBody"/>
              <w:spacing w:before="240"/>
              <w:rPr>
                <w:i/>
              </w:rPr>
            </w:pPr>
            <w:r w:rsidRPr="005D4222">
              <w:rPr>
                <w:b/>
                <w:i/>
              </w:rPr>
              <w:t>High-risk medications with average daily dose criteria</w:t>
            </w:r>
            <w:r w:rsidRPr="005D4222">
              <w:rPr>
                <w:b/>
                <w:bCs w:val="0"/>
              </w:rPr>
              <w:t xml:space="preserve">. </w:t>
            </w:r>
            <w:r w:rsidRPr="005D4222">
              <w:rPr>
                <w:b/>
                <w:bCs w:val="0"/>
              </w:rPr>
              <w:br/>
            </w:r>
            <w:r w:rsidRPr="005D4222">
              <w:t xml:space="preserve">Use the medication lists in the </w:t>
            </w:r>
            <w:r w:rsidRPr="005D4222" w:rsidDel="00391ECD">
              <w:t xml:space="preserve">High-Risk Medications With Average Daily Dose Criteria </w:t>
            </w:r>
            <w:r w:rsidRPr="005D4222">
              <w:t>table below to identify persons with dispensing events during the measurement period.</w:t>
            </w:r>
          </w:p>
          <w:p w14:paraId="6CB42066" w14:textId="77777777" w:rsidR="006B7B14" w:rsidRPr="005D4222" w:rsidRDefault="006B7B14" w:rsidP="006B7B14">
            <w:pPr>
              <w:pStyle w:val="ECDSBody"/>
            </w:pPr>
            <w:r w:rsidRPr="005D4222">
              <w:t xml:space="preserve">Calculate average daily dose for each dispensing event. To calculate average daily dose, multiply the quantity of pills dispensed by the dose of each pill and divide by the days supply. </w:t>
            </w:r>
          </w:p>
          <w:p w14:paraId="554BE97B" w14:textId="77777777" w:rsidR="006B7B14" w:rsidRPr="005D4222" w:rsidRDefault="006B7B14" w:rsidP="006B7B14">
            <w:pPr>
              <w:pStyle w:val="Bullet"/>
              <w:numPr>
                <w:ilvl w:val="0"/>
                <w:numId w:val="4"/>
              </w:numPr>
              <w:tabs>
                <w:tab w:val="left" w:pos="360"/>
                <w:tab w:val="left" w:pos="576"/>
              </w:tabs>
              <w:ind w:left="576" w:hanging="216"/>
            </w:pPr>
            <w:r w:rsidRPr="005D4222">
              <w:rPr>
                <w:i/>
              </w:rPr>
              <w:t>For example</w:t>
            </w:r>
            <w:r w:rsidRPr="005D4222">
              <w:t>, a prescription for a 30-days supply of digoxin containing 15 pills, 0.25 mg each pill, has an average daily dose of 0.125 mg.</w:t>
            </w:r>
          </w:p>
          <w:p w14:paraId="5C48FA69" w14:textId="77777777" w:rsidR="006B7B14" w:rsidRPr="005D4222" w:rsidRDefault="006B7B14" w:rsidP="006B7B14">
            <w:pPr>
              <w:pStyle w:val="ECDSBody"/>
            </w:pPr>
            <w:r w:rsidRPr="005D4222">
              <w:t>To calculate average daily dose for elixirs and concentrates, multiply the volume dispensed by daily dose and divide by the days supply.</w:t>
            </w:r>
          </w:p>
          <w:p w14:paraId="76BB691B" w14:textId="77777777" w:rsidR="006B7B14" w:rsidRPr="005D4222" w:rsidRDefault="006B7B14" w:rsidP="006B7B14">
            <w:pPr>
              <w:pStyle w:val="ECDSBody"/>
            </w:pPr>
            <w:r w:rsidRPr="005D4222">
              <w:t>Do not round when calculating average daily dose.</w:t>
            </w:r>
          </w:p>
          <w:p w14:paraId="0EBC1E48" w14:textId="77777777" w:rsidR="006B7B14" w:rsidRPr="005D4222" w:rsidRDefault="006B7B14" w:rsidP="006B7B14">
            <w:pPr>
              <w:pStyle w:val="ECDSBody"/>
              <w:rPr>
                <w:szCs w:val="21"/>
              </w:rPr>
            </w:pPr>
            <w:r w:rsidRPr="005D4222">
              <w:rPr>
                <w:szCs w:val="21"/>
              </w:rPr>
              <w:t xml:space="preserve">The High-Risk Medications With Average Daily Dose Criteria table </w:t>
            </w:r>
            <w:r w:rsidRPr="005D4222" w:rsidDel="006933AF">
              <w:rPr>
                <w:szCs w:val="21"/>
              </w:rPr>
              <w:t xml:space="preserve">includes a </w:t>
            </w:r>
            <w:r w:rsidRPr="005D4222">
              <w:rPr>
                <w:szCs w:val="21"/>
              </w:rPr>
              <w:t xml:space="preserve">“Medication Lists” column </w:t>
            </w:r>
            <w:r w:rsidRPr="005D4222" w:rsidDel="006933AF">
              <w:rPr>
                <w:szCs w:val="21"/>
              </w:rPr>
              <w:t>that identifies</w:t>
            </w:r>
            <w:r w:rsidRPr="005D4222">
              <w:rPr>
                <w:szCs w:val="21"/>
              </w:rPr>
              <w:t xml:space="preserve"> the same high-risk medication </w:t>
            </w:r>
            <w:r w:rsidRPr="005D4222" w:rsidDel="006933AF">
              <w:rPr>
                <w:szCs w:val="21"/>
              </w:rPr>
              <w:t xml:space="preserve">by grouping them </w:t>
            </w:r>
            <w:r w:rsidRPr="005D4222">
              <w:rPr>
                <w:szCs w:val="21"/>
              </w:rPr>
              <w:t xml:space="preserve">on the same row. </w:t>
            </w:r>
          </w:p>
          <w:p w14:paraId="61E2722B" w14:textId="77777777" w:rsidR="006B7B14" w:rsidRPr="005D4222" w:rsidRDefault="006B7B14" w:rsidP="006B7B14">
            <w:pPr>
              <w:pStyle w:val="ECDSBody"/>
            </w:pPr>
            <w:r w:rsidRPr="005D4222">
              <w:t>Persons who meet both of the following for the same medication are numerator compliant:</w:t>
            </w:r>
          </w:p>
          <w:p w14:paraId="4742B66F" w14:textId="77777777" w:rsidR="006B7B14" w:rsidRPr="005D4222" w:rsidRDefault="006B7B14" w:rsidP="006B7B14">
            <w:pPr>
              <w:pStyle w:val="Bullet"/>
              <w:numPr>
                <w:ilvl w:val="0"/>
                <w:numId w:val="4"/>
              </w:numPr>
              <w:tabs>
                <w:tab w:val="left" w:pos="360"/>
                <w:tab w:val="left" w:pos="576"/>
              </w:tabs>
              <w:ind w:left="576" w:hanging="216"/>
              <w:rPr>
                <w:szCs w:val="21"/>
              </w:rPr>
            </w:pPr>
            <w:r w:rsidRPr="005D4222">
              <w:t>Two or more dispensing events on different dates of service.</w:t>
            </w:r>
          </w:p>
          <w:p w14:paraId="59A9ADCF" w14:textId="77777777" w:rsidR="006B7B14" w:rsidRPr="005D4222" w:rsidRDefault="006B7B14" w:rsidP="00E2323C">
            <w:pPr>
              <w:pStyle w:val="Bullet"/>
              <w:rPr>
                <w:b/>
                <w:i/>
              </w:rPr>
            </w:pPr>
            <w:r w:rsidRPr="005D4222">
              <w:t>Average daily dose for two or more dispensing events (on different dates of service) exceeds the average daily dose criteria.</w:t>
            </w:r>
          </w:p>
          <w:p w14:paraId="3A2153C8" w14:textId="77777777" w:rsidR="006B7B14" w:rsidRPr="005D4222" w:rsidRDefault="006B7B14" w:rsidP="006B7B14">
            <w:pPr>
              <w:pStyle w:val="Heading3"/>
              <w:spacing w:before="120"/>
              <w:rPr>
                <w:i w:val="0"/>
                <w:szCs w:val="18"/>
              </w:rPr>
            </w:pPr>
            <w:r w:rsidRPr="005D4222">
              <w:rPr>
                <w:szCs w:val="18"/>
              </w:rPr>
              <w:t xml:space="preserve">High-Risk Medications With Average Daily Dose Criteria </w:t>
            </w:r>
          </w:p>
          <w:tbl>
            <w:tblPr>
              <w:tblW w:w="7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6"/>
              <w:gridCol w:w="2070"/>
              <w:gridCol w:w="3330"/>
            </w:tblGrid>
            <w:tr w:rsidR="006B7B14" w:rsidRPr="005D4222" w14:paraId="765782FD" w14:textId="77777777" w:rsidTr="006B7B14">
              <w:trPr>
                <w:tblHeader/>
              </w:trPr>
              <w:tc>
                <w:tcPr>
                  <w:tcW w:w="1339" w:type="pct"/>
                  <w:tcBorders>
                    <w:bottom w:val="single" w:sz="12" w:space="0" w:color="auto"/>
                    <w:right w:val="single" w:sz="4" w:space="0" w:color="FFFFFF" w:themeColor="background1"/>
                  </w:tcBorders>
                  <w:shd w:val="clear" w:color="auto" w:fill="000000" w:themeFill="text1"/>
                  <w:vAlign w:val="bottom"/>
                </w:tcPr>
                <w:p w14:paraId="2B97ED95" w14:textId="77777777" w:rsidR="006B7B14" w:rsidRPr="005D4222" w:rsidRDefault="006B7B14" w:rsidP="006B7B14">
                  <w:pPr>
                    <w:pStyle w:val="TableHead"/>
                    <w:rPr>
                      <w:color w:val="auto"/>
                    </w:rPr>
                  </w:pPr>
                  <w:r w:rsidRPr="005D4222">
                    <w:rPr>
                      <w:color w:val="auto"/>
                    </w:rPr>
                    <w:t>Description</w:t>
                  </w:r>
                </w:p>
              </w:tc>
              <w:tc>
                <w:tcPr>
                  <w:tcW w:w="1403" w:type="pct"/>
                  <w:tcBorders>
                    <w:left w:val="single" w:sz="4" w:space="0" w:color="FFFFFF" w:themeColor="background1"/>
                    <w:bottom w:val="single" w:sz="12" w:space="0" w:color="auto"/>
                    <w:right w:val="single" w:sz="4" w:space="0" w:color="FFFFFF" w:themeColor="background1"/>
                  </w:tcBorders>
                  <w:shd w:val="clear" w:color="auto" w:fill="000000" w:themeFill="text1"/>
                  <w:vAlign w:val="bottom"/>
                </w:tcPr>
                <w:p w14:paraId="7E82435E" w14:textId="77777777" w:rsidR="006B7B14" w:rsidRPr="005D4222" w:rsidRDefault="006B7B14" w:rsidP="006B7B14">
                  <w:pPr>
                    <w:pStyle w:val="TableHead"/>
                    <w:rPr>
                      <w:color w:val="auto"/>
                    </w:rPr>
                  </w:pPr>
                  <w:r w:rsidRPr="005D4222">
                    <w:rPr>
                      <w:color w:val="auto"/>
                    </w:rPr>
                    <w:t>Average Daily Dose Criteria</w:t>
                  </w:r>
                </w:p>
              </w:tc>
              <w:tc>
                <w:tcPr>
                  <w:tcW w:w="2257" w:type="pct"/>
                  <w:tcBorders>
                    <w:left w:val="single" w:sz="4" w:space="0" w:color="FFFFFF" w:themeColor="background1"/>
                    <w:bottom w:val="single" w:sz="12" w:space="0" w:color="auto"/>
                    <w:right w:val="single" w:sz="6" w:space="0" w:color="auto"/>
                  </w:tcBorders>
                  <w:shd w:val="clear" w:color="auto" w:fill="000000" w:themeFill="text1"/>
                  <w:vAlign w:val="bottom"/>
                </w:tcPr>
                <w:p w14:paraId="665F6FF9" w14:textId="77777777" w:rsidR="006B7B14" w:rsidRPr="005D4222" w:rsidRDefault="006B7B14" w:rsidP="006B7B14">
                  <w:pPr>
                    <w:pStyle w:val="TableHead"/>
                    <w:rPr>
                      <w:color w:val="auto"/>
                    </w:rPr>
                  </w:pPr>
                  <w:r w:rsidRPr="005D4222">
                    <w:rPr>
                      <w:color w:val="auto"/>
                    </w:rPr>
                    <w:t>Medication Lists</w:t>
                  </w:r>
                </w:p>
              </w:tc>
            </w:tr>
            <w:tr w:rsidR="006B7B14" w:rsidRPr="005D4222" w14:paraId="6BDFB0C3" w14:textId="77777777">
              <w:tc>
                <w:tcPr>
                  <w:tcW w:w="1339" w:type="pct"/>
                  <w:tcBorders>
                    <w:top w:val="single" w:sz="12" w:space="0" w:color="auto"/>
                    <w:left w:val="single" w:sz="4" w:space="0" w:color="auto"/>
                    <w:bottom w:val="single" w:sz="4" w:space="0" w:color="auto"/>
                    <w:right w:val="single" w:sz="4" w:space="0" w:color="auto"/>
                  </w:tcBorders>
                  <w:shd w:val="clear" w:color="auto" w:fill="FFFFFF" w:themeFill="background1"/>
                </w:tcPr>
                <w:p w14:paraId="16491475" w14:textId="77777777" w:rsidR="006B7B14" w:rsidRPr="005D4222" w:rsidRDefault="006B7B14" w:rsidP="006B7B14">
                  <w:pPr>
                    <w:pStyle w:val="TableText"/>
                  </w:pPr>
                  <w:r w:rsidRPr="005D4222">
                    <w:t>Cardiovascular, other</w:t>
                  </w:r>
                </w:p>
              </w:tc>
              <w:tc>
                <w:tcPr>
                  <w:tcW w:w="1403" w:type="pct"/>
                  <w:tcBorders>
                    <w:top w:val="single" w:sz="12" w:space="0" w:color="auto"/>
                    <w:left w:val="nil"/>
                    <w:bottom w:val="single" w:sz="4" w:space="0" w:color="auto"/>
                    <w:right w:val="single" w:sz="4" w:space="0" w:color="auto"/>
                  </w:tcBorders>
                  <w:shd w:val="clear" w:color="auto" w:fill="FFFFFF" w:themeFill="background1"/>
                </w:tcPr>
                <w:p w14:paraId="0CA27964" w14:textId="77777777" w:rsidR="006B7B14" w:rsidRPr="005D4222" w:rsidRDefault="006B7B14" w:rsidP="006B7B14">
                  <w:pPr>
                    <w:pStyle w:val="TableText"/>
                  </w:pPr>
                  <w:r w:rsidRPr="005D4222">
                    <w:t>&gt;0.125 mg/day</w:t>
                  </w:r>
                </w:p>
              </w:tc>
              <w:tc>
                <w:tcPr>
                  <w:tcW w:w="2257" w:type="pct"/>
                  <w:tcBorders>
                    <w:top w:val="single" w:sz="12" w:space="0" w:color="auto"/>
                    <w:left w:val="nil"/>
                    <w:bottom w:val="single" w:sz="4" w:space="0" w:color="auto"/>
                    <w:right w:val="single" w:sz="4" w:space="0" w:color="auto"/>
                  </w:tcBorders>
                  <w:shd w:val="clear" w:color="auto" w:fill="FFFFFF" w:themeFill="background1"/>
                </w:tcPr>
                <w:p w14:paraId="50179D3C" w14:textId="77777777" w:rsidR="006B7B14" w:rsidRPr="005D4222" w:rsidRDefault="006B7B14" w:rsidP="006B7B14">
                  <w:pPr>
                    <w:pStyle w:val="TableText"/>
                    <w:rPr>
                      <w:u w:val="single"/>
                    </w:rPr>
                  </w:pPr>
                  <w:r w:rsidRPr="005D4222">
                    <w:rPr>
                      <w:u w:val="single"/>
                    </w:rPr>
                    <w:t>Digoxin .05 mg per mL Medications List</w:t>
                  </w:r>
                </w:p>
                <w:p w14:paraId="34F7F192" w14:textId="77777777" w:rsidR="006B7B14" w:rsidRPr="005D4222" w:rsidRDefault="006B7B14" w:rsidP="006B7B14">
                  <w:pPr>
                    <w:pStyle w:val="TableText"/>
                    <w:rPr>
                      <w:u w:val="single"/>
                    </w:rPr>
                  </w:pPr>
                  <w:r w:rsidRPr="005D4222">
                    <w:rPr>
                      <w:u w:val="single"/>
                    </w:rPr>
                    <w:t>Digoxin .0625 mg Medications List</w:t>
                  </w:r>
                </w:p>
                <w:p w14:paraId="26FB41A9" w14:textId="77777777" w:rsidR="006B7B14" w:rsidRPr="005D4222" w:rsidRDefault="006B7B14" w:rsidP="006B7B14">
                  <w:pPr>
                    <w:pStyle w:val="TableText"/>
                    <w:rPr>
                      <w:u w:val="single"/>
                    </w:rPr>
                  </w:pPr>
                  <w:r w:rsidRPr="005D4222">
                    <w:rPr>
                      <w:u w:val="single"/>
                    </w:rPr>
                    <w:t>Digoxin .1 mg per mL Medications List</w:t>
                  </w:r>
                </w:p>
                <w:p w14:paraId="1012BF26" w14:textId="77777777" w:rsidR="006B7B14" w:rsidRPr="005D4222" w:rsidRDefault="006B7B14" w:rsidP="006B7B14">
                  <w:pPr>
                    <w:pStyle w:val="TableText"/>
                    <w:rPr>
                      <w:u w:val="single"/>
                    </w:rPr>
                  </w:pPr>
                  <w:r w:rsidRPr="005D4222">
                    <w:rPr>
                      <w:u w:val="single"/>
                    </w:rPr>
                    <w:t>Digoxin .125 mg Medications List</w:t>
                  </w:r>
                </w:p>
                <w:p w14:paraId="3A3BC49C" w14:textId="77777777" w:rsidR="006B7B14" w:rsidRPr="005D4222" w:rsidRDefault="006B7B14" w:rsidP="006B7B14">
                  <w:pPr>
                    <w:pStyle w:val="TableText"/>
                    <w:rPr>
                      <w:u w:val="single"/>
                    </w:rPr>
                  </w:pPr>
                  <w:r w:rsidRPr="005D4222">
                    <w:rPr>
                      <w:u w:val="single"/>
                    </w:rPr>
                    <w:t>Digoxin .25 mg Medications List</w:t>
                  </w:r>
                </w:p>
                <w:p w14:paraId="21F26A2B" w14:textId="77777777" w:rsidR="006B7B14" w:rsidRPr="005D4222" w:rsidRDefault="006B7B14" w:rsidP="006B7B14">
                  <w:pPr>
                    <w:pStyle w:val="TableText"/>
                  </w:pPr>
                  <w:r w:rsidRPr="005D4222">
                    <w:rPr>
                      <w:u w:val="single"/>
                    </w:rPr>
                    <w:t>Digoxin .25 mg per mL Medications List</w:t>
                  </w:r>
                </w:p>
              </w:tc>
            </w:tr>
          </w:tbl>
          <w:p w14:paraId="2731AE19" w14:textId="37F95D02" w:rsidR="006B7B14" w:rsidRPr="005D4222" w:rsidRDefault="006B7B14" w:rsidP="00C53E84">
            <w:pPr>
              <w:pStyle w:val="Bullet"/>
              <w:numPr>
                <w:ilvl w:val="0"/>
                <w:numId w:val="0"/>
              </w:numPr>
              <w:tabs>
                <w:tab w:val="left" w:pos="360"/>
                <w:tab w:val="left" w:pos="576"/>
              </w:tabs>
              <w:spacing w:after="80"/>
              <w:ind w:left="576"/>
              <w:rPr>
                <w:b/>
                <w:i/>
              </w:rPr>
            </w:pPr>
          </w:p>
        </w:tc>
      </w:tr>
      <w:tr w:rsidR="006B7B14" w:rsidRPr="005D4222" w14:paraId="2DE6C817" w14:textId="77777777">
        <w:trPr>
          <w:trHeight w:val="620"/>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74A3CA9" w14:textId="77777777" w:rsidR="006B7B14" w:rsidRPr="005D4222" w:rsidRDefault="006B7B14">
            <w:pPr>
              <w:spacing w:after="160" w:line="259" w:lineRule="auto"/>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793235F5" w14:textId="77777777" w:rsidR="006B7B14" w:rsidRPr="005D4222" w:rsidRDefault="006B7B14">
            <w:pPr>
              <w:rPr>
                <w:sz w:val="10"/>
                <w:szCs w:val="10"/>
              </w:rPr>
            </w:pPr>
          </w:p>
          <w:tbl>
            <w:tblPr>
              <w:tblW w:w="7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6"/>
              <w:gridCol w:w="2070"/>
              <w:gridCol w:w="3330"/>
            </w:tblGrid>
            <w:tr w:rsidR="006B7B14" w:rsidRPr="005D4222" w14:paraId="3AB7DE03" w14:textId="77777777" w:rsidTr="00A53E8C">
              <w:trPr>
                <w:tblHeader/>
              </w:trPr>
              <w:tc>
                <w:tcPr>
                  <w:tcW w:w="1339" w:type="pct"/>
                  <w:tcBorders>
                    <w:bottom w:val="single" w:sz="12" w:space="0" w:color="auto"/>
                    <w:right w:val="single" w:sz="4" w:space="0" w:color="FFFFFF" w:themeColor="background1"/>
                  </w:tcBorders>
                  <w:shd w:val="clear" w:color="auto" w:fill="000000" w:themeFill="text1"/>
                  <w:vAlign w:val="bottom"/>
                </w:tcPr>
                <w:p w14:paraId="6F742AF2" w14:textId="77777777" w:rsidR="006B7B14" w:rsidRPr="005D4222" w:rsidRDefault="006B7B14" w:rsidP="006B7B14">
                  <w:pPr>
                    <w:pStyle w:val="TableHead"/>
                    <w:rPr>
                      <w:color w:val="auto"/>
                    </w:rPr>
                  </w:pPr>
                  <w:r w:rsidRPr="005D4222">
                    <w:rPr>
                      <w:color w:val="auto"/>
                    </w:rPr>
                    <w:t>Description</w:t>
                  </w:r>
                </w:p>
              </w:tc>
              <w:tc>
                <w:tcPr>
                  <w:tcW w:w="1403" w:type="pct"/>
                  <w:tcBorders>
                    <w:left w:val="single" w:sz="4" w:space="0" w:color="FFFFFF" w:themeColor="background1"/>
                    <w:bottom w:val="single" w:sz="12" w:space="0" w:color="auto"/>
                    <w:right w:val="single" w:sz="4" w:space="0" w:color="FFFFFF" w:themeColor="background1"/>
                  </w:tcBorders>
                  <w:shd w:val="clear" w:color="auto" w:fill="000000" w:themeFill="text1"/>
                  <w:vAlign w:val="bottom"/>
                </w:tcPr>
                <w:p w14:paraId="56A079FA" w14:textId="77777777" w:rsidR="006B7B14" w:rsidRPr="005D4222" w:rsidRDefault="006B7B14" w:rsidP="006B7B14">
                  <w:pPr>
                    <w:pStyle w:val="TableHead"/>
                    <w:rPr>
                      <w:color w:val="auto"/>
                    </w:rPr>
                  </w:pPr>
                  <w:r w:rsidRPr="005D4222">
                    <w:rPr>
                      <w:color w:val="auto"/>
                    </w:rPr>
                    <w:t>Average Daily Dose Criteria</w:t>
                  </w:r>
                </w:p>
              </w:tc>
              <w:tc>
                <w:tcPr>
                  <w:tcW w:w="2257" w:type="pct"/>
                  <w:tcBorders>
                    <w:left w:val="single" w:sz="4" w:space="0" w:color="FFFFFF" w:themeColor="background1"/>
                    <w:bottom w:val="single" w:sz="12" w:space="0" w:color="auto"/>
                    <w:right w:val="single" w:sz="6" w:space="0" w:color="auto"/>
                  </w:tcBorders>
                  <w:shd w:val="clear" w:color="auto" w:fill="000000" w:themeFill="text1"/>
                  <w:vAlign w:val="bottom"/>
                </w:tcPr>
                <w:p w14:paraId="65745398" w14:textId="77777777" w:rsidR="006B7B14" w:rsidRPr="005D4222" w:rsidRDefault="006B7B14" w:rsidP="006B7B14">
                  <w:pPr>
                    <w:pStyle w:val="TableHead"/>
                    <w:rPr>
                      <w:color w:val="auto"/>
                    </w:rPr>
                  </w:pPr>
                  <w:r w:rsidRPr="005D4222">
                    <w:rPr>
                      <w:color w:val="auto"/>
                    </w:rPr>
                    <w:t>Medication Lists</w:t>
                  </w:r>
                </w:p>
              </w:tc>
            </w:tr>
            <w:tr w:rsidR="006B7B14" w:rsidRPr="005D4222" w14:paraId="48D944F3" w14:textId="77777777" w:rsidTr="00A53E8C">
              <w:tc>
                <w:tcPr>
                  <w:tcW w:w="1339" w:type="pct"/>
                  <w:tcBorders>
                    <w:top w:val="single" w:sz="4" w:space="0" w:color="auto"/>
                    <w:left w:val="single" w:sz="4" w:space="0" w:color="auto"/>
                    <w:bottom w:val="single" w:sz="4" w:space="0" w:color="auto"/>
                    <w:right w:val="single" w:sz="4" w:space="0" w:color="auto"/>
                  </w:tcBorders>
                  <w:shd w:val="clear" w:color="auto" w:fill="FFFFFF" w:themeFill="background1"/>
                </w:tcPr>
                <w:p w14:paraId="758C808D" w14:textId="77777777" w:rsidR="006B7B14" w:rsidRPr="005D4222" w:rsidRDefault="006B7B14" w:rsidP="006B7B14">
                  <w:pPr>
                    <w:pStyle w:val="TableText"/>
                  </w:pPr>
                  <w:r w:rsidRPr="005D4222">
                    <w:t>Tertiary TCAs (as single agent or as part of combination products)</w:t>
                  </w:r>
                </w:p>
              </w:tc>
              <w:tc>
                <w:tcPr>
                  <w:tcW w:w="1403" w:type="pct"/>
                  <w:tcBorders>
                    <w:top w:val="single" w:sz="4" w:space="0" w:color="auto"/>
                    <w:left w:val="nil"/>
                    <w:bottom w:val="single" w:sz="4" w:space="0" w:color="auto"/>
                    <w:right w:val="single" w:sz="4" w:space="0" w:color="auto"/>
                  </w:tcBorders>
                  <w:shd w:val="clear" w:color="auto" w:fill="FFFFFF" w:themeFill="background1"/>
                </w:tcPr>
                <w:p w14:paraId="2A2C9464" w14:textId="77777777" w:rsidR="006B7B14" w:rsidRPr="005D4222" w:rsidRDefault="006B7B14" w:rsidP="006B7B14">
                  <w:pPr>
                    <w:pStyle w:val="TableText"/>
                  </w:pPr>
                  <w:r w:rsidRPr="005D4222">
                    <w:t>&gt;6 mg/day</w:t>
                  </w:r>
                </w:p>
              </w:tc>
              <w:tc>
                <w:tcPr>
                  <w:tcW w:w="2257" w:type="pct"/>
                  <w:tcBorders>
                    <w:top w:val="single" w:sz="4" w:space="0" w:color="auto"/>
                    <w:left w:val="nil"/>
                    <w:bottom w:val="single" w:sz="4" w:space="0" w:color="auto"/>
                    <w:right w:val="single" w:sz="4" w:space="0" w:color="auto"/>
                  </w:tcBorders>
                  <w:shd w:val="clear" w:color="auto" w:fill="FFFFFF" w:themeFill="background1"/>
                </w:tcPr>
                <w:p w14:paraId="0B457ADA" w14:textId="77777777" w:rsidR="006B7B14" w:rsidRPr="005D4222" w:rsidRDefault="006B7B14" w:rsidP="006B7B14">
                  <w:pPr>
                    <w:pStyle w:val="TableText"/>
                    <w:rPr>
                      <w:u w:val="single"/>
                    </w:rPr>
                  </w:pPr>
                  <w:r w:rsidRPr="005D4222">
                    <w:rPr>
                      <w:u w:val="single"/>
                    </w:rPr>
                    <w:t>Doxepin 3 mg Medications List</w:t>
                  </w:r>
                </w:p>
                <w:p w14:paraId="0386AB5B" w14:textId="77777777" w:rsidR="006B7B14" w:rsidRPr="005D4222" w:rsidRDefault="006B7B14" w:rsidP="006B7B14">
                  <w:pPr>
                    <w:pStyle w:val="TableText"/>
                    <w:rPr>
                      <w:u w:val="single"/>
                    </w:rPr>
                  </w:pPr>
                  <w:r w:rsidRPr="005D4222">
                    <w:rPr>
                      <w:u w:val="single"/>
                    </w:rPr>
                    <w:t>Doxepin 6 mg Medications List</w:t>
                  </w:r>
                </w:p>
                <w:p w14:paraId="60687156" w14:textId="77777777" w:rsidR="006B7B14" w:rsidRPr="005D4222" w:rsidRDefault="006B7B14" w:rsidP="006B7B14">
                  <w:pPr>
                    <w:pStyle w:val="TableText"/>
                    <w:rPr>
                      <w:u w:val="single"/>
                    </w:rPr>
                  </w:pPr>
                  <w:r w:rsidRPr="005D4222">
                    <w:rPr>
                      <w:u w:val="single"/>
                    </w:rPr>
                    <w:t>Doxepin 10 mg Medications List</w:t>
                  </w:r>
                </w:p>
                <w:p w14:paraId="21D0E1B0" w14:textId="77777777" w:rsidR="006B7B14" w:rsidRPr="005D4222" w:rsidRDefault="006B7B14" w:rsidP="006B7B14">
                  <w:pPr>
                    <w:pStyle w:val="TableText"/>
                    <w:rPr>
                      <w:u w:val="single"/>
                    </w:rPr>
                  </w:pPr>
                  <w:r w:rsidRPr="005D4222">
                    <w:rPr>
                      <w:u w:val="single"/>
                    </w:rPr>
                    <w:t>Doxepin 10 mg per mL Medications List</w:t>
                  </w:r>
                </w:p>
                <w:p w14:paraId="656ED090" w14:textId="77777777" w:rsidR="006B7B14" w:rsidRPr="005D4222" w:rsidRDefault="006B7B14" w:rsidP="006B7B14">
                  <w:pPr>
                    <w:pStyle w:val="TableText"/>
                    <w:rPr>
                      <w:u w:val="single"/>
                    </w:rPr>
                  </w:pPr>
                  <w:r w:rsidRPr="005D4222">
                    <w:rPr>
                      <w:u w:val="single"/>
                    </w:rPr>
                    <w:t>Doxepin 25 mg Medications List</w:t>
                  </w:r>
                </w:p>
                <w:p w14:paraId="674403EB" w14:textId="77777777" w:rsidR="006B7B14" w:rsidRPr="005D4222" w:rsidRDefault="006B7B14" w:rsidP="006B7B14">
                  <w:pPr>
                    <w:pStyle w:val="TableText"/>
                    <w:rPr>
                      <w:u w:val="single"/>
                    </w:rPr>
                  </w:pPr>
                  <w:r w:rsidRPr="005D4222">
                    <w:rPr>
                      <w:u w:val="single"/>
                    </w:rPr>
                    <w:t>Doxepin 50 mg Medications List</w:t>
                  </w:r>
                </w:p>
                <w:p w14:paraId="375745E2" w14:textId="77777777" w:rsidR="006B7B14" w:rsidRPr="005D4222" w:rsidRDefault="006B7B14" w:rsidP="006B7B14">
                  <w:pPr>
                    <w:pStyle w:val="TableText"/>
                    <w:rPr>
                      <w:u w:val="single"/>
                    </w:rPr>
                  </w:pPr>
                  <w:r w:rsidRPr="005D4222">
                    <w:rPr>
                      <w:u w:val="single"/>
                    </w:rPr>
                    <w:t>Doxepin 75 mg Medications List</w:t>
                  </w:r>
                </w:p>
                <w:p w14:paraId="2A20BE14" w14:textId="77777777" w:rsidR="006B7B14" w:rsidRPr="005D4222" w:rsidRDefault="006B7B14" w:rsidP="006B7B14">
                  <w:pPr>
                    <w:pStyle w:val="TableText"/>
                    <w:rPr>
                      <w:u w:val="single"/>
                    </w:rPr>
                  </w:pPr>
                  <w:r w:rsidRPr="005D4222">
                    <w:rPr>
                      <w:u w:val="single"/>
                    </w:rPr>
                    <w:t>Doxepin 100 mg Medications List</w:t>
                  </w:r>
                </w:p>
                <w:p w14:paraId="4528C9FA" w14:textId="77777777" w:rsidR="006B7B14" w:rsidRPr="005D4222" w:rsidRDefault="006B7B14" w:rsidP="006B7B14">
                  <w:pPr>
                    <w:pStyle w:val="TableText"/>
                    <w:rPr>
                      <w:u w:val="single"/>
                    </w:rPr>
                  </w:pPr>
                  <w:r w:rsidRPr="005D4222">
                    <w:rPr>
                      <w:u w:val="single"/>
                    </w:rPr>
                    <w:t>Doxepin 150 mg Medications List</w:t>
                  </w:r>
                </w:p>
              </w:tc>
            </w:tr>
          </w:tbl>
          <w:p w14:paraId="523702E8" w14:textId="72F38C12" w:rsidR="006B7B14" w:rsidRPr="005D4222" w:rsidRDefault="006B7B14" w:rsidP="006B7B14">
            <w:pPr>
              <w:pStyle w:val="ECDSBody"/>
              <w:spacing w:before="240"/>
              <w:rPr>
                <w:b/>
                <w:bCs w:val="0"/>
                <w:i/>
                <w:iCs/>
                <w:szCs w:val="21"/>
              </w:rPr>
            </w:pPr>
            <w:r w:rsidRPr="005D4222">
              <w:rPr>
                <w:b/>
                <w:bCs w:val="0"/>
                <w:iCs/>
                <w:szCs w:val="21"/>
              </w:rPr>
              <w:t>Numerator 2: High-</w:t>
            </w:r>
            <w:r w:rsidR="00E80027" w:rsidRPr="005D4222">
              <w:rPr>
                <w:b/>
                <w:bCs w:val="0"/>
                <w:iCs/>
                <w:szCs w:val="21"/>
              </w:rPr>
              <w:t>risk medications</w:t>
            </w:r>
            <w:r w:rsidRPr="005D4222">
              <w:rPr>
                <w:b/>
                <w:bCs w:val="0"/>
                <w:iCs/>
                <w:szCs w:val="21"/>
              </w:rPr>
              <w:t xml:space="preserve"> to </w:t>
            </w:r>
            <w:r w:rsidR="00E80027" w:rsidRPr="005D4222">
              <w:rPr>
                <w:b/>
                <w:bCs w:val="0"/>
                <w:iCs/>
                <w:szCs w:val="21"/>
              </w:rPr>
              <w:t>avoid except</w:t>
            </w:r>
            <w:r w:rsidRPr="005D4222">
              <w:rPr>
                <w:b/>
                <w:bCs w:val="0"/>
                <w:iCs/>
                <w:szCs w:val="21"/>
              </w:rPr>
              <w:t xml:space="preserve"> for </w:t>
            </w:r>
            <w:r w:rsidR="00E80027" w:rsidRPr="005D4222">
              <w:rPr>
                <w:b/>
                <w:bCs w:val="0"/>
                <w:iCs/>
                <w:szCs w:val="21"/>
              </w:rPr>
              <w:t>appropriate diagnosis</w:t>
            </w:r>
            <w:r w:rsidRPr="005D4222">
              <w:rPr>
                <w:b/>
                <w:bCs w:val="0"/>
                <w:i/>
                <w:iCs/>
                <w:szCs w:val="21"/>
              </w:rPr>
              <w:t xml:space="preserve">. </w:t>
            </w:r>
            <w:r w:rsidRPr="005D4222">
              <w:rPr>
                <w:b/>
                <w:bCs w:val="0"/>
                <w:i/>
                <w:iCs/>
                <w:szCs w:val="21"/>
              </w:rPr>
              <w:br/>
            </w:r>
            <w:r w:rsidRPr="005D4222">
              <w:t xml:space="preserve">Persons who had at least two dispensing events for high-risk medications from the same drug class except for appropriate diagnosis during the measurement period. </w:t>
            </w:r>
          </w:p>
          <w:p w14:paraId="237755F3" w14:textId="77777777" w:rsidR="006B7B14" w:rsidRPr="005D4222" w:rsidRDefault="006B7B14" w:rsidP="006B7B14">
            <w:pPr>
              <w:pStyle w:val="ECDSBody"/>
            </w:pPr>
            <w:r w:rsidRPr="005D4222">
              <w:t>Follow the instructions for each medication class (antipsychotics and benzodiazepines) to identify numerator compliance. Include persons who are numerator compliant for more than one medication class only once in the numerator.</w:t>
            </w:r>
          </w:p>
          <w:p w14:paraId="342912AF" w14:textId="77777777" w:rsidR="006B7B14" w:rsidRPr="005D4222" w:rsidRDefault="006B7B14" w:rsidP="006B7B14">
            <w:pPr>
              <w:pStyle w:val="ECDSBody"/>
            </w:pPr>
            <w:r w:rsidRPr="005D4222">
              <w:rPr>
                <w:b/>
                <w:i/>
              </w:rPr>
              <w:t>Antipsychotics</w:t>
            </w:r>
            <w:r w:rsidRPr="005D4222">
              <w:rPr>
                <w:b/>
                <w:iCs/>
              </w:rPr>
              <w:t xml:space="preserve">. </w:t>
            </w:r>
            <w:r w:rsidRPr="005D4222">
              <w:rPr>
                <w:b/>
                <w:iCs/>
              </w:rPr>
              <w:br/>
            </w:r>
            <w:r w:rsidRPr="005D4222">
              <w:t>Persons who meet both of the following are numerator compliant:</w:t>
            </w:r>
          </w:p>
          <w:p w14:paraId="26BEA163" w14:textId="77777777" w:rsidR="006B7B14" w:rsidRPr="005D4222" w:rsidRDefault="006B7B14" w:rsidP="006B7B14">
            <w:pPr>
              <w:pStyle w:val="Bullet"/>
              <w:numPr>
                <w:ilvl w:val="0"/>
                <w:numId w:val="4"/>
              </w:numPr>
              <w:tabs>
                <w:tab w:val="left" w:pos="360"/>
                <w:tab w:val="left" w:pos="576"/>
              </w:tabs>
              <w:ind w:left="576" w:hanging="216"/>
            </w:pPr>
            <w:r w:rsidRPr="005D4222">
              <w:t>Two or more dispensing events for an antipsychotic (</w:t>
            </w:r>
            <w:r w:rsidRPr="005D4222">
              <w:rPr>
                <w:u w:val="single"/>
              </w:rPr>
              <w:t>Potentially Harmful Antipsychotics for Older Adults Medications List</w:t>
            </w:r>
            <w:r w:rsidRPr="005D4222">
              <w:t>) on different dates of service during the measurement period.</w:t>
            </w:r>
          </w:p>
          <w:p w14:paraId="7A421652" w14:textId="77777777" w:rsidR="006B7B14" w:rsidRPr="005D4222" w:rsidRDefault="006B7B14" w:rsidP="006B7B14">
            <w:pPr>
              <w:pStyle w:val="Bullet"/>
              <w:numPr>
                <w:ilvl w:val="0"/>
                <w:numId w:val="4"/>
              </w:numPr>
              <w:tabs>
                <w:tab w:val="left" w:pos="360"/>
                <w:tab w:val="left" w:pos="576"/>
              </w:tabs>
              <w:ind w:left="576" w:hanging="216"/>
            </w:pPr>
            <w:r w:rsidRPr="005D4222">
              <w:t>The person did not have a diagnosis of schizophrenia or schizoaffective disorder (</w:t>
            </w:r>
            <w:r w:rsidRPr="005D4222">
              <w:rPr>
                <w:u w:val="single"/>
              </w:rPr>
              <w:t>Schizophrenia Value Set</w:t>
            </w:r>
            <w:r w:rsidRPr="005D4222">
              <w:t>*) or bipolar disorder (</w:t>
            </w:r>
            <w:r w:rsidRPr="005D4222">
              <w:rPr>
                <w:u w:val="single"/>
              </w:rPr>
              <w:t>Bipolar Disorder Value Set; Other Bipolar Disorder Value Set</w:t>
            </w:r>
            <w:r w:rsidRPr="005D4222">
              <w:t xml:space="preserve">*) on or between January 1 of the year prior to the measurement period and the IPSD for antipsychotics. </w:t>
            </w:r>
          </w:p>
          <w:p w14:paraId="545F534E" w14:textId="77777777" w:rsidR="006B7B14" w:rsidRPr="005D4222" w:rsidRDefault="006B7B14" w:rsidP="006B7B14">
            <w:pPr>
              <w:pStyle w:val="ECDSBody"/>
            </w:pPr>
            <w:r w:rsidRPr="005D4222">
              <w:rPr>
                <w:b/>
                <w:i/>
              </w:rPr>
              <w:t>Benzodiazepines</w:t>
            </w:r>
            <w:r w:rsidRPr="005D4222">
              <w:rPr>
                <w:iCs/>
              </w:rPr>
              <w:t xml:space="preserve">. </w:t>
            </w:r>
            <w:r w:rsidRPr="005D4222">
              <w:rPr>
                <w:iCs/>
              </w:rPr>
              <w:br/>
            </w:r>
            <w:r w:rsidRPr="005D4222">
              <w:t>Persons who meet both of the following are numerator compliant:</w:t>
            </w:r>
          </w:p>
          <w:p w14:paraId="680BB991" w14:textId="77777777" w:rsidR="006B7B14" w:rsidRPr="005D4222" w:rsidRDefault="006B7B14" w:rsidP="006B7B14">
            <w:pPr>
              <w:pStyle w:val="Bullet"/>
              <w:numPr>
                <w:ilvl w:val="0"/>
                <w:numId w:val="4"/>
              </w:numPr>
              <w:tabs>
                <w:tab w:val="left" w:pos="360"/>
                <w:tab w:val="left" w:pos="576"/>
              </w:tabs>
              <w:spacing w:after="80"/>
              <w:ind w:left="576" w:hanging="216"/>
            </w:pPr>
            <w:r w:rsidRPr="005D4222">
              <w:t>Two or more dispensing events for a benzodiazepine (</w:t>
            </w:r>
            <w:r w:rsidRPr="005D4222">
              <w:rPr>
                <w:u w:val="single"/>
              </w:rPr>
              <w:t>Potentially Harmful Benzodiazepines for Older Adults Medications List</w:t>
            </w:r>
            <w:r w:rsidRPr="005D4222">
              <w:t>) on different dates of service during the measurement period.</w:t>
            </w:r>
          </w:p>
          <w:p w14:paraId="0605F724" w14:textId="31EB1302" w:rsidR="006B7B14" w:rsidRPr="005D4222" w:rsidRDefault="006B7B14" w:rsidP="006B7B14">
            <w:pPr>
              <w:pStyle w:val="Bullet"/>
              <w:numPr>
                <w:ilvl w:val="0"/>
                <w:numId w:val="4"/>
              </w:numPr>
              <w:tabs>
                <w:tab w:val="left" w:pos="360"/>
                <w:tab w:val="left" w:pos="576"/>
              </w:tabs>
              <w:spacing w:after="80"/>
              <w:ind w:left="576" w:hanging="216"/>
              <w:rPr>
                <w:sz w:val="10"/>
                <w:szCs w:val="10"/>
              </w:rPr>
            </w:pPr>
            <w:r w:rsidRPr="005D4222">
              <w:t>The person did not have a diagnosis of seizure disorders (</w:t>
            </w:r>
            <w:r w:rsidRPr="005D4222">
              <w:rPr>
                <w:u w:val="single"/>
              </w:rPr>
              <w:t>Seizure Disorders Value Set</w:t>
            </w:r>
            <w:r w:rsidRPr="005D4222">
              <w:t>*), rapid eye movement sleep behavior disorder (</w:t>
            </w:r>
            <w:r w:rsidRPr="005D4222">
              <w:rPr>
                <w:u w:val="single"/>
              </w:rPr>
              <w:t>REM Sleep Behavior Disorder Value Set</w:t>
            </w:r>
            <w:r w:rsidRPr="005D4222">
              <w:t>*), benzodiazepine withdrawal (</w:t>
            </w:r>
            <w:r w:rsidRPr="005D4222">
              <w:rPr>
                <w:u w:val="single"/>
              </w:rPr>
              <w:t>Benzodiazepine Withdrawal Value Set</w:t>
            </w:r>
            <w:r w:rsidRPr="005D4222">
              <w:t>*), ethanol withdrawal (</w:t>
            </w:r>
            <w:r w:rsidRPr="005D4222">
              <w:rPr>
                <w:u w:val="single"/>
              </w:rPr>
              <w:t>Alcohol Withdrawal Value Set</w:t>
            </w:r>
            <w:r w:rsidRPr="005D4222">
              <w:t>*) or severe generalized anxiety disorder (</w:t>
            </w:r>
            <w:r w:rsidRPr="005D4222">
              <w:rPr>
                <w:u w:val="single"/>
              </w:rPr>
              <w:t>Generalized Anxiety Disorder Value Set</w:t>
            </w:r>
            <w:r w:rsidRPr="005D4222">
              <w:t>*) on or between January 1 of the year prior to the measurement period and the IPSD for benzodiazepines.</w:t>
            </w:r>
          </w:p>
        </w:tc>
      </w:tr>
    </w:tbl>
    <w:p w14:paraId="7EAD6C11" w14:textId="7E1CD32A" w:rsidR="002A0099" w:rsidRPr="005D4222" w:rsidRDefault="002A0099"/>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E76D86" w:rsidRPr="005D4222" w14:paraId="1ACA04A4"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10B22B7" w14:textId="77777777" w:rsidR="00E76D86" w:rsidRPr="005D4222" w:rsidRDefault="00E76D86">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33F8892" w14:textId="77777777" w:rsidR="00E76D86" w:rsidRPr="005D4222" w:rsidRDefault="00E76D86">
            <w:pPr>
              <w:pStyle w:val="Heading3"/>
              <w:spacing w:before="120"/>
              <w:rPr>
                <w:sz w:val="20"/>
                <w:szCs w:val="20"/>
              </w:rPr>
            </w:pPr>
            <w:r w:rsidRPr="005D4222">
              <w:rPr>
                <w:szCs w:val="18"/>
              </w:rPr>
              <w:t>High-Risk Medications Based on Prescription and Diagnosis Data</w:t>
            </w:r>
          </w:p>
          <w:tbl>
            <w:tblPr>
              <w:tblW w:w="7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88"/>
              <w:gridCol w:w="3688"/>
            </w:tblGrid>
            <w:tr w:rsidR="00E76D86" w:rsidRPr="005D4222" w14:paraId="51C21CED" w14:textId="77777777">
              <w:trPr>
                <w:cantSplit/>
                <w:tblHeader/>
              </w:trPr>
              <w:tc>
                <w:tcPr>
                  <w:tcW w:w="2500" w:type="pct"/>
                  <w:tcBorders>
                    <w:bottom w:val="single" w:sz="4" w:space="0" w:color="auto"/>
                    <w:right w:val="single" w:sz="4" w:space="0" w:color="FFFFFF" w:themeColor="background1"/>
                  </w:tcBorders>
                  <w:shd w:val="clear" w:color="auto" w:fill="000000" w:themeFill="text1"/>
                  <w:vAlign w:val="center"/>
                </w:tcPr>
                <w:p w14:paraId="07670476" w14:textId="77777777" w:rsidR="00E76D86" w:rsidRPr="005D4222" w:rsidRDefault="00E76D86">
                  <w:pPr>
                    <w:pStyle w:val="TableHead"/>
                  </w:pPr>
                  <w:r w:rsidRPr="005D4222">
                    <w:t>Drug Class</w:t>
                  </w:r>
                </w:p>
              </w:tc>
              <w:tc>
                <w:tcPr>
                  <w:tcW w:w="2500" w:type="pct"/>
                  <w:tcBorders>
                    <w:left w:val="single" w:sz="4" w:space="0" w:color="FFFFFF" w:themeColor="background1"/>
                    <w:bottom w:val="single" w:sz="4" w:space="0" w:color="auto"/>
                    <w:right w:val="single" w:sz="6" w:space="0" w:color="auto"/>
                  </w:tcBorders>
                  <w:shd w:val="clear" w:color="auto" w:fill="000000" w:themeFill="text1"/>
                  <w:vAlign w:val="bottom"/>
                </w:tcPr>
                <w:p w14:paraId="1622D7EB" w14:textId="77777777" w:rsidR="00E76D86" w:rsidRPr="005D4222" w:rsidRDefault="00E76D86">
                  <w:pPr>
                    <w:pStyle w:val="TableHead"/>
                  </w:pPr>
                  <w:r w:rsidRPr="005D4222">
                    <w:t>Medication Lists</w:t>
                  </w:r>
                </w:p>
              </w:tc>
            </w:tr>
            <w:tr w:rsidR="00E76D86" w:rsidRPr="005D4222" w14:paraId="79345F4A" w14:textId="77777777">
              <w:tc>
                <w:tcPr>
                  <w:tcW w:w="2500" w:type="pct"/>
                  <w:tcBorders>
                    <w:left w:val="single" w:sz="4" w:space="0" w:color="auto"/>
                    <w:bottom w:val="single" w:sz="4" w:space="0" w:color="auto"/>
                    <w:right w:val="single" w:sz="4" w:space="0" w:color="auto"/>
                  </w:tcBorders>
                  <w:shd w:val="clear" w:color="auto" w:fill="FFFFFF" w:themeFill="background1"/>
                </w:tcPr>
                <w:p w14:paraId="1EDC7FAD" w14:textId="77777777" w:rsidR="00E76D86" w:rsidRPr="005D4222" w:rsidRDefault="00E76D86">
                  <w:pPr>
                    <w:pStyle w:val="TableText"/>
                    <w:rPr>
                      <w:snapToGrid w:val="0"/>
                      <w:szCs w:val="21"/>
                    </w:rPr>
                  </w:pPr>
                  <w:r w:rsidRPr="005D4222">
                    <w:rPr>
                      <w:snapToGrid w:val="0"/>
                      <w:szCs w:val="21"/>
                    </w:rPr>
                    <w:t>Antipsychotics, first (conventional) and second (atypical) generation</w:t>
                  </w:r>
                </w:p>
              </w:tc>
              <w:tc>
                <w:tcPr>
                  <w:tcW w:w="2500" w:type="pct"/>
                  <w:tcBorders>
                    <w:top w:val="single" w:sz="4" w:space="0" w:color="auto"/>
                    <w:left w:val="single" w:sz="6" w:space="0" w:color="auto"/>
                    <w:bottom w:val="single" w:sz="4" w:space="0" w:color="auto"/>
                    <w:right w:val="single" w:sz="6" w:space="0" w:color="auto"/>
                  </w:tcBorders>
                  <w:shd w:val="clear" w:color="auto" w:fill="FFFFFF" w:themeFill="background1"/>
                </w:tcPr>
                <w:p w14:paraId="0C1ABF95" w14:textId="77777777" w:rsidR="00E76D86" w:rsidRPr="005D4222" w:rsidRDefault="00E76D86">
                  <w:pPr>
                    <w:spacing w:before="80" w:after="80" w:line="216" w:lineRule="auto"/>
                    <w:rPr>
                      <w:rFonts w:ascii="Arial Narrow" w:hAnsi="Arial Narrow"/>
                      <w:u w:val="single"/>
                    </w:rPr>
                  </w:pPr>
                  <w:r w:rsidRPr="005D4222">
                    <w:rPr>
                      <w:rFonts w:ascii="Arial Narrow" w:hAnsi="Arial Narrow"/>
                      <w:u w:val="single"/>
                    </w:rPr>
                    <w:t>Potentially Harmful Antipsychotics for Older Adults Medications List</w:t>
                  </w:r>
                </w:p>
              </w:tc>
            </w:tr>
            <w:tr w:rsidR="00E76D86" w:rsidRPr="005D4222" w14:paraId="573CF9E1" w14:textId="77777777">
              <w:tc>
                <w:tcPr>
                  <w:tcW w:w="2500" w:type="pct"/>
                  <w:tcBorders>
                    <w:top w:val="single" w:sz="4" w:space="0" w:color="auto"/>
                    <w:left w:val="single" w:sz="4" w:space="0" w:color="auto"/>
                    <w:right w:val="single" w:sz="4" w:space="0" w:color="auto"/>
                  </w:tcBorders>
                  <w:shd w:val="clear" w:color="auto" w:fill="FFFFFF" w:themeFill="background1"/>
                </w:tcPr>
                <w:p w14:paraId="69388182" w14:textId="77777777" w:rsidR="00E76D86" w:rsidRPr="005D4222" w:rsidRDefault="00E76D86">
                  <w:pPr>
                    <w:pStyle w:val="TableText"/>
                    <w:rPr>
                      <w:snapToGrid w:val="0"/>
                      <w:szCs w:val="21"/>
                    </w:rPr>
                  </w:pPr>
                  <w:r w:rsidRPr="005D4222">
                    <w:rPr>
                      <w:snapToGrid w:val="0"/>
                      <w:szCs w:val="21"/>
                    </w:rPr>
                    <w:t>Benzodiazepines, long, short and intermediate acting</w:t>
                  </w:r>
                </w:p>
              </w:tc>
              <w:tc>
                <w:tcPr>
                  <w:tcW w:w="2500" w:type="pct"/>
                  <w:tcBorders>
                    <w:top w:val="single" w:sz="4" w:space="0" w:color="auto"/>
                    <w:left w:val="single" w:sz="6" w:space="0" w:color="auto"/>
                    <w:bottom w:val="single" w:sz="4" w:space="0" w:color="auto"/>
                    <w:right w:val="single" w:sz="6" w:space="0" w:color="auto"/>
                  </w:tcBorders>
                  <w:shd w:val="clear" w:color="auto" w:fill="FFFFFF" w:themeFill="background1"/>
                </w:tcPr>
                <w:p w14:paraId="37CD3A29" w14:textId="77777777" w:rsidR="00E76D86" w:rsidRPr="005D4222" w:rsidRDefault="00E76D86">
                  <w:pPr>
                    <w:spacing w:before="80" w:after="80" w:line="216" w:lineRule="auto"/>
                    <w:rPr>
                      <w:rFonts w:ascii="Arial Narrow" w:hAnsi="Arial Narrow"/>
                      <w:u w:val="single"/>
                    </w:rPr>
                  </w:pPr>
                  <w:r w:rsidRPr="005D4222">
                    <w:rPr>
                      <w:rFonts w:ascii="Arial Narrow" w:hAnsi="Arial Narrow"/>
                      <w:u w:val="single"/>
                    </w:rPr>
                    <w:t>Potentially Harmful Benzodiazepines for Older Adults Medications List</w:t>
                  </w:r>
                </w:p>
              </w:tc>
            </w:tr>
          </w:tbl>
          <w:p w14:paraId="308153D5" w14:textId="77777777" w:rsidR="00E76D86" w:rsidRPr="005D4222" w:rsidRDefault="00E76D86">
            <w:pPr>
              <w:pStyle w:val="ECDSBody"/>
              <w:spacing w:after="0"/>
              <w:rPr>
                <w:rFonts w:eastAsia="Arial,Arial,Arial,Arial,Arial,A"/>
                <w:b/>
                <w:bCs w:val="0"/>
              </w:rPr>
            </w:pPr>
            <w:r w:rsidRPr="005D4222">
              <w:rPr>
                <w:rFonts w:eastAsia="Arial,Arial,Arial,Arial,Arial,A"/>
                <w:b/>
                <w:bCs w:val="0"/>
              </w:rPr>
              <w:t>Coding Guidance</w:t>
            </w:r>
          </w:p>
          <w:p w14:paraId="6C79E16D" w14:textId="77777777" w:rsidR="00E76D86" w:rsidRPr="005D4222" w:rsidRDefault="00E76D86">
            <w:pPr>
              <w:pStyle w:val="ECDSBody"/>
              <w:spacing w:before="0"/>
            </w:pPr>
            <w:r w:rsidRPr="005D4222">
              <w:rPr>
                <w:rFonts w:eastAsia="Arial,Arial,Arial,Arial,Arial,A"/>
              </w:rPr>
              <w:t>*Do not include laboratory claims (claims with POS code 81).</w:t>
            </w:r>
          </w:p>
        </w:tc>
      </w:tr>
      <w:tr w:rsidR="00E76D86" w:rsidRPr="005D4222" w14:paraId="42FC5F10"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320CCBC" w14:textId="77777777" w:rsidR="00E76D86" w:rsidRPr="005D4222" w:rsidRDefault="00E76D86">
            <w:pPr>
              <w:pStyle w:val="ECDSMarginHead"/>
            </w:pPr>
            <w:r w:rsidRPr="005D4222">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C5B3B3D" w14:textId="77777777" w:rsidR="00E76D86" w:rsidRPr="005D4222" w:rsidRDefault="00E76D86">
            <w:pPr>
              <w:pStyle w:val="ProcessBullet"/>
              <w:spacing w:before="120"/>
            </w:pPr>
            <w:r w:rsidRPr="005D4222">
              <w:t>No changes to this measure.</w:t>
            </w:r>
          </w:p>
        </w:tc>
      </w:tr>
      <w:tr w:rsidR="00E76D86" w:rsidRPr="005D4222" w14:paraId="2B7B7D91" w14:textId="77777777">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6D7C2B9" w14:textId="77777777" w:rsidR="00E76D86" w:rsidRPr="005D4222" w:rsidRDefault="00E76D86">
            <w:pPr>
              <w:pStyle w:val="ECDS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E563235" w14:textId="77777777" w:rsidR="00E76D86" w:rsidRPr="005D4222" w:rsidRDefault="00E76D86">
            <w:pPr>
              <w:pStyle w:val="ECDSBody"/>
            </w:pPr>
            <w:r w:rsidRPr="005D4222">
              <w:t>Organizations that submit HEDIS data to NCQA must provide the following data elements.</w:t>
            </w:r>
          </w:p>
          <w:p w14:paraId="4BD116E3" w14:textId="77777777" w:rsidR="00E76D86" w:rsidRPr="005D4222" w:rsidRDefault="00E76D86">
            <w:pPr>
              <w:pStyle w:val="Heading3"/>
              <w:spacing w:before="120"/>
            </w:pPr>
            <w:r w:rsidRPr="005D4222">
              <w:t xml:space="preserve">Table DAE-3: Data Elements for Use of High-Risk Medications in Older Adults </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04"/>
              <w:gridCol w:w="2032"/>
              <w:gridCol w:w="2439"/>
            </w:tblGrid>
            <w:tr w:rsidR="00E76D86" w:rsidRPr="005D4222" w14:paraId="3B7D1B1D" w14:textId="77777777">
              <w:tc>
                <w:tcPr>
                  <w:tcW w:w="2456"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hideMark/>
                </w:tcPr>
                <w:p w14:paraId="2F67D137" w14:textId="77777777" w:rsidR="00E76D86" w:rsidRPr="005D4222" w:rsidRDefault="00E76D86">
                  <w:pPr>
                    <w:pStyle w:val="TableHead"/>
                  </w:pPr>
                  <w:r w:rsidRPr="005D4222">
                    <w:t>Metric</w:t>
                  </w:r>
                </w:p>
              </w:tc>
              <w:tc>
                <w:tcPr>
                  <w:tcW w:w="1719"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hideMark/>
                </w:tcPr>
                <w:p w14:paraId="3CD20126" w14:textId="77777777" w:rsidR="00E76D86" w:rsidRPr="005D4222" w:rsidRDefault="00E76D86">
                  <w:pPr>
                    <w:pStyle w:val="TableHead"/>
                  </w:pPr>
                  <w:r w:rsidRPr="005D4222">
                    <w:t>Data Element</w:t>
                  </w:r>
                </w:p>
              </w:tc>
              <w:tc>
                <w:tcPr>
                  <w:tcW w:w="2063"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hideMark/>
                </w:tcPr>
                <w:p w14:paraId="5F82E44C" w14:textId="77777777" w:rsidR="00E76D86" w:rsidRPr="005D4222" w:rsidRDefault="00E76D86">
                  <w:pPr>
                    <w:pStyle w:val="TableHead"/>
                  </w:pPr>
                  <w:r w:rsidRPr="005D4222">
                    <w:t>Reporting Instructions</w:t>
                  </w:r>
                </w:p>
              </w:tc>
            </w:tr>
            <w:tr w:rsidR="00E76D86" w:rsidRPr="005D4222" w14:paraId="0A615930" w14:textId="77777777">
              <w:tc>
                <w:tcPr>
                  <w:tcW w:w="2456" w:type="dxa"/>
                  <w:tcBorders>
                    <w:top w:val="single" w:sz="4" w:space="0" w:color="000000" w:themeColor="text1"/>
                    <w:left w:val="single" w:sz="4" w:space="0" w:color="auto"/>
                    <w:bottom w:val="single" w:sz="4" w:space="0" w:color="auto"/>
                    <w:right w:val="single" w:sz="4" w:space="0" w:color="auto"/>
                  </w:tcBorders>
                  <w:hideMark/>
                </w:tcPr>
                <w:p w14:paraId="498609C4" w14:textId="77777777" w:rsidR="00E76D86" w:rsidRPr="005D4222" w:rsidRDefault="00E76D86">
                  <w:pPr>
                    <w:pStyle w:val="TableText"/>
                    <w:rPr>
                      <w:rFonts w:cs="Arial"/>
                      <w:szCs w:val="21"/>
                    </w:rPr>
                  </w:pPr>
                  <w:r w:rsidRPr="005D4222">
                    <w:rPr>
                      <w:rFonts w:cs="Arial"/>
                      <w:szCs w:val="21"/>
                    </w:rPr>
                    <w:t>HighRiskMedicationsToAvoid</w:t>
                  </w:r>
                </w:p>
              </w:tc>
              <w:tc>
                <w:tcPr>
                  <w:tcW w:w="1719" w:type="dxa"/>
                  <w:tcBorders>
                    <w:top w:val="single" w:sz="4" w:space="0" w:color="000000" w:themeColor="text1"/>
                    <w:left w:val="single" w:sz="4" w:space="0" w:color="auto"/>
                    <w:bottom w:val="single" w:sz="4" w:space="0" w:color="auto"/>
                    <w:right w:val="single" w:sz="4" w:space="0" w:color="auto"/>
                  </w:tcBorders>
                  <w:hideMark/>
                </w:tcPr>
                <w:p w14:paraId="36318310" w14:textId="77777777" w:rsidR="00E76D86" w:rsidRPr="005D4222" w:rsidRDefault="00E76D86">
                  <w:pPr>
                    <w:pStyle w:val="TableText"/>
                    <w:rPr>
                      <w:rFonts w:cs="Arial"/>
                      <w:szCs w:val="21"/>
                    </w:rPr>
                  </w:pPr>
                  <w:r w:rsidRPr="005D4222">
                    <w:rPr>
                      <w:rFonts w:cs="Arial"/>
                      <w:szCs w:val="21"/>
                    </w:rPr>
                    <w:t>Benefit</w:t>
                  </w:r>
                </w:p>
              </w:tc>
              <w:tc>
                <w:tcPr>
                  <w:tcW w:w="2063" w:type="dxa"/>
                  <w:tcBorders>
                    <w:top w:val="single" w:sz="4" w:space="0" w:color="000000" w:themeColor="text1"/>
                    <w:left w:val="single" w:sz="4" w:space="0" w:color="auto"/>
                    <w:bottom w:val="single" w:sz="6" w:space="0" w:color="auto"/>
                    <w:right w:val="single" w:sz="4" w:space="0" w:color="auto"/>
                  </w:tcBorders>
                  <w:hideMark/>
                </w:tcPr>
                <w:p w14:paraId="247DD501" w14:textId="77777777" w:rsidR="00E76D86" w:rsidRPr="005D4222" w:rsidRDefault="00E76D86">
                  <w:pPr>
                    <w:pStyle w:val="TableText"/>
                    <w:rPr>
                      <w:rFonts w:eastAsia="Wingdings" w:cs="Arial"/>
                      <w:szCs w:val="21"/>
                    </w:rPr>
                  </w:pPr>
                  <w:r w:rsidRPr="005D4222">
                    <w:rPr>
                      <w:rFonts w:eastAsia="Wingdings" w:cs="Arial"/>
                      <w:szCs w:val="21"/>
                    </w:rPr>
                    <w:t>Metadata</w:t>
                  </w:r>
                </w:p>
              </w:tc>
            </w:tr>
            <w:tr w:rsidR="00E76D86" w:rsidRPr="005D4222" w14:paraId="233691AC" w14:textId="77777777">
              <w:tc>
                <w:tcPr>
                  <w:tcW w:w="245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3A74766" w14:textId="77777777" w:rsidR="00E76D86" w:rsidRPr="005D4222" w:rsidRDefault="00E76D86">
                  <w:pPr>
                    <w:pStyle w:val="TableText"/>
                    <w:rPr>
                      <w:rFonts w:cs="Arial"/>
                      <w:szCs w:val="21"/>
                    </w:rPr>
                  </w:pPr>
                  <w:r w:rsidRPr="005D4222">
                    <w:rPr>
                      <w:rFonts w:cs="Arial"/>
                      <w:szCs w:val="21"/>
                    </w:rPr>
                    <w:t>ExceptAppropriateDiagnosis</w:t>
                  </w:r>
                </w:p>
              </w:tc>
              <w:tc>
                <w:tcPr>
                  <w:tcW w:w="171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36B0066" w14:textId="77777777" w:rsidR="00E76D86" w:rsidRPr="005D4222" w:rsidRDefault="00E76D86">
                  <w:pPr>
                    <w:pStyle w:val="TableText"/>
                    <w:rPr>
                      <w:rFonts w:cs="Arial"/>
                      <w:szCs w:val="21"/>
                    </w:rPr>
                  </w:pPr>
                  <w:r w:rsidRPr="005D4222">
                    <w:rPr>
                      <w:rFonts w:cs="Arial"/>
                      <w:szCs w:val="21"/>
                    </w:rPr>
                    <w:t xml:space="preserve">InitialPopulation </w:t>
                  </w:r>
                </w:p>
              </w:tc>
              <w:tc>
                <w:tcPr>
                  <w:tcW w:w="2063"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4AFB3BEB" w14:textId="77777777" w:rsidR="00E76D86" w:rsidRPr="005D4222" w:rsidRDefault="00E76D86">
                  <w:pPr>
                    <w:pStyle w:val="TableText"/>
                    <w:rPr>
                      <w:rFonts w:eastAsia="Wingdings" w:cs="Arial"/>
                      <w:szCs w:val="21"/>
                    </w:rPr>
                  </w:pPr>
                  <w:r w:rsidRPr="005D4222">
                    <w:rPr>
                      <w:rFonts w:eastAsia="Wingdings" w:cs="Arial"/>
                      <w:szCs w:val="21"/>
                    </w:rPr>
                    <w:t>Repeat per Metric</w:t>
                  </w:r>
                </w:p>
              </w:tc>
            </w:tr>
            <w:tr w:rsidR="00E76D86" w:rsidRPr="005D4222" w14:paraId="07927981" w14:textId="77777777">
              <w:tc>
                <w:tcPr>
                  <w:tcW w:w="2456" w:type="dxa"/>
                  <w:tcBorders>
                    <w:top w:val="single" w:sz="4" w:space="0" w:color="auto"/>
                    <w:left w:val="single" w:sz="4" w:space="0" w:color="auto"/>
                    <w:bottom w:val="single" w:sz="4" w:space="0" w:color="auto"/>
                    <w:right w:val="nil"/>
                  </w:tcBorders>
                  <w:shd w:val="clear" w:color="auto" w:fill="FFFFFF" w:themeFill="background1"/>
                  <w:hideMark/>
                </w:tcPr>
                <w:p w14:paraId="7F7F2B27" w14:textId="77777777" w:rsidR="00E76D86" w:rsidRPr="005D4222" w:rsidRDefault="00E76D86">
                  <w:pPr>
                    <w:pStyle w:val="TableText"/>
                    <w:rPr>
                      <w:rFonts w:cs="Arial"/>
                      <w:szCs w:val="21"/>
                    </w:rPr>
                  </w:pPr>
                  <w:r w:rsidRPr="005D4222">
                    <w:rPr>
                      <w:rFonts w:cs="Arial"/>
                      <w:szCs w:val="21"/>
                    </w:rPr>
                    <w:t>Total</w:t>
                  </w:r>
                </w:p>
              </w:tc>
              <w:tc>
                <w:tcPr>
                  <w:tcW w:w="171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CA775CC" w14:textId="77777777" w:rsidR="00E76D86" w:rsidRPr="005D4222" w:rsidRDefault="00E76D86">
                  <w:pPr>
                    <w:pStyle w:val="TableText"/>
                    <w:rPr>
                      <w:rFonts w:cs="Arial"/>
                    </w:rPr>
                  </w:pPr>
                  <w:r w:rsidRPr="005D4222">
                    <w:rPr>
                      <w:rFonts w:cs="Arial"/>
                    </w:rPr>
                    <w:t>Exclusions</w:t>
                  </w:r>
                </w:p>
              </w:tc>
              <w:tc>
                <w:tcPr>
                  <w:tcW w:w="2063"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4F5EEC0C" w14:textId="77777777" w:rsidR="00E76D86" w:rsidRPr="005D4222" w:rsidRDefault="00E76D86">
                  <w:pPr>
                    <w:pStyle w:val="TableText"/>
                    <w:rPr>
                      <w:rFonts w:eastAsia="Wingdings" w:cs="Arial"/>
                      <w:szCs w:val="21"/>
                    </w:rPr>
                  </w:pPr>
                  <w:r w:rsidRPr="005D4222">
                    <w:rPr>
                      <w:rFonts w:eastAsia="Wingdings" w:cs="Arial"/>
                      <w:szCs w:val="21"/>
                    </w:rPr>
                    <w:t>Repeat per Metric</w:t>
                  </w:r>
                </w:p>
              </w:tc>
            </w:tr>
            <w:tr w:rsidR="00E76D86" w:rsidRPr="005D4222" w14:paraId="699EA317" w14:textId="77777777">
              <w:tc>
                <w:tcPr>
                  <w:tcW w:w="2456" w:type="dxa"/>
                  <w:tcBorders>
                    <w:top w:val="single" w:sz="4" w:space="0" w:color="auto"/>
                    <w:left w:val="nil"/>
                    <w:bottom w:val="nil"/>
                    <w:right w:val="single" w:sz="4" w:space="0" w:color="auto"/>
                  </w:tcBorders>
                  <w:shd w:val="clear" w:color="auto" w:fill="FFFFFF" w:themeFill="background1"/>
                </w:tcPr>
                <w:p w14:paraId="194C07FB" w14:textId="77777777" w:rsidR="00E76D86" w:rsidRPr="005D4222" w:rsidRDefault="00E76D86">
                  <w:pPr>
                    <w:pStyle w:val="TableText"/>
                    <w:rPr>
                      <w:rFonts w:cs="Arial"/>
                      <w:szCs w:val="21"/>
                    </w:rPr>
                  </w:pPr>
                </w:p>
              </w:tc>
              <w:tc>
                <w:tcPr>
                  <w:tcW w:w="1719" w:type="dxa"/>
                  <w:tcBorders>
                    <w:top w:val="single" w:sz="4" w:space="0" w:color="auto"/>
                    <w:left w:val="single" w:sz="4" w:space="0" w:color="auto"/>
                    <w:bottom w:val="single" w:sz="4" w:space="0" w:color="auto"/>
                    <w:right w:val="single" w:sz="4" w:space="0" w:color="auto"/>
                  </w:tcBorders>
                  <w:shd w:val="clear" w:color="auto" w:fill="FFFFFF" w:themeFill="background1"/>
                </w:tcPr>
                <w:p w14:paraId="14DAF1EA" w14:textId="77777777" w:rsidR="00E76D86" w:rsidRPr="005D4222" w:rsidRDefault="00E76D86">
                  <w:pPr>
                    <w:pStyle w:val="TableText"/>
                    <w:rPr>
                      <w:rFonts w:cs="Arial"/>
                      <w:szCs w:val="21"/>
                    </w:rPr>
                  </w:pPr>
                  <w:r w:rsidRPr="005D4222">
                    <w:rPr>
                      <w:rFonts w:cs="Arial"/>
                      <w:szCs w:val="21"/>
                    </w:rPr>
                    <w:t>Denominator</w:t>
                  </w:r>
                </w:p>
              </w:tc>
              <w:tc>
                <w:tcPr>
                  <w:tcW w:w="2063" w:type="dxa"/>
                  <w:tcBorders>
                    <w:top w:val="single" w:sz="6" w:space="0" w:color="auto"/>
                    <w:left w:val="single" w:sz="4" w:space="0" w:color="auto"/>
                    <w:bottom w:val="single" w:sz="6" w:space="0" w:color="auto"/>
                    <w:right w:val="single" w:sz="4" w:space="0" w:color="auto"/>
                  </w:tcBorders>
                  <w:shd w:val="clear" w:color="auto" w:fill="FFFFFF" w:themeFill="background1"/>
                </w:tcPr>
                <w:p w14:paraId="2E7F6DA8" w14:textId="77777777" w:rsidR="00E76D86" w:rsidRPr="005D4222" w:rsidRDefault="00E76D86">
                  <w:pPr>
                    <w:pStyle w:val="TableText"/>
                    <w:rPr>
                      <w:rFonts w:eastAsia="Wingdings" w:cs="Arial"/>
                      <w:szCs w:val="21"/>
                    </w:rPr>
                  </w:pPr>
                  <w:r w:rsidRPr="005D4222">
                    <w:rPr>
                      <w:rFonts w:eastAsia="Wingdings" w:cs="Arial"/>
                      <w:szCs w:val="21"/>
                    </w:rPr>
                    <w:t>Repeat per Metric</w:t>
                  </w:r>
                </w:p>
              </w:tc>
            </w:tr>
            <w:tr w:rsidR="00E76D86" w:rsidRPr="005D4222" w14:paraId="1D8BB9A0" w14:textId="77777777">
              <w:tc>
                <w:tcPr>
                  <w:tcW w:w="2456" w:type="dxa"/>
                  <w:tcBorders>
                    <w:top w:val="nil"/>
                    <w:left w:val="nil"/>
                    <w:bottom w:val="nil"/>
                    <w:right w:val="single" w:sz="4" w:space="0" w:color="auto"/>
                  </w:tcBorders>
                  <w:shd w:val="clear" w:color="auto" w:fill="FFFFFF" w:themeFill="background1"/>
                </w:tcPr>
                <w:p w14:paraId="05E39A20" w14:textId="77777777" w:rsidR="00E76D86" w:rsidRPr="005D4222" w:rsidRDefault="00E76D86">
                  <w:pPr>
                    <w:pStyle w:val="TableText"/>
                    <w:rPr>
                      <w:rFonts w:cs="Arial"/>
                      <w:szCs w:val="21"/>
                    </w:rPr>
                  </w:pPr>
                </w:p>
              </w:tc>
              <w:tc>
                <w:tcPr>
                  <w:tcW w:w="171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79C7F44" w14:textId="77777777" w:rsidR="00E76D86" w:rsidRPr="005D4222" w:rsidRDefault="00E76D86">
                  <w:pPr>
                    <w:pStyle w:val="TableText"/>
                    <w:rPr>
                      <w:rFonts w:cs="Arial"/>
                      <w:szCs w:val="21"/>
                    </w:rPr>
                  </w:pPr>
                  <w:r w:rsidRPr="005D4222">
                    <w:rPr>
                      <w:rFonts w:cs="Arial"/>
                      <w:szCs w:val="21"/>
                    </w:rPr>
                    <w:t>NumeratorByAdmin</w:t>
                  </w:r>
                </w:p>
              </w:tc>
              <w:tc>
                <w:tcPr>
                  <w:tcW w:w="2063"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19CB0BAD" w14:textId="77777777" w:rsidR="00E76D86" w:rsidRPr="005D4222" w:rsidRDefault="00E76D86">
                  <w:pPr>
                    <w:pStyle w:val="TableText"/>
                    <w:rPr>
                      <w:rFonts w:eastAsia="Wingdings" w:cs="Arial"/>
                      <w:szCs w:val="21"/>
                    </w:rPr>
                  </w:pPr>
                  <w:r w:rsidRPr="005D4222">
                    <w:rPr>
                      <w:rFonts w:eastAsia="Wingdings" w:cs="Arial"/>
                      <w:szCs w:val="21"/>
                    </w:rPr>
                    <w:t>For each Metric</w:t>
                  </w:r>
                </w:p>
              </w:tc>
            </w:tr>
            <w:tr w:rsidR="00E76D86" w:rsidRPr="005D4222" w14:paraId="5ED310FA" w14:textId="77777777">
              <w:tc>
                <w:tcPr>
                  <w:tcW w:w="2456" w:type="dxa"/>
                  <w:tcBorders>
                    <w:top w:val="nil"/>
                    <w:left w:val="nil"/>
                    <w:bottom w:val="nil"/>
                    <w:right w:val="nil"/>
                  </w:tcBorders>
                  <w:shd w:val="clear" w:color="auto" w:fill="FFFFFF" w:themeFill="background1"/>
                </w:tcPr>
                <w:p w14:paraId="145CF76F" w14:textId="77777777" w:rsidR="00E76D86" w:rsidRPr="005D4222" w:rsidRDefault="00E76D86">
                  <w:pPr>
                    <w:pStyle w:val="TableText"/>
                    <w:rPr>
                      <w:rFonts w:cs="Arial"/>
                      <w:szCs w:val="21"/>
                    </w:rPr>
                  </w:pPr>
                </w:p>
              </w:tc>
              <w:tc>
                <w:tcPr>
                  <w:tcW w:w="171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D8D1BAA" w14:textId="77777777" w:rsidR="00E76D86" w:rsidRPr="005D4222" w:rsidRDefault="00E76D86">
                  <w:pPr>
                    <w:pStyle w:val="TableText"/>
                    <w:rPr>
                      <w:rFonts w:cs="Arial"/>
                      <w:szCs w:val="21"/>
                    </w:rPr>
                  </w:pPr>
                  <w:r w:rsidRPr="005D4222">
                    <w:rPr>
                      <w:rFonts w:cs="Arial"/>
                      <w:szCs w:val="21"/>
                    </w:rPr>
                    <w:t>Rate</w:t>
                  </w:r>
                </w:p>
              </w:tc>
              <w:tc>
                <w:tcPr>
                  <w:tcW w:w="2063" w:type="dxa"/>
                  <w:tcBorders>
                    <w:top w:val="single" w:sz="6" w:space="0" w:color="auto"/>
                    <w:left w:val="single" w:sz="4" w:space="0" w:color="auto"/>
                    <w:bottom w:val="single" w:sz="6" w:space="0" w:color="auto"/>
                    <w:right w:val="single" w:sz="4" w:space="0" w:color="auto"/>
                  </w:tcBorders>
                  <w:shd w:val="clear" w:color="auto" w:fill="D9D9D9" w:themeFill="background1" w:themeFillShade="D9"/>
                  <w:hideMark/>
                </w:tcPr>
                <w:p w14:paraId="396B2765" w14:textId="77777777" w:rsidR="00E76D86" w:rsidRPr="005D4222" w:rsidRDefault="00E76D86">
                  <w:pPr>
                    <w:pStyle w:val="TableText"/>
                    <w:rPr>
                      <w:rFonts w:eastAsia="Wingdings" w:cs="Arial"/>
                      <w:szCs w:val="21"/>
                    </w:rPr>
                  </w:pPr>
                  <w:r w:rsidRPr="005D4222">
                    <w:rPr>
                      <w:rFonts w:eastAsia="Wingdings" w:cs="Arial"/>
                      <w:szCs w:val="21"/>
                    </w:rPr>
                    <w:t>(Percent)</w:t>
                  </w:r>
                </w:p>
              </w:tc>
            </w:tr>
          </w:tbl>
          <w:p w14:paraId="623F2501" w14:textId="77777777" w:rsidR="00E76D86" w:rsidRPr="005D4222" w:rsidRDefault="00E76D86">
            <w:pPr>
              <w:pStyle w:val="ProcessDash"/>
              <w:numPr>
                <w:ilvl w:val="0"/>
                <w:numId w:val="0"/>
              </w:numPr>
              <w:rPr>
                <w:rFonts w:cs="Arial"/>
                <w:color w:val="000000" w:themeColor="text1"/>
                <w:highlight w:val="yellow"/>
              </w:rPr>
            </w:pPr>
          </w:p>
        </w:tc>
      </w:tr>
      <w:tr w:rsidR="00E76D86" w:rsidRPr="005D4222" w14:paraId="29824583" w14:textId="77777777">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B8CF439" w14:textId="77777777" w:rsidR="00E76D86" w:rsidRPr="005D4222" w:rsidRDefault="00E76D86">
            <w:pPr>
              <w:pStyle w:val="ECDSMarginHead"/>
            </w:pPr>
            <w:r w:rsidRPr="005D4222">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98212AA" w14:textId="77777777" w:rsidR="00E76D86" w:rsidRPr="005D4222" w:rsidRDefault="00E76D86">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7E12C312" w14:textId="77777777" w:rsidR="00E76D86" w:rsidRPr="005D4222" w:rsidRDefault="00E76D86">
            <w:pPr>
              <w:pStyle w:val="ECDSBody"/>
              <w:rPr>
                <w:b/>
              </w:rPr>
            </w:pPr>
            <w:r w:rsidRPr="005D4222">
              <w:rPr>
                <w:b/>
              </w:rPr>
              <w:t>Adjusted HEDIS measures may not be used for HEDIS health plan reporting.</w:t>
            </w:r>
          </w:p>
          <w:p w14:paraId="30D27609" w14:textId="77777777" w:rsidR="00E76D86" w:rsidRPr="005D4222" w:rsidRDefault="00E76D86">
            <w:pPr>
              <w:pStyle w:val="Adjustments"/>
            </w:pPr>
            <w:r w:rsidRPr="005D4222">
              <w:t>Adjustments allowed</w:t>
            </w:r>
          </w:p>
          <w:p w14:paraId="150711B6" w14:textId="625573C0" w:rsidR="00E76D86" w:rsidRPr="005D4222" w:rsidRDefault="00E76D86">
            <w:pPr>
              <w:pStyle w:val="ProcessBullet"/>
              <w:rPr>
                <w:b/>
              </w:rPr>
            </w:pPr>
            <w:r w:rsidRPr="005D4222">
              <w:rPr>
                <w:i/>
                <w:iCs/>
              </w:rPr>
              <w:t>Product lines</w:t>
            </w:r>
            <w:r w:rsidRPr="005D4222">
              <w:t>. Organizations are not required to use product line criteria; product lines may be combined</w:t>
            </w:r>
            <w:r w:rsidR="00E8671F" w:rsidRPr="005D4222">
              <w:t>,</w:t>
            </w:r>
            <w:r w:rsidRPr="005D4222">
              <w:t xml:space="preserve"> and all (or no) product line criteria may be used.</w:t>
            </w:r>
          </w:p>
          <w:p w14:paraId="4B5A858D" w14:textId="5F19497D" w:rsidR="002A0099" w:rsidRPr="005D4222" w:rsidRDefault="00E76D86" w:rsidP="00773A27">
            <w:pPr>
              <w:pStyle w:val="ProcessBullet"/>
              <w:spacing w:after="80"/>
              <w:rPr>
                <w:i/>
                <w:iCs/>
              </w:rPr>
            </w:pPr>
            <w:r w:rsidRPr="005D4222">
              <w:rPr>
                <w:rFonts w:eastAsia="Arial"/>
                <w:i/>
                <w:iCs/>
              </w:rPr>
              <w:t xml:space="preserve">Attribution. </w:t>
            </w:r>
            <w:r w:rsidRPr="005D4222">
              <w:rPr>
                <w:rFonts w:eastAsia="Arial"/>
              </w:rPr>
              <w:t>Organizations are not required to use enrollment criteria.</w:t>
            </w:r>
          </w:p>
          <w:p w14:paraId="5B4A449C" w14:textId="77777777" w:rsidR="006B7B14" w:rsidRPr="005D4222" w:rsidRDefault="006B7B14" w:rsidP="006B7B14">
            <w:pPr>
              <w:pStyle w:val="ProcessBullet"/>
              <w:spacing w:after="80"/>
              <w:rPr>
                <w:i/>
                <w:iCs/>
              </w:rPr>
            </w:pPr>
            <w:r w:rsidRPr="005D4222">
              <w:rPr>
                <w:rFonts w:eastAsia="Arial"/>
                <w:i/>
                <w:iCs/>
              </w:rPr>
              <w:t>Benefits.</w:t>
            </w:r>
            <w:r w:rsidRPr="005D4222">
              <w:rPr>
                <w:i/>
                <w:iCs/>
              </w:rPr>
              <w:t xml:space="preserve"> </w:t>
            </w:r>
            <w:r w:rsidRPr="005D4222">
              <w:rPr>
                <w:rFonts w:eastAsia="Arial"/>
              </w:rPr>
              <w:t>Organizations are not required to use a benefit.</w:t>
            </w:r>
          </w:p>
          <w:p w14:paraId="4B3708BC" w14:textId="77777777" w:rsidR="006B7B14" w:rsidRPr="005D4222" w:rsidRDefault="006B7B14" w:rsidP="006B7B14">
            <w:pPr>
              <w:pStyle w:val="ProcessBullet"/>
              <w:spacing w:after="80"/>
              <w:rPr>
                <w:i/>
                <w:iCs/>
              </w:rPr>
            </w:pPr>
            <w:r w:rsidRPr="005D4222">
              <w:rPr>
                <w:rFonts w:eastAsia="Arial"/>
                <w:i/>
                <w:iCs/>
              </w:rPr>
              <w:t>Other.</w:t>
            </w:r>
            <w:r w:rsidRPr="005D4222">
              <w:rPr>
                <w:i/>
                <w:iCs/>
              </w:rPr>
              <w:t xml:space="preserve"> </w:t>
            </w:r>
            <w:r w:rsidRPr="005D4222">
              <w:rPr>
                <w:rFonts w:eastAsia="Arial"/>
              </w:rPr>
              <w:t>Organizations may use additional initial population criteria to focus on an area of interest defined by gender, race, ethnicity, socioeconomic or sociodemographic characteristics, geographic region or another characteristic.</w:t>
            </w:r>
          </w:p>
          <w:p w14:paraId="4924F2C5" w14:textId="5F91F867" w:rsidR="002A0099" w:rsidRPr="005D4222" w:rsidRDefault="006B7B14" w:rsidP="00773A27">
            <w:pPr>
              <w:pStyle w:val="ProcessBullet"/>
              <w:spacing w:after="80"/>
              <w:rPr>
                <w:i/>
                <w:iCs/>
              </w:rPr>
            </w:pPr>
            <w:r w:rsidRPr="005D4222">
              <w:rPr>
                <w:rFonts w:eastAsia="Arial"/>
                <w:i/>
                <w:iCs/>
              </w:rPr>
              <w:t>Exclusions.</w:t>
            </w:r>
            <w:r w:rsidRPr="005D4222">
              <w:rPr>
                <w:b/>
                <w:bCs/>
                <w:i/>
                <w:iCs/>
              </w:rPr>
              <w:t xml:space="preserve"> </w:t>
            </w:r>
            <w:r w:rsidRPr="005D4222">
              <w:rPr>
                <w:rFonts w:eastAsia="Arial"/>
              </w:rPr>
              <w:t xml:space="preserve">The hospice, deceased person and palliative care exclusions are not required. </w:t>
            </w:r>
          </w:p>
        </w:tc>
      </w:tr>
      <w:tr w:rsidR="00E76D86" w:rsidRPr="005D4222" w14:paraId="21340158" w14:textId="77777777">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5B1732F" w14:textId="77777777" w:rsidR="00E76D86" w:rsidRPr="005D4222" w:rsidRDefault="00E76D86">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449A017" w14:textId="77777777" w:rsidR="00E76D86" w:rsidRPr="005D4222" w:rsidRDefault="00E76D86">
            <w:pPr>
              <w:pStyle w:val="ProcessBullet"/>
            </w:pPr>
            <w:r w:rsidRPr="005D4222">
              <w:rPr>
                <w:rFonts w:cs="Arial"/>
                <w:i/>
                <w:color w:val="000000" w:themeColor="text1"/>
              </w:rPr>
              <w:t>Telehealth</w:t>
            </w:r>
            <w:r w:rsidRPr="005D4222">
              <w:rPr>
                <w:rFonts w:cs="Arial"/>
                <w:i/>
                <w:iCs/>
                <w:color w:val="000000" w:themeColor="text1"/>
              </w:rPr>
              <w:t>.</w:t>
            </w:r>
            <w:r w:rsidRPr="005D4222">
              <w:rPr>
                <w:rFonts w:cs="Arial"/>
                <w:color w:val="000000" w:themeColor="text1"/>
              </w:rPr>
              <w:t xml:space="preserve"> Services/events that allow the use of synchronous telehealth visits, telephone visits and asynchronous telehealth (e-visits, virtual check-ins) may be stratified to identify services performed via telehealth. </w:t>
            </w:r>
            <w:r w:rsidRPr="005D4222">
              <w:t>This adjustment is not allowed for events, numerators and exclusions that do not allow the use of telehealth.</w:t>
            </w:r>
          </w:p>
          <w:p w14:paraId="378F556B" w14:textId="77777777" w:rsidR="00E76D86" w:rsidRPr="005D4222" w:rsidRDefault="00E76D86">
            <w:pPr>
              <w:pStyle w:val="ProcessBullet"/>
              <w:rPr>
                <w:rFonts w:cs="Arial"/>
              </w:rPr>
            </w:pPr>
            <w:r w:rsidRPr="005D4222">
              <w:rPr>
                <w:rFonts w:cs="Arial"/>
                <w:i/>
                <w:color w:val="000000" w:themeColor="text1"/>
              </w:rPr>
              <w:t xml:space="preserve">Supplemental </w:t>
            </w:r>
            <w:r w:rsidRPr="005D4222">
              <w:rPr>
                <w:rFonts w:cs="Arial"/>
                <w:i/>
                <w:iCs/>
                <w:color w:val="000000" w:themeColor="text1"/>
              </w:rPr>
              <w:t>data.</w:t>
            </w:r>
            <w:r w:rsidRPr="005D4222">
              <w:rPr>
                <w:rFonts w:cs="Arial"/>
                <w:color w:val="000000" w:themeColor="text1"/>
              </w:rPr>
              <w:t xml:space="preserve"> Supplemental data may be used to identify initial population, denominator, exclusion and numerator events.</w:t>
            </w:r>
          </w:p>
          <w:p w14:paraId="10CCB327" w14:textId="77777777" w:rsidR="00E76D86" w:rsidRPr="005D4222" w:rsidRDefault="00E76D86">
            <w:pPr>
              <w:pStyle w:val="Adjustments"/>
            </w:pPr>
            <w:r w:rsidRPr="005D4222">
              <w:t>Adjustments allowed with limits</w:t>
            </w:r>
          </w:p>
          <w:p w14:paraId="1801AB5F" w14:textId="77777777" w:rsidR="00E76D86" w:rsidRPr="005D4222" w:rsidRDefault="00E76D86">
            <w:pPr>
              <w:pStyle w:val="ProcessBullet"/>
            </w:pPr>
            <w:r w:rsidRPr="005D4222">
              <w:rPr>
                <w:i/>
                <w:iCs/>
              </w:rPr>
              <w:t>Ages</w:t>
            </w:r>
            <w:r w:rsidRPr="005D4222">
              <w:t>. The age determination dates may be changed (e.g., select “age as of June 30”). Changing the denominator age range is allowed if the limits are within the specified age range (67 years and older). The denominator age may not be expanded.</w:t>
            </w:r>
          </w:p>
          <w:p w14:paraId="13182AF0" w14:textId="1186D0FC" w:rsidR="00E76D86" w:rsidRPr="005D4222" w:rsidRDefault="00DE550E">
            <w:pPr>
              <w:pStyle w:val="ProcessBullet"/>
              <w:spacing w:after="80"/>
              <w:rPr>
                <w:i/>
                <w:iCs/>
              </w:rPr>
            </w:pPr>
            <w:r w:rsidRPr="005D4222">
              <w:rPr>
                <w:i/>
                <w:iCs/>
              </w:rPr>
              <w:t>Numerator.</w:t>
            </w:r>
            <w:r w:rsidR="00E76D86" w:rsidRPr="005D4222">
              <w:t xml:space="preserve"> Medication lists and logic may not be changed. Organizations may include denied claims to calculate the numerator for High-Risk Medications to Avoid and High-Risk Medications to Avoid Except for Appropriate Diagnosis indicators.</w:t>
            </w:r>
          </w:p>
        </w:tc>
      </w:tr>
    </w:tbl>
    <w:p w14:paraId="7B519A7C" w14:textId="77777777" w:rsidR="00773A27" w:rsidRPr="005D4222" w:rsidRDefault="00773A27" w:rsidP="00C208F3">
      <w:pPr>
        <w:pStyle w:val="ECDSBody"/>
        <w:sectPr w:rsidR="00773A27" w:rsidRPr="005D4222" w:rsidSect="0074514A">
          <w:headerReference w:type="default" r:id="rId143"/>
          <w:type w:val="nextColumn"/>
          <w:pgSz w:w="12240" w:h="15840" w:code="1"/>
          <w:pgMar w:top="1080" w:right="1080" w:bottom="1080" w:left="1440" w:header="720" w:footer="720" w:gutter="0"/>
          <w:cols w:space="720"/>
          <w:docGrid w:linePitch="360"/>
        </w:sectPr>
      </w:pPr>
    </w:p>
    <w:p w14:paraId="5849940A" w14:textId="5578A46D" w:rsidR="00C208F3" w:rsidRPr="005D4222" w:rsidRDefault="006B2CBF" w:rsidP="00CB5D03">
      <w:pPr>
        <w:pStyle w:val="MeasureTitle"/>
      </w:pPr>
      <w:bookmarkStart w:id="321" w:name="_Toc201813430"/>
      <w:r w:rsidRPr="005D4222">
        <w:lastRenderedPageBreak/>
        <w:t>Deprescribing of Benzodiazepines in Older Adults</w:t>
      </w:r>
      <w:r w:rsidR="0096709F" w:rsidRPr="005D4222">
        <w:t xml:space="preserve"> (DBO)</w:t>
      </w:r>
      <w:bookmarkEnd w:id="321"/>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5040"/>
        <w:gridCol w:w="1620"/>
        <w:gridCol w:w="897"/>
      </w:tblGrid>
      <w:tr w:rsidR="00084A86" w:rsidRPr="005D4222" w14:paraId="6D344F53" w14:textId="77777777">
        <w:tc>
          <w:tcPr>
            <w:tcW w:w="2157" w:type="dxa"/>
            <w:shd w:val="clear" w:color="auto" w:fill="BFBFBF" w:themeFill="background1" w:themeFillShade="BF"/>
            <w:tcMar>
              <w:top w:w="0" w:type="dxa"/>
              <w:left w:w="86" w:type="dxa"/>
              <w:bottom w:w="43" w:type="dxa"/>
              <w:right w:w="86" w:type="dxa"/>
            </w:tcMar>
            <w:hideMark/>
          </w:tcPr>
          <w:p w14:paraId="676C93EC" w14:textId="77777777" w:rsidR="00084A86" w:rsidRPr="005D4222" w:rsidRDefault="00084A86">
            <w:pPr>
              <w:pStyle w:val="ECDSMarginHead"/>
            </w:pPr>
            <w:r w:rsidRPr="005D4222">
              <w:t>Measure title</w:t>
            </w:r>
          </w:p>
        </w:tc>
        <w:tc>
          <w:tcPr>
            <w:tcW w:w="5040" w:type="dxa"/>
            <w:tcMar>
              <w:top w:w="0" w:type="dxa"/>
              <w:left w:w="86" w:type="dxa"/>
              <w:bottom w:w="43" w:type="dxa"/>
              <w:right w:w="86" w:type="dxa"/>
            </w:tcMar>
          </w:tcPr>
          <w:p w14:paraId="4B73A58B" w14:textId="77777777" w:rsidR="00084A86" w:rsidRPr="005D4222" w:rsidRDefault="00084A86">
            <w:pPr>
              <w:pStyle w:val="ECDSBody"/>
            </w:pPr>
            <w:r w:rsidRPr="005D4222">
              <w:t>Deprescribing of Benzodiazepines in Older Adults</w:t>
            </w:r>
          </w:p>
        </w:tc>
        <w:tc>
          <w:tcPr>
            <w:tcW w:w="1620" w:type="dxa"/>
            <w:shd w:val="clear" w:color="auto" w:fill="BFBFBF" w:themeFill="background1" w:themeFillShade="BF"/>
            <w:tcMar>
              <w:top w:w="0" w:type="dxa"/>
              <w:left w:w="86" w:type="dxa"/>
              <w:bottom w:w="43" w:type="dxa"/>
              <w:right w:w="86" w:type="dxa"/>
            </w:tcMar>
          </w:tcPr>
          <w:p w14:paraId="2EA2930C" w14:textId="77777777" w:rsidR="00084A86" w:rsidRPr="005D4222" w:rsidRDefault="00084A86">
            <w:pPr>
              <w:pStyle w:val="ECDSMarginHead"/>
            </w:pPr>
            <w:r w:rsidRPr="005D4222">
              <w:t>Measure ID</w:t>
            </w:r>
          </w:p>
        </w:tc>
        <w:tc>
          <w:tcPr>
            <w:tcW w:w="897" w:type="dxa"/>
            <w:tcMar>
              <w:top w:w="0" w:type="dxa"/>
              <w:left w:w="86" w:type="dxa"/>
              <w:bottom w:w="43" w:type="dxa"/>
              <w:right w:w="86" w:type="dxa"/>
            </w:tcMar>
          </w:tcPr>
          <w:p w14:paraId="2DF00D20" w14:textId="77777777" w:rsidR="00084A86" w:rsidRPr="005D4222" w:rsidRDefault="00084A86">
            <w:pPr>
              <w:pStyle w:val="ECDSBody"/>
            </w:pPr>
            <w:r w:rsidRPr="005D4222">
              <w:t xml:space="preserve">DBO </w:t>
            </w:r>
          </w:p>
        </w:tc>
      </w:tr>
      <w:tr w:rsidR="00084A86" w:rsidRPr="005D4222" w14:paraId="37DDC2F7" w14:textId="77777777">
        <w:tc>
          <w:tcPr>
            <w:tcW w:w="2157" w:type="dxa"/>
            <w:shd w:val="clear" w:color="auto" w:fill="BFBFBF" w:themeFill="background1" w:themeFillShade="BF"/>
            <w:tcMar>
              <w:top w:w="0" w:type="dxa"/>
              <w:left w:w="86" w:type="dxa"/>
              <w:bottom w:w="43" w:type="dxa"/>
              <w:right w:w="86" w:type="dxa"/>
            </w:tcMar>
            <w:hideMark/>
          </w:tcPr>
          <w:p w14:paraId="0AD42708" w14:textId="77777777" w:rsidR="00084A86" w:rsidRPr="005D4222" w:rsidRDefault="00084A86">
            <w:pPr>
              <w:pStyle w:val="ECDSMarginHead"/>
            </w:pPr>
            <w:r w:rsidRPr="005D4222">
              <w:t>Description</w:t>
            </w:r>
          </w:p>
        </w:tc>
        <w:tc>
          <w:tcPr>
            <w:tcW w:w="7557" w:type="dxa"/>
            <w:gridSpan w:val="3"/>
            <w:tcMar>
              <w:top w:w="0" w:type="dxa"/>
              <w:left w:w="86" w:type="dxa"/>
              <w:bottom w:w="43" w:type="dxa"/>
              <w:right w:w="86" w:type="dxa"/>
            </w:tcMar>
          </w:tcPr>
          <w:p w14:paraId="07EA0566" w14:textId="77777777" w:rsidR="00084A86" w:rsidRPr="005D4222" w:rsidRDefault="00084A86">
            <w:pPr>
              <w:pStyle w:val="ECDSBody"/>
            </w:pPr>
            <w:r w:rsidRPr="005D4222">
              <w:t>The percentage of persons 67 years of age and older who were dispensed benzodiazepines and achieved a 20% decrease or greater in benzodiazepine dose (diazepam milligram equivalent [DME] dose) during the measurement period.</w:t>
            </w:r>
          </w:p>
        </w:tc>
      </w:tr>
      <w:tr w:rsidR="00084A86" w:rsidRPr="005D4222" w14:paraId="2C2452AB" w14:textId="77777777">
        <w:tc>
          <w:tcPr>
            <w:tcW w:w="2157" w:type="dxa"/>
            <w:shd w:val="clear" w:color="auto" w:fill="BFBFBF" w:themeFill="background1" w:themeFillShade="BF"/>
            <w:tcMar>
              <w:top w:w="0" w:type="dxa"/>
              <w:left w:w="86" w:type="dxa"/>
              <w:bottom w:w="43" w:type="dxa"/>
              <w:right w:w="86" w:type="dxa"/>
            </w:tcMar>
          </w:tcPr>
          <w:p w14:paraId="518D5E50" w14:textId="77777777" w:rsidR="00084A86" w:rsidRPr="005D4222" w:rsidRDefault="00084A86">
            <w:pPr>
              <w:pStyle w:val="ECDSMarginHead"/>
            </w:pPr>
            <w:r w:rsidRPr="005D4222">
              <w:t>Measurement period</w:t>
            </w:r>
          </w:p>
        </w:tc>
        <w:tc>
          <w:tcPr>
            <w:tcW w:w="7557" w:type="dxa"/>
            <w:gridSpan w:val="3"/>
            <w:tcMar>
              <w:top w:w="0" w:type="dxa"/>
              <w:left w:w="86" w:type="dxa"/>
              <w:bottom w:w="43" w:type="dxa"/>
              <w:right w:w="86" w:type="dxa"/>
            </w:tcMar>
          </w:tcPr>
          <w:p w14:paraId="37680213" w14:textId="77777777" w:rsidR="00084A86" w:rsidRPr="005D4222" w:rsidRDefault="00084A86">
            <w:pPr>
              <w:pStyle w:val="ECDSBody"/>
            </w:pPr>
            <w:r w:rsidRPr="005D4222">
              <w:t>January 1–December 31.</w:t>
            </w:r>
          </w:p>
        </w:tc>
      </w:tr>
      <w:tr w:rsidR="00084A86" w:rsidRPr="005D4222" w14:paraId="37113576" w14:textId="77777777">
        <w:tc>
          <w:tcPr>
            <w:tcW w:w="2157" w:type="dxa"/>
            <w:shd w:val="clear" w:color="auto" w:fill="BFBFBF" w:themeFill="background1" w:themeFillShade="BF"/>
            <w:tcMar>
              <w:top w:w="0" w:type="dxa"/>
              <w:left w:w="86" w:type="dxa"/>
              <w:bottom w:w="43" w:type="dxa"/>
              <w:right w:w="86" w:type="dxa"/>
            </w:tcMar>
            <w:hideMark/>
          </w:tcPr>
          <w:p w14:paraId="088433B4" w14:textId="77777777" w:rsidR="00084A86" w:rsidRPr="005D4222" w:rsidRDefault="00084A86">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52C0421A" w14:textId="77777777" w:rsidR="00084A86" w:rsidRPr="005D4222" w:rsidRDefault="00084A86">
            <w:pPr>
              <w:pStyle w:val="ECDSBody"/>
            </w:pPr>
            <w:r w:rsidRPr="005D4222">
              <w:t xml:space="preserve">Refer to the complete copyright and disclaimer information at the front of this publication. </w:t>
            </w:r>
          </w:p>
          <w:p w14:paraId="34B4C4C0" w14:textId="77777777" w:rsidR="00084A86" w:rsidRPr="005D4222" w:rsidRDefault="00084A86">
            <w:pPr>
              <w:pStyle w:val="ECDSBody"/>
              <w:spacing w:before="80"/>
            </w:pPr>
            <w:r w:rsidRPr="005D4222">
              <w:t xml:space="preserve">NCQA website: </w:t>
            </w:r>
            <w:r w:rsidRPr="005D4222">
              <w:rPr>
                <w:u w:val="single"/>
              </w:rPr>
              <w:t>www.ncqa.org</w:t>
            </w:r>
            <w:r w:rsidRPr="005D4222">
              <w:t>.</w:t>
            </w:r>
          </w:p>
          <w:p w14:paraId="15ECC368" w14:textId="77777777" w:rsidR="00084A86" w:rsidRPr="005D4222" w:rsidRDefault="00084A86">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084A86" w:rsidRPr="005D4222" w14:paraId="23D22080" w14:textId="77777777">
        <w:trPr>
          <w:trHeight w:val="655"/>
        </w:trPr>
        <w:tc>
          <w:tcPr>
            <w:tcW w:w="2157" w:type="dxa"/>
            <w:shd w:val="clear" w:color="auto" w:fill="BFBFBF" w:themeFill="background1" w:themeFillShade="BF"/>
            <w:tcMar>
              <w:top w:w="0" w:type="dxa"/>
              <w:left w:w="86" w:type="dxa"/>
              <w:bottom w:w="43" w:type="dxa"/>
              <w:right w:w="86" w:type="dxa"/>
            </w:tcMar>
            <w:hideMark/>
          </w:tcPr>
          <w:p w14:paraId="2A3CD10D" w14:textId="77777777" w:rsidR="00084A86" w:rsidRPr="005D4222" w:rsidRDefault="00084A86">
            <w:pPr>
              <w:pStyle w:val="ECDSMarginHead"/>
            </w:pPr>
            <w:r w:rsidRPr="005D4222">
              <w:t>Clinical recommendation statement/ rationale</w:t>
            </w:r>
          </w:p>
        </w:tc>
        <w:tc>
          <w:tcPr>
            <w:tcW w:w="7557" w:type="dxa"/>
            <w:gridSpan w:val="3"/>
            <w:tcMar>
              <w:top w:w="0" w:type="dxa"/>
              <w:left w:w="86" w:type="dxa"/>
              <w:bottom w:w="43" w:type="dxa"/>
              <w:right w:w="86" w:type="dxa"/>
            </w:tcMar>
          </w:tcPr>
          <w:p w14:paraId="7A2CA9C0" w14:textId="05DE1A7E" w:rsidR="00084A86" w:rsidRPr="005D4222" w:rsidRDefault="00084A86">
            <w:pPr>
              <w:pStyle w:val="ECDSBody"/>
              <w:rPr>
                <w:szCs w:val="21"/>
              </w:rPr>
            </w:pPr>
            <w:r w:rsidRPr="005D4222">
              <w:rPr>
                <w:szCs w:val="21"/>
              </w:rPr>
              <w:t xml:space="preserve">Multiple sources of clinical or other guidance recommend against benzodiazepine use in older adults, including the American Geriatrics Society (AGS) Beers Criteria, which recommend avoiding benzodiazepines—all </w:t>
            </w:r>
            <w:r w:rsidRPr="005D4222">
              <w:rPr>
                <w:szCs w:val="21"/>
              </w:rPr>
              <w:br/>
              <w:t xml:space="preserve">short-, intermediate- and long-acting forms—for all older adults. The criteria’s rationale states: “Older adults have increased sensitivity to benzodiazepines and decreased metabolism of long-acting agents; the continued use of benzodiazepines may lead to clinically significant physical dependence. In general, all benzodiazepines increase the risk of cognitive impairment, delirium, falls, fractures, and motor vehicle crashes in older adults.” </w:t>
            </w:r>
          </w:p>
          <w:p w14:paraId="1E791646" w14:textId="77777777" w:rsidR="00084A86" w:rsidRPr="005D4222" w:rsidRDefault="00084A86">
            <w:pPr>
              <w:pStyle w:val="ECDSBody"/>
              <w:rPr>
                <w:szCs w:val="21"/>
              </w:rPr>
            </w:pPr>
            <w:r w:rsidRPr="005D4222">
              <w:rPr>
                <w:szCs w:val="21"/>
              </w:rPr>
              <w:t>According to the criteria, only in rare cases may benzodiazepines be appropriate (for seizure disorders, rapid eye movement sleep behavior disorder, benzodiazepine withdrawal, ethanol withdrawal, severe generalized anxiety disorder and periprocedural anesthesia), most notably for benzodiazepine withdrawal, a particular risk when deprescribing benzodiazepines in older adults.</w:t>
            </w:r>
          </w:p>
          <w:p w14:paraId="26584815" w14:textId="77777777" w:rsidR="00084A86" w:rsidRPr="005D4222" w:rsidRDefault="00084A86">
            <w:pPr>
              <w:pStyle w:val="ECDSBody"/>
            </w:pPr>
            <w:r w:rsidRPr="005D4222">
              <w:t>Although a single consensus guideline for appropriate deprescribing of benzodiazepines has not yet been published, several clinical algorithms have been produced that share common recommendations. Similar guidance is also reflected in various organization-specific guidelines, such as Kaiser of Washington’s Benzodiazepine and Z-Drug Safety Guideline, among others.</w:t>
            </w:r>
          </w:p>
        </w:tc>
      </w:tr>
      <w:tr w:rsidR="00084A86" w:rsidRPr="005D4222" w14:paraId="5A5050CC" w14:textId="77777777">
        <w:tc>
          <w:tcPr>
            <w:tcW w:w="2157" w:type="dxa"/>
            <w:shd w:val="clear" w:color="auto" w:fill="BFBFBF" w:themeFill="background1" w:themeFillShade="BF"/>
            <w:tcMar>
              <w:top w:w="0" w:type="dxa"/>
              <w:left w:w="86" w:type="dxa"/>
              <w:bottom w:w="43" w:type="dxa"/>
              <w:right w:w="86" w:type="dxa"/>
            </w:tcMar>
          </w:tcPr>
          <w:p w14:paraId="4F35A44B" w14:textId="77777777" w:rsidR="00084A86" w:rsidRPr="005D4222" w:rsidRDefault="00084A86">
            <w:pPr>
              <w:pStyle w:val="ECDSMarginHead"/>
            </w:pPr>
            <w:r w:rsidRPr="005D4222">
              <w:t>Citations</w:t>
            </w:r>
          </w:p>
        </w:tc>
        <w:tc>
          <w:tcPr>
            <w:tcW w:w="7557" w:type="dxa"/>
            <w:gridSpan w:val="3"/>
            <w:tcMar>
              <w:top w:w="0" w:type="dxa"/>
              <w:left w:w="86" w:type="dxa"/>
              <w:bottom w:w="43" w:type="dxa"/>
              <w:right w:w="86" w:type="dxa"/>
            </w:tcMar>
          </w:tcPr>
          <w:p w14:paraId="57ECAA43" w14:textId="77777777" w:rsidR="00084A86" w:rsidRPr="005D4222" w:rsidRDefault="00084A86">
            <w:pPr>
              <w:pStyle w:val="ECDSBody"/>
            </w:pPr>
            <w:r w:rsidRPr="005D4222">
              <w:t>American Geriatrics Society Beers Criteria Update Expert Panel. 2023. “American Geriatrics Society 2023 Updated AGS Beers Criteria</w:t>
            </w:r>
            <w:r w:rsidRPr="005D4222">
              <w:rPr>
                <w:vertAlign w:val="superscript"/>
              </w:rPr>
              <w:t>®</w:t>
            </w:r>
            <w:r w:rsidRPr="005D4222">
              <w:t xml:space="preserve"> for Potentially Inappropriate Medication Use in Older Adults.” </w:t>
            </w:r>
            <w:r w:rsidRPr="005D4222">
              <w:rPr>
                <w:i/>
                <w:iCs/>
              </w:rPr>
              <w:t>Journal of the American Geriatrics Society</w:t>
            </w:r>
            <w:r w:rsidRPr="005D4222">
              <w:t>, 1–30.</w:t>
            </w:r>
          </w:p>
          <w:p w14:paraId="6F599259" w14:textId="07E7A058" w:rsidR="00B15E07" w:rsidRPr="005D4222" w:rsidRDefault="00084A86" w:rsidP="00B15E07">
            <w:pPr>
              <w:pStyle w:val="ECDSBody"/>
            </w:pPr>
            <w:r w:rsidRPr="005D4222">
              <w:t xml:space="preserve">Kaiser Permanente. 2019. </w:t>
            </w:r>
            <w:r w:rsidRPr="005D4222">
              <w:rPr>
                <w:i/>
                <w:iCs/>
              </w:rPr>
              <w:t>Benzodiazepine and Z-Drug Safety Guideline</w:t>
            </w:r>
            <w:r w:rsidRPr="005D4222">
              <w:t xml:space="preserve"> </w:t>
            </w:r>
            <w:r w:rsidRPr="005D4222">
              <w:br/>
              <w:t xml:space="preserve">(p. 21). </w:t>
            </w:r>
            <w:r w:rsidRPr="005D4222">
              <w:br/>
              <w:t>https://wa.kaiserpermanente.org/static/pdf/public/guidelines/benzo-zdrug.pdf</w:t>
            </w:r>
          </w:p>
        </w:tc>
      </w:tr>
    </w:tbl>
    <w:p w14:paraId="26E03ADF" w14:textId="77777777" w:rsidR="00B15E07" w:rsidRPr="005D4222" w:rsidRDefault="00B15E07">
      <w:r w:rsidRPr="005D4222">
        <w:br w:type="page"/>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084A86" w:rsidRPr="005D4222" w14:paraId="70A9682B" w14:textId="77777777" w:rsidTr="002355CC">
        <w:tc>
          <w:tcPr>
            <w:tcW w:w="2157" w:type="dxa"/>
            <w:shd w:val="clear" w:color="auto" w:fill="BFBFBF" w:themeFill="background1" w:themeFillShade="BF"/>
            <w:tcMar>
              <w:top w:w="0" w:type="dxa"/>
              <w:left w:w="86" w:type="dxa"/>
              <w:bottom w:w="43" w:type="dxa"/>
              <w:right w:w="86" w:type="dxa"/>
            </w:tcMar>
          </w:tcPr>
          <w:p w14:paraId="563894AC" w14:textId="77777777" w:rsidR="00084A86" w:rsidRPr="005D4222" w:rsidRDefault="00084A86">
            <w:pPr>
              <w:pStyle w:val="ECDSMarginHead"/>
            </w:pPr>
          </w:p>
        </w:tc>
        <w:tc>
          <w:tcPr>
            <w:tcW w:w="7557" w:type="dxa"/>
            <w:tcMar>
              <w:top w:w="0" w:type="dxa"/>
              <w:left w:w="86" w:type="dxa"/>
              <w:bottom w:w="43" w:type="dxa"/>
              <w:right w:w="86" w:type="dxa"/>
            </w:tcMar>
          </w:tcPr>
          <w:p w14:paraId="0364B0AD" w14:textId="77777777" w:rsidR="00B15E07" w:rsidRPr="005D4222" w:rsidRDefault="00B15E07" w:rsidP="008F4AC2">
            <w:pPr>
              <w:pStyle w:val="ECDSBody"/>
            </w:pPr>
            <w:r w:rsidRPr="005D4222">
              <w:t xml:space="preserve">National Opioid Use Guideline Group. 2010. “Appendix B-6: Benzodiazepine Tapering.” In </w:t>
            </w:r>
            <w:r w:rsidRPr="005D4222">
              <w:rPr>
                <w:i/>
                <w:iCs/>
              </w:rPr>
              <w:t>Canadian Guideline for Opioid Use for Pain (v2010)</w:t>
            </w:r>
            <w:r w:rsidRPr="005D4222">
              <w:t>. http://nationalpaincentre.mcmaster.ca/opioid/cgop_b_app_b06.html</w:t>
            </w:r>
          </w:p>
          <w:p w14:paraId="53AC8045" w14:textId="77777777" w:rsidR="00084A86" w:rsidRPr="005D4222" w:rsidRDefault="00084A86">
            <w:pPr>
              <w:pStyle w:val="ECDSBody"/>
            </w:pPr>
            <w:r w:rsidRPr="005D4222">
              <w:t xml:space="preserve">Nebraska Hospital Association. (n.d.). </w:t>
            </w:r>
            <w:r w:rsidRPr="005D4222">
              <w:rPr>
                <w:i/>
                <w:iCs/>
              </w:rPr>
              <w:t>Quality and Safety: NHA Opioid Toolkit: Treatment Guidelines for Pain: Benzodiazepine Tapering Flow Sheet</w:t>
            </w:r>
            <w:r w:rsidRPr="005D4222">
              <w:t>. https://www.nebraskahospitals.org/quality_and_safety/nha-opioid-toolkit/treatment-guidelines-for-pain/benzodiazepine-tapering-flow-sheet.html</w:t>
            </w:r>
          </w:p>
          <w:p w14:paraId="1BC1C597" w14:textId="77777777" w:rsidR="00084A86" w:rsidRPr="005D4222" w:rsidRDefault="00084A86">
            <w:pPr>
              <w:pStyle w:val="ECDSBody"/>
            </w:pPr>
            <w:r w:rsidRPr="005D4222">
              <w:t xml:space="preserve">Ogbonna, C.I., &amp; A. Lembke. 2017. “Tapering Patients Off of Benzodiazepines.” </w:t>
            </w:r>
            <w:r w:rsidRPr="005D4222">
              <w:rPr>
                <w:i/>
                <w:iCs/>
              </w:rPr>
              <w:t>American Family Physician</w:t>
            </w:r>
            <w:r w:rsidRPr="005D4222">
              <w:t xml:space="preserve"> </w:t>
            </w:r>
            <w:r w:rsidRPr="005D4222">
              <w:rPr>
                <w:i/>
                <w:iCs/>
              </w:rPr>
              <w:t>96</w:t>
            </w:r>
            <w:r w:rsidRPr="005D4222">
              <w:t>(9), 606–10.</w:t>
            </w:r>
          </w:p>
          <w:p w14:paraId="73C5E242" w14:textId="77777777" w:rsidR="00084A86" w:rsidRPr="005D4222" w:rsidRDefault="00084A86">
            <w:pPr>
              <w:pStyle w:val="ECDSBody"/>
            </w:pPr>
            <w:r w:rsidRPr="005D4222">
              <w:t xml:space="preserve">Pottie, K., W. Thompson, S. Davies, J. Grenier, C.A. Sadowski, V. Welch, A. Holbrook, C. Boyd, R. Swenson, A. Ma, &amp; B. Farrell. 2018. “Deprescribing Benzodiazepine Receptor Agonists.” </w:t>
            </w:r>
            <w:r w:rsidRPr="005D4222">
              <w:rPr>
                <w:i/>
                <w:iCs/>
              </w:rPr>
              <w:t>Canadian Family Physician</w:t>
            </w:r>
            <w:r w:rsidRPr="005D4222">
              <w:t xml:space="preserve"> </w:t>
            </w:r>
            <w:r w:rsidRPr="005D4222">
              <w:rPr>
                <w:i/>
                <w:iCs/>
              </w:rPr>
              <w:t>64</w:t>
            </w:r>
            <w:r w:rsidRPr="005D4222">
              <w:t xml:space="preserve">(5), </w:t>
            </w:r>
            <w:r w:rsidRPr="005D4222">
              <w:br/>
              <w:t>339–51.</w:t>
            </w:r>
          </w:p>
          <w:p w14:paraId="0985E4DB" w14:textId="77777777" w:rsidR="00084A86" w:rsidRPr="005D4222" w:rsidRDefault="00084A86">
            <w:pPr>
              <w:pStyle w:val="ECDSBody"/>
            </w:pPr>
            <w:r w:rsidRPr="005D4222">
              <w:t xml:space="preserve">VA National Center for PTSD. 2013. </w:t>
            </w:r>
            <w:r w:rsidRPr="005D4222">
              <w:rPr>
                <w:i/>
                <w:iCs/>
              </w:rPr>
              <w:t>Effective Treatments for PTSD: Helping Patients Taper from Benzodiazepines</w:t>
            </w:r>
            <w:r w:rsidRPr="005D4222">
              <w:t xml:space="preserve"> (p. 2). https://www.va.gov/painmanagement/docs/OSI_6_Toolkit_Taper_Benzodiazepines_Clinicians.pdf</w:t>
            </w:r>
          </w:p>
        </w:tc>
      </w:tr>
      <w:tr w:rsidR="00084A86" w:rsidRPr="005D4222" w14:paraId="6FCDA7DA" w14:textId="77777777" w:rsidTr="002355CC">
        <w:tc>
          <w:tcPr>
            <w:tcW w:w="9714" w:type="dxa"/>
            <w:gridSpan w:val="2"/>
            <w:tcBorders>
              <w:bottom w:val="single" w:sz="4" w:space="0" w:color="auto"/>
            </w:tcBorders>
            <w:shd w:val="clear" w:color="auto" w:fill="BFBFBF" w:themeFill="background1" w:themeFillShade="BF"/>
            <w:tcMar>
              <w:top w:w="0" w:type="dxa"/>
              <w:left w:w="86" w:type="dxa"/>
              <w:bottom w:w="43" w:type="dxa"/>
              <w:right w:w="86" w:type="dxa"/>
            </w:tcMar>
          </w:tcPr>
          <w:p w14:paraId="2E0E25D2" w14:textId="77777777" w:rsidR="00084A86" w:rsidRPr="005D4222" w:rsidRDefault="00084A86">
            <w:pPr>
              <w:pStyle w:val="ECDSMarginHead"/>
            </w:pPr>
            <w:r w:rsidRPr="005D4222">
              <w:t>Characteristics</w:t>
            </w:r>
          </w:p>
        </w:tc>
      </w:tr>
      <w:tr w:rsidR="00084A86" w:rsidRPr="005D4222" w14:paraId="755A892D" w14:textId="77777777" w:rsidTr="002355CC">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3FAD49BC" w14:textId="77777777" w:rsidR="00084A86" w:rsidRPr="005D4222" w:rsidRDefault="00084A86" w:rsidP="004F78AD">
            <w:pPr>
              <w:pStyle w:val="ECDSSubhead"/>
            </w:pPr>
            <w:r w:rsidRPr="005D4222">
              <w:t>Scoring</w:t>
            </w: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75F28EBB" w14:textId="77777777" w:rsidR="00084A86" w:rsidRPr="005D4222" w:rsidRDefault="00084A86" w:rsidP="004F78AD">
            <w:pPr>
              <w:pStyle w:val="ECDSBody"/>
              <w:spacing w:after="0"/>
            </w:pPr>
            <w:r w:rsidRPr="005D4222">
              <w:t xml:space="preserve">Proportion. </w:t>
            </w:r>
          </w:p>
        </w:tc>
      </w:tr>
      <w:tr w:rsidR="00084A86" w:rsidRPr="005D4222" w14:paraId="59EB10A2" w14:textId="77777777" w:rsidTr="002355C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2D4D7D42" w14:textId="77777777" w:rsidR="00084A86" w:rsidRPr="005D4222" w:rsidRDefault="00084A86" w:rsidP="004F78AD">
            <w:pPr>
              <w:pStyle w:val="ECDSSubhead"/>
            </w:pPr>
            <w:r w:rsidRPr="005D4222">
              <w:t>Type</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10CB14D6" w14:textId="77777777" w:rsidR="00084A86" w:rsidRPr="005D4222" w:rsidRDefault="00084A86" w:rsidP="004F78AD">
            <w:pPr>
              <w:pStyle w:val="ECDSBody"/>
              <w:spacing w:after="0"/>
            </w:pPr>
            <w:r w:rsidRPr="005D4222">
              <w:t>Process.</w:t>
            </w:r>
          </w:p>
        </w:tc>
      </w:tr>
      <w:tr w:rsidR="00084A86" w:rsidRPr="005D4222" w14:paraId="36A32DC5" w14:textId="77777777" w:rsidTr="002355C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29EA0E37" w14:textId="72A79225" w:rsidR="00084A86" w:rsidRPr="005D4222" w:rsidRDefault="00B51CDC" w:rsidP="004F78AD">
            <w:pPr>
              <w:pStyle w:val="ECDSSubhead"/>
            </w:pPr>
            <w:r w:rsidRPr="005D4222">
              <w:t>Product lines</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13301505" w14:textId="77777777" w:rsidR="00084A86" w:rsidRPr="005D4222" w:rsidRDefault="00084A86" w:rsidP="004F78AD">
            <w:pPr>
              <w:pStyle w:val="ECDSBody"/>
              <w:spacing w:after="0"/>
            </w:pPr>
            <w:r w:rsidRPr="005D4222">
              <w:t>Medicare.</w:t>
            </w:r>
          </w:p>
        </w:tc>
      </w:tr>
      <w:tr w:rsidR="00084A86" w:rsidRPr="005D4222" w14:paraId="702C104D" w14:textId="77777777" w:rsidTr="002355C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2D1FA6F3" w14:textId="454DFEBE" w:rsidR="00084A86" w:rsidRPr="005D4222" w:rsidRDefault="00B51CDC" w:rsidP="004F78AD">
            <w:pPr>
              <w:pStyle w:val="ECDSSubhead"/>
            </w:pPr>
            <w:r w:rsidRPr="005D4222">
              <w:t>Stratifications</w:t>
            </w:r>
            <w:r w:rsidR="00084A86" w:rsidRPr="005D4222">
              <w:t xml:space="preserve"> </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32547D96" w14:textId="77777777" w:rsidR="00084A86" w:rsidRPr="005D4222" w:rsidRDefault="00084A86">
            <w:pPr>
              <w:pStyle w:val="ProcessBullet"/>
              <w:numPr>
                <w:ilvl w:val="0"/>
                <w:numId w:val="0"/>
              </w:numPr>
              <w:spacing w:before="120"/>
              <w:ind w:left="216" w:hanging="216"/>
            </w:pPr>
            <w:r w:rsidRPr="005D4222">
              <w:t>Generalized anxiety disorder status.</w:t>
            </w:r>
          </w:p>
          <w:p w14:paraId="6E62BE01" w14:textId="77777777" w:rsidR="00084A86" w:rsidRPr="005D4222" w:rsidRDefault="00084A86">
            <w:pPr>
              <w:pStyle w:val="ProcessBullet"/>
            </w:pPr>
            <w:r w:rsidRPr="005D4222">
              <w:t>Persons with a diagnosis of generalized anxiety disorder (</w:t>
            </w:r>
            <w:r w:rsidRPr="005D4222">
              <w:rPr>
                <w:u w:val="single"/>
              </w:rPr>
              <w:t>Generalized Anxiety Disorder Value Set</w:t>
            </w:r>
            <w:r w:rsidRPr="005D4222">
              <w:t xml:space="preserve">*) on or between January 1 of the year prior to the measurement period and the ITE start date. </w:t>
            </w:r>
          </w:p>
          <w:p w14:paraId="5D201663" w14:textId="77777777" w:rsidR="00084A86" w:rsidRPr="005D4222" w:rsidRDefault="00084A86">
            <w:pPr>
              <w:pStyle w:val="ProcessBullet"/>
            </w:pPr>
            <w:r w:rsidRPr="005D4222">
              <w:t xml:space="preserve">Persons who did not meet criteria for the stratification above (i.e., did not have a diagnosis of generalized anxiety disorder on or between January 1 of the year prior to the measurement period and the ITE start date). </w:t>
            </w:r>
          </w:p>
          <w:p w14:paraId="3307AEB4" w14:textId="77777777" w:rsidR="00084A86" w:rsidRPr="005D4222" w:rsidRDefault="00084A86">
            <w:pPr>
              <w:pStyle w:val="ECDSBody"/>
              <w:spacing w:after="0"/>
              <w:rPr>
                <w:rFonts w:eastAsia="Arial,Arial,Arial,Arial,Arial,A"/>
                <w:b/>
                <w:bCs w:val="0"/>
              </w:rPr>
            </w:pPr>
            <w:r w:rsidRPr="005D4222">
              <w:rPr>
                <w:rFonts w:eastAsia="Arial,Arial,Arial,Arial,Arial,A"/>
                <w:b/>
                <w:bCs w:val="0"/>
              </w:rPr>
              <w:t>Coding Guidance</w:t>
            </w:r>
          </w:p>
          <w:p w14:paraId="48C607F5" w14:textId="77777777" w:rsidR="00084A86" w:rsidRPr="005D4222" w:rsidRDefault="00084A86">
            <w:pPr>
              <w:pStyle w:val="ECDSBody"/>
              <w:spacing w:before="0" w:after="0"/>
              <w:rPr>
                <w:rFonts w:eastAsiaTheme="majorEastAsia"/>
              </w:rPr>
            </w:pPr>
            <w:r w:rsidRPr="005D4222">
              <w:rPr>
                <w:rFonts w:eastAsia="Arial,Arial,Arial,Arial,Arial,A"/>
              </w:rPr>
              <w:t>*Do not include laboratory claims (claims with POS code 81).</w:t>
            </w:r>
            <w:r w:rsidRPr="005D4222">
              <w:rPr>
                <w:rFonts w:eastAsiaTheme="majorEastAsia"/>
              </w:rPr>
              <w:t xml:space="preserve"> </w:t>
            </w:r>
          </w:p>
        </w:tc>
      </w:tr>
      <w:tr w:rsidR="00084A86" w:rsidRPr="005D4222" w14:paraId="13EA4799" w14:textId="77777777" w:rsidTr="002355C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657A530E" w14:textId="77777777" w:rsidR="00084A86" w:rsidRPr="005D4222" w:rsidRDefault="00084A86" w:rsidP="004F78AD">
            <w:pPr>
              <w:pStyle w:val="ECDSSubhead"/>
            </w:pPr>
            <w:r w:rsidRPr="005D4222">
              <w:t>Risk adjustment</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20D12E4F" w14:textId="77777777" w:rsidR="00084A86" w:rsidRPr="005D4222" w:rsidRDefault="00084A86">
            <w:pPr>
              <w:pStyle w:val="ECDSBody"/>
              <w:spacing w:after="0"/>
            </w:pPr>
            <w:r w:rsidRPr="005D4222">
              <w:t>None.</w:t>
            </w:r>
          </w:p>
        </w:tc>
      </w:tr>
      <w:tr w:rsidR="00084A86" w:rsidRPr="005D4222" w14:paraId="037DA88F" w14:textId="77777777" w:rsidTr="002355C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1DC96338" w14:textId="77777777" w:rsidR="00084A86" w:rsidRPr="005D4222" w:rsidRDefault="00084A86" w:rsidP="004F78AD">
            <w:pPr>
              <w:pStyle w:val="ECDSSubhead"/>
            </w:pPr>
            <w:r w:rsidRPr="005D4222">
              <w:t>Improvement notation</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51F01C61" w14:textId="77777777" w:rsidR="00084A86" w:rsidRPr="005D4222" w:rsidRDefault="00084A86">
            <w:pPr>
              <w:pStyle w:val="ECDSBody"/>
              <w:spacing w:after="0"/>
            </w:pPr>
            <w:r w:rsidRPr="005D4222">
              <w:t>Increased score indicates improvement.</w:t>
            </w:r>
          </w:p>
        </w:tc>
      </w:tr>
      <w:tr w:rsidR="00084A86" w:rsidRPr="005D4222" w14:paraId="5135BFE7" w14:textId="77777777" w:rsidTr="002355CC">
        <w:trPr>
          <w:trHeight w:val="337"/>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06B817F8" w14:textId="77777777" w:rsidR="00084A86" w:rsidRPr="005D4222" w:rsidRDefault="00084A86" w:rsidP="004F78AD">
            <w:pPr>
              <w:pStyle w:val="ECDSSubhead"/>
            </w:pPr>
            <w:r w:rsidRPr="005D4222">
              <w:t>Guidance</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5F7C4A67" w14:textId="674D9C8A" w:rsidR="00084A86" w:rsidRPr="005D4222" w:rsidRDefault="00084A86">
            <w:pPr>
              <w:pStyle w:val="ECDSBody"/>
            </w:pPr>
            <w:r w:rsidRPr="005D4222">
              <w:rPr>
                <w:b/>
              </w:rPr>
              <w:t>Data collection methodology:</w:t>
            </w:r>
            <w:r w:rsidRPr="005D4222">
              <w:t xml:space="preserve"> Administrative. Refer to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3E3F2BEF" w14:textId="77777777" w:rsidR="00084A86" w:rsidRPr="005D4222" w:rsidRDefault="00084A86">
            <w:pPr>
              <w:pStyle w:val="ECDSBody"/>
            </w:pPr>
            <w:r w:rsidRPr="005D4222">
              <w:rPr>
                <w:b/>
              </w:rPr>
              <w:t xml:space="preserve">Date specificity: </w:t>
            </w:r>
            <w:r w:rsidRPr="005D4222">
              <w:t>Dates must be specific enough to determine the event occurred in the period being measured.</w:t>
            </w:r>
          </w:p>
          <w:p w14:paraId="1885337D" w14:textId="77777777" w:rsidR="00084A86" w:rsidRPr="005D4222" w:rsidRDefault="00084A86">
            <w:pPr>
              <w:pStyle w:val="ECDSBody"/>
            </w:pPr>
            <w:r w:rsidRPr="005D4222">
              <w:rPr>
                <w:b/>
              </w:rPr>
              <w:t>Which services count?</w:t>
            </w:r>
          </w:p>
          <w:p w14:paraId="444975B7" w14:textId="0FD53375" w:rsidR="004F78AD" w:rsidRPr="005D4222" w:rsidRDefault="00084A86" w:rsidP="004F78AD">
            <w:pPr>
              <w:pStyle w:val="ProcessBullet"/>
              <w:tabs>
                <w:tab w:val="left" w:pos="216"/>
              </w:tabs>
              <w:spacing w:after="80"/>
              <w:rPr>
                <w:b/>
                <w:bCs/>
                <w:i/>
                <w:iCs/>
              </w:rPr>
            </w:pPr>
            <w:r w:rsidRPr="005D4222">
              <w:t>Do not include denied claims when identifying initial population and numerator events; only include claims the organization paid for or expects to pay for (i.e., claims incurred but not paid).</w:t>
            </w:r>
          </w:p>
        </w:tc>
      </w:tr>
      <w:tr w:rsidR="00084A86" w:rsidRPr="005D4222" w14:paraId="631845F2" w14:textId="77777777" w:rsidTr="002355CC">
        <w:trPr>
          <w:trHeight w:val="337"/>
        </w:trPr>
        <w:tc>
          <w:tcPr>
            <w:tcW w:w="21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828A314" w14:textId="77777777" w:rsidR="00084A86" w:rsidRPr="005D4222" w:rsidRDefault="00084A86">
            <w:pPr>
              <w:pStyle w:val="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EAD6977" w14:textId="77777777" w:rsidR="004F78AD" w:rsidRPr="005D4222" w:rsidRDefault="004F78AD" w:rsidP="002355CC">
            <w:pPr>
              <w:pStyle w:val="ProcessBullet"/>
              <w:tabs>
                <w:tab w:val="left" w:pos="216"/>
              </w:tabs>
              <w:spacing w:before="120" w:after="80"/>
              <w:rPr>
                <w:b/>
                <w:bCs/>
                <w:i/>
                <w:iCs/>
              </w:rPr>
            </w:pPr>
            <w:r w:rsidRPr="005D4222">
              <w:t xml:space="preserve">Include all paid, suspended, pending and denied claims to identify the denominator exclusions. </w:t>
            </w:r>
          </w:p>
          <w:p w14:paraId="4A052C21" w14:textId="77777777" w:rsidR="00084A86" w:rsidRPr="005D4222" w:rsidRDefault="00084A86">
            <w:pPr>
              <w:pStyle w:val="ECDSBody"/>
              <w:rPr>
                <w:b/>
              </w:rPr>
            </w:pPr>
            <w:r w:rsidRPr="005D4222">
              <w:rPr>
                <w:b/>
              </w:rPr>
              <w:t xml:space="preserve">Supplemental data exceptions: </w:t>
            </w:r>
            <w:r w:rsidRPr="005D4222">
              <w:t>Supplemental data may not be used for this measure, except for denominator exclusions.</w:t>
            </w:r>
          </w:p>
          <w:p w14:paraId="437ABD30" w14:textId="77777777" w:rsidR="00084A86" w:rsidRPr="005D4222" w:rsidRDefault="00084A86">
            <w:pPr>
              <w:pStyle w:val="ECDSBody"/>
              <w:rPr>
                <w:b/>
              </w:rPr>
            </w:pPr>
            <w:r w:rsidRPr="005D4222">
              <w:rPr>
                <w:b/>
              </w:rPr>
              <w:t xml:space="preserve">Medication lists: </w:t>
            </w:r>
          </w:p>
          <w:p w14:paraId="56B8B40D" w14:textId="77777777" w:rsidR="00084A86" w:rsidRPr="005D4222" w:rsidRDefault="00084A86">
            <w:pPr>
              <w:pStyle w:val="ProcessBullet"/>
              <w:rPr>
                <w:b/>
                <w:bCs/>
                <w:i/>
                <w:iCs/>
              </w:rPr>
            </w:pPr>
            <w:r w:rsidRPr="005D4222">
              <w:t xml:space="preserve">If </w:t>
            </w:r>
            <w:r w:rsidRPr="005D4222" w:rsidDel="00E83B4C">
              <w:t xml:space="preserve">an organization uses both pharmacy data (NDC codes) and clinical data (RxNorm codes) for reporting, and </w:t>
            </w:r>
            <w:r w:rsidRPr="005D4222">
              <w:t xml:space="preserve">there are both NDC and RxNorm codes on the same date of service, use only one data source for the date of service. </w:t>
            </w:r>
          </w:p>
          <w:p w14:paraId="06E039DB" w14:textId="77777777" w:rsidR="00084A86" w:rsidRPr="005D4222" w:rsidRDefault="00084A86">
            <w:pPr>
              <w:pStyle w:val="ProcessBullet"/>
              <w:spacing w:after="80"/>
              <w:rPr>
                <w:b/>
              </w:rPr>
            </w:pPr>
            <w:r w:rsidRPr="005D4222">
              <w:t>Medication lists used for this measure contain any applicable combination products.</w:t>
            </w:r>
          </w:p>
        </w:tc>
      </w:tr>
      <w:tr w:rsidR="00084A86" w:rsidRPr="005D4222" w14:paraId="7E25878D" w14:textId="77777777" w:rsidTr="002355CC">
        <w:tc>
          <w:tcPr>
            <w:tcW w:w="9714" w:type="dxa"/>
            <w:gridSpan w:val="2"/>
            <w:tcBorders>
              <w:top w:val="single" w:sz="4" w:space="0" w:color="auto"/>
              <w:bottom w:val="single" w:sz="4" w:space="0" w:color="auto"/>
            </w:tcBorders>
            <w:shd w:val="clear" w:color="auto" w:fill="BFBFBF" w:themeFill="background1" w:themeFillShade="BF"/>
            <w:tcMar>
              <w:top w:w="0" w:type="dxa"/>
              <w:left w:w="86" w:type="dxa"/>
              <w:bottom w:w="43" w:type="dxa"/>
              <w:right w:w="86" w:type="dxa"/>
            </w:tcMar>
          </w:tcPr>
          <w:p w14:paraId="35404861" w14:textId="77777777" w:rsidR="00084A86" w:rsidRPr="005D4222" w:rsidRDefault="00084A86">
            <w:pPr>
              <w:pStyle w:val="ECDSMarginHead"/>
            </w:pPr>
            <w:r w:rsidRPr="005D4222">
              <w:t xml:space="preserve">Definitions </w:t>
            </w:r>
          </w:p>
        </w:tc>
      </w:tr>
      <w:tr w:rsidR="00084A86" w:rsidRPr="005D4222" w14:paraId="39797344" w14:textId="77777777" w:rsidTr="002355CC">
        <w:trPr>
          <w:trHeight w:val="320"/>
        </w:trPr>
        <w:tc>
          <w:tcPr>
            <w:tcW w:w="2157" w:type="dxa"/>
            <w:tcBorders>
              <w:top w:val="single" w:sz="4" w:space="0" w:color="auto"/>
              <w:bottom w:val="nil"/>
            </w:tcBorders>
            <w:tcMar>
              <w:top w:w="0" w:type="dxa"/>
              <w:left w:w="86" w:type="dxa"/>
              <w:bottom w:w="43" w:type="dxa"/>
              <w:right w:w="86" w:type="dxa"/>
            </w:tcMar>
          </w:tcPr>
          <w:p w14:paraId="00CE3605" w14:textId="77777777" w:rsidR="00084A86" w:rsidRPr="005D4222" w:rsidRDefault="00084A86" w:rsidP="002355CC">
            <w:pPr>
              <w:pStyle w:val="ECDSMarginHead"/>
            </w:pPr>
            <w:r w:rsidRPr="005D4222">
              <w:t>Average starting DME</w:t>
            </w: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01FB12CB" w14:textId="77777777" w:rsidR="00084A86" w:rsidRPr="005D4222" w:rsidRDefault="00084A86">
            <w:pPr>
              <w:pStyle w:val="ECDSBody"/>
            </w:pPr>
            <w:r w:rsidRPr="005D4222">
              <w:t>The average DME daily dose for all benzodiazepines dispensed during the ITE.</w:t>
            </w:r>
          </w:p>
          <w:p w14:paraId="180CB956" w14:textId="77777777" w:rsidR="00084A86" w:rsidRPr="005D4222" w:rsidRDefault="00084A86">
            <w:pPr>
              <w:pStyle w:val="ECDSBody"/>
            </w:pPr>
            <w:r w:rsidRPr="005D4222">
              <w:t>Calculate the DME daily dose for each dispensing event in the ITE.</w:t>
            </w:r>
            <w:r w:rsidRPr="005D4222" w:rsidDel="00120343">
              <w:t xml:space="preserve"> </w:t>
            </w:r>
            <w:r w:rsidRPr="005D4222">
              <w:t>To calculate the a</w:t>
            </w:r>
            <w:r w:rsidRPr="005D4222" w:rsidDel="00D54C4E">
              <w:t xml:space="preserve">verage </w:t>
            </w:r>
            <w:r w:rsidRPr="005D4222">
              <w:t xml:space="preserve">starting DME, multiply the dispensing event’s DME daily dose by its days supply, then divide by 30 (the length of the ITE). </w:t>
            </w:r>
          </w:p>
          <w:p w14:paraId="3B2ED113" w14:textId="77777777" w:rsidR="00084A86" w:rsidRPr="005D4222" w:rsidRDefault="00084A86">
            <w:pPr>
              <w:pStyle w:val="ECDSBody"/>
            </w:pPr>
            <w:r w:rsidRPr="005D4222">
              <w:t>If multiple dispensing events contribute to the ITE, multiply the days supply of each dispensing event by the corresponding DME daily dose, then sum the results. Count the days supply until the end of the ITE; the total number of days supply across all dispensing events should not exceed 30. Do not round when calculating average DME daily dose.</w:t>
            </w:r>
          </w:p>
          <w:p w14:paraId="0E179345" w14:textId="77777777" w:rsidR="00084A86" w:rsidRPr="005D4222" w:rsidRDefault="00084A86">
            <w:pPr>
              <w:pStyle w:val="Note"/>
            </w:pPr>
            <w:r w:rsidRPr="005D4222">
              <w:rPr>
                <w:rFonts w:eastAsia="Arial,Arial,Times New Roman"/>
                <w:b/>
              </w:rPr>
              <w:t>Note:</w:t>
            </w:r>
            <w:r w:rsidRPr="005D4222">
              <w:rPr>
                <w:rFonts w:eastAsia="Arial,Arial,Times New Roman"/>
              </w:rPr>
              <w:t xml:space="preserve"> When calculating average starting DME, the same assumptions from “Calculating number of days covered” apply.</w:t>
            </w:r>
          </w:p>
        </w:tc>
      </w:tr>
      <w:tr w:rsidR="00084A86" w:rsidRPr="005D4222" w14:paraId="3E48A1D5" w14:textId="77777777" w:rsidTr="002355CC">
        <w:trPr>
          <w:trHeight w:val="320"/>
        </w:trPr>
        <w:tc>
          <w:tcPr>
            <w:tcW w:w="2157" w:type="dxa"/>
            <w:tcBorders>
              <w:top w:val="nil"/>
              <w:bottom w:val="nil"/>
            </w:tcBorders>
            <w:tcMar>
              <w:top w:w="0" w:type="dxa"/>
              <w:left w:w="86" w:type="dxa"/>
              <w:bottom w:w="43" w:type="dxa"/>
              <w:right w:w="86" w:type="dxa"/>
            </w:tcMar>
          </w:tcPr>
          <w:p w14:paraId="0347D033" w14:textId="77777777" w:rsidR="00084A86" w:rsidRPr="005D4222" w:rsidRDefault="00084A86" w:rsidP="002355CC">
            <w:pPr>
              <w:pStyle w:val="MarginHead"/>
              <w:spacing w:before="120"/>
              <w:jc w:val="right"/>
            </w:pPr>
            <w:r w:rsidRPr="005D4222">
              <w:rPr>
                <w:i/>
                <w:iCs/>
              </w:rPr>
              <w:t>Example A</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750AD57E" w14:textId="77777777" w:rsidR="00084A86" w:rsidRPr="005D4222" w:rsidRDefault="00084A86">
            <w:pPr>
              <w:pStyle w:val="ECDSBody"/>
            </w:pPr>
            <w:r w:rsidRPr="005D4222">
              <w:rPr>
                <w:i/>
                <w:iCs/>
              </w:rPr>
              <w:t xml:space="preserve">ITE with a single dispensing event: </w:t>
            </w:r>
            <w:r w:rsidRPr="005D4222">
              <w:t>A prescription for a 45-days supply of lorazepam containing 40 pills, 2.5 mg each pill.</w:t>
            </w:r>
          </w:p>
          <w:p w14:paraId="3BAD3FFB" w14:textId="77777777" w:rsidR="00084A86" w:rsidRPr="005D4222" w:rsidRDefault="00084A86">
            <w:pPr>
              <w:pStyle w:val="ECDSBody"/>
            </w:pPr>
            <w:r w:rsidRPr="005D4222">
              <w:t xml:space="preserve">The benzodiazepine dosage unit is 0.8889. The DME daily dose is 0.4445. </w:t>
            </w:r>
          </w:p>
          <w:p w14:paraId="007C5EAC" w14:textId="77777777" w:rsidR="00084A86" w:rsidRPr="005D4222" w:rsidRDefault="00084A86">
            <w:pPr>
              <w:pStyle w:val="ECDSBody"/>
              <w:spacing w:after="0"/>
            </w:pPr>
            <w:r w:rsidRPr="005D4222">
              <w:t xml:space="preserve">The average starting DME is (0.4445 </w:t>
            </w:r>
            <w:r w:rsidRPr="005D4222">
              <w:rPr>
                <w:b/>
              </w:rPr>
              <w:t>*</w:t>
            </w:r>
            <w:r w:rsidRPr="005D4222">
              <w:t xml:space="preserve"> 30) / 30 = 0.4445.</w:t>
            </w:r>
          </w:p>
        </w:tc>
      </w:tr>
      <w:tr w:rsidR="00084A86" w:rsidRPr="005D4222" w14:paraId="3AFA86EB" w14:textId="77777777" w:rsidTr="002355CC">
        <w:trPr>
          <w:trHeight w:val="320"/>
        </w:trPr>
        <w:tc>
          <w:tcPr>
            <w:tcW w:w="2157" w:type="dxa"/>
            <w:tcBorders>
              <w:top w:val="nil"/>
              <w:bottom w:val="nil"/>
            </w:tcBorders>
            <w:tcMar>
              <w:top w:w="0" w:type="dxa"/>
              <w:left w:w="86" w:type="dxa"/>
              <w:bottom w:w="43" w:type="dxa"/>
              <w:right w:w="86" w:type="dxa"/>
            </w:tcMar>
          </w:tcPr>
          <w:p w14:paraId="03754ED0" w14:textId="77777777" w:rsidR="00084A86" w:rsidRPr="005D4222" w:rsidRDefault="00084A86" w:rsidP="002355CC">
            <w:pPr>
              <w:pStyle w:val="MarginHead"/>
              <w:spacing w:before="120"/>
              <w:jc w:val="right"/>
            </w:pPr>
            <w:r w:rsidRPr="005D4222">
              <w:rPr>
                <w:i/>
                <w:iCs/>
              </w:rPr>
              <w:t>Example B</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465D25C1" w14:textId="77777777" w:rsidR="00084A86" w:rsidRPr="005D4222" w:rsidRDefault="00084A86">
            <w:pPr>
              <w:pStyle w:val="ECDSBody"/>
              <w:rPr>
                <w:i/>
                <w:iCs/>
              </w:rPr>
            </w:pPr>
            <w:r w:rsidRPr="005D4222">
              <w:rPr>
                <w:i/>
                <w:iCs/>
              </w:rPr>
              <w:t xml:space="preserve">ITE with multiple consecutive dispensing events: </w:t>
            </w:r>
          </w:p>
          <w:p w14:paraId="7E7E2CAF" w14:textId="79316EB9" w:rsidR="00084A86" w:rsidRPr="005D4222" w:rsidRDefault="00084A86" w:rsidP="00084A86">
            <w:pPr>
              <w:pStyle w:val="Bullet"/>
              <w:numPr>
                <w:ilvl w:val="0"/>
                <w:numId w:val="4"/>
              </w:numPr>
              <w:tabs>
                <w:tab w:val="left" w:pos="360"/>
                <w:tab w:val="left" w:pos="576"/>
              </w:tabs>
              <w:ind w:left="576" w:hanging="216"/>
            </w:pPr>
            <w:r w:rsidRPr="005D4222">
              <w:t>The first dispensing event in the ITE is a 7</w:t>
            </w:r>
            <w:r w:rsidR="00CF717A" w:rsidRPr="005D4222">
              <w:t xml:space="preserve"> </w:t>
            </w:r>
            <w:r w:rsidRPr="005D4222">
              <w:t xml:space="preserve">days supply of diazepam containing 7 pills, 2 mg each pill. </w:t>
            </w:r>
          </w:p>
          <w:p w14:paraId="49853208" w14:textId="77777777" w:rsidR="00084A86" w:rsidRPr="005D4222" w:rsidRDefault="00084A86" w:rsidP="00084A86">
            <w:pPr>
              <w:pStyle w:val="Dash"/>
              <w:tabs>
                <w:tab w:val="left" w:pos="576"/>
                <w:tab w:val="left" w:pos="792"/>
              </w:tabs>
            </w:pPr>
            <w:r w:rsidRPr="005D4222">
              <w:t>The benzodiazepine dosage unit is 1 and the DME daily dose is 2.</w:t>
            </w:r>
          </w:p>
          <w:p w14:paraId="15DD2B82" w14:textId="77777777" w:rsidR="00084A86" w:rsidRPr="005D4222" w:rsidRDefault="00084A86" w:rsidP="00084A86">
            <w:pPr>
              <w:pStyle w:val="Bullet"/>
              <w:numPr>
                <w:ilvl w:val="0"/>
                <w:numId w:val="4"/>
              </w:numPr>
              <w:tabs>
                <w:tab w:val="left" w:pos="360"/>
                <w:tab w:val="left" w:pos="576"/>
              </w:tabs>
              <w:ind w:left="576" w:hanging="216"/>
            </w:pPr>
            <w:r w:rsidRPr="005D4222">
              <w:t xml:space="preserve">The second dispensing event in the ITE is a 60-days supply of diazepam containing 30 pills, 10 mg each pill. </w:t>
            </w:r>
          </w:p>
          <w:p w14:paraId="60DAE275" w14:textId="77777777" w:rsidR="00084A86" w:rsidRPr="005D4222" w:rsidRDefault="00084A86" w:rsidP="00084A86">
            <w:pPr>
              <w:pStyle w:val="Dash"/>
              <w:tabs>
                <w:tab w:val="left" w:pos="576"/>
                <w:tab w:val="left" w:pos="792"/>
              </w:tabs>
            </w:pPr>
            <w:r w:rsidRPr="005D4222">
              <w:t xml:space="preserve">The benzodiazepine dosage unit is 0.5 and the DME daily dose is 5. </w:t>
            </w:r>
          </w:p>
          <w:p w14:paraId="482E803D" w14:textId="77777777" w:rsidR="00084A86" w:rsidRPr="005D4222" w:rsidRDefault="00084A86">
            <w:pPr>
              <w:pStyle w:val="ECDSBody"/>
              <w:spacing w:after="0"/>
            </w:pPr>
            <w:r w:rsidRPr="005D4222">
              <w:t xml:space="preserve">The average starting DME is: [(2 </w:t>
            </w:r>
            <w:r w:rsidRPr="005D4222">
              <w:rPr>
                <w:b/>
              </w:rPr>
              <w:t>*</w:t>
            </w:r>
            <w:r w:rsidRPr="005D4222">
              <w:t xml:space="preserve"> 7) + (5 </w:t>
            </w:r>
            <w:r w:rsidRPr="005D4222">
              <w:rPr>
                <w:b/>
              </w:rPr>
              <w:t>*</w:t>
            </w:r>
            <w:r w:rsidRPr="005D4222">
              <w:t xml:space="preserve"> 23)] / 30 = 4.3.</w:t>
            </w:r>
          </w:p>
        </w:tc>
      </w:tr>
      <w:tr w:rsidR="00084A86" w:rsidRPr="005D4222" w14:paraId="644B499B" w14:textId="77777777" w:rsidTr="004728E8">
        <w:trPr>
          <w:trHeight w:val="320"/>
        </w:trPr>
        <w:tc>
          <w:tcPr>
            <w:tcW w:w="2157" w:type="dxa"/>
            <w:tcBorders>
              <w:top w:val="nil"/>
              <w:bottom w:val="single" w:sz="4" w:space="0" w:color="auto"/>
            </w:tcBorders>
            <w:tcMar>
              <w:top w:w="0" w:type="dxa"/>
              <w:left w:w="86" w:type="dxa"/>
              <w:bottom w:w="43" w:type="dxa"/>
              <w:right w:w="86" w:type="dxa"/>
            </w:tcMar>
          </w:tcPr>
          <w:p w14:paraId="3816A848" w14:textId="77777777" w:rsidR="00084A86" w:rsidRPr="005D4222" w:rsidRDefault="00084A86" w:rsidP="002355CC">
            <w:pPr>
              <w:pStyle w:val="MarginHead"/>
              <w:spacing w:before="120"/>
            </w:pPr>
            <w:r w:rsidRPr="005D4222">
              <w:t>Benzodiazepine dosage units</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5842B3DD" w14:textId="77777777" w:rsidR="00084A86" w:rsidRPr="005D4222" w:rsidRDefault="00084A86">
            <w:pPr>
              <w:pStyle w:val="ECDSBody"/>
              <w:spacing w:after="0"/>
              <w:rPr>
                <w:rFonts w:eastAsia="Arial,Times New Roman"/>
              </w:rPr>
            </w:pPr>
            <w:r w:rsidRPr="005D4222">
              <w:rPr>
                <w:rFonts w:eastAsia="Arial,Times New Roman"/>
              </w:rPr>
              <w:t xml:space="preserve">For each dispensing event, use the following calculation to determine the benzodiazepine dosage units per day. </w:t>
            </w:r>
          </w:p>
          <w:p w14:paraId="11FAF9BC" w14:textId="77777777" w:rsidR="00084A86" w:rsidRPr="005D4222" w:rsidRDefault="00084A86" w:rsidP="004728E8">
            <w:pPr>
              <w:pStyle w:val="ECDSBody"/>
              <w:jc w:val="center"/>
            </w:pPr>
            <w:r w:rsidRPr="005D4222">
              <w:rPr>
                <w:rFonts w:eastAsia="Arial,Times New Roman"/>
              </w:rPr>
              <w:t xml:space="preserve"># of benzodiazepine dosage units per day = </w:t>
            </w:r>
            <w:r w:rsidRPr="005D4222">
              <w:br/>
            </w:r>
            <w:r w:rsidRPr="005D4222">
              <w:rPr>
                <w:rFonts w:eastAsia="Arial,Times New Roman"/>
              </w:rPr>
              <w:t>(benzodiazepine quantity dispensed) / (benzodiazepine days supply)</w:t>
            </w:r>
          </w:p>
        </w:tc>
      </w:tr>
    </w:tbl>
    <w:p w14:paraId="6682F2DA" w14:textId="77777777" w:rsidR="00636E95" w:rsidRPr="005D4222" w:rsidRDefault="00636E95">
      <w:r w:rsidRPr="005D4222">
        <w:br w:type="page"/>
      </w:r>
    </w:p>
    <w:tbl>
      <w:tblPr>
        <w:tblW w:w="9714" w:type="dxa"/>
        <w:tblBorders>
          <w:top w:val="single" w:sz="4" w:space="0" w:color="auto"/>
          <w:left w:val="single" w:sz="2" w:space="0" w:color="auto"/>
          <w:bottom w:val="single" w:sz="4" w:space="0" w:color="auto"/>
          <w:right w:val="single" w:sz="4" w:space="0" w:color="auto"/>
          <w:insideH w:val="single" w:sz="4" w:space="0" w:color="auto"/>
          <w:insideV w:val="single" w:sz="4"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084A86" w:rsidRPr="005D4222" w14:paraId="68B72A72" w14:textId="77777777">
        <w:trPr>
          <w:trHeight w:val="320"/>
        </w:trPr>
        <w:tc>
          <w:tcPr>
            <w:tcW w:w="2157" w:type="dxa"/>
            <w:tcMar>
              <w:top w:w="0" w:type="dxa"/>
              <w:left w:w="86" w:type="dxa"/>
              <w:bottom w:w="43" w:type="dxa"/>
              <w:right w:w="86" w:type="dxa"/>
            </w:tcMar>
          </w:tcPr>
          <w:p w14:paraId="5BD95891" w14:textId="59812EBA" w:rsidR="00084A86" w:rsidRPr="005D4222" w:rsidRDefault="00636E95" w:rsidP="00636E95">
            <w:pPr>
              <w:pStyle w:val="MarginHead"/>
              <w:spacing w:before="120"/>
            </w:pPr>
            <w:r w:rsidRPr="005D4222">
              <w:lastRenderedPageBreak/>
              <w:t>Calculating number of days covered</w:t>
            </w:r>
          </w:p>
        </w:tc>
        <w:tc>
          <w:tcPr>
            <w:tcW w:w="7557" w:type="dxa"/>
            <w:tcMar>
              <w:top w:w="0" w:type="dxa"/>
              <w:left w:w="86" w:type="dxa"/>
              <w:bottom w:w="43" w:type="dxa"/>
              <w:right w:w="86" w:type="dxa"/>
            </w:tcMar>
          </w:tcPr>
          <w:p w14:paraId="17E79240" w14:textId="77777777" w:rsidR="00636E95" w:rsidRPr="005D4222" w:rsidRDefault="00636E95" w:rsidP="00636E95">
            <w:pPr>
              <w:pStyle w:val="ECDSBody"/>
              <w:rPr>
                <w:rFonts w:eastAsia="Arial,Times New Roman"/>
              </w:rPr>
            </w:pPr>
            <w:r w:rsidRPr="005D4222">
              <w:rPr>
                <w:rFonts w:eastAsia="Arial,Times New Roman"/>
              </w:rPr>
              <w:t>Use the following steps to identify and calculate covered days.</w:t>
            </w:r>
          </w:p>
          <w:p w14:paraId="3C27A192" w14:textId="29E25900" w:rsidR="00084A86" w:rsidRPr="005D4222" w:rsidRDefault="00636E95" w:rsidP="00636E95">
            <w:pPr>
              <w:pStyle w:val="ECDSBody"/>
            </w:pPr>
            <w:r w:rsidRPr="005D4222">
              <w:rPr>
                <w:rFonts w:eastAsia="Arial,Times New Roman"/>
                <w:b/>
              </w:rPr>
              <w:t xml:space="preserve">Step 1. </w:t>
            </w:r>
            <w:r w:rsidRPr="005D4222">
              <w:t xml:space="preserve">Identify dispensing events where multiple prescriptions for the same medication are dispensed on the same day. Identify start and end dates for each dispensing event individually. The start date is the dispense date; the end </w:t>
            </w:r>
            <w:r w:rsidR="00084A86" w:rsidRPr="005D4222">
              <w:t xml:space="preserve">date is the start date plus days supply minus one. The start date through the end date are considered covered days. </w:t>
            </w:r>
          </w:p>
          <w:p w14:paraId="576E3149" w14:textId="77777777" w:rsidR="00084A86" w:rsidRPr="005D4222" w:rsidRDefault="00084A86">
            <w:pPr>
              <w:pStyle w:val="Note"/>
            </w:pPr>
            <w:r w:rsidRPr="005D4222">
              <w:rPr>
                <w:b/>
                <w:bCs/>
              </w:rPr>
              <w:t xml:space="preserve">Note: </w:t>
            </w:r>
            <w:r w:rsidRPr="005D4222">
              <w:t>This step assumes prescriptions are taken concurrently.</w:t>
            </w:r>
          </w:p>
          <w:p w14:paraId="39658FCB" w14:textId="77777777" w:rsidR="00084A86" w:rsidRPr="005D4222" w:rsidRDefault="00084A86">
            <w:pPr>
              <w:pStyle w:val="ECDSBody"/>
            </w:pPr>
            <w:r w:rsidRPr="005D4222">
              <w:rPr>
                <w:b/>
              </w:rPr>
              <w:t xml:space="preserve">Step 2. </w:t>
            </w:r>
            <w:r w:rsidRPr="005D4222">
              <w:t>For multiple prescriptions for different medications dispensed on the same day, sum the days supply. Use the following order of operations for calculating days covered.</w:t>
            </w:r>
          </w:p>
          <w:p w14:paraId="084A2329" w14:textId="77777777" w:rsidR="00084A86" w:rsidRPr="005D4222" w:rsidRDefault="00084A86" w:rsidP="00084A86">
            <w:pPr>
              <w:pStyle w:val="Bullet"/>
              <w:numPr>
                <w:ilvl w:val="0"/>
                <w:numId w:val="4"/>
              </w:numPr>
              <w:tabs>
                <w:tab w:val="left" w:pos="360"/>
                <w:tab w:val="left" w:pos="576"/>
              </w:tabs>
              <w:ind w:left="576" w:hanging="216"/>
            </w:pPr>
            <w:r w:rsidRPr="005D4222">
              <w:t>Order dispensing events by date, from earliest to latest.</w:t>
            </w:r>
          </w:p>
          <w:p w14:paraId="1F338927" w14:textId="77777777" w:rsidR="00084A86" w:rsidRPr="005D4222" w:rsidRDefault="00084A86" w:rsidP="00084A86">
            <w:pPr>
              <w:pStyle w:val="Bullet"/>
              <w:numPr>
                <w:ilvl w:val="0"/>
                <w:numId w:val="4"/>
              </w:numPr>
              <w:tabs>
                <w:tab w:val="left" w:pos="360"/>
                <w:tab w:val="left" w:pos="576"/>
              </w:tabs>
              <w:ind w:left="576" w:hanging="216"/>
            </w:pPr>
            <w:r w:rsidRPr="005D4222">
              <w:t>Order dispensing events by days supply, from longest to shortest. For dispensing events with the same days supply, order by DME, from highest to lowest, using the same drug, same-day combined dose in scenarios where that occurs.</w:t>
            </w:r>
          </w:p>
          <w:p w14:paraId="76883CAD" w14:textId="77777777" w:rsidR="0047196B" w:rsidRPr="005D4222" w:rsidRDefault="00084A86">
            <w:pPr>
              <w:pStyle w:val="ECDSBody"/>
            </w:pPr>
            <w:r w:rsidRPr="005D4222">
              <w:t xml:space="preserve">Identify the start and end dates. The start date is the date of service of the earliest dispensing event; the end date is the start date plus the summed days supply minus one. The start date through the end date are considered covered days. </w:t>
            </w:r>
          </w:p>
          <w:p w14:paraId="7835EC89" w14:textId="3A0A5BFF" w:rsidR="00084A86" w:rsidRPr="005D4222" w:rsidRDefault="00084A86" w:rsidP="0047196B">
            <w:pPr>
              <w:pStyle w:val="Bullet"/>
              <w:rPr>
                <w:b/>
              </w:rPr>
            </w:pPr>
            <w:r w:rsidRPr="005D4222">
              <w:rPr>
                <w:i/>
              </w:rPr>
              <w:t>For example</w:t>
            </w:r>
            <w:r w:rsidR="0047196B" w:rsidRPr="005D4222">
              <w:rPr>
                <w:i/>
                <w:iCs/>
              </w:rPr>
              <w:t xml:space="preserve">, </w:t>
            </w:r>
            <w:r w:rsidR="0047196B" w:rsidRPr="005D4222">
              <w:t>i</w:t>
            </w:r>
            <w:r w:rsidRPr="005D4222">
              <w:t>f there are three 7</w:t>
            </w:r>
            <w:r w:rsidR="00CF717A" w:rsidRPr="005D4222">
              <w:t xml:space="preserve"> </w:t>
            </w:r>
            <w:r w:rsidRPr="005D4222">
              <w:t xml:space="preserve">days supply dispensing events for three different medications on January 1, the start date is January 1 and the end date is January 21. Covered days include January 1–21. </w:t>
            </w:r>
          </w:p>
          <w:p w14:paraId="47C03FA0" w14:textId="77777777" w:rsidR="00084A86" w:rsidRPr="005D4222" w:rsidRDefault="00084A86">
            <w:pPr>
              <w:pStyle w:val="Note"/>
            </w:pPr>
            <w:r w:rsidRPr="005D4222" w:rsidDel="00D76C69">
              <w:rPr>
                <w:b/>
                <w:bCs/>
              </w:rPr>
              <w:t>Note:</w:t>
            </w:r>
            <w:r w:rsidRPr="005D4222" w:rsidDel="00D76C69">
              <w:t xml:space="preserve"> This step assumes </w:t>
            </w:r>
            <w:r w:rsidRPr="005D4222">
              <w:t xml:space="preserve">taking </w:t>
            </w:r>
            <w:r w:rsidRPr="005D4222" w:rsidDel="00D76C69">
              <w:t xml:space="preserve">one prescription </w:t>
            </w:r>
            <w:r w:rsidRPr="005D4222">
              <w:t xml:space="preserve">at a time </w:t>
            </w:r>
            <w:r w:rsidRPr="005D4222" w:rsidDel="00D76C69">
              <w:t xml:space="preserve">(and </w:t>
            </w:r>
            <w:r w:rsidRPr="005D4222">
              <w:t xml:space="preserve">starting </w:t>
            </w:r>
            <w:r w:rsidRPr="005D4222" w:rsidDel="00D76C69">
              <w:t xml:space="preserve">the next prescription </w:t>
            </w:r>
            <w:r w:rsidRPr="005D4222">
              <w:t>after exhausting the previous prescription)</w:t>
            </w:r>
            <w:r w:rsidRPr="005D4222" w:rsidDel="00D76C69">
              <w:t>.</w:t>
            </w:r>
          </w:p>
          <w:p w14:paraId="3555C0B5" w14:textId="77777777" w:rsidR="00084A86" w:rsidRPr="005D4222" w:rsidRDefault="00084A86">
            <w:pPr>
              <w:pStyle w:val="ECDSBody"/>
            </w:pPr>
            <w:r w:rsidRPr="005D4222">
              <w:rPr>
                <w:b/>
              </w:rPr>
              <w:t xml:space="preserve">Step 3. </w:t>
            </w:r>
            <w:r w:rsidRPr="005D4222">
              <w:t xml:space="preserve">For multiple prescriptions of the same or different medication dispensed on different days with overlapping days supply, sum the days supply. </w:t>
            </w:r>
          </w:p>
          <w:p w14:paraId="6A0A74A0" w14:textId="77777777" w:rsidR="00C83922" w:rsidRPr="005D4222" w:rsidRDefault="00084A86">
            <w:pPr>
              <w:pStyle w:val="ECDSBody"/>
            </w:pPr>
            <w:r w:rsidRPr="005D4222">
              <w:t xml:space="preserve">Identify the start and end dates. The start date is the date of service of the earliest dispensing event; the end date is the start date plus the summed days supply minus one. The start date through the end date are considered covered days. </w:t>
            </w:r>
          </w:p>
          <w:p w14:paraId="53405598" w14:textId="4CA88E4E" w:rsidR="00084A86" w:rsidRPr="005D4222" w:rsidRDefault="00084A86">
            <w:pPr>
              <w:pStyle w:val="Bullet"/>
              <w:numPr>
                <w:ilvl w:val="0"/>
                <w:numId w:val="4"/>
              </w:numPr>
              <w:ind w:left="576" w:hanging="216"/>
            </w:pPr>
            <w:r w:rsidRPr="005D4222">
              <w:rPr>
                <w:i/>
                <w:iCs/>
              </w:rPr>
              <w:t>For example</w:t>
            </w:r>
            <w:r w:rsidR="00C83922" w:rsidRPr="005D4222">
              <w:rPr>
                <w:i/>
                <w:iCs/>
              </w:rPr>
              <w:t xml:space="preserve">, </w:t>
            </w:r>
            <w:r w:rsidR="00C83922" w:rsidRPr="005D4222">
              <w:t>f</w:t>
            </w:r>
            <w:r w:rsidRPr="005D4222">
              <w:t>or different medications, if there are three 7</w:t>
            </w:r>
            <w:r w:rsidR="00CF717A" w:rsidRPr="005D4222">
              <w:t xml:space="preserve"> </w:t>
            </w:r>
            <w:r w:rsidRPr="005D4222">
              <w:t>days supply dispensing events on January 1, a 7</w:t>
            </w:r>
            <w:r w:rsidR="00CF717A" w:rsidRPr="005D4222">
              <w:t xml:space="preserve"> </w:t>
            </w:r>
            <w:r w:rsidRPr="005D4222">
              <w:t>days supply dispensing event on January 20 and a 7</w:t>
            </w:r>
            <w:r w:rsidR="00CF717A" w:rsidRPr="005D4222">
              <w:t xml:space="preserve"> </w:t>
            </w:r>
            <w:r w:rsidRPr="005D4222">
              <w:t xml:space="preserve">days supply dispensing event on January 28, the start date is January 1 and the end date is February 4. Covered days include January 1–February 4. </w:t>
            </w:r>
          </w:p>
          <w:p w14:paraId="662080C8" w14:textId="77777777" w:rsidR="00084A86" w:rsidRPr="005D4222" w:rsidRDefault="00084A86">
            <w:pPr>
              <w:pStyle w:val="Note"/>
            </w:pPr>
            <w:r w:rsidRPr="005D4222" w:rsidDel="00D76C69">
              <w:rPr>
                <w:b/>
                <w:bCs/>
              </w:rPr>
              <w:t>Note:</w:t>
            </w:r>
            <w:r w:rsidRPr="005D4222" w:rsidDel="00D76C69">
              <w:t xml:space="preserve"> </w:t>
            </w:r>
            <w:r w:rsidRPr="005D4222">
              <w:t>Use the order of operations outlined in step 2 for calculating days covered.</w:t>
            </w:r>
            <w:r w:rsidRPr="005D4222" w:rsidDel="00D76C69">
              <w:t xml:space="preserve"> This step assumes </w:t>
            </w:r>
            <w:r w:rsidRPr="005D4222">
              <w:t>taking</w:t>
            </w:r>
            <w:r w:rsidRPr="005D4222" w:rsidDel="00D76C69">
              <w:t xml:space="preserve"> one prescription at a time (and </w:t>
            </w:r>
            <w:r w:rsidRPr="005D4222">
              <w:t>start</w:t>
            </w:r>
            <w:r w:rsidRPr="005D4222" w:rsidDel="00D76C69">
              <w:t>ing the next prescription after exhausting the previous prescription).</w:t>
            </w:r>
          </w:p>
          <w:p w14:paraId="06E3B584" w14:textId="1CFADE80" w:rsidR="00636E95" w:rsidRPr="005D4222" w:rsidRDefault="00084A86" w:rsidP="00636E95">
            <w:pPr>
              <w:pStyle w:val="ECDSBody"/>
              <w:rPr>
                <w:rFonts w:eastAsia="Arial,Times New Roman"/>
              </w:rPr>
            </w:pPr>
            <w:r w:rsidRPr="005D4222">
              <w:rPr>
                <w:b/>
              </w:rPr>
              <w:t xml:space="preserve">Step 4. </w:t>
            </w:r>
            <w:r w:rsidRPr="005D4222">
              <w:t>For multiple prescriptions of the same or different medication dispensed on different days without an overlapping days supply, identify the start and end dates for each dispensing event individually. The start date is the date of service of the dispensing event; the end date is the start date plus the days supply minus one. The start date through the end date are considered covered days.</w:t>
            </w:r>
          </w:p>
        </w:tc>
      </w:tr>
    </w:tbl>
    <w:p w14:paraId="55E438AC" w14:textId="68278F9D" w:rsidR="00084A86" w:rsidRPr="005D4222" w:rsidRDefault="00084A86" w:rsidP="00084A86">
      <w:pPr>
        <w:spacing w:after="160" w:line="259" w:lineRule="auto"/>
      </w:pP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084A86" w:rsidRPr="005D4222" w14:paraId="3532FDF2" w14:textId="77777777">
        <w:trPr>
          <w:trHeight w:val="320"/>
        </w:trPr>
        <w:tc>
          <w:tcPr>
            <w:tcW w:w="2157" w:type="dxa"/>
            <w:tcBorders>
              <w:top w:val="single" w:sz="4" w:space="0" w:color="auto"/>
              <w:bottom w:val="nil"/>
            </w:tcBorders>
            <w:tcMar>
              <w:top w:w="0" w:type="dxa"/>
              <w:left w:w="86" w:type="dxa"/>
              <w:bottom w:w="43" w:type="dxa"/>
              <w:right w:w="86" w:type="dxa"/>
            </w:tcMar>
          </w:tcPr>
          <w:p w14:paraId="2F5EEF7C" w14:textId="77777777" w:rsidR="00084A86" w:rsidRPr="005D4222" w:rsidRDefault="00084A86">
            <w:pPr>
              <w:pStyle w:val="MarginHead"/>
            </w:pP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7915B27C" w14:textId="77777777" w:rsidR="00636E95" w:rsidRPr="005D4222" w:rsidRDefault="00636E95" w:rsidP="00636E95">
            <w:pPr>
              <w:pStyle w:val="Note"/>
              <w:spacing w:after="80"/>
            </w:pPr>
            <w:r w:rsidRPr="005D4222">
              <w:rPr>
                <w:b/>
              </w:rPr>
              <w:t xml:space="preserve">Note: </w:t>
            </w:r>
            <w:r w:rsidRPr="005D4222">
              <w:t>Use the order of operations in step 2 to calculate days covered. This step assumes taking one prescription at a time (and starting the next prescription after exhausting the previous prescription).</w:t>
            </w:r>
          </w:p>
          <w:p w14:paraId="68162915" w14:textId="77777777" w:rsidR="00084A86" w:rsidRPr="005D4222" w:rsidRDefault="00084A86">
            <w:pPr>
              <w:pStyle w:val="ECDSBody"/>
              <w:spacing w:after="0"/>
            </w:pPr>
            <w:r w:rsidRPr="005D4222">
              <w:rPr>
                <w:b/>
              </w:rPr>
              <w:t xml:space="preserve">Step 5. </w:t>
            </w:r>
            <w:r w:rsidRPr="005D4222">
              <w:t>If steps 2–4 create new overlapping dispensing events, concatenate the dispensing events following the order of operations outlined in step 2. This step assumes the person will start taking the next prescriptions after exhausting the previous prescriptions.</w:t>
            </w:r>
          </w:p>
        </w:tc>
      </w:tr>
      <w:tr w:rsidR="00084A86" w:rsidRPr="005D4222" w14:paraId="72EBF6E2" w14:textId="77777777">
        <w:tc>
          <w:tcPr>
            <w:tcW w:w="2157" w:type="dxa"/>
            <w:tcBorders>
              <w:top w:val="nil"/>
              <w:bottom w:val="nil"/>
            </w:tcBorders>
            <w:tcMar>
              <w:top w:w="0" w:type="dxa"/>
              <w:left w:w="86" w:type="dxa"/>
              <w:bottom w:w="43" w:type="dxa"/>
              <w:right w:w="86" w:type="dxa"/>
            </w:tcMar>
          </w:tcPr>
          <w:p w14:paraId="0044F54D" w14:textId="77777777" w:rsidR="00084A86" w:rsidRPr="005D4222" w:rsidRDefault="00084A86" w:rsidP="00636E95">
            <w:pPr>
              <w:pStyle w:val="ECDSSubhead"/>
            </w:pPr>
            <w:r w:rsidRPr="005D4222">
              <w:t>DME</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708329EA" w14:textId="77777777" w:rsidR="00084A86" w:rsidRPr="005D4222" w:rsidRDefault="00084A86">
            <w:pPr>
              <w:pStyle w:val="ECDSBody"/>
              <w:spacing w:after="0"/>
            </w:pPr>
            <w:r w:rsidRPr="005D4222">
              <w:t>Diazepam milligram equivalent. The dose of oral diazepam that is the equivalent of a given dose of another benzodiazepine. Refer to the Oral Benzodiazepine Medications table for conversion factors.</w:t>
            </w:r>
          </w:p>
        </w:tc>
      </w:tr>
      <w:tr w:rsidR="00084A86" w:rsidRPr="005D4222" w14:paraId="20D8BE35" w14:textId="77777777">
        <w:tc>
          <w:tcPr>
            <w:tcW w:w="2157" w:type="dxa"/>
            <w:tcBorders>
              <w:top w:val="nil"/>
              <w:bottom w:val="nil"/>
            </w:tcBorders>
            <w:tcMar>
              <w:top w:w="0" w:type="dxa"/>
              <w:left w:w="86" w:type="dxa"/>
              <w:bottom w:w="43" w:type="dxa"/>
              <w:right w:w="86" w:type="dxa"/>
            </w:tcMar>
          </w:tcPr>
          <w:p w14:paraId="616B3482" w14:textId="77777777" w:rsidR="00084A86" w:rsidRPr="005D4222" w:rsidRDefault="00084A86" w:rsidP="00636E95">
            <w:pPr>
              <w:pStyle w:val="ECDSSubhead"/>
            </w:pPr>
            <w:r w:rsidRPr="005D4222">
              <w:t>DME daily dose</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68CA5B88" w14:textId="77777777" w:rsidR="00084A86" w:rsidRPr="005D4222" w:rsidRDefault="00084A86">
            <w:pPr>
              <w:pStyle w:val="ECDSBody"/>
              <w:rPr>
                <w:rFonts w:eastAsia="Arial,Arial,Times New Roman"/>
              </w:rPr>
            </w:pPr>
            <w:r w:rsidRPr="005D4222">
              <w:rPr>
                <w:rFonts w:eastAsia="Arial,Arial,Times New Roman"/>
              </w:rPr>
              <w:t>For each dispensing event, use the following calculation to determine the DME daily dose. Convert each medication into the DME using the appropriate conversion factor and strength associated with the benzodiazepine product of the dispensing event (refer to the Oral Benzodiazepine Medications table for DME conversion factor and strength).</w:t>
            </w:r>
          </w:p>
          <w:p w14:paraId="3626575C" w14:textId="77777777" w:rsidR="00084A86" w:rsidRPr="005D4222" w:rsidRDefault="00084A86">
            <w:pPr>
              <w:pStyle w:val="Body"/>
              <w:jc w:val="center"/>
              <w:rPr>
                <w:rFonts w:eastAsia="Arial,Arial,Times New Roman"/>
              </w:rPr>
            </w:pPr>
            <w:r w:rsidRPr="005D4222">
              <w:rPr>
                <w:rFonts w:eastAsia="Arial,Arial,Times New Roman"/>
              </w:rPr>
              <w:t xml:space="preserve">DME daily dose = (# of benzodiazepine dosage units) X (strength </w:t>
            </w:r>
            <w:r w:rsidRPr="005D4222">
              <w:rPr>
                <w:rFonts w:eastAsia="Arial,Arial,Times New Roman"/>
              </w:rPr>
              <w:br/>
              <w:t xml:space="preserve">[e.g., mg, mcg]) X (DME conversion factor </w:t>
            </w:r>
            <w:r w:rsidRPr="005D4222">
              <w:rPr>
                <w:rFonts w:eastAsia="Arial,Arial,Times New Roman"/>
              </w:rPr>
              <w:br/>
              <w:t>[refer to the Oral Benzodiazepine Medications table]).</w:t>
            </w:r>
          </w:p>
          <w:p w14:paraId="77F22DEC" w14:textId="77777777" w:rsidR="00084A86" w:rsidRPr="005D4222" w:rsidRDefault="00084A86">
            <w:pPr>
              <w:pStyle w:val="Note"/>
            </w:pPr>
            <w:r w:rsidRPr="005D4222">
              <w:rPr>
                <w:rFonts w:eastAsia="Arial,Arial,Times New Roman"/>
                <w:b/>
              </w:rPr>
              <w:t>Note:</w:t>
            </w:r>
            <w:r w:rsidRPr="005D4222">
              <w:rPr>
                <w:rFonts w:eastAsia="Arial,Arial,Times New Roman"/>
              </w:rPr>
              <w:t xml:space="preserve"> When calculating DME daily dose, the same assumptions from “Calculating number of days covered” apply.</w:t>
            </w:r>
          </w:p>
        </w:tc>
      </w:tr>
      <w:tr w:rsidR="00084A86" w:rsidRPr="005D4222" w14:paraId="2234EB1E" w14:textId="77777777">
        <w:tc>
          <w:tcPr>
            <w:tcW w:w="2157" w:type="dxa"/>
            <w:tcBorders>
              <w:top w:val="nil"/>
              <w:bottom w:val="nil"/>
            </w:tcBorders>
            <w:tcMar>
              <w:top w:w="0" w:type="dxa"/>
              <w:left w:w="86" w:type="dxa"/>
              <w:bottom w:w="43" w:type="dxa"/>
              <w:right w:w="86" w:type="dxa"/>
            </w:tcMar>
          </w:tcPr>
          <w:p w14:paraId="3605BA51" w14:textId="77777777" w:rsidR="00084A86" w:rsidRPr="005D4222" w:rsidRDefault="00084A86" w:rsidP="00636E95">
            <w:pPr>
              <w:pStyle w:val="ECDSSubhead"/>
            </w:pPr>
            <w:r w:rsidRPr="005D4222">
              <w:t>Ending DME</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14C97EB5" w14:textId="77777777" w:rsidR="00084A86" w:rsidRPr="005D4222" w:rsidRDefault="00084A86">
            <w:pPr>
              <w:pStyle w:val="ECDSBody"/>
              <w:spacing w:after="0"/>
            </w:pPr>
            <w:r w:rsidRPr="005D4222">
              <w:t>The DME daily dose for the final dispensing event(s) of the treatment period.</w:t>
            </w:r>
          </w:p>
          <w:p w14:paraId="110EB1F6" w14:textId="77777777" w:rsidR="00084A86" w:rsidRPr="005D4222" w:rsidRDefault="00084A86">
            <w:pPr>
              <w:pStyle w:val="ECDSBody"/>
              <w:spacing w:after="0"/>
            </w:pPr>
            <w:r w:rsidRPr="005D4222">
              <w:t xml:space="preserve">For overlapping dispensing events, use the last covered day of the treatment period to calculate the ending DME. Do not round when calculating DME daily dose. If there are no pharmacy claims for a benzodiazepine medication for at least 60 days in the measurement period after the last covered day of the treatment period, assume 100% discontinuation and set the ending DME to 0. </w:t>
            </w:r>
          </w:p>
          <w:p w14:paraId="7BCDD36D" w14:textId="77777777" w:rsidR="00084A86" w:rsidRPr="005D4222" w:rsidRDefault="00084A86">
            <w:pPr>
              <w:pStyle w:val="Note"/>
            </w:pPr>
            <w:r w:rsidRPr="005D4222">
              <w:rPr>
                <w:b/>
              </w:rPr>
              <w:t>Note:</w:t>
            </w:r>
            <w:r w:rsidRPr="005D4222">
              <w:t xml:space="preserve"> When calculating ending DME, the assumptions from “calculating number of days covered” apply. When calculating the number of benzodiazepine dosage units per day for the ending DME, include any days supply that extends beyond December 31 of the measurement period. For example, if on December 28 a person is dispensed a 30-days supply of a benzodiazepine (quantity 30), the number of benzodiazepine dosage units per day is 1.</w:t>
            </w:r>
          </w:p>
        </w:tc>
      </w:tr>
      <w:tr w:rsidR="00084A86" w:rsidRPr="005D4222" w14:paraId="7E72F22D" w14:textId="77777777" w:rsidTr="00636E95">
        <w:tc>
          <w:tcPr>
            <w:tcW w:w="2157" w:type="dxa"/>
            <w:tcBorders>
              <w:top w:val="nil"/>
              <w:bottom w:val="nil"/>
            </w:tcBorders>
            <w:tcMar>
              <w:top w:w="0" w:type="dxa"/>
              <w:left w:w="86" w:type="dxa"/>
              <w:bottom w:w="43" w:type="dxa"/>
              <w:right w:w="86" w:type="dxa"/>
            </w:tcMar>
          </w:tcPr>
          <w:p w14:paraId="632CB4BD" w14:textId="77777777" w:rsidR="00084A86" w:rsidRPr="005D4222" w:rsidRDefault="00084A86" w:rsidP="00636E95">
            <w:pPr>
              <w:pStyle w:val="ECDSSubhead"/>
            </w:pPr>
            <w:r w:rsidRPr="005D4222">
              <w:t>Identifying same or different drugs</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451EA481" w14:textId="77777777" w:rsidR="00084A86" w:rsidRPr="005D4222" w:rsidRDefault="00084A86">
            <w:pPr>
              <w:pStyle w:val="ECDSBody"/>
              <w:spacing w:after="0"/>
              <w:rPr>
                <w:szCs w:val="21"/>
              </w:rPr>
            </w:pPr>
            <w:r w:rsidRPr="005D4222">
              <w:t xml:space="preserve">To identify same or different drugs, use the medication lists specified for the measure in the Oral Benzodiazepine Medications table. </w:t>
            </w:r>
            <w:r w:rsidRPr="005D4222">
              <w:rPr>
                <w:szCs w:val="21"/>
              </w:rPr>
              <w:t xml:space="preserve">The table </w:t>
            </w:r>
            <w:r w:rsidRPr="005D4222" w:rsidDel="006933AF">
              <w:rPr>
                <w:szCs w:val="21"/>
              </w:rPr>
              <w:t xml:space="preserve">includes a </w:t>
            </w:r>
            <w:r w:rsidRPr="005D4222">
              <w:rPr>
                <w:szCs w:val="21"/>
              </w:rPr>
              <w:t xml:space="preserve">“Medication Lists” column </w:t>
            </w:r>
            <w:r w:rsidRPr="005D4222" w:rsidDel="006933AF">
              <w:rPr>
                <w:szCs w:val="21"/>
              </w:rPr>
              <w:t>that identifies</w:t>
            </w:r>
            <w:r w:rsidRPr="005D4222">
              <w:rPr>
                <w:szCs w:val="21"/>
              </w:rPr>
              <w:t xml:space="preserve"> the same medications </w:t>
            </w:r>
            <w:r w:rsidRPr="005D4222" w:rsidDel="006933AF">
              <w:rPr>
                <w:szCs w:val="21"/>
              </w:rPr>
              <w:t xml:space="preserve">by grouping them </w:t>
            </w:r>
            <w:r w:rsidRPr="005D4222">
              <w:rPr>
                <w:szCs w:val="21"/>
              </w:rPr>
              <w:t xml:space="preserve">on the same row. </w:t>
            </w:r>
          </w:p>
          <w:p w14:paraId="4399CDA4" w14:textId="77777777" w:rsidR="00084A86" w:rsidRPr="005D4222" w:rsidRDefault="00084A86" w:rsidP="00084A86">
            <w:pPr>
              <w:pStyle w:val="Bullet"/>
              <w:numPr>
                <w:ilvl w:val="0"/>
                <w:numId w:val="4"/>
              </w:numPr>
              <w:tabs>
                <w:tab w:val="left" w:pos="360"/>
                <w:tab w:val="left" w:pos="576"/>
              </w:tabs>
              <w:ind w:left="576" w:hanging="216"/>
            </w:pPr>
            <w:r w:rsidRPr="005D4222">
              <w:rPr>
                <w:i/>
                <w:iCs/>
              </w:rPr>
              <w:t xml:space="preserve">For example, </w:t>
            </w:r>
            <w:r w:rsidRPr="005D4222">
              <w:t xml:space="preserve">all medications </w:t>
            </w:r>
            <w:r w:rsidRPr="005D4222" w:rsidDel="00D457B3">
              <w:t xml:space="preserve">listed </w:t>
            </w:r>
            <w:r w:rsidRPr="005D4222">
              <w:t xml:space="preserve">in the “Alprazolam” row </w:t>
            </w:r>
            <w:r w:rsidRPr="005D4222" w:rsidDel="00D457B3">
              <w:t xml:space="preserve">in the Oral Benzodiazepine Medications table </w:t>
            </w:r>
            <w:r w:rsidRPr="005D4222">
              <w:t>are considered the “same” medication.</w:t>
            </w:r>
          </w:p>
        </w:tc>
      </w:tr>
      <w:tr w:rsidR="00084A86" w:rsidRPr="005D4222" w14:paraId="20A1F7E1" w14:textId="77777777" w:rsidTr="003B6F99">
        <w:tc>
          <w:tcPr>
            <w:tcW w:w="2157" w:type="dxa"/>
            <w:tcBorders>
              <w:top w:val="nil"/>
              <w:bottom w:val="single" w:sz="4" w:space="0" w:color="auto"/>
            </w:tcBorders>
            <w:tcMar>
              <w:top w:w="0" w:type="dxa"/>
              <w:left w:w="86" w:type="dxa"/>
              <w:bottom w:w="43" w:type="dxa"/>
              <w:right w:w="86" w:type="dxa"/>
            </w:tcMar>
          </w:tcPr>
          <w:p w14:paraId="1AC1B43E" w14:textId="77777777" w:rsidR="00084A86" w:rsidRPr="005D4222" w:rsidRDefault="00084A86" w:rsidP="00636E95">
            <w:pPr>
              <w:pStyle w:val="ECDSSubhead"/>
            </w:pPr>
            <w:r w:rsidRPr="005D4222">
              <w:t>ITE</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06706366" w14:textId="34373109" w:rsidR="00636E95" w:rsidRPr="005D4222" w:rsidRDefault="00084A86" w:rsidP="00636E95">
            <w:pPr>
              <w:pStyle w:val="ECDSBody"/>
            </w:pPr>
            <w:r w:rsidRPr="005D4222">
              <w:t xml:space="preserve">Index treatment episode. The first 30 covered days of a benzodiazepine prescription occurring during January 1 and September 1 of the measurement period, with no gaps allowed. The ITE start date is the date of the earliest benzodiazepine prescription dispense date between January 1 and September 1 of the measurement period that is followed by </w:t>
            </w:r>
            <w:r w:rsidRPr="005D4222">
              <w:rPr>
                <w:rFonts w:ascii="Times New Roman" w:hAnsi="Times New Roman"/>
              </w:rPr>
              <w:t>≥</w:t>
            </w:r>
            <w:r w:rsidRPr="005D4222">
              <w:t xml:space="preserve">29 consecutive covered days with no gaps. The end date is the start date plus 29 days. </w:t>
            </w:r>
          </w:p>
        </w:tc>
      </w:tr>
      <w:tr w:rsidR="00636E95" w:rsidRPr="005D4222" w14:paraId="3618019A" w14:textId="77777777" w:rsidTr="003B6F99">
        <w:tc>
          <w:tcPr>
            <w:tcW w:w="2157" w:type="dxa"/>
            <w:tcBorders>
              <w:top w:val="single" w:sz="4" w:space="0" w:color="auto"/>
              <w:bottom w:val="nil"/>
            </w:tcBorders>
            <w:tcMar>
              <w:top w:w="0" w:type="dxa"/>
              <w:left w:w="86" w:type="dxa"/>
              <w:bottom w:w="43" w:type="dxa"/>
              <w:right w:w="86" w:type="dxa"/>
            </w:tcMar>
          </w:tcPr>
          <w:p w14:paraId="19D39721" w14:textId="77777777" w:rsidR="00636E95" w:rsidRPr="005D4222" w:rsidRDefault="00636E95" w:rsidP="00636E95">
            <w:pPr>
              <w:pStyle w:val="ECDSSubhead"/>
            </w:pP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65598389" w14:textId="139D5013" w:rsidR="00636E95" w:rsidRPr="005D4222" w:rsidRDefault="00636E95" w:rsidP="00636E95">
            <w:pPr>
              <w:pStyle w:val="Note"/>
            </w:pPr>
            <w:r w:rsidRPr="005D4222">
              <w:rPr>
                <w:b/>
              </w:rPr>
              <w:t xml:space="preserve">Note: </w:t>
            </w:r>
            <w:r w:rsidRPr="005D4222">
              <w:t>The ITE may comprise multiple dispensing events if there is no gap in covered days between prescriptions.</w:t>
            </w:r>
          </w:p>
        </w:tc>
      </w:tr>
      <w:tr w:rsidR="00084A86" w:rsidRPr="005D4222" w14:paraId="79753EB2" w14:textId="77777777" w:rsidTr="003B6F99">
        <w:tc>
          <w:tcPr>
            <w:tcW w:w="2157" w:type="dxa"/>
            <w:tcBorders>
              <w:top w:val="nil"/>
              <w:bottom w:val="nil"/>
            </w:tcBorders>
            <w:tcMar>
              <w:top w:w="0" w:type="dxa"/>
              <w:left w:w="86" w:type="dxa"/>
              <w:bottom w:w="43" w:type="dxa"/>
              <w:right w:w="86" w:type="dxa"/>
            </w:tcMar>
          </w:tcPr>
          <w:p w14:paraId="57FB6904" w14:textId="77777777" w:rsidR="00084A86" w:rsidRPr="005D4222" w:rsidRDefault="00084A86" w:rsidP="00636E95">
            <w:pPr>
              <w:pStyle w:val="ECDSSubhead"/>
            </w:pPr>
            <w:r w:rsidRPr="005D4222">
              <w:t>PDC</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62F8AF98" w14:textId="77777777" w:rsidR="00084A86" w:rsidRPr="005D4222" w:rsidRDefault="00084A86">
            <w:pPr>
              <w:pStyle w:val="ECDSBody"/>
              <w:spacing w:after="0"/>
            </w:pPr>
            <w:r w:rsidRPr="005D4222">
              <w:t>Proportion of days covered. The number of days a person is covered by at least one benzodiazepine medication prescription, divided by the number of days in the treatment period. Multiply by 100 and round (using the .5 rule) to the nearest whole number.</w:t>
            </w:r>
          </w:p>
        </w:tc>
      </w:tr>
      <w:tr w:rsidR="00084A86" w:rsidRPr="005D4222" w14:paraId="36D474B0" w14:textId="77777777" w:rsidTr="003B6F99">
        <w:trPr>
          <w:trHeight w:val="503"/>
        </w:trPr>
        <w:tc>
          <w:tcPr>
            <w:tcW w:w="2157" w:type="dxa"/>
            <w:tcBorders>
              <w:top w:val="nil"/>
              <w:bottom w:val="nil"/>
            </w:tcBorders>
            <w:tcMar>
              <w:top w:w="0" w:type="dxa"/>
              <w:left w:w="86" w:type="dxa"/>
              <w:bottom w:w="43" w:type="dxa"/>
              <w:right w:w="86" w:type="dxa"/>
            </w:tcMar>
          </w:tcPr>
          <w:p w14:paraId="21F322C2" w14:textId="77777777" w:rsidR="00084A86" w:rsidRPr="005D4222" w:rsidRDefault="00084A86" w:rsidP="00636E95">
            <w:pPr>
              <w:pStyle w:val="ECDSSubhead"/>
            </w:pPr>
            <w:r w:rsidRPr="005D4222">
              <w:t>Treatment period</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07893C21" w14:textId="77777777" w:rsidR="00084A86" w:rsidRPr="005D4222" w:rsidRDefault="00084A86" w:rsidP="0047196B">
            <w:pPr>
              <w:pStyle w:val="Body"/>
              <w:spacing w:before="120" w:after="80"/>
              <w:rPr>
                <w:rFonts w:cs="Arial"/>
              </w:rPr>
            </w:pPr>
            <w:r w:rsidRPr="005D4222" w:rsidDel="0051251B">
              <w:rPr>
                <w:rFonts w:cs="Arial"/>
              </w:rPr>
              <w:t>Begins</w:t>
            </w:r>
            <w:r w:rsidRPr="005D4222">
              <w:rPr>
                <w:rFonts w:cs="Arial"/>
              </w:rPr>
              <w:t xml:space="preserve"> the day after the ITE end date through the last covered day in the measurement period.</w:t>
            </w:r>
          </w:p>
        </w:tc>
      </w:tr>
      <w:tr w:rsidR="00084A86" w:rsidRPr="005D4222" w14:paraId="4FA894E1" w14:textId="77777777">
        <w:trPr>
          <w:trHeight w:val="320"/>
        </w:trPr>
        <w:tc>
          <w:tcPr>
            <w:tcW w:w="2157" w:type="dxa"/>
            <w:shd w:val="clear" w:color="auto" w:fill="BFBFBF" w:themeFill="background1" w:themeFillShade="BF"/>
            <w:tcMar>
              <w:top w:w="0" w:type="dxa"/>
              <w:left w:w="86" w:type="dxa"/>
              <w:bottom w:w="43" w:type="dxa"/>
              <w:right w:w="86" w:type="dxa"/>
            </w:tcMar>
          </w:tcPr>
          <w:p w14:paraId="0F8D4E58" w14:textId="77777777" w:rsidR="00084A86" w:rsidRPr="005D4222" w:rsidRDefault="00084A86">
            <w:pPr>
              <w:pStyle w:val="ECDSMarginHead"/>
            </w:pPr>
            <w:r w:rsidRPr="005D4222">
              <w:t>Initial population</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B03479B" w14:textId="77777777" w:rsidR="00084A86" w:rsidRPr="005D4222" w:rsidRDefault="00084A86">
            <w:pPr>
              <w:pStyle w:val="ECDSBody"/>
            </w:pPr>
            <w:r w:rsidRPr="005D4222">
              <w:rPr>
                <w:i/>
                <w:iCs/>
              </w:rPr>
              <w:t>Measure item count:</w:t>
            </w:r>
            <w:r w:rsidRPr="005D4222">
              <w:t xml:space="preserve"> Person. </w:t>
            </w:r>
          </w:p>
          <w:p w14:paraId="07DEE3A6" w14:textId="77777777" w:rsidR="00084A86" w:rsidRPr="005D4222" w:rsidRDefault="00084A86">
            <w:pPr>
              <w:pStyle w:val="ECDSBody"/>
            </w:pPr>
            <w:r w:rsidRPr="005D4222">
              <w:rPr>
                <w:i/>
                <w:iCs/>
              </w:rPr>
              <w:t xml:space="preserve">Attribution basis: </w:t>
            </w:r>
            <w:r w:rsidRPr="005D4222">
              <w:t>Enrollment.</w:t>
            </w:r>
          </w:p>
          <w:p w14:paraId="0CCFFEB8" w14:textId="77777777" w:rsidR="00084A86" w:rsidRPr="005D4222" w:rsidRDefault="00084A86" w:rsidP="00084A86">
            <w:pPr>
              <w:pStyle w:val="Bullet"/>
              <w:numPr>
                <w:ilvl w:val="0"/>
                <w:numId w:val="4"/>
              </w:numPr>
              <w:tabs>
                <w:tab w:val="left" w:pos="360"/>
                <w:tab w:val="left" w:pos="576"/>
              </w:tabs>
              <w:ind w:left="576" w:hanging="216"/>
            </w:pPr>
            <w:r w:rsidRPr="005D4222">
              <w:rPr>
                <w:i/>
                <w:iCs/>
              </w:rPr>
              <w:t>Benefits:</w:t>
            </w:r>
            <w:r w:rsidRPr="005D4222">
              <w:t xml:space="preserve"> Medical and pharmacy.</w:t>
            </w:r>
          </w:p>
          <w:p w14:paraId="226BA127" w14:textId="77777777" w:rsidR="00084A86" w:rsidRPr="005D4222" w:rsidRDefault="00084A86" w:rsidP="00084A86">
            <w:pPr>
              <w:pStyle w:val="Bullet"/>
              <w:numPr>
                <w:ilvl w:val="0"/>
                <w:numId w:val="4"/>
              </w:numPr>
              <w:tabs>
                <w:tab w:val="left" w:pos="360"/>
                <w:tab w:val="left" w:pos="576"/>
              </w:tabs>
              <w:ind w:left="576" w:hanging="216"/>
            </w:pPr>
            <w:r w:rsidRPr="005D4222">
              <w:rPr>
                <w:i/>
                <w:iCs/>
              </w:rPr>
              <w:t>Continuous enrollment:</w:t>
            </w:r>
            <w:r w:rsidRPr="005D4222">
              <w:t xml:space="preserve"> The measurement period and the year prior to the measurement period. </w:t>
            </w:r>
          </w:p>
          <w:p w14:paraId="16121383" w14:textId="25A9C52A" w:rsidR="00084A86" w:rsidRPr="005D4222" w:rsidRDefault="00084A86" w:rsidP="00084A86">
            <w:pPr>
              <w:pStyle w:val="Bullet"/>
              <w:numPr>
                <w:ilvl w:val="0"/>
                <w:numId w:val="4"/>
              </w:numPr>
              <w:tabs>
                <w:tab w:val="left" w:pos="360"/>
                <w:tab w:val="left" w:pos="576"/>
              </w:tabs>
              <w:ind w:left="576" w:hanging="216"/>
            </w:pPr>
            <w:r w:rsidRPr="005D4222">
              <w:rPr>
                <w:i/>
                <w:iCs/>
              </w:rPr>
              <w:t>Allowable gap</w:t>
            </w:r>
            <w:r w:rsidRPr="005D4222">
              <w:t xml:space="preserve">: </w:t>
            </w:r>
          </w:p>
          <w:p w14:paraId="4E8340DC" w14:textId="77777777" w:rsidR="00084A86" w:rsidRPr="005D4222" w:rsidRDefault="00084A86" w:rsidP="00636E95">
            <w:pPr>
              <w:pStyle w:val="Dash"/>
            </w:pPr>
            <w:r w:rsidRPr="005D4222">
              <w:rPr>
                <w:i/>
                <w:iCs/>
              </w:rPr>
              <w:t>Measurement period:</w:t>
            </w:r>
            <w:r w:rsidRPr="005D4222">
              <w:t xml:space="preserve"> None.</w:t>
            </w:r>
          </w:p>
          <w:p w14:paraId="1C5C2193" w14:textId="77777777" w:rsidR="00084A86" w:rsidRPr="005D4222" w:rsidRDefault="00084A86" w:rsidP="00636E95">
            <w:pPr>
              <w:pStyle w:val="Dash"/>
            </w:pPr>
            <w:r w:rsidRPr="005D4222">
              <w:rPr>
                <w:i/>
                <w:iCs/>
              </w:rPr>
              <w:t>Year prior to the measurement period:</w:t>
            </w:r>
            <w:r w:rsidRPr="005D4222">
              <w:t xml:space="preserve"> No more than one gap of ≤45 days.</w:t>
            </w:r>
          </w:p>
          <w:p w14:paraId="1580BC3A" w14:textId="77777777" w:rsidR="00084A86" w:rsidRPr="005D4222" w:rsidRDefault="00084A86">
            <w:pPr>
              <w:pStyle w:val="ECDSBody"/>
            </w:pPr>
            <w:r w:rsidRPr="005D4222">
              <w:rPr>
                <w:i/>
                <w:iCs/>
              </w:rPr>
              <w:t>Ages:</w:t>
            </w:r>
            <w:r w:rsidRPr="005D4222">
              <w:t xml:space="preserve"> 67 years of age and older as of the last day of the measurement period.</w:t>
            </w:r>
          </w:p>
          <w:p w14:paraId="06C1BCEA" w14:textId="77777777" w:rsidR="00084A86" w:rsidRPr="005D4222" w:rsidRDefault="00084A86">
            <w:pPr>
              <w:pStyle w:val="ECDSBody"/>
              <w:rPr>
                <w:i/>
                <w:iCs/>
              </w:rPr>
            </w:pPr>
            <w:r w:rsidRPr="005D4222">
              <w:rPr>
                <w:i/>
                <w:iCs/>
              </w:rPr>
              <w:t xml:space="preserve">Event: </w:t>
            </w:r>
            <w:r w:rsidRPr="005D4222">
              <w:rPr>
                <w:b/>
                <w:bCs w:val="0"/>
              </w:rPr>
              <w:t>Persons dispensed a benzodiazepine.</w:t>
            </w:r>
          </w:p>
          <w:p w14:paraId="51790731" w14:textId="2B37BC45" w:rsidR="00084A86" w:rsidRPr="005D4222" w:rsidRDefault="00084A86">
            <w:pPr>
              <w:pStyle w:val="ECDSBody"/>
            </w:pPr>
            <w:r w:rsidRPr="005D4222">
              <w:rPr>
                <w:b/>
              </w:rPr>
              <w:t xml:space="preserve">Step 1. </w:t>
            </w:r>
            <w:r w:rsidRPr="005D4222">
              <w:t>Identify persons with two or more benzodiazepine dispensing events on different dates of service (refer to the Oral Benzodiazepine Medications table for medication lists for identifying benzodiazepine dispensing events) during the measurement period.</w:t>
            </w:r>
          </w:p>
          <w:p w14:paraId="2B15C6C2" w14:textId="77777777" w:rsidR="00084A86" w:rsidRPr="005D4222" w:rsidRDefault="00084A86">
            <w:pPr>
              <w:pStyle w:val="ECDSBody"/>
              <w:rPr>
                <w:b/>
              </w:rPr>
            </w:pPr>
            <w:r w:rsidRPr="005D4222">
              <w:rPr>
                <w:b/>
              </w:rPr>
              <w:t xml:space="preserve">Step 2. </w:t>
            </w:r>
            <w:r w:rsidRPr="005D4222">
              <w:t>Of the persons identified in step 1, identify those with a qualifying ITE.</w:t>
            </w:r>
          </w:p>
          <w:p w14:paraId="7D76BFCA" w14:textId="77777777" w:rsidR="00084A86" w:rsidRPr="005D4222" w:rsidRDefault="00084A86">
            <w:pPr>
              <w:pStyle w:val="ECDSBody"/>
              <w:rPr>
                <w:b/>
              </w:rPr>
            </w:pPr>
            <w:r w:rsidRPr="005D4222">
              <w:rPr>
                <w:b/>
              </w:rPr>
              <w:t xml:space="preserve">Step 3. </w:t>
            </w:r>
            <w:r w:rsidRPr="005D4222">
              <w:t>Of the persons identified in step 2, identify those with PDC ≥50% during the treatment period.</w:t>
            </w:r>
          </w:p>
        </w:tc>
      </w:tr>
      <w:tr w:rsidR="00084A86" w:rsidRPr="005D4222" w14:paraId="141145EF" w14:textId="77777777">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164562E" w14:textId="77777777" w:rsidR="00084A86" w:rsidRPr="005D4222" w:rsidRDefault="00084A86">
            <w:pPr>
              <w:pStyle w:val="ECDSMarginHead"/>
            </w:pPr>
            <w:r w:rsidRPr="005D4222">
              <w:t xml:space="preserve">Denominator exclusions </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514ADF67" w14:textId="77777777" w:rsidR="00084A86" w:rsidRPr="005D4222" w:rsidRDefault="00084A86">
            <w:pPr>
              <w:pStyle w:val="ECDSBody"/>
              <w:rPr>
                <w:rStyle w:val="eop"/>
                <w:rFonts w:eastAsiaTheme="majorEastAsia"/>
                <w:color w:val="000000"/>
                <w:shd w:val="clear" w:color="auto" w:fill="FFFFFF"/>
              </w:rPr>
            </w:pPr>
            <w:r w:rsidRPr="005D4222">
              <w:rPr>
                <w:rFonts w:eastAsia="Arial,Arial,Arial,Arial,Arial,A"/>
                <w:b/>
              </w:rPr>
              <w:t>Persons with a date of death.</w:t>
            </w:r>
            <w:r w:rsidRPr="005D4222">
              <w:rPr>
                <w:rFonts w:eastAsia="Arial,Arial,Arial,Arial,Arial,A"/>
                <w:b/>
              </w:rPr>
              <w:br/>
            </w:r>
            <w:r w:rsidRPr="005D4222">
              <w:rPr>
                <w:shd w:val="clear" w:color="auto" w:fill="FFFFFF"/>
              </w:rPr>
              <w:t>Death in the measurement period, identified using data sources determined by the organization. Method and data sources are subject to review during the HEDIS audit.</w:t>
            </w:r>
            <w:r w:rsidRPr="005D4222">
              <w:rPr>
                <w:rStyle w:val="eop"/>
                <w:rFonts w:eastAsiaTheme="majorEastAsia"/>
                <w:color w:val="000000"/>
                <w:shd w:val="clear" w:color="auto" w:fill="FFFFFF"/>
              </w:rPr>
              <w:t> </w:t>
            </w:r>
          </w:p>
          <w:p w14:paraId="40695134" w14:textId="77777777" w:rsidR="00084A86" w:rsidRPr="005D4222" w:rsidRDefault="00084A86">
            <w:pPr>
              <w:pStyle w:val="ECDSBody"/>
              <w:rPr>
                <w:rFonts w:eastAsia="Arial,Arial,Arial,Arial,Arial,A"/>
              </w:rPr>
            </w:pPr>
            <w:r w:rsidRPr="005D4222" w:rsidDel="00A91419">
              <w:rPr>
                <w:rFonts w:eastAsia="Arial,Arial,Arial,Arial,Arial,A"/>
                <w:b/>
              </w:rPr>
              <w:t xml:space="preserve">Persons </w:t>
            </w:r>
            <w:r w:rsidRPr="005D4222">
              <w:rPr>
                <w:rFonts w:eastAsia="Arial,Arial,Arial,Arial,Arial,A"/>
                <w:b/>
              </w:rPr>
              <w:t>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22B1A4F0" w14:textId="18A00017" w:rsidR="00084A86" w:rsidRPr="005D4222" w:rsidRDefault="00084A86" w:rsidP="00636E95">
            <w:pPr>
              <w:pStyle w:val="ECDSBody"/>
              <w:rPr>
                <w:rFonts w:eastAsia="Arial,Arial,Arial,Arial,Arial,A"/>
                <w:kern w:val="24"/>
                <w14:ligatures w14:val="standardContextual"/>
              </w:rPr>
            </w:pPr>
            <w:r w:rsidRPr="005D4222" w:rsidDel="00AA4A01">
              <w:rPr>
                <w:b/>
              </w:rPr>
              <w:t xml:space="preserve">Persons </w:t>
            </w:r>
            <w:r w:rsidRPr="005D4222">
              <w:rPr>
                <w:b/>
              </w:rPr>
              <w:t>receiving palliative care.</w:t>
            </w:r>
            <w:r w:rsidRPr="005D4222">
              <w:rPr>
                <w:b/>
              </w:rPr>
              <w:br/>
            </w:r>
            <w:r w:rsidRPr="005D4222">
              <w:t>Persons receiving palliative care (</w:t>
            </w:r>
            <w:r w:rsidRPr="005D4222">
              <w:rPr>
                <w:u w:val="single"/>
              </w:rPr>
              <w:t>Palliative Care Assessment Value Set</w:t>
            </w:r>
            <w:r w:rsidRPr="005D4222">
              <w:t xml:space="preserve">; </w:t>
            </w:r>
            <w:r w:rsidRPr="005D4222">
              <w:rPr>
                <w:u w:val="single"/>
              </w:rPr>
              <w:t>Palliative Care Encounter Value Set</w:t>
            </w:r>
            <w:r w:rsidRPr="005D4222">
              <w:t xml:space="preserve">; </w:t>
            </w:r>
            <w:r w:rsidRPr="005D4222">
              <w:rPr>
                <w:u w:val="single"/>
              </w:rPr>
              <w:t>Palliative Care Intervention Value Set</w:t>
            </w:r>
            <w:r w:rsidRPr="005D4222">
              <w:t xml:space="preserve">) or who had an encounter for palliative care (ICD-10-CM code Z51.5*) any time during the measurement period. </w:t>
            </w:r>
          </w:p>
        </w:tc>
      </w:tr>
    </w:tbl>
    <w:p w14:paraId="5DC4C6A5" w14:textId="77777777" w:rsidR="00636E95" w:rsidRPr="005D4222" w:rsidRDefault="00636E95"/>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636E95" w:rsidRPr="005D4222" w14:paraId="362AF0C3" w14:textId="77777777">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15CFE1E" w14:textId="77777777" w:rsidR="00636E95" w:rsidRPr="005D4222" w:rsidRDefault="00636E95">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693D855C" w14:textId="77777777" w:rsidR="00636E95" w:rsidRPr="005D4222" w:rsidRDefault="00636E95" w:rsidP="00636E95">
            <w:pPr>
              <w:pStyle w:val="ECDSBody"/>
            </w:pPr>
            <w:r w:rsidRPr="005D4222">
              <w:rPr>
                <w:rFonts w:eastAsia="Arial,Arial,Arial,Arial,Arial,A"/>
                <w:b/>
              </w:rPr>
              <w:t>Persons with a diagnosis of a seizure disorder, rapid eye movement sleep behavior disorder, or who experienced benzodiazepine or ethanol withdrawal.</w:t>
            </w:r>
            <w:r w:rsidRPr="005D4222">
              <w:rPr>
                <w:rFonts w:eastAsia="Arial,Arial,Arial,Arial,Arial,A"/>
                <w:b/>
              </w:rPr>
              <w:br/>
            </w:r>
            <w:r w:rsidRPr="005D4222">
              <w:t>Seizure disorders (</w:t>
            </w:r>
            <w:r w:rsidRPr="005D4222">
              <w:rPr>
                <w:u w:val="single"/>
              </w:rPr>
              <w:t>Seizure Disorders Value Set</w:t>
            </w:r>
            <w:r w:rsidRPr="005D4222">
              <w:t>*);</w:t>
            </w:r>
            <w:r w:rsidRPr="005D4222">
              <w:rPr>
                <w:rFonts w:eastAsiaTheme="minorEastAsia"/>
              </w:rPr>
              <w:t xml:space="preserve"> </w:t>
            </w:r>
            <w:r w:rsidRPr="005D4222">
              <w:t>rapid eye movement sleep behavior disorder (</w:t>
            </w:r>
            <w:r w:rsidRPr="005D4222">
              <w:rPr>
                <w:u w:val="single"/>
              </w:rPr>
              <w:t>REM Sleep Behavior Disorder Value Set</w:t>
            </w:r>
            <w:r w:rsidRPr="005D4222">
              <w:t>*); benzodiazepine withdrawal (</w:t>
            </w:r>
            <w:r w:rsidRPr="005D4222">
              <w:rPr>
                <w:u w:val="single"/>
              </w:rPr>
              <w:t>Benzodiazepine Withdrawal Value Set</w:t>
            </w:r>
            <w:r w:rsidRPr="005D4222">
              <w:t>*); or ethanol withdrawal (</w:t>
            </w:r>
            <w:r w:rsidRPr="005D4222">
              <w:rPr>
                <w:u w:val="single"/>
              </w:rPr>
              <w:t>Alcohol Withdrawal Value Set</w:t>
            </w:r>
            <w:r w:rsidRPr="005D4222">
              <w:t>*)</w:t>
            </w:r>
            <w:r w:rsidRPr="005D4222" w:rsidDel="00416E01">
              <w:t xml:space="preserve"> </w:t>
            </w:r>
            <w:r w:rsidRPr="005D4222">
              <w:t>on or between January 1 of the year prior to the measurement period and the ITE start date.</w:t>
            </w:r>
          </w:p>
          <w:p w14:paraId="78320F9B" w14:textId="77777777" w:rsidR="00636E95" w:rsidRPr="005D4222" w:rsidRDefault="00636E95" w:rsidP="00636E95">
            <w:pPr>
              <w:pStyle w:val="ECDSBody"/>
              <w:spacing w:after="0"/>
              <w:rPr>
                <w:rFonts w:eastAsiaTheme="majorEastAsia"/>
                <w:b/>
                <w:bCs w:val="0"/>
              </w:rPr>
            </w:pPr>
            <w:r w:rsidRPr="005D4222">
              <w:rPr>
                <w:rFonts w:eastAsiaTheme="majorEastAsia"/>
                <w:b/>
                <w:bCs w:val="0"/>
              </w:rPr>
              <w:t>Coding Guidance</w:t>
            </w:r>
          </w:p>
          <w:p w14:paraId="678D6364" w14:textId="338DB0CF" w:rsidR="00636E95" w:rsidRPr="005D4222" w:rsidRDefault="00636E95" w:rsidP="00636E95">
            <w:pPr>
              <w:pStyle w:val="ECDSBody"/>
              <w:spacing w:before="0"/>
              <w:rPr>
                <w:rFonts w:eastAsia="Arial,Arial,Arial,Arial,Arial,A"/>
                <w:b/>
              </w:rPr>
            </w:pPr>
            <w:r w:rsidRPr="005D4222">
              <w:rPr>
                <w:rFonts w:eastAsia="Arial,Arial,Arial,Arial,Arial,A"/>
              </w:rPr>
              <w:t>*Do not include laboratory claims (claims with POS code 81).</w:t>
            </w:r>
          </w:p>
        </w:tc>
      </w:tr>
      <w:tr w:rsidR="00084A86" w:rsidRPr="005D4222" w14:paraId="1180A8BE" w14:textId="77777777">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5B4A4E2" w14:textId="77777777" w:rsidR="00084A86" w:rsidRPr="005D4222" w:rsidRDefault="00084A86">
            <w:pPr>
              <w:pStyle w:val="ECDSMarginHead"/>
            </w:pPr>
            <w:r w:rsidRPr="005D4222">
              <w:t>Denominator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E2661BF" w14:textId="77777777" w:rsidR="00084A86" w:rsidRPr="005D4222" w:rsidRDefault="00084A86">
            <w:pPr>
              <w:pStyle w:val="ECDSBody"/>
              <w:rPr>
                <w:b/>
                <w:color w:val="000000" w:themeColor="text1"/>
                <w:szCs w:val="21"/>
              </w:rPr>
            </w:pPr>
            <w:r w:rsidRPr="005D4222">
              <w:rPr>
                <w:rFonts w:eastAsia="Arial,Arial,Arial,Arial,Arial,A"/>
              </w:rPr>
              <w:t>The initial population minus denominator exclusions.</w:t>
            </w:r>
          </w:p>
        </w:tc>
      </w:tr>
      <w:tr w:rsidR="00084A86" w:rsidRPr="005D4222" w14:paraId="7AAD58F1"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FD63806" w14:textId="77777777" w:rsidR="00084A86" w:rsidRPr="005D4222" w:rsidRDefault="00084A86">
            <w:pPr>
              <w:pStyle w:val="ECDSMarginHead"/>
            </w:pPr>
            <w:r w:rsidRPr="005D4222">
              <w:t>Numerator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282FFE18" w14:textId="588B1FEB" w:rsidR="00084A86" w:rsidRPr="005D4222" w:rsidRDefault="00084A86">
            <w:pPr>
              <w:pStyle w:val="ECDSBody"/>
            </w:pPr>
            <w:r w:rsidRPr="005D4222">
              <w:rPr>
                <w:b/>
                <w:bCs w:val="0"/>
              </w:rPr>
              <w:t xml:space="preserve">Persons who achieved a ≥20% decrease or greater in DME daily benzodiazepine dosage. </w:t>
            </w:r>
          </w:p>
          <w:p w14:paraId="5433B63C" w14:textId="77777777" w:rsidR="00084A86" w:rsidRPr="005D4222" w:rsidRDefault="00084A86">
            <w:pPr>
              <w:pStyle w:val="ECDSBody"/>
            </w:pPr>
            <w:r w:rsidRPr="005D4222">
              <w:rPr>
                <w:b/>
                <w:bCs w:val="0"/>
              </w:rPr>
              <w:t>Step 1.</w:t>
            </w:r>
            <w:r w:rsidRPr="005D4222">
              <w:t xml:space="preserve"> Identify the average starting DME. </w:t>
            </w:r>
          </w:p>
          <w:p w14:paraId="5EE2FBA1" w14:textId="77777777" w:rsidR="00084A86" w:rsidRPr="005D4222" w:rsidRDefault="00084A86" w:rsidP="005D6173">
            <w:pPr>
              <w:pStyle w:val="Body"/>
              <w:numPr>
                <w:ilvl w:val="0"/>
                <w:numId w:val="88"/>
              </w:numPr>
              <w:spacing w:before="80" w:after="80"/>
              <w:ind w:left="648" w:hanging="288"/>
            </w:pPr>
            <w:r w:rsidRPr="005D4222">
              <w:t>Identify the ITE.</w:t>
            </w:r>
          </w:p>
          <w:p w14:paraId="44DC358A" w14:textId="77777777" w:rsidR="00084A86" w:rsidRPr="005D4222" w:rsidRDefault="00084A86" w:rsidP="005D6173">
            <w:pPr>
              <w:pStyle w:val="Body"/>
              <w:numPr>
                <w:ilvl w:val="0"/>
                <w:numId w:val="88"/>
              </w:numPr>
              <w:spacing w:before="80" w:after="80"/>
              <w:ind w:left="648" w:hanging="288"/>
            </w:pPr>
            <w:r w:rsidRPr="005D4222">
              <w:t>Calculate benzodiazepine dosage units during the ITE.</w:t>
            </w:r>
          </w:p>
          <w:p w14:paraId="4EFED81B" w14:textId="77777777" w:rsidR="00084A86" w:rsidRPr="005D4222" w:rsidRDefault="00084A86" w:rsidP="005D6173">
            <w:pPr>
              <w:pStyle w:val="Body"/>
              <w:numPr>
                <w:ilvl w:val="0"/>
                <w:numId w:val="88"/>
              </w:numPr>
              <w:spacing w:before="80" w:after="80"/>
              <w:ind w:left="648" w:hanging="288"/>
              <w:rPr>
                <w:rFonts w:cs="Arial"/>
                <w:color w:val="000000" w:themeColor="text1"/>
                <w:szCs w:val="21"/>
              </w:rPr>
            </w:pPr>
            <w:r w:rsidRPr="005D4222">
              <w:t>Calculate average starting DME daily dose.</w:t>
            </w:r>
          </w:p>
          <w:p w14:paraId="21B57002" w14:textId="77777777" w:rsidR="00084A86" w:rsidRPr="005D4222" w:rsidRDefault="00084A86">
            <w:pPr>
              <w:pStyle w:val="ECDSBody"/>
            </w:pPr>
            <w:r w:rsidRPr="005D4222">
              <w:rPr>
                <w:b/>
              </w:rPr>
              <w:t xml:space="preserve">Step 2. </w:t>
            </w:r>
            <w:r w:rsidRPr="005D4222">
              <w:t>Identify the ending DME.</w:t>
            </w:r>
          </w:p>
          <w:p w14:paraId="4896BB4B" w14:textId="77777777" w:rsidR="00084A86" w:rsidRPr="005D4222" w:rsidRDefault="00084A86" w:rsidP="005D6173">
            <w:pPr>
              <w:pStyle w:val="Body"/>
              <w:numPr>
                <w:ilvl w:val="0"/>
                <w:numId w:val="89"/>
              </w:numPr>
              <w:spacing w:before="80" w:after="80"/>
              <w:ind w:left="648" w:hanging="288"/>
            </w:pPr>
            <w:r w:rsidRPr="005D4222">
              <w:t>Identify the final benzodiazepine dispensing event(s) during the treatment period.</w:t>
            </w:r>
          </w:p>
          <w:p w14:paraId="599BF96C" w14:textId="77777777" w:rsidR="00084A86" w:rsidRPr="005D4222" w:rsidRDefault="00084A86" w:rsidP="005D6173">
            <w:pPr>
              <w:pStyle w:val="Body"/>
              <w:numPr>
                <w:ilvl w:val="0"/>
                <w:numId w:val="89"/>
              </w:numPr>
              <w:spacing w:before="80" w:after="80"/>
              <w:ind w:left="648" w:hanging="288"/>
            </w:pPr>
            <w:r w:rsidRPr="005D4222">
              <w:t>Calculate benzodiazepine dosage units for the final dispensing event(s).</w:t>
            </w:r>
          </w:p>
          <w:p w14:paraId="4FBC8185" w14:textId="77777777" w:rsidR="00084A86" w:rsidRPr="005D4222" w:rsidRDefault="00084A86" w:rsidP="005D6173">
            <w:pPr>
              <w:pStyle w:val="Body"/>
              <w:numPr>
                <w:ilvl w:val="0"/>
                <w:numId w:val="89"/>
              </w:numPr>
              <w:spacing w:before="80" w:after="80"/>
              <w:ind w:left="648" w:hanging="288"/>
            </w:pPr>
            <w:r w:rsidRPr="005D4222">
              <w:t>Calculate ending DME daily dose.</w:t>
            </w:r>
          </w:p>
          <w:p w14:paraId="0DC1AAA1" w14:textId="77777777" w:rsidR="00084A86" w:rsidRPr="005D4222" w:rsidRDefault="00084A86">
            <w:pPr>
              <w:pStyle w:val="ECDSBody"/>
            </w:pPr>
            <w:r w:rsidRPr="005D4222">
              <w:rPr>
                <w:b/>
              </w:rPr>
              <w:t xml:space="preserve">Step 3. </w:t>
            </w:r>
            <w:r w:rsidRPr="005D4222">
              <w:t>Calculate the percentage change between the average starting DME and the ending DME.</w:t>
            </w:r>
          </w:p>
          <w:p w14:paraId="59BB97C3" w14:textId="77777777" w:rsidR="00084A86" w:rsidRPr="005D4222" w:rsidRDefault="00084A86">
            <w:pPr>
              <w:pStyle w:val="ECDSBody"/>
              <w:jc w:val="center"/>
            </w:pPr>
            <w:r w:rsidRPr="005D4222">
              <w:t>[(Average Starting DME – Ending DME) / Average Starting DME] x 100</w:t>
            </w:r>
          </w:p>
          <w:p w14:paraId="0CB9F34D" w14:textId="77777777" w:rsidR="00084A86" w:rsidRPr="005D4222" w:rsidRDefault="00084A86">
            <w:pPr>
              <w:pStyle w:val="ECDSBody"/>
            </w:pPr>
            <w:r w:rsidRPr="005D4222">
              <w:rPr>
                <w:b/>
              </w:rPr>
              <w:t>Step 4.</w:t>
            </w:r>
            <w:r w:rsidRPr="005D4222">
              <w:t xml:space="preserve"> Determine numerator compliance. The person is compliant if either of the following conditions are met:</w:t>
            </w:r>
          </w:p>
          <w:p w14:paraId="54B7942F" w14:textId="77777777" w:rsidR="00084A86" w:rsidRPr="005D4222" w:rsidRDefault="00084A86" w:rsidP="00084A86">
            <w:pPr>
              <w:pStyle w:val="Bullet"/>
              <w:numPr>
                <w:ilvl w:val="0"/>
                <w:numId w:val="4"/>
              </w:numPr>
              <w:tabs>
                <w:tab w:val="left" w:pos="360"/>
                <w:tab w:val="left" w:pos="576"/>
              </w:tabs>
              <w:ind w:left="576" w:hanging="216"/>
            </w:pPr>
            <w:r w:rsidRPr="005D4222">
              <w:t>The person’s percent reduction is ≥20%.</w:t>
            </w:r>
          </w:p>
          <w:p w14:paraId="21BCA64B" w14:textId="77777777" w:rsidR="00084A86" w:rsidRPr="005D4222" w:rsidRDefault="00084A86" w:rsidP="00084A86">
            <w:pPr>
              <w:pStyle w:val="Bullet"/>
              <w:numPr>
                <w:ilvl w:val="0"/>
                <w:numId w:val="4"/>
              </w:numPr>
              <w:tabs>
                <w:tab w:val="left" w:pos="360"/>
                <w:tab w:val="left" w:pos="576"/>
              </w:tabs>
              <w:ind w:left="576" w:hanging="216"/>
            </w:pPr>
            <w:r w:rsidRPr="005D4222">
              <w:t>The person achieves 100% discontinuation with an ending DME set to 0.</w:t>
            </w:r>
          </w:p>
          <w:p w14:paraId="5D444F34" w14:textId="77777777" w:rsidR="00084A86" w:rsidRPr="005D4222" w:rsidRDefault="00084A86">
            <w:pPr>
              <w:pStyle w:val="Heading3"/>
              <w:keepNext w:val="0"/>
              <w:widowControl w:val="0"/>
              <w:spacing w:before="120"/>
              <w:rPr>
                <w:szCs w:val="18"/>
              </w:rPr>
            </w:pPr>
            <w:r w:rsidRPr="005D4222">
              <w:rPr>
                <w:szCs w:val="18"/>
              </w:rPr>
              <w:t>Oral Benzodiazepine Medications</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83"/>
              <w:gridCol w:w="3331"/>
              <w:gridCol w:w="989"/>
              <w:gridCol w:w="1169"/>
            </w:tblGrid>
            <w:tr w:rsidR="00084A86" w:rsidRPr="005D4222" w14:paraId="263961B1" w14:textId="77777777" w:rsidTr="00E324FF">
              <w:trPr>
                <w:tblHeader/>
              </w:trPr>
              <w:tc>
                <w:tcPr>
                  <w:tcW w:w="1277" w:type="pct"/>
                  <w:tcBorders>
                    <w:bottom w:val="single" w:sz="4" w:space="0" w:color="auto"/>
                    <w:right w:val="single" w:sz="6" w:space="0" w:color="FFFFFF" w:themeColor="background1"/>
                  </w:tcBorders>
                  <w:shd w:val="clear" w:color="auto" w:fill="000000" w:themeFill="text1"/>
                  <w:tcMar>
                    <w:left w:w="58" w:type="dxa"/>
                    <w:right w:w="58" w:type="dxa"/>
                  </w:tcMar>
                  <w:vAlign w:val="bottom"/>
                </w:tcPr>
                <w:p w14:paraId="209F746E" w14:textId="77777777" w:rsidR="00084A86" w:rsidRPr="005D4222" w:rsidRDefault="00084A86">
                  <w:pPr>
                    <w:pStyle w:val="TableHead"/>
                  </w:pPr>
                  <w:r w:rsidRPr="005D4222">
                    <w:rPr>
                      <w:rFonts w:eastAsia="Arial Narrow,Times New Roman"/>
                    </w:rPr>
                    <w:t>Type of Benzodiazepine</w:t>
                  </w:r>
                </w:p>
              </w:tc>
              <w:tc>
                <w:tcPr>
                  <w:tcW w:w="2259" w:type="pct"/>
                  <w:tcBorders>
                    <w:left w:val="single" w:sz="6" w:space="0" w:color="FFFFFF" w:themeColor="background1"/>
                    <w:bottom w:val="single" w:sz="4" w:space="0" w:color="auto"/>
                    <w:right w:val="single" w:sz="6" w:space="0" w:color="FFFFFF" w:themeColor="background1"/>
                  </w:tcBorders>
                  <w:shd w:val="clear" w:color="auto" w:fill="000000" w:themeFill="text1"/>
                  <w:tcMar>
                    <w:left w:w="58" w:type="dxa"/>
                    <w:right w:w="58" w:type="dxa"/>
                  </w:tcMar>
                  <w:vAlign w:val="bottom"/>
                </w:tcPr>
                <w:p w14:paraId="20426113" w14:textId="77777777" w:rsidR="00084A86" w:rsidRPr="005D4222" w:rsidRDefault="00084A86">
                  <w:pPr>
                    <w:pStyle w:val="TableHead"/>
                    <w:rPr>
                      <w:rFonts w:eastAsia="Arial Narrow,Times New Roman"/>
                    </w:rPr>
                  </w:pPr>
                  <w:r w:rsidRPr="005D4222">
                    <w:rPr>
                      <w:rFonts w:eastAsia="Arial Narrow,Times New Roman"/>
                    </w:rPr>
                    <w:t>Medication Lists</w:t>
                  </w:r>
                </w:p>
              </w:tc>
              <w:tc>
                <w:tcPr>
                  <w:tcW w:w="671" w:type="pct"/>
                  <w:tcBorders>
                    <w:left w:val="single" w:sz="6" w:space="0" w:color="FFFFFF" w:themeColor="background1"/>
                    <w:bottom w:val="single" w:sz="4" w:space="0" w:color="auto"/>
                    <w:right w:val="single" w:sz="6" w:space="0" w:color="FFFFFF" w:themeColor="background1"/>
                  </w:tcBorders>
                  <w:shd w:val="clear" w:color="auto" w:fill="000000" w:themeFill="text1"/>
                  <w:tcMar>
                    <w:left w:w="58" w:type="dxa"/>
                    <w:right w:w="58" w:type="dxa"/>
                  </w:tcMar>
                  <w:vAlign w:val="bottom"/>
                </w:tcPr>
                <w:p w14:paraId="2D92E9D3" w14:textId="77777777" w:rsidR="00084A86" w:rsidRPr="005D4222" w:rsidRDefault="00084A86">
                  <w:pPr>
                    <w:pStyle w:val="TableHead"/>
                    <w:rPr>
                      <w:rFonts w:eastAsia="Arial Narrow,Times New Roman"/>
                    </w:rPr>
                  </w:pPr>
                  <w:r w:rsidRPr="005D4222">
                    <w:rPr>
                      <w:rFonts w:eastAsia="Arial Narrow,Times New Roman"/>
                    </w:rPr>
                    <w:t>Strength</w:t>
                  </w:r>
                </w:p>
              </w:tc>
              <w:tc>
                <w:tcPr>
                  <w:tcW w:w="793" w:type="pct"/>
                  <w:tcBorders>
                    <w:left w:val="single" w:sz="6" w:space="0" w:color="FFFFFF" w:themeColor="background1"/>
                    <w:bottom w:val="single" w:sz="4" w:space="0" w:color="auto"/>
                    <w:right w:val="single" w:sz="4" w:space="0" w:color="auto"/>
                  </w:tcBorders>
                  <w:shd w:val="clear" w:color="auto" w:fill="000000" w:themeFill="text1"/>
                  <w:tcMar>
                    <w:left w:w="58" w:type="dxa"/>
                    <w:right w:w="58" w:type="dxa"/>
                  </w:tcMar>
                  <w:vAlign w:val="bottom"/>
                </w:tcPr>
                <w:p w14:paraId="782107E9" w14:textId="77777777" w:rsidR="00084A86" w:rsidRPr="005D4222" w:rsidRDefault="00084A86">
                  <w:pPr>
                    <w:pStyle w:val="TableHead"/>
                  </w:pPr>
                  <w:r w:rsidRPr="005D4222">
                    <w:rPr>
                      <w:rFonts w:eastAsia="Arial Narrow,Times New Roman"/>
                    </w:rPr>
                    <w:t>DME Conversion Factor</w:t>
                  </w:r>
                </w:p>
              </w:tc>
            </w:tr>
            <w:tr w:rsidR="00084A86" w:rsidRPr="005D4222" w14:paraId="2C72729D" w14:textId="77777777" w:rsidTr="00E324FF">
              <w:tc>
                <w:tcPr>
                  <w:tcW w:w="1277" w:type="pct"/>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02659A72" w14:textId="77777777" w:rsidR="00084A86" w:rsidRPr="005D4222" w:rsidRDefault="00084A86">
                  <w:pPr>
                    <w:pStyle w:val="TableText"/>
                    <w:rPr>
                      <w:rFonts w:eastAsia="Arial Narrow,Times New Roman"/>
                      <w:szCs w:val="21"/>
                    </w:rPr>
                  </w:pPr>
                  <w:r w:rsidRPr="005D4222">
                    <w:rPr>
                      <w:szCs w:val="21"/>
                    </w:rPr>
                    <w:t>Alprazolam (oral)</w:t>
                  </w:r>
                </w:p>
              </w:tc>
              <w:tc>
                <w:tcPr>
                  <w:tcW w:w="2259" w:type="pct"/>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0EE2C469" w14:textId="77777777" w:rsidR="00084A86" w:rsidRPr="005D4222" w:rsidRDefault="00084A86">
                  <w:pPr>
                    <w:pStyle w:val="TableText"/>
                    <w:rPr>
                      <w:szCs w:val="21"/>
                      <w:u w:val="single"/>
                    </w:rPr>
                  </w:pPr>
                  <w:r w:rsidRPr="005D4222">
                    <w:rPr>
                      <w:szCs w:val="21"/>
                      <w:u w:val="single"/>
                    </w:rPr>
                    <w:t>Alprazolam 0.25 MG Medications List</w:t>
                  </w:r>
                </w:p>
                <w:p w14:paraId="2C959E14" w14:textId="77777777" w:rsidR="00084A86" w:rsidRPr="005D4222" w:rsidRDefault="00084A86">
                  <w:pPr>
                    <w:pStyle w:val="TableText"/>
                    <w:rPr>
                      <w:szCs w:val="21"/>
                      <w:u w:val="single"/>
                    </w:rPr>
                  </w:pPr>
                  <w:r w:rsidRPr="005D4222">
                    <w:rPr>
                      <w:szCs w:val="21"/>
                      <w:u w:val="single"/>
                    </w:rPr>
                    <w:t>Alprazolam 0.5 MG Medications List</w:t>
                  </w:r>
                </w:p>
                <w:p w14:paraId="02DE3D03" w14:textId="77777777" w:rsidR="00084A86" w:rsidRPr="005D4222" w:rsidRDefault="00084A86">
                  <w:pPr>
                    <w:pStyle w:val="TableText"/>
                    <w:rPr>
                      <w:szCs w:val="21"/>
                      <w:u w:val="single"/>
                    </w:rPr>
                  </w:pPr>
                  <w:r w:rsidRPr="005D4222">
                    <w:rPr>
                      <w:szCs w:val="21"/>
                      <w:u w:val="single"/>
                    </w:rPr>
                    <w:t>Alprazolam 1 MG Medications List</w:t>
                  </w:r>
                </w:p>
                <w:p w14:paraId="22D7441B" w14:textId="77777777" w:rsidR="00084A86" w:rsidRPr="005D4222" w:rsidRDefault="00084A86">
                  <w:pPr>
                    <w:pStyle w:val="TableText"/>
                    <w:rPr>
                      <w:szCs w:val="21"/>
                      <w:u w:val="single"/>
                    </w:rPr>
                  </w:pPr>
                  <w:r w:rsidRPr="005D4222">
                    <w:rPr>
                      <w:szCs w:val="21"/>
                      <w:u w:val="single"/>
                    </w:rPr>
                    <w:t>Alprazolam 1 MGPML Medications List</w:t>
                  </w:r>
                </w:p>
                <w:p w14:paraId="375C7323" w14:textId="77777777" w:rsidR="00084A86" w:rsidRPr="005D4222" w:rsidRDefault="00084A86">
                  <w:pPr>
                    <w:pStyle w:val="TableText"/>
                    <w:rPr>
                      <w:szCs w:val="21"/>
                      <w:u w:val="single"/>
                    </w:rPr>
                  </w:pPr>
                  <w:r w:rsidRPr="005D4222">
                    <w:rPr>
                      <w:szCs w:val="21"/>
                      <w:u w:val="single"/>
                    </w:rPr>
                    <w:t>Alprazolam 2 MG Medications List</w:t>
                  </w:r>
                </w:p>
                <w:p w14:paraId="70B9E073" w14:textId="77777777" w:rsidR="00084A86" w:rsidRPr="005D4222" w:rsidRDefault="00084A86">
                  <w:pPr>
                    <w:pStyle w:val="TableText"/>
                    <w:rPr>
                      <w:szCs w:val="21"/>
                    </w:rPr>
                  </w:pPr>
                  <w:r w:rsidRPr="005D4222">
                    <w:rPr>
                      <w:szCs w:val="21"/>
                      <w:u w:val="single"/>
                    </w:rPr>
                    <w:t>Alprazolam 3 MG Medications List</w:t>
                  </w:r>
                </w:p>
              </w:tc>
              <w:tc>
                <w:tcPr>
                  <w:tcW w:w="671" w:type="pct"/>
                  <w:tcBorders>
                    <w:top w:val="single" w:sz="4" w:space="0" w:color="auto"/>
                    <w:left w:val="single" w:sz="4" w:space="0" w:color="auto"/>
                    <w:bottom w:val="single" w:sz="4" w:space="0" w:color="auto"/>
                    <w:right w:val="single" w:sz="4" w:space="0" w:color="auto"/>
                  </w:tcBorders>
                  <w:tcMar>
                    <w:left w:w="58" w:type="dxa"/>
                    <w:right w:w="58" w:type="dxa"/>
                  </w:tcMar>
                </w:tcPr>
                <w:p w14:paraId="25E49AB5" w14:textId="77777777" w:rsidR="00084A86" w:rsidRPr="005D4222" w:rsidRDefault="00084A86">
                  <w:pPr>
                    <w:pStyle w:val="TableText"/>
                    <w:rPr>
                      <w:rFonts w:eastAsia="Arial Narrow,Times New Roman" w:cs="Calibri"/>
                      <w:color w:val="000000"/>
                      <w:shd w:val="clear" w:color="auto" w:fill="FFFFFF"/>
                    </w:rPr>
                  </w:pPr>
                  <w:r w:rsidRPr="005D4222">
                    <w:rPr>
                      <w:rFonts w:eastAsia="Arial Narrow,Times New Roman" w:cs="Calibri"/>
                      <w:color w:val="000000"/>
                      <w:shd w:val="clear" w:color="auto" w:fill="FFFFFF"/>
                    </w:rPr>
                    <w:t>0.25 mg</w:t>
                  </w:r>
                </w:p>
                <w:p w14:paraId="4E0FE034" w14:textId="77777777" w:rsidR="00084A86" w:rsidRPr="005D4222" w:rsidRDefault="00084A86">
                  <w:pPr>
                    <w:pStyle w:val="TableText"/>
                    <w:rPr>
                      <w:rFonts w:eastAsia="Arial Narrow,Times New Roman" w:cs="Calibri"/>
                      <w:color w:val="000000"/>
                      <w:shd w:val="clear" w:color="auto" w:fill="FFFFFF"/>
                    </w:rPr>
                  </w:pPr>
                  <w:r w:rsidRPr="005D4222">
                    <w:rPr>
                      <w:rFonts w:eastAsia="Arial Narrow,Times New Roman" w:cs="Calibri"/>
                      <w:color w:val="000000"/>
                      <w:shd w:val="clear" w:color="auto" w:fill="FFFFFF"/>
                    </w:rPr>
                    <w:t>0.5 mg</w:t>
                  </w:r>
                </w:p>
                <w:p w14:paraId="52190B8C" w14:textId="77777777" w:rsidR="00084A86" w:rsidRPr="005D4222" w:rsidRDefault="00084A86">
                  <w:pPr>
                    <w:pStyle w:val="TableText"/>
                    <w:rPr>
                      <w:rFonts w:eastAsia="Arial Narrow,Times New Roman" w:cs="Calibri"/>
                      <w:color w:val="000000"/>
                      <w:shd w:val="clear" w:color="auto" w:fill="FFFFFF"/>
                    </w:rPr>
                  </w:pPr>
                  <w:r w:rsidRPr="005D4222">
                    <w:rPr>
                      <w:rFonts w:eastAsia="Arial Narrow,Times New Roman" w:cs="Calibri"/>
                      <w:color w:val="000000"/>
                      <w:shd w:val="clear" w:color="auto" w:fill="FFFFFF"/>
                    </w:rPr>
                    <w:t>1 mg</w:t>
                  </w:r>
                </w:p>
                <w:p w14:paraId="25DCDFD7" w14:textId="77777777" w:rsidR="00084A86" w:rsidRPr="005D4222" w:rsidRDefault="00084A86">
                  <w:pPr>
                    <w:pStyle w:val="TableText"/>
                    <w:rPr>
                      <w:rFonts w:eastAsia="Arial Narrow,Times New Roman" w:cs="Calibri"/>
                      <w:color w:val="000000"/>
                      <w:shd w:val="clear" w:color="auto" w:fill="FFFFFF"/>
                    </w:rPr>
                  </w:pPr>
                  <w:r w:rsidRPr="005D4222">
                    <w:rPr>
                      <w:rFonts w:eastAsia="Arial Narrow,Times New Roman" w:cs="Calibri"/>
                      <w:color w:val="000000"/>
                      <w:shd w:val="clear" w:color="auto" w:fill="FFFFFF"/>
                    </w:rPr>
                    <w:t>1 mg</w:t>
                  </w:r>
                </w:p>
                <w:p w14:paraId="2583F6C0" w14:textId="77777777" w:rsidR="00084A86" w:rsidRPr="005D4222" w:rsidRDefault="00084A86">
                  <w:pPr>
                    <w:pStyle w:val="TableText"/>
                    <w:rPr>
                      <w:rFonts w:eastAsia="Arial Narrow,Times New Roman" w:cs="Calibri"/>
                      <w:color w:val="000000"/>
                      <w:shd w:val="clear" w:color="auto" w:fill="FFFFFF"/>
                    </w:rPr>
                  </w:pPr>
                  <w:r w:rsidRPr="005D4222">
                    <w:rPr>
                      <w:rFonts w:eastAsia="Arial Narrow,Times New Roman" w:cs="Calibri"/>
                      <w:color w:val="000000"/>
                      <w:shd w:val="clear" w:color="auto" w:fill="FFFFFF"/>
                    </w:rPr>
                    <w:t>2 mg</w:t>
                  </w:r>
                </w:p>
                <w:p w14:paraId="529DEDB4" w14:textId="77777777" w:rsidR="00084A86" w:rsidRPr="005D4222" w:rsidRDefault="00084A86">
                  <w:pPr>
                    <w:pStyle w:val="TableText"/>
                    <w:rPr>
                      <w:rFonts w:eastAsia="Arial Narrow,Times New Roman" w:cs="Calibri"/>
                      <w:color w:val="000000"/>
                      <w:shd w:val="clear" w:color="auto" w:fill="FFFFFF"/>
                    </w:rPr>
                  </w:pPr>
                  <w:r w:rsidRPr="005D4222">
                    <w:rPr>
                      <w:rFonts w:eastAsia="Arial Narrow,Times New Roman" w:cs="Calibri"/>
                      <w:color w:val="000000"/>
                      <w:shd w:val="clear" w:color="auto" w:fill="FFFFFF"/>
                    </w:rPr>
                    <w:t>3 mg</w:t>
                  </w:r>
                </w:p>
              </w:tc>
              <w:tc>
                <w:tcPr>
                  <w:tcW w:w="793" w:type="pct"/>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0FB4F6F3" w14:textId="77777777" w:rsidR="00084A86" w:rsidRPr="005D4222" w:rsidRDefault="00084A86">
                  <w:pPr>
                    <w:pStyle w:val="TableText"/>
                    <w:jc w:val="center"/>
                    <w:rPr>
                      <w:rFonts w:eastAsia="Arial Narrow,Times New Roman"/>
                      <w:szCs w:val="21"/>
                    </w:rPr>
                  </w:pPr>
                  <w:r w:rsidRPr="005D4222">
                    <w:rPr>
                      <w:rFonts w:eastAsia="Arial Narrow,Times New Roman"/>
                      <w:szCs w:val="21"/>
                    </w:rPr>
                    <w:t>0.1</w:t>
                  </w:r>
                </w:p>
              </w:tc>
            </w:tr>
            <w:tr w:rsidR="00C37C4B" w:rsidRPr="005D4222" w14:paraId="5F706600" w14:textId="77777777" w:rsidTr="00E324FF">
              <w:tc>
                <w:tcPr>
                  <w:tcW w:w="1277" w:type="pct"/>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7A61CF7A" w14:textId="567035C0" w:rsidR="00C37C4B" w:rsidRPr="005D4222" w:rsidRDefault="00C37C4B" w:rsidP="00C37C4B">
                  <w:pPr>
                    <w:pStyle w:val="TableText"/>
                    <w:rPr>
                      <w:szCs w:val="21"/>
                    </w:rPr>
                  </w:pPr>
                  <w:r w:rsidRPr="005D4222">
                    <w:rPr>
                      <w:szCs w:val="21"/>
                    </w:rPr>
                    <w:t>Chlordiazepoxide (oral)</w:t>
                  </w:r>
                </w:p>
              </w:tc>
              <w:tc>
                <w:tcPr>
                  <w:tcW w:w="2259" w:type="pct"/>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29CAF280" w14:textId="77777777" w:rsidR="00C37C4B" w:rsidRPr="005D4222" w:rsidRDefault="00C37C4B" w:rsidP="00C37C4B">
                  <w:pPr>
                    <w:pStyle w:val="TableText"/>
                    <w:rPr>
                      <w:rFonts w:eastAsia="Arial Narrow,Times New Roman"/>
                      <w:szCs w:val="21"/>
                      <w:u w:val="single"/>
                    </w:rPr>
                  </w:pPr>
                  <w:r w:rsidRPr="005D4222">
                    <w:rPr>
                      <w:rFonts w:eastAsia="Arial Narrow,Times New Roman"/>
                      <w:szCs w:val="21"/>
                      <w:u w:val="single"/>
                    </w:rPr>
                    <w:t>Chlordiazepoxide 5 MG Medications List</w:t>
                  </w:r>
                </w:p>
                <w:p w14:paraId="69C5D39E" w14:textId="77777777" w:rsidR="00C37C4B" w:rsidRPr="005D4222" w:rsidRDefault="00C37C4B" w:rsidP="00C37C4B">
                  <w:pPr>
                    <w:pStyle w:val="TableText"/>
                    <w:rPr>
                      <w:rFonts w:eastAsia="Arial Narrow,Times New Roman"/>
                      <w:szCs w:val="21"/>
                      <w:u w:val="single"/>
                    </w:rPr>
                  </w:pPr>
                  <w:r w:rsidRPr="005D4222">
                    <w:rPr>
                      <w:rFonts w:eastAsia="Arial Narrow,Times New Roman"/>
                      <w:szCs w:val="21"/>
                      <w:u w:val="single"/>
                    </w:rPr>
                    <w:t>Chlordiazepoxide 10 MG Medications List</w:t>
                  </w:r>
                </w:p>
                <w:p w14:paraId="15617E13" w14:textId="65543A4D" w:rsidR="00C37C4B" w:rsidRPr="005D4222" w:rsidRDefault="00C37C4B" w:rsidP="00C37C4B">
                  <w:pPr>
                    <w:pStyle w:val="TableText"/>
                    <w:rPr>
                      <w:szCs w:val="21"/>
                      <w:u w:val="single"/>
                    </w:rPr>
                  </w:pPr>
                  <w:r w:rsidRPr="005D4222">
                    <w:rPr>
                      <w:rFonts w:eastAsia="Arial Narrow,Times New Roman"/>
                      <w:szCs w:val="21"/>
                      <w:u w:val="single"/>
                    </w:rPr>
                    <w:t>Chlordiazepoxide 25 MG Medications List</w:t>
                  </w:r>
                </w:p>
              </w:tc>
              <w:tc>
                <w:tcPr>
                  <w:tcW w:w="671" w:type="pct"/>
                  <w:tcBorders>
                    <w:top w:val="single" w:sz="4" w:space="0" w:color="auto"/>
                    <w:left w:val="single" w:sz="4" w:space="0" w:color="auto"/>
                    <w:bottom w:val="single" w:sz="4" w:space="0" w:color="auto"/>
                    <w:right w:val="single" w:sz="4" w:space="0" w:color="auto"/>
                  </w:tcBorders>
                  <w:tcMar>
                    <w:left w:w="58" w:type="dxa"/>
                    <w:right w:w="58" w:type="dxa"/>
                  </w:tcMar>
                </w:tcPr>
                <w:p w14:paraId="6B4D7702" w14:textId="77777777" w:rsidR="00C37C4B" w:rsidRPr="005D4222" w:rsidRDefault="00C37C4B" w:rsidP="00C37C4B">
                  <w:pPr>
                    <w:pStyle w:val="TableText"/>
                    <w:rPr>
                      <w:rFonts w:eastAsia="Arial Narrow,Times New Roman"/>
                      <w:szCs w:val="21"/>
                    </w:rPr>
                  </w:pPr>
                  <w:r w:rsidRPr="005D4222">
                    <w:rPr>
                      <w:rFonts w:eastAsia="Arial Narrow,Times New Roman"/>
                      <w:szCs w:val="21"/>
                    </w:rPr>
                    <w:t>5 mg</w:t>
                  </w:r>
                </w:p>
                <w:p w14:paraId="15DB7C2B" w14:textId="77777777" w:rsidR="00C37C4B" w:rsidRPr="005D4222" w:rsidRDefault="00C37C4B" w:rsidP="00C37C4B">
                  <w:pPr>
                    <w:pStyle w:val="TableText"/>
                    <w:rPr>
                      <w:rFonts w:eastAsia="Arial Narrow,Times New Roman"/>
                      <w:szCs w:val="21"/>
                    </w:rPr>
                  </w:pPr>
                  <w:r w:rsidRPr="005D4222">
                    <w:rPr>
                      <w:rFonts w:eastAsia="Arial Narrow,Times New Roman"/>
                      <w:szCs w:val="21"/>
                    </w:rPr>
                    <w:t>10 mg</w:t>
                  </w:r>
                </w:p>
                <w:p w14:paraId="582E5107" w14:textId="20373B97" w:rsidR="00C37C4B" w:rsidRPr="005D4222" w:rsidRDefault="00C37C4B" w:rsidP="00C37C4B">
                  <w:pPr>
                    <w:pStyle w:val="TableText"/>
                    <w:rPr>
                      <w:rFonts w:eastAsia="Arial Narrow,Times New Roman" w:cs="Calibri"/>
                      <w:color w:val="000000"/>
                      <w:shd w:val="clear" w:color="auto" w:fill="FFFFFF"/>
                    </w:rPr>
                  </w:pPr>
                  <w:r w:rsidRPr="005D4222">
                    <w:rPr>
                      <w:rFonts w:eastAsia="Arial Narrow,Times New Roman"/>
                      <w:szCs w:val="21"/>
                    </w:rPr>
                    <w:t>25 mg</w:t>
                  </w:r>
                </w:p>
              </w:tc>
              <w:tc>
                <w:tcPr>
                  <w:tcW w:w="793" w:type="pct"/>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03E7673E" w14:textId="01F5CBA7" w:rsidR="00C37C4B" w:rsidRPr="005D4222" w:rsidRDefault="00C37C4B" w:rsidP="00C37C4B">
                  <w:pPr>
                    <w:pStyle w:val="TableText"/>
                    <w:jc w:val="center"/>
                    <w:rPr>
                      <w:rFonts w:eastAsia="Arial Narrow,Times New Roman"/>
                      <w:szCs w:val="21"/>
                    </w:rPr>
                  </w:pPr>
                  <w:r w:rsidRPr="005D4222">
                    <w:rPr>
                      <w:szCs w:val="21"/>
                    </w:rPr>
                    <w:t>2.5</w:t>
                  </w:r>
                </w:p>
              </w:tc>
            </w:tr>
          </w:tbl>
          <w:p w14:paraId="62BCA907" w14:textId="77777777" w:rsidR="00084A86" w:rsidRPr="005D4222" w:rsidRDefault="00084A86">
            <w:pPr>
              <w:pStyle w:val="ECDSBody"/>
              <w:rPr>
                <w:b/>
                <w:bCs w:val="0"/>
              </w:rPr>
            </w:pPr>
          </w:p>
        </w:tc>
      </w:tr>
      <w:tr w:rsidR="002A13AB" w:rsidRPr="005D4222" w14:paraId="2A5000BD"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4BF24DF" w14:textId="77777777" w:rsidR="002A13AB" w:rsidRPr="005D4222" w:rsidRDefault="002A13AB">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9CCACAD" w14:textId="77777777" w:rsidR="00D510E7" w:rsidRPr="005D4222" w:rsidRDefault="00D510E7" w:rsidP="00D510E7">
            <w:pPr>
              <w:rPr>
                <w:sz w:val="10"/>
                <w:szCs w:val="10"/>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83"/>
              <w:gridCol w:w="3421"/>
              <w:gridCol w:w="899"/>
              <w:gridCol w:w="1169"/>
            </w:tblGrid>
            <w:tr w:rsidR="00D510E7" w:rsidRPr="005D4222" w14:paraId="43920D48" w14:textId="77777777">
              <w:trPr>
                <w:tblHeader/>
              </w:trPr>
              <w:tc>
                <w:tcPr>
                  <w:tcW w:w="1277" w:type="pct"/>
                  <w:tcBorders>
                    <w:bottom w:val="single" w:sz="4" w:space="0" w:color="auto"/>
                    <w:right w:val="single" w:sz="6" w:space="0" w:color="FFFFFF" w:themeColor="background1"/>
                  </w:tcBorders>
                  <w:shd w:val="clear" w:color="auto" w:fill="000000" w:themeFill="text1"/>
                  <w:tcMar>
                    <w:left w:w="58" w:type="dxa"/>
                    <w:right w:w="58" w:type="dxa"/>
                  </w:tcMar>
                  <w:vAlign w:val="bottom"/>
                </w:tcPr>
                <w:p w14:paraId="0C092E29" w14:textId="77777777" w:rsidR="00D510E7" w:rsidRPr="005D4222" w:rsidRDefault="00D510E7" w:rsidP="00D510E7">
                  <w:pPr>
                    <w:pStyle w:val="TableHead"/>
                  </w:pPr>
                  <w:r w:rsidRPr="005D4222">
                    <w:rPr>
                      <w:rFonts w:eastAsia="Arial Narrow,Times New Roman"/>
                    </w:rPr>
                    <w:t>Type of Benzodiazepine</w:t>
                  </w:r>
                </w:p>
              </w:tc>
              <w:tc>
                <w:tcPr>
                  <w:tcW w:w="2320" w:type="pct"/>
                  <w:tcBorders>
                    <w:left w:val="single" w:sz="6" w:space="0" w:color="FFFFFF" w:themeColor="background1"/>
                    <w:bottom w:val="single" w:sz="4" w:space="0" w:color="auto"/>
                    <w:right w:val="single" w:sz="6" w:space="0" w:color="FFFFFF" w:themeColor="background1"/>
                  </w:tcBorders>
                  <w:shd w:val="clear" w:color="auto" w:fill="000000" w:themeFill="text1"/>
                  <w:tcMar>
                    <w:left w:w="58" w:type="dxa"/>
                    <w:right w:w="58" w:type="dxa"/>
                  </w:tcMar>
                  <w:vAlign w:val="bottom"/>
                </w:tcPr>
                <w:p w14:paraId="573C8F0B" w14:textId="77777777" w:rsidR="00D510E7" w:rsidRPr="005D4222" w:rsidRDefault="00D510E7" w:rsidP="00D510E7">
                  <w:pPr>
                    <w:pStyle w:val="TableHead"/>
                    <w:rPr>
                      <w:rFonts w:eastAsia="Arial Narrow,Times New Roman"/>
                    </w:rPr>
                  </w:pPr>
                  <w:r w:rsidRPr="005D4222">
                    <w:rPr>
                      <w:rFonts w:eastAsia="Arial Narrow,Times New Roman"/>
                    </w:rPr>
                    <w:t>Medication Lists</w:t>
                  </w:r>
                </w:p>
              </w:tc>
              <w:tc>
                <w:tcPr>
                  <w:tcW w:w="610" w:type="pct"/>
                  <w:tcBorders>
                    <w:left w:val="single" w:sz="6" w:space="0" w:color="FFFFFF" w:themeColor="background1"/>
                    <w:bottom w:val="single" w:sz="4" w:space="0" w:color="auto"/>
                    <w:right w:val="single" w:sz="6" w:space="0" w:color="FFFFFF" w:themeColor="background1"/>
                  </w:tcBorders>
                  <w:shd w:val="clear" w:color="auto" w:fill="000000" w:themeFill="text1"/>
                  <w:tcMar>
                    <w:left w:w="58" w:type="dxa"/>
                    <w:right w:w="58" w:type="dxa"/>
                  </w:tcMar>
                  <w:vAlign w:val="bottom"/>
                </w:tcPr>
                <w:p w14:paraId="49488305" w14:textId="77777777" w:rsidR="00D510E7" w:rsidRPr="005D4222" w:rsidRDefault="00D510E7" w:rsidP="00D510E7">
                  <w:pPr>
                    <w:pStyle w:val="TableHead"/>
                    <w:rPr>
                      <w:rFonts w:eastAsia="Arial Narrow,Times New Roman"/>
                    </w:rPr>
                  </w:pPr>
                  <w:r w:rsidRPr="005D4222">
                    <w:rPr>
                      <w:rFonts w:eastAsia="Arial Narrow,Times New Roman"/>
                    </w:rPr>
                    <w:t>Strength</w:t>
                  </w:r>
                </w:p>
              </w:tc>
              <w:tc>
                <w:tcPr>
                  <w:tcW w:w="793" w:type="pct"/>
                  <w:tcBorders>
                    <w:left w:val="single" w:sz="6" w:space="0" w:color="FFFFFF" w:themeColor="background1"/>
                    <w:bottom w:val="single" w:sz="4" w:space="0" w:color="auto"/>
                    <w:right w:val="single" w:sz="4" w:space="0" w:color="auto"/>
                  </w:tcBorders>
                  <w:shd w:val="clear" w:color="auto" w:fill="000000" w:themeFill="text1"/>
                  <w:tcMar>
                    <w:left w:w="58" w:type="dxa"/>
                    <w:right w:w="58" w:type="dxa"/>
                  </w:tcMar>
                  <w:vAlign w:val="bottom"/>
                </w:tcPr>
                <w:p w14:paraId="7DD7317A" w14:textId="77777777" w:rsidR="00D510E7" w:rsidRPr="005D4222" w:rsidRDefault="00D510E7" w:rsidP="00D510E7">
                  <w:pPr>
                    <w:pStyle w:val="TableHead"/>
                  </w:pPr>
                  <w:r w:rsidRPr="005D4222">
                    <w:rPr>
                      <w:rFonts w:eastAsia="Arial Narrow,Times New Roman"/>
                    </w:rPr>
                    <w:t>DME Conversion Factor</w:t>
                  </w:r>
                </w:p>
              </w:tc>
            </w:tr>
            <w:tr w:rsidR="00D510E7" w:rsidRPr="005D4222" w14:paraId="7F17EDD3" w14:textId="77777777">
              <w:tc>
                <w:tcPr>
                  <w:tcW w:w="1277" w:type="pct"/>
                  <w:tcBorders>
                    <w:top w:val="single" w:sz="12" w:space="0" w:color="auto"/>
                    <w:left w:val="single" w:sz="4" w:space="0" w:color="auto"/>
                    <w:bottom w:val="single" w:sz="12" w:space="0" w:color="auto"/>
                    <w:right w:val="single" w:sz="4" w:space="0" w:color="auto"/>
                  </w:tcBorders>
                  <w:tcMar>
                    <w:left w:w="58" w:type="dxa"/>
                    <w:right w:w="58" w:type="dxa"/>
                  </w:tcMar>
                </w:tcPr>
                <w:p w14:paraId="551455A7" w14:textId="77777777" w:rsidR="00D510E7" w:rsidRPr="005D4222" w:rsidRDefault="00D510E7" w:rsidP="00D510E7">
                  <w:pPr>
                    <w:pStyle w:val="TableText"/>
                    <w:rPr>
                      <w:szCs w:val="21"/>
                    </w:rPr>
                  </w:pPr>
                  <w:r w:rsidRPr="005D4222">
                    <w:t>Clonazepam</w:t>
                  </w:r>
                  <w:r w:rsidRPr="005D4222">
                    <w:rPr>
                      <w:szCs w:val="21"/>
                    </w:rPr>
                    <w:t xml:space="preserve"> (oral)</w:t>
                  </w:r>
                </w:p>
              </w:tc>
              <w:tc>
                <w:tcPr>
                  <w:tcW w:w="2320" w:type="pct"/>
                  <w:tcBorders>
                    <w:top w:val="single" w:sz="12" w:space="0" w:color="auto"/>
                    <w:left w:val="single" w:sz="4" w:space="0" w:color="auto"/>
                    <w:bottom w:val="single" w:sz="12" w:space="0" w:color="auto"/>
                    <w:right w:val="single" w:sz="4" w:space="0" w:color="auto"/>
                  </w:tcBorders>
                  <w:tcMar>
                    <w:left w:w="58" w:type="dxa"/>
                    <w:right w:w="58" w:type="dxa"/>
                  </w:tcMar>
                </w:tcPr>
                <w:p w14:paraId="0826C0FC" w14:textId="77777777" w:rsidR="00D510E7" w:rsidRPr="005D4222" w:rsidRDefault="00D510E7" w:rsidP="00D510E7">
                  <w:pPr>
                    <w:pStyle w:val="TableText"/>
                    <w:rPr>
                      <w:rFonts w:eastAsia="Arial Narrow,Times New Roman"/>
                      <w:szCs w:val="21"/>
                      <w:u w:val="single"/>
                    </w:rPr>
                  </w:pPr>
                  <w:r w:rsidRPr="005D4222">
                    <w:rPr>
                      <w:rFonts w:eastAsia="Arial Narrow,Times New Roman"/>
                      <w:szCs w:val="21"/>
                      <w:u w:val="single"/>
                    </w:rPr>
                    <w:t>Clonazepam 0.125 MG Medications List</w:t>
                  </w:r>
                </w:p>
                <w:p w14:paraId="51C64ACE" w14:textId="77777777" w:rsidR="00D510E7" w:rsidRPr="005D4222" w:rsidRDefault="00D510E7" w:rsidP="00D510E7">
                  <w:pPr>
                    <w:pStyle w:val="TableText"/>
                    <w:rPr>
                      <w:rFonts w:eastAsia="Arial Narrow,Times New Roman"/>
                      <w:szCs w:val="21"/>
                      <w:u w:val="single"/>
                    </w:rPr>
                  </w:pPr>
                  <w:r w:rsidRPr="005D4222">
                    <w:rPr>
                      <w:rFonts w:eastAsia="Arial Narrow,Times New Roman"/>
                      <w:szCs w:val="21"/>
                      <w:u w:val="single"/>
                    </w:rPr>
                    <w:t>Clonazepam 0.25 MG Medications List</w:t>
                  </w:r>
                </w:p>
                <w:p w14:paraId="3F3090B6" w14:textId="77777777" w:rsidR="00D510E7" w:rsidRPr="005D4222" w:rsidRDefault="00D510E7" w:rsidP="00D510E7">
                  <w:pPr>
                    <w:pStyle w:val="TableText"/>
                    <w:rPr>
                      <w:rFonts w:eastAsia="Arial Narrow,Times New Roman"/>
                      <w:szCs w:val="21"/>
                      <w:u w:val="single"/>
                    </w:rPr>
                  </w:pPr>
                  <w:r w:rsidRPr="005D4222">
                    <w:rPr>
                      <w:rFonts w:eastAsia="Arial Narrow,Times New Roman"/>
                      <w:szCs w:val="21"/>
                      <w:u w:val="single"/>
                    </w:rPr>
                    <w:t>Clonazepam 0.5 MG Medications List</w:t>
                  </w:r>
                </w:p>
                <w:p w14:paraId="452C61B8" w14:textId="77777777" w:rsidR="00D510E7" w:rsidRPr="005D4222" w:rsidRDefault="00D510E7" w:rsidP="00D510E7">
                  <w:pPr>
                    <w:pStyle w:val="TableText"/>
                    <w:rPr>
                      <w:rFonts w:eastAsia="Arial Narrow,Times New Roman"/>
                      <w:szCs w:val="21"/>
                      <w:u w:val="single"/>
                    </w:rPr>
                  </w:pPr>
                  <w:r w:rsidRPr="005D4222">
                    <w:rPr>
                      <w:rFonts w:eastAsia="Arial Narrow,Times New Roman"/>
                      <w:szCs w:val="21"/>
                      <w:u w:val="single"/>
                    </w:rPr>
                    <w:t>Clonazepam 1 MG Medications List</w:t>
                  </w:r>
                </w:p>
                <w:p w14:paraId="52ADB43F" w14:textId="77777777" w:rsidR="00D510E7" w:rsidRPr="005D4222" w:rsidRDefault="00D510E7" w:rsidP="00D510E7">
                  <w:pPr>
                    <w:pStyle w:val="TableText"/>
                    <w:rPr>
                      <w:rFonts w:eastAsia="Arial Narrow,Times New Roman"/>
                      <w:szCs w:val="21"/>
                    </w:rPr>
                  </w:pPr>
                  <w:r w:rsidRPr="005D4222">
                    <w:rPr>
                      <w:rFonts w:eastAsia="Arial Narrow,Times New Roman"/>
                      <w:szCs w:val="21"/>
                      <w:u w:val="single"/>
                    </w:rPr>
                    <w:t>Clonazepam 2 MG Medications List</w:t>
                  </w:r>
                </w:p>
              </w:tc>
              <w:tc>
                <w:tcPr>
                  <w:tcW w:w="610" w:type="pct"/>
                  <w:tcBorders>
                    <w:top w:val="single" w:sz="12" w:space="0" w:color="auto"/>
                    <w:left w:val="single" w:sz="4" w:space="0" w:color="auto"/>
                    <w:bottom w:val="single" w:sz="12" w:space="0" w:color="auto"/>
                    <w:right w:val="single" w:sz="4" w:space="0" w:color="auto"/>
                  </w:tcBorders>
                  <w:tcMar>
                    <w:left w:w="58" w:type="dxa"/>
                    <w:right w:w="58" w:type="dxa"/>
                  </w:tcMar>
                </w:tcPr>
                <w:p w14:paraId="6CE8BE02" w14:textId="77777777" w:rsidR="00D510E7" w:rsidRPr="005D4222" w:rsidRDefault="00D510E7" w:rsidP="00D510E7">
                  <w:pPr>
                    <w:pStyle w:val="TableText"/>
                    <w:rPr>
                      <w:rFonts w:eastAsia="Arial Narrow,Times New Roman" w:cs="Calibri"/>
                      <w:color w:val="000000"/>
                      <w:szCs w:val="21"/>
                      <w:shd w:val="clear" w:color="auto" w:fill="FFFFFF"/>
                    </w:rPr>
                  </w:pPr>
                  <w:r w:rsidRPr="005D4222">
                    <w:rPr>
                      <w:rFonts w:eastAsia="Arial Narrow,Times New Roman" w:cs="Calibri"/>
                      <w:color w:val="000000"/>
                      <w:szCs w:val="21"/>
                      <w:shd w:val="clear" w:color="auto" w:fill="FFFFFF"/>
                    </w:rPr>
                    <w:t>0.125 mg</w:t>
                  </w:r>
                </w:p>
                <w:p w14:paraId="37CE4CDC" w14:textId="77777777" w:rsidR="00D510E7" w:rsidRPr="005D4222" w:rsidRDefault="00D510E7" w:rsidP="00D510E7">
                  <w:pPr>
                    <w:pStyle w:val="TableText"/>
                    <w:rPr>
                      <w:rFonts w:eastAsia="Arial Narrow,Times New Roman" w:cs="Calibri"/>
                      <w:color w:val="000000"/>
                      <w:szCs w:val="21"/>
                      <w:shd w:val="clear" w:color="auto" w:fill="FFFFFF"/>
                    </w:rPr>
                  </w:pPr>
                  <w:r w:rsidRPr="005D4222">
                    <w:rPr>
                      <w:rFonts w:eastAsia="Arial Narrow,Times New Roman" w:cs="Calibri"/>
                      <w:color w:val="000000"/>
                      <w:szCs w:val="21"/>
                      <w:shd w:val="clear" w:color="auto" w:fill="FFFFFF"/>
                    </w:rPr>
                    <w:t>0.25 mg</w:t>
                  </w:r>
                </w:p>
                <w:p w14:paraId="006770C3" w14:textId="77777777" w:rsidR="00D510E7" w:rsidRPr="005D4222" w:rsidRDefault="00D510E7" w:rsidP="00D510E7">
                  <w:pPr>
                    <w:pStyle w:val="TableText"/>
                    <w:rPr>
                      <w:rFonts w:eastAsia="Arial Narrow,Times New Roman" w:cs="Calibri"/>
                      <w:color w:val="000000"/>
                      <w:szCs w:val="21"/>
                      <w:shd w:val="clear" w:color="auto" w:fill="FFFFFF"/>
                    </w:rPr>
                  </w:pPr>
                  <w:r w:rsidRPr="005D4222">
                    <w:rPr>
                      <w:rFonts w:eastAsia="Arial Narrow,Times New Roman" w:cs="Calibri"/>
                      <w:color w:val="000000"/>
                      <w:szCs w:val="21"/>
                      <w:shd w:val="clear" w:color="auto" w:fill="FFFFFF"/>
                    </w:rPr>
                    <w:t>0.5 mg</w:t>
                  </w:r>
                </w:p>
                <w:p w14:paraId="1B5D9E57" w14:textId="77777777" w:rsidR="00D510E7" w:rsidRPr="005D4222" w:rsidRDefault="00D510E7" w:rsidP="00D510E7">
                  <w:pPr>
                    <w:pStyle w:val="TableText"/>
                    <w:rPr>
                      <w:rFonts w:eastAsia="Arial Narrow,Times New Roman" w:cs="Calibri"/>
                      <w:color w:val="000000"/>
                      <w:szCs w:val="21"/>
                      <w:shd w:val="clear" w:color="auto" w:fill="FFFFFF"/>
                    </w:rPr>
                  </w:pPr>
                  <w:r w:rsidRPr="005D4222">
                    <w:rPr>
                      <w:rFonts w:eastAsia="Arial Narrow,Times New Roman" w:cs="Calibri"/>
                      <w:color w:val="000000"/>
                      <w:szCs w:val="21"/>
                      <w:shd w:val="clear" w:color="auto" w:fill="FFFFFF"/>
                    </w:rPr>
                    <w:t>1 mg</w:t>
                  </w:r>
                </w:p>
                <w:p w14:paraId="71903D9B" w14:textId="77777777" w:rsidR="00D510E7" w:rsidRPr="005D4222" w:rsidRDefault="00D510E7" w:rsidP="00D510E7">
                  <w:pPr>
                    <w:pStyle w:val="TableText"/>
                    <w:rPr>
                      <w:rFonts w:eastAsia="Arial Narrow,Times New Roman" w:cs="Calibri"/>
                      <w:color w:val="000000"/>
                      <w:szCs w:val="21"/>
                      <w:shd w:val="clear" w:color="auto" w:fill="FFFFFF"/>
                    </w:rPr>
                  </w:pPr>
                  <w:r w:rsidRPr="005D4222">
                    <w:rPr>
                      <w:rFonts w:eastAsia="Arial Narrow,Times New Roman" w:cs="Calibri"/>
                      <w:color w:val="000000"/>
                      <w:szCs w:val="21"/>
                      <w:shd w:val="clear" w:color="auto" w:fill="FFFFFF"/>
                    </w:rPr>
                    <w:t>2 mg</w:t>
                  </w:r>
                </w:p>
              </w:tc>
              <w:tc>
                <w:tcPr>
                  <w:tcW w:w="793" w:type="pct"/>
                  <w:tcBorders>
                    <w:top w:val="single" w:sz="12" w:space="0" w:color="auto"/>
                    <w:left w:val="single" w:sz="4" w:space="0" w:color="auto"/>
                    <w:bottom w:val="single" w:sz="12" w:space="0" w:color="auto"/>
                    <w:right w:val="single" w:sz="4" w:space="0" w:color="auto"/>
                  </w:tcBorders>
                  <w:tcMar>
                    <w:left w:w="58" w:type="dxa"/>
                    <w:right w:w="58" w:type="dxa"/>
                  </w:tcMar>
                </w:tcPr>
                <w:p w14:paraId="45984EE8" w14:textId="77777777" w:rsidR="00D510E7" w:rsidRPr="005D4222" w:rsidRDefault="00D510E7" w:rsidP="00D510E7">
                  <w:pPr>
                    <w:pStyle w:val="TableText"/>
                    <w:jc w:val="center"/>
                    <w:rPr>
                      <w:rFonts w:eastAsia="Arial Narrow,Times New Roman"/>
                      <w:szCs w:val="21"/>
                    </w:rPr>
                  </w:pPr>
                  <w:r w:rsidRPr="005D4222">
                    <w:rPr>
                      <w:rFonts w:eastAsia="Arial Narrow,Times New Roman"/>
                      <w:szCs w:val="21"/>
                    </w:rPr>
                    <w:t>0.1</w:t>
                  </w:r>
                </w:p>
              </w:tc>
            </w:tr>
            <w:tr w:rsidR="00D510E7" w:rsidRPr="005D4222" w14:paraId="435831B9" w14:textId="77777777">
              <w:tc>
                <w:tcPr>
                  <w:tcW w:w="1277" w:type="pct"/>
                  <w:tcBorders>
                    <w:top w:val="single" w:sz="12" w:space="0" w:color="auto"/>
                    <w:left w:val="single" w:sz="4" w:space="0" w:color="auto"/>
                    <w:bottom w:val="single" w:sz="12" w:space="0" w:color="auto"/>
                    <w:right w:val="single" w:sz="4" w:space="0" w:color="auto"/>
                  </w:tcBorders>
                  <w:tcMar>
                    <w:left w:w="58" w:type="dxa"/>
                    <w:right w:w="58" w:type="dxa"/>
                  </w:tcMar>
                </w:tcPr>
                <w:p w14:paraId="540BA5CC" w14:textId="77777777" w:rsidR="00D510E7" w:rsidRPr="005D4222" w:rsidRDefault="00D510E7" w:rsidP="00D510E7">
                  <w:pPr>
                    <w:pStyle w:val="TableText"/>
                    <w:rPr>
                      <w:szCs w:val="21"/>
                    </w:rPr>
                  </w:pPr>
                  <w:r w:rsidRPr="005D4222">
                    <w:rPr>
                      <w:szCs w:val="21"/>
                    </w:rPr>
                    <w:t>Clorazepate (oral)</w:t>
                  </w:r>
                </w:p>
              </w:tc>
              <w:tc>
                <w:tcPr>
                  <w:tcW w:w="2320" w:type="pct"/>
                  <w:tcBorders>
                    <w:top w:val="single" w:sz="12" w:space="0" w:color="auto"/>
                    <w:left w:val="single" w:sz="4" w:space="0" w:color="auto"/>
                    <w:bottom w:val="single" w:sz="12" w:space="0" w:color="auto"/>
                    <w:right w:val="single" w:sz="4" w:space="0" w:color="auto"/>
                  </w:tcBorders>
                  <w:tcMar>
                    <w:left w:w="58" w:type="dxa"/>
                    <w:right w:w="58" w:type="dxa"/>
                  </w:tcMar>
                </w:tcPr>
                <w:p w14:paraId="5DE45D8C" w14:textId="77777777" w:rsidR="00D510E7" w:rsidRPr="005D4222" w:rsidRDefault="00D510E7" w:rsidP="00D510E7">
                  <w:pPr>
                    <w:pStyle w:val="TableText"/>
                    <w:rPr>
                      <w:szCs w:val="21"/>
                      <w:u w:val="single"/>
                    </w:rPr>
                  </w:pPr>
                  <w:r w:rsidRPr="005D4222">
                    <w:rPr>
                      <w:szCs w:val="21"/>
                      <w:u w:val="single"/>
                    </w:rPr>
                    <w:t>Clorazepate 3.75 MG Medications List</w:t>
                  </w:r>
                </w:p>
                <w:p w14:paraId="1CE5A6EB" w14:textId="77777777" w:rsidR="00D510E7" w:rsidRPr="005D4222" w:rsidRDefault="00D510E7" w:rsidP="00D510E7">
                  <w:pPr>
                    <w:pStyle w:val="TableText"/>
                    <w:rPr>
                      <w:szCs w:val="21"/>
                      <w:u w:val="single"/>
                    </w:rPr>
                  </w:pPr>
                  <w:r w:rsidRPr="005D4222">
                    <w:rPr>
                      <w:szCs w:val="21"/>
                      <w:u w:val="single"/>
                    </w:rPr>
                    <w:t>Clorazepate 7.5 MG Medications List</w:t>
                  </w:r>
                </w:p>
                <w:p w14:paraId="31413DCB" w14:textId="77777777" w:rsidR="00D510E7" w:rsidRPr="005D4222" w:rsidRDefault="00D510E7" w:rsidP="00D510E7">
                  <w:pPr>
                    <w:pStyle w:val="TableText"/>
                    <w:rPr>
                      <w:szCs w:val="21"/>
                    </w:rPr>
                  </w:pPr>
                  <w:r w:rsidRPr="005D4222">
                    <w:rPr>
                      <w:szCs w:val="21"/>
                      <w:u w:val="single"/>
                    </w:rPr>
                    <w:t>Clorazepate 15 MG Medications List</w:t>
                  </w:r>
                </w:p>
              </w:tc>
              <w:tc>
                <w:tcPr>
                  <w:tcW w:w="610" w:type="pct"/>
                  <w:tcBorders>
                    <w:top w:val="single" w:sz="12" w:space="0" w:color="auto"/>
                    <w:left w:val="single" w:sz="4" w:space="0" w:color="auto"/>
                    <w:bottom w:val="single" w:sz="12" w:space="0" w:color="auto"/>
                    <w:right w:val="single" w:sz="4" w:space="0" w:color="auto"/>
                  </w:tcBorders>
                  <w:tcMar>
                    <w:left w:w="58" w:type="dxa"/>
                    <w:right w:w="58" w:type="dxa"/>
                  </w:tcMar>
                </w:tcPr>
                <w:p w14:paraId="2EEC65F8" w14:textId="77777777" w:rsidR="00D510E7" w:rsidRPr="005D4222" w:rsidRDefault="00D510E7" w:rsidP="00D510E7">
                  <w:pPr>
                    <w:pStyle w:val="TableText"/>
                    <w:rPr>
                      <w:rFonts w:cs="Calibri"/>
                      <w:color w:val="000000"/>
                      <w:szCs w:val="21"/>
                    </w:rPr>
                  </w:pPr>
                  <w:r w:rsidRPr="005D4222">
                    <w:rPr>
                      <w:rFonts w:cs="Calibri"/>
                      <w:color w:val="000000"/>
                      <w:szCs w:val="21"/>
                    </w:rPr>
                    <w:t>3.75 mg</w:t>
                  </w:r>
                </w:p>
                <w:p w14:paraId="3E10B109" w14:textId="77777777" w:rsidR="00D510E7" w:rsidRPr="005D4222" w:rsidRDefault="00D510E7" w:rsidP="00D510E7">
                  <w:pPr>
                    <w:pStyle w:val="TableText"/>
                    <w:rPr>
                      <w:rFonts w:cs="Calibri"/>
                      <w:color w:val="000000"/>
                      <w:szCs w:val="21"/>
                    </w:rPr>
                  </w:pPr>
                  <w:r w:rsidRPr="005D4222">
                    <w:rPr>
                      <w:rFonts w:cs="Calibri"/>
                      <w:color w:val="000000"/>
                      <w:szCs w:val="21"/>
                    </w:rPr>
                    <w:t>7.5 mg</w:t>
                  </w:r>
                </w:p>
                <w:p w14:paraId="21648D39" w14:textId="77777777" w:rsidR="00D510E7" w:rsidRPr="005D4222" w:rsidRDefault="00D510E7" w:rsidP="00D510E7">
                  <w:pPr>
                    <w:pStyle w:val="TableText"/>
                    <w:rPr>
                      <w:rFonts w:cs="Calibri"/>
                      <w:color w:val="000000"/>
                      <w:szCs w:val="21"/>
                    </w:rPr>
                  </w:pPr>
                  <w:r w:rsidRPr="005D4222">
                    <w:rPr>
                      <w:rFonts w:cs="Calibri"/>
                      <w:color w:val="000000"/>
                      <w:szCs w:val="21"/>
                    </w:rPr>
                    <w:t>15 mg</w:t>
                  </w:r>
                </w:p>
              </w:tc>
              <w:tc>
                <w:tcPr>
                  <w:tcW w:w="793" w:type="pct"/>
                  <w:tcBorders>
                    <w:top w:val="single" w:sz="12" w:space="0" w:color="auto"/>
                    <w:left w:val="single" w:sz="4" w:space="0" w:color="auto"/>
                    <w:bottom w:val="single" w:sz="12" w:space="0" w:color="auto"/>
                    <w:right w:val="single" w:sz="4" w:space="0" w:color="auto"/>
                  </w:tcBorders>
                  <w:tcMar>
                    <w:left w:w="58" w:type="dxa"/>
                    <w:right w:w="58" w:type="dxa"/>
                  </w:tcMar>
                </w:tcPr>
                <w:p w14:paraId="298A8D37" w14:textId="77777777" w:rsidR="00D510E7" w:rsidRPr="005D4222" w:rsidRDefault="00D510E7" w:rsidP="00D510E7">
                  <w:pPr>
                    <w:pStyle w:val="TableText"/>
                    <w:jc w:val="center"/>
                    <w:rPr>
                      <w:rFonts w:eastAsia="Arial Narrow,Times New Roman"/>
                      <w:szCs w:val="21"/>
                    </w:rPr>
                  </w:pPr>
                  <w:r w:rsidRPr="005D4222">
                    <w:rPr>
                      <w:rFonts w:eastAsia="Arial Narrow,Times New Roman"/>
                      <w:szCs w:val="21"/>
                    </w:rPr>
                    <w:t>1.5</w:t>
                  </w:r>
                </w:p>
              </w:tc>
            </w:tr>
            <w:tr w:rsidR="00D510E7" w:rsidRPr="005D4222" w14:paraId="36D85ADE" w14:textId="77777777">
              <w:tc>
                <w:tcPr>
                  <w:tcW w:w="1277" w:type="pct"/>
                  <w:tcBorders>
                    <w:top w:val="single" w:sz="12" w:space="0" w:color="auto"/>
                    <w:left w:val="single" w:sz="4" w:space="0" w:color="auto"/>
                    <w:bottom w:val="single" w:sz="12" w:space="0" w:color="auto"/>
                    <w:right w:val="single" w:sz="4" w:space="0" w:color="auto"/>
                  </w:tcBorders>
                  <w:tcMar>
                    <w:left w:w="58" w:type="dxa"/>
                    <w:right w:w="58" w:type="dxa"/>
                  </w:tcMar>
                </w:tcPr>
                <w:p w14:paraId="29786FA2" w14:textId="77777777" w:rsidR="00D510E7" w:rsidRPr="005D4222" w:rsidRDefault="00D510E7" w:rsidP="00D510E7">
                  <w:pPr>
                    <w:pStyle w:val="TableText"/>
                    <w:rPr>
                      <w:szCs w:val="21"/>
                    </w:rPr>
                  </w:pPr>
                  <w:r w:rsidRPr="005D4222">
                    <w:rPr>
                      <w:szCs w:val="21"/>
                    </w:rPr>
                    <w:t>Diazepam (oral)</w:t>
                  </w:r>
                </w:p>
              </w:tc>
              <w:tc>
                <w:tcPr>
                  <w:tcW w:w="2320" w:type="pct"/>
                  <w:tcBorders>
                    <w:top w:val="single" w:sz="12" w:space="0" w:color="auto"/>
                    <w:left w:val="single" w:sz="4" w:space="0" w:color="auto"/>
                    <w:bottom w:val="single" w:sz="12" w:space="0" w:color="auto"/>
                    <w:right w:val="single" w:sz="4" w:space="0" w:color="auto"/>
                  </w:tcBorders>
                  <w:tcMar>
                    <w:left w:w="58" w:type="dxa"/>
                    <w:right w:w="58" w:type="dxa"/>
                  </w:tcMar>
                </w:tcPr>
                <w:p w14:paraId="0C5F6323" w14:textId="77777777" w:rsidR="00D510E7" w:rsidRPr="005D4222" w:rsidRDefault="00D510E7" w:rsidP="00D510E7">
                  <w:pPr>
                    <w:pStyle w:val="TableText"/>
                    <w:rPr>
                      <w:rFonts w:eastAsia="Arial Narrow,Times New Roman"/>
                      <w:szCs w:val="21"/>
                      <w:u w:val="single"/>
                    </w:rPr>
                  </w:pPr>
                  <w:r w:rsidRPr="005D4222">
                    <w:rPr>
                      <w:rFonts w:eastAsia="Arial Narrow,Times New Roman"/>
                      <w:szCs w:val="21"/>
                      <w:u w:val="single"/>
                    </w:rPr>
                    <w:t>Diazepam 1 MGPML Medications List</w:t>
                  </w:r>
                </w:p>
                <w:p w14:paraId="426ADB8E" w14:textId="77777777" w:rsidR="00D510E7" w:rsidRPr="005D4222" w:rsidRDefault="00D510E7" w:rsidP="00D510E7">
                  <w:pPr>
                    <w:pStyle w:val="TableText"/>
                    <w:rPr>
                      <w:rFonts w:eastAsia="Arial Narrow,Times New Roman"/>
                      <w:szCs w:val="21"/>
                      <w:u w:val="single"/>
                    </w:rPr>
                  </w:pPr>
                  <w:r w:rsidRPr="005D4222">
                    <w:rPr>
                      <w:rFonts w:eastAsia="Arial Narrow,Times New Roman"/>
                      <w:szCs w:val="21"/>
                      <w:u w:val="single"/>
                    </w:rPr>
                    <w:t>Diazepam 2 MG Medications List</w:t>
                  </w:r>
                </w:p>
                <w:p w14:paraId="1875A603" w14:textId="77777777" w:rsidR="00D510E7" w:rsidRPr="005D4222" w:rsidRDefault="00D510E7" w:rsidP="00D510E7">
                  <w:pPr>
                    <w:pStyle w:val="TableText"/>
                    <w:rPr>
                      <w:rFonts w:eastAsia="Arial Narrow,Times New Roman"/>
                      <w:szCs w:val="21"/>
                      <w:u w:val="single"/>
                    </w:rPr>
                  </w:pPr>
                  <w:r w:rsidRPr="005D4222">
                    <w:rPr>
                      <w:rFonts w:eastAsia="Arial Narrow,Times New Roman"/>
                      <w:szCs w:val="21"/>
                      <w:u w:val="single"/>
                    </w:rPr>
                    <w:t>Diazepam 5 MG Medications List</w:t>
                  </w:r>
                </w:p>
                <w:p w14:paraId="746E893E" w14:textId="77777777" w:rsidR="00D510E7" w:rsidRPr="005D4222" w:rsidRDefault="00D510E7" w:rsidP="00D510E7">
                  <w:pPr>
                    <w:pStyle w:val="TableText"/>
                    <w:rPr>
                      <w:rFonts w:eastAsia="Arial Narrow,Times New Roman"/>
                      <w:szCs w:val="21"/>
                      <w:u w:val="single"/>
                    </w:rPr>
                  </w:pPr>
                  <w:r w:rsidRPr="005D4222">
                    <w:rPr>
                      <w:rFonts w:eastAsia="Arial Narrow,Times New Roman"/>
                      <w:szCs w:val="21"/>
                      <w:u w:val="single"/>
                    </w:rPr>
                    <w:t>Diazepam 5 MGPML Medications List</w:t>
                  </w:r>
                </w:p>
                <w:p w14:paraId="4F940CA7" w14:textId="77777777" w:rsidR="00D510E7" w:rsidRPr="005D4222" w:rsidRDefault="00D510E7" w:rsidP="00D510E7">
                  <w:pPr>
                    <w:pStyle w:val="TableText"/>
                    <w:rPr>
                      <w:rFonts w:eastAsia="Arial Narrow,Times New Roman"/>
                      <w:szCs w:val="21"/>
                    </w:rPr>
                  </w:pPr>
                  <w:r w:rsidRPr="005D4222">
                    <w:rPr>
                      <w:rFonts w:eastAsia="Arial Narrow,Times New Roman"/>
                      <w:szCs w:val="21"/>
                      <w:u w:val="single"/>
                    </w:rPr>
                    <w:t>Diazepam 10 MG Medications List</w:t>
                  </w:r>
                </w:p>
              </w:tc>
              <w:tc>
                <w:tcPr>
                  <w:tcW w:w="610" w:type="pct"/>
                  <w:tcBorders>
                    <w:top w:val="single" w:sz="12" w:space="0" w:color="auto"/>
                    <w:left w:val="single" w:sz="4" w:space="0" w:color="auto"/>
                    <w:bottom w:val="single" w:sz="12" w:space="0" w:color="auto"/>
                    <w:right w:val="single" w:sz="4" w:space="0" w:color="auto"/>
                  </w:tcBorders>
                  <w:tcMar>
                    <w:left w:w="58" w:type="dxa"/>
                    <w:right w:w="58" w:type="dxa"/>
                  </w:tcMar>
                </w:tcPr>
                <w:p w14:paraId="7DB649B1" w14:textId="77777777" w:rsidR="00D510E7" w:rsidRPr="005D4222" w:rsidRDefault="00D510E7" w:rsidP="00D510E7">
                  <w:pPr>
                    <w:pStyle w:val="TableText"/>
                    <w:rPr>
                      <w:rFonts w:eastAsia="Arial Narrow,Times New Roman" w:cs="Calibri"/>
                      <w:color w:val="000000"/>
                      <w:szCs w:val="21"/>
                      <w:shd w:val="clear" w:color="auto" w:fill="FFFFFF"/>
                    </w:rPr>
                  </w:pPr>
                  <w:r w:rsidRPr="005D4222">
                    <w:rPr>
                      <w:rFonts w:eastAsia="Arial Narrow,Times New Roman" w:cs="Calibri"/>
                      <w:color w:val="000000"/>
                      <w:szCs w:val="21"/>
                      <w:shd w:val="clear" w:color="auto" w:fill="FFFFFF"/>
                    </w:rPr>
                    <w:t>1 mg</w:t>
                  </w:r>
                </w:p>
                <w:p w14:paraId="55360223" w14:textId="77777777" w:rsidR="00D510E7" w:rsidRPr="005D4222" w:rsidRDefault="00D510E7" w:rsidP="00D510E7">
                  <w:pPr>
                    <w:pStyle w:val="TableText"/>
                    <w:rPr>
                      <w:rFonts w:eastAsia="Arial Narrow,Times New Roman" w:cs="Calibri"/>
                      <w:color w:val="000000"/>
                      <w:szCs w:val="21"/>
                      <w:shd w:val="clear" w:color="auto" w:fill="FFFFFF"/>
                    </w:rPr>
                  </w:pPr>
                  <w:r w:rsidRPr="005D4222">
                    <w:rPr>
                      <w:rFonts w:eastAsia="Arial Narrow,Times New Roman" w:cs="Calibri"/>
                      <w:color w:val="000000"/>
                      <w:szCs w:val="21"/>
                      <w:shd w:val="clear" w:color="auto" w:fill="FFFFFF"/>
                    </w:rPr>
                    <w:t>2mg</w:t>
                  </w:r>
                </w:p>
                <w:p w14:paraId="13FCD5DB" w14:textId="77777777" w:rsidR="00D510E7" w:rsidRPr="005D4222" w:rsidRDefault="00D510E7" w:rsidP="00D510E7">
                  <w:pPr>
                    <w:pStyle w:val="TableText"/>
                    <w:rPr>
                      <w:rFonts w:eastAsia="Arial Narrow,Times New Roman" w:cs="Calibri"/>
                      <w:color w:val="000000"/>
                      <w:szCs w:val="21"/>
                      <w:shd w:val="clear" w:color="auto" w:fill="FFFFFF"/>
                    </w:rPr>
                  </w:pPr>
                  <w:r w:rsidRPr="005D4222">
                    <w:rPr>
                      <w:rFonts w:eastAsia="Arial Narrow,Times New Roman" w:cs="Calibri"/>
                      <w:color w:val="000000"/>
                      <w:szCs w:val="21"/>
                      <w:shd w:val="clear" w:color="auto" w:fill="FFFFFF"/>
                    </w:rPr>
                    <w:t>5mg</w:t>
                  </w:r>
                </w:p>
                <w:p w14:paraId="65A4DD91" w14:textId="77777777" w:rsidR="00D510E7" w:rsidRPr="005D4222" w:rsidRDefault="00D510E7" w:rsidP="00D510E7">
                  <w:pPr>
                    <w:pStyle w:val="TableText"/>
                    <w:rPr>
                      <w:rFonts w:eastAsia="Arial Narrow,Times New Roman" w:cs="Calibri"/>
                      <w:color w:val="000000"/>
                      <w:szCs w:val="21"/>
                      <w:shd w:val="clear" w:color="auto" w:fill="FFFFFF"/>
                    </w:rPr>
                  </w:pPr>
                  <w:r w:rsidRPr="005D4222">
                    <w:rPr>
                      <w:rFonts w:eastAsia="Arial Narrow,Times New Roman" w:cs="Calibri"/>
                      <w:color w:val="000000"/>
                      <w:szCs w:val="21"/>
                      <w:shd w:val="clear" w:color="auto" w:fill="FFFFFF"/>
                    </w:rPr>
                    <w:t>5mg</w:t>
                  </w:r>
                </w:p>
                <w:p w14:paraId="00D4E78F" w14:textId="77777777" w:rsidR="00D510E7" w:rsidRPr="005D4222" w:rsidRDefault="00D510E7" w:rsidP="00D510E7">
                  <w:pPr>
                    <w:pStyle w:val="TableText"/>
                    <w:rPr>
                      <w:rFonts w:eastAsia="Arial Narrow,Times New Roman" w:cs="Calibri"/>
                      <w:color w:val="000000"/>
                      <w:szCs w:val="21"/>
                      <w:shd w:val="clear" w:color="auto" w:fill="FFFFFF"/>
                    </w:rPr>
                  </w:pPr>
                  <w:r w:rsidRPr="005D4222">
                    <w:rPr>
                      <w:rFonts w:eastAsia="Arial Narrow,Times New Roman" w:cs="Calibri"/>
                      <w:color w:val="000000"/>
                      <w:szCs w:val="21"/>
                      <w:shd w:val="clear" w:color="auto" w:fill="FFFFFF"/>
                    </w:rPr>
                    <w:t>10 mg</w:t>
                  </w:r>
                </w:p>
              </w:tc>
              <w:tc>
                <w:tcPr>
                  <w:tcW w:w="793" w:type="pct"/>
                  <w:tcBorders>
                    <w:top w:val="single" w:sz="12" w:space="0" w:color="auto"/>
                    <w:left w:val="single" w:sz="4" w:space="0" w:color="auto"/>
                    <w:bottom w:val="single" w:sz="12" w:space="0" w:color="auto"/>
                    <w:right w:val="single" w:sz="4" w:space="0" w:color="auto"/>
                  </w:tcBorders>
                  <w:tcMar>
                    <w:left w:w="58" w:type="dxa"/>
                    <w:right w:w="58" w:type="dxa"/>
                  </w:tcMar>
                </w:tcPr>
                <w:p w14:paraId="02C4114D" w14:textId="77777777" w:rsidR="00D510E7" w:rsidRPr="005D4222" w:rsidRDefault="00D510E7" w:rsidP="00D510E7">
                  <w:pPr>
                    <w:pStyle w:val="TableText"/>
                    <w:jc w:val="center"/>
                    <w:rPr>
                      <w:rFonts w:eastAsia="Arial Narrow,Times New Roman"/>
                      <w:szCs w:val="21"/>
                    </w:rPr>
                  </w:pPr>
                  <w:r w:rsidRPr="005D4222">
                    <w:rPr>
                      <w:rFonts w:eastAsia="Arial Narrow,Times New Roman"/>
                      <w:szCs w:val="21"/>
                    </w:rPr>
                    <w:t>1</w:t>
                  </w:r>
                </w:p>
              </w:tc>
            </w:tr>
            <w:tr w:rsidR="00D510E7" w:rsidRPr="005D4222" w14:paraId="68D002B8" w14:textId="77777777">
              <w:tc>
                <w:tcPr>
                  <w:tcW w:w="1277" w:type="pct"/>
                  <w:tcBorders>
                    <w:top w:val="single" w:sz="12" w:space="0" w:color="auto"/>
                    <w:left w:val="single" w:sz="4" w:space="0" w:color="auto"/>
                    <w:bottom w:val="single" w:sz="12" w:space="0" w:color="auto"/>
                    <w:right w:val="single" w:sz="4" w:space="0" w:color="auto"/>
                  </w:tcBorders>
                  <w:tcMar>
                    <w:left w:w="58" w:type="dxa"/>
                    <w:right w:w="58" w:type="dxa"/>
                  </w:tcMar>
                </w:tcPr>
                <w:p w14:paraId="2522B5DA" w14:textId="77777777" w:rsidR="00D510E7" w:rsidRPr="005D4222" w:rsidRDefault="00D510E7" w:rsidP="00D510E7">
                  <w:pPr>
                    <w:pStyle w:val="TableText"/>
                    <w:rPr>
                      <w:szCs w:val="21"/>
                    </w:rPr>
                  </w:pPr>
                  <w:r w:rsidRPr="005D4222">
                    <w:rPr>
                      <w:szCs w:val="21"/>
                    </w:rPr>
                    <w:t>Estazolam (oral)</w:t>
                  </w:r>
                </w:p>
              </w:tc>
              <w:tc>
                <w:tcPr>
                  <w:tcW w:w="2320" w:type="pct"/>
                  <w:tcBorders>
                    <w:top w:val="single" w:sz="12" w:space="0" w:color="auto"/>
                    <w:left w:val="single" w:sz="4" w:space="0" w:color="auto"/>
                    <w:bottom w:val="single" w:sz="12" w:space="0" w:color="auto"/>
                    <w:right w:val="single" w:sz="4" w:space="0" w:color="auto"/>
                  </w:tcBorders>
                  <w:tcMar>
                    <w:left w:w="58" w:type="dxa"/>
                    <w:right w:w="58" w:type="dxa"/>
                  </w:tcMar>
                </w:tcPr>
                <w:p w14:paraId="3FA72418" w14:textId="77777777" w:rsidR="00D510E7" w:rsidRPr="005D4222" w:rsidRDefault="00D510E7" w:rsidP="00D510E7">
                  <w:pPr>
                    <w:pStyle w:val="TableText"/>
                    <w:rPr>
                      <w:rFonts w:eastAsia="Arial Narrow,Times New Roman"/>
                      <w:szCs w:val="21"/>
                      <w:u w:val="single"/>
                    </w:rPr>
                  </w:pPr>
                  <w:r w:rsidRPr="005D4222">
                    <w:rPr>
                      <w:rFonts w:eastAsia="Arial Narrow,Times New Roman"/>
                      <w:szCs w:val="21"/>
                      <w:u w:val="single"/>
                    </w:rPr>
                    <w:t>Estazolam 1 MG Medications List</w:t>
                  </w:r>
                </w:p>
                <w:p w14:paraId="0A207388" w14:textId="77777777" w:rsidR="00D510E7" w:rsidRPr="005D4222" w:rsidRDefault="00D510E7" w:rsidP="00D510E7">
                  <w:pPr>
                    <w:pStyle w:val="TableText"/>
                    <w:rPr>
                      <w:rFonts w:eastAsia="Arial Narrow,Times New Roman"/>
                      <w:szCs w:val="21"/>
                    </w:rPr>
                  </w:pPr>
                  <w:r w:rsidRPr="005D4222">
                    <w:rPr>
                      <w:rFonts w:eastAsia="Arial Narrow,Times New Roman"/>
                      <w:szCs w:val="21"/>
                      <w:u w:val="single"/>
                    </w:rPr>
                    <w:t>Estazolam 2 MG Medications List</w:t>
                  </w:r>
                </w:p>
              </w:tc>
              <w:tc>
                <w:tcPr>
                  <w:tcW w:w="610" w:type="pct"/>
                  <w:tcBorders>
                    <w:top w:val="single" w:sz="12" w:space="0" w:color="auto"/>
                    <w:left w:val="single" w:sz="4" w:space="0" w:color="auto"/>
                    <w:bottom w:val="single" w:sz="12" w:space="0" w:color="auto"/>
                    <w:right w:val="single" w:sz="4" w:space="0" w:color="auto"/>
                  </w:tcBorders>
                  <w:tcMar>
                    <w:left w:w="58" w:type="dxa"/>
                    <w:right w:w="58" w:type="dxa"/>
                  </w:tcMar>
                </w:tcPr>
                <w:p w14:paraId="19FCCE79" w14:textId="77777777" w:rsidR="00D510E7" w:rsidRPr="005D4222" w:rsidRDefault="00D510E7" w:rsidP="00D510E7">
                  <w:pPr>
                    <w:pStyle w:val="TableText"/>
                    <w:rPr>
                      <w:rFonts w:eastAsia="Arial Narrow,Times New Roman"/>
                    </w:rPr>
                  </w:pPr>
                  <w:r w:rsidRPr="005D4222">
                    <w:rPr>
                      <w:rFonts w:eastAsia="Arial Narrow,Times New Roman"/>
                    </w:rPr>
                    <w:t>1 mg</w:t>
                  </w:r>
                </w:p>
                <w:p w14:paraId="1289B5ED" w14:textId="77777777" w:rsidR="00D510E7" w:rsidRPr="005D4222" w:rsidRDefault="00D510E7" w:rsidP="00D510E7">
                  <w:pPr>
                    <w:pStyle w:val="TableText"/>
                    <w:rPr>
                      <w:rFonts w:eastAsia="Arial Narrow,Times New Roman"/>
                    </w:rPr>
                  </w:pPr>
                  <w:r w:rsidRPr="005D4222">
                    <w:rPr>
                      <w:rFonts w:eastAsia="Arial Narrow,Times New Roman"/>
                    </w:rPr>
                    <w:t>2 mg</w:t>
                  </w:r>
                </w:p>
              </w:tc>
              <w:tc>
                <w:tcPr>
                  <w:tcW w:w="793" w:type="pct"/>
                  <w:tcBorders>
                    <w:top w:val="single" w:sz="12" w:space="0" w:color="auto"/>
                    <w:left w:val="single" w:sz="4" w:space="0" w:color="auto"/>
                    <w:bottom w:val="single" w:sz="12" w:space="0" w:color="auto"/>
                    <w:right w:val="single" w:sz="4" w:space="0" w:color="auto"/>
                  </w:tcBorders>
                  <w:tcMar>
                    <w:left w:w="58" w:type="dxa"/>
                    <w:right w:w="58" w:type="dxa"/>
                  </w:tcMar>
                </w:tcPr>
                <w:p w14:paraId="481500E4" w14:textId="77777777" w:rsidR="00D510E7" w:rsidRPr="005D4222" w:rsidRDefault="00D510E7" w:rsidP="00D510E7">
                  <w:pPr>
                    <w:pStyle w:val="TableText"/>
                    <w:jc w:val="center"/>
                    <w:rPr>
                      <w:rFonts w:eastAsia="Arial Narrow,Times New Roman"/>
                      <w:szCs w:val="21"/>
                    </w:rPr>
                  </w:pPr>
                  <w:r w:rsidRPr="005D4222">
                    <w:rPr>
                      <w:rFonts w:eastAsia="Arial Narrow,Times New Roman"/>
                      <w:szCs w:val="21"/>
                    </w:rPr>
                    <w:t>0.3</w:t>
                  </w:r>
                </w:p>
              </w:tc>
            </w:tr>
            <w:tr w:rsidR="00D510E7" w:rsidRPr="005D4222" w14:paraId="2BA02E53" w14:textId="77777777">
              <w:tc>
                <w:tcPr>
                  <w:tcW w:w="1277" w:type="pct"/>
                  <w:tcBorders>
                    <w:top w:val="single" w:sz="12" w:space="0" w:color="auto"/>
                    <w:left w:val="single" w:sz="4" w:space="0" w:color="auto"/>
                    <w:bottom w:val="single" w:sz="12" w:space="0" w:color="auto"/>
                    <w:right w:val="single" w:sz="4" w:space="0" w:color="auto"/>
                  </w:tcBorders>
                  <w:tcMar>
                    <w:left w:w="58" w:type="dxa"/>
                    <w:right w:w="58" w:type="dxa"/>
                  </w:tcMar>
                </w:tcPr>
                <w:p w14:paraId="0F052929" w14:textId="77777777" w:rsidR="00D510E7" w:rsidRPr="005D4222" w:rsidRDefault="00D510E7" w:rsidP="00D510E7">
                  <w:pPr>
                    <w:pStyle w:val="TableText"/>
                    <w:rPr>
                      <w:szCs w:val="21"/>
                    </w:rPr>
                  </w:pPr>
                  <w:r w:rsidRPr="005D4222">
                    <w:rPr>
                      <w:szCs w:val="21"/>
                    </w:rPr>
                    <w:t>Flurazepam (oral)</w:t>
                  </w:r>
                </w:p>
              </w:tc>
              <w:tc>
                <w:tcPr>
                  <w:tcW w:w="2320" w:type="pct"/>
                  <w:tcBorders>
                    <w:top w:val="single" w:sz="12" w:space="0" w:color="auto"/>
                    <w:left w:val="single" w:sz="4" w:space="0" w:color="auto"/>
                    <w:bottom w:val="single" w:sz="12" w:space="0" w:color="auto"/>
                    <w:right w:val="single" w:sz="4" w:space="0" w:color="auto"/>
                  </w:tcBorders>
                  <w:tcMar>
                    <w:left w:w="58" w:type="dxa"/>
                    <w:right w:w="58" w:type="dxa"/>
                  </w:tcMar>
                </w:tcPr>
                <w:p w14:paraId="5408B4FA" w14:textId="77777777" w:rsidR="00D510E7" w:rsidRPr="005D4222" w:rsidRDefault="00D510E7" w:rsidP="00D510E7">
                  <w:pPr>
                    <w:pStyle w:val="TableText"/>
                    <w:rPr>
                      <w:rFonts w:eastAsia="Arial Narrow,Times New Roman"/>
                      <w:szCs w:val="21"/>
                      <w:u w:val="single"/>
                    </w:rPr>
                  </w:pPr>
                  <w:r w:rsidRPr="005D4222">
                    <w:rPr>
                      <w:rFonts w:eastAsia="Arial Narrow,Times New Roman"/>
                      <w:szCs w:val="21"/>
                      <w:u w:val="single"/>
                    </w:rPr>
                    <w:t>Flurazepam 15 MG Medications List</w:t>
                  </w:r>
                </w:p>
                <w:p w14:paraId="6D13C5AA" w14:textId="77777777" w:rsidR="00D510E7" w:rsidRPr="005D4222" w:rsidRDefault="00D510E7" w:rsidP="00D510E7">
                  <w:pPr>
                    <w:pStyle w:val="TableText"/>
                    <w:rPr>
                      <w:rFonts w:eastAsia="Arial Narrow,Times New Roman"/>
                      <w:szCs w:val="21"/>
                    </w:rPr>
                  </w:pPr>
                  <w:r w:rsidRPr="005D4222">
                    <w:rPr>
                      <w:rFonts w:eastAsia="Arial Narrow,Times New Roman"/>
                      <w:szCs w:val="21"/>
                      <w:u w:val="single"/>
                    </w:rPr>
                    <w:t>Flurazepam 30 MG Medications List</w:t>
                  </w:r>
                </w:p>
              </w:tc>
              <w:tc>
                <w:tcPr>
                  <w:tcW w:w="610" w:type="pct"/>
                  <w:tcBorders>
                    <w:top w:val="single" w:sz="12" w:space="0" w:color="auto"/>
                    <w:left w:val="single" w:sz="4" w:space="0" w:color="auto"/>
                    <w:bottom w:val="single" w:sz="12" w:space="0" w:color="auto"/>
                    <w:right w:val="single" w:sz="4" w:space="0" w:color="auto"/>
                  </w:tcBorders>
                  <w:tcMar>
                    <w:left w:w="58" w:type="dxa"/>
                    <w:right w:w="58" w:type="dxa"/>
                  </w:tcMar>
                </w:tcPr>
                <w:p w14:paraId="2A930BB6" w14:textId="77777777" w:rsidR="00D510E7" w:rsidRPr="005D4222" w:rsidRDefault="00D510E7" w:rsidP="00D510E7">
                  <w:pPr>
                    <w:pStyle w:val="TableText"/>
                    <w:rPr>
                      <w:rFonts w:eastAsia="Arial Narrow,Times New Roman" w:cs="Calibri"/>
                      <w:color w:val="000000"/>
                      <w:szCs w:val="21"/>
                      <w:shd w:val="clear" w:color="auto" w:fill="FFFFFF"/>
                    </w:rPr>
                  </w:pPr>
                  <w:r w:rsidRPr="005D4222">
                    <w:rPr>
                      <w:rFonts w:eastAsia="Arial Narrow,Times New Roman" w:cs="Calibri"/>
                      <w:color w:val="000000"/>
                      <w:szCs w:val="21"/>
                      <w:shd w:val="clear" w:color="auto" w:fill="FFFFFF"/>
                    </w:rPr>
                    <w:t>15 mg</w:t>
                  </w:r>
                </w:p>
                <w:p w14:paraId="66350FD2" w14:textId="77777777" w:rsidR="00D510E7" w:rsidRPr="005D4222" w:rsidRDefault="00D510E7" w:rsidP="00D510E7">
                  <w:pPr>
                    <w:pStyle w:val="TableText"/>
                    <w:rPr>
                      <w:rFonts w:eastAsia="Arial Narrow,Times New Roman" w:cs="Calibri"/>
                      <w:color w:val="000000"/>
                      <w:szCs w:val="21"/>
                      <w:shd w:val="clear" w:color="auto" w:fill="FFFFFF"/>
                    </w:rPr>
                  </w:pPr>
                  <w:r w:rsidRPr="005D4222">
                    <w:rPr>
                      <w:rFonts w:eastAsia="Arial Narrow,Times New Roman" w:cs="Calibri"/>
                      <w:color w:val="000000"/>
                      <w:szCs w:val="21"/>
                      <w:shd w:val="clear" w:color="auto" w:fill="FFFFFF"/>
                    </w:rPr>
                    <w:t>30 mg</w:t>
                  </w:r>
                </w:p>
              </w:tc>
              <w:tc>
                <w:tcPr>
                  <w:tcW w:w="793" w:type="pct"/>
                  <w:tcBorders>
                    <w:top w:val="single" w:sz="12" w:space="0" w:color="auto"/>
                    <w:left w:val="single" w:sz="4" w:space="0" w:color="auto"/>
                    <w:bottom w:val="single" w:sz="12" w:space="0" w:color="auto"/>
                    <w:right w:val="single" w:sz="4" w:space="0" w:color="auto"/>
                  </w:tcBorders>
                  <w:tcMar>
                    <w:left w:w="58" w:type="dxa"/>
                    <w:right w:w="58" w:type="dxa"/>
                  </w:tcMar>
                </w:tcPr>
                <w:p w14:paraId="1CACC8CD" w14:textId="77777777" w:rsidR="00D510E7" w:rsidRPr="005D4222" w:rsidRDefault="00D510E7" w:rsidP="00D510E7">
                  <w:pPr>
                    <w:pStyle w:val="TableText"/>
                    <w:jc w:val="center"/>
                    <w:rPr>
                      <w:rFonts w:eastAsia="Arial Narrow,Times New Roman"/>
                      <w:szCs w:val="21"/>
                    </w:rPr>
                  </w:pPr>
                  <w:r w:rsidRPr="005D4222">
                    <w:rPr>
                      <w:rFonts w:eastAsia="Arial Narrow,Times New Roman"/>
                      <w:szCs w:val="21"/>
                    </w:rPr>
                    <w:t>3</w:t>
                  </w:r>
                </w:p>
              </w:tc>
            </w:tr>
            <w:tr w:rsidR="00D510E7" w:rsidRPr="005D4222" w14:paraId="6E47A946" w14:textId="77777777">
              <w:tc>
                <w:tcPr>
                  <w:tcW w:w="1277" w:type="pct"/>
                  <w:tcBorders>
                    <w:top w:val="single" w:sz="12" w:space="0" w:color="auto"/>
                    <w:left w:val="single" w:sz="4" w:space="0" w:color="auto"/>
                    <w:bottom w:val="single" w:sz="12" w:space="0" w:color="auto"/>
                    <w:right w:val="single" w:sz="4" w:space="0" w:color="auto"/>
                  </w:tcBorders>
                  <w:tcMar>
                    <w:left w:w="58" w:type="dxa"/>
                    <w:right w:w="58" w:type="dxa"/>
                  </w:tcMar>
                </w:tcPr>
                <w:p w14:paraId="3B1DF56D" w14:textId="77777777" w:rsidR="00D510E7" w:rsidRPr="005D4222" w:rsidRDefault="00D510E7" w:rsidP="00D510E7">
                  <w:pPr>
                    <w:pStyle w:val="TableText"/>
                    <w:rPr>
                      <w:szCs w:val="21"/>
                    </w:rPr>
                  </w:pPr>
                  <w:r w:rsidRPr="005D4222">
                    <w:rPr>
                      <w:szCs w:val="21"/>
                    </w:rPr>
                    <w:t>Lorazepam (oral)</w:t>
                  </w:r>
                </w:p>
              </w:tc>
              <w:tc>
                <w:tcPr>
                  <w:tcW w:w="2320" w:type="pct"/>
                  <w:tcBorders>
                    <w:top w:val="single" w:sz="12" w:space="0" w:color="auto"/>
                    <w:left w:val="single" w:sz="4" w:space="0" w:color="auto"/>
                    <w:bottom w:val="single" w:sz="12" w:space="0" w:color="auto"/>
                    <w:right w:val="single" w:sz="4" w:space="0" w:color="auto"/>
                  </w:tcBorders>
                  <w:tcMar>
                    <w:left w:w="58" w:type="dxa"/>
                    <w:right w:w="58" w:type="dxa"/>
                  </w:tcMar>
                </w:tcPr>
                <w:p w14:paraId="075D372F" w14:textId="77777777" w:rsidR="00D510E7" w:rsidRPr="005D4222" w:rsidRDefault="00D510E7" w:rsidP="00D510E7">
                  <w:pPr>
                    <w:pStyle w:val="TableText"/>
                    <w:rPr>
                      <w:rFonts w:eastAsia="Arial Narrow,Times New Roman"/>
                      <w:szCs w:val="21"/>
                      <w:u w:val="single"/>
                    </w:rPr>
                  </w:pPr>
                  <w:r w:rsidRPr="005D4222">
                    <w:rPr>
                      <w:rFonts w:eastAsia="Arial Narrow,Times New Roman"/>
                      <w:szCs w:val="21"/>
                      <w:u w:val="single"/>
                    </w:rPr>
                    <w:t>Lorazepam 1 MG Medications List</w:t>
                  </w:r>
                </w:p>
                <w:p w14:paraId="1E1ABEB9" w14:textId="77777777" w:rsidR="00D510E7" w:rsidRPr="005D4222" w:rsidRDefault="00D510E7" w:rsidP="00D510E7">
                  <w:pPr>
                    <w:pStyle w:val="TableText"/>
                    <w:rPr>
                      <w:rFonts w:eastAsia="Arial Narrow,Times New Roman"/>
                      <w:szCs w:val="21"/>
                      <w:u w:val="single"/>
                    </w:rPr>
                  </w:pPr>
                  <w:r w:rsidRPr="005D4222">
                    <w:rPr>
                      <w:rFonts w:eastAsia="Arial Narrow,Times New Roman"/>
                      <w:szCs w:val="21"/>
                      <w:u w:val="single"/>
                    </w:rPr>
                    <w:t>Lorazepam 2 MGPML Medications List</w:t>
                  </w:r>
                </w:p>
              </w:tc>
              <w:tc>
                <w:tcPr>
                  <w:tcW w:w="610" w:type="pct"/>
                  <w:tcBorders>
                    <w:top w:val="single" w:sz="12" w:space="0" w:color="auto"/>
                    <w:left w:val="single" w:sz="4" w:space="0" w:color="auto"/>
                    <w:bottom w:val="single" w:sz="12" w:space="0" w:color="auto"/>
                    <w:right w:val="single" w:sz="4" w:space="0" w:color="auto"/>
                  </w:tcBorders>
                  <w:tcMar>
                    <w:left w:w="58" w:type="dxa"/>
                    <w:right w:w="58" w:type="dxa"/>
                  </w:tcMar>
                </w:tcPr>
                <w:p w14:paraId="03137EFA" w14:textId="77777777" w:rsidR="00D510E7" w:rsidRPr="005D4222" w:rsidRDefault="00D510E7" w:rsidP="00D510E7">
                  <w:pPr>
                    <w:pStyle w:val="TableText"/>
                    <w:rPr>
                      <w:rFonts w:eastAsia="Arial Narrow,Times New Roman" w:cs="Calibri"/>
                      <w:color w:val="000000"/>
                      <w:szCs w:val="21"/>
                      <w:shd w:val="clear" w:color="auto" w:fill="FFFFFF"/>
                    </w:rPr>
                  </w:pPr>
                  <w:r w:rsidRPr="005D4222">
                    <w:rPr>
                      <w:rFonts w:eastAsia="Arial Narrow,Times New Roman" w:cs="Calibri"/>
                      <w:color w:val="000000"/>
                      <w:szCs w:val="21"/>
                      <w:shd w:val="clear" w:color="auto" w:fill="FFFFFF"/>
                    </w:rPr>
                    <w:t>1 mg</w:t>
                  </w:r>
                </w:p>
                <w:p w14:paraId="1DFAE00A" w14:textId="77777777" w:rsidR="00D510E7" w:rsidRPr="005D4222" w:rsidRDefault="00D510E7" w:rsidP="00D510E7">
                  <w:pPr>
                    <w:pStyle w:val="TableText"/>
                    <w:rPr>
                      <w:rFonts w:eastAsia="Arial Narrow,Times New Roman" w:cs="Calibri"/>
                      <w:color w:val="000000"/>
                      <w:szCs w:val="21"/>
                      <w:shd w:val="clear" w:color="auto" w:fill="FFFFFF"/>
                    </w:rPr>
                  </w:pPr>
                  <w:r w:rsidRPr="005D4222">
                    <w:rPr>
                      <w:rFonts w:eastAsia="Arial Narrow,Times New Roman" w:cs="Calibri"/>
                      <w:color w:val="000000"/>
                      <w:szCs w:val="21"/>
                      <w:shd w:val="clear" w:color="auto" w:fill="FFFFFF"/>
                    </w:rPr>
                    <w:t>2 mg</w:t>
                  </w:r>
                </w:p>
              </w:tc>
              <w:tc>
                <w:tcPr>
                  <w:tcW w:w="793" w:type="pct"/>
                  <w:tcBorders>
                    <w:top w:val="single" w:sz="12" w:space="0" w:color="auto"/>
                    <w:left w:val="single" w:sz="4" w:space="0" w:color="auto"/>
                    <w:bottom w:val="single" w:sz="12" w:space="0" w:color="auto"/>
                    <w:right w:val="single" w:sz="4" w:space="0" w:color="auto"/>
                  </w:tcBorders>
                  <w:tcMar>
                    <w:left w:w="58" w:type="dxa"/>
                    <w:right w:w="58" w:type="dxa"/>
                  </w:tcMar>
                </w:tcPr>
                <w:p w14:paraId="3C71A159" w14:textId="77777777" w:rsidR="00D510E7" w:rsidRPr="005D4222" w:rsidRDefault="00D510E7" w:rsidP="00D510E7">
                  <w:pPr>
                    <w:pStyle w:val="TableText"/>
                    <w:jc w:val="center"/>
                    <w:rPr>
                      <w:rFonts w:eastAsia="Arial Narrow,Times New Roman"/>
                      <w:szCs w:val="21"/>
                    </w:rPr>
                  </w:pPr>
                  <w:r w:rsidRPr="005D4222">
                    <w:rPr>
                      <w:rFonts w:eastAsia="Arial Narrow,Times New Roman"/>
                      <w:szCs w:val="21"/>
                    </w:rPr>
                    <w:t>0.2</w:t>
                  </w:r>
                </w:p>
              </w:tc>
            </w:tr>
            <w:tr w:rsidR="00D510E7" w:rsidRPr="005D4222" w14:paraId="4A9EAB83" w14:textId="77777777">
              <w:tc>
                <w:tcPr>
                  <w:tcW w:w="1277" w:type="pct"/>
                  <w:tcBorders>
                    <w:top w:val="single" w:sz="12" w:space="0" w:color="auto"/>
                    <w:left w:val="single" w:sz="4" w:space="0" w:color="auto"/>
                    <w:bottom w:val="single" w:sz="12" w:space="0" w:color="auto"/>
                    <w:right w:val="single" w:sz="4" w:space="0" w:color="auto"/>
                  </w:tcBorders>
                  <w:tcMar>
                    <w:left w:w="58" w:type="dxa"/>
                    <w:right w:w="58" w:type="dxa"/>
                  </w:tcMar>
                </w:tcPr>
                <w:p w14:paraId="4E35C961" w14:textId="77777777" w:rsidR="00D510E7" w:rsidRPr="005D4222" w:rsidRDefault="00D510E7" w:rsidP="00D510E7">
                  <w:pPr>
                    <w:pStyle w:val="TableText"/>
                    <w:rPr>
                      <w:szCs w:val="21"/>
                    </w:rPr>
                  </w:pPr>
                  <w:r w:rsidRPr="005D4222">
                    <w:rPr>
                      <w:szCs w:val="21"/>
                    </w:rPr>
                    <w:t>Midazolam (oral)</w:t>
                  </w:r>
                </w:p>
              </w:tc>
              <w:tc>
                <w:tcPr>
                  <w:tcW w:w="2320" w:type="pct"/>
                  <w:tcBorders>
                    <w:top w:val="single" w:sz="12" w:space="0" w:color="auto"/>
                    <w:left w:val="single" w:sz="4" w:space="0" w:color="auto"/>
                    <w:bottom w:val="single" w:sz="12" w:space="0" w:color="auto"/>
                    <w:right w:val="single" w:sz="4" w:space="0" w:color="auto"/>
                  </w:tcBorders>
                  <w:tcMar>
                    <w:left w:w="58" w:type="dxa"/>
                    <w:right w:w="58" w:type="dxa"/>
                  </w:tcMar>
                </w:tcPr>
                <w:p w14:paraId="007B7E43" w14:textId="77777777" w:rsidR="00D510E7" w:rsidRPr="005D4222" w:rsidRDefault="00D510E7" w:rsidP="00D510E7">
                  <w:pPr>
                    <w:pStyle w:val="TableText"/>
                    <w:rPr>
                      <w:rFonts w:eastAsia="Arial Narrow,Times New Roman"/>
                      <w:szCs w:val="21"/>
                      <w:u w:val="single"/>
                    </w:rPr>
                  </w:pPr>
                  <w:r w:rsidRPr="005D4222">
                    <w:rPr>
                      <w:rFonts w:eastAsia="Arial Narrow,Times New Roman"/>
                      <w:szCs w:val="21"/>
                      <w:u w:val="single"/>
                    </w:rPr>
                    <w:t>Midazolam 2 MGPML Medications List</w:t>
                  </w:r>
                </w:p>
              </w:tc>
              <w:tc>
                <w:tcPr>
                  <w:tcW w:w="610" w:type="pct"/>
                  <w:tcBorders>
                    <w:top w:val="single" w:sz="12" w:space="0" w:color="auto"/>
                    <w:left w:val="single" w:sz="4" w:space="0" w:color="auto"/>
                    <w:bottom w:val="single" w:sz="12" w:space="0" w:color="auto"/>
                    <w:right w:val="single" w:sz="4" w:space="0" w:color="auto"/>
                  </w:tcBorders>
                  <w:tcMar>
                    <w:left w:w="58" w:type="dxa"/>
                    <w:right w:w="58" w:type="dxa"/>
                  </w:tcMar>
                </w:tcPr>
                <w:p w14:paraId="1CA772A9" w14:textId="77777777" w:rsidR="00D510E7" w:rsidRPr="005D4222" w:rsidRDefault="00D510E7" w:rsidP="00D510E7">
                  <w:pPr>
                    <w:pStyle w:val="TableText"/>
                    <w:rPr>
                      <w:rFonts w:eastAsia="Arial Narrow,Times New Roman" w:cs="Calibri"/>
                      <w:color w:val="000000"/>
                      <w:szCs w:val="21"/>
                      <w:shd w:val="clear" w:color="auto" w:fill="FFFFFF"/>
                    </w:rPr>
                  </w:pPr>
                  <w:r w:rsidRPr="005D4222">
                    <w:rPr>
                      <w:rFonts w:eastAsia="Arial Narrow,Times New Roman" w:cs="Calibri"/>
                      <w:color w:val="000000"/>
                      <w:szCs w:val="21"/>
                      <w:shd w:val="clear" w:color="auto" w:fill="FFFFFF"/>
                    </w:rPr>
                    <w:t>2 mg</w:t>
                  </w:r>
                </w:p>
              </w:tc>
              <w:tc>
                <w:tcPr>
                  <w:tcW w:w="793" w:type="pct"/>
                  <w:tcBorders>
                    <w:top w:val="single" w:sz="12" w:space="0" w:color="auto"/>
                    <w:left w:val="single" w:sz="4" w:space="0" w:color="auto"/>
                    <w:bottom w:val="single" w:sz="12" w:space="0" w:color="auto"/>
                    <w:right w:val="single" w:sz="4" w:space="0" w:color="auto"/>
                  </w:tcBorders>
                  <w:tcMar>
                    <w:left w:w="58" w:type="dxa"/>
                    <w:right w:w="58" w:type="dxa"/>
                  </w:tcMar>
                </w:tcPr>
                <w:p w14:paraId="5EE67836" w14:textId="77777777" w:rsidR="00D510E7" w:rsidRPr="005D4222" w:rsidRDefault="00D510E7" w:rsidP="00D510E7">
                  <w:pPr>
                    <w:pStyle w:val="TableText"/>
                    <w:jc w:val="center"/>
                    <w:rPr>
                      <w:rFonts w:eastAsia="Arial Narrow,Times New Roman"/>
                      <w:szCs w:val="21"/>
                    </w:rPr>
                  </w:pPr>
                  <w:r w:rsidRPr="005D4222">
                    <w:rPr>
                      <w:rFonts w:eastAsia="Arial Narrow,Times New Roman"/>
                      <w:szCs w:val="21"/>
                    </w:rPr>
                    <w:t>1.5</w:t>
                  </w:r>
                </w:p>
              </w:tc>
            </w:tr>
            <w:tr w:rsidR="00D510E7" w:rsidRPr="005D4222" w14:paraId="22A6B07B" w14:textId="77777777">
              <w:tc>
                <w:tcPr>
                  <w:tcW w:w="1277" w:type="pct"/>
                  <w:tcBorders>
                    <w:top w:val="single" w:sz="12" w:space="0" w:color="auto"/>
                    <w:left w:val="single" w:sz="4" w:space="0" w:color="auto"/>
                    <w:bottom w:val="single" w:sz="12" w:space="0" w:color="auto"/>
                    <w:right w:val="single" w:sz="4" w:space="0" w:color="auto"/>
                  </w:tcBorders>
                  <w:tcMar>
                    <w:left w:w="58" w:type="dxa"/>
                    <w:right w:w="58" w:type="dxa"/>
                  </w:tcMar>
                </w:tcPr>
                <w:p w14:paraId="4426945C" w14:textId="77777777" w:rsidR="00D510E7" w:rsidRPr="005D4222" w:rsidRDefault="00D510E7" w:rsidP="00D510E7">
                  <w:pPr>
                    <w:pStyle w:val="TableText"/>
                    <w:rPr>
                      <w:szCs w:val="21"/>
                    </w:rPr>
                  </w:pPr>
                  <w:r w:rsidRPr="005D4222">
                    <w:rPr>
                      <w:szCs w:val="21"/>
                    </w:rPr>
                    <w:t>Oxazepam (oral)</w:t>
                  </w:r>
                </w:p>
              </w:tc>
              <w:tc>
                <w:tcPr>
                  <w:tcW w:w="2320" w:type="pct"/>
                  <w:tcBorders>
                    <w:top w:val="single" w:sz="12" w:space="0" w:color="auto"/>
                    <w:left w:val="single" w:sz="4" w:space="0" w:color="auto"/>
                    <w:bottom w:val="single" w:sz="12" w:space="0" w:color="auto"/>
                    <w:right w:val="single" w:sz="4" w:space="0" w:color="auto"/>
                  </w:tcBorders>
                  <w:tcMar>
                    <w:left w:w="58" w:type="dxa"/>
                    <w:right w:w="58" w:type="dxa"/>
                  </w:tcMar>
                </w:tcPr>
                <w:p w14:paraId="17166A1C" w14:textId="77777777" w:rsidR="00D510E7" w:rsidRPr="005D4222" w:rsidRDefault="00D510E7" w:rsidP="00D510E7">
                  <w:pPr>
                    <w:pStyle w:val="TableText"/>
                    <w:rPr>
                      <w:rFonts w:eastAsia="Arial Narrow,Times New Roman"/>
                      <w:szCs w:val="21"/>
                      <w:u w:val="single"/>
                    </w:rPr>
                  </w:pPr>
                  <w:r w:rsidRPr="005D4222">
                    <w:rPr>
                      <w:rFonts w:eastAsia="Arial Narrow,Times New Roman"/>
                      <w:szCs w:val="21"/>
                      <w:u w:val="single"/>
                    </w:rPr>
                    <w:t>Oxazepam 10 MG Medications List</w:t>
                  </w:r>
                </w:p>
                <w:p w14:paraId="51F18219" w14:textId="77777777" w:rsidR="00D510E7" w:rsidRPr="005D4222" w:rsidRDefault="00D510E7" w:rsidP="00D510E7">
                  <w:pPr>
                    <w:pStyle w:val="TableText"/>
                    <w:rPr>
                      <w:rFonts w:eastAsia="Arial Narrow,Times New Roman"/>
                      <w:szCs w:val="21"/>
                      <w:u w:val="single"/>
                    </w:rPr>
                  </w:pPr>
                  <w:r w:rsidRPr="005D4222">
                    <w:rPr>
                      <w:rFonts w:eastAsia="Arial Narrow,Times New Roman"/>
                      <w:szCs w:val="21"/>
                      <w:u w:val="single"/>
                    </w:rPr>
                    <w:t>Oxazepam 30 MG Medications List</w:t>
                  </w:r>
                </w:p>
              </w:tc>
              <w:tc>
                <w:tcPr>
                  <w:tcW w:w="610" w:type="pct"/>
                  <w:tcBorders>
                    <w:top w:val="single" w:sz="12" w:space="0" w:color="auto"/>
                    <w:left w:val="single" w:sz="4" w:space="0" w:color="auto"/>
                    <w:bottom w:val="single" w:sz="12" w:space="0" w:color="auto"/>
                    <w:right w:val="single" w:sz="4" w:space="0" w:color="auto"/>
                  </w:tcBorders>
                  <w:tcMar>
                    <w:left w:w="58" w:type="dxa"/>
                    <w:right w:w="58" w:type="dxa"/>
                  </w:tcMar>
                </w:tcPr>
                <w:p w14:paraId="3918CF53" w14:textId="77777777" w:rsidR="00D510E7" w:rsidRPr="005D4222" w:rsidRDefault="00D510E7" w:rsidP="00D510E7">
                  <w:pPr>
                    <w:pStyle w:val="TableText"/>
                    <w:rPr>
                      <w:rFonts w:eastAsia="Arial Narrow,Times New Roman" w:cs="Calibri"/>
                      <w:color w:val="000000"/>
                      <w:szCs w:val="21"/>
                      <w:shd w:val="clear" w:color="auto" w:fill="FFFFFF"/>
                    </w:rPr>
                  </w:pPr>
                  <w:r w:rsidRPr="005D4222">
                    <w:rPr>
                      <w:rFonts w:eastAsia="Arial Narrow,Times New Roman" w:cs="Calibri"/>
                      <w:color w:val="000000"/>
                      <w:szCs w:val="21"/>
                      <w:shd w:val="clear" w:color="auto" w:fill="FFFFFF"/>
                    </w:rPr>
                    <w:t>10 mg</w:t>
                  </w:r>
                </w:p>
                <w:p w14:paraId="07D67F9E" w14:textId="77777777" w:rsidR="00D510E7" w:rsidRPr="005D4222" w:rsidRDefault="00D510E7" w:rsidP="00D510E7">
                  <w:pPr>
                    <w:pStyle w:val="TableText"/>
                    <w:rPr>
                      <w:rFonts w:eastAsia="Arial Narrow,Times New Roman" w:cs="Calibri"/>
                      <w:color w:val="000000"/>
                      <w:szCs w:val="21"/>
                      <w:shd w:val="clear" w:color="auto" w:fill="FFFFFF"/>
                    </w:rPr>
                  </w:pPr>
                  <w:r w:rsidRPr="005D4222">
                    <w:rPr>
                      <w:rFonts w:eastAsia="Arial Narrow,Times New Roman" w:cs="Calibri"/>
                      <w:color w:val="000000"/>
                      <w:szCs w:val="21"/>
                      <w:shd w:val="clear" w:color="auto" w:fill="FFFFFF"/>
                    </w:rPr>
                    <w:t>30 mg</w:t>
                  </w:r>
                </w:p>
              </w:tc>
              <w:tc>
                <w:tcPr>
                  <w:tcW w:w="793" w:type="pct"/>
                  <w:tcBorders>
                    <w:top w:val="single" w:sz="12" w:space="0" w:color="auto"/>
                    <w:left w:val="single" w:sz="4" w:space="0" w:color="auto"/>
                    <w:bottom w:val="single" w:sz="12" w:space="0" w:color="auto"/>
                    <w:right w:val="single" w:sz="4" w:space="0" w:color="auto"/>
                  </w:tcBorders>
                  <w:tcMar>
                    <w:left w:w="58" w:type="dxa"/>
                    <w:right w:w="58" w:type="dxa"/>
                  </w:tcMar>
                </w:tcPr>
                <w:p w14:paraId="4AEA896B" w14:textId="77777777" w:rsidR="00D510E7" w:rsidRPr="005D4222" w:rsidRDefault="00D510E7" w:rsidP="00D510E7">
                  <w:pPr>
                    <w:pStyle w:val="TableText"/>
                    <w:jc w:val="center"/>
                    <w:rPr>
                      <w:rFonts w:eastAsia="Arial Narrow,Times New Roman"/>
                      <w:szCs w:val="21"/>
                    </w:rPr>
                  </w:pPr>
                  <w:r w:rsidRPr="005D4222">
                    <w:rPr>
                      <w:rFonts w:eastAsia="Arial Narrow,Times New Roman"/>
                      <w:szCs w:val="21"/>
                    </w:rPr>
                    <w:t>3</w:t>
                  </w:r>
                </w:p>
              </w:tc>
            </w:tr>
            <w:tr w:rsidR="00D510E7" w:rsidRPr="005D4222" w14:paraId="7BCC487A" w14:textId="77777777">
              <w:tc>
                <w:tcPr>
                  <w:tcW w:w="1277" w:type="pct"/>
                  <w:tcBorders>
                    <w:top w:val="single" w:sz="12" w:space="0" w:color="auto"/>
                    <w:left w:val="single" w:sz="4" w:space="0" w:color="auto"/>
                    <w:bottom w:val="single" w:sz="12" w:space="0" w:color="auto"/>
                    <w:right w:val="single" w:sz="4" w:space="0" w:color="auto"/>
                  </w:tcBorders>
                  <w:tcMar>
                    <w:left w:w="58" w:type="dxa"/>
                    <w:right w:w="58" w:type="dxa"/>
                  </w:tcMar>
                </w:tcPr>
                <w:p w14:paraId="6FCD13A8" w14:textId="77777777" w:rsidR="00D510E7" w:rsidRPr="005D4222" w:rsidRDefault="00D510E7" w:rsidP="00D510E7">
                  <w:pPr>
                    <w:pStyle w:val="TableText"/>
                    <w:rPr>
                      <w:szCs w:val="21"/>
                    </w:rPr>
                  </w:pPr>
                  <w:r w:rsidRPr="005D4222">
                    <w:rPr>
                      <w:szCs w:val="21"/>
                    </w:rPr>
                    <w:t>Quazepam (oral)</w:t>
                  </w:r>
                </w:p>
              </w:tc>
              <w:tc>
                <w:tcPr>
                  <w:tcW w:w="2320" w:type="pct"/>
                  <w:tcBorders>
                    <w:top w:val="single" w:sz="12" w:space="0" w:color="auto"/>
                    <w:left w:val="single" w:sz="4" w:space="0" w:color="auto"/>
                    <w:bottom w:val="single" w:sz="12" w:space="0" w:color="auto"/>
                    <w:right w:val="single" w:sz="4" w:space="0" w:color="auto"/>
                  </w:tcBorders>
                  <w:tcMar>
                    <w:left w:w="58" w:type="dxa"/>
                    <w:right w:w="58" w:type="dxa"/>
                  </w:tcMar>
                </w:tcPr>
                <w:p w14:paraId="2977FDFB" w14:textId="77777777" w:rsidR="00D510E7" w:rsidRPr="005D4222" w:rsidRDefault="00D510E7" w:rsidP="00D510E7">
                  <w:pPr>
                    <w:pStyle w:val="TableText"/>
                    <w:rPr>
                      <w:rFonts w:eastAsia="Arial Narrow,Times New Roman"/>
                      <w:szCs w:val="21"/>
                      <w:u w:val="single"/>
                    </w:rPr>
                  </w:pPr>
                  <w:r w:rsidRPr="005D4222">
                    <w:rPr>
                      <w:rFonts w:eastAsia="Arial Narrow,Times New Roman"/>
                      <w:szCs w:val="21"/>
                      <w:u w:val="single"/>
                    </w:rPr>
                    <w:t>Quazepam 15 MG Medications List</w:t>
                  </w:r>
                </w:p>
              </w:tc>
              <w:tc>
                <w:tcPr>
                  <w:tcW w:w="610" w:type="pct"/>
                  <w:tcBorders>
                    <w:top w:val="single" w:sz="12" w:space="0" w:color="auto"/>
                    <w:left w:val="single" w:sz="4" w:space="0" w:color="auto"/>
                    <w:bottom w:val="single" w:sz="12" w:space="0" w:color="auto"/>
                    <w:right w:val="single" w:sz="4" w:space="0" w:color="auto"/>
                  </w:tcBorders>
                  <w:tcMar>
                    <w:left w:w="58" w:type="dxa"/>
                    <w:right w:w="58" w:type="dxa"/>
                  </w:tcMar>
                </w:tcPr>
                <w:p w14:paraId="7B575A06" w14:textId="77777777" w:rsidR="00D510E7" w:rsidRPr="005D4222" w:rsidRDefault="00D510E7" w:rsidP="00D510E7">
                  <w:pPr>
                    <w:pStyle w:val="TableText"/>
                    <w:rPr>
                      <w:rFonts w:eastAsia="Arial Narrow,Times New Roman" w:cs="Calibri"/>
                      <w:color w:val="000000"/>
                      <w:szCs w:val="21"/>
                      <w:shd w:val="clear" w:color="auto" w:fill="FFFFFF"/>
                    </w:rPr>
                  </w:pPr>
                  <w:r w:rsidRPr="005D4222">
                    <w:rPr>
                      <w:rFonts w:eastAsia="Arial Narrow,Times New Roman" w:cs="Calibri"/>
                      <w:color w:val="000000"/>
                      <w:szCs w:val="21"/>
                      <w:shd w:val="clear" w:color="auto" w:fill="FFFFFF"/>
                    </w:rPr>
                    <w:t>15 mg</w:t>
                  </w:r>
                </w:p>
              </w:tc>
              <w:tc>
                <w:tcPr>
                  <w:tcW w:w="793" w:type="pct"/>
                  <w:tcBorders>
                    <w:top w:val="single" w:sz="12" w:space="0" w:color="auto"/>
                    <w:left w:val="single" w:sz="4" w:space="0" w:color="auto"/>
                    <w:bottom w:val="single" w:sz="12" w:space="0" w:color="auto"/>
                    <w:right w:val="single" w:sz="4" w:space="0" w:color="auto"/>
                  </w:tcBorders>
                  <w:tcMar>
                    <w:left w:w="58" w:type="dxa"/>
                    <w:right w:w="58" w:type="dxa"/>
                  </w:tcMar>
                </w:tcPr>
                <w:p w14:paraId="6125A232" w14:textId="77777777" w:rsidR="00D510E7" w:rsidRPr="005D4222" w:rsidRDefault="00D510E7" w:rsidP="00D510E7">
                  <w:pPr>
                    <w:pStyle w:val="TableText"/>
                    <w:jc w:val="center"/>
                    <w:rPr>
                      <w:rFonts w:eastAsia="Arial Narrow,Times New Roman"/>
                      <w:szCs w:val="21"/>
                    </w:rPr>
                  </w:pPr>
                  <w:r w:rsidRPr="005D4222">
                    <w:rPr>
                      <w:rFonts w:eastAsia="Arial Narrow,Times New Roman"/>
                      <w:szCs w:val="21"/>
                    </w:rPr>
                    <w:t>2</w:t>
                  </w:r>
                </w:p>
              </w:tc>
            </w:tr>
            <w:tr w:rsidR="00D510E7" w:rsidRPr="005D4222" w14:paraId="0EA3F4A1" w14:textId="77777777">
              <w:tc>
                <w:tcPr>
                  <w:tcW w:w="1277" w:type="pct"/>
                  <w:tcBorders>
                    <w:top w:val="single" w:sz="12" w:space="0" w:color="auto"/>
                    <w:left w:val="single" w:sz="4" w:space="0" w:color="auto"/>
                    <w:bottom w:val="single" w:sz="12" w:space="0" w:color="auto"/>
                    <w:right w:val="single" w:sz="4" w:space="0" w:color="auto"/>
                  </w:tcBorders>
                  <w:tcMar>
                    <w:left w:w="58" w:type="dxa"/>
                    <w:right w:w="58" w:type="dxa"/>
                  </w:tcMar>
                </w:tcPr>
                <w:p w14:paraId="67057B3C" w14:textId="77777777" w:rsidR="00D510E7" w:rsidRPr="005D4222" w:rsidRDefault="00D510E7" w:rsidP="00D510E7">
                  <w:pPr>
                    <w:pStyle w:val="TableText"/>
                    <w:rPr>
                      <w:szCs w:val="21"/>
                    </w:rPr>
                  </w:pPr>
                  <w:r w:rsidRPr="005D4222">
                    <w:rPr>
                      <w:szCs w:val="21"/>
                    </w:rPr>
                    <w:t>Temazepam (oral)</w:t>
                  </w:r>
                </w:p>
              </w:tc>
              <w:tc>
                <w:tcPr>
                  <w:tcW w:w="2320" w:type="pct"/>
                  <w:tcBorders>
                    <w:top w:val="single" w:sz="12" w:space="0" w:color="auto"/>
                    <w:left w:val="single" w:sz="4" w:space="0" w:color="auto"/>
                    <w:bottom w:val="single" w:sz="12" w:space="0" w:color="auto"/>
                    <w:right w:val="single" w:sz="4" w:space="0" w:color="auto"/>
                  </w:tcBorders>
                  <w:tcMar>
                    <w:left w:w="58" w:type="dxa"/>
                    <w:right w:w="58" w:type="dxa"/>
                  </w:tcMar>
                </w:tcPr>
                <w:p w14:paraId="5855A402" w14:textId="77777777" w:rsidR="00D510E7" w:rsidRPr="005D4222" w:rsidRDefault="00D510E7" w:rsidP="00D510E7">
                  <w:pPr>
                    <w:pStyle w:val="TableText"/>
                    <w:rPr>
                      <w:rFonts w:eastAsia="Arial Narrow,Times New Roman"/>
                      <w:szCs w:val="21"/>
                      <w:u w:val="single"/>
                    </w:rPr>
                  </w:pPr>
                  <w:r w:rsidRPr="005D4222">
                    <w:rPr>
                      <w:rFonts w:eastAsia="Arial Narrow,Times New Roman"/>
                      <w:szCs w:val="21"/>
                      <w:u w:val="single"/>
                    </w:rPr>
                    <w:t>Temazepam 7.5 MG Medications List</w:t>
                  </w:r>
                </w:p>
                <w:p w14:paraId="6881BA30" w14:textId="77777777" w:rsidR="00D510E7" w:rsidRPr="005D4222" w:rsidRDefault="00D510E7" w:rsidP="00D510E7">
                  <w:pPr>
                    <w:pStyle w:val="TableText"/>
                    <w:rPr>
                      <w:rFonts w:eastAsia="Arial Narrow,Times New Roman"/>
                      <w:szCs w:val="21"/>
                      <w:u w:val="single"/>
                    </w:rPr>
                  </w:pPr>
                  <w:r w:rsidRPr="005D4222">
                    <w:rPr>
                      <w:rFonts w:eastAsia="Arial Narrow,Times New Roman"/>
                      <w:szCs w:val="21"/>
                      <w:u w:val="single"/>
                    </w:rPr>
                    <w:t>Temazepam 15 MG Medications List</w:t>
                  </w:r>
                </w:p>
                <w:p w14:paraId="53D0BEFE" w14:textId="77777777" w:rsidR="00D510E7" w:rsidRPr="005D4222" w:rsidRDefault="00D510E7" w:rsidP="00D510E7">
                  <w:pPr>
                    <w:pStyle w:val="TableText"/>
                    <w:rPr>
                      <w:rFonts w:eastAsia="Arial Narrow,Times New Roman"/>
                      <w:szCs w:val="21"/>
                      <w:u w:val="single"/>
                    </w:rPr>
                  </w:pPr>
                  <w:r w:rsidRPr="005D4222">
                    <w:rPr>
                      <w:rFonts w:eastAsia="Arial Narrow,Times New Roman"/>
                      <w:szCs w:val="21"/>
                      <w:u w:val="single"/>
                    </w:rPr>
                    <w:t>Temazepam 22.5 MG Medications List</w:t>
                  </w:r>
                </w:p>
                <w:p w14:paraId="0A3C0446" w14:textId="77777777" w:rsidR="00D510E7" w:rsidRPr="005D4222" w:rsidRDefault="00D510E7" w:rsidP="00D510E7">
                  <w:pPr>
                    <w:pStyle w:val="TableText"/>
                    <w:rPr>
                      <w:rFonts w:eastAsia="Arial Narrow,Times New Roman"/>
                      <w:szCs w:val="21"/>
                      <w:u w:val="single"/>
                    </w:rPr>
                  </w:pPr>
                  <w:r w:rsidRPr="005D4222">
                    <w:rPr>
                      <w:rFonts w:eastAsia="Arial Narrow,Times New Roman"/>
                      <w:szCs w:val="21"/>
                      <w:u w:val="single"/>
                    </w:rPr>
                    <w:t>Temazepam 30 MG Medications List</w:t>
                  </w:r>
                </w:p>
              </w:tc>
              <w:tc>
                <w:tcPr>
                  <w:tcW w:w="610" w:type="pct"/>
                  <w:tcBorders>
                    <w:top w:val="single" w:sz="12" w:space="0" w:color="auto"/>
                    <w:left w:val="single" w:sz="4" w:space="0" w:color="auto"/>
                    <w:bottom w:val="single" w:sz="12" w:space="0" w:color="auto"/>
                    <w:right w:val="single" w:sz="4" w:space="0" w:color="auto"/>
                  </w:tcBorders>
                  <w:tcMar>
                    <w:left w:w="58" w:type="dxa"/>
                    <w:right w:w="58" w:type="dxa"/>
                  </w:tcMar>
                </w:tcPr>
                <w:p w14:paraId="3B7C976B" w14:textId="77777777" w:rsidR="00D510E7" w:rsidRPr="005D4222" w:rsidRDefault="00D510E7" w:rsidP="00D510E7">
                  <w:pPr>
                    <w:pStyle w:val="TableText"/>
                    <w:rPr>
                      <w:rFonts w:eastAsia="Arial Narrow,Times New Roman" w:cs="Calibri"/>
                      <w:color w:val="000000"/>
                      <w:szCs w:val="21"/>
                      <w:shd w:val="clear" w:color="auto" w:fill="FFFFFF"/>
                    </w:rPr>
                  </w:pPr>
                  <w:r w:rsidRPr="005D4222">
                    <w:rPr>
                      <w:rFonts w:eastAsia="Arial Narrow,Times New Roman" w:cs="Calibri"/>
                      <w:color w:val="000000"/>
                      <w:szCs w:val="21"/>
                      <w:shd w:val="clear" w:color="auto" w:fill="FFFFFF"/>
                    </w:rPr>
                    <w:t>7.5 mg</w:t>
                  </w:r>
                </w:p>
                <w:p w14:paraId="35C9C13C" w14:textId="77777777" w:rsidR="00D510E7" w:rsidRPr="005D4222" w:rsidRDefault="00D510E7" w:rsidP="00D510E7">
                  <w:pPr>
                    <w:pStyle w:val="TableText"/>
                    <w:rPr>
                      <w:rFonts w:eastAsia="Arial Narrow,Times New Roman" w:cs="Calibri"/>
                      <w:color w:val="000000"/>
                      <w:szCs w:val="21"/>
                      <w:shd w:val="clear" w:color="auto" w:fill="FFFFFF"/>
                    </w:rPr>
                  </w:pPr>
                  <w:r w:rsidRPr="005D4222">
                    <w:rPr>
                      <w:rFonts w:eastAsia="Arial Narrow,Times New Roman" w:cs="Calibri"/>
                      <w:color w:val="000000"/>
                      <w:szCs w:val="21"/>
                      <w:shd w:val="clear" w:color="auto" w:fill="FFFFFF"/>
                    </w:rPr>
                    <w:t>15 mg</w:t>
                  </w:r>
                </w:p>
                <w:p w14:paraId="1806DAB7" w14:textId="77777777" w:rsidR="00D510E7" w:rsidRPr="005D4222" w:rsidRDefault="00D510E7" w:rsidP="00D510E7">
                  <w:pPr>
                    <w:pStyle w:val="TableText"/>
                    <w:rPr>
                      <w:rFonts w:eastAsia="Arial Narrow,Times New Roman" w:cs="Calibri"/>
                      <w:color w:val="000000"/>
                      <w:szCs w:val="21"/>
                      <w:shd w:val="clear" w:color="auto" w:fill="FFFFFF"/>
                    </w:rPr>
                  </w:pPr>
                  <w:r w:rsidRPr="005D4222">
                    <w:rPr>
                      <w:rFonts w:eastAsia="Arial Narrow,Times New Roman" w:cs="Calibri"/>
                      <w:color w:val="000000"/>
                      <w:szCs w:val="21"/>
                      <w:shd w:val="clear" w:color="auto" w:fill="FFFFFF"/>
                    </w:rPr>
                    <w:t>22.5 mg</w:t>
                  </w:r>
                </w:p>
                <w:p w14:paraId="5A014FA2" w14:textId="77777777" w:rsidR="00D510E7" w:rsidRPr="005D4222" w:rsidRDefault="00D510E7" w:rsidP="00D510E7">
                  <w:pPr>
                    <w:pStyle w:val="TableText"/>
                    <w:rPr>
                      <w:rFonts w:eastAsia="Arial Narrow,Times New Roman" w:cs="Calibri"/>
                      <w:color w:val="000000"/>
                      <w:szCs w:val="21"/>
                      <w:shd w:val="clear" w:color="auto" w:fill="FFFFFF"/>
                    </w:rPr>
                  </w:pPr>
                  <w:r w:rsidRPr="005D4222">
                    <w:rPr>
                      <w:rFonts w:eastAsia="Arial Narrow,Times New Roman" w:cs="Calibri"/>
                      <w:color w:val="000000"/>
                      <w:szCs w:val="21"/>
                      <w:shd w:val="clear" w:color="auto" w:fill="FFFFFF"/>
                    </w:rPr>
                    <w:t>30 mg</w:t>
                  </w:r>
                </w:p>
              </w:tc>
              <w:tc>
                <w:tcPr>
                  <w:tcW w:w="793" w:type="pct"/>
                  <w:tcBorders>
                    <w:top w:val="single" w:sz="12" w:space="0" w:color="auto"/>
                    <w:left w:val="single" w:sz="4" w:space="0" w:color="auto"/>
                    <w:bottom w:val="single" w:sz="12" w:space="0" w:color="auto"/>
                    <w:right w:val="single" w:sz="4" w:space="0" w:color="auto"/>
                  </w:tcBorders>
                  <w:tcMar>
                    <w:left w:w="58" w:type="dxa"/>
                    <w:right w:w="58" w:type="dxa"/>
                  </w:tcMar>
                </w:tcPr>
                <w:p w14:paraId="7F58D9AE" w14:textId="77777777" w:rsidR="00D510E7" w:rsidRPr="005D4222" w:rsidRDefault="00D510E7" w:rsidP="00D510E7">
                  <w:pPr>
                    <w:pStyle w:val="TableText"/>
                    <w:jc w:val="center"/>
                    <w:rPr>
                      <w:rFonts w:eastAsia="Arial Narrow,Times New Roman"/>
                      <w:szCs w:val="21"/>
                    </w:rPr>
                  </w:pPr>
                  <w:r w:rsidRPr="005D4222">
                    <w:rPr>
                      <w:rFonts w:eastAsia="Arial Narrow,Times New Roman"/>
                      <w:szCs w:val="21"/>
                    </w:rPr>
                    <w:t>2</w:t>
                  </w:r>
                </w:p>
              </w:tc>
            </w:tr>
            <w:tr w:rsidR="00D510E7" w:rsidRPr="005D4222" w14:paraId="12426EC0" w14:textId="77777777">
              <w:tc>
                <w:tcPr>
                  <w:tcW w:w="1277" w:type="pct"/>
                  <w:tcBorders>
                    <w:top w:val="single" w:sz="12" w:space="0" w:color="auto"/>
                    <w:left w:val="single" w:sz="4" w:space="0" w:color="auto"/>
                    <w:bottom w:val="single" w:sz="4" w:space="0" w:color="auto"/>
                    <w:right w:val="single" w:sz="4" w:space="0" w:color="auto"/>
                  </w:tcBorders>
                  <w:tcMar>
                    <w:left w:w="58" w:type="dxa"/>
                    <w:right w:w="58" w:type="dxa"/>
                  </w:tcMar>
                </w:tcPr>
                <w:p w14:paraId="42EC8740" w14:textId="77777777" w:rsidR="00D510E7" w:rsidRPr="005D4222" w:rsidRDefault="00D510E7" w:rsidP="00D510E7">
                  <w:pPr>
                    <w:pStyle w:val="TableText"/>
                    <w:rPr>
                      <w:szCs w:val="21"/>
                    </w:rPr>
                  </w:pPr>
                  <w:r w:rsidRPr="005D4222">
                    <w:rPr>
                      <w:szCs w:val="21"/>
                    </w:rPr>
                    <w:t>Triazolam (oral)</w:t>
                  </w:r>
                </w:p>
              </w:tc>
              <w:tc>
                <w:tcPr>
                  <w:tcW w:w="2320" w:type="pct"/>
                  <w:tcBorders>
                    <w:top w:val="single" w:sz="12" w:space="0" w:color="auto"/>
                    <w:left w:val="single" w:sz="4" w:space="0" w:color="auto"/>
                    <w:bottom w:val="single" w:sz="4" w:space="0" w:color="auto"/>
                    <w:right w:val="single" w:sz="4" w:space="0" w:color="auto"/>
                  </w:tcBorders>
                  <w:tcMar>
                    <w:left w:w="58" w:type="dxa"/>
                    <w:right w:w="58" w:type="dxa"/>
                  </w:tcMar>
                </w:tcPr>
                <w:p w14:paraId="070D7606" w14:textId="77777777" w:rsidR="00D510E7" w:rsidRPr="005D4222" w:rsidRDefault="00D510E7" w:rsidP="00D510E7">
                  <w:pPr>
                    <w:pStyle w:val="TableText"/>
                    <w:rPr>
                      <w:rFonts w:eastAsia="Arial Narrow,Times New Roman"/>
                      <w:szCs w:val="21"/>
                      <w:u w:val="single"/>
                    </w:rPr>
                  </w:pPr>
                  <w:r w:rsidRPr="005D4222">
                    <w:rPr>
                      <w:rFonts w:eastAsia="Arial Narrow,Times New Roman"/>
                      <w:szCs w:val="21"/>
                      <w:u w:val="single"/>
                    </w:rPr>
                    <w:t>Triazolam 0.125 MG Medications List</w:t>
                  </w:r>
                </w:p>
                <w:p w14:paraId="2A757A81" w14:textId="77777777" w:rsidR="00D510E7" w:rsidRPr="005D4222" w:rsidRDefault="00D510E7" w:rsidP="00D510E7">
                  <w:pPr>
                    <w:pStyle w:val="TableText"/>
                    <w:rPr>
                      <w:rFonts w:eastAsia="Arial Narrow,Times New Roman"/>
                      <w:szCs w:val="21"/>
                      <w:u w:val="single"/>
                    </w:rPr>
                  </w:pPr>
                  <w:r w:rsidRPr="005D4222">
                    <w:rPr>
                      <w:rFonts w:eastAsia="Arial Narrow,Times New Roman"/>
                      <w:szCs w:val="21"/>
                      <w:u w:val="single"/>
                    </w:rPr>
                    <w:t>Triazolam 0.25 MG Medications List</w:t>
                  </w:r>
                </w:p>
              </w:tc>
              <w:tc>
                <w:tcPr>
                  <w:tcW w:w="610" w:type="pct"/>
                  <w:tcBorders>
                    <w:top w:val="single" w:sz="12" w:space="0" w:color="auto"/>
                    <w:left w:val="single" w:sz="4" w:space="0" w:color="auto"/>
                    <w:bottom w:val="single" w:sz="4" w:space="0" w:color="auto"/>
                    <w:right w:val="single" w:sz="4" w:space="0" w:color="auto"/>
                  </w:tcBorders>
                  <w:tcMar>
                    <w:left w:w="58" w:type="dxa"/>
                    <w:right w:w="58" w:type="dxa"/>
                  </w:tcMar>
                </w:tcPr>
                <w:p w14:paraId="77E974C9" w14:textId="77777777" w:rsidR="00D510E7" w:rsidRPr="005D4222" w:rsidRDefault="00D510E7" w:rsidP="00D510E7">
                  <w:pPr>
                    <w:pStyle w:val="TableText"/>
                    <w:rPr>
                      <w:rFonts w:eastAsia="Arial Narrow,Times New Roman" w:cs="Calibri"/>
                      <w:color w:val="000000"/>
                      <w:szCs w:val="21"/>
                      <w:shd w:val="clear" w:color="auto" w:fill="FFFFFF"/>
                    </w:rPr>
                  </w:pPr>
                  <w:r w:rsidRPr="005D4222">
                    <w:rPr>
                      <w:rFonts w:eastAsia="Arial Narrow,Times New Roman" w:cs="Calibri"/>
                      <w:color w:val="000000"/>
                      <w:szCs w:val="21"/>
                      <w:shd w:val="clear" w:color="auto" w:fill="FFFFFF"/>
                    </w:rPr>
                    <w:t>0.125 mg</w:t>
                  </w:r>
                </w:p>
                <w:p w14:paraId="52323FA0" w14:textId="77777777" w:rsidR="00D510E7" w:rsidRPr="005D4222" w:rsidRDefault="00D510E7" w:rsidP="00D510E7">
                  <w:pPr>
                    <w:pStyle w:val="TableText"/>
                    <w:rPr>
                      <w:rFonts w:eastAsia="Arial Narrow,Times New Roman" w:cs="Calibri"/>
                      <w:color w:val="000000"/>
                      <w:szCs w:val="21"/>
                      <w:shd w:val="clear" w:color="auto" w:fill="FFFFFF"/>
                    </w:rPr>
                  </w:pPr>
                  <w:r w:rsidRPr="005D4222">
                    <w:rPr>
                      <w:rFonts w:eastAsia="Arial Narrow,Times New Roman" w:cs="Calibri"/>
                      <w:color w:val="000000"/>
                      <w:szCs w:val="21"/>
                      <w:shd w:val="clear" w:color="auto" w:fill="FFFFFF"/>
                    </w:rPr>
                    <w:t xml:space="preserve">0.25 mg </w:t>
                  </w:r>
                </w:p>
              </w:tc>
              <w:tc>
                <w:tcPr>
                  <w:tcW w:w="793" w:type="pct"/>
                  <w:tcBorders>
                    <w:top w:val="single" w:sz="12" w:space="0" w:color="auto"/>
                    <w:left w:val="single" w:sz="4" w:space="0" w:color="auto"/>
                    <w:bottom w:val="single" w:sz="4" w:space="0" w:color="auto"/>
                    <w:right w:val="single" w:sz="4" w:space="0" w:color="auto"/>
                  </w:tcBorders>
                  <w:tcMar>
                    <w:left w:w="58" w:type="dxa"/>
                    <w:right w:w="58" w:type="dxa"/>
                  </w:tcMar>
                </w:tcPr>
                <w:p w14:paraId="6CBFB9A9" w14:textId="77777777" w:rsidR="00D510E7" w:rsidRPr="005D4222" w:rsidRDefault="00D510E7" w:rsidP="00D510E7">
                  <w:pPr>
                    <w:pStyle w:val="TableText"/>
                    <w:jc w:val="center"/>
                    <w:rPr>
                      <w:rFonts w:eastAsia="Arial Narrow,Times New Roman"/>
                      <w:szCs w:val="21"/>
                    </w:rPr>
                  </w:pPr>
                  <w:r w:rsidRPr="005D4222">
                    <w:rPr>
                      <w:rFonts w:eastAsia="Arial Narrow,Times New Roman"/>
                      <w:szCs w:val="21"/>
                    </w:rPr>
                    <w:t>0.025</w:t>
                  </w:r>
                </w:p>
              </w:tc>
            </w:tr>
          </w:tbl>
          <w:p w14:paraId="53F648B4" w14:textId="77777777" w:rsidR="002A13AB" w:rsidRPr="005D4222" w:rsidRDefault="002A13AB" w:rsidP="002A13AB">
            <w:pPr>
              <w:pStyle w:val="ECDSBody"/>
            </w:pPr>
          </w:p>
        </w:tc>
      </w:tr>
      <w:tr w:rsidR="00084A86" w:rsidRPr="005D4222" w14:paraId="37CCC6C2"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C24D1EB" w14:textId="77777777" w:rsidR="00084A86" w:rsidRPr="005D4222" w:rsidRDefault="00084A86">
            <w:pPr>
              <w:pStyle w:val="ECDSMarginHead"/>
            </w:pPr>
            <w:r w:rsidRPr="005D4222">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B9615BD" w14:textId="77777777" w:rsidR="00084A86" w:rsidRPr="005D4222" w:rsidRDefault="00084A86">
            <w:pPr>
              <w:pStyle w:val="ProcessBullet"/>
              <w:spacing w:before="120"/>
            </w:pPr>
            <w:r w:rsidRPr="005D4222">
              <w:t>No changes to this measure.</w:t>
            </w:r>
          </w:p>
        </w:tc>
      </w:tr>
    </w:tbl>
    <w:p w14:paraId="36089666" w14:textId="77777777" w:rsidR="00D510E7" w:rsidRPr="005D4222" w:rsidRDefault="00D510E7">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084A86" w:rsidRPr="005D4222" w14:paraId="15D8ED66" w14:textId="77777777">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5F1C4D0" w14:textId="77777777" w:rsidR="00084A86" w:rsidRPr="005D4222" w:rsidRDefault="00084A86">
            <w:pPr>
              <w:pStyle w:val="ECDSMarginHead"/>
            </w:pPr>
            <w:r w:rsidRPr="005D4222">
              <w:lastRenderedPageBreak/>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7182C36" w14:textId="77777777" w:rsidR="00084A86" w:rsidRPr="005D4222" w:rsidRDefault="00084A86">
            <w:pPr>
              <w:pStyle w:val="ECDSBody"/>
            </w:pPr>
            <w:r w:rsidRPr="005D4222">
              <w:t>Organizations that submit HEDIS data to NCQA must provide the following data elements.</w:t>
            </w:r>
          </w:p>
          <w:p w14:paraId="25650CDA" w14:textId="77777777" w:rsidR="00084A86" w:rsidRPr="005D4222" w:rsidRDefault="00084A86">
            <w:pPr>
              <w:pStyle w:val="Heading3"/>
              <w:spacing w:before="120"/>
            </w:pPr>
            <w:r w:rsidRPr="005D4222">
              <w:t>Table DBO-3: Data Elements for Deprescribing of Benzodiazepines in Older Adults</w:t>
            </w:r>
          </w:p>
          <w:tbl>
            <w:tblPr>
              <w:tblW w:w="73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606"/>
              <w:gridCol w:w="1350"/>
              <w:gridCol w:w="1800"/>
              <w:gridCol w:w="1620"/>
            </w:tblGrid>
            <w:tr w:rsidR="00084A86" w:rsidRPr="005D4222" w14:paraId="3413381F" w14:textId="77777777">
              <w:tc>
                <w:tcPr>
                  <w:tcW w:w="2606"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vAlign w:val="bottom"/>
                </w:tcPr>
                <w:p w14:paraId="30AADCFD" w14:textId="77777777" w:rsidR="00084A86" w:rsidRPr="005D4222" w:rsidRDefault="00084A86">
                  <w:pPr>
                    <w:pStyle w:val="TableHead"/>
                  </w:pPr>
                  <w:r w:rsidRPr="005D4222">
                    <w:t>Metric</w:t>
                  </w:r>
                </w:p>
              </w:tc>
              <w:tc>
                <w:tcPr>
                  <w:tcW w:w="135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vAlign w:val="bottom"/>
                </w:tcPr>
                <w:p w14:paraId="25ECAEED" w14:textId="77777777" w:rsidR="00084A86" w:rsidRPr="005D4222" w:rsidRDefault="00084A86">
                  <w:pPr>
                    <w:pStyle w:val="TableHead"/>
                  </w:pPr>
                  <w:r w:rsidRPr="005D4222">
                    <w:t>Diagnosis</w:t>
                  </w:r>
                </w:p>
              </w:tc>
              <w:tc>
                <w:tcPr>
                  <w:tcW w:w="180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vAlign w:val="bottom"/>
                </w:tcPr>
                <w:p w14:paraId="03FF8BD9" w14:textId="77777777" w:rsidR="00084A86" w:rsidRPr="005D4222" w:rsidRDefault="00084A86">
                  <w:pPr>
                    <w:pStyle w:val="TableHead"/>
                  </w:pPr>
                  <w:r w:rsidRPr="005D4222">
                    <w:t>Data Element</w:t>
                  </w:r>
                </w:p>
              </w:tc>
              <w:tc>
                <w:tcPr>
                  <w:tcW w:w="1620"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vAlign w:val="bottom"/>
                </w:tcPr>
                <w:p w14:paraId="7DA4BDD3" w14:textId="77777777" w:rsidR="00084A86" w:rsidRPr="005D4222" w:rsidRDefault="00084A86">
                  <w:pPr>
                    <w:pStyle w:val="TableHead"/>
                  </w:pPr>
                  <w:r w:rsidRPr="005D4222">
                    <w:t>Reporting Instructions</w:t>
                  </w:r>
                </w:p>
              </w:tc>
            </w:tr>
            <w:tr w:rsidR="00084A86" w:rsidRPr="005D4222" w14:paraId="509243C4" w14:textId="77777777">
              <w:tc>
                <w:tcPr>
                  <w:tcW w:w="2606" w:type="dxa"/>
                  <w:tcBorders>
                    <w:top w:val="single" w:sz="4" w:space="0" w:color="000000" w:themeColor="text1"/>
                    <w:left w:val="single" w:sz="4" w:space="0" w:color="auto"/>
                    <w:bottom w:val="single" w:sz="4" w:space="0" w:color="auto"/>
                    <w:right w:val="single" w:sz="4" w:space="0" w:color="auto"/>
                  </w:tcBorders>
                </w:tcPr>
                <w:p w14:paraId="605CC976" w14:textId="77777777" w:rsidR="00084A86" w:rsidRPr="005D4222" w:rsidRDefault="00084A86">
                  <w:pPr>
                    <w:pStyle w:val="TableText"/>
                  </w:pPr>
                  <w:r w:rsidRPr="005D4222">
                    <w:t>BenzodiazepinesInOlderAdults</w:t>
                  </w:r>
                </w:p>
              </w:tc>
              <w:tc>
                <w:tcPr>
                  <w:tcW w:w="1350" w:type="dxa"/>
                  <w:tcBorders>
                    <w:top w:val="single" w:sz="4" w:space="0" w:color="000000" w:themeColor="text1"/>
                    <w:left w:val="single" w:sz="4" w:space="0" w:color="auto"/>
                    <w:bottom w:val="single" w:sz="4" w:space="0" w:color="auto"/>
                    <w:right w:val="single" w:sz="4" w:space="0" w:color="auto"/>
                  </w:tcBorders>
                </w:tcPr>
                <w:p w14:paraId="62A9A9A7" w14:textId="77777777" w:rsidR="00084A86" w:rsidRPr="005D4222" w:rsidRDefault="00084A86">
                  <w:pPr>
                    <w:pStyle w:val="TableText"/>
                  </w:pPr>
                  <w:r w:rsidRPr="005D4222">
                    <w:t>WithGAD</w:t>
                  </w:r>
                </w:p>
              </w:tc>
              <w:tc>
                <w:tcPr>
                  <w:tcW w:w="1800" w:type="dxa"/>
                  <w:tcBorders>
                    <w:top w:val="single" w:sz="4" w:space="0" w:color="000000" w:themeColor="text1"/>
                    <w:left w:val="single" w:sz="4" w:space="0" w:color="auto"/>
                    <w:bottom w:val="single" w:sz="4" w:space="0" w:color="auto"/>
                    <w:right w:val="single" w:sz="4" w:space="0" w:color="auto"/>
                  </w:tcBorders>
                </w:tcPr>
                <w:p w14:paraId="21DE5A30" w14:textId="77777777" w:rsidR="00084A86" w:rsidRPr="005D4222" w:rsidRDefault="00084A86">
                  <w:pPr>
                    <w:pStyle w:val="TableText"/>
                  </w:pPr>
                  <w:r w:rsidRPr="005D4222">
                    <w:t>Benefit</w:t>
                  </w:r>
                </w:p>
              </w:tc>
              <w:tc>
                <w:tcPr>
                  <w:tcW w:w="1620" w:type="dxa"/>
                  <w:tcBorders>
                    <w:top w:val="single" w:sz="4" w:space="0" w:color="000000" w:themeColor="text1"/>
                    <w:left w:val="single" w:sz="4" w:space="0" w:color="auto"/>
                    <w:bottom w:val="single" w:sz="6" w:space="0" w:color="auto"/>
                    <w:right w:val="single" w:sz="4" w:space="0" w:color="auto"/>
                  </w:tcBorders>
                </w:tcPr>
                <w:p w14:paraId="6A36BA34" w14:textId="77777777" w:rsidR="00084A86" w:rsidRPr="005D4222" w:rsidRDefault="00084A86">
                  <w:pPr>
                    <w:pStyle w:val="TableText"/>
                    <w:rPr>
                      <w:rFonts w:eastAsia="Wingdings"/>
                    </w:rPr>
                  </w:pPr>
                  <w:r w:rsidRPr="005D4222">
                    <w:rPr>
                      <w:rFonts w:eastAsia="Wingdings"/>
                    </w:rPr>
                    <w:t>Metadata</w:t>
                  </w:r>
                </w:p>
              </w:tc>
            </w:tr>
            <w:tr w:rsidR="00084A86" w:rsidRPr="005D4222" w14:paraId="388B2D97" w14:textId="77777777">
              <w:tc>
                <w:tcPr>
                  <w:tcW w:w="2606" w:type="dxa"/>
                  <w:tcBorders>
                    <w:top w:val="single" w:sz="4" w:space="0" w:color="auto"/>
                    <w:left w:val="nil"/>
                    <w:bottom w:val="nil"/>
                    <w:right w:val="single" w:sz="4" w:space="0" w:color="auto"/>
                  </w:tcBorders>
                  <w:shd w:val="clear" w:color="auto" w:fill="FFFFFF" w:themeFill="background1"/>
                </w:tcPr>
                <w:p w14:paraId="163E9F1B" w14:textId="77777777" w:rsidR="00084A86" w:rsidRPr="005D4222" w:rsidRDefault="00084A86">
                  <w:pPr>
                    <w:pStyle w:val="TableText"/>
                  </w:pPr>
                </w:p>
              </w:tc>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tcPr>
                <w:p w14:paraId="7B6A8DAC" w14:textId="77777777" w:rsidR="00084A86" w:rsidRPr="005D4222" w:rsidRDefault="00084A86">
                  <w:pPr>
                    <w:pStyle w:val="TableText"/>
                  </w:pPr>
                  <w:r w:rsidRPr="005D4222">
                    <w:t>WithoutGAD</w:t>
                  </w: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Pr>
                <w:p w14:paraId="41C9E889" w14:textId="77777777" w:rsidR="00084A86" w:rsidRPr="005D4222" w:rsidRDefault="00084A86">
                  <w:pPr>
                    <w:pStyle w:val="TableText"/>
                  </w:pPr>
                  <w:r w:rsidRPr="005D4222">
                    <w:t>InitialPopulation</w:t>
                  </w:r>
                </w:p>
              </w:tc>
              <w:tc>
                <w:tcPr>
                  <w:tcW w:w="1620" w:type="dxa"/>
                  <w:tcBorders>
                    <w:left w:val="single" w:sz="4" w:space="0" w:color="auto"/>
                    <w:right w:val="single" w:sz="4" w:space="0" w:color="auto"/>
                  </w:tcBorders>
                  <w:shd w:val="clear" w:color="auto" w:fill="FFFFFF" w:themeFill="background1"/>
                </w:tcPr>
                <w:p w14:paraId="79EA9CB8" w14:textId="77777777" w:rsidR="00084A86" w:rsidRPr="005D4222" w:rsidRDefault="00084A86">
                  <w:pPr>
                    <w:pStyle w:val="TableText"/>
                    <w:rPr>
                      <w:rFonts w:eastAsia="Wingdings"/>
                    </w:rPr>
                  </w:pPr>
                  <w:r w:rsidRPr="005D4222">
                    <w:rPr>
                      <w:rFonts w:eastAsia="Wingdings"/>
                    </w:rPr>
                    <w:t>For each Stratification</w:t>
                  </w:r>
                </w:p>
              </w:tc>
            </w:tr>
            <w:tr w:rsidR="00084A86" w:rsidRPr="005D4222" w14:paraId="06EBCC87" w14:textId="77777777">
              <w:tc>
                <w:tcPr>
                  <w:tcW w:w="2606" w:type="dxa"/>
                  <w:tcBorders>
                    <w:top w:val="nil"/>
                    <w:left w:val="nil"/>
                    <w:bottom w:val="nil"/>
                    <w:right w:val="single" w:sz="4" w:space="0" w:color="auto"/>
                  </w:tcBorders>
                  <w:shd w:val="clear" w:color="auto" w:fill="FFFFFF" w:themeFill="background1"/>
                </w:tcPr>
                <w:p w14:paraId="4E60BF50" w14:textId="77777777" w:rsidR="00084A86" w:rsidRPr="005D4222" w:rsidRDefault="00084A86">
                  <w:pPr>
                    <w:pStyle w:val="TableText"/>
                  </w:pP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0984883" w14:textId="77777777" w:rsidR="00084A86" w:rsidRPr="005D4222" w:rsidRDefault="00084A86">
                  <w:pPr>
                    <w:pStyle w:val="TableText"/>
                  </w:pPr>
                  <w:r w:rsidRPr="005D4222">
                    <w:t>Total</w:t>
                  </w: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Pr>
                <w:p w14:paraId="1D22AB60" w14:textId="77777777" w:rsidR="00084A86" w:rsidRPr="005D4222" w:rsidRDefault="00084A86">
                  <w:pPr>
                    <w:pStyle w:val="TableText"/>
                  </w:pPr>
                  <w:r w:rsidRPr="005D4222">
                    <w:t>Exclusions</w:t>
                  </w:r>
                </w:p>
              </w:tc>
              <w:tc>
                <w:tcPr>
                  <w:tcW w:w="1620" w:type="dxa"/>
                  <w:tcBorders>
                    <w:left w:val="single" w:sz="4" w:space="0" w:color="auto"/>
                    <w:right w:val="single" w:sz="4" w:space="0" w:color="auto"/>
                  </w:tcBorders>
                  <w:shd w:val="clear" w:color="auto" w:fill="FFFFFF" w:themeFill="background1"/>
                </w:tcPr>
                <w:p w14:paraId="56153700" w14:textId="77777777" w:rsidR="00084A86" w:rsidRPr="005D4222" w:rsidRDefault="00084A86">
                  <w:pPr>
                    <w:pStyle w:val="TableText"/>
                    <w:rPr>
                      <w:rFonts w:eastAsia="Wingdings"/>
                    </w:rPr>
                  </w:pPr>
                  <w:r w:rsidRPr="005D4222">
                    <w:rPr>
                      <w:rFonts w:eastAsia="Wingdings"/>
                    </w:rPr>
                    <w:t>For each Stratification</w:t>
                  </w:r>
                </w:p>
              </w:tc>
            </w:tr>
            <w:tr w:rsidR="00084A86" w:rsidRPr="005D4222" w14:paraId="52C8E16F" w14:textId="77777777">
              <w:tc>
                <w:tcPr>
                  <w:tcW w:w="2606" w:type="dxa"/>
                  <w:tcBorders>
                    <w:top w:val="nil"/>
                    <w:left w:val="nil"/>
                    <w:bottom w:val="nil"/>
                    <w:right w:val="nil"/>
                  </w:tcBorders>
                  <w:shd w:val="clear" w:color="auto" w:fill="FFFFFF" w:themeFill="background1"/>
                </w:tcPr>
                <w:p w14:paraId="1F11FC23" w14:textId="77777777" w:rsidR="00084A86" w:rsidRPr="005D4222" w:rsidRDefault="00084A86">
                  <w:pPr>
                    <w:pStyle w:val="TableText"/>
                  </w:pPr>
                </w:p>
              </w:tc>
              <w:tc>
                <w:tcPr>
                  <w:tcW w:w="1350" w:type="dxa"/>
                  <w:tcBorders>
                    <w:top w:val="single" w:sz="4" w:space="0" w:color="auto"/>
                    <w:left w:val="nil"/>
                    <w:bottom w:val="nil"/>
                    <w:right w:val="single" w:sz="4" w:space="0" w:color="auto"/>
                  </w:tcBorders>
                </w:tcPr>
                <w:p w14:paraId="10027AD2" w14:textId="77777777" w:rsidR="00084A86" w:rsidRPr="005D4222" w:rsidRDefault="00084A86">
                  <w:pPr>
                    <w:pStyle w:val="TableText"/>
                  </w:pP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Pr>
                <w:p w14:paraId="4A2E954B" w14:textId="77777777" w:rsidR="00084A86" w:rsidRPr="005D4222" w:rsidRDefault="00084A86">
                  <w:pPr>
                    <w:pStyle w:val="TableText"/>
                  </w:pPr>
                  <w:r w:rsidRPr="005D4222">
                    <w:t>Denominator</w:t>
                  </w:r>
                </w:p>
              </w:tc>
              <w:tc>
                <w:tcPr>
                  <w:tcW w:w="1620" w:type="dxa"/>
                  <w:tcBorders>
                    <w:left w:val="single" w:sz="4" w:space="0" w:color="auto"/>
                    <w:right w:val="single" w:sz="4" w:space="0" w:color="auto"/>
                  </w:tcBorders>
                  <w:shd w:val="clear" w:color="auto" w:fill="FFFFFF" w:themeFill="background1"/>
                </w:tcPr>
                <w:p w14:paraId="78223143" w14:textId="77777777" w:rsidR="00084A86" w:rsidRPr="005D4222" w:rsidRDefault="00084A86">
                  <w:pPr>
                    <w:pStyle w:val="TableText"/>
                    <w:rPr>
                      <w:rFonts w:eastAsia="Wingdings"/>
                    </w:rPr>
                  </w:pPr>
                  <w:r w:rsidRPr="005D4222">
                    <w:rPr>
                      <w:rFonts w:eastAsia="Wingdings"/>
                    </w:rPr>
                    <w:t>For each Stratification</w:t>
                  </w:r>
                </w:p>
              </w:tc>
            </w:tr>
            <w:tr w:rsidR="00084A86" w:rsidRPr="005D4222" w14:paraId="02F7CAFF" w14:textId="77777777">
              <w:tc>
                <w:tcPr>
                  <w:tcW w:w="2606" w:type="dxa"/>
                  <w:tcBorders>
                    <w:top w:val="nil"/>
                    <w:left w:val="nil"/>
                    <w:bottom w:val="nil"/>
                    <w:right w:val="nil"/>
                  </w:tcBorders>
                  <w:shd w:val="clear" w:color="auto" w:fill="FFFFFF" w:themeFill="background1"/>
                </w:tcPr>
                <w:p w14:paraId="7F7D302B" w14:textId="77777777" w:rsidR="00084A86" w:rsidRPr="005D4222" w:rsidRDefault="00084A86">
                  <w:pPr>
                    <w:pStyle w:val="TableText"/>
                  </w:pPr>
                </w:p>
              </w:tc>
              <w:tc>
                <w:tcPr>
                  <w:tcW w:w="1350" w:type="dxa"/>
                  <w:tcBorders>
                    <w:top w:val="nil"/>
                    <w:left w:val="nil"/>
                    <w:bottom w:val="nil"/>
                    <w:right w:val="single" w:sz="4" w:space="0" w:color="auto"/>
                  </w:tcBorders>
                  <w:shd w:val="clear" w:color="auto" w:fill="FFFFFF" w:themeFill="background1"/>
                </w:tcPr>
                <w:p w14:paraId="00ADE174" w14:textId="77777777" w:rsidR="00084A86" w:rsidRPr="005D4222" w:rsidRDefault="00084A86">
                  <w:pPr>
                    <w:pStyle w:val="TableText"/>
                  </w:pP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Pr>
                <w:p w14:paraId="29AECE1F" w14:textId="77777777" w:rsidR="00084A86" w:rsidRPr="005D4222" w:rsidRDefault="00084A86">
                  <w:pPr>
                    <w:pStyle w:val="TableText"/>
                  </w:pPr>
                  <w:r w:rsidRPr="005D4222">
                    <w:t>NumeratorByAdmin</w:t>
                  </w:r>
                </w:p>
              </w:tc>
              <w:tc>
                <w:tcPr>
                  <w:tcW w:w="1620" w:type="dxa"/>
                  <w:tcBorders>
                    <w:left w:val="single" w:sz="4" w:space="0" w:color="auto"/>
                    <w:right w:val="single" w:sz="4" w:space="0" w:color="auto"/>
                  </w:tcBorders>
                  <w:shd w:val="clear" w:color="auto" w:fill="FFFFFF" w:themeFill="background1"/>
                </w:tcPr>
                <w:p w14:paraId="322650D5" w14:textId="77777777" w:rsidR="00084A86" w:rsidRPr="005D4222" w:rsidRDefault="00084A86">
                  <w:pPr>
                    <w:pStyle w:val="TableText"/>
                    <w:rPr>
                      <w:rFonts w:eastAsia="Wingdings"/>
                    </w:rPr>
                  </w:pPr>
                  <w:r w:rsidRPr="005D4222">
                    <w:rPr>
                      <w:rFonts w:eastAsia="Wingdings"/>
                    </w:rPr>
                    <w:t>For each Stratification</w:t>
                  </w:r>
                </w:p>
              </w:tc>
            </w:tr>
            <w:tr w:rsidR="00084A86" w:rsidRPr="005D4222" w14:paraId="1C7F1581" w14:textId="77777777">
              <w:tc>
                <w:tcPr>
                  <w:tcW w:w="2606" w:type="dxa"/>
                  <w:tcBorders>
                    <w:top w:val="nil"/>
                    <w:left w:val="nil"/>
                    <w:bottom w:val="nil"/>
                    <w:right w:val="nil"/>
                  </w:tcBorders>
                  <w:shd w:val="clear" w:color="auto" w:fill="FFFFFF" w:themeFill="background1"/>
                </w:tcPr>
                <w:p w14:paraId="773338AA" w14:textId="77777777" w:rsidR="00084A86" w:rsidRPr="005D4222" w:rsidRDefault="00084A86">
                  <w:pPr>
                    <w:pStyle w:val="TableText"/>
                  </w:pPr>
                </w:p>
              </w:tc>
              <w:tc>
                <w:tcPr>
                  <w:tcW w:w="1350" w:type="dxa"/>
                  <w:tcBorders>
                    <w:top w:val="nil"/>
                    <w:left w:val="nil"/>
                    <w:bottom w:val="nil"/>
                    <w:right w:val="single" w:sz="4" w:space="0" w:color="auto"/>
                  </w:tcBorders>
                  <w:shd w:val="clear" w:color="auto" w:fill="FFFFFF" w:themeFill="background1"/>
                </w:tcPr>
                <w:p w14:paraId="0311D7C6" w14:textId="77777777" w:rsidR="00084A86" w:rsidRPr="005D4222" w:rsidRDefault="00084A86">
                  <w:pPr>
                    <w:pStyle w:val="TableText"/>
                  </w:pPr>
                </w:p>
              </w:tc>
              <w:tc>
                <w:tcPr>
                  <w:tcW w:w="1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8F790E" w14:textId="77777777" w:rsidR="00084A86" w:rsidRPr="005D4222" w:rsidRDefault="00084A86">
                  <w:pPr>
                    <w:pStyle w:val="TableText"/>
                  </w:pPr>
                  <w:r w:rsidRPr="005D4222">
                    <w:t>Rate</w:t>
                  </w:r>
                </w:p>
              </w:tc>
              <w:tc>
                <w:tcPr>
                  <w:tcW w:w="1620" w:type="dxa"/>
                  <w:tcBorders>
                    <w:left w:val="single" w:sz="4" w:space="0" w:color="auto"/>
                    <w:bottom w:val="single" w:sz="6" w:space="0" w:color="auto"/>
                    <w:right w:val="single" w:sz="4" w:space="0" w:color="auto"/>
                  </w:tcBorders>
                  <w:shd w:val="clear" w:color="auto" w:fill="D9D9D9" w:themeFill="background1" w:themeFillShade="D9"/>
                </w:tcPr>
                <w:p w14:paraId="4123FBC9" w14:textId="77777777" w:rsidR="00084A86" w:rsidRPr="005D4222" w:rsidRDefault="00084A86">
                  <w:pPr>
                    <w:pStyle w:val="TableText"/>
                    <w:rPr>
                      <w:rFonts w:eastAsia="Wingdings"/>
                    </w:rPr>
                  </w:pPr>
                  <w:r w:rsidRPr="005D4222">
                    <w:rPr>
                      <w:rFonts w:eastAsia="Wingdings"/>
                    </w:rPr>
                    <w:t>(Percent)</w:t>
                  </w:r>
                </w:p>
              </w:tc>
            </w:tr>
          </w:tbl>
          <w:p w14:paraId="5268B447" w14:textId="77777777" w:rsidR="00084A86" w:rsidRPr="005D4222" w:rsidRDefault="00084A86">
            <w:pPr>
              <w:pStyle w:val="ProcessDash"/>
              <w:numPr>
                <w:ilvl w:val="0"/>
                <w:numId w:val="0"/>
              </w:numPr>
              <w:rPr>
                <w:rFonts w:cs="Arial"/>
                <w:color w:val="000000" w:themeColor="text1"/>
                <w:highlight w:val="yellow"/>
              </w:rPr>
            </w:pPr>
          </w:p>
        </w:tc>
      </w:tr>
      <w:tr w:rsidR="00084A86" w:rsidRPr="005D4222" w14:paraId="55145E0E" w14:textId="77777777">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E182138" w14:textId="77777777" w:rsidR="00084A86" w:rsidRPr="005D4222" w:rsidRDefault="00084A86">
            <w:pPr>
              <w:pStyle w:val="ECDSMarginHead"/>
            </w:pPr>
            <w:r w:rsidRPr="005D4222">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EBF3FE7" w14:textId="77777777" w:rsidR="00084A86" w:rsidRPr="005D4222" w:rsidRDefault="00084A86">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4A036399" w14:textId="77777777" w:rsidR="00084A86" w:rsidRPr="005D4222" w:rsidRDefault="00084A86">
            <w:pPr>
              <w:pStyle w:val="ECDSBody"/>
              <w:rPr>
                <w:b/>
              </w:rPr>
            </w:pPr>
            <w:r w:rsidRPr="005D4222">
              <w:rPr>
                <w:b/>
              </w:rPr>
              <w:t>Adjusted HEDIS measures may not be used for HEDIS health plan reporting.</w:t>
            </w:r>
          </w:p>
          <w:p w14:paraId="7F10C6E2" w14:textId="77777777" w:rsidR="00084A86" w:rsidRPr="005D4222" w:rsidRDefault="00084A86">
            <w:pPr>
              <w:pStyle w:val="Adjustments"/>
            </w:pPr>
            <w:r w:rsidRPr="005D4222">
              <w:t>Adjustments allowed</w:t>
            </w:r>
          </w:p>
          <w:p w14:paraId="41AAD84B" w14:textId="3FDA5505" w:rsidR="00084A86" w:rsidRPr="005D4222" w:rsidRDefault="00084A86">
            <w:pPr>
              <w:pStyle w:val="ProcessBullet"/>
            </w:pPr>
            <w:r w:rsidRPr="005D4222">
              <w:rPr>
                <w:i/>
                <w:iCs/>
              </w:rPr>
              <w:t>Product lines.</w:t>
            </w:r>
            <w:r w:rsidRPr="005D4222">
              <w:t xml:space="preserve"> </w:t>
            </w:r>
            <w:r w:rsidRPr="005D4222">
              <w:rPr>
                <w:rFonts w:eastAsia="Arial"/>
              </w:rPr>
              <w:t>Organizations are not required to use product line criteria; product lines may be combined</w:t>
            </w:r>
            <w:r w:rsidR="00E8671F" w:rsidRPr="005D4222">
              <w:rPr>
                <w:rFonts w:eastAsia="Arial"/>
              </w:rPr>
              <w:t>,</w:t>
            </w:r>
            <w:r w:rsidRPr="005D4222">
              <w:rPr>
                <w:rFonts w:eastAsia="Arial"/>
              </w:rPr>
              <w:t xml:space="preserve"> and all (or no) product line criteria may be used.</w:t>
            </w:r>
          </w:p>
          <w:p w14:paraId="52388964" w14:textId="77777777" w:rsidR="00084A86" w:rsidRPr="005D4222" w:rsidRDefault="00084A86">
            <w:pPr>
              <w:pStyle w:val="ProcessBullet"/>
            </w:pPr>
            <w:r w:rsidRPr="005D4222">
              <w:rPr>
                <w:i/>
                <w:iCs/>
              </w:rPr>
              <w:t>Attribution.</w:t>
            </w:r>
            <w:r w:rsidRPr="005D4222">
              <w:t xml:space="preserve"> Organizations are not required to use enrollment criteria. </w:t>
            </w:r>
          </w:p>
          <w:p w14:paraId="5DFB9A7E" w14:textId="5864FFDD" w:rsidR="00084A86" w:rsidRPr="005D4222" w:rsidRDefault="00362E76">
            <w:pPr>
              <w:pStyle w:val="ProcessBullet"/>
            </w:pPr>
            <w:r w:rsidRPr="005D4222">
              <w:rPr>
                <w:i/>
                <w:iCs/>
              </w:rPr>
              <w:t>Benefits.</w:t>
            </w:r>
            <w:r w:rsidR="00084A86" w:rsidRPr="005D4222">
              <w:t xml:space="preserve"> Organizations are not required to use a benefit.</w:t>
            </w:r>
          </w:p>
          <w:p w14:paraId="1862B376" w14:textId="77777777" w:rsidR="00084A86" w:rsidRPr="005D4222" w:rsidRDefault="00084A86">
            <w:pPr>
              <w:pStyle w:val="ProcessBullet"/>
            </w:pPr>
            <w:r w:rsidRPr="005D4222">
              <w:rPr>
                <w:i/>
                <w:iCs/>
              </w:rPr>
              <w:t>Other.</w:t>
            </w:r>
            <w:r w:rsidRPr="005D4222">
              <w:t xml:space="preserve"> Organizations may use additional initial population criteria to focus on an area of interest defined by gender, race, ethnicity, socioeconomic or sociodemographic characteristics, geographic region or another characteristic.</w:t>
            </w:r>
          </w:p>
          <w:p w14:paraId="1D8B679F" w14:textId="77777777" w:rsidR="00084A86" w:rsidRPr="005D4222" w:rsidRDefault="00084A86">
            <w:pPr>
              <w:pStyle w:val="ProcessBullet"/>
              <w:rPr>
                <w:b/>
              </w:rPr>
            </w:pPr>
            <w:r w:rsidRPr="005D4222">
              <w:rPr>
                <w:i/>
                <w:iCs/>
              </w:rPr>
              <w:t xml:space="preserve">Measurement period adjustments. </w:t>
            </w:r>
            <w:r w:rsidRPr="005D4222">
              <w:t>Organizations may adjust the measurement period.</w:t>
            </w:r>
            <w:r w:rsidRPr="005D4222">
              <w:rPr>
                <w:i/>
                <w:iCs/>
              </w:rPr>
              <w:t xml:space="preserve"> </w:t>
            </w:r>
          </w:p>
          <w:p w14:paraId="0813099E" w14:textId="77777777" w:rsidR="00084A86" w:rsidRPr="005D4222" w:rsidRDefault="00084A86">
            <w:pPr>
              <w:pStyle w:val="ProcessBullet"/>
              <w:rPr>
                <w:b/>
                <w:bCs/>
                <w:color w:val="000000" w:themeColor="text1"/>
              </w:rPr>
            </w:pPr>
            <w:r w:rsidRPr="005D4222">
              <w:rPr>
                <w:i/>
                <w:iCs/>
              </w:rPr>
              <w:t>Exclusions.</w:t>
            </w:r>
            <w:r w:rsidRPr="005D4222">
              <w:t xml:space="preserve"> Hospice, deceased persons and palliative care exclusions are not required. </w:t>
            </w:r>
          </w:p>
          <w:p w14:paraId="7BDFD5A7" w14:textId="28477B72" w:rsidR="00084A86" w:rsidRPr="005D4222" w:rsidRDefault="00084A86">
            <w:pPr>
              <w:pStyle w:val="ProcessBullet"/>
              <w:spacing w:after="80"/>
            </w:pPr>
            <w:r w:rsidRPr="005D4222">
              <w:rPr>
                <w:i/>
                <w:iCs/>
              </w:rPr>
              <w:t xml:space="preserve">Telehealth. </w:t>
            </w:r>
            <w:r w:rsidRPr="005D4222">
              <w:t>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tc>
      </w:tr>
    </w:tbl>
    <w:p w14:paraId="2B4792E0" w14:textId="77777777" w:rsidR="00D510E7" w:rsidRPr="005D4222" w:rsidRDefault="00D510E7">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084A86" w:rsidRPr="005D4222" w14:paraId="16521706" w14:textId="77777777">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1797064" w14:textId="77777777" w:rsidR="00084A86" w:rsidRPr="005D4222" w:rsidRDefault="00084A86">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D6E7744" w14:textId="77777777" w:rsidR="00C37C4B" w:rsidRPr="005D4222" w:rsidRDefault="00C37C4B" w:rsidP="00C37C4B">
            <w:pPr>
              <w:pStyle w:val="ProcessBullet"/>
              <w:spacing w:after="80"/>
            </w:pPr>
            <w:r w:rsidRPr="005D4222">
              <w:rPr>
                <w:i/>
                <w:iCs/>
              </w:rPr>
              <w:t>Supplemental data.</w:t>
            </w:r>
            <w:r w:rsidRPr="005D4222">
              <w:t xml:space="preserve"> Supplemental data may be used to identify initial population, denominator, exclusion and numerator events.</w:t>
            </w:r>
          </w:p>
          <w:p w14:paraId="3AD99F6B" w14:textId="77777777" w:rsidR="00084A86" w:rsidRPr="005D4222" w:rsidRDefault="00084A86">
            <w:pPr>
              <w:pStyle w:val="Adjustments"/>
            </w:pPr>
            <w:r w:rsidRPr="005D4222">
              <w:t>Adjustments allowed with limits</w:t>
            </w:r>
          </w:p>
          <w:p w14:paraId="49C5A5B6" w14:textId="77777777" w:rsidR="00084A86" w:rsidRPr="005D4222" w:rsidRDefault="00084A86">
            <w:pPr>
              <w:pStyle w:val="ProcessBullet"/>
            </w:pPr>
            <w:r w:rsidRPr="005D4222">
              <w:rPr>
                <w:i/>
                <w:iCs/>
              </w:rPr>
              <w:t>Ages</w:t>
            </w:r>
            <w:r w:rsidRPr="005D4222">
              <w:t>. The age determination dates may be changed (e.g., select, “age as of June 30”). The denominator age may not be expanded.</w:t>
            </w:r>
          </w:p>
          <w:p w14:paraId="3E7308CA" w14:textId="77777777" w:rsidR="00084A86" w:rsidRPr="005D4222" w:rsidRDefault="00084A86">
            <w:pPr>
              <w:pStyle w:val="ProcessBullet"/>
            </w:pPr>
            <w:r w:rsidRPr="005D4222">
              <w:rPr>
                <w:i/>
                <w:iCs/>
              </w:rPr>
              <w:t>Stratifications</w:t>
            </w:r>
            <w:r w:rsidRPr="005D4222">
              <w:t>. Stratifications are not required, but if they are used, value sets and logic may not be changed.</w:t>
            </w:r>
          </w:p>
          <w:p w14:paraId="5E2506C5" w14:textId="77777777" w:rsidR="00084A86" w:rsidRPr="005D4222" w:rsidRDefault="00084A86">
            <w:pPr>
              <w:pStyle w:val="ProcessBullet"/>
            </w:pPr>
            <w:r w:rsidRPr="005D4222">
              <w:rPr>
                <w:i/>
                <w:iCs/>
              </w:rPr>
              <w:t>Numerator.</w:t>
            </w:r>
            <w:r w:rsidRPr="005D4222">
              <w:t xml:space="preserve"> Medication lists and logic may not be changed. Organizations may include denied claims to calculate the numerator.</w:t>
            </w:r>
          </w:p>
          <w:p w14:paraId="4D81A828" w14:textId="77777777" w:rsidR="00084A86" w:rsidRPr="005D4222" w:rsidRDefault="00084A86">
            <w:pPr>
              <w:pStyle w:val="Adjustments"/>
            </w:pPr>
            <w:r w:rsidRPr="005D4222">
              <w:t>Adjustments not allowed</w:t>
            </w:r>
          </w:p>
          <w:p w14:paraId="021CD24A" w14:textId="77777777" w:rsidR="00084A86" w:rsidRPr="005D4222" w:rsidRDefault="00084A86">
            <w:pPr>
              <w:pStyle w:val="ProcessBullet"/>
              <w:rPr>
                <w:b/>
                <w:bCs/>
                <w:color w:val="000000" w:themeColor="text1"/>
              </w:rPr>
            </w:pPr>
            <w:r w:rsidRPr="005D4222">
              <w:rPr>
                <w:i/>
              </w:rPr>
              <w:t>Exclusions.</w:t>
            </w:r>
            <w:r w:rsidRPr="005D4222">
              <w:t xml:space="preserve"> The diagnosis of seizure disorders, rapid eye movement sleep behavior disorder, benzodiazepine and ethanol withdrawal exclusions must be applied. Value sets and logic may not be changed.</w:t>
            </w:r>
          </w:p>
          <w:p w14:paraId="26BC0680" w14:textId="77777777" w:rsidR="00084A86" w:rsidRPr="005D4222" w:rsidRDefault="00084A86">
            <w:pPr>
              <w:pStyle w:val="ProcessBullet"/>
              <w:spacing w:after="80"/>
            </w:pPr>
            <w:r w:rsidRPr="005D4222">
              <w:rPr>
                <w:i/>
              </w:rPr>
              <w:t>Initial population:</w:t>
            </w:r>
            <w:r w:rsidRPr="005D4222">
              <w:rPr>
                <w:iCs/>
              </w:rPr>
              <w:t xml:space="preserve"> Event. Medication lists, value sets and logic may not be changed.</w:t>
            </w:r>
          </w:p>
        </w:tc>
      </w:tr>
    </w:tbl>
    <w:p w14:paraId="057C9C2B" w14:textId="77777777" w:rsidR="00443453" w:rsidRPr="005D4222" w:rsidRDefault="00443453" w:rsidP="006B2CBF">
      <w:pPr>
        <w:pStyle w:val="ECDSBody"/>
        <w:sectPr w:rsidR="00443453" w:rsidRPr="005D4222" w:rsidSect="0074514A">
          <w:headerReference w:type="default" r:id="rId144"/>
          <w:type w:val="nextColumn"/>
          <w:pgSz w:w="12240" w:h="15840" w:code="1"/>
          <w:pgMar w:top="1080" w:right="1080" w:bottom="1080" w:left="1440" w:header="720" w:footer="720" w:gutter="0"/>
          <w:cols w:space="720"/>
          <w:docGrid w:linePitch="360"/>
        </w:sectPr>
      </w:pPr>
    </w:p>
    <w:p w14:paraId="406E762D" w14:textId="4254A5A4" w:rsidR="006B2CBF" w:rsidRPr="005D4222" w:rsidRDefault="007B0064" w:rsidP="007B0064">
      <w:pPr>
        <w:pStyle w:val="MeasureTitle"/>
      </w:pPr>
      <w:bookmarkStart w:id="322" w:name="_Toc201813431"/>
      <w:r w:rsidRPr="005D4222">
        <w:lastRenderedPageBreak/>
        <w:t>Use of Opioids at High Dosage</w:t>
      </w:r>
      <w:r w:rsidR="0096709F" w:rsidRPr="005D4222">
        <w:t xml:space="preserve"> (HDO)</w:t>
      </w:r>
      <w:bookmarkEnd w:id="322"/>
    </w:p>
    <w:tbl>
      <w:tblPr>
        <w:tblpPr w:leftFromText="180" w:rightFromText="180" w:vertAnchor="text" w:tblpY="1"/>
        <w:tblOverlap w:val="never"/>
        <w:tblW w:w="971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8"/>
        <w:gridCol w:w="4861"/>
        <w:gridCol w:w="1429"/>
        <w:gridCol w:w="1268"/>
      </w:tblGrid>
      <w:tr w:rsidR="0015699E" w:rsidRPr="005D4222" w14:paraId="30631D2C" w14:textId="77777777">
        <w:tc>
          <w:tcPr>
            <w:tcW w:w="2158" w:type="dxa"/>
            <w:shd w:val="clear" w:color="auto" w:fill="BFBFBF" w:themeFill="background1" w:themeFillShade="BF"/>
            <w:tcMar>
              <w:top w:w="0" w:type="dxa"/>
              <w:left w:w="86" w:type="dxa"/>
              <w:bottom w:w="43" w:type="dxa"/>
              <w:right w:w="86" w:type="dxa"/>
            </w:tcMar>
            <w:hideMark/>
          </w:tcPr>
          <w:p w14:paraId="755E4C7D" w14:textId="77777777" w:rsidR="0015699E" w:rsidRPr="005D4222" w:rsidRDefault="0015699E">
            <w:pPr>
              <w:pStyle w:val="ECDSMarginHead"/>
            </w:pPr>
            <w:r w:rsidRPr="005D4222">
              <w:t>Measure title</w:t>
            </w:r>
          </w:p>
        </w:tc>
        <w:tc>
          <w:tcPr>
            <w:tcW w:w="4861" w:type="dxa"/>
            <w:tcMar>
              <w:top w:w="0" w:type="dxa"/>
              <w:left w:w="86" w:type="dxa"/>
              <w:bottom w:w="43" w:type="dxa"/>
              <w:right w:w="86" w:type="dxa"/>
            </w:tcMar>
          </w:tcPr>
          <w:p w14:paraId="3DA93FDC" w14:textId="77777777" w:rsidR="0015699E" w:rsidRPr="005D4222" w:rsidRDefault="0015699E">
            <w:pPr>
              <w:pStyle w:val="ECDSBody"/>
            </w:pPr>
            <w:r w:rsidRPr="005D4222">
              <w:t>Use of Opioids at High Dosage*</w:t>
            </w:r>
          </w:p>
        </w:tc>
        <w:tc>
          <w:tcPr>
            <w:tcW w:w="1429" w:type="dxa"/>
            <w:shd w:val="clear" w:color="auto" w:fill="BFBFBF" w:themeFill="background1" w:themeFillShade="BF"/>
            <w:tcMar>
              <w:top w:w="0" w:type="dxa"/>
              <w:left w:w="86" w:type="dxa"/>
              <w:bottom w:w="43" w:type="dxa"/>
              <w:right w:w="86" w:type="dxa"/>
            </w:tcMar>
          </w:tcPr>
          <w:p w14:paraId="2103BCDB" w14:textId="77777777" w:rsidR="0015699E" w:rsidRPr="005D4222" w:rsidRDefault="0015699E">
            <w:pPr>
              <w:pStyle w:val="ECDSMarginHead"/>
            </w:pPr>
            <w:r w:rsidRPr="005D4222">
              <w:t>Measure ID</w:t>
            </w:r>
          </w:p>
        </w:tc>
        <w:tc>
          <w:tcPr>
            <w:tcW w:w="1268" w:type="dxa"/>
            <w:tcMar>
              <w:top w:w="0" w:type="dxa"/>
              <w:left w:w="86" w:type="dxa"/>
              <w:bottom w:w="43" w:type="dxa"/>
              <w:right w:w="86" w:type="dxa"/>
            </w:tcMar>
          </w:tcPr>
          <w:p w14:paraId="2770E08C" w14:textId="77777777" w:rsidR="0015699E" w:rsidRPr="005D4222" w:rsidRDefault="0015699E">
            <w:pPr>
              <w:pStyle w:val="ECDSBody"/>
            </w:pPr>
            <w:r w:rsidRPr="005D4222">
              <w:t xml:space="preserve">HDO </w:t>
            </w:r>
          </w:p>
        </w:tc>
      </w:tr>
      <w:tr w:rsidR="0015699E" w:rsidRPr="005D4222" w14:paraId="1137BB6E" w14:textId="77777777">
        <w:tc>
          <w:tcPr>
            <w:tcW w:w="2158" w:type="dxa"/>
            <w:shd w:val="clear" w:color="auto" w:fill="BFBFBF" w:themeFill="background1" w:themeFillShade="BF"/>
            <w:tcMar>
              <w:top w:w="0" w:type="dxa"/>
              <w:left w:w="86" w:type="dxa"/>
              <w:bottom w:w="43" w:type="dxa"/>
              <w:right w:w="86" w:type="dxa"/>
            </w:tcMar>
            <w:hideMark/>
          </w:tcPr>
          <w:p w14:paraId="6562F14E" w14:textId="77777777" w:rsidR="0015699E" w:rsidRPr="005D4222" w:rsidRDefault="0015699E">
            <w:pPr>
              <w:pStyle w:val="ECDSMarginHead"/>
            </w:pPr>
            <w:r w:rsidRPr="005D4222">
              <w:t>Description</w:t>
            </w:r>
          </w:p>
        </w:tc>
        <w:tc>
          <w:tcPr>
            <w:tcW w:w="7558" w:type="dxa"/>
            <w:gridSpan w:val="3"/>
            <w:tcMar>
              <w:top w:w="0" w:type="dxa"/>
              <w:left w:w="86" w:type="dxa"/>
              <w:bottom w:w="43" w:type="dxa"/>
              <w:right w:w="86" w:type="dxa"/>
            </w:tcMar>
          </w:tcPr>
          <w:p w14:paraId="1FD032C0" w14:textId="77777777" w:rsidR="0015699E" w:rsidRPr="005D4222" w:rsidRDefault="0015699E">
            <w:pPr>
              <w:pStyle w:val="ECDSBody"/>
            </w:pPr>
            <w:r w:rsidRPr="005D4222">
              <w:t>The percentage of persons 18 years of age and older who received prescription opioids at a high dosage (average morphine milligram equivalent dose [MME] ≥90) for ≥15 days during the measurement period.</w:t>
            </w:r>
          </w:p>
        </w:tc>
      </w:tr>
      <w:tr w:rsidR="0015699E" w:rsidRPr="005D4222" w14:paraId="0DDFED3B" w14:textId="77777777">
        <w:tc>
          <w:tcPr>
            <w:tcW w:w="2158" w:type="dxa"/>
            <w:shd w:val="clear" w:color="auto" w:fill="BFBFBF" w:themeFill="background1" w:themeFillShade="BF"/>
            <w:tcMar>
              <w:top w:w="0" w:type="dxa"/>
              <w:left w:w="86" w:type="dxa"/>
              <w:bottom w:w="43" w:type="dxa"/>
              <w:right w:w="86" w:type="dxa"/>
            </w:tcMar>
          </w:tcPr>
          <w:p w14:paraId="221E2FF9" w14:textId="77777777" w:rsidR="0015699E" w:rsidRPr="005D4222" w:rsidRDefault="0015699E">
            <w:pPr>
              <w:pStyle w:val="ECDSMarginHead"/>
            </w:pPr>
            <w:r w:rsidRPr="005D4222">
              <w:t>Measurement period</w:t>
            </w:r>
          </w:p>
        </w:tc>
        <w:tc>
          <w:tcPr>
            <w:tcW w:w="7558" w:type="dxa"/>
            <w:gridSpan w:val="3"/>
            <w:tcMar>
              <w:top w:w="0" w:type="dxa"/>
              <w:left w:w="86" w:type="dxa"/>
              <w:bottom w:w="43" w:type="dxa"/>
              <w:right w:w="86" w:type="dxa"/>
            </w:tcMar>
          </w:tcPr>
          <w:p w14:paraId="7B232218" w14:textId="77777777" w:rsidR="0015699E" w:rsidRPr="005D4222" w:rsidRDefault="0015699E">
            <w:pPr>
              <w:pStyle w:val="ECDSBody"/>
            </w:pPr>
            <w:r w:rsidRPr="005D4222">
              <w:t>January 1–December 31.</w:t>
            </w:r>
            <w:r w:rsidRPr="005D4222">
              <w:rPr>
                <w:szCs w:val="21"/>
              </w:rPr>
              <w:t xml:space="preserve"> </w:t>
            </w:r>
          </w:p>
        </w:tc>
      </w:tr>
      <w:tr w:rsidR="0015699E" w:rsidRPr="005D4222" w14:paraId="7EEAB875" w14:textId="77777777">
        <w:tc>
          <w:tcPr>
            <w:tcW w:w="2158" w:type="dxa"/>
            <w:shd w:val="clear" w:color="auto" w:fill="BFBFBF" w:themeFill="background1" w:themeFillShade="BF"/>
            <w:tcMar>
              <w:top w:w="0" w:type="dxa"/>
              <w:left w:w="86" w:type="dxa"/>
              <w:bottom w:w="43" w:type="dxa"/>
              <w:right w:w="86" w:type="dxa"/>
            </w:tcMar>
            <w:hideMark/>
          </w:tcPr>
          <w:p w14:paraId="629CA34F" w14:textId="77777777" w:rsidR="0015699E" w:rsidRPr="005D4222" w:rsidRDefault="0015699E">
            <w:pPr>
              <w:pStyle w:val="ECDSMarginHead"/>
              <w:rPr>
                <w:rFonts w:eastAsia="Arial"/>
              </w:rPr>
            </w:pPr>
            <w:r w:rsidRPr="005D4222">
              <w:rPr>
                <w:rFonts w:eastAsia="Arial"/>
              </w:rPr>
              <w:t>Copyright and disclaimer notice</w:t>
            </w:r>
          </w:p>
        </w:tc>
        <w:tc>
          <w:tcPr>
            <w:tcW w:w="7558" w:type="dxa"/>
            <w:gridSpan w:val="3"/>
            <w:tcMar>
              <w:top w:w="0" w:type="dxa"/>
              <w:left w:w="86" w:type="dxa"/>
              <w:bottom w:w="43" w:type="dxa"/>
              <w:right w:w="86" w:type="dxa"/>
            </w:tcMar>
          </w:tcPr>
          <w:p w14:paraId="2E31F45A" w14:textId="77777777" w:rsidR="0015699E" w:rsidRPr="005D4222" w:rsidRDefault="0015699E">
            <w:pPr>
              <w:pStyle w:val="Body"/>
              <w:ind w:left="92" w:hanging="92"/>
              <w:rPr>
                <w:rFonts w:cs="Arial"/>
                <w:i/>
                <w:iCs/>
                <w:szCs w:val="21"/>
              </w:rPr>
            </w:pPr>
            <w:r w:rsidRPr="005D4222">
              <w:rPr>
                <w:rFonts w:cs="Arial"/>
                <w:i/>
                <w:iCs/>
                <w:szCs w:val="21"/>
              </w:rPr>
              <w:t>*</w:t>
            </w:r>
            <w:r w:rsidRPr="005D4222">
              <w:rPr>
                <w:rFonts w:cs="Arial"/>
                <w:i/>
                <w:iCs/>
                <w:szCs w:val="21"/>
              </w:rPr>
              <w:tab/>
              <w:t xml:space="preserve">Adapted with financial support from CMS and with permission from the measure developer, Pharmacy Quality Alliance (PQA). </w:t>
            </w:r>
          </w:p>
          <w:p w14:paraId="4D77F4B0" w14:textId="77777777" w:rsidR="0015699E" w:rsidRPr="005D4222" w:rsidRDefault="0015699E">
            <w:pPr>
              <w:pStyle w:val="ECDSBody"/>
            </w:pPr>
            <w:r w:rsidRPr="005D4222">
              <w:t xml:space="preserve">Refer to the complete copyright and disclaimer information at the front of this publication. </w:t>
            </w:r>
          </w:p>
          <w:p w14:paraId="0DF2F588" w14:textId="77777777" w:rsidR="0015699E" w:rsidRPr="005D4222" w:rsidRDefault="0015699E">
            <w:pPr>
              <w:pStyle w:val="ECDSBody"/>
              <w:spacing w:before="80"/>
            </w:pPr>
            <w:r w:rsidRPr="005D4222">
              <w:t xml:space="preserve">NCQA website: </w:t>
            </w:r>
            <w:r w:rsidRPr="005D4222">
              <w:rPr>
                <w:u w:val="single"/>
              </w:rPr>
              <w:t>www.ncqa.org</w:t>
            </w:r>
            <w:r w:rsidRPr="005D4222">
              <w:t>.</w:t>
            </w:r>
          </w:p>
          <w:p w14:paraId="3CC223F8" w14:textId="77777777" w:rsidR="0015699E" w:rsidRPr="005D4222" w:rsidRDefault="0015699E">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15699E" w:rsidRPr="005D4222" w14:paraId="0CF72373" w14:textId="77777777">
        <w:trPr>
          <w:trHeight w:val="655"/>
        </w:trPr>
        <w:tc>
          <w:tcPr>
            <w:tcW w:w="2158" w:type="dxa"/>
            <w:shd w:val="clear" w:color="auto" w:fill="BFBFBF" w:themeFill="background1" w:themeFillShade="BF"/>
            <w:tcMar>
              <w:top w:w="0" w:type="dxa"/>
              <w:left w:w="86" w:type="dxa"/>
              <w:bottom w:w="43" w:type="dxa"/>
              <w:right w:w="86" w:type="dxa"/>
            </w:tcMar>
            <w:hideMark/>
          </w:tcPr>
          <w:p w14:paraId="0DB358C4" w14:textId="77777777" w:rsidR="0015699E" w:rsidRPr="005D4222" w:rsidRDefault="0015699E">
            <w:pPr>
              <w:pStyle w:val="ECDSMarginHead"/>
            </w:pPr>
            <w:r w:rsidRPr="005D4222">
              <w:t>Clinical recommendation statement/ rationale</w:t>
            </w:r>
          </w:p>
        </w:tc>
        <w:tc>
          <w:tcPr>
            <w:tcW w:w="7558" w:type="dxa"/>
            <w:gridSpan w:val="3"/>
            <w:tcMar>
              <w:top w:w="0" w:type="dxa"/>
              <w:left w:w="86" w:type="dxa"/>
              <w:bottom w:w="43" w:type="dxa"/>
              <w:right w:w="86" w:type="dxa"/>
            </w:tcMar>
          </w:tcPr>
          <w:p w14:paraId="34611F36" w14:textId="77777777" w:rsidR="0015699E" w:rsidRPr="005D4222" w:rsidRDefault="0015699E">
            <w:pPr>
              <w:pStyle w:val="ECDSBody"/>
            </w:pPr>
            <w:r w:rsidRPr="005D4222">
              <w:t>Long-term daily use of opioids can lead to increased tolerance, addiction or dependence. Studies suggest a correlation between high opioid dosage and a greater risk of overdoses and fractures. The 2022 CDC guideline on opioid prescribing recommends the use of “additional precautions” when prescribing dosages ≥50 morphine equivalent dose (MED), and generally recommends avoiding dosages ≥90mg MED. For patients who are already taking doses ≥90mg MED, the CDC recommends that clinicians should “explain in a nonjudgmental manner” the risks and benefits of continuing high-dose opioids, and should offer these patients the opportunity to taper to a safer, lower dose.</w:t>
            </w:r>
          </w:p>
        </w:tc>
      </w:tr>
      <w:tr w:rsidR="0015699E" w:rsidRPr="005D4222" w14:paraId="7442455C" w14:textId="77777777">
        <w:tc>
          <w:tcPr>
            <w:tcW w:w="2158" w:type="dxa"/>
            <w:shd w:val="clear" w:color="auto" w:fill="BFBFBF" w:themeFill="background1" w:themeFillShade="BF"/>
            <w:tcMar>
              <w:top w:w="0" w:type="dxa"/>
              <w:left w:w="86" w:type="dxa"/>
              <w:bottom w:w="43" w:type="dxa"/>
              <w:right w:w="86" w:type="dxa"/>
            </w:tcMar>
          </w:tcPr>
          <w:p w14:paraId="0017BB89" w14:textId="77777777" w:rsidR="0015699E" w:rsidRPr="005D4222" w:rsidRDefault="0015699E">
            <w:pPr>
              <w:pStyle w:val="ECDSMarginHead"/>
            </w:pPr>
            <w:r w:rsidRPr="005D4222">
              <w:t>Citations</w:t>
            </w:r>
          </w:p>
        </w:tc>
        <w:tc>
          <w:tcPr>
            <w:tcW w:w="7558" w:type="dxa"/>
            <w:gridSpan w:val="3"/>
            <w:tcMar>
              <w:top w:w="0" w:type="dxa"/>
              <w:left w:w="86" w:type="dxa"/>
              <w:bottom w:w="43" w:type="dxa"/>
              <w:right w:w="86" w:type="dxa"/>
            </w:tcMar>
          </w:tcPr>
          <w:p w14:paraId="2982388F" w14:textId="77777777" w:rsidR="0015699E" w:rsidRPr="005D4222" w:rsidRDefault="0015699E">
            <w:pPr>
              <w:pStyle w:val="ECDSBody"/>
            </w:pPr>
            <w:r w:rsidRPr="005D4222">
              <w:t xml:space="preserve">CDC. 2022. </w:t>
            </w:r>
            <w:r w:rsidRPr="005D4222">
              <w:rPr>
                <w:i/>
                <w:iCs/>
              </w:rPr>
              <w:t>CDC Clinical Practice Guideline for Prescribing Opioids for Pain</w:t>
            </w:r>
            <w:r w:rsidRPr="005D4222">
              <w:rPr>
                <w:i/>
              </w:rPr>
              <w:t xml:space="preserve"> </w:t>
            </w:r>
            <w:r w:rsidRPr="005D4222">
              <w:rPr>
                <w:i/>
                <w:iCs/>
              </w:rPr>
              <w:t>—United States, 2022.</w:t>
            </w:r>
            <w:r w:rsidRPr="005D4222">
              <w:t xml:space="preserve"> http://dx.doi.org/10.15585/mmwr.rr7103a1</w:t>
            </w:r>
          </w:p>
          <w:p w14:paraId="03C08BDD" w14:textId="77777777" w:rsidR="0015699E" w:rsidRPr="005D4222" w:rsidRDefault="0015699E">
            <w:pPr>
              <w:pStyle w:val="ECDSBody"/>
            </w:pPr>
            <w:r w:rsidRPr="005D4222">
              <w:t xml:space="preserve">Dunn, K.M., K.W. Saunders, C.M. Rutter, C.J. Banta-Green, J.O. Merrill, M.D. Sullivan, M. Von Korff. 2010. “Overdose and Prescribed Opioids: Associations Among Chronic Non-Cancer Pain Patients.” </w:t>
            </w:r>
            <w:r w:rsidRPr="005D4222">
              <w:rPr>
                <w:i/>
                <w:iCs/>
              </w:rPr>
              <w:t>Annals of Internal Medicine</w:t>
            </w:r>
            <w:r w:rsidRPr="005D4222">
              <w:t xml:space="preserve"> 152(2), 85–92. http://doi.org/10.1059/0003-4819-152-2-201001190-00006</w:t>
            </w:r>
          </w:p>
          <w:p w14:paraId="0CC24A19" w14:textId="77777777" w:rsidR="0015699E" w:rsidRPr="005D4222" w:rsidRDefault="0015699E">
            <w:pPr>
              <w:pStyle w:val="ECDSBody"/>
            </w:pPr>
            <w:r w:rsidRPr="005D4222">
              <w:t xml:space="preserve">King, L. 2007. “Pain Medications: How Long is Too Long.” Pain EDU. http://www.painedu.org/articles_timely.asp?ArticleNumber=10 (Accessed January 5, 2016) </w:t>
            </w:r>
          </w:p>
          <w:p w14:paraId="14A14606" w14:textId="77777777" w:rsidR="0015699E" w:rsidRPr="005D4222" w:rsidRDefault="0015699E">
            <w:pPr>
              <w:pStyle w:val="ECDSBody"/>
            </w:pPr>
            <w:r w:rsidRPr="00D81F5D">
              <w:rPr>
                <w:lang w:val="fr-FR"/>
              </w:rPr>
              <w:t xml:space="preserve">Paulozzi, L.J., et al. 2011. </w:t>
            </w:r>
            <w:r w:rsidRPr="005D4222">
              <w:t xml:space="preserve">“A History of Being Prescribed Controlled Substances and Risk of Drug Overdose Death.” </w:t>
            </w:r>
            <w:r w:rsidRPr="005D4222">
              <w:rPr>
                <w:i/>
                <w:iCs/>
              </w:rPr>
              <w:t>Pain Medicine</w:t>
            </w:r>
            <w:r w:rsidRPr="005D4222">
              <w:t xml:space="preserve"> 13: 87–95. </w:t>
            </w:r>
            <w:r w:rsidRPr="005D4222">
              <w:br/>
              <w:t>doi: 10.1111/j.1526-4637.2011.01260.x.</w:t>
            </w:r>
          </w:p>
          <w:p w14:paraId="0A081CB7" w14:textId="77777777" w:rsidR="0015699E" w:rsidRPr="005D4222" w:rsidRDefault="0015699E">
            <w:pPr>
              <w:pStyle w:val="ECDSBody"/>
            </w:pPr>
            <w:r w:rsidRPr="005D4222">
              <w:t xml:space="preserve">Saunders, K.W., K.M. Dunn, J.O. Merrill, M. Sullivan, C. Weisner, J.B. Braden, M. Von Korff. 2010. “Relationship of Opioid Use and Dosage Levels to Fractures in Older Chronic Pain Patients.” </w:t>
            </w:r>
            <w:r w:rsidRPr="005D4222">
              <w:rPr>
                <w:i/>
                <w:iCs/>
              </w:rPr>
              <w:t>Journal of General Internal Medicine</w:t>
            </w:r>
            <w:r w:rsidRPr="005D4222">
              <w:t xml:space="preserve"> 25(4), 310–15. http://doi.org/10.1007/s11606-009-1218-z</w:t>
            </w:r>
          </w:p>
        </w:tc>
      </w:tr>
    </w:tbl>
    <w:p w14:paraId="4BE6390C" w14:textId="77777777" w:rsidR="008D11D5" w:rsidRPr="005D4222" w:rsidRDefault="008D11D5">
      <w:r w:rsidRPr="005D4222">
        <w:br w:type="page"/>
      </w:r>
    </w:p>
    <w:tbl>
      <w:tblPr>
        <w:tblpPr w:leftFromText="180" w:rightFromText="180" w:vertAnchor="text" w:tblpY="1"/>
        <w:tblOverlap w:val="never"/>
        <w:tblW w:w="971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8"/>
        <w:gridCol w:w="7558"/>
      </w:tblGrid>
      <w:tr w:rsidR="0015699E" w:rsidRPr="005D4222" w14:paraId="1C8CAB03" w14:textId="77777777">
        <w:tc>
          <w:tcPr>
            <w:tcW w:w="9716" w:type="dxa"/>
            <w:gridSpan w:val="2"/>
            <w:shd w:val="clear" w:color="auto" w:fill="BFBFBF" w:themeFill="background1" w:themeFillShade="BF"/>
            <w:tcMar>
              <w:top w:w="0" w:type="dxa"/>
              <w:left w:w="86" w:type="dxa"/>
              <w:bottom w:w="43" w:type="dxa"/>
              <w:right w:w="86" w:type="dxa"/>
            </w:tcMar>
          </w:tcPr>
          <w:p w14:paraId="2D6BD30F" w14:textId="77777777" w:rsidR="0015699E" w:rsidRPr="005D4222" w:rsidRDefault="0015699E">
            <w:pPr>
              <w:pStyle w:val="ECDSMarginHead"/>
            </w:pPr>
            <w:r w:rsidRPr="005D4222">
              <w:lastRenderedPageBreak/>
              <w:t>Characteristics</w:t>
            </w:r>
          </w:p>
        </w:tc>
      </w:tr>
      <w:tr w:rsidR="0015699E" w:rsidRPr="005D4222" w14:paraId="277BD376" w14:textId="77777777">
        <w:tc>
          <w:tcPr>
            <w:tcW w:w="2158"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5B894D48" w14:textId="77777777" w:rsidR="0015699E" w:rsidRPr="005D4222" w:rsidRDefault="0015699E" w:rsidP="004777AE">
            <w:pPr>
              <w:pStyle w:val="ECDSSubhead"/>
            </w:pPr>
            <w:r w:rsidRPr="005D4222">
              <w:t>Scoring</w:t>
            </w:r>
          </w:p>
        </w:tc>
        <w:tc>
          <w:tcPr>
            <w:tcW w:w="7558" w:type="dxa"/>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3D66B007" w14:textId="77777777" w:rsidR="0015699E" w:rsidRPr="005D4222" w:rsidRDefault="0015699E">
            <w:pPr>
              <w:pStyle w:val="ECDSBody"/>
              <w:spacing w:after="0"/>
            </w:pPr>
            <w:r w:rsidRPr="005D4222">
              <w:t>Proportion.</w:t>
            </w:r>
          </w:p>
        </w:tc>
      </w:tr>
      <w:tr w:rsidR="0015699E" w:rsidRPr="005D4222" w14:paraId="253AC39C" w14:textId="77777777" w:rsidTr="004777AE">
        <w:tc>
          <w:tcPr>
            <w:tcW w:w="2158" w:type="dxa"/>
            <w:tcBorders>
              <w:top w:val="nil"/>
              <w:left w:val="single" w:sz="4" w:space="0" w:color="auto"/>
              <w:bottom w:val="nil"/>
              <w:right w:val="single" w:sz="4" w:space="0" w:color="auto"/>
            </w:tcBorders>
            <w:tcMar>
              <w:top w:w="0" w:type="dxa"/>
              <w:left w:w="86" w:type="dxa"/>
              <w:bottom w:w="43" w:type="dxa"/>
              <w:right w:w="86" w:type="dxa"/>
            </w:tcMar>
          </w:tcPr>
          <w:p w14:paraId="546C2451" w14:textId="77777777" w:rsidR="0015699E" w:rsidRPr="005D4222" w:rsidRDefault="0015699E" w:rsidP="004777AE">
            <w:pPr>
              <w:pStyle w:val="ECDSSubhead"/>
            </w:pPr>
            <w:r w:rsidRPr="005D4222">
              <w:t>Type</w:t>
            </w:r>
          </w:p>
        </w:tc>
        <w:tc>
          <w:tcPr>
            <w:tcW w:w="7558" w:type="dxa"/>
            <w:tcBorders>
              <w:top w:val="nil"/>
              <w:left w:val="single" w:sz="4" w:space="0" w:color="auto"/>
              <w:bottom w:val="nil"/>
              <w:right w:val="single" w:sz="4" w:space="0" w:color="auto"/>
            </w:tcBorders>
            <w:tcMar>
              <w:top w:w="0" w:type="dxa"/>
              <w:left w:w="86" w:type="dxa"/>
              <w:bottom w:w="43" w:type="dxa"/>
              <w:right w:w="86" w:type="dxa"/>
            </w:tcMar>
          </w:tcPr>
          <w:p w14:paraId="53BA1815" w14:textId="77777777" w:rsidR="0015699E" w:rsidRPr="005D4222" w:rsidRDefault="0015699E" w:rsidP="004777AE">
            <w:pPr>
              <w:pStyle w:val="ECDSBody"/>
              <w:spacing w:after="0"/>
            </w:pPr>
            <w:r w:rsidRPr="005D4222">
              <w:t>Process.</w:t>
            </w:r>
          </w:p>
        </w:tc>
      </w:tr>
      <w:tr w:rsidR="0015699E" w:rsidRPr="005D4222" w14:paraId="6FC005AE" w14:textId="77777777" w:rsidTr="004777AE">
        <w:tc>
          <w:tcPr>
            <w:tcW w:w="2158" w:type="dxa"/>
            <w:tcBorders>
              <w:top w:val="nil"/>
              <w:left w:val="single" w:sz="4" w:space="0" w:color="auto"/>
              <w:bottom w:val="nil"/>
              <w:right w:val="single" w:sz="4" w:space="0" w:color="auto"/>
            </w:tcBorders>
            <w:tcMar>
              <w:top w:w="0" w:type="dxa"/>
              <w:left w:w="86" w:type="dxa"/>
              <w:bottom w:w="43" w:type="dxa"/>
              <w:right w:w="86" w:type="dxa"/>
            </w:tcMar>
          </w:tcPr>
          <w:p w14:paraId="5A6EF350" w14:textId="3F8CCF93" w:rsidR="0015699E" w:rsidRPr="005D4222" w:rsidRDefault="00B51CDC" w:rsidP="004777AE">
            <w:pPr>
              <w:pStyle w:val="ECDSSubhead"/>
            </w:pPr>
            <w:r w:rsidRPr="005D4222">
              <w:t>Product lines</w:t>
            </w:r>
          </w:p>
        </w:tc>
        <w:tc>
          <w:tcPr>
            <w:tcW w:w="7558" w:type="dxa"/>
            <w:tcBorders>
              <w:top w:val="nil"/>
              <w:left w:val="single" w:sz="4" w:space="0" w:color="auto"/>
              <w:bottom w:val="nil"/>
              <w:right w:val="single" w:sz="4" w:space="0" w:color="auto"/>
            </w:tcBorders>
            <w:tcMar>
              <w:top w:w="0" w:type="dxa"/>
              <w:left w:w="86" w:type="dxa"/>
              <w:bottom w:w="43" w:type="dxa"/>
              <w:right w:w="86" w:type="dxa"/>
            </w:tcMar>
          </w:tcPr>
          <w:p w14:paraId="6D793461" w14:textId="77777777" w:rsidR="0015699E" w:rsidRPr="005D4222" w:rsidRDefault="0015699E" w:rsidP="0015699E">
            <w:pPr>
              <w:pStyle w:val="ProcessBullet"/>
              <w:tabs>
                <w:tab w:val="left" w:pos="216"/>
              </w:tabs>
            </w:pPr>
            <w:r w:rsidRPr="005D4222">
              <w:t>Commercial.</w:t>
            </w:r>
          </w:p>
          <w:p w14:paraId="5DDB51CA" w14:textId="77777777" w:rsidR="0015699E" w:rsidRPr="005D4222" w:rsidRDefault="0015699E" w:rsidP="0015699E">
            <w:pPr>
              <w:pStyle w:val="ProcessBullet"/>
              <w:tabs>
                <w:tab w:val="left" w:pos="216"/>
              </w:tabs>
            </w:pPr>
            <w:r w:rsidRPr="005D4222">
              <w:t>Medicaid.</w:t>
            </w:r>
          </w:p>
          <w:p w14:paraId="41DDA998" w14:textId="77777777" w:rsidR="0015699E" w:rsidRPr="005D4222" w:rsidRDefault="0015699E" w:rsidP="0015699E">
            <w:pPr>
              <w:pStyle w:val="ProcessBullet"/>
              <w:tabs>
                <w:tab w:val="left" w:pos="216"/>
              </w:tabs>
            </w:pPr>
            <w:r w:rsidRPr="005D4222">
              <w:t>Medicare.</w:t>
            </w:r>
          </w:p>
        </w:tc>
      </w:tr>
      <w:tr w:rsidR="0015699E" w:rsidRPr="005D4222" w14:paraId="2B8B60C0" w14:textId="77777777">
        <w:tc>
          <w:tcPr>
            <w:tcW w:w="2158" w:type="dxa"/>
            <w:tcBorders>
              <w:top w:val="nil"/>
              <w:left w:val="single" w:sz="4" w:space="0" w:color="auto"/>
              <w:bottom w:val="nil"/>
              <w:right w:val="single" w:sz="4" w:space="0" w:color="auto"/>
            </w:tcBorders>
            <w:tcMar>
              <w:top w:w="0" w:type="dxa"/>
              <w:left w:w="86" w:type="dxa"/>
              <w:bottom w:w="43" w:type="dxa"/>
              <w:right w:w="86" w:type="dxa"/>
            </w:tcMar>
          </w:tcPr>
          <w:p w14:paraId="34A6DFC5" w14:textId="50241556" w:rsidR="0015699E" w:rsidRPr="005D4222" w:rsidRDefault="00B51CDC" w:rsidP="004777AE">
            <w:pPr>
              <w:pStyle w:val="ECDSSubhead"/>
            </w:pPr>
            <w:r w:rsidRPr="005D4222">
              <w:t>Stratifications</w:t>
            </w:r>
            <w:r w:rsidR="0015699E" w:rsidRPr="005D4222">
              <w:t xml:space="preserve"> </w:t>
            </w:r>
          </w:p>
        </w:tc>
        <w:tc>
          <w:tcPr>
            <w:tcW w:w="7558" w:type="dxa"/>
            <w:tcBorders>
              <w:top w:val="nil"/>
              <w:left w:val="single" w:sz="4" w:space="0" w:color="auto"/>
              <w:bottom w:val="nil"/>
              <w:right w:val="single" w:sz="4" w:space="0" w:color="auto"/>
            </w:tcBorders>
            <w:tcMar>
              <w:top w:w="0" w:type="dxa"/>
              <w:left w:w="86" w:type="dxa"/>
              <w:bottom w:w="43" w:type="dxa"/>
              <w:right w:w="86" w:type="dxa"/>
            </w:tcMar>
            <w:hideMark/>
          </w:tcPr>
          <w:p w14:paraId="00E35047" w14:textId="77777777" w:rsidR="0015699E" w:rsidRPr="005D4222" w:rsidRDefault="0015699E">
            <w:pPr>
              <w:pStyle w:val="ECDSBody"/>
              <w:spacing w:after="0"/>
            </w:pPr>
            <w:r w:rsidRPr="005D4222">
              <w:t>None.</w:t>
            </w:r>
          </w:p>
        </w:tc>
      </w:tr>
      <w:tr w:rsidR="0015699E" w:rsidRPr="005D4222" w14:paraId="553D2274" w14:textId="77777777">
        <w:tc>
          <w:tcPr>
            <w:tcW w:w="2158" w:type="dxa"/>
            <w:tcBorders>
              <w:top w:val="nil"/>
              <w:left w:val="single" w:sz="4" w:space="0" w:color="auto"/>
              <w:bottom w:val="nil"/>
              <w:right w:val="single" w:sz="4" w:space="0" w:color="auto"/>
            </w:tcBorders>
            <w:tcMar>
              <w:top w:w="0" w:type="dxa"/>
              <w:left w:w="86" w:type="dxa"/>
              <w:bottom w:w="43" w:type="dxa"/>
              <w:right w:w="86" w:type="dxa"/>
            </w:tcMar>
          </w:tcPr>
          <w:p w14:paraId="1D0B7EFE" w14:textId="77777777" w:rsidR="0015699E" w:rsidRPr="005D4222" w:rsidRDefault="0015699E" w:rsidP="004777AE">
            <w:pPr>
              <w:pStyle w:val="ECDSSubhead"/>
            </w:pPr>
            <w:r w:rsidRPr="005D4222">
              <w:t>Risk adjustment</w:t>
            </w:r>
          </w:p>
        </w:tc>
        <w:tc>
          <w:tcPr>
            <w:tcW w:w="7558" w:type="dxa"/>
            <w:tcBorders>
              <w:top w:val="nil"/>
              <w:left w:val="single" w:sz="4" w:space="0" w:color="auto"/>
              <w:bottom w:val="nil"/>
              <w:right w:val="single" w:sz="4" w:space="0" w:color="auto"/>
            </w:tcBorders>
            <w:tcMar>
              <w:top w:w="0" w:type="dxa"/>
              <w:left w:w="86" w:type="dxa"/>
              <w:bottom w:w="43" w:type="dxa"/>
              <w:right w:w="86" w:type="dxa"/>
            </w:tcMar>
            <w:hideMark/>
          </w:tcPr>
          <w:p w14:paraId="5D13A210" w14:textId="77777777" w:rsidR="0015699E" w:rsidRPr="005D4222" w:rsidRDefault="0015699E">
            <w:pPr>
              <w:pStyle w:val="ECDSBody"/>
              <w:spacing w:after="0"/>
              <w:rPr>
                <w:szCs w:val="21"/>
              </w:rPr>
            </w:pPr>
            <w:r w:rsidRPr="005D4222">
              <w:rPr>
                <w:szCs w:val="21"/>
              </w:rPr>
              <w:t>None.</w:t>
            </w:r>
          </w:p>
        </w:tc>
      </w:tr>
      <w:tr w:rsidR="0015699E" w:rsidRPr="005D4222" w14:paraId="2FB838A2" w14:textId="77777777">
        <w:tc>
          <w:tcPr>
            <w:tcW w:w="2158" w:type="dxa"/>
            <w:tcBorders>
              <w:top w:val="nil"/>
              <w:left w:val="single" w:sz="4" w:space="0" w:color="auto"/>
              <w:bottom w:val="nil"/>
              <w:right w:val="single" w:sz="4" w:space="0" w:color="auto"/>
            </w:tcBorders>
            <w:tcMar>
              <w:top w:w="0" w:type="dxa"/>
              <w:left w:w="86" w:type="dxa"/>
              <w:bottom w:w="43" w:type="dxa"/>
              <w:right w:w="86" w:type="dxa"/>
            </w:tcMar>
          </w:tcPr>
          <w:p w14:paraId="255FAE2F" w14:textId="77777777" w:rsidR="0015699E" w:rsidRPr="005D4222" w:rsidRDefault="0015699E" w:rsidP="004777AE">
            <w:pPr>
              <w:pStyle w:val="ECDSSubhead"/>
            </w:pPr>
            <w:r w:rsidRPr="005D4222">
              <w:t>Improvement notation</w:t>
            </w:r>
          </w:p>
        </w:tc>
        <w:tc>
          <w:tcPr>
            <w:tcW w:w="7558" w:type="dxa"/>
            <w:tcBorders>
              <w:top w:val="nil"/>
              <w:left w:val="single" w:sz="4" w:space="0" w:color="auto"/>
              <w:bottom w:val="nil"/>
              <w:right w:val="single" w:sz="4" w:space="0" w:color="auto"/>
            </w:tcBorders>
            <w:tcMar>
              <w:top w:w="0" w:type="dxa"/>
              <w:left w:w="86" w:type="dxa"/>
              <w:bottom w:w="43" w:type="dxa"/>
              <w:right w:w="86" w:type="dxa"/>
            </w:tcMar>
            <w:hideMark/>
          </w:tcPr>
          <w:p w14:paraId="62AA0615" w14:textId="77777777" w:rsidR="0015699E" w:rsidRPr="005D4222" w:rsidRDefault="0015699E">
            <w:pPr>
              <w:pStyle w:val="ECDSBody"/>
              <w:spacing w:after="0"/>
            </w:pPr>
            <w:r w:rsidRPr="005D4222">
              <w:rPr>
                <w:rFonts w:eastAsia="Arial,Arial,Times New Roman"/>
              </w:rPr>
              <w:t>Decreased score indicates improvement.</w:t>
            </w:r>
          </w:p>
        </w:tc>
      </w:tr>
      <w:tr w:rsidR="0015699E" w:rsidRPr="005D4222" w14:paraId="3AB53911" w14:textId="77777777">
        <w:trPr>
          <w:trHeight w:val="337"/>
        </w:trPr>
        <w:tc>
          <w:tcPr>
            <w:tcW w:w="2158" w:type="dxa"/>
            <w:tcBorders>
              <w:top w:val="nil"/>
              <w:left w:val="single" w:sz="4" w:space="0" w:color="auto"/>
              <w:bottom w:val="single" w:sz="4" w:space="0" w:color="auto"/>
              <w:right w:val="single" w:sz="4" w:space="0" w:color="auto"/>
            </w:tcBorders>
            <w:noWrap/>
            <w:tcMar>
              <w:top w:w="0" w:type="dxa"/>
              <w:left w:w="86" w:type="dxa"/>
              <w:bottom w:w="43" w:type="dxa"/>
              <w:right w:w="86" w:type="dxa"/>
            </w:tcMar>
          </w:tcPr>
          <w:p w14:paraId="496172FF" w14:textId="77777777" w:rsidR="0015699E" w:rsidRPr="005D4222" w:rsidRDefault="0015699E" w:rsidP="004777AE">
            <w:pPr>
              <w:pStyle w:val="ECDSSubhead"/>
            </w:pPr>
            <w:r w:rsidRPr="005D4222">
              <w:t>Guidance</w:t>
            </w:r>
          </w:p>
        </w:tc>
        <w:tc>
          <w:tcPr>
            <w:tcW w:w="7558" w:type="dxa"/>
            <w:tcBorders>
              <w:top w:val="nil"/>
              <w:left w:val="single" w:sz="4" w:space="0" w:color="auto"/>
              <w:bottom w:val="single" w:sz="4" w:space="0" w:color="auto"/>
              <w:right w:val="single" w:sz="4" w:space="0" w:color="auto"/>
            </w:tcBorders>
            <w:noWrap/>
            <w:tcMar>
              <w:top w:w="0" w:type="dxa"/>
              <w:left w:w="86" w:type="dxa"/>
              <w:bottom w:w="43" w:type="dxa"/>
              <w:right w:w="86" w:type="dxa"/>
            </w:tcMar>
          </w:tcPr>
          <w:p w14:paraId="3A8579CD" w14:textId="12248F0A" w:rsidR="0015699E" w:rsidRPr="005D4222" w:rsidRDefault="0015699E">
            <w:pPr>
              <w:pStyle w:val="ECDSBody"/>
            </w:pPr>
            <w:r w:rsidRPr="005D4222">
              <w:rPr>
                <w:b/>
              </w:rPr>
              <w:t>Data collection methodology:</w:t>
            </w:r>
            <w:r w:rsidRPr="005D4222">
              <w:t xml:space="preserve"> Administrative. Refer to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2D9E8D28" w14:textId="77777777" w:rsidR="0015699E" w:rsidRPr="005D4222" w:rsidRDefault="0015699E">
            <w:pPr>
              <w:pStyle w:val="ECDSBody"/>
            </w:pPr>
            <w:r w:rsidRPr="005D4222">
              <w:rPr>
                <w:b/>
              </w:rPr>
              <w:t xml:space="preserve">Date specificity: </w:t>
            </w:r>
            <w:r w:rsidRPr="005D4222">
              <w:t>Dates must be specific enough to determine the event occurred in the period being measured.</w:t>
            </w:r>
          </w:p>
          <w:p w14:paraId="369A0FA6" w14:textId="77777777" w:rsidR="0015699E" w:rsidRPr="005D4222" w:rsidRDefault="0015699E">
            <w:pPr>
              <w:pStyle w:val="ECDSBody"/>
              <w:rPr>
                <w:b/>
              </w:rPr>
            </w:pPr>
            <w:r w:rsidRPr="005D4222">
              <w:rPr>
                <w:b/>
              </w:rPr>
              <w:t>Which services count?</w:t>
            </w:r>
          </w:p>
          <w:p w14:paraId="4F571E28" w14:textId="77777777" w:rsidR="0015699E" w:rsidRPr="005D4222" w:rsidRDefault="0015699E" w:rsidP="0015699E">
            <w:pPr>
              <w:pStyle w:val="ProcessBullet"/>
              <w:tabs>
                <w:tab w:val="left" w:pos="216"/>
              </w:tabs>
            </w:pPr>
            <w:r w:rsidRPr="005D4222">
              <w:t>Do not include denied claims when identifying initial population and numerator events; only include claims the organization paid for or expects to pay for (i.e., claims incurred but not paid).</w:t>
            </w:r>
          </w:p>
          <w:p w14:paraId="5C2CCFFA" w14:textId="77777777" w:rsidR="0015699E" w:rsidRPr="005D4222" w:rsidRDefault="0015699E" w:rsidP="0015699E">
            <w:pPr>
              <w:pStyle w:val="ProcessBullet"/>
              <w:tabs>
                <w:tab w:val="left" w:pos="216"/>
              </w:tabs>
            </w:pPr>
            <w:r w:rsidRPr="005D4222">
              <w:t xml:space="preserve">Include all paid, suspended, pending and denied claims to identify the denominator exclusions. </w:t>
            </w:r>
          </w:p>
          <w:p w14:paraId="3E3395CB" w14:textId="77777777" w:rsidR="0015699E" w:rsidRPr="005D4222" w:rsidRDefault="0015699E">
            <w:pPr>
              <w:pStyle w:val="ECDSBody"/>
              <w:rPr>
                <w:b/>
                <w:bCs w:val="0"/>
              </w:rPr>
            </w:pPr>
            <w:r w:rsidRPr="005D4222">
              <w:rPr>
                <w:b/>
                <w:bCs w:val="0"/>
              </w:rPr>
              <w:t xml:space="preserve">Supplemental data exceptions: </w:t>
            </w:r>
            <w:r w:rsidRPr="005D4222">
              <w:t>Supplemental data may not be used for this measure, except for denominator exclusions.</w:t>
            </w:r>
          </w:p>
          <w:p w14:paraId="7E33A15B" w14:textId="77777777" w:rsidR="002B4881" w:rsidRPr="005D4222" w:rsidRDefault="0015699E">
            <w:pPr>
              <w:pStyle w:val="ECDSBody"/>
              <w:rPr>
                <w:b/>
                <w:bCs w:val="0"/>
              </w:rPr>
            </w:pPr>
            <w:r w:rsidRPr="005D4222">
              <w:rPr>
                <w:b/>
                <w:bCs w:val="0"/>
              </w:rPr>
              <w:t xml:space="preserve">Medication lists: </w:t>
            </w:r>
          </w:p>
          <w:p w14:paraId="5C065CC5" w14:textId="330266EF" w:rsidR="0015699E" w:rsidRPr="005D4222" w:rsidRDefault="0015699E" w:rsidP="003D2B86">
            <w:pPr>
              <w:pStyle w:val="ProcessBullet"/>
              <w:rPr>
                <w:b/>
                <w:bCs/>
              </w:rPr>
            </w:pPr>
            <w:r w:rsidRPr="005D4222">
              <w:t xml:space="preserve">If </w:t>
            </w:r>
            <w:r w:rsidRPr="005D4222" w:rsidDel="00B67B85">
              <w:t xml:space="preserve">an organization uses both pharmacy data (NDC codes) and clinical data (RxNorm codes) for reporting, and </w:t>
            </w:r>
            <w:r w:rsidRPr="005D4222">
              <w:t>there are both NDC and RxNorm codes on the same date of service, use only one data source for the date of service</w:t>
            </w:r>
            <w:r w:rsidRPr="005D4222" w:rsidDel="00AB07A7">
              <w:t xml:space="preserve"> (only NDC codes or only RxNorm codes)</w:t>
            </w:r>
            <w:r w:rsidRPr="005D4222">
              <w:t xml:space="preserve">. </w:t>
            </w:r>
          </w:p>
          <w:p w14:paraId="7B21CB1A" w14:textId="77777777" w:rsidR="0015699E" w:rsidRPr="005D4222" w:rsidRDefault="0015699E" w:rsidP="003D2B86">
            <w:pPr>
              <w:pStyle w:val="ProcessBullet"/>
              <w:rPr>
                <w:szCs w:val="20"/>
              </w:rPr>
            </w:pPr>
            <w:r w:rsidRPr="005D4222">
              <w:rPr>
                <w:rFonts w:eastAsia="Arial,Times New Roman"/>
              </w:rPr>
              <w:t>This measure</w:t>
            </w:r>
            <w:r w:rsidRPr="005D4222" w:rsidDel="00F95CD6">
              <w:t xml:space="preserve"> </w:t>
            </w:r>
            <w:r w:rsidRPr="005D4222">
              <w:t xml:space="preserve">does not include the following opioid medications: </w:t>
            </w:r>
          </w:p>
          <w:p w14:paraId="5A79A6F8" w14:textId="77777777" w:rsidR="0015699E" w:rsidRPr="005D4222" w:rsidRDefault="0015699E" w:rsidP="003D2B86">
            <w:pPr>
              <w:pStyle w:val="ProcessDash"/>
            </w:pPr>
            <w:r w:rsidRPr="005D4222">
              <w:t xml:space="preserve">Injectables. </w:t>
            </w:r>
          </w:p>
          <w:p w14:paraId="0807621F" w14:textId="77777777" w:rsidR="0015699E" w:rsidRPr="005D4222" w:rsidRDefault="0015699E" w:rsidP="003D2B86">
            <w:pPr>
              <w:pStyle w:val="ProcessDash"/>
            </w:pPr>
            <w:r w:rsidRPr="005D4222">
              <w:t>Opioid cough and cold products.</w:t>
            </w:r>
          </w:p>
          <w:p w14:paraId="1E4BF390" w14:textId="77777777" w:rsidR="0015699E" w:rsidRPr="005D4222" w:rsidRDefault="0015699E" w:rsidP="003D2B86">
            <w:pPr>
              <w:pStyle w:val="ProcessDash"/>
            </w:pPr>
            <w:r w:rsidRPr="005D4222">
              <w:t>Ionsys</w:t>
            </w:r>
            <w:r w:rsidRPr="005D4222">
              <w:rPr>
                <w:vertAlign w:val="superscript"/>
              </w:rPr>
              <w:t>®</w:t>
            </w:r>
            <w:r w:rsidRPr="005D4222">
              <w:t xml:space="preserve"> (fentanyl transdermal patch). This is for inpatient use only and is available only through a restricted program under a Risk Evaluation and Mitigation Strategy (REMS).</w:t>
            </w:r>
          </w:p>
          <w:p w14:paraId="62CBACE8" w14:textId="77777777" w:rsidR="0015699E" w:rsidRPr="005D4222" w:rsidRDefault="0015699E" w:rsidP="007A176B">
            <w:pPr>
              <w:pStyle w:val="ProcessDash"/>
              <w:spacing w:after="80"/>
            </w:pPr>
            <w:r w:rsidRPr="005D4222">
              <w:t>Methadone for the treatment of opioid use disorder.</w:t>
            </w:r>
          </w:p>
        </w:tc>
      </w:tr>
      <w:tr w:rsidR="0015699E" w:rsidRPr="005D4222" w14:paraId="2208C70F" w14:textId="77777777">
        <w:tc>
          <w:tcPr>
            <w:tcW w:w="9716" w:type="dxa"/>
            <w:gridSpan w:val="2"/>
            <w:tcBorders>
              <w:top w:val="single" w:sz="4" w:space="0" w:color="auto"/>
              <w:bottom w:val="single" w:sz="4" w:space="0" w:color="auto"/>
            </w:tcBorders>
            <w:shd w:val="clear" w:color="auto" w:fill="BFBFBF" w:themeFill="background1" w:themeFillShade="BF"/>
            <w:noWrap/>
            <w:tcMar>
              <w:top w:w="0" w:type="dxa"/>
              <w:left w:w="86" w:type="dxa"/>
              <w:bottom w:w="43" w:type="dxa"/>
              <w:right w:w="86" w:type="dxa"/>
            </w:tcMar>
          </w:tcPr>
          <w:p w14:paraId="555B1385" w14:textId="77777777" w:rsidR="0015699E" w:rsidRPr="005D4222" w:rsidRDefault="0015699E">
            <w:pPr>
              <w:pStyle w:val="ECDSMarginHead"/>
            </w:pPr>
            <w:r w:rsidRPr="005D4222">
              <w:t xml:space="preserve">Definitions </w:t>
            </w:r>
          </w:p>
        </w:tc>
      </w:tr>
      <w:tr w:rsidR="0015699E" w:rsidRPr="005D4222" w14:paraId="233FD811" w14:textId="77777777" w:rsidTr="004777AE">
        <w:tc>
          <w:tcPr>
            <w:tcW w:w="2158" w:type="dxa"/>
            <w:tcBorders>
              <w:top w:val="single" w:sz="4" w:space="0" w:color="auto"/>
              <w:bottom w:val="single" w:sz="4" w:space="0" w:color="auto"/>
            </w:tcBorders>
            <w:noWrap/>
            <w:tcMar>
              <w:top w:w="0" w:type="dxa"/>
              <w:left w:w="86" w:type="dxa"/>
              <w:bottom w:w="43" w:type="dxa"/>
              <w:right w:w="86" w:type="dxa"/>
            </w:tcMar>
          </w:tcPr>
          <w:p w14:paraId="45C959F3" w14:textId="77777777" w:rsidR="0015699E" w:rsidRPr="005D4222" w:rsidRDefault="0015699E">
            <w:pPr>
              <w:pStyle w:val="ECDSMarginSubhead"/>
            </w:pPr>
            <w:r w:rsidRPr="005D4222">
              <w:t>Average MME</w:t>
            </w:r>
          </w:p>
        </w:tc>
        <w:tc>
          <w:tcPr>
            <w:tcW w:w="7558" w:type="dxa"/>
            <w:tcBorders>
              <w:top w:val="single" w:sz="4" w:space="0" w:color="auto"/>
              <w:bottom w:val="single" w:sz="4" w:space="0" w:color="auto"/>
            </w:tcBorders>
            <w:noWrap/>
            <w:tcMar>
              <w:left w:w="86" w:type="dxa"/>
              <w:bottom w:w="43" w:type="dxa"/>
              <w:right w:w="86" w:type="dxa"/>
            </w:tcMar>
          </w:tcPr>
          <w:p w14:paraId="588C8E67" w14:textId="77777777" w:rsidR="0015699E" w:rsidRPr="005D4222" w:rsidRDefault="0015699E">
            <w:pPr>
              <w:pStyle w:val="ECDSBody"/>
              <w:spacing w:after="0"/>
            </w:pPr>
            <w:r w:rsidRPr="005D4222">
              <w:t xml:space="preserve">The average MME for all opioids dispensed during the treatment period. </w:t>
            </w:r>
          </w:p>
        </w:tc>
      </w:tr>
    </w:tbl>
    <w:p w14:paraId="2E9ABA04" w14:textId="77777777" w:rsidR="004777AE" w:rsidRPr="005D4222" w:rsidRDefault="004777AE">
      <w:r w:rsidRPr="005D4222">
        <w:br w:type="page"/>
      </w:r>
    </w:p>
    <w:tbl>
      <w:tblPr>
        <w:tblpPr w:leftFromText="180" w:rightFromText="180" w:vertAnchor="text" w:tblpY="1"/>
        <w:tblOverlap w:val="never"/>
        <w:tblW w:w="971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8"/>
        <w:gridCol w:w="7558"/>
      </w:tblGrid>
      <w:tr w:rsidR="002F58AC" w:rsidRPr="005D4222" w14:paraId="573C5E28" w14:textId="77777777" w:rsidTr="00D279EC">
        <w:tc>
          <w:tcPr>
            <w:tcW w:w="2158" w:type="dxa"/>
            <w:tcBorders>
              <w:top w:val="single" w:sz="4" w:space="0" w:color="auto"/>
              <w:bottom w:val="nil"/>
            </w:tcBorders>
            <w:tcMar>
              <w:top w:w="0" w:type="dxa"/>
              <w:left w:w="86" w:type="dxa"/>
              <w:bottom w:w="43" w:type="dxa"/>
              <w:right w:w="86" w:type="dxa"/>
            </w:tcMar>
          </w:tcPr>
          <w:p w14:paraId="6350C510" w14:textId="77777777" w:rsidR="002F58AC" w:rsidRPr="005D4222" w:rsidRDefault="002F58AC">
            <w:pPr>
              <w:pStyle w:val="ECDSMarginSubhead"/>
            </w:pPr>
            <w:r w:rsidRPr="005D4222">
              <w:lastRenderedPageBreak/>
              <w:t>Calculating number of days covered for the denominator</w:t>
            </w:r>
          </w:p>
        </w:tc>
        <w:tc>
          <w:tcPr>
            <w:tcW w:w="7558" w:type="dxa"/>
            <w:tcBorders>
              <w:top w:val="single" w:sz="4" w:space="0" w:color="auto"/>
              <w:bottom w:val="nil"/>
            </w:tcBorders>
            <w:tcMar>
              <w:left w:w="86" w:type="dxa"/>
              <w:bottom w:w="43" w:type="dxa"/>
              <w:right w:w="86" w:type="dxa"/>
            </w:tcMar>
          </w:tcPr>
          <w:p w14:paraId="2CA4DC31" w14:textId="77777777" w:rsidR="002F58AC" w:rsidRPr="005D4222" w:rsidRDefault="002F58AC">
            <w:pPr>
              <w:pStyle w:val="ECDSBody"/>
            </w:pPr>
            <w:r w:rsidRPr="005D4222">
              <w:rPr>
                <w:b/>
              </w:rPr>
              <w:t xml:space="preserve">Step 1. </w:t>
            </w:r>
            <w:r w:rsidRPr="005D4222">
              <w:t xml:space="preserve">Identify dispensing events where multiple prescriptions for the same medication are dispensed with overlapping days supply (i.e., dispensed on the same day or dispensed on different days with overlapping days supply). Sum the days supply for these dispensing events. </w:t>
            </w:r>
          </w:p>
          <w:p w14:paraId="7389FF41" w14:textId="77777777" w:rsidR="002F58AC" w:rsidRPr="005D4222" w:rsidRDefault="002F58AC">
            <w:pPr>
              <w:pStyle w:val="ECDSBody"/>
              <w:rPr>
                <w:rFonts w:eastAsia="Arial,Times New Roman"/>
              </w:rPr>
            </w:pPr>
            <w:r w:rsidRPr="005D4222">
              <w:t xml:space="preserve">Identify the start and end dates. The start date is the date of service of the earliest dispensing event; the end date is the start date plus the summed days supply minus one. The start date through the end date are considered covered days. </w:t>
            </w:r>
          </w:p>
          <w:p w14:paraId="10126756" w14:textId="77777777" w:rsidR="002F58AC" w:rsidRPr="005D4222" w:rsidRDefault="002F58AC" w:rsidP="0015699E">
            <w:pPr>
              <w:pStyle w:val="Bullet"/>
              <w:numPr>
                <w:ilvl w:val="0"/>
                <w:numId w:val="4"/>
              </w:numPr>
              <w:tabs>
                <w:tab w:val="left" w:pos="360"/>
                <w:tab w:val="left" w:pos="576"/>
              </w:tabs>
              <w:ind w:left="576" w:hanging="216"/>
              <w:rPr>
                <w:i/>
                <w:iCs/>
              </w:rPr>
            </w:pPr>
            <w:r w:rsidRPr="005D4222">
              <w:rPr>
                <w:i/>
                <w:iCs/>
              </w:rPr>
              <w:t>For example:</w:t>
            </w:r>
          </w:p>
          <w:p w14:paraId="2D13187F" w14:textId="2C61DC1B" w:rsidR="002F58AC" w:rsidRPr="005D4222" w:rsidRDefault="002F58AC" w:rsidP="0015699E">
            <w:pPr>
              <w:pStyle w:val="Dash"/>
              <w:tabs>
                <w:tab w:val="left" w:pos="576"/>
                <w:tab w:val="left" w:pos="792"/>
              </w:tabs>
            </w:pPr>
            <w:r w:rsidRPr="005D4222">
              <w:t>If there are three 7</w:t>
            </w:r>
            <w:r w:rsidR="00CF717A" w:rsidRPr="005D4222">
              <w:t xml:space="preserve"> </w:t>
            </w:r>
            <w:r w:rsidRPr="005D4222">
              <w:t xml:space="preserve">days supply dispensing events for the same medication on January 1, the start date is January 1 and the end date is January 21. Covered days include January 1–21. </w:t>
            </w:r>
          </w:p>
          <w:p w14:paraId="509F9A33" w14:textId="2B5843B5" w:rsidR="002F58AC" w:rsidRPr="005D4222" w:rsidRDefault="002F58AC" w:rsidP="0015699E">
            <w:pPr>
              <w:pStyle w:val="Dash"/>
              <w:tabs>
                <w:tab w:val="left" w:pos="576"/>
                <w:tab w:val="left" w:pos="792"/>
              </w:tabs>
            </w:pPr>
            <w:r w:rsidRPr="005D4222">
              <w:t>If there are two 7</w:t>
            </w:r>
            <w:r w:rsidR="00CF717A" w:rsidRPr="005D4222">
              <w:t xml:space="preserve"> </w:t>
            </w:r>
            <w:r w:rsidRPr="005D4222">
              <w:t>days supply dispensing events for the same medication on January 1 and January 5, the start date is January 1 and the end date is January 14. Covered days include January 1–14.</w:t>
            </w:r>
          </w:p>
          <w:p w14:paraId="15EB7D1B" w14:textId="63F8C3DC" w:rsidR="002F58AC" w:rsidRPr="005D4222" w:rsidRDefault="002F58AC" w:rsidP="0015699E">
            <w:pPr>
              <w:pStyle w:val="Dash"/>
              <w:tabs>
                <w:tab w:val="left" w:pos="576"/>
                <w:tab w:val="left" w:pos="792"/>
              </w:tabs>
            </w:pPr>
            <w:r w:rsidRPr="005D4222">
              <w:t>If there are three 7</w:t>
            </w:r>
            <w:r w:rsidR="00CF717A" w:rsidRPr="005D4222">
              <w:t xml:space="preserve"> </w:t>
            </w:r>
            <w:r w:rsidRPr="005D4222">
              <w:t>days supply dispensing events for the same medication on January 1, a 7</w:t>
            </w:r>
            <w:r w:rsidR="00CF717A" w:rsidRPr="005D4222">
              <w:t xml:space="preserve"> </w:t>
            </w:r>
            <w:r w:rsidRPr="005D4222">
              <w:t>days supply dispensing event on January 20, and a 7</w:t>
            </w:r>
            <w:r w:rsidR="00CF717A" w:rsidRPr="005D4222">
              <w:t xml:space="preserve"> </w:t>
            </w:r>
            <w:r w:rsidRPr="005D4222">
              <w:t xml:space="preserve">days supply dispensing event on January 28, the start date is January 1 and the end date is February 4. Covered days include January 1–February 4. </w:t>
            </w:r>
          </w:p>
          <w:p w14:paraId="062B41D7" w14:textId="77777777" w:rsidR="002F58AC" w:rsidRPr="005D4222" w:rsidRDefault="002F58AC">
            <w:pPr>
              <w:pStyle w:val="ECDSBody"/>
            </w:pPr>
            <w:r w:rsidRPr="005D4222">
              <w:rPr>
                <w:b/>
              </w:rPr>
              <w:t xml:space="preserve">Step 2. </w:t>
            </w:r>
            <w:r w:rsidRPr="005D4222">
              <w:t>For all other dispensing events (i.e., multiple prescriptions for the same medication on different days, without overlap; multiple prescriptions for different medications on the same or different days, with or without overlap), identify the start and end dates for each dispensing event individually. The start date through the end date are considered covered days.</w:t>
            </w:r>
          </w:p>
          <w:p w14:paraId="4BA0146C" w14:textId="44897E17" w:rsidR="002F58AC" w:rsidRPr="005D4222" w:rsidRDefault="002F58AC">
            <w:pPr>
              <w:pStyle w:val="ECDSBody"/>
              <w:spacing w:after="0"/>
              <w:rPr>
                <w:rFonts w:eastAsia="Arial,Times New Roman"/>
              </w:rPr>
            </w:pPr>
            <w:r w:rsidRPr="005D4222">
              <w:rPr>
                <w:b/>
              </w:rPr>
              <w:t xml:space="preserve">Step 3. </w:t>
            </w:r>
            <w:r w:rsidRPr="005D4222">
              <w:t>Count the covered days. Consider each calendar day covered by one or more medications to be one covered day.</w:t>
            </w:r>
          </w:p>
        </w:tc>
      </w:tr>
      <w:tr w:rsidR="0015699E" w:rsidRPr="005D4222" w14:paraId="4755B73D" w14:textId="77777777" w:rsidTr="00D279EC">
        <w:tc>
          <w:tcPr>
            <w:tcW w:w="2158" w:type="dxa"/>
            <w:tcBorders>
              <w:top w:val="nil"/>
              <w:bottom w:val="nil"/>
            </w:tcBorders>
            <w:tcMar>
              <w:top w:w="0" w:type="dxa"/>
              <w:left w:w="86" w:type="dxa"/>
              <w:bottom w:w="43" w:type="dxa"/>
              <w:right w:w="86" w:type="dxa"/>
            </w:tcMar>
          </w:tcPr>
          <w:p w14:paraId="7CD998A2" w14:textId="77777777" w:rsidR="0015699E" w:rsidRPr="005D4222" w:rsidRDefault="0015699E">
            <w:pPr>
              <w:pStyle w:val="ECDSMarginSubhead"/>
            </w:pPr>
            <w:r w:rsidRPr="005D4222">
              <w:t>Identifying same or different drugs</w:t>
            </w:r>
          </w:p>
        </w:tc>
        <w:tc>
          <w:tcPr>
            <w:tcW w:w="7558" w:type="dxa"/>
            <w:tcBorders>
              <w:top w:val="nil"/>
              <w:bottom w:val="nil"/>
            </w:tcBorders>
            <w:tcMar>
              <w:left w:w="86" w:type="dxa"/>
              <w:bottom w:w="43" w:type="dxa"/>
              <w:right w:w="86" w:type="dxa"/>
            </w:tcMar>
          </w:tcPr>
          <w:p w14:paraId="42C17C6E" w14:textId="77777777" w:rsidR="0015699E" w:rsidRPr="005D4222" w:rsidRDefault="0015699E">
            <w:pPr>
              <w:pStyle w:val="ECDSBody"/>
              <w:spacing w:after="0"/>
              <w:rPr>
                <w:rFonts w:eastAsia="Arial,Times New Roman"/>
              </w:rPr>
            </w:pPr>
            <w:r w:rsidRPr="005D4222">
              <w:rPr>
                <w:rFonts w:eastAsia="Arial,Times New Roman"/>
              </w:rPr>
              <w:t>To identify “same” or “different” drugs, use Table HDO-A, which identifies the medications lists for the measure. Dispensing events from any of the fentanyl medication lists, even if they are on different rows, are all considered the “same” drug.</w:t>
            </w:r>
          </w:p>
          <w:p w14:paraId="13CF724A" w14:textId="77777777" w:rsidR="0015699E" w:rsidRPr="005D4222" w:rsidRDefault="0015699E">
            <w:pPr>
              <w:pStyle w:val="ECDSBody"/>
              <w:spacing w:after="0"/>
              <w:rPr>
                <w:rFonts w:eastAsia="Arial,Times New Roman"/>
              </w:rPr>
            </w:pPr>
            <w:r w:rsidRPr="005D4222">
              <w:rPr>
                <w:rFonts w:eastAsia="Arial,Times New Roman"/>
              </w:rPr>
              <w:t xml:space="preserve">For all other types of opioids, the table includes a “Medication Lists” column that identifies the “same” high-risk medications by grouping them on the same row. </w:t>
            </w:r>
          </w:p>
          <w:p w14:paraId="18602AB2" w14:textId="77777777" w:rsidR="0015699E" w:rsidRPr="005D4222" w:rsidRDefault="0015699E" w:rsidP="0015699E">
            <w:pPr>
              <w:pStyle w:val="Bullet"/>
              <w:numPr>
                <w:ilvl w:val="0"/>
                <w:numId w:val="4"/>
              </w:numPr>
              <w:tabs>
                <w:tab w:val="left" w:pos="360"/>
                <w:tab w:val="left" w:pos="576"/>
              </w:tabs>
              <w:ind w:left="576" w:hanging="216"/>
              <w:rPr>
                <w:rFonts w:eastAsia="Arial,Times New Roman"/>
              </w:rPr>
            </w:pPr>
            <w:r w:rsidRPr="005D4222">
              <w:rPr>
                <w:rFonts w:eastAsia="Arial,Times New Roman"/>
                <w:i/>
                <w:iCs/>
              </w:rPr>
              <w:t>For example:</w:t>
            </w:r>
          </w:p>
          <w:p w14:paraId="3C52AFC7" w14:textId="77777777" w:rsidR="0015699E" w:rsidRPr="005D4222" w:rsidRDefault="0015699E" w:rsidP="0015699E">
            <w:pPr>
              <w:pStyle w:val="Dash"/>
              <w:tabs>
                <w:tab w:val="left" w:pos="576"/>
                <w:tab w:val="left" w:pos="792"/>
              </w:tabs>
              <w:rPr>
                <w:rFonts w:eastAsia="Arial,Times New Roman"/>
              </w:rPr>
            </w:pPr>
            <w:r w:rsidRPr="005D4222">
              <w:rPr>
                <w:rFonts w:eastAsia="Arial,Times New Roman"/>
              </w:rPr>
              <w:t xml:space="preserve">A dispensing event from the </w:t>
            </w:r>
            <w:r w:rsidRPr="005D4222">
              <w:rPr>
                <w:rFonts w:eastAsia="Arial,Times New Roman"/>
                <w:u w:val="single"/>
              </w:rPr>
              <w:t>Codeine Sulfate 15 mg Medications List</w:t>
            </w:r>
            <w:r w:rsidRPr="005D4222">
              <w:rPr>
                <w:rFonts w:eastAsia="Arial,Times New Roman"/>
              </w:rPr>
              <w:t xml:space="preserve"> is considered the same drug as a dispensing event from the </w:t>
            </w:r>
            <w:r w:rsidRPr="005D4222">
              <w:rPr>
                <w:rFonts w:eastAsia="Arial,Times New Roman"/>
                <w:u w:val="single"/>
              </w:rPr>
              <w:t>Codeine Sulfate 30 mg Medications List</w:t>
            </w:r>
            <w:r w:rsidRPr="005D4222">
              <w:rPr>
                <w:rFonts w:eastAsia="Arial,Times New Roman"/>
              </w:rPr>
              <w:t xml:space="preserve">. </w:t>
            </w:r>
          </w:p>
          <w:p w14:paraId="4B2E3936" w14:textId="77777777" w:rsidR="0015699E" w:rsidRPr="005D4222" w:rsidRDefault="0015699E" w:rsidP="00AE089A">
            <w:pPr>
              <w:pStyle w:val="Dash"/>
              <w:tabs>
                <w:tab w:val="left" w:pos="576"/>
                <w:tab w:val="left" w:pos="792"/>
              </w:tabs>
              <w:spacing w:after="0"/>
              <w:rPr>
                <w:rFonts w:eastAsia="Arial,Times New Roman"/>
              </w:rPr>
            </w:pPr>
            <w:r w:rsidRPr="005D4222">
              <w:rPr>
                <w:rFonts w:eastAsia="Arial,Times New Roman"/>
              </w:rPr>
              <w:t xml:space="preserve">Conversely, a dispensing event from the </w:t>
            </w:r>
            <w:r w:rsidRPr="005D4222">
              <w:rPr>
                <w:rFonts w:eastAsia="Arial,Times New Roman"/>
                <w:u w:val="single"/>
              </w:rPr>
              <w:t>Codeine Sulfate 15 mg Medications List</w:t>
            </w:r>
            <w:r w:rsidRPr="005D4222">
              <w:rPr>
                <w:rFonts w:eastAsia="Arial,Times New Roman"/>
              </w:rPr>
              <w:t xml:space="preserve"> is considered a different drug than a dispensing event from the </w:t>
            </w:r>
            <w:r w:rsidRPr="005D4222">
              <w:rPr>
                <w:rFonts w:eastAsia="Arial,Times New Roman"/>
                <w:u w:val="single"/>
              </w:rPr>
              <w:t>Acetaminophen Codeine 15 mg Medications List</w:t>
            </w:r>
            <w:r w:rsidRPr="005D4222">
              <w:rPr>
                <w:rFonts w:eastAsia="Arial,Times New Roman"/>
              </w:rPr>
              <w:t xml:space="preserve"> because they are in different table rows.</w:t>
            </w:r>
            <w:r w:rsidRPr="005D4222">
              <w:t xml:space="preserve"> </w:t>
            </w:r>
          </w:p>
        </w:tc>
      </w:tr>
      <w:tr w:rsidR="0015699E" w:rsidRPr="005D4222" w14:paraId="361A114E" w14:textId="77777777" w:rsidTr="00D279EC">
        <w:tc>
          <w:tcPr>
            <w:tcW w:w="2158" w:type="dxa"/>
            <w:tcBorders>
              <w:top w:val="nil"/>
              <w:bottom w:val="single" w:sz="4" w:space="0" w:color="auto"/>
            </w:tcBorders>
            <w:tcMar>
              <w:top w:w="0" w:type="dxa"/>
              <w:left w:w="86" w:type="dxa"/>
              <w:bottom w:w="43" w:type="dxa"/>
              <w:right w:w="86" w:type="dxa"/>
            </w:tcMar>
          </w:tcPr>
          <w:p w14:paraId="3E638B35" w14:textId="77777777" w:rsidR="0015699E" w:rsidRPr="005D4222" w:rsidRDefault="0015699E">
            <w:pPr>
              <w:pStyle w:val="ECDSMarginSubhead"/>
            </w:pPr>
            <w:r w:rsidRPr="005D4222">
              <w:t>MME</w:t>
            </w:r>
          </w:p>
        </w:tc>
        <w:tc>
          <w:tcPr>
            <w:tcW w:w="7558" w:type="dxa"/>
            <w:tcBorders>
              <w:top w:val="nil"/>
              <w:bottom w:val="single" w:sz="4" w:space="0" w:color="auto"/>
            </w:tcBorders>
            <w:tcMar>
              <w:left w:w="86" w:type="dxa"/>
              <w:bottom w:w="43" w:type="dxa"/>
              <w:right w:w="86" w:type="dxa"/>
            </w:tcMar>
          </w:tcPr>
          <w:p w14:paraId="0BE04740" w14:textId="77777777" w:rsidR="0015699E" w:rsidRPr="005D4222" w:rsidRDefault="0015699E" w:rsidP="004777AE">
            <w:pPr>
              <w:pStyle w:val="ECDSBody"/>
              <w:rPr>
                <w:i/>
                <w:iCs/>
              </w:rPr>
            </w:pPr>
            <w:r w:rsidRPr="005D4222">
              <w:rPr>
                <w:rFonts w:eastAsia="Arial,Times New Roman"/>
              </w:rPr>
              <w:t>Morphine milligram equivalent. The dose of oral morphine that is the analgesic equivalent of a given dose of another opioid analgesic (Table HDO-A).</w:t>
            </w:r>
          </w:p>
        </w:tc>
      </w:tr>
      <w:tr w:rsidR="0015699E" w:rsidRPr="005D4222" w14:paraId="478C3EDA" w14:textId="77777777" w:rsidTr="004777AE">
        <w:tc>
          <w:tcPr>
            <w:tcW w:w="2158" w:type="dxa"/>
            <w:tcBorders>
              <w:top w:val="single" w:sz="4" w:space="0" w:color="auto"/>
              <w:bottom w:val="nil"/>
            </w:tcBorders>
            <w:tcMar>
              <w:top w:w="0" w:type="dxa"/>
              <w:left w:w="86" w:type="dxa"/>
              <w:bottom w:w="43" w:type="dxa"/>
              <w:right w:w="86" w:type="dxa"/>
            </w:tcMar>
          </w:tcPr>
          <w:p w14:paraId="2116B9E0" w14:textId="77777777" w:rsidR="0015699E" w:rsidRPr="005D4222" w:rsidRDefault="0015699E">
            <w:pPr>
              <w:pStyle w:val="ECDSMarginSubhead"/>
            </w:pPr>
            <w:r w:rsidRPr="005D4222">
              <w:lastRenderedPageBreak/>
              <w:t>MME daily dose</w:t>
            </w:r>
          </w:p>
        </w:tc>
        <w:tc>
          <w:tcPr>
            <w:tcW w:w="7558" w:type="dxa"/>
            <w:tcBorders>
              <w:top w:val="single" w:sz="4" w:space="0" w:color="auto"/>
              <w:bottom w:val="nil"/>
            </w:tcBorders>
            <w:tcMar>
              <w:left w:w="86" w:type="dxa"/>
              <w:bottom w:w="43" w:type="dxa"/>
              <w:right w:w="86" w:type="dxa"/>
            </w:tcMar>
          </w:tcPr>
          <w:p w14:paraId="7FE5865C" w14:textId="77777777" w:rsidR="0015699E" w:rsidRPr="005D4222" w:rsidRDefault="0015699E">
            <w:pPr>
              <w:pStyle w:val="ECDSBody"/>
              <w:spacing w:after="0"/>
              <w:rPr>
                <w:rFonts w:eastAsia="Arial,Times New Roman"/>
              </w:rPr>
            </w:pPr>
            <w:r w:rsidRPr="005D4222">
              <w:rPr>
                <w:rFonts w:eastAsia="Arial,Arial,Times New Roman"/>
              </w:rPr>
              <w:t xml:space="preserve">For each dispensing event, use the following calculation to determine the MME daily dose. Convert each medication into the MME using the appropriate MME conversion factor and strength associated with the opioid product of the dispensing event (refer to Table HDO-A for MME conversion factor and strength). </w:t>
            </w:r>
          </w:p>
          <w:p w14:paraId="42BECE06" w14:textId="77777777" w:rsidR="0015699E" w:rsidRPr="005D4222" w:rsidRDefault="0015699E">
            <w:pPr>
              <w:pStyle w:val="Body"/>
              <w:spacing w:before="80"/>
              <w:jc w:val="center"/>
              <w:rPr>
                <w:rFonts w:eastAsia="Arial,Arial,Times New Roman"/>
              </w:rPr>
            </w:pPr>
            <w:r w:rsidRPr="005D4222">
              <w:rPr>
                <w:rFonts w:eastAsia="Arial,Arial,Times New Roman"/>
              </w:rPr>
              <w:t>MME Daily Dose = (# of opioid dosage units per day) X</w:t>
            </w:r>
            <w:r w:rsidRPr="005D4222">
              <w:rPr>
                <w:rFonts w:eastAsia="Arial,Arial,Times New Roman"/>
              </w:rPr>
              <w:br/>
              <w:t>(strength (e.g., mg, mcg)) X (MME conversion factor [Table HDO-A]).</w:t>
            </w:r>
          </w:p>
          <w:p w14:paraId="2480629A" w14:textId="77777777" w:rsidR="002F58AC" w:rsidRPr="005D4222" w:rsidRDefault="002F58AC" w:rsidP="002F58AC">
            <w:pPr>
              <w:pStyle w:val="Bullet"/>
              <w:numPr>
                <w:ilvl w:val="0"/>
                <w:numId w:val="4"/>
              </w:numPr>
              <w:tabs>
                <w:tab w:val="left" w:pos="360"/>
                <w:tab w:val="left" w:pos="576"/>
              </w:tabs>
              <w:ind w:left="576" w:hanging="216"/>
              <w:rPr>
                <w:rFonts w:eastAsia="Arial,Arial,Times New Roman"/>
                <w:i/>
                <w:iCs/>
              </w:rPr>
            </w:pPr>
            <w:r w:rsidRPr="005D4222">
              <w:rPr>
                <w:rFonts w:eastAsia="Arial,Arial,Times New Roman"/>
                <w:i/>
                <w:iCs/>
              </w:rPr>
              <w:t>For example:</w:t>
            </w:r>
          </w:p>
          <w:p w14:paraId="6C536BE9" w14:textId="77777777" w:rsidR="002F58AC" w:rsidRPr="005D4222" w:rsidRDefault="002F58AC" w:rsidP="002F58AC">
            <w:pPr>
              <w:pStyle w:val="Dash"/>
              <w:tabs>
                <w:tab w:val="left" w:pos="576"/>
                <w:tab w:val="left" w:pos="792"/>
              </w:tabs>
              <w:rPr>
                <w:rFonts w:eastAsia="Arial,Arial,Times New Roman"/>
              </w:rPr>
            </w:pPr>
            <w:r w:rsidRPr="005D4222">
              <w:rPr>
                <w:rFonts w:eastAsia="Arial,Arial,Times New Roman"/>
              </w:rPr>
              <w:t xml:space="preserve">10 mg oxycodone tablets X (120 tablets / 30 days) X 1.5 = 60 MME/ day. </w:t>
            </w:r>
          </w:p>
          <w:p w14:paraId="23607C46" w14:textId="13A432D1" w:rsidR="002F58AC" w:rsidRPr="005D4222" w:rsidRDefault="002F58AC" w:rsidP="002F58AC">
            <w:pPr>
              <w:pStyle w:val="Dash"/>
              <w:tabs>
                <w:tab w:val="left" w:pos="576"/>
                <w:tab w:val="left" w:pos="792"/>
              </w:tabs>
              <w:spacing w:after="0"/>
              <w:rPr>
                <w:rFonts w:eastAsia="Arial,Times New Roman"/>
              </w:rPr>
            </w:pPr>
            <w:r w:rsidRPr="005D4222">
              <w:rPr>
                <w:rFonts w:eastAsia="Arial,Arial,Times New Roman"/>
              </w:rPr>
              <w:t>25 mcg/hr fentanyl patch X (10 patches / 30 days) X 7.2 = 60 MME / day.</w:t>
            </w:r>
          </w:p>
        </w:tc>
      </w:tr>
      <w:tr w:rsidR="0015699E" w:rsidRPr="005D4222" w14:paraId="33471B35" w14:textId="77777777" w:rsidTr="002F58AC">
        <w:tc>
          <w:tcPr>
            <w:tcW w:w="2158" w:type="dxa"/>
            <w:tcBorders>
              <w:top w:val="nil"/>
              <w:bottom w:val="nil"/>
            </w:tcBorders>
            <w:tcMar>
              <w:top w:w="0" w:type="dxa"/>
              <w:left w:w="86" w:type="dxa"/>
              <w:bottom w:w="43" w:type="dxa"/>
              <w:right w:w="86" w:type="dxa"/>
            </w:tcMar>
          </w:tcPr>
          <w:p w14:paraId="7EB82912" w14:textId="77777777" w:rsidR="0015699E" w:rsidRPr="005D4222" w:rsidRDefault="0015699E">
            <w:pPr>
              <w:pStyle w:val="ECDSMarginSubhead"/>
            </w:pPr>
            <w:r w:rsidRPr="005D4222">
              <w:t>Opioid dosage unit</w:t>
            </w:r>
          </w:p>
        </w:tc>
        <w:tc>
          <w:tcPr>
            <w:tcW w:w="7558" w:type="dxa"/>
            <w:tcBorders>
              <w:top w:val="nil"/>
              <w:bottom w:val="nil"/>
            </w:tcBorders>
            <w:tcMar>
              <w:left w:w="86" w:type="dxa"/>
              <w:bottom w:w="43" w:type="dxa"/>
              <w:right w:w="86" w:type="dxa"/>
            </w:tcMar>
          </w:tcPr>
          <w:p w14:paraId="7A0C9651" w14:textId="77777777" w:rsidR="0015699E" w:rsidRPr="005D4222" w:rsidRDefault="0015699E">
            <w:pPr>
              <w:pStyle w:val="ECDSBody"/>
              <w:rPr>
                <w:rFonts w:eastAsia="Arial,Times New Roman"/>
              </w:rPr>
            </w:pPr>
            <w:r w:rsidRPr="005D4222">
              <w:rPr>
                <w:rFonts w:eastAsia="Arial,Times New Roman"/>
              </w:rPr>
              <w:t xml:space="preserve">For each dispensing event, use the following calculation to determine the opioid dosage unit. </w:t>
            </w:r>
          </w:p>
          <w:p w14:paraId="4FEF8827" w14:textId="77777777" w:rsidR="0015699E" w:rsidRPr="005D4222" w:rsidRDefault="0015699E">
            <w:pPr>
              <w:pStyle w:val="ECDSBody"/>
              <w:spacing w:after="0"/>
              <w:jc w:val="center"/>
              <w:rPr>
                <w:i/>
                <w:iCs/>
              </w:rPr>
            </w:pPr>
            <w:r w:rsidRPr="005D4222">
              <w:rPr>
                <w:rFonts w:eastAsia="Arial,Times New Roman"/>
              </w:rPr>
              <w:t xml:space="preserve"># of Opioid Dosage Units per day = (opioid quantity dispensed) / </w:t>
            </w:r>
            <w:r w:rsidRPr="005D4222">
              <w:rPr>
                <w:rFonts w:eastAsia="Arial,Times New Roman"/>
              </w:rPr>
              <w:br/>
              <w:t>(opioid days supply)</w:t>
            </w:r>
          </w:p>
        </w:tc>
      </w:tr>
      <w:tr w:rsidR="0015699E" w:rsidRPr="005D4222" w14:paraId="1F4D50E3" w14:textId="77777777">
        <w:tc>
          <w:tcPr>
            <w:tcW w:w="2158" w:type="dxa"/>
            <w:tcBorders>
              <w:top w:val="nil"/>
              <w:bottom w:val="nil"/>
            </w:tcBorders>
            <w:tcMar>
              <w:top w:w="0" w:type="dxa"/>
              <w:left w:w="86" w:type="dxa"/>
              <w:bottom w:w="43" w:type="dxa"/>
              <w:right w:w="86" w:type="dxa"/>
            </w:tcMar>
          </w:tcPr>
          <w:p w14:paraId="49EB8E54" w14:textId="77777777" w:rsidR="0015699E" w:rsidRPr="005D4222" w:rsidRDefault="0015699E" w:rsidP="0056774A">
            <w:pPr>
              <w:pStyle w:val="ECDSMarginSubhead"/>
              <w:spacing w:after="0"/>
            </w:pPr>
            <w:r w:rsidRPr="005D4222">
              <w:t>Total daily MME</w:t>
            </w:r>
          </w:p>
        </w:tc>
        <w:tc>
          <w:tcPr>
            <w:tcW w:w="7558" w:type="dxa"/>
            <w:tcBorders>
              <w:top w:val="nil"/>
              <w:bottom w:val="nil"/>
            </w:tcBorders>
            <w:tcMar>
              <w:left w:w="86" w:type="dxa"/>
              <w:bottom w:w="43" w:type="dxa"/>
              <w:right w:w="86" w:type="dxa"/>
            </w:tcMar>
          </w:tcPr>
          <w:p w14:paraId="6CC010B1" w14:textId="77777777" w:rsidR="0015699E" w:rsidRPr="005D4222" w:rsidRDefault="0015699E">
            <w:pPr>
              <w:pStyle w:val="ECDSBody"/>
              <w:spacing w:after="0"/>
              <w:rPr>
                <w:i/>
                <w:iCs/>
              </w:rPr>
            </w:pPr>
            <w:r w:rsidRPr="005D4222">
              <w:t xml:space="preserve">The total sum of the MME daily doses for all opioid dispensing events on 1 day. </w:t>
            </w:r>
          </w:p>
        </w:tc>
      </w:tr>
      <w:tr w:rsidR="0015699E" w:rsidRPr="005D4222" w14:paraId="3F3C3510" w14:textId="77777777">
        <w:tc>
          <w:tcPr>
            <w:tcW w:w="2158" w:type="dxa"/>
            <w:tcBorders>
              <w:top w:val="nil"/>
              <w:bottom w:val="single" w:sz="4" w:space="0" w:color="auto"/>
            </w:tcBorders>
            <w:tcMar>
              <w:top w:w="0" w:type="dxa"/>
              <w:left w:w="86" w:type="dxa"/>
              <w:bottom w:w="43" w:type="dxa"/>
              <w:right w:w="86" w:type="dxa"/>
            </w:tcMar>
          </w:tcPr>
          <w:p w14:paraId="7424CE3B" w14:textId="77777777" w:rsidR="0015699E" w:rsidRPr="005D4222" w:rsidRDefault="0015699E">
            <w:pPr>
              <w:pStyle w:val="ECDSMarginSubhead"/>
            </w:pPr>
            <w:r w:rsidRPr="005D4222">
              <w:t>Treatment period</w:t>
            </w:r>
          </w:p>
        </w:tc>
        <w:tc>
          <w:tcPr>
            <w:tcW w:w="7558" w:type="dxa"/>
            <w:tcBorders>
              <w:top w:val="nil"/>
              <w:bottom w:val="single" w:sz="4" w:space="0" w:color="auto"/>
            </w:tcBorders>
            <w:tcMar>
              <w:left w:w="86" w:type="dxa"/>
              <w:bottom w:w="43" w:type="dxa"/>
              <w:right w:w="86" w:type="dxa"/>
            </w:tcMar>
          </w:tcPr>
          <w:p w14:paraId="4308AF5C" w14:textId="77777777" w:rsidR="0015699E" w:rsidRPr="005D4222" w:rsidRDefault="0015699E">
            <w:pPr>
              <w:pStyle w:val="ECDSBody"/>
              <w:rPr>
                <w:i/>
                <w:iCs/>
              </w:rPr>
            </w:pPr>
            <w:r w:rsidRPr="005D4222">
              <w:rPr>
                <w:i/>
                <w:iCs/>
              </w:rPr>
              <w:t>To identify the treatment period:</w:t>
            </w:r>
            <w:r w:rsidRPr="005D4222">
              <w:t xml:space="preserve"> For all dispensing events, identify the start and end dates for each dispensing event individually. The treatment period start date is the start date of the earliest dispensing event during the measurement period. The treatment period end date is the last end date during the measurement period.</w:t>
            </w:r>
          </w:p>
        </w:tc>
      </w:tr>
      <w:tr w:rsidR="0015699E" w:rsidRPr="005D4222" w14:paraId="71673DAC" w14:textId="77777777">
        <w:tc>
          <w:tcPr>
            <w:tcW w:w="2158" w:type="dxa"/>
            <w:shd w:val="clear" w:color="auto" w:fill="BFBFBF" w:themeFill="background1" w:themeFillShade="BF"/>
            <w:tcMar>
              <w:top w:w="0" w:type="dxa"/>
              <w:left w:w="86" w:type="dxa"/>
              <w:bottom w:w="43" w:type="dxa"/>
              <w:right w:w="86" w:type="dxa"/>
            </w:tcMar>
          </w:tcPr>
          <w:p w14:paraId="03CC7C16" w14:textId="77777777" w:rsidR="0015699E" w:rsidRPr="005D4222" w:rsidRDefault="0015699E">
            <w:pPr>
              <w:pStyle w:val="ECDSMarginHead"/>
            </w:pPr>
            <w:r w:rsidRPr="005D4222">
              <w:t>Initial population</w:t>
            </w:r>
          </w:p>
        </w:tc>
        <w:tc>
          <w:tcPr>
            <w:tcW w:w="7558" w:type="dxa"/>
            <w:tcBorders>
              <w:top w:val="single" w:sz="4" w:space="0" w:color="auto"/>
              <w:left w:val="single" w:sz="4" w:space="0" w:color="auto"/>
              <w:bottom w:val="single" w:sz="4" w:space="0" w:color="auto"/>
              <w:right w:val="single" w:sz="4" w:space="0" w:color="auto"/>
            </w:tcBorders>
            <w:tcMar>
              <w:left w:w="86" w:type="dxa"/>
              <w:bottom w:w="43" w:type="dxa"/>
              <w:right w:w="86" w:type="dxa"/>
            </w:tcMar>
          </w:tcPr>
          <w:p w14:paraId="56C1003A" w14:textId="77777777" w:rsidR="0015699E" w:rsidRPr="005D4222" w:rsidRDefault="0015699E">
            <w:pPr>
              <w:pStyle w:val="ECDSBody"/>
            </w:pPr>
            <w:r w:rsidRPr="005D4222">
              <w:rPr>
                <w:i/>
                <w:iCs/>
              </w:rPr>
              <w:t>Measure item count:</w:t>
            </w:r>
            <w:r w:rsidRPr="005D4222">
              <w:t xml:space="preserve"> Person.</w:t>
            </w:r>
          </w:p>
          <w:p w14:paraId="45329FAA" w14:textId="77777777" w:rsidR="0015699E" w:rsidRPr="005D4222" w:rsidRDefault="0015699E">
            <w:pPr>
              <w:pStyle w:val="ECDSBody"/>
            </w:pPr>
            <w:r w:rsidRPr="005D4222">
              <w:rPr>
                <w:i/>
                <w:iCs/>
              </w:rPr>
              <w:t xml:space="preserve">Attribution basis: </w:t>
            </w:r>
            <w:r w:rsidRPr="005D4222">
              <w:t>Enrollment.</w:t>
            </w:r>
          </w:p>
          <w:p w14:paraId="42241A7E" w14:textId="77777777" w:rsidR="0015699E" w:rsidRPr="005D4222" w:rsidRDefault="0015699E" w:rsidP="0015699E">
            <w:pPr>
              <w:pStyle w:val="Bullet"/>
              <w:numPr>
                <w:ilvl w:val="0"/>
                <w:numId w:val="4"/>
              </w:numPr>
              <w:tabs>
                <w:tab w:val="left" w:pos="360"/>
                <w:tab w:val="left" w:pos="576"/>
              </w:tabs>
              <w:ind w:left="576" w:hanging="216"/>
            </w:pPr>
            <w:r w:rsidRPr="005D4222">
              <w:rPr>
                <w:i/>
                <w:iCs/>
              </w:rPr>
              <w:t>Benefits:</w:t>
            </w:r>
            <w:r w:rsidRPr="005D4222">
              <w:t xml:space="preserve"> Medical and pharmacy.</w:t>
            </w:r>
          </w:p>
          <w:p w14:paraId="7E193687" w14:textId="77777777" w:rsidR="0015699E" w:rsidRPr="005D4222" w:rsidRDefault="0015699E" w:rsidP="0015699E">
            <w:pPr>
              <w:pStyle w:val="Bullet"/>
              <w:numPr>
                <w:ilvl w:val="0"/>
                <w:numId w:val="4"/>
              </w:numPr>
              <w:tabs>
                <w:tab w:val="left" w:pos="360"/>
                <w:tab w:val="left" w:pos="576"/>
              </w:tabs>
              <w:ind w:left="576" w:hanging="216"/>
            </w:pPr>
            <w:r w:rsidRPr="005D4222">
              <w:rPr>
                <w:i/>
                <w:iCs/>
              </w:rPr>
              <w:t>Continuous enrollment:</w:t>
            </w:r>
            <w:r w:rsidRPr="005D4222">
              <w:t xml:space="preserve"> The measurement period.</w:t>
            </w:r>
          </w:p>
          <w:p w14:paraId="284DC252" w14:textId="77777777" w:rsidR="0015699E" w:rsidRPr="005D4222" w:rsidRDefault="0015699E" w:rsidP="0015699E">
            <w:pPr>
              <w:pStyle w:val="Bullet"/>
              <w:numPr>
                <w:ilvl w:val="0"/>
                <w:numId w:val="4"/>
              </w:numPr>
              <w:tabs>
                <w:tab w:val="left" w:pos="360"/>
                <w:tab w:val="left" w:pos="576"/>
              </w:tabs>
              <w:ind w:left="576" w:hanging="216"/>
            </w:pPr>
            <w:r w:rsidRPr="005D4222">
              <w:rPr>
                <w:i/>
                <w:iCs/>
              </w:rPr>
              <w:t>Allowable gap:</w:t>
            </w:r>
            <w:r w:rsidRPr="005D4222">
              <w:t xml:space="preserve"> None.</w:t>
            </w:r>
          </w:p>
          <w:p w14:paraId="4A247F35" w14:textId="77777777" w:rsidR="0015699E" w:rsidRPr="005D4222" w:rsidRDefault="0015699E">
            <w:pPr>
              <w:pStyle w:val="ECDSBody"/>
            </w:pPr>
            <w:r w:rsidRPr="005D4222">
              <w:rPr>
                <w:i/>
                <w:iCs/>
              </w:rPr>
              <w:t>Ages:</w:t>
            </w:r>
            <w:r w:rsidRPr="005D4222">
              <w:t xml:space="preserve"> 18 years of age and older as of the first day of the measurement period.</w:t>
            </w:r>
          </w:p>
          <w:p w14:paraId="7530EFAA" w14:textId="77777777" w:rsidR="0015699E" w:rsidRPr="005D4222" w:rsidRDefault="0015699E">
            <w:pPr>
              <w:pStyle w:val="ECDSBody"/>
              <w:rPr>
                <w:b/>
              </w:rPr>
            </w:pPr>
            <w:r w:rsidRPr="005D4222">
              <w:rPr>
                <w:i/>
                <w:iCs/>
              </w:rPr>
              <w:t>Event:</w:t>
            </w:r>
            <w:r w:rsidRPr="005D4222">
              <w:t xml:space="preserve"> </w:t>
            </w:r>
            <w:r w:rsidRPr="005D4222">
              <w:rPr>
                <w:b/>
              </w:rPr>
              <w:t xml:space="preserve">Persons who had two or more opioid dispensing events on different dates of service </w:t>
            </w:r>
            <w:r w:rsidRPr="005D4222">
              <w:rPr>
                <w:b/>
                <w:i/>
              </w:rPr>
              <w:t>and</w:t>
            </w:r>
            <w:r w:rsidRPr="005D4222">
              <w:rPr>
                <w:b/>
              </w:rPr>
              <w:t xml:space="preserve"> had ≥15 total days covered by opioids. </w:t>
            </w:r>
            <w:r w:rsidRPr="005D4222">
              <w:rPr>
                <w:b/>
              </w:rPr>
              <w:br/>
            </w:r>
            <w:r w:rsidRPr="005D4222">
              <w:t xml:space="preserve">Use all the medication lists in Table HDO-A to identify opioid medication dispensing events. </w:t>
            </w:r>
          </w:p>
        </w:tc>
      </w:tr>
      <w:tr w:rsidR="0015699E" w:rsidRPr="005D4222" w14:paraId="542C7325" w14:textId="77777777" w:rsidTr="002F58AC">
        <w:tc>
          <w:tcPr>
            <w:tcW w:w="2158" w:type="dxa"/>
            <w:tcBorders>
              <w:top w:val="single" w:sz="2" w:space="0" w:color="auto"/>
              <w:left w:val="single" w:sz="2" w:space="0" w:color="auto"/>
              <w:bottom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20B5E580" w14:textId="77777777" w:rsidR="0015699E" w:rsidRPr="005D4222" w:rsidRDefault="0015699E">
            <w:pPr>
              <w:pStyle w:val="ECDSMarginHead"/>
            </w:pPr>
            <w:r w:rsidRPr="005D4222">
              <w:t xml:space="preserve">Denominator exclusions </w:t>
            </w:r>
          </w:p>
        </w:tc>
        <w:tc>
          <w:tcPr>
            <w:tcW w:w="7558"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31E8E83" w14:textId="77777777" w:rsidR="0015699E" w:rsidRPr="005D4222" w:rsidRDefault="0015699E" w:rsidP="002F58AC">
            <w:pPr>
              <w:pStyle w:val="ECDSBody"/>
            </w:pPr>
            <w:r w:rsidRPr="005D4222">
              <w:rPr>
                <w:rFonts w:eastAsia="Arial,Arial,Arial,Arial,Arial,A"/>
                <w:b/>
              </w:rPr>
              <w:t>Persons with a date of death.</w:t>
            </w:r>
            <w:r w:rsidRPr="005D4222">
              <w:rPr>
                <w:rFonts w:eastAsia="Arial,Arial,Arial,Arial,Arial,A"/>
                <w:b/>
              </w:rPr>
              <w:br/>
            </w:r>
            <w:r w:rsidRPr="005D4222">
              <w:rPr>
                <w:shd w:val="clear" w:color="auto" w:fill="FFFFFF"/>
              </w:rPr>
              <w:t>Death in the measurement period, identified using data sources determined by the organization. Method and data sources are subject to review during the HEDIS audit.</w:t>
            </w:r>
            <w:r w:rsidRPr="005D4222">
              <w:rPr>
                <w:rStyle w:val="eop"/>
                <w:rFonts w:eastAsiaTheme="majorEastAsia"/>
                <w:color w:val="000000"/>
                <w:shd w:val="clear" w:color="auto" w:fill="FFFFFF"/>
              </w:rPr>
              <w:t> </w:t>
            </w:r>
            <w:r w:rsidRPr="005D4222">
              <w:t xml:space="preserve"> </w:t>
            </w:r>
          </w:p>
          <w:p w14:paraId="18C83881" w14:textId="384D1437" w:rsidR="0015699E" w:rsidRPr="005D4222" w:rsidRDefault="0056774A" w:rsidP="002F58AC">
            <w:pPr>
              <w:pStyle w:val="ECDSBody"/>
            </w:pPr>
            <w:r w:rsidRPr="005D4222" w:rsidDel="00A91419">
              <w:rPr>
                <w:rFonts w:eastAsia="Arial,Arial,Arial,Arial,Arial,A"/>
                <w:b/>
              </w:rPr>
              <w:t xml:space="preserve">Persons </w:t>
            </w:r>
            <w:r w:rsidRPr="005D4222">
              <w:rPr>
                <w:rFonts w:eastAsia="Arial,Arial,Arial,Arial,Arial,A"/>
                <w:b/>
              </w:rPr>
              <w:t>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2F58AC" w:rsidRPr="005D4222" w14:paraId="1FEBF8E5" w14:textId="77777777" w:rsidTr="0075573C">
        <w:tc>
          <w:tcPr>
            <w:tcW w:w="2158"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6A85F16" w14:textId="77777777" w:rsidR="002F58AC" w:rsidRPr="005D4222" w:rsidRDefault="002F58AC">
            <w:pPr>
              <w:pStyle w:val="ECDSMarginHead"/>
            </w:pPr>
          </w:p>
        </w:tc>
        <w:tc>
          <w:tcPr>
            <w:tcW w:w="7558"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ADC466C" w14:textId="77777777" w:rsidR="002F58AC" w:rsidRPr="005D4222" w:rsidRDefault="002F58AC" w:rsidP="002F58AC">
            <w:pPr>
              <w:pStyle w:val="ECDSBody"/>
            </w:pPr>
            <w:r w:rsidRPr="005D4222" w:rsidDel="00AA4A01">
              <w:rPr>
                <w:b/>
              </w:rPr>
              <w:t xml:space="preserve">Persons </w:t>
            </w:r>
            <w:r w:rsidRPr="005D4222">
              <w:rPr>
                <w:b/>
              </w:rPr>
              <w:t>receiving palliative care.</w:t>
            </w:r>
            <w:r w:rsidRPr="005D4222">
              <w:rPr>
                <w:b/>
              </w:rPr>
              <w:br/>
            </w:r>
            <w:r w:rsidRPr="005D4222">
              <w:t>Persons receiving palliative care (</w:t>
            </w:r>
            <w:r w:rsidRPr="005D4222">
              <w:rPr>
                <w:u w:val="single"/>
              </w:rPr>
              <w:t>Palliative Care Assessment Value Set</w:t>
            </w:r>
            <w:r w:rsidRPr="005D4222">
              <w:t xml:space="preserve">; </w:t>
            </w:r>
            <w:r w:rsidRPr="005D4222">
              <w:rPr>
                <w:u w:val="single"/>
              </w:rPr>
              <w:t>Palliative Care Encounter Value Set</w:t>
            </w:r>
            <w:r w:rsidRPr="005D4222">
              <w:t xml:space="preserve">; </w:t>
            </w:r>
            <w:r w:rsidRPr="005D4222">
              <w:rPr>
                <w:u w:val="single"/>
              </w:rPr>
              <w:t>Palliative Care Intervention Value Set</w:t>
            </w:r>
            <w:r w:rsidRPr="005D4222">
              <w:t>) or who had an encounter for palliative care (ICD-10-CM code Z51.5*) any time during the measurement period.</w:t>
            </w:r>
          </w:p>
          <w:p w14:paraId="081576CE" w14:textId="77777777" w:rsidR="002F58AC" w:rsidRPr="005D4222" w:rsidRDefault="002F58AC" w:rsidP="002F58AC">
            <w:pPr>
              <w:pStyle w:val="ECDSBody"/>
              <w:spacing w:after="0"/>
              <w:rPr>
                <w:rFonts w:eastAsia="Arial,Arial,Arial,Arial,Arial,A"/>
                <w:b/>
                <w:bCs w:val="0"/>
              </w:rPr>
            </w:pPr>
            <w:r w:rsidRPr="005D4222">
              <w:rPr>
                <w:rFonts w:eastAsia="Arial,Arial,Arial,Arial,Arial,A"/>
                <w:b/>
                <w:bCs w:val="0"/>
              </w:rPr>
              <w:t>Cancer or sickle cell disease.</w:t>
            </w:r>
          </w:p>
          <w:p w14:paraId="3A7B6140" w14:textId="77777777" w:rsidR="002F58AC" w:rsidRPr="005D4222" w:rsidRDefault="002F58AC" w:rsidP="002F58AC">
            <w:pPr>
              <w:pStyle w:val="ECDSBody"/>
              <w:spacing w:before="0"/>
              <w:rPr>
                <w:rFonts w:eastAsia="Arial,Times New Roman"/>
              </w:rPr>
            </w:pPr>
            <w:r w:rsidRPr="005D4222">
              <w:rPr>
                <w:rFonts w:eastAsia="Arial,Arial,Arial,Arial,Arial,A"/>
              </w:rPr>
              <w:t>Persons with c</w:t>
            </w:r>
            <w:r w:rsidRPr="005D4222">
              <w:rPr>
                <w:rFonts w:eastAsia="Arial,Times New Roman"/>
              </w:rPr>
              <w:t>ancer (</w:t>
            </w:r>
            <w:r w:rsidRPr="005D4222">
              <w:rPr>
                <w:rFonts w:eastAsia="Arial,Times New Roman"/>
                <w:u w:val="single"/>
              </w:rPr>
              <w:t>Malignant Neoplasms Value Set</w:t>
            </w:r>
            <w:r w:rsidRPr="005D4222">
              <w:rPr>
                <w:rFonts w:eastAsia="Arial,Times New Roman"/>
              </w:rPr>
              <w:t>*) or sickle cell disease (</w:t>
            </w:r>
            <w:r w:rsidRPr="005D4222">
              <w:rPr>
                <w:rFonts w:eastAsia="Arial,Times New Roman"/>
                <w:u w:val="single"/>
              </w:rPr>
              <w:t>Sickle Cell Anemia and HB S Disease Value Set</w:t>
            </w:r>
            <w:r w:rsidRPr="005D4222">
              <w:rPr>
                <w:rFonts w:eastAsia="Arial,Times New Roman"/>
              </w:rPr>
              <w:t>*) during the measurement period.</w:t>
            </w:r>
          </w:p>
          <w:p w14:paraId="2A4EB8BB" w14:textId="77777777" w:rsidR="002F58AC" w:rsidRPr="005D4222" w:rsidRDefault="002F58AC" w:rsidP="002F58AC">
            <w:pPr>
              <w:pStyle w:val="ECDSBody"/>
              <w:spacing w:after="0"/>
              <w:rPr>
                <w:rFonts w:eastAsia="Arial,Arial,Arial,Arial,Arial,A"/>
                <w:b/>
                <w:bCs w:val="0"/>
              </w:rPr>
            </w:pPr>
            <w:r w:rsidRPr="005D4222">
              <w:rPr>
                <w:rFonts w:eastAsia="Arial,Arial,Arial,Arial,Arial,A"/>
                <w:b/>
                <w:bCs w:val="0"/>
              </w:rPr>
              <w:t>Coding Guidance</w:t>
            </w:r>
          </w:p>
          <w:p w14:paraId="6454AFDF" w14:textId="300F469E" w:rsidR="002F58AC" w:rsidRPr="005D4222" w:rsidRDefault="002F58AC" w:rsidP="002F58AC">
            <w:pPr>
              <w:pStyle w:val="ECDSBody"/>
              <w:spacing w:before="0"/>
              <w:rPr>
                <w:rFonts w:eastAsia="Arial,Arial,Arial,Arial,Arial,A"/>
                <w:b/>
              </w:rPr>
            </w:pPr>
            <w:r w:rsidRPr="005D4222">
              <w:rPr>
                <w:rFonts w:eastAsia="Arial,Arial,Arial,Arial,Arial,A"/>
              </w:rPr>
              <w:t>*Do not include laboratory claims (claims with POS code 81).</w:t>
            </w:r>
          </w:p>
        </w:tc>
      </w:tr>
      <w:tr w:rsidR="0015699E" w:rsidRPr="005D4222" w14:paraId="01FB2DB7" w14:textId="77777777" w:rsidTr="0075573C">
        <w:tc>
          <w:tcPr>
            <w:tcW w:w="2158"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D7B8DFD" w14:textId="77777777" w:rsidR="0015699E" w:rsidRPr="005D4222" w:rsidRDefault="0015699E">
            <w:pPr>
              <w:pStyle w:val="ECDSMarginHead"/>
            </w:pPr>
            <w:r w:rsidRPr="005D4222">
              <w:t>Denominator</w:t>
            </w:r>
          </w:p>
        </w:tc>
        <w:tc>
          <w:tcPr>
            <w:tcW w:w="7558"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802E43F" w14:textId="77777777" w:rsidR="0015699E" w:rsidRPr="005D4222" w:rsidRDefault="0015699E">
            <w:pPr>
              <w:pStyle w:val="ECDSBody"/>
              <w:rPr>
                <w:b/>
                <w:color w:val="000000" w:themeColor="text1"/>
                <w:szCs w:val="21"/>
              </w:rPr>
            </w:pPr>
            <w:r w:rsidRPr="005D4222">
              <w:rPr>
                <w:rFonts w:eastAsia="Arial,Arial,Arial,Arial,Arial,A"/>
              </w:rPr>
              <w:t>The initial population minus denominator exclusions.</w:t>
            </w:r>
          </w:p>
        </w:tc>
      </w:tr>
      <w:tr w:rsidR="0015699E" w:rsidRPr="005D4222" w14:paraId="69E41FDA" w14:textId="77777777" w:rsidTr="0075573C">
        <w:tc>
          <w:tcPr>
            <w:tcW w:w="2158"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C157D61" w14:textId="77777777" w:rsidR="0015699E" w:rsidRPr="005D4222" w:rsidRDefault="0015699E">
            <w:pPr>
              <w:pStyle w:val="ECDSMarginHead"/>
              <w:rPr>
                <w:i/>
                <w:iCs/>
              </w:rPr>
            </w:pPr>
            <w:r w:rsidRPr="005D4222">
              <w:t>Numerator</w:t>
            </w:r>
          </w:p>
        </w:tc>
        <w:tc>
          <w:tcPr>
            <w:tcW w:w="7558"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7F77B90B" w14:textId="77777777" w:rsidR="0015699E" w:rsidRPr="005D4222" w:rsidRDefault="0015699E">
            <w:pPr>
              <w:pStyle w:val="ECDSBody"/>
              <w:rPr>
                <w:b/>
                <w:bCs w:val="0"/>
              </w:rPr>
            </w:pPr>
            <w:r w:rsidRPr="005D4222">
              <w:rPr>
                <w:b/>
                <w:bCs w:val="0"/>
                <w:color w:val="000000" w:themeColor="text1"/>
                <w:szCs w:val="21"/>
              </w:rPr>
              <w:t xml:space="preserve">Persons whose average MME was </w:t>
            </w:r>
            <w:r w:rsidRPr="005D4222">
              <w:rPr>
                <w:b/>
                <w:bCs w:val="0"/>
              </w:rPr>
              <w:t>≥90 during the treatment period.</w:t>
            </w:r>
          </w:p>
          <w:p w14:paraId="2F02E4CA" w14:textId="77777777" w:rsidR="0015699E" w:rsidRPr="005D4222" w:rsidRDefault="0015699E">
            <w:pPr>
              <w:pStyle w:val="ECDSBody"/>
            </w:pPr>
            <w:r w:rsidRPr="005D4222">
              <w:rPr>
                <w:b/>
                <w:bCs w:val="0"/>
              </w:rPr>
              <w:t>Step 1.</w:t>
            </w:r>
            <w:r w:rsidRPr="005D4222">
              <w:t xml:space="preserve"> Use all the medication lists in Table HDO-A to identify all opioid medication dispensing events during the measurement period.</w:t>
            </w:r>
          </w:p>
          <w:p w14:paraId="1D0FF4B9" w14:textId="77777777" w:rsidR="0015699E" w:rsidRPr="005D4222" w:rsidRDefault="0015699E">
            <w:pPr>
              <w:pStyle w:val="ECDSBody"/>
            </w:pPr>
            <w:r w:rsidRPr="005D4222">
              <w:rPr>
                <w:b/>
                <w:bCs w:val="0"/>
              </w:rPr>
              <w:t>Step 2.</w:t>
            </w:r>
            <w:r w:rsidRPr="005D4222">
              <w:t xml:space="preserve"> For each person, calculate the MME daily dose for each medication dispensing event.</w:t>
            </w:r>
          </w:p>
          <w:p w14:paraId="082C20CC" w14:textId="77777777" w:rsidR="0015699E" w:rsidRPr="005D4222" w:rsidRDefault="0015699E">
            <w:pPr>
              <w:pStyle w:val="ECDSBody"/>
            </w:pPr>
            <w:r w:rsidRPr="005D4222">
              <w:rPr>
                <w:b/>
                <w:bCs w:val="0"/>
              </w:rPr>
              <w:t>Step 3.</w:t>
            </w:r>
            <w:r w:rsidRPr="005D4222">
              <w:t xml:space="preserve"> For a single dispensing event, multiply the MME daily dose by the dispensing event’s days supply. </w:t>
            </w:r>
          </w:p>
          <w:p w14:paraId="1FF2DF71" w14:textId="77777777" w:rsidR="0015699E" w:rsidRPr="005D4222" w:rsidRDefault="0015699E" w:rsidP="0015699E">
            <w:pPr>
              <w:pStyle w:val="Bullet"/>
              <w:numPr>
                <w:ilvl w:val="0"/>
                <w:numId w:val="4"/>
              </w:numPr>
              <w:tabs>
                <w:tab w:val="left" w:pos="360"/>
                <w:tab w:val="left" w:pos="576"/>
              </w:tabs>
              <w:ind w:left="576" w:hanging="216"/>
              <w:rPr>
                <w:rFonts w:eastAsia="Arial,Arial,Times New Roman"/>
              </w:rPr>
            </w:pPr>
            <w:r w:rsidRPr="005D4222">
              <w:rPr>
                <w:rFonts w:eastAsia="Arial,Arial,Times New Roman"/>
                <w:i/>
                <w:iCs/>
              </w:rPr>
              <w:t xml:space="preserve">For example, </w:t>
            </w:r>
            <w:r w:rsidRPr="005D4222">
              <w:rPr>
                <w:rFonts w:eastAsia="Arial,Arial,Times New Roman"/>
              </w:rPr>
              <w:t xml:space="preserve">a dispensing event with a MME daily dose of 90 and a days supply of 5 would have a total MME of 450 for that dispensing event. </w:t>
            </w:r>
          </w:p>
          <w:p w14:paraId="4372C7C5" w14:textId="77777777" w:rsidR="0015699E" w:rsidRPr="005D4222" w:rsidRDefault="0015699E">
            <w:pPr>
              <w:pStyle w:val="ECDSBody"/>
              <w:rPr>
                <w:rFonts w:eastAsia="Arial,Arial,Times New Roman"/>
              </w:rPr>
            </w:pPr>
            <w:r w:rsidRPr="005D4222">
              <w:t>As</w:t>
            </w:r>
            <w:r w:rsidRPr="005D4222">
              <w:rPr>
                <w:rFonts w:eastAsia="Arial,Arial,Times New Roman"/>
              </w:rPr>
              <w:t xml:space="preserve"> multiple dispensing events can overlap on one calendar day, for each day, sum the MME daily doses for all dispensing events to determine the total daily MME for that day.</w:t>
            </w:r>
          </w:p>
          <w:p w14:paraId="2566A29D" w14:textId="77777777" w:rsidR="0015699E" w:rsidRPr="005D4222" w:rsidRDefault="0015699E">
            <w:pPr>
              <w:pStyle w:val="ECDSBody"/>
            </w:pPr>
            <w:r w:rsidRPr="005D4222">
              <w:rPr>
                <w:b/>
              </w:rPr>
              <w:t xml:space="preserve">Step 4. </w:t>
            </w:r>
            <w:r w:rsidRPr="005D4222">
              <w:t>Determine the treatment period.</w:t>
            </w:r>
          </w:p>
          <w:p w14:paraId="6D7936E7" w14:textId="77777777" w:rsidR="0015699E" w:rsidRPr="005D4222" w:rsidRDefault="0015699E">
            <w:pPr>
              <w:pStyle w:val="ECDSBody"/>
            </w:pPr>
            <w:r w:rsidRPr="005D4222">
              <w:rPr>
                <w:b/>
              </w:rPr>
              <w:t xml:space="preserve">Step 5. </w:t>
            </w:r>
            <w:r w:rsidRPr="005D4222">
              <w:t xml:space="preserve">Determine the average MME. Sum the total daily MME for the treatment period and divide by the number of days in the treatment period. Persons whose average MME was ≥90 meet the numerator criteria. </w:t>
            </w:r>
          </w:p>
          <w:p w14:paraId="5E3C1BE6" w14:textId="77777777" w:rsidR="0015699E" w:rsidRPr="005D4222" w:rsidRDefault="0015699E">
            <w:pPr>
              <w:pStyle w:val="Heading3"/>
              <w:spacing w:before="120"/>
              <w:rPr>
                <w:rFonts w:ascii="Arial Bold" w:hAnsi="Arial Bold"/>
                <w:vertAlign w:val="superscript"/>
              </w:rPr>
            </w:pPr>
            <w:r w:rsidRPr="005D4222">
              <w:t>Table HDO-A: Opioid Medications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84"/>
              <w:gridCol w:w="3650"/>
              <w:gridCol w:w="960"/>
              <w:gridCol w:w="1152"/>
            </w:tblGrid>
            <w:tr w:rsidR="0015699E" w:rsidRPr="005D4222" w14:paraId="7E34D74D" w14:textId="77777777" w:rsidTr="0075573C">
              <w:trPr>
                <w:tblHeader/>
              </w:trPr>
              <w:tc>
                <w:tcPr>
                  <w:tcW w:w="1584" w:type="dxa"/>
                  <w:tcBorders>
                    <w:bottom w:val="single" w:sz="4" w:space="0" w:color="auto"/>
                    <w:right w:val="single" w:sz="6" w:space="0" w:color="FFFFFF" w:themeColor="background1"/>
                  </w:tcBorders>
                  <w:shd w:val="clear" w:color="auto" w:fill="000000" w:themeFill="text1"/>
                  <w:tcMar>
                    <w:left w:w="58" w:type="dxa"/>
                    <w:right w:w="58" w:type="dxa"/>
                  </w:tcMar>
                  <w:vAlign w:val="bottom"/>
                </w:tcPr>
                <w:p w14:paraId="43073A9E" w14:textId="77777777" w:rsidR="0015699E" w:rsidRPr="005D4222" w:rsidRDefault="0015699E" w:rsidP="00BF553C">
                  <w:pPr>
                    <w:pStyle w:val="TableHead"/>
                    <w:framePr w:hSpace="180" w:wrap="around" w:vAnchor="text" w:hAnchor="text" w:y="1"/>
                    <w:spacing w:before="80" w:after="80"/>
                    <w:suppressOverlap/>
                  </w:pPr>
                  <w:bookmarkStart w:id="323" w:name="_Hlk74645723"/>
                  <w:bookmarkStart w:id="324" w:name="_Hlk11906819"/>
                  <w:r w:rsidRPr="005D4222">
                    <w:rPr>
                      <w:rFonts w:eastAsia="Arial Narrow,Times New Roman"/>
                    </w:rPr>
                    <w:t>Type of Opioid</w:t>
                  </w:r>
                </w:p>
              </w:tc>
              <w:tc>
                <w:tcPr>
                  <w:tcW w:w="3650" w:type="dxa"/>
                  <w:tcBorders>
                    <w:left w:val="single" w:sz="6" w:space="0" w:color="FFFFFF" w:themeColor="background1"/>
                    <w:bottom w:val="single" w:sz="4" w:space="0" w:color="auto"/>
                    <w:right w:val="single" w:sz="6" w:space="0" w:color="FFFFFF" w:themeColor="background1"/>
                  </w:tcBorders>
                  <w:shd w:val="clear" w:color="auto" w:fill="000000" w:themeFill="text1"/>
                  <w:tcMar>
                    <w:left w:w="58" w:type="dxa"/>
                    <w:right w:w="58" w:type="dxa"/>
                  </w:tcMar>
                  <w:vAlign w:val="bottom"/>
                </w:tcPr>
                <w:p w14:paraId="0760A71A" w14:textId="77777777" w:rsidR="0015699E" w:rsidRPr="005D4222" w:rsidRDefault="0015699E" w:rsidP="00BF553C">
                  <w:pPr>
                    <w:pStyle w:val="TableHead"/>
                    <w:framePr w:hSpace="180" w:wrap="around" w:vAnchor="text" w:hAnchor="text" w:y="1"/>
                    <w:spacing w:before="80" w:after="80"/>
                    <w:suppressOverlap/>
                    <w:rPr>
                      <w:rFonts w:eastAsia="Arial Narrow,Times New Roman"/>
                    </w:rPr>
                  </w:pPr>
                  <w:r w:rsidRPr="005D4222">
                    <w:rPr>
                      <w:rFonts w:eastAsia="Arial Narrow,Times New Roman"/>
                    </w:rPr>
                    <w:t>Medication Lists</w:t>
                  </w:r>
                </w:p>
              </w:tc>
              <w:tc>
                <w:tcPr>
                  <w:tcW w:w="960" w:type="dxa"/>
                  <w:tcBorders>
                    <w:left w:val="single" w:sz="6" w:space="0" w:color="FFFFFF" w:themeColor="background1"/>
                    <w:bottom w:val="single" w:sz="4" w:space="0" w:color="auto"/>
                    <w:right w:val="single" w:sz="6" w:space="0" w:color="FFFFFF" w:themeColor="background1"/>
                  </w:tcBorders>
                  <w:shd w:val="clear" w:color="auto" w:fill="000000" w:themeFill="text1"/>
                  <w:tcMar>
                    <w:left w:w="58" w:type="dxa"/>
                    <w:right w:w="58" w:type="dxa"/>
                  </w:tcMar>
                  <w:vAlign w:val="bottom"/>
                </w:tcPr>
                <w:p w14:paraId="21F752E9" w14:textId="77777777" w:rsidR="0015699E" w:rsidRPr="005D4222" w:rsidRDefault="0015699E" w:rsidP="00BF553C">
                  <w:pPr>
                    <w:pStyle w:val="TableHead"/>
                    <w:framePr w:hSpace="180" w:wrap="around" w:vAnchor="text" w:hAnchor="text" w:y="1"/>
                    <w:spacing w:before="80" w:after="80"/>
                    <w:suppressOverlap/>
                    <w:rPr>
                      <w:rFonts w:eastAsia="Arial Narrow,Times New Roman"/>
                    </w:rPr>
                  </w:pPr>
                  <w:r w:rsidRPr="005D4222">
                    <w:rPr>
                      <w:rFonts w:eastAsia="Arial Narrow,Times New Roman"/>
                    </w:rPr>
                    <w:t>Strength</w:t>
                  </w:r>
                </w:p>
              </w:tc>
              <w:tc>
                <w:tcPr>
                  <w:tcW w:w="1152" w:type="dxa"/>
                  <w:tcBorders>
                    <w:left w:val="single" w:sz="6" w:space="0" w:color="FFFFFF" w:themeColor="background1"/>
                    <w:bottom w:val="single" w:sz="4" w:space="0" w:color="auto"/>
                    <w:right w:val="single" w:sz="4" w:space="0" w:color="auto"/>
                  </w:tcBorders>
                  <w:shd w:val="clear" w:color="auto" w:fill="000000" w:themeFill="text1"/>
                  <w:tcMar>
                    <w:left w:w="58" w:type="dxa"/>
                    <w:right w:w="58" w:type="dxa"/>
                  </w:tcMar>
                  <w:vAlign w:val="bottom"/>
                </w:tcPr>
                <w:p w14:paraId="28346C8B" w14:textId="77777777" w:rsidR="0015699E" w:rsidRPr="005D4222" w:rsidRDefault="0015699E" w:rsidP="00BF553C">
                  <w:pPr>
                    <w:pStyle w:val="TableHead"/>
                    <w:framePr w:hSpace="180" w:wrap="around" w:vAnchor="text" w:hAnchor="text" w:y="1"/>
                    <w:spacing w:before="80" w:after="80"/>
                    <w:suppressOverlap/>
                  </w:pPr>
                  <w:r w:rsidRPr="005D4222">
                    <w:rPr>
                      <w:rFonts w:eastAsia="Arial Narrow,Times New Roman"/>
                    </w:rPr>
                    <w:t>MME Conversion Factor</w:t>
                  </w:r>
                </w:p>
              </w:tc>
            </w:tr>
            <w:bookmarkEnd w:id="323"/>
            <w:tr w:rsidR="0015699E" w:rsidRPr="005D4222" w14:paraId="1D34EFEB" w14:textId="77777777" w:rsidTr="0075573C">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4C3497C3" w14:textId="77777777" w:rsidR="0015699E" w:rsidRPr="005D4222" w:rsidRDefault="0015699E" w:rsidP="00BF553C">
                  <w:pPr>
                    <w:pStyle w:val="TableText"/>
                    <w:framePr w:hSpace="180" w:wrap="around" w:vAnchor="text" w:hAnchor="text" w:y="1"/>
                    <w:suppressOverlap/>
                    <w:rPr>
                      <w:rFonts w:eastAsia="Arial Narrow,Times New Roman"/>
                    </w:rPr>
                  </w:pPr>
                  <w:r w:rsidRPr="005D4222">
                    <w:rPr>
                      <w:rFonts w:eastAsia="Arial Narrow,Times New Roman"/>
                    </w:rPr>
                    <w:t>Benzhydrocodone</w:t>
                  </w:r>
                </w:p>
              </w:tc>
              <w:tc>
                <w:tcPr>
                  <w:tcW w:w="365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18AEF82C" w14:textId="77777777" w:rsidR="0015699E" w:rsidRPr="005D4222" w:rsidRDefault="0015699E" w:rsidP="00BF553C">
                  <w:pPr>
                    <w:pStyle w:val="TableText"/>
                    <w:framePr w:hSpace="180" w:wrap="around" w:vAnchor="text" w:hAnchor="text" w:y="1"/>
                    <w:suppressOverlap/>
                    <w:rPr>
                      <w:u w:val="single"/>
                    </w:rPr>
                  </w:pPr>
                  <w:r w:rsidRPr="005D4222">
                    <w:rPr>
                      <w:u w:val="single"/>
                    </w:rPr>
                    <w:t>Acetaminophen Benzhydrocodone 4.08 mg Medications List</w:t>
                  </w:r>
                </w:p>
                <w:p w14:paraId="0B736BC8" w14:textId="77777777" w:rsidR="0015699E" w:rsidRPr="005D4222" w:rsidRDefault="0015699E" w:rsidP="00BF553C">
                  <w:pPr>
                    <w:pStyle w:val="TableText"/>
                    <w:framePr w:hSpace="180" w:wrap="around" w:vAnchor="text" w:hAnchor="text" w:y="1"/>
                    <w:suppressOverlap/>
                    <w:rPr>
                      <w:u w:val="single"/>
                    </w:rPr>
                  </w:pPr>
                  <w:r w:rsidRPr="005D4222">
                    <w:rPr>
                      <w:u w:val="single"/>
                    </w:rPr>
                    <w:t>Acetaminophen Benzhydrocodone 6.12 mg Medications List</w:t>
                  </w:r>
                </w:p>
                <w:p w14:paraId="65FA892F" w14:textId="77777777" w:rsidR="0015699E" w:rsidRPr="005D4222" w:rsidRDefault="0015699E" w:rsidP="00BF553C">
                  <w:pPr>
                    <w:pStyle w:val="TableText"/>
                    <w:framePr w:hSpace="180" w:wrap="around" w:vAnchor="text" w:hAnchor="text" w:y="1"/>
                    <w:suppressOverlap/>
                    <w:rPr>
                      <w:u w:val="single"/>
                    </w:rPr>
                  </w:pPr>
                  <w:r w:rsidRPr="005D4222">
                    <w:rPr>
                      <w:u w:val="single"/>
                    </w:rPr>
                    <w:t>Acetaminophen Benzhydrocodone 8.16 mg Medications List</w:t>
                  </w:r>
                </w:p>
              </w:tc>
              <w:tc>
                <w:tcPr>
                  <w:tcW w:w="96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576DAC63" w14:textId="77777777" w:rsidR="0015699E" w:rsidRPr="005D4222" w:rsidRDefault="0015699E" w:rsidP="00BF553C">
                  <w:pPr>
                    <w:pStyle w:val="TableText"/>
                    <w:framePr w:hSpace="180" w:wrap="around" w:vAnchor="text" w:hAnchor="text" w:y="1"/>
                    <w:suppressOverlap/>
                    <w:rPr>
                      <w:rFonts w:eastAsia="Arial Narrow,Times New Roman"/>
                    </w:rPr>
                  </w:pPr>
                  <w:r w:rsidRPr="005D4222">
                    <w:rPr>
                      <w:rFonts w:eastAsia="Arial Narrow,Times New Roman"/>
                    </w:rPr>
                    <w:t>4.08 mg</w:t>
                  </w:r>
                </w:p>
                <w:p w14:paraId="257B236A" w14:textId="77777777" w:rsidR="0015699E" w:rsidRPr="005D4222" w:rsidRDefault="0015699E" w:rsidP="00BF553C">
                  <w:pPr>
                    <w:pStyle w:val="TableText"/>
                    <w:framePr w:hSpace="180" w:wrap="around" w:vAnchor="text" w:hAnchor="text" w:y="1"/>
                    <w:suppressOverlap/>
                    <w:rPr>
                      <w:rFonts w:eastAsia="Arial Narrow,Times New Roman"/>
                    </w:rPr>
                  </w:pPr>
                  <w:r w:rsidRPr="005D4222">
                    <w:rPr>
                      <w:rFonts w:eastAsia="Arial Narrow,Times New Roman"/>
                    </w:rPr>
                    <w:t>6.12 mg</w:t>
                  </w:r>
                </w:p>
                <w:p w14:paraId="000A5DFF" w14:textId="77777777" w:rsidR="0015699E" w:rsidRPr="005D4222" w:rsidRDefault="0015699E" w:rsidP="00BF553C">
                  <w:pPr>
                    <w:pStyle w:val="TableText"/>
                    <w:framePr w:hSpace="180" w:wrap="around" w:vAnchor="text" w:hAnchor="text" w:y="1"/>
                    <w:suppressOverlap/>
                    <w:rPr>
                      <w:rFonts w:eastAsia="Arial Narrow,Times New Roman"/>
                    </w:rPr>
                  </w:pPr>
                  <w:r w:rsidRPr="005D4222">
                    <w:rPr>
                      <w:rFonts w:eastAsia="Arial Narrow,Times New Roman"/>
                    </w:rPr>
                    <w:t>8.16 mg</w:t>
                  </w: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28C4B3DD" w14:textId="77777777" w:rsidR="0015699E" w:rsidRPr="005D4222" w:rsidRDefault="0015699E" w:rsidP="00BF553C">
                  <w:pPr>
                    <w:pStyle w:val="TableText"/>
                    <w:framePr w:hSpace="180" w:wrap="around" w:vAnchor="text" w:hAnchor="text" w:y="1"/>
                    <w:suppressOverlap/>
                    <w:jc w:val="center"/>
                    <w:rPr>
                      <w:rFonts w:eastAsia="Arial Narrow,Times New Roman"/>
                    </w:rPr>
                  </w:pPr>
                  <w:r w:rsidRPr="005D4222">
                    <w:rPr>
                      <w:rFonts w:eastAsia="Arial Narrow,Times New Roman"/>
                    </w:rPr>
                    <w:t>1.2</w:t>
                  </w:r>
                </w:p>
              </w:tc>
            </w:tr>
            <w:tr w:rsidR="0056774A" w:rsidRPr="005D4222" w14:paraId="7CFDBF3F" w14:textId="77777777" w:rsidTr="0075573C">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0DC58AA3" w14:textId="451E6847" w:rsidR="0056774A" w:rsidRPr="005D4222" w:rsidRDefault="0056774A" w:rsidP="00BF553C">
                  <w:pPr>
                    <w:pStyle w:val="TableText"/>
                    <w:framePr w:hSpace="180" w:wrap="around" w:vAnchor="text" w:hAnchor="text" w:y="1"/>
                    <w:suppressOverlap/>
                    <w:rPr>
                      <w:rFonts w:eastAsia="Arial Narrow,Times New Roman"/>
                    </w:rPr>
                  </w:pPr>
                  <w:r w:rsidRPr="005D4222">
                    <w:rPr>
                      <w:rFonts w:eastAsia="Arial Narrow,Times New Roman"/>
                    </w:rPr>
                    <w:t xml:space="preserve">Butorphanol </w:t>
                  </w:r>
                </w:p>
              </w:tc>
              <w:tc>
                <w:tcPr>
                  <w:tcW w:w="365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6E6447EF" w14:textId="3A934CFA" w:rsidR="0056774A" w:rsidRPr="005D4222" w:rsidRDefault="0056774A" w:rsidP="00BF553C">
                  <w:pPr>
                    <w:pStyle w:val="TableText"/>
                    <w:framePr w:hSpace="180" w:wrap="around" w:vAnchor="text" w:hAnchor="text" w:y="1"/>
                    <w:suppressOverlap/>
                    <w:rPr>
                      <w:u w:val="single"/>
                    </w:rPr>
                  </w:pPr>
                  <w:r w:rsidRPr="005D4222">
                    <w:rPr>
                      <w:u w:val="single"/>
                    </w:rPr>
                    <w:t>Butorphanol 10 MGPML Medications List</w:t>
                  </w:r>
                </w:p>
              </w:tc>
              <w:tc>
                <w:tcPr>
                  <w:tcW w:w="96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182888EC" w14:textId="3FFCDCDA" w:rsidR="0056774A" w:rsidRPr="005D4222" w:rsidRDefault="0056774A" w:rsidP="00BF553C">
                  <w:pPr>
                    <w:pStyle w:val="TableText"/>
                    <w:framePr w:hSpace="180" w:wrap="around" w:vAnchor="text" w:hAnchor="text" w:y="1"/>
                    <w:suppressOverlap/>
                    <w:rPr>
                      <w:rFonts w:eastAsia="Arial Narrow,Times New Roman"/>
                    </w:rPr>
                  </w:pPr>
                  <w:r w:rsidRPr="005D4222">
                    <w:rPr>
                      <w:rFonts w:eastAsia="Arial Narrow,Times New Roman"/>
                    </w:rPr>
                    <w:t>10 mg</w:t>
                  </w: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66198B31" w14:textId="62B15C5A" w:rsidR="0056774A" w:rsidRPr="005D4222" w:rsidRDefault="0056774A" w:rsidP="00BF553C">
                  <w:pPr>
                    <w:pStyle w:val="TableText"/>
                    <w:framePr w:hSpace="180" w:wrap="around" w:vAnchor="text" w:hAnchor="text" w:y="1"/>
                    <w:suppressOverlap/>
                    <w:jc w:val="center"/>
                    <w:rPr>
                      <w:rFonts w:eastAsia="Arial Narrow,Times New Roman"/>
                    </w:rPr>
                  </w:pPr>
                  <w:r w:rsidRPr="005D4222">
                    <w:rPr>
                      <w:rFonts w:eastAsia="Arial Narrow,Times New Roman"/>
                    </w:rPr>
                    <w:t>7</w:t>
                  </w:r>
                </w:p>
              </w:tc>
            </w:tr>
            <w:tr w:rsidR="00CC36F2" w:rsidRPr="005D4222" w14:paraId="0434BD27" w14:textId="77777777" w:rsidTr="0075573C">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0023D2BD" w14:textId="40BF3A43" w:rsidR="00CC36F2" w:rsidRPr="005D4222" w:rsidRDefault="00CC36F2" w:rsidP="00BF553C">
                  <w:pPr>
                    <w:pStyle w:val="TableText"/>
                    <w:framePr w:hSpace="180" w:wrap="around" w:vAnchor="text" w:hAnchor="text" w:y="1"/>
                    <w:suppressOverlap/>
                    <w:rPr>
                      <w:rFonts w:eastAsia="Arial Narrow,Times New Roman"/>
                    </w:rPr>
                  </w:pPr>
                  <w:r w:rsidRPr="005D4222">
                    <w:rPr>
                      <w:rFonts w:eastAsia="Arial Narrow,Times New Roman"/>
                    </w:rPr>
                    <w:t>Codeine</w:t>
                  </w:r>
                </w:p>
              </w:tc>
              <w:tc>
                <w:tcPr>
                  <w:tcW w:w="365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032AFD3A" w14:textId="77777777" w:rsidR="00CC36F2" w:rsidRPr="005D4222" w:rsidRDefault="00CC36F2" w:rsidP="00BF553C">
                  <w:pPr>
                    <w:pStyle w:val="TableText"/>
                    <w:framePr w:hSpace="180" w:wrap="around" w:vAnchor="text" w:hAnchor="text" w:y="1"/>
                    <w:suppressOverlap/>
                    <w:rPr>
                      <w:u w:val="single"/>
                    </w:rPr>
                  </w:pPr>
                  <w:r w:rsidRPr="005D4222">
                    <w:rPr>
                      <w:u w:val="single"/>
                    </w:rPr>
                    <w:t>Codeine Sulfate 15 mg Medications List</w:t>
                  </w:r>
                </w:p>
                <w:p w14:paraId="2341483A" w14:textId="77777777" w:rsidR="00CC36F2" w:rsidRPr="005D4222" w:rsidRDefault="00CC36F2" w:rsidP="00BF553C">
                  <w:pPr>
                    <w:pStyle w:val="TableText"/>
                    <w:framePr w:hSpace="180" w:wrap="around" w:vAnchor="text" w:hAnchor="text" w:y="1"/>
                    <w:suppressOverlap/>
                    <w:rPr>
                      <w:u w:val="single"/>
                    </w:rPr>
                  </w:pPr>
                  <w:r w:rsidRPr="005D4222">
                    <w:rPr>
                      <w:u w:val="single"/>
                    </w:rPr>
                    <w:t>Codeine Sulfate 30 mg Medications List</w:t>
                  </w:r>
                </w:p>
                <w:p w14:paraId="795850CF" w14:textId="1A7CAEB8" w:rsidR="00CC36F2" w:rsidRPr="005D4222" w:rsidRDefault="00CC36F2" w:rsidP="00BF553C">
                  <w:pPr>
                    <w:pStyle w:val="TableText"/>
                    <w:framePr w:hSpace="180" w:wrap="around" w:vAnchor="text" w:hAnchor="text" w:y="1"/>
                    <w:suppressOverlap/>
                    <w:rPr>
                      <w:u w:val="single"/>
                    </w:rPr>
                  </w:pPr>
                  <w:r w:rsidRPr="005D4222">
                    <w:rPr>
                      <w:u w:val="single"/>
                    </w:rPr>
                    <w:t>Codeine Sulfate 60 mg Medications List</w:t>
                  </w:r>
                </w:p>
              </w:tc>
              <w:tc>
                <w:tcPr>
                  <w:tcW w:w="96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3C478490" w14:textId="77777777" w:rsidR="00CC36F2" w:rsidRPr="005D4222" w:rsidRDefault="00CC36F2" w:rsidP="00BF553C">
                  <w:pPr>
                    <w:pStyle w:val="TableText"/>
                    <w:framePr w:hSpace="180" w:wrap="around" w:vAnchor="text" w:hAnchor="text" w:y="1"/>
                    <w:suppressOverlap/>
                    <w:rPr>
                      <w:rFonts w:eastAsia="Arial Narrow,Times New Roman"/>
                    </w:rPr>
                  </w:pPr>
                  <w:r w:rsidRPr="005D4222">
                    <w:rPr>
                      <w:rFonts w:eastAsia="Arial Narrow,Times New Roman"/>
                    </w:rPr>
                    <w:t>15 mg</w:t>
                  </w:r>
                </w:p>
                <w:p w14:paraId="1EB5593D" w14:textId="77777777" w:rsidR="00CC36F2" w:rsidRPr="005D4222" w:rsidRDefault="00CC36F2" w:rsidP="00BF553C">
                  <w:pPr>
                    <w:pStyle w:val="TableText"/>
                    <w:framePr w:hSpace="180" w:wrap="around" w:vAnchor="text" w:hAnchor="text" w:y="1"/>
                    <w:suppressOverlap/>
                    <w:rPr>
                      <w:rFonts w:eastAsia="Arial Narrow,Times New Roman"/>
                    </w:rPr>
                  </w:pPr>
                  <w:r w:rsidRPr="005D4222">
                    <w:rPr>
                      <w:rFonts w:eastAsia="Arial Narrow,Times New Roman"/>
                    </w:rPr>
                    <w:t>30 mg</w:t>
                  </w:r>
                </w:p>
                <w:p w14:paraId="4C20FF39" w14:textId="2E2D333B" w:rsidR="00CC36F2" w:rsidRPr="005D4222" w:rsidRDefault="00CC36F2" w:rsidP="00BF553C">
                  <w:pPr>
                    <w:pStyle w:val="TableText"/>
                    <w:framePr w:hSpace="180" w:wrap="around" w:vAnchor="text" w:hAnchor="text" w:y="1"/>
                    <w:suppressOverlap/>
                    <w:rPr>
                      <w:rFonts w:eastAsia="Arial Narrow,Times New Roman"/>
                    </w:rPr>
                  </w:pPr>
                  <w:r w:rsidRPr="005D4222">
                    <w:rPr>
                      <w:rFonts w:eastAsia="Arial Narrow,Times New Roman"/>
                    </w:rPr>
                    <w:t>60 mg</w:t>
                  </w: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28EC16D5" w14:textId="17132F82" w:rsidR="00CC36F2" w:rsidRPr="005D4222" w:rsidRDefault="00CC36F2" w:rsidP="00BF553C">
                  <w:pPr>
                    <w:pStyle w:val="TableText"/>
                    <w:framePr w:hSpace="180" w:wrap="around" w:vAnchor="text" w:hAnchor="text" w:y="1"/>
                    <w:suppressOverlap/>
                    <w:jc w:val="center"/>
                    <w:rPr>
                      <w:rFonts w:eastAsia="Arial Narrow,Times New Roman"/>
                    </w:rPr>
                  </w:pPr>
                  <w:r w:rsidRPr="005D4222">
                    <w:rPr>
                      <w:rFonts w:eastAsia="Arial Narrow,Times New Roman"/>
                    </w:rPr>
                    <w:t>0.15</w:t>
                  </w:r>
                </w:p>
              </w:tc>
            </w:tr>
            <w:bookmarkEnd w:id="324"/>
          </w:tbl>
          <w:p w14:paraId="267ECF51" w14:textId="77777777" w:rsidR="0015699E" w:rsidRPr="005D4222" w:rsidRDefault="0015699E">
            <w:pPr>
              <w:pStyle w:val="ECDSBody"/>
              <w:rPr>
                <w:rFonts w:ascii="Arial Narrow" w:eastAsia="Arial Narrow,Arial" w:hAnsi="Arial Narrow"/>
                <w:sz w:val="18"/>
                <w:szCs w:val="18"/>
              </w:rPr>
            </w:pPr>
          </w:p>
        </w:tc>
      </w:tr>
    </w:tbl>
    <w:p w14:paraId="2053E0A5" w14:textId="77777777" w:rsidR="0056774A" w:rsidRPr="005D4222" w:rsidRDefault="0056774A">
      <w:r w:rsidRPr="005D4222">
        <w:br w:type="page"/>
      </w:r>
    </w:p>
    <w:tbl>
      <w:tblPr>
        <w:tblpPr w:leftFromText="180" w:rightFromText="180" w:vertAnchor="text" w:tblpY="1"/>
        <w:tblOverlap w:val="never"/>
        <w:tblW w:w="971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8"/>
        <w:gridCol w:w="7558"/>
      </w:tblGrid>
      <w:tr w:rsidR="0015699E" w:rsidRPr="005D4222" w14:paraId="47C3E4D8" w14:textId="77777777" w:rsidTr="00CE405F">
        <w:tc>
          <w:tcPr>
            <w:tcW w:w="2158" w:type="dxa"/>
            <w:tcBorders>
              <w:top w:val="single" w:sz="4" w:space="0" w:color="auto"/>
              <w:left w:val="single" w:sz="2" w:space="0" w:color="auto"/>
              <w:bottom w:val="single" w:sz="4" w:space="0" w:color="auto"/>
              <w:right w:val="single" w:sz="2" w:space="0" w:color="auto"/>
            </w:tcBorders>
            <w:shd w:val="clear" w:color="auto" w:fill="BFBFBF" w:themeFill="background1" w:themeFillShade="BF"/>
            <w:noWrap/>
            <w:tcMar>
              <w:top w:w="0" w:type="dxa"/>
              <w:left w:w="86" w:type="dxa"/>
              <w:bottom w:w="43" w:type="dxa"/>
              <w:right w:w="86" w:type="dxa"/>
            </w:tcMar>
          </w:tcPr>
          <w:p w14:paraId="72201035" w14:textId="77777777" w:rsidR="0015699E" w:rsidRPr="005D4222" w:rsidRDefault="0015699E">
            <w:pPr>
              <w:pStyle w:val="ECDSMarginHead"/>
            </w:pPr>
          </w:p>
        </w:tc>
        <w:tc>
          <w:tcPr>
            <w:tcW w:w="7558" w:type="dxa"/>
            <w:tcBorders>
              <w:top w:val="single" w:sz="4" w:space="0" w:color="auto"/>
              <w:left w:val="single" w:sz="4" w:space="0" w:color="auto"/>
              <w:bottom w:val="single" w:sz="4" w:space="0" w:color="auto"/>
              <w:right w:val="single" w:sz="4" w:space="0" w:color="auto"/>
            </w:tcBorders>
            <w:noWrap/>
            <w:tcMar>
              <w:top w:w="0" w:type="dxa"/>
              <w:left w:w="86" w:type="dxa"/>
              <w:bottom w:w="43" w:type="dxa"/>
              <w:right w:w="86" w:type="dxa"/>
            </w:tcMar>
            <w:vAlign w:val="center"/>
          </w:tcPr>
          <w:p w14:paraId="531AB0AC" w14:textId="77777777" w:rsidR="0075573C" w:rsidRPr="005D4222" w:rsidRDefault="0075573C">
            <w:pPr>
              <w:rPr>
                <w:sz w:val="10"/>
                <w:szCs w:val="1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84"/>
              <w:gridCol w:w="3650"/>
              <w:gridCol w:w="960"/>
              <w:gridCol w:w="1152"/>
            </w:tblGrid>
            <w:tr w:rsidR="0015699E" w:rsidRPr="005D4222" w14:paraId="52E22684" w14:textId="77777777" w:rsidTr="0075573C">
              <w:trPr>
                <w:tblHeader/>
              </w:trPr>
              <w:tc>
                <w:tcPr>
                  <w:tcW w:w="1584" w:type="dxa"/>
                  <w:tcBorders>
                    <w:bottom w:val="single" w:sz="4" w:space="0" w:color="auto"/>
                    <w:right w:val="single" w:sz="6" w:space="0" w:color="FFFFFF" w:themeColor="background1"/>
                  </w:tcBorders>
                  <w:shd w:val="clear" w:color="auto" w:fill="000000" w:themeFill="text1"/>
                  <w:tcMar>
                    <w:left w:w="58" w:type="dxa"/>
                    <w:right w:w="58" w:type="dxa"/>
                  </w:tcMar>
                  <w:vAlign w:val="bottom"/>
                </w:tcPr>
                <w:p w14:paraId="41F89438" w14:textId="77777777" w:rsidR="0015699E" w:rsidRPr="005D4222" w:rsidRDefault="0015699E" w:rsidP="00BF553C">
                  <w:pPr>
                    <w:pStyle w:val="TableHead"/>
                    <w:framePr w:hSpace="180" w:wrap="around" w:vAnchor="text" w:hAnchor="text" w:y="1"/>
                    <w:spacing w:before="80" w:after="80"/>
                    <w:suppressOverlap/>
                  </w:pPr>
                  <w:r w:rsidRPr="005D4222">
                    <w:rPr>
                      <w:rFonts w:eastAsia="Arial Narrow,Times New Roman"/>
                    </w:rPr>
                    <w:t>Type of Opioid</w:t>
                  </w:r>
                </w:p>
              </w:tc>
              <w:tc>
                <w:tcPr>
                  <w:tcW w:w="3650" w:type="dxa"/>
                  <w:tcBorders>
                    <w:left w:val="single" w:sz="6" w:space="0" w:color="FFFFFF" w:themeColor="background1"/>
                    <w:bottom w:val="single" w:sz="4" w:space="0" w:color="auto"/>
                    <w:right w:val="single" w:sz="6" w:space="0" w:color="FFFFFF" w:themeColor="background1"/>
                  </w:tcBorders>
                  <w:shd w:val="clear" w:color="auto" w:fill="000000" w:themeFill="text1"/>
                  <w:tcMar>
                    <w:left w:w="58" w:type="dxa"/>
                    <w:right w:w="58" w:type="dxa"/>
                  </w:tcMar>
                  <w:vAlign w:val="bottom"/>
                </w:tcPr>
                <w:p w14:paraId="785B0B19" w14:textId="77777777" w:rsidR="0015699E" w:rsidRPr="005D4222" w:rsidRDefault="0015699E" w:rsidP="00BF553C">
                  <w:pPr>
                    <w:pStyle w:val="TableHead"/>
                    <w:framePr w:hSpace="180" w:wrap="around" w:vAnchor="text" w:hAnchor="text" w:y="1"/>
                    <w:spacing w:before="80" w:after="80"/>
                    <w:suppressOverlap/>
                    <w:rPr>
                      <w:rFonts w:eastAsia="Arial Narrow,Times New Roman"/>
                    </w:rPr>
                  </w:pPr>
                  <w:r w:rsidRPr="005D4222">
                    <w:rPr>
                      <w:rFonts w:eastAsia="Arial Narrow,Times New Roman"/>
                    </w:rPr>
                    <w:t>Medication Lists</w:t>
                  </w:r>
                </w:p>
              </w:tc>
              <w:tc>
                <w:tcPr>
                  <w:tcW w:w="960" w:type="dxa"/>
                  <w:tcBorders>
                    <w:left w:val="single" w:sz="6" w:space="0" w:color="FFFFFF" w:themeColor="background1"/>
                    <w:bottom w:val="single" w:sz="4" w:space="0" w:color="auto"/>
                    <w:right w:val="single" w:sz="6" w:space="0" w:color="FFFFFF" w:themeColor="background1"/>
                  </w:tcBorders>
                  <w:shd w:val="clear" w:color="auto" w:fill="000000" w:themeFill="text1"/>
                  <w:tcMar>
                    <w:left w:w="58" w:type="dxa"/>
                    <w:right w:w="58" w:type="dxa"/>
                  </w:tcMar>
                  <w:vAlign w:val="bottom"/>
                </w:tcPr>
                <w:p w14:paraId="57C5A75B" w14:textId="77777777" w:rsidR="0015699E" w:rsidRPr="005D4222" w:rsidRDefault="0015699E" w:rsidP="00BF553C">
                  <w:pPr>
                    <w:pStyle w:val="TableHead"/>
                    <w:framePr w:hSpace="180" w:wrap="around" w:vAnchor="text" w:hAnchor="text" w:y="1"/>
                    <w:spacing w:before="80" w:after="80"/>
                    <w:suppressOverlap/>
                    <w:rPr>
                      <w:rFonts w:eastAsia="Arial Narrow,Times New Roman"/>
                    </w:rPr>
                  </w:pPr>
                  <w:r w:rsidRPr="005D4222">
                    <w:rPr>
                      <w:rFonts w:eastAsia="Arial Narrow,Times New Roman"/>
                    </w:rPr>
                    <w:t>Strength</w:t>
                  </w:r>
                </w:p>
              </w:tc>
              <w:tc>
                <w:tcPr>
                  <w:tcW w:w="1152" w:type="dxa"/>
                  <w:tcBorders>
                    <w:left w:val="single" w:sz="6" w:space="0" w:color="FFFFFF" w:themeColor="background1"/>
                    <w:bottom w:val="single" w:sz="4" w:space="0" w:color="auto"/>
                    <w:right w:val="single" w:sz="4" w:space="0" w:color="auto"/>
                  </w:tcBorders>
                  <w:shd w:val="clear" w:color="auto" w:fill="000000" w:themeFill="text1"/>
                  <w:tcMar>
                    <w:left w:w="58" w:type="dxa"/>
                    <w:right w:w="58" w:type="dxa"/>
                  </w:tcMar>
                  <w:vAlign w:val="bottom"/>
                </w:tcPr>
                <w:p w14:paraId="54B22FD7" w14:textId="77777777" w:rsidR="0015699E" w:rsidRPr="005D4222" w:rsidRDefault="0015699E" w:rsidP="00BF553C">
                  <w:pPr>
                    <w:pStyle w:val="TableHead"/>
                    <w:framePr w:hSpace="180" w:wrap="around" w:vAnchor="text" w:hAnchor="text" w:y="1"/>
                    <w:spacing w:before="80" w:after="80"/>
                    <w:suppressOverlap/>
                  </w:pPr>
                  <w:r w:rsidRPr="005D4222">
                    <w:rPr>
                      <w:rFonts w:eastAsia="Arial Narrow,Times New Roman"/>
                    </w:rPr>
                    <w:t>MME Conversion Factor</w:t>
                  </w:r>
                </w:p>
              </w:tc>
            </w:tr>
            <w:tr w:rsidR="0075573C" w:rsidRPr="005D4222" w14:paraId="69C8299B" w14:textId="77777777">
              <w:trPr>
                <w:trHeight w:val="2030"/>
              </w:trPr>
              <w:tc>
                <w:tcPr>
                  <w:tcW w:w="1584" w:type="dxa"/>
                  <w:tcBorders>
                    <w:top w:val="single" w:sz="4" w:space="0" w:color="auto"/>
                    <w:left w:val="single" w:sz="4" w:space="0" w:color="auto"/>
                    <w:right w:val="single" w:sz="4" w:space="0" w:color="auto"/>
                  </w:tcBorders>
                  <w:shd w:val="clear" w:color="auto" w:fill="FFFFFF" w:themeFill="background1"/>
                  <w:tcMar>
                    <w:left w:w="58" w:type="dxa"/>
                    <w:right w:w="58" w:type="dxa"/>
                  </w:tcMar>
                </w:tcPr>
                <w:p w14:paraId="45DD5BC5" w14:textId="77777777" w:rsidR="0075573C" w:rsidRPr="005D4222" w:rsidRDefault="0075573C" w:rsidP="00BF553C">
                  <w:pPr>
                    <w:pStyle w:val="TableText"/>
                    <w:framePr w:hSpace="180" w:wrap="around" w:vAnchor="text" w:hAnchor="text" w:y="1"/>
                    <w:suppressOverlap/>
                    <w:rPr>
                      <w:rFonts w:eastAsia="Arial Narrow,Times New Roman"/>
                    </w:rPr>
                  </w:pPr>
                  <w:r w:rsidRPr="005D4222">
                    <w:rPr>
                      <w:rFonts w:eastAsia="Arial Narrow,Times New Roman"/>
                    </w:rPr>
                    <w:t>Codeine</w:t>
                  </w:r>
                </w:p>
              </w:tc>
              <w:tc>
                <w:tcPr>
                  <w:tcW w:w="3650" w:type="dxa"/>
                  <w:tcBorders>
                    <w:top w:val="single" w:sz="4" w:space="0" w:color="auto"/>
                    <w:left w:val="single" w:sz="4" w:space="0" w:color="auto"/>
                    <w:right w:val="single" w:sz="4" w:space="0" w:color="auto"/>
                  </w:tcBorders>
                  <w:shd w:val="clear" w:color="auto" w:fill="FFFFFF" w:themeFill="background1"/>
                  <w:tcMar>
                    <w:left w:w="58" w:type="dxa"/>
                    <w:right w:w="58" w:type="dxa"/>
                  </w:tcMar>
                </w:tcPr>
                <w:p w14:paraId="58166C75" w14:textId="77777777" w:rsidR="0075573C" w:rsidRPr="00C53E84" w:rsidRDefault="0075573C" w:rsidP="00BF553C">
                  <w:pPr>
                    <w:pStyle w:val="TableText"/>
                    <w:framePr w:hSpace="180" w:wrap="around" w:vAnchor="text" w:hAnchor="text" w:y="1"/>
                    <w:suppressOverlap/>
                    <w:rPr>
                      <w:rFonts w:eastAsia="Arial Narrow,Times New Roman"/>
                      <w:u w:val="single"/>
                      <w:lang w:val="fr-FR"/>
                    </w:rPr>
                  </w:pPr>
                  <w:r w:rsidRPr="00C53E84">
                    <w:rPr>
                      <w:u w:val="single"/>
                      <w:lang w:val="fr-FR"/>
                    </w:rPr>
                    <w:t>Acetaminophen Codeine 2.4 MGPML Medications List</w:t>
                  </w:r>
                </w:p>
                <w:p w14:paraId="07CA1B2D" w14:textId="77777777" w:rsidR="0075573C" w:rsidRPr="00C53E84" w:rsidRDefault="0075573C" w:rsidP="00BF553C">
                  <w:pPr>
                    <w:pStyle w:val="TableText"/>
                    <w:framePr w:hSpace="180" w:wrap="around" w:vAnchor="text" w:hAnchor="text" w:y="1"/>
                    <w:suppressOverlap/>
                    <w:rPr>
                      <w:u w:val="single"/>
                      <w:lang w:val="fr-FR"/>
                    </w:rPr>
                  </w:pPr>
                  <w:r w:rsidRPr="00C53E84">
                    <w:rPr>
                      <w:u w:val="single"/>
                      <w:lang w:val="fr-FR"/>
                    </w:rPr>
                    <w:t>Acetaminophen Codeine 15 mg Medications List</w:t>
                  </w:r>
                </w:p>
                <w:p w14:paraId="6F813249" w14:textId="77777777" w:rsidR="0075573C" w:rsidRPr="00C53E84" w:rsidRDefault="0075573C" w:rsidP="00BF553C">
                  <w:pPr>
                    <w:pStyle w:val="TableText"/>
                    <w:framePr w:hSpace="180" w:wrap="around" w:vAnchor="text" w:hAnchor="text" w:y="1"/>
                    <w:suppressOverlap/>
                    <w:rPr>
                      <w:u w:val="single"/>
                      <w:lang w:val="fr-FR"/>
                    </w:rPr>
                  </w:pPr>
                  <w:r w:rsidRPr="00C53E84">
                    <w:rPr>
                      <w:u w:val="single"/>
                      <w:lang w:val="fr-FR"/>
                    </w:rPr>
                    <w:t>Acetaminophen Codeine 30 mg Medications List</w:t>
                  </w:r>
                </w:p>
                <w:p w14:paraId="6F4BA0D0" w14:textId="4A73096A" w:rsidR="0075573C" w:rsidRPr="00C53E84" w:rsidRDefault="0075573C" w:rsidP="00BF553C">
                  <w:pPr>
                    <w:pStyle w:val="TableText"/>
                    <w:framePr w:hSpace="180" w:wrap="around" w:vAnchor="text" w:hAnchor="text" w:y="1"/>
                    <w:suppressOverlap/>
                    <w:rPr>
                      <w:u w:val="single"/>
                      <w:lang w:val="fr-FR"/>
                    </w:rPr>
                  </w:pPr>
                  <w:r w:rsidRPr="00C53E84">
                    <w:rPr>
                      <w:u w:val="single"/>
                      <w:lang w:val="fr-FR"/>
                    </w:rPr>
                    <w:t>Acetaminophen Codeine 60 mg Medications List</w:t>
                  </w:r>
                </w:p>
              </w:tc>
              <w:tc>
                <w:tcPr>
                  <w:tcW w:w="960" w:type="dxa"/>
                  <w:tcBorders>
                    <w:top w:val="single" w:sz="4" w:space="0" w:color="auto"/>
                    <w:left w:val="single" w:sz="4" w:space="0" w:color="auto"/>
                    <w:right w:val="single" w:sz="4" w:space="0" w:color="auto"/>
                  </w:tcBorders>
                  <w:shd w:val="clear" w:color="auto" w:fill="FFFFFF" w:themeFill="background1"/>
                  <w:tcMar>
                    <w:left w:w="58" w:type="dxa"/>
                    <w:right w:w="58" w:type="dxa"/>
                  </w:tcMar>
                </w:tcPr>
                <w:p w14:paraId="4365435F" w14:textId="77777777" w:rsidR="0075573C" w:rsidRPr="005D4222" w:rsidRDefault="0075573C" w:rsidP="00BF553C">
                  <w:pPr>
                    <w:pStyle w:val="TableBullet"/>
                    <w:framePr w:hSpace="180" w:wrap="around" w:vAnchor="text" w:hAnchor="text" w:y="1"/>
                    <w:numPr>
                      <w:ilvl w:val="0"/>
                      <w:numId w:val="0"/>
                    </w:numPr>
                    <w:suppressOverlap/>
                    <w:rPr>
                      <w:rFonts w:eastAsia="Arial Narrow,Times New Roman"/>
                    </w:rPr>
                  </w:pPr>
                  <w:r w:rsidRPr="005D4222">
                    <w:t>2.4 mg</w:t>
                  </w:r>
                </w:p>
                <w:p w14:paraId="655C1F87" w14:textId="77777777" w:rsidR="0075573C" w:rsidRPr="005D4222" w:rsidRDefault="0075573C" w:rsidP="00BF553C">
                  <w:pPr>
                    <w:pStyle w:val="TableText"/>
                    <w:framePr w:hSpace="180" w:wrap="around" w:vAnchor="text" w:hAnchor="text" w:y="1"/>
                    <w:suppressOverlap/>
                    <w:rPr>
                      <w:rFonts w:eastAsia="Arial Narrow,Times New Roman"/>
                    </w:rPr>
                  </w:pPr>
                  <w:r w:rsidRPr="005D4222">
                    <w:rPr>
                      <w:rFonts w:eastAsia="Arial Narrow,Times New Roman"/>
                    </w:rPr>
                    <w:br/>
                    <w:t>15 mg</w:t>
                  </w:r>
                </w:p>
                <w:p w14:paraId="1A325C15" w14:textId="77777777" w:rsidR="0075573C" w:rsidRPr="005D4222" w:rsidRDefault="0075573C" w:rsidP="00BF553C">
                  <w:pPr>
                    <w:pStyle w:val="TableText"/>
                    <w:framePr w:hSpace="180" w:wrap="around" w:vAnchor="text" w:hAnchor="text" w:y="1"/>
                    <w:suppressOverlap/>
                    <w:rPr>
                      <w:rFonts w:eastAsia="Arial Narrow,Times New Roman"/>
                    </w:rPr>
                  </w:pPr>
                  <w:r w:rsidRPr="005D4222">
                    <w:rPr>
                      <w:rFonts w:eastAsia="Arial Narrow,Times New Roman"/>
                    </w:rPr>
                    <w:br/>
                    <w:t>30 mg</w:t>
                  </w:r>
                </w:p>
                <w:p w14:paraId="1ED67E70" w14:textId="19034389" w:rsidR="0075573C" w:rsidRPr="005D4222" w:rsidRDefault="0075573C" w:rsidP="00BF553C">
                  <w:pPr>
                    <w:pStyle w:val="TableBullet"/>
                    <w:framePr w:hSpace="180" w:wrap="around" w:vAnchor="text" w:hAnchor="text" w:y="1"/>
                    <w:ind w:left="0"/>
                    <w:suppressOverlap/>
                    <w:rPr>
                      <w:rFonts w:eastAsia="Arial Narrow,Times New Roman"/>
                    </w:rPr>
                  </w:pPr>
                  <w:r w:rsidRPr="005D4222">
                    <w:rPr>
                      <w:rFonts w:eastAsia="Arial Narrow,Times New Roman"/>
                    </w:rPr>
                    <w:br/>
                    <w:t>60 mg</w:t>
                  </w:r>
                </w:p>
              </w:tc>
              <w:tc>
                <w:tcPr>
                  <w:tcW w:w="1152" w:type="dxa"/>
                  <w:tcBorders>
                    <w:top w:val="single" w:sz="4" w:space="0" w:color="auto"/>
                    <w:left w:val="single" w:sz="4" w:space="0" w:color="auto"/>
                    <w:right w:val="single" w:sz="4" w:space="0" w:color="auto"/>
                  </w:tcBorders>
                  <w:shd w:val="clear" w:color="auto" w:fill="FFFFFF" w:themeFill="background1"/>
                  <w:tcMar>
                    <w:left w:w="58" w:type="dxa"/>
                    <w:right w:w="58" w:type="dxa"/>
                  </w:tcMar>
                </w:tcPr>
                <w:p w14:paraId="25BD49E2" w14:textId="77777777" w:rsidR="0075573C" w:rsidRPr="005D4222" w:rsidRDefault="0075573C" w:rsidP="00BF553C">
                  <w:pPr>
                    <w:pStyle w:val="TableText"/>
                    <w:framePr w:hSpace="180" w:wrap="around" w:vAnchor="text" w:hAnchor="text" w:y="1"/>
                    <w:suppressOverlap/>
                    <w:jc w:val="center"/>
                    <w:rPr>
                      <w:rFonts w:eastAsia="Arial Narrow,Times New Roman"/>
                    </w:rPr>
                  </w:pPr>
                  <w:r w:rsidRPr="005D4222">
                    <w:rPr>
                      <w:rFonts w:eastAsia="Arial Narrow,Times New Roman"/>
                    </w:rPr>
                    <w:t>0.15</w:t>
                  </w:r>
                </w:p>
              </w:tc>
            </w:tr>
            <w:tr w:rsidR="0015699E" w:rsidRPr="005D4222" w14:paraId="2A214EBC" w14:textId="77777777" w:rsidTr="0075573C">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03310A61" w14:textId="77777777" w:rsidR="0015699E" w:rsidRPr="005D4222" w:rsidRDefault="0015699E" w:rsidP="00BF553C">
                  <w:pPr>
                    <w:pStyle w:val="TableText"/>
                    <w:framePr w:hSpace="180" w:wrap="around" w:vAnchor="text" w:hAnchor="text" w:y="1"/>
                    <w:suppressOverlap/>
                    <w:rPr>
                      <w:rFonts w:eastAsia="Arial Narrow,Times New Roman"/>
                    </w:rPr>
                  </w:pPr>
                  <w:r w:rsidRPr="005D4222">
                    <w:rPr>
                      <w:rFonts w:eastAsia="Arial Narrow,Times New Roman"/>
                    </w:rPr>
                    <w:t>Codeine</w:t>
                  </w:r>
                </w:p>
              </w:tc>
              <w:tc>
                <w:tcPr>
                  <w:tcW w:w="365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0B67D4D4" w14:textId="77777777" w:rsidR="0015699E" w:rsidRPr="00C53E84" w:rsidRDefault="0015699E" w:rsidP="00BF553C">
                  <w:pPr>
                    <w:pStyle w:val="TableText"/>
                    <w:framePr w:hSpace="180" w:wrap="around" w:vAnchor="text" w:hAnchor="text" w:y="1"/>
                    <w:suppressOverlap/>
                    <w:rPr>
                      <w:u w:val="single"/>
                      <w:lang w:val="fr-FR"/>
                    </w:rPr>
                  </w:pPr>
                  <w:r w:rsidRPr="00C53E84">
                    <w:rPr>
                      <w:u w:val="single"/>
                      <w:lang w:val="fr-FR"/>
                    </w:rPr>
                    <w:t>Acetaminophen Butalbital Caffeine Codeine 30 mg Medications List</w:t>
                  </w:r>
                </w:p>
              </w:tc>
              <w:tc>
                <w:tcPr>
                  <w:tcW w:w="96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295C753A" w14:textId="77777777" w:rsidR="0015699E" w:rsidRPr="005D4222" w:rsidRDefault="0015699E" w:rsidP="00BF553C">
                  <w:pPr>
                    <w:pStyle w:val="TableBullet"/>
                    <w:framePr w:hSpace="180" w:wrap="around" w:vAnchor="text" w:hAnchor="text" w:y="1"/>
                    <w:numPr>
                      <w:ilvl w:val="0"/>
                      <w:numId w:val="0"/>
                    </w:numPr>
                    <w:suppressOverlap/>
                  </w:pPr>
                  <w:r w:rsidRPr="005D4222">
                    <w:rPr>
                      <w:rFonts w:eastAsia="Arial Narrow,Times New Roman"/>
                    </w:rPr>
                    <w:t>30 mg</w:t>
                  </w: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5B0A02FB" w14:textId="77777777" w:rsidR="0015699E" w:rsidRPr="005D4222" w:rsidRDefault="0015699E" w:rsidP="00BF553C">
                  <w:pPr>
                    <w:pStyle w:val="TableText"/>
                    <w:framePr w:hSpace="180" w:wrap="around" w:vAnchor="text" w:hAnchor="text" w:y="1"/>
                    <w:suppressOverlap/>
                    <w:jc w:val="center"/>
                    <w:rPr>
                      <w:rFonts w:eastAsia="Arial Narrow,Times New Roman"/>
                    </w:rPr>
                  </w:pPr>
                  <w:r w:rsidRPr="005D4222">
                    <w:rPr>
                      <w:rFonts w:eastAsia="Arial Narrow,Times New Roman"/>
                    </w:rPr>
                    <w:t>0.15</w:t>
                  </w:r>
                </w:p>
              </w:tc>
            </w:tr>
            <w:tr w:rsidR="0015699E" w:rsidRPr="005D4222" w14:paraId="353CF45B" w14:textId="77777777" w:rsidTr="0075573C">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5AD64189" w14:textId="77777777" w:rsidR="0015699E" w:rsidRPr="005D4222" w:rsidRDefault="0015699E" w:rsidP="00BF553C">
                  <w:pPr>
                    <w:pStyle w:val="TableText"/>
                    <w:framePr w:hSpace="180" w:wrap="around" w:vAnchor="text" w:hAnchor="text" w:y="1"/>
                    <w:suppressOverlap/>
                    <w:rPr>
                      <w:rFonts w:eastAsia="Arial Narrow,Times New Roman"/>
                    </w:rPr>
                  </w:pPr>
                  <w:r w:rsidRPr="005D4222">
                    <w:rPr>
                      <w:rFonts w:eastAsia="Arial Narrow,Times New Roman"/>
                    </w:rPr>
                    <w:t>Codeine</w:t>
                  </w:r>
                </w:p>
              </w:tc>
              <w:tc>
                <w:tcPr>
                  <w:tcW w:w="365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689D0A4C" w14:textId="77777777" w:rsidR="0015699E" w:rsidRPr="005D4222" w:rsidRDefault="0015699E" w:rsidP="00BF553C">
                  <w:pPr>
                    <w:pStyle w:val="TableText"/>
                    <w:framePr w:hSpace="180" w:wrap="around" w:vAnchor="text" w:hAnchor="text" w:y="1"/>
                    <w:suppressOverlap/>
                    <w:rPr>
                      <w:u w:val="single"/>
                    </w:rPr>
                  </w:pPr>
                  <w:r w:rsidRPr="005D4222">
                    <w:rPr>
                      <w:u w:val="single"/>
                    </w:rPr>
                    <w:t>Aspirin Butalbital Caffeine Codeine 30 mg Medications List</w:t>
                  </w:r>
                </w:p>
              </w:tc>
              <w:tc>
                <w:tcPr>
                  <w:tcW w:w="96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6BA0E42B" w14:textId="77777777" w:rsidR="0015699E" w:rsidRPr="005D4222" w:rsidRDefault="0015699E" w:rsidP="00BF553C">
                  <w:pPr>
                    <w:pStyle w:val="TableBullet"/>
                    <w:framePr w:hSpace="180" w:wrap="around" w:vAnchor="text" w:hAnchor="text" w:y="1"/>
                    <w:numPr>
                      <w:ilvl w:val="0"/>
                      <w:numId w:val="0"/>
                    </w:numPr>
                    <w:suppressOverlap/>
                    <w:rPr>
                      <w:rFonts w:eastAsia="Arial Narrow,Times New Roman"/>
                    </w:rPr>
                  </w:pPr>
                  <w:r w:rsidRPr="005D4222">
                    <w:rPr>
                      <w:rFonts w:eastAsia="Arial Narrow,Times New Roman"/>
                    </w:rPr>
                    <w:t>30 mg</w:t>
                  </w: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165E284E" w14:textId="77777777" w:rsidR="0015699E" w:rsidRPr="005D4222" w:rsidRDefault="0015699E" w:rsidP="00BF553C">
                  <w:pPr>
                    <w:pStyle w:val="TableText"/>
                    <w:framePr w:hSpace="180" w:wrap="around" w:vAnchor="text" w:hAnchor="text" w:y="1"/>
                    <w:suppressOverlap/>
                    <w:jc w:val="center"/>
                    <w:rPr>
                      <w:rFonts w:eastAsia="Arial Narrow,Times New Roman"/>
                    </w:rPr>
                  </w:pPr>
                  <w:r w:rsidRPr="005D4222">
                    <w:rPr>
                      <w:rFonts w:eastAsia="Arial Narrow,Times New Roman"/>
                    </w:rPr>
                    <w:t>0.15</w:t>
                  </w:r>
                </w:p>
              </w:tc>
            </w:tr>
            <w:tr w:rsidR="0015699E" w:rsidRPr="005D4222" w14:paraId="271F39CB" w14:textId="77777777" w:rsidTr="0075573C">
              <w:tc>
                <w:tcPr>
                  <w:tcW w:w="1584" w:type="dxa"/>
                  <w:tcBorders>
                    <w:top w:val="single" w:sz="4" w:space="0" w:color="auto"/>
                    <w:left w:val="single" w:sz="4" w:space="0" w:color="auto"/>
                    <w:bottom w:val="single" w:sz="4" w:space="0" w:color="auto"/>
                    <w:right w:val="single" w:sz="4" w:space="0" w:color="auto"/>
                  </w:tcBorders>
                  <w:tcMar>
                    <w:left w:w="58" w:type="dxa"/>
                    <w:right w:w="58" w:type="dxa"/>
                  </w:tcMar>
                </w:tcPr>
                <w:p w14:paraId="7E770D7D" w14:textId="77777777" w:rsidR="0015699E" w:rsidRPr="005D4222" w:rsidRDefault="0015699E" w:rsidP="00BF553C">
                  <w:pPr>
                    <w:pStyle w:val="TableText"/>
                    <w:framePr w:hSpace="180" w:wrap="around" w:vAnchor="text" w:hAnchor="text" w:y="1"/>
                    <w:suppressOverlap/>
                    <w:rPr>
                      <w:rFonts w:eastAsia="Arial Narrow,Times New Roman"/>
                    </w:rPr>
                  </w:pPr>
                  <w:r w:rsidRPr="005D4222">
                    <w:rPr>
                      <w:rFonts w:eastAsia="Arial Narrow,Times New Roman"/>
                    </w:rPr>
                    <w:t>Codeine</w:t>
                  </w:r>
                </w:p>
              </w:tc>
              <w:tc>
                <w:tcPr>
                  <w:tcW w:w="3650" w:type="dxa"/>
                  <w:tcBorders>
                    <w:top w:val="single" w:sz="4" w:space="0" w:color="auto"/>
                    <w:left w:val="single" w:sz="4" w:space="0" w:color="auto"/>
                    <w:bottom w:val="single" w:sz="4" w:space="0" w:color="auto"/>
                    <w:right w:val="single" w:sz="4" w:space="0" w:color="auto"/>
                  </w:tcBorders>
                  <w:tcMar>
                    <w:left w:w="58" w:type="dxa"/>
                    <w:right w:w="58" w:type="dxa"/>
                  </w:tcMar>
                </w:tcPr>
                <w:p w14:paraId="384D6AB9" w14:textId="77777777" w:rsidR="0015699E" w:rsidRPr="00C53E84" w:rsidRDefault="0015699E" w:rsidP="00BF553C">
                  <w:pPr>
                    <w:pStyle w:val="TableText"/>
                    <w:framePr w:hSpace="180" w:wrap="around" w:vAnchor="text" w:hAnchor="text" w:y="1"/>
                    <w:suppressOverlap/>
                    <w:rPr>
                      <w:u w:val="single"/>
                      <w:lang w:val="fr-FR"/>
                    </w:rPr>
                  </w:pPr>
                  <w:r w:rsidRPr="00C53E84">
                    <w:rPr>
                      <w:u w:val="single"/>
                      <w:lang w:val="fr-FR"/>
                    </w:rPr>
                    <w:t>Aspirin Carisoprodol Codeine 16 mg Medications List</w:t>
                  </w:r>
                </w:p>
              </w:tc>
              <w:tc>
                <w:tcPr>
                  <w:tcW w:w="960" w:type="dxa"/>
                  <w:tcBorders>
                    <w:top w:val="single" w:sz="4" w:space="0" w:color="auto"/>
                    <w:left w:val="single" w:sz="4" w:space="0" w:color="auto"/>
                    <w:bottom w:val="single" w:sz="4" w:space="0" w:color="auto"/>
                    <w:right w:val="single" w:sz="4" w:space="0" w:color="auto"/>
                  </w:tcBorders>
                  <w:tcMar>
                    <w:left w:w="58" w:type="dxa"/>
                    <w:right w:w="58" w:type="dxa"/>
                  </w:tcMar>
                </w:tcPr>
                <w:p w14:paraId="0D040DDB" w14:textId="77777777" w:rsidR="0015699E" w:rsidRPr="005D4222" w:rsidRDefault="0015699E" w:rsidP="00BF553C">
                  <w:pPr>
                    <w:pStyle w:val="TableText"/>
                    <w:framePr w:hSpace="180" w:wrap="around" w:vAnchor="text" w:hAnchor="text" w:y="1"/>
                    <w:suppressOverlap/>
                    <w:rPr>
                      <w:rFonts w:eastAsia="Arial Narrow,Times New Roman"/>
                    </w:rPr>
                  </w:pPr>
                  <w:r w:rsidRPr="005D4222">
                    <w:rPr>
                      <w:rFonts w:eastAsia="Arial Narrow,Times New Roman"/>
                    </w:rPr>
                    <w:t>16 mg</w:t>
                  </w:r>
                </w:p>
              </w:tc>
              <w:tc>
                <w:tcPr>
                  <w:tcW w:w="1152" w:type="dxa"/>
                  <w:tcBorders>
                    <w:top w:val="single" w:sz="4" w:space="0" w:color="auto"/>
                    <w:left w:val="single" w:sz="4" w:space="0" w:color="auto"/>
                    <w:bottom w:val="single" w:sz="4" w:space="0" w:color="auto"/>
                    <w:right w:val="single" w:sz="4" w:space="0" w:color="auto"/>
                  </w:tcBorders>
                  <w:tcMar>
                    <w:left w:w="58" w:type="dxa"/>
                    <w:right w:w="58" w:type="dxa"/>
                  </w:tcMar>
                </w:tcPr>
                <w:p w14:paraId="6F944B72" w14:textId="77777777" w:rsidR="0015699E" w:rsidRPr="005D4222" w:rsidRDefault="0015699E" w:rsidP="00BF553C">
                  <w:pPr>
                    <w:pStyle w:val="TableText"/>
                    <w:framePr w:hSpace="180" w:wrap="around" w:vAnchor="text" w:hAnchor="text" w:y="1"/>
                    <w:suppressOverlap/>
                    <w:jc w:val="center"/>
                    <w:rPr>
                      <w:rFonts w:eastAsia="Arial Narrow,Times New Roman"/>
                    </w:rPr>
                  </w:pPr>
                  <w:r w:rsidRPr="005D4222">
                    <w:rPr>
                      <w:rFonts w:eastAsia="Arial Narrow,Times New Roman"/>
                    </w:rPr>
                    <w:t>0.15</w:t>
                  </w:r>
                </w:p>
              </w:tc>
            </w:tr>
            <w:tr w:rsidR="0015699E" w:rsidRPr="005D4222" w14:paraId="00849A25" w14:textId="77777777" w:rsidTr="0075573C">
              <w:tc>
                <w:tcPr>
                  <w:tcW w:w="1584" w:type="dxa"/>
                  <w:tcBorders>
                    <w:top w:val="single" w:sz="12" w:space="0" w:color="auto"/>
                    <w:left w:val="single" w:sz="4" w:space="0" w:color="auto"/>
                    <w:bottom w:val="single" w:sz="12" w:space="0" w:color="auto"/>
                    <w:right w:val="single" w:sz="4" w:space="0" w:color="auto"/>
                  </w:tcBorders>
                  <w:tcMar>
                    <w:left w:w="58" w:type="dxa"/>
                    <w:right w:w="58" w:type="dxa"/>
                  </w:tcMar>
                </w:tcPr>
                <w:p w14:paraId="73F8F171" w14:textId="77777777" w:rsidR="0015699E" w:rsidRPr="005D4222" w:rsidRDefault="0015699E" w:rsidP="00BF553C">
                  <w:pPr>
                    <w:pStyle w:val="TableText"/>
                    <w:framePr w:hSpace="180" w:wrap="around" w:vAnchor="text" w:hAnchor="text" w:y="1"/>
                    <w:suppressOverlap/>
                    <w:rPr>
                      <w:rFonts w:eastAsia="Arial Narrow,Times New Roman"/>
                    </w:rPr>
                  </w:pPr>
                  <w:r w:rsidRPr="005D4222">
                    <w:rPr>
                      <w:rFonts w:eastAsia="Arial Narrow,Times New Roman"/>
                    </w:rPr>
                    <w:t>Dihydrocodeine</w:t>
                  </w:r>
                </w:p>
              </w:tc>
              <w:tc>
                <w:tcPr>
                  <w:tcW w:w="3650" w:type="dxa"/>
                  <w:tcBorders>
                    <w:top w:val="single" w:sz="12" w:space="0" w:color="auto"/>
                    <w:left w:val="single" w:sz="4" w:space="0" w:color="auto"/>
                    <w:bottom w:val="single" w:sz="12" w:space="0" w:color="auto"/>
                    <w:right w:val="single" w:sz="4" w:space="0" w:color="auto"/>
                  </w:tcBorders>
                  <w:tcMar>
                    <w:left w:w="58" w:type="dxa"/>
                    <w:right w:w="58" w:type="dxa"/>
                  </w:tcMar>
                </w:tcPr>
                <w:p w14:paraId="30536DF1" w14:textId="77777777" w:rsidR="0015699E" w:rsidRPr="00C53E84" w:rsidRDefault="0015699E" w:rsidP="00BF553C">
                  <w:pPr>
                    <w:pStyle w:val="TableText"/>
                    <w:framePr w:hSpace="180" w:wrap="around" w:vAnchor="text" w:hAnchor="text" w:y="1"/>
                    <w:suppressOverlap/>
                    <w:rPr>
                      <w:u w:val="single"/>
                      <w:lang w:val="fr-FR"/>
                    </w:rPr>
                  </w:pPr>
                  <w:r w:rsidRPr="00C53E84">
                    <w:rPr>
                      <w:u w:val="single"/>
                      <w:lang w:val="fr-FR"/>
                    </w:rPr>
                    <w:t>Acetaminophen Caffeine Dihydrocodeine 16 mg Medications List</w:t>
                  </w:r>
                </w:p>
              </w:tc>
              <w:tc>
                <w:tcPr>
                  <w:tcW w:w="960" w:type="dxa"/>
                  <w:tcBorders>
                    <w:top w:val="single" w:sz="12" w:space="0" w:color="auto"/>
                    <w:left w:val="single" w:sz="4" w:space="0" w:color="auto"/>
                    <w:bottom w:val="single" w:sz="12" w:space="0" w:color="auto"/>
                    <w:right w:val="single" w:sz="4" w:space="0" w:color="auto"/>
                  </w:tcBorders>
                  <w:tcMar>
                    <w:left w:w="58" w:type="dxa"/>
                    <w:right w:w="58" w:type="dxa"/>
                  </w:tcMar>
                </w:tcPr>
                <w:p w14:paraId="0BAD93FD" w14:textId="77777777" w:rsidR="0015699E" w:rsidRPr="005D4222" w:rsidRDefault="0015699E" w:rsidP="00BF553C">
                  <w:pPr>
                    <w:pStyle w:val="TableText"/>
                    <w:framePr w:hSpace="180" w:wrap="around" w:vAnchor="text" w:hAnchor="text" w:y="1"/>
                    <w:suppressOverlap/>
                    <w:rPr>
                      <w:rFonts w:eastAsia="Arial Narrow,Times New Roman"/>
                    </w:rPr>
                  </w:pPr>
                  <w:r w:rsidRPr="005D4222">
                    <w:rPr>
                      <w:rFonts w:eastAsia="Arial Narrow,Times New Roman"/>
                    </w:rPr>
                    <w:t>16 mg</w:t>
                  </w:r>
                </w:p>
              </w:tc>
              <w:tc>
                <w:tcPr>
                  <w:tcW w:w="1152" w:type="dxa"/>
                  <w:tcBorders>
                    <w:top w:val="single" w:sz="12" w:space="0" w:color="auto"/>
                    <w:left w:val="single" w:sz="4" w:space="0" w:color="auto"/>
                    <w:bottom w:val="single" w:sz="12" w:space="0" w:color="auto"/>
                    <w:right w:val="single" w:sz="4" w:space="0" w:color="auto"/>
                  </w:tcBorders>
                  <w:tcMar>
                    <w:left w:w="58" w:type="dxa"/>
                    <w:right w:w="58" w:type="dxa"/>
                  </w:tcMar>
                </w:tcPr>
                <w:p w14:paraId="1D1317CB" w14:textId="77777777" w:rsidR="0015699E" w:rsidRPr="005D4222" w:rsidRDefault="0015699E" w:rsidP="00BF553C">
                  <w:pPr>
                    <w:pStyle w:val="TableText"/>
                    <w:framePr w:hSpace="180" w:wrap="around" w:vAnchor="text" w:hAnchor="text" w:y="1"/>
                    <w:suppressOverlap/>
                    <w:jc w:val="center"/>
                    <w:rPr>
                      <w:rFonts w:eastAsia="Arial Narrow,Times New Roman"/>
                    </w:rPr>
                  </w:pPr>
                  <w:r w:rsidRPr="005D4222">
                    <w:rPr>
                      <w:rFonts w:eastAsia="Arial Narrow,Times New Roman"/>
                    </w:rPr>
                    <w:t>0.25</w:t>
                  </w:r>
                </w:p>
              </w:tc>
            </w:tr>
            <w:tr w:rsidR="0015699E" w:rsidRPr="005D4222" w14:paraId="71C63E88" w14:textId="77777777" w:rsidTr="0075573C">
              <w:tc>
                <w:tcPr>
                  <w:tcW w:w="1584" w:type="dxa"/>
                  <w:tcBorders>
                    <w:top w:val="single" w:sz="12" w:space="0" w:color="auto"/>
                    <w:left w:val="single" w:sz="4" w:space="0" w:color="auto"/>
                    <w:bottom w:val="single" w:sz="4" w:space="0" w:color="auto"/>
                    <w:right w:val="single" w:sz="4" w:space="0" w:color="auto"/>
                  </w:tcBorders>
                  <w:tcMar>
                    <w:left w:w="58" w:type="dxa"/>
                    <w:right w:w="58" w:type="dxa"/>
                  </w:tcMar>
                </w:tcPr>
                <w:p w14:paraId="7A1A3748" w14:textId="77777777" w:rsidR="0015699E" w:rsidRPr="005D4222" w:rsidRDefault="0015699E" w:rsidP="00BF553C">
                  <w:pPr>
                    <w:pStyle w:val="TableText"/>
                    <w:framePr w:hSpace="180" w:wrap="around" w:vAnchor="text" w:hAnchor="text" w:y="1"/>
                    <w:suppressOverlap/>
                    <w:rPr>
                      <w:rFonts w:eastAsia="Arial Narrow,Times New Roman"/>
                    </w:rPr>
                  </w:pPr>
                  <w:r w:rsidRPr="005D4222">
                    <w:rPr>
                      <w:rFonts w:eastAsia="Arial Narrow,Times New Roman"/>
                    </w:rPr>
                    <w:t>Fentanyl buccal or sublingual tablet, transmucosal lozenge (mcg)</w:t>
                  </w:r>
                  <w:r w:rsidRPr="005D4222">
                    <w:rPr>
                      <w:rFonts w:eastAsia="Arial Narrow,Times New Roman"/>
                      <w:vertAlign w:val="superscript"/>
                    </w:rPr>
                    <w:t>1</w:t>
                  </w:r>
                </w:p>
              </w:tc>
              <w:tc>
                <w:tcPr>
                  <w:tcW w:w="3650" w:type="dxa"/>
                  <w:tcBorders>
                    <w:top w:val="single" w:sz="12" w:space="0" w:color="auto"/>
                    <w:left w:val="single" w:sz="4" w:space="0" w:color="auto"/>
                    <w:bottom w:val="single" w:sz="4" w:space="0" w:color="auto"/>
                    <w:right w:val="single" w:sz="4" w:space="0" w:color="auto"/>
                  </w:tcBorders>
                  <w:tcMar>
                    <w:left w:w="58" w:type="dxa"/>
                    <w:right w:w="58" w:type="dxa"/>
                  </w:tcMar>
                </w:tcPr>
                <w:p w14:paraId="5AC7CE0D" w14:textId="77777777" w:rsidR="0015699E" w:rsidRPr="005D4222" w:rsidRDefault="0015699E" w:rsidP="00BF553C">
                  <w:pPr>
                    <w:pStyle w:val="TableText"/>
                    <w:framePr w:hSpace="180" w:wrap="around" w:vAnchor="text" w:hAnchor="text" w:y="1"/>
                    <w:suppressOverlap/>
                    <w:rPr>
                      <w:rFonts w:eastAsia="Arial Narrow,Times New Roman"/>
                      <w:u w:val="single"/>
                    </w:rPr>
                  </w:pPr>
                  <w:r w:rsidRPr="005D4222">
                    <w:rPr>
                      <w:rFonts w:eastAsia="Arial Narrow,Times New Roman"/>
                      <w:u w:val="single"/>
                    </w:rPr>
                    <w:t>Fentanyl 100 mcg</w:t>
                  </w:r>
                  <w:r w:rsidRPr="005D4222">
                    <w:rPr>
                      <w:u w:val="single"/>
                    </w:rPr>
                    <w:t xml:space="preserve"> Medications List</w:t>
                  </w:r>
                </w:p>
                <w:p w14:paraId="3E38A8B5" w14:textId="77777777" w:rsidR="0015699E" w:rsidRPr="005D4222" w:rsidRDefault="0015699E" w:rsidP="00BF553C">
                  <w:pPr>
                    <w:pStyle w:val="TableText"/>
                    <w:framePr w:hSpace="180" w:wrap="around" w:vAnchor="text" w:hAnchor="text" w:y="1"/>
                    <w:suppressOverlap/>
                    <w:rPr>
                      <w:rFonts w:eastAsia="Arial Narrow,Times New Roman"/>
                      <w:u w:val="single"/>
                    </w:rPr>
                  </w:pPr>
                  <w:r w:rsidRPr="005D4222">
                    <w:rPr>
                      <w:rFonts w:eastAsia="Arial Narrow,Times New Roman"/>
                      <w:u w:val="single"/>
                    </w:rPr>
                    <w:t>Fentanyl 200 mcg</w:t>
                  </w:r>
                  <w:r w:rsidRPr="005D4222">
                    <w:rPr>
                      <w:u w:val="single"/>
                    </w:rPr>
                    <w:t xml:space="preserve"> Medications List</w:t>
                  </w:r>
                </w:p>
                <w:p w14:paraId="1EACF562" w14:textId="77777777" w:rsidR="0015699E" w:rsidRPr="005D4222" w:rsidRDefault="0015699E" w:rsidP="00BF553C">
                  <w:pPr>
                    <w:pStyle w:val="TableText"/>
                    <w:framePr w:hSpace="180" w:wrap="around" w:vAnchor="text" w:hAnchor="text" w:y="1"/>
                    <w:suppressOverlap/>
                    <w:rPr>
                      <w:rFonts w:eastAsia="Arial Narrow,Times New Roman"/>
                      <w:u w:val="single"/>
                    </w:rPr>
                  </w:pPr>
                  <w:r w:rsidRPr="005D4222">
                    <w:rPr>
                      <w:rFonts w:eastAsia="Arial Narrow,Times New Roman"/>
                      <w:u w:val="single"/>
                    </w:rPr>
                    <w:t>Fentanyl 300 mcg</w:t>
                  </w:r>
                  <w:r w:rsidRPr="005D4222">
                    <w:rPr>
                      <w:u w:val="single"/>
                    </w:rPr>
                    <w:t xml:space="preserve"> Medications List</w:t>
                  </w:r>
                </w:p>
                <w:p w14:paraId="6C4E6AF8" w14:textId="77777777" w:rsidR="0015699E" w:rsidRPr="005D4222" w:rsidRDefault="0015699E" w:rsidP="00BF553C">
                  <w:pPr>
                    <w:pStyle w:val="TableText"/>
                    <w:framePr w:hSpace="180" w:wrap="around" w:vAnchor="text" w:hAnchor="text" w:y="1"/>
                    <w:suppressOverlap/>
                    <w:rPr>
                      <w:rFonts w:eastAsia="Arial Narrow,Times New Roman"/>
                      <w:u w:val="single"/>
                    </w:rPr>
                  </w:pPr>
                  <w:r w:rsidRPr="005D4222">
                    <w:rPr>
                      <w:rFonts w:eastAsia="Arial Narrow,Times New Roman"/>
                      <w:u w:val="single"/>
                    </w:rPr>
                    <w:t>Fentanyl 400 mcg</w:t>
                  </w:r>
                  <w:r w:rsidRPr="005D4222">
                    <w:rPr>
                      <w:u w:val="single"/>
                    </w:rPr>
                    <w:t xml:space="preserve"> Medications List</w:t>
                  </w:r>
                </w:p>
                <w:p w14:paraId="176A990B" w14:textId="77777777" w:rsidR="0015699E" w:rsidRPr="005D4222" w:rsidRDefault="0015699E" w:rsidP="00BF553C">
                  <w:pPr>
                    <w:pStyle w:val="TableText"/>
                    <w:framePr w:hSpace="180" w:wrap="around" w:vAnchor="text" w:hAnchor="text" w:y="1"/>
                    <w:suppressOverlap/>
                    <w:rPr>
                      <w:rFonts w:eastAsia="Arial Narrow,Times New Roman"/>
                      <w:u w:val="single"/>
                    </w:rPr>
                  </w:pPr>
                  <w:r w:rsidRPr="005D4222">
                    <w:rPr>
                      <w:rFonts w:eastAsia="Arial Narrow,Times New Roman"/>
                      <w:u w:val="single"/>
                    </w:rPr>
                    <w:t>Fentanyl 600 mcg</w:t>
                  </w:r>
                  <w:r w:rsidRPr="005D4222">
                    <w:rPr>
                      <w:u w:val="single"/>
                    </w:rPr>
                    <w:t xml:space="preserve"> Medications List</w:t>
                  </w:r>
                </w:p>
                <w:p w14:paraId="6F7DF2AA" w14:textId="77777777" w:rsidR="0015699E" w:rsidRPr="005D4222" w:rsidRDefault="0015699E" w:rsidP="00BF553C">
                  <w:pPr>
                    <w:pStyle w:val="TableText"/>
                    <w:framePr w:hSpace="180" w:wrap="around" w:vAnchor="text" w:hAnchor="text" w:y="1"/>
                    <w:suppressOverlap/>
                    <w:rPr>
                      <w:rFonts w:eastAsia="Arial Narrow,Times New Roman"/>
                      <w:u w:val="single"/>
                    </w:rPr>
                  </w:pPr>
                  <w:r w:rsidRPr="005D4222">
                    <w:rPr>
                      <w:rFonts w:eastAsia="Arial Narrow,Times New Roman"/>
                      <w:u w:val="single"/>
                    </w:rPr>
                    <w:t>Fentanyl 800 mcg</w:t>
                  </w:r>
                  <w:r w:rsidRPr="005D4222">
                    <w:rPr>
                      <w:u w:val="single"/>
                    </w:rPr>
                    <w:t xml:space="preserve"> Medications List</w:t>
                  </w:r>
                </w:p>
                <w:p w14:paraId="4DD36263" w14:textId="77777777" w:rsidR="0015699E" w:rsidRPr="005D4222" w:rsidRDefault="0015699E" w:rsidP="00BF553C">
                  <w:pPr>
                    <w:pStyle w:val="TableText"/>
                    <w:framePr w:hSpace="180" w:wrap="around" w:vAnchor="text" w:hAnchor="text" w:y="1"/>
                    <w:suppressOverlap/>
                    <w:rPr>
                      <w:rFonts w:eastAsia="Arial Narrow,Times New Roman"/>
                      <w:u w:val="single"/>
                    </w:rPr>
                  </w:pPr>
                  <w:r w:rsidRPr="005D4222">
                    <w:rPr>
                      <w:rFonts w:eastAsia="Arial Narrow,Times New Roman"/>
                      <w:u w:val="single"/>
                    </w:rPr>
                    <w:t>Fentanyl 1200 mcg</w:t>
                  </w:r>
                  <w:r w:rsidRPr="005D4222">
                    <w:rPr>
                      <w:u w:val="single"/>
                    </w:rPr>
                    <w:t xml:space="preserve"> Medications List</w:t>
                  </w:r>
                </w:p>
                <w:p w14:paraId="417248E8" w14:textId="77777777" w:rsidR="0015699E" w:rsidRPr="005D4222" w:rsidRDefault="0015699E" w:rsidP="00BF553C">
                  <w:pPr>
                    <w:pStyle w:val="TableText"/>
                    <w:framePr w:hSpace="180" w:wrap="around" w:vAnchor="text" w:hAnchor="text" w:y="1"/>
                    <w:suppressOverlap/>
                    <w:rPr>
                      <w:rFonts w:eastAsia="Arial Narrow,Times New Roman"/>
                      <w:u w:val="single"/>
                    </w:rPr>
                  </w:pPr>
                  <w:r w:rsidRPr="005D4222">
                    <w:rPr>
                      <w:rFonts w:eastAsia="Arial Narrow,Times New Roman"/>
                      <w:u w:val="single"/>
                    </w:rPr>
                    <w:t>Fentanyl 1600 mcg</w:t>
                  </w:r>
                  <w:r w:rsidRPr="005D4222">
                    <w:rPr>
                      <w:u w:val="single"/>
                    </w:rPr>
                    <w:t xml:space="preserve"> Medications List</w:t>
                  </w:r>
                </w:p>
              </w:tc>
              <w:tc>
                <w:tcPr>
                  <w:tcW w:w="960" w:type="dxa"/>
                  <w:tcBorders>
                    <w:top w:val="single" w:sz="12" w:space="0" w:color="auto"/>
                    <w:left w:val="single" w:sz="4" w:space="0" w:color="auto"/>
                    <w:bottom w:val="single" w:sz="4" w:space="0" w:color="auto"/>
                    <w:right w:val="single" w:sz="4" w:space="0" w:color="auto"/>
                  </w:tcBorders>
                  <w:tcMar>
                    <w:left w:w="58" w:type="dxa"/>
                    <w:right w:w="58" w:type="dxa"/>
                  </w:tcMar>
                </w:tcPr>
                <w:p w14:paraId="5863B70F" w14:textId="77777777" w:rsidR="0015699E" w:rsidRPr="005D4222" w:rsidRDefault="0015699E" w:rsidP="00BF553C">
                  <w:pPr>
                    <w:pStyle w:val="TableText"/>
                    <w:framePr w:hSpace="180" w:wrap="around" w:vAnchor="text" w:hAnchor="text" w:y="1"/>
                    <w:suppressOverlap/>
                    <w:rPr>
                      <w:rFonts w:eastAsia="Arial Narrow,Times New Roman"/>
                    </w:rPr>
                  </w:pPr>
                  <w:r w:rsidRPr="005D4222">
                    <w:rPr>
                      <w:rFonts w:eastAsia="Arial Narrow,Times New Roman"/>
                    </w:rPr>
                    <w:t>100 mcg</w:t>
                  </w:r>
                </w:p>
                <w:p w14:paraId="04729EEF" w14:textId="77777777" w:rsidR="0015699E" w:rsidRPr="005D4222" w:rsidRDefault="0015699E" w:rsidP="00BF553C">
                  <w:pPr>
                    <w:pStyle w:val="TableText"/>
                    <w:framePr w:hSpace="180" w:wrap="around" w:vAnchor="text" w:hAnchor="text" w:y="1"/>
                    <w:suppressOverlap/>
                    <w:rPr>
                      <w:rFonts w:eastAsia="Arial Narrow,Times New Roman"/>
                    </w:rPr>
                  </w:pPr>
                  <w:r w:rsidRPr="005D4222">
                    <w:rPr>
                      <w:rFonts w:eastAsia="Arial Narrow,Times New Roman"/>
                    </w:rPr>
                    <w:t>200 mcg</w:t>
                  </w:r>
                </w:p>
                <w:p w14:paraId="3C47DA31" w14:textId="77777777" w:rsidR="0015699E" w:rsidRPr="005D4222" w:rsidRDefault="0015699E" w:rsidP="00BF553C">
                  <w:pPr>
                    <w:pStyle w:val="TableText"/>
                    <w:framePr w:hSpace="180" w:wrap="around" w:vAnchor="text" w:hAnchor="text" w:y="1"/>
                    <w:suppressOverlap/>
                    <w:rPr>
                      <w:rFonts w:eastAsia="Arial Narrow,Times New Roman"/>
                    </w:rPr>
                  </w:pPr>
                  <w:r w:rsidRPr="005D4222">
                    <w:rPr>
                      <w:rFonts w:eastAsia="Arial Narrow,Times New Roman"/>
                    </w:rPr>
                    <w:t>300 mcg</w:t>
                  </w:r>
                </w:p>
                <w:p w14:paraId="2B8A5973" w14:textId="77777777" w:rsidR="0015699E" w:rsidRPr="005D4222" w:rsidRDefault="0015699E" w:rsidP="00BF553C">
                  <w:pPr>
                    <w:pStyle w:val="TableText"/>
                    <w:framePr w:hSpace="180" w:wrap="around" w:vAnchor="text" w:hAnchor="text" w:y="1"/>
                    <w:suppressOverlap/>
                    <w:rPr>
                      <w:rFonts w:eastAsia="Arial Narrow,Times New Roman"/>
                    </w:rPr>
                  </w:pPr>
                  <w:r w:rsidRPr="005D4222">
                    <w:rPr>
                      <w:rFonts w:eastAsia="Arial Narrow,Times New Roman"/>
                    </w:rPr>
                    <w:t>400 mcg</w:t>
                  </w:r>
                </w:p>
                <w:p w14:paraId="75966DD6" w14:textId="77777777" w:rsidR="0015699E" w:rsidRPr="005D4222" w:rsidRDefault="0015699E" w:rsidP="00BF553C">
                  <w:pPr>
                    <w:pStyle w:val="TableText"/>
                    <w:framePr w:hSpace="180" w:wrap="around" w:vAnchor="text" w:hAnchor="text" w:y="1"/>
                    <w:suppressOverlap/>
                    <w:rPr>
                      <w:rFonts w:eastAsia="Arial Narrow,Times New Roman"/>
                    </w:rPr>
                  </w:pPr>
                  <w:r w:rsidRPr="005D4222">
                    <w:rPr>
                      <w:rFonts w:eastAsia="Arial Narrow,Times New Roman"/>
                    </w:rPr>
                    <w:t>600 mcg</w:t>
                  </w:r>
                </w:p>
                <w:p w14:paraId="27009B83" w14:textId="77777777" w:rsidR="0015699E" w:rsidRPr="005D4222" w:rsidRDefault="0015699E" w:rsidP="00BF553C">
                  <w:pPr>
                    <w:pStyle w:val="TableText"/>
                    <w:framePr w:hSpace="180" w:wrap="around" w:vAnchor="text" w:hAnchor="text" w:y="1"/>
                    <w:suppressOverlap/>
                    <w:rPr>
                      <w:rFonts w:eastAsia="Arial Narrow,Times New Roman"/>
                    </w:rPr>
                  </w:pPr>
                  <w:r w:rsidRPr="005D4222">
                    <w:rPr>
                      <w:rFonts w:eastAsia="Arial Narrow,Times New Roman"/>
                    </w:rPr>
                    <w:t>800 mcg</w:t>
                  </w:r>
                </w:p>
                <w:p w14:paraId="5D5AB24D" w14:textId="77777777" w:rsidR="0015699E" w:rsidRPr="005D4222" w:rsidRDefault="0015699E" w:rsidP="00BF553C">
                  <w:pPr>
                    <w:pStyle w:val="TableText"/>
                    <w:framePr w:hSpace="180" w:wrap="around" w:vAnchor="text" w:hAnchor="text" w:y="1"/>
                    <w:suppressOverlap/>
                    <w:rPr>
                      <w:rFonts w:eastAsia="Arial Narrow,Times New Roman"/>
                    </w:rPr>
                  </w:pPr>
                  <w:r w:rsidRPr="005D4222">
                    <w:rPr>
                      <w:rFonts w:eastAsia="Arial Narrow,Times New Roman"/>
                    </w:rPr>
                    <w:t>1200 mcg</w:t>
                  </w:r>
                </w:p>
                <w:p w14:paraId="7B771946" w14:textId="77777777" w:rsidR="0015699E" w:rsidRPr="005D4222" w:rsidRDefault="0015699E" w:rsidP="00BF553C">
                  <w:pPr>
                    <w:pStyle w:val="TableText"/>
                    <w:framePr w:hSpace="180" w:wrap="around" w:vAnchor="text" w:hAnchor="text" w:y="1"/>
                    <w:suppressOverlap/>
                    <w:rPr>
                      <w:rFonts w:eastAsia="Arial Narrow,Times New Roman"/>
                    </w:rPr>
                  </w:pPr>
                  <w:r w:rsidRPr="005D4222">
                    <w:rPr>
                      <w:rFonts w:eastAsia="Arial Narrow,Times New Roman"/>
                    </w:rPr>
                    <w:t>1600 mcg</w:t>
                  </w:r>
                </w:p>
              </w:tc>
              <w:tc>
                <w:tcPr>
                  <w:tcW w:w="1152" w:type="dxa"/>
                  <w:tcBorders>
                    <w:top w:val="single" w:sz="12" w:space="0" w:color="auto"/>
                    <w:left w:val="single" w:sz="4" w:space="0" w:color="auto"/>
                    <w:bottom w:val="single" w:sz="4" w:space="0" w:color="auto"/>
                    <w:right w:val="single" w:sz="4" w:space="0" w:color="auto"/>
                  </w:tcBorders>
                  <w:tcMar>
                    <w:left w:w="58" w:type="dxa"/>
                    <w:right w:w="58" w:type="dxa"/>
                  </w:tcMar>
                </w:tcPr>
                <w:p w14:paraId="23118273" w14:textId="77777777" w:rsidR="0015699E" w:rsidRPr="005D4222" w:rsidRDefault="0015699E" w:rsidP="00BF553C">
                  <w:pPr>
                    <w:pStyle w:val="TableText"/>
                    <w:framePr w:hSpace="180" w:wrap="around" w:vAnchor="text" w:hAnchor="text" w:y="1"/>
                    <w:suppressOverlap/>
                    <w:jc w:val="center"/>
                    <w:rPr>
                      <w:rFonts w:eastAsia="Arial Narrow,Times New Roman"/>
                    </w:rPr>
                  </w:pPr>
                  <w:r w:rsidRPr="005D4222">
                    <w:rPr>
                      <w:rFonts w:eastAsia="Arial Narrow,Times New Roman"/>
                    </w:rPr>
                    <w:t>0.13</w:t>
                  </w:r>
                </w:p>
              </w:tc>
            </w:tr>
            <w:tr w:rsidR="0015699E" w:rsidRPr="005D4222" w14:paraId="6A257EAD" w14:textId="77777777" w:rsidTr="0075573C">
              <w:tc>
                <w:tcPr>
                  <w:tcW w:w="1584" w:type="dxa"/>
                  <w:tcBorders>
                    <w:top w:val="single" w:sz="4" w:space="0" w:color="auto"/>
                    <w:left w:val="single" w:sz="4" w:space="0" w:color="auto"/>
                    <w:bottom w:val="single" w:sz="4" w:space="0" w:color="auto"/>
                    <w:right w:val="single" w:sz="4" w:space="0" w:color="auto"/>
                  </w:tcBorders>
                  <w:tcMar>
                    <w:left w:w="58" w:type="dxa"/>
                    <w:right w:w="58" w:type="dxa"/>
                  </w:tcMar>
                </w:tcPr>
                <w:p w14:paraId="5D59CF8E" w14:textId="77777777" w:rsidR="0015699E" w:rsidRPr="005D4222" w:rsidRDefault="0015699E" w:rsidP="00BF553C">
                  <w:pPr>
                    <w:pStyle w:val="TableText"/>
                    <w:framePr w:hSpace="180" w:wrap="around" w:vAnchor="text" w:hAnchor="text" w:y="1"/>
                    <w:suppressOverlap/>
                    <w:rPr>
                      <w:rFonts w:eastAsia="Arial Narrow,Times New Roman"/>
                    </w:rPr>
                  </w:pPr>
                  <w:r w:rsidRPr="005D4222">
                    <w:rPr>
                      <w:rFonts w:eastAsia="Arial Narrow,Times New Roman"/>
                    </w:rPr>
                    <w:t>Fentanyl oral spray (mcg)</w:t>
                  </w:r>
                  <w:r w:rsidRPr="005D4222">
                    <w:rPr>
                      <w:rFonts w:eastAsia="Arial Narrow,Times New Roman"/>
                      <w:vertAlign w:val="superscript"/>
                    </w:rPr>
                    <w:t>2</w:t>
                  </w:r>
                </w:p>
              </w:tc>
              <w:tc>
                <w:tcPr>
                  <w:tcW w:w="3650" w:type="dxa"/>
                  <w:tcBorders>
                    <w:top w:val="single" w:sz="4" w:space="0" w:color="auto"/>
                    <w:left w:val="single" w:sz="4" w:space="0" w:color="auto"/>
                    <w:bottom w:val="single" w:sz="4" w:space="0" w:color="auto"/>
                    <w:right w:val="single" w:sz="4" w:space="0" w:color="auto"/>
                  </w:tcBorders>
                  <w:tcMar>
                    <w:left w:w="58" w:type="dxa"/>
                    <w:right w:w="58" w:type="dxa"/>
                  </w:tcMar>
                </w:tcPr>
                <w:p w14:paraId="597C6702" w14:textId="77777777" w:rsidR="0015699E" w:rsidRPr="005D4222" w:rsidRDefault="0015699E" w:rsidP="00BF553C">
                  <w:pPr>
                    <w:pStyle w:val="TableText"/>
                    <w:framePr w:hSpace="180" w:wrap="around" w:vAnchor="text" w:hAnchor="text" w:y="1"/>
                    <w:suppressOverlap/>
                    <w:rPr>
                      <w:rFonts w:eastAsia="Arial Narrow,Times New Roman"/>
                      <w:u w:val="single"/>
                    </w:rPr>
                  </w:pPr>
                  <w:r w:rsidRPr="005D4222">
                    <w:rPr>
                      <w:rFonts w:eastAsia="Arial Narrow,Times New Roman"/>
                      <w:u w:val="single"/>
                    </w:rPr>
                    <w:t>Fentanyl 100 MCGPS Oral</w:t>
                  </w:r>
                  <w:r w:rsidRPr="005D4222">
                    <w:rPr>
                      <w:u w:val="single"/>
                    </w:rPr>
                    <w:t xml:space="preserve"> Medications List</w:t>
                  </w:r>
                </w:p>
                <w:p w14:paraId="14888B33" w14:textId="77777777" w:rsidR="0015699E" w:rsidRPr="005D4222" w:rsidRDefault="0015699E" w:rsidP="00BF553C">
                  <w:pPr>
                    <w:pStyle w:val="TableText"/>
                    <w:framePr w:hSpace="180" w:wrap="around" w:vAnchor="text" w:hAnchor="text" w:y="1"/>
                    <w:suppressOverlap/>
                    <w:rPr>
                      <w:rFonts w:eastAsia="Arial Narrow,Times New Roman"/>
                      <w:u w:val="single"/>
                    </w:rPr>
                  </w:pPr>
                  <w:r w:rsidRPr="005D4222">
                    <w:rPr>
                      <w:rFonts w:eastAsia="Arial Narrow,Times New Roman"/>
                      <w:u w:val="single"/>
                    </w:rPr>
                    <w:t>Fentanyl 200 MCGPS Oral</w:t>
                  </w:r>
                  <w:r w:rsidRPr="005D4222">
                    <w:rPr>
                      <w:u w:val="single"/>
                    </w:rPr>
                    <w:t xml:space="preserve"> Medications List</w:t>
                  </w:r>
                </w:p>
                <w:p w14:paraId="5550E457" w14:textId="77777777" w:rsidR="0015699E" w:rsidRPr="005D4222" w:rsidRDefault="0015699E" w:rsidP="00BF553C">
                  <w:pPr>
                    <w:pStyle w:val="TableText"/>
                    <w:framePr w:hSpace="180" w:wrap="around" w:vAnchor="text" w:hAnchor="text" w:y="1"/>
                    <w:suppressOverlap/>
                    <w:rPr>
                      <w:rFonts w:eastAsia="Arial Narrow,Times New Roman"/>
                      <w:u w:val="single"/>
                    </w:rPr>
                  </w:pPr>
                  <w:r w:rsidRPr="005D4222">
                    <w:rPr>
                      <w:rFonts w:eastAsia="Arial Narrow,Times New Roman"/>
                      <w:u w:val="single"/>
                    </w:rPr>
                    <w:t>Fentanyl 400 MCGPS Oral</w:t>
                  </w:r>
                  <w:r w:rsidRPr="005D4222">
                    <w:rPr>
                      <w:u w:val="single"/>
                    </w:rPr>
                    <w:t xml:space="preserve"> Medications List</w:t>
                  </w:r>
                </w:p>
                <w:p w14:paraId="1B54BC05" w14:textId="77777777" w:rsidR="0015699E" w:rsidRPr="005D4222" w:rsidRDefault="0015699E" w:rsidP="00BF553C">
                  <w:pPr>
                    <w:pStyle w:val="TableText"/>
                    <w:framePr w:hSpace="180" w:wrap="around" w:vAnchor="text" w:hAnchor="text" w:y="1"/>
                    <w:suppressOverlap/>
                    <w:rPr>
                      <w:rFonts w:eastAsia="Arial Narrow,Times New Roman"/>
                      <w:u w:val="single"/>
                    </w:rPr>
                  </w:pPr>
                  <w:r w:rsidRPr="005D4222">
                    <w:rPr>
                      <w:rFonts w:eastAsia="Arial Narrow,Times New Roman"/>
                      <w:u w:val="single"/>
                    </w:rPr>
                    <w:t>Fentanyl 600 MCGPS Oral</w:t>
                  </w:r>
                  <w:r w:rsidRPr="005D4222">
                    <w:rPr>
                      <w:u w:val="single"/>
                    </w:rPr>
                    <w:t xml:space="preserve"> Medications List</w:t>
                  </w:r>
                </w:p>
                <w:p w14:paraId="1CBDBA33" w14:textId="77777777" w:rsidR="0015699E" w:rsidRPr="005D4222" w:rsidRDefault="0015699E" w:rsidP="00BF553C">
                  <w:pPr>
                    <w:pStyle w:val="TableText"/>
                    <w:framePr w:hSpace="180" w:wrap="around" w:vAnchor="text" w:hAnchor="text" w:y="1"/>
                    <w:suppressOverlap/>
                    <w:rPr>
                      <w:rFonts w:eastAsia="Arial Narrow,Times New Roman"/>
                      <w:u w:val="single"/>
                    </w:rPr>
                  </w:pPr>
                  <w:r w:rsidRPr="005D4222">
                    <w:rPr>
                      <w:rFonts w:eastAsia="Arial Narrow,Times New Roman"/>
                      <w:u w:val="single"/>
                    </w:rPr>
                    <w:t>Fentanyl 800 MCGPS Oral</w:t>
                  </w:r>
                  <w:r w:rsidRPr="005D4222">
                    <w:rPr>
                      <w:u w:val="single"/>
                    </w:rPr>
                    <w:t xml:space="preserve"> Medications List</w:t>
                  </w:r>
                </w:p>
              </w:tc>
              <w:tc>
                <w:tcPr>
                  <w:tcW w:w="960" w:type="dxa"/>
                  <w:tcBorders>
                    <w:top w:val="single" w:sz="4" w:space="0" w:color="auto"/>
                    <w:left w:val="single" w:sz="4" w:space="0" w:color="auto"/>
                    <w:bottom w:val="single" w:sz="4" w:space="0" w:color="auto"/>
                    <w:right w:val="single" w:sz="4" w:space="0" w:color="auto"/>
                  </w:tcBorders>
                  <w:tcMar>
                    <w:left w:w="58" w:type="dxa"/>
                    <w:right w:w="58" w:type="dxa"/>
                  </w:tcMar>
                </w:tcPr>
                <w:p w14:paraId="359CFAB7" w14:textId="77777777" w:rsidR="0015699E" w:rsidRPr="005D4222" w:rsidRDefault="0015699E" w:rsidP="00BF553C">
                  <w:pPr>
                    <w:pStyle w:val="TableText"/>
                    <w:framePr w:hSpace="180" w:wrap="around" w:vAnchor="text" w:hAnchor="text" w:y="1"/>
                    <w:suppressOverlap/>
                    <w:rPr>
                      <w:rFonts w:eastAsia="Arial Narrow,Times New Roman"/>
                    </w:rPr>
                  </w:pPr>
                  <w:r w:rsidRPr="005D4222">
                    <w:rPr>
                      <w:rFonts w:eastAsia="Arial Narrow,Times New Roman"/>
                    </w:rPr>
                    <w:t>100 mcg</w:t>
                  </w:r>
                </w:p>
                <w:p w14:paraId="624AFD32" w14:textId="77777777" w:rsidR="0015699E" w:rsidRPr="005D4222" w:rsidRDefault="0015699E" w:rsidP="00BF553C">
                  <w:pPr>
                    <w:pStyle w:val="TableText"/>
                    <w:framePr w:hSpace="180" w:wrap="around" w:vAnchor="text" w:hAnchor="text" w:y="1"/>
                    <w:suppressOverlap/>
                    <w:rPr>
                      <w:rFonts w:eastAsia="Arial Narrow,Times New Roman"/>
                    </w:rPr>
                  </w:pPr>
                  <w:r w:rsidRPr="005D4222">
                    <w:rPr>
                      <w:rFonts w:eastAsia="Arial Narrow,Times New Roman"/>
                    </w:rPr>
                    <w:t>200 mcg</w:t>
                  </w:r>
                </w:p>
                <w:p w14:paraId="71E04246" w14:textId="77777777" w:rsidR="0015699E" w:rsidRPr="005D4222" w:rsidRDefault="0015699E" w:rsidP="00BF553C">
                  <w:pPr>
                    <w:pStyle w:val="TableText"/>
                    <w:framePr w:hSpace="180" w:wrap="around" w:vAnchor="text" w:hAnchor="text" w:y="1"/>
                    <w:suppressOverlap/>
                    <w:rPr>
                      <w:rFonts w:eastAsia="Arial Narrow,Times New Roman"/>
                    </w:rPr>
                  </w:pPr>
                  <w:r w:rsidRPr="005D4222">
                    <w:rPr>
                      <w:rFonts w:eastAsia="Arial Narrow,Times New Roman"/>
                    </w:rPr>
                    <w:t>400 mcg</w:t>
                  </w:r>
                </w:p>
                <w:p w14:paraId="435B72D6" w14:textId="77777777" w:rsidR="0015699E" w:rsidRPr="005D4222" w:rsidRDefault="0015699E" w:rsidP="00BF553C">
                  <w:pPr>
                    <w:pStyle w:val="TableText"/>
                    <w:framePr w:hSpace="180" w:wrap="around" w:vAnchor="text" w:hAnchor="text" w:y="1"/>
                    <w:suppressOverlap/>
                    <w:rPr>
                      <w:rFonts w:eastAsia="Arial Narrow,Times New Roman"/>
                    </w:rPr>
                  </w:pPr>
                  <w:r w:rsidRPr="005D4222">
                    <w:rPr>
                      <w:rFonts w:eastAsia="Arial Narrow,Times New Roman"/>
                    </w:rPr>
                    <w:t>600 mcg</w:t>
                  </w:r>
                </w:p>
                <w:p w14:paraId="26515BE1" w14:textId="77777777" w:rsidR="0015699E" w:rsidRPr="005D4222" w:rsidRDefault="0015699E" w:rsidP="00BF553C">
                  <w:pPr>
                    <w:pStyle w:val="TableText"/>
                    <w:framePr w:hSpace="180" w:wrap="around" w:vAnchor="text" w:hAnchor="text" w:y="1"/>
                    <w:suppressOverlap/>
                    <w:rPr>
                      <w:rFonts w:eastAsia="Arial Narrow,Times New Roman"/>
                    </w:rPr>
                  </w:pPr>
                  <w:r w:rsidRPr="005D4222">
                    <w:rPr>
                      <w:rFonts w:eastAsia="Arial Narrow,Times New Roman"/>
                    </w:rPr>
                    <w:t>800 mcg</w:t>
                  </w:r>
                </w:p>
              </w:tc>
              <w:tc>
                <w:tcPr>
                  <w:tcW w:w="1152" w:type="dxa"/>
                  <w:tcBorders>
                    <w:top w:val="single" w:sz="4" w:space="0" w:color="auto"/>
                    <w:left w:val="single" w:sz="4" w:space="0" w:color="auto"/>
                    <w:bottom w:val="single" w:sz="4" w:space="0" w:color="auto"/>
                    <w:right w:val="single" w:sz="4" w:space="0" w:color="auto"/>
                  </w:tcBorders>
                  <w:tcMar>
                    <w:left w:w="58" w:type="dxa"/>
                    <w:right w:w="58" w:type="dxa"/>
                  </w:tcMar>
                </w:tcPr>
                <w:p w14:paraId="1A3E7BF1" w14:textId="77777777" w:rsidR="0015699E" w:rsidRPr="005D4222" w:rsidRDefault="0015699E" w:rsidP="00BF553C">
                  <w:pPr>
                    <w:pStyle w:val="TableText"/>
                    <w:framePr w:hSpace="180" w:wrap="around" w:vAnchor="text" w:hAnchor="text" w:y="1"/>
                    <w:suppressOverlap/>
                    <w:jc w:val="center"/>
                    <w:rPr>
                      <w:rFonts w:eastAsia="Arial Narrow,Times New Roman"/>
                    </w:rPr>
                  </w:pPr>
                  <w:r w:rsidRPr="005D4222">
                    <w:rPr>
                      <w:rFonts w:eastAsia="Arial Narrow,Times New Roman"/>
                    </w:rPr>
                    <w:t>0.18</w:t>
                  </w:r>
                </w:p>
              </w:tc>
            </w:tr>
            <w:tr w:rsidR="0015699E" w:rsidRPr="005D4222" w14:paraId="55905F5A" w14:textId="77777777" w:rsidTr="0075573C">
              <w:tc>
                <w:tcPr>
                  <w:tcW w:w="1584" w:type="dxa"/>
                  <w:tcBorders>
                    <w:top w:val="single" w:sz="4" w:space="0" w:color="auto"/>
                    <w:left w:val="single" w:sz="4" w:space="0" w:color="auto"/>
                    <w:bottom w:val="single" w:sz="4" w:space="0" w:color="auto"/>
                    <w:right w:val="single" w:sz="4" w:space="0" w:color="auto"/>
                  </w:tcBorders>
                  <w:tcMar>
                    <w:left w:w="58" w:type="dxa"/>
                    <w:right w:w="58" w:type="dxa"/>
                  </w:tcMar>
                </w:tcPr>
                <w:p w14:paraId="3B79A08B" w14:textId="77777777" w:rsidR="0015699E" w:rsidRPr="005D4222" w:rsidRDefault="0015699E" w:rsidP="00BF553C">
                  <w:pPr>
                    <w:pStyle w:val="TableText"/>
                    <w:framePr w:hSpace="180" w:wrap="around" w:vAnchor="text" w:hAnchor="text" w:y="1"/>
                    <w:suppressOverlap/>
                    <w:rPr>
                      <w:rFonts w:eastAsia="Arial Narrow,Times New Roman"/>
                    </w:rPr>
                  </w:pPr>
                  <w:r w:rsidRPr="005D4222">
                    <w:rPr>
                      <w:rFonts w:eastAsia="Arial Narrow,Times New Roman"/>
                    </w:rPr>
                    <w:t>Fentanyl nasal spray (mcg)</w:t>
                  </w:r>
                  <w:r w:rsidRPr="005D4222">
                    <w:rPr>
                      <w:rFonts w:eastAsia="Arial Narrow,Times New Roman"/>
                      <w:vertAlign w:val="superscript"/>
                    </w:rPr>
                    <w:t>3</w:t>
                  </w:r>
                </w:p>
              </w:tc>
              <w:tc>
                <w:tcPr>
                  <w:tcW w:w="3650" w:type="dxa"/>
                  <w:tcBorders>
                    <w:top w:val="single" w:sz="4" w:space="0" w:color="auto"/>
                    <w:left w:val="single" w:sz="4" w:space="0" w:color="auto"/>
                    <w:bottom w:val="single" w:sz="4" w:space="0" w:color="auto"/>
                    <w:right w:val="single" w:sz="4" w:space="0" w:color="auto"/>
                  </w:tcBorders>
                  <w:tcMar>
                    <w:left w:w="58" w:type="dxa"/>
                    <w:right w:w="58" w:type="dxa"/>
                  </w:tcMar>
                </w:tcPr>
                <w:p w14:paraId="4410CB57" w14:textId="77777777" w:rsidR="0015699E" w:rsidRPr="005D4222" w:rsidRDefault="0015699E" w:rsidP="00BF553C">
                  <w:pPr>
                    <w:pStyle w:val="TableText"/>
                    <w:framePr w:hSpace="180" w:wrap="around" w:vAnchor="text" w:hAnchor="text" w:y="1"/>
                    <w:suppressOverlap/>
                    <w:rPr>
                      <w:rFonts w:eastAsia="Arial Narrow,Times New Roman"/>
                      <w:u w:val="single"/>
                    </w:rPr>
                  </w:pPr>
                  <w:r w:rsidRPr="005D4222">
                    <w:rPr>
                      <w:rFonts w:eastAsia="Arial Narrow,Times New Roman"/>
                      <w:u w:val="single"/>
                    </w:rPr>
                    <w:t>Fentanyl 100 MCGPS Nasal</w:t>
                  </w:r>
                  <w:r w:rsidRPr="005D4222">
                    <w:rPr>
                      <w:u w:val="single"/>
                    </w:rPr>
                    <w:t xml:space="preserve"> Medications List</w:t>
                  </w:r>
                </w:p>
                <w:p w14:paraId="53559016" w14:textId="77777777" w:rsidR="0015699E" w:rsidRPr="005D4222" w:rsidRDefault="0015699E" w:rsidP="00BF553C">
                  <w:pPr>
                    <w:pStyle w:val="TableText"/>
                    <w:framePr w:hSpace="180" w:wrap="around" w:vAnchor="text" w:hAnchor="text" w:y="1"/>
                    <w:suppressOverlap/>
                    <w:rPr>
                      <w:rFonts w:eastAsia="Arial Narrow,Times New Roman"/>
                      <w:u w:val="single"/>
                    </w:rPr>
                  </w:pPr>
                  <w:r w:rsidRPr="005D4222">
                    <w:rPr>
                      <w:rFonts w:eastAsia="Arial Narrow,Times New Roman"/>
                      <w:u w:val="single"/>
                    </w:rPr>
                    <w:t>Fentanyl 300 MCGPS Nasal</w:t>
                  </w:r>
                  <w:r w:rsidRPr="005D4222">
                    <w:rPr>
                      <w:u w:val="single"/>
                    </w:rPr>
                    <w:t xml:space="preserve"> Medications List</w:t>
                  </w:r>
                </w:p>
                <w:p w14:paraId="148580C6" w14:textId="77777777" w:rsidR="0015699E" w:rsidRPr="005D4222" w:rsidRDefault="0015699E" w:rsidP="00BF553C">
                  <w:pPr>
                    <w:pStyle w:val="TableText"/>
                    <w:framePr w:hSpace="180" w:wrap="around" w:vAnchor="text" w:hAnchor="text" w:y="1"/>
                    <w:suppressOverlap/>
                    <w:rPr>
                      <w:rFonts w:eastAsia="Arial Narrow,Times New Roman"/>
                      <w:u w:val="single"/>
                    </w:rPr>
                  </w:pPr>
                  <w:r w:rsidRPr="005D4222">
                    <w:rPr>
                      <w:rFonts w:eastAsia="Arial Narrow,Times New Roman"/>
                      <w:u w:val="single"/>
                    </w:rPr>
                    <w:t>Fentanyl 400 MCGPS Nasal</w:t>
                  </w:r>
                  <w:r w:rsidRPr="005D4222">
                    <w:rPr>
                      <w:u w:val="single"/>
                    </w:rPr>
                    <w:t xml:space="preserve"> Medications List</w:t>
                  </w:r>
                </w:p>
              </w:tc>
              <w:tc>
                <w:tcPr>
                  <w:tcW w:w="960" w:type="dxa"/>
                  <w:tcBorders>
                    <w:top w:val="single" w:sz="4" w:space="0" w:color="auto"/>
                    <w:left w:val="single" w:sz="4" w:space="0" w:color="auto"/>
                    <w:bottom w:val="single" w:sz="4" w:space="0" w:color="auto"/>
                    <w:right w:val="single" w:sz="4" w:space="0" w:color="auto"/>
                  </w:tcBorders>
                  <w:tcMar>
                    <w:left w:w="58" w:type="dxa"/>
                    <w:right w:w="58" w:type="dxa"/>
                  </w:tcMar>
                </w:tcPr>
                <w:p w14:paraId="60A9EB2B" w14:textId="77777777" w:rsidR="0015699E" w:rsidRPr="005D4222" w:rsidRDefault="0015699E" w:rsidP="00BF553C">
                  <w:pPr>
                    <w:pStyle w:val="TableText"/>
                    <w:framePr w:hSpace="180" w:wrap="around" w:vAnchor="text" w:hAnchor="text" w:y="1"/>
                    <w:suppressOverlap/>
                    <w:rPr>
                      <w:rFonts w:eastAsia="Arial Narrow,Times New Roman"/>
                    </w:rPr>
                  </w:pPr>
                  <w:r w:rsidRPr="005D4222">
                    <w:rPr>
                      <w:rFonts w:eastAsia="Arial Narrow,Times New Roman"/>
                    </w:rPr>
                    <w:t>100 mcg</w:t>
                  </w:r>
                </w:p>
                <w:p w14:paraId="71AFB625" w14:textId="77777777" w:rsidR="0015699E" w:rsidRPr="005D4222" w:rsidRDefault="0015699E" w:rsidP="00BF553C">
                  <w:pPr>
                    <w:pStyle w:val="TableText"/>
                    <w:framePr w:hSpace="180" w:wrap="around" w:vAnchor="text" w:hAnchor="text" w:y="1"/>
                    <w:suppressOverlap/>
                    <w:rPr>
                      <w:rFonts w:eastAsia="Arial Narrow,Times New Roman"/>
                    </w:rPr>
                  </w:pPr>
                  <w:r w:rsidRPr="005D4222">
                    <w:rPr>
                      <w:rFonts w:eastAsia="Arial Narrow,Times New Roman"/>
                    </w:rPr>
                    <w:t>300 mcg</w:t>
                  </w:r>
                </w:p>
                <w:p w14:paraId="7CEBAE5C" w14:textId="77777777" w:rsidR="0015699E" w:rsidRPr="005D4222" w:rsidRDefault="0015699E" w:rsidP="00BF553C">
                  <w:pPr>
                    <w:pStyle w:val="TableText"/>
                    <w:framePr w:hSpace="180" w:wrap="around" w:vAnchor="text" w:hAnchor="text" w:y="1"/>
                    <w:suppressOverlap/>
                    <w:rPr>
                      <w:rFonts w:eastAsia="Arial Narrow,Times New Roman"/>
                    </w:rPr>
                  </w:pPr>
                  <w:r w:rsidRPr="005D4222">
                    <w:rPr>
                      <w:rFonts w:eastAsia="Arial Narrow,Times New Roman"/>
                    </w:rPr>
                    <w:t>400 mcg</w:t>
                  </w:r>
                </w:p>
              </w:tc>
              <w:tc>
                <w:tcPr>
                  <w:tcW w:w="1152" w:type="dxa"/>
                  <w:tcBorders>
                    <w:top w:val="single" w:sz="4" w:space="0" w:color="auto"/>
                    <w:left w:val="single" w:sz="4" w:space="0" w:color="auto"/>
                    <w:bottom w:val="single" w:sz="4" w:space="0" w:color="auto"/>
                    <w:right w:val="single" w:sz="4" w:space="0" w:color="auto"/>
                  </w:tcBorders>
                  <w:tcMar>
                    <w:left w:w="58" w:type="dxa"/>
                    <w:right w:w="58" w:type="dxa"/>
                  </w:tcMar>
                </w:tcPr>
                <w:p w14:paraId="788D089D" w14:textId="77777777" w:rsidR="0015699E" w:rsidRPr="005D4222" w:rsidRDefault="0015699E" w:rsidP="00BF553C">
                  <w:pPr>
                    <w:pStyle w:val="TableText"/>
                    <w:framePr w:hSpace="180" w:wrap="around" w:vAnchor="text" w:hAnchor="text" w:y="1"/>
                    <w:suppressOverlap/>
                    <w:jc w:val="center"/>
                    <w:rPr>
                      <w:rFonts w:eastAsia="Arial Narrow,Times New Roman"/>
                    </w:rPr>
                  </w:pPr>
                  <w:r w:rsidRPr="005D4222">
                    <w:rPr>
                      <w:rFonts w:eastAsia="Arial Narrow,Times New Roman"/>
                    </w:rPr>
                    <w:t>0.16</w:t>
                  </w:r>
                </w:p>
              </w:tc>
            </w:tr>
            <w:tr w:rsidR="004960E9" w:rsidRPr="005D4222" w14:paraId="5C6C1A72" w14:textId="77777777" w:rsidTr="0075573C">
              <w:tc>
                <w:tcPr>
                  <w:tcW w:w="1584" w:type="dxa"/>
                  <w:tcBorders>
                    <w:top w:val="single" w:sz="4" w:space="0" w:color="auto"/>
                    <w:left w:val="single" w:sz="4" w:space="0" w:color="auto"/>
                    <w:bottom w:val="single" w:sz="4" w:space="0" w:color="auto"/>
                    <w:right w:val="single" w:sz="4" w:space="0" w:color="auto"/>
                  </w:tcBorders>
                  <w:tcMar>
                    <w:left w:w="58" w:type="dxa"/>
                    <w:right w:w="58" w:type="dxa"/>
                  </w:tcMar>
                </w:tcPr>
                <w:p w14:paraId="254FE0EC" w14:textId="09B717EE" w:rsidR="004960E9" w:rsidRPr="005D4222" w:rsidRDefault="004960E9" w:rsidP="00BF553C">
                  <w:pPr>
                    <w:pStyle w:val="TableText"/>
                    <w:framePr w:hSpace="180" w:wrap="around" w:vAnchor="text" w:hAnchor="text" w:y="1"/>
                    <w:suppressOverlap/>
                    <w:rPr>
                      <w:rFonts w:eastAsia="Arial Narrow,Times New Roman"/>
                    </w:rPr>
                  </w:pPr>
                  <w:r w:rsidRPr="005D4222">
                    <w:rPr>
                      <w:rFonts w:eastAsia="Arial Narrow,Times New Roman"/>
                    </w:rPr>
                    <w:t>Fentanyl transdermal film/ patch (mcg/hr)</w:t>
                  </w:r>
                  <w:r w:rsidRPr="005D4222">
                    <w:rPr>
                      <w:rFonts w:eastAsia="Arial Narrow,Times New Roman"/>
                      <w:vertAlign w:val="superscript"/>
                    </w:rPr>
                    <w:t>4</w:t>
                  </w:r>
                </w:p>
              </w:tc>
              <w:tc>
                <w:tcPr>
                  <w:tcW w:w="3650" w:type="dxa"/>
                  <w:tcBorders>
                    <w:top w:val="single" w:sz="4" w:space="0" w:color="auto"/>
                    <w:left w:val="single" w:sz="4" w:space="0" w:color="auto"/>
                    <w:bottom w:val="single" w:sz="4" w:space="0" w:color="auto"/>
                    <w:right w:val="single" w:sz="4" w:space="0" w:color="auto"/>
                  </w:tcBorders>
                  <w:tcMar>
                    <w:left w:w="58" w:type="dxa"/>
                    <w:right w:w="58" w:type="dxa"/>
                  </w:tcMar>
                </w:tcPr>
                <w:p w14:paraId="501DCAFE" w14:textId="77777777" w:rsidR="004960E9" w:rsidRPr="005D4222" w:rsidRDefault="004960E9" w:rsidP="00BF553C">
                  <w:pPr>
                    <w:pStyle w:val="TableText"/>
                    <w:framePr w:hSpace="180" w:wrap="around" w:vAnchor="text" w:hAnchor="text" w:y="1"/>
                    <w:suppressOverlap/>
                    <w:rPr>
                      <w:u w:val="single"/>
                    </w:rPr>
                  </w:pPr>
                  <w:r w:rsidRPr="005D4222">
                    <w:rPr>
                      <w:u w:val="single"/>
                    </w:rPr>
                    <w:t>Fentanyl 12 MCGPH Medications List</w:t>
                  </w:r>
                </w:p>
                <w:p w14:paraId="220161B2" w14:textId="77777777" w:rsidR="004960E9" w:rsidRPr="005D4222" w:rsidRDefault="004960E9" w:rsidP="00BF553C">
                  <w:pPr>
                    <w:pStyle w:val="TableText"/>
                    <w:framePr w:hSpace="180" w:wrap="around" w:vAnchor="text" w:hAnchor="text" w:y="1"/>
                    <w:suppressOverlap/>
                    <w:rPr>
                      <w:u w:val="single"/>
                    </w:rPr>
                  </w:pPr>
                  <w:r w:rsidRPr="005D4222">
                    <w:rPr>
                      <w:u w:val="single"/>
                    </w:rPr>
                    <w:t>Fentanyl 25 MCGPH Medications List</w:t>
                  </w:r>
                </w:p>
                <w:p w14:paraId="2A0DA0F6" w14:textId="77777777" w:rsidR="004960E9" w:rsidRPr="005D4222" w:rsidRDefault="004960E9" w:rsidP="00BF553C">
                  <w:pPr>
                    <w:pStyle w:val="TableText"/>
                    <w:framePr w:hSpace="180" w:wrap="around" w:vAnchor="text" w:hAnchor="text" w:y="1"/>
                    <w:suppressOverlap/>
                    <w:rPr>
                      <w:u w:val="single"/>
                    </w:rPr>
                  </w:pPr>
                  <w:r w:rsidRPr="005D4222">
                    <w:rPr>
                      <w:u w:val="single"/>
                    </w:rPr>
                    <w:t>Fentanyl 37.5 MCGPH Medications List</w:t>
                  </w:r>
                </w:p>
                <w:p w14:paraId="67E4D927" w14:textId="77777777" w:rsidR="004960E9" w:rsidRPr="005D4222" w:rsidRDefault="004960E9" w:rsidP="00BF553C">
                  <w:pPr>
                    <w:pStyle w:val="TableText"/>
                    <w:framePr w:hSpace="180" w:wrap="around" w:vAnchor="text" w:hAnchor="text" w:y="1"/>
                    <w:suppressOverlap/>
                    <w:rPr>
                      <w:u w:val="single"/>
                    </w:rPr>
                  </w:pPr>
                  <w:r w:rsidRPr="005D4222">
                    <w:rPr>
                      <w:u w:val="single"/>
                    </w:rPr>
                    <w:t>Fentanyl 50 MCGPH Medications List</w:t>
                  </w:r>
                </w:p>
                <w:p w14:paraId="516B9A90" w14:textId="77777777" w:rsidR="004960E9" w:rsidRPr="005D4222" w:rsidRDefault="004960E9" w:rsidP="00BF553C">
                  <w:pPr>
                    <w:pStyle w:val="TableText"/>
                    <w:framePr w:hSpace="180" w:wrap="around" w:vAnchor="text" w:hAnchor="text" w:y="1"/>
                    <w:suppressOverlap/>
                    <w:rPr>
                      <w:u w:val="single"/>
                    </w:rPr>
                  </w:pPr>
                  <w:r w:rsidRPr="005D4222">
                    <w:rPr>
                      <w:u w:val="single"/>
                    </w:rPr>
                    <w:t>Fentanyl 62.5 MCGPH Medications List</w:t>
                  </w:r>
                </w:p>
                <w:p w14:paraId="281567A5" w14:textId="77777777" w:rsidR="004960E9" w:rsidRPr="005D4222" w:rsidRDefault="004960E9" w:rsidP="00BF553C">
                  <w:pPr>
                    <w:pStyle w:val="TableText"/>
                    <w:framePr w:hSpace="180" w:wrap="around" w:vAnchor="text" w:hAnchor="text" w:y="1"/>
                    <w:suppressOverlap/>
                    <w:rPr>
                      <w:u w:val="single"/>
                    </w:rPr>
                  </w:pPr>
                  <w:r w:rsidRPr="005D4222">
                    <w:rPr>
                      <w:u w:val="single"/>
                    </w:rPr>
                    <w:t>Fentanyl 75 MCGPH Medications List</w:t>
                  </w:r>
                </w:p>
                <w:p w14:paraId="5A35A37B" w14:textId="77777777" w:rsidR="004960E9" w:rsidRPr="005D4222" w:rsidRDefault="004960E9" w:rsidP="00BF553C">
                  <w:pPr>
                    <w:pStyle w:val="TableText"/>
                    <w:framePr w:hSpace="180" w:wrap="around" w:vAnchor="text" w:hAnchor="text" w:y="1"/>
                    <w:suppressOverlap/>
                    <w:rPr>
                      <w:u w:val="single"/>
                    </w:rPr>
                  </w:pPr>
                  <w:r w:rsidRPr="005D4222">
                    <w:rPr>
                      <w:u w:val="single"/>
                    </w:rPr>
                    <w:t>Fentanyl 87.5 MCGPH Medications List</w:t>
                  </w:r>
                </w:p>
                <w:p w14:paraId="04748C1D" w14:textId="5481C1B1" w:rsidR="00CC36F2" w:rsidRPr="005D4222" w:rsidRDefault="00CC36F2" w:rsidP="00BF553C">
                  <w:pPr>
                    <w:pStyle w:val="TableText"/>
                    <w:framePr w:hSpace="180" w:wrap="around" w:vAnchor="text" w:hAnchor="text" w:y="1"/>
                    <w:suppressOverlap/>
                    <w:rPr>
                      <w:rFonts w:eastAsia="Arial Narrow,Times New Roman"/>
                      <w:u w:val="single"/>
                    </w:rPr>
                  </w:pPr>
                  <w:r w:rsidRPr="005D4222">
                    <w:rPr>
                      <w:u w:val="single"/>
                    </w:rPr>
                    <w:t>Fentanyl 100 MCGPH Medications List</w:t>
                  </w:r>
                </w:p>
              </w:tc>
              <w:tc>
                <w:tcPr>
                  <w:tcW w:w="960" w:type="dxa"/>
                  <w:tcBorders>
                    <w:top w:val="single" w:sz="4" w:space="0" w:color="auto"/>
                    <w:left w:val="single" w:sz="4" w:space="0" w:color="auto"/>
                    <w:bottom w:val="single" w:sz="4" w:space="0" w:color="auto"/>
                    <w:right w:val="single" w:sz="4" w:space="0" w:color="auto"/>
                  </w:tcBorders>
                  <w:tcMar>
                    <w:left w:w="58" w:type="dxa"/>
                    <w:right w:w="58" w:type="dxa"/>
                  </w:tcMar>
                </w:tcPr>
                <w:p w14:paraId="2FAAE8A4" w14:textId="77777777" w:rsidR="004960E9" w:rsidRPr="005D4222" w:rsidRDefault="004960E9" w:rsidP="00BF553C">
                  <w:pPr>
                    <w:pStyle w:val="TableText"/>
                    <w:framePr w:hSpace="180" w:wrap="around" w:vAnchor="text" w:hAnchor="text" w:y="1"/>
                    <w:suppressOverlap/>
                    <w:rPr>
                      <w:rFonts w:eastAsia="Arial Narrow,Times New Roman"/>
                    </w:rPr>
                  </w:pPr>
                  <w:r w:rsidRPr="005D4222">
                    <w:rPr>
                      <w:rFonts w:eastAsia="Arial Narrow,Times New Roman"/>
                    </w:rPr>
                    <w:t>12 mcg</w:t>
                  </w:r>
                </w:p>
                <w:p w14:paraId="4AABA070" w14:textId="77777777" w:rsidR="004960E9" w:rsidRPr="005D4222" w:rsidRDefault="004960E9" w:rsidP="00BF553C">
                  <w:pPr>
                    <w:pStyle w:val="TableText"/>
                    <w:framePr w:hSpace="180" w:wrap="around" w:vAnchor="text" w:hAnchor="text" w:y="1"/>
                    <w:suppressOverlap/>
                    <w:rPr>
                      <w:rFonts w:eastAsia="Arial Narrow,Times New Roman"/>
                    </w:rPr>
                  </w:pPr>
                  <w:r w:rsidRPr="005D4222">
                    <w:rPr>
                      <w:rFonts w:eastAsia="Arial Narrow,Times New Roman"/>
                    </w:rPr>
                    <w:t>25 mcg</w:t>
                  </w:r>
                </w:p>
                <w:p w14:paraId="3536BFC1" w14:textId="77777777" w:rsidR="004960E9" w:rsidRPr="005D4222" w:rsidRDefault="004960E9" w:rsidP="00BF553C">
                  <w:pPr>
                    <w:pStyle w:val="TableText"/>
                    <w:framePr w:hSpace="180" w:wrap="around" w:vAnchor="text" w:hAnchor="text" w:y="1"/>
                    <w:suppressOverlap/>
                    <w:rPr>
                      <w:rFonts w:eastAsia="Arial Narrow,Times New Roman"/>
                    </w:rPr>
                  </w:pPr>
                  <w:r w:rsidRPr="005D4222">
                    <w:rPr>
                      <w:rFonts w:eastAsia="Arial Narrow,Times New Roman"/>
                    </w:rPr>
                    <w:t>37.5 mcg</w:t>
                  </w:r>
                </w:p>
                <w:p w14:paraId="10672B81" w14:textId="77777777" w:rsidR="004960E9" w:rsidRPr="005D4222" w:rsidRDefault="004960E9" w:rsidP="00BF553C">
                  <w:pPr>
                    <w:pStyle w:val="TableText"/>
                    <w:framePr w:hSpace="180" w:wrap="around" w:vAnchor="text" w:hAnchor="text" w:y="1"/>
                    <w:suppressOverlap/>
                    <w:rPr>
                      <w:rFonts w:eastAsia="Arial Narrow,Times New Roman"/>
                    </w:rPr>
                  </w:pPr>
                  <w:r w:rsidRPr="005D4222">
                    <w:rPr>
                      <w:rFonts w:eastAsia="Arial Narrow,Times New Roman"/>
                    </w:rPr>
                    <w:t>50 mcg</w:t>
                  </w:r>
                </w:p>
                <w:p w14:paraId="60FCA5EA" w14:textId="77777777" w:rsidR="004960E9" w:rsidRPr="005D4222" w:rsidRDefault="004960E9" w:rsidP="00BF553C">
                  <w:pPr>
                    <w:pStyle w:val="TableText"/>
                    <w:framePr w:hSpace="180" w:wrap="around" w:vAnchor="text" w:hAnchor="text" w:y="1"/>
                    <w:suppressOverlap/>
                    <w:rPr>
                      <w:rFonts w:eastAsia="Arial Narrow,Times New Roman"/>
                    </w:rPr>
                  </w:pPr>
                  <w:r w:rsidRPr="005D4222">
                    <w:rPr>
                      <w:rFonts w:eastAsia="Arial Narrow,Times New Roman"/>
                    </w:rPr>
                    <w:t>62.5 mcg</w:t>
                  </w:r>
                </w:p>
                <w:p w14:paraId="5775E8BC" w14:textId="77777777" w:rsidR="004960E9" w:rsidRPr="005D4222" w:rsidRDefault="004960E9" w:rsidP="00BF553C">
                  <w:pPr>
                    <w:pStyle w:val="TableText"/>
                    <w:framePr w:hSpace="180" w:wrap="around" w:vAnchor="text" w:hAnchor="text" w:y="1"/>
                    <w:suppressOverlap/>
                    <w:rPr>
                      <w:rFonts w:eastAsia="Arial Narrow,Times New Roman"/>
                    </w:rPr>
                  </w:pPr>
                  <w:r w:rsidRPr="005D4222">
                    <w:rPr>
                      <w:rFonts w:eastAsia="Arial Narrow,Times New Roman"/>
                    </w:rPr>
                    <w:t>75 mcg</w:t>
                  </w:r>
                </w:p>
                <w:p w14:paraId="24FB2558" w14:textId="77777777" w:rsidR="004960E9" w:rsidRPr="005D4222" w:rsidRDefault="004960E9" w:rsidP="00BF553C">
                  <w:pPr>
                    <w:pStyle w:val="TableText"/>
                    <w:framePr w:hSpace="180" w:wrap="around" w:vAnchor="text" w:hAnchor="text" w:y="1"/>
                    <w:suppressOverlap/>
                    <w:rPr>
                      <w:rFonts w:eastAsia="Arial Narrow,Times New Roman"/>
                    </w:rPr>
                  </w:pPr>
                  <w:r w:rsidRPr="005D4222">
                    <w:rPr>
                      <w:rFonts w:eastAsia="Arial Narrow,Times New Roman"/>
                    </w:rPr>
                    <w:t>87.5 mcg</w:t>
                  </w:r>
                </w:p>
                <w:p w14:paraId="062FE7DD" w14:textId="4AB10338" w:rsidR="00CC36F2" w:rsidRPr="005D4222" w:rsidRDefault="00CC36F2" w:rsidP="00BF553C">
                  <w:pPr>
                    <w:pStyle w:val="TableText"/>
                    <w:framePr w:hSpace="180" w:wrap="around" w:vAnchor="text" w:hAnchor="text" w:y="1"/>
                    <w:suppressOverlap/>
                    <w:rPr>
                      <w:rFonts w:eastAsia="Arial Narrow,Times New Roman"/>
                    </w:rPr>
                  </w:pPr>
                  <w:r w:rsidRPr="005D4222">
                    <w:rPr>
                      <w:rFonts w:eastAsia="Arial Narrow,Times New Roman"/>
                    </w:rPr>
                    <w:t>100 mcg</w:t>
                  </w:r>
                </w:p>
              </w:tc>
              <w:tc>
                <w:tcPr>
                  <w:tcW w:w="1152" w:type="dxa"/>
                  <w:tcBorders>
                    <w:top w:val="single" w:sz="4" w:space="0" w:color="auto"/>
                    <w:left w:val="single" w:sz="4" w:space="0" w:color="auto"/>
                    <w:bottom w:val="single" w:sz="4" w:space="0" w:color="auto"/>
                    <w:right w:val="single" w:sz="4" w:space="0" w:color="auto"/>
                  </w:tcBorders>
                  <w:tcMar>
                    <w:left w:w="58" w:type="dxa"/>
                    <w:right w:w="58" w:type="dxa"/>
                  </w:tcMar>
                </w:tcPr>
                <w:p w14:paraId="76DECD04" w14:textId="365CF1B7" w:rsidR="004960E9" w:rsidRPr="005D4222" w:rsidRDefault="004960E9" w:rsidP="00BF553C">
                  <w:pPr>
                    <w:pStyle w:val="TableText"/>
                    <w:framePr w:hSpace="180" w:wrap="around" w:vAnchor="text" w:hAnchor="text" w:y="1"/>
                    <w:suppressOverlap/>
                    <w:jc w:val="center"/>
                    <w:rPr>
                      <w:rFonts w:eastAsia="Arial Narrow,Times New Roman"/>
                    </w:rPr>
                  </w:pPr>
                  <w:r w:rsidRPr="005D4222">
                    <w:rPr>
                      <w:rFonts w:eastAsia="Arial Narrow,Times New Roman"/>
                    </w:rPr>
                    <w:t>7.2</w:t>
                  </w:r>
                </w:p>
              </w:tc>
            </w:tr>
          </w:tbl>
          <w:p w14:paraId="25B26470" w14:textId="56AAFC8B" w:rsidR="0015699E" w:rsidRPr="005D4222" w:rsidRDefault="0015699E" w:rsidP="00CE405F">
            <w:pPr>
              <w:spacing w:before="40" w:after="80" w:line="216" w:lineRule="auto"/>
              <w:rPr>
                <w:b/>
                <w:bCs/>
                <w:color w:val="000000" w:themeColor="text1"/>
              </w:rPr>
            </w:pPr>
          </w:p>
        </w:tc>
      </w:tr>
    </w:tbl>
    <w:p w14:paraId="1D913B09" w14:textId="77777777" w:rsidR="00CE405F" w:rsidRPr="005D4222" w:rsidRDefault="00CE405F">
      <w:r w:rsidRPr="005D4222">
        <w:br w:type="page"/>
      </w:r>
    </w:p>
    <w:tbl>
      <w:tblPr>
        <w:tblpPr w:leftFromText="180" w:rightFromText="180" w:vertAnchor="text" w:tblpY="1"/>
        <w:tblOverlap w:val="never"/>
        <w:tblW w:w="971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8"/>
        <w:gridCol w:w="7558"/>
      </w:tblGrid>
      <w:tr w:rsidR="00CE405F" w:rsidRPr="005D4222" w14:paraId="16201925" w14:textId="77777777" w:rsidTr="00CE405F">
        <w:tc>
          <w:tcPr>
            <w:tcW w:w="2158" w:type="dxa"/>
            <w:tcBorders>
              <w:top w:val="single" w:sz="4" w:space="0" w:color="auto"/>
              <w:left w:val="single" w:sz="2" w:space="0" w:color="auto"/>
              <w:bottom w:val="single" w:sz="4" w:space="0" w:color="auto"/>
              <w:right w:val="single" w:sz="2" w:space="0" w:color="auto"/>
            </w:tcBorders>
            <w:shd w:val="clear" w:color="auto" w:fill="BFBFBF" w:themeFill="background1" w:themeFillShade="BF"/>
            <w:noWrap/>
            <w:tcMar>
              <w:top w:w="0" w:type="dxa"/>
              <w:left w:w="86" w:type="dxa"/>
              <w:bottom w:w="43" w:type="dxa"/>
              <w:right w:w="86" w:type="dxa"/>
            </w:tcMar>
          </w:tcPr>
          <w:p w14:paraId="13C08676" w14:textId="77777777" w:rsidR="00CE405F" w:rsidRPr="005D4222" w:rsidRDefault="00CE405F">
            <w:pPr>
              <w:pStyle w:val="ECDSMarginHead"/>
            </w:pPr>
          </w:p>
        </w:tc>
        <w:tc>
          <w:tcPr>
            <w:tcW w:w="7558" w:type="dxa"/>
            <w:tcBorders>
              <w:top w:val="single" w:sz="4" w:space="0" w:color="auto"/>
              <w:left w:val="single" w:sz="4" w:space="0" w:color="auto"/>
              <w:bottom w:val="single" w:sz="4" w:space="0" w:color="auto"/>
              <w:right w:val="single" w:sz="4" w:space="0" w:color="auto"/>
            </w:tcBorders>
            <w:noWrap/>
            <w:tcMar>
              <w:top w:w="0" w:type="dxa"/>
              <w:left w:w="86" w:type="dxa"/>
              <w:bottom w:w="43" w:type="dxa"/>
              <w:right w:w="86" w:type="dxa"/>
            </w:tcMar>
            <w:vAlign w:val="center"/>
          </w:tcPr>
          <w:p w14:paraId="024702FD" w14:textId="77777777" w:rsidR="00CE405F" w:rsidRPr="005D4222" w:rsidRDefault="00CE405F">
            <w:pPr>
              <w:rPr>
                <w:sz w:val="10"/>
                <w:szCs w:val="1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84"/>
              <w:gridCol w:w="3650"/>
              <w:gridCol w:w="960"/>
              <w:gridCol w:w="1152"/>
            </w:tblGrid>
            <w:tr w:rsidR="00CE405F" w:rsidRPr="005D4222" w14:paraId="68FC68F3" w14:textId="77777777" w:rsidTr="00EA7058">
              <w:trPr>
                <w:tblHeader/>
              </w:trPr>
              <w:tc>
                <w:tcPr>
                  <w:tcW w:w="1584" w:type="dxa"/>
                  <w:tcBorders>
                    <w:bottom w:val="single" w:sz="4" w:space="0" w:color="auto"/>
                    <w:right w:val="single" w:sz="6" w:space="0" w:color="FFFFFF" w:themeColor="background1"/>
                  </w:tcBorders>
                  <w:shd w:val="clear" w:color="auto" w:fill="000000" w:themeFill="text1"/>
                  <w:tcMar>
                    <w:left w:w="58" w:type="dxa"/>
                    <w:right w:w="58" w:type="dxa"/>
                  </w:tcMar>
                  <w:vAlign w:val="bottom"/>
                </w:tcPr>
                <w:p w14:paraId="78A74040" w14:textId="77777777" w:rsidR="00CE405F" w:rsidRPr="005D4222" w:rsidRDefault="00CE405F" w:rsidP="00BF553C">
                  <w:pPr>
                    <w:pStyle w:val="TableHead"/>
                    <w:framePr w:hSpace="180" w:wrap="around" w:vAnchor="text" w:hAnchor="text" w:y="1"/>
                    <w:spacing w:before="80" w:after="80"/>
                    <w:suppressOverlap/>
                  </w:pPr>
                  <w:r w:rsidRPr="005D4222">
                    <w:rPr>
                      <w:rFonts w:eastAsia="Arial Narrow,Times New Roman"/>
                    </w:rPr>
                    <w:t>Type of Opioid</w:t>
                  </w:r>
                </w:p>
              </w:tc>
              <w:tc>
                <w:tcPr>
                  <w:tcW w:w="3650" w:type="dxa"/>
                  <w:tcBorders>
                    <w:left w:val="single" w:sz="6" w:space="0" w:color="FFFFFF" w:themeColor="background1"/>
                    <w:bottom w:val="single" w:sz="4" w:space="0" w:color="auto"/>
                    <w:right w:val="single" w:sz="6" w:space="0" w:color="FFFFFF" w:themeColor="background1"/>
                  </w:tcBorders>
                  <w:shd w:val="clear" w:color="auto" w:fill="000000" w:themeFill="text1"/>
                  <w:tcMar>
                    <w:left w:w="58" w:type="dxa"/>
                    <w:right w:w="58" w:type="dxa"/>
                  </w:tcMar>
                  <w:vAlign w:val="bottom"/>
                </w:tcPr>
                <w:p w14:paraId="4358DCB3" w14:textId="77777777" w:rsidR="00CE405F" w:rsidRPr="005D4222" w:rsidRDefault="00CE405F" w:rsidP="00BF553C">
                  <w:pPr>
                    <w:pStyle w:val="TableHead"/>
                    <w:framePr w:hSpace="180" w:wrap="around" w:vAnchor="text" w:hAnchor="text" w:y="1"/>
                    <w:spacing w:before="80" w:after="80"/>
                    <w:suppressOverlap/>
                    <w:rPr>
                      <w:rFonts w:eastAsia="Arial Narrow,Times New Roman"/>
                    </w:rPr>
                  </w:pPr>
                  <w:r w:rsidRPr="005D4222">
                    <w:rPr>
                      <w:rFonts w:eastAsia="Arial Narrow,Times New Roman"/>
                    </w:rPr>
                    <w:t>Medication Lists</w:t>
                  </w:r>
                </w:p>
              </w:tc>
              <w:tc>
                <w:tcPr>
                  <w:tcW w:w="960" w:type="dxa"/>
                  <w:tcBorders>
                    <w:left w:val="single" w:sz="6" w:space="0" w:color="FFFFFF" w:themeColor="background1"/>
                    <w:bottom w:val="single" w:sz="4" w:space="0" w:color="auto"/>
                    <w:right w:val="single" w:sz="6" w:space="0" w:color="FFFFFF" w:themeColor="background1"/>
                  </w:tcBorders>
                  <w:shd w:val="clear" w:color="auto" w:fill="000000" w:themeFill="text1"/>
                  <w:tcMar>
                    <w:left w:w="58" w:type="dxa"/>
                    <w:right w:w="58" w:type="dxa"/>
                  </w:tcMar>
                  <w:vAlign w:val="bottom"/>
                </w:tcPr>
                <w:p w14:paraId="431785D6" w14:textId="77777777" w:rsidR="00CE405F" w:rsidRPr="005D4222" w:rsidRDefault="00CE405F" w:rsidP="00BF553C">
                  <w:pPr>
                    <w:pStyle w:val="TableHead"/>
                    <w:framePr w:hSpace="180" w:wrap="around" w:vAnchor="text" w:hAnchor="text" w:y="1"/>
                    <w:spacing w:before="80" w:after="80"/>
                    <w:suppressOverlap/>
                    <w:rPr>
                      <w:rFonts w:eastAsia="Arial Narrow,Times New Roman"/>
                    </w:rPr>
                  </w:pPr>
                  <w:r w:rsidRPr="005D4222">
                    <w:rPr>
                      <w:rFonts w:eastAsia="Arial Narrow,Times New Roman"/>
                    </w:rPr>
                    <w:t>Strength</w:t>
                  </w:r>
                </w:p>
              </w:tc>
              <w:tc>
                <w:tcPr>
                  <w:tcW w:w="1152" w:type="dxa"/>
                  <w:tcBorders>
                    <w:left w:val="single" w:sz="6" w:space="0" w:color="FFFFFF" w:themeColor="background1"/>
                    <w:bottom w:val="single" w:sz="4" w:space="0" w:color="auto"/>
                    <w:right w:val="single" w:sz="4" w:space="0" w:color="auto"/>
                  </w:tcBorders>
                  <w:shd w:val="clear" w:color="auto" w:fill="000000" w:themeFill="text1"/>
                  <w:tcMar>
                    <w:left w:w="58" w:type="dxa"/>
                    <w:right w:w="58" w:type="dxa"/>
                  </w:tcMar>
                  <w:vAlign w:val="bottom"/>
                </w:tcPr>
                <w:p w14:paraId="78762F2A" w14:textId="77777777" w:rsidR="00CE405F" w:rsidRPr="005D4222" w:rsidRDefault="00CE405F" w:rsidP="00BF553C">
                  <w:pPr>
                    <w:pStyle w:val="TableHead"/>
                    <w:framePr w:hSpace="180" w:wrap="around" w:vAnchor="text" w:hAnchor="text" w:y="1"/>
                    <w:spacing w:before="80" w:after="80"/>
                    <w:suppressOverlap/>
                  </w:pPr>
                  <w:r w:rsidRPr="005D4222">
                    <w:rPr>
                      <w:rFonts w:eastAsia="Arial Narrow,Times New Roman"/>
                    </w:rPr>
                    <w:t>MME Conversion Factor</w:t>
                  </w:r>
                </w:p>
              </w:tc>
            </w:tr>
            <w:tr w:rsidR="00CE405F" w:rsidRPr="005D4222" w14:paraId="6FF77FF2" w14:textId="77777777" w:rsidTr="00EA70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84" w:type="dxa"/>
                  <w:tcBorders>
                    <w:top w:val="single" w:sz="12" w:space="0" w:color="auto"/>
                  </w:tcBorders>
                  <w:tcMar>
                    <w:left w:w="58" w:type="dxa"/>
                    <w:right w:w="58" w:type="dxa"/>
                  </w:tcMar>
                </w:tcPr>
                <w:p w14:paraId="2CA629E5"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Hydrocodone</w:t>
                  </w:r>
                </w:p>
              </w:tc>
              <w:tc>
                <w:tcPr>
                  <w:tcW w:w="3650" w:type="dxa"/>
                  <w:tcBorders>
                    <w:top w:val="single" w:sz="12" w:space="0" w:color="auto"/>
                  </w:tcBorders>
                  <w:tcMar>
                    <w:left w:w="58" w:type="dxa"/>
                    <w:right w:w="58" w:type="dxa"/>
                  </w:tcMar>
                </w:tcPr>
                <w:p w14:paraId="7DA2095C" w14:textId="77777777" w:rsidR="00CE405F" w:rsidRPr="005D4222" w:rsidRDefault="00CE405F" w:rsidP="00BF553C">
                  <w:pPr>
                    <w:pStyle w:val="TableText"/>
                    <w:framePr w:hSpace="180" w:wrap="around" w:vAnchor="text" w:hAnchor="text" w:y="1"/>
                    <w:suppressOverlap/>
                    <w:rPr>
                      <w:u w:val="single"/>
                    </w:rPr>
                  </w:pPr>
                  <w:r w:rsidRPr="005D4222">
                    <w:rPr>
                      <w:u w:val="single"/>
                    </w:rPr>
                    <w:t>Hydrocodone 10 mg Medications List</w:t>
                  </w:r>
                </w:p>
                <w:p w14:paraId="4C4E0016" w14:textId="77777777" w:rsidR="00CE405F" w:rsidRPr="005D4222" w:rsidRDefault="00CE405F" w:rsidP="00BF553C">
                  <w:pPr>
                    <w:pStyle w:val="TableText"/>
                    <w:framePr w:hSpace="180" w:wrap="around" w:vAnchor="text" w:hAnchor="text" w:y="1"/>
                    <w:suppressOverlap/>
                    <w:rPr>
                      <w:u w:val="single"/>
                    </w:rPr>
                  </w:pPr>
                  <w:r w:rsidRPr="005D4222">
                    <w:rPr>
                      <w:u w:val="single"/>
                    </w:rPr>
                    <w:t>Hydrocodone 15 mg Medications List</w:t>
                  </w:r>
                </w:p>
                <w:p w14:paraId="67663AF5" w14:textId="77777777" w:rsidR="00CE405F" w:rsidRPr="005D4222" w:rsidRDefault="00CE405F" w:rsidP="00BF553C">
                  <w:pPr>
                    <w:pStyle w:val="TableText"/>
                    <w:framePr w:hSpace="180" w:wrap="around" w:vAnchor="text" w:hAnchor="text" w:y="1"/>
                    <w:suppressOverlap/>
                    <w:rPr>
                      <w:u w:val="single"/>
                    </w:rPr>
                  </w:pPr>
                  <w:r w:rsidRPr="005D4222">
                    <w:rPr>
                      <w:u w:val="single"/>
                    </w:rPr>
                    <w:t>Hydrocodone 20 mg Medications List</w:t>
                  </w:r>
                </w:p>
                <w:p w14:paraId="57F0C994" w14:textId="77777777" w:rsidR="00CE405F" w:rsidRPr="005D4222" w:rsidRDefault="00CE405F" w:rsidP="00BF553C">
                  <w:pPr>
                    <w:pStyle w:val="TableText"/>
                    <w:framePr w:hSpace="180" w:wrap="around" w:vAnchor="text" w:hAnchor="text" w:y="1"/>
                    <w:suppressOverlap/>
                    <w:rPr>
                      <w:u w:val="single"/>
                    </w:rPr>
                  </w:pPr>
                  <w:r w:rsidRPr="005D4222">
                    <w:rPr>
                      <w:u w:val="single"/>
                    </w:rPr>
                    <w:t>Hydrocodone 30 mg Medications List</w:t>
                  </w:r>
                </w:p>
                <w:p w14:paraId="4B722747" w14:textId="77777777" w:rsidR="00CE405F" w:rsidRPr="005D4222" w:rsidRDefault="00CE405F" w:rsidP="00BF553C">
                  <w:pPr>
                    <w:pStyle w:val="TableText"/>
                    <w:framePr w:hSpace="180" w:wrap="around" w:vAnchor="text" w:hAnchor="text" w:y="1"/>
                    <w:suppressOverlap/>
                    <w:rPr>
                      <w:u w:val="single"/>
                    </w:rPr>
                  </w:pPr>
                  <w:r w:rsidRPr="005D4222">
                    <w:rPr>
                      <w:u w:val="single"/>
                    </w:rPr>
                    <w:t>Hydrocodone 40 mg Medications List</w:t>
                  </w:r>
                </w:p>
                <w:p w14:paraId="7559B9F0" w14:textId="77777777" w:rsidR="00CE405F" w:rsidRPr="005D4222" w:rsidRDefault="00CE405F" w:rsidP="00BF553C">
                  <w:pPr>
                    <w:pStyle w:val="TableText"/>
                    <w:framePr w:hSpace="180" w:wrap="around" w:vAnchor="text" w:hAnchor="text" w:y="1"/>
                    <w:suppressOverlap/>
                    <w:rPr>
                      <w:u w:val="single"/>
                    </w:rPr>
                  </w:pPr>
                  <w:r w:rsidRPr="005D4222">
                    <w:rPr>
                      <w:u w:val="single"/>
                    </w:rPr>
                    <w:t>Hydrocodone 50 mg Medications List</w:t>
                  </w:r>
                </w:p>
                <w:p w14:paraId="0E3F22A7" w14:textId="77777777" w:rsidR="00CE405F" w:rsidRPr="005D4222" w:rsidRDefault="00CE405F" w:rsidP="00BF553C">
                  <w:pPr>
                    <w:pStyle w:val="TableText"/>
                    <w:framePr w:hSpace="180" w:wrap="around" w:vAnchor="text" w:hAnchor="text" w:y="1"/>
                    <w:suppressOverlap/>
                    <w:rPr>
                      <w:u w:val="single"/>
                    </w:rPr>
                  </w:pPr>
                  <w:r w:rsidRPr="005D4222">
                    <w:rPr>
                      <w:u w:val="single"/>
                    </w:rPr>
                    <w:t>Hydrocodone 60 mg Medications List</w:t>
                  </w:r>
                </w:p>
                <w:p w14:paraId="27211AE4" w14:textId="77777777" w:rsidR="00CE405F" w:rsidRPr="005D4222" w:rsidRDefault="00CE405F" w:rsidP="00BF553C">
                  <w:pPr>
                    <w:pStyle w:val="TableText"/>
                    <w:framePr w:hSpace="180" w:wrap="around" w:vAnchor="text" w:hAnchor="text" w:y="1"/>
                    <w:suppressOverlap/>
                    <w:rPr>
                      <w:u w:val="single"/>
                    </w:rPr>
                  </w:pPr>
                  <w:r w:rsidRPr="005D4222">
                    <w:rPr>
                      <w:u w:val="single"/>
                    </w:rPr>
                    <w:t>Hydrocodone 80 mg Medications List</w:t>
                  </w:r>
                </w:p>
                <w:p w14:paraId="3C115579" w14:textId="77777777" w:rsidR="00CE405F" w:rsidRPr="005D4222" w:rsidRDefault="00CE405F" w:rsidP="00BF553C">
                  <w:pPr>
                    <w:pStyle w:val="TableText"/>
                    <w:framePr w:hSpace="180" w:wrap="around" w:vAnchor="text" w:hAnchor="text" w:y="1"/>
                    <w:suppressOverlap/>
                    <w:rPr>
                      <w:u w:val="single"/>
                    </w:rPr>
                  </w:pPr>
                  <w:r w:rsidRPr="005D4222">
                    <w:rPr>
                      <w:u w:val="single"/>
                    </w:rPr>
                    <w:t>Hydrocodone 100 mg Medications List</w:t>
                  </w:r>
                </w:p>
                <w:p w14:paraId="0008E917" w14:textId="77777777" w:rsidR="00CE405F" w:rsidRPr="005D4222" w:rsidRDefault="00CE405F" w:rsidP="00BF553C">
                  <w:pPr>
                    <w:pStyle w:val="TableText"/>
                    <w:framePr w:hSpace="180" w:wrap="around" w:vAnchor="text" w:hAnchor="text" w:y="1"/>
                    <w:suppressOverlap/>
                    <w:rPr>
                      <w:rFonts w:eastAsia="Arial Narrow,Times New Roman"/>
                      <w:u w:val="single"/>
                    </w:rPr>
                  </w:pPr>
                  <w:r w:rsidRPr="005D4222">
                    <w:rPr>
                      <w:u w:val="single"/>
                    </w:rPr>
                    <w:t>Hydrocodone 120 mg Medications List</w:t>
                  </w:r>
                </w:p>
              </w:tc>
              <w:tc>
                <w:tcPr>
                  <w:tcW w:w="960" w:type="dxa"/>
                  <w:tcBorders>
                    <w:top w:val="single" w:sz="12" w:space="0" w:color="auto"/>
                  </w:tcBorders>
                  <w:tcMar>
                    <w:left w:w="58" w:type="dxa"/>
                    <w:right w:w="58" w:type="dxa"/>
                  </w:tcMar>
                </w:tcPr>
                <w:p w14:paraId="70E2BA92"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10 mg</w:t>
                  </w:r>
                </w:p>
                <w:p w14:paraId="451C5B1E"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15 mg</w:t>
                  </w:r>
                </w:p>
                <w:p w14:paraId="6BE05A8C"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20 mg</w:t>
                  </w:r>
                </w:p>
                <w:p w14:paraId="18FEA619"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30 mg</w:t>
                  </w:r>
                </w:p>
                <w:p w14:paraId="7C36BCA8"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40 mg</w:t>
                  </w:r>
                </w:p>
                <w:p w14:paraId="5AF08658"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50 mg</w:t>
                  </w:r>
                </w:p>
                <w:p w14:paraId="585ECDFC"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60 mg</w:t>
                  </w:r>
                </w:p>
                <w:p w14:paraId="48112B97"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80 mg</w:t>
                  </w:r>
                </w:p>
                <w:p w14:paraId="55C22109"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100 mg</w:t>
                  </w:r>
                </w:p>
                <w:p w14:paraId="137A46AA"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120 mg</w:t>
                  </w:r>
                </w:p>
              </w:tc>
              <w:tc>
                <w:tcPr>
                  <w:tcW w:w="1152" w:type="dxa"/>
                  <w:tcBorders>
                    <w:top w:val="single" w:sz="12" w:space="0" w:color="auto"/>
                  </w:tcBorders>
                  <w:tcMar>
                    <w:left w:w="58" w:type="dxa"/>
                    <w:right w:w="58" w:type="dxa"/>
                  </w:tcMar>
                </w:tcPr>
                <w:p w14:paraId="54F5ACEA" w14:textId="77777777" w:rsidR="00CE405F" w:rsidRPr="005D4222" w:rsidRDefault="00CE405F" w:rsidP="00BF553C">
                  <w:pPr>
                    <w:pStyle w:val="TableText"/>
                    <w:framePr w:hSpace="180" w:wrap="around" w:vAnchor="text" w:hAnchor="text" w:y="1"/>
                    <w:suppressOverlap/>
                    <w:jc w:val="center"/>
                    <w:rPr>
                      <w:rFonts w:eastAsia="Arial Narrow,Times New Roman"/>
                    </w:rPr>
                  </w:pPr>
                  <w:r w:rsidRPr="005D4222">
                    <w:rPr>
                      <w:rFonts w:eastAsia="Arial Narrow,Times New Roman"/>
                    </w:rPr>
                    <w:t>1</w:t>
                  </w:r>
                </w:p>
              </w:tc>
            </w:tr>
            <w:tr w:rsidR="00CE405F" w:rsidRPr="005D4222" w14:paraId="5C981B46" w14:textId="77777777">
              <w:tc>
                <w:tcPr>
                  <w:tcW w:w="1584" w:type="dxa"/>
                  <w:tcBorders>
                    <w:top w:val="single" w:sz="4" w:space="0" w:color="auto"/>
                    <w:left w:val="single" w:sz="4" w:space="0" w:color="auto"/>
                    <w:bottom w:val="single" w:sz="4" w:space="0" w:color="auto"/>
                    <w:right w:val="single" w:sz="4" w:space="0" w:color="auto"/>
                  </w:tcBorders>
                  <w:tcMar>
                    <w:left w:w="58" w:type="dxa"/>
                    <w:right w:w="58" w:type="dxa"/>
                  </w:tcMar>
                </w:tcPr>
                <w:p w14:paraId="04F4592F"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Hydrocodone</w:t>
                  </w:r>
                </w:p>
              </w:tc>
              <w:tc>
                <w:tcPr>
                  <w:tcW w:w="3650" w:type="dxa"/>
                  <w:tcBorders>
                    <w:top w:val="single" w:sz="4" w:space="0" w:color="auto"/>
                    <w:left w:val="single" w:sz="4" w:space="0" w:color="auto"/>
                    <w:bottom w:val="single" w:sz="4" w:space="0" w:color="auto"/>
                    <w:right w:val="single" w:sz="4" w:space="0" w:color="auto"/>
                  </w:tcBorders>
                  <w:tcMar>
                    <w:left w:w="58" w:type="dxa"/>
                    <w:right w:w="58" w:type="dxa"/>
                  </w:tcMar>
                </w:tcPr>
                <w:p w14:paraId="2D0E13B4" w14:textId="77777777" w:rsidR="00CE405F" w:rsidRPr="005D4222" w:rsidRDefault="00CE405F" w:rsidP="00BF553C">
                  <w:pPr>
                    <w:pStyle w:val="TableText"/>
                    <w:framePr w:hSpace="180" w:wrap="around" w:vAnchor="text" w:hAnchor="text" w:y="1"/>
                    <w:suppressOverlap/>
                    <w:rPr>
                      <w:u w:val="single"/>
                    </w:rPr>
                  </w:pPr>
                  <w:r w:rsidRPr="005D4222">
                    <w:rPr>
                      <w:u w:val="single"/>
                    </w:rPr>
                    <w:t>Acetaminophen Hydrocodone .5 MGPML Medications List</w:t>
                  </w:r>
                </w:p>
                <w:p w14:paraId="101699A4" w14:textId="77777777" w:rsidR="00CE405F" w:rsidRPr="005D4222" w:rsidRDefault="00CE405F" w:rsidP="00BF553C">
                  <w:pPr>
                    <w:pStyle w:val="TableText"/>
                    <w:framePr w:hSpace="180" w:wrap="around" w:vAnchor="text" w:hAnchor="text" w:y="1"/>
                    <w:suppressOverlap/>
                    <w:rPr>
                      <w:u w:val="single"/>
                    </w:rPr>
                  </w:pPr>
                  <w:r w:rsidRPr="005D4222">
                    <w:rPr>
                      <w:u w:val="single"/>
                    </w:rPr>
                    <w:t>Acetaminophen Hydrocodone .67 MGPML Medications List</w:t>
                  </w:r>
                </w:p>
                <w:p w14:paraId="4E10D35D" w14:textId="77777777" w:rsidR="00CE405F" w:rsidRPr="005D4222" w:rsidRDefault="00CE405F" w:rsidP="00BF553C">
                  <w:pPr>
                    <w:pStyle w:val="TableText"/>
                    <w:framePr w:hSpace="180" w:wrap="around" w:vAnchor="text" w:hAnchor="text" w:y="1"/>
                    <w:suppressOverlap/>
                    <w:rPr>
                      <w:u w:val="single"/>
                    </w:rPr>
                  </w:pPr>
                  <w:r w:rsidRPr="005D4222">
                    <w:rPr>
                      <w:u w:val="single"/>
                    </w:rPr>
                    <w:t>Acetaminophen Hydrocodone 2.5 mg Medications List</w:t>
                  </w:r>
                </w:p>
                <w:p w14:paraId="768965C2" w14:textId="77777777" w:rsidR="00CE405F" w:rsidRPr="005D4222" w:rsidRDefault="00CE405F" w:rsidP="00BF553C">
                  <w:pPr>
                    <w:pStyle w:val="TableText"/>
                    <w:framePr w:hSpace="180" w:wrap="around" w:vAnchor="text" w:hAnchor="text" w:y="1"/>
                    <w:suppressOverlap/>
                    <w:rPr>
                      <w:u w:val="single"/>
                    </w:rPr>
                  </w:pPr>
                  <w:r w:rsidRPr="005D4222">
                    <w:rPr>
                      <w:u w:val="single"/>
                    </w:rPr>
                    <w:t>Acetaminophen Hydrocodone 5 mg Medications List</w:t>
                  </w:r>
                </w:p>
                <w:p w14:paraId="1011AE8D" w14:textId="77777777" w:rsidR="00CE405F" w:rsidRPr="005D4222" w:rsidRDefault="00CE405F" w:rsidP="00BF553C">
                  <w:pPr>
                    <w:pStyle w:val="TableText"/>
                    <w:framePr w:hSpace="180" w:wrap="around" w:vAnchor="text" w:hAnchor="text" w:y="1"/>
                    <w:suppressOverlap/>
                    <w:rPr>
                      <w:u w:val="single"/>
                    </w:rPr>
                  </w:pPr>
                  <w:r w:rsidRPr="005D4222">
                    <w:rPr>
                      <w:snapToGrid w:val="0"/>
                      <w:u w:val="single"/>
                    </w:rPr>
                    <w:t>Acetaminophen Hydrocodone 7.5 mg Medications List</w:t>
                  </w:r>
                </w:p>
                <w:p w14:paraId="1162206E" w14:textId="77777777" w:rsidR="00CE405F" w:rsidRPr="005D4222" w:rsidRDefault="00CE405F" w:rsidP="00BF553C">
                  <w:pPr>
                    <w:pStyle w:val="TableText"/>
                    <w:framePr w:hSpace="180" w:wrap="around" w:vAnchor="text" w:hAnchor="text" w:y="1"/>
                    <w:suppressOverlap/>
                    <w:rPr>
                      <w:rFonts w:eastAsia="Arial Narrow,Times New Roman"/>
                      <w:u w:val="single"/>
                    </w:rPr>
                  </w:pPr>
                  <w:r w:rsidRPr="005D4222">
                    <w:rPr>
                      <w:u w:val="single"/>
                    </w:rPr>
                    <w:t>Acetaminophen Hydrocodone 10 mg Medications List</w:t>
                  </w:r>
                </w:p>
              </w:tc>
              <w:tc>
                <w:tcPr>
                  <w:tcW w:w="960" w:type="dxa"/>
                  <w:tcBorders>
                    <w:top w:val="single" w:sz="4" w:space="0" w:color="auto"/>
                    <w:left w:val="single" w:sz="4" w:space="0" w:color="auto"/>
                    <w:bottom w:val="single" w:sz="4" w:space="0" w:color="auto"/>
                    <w:right w:val="single" w:sz="4" w:space="0" w:color="auto"/>
                  </w:tcBorders>
                  <w:tcMar>
                    <w:left w:w="58" w:type="dxa"/>
                    <w:right w:w="58" w:type="dxa"/>
                  </w:tcMar>
                </w:tcPr>
                <w:p w14:paraId="7C82E131" w14:textId="77777777" w:rsidR="00CE405F" w:rsidRPr="005D4222" w:rsidRDefault="00CE405F" w:rsidP="00BF553C">
                  <w:pPr>
                    <w:pStyle w:val="TableText"/>
                    <w:framePr w:hSpace="180" w:wrap="around" w:vAnchor="text" w:hAnchor="text" w:y="1"/>
                    <w:suppressOverlap/>
                  </w:pPr>
                  <w:r w:rsidRPr="005D4222">
                    <w:t>.5 mg</w:t>
                  </w:r>
                  <w:r w:rsidRPr="005D4222">
                    <w:br/>
                  </w:r>
                </w:p>
                <w:p w14:paraId="44060EB6" w14:textId="77777777" w:rsidR="00CE405F" w:rsidRPr="005D4222" w:rsidRDefault="00CE405F" w:rsidP="00BF553C">
                  <w:pPr>
                    <w:pStyle w:val="TableText"/>
                    <w:framePr w:hSpace="180" w:wrap="around" w:vAnchor="text" w:hAnchor="text" w:y="1"/>
                    <w:suppressOverlap/>
                  </w:pPr>
                  <w:r w:rsidRPr="005D4222">
                    <w:t>.67 mg</w:t>
                  </w:r>
                  <w:r w:rsidRPr="005D4222">
                    <w:br/>
                  </w:r>
                </w:p>
                <w:p w14:paraId="376F23F9" w14:textId="77777777" w:rsidR="00CE405F" w:rsidRPr="005D4222" w:rsidRDefault="00CE405F" w:rsidP="00BF553C">
                  <w:pPr>
                    <w:pStyle w:val="TableText"/>
                    <w:framePr w:hSpace="180" w:wrap="around" w:vAnchor="text" w:hAnchor="text" w:y="1"/>
                    <w:suppressOverlap/>
                  </w:pPr>
                  <w:r w:rsidRPr="005D4222">
                    <w:t>2.5 mg</w:t>
                  </w:r>
                  <w:r w:rsidRPr="005D4222">
                    <w:br/>
                  </w:r>
                </w:p>
                <w:p w14:paraId="3DC3E8B7" w14:textId="77777777" w:rsidR="00CE405F" w:rsidRPr="005D4222" w:rsidRDefault="00CE405F" w:rsidP="00BF553C">
                  <w:pPr>
                    <w:pStyle w:val="TableText"/>
                    <w:framePr w:hSpace="180" w:wrap="around" w:vAnchor="text" w:hAnchor="text" w:y="1"/>
                    <w:suppressOverlap/>
                  </w:pPr>
                  <w:r w:rsidRPr="005D4222">
                    <w:t>5 mg</w:t>
                  </w:r>
                  <w:r w:rsidRPr="005D4222">
                    <w:br/>
                  </w:r>
                </w:p>
                <w:p w14:paraId="1FC3857B" w14:textId="77777777" w:rsidR="00CE405F" w:rsidRPr="005D4222" w:rsidRDefault="00CE405F" w:rsidP="00BF553C">
                  <w:pPr>
                    <w:pStyle w:val="TableText"/>
                    <w:framePr w:hSpace="180" w:wrap="around" w:vAnchor="text" w:hAnchor="text" w:y="1"/>
                    <w:suppressOverlap/>
                  </w:pPr>
                  <w:r w:rsidRPr="005D4222">
                    <w:rPr>
                      <w:snapToGrid w:val="0"/>
                    </w:rPr>
                    <w:t xml:space="preserve">7.5 mg </w:t>
                  </w:r>
                  <w:r w:rsidRPr="005D4222">
                    <w:rPr>
                      <w:snapToGrid w:val="0"/>
                    </w:rPr>
                    <w:br/>
                  </w:r>
                </w:p>
                <w:p w14:paraId="2AE480B9" w14:textId="77777777" w:rsidR="00CE405F" w:rsidRPr="005D4222" w:rsidRDefault="00CE405F" w:rsidP="00BF553C">
                  <w:pPr>
                    <w:pStyle w:val="TableText"/>
                    <w:framePr w:hSpace="180" w:wrap="around" w:vAnchor="text" w:hAnchor="text" w:y="1"/>
                    <w:suppressOverlap/>
                    <w:rPr>
                      <w:rFonts w:eastAsia="Arial Narrow,Times New Roman"/>
                    </w:rPr>
                  </w:pPr>
                  <w:r w:rsidRPr="005D4222">
                    <w:t>10 mg</w:t>
                  </w:r>
                </w:p>
              </w:tc>
              <w:tc>
                <w:tcPr>
                  <w:tcW w:w="1152" w:type="dxa"/>
                  <w:tcBorders>
                    <w:top w:val="single" w:sz="4" w:space="0" w:color="auto"/>
                    <w:left w:val="single" w:sz="4" w:space="0" w:color="auto"/>
                    <w:bottom w:val="single" w:sz="4" w:space="0" w:color="auto"/>
                    <w:right w:val="single" w:sz="4" w:space="0" w:color="auto"/>
                  </w:tcBorders>
                  <w:tcMar>
                    <w:left w:w="58" w:type="dxa"/>
                    <w:right w:w="58" w:type="dxa"/>
                  </w:tcMar>
                </w:tcPr>
                <w:p w14:paraId="1B2B0629" w14:textId="77777777" w:rsidR="00CE405F" w:rsidRPr="005D4222" w:rsidRDefault="00CE405F" w:rsidP="00BF553C">
                  <w:pPr>
                    <w:pStyle w:val="TableText"/>
                    <w:framePr w:hSpace="180" w:wrap="around" w:vAnchor="text" w:hAnchor="text" w:y="1"/>
                    <w:suppressOverlap/>
                    <w:jc w:val="center"/>
                    <w:rPr>
                      <w:rFonts w:eastAsia="Arial Narrow,Times New Roman"/>
                    </w:rPr>
                  </w:pPr>
                  <w:r w:rsidRPr="005D4222">
                    <w:rPr>
                      <w:rFonts w:eastAsia="Arial Narrow,Times New Roman"/>
                    </w:rPr>
                    <w:t>1</w:t>
                  </w:r>
                </w:p>
              </w:tc>
            </w:tr>
            <w:tr w:rsidR="00CE405F" w:rsidRPr="005D4222" w14:paraId="6F747E94" w14:textId="77777777" w:rsidTr="00EA7058">
              <w:trPr>
                <w:trHeight w:val="961"/>
              </w:trPr>
              <w:tc>
                <w:tcPr>
                  <w:tcW w:w="1584" w:type="dxa"/>
                  <w:tcBorders>
                    <w:top w:val="single" w:sz="4" w:space="0" w:color="auto"/>
                    <w:left w:val="single" w:sz="4" w:space="0" w:color="auto"/>
                    <w:bottom w:val="single" w:sz="4" w:space="0" w:color="auto"/>
                    <w:right w:val="single" w:sz="4" w:space="0" w:color="auto"/>
                  </w:tcBorders>
                  <w:tcMar>
                    <w:left w:w="58" w:type="dxa"/>
                    <w:right w:w="58" w:type="dxa"/>
                  </w:tcMar>
                </w:tcPr>
                <w:p w14:paraId="525B381A"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Hydrocodone</w:t>
                  </w:r>
                </w:p>
              </w:tc>
              <w:tc>
                <w:tcPr>
                  <w:tcW w:w="3650" w:type="dxa"/>
                  <w:tcBorders>
                    <w:top w:val="single" w:sz="4" w:space="0" w:color="auto"/>
                    <w:left w:val="single" w:sz="4" w:space="0" w:color="auto"/>
                    <w:bottom w:val="single" w:sz="4" w:space="0" w:color="auto"/>
                    <w:right w:val="single" w:sz="4" w:space="0" w:color="auto"/>
                  </w:tcBorders>
                  <w:tcMar>
                    <w:left w:w="58" w:type="dxa"/>
                    <w:right w:w="58" w:type="dxa"/>
                  </w:tcMar>
                </w:tcPr>
                <w:p w14:paraId="108417F6" w14:textId="77777777" w:rsidR="00CE405F" w:rsidRPr="005D4222" w:rsidRDefault="00CE405F" w:rsidP="00BF553C">
                  <w:pPr>
                    <w:pStyle w:val="TableText"/>
                    <w:framePr w:hSpace="180" w:wrap="around" w:vAnchor="text" w:hAnchor="text" w:y="1"/>
                    <w:suppressOverlap/>
                    <w:rPr>
                      <w:u w:val="single"/>
                    </w:rPr>
                  </w:pPr>
                  <w:r w:rsidRPr="005D4222">
                    <w:rPr>
                      <w:u w:val="single"/>
                    </w:rPr>
                    <w:t>Hydrocodone Ibuprofen 2.5 mg Medications List</w:t>
                  </w:r>
                </w:p>
                <w:p w14:paraId="3697FC07" w14:textId="77777777" w:rsidR="00CE405F" w:rsidRPr="005D4222" w:rsidRDefault="00CE405F" w:rsidP="00BF553C">
                  <w:pPr>
                    <w:pStyle w:val="TableText"/>
                    <w:framePr w:hSpace="180" w:wrap="around" w:vAnchor="text" w:hAnchor="text" w:y="1"/>
                    <w:suppressOverlap/>
                    <w:rPr>
                      <w:u w:val="single"/>
                    </w:rPr>
                  </w:pPr>
                  <w:r w:rsidRPr="005D4222">
                    <w:rPr>
                      <w:u w:val="single"/>
                    </w:rPr>
                    <w:t>Hydrocodone Ibuprofen 5 mg Medications List</w:t>
                  </w:r>
                </w:p>
                <w:p w14:paraId="7FAC7334" w14:textId="77777777" w:rsidR="00CE405F" w:rsidRPr="005D4222" w:rsidRDefault="00CE405F" w:rsidP="00BF553C">
                  <w:pPr>
                    <w:pStyle w:val="TableText"/>
                    <w:framePr w:hSpace="180" w:wrap="around" w:vAnchor="text" w:hAnchor="text" w:y="1"/>
                    <w:suppressOverlap/>
                    <w:rPr>
                      <w:u w:val="single"/>
                    </w:rPr>
                  </w:pPr>
                  <w:r w:rsidRPr="005D4222">
                    <w:rPr>
                      <w:u w:val="single"/>
                    </w:rPr>
                    <w:t>Hydrocodone Ibuprofen 7.5 mg Medications List</w:t>
                  </w:r>
                </w:p>
                <w:p w14:paraId="15CC89DB" w14:textId="77777777" w:rsidR="00CE405F" w:rsidRPr="005D4222" w:rsidRDefault="00CE405F" w:rsidP="00BF553C">
                  <w:pPr>
                    <w:pStyle w:val="TableText"/>
                    <w:framePr w:hSpace="180" w:wrap="around" w:vAnchor="text" w:hAnchor="text" w:y="1"/>
                    <w:suppressOverlap/>
                    <w:rPr>
                      <w:rFonts w:eastAsia="Arial Narrow,Times New Roman"/>
                      <w:u w:val="single"/>
                    </w:rPr>
                  </w:pPr>
                  <w:r w:rsidRPr="005D4222">
                    <w:rPr>
                      <w:u w:val="single"/>
                    </w:rPr>
                    <w:t>Hydrocodone Ibuprofen 10 mg Medications List</w:t>
                  </w:r>
                </w:p>
              </w:tc>
              <w:tc>
                <w:tcPr>
                  <w:tcW w:w="960" w:type="dxa"/>
                  <w:tcBorders>
                    <w:top w:val="single" w:sz="4" w:space="0" w:color="auto"/>
                    <w:left w:val="single" w:sz="4" w:space="0" w:color="auto"/>
                    <w:bottom w:val="single" w:sz="4" w:space="0" w:color="auto"/>
                    <w:right w:val="single" w:sz="4" w:space="0" w:color="auto"/>
                  </w:tcBorders>
                  <w:tcMar>
                    <w:left w:w="58" w:type="dxa"/>
                    <w:right w:w="58" w:type="dxa"/>
                  </w:tcMar>
                </w:tcPr>
                <w:p w14:paraId="62D142B1"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2.5 mg</w:t>
                  </w:r>
                </w:p>
                <w:p w14:paraId="10F8599E"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br/>
                    <w:t>5 mg</w:t>
                  </w:r>
                </w:p>
                <w:p w14:paraId="2292C9A8"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7.5 mg</w:t>
                  </w:r>
                </w:p>
                <w:p w14:paraId="744F01E7"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br/>
                    <w:t>10 mg</w:t>
                  </w:r>
                </w:p>
              </w:tc>
              <w:tc>
                <w:tcPr>
                  <w:tcW w:w="1152" w:type="dxa"/>
                  <w:tcBorders>
                    <w:top w:val="single" w:sz="4" w:space="0" w:color="auto"/>
                    <w:left w:val="single" w:sz="4" w:space="0" w:color="auto"/>
                    <w:bottom w:val="single" w:sz="4" w:space="0" w:color="auto"/>
                    <w:right w:val="single" w:sz="4" w:space="0" w:color="auto"/>
                  </w:tcBorders>
                  <w:tcMar>
                    <w:left w:w="58" w:type="dxa"/>
                    <w:right w:w="58" w:type="dxa"/>
                  </w:tcMar>
                </w:tcPr>
                <w:p w14:paraId="1608ECE3" w14:textId="77777777" w:rsidR="00CE405F" w:rsidRPr="005D4222" w:rsidRDefault="00CE405F" w:rsidP="00BF553C">
                  <w:pPr>
                    <w:pStyle w:val="TableText"/>
                    <w:framePr w:hSpace="180" w:wrap="around" w:vAnchor="text" w:hAnchor="text" w:y="1"/>
                    <w:suppressOverlap/>
                    <w:jc w:val="center"/>
                    <w:rPr>
                      <w:rFonts w:eastAsia="Arial Narrow,Times New Roman"/>
                    </w:rPr>
                  </w:pPr>
                  <w:r w:rsidRPr="005D4222">
                    <w:rPr>
                      <w:rFonts w:eastAsia="Arial Narrow,Times New Roman"/>
                    </w:rPr>
                    <w:t>1</w:t>
                  </w:r>
                </w:p>
              </w:tc>
            </w:tr>
            <w:tr w:rsidR="00CE405F" w:rsidRPr="005D4222" w14:paraId="5E444C67" w14:textId="77777777" w:rsidTr="00550163">
              <w:tc>
                <w:tcPr>
                  <w:tcW w:w="1584" w:type="dxa"/>
                  <w:tcBorders>
                    <w:top w:val="single" w:sz="4" w:space="0" w:color="auto"/>
                    <w:left w:val="single" w:sz="4" w:space="0" w:color="auto"/>
                    <w:bottom w:val="single" w:sz="12" w:space="0" w:color="auto"/>
                    <w:right w:val="single" w:sz="4" w:space="0" w:color="auto"/>
                  </w:tcBorders>
                  <w:tcMar>
                    <w:left w:w="58" w:type="dxa"/>
                    <w:right w:w="58" w:type="dxa"/>
                  </w:tcMar>
                </w:tcPr>
                <w:p w14:paraId="6328E3DB"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 xml:space="preserve">Hydromorphone </w:t>
                  </w:r>
                </w:p>
              </w:tc>
              <w:tc>
                <w:tcPr>
                  <w:tcW w:w="3650" w:type="dxa"/>
                  <w:tcBorders>
                    <w:top w:val="single" w:sz="4" w:space="0" w:color="auto"/>
                    <w:left w:val="single" w:sz="4" w:space="0" w:color="auto"/>
                    <w:bottom w:val="single" w:sz="12" w:space="0" w:color="auto"/>
                    <w:right w:val="single" w:sz="4" w:space="0" w:color="auto"/>
                  </w:tcBorders>
                  <w:tcMar>
                    <w:left w:w="58" w:type="dxa"/>
                    <w:right w:w="58" w:type="dxa"/>
                  </w:tcMar>
                </w:tcPr>
                <w:p w14:paraId="32BA3E92" w14:textId="77777777" w:rsidR="00CE405F" w:rsidRPr="005D4222" w:rsidRDefault="00CE405F" w:rsidP="00BF553C">
                  <w:pPr>
                    <w:pStyle w:val="TableText"/>
                    <w:framePr w:hSpace="180" w:wrap="around" w:vAnchor="text" w:hAnchor="text" w:y="1"/>
                    <w:suppressOverlap/>
                    <w:rPr>
                      <w:u w:val="single"/>
                    </w:rPr>
                  </w:pPr>
                  <w:r w:rsidRPr="005D4222">
                    <w:rPr>
                      <w:u w:val="single"/>
                    </w:rPr>
                    <w:t>Hydromorphone 1 MGPML Medications List</w:t>
                  </w:r>
                </w:p>
                <w:p w14:paraId="2DFF441A" w14:textId="77777777" w:rsidR="00CE405F" w:rsidRPr="005D4222" w:rsidRDefault="00CE405F" w:rsidP="00BF553C">
                  <w:pPr>
                    <w:pStyle w:val="TableText"/>
                    <w:framePr w:hSpace="180" w:wrap="around" w:vAnchor="text" w:hAnchor="text" w:y="1"/>
                    <w:suppressOverlap/>
                    <w:rPr>
                      <w:u w:val="single"/>
                    </w:rPr>
                  </w:pPr>
                  <w:r w:rsidRPr="005D4222">
                    <w:rPr>
                      <w:u w:val="single"/>
                    </w:rPr>
                    <w:t>Hydromorphone 2 mg Medications List</w:t>
                  </w:r>
                </w:p>
                <w:p w14:paraId="34E463DA" w14:textId="77777777" w:rsidR="00CE405F" w:rsidRPr="005D4222" w:rsidRDefault="00CE405F" w:rsidP="00BF553C">
                  <w:pPr>
                    <w:pStyle w:val="TableText"/>
                    <w:framePr w:hSpace="180" w:wrap="around" w:vAnchor="text" w:hAnchor="text" w:y="1"/>
                    <w:suppressOverlap/>
                    <w:rPr>
                      <w:u w:val="single"/>
                    </w:rPr>
                  </w:pPr>
                  <w:r w:rsidRPr="005D4222">
                    <w:rPr>
                      <w:u w:val="single"/>
                    </w:rPr>
                    <w:t>Hydromorphone 3 mg Medications List</w:t>
                  </w:r>
                </w:p>
                <w:p w14:paraId="38D763D5" w14:textId="77777777" w:rsidR="00CE405F" w:rsidRPr="005D4222" w:rsidRDefault="00CE405F" w:rsidP="00BF553C">
                  <w:pPr>
                    <w:pStyle w:val="TableText"/>
                    <w:framePr w:hSpace="180" w:wrap="around" w:vAnchor="text" w:hAnchor="text" w:y="1"/>
                    <w:suppressOverlap/>
                    <w:rPr>
                      <w:u w:val="single"/>
                    </w:rPr>
                  </w:pPr>
                  <w:r w:rsidRPr="005D4222">
                    <w:rPr>
                      <w:u w:val="single"/>
                    </w:rPr>
                    <w:t>Hydromorphone 4 mg Medications List</w:t>
                  </w:r>
                </w:p>
                <w:p w14:paraId="3A1DC0B7" w14:textId="77777777" w:rsidR="00CE405F" w:rsidRPr="005D4222" w:rsidRDefault="00CE405F" w:rsidP="00BF553C">
                  <w:pPr>
                    <w:pStyle w:val="TableText"/>
                    <w:framePr w:hSpace="180" w:wrap="around" w:vAnchor="text" w:hAnchor="text" w:y="1"/>
                    <w:suppressOverlap/>
                    <w:rPr>
                      <w:u w:val="single"/>
                    </w:rPr>
                  </w:pPr>
                  <w:r w:rsidRPr="005D4222">
                    <w:rPr>
                      <w:u w:val="single"/>
                    </w:rPr>
                    <w:t>Hydromorphone 8 mg Medications List</w:t>
                  </w:r>
                </w:p>
                <w:p w14:paraId="344CB16D" w14:textId="77777777" w:rsidR="00CE405F" w:rsidRPr="005D4222" w:rsidRDefault="00CE405F" w:rsidP="00BF553C">
                  <w:pPr>
                    <w:pStyle w:val="TableText"/>
                    <w:framePr w:hSpace="180" w:wrap="around" w:vAnchor="text" w:hAnchor="text" w:y="1"/>
                    <w:suppressOverlap/>
                    <w:rPr>
                      <w:u w:val="single"/>
                    </w:rPr>
                  </w:pPr>
                  <w:r w:rsidRPr="005D4222">
                    <w:rPr>
                      <w:u w:val="single"/>
                    </w:rPr>
                    <w:t>Hydromorphone 12 mg Medications List</w:t>
                  </w:r>
                </w:p>
                <w:p w14:paraId="1CB40C3C" w14:textId="77777777" w:rsidR="004960E9" w:rsidRPr="005D4222" w:rsidRDefault="004960E9" w:rsidP="00BF553C">
                  <w:pPr>
                    <w:pStyle w:val="TableText"/>
                    <w:framePr w:hSpace="180" w:wrap="around" w:vAnchor="text" w:hAnchor="text" w:y="1"/>
                    <w:suppressOverlap/>
                    <w:rPr>
                      <w:u w:val="single"/>
                    </w:rPr>
                  </w:pPr>
                  <w:r w:rsidRPr="005D4222">
                    <w:rPr>
                      <w:u w:val="single"/>
                    </w:rPr>
                    <w:t>Hydromorphone 16 mg Medications List</w:t>
                  </w:r>
                </w:p>
                <w:p w14:paraId="3BD874DC" w14:textId="42462553" w:rsidR="00CE405F" w:rsidRPr="005D4222" w:rsidRDefault="004960E9" w:rsidP="00BF553C">
                  <w:pPr>
                    <w:pStyle w:val="TableText"/>
                    <w:framePr w:hSpace="180" w:wrap="around" w:vAnchor="text" w:hAnchor="text" w:y="1"/>
                    <w:suppressOverlap/>
                    <w:rPr>
                      <w:u w:val="single"/>
                    </w:rPr>
                  </w:pPr>
                  <w:r w:rsidRPr="005D4222">
                    <w:rPr>
                      <w:u w:val="single"/>
                    </w:rPr>
                    <w:t>Hydromorphone 32 mg Medications List</w:t>
                  </w:r>
                </w:p>
              </w:tc>
              <w:tc>
                <w:tcPr>
                  <w:tcW w:w="960" w:type="dxa"/>
                  <w:tcBorders>
                    <w:top w:val="single" w:sz="4" w:space="0" w:color="auto"/>
                    <w:left w:val="single" w:sz="4" w:space="0" w:color="auto"/>
                    <w:bottom w:val="single" w:sz="12" w:space="0" w:color="auto"/>
                    <w:right w:val="single" w:sz="4" w:space="0" w:color="auto"/>
                  </w:tcBorders>
                  <w:tcMar>
                    <w:left w:w="58" w:type="dxa"/>
                    <w:right w:w="58" w:type="dxa"/>
                  </w:tcMar>
                </w:tcPr>
                <w:p w14:paraId="7A07FA8E"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 xml:space="preserve">1 mg </w:t>
                  </w:r>
                </w:p>
                <w:p w14:paraId="1F24033D"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2 mg</w:t>
                  </w:r>
                </w:p>
                <w:p w14:paraId="439CF322"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3 mg</w:t>
                  </w:r>
                </w:p>
                <w:p w14:paraId="77282D20"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4 mg</w:t>
                  </w:r>
                </w:p>
                <w:p w14:paraId="5B58134B"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8 mg</w:t>
                  </w:r>
                </w:p>
                <w:p w14:paraId="164A5C4C"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12 mg</w:t>
                  </w:r>
                </w:p>
                <w:p w14:paraId="14F91547" w14:textId="77777777" w:rsidR="004960E9" w:rsidRPr="005D4222" w:rsidRDefault="004960E9" w:rsidP="00BF553C">
                  <w:pPr>
                    <w:pStyle w:val="TableText"/>
                    <w:framePr w:hSpace="180" w:wrap="around" w:vAnchor="text" w:hAnchor="text" w:y="1"/>
                    <w:suppressOverlap/>
                    <w:rPr>
                      <w:rFonts w:eastAsia="Arial Narrow,Times New Roman"/>
                    </w:rPr>
                  </w:pPr>
                  <w:r w:rsidRPr="005D4222">
                    <w:rPr>
                      <w:rFonts w:eastAsia="Arial Narrow,Times New Roman"/>
                    </w:rPr>
                    <w:t>16 mg</w:t>
                  </w:r>
                </w:p>
                <w:p w14:paraId="30ECAE2F" w14:textId="32B20E13" w:rsidR="00CE405F" w:rsidRPr="005D4222" w:rsidRDefault="004960E9" w:rsidP="00BF553C">
                  <w:pPr>
                    <w:pStyle w:val="TableText"/>
                    <w:framePr w:hSpace="180" w:wrap="around" w:vAnchor="text" w:hAnchor="text" w:y="1"/>
                    <w:suppressOverlap/>
                    <w:rPr>
                      <w:rFonts w:eastAsia="Arial Narrow,Times New Roman"/>
                    </w:rPr>
                  </w:pPr>
                  <w:r w:rsidRPr="005D4222">
                    <w:rPr>
                      <w:rFonts w:eastAsia="Arial Narrow,Times New Roman"/>
                    </w:rPr>
                    <w:t>32 mg</w:t>
                  </w:r>
                </w:p>
              </w:tc>
              <w:tc>
                <w:tcPr>
                  <w:tcW w:w="1152" w:type="dxa"/>
                  <w:tcBorders>
                    <w:top w:val="single" w:sz="4" w:space="0" w:color="auto"/>
                    <w:left w:val="single" w:sz="4" w:space="0" w:color="auto"/>
                    <w:bottom w:val="single" w:sz="12" w:space="0" w:color="auto"/>
                    <w:right w:val="single" w:sz="4" w:space="0" w:color="auto"/>
                  </w:tcBorders>
                  <w:tcMar>
                    <w:left w:w="58" w:type="dxa"/>
                    <w:right w:w="58" w:type="dxa"/>
                  </w:tcMar>
                </w:tcPr>
                <w:p w14:paraId="02E31FB6" w14:textId="77777777" w:rsidR="00CE405F" w:rsidRPr="005D4222" w:rsidRDefault="00CE405F" w:rsidP="00BF553C">
                  <w:pPr>
                    <w:pStyle w:val="TableText"/>
                    <w:framePr w:hSpace="180" w:wrap="around" w:vAnchor="text" w:hAnchor="text" w:y="1"/>
                    <w:suppressOverlap/>
                    <w:jc w:val="center"/>
                    <w:rPr>
                      <w:rFonts w:eastAsia="Arial Narrow,Times New Roman"/>
                    </w:rPr>
                  </w:pPr>
                  <w:r w:rsidRPr="005D4222">
                    <w:rPr>
                      <w:rFonts w:eastAsia="Arial Narrow,Times New Roman"/>
                    </w:rPr>
                    <w:t>4</w:t>
                  </w:r>
                </w:p>
              </w:tc>
            </w:tr>
            <w:tr w:rsidR="00550163" w:rsidRPr="005D4222" w14:paraId="05A52754" w14:textId="77777777" w:rsidTr="00550163">
              <w:tc>
                <w:tcPr>
                  <w:tcW w:w="1584" w:type="dxa"/>
                  <w:tcBorders>
                    <w:top w:val="single" w:sz="12" w:space="0" w:color="auto"/>
                    <w:left w:val="single" w:sz="4" w:space="0" w:color="auto"/>
                    <w:bottom w:val="single" w:sz="12" w:space="0" w:color="auto"/>
                    <w:right w:val="single" w:sz="4" w:space="0" w:color="auto"/>
                  </w:tcBorders>
                  <w:tcMar>
                    <w:left w:w="58" w:type="dxa"/>
                    <w:right w:w="58" w:type="dxa"/>
                  </w:tcMar>
                </w:tcPr>
                <w:p w14:paraId="1019C670" w14:textId="04EFEBE3" w:rsidR="00550163" w:rsidRPr="005D4222" w:rsidRDefault="00550163" w:rsidP="00BF553C">
                  <w:pPr>
                    <w:pStyle w:val="TableText"/>
                    <w:framePr w:hSpace="180" w:wrap="around" w:vAnchor="text" w:hAnchor="text" w:y="1"/>
                    <w:suppressOverlap/>
                    <w:rPr>
                      <w:rFonts w:eastAsia="Arial Narrow,Times New Roman"/>
                    </w:rPr>
                  </w:pPr>
                  <w:r w:rsidRPr="005D4222">
                    <w:rPr>
                      <w:rFonts w:eastAsia="Arial Narrow,Times New Roman"/>
                    </w:rPr>
                    <w:t>Levorphanol</w:t>
                  </w:r>
                </w:p>
              </w:tc>
              <w:tc>
                <w:tcPr>
                  <w:tcW w:w="3650" w:type="dxa"/>
                  <w:tcBorders>
                    <w:top w:val="single" w:sz="12" w:space="0" w:color="auto"/>
                    <w:left w:val="single" w:sz="4" w:space="0" w:color="auto"/>
                    <w:bottom w:val="single" w:sz="12" w:space="0" w:color="auto"/>
                    <w:right w:val="single" w:sz="4" w:space="0" w:color="auto"/>
                  </w:tcBorders>
                  <w:tcMar>
                    <w:left w:w="58" w:type="dxa"/>
                    <w:right w:w="58" w:type="dxa"/>
                  </w:tcMar>
                </w:tcPr>
                <w:p w14:paraId="03391C90" w14:textId="77777777" w:rsidR="00550163" w:rsidRPr="005D4222" w:rsidRDefault="00550163" w:rsidP="00BF553C">
                  <w:pPr>
                    <w:pStyle w:val="TableText"/>
                    <w:framePr w:hSpace="180" w:wrap="around" w:vAnchor="text" w:hAnchor="text" w:y="1"/>
                    <w:suppressOverlap/>
                    <w:rPr>
                      <w:u w:val="single"/>
                    </w:rPr>
                  </w:pPr>
                  <w:r w:rsidRPr="005D4222">
                    <w:rPr>
                      <w:u w:val="single"/>
                    </w:rPr>
                    <w:t>Levorphanol 2 mg Medications List</w:t>
                  </w:r>
                </w:p>
                <w:p w14:paraId="47DE678A" w14:textId="41098386" w:rsidR="00550163" w:rsidRPr="005D4222" w:rsidRDefault="00550163" w:rsidP="00BF553C">
                  <w:pPr>
                    <w:pStyle w:val="TableText"/>
                    <w:framePr w:hSpace="180" w:wrap="around" w:vAnchor="text" w:hAnchor="text" w:y="1"/>
                    <w:suppressOverlap/>
                    <w:rPr>
                      <w:u w:val="single"/>
                    </w:rPr>
                  </w:pPr>
                  <w:r w:rsidRPr="005D4222">
                    <w:rPr>
                      <w:u w:val="single"/>
                    </w:rPr>
                    <w:t>Levorphanol 3 mg Medications List</w:t>
                  </w:r>
                </w:p>
              </w:tc>
              <w:tc>
                <w:tcPr>
                  <w:tcW w:w="960" w:type="dxa"/>
                  <w:tcBorders>
                    <w:top w:val="single" w:sz="12" w:space="0" w:color="auto"/>
                    <w:left w:val="single" w:sz="4" w:space="0" w:color="auto"/>
                    <w:bottom w:val="single" w:sz="12" w:space="0" w:color="auto"/>
                    <w:right w:val="single" w:sz="4" w:space="0" w:color="auto"/>
                  </w:tcBorders>
                  <w:tcMar>
                    <w:left w:w="58" w:type="dxa"/>
                    <w:right w:w="58" w:type="dxa"/>
                  </w:tcMar>
                </w:tcPr>
                <w:p w14:paraId="250782E7" w14:textId="77777777" w:rsidR="00550163" w:rsidRPr="005D4222" w:rsidRDefault="00550163" w:rsidP="00BF553C">
                  <w:pPr>
                    <w:pStyle w:val="TableText"/>
                    <w:framePr w:hSpace="180" w:wrap="around" w:vAnchor="text" w:hAnchor="text" w:y="1"/>
                    <w:suppressOverlap/>
                    <w:rPr>
                      <w:rFonts w:eastAsia="Arial Narrow,Times New Roman"/>
                    </w:rPr>
                  </w:pPr>
                  <w:r w:rsidRPr="005D4222">
                    <w:rPr>
                      <w:rFonts w:eastAsia="Arial Narrow,Times New Roman"/>
                    </w:rPr>
                    <w:t>2 mg</w:t>
                  </w:r>
                </w:p>
                <w:p w14:paraId="3A370375" w14:textId="2C358C85" w:rsidR="00550163" w:rsidRPr="005D4222" w:rsidRDefault="00550163" w:rsidP="00BF553C">
                  <w:pPr>
                    <w:pStyle w:val="TableText"/>
                    <w:framePr w:hSpace="180" w:wrap="around" w:vAnchor="text" w:hAnchor="text" w:y="1"/>
                    <w:suppressOverlap/>
                    <w:rPr>
                      <w:rFonts w:eastAsia="Arial Narrow,Times New Roman"/>
                    </w:rPr>
                  </w:pPr>
                  <w:r w:rsidRPr="005D4222">
                    <w:rPr>
                      <w:rFonts w:eastAsia="Arial Narrow,Times New Roman"/>
                    </w:rPr>
                    <w:t>3 mg</w:t>
                  </w:r>
                </w:p>
              </w:tc>
              <w:tc>
                <w:tcPr>
                  <w:tcW w:w="1152" w:type="dxa"/>
                  <w:tcBorders>
                    <w:top w:val="single" w:sz="12" w:space="0" w:color="auto"/>
                    <w:left w:val="single" w:sz="4" w:space="0" w:color="auto"/>
                    <w:bottom w:val="single" w:sz="12" w:space="0" w:color="auto"/>
                    <w:right w:val="single" w:sz="4" w:space="0" w:color="auto"/>
                  </w:tcBorders>
                  <w:tcMar>
                    <w:left w:w="58" w:type="dxa"/>
                    <w:right w:w="58" w:type="dxa"/>
                  </w:tcMar>
                </w:tcPr>
                <w:p w14:paraId="6B8C6FAD" w14:textId="1D5C916D" w:rsidR="00550163" w:rsidRPr="005D4222" w:rsidRDefault="00550163" w:rsidP="00BF553C">
                  <w:pPr>
                    <w:pStyle w:val="TableText"/>
                    <w:framePr w:hSpace="180" w:wrap="around" w:vAnchor="text" w:hAnchor="text" w:y="1"/>
                    <w:suppressOverlap/>
                    <w:jc w:val="center"/>
                    <w:rPr>
                      <w:rFonts w:eastAsia="Arial Narrow,Times New Roman"/>
                    </w:rPr>
                  </w:pPr>
                  <w:r w:rsidRPr="005D4222">
                    <w:rPr>
                      <w:rFonts w:eastAsia="Arial Narrow,Times New Roman"/>
                    </w:rPr>
                    <w:t>11</w:t>
                  </w:r>
                </w:p>
              </w:tc>
            </w:tr>
            <w:tr w:rsidR="00550163" w:rsidRPr="005D4222" w14:paraId="22A299A3" w14:textId="77777777" w:rsidTr="00550163">
              <w:tc>
                <w:tcPr>
                  <w:tcW w:w="1584" w:type="dxa"/>
                  <w:tcBorders>
                    <w:top w:val="single" w:sz="12" w:space="0" w:color="auto"/>
                    <w:left w:val="single" w:sz="4" w:space="0" w:color="auto"/>
                    <w:bottom w:val="single" w:sz="4" w:space="0" w:color="auto"/>
                    <w:right w:val="single" w:sz="4" w:space="0" w:color="auto"/>
                  </w:tcBorders>
                  <w:tcMar>
                    <w:left w:w="58" w:type="dxa"/>
                    <w:right w:w="58" w:type="dxa"/>
                  </w:tcMar>
                </w:tcPr>
                <w:p w14:paraId="79DCC24F" w14:textId="2EF7F791" w:rsidR="00550163" w:rsidRPr="005D4222" w:rsidRDefault="00550163" w:rsidP="00BF553C">
                  <w:pPr>
                    <w:pStyle w:val="TableText"/>
                    <w:framePr w:hSpace="180" w:wrap="around" w:vAnchor="text" w:hAnchor="text" w:y="1"/>
                    <w:suppressOverlap/>
                    <w:rPr>
                      <w:rFonts w:eastAsia="Arial Narrow,Times New Roman"/>
                    </w:rPr>
                  </w:pPr>
                  <w:r w:rsidRPr="005D4222">
                    <w:rPr>
                      <w:rFonts w:eastAsia="Arial Narrow,Times New Roman"/>
                    </w:rPr>
                    <w:t>Meperidine</w:t>
                  </w:r>
                </w:p>
              </w:tc>
              <w:tc>
                <w:tcPr>
                  <w:tcW w:w="3650" w:type="dxa"/>
                  <w:tcBorders>
                    <w:top w:val="single" w:sz="12" w:space="0" w:color="auto"/>
                    <w:left w:val="single" w:sz="4" w:space="0" w:color="auto"/>
                    <w:bottom w:val="single" w:sz="4" w:space="0" w:color="auto"/>
                    <w:right w:val="single" w:sz="4" w:space="0" w:color="auto"/>
                  </w:tcBorders>
                  <w:tcMar>
                    <w:left w:w="58" w:type="dxa"/>
                    <w:right w:w="58" w:type="dxa"/>
                  </w:tcMar>
                </w:tcPr>
                <w:p w14:paraId="79E1367C" w14:textId="77777777" w:rsidR="00550163" w:rsidRPr="005D4222" w:rsidRDefault="00550163" w:rsidP="00BF553C">
                  <w:pPr>
                    <w:pStyle w:val="TableText"/>
                    <w:framePr w:hSpace="180" w:wrap="around" w:vAnchor="text" w:hAnchor="text" w:y="1"/>
                    <w:suppressOverlap/>
                    <w:rPr>
                      <w:u w:val="single"/>
                    </w:rPr>
                  </w:pPr>
                  <w:r w:rsidRPr="005D4222">
                    <w:rPr>
                      <w:u w:val="single"/>
                    </w:rPr>
                    <w:t>Meperidine 10 MGPML Medications List</w:t>
                  </w:r>
                </w:p>
                <w:p w14:paraId="4FF437D2" w14:textId="77777777" w:rsidR="00550163" w:rsidRPr="005D4222" w:rsidRDefault="00550163" w:rsidP="00BF553C">
                  <w:pPr>
                    <w:pStyle w:val="TableText"/>
                    <w:framePr w:hSpace="180" w:wrap="around" w:vAnchor="text" w:hAnchor="text" w:y="1"/>
                    <w:suppressOverlap/>
                    <w:rPr>
                      <w:u w:val="single"/>
                    </w:rPr>
                  </w:pPr>
                  <w:r w:rsidRPr="005D4222">
                    <w:rPr>
                      <w:u w:val="single"/>
                    </w:rPr>
                    <w:t>Meperidine 50 mg Medications List</w:t>
                  </w:r>
                </w:p>
                <w:p w14:paraId="25173C13" w14:textId="670E4808" w:rsidR="00550163" w:rsidRPr="005D4222" w:rsidRDefault="00550163" w:rsidP="00BF553C">
                  <w:pPr>
                    <w:pStyle w:val="TableText"/>
                    <w:framePr w:hSpace="180" w:wrap="around" w:vAnchor="text" w:hAnchor="text" w:y="1"/>
                    <w:suppressOverlap/>
                    <w:rPr>
                      <w:u w:val="single"/>
                    </w:rPr>
                  </w:pPr>
                  <w:r w:rsidRPr="005D4222">
                    <w:rPr>
                      <w:u w:val="single"/>
                    </w:rPr>
                    <w:t>Meperidine 100 mg Medications List</w:t>
                  </w:r>
                </w:p>
              </w:tc>
              <w:tc>
                <w:tcPr>
                  <w:tcW w:w="960" w:type="dxa"/>
                  <w:tcBorders>
                    <w:top w:val="single" w:sz="12" w:space="0" w:color="auto"/>
                    <w:left w:val="single" w:sz="4" w:space="0" w:color="auto"/>
                    <w:bottom w:val="single" w:sz="4" w:space="0" w:color="auto"/>
                    <w:right w:val="single" w:sz="4" w:space="0" w:color="auto"/>
                  </w:tcBorders>
                  <w:tcMar>
                    <w:left w:w="58" w:type="dxa"/>
                    <w:right w:w="58" w:type="dxa"/>
                  </w:tcMar>
                </w:tcPr>
                <w:p w14:paraId="29EE4575" w14:textId="77777777" w:rsidR="00550163" w:rsidRPr="005D4222" w:rsidRDefault="00550163" w:rsidP="00BF553C">
                  <w:pPr>
                    <w:pStyle w:val="TableText"/>
                    <w:framePr w:hSpace="180" w:wrap="around" w:vAnchor="text" w:hAnchor="text" w:y="1"/>
                    <w:suppressOverlap/>
                    <w:rPr>
                      <w:rFonts w:eastAsia="Arial Narrow,Times New Roman"/>
                    </w:rPr>
                  </w:pPr>
                  <w:r w:rsidRPr="005D4222">
                    <w:rPr>
                      <w:rFonts w:eastAsia="Arial Narrow,Times New Roman"/>
                    </w:rPr>
                    <w:t>10 mg</w:t>
                  </w:r>
                </w:p>
                <w:p w14:paraId="34EB5838" w14:textId="77777777" w:rsidR="00550163" w:rsidRPr="005D4222" w:rsidRDefault="00550163" w:rsidP="00BF553C">
                  <w:pPr>
                    <w:pStyle w:val="TableText"/>
                    <w:framePr w:hSpace="180" w:wrap="around" w:vAnchor="text" w:hAnchor="text" w:y="1"/>
                    <w:suppressOverlap/>
                    <w:rPr>
                      <w:rFonts w:eastAsia="Arial Narrow,Times New Roman"/>
                    </w:rPr>
                  </w:pPr>
                  <w:r w:rsidRPr="005D4222">
                    <w:rPr>
                      <w:rFonts w:eastAsia="Arial Narrow,Times New Roman"/>
                    </w:rPr>
                    <w:t>50 mg</w:t>
                  </w:r>
                </w:p>
                <w:p w14:paraId="0768639F" w14:textId="43A43775" w:rsidR="00550163" w:rsidRPr="005D4222" w:rsidRDefault="00550163" w:rsidP="00BF553C">
                  <w:pPr>
                    <w:pStyle w:val="TableText"/>
                    <w:framePr w:hSpace="180" w:wrap="around" w:vAnchor="text" w:hAnchor="text" w:y="1"/>
                    <w:suppressOverlap/>
                    <w:rPr>
                      <w:rFonts w:eastAsia="Arial Narrow,Times New Roman"/>
                    </w:rPr>
                  </w:pPr>
                  <w:r w:rsidRPr="005D4222">
                    <w:rPr>
                      <w:rFonts w:eastAsia="Arial Narrow,Times New Roman"/>
                    </w:rPr>
                    <w:t>100 mg</w:t>
                  </w:r>
                </w:p>
              </w:tc>
              <w:tc>
                <w:tcPr>
                  <w:tcW w:w="1152" w:type="dxa"/>
                  <w:tcBorders>
                    <w:top w:val="single" w:sz="12" w:space="0" w:color="auto"/>
                    <w:left w:val="single" w:sz="4" w:space="0" w:color="auto"/>
                    <w:bottom w:val="single" w:sz="4" w:space="0" w:color="auto"/>
                    <w:right w:val="single" w:sz="4" w:space="0" w:color="auto"/>
                  </w:tcBorders>
                  <w:tcMar>
                    <w:left w:w="58" w:type="dxa"/>
                    <w:right w:w="58" w:type="dxa"/>
                  </w:tcMar>
                </w:tcPr>
                <w:p w14:paraId="4AC27F83" w14:textId="0DF0588D" w:rsidR="00550163" w:rsidRPr="005D4222" w:rsidRDefault="00550163" w:rsidP="00BF553C">
                  <w:pPr>
                    <w:pStyle w:val="TableText"/>
                    <w:framePr w:hSpace="180" w:wrap="around" w:vAnchor="text" w:hAnchor="text" w:y="1"/>
                    <w:suppressOverlap/>
                    <w:jc w:val="center"/>
                    <w:rPr>
                      <w:rFonts w:eastAsia="Arial Narrow,Times New Roman"/>
                    </w:rPr>
                  </w:pPr>
                  <w:r w:rsidRPr="005D4222">
                    <w:rPr>
                      <w:rFonts w:eastAsia="Arial Narrow,Times New Roman"/>
                    </w:rPr>
                    <w:t>0.1</w:t>
                  </w:r>
                </w:p>
              </w:tc>
            </w:tr>
          </w:tbl>
          <w:p w14:paraId="2AFCD2E8" w14:textId="77777777" w:rsidR="00CE405F" w:rsidRPr="005D4222" w:rsidRDefault="00CE405F" w:rsidP="00CE405F">
            <w:pPr>
              <w:rPr>
                <w:sz w:val="10"/>
                <w:szCs w:val="1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84"/>
              <w:gridCol w:w="3650"/>
              <w:gridCol w:w="960"/>
              <w:gridCol w:w="1152"/>
            </w:tblGrid>
            <w:tr w:rsidR="00CE405F" w:rsidRPr="005D4222" w14:paraId="0687EE0B" w14:textId="77777777" w:rsidTr="00EA7058">
              <w:trPr>
                <w:tblHeader/>
              </w:trPr>
              <w:tc>
                <w:tcPr>
                  <w:tcW w:w="1584" w:type="dxa"/>
                  <w:tcBorders>
                    <w:bottom w:val="single" w:sz="4" w:space="0" w:color="auto"/>
                    <w:right w:val="single" w:sz="6" w:space="0" w:color="FFFFFF" w:themeColor="background1"/>
                  </w:tcBorders>
                  <w:shd w:val="clear" w:color="auto" w:fill="000000" w:themeFill="text1"/>
                  <w:tcMar>
                    <w:left w:w="58" w:type="dxa"/>
                    <w:right w:w="58" w:type="dxa"/>
                  </w:tcMar>
                  <w:vAlign w:val="bottom"/>
                </w:tcPr>
                <w:p w14:paraId="4033CA13" w14:textId="77777777" w:rsidR="00CE405F" w:rsidRPr="005D4222" w:rsidRDefault="00CE405F" w:rsidP="00BF553C">
                  <w:pPr>
                    <w:pStyle w:val="TableHead"/>
                    <w:framePr w:hSpace="180" w:wrap="around" w:vAnchor="text" w:hAnchor="text" w:y="1"/>
                    <w:spacing w:before="80" w:after="80"/>
                    <w:suppressOverlap/>
                  </w:pPr>
                  <w:r w:rsidRPr="005D4222">
                    <w:rPr>
                      <w:rFonts w:eastAsia="Arial Narrow,Times New Roman"/>
                    </w:rPr>
                    <w:lastRenderedPageBreak/>
                    <w:t>Type of Opioid</w:t>
                  </w:r>
                </w:p>
              </w:tc>
              <w:tc>
                <w:tcPr>
                  <w:tcW w:w="3650" w:type="dxa"/>
                  <w:tcBorders>
                    <w:left w:val="single" w:sz="6" w:space="0" w:color="FFFFFF" w:themeColor="background1"/>
                    <w:bottom w:val="single" w:sz="4" w:space="0" w:color="auto"/>
                    <w:right w:val="single" w:sz="6" w:space="0" w:color="FFFFFF" w:themeColor="background1"/>
                  </w:tcBorders>
                  <w:shd w:val="clear" w:color="auto" w:fill="000000" w:themeFill="text1"/>
                  <w:tcMar>
                    <w:left w:w="58" w:type="dxa"/>
                    <w:right w:w="58" w:type="dxa"/>
                  </w:tcMar>
                  <w:vAlign w:val="bottom"/>
                </w:tcPr>
                <w:p w14:paraId="1DDC12CC" w14:textId="77777777" w:rsidR="00CE405F" w:rsidRPr="005D4222" w:rsidRDefault="00CE405F" w:rsidP="00BF553C">
                  <w:pPr>
                    <w:pStyle w:val="TableHead"/>
                    <w:framePr w:hSpace="180" w:wrap="around" w:vAnchor="text" w:hAnchor="text" w:y="1"/>
                    <w:spacing w:before="80" w:after="80"/>
                    <w:suppressOverlap/>
                    <w:rPr>
                      <w:rFonts w:eastAsia="Arial Narrow,Times New Roman"/>
                    </w:rPr>
                  </w:pPr>
                  <w:r w:rsidRPr="005D4222">
                    <w:rPr>
                      <w:rFonts w:eastAsia="Arial Narrow,Times New Roman"/>
                    </w:rPr>
                    <w:t>Medication Lists</w:t>
                  </w:r>
                </w:p>
              </w:tc>
              <w:tc>
                <w:tcPr>
                  <w:tcW w:w="960" w:type="dxa"/>
                  <w:tcBorders>
                    <w:left w:val="single" w:sz="6" w:space="0" w:color="FFFFFF" w:themeColor="background1"/>
                    <w:bottom w:val="single" w:sz="4" w:space="0" w:color="auto"/>
                    <w:right w:val="single" w:sz="6" w:space="0" w:color="FFFFFF" w:themeColor="background1"/>
                  </w:tcBorders>
                  <w:shd w:val="clear" w:color="auto" w:fill="000000" w:themeFill="text1"/>
                  <w:tcMar>
                    <w:left w:w="58" w:type="dxa"/>
                    <w:right w:w="58" w:type="dxa"/>
                  </w:tcMar>
                  <w:vAlign w:val="bottom"/>
                </w:tcPr>
                <w:p w14:paraId="1EC9D20F" w14:textId="77777777" w:rsidR="00CE405F" w:rsidRPr="005D4222" w:rsidRDefault="00CE405F" w:rsidP="00BF553C">
                  <w:pPr>
                    <w:pStyle w:val="TableHead"/>
                    <w:framePr w:hSpace="180" w:wrap="around" w:vAnchor="text" w:hAnchor="text" w:y="1"/>
                    <w:spacing w:before="80" w:after="80"/>
                    <w:suppressOverlap/>
                    <w:rPr>
                      <w:rFonts w:eastAsia="Arial Narrow,Times New Roman"/>
                    </w:rPr>
                  </w:pPr>
                  <w:r w:rsidRPr="005D4222">
                    <w:rPr>
                      <w:rFonts w:eastAsia="Arial Narrow,Times New Roman"/>
                    </w:rPr>
                    <w:t>Strength</w:t>
                  </w:r>
                </w:p>
              </w:tc>
              <w:tc>
                <w:tcPr>
                  <w:tcW w:w="1152" w:type="dxa"/>
                  <w:tcBorders>
                    <w:left w:val="single" w:sz="6" w:space="0" w:color="FFFFFF" w:themeColor="background1"/>
                    <w:bottom w:val="single" w:sz="4" w:space="0" w:color="auto"/>
                    <w:right w:val="single" w:sz="4" w:space="0" w:color="auto"/>
                  </w:tcBorders>
                  <w:shd w:val="clear" w:color="auto" w:fill="000000" w:themeFill="text1"/>
                  <w:tcMar>
                    <w:left w:w="58" w:type="dxa"/>
                    <w:right w:w="58" w:type="dxa"/>
                  </w:tcMar>
                  <w:vAlign w:val="bottom"/>
                </w:tcPr>
                <w:p w14:paraId="3F8C5AE6" w14:textId="77777777" w:rsidR="00CE405F" w:rsidRPr="005D4222" w:rsidRDefault="00CE405F" w:rsidP="00BF553C">
                  <w:pPr>
                    <w:pStyle w:val="TableHead"/>
                    <w:framePr w:hSpace="180" w:wrap="around" w:vAnchor="text" w:hAnchor="text" w:y="1"/>
                    <w:spacing w:before="80" w:after="80"/>
                    <w:suppressOverlap/>
                  </w:pPr>
                  <w:r w:rsidRPr="005D4222">
                    <w:rPr>
                      <w:rFonts w:eastAsia="Arial Narrow,Times New Roman"/>
                    </w:rPr>
                    <w:t>MME Conversion Factor</w:t>
                  </w:r>
                </w:p>
              </w:tc>
            </w:tr>
            <w:tr w:rsidR="00CE405F" w:rsidRPr="005D4222" w14:paraId="11A7A7CB" w14:textId="77777777" w:rsidTr="00EA7058">
              <w:trPr>
                <w:trHeight w:val="1431"/>
              </w:trPr>
              <w:tc>
                <w:tcPr>
                  <w:tcW w:w="1584" w:type="dxa"/>
                  <w:tcBorders>
                    <w:top w:val="single" w:sz="12" w:space="0" w:color="auto"/>
                    <w:left w:val="single" w:sz="4" w:space="0" w:color="auto"/>
                    <w:bottom w:val="single" w:sz="12" w:space="0" w:color="auto"/>
                    <w:right w:val="single" w:sz="4" w:space="0" w:color="auto"/>
                  </w:tcBorders>
                  <w:tcMar>
                    <w:left w:w="58" w:type="dxa"/>
                    <w:right w:w="58" w:type="dxa"/>
                  </w:tcMar>
                </w:tcPr>
                <w:p w14:paraId="38737783" w14:textId="77777777" w:rsidR="00CE405F" w:rsidRPr="005D4222" w:rsidRDefault="00CE405F" w:rsidP="00BF553C">
                  <w:pPr>
                    <w:framePr w:hSpace="180" w:wrap="around" w:vAnchor="text" w:hAnchor="text" w:y="1"/>
                    <w:spacing w:before="40" w:after="40"/>
                    <w:suppressOverlap/>
                  </w:pPr>
                  <w:r w:rsidRPr="005D4222">
                    <w:rPr>
                      <w:rFonts w:ascii="Arial Narrow" w:eastAsia="Arial Narrow,Times New Roman" w:hAnsi="Arial Narrow"/>
                      <w:szCs w:val="19"/>
                    </w:rPr>
                    <w:t>Methadone</w:t>
                  </w:r>
                  <w:r w:rsidRPr="005D4222">
                    <w:rPr>
                      <w:rFonts w:ascii="Arial Narrow" w:eastAsia="Arial Narrow,Times New Roman" w:hAnsi="Arial Narrow"/>
                      <w:szCs w:val="19"/>
                      <w:vertAlign w:val="superscript"/>
                    </w:rPr>
                    <w:t>5</w:t>
                  </w:r>
                </w:p>
              </w:tc>
              <w:tc>
                <w:tcPr>
                  <w:tcW w:w="3650" w:type="dxa"/>
                  <w:tcBorders>
                    <w:top w:val="single" w:sz="12" w:space="0" w:color="auto"/>
                    <w:left w:val="single" w:sz="4" w:space="0" w:color="auto"/>
                    <w:bottom w:val="single" w:sz="12" w:space="0" w:color="auto"/>
                    <w:right w:val="single" w:sz="4" w:space="0" w:color="auto"/>
                  </w:tcBorders>
                  <w:tcMar>
                    <w:left w:w="58" w:type="dxa"/>
                    <w:right w:w="58" w:type="dxa"/>
                  </w:tcMar>
                </w:tcPr>
                <w:p w14:paraId="40BCB887" w14:textId="77777777" w:rsidR="00CE405F" w:rsidRPr="005D4222" w:rsidRDefault="00CE405F" w:rsidP="00BF553C">
                  <w:pPr>
                    <w:pStyle w:val="TableText"/>
                    <w:framePr w:hSpace="180" w:wrap="around" w:vAnchor="text" w:hAnchor="text" w:y="1"/>
                    <w:suppressOverlap/>
                    <w:rPr>
                      <w:u w:val="single"/>
                    </w:rPr>
                  </w:pPr>
                  <w:r w:rsidRPr="005D4222">
                    <w:rPr>
                      <w:u w:val="single"/>
                    </w:rPr>
                    <w:t>Methadone 1 MGPML Medications List</w:t>
                  </w:r>
                </w:p>
                <w:p w14:paraId="22FFE804" w14:textId="77777777" w:rsidR="00CE405F" w:rsidRPr="005D4222" w:rsidRDefault="00CE405F" w:rsidP="00BF553C">
                  <w:pPr>
                    <w:pStyle w:val="TableText"/>
                    <w:framePr w:hSpace="180" w:wrap="around" w:vAnchor="text" w:hAnchor="text" w:y="1"/>
                    <w:suppressOverlap/>
                    <w:rPr>
                      <w:u w:val="single"/>
                    </w:rPr>
                  </w:pPr>
                  <w:r w:rsidRPr="005D4222">
                    <w:rPr>
                      <w:u w:val="single"/>
                    </w:rPr>
                    <w:t>Methadone 2 MGPML Medications List</w:t>
                  </w:r>
                </w:p>
                <w:p w14:paraId="4E74942E" w14:textId="77777777" w:rsidR="00CE405F" w:rsidRPr="005D4222" w:rsidRDefault="00CE405F" w:rsidP="00BF553C">
                  <w:pPr>
                    <w:pStyle w:val="TableText"/>
                    <w:framePr w:hSpace="180" w:wrap="around" w:vAnchor="text" w:hAnchor="text" w:y="1"/>
                    <w:suppressOverlap/>
                    <w:rPr>
                      <w:u w:val="single"/>
                    </w:rPr>
                  </w:pPr>
                  <w:r w:rsidRPr="005D4222">
                    <w:rPr>
                      <w:u w:val="single"/>
                    </w:rPr>
                    <w:t>Methadone 5 mg Medications List</w:t>
                  </w:r>
                </w:p>
                <w:p w14:paraId="6965816D" w14:textId="77777777" w:rsidR="00CE405F" w:rsidRPr="005D4222" w:rsidRDefault="00CE405F" w:rsidP="00BF553C">
                  <w:pPr>
                    <w:pStyle w:val="TableText"/>
                    <w:framePr w:hSpace="180" w:wrap="around" w:vAnchor="text" w:hAnchor="text" w:y="1"/>
                    <w:suppressOverlap/>
                    <w:rPr>
                      <w:u w:val="single"/>
                    </w:rPr>
                  </w:pPr>
                  <w:r w:rsidRPr="005D4222">
                    <w:rPr>
                      <w:u w:val="single"/>
                    </w:rPr>
                    <w:t>Methadone 10 mg Medications List</w:t>
                  </w:r>
                </w:p>
                <w:p w14:paraId="76230ED5" w14:textId="77777777" w:rsidR="00CE405F" w:rsidRPr="005D4222" w:rsidRDefault="00CE405F" w:rsidP="00BF553C">
                  <w:pPr>
                    <w:pStyle w:val="TableText"/>
                    <w:framePr w:hSpace="180" w:wrap="around" w:vAnchor="text" w:hAnchor="text" w:y="1"/>
                    <w:suppressOverlap/>
                    <w:rPr>
                      <w:u w:val="single"/>
                    </w:rPr>
                  </w:pPr>
                  <w:r w:rsidRPr="005D4222">
                    <w:rPr>
                      <w:u w:val="single"/>
                    </w:rPr>
                    <w:t>Methadone 10 MGPML Medications List</w:t>
                  </w:r>
                </w:p>
                <w:p w14:paraId="39FCF239" w14:textId="77777777" w:rsidR="00CE405F" w:rsidRPr="005D4222" w:rsidRDefault="00CE405F" w:rsidP="00BF553C">
                  <w:pPr>
                    <w:pStyle w:val="TableText"/>
                    <w:framePr w:hSpace="180" w:wrap="around" w:vAnchor="text" w:hAnchor="text" w:y="1"/>
                    <w:suppressOverlap/>
                    <w:rPr>
                      <w:rFonts w:eastAsia="Arial Narrow,Times New Roman"/>
                      <w:u w:val="single"/>
                    </w:rPr>
                  </w:pPr>
                  <w:r w:rsidRPr="005D4222">
                    <w:rPr>
                      <w:u w:val="single"/>
                    </w:rPr>
                    <w:t>Methadone 40 mg Medications List</w:t>
                  </w:r>
                </w:p>
              </w:tc>
              <w:tc>
                <w:tcPr>
                  <w:tcW w:w="960" w:type="dxa"/>
                  <w:tcBorders>
                    <w:top w:val="single" w:sz="12" w:space="0" w:color="auto"/>
                    <w:left w:val="single" w:sz="4" w:space="0" w:color="auto"/>
                    <w:bottom w:val="single" w:sz="12" w:space="0" w:color="auto"/>
                    <w:right w:val="single" w:sz="4" w:space="0" w:color="auto"/>
                  </w:tcBorders>
                  <w:tcMar>
                    <w:left w:w="58" w:type="dxa"/>
                    <w:right w:w="58" w:type="dxa"/>
                  </w:tcMar>
                </w:tcPr>
                <w:p w14:paraId="37E53D77"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1 mg</w:t>
                  </w:r>
                </w:p>
                <w:p w14:paraId="7073C004"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2 mg</w:t>
                  </w:r>
                </w:p>
                <w:p w14:paraId="239A45BA"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5 mg</w:t>
                  </w:r>
                </w:p>
                <w:p w14:paraId="7071B62D"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10 mg</w:t>
                  </w:r>
                </w:p>
                <w:p w14:paraId="5566D2BC"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10 mg</w:t>
                  </w:r>
                </w:p>
                <w:p w14:paraId="64AF4FD6"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40 mg</w:t>
                  </w:r>
                </w:p>
              </w:tc>
              <w:tc>
                <w:tcPr>
                  <w:tcW w:w="1152" w:type="dxa"/>
                  <w:tcBorders>
                    <w:top w:val="single" w:sz="12" w:space="0" w:color="auto"/>
                    <w:left w:val="single" w:sz="4" w:space="0" w:color="auto"/>
                    <w:bottom w:val="single" w:sz="12" w:space="0" w:color="auto"/>
                    <w:right w:val="single" w:sz="4" w:space="0" w:color="auto"/>
                  </w:tcBorders>
                  <w:tcMar>
                    <w:left w:w="58" w:type="dxa"/>
                    <w:right w:w="58" w:type="dxa"/>
                  </w:tcMar>
                </w:tcPr>
                <w:p w14:paraId="3496A0E8" w14:textId="77777777" w:rsidR="00CE405F" w:rsidRPr="005D4222" w:rsidRDefault="00CE405F" w:rsidP="00BF553C">
                  <w:pPr>
                    <w:pStyle w:val="TableText"/>
                    <w:framePr w:hSpace="180" w:wrap="around" w:vAnchor="text" w:hAnchor="text" w:y="1"/>
                    <w:spacing w:before="40" w:after="40"/>
                    <w:suppressOverlap/>
                    <w:jc w:val="center"/>
                    <w:rPr>
                      <w:rFonts w:eastAsia="Arial Narrow,Times New Roman"/>
                    </w:rPr>
                  </w:pPr>
                  <w:r w:rsidRPr="005D4222">
                    <w:rPr>
                      <w:rFonts w:eastAsia="Arial Narrow,Times New Roman"/>
                    </w:rPr>
                    <w:t>3</w:t>
                  </w:r>
                </w:p>
              </w:tc>
            </w:tr>
            <w:tr w:rsidR="00CE405F" w:rsidRPr="005D4222" w14:paraId="3221A5CF" w14:textId="77777777" w:rsidTr="00EA7058">
              <w:tc>
                <w:tcPr>
                  <w:tcW w:w="1584" w:type="dxa"/>
                  <w:tcBorders>
                    <w:top w:val="single" w:sz="12" w:space="0" w:color="auto"/>
                    <w:left w:val="single" w:sz="4" w:space="0" w:color="auto"/>
                    <w:right w:val="single" w:sz="4" w:space="0" w:color="auto"/>
                  </w:tcBorders>
                  <w:tcMar>
                    <w:left w:w="58" w:type="dxa"/>
                    <w:right w:w="58" w:type="dxa"/>
                  </w:tcMar>
                </w:tcPr>
                <w:p w14:paraId="67DCE378" w14:textId="77777777" w:rsidR="00CE405F" w:rsidRPr="005D4222" w:rsidRDefault="00CE405F" w:rsidP="00BF553C">
                  <w:pPr>
                    <w:framePr w:hSpace="180" w:wrap="around" w:vAnchor="text" w:hAnchor="text" w:y="1"/>
                    <w:spacing w:before="40" w:after="40"/>
                    <w:suppressOverlap/>
                    <w:rPr>
                      <w:rFonts w:ascii="Arial Narrow" w:eastAsia="Arial Narrow,Times New Roman" w:hAnsi="Arial Narrow"/>
                      <w:szCs w:val="19"/>
                    </w:rPr>
                  </w:pPr>
                  <w:r w:rsidRPr="005D4222">
                    <w:rPr>
                      <w:rFonts w:ascii="Arial Narrow" w:eastAsia="Arial Narrow,Times New Roman" w:hAnsi="Arial Narrow"/>
                      <w:szCs w:val="19"/>
                    </w:rPr>
                    <w:t>Morphine</w:t>
                  </w:r>
                </w:p>
              </w:tc>
              <w:tc>
                <w:tcPr>
                  <w:tcW w:w="3650" w:type="dxa"/>
                  <w:tcBorders>
                    <w:top w:val="single" w:sz="12" w:space="0" w:color="auto"/>
                    <w:left w:val="single" w:sz="4" w:space="0" w:color="auto"/>
                    <w:right w:val="single" w:sz="4" w:space="0" w:color="auto"/>
                  </w:tcBorders>
                  <w:tcMar>
                    <w:left w:w="58" w:type="dxa"/>
                    <w:right w:w="58" w:type="dxa"/>
                  </w:tcMar>
                </w:tcPr>
                <w:p w14:paraId="200F72CC" w14:textId="77777777" w:rsidR="00CE405F" w:rsidRPr="005D4222" w:rsidRDefault="00CE405F" w:rsidP="00BF553C">
                  <w:pPr>
                    <w:pStyle w:val="TableText"/>
                    <w:framePr w:hSpace="180" w:wrap="around" w:vAnchor="text" w:hAnchor="text" w:y="1"/>
                    <w:suppressOverlap/>
                    <w:rPr>
                      <w:u w:val="single"/>
                    </w:rPr>
                  </w:pPr>
                  <w:r w:rsidRPr="005D4222">
                    <w:rPr>
                      <w:u w:val="single"/>
                    </w:rPr>
                    <w:t>Morphine 2 MGPML Medications List</w:t>
                  </w:r>
                </w:p>
                <w:p w14:paraId="0BB3CDC9" w14:textId="77777777" w:rsidR="00CE405F" w:rsidRPr="005D4222" w:rsidRDefault="00CE405F" w:rsidP="00BF553C">
                  <w:pPr>
                    <w:pStyle w:val="TableText"/>
                    <w:framePr w:hSpace="180" w:wrap="around" w:vAnchor="text" w:hAnchor="text" w:y="1"/>
                    <w:suppressOverlap/>
                    <w:rPr>
                      <w:u w:val="single"/>
                    </w:rPr>
                  </w:pPr>
                  <w:r w:rsidRPr="005D4222">
                    <w:rPr>
                      <w:u w:val="single"/>
                    </w:rPr>
                    <w:t>Morphine 4 MGPML Medications List</w:t>
                  </w:r>
                </w:p>
                <w:p w14:paraId="0BEA4B0D" w14:textId="77777777" w:rsidR="00CE405F" w:rsidRPr="005D4222" w:rsidRDefault="00CE405F" w:rsidP="00BF553C">
                  <w:pPr>
                    <w:pStyle w:val="TableText"/>
                    <w:framePr w:hSpace="180" w:wrap="around" w:vAnchor="text" w:hAnchor="text" w:y="1"/>
                    <w:suppressOverlap/>
                    <w:rPr>
                      <w:u w:val="single"/>
                    </w:rPr>
                  </w:pPr>
                  <w:r w:rsidRPr="005D4222">
                    <w:rPr>
                      <w:u w:val="single"/>
                    </w:rPr>
                    <w:t>Morphine 5 mg Medications List</w:t>
                  </w:r>
                </w:p>
                <w:p w14:paraId="364DD996" w14:textId="77777777" w:rsidR="00CE405F" w:rsidRPr="005D4222" w:rsidRDefault="00CE405F" w:rsidP="00BF553C">
                  <w:pPr>
                    <w:pStyle w:val="TableText"/>
                    <w:framePr w:hSpace="180" w:wrap="around" w:vAnchor="text" w:hAnchor="text" w:y="1"/>
                    <w:suppressOverlap/>
                    <w:rPr>
                      <w:u w:val="single"/>
                    </w:rPr>
                  </w:pPr>
                  <w:r w:rsidRPr="005D4222">
                    <w:rPr>
                      <w:u w:val="single"/>
                    </w:rPr>
                    <w:t>Morphine 10 mg Medications List</w:t>
                  </w:r>
                </w:p>
                <w:p w14:paraId="63A11B3E" w14:textId="77777777" w:rsidR="00CE405F" w:rsidRPr="005D4222" w:rsidRDefault="00CE405F" w:rsidP="00BF553C">
                  <w:pPr>
                    <w:pStyle w:val="TableText"/>
                    <w:framePr w:hSpace="180" w:wrap="around" w:vAnchor="text" w:hAnchor="text" w:y="1"/>
                    <w:suppressOverlap/>
                    <w:rPr>
                      <w:u w:val="single"/>
                    </w:rPr>
                  </w:pPr>
                  <w:r w:rsidRPr="005D4222">
                    <w:rPr>
                      <w:u w:val="single"/>
                    </w:rPr>
                    <w:t>Morphine 15 mg Medications List</w:t>
                  </w:r>
                </w:p>
                <w:p w14:paraId="369F0BDD" w14:textId="77777777" w:rsidR="00CE405F" w:rsidRPr="005D4222" w:rsidRDefault="00CE405F" w:rsidP="00BF553C">
                  <w:pPr>
                    <w:pStyle w:val="TableText"/>
                    <w:framePr w:hSpace="180" w:wrap="around" w:vAnchor="text" w:hAnchor="text" w:y="1"/>
                    <w:suppressOverlap/>
                    <w:rPr>
                      <w:u w:val="single"/>
                    </w:rPr>
                  </w:pPr>
                  <w:r w:rsidRPr="005D4222">
                    <w:rPr>
                      <w:u w:val="single"/>
                    </w:rPr>
                    <w:t>Morphine 20 MGPML Medications List</w:t>
                  </w:r>
                </w:p>
                <w:p w14:paraId="0E96FE2C" w14:textId="77777777" w:rsidR="00CE405F" w:rsidRPr="005D4222" w:rsidRDefault="00CE405F" w:rsidP="00BF553C">
                  <w:pPr>
                    <w:pStyle w:val="TableText"/>
                    <w:framePr w:hSpace="180" w:wrap="around" w:vAnchor="text" w:hAnchor="text" w:y="1"/>
                    <w:suppressOverlap/>
                    <w:rPr>
                      <w:u w:val="single"/>
                    </w:rPr>
                  </w:pPr>
                  <w:r w:rsidRPr="005D4222">
                    <w:rPr>
                      <w:u w:val="single"/>
                    </w:rPr>
                    <w:t>Morphine 20 mg Medications List</w:t>
                  </w:r>
                </w:p>
                <w:p w14:paraId="51A18C24" w14:textId="77777777" w:rsidR="00CE405F" w:rsidRPr="005D4222" w:rsidRDefault="00CE405F" w:rsidP="00BF553C">
                  <w:pPr>
                    <w:pStyle w:val="TableText"/>
                    <w:framePr w:hSpace="180" w:wrap="around" w:vAnchor="text" w:hAnchor="text" w:y="1"/>
                    <w:suppressOverlap/>
                    <w:rPr>
                      <w:u w:val="single"/>
                    </w:rPr>
                  </w:pPr>
                  <w:r w:rsidRPr="005D4222">
                    <w:rPr>
                      <w:u w:val="single"/>
                    </w:rPr>
                    <w:t>Morphine 30 mg Medications List</w:t>
                  </w:r>
                </w:p>
                <w:p w14:paraId="3D8A16B9" w14:textId="77777777" w:rsidR="00CE405F" w:rsidRPr="005D4222" w:rsidRDefault="00CE405F" w:rsidP="00BF553C">
                  <w:pPr>
                    <w:pStyle w:val="TableText"/>
                    <w:framePr w:hSpace="180" w:wrap="around" w:vAnchor="text" w:hAnchor="text" w:y="1"/>
                    <w:suppressOverlap/>
                    <w:rPr>
                      <w:u w:val="single"/>
                    </w:rPr>
                  </w:pPr>
                  <w:r w:rsidRPr="005D4222">
                    <w:rPr>
                      <w:u w:val="single"/>
                    </w:rPr>
                    <w:t>Morphine 40 mg Medications List</w:t>
                  </w:r>
                </w:p>
                <w:p w14:paraId="75968248" w14:textId="77777777" w:rsidR="00CE405F" w:rsidRPr="005D4222" w:rsidRDefault="00CE405F" w:rsidP="00BF553C">
                  <w:pPr>
                    <w:pStyle w:val="TableText"/>
                    <w:framePr w:hSpace="180" w:wrap="around" w:vAnchor="text" w:hAnchor="text" w:y="1"/>
                    <w:suppressOverlap/>
                    <w:rPr>
                      <w:u w:val="single"/>
                    </w:rPr>
                  </w:pPr>
                  <w:r w:rsidRPr="005D4222">
                    <w:rPr>
                      <w:u w:val="single"/>
                    </w:rPr>
                    <w:t>Morphine 45 mg Medications List</w:t>
                  </w:r>
                </w:p>
                <w:p w14:paraId="2A110483" w14:textId="77777777" w:rsidR="00CE405F" w:rsidRPr="005D4222" w:rsidRDefault="00CE405F" w:rsidP="00BF553C">
                  <w:pPr>
                    <w:pStyle w:val="TableText"/>
                    <w:framePr w:hSpace="180" w:wrap="around" w:vAnchor="text" w:hAnchor="text" w:y="1"/>
                    <w:suppressOverlap/>
                    <w:rPr>
                      <w:u w:val="single"/>
                    </w:rPr>
                  </w:pPr>
                  <w:r w:rsidRPr="005D4222">
                    <w:rPr>
                      <w:u w:val="single"/>
                    </w:rPr>
                    <w:t>Morphine 50 mg Medications List</w:t>
                  </w:r>
                </w:p>
                <w:p w14:paraId="69E6CEE8" w14:textId="77777777" w:rsidR="00CE405F" w:rsidRPr="005D4222" w:rsidRDefault="00CE405F" w:rsidP="00BF553C">
                  <w:pPr>
                    <w:pStyle w:val="TableText"/>
                    <w:framePr w:hSpace="180" w:wrap="around" w:vAnchor="text" w:hAnchor="text" w:y="1"/>
                    <w:suppressOverlap/>
                    <w:rPr>
                      <w:rFonts w:eastAsia="Arial Narrow,Times New Roman"/>
                      <w:u w:val="single"/>
                    </w:rPr>
                  </w:pPr>
                  <w:r w:rsidRPr="005D4222">
                    <w:rPr>
                      <w:u w:val="single"/>
                    </w:rPr>
                    <w:t>Morphine 60 mg Medications List</w:t>
                  </w:r>
                </w:p>
                <w:p w14:paraId="569C98C2" w14:textId="77777777" w:rsidR="00CE405F" w:rsidRPr="005D4222" w:rsidRDefault="00CE405F" w:rsidP="00BF553C">
                  <w:pPr>
                    <w:pStyle w:val="TableText"/>
                    <w:framePr w:hSpace="180" w:wrap="around" w:vAnchor="text" w:hAnchor="text" w:y="1"/>
                    <w:suppressOverlap/>
                    <w:rPr>
                      <w:u w:val="single"/>
                    </w:rPr>
                  </w:pPr>
                  <w:r w:rsidRPr="005D4222">
                    <w:rPr>
                      <w:u w:val="single"/>
                    </w:rPr>
                    <w:t>Morphine 75 mg Medications List</w:t>
                  </w:r>
                </w:p>
                <w:p w14:paraId="509D3BB1" w14:textId="77777777" w:rsidR="00CE405F" w:rsidRPr="005D4222" w:rsidRDefault="00CE405F" w:rsidP="00BF553C">
                  <w:pPr>
                    <w:pStyle w:val="TableText"/>
                    <w:framePr w:hSpace="180" w:wrap="around" w:vAnchor="text" w:hAnchor="text" w:y="1"/>
                    <w:suppressOverlap/>
                    <w:rPr>
                      <w:u w:val="single"/>
                    </w:rPr>
                  </w:pPr>
                  <w:r w:rsidRPr="005D4222">
                    <w:rPr>
                      <w:u w:val="single"/>
                    </w:rPr>
                    <w:t>Morphine 80 mg Medications List</w:t>
                  </w:r>
                </w:p>
                <w:p w14:paraId="3B07E0C0" w14:textId="77777777" w:rsidR="00CE405F" w:rsidRPr="005D4222" w:rsidRDefault="00CE405F" w:rsidP="00BF553C">
                  <w:pPr>
                    <w:pStyle w:val="TableText"/>
                    <w:framePr w:hSpace="180" w:wrap="around" w:vAnchor="text" w:hAnchor="text" w:y="1"/>
                    <w:suppressOverlap/>
                    <w:rPr>
                      <w:u w:val="single"/>
                    </w:rPr>
                  </w:pPr>
                  <w:r w:rsidRPr="005D4222">
                    <w:rPr>
                      <w:u w:val="single"/>
                    </w:rPr>
                    <w:t>Morphine 90 mg Medications List</w:t>
                  </w:r>
                </w:p>
                <w:p w14:paraId="3845EB5C" w14:textId="77777777" w:rsidR="00CE405F" w:rsidRPr="005D4222" w:rsidRDefault="00CE405F" w:rsidP="00BF553C">
                  <w:pPr>
                    <w:pStyle w:val="TableText"/>
                    <w:framePr w:hSpace="180" w:wrap="around" w:vAnchor="text" w:hAnchor="text" w:y="1"/>
                    <w:suppressOverlap/>
                    <w:rPr>
                      <w:u w:val="single"/>
                    </w:rPr>
                  </w:pPr>
                  <w:r w:rsidRPr="005D4222">
                    <w:rPr>
                      <w:u w:val="single"/>
                    </w:rPr>
                    <w:t>Morphine 100 mg Medications List</w:t>
                  </w:r>
                </w:p>
                <w:p w14:paraId="6D62F871" w14:textId="77777777" w:rsidR="00CE405F" w:rsidRPr="005D4222" w:rsidRDefault="00CE405F" w:rsidP="00BF553C">
                  <w:pPr>
                    <w:pStyle w:val="TableText"/>
                    <w:framePr w:hSpace="180" w:wrap="around" w:vAnchor="text" w:hAnchor="text" w:y="1"/>
                    <w:suppressOverlap/>
                    <w:rPr>
                      <w:u w:val="single"/>
                    </w:rPr>
                  </w:pPr>
                  <w:r w:rsidRPr="005D4222">
                    <w:rPr>
                      <w:u w:val="single"/>
                    </w:rPr>
                    <w:t>Morphine 120 mg Medications List</w:t>
                  </w:r>
                </w:p>
                <w:p w14:paraId="08E206F5" w14:textId="77777777" w:rsidR="00CE405F" w:rsidRPr="005D4222" w:rsidRDefault="00CE405F" w:rsidP="00BF553C">
                  <w:pPr>
                    <w:pStyle w:val="TableText"/>
                    <w:framePr w:hSpace="180" w:wrap="around" w:vAnchor="text" w:hAnchor="text" w:y="1"/>
                    <w:suppressOverlap/>
                    <w:rPr>
                      <w:u w:val="single"/>
                    </w:rPr>
                  </w:pPr>
                  <w:r w:rsidRPr="005D4222">
                    <w:rPr>
                      <w:u w:val="single"/>
                    </w:rPr>
                    <w:t>Morphine 200 mg Medications List</w:t>
                  </w:r>
                </w:p>
              </w:tc>
              <w:tc>
                <w:tcPr>
                  <w:tcW w:w="960" w:type="dxa"/>
                  <w:tcBorders>
                    <w:top w:val="single" w:sz="12" w:space="0" w:color="auto"/>
                    <w:left w:val="single" w:sz="4" w:space="0" w:color="auto"/>
                    <w:right w:val="single" w:sz="4" w:space="0" w:color="auto"/>
                  </w:tcBorders>
                  <w:tcMar>
                    <w:left w:w="58" w:type="dxa"/>
                    <w:right w:w="58" w:type="dxa"/>
                  </w:tcMar>
                </w:tcPr>
                <w:p w14:paraId="62319AE0"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2 mg</w:t>
                  </w:r>
                </w:p>
                <w:p w14:paraId="240F7438"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4 mg</w:t>
                  </w:r>
                </w:p>
                <w:p w14:paraId="7FEA50F2"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5 mg</w:t>
                  </w:r>
                </w:p>
                <w:p w14:paraId="5B30547D"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10 mg</w:t>
                  </w:r>
                </w:p>
                <w:p w14:paraId="682633EC"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15 mg</w:t>
                  </w:r>
                </w:p>
                <w:p w14:paraId="1CA2CFE2"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20 mg</w:t>
                  </w:r>
                </w:p>
                <w:p w14:paraId="2D0DE134"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20 mg</w:t>
                  </w:r>
                </w:p>
                <w:p w14:paraId="0885420A"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30 mg</w:t>
                  </w:r>
                </w:p>
                <w:p w14:paraId="7B432B4F"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40 mg</w:t>
                  </w:r>
                </w:p>
                <w:p w14:paraId="5AE15FF2"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45 mg</w:t>
                  </w:r>
                </w:p>
                <w:p w14:paraId="132AB6A3"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50 mg</w:t>
                  </w:r>
                </w:p>
                <w:p w14:paraId="68AD3805"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60 mg</w:t>
                  </w:r>
                </w:p>
                <w:p w14:paraId="584B097B"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75 mg</w:t>
                  </w:r>
                </w:p>
                <w:p w14:paraId="51B7A294"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80 mg</w:t>
                  </w:r>
                </w:p>
                <w:p w14:paraId="0CE4DB04"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90 mg</w:t>
                  </w:r>
                </w:p>
                <w:p w14:paraId="42B2D45C"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100 mg</w:t>
                  </w:r>
                </w:p>
                <w:p w14:paraId="6189B831"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120 mg</w:t>
                  </w:r>
                </w:p>
                <w:p w14:paraId="7B6C29C8"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200 mg</w:t>
                  </w:r>
                </w:p>
              </w:tc>
              <w:tc>
                <w:tcPr>
                  <w:tcW w:w="1152" w:type="dxa"/>
                  <w:tcBorders>
                    <w:top w:val="single" w:sz="12" w:space="0" w:color="auto"/>
                    <w:left w:val="single" w:sz="4" w:space="0" w:color="auto"/>
                    <w:right w:val="single" w:sz="4" w:space="0" w:color="auto"/>
                  </w:tcBorders>
                  <w:tcMar>
                    <w:left w:w="58" w:type="dxa"/>
                    <w:right w:w="58" w:type="dxa"/>
                  </w:tcMar>
                </w:tcPr>
                <w:p w14:paraId="7F8BD2C4" w14:textId="77777777" w:rsidR="00CE405F" w:rsidRPr="005D4222" w:rsidRDefault="00CE405F" w:rsidP="00BF553C">
                  <w:pPr>
                    <w:pStyle w:val="TableText"/>
                    <w:framePr w:hSpace="180" w:wrap="around" w:vAnchor="text" w:hAnchor="text" w:y="1"/>
                    <w:spacing w:before="40" w:after="40"/>
                    <w:suppressOverlap/>
                    <w:jc w:val="center"/>
                    <w:rPr>
                      <w:rFonts w:eastAsia="Arial Narrow,Times New Roman"/>
                    </w:rPr>
                  </w:pPr>
                  <w:r w:rsidRPr="005D4222">
                    <w:rPr>
                      <w:rFonts w:eastAsia="Arial Narrow,Times New Roman"/>
                    </w:rPr>
                    <w:t>1</w:t>
                  </w:r>
                </w:p>
              </w:tc>
            </w:tr>
            <w:tr w:rsidR="00CE405F" w:rsidRPr="005D4222" w14:paraId="1E215EBB" w14:textId="77777777" w:rsidTr="004E2A23">
              <w:trPr>
                <w:trHeight w:val="515"/>
              </w:trPr>
              <w:tc>
                <w:tcPr>
                  <w:tcW w:w="1584" w:type="dxa"/>
                  <w:tcBorders>
                    <w:top w:val="single" w:sz="12" w:space="0" w:color="auto"/>
                    <w:left w:val="single" w:sz="4" w:space="0" w:color="auto"/>
                    <w:bottom w:val="single" w:sz="12" w:space="0" w:color="auto"/>
                    <w:right w:val="single" w:sz="4" w:space="0" w:color="auto"/>
                  </w:tcBorders>
                  <w:tcMar>
                    <w:left w:w="58" w:type="dxa"/>
                    <w:right w:w="58" w:type="dxa"/>
                  </w:tcMar>
                </w:tcPr>
                <w:p w14:paraId="4FE2D2BC" w14:textId="77777777" w:rsidR="00CE405F" w:rsidRPr="005D4222" w:rsidRDefault="00CE405F" w:rsidP="00BF553C">
                  <w:pPr>
                    <w:pStyle w:val="TableText"/>
                    <w:framePr w:hSpace="180" w:wrap="around" w:vAnchor="text" w:hAnchor="text" w:y="1"/>
                    <w:spacing w:before="40" w:after="40"/>
                    <w:suppressOverlap/>
                  </w:pPr>
                  <w:r w:rsidRPr="005D4222">
                    <w:rPr>
                      <w:rFonts w:eastAsia="Arial Narrow,Times New Roman"/>
                    </w:rPr>
                    <w:t>Opium</w:t>
                  </w:r>
                </w:p>
              </w:tc>
              <w:tc>
                <w:tcPr>
                  <w:tcW w:w="3650" w:type="dxa"/>
                  <w:tcBorders>
                    <w:top w:val="single" w:sz="12" w:space="0" w:color="auto"/>
                    <w:left w:val="single" w:sz="4" w:space="0" w:color="auto"/>
                    <w:bottom w:val="single" w:sz="12" w:space="0" w:color="auto"/>
                    <w:right w:val="single" w:sz="4" w:space="0" w:color="auto"/>
                  </w:tcBorders>
                  <w:tcMar>
                    <w:left w:w="58" w:type="dxa"/>
                    <w:right w:w="58" w:type="dxa"/>
                  </w:tcMar>
                </w:tcPr>
                <w:p w14:paraId="4BBB5CA6" w14:textId="77777777" w:rsidR="00CE405F" w:rsidRPr="005D4222" w:rsidRDefault="00CE405F" w:rsidP="00BF553C">
                  <w:pPr>
                    <w:pStyle w:val="TableText"/>
                    <w:framePr w:hSpace="180" w:wrap="around" w:vAnchor="text" w:hAnchor="text" w:y="1"/>
                    <w:suppressOverlap/>
                    <w:rPr>
                      <w:u w:val="single"/>
                    </w:rPr>
                  </w:pPr>
                  <w:r w:rsidRPr="005D4222">
                    <w:rPr>
                      <w:u w:val="single"/>
                    </w:rPr>
                    <w:t>Belladonna Opium 30 mg Medications List</w:t>
                  </w:r>
                </w:p>
                <w:p w14:paraId="6DDE2AC9" w14:textId="77777777" w:rsidR="00CE405F" w:rsidRPr="005D4222" w:rsidRDefault="00CE405F" w:rsidP="00BF553C">
                  <w:pPr>
                    <w:pStyle w:val="TableText"/>
                    <w:framePr w:hSpace="180" w:wrap="around" w:vAnchor="text" w:hAnchor="text" w:y="1"/>
                    <w:suppressOverlap/>
                    <w:rPr>
                      <w:rFonts w:eastAsia="Arial Narrow,Times New Roman"/>
                      <w:u w:val="single"/>
                    </w:rPr>
                  </w:pPr>
                  <w:r w:rsidRPr="005D4222">
                    <w:rPr>
                      <w:u w:val="single"/>
                    </w:rPr>
                    <w:t>Belladonna Opium 60 mg Medications List</w:t>
                  </w:r>
                </w:p>
              </w:tc>
              <w:tc>
                <w:tcPr>
                  <w:tcW w:w="960" w:type="dxa"/>
                  <w:tcBorders>
                    <w:top w:val="single" w:sz="12" w:space="0" w:color="auto"/>
                    <w:left w:val="single" w:sz="4" w:space="0" w:color="auto"/>
                    <w:bottom w:val="single" w:sz="12" w:space="0" w:color="auto"/>
                    <w:right w:val="single" w:sz="4" w:space="0" w:color="auto"/>
                  </w:tcBorders>
                  <w:tcMar>
                    <w:left w:w="58" w:type="dxa"/>
                    <w:right w:w="58" w:type="dxa"/>
                  </w:tcMar>
                </w:tcPr>
                <w:p w14:paraId="7F1C6317"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30 mg</w:t>
                  </w:r>
                </w:p>
                <w:p w14:paraId="7F127624" w14:textId="77777777" w:rsidR="00CE405F" w:rsidRPr="005D4222" w:rsidRDefault="00CE405F" w:rsidP="00BF553C">
                  <w:pPr>
                    <w:pStyle w:val="TableText"/>
                    <w:framePr w:hSpace="180" w:wrap="around" w:vAnchor="text" w:hAnchor="text" w:y="1"/>
                    <w:suppressOverlap/>
                    <w:rPr>
                      <w:rFonts w:eastAsia="Arial Narrow,Times New Roman"/>
                    </w:rPr>
                  </w:pPr>
                  <w:r w:rsidRPr="005D4222">
                    <w:rPr>
                      <w:rFonts w:eastAsia="Arial Narrow,Times New Roman"/>
                    </w:rPr>
                    <w:t>60 mg</w:t>
                  </w:r>
                </w:p>
              </w:tc>
              <w:tc>
                <w:tcPr>
                  <w:tcW w:w="1152" w:type="dxa"/>
                  <w:tcBorders>
                    <w:top w:val="single" w:sz="12" w:space="0" w:color="auto"/>
                    <w:left w:val="single" w:sz="4" w:space="0" w:color="auto"/>
                    <w:bottom w:val="single" w:sz="12" w:space="0" w:color="auto"/>
                    <w:right w:val="single" w:sz="4" w:space="0" w:color="auto"/>
                  </w:tcBorders>
                  <w:tcMar>
                    <w:left w:w="58" w:type="dxa"/>
                    <w:right w:w="58" w:type="dxa"/>
                  </w:tcMar>
                </w:tcPr>
                <w:p w14:paraId="024B4EF9" w14:textId="77777777" w:rsidR="00CE405F" w:rsidRPr="005D4222" w:rsidRDefault="00CE405F" w:rsidP="00BF553C">
                  <w:pPr>
                    <w:pStyle w:val="TableText"/>
                    <w:framePr w:hSpace="180" w:wrap="around" w:vAnchor="text" w:hAnchor="text" w:y="1"/>
                    <w:suppressOverlap/>
                    <w:jc w:val="center"/>
                  </w:pPr>
                  <w:r w:rsidRPr="005D4222">
                    <w:rPr>
                      <w:rFonts w:eastAsia="Arial Narrow,Times New Roman"/>
                    </w:rPr>
                    <w:t>1</w:t>
                  </w:r>
                </w:p>
              </w:tc>
            </w:tr>
            <w:tr w:rsidR="00CE405F" w:rsidRPr="005D4222" w14:paraId="178B32FE" w14:textId="77777777" w:rsidTr="004E2A23">
              <w:tc>
                <w:tcPr>
                  <w:tcW w:w="1584" w:type="dxa"/>
                  <w:tcBorders>
                    <w:top w:val="single" w:sz="12" w:space="0" w:color="auto"/>
                    <w:left w:val="single" w:sz="4" w:space="0" w:color="auto"/>
                    <w:bottom w:val="single" w:sz="4" w:space="0" w:color="auto"/>
                    <w:right w:val="single" w:sz="4" w:space="0" w:color="auto"/>
                  </w:tcBorders>
                  <w:tcMar>
                    <w:left w:w="58" w:type="dxa"/>
                    <w:right w:w="58" w:type="dxa"/>
                  </w:tcMar>
                </w:tcPr>
                <w:p w14:paraId="013BEF3A" w14:textId="77777777" w:rsidR="00CE405F" w:rsidRPr="005D4222" w:rsidRDefault="00CE405F" w:rsidP="00BF553C">
                  <w:pPr>
                    <w:pStyle w:val="TableText"/>
                    <w:framePr w:hSpace="180" w:wrap="around" w:vAnchor="text" w:hAnchor="text" w:y="1"/>
                    <w:spacing w:before="50" w:after="50"/>
                    <w:suppressOverlap/>
                  </w:pPr>
                  <w:r w:rsidRPr="005D4222">
                    <w:rPr>
                      <w:rFonts w:eastAsia="Arial Narrow,Times New Roman"/>
                    </w:rPr>
                    <w:t>Oxycodone</w:t>
                  </w:r>
                </w:p>
              </w:tc>
              <w:tc>
                <w:tcPr>
                  <w:tcW w:w="3650" w:type="dxa"/>
                  <w:tcBorders>
                    <w:top w:val="single" w:sz="12" w:space="0" w:color="auto"/>
                    <w:left w:val="single" w:sz="4" w:space="0" w:color="auto"/>
                    <w:bottom w:val="single" w:sz="4" w:space="0" w:color="auto"/>
                    <w:right w:val="single" w:sz="4" w:space="0" w:color="auto"/>
                  </w:tcBorders>
                  <w:tcMar>
                    <w:left w:w="58" w:type="dxa"/>
                    <w:right w:w="58" w:type="dxa"/>
                  </w:tcMar>
                </w:tcPr>
                <w:p w14:paraId="73552C87" w14:textId="77777777" w:rsidR="00CE405F" w:rsidRPr="005D4222" w:rsidRDefault="00CE405F" w:rsidP="00BF553C">
                  <w:pPr>
                    <w:pStyle w:val="TableText"/>
                    <w:framePr w:hSpace="180" w:wrap="around" w:vAnchor="text" w:hAnchor="text" w:y="1"/>
                    <w:suppressOverlap/>
                    <w:rPr>
                      <w:u w:val="single"/>
                    </w:rPr>
                  </w:pPr>
                  <w:r w:rsidRPr="005D4222">
                    <w:rPr>
                      <w:u w:val="single"/>
                    </w:rPr>
                    <w:t>Oxycodone 1 MGPML Medications List</w:t>
                  </w:r>
                </w:p>
                <w:p w14:paraId="259A3A8C" w14:textId="77777777" w:rsidR="00CE405F" w:rsidRPr="005D4222" w:rsidRDefault="00CE405F" w:rsidP="00BF553C">
                  <w:pPr>
                    <w:pStyle w:val="TableText"/>
                    <w:framePr w:hSpace="180" w:wrap="around" w:vAnchor="text" w:hAnchor="text" w:y="1"/>
                    <w:suppressOverlap/>
                    <w:rPr>
                      <w:u w:val="single"/>
                    </w:rPr>
                  </w:pPr>
                  <w:r w:rsidRPr="005D4222">
                    <w:rPr>
                      <w:u w:val="single"/>
                    </w:rPr>
                    <w:t>Oxycodone 5 mg Medications List</w:t>
                  </w:r>
                </w:p>
                <w:p w14:paraId="28C4C37C" w14:textId="77777777" w:rsidR="00CE405F" w:rsidRPr="005D4222" w:rsidRDefault="00CE405F" w:rsidP="00BF553C">
                  <w:pPr>
                    <w:pStyle w:val="TableText"/>
                    <w:framePr w:hSpace="180" w:wrap="around" w:vAnchor="text" w:hAnchor="text" w:y="1"/>
                    <w:suppressOverlap/>
                    <w:rPr>
                      <w:u w:val="single"/>
                    </w:rPr>
                  </w:pPr>
                  <w:r w:rsidRPr="005D4222">
                    <w:rPr>
                      <w:u w:val="single"/>
                    </w:rPr>
                    <w:t>Oxycodone 7.5 mg Medications List</w:t>
                  </w:r>
                </w:p>
                <w:p w14:paraId="1F8C2F7C" w14:textId="77777777" w:rsidR="00CE405F" w:rsidRPr="005D4222" w:rsidRDefault="00CE405F" w:rsidP="00BF553C">
                  <w:pPr>
                    <w:pStyle w:val="TableText"/>
                    <w:framePr w:hSpace="180" w:wrap="around" w:vAnchor="text" w:hAnchor="text" w:y="1"/>
                    <w:suppressOverlap/>
                    <w:rPr>
                      <w:u w:val="single"/>
                    </w:rPr>
                  </w:pPr>
                  <w:r w:rsidRPr="005D4222">
                    <w:rPr>
                      <w:u w:val="single"/>
                    </w:rPr>
                    <w:t>Oxycodone 9 mg Medications List</w:t>
                  </w:r>
                </w:p>
                <w:p w14:paraId="60066DCE" w14:textId="77777777" w:rsidR="00CE405F" w:rsidRPr="005D4222" w:rsidRDefault="00CE405F" w:rsidP="00BF553C">
                  <w:pPr>
                    <w:pStyle w:val="TableText"/>
                    <w:framePr w:hSpace="180" w:wrap="around" w:vAnchor="text" w:hAnchor="text" w:y="1"/>
                    <w:suppressOverlap/>
                    <w:rPr>
                      <w:u w:val="single"/>
                    </w:rPr>
                  </w:pPr>
                  <w:r w:rsidRPr="005D4222">
                    <w:rPr>
                      <w:u w:val="single"/>
                    </w:rPr>
                    <w:t>Oxycodone 10 mg Medications List</w:t>
                  </w:r>
                </w:p>
                <w:p w14:paraId="64950F04" w14:textId="77777777" w:rsidR="00EA7058" w:rsidRPr="005D4222" w:rsidRDefault="00CE405F" w:rsidP="00BF553C">
                  <w:pPr>
                    <w:pStyle w:val="TableText"/>
                    <w:framePr w:hSpace="180" w:wrap="around" w:vAnchor="text" w:hAnchor="text" w:y="1"/>
                    <w:suppressOverlap/>
                    <w:rPr>
                      <w:u w:val="single"/>
                    </w:rPr>
                  </w:pPr>
                  <w:r w:rsidRPr="005D4222">
                    <w:rPr>
                      <w:u w:val="single"/>
                    </w:rPr>
                    <w:t>Oxycodone 13.5 mg Medications List</w:t>
                  </w:r>
                </w:p>
                <w:p w14:paraId="090D2C67" w14:textId="0C91B65F" w:rsidR="004960E9" w:rsidRPr="005D4222" w:rsidRDefault="004E2A23" w:rsidP="00BF553C">
                  <w:pPr>
                    <w:pStyle w:val="TableText"/>
                    <w:framePr w:hSpace="180" w:wrap="around" w:vAnchor="text" w:hAnchor="text" w:y="1"/>
                    <w:suppressOverlap/>
                    <w:rPr>
                      <w:u w:val="single"/>
                    </w:rPr>
                  </w:pPr>
                  <w:r w:rsidRPr="005D4222">
                    <w:rPr>
                      <w:u w:val="single"/>
                    </w:rPr>
                    <w:t>Oxycodone 15 mg Medications List</w:t>
                  </w:r>
                </w:p>
                <w:p w14:paraId="36FD60B2" w14:textId="5EC2C98E" w:rsidR="004E2A23" w:rsidRPr="005D4222" w:rsidRDefault="004E2A23" w:rsidP="00BF553C">
                  <w:pPr>
                    <w:pStyle w:val="TableText"/>
                    <w:framePr w:hSpace="180" w:wrap="around" w:vAnchor="text" w:hAnchor="text" w:y="1"/>
                    <w:suppressOverlap/>
                    <w:rPr>
                      <w:u w:val="single"/>
                    </w:rPr>
                  </w:pPr>
                  <w:r w:rsidRPr="005D4222">
                    <w:rPr>
                      <w:u w:val="single"/>
                    </w:rPr>
                    <w:t>Oxycodone 18 mg Medications List</w:t>
                  </w:r>
                </w:p>
                <w:p w14:paraId="1C07880C" w14:textId="77777777" w:rsidR="004960E9" w:rsidRPr="005D4222" w:rsidRDefault="004E2A23" w:rsidP="00BF553C">
                  <w:pPr>
                    <w:pStyle w:val="TableText"/>
                    <w:framePr w:hSpace="180" w:wrap="around" w:vAnchor="text" w:hAnchor="text" w:y="1"/>
                    <w:suppressOverlap/>
                    <w:rPr>
                      <w:u w:val="single"/>
                    </w:rPr>
                  </w:pPr>
                  <w:r w:rsidRPr="005D4222">
                    <w:rPr>
                      <w:u w:val="single"/>
                    </w:rPr>
                    <w:t>Oxycodone 20 mg Medications List</w:t>
                  </w:r>
                </w:p>
                <w:p w14:paraId="56209495" w14:textId="77777777" w:rsidR="00C14381" w:rsidRPr="005D4222" w:rsidRDefault="00C14381" w:rsidP="00BF553C">
                  <w:pPr>
                    <w:pStyle w:val="TableText"/>
                    <w:framePr w:hSpace="180" w:wrap="around" w:vAnchor="text" w:hAnchor="text" w:y="1"/>
                    <w:suppressOverlap/>
                    <w:rPr>
                      <w:u w:val="single"/>
                    </w:rPr>
                  </w:pPr>
                  <w:r w:rsidRPr="005D4222">
                    <w:rPr>
                      <w:u w:val="single"/>
                    </w:rPr>
                    <w:t>Oxycodone 20 MGPML Medications List</w:t>
                  </w:r>
                </w:p>
                <w:p w14:paraId="3AF10467" w14:textId="77777777" w:rsidR="00C14381" w:rsidRPr="005D4222" w:rsidRDefault="00C14381" w:rsidP="00BF553C">
                  <w:pPr>
                    <w:pStyle w:val="TableText"/>
                    <w:framePr w:hSpace="180" w:wrap="around" w:vAnchor="text" w:hAnchor="text" w:y="1"/>
                    <w:suppressOverlap/>
                    <w:rPr>
                      <w:u w:val="single"/>
                    </w:rPr>
                  </w:pPr>
                  <w:r w:rsidRPr="005D4222">
                    <w:rPr>
                      <w:u w:val="single"/>
                    </w:rPr>
                    <w:t>Oxycodone 27 mg Medications List</w:t>
                  </w:r>
                </w:p>
                <w:p w14:paraId="4B42A8F3" w14:textId="77777777" w:rsidR="00C14381" w:rsidRPr="005D4222" w:rsidRDefault="00C14381" w:rsidP="00BF553C">
                  <w:pPr>
                    <w:pStyle w:val="TableText"/>
                    <w:framePr w:hSpace="180" w:wrap="around" w:vAnchor="text" w:hAnchor="text" w:y="1"/>
                    <w:suppressOverlap/>
                    <w:rPr>
                      <w:u w:val="single"/>
                    </w:rPr>
                  </w:pPr>
                  <w:r w:rsidRPr="005D4222">
                    <w:rPr>
                      <w:u w:val="single"/>
                    </w:rPr>
                    <w:t>Oxycodone 30 mg Medications List</w:t>
                  </w:r>
                </w:p>
                <w:p w14:paraId="575861B2" w14:textId="77777777" w:rsidR="00C14381" w:rsidRPr="005D4222" w:rsidRDefault="00C14381" w:rsidP="00BF553C">
                  <w:pPr>
                    <w:pStyle w:val="TableText"/>
                    <w:framePr w:hSpace="180" w:wrap="around" w:vAnchor="text" w:hAnchor="text" w:y="1"/>
                    <w:suppressOverlap/>
                    <w:rPr>
                      <w:u w:val="single"/>
                    </w:rPr>
                  </w:pPr>
                  <w:r w:rsidRPr="005D4222">
                    <w:rPr>
                      <w:u w:val="single"/>
                    </w:rPr>
                    <w:t>Oxycodone 36 mg Medications List</w:t>
                  </w:r>
                </w:p>
                <w:p w14:paraId="789921AA" w14:textId="77777777" w:rsidR="00C14381" w:rsidRPr="005D4222" w:rsidRDefault="00C14381" w:rsidP="00BF553C">
                  <w:pPr>
                    <w:pStyle w:val="TableText"/>
                    <w:framePr w:hSpace="180" w:wrap="around" w:vAnchor="text" w:hAnchor="text" w:y="1"/>
                    <w:suppressOverlap/>
                    <w:rPr>
                      <w:u w:val="single"/>
                    </w:rPr>
                  </w:pPr>
                  <w:r w:rsidRPr="005D4222">
                    <w:rPr>
                      <w:u w:val="single"/>
                    </w:rPr>
                    <w:t>Oxycodone 40 mg Medications List</w:t>
                  </w:r>
                </w:p>
                <w:p w14:paraId="29681714" w14:textId="4323209B" w:rsidR="00EA7058" w:rsidRPr="005D4222" w:rsidRDefault="00C14381" w:rsidP="00BF553C">
                  <w:pPr>
                    <w:pStyle w:val="TableText"/>
                    <w:framePr w:hSpace="180" w:wrap="around" w:vAnchor="text" w:hAnchor="text" w:y="1"/>
                    <w:suppressOverlap/>
                    <w:rPr>
                      <w:u w:val="single"/>
                    </w:rPr>
                  </w:pPr>
                  <w:r w:rsidRPr="005D4222">
                    <w:rPr>
                      <w:u w:val="single"/>
                    </w:rPr>
                    <w:t>Oxycodone 60 mg Medications List</w:t>
                  </w:r>
                </w:p>
              </w:tc>
              <w:tc>
                <w:tcPr>
                  <w:tcW w:w="960" w:type="dxa"/>
                  <w:tcBorders>
                    <w:top w:val="single" w:sz="12" w:space="0" w:color="auto"/>
                    <w:left w:val="single" w:sz="4" w:space="0" w:color="auto"/>
                    <w:bottom w:val="single" w:sz="4" w:space="0" w:color="auto"/>
                    <w:right w:val="single" w:sz="4" w:space="0" w:color="auto"/>
                  </w:tcBorders>
                  <w:tcMar>
                    <w:left w:w="58" w:type="dxa"/>
                    <w:right w:w="58" w:type="dxa"/>
                  </w:tcMar>
                </w:tcPr>
                <w:p w14:paraId="194A26FF" w14:textId="77777777" w:rsidR="00CE405F" w:rsidRPr="005D4222" w:rsidRDefault="00CE405F" w:rsidP="00BF553C">
                  <w:pPr>
                    <w:pStyle w:val="TableText"/>
                    <w:framePr w:hSpace="180" w:wrap="around" w:vAnchor="text" w:hAnchor="text" w:y="1"/>
                    <w:suppressOverlap/>
                  </w:pPr>
                  <w:r w:rsidRPr="005D4222">
                    <w:t>1 mg</w:t>
                  </w:r>
                </w:p>
                <w:p w14:paraId="4CC6B81D" w14:textId="77777777" w:rsidR="00CE405F" w:rsidRPr="005D4222" w:rsidRDefault="00CE405F" w:rsidP="00BF553C">
                  <w:pPr>
                    <w:pStyle w:val="TableText"/>
                    <w:framePr w:hSpace="180" w:wrap="around" w:vAnchor="text" w:hAnchor="text" w:y="1"/>
                    <w:suppressOverlap/>
                  </w:pPr>
                  <w:r w:rsidRPr="005D4222">
                    <w:t>5 mg</w:t>
                  </w:r>
                </w:p>
                <w:p w14:paraId="7E920234" w14:textId="77777777" w:rsidR="00CE405F" w:rsidRPr="005D4222" w:rsidRDefault="00CE405F" w:rsidP="00BF553C">
                  <w:pPr>
                    <w:pStyle w:val="TableText"/>
                    <w:framePr w:hSpace="180" w:wrap="around" w:vAnchor="text" w:hAnchor="text" w:y="1"/>
                    <w:suppressOverlap/>
                  </w:pPr>
                  <w:r w:rsidRPr="005D4222">
                    <w:t>7.5 mg</w:t>
                  </w:r>
                </w:p>
                <w:p w14:paraId="426B84A5" w14:textId="77777777" w:rsidR="00CE405F" w:rsidRPr="005D4222" w:rsidRDefault="00CE405F" w:rsidP="00BF553C">
                  <w:pPr>
                    <w:pStyle w:val="TableText"/>
                    <w:framePr w:hSpace="180" w:wrap="around" w:vAnchor="text" w:hAnchor="text" w:y="1"/>
                    <w:suppressOverlap/>
                  </w:pPr>
                  <w:r w:rsidRPr="005D4222">
                    <w:t>9 mg</w:t>
                  </w:r>
                </w:p>
                <w:p w14:paraId="31CC7C3E" w14:textId="77777777" w:rsidR="00CE405F" w:rsidRPr="005D4222" w:rsidRDefault="00CE405F" w:rsidP="00BF553C">
                  <w:pPr>
                    <w:pStyle w:val="TableText"/>
                    <w:framePr w:hSpace="180" w:wrap="around" w:vAnchor="text" w:hAnchor="text" w:y="1"/>
                    <w:suppressOverlap/>
                  </w:pPr>
                  <w:r w:rsidRPr="005D4222">
                    <w:t>10 mg</w:t>
                  </w:r>
                </w:p>
                <w:p w14:paraId="57D16BC0" w14:textId="77777777" w:rsidR="00CE405F" w:rsidRPr="005D4222" w:rsidRDefault="00CE405F" w:rsidP="00BF553C">
                  <w:pPr>
                    <w:pStyle w:val="TableText"/>
                    <w:framePr w:hSpace="180" w:wrap="around" w:vAnchor="text" w:hAnchor="text" w:y="1"/>
                    <w:suppressOverlap/>
                  </w:pPr>
                  <w:r w:rsidRPr="005D4222">
                    <w:t>13.5 mg</w:t>
                  </w:r>
                </w:p>
                <w:p w14:paraId="6A2566B4" w14:textId="3168CD4E" w:rsidR="004E2A23" w:rsidRPr="005D4222" w:rsidRDefault="004E2A23" w:rsidP="00BF553C">
                  <w:pPr>
                    <w:pStyle w:val="TableText"/>
                    <w:framePr w:hSpace="180" w:wrap="around" w:vAnchor="text" w:hAnchor="text" w:y="1"/>
                    <w:suppressOverlap/>
                  </w:pPr>
                  <w:r w:rsidRPr="005D4222">
                    <w:t>15 mg</w:t>
                  </w:r>
                </w:p>
                <w:p w14:paraId="3555246F" w14:textId="695BCA99" w:rsidR="004E2A23" w:rsidRPr="005D4222" w:rsidRDefault="004E2A23" w:rsidP="00BF553C">
                  <w:pPr>
                    <w:pStyle w:val="TableText"/>
                    <w:framePr w:hSpace="180" w:wrap="around" w:vAnchor="text" w:hAnchor="text" w:y="1"/>
                    <w:suppressOverlap/>
                  </w:pPr>
                  <w:r w:rsidRPr="005D4222">
                    <w:t>18 mg</w:t>
                  </w:r>
                </w:p>
                <w:p w14:paraId="4D73AD31" w14:textId="77777777" w:rsidR="004960E9" w:rsidRPr="005D4222" w:rsidRDefault="004E2A23" w:rsidP="00BF553C">
                  <w:pPr>
                    <w:pStyle w:val="TableText"/>
                    <w:framePr w:hSpace="180" w:wrap="around" w:vAnchor="text" w:hAnchor="text" w:y="1"/>
                    <w:suppressOverlap/>
                  </w:pPr>
                  <w:r w:rsidRPr="005D4222">
                    <w:t>20 mg</w:t>
                  </w:r>
                </w:p>
                <w:p w14:paraId="6E250EEC" w14:textId="77777777" w:rsidR="00C14381" w:rsidRPr="005D4222" w:rsidRDefault="00C14381" w:rsidP="00BF553C">
                  <w:pPr>
                    <w:pStyle w:val="TableText"/>
                    <w:framePr w:hSpace="180" w:wrap="around" w:vAnchor="text" w:hAnchor="text" w:y="1"/>
                    <w:suppressOverlap/>
                  </w:pPr>
                  <w:r w:rsidRPr="005D4222">
                    <w:t>20 mg</w:t>
                  </w:r>
                </w:p>
                <w:p w14:paraId="1EBA7523" w14:textId="77777777" w:rsidR="00C14381" w:rsidRPr="005D4222" w:rsidRDefault="00C14381" w:rsidP="00BF553C">
                  <w:pPr>
                    <w:pStyle w:val="TableText"/>
                    <w:framePr w:hSpace="180" w:wrap="around" w:vAnchor="text" w:hAnchor="text" w:y="1"/>
                    <w:suppressOverlap/>
                  </w:pPr>
                  <w:r w:rsidRPr="005D4222">
                    <w:t>27 mg</w:t>
                  </w:r>
                </w:p>
                <w:p w14:paraId="722C8DDD" w14:textId="77777777" w:rsidR="00C14381" w:rsidRPr="005D4222" w:rsidRDefault="00C14381" w:rsidP="00BF553C">
                  <w:pPr>
                    <w:pStyle w:val="TableText"/>
                    <w:framePr w:hSpace="180" w:wrap="around" w:vAnchor="text" w:hAnchor="text" w:y="1"/>
                    <w:suppressOverlap/>
                  </w:pPr>
                  <w:r w:rsidRPr="005D4222">
                    <w:t>30 mg</w:t>
                  </w:r>
                </w:p>
                <w:p w14:paraId="324B426F" w14:textId="77777777" w:rsidR="00C14381" w:rsidRPr="005D4222" w:rsidRDefault="00C14381" w:rsidP="00BF553C">
                  <w:pPr>
                    <w:pStyle w:val="TableText"/>
                    <w:framePr w:hSpace="180" w:wrap="around" w:vAnchor="text" w:hAnchor="text" w:y="1"/>
                    <w:suppressOverlap/>
                  </w:pPr>
                  <w:r w:rsidRPr="005D4222">
                    <w:t>36 mg</w:t>
                  </w:r>
                </w:p>
                <w:p w14:paraId="0C406C93" w14:textId="77777777" w:rsidR="00C14381" w:rsidRPr="005D4222" w:rsidRDefault="00C14381" w:rsidP="00BF553C">
                  <w:pPr>
                    <w:pStyle w:val="TableText"/>
                    <w:framePr w:hSpace="180" w:wrap="around" w:vAnchor="text" w:hAnchor="text" w:y="1"/>
                    <w:suppressOverlap/>
                  </w:pPr>
                  <w:r w:rsidRPr="005D4222">
                    <w:t>40 mg</w:t>
                  </w:r>
                </w:p>
                <w:p w14:paraId="332F1228" w14:textId="08987FE5" w:rsidR="00CE405F" w:rsidRPr="005D4222" w:rsidRDefault="00C14381" w:rsidP="00BF553C">
                  <w:pPr>
                    <w:pStyle w:val="TableText"/>
                    <w:framePr w:hSpace="180" w:wrap="around" w:vAnchor="text" w:hAnchor="text" w:y="1"/>
                    <w:suppressOverlap/>
                  </w:pPr>
                  <w:r w:rsidRPr="005D4222">
                    <w:t>60 mg</w:t>
                  </w:r>
                </w:p>
              </w:tc>
              <w:tc>
                <w:tcPr>
                  <w:tcW w:w="1152" w:type="dxa"/>
                  <w:tcBorders>
                    <w:top w:val="single" w:sz="12" w:space="0" w:color="auto"/>
                    <w:left w:val="single" w:sz="4" w:space="0" w:color="auto"/>
                    <w:bottom w:val="single" w:sz="4" w:space="0" w:color="auto"/>
                    <w:right w:val="single" w:sz="4" w:space="0" w:color="auto"/>
                  </w:tcBorders>
                  <w:tcMar>
                    <w:left w:w="58" w:type="dxa"/>
                    <w:right w:w="58" w:type="dxa"/>
                  </w:tcMar>
                </w:tcPr>
                <w:p w14:paraId="2FD84992" w14:textId="77777777" w:rsidR="00CE405F" w:rsidRPr="005D4222" w:rsidRDefault="00CE405F" w:rsidP="00BF553C">
                  <w:pPr>
                    <w:pStyle w:val="TableText"/>
                    <w:framePr w:hSpace="180" w:wrap="around" w:vAnchor="text" w:hAnchor="text" w:y="1"/>
                    <w:suppressOverlap/>
                    <w:jc w:val="center"/>
                  </w:pPr>
                  <w:r w:rsidRPr="005D4222">
                    <w:t>1.5</w:t>
                  </w:r>
                </w:p>
              </w:tc>
            </w:tr>
          </w:tbl>
          <w:p w14:paraId="7F4F67EE" w14:textId="77777777" w:rsidR="004960E9" w:rsidRPr="005D4222" w:rsidRDefault="004960E9">
            <w:pPr>
              <w:rPr>
                <w:sz w:val="10"/>
                <w:szCs w:val="10"/>
              </w:rPr>
            </w:pPr>
          </w:p>
          <w:p w14:paraId="5BF30BFF" w14:textId="49B9AE0C" w:rsidR="00CE405F" w:rsidRPr="005D4222" w:rsidRDefault="00CE405F" w:rsidP="00CE405F">
            <w:pPr>
              <w:rPr>
                <w:sz w:val="10"/>
                <w:szCs w:val="10"/>
              </w:rPr>
            </w:pPr>
          </w:p>
        </w:tc>
      </w:tr>
      <w:tr w:rsidR="004E2A23" w:rsidRPr="005D4222" w14:paraId="76557F4A" w14:textId="77777777" w:rsidTr="00CE405F">
        <w:tc>
          <w:tcPr>
            <w:tcW w:w="2158" w:type="dxa"/>
            <w:tcBorders>
              <w:top w:val="single" w:sz="4" w:space="0" w:color="auto"/>
              <w:left w:val="single" w:sz="2" w:space="0" w:color="auto"/>
              <w:bottom w:val="single" w:sz="4" w:space="0" w:color="auto"/>
              <w:right w:val="single" w:sz="2" w:space="0" w:color="auto"/>
            </w:tcBorders>
            <w:shd w:val="clear" w:color="auto" w:fill="BFBFBF" w:themeFill="background1" w:themeFillShade="BF"/>
            <w:noWrap/>
            <w:tcMar>
              <w:top w:w="0" w:type="dxa"/>
              <w:left w:w="86" w:type="dxa"/>
              <w:bottom w:w="43" w:type="dxa"/>
              <w:right w:w="86" w:type="dxa"/>
            </w:tcMar>
          </w:tcPr>
          <w:p w14:paraId="2B7669D3" w14:textId="77777777" w:rsidR="004E2A23" w:rsidRPr="005D4222" w:rsidRDefault="004E2A23">
            <w:pPr>
              <w:pStyle w:val="ECDSMarginHead"/>
            </w:pPr>
          </w:p>
        </w:tc>
        <w:tc>
          <w:tcPr>
            <w:tcW w:w="7558" w:type="dxa"/>
            <w:tcBorders>
              <w:top w:val="single" w:sz="4" w:space="0" w:color="auto"/>
              <w:left w:val="single" w:sz="4" w:space="0" w:color="auto"/>
              <w:bottom w:val="single" w:sz="4" w:space="0" w:color="auto"/>
              <w:right w:val="single" w:sz="4" w:space="0" w:color="auto"/>
            </w:tcBorders>
            <w:noWrap/>
            <w:tcMar>
              <w:top w:w="0" w:type="dxa"/>
              <w:left w:w="86" w:type="dxa"/>
              <w:bottom w:w="43" w:type="dxa"/>
              <w:right w:w="86" w:type="dxa"/>
            </w:tcMar>
            <w:vAlign w:val="center"/>
          </w:tcPr>
          <w:p w14:paraId="526F4A75" w14:textId="77777777" w:rsidR="004E2A23" w:rsidRPr="005D4222" w:rsidRDefault="004E2A23" w:rsidP="004E2A23">
            <w:pPr>
              <w:rPr>
                <w:sz w:val="10"/>
                <w:szCs w:val="1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84"/>
              <w:gridCol w:w="3650"/>
              <w:gridCol w:w="960"/>
              <w:gridCol w:w="1152"/>
            </w:tblGrid>
            <w:tr w:rsidR="004E2A23" w:rsidRPr="005D4222" w14:paraId="1AF469DF" w14:textId="77777777" w:rsidTr="00723676">
              <w:trPr>
                <w:tblHeader/>
              </w:trPr>
              <w:tc>
                <w:tcPr>
                  <w:tcW w:w="1584" w:type="dxa"/>
                  <w:tcBorders>
                    <w:bottom w:val="single" w:sz="4" w:space="0" w:color="auto"/>
                    <w:right w:val="single" w:sz="6" w:space="0" w:color="FFFFFF" w:themeColor="background1"/>
                  </w:tcBorders>
                  <w:shd w:val="clear" w:color="auto" w:fill="000000" w:themeFill="text1"/>
                  <w:tcMar>
                    <w:left w:w="58" w:type="dxa"/>
                    <w:right w:w="58" w:type="dxa"/>
                  </w:tcMar>
                  <w:vAlign w:val="bottom"/>
                </w:tcPr>
                <w:p w14:paraId="12883EBA" w14:textId="77777777" w:rsidR="004E2A23" w:rsidRPr="005D4222" w:rsidRDefault="004E2A23" w:rsidP="00BF553C">
                  <w:pPr>
                    <w:pStyle w:val="TableHead"/>
                    <w:framePr w:hSpace="180" w:wrap="around" w:vAnchor="text" w:hAnchor="text" w:y="1"/>
                    <w:spacing w:before="80" w:after="80"/>
                    <w:suppressOverlap/>
                  </w:pPr>
                  <w:r w:rsidRPr="005D4222">
                    <w:rPr>
                      <w:rFonts w:eastAsia="Arial Narrow,Times New Roman"/>
                    </w:rPr>
                    <w:t>Type of Opioid</w:t>
                  </w:r>
                </w:p>
              </w:tc>
              <w:tc>
                <w:tcPr>
                  <w:tcW w:w="3650" w:type="dxa"/>
                  <w:tcBorders>
                    <w:left w:val="single" w:sz="6" w:space="0" w:color="FFFFFF" w:themeColor="background1"/>
                    <w:bottom w:val="single" w:sz="4" w:space="0" w:color="auto"/>
                    <w:right w:val="single" w:sz="6" w:space="0" w:color="FFFFFF" w:themeColor="background1"/>
                  </w:tcBorders>
                  <w:shd w:val="clear" w:color="auto" w:fill="000000" w:themeFill="text1"/>
                  <w:tcMar>
                    <w:left w:w="58" w:type="dxa"/>
                    <w:right w:w="58" w:type="dxa"/>
                  </w:tcMar>
                  <w:vAlign w:val="bottom"/>
                </w:tcPr>
                <w:p w14:paraId="0FDB1F58" w14:textId="77777777" w:rsidR="004E2A23" w:rsidRPr="005D4222" w:rsidRDefault="004E2A23" w:rsidP="00BF553C">
                  <w:pPr>
                    <w:pStyle w:val="TableHead"/>
                    <w:framePr w:hSpace="180" w:wrap="around" w:vAnchor="text" w:hAnchor="text" w:y="1"/>
                    <w:spacing w:before="80" w:after="80"/>
                    <w:suppressOverlap/>
                    <w:rPr>
                      <w:rFonts w:eastAsia="Arial Narrow,Times New Roman"/>
                    </w:rPr>
                  </w:pPr>
                  <w:r w:rsidRPr="005D4222">
                    <w:rPr>
                      <w:rFonts w:eastAsia="Arial Narrow,Times New Roman"/>
                    </w:rPr>
                    <w:t>Medication Lists</w:t>
                  </w:r>
                </w:p>
              </w:tc>
              <w:tc>
                <w:tcPr>
                  <w:tcW w:w="960" w:type="dxa"/>
                  <w:tcBorders>
                    <w:left w:val="single" w:sz="6" w:space="0" w:color="FFFFFF" w:themeColor="background1"/>
                    <w:bottom w:val="single" w:sz="4" w:space="0" w:color="auto"/>
                    <w:right w:val="single" w:sz="6" w:space="0" w:color="FFFFFF" w:themeColor="background1"/>
                  </w:tcBorders>
                  <w:shd w:val="clear" w:color="auto" w:fill="000000" w:themeFill="text1"/>
                  <w:tcMar>
                    <w:left w:w="58" w:type="dxa"/>
                    <w:right w:w="58" w:type="dxa"/>
                  </w:tcMar>
                  <w:vAlign w:val="bottom"/>
                </w:tcPr>
                <w:p w14:paraId="644E282A" w14:textId="77777777" w:rsidR="004E2A23" w:rsidRPr="005D4222" w:rsidRDefault="004E2A23" w:rsidP="00BF553C">
                  <w:pPr>
                    <w:pStyle w:val="TableHead"/>
                    <w:framePr w:hSpace="180" w:wrap="around" w:vAnchor="text" w:hAnchor="text" w:y="1"/>
                    <w:spacing w:before="80" w:after="80"/>
                    <w:suppressOverlap/>
                    <w:rPr>
                      <w:rFonts w:eastAsia="Arial Narrow,Times New Roman"/>
                    </w:rPr>
                  </w:pPr>
                  <w:r w:rsidRPr="005D4222">
                    <w:rPr>
                      <w:rFonts w:eastAsia="Arial Narrow,Times New Roman"/>
                    </w:rPr>
                    <w:t>Strength</w:t>
                  </w:r>
                </w:p>
              </w:tc>
              <w:tc>
                <w:tcPr>
                  <w:tcW w:w="1152" w:type="dxa"/>
                  <w:tcBorders>
                    <w:left w:val="single" w:sz="6" w:space="0" w:color="FFFFFF" w:themeColor="background1"/>
                    <w:bottom w:val="single" w:sz="4" w:space="0" w:color="auto"/>
                    <w:right w:val="single" w:sz="4" w:space="0" w:color="auto"/>
                  </w:tcBorders>
                  <w:shd w:val="clear" w:color="auto" w:fill="000000" w:themeFill="text1"/>
                  <w:tcMar>
                    <w:left w:w="58" w:type="dxa"/>
                    <w:right w:w="58" w:type="dxa"/>
                  </w:tcMar>
                  <w:vAlign w:val="bottom"/>
                </w:tcPr>
                <w:p w14:paraId="2567D21D" w14:textId="77777777" w:rsidR="004E2A23" w:rsidRPr="005D4222" w:rsidRDefault="004E2A23" w:rsidP="00BF553C">
                  <w:pPr>
                    <w:pStyle w:val="TableHead"/>
                    <w:framePr w:hSpace="180" w:wrap="around" w:vAnchor="text" w:hAnchor="text" w:y="1"/>
                    <w:spacing w:before="80" w:after="80"/>
                    <w:suppressOverlap/>
                  </w:pPr>
                  <w:r w:rsidRPr="005D4222">
                    <w:rPr>
                      <w:rFonts w:eastAsia="Arial Narrow,Times New Roman"/>
                    </w:rPr>
                    <w:t>MME Conversion Factor</w:t>
                  </w:r>
                </w:p>
              </w:tc>
            </w:tr>
            <w:tr w:rsidR="004E2A23" w:rsidRPr="005D4222" w14:paraId="7767D522" w14:textId="77777777" w:rsidTr="00723676">
              <w:tc>
                <w:tcPr>
                  <w:tcW w:w="1584" w:type="dxa"/>
                  <w:tcBorders>
                    <w:top w:val="single" w:sz="4" w:space="0" w:color="auto"/>
                    <w:left w:val="single" w:sz="4" w:space="0" w:color="auto"/>
                    <w:bottom w:val="single" w:sz="4" w:space="0" w:color="auto"/>
                    <w:right w:val="single" w:sz="4" w:space="0" w:color="auto"/>
                  </w:tcBorders>
                  <w:tcMar>
                    <w:left w:w="58" w:type="dxa"/>
                    <w:right w:w="58" w:type="dxa"/>
                  </w:tcMar>
                </w:tcPr>
                <w:p w14:paraId="2D8E407E" w14:textId="77777777" w:rsidR="004E2A23" w:rsidRPr="005D4222" w:rsidRDefault="004E2A23" w:rsidP="00BF553C">
                  <w:pPr>
                    <w:pStyle w:val="TableText"/>
                    <w:framePr w:hSpace="180" w:wrap="around" w:vAnchor="text" w:hAnchor="text" w:y="1"/>
                    <w:suppressOverlap/>
                    <w:rPr>
                      <w:rFonts w:eastAsia="Arial Narrow,Times New Roman"/>
                    </w:rPr>
                  </w:pPr>
                </w:p>
              </w:tc>
              <w:tc>
                <w:tcPr>
                  <w:tcW w:w="3650" w:type="dxa"/>
                  <w:tcBorders>
                    <w:top w:val="single" w:sz="4" w:space="0" w:color="auto"/>
                    <w:left w:val="single" w:sz="4" w:space="0" w:color="auto"/>
                    <w:bottom w:val="single" w:sz="4" w:space="0" w:color="auto"/>
                    <w:right w:val="single" w:sz="4" w:space="0" w:color="auto"/>
                  </w:tcBorders>
                  <w:tcMar>
                    <w:left w:w="58" w:type="dxa"/>
                    <w:right w:w="58" w:type="dxa"/>
                  </w:tcMar>
                </w:tcPr>
                <w:p w14:paraId="0682047B" w14:textId="77777777" w:rsidR="004E2A23" w:rsidRPr="005D4222" w:rsidRDefault="004E2A23" w:rsidP="00BF553C">
                  <w:pPr>
                    <w:pStyle w:val="TableText"/>
                    <w:framePr w:hSpace="180" w:wrap="around" w:vAnchor="text" w:hAnchor="text" w:y="1"/>
                    <w:suppressOverlap/>
                    <w:rPr>
                      <w:u w:val="single"/>
                    </w:rPr>
                  </w:pPr>
                  <w:r w:rsidRPr="005D4222">
                    <w:rPr>
                      <w:u w:val="single"/>
                    </w:rPr>
                    <w:t>Oxycodone 80 mg Medications List</w:t>
                  </w:r>
                </w:p>
              </w:tc>
              <w:tc>
                <w:tcPr>
                  <w:tcW w:w="960" w:type="dxa"/>
                  <w:tcBorders>
                    <w:top w:val="single" w:sz="4" w:space="0" w:color="auto"/>
                    <w:left w:val="single" w:sz="4" w:space="0" w:color="auto"/>
                    <w:bottom w:val="single" w:sz="4" w:space="0" w:color="auto"/>
                    <w:right w:val="single" w:sz="4" w:space="0" w:color="auto"/>
                  </w:tcBorders>
                  <w:tcMar>
                    <w:left w:w="58" w:type="dxa"/>
                    <w:right w:w="58" w:type="dxa"/>
                  </w:tcMar>
                </w:tcPr>
                <w:p w14:paraId="176C5DC2" w14:textId="77777777" w:rsidR="004E2A23" w:rsidRPr="005D4222" w:rsidRDefault="004E2A23" w:rsidP="00BF553C">
                  <w:pPr>
                    <w:pStyle w:val="TableText"/>
                    <w:framePr w:hSpace="180" w:wrap="around" w:vAnchor="text" w:hAnchor="text" w:y="1"/>
                    <w:suppressOverlap/>
                  </w:pPr>
                  <w:r w:rsidRPr="005D4222">
                    <w:t>80 mg</w:t>
                  </w:r>
                </w:p>
              </w:tc>
              <w:tc>
                <w:tcPr>
                  <w:tcW w:w="1152" w:type="dxa"/>
                  <w:tcBorders>
                    <w:top w:val="single" w:sz="4" w:space="0" w:color="auto"/>
                    <w:left w:val="single" w:sz="4" w:space="0" w:color="auto"/>
                    <w:bottom w:val="single" w:sz="4" w:space="0" w:color="auto"/>
                    <w:right w:val="single" w:sz="4" w:space="0" w:color="auto"/>
                  </w:tcBorders>
                  <w:tcMar>
                    <w:left w:w="58" w:type="dxa"/>
                    <w:right w:w="58" w:type="dxa"/>
                  </w:tcMar>
                </w:tcPr>
                <w:p w14:paraId="3355A355" w14:textId="77777777" w:rsidR="004E2A23" w:rsidRPr="005D4222" w:rsidRDefault="004E2A23" w:rsidP="00BF553C">
                  <w:pPr>
                    <w:pStyle w:val="TableText"/>
                    <w:framePr w:hSpace="180" w:wrap="around" w:vAnchor="text" w:hAnchor="text" w:y="1"/>
                    <w:suppressOverlap/>
                  </w:pPr>
                </w:p>
              </w:tc>
            </w:tr>
            <w:tr w:rsidR="004E2A23" w:rsidRPr="005D4222" w14:paraId="66B2D504" w14:textId="77777777" w:rsidTr="00723676">
              <w:tc>
                <w:tcPr>
                  <w:tcW w:w="1584" w:type="dxa"/>
                  <w:tcBorders>
                    <w:top w:val="single" w:sz="4" w:space="0" w:color="auto"/>
                    <w:left w:val="single" w:sz="4" w:space="0" w:color="auto"/>
                    <w:right w:val="single" w:sz="4" w:space="0" w:color="auto"/>
                  </w:tcBorders>
                  <w:tcMar>
                    <w:left w:w="58" w:type="dxa"/>
                    <w:right w:w="58" w:type="dxa"/>
                  </w:tcMar>
                </w:tcPr>
                <w:p w14:paraId="656870B6" w14:textId="77777777" w:rsidR="004E2A23" w:rsidRPr="005D4222" w:rsidRDefault="004E2A23" w:rsidP="00BF553C">
                  <w:pPr>
                    <w:pStyle w:val="TableText"/>
                    <w:framePr w:hSpace="180" w:wrap="around" w:vAnchor="text" w:hAnchor="text" w:y="1"/>
                    <w:spacing w:before="50" w:after="50"/>
                    <w:suppressOverlap/>
                    <w:rPr>
                      <w:rFonts w:eastAsia="Arial Narrow,Times New Roman"/>
                    </w:rPr>
                  </w:pPr>
                  <w:r w:rsidRPr="005D4222">
                    <w:rPr>
                      <w:rFonts w:eastAsia="Arial Narrow,Times New Roman"/>
                    </w:rPr>
                    <w:t>Oxycodone</w:t>
                  </w:r>
                </w:p>
              </w:tc>
              <w:tc>
                <w:tcPr>
                  <w:tcW w:w="3650" w:type="dxa"/>
                  <w:tcBorders>
                    <w:top w:val="single" w:sz="4" w:space="0" w:color="auto"/>
                    <w:left w:val="single" w:sz="4" w:space="0" w:color="auto"/>
                    <w:right w:val="single" w:sz="4" w:space="0" w:color="auto"/>
                  </w:tcBorders>
                  <w:tcMar>
                    <w:left w:w="58" w:type="dxa"/>
                    <w:right w:w="58" w:type="dxa"/>
                  </w:tcMar>
                </w:tcPr>
                <w:p w14:paraId="72B8DD97" w14:textId="77777777" w:rsidR="004E2A23" w:rsidRPr="005D4222" w:rsidRDefault="004E2A23" w:rsidP="00BF553C">
                  <w:pPr>
                    <w:pStyle w:val="TableText"/>
                    <w:framePr w:hSpace="180" w:wrap="around" w:vAnchor="text" w:hAnchor="text" w:y="1"/>
                    <w:suppressOverlap/>
                    <w:rPr>
                      <w:u w:val="single"/>
                    </w:rPr>
                  </w:pPr>
                  <w:r w:rsidRPr="005D4222">
                    <w:rPr>
                      <w:u w:val="single"/>
                    </w:rPr>
                    <w:t>Acetaminophen Oxycodone 1 MGPML Medications List</w:t>
                  </w:r>
                </w:p>
                <w:p w14:paraId="3919E424" w14:textId="77777777" w:rsidR="004E2A23" w:rsidRPr="005D4222" w:rsidRDefault="004E2A23" w:rsidP="00BF553C">
                  <w:pPr>
                    <w:pStyle w:val="TableText"/>
                    <w:framePr w:hSpace="180" w:wrap="around" w:vAnchor="text" w:hAnchor="text" w:y="1"/>
                    <w:suppressOverlap/>
                    <w:rPr>
                      <w:u w:val="single"/>
                    </w:rPr>
                  </w:pPr>
                  <w:r w:rsidRPr="005D4222">
                    <w:rPr>
                      <w:u w:val="single"/>
                    </w:rPr>
                    <w:t>Acetaminophen Oxycodone 2 MGPML Medications List</w:t>
                  </w:r>
                </w:p>
                <w:p w14:paraId="3151FD57" w14:textId="77777777" w:rsidR="004E2A23" w:rsidRPr="005D4222" w:rsidRDefault="004E2A23" w:rsidP="00BF553C">
                  <w:pPr>
                    <w:pStyle w:val="TableText"/>
                    <w:framePr w:hSpace="180" w:wrap="around" w:vAnchor="text" w:hAnchor="text" w:y="1"/>
                    <w:suppressOverlap/>
                    <w:rPr>
                      <w:u w:val="single"/>
                    </w:rPr>
                  </w:pPr>
                  <w:r w:rsidRPr="005D4222">
                    <w:rPr>
                      <w:u w:val="single"/>
                    </w:rPr>
                    <w:t>Acetaminophen Oxycodone 2.5 mg Medications List</w:t>
                  </w:r>
                </w:p>
                <w:p w14:paraId="3170B84A" w14:textId="77777777" w:rsidR="004E2A23" w:rsidRPr="005D4222" w:rsidRDefault="004E2A23" w:rsidP="00BF553C">
                  <w:pPr>
                    <w:pStyle w:val="TableText"/>
                    <w:framePr w:hSpace="180" w:wrap="around" w:vAnchor="text" w:hAnchor="text" w:y="1"/>
                    <w:suppressOverlap/>
                    <w:rPr>
                      <w:u w:val="single"/>
                    </w:rPr>
                  </w:pPr>
                  <w:r w:rsidRPr="005D4222">
                    <w:rPr>
                      <w:u w:val="single"/>
                    </w:rPr>
                    <w:t>Acetaminophen Oxycodone 5 mg Medications List</w:t>
                  </w:r>
                </w:p>
                <w:p w14:paraId="4C5AC5E0" w14:textId="77777777" w:rsidR="004E2A23" w:rsidRPr="005D4222" w:rsidRDefault="004E2A23" w:rsidP="00BF553C">
                  <w:pPr>
                    <w:pStyle w:val="TableText"/>
                    <w:framePr w:hSpace="180" w:wrap="around" w:vAnchor="text" w:hAnchor="text" w:y="1"/>
                    <w:suppressOverlap/>
                    <w:rPr>
                      <w:u w:val="single"/>
                    </w:rPr>
                  </w:pPr>
                  <w:r w:rsidRPr="005D4222">
                    <w:rPr>
                      <w:u w:val="single"/>
                    </w:rPr>
                    <w:t>Acetaminophen Oxycodone 7.5 mg Medications List</w:t>
                  </w:r>
                </w:p>
                <w:p w14:paraId="5165F7CB" w14:textId="77777777" w:rsidR="004E2A23" w:rsidRPr="005D4222" w:rsidRDefault="004E2A23" w:rsidP="00BF553C">
                  <w:pPr>
                    <w:pStyle w:val="TableText"/>
                    <w:framePr w:hSpace="180" w:wrap="around" w:vAnchor="text" w:hAnchor="text" w:y="1"/>
                    <w:suppressOverlap/>
                    <w:rPr>
                      <w:u w:val="single"/>
                    </w:rPr>
                  </w:pPr>
                  <w:r w:rsidRPr="005D4222">
                    <w:rPr>
                      <w:u w:val="single"/>
                    </w:rPr>
                    <w:t>Acetaminophen Oxycodone 10 mg Medications List</w:t>
                  </w:r>
                </w:p>
              </w:tc>
              <w:tc>
                <w:tcPr>
                  <w:tcW w:w="960" w:type="dxa"/>
                  <w:tcBorders>
                    <w:top w:val="single" w:sz="4" w:space="0" w:color="auto"/>
                    <w:left w:val="single" w:sz="4" w:space="0" w:color="auto"/>
                    <w:right w:val="single" w:sz="4" w:space="0" w:color="auto"/>
                  </w:tcBorders>
                  <w:tcMar>
                    <w:left w:w="58" w:type="dxa"/>
                    <w:right w:w="58" w:type="dxa"/>
                  </w:tcMar>
                </w:tcPr>
                <w:p w14:paraId="4FE00348" w14:textId="77777777" w:rsidR="004E2A23" w:rsidRPr="005D4222" w:rsidRDefault="004E2A23" w:rsidP="00BF553C">
                  <w:pPr>
                    <w:pStyle w:val="TableText"/>
                    <w:framePr w:hSpace="180" w:wrap="around" w:vAnchor="text" w:hAnchor="text" w:y="1"/>
                    <w:suppressOverlap/>
                    <w:rPr>
                      <w:rFonts w:eastAsia="Arial Narrow,Times New Roman"/>
                    </w:rPr>
                  </w:pPr>
                  <w:r w:rsidRPr="005D4222">
                    <w:rPr>
                      <w:rFonts w:eastAsia="Arial Narrow,Times New Roman"/>
                    </w:rPr>
                    <w:t>1 mg</w:t>
                  </w:r>
                  <w:r w:rsidRPr="005D4222">
                    <w:rPr>
                      <w:rFonts w:eastAsia="Arial Narrow,Times New Roman"/>
                    </w:rPr>
                    <w:br/>
                  </w:r>
                </w:p>
                <w:p w14:paraId="5FEAC782" w14:textId="77777777" w:rsidR="004E2A23" w:rsidRPr="005D4222" w:rsidRDefault="004E2A23" w:rsidP="00BF553C">
                  <w:pPr>
                    <w:pStyle w:val="TableText"/>
                    <w:framePr w:hSpace="180" w:wrap="around" w:vAnchor="text" w:hAnchor="text" w:y="1"/>
                    <w:suppressOverlap/>
                    <w:rPr>
                      <w:rFonts w:eastAsia="Arial Narrow,Times New Roman"/>
                    </w:rPr>
                  </w:pPr>
                  <w:r w:rsidRPr="005D4222">
                    <w:rPr>
                      <w:rFonts w:eastAsia="Arial Narrow,Times New Roman"/>
                    </w:rPr>
                    <w:t>2 mg</w:t>
                  </w:r>
                  <w:r w:rsidRPr="005D4222">
                    <w:rPr>
                      <w:rFonts w:eastAsia="Arial Narrow,Times New Roman"/>
                    </w:rPr>
                    <w:br/>
                  </w:r>
                </w:p>
                <w:p w14:paraId="4CF4A4B6" w14:textId="77777777" w:rsidR="004E2A23" w:rsidRPr="005D4222" w:rsidRDefault="004E2A23" w:rsidP="00BF553C">
                  <w:pPr>
                    <w:pStyle w:val="TableText"/>
                    <w:framePr w:hSpace="180" w:wrap="around" w:vAnchor="text" w:hAnchor="text" w:y="1"/>
                    <w:suppressOverlap/>
                    <w:rPr>
                      <w:rFonts w:eastAsia="Arial Narrow,Times New Roman"/>
                    </w:rPr>
                  </w:pPr>
                  <w:r w:rsidRPr="005D4222">
                    <w:rPr>
                      <w:rFonts w:eastAsia="Arial Narrow,Times New Roman"/>
                    </w:rPr>
                    <w:t>2.5 mg</w:t>
                  </w:r>
                  <w:r w:rsidRPr="005D4222">
                    <w:rPr>
                      <w:rFonts w:eastAsia="Arial Narrow,Times New Roman"/>
                    </w:rPr>
                    <w:br/>
                  </w:r>
                </w:p>
                <w:p w14:paraId="605FB5D4" w14:textId="77777777" w:rsidR="004E2A23" w:rsidRPr="005D4222" w:rsidRDefault="004E2A23" w:rsidP="00BF553C">
                  <w:pPr>
                    <w:pStyle w:val="TableText"/>
                    <w:framePr w:hSpace="180" w:wrap="around" w:vAnchor="text" w:hAnchor="text" w:y="1"/>
                    <w:suppressOverlap/>
                    <w:rPr>
                      <w:rFonts w:eastAsia="Arial Narrow,Times New Roman"/>
                    </w:rPr>
                  </w:pPr>
                  <w:r w:rsidRPr="005D4222">
                    <w:rPr>
                      <w:rFonts w:eastAsia="Arial Narrow,Times New Roman"/>
                    </w:rPr>
                    <w:t>5 mg</w:t>
                  </w:r>
                  <w:r w:rsidRPr="005D4222">
                    <w:rPr>
                      <w:rFonts w:eastAsia="Arial Narrow,Times New Roman"/>
                    </w:rPr>
                    <w:br/>
                  </w:r>
                </w:p>
                <w:p w14:paraId="52CF6C71" w14:textId="77777777" w:rsidR="004E2A23" w:rsidRPr="005D4222" w:rsidRDefault="004E2A23" w:rsidP="00BF553C">
                  <w:pPr>
                    <w:pStyle w:val="TableText"/>
                    <w:framePr w:hSpace="180" w:wrap="around" w:vAnchor="text" w:hAnchor="text" w:y="1"/>
                    <w:suppressOverlap/>
                    <w:rPr>
                      <w:rFonts w:eastAsia="Arial Narrow,Times New Roman"/>
                    </w:rPr>
                  </w:pPr>
                  <w:r w:rsidRPr="005D4222">
                    <w:rPr>
                      <w:rFonts w:eastAsia="Arial Narrow,Times New Roman"/>
                    </w:rPr>
                    <w:t>7.5 mg</w:t>
                  </w:r>
                  <w:r w:rsidRPr="005D4222">
                    <w:rPr>
                      <w:rFonts w:eastAsia="Arial Narrow,Times New Roman"/>
                    </w:rPr>
                    <w:br/>
                  </w:r>
                </w:p>
                <w:p w14:paraId="7A801080" w14:textId="77777777" w:rsidR="004E2A23" w:rsidRPr="005D4222" w:rsidRDefault="004E2A23" w:rsidP="00BF553C">
                  <w:pPr>
                    <w:pStyle w:val="TableText"/>
                    <w:framePr w:hSpace="180" w:wrap="around" w:vAnchor="text" w:hAnchor="text" w:y="1"/>
                    <w:suppressOverlap/>
                    <w:rPr>
                      <w:rFonts w:eastAsia="Arial Narrow,Times New Roman"/>
                    </w:rPr>
                  </w:pPr>
                  <w:r w:rsidRPr="005D4222">
                    <w:rPr>
                      <w:rFonts w:eastAsia="Arial Narrow,Times New Roman"/>
                    </w:rPr>
                    <w:t>10 mg</w:t>
                  </w:r>
                </w:p>
              </w:tc>
              <w:tc>
                <w:tcPr>
                  <w:tcW w:w="1152" w:type="dxa"/>
                  <w:tcBorders>
                    <w:top w:val="single" w:sz="4" w:space="0" w:color="auto"/>
                    <w:left w:val="single" w:sz="4" w:space="0" w:color="auto"/>
                    <w:right w:val="single" w:sz="4" w:space="0" w:color="auto"/>
                  </w:tcBorders>
                  <w:tcMar>
                    <w:left w:w="58" w:type="dxa"/>
                    <w:right w:w="58" w:type="dxa"/>
                  </w:tcMar>
                </w:tcPr>
                <w:p w14:paraId="1E05FC75" w14:textId="77777777" w:rsidR="004E2A23" w:rsidRPr="005D4222" w:rsidRDefault="004E2A23" w:rsidP="00BF553C">
                  <w:pPr>
                    <w:pStyle w:val="TableText"/>
                    <w:framePr w:hSpace="180" w:wrap="around" w:vAnchor="text" w:hAnchor="text" w:y="1"/>
                    <w:suppressOverlap/>
                    <w:jc w:val="center"/>
                  </w:pPr>
                  <w:r w:rsidRPr="005D4222">
                    <w:t>1.5</w:t>
                  </w:r>
                </w:p>
              </w:tc>
            </w:tr>
            <w:tr w:rsidR="004E2A23" w:rsidRPr="005D4222" w14:paraId="071D4FFE" w14:textId="77777777" w:rsidTr="00A53E8C">
              <w:trPr>
                <w:trHeight w:val="286"/>
              </w:trPr>
              <w:tc>
                <w:tcPr>
                  <w:tcW w:w="1584" w:type="dxa"/>
                  <w:tcBorders>
                    <w:top w:val="single" w:sz="4" w:space="0" w:color="auto"/>
                    <w:left w:val="single" w:sz="4" w:space="0" w:color="auto"/>
                    <w:bottom w:val="single" w:sz="4" w:space="0" w:color="auto"/>
                    <w:right w:val="single" w:sz="4" w:space="0" w:color="auto"/>
                  </w:tcBorders>
                  <w:tcMar>
                    <w:left w:w="58" w:type="dxa"/>
                    <w:right w:w="58" w:type="dxa"/>
                  </w:tcMar>
                </w:tcPr>
                <w:p w14:paraId="75A2E35A" w14:textId="77777777" w:rsidR="004E2A23" w:rsidRPr="005D4222" w:rsidRDefault="004E2A23" w:rsidP="00BF553C">
                  <w:pPr>
                    <w:pStyle w:val="TableText"/>
                    <w:framePr w:hSpace="180" w:wrap="around" w:vAnchor="text" w:hAnchor="text" w:y="1"/>
                    <w:spacing w:before="50" w:after="50"/>
                    <w:suppressOverlap/>
                    <w:rPr>
                      <w:rFonts w:eastAsia="Arial Narrow,Times New Roman"/>
                    </w:rPr>
                  </w:pPr>
                  <w:r w:rsidRPr="005D4222">
                    <w:rPr>
                      <w:rFonts w:eastAsia="Arial Narrow,Times New Roman"/>
                    </w:rPr>
                    <w:t>Oxycodone</w:t>
                  </w:r>
                </w:p>
              </w:tc>
              <w:tc>
                <w:tcPr>
                  <w:tcW w:w="3650" w:type="dxa"/>
                  <w:tcBorders>
                    <w:top w:val="single" w:sz="4" w:space="0" w:color="auto"/>
                    <w:left w:val="single" w:sz="4" w:space="0" w:color="auto"/>
                    <w:bottom w:val="single" w:sz="4" w:space="0" w:color="auto"/>
                    <w:right w:val="single" w:sz="4" w:space="0" w:color="auto"/>
                  </w:tcBorders>
                  <w:tcMar>
                    <w:left w:w="58" w:type="dxa"/>
                    <w:right w:w="58" w:type="dxa"/>
                  </w:tcMar>
                </w:tcPr>
                <w:p w14:paraId="04F8D8ED" w14:textId="77777777" w:rsidR="004E2A23" w:rsidRPr="005D4222" w:rsidRDefault="004E2A23" w:rsidP="00BF553C">
                  <w:pPr>
                    <w:pStyle w:val="TableText"/>
                    <w:framePr w:hSpace="180" w:wrap="around" w:vAnchor="text" w:hAnchor="text" w:y="1"/>
                    <w:suppressOverlap/>
                    <w:rPr>
                      <w:rFonts w:eastAsia="Arial Narrow,Times New Roman"/>
                      <w:u w:val="single"/>
                    </w:rPr>
                  </w:pPr>
                  <w:r w:rsidRPr="005D4222">
                    <w:rPr>
                      <w:u w:val="single"/>
                    </w:rPr>
                    <w:t>Aspirin Oxycodone 4.84 mg</w:t>
                  </w:r>
                  <w:r w:rsidRPr="005D4222">
                    <w:rPr>
                      <w:snapToGrid w:val="0"/>
                      <w:u w:val="single"/>
                    </w:rPr>
                    <w:t xml:space="preserve"> Medications List</w:t>
                  </w:r>
                </w:p>
              </w:tc>
              <w:tc>
                <w:tcPr>
                  <w:tcW w:w="960" w:type="dxa"/>
                  <w:tcBorders>
                    <w:top w:val="single" w:sz="4" w:space="0" w:color="auto"/>
                    <w:left w:val="single" w:sz="4" w:space="0" w:color="auto"/>
                    <w:bottom w:val="single" w:sz="4" w:space="0" w:color="auto"/>
                    <w:right w:val="single" w:sz="4" w:space="0" w:color="auto"/>
                  </w:tcBorders>
                  <w:tcMar>
                    <w:left w:w="58" w:type="dxa"/>
                    <w:right w:w="58" w:type="dxa"/>
                  </w:tcMar>
                </w:tcPr>
                <w:p w14:paraId="59A6BEDC" w14:textId="77777777" w:rsidR="004E2A23" w:rsidRPr="005D4222" w:rsidRDefault="004E2A23" w:rsidP="00BF553C">
                  <w:pPr>
                    <w:pStyle w:val="TableText"/>
                    <w:framePr w:hSpace="180" w:wrap="around" w:vAnchor="text" w:hAnchor="text" w:y="1"/>
                    <w:suppressOverlap/>
                    <w:rPr>
                      <w:rFonts w:eastAsia="Arial Narrow,Times New Roman"/>
                    </w:rPr>
                  </w:pPr>
                  <w:r w:rsidRPr="005D4222">
                    <w:rPr>
                      <w:snapToGrid w:val="0"/>
                    </w:rPr>
                    <w:t>4.84 mg</w:t>
                  </w:r>
                </w:p>
              </w:tc>
              <w:tc>
                <w:tcPr>
                  <w:tcW w:w="1152" w:type="dxa"/>
                  <w:tcBorders>
                    <w:top w:val="single" w:sz="4" w:space="0" w:color="auto"/>
                    <w:left w:val="single" w:sz="4" w:space="0" w:color="auto"/>
                    <w:bottom w:val="single" w:sz="4" w:space="0" w:color="auto"/>
                    <w:right w:val="single" w:sz="4" w:space="0" w:color="auto"/>
                  </w:tcBorders>
                  <w:tcMar>
                    <w:left w:w="58" w:type="dxa"/>
                    <w:right w:w="58" w:type="dxa"/>
                  </w:tcMar>
                </w:tcPr>
                <w:p w14:paraId="6CF4D1B0" w14:textId="77777777" w:rsidR="004E2A23" w:rsidRPr="005D4222" w:rsidRDefault="004E2A23" w:rsidP="00BF553C">
                  <w:pPr>
                    <w:pStyle w:val="TableText"/>
                    <w:framePr w:hSpace="180" w:wrap="around" w:vAnchor="text" w:hAnchor="text" w:y="1"/>
                    <w:suppressOverlap/>
                    <w:jc w:val="center"/>
                    <w:rPr>
                      <w:rFonts w:eastAsia="Arial Narrow,Times New Roman"/>
                    </w:rPr>
                  </w:pPr>
                  <w:r w:rsidRPr="005D4222">
                    <w:t>1.5</w:t>
                  </w:r>
                </w:p>
              </w:tc>
            </w:tr>
            <w:tr w:rsidR="004E2A23" w:rsidRPr="005D4222" w14:paraId="50699525" w14:textId="77777777" w:rsidTr="00A53E8C">
              <w:trPr>
                <w:trHeight w:val="286"/>
              </w:trPr>
              <w:tc>
                <w:tcPr>
                  <w:tcW w:w="1584" w:type="dxa"/>
                  <w:tcBorders>
                    <w:top w:val="single" w:sz="4" w:space="0" w:color="auto"/>
                    <w:left w:val="single" w:sz="4" w:space="0" w:color="auto"/>
                    <w:bottom w:val="single" w:sz="12" w:space="0" w:color="auto"/>
                    <w:right w:val="single" w:sz="4" w:space="0" w:color="auto"/>
                  </w:tcBorders>
                  <w:tcMar>
                    <w:left w:w="58" w:type="dxa"/>
                    <w:right w:w="58" w:type="dxa"/>
                  </w:tcMar>
                </w:tcPr>
                <w:p w14:paraId="0A926AEA" w14:textId="77777777" w:rsidR="004E2A23" w:rsidRPr="005D4222" w:rsidRDefault="004E2A23" w:rsidP="00BF553C">
                  <w:pPr>
                    <w:pStyle w:val="TableText"/>
                    <w:framePr w:hSpace="180" w:wrap="around" w:vAnchor="text" w:hAnchor="text" w:y="1"/>
                    <w:spacing w:before="50" w:after="50"/>
                    <w:suppressOverlap/>
                    <w:rPr>
                      <w:rFonts w:eastAsia="Arial Narrow,Times New Roman"/>
                    </w:rPr>
                  </w:pPr>
                  <w:r w:rsidRPr="005D4222">
                    <w:rPr>
                      <w:rFonts w:eastAsia="Arial Narrow,Times New Roman"/>
                    </w:rPr>
                    <w:t>Oxycodone</w:t>
                  </w:r>
                </w:p>
              </w:tc>
              <w:tc>
                <w:tcPr>
                  <w:tcW w:w="3650" w:type="dxa"/>
                  <w:tcBorders>
                    <w:top w:val="single" w:sz="4" w:space="0" w:color="auto"/>
                    <w:left w:val="single" w:sz="4" w:space="0" w:color="auto"/>
                    <w:bottom w:val="single" w:sz="12" w:space="0" w:color="auto"/>
                    <w:right w:val="single" w:sz="4" w:space="0" w:color="auto"/>
                  </w:tcBorders>
                  <w:tcMar>
                    <w:left w:w="58" w:type="dxa"/>
                    <w:right w:w="58" w:type="dxa"/>
                  </w:tcMar>
                </w:tcPr>
                <w:p w14:paraId="2E1C49DB" w14:textId="77777777" w:rsidR="004E2A23" w:rsidRPr="005D4222" w:rsidRDefault="004E2A23" w:rsidP="00BF553C">
                  <w:pPr>
                    <w:pStyle w:val="TableText"/>
                    <w:framePr w:hSpace="180" w:wrap="around" w:vAnchor="text" w:hAnchor="text" w:y="1"/>
                    <w:suppressOverlap/>
                    <w:rPr>
                      <w:rFonts w:eastAsia="Arial Narrow,Times New Roman"/>
                      <w:u w:val="single"/>
                    </w:rPr>
                  </w:pPr>
                  <w:r w:rsidRPr="005D4222">
                    <w:rPr>
                      <w:u w:val="single"/>
                    </w:rPr>
                    <w:t>Ibuprofen Oxycodone 5 mg Medications List</w:t>
                  </w:r>
                </w:p>
              </w:tc>
              <w:tc>
                <w:tcPr>
                  <w:tcW w:w="960" w:type="dxa"/>
                  <w:tcBorders>
                    <w:top w:val="single" w:sz="4" w:space="0" w:color="auto"/>
                    <w:left w:val="single" w:sz="4" w:space="0" w:color="auto"/>
                    <w:bottom w:val="single" w:sz="12" w:space="0" w:color="auto"/>
                    <w:right w:val="single" w:sz="4" w:space="0" w:color="auto"/>
                  </w:tcBorders>
                  <w:tcMar>
                    <w:left w:w="58" w:type="dxa"/>
                    <w:right w:w="58" w:type="dxa"/>
                  </w:tcMar>
                </w:tcPr>
                <w:p w14:paraId="0E4A2EE7" w14:textId="77777777" w:rsidR="004E2A23" w:rsidRPr="005D4222" w:rsidRDefault="004E2A23" w:rsidP="00BF553C">
                  <w:pPr>
                    <w:pStyle w:val="TableText"/>
                    <w:framePr w:hSpace="180" w:wrap="around" w:vAnchor="text" w:hAnchor="text" w:y="1"/>
                    <w:suppressOverlap/>
                    <w:rPr>
                      <w:rFonts w:eastAsia="Arial Narrow,Times New Roman"/>
                    </w:rPr>
                  </w:pPr>
                  <w:r w:rsidRPr="005D4222">
                    <w:rPr>
                      <w:rFonts w:eastAsia="Arial Narrow,Times New Roman"/>
                    </w:rPr>
                    <w:t>5 mg</w:t>
                  </w:r>
                </w:p>
              </w:tc>
              <w:tc>
                <w:tcPr>
                  <w:tcW w:w="1152" w:type="dxa"/>
                  <w:tcBorders>
                    <w:top w:val="single" w:sz="4" w:space="0" w:color="auto"/>
                    <w:left w:val="single" w:sz="4" w:space="0" w:color="auto"/>
                    <w:bottom w:val="single" w:sz="12" w:space="0" w:color="auto"/>
                    <w:right w:val="single" w:sz="4" w:space="0" w:color="auto"/>
                  </w:tcBorders>
                  <w:tcMar>
                    <w:left w:w="58" w:type="dxa"/>
                    <w:right w:w="58" w:type="dxa"/>
                  </w:tcMar>
                </w:tcPr>
                <w:p w14:paraId="4EF60D50" w14:textId="77777777" w:rsidR="004E2A23" w:rsidRPr="005D4222" w:rsidRDefault="004E2A23" w:rsidP="00BF553C">
                  <w:pPr>
                    <w:pStyle w:val="TableText"/>
                    <w:framePr w:hSpace="180" w:wrap="around" w:vAnchor="text" w:hAnchor="text" w:y="1"/>
                    <w:suppressOverlap/>
                    <w:jc w:val="center"/>
                    <w:rPr>
                      <w:rFonts w:eastAsia="Arial Narrow,Times New Roman"/>
                    </w:rPr>
                  </w:pPr>
                  <w:r w:rsidRPr="005D4222">
                    <w:t>1.5</w:t>
                  </w:r>
                </w:p>
              </w:tc>
            </w:tr>
            <w:tr w:rsidR="004E2A23" w:rsidRPr="005D4222" w14:paraId="40AE36B9" w14:textId="77777777" w:rsidTr="00A53E8C">
              <w:trPr>
                <w:trHeight w:val="1465"/>
              </w:trPr>
              <w:tc>
                <w:tcPr>
                  <w:tcW w:w="1584" w:type="dxa"/>
                  <w:tcBorders>
                    <w:top w:val="single" w:sz="12" w:space="0" w:color="auto"/>
                    <w:left w:val="single" w:sz="4" w:space="0" w:color="auto"/>
                    <w:bottom w:val="single" w:sz="4" w:space="0" w:color="auto"/>
                    <w:right w:val="single" w:sz="4" w:space="0" w:color="auto"/>
                  </w:tcBorders>
                  <w:tcMar>
                    <w:left w:w="58" w:type="dxa"/>
                    <w:right w:w="58" w:type="dxa"/>
                  </w:tcMar>
                </w:tcPr>
                <w:p w14:paraId="7D8B9989" w14:textId="77777777" w:rsidR="004E2A23" w:rsidRPr="005D4222" w:rsidRDefault="004E2A23" w:rsidP="00BF553C">
                  <w:pPr>
                    <w:pStyle w:val="TableText"/>
                    <w:framePr w:hSpace="180" w:wrap="around" w:vAnchor="text" w:hAnchor="text" w:y="1"/>
                    <w:spacing w:before="50" w:after="50"/>
                    <w:suppressOverlap/>
                  </w:pPr>
                  <w:r w:rsidRPr="005D4222">
                    <w:rPr>
                      <w:rFonts w:eastAsia="Arial Narrow,Times New Roman"/>
                    </w:rPr>
                    <w:t>Oxymorphone</w:t>
                  </w:r>
                </w:p>
              </w:tc>
              <w:tc>
                <w:tcPr>
                  <w:tcW w:w="3650" w:type="dxa"/>
                  <w:tcBorders>
                    <w:top w:val="single" w:sz="12" w:space="0" w:color="auto"/>
                    <w:left w:val="single" w:sz="4" w:space="0" w:color="auto"/>
                    <w:bottom w:val="single" w:sz="4" w:space="0" w:color="auto"/>
                    <w:right w:val="single" w:sz="4" w:space="0" w:color="auto"/>
                  </w:tcBorders>
                  <w:tcMar>
                    <w:left w:w="58" w:type="dxa"/>
                    <w:right w:w="58" w:type="dxa"/>
                  </w:tcMar>
                </w:tcPr>
                <w:p w14:paraId="6F8E0897" w14:textId="77777777" w:rsidR="004E2A23" w:rsidRPr="005D4222" w:rsidRDefault="004E2A23" w:rsidP="00BF553C">
                  <w:pPr>
                    <w:pStyle w:val="TableText"/>
                    <w:framePr w:hSpace="180" w:wrap="around" w:vAnchor="text" w:hAnchor="text" w:y="1"/>
                    <w:spacing w:before="50" w:after="50"/>
                    <w:suppressOverlap/>
                    <w:rPr>
                      <w:u w:val="single"/>
                    </w:rPr>
                  </w:pPr>
                  <w:r w:rsidRPr="005D4222">
                    <w:rPr>
                      <w:u w:val="single"/>
                    </w:rPr>
                    <w:t>Oxymorphone 5 mg Medications List</w:t>
                  </w:r>
                </w:p>
                <w:p w14:paraId="36EC7162" w14:textId="77777777" w:rsidR="004E2A23" w:rsidRPr="005D4222" w:rsidRDefault="004E2A23" w:rsidP="00BF553C">
                  <w:pPr>
                    <w:pStyle w:val="TableText"/>
                    <w:framePr w:hSpace="180" w:wrap="around" w:vAnchor="text" w:hAnchor="text" w:y="1"/>
                    <w:spacing w:before="50" w:after="50"/>
                    <w:suppressOverlap/>
                    <w:rPr>
                      <w:u w:val="single"/>
                    </w:rPr>
                  </w:pPr>
                  <w:r w:rsidRPr="005D4222">
                    <w:rPr>
                      <w:u w:val="single"/>
                    </w:rPr>
                    <w:t>Oxymorphone 7.5 mg Medications List</w:t>
                  </w:r>
                </w:p>
                <w:p w14:paraId="27C67F11" w14:textId="77777777" w:rsidR="004E2A23" w:rsidRPr="005D4222" w:rsidRDefault="004E2A23" w:rsidP="00BF553C">
                  <w:pPr>
                    <w:pStyle w:val="TableText"/>
                    <w:framePr w:hSpace="180" w:wrap="around" w:vAnchor="text" w:hAnchor="text" w:y="1"/>
                    <w:spacing w:before="50" w:after="50"/>
                    <w:suppressOverlap/>
                    <w:rPr>
                      <w:u w:val="single"/>
                    </w:rPr>
                  </w:pPr>
                  <w:r w:rsidRPr="005D4222">
                    <w:rPr>
                      <w:u w:val="single"/>
                    </w:rPr>
                    <w:t>Oxymorphone 10 mg Medications List</w:t>
                  </w:r>
                </w:p>
                <w:p w14:paraId="05056714" w14:textId="77777777" w:rsidR="004E2A23" w:rsidRPr="005D4222" w:rsidRDefault="004E2A23" w:rsidP="00BF553C">
                  <w:pPr>
                    <w:pStyle w:val="TableText"/>
                    <w:framePr w:hSpace="180" w:wrap="around" w:vAnchor="text" w:hAnchor="text" w:y="1"/>
                    <w:spacing w:before="50" w:after="50"/>
                    <w:suppressOverlap/>
                    <w:rPr>
                      <w:u w:val="single"/>
                    </w:rPr>
                  </w:pPr>
                  <w:r w:rsidRPr="005D4222">
                    <w:rPr>
                      <w:u w:val="single"/>
                    </w:rPr>
                    <w:t>Oxymorphone 15 mg Medications List</w:t>
                  </w:r>
                </w:p>
                <w:p w14:paraId="3B500AB6" w14:textId="77777777" w:rsidR="004E2A23" w:rsidRPr="005D4222" w:rsidRDefault="004E2A23" w:rsidP="00BF553C">
                  <w:pPr>
                    <w:pStyle w:val="TableText"/>
                    <w:framePr w:hSpace="180" w:wrap="around" w:vAnchor="text" w:hAnchor="text" w:y="1"/>
                    <w:spacing w:before="50" w:after="50"/>
                    <w:suppressOverlap/>
                    <w:rPr>
                      <w:u w:val="single"/>
                    </w:rPr>
                  </w:pPr>
                  <w:r w:rsidRPr="005D4222">
                    <w:rPr>
                      <w:u w:val="single"/>
                    </w:rPr>
                    <w:t>Oxymorphone 20 mg Medications List</w:t>
                  </w:r>
                </w:p>
                <w:p w14:paraId="08B7B48C" w14:textId="77777777" w:rsidR="004E2A23" w:rsidRPr="005D4222" w:rsidRDefault="004E2A23" w:rsidP="00BF553C">
                  <w:pPr>
                    <w:pStyle w:val="TableText"/>
                    <w:framePr w:hSpace="180" w:wrap="around" w:vAnchor="text" w:hAnchor="text" w:y="1"/>
                    <w:spacing w:before="50" w:after="50"/>
                    <w:suppressOverlap/>
                    <w:rPr>
                      <w:u w:val="single"/>
                    </w:rPr>
                  </w:pPr>
                  <w:r w:rsidRPr="005D4222">
                    <w:rPr>
                      <w:u w:val="single"/>
                    </w:rPr>
                    <w:t>Oxymorphone 30 mg Medications List</w:t>
                  </w:r>
                </w:p>
                <w:p w14:paraId="0A961CD4" w14:textId="77777777" w:rsidR="004E2A23" w:rsidRPr="005D4222" w:rsidRDefault="004E2A23" w:rsidP="00BF553C">
                  <w:pPr>
                    <w:pStyle w:val="TableText"/>
                    <w:framePr w:hSpace="180" w:wrap="around" w:vAnchor="text" w:hAnchor="text" w:y="1"/>
                    <w:spacing w:before="50" w:after="50"/>
                    <w:suppressOverlap/>
                    <w:rPr>
                      <w:rFonts w:eastAsia="Arial Narrow,Times New Roman"/>
                      <w:u w:val="single"/>
                    </w:rPr>
                  </w:pPr>
                  <w:r w:rsidRPr="005D4222">
                    <w:rPr>
                      <w:u w:val="single"/>
                    </w:rPr>
                    <w:t>Oxymorphone 40 mg Medications List</w:t>
                  </w:r>
                </w:p>
              </w:tc>
              <w:tc>
                <w:tcPr>
                  <w:tcW w:w="960" w:type="dxa"/>
                  <w:tcBorders>
                    <w:top w:val="single" w:sz="12" w:space="0" w:color="auto"/>
                    <w:left w:val="single" w:sz="4" w:space="0" w:color="auto"/>
                    <w:bottom w:val="single" w:sz="4" w:space="0" w:color="auto"/>
                    <w:right w:val="single" w:sz="4" w:space="0" w:color="auto"/>
                  </w:tcBorders>
                  <w:tcMar>
                    <w:left w:w="58" w:type="dxa"/>
                    <w:right w:w="58" w:type="dxa"/>
                  </w:tcMar>
                </w:tcPr>
                <w:p w14:paraId="3BDCACCF" w14:textId="77777777" w:rsidR="004E2A23" w:rsidRPr="005D4222" w:rsidRDefault="004E2A23" w:rsidP="00BF553C">
                  <w:pPr>
                    <w:pStyle w:val="TableText"/>
                    <w:framePr w:hSpace="180" w:wrap="around" w:vAnchor="text" w:hAnchor="text" w:y="1"/>
                    <w:spacing w:before="50" w:after="50"/>
                    <w:suppressOverlap/>
                    <w:rPr>
                      <w:rFonts w:eastAsia="Arial Narrow,Times New Roman"/>
                    </w:rPr>
                  </w:pPr>
                  <w:r w:rsidRPr="005D4222">
                    <w:rPr>
                      <w:rFonts w:eastAsia="Arial Narrow,Times New Roman"/>
                    </w:rPr>
                    <w:t>5 mg</w:t>
                  </w:r>
                </w:p>
                <w:p w14:paraId="1BDE5918" w14:textId="77777777" w:rsidR="004E2A23" w:rsidRPr="005D4222" w:rsidRDefault="004E2A23" w:rsidP="00BF553C">
                  <w:pPr>
                    <w:pStyle w:val="TableText"/>
                    <w:framePr w:hSpace="180" w:wrap="around" w:vAnchor="text" w:hAnchor="text" w:y="1"/>
                    <w:spacing w:before="50" w:after="50"/>
                    <w:suppressOverlap/>
                    <w:rPr>
                      <w:rFonts w:eastAsia="Arial Narrow,Times New Roman"/>
                    </w:rPr>
                  </w:pPr>
                  <w:r w:rsidRPr="005D4222">
                    <w:rPr>
                      <w:rFonts w:eastAsia="Arial Narrow,Times New Roman"/>
                    </w:rPr>
                    <w:t>7.5 mg</w:t>
                  </w:r>
                </w:p>
                <w:p w14:paraId="3C0CA3AB" w14:textId="77777777" w:rsidR="004E2A23" w:rsidRPr="005D4222" w:rsidRDefault="004E2A23" w:rsidP="00BF553C">
                  <w:pPr>
                    <w:pStyle w:val="TableText"/>
                    <w:framePr w:hSpace="180" w:wrap="around" w:vAnchor="text" w:hAnchor="text" w:y="1"/>
                    <w:spacing w:before="50" w:after="50"/>
                    <w:suppressOverlap/>
                    <w:rPr>
                      <w:rFonts w:eastAsia="Arial Narrow,Times New Roman"/>
                    </w:rPr>
                  </w:pPr>
                  <w:r w:rsidRPr="005D4222">
                    <w:rPr>
                      <w:rFonts w:eastAsia="Arial Narrow,Times New Roman"/>
                    </w:rPr>
                    <w:t>10 mg</w:t>
                  </w:r>
                </w:p>
                <w:p w14:paraId="4BEFA891" w14:textId="77777777" w:rsidR="004E2A23" w:rsidRPr="005D4222" w:rsidRDefault="004E2A23" w:rsidP="00BF553C">
                  <w:pPr>
                    <w:pStyle w:val="TableText"/>
                    <w:framePr w:hSpace="180" w:wrap="around" w:vAnchor="text" w:hAnchor="text" w:y="1"/>
                    <w:spacing w:before="50" w:after="50"/>
                    <w:suppressOverlap/>
                    <w:rPr>
                      <w:rFonts w:eastAsia="Arial Narrow,Times New Roman"/>
                    </w:rPr>
                  </w:pPr>
                  <w:r w:rsidRPr="005D4222">
                    <w:rPr>
                      <w:rFonts w:eastAsia="Arial Narrow,Times New Roman"/>
                    </w:rPr>
                    <w:t>15 mg</w:t>
                  </w:r>
                </w:p>
                <w:p w14:paraId="4422AD86" w14:textId="77777777" w:rsidR="004E2A23" w:rsidRPr="005D4222" w:rsidRDefault="004E2A23" w:rsidP="00BF553C">
                  <w:pPr>
                    <w:pStyle w:val="TableText"/>
                    <w:framePr w:hSpace="180" w:wrap="around" w:vAnchor="text" w:hAnchor="text" w:y="1"/>
                    <w:spacing w:before="50" w:after="50"/>
                    <w:suppressOverlap/>
                    <w:rPr>
                      <w:rFonts w:eastAsia="Arial Narrow,Times New Roman"/>
                    </w:rPr>
                  </w:pPr>
                  <w:r w:rsidRPr="005D4222">
                    <w:rPr>
                      <w:rFonts w:eastAsia="Arial Narrow,Times New Roman"/>
                    </w:rPr>
                    <w:t>20 mg</w:t>
                  </w:r>
                </w:p>
                <w:p w14:paraId="0167C846" w14:textId="77777777" w:rsidR="004E2A23" w:rsidRPr="005D4222" w:rsidRDefault="004E2A23" w:rsidP="00BF553C">
                  <w:pPr>
                    <w:pStyle w:val="TableText"/>
                    <w:framePr w:hSpace="180" w:wrap="around" w:vAnchor="text" w:hAnchor="text" w:y="1"/>
                    <w:spacing w:before="50" w:after="50"/>
                    <w:suppressOverlap/>
                    <w:rPr>
                      <w:rFonts w:eastAsia="Arial Narrow,Times New Roman"/>
                    </w:rPr>
                  </w:pPr>
                  <w:r w:rsidRPr="005D4222">
                    <w:rPr>
                      <w:rFonts w:eastAsia="Arial Narrow,Times New Roman"/>
                    </w:rPr>
                    <w:t>30 mg</w:t>
                  </w:r>
                </w:p>
                <w:p w14:paraId="057AC9B3" w14:textId="77777777" w:rsidR="004E2A23" w:rsidRPr="005D4222" w:rsidRDefault="004E2A23" w:rsidP="00BF553C">
                  <w:pPr>
                    <w:pStyle w:val="TableText"/>
                    <w:framePr w:hSpace="180" w:wrap="around" w:vAnchor="text" w:hAnchor="text" w:y="1"/>
                    <w:spacing w:before="50" w:after="50"/>
                    <w:suppressOverlap/>
                    <w:rPr>
                      <w:rFonts w:eastAsia="Arial Narrow,Times New Roman"/>
                    </w:rPr>
                  </w:pPr>
                  <w:r w:rsidRPr="005D4222">
                    <w:rPr>
                      <w:rFonts w:eastAsia="Arial Narrow,Times New Roman"/>
                    </w:rPr>
                    <w:t>40 mg</w:t>
                  </w:r>
                </w:p>
              </w:tc>
              <w:tc>
                <w:tcPr>
                  <w:tcW w:w="1152" w:type="dxa"/>
                  <w:tcBorders>
                    <w:top w:val="single" w:sz="12" w:space="0" w:color="auto"/>
                    <w:left w:val="single" w:sz="4" w:space="0" w:color="auto"/>
                    <w:bottom w:val="single" w:sz="4" w:space="0" w:color="auto"/>
                    <w:right w:val="single" w:sz="4" w:space="0" w:color="auto"/>
                  </w:tcBorders>
                  <w:tcMar>
                    <w:left w:w="58" w:type="dxa"/>
                    <w:right w:w="58" w:type="dxa"/>
                  </w:tcMar>
                </w:tcPr>
                <w:p w14:paraId="52988835" w14:textId="77777777" w:rsidR="004E2A23" w:rsidRPr="005D4222" w:rsidRDefault="004E2A23" w:rsidP="00BF553C">
                  <w:pPr>
                    <w:pStyle w:val="TableText"/>
                    <w:framePr w:hSpace="180" w:wrap="around" w:vAnchor="text" w:hAnchor="text" w:y="1"/>
                    <w:spacing w:before="50" w:after="50"/>
                    <w:suppressOverlap/>
                    <w:jc w:val="center"/>
                  </w:pPr>
                  <w:r w:rsidRPr="005D4222">
                    <w:rPr>
                      <w:rFonts w:eastAsia="Arial Narrow,Times New Roman"/>
                    </w:rPr>
                    <w:t>3</w:t>
                  </w:r>
                </w:p>
              </w:tc>
            </w:tr>
            <w:tr w:rsidR="004E2A23" w:rsidRPr="005D4222" w14:paraId="2FEF4217" w14:textId="77777777" w:rsidTr="00A53E8C">
              <w:trPr>
                <w:trHeight w:val="204"/>
              </w:trPr>
              <w:tc>
                <w:tcPr>
                  <w:tcW w:w="1584" w:type="dxa"/>
                  <w:tcBorders>
                    <w:top w:val="single" w:sz="12" w:space="0" w:color="auto"/>
                    <w:left w:val="single" w:sz="4" w:space="0" w:color="auto"/>
                    <w:bottom w:val="single" w:sz="12" w:space="0" w:color="auto"/>
                    <w:right w:val="single" w:sz="4" w:space="0" w:color="auto"/>
                  </w:tcBorders>
                  <w:tcMar>
                    <w:left w:w="58" w:type="dxa"/>
                    <w:right w:w="58" w:type="dxa"/>
                  </w:tcMar>
                </w:tcPr>
                <w:p w14:paraId="76762D26" w14:textId="77777777" w:rsidR="004E2A23" w:rsidRPr="005D4222" w:rsidRDefault="004E2A23" w:rsidP="00BF553C">
                  <w:pPr>
                    <w:pStyle w:val="TableText"/>
                    <w:framePr w:hSpace="180" w:wrap="around" w:vAnchor="text" w:hAnchor="text" w:y="1"/>
                    <w:spacing w:before="50" w:after="50"/>
                    <w:suppressOverlap/>
                  </w:pPr>
                  <w:r w:rsidRPr="005D4222">
                    <w:rPr>
                      <w:rFonts w:eastAsia="Arial Narrow,Times New Roman"/>
                    </w:rPr>
                    <w:t>Pentazocine</w:t>
                  </w:r>
                </w:p>
              </w:tc>
              <w:tc>
                <w:tcPr>
                  <w:tcW w:w="3650" w:type="dxa"/>
                  <w:tcBorders>
                    <w:top w:val="single" w:sz="12" w:space="0" w:color="auto"/>
                    <w:left w:val="single" w:sz="4" w:space="0" w:color="auto"/>
                    <w:bottom w:val="single" w:sz="12" w:space="0" w:color="auto"/>
                    <w:right w:val="single" w:sz="4" w:space="0" w:color="auto"/>
                  </w:tcBorders>
                  <w:tcMar>
                    <w:left w:w="58" w:type="dxa"/>
                    <w:right w:w="58" w:type="dxa"/>
                  </w:tcMar>
                </w:tcPr>
                <w:p w14:paraId="2EAEF1C2" w14:textId="77777777" w:rsidR="004E2A23" w:rsidRPr="005D4222" w:rsidRDefault="004E2A23" w:rsidP="00BF553C">
                  <w:pPr>
                    <w:pStyle w:val="TableText"/>
                    <w:framePr w:hSpace="180" w:wrap="around" w:vAnchor="text" w:hAnchor="text" w:y="1"/>
                    <w:spacing w:before="50" w:after="50"/>
                    <w:suppressOverlap/>
                    <w:rPr>
                      <w:u w:val="single"/>
                    </w:rPr>
                  </w:pPr>
                  <w:r w:rsidRPr="005D4222">
                    <w:rPr>
                      <w:u w:val="single"/>
                    </w:rPr>
                    <w:t>Naloxone Pentazocine 50 mg Medications List</w:t>
                  </w:r>
                </w:p>
              </w:tc>
              <w:tc>
                <w:tcPr>
                  <w:tcW w:w="960" w:type="dxa"/>
                  <w:tcBorders>
                    <w:top w:val="single" w:sz="12" w:space="0" w:color="auto"/>
                    <w:left w:val="single" w:sz="4" w:space="0" w:color="auto"/>
                    <w:bottom w:val="single" w:sz="12" w:space="0" w:color="auto"/>
                    <w:right w:val="single" w:sz="4" w:space="0" w:color="auto"/>
                  </w:tcBorders>
                  <w:tcMar>
                    <w:left w:w="58" w:type="dxa"/>
                    <w:right w:w="58" w:type="dxa"/>
                  </w:tcMar>
                </w:tcPr>
                <w:p w14:paraId="087D6923" w14:textId="77777777" w:rsidR="004E2A23" w:rsidRPr="005D4222" w:rsidRDefault="004E2A23" w:rsidP="00BF553C">
                  <w:pPr>
                    <w:pStyle w:val="TableText"/>
                    <w:framePr w:hSpace="180" w:wrap="around" w:vAnchor="text" w:hAnchor="text" w:y="1"/>
                    <w:spacing w:before="50" w:after="50"/>
                    <w:suppressOverlap/>
                  </w:pPr>
                  <w:r w:rsidRPr="005D4222">
                    <w:t>50 mg</w:t>
                  </w:r>
                </w:p>
              </w:tc>
              <w:tc>
                <w:tcPr>
                  <w:tcW w:w="1152" w:type="dxa"/>
                  <w:tcBorders>
                    <w:top w:val="single" w:sz="12" w:space="0" w:color="auto"/>
                    <w:left w:val="single" w:sz="4" w:space="0" w:color="auto"/>
                    <w:bottom w:val="single" w:sz="12" w:space="0" w:color="auto"/>
                    <w:right w:val="single" w:sz="4" w:space="0" w:color="auto"/>
                  </w:tcBorders>
                  <w:tcMar>
                    <w:left w:w="58" w:type="dxa"/>
                    <w:right w:w="58" w:type="dxa"/>
                  </w:tcMar>
                </w:tcPr>
                <w:p w14:paraId="4E370608" w14:textId="77777777" w:rsidR="004E2A23" w:rsidRPr="005D4222" w:rsidRDefault="004E2A23" w:rsidP="00BF553C">
                  <w:pPr>
                    <w:pStyle w:val="TableText"/>
                    <w:framePr w:hSpace="180" w:wrap="around" w:vAnchor="text" w:hAnchor="text" w:y="1"/>
                    <w:spacing w:before="50" w:after="50"/>
                    <w:suppressOverlap/>
                    <w:jc w:val="center"/>
                  </w:pPr>
                  <w:r w:rsidRPr="005D4222">
                    <w:t>0.37</w:t>
                  </w:r>
                </w:p>
              </w:tc>
            </w:tr>
            <w:tr w:rsidR="004E2A23" w:rsidRPr="005D4222" w14:paraId="492E12BC" w14:textId="77777777" w:rsidTr="00723676">
              <w:trPr>
                <w:trHeight w:val="204"/>
              </w:trPr>
              <w:tc>
                <w:tcPr>
                  <w:tcW w:w="1584" w:type="dxa"/>
                  <w:tcBorders>
                    <w:top w:val="single" w:sz="12" w:space="0" w:color="auto"/>
                    <w:left w:val="single" w:sz="4" w:space="0" w:color="auto"/>
                    <w:bottom w:val="single" w:sz="12" w:space="0" w:color="auto"/>
                    <w:right w:val="single" w:sz="4" w:space="0" w:color="auto"/>
                  </w:tcBorders>
                  <w:tcMar>
                    <w:left w:w="58" w:type="dxa"/>
                    <w:right w:w="58" w:type="dxa"/>
                  </w:tcMar>
                </w:tcPr>
                <w:p w14:paraId="08C73663" w14:textId="77777777" w:rsidR="004E2A23" w:rsidRPr="005D4222" w:rsidRDefault="004E2A23" w:rsidP="00BF553C">
                  <w:pPr>
                    <w:pStyle w:val="TableText"/>
                    <w:framePr w:hSpace="180" w:wrap="around" w:vAnchor="text" w:hAnchor="text" w:y="1"/>
                    <w:spacing w:before="50" w:after="50"/>
                    <w:suppressOverlap/>
                  </w:pPr>
                  <w:r w:rsidRPr="005D4222">
                    <w:rPr>
                      <w:rFonts w:eastAsia="Arial Narrow,Times New Roman"/>
                    </w:rPr>
                    <w:t>Tapentadol</w:t>
                  </w:r>
                </w:p>
              </w:tc>
              <w:tc>
                <w:tcPr>
                  <w:tcW w:w="3650" w:type="dxa"/>
                  <w:tcBorders>
                    <w:top w:val="single" w:sz="12" w:space="0" w:color="auto"/>
                    <w:left w:val="single" w:sz="4" w:space="0" w:color="auto"/>
                    <w:bottom w:val="single" w:sz="12" w:space="0" w:color="auto"/>
                    <w:right w:val="single" w:sz="4" w:space="0" w:color="auto"/>
                  </w:tcBorders>
                  <w:tcMar>
                    <w:left w:w="58" w:type="dxa"/>
                    <w:right w:w="58" w:type="dxa"/>
                  </w:tcMar>
                </w:tcPr>
                <w:p w14:paraId="5D7E391F" w14:textId="77777777" w:rsidR="004E2A23" w:rsidRPr="005D4222" w:rsidRDefault="004E2A23" w:rsidP="00BF553C">
                  <w:pPr>
                    <w:pStyle w:val="TableText"/>
                    <w:framePr w:hSpace="180" w:wrap="around" w:vAnchor="text" w:hAnchor="text" w:y="1"/>
                    <w:spacing w:before="50" w:after="50"/>
                    <w:suppressOverlap/>
                    <w:rPr>
                      <w:u w:val="single"/>
                    </w:rPr>
                  </w:pPr>
                  <w:r w:rsidRPr="005D4222">
                    <w:rPr>
                      <w:u w:val="single"/>
                    </w:rPr>
                    <w:t>Tapentadol 50 mg Medications List</w:t>
                  </w:r>
                </w:p>
                <w:p w14:paraId="4E624D33" w14:textId="77777777" w:rsidR="004E2A23" w:rsidRPr="005D4222" w:rsidRDefault="004E2A23" w:rsidP="00BF553C">
                  <w:pPr>
                    <w:pStyle w:val="TableText"/>
                    <w:framePr w:hSpace="180" w:wrap="around" w:vAnchor="text" w:hAnchor="text" w:y="1"/>
                    <w:spacing w:before="50" w:after="50"/>
                    <w:suppressOverlap/>
                    <w:rPr>
                      <w:u w:val="single"/>
                    </w:rPr>
                  </w:pPr>
                  <w:r w:rsidRPr="005D4222">
                    <w:rPr>
                      <w:u w:val="single"/>
                    </w:rPr>
                    <w:t>Tapentadol 75 mg Medications List</w:t>
                  </w:r>
                </w:p>
                <w:p w14:paraId="2C388FCB" w14:textId="77777777" w:rsidR="004E2A23" w:rsidRPr="005D4222" w:rsidRDefault="004E2A23" w:rsidP="00BF553C">
                  <w:pPr>
                    <w:pStyle w:val="TableText"/>
                    <w:framePr w:hSpace="180" w:wrap="around" w:vAnchor="text" w:hAnchor="text" w:y="1"/>
                    <w:spacing w:before="50" w:after="50"/>
                    <w:suppressOverlap/>
                    <w:rPr>
                      <w:u w:val="single"/>
                    </w:rPr>
                  </w:pPr>
                  <w:r w:rsidRPr="005D4222">
                    <w:rPr>
                      <w:u w:val="single"/>
                    </w:rPr>
                    <w:t>Tapentadol 100 mg Medications List</w:t>
                  </w:r>
                </w:p>
                <w:p w14:paraId="10F138AA" w14:textId="77777777" w:rsidR="004E2A23" w:rsidRPr="005D4222" w:rsidRDefault="004E2A23" w:rsidP="00BF553C">
                  <w:pPr>
                    <w:pStyle w:val="TableText"/>
                    <w:framePr w:hSpace="180" w:wrap="around" w:vAnchor="text" w:hAnchor="text" w:y="1"/>
                    <w:spacing w:before="50" w:after="50"/>
                    <w:suppressOverlap/>
                    <w:rPr>
                      <w:u w:val="single"/>
                    </w:rPr>
                  </w:pPr>
                  <w:r w:rsidRPr="005D4222">
                    <w:rPr>
                      <w:u w:val="single"/>
                    </w:rPr>
                    <w:t>Tapentadol 150 mg Medications List</w:t>
                  </w:r>
                </w:p>
                <w:p w14:paraId="1117840A" w14:textId="77777777" w:rsidR="004E2A23" w:rsidRPr="005D4222" w:rsidRDefault="004E2A23" w:rsidP="00BF553C">
                  <w:pPr>
                    <w:pStyle w:val="TableText"/>
                    <w:framePr w:hSpace="180" w:wrap="around" w:vAnchor="text" w:hAnchor="text" w:y="1"/>
                    <w:spacing w:before="50" w:after="50"/>
                    <w:suppressOverlap/>
                    <w:rPr>
                      <w:u w:val="single"/>
                    </w:rPr>
                  </w:pPr>
                  <w:r w:rsidRPr="005D4222">
                    <w:rPr>
                      <w:u w:val="single"/>
                    </w:rPr>
                    <w:t>Tapentadol 200 mg Medications List</w:t>
                  </w:r>
                </w:p>
                <w:p w14:paraId="4E31228A" w14:textId="77777777" w:rsidR="004E2A23" w:rsidRPr="005D4222" w:rsidRDefault="004E2A23" w:rsidP="00BF553C">
                  <w:pPr>
                    <w:pStyle w:val="TableText"/>
                    <w:framePr w:hSpace="180" w:wrap="around" w:vAnchor="text" w:hAnchor="text" w:y="1"/>
                    <w:spacing w:before="50" w:after="50"/>
                    <w:suppressOverlap/>
                    <w:rPr>
                      <w:u w:val="single"/>
                    </w:rPr>
                  </w:pPr>
                  <w:r w:rsidRPr="005D4222">
                    <w:rPr>
                      <w:u w:val="single"/>
                    </w:rPr>
                    <w:t>Tapentadol 250 mg Medications List</w:t>
                  </w:r>
                </w:p>
              </w:tc>
              <w:tc>
                <w:tcPr>
                  <w:tcW w:w="960" w:type="dxa"/>
                  <w:tcBorders>
                    <w:top w:val="single" w:sz="12" w:space="0" w:color="auto"/>
                    <w:left w:val="single" w:sz="4" w:space="0" w:color="auto"/>
                    <w:bottom w:val="single" w:sz="12" w:space="0" w:color="auto"/>
                    <w:right w:val="single" w:sz="4" w:space="0" w:color="auto"/>
                  </w:tcBorders>
                  <w:tcMar>
                    <w:left w:w="58" w:type="dxa"/>
                    <w:right w:w="58" w:type="dxa"/>
                  </w:tcMar>
                </w:tcPr>
                <w:p w14:paraId="4E06D6BB" w14:textId="77777777" w:rsidR="004E2A23" w:rsidRPr="005D4222" w:rsidRDefault="004E2A23" w:rsidP="00BF553C">
                  <w:pPr>
                    <w:pStyle w:val="TableText"/>
                    <w:framePr w:hSpace="180" w:wrap="around" w:vAnchor="text" w:hAnchor="text" w:y="1"/>
                    <w:spacing w:before="50" w:after="50"/>
                    <w:suppressOverlap/>
                  </w:pPr>
                  <w:r w:rsidRPr="005D4222">
                    <w:t>50 mg</w:t>
                  </w:r>
                </w:p>
                <w:p w14:paraId="7768B286" w14:textId="77777777" w:rsidR="004E2A23" w:rsidRPr="005D4222" w:rsidRDefault="004E2A23" w:rsidP="00BF553C">
                  <w:pPr>
                    <w:pStyle w:val="TableText"/>
                    <w:framePr w:hSpace="180" w:wrap="around" w:vAnchor="text" w:hAnchor="text" w:y="1"/>
                    <w:spacing w:before="50" w:after="50"/>
                    <w:suppressOverlap/>
                  </w:pPr>
                  <w:r w:rsidRPr="005D4222">
                    <w:t>75 mg</w:t>
                  </w:r>
                </w:p>
                <w:p w14:paraId="0695C2C8" w14:textId="77777777" w:rsidR="004E2A23" w:rsidRPr="005D4222" w:rsidRDefault="004E2A23" w:rsidP="00BF553C">
                  <w:pPr>
                    <w:pStyle w:val="TableText"/>
                    <w:framePr w:hSpace="180" w:wrap="around" w:vAnchor="text" w:hAnchor="text" w:y="1"/>
                    <w:spacing w:before="50" w:after="50"/>
                    <w:suppressOverlap/>
                  </w:pPr>
                  <w:r w:rsidRPr="005D4222">
                    <w:t>100 mg</w:t>
                  </w:r>
                </w:p>
                <w:p w14:paraId="3A5E2F20" w14:textId="77777777" w:rsidR="004E2A23" w:rsidRPr="005D4222" w:rsidRDefault="004E2A23" w:rsidP="00BF553C">
                  <w:pPr>
                    <w:pStyle w:val="TableText"/>
                    <w:framePr w:hSpace="180" w:wrap="around" w:vAnchor="text" w:hAnchor="text" w:y="1"/>
                    <w:spacing w:before="50" w:after="50"/>
                    <w:suppressOverlap/>
                  </w:pPr>
                  <w:r w:rsidRPr="005D4222">
                    <w:t>150 mg</w:t>
                  </w:r>
                </w:p>
                <w:p w14:paraId="4A42A881" w14:textId="77777777" w:rsidR="004E2A23" w:rsidRPr="005D4222" w:rsidRDefault="004E2A23" w:rsidP="00BF553C">
                  <w:pPr>
                    <w:pStyle w:val="TableText"/>
                    <w:framePr w:hSpace="180" w:wrap="around" w:vAnchor="text" w:hAnchor="text" w:y="1"/>
                    <w:spacing w:before="50" w:after="50"/>
                    <w:suppressOverlap/>
                  </w:pPr>
                  <w:r w:rsidRPr="005D4222">
                    <w:t>200 mg</w:t>
                  </w:r>
                </w:p>
                <w:p w14:paraId="7A473A72" w14:textId="77777777" w:rsidR="004E2A23" w:rsidRPr="005D4222" w:rsidRDefault="004E2A23" w:rsidP="00BF553C">
                  <w:pPr>
                    <w:pStyle w:val="TableText"/>
                    <w:framePr w:hSpace="180" w:wrap="around" w:vAnchor="text" w:hAnchor="text" w:y="1"/>
                    <w:spacing w:before="50" w:after="50"/>
                    <w:suppressOverlap/>
                  </w:pPr>
                  <w:r w:rsidRPr="005D4222">
                    <w:t>250 mg</w:t>
                  </w:r>
                </w:p>
              </w:tc>
              <w:tc>
                <w:tcPr>
                  <w:tcW w:w="1152" w:type="dxa"/>
                  <w:tcBorders>
                    <w:top w:val="single" w:sz="12" w:space="0" w:color="auto"/>
                    <w:left w:val="single" w:sz="4" w:space="0" w:color="auto"/>
                    <w:bottom w:val="single" w:sz="12" w:space="0" w:color="auto"/>
                    <w:right w:val="single" w:sz="4" w:space="0" w:color="auto"/>
                  </w:tcBorders>
                  <w:tcMar>
                    <w:left w:w="58" w:type="dxa"/>
                    <w:right w:w="58" w:type="dxa"/>
                  </w:tcMar>
                </w:tcPr>
                <w:p w14:paraId="199A2299" w14:textId="77777777" w:rsidR="004E2A23" w:rsidRPr="005D4222" w:rsidRDefault="004E2A23" w:rsidP="00BF553C">
                  <w:pPr>
                    <w:pStyle w:val="TableText"/>
                    <w:framePr w:hSpace="180" w:wrap="around" w:vAnchor="text" w:hAnchor="text" w:y="1"/>
                    <w:spacing w:before="50" w:after="50"/>
                    <w:suppressOverlap/>
                    <w:jc w:val="center"/>
                  </w:pPr>
                  <w:r w:rsidRPr="005D4222">
                    <w:t>0.4</w:t>
                  </w:r>
                </w:p>
              </w:tc>
            </w:tr>
            <w:tr w:rsidR="004E2A23" w:rsidRPr="005D4222" w14:paraId="27D5346D" w14:textId="77777777" w:rsidTr="00723676">
              <w:trPr>
                <w:trHeight w:val="204"/>
              </w:trPr>
              <w:tc>
                <w:tcPr>
                  <w:tcW w:w="1584" w:type="dxa"/>
                  <w:tcBorders>
                    <w:top w:val="single" w:sz="12" w:space="0" w:color="auto"/>
                    <w:left w:val="single" w:sz="4" w:space="0" w:color="auto"/>
                    <w:bottom w:val="single" w:sz="4" w:space="0" w:color="auto"/>
                    <w:right w:val="single" w:sz="4" w:space="0" w:color="auto"/>
                  </w:tcBorders>
                  <w:tcMar>
                    <w:left w:w="58" w:type="dxa"/>
                    <w:right w:w="58" w:type="dxa"/>
                  </w:tcMar>
                </w:tcPr>
                <w:p w14:paraId="33185F15" w14:textId="45162DE3" w:rsidR="004E2A23" w:rsidRPr="005D4222" w:rsidRDefault="004E2A23" w:rsidP="00BF553C">
                  <w:pPr>
                    <w:pStyle w:val="TableText"/>
                    <w:framePr w:hSpace="180" w:wrap="around" w:vAnchor="text" w:hAnchor="text" w:y="1"/>
                    <w:spacing w:before="50" w:after="50"/>
                    <w:suppressOverlap/>
                    <w:rPr>
                      <w:rFonts w:eastAsia="Arial Narrow,Times New Roman"/>
                    </w:rPr>
                  </w:pPr>
                  <w:r w:rsidRPr="005D4222">
                    <w:rPr>
                      <w:rFonts w:eastAsia="Arial Narrow,Times New Roman"/>
                    </w:rPr>
                    <w:t>Tramadol</w:t>
                  </w:r>
                </w:p>
              </w:tc>
              <w:tc>
                <w:tcPr>
                  <w:tcW w:w="3650" w:type="dxa"/>
                  <w:tcBorders>
                    <w:top w:val="single" w:sz="12" w:space="0" w:color="auto"/>
                    <w:left w:val="single" w:sz="4" w:space="0" w:color="auto"/>
                    <w:bottom w:val="single" w:sz="4" w:space="0" w:color="auto"/>
                    <w:right w:val="single" w:sz="4" w:space="0" w:color="auto"/>
                  </w:tcBorders>
                  <w:tcMar>
                    <w:left w:w="58" w:type="dxa"/>
                    <w:right w:w="58" w:type="dxa"/>
                  </w:tcMar>
                </w:tcPr>
                <w:p w14:paraId="7EEB3C9F" w14:textId="77777777" w:rsidR="004E2A23" w:rsidRPr="005D4222" w:rsidRDefault="004E2A23" w:rsidP="00BF553C">
                  <w:pPr>
                    <w:pStyle w:val="TableText"/>
                    <w:framePr w:hSpace="180" w:wrap="around" w:vAnchor="text" w:hAnchor="text" w:y="1"/>
                    <w:spacing w:before="50" w:after="50"/>
                    <w:suppressOverlap/>
                    <w:rPr>
                      <w:u w:val="single"/>
                    </w:rPr>
                  </w:pPr>
                  <w:r w:rsidRPr="005D4222">
                    <w:rPr>
                      <w:u w:val="single"/>
                    </w:rPr>
                    <w:t>Tramadol 5 MGPML Medications List</w:t>
                  </w:r>
                </w:p>
                <w:p w14:paraId="218193D4" w14:textId="77777777" w:rsidR="004E2A23" w:rsidRPr="005D4222" w:rsidRDefault="004E2A23" w:rsidP="00BF553C">
                  <w:pPr>
                    <w:pStyle w:val="TableText"/>
                    <w:framePr w:hSpace="180" w:wrap="around" w:vAnchor="text" w:hAnchor="text" w:y="1"/>
                    <w:spacing w:before="50" w:after="50"/>
                    <w:suppressOverlap/>
                    <w:rPr>
                      <w:rFonts w:eastAsia="Arial Narrow,Times New Roman"/>
                      <w:u w:val="single"/>
                    </w:rPr>
                  </w:pPr>
                  <w:r w:rsidRPr="005D4222">
                    <w:rPr>
                      <w:u w:val="single"/>
                    </w:rPr>
                    <w:t>Tramadol 50 mg Medications List</w:t>
                  </w:r>
                </w:p>
                <w:p w14:paraId="0310ED6F" w14:textId="77777777" w:rsidR="004E2A23" w:rsidRPr="005D4222" w:rsidRDefault="004E2A23" w:rsidP="00BF553C">
                  <w:pPr>
                    <w:pStyle w:val="TableText"/>
                    <w:framePr w:hSpace="180" w:wrap="around" w:vAnchor="text" w:hAnchor="text" w:y="1"/>
                    <w:spacing w:before="50" w:after="50"/>
                    <w:suppressOverlap/>
                    <w:rPr>
                      <w:u w:val="single"/>
                    </w:rPr>
                  </w:pPr>
                  <w:r w:rsidRPr="005D4222">
                    <w:rPr>
                      <w:u w:val="single"/>
                    </w:rPr>
                    <w:t>Tramadol 100 mg Medications List</w:t>
                  </w:r>
                </w:p>
                <w:p w14:paraId="3B715E64" w14:textId="77777777" w:rsidR="004E2A23" w:rsidRPr="005D4222" w:rsidRDefault="004E2A23" w:rsidP="00BF553C">
                  <w:pPr>
                    <w:pStyle w:val="TableText"/>
                    <w:framePr w:hSpace="180" w:wrap="around" w:vAnchor="text" w:hAnchor="text" w:y="1"/>
                    <w:spacing w:before="50" w:after="50"/>
                    <w:suppressOverlap/>
                    <w:rPr>
                      <w:u w:val="single"/>
                    </w:rPr>
                  </w:pPr>
                  <w:r w:rsidRPr="005D4222">
                    <w:rPr>
                      <w:u w:val="single"/>
                    </w:rPr>
                    <w:t>Tramadol 150 mg Medications List</w:t>
                  </w:r>
                </w:p>
                <w:p w14:paraId="073EFC79" w14:textId="77777777" w:rsidR="004E2A23" w:rsidRPr="005D4222" w:rsidRDefault="004E2A23" w:rsidP="00BF553C">
                  <w:pPr>
                    <w:pStyle w:val="TableText"/>
                    <w:framePr w:hSpace="180" w:wrap="around" w:vAnchor="text" w:hAnchor="text" w:y="1"/>
                    <w:spacing w:before="50" w:after="50"/>
                    <w:suppressOverlap/>
                    <w:rPr>
                      <w:u w:val="single"/>
                    </w:rPr>
                  </w:pPr>
                  <w:r w:rsidRPr="005D4222">
                    <w:rPr>
                      <w:u w:val="single"/>
                    </w:rPr>
                    <w:t>Tramadol 200 mg Medications List</w:t>
                  </w:r>
                </w:p>
                <w:p w14:paraId="49046984" w14:textId="166865C8" w:rsidR="004E2A23" w:rsidRPr="005D4222" w:rsidRDefault="004E2A23" w:rsidP="00BF553C">
                  <w:pPr>
                    <w:pStyle w:val="TableText"/>
                    <w:framePr w:hSpace="180" w:wrap="around" w:vAnchor="text" w:hAnchor="text" w:y="1"/>
                    <w:spacing w:before="50" w:after="50"/>
                    <w:suppressOverlap/>
                    <w:rPr>
                      <w:u w:val="single"/>
                    </w:rPr>
                  </w:pPr>
                  <w:r w:rsidRPr="005D4222">
                    <w:rPr>
                      <w:u w:val="single"/>
                    </w:rPr>
                    <w:t>Tramadol 300 mg Medications List</w:t>
                  </w:r>
                </w:p>
              </w:tc>
              <w:tc>
                <w:tcPr>
                  <w:tcW w:w="960" w:type="dxa"/>
                  <w:tcBorders>
                    <w:top w:val="single" w:sz="12" w:space="0" w:color="auto"/>
                    <w:left w:val="single" w:sz="4" w:space="0" w:color="auto"/>
                    <w:bottom w:val="single" w:sz="4" w:space="0" w:color="auto"/>
                    <w:right w:val="single" w:sz="4" w:space="0" w:color="auto"/>
                  </w:tcBorders>
                  <w:tcMar>
                    <w:left w:w="58" w:type="dxa"/>
                    <w:right w:w="58" w:type="dxa"/>
                  </w:tcMar>
                </w:tcPr>
                <w:p w14:paraId="3E15697F" w14:textId="77777777" w:rsidR="004E2A23" w:rsidRPr="005D4222" w:rsidRDefault="004E2A23" w:rsidP="00BF553C">
                  <w:pPr>
                    <w:pStyle w:val="TableText"/>
                    <w:framePr w:hSpace="180" w:wrap="around" w:vAnchor="text" w:hAnchor="text" w:y="1"/>
                    <w:spacing w:before="50" w:after="50"/>
                    <w:suppressOverlap/>
                    <w:rPr>
                      <w:rFonts w:eastAsia="Arial Narrow,Times New Roman"/>
                    </w:rPr>
                  </w:pPr>
                  <w:r w:rsidRPr="005D4222">
                    <w:rPr>
                      <w:rFonts w:eastAsia="Arial Narrow,Times New Roman"/>
                    </w:rPr>
                    <w:t>5 mg</w:t>
                  </w:r>
                </w:p>
                <w:p w14:paraId="567CFDAF" w14:textId="77777777" w:rsidR="004E2A23" w:rsidRPr="005D4222" w:rsidRDefault="004E2A23" w:rsidP="00BF553C">
                  <w:pPr>
                    <w:pStyle w:val="TableText"/>
                    <w:framePr w:hSpace="180" w:wrap="around" w:vAnchor="text" w:hAnchor="text" w:y="1"/>
                    <w:spacing w:before="50" w:after="50"/>
                    <w:suppressOverlap/>
                    <w:rPr>
                      <w:rFonts w:eastAsia="Arial Narrow,Times New Roman"/>
                    </w:rPr>
                  </w:pPr>
                  <w:r w:rsidRPr="005D4222">
                    <w:rPr>
                      <w:rFonts w:eastAsia="Arial Narrow,Times New Roman"/>
                    </w:rPr>
                    <w:t>50 mg</w:t>
                  </w:r>
                </w:p>
                <w:p w14:paraId="141D0688" w14:textId="77777777" w:rsidR="004E2A23" w:rsidRPr="005D4222" w:rsidRDefault="004E2A23" w:rsidP="00BF553C">
                  <w:pPr>
                    <w:pStyle w:val="TableText"/>
                    <w:framePr w:hSpace="180" w:wrap="around" w:vAnchor="text" w:hAnchor="text" w:y="1"/>
                    <w:spacing w:before="50" w:after="50"/>
                    <w:suppressOverlap/>
                    <w:rPr>
                      <w:rFonts w:eastAsia="Arial Narrow,Times New Roman"/>
                    </w:rPr>
                  </w:pPr>
                  <w:r w:rsidRPr="005D4222">
                    <w:rPr>
                      <w:rFonts w:eastAsia="Arial Narrow,Times New Roman"/>
                    </w:rPr>
                    <w:t>100 mg</w:t>
                  </w:r>
                </w:p>
                <w:p w14:paraId="38904EB9" w14:textId="77777777" w:rsidR="004E2A23" w:rsidRPr="005D4222" w:rsidRDefault="004E2A23" w:rsidP="00BF553C">
                  <w:pPr>
                    <w:pStyle w:val="TableText"/>
                    <w:framePr w:hSpace="180" w:wrap="around" w:vAnchor="text" w:hAnchor="text" w:y="1"/>
                    <w:spacing w:before="50" w:after="50"/>
                    <w:suppressOverlap/>
                    <w:rPr>
                      <w:rFonts w:eastAsia="Arial Narrow,Times New Roman"/>
                    </w:rPr>
                  </w:pPr>
                  <w:r w:rsidRPr="005D4222">
                    <w:rPr>
                      <w:rFonts w:eastAsia="Arial Narrow,Times New Roman"/>
                    </w:rPr>
                    <w:t>150 mg</w:t>
                  </w:r>
                </w:p>
                <w:p w14:paraId="1328D558" w14:textId="77777777" w:rsidR="004E2A23" w:rsidRPr="005D4222" w:rsidRDefault="004E2A23" w:rsidP="00BF553C">
                  <w:pPr>
                    <w:pStyle w:val="TableText"/>
                    <w:framePr w:hSpace="180" w:wrap="around" w:vAnchor="text" w:hAnchor="text" w:y="1"/>
                    <w:spacing w:before="50" w:after="50"/>
                    <w:suppressOverlap/>
                    <w:rPr>
                      <w:rFonts w:eastAsia="Arial Narrow,Times New Roman"/>
                    </w:rPr>
                  </w:pPr>
                  <w:r w:rsidRPr="005D4222">
                    <w:rPr>
                      <w:rFonts w:eastAsia="Arial Narrow,Times New Roman"/>
                    </w:rPr>
                    <w:t>200 mg</w:t>
                  </w:r>
                </w:p>
                <w:p w14:paraId="4950D255" w14:textId="208D450C" w:rsidR="004E2A23" w:rsidRPr="005D4222" w:rsidRDefault="004E2A23" w:rsidP="00BF553C">
                  <w:pPr>
                    <w:pStyle w:val="TableText"/>
                    <w:framePr w:hSpace="180" w:wrap="around" w:vAnchor="text" w:hAnchor="text" w:y="1"/>
                    <w:spacing w:before="50" w:after="50"/>
                    <w:suppressOverlap/>
                  </w:pPr>
                  <w:r w:rsidRPr="005D4222">
                    <w:rPr>
                      <w:rFonts w:eastAsia="Arial Narrow,Times New Roman"/>
                    </w:rPr>
                    <w:t>300 mg</w:t>
                  </w:r>
                </w:p>
              </w:tc>
              <w:tc>
                <w:tcPr>
                  <w:tcW w:w="1152" w:type="dxa"/>
                  <w:tcBorders>
                    <w:top w:val="single" w:sz="12" w:space="0" w:color="auto"/>
                    <w:left w:val="single" w:sz="4" w:space="0" w:color="auto"/>
                    <w:bottom w:val="single" w:sz="4" w:space="0" w:color="auto"/>
                    <w:right w:val="single" w:sz="4" w:space="0" w:color="auto"/>
                  </w:tcBorders>
                  <w:tcMar>
                    <w:left w:w="58" w:type="dxa"/>
                    <w:right w:w="58" w:type="dxa"/>
                  </w:tcMar>
                </w:tcPr>
                <w:p w14:paraId="3CA1D781" w14:textId="669E9A0D" w:rsidR="004E2A23" w:rsidRPr="005D4222" w:rsidRDefault="004E2A23" w:rsidP="00BF553C">
                  <w:pPr>
                    <w:pStyle w:val="TableText"/>
                    <w:framePr w:hSpace="180" w:wrap="around" w:vAnchor="text" w:hAnchor="text" w:y="1"/>
                    <w:spacing w:before="50" w:after="50"/>
                    <w:suppressOverlap/>
                    <w:jc w:val="center"/>
                  </w:pPr>
                  <w:r w:rsidRPr="005D4222">
                    <w:rPr>
                      <w:rFonts w:eastAsia="Arial Narrow,Times New Roman"/>
                    </w:rPr>
                    <w:t>0.1</w:t>
                  </w:r>
                </w:p>
              </w:tc>
            </w:tr>
            <w:tr w:rsidR="00723676" w:rsidRPr="005D4222" w14:paraId="74D3B7DB" w14:textId="77777777" w:rsidTr="00723676">
              <w:trPr>
                <w:trHeight w:val="204"/>
              </w:trPr>
              <w:tc>
                <w:tcPr>
                  <w:tcW w:w="1584" w:type="dxa"/>
                  <w:tcBorders>
                    <w:top w:val="single" w:sz="4" w:space="0" w:color="auto"/>
                    <w:left w:val="single" w:sz="4" w:space="0" w:color="auto"/>
                    <w:bottom w:val="single" w:sz="4" w:space="0" w:color="auto"/>
                    <w:right w:val="single" w:sz="4" w:space="0" w:color="auto"/>
                  </w:tcBorders>
                  <w:tcMar>
                    <w:left w:w="58" w:type="dxa"/>
                    <w:right w:w="58" w:type="dxa"/>
                  </w:tcMar>
                </w:tcPr>
                <w:p w14:paraId="0B87F63F" w14:textId="66FA3B7A" w:rsidR="00723676" w:rsidRPr="005D4222" w:rsidRDefault="00723676" w:rsidP="00BF553C">
                  <w:pPr>
                    <w:pStyle w:val="TableText"/>
                    <w:framePr w:hSpace="180" w:wrap="around" w:vAnchor="text" w:hAnchor="text" w:y="1"/>
                    <w:spacing w:before="50" w:after="50"/>
                    <w:suppressOverlap/>
                    <w:rPr>
                      <w:rFonts w:eastAsia="Arial Narrow,Times New Roman"/>
                    </w:rPr>
                  </w:pPr>
                  <w:r w:rsidRPr="005D4222">
                    <w:rPr>
                      <w:rFonts w:eastAsia="Arial Narrow,Times New Roman"/>
                    </w:rPr>
                    <w:t>Tramadol</w:t>
                  </w:r>
                </w:p>
              </w:tc>
              <w:tc>
                <w:tcPr>
                  <w:tcW w:w="3650" w:type="dxa"/>
                  <w:tcBorders>
                    <w:top w:val="single" w:sz="4" w:space="0" w:color="auto"/>
                    <w:left w:val="single" w:sz="4" w:space="0" w:color="auto"/>
                    <w:bottom w:val="single" w:sz="4" w:space="0" w:color="auto"/>
                    <w:right w:val="single" w:sz="4" w:space="0" w:color="auto"/>
                  </w:tcBorders>
                  <w:tcMar>
                    <w:left w:w="58" w:type="dxa"/>
                    <w:right w:w="58" w:type="dxa"/>
                  </w:tcMar>
                </w:tcPr>
                <w:p w14:paraId="79FE9744" w14:textId="28C8B188" w:rsidR="00723676" w:rsidRPr="005D4222" w:rsidRDefault="00723676" w:rsidP="00BF553C">
                  <w:pPr>
                    <w:pStyle w:val="TableText"/>
                    <w:framePr w:hSpace="180" w:wrap="around" w:vAnchor="text" w:hAnchor="text" w:y="1"/>
                    <w:spacing w:before="50" w:after="50"/>
                    <w:suppressOverlap/>
                    <w:rPr>
                      <w:u w:val="single"/>
                    </w:rPr>
                  </w:pPr>
                  <w:r w:rsidRPr="005D4222">
                    <w:rPr>
                      <w:u w:val="single"/>
                    </w:rPr>
                    <w:t>Acetaminophen Tramadol 37.5 mg Medications List</w:t>
                  </w:r>
                </w:p>
              </w:tc>
              <w:tc>
                <w:tcPr>
                  <w:tcW w:w="960" w:type="dxa"/>
                  <w:tcBorders>
                    <w:top w:val="single" w:sz="4" w:space="0" w:color="auto"/>
                    <w:left w:val="single" w:sz="4" w:space="0" w:color="auto"/>
                    <w:bottom w:val="single" w:sz="4" w:space="0" w:color="auto"/>
                    <w:right w:val="single" w:sz="4" w:space="0" w:color="auto"/>
                  </w:tcBorders>
                  <w:tcMar>
                    <w:left w:w="58" w:type="dxa"/>
                    <w:right w:w="58" w:type="dxa"/>
                  </w:tcMar>
                </w:tcPr>
                <w:p w14:paraId="36FDF760" w14:textId="364F6BB3" w:rsidR="00723676" w:rsidRPr="005D4222" w:rsidRDefault="00723676" w:rsidP="00BF553C">
                  <w:pPr>
                    <w:pStyle w:val="TableText"/>
                    <w:framePr w:hSpace="180" w:wrap="around" w:vAnchor="text" w:hAnchor="text" w:y="1"/>
                    <w:spacing w:before="50" w:after="50"/>
                    <w:suppressOverlap/>
                    <w:rPr>
                      <w:rFonts w:eastAsia="Arial Narrow,Times New Roman"/>
                    </w:rPr>
                  </w:pPr>
                  <w:r w:rsidRPr="005D4222">
                    <w:rPr>
                      <w:rFonts w:eastAsia="Arial Narrow,Times New Roman"/>
                    </w:rPr>
                    <w:t>37.5 mg</w:t>
                  </w:r>
                </w:p>
              </w:tc>
              <w:tc>
                <w:tcPr>
                  <w:tcW w:w="1152" w:type="dxa"/>
                  <w:tcBorders>
                    <w:top w:val="single" w:sz="4" w:space="0" w:color="auto"/>
                    <w:left w:val="single" w:sz="4" w:space="0" w:color="auto"/>
                    <w:bottom w:val="single" w:sz="4" w:space="0" w:color="auto"/>
                    <w:right w:val="single" w:sz="4" w:space="0" w:color="auto"/>
                  </w:tcBorders>
                  <w:tcMar>
                    <w:left w:w="58" w:type="dxa"/>
                    <w:right w:w="58" w:type="dxa"/>
                  </w:tcMar>
                </w:tcPr>
                <w:p w14:paraId="4807F877" w14:textId="1FE37BD6" w:rsidR="00723676" w:rsidRPr="005D4222" w:rsidRDefault="00723676" w:rsidP="00BF553C">
                  <w:pPr>
                    <w:pStyle w:val="TableText"/>
                    <w:framePr w:hSpace="180" w:wrap="around" w:vAnchor="text" w:hAnchor="text" w:y="1"/>
                    <w:spacing w:before="50" w:after="50"/>
                    <w:suppressOverlap/>
                    <w:jc w:val="center"/>
                    <w:rPr>
                      <w:rFonts w:eastAsia="Arial Narrow,Times New Roman"/>
                    </w:rPr>
                  </w:pPr>
                  <w:r w:rsidRPr="005D4222">
                    <w:rPr>
                      <w:rFonts w:eastAsia="Arial Narrow,Times New Roman"/>
                    </w:rPr>
                    <w:t>0.1</w:t>
                  </w:r>
                </w:p>
              </w:tc>
            </w:tr>
          </w:tbl>
          <w:p w14:paraId="50730A0A" w14:textId="77777777" w:rsidR="00296B47" w:rsidRPr="005D4222" w:rsidRDefault="00296B47" w:rsidP="00296B47">
            <w:pPr>
              <w:spacing w:before="120" w:line="216" w:lineRule="auto"/>
              <w:ind w:left="86" w:hanging="86"/>
              <w:rPr>
                <w:rFonts w:ascii="Arial Narrow" w:eastAsia="Arial Narrow,Arial" w:hAnsi="Arial Narrow" w:cs="Arial Narrow,Arial"/>
                <w:sz w:val="18"/>
                <w:szCs w:val="18"/>
              </w:rPr>
            </w:pPr>
            <w:r w:rsidRPr="005D4222">
              <w:rPr>
                <w:rFonts w:ascii="Arial Narrow" w:eastAsia="Arial" w:hAnsi="Arial Narrow" w:cs="Arial"/>
                <w:sz w:val="18"/>
                <w:szCs w:val="18"/>
                <w:vertAlign w:val="superscript"/>
              </w:rPr>
              <w:t>1</w:t>
            </w:r>
            <w:r w:rsidRPr="005D4222">
              <w:rPr>
                <w:rFonts w:ascii="Arial Narrow" w:eastAsia="Arial" w:hAnsi="Arial Narrow" w:cs="Arial"/>
                <w:sz w:val="18"/>
                <w:szCs w:val="18"/>
                <w:vertAlign w:val="superscript"/>
              </w:rPr>
              <w:tab/>
            </w:r>
            <w:r w:rsidRPr="005D4222">
              <w:rPr>
                <w:rFonts w:ascii="Arial Narrow" w:eastAsia="Arial Narrow,Arial" w:hAnsi="Arial Narrow" w:cs="Arial Narrow,Arial"/>
                <w:sz w:val="18"/>
                <w:szCs w:val="18"/>
              </w:rPr>
              <w:t>MME conversion factor for fentanyl buccal tablets, sublingual tablets, and lozenges/troche is 0.13. This conversion factor should be multiplied by the number of micrograms in a given tablet or lozenge/troche.</w:t>
            </w:r>
          </w:p>
          <w:p w14:paraId="685510C0" w14:textId="77777777" w:rsidR="00296B47" w:rsidRPr="005D4222" w:rsidRDefault="00296B47" w:rsidP="00296B47">
            <w:pPr>
              <w:spacing w:before="40" w:line="216" w:lineRule="auto"/>
              <w:ind w:left="90" w:hanging="90"/>
              <w:rPr>
                <w:sz w:val="18"/>
                <w:szCs w:val="18"/>
              </w:rPr>
            </w:pPr>
            <w:r w:rsidRPr="005D4222">
              <w:rPr>
                <w:rFonts w:ascii="Arial Narrow" w:eastAsia="Arial Narrow,Arial" w:hAnsi="Arial Narrow" w:cs="Arial Narrow,Arial"/>
                <w:sz w:val="18"/>
                <w:szCs w:val="18"/>
                <w:vertAlign w:val="superscript"/>
              </w:rPr>
              <w:t>2</w:t>
            </w:r>
            <w:r w:rsidRPr="005D4222">
              <w:rPr>
                <w:rFonts w:ascii="Arial Narrow" w:eastAsia="Arial Narrow,Arial" w:hAnsi="Arial Narrow" w:cs="Arial Narrow,Arial"/>
                <w:sz w:val="18"/>
                <w:szCs w:val="18"/>
                <w:vertAlign w:val="superscript"/>
              </w:rPr>
              <w:tab/>
            </w:r>
            <w:r w:rsidRPr="005D4222">
              <w:rPr>
                <w:rFonts w:ascii="Arial Narrow" w:eastAsia="Arial Narrow,Arial" w:hAnsi="Arial Narrow" w:cs="Arial Narrow,Arial"/>
                <w:sz w:val="18"/>
                <w:szCs w:val="18"/>
              </w:rPr>
              <w:t xml:space="preserve">MME conversion factor for fentanyl films and oral sprays is 0.18. This reflects a 40% greater bioavailability for films compared to lozenges/tablets and 38% greater bioavailability for oral sprays compared to lozenges/tablets. </w:t>
            </w:r>
          </w:p>
          <w:p w14:paraId="78C69BD7" w14:textId="2EEF04A1" w:rsidR="004E2A23" w:rsidRPr="005D4222" w:rsidRDefault="00296B47" w:rsidP="00296B47">
            <w:pPr>
              <w:spacing w:before="40" w:after="80" w:line="216" w:lineRule="auto"/>
              <w:ind w:left="90" w:hanging="90"/>
              <w:rPr>
                <w:sz w:val="10"/>
                <w:szCs w:val="10"/>
              </w:rPr>
            </w:pPr>
            <w:r w:rsidRPr="005D4222">
              <w:rPr>
                <w:rFonts w:ascii="Arial Narrow" w:eastAsia="Arial Narrow,Arial" w:hAnsi="Arial Narrow" w:cs="Arial Narrow,Arial"/>
                <w:sz w:val="18"/>
                <w:szCs w:val="18"/>
                <w:vertAlign w:val="superscript"/>
              </w:rPr>
              <w:t>3</w:t>
            </w:r>
            <w:r w:rsidRPr="005D4222">
              <w:rPr>
                <w:rFonts w:ascii="Arial Narrow" w:eastAsia="Arial Narrow,Arial" w:hAnsi="Arial Narrow" w:cs="Arial Narrow,Arial"/>
                <w:sz w:val="18"/>
                <w:szCs w:val="18"/>
                <w:vertAlign w:val="superscript"/>
              </w:rPr>
              <w:tab/>
            </w:r>
            <w:r w:rsidRPr="005D4222">
              <w:rPr>
                <w:rFonts w:ascii="Arial Narrow" w:eastAsia="Arial Narrow,Arial" w:hAnsi="Arial Narrow" w:cs="Arial Narrow,Arial"/>
                <w:sz w:val="18"/>
                <w:szCs w:val="18"/>
              </w:rPr>
              <w:t xml:space="preserve">MME conversion factor for fentanyl nasal spray is 0.16, which reflects a 20% greater bioavailability for sprays compared to lozenges/tablets. </w:t>
            </w:r>
          </w:p>
        </w:tc>
      </w:tr>
      <w:tr w:rsidR="000866E5" w:rsidRPr="005D4222" w14:paraId="746EB9AC" w14:textId="77777777" w:rsidTr="00CE405F">
        <w:tc>
          <w:tcPr>
            <w:tcW w:w="2158" w:type="dxa"/>
            <w:tcBorders>
              <w:top w:val="single" w:sz="4" w:space="0" w:color="auto"/>
              <w:left w:val="single" w:sz="2" w:space="0" w:color="auto"/>
              <w:bottom w:val="single" w:sz="4" w:space="0" w:color="auto"/>
              <w:right w:val="single" w:sz="2" w:space="0" w:color="auto"/>
            </w:tcBorders>
            <w:shd w:val="clear" w:color="auto" w:fill="BFBFBF" w:themeFill="background1" w:themeFillShade="BF"/>
            <w:noWrap/>
            <w:tcMar>
              <w:top w:w="0" w:type="dxa"/>
              <w:left w:w="86" w:type="dxa"/>
              <w:bottom w:w="43" w:type="dxa"/>
              <w:right w:w="86" w:type="dxa"/>
            </w:tcMar>
          </w:tcPr>
          <w:p w14:paraId="41708999" w14:textId="77777777" w:rsidR="000866E5" w:rsidRPr="005D4222" w:rsidRDefault="000866E5">
            <w:pPr>
              <w:pStyle w:val="ECDSMarginHead"/>
            </w:pPr>
          </w:p>
        </w:tc>
        <w:tc>
          <w:tcPr>
            <w:tcW w:w="7558" w:type="dxa"/>
            <w:tcBorders>
              <w:top w:val="single" w:sz="4" w:space="0" w:color="auto"/>
              <w:left w:val="single" w:sz="4" w:space="0" w:color="auto"/>
              <w:bottom w:val="single" w:sz="4" w:space="0" w:color="auto"/>
              <w:right w:val="single" w:sz="4" w:space="0" w:color="auto"/>
            </w:tcBorders>
            <w:noWrap/>
            <w:tcMar>
              <w:top w:w="0" w:type="dxa"/>
              <w:left w:w="86" w:type="dxa"/>
              <w:bottom w:w="43" w:type="dxa"/>
              <w:right w:w="86" w:type="dxa"/>
            </w:tcMar>
            <w:vAlign w:val="center"/>
          </w:tcPr>
          <w:p w14:paraId="344B48DD" w14:textId="77777777" w:rsidR="000866E5" w:rsidRPr="005D4222" w:rsidRDefault="000866E5" w:rsidP="00296B47">
            <w:pPr>
              <w:spacing w:before="120" w:line="216" w:lineRule="auto"/>
              <w:ind w:left="86" w:hanging="86"/>
              <w:rPr>
                <w:rFonts w:ascii="Arial Narrow" w:eastAsia="Arial" w:hAnsi="Arial Narrow" w:cs="Arial"/>
                <w:sz w:val="18"/>
                <w:szCs w:val="18"/>
              </w:rPr>
            </w:pPr>
            <w:r w:rsidRPr="005D4222">
              <w:rPr>
                <w:rFonts w:ascii="Arial Narrow" w:eastAsia="Arial" w:hAnsi="Arial Narrow" w:cs="Arial"/>
                <w:sz w:val="18"/>
                <w:szCs w:val="18"/>
                <w:vertAlign w:val="superscript"/>
              </w:rPr>
              <w:t>4</w:t>
            </w:r>
            <w:r w:rsidRPr="005D4222">
              <w:rPr>
                <w:rFonts w:ascii="Arial Narrow" w:eastAsia="Arial" w:hAnsi="Arial Narrow" w:cs="Arial"/>
                <w:sz w:val="18"/>
                <w:szCs w:val="18"/>
                <w:vertAlign w:val="superscript"/>
              </w:rPr>
              <w:tab/>
            </w:r>
            <w:r w:rsidRPr="005D4222">
              <w:rPr>
                <w:rFonts w:ascii="Arial Narrow" w:eastAsia="Arial Narrow,Arial" w:hAnsi="Arial Narrow" w:cs="Arial Narrow,Arial"/>
                <w:sz w:val="18"/>
                <w:szCs w:val="18"/>
              </w:rPr>
              <w:t>MME conversion factor for fentanyl patches is 7.2 based on the assumption that one milligram of parenteral fentanyl is equivalent to 100 milligrams of oral morphine and that one patch delivers the dispensed micrograms per hour over a 24-hour day and remains in place for 3 days. Using the formula, Strength per Unit * (Number of Units/ Days Supply) * MME conversion factor = MME/Day: 25 µg/hr. fentanyl patch * (10 patches/30 days) * 7.2 = 60 MME/day</w:t>
            </w:r>
            <w:r w:rsidRPr="005D4222">
              <w:rPr>
                <w:rFonts w:ascii="Arial Narrow" w:eastAsia="Arial" w:hAnsi="Arial Narrow" w:cs="Arial"/>
                <w:sz w:val="18"/>
                <w:szCs w:val="18"/>
              </w:rPr>
              <w:t>.</w:t>
            </w:r>
          </w:p>
          <w:p w14:paraId="155B8E4C" w14:textId="473713FC" w:rsidR="000866E5" w:rsidRPr="005D4222" w:rsidRDefault="000866E5" w:rsidP="00296B47">
            <w:pPr>
              <w:spacing w:after="80" w:line="216" w:lineRule="auto"/>
              <w:ind w:left="86" w:hanging="86"/>
              <w:rPr>
                <w:sz w:val="10"/>
                <w:szCs w:val="10"/>
              </w:rPr>
            </w:pPr>
            <w:r w:rsidRPr="005D4222">
              <w:rPr>
                <w:rFonts w:ascii="Arial Narrow" w:eastAsia="Arial Narrow,Arial" w:hAnsi="Arial Narrow" w:cs="Arial Narrow,Arial"/>
                <w:sz w:val="18"/>
                <w:szCs w:val="18"/>
                <w:vertAlign w:val="superscript"/>
              </w:rPr>
              <w:t>5</w:t>
            </w:r>
            <w:r w:rsidRPr="005D4222">
              <w:rPr>
                <w:rFonts w:ascii="Arial Narrow" w:eastAsia="Arial Narrow,Arial" w:hAnsi="Arial Narrow" w:cs="Arial Narrow,Arial"/>
                <w:sz w:val="18"/>
                <w:szCs w:val="18"/>
                <w:vertAlign w:val="superscript"/>
              </w:rPr>
              <w:tab/>
            </w:r>
            <w:r w:rsidRPr="005D4222">
              <w:rPr>
                <w:rFonts w:ascii="Arial Narrow" w:eastAsia="Arial Narrow,Arial" w:hAnsi="Arial Narrow" w:cs="Arial Narrow,Arial"/>
                <w:sz w:val="18"/>
                <w:szCs w:val="18"/>
              </w:rPr>
              <w:t>Adapted from Von Korff M, Saunders K, Ray GT, et al. Clin J Pain 2008;24:521–7 and Washington State Interagency Guideline on Prescribing Opioids for Pain (http://www.agencymeddirectors.wa.gov/Files/2015AMDGOpioidGuideline.pdf).</w:t>
            </w:r>
          </w:p>
        </w:tc>
      </w:tr>
      <w:tr w:rsidR="0015699E" w:rsidRPr="005D4222" w14:paraId="50859462" w14:textId="77777777" w:rsidTr="00CE405F">
        <w:trPr>
          <w:trHeight w:val="417"/>
        </w:trPr>
        <w:tc>
          <w:tcPr>
            <w:tcW w:w="2158" w:type="dxa"/>
            <w:tcBorders>
              <w:top w:val="single" w:sz="4" w:space="0" w:color="auto"/>
              <w:left w:val="single" w:sz="2" w:space="0" w:color="auto"/>
              <w:bottom w:val="single" w:sz="4" w:space="0" w:color="auto"/>
              <w:right w:val="single" w:sz="2" w:space="0" w:color="auto"/>
            </w:tcBorders>
            <w:shd w:val="clear" w:color="auto" w:fill="BFBFBF" w:themeFill="background1" w:themeFillShade="BF"/>
            <w:noWrap/>
            <w:tcMar>
              <w:top w:w="0" w:type="dxa"/>
              <w:left w:w="86" w:type="dxa"/>
              <w:bottom w:w="43" w:type="dxa"/>
              <w:right w:w="86" w:type="dxa"/>
            </w:tcMar>
          </w:tcPr>
          <w:p w14:paraId="412F093C" w14:textId="77777777" w:rsidR="0015699E" w:rsidRPr="005D4222" w:rsidRDefault="0015699E">
            <w:pPr>
              <w:pStyle w:val="ECDSMarginHead"/>
            </w:pPr>
            <w:r w:rsidRPr="005D4222">
              <w:t>Summary of changes</w:t>
            </w:r>
          </w:p>
        </w:tc>
        <w:tc>
          <w:tcPr>
            <w:tcW w:w="7558" w:type="dxa"/>
            <w:tcBorders>
              <w:top w:val="single" w:sz="4" w:space="0" w:color="auto"/>
              <w:left w:val="single" w:sz="4" w:space="0" w:color="auto"/>
              <w:bottom w:val="single" w:sz="4" w:space="0" w:color="auto"/>
              <w:right w:val="single" w:sz="4" w:space="0" w:color="auto"/>
            </w:tcBorders>
            <w:noWrap/>
            <w:tcMar>
              <w:top w:w="0" w:type="dxa"/>
              <w:left w:w="86" w:type="dxa"/>
              <w:bottom w:w="43" w:type="dxa"/>
              <w:right w:w="86" w:type="dxa"/>
            </w:tcMar>
          </w:tcPr>
          <w:p w14:paraId="448229AC" w14:textId="77777777" w:rsidR="0015699E" w:rsidRPr="005D4222" w:rsidRDefault="0015699E" w:rsidP="0015699E">
            <w:pPr>
              <w:pStyle w:val="ProcessBullet"/>
              <w:tabs>
                <w:tab w:val="left" w:pos="216"/>
              </w:tabs>
              <w:spacing w:before="120"/>
              <w:rPr>
                <w:rFonts w:eastAsia="Arial,Arial,Arial,Arial,Arial,A"/>
              </w:rPr>
            </w:pPr>
            <w:r w:rsidRPr="005D4222">
              <w:rPr>
                <w:rFonts w:eastAsia="Arial,Arial,Arial,Arial,Arial,A"/>
              </w:rPr>
              <w:t>No changes to this measure.</w:t>
            </w:r>
          </w:p>
        </w:tc>
      </w:tr>
      <w:tr w:rsidR="0015699E" w:rsidRPr="005D4222" w14:paraId="23218F1B" w14:textId="77777777" w:rsidTr="00CE405F">
        <w:trPr>
          <w:trHeight w:val="1317"/>
        </w:trPr>
        <w:tc>
          <w:tcPr>
            <w:tcW w:w="2158" w:type="dxa"/>
            <w:tcBorders>
              <w:top w:val="single" w:sz="4" w:space="0" w:color="auto"/>
              <w:left w:val="single" w:sz="2" w:space="0" w:color="auto"/>
              <w:bottom w:val="single" w:sz="4" w:space="0" w:color="auto"/>
              <w:right w:val="single" w:sz="2" w:space="0" w:color="auto"/>
            </w:tcBorders>
            <w:shd w:val="clear" w:color="auto" w:fill="BFBFBF" w:themeFill="background1" w:themeFillShade="BF"/>
            <w:noWrap/>
            <w:tcMar>
              <w:top w:w="0" w:type="dxa"/>
              <w:left w:w="86" w:type="dxa"/>
              <w:bottom w:w="43" w:type="dxa"/>
              <w:right w:w="86" w:type="dxa"/>
            </w:tcMar>
          </w:tcPr>
          <w:p w14:paraId="2F9A58D5" w14:textId="77777777" w:rsidR="0015699E" w:rsidRPr="005D4222" w:rsidRDefault="0015699E">
            <w:pPr>
              <w:pStyle w:val="ECDSMarginHead"/>
            </w:pPr>
            <w:r w:rsidRPr="005D4222">
              <w:t>Data element tables</w:t>
            </w:r>
          </w:p>
        </w:tc>
        <w:tc>
          <w:tcPr>
            <w:tcW w:w="7558" w:type="dxa"/>
            <w:tcBorders>
              <w:top w:val="single" w:sz="4" w:space="0" w:color="auto"/>
              <w:left w:val="single" w:sz="4" w:space="0" w:color="auto"/>
              <w:bottom w:val="single" w:sz="4" w:space="0" w:color="auto"/>
              <w:right w:val="single" w:sz="4" w:space="0" w:color="auto"/>
            </w:tcBorders>
            <w:noWrap/>
            <w:tcMar>
              <w:top w:w="0" w:type="dxa"/>
              <w:left w:w="86" w:type="dxa"/>
              <w:bottom w:w="43" w:type="dxa"/>
              <w:right w:w="86" w:type="dxa"/>
            </w:tcMar>
          </w:tcPr>
          <w:p w14:paraId="4F4EA611" w14:textId="77777777" w:rsidR="0015699E" w:rsidRPr="005D4222" w:rsidRDefault="0015699E">
            <w:pPr>
              <w:pStyle w:val="ECDSBody"/>
            </w:pPr>
            <w:r w:rsidRPr="005D4222">
              <w:rPr>
                <w:rFonts w:eastAsia="Arial,Arial,Times New Roman"/>
              </w:rPr>
              <w:t xml:space="preserve">Organizations that submit HEDIS data to NCQA must provide the following data elements. </w:t>
            </w:r>
          </w:p>
          <w:p w14:paraId="1745A6FB" w14:textId="77777777" w:rsidR="0015699E" w:rsidRPr="005D4222" w:rsidRDefault="0015699E">
            <w:pPr>
              <w:pStyle w:val="Heading3"/>
              <w:spacing w:before="120"/>
              <w:rPr>
                <w:rFonts w:eastAsia="Arial,Times New Roman"/>
              </w:rPr>
            </w:pPr>
            <w:r w:rsidRPr="005D4222">
              <w:rPr>
                <w:rFonts w:eastAsia="Arial,Arial,Times New Roman"/>
              </w:rPr>
              <w:t>Table HDO-1/2/3:</w:t>
            </w:r>
            <w:r w:rsidRPr="005D4222">
              <w:rPr>
                <w:rFonts w:eastAsia="Arial,Times New Roman"/>
              </w:rPr>
              <w:t xml:space="preserve"> </w:t>
            </w:r>
            <w:r w:rsidRPr="005D4222">
              <w:rPr>
                <w:rFonts w:eastAsia="Arial,Arial,Times New Roman"/>
              </w:rPr>
              <w:t>Data Elements for Use of Opioids at High Dosage</w:t>
            </w:r>
          </w:p>
          <w:tbl>
            <w:tblPr>
              <w:tblW w:w="736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142"/>
              <w:gridCol w:w="2678"/>
              <w:gridCol w:w="1545"/>
            </w:tblGrid>
            <w:tr w:rsidR="0015699E" w:rsidRPr="005D4222" w14:paraId="0CD77FC3" w14:textId="77777777">
              <w:tc>
                <w:tcPr>
                  <w:tcW w:w="3142"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vAlign w:val="bottom"/>
                  <w:hideMark/>
                </w:tcPr>
                <w:p w14:paraId="6623A5A0" w14:textId="77777777" w:rsidR="0015699E" w:rsidRPr="005D4222" w:rsidRDefault="0015699E" w:rsidP="00BF553C">
                  <w:pPr>
                    <w:pStyle w:val="TableHead"/>
                    <w:framePr w:hSpace="180" w:wrap="around" w:vAnchor="text" w:hAnchor="text" w:y="1"/>
                    <w:suppressOverlap/>
                  </w:pPr>
                  <w:r w:rsidRPr="005D4222">
                    <w:t>Metric</w:t>
                  </w:r>
                </w:p>
              </w:tc>
              <w:tc>
                <w:tcPr>
                  <w:tcW w:w="2678"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vAlign w:val="bottom"/>
                  <w:hideMark/>
                </w:tcPr>
                <w:p w14:paraId="0095DF0B" w14:textId="77777777" w:rsidR="0015699E" w:rsidRPr="005D4222" w:rsidRDefault="0015699E" w:rsidP="00BF553C">
                  <w:pPr>
                    <w:pStyle w:val="TableHead"/>
                    <w:framePr w:hSpace="180" w:wrap="around" w:vAnchor="text" w:hAnchor="text" w:y="1"/>
                    <w:suppressOverlap/>
                  </w:pPr>
                  <w:r w:rsidRPr="005D4222">
                    <w:t>Data Element</w:t>
                  </w:r>
                </w:p>
              </w:tc>
              <w:tc>
                <w:tcPr>
                  <w:tcW w:w="1545"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vAlign w:val="bottom"/>
                  <w:hideMark/>
                </w:tcPr>
                <w:p w14:paraId="109A5C66" w14:textId="77777777" w:rsidR="0015699E" w:rsidRPr="005D4222" w:rsidRDefault="0015699E" w:rsidP="00BF553C">
                  <w:pPr>
                    <w:pStyle w:val="TableHead"/>
                    <w:framePr w:hSpace="180" w:wrap="around" w:vAnchor="text" w:hAnchor="text" w:y="1"/>
                    <w:suppressOverlap/>
                  </w:pPr>
                  <w:r w:rsidRPr="005D4222">
                    <w:t>Reporting Instructions</w:t>
                  </w:r>
                </w:p>
              </w:tc>
            </w:tr>
            <w:tr w:rsidR="0015699E" w:rsidRPr="005D4222" w14:paraId="1D47B12E" w14:textId="77777777">
              <w:tc>
                <w:tcPr>
                  <w:tcW w:w="3142" w:type="dxa"/>
                  <w:tcBorders>
                    <w:top w:val="single" w:sz="4" w:space="0" w:color="000000" w:themeColor="text1"/>
                    <w:left w:val="single" w:sz="4" w:space="0" w:color="auto"/>
                    <w:bottom w:val="single" w:sz="4" w:space="0" w:color="auto"/>
                    <w:right w:val="single" w:sz="4" w:space="0" w:color="auto"/>
                  </w:tcBorders>
                  <w:hideMark/>
                </w:tcPr>
                <w:p w14:paraId="424D1E7D" w14:textId="77777777" w:rsidR="0015699E" w:rsidRPr="005D4222" w:rsidRDefault="0015699E" w:rsidP="00BF553C">
                  <w:pPr>
                    <w:pStyle w:val="TableText"/>
                    <w:framePr w:hSpace="180" w:wrap="around" w:vAnchor="text" w:hAnchor="text" w:y="1"/>
                    <w:suppressOverlap/>
                    <w:rPr>
                      <w:rFonts w:cs="Arial"/>
                      <w:szCs w:val="21"/>
                    </w:rPr>
                  </w:pPr>
                  <w:r w:rsidRPr="005D4222">
                    <w:rPr>
                      <w:rFonts w:cs="Arial"/>
                      <w:szCs w:val="21"/>
                    </w:rPr>
                    <w:t>OpioidUseHighDosage</w:t>
                  </w:r>
                </w:p>
              </w:tc>
              <w:tc>
                <w:tcPr>
                  <w:tcW w:w="2678" w:type="dxa"/>
                  <w:tcBorders>
                    <w:top w:val="single" w:sz="4" w:space="0" w:color="000000" w:themeColor="text1"/>
                    <w:left w:val="single" w:sz="4" w:space="0" w:color="auto"/>
                    <w:bottom w:val="single" w:sz="4" w:space="0" w:color="auto"/>
                    <w:right w:val="single" w:sz="4" w:space="0" w:color="auto"/>
                  </w:tcBorders>
                  <w:hideMark/>
                </w:tcPr>
                <w:p w14:paraId="23977DE9" w14:textId="77777777" w:rsidR="0015699E" w:rsidRPr="005D4222" w:rsidRDefault="0015699E" w:rsidP="00BF553C">
                  <w:pPr>
                    <w:pStyle w:val="TableText"/>
                    <w:framePr w:hSpace="180" w:wrap="around" w:vAnchor="text" w:hAnchor="text" w:y="1"/>
                    <w:suppressOverlap/>
                    <w:rPr>
                      <w:rFonts w:cs="Arial"/>
                      <w:szCs w:val="21"/>
                    </w:rPr>
                  </w:pPr>
                  <w:r w:rsidRPr="005D4222">
                    <w:rPr>
                      <w:rFonts w:cs="Arial"/>
                      <w:szCs w:val="21"/>
                    </w:rPr>
                    <w:t>Benefit</w:t>
                  </w:r>
                </w:p>
              </w:tc>
              <w:tc>
                <w:tcPr>
                  <w:tcW w:w="1545" w:type="dxa"/>
                  <w:tcBorders>
                    <w:top w:val="single" w:sz="4" w:space="0" w:color="000000" w:themeColor="text1"/>
                    <w:left w:val="single" w:sz="4" w:space="0" w:color="auto"/>
                    <w:bottom w:val="single" w:sz="6" w:space="0" w:color="auto"/>
                    <w:right w:val="single" w:sz="4" w:space="0" w:color="auto"/>
                  </w:tcBorders>
                  <w:hideMark/>
                </w:tcPr>
                <w:p w14:paraId="05C6235F" w14:textId="77777777" w:rsidR="0015699E" w:rsidRPr="005D4222" w:rsidRDefault="0015699E" w:rsidP="00BF553C">
                  <w:pPr>
                    <w:pStyle w:val="TableText"/>
                    <w:framePr w:hSpace="180" w:wrap="around" w:vAnchor="text" w:hAnchor="text" w:y="1"/>
                    <w:suppressOverlap/>
                    <w:rPr>
                      <w:rFonts w:eastAsia="Wingdings" w:cs="Arial"/>
                      <w:szCs w:val="21"/>
                    </w:rPr>
                  </w:pPr>
                  <w:r w:rsidRPr="005D4222">
                    <w:rPr>
                      <w:rFonts w:eastAsia="Wingdings" w:cs="Arial"/>
                      <w:szCs w:val="21"/>
                    </w:rPr>
                    <w:t>Metadata</w:t>
                  </w:r>
                </w:p>
              </w:tc>
            </w:tr>
            <w:tr w:rsidR="0015699E" w:rsidRPr="005D4222" w14:paraId="7795D86E" w14:textId="77777777">
              <w:tc>
                <w:tcPr>
                  <w:tcW w:w="3142" w:type="dxa"/>
                  <w:tcBorders>
                    <w:top w:val="single" w:sz="4" w:space="0" w:color="auto"/>
                    <w:left w:val="nil"/>
                    <w:bottom w:val="nil"/>
                    <w:right w:val="single" w:sz="4" w:space="0" w:color="auto"/>
                  </w:tcBorders>
                  <w:shd w:val="clear" w:color="auto" w:fill="FFFFFF" w:themeFill="background1"/>
                </w:tcPr>
                <w:p w14:paraId="6264F7FE" w14:textId="77777777" w:rsidR="0015699E" w:rsidRPr="005D4222" w:rsidRDefault="0015699E" w:rsidP="00BF553C">
                  <w:pPr>
                    <w:pStyle w:val="TableText"/>
                    <w:framePr w:hSpace="180" w:wrap="around" w:vAnchor="text" w:hAnchor="text" w:y="1"/>
                    <w:suppressOverlap/>
                    <w:rPr>
                      <w:rFonts w:cs="Arial"/>
                      <w:szCs w:val="21"/>
                    </w:rPr>
                  </w:pPr>
                </w:p>
              </w:tc>
              <w:tc>
                <w:tcPr>
                  <w:tcW w:w="267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68AB3A6" w14:textId="77777777" w:rsidR="0015699E" w:rsidRPr="005D4222" w:rsidRDefault="0015699E" w:rsidP="00BF553C">
                  <w:pPr>
                    <w:pStyle w:val="TableText"/>
                    <w:framePr w:hSpace="180" w:wrap="around" w:vAnchor="text" w:hAnchor="text" w:y="1"/>
                    <w:suppressOverlap/>
                    <w:rPr>
                      <w:rFonts w:cs="Arial"/>
                      <w:szCs w:val="21"/>
                    </w:rPr>
                  </w:pPr>
                  <w:r w:rsidRPr="005D4222">
                    <w:rPr>
                      <w:rFonts w:cs="Arial"/>
                      <w:szCs w:val="21"/>
                    </w:rPr>
                    <w:t>InitialPopulation</w:t>
                  </w:r>
                </w:p>
              </w:tc>
              <w:tc>
                <w:tcPr>
                  <w:tcW w:w="1545"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221AC21F" w14:textId="77777777" w:rsidR="0015699E" w:rsidRPr="005D4222" w:rsidRDefault="0015699E" w:rsidP="00BF553C">
                  <w:pPr>
                    <w:pStyle w:val="TableText"/>
                    <w:framePr w:hSpace="180" w:wrap="around" w:vAnchor="text" w:hAnchor="text" w:y="1"/>
                    <w:suppressOverlap/>
                    <w:rPr>
                      <w:rFonts w:eastAsia="Wingdings" w:cs="Arial"/>
                      <w:szCs w:val="21"/>
                    </w:rPr>
                  </w:pPr>
                  <w:r w:rsidRPr="005D4222">
                    <w:rPr>
                      <w:rFonts w:eastAsia="Wingdings" w:cs="Arial"/>
                      <w:szCs w:val="21"/>
                    </w:rPr>
                    <w:t>Report once</w:t>
                  </w:r>
                </w:p>
              </w:tc>
            </w:tr>
            <w:tr w:rsidR="0015699E" w:rsidRPr="005D4222" w14:paraId="4BDC29F9" w14:textId="77777777">
              <w:tc>
                <w:tcPr>
                  <w:tcW w:w="3142" w:type="dxa"/>
                  <w:tcBorders>
                    <w:top w:val="nil"/>
                    <w:left w:val="nil"/>
                    <w:bottom w:val="nil"/>
                    <w:right w:val="nil"/>
                  </w:tcBorders>
                  <w:shd w:val="clear" w:color="auto" w:fill="FFFFFF" w:themeFill="background1"/>
                </w:tcPr>
                <w:p w14:paraId="4A9CE481" w14:textId="77777777" w:rsidR="0015699E" w:rsidRPr="005D4222" w:rsidRDefault="0015699E" w:rsidP="00BF553C">
                  <w:pPr>
                    <w:pStyle w:val="TableText"/>
                    <w:framePr w:hSpace="180" w:wrap="around" w:vAnchor="text" w:hAnchor="text" w:y="1"/>
                    <w:suppressOverlap/>
                    <w:rPr>
                      <w:rFonts w:cs="Arial"/>
                      <w:szCs w:val="21"/>
                    </w:rPr>
                  </w:pPr>
                </w:p>
              </w:tc>
              <w:tc>
                <w:tcPr>
                  <w:tcW w:w="267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FF6FC1B" w14:textId="29344F50" w:rsidR="0015699E" w:rsidRPr="005D4222" w:rsidRDefault="0015699E" w:rsidP="00BF553C">
                  <w:pPr>
                    <w:pStyle w:val="TableText"/>
                    <w:framePr w:hSpace="180" w:wrap="around" w:vAnchor="text" w:hAnchor="text" w:y="1"/>
                    <w:suppressOverlap/>
                    <w:rPr>
                      <w:rFonts w:cs="Arial"/>
                    </w:rPr>
                  </w:pPr>
                  <w:r w:rsidRPr="005D4222">
                    <w:rPr>
                      <w:rFonts w:cs="Arial"/>
                    </w:rPr>
                    <w:t>Exclusions</w:t>
                  </w:r>
                </w:p>
              </w:tc>
              <w:tc>
                <w:tcPr>
                  <w:tcW w:w="1545"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41329072" w14:textId="77777777" w:rsidR="0015699E" w:rsidRPr="005D4222" w:rsidRDefault="0015699E" w:rsidP="00BF553C">
                  <w:pPr>
                    <w:pStyle w:val="TableText"/>
                    <w:framePr w:hSpace="180" w:wrap="around" w:vAnchor="text" w:hAnchor="text" w:y="1"/>
                    <w:suppressOverlap/>
                    <w:rPr>
                      <w:rFonts w:eastAsia="Wingdings" w:cs="Arial"/>
                      <w:szCs w:val="21"/>
                    </w:rPr>
                  </w:pPr>
                  <w:r w:rsidRPr="005D4222">
                    <w:rPr>
                      <w:rFonts w:eastAsia="Wingdings" w:cs="Arial"/>
                      <w:szCs w:val="21"/>
                    </w:rPr>
                    <w:t>Report once</w:t>
                  </w:r>
                </w:p>
              </w:tc>
            </w:tr>
            <w:tr w:rsidR="0015699E" w:rsidRPr="005D4222" w14:paraId="72C82CF7" w14:textId="77777777">
              <w:tc>
                <w:tcPr>
                  <w:tcW w:w="3142" w:type="dxa"/>
                  <w:tcBorders>
                    <w:top w:val="nil"/>
                    <w:left w:val="nil"/>
                    <w:bottom w:val="nil"/>
                    <w:right w:val="nil"/>
                  </w:tcBorders>
                  <w:shd w:val="clear" w:color="auto" w:fill="FFFFFF" w:themeFill="background1"/>
                </w:tcPr>
                <w:p w14:paraId="58431703" w14:textId="77777777" w:rsidR="0015699E" w:rsidRPr="005D4222" w:rsidRDefault="0015699E" w:rsidP="00BF553C">
                  <w:pPr>
                    <w:pStyle w:val="TableText"/>
                    <w:framePr w:hSpace="180" w:wrap="around" w:vAnchor="text" w:hAnchor="text" w:y="1"/>
                    <w:suppressOverlap/>
                    <w:rPr>
                      <w:rFonts w:cs="Arial"/>
                      <w:szCs w:val="21"/>
                    </w:rPr>
                  </w:pPr>
                </w:p>
              </w:tc>
              <w:tc>
                <w:tcPr>
                  <w:tcW w:w="2678" w:type="dxa"/>
                  <w:tcBorders>
                    <w:top w:val="single" w:sz="4" w:space="0" w:color="auto"/>
                    <w:left w:val="single" w:sz="4" w:space="0" w:color="auto"/>
                    <w:bottom w:val="single" w:sz="4" w:space="0" w:color="auto"/>
                    <w:right w:val="single" w:sz="4" w:space="0" w:color="auto"/>
                  </w:tcBorders>
                  <w:shd w:val="clear" w:color="auto" w:fill="FFFFFF" w:themeFill="background1"/>
                </w:tcPr>
                <w:p w14:paraId="20D6BAF6" w14:textId="77777777" w:rsidR="0015699E" w:rsidRPr="005D4222" w:rsidRDefault="0015699E" w:rsidP="00BF553C">
                  <w:pPr>
                    <w:pStyle w:val="TableText"/>
                    <w:framePr w:hSpace="180" w:wrap="around" w:vAnchor="text" w:hAnchor="text" w:y="1"/>
                    <w:suppressOverlap/>
                    <w:rPr>
                      <w:rFonts w:cs="Arial"/>
                      <w:szCs w:val="21"/>
                    </w:rPr>
                  </w:pPr>
                  <w:r w:rsidRPr="005D4222">
                    <w:rPr>
                      <w:rFonts w:cs="Arial"/>
                      <w:szCs w:val="21"/>
                    </w:rPr>
                    <w:t>Denominator</w:t>
                  </w:r>
                </w:p>
              </w:tc>
              <w:tc>
                <w:tcPr>
                  <w:tcW w:w="1545" w:type="dxa"/>
                  <w:tcBorders>
                    <w:top w:val="single" w:sz="6" w:space="0" w:color="auto"/>
                    <w:left w:val="single" w:sz="4" w:space="0" w:color="auto"/>
                    <w:bottom w:val="single" w:sz="6" w:space="0" w:color="auto"/>
                    <w:right w:val="single" w:sz="4" w:space="0" w:color="auto"/>
                  </w:tcBorders>
                  <w:shd w:val="clear" w:color="auto" w:fill="FFFFFF" w:themeFill="background1"/>
                </w:tcPr>
                <w:p w14:paraId="68CF4648" w14:textId="77777777" w:rsidR="0015699E" w:rsidRPr="005D4222" w:rsidRDefault="0015699E" w:rsidP="00BF553C">
                  <w:pPr>
                    <w:pStyle w:val="TableText"/>
                    <w:framePr w:hSpace="180" w:wrap="around" w:vAnchor="text" w:hAnchor="text" w:y="1"/>
                    <w:suppressOverlap/>
                    <w:rPr>
                      <w:rFonts w:eastAsia="Wingdings" w:cs="Arial"/>
                      <w:szCs w:val="21"/>
                    </w:rPr>
                  </w:pPr>
                  <w:r w:rsidRPr="005D4222">
                    <w:rPr>
                      <w:rFonts w:eastAsia="Wingdings" w:cs="Arial"/>
                      <w:szCs w:val="21"/>
                    </w:rPr>
                    <w:t>Report once</w:t>
                  </w:r>
                </w:p>
              </w:tc>
            </w:tr>
            <w:tr w:rsidR="0015699E" w:rsidRPr="005D4222" w14:paraId="2B044981" w14:textId="77777777">
              <w:tc>
                <w:tcPr>
                  <w:tcW w:w="3142" w:type="dxa"/>
                  <w:tcBorders>
                    <w:top w:val="nil"/>
                    <w:left w:val="nil"/>
                    <w:bottom w:val="nil"/>
                    <w:right w:val="nil"/>
                  </w:tcBorders>
                  <w:shd w:val="clear" w:color="auto" w:fill="FFFFFF" w:themeFill="background1"/>
                </w:tcPr>
                <w:p w14:paraId="047206C1" w14:textId="77777777" w:rsidR="0015699E" w:rsidRPr="005D4222" w:rsidRDefault="0015699E" w:rsidP="00BF553C">
                  <w:pPr>
                    <w:pStyle w:val="TableText"/>
                    <w:framePr w:hSpace="180" w:wrap="around" w:vAnchor="text" w:hAnchor="text" w:y="1"/>
                    <w:suppressOverlap/>
                    <w:rPr>
                      <w:rFonts w:cs="Arial"/>
                      <w:szCs w:val="21"/>
                    </w:rPr>
                  </w:pPr>
                </w:p>
              </w:tc>
              <w:tc>
                <w:tcPr>
                  <w:tcW w:w="267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579D9E1" w14:textId="77777777" w:rsidR="0015699E" w:rsidRPr="005D4222" w:rsidRDefault="0015699E" w:rsidP="00BF553C">
                  <w:pPr>
                    <w:pStyle w:val="TableText"/>
                    <w:framePr w:hSpace="180" w:wrap="around" w:vAnchor="text" w:hAnchor="text" w:y="1"/>
                    <w:suppressOverlap/>
                    <w:rPr>
                      <w:rFonts w:cs="Arial"/>
                      <w:szCs w:val="21"/>
                    </w:rPr>
                  </w:pPr>
                  <w:r w:rsidRPr="005D4222">
                    <w:rPr>
                      <w:rFonts w:cs="Arial"/>
                      <w:szCs w:val="21"/>
                    </w:rPr>
                    <w:t>NumeratorByAdmin</w:t>
                  </w:r>
                </w:p>
              </w:tc>
              <w:tc>
                <w:tcPr>
                  <w:tcW w:w="1545"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4EA85651" w14:textId="77777777" w:rsidR="0015699E" w:rsidRPr="005D4222" w:rsidRDefault="0015699E" w:rsidP="00BF553C">
                  <w:pPr>
                    <w:pStyle w:val="TableText"/>
                    <w:framePr w:hSpace="180" w:wrap="around" w:vAnchor="text" w:hAnchor="text" w:y="1"/>
                    <w:suppressOverlap/>
                    <w:rPr>
                      <w:rFonts w:eastAsia="Wingdings" w:cs="Arial"/>
                      <w:szCs w:val="21"/>
                    </w:rPr>
                  </w:pPr>
                  <w:r w:rsidRPr="005D4222">
                    <w:rPr>
                      <w:rFonts w:eastAsia="Wingdings" w:cs="Arial"/>
                      <w:szCs w:val="21"/>
                    </w:rPr>
                    <w:t>Report once</w:t>
                  </w:r>
                </w:p>
              </w:tc>
            </w:tr>
            <w:tr w:rsidR="0015699E" w:rsidRPr="005D4222" w14:paraId="4880E553" w14:textId="77777777">
              <w:tc>
                <w:tcPr>
                  <w:tcW w:w="3142" w:type="dxa"/>
                  <w:tcBorders>
                    <w:top w:val="nil"/>
                    <w:left w:val="nil"/>
                    <w:bottom w:val="nil"/>
                    <w:right w:val="nil"/>
                  </w:tcBorders>
                  <w:shd w:val="clear" w:color="auto" w:fill="FFFFFF" w:themeFill="background1"/>
                </w:tcPr>
                <w:p w14:paraId="5E8498CD" w14:textId="77777777" w:rsidR="0015699E" w:rsidRPr="005D4222" w:rsidRDefault="0015699E" w:rsidP="00BF553C">
                  <w:pPr>
                    <w:pStyle w:val="TableText"/>
                    <w:framePr w:hSpace="180" w:wrap="around" w:vAnchor="text" w:hAnchor="text" w:y="1"/>
                    <w:suppressOverlap/>
                    <w:rPr>
                      <w:rFonts w:cs="Arial"/>
                      <w:szCs w:val="21"/>
                    </w:rPr>
                  </w:pPr>
                </w:p>
              </w:tc>
              <w:tc>
                <w:tcPr>
                  <w:tcW w:w="267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FE6E07E" w14:textId="77777777" w:rsidR="0015699E" w:rsidRPr="005D4222" w:rsidRDefault="0015699E" w:rsidP="00BF553C">
                  <w:pPr>
                    <w:pStyle w:val="TableText"/>
                    <w:framePr w:hSpace="180" w:wrap="around" w:vAnchor="text" w:hAnchor="text" w:y="1"/>
                    <w:suppressOverlap/>
                    <w:rPr>
                      <w:rFonts w:cs="Arial"/>
                      <w:szCs w:val="21"/>
                    </w:rPr>
                  </w:pPr>
                  <w:r w:rsidRPr="005D4222">
                    <w:rPr>
                      <w:rFonts w:cs="Arial"/>
                      <w:szCs w:val="21"/>
                    </w:rPr>
                    <w:t>Rate</w:t>
                  </w:r>
                </w:p>
              </w:tc>
              <w:tc>
                <w:tcPr>
                  <w:tcW w:w="1545" w:type="dxa"/>
                  <w:tcBorders>
                    <w:top w:val="single" w:sz="6" w:space="0" w:color="auto"/>
                    <w:left w:val="single" w:sz="4" w:space="0" w:color="auto"/>
                    <w:bottom w:val="single" w:sz="6" w:space="0" w:color="auto"/>
                    <w:right w:val="single" w:sz="4" w:space="0" w:color="auto"/>
                  </w:tcBorders>
                  <w:shd w:val="clear" w:color="auto" w:fill="D9D9D9" w:themeFill="background1" w:themeFillShade="D9"/>
                  <w:hideMark/>
                </w:tcPr>
                <w:p w14:paraId="773F0A73" w14:textId="77777777" w:rsidR="0015699E" w:rsidRPr="005D4222" w:rsidRDefault="0015699E" w:rsidP="00BF553C">
                  <w:pPr>
                    <w:pStyle w:val="TableText"/>
                    <w:framePr w:hSpace="180" w:wrap="around" w:vAnchor="text" w:hAnchor="text" w:y="1"/>
                    <w:suppressOverlap/>
                    <w:rPr>
                      <w:rFonts w:eastAsia="Wingdings" w:cs="Arial"/>
                      <w:szCs w:val="21"/>
                    </w:rPr>
                  </w:pPr>
                  <w:r w:rsidRPr="005D4222">
                    <w:rPr>
                      <w:rFonts w:eastAsia="Wingdings" w:cs="Arial"/>
                      <w:szCs w:val="21"/>
                    </w:rPr>
                    <w:t>(Percent)</w:t>
                  </w:r>
                </w:p>
              </w:tc>
            </w:tr>
          </w:tbl>
          <w:p w14:paraId="13EA6B42" w14:textId="77777777" w:rsidR="0015699E" w:rsidRPr="005D4222" w:rsidRDefault="0015699E">
            <w:pPr>
              <w:pStyle w:val="ProcessDash"/>
              <w:numPr>
                <w:ilvl w:val="0"/>
                <w:numId w:val="0"/>
              </w:numPr>
              <w:rPr>
                <w:color w:val="000000" w:themeColor="text1"/>
                <w:highlight w:val="yellow"/>
              </w:rPr>
            </w:pPr>
          </w:p>
        </w:tc>
      </w:tr>
      <w:tr w:rsidR="0015699E" w:rsidRPr="005D4222" w14:paraId="781487F4" w14:textId="77777777" w:rsidTr="00CE405F">
        <w:tc>
          <w:tcPr>
            <w:tcW w:w="2158" w:type="dxa"/>
            <w:tcBorders>
              <w:top w:val="single" w:sz="4" w:space="0" w:color="auto"/>
              <w:left w:val="single" w:sz="2" w:space="0" w:color="auto"/>
              <w:bottom w:val="single" w:sz="4" w:space="0" w:color="auto"/>
              <w:right w:val="single" w:sz="2" w:space="0" w:color="auto"/>
            </w:tcBorders>
            <w:shd w:val="clear" w:color="auto" w:fill="BFBFBF" w:themeFill="background1" w:themeFillShade="BF"/>
            <w:noWrap/>
            <w:tcMar>
              <w:top w:w="0" w:type="dxa"/>
              <w:left w:w="86" w:type="dxa"/>
              <w:bottom w:w="43" w:type="dxa"/>
              <w:right w:w="86" w:type="dxa"/>
            </w:tcMar>
          </w:tcPr>
          <w:p w14:paraId="597BC743" w14:textId="77777777" w:rsidR="0015699E" w:rsidRPr="005D4222" w:rsidRDefault="0015699E">
            <w:pPr>
              <w:pStyle w:val="ECDSMarginHead"/>
            </w:pPr>
            <w:r w:rsidRPr="005D4222">
              <w:t>Rules for Allowable Adjustments</w:t>
            </w:r>
          </w:p>
        </w:tc>
        <w:tc>
          <w:tcPr>
            <w:tcW w:w="7558" w:type="dxa"/>
            <w:tcBorders>
              <w:top w:val="single" w:sz="4" w:space="0" w:color="auto"/>
              <w:left w:val="single" w:sz="4" w:space="0" w:color="auto"/>
              <w:bottom w:val="single" w:sz="4" w:space="0" w:color="auto"/>
              <w:right w:val="single" w:sz="4" w:space="0" w:color="auto"/>
            </w:tcBorders>
            <w:noWrap/>
            <w:tcMar>
              <w:top w:w="0" w:type="dxa"/>
              <w:left w:w="86" w:type="dxa"/>
              <w:bottom w:w="43" w:type="dxa"/>
              <w:right w:w="86" w:type="dxa"/>
            </w:tcMar>
          </w:tcPr>
          <w:p w14:paraId="7C9847FA" w14:textId="77777777" w:rsidR="0015699E" w:rsidRPr="005D4222" w:rsidRDefault="0015699E">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52AF0F21" w14:textId="77777777" w:rsidR="000866E5" w:rsidRPr="005D4222" w:rsidRDefault="0015699E" w:rsidP="000866E5">
            <w:pPr>
              <w:pStyle w:val="ECDSBody"/>
              <w:rPr>
                <w:b/>
              </w:rPr>
            </w:pPr>
            <w:r w:rsidRPr="005D4222">
              <w:rPr>
                <w:b/>
              </w:rPr>
              <w:t>Adjusted HEDIS measures may not be used for HEDIS health plan reporting.</w:t>
            </w:r>
          </w:p>
          <w:p w14:paraId="43F969FD" w14:textId="77777777" w:rsidR="00E863F1" w:rsidRPr="005D4222" w:rsidRDefault="00E863F1" w:rsidP="00E863F1">
            <w:pPr>
              <w:pStyle w:val="Adjustments"/>
              <w:spacing w:before="120"/>
            </w:pPr>
            <w:r w:rsidRPr="005D4222">
              <w:t>Adjustments</w:t>
            </w:r>
            <w:r w:rsidRPr="005D4222">
              <w:rPr>
                <w:bCs/>
              </w:rPr>
              <w:t xml:space="preserve"> a</w:t>
            </w:r>
            <w:r w:rsidRPr="005D4222">
              <w:t>llowed</w:t>
            </w:r>
          </w:p>
          <w:p w14:paraId="0984BA35" w14:textId="2EB02D9A" w:rsidR="00E863F1" w:rsidRPr="005D4222" w:rsidRDefault="00E863F1" w:rsidP="00E863F1">
            <w:pPr>
              <w:pStyle w:val="ProcessBullet"/>
              <w:spacing w:after="80"/>
              <w:rPr>
                <w:color w:val="000000" w:themeColor="text1"/>
              </w:rPr>
            </w:pPr>
            <w:r w:rsidRPr="005D4222">
              <w:rPr>
                <w:i/>
                <w:iCs/>
              </w:rPr>
              <w:t>Product lines</w:t>
            </w:r>
            <w:r w:rsidRPr="005D4222">
              <w:t>. Organizations are not required to use product line criteria; product lines may be combined</w:t>
            </w:r>
            <w:r w:rsidR="00E8671F" w:rsidRPr="005D4222">
              <w:t>,</w:t>
            </w:r>
            <w:r w:rsidRPr="005D4222">
              <w:t xml:space="preserve"> and all (or no) product line criteria may be used.</w:t>
            </w:r>
          </w:p>
          <w:p w14:paraId="60521181" w14:textId="77777777" w:rsidR="0080169C" w:rsidRPr="005D4222" w:rsidRDefault="0080169C" w:rsidP="0080169C">
            <w:pPr>
              <w:pStyle w:val="ProcessBullet"/>
            </w:pPr>
            <w:r w:rsidRPr="005D4222">
              <w:rPr>
                <w:i/>
                <w:iCs/>
              </w:rPr>
              <w:t xml:space="preserve">Attribution. </w:t>
            </w:r>
            <w:r w:rsidRPr="005D4222">
              <w:t>Organizations are not required to use enrollment criteria.</w:t>
            </w:r>
          </w:p>
          <w:p w14:paraId="221245F4" w14:textId="77777777" w:rsidR="0080169C" w:rsidRPr="005D4222" w:rsidRDefault="0080169C" w:rsidP="0080169C">
            <w:pPr>
              <w:pStyle w:val="ProcessBullet"/>
              <w:spacing w:after="80"/>
              <w:rPr>
                <w:color w:val="000000" w:themeColor="text1"/>
              </w:rPr>
            </w:pPr>
            <w:r w:rsidRPr="005D4222">
              <w:rPr>
                <w:i/>
                <w:iCs/>
              </w:rPr>
              <w:t>Benefits.</w:t>
            </w:r>
            <w:r w:rsidRPr="005D4222">
              <w:t xml:space="preserve"> Organizations are not required to use a benefit.</w:t>
            </w:r>
          </w:p>
          <w:p w14:paraId="42C455EA" w14:textId="5935F28D" w:rsidR="00F15342" w:rsidRPr="005D4222" w:rsidRDefault="00F15342" w:rsidP="00F15342">
            <w:pPr>
              <w:pStyle w:val="ProcessBullet"/>
              <w:spacing w:before="120"/>
              <w:rPr>
                <w:b/>
              </w:rPr>
            </w:pPr>
            <w:r w:rsidRPr="005D4222">
              <w:rPr>
                <w:i/>
                <w:iCs/>
              </w:rPr>
              <w:t>Ages</w:t>
            </w:r>
            <w:r w:rsidRPr="005D4222">
              <w:rPr>
                <w:bCs/>
              </w:rPr>
              <w:t>.</w:t>
            </w:r>
            <w:r w:rsidRPr="005D4222">
              <w:t xml:space="preserve"> </w:t>
            </w:r>
            <w:r w:rsidRPr="005D4222">
              <w:rPr>
                <w:bCs/>
              </w:rPr>
              <w:t xml:space="preserve">The denominator age range may be expanded. The age determination dates may be changed (e.g., select, “age as of June 30”). </w:t>
            </w:r>
          </w:p>
          <w:p w14:paraId="15E06575" w14:textId="77777777" w:rsidR="00296B47" w:rsidRPr="005D4222" w:rsidRDefault="00296B47" w:rsidP="00296B47">
            <w:pPr>
              <w:pStyle w:val="ProcessBullet"/>
            </w:pPr>
            <w:r w:rsidRPr="005D4222">
              <w:rPr>
                <w:i/>
                <w:iCs/>
              </w:rPr>
              <w:t>Other.</w:t>
            </w:r>
            <w:r w:rsidRPr="005D4222">
              <w:t xml:space="preserve"> Organizations may use additional initial population criteria to focus on an area of interest defined by gender, race, ethnicity, socioeconomic or sociodemographic characteristics, geographic region or another characteristic.</w:t>
            </w:r>
          </w:p>
          <w:p w14:paraId="270EA674" w14:textId="29E5B15D" w:rsidR="000866E5" w:rsidRPr="005D4222" w:rsidRDefault="00296B47" w:rsidP="00296B47">
            <w:pPr>
              <w:pStyle w:val="ProcessBullet"/>
              <w:spacing w:after="80"/>
              <w:rPr>
                <w:color w:val="000000" w:themeColor="text1"/>
              </w:rPr>
            </w:pPr>
            <w:r w:rsidRPr="005D4222">
              <w:rPr>
                <w:i/>
                <w:iCs/>
              </w:rPr>
              <w:t>Measurement period adjustments.</w:t>
            </w:r>
            <w:r w:rsidRPr="005D4222">
              <w:t xml:space="preserve"> Organizations may adjust the measurement period. </w:t>
            </w:r>
          </w:p>
        </w:tc>
      </w:tr>
    </w:tbl>
    <w:p w14:paraId="43DA3ED8" w14:textId="77777777" w:rsidR="0080169C" w:rsidRPr="005D4222" w:rsidRDefault="0080169C">
      <w:r w:rsidRPr="005D4222">
        <w:br w:type="page"/>
      </w:r>
    </w:p>
    <w:tbl>
      <w:tblPr>
        <w:tblpPr w:leftFromText="180" w:rightFromText="180" w:vertAnchor="text" w:tblpY="1"/>
        <w:tblOverlap w:val="never"/>
        <w:tblW w:w="971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8"/>
        <w:gridCol w:w="7558"/>
      </w:tblGrid>
      <w:tr w:rsidR="0080169C" w:rsidRPr="005D4222" w14:paraId="2119D26C" w14:textId="77777777" w:rsidTr="00CE405F">
        <w:tc>
          <w:tcPr>
            <w:tcW w:w="2158" w:type="dxa"/>
            <w:tcBorders>
              <w:top w:val="single" w:sz="4" w:space="0" w:color="auto"/>
              <w:left w:val="single" w:sz="2" w:space="0" w:color="auto"/>
              <w:bottom w:val="single" w:sz="4" w:space="0" w:color="auto"/>
              <w:right w:val="single" w:sz="2" w:space="0" w:color="auto"/>
            </w:tcBorders>
            <w:shd w:val="clear" w:color="auto" w:fill="BFBFBF" w:themeFill="background1" w:themeFillShade="BF"/>
            <w:noWrap/>
            <w:tcMar>
              <w:top w:w="0" w:type="dxa"/>
              <w:left w:w="86" w:type="dxa"/>
              <w:bottom w:w="43" w:type="dxa"/>
              <w:right w:w="86" w:type="dxa"/>
            </w:tcMar>
          </w:tcPr>
          <w:p w14:paraId="543D89DF" w14:textId="77777777" w:rsidR="0080169C" w:rsidRPr="005D4222" w:rsidRDefault="0080169C">
            <w:pPr>
              <w:pStyle w:val="ECDSMarginHead"/>
            </w:pPr>
          </w:p>
        </w:tc>
        <w:tc>
          <w:tcPr>
            <w:tcW w:w="7558" w:type="dxa"/>
            <w:tcBorders>
              <w:top w:val="single" w:sz="4" w:space="0" w:color="auto"/>
              <w:left w:val="single" w:sz="4" w:space="0" w:color="auto"/>
              <w:bottom w:val="single" w:sz="4" w:space="0" w:color="auto"/>
              <w:right w:val="single" w:sz="4" w:space="0" w:color="auto"/>
            </w:tcBorders>
            <w:noWrap/>
            <w:tcMar>
              <w:top w:w="0" w:type="dxa"/>
              <w:left w:w="86" w:type="dxa"/>
              <w:bottom w:w="43" w:type="dxa"/>
              <w:right w:w="86" w:type="dxa"/>
            </w:tcMar>
          </w:tcPr>
          <w:p w14:paraId="5A8964C9" w14:textId="77777777" w:rsidR="0080169C" w:rsidRPr="005D4222" w:rsidRDefault="0080169C" w:rsidP="00296B47">
            <w:pPr>
              <w:pStyle w:val="ProcessBullet"/>
            </w:pPr>
            <w:r w:rsidRPr="005D4222">
              <w:rPr>
                <w:i/>
                <w:iCs/>
              </w:rPr>
              <w:t xml:space="preserve">Telehealth. </w:t>
            </w:r>
            <w:r w:rsidRPr="005D4222">
              <w:t>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63EC5A1E" w14:textId="77777777" w:rsidR="0080169C" w:rsidRPr="005D4222" w:rsidRDefault="0080169C" w:rsidP="0080169C">
            <w:pPr>
              <w:pStyle w:val="ProcessBullet"/>
            </w:pPr>
            <w:r w:rsidRPr="005D4222">
              <w:rPr>
                <w:i/>
                <w:iCs/>
              </w:rPr>
              <w:t>Supplemental data.</w:t>
            </w:r>
            <w:r w:rsidRPr="005D4222">
              <w:t xml:space="preserve"> Supplemental data may be used to identify initial population, denominator, exclusion and numerator events.</w:t>
            </w:r>
          </w:p>
          <w:p w14:paraId="7D4A2EB3" w14:textId="77777777" w:rsidR="0080169C" w:rsidRPr="005D4222" w:rsidRDefault="0080169C" w:rsidP="0080169C">
            <w:pPr>
              <w:pStyle w:val="ProcessBullet"/>
            </w:pPr>
            <w:r w:rsidRPr="005D4222">
              <w:rPr>
                <w:i/>
                <w:iCs/>
              </w:rPr>
              <w:t xml:space="preserve">Exclusions. </w:t>
            </w:r>
            <w:r w:rsidRPr="005D4222">
              <w:t>The hospice, deceased person and palliative care exclusions are not required.</w:t>
            </w:r>
          </w:p>
          <w:p w14:paraId="21EE8842" w14:textId="77777777" w:rsidR="0080169C" w:rsidRPr="005D4222" w:rsidRDefault="0080169C" w:rsidP="0080169C">
            <w:pPr>
              <w:pStyle w:val="Adjustments"/>
            </w:pPr>
            <w:r w:rsidRPr="005D4222">
              <w:t>Adjustments allowed with limits</w:t>
            </w:r>
          </w:p>
          <w:p w14:paraId="56EE0FEF" w14:textId="77777777" w:rsidR="0080169C" w:rsidRPr="005D4222" w:rsidRDefault="0080169C" w:rsidP="0080169C">
            <w:pPr>
              <w:pStyle w:val="ProcessBullet"/>
            </w:pPr>
            <w:r w:rsidRPr="005D4222">
              <w:rPr>
                <w:i/>
                <w:iCs/>
              </w:rPr>
              <w:t xml:space="preserve">Initial population: </w:t>
            </w:r>
            <w:r w:rsidRPr="005D4222">
              <w:rPr>
                <w:iCs/>
              </w:rPr>
              <w:t>Event.</w:t>
            </w:r>
            <w:r w:rsidRPr="005D4222">
              <w:t xml:space="preserve"> Only medications that contain (or map to) codes in the medication lists may be used to identify opioid use. The medication lists and logic may not be changed. Organizations may include denied claims to calculate the denominator.</w:t>
            </w:r>
          </w:p>
          <w:p w14:paraId="05E63A5D" w14:textId="77777777" w:rsidR="0080169C" w:rsidRPr="005D4222" w:rsidRDefault="0080169C" w:rsidP="0080169C">
            <w:pPr>
              <w:pStyle w:val="ProcessBullet"/>
            </w:pPr>
            <w:r w:rsidRPr="005D4222">
              <w:rPr>
                <w:i/>
                <w:iCs/>
              </w:rPr>
              <w:t>Numerator</w:t>
            </w:r>
            <w:r w:rsidRPr="005D4222">
              <w:t>. Medication lists and logic may not be changed. Organizations may include denied claims to calculate the numerator.</w:t>
            </w:r>
          </w:p>
          <w:p w14:paraId="6C59C2E5" w14:textId="77777777" w:rsidR="0080169C" w:rsidRPr="005D4222" w:rsidRDefault="0080169C" w:rsidP="0080169C">
            <w:pPr>
              <w:pStyle w:val="Adjustments"/>
            </w:pPr>
            <w:r w:rsidRPr="005D4222">
              <w:t>Adjustments not allowed</w:t>
            </w:r>
          </w:p>
          <w:p w14:paraId="57DF0042" w14:textId="7F4F5F91" w:rsidR="0080169C" w:rsidRPr="005D4222" w:rsidRDefault="0080169C" w:rsidP="0080169C">
            <w:pPr>
              <w:pStyle w:val="ProcessBullet"/>
              <w:tabs>
                <w:tab w:val="left" w:pos="216"/>
              </w:tabs>
              <w:spacing w:after="80"/>
              <w:rPr>
                <w:b/>
                <w:i/>
              </w:rPr>
            </w:pPr>
            <w:r w:rsidRPr="005D4222">
              <w:rPr>
                <w:i/>
                <w:iCs/>
              </w:rPr>
              <w:t>Exclusions.</w:t>
            </w:r>
            <w:r w:rsidRPr="005D4222">
              <w:t xml:space="preserve"> The cancer and sickle cell exclusions must be applied. Value sets and logic may not be changed.</w:t>
            </w:r>
          </w:p>
        </w:tc>
      </w:tr>
    </w:tbl>
    <w:p w14:paraId="48F97821" w14:textId="77777777" w:rsidR="0080169C" w:rsidRPr="005D4222" w:rsidRDefault="0080169C"/>
    <w:p w14:paraId="23122C32" w14:textId="77777777" w:rsidR="005D6F71" w:rsidRPr="005D4222" w:rsidRDefault="005D6F71">
      <w:pPr>
        <w:sectPr w:rsidR="005D6F71" w:rsidRPr="005D4222" w:rsidSect="0074514A">
          <w:headerReference w:type="default" r:id="rId145"/>
          <w:type w:val="nextColumn"/>
          <w:pgSz w:w="12240" w:h="15840" w:code="1"/>
          <w:pgMar w:top="1080" w:right="1080" w:bottom="1080" w:left="1440" w:header="720" w:footer="720" w:gutter="0"/>
          <w:cols w:space="720"/>
          <w:docGrid w:linePitch="360"/>
        </w:sectPr>
      </w:pPr>
    </w:p>
    <w:p w14:paraId="1CA768C5" w14:textId="0C73D423" w:rsidR="007B0064" w:rsidRPr="005D4222" w:rsidRDefault="006D3F2A" w:rsidP="006D3F2A">
      <w:pPr>
        <w:pStyle w:val="MeasureTitle"/>
      </w:pPr>
      <w:bookmarkStart w:id="325" w:name="_Toc201813432"/>
      <w:r w:rsidRPr="005D4222">
        <w:lastRenderedPageBreak/>
        <w:t>Use of Opioids From Multiple Providers</w:t>
      </w:r>
      <w:r w:rsidR="0096709F" w:rsidRPr="005D4222">
        <w:t xml:space="preserve"> (UOP)</w:t>
      </w:r>
      <w:bookmarkEnd w:id="325"/>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4544"/>
        <w:gridCol w:w="1843"/>
        <w:gridCol w:w="1170"/>
      </w:tblGrid>
      <w:tr w:rsidR="000F79BB" w:rsidRPr="005D4222" w14:paraId="6F86D629" w14:textId="77777777">
        <w:tc>
          <w:tcPr>
            <w:tcW w:w="2157" w:type="dxa"/>
            <w:shd w:val="clear" w:color="auto" w:fill="BFBFBF" w:themeFill="background1" w:themeFillShade="BF"/>
            <w:tcMar>
              <w:top w:w="0" w:type="dxa"/>
              <w:left w:w="86" w:type="dxa"/>
              <w:bottom w:w="43" w:type="dxa"/>
              <w:right w:w="86" w:type="dxa"/>
            </w:tcMar>
            <w:hideMark/>
          </w:tcPr>
          <w:p w14:paraId="52B7FAEE" w14:textId="77777777" w:rsidR="000F79BB" w:rsidRPr="005D4222" w:rsidRDefault="000F79BB">
            <w:pPr>
              <w:pStyle w:val="ECDSMarginHead"/>
            </w:pPr>
            <w:r w:rsidRPr="005D4222">
              <w:t>Measure title</w:t>
            </w:r>
          </w:p>
        </w:tc>
        <w:tc>
          <w:tcPr>
            <w:tcW w:w="4544" w:type="dxa"/>
            <w:tcMar>
              <w:top w:w="0" w:type="dxa"/>
              <w:left w:w="86" w:type="dxa"/>
              <w:bottom w:w="43" w:type="dxa"/>
              <w:right w:w="86" w:type="dxa"/>
            </w:tcMar>
          </w:tcPr>
          <w:p w14:paraId="7722577F" w14:textId="77777777" w:rsidR="000F79BB" w:rsidRPr="005D4222" w:rsidRDefault="000F79BB">
            <w:pPr>
              <w:pStyle w:val="ECDSBody"/>
            </w:pPr>
            <w:r w:rsidRPr="005D4222">
              <w:t>Use of Opioids From Multiple Providers</w:t>
            </w:r>
            <w:r w:rsidRPr="005D4222">
              <w:rPr>
                <w:b/>
              </w:rPr>
              <w:t>*</w:t>
            </w:r>
          </w:p>
        </w:tc>
        <w:tc>
          <w:tcPr>
            <w:tcW w:w="1843" w:type="dxa"/>
            <w:shd w:val="clear" w:color="auto" w:fill="BFBFBF" w:themeFill="background1" w:themeFillShade="BF"/>
            <w:tcMar>
              <w:top w:w="0" w:type="dxa"/>
              <w:left w:w="86" w:type="dxa"/>
              <w:bottom w:w="43" w:type="dxa"/>
              <w:right w:w="86" w:type="dxa"/>
            </w:tcMar>
          </w:tcPr>
          <w:p w14:paraId="7B839792" w14:textId="77777777" w:rsidR="000F79BB" w:rsidRPr="005D4222" w:rsidRDefault="000F79BB">
            <w:pPr>
              <w:pStyle w:val="ECDSMarginHead"/>
            </w:pPr>
            <w:r w:rsidRPr="005D4222">
              <w:t>Measure ID</w:t>
            </w:r>
          </w:p>
        </w:tc>
        <w:tc>
          <w:tcPr>
            <w:tcW w:w="1170" w:type="dxa"/>
            <w:tcMar>
              <w:top w:w="0" w:type="dxa"/>
              <w:left w:w="86" w:type="dxa"/>
              <w:bottom w:w="43" w:type="dxa"/>
              <w:right w:w="86" w:type="dxa"/>
            </w:tcMar>
          </w:tcPr>
          <w:p w14:paraId="025AC6BC" w14:textId="77777777" w:rsidR="000F79BB" w:rsidRPr="005D4222" w:rsidRDefault="000F79BB">
            <w:pPr>
              <w:pStyle w:val="ECDSBody"/>
            </w:pPr>
            <w:r w:rsidRPr="005D4222">
              <w:t>UOP</w:t>
            </w:r>
          </w:p>
        </w:tc>
      </w:tr>
      <w:tr w:rsidR="000F79BB" w:rsidRPr="005D4222" w14:paraId="19A32F89" w14:textId="77777777">
        <w:tc>
          <w:tcPr>
            <w:tcW w:w="2157" w:type="dxa"/>
            <w:shd w:val="clear" w:color="auto" w:fill="BFBFBF" w:themeFill="background1" w:themeFillShade="BF"/>
            <w:tcMar>
              <w:top w:w="0" w:type="dxa"/>
              <w:left w:w="86" w:type="dxa"/>
              <w:bottom w:w="43" w:type="dxa"/>
              <w:right w:w="86" w:type="dxa"/>
            </w:tcMar>
            <w:hideMark/>
          </w:tcPr>
          <w:p w14:paraId="22D2E81F" w14:textId="77777777" w:rsidR="000F79BB" w:rsidRPr="005D4222" w:rsidRDefault="000F79BB">
            <w:pPr>
              <w:pStyle w:val="ECDSMarginHead"/>
            </w:pPr>
            <w:r w:rsidRPr="005D4222">
              <w:t>Description</w:t>
            </w:r>
          </w:p>
        </w:tc>
        <w:tc>
          <w:tcPr>
            <w:tcW w:w="7557" w:type="dxa"/>
            <w:gridSpan w:val="3"/>
            <w:tcMar>
              <w:top w:w="0" w:type="dxa"/>
              <w:left w:w="86" w:type="dxa"/>
              <w:bottom w:w="43" w:type="dxa"/>
              <w:right w:w="86" w:type="dxa"/>
            </w:tcMar>
          </w:tcPr>
          <w:p w14:paraId="101FB62C" w14:textId="77777777" w:rsidR="000F79BB" w:rsidRPr="005D4222" w:rsidRDefault="000F79BB">
            <w:pPr>
              <w:pStyle w:val="ECDSBody"/>
            </w:pPr>
            <w:r w:rsidRPr="005D4222">
              <w:rPr>
                <w:rFonts w:eastAsia="Arial,Times New Roman"/>
              </w:rPr>
              <w:t>The percentage of persons 18 years and older, receiving prescription opioids for ≥15 days during the measurement period, who received opioids from multiple providers. Three rates are reported:</w:t>
            </w:r>
          </w:p>
          <w:p w14:paraId="2B9C5F59" w14:textId="77777777" w:rsidR="000F79BB" w:rsidRPr="005D4222" w:rsidRDefault="000F79BB" w:rsidP="00B56382">
            <w:pPr>
              <w:pStyle w:val="Body"/>
              <w:spacing w:before="120" w:after="120"/>
              <w:ind w:left="648" w:hanging="288"/>
              <w:rPr>
                <w:rFonts w:eastAsia="Arial,ＭＳ 明朝"/>
              </w:rPr>
            </w:pPr>
            <w:r w:rsidRPr="005D4222">
              <w:rPr>
                <w:rFonts w:eastAsia="Arial,Arial,Times New Roman"/>
                <w:bCs/>
              </w:rPr>
              <w:t>1.</w:t>
            </w:r>
            <w:r w:rsidRPr="005D4222">
              <w:rPr>
                <w:rFonts w:eastAsia="Arial,Arial,Times New Roman"/>
                <w:bCs/>
              </w:rPr>
              <w:tab/>
            </w:r>
            <w:r w:rsidRPr="005D4222">
              <w:rPr>
                <w:rFonts w:eastAsia="Arial,Arial,Times New Roman"/>
                <w:i/>
                <w:iCs/>
              </w:rPr>
              <w:t>Multiple Prescribers.</w:t>
            </w:r>
            <w:r w:rsidRPr="005D4222">
              <w:rPr>
                <w:rFonts w:eastAsia="Arial,Arial,Times New Roman"/>
              </w:rPr>
              <w:t xml:space="preserve"> The percentage of persons receiving prescriptions for opioids from ≥4 different prescribers during the measurement period. </w:t>
            </w:r>
          </w:p>
          <w:p w14:paraId="29029700" w14:textId="77777777" w:rsidR="000F79BB" w:rsidRPr="005D4222" w:rsidRDefault="000F79BB" w:rsidP="00B56382">
            <w:pPr>
              <w:pStyle w:val="Body"/>
              <w:spacing w:before="120" w:after="120"/>
              <w:ind w:left="648" w:hanging="288"/>
              <w:rPr>
                <w:rFonts w:eastAsia="Arial,Arial,Times New Roman"/>
              </w:rPr>
            </w:pPr>
            <w:r w:rsidRPr="005D4222">
              <w:rPr>
                <w:rFonts w:eastAsia="Arial,Arial,Times New Roman"/>
                <w:bCs/>
              </w:rPr>
              <w:t>2.</w:t>
            </w:r>
            <w:r w:rsidRPr="005D4222">
              <w:rPr>
                <w:rFonts w:eastAsia="Arial,Arial,Times New Roman"/>
                <w:bCs/>
              </w:rPr>
              <w:tab/>
            </w:r>
            <w:r w:rsidRPr="005D4222">
              <w:rPr>
                <w:rFonts w:eastAsia="Arial,Arial,Times New Roman"/>
                <w:i/>
                <w:iCs/>
              </w:rPr>
              <w:t>Multiple Pharmacies.</w:t>
            </w:r>
            <w:r w:rsidRPr="005D4222">
              <w:rPr>
                <w:rFonts w:eastAsia="Arial,Arial,Times New Roman"/>
              </w:rPr>
              <w:t xml:space="preserve"> The percentage of persons receiving prescriptions for opioids from ≥4 different pharmacies during the measurement period.</w:t>
            </w:r>
          </w:p>
          <w:p w14:paraId="6367A148" w14:textId="77777777" w:rsidR="000F79BB" w:rsidRPr="005D4222" w:rsidRDefault="000F79BB" w:rsidP="00B56382">
            <w:pPr>
              <w:pStyle w:val="Body"/>
              <w:spacing w:before="120" w:after="120"/>
              <w:ind w:left="648" w:hanging="288"/>
              <w:rPr>
                <w:rFonts w:eastAsia="Arial,Arial,Times New Roman"/>
              </w:rPr>
            </w:pPr>
            <w:r w:rsidRPr="005D4222">
              <w:rPr>
                <w:rFonts w:eastAsia="Arial,Arial,Times New Roman"/>
                <w:bCs/>
              </w:rPr>
              <w:t>3.</w:t>
            </w:r>
            <w:r w:rsidRPr="005D4222">
              <w:rPr>
                <w:rFonts w:eastAsia="Arial,Arial,Times New Roman"/>
                <w:bCs/>
              </w:rPr>
              <w:tab/>
            </w:r>
            <w:r w:rsidRPr="005D4222">
              <w:rPr>
                <w:rFonts w:eastAsia="Arial,Arial,Times New Roman"/>
                <w:i/>
                <w:iCs/>
              </w:rPr>
              <w:t>Multiple Prescribers and Multiple Pharmacies.</w:t>
            </w:r>
            <w:r w:rsidRPr="005D4222">
              <w:rPr>
                <w:rFonts w:eastAsia="Arial,Arial,Times New Roman"/>
              </w:rPr>
              <w:t xml:space="preserve"> The percentage of persons receiving prescriptions for opioids from ≥4 different prescribers </w:t>
            </w:r>
            <w:r w:rsidRPr="005D4222">
              <w:rPr>
                <w:rFonts w:eastAsia="Arial,Arial,Times New Roman"/>
                <w:b/>
                <w:bCs/>
                <w:i/>
                <w:iCs/>
              </w:rPr>
              <w:t>and</w:t>
            </w:r>
            <w:r w:rsidRPr="005D4222">
              <w:rPr>
                <w:rFonts w:eastAsia="Arial,Arial,Times New Roman"/>
              </w:rPr>
              <w:t xml:space="preserve"> ≥4 different pharmacies during the measurement period (i.e., the percentage of persons who are numerator compliant for both the Multiple Prescribers and Multiple Pharmacies rates).</w:t>
            </w:r>
          </w:p>
        </w:tc>
      </w:tr>
      <w:tr w:rsidR="000F79BB" w:rsidRPr="005D4222" w14:paraId="6E25DFEA" w14:textId="77777777">
        <w:tc>
          <w:tcPr>
            <w:tcW w:w="2157" w:type="dxa"/>
            <w:shd w:val="clear" w:color="auto" w:fill="BFBFBF" w:themeFill="background1" w:themeFillShade="BF"/>
            <w:tcMar>
              <w:top w:w="0" w:type="dxa"/>
              <w:left w:w="86" w:type="dxa"/>
              <w:bottom w:w="43" w:type="dxa"/>
              <w:right w:w="86" w:type="dxa"/>
            </w:tcMar>
          </w:tcPr>
          <w:p w14:paraId="24634F39" w14:textId="77777777" w:rsidR="000F79BB" w:rsidRPr="005D4222" w:rsidRDefault="000F79BB">
            <w:pPr>
              <w:pStyle w:val="ECDSMarginHead"/>
            </w:pPr>
            <w:r w:rsidRPr="005D4222">
              <w:t>Measurement period</w:t>
            </w:r>
          </w:p>
        </w:tc>
        <w:tc>
          <w:tcPr>
            <w:tcW w:w="7557" w:type="dxa"/>
            <w:gridSpan w:val="3"/>
            <w:tcMar>
              <w:top w:w="0" w:type="dxa"/>
              <w:left w:w="86" w:type="dxa"/>
              <w:bottom w:w="43" w:type="dxa"/>
              <w:right w:w="86" w:type="dxa"/>
            </w:tcMar>
          </w:tcPr>
          <w:p w14:paraId="10E2F6E1" w14:textId="77777777" w:rsidR="000F79BB" w:rsidRPr="005D4222" w:rsidRDefault="000F79BB" w:rsidP="00B56382">
            <w:pPr>
              <w:pStyle w:val="ECDSBody"/>
            </w:pPr>
            <w:r w:rsidRPr="005D4222">
              <w:t>January 1–December 31.</w:t>
            </w:r>
          </w:p>
        </w:tc>
      </w:tr>
      <w:tr w:rsidR="000F79BB" w:rsidRPr="005D4222" w14:paraId="32C3A4F0" w14:textId="77777777">
        <w:tc>
          <w:tcPr>
            <w:tcW w:w="2157" w:type="dxa"/>
            <w:shd w:val="clear" w:color="auto" w:fill="BFBFBF" w:themeFill="background1" w:themeFillShade="BF"/>
            <w:tcMar>
              <w:top w:w="0" w:type="dxa"/>
              <w:left w:w="86" w:type="dxa"/>
              <w:bottom w:w="43" w:type="dxa"/>
              <w:right w:w="86" w:type="dxa"/>
            </w:tcMar>
            <w:hideMark/>
          </w:tcPr>
          <w:p w14:paraId="3E0C0D78" w14:textId="77777777" w:rsidR="000F79BB" w:rsidRPr="005D4222" w:rsidRDefault="000F79BB">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6F6D7900" w14:textId="77777777" w:rsidR="000F79BB" w:rsidRPr="005D4222" w:rsidRDefault="000F79BB" w:rsidP="00B56382">
            <w:pPr>
              <w:pStyle w:val="Body"/>
              <w:spacing w:before="120"/>
              <w:ind w:left="92" w:hanging="92"/>
              <w:rPr>
                <w:i/>
                <w:iCs/>
                <w:color w:val="000000"/>
              </w:rPr>
            </w:pPr>
            <w:r w:rsidRPr="005D4222">
              <w:t>*</w:t>
            </w:r>
            <w:r w:rsidRPr="005D4222">
              <w:rPr>
                <w:b/>
                <w:bCs/>
              </w:rPr>
              <w:tab/>
            </w:r>
            <w:r w:rsidRPr="005D4222">
              <w:rPr>
                <w:i/>
                <w:iCs/>
              </w:rPr>
              <w:t>Adapted with financial support from the Centers for Medicare &amp; Medicaid Services (CMS) and with permission from the measure developer, the Pharmacy Quality Alliance (PQA).</w:t>
            </w:r>
          </w:p>
          <w:p w14:paraId="55C7EEFB" w14:textId="77777777" w:rsidR="000F79BB" w:rsidRPr="005D4222" w:rsidRDefault="000F79BB">
            <w:pPr>
              <w:pStyle w:val="ECDSBody"/>
            </w:pPr>
            <w:r w:rsidRPr="005D4222">
              <w:t xml:space="preserve">Refer to the complete copyright and disclaimer information at the front of this publication. </w:t>
            </w:r>
          </w:p>
          <w:p w14:paraId="7228084B" w14:textId="77777777" w:rsidR="000F79BB" w:rsidRPr="005D4222" w:rsidRDefault="000F79BB">
            <w:pPr>
              <w:pStyle w:val="ECDSBody"/>
              <w:spacing w:before="80"/>
            </w:pPr>
            <w:r w:rsidRPr="005D4222">
              <w:t xml:space="preserve">NCQA website: </w:t>
            </w:r>
            <w:r w:rsidRPr="005D4222">
              <w:rPr>
                <w:u w:val="single"/>
              </w:rPr>
              <w:t>www.ncqa.org</w:t>
            </w:r>
            <w:r w:rsidRPr="005D4222">
              <w:t>.</w:t>
            </w:r>
          </w:p>
          <w:p w14:paraId="04D321C8" w14:textId="77777777" w:rsidR="000F79BB" w:rsidRPr="005D4222" w:rsidRDefault="000F79BB">
            <w:pPr>
              <w:pStyle w:val="ECDSBody"/>
              <w:spacing w:before="80"/>
              <w:rPr>
                <w:rFonts w:ascii="Segoe UI" w:hAnsi="Segoe UI" w:cs="Segoe UI"/>
                <w:sz w:val="18"/>
                <w:szCs w:val="18"/>
              </w:rPr>
            </w:pPr>
            <w:r w:rsidRPr="005D4222">
              <w:rPr>
                <w:szCs w:val="20"/>
              </w:rPr>
              <w:t xml:space="preserve">Submit policy clarification support questions via My NCQA </w:t>
            </w:r>
            <w:r w:rsidRPr="005D4222">
              <w:t>(</w:t>
            </w:r>
            <w:r w:rsidRPr="005D4222">
              <w:rPr>
                <w:u w:val="single"/>
              </w:rPr>
              <w:t>https://my.ncqa.org</w:t>
            </w:r>
            <w:r w:rsidRPr="005D4222">
              <w:t>).</w:t>
            </w:r>
          </w:p>
        </w:tc>
      </w:tr>
      <w:tr w:rsidR="000F79BB" w:rsidRPr="005D4222" w14:paraId="3D2EF4CB" w14:textId="77777777">
        <w:tc>
          <w:tcPr>
            <w:tcW w:w="2157" w:type="dxa"/>
            <w:shd w:val="clear" w:color="auto" w:fill="BFBFBF" w:themeFill="background1" w:themeFillShade="BF"/>
            <w:tcMar>
              <w:top w:w="0" w:type="dxa"/>
              <w:left w:w="86" w:type="dxa"/>
              <w:bottom w:w="43" w:type="dxa"/>
              <w:right w:w="86" w:type="dxa"/>
            </w:tcMar>
            <w:hideMark/>
          </w:tcPr>
          <w:p w14:paraId="169B5645" w14:textId="77777777" w:rsidR="000F79BB" w:rsidRPr="005D4222" w:rsidRDefault="000F79BB">
            <w:pPr>
              <w:pStyle w:val="ECDSMarginHead"/>
            </w:pPr>
            <w:r w:rsidRPr="005D4222">
              <w:t>Clinical recommendation statement/ rationale</w:t>
            </w:r>
          </w:p>
        </w:tc>
        <w:tc>
          <w:tcPr>
            <w:tcW w:w="7557" w:type="dxa"/>
            <w:gridSpan w:val="3"/>
            <w:tcMar>
              <w:top w:w="0" w:type="dxa"/>
              <w:left w:w="86" w:type="dxa"/>
              <w:bottom w:w="43" w:type="dxa"/>
              <w:right w:w="86" w:type="dxa"/>
            </w:tcMar>
          </w:tcPr>
          <w:p w14:paraId="604948B1" w14:textId="77777777" w:rsidR="000F79BB" w:rsidRPr="005D4222" w:rsidRDefault="000F79BB">
            <w:pPr>
              <w:pStyle w:val="ECDSBody"/>
            </w:pPr>
            <w:r w:rsidRPr="005D4222">
              <w:t>One area of risk related to opioid use is receipt of opioid prescriptions from multiple prescribers and pharmacies. Limiting the number of opioid providers for a single patient is supported by the CDC Guideline for Prescribing Opioids for Chronic Pain (CDC, 2022).</w:t>
            </w:r>
          </w:p>
          <w:p w14:paraId="76768DE8" w14:textId="77777777" w:rsidR="000F79BB" w:rsidRPr="005D4222" w:rsidRDefault="000F79BB">
            <w:pPr>
              <w:pStyle w:val="ECDSBody"/>
              <w:rPr>
                <w:szCs w:val="21"/>
              </w:rPr>
            </w:pPr>
            <w:r w:rsidRPr="005D4222">
              <w:t>Evidence suggests that people who use multiple prescribers or multiple pharmacies are at higher risk of opioid overdose, and patients who use four or more prescribers or pharmacies have a higher likelihood of opioid-related overdose death compared with patients who receive opioids from one prescriber or physician (Gwira et al., 2014; Katz et al., 2010; Carey et al., 2018). Medicare enrollees who received opioids from four prescribers had an adjusted absolute risk (aAR) of 6.4 per 1,000 beneficiary years for opioid overdose in the following year (Carey et al., 2018). Of several risk factors assessed, the risk associated with receipt of opioids from multiple pharmacies was one of the highest observed, with use of five pharmacies associated with an aAR of 12.87 for opioid overdose in the subsequent year among Medicare enrollees (Carey et al., 2018).</w:t>
            </w:r>
          </w:p>
        </w:tc>
      </w:tr>
      <w:tr w:rsidR="000F79BB" w:rsidRPr="005D4222" w14:paraId="57C9BA58" w14:textId="77777777">
        <w:tc>
          <w:tcPr>
            <w:tcW w:w="2157" w:type="dxa"/>
            <w:shd w:val="clear" w:color="auto" w:fill="BFBFBF" w:themeFill="background1" w:themeFillShade="BF"/>
            <w:tcMar>
              <w:top w:w="0" w:type="dxa"/>
              <w:left w:w="86" w:type="dxa"/>
              <w:bottom w:w="43" w:type="dxa"/>
              <w:right w:w="86" w:type="dxa"/>
            </w:tcMar>
          </w:tcPr>
          <w:p w14:paraId="4D71DECC" w14:textId="77777777" w:rsidR="000F79BB" w:rsidRPr="005D4222" w:rsidRDefault="000F79BB">
            <w:pPr>
              <w:pStyle w:val="ECDSMarginHead"/>
            </w:pPr>
            <w:r w:rsidRPr="005D4222">
              <w:lastRenderedPageBreak/>
              <w:t>Citations</w:t>
            </w:r>
          </w:p>
        </w:tc>
        <w:tc>
          <w:tcPr>
            <w:tcW w:w="7557" w:type="dxa"/>
            <w:gridSpan w:val="3"/>
            <w:tcMar>
              <w:top w:w="0" w:type="dxa"/>
              <w:left w:w="86" w:type="dxa"/>
              <w:bottom w:w="43" w:type="dxa"/>
              <w:right w:w="86" w:type="dxa"/>
            </w:tcMar>
          </w:tcPr>
          <w:p w14:paraId="247D03CA" w14:textId="77777777" w:rsidR="000F79BB" w:rsidRPr="005D4222" w:rsidRDefault="000F79BB">
            <w:pPr>
              <w:pStyle w:val="ECDSBody"/>
            </w:pPr>
            <w:r w:rsidRPr="005D4222">
              <w:t xml:space="preserve">Carey, C.M., A.B. Jena, and M.L. Barnett. 2018. “Patterns of Potential Opioid Misuse and Subsequent Adverse Outcomes in Medicare, 2008 to 2012.” </w:t>
            </w:r>
            <w:r w:rsidRPr="005D4222">
              <w:rPr>
                <w:i/>
                <w:iCs/>
              </w:rPr>
              <w:t>Annals of Internal Medicine</w:t>
            </w:r>
            <w:r w:rsidRPr="005D4222">
              <w:t xml:space="preserve"> 168(12):837–45.</w:t>
            </w:r>
          </w:p>
          <w:p w14:paraId="6B072164" w14:textId="77777777" w:rsidR="000F79BB" w:rsidRPr="005D4222" w:rsidRDefault="000F79BB">
            <w:pPr>
              <w:pStyle w:val="ECDSBody"/>
              <w:spacing w:before="180"/>
            </w:pPr>
            <w:r w:rsidRPr="005D4222">
              <w:rPr>
                <w:color w:val="000000" w:themeColor="text1"/>
              </w:rPr>
              <w:t xml:space="preserve">CDC. 2016. </w:t>
            </w:r>
            <w:r w:rsidRPr="005D4222">
              <w:rPr>
                <w:i/>
                <w:iCs/>
                <w:color w:val="000000" w:themeColor="text1"/>
              </w:rPr>
              <w:t>CDC Guideline for Prescribing Opioids for Chronic Pain—United States, 2016.</w:t>
            </w:r>
            <w:r w:rsidRPr="005D4222">
              <w:rPr>
                <w:color w:val="000000" w:themeColor="text1"/>
              </w:rPr>
              <w:t xml:space="preserve"> </w:t>
            </w:r>
            <w:r w:rsidRPr="005D4222">
              <w:rPr>
                <w:rFonts w:eastAsia="Arial"/>
              </w:rPr>
              <w:t xml:space="preserve">https://www.cdc.gov/mmwr/volumes/65/rr/rr6501e1.htm. </w:t>
            </w:r>
            <w:r w:rsidRPr="005D4222">
              <w:rPr>
                <w:color w:val="000000" w:themeColor="text1"/>
              </w:rPr>
              <w:t>Accessed October 28, 2020.</w:t>
            </w:r>
          </w:p>
          <w:p w14:paraId="0B98DE56" w14:textId="77777777" w:rsidR="000F79BB" w:rsidRPr="005D4222" w:rsidRDefault="000F79BB">
            <w:pPr>
              <w:pStyle w:val="ECDSBody"/>
            </w:pPr>
            <w:r w:rsidRPr="005D4222">
              <w:t xml:space="preserve">Gwira Baumblatt, J.A., C. Wiedeman, J.R. Dunn, W. Schaffner, L.J. Paulozzi, T.F. Jones. 2014. “High-Risk Use By Patients Prescribed Opioids for Pain and Its Role in Overdose Deaths.” </w:t>
            </w:r>
            <w:r w:rsidRPr="005D4222">
              <w:rPr>
                <w:i/>
                <w:iCs/>
              </w:rPr>
              <w:t>JAMA Intern Med</w:t>
            </w:r>
            <w:r w:rsidRPr="005D4222">
              <w:t xml:space="preserve"> 174(5):796–801. </w:t>
            </w:r>
            <w:r w:rsidRPr="005D4222">
              <w:br/>
              <w:t>PMID: 24589873.</w:t>
            </w:r>
          </w:p>
          <w:p w14:paraId="02963707" w14:textId="77777777" w:rsidR="000F79BB" w:rsidRPr="005D4222" w:rsidRDefault="000F79BB">
            <w:pPr>
              <w:pStyle w:val="ECDSBody"/>
              <w:rPr>
                <w:szCs w:val="21"/>
              </w:rPr>
            </w:pPr>
            <w:r w:rsidRPr="005D4222">
              <w:t xml:space="preserve">Katz, N., L. Panas, M. Kim, A.D. Audet, A. Bilansky, J. Eadie, P. Kreiner, F.C. Paillard, C. Thomas, and G. Carrow. 2010. “Usefulness of Prescription Monitoring Programs for Surveillance—Analysis of Schedule II Opioid Prescription Data in Massachusetts, 1996–2006.” </w:t>
            </w:r>
            <w:r w:rsidRPr="005D4222">
              <w:rPr>
                <w:i/>
                <w:iCs/>
              </w:rPr>
              <w:t xml:space="preserve">Pharmacoepidemiology and Drug Safety </w:t>
            </w:r>
            <w:r w:rsidRPr="005D4222">
              <w:t>19: 115–23. doi: 10.1002/pds.1878.</w:t>
            </w:r>
          </w:p>
        </w:tc>
      </w:tr>
      <w:tr w:rsidR="000F79BB" w:rsidRPr="005D4222" w14:paraId="738C72C9" w14:textId="77777777">
        <w:tc>
          <w:tcPr>
            <w:tcW w:w="9714"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70FEA1A7" w14:textId="77777777" w:rsidR="000F79BB" w:rsidRPr="005D4222" w:rsidRDefault="000F79BB">
            <w:pPr>
              <w:pStyle w:val="ECDSMarginHead"/>
            </w:pPr>
            <w:r w:rsidRPr="005D4222">
              <w:t>Characteristics</w:t>
            </w:r>
          </w:p>
        </w:tc>
      </w:tr>
      <w:tr w:rsidR="000F79BB" w:rsidRPr="005D4222" w14:paraId="0210E291" w14:textId="77777777">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6E1C713E" w14:textId="77777777" w:rsidR="000F79BB" w:rsidRPr="005D4222" w:rsidRDefault="000F79BB" w:rsidP="00B56382">
            <w:pPr>
              <w:pStyle w:val="ECDSMarginSubhead"/>
              <w:spacing w:after="0"/>
            </w:pPr>
            <w:r w:rsidRPr="005D4222">
              <w:t>Scoring</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54314AD6" w14:textId="77777777" w:rsidR="000F79BB" w:rsidRPr="005D4222" w:rsidRDefault="000F79BB" w:rsidP="00B56382">
            <w:pPr>
              <w:pStyle w:val="ECDSBody"/>
              <w:spacing w:after="0"/>
            </w:pPr>
            <w:r w:rsidRPr="005D4222">
              <w:t>Proportion.</w:t>
            </w:r>
          </w:p>
        </w:tc>
      </w:tr>
      <w:tr w:rsidR="000F79BB" w:rsidRPr="005D4222" w14:paraId="0A64774B"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5CD07A97" w14:textId="77777777" w:rsidR="000F79BB" w:rsidRPr="005D4222" w:rsidRDefault="000F79BB" w:rsidP="00B56382">
            <w:pPr>
              <w:pStyle w:val="ECDSMarginSubhead"/>
              <w:spacing w:after="0"/>
            </w:pPr>
            <w:r w:rsidRPr="005D4222">
              <w:t>Type</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44FBC940" w14:textId="77777777" w:rsidR="000F79BB" w:rsidRPr="005D4222" w:rsidRDefault="000F79BB" w:rsidP="00B56382">
            <w:pPr>
              <w:pStyle w:val="ECDSBody"/>
              <w:spacing w:after="0"/>
            </w:pPr>
            <w:r w:rsidRPr="005D4222">
              <w:t>Process.</w:t>
            </w:r>
          </w:p>
        </w:tc>
      </w:tr>
      <w:tr w:rsidR="000F79BB" w:rsidRPr="005D4222" w14:paraId="641C5ACC"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4B411FF5" w14:textId="1DA558F1" w:rsidR="000F79BB" w:rsidRPr="005D4222" w:rsidRDefault="00B51CDC" w:rsidP="00B56382">
            <w:pPr>
              <w:pStyle w:val="ECDSMarginSubhead"/>
              <w:spacing w:after="0"/>
            </w:pPr>
            <w:r w:rsidRPr="005D4222">
              <w:t>Product lines</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1C73DE2F" w14:textId="77777777" w:rsidR="000F79BB" w:rsidRPr="005D4222" w:rsidRDefault="000F79BB" w:rsidP="00B56382">
            <w:pPr>
              <w:pStyle w:val="ProcessBullet"/>
              <w:spacing w:before="120"/>
            </w:pPr>
            <w:r w:rsidRPr="005D4222">
              <w:t>Commercial.</w:t>
            </w:r>
          </w:p>
          <w:p w14:paraId="241F854C" w14:textId="77777777" w:rsidR="000F79BB" w:rsidRPr="005D4222" w:rsidRDefault="000F79BB" w:rsidP="00B56382">
            <w:pPr>
              <w:pStyle w:val="ProcessBullet"/>
            </w:pPr>
            <w:r w:rsidRPr="005D4222">
              <w:t>Medicaid.</w:t>
            </w:r>
          </w:p>
          <w:p w14:paraId="68496E61" w14:textId="77777777" w:rsidR="000F79BB" w:rsidRPr="005D4222" w:rsidRDefault="000F79BB" w:rsidP="00B56382">
            <w:pPr>
              <w:pStyle w:val="ProcessBullet"/>
            </w:pPr>
            <w:r w:rsidRPr="005D4222">
              <w:t>Medicare.</w:t>
            </w:r>
          </w:p>
        </w:tc>
      </w:tr>
      <w:tr w:rsidR="000F79BB" w:rsidRPr="005D4222" w14:paraId="17A9CDA8"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2ED442F7" w14:textId="4E7FB12A" w:rsidR="000F79BB" w:rsidRPr="005D4222" w:rsidRDefault="00B51CDC" w:rsidP="00B56382">
            <w:pPr>
              <w:pStyle w:val="ECDSMarginSubhead"/>
              <w:spacing w:after="0"/>
            </w:pPr>
            <w:r w:rsidRPr="005D4222">
              <w:t>Stratifications</w:t>
            </w:r>
            <w:r w:rsidR="000F79BB" w:rsidRPr="005D4222">
              <w:t xml:space="preserve"> </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2019C511" w14:textId="77777777" w:rsidR="000F79BB" w:rsidRPr="005D4222" w:rsidRDefault="000F79BB" w:rsidP="00B56382">
            <w:pPr>
              <w:pStyle w:val="ECDSBody"/>
              <w:spacing w:after="0"/>
            </w:pPr>
            <w:r w:rsidRPr="005D4222">
              <w:t>None.</w:t>
            </w:r>
          </w:p>
        </w:tc>
      </w:tr>
      <w:tr w:rsidR="000F79BB" w:rsidRPr="005D4222" w14:paraId="41393EC0"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68436D83" w14:textId="77777777" w:rsidR="000F79BB" w:rsidRPr="005D4222" w:rsidRDefault="000F79BB" w:rsidP="00B56382">
            <w:pPr>
              <w:pStyle w:val="ECDSMarginSubhead"/>
              <w:spacing w:after="0"/>
            </w:pPr>
            <w:r w:rsidRPr="005D4222">
              <w:t>Risk adjustment</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7DCD1F5D" w14:textId="77777777" w:rsidR="000F79BB" w:rsidRPr="005D4222" w:rsidRDefault="000F79BB" w:rsidP="00B56382">
            <w:pPr>
              <w:pStyle w:val="ECDSBody"/>
              <w:spacing w:after="0"/>
              <w:rPr>
                <w:szCs w:val="21"/>
              </w:rPr>
            </w:pPr>
            <w:r w:rsidRPr="005D4222">
              <w:rPr>
                <w:szCs w:val="21"/>
              </w:rPr>
              <w:t>None.</w:t>
            </w:r>
          </w:p>
        </w:tc>
      </w:tr>
      <w:tr w:rsidR="000F79BB" w:rsidRPr="005D4222" w14:paraId="34751260"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4C293147" w14:textId="77777777" w:rsidR="000F79BB" w:rsidRPr="005D4222" w:rsidRDefault="000F79BB" w:rsidP="00B56382">
            <w:pPr>
              <w:pStyle w:val="ECDSMarginSubhead"/>
              <w:spacing w:after="0"/>
            </w:pPr>
            <w:r w:rsidRPr="005D4222">
              <w:t>Improvement notation</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63544F5A" w14:textId="77777777" w:rsidR="000F79BB" w:rsidRPr="005D4222" w:rsidRDefault="000F79BB" w:rsidP="00B56382">
            <w:pPr>
              <w:pStyle w:val="ECDSBody"/>
              <w:spacing w:after="0"/>
            </w:pPr>
            <w:r w:rsidRPr="005D4222">
              <w:rPr>
                <w:szCs w:val="21"/>
              </w:rPr>
              <w:t>Decreased score indicates improvement.</w:t>
            </w:r>
          </w:p>
        </w:tc>
      </w:tr>
      <w:tr w:rsidR="000F79BB" w:rsidRPr="005D4222" w14:paraId="22B445C1" w14:textId="77777777">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0A4ECF2F" w14:textId="77777777" w:rsidR="000F79BB" w:rsidRPr="005D4222" w:rsidRDefault="000F79BB">
            <w:pPr>
              <w:pStyle w:val="ECDSMarginSubhead"/>
            </w:pPr>
            <w:r w:rsidRPr="005D4222">
              <w:t>Guidance</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0C6EFD8B" w14:textId="542B336C" w:rsidR="000F79BB" w:rsidRPr="005D4222" w:rsidRDefault="000F79BB">
            <w:pPr>
              <w:pStyle w:val="ECDSBody"/>
              <w:rPr>
                <w:rStyle w:val="eop"/>
                <w:color w:val="000000"/>
                <w:szCs w:val="21"/>
                <w:shd w:val="clear" w:color="auto" w:fill="FFFFFF"/>
              </w:rPr>
            </w:pPr>
            <w:r w:rsidRPr="005D4222">
              <w:rPr>
                <w:b/>
                <w:color w:val="000000"/>
                <w:szCs w:val="21"/>
                <w:shd w:val="clear" w:color="auto" w:fill="FFFFFF"/>
              </w:rPr>
              <w:t>Data collection methodology</w:t>
            </w:r>
            <w:r w:rsidRPr="005D4222">
              <w:rPr>
                <w:b/>
                <w:bCs w:val="0"/>
                <w:color w:val="000000"/>
                <w:szCs w:val="21"/>
                <w:shd w:val="clear" w:color="auto" w:fill="FFFFFF"/>
              </w:rPr>
              <w:t xml:space="preserve">: </w:t>
            </w:r>
            <w:r w:rsidRPr="005D4222">
              <w:rPr>
                <w:color w:val="000000"/>
                <w:szCs w:val="21"/>
                <w:shd w:val="clear" w:color="auto" w:fill="FFFFFF"/>
              </w:rPr>
              <w:t xml:space="preserve">Administrative. Refer to </w:t>
            </w:r>
            <w:hyperlink w:anchor="General_Guideline_Data_Collection_Method" w:history="1">
              <w:r w:rsidRPr="005D4222">
                <w:rPr>
                  <w:rStyle w:val="Hyperlink"/>
                  <w:i/>
                  <w:iCs/>
                  <w:szCs w:val="21"/>
                  <w:shd w:val="clear" w:color="auto" w:fill="FFFFFF"/>
                </w:rPr>
                <w:t>General Guideline: Data Collection Methods</w:t>
              </w:r>
            </w:hyperlink>
            <w:r w:rsidRPr="005D4222">
              <w:rPr>
                <w:color w:val="000000"/>
                <w:szCs w:val="21"/>
                <w:shd w:val="clear" w:color="auto" w:fill="FFFFFF"/>
              </w:rPr>
              <w:t xml:space="preserve"> for additional information.</w:t>
            </w:r>
            <w:r w:rsidRPr="005D4222">
              <w:rPr>
                <w:rStyle w:val="eop"/>
                <w:color w:val="000000"/>
                <w:szCs w:val="21"/>
                <w:shd w:val="clear" w:color="auto" w:fill="FFFFFF"/>
              </w:rPr>
              <w:t> </w:t>
            </w:r>
          </w:p>
          <w:p w14:paraId="19016B34" w14:textId="77777777" w:rsidR="000F79BB" w:rsidRPr="005D4222" w:rsidRDefault="000F79BB">
            <w:pPr>
              <w:pStyle w:val="ECDSBody"/>
            </w:pPr>
            <w:r w:rsidRPr="005D4222">
              <w:rPr>
                <w:b/>
              </w:rPr>
              <w:t xml:space="preserve">Date specificity: </w:t>
            </w:r>
            <w:r w:rsidRPr="005D4222">
              <w:t>Dates must be specific enough to determine the event occurred in the period being measured.</w:t>
            </w:r>
          </w:p>
          <w:p w14:paraId="667A7C16" w14:textId="77777777" w:rsidR="000F79BB" w:rsidRPr="005D4222" w:rsidRDefault="000F79BB">
            <w:pPr>
              <w:pStyle w:val="ECDSBody"/>
              <w:rPr>
                <w:b/>
              </w:rPr>
            </w:pPr>
            <w:r w:rsidRPr="005D4222">
              <w:rPr>
                <w:b/>
              </w:rPr>
              <w:t>Which services count?</w:t>
            </w:r>
          </w:p>
          <w:p w14:paraId="03F73BCD" w14:textId="77777777" w:rsidR="000F79BB" w:rsidRPr="005D4222" w:rsidRDefault="000F79BB">
            <w:pPr>
              <w:pStyle w:val="ProcessBullet"/>
            </w:pPr>
            <w:r w:rsidRPr="005D4222">
              <w:t xml:space="preserve">Do not include denied claims when identifying </w:t>
            </w:r>
            <w:r w:rsidRPr="005D4222">
              <w:rPr>
                <w:rFonts w:cs="Arial"/>
                <w:color w:val="000000"/>
              </w:rPr>
              <w:t>initial population</w:t>
            </w:r>
            <w:r w:rsidRPr="005D4222">
              <w:t xml:space="preserve"> and numerator events; only include claims the organization paid for or expects to pay for (i.e., claims incurred but not paid).</w:t>
            </w:r>
          </w:p>
          <w:p w14:paraId="3EBDD8DA" w14:textId="77777777" w:rsidR="000F79BB" w:rsidRPr="005D4222" w:rsidRDefault="000F79BB">
            <w:pPr>
              <w:pStyle w:val="ProcessBullet"/>
            </w:pPr>
            <w:r w:rsidRPr="005D4222">
              <w:t>Include all paid, suspended, pending and denied claims to identify the denominator exclusions.</w:t>
            </w:r>
          </w:p>
          <w:p w14:paraId="60E094AB" w14:textId="0BA93D40" w:rsidR="00B56382" w:rsidRPr="005D4222" w:rsidRDefault="000F79BB" w:rsidP="00B56382">
            <w:pPr>
              <w:pStyle w:val="ECDSBody"/>
            </w:pPr>
            <w:r w:rsidRPr="005D4222">
              <w:rPr>
                <w:b/>
                <w:bCs w:val="0"/>
              </w:rPr>
              <w:t>Supplemental data exceptions:</w:t>
            </w:r>
            <w:r w:rsidRPr="005D4222">
              <w:rPr>
                <w:b/>
                <w:bCs w:val="0"/>
                <w:iCs/>
              </w:rPr>
              <w:t xml:space="preserve"> </w:t>
            </w:r>
            <w:r w:rsidRPr="005D4222">
              <w:rPr>
                <w:iCs/>
              </w:rPr>
              <w:t>Supplemental data may not be used for this measure, except for denominator exclusions.</w:t>
            </w:r>
          </w:p>
        </w:tc>
      </w:tr>
    </w:tbl>
    <w:p w14:paraId="249ABB52" w14:textId="77777777" w:rsidR="00B56382" w:rsidRPr="005D4222" w:rsidRDefault="00B56382">
      <w:r w:rsidRPr="005D4222">
        <w:br w:type="page"/>
      </w:r>
    </w:p>
    <w:tbl>
      <w:tblPr>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0F79BB" w:rsidRPr="005D4222" w14:paraId="61C2BA4B" w14:textId="77777777">
        <w:tc>
          <w:tcPr>
            <w:tcW w:w="21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C3CD5A6" w14:textId="77777777" w:rsidR="000F79BB" w:rsidRPr="005D4222" w:rsidRDefault="000F79BB">
            <w:pPr>
              <w:pStyle w:val="ECDSMarginSub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3688669" w14:textId="77777777" w:rsidR="00B56382" w:rsidRPr="005D4222" w:rsidRDefault="00B56382" w:rsidP="00B56382">
            <w:pPr>
              <w:pStyle w:val="ECDSBody"/>
              <w:rPr>
                <w:b/>
                <w:bCs w:val="0"/>
              </w:rPr>
            </w:pPr>
            <w:r w:rsidRPr="005D4222">
              <w:rPr>
                <w:b/>
                <w:bCs w:val="0"/>
              </w:rPr>
              <w:t xml:space="preserve">Medication list: </w:t>
            </w:r>
          </w:p>
          <w:p w14:paraId="0BF95A77" w14:textId="77777777" w:rsidR="00B56382" w:rsidRPr="005D4222" w:rsidRDefault="00B56382" w:rsidP="00CC2EE9">
            <w:pPr>
              <w:pStyle w:val="ProcessBullet"/>
            </w:pPr>
            <w:r w:rsidRPr="005D4222">
              <w:t xml:space="preserve">If </w:t>
            </w:r>
            <w:r w:rsidRPr="005D4222" w:rsidDel="001347A8">
              <w:t xml:space="preserve">an organization uses both pharmacy data (NDC codes) and clinical data (RxNorm codes) for reporting, and </w:t>
            </w:r>
            <w:r w:rsidRPr="005D4222">
              <w:t xml:space="preserve">there are both NDC and RxNorm codes on the same date of service, use only one data source for the date of service. </w:t>
            </w:r>
          </w:p>
          <w:p w14:paraId="44DD3691" w14:textId="77777777" w:rsidR="000F79BB" w:rsidRPr="005D4222" w:rsidRDefault="000F79BB" w:rsidP="00CC2EE9">
            <w:pPr>
              <w:pStyle w:val="ProcessBullet"/>
            </w:pPr>
            <w:r w:rsidRPr="005D4222">
              <w:t xml:space="preserve">This measure does not include the following opioid medications: </w:t>
            </w:r>
          </w:p>
          <w:p w14:paraId="75833CDA" w14:textId="77777777" w:rsidR="000F79BB" w:rsidRPr="005D4222" w:rsidRDefault="000F79BB" w:rsidP="00A31FF2">
            <w:pPr>
              <w:pStyle w:val="ProcessDash"/>
            </w:pPr>
            <w:r w:rsidRPr="005D4222">
              <w:t>Injectables.</w:t>
            </w:r>
          </w:p>
          <w:p w14:paraId="46C271C7" w14:textId="77777777" w:rsidR="000F79BB" w:rsidRPr="005D4222" w:rsidRDefault="000F79BB" w:rsidP="00A31FF2">
            <w:pPr>
              <w:pStyle w:val="ProcessDash"/>
            </w:pPr>
            <w:r w:rsidRPr="005D4222">
              <w:t xml:space="preserve">Cough and cold products that contain opioids. </w:t>
            </w:r>
          </w:p>
          <w:p w14:paraId="2C93BF6D" w14:textId="77777777" w:rsidR="000F79BB" w:rsidRPr="005D4222" w:rsidRDefault="000F79BB" w:rsidP="00A31FF2">
            <w:pPr>
              <w:pStyle w:val="ProcessDash"/>
            </w:pPr>
            <w:r w:rsidRPr="005D4222">
              <w:t xml:space="preserve">Single-agent and combination buprenorphine products used as part of medication-assisted treatment of opioid use disorder (buprenorphine sublingual tablets, buprenorphine subcutaneous implant and all buprenorphine/naloxone combination products). </w:t>
            </w:r>
          </w:p>
          <w:p w14:paraId="3B239429" w14:textId="77777777" w:rsidR="000F79BB" w:rsidRPr="005D4222" w:rsidRDefault="000F79BB" w:rsidP="00A31FF2">
            <w:pPr>
              <w:pStyle w:val="ProcessDash"/>
            </w:pPr>
            <w:r w:rsidRPr="005D4222">
              <w:t>Ionsys</w:t>
            </w:r>
            <w:r w:rsidRPr="005D4222">
              <w:rPr>
                <w:vertAlign w:val="superscript"/>
              </w:rPr>
              <w:t>®</w:t>
            </w:r>
            <w:r w:rsidRPr="005D4222">
              <w:t xml:space="preserve"> (fentanyl transdermal patch). This is for inpatient use only, and is available only through a restricted program under a Risk Evaluation and Mitigation Strategy.</w:t>
            </w:r>
          </w:p>
          <w:p w14:paraId="5EF7C162" w14:textId="77777777" w:rsidR="000F79BB" w:rsidRPr="005D4222" w:rsidRDefault="000F79BB" w:rsidP="00A31FF2">
            <w:pPr>
              <w:pStyle w:val="ProcessDash"/>
              <w:spacing w:after="80"/>
              <w:rPr>
                <w:rFonts w:cs="Arial"/>
                <w:color w:val="000000"/>
              </w:rPr>
            </w:pPr>
            <w:r w:rsidRPr="005D4222">
              <w:t>Methadone for the treatment of opioid use disorder.</w:t>
            </w:r>
          </w:p>
        </w:tc>
      </w:tr>
      <w:tr w:rsidR="000F79BB" w:rsidRPr="005D4222" w14:paraId="56BD459F" w14:textId="77777777">
        <w:tc>
          <w:tcPr>
            <w:tcW w:w="9714" w:type="dxa"/>
            <w:gridSpan w:val="2"/>
            <w:tcBorders>
              <w:top w:val="single" w:sz="4" w:space="0" w:color="auto"/>
              <w:bottom w:val="single" w:sz="4" w:space="0" w:color="auto"/>
            </w:tcBorders>
            <w:shd w:val="clear" w:color="auto" w:fill="BFBFBF" w:themeFill="background1" w:themeFillShade="BF"/>
            <w:tcMar>
              <w:top w:w="0" w:type="dxa"/>
              <w:left w:w="86" w:type="dxa"/>
              <w:bottom w:w="43" w:type="dxa"/>
              <w:right w:w="86" w:type="dxa"/>
            </w:tcMar>
          </w:tcPr>
          <w:p w14:paraId="0671CC75" w14:textId="77777777" w:rsidR="000F79BB" w:rsidRPr="005D4222" w:rsidRDefault="000F79BB">
            <w:pPr>
              <w:pStyle w:val="ECDSMarginHead"/>
            </w:pPr>
            <w:r w:rsidRPr="005D4222">
              <w:t xml:space="preserve">Definitions </w:t>
            </w:r>
          </w:p>
        </w:tc>
      </w:tr>
      <w:tr w:rsidR="000F79BB" w:rsidRPr="005D4222" w14:paraId="1A770DEF" w14:textId="77777777">
        <w:tc>
          <w:tcPr>
            <w:tcW w:w="2157" w:type="dxa"/>
            <w:tcBorders>
              <w:top w:val="single" w:sz="4" w:space="0" w:color="auto"/>
              <w:bottom w:val="single" w:sz="4" w:space="0" w:color="auto"/>
              <w:right w:val="single" w:sz="4" w:space="0" w:color="auto"/>
            </w:tcBorders>
            <w:tcMar>
              <w:top w:w="0" w:type="dxa"/>
              <w:left w:w="86" w:type="dxa"/>
              <w:bottom w:w="43" w:type="dxa"/>
              <w:right w:w="86" w:type="dxa"/>
            </w:tcMar>
          </w:tcPr>
          <w:p w14:paraId="3624C98B" w14:textId="77777777" w:rsidR="000F79BB" w:rsidRPr="005D4222" w:rsidRDefault="000F79BB">
            <w:pPr>
              <w:pStyle w:val="ECDSMarginSubhead"/>
              <w:rPr>
                <w:bCs/>
              </w:rPr>
            </w:pPr>
            <w:r w:rsidRPr="005D4222">
              <w:t>Calculating number of days covered for the denominator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C5498BC" w14:textId="77777777" w:rsidR="000F79BB" w:rsidRPr="005D4222" w:rsidRDefault="000F79BB">
            <w:pPr>
              <w:pStyle w:val="ECDSBody"/>
              <w:rPr>
                <w:b/>
              </w:rPr>
            </w:pPr>
            <w:r w:rsidRPr="005D4222">
              <w:t>Use the following steps to identify and calculate covered days for the denominator.</w:t>
            </w:r>
          </w:p>
          <w:p w14:paraId="147449D4" w14:textId="77777777" w:rsidR="000F79BB" w:rsidRPr="005D4222" w:rsidRDefault="000F79BB">
            <w:pPr>
              <w:pStyle w:val="ECDSBody"/>
            </w:pPr>
            <w:r w:rsidRPr="005D4222">
              <w:rPr>
                <w:b/>
              </w:rPr>
              <w:t>Step 1.</w:t>
            </w:r>
            <w:r w:rsidRPr="005D4222">
              <w:t xml:space="preserve"> Identify dispensing events where multiple prescriptions for the same medication are dispensed with overlapping days supply (i.e., dispensed on the same day or dispensed on different days with overlapping days supply). Sum the days supply for these dispensing events. </w:t>
            </w:r>
          </w:p>
          <w:p w14:paraId="4C410236" w14:textId="77777777" w:rsidR="000F79BB" w:rsidRPr="005D4222" w:rsidRDefault="000F79BB">
            <w:pPr>
              <w:pStyle w:val="ECDSBody"/>
            </w:pPr>
            <w:r w:rsidRPr="005D4222">
              <w:t xml:space="preserve">Identify the start date (date of service of the earliest dispensing event) and end dates (the start date plus the summed days supply minus one). The start date through the end date are considered covered days. </w:t>
            </w:r>
          </w:p>
          <w:p w14:paraId="74FEB44B" w14:textId="77777777" w:rsidR="000F79BB" w:rsidRPr="005D4222" w:rsidRDefault="000F79BB" w:rsidP="000F79BB">
            <w:pPr>
              <w:pStyle w:val="Bullet"/>
              <w:numPr>
                <w:ilvl w:val="0"/>
                <w:numId w:val="4"/>
              </w:numPr>
              <w:tabs>
                <w:tab w:val="left" w:pos="360"/>
                <w:tab w:val="left" w:pos="576"/>
              </w:tabs>
              <w:ind w:left="576" w:hanging="216"/>
              <w:rPr>
                <w:i/>
                <w:iCs/>
              </w:rPr>
            </w:pPr>
            <w:r w:rsidRPr="005D4222">
              <w:rPr>
                <w:i/>
                <w:iCs/>
              </w:rPr>
              <w:t>For example:</w:t>
            </w:r>
          </w:p>
          <w:p w14:paraId="6A57A9EA" w14:textId="6E7B6BB6" w:rsidR="000F79BB" w:rsidRPr="005D4222" w:rsidRDefault="000F79BB" w:rsidP="000F79BB">
            <w:pPr>
              <w:pStyle w:val="Dash"/>
              <w:tabs>
                <w:tab w:val="left" w:pos="576"/>
                <w:tab w:val="left" w:pos="792"/>
              </w:tabs>
            </w:pPr>
            <w:r w:rsidRPr="005D4222">
              <w:t>If there are three 7</w:t>
            </w:r>
            <w:r w:rsidR="00CF717A" w:rsidRPr="005D4222">
              <w:t xml:space="preserve"> </w:t>
            </w:r>
            <w:r w:rsidRPr="005D4222">
              <w:t xml:space="preserve">days supply dispensing events for the same medication on January 1, the start date is January 1 and the end date is January 21. Covered days include January 1–21. </w:t>
            </w:r>
          </w:p>
          <w:p w14:paraId="401E5BD6" w14:textId="23A5DC51" w:rsidR="000F79BB" w:rsidRPr="005D4222" w:rsidRDefault="000F79BB" w:rsidP="000F79BB">
            <w:pPr>
              <w:pStyle w:val="Dash"/>
              <w:tabs>
                <w:tab w:val="left" w:pos="576"/>
                <w:tab w:val="left" w:pos="792"/>
              </w:tabs>
            </w:pPr>
            <w:r w:rsidRPr="005D4222">
              <w:t>If there are two 7</w:t>
            </w:r>
            <w:r w:rsidR="00CF717A" w:rsidRPr="005D4222">
              <w:t xml:space="preserve"> </w:t>
            </w:r>
            <w:r w:rsidRPr="005D4222">
              <w:t>days supply dispensing events for the same medication on January 1 and January 5, the start date is January 1 and the end date is January 14. Covered days include January 1–14.</w:t>
            </w:r>
          </w:p>
          <w:p w14:paraId="67B5F4CF" w14:textId="5373E2AB" w:rsidR="000F79BB" w:rsidRPr="005D4222" w:rsidRDefault="000F79BB" w:rsidP="000F79BB">
            <w:pPr>
              <w:pStyle w:val="Dash"/>
              <w:tabs>
                <w:tab w:val="left" w:pos="576"/>
                <w:tab w:val="left" w:pos="792"/>
              </w:tabs>
              <w:rPr>
                <w:i/>
                <w:iCs/>
              </w:rPr>
            </w:pPr>
            <w:r w:rsidRPr="005D4222">
              <w:t>If there are three 7</w:t>
            </w:r>
            <w:r w:rsidR="00CF717A" w:rsidRPr="005D4222">
              <w:t xml:space="preserve"> </w:t>
            </w:r>
            <w:r w:rsidRPr="005D4222">
              <w:t>days supply dispensing events for the same medication on January 1, a 7</w:t>
            </w:r>
            <w:r w:rsidR="00CF717A" w:rsidRPr="005D4222">
              <w:t xml:space="preserve"> </w:t>
            </w:r>
            <w:r w:rsidRPr="005D4222">
              <w:t>days supply dispensing event on January 20, and a 7</w:t>
            </w:r>
            <w:r w:rsidR="00CF717A" w:rsidRPr="005D4222">
              <w:t xml:space="preserve"> </w:t>
            </w:r>
            <w:r w:rsidRPr="005D4222">
              <w:t xml:space="preserve">days supply dispensing event on January 28, the start date is January 1 and the end date is February 4. Covered days include January 1–February 4. </w:t>
            </w:r>
          </w:p>
          <w:p w14:paraId="4A7DA1C2" w14:textId="77777777" w:rsidR="000F79BB" w:rsidRPr="005D4222" w:rsidRDefault="000F79BB">
            <w:pPr>
              <w:pStyle w:val="Note"/>
            </w:pPr>
            <w:r w:rsidRPr="005D4222">
              <w:rPr>
                <w:b/>
                <w:bCs/>
              </w:rPr>
              <w:t>Note:</w:t>
            </w:r>
            <w:r w:rsidRPr="005D4222">
              <w:t xml:space="preserve"> This step assumes that the person will take one prescription at a time (and start taking the next prescription after exhausting the previous prescription). </w:t>
            </w:r>
          </w:p>
          <w:p w14:paraId="0F5A68E7" w14:textId="2024D6C2" w:rsidR="00975379" w:rsidRPr="005D4222" w:rsidRDefault="000F79BB" w:rsidP="00975379">
            <w:pPr>
              <w:pStyle w:val="ECDSBody"/>
            </w:pPr>
            <w:r w:rsidRPr="005D4222">
              <w:rPr>
                <w:b/>
              </w:rPr>
              <w:t>Step 2.</w:t>
            </w:r>
            <w:r w:rsidRPr="005D4222">
              <w:t xml:space="preserve"> For all other dispensing events (i.e., multiple prescriptions for the same medication on different days without overlap, and multiple prescriptions for different medications on the same or different days, with or without overlap), </w:t>
            </w:r>
          </w:p>
        </w:tc>
      </w:tr>
    </w:tbl>
    <w:p w14:paraId="645E3D26" w14:textId="77777777" w:rsidR="000F79BB" w:rsidRPr="005D4222" w:rsidRDefault="000F79BB" w:rsidP="000F79BB"/>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0F79BB" w:rsidRPr="005D4222" w14:paraId="07C6F5B4" w14:textId="77777777">
        <w:tc>
          <w:tcPr>
            <w:tcW w:w="2157" w:type="dxa"/>
            <w:tcBorders>
              <w:top w:val="single" w:sz="4" w:space="0" w:color="auto"/>
              <w:bottom w:val="nil"/>
              <w:right w:val="single" w:sz="4" w:space="0" w:color="auto"/>
            </w:tcBorders>
            <w:tcMar>
              <w:top w:w="0" w:type="dxa"/>
              <w:left w:w="86" w:type="dxa"/>
              <w:bottom w:w="43" w:type="dxa"/>
              <w:right w:w="86" w:type="dxa"/>
            </w:tcMar>
          </w:tcPr>
          <w:p w14:paraId="0E5CC4E8" w14:textId="77777777" w:rsidR="000F79BB" w:rsidRPr="005D4222" w:rsidRDefault="000F79BB">
            <w:pPr>
              <w:pStyle w:val="ECDSMarginSubhead"/>
            </w:pP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404F8D05" w14:textId="77777777" w:rsidR="00975379" w:rsidRPr="005D4222" w:rsidRDefault="00975379" w:rsidP="00975379">
            <w:pPr>
              <w:pStyle w:val="ECDSBody"/>
            </w:pPr>
            <w:r w:rsidRPr="005D4222">
              <w:t xml:space="preserve">identify the start and end dates for each dispensing event individually. The start date through the end date are considered covered days. </w:t>
            </w:r>
          </w:p>
          <w:p w14:paraId="46E1C9AA" w14:textId="77777777" w:rsidR="00975379" w:rsidRPr="005D4222" w:rsidRDefault="00975379" w:rsidP="00975379">
            <w:pPr>
              <w:pStyle w:val="Note"/>
              <w:spacing w:after="80"/>
            </w:pPr>
            <w:r w:rsidRPr="005D4222">
              <w:rPr>
                <w:b/>
                <w:bCs/>
              </w:rPr>
              <w:t>Note:</w:t>
            </w:r>
            <w:r w:rsidRPr="005D4222">
              <w:t xml:space="preserve"> This step assumes the person will take the different medications concurrently. </w:t>
            </w:r>
          </w:p>
          <w:p w14:paraId="17FAB38D" w14:textId="77777777" w:rsidR="000F79BB" w:rsidRPr="005D4222" w:rsidRDefault="000F79BB">
            <w:pPr>
              <w:pStyle w:val="ECDSBody"/>
              <w:spacing w:after="0"/>
            </w:pPr>
            <w:r w:rsidRPr="005D4222">
              <w:rPr>
                <w:b/>
              </w:rPr>
              <w:t>Step 3.</w:t>
            </w:r>
            <w:r w:rsidRPr="005D4222">
              <w:t xml:space="preserve"> Count the covered days. Consider each calendar day covered by one or more medications to be 1 covered day.</w:t>
            </w:r>
          </w:p>
        </w:tc>
      </w:tr>
      <w:tr w:rsidR="000F79BB" w:rsidRPr="005D4222" w14:paraId="49AD1475" w14:textId="77777777">
        <w:tc>
          <w:tcPr>
            <w:tcW w:w="2157" w:type="dxa"/>
            <w:tcBorders>
              <w:top w:val="nil"/>
              <w:bottom w:val="nil"/>
              <w:right w:val="single" w:sz="4" w:space="0" w:color="auto"/>
            </w:tcBorders>
            <w:tcMar>
              <w:top w:w="0" w:type="dxa"/>
              <w:left w:w="86" w:type="dxa"/>
              <w:bottom w:w="43" w:type="dxa"/>
              <w:right w:w="86" w:type="dxa"/>
            </w:tcMar>
          </w:tcPr>
          <w:p w14:paraId="76CCA6D2" w14:textId="77777777" w:rsidR="000F79BB" w:rsidRPr="005D4222" w:rsidRDefault="000F79BB">
            <w:pPr>
              <w:pStyle w:val="ECDSMarginSubhead"/>
              <w:rPr>
                <w:bCs/>
              </w:rPr>
            </w:pPr>
            <w:r w:rsidRPr="005D4222">
              <w:rPr>
                <w:bCs/>
                <w:color w:val="000000"/>
              </w:rPr>
              <w:t>Identifying pharmacies</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2428BB7B" w14:textId="77777777" w:rsidR="000F79BB" w:rsidRPr="005D4222" w:rsidRDefault="000F79BB">
            <w:pPr>
              <w:pStyle w:val="ECDSBody"/>
              <w:spacing w:after="0"/>
            </w:pPr>
            <w:r w:rsidRPr="005D4222">
              <w:rPr>
                <w:color w:val="000000"/>
              </w:rPr>
              <w:t xml:space="preserve">Use the </w:t>
            </w:r>
            <w:r w:rsidRPr="005D4222">
              <w:t>National Provider Identifier (NPI)</w:t>
            </w:r>
            <w:r w:rsidRPr="005D4222">
              <w:rPr>
                <w:color w:val="000000"/>
              </w:rPr>
              <w:t xml:space="preserve"> to determine if the pharmacy for medication dispensing events was the same or different. If the pharmacy NPI is missing, count each dispensing event with a missing NPI number as a new pharmacy when reporting the measure.</w:t>
            </w:r>
          </w:p>
        </w:tc>
      </w:tr>
      <w:tr w:rsidR="000F79BB" w:rsidRPr="005D4222" w14:paraId="1DDF6253" w14:textId="77777777">
        <w:tc>
          <w:tcPr>
            <w:tcW w:w="2157" w:type="dxa"/>
            <w:tcBorders>
              <w:top w:val="nil"/>
              <w:bottom w:val="nil"/>
              <w:right w:val="single" w:sz="4" w:space="0" w:color="auto"/>
            </w:tcBorders>
            <w:tcMar>
              <w:top w:w="0" w:type="dxa"/>
              <w:left w:w="86" w:type="dxa"/>
              <w:bottom w:w="43" w:type="dxa"/>
              <w:right w:w="86" w:type="dxa"/>
            </w:tcMar>
          </w:tcPr>
          <w:p w14:paraId="0FF69DE1" w14:textId="77777777" w:rsidR="000F79BB" w:rsidRPr="005D4222" w:rsidRDefault="000F79BB">
            <w:pPr>
              <w:pStyle w:val="ECDSMarginSubhead"/>
              <w:rPr>
                <w:bCs/>
              </w:rPr>
            </w:pPr>
            <w:r w:rsidRPr="005D4222">
              <w:rPr>
                <w:bCs/>
              </w:rPr>
              <w:t>Identifying prescribers</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03137E42" w14:textId="77777777" w:rsidR="000F79BB" w:rsidRPr="005D4222" w:rsidRDefault="000F79BB">
            <w:pPr>
              <w:pStyle w:val="ECDSBody"/>
              <w:spacing w:after="0"/>
            </w:pPr>
            <w:r w:rsidRPr="005D4222">
              <w:t>Use the NPI to determine if the prescriber for medication dispensing events was the same or different. If the provider NPI is missing, count each dispensing event with a missing NPI number as a new prescriber when reporting the measure.</w:t>
            </w:r>
          </w:p>
        </w:tc>
      </w:tr>
      <w:tr w:rsidR="000F79BB" w:rsidRPr="005D4222" w14:paraId="3CFB8458" w14:textId="77777777">
        <w:tc>
          <w:tcPr>
            <w:tcW w:w="2157" w:type="dxa"/>
            <w:tcBorders>
              <w:top w:val="nil"/>
              <w:right w:val="single" w:sz="4" w:space="0" w:color="auto"/>
            </w:tcBorders>
            <w:tcMar>
              <w:top w:w="0" w:type="dxa"/>
              <w:left w:w="86" w:type="dxa"/>
              <w:bottom w:w="43" w:type="dxa"/>
              <w:right w:w="86" w:type="dxa"/>
            </w:tcMar>
          </w:tcPr>
          <w:p w14:paraId="1DCBD469" w14:textId="77777777" w:rsidR="000F79BB" w:rsidRPr="005D4222" w:rsidRDefault="000F79BB">
            <w:pPr>
              <w:pStyle w:val="ECDSMarginSubhead"/>
              <w:rPr>
                <w:bCs/>
                <w:color w:val="000000"/>
              </w:rPr>
            </w:pPr>
            <w:r w:rsidRPr="005D4222">
              <w:t>Identifying same or different drugs</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2FA08AD9" w14:textId="77777777" w:rsidR="000F79BB" w:rsidRPr="005D4222" w:rsidRDefault="000F79BB">
            <w:pPr>
              <w:pStyle w:val="ECDSBody"/>
              <w:rPr>
                <w:color w:val="000000"/>
              </w:rPr>
            </w:pPr>
            <w:r w:rsidRPr="005D4222">
              <w:rPr>
                <w:rFonts w:eastAsia="Arial,Times New Roman"/>
              </w:rPr>
              <w:t xml:space="preserve">To identify same or different drugs, use the medication lists specified for the measure in the Opioid Medications table. Drugs in different medication lists </w:t>
            </w:r>
            <w:r w:rsidRPr="005D4222">
              <w:rPr>
                <w:rFonts w:eastAsia="Arial,Times New Roman"/>
              </w:rPr>
              <w:br/>
              <w:t xml:space="preserve">are considered different drugs. For example, a dispensing event from the </w:t>
            </w:r>
            <w:r w:rsidRPr="005D4222">
              <w:rPr>
                <w:rFonts w:eastAsia="Arial,Times New Roman"/>
                <w:u w:val="single"/>
              </w:rPr>
              <w:t>Acetaminophen Codeine Medications List</w:t>
            </w:r>
            <w:r w:rsidRPr="005D4222">
              <w:rPr>
                <w:rFonts w:eastAsia="Arial,Times New Roman"/>
              </w:rPr>
              <w:t xml:space="preserve"> is considered a different drug than a dispensing event from the </w:t>
            </w:r>
            <w:r w:rsidRPr="005D4222">
              <w:rPr>
                <w:rFonts w:eastAsia="Arial,Times New Roman"/>
                <w:u w:val="single"/>
              </w:rPr>
              <w:t>Codeine Sulfate Medications List</w:t>
            </w:r>
            <w:r w:rsidRPr="005D4222">
              <w:rPr>
                <w:rFonts w:eastAsia="Arial,Times New Roman"/>
              </w:rPr>
              <w:t>.</w:t>
            </w:r>
          </w:p>
        </w:tc>
      </w:tr>
      <w:tr w:rsidR="000F79BB" w:rsidRPr="005D4222" w14:paraId="19C16293" w14:textId="77777777">
        <w:tc>
          <w:tcPr>
            <w:tcW w:w="2157" w:type="dxa"/>
            <w:shd w:val="clear" w:color="auto" w:fill="BFBFBF" w:themeFill="background1" w:themeFillShade="BF"/>
            <w:tcMar>
              <w:top w:w="0" w:type="dxa"/>
              <w:left w:w="86" w:type="dxa"/>
              <w:bottom w:w="43" w:type="dxa"/>
              <w:right w:w="86" w:type="dxa"/>
            </w:tcMar>
          </w:tcPr>
          <w:p w14:paraId="1810F1D2" w14:textId="77777777" w:rsidR="000F79BB" w:rsidRPr="005D4222" w:rsidRDefault="000F79BB">
            <w:pPr>
              <w:pStyle w:val="ECDSMarginHead"/>
            </w:pPr>
            <w:r w:rsidRPr="005D4222">
              <w:t>Initial population</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D19D490" w14:textId="77777777" w:rsidR="000F79BB" w:rsidRPr="005D4222" w:rsidRDefault="000F79BB">
            <w:pPr>
              <w:pStyle w:val="ECDSBody"/>
            </w:pPr>
            <w:r w:rsidRPr="005D4222">
              <w:rPr>
                <w:i/>
                <w:iCs/>
              </w:rPr>
              <w:t xml:space="preserve">Measure item count: </w:t>
            </w:r>
            <w:r w:rsidRPr="005D4222">
              <w:t>Person.</w:t>
            </w:r>
          </w:p>
          <w:p w14:paraId="42FC78E5" w14:textId="77777777" w:rsidR="000F79BB" w:rsidRPr="005D4222" w:rsidRDefault="000F79BB">
            <w:pPr>
              <w:pStyle w:val="ECDSBody"/>
            </w:pPr>
            <w:r w:rsidRPr="005D4222">
              <w:rPr>
                <w:i/>
                <w:iCs/>
              </w:rPr>
              <w:t xml:space="preserve">Attribution basis: </w:t>
            </w:r>
            <w:r w:rsidRPr="005D4222">
              <w:t>Enrollment.</w:t>
            </w:r>
          </w:p>
          <w:p w14:paraId="6AB6C833" w14:textId="77777777" w:rsidR="000F79BB" w:rsidRPr="005D4222" w:rsidRDefault="000F79BB" w:rsidP="000F79BB">
            <w:pPr>
              <w:pStyle w:val="Bullet"/>
              <w:numPr>
                <w:ilvl w:val="0"/>
                <w:numId w:val="4"/>
              </w:numPr>
              <w:tabs>
                <w:tab w:val="left" w:pos="360"/>
                <w:tab w:val="left" w:pos="576"/>
              </w:tabs>
              <w:ind w:left="576" w:hanging="216"/>
            </w:pPr>
            <w:r w:rsidRPr="005D4222">
              <w:rPr>
                <w:i/>
                <w:iCs/>
              </w:rPr>
              <w:t>Benefits:</w:t>
            </w:r>
            <w:r w:rsidRPr="005D4222">
              <w:t xml:space="preserve"> Medical and pharmacy.</w:t>
            </w:r>
          </w:p>
          <w:p w14:paraId="012B32A9" w14:textId="77777777" w:rsidR="000F79BB" w:rsidRPr="005D4222" w:rsidRDefault="000F79BB" w:rsidP="000F79BB">
            <w:pPr>
              <w:pStyle w:val="Bullet"/>
              <w:numPr>
                <w:ilvl w:val="0"/>
                <w:numId w:val="4"/>
              </w:numPr>
              <w:tabs>
                <w:tab w:val="left" w:pos="360"/>
                <w:tab w:val="left" w:pos="576"/>
              </w:tabs>
              <w:ind w:left="576" w:hanging="216"/>
              <w:rPr>
                <w:rFonts w:cs="Arial"/>
              </w:rPr>
            </w:pPr>
            <w:r w:rsidRPr="005D4222">
              <w:rPr>
                <w:rFonts w:cs="Arial"/>
                <w:i/>
                <w:iCs/>
              </w:rPr>
              <w:t>Continuous enrollment:</w:t>
            </w:r>
            <w:r w:rsidRPr="005D4222">
              <w:rPr>
                <w:rFonts w:cs="Arial"/>
              </w:rPr>
              <w:t xml:space="preserve"> The measurement period.</w:t>
            </w:r>
          </w:p>
          <w:p w14:paraId="7143209C" w14:textId="77777777" w:rsidR="000F79BB" w:rsidRPr="005D4222" w:rsidRDefault="000F79BB" w:rsidP="000F79BB">
            <w:pPr>
              <w:pStyle w:val="Bullet"/>
              <w:numPr>
                <w:ilvl w:val="0"/>
                <w:numId w:val="4"/>
              </w:numPr>
              <w:tabs>
                <w:tab w:val="left" w:pos="360"/>
                <w:tab w:val="left" w:pos="576"/>
              </w:tabs>
              <w:ind w:left="576" w:hanging="216"/>
              <w:rPr>
                <w:rFonts w:cs="Arial"/>
              </w:rPr>
            </w:pPr>
            <w:r w:rsidRPr="005D4222">
              <w:rPr>
                <w:rFonts w:cs="Arial"/>
                <w:i/>
                <w:iCs/>
              </w:rPr>
              <w:t>Allowable gap:</w:t>
            </w:r>
            <w:r w:rsidRPr="005D4222">
              <w:rPr>
                <w:rFonts w:cs="Arial"/>
              </w:rPr>
              <w:t xml:space="preserve"> No more than one gap of ≤45 days during the measurement period. No gaps on the last day of the measurement period.</w:t>
            </w:r>
          </w:p>
          <w:p w14:paraId="3746E8C0" w14:textId="77777777" w:rsidR="000F79BB" w:rsidRPr="005D4222" w:rsidRDefault="000F79BB">
            <w:pPr>
              <w:pStyle w:val="ECDSBody"/>
            </w:pPr>
            <w:r w:rsidRPr="005D4222">
              <w:rPr>
                <w:i/>
                <w:iCs/>
              </w:rPr>
              <w:t xml:space="preserve">Ages: </w:t>
            </w:r>
            <w:r w:rsidRPr="005D4222">
              <w:t>18 years of age and older as of the start of the measurement period.</w:t>
            </w:r>
          </w:p>
          <w:p w14:paraId="365BD84E" w14:textId="77777777" w:rsidR="000F79BB" w:rsidRPr="005D4222" w:rsidRDefault="000F79BB">
            <w:pPr>
              <w:pStyle w:val="ECDSBody"/>
              <w:rPr>
                <w:i/>
                <w:iCs/>
              </w:rPr>
            </w:pPr>
            <w:r w:rsidRPr="005D4222">
              <w:rPr>
                <w:i/>
                <w:iCs/>
              </w:rPr>
              <w:t xml:space="preserve">Event: </w:t>
            </w:r>
            <w:r w:rsidRPr="005D4222">
              <w:rPr>
                <w:b/>
              </w:rPr>
              <w:t xml:space="preserve">Persons </w:t>
            </w:r>
            <w:r w:rsidRPr="005D4222">
              <w:rPr>
                <w:b/>
                <w:bCs w:val="0"/>
              </w:rPr>
              <w:t>receiving prescription opioids for ≥15 days.</w:t>
            </w:r>
          </w:p>
          <w:p w14:paraId="7C85F7E8" w14:textId="77777777" w:rsidR="000F79BB" w:rsidRPr="005D4222" w:rsidRDefault="000F79BB">
            <w:pPr>
              <w:pStyle w:val="ECDSBody"/>
            </w:pPr>
            <w:r w:rsidRPr="005D4222">
              <w:t xml:space="preserve">Persons who meet </w:t>
            </w:r>
            <w:r w:rsidRPr="005D4222">
              <w:rPr>
                <w:i/>
                <w:iCs/>
              </w:rPr>
              <w:t>both</w:t>
            </w:r>
            <w:r w:rsidRPr="005D4222">
              <w:t xml:space="preserve"> of the following criteria during the measurement period:</w:t>
            </w:r>
          </w:p>
          <w:p w14:paraId="3A847BBD" w14:textId="77777777" w:rsidR="000F79BB" w:rsidRPr="005D4222" w:rsidRDefault="000F79BB" w:rsidP="000F79BB">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At least two or more opioid dispensing events (</w:t>
            </w:r>
            <w:r w:rsidRPr="005D4222">
              <w:rPr>
                <w:rFonts w:eastAsia="Arial,Arial,Arial,Arial,Arial,A"/>
                <w:u w:val="single"/>
              </w:rPr>
              <w:t>Opioid Medications List</w:t>
            </w:r>
            <w:r w:rsidRPr="005D4222">
              <w:rPr>
                <w:rFonts w:eastAsia="Arial,Arial,Arial,Arial,Arial,A"/>
              </w:rPr>
              <w:t>) on different dates of service.</w:t>
            </w:r>
          </w:p>
          <w:p w14:paraId="078BD044" w14:textId="77777777" w:rsidR="000F79BB" w:rsidRPr="005D4222" w:rsidRDefault="000F79BB" w:rsidP="000F79BB">
            <w:pPr>
              <w:pStyle w:val="Bullet"/>
              <w:numPr>
                <w:ilvl w:val="0"/>
                <w:numId w:val="4"/>
              </w:numPr>
              <w:tabs>
                <w:tab w:val="left" w:pos="360"/>
                <w:tab w:val="left" w:pos="576"/>
              </w:tabs>
              <w:spacing w:after="80"/>
              <w:ind w:left="576" w:hanging="216"/>
              <w:rPr>
                <w:rFonts w:eastAsia="Arial,Arial,Arial,Arial,Arial,A"/>
                <w:i/>
                <w:iCs/>
              </w:rPr>
            </w:pPr>
            <w:r w:rsidRPr="005D4222">
              <w:rPr>
                <w:rFonts w:eastAsia="Arial,Arial,Arial,Arial,Arial,A"/>
              </w:rPr>
              <w:t>≥15 total days covered by opioids.</w:t>
            </w:r>
          </w:p>
        </w:tc>
      </w:tr>
      <w:tr w:rsidR="000F79BB" w:rsidRPr="005D4222" w14:paraId="541CF68A" w14:textId="77777777">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AEF58C7" w14:textId="77777777" w:rsidR="000F79BB" w:rsidRPr="005D4222" w:rsidRDefault="000F79BB">
            <w:pPr>
              <w:pStyle w:val="ECDSMarginHead"/>
            </w:pPr>
            <w:r w:rsidRPr="005D4222">
              <w:t xml:space="preserve">Denominator exclusions </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B2D86B0" w14:textId="77777777" w:rsidR="000F79BB" w:rsidRPr="005D4222" w:rsidRDefault="000F79BB">
            <w:pPr>
              <w:pStyle w:val="ECDSBody"/>
              <w:rPr>
                <w:rStyle w:val="eop"/>
                <w:color w:val="000000"/>
                <w:shd w:val="clear" w:color="auto" w:fill="FFFFFF"/>
              </w:rPr>
            </w:pPr>
            <w:r w:rsidRPr="005D4222">
              <w:rPr>
                <w:rFonts w:eastAsia="Arial,Arial,Arial,Arial,Arial,A"/>
                <w:b/>
              </w:rPr>
              <w:t>Persons with a date of death.</w:t>
            </w:r>
            <w:r w:rsidRPr="005D4222">
              <w:rPr>
                <w:rFonts w:eastAsia="Arial,Arial,Arial,Arial,Arial,A"/>
                <w:b/>
              </w:rPr>
              <w:br/>
            </w:r>
            <w:r w:rsidRPr="005D4222">
              <w:rPr>
                <w:shd w:val="clear" w:color="auto" w:fill="FFFFFF"/>
              </w:rPr>
              <w:t>Death in the measurement period, identified using data sources determined by the organization. Method and data sources are subject to review during the HEDIS audit.</w:t>
            </w:r>
            <w:r w:rsidRPr="005D4222">
              <w:rPr>
                <w:rStyle w:val="eop"/>
                <w:color w:val="000000"/>
                <w:shd w:val="clear" w:color="auto" w:fill="FFFFFF"/>
              </w:rPr>
              <w:t> </w:t>
            </w:r>
          </w:p>
          <w:p w14:paraId="5C94D0D9" w14:textId="77777777" w:rsidR="000F79BB" w:rsidRPr="005D4222" w:rsidRDefault="000F79BB">
            <w:pPr>
              <w:pStyle w:val="ECDSBody"/>
            </w:pPr>
            <w:r w:rsidRPr="005D4222" w:rsidDel="00A91419">
              <w:rPr>
                <w:rFonts w:eastAsia="Arial,Arial,Arial,Arial,Arial,A"/>
                <w:b/>
              </w:rPr>
              <w:t xml:space="preserve">Persons </w:t>
            </w:r>
            <w:r w:rsidRPr="005D4222">
              <w:rPr>
                <w:rFonts w:eastAsia="Arial,Arial,Arial,Arial,Arial,A"/>
                <w:b/>
              </w:rPr>
              <w:t>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0F79BB" w:rsidRPr="005D4222" w14:paraId="37452A67"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62AE093" w14:textId="77777777" w:rsidR="000F79BB" w:rsidRPr="005D4222" w:rsidRDefault="000F79BB">
            <w:pPr>
              <w:pStyle w:val="ECDSMarginHead"/>
            </w:pPr>
            <w:r w:rsidRPr="005D4222">
              <w:lastRenderedPageBreak/>
              <w:t xml:space="preserve">Denominator </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5F65C70" w14:textId="77777777" w:rsidR="000F79BB" w:rsidRPr="005D4222" w:rsidRDefault="000F79BB">
            <w:pPr>
              <w:pStyle w:val="ECDSBody"/>
              <w:rPr>
                <w:b/>
                <w:i/>
                <w:iCs/>
              </w:rPr>
            </w:pPr>
            <w:r w:rsidRPr="005D4222">
              <w:rPr>
                <w:rFonts w:eastAsia="Arial,Arial,Arial,Arial,Arial,A"/>
              </w:rPr>
              <w:t>The initial population minus denominator exclusions.</w:t>
            </w:r>
          </w:p>
        </w:tc>
      </w:tr>
      <w:tr w:rsidR="000F79BB" w:rsidRPr="005D4222" w14:paraId="69BACACE"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60987BD" w14:textId="77777777" w:rsidR="000F79BB" w:rsidRPr="005D4222" w:rsidRDefault="000F79BB">
            <w:pPr>
              <w:pStyle w:val="ECDSMarginHead"/>
            </w:pPr>
            <w:r w:rsidRPr="005D4222">
              <w:t xml:space="preserve">Numerator </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6A9511F" w14:textId="77777777" w:rsidR="000F79BB" w:rsidRPr="005D4222" w:rsidRDefault="000F79BB">
            <w:pPr>
              <w:pStyle w:val="ECDSBody"/>
              <w:rPr>
                <w:rFonts w:eastAsia="Arial,Times New Roman"/>
              </w:rPr>
            </w:pPr>
            <w:r w:rsidRPr="005D4222">
              <w:rPr>
                <w:rFonts w:eastAsia="Arial,Times New Roman"/>
                <w:b/>
                <w:bCs w:val="0"/>
              </w:rPr>
              <w:t>Numerator 1: Multiple prescribers.</w:t>
            </w:r>
            <w:r w:rsidRPr="005D4222">
              <w:rPr>
                <w:rFonts w:eastAsia="Arial,Times New Roman"/>
                <w:b/>
                <w:bCs w:val="0"/>
              </w:rPr>
              <w:br/>
            </w:r>
            <w:r w:rsidRPr="005D4222">
              <w:rPr>
                <w:rFonts w:eastAsia="Arial,Times New Roman"/>
              </w:rPr>
              <w:t>Identify all opioid medication dispensing events during the measurement period. Include persons who received opioids from four or more different prescribers during the measurement period. Use the NPI to determine if the prescriber for medication dispensing events was the same or different.</w:t>
            </w:r>
          </w:p>
          <w:p w14:paraId="089A0F05" w14:textId="77777777" w:rsidR="000F79BB" w:rsidRPr="005D4222" w:rsidRDefault="000F79BB">
            <w:pPr>
              <w:pStyle w:val="ECDSBody"/>
              <w:rPr>
                <w:rFonts w:eastAsia="Arial,Times New Roman"/>
              </w:rPr>
            </w:pPr>
            <w:r w:rsidRPr="005D4222">
              <w:rPr>
                <w:rFonts w:eastAsia="Arial,Times New Roman"/>
                <w:b/>
                <w:bCs w:val="0"/>
              </w:rPr>
              <w:t>Numerator 2: Multiple pharmacies.</w:t>
            </w:r>
            <w:r w:rsidRPr="005D4222">
              <w:rPr>
                <w:rFonts w:eastAsia="Arial,Times New Roman"/>
                <w:b/>
                <w:bCs w:val="0"/>
              </w:rPr>
              <w:br/>
            </w:r>
            <w:r w:rsidRPr="005D4222">
              <w:rPr>
                <w:rFonts w:eastAsia="Arial,Times New Roman"/>
              </w:rPr>
              <w:t>Identify all opioid medication dispensing events during the measurement period. Include persons who received opioids from four or more different pharmacies during the measurement period. Use the NPI to determine if the pharmacy for medication dispensing events was the same or different.</w:t>
            </w:r>
          </w:p>
          <w:p w14:paraId="193EF6DB" w14:textId="77777777" w:rsidR="000F79BB" w:rsidRPr="005D4222" w:rsidRDefault="000F79BB">
            <w:pPr>
              <w:pStyle w:val="ECDSBody"/>
              <w:rPr>
                <w:rFonts w:eastAsia="Arial,Times New Roman"/>
              </w:rPr>
            </w:pPr>
            <w:r w:rsidRPr="005D4222">
              <w:rPr>
                <w:rFonts w:eastAsia="Arial,Times New Roman"/>
                <w:b/>
                <w:bCs w:val="0"/>
              </w:rPr>
              <w:t>Numerator 3: Multiple prescribers and multiple pharmacies.</w:t>
            </w:r>
            <w:r w:rsidRPr="005D4222">
              <w:rPr>
                <w:rFonts w:eastAsia="Arial,Times New Roman"/>
                <w:b/>
                <w:bCs w:val="0"/>
              </w:rPr>
              <w:br/>
            </w:r>
            <w:r w:rsidRPr="005D4222">
              <w:rPr>
                <w:rFonts w:eastAsia="Arial,Times New Roman"/>
              </w:rPr>
              <w:t>Identify all opioid medication dispensing events during the measurement period. Include persons who received opioids from four or more different prescribers and four or more different pharmacies during the measurement period (i.e., persons who are numerator compliant for both the Multiple prescribers and Multiple pharmacies rates).</w:t>
            </w:r>
          </w:p>
          <w:p w14:paraId="1F90E057" w14:textId="77777777" w:rsidR="000F79BB" w:rsidRPr="005D4222" w:rsidDel="00A72260" w:rsidRDefault="000F79BB">
            <w:pPr>
              <w:pStyle w:val="Heading3"/>
              <w:spacing w:before="120"/>
              <w:rPr>
                <w:i w:val="0"/>
                <w:iCs/>
                <w:szCs w:val="18"/>
              </w:rPr>
            </w:pPr>
            <w:r w:rsidRPr="005D4222">
              <w:rPr>
                <w:iCs/>
                <w:szCs w:val="18"/>
              </w:rPr>
              <w:t>Opioid Medications</w:t>
            </w:r>
          </w:p>
          <w:tbl>
            <w:tblPr>
              <w:tblStyle w:val="TableGrid"/>
              <w:tblW w:w="4820" w:type="pct"/>
              <w:tblLook w:val="04A0" w:firstRow="1" w:lastRow="0" w:firstColumn="1" w:lastColumn="0" w:noHBand="0" w:noVBand="1"/>
            </w:tblPr>
            <w:tblGrid>
              <w:gridCol w:w="7110"/>
            </w:tblGrid>
            <w:tr w:rsidR="000F79BB" w:rsidRPr="005D4222" w14:paraId="25048FE1" w14:textId="77777777">
              <w:trPr>
                <w:tblHeader/>
              </w:trPr>
              <w:tc>
                <w:tcPr>
                  <w:tcW w:w="7109" w:type="dxa"/>
                  <w:tcBorders>
                    <w:left w:val="single" w:sz="4" w:space="0" w:color="auto"/>
                    <w:bottom w:val="single" w:sz="4" w:space="0" w:color="auto"/>
                  </w:tcBorders>
                  <w:shd w:val="clear" w:color="auto" w:fill="000000" w:themeFill="text1"/>
                </w:tcPr>
                <w:p w14:paraId="13FB269A" w14:textId="77777777" w:rsidR="000F79BB" w:rsidRPr="005D4222" w:rsidRDefault="000F79BB">
                  <w:pPr>
                    <w:pStyle w:val="TableHead"/>
                    <w:rPr>
                      <w:rFonts w:eastAsia="Arial Narrow,Times New Roman"/>
                    </w:rPr>
                  </w:pPr>
                  <w:r w:rsidRPr="005D4222">
                    <w:rPr>
                      <w:rFonts w:eastAsia="Arial Narrow,Times New Roman"/>
                    </w:rPr>
                    <w:t>Medication Lists</w:t>
                  </w:r>
                </w:p>
              </w:tc>
            </w:tr>
            <w:tr w:rsidR="000F79BB" w:rsidRPr="005D4222" w14:paraId="7FF7FEC2" w14:textId="77777777">
              <w:tc>
                <w:tcPr>
                  <w:tcW w:w="7109" w:type="dxa"/>
                  <w:tcBorders>
                    <w:bottom w:val="single" w:sz="12" w:space="0" w:color="auto"/>
                  </w:tcBorders>
                  <w:shd w:val="clear" w:color="auto" w:fill="FFFFFF" w:themeFill="background1"/>
                </w:tcPr>
                <w:p w14:paraId="3B106B7A" w14:textId="77777777" w:rsidR="000F79BB" w:rsidRPr="005D4222" w:rsidRDefault="000F79BB">
                  <w:pPr>
                    <w:pStyle w:val="TableText"/>
                    <w:rPr>
                      <w:u w:val="single"/>
                    </w:rPr>
                  </w:pPr>
                  <w:r w:rsidRPr="005D4222">
                    <w:rPr>
                      <w:u w:val="single"/>
                    </w:rPr>
                    <w:t>Acetaminophen Benzhydrocodone Medications List</w:t>
                  </w:r>
                </w:p>
              </w:tc>
            </w:tr>
            <w:tr w:rsidR="000F79BB" w:rsidRPr="005D4222" w14:paraId="4A327EB7" w14:textId="77777777">
              <w:tc>
                <w:tcPr>
                  <w:tcW w:w="7109" w:type="dxa"/>
                  <w:tcBorders>
                    <w:bottom w:val="single" w:sz="12" w:space="0" w:color="auto"/>
                  </w:tcBorders>
                  <w:shd w:val="clear" w:color="auto" w:fill="FFFFFF" w:themeFill="background1"/>
                </w:tcPr>
                <w:p w14:paraId="67F557B4" w14:textId="77777777" w:rsidR="000F79BB" w:rsidRPr="005D4222" w:rsidRDefault="000F79BB">
                  <w:pPr>
                    <w:pStyle w:val="TableText"/>
                    <w:rPr>
                      <w:rFonts w:eastAsia="Arial Narrow,Times New Roman"/>
                      <w:u w:val="single"/>
                    </w:rPr>
                  </w:pPr>
                  <w:r w:rsidRPr="005D4222">
                    <w:rPr>
                      <w:u w:val="single"/>
                    </w:rPr>
                    <w:t>Buprenorphine Medications List</w:t>
                  </w:r>
                </w:p>
              </w:tc>
            </w:tr>
            <w:tr w:rsidR="000F79BB" w:rsidRPr="005D4222" w14:paraId="7C56A824" w14:textId="77777777">
              <w:tc>
                <w:tcPr>
                  <w:tcW w:w="7109" w:type="dxa"/>
                  <w:tcBorders>
                    <w:top w:val="single" w:sz="12" w:space="0" w:color="auto"/>
                    <w:bottom w:val="single" w:sz="12" w:space="0" w:color="auto"/>
                  </w:tcBorders>
                  <w:shd w:val="clear" w:color="auto" w:fill="FFFFFF" w:themeFill="background1"/>
                </w:tcPr>
                <w:p w14:paraId="0E3402A8" w14:textId="77777777" w:rsidR="000F79BB" w:rsidRPr="005D4222" w:rsidRDefault="000F79BB">
                  <w:pPr>
                    <w:pStyle w:val="TableText"/>
                    <w:rPr>
                      <w:u w:val="single"/>
                    </w:rPr>
                  </w:pPr>
                  <w:r w:rsidRPr="005D4222">
                    <w:rPr>
                      <w:u w:val="single"/>
                    </w:rPr>
                    <w:t>Butorphanol Medications List</w:t>
                  </w:r>
                </w:p>
              </w:tc>
            </w:tr>
            <w:tr w:rsidR="000F79BB" w:rsidRPr="005D4222" w14:paraId="0C1C5B0E" w14:textId="77777777">
              <w:tc>
                <w:tcPr>
                  <w:tcW w:w="7109" w:type="dxa"/>
                  <w:tcBorders>
                    <w:top w:val="single" w:sz="12" w:space="0" w:color="auto"/>
                    <w:bottom w:val="single" w:sz="12" w:space="0" w:color="auto"/>
                  </w:tcBorders>
                  <w:shd w:val="clear" w:color="auto" w:fill="FFFFFF" w:themeFill="background1"/>
                </w:tcPr>
                <w:p w14:paraId="237D675D" w14:textId="77777777" w:rsidR="000F79BB" w:rsidRPr="00C53E84" w:rsidRDefault="000F79BB">
                  <w:pPr>
                    <w:pStyle w:val="TableText"/>
                    <w:rPr>
                      <w:u w:val="single"/>
                      <w:lang w:val="fr-FR"/>
                    </w:rPr>
                  </w:pPr>
                  <w:r w:rsidRPr="00C53E84">
                    <w:rPr>
                      <w:rFonts w:eastAsia="Arial Narrow,Times New Roman"/>
                      <w:u w:val="single"/>
                      <w:lang w:val="fr-FR"/>
                    </w:rPr>
                    <w:t>Acetaminophen Butalbital Caffeine Codeine</w:t>
                  </w:r>
                  <w:r w:rsidRPr="00C53E84">
                    <w:rPr>
                      <w:u w:val="single"/>
                      <w:lang w:val="fr-FR"/>
                    </w:rPr>
                    <w:t xml:space="preserve"> Medications List</w:t>
                  </w:r>
                </w:p>
                <w:p w14:paraId="1CF31F0C" w14:textId="77777777" w:rsidR="000F79BB" w:rsidRPr="00C53E84" w:rsidRDefault="000F79BB">
                  <w:pPr>
                    <w:pStyle w:val="TableText"/>
                    <w:rPr>
                      <w:rFonts w:eastAsia="Arial Narrow,Times New Roman"/>
                      <w:u w:val="single"/>
                      <w:lang w:val="fr-FR"/>
                    </w:rPr>
                  </w:pPr>
                  <w:r w:rsidRPr="00C53E84">
                    <w:rPr>
                      <w:rFonts w:eastAsia="Arial Narrow,Times New Roman"/>
                      <w:u w:val="single"/>
                      <w:lang w:val="fr-FR"/>
                    </w:rPr>
                    <w:t>Acetaminophen Codeine</w:t>
                  </w:r>
                  <w:r w:rsidRPr="00C53E84">
                    <w:rPr>
                      <w:u w:val="single"/>
                      <w:lang w:val="fr-FR"/>
                    </w:rPr>
                    <w:t xml:space="preserve"> Medications List</w:t>
                  </w:r>
                </w:p>
                <w:p w14:paraId="35FAD50B" w14:textId="77777777" w:rsidR="000F79BB" w:rsidRPr="00C53E84" w:rsidRDefault="000F79BB">
                  <w:pPr>
                    <w:pStyle w:val="TableText"/>
                    <w:rPr>
                      <w:u w:val="single"/>
                      <w:lang w:val="fr-FR"/>
                    </w:rPr>
                  </w:pPr>
                  <w:r w:rsidRPr="00C53E84">
                    <w:rPr>
                      <w:rFonts w:eastAsia="Arial Narrow,Times New Roman"/>
                      <w:u w:val="single"/>
                      <w:lang w:val="fr-FR"/>
                    </w:rPr>
                    <w:t>Aspirin Butalbital Caffeine Codeine</w:t>
                  </w:r>
                  <w:r w:rsidRPr="00C53E84">
                    <w:rPr>
                      <w:u w:val="single"/>
                      <w:lang w:val="fr-FR"/>
                    </w:rPr>
                    <w:t xml:space="preserve"> Medications List</w:t>
                  </w:r>
                </w:p>
                <w:p w14:paraId="72CBDDFC" w14:textId="77777777" w:rsidR="000F79BB" w:rsidRPr="00C53E84" w:rsidRDefault="000F79BB">
                  <w:pPr>
                    <w:pStyle w:val="TableText"/>
                    <w:rPr>
                      <w:rFonts w:eastAsia="Arial Narrow,Times New Roman"/>
                      <w:u w:val="single"/>
                      <w:lang w:val="fr-FR"/>
                    </w:rPr>
                  </w:pPr>
                  <w:r w:rsidRPr="00C53E84">
                    <w:rPr>
                      <w:rFonts w:eastAsia="Arial Narrow,Times New Roman"/>
                      <w:u w:val="single"/>
                      <w:lang w:val="fr-FR"/>
                    </w:rPr>
                    <w:t>Aspirin Carisoprodol Codeine</w:t>
                  </w:r>
                  <w:r w:rsidRPr="00C53E84">
                    <w:rPr>
                      <w:u w:val="single"/>
                      <w:lang w:val="fr-FR"/>
                    </w:rPr>
                    <w:t xml:space="preserve"> Medications List</w:t>
                  </w:r>
                </w:p>
                <w:p w14:paraId="12100855" w14:textId="77777777" w:rsidR="000F79BB" w:rsidRPr="00C53E84" w:rsidRDefault="000F79BB">
                  <w:pPr>
                    <w:pStyle w:val="TableText"/>
                    <w:rPr>
                      <w:rFonts w:eastAsia="Arial Narrow,Times New Roman"/>
                      <w:u w:val="single"/>
                      <w:lang w:val="fr-FR"/>
                    </w:rPr>
                  </w:pPr>
                  <w:r w:rsidRPr="00C53E84">
                    <w:rPr>
                      <w:u w:val="single"/>
                      <w:lang w:val="fr-FR"/>
                    </w:rPr>
                    <w:t>Codeine Sulfate Medications List</w:t>
                  </w:r>
                </w:p>
              </w:tc>
            </w:tr>
            <w:tr w:rsidR="000F79BB" w:rsidRPr="005D4222" w14:paraId="7A1CFF62" w14:textId="77777777">
              <w:tc>
                <w:tcPr>
                  <w:tcW w:w="7109" w:type="dxa"/>
                  <w:tcBorders>
                    <w:top w:val="single" w:sz="12" w:space="0" w:color="auto"/>
                    <w:bottom w:val="single" w:sz="4" w:space="0" w:color="auto"/>
                  </w:tcBorders>
                </w:tcPr>
                <w:p w14:paraId="36DDE813" w14:textId="77777777" w:rsidR="000F79BB" w:rsidRPr="00C53E84" w:rsidRDefault="000F79BB">
                  <w:pPr>
                    <w:pStyle w:val="TableText"/>
                    <w:rPr>
                      <w:rFonts w:eastAsia="Arial Narrow,Times New Roman"/>
                      <w:u w:val="single"/>
                      <w:lang w:val="fr-FR"/>
                    </w:rPr>
                  </w:pPr>
                  <w:r w:rsidRPr="00C53E84">
                    <w:rPr>
                      <w:rFonts w:eastAsia="Arial Narrow,Times New Roman"/>
                      <w:u w:val="single"/>
                      <w:lang w:val="fr-FR"/>
                    </w:rPr>
                    <w:t>Acetaminophen Caffeine Dihydrocodeine</w:t>
                  </w:r>
                  <w:r w:rsidRPr="00C53E84">
                    <w:rPr>
                      <w:u w:val="single"/>
                      <w:lang w:val="fr-FR"/>
                    </w:rPr>
                    <w:t xml:space="preserve"> Medications List</w:t>
                  </w:r>
                </w:p>
              </w:tc>
            </w:tr>
            <w:tr w:rsidR="000F79BB" w:rsidRPr="005D4222" w14:paraId="1A835747" w14:textId="77777777">
              <w:tc>
                <w:tcPr>
                  <w:tcW w:w="7109" w:type="dxa"/>
                  <w:tcBorders>
                    <w:top w:val="single" w:sz="4" w:space="0" w:color="auto"/>
                    <w:bottom w:val="single" w:sz="12" w:space="0" w:color="auto"/>
                  </w:tcBorders>
                </w:tcPr>
                <w:p w14:paraId="457E54AD" w14:textId="77777777" w:rsidR="000F79BB" w:rsidRPr="005D4222" w:rsidRDefault="000F79BB">
                  <w:pPr>
                    <w:pStyle w:val="TableText"/>
                    <w:rPr>
                      <w:u w:val="single"/>
                    </w:rPr>
                  </w:pPr>
                  <w:r w:rsidRPr="005D4222">
                    <w:rPr>
                      <w:u w:val="single"/>
                    </w:rPr>
                    <w:t>Fentanyl Medications List</w:t>
                  </w:r>
                </w:p>
              </w:tc>
            </w:tr>
            <w:tr w:rsidR="000F79BB" w:rsidRPr="005D4222" w14:paraId="201E6E61" w14:textId="77777777">
              <w:tc>
                <w:tcPr>
                  <w:tcW w:w="7109" w:type="dxa"/>
                  <w:tcBorders>
                    <w:top w:val="single" w:sz="12" w:space="0" w:color="auto"/>
                    <w:bottom w:val="single" w:sz="12" w:space="0" w:color="auto"/>
                  </w:tcBorders>
                  <w:shd w:val="clear" w:color="auto" w:fill="FFFFFF" w:themeFill="background1"/>
                </w:tcPr>
                <w:p w14:paraId="3BB7FDE2" w14:textId="77777777" w:rsidR="000F79BB" w:rsidRPr="005D4222" w:rsidRDefault="000F79BB">
                  <w:pPr>
                    <w:pStyle w:val="TableText"/>
                    <w:rPr>
                      <w:rFonts w:eastAsia="Arial Narrow,Times New Roman"/>
                      <w:u w:val="single"/>
                    </w:rPr>
                  </w:pPr>
                  <w:r w:rsidRPr="005D4222">
                    <w:rPr>
                      <w:rFonts w:eastAsia="Arial Narrow,Times New Roman"/>
                      <w:u w:val="single"/>
                    </w:rPr>
                    <w:t>Acetaminophen Hydrocodone</w:t>
                  </w:r>
                  <w:r w:rsidRPr="005D4222">
                    <w:rPr>
                      <w:u w:val="single"/>
                    </w:rPr>
                    <w:t xml:space="preserve"> Medications List</w:t>
                  </w:r>
                </w:p>
                <w:p w14:paraId="1C939EB2" w14:textId="77777777" w:rsidR="000F79BB" w:rsidRPr="005D4222" w:rsidRDefault="000F79BB">
                  <w:pPr>
                    <w:pStyle w:val="TableText"/>
                    <w:rPr>
                      <w:rFonts w:eastAsia="Arial Narrow,Times New Roman"/>
                      <w:u w:val="single"/>
                    </w:rPr>
                  </w:pPr>
                  <w:r w:rsidRPr="005D4222">
                    <w:rPr>
                      <w:u w:val="single"/>
                    </w:rPr>
                    <w:t>Hydrocodone Medications List</w:t>
                  </w:r>
                </w:p>
                <w:p w14:paraId="663BD31A" w14:textId="77777777" w:rsidR="000F79BB" w:rsidRPr="005D4222" w:rsidRDefault="000F79BB">
                  <w:pPr>
                    <w:pStyle w:val="TableText"/>
                    <w:rPr>
                      <w:rFonts w:eastAsia="Arial Narrow,Times New Roman"/>
                      <w:u w:val="single"/>
                    </w:rPr>
                  </w:pPr>
                  <w:r w:rsidRPr="005D4222">
                    <w:rPr>
                      <w:u w:val="single"/>
                    </w:rPr>
                    <w:t>Hydrocodone Ibuprofen Medications List</w:t>
                  </w:r>
                </w:p>
              </w:tc>
            </w:tr>
            <w:tr w:rsidR="000F79BB" w:rsidRPr="005D4222" w14:paraId="42626D62" w14:textId="77777777">
              <w:tc>
                <w:tcPr>
                  <w:tcW w:w="7109" w:type="dxa"/>
                  <w:tcBorders>
                    <w:top w:val="single" w:sz="12" w:space="0" w:color="auto"/>
                    <w:bottom w:val="single" w:sz="12" w:space="0" w:color="auto"/>
                  </w:tcBorders>
                  <w:shd w:val="clear" w:color="auto" w:fill="FFFFFF" w:themeFill="background1"/>
                </w:tcPr>
                <w:p w14:paraId="4A7D4239" w14:textId="77777777" w:rsidR="000F79BB" w:rsidRPr="005D4222" w:rsidRDefault="000F79BB">
                  <w:pPr>
                    <w:pStyle w:val="TableText"/>
                    <w:rPr>
                      <w:u w:val="single"/>
                    </w:rPr>
                  </w:pPr>
                  <w:r w:rsidRPr="005D4222">
                    <w:rPr>
                      <w:u w:val="single"/>
                    </w:rPr>
                    <w:t>Hydromorphone Medications List</w:t>
                  </w:r>
                </w:p>
              </w:tc>
            </w:tr>
            <w:tr w:rsidR="000F79BB" w:rsidRPr="005D4222" w14:paraId="25C80B26" w14:textId="77777777">
              <w:tc>
                <w:tcPr>
                  <w:tcW w:w="7109" w:type="dxa"/>
                  <w:tcBorders>
                    <w:top w:val="single" w:sz="12" w:space="0" w:color="auto"/>
                    <w:bottom w:val="single" w:sz="12" w:space="0" w:color="auto"/>
                  </w:tcBorders>
                  <w:shd w:val="clear" w:color="auto" w:fill="FFFFFF" w:themeFill="background1"/>
                </w:tcPr>
                <w:p w14:paraId="550B18EC" w14:textId="77777777" w:rsidR="000F79BB" w:rsidRPr="005D4222" w:rsidRDefault="000F79BB">
                  <w:pPr>
                    <w:pStyle w:val="TableText"/>
                    <w:rPr>
                      <w:u w:val="single"/>
                    </w:rPr>
                  </w:pPr>
                  <w:r w:rsidRPr="005D4222">
                    <w:rPr>
                      <w:u w:val="single"/>
                    </w:rPr>
                    <w:t>Levorphanol Medications List</w:t>
                  </w:r>
                </w:p>
              </w:tc>
            </w:tr>
            <w:tr w:rsidR="000F79BB" w:rsidRPr="005D4222" w14:paraId="3E94660E" w14:textId="77777777">
              <w:tc>
                <w:tcPr>
                  <w:tcW w:w="7109" w:type="dxa"/>
                  <w:tcBorders>
                    <w:top w:val="single" w:sz="12" w:space="0" w:color="auto"/>
                    <w:bottom w:val="single" w:sz="12" w:space="0" w:color="auto"/>
                  </w:tcBorders>
                  <w:shd w:val="clear" w:color="auto" w:fill="FFFFFF" w:themeFill="background1"/>
                </w:tcPr>
                <w:p w14:paraId="06607C7C" w14:textId="77777777" w:rsidR="000F79BB" w:rsidRPr="005D4222" w:rsidRDefault="000F79BB">
                  <w:pPr>
                    <w:pStyle w:val="TableText"/>
                    <w:rPr>
                      <w:u w:val="single"/>
                    </w:rPr>
                  </w:pPr>
                  <w:r w:rsidRPr="005D4222">
                    <w:rPr>
                      <w:u w:val="single"/>
                    </w:rPr>
                    <w:t>Meperidine Medications List</w:t>
                  </w:r>
                </w:p>
              </w:tc>
            </w:tr>
            <w:tr w:rsidR="000F79BB" w:rsidRPr="005D4222" w14:paraId="7508A27F" w14:textId="77777777">
              <w:tc>
                <w:tcPr>
                  <w:tcW w:w="7109" w:type="dxa"/>
                  <w:tcBorders>
                    <w:top w:val="single" w:sz="12" w:space="0" w:color="auto"/>
                    <w:bottom w:val="single" w:sz="12" w:space="0" w:color="auto"/>
                  </w:tcBorders>
                  <w:shd w:val="clear" w:color="auto" w:fill="FFFFFF" w:themeFill="background1"/>
                </w:tcPr>
                <w:p w14:paraId="5E1C0C16" w14:textId="77777777" w:rsidR="000F79BB" w:rsidRPr="005D4222" w:rsidRDefault="000F79BB">
                  <w:pPr>
                    <w:pStyle w:val="TableText"/>
                    <w:rPr>
                      <w:u w:val="single"/>
                    </w:rPr>
                  </w:pPr>
                  <w:r w:rsidRPr="005D4222">
                    <w:rPr>
                      <w:u w:val="single"/>
                    </w:rPr>
                    <w:t>Methadone Medications List</w:t>
                  </w:r>
                </w:p>
              </w:tc>
            </w:tr>
            <w:tr w:rsidR="000F79BB" w:rsidRPr="005D4222" w14:paraId="58341697" w14:textId="77777777">
              <w:tc>
                <w:tcPr>
                  <w:tcW w:w="7109" w:type="dxa"/>
                  <w:tcBorders>
                    <w:top w:val="single" w:sz="12" w:space="0" w:color="auto"/>
                    <w:bottom w:val="single" w:sz="12" w:space="0" w:color="auto"/>
                  </w:tcBorders>
                  <w:shd w:val="clear" w:color="auto" w:fill="FFFFFF" w:themeFill="background1"/>
                </w:tcPr>
                <w:p w14:paraId="674EE1AA" w14:textId="77777777" w:rsidR="000F79BB" w:rsidRPr="005D4222" w:rsidRDefault="000F79BB">
                  <w:pPr>
                    <w:pStyle w:val="TableText"/>
                    <w:rPr>
                      <w:rFonts w:eastAsia="Arial Narrow,Times New Roman"/>
                      <w:u w:val="single"/>
                    </w:rPr>
                  </w:pPr>
                  <w:r w:rsidRPr="005D4222">
                    <w:rPr>
                      <w:u w:val="single"/>
                    </w:rPr>
                    <w:t>Morphine Medications List</w:t>
                  </w:r>
                </w:p>
              </w:tc>
            </w:tr>
            <w:tr w:rsidR="000F79BB" w:rsidRPr="005D4222" w14:paraId="02B2972B" w14:textId="77777777">
              <w:tc>
                <w:tcPr>
                  <w:tcW w:w="7109" w:type="dxa"/>
                  <w:tcBorders>
                    <w:top w:val="single" w:sz="12" w:space="0" w:color="auto"/>
                    <w:bottom w:val="single" w:sz="4" w:space="0" w:color="auto"/>
                  </w:tcBorders>
                  <w:shd w:val="clear" w:color="auto" w:fill="FFFFFF" w:themeFill="background1"/>
                </w:tcPr>
                <w:p w14:paraId="615384E8" w14:textId="77777777" w:rsidR="000F79BB" w:rsidRPr="005D4222" w:rsidRDefault="000F79BB">
                  <w:pPr>
                    <w:pStyle w:val="TableText"/>
                    <w:rPr>
                      <w:rFonts w:eastAsia="Arial Narrow,Times New Roman"/>
                      <w:u w:val="single"/>
                    </w:rPr>
                  </w:pPr>
                  <w:r w:rsidRPr="005D4222">
                    <w:rPr>
                      <w:u w:val="single"/>
                    </w:rPr>
                    <w:t>Belladonna Opium Medications List</w:t>
                  </w:r>
                </w:p>
                <w:p w14:paraId="5C1EA141" w14:textId="77777777" w:rsidR="000F79BB" w:rsidRPr="005D4222" w:rsidRDefault="000F79BB">
                  <w:pPr>
                    <w:pStyle w:val="TableText"/>
                    <w:rPr>
                      <w:u w:val="single"/>
                    </w:rPr>
                  </w:pPr>
                  <w:r w:rsidRPr="005D4222">
                    <w:rPr>
                      <w:u w:val="single"/>
                    </w:rPr>
                    <w:t>Opium Medications List</w:t>
                  </w:r>
                </w:p>
                <w:p w14:paraId="1E1D26D0" w14:textId="77777777" w:rsidR="000F79BB" w:rsidRPr="005D4222" w:rsidRDefault="000F79BB">
                  <w:pPr>
                    <w:pStyle w:val="TableText"/>
                    <w:rPr>
                      <w:rFonts w:eastAsia="Arial Narrow,Times New Roman"/>
                      <w:u w:val="single"/>
                    </w:rPr>
                  </w:pPr>
                  <w:r w:rsidRPr="005D4222">
                    <w:rPr>
                      <w:rFonts w:eastAsia="Arial Narrow,Times New Roman"/>
                      <w:u w:val="single"/>
                    </w:rPr>
                    <w:t>Acetaminophen Oxycodone</w:t>
                  </w:r>
                  <w:r w:rsidRPr="005D4222">
                    <w:rPr>
                      <w:u w:val="single"/>
                    </w:rPr>
                    <w:t xml:space="preserve"> Medications List</w:t>
                  </w:r>
                </w:p>
                <w:p w14:paraId="5F66B820" w14:textId="77777777" w:rsidR="000F79BB" w:rsidRPr="005D4222" w:rsidRDefault="000F79BB">
                  <w:pPr>
                    <w:pStyle w:val="TableText"/>
                    <w:rPr>
                      <w:u w:val="single"/>
                    </w:rPr>
                  </w:pPr>
                  <w:r w:rsidRPr="005D4222">
                    <w:rPr>
                      <w:u w:val="single"/>
                    </w:rPr>
                    <w:t>Aspirin Oxycodone Medications List</w:t>
                  </w:r>
                </w:p>
              </w:tc>
            </w:tr>
          </w:tbl>
          <w:p w14:paraId="185E038C" w14:textId="77777777" w:rsidR="000F79BB" w:rsidRPr="005D4222" w:rsidRDefault="000F79BB">
            <w:pPr>
              <w:pStyle w:val="ProcessDash"/>
              <w:numPr>
                <w:ilvl w:val="0"/>
                <w:numId w:val="0"/>
              </w:numPr>
              <w:spacing w:after="120"/>
              <w:rPr>
                <w:rFonts w:eastAsia="Arial,Arial,Arial,Arial,Arial,A"/>
                <w:b/>
                <w:bCs/>
                <w:iCs/>
              </w:rPr>
            </w:pPr>
          </w:p>
        </w:tc>
      </w:tr>
      <w:tr w:rsidR="000F79BB" w:rsidRPr="005D4222" w14:paraId="3CAA26AC"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E03337A" w14:textId="77777777" w:rsidR="000F79BB" w:rsidRPr="005D4222" w:rsidRDefault="000F79BB">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BDAA5B7" w14:textId="77777777" w:rsidR="000F79BB" w:rsidRPr="005D4222" w:rsidRDefault="000F79BB">
            <w:pPr>
              <w:rPr>
                <w:sz w:val="10"/>
                <w:szCs w:val="10"/>
              </w:rPr>
            </w:pPr>
          </w:p>
          <w:tbl>
            <w:tblPr>
              <w:tblStyle w:val="TableGrid"/>
              <w:tblW w:w="5000" w:type="pct"/>
              <w:tblLook w:val="04A0" w:firstRow="1" w:lastRow="0" w:firstColumn="1" w:lastColumn="0" w:noHBand="0" w:noVBand="1"/>
            </w:tblPr>
            <w:tblGrid>
              <w:gridCol w:w="7375"/>
            </w:tblGrid>
            <w:tr w:rsidR="000F79BB" w:rsidRPr="005D4222" w14:paraId="55569C18" w14:textId="77777777">
              <w:trPr>
                <w:tblHeader/>
              </w:trPr>
              <w:tc>
                <w:tcPr>
                  <w:tcW w:w="7375" w:type="dxa"/>
                  <w:tcBorders>
                    <w:left w:val="single" w:sz="4" w:space="0" w:color="auto"/>
                    <w:bottom w:val="single" w:sz="4" w:space="0" w:color="auto"/>
                  </w:tcBorders>
                  <w:shd w:val="clear" w:color="auto" w:fill="000000" w:themeFill="text1"/>
                </w:tcPr>
                <w:p w14:paraId="2E142184" w14:textId="77777777" w:rsidR="000F79BB" w:rsidRPr="005D4222" w:rsidRDefault="000F79BB">
                  <w:pPr>
                    <w:pStyle w:val="TableHead"/>
                    <w:rPr>
                      <w:rFonts w:eastAsia="Arial Narrow,Times New Roman"/>
                    </w:rPr>
                  </w:pPr>
                  <w:r w:rsidRPr="005D4222">
                    <w:rPr>
                      <w:rFonts w:eastAsia="Arial Narrow,Times New Roman"/>
                    </w:rPr>
                    <w:t>Medication Lists</w:t>
                  </w:r>
                </w:p>
              </w:tc>
            </w:tr>
            <w:tr w:rsidR="000F79BB" w:rsidRPr="005D4222" w14:paraId="1B82A658" w14:textId="77777777">
              <w:tc>
                <w:tcPr>
                  <w:tcW w:w="7375" w:type="dxa"/>
                  <w:tcBorders>
                    <w:top w:val="single" w:sz="12" w:space="0" w:color="auto"/>
                    <w:bottom w:val="single" w:sz="12" w:space="0" w:color="auto"/>
                  </w:tcBorders>
                  <w:shd w:val="clear" w:color="auto" w:fill="FFFFFF" w:themeFill="background1"/>
                </w:tcPr>
                <w:p w14:paraId="76AF2812" w14:textId="77777777" w:rsidR="000F79BB" w:rsidRPr="005D4222" w:rsidRDefault="000F79BB">
                  <w:pPr>
                    <w:pStyle w:val="TableText"/>
                    <w:rPr>
                      <w:rFonts w:eastAsia="Arial Narrow,Times New Roman"/>
                      <w:u w:val="single"/>
                    </w:rPr>
                  </w:pPr>
                  <w:r w:rsidRPr="005D4222">
                    <w:rPr>
                      <w:u w:val="single"/>
                    </w:rPr>
                    <w:t>Ibuprofen Oxycodone Medications List</w:t>
                  </w:r>
                </w:p>
                <w:p w14:paraId="38A13533" w14:textId="77777777" w:rsidR="000F79BB" w:rsidRPr="005D4222" w:rsidRDefault="000F79BB">
                  <w:pPr>
                    <w:pStyle w:val="TableText"/>
                    <w:rPr>
                      <w:rFonts w:eastAsia="Arial Narrow,Times New Roman"/>
                      <w:u w:val="single"/>
                    </w:rPr>
                  </w:pPr>
                  <w:r w:rsidRPr="005D4222">
                    <w:rPr>
                      <w:u w:val="single"/>
                    </w:rPr>
                    <w:t>Oxycodone Medications List</w:t>
                  </w:r>
                </w:p>
              </w:tc>
            </w:tr>
            <w:tr w:rsidR="000F79BB" w:rsidRPr="005D4222" w14:paraId="34090C33" w14:textId="77777777">
              <w:tc>
                <w:tcPr>
                  <w:tcW w:w="7375" w:type="dxa"/>
                  <w:tcBorders>
                    <w:top w:val="single" w:sz="12" w:space="0" w:color="auto"/>
                    <w:bottom w:val="single" w:sz="12" w:space="0" w:color="auto"/>
                  </w:tcBorders>
                  <w:shd w:val="clear" w:color="auto" w:fill="FFFFFF" w:themeFill="background1"/>
                </w:tcPr>
                <w:p w14:paraId="7E343603" w14:textId="77777777" w:rsidR="000F79BB" w:rsidRPr="005D4222" w:rsidRDefault="000F79BB">
                  <w:pPr>
                    <w:pStyle w:val="TableText"/>
                    <w:rPr>
                      <w:u w:val="single"/>
                    </w:rPr>
                  </w:pPr>
                  <w:r w:rsidRPr="005D4222">
                    <w:rPr>
                      <w:u w:val="single"/>
                    </w:rPr>
                    <w:t>Oxymorphone Medications List</w:t>
                  </w:r>
                </w:p>
              </w:tc>
            </w:tr>
            <w:tr w:rsidR="000F79BB" w:rsidRPr="005D4222" w14:paraId="75FB3F10" w14:textId="77777777">
              <w:tc>
                <w:tcPr>
                  <w:tcW w:w="7375" w:type="dxa"/>
                  <w:tcBorders>
                    <w:top w:val="single" w:sz="12" w:space="0" w:color="auto"/>
                    <w:bottom w:val="single" w:sz="12" w:space="0" w:color="auto"/>
                  </w:tcBorders>
                  <w:shd w:val="clear" w:color="auto" w:fill="FFFFFF" w:themeFill="background1"/>
                </w:tcPr>
                <w:p w14:paraId="5A25C4C9" w14:textId="77777777" w:rsidR="000F79BB" w:rsidRPr="005D4222" w:rsidRDefault="000F79BB">
                  <w:pPr>
                    <w:pStyle w:val="TableText"/>
                    <w:rPr>
                      <w:u w:val="single"/>
                    </w:rPr>
                  </w:pPr>
                  <w:r w:rsidRPr="005D4222">
                    <w:rPr>
                      <w:u w:val="single"/>
                    </w:rPr>
                    <w:t>Naloxone Pentazocine Medications List</w:t>
                  </w:r>
                </w:p>
              </w:tc>
            </w:tr>
            <w:tr w:rsidR="000F79BB" w:rsidRPr="005D4222" w14:paraId="5923B51D" w14:textId="77777777">
              <w:tc>
                <w:tcPr>
                  <w:tcW w:w="7375" w:type="dxa"/>
                  <w:tcBorders>
                    <w:top w:val="single" w:sz="12" w:space="0" w:color="auto"/>
                    <w:bottom w:val="single" w:sz="12" w:space="0" w:color="auto"/>
                  </w:tcBorders>
                  <w:shd w:val="clear" w:color="auto" w:fill="FFFFFF" w:themeFill="background1"/>
                </w:tcPr>
                <w:p w14:paraId="42AF462B" w14:textId="77777777" w:rsidR="000F79BB" w:rsidRPr="005D4222" w:rsidRDefault="000F79BB">
                  <w:pPr>
                    <w:pStyle w:val="TableText"/>
                    <w:rPr>
                      <w:u w:val="single"/>
                    </w:rPr>
                  </w:pPr>
                  <w:r w:rsidRPr="005D4222">
                    <w:rPr>
                      <w:u w:val="single"/>
                    </w:rPr>
                    <w:t>Tapentadol Medications List</w:t>
                  </w:r>
                </w:p>
              </w:tc>
            </w:tr>
            <w:tr w:rsidR="000F79BB" w:rsidRPr="005D4222" w14:paraId="21BBDF26" w14:textId="77777777">
              <w:tc>
                <w:tcPr>
                  <w:tcW w:w="7375" w:type="dxa"/>
                  <w:tcBorders>
                    <w:top w:val="single" w:sz="12" w:space="0" w:color="auto"/>
                  </w:tcBorders>
                  <w:shd w:val="clear" w:color="auto" w:fill="FFFFFF" w:themeFill="background1"/>
                </w:tcPr>
                <w:p w14:paraId="49E7FD0A" w14:textId="77777777" w:rsidR="000F79BB" w:rsidRPr="005D4222" w:rsidRDefault="000F79BB">
                  <w:pPr>
                    <w:pStyle w:val="TableText"/>
                    <w:rPr>
                      <w:rFonts w:eastAsia="Arial Narrow,Times New Roman"/>
                      <w:u w:val="single"/>
                    </w:rPr>
                  </w:pPr>
                  <w:r w:rsidRPr="005D4222">
                    <w:rPr>
                      <w:rFonts w:eastAsia="Arial Narrow,Times New Roman"/>
                      <w:u w:val="single"/>
                    </w:rPr>
                    <w:t>Acetaminophen Tramadol</w:t>
                  </w:r>
                  <w:r w:rsidRPr="005D4222">
                    <w:rPr>
                      <w:u w:val="single"/>
                    </w:rPr>
                    <w:t xml:space="preserve"> Medications List</w:t>
                  </w:r>
                </w:p>
                <w:p w14:paraId="63E34ADD" w14:textId="77777777" w:rsidR="000F79BB" w:rsidRPr="005D4222" w:rsidRDefault="000F79BB">
                  <w:pPr>
                    <w:pStyle w:val="TableText"/>
                    <w:rPr>
                      <w:rFonts w:eastAsia="Arial Narrow,Times New Roman"/>
                      <w:u w:val="single"/>
                    </w:rPr>
                  </w:pPr>
                  <w:r w:rsidRPr="005D4222">
                    <w:rPr>
                      <w:u w:val="single"/>
                    </w:rPr>
                    <w:t>Tramadol Medications List</w:t>
                  </w:r>
                </w:p>
              </w:tc>
            </w:tr>
          </w:tbl>
          <w:p w14:paraId="3F6C66A2" w14:textId="77777777" w:rsidR="000F79BB" w:rsidRPr="005D4222" w:rsidRDefault="000F79BB">
            <w:pPr>
              <w:pStyle w:val="ECDSBody"/>
            </w:pPr>
          </w:p>
        </w:tc>
      </w:tr>
      <w:tr w:rsidR="000F79BB" w:rsidRPr="005D4222" w14:paraId="60F7E75C"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69A7BCF" w14:textId="77777777" w:rsidR="000F79BB" w:rsidRPr="005D4222" w:rsidRDefault="000F79BB">
            <w:pPr>
              <w:pStyle w:val="ECDSMarginHead"/>
            </w:pPr>
            <w:r w:rsidRPr="005D4222">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F8CA08B" w14:textId="77777777" w:rsidR="000F79BB" w:rsidRPr="005D4222" w:rsidRDefault="000F79BB">
            <w:pPr>
              <w:pStyle w:val="ProcessBullet"/>
              <w:spacing w:before="120"/>
            </w:pPr>
            <w:r w:rsidRPr="005D4222">
              <w:t>No changes to this measure.</w:t>
            </w:r>
          </w:p>
        </w:tc>
      </w:tr>
      <w:tr w:rsidR="000F79BB" w:rsidRPr="005D4222" w14:paraId="6C1327CE"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1739FB9" w14:textId="77777777" w:rsidR="000F79BB" w:rsidRPr="005D4222" w:rsidRDefault="000F79BB">
            <w:pPr>
              <w:pStyle w:val="ECDS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BC333E0" w14:textId="77777777" w:rsidR="000F79BB" w:rsidRPr="005D4222" w:rsidRDefault="000F79BB">
            <w:pPr>
              <w:pStyle w:val="ECDSBody"/>
            </w:pPr>
            <w:r w:rsidRPr="005D4222">
              <w:rPr>
                <w:rFonts w:eastAsia="Arial,Times New Roman"/>
              </w:rPr>
              <w:t>Organizations that submit HEDIS data to NCQA must provide the following data elements.</w:t>
            </w:r>
          </w:p>
          <w:p w14:paraId="3AAA1701" w14:textId="77777777" w:rsidR="000F79BB" w:rsidRPr="005D4222" w:rsidRDefault="000F79BB">
            <w:pPr>
              <w:pStyle w:val="Heading3"/>
              <w:spacing w:before="120"/>
              <w:rPr>
                <w:rFonts w:eastAsia="Arial,Times New Roman"/>
              </w:rPr>
            </w:pPr>
            <w:r w:rsidRPr="005D4222">
              <w:rPr>
                <w:rFonts w:eastAsia="Arial,Times New Roman"/>
              </w:rPr>
              <w:t xml:space="preserve">Table UOP-1/2/3: Data Elements for Use of Opioids From Multiple Providers </w:t>
            </w:r>
          </w:p>
          <w:tbl>
            <w:tblPr>
              <w:tblW w:w="737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236"/>
              <w:gridCol w:w="2070"/>
              <w:gridCol w:w="2073"/>
            </w:tblGrid>
            <w:tr w:rsidR="000F79BB" w:rsidRPr="005D4222" w14:paraId="2CFCE12F" w14:textId="77777777">
              <w:tc>
                <w:tcPr>
                  <w:tcW w:w="3236"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vAlign w:val="bottom"/>
                </w:tcPr>
                <w:p w14:paraId="2A415A4E" w14:textId="77777777" w:rsidR="000F79BB" w:rsidRPr="005D4222" w:rsidRDefault="000F79BB">
                  <w:pPr>
                    <w:pStyle w:val="TableHead"/>
                  </w:pPr>
                  <w:r w:rsidRPr="005D4222">
                    <w:t>Metric</w:t>
                  </w:r>
                </w:p>
              </w:tc>
              <w:tc>
                <w:tcPr>
                  <w:tcW w:w="207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vAlign w:val="bottom"/>
                </w:tcPr>
                <w:p w14:paraId="28322D1E" w14:textId="77777777" w:rsidR="000F79BB" w:rsidRPr="005D4222" w:rsidRDefault="000F79BB">
                  <w:pPr>
                    <w:pStyle w:val="TableHead"/>
                  </w:pPr>
                  <w:r w:rsidRPr="005D4222">
                    <w:t>Data Element</w:t>
                  </w:r>
                </w:p>
              </w:tc>
              <w:tc>
                <w:tcPr>
                  <w:tcW w:w="2073"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vAlign w:val="bottom"/>
                </w:tcPr>
                <w:p w14:paraId="27F99604" w14:textId="77777777" w:rsidR="000F79BB" w:rsidRPr="005D4222" w:rsidRDefault="000F79BB">
                  <w:pPr>
                    <w:pStyle w:val="TableHead"/>
                  </w:pPr>
                  <w:r w:rsidRPr="005D4222">
                    <w:t>Reporting Instructions</w:t>
                  </w:r>
                </w:p>
              </w:tc>
            </w:tr>
            <w:tr w:rsidR="000F79BB" w:rsidRPr="005D4222" w14:paraId="65BB5955" w14:textId="77777777">
              <w:tc>
                <w:tcPr>
                  <w:tcW w:w="3236" w:type="dxa"/>
                  <w:tcBorders>
                    <w:top w:val="single" w:sz="4" w:space="0" w:color="000000" w:themeColor="text1"/>
                    <w:left w:val="single" w:sz="4" w:space="0" w:color="auto"/>
                    <w:bottom w:val="single" w:sz="4" w:space="0" w:color="auto"/>
                    <w:right w:val="single" w:sz="4" w:space="0" w:color="auto"/>
                  </w:tcBorders>
                </w:tcPr>
                <w:p w14:paraId="7C5797B8" w14:textId="77777777" w:rsidR="000F79BB" w:rsidRPr="005D4222" w:rsidRDefault="000F79BB">
                  <w:pPr>
                    <w:pStyle w:val="TableText"/>
                  </w:pPr>
                  <w:r w:rsidRPr="005D4222">
                    <w:t>MultiplePrescribers</w:t>
                  </w:r>
                </w:p>
              </w:tc>
              <w:tc>
                <w:tcPr>
                  <w:tcW w:w="2070" w:type="dxa"/>
                  <w:tcBorders>
                    <w:top w:val="single" w:sz="4" w:space="0" w:color="000000" w:themeColor="text1"/>
                    <w:left w:val="single" w:sz="4" w:space="0" w:color="auto"/>
                    <w:bottom w:val="single" w:sz="4" w:space="0" w:color="auto"/>
                    <w:right w:val="single" w:sz="4" w:space="0" w:color="auto"/>
                  </w:tcBorders>
                </w:tcPr>
                <w:p w14:paraId="47647145" w14:textId="77777777" w:rsidR="000F79BB" w:rsidRPr="005D4222" w:rsidRDefault="000F79BB">
                  <w:pPr>
                    <w:pStyle w:val="TableText"/>
                  </w:pPr>
                  <w:r w:rsidRPr="005D4222">
                    <w:t>Benefit</w:t>
                  </w:r>
                </w:p>
              </w:tc>
              <w:tc>
                <w:tcPr>
                  <w:tcW w:w="2073" w:type="dxa"/>
                  <w:tcBorders>
                    <w:top w:val="single" w:sz="4" w:space="0" w:color="000000" w:themeColor="text1"/>
                    <w:left w:val="single" w:sz="4" w:space="0" w:color="auto"/>
                    <w:bottom w:val="single" w:sz="6" w:space="0" w:color="auto"/>
                    <w:right w:val="single" w:sz="4" w:space="0" w:color="auto"/>
                  </w:tcBorders>
                </w:tcPr>
                <w:p w14:paraId="735A2E9E" w14:textId="77777777" w:rsidR="000F79BB" w:rsidRPr="005D4222" w:rsidRDefault="000F79BB">
                  <w:pPr>
                    <w:pStyle w:val="TableText"/>
                    <w:rPr>
                      <w:rFonts w:eastAsia="Wingdings"/>
                    </w:rPr>
                  </w:pPr>
                  <w:r w:rsidRPr="005D4222">
                    <w:rPr>
                      <w:rFonts w:eastAsia="Wingdings"/>
                    </w:rPr>
                    <w:t>Metadata</w:t>
                  </w:r>
                </w:p>
              </w:tc>
            </w:tr>
            <w:tr w:rsidR="000F79BB" w:rsidRPr="005D4222" w14:paraId="3E28F447" w14:textId="77777777">
              <w:tc>
                <w:tcPr>
                  <w:tcW w:w="3236" w:type="dxa"/>
                  <w:tcBorders>
                    <w:top w:val="single" w:sz="4" w:space="0" w:color="auto"/>
                    <w:left w:val="single" w:sz="4" w:space="0" w:color="auto"/>
                    <w:bottom w:val="single" w:sz="4" w:space="0" w:color="auto"/>
                    <w:right w:val="single" w:sz="4" w:space="0" w:color="auto"/>
                  </w:tcBorders>
                  <w:shd w:val="clear" w:color="auto" w:fill="FFFFFF" w:themeFill="background1"/>
                </w:tcPr>
                <w:p w14:paraId="5F5F0E7C" w14:textId="77777777" w:rsidR="000F79BB" w:rsidRPr="005D4222" w:rsidRDefault="000F79BB">
                  <w:pPr>
                    <w:pStyle w:val="TableText"/>
                  </w:pPr>
                  <w:r w:rsidRPr="005D4222">
                    <w:t>MultiplePharmacies</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tcPr>
                <w:p w14:paraId="5CBB8782" w14:textId="77777777" w:rsidR="000F79BB" w:rsidRPr="005D4222" w:rsidRDefault="000F79BB">
                  <w:pPr>
                    <w:pStyle w:val="TableText"/>
                  </w:pPr>
                  <w:r w:rsidRPr="005D4222">
                    <w:t xml:space="preserve">InitialPopulation </w:t>
                  </w:r>
                </w:p>
              </w:tc>
              <w:tc>
                <w:tcPr>
                  <w:tcW w:w="2073" w:type="dxa"/>
                  <w:tcBorders>
                    <w:left w:val="single" w:sz="4" w:space="0" w:color="auto"/>
                    <w:right w:val="single" w:sz="4" w:space="0" w:color="auto"/>
                  </w:tcBorders>
                  <w:shd w:val="clear" w:color="auto" w:fill="FFFFFF" w:themeFill="background1"/>
                </w:tcPr>
                <w:p w14:paraId="214A659D" w14:textId="77777777" w:rsidR="000F79BB" w:rsidRPr="005D4222" w:rsidRDefault="000F79BB">
                  <w:pPr>
                    <w:pStyle w:val="TableText"/>
                    <w:rPr>
                      <w:rFonts w:eastAsia="Wingdings"/>
                    </w:rPr>
                  </w:pPr>
                  <w:r w:rsidRPr="005D4222">
                    <w:rPr>
                      <w:rFonts w:eastAsia="Wingdings"/>
                    </w:rPr>
                    <w:t>Repeat per Metric</w:t>
                  </w:r>
                </w:p>
              </w:tc>
            </w:tr>
            <w:tr w:rsidR="000F79BB" w:rsidRPr="005D4222" w14:paraId="57E0B7D2" w14:textId="77777777">
              <w:trPr>
                <w:trHeight w:val="495"/>
              </w:trPr>
              <w:tc>
                <w:tcPr>
                  <w:tcW w:w="3236" w:type="dxa"/>
                  <w:tcBorders>
                    <w:top w:val="single" w:sz="4" w:space="0" w:color="auto"/>
                    <w:left w:val="single" w:sz="4" w:space="0" w:color="auto"/>
                    <w:bottom w:val="single" w:sz="4" w:space="0" w:color="auto"/>
                    <w:right w:val="nil"/>
                  </w:tcBorders>
                  <w:shd w:val="clear" w:color="auto" w:fill="FFFFFF" w:themeFill="background1"/>
                </w:tcPr>
                <w:p w14:paraId="44302321" w14:textId="77777777" w:rsidR="000F79BB" w:rsidRPr="005D4222" w:rsidRDefault="000F79BB">
                  <w:pPr>
                    <w:pStyle w:val="TableText"/>
                  </w:pPr>
                  <w:r w:rsidRPr="005D4222">
                    <w:t>MultiplePrescribersMultiplePharmacies</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tcPr>
                <w:p w14:paraId="05C092F1" w14:textId="77777777" w:rsidR="000F79BB" w:rsidRPr="005D4222" w:rsidRDefault="000F79BB">
                  <w:pPr>
                    <w:pStyle w:val="TableText"/>
                  </w:pPr>
                  <w:r w:rsidRPr="005D4222">
                    <w:t>Exclusions</w:t>
                  </w:r>
                </w:p>
              </w:tc>
              <w:tc>
                <w:tcPr>
                  <w:tcW w:w="2073" w:type="dxa"/>
                  <w:tcBorders>
                    <w:left w:val="single" w:sz="4" w:space="0" w:color="auto"/>
                    <w:bottom w:val="single" w:sz="6" w:space="0" w:color="auto"/>
                    <w:right w:val="single" w:sz="4" w:space="0" w:color="auto"/>
                  </w:tcBorders>
                  <w:shd w:val="clear" w:color="auto" w:fill="FFFFFF" w:themeFill="background1"/>
                </w:tcPr>
                <w:p w14:paraId="47D1D4E2" w14:textId="77777777" w:rsidR="000F79BB" w:rsidRPr="005D4222" w:rsidRDefault="000F79BB">
                  <w:pPr>
                    <w:pStyle w:val="TableText"/>
                    <w:rPr>
                      <w:rFonts w:eastAsia="Wingdings"/>
                    </w:rPr>
                  </w:pPr>
                  <w:r w:rsidRPr="005D4222">
                    <w:rPr>
                      <w:rFonts w:eastAsia="Wingdings"/>
                    </w:rPr>
                    <w:t>Repeat per Metric</w:t>
                  </w:r>
                </w:p>
              </w:tc>
            </w:tr>
            <w:tr w:rsidR="000F79BB" w:rsidRPr="005D4222" w14:paraId="6C7D703B" w14:textId="77777777">
              <w:tc>
                <w:tcPr>
                  <w:tcW w:w="3236" w:type="dxa"/>
                  <w:tcBorders>
                    <w:top w:val="single" w:sz="4" w:space="0" w:color="auto"/>
                    <w:left w:val="nil"/>
                    <w:bottom w:val="nil"/>
                    <w:right w:val="single" w:sz="4" w:space="0" w:color="auto"/>
                  </w:tcBorders>
                  <w:shd w:val="clear" w:color="auto" w:fill="FFFFFF" w:themeFill="background1"/>
                </w:tcPr>
                <w:p w14:paraId="62F8C555" w14:textId="77777777" w:rsidR="000F79BB" w:rsidRPr="005D4222" w:rsidRDefault="000F79BB">
                  <w:pPr>
                    <w:pStyle w:val="TableText"/>
                  </w:pP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tcPr>
                <w:p w14:paraId="7CB74A1B" w14:textId="77777777" w:rsidR="000F79BB" w:rsidRPr="005D4222" w:rsidRDefault="000F79BB">
                  <w:pPr>
                    <w:pStyle w:val="TableText"/>
                  </w:pPr>
                  <w:r w:rsidRPr="005D4222">
                    <w:t>Denominator</w:t>
                  </w:r>
                </w:p>
              </w:tc>
              <w:tc>
                <w:tcPr>
                  <w:tcW w:w="2073" w:type="dxa"/>
                  <w:tcBorders>
                    <w:left w:val="single" w:sz="4" w:space="0" w:color="auto"/>
                    <w:bottom w:val="single" w:sz="6" w:space="0" w:color="auto"/>
                    <w:right w:val="single" w:sz="4" w:space="0" w:color="auto"/>
                  </w:tcBorders>
                  <w:shd w:val="clear" w:color="auto" w:fill="FFFFFF" w:themeFill="background1"/>
                </w:tcPr>
                <w:p w14:paraId="1EA2F428" w14:textId="77777777" w:rsidR="000F79BB" w:rsidRPr="005D4222" w:rsidRDefault="000F79BB">
                  <w:pPr>
                    <w:pStyle w:val="TableText"/>
                    <w:rPr>
                      <w:rFonts w:eastAsia="Wingdings"/>
                    </w:rPr>
                  </w:pPr>
                  <w:r w:rsidRPr="005D4222">
                    <w:rPr>
                      <w:rFonts w:eastAsia="Wingdings"/>
                    </w:rPr>
                    <w:t>Repeat per Metric</w:t>
                  </w:r>
                </w:p>
              </w:tc>
            </w:tr>
            <w:tr w:rsidR="000F79BB" w:rsidRPr="005D4222" w14:paraId="2168C77B" w14:textId="77777777">
              <w:tc>
                <w:tcPr>
                  <w:tcW w:w="3236" w:type="dxa"/>
                  <w:tcBorders>
                    <w:top w:val="nil"/>
                    <w:left w:val="nil"/>
                    <w:bottom w:val="nil"/>
                    <w:right w:val="single" w:sz="4" w:space="0" w:color="auto"/>
                  </w:tcBorders>
                  <w:shd w:val="clear" w:color="auto" w:fill="FFFFFF" w:themeFill="background1"/>
                </w:tcPr>
                <w:p w14:paraId="23476F23" w14:textId="77777777" w:rsidR="000F79BB" w:rsidRPr="005D4222" w:rsidRDefault="000F79BB">
                  <w:pPr>
                    <w:pStyle w:val="TableText"/>
                  </w:pP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tcPr>
                <w:p w14:paraId="067F542E" w14:textId="77777777" w:rsidR="000F79BB" w:rsidRPr="005D4222" w:rsidRDefault="000F79BB">
                  <w:pPr>
                    <w:pStyle w:val="TableText"/>
                  </w:pPr>
                  <w:r w:rsidRPr="005D4222">
                    <w:t>NumeratorByAdmin</w:t>
                  </w:r>
                </w:p>
              </w:tc>
              <w:tc>
                <w:tcPr>
                  <w:tcW w:w="2073" w:type="dxa"/>
                  <w:tcBorders>
                    <w:left w:val="single" w:sz="4" w:space="0" w:color="auto"/>
                    <w:bottom w:val="single" w:sz="6" w:space="0" w:color="auto"/>
                    <w:right w:val="single" w:sz="4" w:space="0" w:color="auto"/>
                  </w:tcBorders>
                  <w:shd w:val="clear" w:color="auto" w:fill="FFFFFF" w:themeFill="background1"/>
                </w:tcPr>
                <w:p w14:paraId="5DCD209B" w14:textId="77777777" w:rsidR="000F79BB" w:rsidRPr="005D4222" w:rsidRDefault="000F79BB">
                  <w:pPr>
                    <w:pStyle w:val="TableText"/>
                    <w:rPr>
                      <w:rFonts w:eastAsia="Wingdings"/>
                    </w:rPr>
                  </w:pPr>
                  <w:r w:rsidRPr="005D4222">
                    <w:rPr>
                      <w:rFonts w:eastAsia="Wingdings"/>
                    </w:rPr>
                    <w:t>For each Metric</w:t>
                  </w:r>
                </w:p>
              </w:tc>
            </w:tr>
            <w:tr w:rsidR="000F79BB" w:rsidRPr="005D4222" w14:paraId="5D23B8EC" w14:textId="77777777">
              <w:tc>
                <w:tcPr>
                  <w:tcW w:w="3236" w:type="dxa"/>
                  <w:tcBorders>
                    <w:top w:val="nil"/>
                    <w:left w:val="nil"/>
                    <w:bottom w:val="nil"/>
                    <w:right w:val="nil"/>
                  </w:tcBorders>
                  <w:shd w:val="clear" w:color="auto" w:fill="FFFFFF" w:themeFill="background1"/>
                </w:tcPr>
                <w:p w14:paraId="4BB9861C" w14:textId="77777777" w:rsidR="000F79BB" w:rsidRPr="005D4222" w:rsidRDefault="000F79BB">
                  <w:pPr>
                    <w:pStyle w:val="TableText"/>
                  </w:pPr>
                </w:p>
              </w:tc>
              <w:tc>
                <w:tcPr>
                  <w:tcW w:w="20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75AC481" w14:textId="77777777" w:rsidR="000F79BB" w:rsidRPr="005D4222" w:rsidRDefault="000F79BB">
                  <w:pPr>
                    <w:pStyle w:val="TableText"/>
                  </w:pPr>
                  <w:r w:rsidRPr="005D4222">
                    <w:t>Rate</w:t>
                  </w:r>
                </w:p>
              </w:tc>
              <w:tc>
                <w:tcPr>
                  <w:tcW w:w="2073" w:type="dxa"/>
                  <w:tcBorders>
                    <w:left w:val="single" w:sz="4" w:space="0" w:color="auto"/>
                    <w:bottom w:val="single" w:sz="6" w:space="0" w:color="auto"/>
                    <w:right w:val="single" w:sz="4" w:space="0" w:color="auto"/>
                  </w:tcBorders>
                  <w:shd w:val="clear" w:color="auto" w:fill="D9D9D9" w:themeFill="background1" w:themeFillShade="D9"/>
                </w:tcPr>
                <w:p w14:paraId="603144A8" w14:textId="77777777" w:rsidR="000F79BB" w:rsidRPr="005D4222" w:rsidRDefault="000F79BB">
                  <w:pPr>
                    <w:pStyle w:val="TableText"/>
                    <w:rPr>
                      <w:rFonts w:eastAsia="Wingdings"/>
                    </w:rPr>
                  </w:pPr>
                  <w:r w:rsidRPr="005D4222">
                    <w:rPr>
                      <w:rFonts w:eastAsia="Wingdings"/>
                    </w:rPr>
                    <w:t>(Percent)</w:t>
                  </w:r>
                </w:p>
              </w:tc>
            </w:tr>
          </w:tbl>
          <w:p w14:paraId="3E7A120C" w14:textId="77777777" w:rsidR="000F79BB" w:rsidRPr="005D4222" w:rsidRDefault="000F79BB">
            <w:pPr>
              <w:pStyle w:val="ProcessDash"/>
              <w:numPr>
                <w:ilvl w:val="0"/>
                <w:numId w:val="0"/>
              </w:numPr>
              <w:rPr>
                <w:color w:val="000000" w:themeColor="text1"/>
                <w:highlight w:val="yellow"/>
              </w:rPr>
            </w:pPr>
          </w:p>
        </w:tc>
      </w:tr>
      <w:tr w:rsidR="000F79BB" w:rsidRPr="005D4222" w14:paraId="51820A2D"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5EAF4AF" w14:textId="77777777" w:rsidR="000F79BB" w:rsidRPr="005D4222" w:rsidRDefault="000F79BB">
            <w:pPr>
              <w:pStyle w:val="ECDSMarginHead"/>
            </w:pPr>
            <w:r w:rsidRPr="005D4222">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1B9B851" w14:textId="77777777" w:rsidR="000F79BB" w:rsidRPr="005D4222" w:rsidRDefault="000F79BB">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1CE0ADA1" w14:textId="77777777" w:rsidR="000F79BB" w:rsidRPr="005D4222" w:rsidRDefault="000F79BB">
            <w:pPr>
              <w:pStyle w:val="ECDSBody"/>
              <w:rPr>
                <w:b/>
              </w:rPr>
            </w:pPr>
            <w:r w:rsidRPr="005D4222">
              <w:rPr>
                <w:b/>
              </w:rPr>
              <w:t>Adjusted HEDIS measures may not be used for HEDIS health plan reporting.</w:t>
            </w:r>
          </w:p>
          <w:p w14:paraId="7271C7C9" w14:textId="77777777" w:rsidR="000F79BB" w:rsidRPr="005D4222" w:rsidRDefault="000F79BB">
            <w:pPr>
              <w:pStyle w:val="Adjustments"/>
            </w:pPr>
            <w:r w:rsidRPr="005D4222">
              <w:t>Adjustments</w:t>
            </w:r>
            <w:r w:rsidRPr="005D4222">
              <w:rPr>
                <w:bCs/>
              </w:rPr>
              <w:t xml:space="preserve"> a</w:t>
            </w:r>
            <w:r w:rsidRPr="005D4222">
              <w:t>llowed</w:t>
            </w:r>
          </w:p>
          <w:p w14:paraId="120A631B" w14:textId="148011E8" w:rsidR="000F79BB" w:rsidRPr="005D4222" w:rsidRDefault="000F79BB">
            <w:pPr>
              <w:pStyle w:val="ProcessBullet"/>
            </w:pPr>
            <w:r w:rsidRPr="005D4222">
              <w:rPr>
                <w:i/>
                <w:iCs/>
              </w:rPr>
              <w:t xml:space="preserve">Product lines. </w:t>
            </w:r>
            <w:r w:rsidRPr="005D4222">
              <w:t>Organizations are not required to use product line criteria; product lines may be combined</w:t>
            </w:r>
            <w:r w:rsidR="00E8671F" w:rsidRPr="005D4222">
              <w:t>,</w:t>
            </w:r>
            <w:r w:rsidRPr="005D4222">
              <w:t xml:space="preserve"> and all (or no) product line criteria may be used.</w:t>
            </w:r>
          </w:p>
          <w:p w14:paraId="21D3BD04" w14:textId="77777777" w:rsidR="000F79BB" w:rsidRPr="005D4222" w:rsidRDefault="000F79BB">
            <w:pPr>
              <w:pStyle w:val="ProcessBullet"/>
            </w:pPr>
            <w:r w:rsidRPr="005D4222">
              <w:rPr>
                <w:i/>
                <w:iCs/>
              </w:rPr>
              <w:t>Attribution.</w:t>
            </w:r>
            <w:r w:rsidRPr="005D4222">
              <w:t xml:space="preserve"> Organizations are not required to use enrollment criteria. </w:t>
            </w:r>
          </w:p>
          <w:p w14:paraId="1ECED03C" w14:textId="77777777" w:rsidR="000F79BB" w:rsidRPr="005D4222" w:rsidRDefault="00362E76">
            <w:pPr>
              <w:pStyle w:val="ProcessBullet"/>
              <w:spacing w:after="80"/>
            </w:pPr>
            <w:r w:rsidRPr="005D4222">
              <w:rPr>
                <w:i/>
                <w:iCs/>
              </w:rPr>
              <w:t>Benefits.</w:t>
            </w:r>
            <w:r w:rsidR="000F79BB" w:rsidRPr="005D4222">
              <w:rPr>
                <w:i/>
                <w:iCs/>
              </w:rPr>
              <w:t xml:space="preserve"> </w:t>
            </w:r>
            <w:r w:rsidR="000F79BB" w:rsidRPr="005D4222">
              <w:t>Organizations are not required to use a benefit.</w:t>
            </w:r>
          </w:p>
          <w:p w14:paraId="53071373" w14:textId="522812D6" w:rsidR="000F79BB" w:rsidRPr="005D4222" w:rsidRDefault="006F4274" w:rsidP="008A160F">
            <w:pPr>
              <w:pStyle w:val="ProcessBullet"/>
              <w:spacing w:after="80"/>
            </w:pPr>
            <w:r w:rsidRPr="005D4222">
              <w:rPr>
                <w:i/>
                <w:iCs/>
              </w:rPr>
              <w:t>Ages.</w:t>
            </w:r>
            <w:r w:rsidRPr="005D4222">
              <w:t xml:space="preserve"> The denominator age range may be expanded. The age determination dates may be changed (e.g., select, “age as of June 30”).</w:t>
            </w:r>
          </w:p>
        </w:tc>
      </w:tr>
    </w:tbl>
    <w:p w14:paraId="4D94373B" w14:textId="77777777" w:rsidR="00975379" w:rsidRPr="005D4222" w:rsidRDefault="00975379">
      <w:r w:rsidRPr="005D4222">
        <w:br w:type="page"/>
      </w:r>
    </w:p>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0F79BB" w:rsidRPr="005D4222" w14:paraId="0FBDEE9E"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40F6923" w14:textId="77777777" w:rsidR="000F79BB" w:rsidRPr="005D4222" w:rsidRDefault="000F79BB">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E414F62" w14:textId="77777777" w:rsidR="000F79BB" w:rsidRPr="005D4222" w:rsidRDefault="000F79BB">
            <w:pPr>
              <w:pStyle w:val="ProcessBullet"/>
              <w:spacing w:before="120"/>
            </w:pPr>
            <w:r w:rsidRPr="005D4222">
              <w:rPr>
                <w:i/>
                <w:iCs/>
              </w:rPr>
              <w:t xml:space="preserve">Other. </w:t>
            </w:r>
            <w:r w:rsidRPr="005D4222">
              <w:t>Organizations may use additional initial population criteria to focus on an area of interest defined by gender, race, ethnicity, socioeconomic or sociodemographic characteristics, geographic region or another characteristic.</w:t>
            </w:r>
          </w:p>
          <w:p w14:paraId="5A8F637A" w14:textId="77777777" w:rsidR="000F79BB" w:rsidRPr="005D4222" w:rsidRDefault="000F79BB">
            <w:pPr>
              <w:pStyle w:val="ProcessBullet"/>
            </w:pPr>
            <w:r w:rsidRPr="005D4222">
              <w:rPr>
                <w:i/>
                <w:iCs/>
              </w:rPr>
              <w:t xml:space="preserve">Measurement period adjustments. </w:t>
            </w:r>
            <w:r w:rsidRPr="005D4222">
              <w:t xml:space="preserve">Organizations may adjust the measurement period. </w:t>
            </w:r>
          </w:p>
          <w:p w14:paraId="49E82958" w14:textId="77777777" w:rsidR="000F79BB" w:rsidRPr="005D4222" w:rsidRDefault="000F79BB">
            <w:pPr>
              <w:pStyle w:val="ProcessBullet"/>
            </w:pPr>
            <w:r w:rsidRPr="005D4222">
              <w:rPr>
                <w:i/>
                <w:iCs/>
              </w:rPr>
              <w:t xml:space="preserve">Exclusions. </w:t>
            </w:r>
            <w:r w:rsidRPr="005D4222">
              <w:t xml:space="preserve">Hospice and deceased person exclusions are not required. </w:t>
            </w:r>
          </w:p>
          <w:p w14:paraId="6A86EFA1" w14:textId="45D41AB7" w:rsidR="000F79BB" w:rsidRPr="005D4222" w:rsidRDefault="000F79BB">
            <w:pPr>
              <w:pStyle w:val="ProcessBullet"/>
            </w:pPr>
            <w:r w:rsidRPr="005D4222">
              <w:rPr>
                <w:i/>
                <w:iCs/>
              </w:rPr>
              <w:t xml:space="preserve">Telehealth. </w:t>
            </w:r>
            <w:r w:rsidRPr="005D4222">
              <w:t xml:space="preserve">Services/events that allow the use of synchronous telehealth visits, telephone visits and asynchronous telehealth (e-visits, virtual check-ins) may be stratified to identify services performed via telehealth. This adjustment is not allowed for </w:t>
            </w:r>
            <w:r w:rsidR="00F45777" w:rsidRPr="005D4222">
              <w:t>events</w:t>
            </w:r>
            <w:r w:rsidRPr="005D4222">
              <w:t>, numerators and exclusions that do not allow the use of telehealth.</w:t>
            </w:r>
          </w:p>
          <w:p w14:paraId="55A3EB73" w14:textId="77777777" w:rsidR="000F79BB" w:rsidRPr="005D4222" w:rsidRDefault="000F79BB">
            <w:pPr>
              <w:pStyle w:val="ProcessBullet"/>
            </w:pPr>
            <w:r w:rsidRPr="005D4222">
              <w:rPr>
                <w:i/>
                <w:iCs/>
              </w:rPr>
              <w:t>Supplemental data.</w:t>
            </w:r>
            <w:r w:rsidRPr="005D4222">
              <w:t xml:space="preserve"> Supplemental data may be used to identify initial population, denominator, exclusion and numerator events.</w:t>
            </w:r>
          </w:p>
          <w:p w14:paraId="0C8C6D34" w14:textId="77777777" w:rsidR="000F79BB" w:rsidRPr="005D4222" w:rsidRDefault="000F79BB">
            <w:pPr>
              <w:pStyle w:val="Adjustments"/>
            </w:pPr>
            <w:r w:rsidRPr="005D4222">
              <w:t xml:space="preserve">Adjustments </w:t>
            </w:r>
            <w:r w:rsidRPr="005D4222">
              <w:rPr>
                <w:bCs/>
              </w:rPr>
              <w:t>a</w:t>
            </w:r>
            <w:r w:rsidRPr="005D4222">
              <w:t xml:space="preserve">llowed with </w:t>
            </w:r>
            <w:r w:rsidRPr="005D4222">
              <w:rPr>
                <w:bCs/>
              </w:rPr>
              <w:t>l</w:t>
            </w:r>
            <w:r w:rsidRPr="005D4222">
              <w:t>imits</w:t>
            </w:r>
          </w:p>
          <w:p w14:paraId="02460FE1" w14:textId="77777777" w:rsidR="000F79BB" w:rsidRPr="005D4222" w:rsidRDefault="000F79BB">
            <w:pPr>
              <w:pStyle w:val="ProcessBullet"/>
            </w:pPr>
            <w:r w:rsidRPr="005D4222">
              <w:rPr>
                <w:i/>
                <w:iCs/>
              </w:rPr>
              <w:t>Initial population:</w:t>
            </w:r>
            <w:r w:rsidRPr="005D4222">
              <w:t xml:space="preserve"> Event. Organizations may include denied claims to calculate the initial population. Only medications that contain (or map to) codes in the medication lists may be used to identify opioid use. Medication lists and logic may not be changed. </w:t>
            </w:r>
          </w:p>
          <w:p w14:paraId="54DBCFC0" w14:textId="20AF0E48" w:rsidR="000F79BB" w:rsidRPr="005D4222" w:rsidRDefault="00DE550E">
            <w:pPr>
              <w:pStyle w:val="ProcessBullet"/>
              <w:spacing w:after="80"/>
              <w:rPr>
                <w:b/>
                <w:i/>
              </w:rPr>
            </w:pPr>
            <w:r w:rsidRPr="005D4222">
              <w:rPr>
                <w:i/>
                <w:iCs/>
              </w:rPr>
              <w:t>Numerator.</w:t>
            </w:r>
            <w:r w:rsidR="000F79BB" w:rsidRPr="005D4222">
              <w:t xml:space="preserve"> Organizations may include denied claims to calculate the numerator. Medication lists and logic may not be changed.</w:t>
            </w:r>
          </w:p>
        </w:tc>
      </w:tr>
    </w:tbl>
    <w:p w14:paraId="01FD9BC2" w14:textId="77777777" w:rsidR="005B1764" w:rsidRPr="005D4222" w:rsidRDefault="005B1764" w:rsidP="006D3F2A">
      <w:pPr>
        <w:pStyle w:val="ECDSBody"/>
        <w:sectPr w:rsidR="005B1764" w:rsidRPr="005D4222" w:rsidSect="0074514A">
          <w:headerReference w:type="default" r:id="rId146"/>
          <w:type w:val="nextColumn"/>
          <w:pgSz w:w="12240" w:h="15840" w:code="1"/>
          <w:pgMar w:top="1080" w:right="1080" w:bottom="1080" w:left="1440" w:header="720" w:footer="720" w:gutter="0"/>
          <w:cols w:space="720"/>
          <w:docGrid w:linePitch="360"/>
        </w:sectPr>
      </w:pPr>
    </w:p>
    <w:p w14:paraId="25809E29" w14:textId="20B2DC5F" w:rsidR="006D3F2A" w:rsidRPr="005D4222" w:rsidRDefault="004D46FF" w:rsidP="004D46FF">
      <w:pPr>
        <w:pStyle w:val="MeasureTitle"/>
      </w:pPr>
      <w:bookmarkStart w:id="326" w:name="_Toc201813433"/>
      <w:r w:rsidRPr="005D4222">
        <w:lastRenderedPageBreak/>
        <w:t>Risk of Continued Opioid Use</w:t>
      </w:r>
      <w:r w:rsidR="0096709F" w:rsidRPr="005D4222">
        <w:t xml:space="preserve"> (COU)</w:t>
      </w:r>
      <w:bookmarkEnd w:id="326"/>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4298"/>
        <w:gridCol w:w="2073"/>
        <w:gridCol w:w="1186"/>
      </w:tblGrid>
      <w:tr w:rsidR="00455694" w:rsidRPr="005D4222" w14:paraId="66D3D93D" w14:textId="77777777">
        <w:tc>
          <w:tcPr>
            <w:tcW w:w="2157" w:type="dxa"/>
            <w:shd w:val="clear" w:color="auto" w:fill="BFBFBF" w:themeFill="background1" w:themeFillShade="BF"/>
            <w:tcMar>
              <w:top w:w="0" w:type="dxa"/>
              <w:left w:w="86" w:type="dxa"/>
              <w:bottom w:w="43" w:type="dxa"/>
              <w:right w:w="86" w:type="dxa"/>
            </w:tcMar>
            <w:hideMark/>
          </w:tcPr>
          <w:p w14:paraId="537C5AD3" w14:textId="77777777" w:rsidR="00455694" w:rsidRPr="005D4222" w:rsidRDefault="00455694">
            <w:pPr>
              <w:pStyle w:val="ECDSMarginHead"/>
            </w:pPr>
            <w:r w:rsidRPr="005D4222">
              <w:t>Measure title</w:t>
            </w:r>
          </w:p>
        </w:tc>
        <w:tc>
          <w:tcPr>
            <w:tcW w:w="4298" w:type="dxa"/>
            <w:tcMar>
              <w:top w:w="0" w:type="dxa"/>
              <w:left w:w="86" w:type="dxa"/>
              <w:bottom w:w="43" w:type="dxa"/>
              <w:right w:w="86" w:type="dxa"/>
            </w:tcMar>
          </w:tcPr>
          <w:p w14:paraId="64B53F9F" w14:textId="77777777" w:rsidR="00455694" w:rsidRPr="005D4222" w:rsidRDefault="00455694">
            <w:pPr>
              <w:pStyle w:val="ECDSBody"/>
            </w:pPr>
            <w:r w:rsidRPr="005D4222">
              <w:t>Risk of Continued Opioid Use</w:t>
            </w:r>
            <w:r w:rsidRPr="005D4222">
              <w:rPr>
                <w:b/>
              </w:rPr>
              <w:t>*</w:t>
            </w:r>
          </w:p>
        </w:tc>
        <w:tc>
          <w:tcPr>
            <w:tcW w:w="2073" w:type="dxa"/>
            <w:shd w:val="clear" w:color="auto" w:fill="BFBFBF" w:themeFill="background1" w:themeFillShade="BF"/>
            <w:tcMar>
              <w:top w:w="0" w:type="dxa"/>
              <w:left w:w="86" w:type="dxa"/>
              <w:bottom w:w="43" w:type="dxa"/>
              <w:right w:w="86" w:type="dxa"/>
            </w:tcMar>
          </w:tcPr>
          <w:p w14:paraId="185690FA" w14:textId="77777777" w:rsidR="00455694" w:rsidRPr="005D4222" w:rsidRDefault="00455694">
            <w:pPr>
              <w:pStyle w:val="ECDSMarginHead"/>
            </w:pPr>
            <w:r w:rsidRPr="005D4222">
              <w:t>Measure ID</w:t>
            </w:r>
          </w:p>
        </w:tc>
        <w:tc>
          <w:tcPr>
            <w:tcW w:w="1186" w:type="dxa"/>
            <w:tcMar>
              <w:top w:w="0" w:type="dxa"/>
              <w:left w:w="86" w:type="dxa"/>
              <w:bottom w:w="43" w:type="dxa"/>
              <w:right w:w="86" w:type="dxa"/>
            </w:tcMar>
          </w:tcPr>
          <w:p w14:paraId="4C0494F8" w14:textId="77777777" w:rsidR="00455694" w:rsidRPr="005D4222" w:rsidRDefault="00455694">
            <w:pPr>
              <w:pStyle w:val="ECDSBody"/>
            </w:pPr>
            <w:r w:rsidRPr="005D4222">
              <w:t xml:space="preserve">COU </w:t>
            </w:r>
          </w:p>
        </w:tc>
      </w:tr>
      <w:tr w:rsidR="00455694" w:rsidRPr="005D4222" w14:paraId="7DF7F0A7" w14:textId="77777777">
        <w:tc>
          <w:tcPr>
            <w:tcW w:w="2157" w:type="dxa"/>
            <w:shd w:val="clear" w:color="auto" w:fill="BFBFBF" w:themeFill="background1" w:themeFillShade="BF"/>
            <w:tcMar>
              <w:top w:w="0" w:type="dxa"/>
              <w:left w:w="86" w:type="dxa"/>
              <w:bottom w:w="43" w:type="dxa"/>
              <w:right w:w="86" w:type="dxa"/>
            </w:tcMar>
            <w:hideMark/>
          </w:tcPr>
          <w:p w14:paraId="6841EF9F" w14:textId="77777777" w:rsidR="00455694" w:rsidRPr="005D4222" w:rsidRDefault="00455694">
            <w:pPr>
              <w:pStyle w:val="ECDSMarginHead"/>
            </w:pPr>
            <w:r w:rsidRPr="005D4222">
              <w:t>Description</w:t>
            </w:r>
          </w:p>
        </w:tc>
        <w:tc>
          <w:tcPr>
            <w:tcW w:w="7557" w:type="dxa"/>
            <w:gridSpan w:val="3"/>
            <w:tcMar>
              <w:top w:w="0" w:type="dxa"/>
              <w:left w:w="86" w:type="dxa"/>
              <w:bottom w:w="43" w:type="dxa"/>
              <w:right w:w="86" w:type="dxa"/>
            </w:tcMar>
          </w:tcPr>
          <w:p w14:paraId="44928745" w14:textId="77777777" w:rsidR="00455694" w:rsidRPr="005D4222" w:rsidRDefault="00455694">
            <w:pPr>
              <w:pStyle w:val="ECDSBody"/>
            </w:pPr>
            <w:r w:rsidRPr="005D4222">
              <w:t>The percentage of persons 18 years of age and older who have a new episode of opioid use that puts them at risk for continued opioid use. Two rates are reported:</w:t>
            </w:r>
          </w:p>
          <w:p w14:paraId="445C3A1B" w14:textId="77777777" w:rsidR="00455694" w:rsidRPr="005D4222" w:rsidRDefault="00455694" w:rsidP="00FF11D4">
            <w:pPr>
              <w:pStyle w:val="Body"/>
              <w:spacing w:before="80" w:after="80"/>
              <w:ind w:left="648" w:hanging="288"/>
            </w:pPr>
            <w:r w:rsidRPr="005D4222">
              <w:t>1.</w:t>
            </w:r>
            <w:r w:rsidRPr="005D4222">
              <w:tab/>
              <w:t>The percentage of persons with at least 15 days of prescription opioids in a 30-day period.</w:t>
            </w:r>
          </w:p>
          <w:p w14:paraId="212E080F" w14:textId="77777777" w:rsidR="00455694" w:rsidRPr="005D4222" w:rsidRDefault="00455694" w:rsidP="00FF11D4">
            <w:pPr>
              <w:pStyle w:val="Body"/>
              <w:spacing w:before="80" w:after="80"/>
              <w:ind w:left="648" w:hanging="288"/>
            </w:pPr>
            <w:r w:rsidRPr="005D4222">
              <w:t>2.</w:t>
            </w:r>
            <w:r w:rsidRPr="005D4222">
              <w:tab/>
              <w:t>The percentage of persons with at least 31 days of prescription opioids in a 62-day period.</w:t>
            </w:r>
          </w:p>
        </w:tc>
      </w:tr>
      <w:tr w:rsidR="00455694" w:rsidRPr="005D4222" w14:paraId="38D78508" w14:textId="77777777">
        <w:tc>
          <w:tcPr>
            <w:tcW w:w="2157" w:type="dxa"/>
            <w:shd w:val="clear" w:color="auto" w:fill="BFBFBF" w:themeFill="background1" w:themeFillShade="BF"/>
            <w:tcMar>
              <w:top w:w="0" w:type="dxa"/>
              <w:left w:w="86" w:type="dxa"/>
              <w:bottom w:w="43" w:type="dxa"/>
              <w:right w:w="86" w:type="dxa"/>
            </w:tcMar>
          </w:tcPr>
          <w:p w14:paraId="2BD82244" w14:textId="77777777" w:rsidR="00455694" w:rsidRPr="005D4222" w:rsidRDefault="00455694">
            <w:pPr>
              <w:pStyle w:val="ECDSMarginHead"/>
            </w:pPr>
            <w:r w:rsidRPr="005D4222">
              <w:t>Measurement period</w:t>
            </w:r>
          </w:p>
        </w:tc>
        <w:tc>
          <w:tcPr>
            <w:tcW w:w="7557" w:type="dxa"/>
            <w:gridSpan w:val="3"/>
            <w:tcMar>
              <w:top w:w="0" w:type="dxa"/>
              <w:left w:w="86" w:type="dxa"/>
              <w:bottom w:w="43" w:type="dxa"/>
              <w:right w:w="86" w:type="dxa"/>
            </w:tcMar>
          </w:tcPr>
          <w:p w14:paraId="1DA75E40" w14:textId="77777777" w:rsidR="00455694" w:rsidRPr="005D4222" w:rsidRDefault="00455694">
            <w:pPr>
              <w:pStyle w:val="ECDSBody"/>
            </w:pPr>
            <w:r w:rsidRPr="005D4222">
              <w:t>January 1–December 31.</w:t>
            </w:r>
          </w:p>
        </w:tc>
      </w:tr>
      <w:tr w:rsidR="00455694" w:rsidRPr="005D4222" w14:paraId="4653FE28" w14:textId="77777777">
        <w:tc>
          <w:tcPr>
            <w:tcW w:w="2157" w:type="dxa"/>
            <w:shd w:val="clear" w:color="auto" w:fill="BFBFBF" w:themeFill="background1" w:themeFillShade="BF"/>
            <w:tcMar>
              <w:top w:w="0" w:type="dxa"/>
              <w:left w:w="86" w:type="dxa"/>
              <w:bottom w:w="43" w:type="dxa"/>
              <w:right w:w="86" w:type="dxa"/>
            </w:tcMar>
            <w:hideMark/>
          </w:tcPr>
          <w:p w14:paraId="3F175E32" w14:textId="77777777" w:rsidR="00455694" w:rsidRPr="005D4222" w:rsidRDefault="00455694">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7E857947" w14:textId="77777777" w:rsidR="00455694" w:rsidRPr="005D4222" w:rsidRDefault="00455694">
            <w:pPr>
              <w:pStyle w:val="Body"/>
              <w:ind w:left="92" w:hanging="92"/>
              <w:rPr>
                <w:rFonts w:cs="Arial"/>
                <w:i/>
                <w:iCs/>
                <w:szCs w:val="21"/>
              </w:rPr>
            </w:pPr>
            <w:r w:rsidRPr="005D4222">
              <w:rPr>
                <w:rFonts w:cs="Arial"/>
                <w:i/>
                <w:iCs/>
                <w:szCs w:val="21"/>
              </w:rPr>
              <w:t xml:space="preserve">*Adapted with financial support from the Centers for Medicare &amp; Medicaid Services and with permission from the measure developer, Minnesota Department of Human Services. </w:t>
            </w:r>
          </w:p>
          <w:p w14:paraId="618AA62E" w14:textId="77777777" w:rsidR="00455694" w:rsidRPr="005D4222" w:rsidRDefault="00455694">
            <w:pPr>
              <w:pStyle w:val="ECDSBody"/>
            </w:pPr>
            <w:r w:rsidRPr="005D4222">
              <w:t xml:space="preserve">Refer to the complete copyright and disclaimer information at the front of this publication. </w:t>
            </w:r>
          </w:p>
          <w:p w14:paraId="1F1629A0" w14:textId="77777777" w:rsidR="00455694" w:rsidRPr="005D4222" w:rsidRDefault="00455694">
            <w:pPr>
              <w:pStyle w:val="ECDSBody"/>
              <w:spacing w:before="80"/>
            </w:pPr>
            <w:r w:rsidRPr="005D4222">
              <w:t xml:space="preserve">NCQA website: </w:t>
            </w:r>
            <w:r w:rsidRPr="005D4222">
              <w:rPr>
                <w:u w:val="single"/>
              </w:rPr>
              <w:t>www.ncqa.org</w:t>
            </w:r>
            <w:r w:rsidRPr="005D4222">
              <w:t>.</w:t>
            </w:r>
          </w:p>
          <w:p w14:paraId="30479CB8" w14:textId="77777777" w:rsidR="00455694" w:rsidRPr="005D4222" w:rsidRDefault="00455694">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455694" w:rsidRPr="005D4222" w14:paraId="0BE10E19" w14:textId="77777777">
        <w:trPr>
          <w:trHeight w:val="655"/>
        </w:trPr>
        <w:tc>
          <w:tcPr>
            <w:tcW w:w="2157" w:type="dxa"/>
            <w:shd w:val="clear" w:color="auto" w:fill="BFBFBF" w:themeFill="background1" w:themeFillShade="BF"/>
            <w:tcMar>
              <w:top w:w="0" w:type="dxa"/>
              <w:left w:w="86" w:type="dxa"/>
              <w:bottom w:w="43" w:type="dxa"/>
              <w:right w:w="86" w:type="dxa"/>
            </w:tcMar>
            <w:hideMark/>
          </w:tcPr>
          <w:p w14:paraId="1F4A3108" w14:textId="77777777" w:rsidR="00455694" w:rsidRPr="005D4222" w:rsidRDefault="00455694">
            <w:pPr>
              <w:pStyle w:val="ECDSMarginHead"/>
            </w:pPr>
            <w:r w:rsidRPr="005D4222">
              <w:t>Clinical recommendation statement/ rationale</w:t>
            </w:r>
          </w:p>
        </w:tc>
        <w:tc>
          <w:tcPr>
            <w:tcW w:w="7557" w:type="dxa"/>
            <w:gridSpan w:val="3"/>
            <w:tcMar>
              <w:top w:w="0" w:type="dxa"/>
              <w:left w:w="86" w:type="dxa"/>
              <w:bottom w:w="43" w:type="dxa"/>
              <w:right w:w="86" w:type="dxa"/>
            </w:tcMar>
          </w:tcPr>
          <w:p w14:paraId="7C47B3FA" w14:textId="77777777" w:rsidR="00455694" w:rsidRPr="005D4222" w:rsidRDefault="00455694">
            <w:pPr>
              <w:pStyle w:val="ECDSBody"/>
            </w:pPr>
            <w:r w:rsidRPr="005D4222">
              <w:t>Literature suggests that long-term opioid use often begins with the treatment of acute pain, and a relationship exists between early prescribing patterns and long-term use of opioids (Shah et al. 2017b). The Centers for Disease Control and Prevention (CDC) Guideline for Prescribing Opioids for Chronic Pain recommends minimizing opioid supply to “no greater quantity than needed for the expected duration of pain severe enough to require opioids” (CDC, 2022).</w:t>
            </w:r>
          </w:p>
          <w:p w14:paraId="65D0873D" w14:textId="77777777" w:rsidR="00455694" w:rsidRPr="005D4222" w:rsidRDefault="00455694">
            <w:pPr>
              <w:pStyle w:val="ECDSBody"/>
            </w:pPr>
            <w:r w:rsidRPr="005D4222">
              <w:t>Continued opioid use for noncancer pain is associated with increased risk of opioid use disorder, opioid-related overdose, hospitalization and opioid overdose-related mortality (Edlund et al. 2014; Dunn et al. 2010; Deyo et al. 2016; Paulozzi et al. 2012; Shah et al. 2017a). Studies find a consistent link between increasing days supply of the first prescription with probability of continued opioid use, and the rate of opioid use at 1 year post-initial prescription increases substantially for patients with 31 or more days of opioid therapy (Shah et al. 2017a; Shah et al. 2017b).</w:t>
            </w:r>
          </w:p>
        </w:tc>
      </w:tr>
      <w:tr w:rsidR="00455694" w:rsidRPr="005D4222" w14:paraId="4064DCCA" w14:textId="77777777">
        <w:tc>
          <w:tcPr>
            <w:tcW w:w="2157" w:type="dxa"/>
            <w:shd w:val="clear" w:color="auto" w:fill="BFBFBF" w:themeFill="background1" w:themeFillShade="BF"/>
            <w:tcMar>
              <w:top w:w="0" w:type="dxa"/>
              <w:left w:w="86" w:type="dxa"/>
              <w:bottom w:w="43" w:type="dxa"/>
              <w:right w:w="86" w:type="dxa"/>
            </w:tcMar>
          </w:tcPr>
          <w:p w14:paraId="53E68DE0" w14:textId="77777777" w:rsidR="00455694" w:rsidRPr="005D4222" w:rsidRDefault="00455694">
            <w:pPr>
              <w:pStyle w:val="ECDSMarginHead"/>
            </w:pPr>
            <w:r w:rsidRPr="005D4222">
              <w:t>Citations</w:t>
            </w:r>
          </w:p>
        </w:tc>
        <w:tc>
          <w:tcPr>
            <w:tcW w:w="7557" w:type="dxa"/>
            <w:gridSpan w:val="3"/>
            <w:tcMar>
              <w:top w:w="0" w:type="dxa"/>
              <w:left w:w="86" w:type="dxa"/>
              <w:bottom w:w="43" w:type="dxa"/>
              <w:right w:w="86" w:type="dxa"/>
            </w:tcMar>
          </w:tcPr>
          <w:p w14:paraId="4EDDBE70" w14:textId="77777777" w:rsidR="00455694" w:rsidRPr="005D4222" w:rsidRDefault="00455694">
            <w:pPr>
              <w:pStyle w:val="ECDSBody"/>
            </w:pPr>
            <w:r w:rsidRPr="005D4222">
              <w:t>CDC. 2022. “CDC Clinical Practice Guideline for Prescribing Opioids for Pain —United States, 2022.” https://www.cdc.gov/mmwr/volumes/71/rr/rr7103a1.htm?s_cid=rr7103a1.htm_w (Accessed April 7, 2024.)</w:t>
            </w:r>
          </w:p>
          <w:p w14:paraId="2BDFB664" w14:textId="77777777" w:rsidR="00455694" w:rsidRPr="005D4222" w:rsidRDefault="00455694">
            <w:pPr>
              <w:pStyle w:val="ECDSBody"/>
            </w:pPr>
            <w:r w:rsidRPr="005D4222">
              <w:t xml:space="preserve">Deyo, R.A., S.E. Hallvik, C. Hildebran, M. Marino, E. Dexter, J.M. Irvine, N. O’Kane, J. Van Otterloo, D.A. Wright, G. Leichtling, and L.M. Millet. 2016. “Association Between Initial Opioid Prescribing Patterns and Subsequent Long-Term Use Among Opioid-Naïve Patients: A Statewide Retrospective Cohort Study.” </w:t>
            </w:r>
            <w:r w:rsidRPr="005D4222">
              <w:rPr>
                <w:i/>
                <w:iCs/>
              </w:rPr>
              <w:t>Journal of General Internal Medicine</w:t>
            </w:r>
            <w:r w:rsidRPr="005D4222">
              <w:t xml:space="preserve"> 32(1): 21–7.</w:t>
            </w:r>
          </w:p>
        </w:tc>
      </w:tr>
      <w:tr w:rsidR="00455694" w:rsidRPr="005D4222" w14:paraId="4AADCD73" w14:textId="77777777">
        <w:tc>
          <w:tcPr>
            <w:tcW w:w="2157" w:type="dxa"/>
            <w:shd w:val="clear" w:color="auto" w:fill="BFBFBF" w:themeFill="background1" w:themeFillShade="BF"/>
            <w:tcMar>
              <w:top w:w="0" w:type="dxa"/>
              <w:left w:w="86" w:type="dxa"/>
              <w:bottom w:w="43" w:type="dxa"/>
              <w:right w:w="86" w:type="dxa"/>
            </w:tcMar>
          </w:tcPr>
          <w:p w14:paraId="0A9FF3C1" w14:textId="77777777" w:rsidR="00455694" w:rsidRPr="005D4222" w:rsidRDefault="00455694">
            <w:pPr>
              <w:pStyle w:val="ECDSMarginHead"/>
            </w:pPr>
          </w:p>
        </w:tc>
        <w:tc>
          <w:tcPr>
            <w:tcW w:w="7557" w:type="dxa"/>
            <w:gridSpan w:val="3"/>
            <w:tcMar>
              <w:top w:w="0" w:type="dxa"/>
              <w:left w:w="86" w:type="dxa"/>
              <w:bottom w:w="43" w:type="dxa"/>
              <w:right w:w="86" w:type="dxa"/>
            </w:tcMar>
          </w:tcPr>
          <w:p w14:paraId="3556D941" w14:textId="77777777" w:rsidR="00455694" w:rsidRPr="005D4222" w:rsidRDefault="00455694">
            <w:pPr>
              <w:pStyle w:val="ECDSBody"/>
            </w:pPr>
            <w:r w:rsidRPr="005D4222">
              <w:t xml:space="preserve">Dunn, K.M., K.W. Saunders, C.M. Rutter, C.J. Banta-Green, J.O. Merrill, M.D. Sullivan, M. Von Korff. 2010. “Overdose and Prescribed Opioids: Associations Among Chronic Non-Cancer Pain Patients.” </w:t>
            </w:r>
            <w:r w:rsidRPr="005D4222">
              <w:rPr>
                <w:i/>
                <w:iCs/>
              </w:rPr>
              <w:t>Annals of Internal Medicine</w:t>
            </w:r>
            <w:r w:rsidRPr="005D4222">
              <w:t xml:space="preserve"> 152(2): 85–92.</w:t>
            </w:r>
          </w:p>
          <w:p w14:paraId="5FD9578C" w14:textId="77777777" w:rsidR="00455694" w:rsidRPr="005D4222" w:rsidRDefault="00455694">
            <w:pPr>
              <w:pStyle w:val="ECDSBody"/>
            </w:pPr>
            <w:r w:rsidRPr="005D4222">
              <w:t xml:space="preserve">Edlund, M.J., B.C. Martin, J.E. Russo, A. DeVries, J.B. Braden, and M.D. Sullivan.2014. “The Role of Opioid Prescription in Incident Opioid Abuse and Dependence Among Individuals With Chronic Noncancer Pain: The Role of Opioid Prescription.” </w:t>
            </w:r>
            <w:r w:rsidRPr="005D4222">
              <w:rPr>
                <w:i/>
                <w:iCs/>
              </w:rPr>
              <w:t>Clin J Pain</w:t>
            </w:r>
            <w:r w:rsidRPr="005D4222">
              <w:t xml:space="preserve"> 30:557–64.</w:t>
            </w:r>
          </w:p>
          <w:p w14:paraId="300073E5" w14:textId="77777777" w:rsidR="00455694" w:rsidRPr="005D4222" w:rsidRDefault="00455694">
            <w:pPr>
              <w:pStyle w:val="ECDSBody"/>
            </w:pPr>
            <w:r w:rsidRPr="005D4222">
              <w:t xml:space="preserve">Paulozzi, L.J., E.M. Kilbourne, N.G. Shah, K.B. Nolte, H.A. Desai, M.G. Landen, W. Harvey, and L.D. Loring. 2012. “A History of Being Prescribed Controlled Substances and Risk of Drug Overdose Death.” </w:t>
            </w:r>
            <w:r w:rsidRPr="005D4222">
              <w:rPr>
                <w:i/>
                <w:iCs/>
              </w:rPr>
              <w:t>Pain Medicine</w:t>
            </w:r>
            <w:r w:rsidRPr="005D4222">
              <w:t xml:space="preserve"> 13(1): 87–95.</w:t>
            </w:r>
          </w:p>
          <w:p w14:paraId="1C6AF076" w14:textId="77777777" w:rsidR="00455694" w:rsidRPr="005D4222" w:rsidRDefault="00455694">
            <w:pPr>
              <w:pStyle w:val="ECDSBody"/>
            </w:pPr>
            <w:r w:rsidRPr="005D4222">
              <w:t xml:space="preserve">Shah, A., C.J. Hayes, and B.C. Martin. 2017a. “Characteristics of Initial Prescription Episodes and Likelihood of long-Term Opioid Use—United States, 2006–2015.” </w:t>
            </w:r>
            <w:r w:rsidRPr="005D4222">
              <w:rPr>
                <w:i/>
                <w:iCs/>
              </w:rPr>
              <w:t>Morbidity and Mortality Weekly Report</w:t>
            </w:r>
            <w:r w:rsidRPr="005D4222">
              <w:t xml:space="preserve"> 66(10): 265–9.</w:t>
            </w:r>
          </w:p>
          <w:p w14:paraId="4D97914B" w14:textId="77777777" w:rsidR="00455694" w:rsidRPr="005D4222" w:rsidRDefault="00455694">
            <w:pPr>
              <w:pStyle w:val="ECDSBody"/>
            </w:pPr>
            <w:r w:rsidRPr="005D4222">
              <w:t xml:space="preserve">Shah, A., C.J. Hayes, and B.C. Martin. 2017b. “Factors Influencing Long-Term Opioid Use Among Opioid Naive Patients: An Examination of Initial Prescription Characteristics and Pain Etiologies.” </w:t>
            </w:r>
            <w:r w:rsidRPr="005D4222">
              <w:rPr>
                <w:i/>
                <w:iCs/>
              </w:rPr>
              <w:t>The Journal of Pain</w:t>
            </w:r>
            <w:r w:rsidRPr="005D4222">
              <w:t xml:space="preserve"> 18(11): 1374–383. DOI:10.1016/j.jpain.2017.06.010.</w:t>
            </w:r>
          </w:p>
        </w:tc>
      </w:tr>
      <w:tr w:rsidR="00455694" w:rsidRPr="005D4222" w14:paraId="54D3747B" w14:textId="77777777">
        <w:tc>
          <w:tcPr>
            <w:tcW w:w="9714"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08AFA181" w14:textId="77777777" w:rsidR="00455694" w:rsidRPr="005D4222" w:rsidRDefault="00455694">
            <w:pPr>
              <w:pStyle w:val="ECDSMarginHead"/>
            </w:pPr>
            <w:r w:rsidRPr="005D4222">
              <w:t>Characteristics</w:t>
            </w:r>
          </w:p>
        </w:tc>
      </w:tr>
      <w:tr w:rsidR="00455694" w:rsidRPr="005D4222" w14:paraId="531D50AD" w14:textId="77777777">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4F286960" w14:textId="77777777" w:rsidR="00455694" w:rsidRPr="005D4222" w:rsidRDefault="00455694" w:rsidP="000C3E85">
            <w:pPr>
              <w:pStyle w:val="ECDSSubhead"/>
            </w:pPr>
            <w:r w:rsidRPr="005D4222">
              <w:t>Scoring</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5C5F67C8" w14:textId="77777777" w:rsidR="00455694" w:rsidRPr="005D4222" w:rsidRDefault="00455694" w:rsidP="000C3E85">
            <w:pPr>
              <w:pStyle w:val="ECDSBody"/>
              <w:spacing w:after="0"/>
            </w:pPr>
            <w:r w:rsidRPr="005D4222">
              <w:t>Proportion.</w:t>
            </w:r>
          </w:p>
        </w:tc>
      </w:tr>
      <w:tr w:rsidR="00455694" w:rsidRPr="005D4222" w14:paraId="3DC7DAFD"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26ACE1B4" w14:textId="77777777" w:rsidR="00455694" w:rsidRPr="005D4222" w:rsidRDefault="00455694" w:rsidP="000C3E85">
            <w:pPr>
              <w:pStyle w:val="ECDSSubhead"/>
            </w:pPr>
            <w:r w:rsidRPr="005D4222">
              <w:t>Type</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515B7C99" w14:textId="77777777" w:rsidR="00455694" w:rsidRPr="005D4222" w:rsidRDefault="00455694" w:rsidP="000C3E85">
            <w:pPr>
              <w:pStyle w:val="ECDSBody"/>
              <w:spacing w:after="0"/>
            </w:pPr>
            <w:r w:rsidRPr="005D4222">
              <w:t>Process.</w:t>
            </w:r>
          </w:p>
        </w:tc>
      </w:tr>
      <w:tr w:rsidR="00455694" w:rsidRPr="005D4222" w14:paraId="7E5E6589"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3728FAD8" w14:textId="05D13A37" w:rsidR="00455694" w:rsidRPr="005D4222" w:rsidRDefault="00B51CDC" w:rsidP="000C3E85">
            <w:pPr>
              <w:pStyle w:val="ECDSSubhead"/>
            </w:pPr>
            <w:r w:rsidRPr="005D4222">
              <w:t>Product lines</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3A2C0FA1" w14:textId="77777777" w:rsidR="00455694" w:rsidRPr="005D4222" w:rsidRDefault="00455694" w:rsidP="000C3E85">
            <w:pPr>
              <w:pStyle w:val="ProcessBullet"/>
              <w:spacing w:before="120"/>
            </w:pPr>
            <w:r w:rsidRPr="005D4222">
              <w:t>Commercial.</w:t>
            </w:r>
          </w:p>
          <w:p w14:paraId="47606130" w14:textId="77777777" w:rsidR="00455694" w:rsidRPr="005D4222" w:rsidRDefault="00455694" w:rsidP="000C3E85">
            <w:pPr>
              <w:pStyle w:val="ProcessBullet"/>
            </w:pPr>
            <w:r w:rsidRPr="005D4222">
              <w:t>Medicaid.</w:t>
            </w:r>
          </w:p>
          <w:p w14:paraId="577D5623" w14:textId="77777777" w:rsidR="00455694" w:rsidRPr="005D4222" w:rsidRDefault="00455694" w:rsidP="000C3E85">
            <w:pPr>
              <w:pStyle w:val="ProcessBullet"/>
            </w:pPr>
            <w:r w:rsidRPr="005D4222">
              <w:t>Medicare.</w:t>
            </w:r>
          </w:p>
        </w:tc>
      </w:tr>
      <w:tr w:rsidR="00455694" w:rsidRPr="005D4222" w14:paraId="1B434429"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066A3D65" w14:textId="313E7EE2" w:rsidR="00455694" w:rsidRPr="005D4222" w:rsidRDefault="00B51CDC" w:rsidP="000C3E85">
            <w:pPr>
              <w:pStyle w:val="ECDSSubhead"/>
            </w:pPr>
            <w:r w:rsidRPr="005D4222">
              <w:t>Stratifications</w:t>
            </w:r>
            <w:r w:rsidR="00455694" w:rsidRPr="005D4222">
              <w:t xml:space="preserve"> </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34C212A6" w14:textId="77777777" w:rsidR="00455694" w:rsidRPr="005D4222" w:rsidRDefault="00455694" w:rsidP="000C3E85">
            <w:pPr>
              <w:pStyle w:val="ECDSBody"/>
              <w:spacing w:after="0"/>
              <w:rPr>
                <w:rFonts w:eastAsia="Arial,Arial,Arial,Arial,Arial,A"/>
              </w:rPr>
            </w:pPr>
            <w:r w:rsidRPr="005D4222">
              <w:rPr>
                <w:rFonts w:eastAsia="Arial,Arial,Arial,Arial,Arial,A"/>
              </w:rPr>
              <w:t xml:space="preserve">Age </w:t>
            </w:r>
            <w:r w:rsidRPr="005D4222">
              <w:rPr>
                <w:rFonts w:eastAsia="Arial,Arial,Times New Roman"/>
              </w:rPr>
              <w:t>as of November 1 of the year prior to the measurement period</w:t>
            </w:r>
            <w:r w:rsidRPr="005D4222">
              <w:rPr>
                <w:rFonts w:eastAsia="Arial,Arial,Arial,Arial,Arial,A"/>
              </w:rPr>
              <w:t>.</w:t>
            </w:r>
          </w:p>
          <w:p w14:paraId="145244AC" w14:textId="77777777" w:rsidR="00455694" w:rsidRPr="005D4222" w:rsidRDefault="00455694" w:rsidP="000C3E85">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18–64 years.</w:t>
            </w:r>
          </w:p>
          <w:p w14:paraId="33213036" w14:textId="77777777" w:rsidR="00455694" w:rsidRPr="005D4222" w:rsidRDefault="00455694" w:rsidP="000C3E85">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 xml:space="preserve">65 years and older. </w:t>
            </w:r>
          </w:p>
        </w:tc>
      </w:tr>
      <w:tr w:rsidR="00455694" w:rsidRPr="005D4222" w14:paraId="48820BC1"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7E9AA9BD" w14:textId="77777777" w:rsidR="00455694" w:rsidRPr="005D4222" w:rsidRDefault="00455694" w:rsidP="000C3E85">
            <w:pPr>
              <w:pStyle w:val="ECDSSubhead"/>
            </w:pPr>
            <w:r w:rsidRPr="005D4222">
              <w:t>Risk adjustment</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0E6EB77E" w14:textId="77777777" w:rsidR="00455694" w:rsidRPr="005D4222" w:rsidRDefault="00455694" w:rsidP="000C3E85">
            <w:pPr>
              <w:pStyle w:val="ECDSBody"/>
              <w:spacing w:after="0"/>
            </w:pPr>
            <w:r w:rsidRPr="005D4222">
              <w:t>None.</w:t>
            </w:r>
          </w:p>
        </w:tc>
      </w:tr>
      <w:tr w:rsidR="00455694" w:rsidRPr="005D4222" w14:paraId="7C46C0AE" w14:textId="7777777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4009C0AF" w14:textId="77777777" w:rsidR="00455694" w:rsidRPr="005D4222" w:rsidRDefault="00455694" w:rsidP="000C3E85">
            <w:pPr>
              <w:pStyle w:val="ECDSSubhead"/>
            </w:pPr>
            <w:r w:rsidRPr="005D4222">
              <w:t>Improvement notation</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5131BDAF" w14:textId="77777777" w:rsidR="00455694" w:rsidRPr="005D4222" w:rsidRDefault="00455694" w:rsidP="000C3E85">
            <w:pPr>
              <w:pStyle w:val="ECDSBody"/>
              <w:spacing w:after="0"/>
            </w:pPr>
            <w:r w:rsidRPr="005D4222">
              <w:t>Decreased score indicates improvement.</w:t>
            </w:r>
          </w:p>
        </w:tc>
      </w:tr>
      <w:tr w:rsidR="00455694" w:rsidRPr="005D4222" w14:paraId="11232EC6" w14:textId="77777777">
        <w:trPr>
          <w:trHeight w:val="633"/>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415AD8CF" w14:textId="77777777" w:rsidR="00455694" w:rsidRPr="005D4222" w:rsidRDefault="00455694" w:rsidP="000C3E85">
            <w:pPr>
              <w:pStyle w:val="ECDSSubhead"/>
            </w:pPr>
            <w:r w:rsidRPr="005D4222">
              <w:t xml:space="preserve">Guidance </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553C51F1" w14:textId="3C954D42" w:rsidR="00455694" w:rsidRPr="005D4222" w:rsidRDefault="00455694">
            <w:pPr>
              <w:pStyle w:val="ECDSBody"/>
            </w:pPr>
            <w:r w:rsidRPr="005D4222">
              <w:rPr>
                <w:b/>
              </w:rPr>
              <w:t>Data collection methodology</w:t>
            </w:r>
            <w:r w:rsidRPr="005D4222">
              <w:rPr>
                <w:b/>
                <w:bCs w:val="0"/>
              </w:rPr>
              <w:t>:</w:t>
            </w:r>
            <w:r w:rsidRPr="005D4222">
              <w:t xml:space="preserve"> Administrative. Refer to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0620751A" w14:textId="77777777" w:rsidR="00455694" w:rsidRPr="005D4222" w:rsidRDefault="00455694">
            <w:pPr>
              <w:pStyle w:val="ECDSBody"/>
            </w:pPr>
            <w:r w:rsidRPr="005D4222">
              <w:rPr>
                <w:b/>
              </w:rPr>
              <w:t xml:space="preserve">Date specificity: </w:t>
            </w:r>
            <w:r w:rsidRPr="005D4222">
              <w:t>Dates must be specific enough to determine the event occurred in the period being measured.</w:t>
            </w:r>
          </w:p>
          <w:p w14:paraId="2639252A" w14:textId="77777777" w:rsidR="00455694" w:rsidRPr="005D4222" w:rsidRDefault="00455694">
            <w:pPr>
              <w:pStyle w:val="ECDSBody"/>
              <w:rPr>
                <w:b/>
              </w:rPr>
            </w:pPr>
            <w:r w:rsidRPr="005D4222">
              <w:rPr>
                <w:b/>
              </w:rPr>
              <w:t>Which services count?</w:t>
            </w:r>
          </w:p>
          <w:p w14:paraId="79537101" w14:textId="77777777" w:rsidR="00455694" w:rsidRPr="005D4222" w:rsidRDefault="00455694">
            <w:pPr>
              <w:pStyle w:val="ProcessBullet"/>
              <w:spacing w:after="80"/>
              <w:rPr>
                <w:rFonts w:cs="Arial"/>
              </w:rPr>
            </w:pPr>
            <w:r w:rsidRPr="005D4222">
              <w:t xml:space="preserve">Do not include denied claims when identifying </w:t>
            </w:r>
            <w:r w:rsidRPr="005D4222">
              <w:rPr>
                <w:rFonts w:cs="Arial"/>
                <w:color w:val="000000"/>
              </w:rPr>
              <w:t>initial population</w:t>
            </w:r>
            <w:r w:rsidRPr="005D4222">
              <w:t xml:space="preserve"> and numerator events; only include claims the organization paid for or expects to pay for (i.e., claims incurred but not paid).</w:t>
            </w:r>
          </w:p>
        </w:tc>
      </w:tr>
    </w:tbl>
    <w:p w14:paraId="0DC61BB4" w14:textId="77777777" w:rsidR="00455694" w:rsidRPr="005D4222" w:rsidRDefault="00455694" w:rsidP="00455694"/>
    <w:tbl>
      <w:tblPr>
        <w:tblW w:w="9714" w:type="dxa"/>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455694" w:rsidRPr="005D4222" w14:paraId="341ECF66" w14:textId="77777777" w:rsidTr="000C3E85">
        <w:tc>
          <w:tcPr>
            <w:tcW w:w="21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4217D98" w14:textId="77777777" w:rsidR="00455694" w:rsidRPr="005D4222" w:rsidRDefault="00455694">
            <w:pPr>
              <w:pStyle w:val="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3DBE259" w14:textId="77777777" w:rsidR="00455694" w:rsidRPr="005D4222" w:rsidRDefault="00455694">
            <w:pPr>
              <w:pStyle w:val="ProcessBullet"/>
              <w:spacing w:after="80"/>
              <w:rPr>
                <w:rFonts w:cs="Arial"/>
                <w:color w:val="000000"/>
              </w:rPr>
            </w:pPr>
            <w:r w:rsidRPr="005D4222">
              <w:t>Include all paid, suspended, pending and denied claims to identify the denominator exclusions.</w:t>
            </w:r>
          </w:p>
          <w:p w14:paraId="758737A9" w14:textId="77777777" w:rsidR="00455694" w:rsidRPr="005D4222" w:rsidRDefault="00455694">
            <w:pPr>
              <w:pStyle w:val="Body"/>
              <w:rPr>
                <w:iCs/>
              </w:rPr>
            </w:pPr>
            <w:r w:rsidRPr="005D4222">
              <w:rPr>
                <w:b/>
                <w:bCs/>
              </w:rPr>
              <w:t>Supplemental data exceptions:</w:t>
            </w:r>
            <w:r w:rsidRPr="005D4222">
              <w:rPr>
                <w:iCs/>
              </w:rPr>
              <w:t xml:space="preserve"> Supplemental data may not be used for this measure, except for denominator exclusions.</w:t>
            </w:r>
          </w:p>
          <w:p w14:paraId="5F6F4B99" w14:textId="77777777" w:rsidR="00455694" w:rsidRPr="005D4222" w:rsidRDefault="00455694">
            <w:pPr>
              <w:pStyle w:val="Body"/>
              <w:rPr>
                <w:b/>
                <w:bCs/>
              </w:rPr>
            </w:pPr>
            <w:r w:rsidRPr="005D4222">
              <w:rPr>
                <w:b/>
                <w:bCs/>
              </w:rPr>
              <w:t xml:space="preserve">Medication list: </w:t>
            </w:r>
          </w:p>
          <w:p w14:paraId="4BB41A80" w14:textId="77777777" w:rsidR="00455694" w:rsidRPr="005D4222" w:rsidRDefault="00455694" w:rsidP="000C3E85">
            <w:pPr>
              <w:pStyle w:val="ProcessBullet"/>
            </w:pPr>
            <w:r w:rsidRPr="005D4222">
              <w:t xml:space="preserve">If </w:t>
            </w:r>
            <w:r w:rsidRPr="005D4222" w:rsidDel="00567CFD">
              <w:t xml:space="preserve">an organization uses both pharmacy data (NDC codes) and clinical data (RxNorm codes) for reporting, and </w:t>
            </w:r>
            <w:r w:rsidRPr="005D4222">
              <w:t xml:space="preserve">there are both NDC and RxNorm codes on the same date of service, use only one data source for the date of service. </w:t>
            </w:r>
          </w:p>
          <w:p w14:paraId="57698C3F" w14:textId="77777777" w:rsidR="00455694" w:rsidRPr="005D4222" w:rsidRDefault="00455694" w:rsidP="000C3E85">
            <w:pPr>
              <w:pStyle w:val="ProcessBullet"/>
            </w:pPr>
            <w:r w:rsidRPr="005D4222">
              <w:t xml:space="preserve">This measure does not include the following opioid medications: </w:t>
            </w:r>
          </w:p>
          <w:p w14:paraId="07362E5F" w14:textId="77777777" w:rsidR="00455694" w:rsidRPr="005D4222" w:rsidRDefault="00455694" w:rsidP="000C3E85">
            <w:pPr>
              <w:pStyle w:val="ProcessDash"/>
            </w:pPr>
            <w:r w:rsidRPr="005D4222">
              <w:t>Injectables.</w:t>
            </w:r>
          </w:p>
          <w:p w14:paraId="449DB20D" w14:textId="77777777" w:rsidR="00455694" w:rsidRPr="005D4222" w:rsidRDefault="00455694" w:rsidP="000C3E85">
            <w:pPr>
              <w:pStyle w:val="ProcessDash"/>
            </w:pPr>
            <w:r w:rsidRPr="005D4222">
              <w:t xml:space="preserve">Cough and cold products that contain opioids. </w:t>
            </w:r>
          </w:p>
          <w:p w14:paraId="70C477C2" w14:textId="77777777" w:rsidR="00455694" w:rsidRPr="005D4222" w:rsidRDefault="00455694" w:rsidP="000C3E85">
            <w:pPr>
              <w:pStyle w:val="ProcessDash"/>
            </w:pPr>
            <w:r w:rsidRPr="005D4222">
              <w:t xml:space="preserve">Single-agent and combination buprenorphine products used as part of medication-assisted treatment of opioid use disorder (buprenorphine sublingual tablets, buprenorphine subcutaneous implant and all buprenorphine/naloxone combination products). </w:t>
            </w:r>
          </w:p>
          <w:p w14:paraId="3C3341EA" w14:textId="77777777" w:rsidR="00455694" w:rsidRPr="005D4222" w:rsidRDefault="00455694" w:rsidP="000C3E85">
            <w:pPr>
              <w:pStyle w:val="ProcessDash"/>
            </w:pPr>
            <w:r w:rsidRPr="005D4222">
              <w:t>Ionsys</w:t>
            </w:r>
            <w:r w:rsidRPr="005D4222">
              <w:rPr>
                <w:vertAlign w:val="superscript"/>
              </w:rPr>
              <w:t>®</w:t>
            </w:r>
            <w:r w:rsidRPr="005D4222">
              <w:t xml:space="preserve"> (fentanyl transdermal patch). This is for inpatient use only, and is available only through a restricted program under a Risk Evaluation and Mitigation Strategy. </w:t>
            </w:r>
          </w:p>
          <w:p w14:paraId="15749257" w14:textId="77777777" w:rsidR="00455694" w:rsidRPr="005D4222" w:rsidRDefault="00455694" w:rsidP="000C3E85">
            <w:pPr>
              <w:pStyle w:val="ProcessDash"/>
              <w:spacing w:after="80"/>
              <w:rPr>
                <w:b/>
              </w:rPr>
            </w:pPr>
            <w:r w:rsidRPr="005D4222">
              <w:t xml:space="preserve">Methadone for the treatment of opioid use disorder. </w:t>
            </w:r>
          </w:p>
        </w:tc>
      </w:tr>
      <w:tr w:rsidR="00455694" w:rsidRPr="005D4222" w14:paraId="3D2C473A" w14:textId="77777777" w:rsidTr="000C3E85">
        <w:tc>
          <w:tcPr>
            <w:tcW w:w="9714" w:type="dxa"/>
            <w:gridSpan w:val="2"/>
            <w:tcBorders>
              <w:top w:val="single" w:sz="4" w:space="0" w:color="auto"/>
              <w:bottom w:val="single" w:sz="4" w:space="0" w:color="auto"/>
            </w:tcBorders>
            <w:shd w:val="clear" w:color="auto" w:fill="BFBFBF" w:themeFill="background1" w:themeFillShade="BF"/>
            <w:tcMar>
              <w:top w:w="0" w:type="dxa"/>
              <w:left w:w="86" w:type="dxa"/>
              <w:bottom w:w="43" w:type="dxa"/>
              <w:right w:w="86" w:type="dxa"/>
            </w:tcMar>
          </w:tcPr>
          <w:p w14:paraId="1D0753F3" w14:textId="77777777" w:rsidR="00455694" w:rsidRPr="005D4222" w:rsidRDefault="00455694">
            <w:pPr>
              <w:pStyle w:val="ECDSMarginHead"/>
            </w:pPr>
            <w:r w:rsidRPr="005D4222">
              <w:t xml:space="preserve">Definitions </w:t>
            </w:r>
          </w:p>
        </w:tc>
      </w:tr>
      <w:tr w:rsidR="00455694" w:rsidRPr="005D4222" w14:paraId="3E8E73F6" w14:textId="77777777" w:rsidTr="000C3E85">
        <w:trPr>
          <w:trHeight w:val="320"/>
        </w:trPr>
        <w:tc>
          <w:tcPr>
            <w:tcW w:w="2157" w:type="dxa"/>
            <w:tcBorders>
              <w:top w:val="single" w:sz="4" w:space="0" w:color="auto"/>
            </w:tcBorders>
            <w:tcMar>
              <w:top w:w="0" w:type="dxa"/>
              <w:left w:w="86" w:type="dxa"/>
              <w:bottom w:w="43" w:type="dxa"/>
              <w:right w:w="86" w:type="dxa"/>
            </w:tcMar>
          </w:tcPr>
          <w:p w14:paraId="66B54D84" w14:textId="77777777" w:rsidR="00455694" w:rsidRPr="005D4222" w:rsidRDefault="00455694" w:rsidP="00D1508C">
            <w:pPr>
              <w:pStyle w:val="ECDSSubhead"/>
            </w:pPr>
            <w:r w:rsidRPr="005D4222">
              <w:t>Calculating number of days covered for the numerator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46BABCD" w14:textId="77777777" w:rsidR="00455694" w:rsidRPr="005D4222" w:rsidRDefault="00455694">
            <w:pPr>
              <w:pStyle w:val="ECDSBody"/>
            </w:pPr>
            <w:r w:rsidRPr="005D4222">
              <w:t>Use the following steps to identify and calculate covered days for the numerator.</w:t>
            </w:r>
          </w:p>
          <w:p w14:paraId="41AAB210" w14:textId="77777777" w:rsidR="00455694" w:rsidRPr="005D4222" w:rsidRDefault="00455694">
            <w:pPr>
              <w:pStyle w:val="ECDSBody"/>
            </w:pPr>
            <w:r w:rsidRPr="005D4222">
              <w:rPr>
                <w:b/>
              </w:rPr>
              <w:t>Step 1.</w:t>
            </w:r>
            <w:r w:rsidRPr="005D4222">
              <w:t xml:space="preserve"> Identify dispensing events where multiple prescriptions for the same medication were dispensed with overlapping days supply (i.e., dispensed on the same day or dispensed on different days with overlapping days supply). Sum the days supply for these dispensing events. </w:t>
            </w:r>
          </w:p>
          <w:p w14:paraId="4C7DDA71" w14:textId="77777777" w:rsidR="00455694" w:rsidRPr="005D4222" w:rsidRDefault="00455694">
            <w:pPr>
              <w:pStyle w:val="ECDSBody"/>
            </w:pPr>
            <w:r w:rsidRPr="005D4222">
              <w:t xml:space="preserve">Identify the start and end dates. The start date is the date of service of the earliest dispensing event and the end date is the start date plus the summed days supply, minus 1. The start date through the end date are considered covered days.  </w:t>
            </w:r>
          </w:p>
          <w:p w14:paraId="1331F799" w14:textId="77777777" w:rsidR="00455694" w:rsidRPr="005D4222" w:rsidRDefault="00455694" w:rsidP="00455694">
            <w:pPr>
              <w:pStyle w:val="Bullet"/>
              <w:numPr>
                <w:ilvl w:val="0"/>
                <w:numId w:val="4"/>
              </w:numPr>
              <w:tabs>
                <w:tab w:val="left" w:pos="360"/>
                <w:tab w:val="left" w:pos="576"/>
              </w:tabs>
              <w:ind w:left="576" w:hanging="216"/>
              <w:rPr>
                <w:i/>
                <w:iCs/>
              </w:rPr>
            </w:pPr>
            <w:r w:rsidRPr="005D4222">
              <w:rPr>
                <w:i/>
                <w:iCs/>
              </w:rPr>
              <w:t>For example:</w:t>
            </w:r>
          </w:p>
          <w:p w14:paraId="7EF45430" w14:textId="605CB183" w:rsidR="00455694" w:rsidRPr="005D4222" w:rsidRDefault="00455694" w:rsidP="00455694">
            <w:pPr>
              <w:pStyle w:val="Dash"/>
              <w:tabs>
                <w:tab w:val="left" w:pos="576"/>
                <w:tab w:val="left" w:pos="792"/>
              </w:tabs>
            </w:pPr>
            <w:r w:rsidRPr="005D4222">
              <w:t>If there are three 7</w:t>
            </w:r>
            <w:r w:rsidR="00CF717A" w:rsidRPr="005D4222">
              <w:t xml:space="preserve"> </w:t>
            </w:r>
            <w:r w:rsidRPr="005D4222">
              <w:t xml:space="preserve">days supply dispensing events for the same medication on January 1, the start date is January 1 and the end date is January 21. Covered days include January 1–21. </w:t>
            </w:r>
          </w:p>
          <w:p w14:paraId="7E4EAAB2" w14:textId="6FF04680" w:rsidR="00455694" w:rsidRPr="005D4222" w:rsidRDefault="00455694" w:rsidP="00455694">
            <w:pPr>
              <w:pStyle w:val="Dash"/>
              <w:tabs>
                <w:tab w:val="left" w:pos="576"/>
                <w:tab w:val="left" w:pos="792"/>
              </w:tabs>
            </w:pPr>
            <w:r w:rsidRPr="005D4222">
              <w:t>If there are two 7</w:t>
            </w:r>
            <w:r w:rsidR="00CF717A" w:rsidRPr="005D4222">
              <w:t xml:space="preserve"> </w:t>
            </w:r>
            <w:r w:rsidRPr="005D4222">
              <w:t>days supply dispensing events for the same medication on January 1 and January 5, the start date is January 1 and the end date is January 14. Covered days include January 1–14.</w:t>
            </w:r>
          </w:p>
          <w:p w14:paraId="72F1BA8C" w14:textId="260C9760" w:rsidR="000C3E85" w:rsidRPr="005D4222" w:rsidRDefault="00455694" w:rsidP="000C3E85">
            <w:pPr>
              <w:pStyle w:val="Dash"/>
              <w:tabs>
                <w:tab w:val="left" w:pos="576"/>
                <w:tab w:val="left" w:pos="792"/>
              </w:tabs>
              <w:spacing w:after="80"/>
            </w:pPr>
            <w:r w:rsidRPr="005D4222">
              <w:t>If there are three 7</w:t>
            </w:r>
            <w:r w:rsidR="00CF717A" w:rsidRPr="005D4222">
              <w:t xml:space="preserve"> </w:t>
            </w:r>
            <w:r w:rsidRPr="005D4222">
              <w:t>days supply dispensing events for the same medication on January 1, a 7</w:t>
            </w:r>
            <w:r w:rsidR="00CF717A" w:rsidRPr="005D4222">
              <w:t xml:space="preserve"> </w:t>
            </w:r>
            <w:r w:rsidRPr="005D4222">
              <w:t>days supply dispensing event on January 20, and a 7</w:t>
            </w:r>
            <w:r w:rsidR="00CF717A" w:rsidRPr="005D4222">
              <w:t xml:space="preserve"> </w:t>
            </w:r>
            <w:r w:rsidRPr="005D4222">
              <w:t>days supply dispensing event on January 28, the start date is January 1 and the end date is February 4. Covered days include January 1–February 4.</w:t>
            </w:r>
          </w:p>
        </w:tc>
      </w:tr>
    </w:tbl>
    <w:p w14:paraId="61350134" w14:textId="77777777" w:rsidR="000C3E85" w:rsidRPr="005D4222" w:rsidRDefault="000C3E85"/>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455694" w:rsidRPr="005D4222" w14:paraId="068A72D1" w14:textId="77777777" w:rsidTr="000C3E85">
        <w:trPr>
          <w:trHeight w:val="320"/>
        </w:trPr>
        <w:tc>
          <w:tcPr>
            <w:tcW w:w="2157" w:type="dxa"/>
            <w:tcBorders>
              <w:bottom w:val="nil"/>
            </w:tcBorders>
            <w:tcMar>
              <w:top w:w="0" w:type="dxa"/>
              <w:left w:w="86" w:type="dxa"/>
              <w:bottom w:w="43" w:type="dxa"/>
              <w:right w:w="86" w:type="dxa"/>
            </w:tcMar>
          </w:tcPr>
          <w:p w14:paraId="7A037BCE" w14:textId="77777777" w:rsidR="00455694" w:rsidRPr="005D4222" w:rsidRDefault="00455694">
            <w:pPr>
              <w:pStyle w:val="MarginHead"/>
            </w:pP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45D722EB" w14:textId="5AE0BD02" w:rsidR="000C3E85" w:rsidRPr="005D4222" w:rsidRDefault="000C3E85" w:rsidP="000C3E85">
            <w:pPr>
              <w:pStyle w:val="Note"/>
              <w:spacing w:after="80"/>
            </w:pPr>
            <w:r w:rsidRPr="005D4222">
              <w:rPr>
                <w:b/>
                <w:bCs/>
              </w:rPr>
              <w:t xml:space="preserve">Note: </w:t>
            </w:r>
            <w:r w:rsidR="0021002E" w:rsidRPr="005D4222">
              <w:t>This step</w:t>
            </w:r>
            <w:r w:rsidRPr="005D4222">
              <w:t xml:space="preserve"> assumes taking one prescription at a time (and starting the next prescription after exhausting the previous prescription).</w:t>
            </w:r>
          </w:p>
          <w:p w14:paraId="72B18D10" w14:textId="77777777" w:rsidR="00455694" w:rsidRPr="005D4222" w:rsidRDefault="00455694">
            <w:pPr>
              <w:pStyle w:val="ECDSBody"/>
            </w:pPr>
            <w:r w:rsidRPr="005D4222">
              <w:rPr>
                <w:b/>
              </w:rPr>
              <w:t>Step 2.</w:t>
            </w:r>
            <w:r w:rsidRPr="005D4222">
              <w:t xml:space="preserve"> For all other dispensing events (multiple prescriptions for the same medication on different days without overlap, multiple prescriptions for different medications on the same or different days, with or without overlap), identify the start and end dates for each dispensing event individually. The start date through the end date are considered covered days. </w:t>
            </w:r>
          </w:p>
          <w:p w14:paraId="207D8923" w14:textId="0CD3C901" w:rsidR="00455694" w:rsidRPr="005D4222" w:rsidRDefault="00455694">
            <w:pPr>
              <w:pStyle w:val="Note"/>
            </w:pPr>
            <w:r w:rsidRPr="005D4222">
              <w:rPr>
                <w:b/>
                <w:bCs/>
              </w:rPr>
              <w:t>Note:</w:t>
            </w:r>
            <w:r w:rsidRPr="005D4222">
              <w:t xml:space="preserve"> </w:t>
            </w:r>
            <w:r w:rsidR="0021002E" w:rsidRPr="005D4222">
              <w:t>This step</w:t>
            </w:r>
            <w:r w:rsidRPr="005D4222">
              <w:t xml:space="preserve"> assumes taking different medications concurrently.</w:t>
            </w:r>
          </w:p>
          <w:p w14:paraId="0B02D3F7" w14:textId="77777777" w:rsidR="00455694" w:rsidRPr="005D4222" w:rsidRDefault="00455694">
            <w:pPr>
              <w:pStyle w:val="ECDSBody"/>
              <w:spacing w:after="0"/>
            </w:pPr>
            <w:r w:rsidRPr="005D4222">
              <w:rPr>
                <w:b/>
              </w:rPr>
              <w:t xml:space="preserve">Step 3. </w:t>
            </w:r>
            <w:r w:rsidRPr="005D4222">
              <w:t>Count the covered days. Consider each calendar day covered by one or more medications to be 1 covered day.</w:t>
            </w:r>
          </w:p>
        </w:tc>
      </w:tr>
      <w:tr w:rsidR="00455694" w:rsidRPr="005D4222" w14:paraId="3D23A266" w14:textId="77777777" w:rsidTr="000C3E85">
        <w:trPr>
          <w:trHeight w:val="320"/>
        </w:trPr>
        <w:tc>
          <w:tcPr>
            <w:tcW w:w="2157" w:type="dxa"/>
            <w:tcBorders>
              <w:top w:val="nil"/>
              <w:bottom w:val="nil"/>
            </w:tcBorders>
            <w:tcMar>
              <w:top w:w="0" w:type="dxa"/>
              <w:left w:w="86" w:type="dxa"/>
              <w:bottom w:w="43" w:type="dxa"/>
              <w:right w:w="86" w:type="dxa"/>
            </w:tcMar>
          </w:tcPr>
          <w:p w14:paraId="0863655D" w14:textId="77777777" w:rsidR="00455694" w:rsidRPr="005D4222" w:rsidRDefault="00455694" w:rsidP="000C3E85">
            <w:pPr>
              <w:pStyle w:val="ECDSSubhead"/>
            </w:pPr>
            <w:r w:rsidRPr="005D4222">
              <w:t>Identifying same or different drugs</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6834656B" w14:textId="77777777" w:rsidR="00455694" w:rsidRPr="005D4222" w:rsidRDefault="00455694">
            <w:pPr>
              <w:pStyle w:val="ECDSBody"/>
              <w:spacing w:after="0"/>
            </w:pPr>
            <w:r w:rsidRPr="005D4222">
              <w:t xml:space="preserve">Use the medication lists specified in the Opioid Medications table. Drugs in different medication lists are considered different drugs. For example, a dispensing event from the </w:t>
            </w:r>
            <w:r w:rsidRPr="005D4222">
              <w:rPr>
                <w:u w:val="single"/>
              </w:rPr>
              <w:t xml:space="preserve">Acetaminophen Codeine Medications List </w:t>
            </w:r>
            <w:r w:rsidRPr="005D4222">
              <w:t xml:space="preserve">is considered a different drug than a dispensing event from the </w:t>
            </w:r>
            <w:r w:rsidRPr="005D4222">
              <w:rPr>
                <w:u w:val="single"/>
              </w:rPr>
              <w:t>Codeine Sulfate Medications List</w:t>
            </w:r>
            <w:r w:rsidRPr="005D4222">
              <w:t>.</w:t>
            </w:r>
          </w:p>
        </w:tc>
      </w:tr>
      <w:tr w:rsidR="00455694" w:rsidRPr="005D4222" w14:paraId="20B4B5E6" w14:textId="77777777" w:rsidTr="000C3E85">
        <w:trPr>
          <w:trHeight w:val="320"/>
        </w:trPr>
        <w:tc>
          <w:tcPr>
            <w:tcW w:w="2157" w:type="dxa"/>
            <w:tcBorders>
              <w:top w:val="nil"/>
              <w:bottom w:val="nil"/>
            </w:tcBorders>
            <w:tcMar>
              <w:top w:w="0" w:type="dxa"/>
              <w:left w:w="86" w:type="dxa"/>
              <w:bottom w:w="43" w:type="dxa"/>
              <w:right w:w="86" w:type="dxa"/>
            </w:tcMar>
          </w:tcPr>
          <w:p w14:paraId="1B19E572" w14:textId="77777777" w:rsidR="00455694" w:rsidRPr="005D4222" w:rsidRDefault="00455694" w:rsidP="000C3E85">
            <w:pPr>
              <w:pStyle w:val="ECDSSubhead"/>
            </w:pPr>
            <w:r w:rsidRPr="005D4222">
              <w:t xml:space="preserve">Intake period </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4B83F758" w14:textId="77777777" w:rsidR="00455694" w:rsidRPr="005D4222" w:rsidRDefault="00455694">
            <w:pPr>
              <w:pStyle w:val="ECDSBody"/>
              <w:spacing w:after="0"/>
            </w:pPr>
            <w:r w:rsidRPr="005D4222">
              <w:t>November 1 of the year prior to the measurement period to October 31 of the measurement period.</w:t>
            </w:r>
          </w:p>
        </w:tc>
      </w:tr>
      <w:tr w:rsidR="00455694" w:rsidRPr="005D4222" w14:paraId="0DC1734C" w14:textId="77777777" w:rsidTr="000C3E85">
        <w:trPr>
          <w:trHeight w:val="320"/>
        </w:trPr>
        <w:tc>
          <w:tcPr>
            <w:tcW w:w="2157" w:type="dxa"/>
            <w:tcBorders>
              <w:top w:val="nil"/>
              <w:bottom w:val="nil"/>
            </w:tcBorders>
            <w:tcMar>
              <w:top w:w="0" w:type="dxa"/>
              <w:left w:w="86" w:type="dxa"/>
              <w:bottom w:w="43" w:type="dxa"/>
              <w:right w:w="86" w:type="dxa"/>
            </w:tcMar>
          </w:tcPr>
          <w:p w14:paraId="4FB3049B" w14:textId="77777777" w:rsidR="00455694" w:rsidRPr="005D4222" w:rsidRDefault="00455694" w:rsidP="000C3E85">
            <w:pPr>
              <w:pStyle w:val="ECDSSubhead"/>
            </w:pPr>
            <w:r w:rsidRPr="005D4222">
              <w:t>IPSD</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21C49629" w14:textId="77777777" w:rsidR="00455694" w:rsidRPr="005D4222" w:rsidRDefault="00455694">
            <w:pPr>
              <w:pStyle w:val="ECDSBody"/>
              <w:spacing w:after="0"/>
            </w:pPr>
            <w:r w:rsidRPr="005D4222">
              <w:t>Index prescription start date. Earliest prescription dispensing date for opioid medication during the intake period.</w:t>
            </w:r>
          </w:p>
        </w:tc>
      </w:tr>
      <w:tr w:rsidR="00455694" w:rsidRPr="005D4222" w14:paraId="43CC11B9" w14:textId="77777777" w:rsidTr="000C3E85">
        <w:trPr>
          <w:trHeight w:val="320"/>
        </w:trPr>
        <w:tc>
          <w:tcPr>
            <w:tcW w:w="2157" w:type="dxa"/>
            <w:tcBorders>
              <w:top w:val="nil"/>
            </w:tcBorders>
            <w:tcMar>
              <w:top w:w="0" w:type="dxa"/>
              <w:left w:w="86" w:type="dxa"/>
              <w:bottom w:w="43" w:type="dxa"/>
              <w:right w:w="86" w:type="dxa"/>
            </w:tcMar>
          </w:tcPr>
          <w:p w14:paraId="5170DA43" w14:textId="77777777" w:rsidR="00455694" w:rsidRPr="005D4222" w:rsidRDefault="00455694" w:rsidP="000C3E85">
            <w:pPr>
              <w:pStyle w:val="ECDSSubhead"/>
            </w:pPr>
            <w:r w:rsidRPr="005D4222">
              <w:t>Negative medication history</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71722A42" w14:textId="77777777" w:rsidR="00455694" w:rsidRPr="005D4222" w:rsidRDefault="00455694">
            <w:pPr>
              <w:pStyle w:val="ECDSBody"/>
            </w:pPr>
            <w:r w:rsidRPr="005D4222">
              <w:t>A period of 180 days prior to the IPSD when the person had no pharmacy claims for either new or refill prescriptions for an opioid medication.</w:t>
            </w:r>
          </w:p>
        </w:tc>
      </w:tr>
      <w:tr w:rsidR="00455694" w:rsidRPr="005D4222" w14:paraId="7EE57951" w14:textId="77777777" w:rsidTr="000C3E85">
        <w:trPr>
          <w:trHeight w:val="320"/>
        </w:trPr>
        <w:tc>
          <w:tcPr>
            <w:tcW w:w="2157" w:type="dxa"/>
            <w:shd w:val="clear" w:color="auto" w:fill="BFBFBF" w:themeFill="background1" w:themeFillShade="BF"/>
            <w:tcMar>
              <w:top w:w="0" w:type="dxa"/>
              <w:left w:w="86" w:type="dxa"/>
              <w:bottom w:w="43" w:type="dxa"/>
              <w:right w:w="86" w:type="dxa"/>
            </w:tcMar>
          </w:tcPr>
          <w:p w14:paraId="06D0C7D8" w14:textId="77777777" w:rsidR="00455694" w:rsidRPr="005D4222" w:rsidRDefault="00455694">
            <w:pPr>
              <w:pStyle w:val="ECDSMarginHead"/>
            </w:pPr>
            <w:r w:rsidRPr="005D4222">
              <w:t>Initial population</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28F5096" w14:textId="77777777" w:rsidR="00455694" w:rsidRPr="005D4222" w:rsidRDefault="00455694">
            <w:pPr>
              <w:pStyle w:val="ECDSBody"/>
            </w:pPr>
            <w:r w:rsidRPr="005D4222">
              <w:rPr>
                <w:i/>
                <w:iCs/>
              </w:rPr>
              <w:t>Measure item count:</w:t>
            </w:r>
            <w:r w:rsidRPr="005D4222">
              <w:t xml:space="preserve"> Person.</w:t>
            </w:r>
          </w:p>
          <w:p w14:paraId="1F1336ED" w14:textId="77777777" w:rsidR="00455694" w:rsidRPr="005D4222" w:rsidRDefault="00455694">
            <w:pPr>
              <w:pStyle w:val="ECDSBody"/>
            </w:pPr>
            <w:r w:rsidRPr="005D4222">
              <w:rPr>
                <w:i/>
                <w:iCs/>
              </w:rPr>
              <w:t>Attribution basis:</w:t>
            </w:r>
            <w:r w:rsidRPr="005D4222">
              <w:t xml:space="preserve"> Enrollment.</w:t>
            </w:r>
          </w:p>
          <w:p w14:paraId="3F2EF0EC" w14:textId="77777777" w:rsidR="00455694" w:rsidRPr="005D4222" w:rsidRDefault="00455694" w:rsidP="00455694">
            <w:pPr>
              <w:pStyle w:val="Bullet"/>
              <w:numPr>
                <w:ilvl w:val="0"/>
                <w:numId w:val="4"/>
              </w:numPr>
              <w:tabs>
                <w:tab w:val="left" w:pos="360"/>
                <w:tab w:val="left" w:pos="576"/>
              </w:tabs>
              <w:ind w:left="576" w:hanging="216"/>
            </w:pPr>
            <w:r w:rsidRPr="005D4222">
              <w:rPr>
                <w:i/>
                <w:iCs/>
              </w:rPr>
              <w:t>Benefits:</w:t>
            </w:r>
            <w:r w:rsidRPr="005D4222">
              <w:t xml:space="preserve"> Medical and pharmacy.</w:t>
            </w:r>
          </w:p>
          <w:p w14:paraId="06DD6AE0" w14:textId="77777777" w:rsidR="00455694" w:rsidRPr="005D4222" w:rsidRDefault="00455694" w:rsidP="00455694">
            <w:pPr>
              <w:pStyle w:val="Bullet"/>
              <w:numPr>
                <w:ilvl w:val="0"/>
                <w:numId w:val="4"/>
              </w:numPr>
              <w:tabs>
                <w:tab w:val="left" w:pos="360"/>
                <w:tab w:val="left" w:pos="576"/>
              </w:tabs>
              <w:ind w:left="576" w:hanging="216"/>
            </w:pPr>
            <w:r w:rsidRPr="005D4222">
              <w:rPr>
                <w:i/>
                <w:iCs/>
              </w:rPr>
              <w:t>Continuous enrollment:</w:t>
            </w:r>
            <w:r w:rsidRPr="005D4222">
              <w:t xml:space="preserve"> 180 days prior to the IPSD through 61 days after the IPSD.</w:t>
            </w:r>
          </w:p>
          <w:p w14:paraId="7759BE61" w14:textId="77777777" w:rsidR="00455694" w:rsidRPr="005D4222" w:rsidRDefault="00455694" w:rsidP="00455694">
            <w:pPr>
              <w:pStyle w:val="Bullet"/>
              <w:numPr>
                <w:ilvl w:val="0"/>
                <w:numId w:val="4"/>
              </w:numPr>
              <w:tabs>
                <w:tab w:val="left" w:pos="360"/>
                <w:tab w:val="left" w:pos="576"/>
              </w:tabs>
              <w:ind w:left="576" w:hanging="216"/>
            </w:pPr>
            <w:r w:rsidRPr="005D4222">
              <w:rPr>
                <w:i/>
                <w:iCs/>
              </w:rPr>
              <w:t xml:space="preserve">Allowable gap: </w:t>
            </w:r>
            <w:r w:rsidRPr="005D4222">
              <w:t>None.</w:t>
            </w:r>
          </w:p>
          <w:p w14:paraId="48E9997B" w14:textId="77777777" w:rsidR="00455694" w:rsidRPr="005D4222" w:rsidRDefault="00455694">
            <w:pPr>
              <w:pStyle w:val="ECDSBody"/>
            </w:pPr>
            <w:r w:rsidRPr="005D4222">
              <w:rPr>
                <w:i/>
                <w:iCs/>
              </w:rPr>
              <w:t>Ages:</w:t>
            </w:r>
            <w:r w:rsidRPr="005D4222">
              <w:t xml:space="preserve"> 18 years of age and older as of November 1 of the year prior to the measurement period.</w:t>
            </w:r>
          </w:p>
          <w:p w14:paraId="44B1E278" w14:textId="77777777" w:rsidR="00455694" w:rsidRPr="005D4222" w:rsidRDefault="00455694">
            <w:pPr>
              <w:pStyle w:val="ECDSBody"/>
            </w:pPr>
            <w:r w:rsidRPr="005D4222">
              <w:rPr>
                <w:i/>
                <w:iCs/>
              </w:rPr>
              <w:t>Event:</w:t>
            </w:r>
            <w:r w:rsidRPr="005D4222">
              <w:t xml:space="preserve"> </w:t>
            </w:r>
            <w:r w:rsidRPr="005D4222">
              <w:rPr>
                <w:b/>
                <w:bCs w:val="0"/>
              </w:rPr>
              <w:t>New episode of opioid use.</w:t>
            </w:r>
          </w:p>
          <w:p w14:paraId="7749E6D0" w14:textId="77777777" w:rsidR="00455694" w:rsidRPr="005D4222" w:rsidRDefault="00455694">
            <w:pPr>
              <w:pStyle w:val="ECDSBody"/>
            </w:pPr>
            <w:r w:rsidRPr="005D4222">
              <w:rPr>
                <w:b/>
              </w:rPr>
              <w:t>Step 1.</w:t>
            </w:r>
            <w:r w:rsidRPr="005D4222">
              <w:t xml:space="preserve"> </w:t>
            </w:r>
            <w:r w:rsidRPr="005D4222">
              <w:rPr>
                <w:rFonts w:eastAsia="Arial,Times New Roman"/>
                <w:szCs w:val="21"/>
              </w:rPr>
              <w:t xml:space="preserve">Determine the IPSD. Identify the date of the earliest dispensing event for an opioid medication </w:t>
            </w:r>
            <w:r w:rsidRPr="005D4222">
              <w:rPr>
                <w:szCs w:val="21"/>
              </w:rPr>
              <w:t>(</w:t>
            </w:r>
            <w:r w:rsidRPr="005D4222">
              <w:rPr>
                <w:szCs w:val="21"/>
                <w:u w:val="single"/>
              </w:rPr>
              <w:t>Opioid Medications List</w:t>
            </w:r>
            <w:r w:rsidRPr="005D4222">
              <w:rPr>
                <w:szCs w:val="21"/>
              </w:rPr>
              <w:t xml:space="preserve">) </w:t>
            </w:r>
            <w:r w:rsidRPr="005D4222">
              <w:rPr>
                <w:rFonts w:eastAsia="Arial,Times New Roman"/>
                <w:szCs w:val="21"/>
              </w:rPr>
              <w:t>during the intake period.</w:t>
            </w:r>
          </w:p>
          <w:p w14:paraId="6928B5DE" w14:textId="77777777" w:rsidR="00455694" w:rsidRPr="005D4222" w:rsidRDefault="00455694">
            <w:pPr>
              <w:pStyle w:val="ECDSBody"/>
            </w:pPr>
            <w:r w:rsidRPr="005D4222">
              <w:rPr>
                <w:b/>
              </w:rPr>
              <w:t>Step 2.</w:t>
            </w:r>
            <w:r w:rsidRPr="005D4222">
              <w:t xml:space="preserve"> Test for negative medication history. Remove persons who were dispensed an opioid medication within 180 days prior to the IPSD.</w:t>
            </w:r>
          </w:p>
          <w:p w14:paraId="59D5ECAC" w14:textId="77777777" w:rsidR="00455694" w:rsidRPr="005D4222" w:rsidRDefault="00455694">
            <w:pPr>
              <w:pStyle w:val="ECDSBody"/>
            </w:pPr>
            <w:r w:rsidRPr="005D4222">
              <w:rPr>
                <w:b/>
              </w:rPr>
              <w:t>Step 3.</w:t>
            </w:r>
            <w:r w:rsidRPr="005D4222">
              <w:t xml:space="preserve"> Calculate continuous enrollment. </w:t>
            </w:r>
          </w:p>
        </w:tc>
      </w:tr>
      <w:tr w:rsidR="00455694" w:rsidRPr="005D4222" w14:paraId="7991FF8F" w14:textId="77777777" w:rsidTr="000C3E85">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46C1BC6" w14:textId="77777777" w:rsidR="00455694" w:rsidRPr="005D4222" w:rsidRDefault="00455694">
            <w:pPr>
              <w:pStyle w:val="ECDSMarginHead"/>
            </w:pPr>
            <w:r w:rsidRPr="005D4222">
              <w:t xml:space="preserve">Denominator exclusions </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027264CF" w14:textId="77777777" w:rsidR="00455694" w:rsidRPr="005D4222" w:rsidRDefault="00455694">
            <w:pPr>
              <w:pStyle w:val="ECDSBody"/>
              <w:rPr>
                <w:rFonts w:asciiTheme="majorHAnsi" w:eastAsiaTheme="majorEastAsia" w:hAnsiTheme="majorHAnsi"/>
                <w:color w:val="2F5496" w:themeColor="accent1" w:themeShade="BF"/>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w:t>
            </w:r>
          </w:p>
        </w:tc>
      </w:tr>
    </w:tbl>
    <w:p w14:paraId="10CCEDD9" w14:textId="77777777" w:rsidR="00455694" w:rsidRPr="005D4222" w:rsidRDefault="00455694" w:rsidP="00455694">
      <w:pPr>
        <w:spacing w:after="160" w:line="259" w:lineRule="auto"/>
      </w:pPr>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455694" w:rsidRPr="005D4222" w14:paraId="5316A584" w14:textId="77777777">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0CD47DE" w14:textId="77777777" w:rsidR="00455694" w:rsidRPr="005D4222" w:rsidRDefault="00455694">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7E4AE5AA" w14:textId="77777777" w:rsidR="00455694" w:rsidRPr="005D4222" w:rsidRDefault="00455694">
            <w:pPr>
              <w:pStyle w:val="ECDSBody"/>
              <w:rPr>
                <w:b/>
              </w:rPr>
            </w:pPr>
            <w:r w:rsidRPr="005D4222">
              <w:rPr>
                <w:b/>
              </w:rPr>
              <w:t>Persons in hospice or using hospice services.</w:t>
            </w:r>
            <w:r w:rsidRPr="005D4222">
              <w:rPr>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1A5998AE" w14:textId="77777777" w:rsidR="00455694" w:rsidRPr="005D4222" w:rsidRDefault="00455694">
            <w:pPr>
              <w:pStyle w:val="ECDSBody"/>
            </w:pPr>
            <w:r w:rsidRPr="005D4222">
              <w:rPr>
                <w:b/>
              </w:rPr>
              <w:t xml:space="preserve">Persons receiving palliative care. </w:t>
            </w:r>
            <w:r w:rsidRPr="005D4222">
              <w:rPr>
                <w:b/>
              </w:rPr>
              <w:br/>
            </w:r>
            <w:r w:rsidRPr="005D4222">
              <w:t>Persons receiving palliative care (</w:t>
            </w:r>
            <w:r w:rsidRPr="005D4222">
              <w:rPr>
                <w:u w:val="single"/>
              </w:rPr>
              <w:t>Palliative Care Assessment Value Set</w:t>
            </w:r>
            <w:r w:rsidRPr="005D4222">
              <w:t xml:space="preserve">; </w:t>
            </w:r>
            <w:r w:rsidRPr="005D4222">
              <w:rPr>
                <w:u w:val="single"/>
              </w:rPr>
              <w:t>Palliative Care Encounter Value Set</w:t>
            </w:r>
            <w:r w:rsidRPr="005D4222">
              <w:t xml:space="preserve">; </w:t>
            </w:r>
            <w:r w:rsidRPr="005D4222">
              <w:rPr>
                <w:u w:val="single"/>
              </w:rPr>
              <w:t>Palliative Care Intervention Value Set</w:t>
            </w:r>
            <w:r w:rsidRPr="005D4222">
              <w:t xml:space="preserve">) or who had an encounter for palliative care (ICD-10-CM code Z51.5*) at any time during the 365 days prior to the IPSD through 61 days after the IPSD. </w:t>
            </w:r>
          </w:p>
          <w:p w14:paraId="7A4310AB" w14:textId="77777777" w:rsidR="00455694" w:rsidRPr="005D4222" w:rsidRDefault="00455694">
            <w:pPr>
              <w:pStyle w:val="ECDSBody"/>
              <w:spacing w:before="0" w:after="0"/>
              <w:rPr>
                <w:b/>
              </w:rPr>
            </w:pPr>
            <w:r w:rsidRPr="005D4222">
              <w:rPr>
                <w:rFonts w:eastAsia="Arial,Arial,Arial,Arial,Arial,A"/>
                <w:b/>
                <w:bCs w:val="0"/>
              </w:rPr>
              <w:t>Cancer or sickle cell disease.</w:t>
            </w:r>
            <w:r w:rsidRPr="005D4222">
              <w:rPr>
                <w:rFonts w:eastAsia="Arial,Arial,Arial,Arial,Arial,A"/>
                <w:b/>
                <w:bCs w:val="0"/>
              </w:rPr>
              <w:br/>
            </w:r>
            <w:r w:rsidRPr="005D4222">
              <w:rPr>
                <w:rFonts w:eastAsia="Arial,Arial,Arial,Arial,Arial,A"/>
              </w:rPr>
              <w:t>Persons with c</w:t>
            </w:r>
            <w:r w:rsidRPr="005D4222">
              <w:rPr>
                <w:rFonts w:eastAsia="Arial,Times New Roman"/>
              </w:rPr>
              <w:t>ancer (</w:t>
            </w:r>
            <w:r w:rsidRPr="005D4222">
              <w:rPr>
                <w:rFonts w:eastAsia="Arial,Times New Roman"/>
                <w:u w:val="single"/>
              </w:rPr>
              <w:t>Malignant Neoplasms Value Set</w:t>
            </w:r>
            <w:r w:rsidRPr="005D4222">
              <w:rPr>
                <w:rFonts w:eastAsia="Arial,Times New Roman"/>
              </w:rPr>
              <w:t>*) or sickle cell disease (</w:t>
            </w:r>
            <w:r w:rsidRPr="005D4222">
              <w:rPr>
                <w:rFonts w:eastAsia="Arial,Times New Roman"/>
                <w:u w:val="single"/>
              </w:rPr>
              <w:t>Sickle Cell Anemia and HB S Disease Value Set</w:t>
            </w:r>
            <w:r w:rsidRPr="005D4222">
              <w:rPr>
                <w:rFonts w:eastAsia="Arial,Times New Roman"/>
              </w:rPr>
              <w:t>*)</w:t>
            </w:r>
            <w:r w:rsidRPr="005D4222">
              <w:rPr>
                <w:rFonts w:eastAsia="Arial,Times New Roman"/>
                <w:bCs w:val="0"/>
              </w:rPr>
              <w:t xml:space="preserve"> </w:t>
            </w:r>
            <w:r w:rsidRPr="005D4222">
              <w:rPr>
                <w:bCs w:val="0"/>
              </w:rPr>
              <w:t>any time during the 365 days prior to the IPSD through 61 days after the IPSD.</w:t>
            </w:r>
          </w:p>
          <w:p w14:paraId="79E35891" w14:textId="77777777" w:rsidR="00455694" w:rsidRPr="005D4222" w:rsidRDefault="00455694">
            <w:pPr>
              <w:pStyle w:val="ECDSBody"/>
              <w:spacing w:after="0"/>
              <w:rPr>
                <w:rFonts w:eastAsia="Arial,Arial,Arial,Arial,Arial,A"/>
                <w:b/>
                <w:bCs w:val="0"/>
              </w:rPr>
            </w:pPr>
            <w:r w:rsidRPr="005D4222">
              <w:rPr>
                <w:rFonts w:eastAsia="Arial,Arial,Arial,Arial,Arial,A"/>
                <w:b/>
                <w:bCs w:val="0"/>
              </w:rPr>
              <w:t>Coding Guidance</w:t>
            </w:r>
          </w:p>
          <w:p w14:paraId="21C9BAF9" w14:textId="77777777" w:rsidR="00455694" w:rsidRPr="005D4222" w:rsidRDefault="00455694">
            <w:pPr>
              <w:pStyle w:val="ECDSBody"/>
              <w:spacing w:before="80"/>
              <w:rPr>
                <w:b/>
              </w:rPr>
            </w:pPr>
            <w:r w:rsidRPr="005D4222">
              <w:rPr>
                <w:rFonts w:eastAsia="Arial,Arial,Arial,Arial,Arial,A"/>
              </w:rPr>
              <w:t>*Do not include laboratory claims (claims with POS code 81).</w:t>
            </w:r>
          </w:p>
        </w:tc>
      </w:tr>
      <w:tr w:rsidR="00455694" w:rsidRPr="005D4222" w14:paraId="10BF0B72"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6D8A899" w14:textId="77777777" w:rsidR="00455694" w:rsidRPr="005D4222" w:rsidRDefault="00455694">
            <w:pPr>
              <w:pStyle w:val="ECDSMarginHead"/>
            </w:pPr>
            <w:r w:rsidRPr="005D4222">
              <w:t>Denominator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0C8C1C8" w14:textId="77777777" w:rsidR="00455694" w:rsidRPr="005D4222" w:rsidRDefault="00455694">
            <w:pPr>
              <w:pStyle w:val="ECDSBody"/>
              <w:rPr>
                <w:b/>
                <w:i/>
                <w:iCs/>
              </w:rPr>
            </w:pPr>
            <w:r w:rsidRPr="005D4222">
              <w:rPr>
                <w:rFonts w:eastAsia="Arial,Arial,Arial,Arial,Arial,A"/>
              </w:rPr>
              <w:t>The initial population minus denominator exclusions.</w:t>
            </w:r>
          </w:p>
        </w:tc>
      </w:tr>
      <w:tr w:rsidR="00455694" w:rsidRPr="005D4222" w14:paraId="5AE86341" w14:textId="77777777">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C26DC93" w14:textId="77777777" w:rsidR="00455694" w:rsidRPr="005D4222" w:rsidRDefault="00455694">
            <w:pPr>
              <w:pStyle w:val="ECDSMarginHead"/>
            </w:pPr>
            <w:r w:rsidRPr="005D4222">
              <w:t>Numerator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49E8A3CE" w14:textId="77777777" w:rsidR="00455694" w:rsidRPr="005D4222" w:rsidRDefault="00455694">
            <w:pPr>
              <w:pStyle w:val="ECDSBody"/>
              <w:rPr>
                <w:color w:val="000000" w:themeColor="text1"/>
                <w:szCs w:val="21"/>
              </w:rPr>
            </w:pPr>
            <w:r w:rsidRPr="005D4222">
              <w:rPr>
                <w:b/>
                <w:bCs w:val="0"/>
              </w:rPr>
              <w:t>Numerator 1:</w:t>
            </w:r>
            <w:r w:rsidRPr="005D4222">
              <w:rPr>
                <w:b/>
                <w:bCs w:val="0"/>
                <w:i/>
                <w:iCs/>
              </w:rPr>
              <w:t xml:space="preserve"> </w:t>
            </w:r>
            <w:r w:rsidRPr="005D4222">
              <w:rPr>
                <w:b/>
                <w:bCs w:val="0"/>
              </w:rPr>
              <w:t>≥15 days covered.</w:t>
            </w:r>
            <w:r w:rsidRPr="005D4222">
              <w:rPr>
                <w:b/>
                <w:bCs w:val="0"/>
              </w:rPr>
              <w:br/>
            </w:r>
            <w:r w:rsidRPr="005D4222">
              <w:rPr>
                <w:color w:val="000000" w:themeColor="text1"/>
                <w:szCs w:val="21"/>
              </w:rPr>
              <w:t>Persons with 15 or more calendar days covered by an opioid medication during the 30-day period beginning on the IPSD through 29 days after the IPSD.</w:t>
            </w:r>
          </w:p>
          <w:p w14:paraId="7CE0FCB6" w14:textId="77777777" w:rsidR="00455694" w:rsidRPr="005D4222" w:rsidRDefault="00455694">
            <w:pPr>
              <w:pStyle w:val="ECDSBody"/>
              <w:rPr>
                <w:color w:val="000000" w:themeColor="text1"/>
                <w:szCs w:val="21"/>
              </w:rPr>
            </w:pPr>
            <w:r w:rsidRPr="005D4222">
              <w:rPr>
                <w:b/>
                <w:bCs w:val="0"/>
              </w:rPr>
              <w:t>Numerator 2:</w:t>
            </w:r>
            <w:r w:rsidRPr="005D4222">
              <w:rPr>
                <w:b/>
                <w:bCs w:val="0"/>
                <w:i/>
                <w:iCs/>
              </w:rPr>
              <w:t xml:space="preserve"> </w:t>
            </w:r>
            <w:r w:rsidRPr="005D4222">
              <w:rPr>
                <w:b/>
                <w:bCs w:val="0"/>
              </w:rPr>
              <w:t>≥31 days covered.</w:t>
            </w:r>
            <w:r w:rsidRPr="005D4222">
              <w:rPr>
                <w:b/>
                <w:bCs w:val="0"/>
              </w:rPr>
              <w:br/>
            </w:r>
            <w:r w:rsidRPr="005D4222">
              <w:rPr>
                <w:color w:val="000000" w:themeColor="text1"/>
                <w:szCs w:val="21"/>
              </w:rPr>
              <w:t>Persons with 31 or more calendar days covered by an opioid medication during the 62-day period beginning on the IPSD through 61 days after the IPSD.</w:t>
            </w:r>
          </w:p>
          <w:p w14:paraId="5E4BBB04" w14:textId="77777777" w:rsidR="00455694" w:rsidRPr="005D4222" w:rsidRDefault="00455694">
            <w:pPr>
              <w:pStyle w:val="ECDSBody"/>
            </w:pPr>
            <w:r w:rsidRPr="005D4222">
              <w:t xml:space="preserve">Use all the medication lists below to identify opioid medication dispensing events. </w:t>
            </w:r>
            <w:r w:rsidRPr="005D4222">
              <w:rPr>
                <w:rFonts w:eastAsia="Arial,Times New Roman"/>
              </w:rPr>
              <w:t>Calculate covered days using the instruction in the definitions section.</w:t>
            </w:r>
          </w:p>
          <w:p w14:paraId="1A526DAF" w14:textId="77777777" w:rsidR="00455694" w:rsidRPr="005D4222" w:rsidRDefault="00455694">
            <w:pPr>
              <w:pStyle w:val="Heading3"/>
              <w:spacing w:before="120"/>
            </w:pPr>
            <w:r w:rsidRPr="005D4222">
              <w:t>Opioid Medications</w:t>
            </w:r>
          </w:p>
          <w:tbl>
            <w:tblPr>
              <w:tblStyle w:val="TableGrid"/>
              <w:tblW w:w="7376" w:type="dxa"/>
              <w:tblLayout w:type="fixed"/>
              <w:tblLook w:val="04A0" w:firstRow="1" w:lastRow="0" w:firstColumn="1" w:lastColumn="0" w:noHBand="0" w:noVBand="1"/>
            </w:tblPr>
            <w:tblGrid>
              <w:gridCol w:w="7376"/>
            </w:tblGrid>
            <w:tr w:rsidR="00455694" w:rsidRPr="005D4222" w14:paraId="19D8F825" w14:textId="77777777">
              <w:trPr>
                <w:tblHeader/>
              </w:trPr>
              <w:tc>
                <w:tcPr>
                  <w:tcW w:w="7376" w:type="dxa"/>
                  <w:tcBorders>
                    <w:left w:val="single" w:sz="4" w:space="0" w:color="auto"/>
                    <w:bottom w:val="single" w:sz="4" w:space="0" w:color="auto"/>
                  </w:tcBorders>
                  <w:shd w:val="clear" w:color="auto" w:fill="000000" w:themeFill="text1"/>
                </w:tcPr>
                <w:p w14:paraId="67469542" w14:textId="77777777" w:rsidR="00455694" w:rsidRPr="005D4222" w:rsidRDefault="00455694">
                  <w:pPr>
                    <w:pStyle w:val="TableHead"/>
                    <w:rPr>
                      <w:rFonts w:eastAsia="Arial Narrow,Times New Roman"/>
                    </w:rPr>
                  </w:pPr>
                  <w:r w:rsidRPr="005D4222">
                    <w:rPr>
                      <w:rFonts w:eastAsia="Arial Narrow,Times New Roman"/>
                    </w:rPr>
                    <w:t>Medication Lists</w:t>
                  </w:r>
                </w:p>
              </w:tc>
            </w:tr>
            <w:tr w:rsidR="00455694" w:rsidRPr="005D4222" w14:paraId="29829B04" w14:textId="77777777">
              <w:tc>
                <w:tcPr>
                  <w:tcW w:w="7376" w:type="dxa"/>
                  <w:tcBorders>
                    <w:bottom w:val="single" w:sz="12" w:space="0" w:color="auto"/>
                  </w:tcBorders>
                  <w:shd w:val="clear" w:color="auto" w:fill="FFFFFF" w:themeFill="background1"/>
                </w:tcPr>
                <w:p w14:paraId="33B45DE3" w14:textId="77777777" w:rsidR="00455694" w:rsidRPr="005D4222" w:rsidRDefault="00455694">
                  <w:pPr>
                    <w:pStyle w:val="TableText"/>
                    <w:rPr>
                      <w:u w:val="single"/>
                    </w:rPr>
                  </w:pPr>
                  <w:r w:rsidRPr="005D4222">
                    <w:rPr>
                      <w:u w:val="single"/>
                    </w:rPr>
                    <w:t>Acetaminophen Benzhydrocodone Medications List</w:t>
                  </w:r>
                </w:p>
              </w:tc>
            </w:tr>
            <w:tr w:rsidR="00455694" w:rsidRPr="005D4222" w14:paraId="1704A90D" w14:textId="77777777">
              <w:tc>
                <w:tcPr>
                  <w:tcW w:w="7376" w:type="dxa"/>
                  <w:tcBorders>
                    <w:bottom w:val="single" w:sz="12" w:space="0" w:color="auto"/>
                  </w:tcBorders>
                  <w:shd w:val="clear" w:color="auto" w:fill="FFFFFF" w:themeFill="background1"/>
                </w:tcPr>
                <w:p w14:paraId="1281C238" w14:textId="77777777" w:rsidR="00455694" w:rsidRPr="005D4222" w:rsidRDefault="00455694">
                  <w:pPr>
                    <w:pStyle w:val="TableText"/>
                    <w:rPr>
                      <w:rFonts w:eastAsia="Arial Narrow,Times New Roman"/>
                      <w:u w:val="single"/>
                    </w:rPr>
                  </w:pPr>
                  <w:r w:rsidRPr="005D4222">
                    <w:rPr>
                      <w:u w:val="single"/>
                    </w:rPr>
                    <w:t>Buprenorphine Medications List</w:t>
                  </w:r>
                </w:p>
              </w:tc>
            </w:tr>
            <w:tr w:rsidR="00455694" w:rsidRPr="005D4222" w14:paraId="37054EDD" w14:textId="77777777">
              <w:tc>
                <w:tcPr>
                  <w:tcW w:w="7376" w:type="dxa"/>
                  <w:tcBorders>
                    <w:top w:val="single" w:sz="12" w:space="0" w:color="auto"/>
                    <w:bottom w:val="single" w:sz="12" w:space="0" w:color="auto"/>
                  </w:tcBorders>
                  <w:shd w:val="clear" w:color="auto" w:fill="FFFFFF" w:themeFill="background1"/>
                </w:tcPr>
                <w:p w14:paraId="28D60EDF" w14:textId="77777777" w:rsidR="00455694" w:rsidRPr="005D4222" w:rsidRDefault="00455694">
                  <w:pPr>
                    <w:pStyle w:val="TableText"/>
                    <w:rPr>
                      <w:u w:val="single"/>
                    </w:rPr>
                  </w:pPr>
                  <w:r w:rsidRPr="005D4222">
                    <w:rPr>
                      <w:u w:val="single"/>
                    </w:rPr>
                    <w:t>Butorphanol Medications List</w:t>
                  </w:r>
                </w:p>
              </w:tc>
            </w:tr>
            <w:tr w:rsidR="00455694" w:rsidRPr="005D4222" w14:paraId="6373EED2" w14:textId="77777777">
              <w:tc>
                <w:tcPr>
                  <w:tcW w:w="7376" w:type="dxa"/>
                  <w:tcBorders>
                    <w:top w:val="single" w:sz="12" w:space="0" w:color="auto"/>
                    <w:bottom w:val="single" w:sz="12" w:space="0" w:color="auto"/>
                  </w:tcBorders>
                  <w:shd w:val="clear" w:color="auto" w:fill="FFFFFF" w:themeFill="background1"/>
                </w:tcPr>
                <w:p w14:paraId="61AF438F" w14:textId="77777777" w:rsidR="00455694" w:rsidRPr="00C53E84" w:rsidRDefault="00455694">
                  <w:pPr>
                    <w:pStyle w:val="TableText"/>
                    <w:rPr>
                      <w:u w:val="single"/>
                      <w:lang w:val="fr-FR"/>
                    </w:rPr>
                  </w:pPr>
                  <w:r w:rsidRPr="00C53E84">
                    <w:rPr>
                      <w:rFonts w:eastAsia="Arial Narrow,Times New Roman"/>
                      <w:u w:val="single"/>
                      <w:lang w:val="fr-FR"/>
                    </w:rPr>
                    <w:t>Acetaminophen Butalbital Caffeine Codeine</w:t>
                  </w:r>
                  <w:r w:rsidRPr="00C53E84">
                    <w:rPr>
                      <w:u w:val="single"/>
                      <w:lang w:val="fr-FR"/>
                    </w:rPr>
                    <w:t xml:space="preserve"> Medications List</w:t>
                  </w:r>
                </w:p>
                <w:p w14:paraId="1BBFA589" w14:textId="77777777" w:rsidR="00455694" w:rsidRPr="00C53E84" w:rsidRDefault="00455694">
                  <w:pPr>
                    <w:pStyle w:val="TableText"/>
                    <w:rPr>
                      <w:rFonts w:eastAsia="Arial Narrow,Times New Roman"/>
                      <w:u w:val="single"/>
                      <w:lang w:val="fr-FR"/>
                    </w:rPr>
                  </w:pPr>
                  <w:r w:rsidRPr="00C53E84">
                    <w:rPr>
                      <w:rFonts w:eastAsia="Arial Narrow,Times New Roman"/>
                      <w:u w:val="single"/>
                      <w:lang w:val="fr-FR"/>
                    </w:rPr>
                    <w:t>Acetaminophen Codeine</w:t>
                  </w:r>
                  <w:r w:rsidRPr="00C53E84">
                    <w:rPr>
                      <w:u w:val="single"/>
                      <w:lang w:val="fr-FR"/>
                    </w:rPr>
                    <w:t xml:space="preserve"> Medications List</w:t>
                  </w:r>
                </w:p>
                <w:p w14:paraId="223E316B" w14:textId="77777777" w:rsidR="00455694" w:rsidRPr="00C53E84" w:rsidRDefault="00455694">
                  <w:pPr>
                    <w:pStyle w:val="TableText"/>
                    <w:rPr>
                      <w:u w:val="single"/>
                      <w:lang w:val="fr-FR"/>
                    </w:rPr>
                  </w:pPr>
                  <w:r w:rsidRPr="00C53E84">
                    <w:rPr>
                      <w:rFonts w:eastAsia="Arial Narrow,Times New Roman"/>
                      <w:u w:val="single"/>
                      <w:lang w:val="fr-FR"/>
                    </w:rPr>
                    <w:t>Aspirin Butalbital Caffeine Codeine</w:t>
                  </w:r>
                  <w:r w:rsidRPr="00C53E84">
                    <w:rPr>
                      <w:u w:val="single"/>
                      <w:lang w:val="fr-FR"/>
                    </w:rPr>
                    <w:t xml:space="preserve"> Medications List</w:t>
                  </w:r>
                </w:p>
                <w:p w14:paraId="46FA95A3" w14:textId="77777777" w:rsidR="00455694" w:rsidRPr="00C53E84" w:rsidRDefault="00455694">
                  <w:pPr>
                    <w:pStyle w:val="TableText"/>
                    <w:rPr>
                      <w:rFonts w:eastAsia="Arial Narrow,Times New Roman"/>
                      <w:u w:val="single"/>
                      <w:lang w:val="fr-FR"/>
                    </w:rPr>
                  </w:pPr>
                  <w:r w:rsidRPr="00C53E84">
                    <w:rPr>
                      <w:rFonts w:eastAsia="Arial Narrow,Times New Roman"/>
                      <w:u w:val="single"/>
                      <w:lang w:val="fr-FR"/>
                    </w:rPr>
                    <w:t>Aspirin Carisoprodol Codeine</w:t>
                  </w:r>
                  <w:r w:rsidRPr="00C53E84">
                    <w:rPr>
                      <w:u w:val="single"/>
                      <w:lang w:val="fr-FR"/>
                    </w:rPr>
                    <w:t xml:space="preserve"> Medications List</w:t>
                  </w:r>
                </w:p>
                <w:p w14:paraId="164B57CC" w14:textId="77777777" w:rsidR="00455694" w:rsidRPr="00C53E84" w:rsidRDefault="00455694">
                  <w:pPr>
                    <w:pStyle w:val="TableText"/>
                    <w:rPr>
                      <w:rFonts w:eastAsia="Arial Narrow,Times New Roman"/>
                      <w:u w:val="single"/>
                      <w:lang w:val="fr-FR"/>
                    </w:rPr>
                  </w:pPr>
                  <w:r w:rsidRPr="00C53E84">
                    <w:rPr>
                      <w:u w:val="single"/>
                      <w:lang w:val="fr-FR"/>
                    </w:rPr>
                    <w:t>Codeine Sulfate Medications List</w:t>
                  </w:r>
                </w:p>
              </w:tc>
            </w:tr>
            <w:tr w:rsidR="00455694" w:rsidRPr="005D4222" w14:paraId="1B3EC472" w14:textId="77777777">
              <w:tc>
                <w:tcPr>
                  <w:tcW w:w="7376" w:type="dxa"/>
                  <w:tcBorders>
                    <w:top w:val="single" w:sz="12" w:space="0" w:color="auto"/>
                  </w:tcBorders>
                  <w:shd w:val="clear" w:color="auto" w:fill="FFFFFF" w:themeFill="background1"/>
                </w:tcPr>
                <w:p w14:paraId="719DD397" w14:textId="77777777" w:rsidR="00455694" w:rsidRPr="005D4222" w:rsidRDefault="00455694">
                  <w:pPr>
                    <w:pStyle w:val="TableText"/>
                    <w:rPr>
                      <w:u w:val="single"/>
                    </w:rPr>
                  </w:pPr>
                  <w:r w:rsidRPr="005D4222">
                    <w:rPr>
                      <w:rFonts w:eastAsia="Arial Narrow,Times New Roman"/>
                      <w:u w:val="single"/>
                    </w:rPr>
                    <w:t>Acetaminophen Caffeine Dihydrocodeine</w:t>
                  </w:r>
                  <w:r w:rsidRPr="005D4222">
                    <w:rPr>
                      <w:u w:val="single"/>
                    </w:rPr>
                    <w:t xml:space="preserve"> Medications List</w:t>
                  </w:r>
                </w:p>
                <w:p w14:paraId="4ECB37DF" w14:textId="77777777" w:rsidR="00455694" w:rsidRPr="005D4222" w:rsidRDefault="00455694">
                  <w:pPr>
                    <w:pStyle w:val="TableText"/>
                    <w:rPr>
                      <w:u w:val="single"/>
                    </w:rPr>
                  </w:pPr>
                  <w:r w:rsidRPr="005D4222">
                    <w:rPr>
                      <w:u w:val="single"/>
                    </w:rPr>
                    <w:t>Fentanyl Medications List</w:t>
                  </w:r>
                </w:p>
                <w:p w14:paraId="652B5521" w14:textId="77777777" w:rsidR="00455694" w:rsidRPr="005D4222" w:rsidRDefault="00455694">
                  <w:pPr>
                    <w:pStyle w:val="TableText"/>
                    <w:rPr>
                      <w:rFonts w:eastAsia="Arial Narrow,Times New Roman"/>
                      <w:u w:val="single"/>
                    </w:rPr>
                  </w:pPr>
                  <w:r w:rsidRPr="005D4222">
                    <w:rPr>
                      <w:rFonts w:eastAsia="Arial Narrow,Times New Roman"/>
                      <w:u w:val="single"/>
                    </w:rPr>
                    <w:t>Acetaminophen Hydrocodone</w:t>
                  </w:r>
                  <w:r w:rsidRPr="005D4222">
                    <w:rPr>
                      <w:u w:val="single"/>
                    </w:rPr>
                    <w:t xml:space="preserve"> Medications List</w:t>
                  </w:r>
                </w:p>
                <w:p w14:paraId="4A6DBB23" w14:textId="77777777" w:rsidR="00455694" w:rsidRPr="005D4222" w:rsidRDefault="00455694">
                  <w:pPr>
                    <w:pStyle w:val="TableText"/>
                    <w:rPr>
                      <w:rFonts w:eastAsia="Arial Narrow,Times New Roman"/>
                      <w:u w:val="single"/>
                    </w:rPr>
                  </w:pPr>
                  <w:r w:rsidRPr="005D4222">
                    <w:rPr>
                      <w:u w:val="single"/>
                    </w:rPr>
                    <w:t>Hydrocodone Medications List</w:t>
                  </w:r>
                </w:p>
                <w:p w14:paraId="6EB119FC" w14:textId="77777777" w:rsidR="00455694" w:rsidRPr="005D4222" w:rsidRDefault="00455694">
                  <w:pPr>
                    <w:pStyle w:val="TableText"/>
                    <w:rPr>
                      <w:rFonts w:eastAsia="Arial Narrow,Times New Roman"/>
                      <w:u w:val="single"/>
                    </w:rPr>
                  </w:pPr>
                  <w:r w:rsidRPr="005D4222">
                    <w:rPr>
                      <w:u w:val="single"/>
                    </w:rPr>
                    <w:t>Hydrocodone Ibuprofen Medications List</w:t>
                  </w:r>
                </w:p>
              </w:tc>
            </w:tr>
          </w:tbl>
          <w:p w14:paraId="52031278" w14:textId="77777777" w:rsidR="00455694" w:rsidRPr="005D4222" w:rsidRDefault="00455694">
            <w:pPr>
              <w:pStyle w:val="ProcessDash"/>
              <w:numPr>
                <w:ilvl w:val="0"/>
                <w:numId w:val="0"/>
              </w:numPr>
              <w:rPr>
                <w:rFonts w:eastAsia="Arial,Arial,Arial,Arial,Arial,A"/>
                <w:color w:val="000000" w:themeColor="text1"/>
                <w:highlight w:val="yellow"/>
              </w:rPr>
            </w:pPr>
          </w:p>
        </w:tc>
      </w:tr>
    </w:tbl>
    <w:p w14:paraId="20349067" w14:textId="77777777" w:rsidR="00455694" w:rsidRPr="005D4222" w:rsidRDefault="00455694" w:rsidP="00455694">
      <w:pPr>
        <w:spacing w:after="160" w:line="259" w:lineRule="auto"/>
      </w:pPr>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455694" w:rsidRPr="005D4222" w14:paraId="2E96F07C" w14:textId="77777777">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B948674" w14:textId="77777777" w:rsidR="00455694" w:rsidRPr="005D4222" w:rsidRDefault="00455694">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2BF6CB1C" w14:textId="77777777" w:rsidR="00455694" w:rsidRPr="005D4222" w:rsidRDefault="00455694">
            <w:pPr>
              <w:rPr>
                <w:sz w:val="10"/>
                <w:szCs w:val="10"/>
              </w:rPr>
            </w:pPr>
          </w:p>
          <w:tbl>
            <w:tblPr>
              <w:tblStyle w:val="TableGrid"/>
              <w:tblW w:w="7376" w:type="dxa"/>
              <w:tblLayout w:type="fixed"/>
              <w:tblLook w:val="04A0" w:firstRow="1" w:lastRow="0" w:firstColumn="1" w:lastColumn="0" w:noHBand="0" w:noVBand="1"/>
            </w:tblPr>
            <w:tblGrid>
              <w:gridCol w:w="7376"/>
            </w:tblGrid>
            <w:tr w:rsidR="00455694" w:rsidRPr="005D4222" w14:paraId="256326FF" w14:textId="77777777">
              <w:trPr>
                <w:tblHeader/>
              </w:trPr>
              <w:tc>
                <w:tcPr>
                  <w:tcW w:w="7376" w:type="dxa"/>
                  <w:tcBorders>
                    <w:left w:val="single" w:sz="4" w:space="0" w:color="auto"/>
                    <w:bottom w:val="single" w:sz="4" w:space="0" w:color="auto"/>
                  </w:tcBorders>
                  <w:shd w:val="clear" w:color="auto" w:fill="000000" w:themeFill="text1"/>
                </w:tcPr>
                <w:p w14:paraId="35DAC923" w14:textId="77777777" w:rsidR="00455694" w:rsidRPr="005D4222" w:rsidRDefault="00455694">
                  <w:pPr>
                    <w:pStyle w:val="TableHead"/>
                    <w:rPr>
                      <w:rFonts w:eastAsia="Arial Narrow,Times New Roman"/>
                    </w:rPr>
                  </w:pPr>
                  <w:r w:rsidRPr="005D4222">
                    <w:rPr>
                      <w:rFonts w:eastAsia="Arial Narrow,Times New Roman"/>
                    </w:rPr>
                    <w:t>Medication Lists</w:t>
                  </w:r>
                </w:p>
              </w:tc>
            </w:tr>
            <w:tr w:rsidR="00455694" w:rsidRPr="005D4222" w14:paraId="7712B596" w14:textId="77777777">
              <w:tc>
                <w:tcPr>
                  <w:tcW w:w="7376" w:type="dxa"/>
                  <w:tcBorders>
                    <w:top w:val="single" w:sz="12" w:space="0" w:color="auto"/>
                    <w:bottom w:val="single" w:sz="12" w:space="0" w:color="auto"/>
                  </w:tcBorders>
                  <w:shd w:val="clear" w:color="auto" w:fill="FFFFFF" w:themeFill="background1"/>
                </w:tcPr>
                <w:p w14:paraId="67DBD1F6" w14:textId="77777777" w:rsidR="00455694" w:rsidRPr="005D4222" w:rsidRDefault="00455694">
                  <w:pPr>
                    <w:pStyle w:val="TableText"/>
                    <w:rPr>
                      <w:u w:val="single"/>
                    </w:rPr>
                  </w:pPr>
                  <w:r w:rsidRPr="005D4222">
                    <w:rPr>
                      <w:u w:val="single"/>
                    </w:rPr>
                    <w:t>Hydromorphone Medications List</w:t>
                  </w:r>
                </w:p>
              </w:tc>
            </w:tr>
            <w:tr w:rsidR="00455694" w:rsidRPr="005D4222" w14:paraId="130D9246" w14:textId="77777777">
              <w:tc>
                <w:tcPr>
                  <w:tcW w:w="7376" w:type="dxa"/>
                  <w:tcBorders>
                    <w:top w:val="single" w:sz="12" w:space="0" w:color="auto"/>
                    <w:bottom w:val="single" w:sz="12" w:space="0" w:color="auto"/>
                  </w:tcBorders>
                  <w:shd w:val="clear" w:color="auto" w:fill="FFFFFF" w:themeFill="background1"/>
                </w:tcPr>
                <w:p w14:paraId="23CD38ED" w14:textId="77777777" w:rsidR="00455694" w:rsidRPr="005D4222" w:rsidRDefault="00455694">
                  <w:pPr>
                    <w:pStyle w:val="TableText"/>
                    <w:rPr>
                      <w:u w:val="single"/>
                    </w:rPr>
                  </w:pPr>
                  <w:r w:rsidRPr="005D4222">
                    <w:rPr>
                      <w:u w:val="single"/>
                    </w:rPr>
                    <w:t>Levorphanol Medications List</w:t>
                  </w:r>
                </w:p>
              </w:tc>
            </w:tr>
            <w:tr w:rsidR="00455694" w:rsidRPr="005D4222" w14:paraId="4E0DB25B" w14:textId="77777777">
              <w:tc>
                <w:tcPr>
                  <w:tcW w:w="7376" w:type="dxa"/>
                  <w:tcBorders>
                    <w:top w:val="single" w:sz="12" w:space="0" w:color="auto"/>
                    <w:bottom w:val="single" w:sz="12" w:space="0" w:color="auto"/>
                  </w:tcBorders>
                  <w:shd w:val="clear" w:color="auto" w:fill="FFFFFF" w:themeFill="background1"/>
                </w:tcPr>
                <w:p w14:paraId="0AB1476C" w14:textId="77777777" w:rsidR="00455694" w:rsidRPr="005D4222" w:rsidRDefault="00455694">
                  <w:pPr>
                    <w:pStyle w:val="TableText"/>
                    <w:rPr>
                      <w:u w:val="single"/>
                    </w:rPr>
                  </w:pPr>
                  <w:r w:rsidRPr="005D4222">
                    <w:rPr>
                      <w:u w:val="single"/>
                    </w:rPr>
                    <w:t>Meperidine Medications List</w:t>
                  </w:r>
                </w:p>
              </w:tc>
            </w:tr>
            <w:tr w:rsidR="00455694" w:rsidRPr="005D4222" w14:paraId="15A8F3FF" w14:textId="77777777">
              <w:tc>
                <w:tcPr>
                  <w:tcW w:w="7376" w:type="dxa"/>
                  <w:tcBorders>
                    <w:top w:val="single" w:sz="12" w:space="0" w:color="auto"/>
                    <w:bottom w:val="single" w:sz="12" w:space="0" w:color="auto"/>
                  </w:tcBorders>
                  <w:shd w:val="clear" w:color="auto" w:fill="FFFFFF" w:themeFill="background1"/>
                </w:tcPr>
                <w:p w14:paraId="7E8028C4" w14:textId="77777777" w:rsidR="00455694" w:rsidRPr="005D4222" w:rsidRDefault="00455694">
                  <w:pPr>
                    <w:pStyle w:val="TableText"/>
                    <w:rPr>
                      <w:u w:val="single"/>
                    </w:rPr>
                  </w:pPr>
                  <w:r w:rsidRPr="005D4222">
                    <w:rPr>
                      <w:u w:val="single"/>
                    </w:rPr>
                    <w:t>Methadone Medications List</w:t>
                  </w:r>
                </w:p>
              </w:tc>
            </w:tr>
            <w:tr w:rsidR="00455694" w:rsidRPr="005D4222" w14:paraId="171A6309" w14:textId="77777777">
              <w:tc>
                <w:tcPr>
                  <w:tcW w:w="7376" w:type="dxa"/>
                  <w:tcBorders>
                    <w:top w:val="single" w:sz="12" w:space="0" w:color="auto"/>
                    <w:bottom w:val="single" w:sz="12" w:space="0" w:color="auto"/>
                  </w:tcBorders>
                  <w:shd w:val="clear" w:color="auto" w:fill="FFFFFF" w:themeFill="background1"/>
                </w:tcPr>
                <w:p w14:paraId="0DA53CCE" w14:textId="77777777" w:rsidR="00455694" w:rsidRPr="005D4222" w:rsidRDefault="00455694">
                  <w:pPr>
                    <w:pStyle w:val="TableText"/>
                    <w:rPr>
                      <w:u w:val="single"/>
                    </w:rPr>
                  </w:pPr>
                  <w:r w:rsidRPr="005D4222">
                    <w:rPr>
                      <w:u w:val="single"/>
                    </w:rPr>
                    <w:t>Morphine Medications List</w:t>
                  </w:r>
                </w:p>
              </w:tc>
            </w:tr>
            <w:tr w:rsidR="00455694" w:rsidRPr="005D4222" w14:paraId="2F174FF0" w14:textId="77777777">
              <w:tc>
                <w:tcPr>
                  <w:tcW w:w="7376" w:type="dxa"/>
                  <w:tcBorders>
                    <w:top w:val="single" w:sz="12" w:space="0" w:color="auto"/>
                    <w:bottom w:val="single" w:sz="12" w:space="0" w:color="auto"/>
                  </w:tcBorders>
                  <w:shd w:val="clear" w:color="auto" w:fill="FFFFFF" w:themeFill="background1"/>
                </w:tcPr>
                <w:p w14:paraId="6A560C96" w14:textId="77777777" w:rsidR="00455694" w:rsidRPr="005D4222" w:rsidRDefault="00455694">
                  <w:pPr>
                    <w:pStyle w:val="TableText"/>
                    <w:rPr>
                      <w:rFonts w:eastAsia="Arial Narrow,Times New Roman"/>
                      <w:u w:val="single"/>
                    </w:rPr>
                  </w:pPr>
                  <w:r w:rsidRPr="005D4222">
                    <w:rPr>
                      <w:u w:val="single"/>
                    </w:rPr>
                    <w:t>Belladonna Opium Medications List</w:t>
                  </w:r>
                </w:p>
                <w:p w14:paraId="022DB8CD" w14:textId="77777777" w:rsidR="00455694" w:rsidRPr="005D4222" w:rsidRDefault="00455694">
                  <w:pPr>
                    <w:pStyle w:val="TableText"/>
                    <w:rPr>
                      <w:u w:val="single"/>
                    </w:rPr>
                  </w:pPr>
                  <w:r w:rsidRPr="005D4222">
                    <w:rPr>
                      <w:u w:val="single"/>
                    </w:rPr>
                    <w:t xml:space="preserve">Opium Medications List </w:t>
                  </w:r>
                </w:p>
              </w:tc>
            </w:tr>
            <w:tr w:rsidR="00455694" w:rsidRPr="005D4222" w14:paraId="22645040" w14:textId="77777777">
              <w:tc>
                <w:tcPr>
                  <w:tcW w:w="7376" w:type="dxa"/>
                  <w:tcBorders>
                    <w:top w:val="single" w:sz="12" w:space="0" w:color="auto"/>
                    <w:bottom w:val="single" w:sz="12" w:space="0" w:color="auto"/>
                  </w:tcBorders>
                  <w:shd w:val="clear" w:color="auto" w:fill="FFFFFF" w:themeFill="background1"/>
                </w:tcPr>
                <w:p w14:paraId="2C627E43" w14:textId="77777777" w:rsidR="00455694" w:rsidRPr="005D4222" w:rsidRDefault="00455694">
                  <w:pPr>
                    <w:pStyle w:val="TableText"/>
                    <w:rPr>
                      <w:rFonts w:eastAsia="Arial Narrow,Times New Roman"/>
                      <w:u w:val="single"/>
                    </w:rPr>
                  </w:pPr>
                  <w:r w:rsidRPr="005D4222">
                    <w:rPr>
                      <w:rFonts w:eastAsia="Arial Narrow,Times New Roman"/>
                      <w:u w:val="single"/>
                    </w:rPr>
                    <w:t>Acetaminophen Oxycodone</w:t>
                  </w:r>
                  <w:r w:rsidRPr="005D4222">
                    <w:rPr>
                      <w:u w:val="single"/>
                    </w:rPr>
                    <w:t xml:space="preserve"> Medications List</w:t>
                  </w:r>
                </w:p>
                <w:p w14:paraId="5992932D" w14:textId="77777777" w:rsidR="00455694" w:rsidRPr="005D4222" w:rsidRDefault="00455694">
                  <w:pPr>
                    <w:pStyle w:val="TableText"/>
                    <w:rPr>
                      <w:rFonts w:eastAsia="Arial Narrow,Times New Roman"/>
                      <w:u w:val="single"/>
                    </w:rPr>
                  </w:pPr>
                  <w:r w:rsidRPr="005D4222">
                    <w:rPr>
                      <w:u w:val="single"/>
                    </w:rPr>
                    <w:t>Aspirin Oxycodone Medications List</w:t>
                  </w:r>
                </w:p>
                <w:p w14:paraId="67250015" w14:textId="77777777" w:rsidR="00455694" w:rsidRPr="005D4222" w:rsidRDefault="00455694">
                  <w:pPr>
                    <w:pStyle w:val="TableText"/>
                    <w:rPr>
                      <w:rFonts w:eastAsia="Arial Narrow,Times New Roman"/>
                      <w:u w:val="single"/>
                    </w:rPr>
                  </w:pPr>
                  <w:r w:rsidRPr="005D4222">
                    <w:rPr>
                      <w:u w:val="single"/>
                    </w:rPr>
                    <w:t>Ibuprofen Oxycodone Medications List</w:t>
                  </w:r>
                </w:p>
                <w:p w14:paraId="11812490" w14:textId="77777777" w:rsidR="00455694" w:rsidRPr="005D4222" w:rsidRDefault="00455694">
                  <w:pPr>
                    <w:pStyle w:val="TableText"/>
                    <w:rPr>
                      <w:rFonts w:eastAsia="Arial Narrow,Times New Roman"/>
                      <w:u w:val="single"/>
                    </w:rPr>
                  </w:pPr>
                  <w:r w:rsidRPr="005D4222">
                    <w:rPr>
                      <w:u w:val="single"/>
                    </w:rPr>
                    <w:t>Oxycodone Medications List</w:t>
                  </w:r>
                </w:p>
              </w:tc>
            </w:tr>
            <w:tr w:rsidR="00455694" w:rsidRPr="005D4222" w14:paraId="05BF0D51" w14:textId="77777777">
              <w:tc>
                <w:tcPr>
                  <w:tcW w:w="7376" w:type="dxa"/>
                  <w:tcBorders>
                    <w:top w:val="single" w:sz="12" w:space="0" w:color="auto"/>
                    <w:bottom w:val="single" w:sz="12" w:space="0" w:color="auto"/>
                  </w:tcBorders>
                  <w:shd w:val="clear" w:color="auto" w:fill="FFFFFF" w:themeFill="background1"/>
                </w:tcPr>
                <w:p w14:paraId="7D6779F8" w14:textId="77777777" w:rsidR="00455694" w:rsidRPr="005D4222" w:rsidRDefault="00455694">
                  <w:pPr>
                    <w:pStyle w:val="TableText"/>
                    <w:rPr>
                      <w:u w:val="single"/>
                    </w:rPr>
                  </w:pPr>
                  <w:r w:rsidRPr="005D4222">
                    <w:rPr>
                      <w:u w:val="single"/>
                    </w:rPr>
                    <w:t>Oxymorphone Medications List</w:t>
                  </w:r>
                </w:p>
              </w:tc>
            </w:tr>
            <w:tr w:rsidR="00455694" w:rsidRPr="005D4222" w14:paraId="66B2D5A8" w14:textId="77777777">
              <w:tc>
                <w:tcPr>
                  <w:tcW w:w="7376" w:type="dxa"/>
                  <w:tcBorders>
                    <w:top w:val="single" w:sz="12" w:space="0" w:color="auto"/>
                    <w:bottom w:val="single" w:sz="12" w:space="0" w:color="auto"/>
                  </w:tcBorders>
                  <w:shd w:val="clear" w:color="auto" w:fill="FFFFFF" w:themeFill="background1"/>
                </w:tcPr>
                <w:p w14:paraId="0D6E9766" w14:textId="77777777" w:rsidR="00455694" w:rsidRPr="005D4222" w:rsidRDefault="00455694">
                  <w:pPr>
                    <w:pStyle w:val="TableText"/>
                    <w:rPr>
                      <w:u w:val="single"/>
                    </w:rPr>
                  </w:pPr>
                  <w:r w:rsidRPr="005D4222">
                    <w:rPr>
                      <w:u w:val="single"/>
                    </w:rPr>
                    <w:t>Naloxone Pentazocine Medications List</w:t>
                  </w:r>
                </w:p>
              </w:tc>
            </w:tr>
            <w:tr w:rsidR="00455694" w:rsidRPr="005D4222" w14:paraId="32F6D764" w14:textId="77777777">
              <w:tc>
                <w:tcPr>
                  <w:tcW w:w="7376" w:type="dxa"/>
                  <w:tcBorders>
                    <w:top w:val="single" w:sz="12" w:space="0" w:color="auto"/>
                    <w:bottom w:val="single" w:sz="12" w:space="0" w:color="auto"/>
                  </w:tcBorders>
                  <w:shd w:val="clear" w:color="auto" w:fill="FFFFFF" w:themeFill="background1"/>
                </w:tcPr>
                <w:p w14:paraId="75BB714F" w14:textId="77777777" w:rsidR="00455694" w:rsidRPr="005D4222" w:rsidRDefault="00455694">
                  <w:pPr>
                    <w:pStyle w:val="TableText"/>
                    <w:rPr>
                      <w:u w:val="single"/>
                    </w:rPr>
                  </w:pPr>
                  <w:r w:rsidRPr="005D4222">
                    <w:rPr>
                      <w:u w:val="single"/>
                    </w:rPr>
                    <w:t>Tapentadol Medications List</w:t>
                  </w:r>
                </w:p>
              </w:tc>
            </w:tr>
            <w:tr w:rsidR="00455694" w:rsidRPr="005D4222" w14:paraId="3BA8D540" w14:textId="77777777">
              <w:tc>
                <w:tcPr>
                  <w:tcW w:w="7376" w:type="dxa"/>
                  <w:tcBorders>
                    <w:top w:val="single" w:sz="12" w:space="0" w:color="auto"/>
                  </w:tcBorders>
                  <w:shd w:val="clear" w:color="auto" w:fill="FFFFFF" w:themeFill="background1"/>
                </w:tcPr>
                <w:p w14:paraId="42B1DC30" w14:textId="77777777" w:rsidR="00455694" w:rsidRPr="005D4222" w:rsidRDefault="00455694">
                  <w:pPr>
                    <w:pStyle w:val="TableText"/>
                    <w:rPr>
                      <w:rFonts w:eastAsia="Arial Narrow,Times New Roman"/>
                      <w:u w:val="single"/>
                    </w:rPr>
                  </w:pPr>
                  <w:r w:rsidRPr="005D4222">
                    <w:rPr>
                      <w:rFonts w:eastAsia="Arial Narrow,Times New Roman"/>
                      <w:u w:val="single"/>
                    </w:rPr>
                    <w:t>Acetaminophen Tramadol</w:t>
                  </w:r>
                  <w:r w:rsidRPr="005D4222">
                    <w:rPr>
                      <w:u w:val="single"/>
                    </w:rPr>
                    <w:t xml:space="preserve"> Medications List</w:t>
                  </w:r>
                </w:p>
                <w:p w14:paraId="3C58F481" w14:textId="77777777" w:rsidR="00455694" w:rsidRPr="005D4222" w:rsidRDefault="00455694">
                  <w:pPr>
                    <w:pStyle w:val="TableText"/>
                    <w:rPr>
                      <w:rFonts w:eastAsia="Arial Narrow,Times New Roman"/>
                      <w:u w:val="single"/>
                    </w:rPr>
                  </w:pPr>
                  <w:r w:rsidRPr="005D4222">
                    <w:rPr>
                      <w:u w:val="single"/>
                    </w:rPr>
                    <w:t>Tramadol Medications List</w:t>
                  </w:r>
                </w:p>
              </w:tc>
            </w:tr>
          </w:tbl>
          <w:p w14:paraId="5709D0AA" w14:textId="77777777" w:rsidR="00455694" w:rsidRPr="005D4222" w:rsidRDefault="00455694">
            <w:pPr>
              <w:pStyle w:val="ECDSBody"/>
              <w:rPr>
                <w:b/>
                <w:bCs w:val="0"/>
              </w:rPr>
            </w:pPr>
          </w:p>
        </w:tc>
      </w:tr>
      <w:tr w:rsidR="00455694" w:rsidRPr="005D4222" w14:paraId="1B50188B" w14:textId="7777777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F94A002" w14:textId="77777777" w:rsidR="00455694" w:rsidRPr="005D4222" w:rsidRDefault="00455694">
            <w:pPr>
              <w:pStyle w:val="ECDSMarginHead"/>
            </w:pPr>
            <w:r w:rsidRPr="005D4222">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3CB5A33" w14:textId="77777777" w:rsidR="00455694" w:rsidRPr="005D4222" w:rsidRDefault="00455694">
            <w:pPr>
              <w:pStyle w:val="ProcessBullet"/>
              <w:spacing w:before="120"/>
            </w:pPr>
            <w:r w:rsidRPr="005D4222">
              <w:t>No changes to this measure.</w:t>
            </w:r>
          </w:p>
        </w:tc>
      </w:tr>
      <w:tr w:rsidR="00455694" w:rsidRPr="005D4222" w14:paraId="3BFC2195" w14:textId="77777777">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ACA40F2" w14:textId="77777777" w:rsidR="00455694" w:rsidRPr="005D4222" w:rsidRDefault="00455694">
            <w:pPr>
              <w:pStyle w:val="ECDS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C2A6372" w14:textId="77777777" w:rsidR="00455694" w:rsidRPr="005D4222" w:rsidRDefault="00455694">
            <w:pPr>
              <w:pStyle w:val="ECDSBody"/>
              <w:rPr>
                <w:rFonts w:eastAsia="Arial,Times New Roman"/>
              </w:rPr>
            </w:pPr>
            <w:r w:rsidRPr="005D4222">
              <w:rPr>
                <w:rFonts w:eastAsia="Arial,Arial,Times New Roman"/>
              </w:rPr>
              <w:t>Organizations that submit HEDIS data to NCQA must provide the following data elements.</w:t>
            </w:r>
          </w:p>
          <w:p w14:paraId="3135FD08" w14:textId="77777777" w:rsidR="00455694" w:rsidRPr="005D4222" w:rsidRDefault="00455694">
            <w:pPr>
              <w:pStyle w:val="Heading3"/>
              <w:spacing w:before="120"/>
              <w:rPr>
                <w:rFonts w:eastAsia="Arial,Arial,Times New Roman"/>
              </w:rPr>
            </w:pPr>
            <w:r w:rsidRPr="005D4222">
              <w:rPr>
                <w:rFonts w:eastAsia="Arial,Arial,Times New Roman"/>
              </w:rPr>
              <w:t xml:space="preserve">Table COU-1/2/3: Data Elements for Risk of Continued Opioid Use </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56"/>
              <w:gridCol w:w="900"/>
              <w:gridCol w:w="1710"/>
              <w:gridCol w:w="2609"/>
            </w:tblGrid>
            <w:tr w:rsidR="00455694" w:rsidRPr="005D4222" w14:paraId="5F24F9E3" w14:textId="77777777">
              <w:tc>
                <w:tcPr>
                  <w:tcW w:w="2156"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tcMar>
                    <w:left w:w="72" w:type="dxa"/>
                    <w:right w:w="72" w:type="dxa"/>
                  </w:tcMar>
                  <w:hideMark/>
                </w:tcPr>
                <w:p w14:paraId="7F38F60B" w14:textId="77777777" w:rsidR="00455694" w:rsidRPr="005D4222" w:rsidRDefault="00455694">
                  <w:pPr>
                    <w:pStyle w:val="TableHead"/>
                    <w:spacing w:before="40" w:after="40"/>
                  </w:pPr>
                  <w:r w:rsidRPr="005D4222">
                    <w:t>Metric</w:t>
                  </w:r>
                </w:p>
              </w:tc>
              <w:tc>
                <w:tcPr>
                  <w:tcW w:w="90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72" w:type="dxa"/>
                    <w:right w:w="72" w:type="dxa"/>
                  </w:tcMar>
                  <w:hideMark/>
                </w:tcPr>
                <w:p w14:paraId="4743F18B" w14:textId="77777777" w:rsidR="00455694" w:rsidRPr="005D4222" w:rsidRDefault="00455694">
                  <w:pPr>
                    <w:pStyle w:val="TableHead"/>
                    <w:spacing w:before="40" w:after="40"/>
                  </w:pPr>
                  <w:r w:rsidRPr="005D4222">
                    <w:t>Age</w:t>
                  </w:r>
                </w:p>
              </w:tc>
              <w:tc>
                <w:tcPr>
                  <w:tcW w:w="171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72" w:type="dxa"/>
                    <w:right w:w="72" w:type="dxa"/>
                  </w:tcMar>
                  <w:hideMark/>
                </w:tcPr>
                <w:p w14:paraId="14962A8E" w14:textId="77777777" w:rsidR="00455694" w:rsidRPr="005D4222" w:rsidRDefault="00455694">
                  <w:pPr>
                    <w:pStyle w:val="TableHead"/>
                    <w:spacing w:before="40" w:after="40"/>
                  </w:pPr>
                  <w:r w:rsidRPr="005D4222">
                    <w:t>Data Element</w:t>
                  </w:r>
                </w:p>
              </w:tc>
              <w:tc>
                <w:tcPr>
                  <w:tcW w:w="2609"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tcMar>
                    <w:left w:w="72" w:type="dxa"/>
                    <w:right w:w="72" w:type="dxa"/>
                  </w:tcMar>
                  <w:hideMark/>
                </w:tcPr>
                <w:p w14:paraId="5FEB40E2" w14:textId="77777777" w:rsidR="00455694" w:rsidRPr="005D4222" w:rsidRDefault="00455694">
                  <w:pPr>
                    <w:pStyle w:val="TableHead"/>
                    <w:spacing w:before="40" w:after="40"/>
                  </w:pPr>
                  <w:r w:rsidRPr="005D4222">
                    <w:t>Reporting Instructions</w:t>
                  </w:r>
                </w:p>
              </w:tc>
            </w:tr>
            <w:tr w:rsidR="00455694" w:rsidRPr="005D4222" w14:paraId="29DB46B0" w14:textId="77777777">
              <w:tc>
                <w:tcPr>
                  <w:tcW w:w="2156" w:type="dxa"/>
                  <w:tcBorders>
                    <w:top w:val="single" w:sz="4" w:space="0" w:color="000000" w:themeColor="text1"/>
                    <w:left w:val="single" w:sz="4" w:space="0" w:color="auto"/>
                    <w:bottom w:val="single" w:sz="4" w:space="0" w:color="auto"/>
                    <w:right w:val="single" w:sz="4" w:space="0" w:color="auto"/>
                  </w:tcBorders>
                  <w:tcMar>
                    <w:left w:w="72" w:type="dxa"/>
                    <w:right w:w="72" w:type="dxa"/>
                  </w:tcMar>
                  <w:hideMark/>
                </w:tcPr>
                <w:p w14:paraId="289366DD" w14:textId="77777777" w:rsidR="00455694" w:rsidRPr="005D4222" w:rsidRDefault="00455694">
                  <w:pPr>
                    <w:pStyle w:val="TableText"/>
                    <w:spacing w:before="40" w:after="40"/>
                    <w:rPr>
                      <w:rFonts w:cs="Arial"/>
                      <w:szCs w:val="21"/>
                    </w:rPr>
                  </w:pPr>
                  <w:r w:rsidRPr="005D4222">
                    <w:rPr>
                      <w:rFonts w:cs="Arial"/>
                      <w:szCs w:val="21"/>
                    </w:rPr>
                    <w:t>Covered15OrMoreDays</w:t>
                  </w:r>
                </w:p>
              </w:tc>
              <w:tc>
                <w:tcPr>
                  <w:tcW w:w="900" w:type="dxa"/>
                  <w:tcBorders>
                    <w:top w:val="single" w:sz="4" w:space="0" w:color="000000" w:themeColor="text1"/>
                    <w:left w:val="single" w:sz="4" w:space="0" w:color="auto"/>
                    <w:bottom w:val="single" w:sz="4" w:space="0" w:color="auto"/>
                    <w:right w:val="single" w:sz="4" w:space="0" w:color="auto"/>
                  </w:tcBorders>
                  <w:tcMar>
                    <w:left w:w="72" w:type="dxa"/>
                    <w:right w:w="72" w:type="dxa"/>
                  </w:tcMar>
                  <w:hideMark/>
                </w:tcPr>
                <w:p w14:paraId="39DDE741" w14:textId="77777777" w:rsidR="00455694" w:rsidRPr="005D4222" w:rsidRDefault="00455694">
                  <w:pPr>
                    <w:pStyle w:val="TableText"/>
                    <w:spacing w:before="40" w:after="40"/>
                    <w:rPr>
                      <w:rFonts w:cs="Arial"/>
                      <w:szCs w:val="21"/>
                    </w:rPr>
                  </w:pPr>
                  <w:r w:rsidRPr="005D4222">
                    <w:rPr>
                      <w:rFonts w:cs="Arial"/>
                      <w:szCs w:val="21"/>
                    </w:rPr>
                    <w:t>18-64</w:t>
                  </w:r>
                </w:p>
              </w:tc>
              <w:tc>
                <w:tcPr>
                  <w:tcW w:w="1710" w:type="dxa"/>
                  <w:tcBorders>
                    <w:top w:val="single" w:sz="4" w:space="0" w:color="000000" w:themeColor="text1"/>
                    <w:left w:val="single" w:sz="4" w:space="0" w:color="auto"/>
                    <w:bottom w:val="single" w:sz="4" w:space="0" w:color="auto"/>
                    <w:right w:val="single" w:sz="4" w:space="0" w:color="auto"/>
                  </w:tcBorders>
                  <w:tcMar>
                    <w:left w:w="72" w:type="dxa"/>
                    <w:right w:w="72" w:type="dxa"/>
                  </w:tcMar>
                  <w:hideMark/>
                </w:tcPr>
                <w:p w14:paraId="10FD8095" w14:textId="77777777" w:rsidR="00455694" w:rsidRPr="005D4222" w:rsidRDefault="00455694">
                  <w:pPr>
                    <w:pStyle w:val="TableText"/>
                    <w:spacing w:before="40" w:after="40"/>
                    <w:rPr>
                      <w:rFonts w:cs="Arial"/>
                      <w:szCs w:val="21"/>
                    </w:rPr>
                  </w:pPr>
                  <w:r w:rsidRPr="005D4222">
                    <w:rPr>
                      <w:rFonts w:cs="Arial"/>
                      <w:szCs w:val="21"/>
                    </w:rPr>
                    <w:t>Benefit</w:t>
                  </w:r>
                </w:p>
              </w:tc>
              <w:tc>
                <w:tcPr>
                  <w:tcW w:w="2609" w:type="dxa"/>
                  <w:tcBorders>
                    <w:top w:val="single" w:sz="4" w:space="0" w:color="000000" w:themeColor="text1"/>
                    <w:left w:val="single" w:sz="4" w:space="0" w:color="auto"/>
                    <w:bottom w:val="single" w:sz="6" w:space="0" w:color="auto"/>
                    <w:right w:val="single" w:sz="4" w:space="0" w:color="auto"/>
                  </w:tcBorders>
                  <w:tcMar>
                    <w:left w:w="72" w:type="dxa"/>
                    <w:right w:w="72" w:type="dxa"/>
                  </w:tcMar>
                  <w:hideMark/>
                </w:tcPr>
                <w:p w14:paraId="683A910B" w14:textId="77777777" w:rsidR="00455694" w:rsidRPr="005D4222" w:rsidRDefault="00455694">
                  <w:pPr>
                    <w:pStyle w:val="TableText"/>
                    <w:spacing w:before="40" w:after="40"/>
                    <w:rPr>
                      <w:rFonts w:eastAsia="Wingdings" w:cs="Arial"/>
                      <w:szCs w:val="21"/>
                    </w:rPr>
                  </w:pPr>
                  <w:r w:rsidRPr="005D4222">
                    <w:rPr>
                      <w:rFonts w:eastAsia="Wingdings" w:cs="Arial"/>
                      <w:szCs w:val="21"/>
                    </w:rPr>
                    <w:t>Metadata</w:t>
                  </w:r>
                </w:p>
              </w:tc>
            </w:tr>
            <w:tr w:rsidR="00455694" w:rsidRPr="005D4222" w14:paraId="7375C9D7" w14:textId="77777777">
              <w:tc>
                <w:tcPr>
                  <w:tcW w:w="2156"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5C3392CC" w14:textId="77777777" w:rsidR="00455694" w:rsidRPr="005D4222" w:rsidRDefault="00455694">
                  <w:pPr>
                    <w:pStyle w:val="TableText"/>
                    <w:spacing w:before="40" w:after="40"/>
                    <w:rPr>
                      <w:rFonts w:cs="Arial"/>
                      <w:szCs w:val="21"/>
                    </w:rPr>
                  </w:pPr>
                  <w:r w:rsidRPr="005D4222">
                    <w:rPr>
                      <w:rFonts w:cs="Arial"/>
                      <w:szCs w:val="21"/>
                    </w:rPr>
                    <w:t>Covered31OrMoreDays</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4193732D" w14:textId="77777777" w:rsidR="00455694" w:rsidRPr="005D4222" w:rsidRDefault="00455694">
                  <w:pPr>
                    <w:pStyle w:val="TableText"/>
                    <w:spacing w:before="40" w:after="40"/>
                    <w:rPr>
                      <w:rFonts w:cs="Arial"/>
                      <w:szCs w:val="21"/>
                    </w:rPr>
                  </w:pPr>
                  <w:r w:rsidRPr="005D4222">
                    <w:rPr>
                      <w:rFonts w:cs="Arial"/>
                      <w:szCs w:val="21"/>
                    </w:rPr>
                    <w:t>65+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50B661BC" w14:textId="77777777" w:rsidR="00455694" w:rsidRPr="005D4222" w:rsidRDefault="00455694">
                  <w:pPr>
                    <w:pStyle w:val="TableText"/>
                    <w:spacing w:before="40" w:after="40"/>
                    <w:rPr>
                      <w:rFonts w:cs="Arial"/>
                      <w:szCs w:val="21"/>
                    </w:rPr>
                  </w:pPr>
                  <w:r w:rsidRPr="005D4222">
                    <w:rPr>
                      <w:rFonts w:cs="Arial"/>
                      <w:szCs w:val="21"/>
                    </w:rPr>
                    <w:t xml:space="preserve">InitialPopulation </w:t>
                  </w:r>
                </w:p>
              </w:tc>
              <w:tc>
                <w:tcPr>
                  <w:tcW w:w="2609" w:type="dxa"/>
                  <w:tcBorders>
                    <w:top w:val="single" w:sz="6" w:space="0" w:color="auto"/>
                    <w:left w:val="single" w:sz="4" w:space="0" w:color="auto"/>
                    <w:bottom w:val="single" w:sz="6" w:space="0" w:color="auto"/>
                    <w:right w:val="single" w:sz="4" w:space="0" w:color="auto"/>
                  </w:tcBorders>
                  <w:shd w:val="clear" w:color="auto" w:fill="FFFFFF" w:themeFill="background1"/>
                  <w:tcMar>
                    <w:left w:w="72" w:type="dxa"/>
                    <w:right w:w="72" w:type="dxa"/>
                  </w:tcMar>
                  <w:hideMark/>
                </w:tcPr>
                <w:p w14:paraId="7FD041B5" w14:textId="77777777" w:rsidR="00455694" w:rsidRPr="005D4222" w:rsidRDefault="00455694">
                  <w:pPr>
                    <w:pStyle w:val="TableText"/>
                    <w:spacing w:before="40" w:after="40"/>
                    <w:rPr>
                      <w:rFonts w:eastAsia="Wingdings" w:cs="Arial"/>
                      <w:szCs w:val="21"/>
                    </w:rPr>
                  </w:pPr>
                  <w:r w:rsidRPr="005D4222">
                    <w:rPr>
                      <w:rFonts w:eastAsia="Wingdings" w:cs="Arial"/>
                      <w:szCs w:val="21"/>
                    </w:rPr>
                    <w:t>For each Stratification, repeat per Metric</w:t>
                  </w:r>
                </w:p>
              </w:tc>
            </w:tr>
            <w:tr w:rsidR="00455694" w:rsidRPr="005D4222" w14:paraId="0A47EB61" w14:textId="77777777">
              <w:tc>
                <w:tcPr>
                  <w:tcW w:w="2156" w:type="dxa"/>
                  <w:tcBorders>
                    <w:top w:val="single" w:sz="4" w:space="0" w:color="auto"/>
                    <w:left w:val="nil"/>
                    <w:bottom w:val="nil"/>
                    <w:right w:val="single" w:sz="4" w:space="0" w:color="auto"/>
                  </w:tcBorders>
                  <w:shd w:val="clear" w:color="auto" w:fill="FFFFFF" w:themeFill="background1"/>
                  <w:tcMar>
                    <w:left w:w="72" w:type="dxa"/>
                    <w:right w:w="72" w:type="dxa"/>
                  </w:tcMar>
                </w:tcPr>
                <w:p w14:paraId="08CD3E83" w14:textId="77777777" w:rsidR="00455694" w:rsidRPr="005D4222" w:rsidRDefault="00455694">
                  <w:pPr>
                    <w:pStyle w:val="TableText"/>
                    <w:spacing w:before="40" w:after="40"/>
                    <w:rPr>
                      <w:rFonts w:cs="Arial"/>
                      <w:szCs w:val="21"/>
                    </w:rPr>
                  </w:pPr>
                </w:p>
              </w:tc>
              <w:tc>
                <w:tcPr>
                  <w:tcW w:w="9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44E3CF60" w14:textId="77777777" w:rsidR="00455694" w:rsidRPr="005D4222" w:rsidRDefault="00455694">
                  <w:pPr>
                    <w:pStyle w:val="TableText"/>
                    <w:spacing w:before="40" w:after="40"/>
                    <w:rPr>
                      <w:rFonts w:cs="Arial"/>
                      <w:szCs w:val="21"/>
                    </w:rPr>
                  </w:pPr>
                  <w:r w:rsidRPr="005D4222">
                    <w:rPr>
                      <w:rFonts w:cs="Arial"/>
                      <w:szCs w:val="21"/>
                    </w:rPr>
                    <w:t>Total</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72978105" w14:textId="77777777" w:rsidR="00455694" w:rsidRPr="005D4222" w:rsidRDefault="00455694">
                  <w:pPr>
                    <w:pStyle w:val="TableText"/>
                    <w:spacing w:before="40" w:after="40"/>
                    <w:rPr>
                      <w:rFonts w:cs="Arial"/>
                    </w:rPr>
                  </w:pPr>
                  <w:r w:rsidRPr="005D4222">
                    <w:rPr>
                      <w:rFonts w:cs="Arial"/>
                    </w:rPr>
                    <w:t>Exclusions</w:t>
                  </w:r>
                </w:p>
              </w:tc>
              <w:tc>
                <w:tcPr>
                  <w:tcW w:w="2609" w:type="dxa"/>
                  <w:tcBorders>
                    <w:top w:val="single" w:sz="6" w:space="0" w:color="auto"/>
                    <w:left w:val="single" w:sz="4" w:space="0" w:color="auto"/>
                    <w:bottom w:val="single" w:sz="6" w:space="0" w:color="auto"/>
                    <w:right w:val="single" w:sz="4" w:space="0" w:color="auto"/>
                  </w:tcBorders>
                  <w:shd w:val="clear" w:color="auto" w:fill="FFFFFF" w:themeFill="background1"/>
                  <w:tcMar>
                    <w:left w:w="72" w:type="dxa"/>
                    <w:right w:w="72" w:type="dxa"/>
                  </w:tcMar>
                  <w:hideMark/>
                </w:tcPr>
                <w:p w14:paraId="393D9347" w14:textId="77777777" w:rsidR="00455694" w:rsidRPr="005D4222" w:rsidRDefault="00455694">
                  <w:pPr>
                    <w:pStyle w:val="TableText"/>
                    <w:spacing w:before="40" w:after="40"/>
                    <w:rPr>
                      <w:rFonts w:eastAsia="Wingdings" w:cs="Arial"/>
                      <w:szCs w:val="21"/>
                    </w:rPr>
                  </w:pPr>
                  <w:r w:rsidRPr="005D4222">
                    <w:rPr>
                      <w:rFonts w:eastAsia="Wingdings" w:cs="Arial"/>
                      <w:szCs w:val="21"/>
                    </w:rPr>
                    <w:t>For each Stratification, repeat per Metric</w:t>
                  </w:r>
                </w:p>
              </w:tc>
            </w:tr>
            <w:tr w:rsidR="00455694" w:rsidRPr="005D4222" w14:paraId="29E6DC4E" w14:textId="77777777" w:rsidTr="007B5FC3">
              <w:tc>
                <w:tcPr>
                  <w:tcW w:w="2156" w:type="dxa"/>
                  <w:tcBorders>
                    <w:top w:val="nil"/>
                    <w:left w:val="nil"/>
                    <w:bottom w:val="nil"/>
                    <w:right w:val="nil"/>
                  </w:tcBorders>
                  <w:shd w:val="clear" w:color="auto" w:fill="FFFFFF" w:themeFill="background1"/>
                  <w:tcMar>
                    <w:left w:w="72" w:type="dxa"/>
                    <w:right w:w="72" w:type="dxa"/>
                  </w:tcMar>
                </w:tcPr>
                <w:p w14:paraId="041DA0E3" w14:textId="77777777" w:rsidR="00455694" w:rsidRPr="005D4222" w:rsidRDefault="00455694">
                  <w:pPr>
                    <w:pStyle w:val="TableText"/>
                    <w:spacing w:before="40" w:after="40"/>
                    <w:rPr>
                      <w:rFonts w:cs="Arial"/>
                      <w:szCs w:val="21"/>
                    </w:rPr>
                  </w:pPr>
                </w:p>
              </w:tc>
              <w:tc>
                <w:tcPr>
                  <w:tcW w:w="900" w:type="dxa"/>
                  <w:tcBorders>
                    <w:top w:val="single" w:sz="4" w:space="0" w:color="auto"/>
                    <w:left w:val="nil"/>
                    <w:bottom w:val="nil"/>
                    <w:right w:val="single" w:sz="4" w:space="0" w:color="auto"/>
                  </w:tcBorders>
                  <w:tcMar>
                    <w:left w:w="72" w:type="dxa"/>
                    <w:right w:w="72" w:type="dxa"/>
                  </w:tcMar>
                </w:tcPr>
                <w:p w14:paraId="7FB1E43A" w14:textId="77777777" w:rsidR="00455694" w:rsidRPr="005D4222" w:rsidRDefault="00455694">
                  <w:pPr>
                    <w:pStyle w:val="TableText"/>
                    <w:spacing w:before="40" w:after="40"/>
                    <w:rPr>
                      <w:rFonts w:cs="Arial"/>
                      <w:szCs w:val="21"/>
                    </w:rPr>
                  </w:pP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668D7503" w14:textId="77777777" w:rsidR="00455694" w:rsidRPr="005D4222" w:rsidRDefault="00455694">
                  <w:pPr>
                    <w:pStyle w:val="TableText"/>
                    <w:spacing w:before="40" w:after="40"/>
                    <w:rPr>
                      <w:rFonts w:cs="Arial"/>
                    </w:rPr>
                  </w:pPr>
                  <w:r w:rsidRPr="005D4222">
                    <w:rPr>
                      <w:rFonts w:cs="Arial"/>
                      <w:szCs w:val="21"/>
                    </w:rPr>
                    <w:t>Denominator</w:t>
                  </w:r>
                </w:p>
              </w:tc>
              <w:tc>
                <w:tcPr>
                  <w:tcW w:w="2609" w:type="dxa"/>
                  <w:tcBorders>
                    <w:top w:val="single" w:sz="6" w:space="0" w:color="auto"/>
                    <w:left w:val="single" w:sz="4" w:space="0" w:color="auto"/>
                    <w:bottom w:val="single" w:sz="6" w:space="0" w:color="auto"/>
                    <w:right w:val="single" w:sz="4" w:space="0" w:color="auto"/>
                  </w:tcBorders>
                  <w:shd w:val="clear" w:color="auto" w:fill="FFFFFF" w:themeFill="background1"/>
                  <w:tcMar>
                    <w:left w:w="72" w:type="dxa"/>
                    <w:right w:w="72" w:type="dxa"/>
                  </w:tcMar>
                </w:tcPr>
                <w:p w14:paraId="5BCEDC50" w14:textId="77777777" w:rsidR="00455694" w:rsidRPr="005D4222" w:rsidRDefault="00455694">
                  <w:pPr>
                    <w:pStyle w:val="TableText"/>
                    <w:spacing w:before="40" w:after="40"/>
                    <w:rPr>
                      <w:rFonts w:eastAsia="Wingdings" w:cs="Arial"/>
                      <w:szCs w:val="21"/>
                    </w:rPr>
                  </w:pPr>
                  <w:r w:rsidRPr="005D4222">
                    <w:rPr>
                      <w:rFonts w:eastAsia="Wingdings" w:cs="Arial"/>
                      <w:szCs w:val="21"/>
                    </w:rPr>
                    <w:t>For each Stratification, repeat per Metric</w:t>
                  </w:r>
                </w:p>
              </w:tc>
            </w:tr>
            <w:tr w:rsidR="00455694" w:rsidRPr="005D4222" w14:paraId="1E8CA225" w14:textId="77777777" w:rsidTr="007B5FC3">
              <w:tc>
                <w:tcPr>
                  <w:tcW w:w="2156" w:type="dxa"/>
                  <w:tcBorders>
                    <w:top w:val="nil"/>
                    <w:left w:val="nil"/>
                    <w:bottom w:val="nil"/>
                    <w:right w:val="nil"/>
                  </w:tcBorders>
                  <w:shd w:val="clear" w:color="auto" w:fill="FFFFFF" w:themeFill="background1"/>
                  <w:tcMar>
                    <w:left w:w="72" w:type="dxa"/>
                    <w:right w:w="72" w:type="dxa"/>
                  </w:tcMar>
                </w:tcPr>
                <w:p w14:paraId="189E5DC0" w14:textId="77777777" w:rsidR="00455694" w:rsidRPr="005D4222" w:rsidRDefault="00455694">
                  <w:pPr>
                    <w:pStyle w:val="TableText"/>
                    <w:spacing w:before="40" w:after="40"/>
                    <w:rPr>
                      <w:rFonts w:cs="Arial"/>
                      <w:szCs w:val="21"/>
                    </w:rPr>
                  </w:pPr>
                </w:p>
              </w:tc>
              <w:tc>
                <w:tcPr>
                  <w:tcW w:w="900" w:type="dxa"/>
                  <w:tcBorders>
                    <w:top w:val="nil"/>
                    <w:left w:val="nil"/>
                    <w:bottom w:val="nil"/>
                    <w:right w:val="single" w:sz="4" w:space="0" w:color="auto"/>
                  </w:tcBorders>
                  <w:tcMar>
                    <w:left w:w="72" w:type="dxa"/>
                    <w:right w:w="72" w:type="dxa"/>
                  </w:tcMar>
                </w:tcPr>
                <w:p w14:paraId="0E7F582F" w14:textId="77777777" w:rsidR="00455694" w:rsidRPr="005D4222" w:rsidRDefault="00455694">
                  <w:pPr>
                    <w:pStyle w:val="TableText"/>
                    <w:spacing w:before="40" w:after="40"/>
                    <w:rPr>
                      <w:rFonts w:cs="Arial"/>
                      <w:szCs w:val="21"/>
                    </w:rPr>
                  </w:pP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4666B6D9" w14:textId="77777777" w:rsidR="00455694" w:rsidRPr="005D4222" w:rsidRDefault="00455694">
                  <w:pPr>
                    <w:pStyle w:val="TableText"/>
                    <w:spacing w:before="40" w:after="40"/>
                    <w:rPr>
                      <w:rFonts w:cs="Arial"/>
                      <w:szCs w:val="21"/>
                    </w:rPr>
                  </w:pPr>
                  <w:r w:rsidRPr="005D4222">
                    <w:rPr>
                      <w:rFonts w:cs="Arial"/>
                      <w:szCs w:val="21"/>
                    </w:rPr>
                    <w:t>NumeratorByAdmin</w:t>
                  </w:r>
                </w:p>
              </w:tc>
              <w:tc>
                <w:tcPr>
                  <w:tcW w:w="2609" w:type="dxa"/>
                  <w:tcBorders>
                    <w:top w:val="single" w:sz="6" w:space="0" w:color="auto"/>
                    <w:left w:val="single" w:sz="4" w:space="0" w:color="auto"/>
                    <w:bottom w:val="single" w:sz="6" w:space="0" w:color="auto"/>
                    <w:right w:val="single" w:sz="4" w:space="0" w:color="auto"/>
                  </w:tcBorders>
                  <w:shd w:val="clear" w:color="auto" w:fill="FFFFFF" w:themeFill="background1"/>
                  <w:tcMar>
                    <w:left w:w="72" w:type="dxa"/>
                    <w:right w:w="72" w:type="dxa"/>
                  </w:tcMar>
                </w:tcPr>
                <w:p w14:paraId="6D819060" w14:textId="77777777" w:rsidR="00455694" w:rsidRPr="005D4222" w:rsidRDefault="00455694">
                  <w:pPr>
                    <w:pStyle w:val="TableText"/>
                    <w:spacing w:before="40" w:after="40"/>
                    <w:rPr>
                      <w:rFonts w:eastAsia="Wingdings" w:cs="Arial"/>
                      <w:szCs w:val="21"/>
                    </w:rPr>
                  </w:pPr>
                  <w:r w:rsidRPr="005D4222">
                    <w:rPr>
                      <w:rFonts w:eastAsia="Wingdings" w:cs="Arial"/>
                      <w:szCs w:val="21"/>
                    </w:rPr>
                    <w:t>For each Metric and Stratification</w:t>
                  </w:r>
                </w:p>
              </w:tc>
            </w:tr>
            <w:tr w:rsidR="00455694" w:rsidRPr="005D4222" w14:paraId="61123508" w14:textId="77777777" w:rsidTr="007B5FC3">
              <w:tc>
                <w:tcPr>
                  <w:tcW w:w="2156" w:type="dxa"/>
                  <w:tcBorders>
                    <w:top w:val="nil"/>
                    <w:left w:val="nil"/>
                    <w:bottom w:val="nil"/>
                    <w:right w:val="nil"/>
                  </w:tcBorders>
                  <w:shd w:val="clear" w:color="auto" w:fill="FFFFFF" w:themeFill="background1"/>
                  <w:tcMar>
                    <w:left w:w="72" w:type="dxa"/>
                    <w:right w:w="72" w:type="dxa"/>
                  </w:tcMar>
                </w:tcPr>
                <w:p w14:paraId="1435353E" w14:textId="77777777" w:rsidR="00455694" w:rsidRPr="005D4222" w:rsidRDefault="00455694">
                  <w:pPr>
                    <w:pStyle w:val="TableText"/>
                    <w:spacing w:before="40" w:after="40"/>
                    <w:rPr>
                      <w:rFonts w:cs="Arial"/>
                      <w:szCs w:val="21"/>
                    </w:rPr>
                  </w:pPr>
                </w:p>
              </w:tc>
              <w:tc>
                <w:tcPr>
                  <w:tcW w:w="900" w:type="dxa"/>
                  <w:tcBorders>
                    <w:top w:val="nil"/>
                    <w:left w:val="nil"/>
                    <w:bottom w:val="nil"/>
                    <w:right w:val="single" w:sz="4" w:space="0" w:color="auto"/>
                  </w:tcBorders>
                  <w:tcMar>
                    <w:left w:w="72" w:type="dxa"/>
                    <w:right w:w="72" w:type="dxa"/>
                  </w:tcMar>
                </w:tcPr>
                <w:p w14:paraId="58485028" w14:textId="77777777" w:rsidR="00455694" w:rsidRPr="005D4222" w:rsidRDefault="00455694">
                  <w:pPr>
                    <w:pStyle w:val="TableText"/>
                    <w:spacing w:before="40" w:after="40"/>
                    <w:rPr>
                      <w:rFonts w:cs="Arial"/>
                      <w:szCs w:val="21"/>
                    </w:rPr>
                  </w:pPr>
                </w:p>
              </w:tc>
              <w:tc>
                <w:tcPr>
                  <w:tcW w:w="17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6937F70E" w14:textId="77777777" w:rsidR="00455694" w:rsidRPr="005D4222" w:rsidRDefault="00455694">
                  <w:pPr>
                    <w:pStyle w:val="TableText"/>
                    <w:spacing w:before="40" w:after="40"/>
                    <w:rPr>
                      <w:rFonts w:cs="Arial"/>
                      <w:szCs w:val="21"/>
                    </w:rPr>
                  </w:pPr>
                  <w:r w:rsidRPr="005D4222">
                    <w:rPr>
                      <w:rFonts w:cs="Arial"/>
                      <w:szCs w:val="21"/>
                    </w:rPr>
                    <w:t>Rate</w:t>
                  </w:r>
                </w:p>
              </w:tc>
              <w:tc>
                <w:tcPr>
                  <w:tcW w:w="2609" w:type="dxa"/>
                  <w:tcBorders>
                    <w:top w:val="single" w:sz="6" w:space="0" w:color="auto"/>
                    <w:left w:val="single" w:sz="4" w:space="0" w:color="auto"/>
                    <w:bottom w:val="single" w:sz="6" w:space="0" w:color="auto"/>
                    <w:right w:val="single" w:sz="4" w:space="0" w:color="auto"/>
                  </w:tcBorders>
                  <w:shd w:val="clear" w:color="auto" w:fill="D9D9D9" w:themeFill="background1" w:themeFillShade="D9"/>
                  <w:tcMar>
                    <w:left w:w="72" w:type="dxa"/>
                    <w:right w:w="72" w:type="dxa"/>
                  </w:tcMar>
                </w:tcPr>
                <w:p w14:paraId="230DBCD6" w14:textId="77777777" w:rsidR="00455694" w:rsidRPr="005D4222" w:rsidRDefault="00455694">
                  <w:pPr>
                    <w:pStyle w:val="TableText"/>
                    <w:spacing w:before="40" w:after="40"/>
                    <w:rPr>
                      <w:rFonts w:eastAsia="Wingdings" w:cs="Arial"/>
                      <w:szCs w:val="21"/>
                    </w:rPr>
                  </w:pPr>
                  <w:r w:rsidRPr="005D4222">
                    <w:rPr>
                      <w:rFonts w:eastAsia="Wingdings" w:cs="Arial"/>
                      <w:szCs w:val="21"/>
                    </w:rPr>
                    <w:t>(Percent)</w:t>
                  </w:r>
                </w:p>
              </w:tc>
            </w:tr>
          </w:tbl>
          <w:p w14:paraId="12896533" w14:textId="77777777" w:rsidR="00455694" w:rsidRPr="005D4222" w:rsidRDefault="00455694">
            <w:pPr>
              <w:pStyle w:val="ProcessDash"/>
              <w:numPr>
                <w:ilvl w:val="0"/>
                <w:numId w:val="0"/>
              </w:numPr>
              <w:rPr>
                <w:rFonts w:cs="Arial"/>
                <w:color w:val="000000" w:themeColor="text1"/>
                <w:highlight w:val="yellow"/>
              </w:rPr>
            </w:pPr>
          </w:p>
        </w:tc>
      </w:tr>
      <w:tr w:rsidR="00455694" w:rsidRPr="005D4222" w14:paraId="76ABEA4F" w14:textId="77777777">
        <w:tc>
          <w:tcPr>
            <w:tcW w:w="2157"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52A1129E" w14:textId="77777777" w:rsidR="00455694" w:rsidRPr="005D4222" w:rsidRDefault="00455694">
            <w:pPr>
              <w:pStyle w:val="ECDSMarginHead"/>
            </w:pPr>
            <w:r w:rsidRPr="005D4222">
              <w:t>Rules for Allowable Adjustments</w:t>
            </w: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tcPr>
          <w:p w14:paraId="085407CD" w14:textId="77777777" w:rsidR="00455694" w:rsidRPr="005D4222" w:rsidRDefault="00455694">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1ABBF321" w14:textId="77777777" w:rsidR="00455694" w:rsidRPr="005D4222" w:rsidRDefault="00455694">
            <w:pPr>
              <w:pStyle w:val="ECDSBody"/>
              <w:spacing w:before="180"/>
              <w:rPr>
                <w:b/>
              </w:rPr>
            </w:pPr>
            <w:r w:rsidRPr="005D4222">
              <w:rPr>
                <w:b/>
              </w:rPr>
              <w:t>Adjusted HEDIS measures may not be used for HEDIS health plan reporting.</w:t>
            </w:r>
          </w:p>
          <w:p w14:paraId="376B008C" w14:textId="77777777" w:rsidR="00455694" w:rsidRPr="005D4222" w:rsidRDefault="00455694">
            <w:pPr>
              <w:pStyle w:val="Adjustments"/>
            </w:pPr>
            <w:r w:rsidRPr="005D4222">
              <w:lastRenderedPageBreak/>
              <w:t>Adjustments allowed</w:t>
            </w:r>
          </w:p>
          <w:p w14:paraId="1F00C03F" w14:textId="5E34953B" w:rsidR="00455694" w:rsidRPr="005D4222" w:rsidRDefault="00455694">
            <w:pPr>
              <w:pStyle w:val="ProcessBullet"/>
              <w:rPr>
                <w:b/>
              </w:rPr>
            </w:pPr>
            <w:r w:rsidRPr="005D4222">
              <w:rPr>
                <w:i/>
                <w:iCs/>
              </w:rPr>
              <w:t>Product lines</w:t>
            </w:r>
            <w:r w:rsidRPr="005D4222">
              <w:t xml:space="preserve">. </w:t>
            </w:r>
            <w:r w:rsidRPr="005D4222">
              <w:rPr>
                <w:rFonts w:eastAsia="Arial"/>
              </w:rPr>
              <w:t>Organizations are not required to use product line criteria; product lines may be combined</w:t>
            </w:r>
            <w:r w:rsidR="00E8671F" w:rsidRPr="005D4222">
              <w:rPr>
                <w:rFonts w:eastAsia="Arial"/>
              </w:rPr>
              <w:t>,</w:t>
            </w:r>
            <w:r w:rsidRPr="005D4222">
              <w:rPr>
                <w:rFonts w:eastAsia="Arial"/>
              </w:rPr>
              <w:t xml:space="preserve"> and all (or no) product line criteria may be used.</w:t>
            </w:r>
          </w:p>
          <w:p w14:paraId="61F9C844" w14:textId="77777777" w:rsidR="00455694" w:rsidRPr="005D4222" w:rsidRDefault="00455694">
            <w:pPr>
              <w:pStyle w:val="ProcessBullet"/>
              <w:rPr>
                <w:rFonts w:eastAsia="Arial"/>
                <w:i/>
                <w:iCs/>
              </w:rPr>
            </w:pPr>
            <w:r w:rsidRPr="005D4222">
              <w:rPr>
                <w:rFonts w:eastAsia="Arial"/>
                <w:i/>
                <w:iCs/>
              </w:rPr>
              <w:t xml:space="preserve">Attribution. </w:t>
            </w:r>
            <w:r w:rsidRPr="005D4222">
              <w:rPr>
                <w:rFonts w:eastAsia="Arial"/>
              </w:rPr>
              <w:t>Organizations are not required to use enrollment criteria.</w:t>
            </w:r>
          </w:p>
          <w:p w14:paraId="4684B3BE" w14:textId="677BEA1E" w:rsidR="00455694" w:rsidRPr="005D4222" w:rsidRDefault="00362E76">
            <w:pPr>
              <w:pStyle w:val="ProcessBullet"/>
              <w:rPr>
                <w:rFonts w:eastAsia="Arial"/>
                <w:i/>
                <w:iCs/>
              </w:rPr>
            </w:pPr>
            <w:r w:rsidRPr="005D4222">
              <w:rPr>
                <w:rFonts w:eastAsia="Arial"/>
                <w:i/>
                <w:iCs/>
              </w:rPr>
              <w:t>Benefits.</w:t>
            </w:r>
            <w:r w:rsidR="00455694" w:rsidRPr="005D4222">
              <w:rPr>
                <w:rFonts w:eastAsia="Arial"/>
                <w:i/>
                <w:iCs/>
              </w:rPr>
              <w:t xml:space="preserve"> </w:t>
            </w:r>
            <w:r w:rsidR="00455694" w:rsidRPr="005D4222">
              <w:rPr>
                <w:rFonts w:eastAsia="Arial"/>
              </w:rPr>
              <w:t>Organizations are not required to use a benefit.</w:t>
            </w:r>
          </w:p>
          <w:p w14:paraId="56481084" w14:textId="3B164ABD" w:rsidR="00A27CB5" w:rsidRPr="005D4222" w:rsidRDefault="00A27CB5" w:rsidP="00A27CB5">
            <w:pPr>
              <w:pStyle w:val="ProcessBullet"/>
              <w:rPr>
                <w:rFonts w:eastAsia="Arial"/>
              </w:rPr>
            </w:pPr>
            <w:r w:rsidRPr="005D4222">
              <w:rPr>
                <w:rFonts w:eastAsia="Arial"/>
                <w:i/>
                <w:iCs/>
              </w:rPr>
              <w:t>Ages.</w:t>
            </w:r>
            <w:r w:rsidRPr="005D4222">
              <w:rPr>
                <w:rFonts w:ascii="Arial Narrow" w:eastAsia="Arial" w:hAnsi="Arial Narrow"/>
              </w:rPr>
              <w:t xml:space="preserve"> </w:t>
            </w:r>
            <w:r w:rsidRPr="005D4222">
              <w:rPr>
                <w:rFonts w:eastAsia="Arial"/>
              </w:rPr>
              <w:t>The denominator age range may be expanded. The age determination dates may be changed (e.g., select, “age as of June 30”).</w:t>
            </w:r>
          </w:p>
          <w:p w14:paraId="6BF04E19" w14:textId="77777777" w:rsidR="00455694" w:rsidRPr="005D4222" w:rsidRDefault="00455694">
            <w:pPr>
              <w:pStyle w:val="ProcessBullet"/>
              <w:rPr>
                <w:rFonts w:eastAsia="Arial"/>
                <w:i/>
                <w:iCs/>
              </w:rPr>
            </w:pPr>
            <w:r w:rsidRPr="005D4222">
              <w:rPr>
                <w:rFonts w:eastAsia="Arial"/>
                <w:i/>
                <w:iCs/>
              </w:rPr>
              <w:t xml:space="preserve">Other. </w:t>
            </w:r>
            <w:r w:rsidRPr="005D4222">
              <w:rPr>
                <w:rFonts w:eastAsia="Arial"/>
              </w:rPr>
              <w:t>Organizations may use additional initial population criteria to focus on an area of interest defined by gender, race, ethnicity, socioeconomic or sociodemographic characteristics, geographic region or another characteristic.</w:t>
            </w:r>
          </w:p>
          <w:p w14:paraId="7CF0F942" w14:textId="77777777" w:rsidR="00455694" w:rsidRPr="005D4222" w:rsidRDefault="00455694">
            <w:pPr>
              <w:pStyle w:val="ProcessBullet"/>
              <w:rPr>
                <w:b/>
                <w:bCs/>
                <w:color w:val="000000" w:themeColor="text1"/>
              </w:rPr>
            </w:pPr>
            <w:r w:rsidRPr="005D4222">
              <w:rPr>
                <w:i/>
                <w:iCs/>
              </w:rPr>
              <w:t>Measurement period adjustments.</w:t>
            </w:r>
            <w:r w:rsidRPr="005D4222">
              <w:t xml:space="preserve"> Organizations may adjust the measurement period. </w:t>
            </w:r>
          </w:p>
          <w:p w14:paraId="439753A2" w14:textId="6F100410" w:rsidR="00455694" w:rsidRPr="005D4222" w:rsidRDefault="00455694">
            <w:pPr>
              <w:pStyle w:val="ProcessBullet"/>
              <w:rPr>
                <w:b/>
                <w:bCs/>
                <w:color w:val="000000" w:themeColor="text1"/>
              </w:rPr>
            </w:pPr>
            <w:r w:rsidRPr="005D4222">
              <w:rPr>
                <w:i/>
                <w:iCs/>
              </w:rPr>
              <w:t>Exclusions.</w:t>
            </w:r>
            <w:r w:rsidRPr="005D4222">
              <w:t xml:space="preserve"> </w:t>
            </w:r>
            <w:r w:rsidR="00A27CB5" w:rsidRPr="005D4222">
              <w:t>The h</w:t>
            </w:r>
            <w:r w:rsidRPr="005D4222">
              <w:t xml:space="preserve">ospice, deceased person and palliative care exclusions are not required. </w:t>
            </w:r>
          </w:p>
          <w:p w14:paraId="1F705508" w14:textId="77777777" w:rsidR="00455694" w:rsidRPr="005D4222" w:rsidRDefault="00455694">
            <w:pPr>
              <w:pStyle w:val="ProcessBullet"/>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337ACBF4" w14:textId="77777777" w:rsidR="00455694" w:rsidRPr="005D4222" w:rsidRDefault="00455694">
            <w:pPr>
              <w:pStyle w:val="ProcessBullet"/>
            </w:pPr>
            <w:r w:rsidRPr="005D4222">
              <w:rPr>
                <w:i/>
                <w:iCs/>
              </w:rPr>
              <w:t>Supplemental data.</w:t>
            </w:r>
            <w:r w:rsidRPr="005D4222">
              <w:t xml:space="preserve"> Supplemental data may be used to identify initial population, denominator, exclusion and numerator events.</w:t>
            </w:r>
          </w:p>
          <w:p w14:paraId="08EF2463" w14:textId="77777777" w:rsidR="00455694" w:rsidRPr="005D4222" w:rsidRDefault="00455694">
            <w:pPr>
              <w:pStyle w:val="Adjustments"/>
            </w:pPr>
            <w:r w:rsidRPr="005D4222">
              <w:t>Adjustments allowed with limits</w:t>
            </w:r>
          </w:p>
          <w:p w14:paraId="5953AE26" w14:textId="77777777" w:rsidR="00455694" w:rsidRPr="005D4222" w:rsidRDefault="00455694">
            <w:pPr>
              <w:pStyle w:val="ProcessBullet"/>
              <w:rPr>
                <w:iCs/>
              </w:rPr>
            </w:pPr>
            <w:r w:rsidRPr="005D4222">
              <w:rPr>
                <w:i/>
                <w:iCs/>
              </w:rPr>
              <w:t>Initial population:</w:t>
            </w:r>
            <w:r w:rsidRPr="005D4222">
              <w:t xml:space="preserve"> </w:t>
            </w:r>
            <w:r w:rsidRPr="005D4222">
              <w:rPr>
                <w:iCs/>
              </w:rPr>
              <w:t>Event. Orga</w:t>
            </w:r>
            <w:r w:rsidRPr="005D4222">
              <w:t xml:space="preserve">nizations may include denied claims to calculate the denominator. Only medications that contain (or map to) codes in the medication lists may be used to identify opioid use. Medication lists and logic may not be changed. </w:t>
            </w:r>
          </w:p>
          <w:p w14:paraId="7A4CCCE1" w14:textId="77777777" w:rsidR="00455694" w:rsidRPr="005D4222" w:rsidRDefault="00455694">
            <w:pPr>
              <w:pStyle w:val="ProcessBullet"/>
              <w:spacing w:after="80"/>
              <w:rPr>
                <w:rFonts w:eastAsia="Arial" w:cs="Arial"/>
                <w:szCs w:val="19"/>
              </w:rPr>
            </w:pPr>
            <w:r w:rsidRPr="005D4222">
              <w:rPr>
                <w:i/>
                <w:iCs/>
              </w:rPr>
              <w:t>Numerator.</w:t>
            </w:r>
            <w:r w:rsidRPr="005D4222">
              <w:t xml:space="preserve"> Organizations may include denied claims to calculate the numerator</w:t>
            </w:r>
            <w:r w:rsidRPr="005D4222">
              <w:rPr>
                <w:rFonts w:eastAsia="Arial"/>
              </w:rPr>
              <w:t xml:space="preserve">. </w:t>
            </w:r>
            <w:r w:rsidRPr="005D4222">
              <w:t>Medication lists and logic may not be changed.</w:t>
            </w:r>
          </w:p>
          <w:p w14:paraId="6F5CD536" w14:textId="77777777" w:rsidR="00455694" w:rsidRPr="005D4222" w:rsidRDefault="00455694">
            <w:pPr>
              <w:pStyle w:val="Adjustments"/>
              <w:spacing w:before="120"/>
            </w:pPr>
            <w:r w:rsidRPr="005D4222">
              <w:t>Adjustments not allowed</w:t>
            </w:r>
          </w:p>
          <w:p w14:paraId="576C7406" w14:textId="1309B548" w:rsidR="00455694" w:rsidRPr="005D4222" w:rsidRDefault="00455694">
            <w:pPr>
              <w:pStyle w:val="ProcessBullet"/>
              <w:spacing w:after="80"/>
              <w:rPr>
                <w:rFonts w:eastAsia="Arial" w:cs="Arial"/>
                <w:szCs w:val="19"/>
              </w:rPr>
            </w:pPr>
            <w:r w:rsidRPr="005D4222">
              <w:rPr>
                <w:i/>
              </w:rPr>
              <w:t xml:space="preserve">Exclusions. </w:t>
            </w:r>
            <w:r w:rsidR="002B2575" w:rsidRPr="005D4222">
              <w:t>The c</w:t>
            </w:r>
            <w:r w:rsidRPr="005D4222">
              <w:t>ancer and sickle cell disease exclusions must be applied. The value sets and logic may not be changed.</w:t>
            </w:r>
          </w:p>
        </w:tc>
      </w:tr>
    </w:tbl>
    <w:p w14:paraId="7794411E" w14:textId="77777777" w:rsidR="000C3E85" w:rsidRPr="005D4222" w:rsidRDefault="000C3E85" w:rsidP="004D46FF">
      <w:pPr>
        <w:pStyle w:val="ECDSBody"/>
        <w:sectPr w:rsidR="000C3E85" w:rsidRPr="005D4222" w:rsidSect="0074514A">
          <w:headerReference w:type="default" r:id="rId147"/>
          <w:type w:val="nextColumn"/>
          <w:pgSz w:w="12240" w:h="15840" w:code="1"/>
          <w:pgMar w:top="1080" w:right="1080" w:bottom="1080" w:left="1440" w:header="720" w:footer="720" w:gutter="0"/>
          <w:cols w:space="720"/>
          <w:docGrid w:linePitch="360"/>
        </w:sectPr>
      </w:pPr>
    </w:p>
    <w:p w14:paraId="4DFA1712" w14:textId="77777777" w:rsidR="00827D17" w:rsidRPr="005D4222" w:rsidRDefault="00827D17" w:rsidP="00827D17">
      <w:pPr>
        <w:pStyle w:val="Breakpage"/>
      </w:pPr>
      <w:bookmarkStart w:id="327" w:name="_Toc74826027"/>
      <w:bookmarkStart w:id="328" w:name="_Toc171403020"/>
      <w:bookmarkStart w:id="329" w:name="_Toc201813434"/>
      <w:r w:rsidRPr="005D4222">
        <w:lastRenderedPageBreak/>
        <w:t xml:space="preserve">Measures Collected Through </w:t>
      </w:r>
      <w:r w:rsidRPr="005D4222">
        <w:br/>
        <w:t>the Medicare Health Outcomes Survey</w:t>
      </w:r>
      <w:bookmarkEnd w:id="327"/>
      <w:bookmarkEnd w:id="328"/>
      <w:bookmarkEnd w:id="329"/>
    </w:p>
    <w:p w14:paraId="0914DB8B" w14:textId="77777777" w:rsidR="00827D17" w:rsidRPr="005D4222" w:rsidRDefault="00827D17" w:rsidP="00827D17">
      <w:pPr>
        <w:pStyle w:val="Breakpage"/>
        <w:sectPr w:rsidR="00827D17" w:rsidRPr="005D4222" w:rsidSect="0074514A">
          <w:headerReference w:type="default" r:id="rId148"/>
          <w:footerReference w:type="default" r:id="rId149"/>
          <w:type w:val="nextColumn"/>
          <w:pgSz w:w="12240" w:h="15840" w:code="1"/>
          <w:pgMar w:top="1080" w:right="1080" w:bottom="1080" w:left="1440" w:header="720" w:footer="720" w:gutter="0"/>
          <w:cols w:space="720"/>
          <w:docGrid w:linePitch="360"/>
        </w:sectPr>
      </w:pPr>
    </w:p>
    <w:p w14:paraId="7299558B" w14:textId="77777777" w:rsidR="00986D87" w:rsidRPr="005D4222" w:rsidRDefault="00986D87" w:rsidP="004B6A30">
      <w:pPr>
        <w:pStyle w:val="MeasureTitle"/>
      </w:pPr>
      <w:bookmarkStart w:id="330" w:name="Medicare_Health_Outcomes_HOS"/>
      <w:bookmarkStart w:id="331" w:name="_Toc400546149"/>
      <w:bookmarkStart w:id="332" w:name="_Toc74826028"/>
      <w:bookmarkStart w:id="333" w:name="_Toc171403021"/>
      <w:bookmarkStart w:id="334" w:name="_Toc201813435"/>
      <w:r w:rsidRPr="005D4222">
        <w:lastRenderedPageBreak/>
        <w:t>Medicare Health Outcomes</w:t>
      </w:r>
      <w:bookmarkEnd w:id="330"/>
      <w:r w:rsidRPr="005D4222">
        <w:t xml:space="preserve"> Survey (HOS)</w:t>
      </w:r>
      <w:bookmarkEnd w:id="331"/>
      <w:bookmarkEnd w:id="332"/>
      <w:bookmarkEnd w:id="333"/>
      <w:bookmarkEnd w:id="334"/>
    </w:p>
    <w:p w14:paraId="7F739CAB" w14:textId="77777777" w:rsidR="00986D87" w:rsidRPr="005D4222" w:rsidRDefault="00986D87" w:rsidP="00986D87">
      <w:pPr>
        <w:pStyle w:val="Body"/>
        <w:spacing w:before="0"/>
        <w:rPr>
          <w:i/>
        </w:rPr>
      </w:pPr>
      <w:r w:rsidRPr="005D4222">
        <w:t>Detailed specifications and summary of changes are contained in</w:t>
      </w:r>
      <w:r w:rsidRPr="005D4222">
        <w:rPr>
          <w:i/>
        </w:rPr>
        <w:t xml:space="preserve"> HEDIS Volume 6: Specifications for the Medicare Health Outcomes Survey. </w:t>
      </w:r>
    </w:p>
    <w:p w14:paraId="114E50F9" w14:textId="4F2EE3D4" w:rsidR="00986D87" w:rsidRPr="005D4222" w:rsidRDefault="00986D87" w:rsidP="00986D87">
      <w:pPr>
        <w:pStyle w:val="Body"/>
      </w:pPr>
      <w:r w:rsidRPr="005D4222">
        <w:rPr>
          <w:i/>
        </w:rPr>
        <w:t>HEDIS MY</w:t>
      </w:r>
      <w:r w:rsidRPr="005D4222" w:rsidDel="00770CA3">
        <w:rPr>
          <w:i/>
        </w:rPr>
        <w:t xml:space="preserve"> </w:t>
      </w:r>
      <w:r w:rsidRPr="005D4222">
        <w:rPr>
          <w:i/>
        </w:rPr>
        <w:t>2025 Volume 6: Specifications for the Medicare Health Outcomes Survey</w:t>
      </w:r>
      <w:r w:rsidRPr="005D4222">
        <w:t xml:space="preserve"> will be published prior to survey administration in </w:t>
      </w:r>
      <w:r w:rsidR="00692BFF">
        <w:t>February</w:t>
      </w:r>
      <w:r w:rsidRPr="005D4222">
        <w:t xml:space="preserve"> 2026.</w:t>
      </w:r>
    </w:p>
    <w:p w14:paraId="048515E3" w14:textId="6740FAF3" w:rsidR="00986D87" w:rsidRPr="005D4222" w:rsidRDefault="00986D87" w:rsidP="002B51D3">
      <w:pPr>
        <w:pStyle w:val="ReverseHead"/>
      </w:pPr>
      <w:r w:rsidRPr="005D4222">
        <w:rPr>
          <w:color w:val="auto"/>
        </w:rPr>
        <w:t>Description</w:t>
      </w:r>
    </w:p>
    <w:p w14:paraId="00A54623" w14:textId="77777777" w:rsidR="00986D87" w:rsidRPr="005D4222" w:rsidRDefault="00986D87" w:rsidP="00986D87">
      <w:pPr>
        <w:pStyle w:val="Body"/>
      </w:pPr>
      <w:r w:rsidRPr="005D4222">
        <w:t>This measure provides a general indication of how well a Medicare Advantage Organization (MAO) manages the physical and mental health of its members. The survey measures physical and mental health status at the beginning of a 2-year period and again at the end of the 2-year period, when a change score is calculated. Each member’s health status is categorized as “better than expected,” “the same as expected” or “worse than expected,” accounting for death and risk-adjustment factors. MAO-specific results are assigned as percentages of members whose health status was better, the same or worse than expected.</w:t>
      </w:r>
    </w:p>
    <w:p w14:paraId="5F8067AF" w14:textId="77777777" w:rsidR="00986D87" w:rsidRPr="005D4222" w:rsidRDefault="00986D87" w:rsidP="00986D87">
      <w:pPr>
        <w:pStyle w:val="Note"/>
      </w:pPr>
    </w:p>
    <w:p w14:paraId="5C167C8A" w14:textId="77777777" w:rsidR="00986D87" w:rsidRPr="005D4222" w:rsidRDefault="00986D87" w:rsidP="00986D87">
      <w:pPr>
        <w:pStyle w:val="Body"/>
        <w:sectPr w:rsidR="00986D87" w:rsidRPr="005D4222" w:rsidSect="0074514A">
          <w:headerReference w:type="even" r:id="rId150"/>
          <w:headerReference w:type="default" r:id="rId151"/>
          <w:footerReference w:type="even" r:id="rId152"/>
          <w:footerReference w:type="default" r:id="rId153"/>
          <w:type w:val="nextColumn"/>
          <w:pgSz w:w="12240" w:h="15840" w:code="1"/>
          <w:pgMar w:top="1080" w:right="1080" w:bottom="1080" w:left="1440" w:header="720" w:footer="720" w:gutter="0"/>
          <w:cols w:space="720"/>
        </w:sectPr>
      </w:pPr>
    </w:p>
    <w:p w14:paraId="65B4A8E0" w14:textId="77777777" w:rsidR="00986D87" w:rsidRPr="005D4222" w:rsidRDefault="00986D87" w:rsidP="00E4280D">
      <w:pPr>
        <w:pStyle w:val="MeasureTitle"/>
      </w:pPr>
      <w:bookmarkStart w:id="335" w:name="Fall_Risk_Management_FRM"/>
      <w:bookmarkStart w:id="336" w:name="_Toc400546150"/>
      <w:bookmarkStart w:id="337" w:name="_Toc74826029"/>
      <w:bookmarkStart w:id="338" w:name="_Toc171403022"/>
      <w:bookmarkStart w:id="339" w:name="_Toc201813436"/>
      <w:bookmarkStart w:id="340" w:name="FRM"/>
      <w:r w:rsidRPr="005D4222">
        <w:lastRenderedPageBreak/>
        <w:t>Fall Risk Management</w:t>
      </w:r>
      <w:bookmarkEnd w:id="335"/>
      <w:r w:rsidRPr="005D4222">
        <w:t xml:space="preserve"> (FRM)</w:t>
      </w:r>
      <w:bookmarkEnd w:id="336"/>
      <w:bookmarkEnd w:id="337"/>
      <w:bookmarkEnd w:id="338"/>
      <w:bookmarkEnd w:id="339"/>
    </w:p>
    <w:bookmarkEnd w:id="340"/>
    <w:p w14:paraId="5EBF850C" w14:textId="77777777" w:rsidR="00986D87" w:rsidRPr="005D4222" w:rsidRDefault="00986D87" w:rsidP="00986D87">
      <w:pPr>
        <w:pStyle w:val="Body"/>
        <w:spacing w:before="0"/>
        <w:rPr>
          <w:i/>
        </w:rPr>
      </w:pPr>
      <w:r w:rsidRPr="005D4222">
        <w:t xml:space="preserve">This measure is collected using the Medicare Health Outcomes Survey (HOS). Detailed specifications and summary of changes are contained in </w:t>
      </w:r>
      <w:r w:rsidRPr="005D4222">
        <w:rPr>
          <w:i/>
        </w:rPr>
        <w:t>HEDIS Volume 6: Specifications for the Medicare Health Outcomes Survey.</w:t>
      </w:r>
    </w:p>
    <w:p w14:paraId="745FF7DF" w14:textId="402D0502" w:rsidR="00986D87" w:rsidRPr="005D4222" w:rsidRDefault="00986D87" w:rsidP="00986D87">
      <w:pPr>
        <w:pStyle w:val="Body"/>
      </w:pPr>
      <w:r w:rsidRPr="005D4222">
        <w:rPr>
          <w:i/>
        </w:rPr>
        <w:t xml:space="preserve">HEDIS MY </w:t>
      </w:r>
      <w:r w:rsidRPr="005D4222">
        <w:rPr>
          <w:i/>
          <w:iCs/>
        </w:rPr>
        <w:t>2025</w:t>
      </w:r>
      <w:r w:rsidRPr="005D4222" w:rsidDel="00770CA3">
        <w:rPr>
          <w:i/>
        </w:rPr>
        <w:t xml:space="preserve"> </w:t>
      </w:r>
      <w:r w:rsidRPr="005D4222">
        <w:rPr>
          <w:i/>
        </w:rPr>
        <w:t>Volume 6: Specifications for the Medicare Health Outcomes Survey</w:t>
      </w:r>
      <w:r w:rsidRPr="005D4222">
        <w:t xml:space="preserve"> will be published prior to survey administration in </w:t>
      </w:r>
      <w:r w:rsidR="00692BFF">
        <w:t>February 2026</w:t>
      </w:r>
      <w:r w:rsidRPr="005D4222">
        <w:t>.</w:t>
      </w:r>
    </w:p>
    <w:p w14:paraId="20B5100A" w14:textId="1905B23A" w:rsidR="00986D87" w:rsidRPr="005D4222" w:rsidRDefault="00986D87" w:rsidP="002B51D3">
      <w:pPr>
        <w:pStyle w:val="ReverseHead"/>
      </w:pPr>
      <w:r w:rsidRPr="005D4222">
        <w:rPr>
          <w:color w:val="auto"/>
        </w:rPr>
        <w:t xml:space="preserve">Description </w:t>
      </w:r>
    </w:p>
    <w:p w14:paraId="5D350402" w14:textId="77777777" w:rsidR="00986D87" w:rsidRPr="005D4222" w:rsidRDefault="00986D87" w:rsidP="00986D87">
      <w:pPr>
        <w:pStyle w:val="Body"/>
      </w:pPr>
      <w:r w:rsidRPr="005D4222">
        <w:t>The two components of this measure assess different facets of fall risk management.</w:t>
      </w:r>
    </w:p>
    <w:p w14:paraId="55E7994A" w14:textId="77777777" w:rsidR="00986D87" w:rsidRPr="005D4222" w:rsidRDefault="00986D87" w:rsidP="00986D87">
      <w:pPr>
        <w:pStyle w:val="Bullet"/>
        <w:numPr>
          <w:ilvl w:val="0"/>
          <w:numId w:val="4"/>
        </w:numPr>
        <w:tabs>
          <w:tab w:val="left" w:pos="576"/>
        </w:tabs>
        <w:ind w:left="576" w:hanging="216"/>
      </w:pPr>
      <w:r w:rsidRPr="005D4222">
        <w:rPr>
          <w:i/>
        </w:rPr>
        <w:t xml:space="preserve">Discussing Fall </w:t>
      </w:r>
      <w:r w:rsidRPr="005D4222" w:rsidDel="006D7A6B">
        <w:rPr>
          <w:i/>
        </w:rPr>
        <w:t>R</w:t>
      </w:r>
      <w:r w:rsidRPr="005D4222">
        <w:rPr>
          <w:i/>
        </w:rPr>
        <w:t xml:space="preserve">isk. </w:t>
      </w:r>
      <w:r w:rsidRPr="005D4222">
        <w:t xml:space="preserve">The percentage of Medicare members 65 years of age and older who were seen by a practitioner in the past 12 months and </w:t>
      </w:r>
      <w:r w:rsidRPr="005D4222" w:rsidDel="00CB361E">
        <w:t xml:space="preserve">who </w:t>
      </w:r>
      <w:r w:rsidRPr="005D4222">
        <w:t>discussed falls or problems with balance or walking with their current practitioner.</w:t>
      </w:r>
    </w:p>
    <w:p w14:paraId="30F0A08C" w14:textId="77777777" w:rsidR="00986D87" w:rsidRPr="005D4222" w:rsidRDefault="00986D87" w:rsidP="00986D87">
      <w:pPr>
        <w:pStyle w:val="Bullet"/>
        <w:numPr>
          <w:ilvl w:val="0"/>
          <w:numId w:val="4"/>
        </w:numPr>
        <w:tabs>
          <w:tab w:val="left" w:pos="576"/>
        </w:tabs>
        <w:ind w:left="576" w:hanging="216"/>
      </w:pPr>
      <w:r w:rsidRPr="005D4222">
        <w:rPr>
          <w:i/>
        </w:rPr>
        <w:t xml:space="preserve">Managing Fall </w:t>
      </w:r>
      <w:r w:rsidRPr="005D4222" w:rsidDel="006D7A6B">
        <w:rPr>
          <w:i/>
        </w:rPr>
        <w:t>R</w:t>
      </w:r>
      <w:r w:rsidRPr="005D4222">
        <w:rPr>
          <w:i/>
        </w:rPr>
        <w:t xml:space="preserve">isk. </w:t>
      </w:r>
      <w:r w:rsidRPr="005D4222">
        <w:t>The percentage of Medicare members 65 years of age and older who had a fall or had problems with balance or walking in the past 12 months,</w:t>
      </w:r>
      <w:r w:rsidRPr="005D4222" w:rsidDel="002C2028">
        <w:t xml:space="preserve"> who </w:t>
      </w:r>
      <w:r w:rsidRPr="005D4222">
        <w:t xml:space="preserve">were seen by a practitioner in the past 12 months and </w:t>
      </w:r>
      <w:r w:rsidRPr="005D4222" w:rsidDel="00CB361E">
        <w:t xml:space="preserve">who </w:t>
      </w:r>
      <w:r w:rsidRPr="005D4222">
        <w:t>received a recommendation for how to prevent falls or treat problems with balance or walking from their current practitioner.</w:t>
      </w:r>
    </w:p>
    <w:p w14:paraId="1A4BED95" w14:textId="77777777" w:rsidR="00986D87" w:rsidRPr="005D4222" w:rsidRDefault="00986D87" w:rsidP="00986D87">
      <w:pPr>
        <w:pStyle w:val="StyleHeading3H3-SecHeadBlackBackground"/>
      </w:pPr>
      <w:r w:rsidRPr="005D4222">
        <w:t>Eligible Population</w:t>
      </w:r>
    </w:p>
    <w:tbl>
      <w:tblPr>
        <w:tblW w:w="9900" w:type="dxa"/>
        <w:tblInd w:w="-72" w:type="dxa"/>
        <w:tblLayout w:type="fixed"/>
        <w:tblLook w:val="0000" w:firstRow="0" w:lastRow="0" w:firstColumn="0" w:lastColumn="0" w:noHBand="0" w:noVBand="0"/>
        <w:tblDescription w:val="This table should be read left to right.&#10;The first column of this table is a subhead that &quot;hangs&quot; in the left margin. The second column text relates to the hanging head. "/>
      </w:tblPr>
      <w:tblGrid>
        <w:gridCol w:w="2232"/>
        <w:gridCol w:w="7668"/>
      </w:tblGrid>
      <w:tr w:rsidR="00986D87" w:rsidRPr="005D4222" w14:paraId="0B0C17FD" w14:textId="77777777">
        <w:tc>
          <w:tcPr>
            <w:tcW w:w="2232" w:type="dxa"/>
          </w:tcPr>
          <w:p w14:paraId="6DE634FC" w14:textId="5791FFC9" w:rsidR="00986D87" w:rsidRPr="005D4222" w:rsidRDefault="00B51CDC">
            <w:pPr>
              <w:pStyle w:val="MarginSubhead"/>
            </w:pPr>
            <w:r w:rsidRPr="005D4222">
              <w:t>Product lines</w:t>
            </w:r>
          </w:p>
        </w:tc>
        <w:tc>
          <w:tcPr>
            <w:tcW w:w="7668" w:type="dxa"/>
          </w:tcPr>
          <w:p w14:paraId="338B88CE" w14:textId="77777777" w:rsidR="00986D87" w:rsidRPr="005D4222" w:rsidRDefault="00986D87">
            <w:pPr>
              <w:pStyle w:val="Body"/>
            </w:pPr>
            <w:r w:rsidRPr="005D4222">
              <w:t>Medicare.</w:t>
            </w:r>
          </w:p>
        </w:tc>
      </w:tr>
      <w:tr w:rsidR="00986D87" w:rsidRPr="005D4222" w14:paraId="12F3AF76" w14:textId="77777777">
        <w:tc>
          <w:tcPr>
            <w:tcW w:w="2232" w:type="dxa"/>
          </w:tcPr>
          <w:p w14:paraId="6A00ED85" w14:textId="77777777" w:rsidR="00986D87" w:rsidRPr="005D4222" w:rsidRDefault="00986D87">
            <w:pPr>
              <w:pStyle w:val="MarginSubhead"/>
            </w:pPr>
            <w:r w:rsidRPr="005D4222">
              <w:t>Age</w:t>
            </w:r>
          </w:p>
        </w:tc>
        <w:tc>
          <w:tcPr>
            <w:tcW w:w="7668" w:type="dxa"/>
          </w:tcPr>
          <w:p w14:paraId="40A4F264" w14:textId="77777777" w:rsidR="00986D87" w:rsidRPr="005D4222" w:rsidRDefault="00986D87">
            <w:pPr>
              <w:pStyle w:val="Body"/>
            </w:pPr>
            <w:r w:rsidRPr="005D4222">
              <w:t>65 and older as of December 31 of the measurement year.</w:t>
            </w:r>
          </w:p>
        </w:tc>
      </w:tr>
      <w:tr w:rsidR="00986D87" w:rsidRPr="005D4222" w14:paraId="2B08B73A" w14:textId="77777777">
        <w:tc>
          <w:tcPr>
            <w:tcW w:w="2232" w:type="dxa"/>
          </w:tcPr>
          <w:p w14:paraId="299F0022" w14:textId="77777777" w:rsidR="00986D87" w:rsidRPr="005D4222" w:rsidRDefault="00986D87">
            <w:pPr>
              <w:pStyle w:val="MarginSubhead"/>
            </w:pPr>
            <w:r w:rsidRPr="005D4222">
              <w:t>Exclusion</w:t>
            </w:r>
          </w:p>
        </w:tc>
        <w:tc>
          <w:tcPr>
            <w:tcW w:w="7668" w:type="dxa"/>
          </w:tcPr>
          <w:p w14:paraId="53D4F004" w14:textId="77777777" w:rsidR="00986D87" w:rsidRPr="005D4222" w:rsidRDefault="00986D87">
            <w:pPr>
              <w:pStyle w:val="Body"/>
            </w:pPr>
            <w:r w:rsidRPr="005D4222">
              <w:t>Evidence from CMS administrative records of a hospice start date.</w:t>
            </w:r>
          </w:p>
        </w:tc>
      </w:tr>
    </w:tbl>
    <w:p w14:paraId="0869E385" w14:textId="77777777" w:rsidR="00986D87" w:rsidRPr="005D4222" w:rsidRDefault="00986D87" w:rsidP="00986D87">
      <w:pPr>
        <w:pStyle w:val="StyleHeading3H3-SecHeadBlackBackground"/>
      </w:pPr>
      <w:r w:rsidRPr="005D4222">
        <w:t>Protocol and Survey Instrument</w:t>
      </w:r>
    </w:p>
    <w:tbl>
      <w:tblPr>
        <w:tblW w:w="9882" w:type="dxa"/>
        <w:tblInd w:w="-72" w:type="dxa"/>
        <w:tblLayout w:type="fixed"/>
        <w:tblLook w:val="0000" w:firstRow="0" w:lastRow="0" w:firstColumn="0" w:lastColumn="0" w:noHBand="0" w:noVBand="0"/>
        <w:tblDescription w:val="This table should be read left to right.&#10;The first column of this table is a subhead that &quot;hangs&quot; in the left margin. The second column text relates to the hanging head. "/>
      </w:tblPr>
      <w:tblGrid>
        <w:gridCol w:w="2232"/>
        <w:gridCol w:w="7650"/>
      </w:tblGrid>
      <w:tr w:rsidR="00986D87" w:rsidRPr="005D4222" w14:paraId="36149415" w14:textId="77777777">
        <w:tc>
          <w:tcPr>
            <w:tcW w:w="2232" w:type="dxa"/>
          </w:tcPr>
          <w:p w14:paraId="614A28AD" w14:textId="77777777" w:rsidR="00986D87" w:rsidRPr="005D4222" w:rsidRDefault="00986D87">
            <w:pPr>
              <w:pStyle w:val="MarginSubhead"/>
            </w:pPr>
            <w:r w:rsidRPr="005D4222">
              <w:t>Medicare</w:t>
            </w:r>
          </w:p>
        </w:tc>
        <w:tc>
          <w:tcPr>
            <w:tcW w:w="7650" w:type="dxa"/>
          </w:tcPr>
          <w:p w14:paraId="750759FF" w14:textId="77777777" w:rsidR="00986D87" w:rsidRPr="005D4222" w:rsidRDefault="00986D87">
            <w:pPr>
              <w:pStyle w:val="Body"/>
            </w:pPr>
            <w:r w:rsidRPr="005D4222">
              <w:t xml:space="preserve">Collected using the HOS. Refer to </w:t>
            </w:r>
            <w:r w:rsidRPr="005D4222">
              <w:rPr>
                <w:i/>
              </w:rPr>
              <w:t xml:space="preserve">HEDIS Volume 6: Specifications for the Medicare Health Outcomes Survey </w:t>
            </w:r>
            <w:r w:rsidRPr="005D4222">
              <w:rPr>
                <w:iCs/>
              </w:rPr>
              <w:t>for the HOS questionnaires and data collection protocols.</w:t>
            </w:r>
          </w:p>
        </w:tc>
      </w:tr>
    </w:tbl>
    <w:p w14:paraId="4E81BAA0" w14:textId="77777777" w:rsidR="00986D87" w:rsidRPr="005D4222" w:rsidRDefault="00986D87" w:rsidP="00986D87">
      <w:pPr>
        <w:sectPr w:rsidR="00986D87" w:rsidRPr="005D4222" w:rsidSect="0074514A">
          <w:headerReference w:type="even" r:id="rId154"/>
          <w:headerReference w:type="default" r:id="rId155"/>
          <w:footerReference w:type="default" r:id="rId156"/>
          <w:type w:val="nextColumn"/>
          <w:pgSz w:w="12240" w:h="15840" w:code="1"/>
          <w:pgMar w:top="1080" w:right="1080" w:bottom="1080" w:left="1440" w:header="720" w:footer="720" w:gutter="0"/>
          <w:cols w:space="720"/>
        </w:sectPr>
      </w:pPr>
    </w:p>
    <w:p w14:paraId="61E17386" w14:textId="77777777" w:rsidR="00986D87" w:rsidRPr="005D4222" w:rsidRDefault="00986D87" w:rsidP="00E4280D">
      <w:pPr>
        <w:pStyle w:val="MeasureTitle"/>
      </w:pPr>
      <w:bookmarkStart w:id="341" w:name="Management_Incontinence_MUI"/>
      <w:bookmarkStart w:id="342" w:name="_Toc400546151"/>
      <w:bookmarkStart w:id="343" w:name="_Toc74826030"/>
      <w:bookmarkStart w:id="344" w:name="_Toc171403023"/>
      <w:bookmarkStart w:id="345" w:name="_Toc201813437"/>
      <w:bookmarkStart w:id="346" w:name="MUI"/>
      <w:r w:rsidRPr="005D4222">
        <w:lastRenderedPageBreak/>
        <w:t>Management</w:t>
      </w:r>
      <w:bookmarkEnd w:id="341"/>
      <w:r w:rsidRPr="005D4222">
        <w:t xml:space="preserve"> of Urinary Incontinence in Older Adults (MUI)</w:t>
      </w:r>
      <w:bookmarkEnd w:id="342"/>
      <w:bookmarkEnd w:id="343"/>
      <w:bookmarkEnd w:id="344"/>
      <w:bookmarkEnd w:id="345"/>
    </w:p>
    <w:bookmarkEnd w:id="346"/>
    <w:p w14:paraId="2119CEFF" w14:textId="77777777" w:rsidR="00986D87" w:rsidRPr="005D4222" w:rsidRDefault="00986D87" w:rsidP="00986D87">
      <w:pPr>
        <w:pStyle w:val="Body"/>
        <w:spacing w:before="0"/>
        <w:rPr>
          <w:i/>
        </w:rPr>
      </w:pPr>
      <w:r w:rsidRPr="005D4222">
        <w:t xml:space="preserve">This measure is collected using the HOS. Detailed specifications and summary of changes are contained in </w:t>
      </w:r>
      <w:r w:rsidRPr="005D4222">
        <w:rPr>
          <w:i/>
        </w:rPr>
        <w:t xml:space="preserve">HEDIS Volume 6: Specifications for the Medicare Health Outcomes Survey. </w:t>
      </w:r>
    </w:p>
    <w:p w14:paraId="7626D504" w14:textId="3B7ADFA9" w:rsidR="00986D87" w:rsidRPr="005D4222" w:rsidRDefault="00986D87" w:rsidP="00986D87">
      <w:pPr>
        <w:pStyle w:val="Body"/>
      </w:pPr>
      <w:r w:rsidRPr="005D4222">
        <w:rPr>
          <w:i/>
        </w:rPr>
        <w:t xml:space="preserve">HEDIS MY </w:t>
      </w:r>
      <w:r w:rsidRPr="005D4222">
        <w:rPr>
          <w:i/>
          <w:iCs/>
        </w:rPr>
        <w:t>2025</w:t>
      </w:r>
      <w:r w:rsidRPr="005D4222" w:rsidDel="00770CA3">
        <w:t xml:space="preserve"> </w:t>
      </w:r>
      <w:r w:rsidRPr="005D4222">
        <w:rPr>
          <w:i/>
        </w:rPr>
        <w:t>Volume 6: Specifications for the Medicare Health Outcomes Survey</w:t>
      </w:r>
      <w:r w:rsidRPr="005D4222">
        <w:t xml:space="preserve"> will be published prior to survey administration in </w:t>
      </w:r>
      <w:r w:rsidR="00692BFF">
        <w:t>February 2026</w:t>
      </w:r>
      <w:r w:rsidRPr="005D4222">
        <w:t>.</w:t>
      </w:r>
    </w:p>
    <w:p w14:paraId="4AC6E620" w14:textId="0AEEE54F" w:rsidR="00986D87" w:rsidRPr="005D4222" w:rsidRDefault="00986D87" w:rsidP="002B51D3">
      <w:pPr>
        <w:pStyle w:val="ReverseHead"/>
      </w:pPr>
      <w:r w:rsidRPr="005D4222">
        <w:t>Description</w:t>
      </w:r>
    </w:p>
    <w:p w14:paraId="4B773437" w14:textId="77777777" w:rsidR="00986D87" w:rsidRPr="005D4222" w:rsidRDefault="00986D87" w:rsidP="00986D87">
      <w:pPr>
        <w:pStyle w:val="Body"/>
      </w:pPr>
      <w:r w:rsidRPr="005D4222">
        <w:t>The following components of this measure assess the management of urinary incontinence in older adults:</w:t>
      </w:r>
    </w:p>
    <w:p w14:paraId="371AEC9C" w14:textId="77777777" w:rsidR="00986D87" w:rsidRPr="005D4222" w:rsidRDefault="00986D87" w:rsidP="00986D87">
      <w:pPr>
        <w:pStyle w:val="Bullet"/>
        <w:numPr>
          <w:ilvl w:val="0"/>
          <w:numId w:val="4"/>
        </w:numPr>
        <w:tabs>
          <w:tab w:val="left" w:pos="576"/>
        </w:tabs>
        <w:ind w:left="576" w:hanging="216"/>
      </w:pPr>
      <w:r w:rsidRPr="005D4222">
        <w:rPr>
          <w:i/>
          <w:iCs/>
        </w:rPr>
        <w:t xml:space="preserve">Discussing Urinary </w:t>
      </w:r>
      <w:r w:rsidRPr="005D4222" w:rsidDel="004C4A28">
        <w:rPr>
          <w:i/>
          <w:iCs/>
        </w:rPr>
        <w:t>I</w:t>
      </w:r>
      <w:r w:rsidRPr="005D4222">
        <w:rPr>
          <w:i/>
          <w:iCs/>
        </w:rPr>
        <w:t xml:space="preserve">ncontinence. </w:t>
      </w:r>
      <w:r w:rsidRPr="005D4222">
        <w:t xml:space="preserve">The percentage of Medicare members 65 years of age and older who reported having urine leakage in the past 6 months and </w:t>
      </w:r>
      <w:r w:rsidRPr="005D4222" w:rsidDel="00CB361E">
        <w:t xml:space="preserve">who </w:t>
      </w:r>
      <w:r w:rsidRPr="005D4222">
        <w:t>discussed their urinary leakage problem with a health care provider.</w:t>
      </w:r>
    </w:p>
    <w:p w14:paraId="1EF3F337" w14:textId="77777777" w:rsidR="00986D87" w:rsidRPr="005D4222" w:rsidRDefault="00986D87" w:rsidP="00986D87">
      <w:pPr>
        <w:pStyle w:val="Bullet"/>
        <w:numPr>
          <w:ilvl w:val="0"/>
          <w:numId w:val="4"/>
        </w:numPr>
        <w:tabs>
          <w:tab w:val="left" w:pos="576"/>
        </w:tabs>
        <w:ind w:left="576" w:hanging="216"/>
      </w:pPr>
      <w:r w:rsidRPr="005D4222">
        <w:rPr>
          <w:i/>
        </w:rPr>
        <w:t xml:space="preserve">Discussing </w:t>
      </w:r>
      <w:r w:rsidRPr="005D4222" w:rsidDel="00BA5007">
        <w:rPr>
          <w:i/>
        </w:rPr>
        <w:t>T</w:t>
      </w:r>
      <w:r w:rsidRPr="005D4222">
        <w:rPr>
          <w:i/>
        </w:rPr>
        <w:t xml:space="preserve">reatment of </w:t>
      </w:r>
      <w:r w:rsidRPr="005D4222">
        <w:rPr>
          <w:i/>
          <w:iCs/>
        </w:rPr>
        <w:t xml:space="preserve">Urinary </w:t>
      </w:r>
      <w:r w:rsidRPr="005D4222" w:rsidDel="00BA5007">
        <w:rPr>
          <w:i/>
        </w:rPr>
        <w:t>I</w:t>
      </w:r>
      <w:r w:rsidRPr="005D4222">
        <w:rPr>
          <w:i/>
        </w:rPr>
        <w:t xml:space="preserve">ncontinence. </w:t>
      </w:r>
      <w:r w:rsidRPr="005D4222">
        <w:t xml:space="preserve">The percentage of Medicare members 65 years of age and older who reported having urine leakage in the past 6 months and </w:t>
      </w:r>
      <w:r w:rsidRPr="005D4222" w:rsidDel="00CB361E">
        <w:t xml:space="preserve">who </w:t>
      </w:r>
      <w:r w:rsidRPr="005D4222">
        <w:t>discussed treatment options for their urinary incontinence with a health care provider.</w:t>
      </w:r>
    </w:p>
    <w:p w14:paraId="0FC656F5" w14:textId="77777777" w:rsidR="00986D87" w:rsidRPr="005D4222" w:rsidRDefault="00986D87" w:rsidP="00986D87">
      <w:pPr>
        <w:pStyle w:val="Bullet"/>
        <w:numPr>
          <w:ilvl w:val="0"/>
          <w:numId w:val="4"/>
        </w:numPr>
        <w:tabs>
          <w:tab w:val="left" w:pos="576"/>
        </w:tabs>
        <w:ind w:left="576" w:hanging="216"/>
      </w:pPr>
      <w:r w:rsidRPr="005D4222">
        <w:rPr>
          <w:i/>
        </w:rPr>
        <w:t xml:space="preserve">Impact of </w:t>
      </w:r>
      <w:r w:rsidRPr="005D4222">
        <w:rPr>
          <w:i/>
          <w:iCs/>
        </w:rPr>
        <w:t xml:space="preserve">Urinary </w:t>
      </w:r>
      <w:r w:rsidRPr="005D4222" w:rsidDel="00BA5007">
        <w:rPr>
          <w:i/>
        </w:rPr>
        <w:t>I</w:t>
      </w:r>
      <w:r w:rsidRPr="005D4222">
        <w:rPr>
          <w:i/>
        </w:rPr>
        <w:t xml:space="preserve">ncontinence. </w:t>
      </w:r>
      <w:r w:rsidRPr="005D4222">
        <w:t>The percentage of Medicare members 65 years of age and older who reported having urine leakage in the past 6 months and</w:t>
      </w:r>
      <w:r w:rsidRPr="005D4222" w:rsidDel="00CB361E">
        <w:t xml:space="preserve"> who</w:t>
      </w:r>
      <w:r w:rsidRPr="005D4222">
        <w:t xml:space="preserve"> </w:t>
      </w:r>
      <w:r w:rsidRPr="005D4222" w:rsidDel="003808D3">
        <w:t xml:space="preserve">reported </w:t>
      </w:r>
      <w:r w:rsidRPr="005D4222">
        <w:t>that urine leakage made them change their daily activities or interfered with their sleep a lot.</w:t>
      </w:r>
    </w:p>
    <w:p w14:paraId="47029D8A" w14:textId="77777777" w:rsidR="00986D87" w:rsidRPr="005D4222" w:rsidRDefault="00986D87" w:rsidP="00986D87">
      <w:pPr>
        <w:pStyle w:val="Note"/>
        <w:ind w:left="576"/>
      </w:pPr>
      <w:r w:rsidRPr="005D4222">
        <w:rPr>
          <w:b/>
        </w:rPr>
        <w:t>Note:</w:t>
      </w:r>
      <w:r w:rsidRPr="005D4222">
        <w:t xml:space="preserve"> A lower rate indicates better performance for this indicator.</w:t>
      </w:r>
    </w:p>
    <w:p w14:paraId="4A629B3D" w14:textId="77777777" w:rsidR="00986D87" w:rsidRPr="005D4222" w:rsidRDefault="00986D87" w:rsidP="00986D87">
      <w:pPr>
        <w:pStyle w:val="StyleHeading3H3-SecHeadBlackBackground"/>
      </w:pPr>
      <w:r w:rsidRPr="005D4222">
        <w:t>Eligible Population</w:t>
      </w:r>
    </w:p>
    <w:tbl>
      <w:tblPr>
        <w:tblW w:w="9900" w:type="dxa"/>
        <w:tblInd w:w="-72" w:type="dxa"/>
        <w:tblLayout w:type="fixed"/>
        <w:tblLook w:val="0000" w:firstRow="0" w:lastRow="0" w:firstColumn="0" w:lastColumn="0" w:noHBand="0" w:noVBand="0"/>
        <w:tblDescription w:val="This table should be read left to right.&#10;The first column of this table is a subhead that &quot;hangs&quot; in the left margin. The second column text relates to the hanging head. "/>
      </w:tblPr>
      <w:tblGrid>
        <w:gridCol w:w="2232"/>
        <w:gridCol w:w="7668"/>
      </w:tblGrid>
      <w:tr w:rsidR="00986D87" w:rsidRPr="005D4222" w14:paraId="386E843E" w14:textId="77777777">
        <w:tc>
          <w:tcPr>
            <w:tcW w:w="2232" w:type="dxa"/>
          </w:tcPr>
          <w:p w14:paraId="43EA4069" w14:textId="2A91A0A7" w:rsidR="00986D87" w:rsidRPr="005D4222" w:rsidRDefault="00B51CDC">
            <w:pPr>
              <w:pStyle w:val="MarginSubhead"/>
            </w:pPr>
            <w:r w:rsidRPr="005D4222">
              <w:t>Product lines</w:t>
            </w:r>
          </w:p>
        </w:tc>
        <w:tc>
          <w:tcPr>
            <w:tcW w:w="7668" w:type="dxa"/>
          </w:tcPr>
          <w:p w14:paraId="0CB5E067" w14:textId="77777777" w:rsidR="00986D87" w:rsidRPr="005D4222" w:rsidRDefault="00986D87">
            <w:pPr>
              <w:pStyle w:val="Body"/>
            </w:pPr>
            <w:r w:rsidRPr="005D4222">
              <w:t>Medicare.</w:t>
            </w:r>
          </w:p>
        </w:tc>
      </w:tr>
      <w:tr w:rsidR="00986D87" w:rsidRPr="005D4222" w14:paraId="20B555BA" w14:textId="77777777">
        <w:tc>
          <w:tcPr>
            <w:tcW w:w="2232" w:type="dxa"/>
          </w:tcPr>
          <w:p w14:paraId="02D41A8A" w14:textId="77777777" w:rsidR="00986D87" w:rsidRPr="005D4222" w:rsidRDefault="00986D87">
            <w:pPr>
              <w:pStyle w:val="MarginSubhead"/>
            </w:pPr>
            <w:r w:rsidRPr="005D4222">
              <w:t>Age</w:t>
            </w:r>
          </w:p>
        </w:tc>
        <w:tc>
          <w:tcPr>
            <w:tcW w:w="7668" w:type="dxa"/>
          </w:tcPr>
          <w:p w14:paraId="1E0AD5B5" w14:textId="77777777" w:rsidR="00986D87" w:rsidRPr="005D4222" w:rsidRDefault="00986D87">
            <w:pPr>
              <w:pStyle w:val="Body"/>
            </w:pPr>
            <w:r w:rsidRPr="005D4222">
              <w:t>65 and older as of December 31 of the measurement year.</w:t>
            </w:r>
          </w:p>
        </w:tc>
      </w:tr>
      <w:tr w:rsidR="00986D87" w:rsidRPr="005D4222" w14:paraId="5BD75FD2" w14:textId="77777777">
        <w:tc>
          <w:tcPr>
            <w:tcW w:w="2232" w:type="dxa"/>
          </w:tcPr>
          <w:p w14:paraId="67A68A4C" w14:textId="77777777" w:rsidR="00986D87" w:rsidRPr="005D4222" w:rsidRDefault="00986D87">
            <w:pPr>
              <w:pStyle w:val="MarginSubhead"/>
            </w:pPr>
            <w:r w:rsidRPr="005D4222">
              <w:t>Exclusion</w:t>
            </w:r>
          </w:p>
        </w:tc>
        <w:tc>
          <w:tcPr>
            <w:tcW w:w="7668" w:type="dxa"/>
          </w:tcPr>
          <w:p w14:paraId="7B147B9E" w14:textId="77777777" w:rsidR="00986D87" w:rsidRPr="005D4222" w:rsidRDefault="00986D87">
            <w:pPr>
              <w:pStyle w:val="Body"/>
            </w:pPr>
            <w:r w:rsidRPr="005D4222">
              <w:t>Evidence from CMS administrative records of a hospice start date.</w:t>
            </w:r>
          </w:p>
        </w:tc>
      </w:tr>
    </w:tbl>
    <w:p w14:paraId="7083EC34" w14:textId="77777777" w:rsidR="00986D87" w:rsidRPr="005D4222" w:rsidRDefault="00986D87" w:rsidP="00986D87">
      <w:pPr>
        <w:pStyle w:val="StyleHeading3H3-SecHeadBlackBackground"/>
      </w:pPr>
      <w:r w:rsidRPr="005D4222">
        <w:t>Protocol and Survey Instrument</w:t>
      </w:r>
    </w:p>
    <w:tbl>
      <w:tblPr>
        <w:tblW w:w="9882" w:type="dxa"/>
        <w:tblInd w:w="-72" w:type="dxa"/>
        <w:tblLayout w:type="fixed"/>
        <w:tblLook w:val="0000" w:firstRow="0" w:lastRow="0" w:firstColumn="0" w:lastColumn="0" w:noHBand="0" w:noVBand="0"/>
        <w:tblDescription w:val="This table should be read left to right.&#10;The first column of this table is a subhead that &quot;hangs&quot; in the left margin. The second column text relates to the hanging head. "/>
      </w:tblPr>
      <w:tblGrid>
        <w:gridCol w:w="2232"/>
        <w:gridCol w:w="7650"/>
      </w:tblGrid>
      <w:tr w:rsidR="00986D87" w:rsidRPr="005D4222" w14:paraId="354B6B70" w14:textId="77777777">
        <w:tc>
          <w:tcPr>
            <w:tcW w:w="2232" w:type="dxa"/>
          </w:tcPr>
          <w:p w14:paraId="10097CD5" w14:textId="77777777" w:rsidR="00986D87" w:rsidRPr="005D4222" w:rsidRDefault="00986D87">
            <w:pPr>
              <w:pStyle w:val="MarginSubhead"/>
            </w:pPr>
            <w:r w:rsidRPr="005D4222">
              <w:t>Medicare</w:t>
            </w:r>
          </w:p>
        </w:tc>
        <w:tc>
          <w:tcPr>
            <w:tcW w:w="7650" w:type="dxa"/>
          </w:tcPr>
          <w:p w14:paraId="5706A742" w14:textId="77777777" w:rsidR="00986D87" w:rsidRPr="005D4222" w:rsidRDefault="00986D87">
            <w:pPr>
              <w:pStyle w:val="Body"/>
            </w:pPr>
            <w:r w:rsidRPr="005D4222">
              <w:t xml:space="preserve">Collected using the HOS. Refer to </w:t>
            </w:r>
            <w:r w:rsidRPr="005D4222">
              <w:rPr>
                <w:i/>
              </w:rPr>
              <w:t xml:space="preserve">HEDIS Volume 6: Specifications for the Medicare Health Outcomes Survey </w:t>
            </w:r>
            <w:r w:rsidRPr="005D4222">
              <w:rPr>
                <w:iCs/>
              </w:rPr>
              <w:t>for the HOS questionnaires and data collection protocols.</w:t>
            </w:r>
          </w:p>
        </w:tc>
      </w:tr>
    </w:tbl>
    <w:p w14:paraId="29658713" w14:textId="77777777" w:rsidR="00986D87" w:rsidRPr="005D4222" w:rsidRDefault="00986D87" w:rsidP="00986D87">
      <w:pPr>
        <w:pStyle w:val="Body"/>
      </w:pPr>
    </w:p>
    <w:p w14:paraId="36FBA025" w14:textId="77777777" w:rsidR="00986D87" w:rsidRPr="005D4222" w:rsidRDefault="00986D87" w:rsidP="00986D87">
      <w:pPr>
        <w:pStyle w:val="Body"/>
      </w:pPr>
    </w:p>
    <w:p w14:paraId="6E3B86C7" w14:textId="77777777" w:rsidR="00986D87" w:rsidRPr="005D4222" w:rsidRDefault="00986D87" w:rsidP="00986D87">
      <w:pPr>
        <w:pStyle w:val="Body"/>
        <w:sectPr w:rsidR="00986D87" w:rsidRPr="005D4222" w:rsidSect="0074514A">
          <w:headerReference w:type="even" r:id="rId157"/>
          <w:headerReference w:type="default" r:id="rId158"/>
          <w:type w:val="nextColumn"/>
          <w:pgSz w:w="12240" w:h="15840" w:code="1"/>
          <w:pgMar w:top="1080" w:right="1080" w:bottom="1080" w:left="1440" w:header="720" w:footer="720" w:gutter="0"/>
          <w:cols w:space="720"/>
        </w:sectPr>
      </w:pPr>
    </w:p>
    <w:p w14:paraId="7CAE6A3D" w14:textId="77777777" w:rsidR="00986D87" w:rsidRPr="005D4222" w:rsidRDefault="00986D87" w:rsidP="00B616D5">
      <w:pPr>
        <w:pStyle w:val="MeasureTitle"/>
      </w:pPr>
      <w:bookmarkStart w:id="347" w:name="Physical_Activity_Older_Adults_PAO"/>
      <w:bookmarkStart w:id="348" w:name="_Toc400546153"/>
      <w:bookmarkStart w:id="349" w:name="_Toc74826031"/>
      <w:bookmarkStart w:id="350" w:name="_Toc171403024"/>
      <w:bookmarkStart w:id="351" w:name="_Toc201813438"/>
      <w:bookmarkStart w:id="352" w:name="PAO"/>
      <w:r w:rsidRPr="005D4222">
        <w:lastRenderedPageBreak/>
        <w:t>Physical Activity</w:t>
      </w:r>
      <w:bookmarkEnd w:id="347"/>
      <w:r w:rsidRPr="005D4222">
        <w:t xml:space="preserve"> in Older Adults (PAO)</w:t>
      </w:r>
      <w:bookmarkEnd w:id="348"/>
      <w:bookmarkEnd w:id="349"/>
      <w:bookmarkEnd w:id="350"/>
      <w:bookmarkEnd w:id="351"/>
    </w:p>
    <w:bookmarkEnd w:id="352"/>
    <w:p w14:paraId="4A2EA05E" w14:textId="77777777" w:rsidR="00986D87" w:rsidRPr="005D4222" w:rsidRDefault="00986D87" w:rsidP="00986D87">
      <w:pPr>
        <w:pStyle w:val="Body"/>
        <w:spacing w:before="0"/>
        <w:rPr>
          <w:i/>
        </w:rPr>
      </w:pPr>
      <w:r w:rsidRPr="005D4222">
        <w:t xml:space="preserve">This measure is collected using the HOS. Detailed specifications and summary of changes are contained in </w:t>
      </w:r>
      <w:r w:rsidRPr="005D4222">
        <w:rPr>
          <w:i/>
        </w:rPr>
        <w:t>HEDIS Volume 6: Specifications for the Medicare Health Outcomes Survey.</w:t>
      </w:r>
    </w:p>
    <w:p w14:paraId="79CB19E0" w14:textId="6ECC734F" w:rsidR="00986D87" w:rsidRPr="005D4222" w:rsidRDefault="00986D87" w:rsidP="00986D87">
      <w:pPr>
        <w:pStyle w:val="Body"/>
      </w:pPr>
      <w:r w:rsidRPr="005D4222">
        <w:rPr>
          <w:i/>
        </w:rPr>
        <w:t>HEDIS MY 2025</w:t>
      </w:r>
      <w:r w:rsidRPr="005D4222" w:rsidDel="00770CA3">
        <w:t xml:space="preserve"> </w:t>
      </w:r>
      <w:r w:rsidRPr="005D4222">
        <w:rPr>
          <w:i/>
        </w:rPr>
        <w:t>Volume 6: Specifications for the Medicare Health Outcomes Survey</w:t>
      </w:r>
      <w:r w:rsidRPr="005D4222">
        <w:t xml:space="preserve"> will be published prior to survey administration in </w:t>
      </w:r>
      <w:r w:rsidR="00692BFF">
        <w:t>February 2026</w:t>
      </w:r>
      <w:r w:rsidRPr="005D4222">
        <w:t>.</w:t>
      </w:r>
    </w:p>
    <w:p w14:paraId="7FAC9D82" w14:textId="69F1F31D" w:rsidR="00986D87" w:rsidRPr="005D4222" w:rsidRDefault="00986D87" w:rsidP="002B51D3">
      <w:pPr>
        <w:pStyle w:val="ReverseHead"/>
      </w:pPr>
      <w:r w:rsidRPr="005D4222">
        <w:t xml:space="preserve">Description </w:t>
      </w:r>
    </w:p>
    <w:p w14:paraId="1C237D3D" w14:textId="77777777" w:rsidR="00986D87" w:rsidRPr="005D4222" w:rsidRDefault="00986D87" w:rsidP="00986D87">
      <w:pPr>
        <w:pStyle w:val="Body"/>
      </w:pPr>
      <w:r w:rsidRPr="005D4222">
        <w:t>The two components of this measure assess different facets of promoting physical activity in older adults:</w:t>
      </w:r>
    </w:p>
    <w:p w14:paraId="18884E20" w14:textId="77777777" w:rsidR="00986D87" w:rsidRPr="005D4222" w:rsidRDefault="00986D87" w:rsidP="00986D87">
      <w:pPr>
        <w:pStyle w:val="Bullet"/>
        <w:numPr>
          <w:ilvl w:val="0"/>
          <w:numId w:val="4"/>
        </w:numPr>
        <w:tabs>
          <w:tab w:val="left" w:pos="576"/>
        </w:tabs>
        <w:ind w:left="576" w:hanging="216"/>
      </w:pPr>
      <w:r w:rsidRPr="005D4222">
        <w:rPr>
          <w:i/>
        </w:rPr>
        <w:t xml:space="preserve">Discussing Physical Activity. </w:t>
      </w:r>
      <w:r w:rsidRPr="005D4222">
        <w:t xml:space="preserve">The percentage of Medicare members 65 years of age and older who had a doctor’s visit in the past 12 months and </w:t>
      </w:r>
      <w:r w:rsidRPr="005D4222" w:rsidDel="00CB361E">
        <w:t xml:space="preserve">who </w:t>
      </w:r>
      <w:r w:rsidRPr="005D4222">
        <w:t>spoke with a doctor or other health provider about their level of exercise or physical activity.</w:t>
      </w:r>
    </w:p>
    <w:p w14:paraId="4029E79C" w14:textId="77777777" w:rsidR="00986D87" w:rsidRPr="005D4222" w:rsidRDefault="00986D87" w:rsidP="00986D87">
      <w:pPr>
        <w:pStyle w:val="Bullet"/>
        <w:numPr>
          <w:ilvl w:val="0"/>
          <w:numId w:val="4"/>
        </w:numPr>
        <w:tabs>
          <w:tab w:val="left" w:pos="576"/>
        </w:tabs>
        <w:ind w:left="576" w:hanging="216"/>
      </w:pPr>
      <w:r w:rsidRPr="005D4222">
        <w:rPr>
          <w:i/>
        </w:rPr>
        <w:t>Advising Physical Activity.</w:t>
      </w:r>
      <w:r w:rsidRPr="005D4222">
        <w:t xml:space="preserve"> The percentage of Medicare members 65 years of age and older who had a doctor’s visit in the past 12 months and </w:t>
      </w:r>
      <w:r w:rsidRPr="005D4222" w:rsidDel="00CB361E">
        <w:t xml:space="preserve">who </w:t>
      </w:r>
      <w:r w:rsidRPr="005D4222">
        <w:t>received advice to start, increase or maintain their level exercise or physical activity.</w:t>
      </w:r>
    </w:p>
    <w:p w14:paraId="22A7182D" w14:textId="77777777" w:rsidR="00986D87" w:rsidRPr="005D4222" w:rsidRDefault="00986D87" w:rsidP="00986D87">
      <w:pPr>
        <w:pStyle w:val="StyleHeading3H3-SecHeadBlackBackground"/>
      </w:pPr>
      <w:bookmarkStart w:id="353" w:name="_Toc63166275"/>
      <w:bookmarkStart w:id="354" w:name="_Toc63166419"/>
      <w:bookmarkStart w:id="355" w:name="_Toc63166768"/>
      <w:bookmarkStart w:id="356" w:name="_Toc65479717"/>
      <w:bookmarkStart w:id="357" w:name="_Toc66435777"/>
      <w:r w:rsidRPr="005D4222">
        <w:t>Eligible Population</w:t>
      </w:r>
      <w:bookmarkEnd w:id="353"/>
      <w:bookmarkEnd w:id="354"/>
      <w:bookmarkEnd w:id="355"/>
      <w:bookmarkEnd w:id="356"/>
      <w:bookmarkEnd w:id="357"/>
    </w:p>
    <w:tbl>
      <w:tblPr>
        <w:tblW w:w="9900" w:type="dxa"/>
        <w:tblInd w:w="-72" w:type="dxa"/>
        <w:tblLayout w:type="fixed"/>
        <w:tblLook w:val="0000" w:firstRow="0" w:lastRow="0" w:firstColumn="0" w:lastColumn="0" w:noHBand="0" w:noVBand="0"/>
        <w:tblDescription w:val="This table should be read left to right.&#10;The first column of this table is a subhead that &quot;hangs&quot; in the left margin. The second column text relates to the hanging head. "/>
      </w:tblPr>
      <w:tblGrid>
        <w:gridCol w:w="2232"/>
        <w:gridCol w:w="7668"/>
      </w:tblGrid>
      <w:tr w:rsidR="00986D87" w:rsidRPr="005D4222" w14:paraId="5CA88B24" w14:textId="77777777">
        <w:tc>
          <w:tcPr>
            <w:tcW w:w="2232" w:type="dxa"/>
          </w:tcPr>
          <w:p w14:paraId="7F573B47" w14:textId="6534DCEF" w:rsidR="00986D87" w:rsidRPr="005D4222" w:rsidRDefault="00B51CDC">
            <w:pPr>
              <w:pStyle w:val="MarginSubhead"/>
            </w:pPr>
            <w:r w:rsidRPr="005D4222">
              <w:t>Product lines</w:t>
            </w:r>
          </w:p>
        </w:tc>
        <w:tc>
          <w:tcPr>
            <w:tcW w:w="7668" w:type="dxa"/>
          </w:tcPr>
          <w:p w14:paraId="508A1731" w14:textId="77777777" w:rsidR="00986D87" w:rsidRPr="005D4222" w:rsidRDefault="00986D87">
            <w:pPr>
              <w:pStyle w:val="Body"/>
            </w:pPr>
            <w:r w:rsidRPr="005D4222">
              <w:t>Medicare.</w:t>
            </w:r>
          </w:p>
        </w:tc>
      </w:tr>
      <w:tr w:rsidR="00986D87" w:rsidRPr="005D4222" w14:paraId="2C8DD6C0" w14:textId="77777777">
        <w:tc>
          <w:tcPr>
            <w:tcW w:w="2232" w:type="dxa"/>
          </w:tcPr>
          <w:p w14:paraId="48EEC3D6" w14:textId="77777777" w:rsidR="00986D87" w:rsidRPr="005D4222" w:rsidRDefault="00986D87">
            <w:pPr>
              <w:pStyle w:val="MarginSubhead"/>
            </w:pPr>
            <w:r w:rsidRPr="005D4222">
              <w:t>Age</w:t>
            </w:r>
          </w:p>
        </w:tc>
        <w:tc>
          <w:tcPr>
            <w:tcW w:w="7668" w:type="dxa"/>
          </w:tcPr>
          <w:p w14:paraId="0ADBC7D4" w14:textId="77777777" w:rsidR="00986D87" w:rsidRPr="005D4222" w:rsidRDefault="00986D87">
            <w:pPr>
              <w:pStyle w:val="Body"/>
            </w:pPr>
            <w:r w:rsidRPr="005D4222">
              <w:t>65 and older as of December 31 of the measurement year.</w:t>
            </w:r>
          </w:p>
        </w:tc>
      </w:tr>
      <w:tr w:rsidR="00986D87" w:rsidRPr="005D4222" w14:paraId="4E23012C" w14:textId="77777777">
        <w:tc>
          <w:tcPr>
            <w:tcW w:w="2232" w:type="dxa"/>
          </w:tcPr>
          <w:p w14:paraId="58744935" w14:textId="77777777" w:rsidR="00986D87" w:rsidRPr="005D4222" w:rsidRDefault="00986D87">
            <w:pPr>
              <w:pStyle w:val="MarginSubhead"/>
            </w:pPr>
            <w:r w:rsidRPr="005D4222">
              <w:t>Exclusion</w:t>
            </w:r>
          </w:p>
        </w:tc>
        <w:tc>
          <w:tcPr>
            <w:tcW w:w="7668" w:type="dxa"/>
          </w:tcPr>
          <w:p w14:paraId="00295EB5" w14:textId="77777777" w:rsidR="00986D87" w:rsidRPr="005D4222" w:rsidRDefault="00986D87">
            <w:pPr>
              <w:pStyle w:val="Body"/>
            </w:pPr>
            <w:r w:rsidRPr="005D4222">
              <w:t>Evidence from CMS administrative records of a hospice start date.</w:t>
            </w:r>
          </w:p>
        </w:tc>
      </w:tr>
    </w:tbl>
    <w:p w14:paraId="2FF0D066" w14:textId="77777777" w:rsidR="00986D87" w:rsidRPr="005D4222" w:rsidRDefault="00986D87" w:rsidP="00986D87">
      <w:pPr>
        <w:pStyle w:val="StyleHeading3H3-SecHeadBlackBackground"/>
      </w:pPr>
      <w:bookmarkStart w:id="358" w:name="_Toc63166276"/>
      <w:bookmarkStart w:id="359" w:name="_Toc63166420"/>
      <w:bookmarkStart w:id="360" w:name="_Toc63166769"/>
      <w:bookmarkStart w:id="361" w:name="_Toc65479718"/>
      <w:bookmarkStart w:id="362" w:name="_Toc66435778"/>
      <w:r w:rsidRPr="005D4222">
        <w:t>Protocol and Survey Instrument</w:t>
      </w:r>
      <w:bookmarkEnd w:id="358"/>
      <w:bookmarkEnd w:id="359"/>
      <w:bookmarkEnd w:id="360"/>
      <w:bookmarkEnd w:id="361"/>
      <w:bookmarkEnd w:id="362"/>
    </w:p>
    <w:tbl>
      <w:tblPr>
        <w:tblW w:w="9882" w:type="dxa"/>
        <w:tblInd w:w="-72" w:type="dxa"/>
        <w:tblLayout w:type="fixed"/>
        <w:tblLook w:val="0000" w:firstRow="0" w:lastRow="0" w:firstColumn="0" w:lastColumn="0" w:noHBand="0" w:noVBand="0"/>
        <w:tblDescription w:val="This table should be read left to right.&#10;The first column of this table is a subhead that &quot;hangs&quot; in the left margin. The second column text relates to the hanging head. "/>
      </w:tblPr>
      <w:tblGrid>
        <w:gridCol w:w="2232"/>
        <w:gridCol w:w="7650"/>
      </w:tblGrid>
      <w:tr w:rsidR="00986D87" w:rsidRPr="005D4222" w14:paraId="3D711CFD" w14:textId="77777777">
        <w:tc>
          <w:tcPr>
            <w:tcW w:w="2232" w:type="dxa"/>
          </w:tcPr>
          <w:p w14:paraId="4477B1FF" w14:textId="77777777" w:rsidR="00986D87" w:rsidRPr="005D4222" w:rsidRDefault="00986D87">
            <w:pPr>
              <w:pStyle w:val="MarginSubhead"/>
            </w:pPr>
            <w:r w:rsidRPr="005D4222">
              <w:t>Medicare</w:t>
            </w:r>
          </w:p>
        </w:tc>
        <w:tc>
          <w:tcPr>
            <w:tcW w:w="7650" w:type="dxa"/>
          </w:tcPr>
          <w:p w14:paraId="3EF44E6A" w14:textId="77777777" w:rsidR="00986D87" w:rsidRPr="005D4222" w:rsidRDefault="00986D87">
            <w:pPr>
              <w:pStyle w:val="Body"/>
            </w:pPr>
            <w:r w:rsidRPr="005D4222">
              <w:t xml:space="preserve">Collected using the HOS. Refer to </w:t>
            </w:r>
            <w:r w:rsidRPr="005D4222">
              <w:rPr>
                <w:i/>
              </w:rPr>
              <w:t xml:space="preserve">HEDIS Volume 6: Specifications for the Medicare Health Outcomes Survey </w:t>
            </w:r>
            <w:r w:rsidRPr="005D4222">
              <w:rPr>
                <w:iCs/>
              </w:rPr>
              <w:t>for the HOS questionnaires and data collection protocols.</w:t>
            </w:r>
          </w:p>
        </w:tc>
      </w:tr>
    </w:tbl>
    <w:p w14:paraId="0E53EB94" w14:textId="77777777" w:rsidR="00827D17" w:rsidRPr="005D4222" w:rsidRDefault="00827D17" w:rsidP="00827D17">
      <w:pPr>
        <w:pStyle w:val="ECDSBody"/>
      </w:pPr>
    </w:p>
    <w:p w14:paraId="28DB1ADB" w14:textId="77777777" w:rsidR="004B6A30" w:rsidRPr="005D4222" w:rsidRDefault="004B6A30" w:rsidP="00827D17">
      <w:pPr>
        <w:pStyle w:val="ECDSBody"/>
        <w:sectPr w:rsidR="004B6A30" w:rsidRPr="005D4222" w:rsidSect="0074514A">
          <w:headerReference w:type="default" r:id="rId159"/>
          <w:footerReference w:type="default" r:id="rId160"/>
          <w:type w:val="nextColumn"/>
          <w:pgSz w:w="12240" w:h="15840" w:code="1"/>
          <w:pgMar w:top="1080" w:right="1080" w:bottom="1080" w:left="1440" w:header="720" w:footer="720" w:gutter="0"/>
          <w:cols w:space="720"/>
          <w:docGrid w:linePitch="360"/>
        </w:sectPr>
      </w:pPr>
    </w:p>
    <w:p w14:paraId="02E9B461" w14:textId="547166A4" w:rsidR="00AD2ED9" w:rsidRPr="005D4222" w:rsidRDefault="00AD2ED9" w:rsidP="00AD2ED9">
      <w:pPr>
        <w:pStyle w:val="Breakpage"/>
        <w:sectPr w:rsidR="00AD2ED9" w:rsidRPr="005D4222" w:rsidSect="0074514A">
          <w:headerReference w:type="default" r:id="rId161"/>
          <w:footerReference w:type="default" r:id="rId162"/>
          <w:type w:val="nextColumn"/>
          <w:pgSz w:w="12240" w:h="15840" w:code="1"/>
          <w:pgMar w:top="1080" w:right="1080" w:bottom="1080" w:left="1440" w:header="720" w:footer="720" w:gutter="0"/>
          <w:cols w:space="720"/>
          <w:docGrid w:linePitch="360"/>
        </w:sectPr>
      </w:pPr>
      <w:bookmarkStart w:id="363" w:name="_Toc201813439"/>
      <w:r w:rsidRPr="005D4222">
        <w:lastRenderedPageBreak/>
        <w:t>Access</w:t>
      </w:r>
      <w:r w:rsidR="0041779A" w:rsidRPr="005D4222">
        <w:t>/Availability of Care</w:t>
      </w:r>
      <w:bookmarkEnd w:id="363"/>
      <w:r w:rsidR="00EA3030">
        <w:t xml:space="preserve"> Measures</w:t>
      </w:r>
    </w:p>
    <w:p w14:paraId="4DA68525" w14:textId="5AD934D2" w:rsidR="004D46FF" w:rsidRPr="005D4222" w:rsidRDefault="008357F7" w:rsidP="008357F7">
      <w:pPr>
        <w:pStyle w:val="MeasureTitle"/>
      </w:pPr>
      <w:bookmarkStart w:id="364" w:name="_Toc201813440"/>
      <w:r w:rsidRPr="005D4222">
        <w:lastRenderedPageBreak/>
        <w:t>Adults’ Access to Preventive/Ambulatory Health Services</w:t>
      </w:r>
      <w:r w:rsidR="0096709F" w:rsidRPr="005D4222">
        <w:t xml:space="preserve"> (AAP)</w:t>
      </w:r>
      <w:bookmarkEnd w:id="364"/>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5130"/>
        <w:gridCol w:w="1440"/>
        <w:gridCol w:w="987"/>
      </w:tblGrid>
      <w:tr w:rsidR="00BB22EC" w:rsidRPr="005D4222" w14:paraId="72095DAA" w14:textId="77777777" w:rsidTr="00474F97">
        <w:tc>
          <w:tcPr>
            <w:tcW w:w="2157" w:type="dxa"/>
            <w:shd w:val="clear" w:color="auto" w:fill="BFBFBF" w:themeFill="background1" w:themeFillShade="BF"/>
            <w:tcMar>
              <w:top w:w="0" w:type="dxa"/>
              <w:left w:w="86" w:type="dxa"/>
              <w:bottom w:w="43" w:type="dxa"/>
              <w:right w:w="86" w:type="dxa"/>
            </w:tcMar>
            <w:hideMark/>
          </w:tcPr>
          <w:p w14:paraId="549216BB" w14:textId="77777777" w:rsidR="00BB22EC" w:rsidRPr="005D4222" w:rsidRDefault="00BB22EC">
            <w:pPr>
              <w:pStyle w:val="ECDSMarginHead"/>
            </w:pPr>
            <w:r w:rsidRPr="005D4222">
              <w:t>Measure title</w:t>
            </w:r>
          </w:p>
        </w:tc>
        <w:tc>
          <w:tcPr>
            <w:tcW w:w="5130" w:type="dxa"/>
            <w:tcMar>
              <w:top w:w="0" w:type="dxa"/>
              <w:left w:w="86" w:type="dxa"/>
              <w:bottom w:w="43" w:type="dxa"/>
              <w:right w:w="86" w:type="dxa"/>
            </w:tcMar>
          </w:tcPr>
          <w:p w14:paraId="037EE891" w14:textId="77777777" w:rsidR="00BB22EC" w:rsidRPr="005D4222" w:rsidRDefault="00BB22EC">
            <w:pPr>
              <w:pStyle w:val="ECDSBody"/>
            </w:pPr>
            <w:r w:rsidRPr="005D4222">
              <w:t>Adults’ Access to Preventive/Ambulatory Health Services</w:t>
            </w:r>
          </w:p>
        </w:tc>
        <w:tc>
          <w:tcPr>
            <w:tcW w:w="1440" w:type="dxa"/>
            <w:shd w:val="clear" w:color="auto" w:fill="BFBFBF" w:themeFill="background1" w:themeFillShade="BF"/>
            <w:tcMar>
              <w:top w:w="0" w:type="dxa"/>
              <w:left w:w="86" w:type="dxa"/>
              <w:bottom w:w="43" w:type="dxa"/>
              <w:right w:w="86" w:type="dxa"/>
            </w:tcMar>
          </w:tcPr>
          <w:p w14:paraId="36ACB3FB" w14:textId="77777777" w:rsidR="00BB22EC" w:rsidRPr="005D4222" w:rsidRDefault="00BB22EC">
            <w:pPr>
              <w:pStyle w:val="MarginHead"/>
            </w:pPr>
            <w:r w:rsidRPr="005D4222">
              <w:t>Measure ID</w:t>
            </w:r>
          </w:p>
        </w:tc>
        <w:tc>
          <w:tcPr>
            <w:tcW w:w="987" w:type="dxa"/>
            <w:tcMar>
              <w:top w:w="0" w:type="dxa"/>
              <w:left w:w="86" w:type="dxa"/>
              <w:bottom w:w="43" w:type="dxa"/>
              <w:right w:w="86" w:type="dxa"/>
            </w:tcMar>
          </w:tcPr>
          <w:p w14:paraId="1A816B98" w14:textId="77777777" w:rsidR="00BB22EC" w:rsidRPr="005D4222" w:rsidRDefault="00BB22EC">
            <w:pPr>
              <w:pStyle w:val="ECDSBody"/>
            </w:pPr>
            <w:r w:rsidRPr="005D4222">
              <w:t>AAP</w:t>
            </w:r>
          </w:p>
        </w:tc>
      </w:tr>
      <w:tr w:rsidR="00BB22EC" w:rsidRPr="005D4222" w14:paraId="659D5664" w14:textId="77777777" w:rsidTr="00474F97">
        <w:tc>
          <w:tcPr>
            <w:tcW w:w="2157" w:type="dxa"/>
            <w:shd w:val="clear" w:color="auto" w:fill="BFBFBF" w:themeFill="background1" w:themeFillShade="BF"/>
            <w:tcMar>
              <w:top w:w="0" w:type="dxa"/>
              <w:left w:w="86" w:type="dxa"/>
              <w:bottom w:w="43" w:type="dxa"/>
              <w:right w:w="86" w:type="dxa"/>
            </w:tcMar>
            <w:hideMark/>
          </w:tcPr>
          <w:p w14:paraId="6C5B2C7B" w14:textId="77777777" w:rsidR="00BB22EC" w:rsidRPr="005D4222" w:rsidRDefault="00BB22EC">
            <w:pPr>
              <w:pStyle w:val="ECDSMarginHead"/>
            </w:pPr>
            <w:r w:rsidRPr="005D4222">
              <w:t>Description</w:t>
            </w:r>
          </w:p>
        </w:tc>
        <w:tc>
          <w:tcPr>
            <w:tcW w:w="7557" w:type="dxa"/>
            <w:gridSpan w:val="3"/>
            <w:tcMar>
              <w:top w:w="0" w:type="dxa"/>
              <w:left w:w="86" w:type="dxa"/>
              <w:bottom w:w="43" w:type="dxa"/>
              <w:right w:w="86" w:type="dxa"/>
            </w:tcMar>
          </w:tcPr>
          <w:p w14:paraId="00C64FEA" w14:textId="77777777" w:rsidR="00BB22EC" w:rsidRPr="005D4222" w:rsidRDefault="00BB22EC">
            <w:pPr>
              <w:pStyle w:val="ECDSBody"/>
            </w:pPr>
            <w:r w:rsidRPr="005D4222">
              <w:t>The percentage of persons 20 years of age and older who had an ambulatory or preventive care visit. The organization reports three separate percentages for each product line.</w:t>
            </w:r>
          </w:p>
          <w:p w14:paraId="52F486C5" w14:textId="77777777" w:rsidR="00BB22EC" w:rsidRPr="005D4222" w:rsidRDefault="00BB22EC" w:rsidP="00BB22EC">
            <w:pPr>
              <w:pStyle w:val="Bullet"/>
              <w:numPr>
                <w:ilvl w:val="0"/>
                <w:numId w:val="4"/>
              </w:numPr>
              <w:tabs>
                <w:tab w:val="left" w:pos="360"/>
                <w:tab w:val="left" w:pos="576"/>
              </w:tabs>
              <w:ind w:left="576" w:hanging="216"/>
            </w:pPr>
            <w:r w:rsidRPr="005D4222">
              <w:t>Persons enrolled in Medicaid and Medicare who had an ambulatory or preventive care visit during the measurement period.</w:t>
            </w:r>
          </w:p>
          <w:p w14:paraId="09E30757" w14:textId="77777777" w:rsidR="00BB22EC" w:rsidRPr="005D4222" w:rsidRDefault="00BB22EC" w:rsidP="00BB22EC">
            <w:pPr>
              <w:pStyle w:val="Bullet"/>
              <w:numPr>
                <w:ilvl w:val="0"/>
                <w:numId w:val="4"/>
              </w:numPr>
              <w:tabs>
                <w:tab w:val="left" w:pos="360"/>
                <w:tab w:val="left" w:pos="576"/>
              </w:tabs>
              <w:spacing w:after="80"/>
              <w:ind w:left="576" w:hanging="216"/>
            </w:pPr>
            <w:r w:rsidRPr="005D4222">
              <w:t>Persons enrolled in a commercial product who had an ambulatory or preventive care visit during the measurement period or the 2 years prior to the measurement period.</w:t>
            </w:r>
          </w:p>
        </w:tc>
      </w:tr>
      <w:tr w:rsidR="00BB22EC" w:rsidRPr="005D4222" w14:paraId="0DCEE2BE" w14:textId="77777777" w:rsidTr="00474F97">
        <w:tc>
          <w:tcPr>
            <w:tcW w:w="2157" w:type="dxa"/>
            <w:shd w:val="clear" w:color="auto" w:fill="BFBFBF" w:themeFill="background1" w:themeFillShade="BF"/>
            <w:tcMar>
              <w:top w:w="0" w:type="dxa"/>
              <w:left w:w="86" w:type="dxa"/>
              <w:bottom w:w="43" w:type="dxa"/>
              <w:right w:w="86" w:type="dxa"/>
            </w:tcMar>
          </w:tcPr>
          <w:p w14:paraId="60082699" w14:textId="77777777" w:rsidR="00BB22EC" w:rsidRPr="005D4222" w:rsidRDefault="00BB22EC">
            <w:pPr>
              <w:pStyle w:val="ECDSMarginHead"/>
            </w:pPr>
            <w:r w:rsidRPr="005D4222">
              <w:t>Measurement period</w:t>
            </w:r>
          </w:p>
        </w:tc>
        <w:tc>
          <w:tcPr>
            <w:tcW w:w="7557" w:type="dxa"/>
            <w:gridSpan w:val="3"/>
            <w:tcMar>
              <w:top w:w="0" w:type="dxa"/>
              <w:left w:w="86" w:type="dxa"/>
              <w:bottom w:w="43" w:type="dxa"/>
              <w:right w:w="86" w:type="dxa"/>
            </w:tcMar>
          </w:tcPr>
          <w:p w14:paraId="33BDA77B" w14:textId="77777777" w:rsidR="00BB22EC" w:rsidRPr="005D4222" w:rsidRDefault="00BB22EC">
            <w:pPr>
              <w:pStyle w:val="ECDSBody"/>
            </w:pPr>
            <w:r w:rsidRPr="005D4222">
              <w:t>January 1–December 31.</w:t>
            </w:r>
          </w:p>
        </w:tc>
      </w:tr>
      <w:tr w:rsidR="00BB22EC" w:rsidRPr="005D4222" w14:paraId="52634504" w14:textId="77777777" w:rsidTr="00474F97">
        <w:tc>
          <w:tcPr>
            <w:tcW w:w="2157" w:type="dxa"/>
            <w:shd w:val="clear" w:color="auto" w:fill="BFBFBF" w:themeFill="background1" w:themeFillShade="BF"/>
            <w:tcMar>
              <w:top w:w="0" w:type="dxa"/>
              <w:left w:w="86" w:type="dxa"/>
              <w:bottom w:w="43" w:type="dxa"/>
              <w:right w:w="86" w:type="dxa"/>
            </w:tcMar>
            <w:hideMark/>
          </w:tcPr>
          <w:p w14:paraId="54DD4A52" w14:textId="77777777" w:rsidR="00BB22EC" w:rsidRPr="005D4222" w:rsidRDefault="00BB22EC">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48790793" w14:textId="77777777" w:rsidR="00BB22EC" w:rsidRPr="005D4222" w:rsidRDefault="00BB22EC">
            <w:pPr>
              <w:pStyle w:val="ECDSBody"/>
            </w:pPr>
            <w:r w:rsidRPr="005D4222">
              <w:t>Refer to the complete copyright and disclaimer information at the front of this publication.  </w:t>
            </w:r>
          </w:p>
          <w:p w14:paraId="66247FCC" w14:textId="77777777" w:rsidR="00BB22EC" w:rsidRPr="005D4222" w:rsidRDefault="00BB22EC">
            <w:pPr>
              <w:pStyle w:val="ECDSBody"/>
              <w:spacing w:before="80"/>
            </w:pPr>
            <w:r w:rsidRPr="005D4222">
              <w:t xml:space="preserve">NCQA website: </w:t>
            </w:r>
            <w:r w:rsidRPr="005D4222">
              <w:rPr>
                <w:u w:val="single"/>
              </w:rPr>
              <w:t>www.ncqa.org</w:t>
            </w:r>
            <w:r w:rsidRPr="005D4222">
              <w:t>.</w:t>
            </w:r>
          </w:p>
          <w:p w14:paraId="21479672" w14:textId="77777777" w:rsidR="00BB22EC" w:rsidRPr="005D4222" w:rsidRDefault="00BB22EC">
            <w:pPr>
              <w:pStyle w:val="ECDSBody"/>
              <w:spacing w:before="80"/>
            </w:pPr>
            <w:r w:rsidRPr="005D4222">
              <w:t>Submit policy clarification support questions via My NCQA (</w:t>
            </w:r>
            <w:r w:rsidRPr="005D4222">
              <w:rPr>
                <w:u w:val="single"/>
              </w:rPr>
              <w:t>https://my.ncqa.org</w:t>
            </w:r>
            <w:r w:rsidRPr="005D4222">
              <w:t>).</w:t>
            </w:r>
          </w:p>
        </w:tc>
      </w:tr>
      <w:tr w:rsidR="00BB22EC" w:rsidRPr="005D4222" w14:paraId="0C4F7D6D" w14:textId="77777777" w:rsidTr="00474F97">
        <w:trPr>
          <w:trHeight w:val="655"/>
        </w:trPr>
        <w:tc>
          <w:tcPr>
            <w:tcW w:w="2157" w:type="dxa"/>
            <w:shd w:val="clear" w:color="auto" w:fill="BFBFBF" w:themeFill="background1" w:themeFillShade="BF"/>
            <w:tcMar>
              <w:top w:w="0" w:type="dxa"/>
              <w:left w:w="86" w:type="dxa"/>
              <w:bottom w:w="43" w:type="dxa"/>
              <w:right w:w="86" w:type="dxa"/>
            </w:tcMar>
            <w:hideMark/>
          </w:tcPr>
          <w:p w14:paraId="455B8DBC" w14:textId="77777777" w:rsidR="00BB22EC" w:rsidRPr="005D4222" w:rsidRDefault="00BB22EC">
            <w:pPr>
              <w:pStyle w:val="ECDSMarginHead"/>
            </w:pPr>
            <w:r w:rsidRPr="005D4222">
              <w:t>Clinical recommendation statement/ rationale</w:t>
            </w:r>
          </w:p>
        </w:tc>
        <w:tc>
          <w:tcPr>
            <w:tcW w:w="7557" w:type="dxa"/>
            <w:gridSpan w:val="3"/>
            <w:tcMar>
              <w:top w:w="0" w:type="dxa"/>
              <w:left w:w="86" w:type="dxa"/>
              <w:bottom w:w="43" w:type="dxa"/>
              <w:right w:w="86" w:type="dxa"/>
            </w:tcMar>
          </w:tcPr>
          <w:p w14:paraId="6459329F" w14:textId="677F771F" w:rsidR="00BB22EC" w:rsidRPr="005D4222" w:rsidRDefault="00BB22EC">
            <w:pPr>
              <w:pStyle w:val="ECDSBody"/>
            </w:pPr>
            <w:r w:rsidRPr="005D4222">
              <w:t xml:space="preserve">This measure assesses how </w:t>
            </w:r>
            <w:r w:rsidR="00283F16" w:rsidRPr="005D4222">
              <w:t>people</w:t>
            </w:r>
            <w:r w:rsidRPr="005D4222">
              <w:t xml:space="preserve"> access basic and important services offered by their organization. Access refers to </w:t>
            </w:r>
            <w:r w:rsidR="00283F16" w:rsidRPr="005D4222">
              <w:t>an individual’s</w:t>
            </w:r>
            <w:r w:rsidRPr="005D4222">
              <w:t xml:space="preserve"> ability to get the services they require from a health care system. </w:t>
            </w:r>
          </w:p>
          <w:p w14:paraId="339CBC7E" w14:textId="77777777" w:rsidR="000C6E93" w:rsidRPr="005D4222" w:rsidRDefault="00BB22EC" w:rsidP="000C6E93">
            <w:pPr>
              <w:pStyle w:val="ECDSBody"/>
            </w:pPr>
            <w:r w:rsidRPr="005D4222">
              <w:t xml:space="preserve">Health plans accept a premium for </w:t>
            </w:r>
            <w:r w:rsidR="00A907D8">
              <w:t>persons enrolled in their product</w:t>
            </w:r>
            <w:r w:rsidRPr="005D4222">
              <w:t xml:space="preserve">. This measure reinforces the concept that plans are responsible for providing care to all </w:t>
            </w:r>
            <w:r w:rsidR="00A907D8">
              <w:t>enrolled individuals</w:t>
            </w:r>
            <w:r w:rsidRPr="005D4222">
              <w:t xml:space="preserve">. </w:t>
            </w:r>
            <w:r w:rsidR="009A752F">
              <w:t xml:space="preserve">People without access to </w:t>
            </w:r>
            <w:r w:rsidRPr="005D4222">
              <w:t xml:space="preserve">preventive health care are more likely to develop advanced or preventable disease, at higher personal and financial cost. Although </w:t>
            </w:r>
            <w:r w:rsidR="009A752F">
              <w:t>individuals</w:t>
            </w:r>
            <w:r w:rsidRPr="005D4222">
              <w:t xml:space="preserve"> have a responsibility to take care of </w:t>
            </w:r>
            <w:r w:rsidR="000C6E93" w:rsidRPr="005D4222">
              <w:t>themselves, health plans need to take an active role in educati</w:t>
            </w:r>
            <w:r w:rsidR="000C6E93">
              <w:t xml:space="preserve">on </w:t>
            </w:r>
            <w:r w:rsidR="000C6E93" w:rsidRPr="005D4222">
              <w:t>about the importance of routine care and in remind</w:t>
            </w:r>
            <w:r w:rsidR="000C6E93">
              <w:t xml:space="preserve">ers about </w:t>
            </w:r>
            <w:r w:rsidR="000C6E93" w:rsidRPr="005D4222">
              <w:t xml:space="preserve">when routine care is needed. </w:t>
            </w:r>
          </w:p>
          <w:p w14:paraId="5DB1E29D" w14:textId="1EF7F748" w:rsidR="00BB22EC" w:rsidRPr="005D4222" w:rsidRDefault="000C6E93" w:rsidP="000C6E93">
            <w:pPr>
              <w:pStyle w:val="ECDSBody"/>
            </w:pPr>
            <w:r w:rsidRPr="005D4222">
              <w:t>Maintaining access to care requires more than making providers and services available—it involves analysis and systematic removal of barriers to care.</w:t>
            </w:r>
          </w:p>
        </w:tc>
      </w:tr>
      <w:tr w:rsidR="00BB22EC" w:rsidRPr="005D4222" w14:paraId="627C48DE" w14:textId="77777777" w:rsidTr="00474F97">
        <w:tc>
          <w:tcPr>
            <w:tcW w:w="2157" w:type="dxa"/>
            <w:shd w:val="clear" w:color="auto" w:fill="BFBFBF" w:themeFill="background1" w:themeFillShade="BF"/>
            <w:tcMar>
              <w:top w:w="0" w:type="dxa"/>
              <w:left w:w="86" w:type="dxa"/>
              <w:bottom w:w="43" w:type="dxa"/>
              <w:right w:w="86" w:type="dxa"/>
            </w:tcMar>
          </w:tcPr>
          <w:p w14:paraId="608B70A6" w14:textId="77777777" w:rsidR="00BB22EC" w:rsidRPr="005D4222" w:rsidRDefault="00BB22EC">
            <w:pPr>
              <w:pStyle w:val="ECDSMarginHead"/>
            </w:pPr>
            <w:r w:rsidRPr="005D4222">
              <w:t>Citations</w:t>
            </w:r>
          </w:p>
        </w:tc>
        <w:tc>
          <w:tcPr>
            <w:tcW w:w="7557" w:type="dxa"/>
            <w:gridSpan w:val="3"/>
            <w:tcMar>
              <w:top w:w="0" w:type="dxa"/>
              <w:left w:w="86" w:type="dxa"/>
              <w:bottom w:w="43" w:type="dxa"/>
              <w:right w:w="86" w:type="dxa"/>
            </w:tcMar>
          </w:tcPr>
          <w:p w14:paraId="7F8E00D2" w14:textId="1528D8E2" w:rsidR="00223424" w:rsidRPr="005D4222" w:rsidRDefault="00BB22EC">
            <w:pPr>
              <w:pStyle w:val="ECDSBody"/>
            </w:pPr>
            <w:r w:rsidRPr="005D4222">
              <w:t xml:space="preserve">DeVoe, J. E., </w:t>
            </w:r>
            <w:r w:rsidR="00223424" w:rsidRPr="005D4222">
              <w:t xml:space="preserve">G.E. </w:t>
            </w:r>
            <w:r w:rsidRPr="005D4222">
              <w:t xml:space="preserve">Fryer, </w:t>
            </w:r>
            <w:r w:rsidR="00223424" w:rsidRPr="005D4222">
              <w:t xml:space="preserve">R. </w:t>
            </w:r>
            <w:r w:rsidRPr="005D4222">
              <w:t>Phillips, &amp;</w:t>
            </w:r>
            <w:r w:rsidR="00223424" w:rsidRPr="005D4222">
              <w:t xml:space="preserve"> L.</w:t>
            </w:r>
            <w:r w:rsidRPr="005D4222">
              <w:t xml:space="preserve"> Green. 2003. </w:t>
            </w:r>
            <w:r w:rsidR="00223424" w:rsidRPr="005D4222">
              <w:t>“</w:t>
            </w:r>
            <w:r w:rsidRPr="005D4222">
              <w:t xml:space="preserve">Receipt of </w:t>
            </w:r>
            <w:r w:rsidR="00223424" w:rsidRPr="005D4222">
              <w:t xml:space="preserve">Preventive Care Among Adults: </w:t>
            </w:r>
            <w:r w:rsidRPr="005D4222">
              <w:t xml:space="preserve">Insurance </w:t>
            </w:r>
            <w:r w:rsidR="00223424" w:rsidRPr="005D4222">
              <w:t>Sta</w:t>
            </w:r>
            <w:r w:rsidRPr="005D4222">
              <w:t xml:space="preserve">tus and </w:t>
            </w:r>
            <w:r w:rsidR="00223424" w:rsidRPr="005D4222">
              <w:t>Usual So</w:t>
            </w:r>
            <w:r w:rsidRPr="005D4222">
              <w:t xml:space="preserve">urce of </w:t>
            </w:r>
            <w:r w:rsidR="00223424" w:rsidRPr="005D4222">
              <w:t>C</w:t>
            </w:r>
            <w:r w:rsidRPr="005D4222">
              <w:t>are.</w:t>
            </w:r>
            <w:r w:rsidR="00223424" w:rsidRPr="005D4222">
              <w:t>”</w:t>
            </w:r>
            <w:r w:rsidRPr="005D4222">
              <w:t xml:space="preserve"> </w:t>
            </w:r>
            <w:r w:rsidRPr="005D4222">
              <w:rPr>
                <w:i/>
                <w:iCs/>
              </w:rPr>
              <w:t>American Journal of Public Health, 93</w:t>
            </w:r>
            <w:r w:rsidRPr="005D4222">
              <w:t>(5), 786–91. https://doi.org/10.2105/AJPH.93.5.786</w:t>
            </w:r>
          </w:p>
          <w:p w14:paraId="606D7708" w14:textId="50E3D4EB" w:rsidR="00BB22EC" w:rsidRPr="005D4222" w:rsidRDefault="00BB22EC">
            <w:pPr>
              <w:pStyle w:val="ECDSBody"/>
            </w:pPr>
            <w:r w:rsidRPr="005D4222">
              <w:t xml:space="preserve">Agency for Healthcare Research and Quality. </w:t>
            </w:r>
            <w:r w:rsidR="00BF355B" w:rsidRPr="005D4222">
              <w:t xml:space="preserve">May </w:t>
            </w:r>
            <w:r w:rsidRPr="005D4222">
              <w:t xml:space="preserve">2014. </w:t>
            </w:r>
            <w:r w:rsidRPr="005D4222">
              <w:rPr>
                <w:i/>
                <w:iCs/>
              </w:rPr>
              <w:t>The Guide to Clinical Preventive Services: Recommendations of the U.S. Preventive Services Task Force</w:t>
            </w:r>
            <w:r w:rsidRPr="005D4222">
              <w:t xml:space="preserve"> (Report No. 14</w:t>
            </w:r>
            <w:r w:rsidRPr="005D4222">
              <w:noBreakHyphen/>
              <w:t>05158). Rockville, MD.</w:t>
            </w:r>
          </w:p>
        </w:tc>
      </w:tr>
    </w:tbl>
    <w:p w14:paraId="4663041F" w14:textId="77777777" w:rsidR="000C6E93" w:rsidRDefault="000C6E93">
      <w:r>
        <w:br w:type="page"/>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BB22EC" w:rsidRPr="005D4222" w14:paraId="23021933" w14:textId="77777777" w:rsidTr="00474F97">
        <w:tc>
          <w:tcPr>
            <w:tcW w:w="9714" w:type="dxa"/>
            <w:gridSpan w:val="2"/>
            <w:tcBorders>
              <w:bottom w:val="single" w:sz="4" w:space="0" w:color="auto"/>
            </w:tcBorders>
            <w:shd w:val="clear" w:color="auto" w:fill="BFBFBF" w:themeFill="background1" w:themeFillShade="BF"/>
            <w:tcMar>
              <w:top w:w="0" w:type="dxa"/>
              <w:left w:w="86" w:type="dxa"/>
              <w:bottom w:w="43" w:type="dxa"/>
              <w:right w:w="86" w:type="dxa"/>
            </w:tcMar>
          </w:tcPr>
          <w:p w14:paraId="55045A1E" w14:textId="77777777" w:rsidR="00BB22EC" w:rsidRPr="005D4222" w:rsidRDefault="00BB22EC">
            <w:pPr>
              <w:pStyle w:val="ECDSMarginHead"/>
            </w:pPr>
            <w:r w:rsidRPr="005D4222">
              <w:lastRenderedPageBreak/>
              <w:t>Characteristics</w:t>
            </w:r>
          </w:p>
        </w:tc>
      </w:tr>
      <w:tr w:rsidR="00BB22EC" w:rsidRPr="005D4222" w14:paraId="4FEA906D" w14:textId="77777777" w:rsidTr="0066732B">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228D8D60" w14:textId="77777777" w:rsidR="00BB22EC" w:rsidRPr="005D4222" w:rsidRDefault="00BB22EC" w:rsidP="00AC6CA0">
            <w:pPr>
              <w:pStyle w:val="ECDSMarginSubhead"/>
              <w:spacing w:after="0"/>
            </w:pPr>
            <w:r w:rsidRPr="005D4222">
              <w:t>Scoring</w:t>
            </w: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2B75592B" w14:textId="77777777" w:rsidR="00BB22EC" w:rsidRPr="005D4222" w:rsidRDefault="00BB22EC" w:rsidP="00AC6CA0">
            <w:pPr>
              <w:pStyle w:val="ECDSBody"/>
              <w:spacing w:after="0"/>
            </w:pPr>
            <w:r w:rsidRPr="005D4222">
              <w:t>Proportion.</w:t>
            </w:r>
          </w:p>
        </w:tc>
      </w:tr>
      <w:tr w:rsidR="00BB22EC" w:rsidRPr="005D4222" w14:paraId="3A958297" w14:textId="77777777" w:rsidTr="0066732B">
        <w:tc>
          <w:tcPr>
            <w:tcW w:w="2157" w:type="dxa"/>
            <w:tcBorders>
              <w:top w:val="nil"/>
              <w:left w:val="single" w:sz="4" w:space="0" w:color="auto"/>
              <w:bottom w:val="nil"/>
              <w:right w:val="single" w:sz="4" w:space="0" w:color="auto"/>
            </w:tcBorders>
            <w:tcMar>
              <w:top w:w="0" w:type="dxa"/>
              <w:left w:w="86" w:type="dxa"/>
              <w:bottom w:w="43" w:type="dxa"/>
              <w:right w:w="86" w:type="dxa"/>
            </w:tcMar>
          </w:tcPr>
          <w:p w14:paraId="74B37C36" w14:textId="77777777" w:rsidR="00BB22EC" w:rsidRPr="005D4222" w:rsidRDefault="00BB22EC" w:rsidP="0066732B">
            <w:pPr>
              <w:pStyle w:val="ECDSMarginSubhead"/>
              <w:spacing w:after="0"/>
            </w:pPr>
            <w:r w:rsidRPr="005D4222">
              <w:t>Type</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24B122EC" w14:textId="77777777" w:rsidR="00BB22EC" w:rsidRPr="005D4222" w:rsidRDefault="00BB22EC" w:rsidP="0066732B">
            <w:pPr>
              <w:pStyle w:val="ECDSBody"/>
              <w:spacing w:after="0"/>
            </w:pPr>
            <w:r w:rsidRPr="005D4222">
              <w:t>Process.</w:t>
            </w:r>
          </w:p>
        </w:tc>
      </w:tr>
      <w:tr w:rsidR="00BB22EC" w:rsidRPr="005D4222" w14:paraId="25C168CF" w14:textId="77777777" w:rsidTr="0066732B">
        <w:tc>
          <w:tcPr>
            <w:tcW w:w="2157" w:type="dxa"/>
            <w:tcBorders>
              <w:top w:val="nil"/>
              <w:left w:val="single" w:sz="4" w:space="0" w:color="auto"/>
              <w:bottom w:val="nil"/>
              <w:right w:val="single" w:sz="4" w:space="0" w:color="auto"/>
            </w:tcBorders>
            <w:tcMar>
              <w:top w:w="0" w:type="dxa"/>
              <w:left w:w="86" w:type="dxa"/>
              <w:bottom w:w="43" w:type="dxa"/>
              <w:right w:w="86" w:type="dxa"/>
            </w:tcMar>
          </w:tcPr>
          <w:p w14:paraId="14BF9FF1" w14:textId="3FB14297" w:rsidR="00BB22EC" w:rsidRPr="005D4222" w:rsidRDefault="00B51CDC" w:rsidP="00AC6CA0">
            <w:pPr>
              <w:pStyle w:val="ECDSMarginSubhead"/>
              <w:spacing w:after="0"/>
            </w:pPr>
            <w:r w:rsidRPr="005D4222">
              <w:t>Product lines</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1667A629" w14:textId="77777777" w:rsidR="00BB22EC" w:rsidRPr="005D4222" w:rsidRDefault="00BB22EC" w:rsidP="00AC6CA0">
            <w:pPr>
              <w:pStyle w:val="ProcessBullet"/>
              <w:tabs>
                <w:tab w:val="left" w:pos="216"/>
              </w:tabs>
            </w:pPr>
            <w:r w:rsidRPr="005D4222">
              <w:t>Commercial.</w:t>
            </w:r>
          </w:p>
          <w:p w14:paraId="215E42EC" w14:textId="77777777" w:rsidR="00BB22EC" w:rsidRPr="005D4222" w:rsidRDefault="00BB22EC" w:rsidP="00AC6CA0">
            <w:pPr>
              <w:pStyle w:val="ProcessBullet"/>
              <w:tabs>
                <w:tab w:val="left" w:pos="216"/>
              </w:tabs>
            </w:pPr>
            <w:r w:rsidRPr="005D4222">
              <w:t>Medicaid.</w:t>
            </w:r>
          </w:p>
          <w:p w14:paraId="383A0AE9" w14:textId="77777777" w:rsidR="00BB22EC" w:rsidRPr="005D4222" w:rsidRDefault="00BB22EC" w:rsidP="00AC6CA0">
            <w:pPr>
              <w:pStyle w:val="ProcessBullet"/>
              <w:tabs>
                <w:tab w:val="left" w:pos="216"/>
              </w:tabs>
            </w:pPr>
            <w:r w:rsidRPr="005D4222">
              <w:t>Medicare.</w:t>
            </w:r>
          </w:p>
        </w:tc>
      </w:tr>
      <w:tr w:rsidR="00BB22EC" w:rsidRPr="005D4222" w14:paraId="6CBCD325" w14:textId="77777777" w:rsidTr="00474F9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5976D24E" w14:textId="3E4EFB3A" w:rsidR="00BB22EC" w:rsidRPr="005D4222" w:rsidRDefault="00B51CDC">
            <w:pPr>
              <w:pStyle w:val="ECDSMarginSubhead"/>
            </w:pPr>
            <w:r w:rsidRPr="005D4222">
              <w:t>Stratifications</w:t>
            </w:r>
            <w:r w:rsidR="00BB22EC" w:rsidRPr="005D4222">
              <w:t xml:space="preserve"> </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3E6EF25F" w14:textId="77777777" w:rsidR="00BB22EC" w:rsidRPr="005D4222" w:rsidRDefault="00BB22EC">
            <w:pPr>
              <w:pStyle w:val="ECDSBody"/>
              <w:rPr>
                <w:rFonts w:eastAsia="Arial,Arial,Arial,Arial,Arial,A"/>
              </w:rPr>
            </w:pPr>
            <w:r w:rsidRPr="005D4222">
              <w:rPr>
                <w:rFonts w:eastAsia="Arial,Arial,Arial,Arial,Arial,A"/>
              </w:rPr>
              <w:t>Age as of the last day of the measurement period.</w:t>
            </w:r>
          </w:p>
          <w:p w14:paraId="41550E4A" w14:textId="77777777" w:rsidR="00BB22EC" w:rsidRPr="005D4222" w:rsidRDefault="00BB22EC" w:rsidP="00BB22EC">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20–44 years.</w:t>
            </w:r>
          </w:p>
          <w:p w14:paraId="7711F64F" w14:textId="77777777" w:rsidR="00BB22EC" w:rsidRPr="005D4222" w:rsidRDefault="00BB22EC" w:rsidP="00BB22EC">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45–64 years.</w:t>
            </w:r>
          </w:p>
          <w:p w14:paraId="07233534" w14:textId="77777777" w:rsidR="00BB22EC" w:rsidRPr="005D4222" w:rsidRDefault="00BB22EC" w:rsidP="00BB22EC">
            <w:pPr>
              <w:pStyle w:val="Bullet"/>
              <w:numPr>
                <w:ilvl w:val="0"/>
                <w:numId w:val="4"/>
              </w:numPr>
              <w:tabs>
                <w:tab w:val="left" w:pos="360"/>
                <w:tab w:val="left" w:pos="576"/>
              </w:tabs>
              <w:ind w:left="576" w:hanging="216"/>
              <w:rPr>
                <w:rFonts w:cs="Arial"/>
              </w:rPr>
            </w:pPr>
            <w:r w:rsidRPr="005D4222">
              <w:rPr>
                <w:rFonts w:eastAsia="Arial,Arial,Arial,Arial,Arial,A"/>
              </w:rPr>
              <w:t xml:space="preserve">65 years and older. </w:t>
            </w:r>
          </w:p>
        </w:tc>
      </w:tr>
      <w:tr w:rsidR="00BB22EC" w:rsidRPr="005D4222" w14:paraId="7490DDB4" w14:textId="77777777" w:rsidTr="00474F9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22FD28AE" w14:textId="77777777" w:rsidR="00BB22EC" w:rsidRPr="005D4222" w:rsidRDefault="00BB22EC" w:rsidP="00AC6CA0">
            <w:pPr>
              <w:pStyle w:val="ECDSMarginSubhead"/>
              <w:spacing w:after="0"/>
            </w:pPr>
            <w:r w:rsidRPr="005D4222">
              <w:t>Risk adjustment</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650E66F6" w14:textId="77777777" w:rsidR="00BB22EC" w:rsidRPr="005D4222" w:rsidRDefault="00BB22EC" w:rsidP="00AC6CA0">
            <w:pPr>
              <w:pStyle w:val="ECDSBody"/>
              <w:spacing w:after="0"/>
            </w:pPr>
            <w:r w:rsidRPr="005D4222">
              <w:t>None.</w:t>
            </w:r>
          </w:p>
        </w:tc>
      </w:tr>
      <w:tr w:rsidR="00BB22EC" w:rsidRPr="005D4222" w14:paraId="743ECFE2" w14:textId="77777777" w:rsidTr="00474F97">
        <w:trPr>
          <w:trHeight w:val="300"/>
        </w:trPr>
        <w:tc>
          <w:tcPr>
            <w:tcW w:w="2157" w:type="dxa"/>
            <w:tcBorders>
              <w:top w:val="nil"/>
              <w:left w:val="single" w:sz="4" w:space="0" w:color="auto"/>
              <w:bottom w:val="nil"/>
              <w:right w:val="single" w:sz="4" w:space="0" w:color="auto"/>
            </w:tcBorders>
            <w:tcMar>
              <w:top w:w="0" w:type="dxa"/>
              <w:left w:w="86" w:type="dxa"/>
              <w:bottom w:w="43" w:type="dxa"/>
              <w:right w:w="86" w:type="dxa"/>
            </w:tcMar>
          </w:tcPr>
          <w:p w14:paraId="749649A2" w14:textId="77777777" w:rsidR="00BB22EC" w:rsidRPr="005D4222" w:rsidRDefault="00BB22EC" w:rsidP="00AC6CA0">
            <w:pPr>
              <w:pStyle w:val="ECDSMarginSubhead"/>
              <w:spacing w:after="0"/>
            </w:pPr>
            <w:r w:rsidRPr="005D4222">
              <w:t>Improvement notation</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4493C6CF" w14:textId="77777777" w:rsidR="00BB22EC" w:rsidRPr="005D4222" w:rsidRDefault="00BB22EC" w:rsidP="00AC6CA0">
            <w:pPr>
              <w:pStyle w:val="Body"/>
              <w:rPr>
                <w:rFonts w:cs="Arial"/>
                <w:iCs/>
                <w:szCs w:val="21"/>
              </w:rPr>
            </w:pPr>
            <w:r w:rsidRPr="005D4222">
              <w:rPr>
                <w:rFonts w:cs="Arial"/>
                <w:iCs/>
                <w:szCs w:val="21"/>
              </w:rPr>
              <w:t>Increased score indicates improvement. </w:t>
            </w:r>
          </w:p>
        </w:tc>
      </w:tr>
      <w:tr w:rsidR="00BB22EC" w:rsidRPr="005D4222" w14:paraId="400D0DB5" w14:textId="77777777" w:rsidTr="00474F97">
        <w:trPr>
          <w:trHeight w:val="633"/>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28BA0564" w14:textId="77777777" w:rsidR="00BB22EC" w:rsidRPr="005D4222" w:rsidRDefault="00BB22EC">
            <w:pPr>
              <w:pStyle w:val="ECDSMarginSubhead"/>
            </w:pPr>
            <w:r w:rsidRPr="005D4222">
              <w:t>Guidance</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036DA393" w14:textId="1FE26665" w:rsidR="00BB22EC" w:rsidRPr="005D4222" w:rsidRDefault="00BB22EC">
            <w:pPr>
              <w:pStyle w:val="ECDSBody"/>
            </w:pPr>
            <w:r w:rsidRPr="005D4222">
              <w:rPr>
                <w:rStyle w:val="normaltextrun"/>
                <w:b/>
                <w:color w:val="000000"/>
                <w:szCs w:val="21"/>
                <w:shd w:val="clear" w:color="auto" w:fill="FFFFFF"/>
              </w:rPr>
              <w:t>Data collection methodology:</w:t>
            </w:r>
            <w:r w:rsidRPr="005D4222">
              <w:rPr>
                <w:rStyle w:val="normaltextrun"/>
                <w:color w:val="000000"/>
                <w:szCs w:val="21"/>
                <w:shd w:val="clear" w:color="auto" w:fill="FFFFFF"/>
              </w:rPr>
              <w:t xml:space="preserve"> Administrative. Refer to </w:t>
            </w:r>
            <w:hyperlink w:anchor="General_Guideline_Data_Collection_Method" w:history="1">
              <w:r w:rsidRPr="005D4222">
                <w:rPr>
                  <w:rStyle w:val="Hyperlink"/>
                  <w:i/>
                  <w:szCs w:val="21"/>
                  <w:shd w:val="clear" w:color="auto" w:fill="FFFFFF"/>
                </w:rPr>
                <w:t>General Guideline: Data Collection Methods</w:t>
              </w:r>
            </w:hyperlink>
            <w:r w:rsidRPr="005D4222">
              <w:rPr>
                <w:rStyle w:val="normaltextrun"/>
                <w:color w:val="000000"/>
                <w:szCs w:val="21"/>
                <w:shd w:val="clear" w:color="auto" w:fill="FFFFFF"/>
              </w:rPr>
              <w:t xml:space="preserve"> for additional information.</w:t>
            </w:r>
            <w:r w:rsidRPr="005D4222">
              <w:rPr>
                <w:rStyle w:val="eop"/>
                <w:rFonts w:eastAsiaTheme="majorEastAsia"/>
                <w:color w:val="000000"/>
                <w:shd w:val="clear" w:color="auto" w:fill="FFFFFF"/>
              </w:rPr>
              <w:t> </w:t>
            </w:r>
          </w:p>
          <w:p w14:paraId="2028F481" w14:textId="77777777" w:rsidR="00BB22EC" w:rsidRPr="005D4222" w:rsidRDefault="00BB22EC">
            <w:pPr>
              <w:pStyle w:val="ECDSBody"/>
            </w:pPr>
            <w:r w:rsidRPr="005D4222">
              <w:rPr>
                <w:b/>
              </w:rPr>
              <w:t xml:space="preserve">Date specificity: </w:t>
            </w:r>
            <w:r w:rsidRPr="005D4222">
              <w:t>Dates must be specific enough to determine the event occurred in the period being measured.</w:t>
            </w:r>
          </w:p>
          <w:p w14:paraId="5E38B1E2" w14:textId="77777777" w:rsidR="00BB22EC" w:rsidRPr="005D4222" w:rsidRDefault="00BB22EC">
            <w:pPr>
              <w:pStyle w:val="ECDSBody"/>
            </w:pPr>
            <w:r w:rsidRPr="005D4222">
              <w:rPr>
                <w:b/>
              </w:rPr>
              <w:t xml:space="preserve">Which services count? </w:t>
            </w:r>
            <w:r w:rsidRPr="005D4222">
              <w:t xml:space="preserve">When using claims, include all paid, suspended, pending and denied claims. </w:t>
            </w:r>
          </w:p>
        </w:tc>
      </w:tr>
      <w:tr w:rsidR="00BB22EC" w:rsidRPr="005D4222" w14:paraId="4F40C74D" w14:textId="77777777" w:rsidTr="00474F97">
        <w:trPr>
          <w:trHeight w:val="320"/>
        </w:trPr>
        <w:tc>
          <w:tcPr>
            <w:tcW w:w="2157" w:type="dxa"/>
            <w:tcBorders>
              <w:top w:val="single" w:sz="4" w:space="0" w:color="auto"/>
            </w:tcBorders>
            <w:shd w:val="clear" w:color="auto" w:fill="BFBFBF" w:themeFill="background1" w:themeFillShade="BF"/>
            <w:tcMar>
              <w:top w:w="0" w:type="dxa"/>
              <w:left w:w="86" w:type="dxa"/>
              <w:bottom w:w="43" w:type="dxa"/>
              <w:right w:w="86" w:type="dxa"/>
            </w:tcMar>
          </w:tcPr>
          <w:p w14:paraId="4FD3B417" w14:textId="77777777" w:rsidR="00BB22EC" w:rsidRPr="005D4222" w:rsidRDefault="00BB22EC">
            <w:pPr>
              <w:pStyle w:val="ECDSMarginHead"/>
            </w:pPr>
            <w:r w:rsidRPr="005D4222">
              <w:t>Initial population</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7B0C04F" w14:textId="77777777" w:rsidR="00BB22EC" w:rsidRPr="005D4222" w:rsidRDefault="00BB22EC">
            <w:pPr>
              <w:pStyle w:val="ECDSBody"/>
            </w:pPr>
            <w:r w:rsidRPr="005D4222">
              <w:rPr>
                <w:i/>
                <w:iCs/>
              </w:rPr>
              <w:t>Measure item count:</w:t>
            </w:r>
            <w:r w:rsidRPr="005D4222">
              <w:t xml:space="preserve"> Person.</w:t>
            </w:r>
          </w:p>
          <w:p w14:paraId="22CE4408" w14:textId="77777777" w:rsidR="00BB22EC" w:rsidRPr="005D4222" w:rsidRDefault="00BB22EC">
            <w:pPr>
              <w:pStyle w:val="ECDSBody"/>
            </w:pPr>
            <w:r w:rsidRPr="005D4222">
              <w:rPr>
                <w:i/>
                <w:iCs/>
              </w:rPr>
              <w:t xml:space="preserve">Attribution basis: </w:t>
            </w:r>
            <w:r w:rsidRPr="005D4222">
              <w:t>Enrollment.</w:t>
            </w:r>
          </w:p>
          <w:p w14:paraId="5E14BC9F" w14:textId="77777777" w:rsidR="00BB22EC" w:rsidRPr="005D4222" w:rsidRDefault="00BB22EC" w:rsidP="00BB22EC">
            <w:pPr>
              <w:pStyle w:val="Bullet"/>
              <w:numPr>
                <w:ilvl w:val="0"/>
                <w:numId w:val="4"/>
              </w:numPr>
              <w:tabs>
                <w:tab w:val="left" w:pos="360"/>
                <w:tab w:val="left" w:pos="576"/>
              </w:tabs>
              <w:ind w:left="576" w:hanging="216"/>
            </w:pPr>
            <w:r w:rsidRPr="005D4222">
              <w:rPr>
                <w:i/>
                <w:iCs/>
              </w:rPr>
              <w:t>Benefits:</w:t>
            </w:r>
            <w:r w:rsidRPr="005D4222">
              <w:t xml:space="preserve"> Medical.</w:t>
            </w:r>
          </w:p>
          <w:p w14:paraId="5C95182C" w14:textId="77777777" w:rsidR="00BB22EC" w:rsidRPr="005D4222" w:rsidRDefault="00BB22EC" w:rsidP="00BB22EC">
            <w:pPr>
              <w:pStyle w:val="Bullet"/>
              <w:numPr>
                <w:ilvl w:val="0"/>
                <w:numId w:val="4"/>
              </w:numPr>
              <w:tabs>
                <w:tab w:val="left" w:pos="360"/>
                <w:tab w:val="left" w:pos="576"/>
              </w:tabs>
              <w:ind w:left="576" w:hanging="216"/>
              <w:rPr>
                <w:i/>
                <w:iCs/>
              </w:rPr>
            </w:pPr>
            <w:r w:rsidRPr="005D4222">
              <w:rPr>
                <w:i/>
                <w:iCs/>
              </w:rPr>
              <w:t xml:space="preserve">Continuous enrollment: </w:t>
            </w:r>
          </w:p>
          <w:p w14:paraId="5ECD25DA" w14:textId="77777777" w:rsidR="00BB22EC" w:rsidRPr="005D4222" w:rsidRDefault="00BB22EC" w:rsidP="00BB22EC">
            <w:pPr>
              <w:pStyle w:val="Dash"/>
              <w:tabs>
                <w:tab w:val="left" w:pos="576"/>
                <w:tab w:val="left" w:pos="792"/>
              </w:tabs>
            </w:pPr>
            <w:r w:rsidRPr="005D4222">
              <w:rPr>
                <w:i/>
              </w:rPr>
              <w:t xml:space="preserve">Medicaid and Medicare: </w:t>
            </w:r>
            <w:r w:rsidRPr="005D4222">
              <w:t>The measurement period.</w:t>
            </w:r>
          </w:p>
          <w:p w14:paraId="7F31FC2D" w14:textId="77777777" w:rsidR="00BB22EC" w:rsidRPr="005D4222" w:rsidRDefault="00BB22EC" w:rsidP="00BB22EC">
            <w:pPr>
              <w:pStyle w:val="Dash"/>
              <w:tabs>
                <w:tab w:val="left" w:pos="576"/>
                <w:tab w:val="left" w:pos="792"/>
              </w:tabs>
            </w:pPr>
            <w:r w:rsidRPr="005D4222">
              <w:rPr>
                <w:i/>
              </w:rPr>
              <w:t xml:space="preserve">Commercial: </w:t>
            </w:r>
            <w:r w:rsidRPr="005D4222">
              <w:t xml:space="preserve">The measurement period and 730 days prior to the measurement period. </w:t>
            </w:r>
          </w:p>
          <w:p w14:paraId="3BA43E56" w14:textId="77777777" w:rsidR="00BB22EC" w:rsidRPr="005D4222" w:rsidRDefault="00BB22EC" w:rsidP="00BB22EC">
            <w:pPr>
              <w:pStyle w:val="Bullet"/>
              <w:numPr>
                <w:ilvl w:val="0"/>
                <w:numId w:val="4"/>
              </w:numPr>
              <w:tabs>
                <w:tab w:val="left" w:pos="360"/>
                <w:tab w:val="left" w:pos="576"/>
              </w:tabs>
              <w:ind w:left="576" w:hanging="216"/>
            </w:pPr>
            <w:r w:rsidRPr="005D4222">
              <w:rPr>
                <w:i/>
                <w:iCs/>
              </w:rPr>
              <w:t>Allowable gap:</w:t>
            </w:r>
            <w:r w:rsidRPr="005D4222">
              <w:t xml:space="preserve"> No more than one gap of ≤45 days during each year of the continuous enrollment period. No gaps on the last day of the measurement period.</w:t>
            </w:r>
          </w:p>
          <w:p w14:paraId="26F849FA" w14:textId="77777777" w:rsidR="00BB22EC" w:rsidRPr="005D4222" w:rsidRDefault="00BB22EC">
            <w:pPr>
              <w:pStyle w:val="ECDSBody"/>
            </w:pPr>
            <w:r w:rsidRPr="005D4222">
              <w:rPr>
                <w:i/>
                <w:iCs/>
              </w:rPr>
              <w:t xml:space="preserve">Ages: </w:t>
            </w:r>
            <w:r w:rsidRPr="005D4222">
              <w:t>20 years of age and older as of the last day of the measurement period.</w:t>
            </w:r>
          </w:p>
          <w:p w14:paraId="1E3AC268" w14:textId="77777777" w:rsidR="00BB22EC" w:rsidRPr="005D4222" w:rsidRDefault="00BB22EC">
            <w:pPr>
              <w:pStyle w:val="ECDSBody"/>
            </w:pPr>
            <w:r w:rsidRPr="005D4222">
              <w:rPr>
                <w:i/>
                <w:iCs/>
              </w:rPr>
              <w:t>Event:</w:t>
            </w:r>
            <w:r w:rsidRPr="005D4222">
              <w:t xml:space="preserve"> None.</w:t>
            </w:r>
          </w:p>
        </w:tc>
      </w:tr>
      <w:tr w:rsidR="00BB22EC" w:rsidRPr="005D4222" w14:paraId="01F0CA83" w14:textId="77777777" w:rsidTr="00474F97">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32AC5AB" w14:textId="77777777" w:rsidR="00BB22EC" w:rsidRPr="005D4222" w:rsidRDefault="00BB22EC">
            <w:pPr>
              <w:pStyle w:val="ECDSMarginHead"/>
            </w:pPr>
            <w:r w:rsidRPr="005D4222">
              <w:t xml:space="preserve">Denominator exclusions </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347B86D8" w14:textId="772A3774" w:rsidR="00BB22EC" w:rsidRPr="005D4222" w:rsidRDefault="00BB22EC" w:rsidP="000C7B7B">
            <w:pPr>
              <w:pStyle w:val="ECDSBody"/>
              <w:rPr>
                <w:rFonts w:eastAsia="Arial,Arial,Arial,Arial,Arial,A"/>
              </w:rPr>
            </w:pPr>
            <w:r w:rsidRPr="005D4222">
              <w:rPr>
                <w:b/>
              </w:rPr>
              <w:t>Persons with a date of death. </w:t>
            </w:r>
            <w:r w:rsidRPr="005D4222">
              <w:rPr>
                <w:b/>
              </w:rPr>
              <w:br/>
            </w:r>
            <w:r w:rsidRPr="005D4222">
              <w:t>Death in the measurement period, identified using data sources determined by the organization. Method and data sources are subject to review during the HEDIS audit.</w:t>
            </w:r>
          </w:p>
        </w:tc>
      </w:tr>
    </w:tbl>
    <w:p w14:paraId="10F43E8B" w14:textId="77777777" w:rsidR="000C7B7B" w:rsidRDefault="000C7B7B">
      <w:r>
        <w:br w:type="page"/>
      </w:r>
    </w:p>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0C7B7B" w:rsidRPr="005D4222" w14:paraId="0D74D559" w14:textId="77777777" w:rsidTr="000C7B7B">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7790D07" w14:textId="77777777" w:rsidR="000C7B7B" w:rsidRPr="005D4222" w:rsidRDefault="000C7B7B">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69F5957D" w14:textId="3D97864A" w:rsidR="000C7B7B" w:rsidRPr="005D4222" w:rsidRDefault="000C7B7B">
            <w:pPr>
              <w:pStyle w:val="ECDSBody"/>
              <w:rPr>
                <w:b/>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BB22EC" w:rsidRPr="005D4222" w14:paraId="53544EEB" w14:textId="77777777" w:rsidTr="000C7B7B">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D95C65B" w14:textId="77777777" w:rsidR="00BB22EC" w:rsidRPr="005D4222" w:rsidRDefault="00BB22EC">
            <w:pPr>
              <w:pStyle w:val="ECDSMarginHead"/>
            </w:pPr>
            <w:r w:rsidRPr="005D4222">
              <w:t>Denominator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5E73E78" w14:textId="77777777" w:rsidR="00BB22EC" w:rsidRPr="005D4222" w:rsidRDefault="00BB22EC">
            <w:pPr>
              <w:pStyle w:val="ECDSBody"/>
              <w:rPr>
                <w:rFonts w:eastAsia="Arial,Arial,Arial,Arial,Arial,A"/>
                <w:b/>
                <w14:ligatures w14:val="standardContextual"/>
              </w:rPr>
            </w:pPr>
            <w:r w:rsidRPr="005D4222">
              <w:rPr>
                <w:rFonts w:eastAsia="Arial,Arial,Arial,Arial,Arial,A"/>
              </w:rPr>
              <w:t xml:space="preserve">The initial population minus denominator exclusions. </w:t>
            </w:r>
          </w:p>
        </w:tc>
      </w:tr>
      <w:tr w:rsidR="00BB22EC" w:rsidRPr="005D4222" w14:paraId="42A5708E" w14:textId="77777777" w:rsidTr="000C7B7B">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4647897" w14:textId="77777777" w:rsidR="00BB22EC" w:rsidRPr="005D4222" w:rsidRDefault="00BB22EC">
            <w:pPr>
              <w:pStyle w:val="ECDSMarginHead"/>
            </w:pPr>
            <w:r w:rsidRPr="005D4222">
              <w:t>Numerator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7D733648" w14:textId="77777777" w:rsidR="00BB22EC" w:rsidRPr="005D4222" w:rsidRDefault="00BB22EC">
            <w:pPr>
              <w:pStyle w:val="ECDSBody"/>
              <w:rPr>
                <w:b/>
                <w:bCs w:val="0"/>
              </w:rPr>
            </w:pPr>
            <w:r w:rsidRPr="005D4222">
              <w:rPr>
                <w:b/>
                <w:i/>
                <w:iCs/>
              </w:rPr>
              <w:t>Medicaid and Medicare:</w:t>
            </w:r>
            <w:r w:rsidRPr="005D4222">
              <w:rPr>
                <w:b/>
              </w:rPr>
              <w:t xml:space="preserve"> One or more ambulatory or preventive visits during the measurement period.</w:t>
            </w:r>
          </w:p>
          <w:p w14:paraId="47F66AE8" w14:textId="77777777" w:rsidR="00BB22EC" w:rsidRPr="005D4222" w:rsidRDefault="00BB22EC" w:rsidP="00E00F21">
            <w:pPr>
              <w:pStyle w:val="ECDSBody"/>
              <w:rPr>
                <w:b/>
              </w:rPr>
            </w:pPr>
            <w:r w:rsidRPr="005D4222">
              <w:rPr>
                <w:b/>
                <w:i/>
                <w:iCs/>
              </w:rPr>
              <w:t>Commercial:</w:t>
            </w:r>
            <w:r w:rsidRPr="005D4222">
              <w:rPr>
                <w:b/>
              </w:rPr>
              <w:t xml:space="preserve"> One or more ambulatory or preventive visits during the measurement period or the 2 years prior to the measurement period.</w:t>
            </w:r>
          </w:p>
          <w:p w14:paraId="53701EC5" w14:textId="77777777" w:rsidR="00BB22EC" w:rsidRPr="005D4222" w:rsidRDefault="00BB22EC" w:rsidP="00E00F21">
            <w:pPr>
              <w:pStyle w:val="ECDSBody"/>
            </w:pPr>
            <w:r w:rsidRPr="005D4222">
              <w:t>Identify ambulatory or preventive care visits (</w:t>
            </w:r>
            <w:r w:rsidRPr="005D4222">
              <w:rPr>
                <w:u w:val="single"/>
              </w:rPr>
              <w:t>Ambulatory Visits Value Set</w:t>
            </w:r>
            <w:r w:rsidRPr="005D4222">
              <w:t xml:space="preserve">, </w:t>
            </w:r>
            <w:r w:rsidRPr="005D4222">
              <w:rPr>
                <w:u w:val="single"/>
              </w:rPr>
              <w:t>Reason for Ambulatory Visit Value Set</w:t>
            </w:r>
            <w:r w:rsidRPr="005D4222">
              <w:t xml:space="preserve">*). </w:t>
            </w:r>
          </w:p>
          <w:p w14:paraId="0F595944" w14:textId="77777777" w:rsidR="00BB22EC" w:rsidRPr="005D4222" w:rsidRDefault="00BB22EC">
            <w:pPr>
              <w:pStyle w:val="ECDSBody"/>
              <w:spacing w:after="0"/>
              <w:rPr>
                <w:b/>
                <w:bCs w:val="0"/>
              </w:rPr>
            </w:pPr>
            <w:r w:rsidRPr="005D4222">
              <w:rPr>
                <w:b/>
              </w:rPr>
              <w:t>Coding Guidance</w:t>
            </w:r>
          </w:p>
          <w:p w14:paraId="71C2362E" w14:textId="77777777" w:rsidR="00BB22EC" w:rsidRPr="005D4222" w:rsidRDefault="00BB22EC">
            <w:pPr>
              <w:pStyle w:val="ECDSBody"/>
              <w:spacing w:before="0"/>
            </w:pPr>
            <w:r w:rsidRPr="005D4222">
              <w:t>*Do not include laboratory claims (claims with POS code 81).</w:t>
            </w:r>
          </w:p>
        </w:tc>
      </w:tr>
      <w:tr w:rsidR="00BB22EC" w:rsidRPr="005D4222" w14:paraId="0511AC47" w14:textId="77777777" w:rsidTr="000C7B7B">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FDBDC83" w14:textId="77777777" w:rsidR="00BB22EC" w:rsidRPr="005D4222" w:rsidRDefault="00BB22EC">
            <w:pPr>
              <w:pStyle w:val="ECDSMarginHead"/>
            </w:pPr>
            <w:r w:rsidRPr="005D4222">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0A78122" w14:textId="77777777" w:rsidR="00BB22EC" w:rsidRPr="005D4222" w:rsidRDefault="00BB22EC" w:rsidP="00BB22EC">
            <w:pPr>
              <w:pStyle w:val="ProcessBullet"/>
              <w:tabs>
                <w:tab w:val="left" w:pos="216"/>
              </w:tabs>
              <w:spacing w:before="120"/>
            </w:pPr>
            <w:r w:rsidRPr="005D4222">
              <w:t>No changes to this measure.</w:t>
            </w:r>
          </w:p>
        </w:tc>
      </w:tr>
      <w:tr w:rsidR="00BB22EC" w:rsidRPr="005D4222" w14:paraId="4768AE8A" w14:textId="77777777" w:rsidTr="000C7B7B">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20AD8BE" w14:textId="77777777" w:rsidR="00BB22EC" w:rsidRPr="005D4222" w:rsidRDefault="00BB22EC">
            <w:pPr>
              <w:pStyle w:val="ECDS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529A64C" w14:textId="77777777" w:rsidR="00BB22EC" w:rsidRPr="005D4222" w:rsidRDefault="00BB22EC">
            <w:pPr>
              <w:pStyle w:val="ECDSBody"/>
            </w:pPr>
            <w:r w:rsidRPr="005D4222">
              <w:t>Organizations that submit HEDIS data to NCQA must provide the following data elements.</w:t>
            </w:r>
          </w:p>
          <w:p w14:paraId="69DD9111" w14:textId="77777777" w:rsidR="00BB22EC" w:rsidRPr="005D4222" w:rsidRDefault="00BB22EC">
            <w:pPr>
              <w:pStyle w:val="Heading3"/>
              <w:spacing w:before="120"/>
            </w:pPr>
            <w:r w:rsidRPr="005D4222">
              <w:t>Table AAP-1/2/3: Data Elements for Adults’ Access to Preventive/Ambulatory Health Services</w:t>
            </w:r>
          </w:p>
          <w:tbl>
            <w:tblPr>
              <w:tblW w:w="733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516"/>
              <w:gridCol w:w="810"/>
              <w:gridCol w:w="1890"/>
              <w:gridCol w:w="2120"/>
            </w:tblGrid>
            <w:tr w:rsidR="00BB22EC" w:rsidRPr="005D4222" w14:paraId="42FE1C74" w14:textId="77777777">
              <w:trPr>
                <w:trHeight w:val="188"/>
              </w:trPr>
              <w:tc>
                <w:tcPr>
                  <w:tcW w:w="2516"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hideMark/>
                </w:tcPr>
                <w:p w14:paraId="741322BF" w14:textId="77777777" w:rsidR="00BB22EC" w:rsidRPr="005D4222" w:rsidRDefault="00BB22EC">
                  <w:pPr>
                    <w:pStyle w:val="TableHead"/>
                  </w:pPr>
                  <w:r w:rsidRPr="005D4222">
                    <w:t>Metric</w:t>
                  </w:r>
                </w:p>
              </w:tc>
              <w:tc>
                <w:tcPr>
                  <w:tcW w:w="81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hideMark/>
                </w:tcPr>
                <w:p w14:paraId="1D28F6F8" w14:textId="77777777" w:rsidR="00BB22EC" w:rsidRPr="005D4222" w:rsidRDefault="00BB22EC">
                  <w:pPr>
                    <w:pStyle w:val="TableHead"/>
                  </w:pPr>
                  <w:r w:rsidRPr="005D4222">
                    <w:t>Age</w:t>
                  </w:r>
                </w:p>
              </w:tc>
              <w:tc>
                <w:tcPr>
                  <w:tcW w:w="189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hideMark/>
                </w:tcPr>
                <w:p w14:paraId="47974C0E" w14:textId="77777777" w:rsidR="00BB22EC" w:rsidRPr="005D4222" w:rsidRDefault="00BB22EC">
                  <w:pPr>
                    <w:pStyle w:val="TableHead"/>
                  </w:pPr>
                  <w:r w:rsidRPr="005D4222">
                    <w:t>Data Element</w:t>
                  </w:r>
                </w:p>
              </w:tc>
              <w:tc>
                <w:tcPr>
                  <w:tcW w:w="2120"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hideMark/>
                </w:tcPr>
                <w:p w14:paraId="124D8543" w14:textId="77777777" w:rsidR="00BB22EC" w:rsidRPr="005D4222" w:rsidRDefault="00BB22EC">
                  <w:pPr>
                    <w:pStyle w:val="TableHead"/>
                  </w:pPr>
                  <w:r w:rsidRPr="005D4222">
                    <w:t>Reporting Instructions</w:t>
                  </w:r>
                </w:p>
              </w:tc>
            </w:tr>
            <w:tr w:rsidR="00BB22EC" w:rsidRPr="005D4222" w14:paraId="1132B98B" w14:textId="77777777">
              <w:trPr>
                <w:trHeight w:val="247"/>
              </w:trPr>
              <w:tc>
                <w:tcPr>
                  <w:tcW w:w="2516" w:type="dxa"/>
                  <w:tcBorders>
                    <w:top w:val="single" w:sz="4" w:space="0" w:color="000000" w:themeColor="text1"/>
                    <w:left w:val="single" w:sz="4" w:space="0" w:color="auto"/>
                    <w:bottom w:val="single" w:sz="4" w:space="0" w:color="auto"/>
                    <w:right w:val="single" w:sz="4" w:space="0" w:color="auto"/>
                  </w:tcBorders>
                  <w:hideMark/>
                </w:tcPr>
                <w:p w14:paraId="29966210" w14:textId="77777777" w:rsidR="00BB22EC" w:rsidRPr="005D4222" w:rsidRDefault="00BB22EC">
                  <w:pPr>
                    <w:pStyle w:val="TableText"/>
                  </w:pPr>
                  <w:r w:rsidRPr="005D4222">
                    <w:t>AdultAccessAmbulatoryCare</w:t>
                  </w:r>
                </w:p>
              </w:tc>
              <w:tc>
                <w:tcPr>
                  <w:tcW w:w="810" w:type="dxa"/>
                  <w:tcBorders>
                    <w:top w:val="single" w:sz="4" w:space="0" w:color="000000" w:themeColor="text1"/>
                    <w:left w:val="single" w:sz="4" w:space="0" w:color="auto"/>
                    <w:bottom w:val="single" w:sz="4" w:space="0" w:color="auto"/>
                    <w:right w:val="single" w:sz="4" w:space="0" w:color="auto"/>
                  </w:tcBorders>
                  <w:hideMark/>
                </w:tcPr>
                <w:p w14:paraId="093CC413" w14:textId="77777777" w:rsidR="00BB22EC" w:rsidRPr="005D4222" w:rsidRDefault="00BB22EC">
                  <w:pPr>
                    <w:pStyle w:val="TableText"/>
                  </w:pPr>
                  <w:r w:rsidRPr="005D4222">
                    <w:t>20-44</w:t>
                  </w:r>
                </w:p>
              </w:tc>
              <w:tc>
                <w:tcPr>
                  <w:tcW w:w="1890" w:type="dxa"/>
                  <w:tcBorders>
                    <w:top w:val="single" w:sz="4" w:space="0" w:color="000000" w:themeColor="text1"/>
                    <w:left w:val="single" w:sz="4" w:space="0" w:color="auto"/>
                    <w:bottom w:val="single" w:sz="4" w:space="0" w:color="auto"/>
                    <w:right w:val="single" w:sz="4" w:space="0" w:color="auto"/>
                  </w:tcBorders>
                  <w:hideMark/>
                </w:tcPr>
                <w:p w14:paraId="7B3AD295" w14:textId="77777777" w:rsidR="00BB22EC" w:rsidRPr="005D4222" w:rsidRDefault="00BB22EC">
                  <w:pPr>
                    <w:pStyle w:val="TableText"/>
                  </w:pPr>
                  <w:r w:rsidRPr="005D4222">
                    <w:t xml:space="preserve">InitialPopulation </w:t>
                  </w:r>
                </w:p>
              </w:tc>
              <w:tc>
                <w:tcPr>
                  <w:tcW w:w="2120" w:type="dxa"/>
                  <w:tcBorders>
                    <w:top w:val="single" w:sz="4" w:space="0" w:color="000000" w:themeColor="text1"/>
                    <w:left w:val="single" w:sz="4" w:space="0" w:color="auto"/>
                    <w:bottom w:val="single" w:sz="6" w:space="0" w:color="auto"/>
                    <w:right w:val="single" w:sz="4" w:space="0" w:color="auto"/>
                  </w:tcBorders>
                  <w:hideMark/>
                </w:tcPr>
                <w:p w14:paraId="1AAD9B7D" w14:textId="77777777" w:rsidR="00BB22EC" w:rsidRPr="005D4222" w:rsidRDefault="00BB22EC">
                  <w:pPr>
                    <w:pStyle w:val="TableText"/>
                    <w:rPr>
                      <w:rFonts w:eastAsia="Wingdings"/>
                    </w:rPr>
                  </w:pPr>
                  <w:r w:rsidRPr="005D4222">
                    <w:rPr>
                      <w:rFonts w:eastAsia="Wingdings"/>
                    </w:rPr>
                    <w:t>For each Stratification</w:t>
                  </w:r>
                </w:p>
              </w:tc>
            </w:tr>
            <w:tr w:rsidR="00BB22EC" w:rsidRPr="005D4222" w14:paraId="58ED0B53" w14:textId="77777777">
              <w:trPr>
                <w:trHeight w:val="247"/>
              </w:trPr>
              <w:tc>
                <w:tcPr>
                  <w:tcW w:w="2516" w:type="dxa"/>
                  <w:tcBorders>
                    <w:top w:val="single" w:sz="4" w:space="0" w:color="auto"/>
                    <w:left w:val="nil"/>
                    <w:bottom w:val="nil"/>
                    <w:right w:val="single" w:sz="4" w:space="0" w:color="auto"/>
                  </w:tcBorders>
                  <w:shd w:val="clear" w:color="auto" w:fill="FFFFFF" w:themeFill="background1"/>
                </w:tcPr>
                <w:p w14:paraId="6204C6A3" w14:textId="77777777" w:rsidR="00BB22EC" w:rsidRPr="005D4222" w:rsidRDefault="00BB22EC">
                  <w:pPr>
                    <w:pStyle w:val="TableText"/>
                  </w:pPr>
                </w:p>
              </w:tc>
              <w:tc>
                <w:tcPr>
                  <w:tcW w:w="81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C453D72" w14:textId="77777777" w:rsidR="00BB22EC" w:rsidRPr="005D4222" w:rsidRDefault="00BB22EC">
                  <w:pPr>
                    <w:pStyle w:val="TableText"/>
                  </w:pPr>
                  <w:r w:rsidRPr="005D4222">
                    <w:t>45-64</w:t>
                  </w:r>
                </w:p>
              </w:tc>
              <w:tc>
                <w:tcPr>
                  <w:tcW w:w="18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7531D46" w14:textId="77777777" w:rsidR="00BB22EC" w:rsidRPr="005D4222" w:rsidRDefault="00BB22EC">
                  <w:pPr>
                    <w:pStyle w:val="TableText"/>
                  </w:pPr>
                  <w:r w:rsidRPr="005D4222">
                    <w:t>Exclusions</w:t>
                  </w:r>
                </w:p>
              </w:tc>
              <w:tc>
                <w:tcPr>
                  <w:tcW w:w="2120"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0A96DEC6" w14:textId="77777777" w:rsidR="00BB22EC" w:rsidRPr="005D4222" w:rsidRDefault="00BB22EC">
                  <w:pPr>
                    <w:pStyle w:val="TableText"/>
                    <w:rPr>
                      <w:rFonts w:eastAsia="Wingdings"/>
                    </w:rPr>
                  </w:pPr>
                  <w:r w:rsidRPr="005D4222">
                    <w:rPr>
                      <w:rFonts w:eastAsia="Wingdings"/>
                    </w:rPr>
                    <w:t>For each Stratification</w:t>
                  </w:r>
                </w:p>
              </w:tc>
            </w:tr>
            <w:tr w:rsidR="00BB22EC" w:rsidRPr="005D4222" w14:paraId="2D00FBE5" w14:textId="77777777">
              <w:trPr>
                <w:trHeight w:val="247"/>
              </w:trPr>
              <w:tc>
                <w:tcPr>
                  <w:tcW w:w="2516" w:type="dxa"/>
                  <w:tcBorders>
                    <w:top w:val="nil"/>
                    <w:left w:val="nil"/>
                    <w:bottom w:val="nil"/>
                    <w:right w:val="nil"/>
                  </w:tcBorders>
                  <w:shd w:val="clear" w:color="auto" w:fill="FFFFFF" w:themeFill="background1"/>
                </w:tcPr>
                <w:p w14:paraId="18D84E3D" w14:textId="77777777" w:rsidR="00BB22EC" w:rsidRPr="005D4222" w:rsidRDefault="00BB22EC">
                  <w:pPr>
                    <w:pStyle w:val="TableText"/>
                  </w:pPr>
                </w:p>
              </w:tc>
              <w:tc>
                <w:tcPr>
                  <w:tcW w:w="810" w:type="dxa"/>
                  <w:tcBorders>
                    <w:top w:val="single" w:sz="4" w:space="0" w:color="auto"/>
                    <w:left w:val="single" w:sz="4" w:space="0" w:color="auto"/>
                    <w:bottom w:val="single" w:sz="4" w:space="0" w:color="auto"/>
                    <w:right w:val="single" w:sz="4" w:space="0" w:color="auto"/>
                  </w:tcBorders>
                </w:tcPr>
                <w:p w14:paraId="3D3E40E5" w14:textId="77777777" w:rsidR="00BB22EC" w:rsidRPr="005D4222" w:rsidRDefault="00BB22EC">
                  <w:pPr>
                    <w:pStyle w:val="TableText"/>
                  </w:pPr>
                  <w:r w:rsidRPr="005D4222">
                    <w:t>65+</w:t>
                  </w:r>
                </w:p>
              </w:tc>
              <w:tc>
                <w:tcPr>
                  <w:tcW w:w="1890" w:type="dxa"/>
                  <w:tcBorders>
                    <w:top w:val="single" w:sz="4" w:space="0" w:color="auto"/>
                    <w:left w:val="single" w:sz="4" w:space="0" w:color="auto"/>
                    <w:bottom w:val="single" w:sz="4" w:space="0" w:color="auto"/>
                    <w:right w:val="single" w:sz="4" w:space="0" w:color="auto"/>
                  </w:tcBorders>
                  <w:shd w:val="clear" w:color="auto" w:fill="FFFFFF" w:themeFill="background1"/>
                </w:tcPr>
                <w:p w14:paraId="184C56A7" w14:textId="77777777" w:rsidR="00BB22EC" w:rsidRPr="005D4222" w:rsidRDefault="00BB22EC">
                  <w:pPr>
                    <w:pStyle w:val="TableText"/>
                  </w:pPr>
                  <w:r w:rsidRPr="005D4222">
                    <w:t>Denominator</w:t>
                  </w:r>
                </w:p>
              </w:tc>
              <w:tc>
                <w:tcPr>
                  <w:tcW w:w="2120" w:type="dxa"/>
                  <w:tcBorders>
                    <w:top w:val="single" w:sz="6" w:space="0" w:color="auto"/>
                    <w:left w:val="single" w:sz="4" w:space="0" w:color="auto"/>
                    <w:bottom w:val="single" w:sz="6" w:space="0" w:color="auto"/>
                    <w:right w:val="single" w:sz="4" w:space="0" w:color="auto"/>
                  </w:tcBorders>
                  <w:shd w:val="clear" w:color="auto" w:fill="FFFFFF" w:themeFill="background1"/>
                </w:tcPr>
                <w:p w14:paraId="43A506C1" w14:textId="77777777" w:rsidR="00BB22EC" w:rsidRPr="005D4222" w:rsidRDefault="00BB22EC">
                  <w:pPr>
                    <w:pStyle w:val="TableText"/>
                    <w:rPr>
                      <w:rFonts w:eastAsia="Wingdings"/>
                    </w:rPr>
                  </w:pPr>
                  <w:r w:rsidRPr="005D4222">
                    <w:rPr>
                      <w:rFonts w:eastAsia="Wingdings"/>
                    </w:rPr>
                    <w:t>For each Stratification</w:t>
                  </w:r>
                </w:p>
              </w:tc>
            </w:tr>
            <w:tr w:rsidR="00BB22EC" w:rsidRPr="005D4222" w14:paraId="7894B1FA" w14:textId="77777777">
              <w:trPr>
                <w:trHeight w:val="247"/>
              </w:trPr>
              <w:tc>
                <w:tcPr>
                  <w:tcW w:w="2516" w:type="dxa"/>
                  <w:tcBorders>
                    <w:top w:val="nil"/>
                    <w:left w:val="nil"/>
                    <w:bottom w:val="nil"/>
                    <w:right w:val="single" w:sz="4" w:space="0" w:color="auto"/>
                  </w:tcBorders>
                  <w:shd w:val="clear" w:color="auto" w:fill="FFFFFF" w:themeFill="background1"/>
                </w:tcPr>
                <w:p w14:paraId="19CC5B9B" w14:textId="77777777" w:rsidR="00BB22EC" w:rsidRPr="005D4222" w:rsidRDefault="00BB22EC">
                  <w:pPr>
                    <w:pStyle w:val="TableText"/>
                  </w:pPr>
                </w:p>
              </w:tc>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FE313DD" w14:textId="77777777" w:rsidR="00BB22EC" w:rsidRPr="005D4222" w:rsidRDefault="00BB22EC">
                  <w:pPr>
                    <w:pStyle w:val="TableText"/>
                  </w:pPr>
                  <w:r w:rsidRPr="005D4222">
                    <w:t>Total</w:t>
                  </w:r>
                </w:p>
              </w:tc>
              <w:tc>
                <w:tcPr>
                  <w:tcW w:w="18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57DD4DC" w14:textId="77777777" w:rsidR="00BB22EC" w:rsidRPr="005D4222" w:rsidRDefault="00BB22EC">
                  <w:pPr>
                    <w:pStyle w:val="TableText"/>
                  </w:pPr>
                  <w:r w:rsidRPr="005D4222">
                    <w:t>NumeratorByAdmin</w:t>
                  </w:r>
                </w:p>
              </w:tc>
              <w:tc>
                <w:tcPr>
                  <w:tcW w:w="2120" w:type="dxa"/>
                  <w:tcBorders>
                    <w:top w:val="single" w:sz="6" w:space="0" w:color="auto"/>
                    <w:left w:val="single" w:sz="4" w:space="0" w:color="auto"/>
                    <w:bottom w:val="single" w:sz="4" w:space="0" w:color="auto"/>
                    <w:right w:val="single" w:sz="4" w:space="0" w:color="auto"/>
                  </w:tcBorders>
                  <w:shd w:val="clear" w:color="auto" w:fill="FFFFFF" w:themeFill="background1"/>
                  <w:hideMark/>
                </w:tcPr>
                <w:p w14:paraId="575BD203" w14:textId="77777777" w:rsidR="00BB22EC" w:rsidRPr="005D4222" w:rsidRDefault="00BB22EC">
                  <w:pPr>
                    <w:pStyle w:val="TableText"/>
                    <w:rPr>
                      <w:rFonts w:eastAsia="Wingdings"/>
                    </w:rPr>
                  </w:pPr>
                  <w:r w:rsidRPr="005D4222">
                    <w:rPr>
                      <w:rFonts w:eastAsia="Wingdings"/>
                    </w:rPr>
                    <w:t>For each Stratification</w:t>
                  </w:r>
                </w:p>
              </w:tc>
            </w:tr>
            <w:tr w:rsidR="00BB22EC" w:rsidRPr="005D4222" w14:paraId="2B506A9B" w14:textId="77777777">
              <w:trPr>
                <w:trHeight w:val="247"/>
              </w:trPr>
              <w:tc>
                <w:tcPr>
                  <w:tcW w:w="2516" w:type="dxa"/>
                  <w:tcBorders>
                    <w:top w:val="nil"/>
                    <w:left w:val="nil"/>
                    <w:bottom w:val="nil"/>
                    <w:right w:val="nil"/>
                  </w:tcBorders>
                </w:tcPr>
                <w:p w14:paraId="7B7CAB71" w14:textId="77777777" w:rsidR="00BB22EC" w:rsidRPr="005D4222" w:rsidRDefault="00BB22EC">
                  <w:pPr>
                    <w:pStyle w:val="TableText"/>
                  </w:pPr>
                </w:p>
              </w:tc>
              <w:tc>
                <w:tcPr>
                  <w:tcW w:w="810" w:type="dxa"/>
                  <w:tcBorders>
                    <w:top w:val="single" w:sz="4" w:space="0" w:color="auto"/>
                    <w:left w:val="nil"/>
                    <w:bottom w:val="nil"/>
                    <w:right w:val="single" w:sz="4" w:space="0" w:color="auto"/>
                  </w:tcBorders>
                </w:tcPr>
                <w:p w14:paraId="78CA1658" w14:textId="77777777" w:rsidR="00BB22EC" w:rsidRPr="005D4222" w:rsidRDefault="00BB22EC">
                  <w:pPr>
                    <w:pStyle w:val="TableText"/>
                  </w:pPr>
                </w:p>
              </w:tc>
              <w:tc>
                <w:tcPr>
                  <w:tcW w:w="1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BC81764" w14:textId="77777777" w:rsidR="00BB22EC" w:rsidRPr="005D4222" w:rsidRDefault="00BB22EC">
                  <w:pPr>
                    <w:pStyle w:val="TableText"/>
                  </w:pPr>
                  <w:r w:rsidRPr="005D4222">
                    <w:t>Rate</w:t>
                  </w:r>
                </w:p>
              </w:tc>
              <w:tc>
                <w:tcPr>
                  <w:tcW w:w="21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636470C" w14:textId="77777777" w:rsidR="00BB22EC" w:rsidRPr="005D4222" w:rsidRDefault="00BB22EC">
                  <w:pPr>
                    <w:pStyle w:val="TableText"/>
                    <w:rPr>
                      <w:rFonts w:eastAsia="Wingdings"/>
                    </w:rPr>
                  </w:pPr>
                  <w:r w:rsidRPr="005D4222">
                    <w:rPr>
                      <w:rFonts w:eastAsia="Wingdings"/>
                    </w:rPr>
                    <w:t>(Percent)</w:t>
                  </w:r>
                </w:p>
              </w:tc>
            </w:tr>
          </w:tbl>
          <w:p w14:paraId="47168E94" w14:textId="77777777" w:rsidR="00BB22EC" w:rsidRPr="005D4222" w:rsidRDefault="00BB22EC">
            <w:pPr>
              <w:pStyle w:val="ProcessDash"/>
              <w:numPr>
                <w:ilvl w:val="0"/>
                <w:numId w:val="0"/>
              </w:numPr>
              <w:rPr>
                <w:color w:val="000000" w:themeColor="text1"/>
                <w:highlight w:val="yellow"/>
              </w:rPr>
            </w:pPr>
          </w:p>
        </w:tc>
      </w:tr>
      <w:tr w:rsidR="00BB22EC" w:rsidRPr="005D4222" w14:paraId="54881628" w14:textId="77777777" w:rsidTr="000C7B7B">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5FCB7C1" w14:textId="77777777" w:rsidR="00BB22EC" w:rsidRPr="005D4222" w:rsidRDefault="00BB22EC">
            <w:pPr>
              <w:pStyle w:val="ECDSMarginHead"/>
            </w:pPr>
            <w:r w:rsidRPr="005D4222">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B2235DE" w14:textId="77777777" w:rsidR="00BB22EC" w:rsidRPr="005D4222" w:rsidRDefault="00BB22E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0A793575" w14:textId="77777777" w:rsidR="00BB22EC" w:rsidRPr="005D4222" w:rsidRDefault="00BB22EC">
            <w:pPr>
              <w:pStyle w:val="ECDSBody"/>
              <w:rPr>
                <w:b/>
              </w:rPr>
            </w:pPr>
            <w:r w:rsidRPr="005D4222">
              <w:rPr>
                <w:b/>
              </w:rPr>
              <w:t>Adjusted HEDIS measures may not be used for HEDIS health plan reporting.</w:t>
            </w:r>
          </w:p>
          <w:p w14:paraId="670478A2" w14:textId="77777777" w:rsidR="00BB22EC" w:rsidRPr="005D4222" w:rsidRDefault="00BB22EC">
            <w:pPr>
              <w:pStyle w:val="Adjustments"/>
              <w:rPr>
                <w:b w:val="0"/>
              </w:rPr>
            </w:pPr>
            <w:r w:rsidRPr="005D4222">
              <w:t>Adjustments</w:t>
            </w:r>
            <w:r w:rsidRPr="005D4222">
              <w:rPr>
                <w:bCs/>
              </w:rPr>
              <w:t xml:space="preserve"> a</w:t>
            </w:r>
            <w:r w:rsidRPr="005D4222">
              <w:t>llowed</w:t>
            </w:r>
          </w:p>
          <w:p w14:paraId="3194C25C" w14:textId="1E719A23" w:rsidR="00BB22EC" w:rsidRPr="005D4222" w:rsidRDefault="00BB22EC" w:rsidP="00BB22EC">
            <w:pPr>
              <w:pStyle w:val="ProcessBullet"/>
              <w:tabs>
                <w:tab w:val="left" w:pos="216"/>
              </w:tabs>
              <w:rPr>
                <w:b/>
              </w:rPr>
            </w:pPr>
            <w:r w:rsidRPr="005D4222">
              <w:rPr>
                <w:i/>
                <w:iCs/>
              </w:rPr>
              <w:t>Product lines</w:t>
            </w:r>
            <w:r w:rsidRPr="005D4222">
              <w:t>. Organizations are not required to use product line criteria; product lines may be combined</w:t>
            </w:r>
            <w:r w:rsidR="00E8671F" w:rsidRPr="005D4222">
              <w:t>,</w:t>
            </w:r>
            <w:r w:rsidRPr="005D4222">
              <w:t xml:space="preserve"> and all (or no) product line criteria may be used. </w:t>
            </w:r>
          </w:p>
          <w:p w14:paraId="627E98BE" w14:textId="77777777" w:rsidR="00BB22EC" w:rsidRPr="005D4222" w:rsidRDefault="00BB22EC" w:rsidP="00BB22EC">
            <w:pPr>
              <w:pStyle w:val="ProcessBullet"/>
              <w:tabs>
                <w:tab w:val="left" w:pos="216"/>
              </w:tabs>
              <w:rPr>
                <w:b/>
                <w:i/>
                <w:iCs/>
              </w:rPr>
            </w:pPr>
            <w:r w:rsidRPr="005D4222">
              <w:rPr>
                <w:i/>
                <w:iCs/>
              </w:rPr>
              <w:t>Attribution.</w:t>
            </w:r>
            <w:r w:rsidRPr="005D4222">
              <w:rPr>
                <w:b/>
                <w:i/>
                <w:iCs/>
              </w:rPr>
              <w:t xml:space="preserve"> </w:t>
            </w:r>
            <w:r w:rsidRPr="005D4222">
              <w:t>Organizations are not required to use enrollment criteria. </w:t>
            </w:r>
          </w:p>
          <w:p w14:paraId="5ED2B574" w14:textId="0AF688E5" w:rsidR="0011030E" w:rsidRPr="005D4222" w:rsidRDefault="00BB22EC" w:rsidP="0011030E">
            <w:pPr>
              <w:pStyle w:val="ProcessBullet"/>
              <w:tabs>
                <w:tab w:val="left" w:pos="216"/>
              </w:tabs>
              <w:spacing w:after="80"/>
            </w:pPr>
            <w:r w:rsidRPr="005D4222">
              <w:rPr>
                <w:bCs/>
                <w:i/>
                <w:iCs/>
              </w:rPr>
              <w:t xml:space="preserve">Benefits. </w:t>
            </w:r>
            <w:r w:rsidRPr="005D4222">
              <w:t>Organizations are not required to use a benefit.</w:t>
            </w:r>
          </w:p>
        </w:tc>
      </w:tr>
    </w:tbl>
    <w:p w14:paraId="2EEE700A" w14:textId="77777777" w:rsidR="0011030E" w:rsidRDefault="0011030E"/>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BB22EC" w:rsidRPr="005D4222" w14:paraId="753C5928" w14:textId="77777777" w:rsidTr="000C7B7B">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D0F7835" w14:textId="77777777" w:rsidR="00BB22EC" w:rsidRPr="005D4222" w:rsidRDefault="00BB22E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AF3CFB3" w14:textId="77777777" w:rsidR="0011030E" w:rsidRPr="005D4222" w:rsidRDefault="0011030E" w:rsidP="0011030E">
            <w:pPr>
              <w:pStyle w:val="ProcessBullet"/>
            </w:pPr>
            <w:r w:rsidRPr="005D4222">
              <w:rPr>
                <w:i/>
                <w:iCs/>
              </w:rPr>
              <w:t>Ages</w:t>
            </w:r>
            <w:r w:rsidRPr="005D4222">
              <w:t>. The denominator age range may be expanded. The age determination dates may be changed (e.g., select, “age as of June 30”).</w:t>
            </w:r>
          </w:p>
          <w:p w14:paraId="2673F3CD" w14:textId="77777777" w:rsidR="0011030E" w:rsidRPr="005D4222" w:rsidRDefault="0011030E" w:rsidP="0011030E">
            <w:pPr>
              <w:pStyle w:val="ProcessBullet"/>
              <w:tabs>
                <w:tab w:val="left" w:pos="216"/>
              </w:tabs>
              <w:rPr>
                <w:bCs/>
                <w:i/>
                <w:iCs/>
              </w:rPr>
            </w:pPr>
            <w:r w:rsidRPr="005D4222">
              <w:rPr>
                <w:bCs/>
                <w:i/>
                <w:iCs/>
              </w:rPr>
              <w:t xml:space="preserve">Other. </w:t>
            </w:r>
            <w:r w:rsidRPr="005D4222">
              <w:rPr>
                <w:rFonts w:eastAsia="Arial"/>
              </w:rPr>
              <w:t xml:space="preserve">Organizations may use additional initial population criteria to focus on an area of interest defined by gender, race, ethnicity, socioeconomic or sociodemographic characteristics, geographic region or another characteristic.  </w:t>
            </w:r>
          </w:p>
          <w:p w14:paraId="495CB6FF" w14:textId="77777777" w:rsidR="0011030E" w:rsidRDefault="0011030E" w:rsidP="0011030E">
            <w:pPr>
              <w:pStyle w:val="ProcessBullet"/>
              <w:tabs>
                <w:tab w:val="left" w:pos="216"/>
              </w:tabs>
              <w:spacing w:after="80"/>
            </w:pPr>
            <w:r w:rsidRPr="005D4222">
              <w:rPr>
                <w:bCs/>
                <w:i/>
                <w:iCs/>
              </w:rPr>
              <w:t xml:space="preserve">Measurement period adjustments. </w:t>
            </w:r>
            <w:r w:rsidRPr="005D4222">
              <w:t xml:space="preserve">Organizations may adjust the measurement period. </w:t>
            </w:r>
          </w:p>
          <w:p w14:paraId="083545C9" w14:textId="77777777" w:rsidR="00474F97" w:rsidRPr="005D4222" w:rsidRDefault="00474F97" w:rsidP="00474F97">
            <w:pPr>
              <w:pStyle w:val="ProcessBullet"/>
              <w:tabs>
                <w:tab w:val="left" w:pos="216"/>
              </w:tabs>
              <w:spacing w:after="80"/>
            </w:pPr>
            <w:r w:rsidRPr="005D4222">
              <w:rPr>
                <w:bCs/>
                <w:i/>
              </w:rPr>
              <w:t xml:space="preserve">Exclusions. </w:t>
            </w:r>
            <w:r w:rsidRPr="005D4222">
              <w:rPr>
                <w:rFonts w:eastAsia="Arial"/>
              </w:rPr>
              <w:t xml:space="preserve">The hospice and deceased person exclusions are not required. </w:t>
            </w:r>
          </w:p>
          <w:p w14:paraId="558388A2" w14:textId="77777777" w:rsidR="00BB22EC" w:rsidRPr="005D4222" w:rsidRDefault="00BB22EC" w:rsidP="00BB22EC">
            <w:pPr>
              <w:pStyle w:val="ProcessBullet"/>
              <w:tabs>
                <w:tab w:val="left" w:pos="216"/>
              </w:tabs>
            </w:pPr>
            <w:r w:rsidRPr="005D4222">
              <w:rPr>
                <w:i/>
                <w:iCs/>
              </w:rPr>
              <w:t xml:space="preserve">Telehealth. </w:t>
            </w:r>
            <w:r w:rsidRPr="005D4222">
              <w:t>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321D8099" w14:textId="77777777" w:rsidR="00BB22EC" w:rsidRPr="005D4222" w:rsidRDefault="00BB22EC" w:rsidP="00BB22EC">
            <w:pPr>
              <w:pStyle w:val="ProcessBullet"/>
              <w:tabs>
                <w:tab w:val="left" w:pos="216"/>
              </w:tabs>
            </w:pPr>
            <w:r w:rsidRPr="005D4222">
              <w:rPr>
                <w:i/>
                <w:iCs/>
              </w:rPr>
              <w:t>Supplemental data.</w:t>
            </w:r>
            <w:r w:rsidRPr="005D4222">
              <w:t xml:space="preserve"> Supplemental data may be used to identify initial population, denominator, exclusion and numerator events.</w:t>
            </w:r>
          </w:p>
          <w:p w14:paraId="30DB4DF1" w14:textId="77777777" w:rsidR="00BB22EC" w:rsidRPr="005D4222" w:rsidRDefault="00BB22EC">
            <w:pPr>
              <w:pStyle w:val="Adjustments"/>
              <w:rPr>
                <w:b w:val="0"/>
                <w:bCs/>
              </w:rPr>
            </w:pPr>
            <w:r w:rsidRPr="005D4222">
              <w:t>Adjustments not allowed</w:t>
            </w:r>
          </w:p>
          <w:p w14:paraId="6849E0A7" w14:textId="77777777" w:rsidR="00BB22EC" w:rsidRPr="005D4222" w:rsidRDefault="00BB22EC" w:rsidP="00BB22EC">
            <w:pPr>
              <w:pStyle w:val="ProcessBullet"/>
              <w:tabs>
                <w:tab w:val="left" w:pos="216"/>
              </w:tabs>
              <w:spacing w:after="80"/>
              <w:rPr>
                <w:b/>
                <w:i/>
              </w:rPr>
            </w:pPr>
            <w:r w:rsidRPr="005D4222">
              <w:rPr>
                <w:i/>
                <w:iCs/>
              </w:rPr>
              <w:t>Numerator</w:t>
            </w:r>
            <w:r w:rsidRPr="005D4222">
              <w:t>. Value sets and logic may not be changed.</w:t>
            </w:r>
          </w:p>
        </w:tc>
      </w:tr>
    </w:tbl>
    <w:p w14:paraId="77F32154" w14:textId="77777777" w:rsidR="00474F97" w:rsidRPr="005D4222" w:rsidRDefault="00474F97" w:rsidP="008357F7">
      <w:pPr>
        <w:pStyle w:val="ECDSBody"/>
        <w:sectPr w:rsidR="00474F97" w:rsidRPr="005D4222" w:rsidSect="0074514A">
          <w:headerReference w:type="default" r:id="rId163"/>
          <w:footerReference w:type="default" r:id="rId164"/>
          <w:type w:val="nextColumn"/>
          <w:pgSz w:w="12240" w:h="15840" w:code="1"/>
          <w:pgMar w:top="1080" w:right="1080" w:bottom="1080" w:left="1440" w:header="720" w:footer="720" w:gutter="0"/>
          <w:cols w:space="720"/>
          <w:docGrid w:linePitch="360"/>
        </w:sectPr>
      </w:pPr>
    </w:p>
    <w:p w14:paraId="2C866E2B" w14:textId="1877B892" w:rsidR="008357F7" w:rsidRPr="005D4222" w:rsidRDefault="00853A35" w:rsidP="00853A35">
      <w:pPr>
        <w:pStyle w:val="MeasureTitle"/>
      </w:pPr>
      <w:bookmarkStart w:id="365" w:name="_Toc201813441"/>
      <w:r w:rsidRPr="005D4222">
        <w:lastRenderedPageBreak/>
        <w:t>Initiation and Engagement of Substance Use Disorder Treatment</w:t>
      </w:r>
      <w:r w:rsidR="0096709F" w:rsidRPr="005D4222">
        <w:t xml:space="preserve"> (IET)</w:t>
      </w:r>
      <w:bookmarkEnd w:id="365"/>
    </w:p>
    <w:tbl>
      <w:tblPr>
        <w:tblW w:w="0" w:type="auto"/>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3" w:type="dxa"/>
          <w:right w:w="86" w:type="dxa"/>
        </w:tblCellMar>
        <w:tblLook w:val="04A0" w:firstRow="1" w:lastRow="0" w:firstColumn="1" w:lastColumn="0" w:noHBand="0" w:noVBand="1"/>
      </w:tblPr>
      <w:tblGrid>
        <w:gridCol w:w="2160"/>
        <w:gridCol w:w="5105"/>
        <w:gridCol w:w="1572"/>
        <w:gridCol w:w="880"/>
      </w:tblGrid>
      <w:tr w:rsidR="00A33EDF" w:rsidRPr="005D4222" w14:paraId="22F2B3CB" w14:textId="77777777">
        <w:tc>
          <w:tcPr>
            <w:tcW w:w="2160" w:type="dxa"/>
            <w:shd w:val="clear" w:color="auto" w:fill="BFBFBF" w:themeFill="background1" w:themeFillShade="BF"/>
            <w:tcMar>
              <w:top w:w="0" w:type="dxa"/>
              <w:left w:w="86" w:type="dxa"/>
              <w:bottom w:w="43" w:type="dxa"/>
              <w:right w:w="86" w:type="dxa"/>
            </w:tcMar>
            <w:hideMark/>
          </w:tcPr>
          <w:p w14:paraId="14DDDD1D" w14:textId="77777777" w:rsidR="00A33EDF" w:rsidRPr="005D4222" w:rsidRDefault="00A33EDF">
            <w:pPr>
              <w:pStyle w:val="ECDSMarginHead"/>
            </w:pPr>
            <w:r w:rsidRPr="005D4222">
              <w:t>Measure title</w:t>
            </w:r>
          </w:p>
        </w:tc>
        <w:tc>
          <w:tcPr>
            <w:tcW w:w="5105" w:type="dxa"/>
            <w:tcMar>
              <w:top w:w="0" w:type="dxa"/>
              <w:left w:w="86" w:type="dxa"/>
              <w:bottom w:w="43" w:type="dxa"/>
              <w:right w:w="86" w:type="dxa"/>
            </w:tcMar>
          </w:tcPr>
          <w:p w14:paraId="1E786379" w14:textId="77777777" w:rsidR="00A33EDF" w:rsidRPr="005D4222" w:rsidRDefault="00A33EDF">
            <w:pPr>
              <w:pStyle w:val="ECDSBody"/>
            </w:pPr>
            <w:r w:rsidRPr="005D4222">
              <w:t xml:space="preserve">Initiation and Engagement of Substance Use Disorder Treatment </w:t>
            </w:r>
          </w:p>
        </w:tc>
        <w:tc>
          <w:tcPr>
            <w:tcW w:w="1572" w:type="dxa"/>
            <w:shd w:val="clear" w:color="auto" w:fill="BFBFBF" w:themeFill="background1" w:themeFillShade="BF"/>
            <w:tcMar>
              <w:top w:w="0" w:type="dxa"/>
              <w:left w:w="86" w:type="dxa"/>
              <w:bottom w:w="43" w:type="dxa"/>
              <w:right w:w="86" w:type="dxa"/>
            </w:tcMar>
          </w:tcPr>
          <w:p w14:paraId="0B8CECCE" w14:textId="77777777" w:rsidR="00A33EDF" w:rsidRPr="005D4222" w:rsidRDefault="00A33EDF" w:rsidP="0085696B">
            <w:pPr>
              <w:pStyle w:val="ECDSMarginHead"/>
            </w:pPr>
            <w:r w:rsidRPr="005D4222">
              <w:t>Measure ID</w:t>
            </w:r>
          </w:p>
        </w:tc>
        <w:tc>
          <w:tcPr>
            <w:tcW w:w="880" w:type="dxa"/>
            <w:tcMar>
              <w:top w:w="0" w:type="dxa"/>
              <w:left w:w="86" w:type="dxa"/>
              <w:bottom w:w="43" w:type="dxa"/>
              <w:right w:w="86" w:type="dxa"/>
            </w:tcMar>
          </w:tcPr>
          <w:p w14:paraId="38655821" w14:textId="77777777" w:rsidR="00A33EDF" w:rsidRPr="005D4222" w:rsidRDefault="00A33EDF">
            <w:pPr>
              <w:pStyle w:val="ECDSBody"/>
            </w:pPr>
            <w:r w:rsidRPr="005D4222">
              <w:t>IET</w:t>
            </w:r>
          </w:p>
        </w:tc>
      </w:tr>
      <w:tr w:rsidR="00A33EDF" w:rsidRPr="005D4222" w14:paraId="6887024A" w14:textId="77777777">
        <w:tc>
          <w:tcPr>
            <w:tcW w:w="2160" w:type="dxa"/>
            <w:tcBorders>
              <w:top w:val="single" w:sz="2" w:space="0" w:color="auto"/>
              <w:left w:val="single" w:sz="2" w:space="0" w:color="auto"/>
              <w:bottom w:val="single" w:sz="2" w:space="0" w:color="auto"/>
              <w:right w:val="single" w:sz="2" w:space="0" w:color="auto"/>
            </w:tcBorders>
            <w:shd w:val="clear" w:color="auto" w:fill="BFBFBF" w:themeFill="background1" w:themeFillShade="BF"/>
            <w:tcMar>
              <w:top w:w="0" w:type="dxa"/>
              <w:left w:w="86" w:type="dxa"/>
              <w:bottom w:w="43" w:type="dxa"/>
              <w:right w:w="86" w:type="dxa"/>
            </w:tcMar>
            <w:hideMark/>
          </w:tcPr>
          <w:p w14:paraId="53E8495D" w14:textId="77777777" w:rsidR="00A33EDF" w:rsidRPr="005D4222" w:rsidRDefault="00A33EDF">
            <w:pPr>
              <w:pStyle w:val="ECDSMarginHead"/>
            </w:pPr>
            <w:r w:rsidRPr="005D4222">
              <w:t>Description</w:t>
            </w:r>
          </w:p>
        </w:tc>
        <w:tc>
          <w:tcPr>
            <w:tcW w:w="7557" w:type="dxa"/>
            <w:gridSpan w:val="3"/>
            <w:tcBorders>
              <w:top w:val="single" w:sz="2" w:space="0" w:color="auto"/>
              <w:left w:val="single" w:sz="2" w:space="0" w:color="auto"/>
              <w:bottom w:val="single" w:sz="2" w:space="0" w:color="auto"/>
              <w:right w:val="single" w:sz="2" w:space="0" w:color="auto"/>
            </w:tcBorders>
            <w:tcMar>
              <w:top w:w="0" w:type="dxa"/>
              <w:left w:w="86" w:type="dxa"/>
              <w:bottom w:w="43" w:type="dxa"/>
              <w:right w:w="86" w:type="dxa"/>
            </w:tcMar>
          </w:tcPr>
          <w:p w14:paraId="11534DBA" w14:textId="77777777" w:rsidR="00A33EDF" w:rsidRPr="005D4222" w:rsidRDefault="00A33EDF">
            <w:pPr>
              <w:pStyle w:val="ECDSBody"/>
            </w:pPr>
            <w:r w:rsidRPr="005D4222">
              <w:t xml:space="preserve">The percentage of new substance use disorder (SUD) episodes that result in treatment initiation and engagement. Two rates are reported: </w:t>
            </w:r>
          </w:p>
          <w:p w14:paraId="43D9A359" w14:textId="77777777" w:rsidR="00A33EDF" w:rsidRPr="005D4222" w:rsidRDefault="00A33EDF" w:rsidP="00A33EDF">
            <w:pPr>
              <w:pStyle w:val="Bullet"/>
              <w:numPr>
                <w:ilvl w:val="0"/>
                <w:numId w:val="4"/>
              </w:numPr>
              <w:tabs>
                <w:tab w:val="left" w:pos="360"/>
                <w:tab w:val="left" w:pos="576"/>
              </w:tabs>
              <w:spacing w:after="80"/>
              <w:ind w:left="576" w:hanging="216"/>
            </w:pPr>
            <w:r w:rsidRPr="005D4222">
              <w:rPr>
                <w:i/>
                <w:iCs/>
              </w:rPr>
              <w:t>Initiation of SUD Treatment.</w:t>
            </w:r>
            <w:r w:rsidRPr="005D4222">
              <w:t xml:space="preserve"> The percentage of new SUD episodes that result in treatment initiation through an inpatient SUD admission, outpatient visit, intensive outpatient encounter, partial hospitalization, telehealth visit or medication treatment within 14 days. </w:t>
            </w:r>
          </w:p>
          <w:p w14:paraId="0F5C71D0" w14:textId="77777777" w:rsidR="00A33EDF" w:rsidRPr="005D4222" w:rsidRDefault="00A33EDF" w:rsidP="00A33EDF">
            <w:pPr>
              <w:pStyle w:val="Bullet"/>
              <w:numPr>
                <w:ilvl w:val="0"/>
                <w:numId w:val="4"/>
              </w:numPr>
              <w:tabs>
                <w:tab w:val="left" w:pos="360"/>
                <w:tab w:val="left" w:pos="576"/>
              </w:tabs>
              <w:spacing w:after="80"/>
              <w:ind w:left="576" w:hanging="216"/>
            </w:pPr>
            <w:r w:rsidRPr="005D4222">
              <w:rPr>
                <w:i/>
                <w:iCs/>
              </w:rPr>
              <w:t>Engagement of SUD Treatment.</w:t>
            </w:r>
            <w:r w:rsidRPr="005D4222">
              <w:t xml:space="preserve"> The</w:t>
            </w:r>
            <w:r w:rsidRPr="005D4222">
              <w:rPr>
                <w:rFonts w:eastAsia="Arial"/>
              </w:rPr>
              <w:t xml:space="preserve"> percentage of new SUD episodes that have evidence of treatment engagement within 34 days of initiation.</w:t>
            </w:r>
          </w:p>
        </w:tc>
      </w:tr>
      <w:tr w:rsidR="00A33EDF" w:rsidRPr="005D4222" w14:paraId="20FEB405" w14:textId="77777777">
        <w:tc>
          <w:tcPr>
            <w:tcW w:w="2160" w:type="dxa"/>
            <w:tcBorders>
              <w:top w:val="single" w:sz="2" w:space="0" w:color="auto"/>
              <w:left w:val="single" w:sz="2" w:space="0" w:color="auto"/>
              <w:bottom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1E6FC6E6" w14:textId="77777777" w:rsidR="00A33EDF" w:rsidRPr="005D4222" w:rsidRDefault="00A33EDF">
            <w:pPr>
              <w:pStyle w:val="ECDSMarginHead"/>
            </w:pPr>
            <w:r w:rsidRPr="005D4222">
              <w:t>Measurement period</w:t>
            </w:r>
          </w:p>
        </w:tc>
        <w:tc>
          <w:tcPr>
            <w:tcW w:w="7557" w:type="dxa"/>
            <w:gridSpan w:val="3"/>
            <w:tcBorders>
              <w:top w:val="single" w:sz="2" w:space="0" w:color="auto"/>
              <w:left w:val="single" w:sz="2" w:space="0" w:color="auto"/>
              <w:bottom w:val="single" w:sz="2" w:space="0" w:color="auto"/>
              <w:right w:val="single" w:sz="2" w:space="0" w:color="auto"/>
            </w:tcBorders>
            <w:tcMar>
              <w:top w:w="0" w:type="dxa"/>
              <w:left w:w="86" w:type="dxa"/>
              <w:bottom w:w="43" w:type="dxa"/>
              <w:right w:w="86" w:type="dxa"/>
            </w:tcMar>
          </w:tcPr>
          <w:p w14:paraId="412E1C41" w14:textId="77777777" w:rsidR="00A33EDF" w:rsidRPr="005D4222" w:rsidRDefault="00A33EDF">
            <w:pPr>
              <w:pStyle w:val="ECDSBody"/>
            </w:pPr>
            <w:r w:rsidRPr="005D4222">
              <w:t>January 1–December 31.</w:t>
            </w:r>
          </w:p>
        </w:tc>
      </w:tr>
      <w:tr w:rsidR="00A33EDF" w:rsidRPr="005D4222" w14:paraId="0B4E40AC" w14:textId="77777777">
        <w:tc>
          <w:tcPr>
            <w:tcW w:w="2160" w:type="dxa"/>
            <w:tcBorders>
              <w:top w:val="single" w:sz="2" w:space="0" w:color="auto"/>
              <w:left w:val="single" w:sz="2" w:space="0" w:color="auto"/>
              <w:bottom w:val="single" w:sz="2" w:space="0" w:color="auto"/>
              <w:right w:val="single" w:sz="2" w:space="0" w:color="auto"/>
            </w:tcBorders>
            <w:shd w:val="clear" w:color="auto" w:fill="BFBFBF" w:themeFill="background1" w:themeFillShade="BF"/>
            <w:tcMar>
              <w:top w:w="0" w:type="dxa"/>
              <w:left w:w="86" w:type="dxa"/>
              <w:bottom w:w="43" w:type="dxa"/>
              <w:right w:w="86" w:type="dxa"/>
            </w:tcMar>
            <w:hideMark/>
          </w:tcPr>
          <w:p w14:paraId="664CE574" w14:textId="77777777" w:rsidR="00A33EDF" w:rsidRPr="005D4222" w:rsidRDefault="00A33EDF">
            <w:pPr>
              <w:pStyle w:val="ECDSMarginHead"/>
              <w:rPr>
                <w:rFonts w:eastAsia="Arial"/>
              </w:rPr>
            </w:pPr>
            <w:r w:rsidRPr="005D4222">
              <w:rPr>
                <w:rFonts w:eastAsia="Arial"/>
              </w:rPr>
              <w:t>Copyright and disclaimer notice</w:t>
            </w:r>
          </w:p>
        </w:tc>
        <w:tc>
          <w:tcPr>
            <w:tcW w:w="7557" w:type="dxa"/>
            <w:gridSpan w:val="3"/>
            <w:tcBorders>
              <w:top w:val="single" w:sz="2" w:space="0" w:color="auto"/>
              <w:left w:val="single" w:sz="2" w:space="0" w:color="auto"/>
              <w:bottom w:val="single" w:sz="2" w:space="0" w:color="auto"/>
              <w:right w:val="single" w:sz="2" w:space="0" w:color="auto"/>
            </w:tcBorders>
            <w:tcMar>
              <w:top w:w="0" w:type="dxa"/>
              <w:left w:w="86" w:type="dxa"/>
              <w:bottom w:w="43" w:type="dxa"/>
              <w:right w:w="86" w:type="dxa"/>
            </w:tcMar>
          </w:tcPr>
          <w:p w14:paraId="2F0B717A" w14:textId="77777777" w:rsidR="00A33EDF" w:rsidRPr="005D4222" w:rsidRDefault="00A33EDF">
            <w:pPr>
              <w:pStyle w:val="ECDSBody"/>
              <w:rPr>
                <w:rFonts w:ascii="Segoe UI" w:hAnsi="Segoe UI" w:cs="Segoe UI"/>
              </w:rPr>
            </w:pPr>
            <w:r w:rsidRPr="005D4222">
              <w:t xml:space="preserve">Refer to the complete copyright and disclaimer information at the front of this publication. </w:t>
            </w:r>
          </w:p>
          <w:p w14:paraId="650D2318" w14:textId="77777777" w:rsidR="00A33EDF" w:rsidRPr="005D4222" w:rsidRDefault="00A33EDF">
            <w:pPr>
              <w:pStyle w:val="ECDSBody"/>
              <w:spacing w:before="80"/>
            </w:pPr>
            <w:r w:rsidRPr="005D4222">
              <w:t xml:space="preserve">NCQA website: </w:t>
            </w:r>
            <w:r w:rsidRPr="005D4222">
              <w:rPr>
                <w:u w:val="single"/>
              </w:rPr>
              <w:t>www.ncqa.org</w:t>
            </w:r>
            <w:r w:rsidRPr="005D4222">
              <w:t>.</w:t>
            </w:r>
          </w:p>
          <w:p w14:paraId="44083E63" w14:textId="77777777" w:rsidR="00A33EDF" w:rsidRPr="005D4222" w:rsidRDefault="00A33EDF">
            <w:pPr>
              <w:pStyle w:val="ECDSBody"/>
              <w:spacing w:before="80"/>
            </w:pPr>
            <w:r w:rsidRPr="005D4222">
              <w:t>Submit policy clarification support questions via My NCQA (</w:t>
            </w:r>
            <w:r w:rsidRPr="005D4222">
              <w:rPr>
                <w:u w:val="single"/>
              </w:rPr>
              <w:t>https://my.ncqa.org</w:t>
            </w:r>
            <w:r w:rsidRPr="005D4222">
              <w:t>).</w:t>
            </w:r>
          </w:p>
        </w:tc>
      </w:tr>
      <w:tr w:rsidR="00A33EDF" w:rsidRPr="005D4222" w14:paraId="04AE1A63" w14:textId="77777777">
        <w:tc>
          <w:tcPr>
            <w:tcW w:w="2160" w:type="dxa"/>
            <w:tcBorders>
              <w:top w:val="single" w:sz="2" w:space="0" w:color="auto"/>
              <w:left w:val="single" w:sz="2" w:space="0" w:color="auto"/>
              <w:bottom w:val="single" w:sz="2" w:space="0" w:color="auto"/>
              <w:right w:val="single" w:sz="2" w:space="0" w:color="auto"/>
            </w:tcBorders>
            <w:shd w:val="clear" w:color="auto" w:fill="BFBFBF" w:themeFill="background1" w:themeFillShade="BF"/>
            <w:tcMar>
              <w:top w:w="0" w:type="dxa"/>
              <w:left w:w="86" w:type="dxa"/>
              <w:bottom w:w="43" w:type="dxa"/>
              <w:right w:w="86" w:type="dxa"/>
            </w:tcMar>
            <w:hideMark/>
          </w:tcPr>
          <w:p w14:paraId="5413BEC1" w14:textId="77777777" w:rsidR="00A33EDF" w:rsidRPr="005D4222" w:rsidRDefault="00A33EDF">
            <w:pPr>
              <w:pStyle w:val="ECDSMarginHead"/>
            </w:pPr>
            <w:r w:rsidRPr="005D4222">
              <w:t>Clinical recommendation statement/ rationale</w:t>
            </w:r>
          </w:p>
        </w:tc>
        <w:tc>
          <w:tcPr>
            <w:tcW w:w="7557" w:type="dxa"/>
            <w:gridSpan w:val="3"/>
            <w:tcBorders>
              <w:top w:val="single" w:sz="2" w:space="0" w:color="auto"/>
              <w:left w:val="single" w:sz="2" w:space="0" w:color="auto"/>
              <w:bottom w:val="single" w:sz="2" w:space="0" w:color="auto"/>
              <w:right w:val="single" w:sz="2" w:space="0" w:color="auto"/>
            </w:tcBorders>
            <w:tcMar>
              <w:top w:w="0" w:type="dxa"/>
              <w:left w:w="86" w:type="dxa"/>
              <w:bottom w:w="43" w:type="dxa"/>
              <w:right w:w="86" w:type="dxa"/>
            </w:tcMar>
          </w:tcPr>
          <w:p w14:paraId="1489DBC4" w14:textId="77777777" w:rsidR="00A33EDF" w:rsidRPr="005D4222" w:rsidRDefault="00A33EDF">
            <w:pPr>
              <w:pStyle w:val="ECDSBody"/>
            </w:pPr>
            <w:r w:rsidRPr="005D4222">
              <w:t>Evidence-based treatment for SUD involves both psychosocial supports and medication (Department of Veteran Affairs, 2015, Kampman et al. 2020, Michigan Quality Improvement Consortium 2015, Reus et al. 2018). Individuals who receive timely follow-up care may be more likely to complete treatment or receive more days of treatment than those who leave care prematurely (Proctor &amp; Herschman, 2014). Benefits of SUD treatment typically extend beyond reduction of substance misuse to reduced crime, reduced risk of infectious diseases and improved patient function (Pew, 2016).</w:t>
            </w:r>
          </w:p>
          <w:p w14:paraId="07C0A607" w14:textId="0186A4AE" w:rsidR="00A33EDF" w:rsidRPr="005D4222" w:rsidRDefault="00A33EDF">
            <w:pPr>
              <w:pStyle w:val="ECDSBody"/>
            </w:pPr>
            <w:r w:rsidRPr="005D4222">
              <w:t>Early treatment engagement is a critical step between accessing care and completing a full course of treatment. Individuals who engage in early SUD treatment have been found to have decreased odds of negative outcomes, including mortality (Paddock et al. 2017;</w:t>
            </w:r>
            <w:r w:rsidR="00601DD7" w:rsidRPr="005D4222">
              <w:t xml:space="preserve"> </w:t>
            </w:r>
            <w:r w:rsidRPr="005D4222">
              <w:t>Watkins et al. 2016).</w:t>
            </w:r>
          </w:p>
        </w:tc>
      </w:tr>
      <w:tr w:rsidR="00A33EDF" w:rsidRPr="005D4222" w14:paraId="18A2A9A8" w14:textId="77777777">
        <w:tc>
          <w:tcPr>
            <w:tcW w:w="2160" w:type="dxa"/>
            <w:tcBorders>
              <w:top w:val="single" w:sz="2" w:space="0" w:color="auto"/>
              <w:left w:val="single" w:sz="2" w:space="0" w:color="auto"/>
              <w:bottom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2636F227" w14:textId="77777777" w:rsidR="00A33EDF" w:rsidRPr="005D4222" w:rsidRDefault="00A33EDF">
            <w:pPr>
              <w:pStyle w:val="ECDSMarginHead"/>
            </w:pPr>
            <w:r w:rsidRPr="005D4222">
              <w:t>Citations</w:t>
            </w:r>
          </w:p>
        </w:tc>
        <w:tc>
          <w:tcPr>
            <w:tcW w:w="7557" w:type="dxa"/>
            <w:gridSpan w:val="3"/>
            <w:tcBorders>
              <w:top w:val="single" w:sz="2" w:space="0" w:color="auto"/>
              <w:left w:val="single" w:sz="2" w:space="0" w:color="auto"/>
              <w:bottom w:val="single" w:sz="2" w:space="0" w:color="auto"/>
              <w:right w:val="single" w:sz="2" w:space="0" w:color="auto"/>
            </w:tcBorders>
            <w:tcMar>
              <w:top w:w="0" w:type="dxa"/>
              <w:left w:w="86" w:type="dxa"/>
              <w:bottom w:w="43" w:type="dxa"/>
              <w:right w:w="86" w:type="dxa"/>
            </w:tcMar>
          </w:tcPr>
          <w:p w14:paraId="24F47FC3" w14:textId="77777777" w:rsidR="00A33EDF" w:rsidRPr="005D4222" w:rsidRDefault="00A33EDF">
            <w:pPr>
              <w:pStyle w:val="ECDSBody"/>
            </w:pPr>
            <w:r w:rsidRPr="005D4222">
              <w:t xml:space="preserve">Department of Veteran Affairs, Department of Defense. 2015. </w:t>
            </w:r>
            <w:r w:rsidRPr="005D4222">
              <w:rPr>
                <w:i/>
                <w:iCs/>
              </w:rPr>
              <w:t>VA/DoD Clinical Practice Guideline for the Management of Substance Use Disorders.</w:t>
            </w:r>
            <w:r w:rsidRPr="005D4222">
              <w:t xml:space="preserve"> Washington DC: Department of Veterans Affairs, Department of Defense.</w:t>
            </w:r>
          </w:p>
          <w:p w14:paraId="52D61B27" w14:textId="77777777" w:rsidR="00A33EDF" w:rsidRPr="005D4222" w:rsidRDefault="00A33EDF">
            <w:pPr>
              <w:pStyle w:val="ECDSBody"/>
            </w:pPr>
            <w:r w:rsidRPr="005D4222">
              <w:t>Kampman, K., K. Freedman. 2020. “American Society of Addiction Medicine (ASAM) National Practice Guideline for the Treatment of Opioid Use Disorder: 2020 Focused Update.”</w:t>
            </w:r>
            <w:r w:rsidRPr="005D4222">
              <w:rPr>
                <w:i/>
              </w:rPr>
              <w:t xml:space="preserve"> Journal of Addiction Medicine</w:t>
            </w:r>
            <w:r w:rsidRPr="005D4222">
              <w:t xml:space="preserve"> 14, no. 2S: 1–91, </w:t>
            </w:r>
            <w:hyperlink r:id="rId165" w:history="1">
              <w:r w:rsidRPr="005D4222">
                <w:t>https://doi.org/10.1097/ADM.0000000000000633</w:t>
              </w:r>
            </w:hyperlink>
          </w:p>
          <w:p w14:paraId="7ADC93A9" w14:textId="77777777" w:rsidR="00A33EDF" w:rsidRPr="005D4222" w:rsidRDefault="00A33EDF">
            <w:pPr>
              <w:pStyle w:val="ECDSBody"/>
            </w:pPr>
            <w:r w:rsidRPr="005D4222">
              <w:t xml:space="preserve">Michigan Quality Improvement Consortium. August 2015. </w:t>
            </w:r>
            <w:r w:rsidRPr="005D4222">
              <w:rPr>
                <w:i/>
                <w:iCs/>
              </w:rPr>
              <w:t>Screening, Diagnosis and Referral for Substance Use Disorders.</w:t>
            </w:r>
            <w:r w:rsidRPr="005D4222">
              <w:t xml:space="preserve"> Southfield (MI): Michigan Quality Improvement Consortium. 1 p.</w:t>
            </w:r>
          </w:p>
          <w:p w14:paraId="7B19BB31" w14:textId="77777777" w:rsidR="00A33EDF" w:rsidRPr="005D4222" w:rsidRDefault="00A33EDF">
            <w:pPr>
              <w:pStyle w:val="ECDSBody"/>
            </w:pPr>
            <w:r w:rsidRPr="005D4222">
              <w:lastRenderedPageBreak/>
              <w:t xml:space="preserve">Paddock, S.M., K.A. Hepner, T. Hudson, et al. 2017. “Association Between Process-Based Quality Indicators and Mortality for Patients with Substance Use Disorders.” </w:t>
            </w:r>
            <w:r w:rsidRPr="005D4222">
              <w:rPr>
                <w:i/>
                <w:iCs/>
              </w:rPr>
              <w:t xml:space="preserve">J Stud Alcohol Drugs </w:t>
            </w:r>
            <w:r w:rsidRPr="005D4222">
              <w:t>78:588–96.</w:t>
            </w:r>
          </w:p>
          <w:p w14:paraId="252F504C" w14:textId="77777777" w:rsidR="00A33EDF" w:rsidRPr="005D4222" w:rsidRDefault="00A33EDF">
            <w:pPr>
              <w:pStyle w:val="ECDSBody"/>
              <w:spacing w:before="180"/>
            </w:pPr>
            <w:r w:rsidRPr="005D4222">
              <w:t xml:space="preserve">Pew. 2016. </w:t>
            </w:r>
            <w:r w:rsidRPr="005D4222">
              <w:rPr>
                <w:i/>
                <w:iCs/>
              </w:rPr>
              <w:t>Medication-Assisted Treatment Improves Outcomes for Patient with Opioid Use Disorder</w:t>
            </w:r>
            <w:r w:rsidRPr="005D4222">
              <w:t>. https://www.pewtrusts.org/en/research-and-analysis/fact-sheets/2016/11/medication-assisted-treatment-improves-outcomes-for-patients-with-opioid-use-disorder#1-background</w:t>
            </w:r>
          </w:p>
          <w:p w14:paraId="23283313" w14:textId="77777777" w:rsidR="00A33EDF" w:rsidRPr="00C53E84" w:rsidRDefault="00A33EDF">
            <w:pPr>
              <w:pStyle w:val="ECDSBody"/>
              <w:rPr>
                <w:lang w:val="fr-FR"/>
              </w:rPr>
            </w:pPr>
            <w:r w:rsidRPr="005D4222">
              <w:t xml:space="preserve">Proctor, S.L., P.L. Herschman. 2014. “The Continuing Care Model of Substance Use Treatment: What Works, and When Is “Enough,” “Enough?” </w:t>
            </w:r>
            <w:r w:rsidRPr="00C53E84">
              <w:rPr>
                <w:i/>
                <w:lang w:val="fr-FR"/>
              </w:rPr>
              <w:t>Psychiatry Journal</w:t>
            </w:r>
            <w:r w:rsidRPr="00C53E84">
              <w:rPr>
                <w:lang w:val="fr-FR"/>
              </w:rPr>
              <w:t>, vol. 2014, Article ID 692423. https://doi.org/10.1155/2014/692423</w:t>
            </w:r>
          </w:p>
          <w:p w14:paraId="583C33F9" w14:textId="77777777" w:rsidR="00A33EDF" w:rsidRPr="005D4222" w:rsidRDefault="00A33EDF">
            <w:pPr>
              <w:pStyle w:val="ECDSBody"/>
            </w:pPr>
            <w:r w:rsidRPr="00C53E84">
              <w:rPr>
                <w:lang w:val="fr-FR"/>
              </w:rPr>
              <w:t xml:space="preserve">Reus, V., et al. 2018. </w:t>
            </w:r>
            <w:r w:rsidRPr="005D4222">
              <w:t xml:space="preserve">“Practice Guideline for the Pharmacological Treatment of Patients with Alcohol Use Disorder.” </w:t>
            </w:r>
            <w:r w:rsidRPr="005D4222">
              <w:rPr>
                <w:i/>
              </w:rPr>
              <w:t xml:space="preserve">American Journal of Psychiatry </w:t>
            </w:r>
            <w:r w:rsidRPr="005D4222">
              <w:t>175(1), 86–90. doi:10.1176/appi.ajp.2017.1750101</w:t>
            </w:r>
          </w:p>
        </w:tc>
      </w:tr>
      <w:tr w:rsidR="00A33EDF" w:rsidRPr="005D4222" w14:paraId="1E1CACB3" w14:textId="77777777">
        <w:tblPrEx>
          <w:tblCellMar>
            <w:top w:w="40" w:type="dxa"/>
          </w:tblCellMar>
        </w:tblPrEx>
        <w:tc>
          <w:tcPr>
            <w:tcW w:w="9717" w:type="dxa"/>
            <w:gridSpan w:val="4"/>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3534F79" w14:textId="77777777" w:rsidR="00A33EDF" w:rsidRPr="005D4222" w:rsidRDefault="00A33EDF">
            <w:pPr>
              <w:pStyle w:val="ECDSMarginHead"/>
            </w:pPr>
            <w:r w:rsidRPr="005D4222">
              <w:lastRenderedPageBreak/>
              <w:t>Characteristics</w:t>
            </w:r>
          </w:p>
        </w:tc>
      </w:tr>
      <w:tr w:rsidR="00A33EDF" w:rsidRPr="005D4222" w14:paraId="1B173FE9" w14:textId="77777777">
        <w:tblPrEx>
          <w:tblCellMar>
            <w:top w:w="40" w:type="dxa"/>
          </w:tblCellMar>
        </w:tblPrEx>
        <w:tc>
          <w:tcPr>
            <w:tcW w:w="2160"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4D1A1D67" w14:textId="77777777" w:rsidR="00A33EDF" w:rsidRPr="005D4222" w:rsidRDefault="00A33EDF" w:rsidP="00F807D7">
            <w:pPr>
              <w:pStyle w:val="ECDSMarginSubhead"/>
              <w:spacing w:after="0"/>
            </w:pPr>
            <w:r w:rsidRPr="005D4222">
              <w:t>Scoring</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7DE6D21B" w14:textId="77777777" w:rsidR="00A33EDF" w:rsidRPr="005D4222" w:rsidRDefault="00A33EDF">
            <w:pPr>
              <w:pStyle w:val="ECDSBody"/>
              <w:spacing w:after="0"/>
            </w:pPr>
            <w:r w:rsidRPr="005D4222">
              <w:t>Proportion.</w:t>
            </w:r>
          </w:p>
        </w:tc>
      </w:tr>
      <w:tr w:rsidR="00A33EDF" w:rsidRPr="005D4222" w14:paraId="545CD5D7" w14:textId="77777777">
        <w:tblPrEx>
          <w:tblCellMar>
            <w:top w:w="40" w:type="dxa"/>
          </w:tblCellMar>
        </w:tblPrEx>
        <w:tc>
          <w:tcPr>
            <w:tcW w:w="2160" w:type="dxa"/>
            <w:tcBorders>
              <w:top w:val="nil"/>
              <w:left w:val="single" w:sz="4" w:space="0" w:color="auto"/>
              <w:bottom w:val="nil"/>
              <w:right w:val="single" w:sz="4" w:space="0" w:color="auto"/>
            </w:tcBorders>
            <w:tcMar>
              <w:top w:w="0" w:type="dxa"/>
              <w:left w:w="86" w:type="dxa"/>
              <w:bottom w:w="43" w:type="dxa"/>
              <w:right w:w="86" w:type="dxa"/>
            </w:tcMar>
          </w:tcPr>
          <w:p w14:paraId="65FB88E9" w14:textId="77777777" w:rsidR="00A33EDF" w:rsidRPr="005D4222" w:rsidRDefault="00A33EDF" w:rsidP="00F807D7">
            <w:pPr>
              <w:pStyle w:val="ECDSMarginSubhead"/>
              <w:spacing w:after="0"/>
            </w:pPr>
            <w:r w:rsidRPr="005D4222">
              <w:t>Type</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7DC0467B" w14:textId="77777777" w:rsidR="00A33EDF" w:rsidRPr="005D4222" w:rsidRDefault="00A33EDF">
            <w:pPr>
              <w:pStyle w:val="ECDSBody"/>
              <w:spacing w:after="0"/>
            </w:pPr>
            <w:r w:rsidRPr="005D4222">
              <w:t>Process.</w:t>
            </w:r>
          </w:p>
        </w:tc>
      </w:tr>
      <w:tr w:rsidR="00A33EDF" w:rsidRPr="005D4222" w14:paraId="5FE96D78" w14:textId="77777777">
        <w:tblPrEx>
          <w:tblCellMar>
            <w:top w:w="40" w:type="dxa"/>
          </w:tblCellMar>
        </w:tblPrEx>
        <w:tc>
          <w:tcPr>
            <w:tcW w:w="2160" w:type="dxa"/>
            <w:tcBorders>
              <w:top w:val="nil"/>
              <w:left w:val="single" w:sz="4" w:space="0" w:color="auto"/>
              <w:bottom w:val="nil"/>
              <w:right w:val="single" w:sz="4" w:space="0" w:color="auto"/>
            </w:tcBorders>
            <w:tcMar>
              <w:top w:w="0" w:type="dxa"/>
              <w:left w:w="86" w:type="dxa"/>
              <w:bottom w:w="43" w:type="dxa"/>
              <w:right w:w="86" w:type="dxa"/>
            </w:tcMar>
          </w:tcPr>
          <w:p w14:paraId="08848E5F" w14:textId="59A68E3F" w:rsidR="00A33EDF" w:rsidRPr="005D4222" w:rsidRDefault="00B51CDC">
            <w:pPr>
              <w:pStyle w:val="ECDSMarginSubhead"/>
            </w:pPr>
            <w:r w:rsidRPr="005D4222">
              <w:t>Product lines</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60569040" w14:textId="77777777" w:rsidR="00A33EDF" w:rsidRPr="005D4222" w:rsidRDefault="00A33EDF" w:rsidP="005A5764">
            <w:pPr>
              <w:pStyle w:val="ProcessBullet"/>
            </w:pPr>
            <w:r w:rsidRPr="005D4222">
              <w:t>Commercial.</w:t>
            </w:r>
          </w:p>
          <w:p w14:paraId="73E8DADD" w14:textId="77777777" w:rsidR="00A33EDF" w:rsidRPr="005D4222" w:rsidRDefault="00A33EDF" w:rsidP="005A5764">
            <w:pPr>
              <w:pStyle w:val="ProcessBullet"/>
            </w:pPr>
            <w:r w:rsidRPr="005D4222">
              <w:t>Medicaid.</w:t>
            </w:r>
          </w:p>
          <w:p w14:paraId="4721348A" w14:textId="77777777" w:rsidR="00A33EDF" w:rsidRPr="005D4222" w:rsidRDefault="00A33EDF" w:rsidP="005A5764">
            <w:pPr>
              <w:pStyle w:val="ProcessBullet"/>
            </w:pPr>
            <w:r w:rsidRPr="005D4222">
              <w:t>Medicare.</w:t>
            </w:r>
          </w:p>
        </w:tc>
      </w:tr>
      <w:tr w:rsidR="00A33EDF" w:rsidRPr="005D4222" w14:paraId="35640995" w14:textId="77777777">
        <w:tblPrEx>
          <w:tblCellMar>
            <w:top w:w="40" w:type="dxa"/>
          </w:tblCellMar>
        </w:tblPrEx>
        <w:tc>
          <w:tcPr>
            <w:tcW w:w="2160"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19197E8C" w14:textId="716C81CB" w:rsidR="00A33EDF" w:rsidRPr="005D4222" w:rsidRDefault="00B51CDC">
            <w:pPr>
              <w:pStyle w:val="ECDSMarginSubhead"/>
            </w:pPr>
            <w:r w:rsidRPr="005D4222">
              <w:t>Stratifications</w:t>
            </w:r>
            <w:r w:rsidR="00A33EDF" w:rsidRPr="005D4222">
              <w:t xml:space="preserve"> </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hideMark/>
          </w:tcPr>
          <w:p w14:paraId="02186E32" w14:textId="77777777" w:rsidR="00A33EDF" w:rsidRPr="005D4222" w:rsidRDefault="00A33EDF">
            <w:pPr>
              <w:pStyle w:val="ECDSBody"/>
            </w:pPr>
            <w:r w:rsidRPr="005D4222">
              <w:t>Age as of the SUD episode date.</w:t>
            </w:r>
          </w:p>
          <w:p w14:paraId="7E482384" w14:textId="77777777" w:rsidR="00A33EDF" w:rsidRPr="005D4222" w:rsidRDefault="00A33EDF" w:rsidP="00A33EDF">
            <w:pPr>
              <w:pStyle w:val="Bullet"/>
              <w:numPr>
                <w:ilvl w:val="0"/>
                <w:numId w:val="4"/>
              </w:numPr>
              <w:tabs>
                <w:tab w:val="left" w:pos="360"/>
                <w:tab w:val="left" w:pos="576"/>
              </w:tabs>
              <w:ind w:left="576" w:hanging="216"/>
            </w:pPr>
            <w:r w:rsidRPr="005D4222">
              <w:t>13–17 years.</w:t>
            </w:r>
          </w:p>
          <w:p w14:paraId="3087775E" w14:textId="77777777" w:rsidR="00A33EDF" w:rsidRPr="005D4222" w:rsidRDefault="00A33EDF" w:rsidP="00A33EDF">
            <w:pPr>
              <w:pStyle w:val="Bullet"/>
              <w:numPr>
                <w:ilvl w:val="0"/>
                <w:numId w:val="4"/>
              </w:numPr>
              <w:tabs>
                <w:tab w:val="left" w:pos="360"/>
                <w:tab w:val="left" w:pos="576"/>
              </w:tabs>
              <w:ind w:left="576" w:hanging="216"/>
            </w:pPr>
            <w:r w:rsidRPr="005D4222">
              <w:t>18–64 years.</w:t>
            </w:r>
          </w:p>
          <w:p w14:paraId="57FB17A8" w14:textId="77777777" w:rsidR="00A33EDF" w:rsidRPr="005D4222" w:rsidRDefault="00A33EDF" w:rsidP="00A33EDF">
            <w:pPr>
              <w:pStyle w:val="Bullet"/>
              <w:numPr>
                <w:ilvl w:val="0"/>
                <w:numId w:val="4"/>
              </w:numPr>
              <w:tabs>
                <w:tab w:val="left" w:pos="360"/>
                <w:tab w:val="left" w:pos="576"/>
              </w:tabs>
              <w:ind w:left="576" w:hanging="216"/>
            </w:pPr>
            <w:r w:rsidRPr="005D4222">
              <w:t>65+ years.</w:t>
            </w:r>
          </w:p>
          <w:p w14:paraId="56C75EF2" w14:textId="77777777" w:rsidR="00A33EDF" w:rsidRPr="005D4222" w:rsidRDefault="00A33EDF">
            <w:pPr>
              <w:pStyle w:val="ECDSBody"/>
            </w:pPr>
            <w:r w:rsidRPr="005D4222">
              <w:t>SUD diagnosis cohort.</w:t>
            </w:r>
          </w:p>
          <w:p w14:paraId="39925EBA" w14:textId="77777777" w:rsidR="00A33EDF" w:rsidRPr="005D4222" w:rsidRDefault="00A33EDF" w:rsidP="00A33EDF">
            <w:pPr>
              <w:pStyle w:val="Bullet"/>
              <w:numPr>
                <w:ilvl w:val="0"/>
                <w:numId w:val="4"/>
              </w:numPr>
              <w:tabs>
                <w:tab w:val="left" w:pos="360"/>
                <w:tab w:val="left" w:pos="576"/>
              </w:tabs>
              <w:ind w:left="576" w:hanging="216"/>
            </w:pPr>
            <w:r w:rsidRPr="005D4222">
              <w:t>Alcohol use disorder.</w:t>
            </w:r>
          </w:p>
          <w:p w14:paraId="3F48E63A" w14:textId="77777777" w:rsidR="00A33EDF" w:rsidRPr="005D4222" w:rsidRDefault="00A33EDF" w:rsidP="00A33EDF">
            <w:pPr>
              <w:pStyle w:val="Bullet"/>
              <w:numPr>
                <w:ilvl w:val="0"/>
                <w:numId w:val="4"/>
              </w:numPr>
              <w:tabs>
                <w:tab w:val="left" w:pos="360"/>
                <w:tab w:val="left" w:pos="576"/>
              </w:tabs>
              <w:ind w:left="576" w:hanging="216"/>
            </w:pPr>
            <w:r w:rsidRPr="005D4222">
              <w:t>Opioid use disorder.</w:t>
            </w:r>
          </w:p>
          <w:p w14:paraId="6AB5250C" w14:textId="77777777" w:rsidR="00A33EDF" w:rsidRPr="005D4222" w:rsidRDefault="00A33EDF" w:rsidP="00A33EDF">
            <w:pPr>
              <w:pStyle w:val="Bullet"/>
              <w:numPr>
                <w:ilvl w:val="0"/>
                <w:numId w:val="4"/>
              </w:numPr>
              <w:tabs>
                <w:tab w:val="left" w:pos="360"/>
                <w:tab w:val="left" w:pos="576"/>
              </w:tabs>
              <w:ind w:left="576" w:hanging="216"/>
            </w:pPr>
            <w:r w:rsidRPr="005D4222">
              <w:t>Other substance use disorder.</w:t>
            </w:r>
          </w:p>
          <w:p w14:paraId="425B1F5E" w14:textId="25DAB89F" w:rsidR="00A33EDF" w:rsidRPr="005D4222" w:rsidRDefault="00A33EDF">
            <w:pPr>
              <w:pStyle w:val="ECDSBody"/>
            </w:pPr>
            <w:r w:rsidRPr="005D4222">
              <w:t xml:space="preserve">Race. </w:t>
            </w:r>
            <w:r w:rsidRPr="005D4222">
              <w:rPr>
                <w:lang w:eastAsia="zh-CN"/>
              </w:rPr>
              <w:t xml:space="preserve">(Refer to </w:t>
            </w:r>
            <w:hyperlink w:anchor="GG_Race_and_Ethnicity" w:history="1">
              <w:r w:rsidRPr="005D4222">
                <w:rPr>
                  <w:rStyle w:val="Hyperlink"/>
                  <w:i/>
                  <w:lang w:eastAsia="zh-CN"/>
                </w:rPr>
                <w:t>General Guideline: Race and Ethnicity Stratification</w:t>
              </w:r>
            </w:hyperlink>
            <w:r w:rsidRPr="005D4222">
              <w:rPr>
                <w:i/>
                <w:iCs/>
                <w:lang w:eastAsia="zh-CN"/>
              </w:rPr>
              <w:t>.</w:t>
            </w:r>
            <w:r w:rsidRPr="005D4222">
              <w:rPr>
                <w:lang w:eastAsia="zh-CN"/>
              </w:rPr>
              <w:t>)</w:t>
            </w:r>
            <w:r w:rsidRPr="005D4222" w:rsidDel="00390947">
              <w:t xml:space="preserve"> </w:t>
            </w:r>
          </w:p>
          <w:p w14:paraId="3CCF231A" w14:textId="77777777" w:rsidR="00A33EDF" w:rsidRPr="005D4222" w:rsidRDefault="00A33EDF" w:rsidP="00A33EDF">
            <w:pPr>
              <w:pStyle w:val="Bullet"/>
              <w:numPr>
                <w:ilvl w:val="0"/>
                <w:numId w:val="4"/>
              </w:numPr>
              <w:tabs>
                <w:tab w:val="left" w:pos="360"/>
                <w:tab w:val="left" w:pos="576"/>
              </w:tabs>
              <w:ind w:left="576" w:hanging="216"/>
            </w:pPr>
            <w:r w:rsidRPr="005D4222">
              <w:t xml:space="preserve">American Indian or Alaska Native. </w:t>
            </w:r>
          </w:p>
          <w:p w14:paraId="718280FF" w14:textId="77777777" w:rsidR="00A33EDF" w:rsidRPr="005D4222" w:rsidRDefault="00A33EDF" w:rsidP="00A33EDF">
            <w:pPr>
              <w:pStyle w:val="Bullet"/>
              <w:numPr>
                <w:ilvl w:val="0"/>
                <w:numId w:val="4"/>
              </w:numPr>
              <w:tabs>
                <w:tab w:val="left" w:pos="360"/>
                <w:tab w:val="left" w:pos="576"/>
              </w:tabs>
              <w:ind w:left="576" w:hanging="216"/>
            </w:pPr>
            <w:r w:rsidRPr="005D4222">
              <w:t xml:space="preserve">Asian. </w:t>
            </w:r>
          </w:p>
          <w:p w14:paraId="369BADB3" w14:textId="77777777" w:rsidR="00A33EDF" w:rsidRPr="005D4222" w:rsidRDefault="00A33EDF" w:rsidP="00A33EDF">
            <w:pPr>
              <w:pStyle w:val="Bullet"/>
              <w:numPr>
                <w:ilvl w:val="0"/>
                <w:numId w:val="4"/>
              </w:numPr>
              <w:tabs>
                <w:tab w:val="left" w:pos="360"/>
                <w:tab w:val="left" w:pos="576"/>
              </w:tabs>
              <w:ind w:left="576" w:hanging="216"/>
            </w:pPr>
            <w:r w:rsidRPr="005D4222">
              <w:t>Black or African American.</w:t>
            </w:r>
          </w:p>
          <w:p w14:paraId="0D6377A2" w14:textId="77777777" w:rsidR="00A33EDF" w:rsidRPr="005D4222" w:rsidRDefault="00A33EDF" w:rsidP="00A33EDF">
            <w:pPr>
              <w:pStyle w:val="Bullet"/>
              <w:numPr>
                <w:ilvl w:val="0"/>
                <w:numId w:val="4"/>
              </w:numPr>
              <w:tabs>
                <w:tab w:val="left" w:pos="360"/>
                <w:tab w:val="left" w:pos="576"/>
              </w:tabs>
              <w:ind w:left="576" w:hanging="216"/>
            </w:pPr>
            <w:r w:rsidRPr="005D4222">
              <w:t xml:space="preserve">Middle Eastern or North African. </w:t>
            </w:r>
          </w:p>
          <w:p w14:paraId="3BF13FE5" w14:textId="77777777" w:rsidR="00A33EDF" w:rsidRPr="005D4222" w:rsidRDefault="00A33EDF" w:rsidP="00A33EDF">
            <w:pPr>
              <w:pStyle w:val="Bullet"/>
              <w:numPr>
                <w:ilvl w:val="0"/>
                <w:numId w:val="4"/>
              </w:numPr>
              <w:tabs>
                <w:tab w:val="left" w:pos="360"/>
                <w:tab w:val="left" w:pos="576"/>
              </w:tabs>
              <w:ind w:left="576" w:hanging="216"/>
            </w:pPr>
            <w:r w:rsidRPr="005D4222">
              <w:t xml:space="preserve">Native Hawaiian or Pacific Islander. </w:t>
            </w:r>
          </w:p>
          <w:p w14:paraId="312CF6F4" w14:textId="77777777" w:rsidR="00A33EDF" w:rsidRPr="005D4222" w:rsidRDefault="00A33EDF" w:rsidP="00A33EDF">
            <w:pPr>
              <w:pStyle w:val="Bullet"/>
              <w:numPr>
                <w:ilvl w:val="0"/>
                <w:numId w:val="4"/>
              </w:numPr>
              <w:tabs>
                <w:tab w:val="left" w:pos="360"/>
                <w:tab w:val="left" w:pos="576"/>
              </w:tabs>
              <w:ind w:left="576" w:hanging="216"/>
            </w:pPr>
            <w:r w:rsidRPr="005D4222">
              <w:t xml:space="preserve">White. </w:t>
            </w:r>
          </w:p>
          <w:p w14:paraId="250AC26A" w14:textId="77777777" w:rsidR="00A33EDF" w:rsidRPr="005D4222" w:rsidRDefault="00A33EDF" w:rsidP="00A33EDF">
            <w:pPr>
              <w:pStyle w:val="Bullet"/>
              <w:numPr>
                <w:ilvl w:val="0"/>
                <w:numId w:val="4"/>
              </w:numPr>
              <w:tabs>
                <w:tab w:val="left" w:pos="360"/>
                <w:tab w:val="left" w:pos="576"/>
              </w:tabs>
              <w:ind w:left="576" w:hanging="216"/>
            </w:pPr>
            <w:r w:rsidRPr="005D4222">
              <w:t xml:space="preserve">Some Other Race. </w:t>
            </w:r>
          </w:p>
          <w:p w14:paraId="28D112D5" w14:textId="77777777" w:rsidR="00A33EDF" w:rsidRPr="005D4222" w:rsidRDefault="00A33EDF" w:rsidP="00A33EDF">
            <w:pPr>
              <w:pStyle w:val="Bullet"/>
              <w:numPr>
                <w:ilvl w:val="0"/>
                <w:numId w:val="4"/>
              </w:numPr>
              <w:tabs>
                <w:tab w:val="left" w:pos="360"/>
                <w:tab w:val="left" w:pos="576"/>
              </w:tabs>
              <w:ind w:left="576" w:hanging="216"/>
            </w:pPr>
            <w:r w:rsidRPr="005D4222">
              <w:t xml:space="preserve">Two or More Races. </w:t>
            </w:r>
          </w:p>
          <w:p w14:paraId="29D39767" w14:textId="142D52DE" w:rsidR="00A33EDF" w:rsidRPr="005D4222" w:rsidRDefault="00A33EDF" w:rsidP="00A33EDF">
            <w:pPr>
              <w:pStyle w:val="Bullet"/>
              <w:numPr>
                <w:ilvl w:val="0"/>
                <w:numId w:val="4"/>
              </w:numPr>
              <w:tabs>
                <w:tab w:val="left" w:pos="360"/>
                <w:tab w:val="left" w:pos="576"/>
              </w:tabs>
              <w:spacing w:after="80"/>
              <w:ind w:left="576" w:hanging="216"/>
              <w:rPr>
                <w:rFonts w:eastAsia="Arial,Arial,Arial,Arial,Arial,A"/>
              </w:rPr>
            </w:pPr>
            <w:r w:rsidRPr="005D4222">
              <w:t>Asked But No Answer.</w:t>
            </w:r>
          </w:p>
        </w:tc>
      </w:tr>
      <w:tr w:rsidR="00A33EDF" w:rsidRPr="005D4222" w14:paraId="0E58F36B" w14:textId="77777777">
        <w:tblPrEx>
          <w:tblCellMar>
            <w:top w:w="40" w:type="dxa"/>
          </w:tblCellMar>
        </w:tblPrEx>
        <w:tc>
          <w:tcPr>
            <w:tcW w:w="2160"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59D077B0" w14:textId="77777777" w:rsidR="00A33EDF" w:rsidRPr="005D4222" w:rsidRDefault="00A33EDF">
            <w:pPr>
              <w:pStyle w:val="MarginHead"/>
            </w:pP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tcPr>
          <w:p w14:paraId="0DC46F36" w14:textId="77777777" w:rsidR="00135D84" w:rsidRPr="005D4222" w:rsidRDefault="00135D84" w:rsidP="00135D84">
            <w:pPr>
              <w:pStyle w:val="Bullet"/>
              <w:numPr>
                <w:ilvl w:val="0"/>
                <w:numId w:val="4"/>
              </w:numPr>
              <w:tabs>
                <w:tab w:val="left" w:pos="360"/>
                <w:tab w:val="left" w:pos="576"/>
              </w:tabs>
              <w:ind w:left="576" w:hanging="216"/>
            </w:pPr>
            <w:r w:rsidRPr="005D4222">
              <w:t>Unknown.</w:t>
            </w:r>
          </w:p>
          <w:p w14:paraId="43EB1E18" w14:textId="77777777" w:rsidR="00135D84" w:rsidRPr="005D4222" w:rsidRDefault="00135D84" w:rsidP="00135D84">
            <w:pPr>
              <w:pStyle w:val="ECDSBody"/>
            </w:pPr>
            <w:r w:rsidRPr="005D4222">
              <w:t xml:space="preserve">Ethnicity. </w:t>
            </w:r>
            <w:r w:rsidRPr="005D4222">
              <w:rPr>
                <w:lang w:eastAsia="zh-CN"/>
              </w:rPr>
              <w:t xml:space="preserve">(Refer to </w:t>
            </w:r>
            <w:hyperlink w:anchor="GG_Race_and_Ethnicity" w:history="1">
              <w:r w:rsidRPr="005D4222">
                <w:rPr>
                  <w:rStyle w:val="Hyperlink"/>
                  <w:i/>
                  <w:lang w:eastAsia="zh-CN"/>
                </w:rPr>
                <w:t>General Guideline: Race and Ethnicity Stratification</w:t>
              </w:r>
            </w:hyperlink>
            <w:r w:rsidRPr="005D4222">
              <w:t xml:space="preserve">.) </w:t>
            </w:r>
          </w:p>
          <w:p w14:paraId="2DEE5EC2" w14:textId="77777777" w:rsidR="00135D84" w:rsidRPr="005D4222" w:rsidRDefault="00135D84" w:rsidP="00135D84">
            <w:pPr>
              <w:pStyle w:val="Bullet"/>
              <w:numPr>
                <w:ilvl w:val="0"/>
                <w:numId w:val="4"/>
              </w:numPr>
              <w:tabs>
                <w:tab w:val="left" w:pos="360"/>
                <w:tab w:val="left" w:pos="576"/>
              </w:tabs>
              <w:spacing w:after="80"/>
              <w:ind w:left="576" w:hanging="216"/>
              <w:rPr>
                <w:rFonts w:eastAsia="Arial,Arial,Arial,Arial,Arial,A"/>
              </w:rPr>
            </w:pPr>
            <w:r w:rsidRPr="005D4222">
              <w:t>Hispanic or Latino.</w:t>
            </w:r>
          </w:p>
          <w:p w14:paraId="2D8C7D9F" w14:textId="77777777" w:rsidR="00A33EDF" w:rsidRPr="005D4222" w:rsidRDefault="00A33EDF" w:rsidP="00A33EDF">
            <w:pPr>
              <w:pStyle w:val="Bullet"/>
              <w:numPr>
                <w:ilvl w:val="0"/>
                <w:numId w:val="4"/>
              </w:numPr>
              <w:tabs>
                <w:tab w:val="left" w:pos="360"/>
                <w:tab w:val="left" w:pos="576"/>
              </w:tabs>
              <w:spacing w:after="80"/>
              <w:ind w:left="576" w:hanging="216"/>
              <w:rPr>
                <w:rFonts w:eastAsia="Arial,Arial,Arial,Arial,Arial,A"/>
              </w:rPr>
            </w:pPr>
            <w:r w:rsidRPr="005D4222">
              <w:t>Not Hispanic or Latino.</w:t>
            </w:r>
          </w:p>
          <w:p w14:paraId="01BBF8B5" w14:textId="77777777" w:rsidR="00A33EDF" w:rsidRPr="005D4222" w:rsidRDefault="00A33EDF" w:rsidP="00A33EDF">
            <w:pPr>
              <w:pStyle w:val="Bullet"/>
              <w:numPr>
                <w:ilvl w:val="0"/>
                <w:numId w:val="4"/>
              </w:numPr>
              <w:tabs>
                <w:tab w:val="left" w:pos="360"/>
                <w:tab w:val="left" w:pos="576"/>
              </w:tabs>
              <w:ind w:left="576" w:hanging="216"/>
            </w:pPr>
            <w:r w:rsidRPr="005D4222">
              <w:t>Asked But No Answer.</w:t>
            </w:r>
          </w:p>
          <w:p w14:paraId="2340F738" w14:textId="77777777" w:rsidR="00A33EDF" w:rsidRPr="005D4222" w:rsidRDefault="00A33EDF" w:rsidP="00A33EDF">
            <w:pPr>
              <w:pStyle w:val="Bullet"/>
              <w:numPr>
                <w:ilvl w:val="0"/>
                <w:numId w:val="4"/>
              </w:numPr>
              <w:tabs>
                <w:tab w:val="left" w:pos="360"/>
                <w:tab w:val="left" w:pos="576"/>
              </w:tabs>
              <w:ind w:left="576" w:hanging="216"/>
            </w:pPr>
            <w:r w:rsidRPr="005D4222">
              <w:t>Unknown.</w:t>
            </w:r>
          </w:p>
        </w:tc>
      </w:tr>
      <w:tr w:rsidR="00A33EDF" w:rsidRPr="005D4222" w14:paraId="76D0AE56" w14:textId="77777777">
        <w:tblPrEx>
          <w:tblCellMar>
            <w:top w:w="40" w:type="dxa"/>
          </w:tblCellMar>
        </w:tblPrEx>
        <w:tc>
          <w:tcPr>
            <w:tcW w:w="2160" w:type="dxa"/>
            <w:tcBorders>
              <w:top w:val="nil"/>
              <w:left w:val="single" w:sz="4" w:space="0" w:color="auto"/>
              <w:bottom w:val="nil"/>
              <w:right w:val="single" w:sz="4" w:space="0" w:color="auto"/>
            </w:tcBorders>
            <w:tcMar>
              <w:top w:w="0" w:type="dxa"/>
              <w:left w:w="86" w:type="dxa"/>
              <w:bottom w:w="43" w:type="dxa"/>
              <w:right w:w="86" w:type="dxa"/>
            </w:tcMar>
          </w:tcPr>
          <w:p w14:paraId="057F12B6" w14:textId="77777777" w:rsidR="00A33EDF" w:rsidRPr="005D4222" w:rsidRDefault="00A33EDF" w:rsidP="00135D84">
            <w:pPr>
              <w:pStyle w:val="ECDSMarginSubhead"/>
              <w:spacing w:after="0"/>
            </w:pPr>
            <w:r w:rsidRPr="005D4222">
              <w:t>Risk adjustment</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76FD847D" w14:textId="77777777" w:rsidR="00A33EDF" w:rsidRPr="005D4222" w:rsidRDefault="00A33EDF">
            <w:pPr>
              <w:pStyle w:val="ECDSBody"/>
              <w:spacing w:after="0"/>
            </w:pPr>
            <w:r w:rsidRPr="005D4222">
              <w:t>None.</w:t>
            </w:r>
          </w:p>
        </w:tc>
      </w:tr>
      <w:tr w:rsidR="00A33EDF" w:rsidRPr="005D4222" w14:paraId="7058B1DE" w14:textId="77777777">
        <w:tblPrEx>
          <w:tblCellMar>
            <w:top w:w="40" w:type="dxa"/>
          </w:tblCellMar>
        </w:tblPrEx>
        <w:tc>
          <w:tcPr>
            <w:tcW w:w="2160" w:type="dxa"/>
            <w:tcBorders>
              <w:top w:val="nil"/>
              <w:left w:val="single" w:sz="4" w:space="0" w:color="auto"/>
              <w:bottom w:val="nil"/>
              <w:right w:val="single" w:sz="4" w:space="0" w:color="auto"/>
            </w:tcBorders>
            <w:tcMar>
              <w:top w:w="0" w:type="dxa"/>
              <w:left w:w="86" w:type="dxa"/>
              <w:bottom w:w="43" w:type="dxa"/>
              <w:right w:w="86" w:type="dxa"/>
            </w:tcMar>
          </w:tcPr>
          <w:p w14:paraId="3EBD0E0E" w14:textId="77777777" w:rsidR="00A33EDF" w:rsidRPr="005D4222" w:rsidRDefault="00A33EDF" w:rsidP="00135D84">
            <w:pPr>
              <w:pStyle w:val="ECDSMarginSubhead"/>
              <w:spacing w:after="0"/>
            </w:pPr>
            <w:r w:rsidRPr="005D4222">
              <w:t>Improvement notation</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75D10FD1" w14:textId="77777777" w:rsidR="00A33EDF" w:rsidRPr="005D4222" w:rsidRDefault="00A33EDF">
            <w:pPr>
              <w:pStyle w:val="ECDSBody"/>
              <w:spacing w:after="0"/>
            </w:pPr>
            <w:r w:rsidRPr="005D4222">
              <w:t>Increased score indicates improvement.</w:t>
            </w:r>
          </w:p>
        </w:tc>
      </w:tr>
      <w:tr w:rsidR="00A33EDF" w:rsidRPr="005D4222" w14:paraId="23F753AD" w14:textId="77777777">
        <w:tblPrEx>
          <w:tblCellMar>
            <w:top w:w="40" w:type="dxa"/>
          </w:tblCellMar>
        </w:tblPrEx>
        <w:tc>
          <w:tcPr>
            <w:tcW w:w="2160"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15AC960D" w14:textId="77777777" w:rsidR="00A33EDF" w:rsidRPr="005D4222" w:rsidRDefault="00A33EDF">
            <w:pPr>
              <w:pStyle w:val="ECDSMarginSubhead"/>
            </w:pPr>
            <w:r w:rsidRPr="005D4222">
              <w:t>Guidance</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190522B4" w14:textId="1D4E08E5" w:rsidR="00A33EDF" w:rsidRPr="005D4222" w:rsidRDefault="00A33EDF">
            <w:pPr>
              <w:pStyle w:val="ECDSBody"/>
            </w:pPr>
            <w:r w:rsidRPr="005D4222">
              <w:rPr>
                <w:b/>
              </w:rPr>
              <w:t>Data collection methodology:</w:t>
            </w:r>
            <w:r w:rsidRPr="005D4222">
              <w:t xml:space="preserve"> Administrative. Refer to </w:t>
            </w:r>
            <w:hyperlink w:anchor="General_Guideline_Data_Collection_Method" w:history="1">
              <w:r w:rsidRPr="005D4222">
                <w:rPr>
                  <w:rStyle w:val="Hyperlink"/>
                  <w:i/>
                </w:rPr>
                <w:t>General Guideline: Data Collection Methods</w:t>
              </w:r>
            </w:hyperlink>
            <w:r w:rsidRPr="005D4222">
              <w:t xml:space="preserve"> for additional information. </w:t>
            </w:r>
          </w:p>
          <w:p w14:paraId="75110CC8" w14:textId="77777777" w:rsidR="00A33EDF" w:rsidRPr="005D4222" w:rsidRDefault="00A33EDF">
            <w:pPr>
              <w:pStyle w:val="ECDSBody"/>
            </w:pPr>
            <w:r w:rsidRPr="005D4222">
              <w:rPr>
                <w:b/>
              </w:rPr>
              <w:t xml:space="preserve">Date specificity: </w:t>
            </w:r>
            <w:r w:rsidRPr="005D4222">
              <w:t>Dates must be specific enough to determine the event occurred in the period being measured.</w:t>
            </w:r>
          </w:p>
          <w:p w14:paraId="2A245A1B" w14:textId="77777777" w:rsidR="00A33EDF" w:rsidRPr="005D4222" w:rsidRDefault="00A33EDF">
            <w:pPr>
              <w:pStyle w:val="ECDSBody"/>
              <w:rPr>
                <w:b/>
                <w:bCs w:val="0"/>
              </w:rPr>
            </w:pPr>
            <w:r w:rsidRPr="005D4222">
              <w:rPr>
                <w:b/>
              </w:rPr>
              <w:t xml:space="preserve">What services count? </w:t>
            </w:r>
          </w:p>
          <w:p w14:paraId="4FA1849D" w14:textId="77777777" w:rsidR="00A33EDF" w:rsidRPr="005D4222" w:rsidRDefault="00A33EDF" w:rsidP="00135D84">
            <w:pPr>
              <w:pStyle w:val="ProcessBullet"/>
            </w:pPr>
            <w:r w:rsidRPr="005D4222">
              <w:t xml:space="preserve">When using claims, include all paid, suspended, pending and denied claims. </w:t>
            </w:r>
          </w:p>
          <w:p w14:paraId="02696DD4" w14:textId="77777777" w:rsidR="00A33EDF" w:rsidRPr="005D4222" w:rsidRDefault="00A33EDF" w:rsidP="00135D84">
            <w:pPr>
              <w:pStyle w:val="ProcessBullet"/>
            </w:pPr>
            <w:r w:rsidRPr="005D4222">
              <w:t>Organizations may have different methods for billing intensive outpatient visits and partial hospitalizations. Some methods may be comparable to outpatient billing, with separate claims for each date of service; others may be comparable to inpatient billing, with an admission date, a discharge date and units of service. Organizations whose billing methods are comparable to inpatient billing may count each unit of service as an individual visit. The unit of service must have occurred during the required time frame for the rate.</w:t>
            </w:r>
          </w:p>
          <w:p w14:paraId="21A71BFC" w14:textId="77777777" w:rsidR="00A33EDF" w:rsidRPr="005D4222" w:rsidRDefault="00A33EDF">
            <w:pPr>
              <w:pStyle w:val="ECDSBody"/>
              <w:rPr>
                <w:b/>
              </w:rPr>
            </w:pPr>
            <w:r w:rsidRPr="005D4222">
              <w:rPr>
                <w:b/>
              </w:rPr>
              <w:t>Medication lists:</w:t>
            </w:r>
          </w:p>
          <w:p w14:paraId="22E94E58" w14:textId="77777777" w:rsidR="00A33EDF" w:rsidRPr="005D4222" w:rsidRDefault="00A33EDF" w:rsidP="00135D84">
            <w:pPr>
              <w:pStyle w:val="ProcessBullet"/>
            </w:pPr>
            <w:r w:rsidRPr="005D4222">
              <w:t xml:space="preserve">Methadone is not included on the medication lists for this measure. Methadone for opioid use disorder (OUD), administered or dispensed by federally certified opioid treatment programs </w:t>
            </w:r>
            <w:r w:rsidRPr="005D4222" w:rsidDel="00915669">
              <w:t>(OTP)</w:t>
            </w:r>
            <w:r w:rsidRPr="005D4222">
              <w:t xml:space="preserve"> is billed on a medical claim. A pharmacy claim for methadone would indicate treatment for pain rather than for OUD.</w:t>
            </w:r>
          </w:p>
          <w:p w14:paraId="6B6F4E7F" w14:textId="77777777" w:rsidR="00A33EDF" w:rsidRPr="005D4222" w:rsidRDefault="00A33EDF" w:rsidP="00135D84">
            <w:pPr>
              <w:pStyle w:val="ProcessBullet"/>
              <w:rPr>
                <w:rStyle w:val="eop"/>
                <w:rFonts w:eastAsiaTheme="majorEastAsia"/>
              </w:rPr>
            </w:pPr>
            <w:r w:rsidRPr="005D4222">
              <w:rPr>
                <w:rFonts w:cs="Arial"/>
                <w:color w:val="000000"/>
                <w:shd w:val="clear" w:color="auto" w:fill="FFFFFF"/>
              </w:rPr>
              <w:t>If an organization uses both pharmacy data (NDC codes) and clinical data (RxNorm codes) for reporting</w:t>
            </w:r>
            <w:r w:rsidRPr="005D4222">
              <w:rPr>
                <w:rFonts w:cs="Arial"/>
                <w:shd w:val="clear" w:color="auto" w:fill="FFFFFF"/>
              </w:rPr>
              <w:t xml:space="preserve">, </w:t>
            </w:r>
            <w:r w:rsidRPr="005D4222">
              <w:rPr>
                <w:rFonts w:cs="Arial"/>
                <w:i/>
                <w:shd w:val="clear" w:color="auto" w:fill="FFFFFF"/>
              </w:rPr>
              <w:t>and</w:t>
            </w:r>
            <w:r w:rsidRPr="005D4222">
              <w:rPr>
                <w:rFonts w:cs="Arial"/>
                <w:shd w:val="clear" w:color="auto" w:fill="FFFFFF"/>
              </w:rPr>
              <w:t xml:space="preserve"> there are both NDC and RxNorm codes on the same date of service, use only one data source for the date of service.</w:t>
            </w:r>
            <w:r w:rsidRPr="005D4222">
              <w:rPr>
                <w:rStyle w:val="eop"/>
                <w:rFonts w:eastAsiaTheme="majorEastAsia" w:cs="Arial"/>
                <w:shd w:val="clear" w:color="auto" w:fill="FFFFFF"/>
              </w:rPr>
              <w:t xml:space="preserve"> </w:t>
            </w:r>
          </w:p>
          <w:p w14:paraId="6EEA0CBB" w14:textId="45CB4745" w:rsidR="00A33EDF" w:rsidRPr="005D4222" w:rsidRDefault="00A33EDF" w:rsidP="00135D84">
            <w:pPr>
              <w:pStyle w:val="ECDSBody"/>
            </w:pPr>
            <w:r w:rsidRPr="005D4222">
              <w:rPr>
                <w:b/>
                <w:bCs w:val="0"/>
              </w:rPr>
              <w:t>Other guidance</w:t>
            </w:r>
            <w:r w:rsidRPr="005D4222">
              <w:rPr>
                <w:b/>
              </w:rPr>
              <w:t>:</w:t>
            </w:r>
            <w:r w:rsidRPr="005D4222">
              <w:t xml:space="preserve"> The measure is based on episodes; therefore, it is possible for the denominator to include multiple events for the same person.</w:t>
            </w:r>
          </w:p>
        </w:tc>
      </w:tr>
      <w:tr w:rsidR="00A33EDF" w:rsidRPr="005D4222" w14:paraId="7A915C32" w14:textId="77777777">
        <w:tblPrEx>
          <w:tblCellMar>
            <w:top w:w="40" w:type="dxa"/>
          </w:tblCellMar>
        </w:tblPrEx>
        <w:tc>
          <w:tcPr>
            <w:tcW w:w="9717" w:type="dxa"/>
            <w:gridSpan w:val="4"/>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251E37F" w14:textId="77777777" w:rsidR="00A33EDF" w:rsidRPr="005D4222" w:rsidRDefault="00A33EDF">
            <w:pPr>
              <w:pStyle w:val="ECDSMarginHead"/>
            </w:pPr>
            <w:r w:rsidRPr="005D4222">
              <w:t xml:space="preserve">Definitions </w:t>
            </w:r>
          </w:p>
        </w:tc>
      </w:tr>
      <w:tr w:rsidR="00A33EDF" w:rsidRPr="005D4222" w14:paraId="6469A112" w14:textId="77777777" w:rsidTr="00135D84">
        <w:tblPrEx>
          <w:tblCellMar>
            <w:top w:w="40" w:type="dxa"/>
          </w:tblCellMar>
        </w:tblPrEx>
        <w:tc>
          <w:tcPr>
            <w:tcW w:w="2160" w:type="dxa"/>
            <w:tcBorders>
              <w:top w:val="single" w:sz="4" w:space="0" w:color="auto"/>
              <w:left w:val="single" w:sz="2" w:space="0" w:color="auto"/>
              <w:bottom w:val="single" w:sz="4" w:space="0" w:color="auto"/>
              <w:right w:val="single" w:sz="4" w:space="0" w:color="auto"/>
            </w:tcBorders>
            <w:tcMar>
              <w:top w:w="0" w:type="dxa"/>
              <w:left w:w="86" w:type="dxa"/>
              <w:bottom w:w="43" w:type="dxa"/>
              <w:right w:w="86" w:type="dxa"/>
            </w:tcMar>
          </w:tcPr>
          <w:p w14:paraId="358ADAEF" w14:textId="77777777" w:rsidR="00A33EDF" w:rsidRPr="005D4222" w:rsidRDefault="00A33EDF">
            <w:pPr>
              <w:pStyle w:val="ECDSMarginSubhead"/>
            </w:pPr>
            <w:r w:rsidRPr="005D4222">
              <w:t>Date of service for services billed weekly or monthly</w:t>
            </w:r>
          </w:p>
        </w:tc>
        <w:tc>
          <w:tcPr>
            <w:tcW w:w="7557" w:type="dxa"/>
            <w:gridSpan w:val="3"/>
            <w:tcBorders>
              <w:top w:val="single" w:sz="4" w:space="0" w:color="auto"/>
              <w:left w:val="nil"/>
              <w:bottom w:val="single" w:sz="4" w:space="0" w:color="auto"/>
              <w:right w:val="single" w:sz="2" w:space="0" w:color="auto"/>
            </w:tcBorders>
            <w:tcMar>
              <w:top w:w="0" w:type="dxa"/>
              <w:left w:w="86" w:type="dxa"/>
              <w:bottom w:w="43" w:type="dxa"/>
              <w:right w:w="86" w:type="dxa"/>
            </w:tcMar>
          </w:tcPr>
          <w:p w14:paraId="2AFDC48A" w14:textId="77777777" w:rsidR="00A33EDF" w:rsidRPr="005D4222" w:rsidRDefault="00A33EDF" w:rsidP="00135D84">
            <w:pPr>
              <w:pStyle w:val="ECDSBody"/>
              <w:rPr>
                <w:szCs w:val="21"/>
              </w:rPr>
            </w:pPr>
            <w:r w:rsidRPr="005D4222">
              <w:t>For an opioid treatment service that bills monthly or weekly (</w:t>
            </w:r>
            <w:r w:rsidRPr="005D4222">
              <w:rPr>
                <w:u w:val="single"/>
              </w:rPr>
              <w:t>OUD Weekly Non Drug Service Value Set</w:t>
            </w:r>
            <w:r w:rsidRPr="005D4222">
              <w:t xml:space="preserve">; </w:t>
            </w:r>
            <w:r w:rsidRPr="005D4222">
              <w:rPr>
                <w:u w:val="single"/>
              </w:rPr>
              <w:t>OUD Monthly Office Based Treatment Value Set</w:t>
            </w:r>
            <w:r w:rsidRPr="005D4222">
              <w:t xml:space="preserve">; </w:t>
            </w:r>
            <w:r w:rsidRPr="005D4222">
              <w:rPr>
                <w:u w:val="single"/>
              </w:rPr>
              <w:t>OUD Weekly Drug Treatment Service Value Set</w:t>
            </w:r>
            <w:r w:rsidRPr="005D4222">
              <w:t>), if the service includes a range of dates, then use the earliest date as the date of service. Use this date for all relevant events (the</w:t>
            </w:r>
            <w:r w:rsidRPr="005D4222" w:rsidDel="00507A8D">
              <w:t xml:space="preserve"> </w:t>
            </w:r>
            <w:r w:rsidRPr="005D4222">
              <w:t>SUD episode date, negative diagnosis history and numerator events).</w:t>
            </w:r>
          </w:p>
        </w:tc>
      </w:tr>
    </w:tbl>
    <w:p w14:paraId="0827DC42" w14:textId="77777777" w:rsidR="00135D84" w:rsidRPr="005D4222" w:rsidRDefault="00135D84"/>
    <w:tbl>
      <w:tblPr>
        <w:tblW w:w="0" w:type="auto"/>
        <w:tblInd w:w="-3" w:type="dxa"/>
        <w:tblBorders>
          <w:top w:val="single" w:sz="4" w:space="0" w:color="auto"/>
          <w:left w:val="single" w:sz="2" w:space="0" w:color="auto"/>
          <w:bottom w:val="single" w:sz="4" w:space="0" w:color="auto"/>
          <w:right w:val="single" w:sz="2" w:space="0" w:color="auto"/>
          <w:insideH w:val="single" w:sz="4" w:space="0" w:color="auto"/>
          <w:insideV w:val="single" w:sz="4" w:space="0" w:color="auto"/>
        </w:tblBorders>
        <w:tblLayout w:type="fixed"/>
        <w:tblCellMar>
          <w:top w:w="40" w:type="dxa"/>
          <w:left w:w="86" w:type="dxa"/>
          <w:bottom w:w="43" w:type="dxa"/>
          <w:right w:w="86" w:type="dxa"/>
        </w:tblCellMar>
        <w:tblLook w:val="04A0" w:firstRow="1" w:lastRow="0" w:firstColumn="1" w:lastColumn="0" w:noHBand="0" w:noVBand="1"/>
      </w:tblPr>
      <w:tblGrid>
        <w:gridCol w:w="2160"/>
        <w:gridCol w:w="7557"/>
      </w:tblGrid>
      <w:tr w:rsidR="00A33EDF" w:rsidRPr="005D4222" w14:paraId="5222F096" w14:textId="77777777" w:rsidTr="00135D84">
        <w:tc>
          <w:tcPr>
            <w:tcW w:w="2160" w:type="dxa"/>
            <w:tcBorders>
              <w:bottom w:val="nil"/>
            </w:tcBorders>
            <w:tcMar>
              <w:top w:w="0" w:type="dxa"/>
              <w:left w:w="86" w:type="dxa"/>
              <w:bottom w:w="43" w:type="dxa"/>
              <w:right w:w="86" w:type="dxa"/>
            </w:tcMar>
          </w:tcPr>
          <w:p w14:paraId="43551F8F" w14:textId="77777777" w:rsidR="00A33EDF" w:rsidRPr="005D4222" w:rsidRDefault="00A33EDF">
            <w:pPr>
              <w:pStyle w:val="ECDSMarginSubhead"/>
            </w:pPr>
            <w:r w:rsidRPr="005D4222">
              <w:lastRenderedPageBreak/>
              <w:t>Direct transfer</w:t>
            </w:r>
          </w:p>
        </w:tc>
        <w:tc>
          <w:tcPr>
            <w:tcW w:w="7557" w:type="dxa"/>
            <w:tcBorders>
              <w:bottom w:val="nil"/>
            </w:tcBorders>
            <w:tcMar>
              <w:top w:w="0" w:type="dxa"/>
              <w:left w:w="86" w:type="dxa"/>
              <w:bottom w:w="43" w:type="dxa"/>
              <w:right w:w="86" w:type="dxa"/>
            </w:tcMar>
          </w:tcPr>
          <w:p w14:paraId="33A879A1" w14:textId="77777777" w:rsidR="00A33EDF" w:rsidRPr="005D4222" w:rsidRDefault="00A33EDF">
            <w:pPr>
              <w:pStyle w:val="ECDSBody"/>
            </w:pPr>
            <w:r w:rsidRPr="005D4222">
              <w:t xml:space="preserve">The discharge date from the first inpatient setting precedes the admission date to a second inpatient setting by 1 calendar day or less. </w:t>
            </w:r>
          </w:p>
          <w:p w14:paraId="614EF6AB" w14:textId="77777777" w:rsidR="00A33EDF" w:rsidRPr="005D4222" w:rsidRDefault="00A33EDF" w:rsidP="00A33EDF">
            <w:pPr>
              <w:pStyle w:val="Bullet"/>
              <w:numPr>
                <w:ilvl w:val="0"/>
                <w:numId w:val="4"/>
              </w:numPr>
              <w:tabs>
                <w:tab w:val="left" w:pos="360"/>
                <w:tab w:val="left" w:pos="576"/>
              </w:tabs>
              <w:ind w:left="576" w:hanging="216"/>
              <w:rPr>
                <w:i/>
                <w:iCs/>
              </w:rPr>
            </w:pPr>
            <w:r w:rsidRPr="005D4222">
              <w:rPr>
                <w:i/>
                <w:iCs/>
              </w:rPr>
              <w:t xml:space="preserve">For example: </w:t>
            </w:r>
          </w:p>
          <w:p w14:paraId="2D59EE84" w14:textId="77777777" w:rsidR="00A33EDF" w:rsidRPr="005D4222" w:rsidRDefault="00A33EDF" w:rsidP="00A33EDF">
            <w:pPr>
              <w:pStyle w:val="Dash"/>
              <w:tabs>
                <w:tab w:val="left" w:pos="576"/>
                <w:tab w:val="left" w:pos="792"/>
              </w:tabs>
            </w:pPr>
            <w:r w:rsidRPr="005D4222">
              <w:t>An inpatient discharge on June 1, followed by an admission to another inpatient setting on June 1,</w:t>
            </w:r>
            <w:r w:rsidRPr="005D4222">
              <w:rPr>
                <w:i/>
              </w:rPr>
              <w:t xml:space="preserve"> is a direct transfer.</w:t>
            </w:r>
          </w:p>
          <w:p w14:paraId="6E20031C" w14:textId="77777777" w:rsidR="00A33EDF" w:rsidRPr="005D4222" w:rsidRDefault="00A33EDF" w:rsidP="00A33EDF">
            <w:pPr>
              <w:pStyle w:val="Dash"/>
              <w:tabs>
                <w:tab w:val="left" w:pos="576"/>
                <w:tab w:val="left" w:pos="792"/>
              </w:tabs>
            </w:pPr>
            <w:r w:rsidRPr="005D4222">
              <w:t xml:space="preserve">An inpatient discharge on June 1, followed by an admission to an inpatient setting on June 2, </w:t>
            </w:r>
            <w:r w:rsidRPr="005D4222">
              <w:rPr>
                <w:i/>
              </w:rPr>
              <w:t>is a direct transfer.</w:t>
            </w:r>
          </w:p>
          <w:p w14:paraId="178CB4F1" w14:textId="77777777" w:rsidR="00135D84" w:rsidRPr="005D4222" w:rsidRDefault="00A33EDF" w:rsidP="00A33EDF">
            <w:pPr>
              <w:pStyle w:val="Dash"/>
              <w:tabs>
                <w:tab w:val="left" w:pos="576"/>
                <w:tab w:val="left" w:pos="792"/>
              </w:tabs>
              <w:spacing w:after="80"/>
            </w:pPr>
            <w:r w:rsidRPr="005D4222">
              <w:t>An inpatient discharge on June 1, followed by an admission to another inpatient setting on June 3,</w:t>
            </w:r>
            <w:r w:rsidRPr="005D4222">
              <w:rPr>
                <w:i/>
              </w:rPr>
              <w:t xml:space="preserve"> is not a direct transfer;</w:t>
            </w:r>
            <w:r w:rsidRPr="005D4222">
              <w:t xml:space="preserve"> these are two distinct inpatient stays.</w:t>
            </w:r>
          </w:p>
          <w:p w14:paraId="0C06498F" w14:textId="77777777" w:rsidR="00135D84" w:rsidRPr="005D4222" w:rsidRDefault="00135D84" w:rsidP="00A53E8C">
            <w:pPr>
              <w:pStyle w:val="ECDSBody"/>
              <w:rPr>
                <w:i/>
              </w:rPr>
            </w:pPr>
            <w:r w:rsidRPr="005D4222">
              <w:t>Use the following method to identify admissions to and discharges from inpatient settings.</w:t>
            </w:r>
          </w:p>
          <w:p w14:paraId="6840BBC7" w14:textId="77777777" w:rsidR="00135D84" w:rsidRPr="005D4222" w:rsidRDefault="00135D84" w:rsidP="005D6173">
            <w:pPr>
              <w:numPr>
                <w:ilvl w:val="0"/>
                <w:numId w:val="90"/>
              </w:numPr>
              <w:spacing w:before="80"/>
              <w:ind w:left="648" w:hanging="288"/>
              <w:rPr>
                <w:szCs w:val="24"/>
              </w:rPr>
            </w:pPr>
            <w:r w:rsidRPr="005D4222">
              <w:rPr>
                <w:szCs w:val="24"/>
              </w:rPr>
              <w:t>Identify all acute and nonacute inpatient stays (</w:t>
            </w:r>
            <w:r w:rsidRPr="005D4222">
              <w:rPr>
                <w:szCs w:val="24"/>
                <w:u w:val="single"/>
              </w:rPr>
              <w:t>Inpatient Stay Value Set</w:t>
            </w:r>
            <w:r w:rsidRPr="005D4222">
              <w:rPr>
                <w:szCs w:val="24"/>
              </w:rPr>
              <w:t>).</w:t>
            </w:r>
          </w:p>
          <w:p w14:paraId="5D243C1C" w14:textId="1670B06A" w:rsidR="00A33EDF" w:rsidRPr="005D4222" w:rsidRDefault="00135D84" w:rsidP="005D6173">
            <w:pPr>
              <w:numPr>
                <w:ilvl w:val="0"/>
                <w:numId w:val="90"/>
              </w:numPr>
              <w:spacing w:before="80"/>
              <w:ind w:left="648" w:hanging="288"/>
            </w:pPr>
            <w:r w:rsidRPr="005D4222">
              <w:rPr>
                <w:szCs w:val="24"/>
              </w:rPr>
              <w:t>Identify the admission and discharge dates for the stay.</w:t>
            </w:r>
          </w:p>
        </w:tc>
      </w:tr>
      <w:tr w:rsidR="006439AD" w:rsidRPr="005D4222" w14:paraId="66FB327B" w14:textId="77777777">
        <w:tblPrEx>
          <w:tblBorders>
            <w:top w:val="single" w:sz="2" w:space="0" w:color="auto"/>
            <w:bottom w:val="single" w:sz="2" w:space="0" w:color="auto"/>
            <w:insideH w:val="single" w:sz="2" w:space="0" w:color="auto"/>
            <w:insideV w:val="single" w:sz="2" w:space="0" w:color="auto"/>
          </w:tblBorders>
        </w:tblPrEx>
        <w:tc>
          <w:tcPr>
            <w:tcW w:w="2160" w:type="dxa"/>
            <w:tcBorders>
              <w:top w:val="nil"/>
              <w:left w:val="single" w:sz="2" w:space="0" w:color="auto"/>
              <w:bottom w:val="nil"/>
              <w:right w:val="single" w:sz="4" w:space="0" w:color="auto"/>
            </w:tcBorders>
            <w:tcMar>
              <w:top w:w="0" w:type="dxa"/>
              <w:left w:w="86" w:type="dxa"/>
              <w:bottom w:w="43" w:type="dxa"/>
              <w:right w:w="86" w:type="dxa"/>
            </w:tcMar>
          </w:tcPr>
          <w:p w14:paraId="0010212D" w14:textId="77777777" w:rsidR="00A33EDF" w:rsidRPr="005D4222" w:rsidRDefault="00A33EDF">
            <w:pPr>
              <w:pStyle w:val="ECDSMarginSubhead"/>
            </w:pPr>
            <w:r w:rsidRPr="005D4222">
              <w:t xml:space="preserve">Intake period </w:t>
            </w:r>
          </w:p>
        </w:tc>
        <w:tc>
          <w:tcPr>
            <w:tcW w:w="7557" w:type="dxa"/>
            <w:tcBorders>
              <w:top w:val="nil"/>
              <w:left w:val="nil"/>
              <w:bottom w:val="nil"/>
              <w:right w:val="single" w:sz="2" w:space="0" w:color="auto"/>
            </w:tcBorders>
            <w:tcMar>
              <w:top w:w="0" w:type="dxa"/>
              <w:left w:w="86" w:type="dxa"/>
              <w:bottom w:w="43" w:type="dxa"/>
              <w:right w:w="86" w:type="dxa"/>
            </w:tcMar>
          </w:tcPr>
          <w:p w14:paraId="05D567C9" w14:textId="77777777" w:rsidR="00A33EDF" w:rsidRPr="005D4222" w:rsidRDefault="00A33EDF">
            <w:pPr>
              <w:pStyle w:val="ECDSBody"/>
              <w:spacing w:after="0"/>
            </w:pPr>
            <w:r w:rsidRPr="005D4222">
              <w:t>November 15 of the year prior to the measurement period through November 14 of the measurement period. The intake period is used to capture new SUD episodes.</w:t>
            </w:r>
          </w:p>
        </w:tc>
      </w:tr>
      <w:tr w:rsidR="006439AD" w:rsidRPr="005D4222" w14:paraId="2FB66F9F" w14:textId="77777777">
        <w:tblPrEx>
          <w:tblBorders>
            <w:top w:val="single" w:sz="2" w:space="0" w:color="auto"/>
            <w:bottom w:val="single" w:sz="2" w:space="0" w:color="auto"/>
            <w:insideH w:val="single" w:sz="2" w:space="0" w:color="auto"/>
            <w:insideV w:val="single" w:sz="2" w:space="0" w:color="auto"/>
          </w:tblBorders>
        </w:tblPrEx>
        <w:tc>
          <w:tcPr>
            <w:tcW w:w="2160" w:type="dxa"/>
            <w:tcBorders>
              <w:top w:val="nil"/>
              <w:left w:val="single" w:sz="2" w:space="0" w:color="auto"/>
              <w:bottom w:val="nil"/>
              <w:right w:val="single" w:sz="4" w:space="0" w:color="auto"/>
            </w:tcBorders>
            <w:tcMar>
              <w:top w:w="0" w:type="dxa"/>
              <w:left w:w="86" w:type="dxa"/>
              <w:bottom w:w="43" w:type="dxa"/>
              <w:right w:w="86" w:type="dxa"/>
            </w:tcMar>
          </w:tcPr>
          <w:p w14:paraId="4DCC837A" w14:textId="77777777" w:rsidR="00A33EDF" w:rsidRPr="005D4222" w:rsidRDefault="00A33EDF">
            <w:pPr>
              <w:pStyle w:val="ECDSMarginSubhead"/>
            </w:pPr>
            <w:r w:rsidRPr="005D4222">
              <w:t>SUD episode</w:t>
            </w:r>
          </w:p>
        </w:tc>
        <w:tc>
          <w:tcPr>
            <w:tcW w:w="7557" w:type="dxa"/>
            <w:tcBorders>
              <w:top w:val="nil"/>
              <w:left w:val="nil"/>
              <w:bottom w:val="nil"/>
              <w:right w:val="single" w:sz="2" w:space="0" w:color="auto"/>
            </w:tcBorders>
            <w:tcMar>
              <w:top w:w="0" w:type="dxa"/>
              <w:left w:w="86" w:type="dxa"/>
              <w:bottom w:w="43" w:type="dxa"/>
              <w:right w:w="86" w:type="dxa"/>
            </w:tcMar>
          </w:tcPr>
          <w:p w14:paraId="39DCAB13" w14:textId="77777777" w:rsidR="00A33EDF" w:rsidRPr="005D4222" w:rsidRDefault="00A33EDF">
            <w:pPr>
              <w:pStyle w:val="ECDSBody"/>
            </w:pPr>
            <w:r w:rsidRPr="005D4222">
              <w:t xml:space="preserve">An encounter during the intake period with a diagnosis of SUD. </w:t>
            </w:r>
          </w:p>
          <w:p w14:paraId="619BC3E1" w14:textId="77777777" w:rsidR="00A33EDF" w:rsidRPr="005D4222" w:rsidRDefault="00A33EDF">
            <w:pPr>
              <w:pStyle w:val="ECDSBody"/>
              <w:spacing w:after="0"/>
            </w:pPr>
            <w:r w:rsidRPr="005D4222">
              <w:t>For visits that result in an inpatient stay, the inpatient discharge is the SUD episode (an SUD diagnosis is not required for the inpatient stay; use the diagnosis from the visit that resulted in the inpatient stay to determine the diagnosis cohort).</w:t>
            </w:r>
          </w:p>
        </w:tc>
      </w:tr>
      <w:tr w:rsidR="006439AD" w:rsidRPr="005D4222" w14:paraId="1BEDEC52" w14:textId="77777777">
        <w:tblPrEx>
          <w:tblBorders>
            <w:top w:val="single" w:sz="2" w:space="0" w:color="auto"/>
            <w:bottom w:val="single" w:sz="2" w:space="0" w:color="auto"/>
            <w:insideH w:val="single" w:sz="2" w:space="0" w:color="auto"/>
            <w:insideV w:val="single" w:sz="2" w:space="0" w:color="auto"/>
          </w:tblBorders>
        </w:tblPrEx>
        <w:tc>
          <w:tcPr>
            <w:tcW w:w="2160" w:type="dxa"/>
            <w:tcBorders>
              <w:top w:val="nil"/>
              <w:left w:val="single" w:sz="2" w:space="0" w:color="auto"/>
              <w:bottom w:val="single" w:sz="4" w:space="0" w:color="auto"/>
              <w:right w:val="single" w:sz="4" w:space="0" w:color="auto"/>
            </w:tcBorders>
            <w:tcMar>
              <w:top w:w="0" w:type="dxa"/>
              <w:left w:w="86" w:type="dxa"/>
              <w:bottom w:w="43" w:type="dxa"/>
              <w:right w:w="86" w:type="dxa"/>
            </w:tcMar>
          </w:tcPr>
          <w:p w14:paraId="04E4FB49" w14:textId="77777777" w:rsidR="00A33EDF" w:rsidRPr="005D4222" w:rsidRDefault="00A33EDF">
            <w:pPr>
              <w:pStyle w:val="ECDSMarginSubhead"/>
            </w:pPr>
            <w:r w:rsidRPr="005D4222">
              <w:t>SUD episode date</w:t>
            </w:r>
          </w:p>
        </w:tc>
        <w:tc>
          <w:tcPr>
            <w:tcW w:w="7557" w:type="dxa"/>
            <w:tcBorders>
              <w:top w:val="nil"/>
              <w:left w:val="nil"/>
              <w:bottom w:val="single" w:sz="4" w:space="0" w:color="auto"/>
              <w:right w:val="single" w:sz="2" w:space="0" w:color="auto"/>
            </w:tcBorders>
            <w:tcMar>
              <w:top w:w="0" w:type="dxa"/>
              <w:left w:w="86" w:type="dxa"/>
              <w:bottom w:w="43" w:type="dxa"/>
              <w:right w:w="86" w:type="dxa"/>
            </w:tcMar>
          </w:tcPr>
          <w:p w14:paraId="5F88CECC" w14:textId="77777777" w:rsidR="00A33EDF" w:rsidRPr="005D4222" w:rsidRDefault="00A33EDF">
            <w:pPr>
              <w:pStyle w:val="ECDSBody"/>
            </w:pPr>
            <w:r w:rsidRPr="005D4222">
              <w:t xml:space="preserve">The date of service for an encounter during the intake period with a diagnosis of SUD. </w:t>
            </w:r>
          </w:p>
          <w:p w14:paraId="1E72598E" w14:textId="77777777" w:rsidR="00A33EDF" w:rsidRPr="005D4222" w:rsidRDefault="00A33EDF" w:rsidP="00696147">
            <w:pPr>
              <w:pStyle w:val="ECDSBody"/>
              <w:spacing w:before="80"/>
            </w:pPr>
            <w:r w:rsidRPr="005D4222">
              <w:rPr>
                <w:i/>
                <w:iCs/>
              </w:rPr>
              <w:t>For a visit (not resulting in an inpatient stay),</w:t>
            </w:r>
            <w:r w:rsidRPr="005D4222">
              <w:t xml:space="preserve"> the SUD episode date is the date of service. </w:t>
            </w:r>
          </w:p>
          <w:p w14:paraId="23E25037" w14:textId="77777777" w:rsidR="00A33EDF" w:rsidRPr="005D4222" w:rsidRDefault="00A33EDF" w:rsidP="00696147">
            <w:pPr>
              <w:pStyle w:val="ECDSBody"/>
              <w:spacing w:before="80"/>
            </w:pPr>
            <w:r w:rsidRPr="005D4222">
              <w:rPr>
                <w:i/>
                <w:iCs/>
              </w:rPr>
              <w:t>For an inpatient stay or for withdrawal management (i.e., detoxification)</w:t>
            </w:r>
            <w:r w:rsidRPr="005D4222">
              <w:t xml:space="preserve"> that occurred during an inpatient stay, the SUD episode date is the date of discharge. </w:t>
            </w:r>
          </w:p>
          <w:p w14:paraId="3C2C073A" w14:textId="77777777" w:rsidR="00A33EDF" w:rsidRPr="005D4222" w:rsidRDefault="00A33EDF" w:rsidP="00696147">
            <w:pPr>
              <w:pStyle w:val="ECDSBody"/>
              <w:spacing w:before="80"/>
            </w:pPr>
            <w:r w:rsidRPr="005D4222">
              <w:rPr>
                <w:i/>
                <w:iCs/>
              </w:rPr>
              <w:t>For withdrawal management (i.e., detoxification)</w:t>
            </w:r>
            <w:r w:rsidRPr="005D4222">
              <w:t xml:space="preserve"> that did not occur during an inpatient stay,</w:t>
            </w:r>
            <w:r w:rsidRPr="005D4222">
              <w:rPr>
                <w:i/>
                <w:iCs/>
              </w:rPr>
              <w:t xml:space="preserve"> </w:t>
            </w:r>
            <w:r w:rsidRPr="005D4222">
              <w:t xml:space="preserve">the SUD episode date is the date of service. </w:t>
            </w:r>
          </w:p>
          <w:p w14:paraId="001E0D39" w14:textId="77777777" w:rsidR="00A33EDF" w:rsidRPr="005D4222" w:rsidRDefault="00A33EDF" w:rsidP="00696147">
            <w:pPr>
              <w:spacing w:before="80" w:after="80"/>
              <w:rPr>
                <w:szCs w:val="24"/>
              </w:rPr>
            </w:pPr>
            <w:r w:rsidRPr="005D4222">
              <w:rPr>
                <w:i/>
                <w:iCs/>
              </w:rPr>
              <w:t xml:space="preserve">For direct transfers, </w:t>
            </w:r>
            <w:r w:rsidRPr="005D4222">
              <w:t>the SUD episode date is the discharge date from the last admission (an SUD diagnosis is not required for the transfer; use the diagnosis from the initial admission to determine the diagnosis cohort).</w:t>
            </w:r>
          </w:p>
        </w:tc>
      </w:tr>
      <w:tr w:rsidR="00A33EDF" w:rsidRPr="005D4222" w14:paraId="7DE056BB" w14:textId="77777777">
        <w:tblPrEx>
          <w:tblBorders>
            <w:top w:val="single" w:sz="2" w:space="0" w:color="auto"/>
            <w:bottom w:val="single" w:sz="2" w:space="0" w:color="auto"/>
            <w:insideH w:val="single" w:sz="2" w:space="0" w:color="auto"/>
            <w:insideV w:val="single" w:sz="2" w:space="0" w:color="auto"/>
          </w:tblBorders>
        </w:tblPrEx>
        <w:tc>
          <w:tcPr>
            <w:tcW w:w="2160" w:type="dxa"/>
            <w:tcBorders>
              <w:top w:val="single" w:sz="2" w:space="0" w:color="auto"/>
              <w:left w:val="single" w:sz="2" w:space="0" w:color="auto"/>
              <w:bottom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118FCA81" w14:textId="77777777" w:rsidR="00A33EDF" w:rsidRPr="005D4222" w:rsidRDefault="00A33EDF">
            <w:pPr>
              <w:pStyle w:val="ECDSMarginHead"/>
            </w:pPr>
            <w:r w:rsidRPr="005D4222">
              <w:t>Initial population</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4586804" w14:textId="77777777" w:rsidR="00A33EDF" w:rsidRPr="005D4222" w:rsidRDefault="00A33EDF">
            <w:pPr>
              <w:pStyle w:val="ECDSBody"/>
            </w:pPr>
            <w:r w:rsidRPr="005D4222">
              <w:rPr>
                <w:i/>
                <w:iCs/>
              </w:rPr>
              <w:t>Measure item count:</w:t>
            </w:r>
            <w:r w:rsidRPr="005D4222">
              <w:t xml:space="preserve"> Episode.</w:t>
            </w:r>
          </w:p>
          <w:p w14:paraId="5E9B4149" w14:textId="77777777" w:rsidR="00A33EDF" w:rsidRPr="005D4222" w:rsidRDefault="00A33EDF">
            <w:pPr>
              <w:pStyle w:val="ECDSBody"/>
            </w:pPr>
            <w:r w:rsidRPr="005D4222">
              <w:rPr>
                <w:i/>
                <w:iCs/>
              </w:rPr>
              <w:t xml:space="preserve">Attribution basis: </w:t>
            </w:r>
            <w:r w:rsidRPr="005D4222">
              <w:t>Enrollment.</w:t>
            </w:r>
          </w:p>
          <w:p w14:paraId="05247393" w14:textId="71BC88C6" w:rsidR="00A33EDF" w:rsidRPr="005D4222" w:rsidRDefault="00A33EDF" w:rsidP="005D6173">
            <w:pPr>
              <w:pStyle w:val="Bullet"/>
              <w:numPr>
                <w:ilvl w:val="0"/>
                <w:numId w:val="94"/>
              </w:numPr>
              <w:tabs>
                <w:tab w:val="left" w:pos="540"/>
                <w:tab w:val="left" w:pos="576"/>
              </w:tabs>
              <w:ind w:left="540" w:hanging="180"/>
            </w:pPr>
            <w:r w:rsidRPr="005D4222">
              <w:rPr>
                <w:i/>
                <w:iCs/>
              </w:rPr>
              <w:t xml:space="preserve">Benefits: </w:t>
            </w:r>
            <w:r w:rsidRPr="005D4222">
              <w:t xml:space="preserve">Medical, pharmacy and chemical dependency (inpatient and outpatient). </w:t>
            </w:r>
          </w:p>
          <w:p w14:paraId="62729103" w14:textId="3B893FFF" w:rsidR="00A33EDF" w:rsidRPr="005D4222" w:rsidRDefault="005C2B99" w:rsidP="005C2B99">
            <w:pPr>
              <w:pStyle w:val="Dash"/>
              <w:numPr>
                <w:ilvl w:val="0"/>
                <w:numId w:val="0"/>
              </w:numPr>
              <w:tabs>
                <w:tab w:val="left" w:pos="548"/>
                <w:tab w:val="left" w:pos="576"/>
              </w:tabs>
              <w:ind w:left="548"/>
            </w:pPr>
            <w:r w:rsidRPr="005D4222">
              <w:rPr>
                <w:b/>
                <w:bCs/>
                <w:i/>
                <w:iCs/>
              </w:rPr>
              <w:t>Note</w:t>
            </w:r>
            <w:r w:rsidRPr="005D4222">
              <w:t xml:space="preserve">: </w:t>
            </w:r>
            <w:r w:rsidR="00A33EDF" w:rsidRPr="005D4222">
              <w:rPr>
                <w:i/>
              </w:rPr>
              <w:t>Withdrawal management/detoxification-only chemical dependency benefits do not meet these criteria.</w:t>
            </w:r>
          </w:p>
          <w:p w14:paraId="1359FA34" w14:textId="208C42E2" w:rsidR="00A33EDF" w:rsidRPr="005D4222" w:rsidRDefault="00A33EDF" w:rsidP="005D6173">
            <w:pPr>
              <w:pStyle w:val="Bullet"/>
              <w:numPr>
                <w:ilvl w:val="0"/>
                <w:numId w:val="94"/>
              </w:numPr>
              <w:tabs>
                <w:tab w:val="left" w:pos="540"/>
                <w:tab w:val="left" w:pos="576"/>
              </w:tabs>
              <w:spacing w:after="80"/>
              <w:ind w:left="540" w:hanging="180"/>
              <w:rPr>
                <w:b/>
              </w:rPr>
            </w:pPr>
            <w:r w:rsidRPr="005D4222">
              <w:rPr>
                <w:i/>
                <w:iCs/>
              </w:rPr>
              <w:t>Continuous enrollment:</w:t>
            </w:r>
            <w:r w:rsidRPr="005D4222">
              <w:t xml:space="preserve"> </w:t>
            </w:r>
            <w:r w:rsidRPr="005D4222">
              <w:rPr>
                <w:shd w:val="clear" w:color="auto" w:fill="FFFFFF"/>
              </w:rPr>
              <w:t xml:space="preserve">194 days prior to the SUD episode date through 47 days after the SUD episode date (242 days total). </w:t>
            </w:r>
          </w:p>
        </w:tc>
      </w:tr>
      <w:tr w:rsidR="00A33EDF" w:rsidRPr="005D4222" w14:paraId="1E9D5906" w14:textId="77777777">
        <w:tblPrEx>
          <w:tblBorders>
            <w:top w:val="single" w:sz="2" w:space="0" w:color="auto"/>
            <w:bottom w:val="single" w:sz="2" w:space="0" w:color="auto"/>
            <w:insideH w:val="single" w:sz="2" w:space="0" w:color="auto"/>
            <w:insideV w:val="single" w:sz="2" w:space="0" w:color="auto"/>
          </w:tblBorders>
        </w:tblPrEx>
        <w:tc>
          <w:tcPr>
            <w:tcW w:w="2160" w:type="dxa"/>
            <w:tcBorders>
              <w:top w:val="single" w:sz="2" w:space="0" w:color="auto"/>
              <w:left w:val="single" w:sz="2" w:space="0" w:color="auto"/>
              <w:bottom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226C4CD4" w14:textId="77777777" w:rsidR="00A33EDF" w:rsidRPr="005D4222" w:rsidRDefault="00A33EDF">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E55E163" w14:textId="77777777" w:rsidR="00135D84" w:rsidRPr="005D4222" w:rsidRDefault="00E94661" w:rsidP="00135D84">
            <w:pPr>
              <w:pStyle w:val="Bullet"/>
              <w:rPr>
                <w:color w:val="000000"/>
                <w:bdr w:val="none" w:sz="0" w:space="0" w:color="auto" w:frame="1"/>
              </w:rPr>
            </w:pPr>
            <w:r w:rsidRPr="005D4222">
              <w:rPr>
                <w:i/>
                <w:iCs/>
                <w:szCs w:val="21"/>
              </w:rPr>
              <w:t>Allowable gap:</w:t>
            </w:r>
            <w:r w:rsidR="00135D84" w:rsidRPr="005D4222">
              <w:rPr>
                <w:szCs w:val="21"/>
              </w:rPr>
              <w:t xml:space="preserve"> </w:t>
            </w:r>
            <w:r w:rsidR="00135D84" w:rsidRPr="005D4222">
              <w:rPr>
                <w:color w:val="000000"/>
                <w:bdr w:val="none" w:sz="0" w:space="0" w:color="auto" w:frame="1"/>
              </w:rPr>
              <w:t>None.</w:t>
            </w:r>
          </w:p>
          <w:p w14:paraId="1FB46F0E" w14:textId="77777777" w:rsidR="00135D84" w:rsidRPr="005D4222" w:rsidRDefault="00135D84" w:rsidP="00135D84">
            <w:pPr>
              <w:pStyle w:val="ECDSBody"/>
            </w:pPr>
            <w:r w:rsidRPr="005D4222">
              <w:rPr>
                <w:i/>
                <w:iCs/>
              </w:rPr>
              <w:t>Ages:</w:t>
            </w:r>
            <w:r w:rsidRPr="005D4222">
              <w:t xml:space="preserve"> 13 years of age and older as of the SUD episode date.</w:t>
            </w:r>
          </w:p>
          <w:p w14:paraId="681528A0" w14:textId="77777777" w:rsidR="00135D84" w:rsidRPr="005D4222" w:rsidRDefault="00135D84" w:rsidP="00135D84">
            <w:pPr>
              <w:pStyle w:val="ECDSBody"/>
              <w:spacing w:before="80"/>
              <w:rPr>
                <w:b/>
              </w:rPr>
            </w:pPr>
            <w:r w:rsidRPr="005D4222">
              <w:rPr>
                <w:i/>
                <w:iCs/>
              </w:rPr>
              <w:t xml:space="preserve">Event: </w:t>
            </w:r>
            <w:r w:rsidRPr="005D4222">
              <w:rPr>
                <w:b/>
              </w:rPr>
              <w:t xml:space="preserve">New episode of SUD during the intake period. </w:t>
            </w:r>
          </w:p>
          <w:p w14:paraId="0EC47957" w14:textId="77777777" w:rsidR="00135D84" w:rsidRPr="005D4222" w:rsidRDefault="00135D84" w:rsidP="00135D84">
            <w:pPr>
              <w:pStyle w:val="ECDSBody"/>
              <w:spacing w:before="180"/>
              <w:rPr>
                <w:b/>
                <w:color w:val="000000"/>
                <w:szCs w:val="21"/>
                <w:shd w:val="clear" w:color="auto" w:fill="FFFFFF"/>
              </w:rPr>
            </w:pPr>
            <w:r w:rsidRPr="005D4222">
              <w:rPr>
                <w:b/>
                <w:color w:val="000000"/>
                <w:szCs w:val="21"/>
                <w:shd w:val="clear" w:color="auto" w:fill="FFFFFF"/>
              </w:rPr>
              <w:t xml:space="preserve">Step 1. </w:t>
            </w:r>
            <w:r w:rsidRPr="005D4222">
              <w:rPr>
                <w:bCs w:val="0"/>
                <w:color w:val="000000"/>
                <w:szCs w:val="21"/>
                <w:shd w:val="clear" w:color="auto" w:fill="FFFFFF"/>
              </w:rPr>
              <w:t xml:space="preserve">Identify all SUD episodes. </w:t>
            </w:r>
            <w:r w:rsidRPr="005D4222">
              <w:t>Any of the following meet criteria:</w:t>
            </w:r>
          </w:p>
          <w:p w14:paraId="226FB1B5" w14:textId="77777777" w:rsidR="00135D84" w:rsidRPr="005D4222" w:rsidRDefault="00135D84" w:rsidP="00135D84">
            <w:pPr>
              <w:pStyle w:val="Bullet"/>
              <w:rPr>
                <w:b/>
              </w:rPr>
            </w:pPr>
            <w:r w:rsidRPr="005D4222">
              <w:rPr>
                <w:rFonts w:eastAsia="Arial,Times New Roman" w:cs="Arial"/>
              </w:rPr>
              <w:t>An outpatient visit (</w:t>
            </w:r>
            <w:r w:rsidRPr="005D4222">
              <w:rPr>
                <w:rFonts w:cs="Arial"/>
                <w:u w:val="single"/>
              </w:rPr>
              <w:t>Visit Setting Unspecified Value Set</w:t>
            </w:r>
            <w:r w:rsidRPr="005D4222">
              <w:rPr>
                <w:rFonts w:cs="Arial"/>
              </w:rPr>
              <w:t xml:space="preserve">) </w:t>
            </w:r>
            <w:r w:rsidRPr="005D4222">
              <w:rPr>
                <w:rFonts w:cs="Arial"/>
                <w:b/>
                <w:i/>
              </w:rPr>
              <w:t>with</w:t>
            </w:r>
            <w:r w:rsidRPr="005D4222">
              <w:rPr>
                <w:rFonts w:cs="Arial"/>
              </w:rPr>
              <w:t xml:space="preserve"> (</w:t>
            </w:r>
            <w:r w:rsidRPr="005D4222">
              <w:rPr>
                <w:rFonts w:cs="Arial"/>
                <w:u w:val="single"/>
              </w:rPr>
              <w:t>Outpatient POS Value Set</w:t>
            </w:r>
            <w:r w:rsidRPr="005D4222">
              <w:rPr>
                <w:rFonts w:cs="Arial"/>
              </w:rPr>
              <w:t>)</w:t>
            </w:r>
            <w:r w:rsidRPr="005D4222">
              <w:rPr>
                <w:rFonts w:eastAsia="Arial,Times New Roman" w:cs="Arial"/>
              </w:rPr>
              <w:t xml:space="preserve"> </w:t>
            </w:r>
            <w:r w:rsidRPr="005D4222">
              <w:rPr>
                <w:b/>
                <w:i/>
              </w:rPr>
              <w:t>with</w:t>
            </w:r>
            <w:r w:rsidRPr="005D4222">
              <w:t xml:space="preserve"> one of the following: </w:t>
            </w:r>
            <w:r w:rsidRPr="005D4222">
              <w:rPr>
                <w:rFonts w:cs="Arial"/>
                <w:u w:val="single"/>
              </w:rPr>
              <w:t>Alcohol Abuse and Dependence Value Set</w:t>
            </w:r>
            <w:r w:rsidRPr="005D4222">
              <w:t xml:space="preserve">, </w:t>
            </w:r>
            <w:r w:rsidRPr="005D4222">
              <w:rPr>
                <w:rFonts w:cs="Arial"/>
                <w:u w:val="single"/>
              </w:rPr>
              <w:t>Opioid Abuse and Dependence Value Set</w:t>
            </w:r>
            <w:r w:rsidRPr="005D4222">
              <w:t xml:space="preserve">, </w:t>
            </w:r>
            <w:r w:rsidRPr="005D4222">
              <w:rPr>
                <w:rFonts w:cs="Arial"/>
                <w:u w:val="single"/>
              </w:rPr>
              <w:t>Other Drug Abuse and Dependence Value Set</w:t>
            </w:r>
            <w:r w:rsidRPr="005D4222">
              <w:t>.</w:t>
            </w:r>
          </w:p>
          <w:p w14:paraId="2FCC3576" w14:textId="77777777" w:rsidR="00A33EDF" w:rsidRPr="005D4222" w:rsidRDefault="00A33EDF" w:rsidP="00135D84">
            <w:pPr>
              <w:pStyle w:val="Bullet"/>
            </w:pPr>
            <w:r w:rsidRPr="005D4222">
              <w:rPr>
                <w:rFonts w:eastAsia="Arial,Times New Roman" w:cs="Arial"/>
              </w:rPr>
              <w:t>An outpatient visit (</w:t>
            </w:r>
            <w:r w:rsidRPr="005D4222">
              <w:rPr>
                <w:rFonts w:eastAsia="Arial,Times New Roman" w:cs="Arial"/>
                <w:u w:val="single"/>
              </w:rPr>
              <w:t>BH Outpatient Value Set</w:t>
            </w:r>
            <w:r w:rsidRPr="005D4222">
              <w:rPr>
                <w:rFonts w:eastAsia="Arial,Times New Roman" w:cs="Arial"/>
              </w:rPr>
              <w:t>)</w:t>
            </w:r>
            <w:r w:rsidRPr="005D4222">
              <w:rPr>
                <w:b/>
                <w:i/>
              </w:rPr>
              <w:t xml:space="preserve"> with</w:t>
            </w:r>
            <w:r w:rsidRPr="005D4222">
              <w:t xml:space="preserve"> one of the following: </w:t>
            </w:r>
            <w:r w:rsidRPr="005D4222">
              <w:rPr>
                <w:rFonts w:cs="Arial"/>
                <w:u w:val="single"/>
              </w:rPr>
              <w:t>Alcohol Abuse and Dependence Value Set</w:t>
            </w:r>
            <w:r w:rsidRPr="005D4222">
              <w:t xml:space="preserve">, </w:t>
            </w:r>
            <w:r w:rsidRPr="005D4222">
              <w:rPr>
                <w:rFonts w:cs="Arial"/>
                <w:u w:val="single"/>
              </w:rPr>
              <w:t>Opioid Abuse and Dependence Value Set</w:t>
            </w:r>
            <w:r w:rsidRPr="005D4222">
              <w:t xml:space="preserve">, </w:t>
            </w:r>
            <w:r w:rsidRPr="005D4222">
              <w:rPr>
                <w:rFonts w:cs="Arial"/>
                <w:u w:val="single"/>
              </w:rPr>
              <w:t>Other Drug Abuse and Dependence Value Set</w:t>
            </w:r>
            <w:r w:rsidRPr="005D4222">
              <w:rPr>
                <w:rFonts w:cs="Arial"/>
              </w:rPr>
              <w:t>.</w:t>
            </w:r>
          </w:p>
          <w:p w14:paraId="482BBE8B" w14:textId="77777777" w:rsidR="00A33EDF" w:rsidRPr="005D4222" w:rsidRDefault="00A33EDF" w:rsidP="00135D84">
            <w:pPr>
              <w:pStyle w:val="Bullet"/>
            </w:pPr>
            <w:r w:rsidRPr="005D4222">
              <w:rPr>
                <w:rFonts w:cs="Arial"/>
              </w:rPr>
              <w:t>An intensive outpatient encounter or partial hospitalization (V</w:t>
            </w:r>
            <w:r w:rsidRPr="005D4222">
              <w:rPr>
                <w:rFonts w:cs="Arial"/>
                <w:u w:val="single"/>
              </w:rPr>
              <w:t>isit Setting Unspecified Value Set</w:t>
            </w:r>
            <w:r w:rsidRPr="005D4222">
              <w:rPr>
                <w:rFonts w:cs="Arial"/>
              </w:rPr>
              <w:t xml:space="preserve">) </w:t>
            </w:r>
            <w:r w:rsidRPr="005D4222">
              <w:rPr>
                <w:rFonts w:cs="Arial"/>
                <w:b/>
                <w:i/>
              </w:rPr>
              <w:t>with</w:t>
            </w:r>
            <w:r w:rsidRPr="005D4222">
              <w:rPr>
                <w:rFonts w:cs="Arial"/>
              </w:rPr>
              <w:t xml:space="preserve"> POS code 52 </w:t>
            </w:r>
            <w:r w:rsidRPr="005D4222">
              <w:rPr>
                <w:b/>
                <w:i/>
              </w:rPr>
              <w:t>with</w:t>
            </w:r>
            <w:r w:rsidRPr="005D4222">
              <w:t xml:space="preserve"> one of the following: </w:t>
            </w:r>
            <w:r w:rsidRPr="005D4222">
              <w:rPr>
                <w:u w:val="single"/>
              </w:rPr>
              <w:t>Alcohol Abuse and Dependence Value Set</w:t>
            </w:r>
            <w:r w:rsidRPr="005D4222">
              <w:t xml:space="preserve">, </w:t>
            </w:r>
            <w:r w:rsidRPr="005D4222">
              <w:rPr>
                <w:u w:val="single"/>
              </w:rPr>
              <w:t>Opioid Abuse and Dependence Value Set</w:t>
            </w:r>
            <w:r w:rsidRPr="005D4222">
              <w:t>,</w:t>
            </w:r>
            <w:r w:rsidRPr="005D4222">
              <w:rPr>
                <w:u w:val="single"/>
              </w:rPr>
              <w:t xml:space="preserve"> Other Drug Abuse and Dependence Value Set</w:t>
            </w:r>
            <w:r w:rsidRPr="005D4222">
              <w:t>.</w:t>
            </w:r>
          </w:p>
          <w:p w14:paraId="5139A9B2" w14:textId="77777777" w:rsidR="00A33EDF" w:rsidRPr="005D4222" w:rsidRDefault="00A33EDF" w:rsidP="00135D84">
            <w:pPr>
              <w:pStyle w:val="Bullet"/>
            </w:pPr>
            <w:r w:rsidRPr="005D4222">
              <w:rPr>
                <w:rFonts w:eastAsia="Arial,Times New Roman" w:cs="Arial"/>
              </w:rPr>
              <w:t xml:space="preserve">An intensive outpatient encounter or partial hospitalization </w:t>
            </w:r>
            <w:r w:rsidRPr="005D4222">
              <w:rPr>
                <w:rFonts w:cs="Arial"/>
              </w:rPr>
              <w:t>(</w:t>
            </w:r>
            <w:r w:rsidRPr="005D4222">
              <w:rPr>
                <w:rFonts w:cs="Arial"/>
                <w:u w:val="single"/>
              </w:rPr>
              <w:t>Partial Hospitalization or Intensive Outpatient Value Set</w:t>
            </w:r>
            <w:r w:rsidRPr="005D4222">
              <w:rPr>
                <w:rFonts w:cs="Arial"/>
              </w:rPr>
              <w:t>)</w:t>
            </w:r>
            <w:r w:rsidRPr="005D4222">
              <w:rPr>
                <w:b/>
                <w:i/>
              </w:rPr>
              <w:t xml:space="preserve"> with</w:t>
            </w:r>
            <w:r w:rsidRPr="005D4222">
              <w:t xml:space="preserve"> one of the following: </w:t>
            </w:r>
            <w:r w:rsidRPr="005D4222">
              <w:rPr>
                <w:u w:val="single"/>
              </w:rPr>
              <w:t>Alcohol Abuse and Dependence Value Set</w:t>
            </w:r>
            <w:r w:rsidRPr="005D4222">
              <w:t xml:space="preserve">, </w:t>
            </w:r>
            <w:r w:rsidRPr="005D4222">
              <w:rPr>
                <w:u w:val="single"/>
              </w:rPr>
              <w:t>Opioid Abuse and Dependence Value Set</w:t>
            </w:r>
            <w:r w:rsidRPr="005D4222">
              <w:t xml:space="preserve">, </w:t>
            </w:r>
            <w:r w:rsidRPr="005D4222">
              <w:rPr>
                <w:u w:val="single"/>
              </w:rPr>
              <w:t>Other Drug Abuse and Dependence Value Set</w:t>
            </w:r>
            <w:r w:rsidRPr="005D4222">
              <w:t>.</w:t>
            </w:r>
          </w:p>
          <w:p w14:paraId="2C2FEB48" w14:textId="77777777" w:rsidR="00A33EDF" w:rsidRPr="005D4222" w:rsidRDefault="00A33EDF" w:rsidP="00135D84">
            <w:pPr>
              <w:pStyle w:val="Bullet"/>
            </w:pPr>
            <w:r w:rsidRPr="005D4222">
              <w:rPr>
                <w:rFonts w:eastAsia="Arial,Times New Roman" w:cs="Arial"/>
              </w:rPr>
              <w:t>A non-residential substance abuse treatment facility visit (</w:t>
            </w:r>
            <w:r w:rsidRPr="005D4222">
              <w:rPr>
                <w:u w:val="single"/>
              </w:rPr>
              <w:t>Visit Setting Unspecified Value Set</w:t>
            </w:r>
            <w:r w:rsidRPr="005D4222">
              <w:rPr>
                <w:rFonts w:cs="Arial"/>
              </w:rPr>
              <w:t xml:space="preserve">) </w:t>
            </w:r>
            <w:r w:rsidRPr="005D4222">
              <w:rPr>
                <w:rFonts w:cs="Arial"/>
                <w:b/>
                <w:i/>
              </w:rPr>
              <w:t>with</w:t>
            </w:r>
            <w:r w:rsidRPr="005D4222">
              <w:rPr>
                <w:rFonts w:cs="Arial"/>
              </w:rPr>
              <w:t xml:space="preserve"> (</w:t>
            </w:r>
            <w:r w:rsidRPr="005D4222">
              <w:rPr>
                <w:u w:val="single"/>
              </w:rPr>
              <w:t>Nonresidential Substance Abuse Treatment Facility POS Value Set</w:t>
            </w:r>
            <w:r w:rsidRPr="005D4222">
              <w:rPr>
                <w:rFonts w:cs="Arial"/>
              </w:rPr>
              <w:t xml:space="preserve">) </w:t>
            </w:r>
            <w:r w:rsidRPr="005D4222">
              <w:rPr>
                <w:b/>
                <w:i/>
              </w:rPr>
              <w:t>with</w:t>
            </w:r>
            <w:r w:rsidRPr="005D4222">
              <w:t xml:space="preserve"> one of the following: </w:t>
            </w:r>
            <w:r w:rsidRPr="005D4222">
              <w:rPr>
                <w:u w:val="single"/>
              </w:rPr>
              <w:t>Alcohol Abuse and Dependence Value Set</w:t>
            </w:r>
            <w:r w:rsidRPr="005D4222">
              <w:t xml:space="preserve">, </w:t>
            </w:r>
            <w:r w:rsidRPr="005D4222">
              <w:rPr>
                <w:u w:val="single"/>
              </w:rPr>
              <w:t>Opioid Abuse and Dependence Value Set</w:t>
            </w:r>
            <w:r w:rsidRPr="005D4222">
              <w:t xml:space="preserve">, </w:t>
            </w:r>
            <w:r w:rsidRPr="005D4222">
              <w:rPr>
                <w:u w:val="single"/>
              </w:rPr>
              <w:t>Other Drug Abuse and Dependence Value Set</w:t>
            </w:r>
            <w:r w:rsidRPr="005D4222">
              <w:t>.</w:t>
            </w:r>
          </w:p>
          <w:p w14:paraId="4561E5EC" w14:textId="77777777" w:rsidR="00A33EDF" w:rsidRPr="005D4222" w:rsidRDefault="00A33EDF" w:rsidP="00135D84">
            <w:pPr>
              <w:pStyle w:val="Bullet"/>
            </w:pPr>
            <w:r w:rsidRPr="005D4222">
              <w:rPr>
                <w:rFonts w:eastAsia="Arial,Times New Roman" w:cs="Arial"/>
              </w:rPr>
              <w:t>A community mental health center visit (</w:t>
            </w:r>
            <w:r w:rsidRPr="005D4222">
              <w:rPr>
                <w:rFonts w:cs="Arial"/>
                <w:u w:val="single"/>
              </w:rPr>
              <w:t>Visit Setting Unspecified Value Set</w:t>
            </w:r>
            <w:r w:rsidRPr="005D4222">
              <w:rPr>
                <w:rFonts w:cs="Arial"/>
              </w:rPr>
              <w:t xml:space="preserve">) </w:t>
            </w:r>
            <w:r w:rsidRPr="005D4222">
              <w:rPr>
                <w:rFonts w:cs="Arial"/>
                <w:b/>
                <w:i/>
              </w:rPr>
              <w:t>with</w:t>
            </w:r>
            <w:r w:rsidRPr="005D4222">
              <w:rPr>
                <w:rFonts w:cs="Arial"/>
              </w:rPr>
              <w:t xml:space="preserve"> POS code 53 </w:t>
            </w:r>
            <w:r w:rsidRPr="005D4222">
              <w:rPr>
                <w:b/>
                <w:i/>
              </w:rPr>
              <w:t>with</w:t>
            </w:r>
            <w:r w:rsidRPr="005D4222">
              <w:t xml:space="preserve"> one of the following: </w:t>
            </w:r>
            <w:r w:rsidRPr="005D4222">
              <w:rPr>
                <w:u w:val="single"/>
              </w:rPr>
              <w:t>Alcohol Abuse and Dependence Value Set</w:t>
            </w:r>
            <w:r w:rsidRPr="005D4222">
              <w:t xml:space="preserve">, </w:t>
            </w:r>
            <w:r w:rsidRPr="005D4222">
              <w:rPr>
                <w:u w:val="single"/>
              </w:rPr>
              <w:t>Opioid Abuse and Dependence Value Set</w:t>
            </w:r>
            <w:r w:rsidRPr="005D4222">
              <w:t xml:space="preserve">, </w:t>
            </w:r>
            <w:r w:rsidRPr="005D4222">
              <w:rPr>
                <w:u w:val="single"/>
              </w:rPr>
              <w:t>Other Drug Abuse and Dependence Value Set</w:t>
            </w:r>
            <w:r w:rsidRPr="005D4222">
              <w:t>.</w:t>
            </w:r>
          </w:p>
          <w:p w14:paraId="57BE747C" w14:textId="77777777" w:rsidR="00A33EDF" w:rsidRPr="005D4222" w:rsidRDefault="00A33EDF" w:rsidP="00135D84">
            <w:pPr>
              <w:pStyle w:val="Bullet"/>
            </w:pPr>
            <w:r w:rsidRPr="005D4222">
              <w:rPr>
                <w:rFonts w:eastAsia="Arial,Times New Roman" w:cs="Arial"/>
              </w:rPr>
              <w:t>A telehealth visit (</w:t>
            </w:r>
            <w:r w:rsidRPr="005D4222">
              <w:rPr>
                <w:rFonts w:cs="Arial"/>
                <w:u w:val="single"/>
              </w:rPr>
              <w:t>Visit Setting Unspecified Value Set</w:t>
            </w:r>
            <w:r w:rsidRPr="005D4222">
              <w:rPr>
                <w:rFonts w:cs="Arial"/>
              </w:rPr>
              <w:t xml:space="preserve">) </w:t>
            </w:r>
            <w:r w:rsidRPr="005D4222">
              <w:rPr>
                <w:rFonts w:cs="Arial"/>
                <w:b/>
                <w:i/>
              </w:rPr>
              <w:t>with</w:t>
            </w:r>
            <w:r w:rsidRPr="005D4222">
              <w:rPr>
                <w:rFonts w:cs="Arial"/>
              </w:rPr>
              <w:t xml:space="preserve"> (</w:t>
            </w:r>
            <w:r w:rsidRPr="005D4222">
              <w:rPr>
                <w:rFonts w:cs="Arial"/>
                <w:u w:val="single"/>
              </w:rPr>
              <w:t>Telehealth POS Value Set</w:t>
            </w:r>
            <w:r w:rsidRPr="005D4222">
              <w:rPr>
                <w:rFonts w:cs="Arial"/>
              </w:rPr>
              <w:t xml:space="preserve">) </w:t>
            </w:r>
            <w:r w:rsidRPr="005D4222">
              <w:rPr>
                <w:b/>
                <w:i/>
              </w:rPr>
              <w:t>with</w:t>
            </w:r>
            <w:r w:rsidRPr="005D4222">
              <w:t xml:space="preserve"> one of the following: </w:t>
            </w:r>
            <w:r w:rsidRPr="005D4222">
              <w:rPr>
                <w:u w:val="single"/>
              </w:rPr>
              <w:t>Alcohol Abuse and Dependence Value Set</w:t>
            </w:r>
            <w:r w:rsidRPr="005D4222">
              <w:t xml:space="preserve">, </w:t>
            </w:r>
            <w:r w:rsidRPr="005D4222">
              <w:rPr>
                <w:u w:val="single"/>
              </w:rPr>
              <w:t>Opioid Abuse and Dependence Value Set</w:t>
            </w:r>
            <w:r w:rsidRPr="005D4222">
              <w:t xml:space="preserve">, </w:t>
            </w:r>
            <w:r w:rsidRPr="005D4222">
              <w:rPr>
                <w:u w:val="single"/>
              </w:rPr>
              <w:t>Other Drug Abuse and Dependence Value Set</w:t>
            </w:r>
            <w:r w:rsidRPr="005D4222">
              <w:t>.</w:t>
            </w:r>
          </w:p>
          <w:p w14:paraId="4087AC83" w14:textId="77777777" w:rsidR="00A33EDF" w:rsidRPr="005D4222" w:rsidRDefault="00A33EDF" w:rsidP="00135D84">
            <w:pPr>
              <w:pStyle w:val="Bullet"/>
            </w:pPr>
            <w:r w:rsidRPr="005D4222">
              <w:rPr>
                <w:rFonts w:cs="Arial"/>
              </w:rPr>
              <w:t>A substance use disorder service (</w:t>
            </w:r>
            <w:r w:rsidRPr="005D4222">
              <w:rPr>
                <w:rFonts w:cs="Arial"/>
                <w:u w:val="single"/>
              </w:rPr>
              <w:t>Substance Use Disorder Services Value Set</w:t>
            </w:r>
            <w:r w:rsidRPr="005D4222">
              <w:rPr>
                <w:rFonts w:cs="Arial"/>
              </w:rPr>
              <w:t xml:space="preserve">) </w:t>
            </w:r>
            <w:r w:rsidRPr="005D4222">
              <w:rPr>
                <w:b/>
                <w:i/>
              </w:rPr>
              <w:t>with</w:t>
            </w:r>
            <w:r w:rsidRPr="005D4222">
              <w:t xml:space="preserve"> one of the following: </w:t>
            </w:r>
            <w:r w:rsidRPr="005D4222">
              <w:rPr>
                <w:u w:val="single"/>
              </w:rPr>
              <w:t>Alcohol Abuse and Dependence Value Set</w:t>
            </w:r>
            <w:r w:rsidRPr="005D4222">
              <w:t xml:space="preserve">, </w:t>
            </w:r>
            <w:r w:rsidRPr="005D4222">
              <w:rPr>
                <w:u w:val="single"/>
              </w:rPr>
              <w:t>Opioid Abuse and Dependence Value Set</w:t>
            </w:r>
            <w:r w:rsidRPr="005D4222">
              <w:t xml:space="preserve">, </w:t>
            </w:r>
            <w:r w:rsidRPr="005D4222">
              <w:rPr>
                <w:u w:val="single"/>
              </w:rPr>
              <w:t>Other Drug Abuse and Dependence Value Set</w:t>
            </w:r>
            <w:r w:rsidRPr="005D4222">
              <w:t>.</w:t>
            </w:r>
          </w:p>
          <w:p w14:paraId="2FF1F3E9" w14:textId="77777777" w:rsidR="00A33EDF" w:rsidRPr="005D4222" w:rsidRDefault="00A33EDF" w:rsidP="00135D84">
            <w:pPr>
              <w:pStyle w:val="Bullet"/>
            </w:pPr>
            <w:r w:rsidRPr="005D4222">
              <w:rPr>
                <w:rFonts w:cs="Arial"/>
              </w:rPr>
              <w:t>Substance use disorder counseling and surveillance (</w:t>
            </w:r>
            <w:r w:rsidRPr="005D4222">
              <w:rPr>
                <w:rFonts w:cs="Arial"/>
                <w:u w:val="single"/>
              </w:rPr>
              <w:t>Substance Abuse Counseling and Surveillance Value Set</w:t>
            </w:r>
            <w:r w:rsidRPr="005D4222">
              <w:rPr>
                <w:rFonts w:cs="Arial"/>
              </w:rPr>
              <w:t xml:space="preserve">*) </w:t>
            </w:r>
            <w:r w:rsidRPr="005D4222">
              <w:rPr>
                <w:b/>
                <w:i/>
              </w:rPr>
              <w:t>with</w:t>
            </w:r>
            <w:r w:rsidRPr="005D4222">
              <w:t xml:space="preserve"> one of the following: </w:t>
            </w:r>
            <w:r w:rsidRPr="005D4222">
              <w:rPr>
                <w:u w:val="single"/>
              </w:rPr>
              <w:t>Alcohol Abuse and Dependence Value Set</w:t>
            </w:r>
            <w:r w:rsidRPr="005D4222">
              <w:t xml:space="preserve">*, </w:t>
            </w:r>
            <w:r w:rsidRPr="005D4222">
              <w:rPr>
                <w:u w:val="single"/>
              </w:rPr>
              <w:t>Opioid Abuse and Dependence Value Set</w:t>
            </w:r>
            <w:r w:rsidRPr="005D4222">
              <w:t xml:space="preserve">*, </w:t>
            </w:r>
            <w:r w:rsidRPr="005D4222">
              <w:rPr>
                <w:u w:val="single"/>
              </w:rPr>
              <w:t>Other Drug Abuse and Dependence Value Set</w:t>
            </w:r>
            <w:r w:rsidRPr="005D4222">
              <w:t>*.</w:t>
            </w:r>
          </w:p>
          <w:p w14:paraId="5CAAC6E6" w14:textId="43DEC566" w:rsidR="00A33EDF" w:rsidRPr="005D4222" w:rsidRDefault="00A33EDF" w:rsidP="00135D84">
            <w:pPr>
              <w:pStyle w:val="Bullet"/>
              <w:spacing w:after="80"/>
              <w:rPr>
                <w:rFonts w:cs="Arial"/>
                <w:szCs w:val="26"/>
              </w:rPr>
            </w:pPr>
            <w:r w:rsidRPr="005D4222">
              <w:t>A withdrawal management event (</w:t>
            </w:r>
            <w:r w:rsidRPr="005D4222">
              <w:rPr>
                <w:u w:val="single"/>
              </w:rPr>
              <w:t>Detoxification Value Set</w:t>
            </w:r>
            <w:r w:rsidRPr="005D4222">
              <w:t xml:space="preserve">) </w:t>
            </w:r>
            <w:r w:rsidRPr="005D4222">
              <w:rPr>
                <w:b/>
                <w:i/>
              </w:rPr>
              <w:t>with</w:t>
            </w:r>
            <w:r w:rsidRPr="005D4222">
              <w:t xml:space="preserve"> one of the following: </w:t>
            </w:r>
            <w:r w:rsidRPr="005D4222">
              <w:rPr>
                <w:u w:val="single"/>
              </w:rPr>
              <w:t>Alcohol Abuse and Dependence Value Set</w:t>
            </w:r>
            <w:r w:rsidRPr="005D4222">
              <w:t xml:space="preserve">, </w:t>
            </w:r>
            <w:r w:rsidRPr="005D4222">
              <w:rPr>
                <w:u w:val="single"/>
              </w:rPr>
              <w:t>Opioid Abuse and Dependence Value Set</w:t>
            </w:r>
            <w:r w:rsidRPr="005D4222">
              <w:t xml:space="preserve">, </w:t>
            </w:r>
            <w:r w:rsidRPr="005D4222">
              <w:rPr>
                <w:u w:val="single"/>
              </w:rPr>
              <w:t>Other Drug Abuse and Dependence Value Set</w:t>
            </w:r>
            <w:r w:rsidRPr="005D4222">
              <w:t>.</w:t>
            </w:r>
          </w:p>
        </w:tc>
      </w:tr>
      <w:tr w:rsidR="00A33EDF" w:rsidRPr="005D4222" w14:paraId="4F3F068F" w14:textId="77777777">
        <w:tblPrEx>
          <w:tblBorders>
            <w:top w:val="single" w:sz="2" w:space="0" w:color="auto"/>
            <w:bottom w:val="single" w:sz="2" w:space="0" w:color="auto"/>
            <w:insideH w:val="single" w:sz="2" w:space="0" w:color="auto"/>
            <w:insideV w:val="single" w:sz="2" w:space="0" w:color="auto"/>
          </w:tblBorders>
        </w:tblPrEx>
        <w:tc>
          <w:tcPr>
            <w:tcW w:w="2160" w:type="dxa"/>
            <w:tcBorders>
              <w:top w:val="single" w:sz="2" w:space="0" w:color="auto"/>
              <w:left w:val="single" w:sz="2" w:space="0" w:color="auto"/>
              <w:bottom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156CEB23" w14:textId="77777777" w:rsidR="00A33EDF" w:rsidRPr="005D4222" w:rsidRDefault="00A33EDF">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132DED9" w14:textId="77777777" w:rsidR="00135D84" w:rsidRPr="005D4222" w:rsidRDefault="00135D84" w:rsidP="00135D84">
            <w:pPr>
              <w:pStyle w:val="Bullet"/>
              <w:rPr>
                <w:rFonts w:cs="Arial"/>
                <w:szCs w:val="26"/>
              </w:rPr>
            </w:pPr>
            <w:r w:rsidRPr="005D4222">
              <w:t>An ED visit (</w:t>
            </w:r>
            <w:r w:rsidRPr="005D4222">
              <w:rPr>
                <w:u w:val="single"/>
              </w:rPr>
              <w:t>ED Value Set</w:t>
            </w:r>
            <w:r w:rsidRPr="005D4222">
              <w:t xml:space="preserve">) </w:t>
            </w:r>
            <w:r w:rsidRPr="005D4222">
              <w:rPr>
                <w:b/>
                <w:i/>
              </w:rPr>
              <w:t xml:space="preserve">with </w:t>
            </w:r>
            <w:r w:rsidRPr="005D4222">
              <w:t xml:space="preserve">one of the following: </w:t>
            </w:r>
            <w:r w:rsidRPr="005D4222">
              <w:rPr>
                <w:u w:val="single"/>
              </w:rPr>
              <w:t>Alcohol Abuse and Dependence Value Set</w:t>
            </w:r>
            <w:r w:rsidRPr="005D4222">
              <w:t xml:space="preserve">, </w:t>
            </w:r>
            <w:r w:rsidRPr="005D4222">
              <w:rPr>
                <w:u w:val="single"/>
              </w:rPr>
              <w:t>Opioid Abuse and Dependence Value Set</w:t>
            </w:r>
            <w:r w:rsidRPr="005D4222">
              <w:t xml:space="preserve">, </w:t>
            </w:r>
            <w:r w:rsidRPr="005D4222">
              <w:rPr>
                <w:u w:val="single"/>
              </w:rPr>
              <w:t>Other Drug Abuse and Dependence Value Set</w:t>
            </w:r>
            <w:r w:rsidRPr="005D4222">
              <w:t xml:space="preserve">. </w:t>
            </w:r>
          </w:p>
          <w:p w14:paraId="479C2F88" w14:textId="77777777" w:rsidR="00135D84" w:rsidRPr="005D4222" w:rsidRDefault="00135D84" w:rsidP="00135D84">
            <w:pPr>
              <w:pStyle w:val="Bullet"/>
            </w:pPr>
            <w:r w:rsidRPr="005D4222">
              <w:t xml:space="preserve">An acute or nonacute inpatient discharge </w:t>
            </w:r>
            <w:r w:rsidRPr="005D4222">
              <w:rPr>
                <w:b/>
                <w:i/>
              </w:rPr>
              <w:t xml:space="preserve">with </w:t>
            </w:r>
            <w:r w:rsidRPr="005D4222">
              <w:t xml:space="preserve">one of the following on the discharge claim: </w:t>
            </w:r>
            <w:r w:rsidRPr="005D4222">
              <w:rPr>
                <w:u w:val="single"/>
              </w:rPr>
              <w:t>Alcohol Abuse and Dependence Value Set</w:t>
            </w:r>
            <w:r w:rsidRPr="005D4222">
              <w:t xml:space="preserve">, </w:t>
            </w:r>
            <w:r w:rsidRPr="005D4222">
              <w:rPr>
                <w:u w:val="single"/>
              </w:rPr>
              <w:t>Opioid Abuse and Dependence Value Set</w:t>
            </w:r>
            <w:r w:rsidRPr="005D4222">
              <w:t xml:space="preserve">, </w:t>
            </w:r>
            <w:r w:rsidRPr="005D4222">
              <w:rPr>
                <w:u w:val="single"/>
              </w:rPr>
              <w:t>Other Drug Abuse and Dependence Value Set</w:t>
            </w:r>
            <w:r w:rsidRPr="005D4222">
              <w:t>. To identify acute and nonacute inpatient discharges:</w:t>
            </w:r>
          </w:p>
          <w:p w14:paraId="4DD84242" w14:textId="77777777" w:rsidR="00135D84" w:rsidRPr="005D4222" w:rsidRDefault="00135D84" w:rsidP="00135D84">
            <w:pPr>
              <w:pStyle w:val="Body"/>
              <w:spacing w:before="80"/>
              <w:ind w:left="864" w:hanging="288"/>
            </w:pPr>
            <w:r w:rsidRPr="005D4222">
              <w:t>1.</w:t>
            </w:r>
            <w:r w:rsidRPr="005D4222">
              <w:tab/>
              <w:t>Identify all acute and nonacute inpatient stays (</w:t>
            </w:r>
            <w:r w:rsidRPr="005D4222">
              <w:rPr>
                <w:u w:val="single"/>
              </w:rPr>
              <w:t>Inpatient Stay Value Set</w:t>
            </w:r>
            <w:r w:rsidRPr="005D4222">
              <w:t>).</w:t>
            </w:r>
          </w:p>
          <w:p w14:paraId="0E855AC9" w14:textId="77777777" w:rsidR="00A33EDF" w:rsidRPr="005D4222" w:rsidRDefault="00A33EDF">
            <w:pPr>
              <w:pStyle w:val="Body"/>
              <w:spacing w:before="80"/>
              <w:ind w:left="864" w:hanging="288"/>
            </w:pPr>
            <w:r w:rsidRPr="005D4222">
              <w:t>2.</w:t>
            </w:r>
            <w:r w:rsidRPr="005D4222">
              <w:tab/>
              <w:t>Identify the discharge date for the stay.</w:t>
            </w:r>
          </w:p>
          <w:p w14:paraId="2CF885EC" w14:textId="77777777" w:rsidR="00A33EDF" w:rsidRPr="005D4222" w:rsidRDefault="00A33EDF" w:rsidP="00A33EDF">
            <w:pPr>
              <w:pStyle w:val="Bullet"/>
              <w:numPr>
                <w:ilvl w:val="0"/>
                <w:numId w:val="4"/>
              </w:numPr>
              <w:tabs>
                <w:tab w:val="left" w:pos="576"/>
              </w:tabs>
              <w:ind w:left="576" w:hanging="216"/>
            </w:pPr>
            <w:r w:rsidRPr="005D4222">
              <w:t>A telephone visit (</w:t>
            </w:r>
            <w:r w:rsidRPr="005D4222">
              <w:rPr>
                <w:u w:val="single"/>
              </w:rPr>
              <w:t>Telephone Visits Value Set</w:t>
            </w:r>
            <w:r w:rsidRPr="005D4222">
              <w:t xml:space="preserve">) </w:t>
            </w:r>
            <w:r w:rsidRPr="005D4222">
              <w:rPr>
                <w:b/>
                <w:i/>
              </w:rPr>
              <w:t xml:space="preserve">with </w:t>
            </w:r>
            <w:r w:rsidRPr="005D4222">
              <w:t xml:space="preserve">one of the following: </w:t>
            </w:r>
            <w:r w:rsidRPr="005D4222">
              <w:rPr>
                <w:u w:val="single"/>
              </w:rPr>
              <w:t>Alcohol Abuse and Dependence Value Set</w:t>
            </w:r>
            <w:r w:rsidRPr="005D4222">
              <w:t xml:space="preserve">, </w:t>
            </w:r>
            <w:r w:rsidRPr="005D4222">
              <w:rPr>
                <w:u w:val="single"/>
              </w:rPr>
              <w:t>Opioid Abuse and Dependence Value Set</w:t>
            </w:r>
            <w:r w:rsidRPr="005D4222">
              <w:t xml:space="preserve">, </w:t>
            </w:r>
            <w:r w:rsidRPr="005D4222">
              <w:rPr>
                <w:u w:val="single"/>
              </w:rPr>
              <w:t>Other Drug Abuse and Dependence Value Set</w:t>
            </w:r>
            <w:r w:rsidRPr="005D4222">
              <w:t>.</w:t>
            </w:r>
            <w:r w:rsidRPr="005D4222">
              <w:rPr>
                <w:u w:val="single"/>
              </w:rPr>
              <w:t xml:space="preserve"> </w:t>
            </w:r>
          </w:p>
          <w:p w14:paraId="55366B5A" w14:textId="77777777" w:rsidR="00A33EDF" w:rsidRPr="005D4222" w:rsidRDefault="00A33EDF" w:rsidP="00A33EDF">
            <w:pPr>
              <w:pStyle w:val="Bullet"/>
              <w:numPr>
                <w:ilvl w:val="0"/>
                <w:numId w:val="4"/>
              </w:numPr>
              <w:tabs>
                <w:tab w:val="left" w:pos="576"/>
              </w:tabs>
              <w:ind w:left="576" w:hanging="216"/>
            </w:pPr>
            <w:r w:rsidRPr="005D4222">
              <w:t>An e-visit or virtual check-in (</w:t>
            </w:r>
            <w:r w:rsidRPr="005D4222">
              <w:rPr>
                <w:u w:val="single"/>
              </w:rPr>
              <w:t>Online Assessments Value Set</w:t>
            </w:r>
            <w:r w:rsidRPr="005D4222">
              <w:t xml:space="preserve">) </w:t>
            </w:r>
            <w:r w:rsidRPr="005D4222">
              <w:rPr>
                <w:b/>
                <w:i/>
              </w:rPr>
              <w:t>with</w:t>
            </w:r>
            <w:r w:rsidRPr="005D4222">
              <w:t xml:space="preserve"> one of the following: </w:t>
            </w:r>
            <w:r w:rsidRPr="005D4222">
              <w:rPr>
                <w:u w:val="single"/>
              </w:rPr>
              <w:t>Alcohol Abuse and Dependence Value Set</w:t>
            </w:r>
            <w:r w:rsidRPr="005D4222">
              <w:t xml:space="preserve">, </w:t>
            </w:r>
            <w:r w:rsidRPr="005D4222">
              <w:rPr>
                <w:u w:val="single"/>
              </w:rPr>
              <w:t>Opioid Abuse and Dependence Value Set</w:t>
            </w:r>
            <w:r w:rsidRPr="005D4222">
              <w:t xml:space="preserve">, </w:t>
            </w:r>
            <w:r w:rsidRPr="005D4222">
              <w:rPr>
                <w:u w:val="single"/>
              </w:rPr>
              <w:t>Other Drug Abuse and Dependence Value Set</w:t>
            </w:r>
            <w:r w:rsidRPr="005D4222">
              <w:t>.</w:t>
            </w:r>
          </w:p>
          <w:p w14:paraId="23C13383" w14:textId="77777777" w:rsidR="00A33EDF" w:rsidRPr="005D4222" w:rsidRDefault="00A33EDF" w:rsidP="00A33EDF">
            <w:pPr>
              <w:pStyle w:val="Bullet"/>
              <w:numPr>
                <w:ilvl w:val="0"/>
                <w:numId w:val="4"/>
              </w:numPr>
              <w:tabs>
                <w:tab w:val="left" w:pos="576"/>
              </w:tabs>
              <w:ind w:left="576" w:hanging="216"/>
            </w:pPr>
            <w:r w:rsidRPr="005D4222">
              <w:t>An opioid treatment service (</w:t>
            </w:r>
            <w:r w:rsidRPr="005D4222">
              <w:rPr>
                <w:u w:val="single"/>
              </w:rPr>
              <w:t>OUD Weekly Non Drug Service Value Set</w:t>
            </w:r>
            <w:r w:rsidRPr="005D4222">
              <w:t xml:space="preserve">; </w:t>
            </w:r>
            <w:r w:rsidRPr="005D4222">
              <w:rPr>
                <w:u w:val="single"/>
              </w:rPr>
              <w:t>OUD Monthly Office Based Treatment Value Set</w:t>
            </w:r>
            <w:r w:rsidRPr="005D4222">
              <w:t xml:space="preserve">; </w:t>
            </w:r>
            <w:r w:rsidRPr="005D4222">
              <w:rPr>
                <w:u w:val="single"/>
              </w:rPr>
              <w:t>OUD Weekly Drug Treatment Service Value Set</w:t>
            </w:r>
            <w:r w:rsidRPr="005D4222">
              <w:t xml:space="preserve">) </w:t>
            </w:r>
            <w:r w:rsidRPr="005D4222">
              <w:rPr>
                <w:b/>
                <w:i/>
              </w:rPr>
              <w:t>with</w:t>
            </w:r>
            <w:r w:rsidRPr="005D4222">
              <w:t xml:space="preserve"> a diagnosis of opioid abuse or dependence (</w:t>
            </w:r>
            <w:r w:rsidRPr="005D4222">
              <w:rPr>
                <w:u w:val="single"/>
              </w:rPr>
              <w:t>Opioid Abuse and Dependence Value Set</w:t>
            </w:r>
            <w:r w:rsidRPr="005D4222">
              <w:t>).</w:t>
            </w:r>
          </w:p>
          <w:p w14:paraId="45E1FDEF" w14:textId="77777777" w:rsidR="00A33EDF" w:rsidRPr="005D4222" w:rsidRDefault="00A33EDF">
            <w:pPr>
              <w:pStyle w:val="Body"/>
              <w:rPr>
                <w:bCs/>
              </w:rPr>
            </w:pPr>
            <w:r w:rsidRPr="005D4222">
              <w:rPr>
                <w:b/>
                <w:bCs/>
                <w:shd w:val="clear" w:color="auto" w:fill="FFFFFF"/>
              </w:rPr>
              <w:t xml:space="preserve">Step 2. </w:t>
            </w:r>
            <w:r w:rsidRPr="005D4222">
              <w:rPr>
                <w:bCs/>
              </w:rPr>
              <w:t>Test for negative SUD diagnosis history.</w:t>
            </w:r>
          </w:p>
          <w:p w14:paraId="09D78F65" w14:textId="77777777" w:rsidR="00A33EDF" w:rsidRPr="005D4222" w:rsidRDefault="00A33EDF">
            <w:pPr>
              <w:pStyle w:val="ECDSBody"/>
              <w:spacing w:before="0"/>
            </w:pPr>
            <w:r w:rsidRPr="005D4222">
              <w:t>Remove SUD episodes if the person had a SUD diagnosis (</w:t>
            </w:r>
            <w:r w:rsidRPr="005D4222">
              <w:rPr>
                <w:u w:val="single"/>
              </w:rPr>
              <w:t>Alcohol Abuse and Dependence Value Set</w:t>
            </w:r>
            <w:r w:rsidRPr="005D4222">
              <w:t xml:space="preserve">*, </w:t>
            </w:r>
            <w:r w:rsidRPr="005D4222">
              <w:rPr>
                <w:u w:val="single"/>
              </w:rPr>
              <w:t>Opioid Abuse and Dependence Value Set</w:t>
            </w:r>
            <w:r w:rsidRPr="005D4222">
              <w:t xml:space="preserve">*, </w:t>
            </w:r>
            <w:r w:rsidRPr="005D4222">
              <w:rPr>
                <w:u w:val="single"/>
              </w:rPr>
              <w:t>Other Drug Abuse and Dependence Value Set</w:t>
            </w:r>
            <w:r w:rsidRPr="005D4222">
              <w:t>*) during the 194 days prior to the SUD episode date. Do not include ED visits (</w:t>
            </w:r>
            <w:r w:rsidRPr="005D4222">
              <w:rPr>
                <w:u w:val="single"/>
              </w:rPr>
              <w:t>ED Value Set</w:t>
            </w:r>
            <w:r w:rsidRPr="005D4222">
              <w:t>) or withdrawal management events (</w:t>
            </w:r>
            <w:r w:rsidRPr="005D4222">
              <w:rPr>
                <w:u w:val="single"/>
              </w:rPr>
              <w:t>Detoxification Value Set</w:t>
            </w:r>
            <w:r w:rsidRPr="005D4222">
              <w:t xml:space="preserve">). </w:t>
            </w:r>
          </w:p>
          <w:p w14:paraId="2DA4D9CD" w14:textId="77777777" w:rsidR="00A33EDF" w:rsidRPr="005D4222" w:rsidRDefault="00A33EDF">
            <w:pPr>
              <w:pStyle w:val="ECDSBody"/>
            </w:pPr>
            <w:r w:rsidRPr="005D4222">
              <w:t xml:space="preserve">If the SUD episode was an inpatient stay, use the admission date to determine negative SUD history. </w:t>
            </w:r>
          </w:p>
          <w:p w14:paraId="28446B96" w14:textId="77777777" w:rsidR="00A33EDF" w:rsidRPr="005D4222" w:rsidRDefault="00A33EDF">
            <w:pPr>
              <w:pStyle w:val="ECDSBody"/>
            </w:pPr>
            <w:r w:rsidRPr="005D4222">
              <w:rPr>
                <w:i/>
              </w:rPr>
              <w:t xml:space="preserve">For visits with an SUD diagnosis that resulted in an inpatient stay </w:t>
            </w:r>
            <w:r w:rsidRPr="005D4222">
              <w:rPr>
                <w:iCs/>
              </w:rPr>
              <w:t>(where the inpatient stay becomes the SUD episode)</w:t>
            </w:r>
            <w:r w:rsidRPr="005D4222">
              <w:rPr>
                <w:i/>
              </w:rPr>
              <w:t>,</w:t>
            </w:r>
            <w:r w:rsidRPr="005D4222">
              <w:t xml:space="preserve"> use the earliest date of service to determine the negative SUD diagnosis history (so that the visit that resulted in the inpatient stay is not considered a positive diagnosis history). </w:t>
            </w:r>
          </w:p>
          <w:p w14:paraId="63E0125C" w14:textId="77777777" w:rsidR="00A33EDF" w:rsidRPr="005D4222" w:rsidRDefault="00A33EDF">
            <w:pPr>
              <w:pStyle w:val="ECDSBody"/>
            </w:pPr>
            <w:r w:rsidRPr="005D4222">
              <w:rPr>
                <w:i/>
                <w:iCs/>
              </w:rPr>
              <w:t>For direct transfers,</w:t>
            </w:r>
            <w:r w:rsidRPr="005D4222">
              <w:t xml:space="preserve"> use the first admission date to determine the negative SUD diagnosis history.</w:t>
            </w:r>
          </w:p>
          <w:p w14:paraId="262D4E75" w14:textId="77777777" w:rsidR="00A33EDF" w:rsidRPr="005D4222" w:rsidRDefault="00A33EDF">
            <w:pPr>
              <w:pStyle w:val="ECDSBody"/>
            </w:pPr>
            <w:r w:rsidRPr="005D4222">
              <w:rPr>
                <w:b/>
                <w:bCs w:val="0"/>
              </w:rPr>
              <w:t>Step 3.</w:t>
            </w:r>
            <w:r w:rsidRPr="005D4222">
              <w:t xml:space="preserve"> Test for negative SUD medication history.</w:t>
            </w:r>
            <w:r w:rsidRPr="005D4222" w:rsidDel="00490FB1">
              <w:t xml:space="preserve"> </w:t>
            </w:r>
            <w:r w:rsidRPr="005D4222">
              <w:t>Remove SUD episodes if any of the following occurred during the 194 days prior to the SUD episode date:</w:t>
            </w:r>
          </w:p>
          <w:p w14:paraId="26A2D12A" w14:textId="065A2B3F" w:rsidR="00A33EDF" w:rsidRPr="005D4222" w:rsidRDefault="00A33EDF" w:rsidP="00135D84">
            <w:pPr>
              <w:pStyle w:val="Bullet"/>
              <w:numPr>
                <w:ilvl w:val="0"/>
                <w:numId w:val="4"/>
              </w:numPr>
              <w:tabs>
                <w:tab w:val="left" w:pos="360"/>
                <w:tab w:val="left" w:pos="576"/>
              </w:tabs>
              <w:spacing w:after="80"/>
              <w:ind w:left="576" w:hanging="216"/>
            </w:pPr>
            <w:r w:rsidRPr="005D4222">
              <w:t>An SUD medication treatment dispensing event (</w:t>
            </w:r>
            <w:r w:rsidRPr="005D4222">
              <w:rPr>
                <w:u w:val="single"/>
              </w:rPr>
              <w:t>Alcohol Use Disorder Treatment Medications List</w:t>
            </w:r>
            <w:r w:rsidRPr="005D4222">
              <w:t xml:space="preserve">; </w:t>
            </w:r>
            <w:r w:rsidRPr="005D4222">
              <w:rPr>
                <w:u w:val="single"/>
              </w:rPr>
              <w:t>Naltrexone Injection Medications List</w:t>
            </w:r>
            <w:r w:rsidRPr="005D4222">
              <w:t xml:space="preserve">; </w:t>
            </w:r>
            <w:r w:rsidRPr="005D4222">
              <w:rPr>
                <w:u w:val="single"/>
              </w:rPr>
              <w:t>Buprenorphine Oral Medications List</w:t>
            </w:r>
            <w:r w:rsidRPr="005D4222">
              <w:t xml:space="preserve">; </w:t>
            </w:r>
            <w:r w:rsidRPr="005D4222">
              <w:rPr>
                <w:u w:val="single"/>
              </w:rPr>
              <w:t>Buprenorphine Injection Medications List</w:t>
            </w:r>
            <w:r w:rsidRPr="005D4222">
              <w:t xml:space="preserve">; </w:t>
            </w:r>
            <w:r w:rsidRPr="005D4222">
              <w:rPr>
                <w:u w:val="single"/>
              </w:rPr>
              <w:t>Buprenorphine Implant Medications List</w:t>
            </w:r>
            <w:r w:rsidRPr="005D4222">
              <w:t xml:space="preserve">; </w:t>
            </w:r>
            <w:r w:rsidRPr="005D4222">
              <w:rPr>
                <w:u w:val="single"/>
              </w:rPr>
              <w:t>Buprenorphine Naloxone Medications List</w:t>
            </w:r>
            <w:r w:rsidRPr="005D4222">
              <w:t xml:space="preserve">). </w:t>
            </w:r>
          </w:p>
        </w:tc>
      </w:tr>
    </w:tbl>
    <w:p w14:paraId="410062A1" w14:textId="77777777" w:rsidR="00135D84" w:rsidRPr="005D4222" w:rsidRDefault="00135D84">
      <w:r w:rsidRPr="005D4222">
        <w:br w:type="page"/>
      </w:r>
    </w:p>
    <w:tbl>
      <w:tblPr>
        <w:tblW w:w="971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86" w:type="dxa"/>
          <w:bottom w:w="43" w:type="dxa"/>
          <w:right w:w="86" w:type="dxa"/>
        </w:tblCellMar>
        <w:tblLook w:val="04A0" w:firstRow="1" w:lastRow="0" w:firstColumn="1" w:lastColumn="0" w:noHBand="0" w:noVBand="1"/>
      </w:tblPr>
      <w:tblGrid>
        <w:gridCol w:w="2160"/>
        <w:gridCol w:w="7557"/>
      </w:tblGrid>
      <w:tr w:rsidR="00135D84" w:rsidRPr="005D4222" w14:paraId="36BDC8CF" w14:textId="77777777" w:rsidTr="00135D84">
        <w:tc>
          <w:tcPr>
            <w:tcW w:w="2160" w:type="dxa"/>
            <w:tcBorders>
              <w:top w:val="single" w:sz="2" w:space="0" w:color="auto"/>
              <w:left w:val="single" w:sz="2" w:space="0" w:color="auto"/>
              <w:bottom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6DFC71AA" w14:textId="77777777" w:rsidR="00135D84" w:rsidRPr="005D4222" w:rsidRDefault="00135D84"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F56D2FE" w14:textId="77777777" w:rsidR="00135D84" w:rsidRPr="005D4222" w:rsidRDefault="00135D84" w:rsidP="00135D84">
            <w:pPr>
              <w:pStyle w:val="Bullet"/>
              <w:numPr>
                <w:ilvl w:val="0"/>
                <w:numId w:val="4"/>
              </w:numPr>
              <w:tabs>
                <w:tab w:val="left" w:pos="360"/>
                <w:tab w:val="left" w:pos="576"/>
              </w:tabs>
              <w:spacing w:after="80"/>
              <w:ind w:left="576" w:hanging="216"/>
              <w:rPr>
                <w:rFonts w:ascii="Segoe UI" w:hAnsi="Segoe UI" w:cs="Segoe UI"/>
                <w:sz w:val="18"/>
                <w:szCs w:val="18"/>
              </w:rPr>
            </w:pPr>
            <w:r w:rsidRPr="005D4222">
              <w:t>An SUD medication administration event (</w:t>
            </w:r>
            <w:r w:rsidRPr="005D4222">
              <w:rPr>
                <w:u w:val="single"/>
              </w:rPr>
              <w:t>Naltrexone Injection Value Set</w:t>
            </w:r>
            <w:r w:rsidRPr="005D4222">
              <w:t xml:space="preserve">; </w:t>
            </w:r>
            <w:r w:rsidRPr="005D4222">
              <w:rPr>
                <w:u w:val="single"/>
              </w:rPr>
              <w:t>Buprenorphine Oral Value Set</w:t>
            </w:r>
            <w:r w:rsidRPr="005D4222">
              <w:t xml:space="preserve">; </w:t>
            </w:r>
            <w:r w:rsidRPr="005D4222">
              <w:rPr>
                <w:u w:val="single"/>
              </w:rPr>
              <w:t>Buprenorphine Oral Weekly Value Set</w:t>
            </w:r>
            <w:r w:rsidRPr="005D4222">
              <w:t xml:space="preserve">; </w:t>
            </w:r>
            <w:r w:rsidRPr="005D4222">
              <w:rPr>
                <w:u w:val="single"/>
              </w:rPr>
              <w:t>Buprenorphine Injection Value Set</w:t>
            </w:r>
            <w:r w:rsidRPr="005D4222">
              <w:t xml:space="preserve">; </w:t>
            </w:r>
            <w:r w:rsidRPr="005D4222">
              <w:rPr>
                <w:u w:val="single"/>
              </w:rPr>
              <w:t>Buprenorphine Naloxone Value Set</w:t>
            </w:r>
            <w:r w:rsidRPr="005D4222">
              <w:t xml:space="preserve">; </w:t>
            </w:r>
            <w:r w:rsidRPr="005D4222">
              <w:rPr>
                <w:u w:val="single"/>
              </w:rPr>
              <w:t>Buprenorphine Implant Value Set</w:t>
            </w:r>
            <w:r w:rsidRPr="005D4222">
              <w:t xml:space="preserve">; </w:t>
            </w:r>
            <w:r w:rsidRPr="005D4222">
              <w:rPr>
                <w:u w:val="single"/>
              </w:rPr>
              <w:t>Methadone Oral Value Set</w:t>
            </w:r>
            <w:r w:rsidRPr="005D4222">
              <w:t xml:space="preserve">; </w:t>
            </w:r>
            <w:r w:rsidRPr="005D4222">
              <w:rPr>
                <w:u w:val="single"/>
              </w:rPr>
              <w:t>Methadone Oral Weekly Value Set</w:t>
            </w:r>
            <w:r w:rsidRPr="005D4222">
              <w:t>).</w:t>
            </w:r>
          </w:p>
          <w:p w14:paraId="00E92967" w14:textId="77777777" w:rsidR="00135D84" w:rsidRPr="005D4222" w:rsidRDefault="00135D84" w:rsidP="00135D84">
            <w:pPr>
              <w:pStyle w:val="ECDSBody"/>
            </w:pPr>
            <w:r w:rsidRPr="005D4222">
              <w:rPr>
                <w:b/>
                <w:bCs w:val="0"/>
              </w:rPr>
              <w:t xml:space="preserve">Step 4. </w:t>
            </w:r>
            <w:r w:rsidRPr="005D4222">
              <w:t>Remove SUD episodes that do not meet continuous enrollment criteria.</w:t>
            </w:r>
          </w:p>
          <w:p w14:paraId="0BE600B4" w14:textId="77777777" w:rsidR="00135D84" w:rsidRPr="005D4222" w:rsidRDefault="00135D84" w:rsidP="00135D84">
            <w:pPr>
              <w:pStyle w:val="ECDSBody"/>
              <w:spacing w:before="180"/>
            </w:pPr>
            <w:r w:rsidRPr="005D4222">
              <w:rPr>
                <w:b/>
                <w:bCs w:val="0"/>
              </w:rPr>
              <w:t>Step 5.</w:t>
            </w:r>
            <w:r w:rsidRPr="005D4222">
              <w:t xml:space="preserve"> Deduplicate eligible episodes. If a person has more than one eligible episode on the same day, include only one eligible episode. For example, if a person has two eligible episodes on January 1, only one eligible episode would be included; then, if applicable, include the next eligible episode that occurs after January 1. </w:t>
            </w:r>
          </w:p>
          <w:p w14:paraId="11B5BA48" w14:textId="77777777" w:rsidR="00135D84" w:rsidRPr="005D4222" w:rsidRDefault="00135D84" w:rsidP="00135D84">
            <w:pPr>
              <w:pStyle w:val="Note"/>
              <w:spacing w:after="80"/>
            </w:pPr>
            <w:r w:rsidRPr="005D4222">
              <w:rPr>
                <w:b/>
              </w:rPr>
              <w:t>Note:</w:t>
            </w:r>
            <w:r w:rsidRPr="005D4222">
              <w:t xml:space="preserve"> All eligible episodes that were not removed or deduplicated remain in the denominator.</w:t>
            </w:r>
          </w:p>
          <w:p w14:paraId="03B826AD" w14:textId="77777777" w:rsidR="00135D84" w:rsidRPr="005D4222" w:rsidRDefault="00135D84" w:rsidP="00135D84">
            <w:pPr>
              <w:pStyle w:val="ECDSBody"/>
              <w:spacing w:before="180"/>
            </w:pPr>
            <w:r w:rsidRPr="005D4222">
              <w:rPr>
                <w:b/>
                <w:bCs w:val="0"/>
              </w:rPr>
              <w:t>Step 6.</w:t>
            </w:r>
            <w:r w:rsidRPr="005D4222">
              <w:t xml:space="preserve"> Identify the SUD diagnosis cohort for each SUD episode.</w:t>
            </w:r>
          </w:p>
          <w:p w14:paraId="4AB073C1" w14:textId="77777777" w:rsidR="00135D84" w:rsidRPr="005D4222" w:rsidRDefault="00135D84" w:rsidP="00135D84">
            <w:pPr>
              <w:pStyle w:val="Bullet"/>
              <w:numPr>
                <w:ilvl w:val="0"/>
                <w:numId w:val="4"/>
              </w:numPr>
              <w:tabs>
                <w:tab w:val="left" w:pos="360"/>
                <w:tab w:val="left" w:pos="576"/>
              </w:tabs>
              <w:ind w:left="576" w:hanging="216"/>
            </w:pPr>
            <w:r w:rsidRPr="005D4222">
              <w:t>If the SUD episode has a diagnosis of alcohol use disorder (</w:t>
            </w:r>
            <w:r w:rsidRPr="005D4222">
              <w:rPr>
                <w:u w:val="single"/>
              </w:rPr>
              <w:t>Alcohol Abuse and Dependence Value Set</w:t>
            </w:r>
            <w:r w:rsidRPr="005D4222">
              <w:t xml:space="preserve">), include the episode in the </w:t>
            </w:r>
            <w:r w:rsidRPr="005D4222">
              <w:rPr>
                <w:i/>
                <w:iCs/>
              </w:rPr>
              <w:t>alcohol use disorder cohort</w:t>
            </w:r>
            <w:r w:rsidRPr="005D4222">
              <w:t xml:space="preserve">. </w:t>
            </w:r>
          </w:p>
          <w:p w14:paraId="6E559E72" w14:textId="77777777" w:rsidR="00135D84" w:rsidRPr="005D4222" w:rsidRDefault="00135D84" w:rsidP="00135D84">
            <w:pPr>
              <w:pStyle w:val="Bullet"/>
              <w:numPr>
                <w:ilvl w:val="0"/>
                <w:numId w:val="4"/>
              </w:numPr>
              <w:tabs>
                <w:tab w:val="left" w:pos="360"/>
                <w:tab w:val="left" w:pos="576"/>
              </w:tabs>
              <w:ind w:left="576" w:hanging="216"/>
            </w:pPr>
            <w:r w:rsidRPr="005D4222">
              <w:t>If the SUD episode has a diagnosis of opioid use disorder (</w:t>
            </w:r>
            <w:r w:rsidRPr="005D4222">
              <w:rPr>
                <w:u w:val="single"/>
              </w:rPr>
              <w:t>Opioid Abuse and Dependence Value Set</w:t>
            </w:r>
            <w:r w:rsidRPr="005D4222">
              <w:t xml:space="preserve">), include the episode in the </w:t>
            </w:r>
            <w:r w:rsidRPr="005D4222">
              <w:rPr>
                <w:i/>
              </w:rPr>
              <w:t>opioid use disorder cohort.</w:t>
            </w:r>
            <w:r w:rsidRPr="005D4222">
              <w:t xml:space="preserve"> </w:t>
            </w:r>
          </w:p>
          <w:p w14:paraId="65AC7026" w14:textId="77777777" w:rsidR="00135D84" w:rsidRPr="005D4222" w:rsidRDefault="00135D84" w:rsidP="00135D84">
            <w:pPr>
              <w:pStyle w:val="Bullet"/>
              <w:numPr>
                <w:ilvl w:val="0"/>
                <w:numId w:val="4"/>
              </w:numPr>
              <w:tabs>
                <w:tab w:val="left" w:pos="360"/>
                <w:tab w:val="left" w:pos="576"/>
              </w:tabs>
              <w:ind w:left="576" w:hanging="216"/>
            </w:pPr>
            <w:r w:rsidRPr="005D4222">
              <w:t>If the SUD episode has a diagnosis of SUD that is neither for opioid nor alcohol (</w:t>
            </w:r>
            <w:r w:rsidRPr="005D4222">
              <w:rPr>
                <w:u w:val="single"/>
              </w:rPr>
              <w:t>Other Drug Abuse and Dependence Value Set</w:t>
            </w:r>
            <w:r w:rsidRPr="005D4222">
              <w:t xml:space="preserve">), include the person in the </w:t>
            </w:r>
            <w:r w:rsidRPr="005D4222">
              <w:rPr>
                <w:i/>
                <w:iCs/>
              </w:rPr>
              <w:t>other substance use disorder cohort</w:t>
            </w:r>
            <w:r w:rsidRPr="005D4222">
              <w:t xml:space="preserve">. </w:t>
            </w:r>
          </w:p>
          <w:p w14:paraId="23576202" w14:textId="77777777" w:rsidR="00135D84" w:rsidRPr="005D4222" w:rsidRDefault="00135D84" w:rsidP="00ED70B8">
            <w:pPr>
              <w:pStyle w:val="ECDSBody"/>
              <w:ind w:left="278"/>
            </w:pPr>
            <w:r w:rsidRPr="005D4222">
              <w:t xml:space="preserve">Include SUD episodes in all SUD diagnosis cohorts for which they meet criteria. </w:t>
            </w:r>
          </w:p>
          <w:p w14:paraId="6A57B865" w14:textId="77777777" w:rsidR="00135D84" w:rsidRPr="005D4222" w:rsidRDefault="00135D84" w:rsidP="00ED70B8">
            <w:pPr>
              <w:pStyle w:val="Bullet"/>
              <w:numPr>
                <w:ilvl w:val="0"/>
                <w:numId w:val="4"/>
              </w:numPr>
              <w:tabs>
                <w:tab w:val="left" w:pos="576"/>
                <w:tab w:val="left" w:pos="638"/>
              </w:tabs>
              <w:ind w:left="548" w:hanging="180"/>
            </w:pPr>
            <w:r w:rsidRPr="005D4222">
              <w:rPr>
                <w:i/>
                <w:iCs/>
              </w:rPr>
              <w:t>For example,</w:t>
            </w:r>
            <w:r w:rsidRPr="005D4222">
              <w:t xml:space="preserve"> if the SUD episode has a diagnosis of alcohol use disorder and opioid use disorder, include the episode in the alcohol use disorder and opioid use disorder cohorts.</w:t>
            </w:r>
          </w:p>
          <w:p w14:paraId="4249FA72" w14:textId="77777777" w:rsidR="00135D84" w:rsidRPr="005D4222" w:rsidRDefault="00135D84" w:rsidP="00135D84">
            <w:pPr>
              <w:pStyle w:val="ECDSBody"/>
              <w:spacing w:after="0"/>
              <w:rPr>
                <w:rFonts w:ascii="Segoe UI" w:hAnsi="Segoe UI" w:cs="Segoe UI"/>
                <w:b/>
                <w:bCs w:val="0"/>
                <w:sz w:val="18"/>
                <w:szCs w:val="18"/>
              </w:rPr>
            </w:pPr>
            <w:r w:rsidRPr="005D4222">
              <w:rPr>
                <w:b/>
                <w:bCs w:val="0"/>
              </w:rPr>
              <w:t>Coding Guidance </w:t>
            </w:r>
          </w:p>
          <w:p w14:paraId="08A18025" w14:textId="228EDDDE" w:rsidR="00135D84" w:rsidRPr="005D4222" w:rsidRDefault="00135D84" w:rsidP="00135D84">
            <w:pPr>
              <w:pStyle w:val="ECDSBody"/>
              <w:spacing w:before="0"/>
            </w:pPr>
            <w:r w:rsidRPr="005D4222">
              <w:t>*Do not include laboratory claims (claims with POS code 81).</w:t>
            </w:r>
          </w:p>
        </w:tc>
      </w:tr>
      <w:tr w:rsidR="00A33EDF" w:rsidRPr="005D4222" w14:paraId="5DF89548" w14:textId="77777777" w:rsidTr="00135D84">
        <w:tc>
          <w:tcPr>
            <w:tcW w:w="2160" w:type="dxa"/>
            <w:tcBorders>
              <w:top w:val="single" w:sz="2" w:space="0" w:color="auto"/>
              <w:left w:val="single" w:sz="2" w:space="0" w:color="auto"/>
              <w:bottom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3FEB6EAC" w14:textId="77777777" w:rsidR="00A33EDF" w:rsidRPr="005D4222" w:rsidRDefault="00A33EDF">
            <w:pPr>
              <w:pStyle w:val="ECDSMarginHead"/>
            </w:pPr>
            <w:r w:rsidRPr="005D4222">
              <w:t xml:space="preserve">Denominator exclusions </w:t>
            </w:r>
          </w:p>
        </w:tc>
        <w:tc>
          <w:tcPr>
            <w:tcW w:w="7557" w:type="dxa"/>
            <w:tcBorders>
              <w:top w:val="single" w:sz="2" w:space="0" w:color="auto"/>
              <w:left w:val="single" w:sz="2" w:space="0" w:color="auto"/>
              <w:bottom w:val="single" w:sz="2" w:space="0" w:color="auto"/>
              <w:right w:val="single" w:sz="2" w:space="0" w:color="auto"/>
            </w:tcBorders>
            <w:tcMar>
              <w:top w:w="0" w:type="dxa"/>
              <w:left w:w="86" w:type="dxa"/>
              <w:bottom w:w="43" w:type="dxa"/>
              <w:right w:w="86" w:type="dxa"/>
            </w:tcMar>
          </w:tcPr>
          <w:p w14:paraId="46018457" w14:textId="77777777" w:rsidR="00A33EDF" w:rsidRPr="005D4222" w:rsidRDefault="00A33EDF">
            <w:pPr>
              <w:pStyle w:val="ECDSBody"/>
              <w:rPr>
                <w:rFonts w:cs="Segoe UI"/>
                <w:szCs w:val="18"/>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p w14:paraId="433EDEDD" w14:textId="77777777" w:rsidR="00A33EDF" w:rsidRPr="005D4222" w:rsidRDefault="00A33EDF">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6439AD" w:rsidRPr="005D4222" w14:paraId="36C45A4D" w14:textId="77777777" w:rsidTr="00135D84">
        <w:tc>
          <w:tcPr>
            <w:tcW w:w="2160"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483D28F" w14:textId="77777777" w:rsidR="00A33EDF" w:rsidRPr="005D4222" w:rsidRDefault="00A33EDF">
            <w:pPr>
              <w:pStyle w:val="ECDSMarginHead"/>
            </w:pPr>
            <w:r w:rsidRPr="005D4222">
              <w:rPr>
                <w:rFonts w:eastAsia="Arial"/>
              </w:rPr>
              <w:t xml:space="preserve">Denominator </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03184E6" w14:textId="77777777" w:rsidR="00A33EDF" w:rsidRPr="005D4222" w:rsidRDefault="00A33EDF">
            <w:pPr>
              <w:pStyle w:val="ECDSBody"/>
              <w:rPr>
                <w:b/>
              </w:rPr>
            </w:pPr>
            <w:r w:rsidRPr="005D4222">
              <w:rPr>
                <w:rFonts w:eastAsia="Arial"/>
              </w:rPr>
              <w:t>The initial population minus denominator exclusions.</w:t>
            </w:r>
          </w:p>
        </w:tc>
      </w:tr>
      <w:tr w:rsidR="006439AD" w:rsidRPr="005D4222" w14:paraId="0D32FFB3" w14:textId="77777777" w:rsidTr="00135D84">
        <w:tc>
          <w:tcPr>
            <w:tcW w:w="2160"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5C9016F" w14:textId="77777777" w:rsidR="00A33EDF" w:rsidRPr="005D4222" w:rsidRDefault="00A33EDF">
            <w:pPr>
              <w:pStyle w:val="ECDSMarginHead"/>
            </w:pPr>
            <w:r w:rsidRPr="005D4222">
              <w:t>Numerator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B42D004" w14:textId="310519D7" w:rsidR="00A33EDF" w:rsidRPr="005D4222" w:rsidRDefault="00A33EDF" w:rsidP="00135D84">
            <w:pPr>
              <w:pStyle w:val="ECDSBody"/>
              <w:rPr>
                <w:b/>
                <w:bCs w:val="0"/>
              </w:rPr>
            </w:pPr>
            <w:r w:rsidRPr="005D4222">
              <w:rPr>
                <w:b/>
              </w:rPr>
              <w:t>Numerator 1:</w:t>
            </w:r>
            <w:r w:rsidRPr="005D4222">
              <w:rPr>
                <w:b/>
                <w:i/>
                <w:iCs/>
              </w:rPr>
              <w:t xml:space="preserve"> </w:t>
            </w:r>
            <w:r w:rsidRPr="005D4222">
              <w:rPr>
                <w:b/>
              </w:rPr>
              <w:t>Initiation of SUD treatment.</w:t>
            </w:r>
            <w:r w:rsidRPr="005D4222">
              <w:rPr>
                <w:b/>
                <w:bCs w:val="0"/>
              </w:rPr>
              <w:br/>
            </w:r>
            <w:r w:rsidRPr="005D4222">
              <w:t xml:space="preserve">Initiation of SUD treatment within 14 days of the SUD episode date. Follow the steps below to identify numerator compliance. </w:t>
            </w:r>
          </w:p>
        </w:tc>
      </w:tr>
      <w:tr w:rsidR="006439AD" w:rsidRPr="005D4222" w14:paraId="7B16DFEB" w14:textId="77777777" w:rsidTr="00135D84">
        <w:tc>
          <w:tcPr>
            <w:tcW w:w="2160"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8882C1F" w14:textId="77777777" w:rsidR="00A33EDF" w:rsidRPr="005D4222" w:rsidRDefault="00A33EDF">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7C4C588" w14:textId="77777777" w:rsidR="00135D84" w:rsidRPr="005D4222" w:rsidRDefault="00135D84" w:rsidP="00135D84">
            <w:pPr>
              <w:pStyle w:val="ECDSBody"/>
            </w:pPr>
            <w:r w:rsidRPr="005D4222">
              <w:rPr>
                <w:b/>
              </w:rPr>
              <w:t xml:space="preserve">Step 1. </w:t>
            </w:r>
            <w:r w:rsidRPr="005D4222">
              <w:rPr>
                <w:i/>
              </w:rPr>
              <w:t>If the SUD episode was an inpatient discharge</w:t>
            </w:r>
            <w:r w:rsidRPr="005D4222">
              <w:t>, the inpatient stay is considered initiation of treatment and the SUD episode is compliant.</w:t>
            </w:r>
          </w:p>
          <w:p w14:paraId="32DAE0ED" w14:textId="77777777" w:rsidR="00135D84" w:rsidRPr="005D4222" w:rsidRDefault="00135D84" w:rsidP="00135D84">
            <w:pPr>
              <w:pStyle w:val="ECDSBody"/>
              <w:rPr>
                <w:b/>
                <w:bCs w:val="0"/>
              </w:rPr>
            </w:pPr>
            <w:r w:rsidRPr="005D4222">
              <w:rPr>
                <w:b/>
              </w:rPr>
              <w:t xml:space="preserve">Step 2. </w:t>
            </w:r>
            <w:r w:rsidRPr="005D4222">
              <w:rPr>
                <w:i/>
                <w:iCs/>
              </w:rPr>
              <w:t xml:space="preserve">If the SUD episode was an opioid treatment service that bills monthly </w:t>
            </w:r>
            <w:r w:rsidRPr="005D4222">
              <w:t>(</w:t>
            </w:r>
            <w:r w:rsidRPr="005D4222">
              <w:rPr>
                <w:u w:val="single"/>
              </w:rPr>
              <w:t>OUD Monthly Office Based Treatment Value Set</w:t>
            </w:r>
            <w:r w:rsidRPr="005D4222">
              <w:t>), the opioid treatment service is considered initiation of treatment and the SUD episode is compliant.</w:t>
            </w:r>
          </w:p>
          <w:p w14:paraId="11F3BADE" w14:textId="77777777" w:rsidR="00135D84" w:rsidRPr="005D4222" w:rsidRDefault="00135D84" w:rsidP="00135D84">
            <w:pPr>
              <w:pStyle w:val="ECDSBody"/>
              <w:spacing w:before="180"/>
            </w:pPr>
            <w:r w:rsidRPr="005D4222">
              <w:rPr>
                <w:b/>
                <w:bCs w:val="0"/>
              </w:rPr>
              <w:t xml:space="preserve">Step 3. </w:t>
            </w:r>
            <w:r w:rsidRPr="005D4222">
              <w:t>For remaining SUD episodes (those not compliant after steps 1–2), identify episodes with at least one of the following on the SUD episode date or during the 13 days after the SUD episode date (14 total days):</w:t>
            </w:r>
          </w:p>
          <w:p w14:paraId="1B11A703" w14:textId="064721F9" w:rsidR="00A33EDF" w:rsidRPr="005D4222" w:rsidRDefault="00135D84" w:rsidP="00135D84">
            <w:pPr>
              <w:pStyle w:val="Bullet"/>
            </w:pPr>
            <w:r w:rsidRPr="005D4222">
              <w:t xml:space="preserve">An acute or nonacute inpatient admission </w:t>
            </w:r>
            <w:r w:rsidRPr="005D4222">
              <w:rPr>
                <w:b/>
                <w:i/>
              </w:rPr>
              <w:t>with</w:t>
            </w:r>
            <w:r w:rsidRPr="005D4222">
              <w:t xml:space="preserve"> a diagnosis (on the discharge claim) </w:t>
            </w:r>
            <w:r w:rsidRPr="005D4222">
              <w:rPr>
                <w:bCs/>
                <w:iCs/>
              </w:rPr>
              <w:t xml:space="preserve">of </w:t>
            </w:r>
            <w:r w:rsidRPr="005D4222">
              <w:t xml:space="preserve">one of the following: </w:t>
            </w:r>
            <w:r w:rsidRPr="005D4222">
              <w:rPr>
                <w:u w:val="single"/>
              </w:rPr>
              <w:t>Alcohol Abuse and Dependence Value Set</w:t>
            </w:r>
            <w:r w:rsidRPr="005D4222">
              <w:t xml:space="preserve">, </w:t>
            </w:r>
            <w:r w:rsidRPr="005D4222">
              <w:rPr>
                <w:u w:val="single"/>
              </w:rPr>
              <w:t>Opioid Abuse and Dependence Value Set</w:t>
            </w:r>
            <w:r w:rsidRPr="005D4222">
              <w:t xml:space="preserve">, </w:t>
            </w:r>
            <w:r w:rsidRPr="005D4222">
              <w:rPr>
                <w:u w:val="single"/>
              </w:rPr>
              <w:t xml:space="preserve">Other Drug Abuse </w:t>
            </w:r>
            <w:r w:rsidR="00A33EDF" w:rsidRPr="005D4222">
              <w:rPr>
                <w:u w:val="single"/>
              </w:rPr>
              <w:t>and Dependence Value Set</w:t>
            </w:r>
            <w:r w:rsidR="00A33EDF" w:rsidRPr="005D4222">
              <w:t>. To identify acute and nonacute inpatient admissions:</w:t>
            </w:r>
          </w:p>
          <w:p w14:paraId="0F40DA69" w14:textId="77777777" w:rsidR="00A33EDF" w:rsidRPr="005D4222" w:rsidRDefault="00A33EDF" w:rsidP="005D6173">
            <w:pPr>
              <w:numPr>
                <w:ilvl w:val="0"/>
                <w:numId w:val="91"/>
              </w:numPr>
              <w:spacing w:before="60"/>
              <w:ind w:left="864" w:hanging="288"/>
            </w:pPr>
            <w:r w:rsidRPr="005D4222">
              <w:t>Identify all acute and nonacute inpatient stays (</w:t>
            </w:r>
            <w:r w:rsidRPr="005D4222">
              <w:rPr>
                <w:u w:val="single"/>
              </w:rPr>
              <w:t>Inpatient Stay Value Set</w:t>
            </w:r>
            <w:r w:rsidRPr="005D4222">
              <w:t>).</w:t>
            </w:r>
          </w:p>
          <w:p w14:paraId="4607AA16" w14:textId="77777777" w:rsidR="00A33EDF" w:rsidRPr="005D4222" w:rsidRDefault="00A33EDF" w:rsidP="005D6173">
            <w:pPr>
              <w:numPr>
                <w:ilvl w:val="0"/>
                <w:numId w:val="91"/>
              </w:numPr>
              <w:spacing w:before="60"/>
              <w:ind w:left="864" w:hanging="288"/>
            </w:pPr>
            <w:r w:rsidRPr="005D4222">
              <w:t>Identify the admission date for the stay.</w:t>
            </w:r>
          </w:p>
          <w:p w14:paraId="2F14F3D2" w14:textId="77777777" w:rsidR="00A33EDF" w:rsidRPr="005D4222" w:rsidRDefault="00A33EDF" w:rsidP="005D6173">
            <w:pPr>
              <w:numPr>
                <w:ilvl w:val="0"/>
                <w:numId w:val="92"/>
              </w:numPr>
              <w:spacing w:before="80"/>
              <w:ind w:left="576" w:hanging="216"/>
              <w:rPr>
                <w:szCs w:val="24"/>
              </w:rPr>
            </w:pPr>
            <w:r w:rsidRPr="005D4222">
              <w:rPr>
                <w:rFonts w:cs="Arial"/>
              </w:rPr>
              <w:t>An outpatient visit (</w:t>
            </w:r>
            <w:r w:rsidRPr="005D4222">
              <w:rPr>
                <w:rFonts w:cs="Arial"/>
                <w:u w:val="single"/>
              </w:rPr>
              <w:t>Visit Setting Unspecified Value Set</w:t>
            </w:r>
            <w:r w:rsidRPr="005D4222">
              <w:rPr>
                <w:rFonts w:cs="Arial"/>
              </w:rPr>
              <w:t xml:space="preserve">) </w:t>
            </w:r>
            <w:r w:rsidRPr="005D4222">
              <w:rPr>
                <w:rFonts w:cs="Arial"/>
                <w:b/>
                <w:bCs/>
                <w:i/>
                <w:iCs/>
              </w:rPr>
              <w:t>with</w:t>
            </w:r>
            <w:r w:rsidRPr="005D4222">
              <w:rPr>
                <w:rFonts w:cs="Arial"/>
              </w:rPr>
              <w:t xml:space="preserve"> (</w:t>
            </w:r>
            <w:r w:rsidRPr="005D4222">
              <w:rPr>
                <w:rFonts w:cs="Arial"/>
                <w:u w:val="single"/>
              </w:rPr>
              <w:t>Outpatient POS Value Set</w:t>
            </w:r>
            <w:r w:rsidRPr="005D4222">
              <w:rPr>
                <w:rFonts w:cs="Arial"/>
              </w:rPr>
              <w:t xml:space="preserve">) </w:t>
            </w:r>
            <w:r w:rsidRPr="005D4222">
              <w:rPr>
                <w:b/>
                <w:i/>
                <w:szCs w:val="24"/>
              </w:rPr>
              <w:t xml:space="preserve">with </w:t>
            </w:r>
            <w:r w:rsidRPr="005D4222">
              <w:rPr>
                <w:szCs w:val="24"/>
              </w:rPr>
              <w:t xml:space="preserve">one of the following: </w:t>
            </w:r>
            <w:r w:rsidRPr="005D4222">
              <w:rPr>
                <w:szCs w:val="24"/>
                <w:u w:val="single"/>
              </w:rPr>
              <w:t>Alcohol Abuse and Dependence Value Set</w:t>
            </w:r>
            <w:r w:rsidRPr="005D4222">
              <w:rPr>
                <w:szCs w:val="24"/>
              </w:rPr>
              <w:t xml:space="preserve">, </w:t>
            </w:r>
            <w:r w:rsidRPr="005D4222">
              <w:rPr>
                <w:szCs w:val="24"/>
                <w:u w:val="single"/>
              </w:rPr>
              <w:t>Opioid Abuse and Dependence Value Set</w:t>
            </w:r>
            <w:r w:rsidRPr="005D4222">
              <w:rPr>
                <w:szCs w:val="24"/>
              </w:rPr>
              <w:t xml:space="preserve">, </w:t>
            </w:r>
            <w:r w:rsidRPr="005D4222">
              <w:rPr>
                <w:szCs w:val="24"/>
                <w:u w:val="single"/>
              </w:rPr>
              <w:t>Other Drug Abuse and Dependence Value Set</w:t>
            </w:r>
            <w:r w:rsidRPr="005D4222">
              <w:rPr>
                <w:szCs w:val="24"/>
              </w:rPr>
              <w:t>.</w:t>
            </w:r>
          </w:p>
          <w:p w14:paraId="51DA935C" w14:textId="77777777" w:rsidR="00A33EDF" w:rsidRPr="005D4222" w:rsidRDefault="00A33EDF" w:rsidP="005D6173">
            <w:pPr>
              <w:numPr>
                <w:ilvl w:val="0"/>
                <w:numId w:val="92"/>
              </w:numPr>
              <w:spacing w:before="80"/>
              <w:ind w:left="576" w:hanging="216"/>
              <w:rPr>
                <w:szCs w:val="24"/>
              </w:rPr>
            </w:pPr>
            <w:r w:rsidRPr="005D4222">
              <w:rPr>
                <w:rFonts w:cs="Arial"/>
              </w:rPr>
              <w:t>An outpatient visit (</w:t>
            </w:r>
            <w:r w:rsidRPr="005D4222">
              <w:rPr>
                <w:rFonts w:cs="Arial"/>
                <w:u w:val="single"/>
              </w:rPr>
              <w:t>BH Outpatient Value Set</w:t>
            </w:r>
            <w:r w:rsidRPr="005D4222">
              <w:rPr>
                <w:rFonts w:cs="Arial"/>
              </w:rPr>
              <w:t>)</w:t>
            </w:r>
            <w:r w:rsidRPr="005D4222">
              <w:rPr>
                <w:b/>
                <w:i/>
                <w:szCs w:val="24"/>
              </w:rPr>
              <w:t xml:space="preserve"> with </w:t>
            </w:r>
            <w:r w:rsidRPr="005D4222">
              <w:rPr>
                <w:szCs w:val="24"/>
              </w:rPr>
              <w:t xml:space="preserve">one of the following: </w:t>
            </w:r>
            <w:r w:rsidRPr="005D4222">
              <w:rPr>
                <w:szCs w:val="24"/>
                <w:u w:val="single"/>
              </w:rPr>
              <w:t>Alcohol Abuse and Dependence Value Set</w:t>
            </w:r>
            <w:r w:rsidRPr="005D4222">
              <w:rPr>
                <w:szCs w:val="24"/>
              </w:rPr>
              <w:t xml:space="preserve">, </w:t>
            </w:r>
            <w:r w:rsidRPr="005D4222">
              <w:rPr>
                <w:szCs w:val="24"/>
                <w:u w:val="single"/>
              </w:rPr>
              <w:t>Opioid Abuse and Dependence Value Set</w:t>
            </w:r>
            <w:r w:rsidRPr="005D4222">
              <w:rPr>
                <w:szCs w:val="24"/>
              </w:rPr>
              <w:t xml:space="preserve">, </w:t>
            </w:r>
            <w:r w:rsidRPr="005D4222">
              <w:rPr>
                <w:szCs w:val="24"/>
                <w:u w:val="single"/>
              </w:rPr>
              <w:t>Other Drug Abuse and Dependence Value Set</w:t>
            </w:r>
            <w:r w:rsidRPr="005D4222">
              <w:rPr>
                <w:szCs w:val="24"/>
              </w:rPr>
              <w:t>.</w:t>
            </w:r>
          </w:p>
          <w:p w14:paraId="4954029E" w14:textId="77777777" w:rsidR="00A33EDF" w:rsidRPr="005D4222" w:rsidRDefault="00A33EDF" w:rsidP="005D6173">
            <w:pPr>
              <w:numPr>
                <w:ilvl w:val="0"/>
                <w:numId w:val="92"/>
              </w:numPr>
              <w:spacing w:before="80"/>
              <w:ind w:left="576" w:hanging="216"/>
              <w:rPr>
                <w:szCs w:val="24"/>
              </w:rPr>
            </w:pPr>
            <w:r w:rsidRPr="005D4222">
              <w:rPr>
                <w:rFonts w:cs="Arial"/>
              </w:rPr>
              <w:t>An intensive outpatient encounter or partial hospitalization (</w:t>
            </w:r>
            <w:r w:rsidRPr="005D4222">
              <w:rPr>
                <w:rFonts w:cs="Arial"/>
                <w:u w:val="single"/>
              </w:rPr>
              <w:t>Visit Setting Unspecified Value Set</w:t>
            </w:r>
            <w:r w:rsidRPr="005D4222">
              <w:rPr>
                <w:rFonts w:cs="Arial"/>
              </w:rPr>
              <w:t xml:space="preserve">) </w:t>
            </w:r>
            <w:r w:rsidRPr="005D4222">
              <w:rPr>
                <w:rFonts w:cs="Arial"/>
                <w:b/>
                <w:i/>
              </w:rPr>
              <w:t>with</w:t>
            </w:r>
            <w:r w:rsidRPr="005D4222">
              <w:rPr>
                <w:rFonts w:cs="Arial"/>
              </w:rPr>
              <w:t xml:space="preserve"> POS code 52</w:t>
            </w:r>
            <w:r w:rsidRPr="005D4222" w:rsidDel="008F2AA1">
              <w:rPr>
                <w:b/>
                <w:i/>
                <w:szCs w:val="24"/>
              </w:rPr>
              <w:t xml:space="preserve"> </w:t>
            </w:r>
            <w:r w:rsidRPr="005D4222">
              <w:rPr>
                <w:b/>
                <w:i/>
                <w:szCs w:val="24"/>
              </w:rPr>
              <w:t xml:space="preserve">with </w:t>
            </w:r>
            <w:r w:rsidRPr="005D4222">
              <w:rPr>
                <w:szCs w:val="24"/>
              </w:rPr>
              <w:t xml:space="preserve">one of the following: </w:t>
            </w:r>
            <w:r w:rsidRPr="005D4222">
              <w:rPr>
                <w:szCs w:val="24"/>
                <w:u w:val="single"/>
              </w:rPr>
              <w:t>Alcohol Abuse and Dependence Value Set</w:t>
            </w:r>
            <w:r w:rsidRPr="005D4222">
              <w:rPr>
                <w:szCs w:val="24"/>
              </w:rPr>
              <w:t xml:space="preserve">, </w:t>
            </w:r>
            <w:r w:rsidRPr="005D4222">
              <w:rPr>
                <w:szCs w:val="24"/>
                <w:u w:val="single"/>
              </w:rPr>
              <w:t>Opioid Abuse and Dependence Value Set</w:t>
            </w:r>
            <w:r w:rsidRPr="005D4222">
              <w:rPr>
                <w:szCs w:val="24"/>
              </w:rPr>
              <w:t xml:space="preserve">, </w:t>
            </w:r>
            <w:r w:rsidRPr="005D4222">
              <w:rPr>
                <w:szCs w:val="24"/>
                <w:u w:val="single"/>
              </w:rPr>
              <w:t>Other Drug Abuse and Dependence Value Set</w:t>
            </w:r>
            <w:r w:rsidRPr="005D4222">
              <w:rPr>
                <w:szCs w:val="24"/>
              </w:rPr>
              <w:t>.</w:t>
            </w:r>
          </w:p>
          <w:p w14:paraId="36F54B34" w14:textId="77777777" w:rsidR="00A33EDF" w:rsidRPr="005D4222" w:rsidRDefault="00A33EDF" w:rsidP="005D6173">
            <w:pPr>
              <w:numPr>
                <w:ilvl w:val="0"/>
                <w:numId w:val="92"/>
              </w:numPr>
              <w:spacing w:before="80"/>
              <w:ind w:left="576" w:hanging="216"/>
              <w:rPr>
                <w:szCs w:val="24"/>
              </w:rPr>
            </w:pPr>
            <w:r w:rsidRPr="005D4222">
              <w:rPr>
                <w:rFonts w:cs="Arial"/>
              </w:rPr>
              <w:t>An intensive outpatient encounter or partial hospitalization (</w:t>
            </w:r>
            <w:r w:rsidRPr="005D4222">
              <w:rPr>
                <w:rFonts w:cs="Arial"/>
                <w:u w:val="single"/>
              </w:rPr>
              <w:t>Partial Hospitalization or Intensive Outpatient Value Set</w:t>
            </w:r>
            <w:r w:rsidRPr="005D4222">
              <w:rPr>
                <w:rFonts w:cs="Arial"/>
              </w:rPr>
              <w:t>)</w:t>
            </w:r>
            <w:r w:rsidRPr="005D4222">
              <w:rPr>
                <w:b/>
                <w:i/>
                <w:szCs w:val="24"/>
              </w:rPr>
              <w:t xml:space="preserve"> with </w:t>
            </w:r>
            <w:r w:rsidRPr="005D4222">
              <w:rPr>
                <w:szCs w:val="24"/>
              </w:rPr>
              <w:t xml:space="preserve">one of the following: </w:t>
            </w:r>
            <w:r w:rsidRPr="005D4222">
              <w:rPr>
                <w:szCs w:val="24"/>
                <w:u w:val="single"/>
              </w:rPr>
              <w:t>Alcohol Abuse and Dependence Value Set</w:t>
            </w:r>
            <w:r w:rsidRPr="005D4222">
              <w:rPr>
                <w:szCs w:val="24"/>
              </w:rPr>
              <w:t xml:space="preserve">, </w:t>
            </w:r>
            <w:r w:rsidRPr="005D4222">
              <w:rPr>
                <w:szCs w:val="24"/>
                <w:u w:val="single"/>
              </w:rPr>
              <w:t>Opioid Abuse and Dependence Value Set</w:t>
            </w:r>
            <w:r w:rsidRPr="005D4222">
              <w:rPr>
                <w:szCs w:val="24"/>
              </w:rPr>
              <w:t xml:space="preserve">, </w:t>
            </w:r>
            <w:r w:rsidRPr="005D4222">
              <w:rPr>
                <w:szCs w:val="24"/>
                <w:u w:val="single"/>
              </w:rPr>
              <w:t>Other Drug Abuse and Dependence Value Set</w:t>
            </w:r>
            <w:r w:rsidRPr="005D4222">
              <w:rPr>
                <w:szCs w:val="24"/>
              </w:rPr>
              <w:t>.</w:t>
            </w:r>
          </w:p>
          <w:p w14:paraId="7B52E1A1" w14:textId="77777777" w:rsidR="00A33EDF" w:rsidRPr="005D4222" w:rsidRDefault="00A33EDF" w:rsidP="005D6173">
            <w:pPr>
              <w:numPr>
                <w:ilvl w:val="0"/>
                <w:numId w:val="92"/>
              </w:numPr>
              <w:spacing w:before="80"/>
              <w:ind w:left="576" w:hanging="216"/>
              <w:rPr>
                <w:szCs w:val="24"/>
              </w:rPr>
            </w:pPr>
            <w:r w:rsidRPr="005D4222">
              <w:rPr>
                <w:rFonts w:cs="Arial"/>
              </w:rPr>
              <w:t>A non-residential substance abuse treatment facility visit (</w:t>
            </w:r>
            <w:r w:rsidRPr="005D4222">
              <w:rPr>
                <w:rFonts w:cs="Arial"/>
                <w:u w:val="single"/>
              </w:rPr>
              <w:t>Visit Setting Unspecified Value Set</w:t>
            </w:r>
            <w:r w:rsidRPr="005D4222">
              <w:rPr>
                <w:rFonts w:cs="Arial"/>
              </w:rPr>
              <w:t xml:space="preserve">) </w:t>
            </w:r>
            <w:r w:rsidRPr="005D4222">
              <w:rPr>
                <w:rFonts w:cs="Arial"/>
                <w:b/>
                <w:i/>
              </w:rPr>
              <w:t>with</w:t>
            </w:r>
            <w:r w:rsidRPr="005D4222">
              <w:rPr>
                <w:rFonts w:cs="Arial"/>
              </w:rPr>
              <w:t xml:space="preserve"> (</w:t>
            </w:r>
            <w:r w:rsidRPr="005D4222">
              <w:rPr>
                <w:rFonts w:cs="Arial"/>
                <w:u w:val="single"/>
              </w:rPr>
              <w:t>Nonresidential Substance Abuse Treatment Facility POS Value Set</w:t>
            </w:r>
            <w:r w:rsidRPr="005D4222">
              <w:rPr>
                <w:rFonts w:cs="Arial"/>
              </w:rPr>
              <w:t>)</w:t>
            </w:r>
            <w:r w:rsidRPr="005D4222">
              <w:rPr>
                <w:b/>
                <w:i/>
                <w:szCs w:val="24"/>
              </w:rPr>
              <w:t xml:space="preserve"> with </w:t>
            </w:r>
            <w:r w:rsidRPr="005D4222">
              <w:rPr>
                <w:szCs w:val="24"/>
              </w:rPr>
              <w:t xml:space="preserve">one of the following: </w:t>
            </w:r>
            <w:r w:rsidRPr="005D4222">
              <w:rPr>
                <w:szCs w:val="24"/>
                <w:u w:val="single"/>
              </w:rPr>
              <w:t>Alcohol Abuse and Dependence Value Set</w:t>
            </w:r>
            <w:r w:rsidRPr="005D4222">
              <w:rPr>
                <w:szCs w:val="24"/>
              </w:rPr>
              <w:t xml:space="preserve">, </w:t>
            </w:r>
            <w:r w:rsidRPr="005D4222">
              <w:rPr>
                <w:szCs w:val="24"/>
                <w:u w:val="single"/>
              </w:rPr>
              <w:t>Opioid Abuse and Dependence Value Set</w:t>
            </w:r>
            <w:r w:rsidRPr="005D4222">
              <w:rPr>
                <w:szCs w:val="24"/>
              </w:rPr>
              <w:t xml:space="preserve">, </w:t>
            </w:r>
            <w:r w:rsidRPr="005D4222">
              <w:rPr>
                <w:szCs w:val="24"/>
                <w:u w:val="single"/>
              </w:rPr>
              <w:t>Other Drug Abuse and Dependence Value Set</w:t>
            </w:r>
            <w:r w:rsidRPr="005D4222">
              <w:rPr>
                <w:szCs w:val="24"/>
              </w:rPr>
              <w:t>.</w:t>
            </w:r>
          </w:p>
          <w:p w14:paraId="35A6D23A" w14:textId="77777777" w:rsidR="00A33EDF" w:rsidRPr="005D4222" w:rsidRDefault="00A33EDF" w:rsidP="005D6173">
            <w:pPr>
              <w:numPr>
                <w:ilvl w:val="0"/>
                <w:numId w:val="92"/>
              </w:numPr>
              <w:spacing w:before="80"/>
              <w:ind w:left="576" w:hanging="216"/>
              <w:rPr>
                <w:iCs/>
              </w:rPr>
            </w:pPr>
            <w:r w:rsidRPr="005D4222">
              <w:rPr>
                <w:rFonts w:cs="Arial"/>
              </w:rPr>
              <w:t>A community mental health center visit (</w:t>
            </w:r>
            <w:r w:rsidRPr="005D4222">
              <w:rPr>
                <w:rFonts w:cs="Arial"/>
                <w:u w:val="single"/>
              </w:rPr>
              <w:t>Visit Setting Unspecified Value Set</w:t>
            </w:r>
            <w:r w:rsidRPr="005D4222">
              <w:rPr>
                <w:rFonts w:cs="Arial"/>
              </w:rPr>
              <w:t xml:space="preserve">) </w:t>
            </w:r>
            <w:r w:rsidRPr="005D4222">
              <w:rPr>
                <w:rFonts w:cs="Arial"/>
                <w:b/>
                <w:i/>
              </w:rPr>
              <w:t>with</w:t>
            </w:r>
            <w:r w:rsidRPr="005D4222">
              <w:rPr>
                <w:rFonts w:cs="Arial"/>
              </w:rPr>
              <w:t xml:space="preserve"> POS code 53</w:t>
            </w:r>
            <w:r w:rsidRPr="005D4222" w:rsidDel="00483F42">
              <w:rPr>
                <w:b/>
                <w:i/>
                <w:szCs w:val="24"/>
              </w:rPr>
              <w:t xml:space="preserve"> </w:t>
            </w:r>
            <w:r w:rsidRPr="005D4222">
              <w:rPr>
                <w:b/>
                <w:i/>
                <w:szCs w:val="24"/>
              </w:rPr>
              <w:t xml:space="preserve">with </w:t>
            </w:r>
            <w:r w:rsidRPr="005D4222">
              <w:rPr>
                <w:szCs w:val="24"/>
              </w:rPr>
              <w:t xml:space="preserve">one of the following: </w:t>
            </w:r>
            <w:r w:rsidRPr="005D4222">
              <w:rPr>
                <w:szCs w:val="24"/>
                <w:u w:val="single"/>
              </w:rPr>
              <w:t>Alcohol Abuse and Dependence Value Set</w:t>
            </w:r>
            <w:r w:rsidRPr="005D4222">
              <w:rPr>
                <w:szCs w:val="24"/>
              </w:rPr>
              <w:t xml:space="preserve">, </w:t>
            </w:r>
            <w:r w:rsidRPr="005D4222">
              <w:rPr>
                <w:szCs w:val="24"/>
                <w:u w:val="single"/>
              </w:rPr>
              <w:t>Opioid Abuse and Dependence Value Set</w:t>
            </w:r>
            <w:r w:rsidRPr="005D4222">
              <w:rPr>
                <w:szCs w:val="24"/>
              </w:rPr>
              <w:t xml:space="preserve">, </w:t>
            </w:r>
            <w:r w:rsidRPr="005D4222">
              <w:rPr>
                <w:szCs w:val="24"/>
                <w:u w:val="single"/>
              </w:rPr>
              <w:t>Other Drug Abuse and Dependence Value Set</w:t>
            </w:r>
            <w:r w:rsidRPr="005D4222">
              <w:rPr>
                <w:szCs w:val="24"/>
              </w:rPr>
              <w:t>.</w:t>
            </w:r>
          </w:p>
          <w:p w14:paraId="47D96C27" w14:textId="562D7478" w:rsidR="00A33EDF" w:rsidRPr="005D4222" w:rsidRDefault="00A33EDF" w:rsidP="005D6173">
            <w:pPr>
              <w:numPr>
                <w:ilvl w:val="0"/>
                <w:numId w:val="92"/>
              </w:numPr>
              <w:spacing w:before="80" w:after="80"/>
              <w:ind w:left="576" w:hanging="216"/>
              <w:rPr>
                <w:b/>
                <w:bCs/>
              </w:rPr>
            </w:pPr>
            <w:r w:rsidRPr="005D4222">
              <w:rPr>
                <w:rFonts w:cs="Arial"/>
              </w:rPr>
              <w:t>A telehealth visit (</w:t>
            </w:r>
            <w:r w:rsidRPr="005D4222">
              <w:rPr>
                <w:rFonts w:cs="Arial"/>
                <w:u w:val="single"/>
              </w:rPr>
              <w:t>Visit Setting Unspecified Value Set</w:t>
            </w:r>
            <w:r w:rsidRPr="005D4222">
              <w:rPr>
                <w:rFonts w:cs="Arial"/>
              </w:rPr>
              <w:t xml:space="preserve">) </w:t>
            </w:r>
            <w:r w:rsidRPr="005D4222">
              <w:rPr>
                <w:rFonts w:cs="Arial"/>
                <w:b/>
                <w:i/>
              </w:rPr>
              <w:t>with</w:t>
            </w:r>
            <w:r w:rsidRPr="005D4222">
              <w:rPr>
                <w:rFonts w:cs="Arial"/>
              </w:rPr>
              <w:t xml:space="preserve"> (</w:t>
            </w:r>
            <w:r w:rsidRPr="005D4222">
              <w:rPr>
                <w:rFonts w:cs="Arial"/>
                <w:u w:val="single"/>
              </w:rPr>
              <w:t>Telehealth POS Value Set</w:t>
            </w:r>
            <w:r w:rsidRPr="005D4222">
              <w:rPr>
                <w:rFonts w:cs="Arial"/>
              </w:rPr>
              <w:t>)</w:t>
            </w:r>
            <w:r w:rsidRPr="005D4222">
              <w:rPr>
                <w:b/>
                <w:i/>
                <w:szCs w:val="24"/>
              </w:rPr>
              <w:t xml:space="preserve"> with </w:t>
            </w:r>
            <w:r w:rsidRPr="005D4222">
              <w:rPr>
                <w:szCs w:val="24"/>
              </w:rPr>
              <w:t xml:space="preserve">one of the following: </w:t>
            </w:r>
            <w:r w:rsidRPr="005D4222">
              <w:rPr>
                <w:szCs w:val="24"/>
                <w:u w:val="single"/>
              </w:rPr>
              <w:t>Alcohol Abuse and Dependence Value Set</w:t>
            </w:r>
            <w:r w:rsidRPr="005D4222">
              <w:rPr>
                <w:szCs w:val="24"/>
              </w:rPr>
              <w:t xml:space="preserve">, </w:t>
            </w:r>
            <w:r w:rsidRPr="005D4222">
              <w:rPr>
                <w:szCs w:val="24"/>
                <w:u w:val="single"/>
              </w:rPr>
              <w:t>Opioid Abuse and Dependence Value Set</w:t>
            </w:r>
            <w:r w:rsidRPr="005D4222">
              <w:rPr>
                <w:szCs w:val="24"/>
              </w:rPr>
              <w:t xml:space="preserve">, </w:t>
            </w:r>
            <w:r w:rsidRPr="005D4222">
              <w:rPr>
                <w:szCs w:val="24"/>
                <w:u w:val="single"/>
              </w:rPr>
              <w:t>Other Drug Abuse and Dependence Value Set</w:t>
            </w:r>
            <w:r w:rsidRPr="005D4222">
              <w:rPr>
                <w:szCs w:val="24"/>
              </w:rPr>
              <w:t>.</w:t>
            </w:r>
          </w:p>
        </w:tc>
      </w:tr>
    </w:tbl>
    <w:p w14:paraId="3D98029A" w14:textId="77777777" w:rsidR="00135D84" w:rsidRPr="005D4222" w:rsidRDefault="00135D84">
      <w:r w:rsidRPr="005D4222">
        <w:br w:type="page"/>
      </w:r>
    </w:p>
    <w:tbl>
      <w:tblPr>
        <w:tblW w:w="9717" w:type="dxa"/>
        <w:tblInd w:w="-3" w:type="dxa"/>
        <w:tblBorders>
          <w:top w:val="single" w:sz="4" w:space="0" w:color="auto"/>
          <w:left w:val="single" w:sz="2" w:space="0" w:color="auto"/>
          <w:bottom w:val="single" w:sz="4" w:space="0" w:color="auto"/>
          <w:right w:val="single" w:sz="4" w:space="0" w:color="auto"/>
          <w:insideH w:val="single" w:sz="4" w:space="0" w:color="auto"/>
          <w:insideV w:val="single" w:sz="4" w:space="0" w:color="auto"/>
        </w:tblBorders>
        <w:tblLayout w:type="fixed"/>
        <w:tblCellMar>
          <w:top w:w="40" w:type="dxa"/>
          <w:left w:w="86" w:type="dxa"/>
          <w:bottom w:w="43" w:type="dxa"/>
          <w:right w:w="86" w:type="dxa"/>
        </w:tblCellMar>
        <w:tblLook w:val="04A0" w:firstRow="1" w:lastRow="0" w:firstColumn="1" w:lastColumn="0" w:noHBand="0" w:noVBand="1"/>
      </w:tblPr>
      <w:tblGrid>
        <w:gridCol w:w="2160"/>
        <w:gridCol w:w="7557"/>
      </w:tblGrid>
      <w:tr w:rsidR="00A33EDF" w:rsidRPr="005D4222" w14:paraId="68A47828" w14:textId="77777777">
        <w:tc>
          <w:tcPr>
            <w:tcW w:w="2160" w:type="dxa"/>
            <w:shd w:val="clear" w:color="auto" w:fill="BFBFBF" w:themeFill="background1" w:themeFillShade="BF"/>
            <w:tcMar>
              <w:top w:w="0" w:type="dxa"/>
              <w:left w:w="86" w:type="dxa"/>
              <w:bottom w:w="43" w:type="dxa"/>
              <w:right w:w="86" w:type="dxa"/>
            </w:tcMar>
          </w:tcPr>
          <w:p w14:paraId="0A552327" w14:textId="77777777" w:rsidR="00A33EDF" w:rsidRPr="005D4222" w:rsidRDefault="00A33EDF">
            <w:pPr>
              <w:pStyle w:val="ECDSMarginHead"/>
            </w:pPr>
          </w:p>
        </w:tc>
        <w:tc>
          <w:tcPr>
            <w:tcW w:w="7557" w:type="dxa"/>
            <w:tcMar>
              <w:top w:w="0" w:type="dxa"/>
              <w:left w:w="86" w:type="dxa"/>
              <w:bottom w:w="43" w:type="dxa"/>
              <w:right w:w="86" w:type="dxa"/>
            </w:tcMar>
          </w:tcPr>
          <w:p w14:paraId="2CAED0EF" w14:textId="77777777" w:rsidR="00135D84" w:rsidRPr="005D4222" w:rsidRDefault="00135D84" w:rsidP="005D6173">
            <w:pPr>
              <w:numPr>
                <w:ilvl w:val="0"/>
                <w:numId w:val="92"/>
              </w:numPr>
              <w:spacing w:before="80" w:after="80"/>
              <w:ind w:left="576" w:hanging="216"/>
              <w:rPr>
                <w:b/>
                <w:bCs/>
              </w:rPr>
            </w:pPr>
            <w:r w:rsidRPr="005D4222">
              <w:rPr>
                <w:rFonts w:cs="Arial"/>
              </w:rPr>
              <w:t>A substance use disorder service (</w:t>
            </w:r>
            <w:r w:rsidRPr="005D4222">
              <w:rPr>
                <w:rFonts w:cs="Arial"/>
                <w:u w:val="single"/>
              </w:rPr>
              <w:t>Substance Use Disorder Services Value Set</w:t>
            </w:r>
            <w:r w:rsidRPr="005D4222">
              <w:rPr>
                <w:rFonts w:cs="Arial"/>
              </w:rPr>
              <w:t xml:space="preserve">) </w:t>
            </w:r>
            <w:r w:rsidRPr="005D4222">
              <w:rPr>
                <w:b/>
                <w:i/>
                <w:szCs w:val="24"/>
              </w:rPr>
              <w:t xml:space="preserve">with </w:t>
            </w:r>
            <w:r w:rsidRPr="005D4222">
              <w:rPr>
                <w:szCs w:val="24"/>
              </w:rPr>
              <w:t xml:space="preserve">one of the following: </w:t>
            </w:r>
            <w:r w:rsidRPr="005D4222">
              <w:rPr>
                <w:szCs w:val="24"/>
                <w:u w:val="single"/>
              </w:rPr>
              <w:t>Alcohol Abuse and Dependence Value Set</w:t>
            </w:r>
            <w:r w:rsidRPr="005D4222">
              <w:rPr>
                <w:szCs w:val="24"/>
              </w:rPr>
              <w:t xml:space="preserve">, </w:t>
            </w:r>
            <w:r w:rsidRPr="005D4222">
              <w:rPr>
                <w:szCs w:val="24"/>
                <w:u w:val="single"/>
              </w:rPr>
              <w:t>Opioid Abuse and Dependence Value Set</w:t>
            </w:r>
            <w:r w:rsidRPr="005D4222">
              <w:rPr>
                <w:szCs w:val="24"/>
              </w:rPr>
              <w:t xml:space="preserve">, </w:t>
            </w:r>
            <w:r w:rsidRPr="005D4222">
              <w:rPr>
                <w:szCs w:val="24"/>
                <w:u w:val="single"/>
              </w:rPr>
              <w:t>Other Drug Abuse and Dependence Value Set</w:t>
            </w:r>
            <w:r w:rsidRPr="005D4222">
              <w:rPr>
                <w:szCs w:val="24"/>
              </w:rPr>
              <w:t>.</w:t>
            </w:r>
          </w:p>
          <w:p w14:paraId="49922F5C" w14:textId="77777777" w:rsidR="00135D84" w:rsidRPr="005D4222" w:rsidRDefault="00135D84" w:rsidP="005D6173">
            <w:pPr>
              <w:numPr>
                <w:ilvl w:val="0"/>
                <w:numId w:val="92"/>
              </w:numPr>
              <w:spacing w:before="80" w:after="80"/>
              <w:ind w:left="576" w:hanging="216"/>
              <w:rPr>
                <w:b/>
                <w:bCs/>
              </w:rPr>
            </w:pPr>
            <w:r w:rsidRPr="005D4222">
              <w:rPr>
                <w:szCs w:val="24"/>
              </w:rPr>
              <w:t>Substance use disorder counseling and surveillance (</w:t>
            </w:r>
            <w:r w:rsidRPr="005D4222">
              <w:rPr>
                <w:rFonts w:cs="Arial"/>
                <w:u w:val="single"/>
              </w:rPr>
              <w:t>Substance Abuse Counseling and Surveillance Value Set</w:t>
            </w:r>
            <w:r w:rsidRPr="005D4222">
              <w:rPr>
                <w:rFonts w:cs="Arial"/>
              </w:rPr>
              <w:t xml:space="preserve">*) </w:t>
            </w:r>
            <w:r w:rsidRPr="005D4222">
              <w:rPr>
                <w:b/>
                <w:i/>
                <w:szCs w:val="24"/>
              </w:rPr>
              <w:t xml:space="preserve">with </w:t>
            </w:r>
            <w:r w:rsidRPr="005D4222">
              <w:rPr>
                <w:szCs w:val="24"/>
              </w:rPr>
              <w:t xml:space="preserve">one of the following: </w:t>
            </w:r>
            <w:r w:rsidRPr="005D4222">
              <w:rPr>
                <w:szCs w:val="24"/>
                <w:u w:val="single"/>
              </w:rPr>
              <w:t>Alcohol Abuse and Dependence Value Set</w:t>
            </w:r>
            <w:r w:rsidRPr="005D4222">
              <w:rPr>
                <w:szCs w:val="24"/>
              </w:rPr>
              <w:t xml:space="preserve">*, </w:t>
            </w:r>
            <w:r w:rsidRPr="005D4222">
              <w:rPr>
                <w:szCs w:val="24"/>
                <w:u w:val="single"/>
              </w:rPr>
              <w:t>Opioid Abuse and Dependence Value Set</w:t>
            </w:r>
            <w:r w:rsidRPr="005D4222">
              <w:rPr>
                <w:szCs w:val="24"/>
              </w:rPr>
              <w:t xml:space="preserve">*, </w:t>
            </w:r>
            <w:r w:rsidRPr="005D4222">
              <w:rPr>
                <w:szCs w:val="24"/>
                <w:u w:val="single"/>
              </w:rPr>
              <w:t>Other Drug Abuse and Dependence Value Set</w:t>
            </w:r>
            <w:r w:rsidRPr="005D4222">
              <w:rPr>
                <w:szCs w:val="24"/>
              </w:rPr>
              <w:t xml:space="preserve">*). </w:t>
            </w:r>
          </w:p>
          <w:p w14:paraId="082FACF0" w14:textId="77777777" w:rsidR="00135D84" w:rsidRPr="005D4222" w:rsidRDefault="00135D84" w:rsidP="005D6173">
            <w:pPr>
              <w:numPr>
                <w:ilvl w:val="0"/>
                <w:numId w:val="92"/>
              </w:numPr>
              <w:spacing w:before="80" w:after="80"/>
              <w:ind w:left="576" w:hanging="216"/>
              <w:rPr>
                <w:b/>
                <w:bCs/>
              </w:rPr>
            </w:pPr>
            <w:r w:rsidRPr="005D4222">
              <w:rPr>
                <w:szCs w:val="24"/>
              </w:rPr>
              <w:t>A telephone visit (</w:t>
            </w:r>
            <w:r w:rsidRPr="005D4222">
              <w:rPr>
                <w:szCs w:val="24"/>
                <w:u w:val="single"/>
              </w:rPr>
              <w:t>Telephone Visits Value Set</w:t>
            </w:r>
            <w:r w:rsidRPr="005D4222">
              <w:rPr>
                <w:szCs w:val="24"/>
              </w:rPr>
              <w:t xml:space="preserve">) </w:t>
            </w:r>
            <w:r w:rsidRPr="005D4222">
              <w:rPr>
                <w:b/>
                <w:i/>
                <w:szCs w:val="24"/>
              </w:rPr>
              <w:t xml:space="preserve">with </w:t>
            </w:r>
            <w:r w:rsidRPr="005D4222">
              <w:rPr>
                <w:szCs w:val="24"/>
              </w:rPr>
              <w:t xml:space="preserve">one of the following: </w:t>
            </w:r>
            <w:r w:rsidRPr="005D4222">
              <w:rPr>
                <w:szCs w:val="24"/>
                <w:u w:val="single"/>
              </w:rPr>
              <w:t>Alcohol Abuse and Dependence Value Set</w:t>
            </w:r>
            <w:r w:rsidRPr="005D4222">
              <w:rPr>
                <w:szCs w:val="24"/>
              </w:rPr>
              <w:t xml:space="preserve">, </w:t>
            </w:r>
            <w:r w:rsidRPr="005D4222">
              <w:rPr>
                <w:szCs w:val="24"/>
                <w:u w:val="single"/>
              </w:rPr>
              <w:t>Opioid Abuse and Dependence Value Set</w:t>
            </w:r>
            <w:r w:rsidRPr="005D4222">
              <w:rPr>
                <w:szCs w:val="24"/>
              </w:rPr>
              <w:t xml:space="preserve">, </w:t>
            </w:r>
            <w:r w:rsidRPr="005D4222">
              <w:rPr>
                <w:szCs w:val="24"/>
                <w:u w:val="single"/>
              </w:rPr>
              <w:t>Other Drug Abuse and Dependence Value Set</w:t>
            </w:r>
            <w:r w:rsidRPr="005D4222">
              <w:rPr>
                <w:szCs w:val="24"/>
              </w:rPr>
              <w:t>.</w:t>
            </w:r>
          </w:p>
          <w:p w14:paraId="7F324B42" w14:textId="77777777" w:rsidR="00A33EDF" w:rsidRPr="005D4222" w:rsidRDefault="00A33EDF" w:rsidP="005D6173">
            <w:pPr>
              <w:numPr>
                <w:ilvl w:val="0"/>
                <w:numId w:val="92"/>
              </w:numPr>
              <w:spacing w:before="80"/>
              <w:ind w:left="576" w:hanging="216"/>
              <w:rPr>
                <w:szCs w:val="24"/>
              </w:rPr>
            </w:pPr>
            <w:r w:rsidRPr="005D4222">
              <w:rPr>
                <w:szCs w:val="24"/>
              </w:rPr>
              <w:t>An e-visit or virtual check-in (</w:t>
            </w:r>
            <w:r w:rsidRPr="005D4222">
              <w:rPr>
                <w:szCs w:val="24"/>
                <w:u w:val="single"/>
              </w:rPr>
              <w:t>Online Assessments Value Set</w:t>
            </w:r>
            <w:r w:rsidRPr="005D4222">
              <w:rPr>
                <w:szCs w:val="24"/>
              </w:rPr>
              <w:t>)</w:t>
            </w:r>
            <w:r w:rsidRPr="005D4222" w:rsidDel="00AB466E">
              <w:rPr>
                <w:szCs w:val="24"/>
              </w:rPr>
              <w:t xml:space="preserve"> </w:t>
            </w:r>
            <w:r w:rsidRPr="005D4222">
              <w:rPr>
                <w:b/>
                <w:i/>
                <w:szCs w:val="24"/>
              </w:rPr>
              <w:t xml:space="preserve">with </w:t>
            </w:r>
            <w:r w:rsidRPr="005D4222">
              <w:rPr>
                <w:szCs w:val="24"/>
              </w:rPr>
              <w:t xml:space="preserve">one of the following: </w:t>
            </w:r>
            <w:r w:rsidRPr="005D4222">
              <w:rPr>
                <w:szCs w:val="24"/>
                <w:u w:val="single"/>
              </w:rPr>
              <w:t>Alcohol Abuse and Dependence Value Set</w:t>
            </w:r>
            <w:r w:rsidRPr="005D4222">
              <w:rPr>
                <w:szCs w:val="24"/>
              </w:rPr>
              <w:t xml:space="preserve">, </w:t>
            </w:r>
            <w:r w:rsidRPr="005D4222">
              <w:rPr>
                <w:szCs w:val="24"/>
                <w:u w:val="single"/>
              </w:rPr>
              <w:t>Opioid Abuse and Dependence Value Set</w:t>
            </w:r>
            <w:r w:rsidRPr="005D4222">
              <w:rPr>
                <w:szCs w:val="24"/>
              </w:rPr>
              <w:t xml:space="preserve">, </w:t>
            </w:r>
            <w:r w:rsidRPr="005D4222">
              <w:rPr>
                <w:szCs w:val="24"/>
                <w:u w:val="single"/>
              </w:rPr>
              <w:t>Other Drug Abuse and Dependence Value Set</w:t>
            </w:r>
            <w:r w:rsidRPr="005D4222">
              <w:rPr>
                <w:szCs w:val="24"/>
              </w:rPr>
              <w:t>.</w:t>
            </w:r>
          </w:p>
          <w:p w14:paraId="477E16BE" w14:textId="77777777" w:rsidR="00A33EDF" w:rsidRPr="005D4222" w:rsidRDefault="00A33EDF" w:rsidP="005D6173">
            <w:pPr>
              <w:numPr>
                <w:ilvl w:val="0"/>
                <w:numId w:val="92"/>
              </w:numPr>
              <w:spacing w:before="80"/>
              <w:ind w:left="576" w:hanging="216"/>
              <w:rPr>
                <w:szCs w:val="24"/>
              </w:rPr>
            </w:pPr>
            <w:r w:rsidRPr="005D4222">
              <w:rPr>
                <w:szCs w:val="24"/>
              </w:rPr>
              <w:t>A weekly or monthly opioid treatment service (</w:t>
            </w:r>
            <w:r w:rsidRPr="005D4222">
              <w:rPr>
                <w:szCs w:val="24"/>
                <w:u w:val="single"/>
              </w:rPr>
              <w:t>OUD Weekly Non Drug Service Value Set</w:t>
            </w:r>
            <w:r w:rsidRPr="005D4222">
              <w:rPr>
                <w:szCs w:val="24"/>
              </w:rPr>
              <w:t xml:space="preserve">; </w:t>
            </w:r>
            <w:r w:rsidRPr="005D4222">
              <w:rPr>
                <w:szCs w:val="24"/>
                <w:u w:val="single"/>
              </w:rPr>
              <w:t>OUD Monthly Office Based Treatment Value Set</w:t>
            </w:r>
            <w:r w:rsidRPr="005D4222">
              <w:rPr>
                <w:szCs w:val="24"/>
              </w:rPr>
              <w:t xml:space="preserve">; </w:t>
            </w:r>
            <w:r w:rsidRPr="005D4222">
              <w:rPr>
                <w:szCs w:val="24"/>
                <w:u w:val="single"/>
              </w:rPr>
              <w:t>OUD Weekly Drug Treatment Service Value Set</w:t>
            </w:r>
            <w:r w:rsidRPr="005D4222">
              <w:rPr>
                <w:szCs w:val="24"/>
              </w:rPr>
              <w:t>).</w:t>
            </w:r>
          </w:p>
          <w:p w14:paraId="4B3B42ED" w14:textId="77777777" w:rsidR="00A33EDF" w:rsidRPr="005D4222" w:rsidRDefault="00A33EDF" w:rsidP="005D6173">
            <w:pPr>
              <w:numPr>
                <w:ilvl w:val="0"/>
                <w:numId w:val="92"/>
              </w:numPr>
              <w:spacing w:before="80"/>
              <w:ind w:left="576" w:hanging="216"/>
              <w:rPr>
                <w:szCs w:val="24"/>
              </w:rPr>
            </w:pPr>
            <w:r w:rsidRPr="005D4222">
              <w:rPr>
                <w:szCs w:val="24"/>
              </w:rPr>
              <w:t>For SUD episodes in the alcohol use disorder cohort, an alcohol use disorder medication treatment dispensing event (</w:t>
            </w:r>
            <w:r w:rsidRPr="005D4222">
              <w:rPr>
                <w:szCs w:val="24"/>
                <w:u w:val="single"/>
              </w:rPr>
              <w:t>Alcohol Use Disorder Treatment Medications List</w:t>
            </w:r>
            <w:r w:rsidRPr="005D4222">
              <w:rPr>
                <w:szCs w:val="24"/>
              </w:rPr>
              <w:t>) or a medication administration event (</w:t>
            </w:r>
            <w:r w:rsidRPr="005D4222">
              <w:rPr>
                <w:szCs w:val="24"/>
                <w:u w:val="single"/>
              </w:rPr>
              <w:t>Naltrexone Injection Value Set</w:t>
            </w:r>
            <w:r w:rsidRPr="005D4222">
              <w:rPr>
                <w:szCs w:val="24"/>
              </w:rPr>
              <w:t xml:space="preserve">). </w:t>
            </w:r>
          </w:p>
          <w:p w14:paraId="3B835803" w14:textId="77777777" w:rsidR="00A33EDF" w:rsidRPr="005D4222" w:rsidRDefault="00A33EDF" w:rsidP="005D6173">
            <w:pPr>
              <w:numPr>
                <w:ilvl w:val="0"/>
                <w:numId w:val="92"/>
              </w:numPr>
              <w:spacing w:before="80"/>
              <w:ind w:left="576" w:hanging="216"/>
              <w:rPr>
                <w:szCs w:val="24"/>
              </w:rPr>
            </w:pPr>
            <w:r w:rsidRPr="005D4222">
              <w:rPr>
                <w:szCs w:val="24"/>
              </w:rPr>
              <w:t>For SUD episodes in the opioid use disorder cohort, an opioid use disorder medication treatment dispensing event (</w:t>
            </w:r>
            <w:r w:rsidRPr="005D4222">
              <w:rPr>
                <w:szCs w:val="24"/>
                <w:u w:val="single"/>
              </w:rPr>
              <w:t>Naltrexone Oral Medications List</w:t>
            </w:r>
            <w:r w:rsidRPr="005D4222">
              <w:rPr>
                <w:szCs w:val="24"/>
              </w:rPr>
              <w:t xml:space="preserve">; </w:t>
            </w:r>
            <w:r w:rsidRPr="005D4222">
              <w:rPr>
                <w:szCs w:val="24"/>
                <w:u w:val="single"/>
              </w:rPr>
              <w:t>Naltrexone Injection Medications List</w:t>
            </w:r>
            <w:r w:rsidRPr="005D4222">
              <w:rPr>
                <w:szCs w:val="24"/>
              </w:rPr>
              <w:t xml:space="preserve">; </w:t>
            </w:r>
            <w:r w:rsidRPr="005D4222">
              <w:rPr>
                <w:szCs w:val="24"/>
                <w:u w:val="single"/>
              </w:rPr>
              <w:t>Buprenorphine Oral Medications List</w:t>
            </w:r>
            <w:r w:rsidRPr="005D4222">
              <w:rPr>
                <w:szCs w:val="24"/>
              </w:rPr>
              <w:t xml:space="preserve">; </w:t>
            </w:r>
            <w:r w:rsidRPr="005D4222">
              <w:rPr>
                <w:szCs w:val="24"/>
                <w:u w:val="single"/>
              </w:rPr>
              <w:t>Buprenorphine Injection Medications List</w:t>
            </w:r>
            <w:r w:rsidRPr="005D4222">
              <w:rPr>
                <w:szCs w:val="24"/>
              </w:rPr>
              <w:t xml:space="preserve">; </w:t>
            </w:r>
            <w:r w:rsidRPr="005D4222">
              <w:rPr>
                <w:szCs w:val="24"/>
                <w:u w:val="single"/>
              </w:rPr>
              <w:t>Buprenorphine Implant Medications List</w:t>
            </w:r>
            <w:r w:rsidRPr="005D4222">
              <w:rPr>
                <w:szCs w:val="24"/>
              </w:rPr>
              <w:t xml:space="preserve">; </w:t>
            </w:r>
            <w:r w:rsidRPr="005D4222">
              <w:rPr>
                <w:szCs w:val="24"/>
                <w:u w:val="single"/>
              </w:rPr>
              <w:t>Buprenorphine Naloxone Medications List</w:t>
            </w:r>
            <w:r w:rsidRPr="005D4222">
              <w:rPr>
                <w:szCs w:val="24"/>
              </w:rPr>
              <w:t>) or a medication administration event (</w:t>
            </w:r>
            <w:r w:rsidRPr="005D4222">
              <w:rPr>
                <w:szCs w:val="24"/>
                <w:u w:val="single"/>
              </w:rPr>
              <w:t>Naltrexone Injection Value Set</w:t>
            </w:r>
            <w:r w:rsidRPr="005D4222">
              <w:rPr>
                <w:szCs w:val="24"/>
              </w:rPr>
              <w:t xml:space="preserve">, </w:t>
            </w:r>
            <w:r w:rsidRPr="005D4222">
              <w:rPr>
                <w:szCs w:val="24"/>
                <w:u w:val="single"/>
              </w:rPr>
              <w:t>Buprenorphine Oral Value Set</w:t>
            </w:r>
            <w:r w:rsidRPr="005D4222">
              <w:rPr>
                <w:szCs w:val="24"/>
              </w:rPr>
              <w:t xml:space="preserve">, </w:t>
            </w:r>
            <w:r w:rsidRPr="005D4222">
              <w:rPr>
                <w:szCs w:val="24"/>
                <w:u w:val="single"/>
              </w:rPr>
              <w:t>Buprenorphine Oral Weekly Value Set</w:t>
            </w:r>
            <w:r w:rsidRPr="005D4222">
              <w:rPr>
                <w:szCs w:val="24"/>
              </w:rPr>
              <w:t xml:space="preserve">, </w:t>
            </w:r>
            <w:r w:rsidRPr="005D4222">
              <w:rPr>
                <w:szCs w:val="24"/>
                <w:u w:val="single"/>
              </w:rPr>
              <w:t>Buprenorphine Injection Value Set</w:t>
            </w:r>
            <w:r w:rsidRPr="005D4222">
              <w:rPr>
                <w:szCs w:val="24"/>
              </w:rPr>
              <w:t xml:space="preserve">, </w:t>
            </w:r>
            <w:r w:rsidRPr="005D4222">
              <w:rPr>
                <w:szCs w:val="24"/>
                <w:u w:val="single"/>
              </w:rPr>
              <w:t>Buprenorphine Implant Value Set</w:t>
            </w:r>
            <w:r w:rsidRPr="005D4222">
              <w:rPr>
                <w:szCs w:val="24"/>
              </w:rPr>
              <w:t xml:space="preserve">, </w:t>
            </w:r>
            <w:r w:rsidRPr="005D4222">
              <w:rPr>
                <w:szCs w:val="24"/>
                <w:u w:val="single"/>
              </w:rPr>
              <w:t>Buprenorphine Naloxone Value Set</w:t>
            </w:r>
            <w:r w:rsidRPr="005D4222">
              <w:rPr>
                <w:szCs w:val="24"/>
              </w:rPr>
              <w:t xml:space="preserve">, </w:t>
            </w:r>
            <w:r w:rsidRPr="005D4222">
              <w:rPr>
                <w:szCs w:val="24"/>
                <w:u w:val="single"/>
              </w:rPr>
              <w:t>Methadone Oral Value Set</w:t>
            </w:r>
            <w:r w:rsidRPr="005D4222">
              <w:rPr>
                <w:szCs w:val="24"/>
              </w:rPr>
              <w:t xml:space="preserve">, </w:t>
            </w:r>
            <w:r w:rsidRPr="005D4222">
              <w:rPr>
                <w:szCs w:val="24"/>
                <w:u w:val="single"/>
              </w:rPr>
              <w:t>Methadone Oral Weekly Value Set</w:t>
            </w:r>
            <w:r w:rsidRPr="005D4222">
              <w:rPr>
                <w:szCs w:val="24"/>
              </w:rPr>
              <w:t>).</w:t>
            </w:r>
          </w:p>
          <w:p w14:paraId="38D443BB" w14:textId="77777777" w:rsidR="00A33EDF" w:rsidRPr="005D4222" w:rsidRDefault="00A33EDF">
            <w:pPr>
              <w:pStyle w:val="ECDSBody"/>
            </w:pPr>
            <w:r w:rsidRPr="005D4222">
              <w:t>For all initiation events except medication treatment dispensing events and medication administration events, initiation on the same day as the SUD episode date must be with different providers in order to count.</w:t>
            </w:r>
          </w:p>
          <w:p w14:paraId="42373234" w14:textId="77777777" w:rsidR="00A33EDF" w:rsidRPr="005D4222" w:rsidRDefault="00A33EDF">
            <w:pPr>
              <w:pStyle w:val="ECDSBody"/>
              <w:rPr>
                <w:szCs w:val="24"/>
              </w:rPr>
            </w:pPr>
            <w:r w:rsidRPr="005D4222">
              <w:t xml:space="preserve">Remove the person from the denominator for numerators 1 and 2 </w:t>
            </w:r>
            <w:r w:rsidRPr="005D4222">
              <w:rPr>
                <w:iCs/>
              </w:rPr>
              <w:t>(</w:t>
            </w:r>
            <w:r w:rsidRPr="005D4222">
              <w:t xml:space="preserve">Initiation of SUD </w:t>
            </w:r>
            <w:r w:rsidRPr="005D4222">
              <w:rPr>
                <w:iCs/>
              </w:rPr>
              <w:t>Treatment</w:t>
            </w:r>
            <w:r w:rsidRPr="005D4222">
              <w:t xml:space="preserve"> and </w:t>
            </w:r>
            <w:r w:rsidRPr="005D4222">
              <w:rPr>
                <w:iCs/>
              </w:rPr>
              <w:t>Engagement</w:t>
            </w:r>
            <w:r w:rsidRPr="005D4222">
              <w:t xml:space="preserve"> of SUD </w:t>
            </w:r>
            <w:r w:rsidRPr="005D4222">
              <w:rPr>
                <w:iCs/>
              </w:rPr>
              <w:t>Treatment)</w:t>
            </w:r>
            <w:r w:rsidRPr="005D4222">
              <w:t xml:space="preserve"> if the initiation of treatment event is an inpatient stay with a discharge date after November 27 of the measurement period.</w:t>
            </w:r>
          </w:p>
          <w:p w14:paraId="5A8DC37D" w14:textId="77777777" w:rsidR="00A33EDF" w:rsidRPr="005D4222" w:rsidRDefault="00A33EDF">
            <w:pPr>
              <w:pStyle w:val="ECDSBody"/>
            </w:pPr>
            <w:r w:rsidRPr="005D4222">
              <w:rPr>
                <w:b/>
                <w:szCs w:val="22"/>
              </w:rPr>
              <w:t>Numerator 2:</w:t>
            </w:r>
            <w:r w:rsidRPr="005D4222">
              <w:rPr>
                <w:szCs w:val="22"/>
              </w:rPr>
              <w:t xml:space="preserve"> </w:t>
            </w:r>
            <w:r w:rsidRPr="005D4222">
              <w:rPr>
                <w:b/>
                <w:szCs w:val="22"/>
              </w:rPr>
              <w:t>Engagement of SUD treatment.</w:t>
            </w:r>
            <w:r w:rsidRPr="005D4222">
              <w:rPr>
                <w:b/>
                <w:szCs w:val="22"/>
              </w:rPr>
              <w:br/>
            </w:r>
            <w:r w:rsidRPr="005D4222">
              <w:t>Follow the steps below to identify numerator compliance.</w:t>
            </w:r>
          </w:p>
          <w:p w14:paraId="76E92103" w14:textId="40079E60" w:rsidR="00A33EDF" w:rsidRPr="005D4222" w:rsidRDefault="00A33EDF">
            <w:pPr>
              <w:pStyle w:val="ECDSBody"/>
              <w:rPr>
                <w:b/>
                <w:bCs w:val="0"/>
              </w:rPr>
            </w:pPr>
            <w:r w:rsidRPr="005D4222">
              <w:t xml:space="preserve">If the initiation of SUD treatment event from numerator 1 was an inpatient admission, the </w:t>
            </w:r>
            <w:r w:rsidRPr="005D4222">
              <w:rPr>
                <w:iCs/>
              </w:rPr>
              <w:t xml:space="preserve">34-day period </w:t>
            </w:r>
            <w:r w:rsidRPr="005D4222">
              <w:t>for engagement begins the day after discharge.</w:t>
            </w:r>
          </w:p>
        </w:tc>
      </w:tr>
    </w:tbl>
    <w:p w14:paraId="7EE27A9C" w14:textId="77777777" w:rsidR="00135D84" w:rsidRPr="005D4222" w:rsidRDefault="00135D84">
      <w:r w:rsidRPr="005D4222">
        <w:br w:type="page"/>
      </w:r>
    </w:p>
    <w:tbl>
      <w:tblPr>
        <w:tblW w:w="9717" w:type="dxa"/>
        <w:tblInd w:w="-3" w:type="dxa"/>
        <w:tblBorders>
          <w:top w:val="single" w:sz="4" w:space="0" w:color="auto"/>
          <w:left w:val="single" w:sz="2" w:space="0" w:color="auto"/>
          <w:bottom w:val="single" w:sz="4" w:space="0" w:color="auto"/>
          <w:right w:val="single" w:sz="4" w:space="0" w:color="auto"/>
          <w:insideH w:val="single" w:sz="4" w:space="0" w:color="auto"/>
          <w:insideV w:val="single" w:sz="4" w:space="0" w:color="auto"/>
        </w:tblBorders>
        <w:tblLayout w:type="fixed"/>
        <w:tblCellMar>
          <w:top w:w="40" w:type="dxa"/>
          <w:left w:w="86" w:type="dxa"/>
          <w:bottom w:w="43" w:type="dxa"/>
          <w:right w:w="86" w:type="dxa"/>
        </w:tblCellMar>
        <w:tblLook w:val="04A0" w:firstRow="1" w:lastRow="0" w:firstColumn="1" w:lastColumn="0" w:noHBand="0" w:noVBand="1"/>
      </w:tblPr>
      <w:tblGrid>
        <w:gridCol w:w="2160"/>
        <w:gridCol w:w="7557"/>
      </w:tblGrid>
      <w:tr w:rsidR="00A33EDF" w:rsidRPr="005D4222" w14:paraId="6805B42B" w14:textId="77777777" w:rsidTr="00135D84">
        <w:tc>
          <w:tcPr>
            <w:tcW w:w="2160" w:type="dxa"/>
            <w:shd w:val="clear" w:color="auto" w:fill="BFBFBF" w:themeFill="background1" w:themeFillShade="BF"/>
            <w:tcMar>
              <w:top w:w="0" w:type="dxa"/>
              <w:left w:w="86" w:type="dxa"/>
              <w:bottom w:w="43" w:type="dxa"/>
              <w:right w:w="86" w:type="dxa"/>
            </w:tcMar>
          </w:tcPr>
          <w:p w14:paraId="08A29158" w14:textId="77777777" w:rsidR="00A33EDF" w:rsidRPr="005D4222" w:rsidRDefault="00A33EDF">
            <w:pPr>
              <w:pStyle w:val="ECDSMarginHead"/>
            </w:pPr>
          </w:p>
        </w:tc>
        <w:tc>
          <w:tcPr>
            <w:tcW w:w="7557" w:type="dxa"/>
            <w:tcMar>
              <w:top w:w="0" w:type="dxa"/>
              <w:left w:w="86" w:type="dxa"/>
              <w:bottom w:w="43" w:type="dxa"/>
              <w:right w:w="86" w:type="dxa"/>
            </w:tcMar>
          </w:tcPr>
          <w:p w14:paraId="5D325C76" w14:textId="77777777" w:rsidR="00135D84" w:rsidRPr="005D4222" w:rsidRDefault="00135D84" w:rsidP="00135D84">
            <w:pPr>
              <w:pStyle w:val="ECDSBody"/>
            </w:pPr>
            <w:r w:rsidRPr="005D4222">
              <w:rPr>
                <w:b/>
              </w:rPr>
              <w:t>Step 1</w:t>
            </w:r>
            <w:r w:rsidRPr="005D4222">
              <w:rPr>
                <w:b/>
                <w:bCs w:val="0"/>
              </w:rPr>
              <w:t>.</w:t>
            </w:r>
            <w:r w:rsidRPr="005D4222">
              <w:t xml:space="preserve"> Identify all SUD episodes</w:t>
            </w:r>
            <w:r w:rsidRPr="005D4222" w:rsidDel="00055EF0">
              <w:t xml:space="preserve"> </w:t>
            </w:r>
            <w:r w:rsidRPr="005D4222">
              <w:t>compliant for Numerator 1: Initiation of SUD Treatment. SUD episodes that are not compliant for Numerator 1: Initiation of SUD Treatment are not compliant for Numerator 2: Engagement of SUD Treatment.</w:t>
            </w:r>
          </w:p>
          <w:p w14:paraId="7011F202" w14:textId="77777777" w:rsidR="00135D84" w:rsidRPr="005D4222" w:rsidRDefault="00135D84" w:rsidP="00135D84">
            <w:pPr>
              <w:pStyle w:val="ECDSBody"/>
            </w:pPr>
            <w:r w:rsidRPr="005D4222">
              <w:rPr>
                <w:b/>
              </w:rPr>
              <w:t xml:space="preserve">Step 2. </w:t>
            </w:r>
            <w:r w:rsidRPr="005D4222">
              <w:t>Identify SUD episodes that had at least one weekly or monthly opioid treatment service with medication administration (</w:t>
            </w:r>
            <w:r w:rsidRPr="005D4222">
              <w:rPr>
                <w:u w:val="single"/>
              </w:rPr>
              <w:t>OUD Monthly Office Based Treatment Value Set</w:t>
            </w:r>
            <w:r w:rsidRPr="005D4222">
              <w:t xml:space="preserve">; </w:t>
            </w:r>
            <w:r w:rsidRPr="005D4222">
              <w:rPr>
                <w:u w:val="single"/>
              </w:rPr>
              <w:t>OUD Weekly Drug Treatment Service Value Set</w:t>
            </w:r>
            <w:r w:rsidRPr="005D4222">
              <w:t>) on the day after the initiation encounter through 34 days after the initiation event. The opioid treatment service is considered engagement of treatment and the SUD episode is compliant.</w:t>
            </w:r>
          </w:p>
          <w:p w14:paraId="7B7E1A14" w14:textId="77777777" w:rsidR="00135D84" w:rsidRPr="005D4222" w:rsidRDefault="00135D84" w:rsidP="00135D84">
            <w:pPr>
              <w:pStyle w:val="ECDSBody"/>
            </w:pPr>
            <w:r w:rsidRPr="005D4222">
              <w:rPr>
                <w:b/>
                <w:szCs w:val="22"/>
              </w:rPr>
              <w:t xml:space="preserve">Step 3. </w:t>
            </w:r>
            <w:r w:rsidRPr="005D4222">
              <w:t>Identify SUD episodes with long-acting SUD medication administration events on the day after the initiation encounter through 34 days after the initiation event. The long-acting SUD medication administration event is considered engagement of treatment, and the SUD episode is compliant. Any of the following meet criteria:</w:t>
            </w:r>
          </w:p>
          <w:p w14:paraId="5FAE8547" w14:textId="77777777" w:rsidR="00A33EDF" w:rsidRPr="005D4222" w:rsidRDefault="00A33EDF" w:rsidP="00A33EDF">
            <w:pPr>
              <w:pStyle w:val="Bullet"/>
              <w:numPr>
                <w:ilvl w:val="0"/>
                <w:numId w:val="4"/>
              </w:numPr>
              <w:tabs>
                <w:tab w:val="left" w:pos="576"/>
              </w:tabs>
              <w:ind w:left="576" w:hanging="216"/>
            </w:pPr>
            <w:r w:rsidRPr="005D4222">
              <w:rPr>
                <w:i/>
              </w:rPr>
              <w:t>For SUD episodes in the alcohol use disorder cohort,</w:t>
            </w:r>
            <w:r w:rsidRPr="005D4222">
              <w:t xml:space="preserve"> an alcohol use disorder medication treatment dispensing event (</w:t>
            </w:r>
            <w:r w:rsidRPr="005D4222">
              <w:rPr>
                <w:u w:val="single"/>
              </w:rPr>
              <w:t>Naltrexone Injection Medications List</w:t>
            </w:r>
            <w:r w:rsidRPr="005D4222">
              <w:t>) or a medication administration event (</w:t>
            </w:r>
            <w:r w:rsidRPr="005D4222">
              <w:rPr>
                <w:u w:val="single"/>
              </w:rPr>
              <w:t>Naltrexone Injection Value Set</w:t>
            </w:r>
            <w:r w:rsidRPr="005D4222">
              <w:t>).</w:t>
            </w:r>
          </w:p>
          <w:p w14:paraId="453BEA5B" w14:textId="77777777" w:rsidR="00A33EDF" w:rsidRPr="005D4222" w:rsidRDefault="00A33EDF" w:rsidP="00A33EDF">
            <w:pPr>
              <w:pStyle w:val="Bullet"/>
              <w:numPr>
                <w:ilvl w:val="0"/>
                <w:numId w:val="4"/>
              </w:numPr>
              <w:tabs>
                <w:tab w:val="left" w:pos="576"/>
              </w:tabs>
              <w:ind w:left="576" w:hanging="216"/>
            </w:pPr>
            <w:r w:rsidRPr="005D4222">
              <w:rPr>
                <w:i/>
              </w:rPr>
              <w:t>For SUD episodes in the opioid use disorder cohort,</w:t>
            </w:r>
            <w:r w:rsidRPr="005D4222">
              <w:t xml:space="preserve"> an opioid use disorder medication treatment dispensing event (</w:t>
            </w:r>
            <w:r w:rsidRPr="005D4222">
              <w:rPr>
                <w:u w:val="single"/>
              </w:rPr>
              <w:t>Naltrexone Injection Medications List</w:t>
            </w:r>
            <w:r w:rsidRPr="005D4222">
              <w:t xml:space="preserve">; </w:t>
            </w:r>
            <w:r w:rsidRPr="005D4222">
              <w:rPr>
                <w:u w:val="single"/>
              </w:rPr>
              <w:t>Buprenorphine Injection Medications List</w:t>
            </w:r>
            <w:r w:rsidRPr="005D4222">
              <w:t xml:space="preserve">; </w:t>
            </w:r>
            <w:r w:rsidRPr="005D4222">
              <w:rPr>
                <w:u w:val="single"/>
              </w:rPr>
              <w:t>Buprenorphine Implant Medications List</w:t>
            </w:r>
            <w:r w:rsidRPr="005D4222">
              <w:t>) or a medication administration event (</w:t>
            </w:r>
            <w:r w:rsidRPr="005D4222">
              <w:rPr>
                <w:u w:val="single"/>
              </w:rPr>
              <w:t>Naltrexone Injection Value Set</w:t>
            </w:r>
            <w:r w:rsidRPr="005D4222">
              <w:t xml:space="preserve">; </w:t>
            </w:r>
            <w:r w:rsidRPr="005D4222">
              <w:rPr>
                <w:u w:val="single"/>
              </w:rPr>
              <w:t>Buprenorphine Injection Value Set</w:t>
            </w:r>
            <w:r w:rsidRPr="005D4222">
              <w:t xml:space="preserve">; </w:t>
            </w:r>
            <w:r w:rsidRPr="005D4222">
              <w:rPr>
                <w:u w:val="single"/>
              </w:rPr>
              <w:t>Buprenorphine Implant Value Set</w:t>
            </w:r>
            <w:r w:rsidRPr="005D4222">
              <w:t>).</w:t>
            </w:r>
          </w:p>
          <w:p w14:paraId="269A7EAD" w14:textId="77777777" w:rsidR="00A33EDF" w:rsidRPr="005D4222" w:rsidRDefault="00A33EDF">
            <w:pPr>
              <w:pStyle w:val="ECDSBody"/>
            </w:pPr>
            <w:r w:rsidRPr="005D4222">
              <w:rPr>
                <w:b/>
              </w:rPr>
              <w:t>Step 4</w:t>
            </w:r>
            <w:r w:rsidRPr="005D4222">
              <w:t>. For remaining SUD episodes, identify episodes with at least two of the following (any combination) on the day after the initiation encounter through 34 days after the initiation event:</w:t>
            </w:r>
          </w:p>
          <w:p w14:paraId="0FFA6F9E" w14:textId="77777777" w:rsidR="00A33EDF" w:rsidRPr="005D4222" w:rsidRDefault="00A33EDF" w:rsidP="00A33EDF">
            <w:pPr>
              <w:pStyle w:val="Bullet"/>
              <w:numPr>
                <w:ilvl w:val="0"/>
                <w:numId w:val="4"/>
              </w:numPr>
              <w:tabs>
                <w:tab w:val="left" w:pos="576"/>
              </w:tabs>
              <w:ind w:left="576" w:hanging="216"/>
            </w:pPr>
            <w:r w:rsidRPr="005D4222">
              <w:t>Engagement visit.</w:t>
            </w:r>
          </w:p>
          <w:p w14:paraId="1598BFCA" w14:textId="77777777" w:rsidR="00A33EDF" w:rsidRPr="005D4222" w:rsidRDefault="00A33EDF" w:rsidP="00A33EDF">
            <w:pPr>
              <w:pStyle w:val="Bullet"/>
              <w:numPr>
                <w:ilvl w:val="0"/>
                <w:numId w:val="4"/>
              </w:numPr>
              <w:tabs>
                <w:tab w:val="left" w:pos="576"/>
              </w:tabs>
              <w:ind w:left="576" w:hanging="216"/>
            </w:pPr>
            <w:r w:rsidRPr="005D4222">
              <w:t>Engagement medication treatment event.</w:t>
            </w:r>
          </w:p>
          <w:p w14:paraId="2002757C" w14:textId="77777777" w:rsidR="00A33EDF" w:rsidRPr="005D4222" w:rsidRDefault="00A33EDF">
            <w:pPr>
              <w:pStyle w:val="ECDSBody"/>
            </w:pPr>
            <w:r w:rsidRPr="005D4222">
              <w:t>Two engagement visits may be on the same date of service, but must be with different providers to count as two events. An engagement visit on the same date of service as an engagement medication treatment event meets criteria (they are not required to be with different providers).</w:t>
            </w:r>
          </w:p>
          <w:p w14:paraId="1961EC5E" w14:textId="77777777" w:rsidR="00A33EDF" w:rsidRPr="005D4222" w:rsidRDefault="00A33EDF">
            <w:pPr>
              <w:pStyle w:val="ECDSBody"/>
            </w:pPr>
            <w:r w:rsidRPr="005D4222">
              <w:t>Refer to the descriptions below to identify engagement visits and engagement medication treatment events.</w:t>
            </w:r>
          </w:p>
          <w:p w14:paraId="5CB58F37" w14:textId="77777777" w:rsidR="00A33EDF" w:rsidRPr="005D4222" w:rsidRDefault="00A33EDF">
            <w:pPr>
              <w:pStyle w:val="ECDSBody"/>
              <w:rPr>
                <w:kern w:val="24"/>
              </w:rPr>
            </w:pPr>
            <w:r w:rsidRPr="005D4222">
              <w:rPr>
                <w:i/>
              </w:rPr>
              <w:t>Engagement visit.</w:t>
            </w:r>
            <w:r w:rsidRPr="005D4222">
              <w:rPr>
                <w:bCs w:val="0"/>
                <w:i/>
              </w:rPr>
              <w:t xml:space="preserve"> </w:t>
            </w:r>
            <w:r w:rsidRPr="005D4222">
              <w:rPr>
                <w:kern w:val="24"/>
              </w:rPr>
              <w:t>Any of the following meet criteria for an engagement visit:</w:t>
            </w:r>
          </w:p>
          <w:p w14:paraId="3C440C3E" w14:textId="77777777" w:rsidR="00A33EDF" w:rsidRPr="005D4222" w:rsidRDefault="00A33EDF" w:rsidP="005D6173">
            <w:pPr>
              <w:numPr>
                <w:ilvl w:val="0"/>
                <w:numId w:val="92"/>
              </w:numPr>
              <w:spacing w:before="80"/>
              <w:ind w:left="576" w:hanging="216"/>
              <w:rPr>
                <w:szCs w:val="24"/>
              </w:rPr>
            </w:pPr>
            <w:r w:rsidRPr="005D4222">
              <w:rPr>
                <w:szCs w:val="24"/>
              </w:rPr>
              <w:t xml:space="preserve">An acute or nonacute inpatient admission </w:t>
            </w:r>
            <w:r w:rsidRPr="005D4222">
              <w:rPr>
                <w:b/>
                <w:bCs/>
                <w:i/>
                <w:iCs/>
                <w:szCs w:val="24"/>
              </w:rPr>
              <w:t>with</w:t>
            </w:r>
            <w:r w:rsidRPr="005D4222">
              <w:rPr>
                <w:szCs w:val="24"/>
              </w:rPr>
              <w:t xml:space="preserve"> a diagnosis (on the discharge claim) </w:t>
            </w:r>
            <w:r w:rsidRPr="005D4222">
              <w:rPr>
                <w:bCs/>
                <w:iCs/>
                <w:szCs w:val="24"/>
              </w:rPr>
              <w:t xml:space="preserve">of </w:t>
            </w:r>
            <w:r w:rsidRPr="005D4222">
              <w:rPr>
                <w:szCs w:val="24"/>
              </w:rPr>
              <w:t xml:space="preserve">one of the following: </w:t>
            </w:r>
            <w:r w:rsidRPr="005D4222">
              <w:rPr>
                <w:szCs w:val="24"/>
                <w:u w:val="single"/>
              </w:rPr>
              <w:t>Alcohol Abuse and Dependence Value Set</w:t>
            </w:r>
            <w:r w:rsidRPr="005D4222">
              <w:rPr>
                <w:szCs w:val="24"/>
              </w:rPr>
              <w:t xml:space="preserve">, </w:t>
            </w:r>
            <w:r w:rsidRPr="005D4222">
              <w:rPr>
                <w:szCs w:val="24"/>
                <w:u w:val="single"/>
              </w:rPr>
              <w:t>Opioid Abuse and Dependence Value Set</w:t>
            </w:r>
            <w:r w:rsidRPr="005D4222">
              <w:rPr>
                <w:szCs w:val="24"/>
              </w:rPr>
              <w:t xml:space="preserve">, </w:t>
            </w:r>
            <w:r w:rsidRPr="005D4222">
              <w:rPr>
                <w:szCs w:val="24"/>
                <w:u w:val="single"/>
              </w:rPr>
              <w:t>Other Drug Abuse and Dependence Value Set</w:t>
            </w:r>
            <w:r w:rsidRPr="005D4222">
              <w:rPr>
                <w:szCs w:val="24"/>
              </w:rPr>
              <w:t>. To identify acute or nonacute inpatient admissions:</w:t>
            </w:r>
          </w:p>
          <w:p w14:paraId="19968982" w14:textId="77777777" w:rsidR="00A33EDF" w:rsidRPr="005D4222" w:rsidRDefault="00A33EDF" w:rsidP="005D6173">
            <w:pPr>
              <w:numPr>
                <w:ilvl w:val="0"/>
                <w:numId w:val="93"/>
              </w:numPr>
              <w:spacing w:before="60"/>
              <w:ind w:left="864" w:hanging="288"/>
              <w:rPr>
                <w:szCs w:val="24"/>
              </w:rPr>
            </w:pPr>
            <w:r w:rsidRPr="005D4222">
              <w:rPr>
                <w:szCs w:val="24"/>
              </w:rPr>
              <w:t>Identify all acute and nonacute inpatient stays (</w:t>
            </w:r>
            <w:r w:rsidRPr="005D4222">
              <w:rPr>
                <w:szCs w:val="24"/>
                <w:u w:val="single"/>
              </w:rPr>
              <w:t>Inpatient Stay Value Set</w:t>
            </w:r>
            <w:r w:rsidRPr="005D4222">
              <w:rPr>
                <w:szCs w:val="24"/>
              </w:rPr>
              <w:t>).</w:t>
            </w:r>
          </w:p>
          <w:p w14:paraId="70E6F9AF" w14:textId="446907AF" w:rsidR="00A33EDF" w:rsidRPr="005D4222" w:rsidRDefault="00F807D7" w:rsidP="00F807D7">
            <w:pPr>
              <w:spacing w:before="60" w:after="80"/>
              <w:ind w:left="864" w:hanging="288"/>
              <w:rPr>
                <w:b/>
                <w:bCs/>
              </w:rPr>
            </w:pPr>
            <w:r w:rsidRPr="005D4222">
              <w:rPr>
                <w:szCs w:val="24"/>
              </w:rPr>
              <w:t>2.</w:t>
            </w:r>
            <w:r w:rsidRPr="005D4222">
              <w:rPr>
                <w:szCs w:val="24"/>
              </w:rPr>
              <w:tab/>
            </w:r>
            <w:r w:rsidR="00A33EDF" w:rsidRPr="005D4222">
              <w:rPr>
                <w:szCs w:val="24"/>
              </w:rPr>
              <w:t xml:space="preserve">Identify the admission date for the stay. </w:t>
            </w:r>
          </w:p>
        </w:tc>
      </w:tr>
      <w:tr w:rsidR="00135D84" w:rsidRPr="005D4222" w14:paraId="7C152A8A" w14:textId="77777777">
        <w:tc>
          <w:tcPr>
            <w:tcW w:w="2160" w:type="dxa"/>
            <w:tcBorders>
              <w:bottom w:val="single" w:sz="4" w:space="0" w:color="auto"/>
            </w:tcBorders>
            <w:shd w:val="clear" w:color="auto" w:fill="BFBFBF" w:themeFill="background1" w:themeFillShade="BF"/>
            <w:tcMar>
              <w:top w:w="0" w:type="dxa"/>
              <w:left w:w="86" w:type="dxa"/>
              <w:bottom w:w="43" w:type="dxa"/>
              <w:right w:w="86" w:type="dxa"/>
            </w:tcMar>
          </w:tcPr>
          <w:p w14:paraId="23B378CD" w14:textId="77777777" w:rsidR="00135D84" w:rsidRPr="005D4222" w:rsidRDefault="00135D84" w:rsidP="00A53E8C">
            <w:pPr>
              <w:pStyle w:val="ECDSMarginHead"/>
            </w:pPr>
          </w:p>
        </w:tc>
        <w:tc>
          <w:tcPr>
            <w:tcW w:w="7557" w:type="dxa"/>
            <w:tcBorders>
              <w:bottom w:val="single" w:sz="4" w:space="0" w:color="auto"/>
            </w:tcBorders>
            <w:tcMar>
              <w:top w:w="0" w:type="dxa"/>
              <w:left w:w="86" w:type="dxa"/>
              <w:bottom w:w="43" w:type="dxa"/>
              <w:right w:w="86" w:type="dxa"/>
            </w:tcMar>
          </w:tcPr>
          <w:p w14:paraId="30585377" w14:textId="77777777" w:rsidR="00135D84" w:rsidRPr="005D4222" w:rsidRDefault="00135D84" w:rsidP="005D6173">
            <w:pPr>
              <w:numPr>
                <w:ilvl w:val="0"/>
                <w:numId w:val="92"/>
              </w:numPr>
              <w:spacing w:before="80"/>
              <w:ind w:left="576" w:hanging="216"/>
              <w:rPr>
                <w:szCs w:val="24"/>
              </w:rPr>
            </w:pPr>
            <w:r w:rsidRPr="005D4222">
              <w:rPr>
                <w:rFonts w:cs="Arial"/>
              </w:rPr>
              <w:t>An outpatient visit (</w:t>
            </w:r>
            <w:r w:rsidRPr="005D4222">
              <w:rPr>
                <w:rFonts w:cs="Arial"/>
                <w:u w:val="single"/>
              </w:rPr>
              <w:t>Visit Setting Unspecified Value Set</w:t>
            </w:r>
            <w:r w:rsidRPr="005D4222">
              <w:rPr>
                <w:rFonts w:cs="Arial"/>
              </w:rPr>
              <w:t xml:space="preserve">) </w:t>
            </w:r>
            <w:r w:rsidRPr="005D4222">
              <w:rPr>
                <w:rFonts w:cs="Arial"/>
                <w:b/>
                <w:bCs/>
                <w:i/>
                <w:iCs/>
              </w:rPr>
              <w:t>with</w:t>
            </w:r>
            <w:r w:rsidRPr="005D4222">
              <w:rPr>
                <w:rFonts w:cs="Arial"/>
              </w:rPr>
              <w:t xml:space="preserve"> (</w:t>
            </w:r>
            <w:r w:rsidRPr="005D4222">
              <w:rPr>
                <w:rFonts w:cs="Arial"/>
                <w:u w:val="single"/>
              </w:rPr>
              <w:t>Outpatient POS Value Set</w:t>
            </w:r>
            <w:r w:rsidRPr="005D4222">
              <w:rPr>
                <w:rFonts w:cs="Arial"/>
              </w:rPr>
              <w:t xml:space="preserve">) </w:t>
            </w:r>
            <w:r w:rsidRPr="005D4222">
              <w:rPr>
                <w:b/>
                <w:i/>
                <w:szCs w:val="24"/>
              </w:rPr>
              <w:t xml:space="preserve">with </w:t>
            </w:r>
            <w:r w:rsidRPr="005D4222">
              <w:rPr>
                <w:szCs w:val="24"/>
              </w:rPr>
              <w:t xml:space="preserve">one of the following: </w:t>
            </w:r>
            <w:r w:rsidRPr="005D4222">
              <w:rPr>
                <w:szCs w:val="24"/>
                <w:u w:val="single"/>
              </w:rPr>
              <w:t>Alcohol Abuse and Dependence Value Set</w:t>
            </w:r>
            <w:r w:rsidRPr="005D4222">
              <w:rPr>
                <w:szCs w:val="24"/>
              </w:rPr>
              <w:t xml:space="preserve">, </w:t>
            </w:r>
            <w:r w:rsidRPr="005D4222">
              <w:rPr>
                <w:szCs w:val="24"/>
                <w:u w:val="single"/>
              </w:rPr>
              <w:t>Opioid Abuse and Dependence Value Set</w:t>
            </w:r>
            <w:r w:rsidRPr="005D4222">
              <w:rPr>
                <w:szCs w:val="24"/>
              </w:rPr>
              <w:t xml:space="preserve">, </w:t>
            </w:r>
            <w:r w:rsidRPr="005D4222">
              <w:rPr>
                <w:szCs w:val="24"/>
                <w:u w:val="single"/>
              </w:rPr>
              <w:t>Other Drug Abuse and Dependence Value Set</w:t>
            </w:r>
            <w:r w:rsidRPr="005D4222">
              <w:rPr>
                <w:szCs w:val="24"/>
              </w:rPr>
              <w:t>.</w:t>
            </w:r>
          </w:p>
          <w:p w14:paraId="4786D3BF" w14:textId="77777777" w:rsidR="00135D84" w:rsidRPr="005D4222" w:rsidRDefault="00135D84" w:rsidP="005D6173">
            <w:pPr>
              <w:numPr>
                <w:ilvl w:val="0"/>
                <w:numId w:val="92"/>
              </w:numPr>
              <w:spacing w:before="80" w:after="80"/>
              <w:ind w:left="576" w:hanging="216"/>
              <w:rPr>
                <w:b/>
                <w:bCs/>
              </w:rPr>
            </w:pPr>
            <w:r w:rsidRPr="005D4222">
              <w:rPr>
                <w:rFonts w:cs="Arial"/>
              </w:rPr>
              <w:t>An outpatient visit (</w:t>
            </w:r>
            <w:r w:rsidRPr="005D4222">
              <w:rPr>
                <w:rFonts w:cs="Arial"/>
                <w:u w:val="single"/>
              </w:rPr>
              <w:t>BH Outpatient Value Set</w:t>
            </w:r>
            <w:r w:rsidRPr="005D4222">
              <w:rPr>
                <w:rFonts w:cs="Arial"/>
              </w:rPr>
              <w:t>)</w:t>
            </w:r>
            <w:r w:rsidRPr="005D4222">
              <w:rPr>
                <w:b/>
                <w:i/>
                <w:szCs w:val="24"/>
              </w:rPr>
              <w:t xml:space="preserve"> with </w:t>
            </w:r>
            <w:r w:rsidRPr="005D4222">
              <w:rPr>
                <w:szCs w:val="24"/>
              </w:rPr>
              <w:t xml:space="preserve">one of the following: </w:t>
            </w:r>
            <w:r w:rsidRPr="005D4222">
              <w:rPr>
                <w:szCs w:val="24"/>
                <w:u w:val="single"/>
              </w:rPr>
              <w:t>Alcohol Abuse and Dependence Value Set</w:t>
            </w:r>
            <w:r w:rsidRPr="005D4222">
              <w:rPr>
                <w:szCs w:val="24"/>
              </w:rPr>
              <w:t xml:space="preserve">, </w:t>
            </w:r>
            <w:r w:rsidRPr="005D4222">
              <w:rPr>
                <w:szCs w:val="24"/>
                <w:u w:val="single"/>
              </w:rPr>
              <w:t>Opioid Abuse and Dependence Value Set</w:t>
            </w:r>
            <w:r w:rsidRPr="005D4222">
              <w:rPr>
                <w:szCs w:val="24"/>
              </w:rPr>
              <w:t xml:space="preserve">, </w:t>
            </w:r>
            <w:r w:rsidRPr="005D4222">
              <w:rPr>
                <w:szCs w:val="24"/>
                <w:u w:val="single"/>
              </w:rPr>
              <w:t>Other Drug Abuse and Dependence Value Set</w:t>
            </w:r>
            <w:r w:rsidRPr="005D4222">
              <w:rPr>
                <w:szCs w:val="24"/>
              </w:rPr>
              <w:t>.</w:t>
            </w:r>
          </w:p>
          <w:p w14:paraId="1A762639" w14:textId="77777777" w:rsidR="00135D84" w:rsidRPr="005D4222" w:rsidRDefault="00135D84" w:rsidP="005D6173">
            <w:pPr>
              <w:numPr>
                <w:ilvl w:val="0"/>
                <w:numId w:val="92"/>
              </w:numPr>
              <w:spacing w:before="80" w:after="80"/>
              <w:ind w:left="576" w:hanging="216"/>
              <w:rPr>
                <w:b/>
                <w:bCs/>
              </w:rPr>
            </w:pPr>
            <w:r w:rsidRPr="005D4222">
              <w:rPr>
                <w:rFonts w:cs="Arial"/>
              </w:rPr>
              <w:t>An intensive outpatient encounter or partial hospitalization (</w:t>
            </w:r>
            <w:r w:rsidRPr="005D4222">
              <w:rPr>
                <w:rFonts w:cs="Arial"/>
                <w:u w:val="single"/>
              </w:rPr>
              <w:t>Visit Setting Unspecified Value Set</w:t>
            </w:r>
            <w:r w:rsidRPr="005D4222">
              <w:rPr>
                <w:rFonts w:cs="Arial"/>
              </w:rPr>
              <w:t xml:space="preserve">) </w:t>
            </w:r>
            <w:r w:rsidRPr="005D4222">
              <w:rPr>
                <w:rFonts w:cs="Arial"/>
                <w:b/>
                <w:i/>
              </w:rPr>
              <w:t>with</w:t>
            </w:r>
            <w:r w:rsidRPr="005D4222">
              <w:rPr>
                <w:rFonts w:cs="Arial"/>
              </w:rPr>
              <w:t xml:space="preserve"> POS code 52 </w:t>
            </w:r>
            <w:r w:rsidRPr="005D4222">
              <w:rPr>
                <w:b/>
                <w:i/>
                <w:szCs w:val="24"/>
              </w:rPr>
              <w:t xml:space="preserve">with </w:t>
            </w:r>
            <w:r w:rsidRPr="005D4222">
              <w:rPr>
                <w:szCs w:val="24"/>
              </w:rPr>
              <w:t xml:space="preserve">one of the following: </w:t>
            </w:r>
            <w:r w:rsidRPr="005D4222">
              <w:rPr>
                <w:szCs w:val="24"/>
                <w:u w:val="single"/>
              </w:rPr>
              <w:t>Alcohol Abuse and Dependence Value Set</w:t>
            </w:r>
            <w:r w:rsidRPr="005D4222">
              <w:rPr>
                <w:szCs w:val="24"/>
              </w:rPr>
              <w:t xml:space="preserve">, </w:t>
            </w:r>
            <w:r w:rsidRPr="005D4222">
              <w:rPr>
                <w:szCs w:val="24"/>
                <w:u w:val="single"/>
              </w:rPr>
              <w:t>Opioid Abuse and Dependence Value Set</w:t>
            </w:r>
            <w:r w:rsidRPr="005D4222">
              <w:rPr>
                <w:szCs w:val="24"/>
              </w:rPr>
              <w:t xml:space="preserve">, </w:t>
            </w:r>
            <w:r w:rsidRPr="005D4222">
              <w:rPr>
                <w:szCs w:val="24"/>
                <w:u w:val="single"/>
              </w:rPr>
              <w:t>Other Drug Abuse and Dependence Value Set</w:t>
            </w:r>
            <w:r w:rsidRPr="005D4222">
              <w:rPr>
                <w:szCs w:val="24"/>
              </w:rPr>
              <w:t>.</w:t>
            </w:r>
          </w:p>
          <w:p w14:paraId="63BB22E8" w14:textId="77777777" w:rsidR="00135D84" w:rsidRPr="005D4222" w:rsidRDefault="00135D84" w:rsidP="005D6173">
            <w:pPr>
              <w:numPr>
                <w:ilvl w:val="0"/>
                <w:numId w:val="92"/>
              </w:numPr>
              <w:spacing w:before="80" w:after="80"/>
              <w:ind w:left="576" w:hanging="216"/>
              <w:rPr>
                <w:b/>
                <w:bCs/>
              </w:rPr>
            </w:pPr>
            <w:r w:rsidRPr="005D4222">
              <w:rPr>
                <w:rFonts w:cs="Arial"/>
              </w:rPr>
              <w:t>An intensive outpatient encounter or partial hospitalization (</w:t>
            </w:r>
            <w:r w:rsidRPr="005D4222">
              <w:rPr>
                <w:rFonts w:cs="Arial"/>
                <w:u w:val="single"/>
              </w:rPr>
              <w:t>Partial Hospitalization or Intensive Outpatient Value Set</w:t>
            </w:r>
            <w:r w:rsidRPr="005D4222">
              <w:rPr>
                <w:rFonts w:cs="Arial"/>
              </w:rPr>
              <w:t>)</w:t>
            </w:r>
            <w:r w:rsidRPr="005D4222">
              <w:rPr>
                <w:b/>
                <w:i/>
                <w:szCs w:val="24"/>
              </w:rPr>
              <w:t xml:space="preserve"> with </w:t>
            </w:r>
            <w:r w:rsidRPr="005D4222">
              <w:rPr>
                <w:szCs w:val="24"/>
              </w:rPr>
              <w:t xml:space="preserve">one of the following: </w:t>
            </w:r>
            <w:r w:rsidRPr="005D4222">
              <w:rPr>
                <w:szCs w:val="24"/>
                <w:u w:val="single"/>
              </w:rPr>
              <w:t>Alcohol Abuse and Dependence Value Set</w:t>
            </w:r>
            <w:r w:rsidRPr="005D4222">
              <w:rPr>
                <w:szCs w:val="24"/>
              </w:rPr>
              <w:t xml:space="preserve">, </w:t>
            </w:r>
            <w:r w:rsidRPr="005D4222">
              <w:rPr>
                <w:szCs w:val="24"/>
                <w:u w:val="single"/>
              </w:rPr>
              <w:t>Opioid Abuse and Dependence Value Set</w:t>
            </w:r>
            <w:r w:rsidRPr="005D4222">
              <w:rPr>
                <w:szCs w:val="24"/>
              </w:rPr>
              <w:t xml:space="preserve">, </w:t>
            </w:r>
            <w:r w:rsidRPr="005D4222">
              <w:rPr>
                <w:szCs w:val="24"/>
                <w:u w:val="single"/>
              </w:rPr>
              <w:t>Other Drug Abuse and Dependence Value Set</w:t>
            </w:r>
            <w:r w:rsidRPr="005D4222">
              <w:rPr>
                <w:szCs w:val="24"/>
              </w:rPr>
              <w:t>.</w:t>
            </w:r>
          </w:p>
          <w:p w14:paraId="03922330" w14:textId="77777777" w:rsidR="000C3A37" w:rsidRPr="005D4222" w:rsidRDefault="000C3A37" w:rsidP="005D6173">
            <w:pPr>
              <w:numPr>
                <w:ilvl w:val="0"/>
                <w:numId w:val="92"/>
              </w:numPr>
              <w:spacing w:before="80"/>
              <w:ind w:left="576" w:hanging="216"/>
              <w:rPr>
                <w:szCs w:val="24"/>
              </w:rPr>
            </w:pPr>
            <w:r w:rsidRPr="005D4222">
              <w:rPr>
                <w:rFonts w:cs="Arial"/>
              </w:rPr>
              <w:t>A non-residential substance abuse treatment facility visit (</w:t>
            </w:r>
            <w:r w:rsidRPr="005D4222">
              <w:rPr>
                <w:rFonts w:cs="Arial"/>
                <w:u w:val="single"/>
              </w:rPr>
              <w:t>Visit Setting Unspecified Value Set</w:t>
            </w:r>
            <w:r w:rsidRPr="005D4222">
              <w:rPr>
                <w:rFonts w:cs="Arial"/>
              </w:rPr>
              <w:t xml:space="preserve">) </w:t>
            </w:r>
            <w:r w:rsidRPr="005D4222">
              <w:rPr>
                <w:rFonts w:cs="Arial"/>
                <w:b/>
                <w:i/>
              </w:rPr>
              <w:t>with</w:t>
            </w:r>
            <w:r w:rsidRPr="005D4222">
              <w:rPr>
                <w:rFonts w:cs="Arial"/>
              </w:rPr>
              <w:t xml:space="preserve"> (</w:t>
            </w:r>
            <w:r w:rsidRPr="005D4222">
              <w:rPr>
                <w:rFonts w:cs="Arial"/>
                <w:u w:val="single"/>
              </w:rPr>
              <w:t>Nonresidential Substance Abuse Treatment Facility POS Value Set</w:t>
            </w:r>
            <w:r w:rsidRPr="005D4222">
              <w:rPr>
                <w:rFonts w:cs="Arial"/>
              </w:rPr>
              <w:t>)</w:t>
            </w:r>
            <w:r w:rsidRPr="005D4222">
              <w:rPr>
                <w:b/>
                <w:i/>
                <w:szCs w:val="24"/>
              </w:rPr>
              <w:t xml:space="preserve"> with </w:t>
            </w:r>
            <w:r w:rsidRPr="005D4222">
              <w:rPr>
                <w:szCs w:val="24"/>
              </w:rPr>
              <w:t xml:space="preserve">one of the following: </w:t>
            </w:r>
            <w:r w:rsidRPr="005D4222">
              <w:rPr>
                <w:szCs w:val="24"/>
                <w:u w:val="single"/>
              </w:rPr>
              <w:t>Alcohol Abuse and Dependence Value Set</w:t>
            </w:r>
            <w:r w:rsidRPr="005D4222">
              <w:rPr>
                <w:szCs w:val="24"/>
              </w:rPr>
              <w:t xml:space="preserve">, </w:t>
            </w:r>
            <w:r w:rsidRPr="005D4222">
              <w:rPr>
                <w:szCs w:val="24"/>
                <w:u w:val="single"/>
              </w:rPr>
              <w:t>Opioid Abuse and Dependence Value Set</w:t>
            </w:r>
            <w:r w:rsidRPr="005D4222">
              <w:rPr>
                <w:szCs w:val="24"/>
              </w:rPr>
              <w:t xml:space="preserve">, </w:t>
            </w:r>
            <w:r w:rsidRPr="005D4222">
              <w:rPr>
                <w:szCs w:val="24"/>
                <w:u w:val="single"/>
              </w:rPr>
              <w:t>Other Drug Abuse and Dependence Value Set</w:t>
            </w:r>
            <w:r w:rsidRPr="005D4222">
              <w:rPr>
                <w:szCs w:val="24"/>
              </w:rPr>
              <w:t>.</w:t>
            </w:r>
          </w:p>
          <w:p w14:paraId="185C9E3D" w14:textId="77777777" w:rsidR="000C3A37" w:rsidRPr="005D4222" w:rsidRDefault="000C3A37" w:rsidP="005D6173">
            <w:pPr>
              <w:numPr>
                <w:ilvl w:val="0"/>
                <w:numId w:val="92"/>
              </w:numPr>
              <w:spacing w:before="80"/>
              <w:ind w:left="576" w:hanging="216"/>
              <w:rPr>
                <w:szCs w:val="24"/>
              </w:rPr>
            </w:pPr>
            <w:r w:rsidRPr="005D4222">
              <w:rPr>
                <w:rFonts w:cs="Arial"/>
              </w:rPr>
              <w:t>A community mental health center visit (</w:t>
            </w:r>
            <w:r w:rsidRPr="005D4222">
              <w:rPr>
                <w:rFonts w:cs="Arial"/>
                <w:u w:val="single"/>
              </w:rPr>
              <w:t>Visit Setting Unspecified Value Set</w:t>
            </w:r>
            <w:r w:rsidRPr="005D4222">
              <w:rPr>
                <w:rFonts w:cs="Arial"/>
              </w:rPr>
              <w:t xml:space="preserve">) </w:t>
            </w:r>
            <w:r w:rsidRPr="005D4222">
              <w:rPr>
                <w:rFonts w:cs="Arial"/>
                <w:b/>
                <w:i/>
              </w:rPr>
              <w:t>with</w:t>
            </w:r>
            <w:r w:rsidRPr="005D4222">
              <w:rPr>
                <w:rFonts w:cs="Arial"/>
              </w:rPr>
              <w:t xml:space="preserve"> POS code 53</w:t>
            </w:r>
            <w:r w:rsidRPr="005D4222" w:rsidDel="001307FE">
              <w:rPr>
                <w:rFonts w:cs="Arial"/>
              </w:rPr>
              <w:t xml:space="preserve"> </w:t>
            </w:r>
            <w:r w:rsidRPr="005D4222">
              <w:rPr>
                <w:b/>
                <w:i/>
                <w:szCs w:val="24"/>
              </w:rPr>
              <w:t xml:space="preserve">with </w:t>
            </w:r>
            <w:r w:rsidRPr="005D4222">
              <w:rPr>
                <w:szCs w:val="24"/>
              </w:rPr>
              <w:t xml:space="preserve">one of the following: </w:t>
            </w:r>
            <w:r w:rsidRPr="005D4222">
              <w:rPr>
                <w:szCs w:val="24"/>
                <w:u w:val="single"/>
              </w:rPr>
              <w:t>Alcohol Abuse and Dependence Value Set</w:t>
            </w:r>
            <w:r w:rsidRPr="005D4222">
              <w:rPr>
                <w:szCs w:val="24"/>
              </w:rPr>
              <w:t xml:space="preserve">, </w:t>
            </w:r>
            <w:r w:rsidRPr="005D4222">
              <w:rPr>
                <w:szCs w:val="24"/>
                <w:u w:val="single"/>
              </w:rPr>
              <w:t>Opioid Abuse and Dependence Value Set</w:t>
            </w:r>
            <w:r w:rsidRPr="005D4222">
              <w:rPr>
                <w:szCs w:val="24"/>
              </w:rPr>
              <w:t xml:space="preserve">, </w:t>
            </w:r>
            <w:r w:rsidRPr="005D4222">
              <w:rPr>
                <w:szCs w:val="24"/>
                <w:u w:val="single"/>
              </w:rPr>
              <w:t>Other Drug Abuse and Dependence Value Set</w:t>
            </w:r>
            <w:r w:rsidRPr="005D4222">
              <w:rPr>
                <w:szCs w:val="24"/>
              </w:rPr>
              <w:t>.</w:t>
            </w:r>
          </w:p>
          <w:p w14:paraId="342F4DAC" w14:textId="77777777" w:rsidR="000C3A37" w:rsidRPr="005D4222" w:rsidRDefault="000C3A37" w:rsidP="005D6173">
            <w:pPr>
              <w:numPr>
                <w:ilvl w:val="0"/>
                <w:numId w:val="92"/>
              </w:numPr>
              <w:spacing w:before="80"/>
              <w:ind w:left="576" w:hanging="216"/>
              <w:rPr>
                <w:szCs w:val="24"/>
              </w:rPr>
            </w:pPr>
            <w:r w:rsidRPr="005D4222">
              <w:rPr>
                <w:rFonts w:cs="Arial"/>
              </w:rPr>
              <w:t>A telehealth visit (</w:t>
            </w:r>
            <w:r w:rsidRPr="005D4222">
              <w:rPr>
                <w:rFonts w:cs="Arial"/>
                <w:u w:val="single"/>
              </w:rPr>
              <w:t>Visit Setting Unspecified Value Set</w:t>
            </w:r>
            <w:r w:rsidRPr="005D4222">
              <w:rPr>
                <w:rFonts w:cs="Arial"/>
              </w:rPr>
              <w:t xml:space="preserve">) </w:t>
            </w:r>
            <w:r w:rsidRPr="005D4222">
              <w:rPr>
                <w:rFonts w:cs="Arial"/>
                <w:b/>
                <w:i/>
              </w:rPr>
              <w:t>with</w:t>
            </w:r>
            <w:r w:rsidRPr="005D4222">
              <w:rPr>
                <w:rFonts w:cs="Arial"/>
              </w:rPr>
              <w:t xml:space="preserve"> (</w:t>
            </w:r>
            <w:r w:rsidRPr="005D4222">
              <w:rPr>
                <w:rFonts w:cs="Arial"/>
                <w:u w:val="single"/>
              </w:rPr>
              <w:t>Telehealth POS Value Set</w:t>
            </w:r>
            <w:r w:rsidRPr="005D4222">
              <w:rPr>
                <w:rFonts w:cs="Arial"/>
              </w:rPr>
              <w:t>)</w:t>
            </w:r>
            <w:r w:rsidRPr="005D4222">
              <w:rPr>
                <w:b/>
                <w:i/>
                <w:szCs w:val="24"/>
              </w:rPr>
              <w:t xml:space="preserve"> with </w:t>
            </w:r>
            <w:r w:rsidRPr="005D4222">
              <w:rPr>
                <w:szCs w:val="24"/>
              </w:rPr>
              <w:t xml:space="preserve">one of the following: </w:t>
            </w:r>
            <w:r w:rsidRPr="005D4222">
              <w:rPr>
                <w:szCs w:val="24"/>
                <w:u w:val="single"/>
              </w:rPr>
              <w:t>Alcohol Abuse and Dependence Value Set</w:t>
            </w:r>
            <w:r w:rsidRPr="005D4222">
              <w:rPr>
                <w:szCs w:val="24"/>
              </w:rPr>
              <w:t xml:space="preserve">, </w:t>
            </w:r>
            <w:r w:rsidRPr="005D4222">
              <w:rPr>
                <w:szCs w:val="24"/>
                <w:u w:val="single"/>
              </w:rPr>
              <w:t>Opioid Abuse and Dependence Value Set</w:t>
            </w:r>
            <w:r w:rsidRPr="005D4222">
              <w:rPr>
                <w:szCs w:val="24"/>
              </w:rPr>
              <w:t xml:space="preserve">, </w:t>
            </w:r>
            <w:r w:rsidRPr="005D4222">
              <w:rPr>
                <w:szCs w:val="24"/>
                <w:u w:val="single"/>
              </w:rPr>
              <w:t>Other Drug Abuse and Dependence Value Set</w:t>
            </w:r>
            <w:r w:rsidRPr="005D4222">
              <w:rPr>
                <w:szCs w:val="24"/>
              </w:rPr>
              <w:t>.</w:t>
            </w:r>
          </w:p>
          <w:p w14:paraId="15C38C37" w14:textId="77777777" w:rsidR="000C3A37" w:rsidRPr="005D4222" w:rsidRDefault="000C3A37" w:rsidP="005D6173">
            <w:pPr>
              <w:numPr>
                <w:ilvl w:val="0"/>
                <w:numId w:val="92"/>
              </w:numPr>
              <w:spacing w:before="80"/>
              <w:ind w:left="576" w:hanging="216"/>
              <w:rPr>
                <w:szCs w:val="24"/>
              </w:rPr>
            </w:pPr>
            <w:r w:rsidRPr="005D4222">
              <w:rPr>
                <w:rFonts w:cs="Arial"/>
              </w:rPr>
              <w:t>A substance use disorder service (</w:t>
            </w:r>
            <w:r w:rsidRPr="005D4222">
              <w:rPr>
                <w:rFonts w:cs="Arial"/>
                <w:u w:val="single"/>
              </w:rPr>
              <w:t>Substance Use Disorder Services Value Set</w:t>
            </w:r>
            <w:r w:rsidRPr="005D4222">
              <w:rPr>
                <w:rFonts w:cs="Arial"/>
              </w:rPr>
              <w:t xml:space="preserve">) </w:t>
            </w:r>
            <w:r w:rsidRPr="005D4222">
              <w:rPr>
                <w:b/>
                <w:i/>
                <w:szCs w:val="24"/>
              </w:rPr>
              <w:t xml:space="preserve">with </w:t>
            </w:r>
            <w:r w:rsidRPr="005D4222">
              <w:rPr>
                <w:szCs w:val="24"/>
              </w:rPr>
              <w:t xml:space="preserve">one of the following: </w:t>
            </w:r>
            <w:r w:rsidRPr="005D4222">
              <w:rPr>
                <w:szCs w:val="24"/>
                <w:u w:val="single"/>
              </w:rPr>
              <w:t>Alcohol Abuse and Dependence Value Set</w:t>
            </w:r>
            <w:r w:rsidRPr="005D4222">
              <w:rPr>
                <w:szCs w:val="24"/>
              </w:rPr>
              <w:t xml:space="preserve">, </w:t>
            </w:r>
            <w:r w:rsidRPr="005D4222">
              <w:rPr>
                <w:szCs w:val="24"/>
                <w:u w:val="single"/>
              </w:rPr>
              <w:t>Opioid Abuse and Dependence Value Set</w:t>
            </w:r>
            <w:r w:rsidRPr="005D4222">
              <w:rPr>
                <w:szCs w:val="24"/>
              </w:rPr>
              <w:t xml:space="preserve">, </w:t>
            </w:r>
            <w:r w:rsidRPr="005D4222">
              <w:rPr>
                <w:szCs w:val="24"/>
                <w:u w:val="single"/>
              </w:rPr>
              <w:t>Other Drug Abuse and Dependence Value Set</w:t>
            </w:r>
            <w:r w:rsidRPr="005D4222">
              <w:rPr>
                <w:szCs w:val="24"/>
              </w:rPr>
              <w:t>.</w:t>
            </w:r>
          </w:p>
          <w:p w14:paraId="09E6CD76" w14:textId="77777777" w:rsidR="000C3A37" w:rsidRPr="005D4222" w:rsidRDefault="000C3A37" w:rsidP="005D6173">
            <w:pPr>
              <w:numPr>
                <w:ilvl w:val="0"/>
                <w:numId w:val="92"/>
              </w:numPr>
              <w:spacing w:before="80"/>
              <w:ind w:left="576" w:hanging="216"/>
              <w:rPr>
                <w:szCs w:val="24"/>
              </w:rPr>
            </w:pPr>
            <w:r w:rsidRPr="005D4222">
              <w:rPr>
                <w:rFonts w:cs="Arial"/>
              </w:rPr>
              <w:t>Substance use disorder counseling and surveillance (</w:t>
            </w:r>
            <w:r w:rsidRPr="005D4222">
              <w:rPr>
                <w:rFonts w:cs="Arial"/>
                <w:u w:val="single"/>
              </w:rPr>
              <w:t>Substance Abuse Counseling and Surveillance Value Set</w:t>
            </w:r>
            <w:r w:rsidRPr="005D4222">
              <w:rPr>
                <w:rFonts w:cs="Arial"/>
              </w:rPr>
              <w:t xml:space="preserve">*) </w:t>
            </w:r>
            <w:r w:rsidRPr="005D4222">
              <w:rPr>
                <w:b/>
                <w:i/>
                <w:szCs w:val="24"/>
              </w:rPr>
              <w:t xml:space="preserve">with </w:t>
            </w:r>
            <w:r w:rsidRPr="005D4222">
              <w:rPr>
                <w:szCs w:val="24"/>
              </w:rPr>
              <w:t xml:space="preserve">one of the following: </w:t>
            </w:r>
            <w:r w:rsidRPr="005D4222">
              <w:rPr>
                <w:szCs w:val="24"/>
                <w:u w:val="single"/>
              </w:rPr>
              <w:t>Alcohol Abuse and Dependence Value Set</w:t>
            </w:r>
            <w:r w:rsidRPr="005D4222">
              <w:rPr>
                <w:rFonts w:cs="Arial"/>
              </w:rPr>
              <w:t>*</w:t>
            </w:r>
            <w:r w:rsidRPr="005D4222">
              <w:rPr>
                <w:szCs w:val="24"/>
              </w:rPr>
              <w:t xml:space="preserve">, </w:t>
            </w:r>
            <w:r w:rsidRPr="005D4222">
              <w:rPr>
                <w:szCs w:val="24"/>
                <w:u w:val="single"/>
              </w:rPr>
              <w:t>Opioid Abuse and Dependence Value Set</w:t>
            </w:r>
            <w:r w:rsidRPr="005D4222">
              <w:rPr>
                <w:rFonts w:cs="Arial"/>
              </w:rPr>
              <w:t>*</w:t>
            </w:r>
            <w:r w:rsidRPr="005D4222">
              <w:rPr>
                <w:szCs w:val="24"/>
              </w:rPr>
              <w:t xml:space="preserve">, </w:t>
            </w:r>
            <w:r w:rsidRPr="005D4222">
              <w:rPr>
                <w:szCs w:val="24"/>
                <w:u w:val="single"/>
              </w:rPr>
              <w:t>Other Drug Abuse and Dependence Value Set</w:t>
            </w:r>
            <w:r w:rsidRPr="005D4222">
              <w:rPr>
                <w:rFonts w:cs="Arial"/>
              </w:rPr>
              <w:t>*</w:t>
            </w:r>
            <w:r w:rsidRPr="005D4222">
              <w:rPr>
                <w:szCs w:val="24"/>
              </w:rPr>
              <w:t xml:space="preserve">). </w:t>
            </w:r>
          </w:p>
          <w:p w14:paraId="7664D32C" w14:textId="77777777" w:rsidR="000C3A37" w:rsidRPr="005D4222" w:rsidRDefault="000C3A37" w:rsidP="005D6173">
            <w:pPr>
              <w:numPr>
                <w:ilvl w:val="0"/>
                <w:numId w:val="92"/>
              </w:numPr>
              <w:spacing w:before="80"/>
              <w:ind w:left="576" w:hanging="216"/>
              <w:rPr>
                <w:szCs w:val="24"/>
              </w:rPr>
            </w:pPr>
            <w:r w:rsidRPr="005D4222">
              <w:rPr>
                <w:szCs w:val="24"/>
              </w:rPr>
              <w:t>A telephone visit (</w:t>
            </w:r>
            <w:r w:rsidRPr="005D4222">
              <w:rPr>
                <w:szCs w:val="24"/>
                <w:u w:val="single"/>
              </w:rPr>
              <w:t>Telephone Visits Value Set</w:t>
            </w:r>
            <w:r w:rsidRPr="005D4222">
              <w:rPr>
                <w:szCs w:val="24"/>
              </w:rPr>
              <w:t xml:space="preserve">) </w:t>
            </w:r>
            <w:r w:rsidRPr="005D4222">
              <w:rPr>
                <w:b/>
                <w:i/>
                <w:szCs w:val="24"/>
              </w:rPr>
              <w:t xml:space="preserve">with </w:t>
            </w:r>
            <w:r w:rsidRPr="005D4222">
              <w:rPr>
                <w:szCs w:val="24"/>
              </w:rPr>
              <w:t xml:space="preserve">one of the following: </w:t>
            </w:r>
            <w:r w:rsidRPr="005D4222">
              <w:rPr>
                <w:szCs w:val="24"/>
                <w:u w:val="single"/>
              </w:rPr>
              <w:t>Alcohol Abuse and Dependence Value Set</w:t>
            </w:r>
            <w:r w:rsidRPr="005D4222">
              <w:rPr>
                <w:szCs w:val="24"/>
              </w:rPr>
              <w:t xml:space="preserve">, </w:t>
            </w:r>
            <w:r w:rsidRPr="005D4222">
              <w:rPr>
                <w:szCs w:val="24"/>
                <w:u w:val="single"/>
              </w:rPr>
              <w:t>Opioid Abuse and Dependence Value Set</w:t>
            </w:r>
            <w:r w:rsidRPr="005D4222">
              <w:rPr>
                <w:szCs w:val="24"/>
              </w:rPr>
              <w:t xml:space="preserve">, </w:t>
            </w:r>
            <w:r w:rsidRPr="005D4222">
              <w:rPr>
                <w:szCs w:val="24"/>
                <w:u w:val="single"/>
              </w:rPr>
              <w:t>Other Drug Abuse and Dependence Value Set</w:t>
            </w:r>
            <w:r w:rsidRPr="005D4222">
              <w:rPr>
                <w:szCs w:val="24"/>
              </w:rPr>
              <w:t xml:space="preserve">. </w:t>
            </w:r>
          </w:p>
          <w:p w14:paraId="15063EBD" w14:textId="77777777" w:rsidR="000C3A37" w:rsidRPr="005D4222" w:rsidRDefault="000C3A37" w:rsidP="005D6173">
            <w:pPr>
              <w:numPr>
                <w:ilvl w:val="0"/>
                <w:numId w:val="92"/>
              </w:numPr>
              <w:spacing w:before="80"/>
              <w:ind w:left="576" w:hanging="216"/>
              <w:rPr>
                <w:szCs w:val="24"/>
              </w:rPr>
            </w:pPr>
            <w:r w:rsidRPr="005D4222">
              <w:rPr>
                <w:szCs w:val="24"/>
              </w:rPr>
              <w:t>An e-visit or virtual check-in (</w:t>
            </w:r>
            <w:r w:rsidRPr="005D4222">
              <w:rPr>
                <w:szCs w:val="24"/>
                <w:u w:val="single"/>
              </w:rPr>
              <w:t>Online Assessments Value Set</w:t>
            </w:r>
            <w:r w:rsidRPr="005D4222">
              <w:rPr>
                <w:szCs w:val="24"/>
              </w:rPr>
              <w:t xml:space="preserve">) </w:t>
            </w:r>
            <w:r w:rsidRPr="005D4222">
              <w:rPr>
                <w:b/>
                <w:i/>
                <w:szCs w:val="24"/>
              </w:rPr>
              <w:t xml:space="preserve">with </w:t>
            </w:r>
            <w:r w:rsidRPr="005D4222">
              <w:rPr>
                <w:szCs w:val="24"/>
              </w:rPr>
              <w:t xml:space="preserve">one </w:t>
            </w:r>
            <w:r w:rsidRPr="005D4222">
              <w:rPr>
                <w:szCs w:val="24"/>
              </w:rPr>
              <w:br/>
              <w:t xml:space="preserve">of the following: </w:t>
            </w:r>
            <w:r w:rsidRPr="005D4222">
              <w:rPr>
                <w:szCs w:val="24"/>
                <w:u w:val="single"/>
              </w:rPr>
              <w:t>Alcohol Abuse and Dependence Value Set</w:t>
            </w:r>
            <w:r w:rsidRPr="005D4222">
              <w:rPr>
                <w:szCs w:val="24"/>
              </w:rPr>
              <w:t xml:space="preserve">, </w:t>
            </w:r>
            <w:r w:rsidRPr="005D4222">
              <w:rPr>
                <w:szCs w:val="24"/>
                <w:u w:val="single"/>
              </w:rPr>
              <w:t>Opioid Abuse and Dependence Value Set</w:t>
            </w:r>
            <w:r w:rsidRPr="005D4222">
              <w:rPr>
                <w:szCs w:val="24"/>
              </w:rPr>
              <w:t xml:space="preserve">, </w:t>
            </w:r>
            <w:r w:rsidRPr="005D4222">
              <w:rPr>
                <w:szCs w:val="24"/>
                <w:u w:val="single"/>
              </w:rPr>
              <w:t>Other Drug Abuse and Dependence Value Set</w:t>
            </w:r>
            <w:r w:rsidRPr="005D4222">
              <w:rPr>
                <w:szCs w:val="24"/>
              </w:rPr>
              <w:t>.</w:t>
            </w:r>
            <w:r w:rsidRPr="005D4222">
              <w:rPr>
                <w:szCs w:val="24"/>
                <w:u w:val="single"/>
              </w:rPr>
              <w:t xml:space="preserve"> </w:t>
            </w:r>
          </w:p>
          <w:p w14:paraId="372E08D2" w14:textId="726A3C44" w:rsidR="000C3A37" w:rsidRPr="005D4222" w:rsidRDefault="000C3A37" w:rsidP="005D6173">
            <w:pPr>
              <w:numPr>
                <w:ilvl w:val="0"/>
                <w:numId w:val="92"/>
              </w:numPr>
              <w:spacing w:before="80" w:after="80"/>
              <w:ind w:left="576" w:hanging="216"/>
              <w:rPr>
                <w:b/>
                <w:bCs/>
              </w:rPr>
            </w:pPr>
            <w:r w:rsidRPr="005D4222">
              <w:rPr>
                <w:szCs w:val="24"/>
              </w:rPr>
              <w:t>An opioid treatment service (</w:t>
            </w:r>
            <w:r w:rsidRPr="005D4222">
              <w:rPr>
                <w:szCs w:val="24"/>
                <w:u w:val="single"/>
              </w:rPr>
              <w:t>OUD Weekly Non Drug Service Value Set</w:t>
            </w:r>
            <w:r w:rsidRPr="005D4222">
              <w:rPr>
                <w:szCs w:val="24"/>
              </w:rPr>
              <w:t>).</w:t>
            </w:r>
          </w:p>
        </w:tc>
      </w:tr>
    </w:tbl>
    <w:p w14:paraId="49B4826D" w14:textId="77777777" w:rsidR="000C3A37" w:rsidRPr="005D4222" w:rsidRDefault="000C3A37">
      <w:r w:rsidRPr="005D4222">
        <w:br w:type="page"/>
      </w:r>
    </w:p>
    <w:tbl>
      <w:tblPr>
        <w:tblW w:w="971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86" w:type="dxa"/>
          <w:bottom w:w="43" w:type="dxa"/>
          <w:right w:w="86" w:type="dxa"/>
        </w:tblCellMar>
        <w:tblLook w:val="04A0" w:firstRow="1" w:lastRow="0" w:firstColumn="1" w:lastColumn="0" w:noHBand="0" w:noVBand="1"/>
      </w:tblPr>
      <w:tblGrid>
        <w:gridCol w:w="2160"/>
        <w:gridCol w:w="7557"/>
      </w:tblGrid>
      <w:tr w:rsidR="006439AD" w:rsidRPr="005D4222" w14:paraId="5B292E2D" w14:textId="77777777" w:rsidTr="000C3A37">
        <w:tc>
          <w:tcPr>
            <w:tcW w:w="2160"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28A8559B" w14:textId="77777777" w:rsidR="00AB7FDD" w:rsidRPr="005D4222" w:rsidRDefault="00AB7FDD" w:rsidP="00A53E8C">
            <w:pPr>
              <w:pStyle w:val="ECDSMarginHead"/>
            </w:pP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tcPr>
          <w:p w14:paraId="2ED51870" w14:textId="77777777" w:rsidR="00AB7FDD" w:rsidRPr="005D4222" w:rsidRDefault="00AB7FDD" w:rsidP="00A53E8C">
            <w:pPr>
              <w:pStyle w:val="ECDSBody"/>
            </w:pPr>
            <w:r w:rsidRPr="005D4222">
              <w:rPr>
                <w:i/>
              </w:rPr>
              <w:t>Engagement medication treatment events.</w:t>
            </w:r>
            <w:r w:rsidRPr="005D4222">
              <w:rPr>
                <w:bCs w:val="0"/>
                <w:i/>
              </w:rPr>
              <w:t xml:space="preserve"> </w:t>
            </w:r>
            <w:r w:rsidRPr="005D4222">
              <w:t>Either of the following meets criteria for a medication treatment event:</w:t>
            </w:r>
          </w:p>
          <w:p w14:paraId="40175415" w14:textId="77777777" w:rsidR="00AB7FDD" w:rsidRPr="005D4222" w:rsidRDefault="00AB7FDD" w:rsidP="005D6173">
            <w:pPr>
              <w:numPr>
                <w:ilvl w:val="0"/>
                <w:numId w:val="92"/>
              </w:numPr>
              <w:spacing w:before="80"/>
              <w:ind w:left="576" w:hanging="216"/>
              <w:rPr>
                <w:szCs w:val="24"/>
              </w:rPr>
            </w:pPr>
            <w:r w:rsidRPr="005D4222">
              <w:rPr>
                <w:i/>
                <w:szCs w:val="24"/>
              </w:rPr>
              <w:t>For SUD episodes in the alcohol use disorder cohort,</w:t>
            </w:r>
            <w:r w:rsidRPr="005D4222">
              <w:rPr>
                <w:szCs w:val="24"/>
              </w:rPr>
              <w:t xml:space="preserve"> an alcohol use disorder medication treatment dispensing event (</w:t>
            </w:r>
            <w:r w:rsidRPr="005D4222">
              <w:rPr>
                <w:szCs w:val="24"/>
                <w:u w:val="single"/>
              </w:rPr>
              <w:t>Alcohol Use Disorder Treatment Medications List)</w:t>
            </w:r>
            <w:r w:rsidRPr="005D4222">
              <w:rPr>
                <w:szCs w:val="24"/>
              </w:rPr>
              <w:t xml:space="preserve">. </w:t>
            </w:r>
          </w:p>
          <w:p w14:paraId="5A0189D6" w14:textId="77777777" w:rsidR="00AB7FDD" w:rsidRPr="005D4222" w:rsidRDefault="00AB7FDD" w:rsidP="00AB7FDD">
            <w:pPr>
              <w:pStyle w:val="Bullet"/>
              <w:numPr>
                <w:ilvl w:val="0"/>
                <w:numId w:val="4"/>
              </w:numPr>
              <w:tabs>
                <w:tab w:val="left" w:pos="360"/>
                <w:tab w:val="left" w:pos="576"/>
              </w:tabs>
              <w:spacing w:after="80"/>
              <w:ind w:left="576" w:hanging="216"/>
            </w:pPr>
            <w:r w:rsidRPr="005D4222">
              <w:rPr>
                <w:i/>
              </w:rPr>
              <w:t>For SUD episodes in the opioid use disorder cohort,</w:t>
            </w:r>
            <w:r w:rsidRPr="005D4222">
              <w:t xml:space="preserve"> an opioid use disorder medication treatment dispensing event (</w:t>
            </w:r>
            <w:r w:rsidRPr="005D4222">
              <w:rPr>
                <w:u w:val="single"/>
              </w:rPr>
              <w:t>Naltrexone Oral Medications List</w:t>
            </w:r>
            <w:r w:rsidRPr="005D4222">
              <w:t xml:space="preserve">; </w:t>
            </w:r>
            <w:r w:rsidRPr="005D4222">
              <w:rPr>
                <w:u w:val="single"/>
              </w:rPr>
              <w:t>Buprenorphine Oral Medications List</w:t>
            </w:r>
            <w:r w:rsidRPr="005D4222">
              <w:t xml:space="preserve">; </w:t>
            </w:r>
            <w:r w:rsidRPr="005D4222">
              <w:rPr>
                <w:u w:val="single"/>
              </w:rPr>
              <w:t>Buprenorphine Naloxone Medications List</w:t>
            </w:r>
            <w:r w:rsidRPr="005D4222">
              <w:t>) or a medication administration event (</w:t>
            </w:r>
            <w:r w:rsidRPr="005D4222">
              <w:rPr>
                <w:u w:val="single"/>
              </w:rPr>
              <w:t>Buprenorphine Oral Value Set</w:t>
            </w:r>
            <w:r w:rsidRPr="005D4222">
              <w:t xml:space="preserve">; </w:t>
            </w:r>
            <w:r w:rsidRPr="005D4222">
              <w:rPr>
                <w:u w:val="single"/>
              </w:rPr>
              <w:t>Buprenorphine Oral Weekly Value Set</w:t>
            </w:r>
            <w:r w:rsidRPr="005D4222">
              <w:t xml:space="preserve">; </w:t>
            </w:r>
            <w:r w:rsidRPr="005D4222">
              <w:rPr>
                <w:u w:val="single"/>
              </w:rPr>
              <w:t>Buprenorphine Naloxone Value Set</w:t>
            </w:r>
            <w:r w:rsidRPr="005D4222">
              <w:t xml:space="preserve">; </w:t>
            </w:r>
            <w:r w:rsidRPr="005D4222">
              <w:rPr>
                <w:u w:val="single"/>
              </w:rPr>
              <w:t>Methadone Oral Value Set</w:t>
            </w:r>
            <w:r w:rsidRPr="005D4222">
              <w:t xml:space="preserve">; </w:t>
            </w:r>
            <w:r w:rsidRPr="005D4222">
              <w:rPr>
                <w:u w:val="single"/>
              </w:rPr>
              <w:t>Methadone Oral Weekly Value Set</w:t>
            </w:r>
            <w:r w:rsidRPr="005D4222">
              <w:t>)</w:t>
            </w:r>
            <w:r w:rsidRPr="005D4222">
              <w:rPr>
                <w:iCs/>
              </w:rPr>
              <w:t>.</w:t>
            </w:r>
            <w:r w:rsidRPr="005D4222">
              <w:rPr>
                <w:u w:val="single"/>
              </w:rPr>
              <w:t xml:space="preserve"> </w:t>
            </w:r>
          </w:p>
          <w:p w14:paraId="0811B947" w14:textId="77777777" w:rsidR="00AB7FDD" w:rsidRPr="005D4222" w:rsidRDefault="00AB7FDD" w:rsidP="00A53E8C">
            <w:pPr>
              <w:pStyle w:val="ECDSBody"/>
              <w:spacing w:after="0"/>
              <w:rPr>
                <w:rFonts w:ascii="Segoe UI" w:hAnsi="Segoe UI" w:cs="Segoe UI"/>
                <w:b/>
                <w:bCs w:val="0"/>
                <w:sz w:val="18"/>
                <w:szCs w:val="18"/>
              </w:rPr>
            </w:pPr>
            <w:r w:rsidRPr="005D4222">
              <w:rPr>
                <w:b/>
                <w:bCs w:val="0"/>
              </w:rPr>
              <w:t>Coding Guidance </w:t>
            </w:r>
          </w:p>
          <w:p w14:paraId="2AFD86CD" w14:textId="77777777" w:rsidR="00AB7FDD" w:rsidRPr="005D4222" w:rsidRDefault="00AB7FDD" w:rsidP="00A53E8C">
            <w:pPr>
              <w:pStyle w:val="ECDSBody"/>
              <w:spacing w:before="0"/>
            </w:pPr>
            <w:r w:rsidRPr="005D4222">
              <w:t>*Do not include laboratory claims (claims with POS code 81). </w:t>
            </w:r>
          </w:p>
        </w:tc>
      </w:tr>
      <w:tr w:rsidR="006439AD" w:rsidRPr="005D4222" w14:paraId="67108A8C" w14:textId="77777777" w:rsidTr="00A53E8C">
        <w:tc>
          <w:tcPr>
            <w:tcW w:w="2160"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C062C17" w14:textId="77777777" w:rsidR="00AB7FDD" w:rsidRPr="005D4222" w:rsidRDefault="00AB7FDD" w:rsidP="00A53E8C">
            <w:pPr>
              <w:pStyle w:val="ECDSMarginHead"/>
            </w:pPr>
            <w:r w:rsidRPr="005D4222">
              <w:t>Summary of changes</w:t>
            </w: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13D668B7" w14:textId="77777777" w:rsidR="00AB7FDD" w:rsidRPr="005D4222" w:rsidRDefault="00AB7FDD" w:rsidP="000C3A37">
            <w:pPr>
              <w:pStyle w:val="ProcessBullet"/>
              <w:spacing w:before="120"/>
            </w:pPr>
            <w:r w:rsidRPr="005D4222">
              <w:t>Updated the race and ethnicity stratification categories to align with OMB SPD 15 2024.</w:t>
            </w:r>
          </w:p>
          <w:p w14:paraId="237BFFC9" w14:textId="77777777" w:rsidR="00AB7FDD" w:rsidRPr="005D4222" w:rsidRDefault="00AB7FDD" w:rsidP="000C3A37">
            <w:pPr>
              <w:pStyle w:val="ProcessBullet"/>
              <w:spacing w:after="80"/>
            </w:pPr>
            <w:r w:rsidRPr="005D4222">
              <w:t>Added instructions on allowable adjustments to the race and ethnicity stratification.</w:t>
            </w:r>
          </w:p>
        </w:tc>
      </w:tr>
      <w:tr w:rsidR="006439AD" w:rsidRPr="005D4222" w14:paraId="64531931" w14:textId="77777777" w:rsidTr="00A53E8C">
        <w:tc>
          <w:tcPr>
            <w:tcW w:w="2160"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0A01679" w14:textId="77777777" w:rsidR="00AB7FDD" w:rsidRPr="005D4222" w:rsidRDefault="00AB7FDD" w:rsidP="00A53E8C">
            <w:pPr>
              <w:pStyle w:val="ECDSMarginHead"/>
            </w:pPr>
            <w:r w:rsidRPr="005D4222">
              <w:t>Data element table</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88ACBDE" w14:textId="77777777" w:rsidR="00AB7FDD" w:rsidRPr="005D4222" w:rsidRDefault="00AB7FDD" w:rsidP="00A53E8C">
            <w:pPr>
              <w:pStyle w:val="ECDSBody"/>
            </w:pPr>
            <w:r w:rsidRPr="005D4222">
              <w:t>Organizations that submit HEDIS data to NCQA must provide the following data elements.</w:t>
            </w:r>
          </w:p>
          <w:p w14:paraId="1FBBC810" w14:textId="77777777" w:rsidR="00AB7FDD" w:rsidRPr="005D4222" w:rsidRDefault="00AB7FDD" w:rsidP="00A53E8C">
            <w:pPr>
              <w:pStyle w:val="Heading3"/>
              <w:spacing w:before="120"/>
              <w:rPr>
                <w:b w:val="0"/>
                <w:szCs w:val="18"/>
              </w:rPr>
            </w:pPr>
            <w:r w:rsidRPr="005D4222">
              <w:t xml:space="preserve">Table IET-A-1/2/3: Data Elements for Initiation and </w:t>
            </w:r>
            <w:r w:rsidRPr="005D4222">
              <w:rPr>
                <w:szCs w:val="18"/>
              </w:rPr>
              <w:t>Engagement of Substance Use Disorder Treatment</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346"/>
              <w:gridCol w:w="990"/>
              <w:gridCol w:w="900"/>
              <w:gridCol w:w="1800"/>
              <w:gridCol w:w="2324"/>
            </w:tblGrid>
            <w:tr w:rsidR="00AB7FDD" w:rsidRPr="005D4222" w14:paraId="630F46AF" w14:textId="77777777" w:rsidTr="00A53E8C">
              <w:trPr>
                <w:cantSplit/>
                <w:trHeight w:val="290"/>
              </w:trPr>
              <w:tc>
                <w:tcPr>
                  <w:tcW w:w="1346"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tcMar>
                    <w:left w:w="58" w:type="dxa"/>
                    <w:right w:w="0" w:type="dxa"/>
                  </w:tcMar>
                </w:tcPr>
                <w:p w14:paraId="01F6C693" w14:textId="77777777" w:rsidR="00AB7FDD" w:rsidRPr="005D4222" w:rsidRDefault="00AB7FDD" w:rsidP="000C3A37">
                  <w:pPr>
                    <w:pStyle w:val="TableHead"/>
                    <w:spacing w:before="40" w:after="40"/>
                    <w:rPr>
                      <w:rFonts w:eastAsia="Arial Narrow"/>
                    </w:rPr>
                  </w:pPr>
                  <w:r w:rsidRPr="005D4222">
                    <w:rPr>
                      <w:rFonts w:eastAsia="Arial Narrow"/>
                    </w:rPr>
                    <w:t>Metric</w:t>
                  </w:r>
                </w:p>
              </w:tc>
              <w:tc>
                <w:tcPr>
                  <w:tcW w:w="99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58" w:type="dxa"/>
                    <w:right w:w="58" w:type="dxa"/>
                  </w:tcMar>
                </w:tcPr>
                <w:p w14:paraId="732CAC6F" w14:textId="77777777" w:rsidR="00AB7FDD" w:rsidRPr="005D4222" w:rsidRDefault="00AB7FDD" w:rsidP="000C3A37">
                  <w:pPr>
                    <w:pStyle w:val="TableHead"/>
                    <w:spacing w:before="40" w:after="40"/>
                    <w:rPr>
                      <w:rFonts w:eastAsia="Arial Narrow"/>
                    </w:rPr>
                  </w:pPr>
                  <w:r w:rsidRPr="005D4222">
                    <w:rPr>
                      <w:rFonts w:eastAsia="Arial Narrow"/>
                    </w:rPr>
                    <w:t>Diagnosis</w:t>
                  </w:r>
                </w:p>
              </w:tc>
              <w:tc>
                <w:tcPr>
                  <w:tcW w:w="90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58" w:type="dxa"/>
                    <w:right w:w="58" w:type="dxa"/>
                  </w:tcMar>
                </w:tcPr>
                <w:p w14:paraId="13E01B46" w14:textId="77777777" w:rsidR="00AB7FDD" w:rsidRPr="005D4222" w:rsidRDefault="00AB7FDD" w:rsidP="000C3A37">
                  <w:pPr>
                    <w:pStyle w:val="TableHead"/>
                    <w:spacing w:before="40" w:after="40"/>
                    <w:rPr>
                      <w:rFonts w:eastAsia="Arial Narrow"/>
                    </w:rPr>
                  </w:pPr>
                  <w:r w:rsidRPr="005D4222">
                    <w:rPr>
                      <w:rFonts w:eastAsia="Arial Narrow"/>
                    </w:rPr>
                    <w:t>Age</w:t>
                  </w:r>
                </w:p>
              </w:tc>
              <w:tc>
                <w:tcPr>
                  <w:tcW w:w="180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58" w:type="dxa"/>
                    <w:right w:w="58" w:type="dxa"/>
                  </w:tcMar>
                  <w:vAlign w:val="bottom"/>
                </w:tcPr>
                <w:p w14:paraId="1782FF75" w14:textId="77777777" w:rsidR="00AB7FDD" w:rsidRPr="005D4222" w:rsidRDefault="00AB7FDD" w:rsidP="000C3A37">
                  <w:pPr>
                    <w:pStyle w:val="TableHead"/>
                    <w:spacing w:before="40" w:after="40"/>
                    <w:rPr>
                      <w:rFonts w:eastAsia="Arial Narrow"/>
                    </w:rPr>
                  </w:pPr>
                  <w:r w:rsidRPr="005D4222">
                    <w:rPr>
                      <w:rFonts w:eastAsia="Arial Narrow"/>
                    </w:rPr>
                    <w:t xml:space="preserve">Data Element </w:t>
                  </w:r>
                </w:p>
              </w:tc>
              <w:tc>
                <w:tcPr>
                  <w:tcW w:w="2324"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tcMar>
                    <w:left w:w="58" w:type="dxa"/>
                    <w:right w:w="58" w:type="dxa"/>
                  </w:tcMar>
                  <w:vAlign w:val="bottom"/>
                </w:tcPr>
                <w:p w14:paraId="178EF9BB" w14:textId="77777777" w:rsidR="00AB7FDD" w:rsidRPr="005D4222" w:rsidRDefault="00AB7FDD" w:rsidP="000C3A37">
                  <w:pPr>
                    <w:pStyle w:val="TableHead"/>
                    <w:spacing w:before="40" w:after="40"/>
                    <w:rPr>
                      <w:rFonts w:eastAsia="Arial Narrow"/>
                    </w:rPr>
                  </w:pPr>
                  <w:r w:rsidRPr="005D4222">
                    <w:rPr>
                      <w:rFonts w:eastAsia="Arial Narrow"/>
                    </w:rPr>
                    <w:t>Reporting Instructions</w:t>
                  </w:r>
                </w:p>
              </w:tc>
            </w:tr>
            <w:tr w:rsidR="00AB7FDD" w:rsidRPr="005D4222" w14:paraId="3CD6F26A" w14:textId="77777777" w:rsidTr="00A53E8C">
              <w:trPr>
                <w:cantSplit/>
                <w:trHeight w:val="322"/>
              </w:trPr>
              <w:tc>
                <w:tcPr>
                  <w:tcW w:w="1346" w:type="dxa"/>
                  <w:tcBorders>
                    <w:top w:val="single" w:sz="4" w:space="0" w:color="000000" w:themeColor="text1"/>
                    <w:bottom w:val="single" w:sz="4" w:space="0" w:color="auto"/>
                  </w:tcBorders>
                  <w:tcMar>
                    <w:left w:w="58" w:type="dxa"/>
                    <w:right w:w="0" w:type="dxa"/>
                  </w:tcMar>
                </w:tcPr>
                <w:p w14:paraId="5C1799EA" w14:textId="77777777" w:rsidR="00AB7FDD" w:rsidRPr="005D4222" w:rsidRDefault="00AB7FDD" w:rsidP="000C3A37">
                  <w:pPr>
                    <w:spacing w:before="40" w:after="40" w:line="216" w:lineRule="auto"/>
                    <w:rPr>
                      <w:rFonts w:ascii="Arial Narrow" w:hAnsi="Arial Narrow"/>
                      <w:szCs w:val="19"/>
                    </w:rPr>
                  </w:pPr>
                  <w:r w:rsidRPr="005D4222">
                    <w:rPr>
                      <w:rFonts w:ascii="Arial Narrow" w:hAnsi="Arial Narrow"/>
                      <w:szCs w:val="19"/>
                    </w:rPr>
                    <w:t>Initiation</w:t>
                  </w:r>
                </w:p>
              </w:tc>
              <w:tc>
                <w:tcPr>
                  <w:tcW w:w="990" w:type="dxa"/>
                  <w:tcBorders>
                    <w:top w:val="single" w:sz="4" w:space="0" w:color="000000" w:themeColor="text1"/>
                  </w:tcBorders>
                  <w:tcMar>
                    <w:left w:w="58" w:type="dxa"/>
                    <w:right w:w="58" w:type="dxa"/>
                  </w:tcMar>
                </w:tcPr>
                <w:p w14:paraId="107886E5" w14:textId="77777777" w:rsidR="00AB7FDD" w:rsidRPr="005D4222" w:rsidRDefault="00AB7FDD" w:rsidP="000C3A37">
                  <w:pPr>
                    <w:spacing w:before="40" w:after="40" w:line="216" w:lineRule="auto"/>
                    <w:rPr>
                      <w:rFonts w:ascii="Arial Narrow" w:hAnsi="Arial Narrow"/>
                      <w:szCs w:val="19"/>
                    </w:rPr>
                  </w:pPr>
                  <w:r w:rsidRPr="005D4222">
                    <w:rPr>
                      <w:rFonts w:ascii="Arial Narrow" w:hAnsi="Arial Narrow"/>
                      <w:szCs w:val="19"/>
                    </w:rPr>
                    <w:t>Alcohol</w:t>
                  </w:r>
                </w:p>
              </w:tc>
              <w:tc>
                <w:tcPr>
                  <w:tcW w:w="900" w:type="dxa"/>
                  <w:tcBorders>
                    <w:top w:val="single" w:sz="4" w:space="0" w:color="000000" w:themeColor="text1"/>
                    <w:bottom w:val="single" w:sz="4" w:space="0" w:color="auto"/>
                  </w:tcBorders>
                  <w:tcMar>
                    <w:left w:w="58" w:type="dxa"/>
                    <w:right w:w="58" w:type="dxa"/>
                  </w:tcMar>
                </w:tcPr>
                <w:p w14:paraId="7ADBAD58" w14:textId="77777777" w:rsidR="00AB7FDD" w:rsidRPr="005D4222" w:rsidRDefault="00AB7FDD" w:rsidP="000C3A37">
                  <w:pPr>
                    <w:spacing w:before="40" w:after="40" w:line="216" w:lineRule="auto"/>
                    <w:rPr>
                      <w:rFonts w:ascii="Arial Narrow" w:hAnsi="Arial Narrow"/>
                      <w:szCs w:val="19"/>
                    </w:rPr>
                  </w:pPr>
                  <w:r w:rsidRPr="005D4222">
                    <w:rPr>
                      <w:rFonts w:ascii="Arial Narrow" w:hAnsi="Arial Narrow"/>
                      <w:szCs w:val="19"/>
                    </w:rPr>
                    <w:t>13-17</w:t>
                  </w:r>
                </w:p>
              </w:tc>
              <w:tc>
                <w:tcPr>
                  <w:tcW w:w="1800" w:type="dxa"/>
                  <w:tcBorders>
                    <w:top w:val="single" w:sz="4" w:space="0" w:color="000000" w:themeColor="text1"/>
                  </w:tcBorders>
                  <w:tcMar>
                    <w:left w:w="58" w:type="dxa"/>
                    <w:right w:w="58" w:type="dxa"/>
                  </w:tcMar>
                </w:tcPr>
                <w:p w14:paraId="589604F9" w14:textId="77777777" w:rsidR="00AB7FDD" w:rsidRPr="005D4222" w:rsidRDefault="00AB7FDD" w:rsidP="000C3A37">
                  <w:pPr>
                    <w:spacing w:before="40" w:after="40" w:line="216" w:lineRule="auto"/>
                    <w:rPr>
                      <w:rFonts w:ascii="Arial Narrow" w:hAnsi="Arial Narrow"/>
                      <w:szCs w:val="19"/>
                    </w:rPr>
                  </w:pPr>
                  <w:r w:rsidRPr="005D4222">
                    <w:rPr>
                      <w:rFonts w:ascii="Arial Narrow" w:hAnsi="Arial Narrow"/>
                      <w:szCs w:val="19"/>
                    </w:rPr>
                    <w:t>Benefit</w:t>
                  </w:r>
                </w:p>
              </w:tc>
              <w:tc>
                <w:tcPr>
                  <w:tcW w:w="2324" w:type="dxa"/>
                  <w:tcBorders>
                    <w:top w:val="single" w:sz="4" w:space="0" w:color="000000" w:themeColor="text1"/>
                    <w:bottom w:val="single" w:sz="4" w:space="0" w:color="auto"/>
                  </w:tcBorders>
                  <w:tcMar>
                    <w:left w:w="58" w:type="dxa"/>
                    <w:right w:w="58" w:type="dxa"/>
                  </w:tcMar>
                </w:tcPr>
                <w:p w14:paraId="0E49B5FA" w14:textId="77777777" w:rsidR="00AB7FDD" w:rsidRPr="005D4222" w:rsidRDefault="00AB7FDD" w:rsidP="000C3A37">
                  <w:pPr>
                    <w:spacing w:before="40" w:after="40" w:line="216" w:lineRule="auto"/>
                    <w:rPr>
                      <w:rFonts w:ascii="Arial Narrow" w:hAnsi="Arial Narrow"/>
                      <w:szCs w:val="19"/>
                    </w:rPr>
                  </w:pPr>
                  <w:r w:rsidRPr="005D4222">
                    <w:rPr>
                      <w:rFonts w:ascii="Arial Narrow" w:hAnsi="Arial Narrow"/>
                      <w:szCs w:val="19"/>
                    </w:rPr>
                    <w:t>Metadata</w:t>
                  </w:r>
                </w:p>
              </w:tc>
            </w:tr>
            <w:tr w:rsidR="00AB7FDD" w:rsidRPr="005D4222" w14:paraId="372D1157" w14:textId="77777777" w:rsidTr="00A53E8C">
              <w:trPr>
                <w:cantSplit/>
                <w:trHeight w:val="485"/>
              </w:trPr>
              <w:tc>
                <w:tcPr>
                  <w:tcW w:w="1346" w:type="dxa"/>
                  <w:tcBorders>
                    <w:bottom w:val="single" w:sz="4" w:space="0" w:color="auto"/>
                  </w:tcBorders>
                  <w:tcMar>
                    <w:left w:w="58" w:type="dxa"/>
                    <w:right w:w="0" w:type="dxa"/>
                  </w:tcMar>
                </w:tcPr>
                <w:p w14:paraId="1D1EA7FF" w14:textId="77777777" w:rsidR="00AB7FDD" w:rsidRPr="005D4222" w:rsidRDefault="00AB7FDD" w:rsidP="000C3A37">
                  <w:pPr>
                    <w:spacing w:before="40" w:after="40" w:line="216" w:lineRule="auto"/>
                    <w:rPr>
                      <w:rFonts w:ascii="Arial Narrow" w:hAnsi="Arial Narrow"/>
                      <w:szCs w:val="19"/>
                    </w:rPr>
                  </w:pPr>
                  <w:r w:rsidRPr="005D4222">
                    <w:rPr>
                      <w:rFonts w:ascii="Arial Narrow" w:hAnsi="Arial Narrow"/>
                      <w:szCs w:val="19"/>
                    </w:rPr>
                    <w:t>Engagement</w:t>
                  </w:r>
                </w:p>
              </w:tc>
              <w:tc>
                <w:tcPr>
                  <w:tcW w:w="990" w:type="dxa"/>
                  <w:tcBorders>
                    <w:bottom w:val="single" w:sz="4" w:space="0" w:color="auto"/>
                  </w:tcBorders>
                  <w:tcMar>
                    <w:left w:w="58" w:type="dxa"/>
                    <w:right w:w="58" w:type="dxa"/>
                  </w:tcMar>
                </w:tcPr>
                <w:p w14:paraId="3C1FB329" w14:textId="77777777" w:rsidR="00AB7FDD" w:rsidRPr="005D4222" w:rsidRDefault="00AB7FDD" w:rsidP="000C3A37">
                  <w:pPr>
                    <w:spacing w:before="40" w:after="40" w:line="216" w:lineRule="auto"/>
                    <w:rPr>
                      <w:rFonts w:ascii="Arial Narrow" w:hAnsi="Arial Narrow"/>
                      <w:szCs w:val="19"/>
                    </w:rPr>
                  </w:pPr>
                  <w:r w:rsidRPr="005D4222">
                    <w:rPr>
                      <w:rFonts w:ascii="Arial Narrow" w:hAnsi="Arial Narrow"/>
                      <w:szCs w:val="19"/>
                    </w:rPr>
                    <w:t>Opioid</w:t>
                  </w:r>
                </w:p>
              </w:tc>
              <w:tc>
                <w:tcPr>
                  <w:tcW w:w="900" w:type="dxa"/>
                  <w:tcBorders>
                    <w:bottom w:val="single" w:sz="4" w:space="0" w:color="auto"/>
                  </w:tcBorders>
                  <w:tcMar>
                    <w:left w:w="58" w:type="dxa"/>
                    <w:right w:w="58" w:type="dxa"/>
                  </w:tcMar>
                </w:tcPr>
                <w:p w14:paraId="2728F759" w14:textId="77777777" w:rsidR="00AB7FDD" w:rsidRPr="005D4222" w:rsidRDefault="00AB7FDD" w:rsidP="000C3A37">
                  <w:pPr>
                    <w:spacing w:before="40" w:after="40" w:line="216" w:lineRule="auto"/>
                    <w:rPr>
                      <w:rFonts w:ascii="Arial Narrow" w:hAnsi="Arial Narrow"/>
                      <w:szCs w:val="19"/>
                    </w:rPr>
                  </w:pPr>
                  <w:r w:rsidRPr="005D4222">
                    <w:rPr>
                      <w:rFonts w:ascii="Arial Narrow" w:hAnsi="Arial Narrow"/>
                      <w:szCs w:val="19"/>
                    </w:rPr>
                    <w:t>18-64</w:t>
                  </w:r>
                </w:p>
              </w:tc>
              <w:tc>
                <w:tcPr>
                  <w:tcW w:w="1800" w:type="dxa"/>
                  <w:tcMar>
                    <w:left w:w="58" w:type="dxa"/>
                    <w:right w:w="58" w:type="dxa"/>
                  </w:tcMar>
                </w:tcPr>
                <w:p w14:paraId="69A5E7CC" w14:textId="77777777" w:rsidR="00AB7FDD" w:rsidRPr="005D4222" w:rsidRDefault="00AB7FDD" w:rsidP="000C3A37">
                  <w:pPr>
                    <w:spacing w:before="40" w:after="40" w:line="216" w:lineRule="auto"/>
                    <w:rPr>
                      <w:rFonts w:ascii="Arial Narrow" w:hAnsi="Arial Narrow"/>
                    </w:rPr>
                  </w:pPr>
                  <w:r w:rsidRPr="005D4222">
                    <w:rPr>
                      <w:rFonts w:ascii="Arial Narrow" w:hAnsi="Arial Narrow"/>
                    </w:rPr>
                    <w:t>InitialPopulation</w:t>
                  </w:r>
                </w:p>
              </w:tc>
              <w:tc>
                <w:tcPr>
                  <w:tcW w:w="2324" w:type="dxa"/>
                  <w:tcBorders>
                    <w:bottom w:val="single" w:sz="4" w:space="0" w:color="auto"/>
                  </w:tcBorders>
                  <w:tcMar>
                    <w:left w:w="58" w:type="dxa"/>
                    <w:right w:w="58" w:type="dxa"/>
                  </w:tcMar>
                </w:tcPr>
                <w:p w14:paraId="1CBA6E7A" w14:textId="77777777" w:rsidR="00AB7FDD" w:rsidRPr="005D4222" w:rsidRDefault="00AB7FDD" w:rsidP="000C3A37">
                  <w:pPr>
                    <w:spacing w:before="40" w:after="40" w:line="216" w:lineRule="auto"/>
                    <w:rPr>
                      <w:rFonts w:ascii="Arial Narrow" w:hAnsi="Arial Narrow"/>
                      <w:szCs w:val="19"/>
                    </w:rPr>
                  </w:pPr>
                  <w:r w:rsidRPr="005D4222">
                    <w:rPr>
                      <w:rFonts w:ascii="Arial Narrow" w:hAnsi="Arial Narrow"/>
                      <w:szCs w:val="19"/>
                    </w:rPr>
                    <w:t>For each Stratification, repeat per Metric</w:t>
                  </w:r>
                </w:p>
              </w:tc>
            </w:tr>
            <w:tr w:rsidR="00AB7FDD" w:rsidRPr="005D4222" w14:paraId="2BC86632" w14:textId="77777777" w:rsidTr="007B5FC3">
              <w:trPr>
                <w:cantSplit/>
                <w:trHeight w:val="300"/>
              </w:trPr>
              <w:tc>
                <w:tcPr>
                  <w:tcW w:w="1346" w:type="dxa"/>
                  <w:tcBorders>
                    <w:top w:val="single" w:sz="4" w:space="0" w:color="auto"/>
                    <w:left w:val="nil"/>
                    <w:bottom w:val="nil"/>
                    <w:right w:val="single" w:sz="4" w:space="0" w:color="auto"/>
                  </w:tcBorders>
                  <w:tcMar>
                    <w:left w:w="58" w:type="dxa"/>
                    <w:right w:w="0" w:type="dxa"/>
                  </w:tcMar>
                </w:tcPr>
                <w:p w14:paraId="56FF1A55" w14:textId="77777777" w:rsidR="00AB7FDD" w:rsidRPr="005D4222" w:rsidRDefault="00AB7FDD" w:rsidP="000C3A37">
                  <w:pPr>
                    <w:spacing w:before="40" w:after="40" w:line="216" w:lineRule="auto"/>
                    <w:rPr>
                      <w:rFonts w:ascii="Arial Narrow" w:hAnsi="Arial Narrow"/>
                    </w:rPr>
                  </w:pPr>
                </w:p>
              </w:tc>
              <w:tc>
                <w:tcPr>
                  <w:tcW w:w="990" w:type="dxa"/>
                  <w:tcBorders>
                    <w:left w:val="single" w:sz="4" w:space="0" w:color="auto"/>
                    <w:bottom w:val="single" w:sz="4" w:space="0" w:color="auto"/>
                    <w:right w:val="single" w:sz="4" w:space="0" w:color="auto"/>
                  </w:tcBorders>
                  <w:tcMar>
                    <w:left w:w="58" w:type="dxa"/>
                    <w:right w:w="58" w:type="dxa"/>
                  </w:tcMar>
                </w:tcPr>
                <w:p w14:paraId="13A22605" w14:textId="77777777" w:rsidR="00AB7FDD" w:rsidRPr="005D4222" w:rsidRDefault="00AB7FDD" w:rsidP="000C3A37">
                  <w:pPr>
                    <w:spacing w:before="40" w:after="40" w:line="216" w:lineRule="auto"/>
                    <w:rPr>
                      <w:rFonts w:ascii="Arial Narrow" w:hAnsi="Arial Narrow"/>
                    </w:rPr>
                  </w:pPr>
                  <w:r w:rsidRPr="005D4222">
                    <w:rPr>
                      <w:rFonts w:ascii="Arial Narrow" w:hAnsi="Arial Narrow"/>
                    </w:rPr>
                    <w:t>Other</w:t>
                  </w:r>
                </w:p>
              </w:tc>
              <w:tc>
                <w:tcPr>
                  <w:tcW w:w="900" w:type="dxa"/>
                  <w:tcBorders>
                    <w:top w:val="single" w:sz="4" w:space="0" w:color="auto"/>
                    <w:left w:val="single" w:sz="4" w:space="0" w:color="auto"/>
                    <w:bottom w:val="single" w:sz="4" w:space="0" w:color="auto"/>
                    <w:right w:val="single" w:sz="4" w:space="0" w:color="auto"/>
                  </w:tcBorders>
                  <w:tcMar>
                    <w:left w:w="58" w:type="dxa"/>
                    <w:right w:w="58" w:type="dxa"/>
                  </w:tcMar>
                </w:tcPr>
                <w:p w14:paraId="4E9939F3" w14:textId="77777777" w:rsidR="00AB7FDD" w:rsidRPr="005D4222" w:rsidRDefault="00AB7FDD" w:rsidP="000C3A37">
                  <w:pPr>
                    <w:spacing w:before="40" w:after="40" w:line="216" w:lineRule="auto"/>
                    <w:rPr>
                      <w:rFonts w:ascii="Arial Narrow" w:hAnsi="Arial Narrow"/>
                    </w:rPr>
                  </w:pPr>
                  <w:r w:rsidRPr="005D4222">
                    <w:rPr>
                      <w:rFonts w:ascii="Arial Narrow" w:hAnsi="Arial Narrow"/>
                    </w:rPr>
                    <w:t>65+</w:t>
                  </w:r>
                </w:p>
              </w:tc>
              <w:tc>
                <w:tcPr>
                  <w:tcW w:w="1800" w:type="dxa"/>
                  <w:tcMar>
                    <w:left w:w="58" w:type="dxa"/>
                    <w:right w:w="58" w:type="dxa"/>
                  </w:tcMar>
                </w:tcPr>
                <w:p w14:paraId="6750F897" w14:textId="77777777" w:rsidR="00AB7FDD" w:rsidRPr="005D4222" w:rsidRDefault="00AB7FDD" w:rsidP="000C3A37">
                  <w:pPr>
                    <w:spacing w:before="40" w:after="40" w:line="216" w:lineRule="auto"/>
                    <w:rPr>
                      <w:rFonts w:ascii="Arial Narrow" w:hAnsi="Arial Narrow"/>
                    </w:rPr>
                  </w:pPr>
                  <w:r w:rsidRPr="005D4222">
                    <w:rPr>
                      <w:rFonts w:ascii="Arial Narrow" w:hAnsi="Arial Narrow"/>
                    </w:rPr>
                    <w:t>Exclusions</w:t>
                  </w:r>
                </w:p>
              </w:tc>
              <w:tc>
                <w:tcPr>
                  <w:tcW w:w="2324" w:type="dxa"/>
                  <w:tcBorders>
                    <w:bottom w:val="single" w:sz="4" w:space="0" w:color="auto"/>
                  </w:tcBorders>
                  <w:tcMar>
                    <w:left w:w="58" w:type="dxa"/>
                    <w:right w:w="58" w:type="dxa"/>
                  </w:tcMar>
                </w:tcPr>
                <w:p w14:paraId="285DA67A" w14:textId="77777777" w:rsidR="00AB7FDD" w:rsidRPr="005D4222" w:rsidRDefault="00AB7FDD" w:rsidP="000C3A37">
                  <w:pPr>
                    <w:spacing w:before="40" w:after="40" w:line="216" w:lineRule="auto"/>
                    <w:rPr>
                      <w:rFonts w:ascii="Arial Narrow" w:hAnsi="Arial Narrow"/>
                    </w:rPr>
                  </w:pPr>
                  <w:r w:rsidRPr="005D4222">
                    <w:rPr>
                      <w:rFonts w:ascii="Arial Narrow" w:hAnsi="Arial Narrow"/>
                    </w:rPr>
                    <w:t>For each Stratification, repeat per Metric</w:t>
                  </w:r>
                </w:p>
              </w:tc>
            </w:tr>
            <w:tr w:rsidR="00AB7FDD" w:rsidRPr="005D4222" w14:paraId="4D123773" w14:textId="77777777" w:rsidTr="00A53E8C">
              <w:trPr>
                <w:cantSplit/>
                <w:trHeight w:val="322"/>
              </w:trPr>
              <w:tc>
                <w:tcPr>
                  <w:tcW w:w="1346" w:type="dxa"/>
                  <w:tcBorders>
                    <w:top w:val="nil"/>
                    <w:left w:val="nil"/>
                    <w:bottom w:val="nil"/>
                    <w:right w:val="single" w:sz="4" w:space="0" w:color="auto"/>
                  </w:tcBorders>
                  <w:tcMar>
                    <w:left w:w="58" w:type="dxa"/>
                    <w:right w:w="58" w:type="dxa"/>
                  </w:tcMar>
                </w:tcPr>
                <w:p w14:paraId="420557C4" w14:textId="77777777" w:rsidR="00AB7FDD" w:rsidRPr="005D4222" w:rsidRDefault="00AB7FDD" w:rsidP="000C3A37">
                  <w:pPr>
                    <w:spacing w:before="40" w:after="40" w:line="216" w:lineRule="auto"/>
                    <w:rPr>
                      <w:rFonts w:ascii="Arial Narrow" w:hAnsi="Arial Narrow"/>
                      <w:szCs w:val="19"/>
                    </w:rPr>
                  </w:pPr>
                </w:p>
              </w:tc>
              <w:tc>
                <w:tcPr>
                  <w:tcW w:w="9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58" w:type="dxa"/>
                    <w:right w:w="58" w:type="dxa"/>
                  </w:tcMar>
                </w:tcPr>
                <w:p w14:paraId="6204DE9B" w14:textId="77777777" w:rsidR="00AB7FDD" w:rsidRPr="005D4222" w:rsidRDefault="00AB7FDD" w:rsidP="000C3A37">
                  <w:pPr>
                    <w:spacing w:before="40" w:after="40" w:line="216" w:lineRule="auto"/>
                    <w:rPr>
                      <w:rFonts w:ascii="Arial Narrow" w:hAnsi="Arial Narrow"/>
                    </w:rPr>
                  </w:pPr>
                  <w:r w:rsidRPr="005D4222">
                    <w:rPr>
                      <w:rFonts w:ascii="Arial Narrow" w:hAnsi="Arial Narrow"/>
                    </w:rPr>
                    <w:t>Total</w:t>
                  </w:r>
                </w:p>
              </w:tc>
              <w:tc>
                <w:tcPr>
                  <w:tcW w:w="9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58" w:type="dxa"/>
                    <w:right w:w="58" w:type="dxa"/>
                  </w:tcMar>
                </w:tcPr>
                <w:p w14:paraId="6FDCC96E" w14:textId="77777777" w:rsidR="00AB7FDD" w:rsidRPr="005D4222" w:rsidRDefault="00AB7FDD" w:rsidP="000C3A37">
                  <w:pPr>
                    <w:spacing w:before="40" w:after="40" w:line="216" w:lineRule="auto"/>
                    <w:rPr>
                      <w:rFonts w:ascii="Arial Narrow" w:hAnsi="Arial Narrow"/>
                    </w:rPr>
                  </w:pPr>
                  <w:r w:rsidRPr="005D4222">
                    <w:rPr>
                      <w:rFonts w:ascii="Arial Narrow" w:hAnsi="Arial Narrow"/>
                    </w:rPr>
                    <w:t>Total</w:t>
                  </w:r>
                </w:p>
              </w:tc>
              <w:tc>
                <w:tcPr>
                  <w:tcW w:w="1800" w:type="dxa"/>
                  <w:tcBorders>
                    <w:bottom w:val="single" w:sz="4" w:space="0" w:color="auto"/>
                  </w:tcBorders>
                  <w:tcMar>
                    <w:left w:w="58" w:type="dxa"/>
                    <w:right w:w="58" w:type="dxa"/>
                  </w:tcMar>
                  <w:vAlign w:val="center"/>
                </w:tcPr>
                <w:p w14:paraId="04287B19" w14:textId="77777777" w:rsidR="00AB7FDD" w:rsidRPr="005D4222" w:rsidRDefault="00AB7FDD" w:rsidP="000C3A37">
                  <w:pPr>
                    <w:spacing w:before="40" w:after="40" w:line="216" w:lineRule="auto"/>
                    <w:rPr>
                      <w:rFonts w:ascii="Arial Narrow" w:hAnsi="Arial Narrow"/>
                    </w:rPr>
                  </w:pPr>
                  <w:r w:rsidRPr="005D4222">
                    <w:rPr>
                      <w:rFonts w:ascii="Arial Narrow" w:hAnsi="Arial Narrow"/>
                    </w:rPr>
                    <w:t>Denominator</w:t>
                  </w:r>
                </w:p>
              </w:tc>
              <w:tc>
                <w:tcPr>
                  <w:tcW w:w="2324" w:type="dxa"/>
                  <w:tcBorders>
                    <w:bottom w:val="single" w:sz="4" w:space="0" w:color="auto"/>
                  </w:tcBorders>
                  <w:tcMar>
                    <w:left w:w="58" w:type="dxa"/>
                    <w:right w:w="58" w:type="dxa"/>
                  </w:tcMar>
                </w:tcPr>
                <w:p w14:paraId="2007248F" w14:textId="77777777" w:rsidR="00AB7FDD" w:rsidRPr="005D4222" w:rsidRDefault="00AB7FDD" w:rsidP="000C3A37">
                  <w:pPr>
                    <w:spacing w:before="40" w:after="40" w:line="216" w:lineRule="auto"/>
                    <w:rPr>
                      <w:rFonts w:ascii="Arial Narrow" w:hAnsi="Arial Narrow"/>
                      <w:szCs w:val="19"/>
                    </w:rPr>
                  </w:pPr>
                  <w:r w:rsidRPr="005D4222">
                    <w:rPr>
                      <w:rFonts w:ascii="Arial Narrow" w:hAnsi="Arial Narrow"/>
                      <w:szCs w:val="19"/>
                    </w:rPr>
                    <w:t>For each Stratification, repeat per Metric</w:t>
                  </w:r>
                </w:p>
              </w:tc>
            </w:tr>
            <w:tr w:rsidR="00AB7FDD" w:rsidRPr="005D4222" w14:paraId="16D41410" w14:textId="77777777" w:rsidTr="007B5FC3">
              <w:trPr>
                <w:cantSplit/>
                <w:trHeight w:val="512"/>
              </w:trPr>
              <w:tc>
                <w:tcPr>
                  <w:tcW w:w="1346" w:type="dxa"/>
                  <w:tcBorders>
                    <w:top w:val="nil"/>
                    <w:left w:val="nil"/>
                    <w:bottom w:val="nil"/>
                    <w:right w:val="nil"/>
                  </w:tcBorders>
                  <w:tcMar>
                    <w:left w:w="58" w:type="dxa"/>
                    <w:right w:w="58" w:type="dxa"/>
                  </w:tcMar>
                </w:tcPr>
                <w:p w14:paraId="4EE604C7" w14:textId="77777777" w:rsidR="00AB7FDD" w:rsidRPr="005D4222" w:rsidRDefault="00AB7FDD" w:rsidP="000C3A37">
                  <w:pPr>
                    <w:spacing w:before="40" w:after="40" w:line="216" w:lineRule="auto"/>
                    <w:rPr>
                      <w:rFonts w:ascii="Arial Narrow" w:hAnsi="Arial Narrow"/>
                      <w:szCs w:val="19"/>
                    </w:rPr>
                  </w:pPr>
                </w:p>
              </w:tc>
              <w:tc>
                <w:tcPr>
                  <w:tcW w:w="990" w:type="dxa"/>
                  <w:tcBorders>
                    <w:top w:val="single" w:sz="4" w:space="0" w:color="auto"/>
                    <w:left w:val="nil"/>
                    <w:bottom w:val="nil"/>
                    <w:right w:val="nil"/>
                  </w:tcBorders>
                  <w:tcMar>
                    <w:left w:w="58" w:type="dxa"/>
                    <w:right w:w="58" w:type="dxa"/>
                  </w:tcMar>
                </w:tcPr>
                <w:p w14:paraId="69522380" w14:textId="77777777" w:rsidR="00AB7FDD" w:rsidRPr="005D4222" w:rsidRDefault="00AB7FDD" w:rsidP="000C3A37">
                  <w:pPr>
                    <w:spacing w:before="40" w:after="40" w:line="216" w:lineRule="auto"/>
                    <w:rPr>
                      <w:rFonts w:ascii="Arial Narrow" w:hAnsi="Arial Narrow"/>
                    </w:rPr>
                  </w:pPr>
                </w:p>
              </w:tc>
              <w:tc>
                <w:tcPr>
                  <w:tcW w:w="900" w:type="dxa"/>
                  <w:tcBorders>
                    <w:top w:val="single" w:sz="4" w:space="0" w:color="auto"/>
                    <w:left w:val="nil"/>
                    <w:bottom w:val="nil"/>
                    <w:right w:val="single" w:sz="4" w:space="0" w:color="auto"/>
                  </w:tcBorders>
                  <w:tcMar>
                    <w:left w:w="58" w:type="dxa"/>
                    <w:right w:w="58" w:type="dxa"/>
                  </w:tcMar>
                </w:tcPr>
                <w:p w14:paraId="0F28E435" w14:textId="77777777" w:rsidR="00AB7FDD" w:rsidRPr="005D4222" w:rsidRDefault="00AB7FDD" w:rsidP="000C3A37">
                  <w:pPr>
                    <w:spacing w:before="40" w:after="40" w:line="216" w:lineRule="auto"/>
                    <w:rPr>
                      <w:rFonts w:ascii="Arial Narrow" w:hAnsi="Arial Narrow"/>
                    </w:rPr>
                  </w:pPr>
                </w:p>
              </w:tc>
              <w:tc>
                <w:tcPr>
                  <w:tcW w:w="1800" w:type="dxa"/>
                  <w:tcBorders>
                    <w:left w:val="single" w:sz="4" w:space="0" w:color="auto"/>
                    <w:bottom w:val="single" w:sz="4" w:space="0" w:color="auto"/>
                    <w:right w:val="single" w:sz="4" w:space="0" w:color="auto"/>
                  </w:tcBorders>
                  <w:tcMar>
                    <w:left w:w="58" w:type="dxa"/>
                    <w:right w:w="58" w:type="dxa"/>
                  </w:tcMar>
                  <w:vAlign w:val="center"/>
                </w:tcPr>
                <w:p w14:paraId="2EC77EA6" w14:textId="77777777" w:rsidR="00AB7FDD" w:rsidRPr="005D4222" w:rsidRDefault="00AB7FDD" w:rsidP="000C3A37">
                  <w:pPr>
                    <w:spacing w:before="40" w:after="40" w:line="216" w:lineRule="auto"/>
                    <w:rPr>
                      <w:rFonts w:ascii="Arial Narrow" w:hAnsi="Arial Narrow"/>
                      <w:szCs w:val="19"/>
                    </w:rPr>
                  </w:pPr>
                  <w:r w:rsidRPr="005D4222">
                    <w:rPr>
                      <w:rFonts w:ascii="Arial Narrow" w:hAnsi="Arial Narrow"/>
                      <w:szCs w:val="19"/>
                    </w:rPr>
                    <w:t>NumeratorByAdmin</w:t>
                  </w:r>
                </w:p>
              </w:tc>
              <w:tc>
                <w:tcPr>
                  <w:tcW w:w="2324" w:type="dxa"/>
                  <w:tcBorders>
                    <w:top w:val="single" w:sz="4" w:space="0" w:color="auto"/>
                    <w:left w:val="single" w:sz="4" w:space="0" w:color="auto"/>
                    <w:bottom w:val="single" w:sz="4" w:space="0" w:color="auto"/>
                    <w:right w:val="single" w:sz="4" w:space="0" w:color="auto"/>
                  </w:tcBorders>
                  <w:tcMar>
                    <w:left w:w="58" w:type="dxa"/>
                    <w:right w:w="58" w:type="dxa"/>
                  </w:tcMar>
                  <w:vAlign w:val="center"/>
                </w:tcPr>
                <w:p w14:paraId="36528564" w14:textId="77777777" w:rsidR="00AB7FDD" w:rsidRPr="005D4222" w:rsidRDefault="00AB7FDD" w:rsidP="000C3A37">
                  <w:pPr>
                    <w:spacing w:before="40" w:after="40" w:line="216" w:lineRule="auto"/>
                    <w:rPr>
                      <w:rFonts w:ascii="Arial Narrow" w:hAnsi="Arial Narrow"/>
                      <w:szCs w:val="19"/>
                    </w:rPr>
                  </w:pPr>
                  <w:r w:rsidRPr="005D4222">
                    <w:rPr>
                      <w:rFonts w:ascii="Arial Narrow" w:hAnsi="Arial Narrow"/>
                      <w:szCs w:val="19"/>
                    </w:rPr>
                    <w:t>For each Metric and Stratification</w:t>
                  </w:r>
                </w:p>
              </w:tc>
            </w:tr>
            <w:tr w:rsidR="00AB7FDD" w:rsidRPr="005D4222" w14:paraId="4A09640F" w14:textId="77777777" w:rsidTr="00A53E8C">
              <w:trPr>
                <w:cantSplit/>
                <w:trHeight w:val="322"/>
              </w:trPr>
              <w:tc>
                <w:tcPr>
                  <w:tcW w:w="1346" w:type="dxa"/>
                  <w:tcBorders>
                    <w:top w:val="nil"/>
                    <w:left w:val="nil"/>
                    <w:bottom w:val="nil"/>
                    <w:right w:val="nil"/>
                  </w:tcBorders>
                  <w:tcMar>
                    <w:left w:w="58" w:type="dxa"/>
                    <w:right w:w="58" w:type="dxa"/>
                  </w:tcMar>
                </w:tcPr>
                <w:p w14:paraId="61126F45" w14:textId="77777777" w:rsidR="00AB7FDD" w:rsidRPr="005D4222" w:rsidRDefault="00AB7FDD" w:rsidP="000C3A37">
                  <w:pPr>
                    <w:spacing w:before="40" w:after="40" w:line="216" w:lineRule="auto"/>
                    <w:rPr>
                      <w:rFonts w:ascii="Arial Narrow" w:hAnsi="Arial Narrow"/>
                      <w:szCs w:val="19"/>
                    </w:rPr>
                  </w:pPr>
                </w:p>
              </w:tc>
              <w:tc>
                <w:tcPr>
                  <w:tcW w:w="990" w:type="dxa"/>
                  <w:tcBorders>
                    <w:top w:val="nil"/>
                    <w:left w:val="nil"/>
                    <w:bottom w:val="nil"/>
                    <w:right w:val="nil"/>
                  </w:tcBorders>
                  <w:tcMar>
                    <w:left w:w="58" w:type="dxa"/>
                    <w:right w:w="58" w:type="dxa"/>
                  </w:tcMar>
                </w:tcPr>
                <w:p w14:paraId="1B439285" w14:textId="77777777" w:rsidR="00AB7FDD" w:rsidRPr="005D4222" w:rsidRDefault="00AB7FDD" w:rsidP="000C3A37">
                  <w:pPr>
                    <w:spacing w:before="40" w:after="40" w:line="216" w:lineRule="auto"/>
                    <w:rPr>
                      <w:rFonts w:ascii="Arial Narrow" w:hAnsi="Arial Narrow"/>
                      <w:szCs w:val="19"/>
                    </w:rPr>
                  </w:pPr>
                </w:p>
              </w:tc>
              <w:tc>
                <w:tcPr>
                  <w:tcW w:w="900" w:type="dxa"/>
                  <w:tcBorders>
                    <w:top w:val="nil"/>
                    <w:left w:val="nil"/>
                    <w:bottom w:val="nil"/>
                    <w:right w:val="single" w:sz="4" w:space="0" w:color="auto"/>
                  </w:tcBorders>
                  <w:tcMar>
                    <w:left w:w="58" w:type="dxa"/>
                    <w:right w:w="58" w:type="dxa"/>
                  </w:tcMar>
                </w:tcPr>
                <w:p w14:paraId="0A58B3BD" w14:textId="77777777" w:rsidR="00AB7FDD" w:rsidRPr="005D4222" w:rsidRDefault="00AB7FDD" w:rsidP="000C3A37">
                  <w:pPr>
                    <w:spacing w:before="40" w:after="40" w:line="216" w:lineRule="auto"/>
                    <w:rPr>
                      <w:rFonts w:ascii="Arial Narrow" w:hAnsi="Arial Narrow"/>
                      <w:szCs w:val="19"/>
                    </w:rPr>
                  </w:pPr>
                </w:p>
              </w:tc>
              <w:tc>
                <w:tcPr>
                  <w:tcW w:w="1800" w:type="dxa"/>
                  <w:tcBorders>
                    <w:left w:val="single" w:sz="4" w:space="0" w:color="auto"/>
                    <w:bottom w:val="single" w:sz="4" w:space="0" w:color="auto"/>
                    <w:right w:val="single" w:sz="4" w:space="0" w:color="auto"/>
                  </w:tcBorders>
                  <w:shd w:val="clear" w:color="auto" w:fill="D9D9D9" w:themeFill="background1" w:themeFillShade="D9"/>
                  <w:tcMar>
                    <w:left w:w="58" w:type="dxa"/>
                    <w:right w:w="58" w:type="dxa"/>
                  </w:tcMar>
                </w:tcPr>
                <w:p w14:paraId="07F40EB7" w14:textId="77777777" w:rsidR="00AB7FDD" w:rsidRPr="005D4222" w:rsidRDefault="00AB7FDD" w:rsidP="000C3A37">
                  <w:pPr>
                    <w:spacing w:before="40" w:after="40" w:line="216" w:lineRule="auto"/>
                    <w:rPr>
                      <w:rFonts w:ascii="Arial Narrow" w:hAnsi="Arial Narrow"/>
                      <w:szCs w:val="19"/>
                    </w:rPr>
                  </w:pPr>
                  <w:r w:rsidRPr="005D4222">
                    <w:rPr>
                      <w:rFonts w:ascii="Arial Narrow" w:hAnsi="Arial Narrow"/>
                      <w:szCs w:val="19"/>
                    </w:rPr>
                    <w:t>Rate</w:t>
                  </w:r>
                </w:p>
              </w:tc>
              <w:tc>
                <w:tcPr>
                  <w:tcW w:w="232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58" w:type="dxa"/>
                    <w:right w:w="58" w:type="dxa"/>
                  </w:tcMar>
                </w:tcPr>
                <w:p w14:paraId="38E526AC" w14:textId="77777777" w:rsidR="00AB7FDD" w:rsidRPr="005D4222" w:rsidRDefault="00AB7FDD" w:rsidP="000C3A37">
                  <w:pPr>
                    <w:spacing w:before="40" w:after="40" w:line="216" w:lineRule="auto"/>
                    <w:rPr>
                      <w:rFonts w:ascii="Arial Narrow" w:hAnsi="Arial Narrow"/>
                      <w:szCs w:val="19"/>
                    </w:rPr>
                  </w:pPr>
                  <w:r w:rsidRPr="005D4222">
                    <w:rPr>
                      <w:rFonts w:ascii="Arial Narrow" w:hAnsi="Arial Narrow"/>
                      <w:szCs w:val="19"/>
                    </w:rPr>
                    <w:t>(Percent)</w:t>
                  </w:r>
                </w:p>
              </w:tc>
            </w:tr>
          </w:tbl>
          <w:p w14:paraId="6550698A" w14:textId="52CBF518" w:rsidR="00AB7FDD" w:rsidRPr="005D4222" w:rsidRDefault="00AB7FDD" w:rsidP="00A53E8C">
            <w:pPr>
              <w:pStyle w:val="Heading3"/>
              <w:spacing w:before="120"/>
              <w:rPr>
                <w:b w:val="0"/>
                <w:szCs w:val="18"/>
              </w:rPr>
            </w:pPr>
            <w:r w:rsidRPr="005D4222" w:rsidDel="003A1195">
              <w:t xml:space="preserve">Table </w:t>
            </w:r>
            <w:r w:rsidRPr="005D4222">
              <w:rPr>
                <w:szCs w:val="18"/>
              </w:rPr>
              <w:t xml:space="preserve">IET-B-1/2/3: Data Elements for Initiation and Engagement of Substance Use Disorder Treatment: </w:t>
            </w:r>
            <w:r w:rsidR="00B51CDC" w:rsidRPr="005D4222">
              <w:rPr>
                <w:szCs w:val="18"/>
              </w:rPr>
              <w:t>Stratifications</w:t>
            </w:r>
            <w:r w:rsidRPr="005D4222">
              <w:rPr>
                <w:szCs w:val="18"/>
              </w:rPr>
              <w:t xml:space="preserve"> by Race</w:t>
            </w:r>
          </w:p>
          <w:tbl>
            <w:tblPr>
              <w:tblW w:w="73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8" w:type="dxa"/>
                <w:right w:w="58" w:type="dxa"/>
              </w:tblCellMar>
              <w:tblLook w:val="0000" w:firstRow="0" w:lastRow="0" w:firstColumn="0" w:lastColumn="0" w:noHBand="0" w:noVBand="0"/>
            </w:tblPr>
            <w:tblGrid>
              <w:gridCol w:w="6"/>
              <w:gridCol w:w="1341"/>
              <w:gridCol w:w="3138"/>
              <w:gridCol w:w="1345"/>
              <w:gridCol w:w="1500"/>
            </w:tblGrid>
            <w:tr w:rsidR="00AB7FDD" w:rsidRPr="005D4222" w14:paraId="27666931" w14:textId="77777777" w:rsidTr="000C3A37">
              <w:tc>
                <w:tcPr>
                  <w:tcW w:w="1347" w:type="dxa"/>
                  <w:gridSpan w:val="2"/>
                  <w:tcBorders>
                    <w:top w:val="single" w:sz="4" w:space="0" w:color="000000" w:themeColor="text1"/>
                    <w:left w:val="single" w:sz="4" w:space="0" w:color="auto"/>
                    <w:bottom w:val="single" w:sz="4" w:space="0" w:color="auto"/>
                    <w:right w:val="single" w:sz="4" w:space="0" w:color="FFFFFF" w:themeColor="background1"/>
                  </w:tcBorders>
                  <w:shd w:val="clear" w:color="auto" w:fill="000000" w:themeFill="text1"/>
                  <w:tcMar>
                    <w:left w:w="86" w:type="dxa"/>
                    <w:right w:w="86" w:type="dxa"/>
                  </w:tcMar>
                  <w:vAlign w:val="bottom"/>
                </w:tcPr>
                <w:p w14:paraId="58EDC805" w14:textId="77777777" w:rsidR="00AB7FDD" w:rsidRPr="005D4222" w:rsidRDefault="00AB7FDD" w:rsidP="000C3A37">
                  <w:pPr>
                    <w:pStyle w:val="TableHead"/>
                    <w:spacing w:before="40" w:after="40"/>
                  </w:pPr>
                  <w:r w:rsidRPr="005D4222">
                    <w:t>Metric</w:t>
                  </w:r>
                </w:p>
              </w:tc>
              <w:tc>
                <w:tcPr>
                  <w:tcW w:w="3138"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86" w:type="dxa"/>
                    <w:right w:w="86" w:type="dxa"/>
                  </w:tcMar>
                  <w:vAlign w:val="bottom"/>
                </w:tcPr>
                <w:p w14:paraId="351F4F71" w14:textId="77777777" w:rsidR="00AB7FDD" w:rsidRPr="005D4222" w:rsidRDefault="00AB7FDD" w:rsidP="000C3A37">
                  <w:pPr>
                    <w:pStyle w:val="TableHead"/>
                    <w:spacing w:before="40" w:after="40"/>
                  </w:pPr>
                  <w:r w:rsidRPr="005D4222">
                    <w:t>Race</w:t>
                  </w:r>
                </w:p>
              </w:tc>
              <w:tc>
                <w:tcPr>
                  <w:tcW w:w="1345"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86" w:type="dxa"/>
                    <w:right w:w="86" w:type="dxa"/>
                  </w:tcMar>
                  <w:vAlign w:val="bottom"/>
                </w:tcPr>
                <w:p w14:paraId="0D3783E9" w14:textId="77777777" w:rsidR="00AB7FDD" w:rsidRPr="005D4222" w:rsidRDefault="00AB7FDD" w:rsidP="000C3A37">
                  <w:pPr>
                    <w:pStyle w:val="TableHead"/>
                    <w:spacing w:before="40" w:after="40"/>
                  </w:pPr>
                  <w:r w:rsidRPr="005D4222">
                    <w:t>Data Element</w:t>
                  </w:r>
                </w:p>
              </w:tc>
              <w:tc>
                <w:tcPr>
                  <w:tcW w:w="1500" w:type="dxa"/>
                  <w:tcBorders>
                    <w:top w:val="single" w:sz="4" w:space="0" w:color="000000" w:themeColor="text1"/>
                    <w:left w:val="single" w:sz="4" w:space="0" w:color="FFFFFF" w:themeColor="background1"/>
                    <w:bottom w:val="single" w:sz="4" w:space="0" w:color="000000" w:themeColor="text1"/>
                    <w:right w:val="single" w:sz="4" w:space="0" w:color="auto"/>
                  </w:tcBorders>
                  <w:shd w:val="clear" w:color="auto" w:fill="000000" w:themeFill="text1"/>
                  <w:tcMar>
                    <w:left w:w="86" w:type="dxa"/>
                    <w:right w:w="86" w:type="dxa"/>
                  </w:tcMar>
                  <w:vAlign w:val="bottom"/>
                </w:tcPr>
                <w:p w14:paraId="25CC3DAA" w14:textId="77777777" w:rsidR="00AB7FDD" w:rsidRPr="005D4222" w:rsidRDefault="00AB7FDD" w:rsidP="000C3A37">
                  <w:pPr>
                    <w:pStyle w:val="TableHead"/>
                    <w:spacing w:before="40" w:after="40"/>
                  </w:pPr>
                  <w:r w:rsidRPr="005D4222">
                    <w:t>Reporting Instructions</w:t>
                  </w:r>
                </w:p>
              </w:tc>
            </w:tr>
            <w:tr w:rsidR="00AB7FDD" w:rsidRPr="005D4222" w14:paraId="6B901B2E" w14:textId="77777777" w:rsidTr="000C3A37">
              <w:tc>
                <w:tcPr>
                  <w:tcW w:w="1347" w:type="dxa"/>
                  <w:gridSpan w:val="2"/>
                  <w:tcBorders>
                    <w:top w:val="single" w:sz="4" w:space="0" w:color="auto"/>
                    <w:left w:val="single" w:sz="4" w:space="0" w:color="auto"/>
                    <w:bottom w:val="single" w:sz="4" w:space="0" w:color="auto"/>
                    <w:right w:val="single" w:sz="4" w:space="0" w:color="auto"/>
                  </w:tcBorders>
                  <w:tcMar>
                    <w:left w:w="86" w:type="dxa"/>
                    <w:right w:w="86" w:type="dxa"/>
                  </w:tcMar>
                </w:tcPr>
                <w:p w14:paraId="1EDE4CC0" w14:textId="77777777" w:rsidR="00AB7FDD" w:rsidRPr="005D4222" w:rsidRDefault="00AB7FDD" w:rsidP="000C3A37">
                  <w:pPr>
                    <w:pStyle w:val="TableText"/>
                    <w:spacing w:before="40" w:after="40"/>
                  </w:pPr>
                  <w:r w:rsidRPr="005D4222">
                    <w:t>Initiation</w:t>
                  </w:r>
                </w:p>
              </w:tc>
              <w:tc>
                <w:tcPr>
                  <w:tcW w:w="3138" w:type="dxa"/>
                  <w:tcBorders>
                    <w:top w:val="single" w:sz="4" w:space="0" w:color="000000" w:themeColor="text1"/>
                    <w:left w:val="single" w:sz="4" w:space="0" w:color="auto"/>
                    <w:bottom w:val="single" w:sz="4" w:space="0" w:color="auto"/>
                    <w:right w:val="single" w:sz="4" w:space="0" w:color="auto"/>
                  </w:tcBorders>
                  <w:tcMar>
                    <w:left w:w="86" w:type="dxa"/>
                    <w:right w:w="86" w:type="dxa"/>
                  </w:tcMar>
                </w:tcPr>
                <w:p w14:paraId="51333452" w14:textId="77777777" w:rsidR="00AB7FDD" w:rsidRPr="005D4222" w:rsidRDefault="00AB7FDD" w:rsidP="000C3A37">
                  <w:pPr>
                    <w:pStyle w:val="TableText"/>
                    <w:spacing w:before="40" w:after="40"/>
                  </w:pPr>
                  <w:r w:rsidRPr="005D4222">
                    <w:t>AmericanIndianOrAlaskaNative</w:t>
                  </w:r>
                </w:p>
              </w:tc>
              <w:tc>
                <w:tcPr>
                  <w:tcW w:w="1345" w:type="dxa"/>
                  <w:tcBorders>
                    <w:top w:val="single" w:sz="4" w:space="0" w:color="000000" w:themeColor="text1"/>
                    <w:left w:val="single" w:sz="4" w:space="0" w:color="auto"/>
                    <w:bottom w:val="single" w:sz="4" w:space="0" w:color="auto"/>
                    <w:right w:val="single" w:sz="4" w:space="0" w:color="auto"/>
                  </w:tcBorders>
                  <w:tcMar>
                    <w:left w:w="86" w:type="dxa"/>
                    <w:right w:w="86" w:type="dxa"/>
                  </w:tcMar>
                </w:tcPr>
                <w:p w14:paraId="0A07B20B" w14:textId="3625DB80" w:rsidR="00AB7FDD" w:rsidRPr="005D4222" w:rsidRDefault="00AB7FDD" w:rsidP="000C3A37">
                  <w:pPr>
                    <w:pStyle w:val="TableText"/>
                    <w:spacing w:before="40" w:after="40"/>
                  </w:pPr>
                  <w:r w:rsidRPr="005D4222">
                    <w:t>Denominator</w:t>
                  </w:r>
                </w:p>
              </w:tc>
              <w:tc>
                <w:tcPr>
                  <w:tcW w:w="1500" w:type="dxa"/>
                  <w:tcBorders>
                    <w:top w:val="single" w:sz="4" w:space="0" w:color="000000" w:themeColor="text1"/>
                    <w:left w:val="single" w:sz="4" w:space="0" w:color="auto"/>
                    <w:bottom w:val="single" w:sz="6" w:space="0" w:color="auto"/>
                    <w:right w:val="single" w:sz="4" w:space="0" w:color="auto"/>
                  </w:tcBorders>
                  <w:tcMar>
                    <w:left w:w="86" w:type="dxa"/>
                    <w:right w:w="86" w:type="dxa"/>
                  </w:tcMar>
                </w:tcPr>
                <w:p w14:paraId="6445F9E1" w14:textId="77777777" w:rsidR="00AB7FDD" w:rsidRPr="005D4222" w:rsidRDefault="00AB7FDD" w:rsidP="000C3A37">
                  <w:pPr>
                    <w:pStyle w:val="TableText"/>
                    <w:spacing w:before="40" w:after="40"/>
                    <w:rPr>
                      <w:rFonts w:eastAsia="Wingdings"/>
                    </w:rPr>
                  </w:pPr>
                  <w:r w:rsidRPr="005D4222">
                    <w:rPr>
                      <w:rFonts w:eastAsia="Wingdings"/>
                    </w:rPr>
                    <w:t>For each Stratification, repeat per Metric</w:t>
                  </w:r>
                </w:p>
              </w:tc>
            </w:tr>
            <w:tr w:rsidR="00AB7FDD" w:rsidRPr="005D4222" w14:paraId="0C44EB7F" w14:textId="77777777" w:rsidTr="000C3A37">
              <w:tc>
                <w:tcPr>
                  <w:tcW w:w="1347" w:type="dxa"/>
                  <w:gridSpan w:val="2"/>
                  <w:tcBorders>
                    <w:top w:val="single" w:sz="4" w:space="0" w:color="auto"/>
                    <w:left w:val="single" w:sz="4" w:space="0" w:color="auto"/>
                    <w:bottom w:val="single" w:sz="4" w:space="0" w:color="auto"/>
                    <w:right w:val="single" w:sz="4" w:space="0" w:color="auto"/>
                  </w:tcBorders>
                  <w:shd w:val="clear" w:color="auto" w:fill="FFFFFF" w:themeFill="background1"/>
                  <w:tcMar>
                    <w:left w:w="86" w:type="dxa"/>
                    <w:right w:w="86" w:type="dxa"/>
                  </w:tcMar>
                </w:tcPr>
                <w:p w14:paraId="126FA9E0" w14:textId="77777777" w:rsidR="00AB7FDD" w:rsidRPr="005D4222" w:rsidRDefault="00AB7FDD" w:rsidP="000C3A37">
                  <w:pPr>
                    <w:pStyle w:val="TableText"/>
                    <w:spacing w:before="40" w:after="40"/>
                  </w:pPr>
                  <w:r w:rsidRPr="005D4222">
                    <w:t>Engagement</w:t>
                  </w:r>
                </w:p>
              </w:tc>
              <w:tc>
                <w:tcPr>
                  <w:tcW w:w="3138" w:type="dxa"/>
                  <w:tcBorders>
                    <w:top w:val="single" w:sz="4" w:space="0" w:color="auto"/>
                    <w:left w:val="single" w:sz="4" w:space="0" w:color="auto"/>
                    <w:bottom w:val="single" w:sz="4" w:space="0" w:color="auto"/>
                    <w:right w:val="single" w:sz="4" w:space="0" w:color="auto"/>
                  </w:tcBorders>
                  <w:shd w:val="clear" w:color="auto" w:fill="FFFFFF" w:themeFill="background1"/>
                  <w:tcMar>
                    <w:left w:w="86" w:type="dxa"/>
                    <w:right w:w="86" w:type="dxa"/>
                  </w:tcMar>
                </w:tcPr>
                <w:p w14:paraId="60D4BB15" w14:textId="77777777" w:rsidR="00AB7FDD" w:rsidRPr="005D4222" w:rsidRDefault="00AB7FDD" w:rsidP="000C3A37">
                  <w:pPr>
                    <w:pStyle w:val="TableText"/>
                    <w:spacing w:before="40" w:after="40"/>
                  </w:pPr>
                  <w:r w:rsidRPr="005D4222">
                    <w:t>Asian</w:t>
                  </w:r>
                </w:p>
              </w:tc>
              <w:tc>
                <w:tcPr>
                  <w:tcW w:w="1345" w:type="dxa"/>
                  <w:tcBorders>
                    <w:top w:val="single" w:sz="4" w:space="0" w:color="auto"/>
                    <w:left w:val="single" w:sz="4" w:space="0" w:color="auto"/>
                    <w:bottom w:val="single" w:sz="4" w:space="0" w:color="auto"/>
                    <w:right w:val="single" w:sz="4" w:space="0" w:color="auto"/>
                  </w:tcBorders>
                  <w:shd w:val="clear" w:color="auto" w:fill="FFFFFF" w:themeFill="background1"/>
                  <w:tcMar>
                    <w:left w:w="86" w:type="dxa"/>
                    <w:right w:w="86" w:type="dxa"/>
                  </w:tcMar>
                </w:tcPr>
                <w:p w14:paraId="5C1A041F" w14:textId="77777777" w:rsidR="00AB7FDD" w:rsidRPr="005D4222" w:rsidRDefault="00AB7FDD" w:rsidP="000C3A37">
                  <w:pPr>
                    <w:pStyle w:val="TableText"/>
                    <w:spacing w:before="40" w:after="40"/>
                  </w:pPr>
                  <w:r w:rsidRPr="005D4222">
                    <w:t>Numerator</w:t>
                  </w:r>
                </w:p>
              </w:tc>
              <w:tc>
                <w:tcPr>
                  <w:tcW w:w="1500" w:type="dxa"/>
                  <w:tcBorders>
                    <w:left w:val="single" w:sz="4" w:space="0" w:color="auto"/>
                    <w:bottom w:val="single" w:sz="4" w:space="0" w:color="auto"/>
                    <w:right w:val="single" w:sz="4" w:space="0" w:color="auto"/>
                  </w:tcBorders>
                  <w:shd w:val="clear" w:color="auto" w:fill="FFFFFF" w:themeFill="background1"/>
                  <w:tcMar>
                    <w:left w:w="86" w:type="dxa"/>
                    <w:right w:w="86" w:type="dxa"/>
                  </w:tcMar>
                </w:tcPr>
                <w:p w14:paraId="6D1CFDE3" w14:textId="77777777" w:rsidR="00AB7FDD" w:rsidRPr="005D4222" w:rsidRDefault="00AB7FDD" w:rsidP="000C3A37">
                  <w:pPr>
                    <w:pStyle w:val="TableText"/>
                    <w:spacing w:before="40" w:after="40"/>
                    <w:rPr>
                      <w:rFonts w:eastAsia="Wingdings"/>
                    </w:rPr>
                  </w:pPr>
                  <w:r w:rsidRPr="005D4222">
                    <w:rPr>
                      <w:rFonts w:eastAsia="Wingdings"/>
                    </w:rPr>
                    <w:t>For each Metric and Stratification</w:t>
                  </w:r>
                </w:p>
              </w:tc>
            </w:tr>
            <w:tr w:rsidR="00AB7FDD" w:rsidRPr="005D4222" w14:paraId="269BAAC4" w14:textId="77777777" w:rsidTr="000C3A37">
              <w:tc>
                <w:tcPr>
                  <w:tcW w:w="1347" w:type="dxa"/>
                  <w:gridSpan w:val="2"/>
                  <w:tcBorders>
                    <w:top w:val="single" w:sz="4" w:space="0" w:color="auto"/>
                    <w:left w:val="nil"/>
                    <w:bottom w:val="nil"/>
                    <w:right w:val="single" w:sz="4" w:space="0" w:color="auto"/>
                  </w:tcBorders>
                  <w:tcMar>
                    <w:left w:w="86" w:type="dxa"/>
                    <w:right w:w="86" w:type="dxa"/>
                  </w:tcMar>
                </w:tcPr>
                <w:p w14:paraId="4B0B2EB1" w14:textId="77777777" w:rsidR="00AB7FDD" w:rsidRPr="005D4222" w:rsidRDefault="00AB7FDD" w:rsidP="000C3A37">
                  <w:pPr>
                    <w:pStyle w:val="TableText"/>
                    <w:spacing w:before="40" w:after="40"/>
                  </w:pPr>
                </w:p>
              </w:tc>
              <w:tc>
                <w:tcPr>
                  <w:tcW w:w="3138" w:type="dxa"/>
                  <w:tcBorders>
                    <w:top w:val="single" w:sz="4" w:space="0" w:color="auto"/>
                    <w:left w:val="single" w:sz="4" w:space="0" w:color="auto"/>
                    <w:bottom w:val="single" w:sz="4" w:space="0" w:color="auto"/>
                    <w:right w:val="single" w:sz="4" w:space="0" w:color="auto"/>
                  </w:tcBorders>
                  <w:tcMar>
                    <w:left w:w="86" w:type="dxa"/>
                    <w:right w:w="86" w:type="dxa"/>
                  </w:tcMar>
                </w:tcPr>
                <w:p w14:paraId="070B280D" w14:textId="77777777" w:rsidR="00AB7FDD" w:rsidRPr="005D4222" w:rsidRDefault="00AB7FDD" w:rsidP="000C3A37">
                  <w:pPr>
                    <w:pStyle w:val="TableText"/>
                    <w:spacing w:before="40" w:after="40"/>
                  </w:pPr>
                  <w:r w:rsidRPr="005D4222">
                    <w:t>BlackOrAfricanAmerican</w:t>
                  </w:r>
                  <w:r w:rsidRPr="005D4222" w:rsidDel="00992CF1">
                    <w:t xml:space="preserve"> </w:t>
                  </w:r>
                </w:p>
              </w:tc>
              <w:tc>
                <w:tcPr>
                  <w:tcW w:w="134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86" w:type="dxa"/>
                    <w:right w:w="86" w:type="dxa"/>
                  </w:tcMar>
                </w:tcPr>
                <w:p w14:paraId="520C35D7" w14:textId="77777777" w:rsidR="00AB7FDD" w:rsidRPr="005D4222" w:rsidRDefault="00AB7FDD" w:rsidP="000C3A37">
                  <w:pPr>
                    <w:pStyle w:val="TableText"/>
                    <w:spacing w:before="40" w:after="40"/>
                  </w:pPr>
                  <w:r w:rsidRPr="005D4222">
                    <w:t>Rate</w:t>
                  </w:r>
                </w:p>
              </w:tc>
              <w:tc>
                <w:tcPr>
                  <w:tcW w:w="15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86" w:type="dxa"/>
                    <w:right w:w="86" w:type="dxa"/>
                  </w:tcMar>
                </w:tcPr>
                <w:p w14:paraId="397A5F02" w14:textId="77777777" w:rsidR="00AB7FDD" w:rsidRPr="005D4222" w:rsidRDefault="00AB7FDD" w:rsidP="000C3A37">
                  <w:pPr>
                    <w:pStyle w:val="TableText"/>
                    <w:spacing w:before="40" w:after="40"/>
                    <w:rPr>
                      <w:rFonts w:eastAsia="Wingdings"/>
                    </w:rPr>
                  </w:pPr>
                  <w:r w:rsidRPr="005D4222">
                    <w:rPr>
                      <w:rFonts w:eastAsia="Wingdings"/>
                    </w:rPr>
                    <w:t>(Percent)</w:t>
                  </w:r>
                </w:p>
              </w:tc>
            </w:tr>
            <w:tr w:rsidR="00AB7FDD" w:rsidRPr="005D4222" w14:paraId="03F09AD3" w14:textId="77777777" w:rsidTr="000C3A37">
              <w:tc>
                <w:tcPr>
                  <w:tcW w:w="1347" w:type="dxa"/>
                  <w:gridSpan w:val="2"/>
                  <w:tcBorders>
                    <w:top w:val="nil"/>
                    <w:left w:val="nil"/>
                    <w:bottom w:val="nil"/>
                    <w:right w:val="single" w:sz="4" w:space="0" w:color="auto"/>
                  </w:tcBorders>
                  <w:tcMar>
                    <w:left w:w="86" w:type="dxa"/>
                    <w:right w:w="86" w:type="dxa"/>
                  </w:tcMar>
                </w:tcPr>
                <w:p w14:paraId="3CF2EF47" w14:textId="77777777" w:rsidR="00AB7FDD" w:rsidRPr="005D4222" w:rsidRDefault="00AB7FDD" w:rsidP="000C3A37">
                  <w:pPr>
                    <w:pStyle w:val="TableText"/>
                    <w:spacing w:before="40" w:after="40"/>
                  </w:pPr>
                </w:p>
              </w:tc>
              <w:tc>
                <w:tcPr>
                  <w:tcW w:w="3138" w:type="dxa"/>
                  <w:tcBorders>
                    <w:top w:val="single" w:sz="4" w:space="0" w:color="auto"/>
                    <w:left w:val="single" w:sz="4" w:space="0" w:color="auto"/>
                    <w:bottom w:val="single" w:sz="4" w:space="0" w:color="auto"/>
                    <w:right w:val="single" w:sz="4" w:space="0" w:color="auto"/>
                  </w:tcBorders>
                  <w:tcMar>
                    <w:left w:w="86" w:type="dxa"/>
                    <w:right w:w="86" w:type="dxa"/>
                  </w:tcMar>
                </w:tcPr>
                <w:p w14:paraId="4ED25AF9" w14:textId="77777777" w:rsidR="00AB7FDD" w:rsidRPr="005D4222" w:rsidRDefault="00AB7FDD" w:rsidP="000C3A37">
                  <w:pPr>
                    <w:pStyle w:val="TableText"/>
                    <w:spacing w:before="40" w:after="40"/>
                  </w:pPr>
                  <w:r w:rsidRPr="005D4222">
                    <w:t>MiddleEasternOrNorthAfrican</w:t>
                  </w:r>
                </w:p>
              </w:tc>
              <w:tc>
                <w:tcPr>
                  <w:tcW w:w="1345" w:type="dxa"/>
                  <w:tcBorders>
                    <w:top w:val="single" w:sz="4" w:space="0" w:color="auto"/>
                    <w:left w:val="single" w:sz="4" w:space="0" w:color="auto"/>
                    <w:bottom w:val="nil"/>
                    <w:right w:val="nil"/>
                  </w:tcBorders>
                  <w:tcMar>
                    <w:left w:w="86" w:type="dxa"/>
                    <w:right w:w="86" w:type="dxa"/>
                  </w:tcMar>
                </w:tcPr>
                <w:p w14:paraId="76F8D6AC" w14:textId="77777777" w:rsidR="00AB7FDD" w:rsidRPr="005D4222" w:rsidRDefault="00AB7FDD" w:rsidP="000C3A37">
                  <w:pPr>
                    <w:pStyle w:val="TableText"/>
                    <w:spacing w:before="40" w:after="40"/>
                  </w:pPr>
                </w:p>
              </w:tc>
              <w:tc>
                <w:tcPr>
                  <w:tcW w:w="1500" w:type="dxa"/>
                  <w:tcBorders>
                    <w:top w:val="single" w:sz="4" w:space="0" w:color="auto"/>
                    <w:left w:val="nil"/>
                    <w:bottom w:val="nil"/>
                    <w:right w:val="nil"/>
                  </w:tcBorders>
                  <w:tcMar>
                    <w:left w:w="86" w:type="dxa"/>
                    <w:right w:w="86" w:type="dxa"/>
                  </w:tcMar>
                </w:tcPr>
                <w:p w14:paraId="43508AFB" w14:textId="77777777" w:rsidR="00AB7FDD" w:rsidRPr="005D4222" w:rsidRDefault="00AB7FDD" w:rsidP="000C3A37">
                  <w:pPr>
                    <w:pStyle w:val="TableText"/>
                    <w:spacing w:before="40" w:after="40"/>
                    <w:rPr>
                      <w:rFonts w:eastAsia="Wingdings"/>
                    </w:rPr>
                  </w:pPr>
                </w:p>
              </w:tc>
            </w:tr>
            <w:tr w:rsidR="00AB7FDD" w:rsidRPr="005D4222" w14:paraId="05244D51" w14:textId="77777777" w:rsidTr="000C3A37">
              <w:trPr>
                <w:gridBefore w:val="1"/>
                <w:wBefore w:w="6" w:type="dxa"/>
              </w:trPr>
              <w:tc>
                <w:tcPr>
                  <w:tcW w:w="1341" w:type="dxa"/>
                  <w:tcBorders>
                    <w:top w:val="nil"/>
                    <w:left w:val="nil"/>
                    <w:bottom w:val="nil"/>
                    <w:right w:val="single" w:sz="4" w:space="0" w:color="auto"/>
                  </w:tcBorders>
                  <w:tcMar>
                    <w:left w:w="86" w:type="dxa"/>
                    <w:right w:w="86" w:type="dxa"/>
                  </w:tcMar>
                </w:tcPr>
                <w:p w14:paraId="407049BF" w14:textId="77777777" w:rsidR="00AB7FDD" w:rsidRPr="005D4222" w:rsidRDefault="00AB7FDD" w:rsidP="000C3A37">
                  <w:pPr>
                    <w:pStyle w:val="TableText"/>
                    <w:spacing w:before="40" w:after="40"/>
                  </w:pPr>
                </w:p>
              </w:tc>
              <w:tc>
                <w:tcPr>
                  <w:tcW w:w="3138" w:type="dxa"/>
                  <w:tcBorders>
                    <w:top w:val="single" w:sz="4" w:space="0" w:color="auto"/>
                    <w:left w:val="single" w:sz="4" w:space="0" w:color="auto"/>
                    <w:bottom w:val="single" w:sz="4" w:space="0" w:color="auto"/>
                    <w:right w:val="single" w:sz="4" w:space="0" w:color="auto"/>
                  </w:tcBorders>
                  <w:tcMar>
                    <w:left w:w="86" w:type="dxa"/>
                    <w:right w:w="86" w:type="dxa"/>
                  </w:tcMar>
                </w:tcPr>
                <w:p w14:paraId="2ECA0DF6" w14:textId="77777777" w:rsidR="00AB7FDD" w:rsidRPr="005D4222" w:rsidRDefault="00AB7FDD" w:rsidP="000C3A37">
                  <w:pPr>
                    <w:pStyle w:val="TableText"/>
                    <w:spacing w:before="40" w:after="40"/>
                  </w:pPr>
                  <w:r w:rsidRPr="005D4222">
                    <w:t>NativeHawaiianOrPacificIslander</w:t>
                  </w:r>
                </w:p>
              </w:tc>
              <w:tc>
                <w:tcPr>
                  <w:tcW w:w="1345" w:type="dxa"/>
                  <w:tcBorders>
                    <w:top w:val="nil"/>
                    <w:left w:val="nil"/>
                    <w:bottom w:val="nil"/>
                    <w:right w:val="nil"/>
                  </w:tcBorders>
                  <w:tcMar>
                    <w:left w:w="86" w:type="dxa"/>
                    <w:right w:w="86" w:type="dxa"/>
                  </w:tcMar>
                </w:tcPr>
                <w:p w14:paraId="18866D96" w14:textId="77777777" w:rsidR="00AB7FDD" w:rsidRPr="005D4222" w:rsidRDefault="00AB7FDD" w:rsidP="000C3A37">
                  <w:pPr>
                    <w:pStyle w:val="TableText"/>
                    <w:spacing w:before="40" w:after="40"/>
                  </w:pPr>
                </w:p>
              </w:tc>
              <w:tc>
                <w:tcPr>
                  <w:tcW w:w="1500" w:type="dxa"/>
                  <w:tcBorders>
                    <w:top w:val="nil"/>
                    <w:left w:val="nil"/>
                    <w:bottom w:val="nil"/>
                    <w:right w:val="nil"/>
                  </w:tcBorders>
                  <w:tcMar>
                    <w:left w:w="86" w:type="dxa"/>
                    <w:right w:w="86" w:type="dxa"/>
                  </w:tcMar>
                </w:tcPr>
                <w:p w14:paraId="7826D773" w14:textId="77777777" w:rsidR="00AB7FDD" w:rsidRPr="005D4222" w:rsidRDefault="00AB7FDD" w:rsidP="000C3A37">
                  <w:pPr>
                    <w:pStyle w:val="TableText"/>
                    <w:spacing w:before="40" w:after="40"/>
                    <w:rPr>
                      <w:rFonts w:eastAsia="Wingdings"/>
                    </w:rPr>
                  </w:pPr>
                </w:p>
              </w:tc>
            </w:tr>
          </w:tbl>
          <w:p w14:paraId="1B3BE87F" w14:textId="77777777" w:rsidR="00AB7FDD" w:rsidRPr="005D4222" w:rsidRDefault="00AB7FDD" w:rsidP="00A53E8C">
            <w:pPr>
              <w:pStyle w:val="TableText"/>
              <w:spacing w:before="40"/>
              <w:rPr>
                <w:rFonts w:cs="Arial"/>
                <w:b/>
                <w:bCs/>
                <w:szCs w:val="21"/>
              </w:rPr>
            </w:pPr>
          </w:p>
        </w:tc>
      </w:tr>
      <w:tr w:rsidR="006439AD" w:rsidRPr="005D4222" w14:paraId="67D93BE3" w14:textId="77777777" w:rsidTr="00A53E8C">
        <w:tc>
          <w:tcPr>
            <w:tcW w:w="2160"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7076CA8" w14:textId="77777777" w:rsidR="00AB7FDD" w:rsidRPr="005D4222" w:rsidRDefault="00AB7FDD"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F7358E2" w14:textId="77777777" w:rsidR="000C3A37" w:rsidRPr="005D4222" w:rsidRDefault="000C3A37" w:rsidP="00734A9E">
            <w:pPr>
              <w:pStyle w:val="Heading3"/>
              <w:spacing w:before="0"/>
              <w:rPr>
                <w:sz w:val="10"/>
                <w:szCs w:val="10"/>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8" w:type="dxa"/>
                <w:right w:w="58" w:type="dxa"/>
              </w:tblCellMar>
              <w:tblLook w:val="0000" w:firstRow="0" w:lastRow="0" w:firstColumn="0" w:lastColumn="0" w:noHBand="0" w:noVBand="0"/>
            </w:tblPr>
            <w:tblGrid>
              <w:gridCol w:w="7"/>
              <w:gridCol w:w="1345"/>
              <w:gridCol w:w="3148"/>
              <w:gridCol w:w="1349"/>
              <w:gridCol w:w="1505"/>
              <w:gridCol w:w="21"/>
            </w:tblGrid>
            <w:tr w:rsidR="000C3A37" w:rsidRPr="005D4222" w14:paraId="74A557D7" w14:textId="77777777" w:rsidTr="00734A9E">
              <w:trPr>
                <w:gridAfter w:val="1"/>
                <w:wAfter w:w="21" w:type="dxa"/>
              </w:trPr>
              <w:tc>
                <w:tcPr>
                  <w:tcW w:w="1347" w:type="dxa"/>
                  <w:gridSpan w:val="2"/>
                  <w:tcBorders>
                    <w:top w:val="single" w:sz="4" w:space="0" w:color="000000" w:themeColor="text1"/>
                    <w:left w:val="single" w:sz="4" w:space="0" w:color="auto"/>
                    <w:bottom w:val="single" w:sz="4" w:space="0" w:color="auto"/>
                    <w:right w:val="single" w:sz="4" w:space="0" w:color="FFFFFF" w:themeColor="background1"/>
                  </w:tcBorders>
                  <w:shd w:val="clear" w:color="auto" w:fill="000000" w:themeFill="text1"/>
                  <w:tcMar>
                    <w:left w:w="86" w:type="dxa"/>
                    <w:right w:w="86" w:type="dxa"/>
                  </w:tcMar>
                  <w:vAlign w:val="bottom"/>
                </w:tcPr>
                <w:p w14:paraId="75A56CED" w14:textId="77777777" w:rsidR="000C3A37" w:rsidRPr="005D4222" w:rsidRDefault="000C3A37" w:rsidP="000C3A37">
                  <w:pPr>
                    <w:pStyle w:val="TableHead"/>
                    <w:spacing w:before="40" w:after="40"/>
                  </w:pPr>
                  <w:r w:rsidRPr="005D4222">
                    <w:t>Metric</w:t>
                  </w:r>
                </w:p>
              </w:tc>
              <w:tc>
                <w:tcPr>
                  <w:tcW w:w="3138"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86" w:type="dxa"/>
                    <w:right w:w="86" w:type="dxa"/>
                  </w:tcMar>
                  <w:vAlign w:val="bottom"/>
                </w:tcPr>
                <w:p w14:paraId="6650ABEB" w14:textId="77777777" w:rsidR="000C3A37" w:rsidRPr="005D4222" w:rsidRDefault="000C3A37" w:rsidP="000C3A37">
                  <w:pPr>
                    <w:pStyle w:val="TableHead"/>
                    <w:spacing w:before="40" w:after="40"/>
                  </w:pPr>
                  <w:r w:rsidRPr="005D4222">
                    <w:t>Race</w:t>
                  </w:r>
                </w:p>
              </w:tc>
              <w:tc>
                <w:tcPr>
                  <w:tcW w:w="1345"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86" w:type="dxa"/>
                    <w:right w:w="86" w:type="dxa"/>
                  </w:tcMar>
                  <w:vAlign w:val="bottom"/>
                </w:tcPr>
                <w:p w14:paraId="3FE03EE5" w14:textId="77777777" w:rsidR="000C3A37" w:rsidRPr="005D4222" w:rsidRDefault="000C3A37" w:rsidP="000C3A37">
                  <w:pPr>
                    <w:pStyle w:val="TableHead"/>
                    <w:spacing w:before="40" w:after="40"/>
                  </w:pPr>
                  <w:r w:rsidRPr="005D4222">
                    <w:t>Data Element</w:t>
                  </w:r>
                </w:p>
              </w:tc>
              <w:tc>
                <w:tcPr>
                  <w:tcW w:w="1500" w:type="dxa"/>
                  <w:tcBorders>
                    <w:top w:val="single" w:sz="4" w:space="0" w:color="000000" w:themeColor="text1"/>
                    <w:left w:val="single" w:sz="4" w:space="0" w:color="FFFFFF" w:themeColor="background1"/>
                    <w:bottom w:val="single" w:sz="4" w:space="0" w:color="000000" w:themeColor="text1"/>
                    <w:right w:val="single" w:sz="4" w:space="0" w:color="auto"/>
                  </w:tcBorders>
                  <w:shd w:val="clear" w:color="auto" w:fill="000000" w:themeFill="text1"/>
                  <w:tcMar>
                    <w:left w:w="86" w:type="dxa"/>
                    <w:right w:w="86" w:type="dxa"/>
                  </w:tcMar>
                  <w:vAlign w:val="bottom"/>
                </w:tcPr>
                <w:p w14:paraId="18D9BFF2" w14:textId="77777777" w:rsidR="000C3A37" w:rsidRPr="005D4222" w:rsidRDefault="000C3A37" w:rsidP="000C3A37">
                  <w:pPr>
                    <w:pStyle w:val="TableHead"/>
                    <w:spacing w:before="40" w:after="40"/>
                  </w:pPr>
                  <w:r w:rsidRPr="005D4222">
                    <w:t>Reporting Instructions</w:t>
                  </w:r>
                </w:p>
              </w:tc>
            </w:tr>
            <w:tr w:rsidR="000C3A37" w:rsidRPr="005D4222" w14:paraId="0C5CD6B1" w14:textId="77777777" w:rsidTr="00734A9E">
              <w:trPr>
                <w:gridBefore w:val="1"/>
                <w:gridAfter w:val="1"/>
                <w:wBefore w:w="6" w:type="dxa"/>
                <w:wAfter w:w="21" w:type="dxa"/>
              </w:trPr>
              <w:tc>
                <w:tcPr>
                  <w:tcW w:w="1341" w:type="dxa"/>
                  <w:tcBorders>
                    <w:top w:val="nil"/>
                    <w:left w:val="nil"/>
                    <w:bottom w:val="nil"/>
                    <w:right w:val="single" w:sz="4" w:space="0" w:color="auto"/>
                  </w:tcBorders>
                  <w:tcMar>
                    <w:left w:w="86" w:type="dxa"/>
                    <w:right w:w="86" w:type="dxa"/>
                  </w:tcMar>
                </w:tcPr>
                <w:p w14:paraId="421AC96C" w14:textId="77777777" w:rsidR="000C3A37" w:rsidRPr="005D4222" w:rsidRDefault="000C3A37" w:rsidP="000C3A37">
                  <w:pPr>
                    <w:pStyle w:val="TableText"/>
                  </w:pPr>
                </w:p>
              </w:tc>
              <w:tc>
                <w:tcPr>
                  <w:tcW w:w="3138" w:type="dxa"/>
                  <w:tcBorders>
                    <w:top w:val="single" w:sz="4" w:space="0" w:color="auto"/>
                    <w:left w:val="single" w:sz="4" w:space="0" w:color="auto"/>
                    <w:bottom w:val="single" w:sz="4" w:space="0" w:color="auto"/>
                    <w:right w:val="single" w:sz="4" w:space="0" w:color="auto"/>
                  </w:tcBorders>
                  <w:tcMar>
                    <w:left w:w="86" w:type="dxa"/>
                    <w:right w:w="86" w:type="dxa"/>
                  </w:tcMar>
                </w:tcPr>
                <w:p w14:paraId="18AE010A" w14:textId="77777777" w:rsidR="000C3A37" w:rsidRPr="005D4222" w:rsidRDefault="000C3A37" w:rsidP="000C3A37">
                  <w:pPr>
                    <w:pStyle w:val="TableText"/>
                  </w:pPr>
                  <w:r w:rsidRPr="005D4222">
                    <w:t>White</w:t>
                  </w:r>
                </w:p>
              </w:tc>
              <w:tc>
                <w:tcPr>
                  <w:tcW w:w="1345" w:type="dxa"/>
                  <w:tcBorders>
                    <w:top w:val="nil"/>
                    <w:left w:val="single" w:sz="4" w:space="0" w:color="auto"/>
                    <w:bottom w:val="nil"/>
                    <w:right w:val="nil"/>
                  </w:tcBorders>
                  <w:tcMar>
                    <w:left w:w="86" w:type="dxa"/>
                    <w:right w:w="86" w:type="dxa"/>
                  </w:tcMar>
                </w:tcPr>
                <w:p w14:paraId="666A9713" w14:textId="77777777" w:rsidR="000C3A37" w:rsidRPr="005D4222" w:rsidRDefault="000C3A37" w:rsidP="000C3A37">
                  <w:pPr>
                    <w:pStyle w:val="TableText"/>
                  </w:pPr>
                </w:p>
              </w:tc>
              <w:tc>
                <w:tcPr>
                  <w:tcW w:w="1500" w:type="dxa"/>
                  <w:tcBorders>
                    <w:top w:val="nil"/>
                    <w:left w:val="nil"/>
                    <w:bottom w:val="nil"/>
                    <w:right w:val="nil"/>
                  </w:tcBorders>
                  <w:tcMar>
                    <w:left w:w="86" w:type="dxa"/>
                    <w:right w:w="86" w:type="dxa"/>
                  </w:tcMar>
                </w:tcPr>
                <w:p w14:paraId="2232A7D2" w14:textId="77777777" w:rsidR="000C3A37" w:rsidRPr="005D4222" w:rsidRDefault="000C3A37" w:rsidP="000C3A37">
                  <w:pPr>
                    <w:pStyle w:val="TableText"/>
                    <w:rPr>
                      <w:rFonts w:eastAsia="Wingdings"/>
                    </w:rPr>
                  </w:pPr>
                </w:p>
              </w:tc>
            </w:tr>
            <w:tr w:rsidR="000C3A37" w:rsidRPr="005D4222" w14:paraId="71D8758C" w14:textId="77777777" w:rsidTr="00734A9E">
              <w:trPr>
                <w:gridBefore w:val="1"/>
                <w:gridAfter w:val="1"/>
                <w:wBefore w:w="6" w:type="dxa"/>
                <w:wAfter w:w="21" w:type="dxa"/>
              </w:trPr>
              <w:tc>
                <w:tcPr>
                  <w:tcW w:w="1341" w:type="dxa"/>
                  <w:tcBorders>
                    <w:top w:val="nil"/>
                    <w:left w:val="nil"/>
                    <w:bottom w:val="nil"/>
                    <w:right w:val="single" w:sz="4" w:space="0" w:color="auto"/>
                  </w:tcBorders>
                  <w:tcMar>
                    <w:left w:w="86" w:type="dxa"/>
                    <w:right w:w="86" w:type="dxa"/>
                  </w:tcMar>
                </w:tcPr>
                <w:p w14:paraId="60A50F01" w14:textId="77777777" w:rsidR="000C3A37" w:rsidRPr="005D4222" w:rsidRDefault="000C3A37" w:rsidP="000C3A37">
                  <w:pPr>
                    <w:pStyle w:val="TableText"/>
                  </w:pPr>
                </w:p>
              </w:tc>
              <w:tc>
                <w:tcPr>
                  <w:tcW w:w="3138" w:type="dxa"/>
                  <w:tcBorders>
                    <w:top w:val="single" w:sz="4" w:space="0" w:color="auto"/>
                    <w:left w:val="single" w:sz="4" w:space="0" w:color="auto"/>
                    <w:bottom w:val="single" w:sz="4" w:space="0" w:color="auto"/>
                    <w:right w:val="single" w:sz="4" w:space="0" w:color="auto"/>
                  </w:tcBorders>
                  <w:tcMar>
                    <w:left w:w="86" w:type="dxa"/>
                    <w:right w:w="86" w:type="dxa"/>
                  </w:tcMar>
                </w:tcPr>
                <w:p w14:paraId="373D76E0" w14:textId="77777777" w:rsidR="000C3A37" w:rsidRPr="005D4222" w:rsidRDefault="000C3A37" w:rsidP="000C3A37">
                  <w:pPr>
                    <w:pStyle w:val="TableText"/>
                  </w:pPr>
                  <w:r w:rsidRPr="005D4222">
                    <w:t>SomeOtherRace</w:t>
                  </w:r>
                </w:p>
              </w:tc>
              <w:tc>
                <w:tcPr>
                  <w:tcW w:w="1345" w:type="dxa"/>
                  <w:tcBorders>
                    <w:top w:val="nil"/>
                    <w:left w:val="single" w:sz="4" w:space="0" w:color="auto"/>
                    <w:bottom w:val="nil"/>
                    <w:right w:val="nil"/>
                  </w:tcBorders>
                  <w:tcMar>
                    <w:left w:w="86" w:type="dxa"/>
                    <w:right w:w="86" w:type="dxa"/>
                  </w:tcMar>
                </w:tcPr>
                <w:p w14:paraId="4C063D3A" w14:textId="77777777" w:rsidR="000C3A37" w:rsidRPr="005D4222" w:rsidRDefault="000C3A37" w:rsidP="000C3A37">
                  <w:pPr>
                    <w:pStyle w:val="TableText"/>
                  </w:pPr>
                </w:p>
              </w:tc>
              <w:tc>
                <w:tcPr>
                  <w:tcW w:w="1500" w:type="dxa"/>
                  <w:tcBorders>
                    <w:top w:val="nil"/>
                    <w:left w:val="nil"/>
                    <w:bottom w:val="nil"/>
                    <w:right w:val="nil"/>
                  </w:tcBorders>
                  <w:tcMar>
                    <w:left w:w="86" w:type="dxa"/>
                    <w:right w:w="86" w:type="dxa"/>
                  </w:tcMar>
                </w:tcPr>
                <w:p w14:paraId="2667A959" w14:textId="77777777" w:rsidR="000C3A37" w:rsidRPr="005D4222" w:rsidRDefault="000C3A37" w:rsidP="000C3A37">
                  <w:pPr>
                    <w:pStyle w:val="TableText"/>
                    <w:rPr>
                      <w:rFonts w:eastAsia="Wingdings"/>
                    </w:rPr>
                  </w:pPr>
                </w:p>
              </w:tc>
            </w:tr>
            <w:tr w:rsidR="000C3A37" w:rsidRPr="005D4222" w14:paraId="07C5D3F7" w14:textId="77777777" w:rsidTr="00734A9E">
              <w:trPr>
                <w:gridBefore w:val="1"/>
                <w:gridAfter w:val="1"/>
                <w:wBefore w:w="6" w:type="dxa"/>
                <w:wAfter w:w="21" w:type="dxa"/>
              </w:trPr>
              <w:tc>
                <w:tcPr>
                  <w:tcW w:w="1341" w:type="dxa"/>
                  <w:tcBorders>
                    <w:top w:val="nil"/>
                    <w:left w:val="nil"/>
                    <w:bottom w:val="nil"/>
                    <w:right w:val="single" w:sz="4" w:space="0" w:color="auto"/>
                  </w:tcBorders>
                  <w:tcMar>
                    <w:left w:w="86" w:type="dxa"/>
                    <w:right w:w="86" w:type="dxa"/>
                  </w:tcMar>
                </w:tcPr>
                <w:p w14:paraId="1822813C" w14:textId="77777777" w:rsidR="000C3A37" w:rsidRPr="005D4222" w:rsidRDefault="000C3A37" w:rsidP="000C3A37">
                  <w:pPr>
                    <w:pStyle w:val="TableText"/>
                  </w:pPr>
                </w:p>
              </w:tc>
              <w:tc>
                <w:tcPr>
                  <w:tcW w:w="3138" w:type="dxa"/>
                  <w:tcBorders>
                    <w:top w:val="single" w:sz="4" w:space="0" w:color="auto"/>
                    <w:left w:val="single" w:sz="4" w:space="0" w:color="auto"/>
                    <w:bottom w:val="single" w:sz="4" w:space="0" w:color="auto"/>
                    <w:right w:val="single" w:sz="4" w:space="0" w:color="auto"/>
                  </w:tcBorders>
                  <w:tcMar>
                    <w:left w:w="86" w:type="dxa"/>
                    <w:right w:w="86" w:type="dxa"/>
                  </w:tcMar>
                </w:tcPr>
                <w:p w14:paraId="7EC49A8F" w14:textId="77777777" w:rsidR="000C3A37" w:rsidRPr="005D4222" w:rsidRDefault="000C3A37" w:rsidP="000C3A37">
                  <w:pPr>
                    <w:pStyle w:val="TableText"/>
                  </w:pPr>
                  <w:r w:rsidRPr="005D4222">
                    <w:t>TwoOrMoreRaces</w:t>
                  </w:r>
                </w:p>
              </w:tc>
              <w:tc>
                <w:tcPr>
                  <w:tcW w:w="1345" w:type="dxa"/>
                  <w:tcBorders>
                    <w:top w:val="nil"/>
                    <w:left w:val="single" w:sz="4" w:space="0" w:color="auto"/>
                    <w:bottom w:val="nil"/>
                    <w:right w:val="nil"/>
                  </w:tcBorders>
                  <w:tcMar>
                    <w:left w:w="86" w:type="dxa"/>
                    <w:right w:w="86" w:type="dxa"/>
                  </w:tcMar>
                </w:tcPr>
                <w:p w14:paraId="576A4FE4" w14:textId="77777777" w:rsidR="000C3A37" w:rsidRPr="005D4222" w:rsidRDefault="000C3A37" w:rsidP="000C3A37">
                  <w:pPr>
                    <w:pStyle w:val="TableText"/>
                  </w:pPr>
                </w:p>
              </w:tc>
              <w:tc>
                <w:tcPr>
                  <w:tcW w:w="1500" w:type="dxa"/>
                  <w:tcBorders>
                    <w:top w:val="nil"/>
                    <w:left w:val="nil"/>
                    <w:bottom w:val="nil"/>
                    <w:right w:val="nil"/>
                  </w:tcBorders>
                  <w:tcMar>
                    <w:left w:w="86" w:type="dxa"/>
                    <w:right w:w="86" w:type="dxa"/>
                  </w:tcMar>
                </w:tcPr>
                <w:p w14:paraId="2487C60E" w14:textId="77777777" w:rsidR="000C3A37" w:rsidRPr="005D4222" w:rsidRDefault="000C3A37" w:rsidP="000C3A37">
                  <w:pPr>
                    <w:pStyle w:val="TableText"/>
                    <w:rPr>
                      <w:rFonts w:eastAsia="Wingdings"/>
                    </w:rPr>
                  </w:pPr>
                </w:p>
              </w:tc>
            </w:tr>
            <w:tr w:rsidR="000C3A37" w:rsidRPr="005D4222" w14:paraId="01B8E57A" w14:textId="77777777" w:rsidTr="00734A9E">
              <w:trPr>
                <w:gridBefore w:val="1"/>
                <w:gridAfter w:val="1"/>
                <w:wBefore w:w="6" w:type="dxa"/>
                <w:wAfter w:w="21" w:type="dxa"/>
              </w:trPr>
              <w:tc>
                <w:tcPr>
                  <w:tcW w:w="1341" w:type="dxa"/>
                  <w:tcBorders>
                    <w:top w:val="nil"/>
                    <w:left w:val="nil"/>
                    <w:bottom w:val="nil"/>
                    <w:right w:val="single" w:sz="4" w:space="0" w:color="auto"/>
                  </w:tcBorders>
                  <w:tcMar>
                    <w:left w:w="86" w:type="dxa"/>
                    <w:right w:w="86" w:type="dxa"/>
                  </w:tcMar>
                </w:tcPr>
                <w:p w14:paraId="4B616C24" w14:textId="77777777" w:rsidR="000C3A37" w:rsidRPr="005D4222" w:rsidRDefault="000C3A37" w:rsidP="000C3A37">
                  <w:pPr>
                    <w:pStyle w:val="TableText"/>
                  </w:pPr>
                </w:p>
              </w:tc>
              <w:tc>
                <w:tcPr>
                  <w:tcW w:w="3138" w:type="dxa"/>
                  <w:tcBorders>
                    <w:top w:val="single" w:sz="4" w:space="0" w:color="auto"/>
                    <w:left w:val="single" w:sz="4" w:space="0" w:color="auto"/>
                    <w:bottom w:val="single" w:sz="4" w:space="0" w:color="auto"/>
                    <w:right w:val="single" w:sz="4" w:space="0" w:color="auto"/>
                  </w:tcBorders>
                  <w:tcMar>
                    <w:left w:w="86" w:type="dxa"/>
                    <w:right w:w="86" w:type="dxa"/>
                  </w:tcMar>
                </w:tcPr>
                <w:p w14:paraId="737E90DE" w14:textId="77777777" w:rsidR="000C3A37" w:rsidRPr="005D4222" w:rsidRDefault="000C3A37" w:rsidP="000C3A37">
                  <w:pPr>
                    <w:pStyle w:val="TableText"/>
                  </w:pPr>
                  <w:r w:rsidRPr="005D4222">
                    <w:t>AskedButNoAnswer</w:t>
                  </w:r>
                </w:p>
              </w:tc>
              <w:tc>
                <w:tcPr>
                  <w:tcW w:w="1345" w:type="dxa"/>
                  <w:tcBorders>
                    <w:top w:val="nil"/>
                    <w:left w:val="single" w:sz="4" w:space="0" w:color="auto"/>
                    <w:bottom w:val="nil"/>
                    <w:right w:val="nil"/>
                  </w:tcBorders>
                  <w:tcMar>
                    <w:left w:w="86" w:type="dxa"/>
                    <w:right w:w="86" w:type="dxa"/>
                  </w:tcMar>
                </w:tcPr>
                <w:p w14:paraId="59889526" w14:textId="77777777" w:rsidR="000C3A37" w:rsidRPr="005D4222" w:rsidRDefault="000C3A37" w:rsidP="000C3A37">
                  <w:pPr>
                    <w:pStyle w:val="TableText"/>
                  </w:pPr>
                </w:p>
              </w:tc>
              <w:tc>
                <w:tcPr>
                  <w:tcW w:w="1500" w:type="dxa"/>
                  <w:tcBorders>
                    <w:top w:val="nil"/>
                    <w:left w:val="nil"/>
                    <w:bottom w:val="nil"/>
                    <w:right w:val="nil"/>
                  </w:tcBorders>
                  <w:tcMar>
                    <w:left w:w="86" w:type="dxa"/>
                    <w:right w:w="86" w:type="dxa"/>
                  </w:tcMar>
                </w:tcPr>
                <w:p w14:paraId="67CEC06C" w14:textId="77777777" w:rsidR="000C3A37" w:rsidRPr="005D4222" w:rsidRDefault="000C3A37" w:rsidP="000C3A37">
                  <w:pPr>
                    <w:pStyle w:val="TableText"/>
                    <w:rPr>
                      <w:rFonts w:eastAsia="Wingdings"/>
                    </w:rPr>
                  </w:pPr>
                </w:p>
              </w:tc>
            </w:tr>
            <w:tr w:rsidR="000C3A37" w:rsidRPr="005D4222" w14:paraId="14D81992" w14:textId="77777777" w:rsidTr="00734A9E">
              <w:trPr>
                <w:gridBefore w:val="1"/>
                <w:wBefore w:w="6" w:type="dxa"/>
              </w:trPr>
              <w:tc>
                <w:tcPr>
                  <w:tcW w:w="1341" w:type="dxa"/>
                  <w:tcBorders>
                    <w:top w:val="nil"/>
                    <w:left w:val="nil"/>
                    <w:bottom w:val="nil"/>
                    <w:right w:val="single" w:sz="4" w:space="0" w:color="auto"/>
                  </w:tcBorders>
                  <w:tcMar>
                    <w:left w:w="86" w:type="dxa"/>
                    <w:right w:w="86" w:type="dxa"/>
                  </w:tcMar>
                </w:tcPr>
                <w:p w14:paraId="2D481E90" w14:textId="77777777" w:rsidR="000C3A37" w:rsidRPr="005D4222" w:rsidRDefault="000C3A37" w:rsidP="000C3A37">
                  <w:pPr>
                    <w:pStyle w:val="TableText"/>
                    <w:jc w:val="center"/>
                  </w:pPr>
                </w:p>
              </w:tc>
              <w:tc>
                <w:tcPr>
                  <w:tcW w:w="3138" w:type="dxa"/>
                  <w:tcBorders>
                    <w:top w:val="single" w:sz="4" w:space="0" w:color="auto"/>
                    <w:left w:val="single" w:sz="4" w:space="0" w:color="auto"/>
                    <w:bottom w:val="single" w:sz="4" w:space="0" w:color="auto"/>
                    <w:right w:val="single" w:sz="4" w:space="0" w:color="auto"/>
                  </w:tcBorders>
                  <w:tcMar>
                    <w:left w:w="86" w:type="dxa"/>
                    <w:right w:w="86" w:type="dxa"/>
                  </w:tcMar>
                </w:tcPr>
                <w:p w14:paraId="42C9385B" w14:textId="77777777" w:rsidR="000C3A37" w:rsidRPr="005D4222" w:rsidRDefault="000C3A37" w:rsidP="000C3A37">
                  <w:pPr>
                    <w:pStyle w:val="TableText"/>
                  </w:pPr>
                  <w:r w:rsidRPr="005D4222">
                    <w:t>Unknown</w:t>
                  </w:r>
                </w:p>
              </w:tc>
              <w:tc>
                <w:tcPr>
                  <w:tcW w:w="1345" w:type="dxa"/>
                  <w:tcBorders>
                    <w:top w:val="nil"/>
                    <w:left w:val="single" w:sz="4" w:space="0" w:color="auto"/>
                    <w:bottom w:val="nil"/>
                    <w:right w:val="nil"/>
                  </w:tcBorders>
                  <w:tcMar>
                    <w:left w:w="86" w:type="dxa"/>
                    <w:right w:w="86" w:type="dxa"/>
                  </w:tcMar>
                </w:tcPr>
                <w:p w14:paraId="3C83D4D3" w14:textId="77777777" w:rsidR="000C3A37" w:rsidRPr="005D4222" w:rsidRDefault="000C3A37" w:rsidP="000C3A37">
                  <w:pPr>
                    <w:pStyle w:val="TableText"/>
                  </w:pPr>
                </w:p>
              </w:tc>
              <w:tc>
                <w:tcPr>
                  <w:tcW w:w="1521" w:type="dxa"/>
                  <w:gridSpan w:val="2"/>
                  <w:tcBorders>
                    <w:top w:val="nil"/>
                    <w:left w:val="nil"/>
                    <w:bottom w:val="nil"/>
                    <w:right w:val="nil"/>
                  </w:tcBorders>
                  <w:tcMar>
                    <w:left w:w="86" w:type="dxa"/>
                    <w:right w:w="86" w:type="dxa"/>
                  </w:tcMar>
                </w:tcPr>
                <w:p w14:paraId="28886D5C" w14:textId="77777777" w:rsidR="000C3A37" w:rsidRPr="005D4222" w:rsidRDefault="000C3A37" w:rsidP="000C3A37">
                  <w:pPr>
                    <w:pStyle w:val="TableText"/>
                    <w:rPr>
                      <w:rFonts w:eastAsia="Wingdings"/>
                    </w:rPr>
                  </w:pPr>
                </w:p>
              </w:tc>
            </w:tr>
          </w:tbl>
          <w:p w14:paraId="32E03010" w14:textId="440E8F79" w:rsidR="00AB7FDD" w:rsidRPr="005D4222" w:rsidRDefault="00AB7FDD" w:rsidP="00734A9E">
            <w:pPr>
              <w:pStyle w:val="Heading3"/>
              <w:rPr>
                <w:b w:val="0"/>
                <w:szCs w:val="18"/>
              </w:rPr>
            </w:pPr>
            <w:r w:rsidRPr="005D4222">
              <w:t xml:space="preserve">Table IET-C-1/2/3: Data Elements for Initiation and Engagement of Substance Use Disorder Treatment: </w:t>
            </w:r>
            <w:r w:rsidR="00B51CDC" w:rsidRPr="005D4222">
              <w:t>Stratifications</w:t>
            </w:r>
            <w:r w:rsidRPr="005D4222">
              <w:t xml:space="preserve"> by Ethnicity</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46"/>
              <w:gridCol w:w="2153"/>
              <w:gridCol w:w="1447"/>
              <w:gridCol w:w="2429"/>
            </w:tblGrid>
            <w:tr w:rsidR="00AB7FDD" w:rsidRPr="005D4222" w14:paraId="3E66E7CF" w14:textId="77777777" w:rsidTr="00A53E8C">
              <w:tc>
                <w:tcPr>
                  <w:tcW w:w="1346" w:type="dxa"/>
                  <w:tcBorders>
                    <w:top w:val="single" w:sz="4" w:space="0" w:color="000000" w:themeColor="text1"/>
                    <w:left w:val="single" w:sz="4" w:space="0" w:color="000000" w:themeColor="text1"/>
                    <w:bottom w:val="single" w:sz="4" w:space="0" w:color="auto"/>
                    <w:right w:val="single" w:sz="4" w:space="0" w:color="FFFFFF" w:themeColor="background1"/>
                  </w:tcBorders>
                  <w:shd w:val="clear" w:color="auto" w:fill="000000" w:themeFill="text1"/>
                  <w:tcMar>
                    <w:left w:w="58" w:type="dxa"/>
                    <w:right w:w="58" w:type="dxa"/>
                  </w:tcMar>
                </w:tcPr>
                <w:p w14:paraId="5DA0B725" w14:textId="77777777" w:rsidR="00AB7FDD" w:rsidRPr="005D4222" w:rsidRDefault="00AB7FDD" w:rsidP="00A53E8C">
                  <w:pPr>
                    <w:pStyle w:val="TableHead"/>
                    <w:rPr>
                      <w:b w:val="0"/>
                    </w:rPr>
                  </w:pPr>
                  <w:r w:rsidRPr="005D4222">
                    <w:t>Metric</w:t>
                  </w:r>
                </w:p>
              </w:tc>
              <w:tc>
                <w:tcPr>
                  <w:tcW w:w="2153"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58" w:type="dxa"/>
                    <w:right w:w="58" w:type="dxa"/>
                  </w:tcMar>
                </w:tcPr>
                <w:p w14:paraId="799EDE67" w14:textId="77777777" w:rsidR="00AB7FDD" w:rsidRPr="005D4222" w:rsidRDefault="00AB7FDD" w:rsidP="00A53E8C">
                  <w:pPr>
                    <w:pStyle w:val="TableHead"/>
                    <w:rPr>
                      <w:b w:val="0"/>
                    </w:rPr>
                  </w:pPr>
                  <w:r w:rsidRPr="005D4222">
                    <w:t>Ethnicity</w:t>
                  </w:r>
                </w:p>
              </w:tc>
              <w:tc>
                <w:tcPr>
                  <w:tcW w:w="1447"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58" w:type="dxa"/>
                    <w:right w:w="0" w:type="dxa"/>
                  </w:tcMar>
                </w:tcPr>
                <w:p w14:paraId="5EC71F0F" w14:textId="77777777" w:rsidR="00AB7FDD" w:rsidRPr="005D4222" w:rsidRDefault="00AB7FDD" w:rsidP="00A53E8C">
                  <w:pPr>
                    <w:pStyle w:val="TableHead"/>
                    <w:rPr>
                      <w:b w:val="0"/>
                    </w:rPr>
                  </w:pPr>
                  <w:r w:rsidRPr="005D4222">
                    <w:t>Data Element</w:t>
                  </w:r>
                </w:p>
              </w:tc>
              <w:tc>
                <w:tcPr>
                  <w:tcW w:w="2429" w:type="dxa"/>
                  <w:tcBorders>
                    <w:top w:val="single" w:sz="4" w:space="0" w:color="000000" w:themeColor="text1"/>
                    <w:left w:val="single" w:sz="4" w:space="0" w:color="FFFFFF" w:themeColor="background1"/>
                    <w:bottom w:val="single" w:sz="4" w:space="0" w:color="000000" w:themeColor="text1"/>
                    <w:right w:val="single" w:sz="4" w:space="0" w:color="auto"/>
                  </w:tcBorders>
                  <w:shd w:val="clear" w:color="auto" w:fill="000000" w:themeFill="text1"/>
                  <w:tcMar>
                    <w:left w:w="58" w:type="dxa"/>
                    <w:right w:w="0" w:type="dxa"/>
                  </w:tcMar>
                </w:tcPr>
                <w:p w14:paraId="17FF7637" w14:textId="77777777" w:rsidR="00AB7FDD" w:rsidRPr="005D4222" w:rsidRDefault="00AB7FDD" w:rsidP="00A53E8C">
                  <w:pPr>
                    <w:pStyle w:val="TableHead"/>
                    <w:rPr>
                      <w:b w:val="0"/>
                    </w:rPr>
                  </w:pPr>
                  <w:r w:rsidRPr="005D4222">
                    <w:t>Reporting Instructions</w:t>
                  </w:r>
                </w:p>
              </w:tc>
            </w:tr>
            <w:tr w:rsidR="00AB7FDD" w:rsidRPr="005D4222" w14:paraId="433CE0EA" w14:textId="77777777" w:rsidTr="00A53E8C">
              <w:tc>
                <w:tcPr>
                  <w:tcW w:w="1346" w:type="dxa"/>
                  <w:tcBorders>
                    <w:top w:val="single" w:sz="4" w:space="0" w:color="auto"/>
                    <w:left w:val="single" w:sz="4" w:space="0" w:color="auto"/>
                    <w:bottom w:val="single" w:sz="4" w:space="0" w:color="auto"/>
                    <w:right w:val="single" w:sz="4" w:space="0" w:color="auto"/>
                  </w:tcBorders>
                  <w:tcMar>
                    <w:left w:w="58" w:type="dxa"/>
                    <w:right w:w="58" w:type="dxa"/>
                  </w:tcMar>
                </w:tcPr>
                <w:p w14:paraId="0CD7C326" w14:textId="77777777" w:rsidR="00AB7FDD" w:rsidRPr="005D4222" w:rsidRDefault="00AB7FDD" w:rsidP="00A53E8C">
                  <w:pPr>
                    <w:pStyle w:val="TableText"/>
                  </w:pPr>
                  <w:r w:rsidRPr="005D4222">
                    <w:t>Initiation</w:t>
                  </w:r>
                </w:p>
              </w:tc>
              <w:tc>
                <w:tcPr>
                  <w:tcW w:w="2153" w:type="dxa"/>
                  <w:tcBorders>
                    <w:top w:val="single" w:sz="4" w:space="0" w:color="000000" w:themeColor="text1"/>
                    <w:left w:val="single" w:sz="4" w:space="0" w:color="auto"/>
                    <w:bottom w:val="single" w:sz="4" w:space="0" w:color="auto"/>
                    <w:right w:val="single" w:sz="4" w:space="0" w:color="auto"/>
                  </w:tcBorders>
                  <w:tcMar>
                    <w:left w:w="58" w:type="dxa"/>
                    <w:right w:w="58" w:type="dxa"/>
                  </w:tcMar>
                </w:tcPr>
                <w:p w14:paraId="4C663F34" w14:textId="77777777" w:rsidR="00AB7FDD" w:rsidRPr="005D4222" w:rsidRDefault="00AB7FDD" w:rsidP="00A53E8C">
                  <w:pPr>
                    <w:pStyle w:val="TableText"/>
                  </w:pPr>
                  <w:r w:rsidRPr="005D4222">
                    <w:t>HispanicOrLatino</w:t>
                  </w:r>
                </w:p>
              </w:tc>
              <w:tc>
                <w:tcPr>
                  <w:tcW w:w="1447" w:type="dxa"/>
                  <w:tcBorders>
                    <w:top w:val="single" w:sz="4" w:space="0" w:color="000000" w:themeColor="text1"/>
                    <w:left w:val="single" w:sz="4" w:space="0" w:color="auto"/>
                    <w:bottom w:val="single" w:sz="4" w:space="0" w:color="auto"/>
                    <w:right w:val="single" w:sz="4" w:space="0" w:color="auto"/>
                  </w:tcBorders>
                  <w:tcMar>
                    <w:left w:w="58" w:type="dxa"/>
                    <w:right w:w="0" w:type="dxa"/>
                  </w:tcMar>
                </w:tcPr>
                <w:p w14:paraId="099382CA" w14:textId="77777777" w:rsidR="00AB7FDD" w:rsidRPr="005D4222" w:rsidRDefault="00AB7FDD" w:rsidP="00A53E8C">
                  <w:pPr>
                    <w:pStyle w:val="TableText"/>
                  </w:pPr>
                  <w:r w:rsidRPr="005D4222">
                    <w:t>Denominator</w:t>
                  </w:r>
                </w:p>
              </w:tc>
              <w:tc>
                <w:tcPr>
                  <w:tcW w:w="2429" w:type="dxa"/>
                  <w:tcBorders>
                    <w:top w:val="single" w:sz="4" w:space="0" w:color="000000" w:themeColor="text1"/>
                    <w:left w:val="single" w:sz="4" w:space="0" w:color="auto"/>
                    <w:bottom w:val="single" w:sz="6" w:space="0" w:color="auto"/>
                    <w:right w:val="single" w:sz="4" w:space="0" w:color="auto"/>
                  </w:tcBorders>
                  <w:tcMar>
                    <w:left w:w="58" w:type="dxa"/>
                    <w:right w:w="0" w:type="dxa"/>
                  </w:tcMar>
                </w:tcPr>
                <w:p w14:paraId="7B0D2B23" w14:textId="77777777" w:rsidR="00AB7FDD" w:rsidRPr="005D4222" w:rsidRDefault="00AB7FDD" w:rsidP="00A53E8C">
                  <w:pPr>
                    <w:pStyle w:val="TableText"/>
                    <w:rPr>
                      <w:rFonts w:eastAsia="Wingdings"/>
                    </w:rPr>
                  </w:pPr>
                  <w:r w:rsidRPr="005D4222">
                    <w:rPr>
                      <w:rFonts w:eastAsia="Wingdings"/>
                    </w:rPr>
                    <w:t>For each Stratification, repeat per Metric</w:t>
                  </w:r>
                </w:p>
              </w:tc>
            </w:tr>
            <w:tr w:rsidR="00AB7FDD" w:rsidRPr="005D4222" w14:paraId="27062710" w14:textId="77777777" w:rsidTr="00A53E8C">
              <w:tc>
                <w:tcPr>
                  <w:tcW w:w="1346"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118D4CF3" w14:textId="77777777" w:rsidR="00AB7FDD" w:rsidRPr="005D4222" w:rsidRDefault="00AB7FDD" w:rsidP="00A53E8C">
                  <w:pPr>
                    <w:pStyle w:val="TableText"/>
                  </w:pPr>
                  <w:r w:rsidRPr="005D4222">
                    <w:t>Engagement</w:t>
                  </w:r>
                </w:p>
              </w:tc>
              <w:tc>
                <w:tcPr>
                  <w:tcW w:w="2153"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74CDB4E1" w14:textId="77777777" w:rsidR="00AB7FDD" w:rsidRPr="005D4222" w:rsidRDefault="00AB7FDD" w:rsidP="00A53E8C">
                  <w:pPr>
                    <w:pStyle w:val="TableText"/>
                  </w:pPr>
                  <w:r w:rsidRPr="005D4222">
                    <w:t>NotHispanicOrLatino</w:t>
                  </w:r>
                </w:p>
              </w:tc>
              <w:tc>
                <w:tcPr>
                  <w:tcW w:w="1447"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0" w:type="dxa"/>
                  </w:tcMar>
                </w:tcPr>
                <w:p w14:paraId="12A11B32" w14:textId="77777777" w:rsidR="00AB7FDD" w:rsidRPr="005D4222" w:rsidRDefault="00AB7FDD" w:rsidP="00A53E8C">
                  <w:pPr>
                    <w:pStyle w:val="TableText"/>
                  </w:pPr>
                  <w:r w:rsidRPr="005D4222">
                    <w:t>Numerator</w:t>
                  </w:r>
                </w:p>
              </w:tc>
              <w:tc>
                <w:tcPr>
                  <w:tcW w:w="2429" w:type="dxa"/>
                  <w:tcBorders>
                    <w:left w:val="single" w:sz="4" w:space="0" w:color="auto"/>
                    <w:bottom w:val="single" w:sz="4" w:space="0" w:color="auto"/>
                    <w:right w:val="single" w:sz="4" w:space="0" w:color="auto"/>
                  </w:tcBorders>
                  <w:shd w:val="clear" w:color="auto" w:fill="FFFFFF" w:themeFill="background1"/>
                  <w:tcMar>
                    <w:left w:w="58" w:type="dxa"/>
                    <w:right w:w="0" w:type="dxa"/>
                  </w:tcMar>
                </w:tcPr>
                <w:p w14:paraId="499CFF97" w14:textId="77777777" w:rsidR="00AB7FDD" w:rsidRPr="005D4222" w:rsidRDefault="00AB7FDD" w:rsidP="00A53E8C">
                  <w:pPr>
                    <w:pStyle w:val="TableText"/>
                    <w:rPr>
                      <w:rFonts w:eastAsia="Wingdings"/>
                    </w:rPr>
                  </w:pPr>
                  <w:r w:rsidRPr="005D4222">
                    <w:rPr>
                      <w:rFonts w:eastAsia="Wingdings"/>
                    </w:rPr>
                    <w:t>For each Metric and Stratification</w:t>
                  </w:r>
                </w:p>
              </w:tc>
            </w:tr>
            <w:tr w:rsidR="00AB7FDD" w:rsidRPr="005D4222" w14:paraId="36C1B5F8" w14:textId="77777777" w:rsidTr="007B5FC3">
              <w:tc>
                <w:tcPr>
                  <w:tcW w:w="1346" w:type="dxa"/>
                  <w:tcBorders>
                    <w:top w:val="single" w:sz="4" w:space="0" w:color="auto"/>
                    <w:left w:val="nil"/>
                    <w:bottom w:val="nil"/>
                    <w:right w:val="nil"/>
                  </w:tcBorders>
                  <w:shd w:val="clear" w:color="auto" w:fill="FFFFFF" w:themeFill="background1"/>
                  <w:tcMar>
                    <w:left w:w="58" w:type="dxa"/>
                    <w:right w:w="58" w:type="dxa"/>
                  </w:tcMar>
                </w:tcPr>
                <w:p w14:paraId="3215572C" w14:textId="77777777" w:rsidR="00AB7FDD" w:rsidRPr="005D4222" w:rsidRDefault="00AB7FDD" w:rsidP="00A53E8C">
                  <w:pPr>
                    <w:pStyle w:val="TableText"/>
                  </w:pPr>
                </w:p>
              </w:tc>
              <w:tc>
                <w:tcPr>
                  <w:tcW w:w="2153" w:type="dxa"/>
                  <w:tcBorders>
                    <w:top w:val="single" w:sz="4" w:space="0" w:color="auto"/>
                    <w:left w:val="single" w:sz="4" w:space="0" w:color="auto"/>
                    <w:bottom w:val="single" w:sz="4" w:space="0" w:color="auto"/>
                    <w:right w:val="single" w:sz="4" w:space="0" w:color="auto"/>
                  </w:tcBorders>
                  <w:tcMar>
                    <w:left w:w="58" w:type="dxa"/>
                    <w:right w:w="58" w:type="dxa"/>
                  </w:tcMar>
                </w:tcPr>
                <w:p w14:paraId="77BDFBF6" w14:textId="77777777" w:rsidR="00AB7FDD" w:rsidRPr="005D4222" w:rsidRDefault="00AB7FDD" w:rsidP="00A53E8C">
                  <w:pPr>
                    <w:pStyle w:val="TableText"/>
                  </w:pPr>
                  <w:r w:rsidRPr="005D4222">
                    <w:t>AskedButNoAnswer</w:t>
                  </w:r>
                </w:p>
              </w:tc>
              <w:tc>
                <w:tcPr>
                  <w:tcW w:w="144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58" w:type="dxa"/>
                    <w:right w:w="0" w:type="dxa"/>
                  </w:tcMar>
                </w:tcPr>
                <w:p w14:paraId="4E78096C" w14:textId="77777777" w:rsidR="00AB7FDD" w:rsidRPr="005D4222" w:rsidRDefault="00AB7FDD" w:rsidP="00A53E8C">
                  <w:pPr>
                    <w:pStyle w:val="TableText"/>
                  </w:pPr>
                  <w:r w:rsidRPr="005D4222">
                    <w:t>Rate</w:t>
                  </w:r>
                </w:p>
              </w:tc>
              <w:tc>
                <w:tcPr>
                  <w:tcW w:w="242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58" w:type="dxa"/>
                    <w:right w:w="0" w:type="dxa"/>
                  </w:tcMar>
                </w:tcPr>
                <w:p w14:paraId="6E0E5437" w14:textId="77777777" w:rsidR="00AB7FDD" w:rsidRPr="005D4222" w:rsidRDefault="00AB7FDD" w:rsidP="00A53E8C">
                  <w:pPr>
                    <w:pStyle w:val="TableText"/>
                    <w:rPr>
                      <w:rFonts w:eastAsia="Wingdings"/>
                    </w:rPr>
                  </w:pPr>
                  <w:r w:rsidRPr="005D4222">
                    <w:rPr>
                      <w:rFonts w:eastAsia="Wingdings"/>
                    </w:rPr>
                    <w:t>(Percent)</w:t>
                  </w:r>
                </w:p>
              </w:tc>
            </w:tr>
            <w:tr w:rsidR="00AB7FDD" w:rsidRPr="005D4222" w14:paraId="2B2F84B7" w14:textId="77777777" w:rsidTr="007B5FC3">
              <w:tc>
                <w:tcPr>
                  <w:tcW w:w="1346" w:type="dxa"/>
                  <w:tcBorders>
                    <w:top w:val="nil"/>
                    <w:left w:val="nil"/>
                    <w:bottom w:val="nil"/>
                    <w:right w:val="nil"/>
                  </w:tcBorders>
                  <w:shd w:val="clear" w:color="auto" w:fill="FFFFFF" w:themeFill="background1"/>
                  <w:tcMar>
                    <w:left w:w="58" w:type="dxa"/>
                    <w:right w:w="58" w:type="dxa"/>
                  </w:tcMar>
                </w:tcPr>
                <w:p w14:paraId="406ECBD4" w14:textId="77777777" w:rsidR="00AB7FDD" w:rsidRPr="005D4222" w:rsidRDefault="00AB7FDD" w:rsidP="00A53E8C">
                  <w:pPr>
                    <w:pStyle w:val="TableText"/>
                  </w:pPr>
                </w:p>
              </w:tc>
              <w:tc>
                <w:tcPr>
                  <w:tcW w:w="2153" w:type="dxa"/>
                  <w:tcBorders>
                    <w:top w:val="single" w:sz="4" w:space="0" w:color="auto"/>
                    <w:left w:val="single" w:sz="4" w:space="0" w:color="auto"/>
                    <w:bottom w:val="single" w:sz="4" w:space="0" w:color="auto"/>
                    <w:right w:val="single" w:sz="4" w:space="0" w:color="auto"/>
                  </w:tcBorders>
                  <w:tcMar>
                    <w:left w:w="58" w:type="dxa"/>
                    <w:right w:w="58" w:type="dxa"/>
                  </w:tcMar>
                </w:tcPr>
                <w:p w14:paraId="758E4A98" w14:textId="77777777" w:rsidR="00AB7FDD" w:rsidRPr="005D4222" w:rsidRDefault="00AB7FDD" w:rsidP="00A53E8C">
                  <w:pPr>
                    <w:pStyle w:val="TableText"/>
                  </w:pPr>
                  <w:r w:rsidRPr="005D4222">
                    <w:t>Unknown</w:t>
                  </w:r>
                </w:p>
              </w:tc>
              <w:tc>
                <w:tcPr>
                  <w:tcW w:w="1447" w:type="dxa"/>
                  <w:tcBorders>
                    <w:top w:val="single" w:sz="4" w:space="0" w:color="auto"/>
                    <w:left w:val="single" w:sz="4" w:space="0" w:color="auto"/>
                    <w:bottom w:val="nil"/>
                    <w:right w:val="nil"/>
                  </w:tcBorders>
                  <w:tcMar>
                    <w:left w:w="58" w:type="dxa"/>
                    <w:right w:w="0" w:type="dxa"/>
                  </w:tcMar>
                </w:tcPr>
                <w:p w14:paraId="6ED0AD77" w14:textId="77777777" w:rsidR="00AB7FDD" w:rsidRPr="005D4222" w:rsidRDefault="00AB7FDD" w:rsidP="00A53E8C">
                  <w:pPr>
                    <w:pStyle w:val="TableText"/>
                  </w:pPr>
                </w:p>
              </w:tc>
              <w:tc>
                <w:tcPr>
                  <w:tcW w:w="2429" w:type="dxa"/>
                  <w:tcBorders>
                    <w:top w:val="single" w:sz="4" w:space="0" w:color="auto"/>
                    <w:left w:val="nil"/>
                    <w:bottom w:val="nil"/>
                    <w:right w:val="nil"/>
                  </w:tcBorders>
                  <w:tcMar>
                    <w:left w:w="58" w:type="dxa"/>
                    <w:right w:w="58" w:type="dxa"/>
                  </w:tcMar>
                </w:tcPr>
                <w:p w14:paraId="569B9EFF" w14:textId="77777777" w:rsidR="00AB7FDD" w:rsidRPr="005D4222" w:rsidRDefault="00AB7FDD" w:rsidP="00A53E8C">
                  <w:pPr>
                    <w:pStyle w:val="TableText"/>
                    <w:rPr>
                      <w:rFonts w:eastAsia="Wingdings"/>
                    </w:rPr>
                  </w:pPr>
                </w:p>
              </w:tc>
            </w:tr>
          </w:tbl>
          <w:p w14:paraId="59031F6B" w14:textId="77777777" w:rsidR="00AB7FDD" w:rsidRPr="005D4222" w:rsidRDefault="00AB7FDD" w:rsidP="00A53E8C">
            <w:pPr>
              <w:pStyle w:val="ECDSBody"/>
            </w:pPr>
          </w:p>
        </w:tc>
      </w:tr>
      <w:tr w:rsidR="006439AD" w:rsidRPr="005D4222" w14:paraId="1226B3E2" w14:textId="77777777" w:rsidTr="00A53E8C">
        <w:tc>
          <w:tcPr>
            <w:tcW w:w="2160"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3DB6283" w14:textId="0AD6DB39" w:rsidR="00AB7FDD" w:rsidRPr="005D4222" w:rsidRDefault="00910558" w:rsidP="00A53E8C">
            <w:pPr>
              <w:pStyle w:val="ECDSMarginHead"/>
            </w:pPr>
            <w:r w:rsidRPr="005D4222">
              <w:t xml:space="preserve">Rules for </w:t>
            </w:r>
            <w:r w:rsidR="00AB7FDD" w:rsidRPr="005D4222">
              <w:t>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25EF668" w14:textId="77777777" w:rsidR="00AB7FDD" w:rsidRPr="005D4222" w:rsidRDefault="00AB7FDD" w:rsidP="00A53E8C">
            <w:pPr>
              <w:pStyle w:val="ECDSBody"/>
            </w:pPr>
            <w:r w:rsidRPr="005D4222">
              <w:rPr>
                <w:b/>
                <w:i/>
                <w:iCs/>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701FE42C" w14:textId="77777777" w:rsidR="00AB7FDD" w:rsidRPr="005D4222" w:rsidRDefault="00AB7FDD" w:rsidP="00A53E8C">
            <w:pPr>
              <w:pStyle w:val="ECDSBody"/>
              <w:rPr>
                <w:b/>
                <w:bCs w:val="0"/>
              </w:rPr>
            </w:pPr>
            <w:r w:rsidRPr="005D4222">
              <w:rPr>
                <w:b/>
              </w:rPr>
              <w:t>Adjusted HEDIS measures may not be used for HEDIS health plan reporting.</w:t>
            </w:r>
          </w:p>
          <w:p w14:paraId="12815782" w14:textId="77777777" w:rsidR="00AB7FDD" w:rsidRPr="005D4222" w:rsidRDefault="00AB7FDD" w:rsidP="00A53E8C">
            <w:pPr>
              <w:pStyle w:val="Adjustments"/>
              <w:rPr>
                <w:b w:val="0"/>
                <w:bCs/>
              </w:rPr>
            </w:pPr>
            <w:r w:rsidRPr="005D4222">
              <w:t>Adjustments</w:t>
            </w:r>
            <w:r w:rsidRPr="005D4222">
              <w:rPr>
                <w:bCs/>
              </w:rPr>
              <w:t xml:space="preserve"> allowed</w:t>
            </w:r>
          </w:p>
          <w:p w14:paraId="2E3AA49C" w14:textId="0374905C" w:rsidR="00AB7FDD" w:rsidRPr="005D4222" w:rsidRDefault="00AB7FDD" w:rsidP="005D6173">
            <w:pPr>
              <w:pStyle w:val="ProcessBullet"/>
              <w:numPr>
                <w:ilvl w:val="0"/>
                <w:numId w:val="95"/>
              </w:numPr>
              <w:tabs>
                <w:tab w:val="left" w:pos="216"/>
              </w:tabs>
              <w:ind w:left="216" w:hanging="216"/>
            </w:pPr>
            <w:r w:rsidRPr="005D4222">
              <w:rPr>
                <w:i/>
              </w:rPr>
              <w:t xml:space="preserve">Product lines. </w:t>
            </w:r>
            <w:r w:rsidRPr="005D4222">
              <w:t>Organizations are not required to use product line criteria; product lines may be combined</w:t>
            </w:r>
            <w:r w:rsidR="00E8671F" w:rsidRPr="005D4222">
              <w:t>,</w:t>
            </w:r>
            <w:r w:rsidRPr="005D4222">
              <w:t xml:space="preserve"> and all (or no) product line criteria may be used.</w:t>
            </w:r>
          </w:p>
          <w:p w14:paraId="1AC9CA78" w14:textId="77777777" w:rsidR="00AB7FDD" w:rsidRPr="005D4222" w:rsidRDefault="00AB7FDD" w:rsidP="005D6173">
            <w:pPr>
              <w:pStyle w:val="ProcessBullet"/>
              <w:numPr>
                <w:ilvl w:val="0"/>
                <w:numId w:val="95"/>
              </w:numPr>
              <w:tabs>
                <w:tab w:val="left" w:pos="216"/>
              </w:tabs>
              <w:spacing w:after="80"/>
              <w:ind w:left="216" w:hanging="216"/>
            </w:pPr>
            <w:r w:rsidRPr="005D4222">
              <w:rPr>
                <w:i/>
              </w:rPr>
              <w:t xml:space="preserve">Attribution. </w:t>
            </w:r>
            <w:r w:rsidRPr="005D4222">
              <w:t xml:space="preserve">Organizations are not required to use enrollment criteria. </w:t>
            </w:r>
          </w:p>
          <w:p w14:paraId="4A69103F" w14:textId="5883F473" w:rsidR="00AB7FDD" w:rsidRPr="005D4222" w:rsidRDefault="00362E76" w:rsidP="005D6173">
            <w:pPr>
              <w:pStyle w:val="ProcessBullet"/>
              <w:numPr>
                <w:ilvl w:val="0"/>
                <w:numId w:val="95"/>
              </w:numPr>
              <w:tabs>
                <w:tab w:val="left" w:pos="216"/>
              </w:tabs>
              <w:spacing w:after="80"/>
              <w:ind w:left="216" w:hanging="216"/>
            </w:pPr>
            <w:r w:rsidRPr="005D4222">
              <w:rPr>
                <w:i/>
              </w:rPr>
              <w:t>Benefits.</w:t>
            </w:r>
            <w:r w:rsidR="00AB7FDD" w:rsidRPr="005D4222">
              <w:rPr>
                <w:i/>
              </w:rPr>
              <w:t xml:space="preserve"> </w:t>
            </w:r>
            <w:r w:rsidR="00AB7FDD" w:rsidRPr="005D4222">
              <w:t>Organizations are not required to use a benefit.</w:t>
            </w:r>
          </w:p>
          <w:p w14:paraId="16844B4F" w14:textId="6C49CA99" w:rsidR="007E1B3D" w:rsidRPr="005D4222" w:rsidRDefault="007E1B3D" w:rsidP="005D6173">
            <w:pPr>
              <w:pStyle w:val="ProcessBullet"/>
              <w:numPr>
                <w:ilvl w:val="0"/>
                <w:numId w:val="95"/>
              </w:numPr>
              <w:tabs>
                <w:tab w:val="left" w:pos="216"/>
              </w:tabs>
              <w:spacing w:after="80"/>
              <w:ind w:left="216" w:hanging="216"/>
            </w:pPr>
            <w:r w:rsidRPr="005D4222">
              <w:rPr>
                <w:i/>
              </w:rPr>
              <w:t>Ages.</w:t>
            </w:r>
            <w:r w:rsidRPr="005D4222">
              <w:t xml:space="preserve"> The denominator age range may be expanded. Age determination dates may be changed (e.g., select, “age as of June 30”).</w:t>
            </w:r>
          </w:p>
          <w:p w14:paraId="3BA112A2" w14:textId="77777777" w:rsidR="00AB7FDD" w:rsidRPr="005D4222" w:rsidRDefault="00AB7FDD" w:rsidP="005D6173">
            <w:pPr>
              <w:pStyle w:val="ProcessBullet"/>
              <w:numPr>
                <w:ilvl w:val="0"/>
                <w:numId w:val="95"/>
              </w:numPr>
              <w:tabs>
                <w:tab w:val="left" w:pos="216"/>
              </w:tabs>
              <w:ind w:left="216" w:hanging="216"/>
            </w:pPr>
            <w:r w:rsidRPr="005D4222">
              <w:rPr>
                <w:i/>
                <w:iCs/>
              </w:rPr>
              <w:t>Other.</w:t>
            </w:r>
            <w:r w:rsidRPr="005D4222">
              <w:t xml:space="preserve"> Organizations may use additional </w:t>
            </w:r>
            <w:r w:rsidRPr="005D4222">
              <w:rPr>
                <w:rFonts w:eastAsia="Arial"/>
              </w:rPr>
              <w:t xml:space="preserve">initial </w:t>
            </w:r>
            <w:r w:rsidRPr="005D4222">
              <w:t>population criteria to focus on an area of interest defined by gender, race, ethnicity, socioeconomic or sociodemographic characteristics, geographic region or another characteristic.</w:t>
            </w:r>
          </w:p>
          <w:p w14:paraId="2D54B136" w14:textId="77777777" w:rsidR="00AB7FDD" w:rsidRPr="005D4222" w:rsidRDefault="00AB7FDD" w:rsidP="005D6173">
            <w:pPr>
              <w:pStyle w:val="ProcessBullet"/>
              <w:numPr>
                <w:ilvl w:val="0"/>
                <w:numId w:val="95"/>
              </w:numPr>
              <w:tabs>
                <w:tab w:val="left" w:pos="216"/>
              </w:tabs>
              <w:ind w:left="216" w:hanging="216"/>
            </w:pPr>
            <w:r w:rsidRPr="005D4222">
              <w:rPr>
                <w:i/>
              </w:rPr>
              <w:t xml:space="preserve">Measurement </w:t>
            </w:r>
            <w:r w:rsidRPr="005D4222">
              <w:rPr>
                <w:i/>
                <w:iCs/>
              </w:rPr>
              <w:t>period a</w:t>
            </w:r>
            <w:r w:rsidRPr="005D4222">
              <w:rPr>
                <w:i/>
              </w:rPr>
              <w:t>djustments.</w:t>
            </w:r>
            <w:r w:rsidRPr="005D4222">
              <w:t xml:space="preserve"> Organizations may adjust the measurement period. </w:t>
            </w:r>
          </w:p>
          <w:p w14:paraId="251F2EB9" w14:textId="77777777" w:rsidR="00AB7FDD" w:rsidRPr="005D4222" w:rsidRDefault="00AB7FDD" w:rsidP="005D6173">
            <w:pPr>
              <w:pStyle w:val="ProcessBullet"/>
              <w:numPr>
                <w:ilvl w:val="0"/>
                <w:numId w:val="95"/>
              </w:numPr>
              <w:tabs>
                <w:tab w:val="left" w:pos="216"/>
              </w:tabs>
              <w:ind w:left="216" w:hanging="216"/>
            </w:pPr>
            <w:r w:rsidRPr="005D4222">
              <w:rPr>
                <w:i/>
              </w:rPr>
              <w:t>Stratifications:</w:t>
            </w:r>
            <w:r w:rsidRPr="005D4222">
              <w:t xml:space="preserve"> Race and ethnicity stratification.</w:t>
            </w:r>
            <w:r w:rsidRPr="005D4222">
              <w:rPr>
                <w:i/>
                <w:iCs/>
              </w:rPr>
              <w:t xml:space="preserve"> </w:t>
            </w:r>
            <w:r w:rsidRPr="005D4222">
              <w:t>The race and ethnicity stratification is not required. Organizations may adjust this stratification as needed.</w:t>
            </w:r>
          </w:p>
          <w:p w14:paraId="3A6A114E" w14:textId="77CF1009" w:rsidR="001B3B5C" w:rsidRPr="005D4222" w:rsidRDefault="00AB7FDD" w:rsidP="005D6173">
            <w:pPr>
              <w:pStyle w:val="ProcessBullet"/>
              <w:numPr>
                <w:ilvl w:val="0"/>
                <w:numId w:val="95"/>
              </w:numPr>
              <w:tabs>
                <w:tab w:val="left" w:pos="216"/>
              </w:tabs>
              <w:spacing w:after="80"/>
              <w:ind w:left="216" w:hanging="216"/>
              <w:rPr>
                <w:rFonts w:cs="Arial"/>
                <w:b/>
              </w:rPr>
            </w:pPr>
            <w:r w:rsidRPr="005D4222">
              <w:rPr>
                <w:i/>
              </w:rPr>
              <w:t>Exclusions.</w:t>
            </w:r>
            <w:r w:rsidRPr="005D4222">
              <w:t xml:space="preserve"> </w:t>
            </w:r>
            <w:r w:rsidR="007E1B3D" w:rsidRPr="005D4222">
              <w:t>The h</w:t>
            </w:r>
            <w:r w:rsidRPr="005D4222">
              <w:t xml:space="preserve">ospice and deceased person exclusions are not required. </w:t>
            </w:r>
          </w:p>
        </w:tc>
      </w:tr>
      <w:tr w:rsidR="006439AD" w:rsidRPr="005D4222" w14:paraId="1EC518E3" w14:textId="77777777" w:rsidTr="00A53E8C">
        <w:tc>
          <w:tcPr>
            <w:tcW w:w="2160"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5032EA1" w14:textId="77777777" w:rsidR="00AB7FDD" w:rsidRPr="005D4222" w:rsidRDefault="00AB7FDD"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F2F6496" w14:textId="20C83927" w:rsidR="001B3B5C" w:rsidRPr="005D4222" w:rsidRDefault="001B3B5C" w:rsidP="005D6173">
            <w:pPr>
              <w:pStyle w:val="ProcessBullet"/>
              <w:numPr>
                <w:ilvl w:val="0"/>
                <w:numId w:val="95"/>
              </w:numPr>
              <w:tabs>
                <w:tab w:val="left" w:pos="216"/>
              </w:tabs>
              <w:ind w:left="216" w:hanging="216"/>
            </w:pPr>
            <w:r w:rsidRPr="005D4222">
              <w:rPr>
                <w:i/>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w:t>
            </w:r>
            <w:r w:rsidR="00F45777" w:rsidRPr="005D4222">
              <w:t>events</w:t>
            </w:r>
            <w:r w:rsidRPr="005D4222">
              <w:t>, numerators and exclusions that do not allow the use of telehealth.</w:t>
            </w:r>
          </w:p>
          <w:p w14:paraId="1832A9D5" w14:textId="77777777" w:rsidR="001B3B5C" w:rsidRPr="005D4222" w:rsidRDefault="001B3B5C" w:rsidP="005D6173">
            <w:pPr>
              <w:pStyle w:val="ProcessBullet"/>
              <w:numPr>
                <w:ilvl w:val="0"/>
                <w:numId w:val="95"/>
              </w:numPr>
              <w:tabs>
                <w:tab w:val="left" w:pos="216"/>
              </w:tabs>
              <w:spacing w:after="80"/>
              <w:ind w:left="216" w:hanging="216"/>
              <w:rPr>
                <w:rFonts w:cs="Arial"/>
                <w:b/>
              </w:rPr>
            </w:pPr>
            <w:r w:rsidRPr="005D4222">
              <w:rPr>
                <w:i/>
              </w:rPr>
              <w:t xml:space="preserve">Supplemental data. </w:t>
            </w:r>
            <w:r w:rsidRPr="005D4222">
              <w:t>Supplemental data may be used to identify initial population, denominator, exclusion and numerator events.</w:t>
            </w:r>
          </w:p>
          <w:p w14:paraId="1620D113" w14:textId="77777777" w:rsidR="00AB7FDD" w:rsidRPr="005D4222" w:rsidRDefault="00AB7FDD" w:rsidP="00A53E8C">
            <w:pPr>
              <w:pStyle w:val="Adjustments"/>
              <w:spacing w:before="120"/>
              <w:rPr>
                <w:b w:val="0"/>
              </w:rPr>
            </w:pPr>
            <w:r w:rsidRPr="005D4222">
              <w:t xml:space="preserve">Adjustments </w:t>
            </w:r>
            <w:r w:rsidRPr="005D4222">
              <w:rPr>
                <w:bCs/>
              </w:rPr>
              <w:t>a</w:t>
            </w:r>
            <w:r w:rsidRPr="005D4222">
              <w:t xml:space="preserve">llowed with </w:t>
            </w:r>
            <w:r w:rsidRPr="005D4222">
              <w:rPr>
                <w:bCs/>
              </w:rPr>
              <w:t>l</w:t>
            </w:r>
            <w:r w:rsidRPr="005D4222">
              <w:t>imits</w:t>
            </w:r>
          </w:p>
          <w:p w14:paraId="04017FAD" w14:textId="77777777" w:rsidR="00AB7FDD" w:rsidRPr="005D4222" w:rsidRDefault="00AB7FDD" w:rsidP="005D6173">
            <w:pPr>
              <w:pStyle w:val="ProcessBullet"/>
              <w:numPr>
                <w:ilvl w:val="0"/>
                <w:numId w:val="96"/>
              </w:numPr>
              <w:tabs>
                <w:tab w:val="left" w:pos="216"/>
              </w:tabs>
              <w:ind w:left="216" w:hanging="216"/>
            </w:pPr>
            <w:r w:rsidRPr="005D4222">
              <w:rPr>
                <w:i/>
                <w:iCs/>
              </w:rPr>
              <w:t>SUD diagnosis cohorts</w:t>
            </w:r>
            <w:r w:rsidRPr="005D4222">
              <w:t>. Reporting each stratum or combined strata is allowed. The value sets used to identify these cohorts may not be changed.</w:t>
            </w:r>
          </w:p>
          <w:p w14:paraId="488BC50C" w14:textId="77777777" w:rsidR="00AB7FDD" w:rsidRPr="005D4222" w:rsidRDefault="00AB7FDD" w:rsidP="00A53E8C">
            <w:pPr>
              <w:pStyle w:val="Adjustments"/>
              <w:rPr>
                <w:b w:val="0"/>
              </w:rPr>
            </w:pPr>
            <w:r w:rsidRPr="005D4222">
              <w:t xml:space="preserve">Adjustments </w:t>
            </w:r>
            <w:r w:rsidRPr="005D4222">
              <w:rPr>
                <w:bCs/>
              </w:rPr>
              <w:t>not allowed</w:t>
            </w:r>
          </w:p>
          <w:p w14:paraId="351335DA" w14:textId="77777777" w:rsidR="00AB7FDD" w:rsidRPr="005D4222" w:rsidRDefault="00AB7FDD" w:rsidP="005D6173">
            <w:pPr>
              <w:pStyle w:val="ProcessBullet"/>
              <w:numPr>
                <w:ilvl w:val="0"/>
                <w:numId w:val="97"/>
              </w:numPr>
              <w:tabs>
                <w:tab w:val="left" w:pos="216"/>
              </w:tabs>
              <w:ind w:left="216" w:hanging="216"/>
            </w:pPr>
            <w:r w:rsidRPr="005D4222">
              <w:rPr>
                <w:i/>
              </w:rPr>
              <w:t>Initial population:</w:t>
            </w:r>
            <w:r w:rsidRPr="005D4222">
              <w:rPr>
                <w:iCs/>
              </w:rPr>
              <w:t xml:space="preserve"> Event.</w:t>
            </w:r>
            <w:r w:rsidRPr="005D4222">
              <w:t xml:space="preserve"> The value sets, medication lists and logic may not be changed. </w:t>
            </w:r>
          </w:p>
          <w:p w14:paraId="3D05B387" w14:textId="1FC638CE" w:rsidR="00AB7FDD" w:rsidRPr="005D4222" w:rsidRDefault="00AB7FDD" w:rsidP="005D6173">
            <w:pPr>
              <w:pStyle w:val="ProcessBullet"/>
              <w:numPr>
                <w:ilvl w:val="0"/>
                <w:numId w:val="97"/>
              </w:numPr>
              <w:tabs>
                <w:tab w:val="left" w:pos="216"/>
              </w:tabs>
              <w:spacing w:after="80"/>
              <w:ind w:left="216" w:hanging="216"/>
              <w:rPr>
                <w:rFonts w:cs="Arial"/>
                <w:b/>
                <w:bCs/>
              </w:rPr>
            </w:pPr>
            <w:r w:rsidRPr="005D4222">
              <w:rPr>
                <w:i/>
                <w:iCs/>
              </w:rPr>
              <w:t>Numerator.</w:t>
            </w:r>
            <w:r w:rsidRPr="005D4222">
              <w:t xml:space="preserve"> </w:t>
            </w:r>
            <w:r w:rsidR="0011054D" w:rsidRPr="005D4222">
              <w:t>The m</w:t>
            </w:r>
            <w:r w:rsidRPr="005D4222">
              <w:t>edication lists, value sets and logic may not be changed.</w:t>
            </w:r>
          </w:p>
        </w:tc>
      </w:tr>
    </w:tbl>
    <w:p w14:paraId="45803142" w14:textId="77777777" w:rsidR="00A2676C" w:rsidRPr="005D4222" w:rsidRDefault="00A2676C" w:rsidP="00AB7FDD">
      <w:pPr>
        <w:pStyle w:val="ECDSBody"/>
        <w:sectPr w:rsidR="00A2676C" w:rsidRPr="005D4222" w:rsidSect="0074514A">
          <w:headerReference w:type="default" r:id="rId166"/>
          <w:type w:val="nextColumn"/>
          <w:pgSz w:w="12240" w:h="15840" w:code="1"/>
          <w:pgMar w:top="1080" w:right="1080" w:bottom="1080" w:left="1440" w:header="720" w:footer="720" w:gutter="0"/>
          <w:cols w:space="720"/>
          <w:docGrid w:linePitch="360"/>
        </w:sectPr>
      </w:pPr>
    </w:p>
    <w:p w14:paraId="3C7D5DC9" w14:textId="4384429C" w:rsidR="00853A35" w:rsidRPr="005D4222" w:rsidRDefault="005E4845" w:rsidP="005E4845">
      <w:pPr>
        <w:pStyle w:val="MeasureTitle"/>
      </w:pPr>
      <w:bookmarkStart w:id="366" w:name="_Toc201813442"/>
      <w:r w:rsidRPr="005D4222">
        <w:lastRenderedPageBreak/>
        <w:t>Prenatal and Postpartum Care</w:t>
      </w:r>
      <w:r w:rsidR="0096709F" w:rsidRPr="005D4222">
        <w:t xml:space="preserve"> (PPC)</w:t>
      </w:r>
      <w:bookmarkEnd w:id="366"/>
    </w:p>
    <w:tbl>
      <w:tblPr>
        <w:tblW w:w="9735" w:type="dxa"/>
        <w:tblInd w:w="-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75"/>
        <w:gridCol w:w="4590"/>
        <w:gridCol w:w="1980"/>
        <w:gridCol w:w="990"/>
      </w:tblGrid>
      <w:tr w:rsidR="004242EA" w:rsidRPr="005D4222" w14:paraId="00C11E8C" w14:textId="77777777" w:rsidTr="00A53E8C">
        <w:tc>
          <w:tcPr>
            <w:tcW w:w="2175" w:type="dxa"/>
            <w:shd w:val="clear" w:color="auto" w:fill="BFBFBF" w:themeFill="background1" w:themeFillShade="BF"/>
            <w:tcMar>
              <w:top w:w="0" w:type="dxa"/>
              <w:left w:w="86" w:type="dxa"/>
              <w:bottom w:w="43" w:type="dxa"/>
              <w:right w:w="86" w:type="dxa"/>
            </w:tcMar>
            <w:hideMark/>
          </w:tcPr>
          <w:p w14:paraId="5068EEE0" w14:textId="77777777" w:rsidR="004242EA" w:rsidRPr="005D4222" w:rsidRDefault="004242EA" w:rsidP="00A53E8C">
            <w:pPr>
              <w:pStyle w:val="ECDSMarginHead"/>
            </w:pPr>
            <w:r w:rsidRPr="005D4222">
              <w:t>Measure title</w:t>
            </w:r>
          </w:p>
        </w:tc>
        <w:tc>
          <w:tcPr>
            <w:tcW w:w="4590" w:type="dxa"/>
            <w:tcMar>
              <w:top w:w="0" w:type="dxa"/>
              <w:left w:w="86" w:type="dxa"/>
              <w:bottom w:w="43" w:type="dxa"/>
              <w:right w:w="86" w:type="dxa"/>
            </w:tcMar>
          </w:tcPr>
          <w:p w14:paraId="64A0E303" w14:textId="77777777" w:rsidR="004242EA" w:rsidRPr="005D4222" w:rsidRDefault="004242EA" w:rsidP="00A53E8C">
            <w:pPr>
              <w:pStyle w:val="ECDSBody"/>
            </w:pPr>
            <w:r w:rsidRPr="005D4222">
              <w:t>Prenatal and Postpartum Care</w:t>
            </w:r>
          </w:p>
        </w:tc>
        <w:tc>
          <w:tcPr>
            <w:tcW w:w="1980" w:type="dxa"/>
            <w:shd w:val="clear" w:color="auto" w:fill="BFBFBF" w:themeFill="background1" w:themeFillShade="BF"/>
            <w:tcMar>
              <w:top w:w="0" w:type="dxa"/>
              <w:left w:w="86" w:type="dxa"/>
              <w:bottom w:w="43" w:type="dxa"/>
              <w:right w:w="86" w:type="dxa"/>
            </w:tcMar>
          </w:tcPr>
          <w:p w14:paraId="0B31C98D" w14:textId="77777777" w:rsidR="004242EA" w:rsidRPr="005D4222" w:rsidRDefault="004242EA" w:rsidP="00A53E8C">
            <w:pPr>
              <w:pStyle w:val="ECDSMarginHead"/>
            </w:pPr>
            <w:r w:rsidRPr="005D4222">
              <w:t>Measure ID</w:t>
            </w:r>
          </w:p>
        </w:tc>
        <w:tc>
          <w:tcPr>
            <w:tcW w:w="990" w:type="dxa"/>
            <w:tcMar>
              <w:top w:w="0" w:type="dxa"/>
              <w:left w:w="86" w:type="dxa"/>
              <w:bottom w:w="43" w:type="dxa"/>
              <w:right w:w="86" w:type="dxa"/>
            </w:tcMar>
          </w:tcPr>
          <w:p w14:paraId="100DE970" w14:textId="77777777" w:rsidR="004242EA" w:rsidRPr="005D4222" w:rsidRDefault="004242EA" w:rsidP="00A53E8C">
            <w:pPr>
              <w:pStyle w:val="ECDSBody"/>
            </w:pPr>
            <w:r w:rsidRPr="005D4222">
              <w:t xml:space="preserve">PPC  </w:t>
            </w:r>
          </w:p>
        </w:tc>
      </w:tr>
      <w:tr w:rsidR="004242EA" w:rsidRPr="005D4222" w14:paraId="5250292F" w14:textId="77777777" w:rsidTr="00A53E8C">
        <w:tc>
          <w:tcPr>
            <w:tcW w:w="2175" w:type="dxa"/>
            <w:shd w:val="clear" w:color="auto" w:fill="BFBFBF" w:themeFill="background1" w:themeFillShade="BF"/>
            <w:tcMar>
              <w:top w:w="0" w:type="dxa"/>
              <w:left w:w="86" w:type="dxa"/>
              <w:bottom w:w="43" w:type="dxa"/>
              <w:right w:w="86" w:type="dxa"/>
            </w:tcMar>
            <w:hideMark/>
          </w:tcPr>
          <w:p w14:paraId="0BBD7E76" w14:textId="77777777" w:rsidR="004242EA" w:rsidRPr="005D4222" w:rsidRDefault="004242EA" w:rsidP="00A53E8C">
            <w:pPr>
              <w:pStyle w:val="ECDSMarginHead"/>
            </w:pPr>
            <w:r w:rsidRPr="005D4222">
              <w:t>Description</w:t>
            </w:r>
          </w:p>
        </w:tc>
        <w:tc>
          <w:tcPr>
            <w:tcW w:w="7560" w:type="dxa"/>
            <w:gridSpan w:val="3"/>
            <w:tcMar>
              <w:top w:w="0" w:type="dxa"/>
              <w:left w:w="86" w:type="dxa"/>
              <w:bottom w:w="43" w:type="dxa"/>
              <w:right w:w="86" w:type="dxa"/>
            </w:tcMar>
          </w:tcPr>
          <w:p w14:paraId="7FA91EAD" w14:textId="77777777" w:rsidR="004242EA" w:rsidRPr="005D4222" w:rsidRDefault="004242EA" w:rsidP="00A53E8C">
            <w:pPr>
              <w:pStyle w:val="ECDSBody"/>
            </w:pPr>
            <w:r w:rsidRPr="005D4222">
              <w:t>The percentage of deliveries of live births on or between October 8 of the year prior to the measurement period and October 7 of the measurement period. For these persons, the measure assesses the following facets of prenatal and postpartum care:</w:t>
            </w:r>
          </w:p>
          <w:p w14:paraId="160AC5D4" w14:textId="77777777" w:rsidR="004242EA" w:rsidRPr="005D4222" w:rsidRDefault="004242EA" w:rsidP="004242EA">
            <w:pPr>
              <w:pStyle w:val="Bullet"/>
              <w:numPr>
                <w:ilvl w:val="0"/>
                <w:numId w:val="4"/>
              </w:numPr>
              <w:tabs>
                <w:tab w:val="left" w:pos="360"/>
                <w:tab w:val="left" w:pos="576"/>
              </w:tabs>
              <w:ind w:left="576" w:hanging="216"/>
            </w:pPr>
            <w:r w:rsidRPr="005D4222">
              <w:rPr>
                <w:i/>
                <w:iCs/>
              </w:rPr>
              <w:t xml:space="preserve">Timeliness of Prenatal Care. </w:t>
            </w:r>
            <w:r w:rsidRPr="005D4222">
              <w:t>The percentage of deliveries that received a prenatal care visit in the first trimester on or before the enrollment start date or within 42 days of enrollment in the organization.</w:t>
            </w:r>
          </w:p>
          <w:p w14:paraId="36541255" w14:textId="77777777" w:rsidR="004242EA" w:rsidRPr="005D4222" w:rsidRDefault="004242EA" w:rsidP="004242EA">
            <w:pPr>
              <w:pStyle w:val="Bullet"/>
              <w:numPr>
                <w:ilvl w:val="0"/>
                <w:numId w:val="4"/>
              </w:numPr>
              <w:tabs>
                <w:tab w:val="left" w:pos="360"/>
                <w:tab w:val="left" w:pos="576"/>
              </w:tabs>
              <w:spacing w:after="80"/>
              <w:ind w:left="576" w:hanging="216"/>
            </w:pPr>
            <w:r w:rsidRPr="005D4222">
              <w:rPr>
                <w:i/>
                <w:iCs/>
              </w:rPr>
              <w:t xml:space="preserve">Postpartum Care. </w:t>
            </w:r>
            <w:r w:rsidRPr="005D4222">
              <w:t>The percentage of deliveries that had a postpartum visit on or between 7 and 84 days after delivery.</w:t>
            </w:r>
          </w:p>
        </w:tc>
      </w:tr>
      <w:tr w:rsidR="004242EA" w:rsidRPr="005D4222" w14:paraId="17A5061C" w14:textId="77777777" w:rsidTr="00A53E8C">
        <w:tc>
          <w:tcPr>
            <w:tcW w:w="2175" w:type="dxa"/>
            <w:shd w:val="clear" w:color="auto" w:fill="BFBFBF" w:themeFill="background1" w:themeFillShade="BF"/>
            <w:tcMar>
              <w:top w:w="0" w:type="dxa"/>
              <w:left w:w="86" w:type="dxa"/>
              <w:bottom w:w="43" w:type="dxa"/>
              <w:right w:w="86" w:type="dxa"/>
            </w:tcMar>
          </w:tcPr>
          <w:p w14:paraId="6848D5E6" w14:textId="77777777" w:rsidR="004242EA" w:rsidRPr="005D4222" w:rsidRDefault="004242EA" w:rsidP="00A53E8C">
            <w:pPr>
              <w:pStyle w:val="ECDSMarginHead"/>
            </w:pPr>
            <w:r w:rsidRPr="005D4222">
              <w:t>Measurement period</w:t>
            </w:r>
          </w:p>
        </w:tc>
        <w:tc>
          <w:tcPr>
            <w:tcW w:w="7560" w:type="dxa"/>
            <w:gridSpan w:val="3"/>
            <w:tcMar>
              <w:top w:w="0" w:type="dxa"/>
              <w:left w:w="86" w:type="dxa"/>
              <w:bottom w:w="43" w:type="dxa"/>
              <w:right w:w="86" w:type="dxa"/>
            </w:tcMar>
          </w:tcPr>
          <w:p w14:paraId="4D42D2FD" w14:textId="77777777" w:rsidR="004242EA" w:rsidRPr="005D4222" w:rsidRDefault="004242EA" w:rsidP="00A53E8C">
            <w:pPr>
              <w:pStyle w:val="ECDSBody"/>
            </w:pPr>
            <w:r w:rsidRPr="005D4222">
              <w:t>January 1–December 31.</w:t>
            </w:r>
          </w:p>
        </w:tc>
      </w:tr>
      <w:tr w:rsidR="004242EA" w:rsidRPr="005D4222" w14:paraId="3704074C" w14:textId="77777777" w:rsidTr="00A53E8C">
        <w:tc>
          <w:tcPr>
            <w:tcW w:w="2175" w:type="dxa"/>
            <w:shd w:val="clear" w:color="auto" w:fill="BFBFBF" w:themeFill="background1" w:themeFillShade="BF"/>
            <w:tcMar>
              <w:top w:w="0" w:type="dxa"/>
              <w:left w:w="86" w:type="dxa"/>
              <w:bottom w:w="43" w:type="dxa"/>
              <w:right w:w="86" w:type="dxa"/>
            </w:tcMar>
            <w:hideMark/>
          </w:tcPr>
          <w:p w14:paraId="30E81D9D" w14:textId="77777777" w:rsidR="004242EA" w:rsidRPr="005D4222" w:rsidRDefault="004242EA" w:rsidP="00A53E8C">
            <w:pPr>
              <w:pStyle w:val="ECDSMarginHead"/>
              <w:rPr>
                <w:rFonts w:eastAsia="Arial"/>
              </w:rPr>
            </w:pPr>
            <w:r w:rsidRPr="005D4222">
              <w:rPr>
                <w:rFonts w:eastAsia="Arial"/>
              </w:rPr>
              <w:t>Copyright and disclaimer notice</w:t>
            </w:r>
          </w:p>
        </w:tc>
        <w:tc>
          <w:tcPr>
            <w:tcW w:w="7560" w:type="dxa"/>
            <w:gridSpan w:val="3"/>
            <w:tcMar>
              <w:top w:w="0" w:type="dxa"/>
              <w:left w:w="86" w:type="dxa"/>
              <w:bottom w:w="43" w:type="dxa"/>
              <w:right w:w="86" w:type="dxa"/>
            </w:tcMar>
          </w:tcPr>
          <w:p w14:paraId="53C4E7C6" w14:textId="77777777" w:rsidR="004242EA" w:rsidRPr="005D4222" w:rsidRDefault="004242EA" w:rsidP="00A53E8C">
            <w:pPr>
              <w:pStyle w:val="ECDSBody"/>
            </w:pPr>
            <w:r w:rsidRPr="005D4222">
              <w:t xml:space="preserve">Refer to the complete copyright and disclaimer information at the front of this publication. </w:t>
            </w:r>
          </w:p>
          <w:p w14:paraId="43FC8BAB" w14:textId="77777777" w:rsidR="004242EA" w:rsidRPr="005D4222" w:rsidRDefault="004242EA" w:rsidP="00A53E8C">
            <w:pPr>
              <w:pStyle w:val="ECDSBody"/>
              <w:spacing w:before="80"/>
            </w:pPr>
            <w:r w:rsidRPr="005D4222">
              <w:t xml:space="preserve">NCQA website: </w:t>
            </w:r>
            <w:r w:rsidRPr="005D4222">
              <w:rPr>
                <w:u w:val="single"/>
              </w:rPr>
              <w:t>www.ncqa.org</w:t>
            </w:r>
            <w:r w:rsidRPr="005D4222">
              <w:t>.</w:t>
            </w:r>
          </w:p>
          <w:p w14:paraId="4A86F8CF" w14:textId="77777777" w:rsidR="004242EA" w:rsidRPr="005D4222" w:rsidRDefault="004242EA" w:rsidP="00A53E8C">
            <w:pPr>
              <w:pStyle w:val="ECDSBody"/>
              <w:spacing w:before="80"/>
            </w:pPr>
            <w:r w:rsidRPr="005D4222">
              <w:t>Submit policy clarification support questions via My NCQA (</w:t>
            </w:r>
            <w:r w:rsidRPr="005D4222">
              <w:rPr>
                <w:u w:val="single"/>
              </w:rPr>
              <w:t>https://my.ncqa.org</w:t>
            </w:r>
            <w:r w:rsidRPr="005D4222">
              <w:t>).</w:t>
            </w:r>
          </w:p>
        </w:tc>
      </w:tr>
      <w:tr w:rsidR="004242EA" w:rsidRPr="005D4222" w14:paraId="06F097D6" w14:textId="77777777" w:rsidTr="00A53E8C">
        <w:tc>
          <w:tcPr>
            <w:tcW w:w="2175" w:type="dxa"/>
            <w:shd w:val="clear" w:color="auto" w:fill="BFBFBF" w:themeFill="background1" w:themeFillShade="BF"/>
            <w:tcMar>
              <w:top w:w="0" w:type="dxa"/>
              <w:left w:w="86" w:type="dxa"/>
              <w:bottom w:w="43" w:type="dxa"/>
              <w:right w:w="86" w:type="dxa"/>
            </w:tcMar>
            <w:hideMark/>
          </w:tcPr>
          <w:p w14:paraId="3098D03E" w14:textId="77777777" w:rsidR="004242EA" w:rsidRPr="005D4222" w:rsidRDefault="004242EA" w:rsidP="00A53E8C">
            <w:pPr>
              <w:pStyle w:val="ECDSMarginHead"/>
            </w:pPr>
            <w:r w:rsidRPr="005D4222">
              <w:t>Clinical recommendation statement/ rationale</w:t>
            </w:r>
          </w:p>
        </w:tc>
        <w:tc>
          <w:tcPr>
            <w:tcW w:w="7560" w:type="dxa"/>
            <w:gridSpan w:val="3"/>
            <w:tcMar>
              <w:top w:w="0" w:type="dxa"/>
              <w:left w:w="86" w:type="dxa"/>
              <w:bottom w:w="43" w:type="dxa"/>
              <w:right w:w="86" w:type="dxa"/>
            </w:tcMar>
          </w:tcPr>
          <w:p w14:paraId="7179A7FF" w14:textId="77777777" w:rsidR="004242EA" w:rsidRPr="005D4222" w:rsidRDefault="004242EA" w:rsidP="00A53E8C">
            <w:pPr>
              <w:pStyle w:val="ECDSBody"/>
            </w:pPr>
            <w:r w:rsidRPr="005D4222">
              <w:t xml:space="preserve">According to the National Institutes of Health (NIH), prenatal care can minimize the risk of pregnancy complications and negative birth outcomes. Similarly, comprehensive postpartum care is critical for setting the stage for the long-term health and well-being of new mothers and their infants. Common issues after birth include lack of sleep, fatigue, pain, stress, breastfeeding difficulties, mental health disorders and pre-existing health and social concerns. In addition, more than half of maternal deaths occur after birth. </w:t>
            </w:r>
          </w:p>
          <w:p w14:paraId="632EDACB" w14:textId="77777777" w:rsidR="004242EA" w:rsidRPr="005D4222" w:rsidRDefault="004242EA" w:rsidP="00A53E8C">
            <w:pPr>
              <w:pStyle w:val="ECDSBody"/>
            </w:pPr>
            <w:r w:rsidRPr="005D4222">
              <w:t xml:space="preserve">Joint guidelines published by ACOG and the American Academy of Pediatrics (AAP) recommend a prenatal visit in the first trimester of pregnancy. In May 2018, ACOG published a committee opinion recommending that all women have an initial assessment with a maternal care provider within 21 days after birth to address acute postpartum issues. The initial assessment should then be followed by ongoing care as needed and conclude with a comprehensive visit within 12 weeks after birth. </w:t>
            </w:r>
          </w:p>
          <w:p w14:paraId="178C9303" w14:textId="77777777" w:rsidR="004242EA" w:rsidRPr="005D4222" w:rsidRDefault="004242EA" w:rsidP="00A53E8C">
            <w:pPr>
              <w:pStyle w:val="ECDSBody"/>
            </w:pPr>
            <w:r w:rsidRPr="005D4222">
              <w:t>The Department of Defense, Veteran’s Administration (DoD/VA) clinical practice guidelines recommend a postpartum visit within 6 weeks, and no later than 8 weeks, after delivery.</w:t>
            </w:r>
          </w:p>
        </w:tc>
      </w:tr>
      <w:tr w:rsidR="004242EA" w:rsidRPr="005D4222" w14:paraId="32607AA1" w14:textId="77777777" w:rsidTr="00A53E8C">
        <w:tc>
          <w:tcPr>
            <w:tcW w:w="2175" w:type="dxa"/>
            <w:tcBorders>
              <w:bottom w:val="single" w:sz="4" w:space="0" w:color="auto"/>
            </w:tcBorders>
            <w:shd w:val="clear" w:color="auto" w:fill="BFBFBF" w:themeFill="background1" w:themeFillShade="BF"/>
            <w:tcMar>
              <w:top w:w="0" w:type="dxa"/>
              <w:left w:w="86" w:type="dxa"/>
              <w:bottom w:w="43" w:type="dxa"/>
              <w:right w:w="86" w:type="dxa"/>
            </w:tcMar>
          </w:tcPr>
          <w:p w14:paraId="56FD93A1" w14:textId="77777777" w:rsidR="004242EA" w:rsidRPr="005D4222" w:rsidRDefault="004242EA" w:rsidP="00A53E8C">
            <w:pPr>
              <w:pStyle w:val="ECDSMarginHead"/>
            </w:pPr>
            <w:r w:rsidRPr="005D4222">
              <w:t>Citations</w:t>
            </w:r>
          </w:p>
        </w:tc>
        <w:tc>
          <w:tcPr>
            <w:tcW w:w="7560" w:type="dxa"/>
            <w:gridSpan w:val="3"/>
            <w:tcBorders>
              <w:bottom w:val="single" w:sz="4" w:space="0" w:color="auto"/>
            </w:tcBorders>
            <w:tcMar>
              <w:top w:w="0" w:type="dxa"/>
              <w:left w:w="86" w:type="dxa"/>
              <w:bottom w:w="43" w:type="dxa"/>
              <w:right w:w="86" w:type="dxa"/>
            </w:tcMar>
          </w:tcPr>
          <w:p w14:paraId="25D33337" w14:textId="4D050396" w:rsidR="00BD4531" w:rsidRPr="005D4222" w:rsidRDefault="004242EA" w:rsidP="00BD4531">
            <w:pPr>
              <w:pStyle w:val="ECDSBody"/>
              <w:rPr>
                <w:rStyle w:val="eop"/>
                <w:rFonts w:eastAsiaTheme="majorEastAsia"/>
                <w:color w:val="000000" w:themeColor="text1"/>
              </w:rPr>
            </w:pPr>
            <w:r w:rsidRPr="005D4222">
              <w:rPr>
                <w:rStyle w:val="eop"/>
                <w:rFonts w:eastAsiaTheme="majorEastAsia"/>
                <w:color w:val="000000" w:themeColor="text1"/>
              </w:rPr>
              <w:t xml:space="preserve">National Institutes of Health (NIH). 2012. Eunice Kennedy Shriver National Institute of Child Health and Human Development. What Is Prenatal Care &amp; Why Is It Important? </w:t>
            </w:r>
            <w:r w:rsidR="00BD4531" w:rsidRPr="005D4222">
              <w:rPr>
                <w:rFonts w:eastAsiaTheme="majorEastAsia"/>
              </w:rPr>
              <w:t>www.nichd.nih.gov/health/topics/pregnancy/conditioninfo/Pages/prenatal-care.asp</w:t>
            </w:r>
          </w:p>
        </w:tc>
      </w:tr>
    </w:tbl>
    <w:p w14:paraId="3A4D4E6D" w14:textId="633A0F95" w:rsidR="00BD4531" w:rsidRPr="005D4222" w:rsidRDefault="00BD4531" w:rsidP="004242EA"/>
    <w:p w14:paraId="4574A5D7" w14:textId="77777777" w:rsidR="00BD4531" w:rsidRPr="005D4222" w:rsidRDefault="00BD4531">
      <w:r w:rsidRPr="005D4222">
        <w:br w:type="page"/>
      </w:r>
    </w:p>
    <w:tbl>
      <w:tblPr>
        <w:tblW w:w="9735" w:type="dxa"/>
        <w:tblInd w:w="-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89"/>
        <w:gridCol w:w="7546"/>
      </w:tblGrid>
      <w:tr w:rsidR="004242EA" w:rsidRPr="005D4222" w14:paraId="3B40A027" w14:textId="77777777" w:rsidTr="00A53E8C">
        <w:tc>
          <w:tcPr>
            <w:tcW w:w="2189" w:type="dxa"/>
            <w:tcBorders>
              <w:bottom w:val="single" w:sz="4" w:space="0" w:color="auto"/>
            </w:tcBorders>
            <w:shd w:val="clear" w:color="auto" w:fill="BFBFBF" w:themeFill="background1" w:themeFillShade="BF"/>
            <w:tcMar>
              <w:top w:w="0" w:type="dxa"/>
              <w:left w:w="86" w:type="dxa"/>
              <w:bottom w:w="43" w:type="dxa"/>
              <w:right w:w="86" w:type="dxa"/>
            </w:tcMar>
          </w:tcPr>
          <w:p w14:paraId="42C68091" w14:textId="77777777" w:rsidR="004242EA" w:rsidRPr="005D4222" w:rsidRDefault="004242EA" w:rsidP="00A53E8C">
            <w:pPr>
              <w:pStyle w:val="ECDSMarginHead"/>
            </w:pPr>
          </w:p>
        </w:tc>
        <w:tc>
          <w:tcPr>
            <w:tcW w:w="7546" w:type="dxa"/>
            <w:tcBorders>
              <w:bottom w:val="single" w:sz="4" w:space="0" w:color="auto"/>
            </w:tcBorders>
            <w:tcMar>
              <w:top w:w="0" w:type="dxa"/>
              <w:left w:w="86" w:type="dxa"/>
              <w:bottom w:w="43" w:type="dxa"/>
              <w:right w:w="86" w:type="dxa"/>
            </w:tcMar>
          </w:tcPr>
          <w:p w14:paraId="18082762" w14:textId="77777777" w:rsidR="00BD4531" w:rsidRPr="005D4222" w:rsidRDefault="00BD4531" w:rsidP="00BD4531">
            <w:pPr>
              <w:pStyle w:val="ECDSBody"/>
              <w:rPr>
                <w:rStyle w:val="eop"/>
                <w:rFonts w:eastAsiaTheme="majorEastAsia"/>
                <w:color w:val="000000" w:themeColor="text1"/>
              </w:rPr>
            </w:pPr>
            <w:r w:rsidRPr="005D4222">
              <w:rPr>
                <w:rStyle w:val="eop"/>
                <w:rFonts w:eastAsiaTheme="majorEastAsia"/>
                <w:color w:val="000000" w:themeColor="text1"/>
              </w:rPr>
              <w:t xml:space="preserve">American College of Obstetricians and Gynecologists (ACOG). 2018. “Optimizing Postpartum Care.” ACOG Committee Opinion No. 736. </w:t>
            </w:r>
            <w:r w:rsidRPr="005D4222">
              <w:rPr>
                <w:rStyle w:val="eop"/>
                <w:rFonts w:eastAsiaTheme="majorEastAsia"/>
                <w:i/>
                <w:iCs/>
                <w:color w:val="000000" w:themeColor="text1"/>
              </w:rPr>
              <w:t xml:space="preserve">Obstet Gynecol </w:t>
            </w:r>
            <w:r w:rsidRPr="005D4222">
              <w:rPr>
                <w:rStyle w:val="eop"/>
                <w:rFonts w:eastAsiaTheme="majorEastAsia"/>
                <w:color w:val="000000" w:themeColor="text1"/>
              </w:rPr>
              <w:t>131:140–50.</w:t>
            </w:r>
          </w:p>
          <w:p w14:paraId="543F13C4" w14:textId="77777777" w:rsidR="004242EA" w:rsidRPr="005D4222" w:rsidRDefault="004242EA" w:rsidP="00A53E8C">
            <w:pPr>
              <w:pStyle w:val="ECDSBody"/>
              <w:rPr>
                <w:rStyle w:val="eop"/>
                <w:rFonts w:eastAsiaTheme="majorEastAsia"/>
                <w:color w:val="000000" w:themeColor="text1"/>
              </w:rPr>
            </w:pPr>
            <w:r w:rsidRPr="005D4222">
              <w:rPr>
                <w:rStyle w:val="eop"/>
                <w:rFonts w:eastAsiaTheme="majorEastAsia"/>
                <w:color w:val="000000" w:themeColor="text1"/>
              </w:rPr>
              <w:t xml:space="preserve">Kassebaum, N., A. Bertozzi-Villa, M. Coggeshall, K. Shackelford, C. Steiner, </w:t>
            </w:r>
            <w:r w:rsidRPr="005D4222">
              <w:rPr>
                <w:rStyle w:val="eop"/>
                <w:rFonts w:eastAsiaTheme="majorEastAsia"/>
                <w:color w:val="000000" w:themeColor="text1"/>
              </w:rPr>
              <w:br/>
              <w:t>K. Heuton, and D. Gonzalez-Medina.2015. “Global, Regional, and National Levels and Causes of Maternal Mortality During 1990-2013.” Obstetric Anesthesia Digest 35(4), 196–7. doi:10.1097/01.aoa.0000472714.57328.86.</w:t>
            </w:r>
          </w:p>
          <w:p w14:paraId="12E61EEC" w14:textId="77777777" w:rsidR="004242EA" w:rsidRPr="005D4222" w:rsidRDefault="004242EA" w:rsidP="00A53E8C">
            <w:pPr>
              <w:pStyle w:val="ECDSBody"/>
              <w:rPr>
                <w:rStyle w:val="eop"/>
                <w:rFonts w:eastAsiaTheme="majorEastAsia"/>
                <w:color w:val="000000" w:themeColor="text1"/>
              </w:rPr>
            </w:pPr>
            <w:r w:rsidRPr="005D4222">
              <w:rPr>
                <w:rStyle w:val="eop"/>
                <w:rFonts w:eastAsiaTheme="majorEastAsia"/>
                <w:color w:val="000000" w:themeColor="text1"/>
              </w:rPr>
              <w:t>American Academy of Pediatrics, American College of Obstetricians and Gynecologists. 2017. Guidelines for Perinatal Care. 8th Ed. Elk Grove Village, Ill. American Academy of Pediatrics, and Washington, DC.</w:t>
            </w:r>
          </w:p>
          <w:p w14:paraId="213CF99C" w14:textId="77777777" w:rsidR="004242EA" w:rsidRPr="005D4222" w:rsidRDefault="004242EA" w:rsidP="00A53E8C">
            <w:pPr>
              <w:pStyle w:val="ECDSBody"/>
              <w:rPr>
                <w:rStyle w:val="eop"/>
                <w:rFonts w:eastAsiaTheme="majorEastAsia"/>
                <w:color w:val="000000" w:themeColor="text1"/>
              </w:rPr>
            </w:pPr>
            <w:r w:rsidRPr="005D4222">
              <w:rPr>
                <w:rStyle w:val="eop"/>
                <w:rFonts w:eastAsiaTheme="majorEastAsia"/>
                <w:color w:val="000000" w:themeColor="text1"/>
              </w:rPr>
              <w:t>Department of Veteran’s Affairs. Department of Defense. 2018. VA/DoD Clinical Practice Guideline for Management of Pregnancy. https://www.healthquality.va.gov/guidelines/WH/up/VADoDPregnancyCPG4102018.pdf</w:t>
            </w:r>
          </w:p>
        </w:tc>
      </w:tr>
      <w:tr w:rsidR="004242EA" w:rsidRPr="005D4222" w14:paraId="508C4625" w14:textId="77777777" w:rsidTr="00A53E8C">
        <w:tc>
          <w:tcPr>
            <w:tcW w:w="9735" w:type="dxa"/>
            <w:gridSpan w:val="2"/>
            <w:tcBorders>
              <w:bottom w:val="single" w:sz="4" w:space="0" w:color="auto"/>
            </w:tcBorders>
            <w:shd w:val="clear" w:color="auto" w:fill="BFBFBF" w:themeFill="background1" w:themeFillShade="BF"/>
            <w:tcMar>
              <w:top w:w="0" w:type="dxa"/>
              <w:left w:w="86" w:type="dxa"/>
              <w:bottom w:w="43" w:type="dxa"/>
              <w:right w:w="86" w:type="dxa"/>
            </w:tcMar>
          </w:tcPr>
          <w:p w14:paraId="394CC0C6" w14:textId="77777777" w:rsidR="004242EA" w:rsidRPr="005D4222" w:rsidRDefault="004242EA" w:rsidP="00A53E8C">
            <w:pPr>
              <w:pStyle w:val="ECDSMarginSubhead"/>
            </w:pPr>
            <w:r w:rsidRPr="005D4222">
              <w:t>Characteristics</w:t>
            </w:r>
          </w:p>
        </w:tc>
      </w:tr>
      <w:tr w:rsidR="004242EA" w:rsidRPr="005D4222" w14:paraId="4D491176" w14:textId="77777777" w:rsidTr="00A53E8C">
        <w:tc>
          <w:tcPr>
            <w:tcW w:w="2189"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306BC798" w14:textId="77777777" w:rsidR="004242EA" w:rsidRPr="005D4222" w:rsidRDefault="004242EA" w:rsidP="00BD4531">
            <w:pPr>
              <w:pStyle w:val="ECDSMarginSubhead"/>
              <w:spacing w:after="0"/>
            </w:pPr>
            <w:r w:rsidRPr="005D4222">
              <w:t>Scoring</w:t>
            </w:r>
          </w:p>
        </w:tc>
        <w:tc>
          <w:tcPr>
            <w:tcW w:w="7546" w:type="dxa"/>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31D4D701" w14:textId="77777777" w:rsidR="004242EA" w:rsidRPr="005D4222" w:rsidRDefault="004242EA" w:rsidP="00BD4531">
            <w:pPr>
              <w:pStyle w:val="ECDSBody"/>
              <w:spacing w:after="0"/>
            </w:pPr>
            <w:r w:rsidRPr="005D4222">
              <w:t>Proportion.</w:t>
            </w:r>
          </w:p>
        </w:tc>
      </w:tr>
      <w:tr w:rsidR="004242EA" w:rsidRPr="005D4222" w14:paraId="24F6A942" w14:textId="77777777" w:rsidTr="00A53E8C">
        <w:tc>
          <w:tcPr>
            <w:tcW w:w="2189" w:type="dxa"/>
            <w:tcBorders>
              <w:top w:val="nil"/>
              <w:left w:val="single" w:sz="4" w:space="0" w:color="auto"/>
              <w:bottom w:val="nil"/>
              <w:right w:val="single" w:sz="4" w:space="0" w:color="auto"/>
            </w:tcBorders>
            <w:tcMar>
              <w:top w:w="0" w:type="dxa"/>
              <w:left w:w="86" w:type="dxa"/>
              <w:bottom w:w="43" w:type="dxa"/>
              <w:right w:w="86" w:type="dxa"/>
            </w:tcMar>
          </w:tcPr>
          <w:p w14:paraId="072FBC61" w14:textId="77777777" w:rsidR="004242EA" w:rsidRPr="005D4222" w:rsidRDefault="004242EA" w:rsidP="00BD4531">
            <w:pPr>
              <w:pStyle w:val="ECDSMarginSubhead"/>
              <w:spacing w:after="0"/>
            </w:pPr>
            <w:r w:rsidRPr="005D4222">
              <w:t>Type</w:t>
            </w:r>
          </w:p>
        </w:tc>
        <w:tc>
          <w:tcPr>
            <w:tcW w:w="7546" w:type="dxa"/>
            <w:tcBorders>
              <w:top w:val="nil"/>
              <w:left w:val="single" w:sz="4" w:space="0" w:color="auto"/>
              <w:bottom w:val="nil"/>
              <w:right w:val="single" w:sz="4" w:space="0" w:color="auto"/>
            </w:tcBorders>
            <w:tcMar>
              <w:top w:w="0" w:type="dxa"/>
              <w:left w:w="86" w:type="dxa"/>
              <w:bottom w:w="43" w:type="dxa"/>
              <w:right w:w="86" w:type="dxa"/>
            </w:tcMar>
          </w:tcPr>
          <w:p w14:paraId="4D5A86EA" w14:textId="77777777" w:rsidR="004242EA" w:rsidRPr="005D4222" w:rsidRDefault="004242EA" w:rsidP="00BD4531">
            <w:pPr>
              <w:pStyle w:val="ECDSBody"/>
              <w:spacing w:after="0"/>
            </w:pPr>
            <w:r w:rsidRPr="005D4222">
              <w:t>Process.</w:t>
            </w:r>
          </w:p>
        </w:tc>
      </w:tr>
      <w:tr w:rsidR="004242EA" w:rsidRPr="005D4222" w14:paraId="105EA4AC" w14:textId="77777777" w:rsidTr="00A53E8C">
        <w:tc>
          <w:tcPr>
            <w:tcW w:w="2189" w:type="dxa"/>
            <w:tcBorders>
              <w:top w:val="nil"/>
              <w:left w:val="single" w:sz="4" w:space="0" w:color="auto"/>
              <w:bottom w:val="nil"/>
              <w:right w:val="single" w:sz="4" w:space="0" w:color="auto"/>
            </w:tcBorders>
            <w:tcMar>
              <w:top w:w="0" w:type="dxa"/>
              <w:left w:w="86" w:type="dxa"/>
              <w:bottom w:w="43" w:type="dxa"/>
              <w:right w:w="86" w:type="dxa"/>
            </w:tcMar>
          </w:tcPr>
          <w:p w14:paraId="25C8122F" w14:textId="3C1531B4" w:rsidR="004242EA" w:rsidRPr="005D4222" w:rsidRDefault="00B51CDC" w:rsidP="00A53E8C">
            <w:pPr>
              <w:pStyle w:val="ECDSMarginSubhead"/>
            </w:pPr>
            <w:r w:rsidRPr="005D4222">
              <w:t>Product lines</w:t>
            </w:r>
          </w:p>
        </w:tc>
        <w:tc>
          <w:tcPr>
            <w:tcW w:w="7546" w:type="dxa"/>
            <w:tcBorders>
              <w:top w:val="nil"/>
              <w:left w:val="single" w:sz="4" w:space="0" w:color="auto"/>
              <w:bottom w:val="nil"/>
              <w:right w:val="single" w:sz="4" w:space="0" w:color="auto"/>
            </w:tcBorders>
            <w:tcMar>
              <w:top w:w="0" w:type="dxa"/>
              <w:left w:w="86" w:type="dxa"/>
              <w:bottom w:w="43" w:type="dxa"/>
              <w:right w:w="86" w:type="dxa"/>
            </w:tcMar>
          </w:tcPr>
          <w:p w14:paraId="076E5A50" w14:textId="77777777" w:rsidR="004242EA" w:rsidRPr="005D4222" w:rsidRDefault="004242EA" w:rsidP="00A53E8C">
            <w:pPr>
              <w:pStyle w:val="ProcessBullet"/>
            </w:pPr>
            <w:r w:rsidRPr="005D4222">
              <w:t>Commercial.</w:t>
            </w:r>
          </w:p>
          <w:p w14:paraId="2F8B5C3F" w14:textId="77777777" w:rsidR="004242EA" w:rsidRPr="005D4222" w:rsidRDefault="004242EA" w:rsidP="00A53E8C">
            <w:pPr>
              <w:pStyle w:val="ProcessBullet"/>
            </w:pPr>
            <w:r w:rsidRPr="005D4222">
              <w:t>Medicaid.</w:t>
            </w:r>
          </w:p>
        </w:tc>
      </w:tr>
      <w:tr w:rsidR="004242EA" w:rsidRPr="005D4222" w14:paraId="1A910C2D" w14:textId="77777777" w:rsidTr="00A53E8C">
        <w:trPr>
          <w:trHeight w:val="4921"/>
        </w:trPr>
        <w:tc>
          <w:tcPr>
            <w:tcW w:w="2189" w:type="dxa"/>
            <w:tcBorders>
              <w:top w:val="nil"/>
              <w:left w:val="single" w:sz="4" w:space="0" w:color="auto"/>
              <w:bottom w:val="nil"/>
              <w:right w:val="single" w:sz="4" w:space="0" w:color="auto"/>
            </w:tcBorders>
            <w:tcMar>
              <w:top w:w="0" w:type="dxa"/>
              <w:left w:w="86" w:type="dxa"/>
              <w:bottom w:w="43" w:type="dxa"/>
              <w:right w:w="86" w:type="dxa"/>
            </w:tcMar>
          </w:tcPr>
          <w:p w14:paraId="19E00E6A" w14:textId="64B10CEC" w:rsidR="004242EA" w:rsidRPr="005D4222" w:rsidRDefault="00B51CDC" w:rsidP="00A53E8C">
            <w:pPr>
              <w:pStyle w:val="ECDSMarginSubhead"/>
            </w:pPr>
            <w:r w:rsidRPr="005D4222">
              <w:t>Stratifications</w:t>
            </w:r>
            <w:r w:rsidR="004242EA" w:rsidRPr="005D4222">
              <w:t xml:space="preserve"> </w:t>
            </w:r>
          </w:p>
        </w:tc>
        <w:tc>
          <w:tcPr>
            <w:tcW w:w="7546" w:type="dxa"/>
            <w:tcBorders>
              <w:top w:val="nil"/>
              <w:left w:val="single" w:sz="4" w:space="0" w:color="auto"/>
              <w:bottom w:val="nil"/>
              <w:right w:val="single" w:sz="4" w:space="0" w:color="auto"/>
            </w:tcBorders>
            <w:tcMar>
              <w:top w:w="0" w:type="dxa"/>
              <w:left w:w="86" w:type="dxa"/>
              <w:bottom w:w="43" w:type="dxa"/>
              <w:right w:w="86" w:type="dxa"/>
            </w:tcMar>
            <w:hideMark/>
          </w:tcPr>
          <w:p w14:paraId="4395A743" w14:textId="37EAE4D1" w:rsidR="004242EA" w:rsidRPr="005D4222" w:rsidRDefault="004242EA" w:rsidP="00A53E8C">
            <w:pPr>
              <w:pStyle w:val="ECDSBody"/>
            </w:pPr>
            <w:r w:rsidRPr="005D4222">
              <w:t xml:space="preserve">Race. (Refer to </w:t>
            </w:r>
            <w:hyperlink w:anchor="GG_Race_and_Ethnicity" w:history="1">
              <w:r w:rsidRPr="005D4222">
                <w:rPr>
                  <w:rStyle w:val="Hyperlink"/>
                  <w:i/>
                  <w:iCs/>
                </w:rPr>
                <w:t>General Guideline: Race and Ethnicity Stratification</w:t>
              </w:r>
            </w:hyperlink>
            <w:r w:rsidRPr="005D4222">
              <w:t>.)</w:t>
            </w:r>
          </w:p>
          <w:p w14:paraId="5F3E9C5D" w14:textId="77777777" w:rsidR="004242EA" w:rsidRPr="005D4222" w:rsidRDefault="004242EA" w:rsidP="004242EA">
            <w:pPr>
              <w:pStyle w:val="Bullet"/>
              <w:numPr>
                <w:ilvl w:val="0"/>
                <w:numId w:val="4"/>
              </w:numPr>
              <w:tabs>
                <w:tab w:val="left" w:pos="360"/>
                <w:tab w:val="left" w:pos="576"/>
              </w:tabs>
              <w:spacing w:before="60" w:after="60"/>
              <w:ind w:left="576" w:hanging="216"/>
            </w:pPr>
            <w:r w:rsidRPr="005D4222">
              <w:t xml:space="preserve">American Indian or Alaska Native. </w:t>
            </w:r>
          </w:p>
          <w:p w14:paraId="000192A0" w14:textId="77777777" w:rsidR="004242EA" w:rsidRPr="005D4222" w:rsidRDefault="004242EA" w:rsidP="004242EA">
            <w:pPr>
              <w:pStyle w:val="Bullet"/>
              <w:numPr>
                <w:ilvl w:val="0"/>
                <w:numId w:val="4"/>
              </w:numPr>
              <w:tabs>
                <w:tab w:val="left" w:pos="360"/>
                <w:tab w:val="left" w:pos="576"/>
              </w:tabs>
              <w:spacing w:before="60" w:after="60"/>
              <w:ind w:left="576" w:hanging="216"/>
            </w:pPr>
            <w:r w:rsidRPr="005D4222">
              <w:t xml:space="preserve">Asian. </w:t>
            </w:r>
          </w:p>
          <w:p w14:paraId="5762BABF" w14:textId="77777777" w:rsidR="004242EA" w:rsidRPr="005D4222" w:rsidRDefault="004242EA" w:rsidP="004242EA">
            <w:pPr>
              <w:pStyle w:val="Bullet"/>
              <w:numPr>
                <w:ilvl w:val="0"/>
                <w:numId w:val="4"/>
              </w:numPr>
              <w:tabs>
                <w:tab w:val="left" w:pos="360"/>
                <w:tab w:val="left" w:pos="576"/>
              </w:tabs>
              <w:spacing w:before="60" w:after="60"/>
              <w:ind w:left="576" w:hanging="216"/>
            </w:pPr>
            <w:r w:rsidRPr="005D4222">
              <w:t xml:space="preserve">Black or African American. </w:t>
            </w:r>
          </w:p>
          <w:p w14:paraId="01A31B31" w14:textId="77777777" w:rsidR="004242EA" w:rsidRPr="005D4222" w:rsidRDefault="004242EA" w:rsidP="004242EA">
            <w:pPr>
              <w:pStyle w:val="Bullet"/>
              <w:numPr>
                <w:ilvl w:val="0"/>
                <w:numId w:val="4"/>
              </w:numPr>
              <w:tabs>
                <w:tab w:val="left" w:pos="360"/>
                <w:tab w:val="left" w:pos="576"/>
              </w:tabs>
              <w:spacing w:before="60" w:after="60"/>
              <w:ind w:left="576" w:hanging="216"/>
            </w:pPr>
            <w:r w:rsidRPr="005D4222">
              <w:t>Middle Eastern or North African.</w:t>
            </w:r>
          </w:p>
          <w:p w14:paraId="6956D40E" w14:textId="77777777" w:rsidR="004242EA" w:rsidRPr="005D4222" w:rsidRDefault="004242EA" w:rsidP="004242EA">
            <w:pPr>
              <w:pStyle w:val="Bullet"/>
              <w:numPr>
                <w:ilvl w:val="0"/>
                <w:numId w:val="4"/>
              </w:numPr>
              <w:tabs>
                <w:tab w:val="left" w:pos="360"/>
                <w:tab w:val="left" w:pos="576"/>
              </w:tabs>
              <w:spacing w:before="60" w:after="60"/>
              <w:ind w:left="576" w:hanging="216"/>
            </w:pPr>
            <w:r w:rsidRPr="005D4222">
              <w:t>Native Hawaiian or Pacific Islander.</w:t>
            </w:r>
          </w:p>
          <w:p w14:paraId="43121233" w14:textId="77777777" w:rsidR="004242EA" w:rsidRPr="005D4222" w:rsidRDefault="004242EA" w:rsidP="004242EA">
            <w:pPr>
              <w:pStyle w:val="Bullet"/>
              <w:numPr>
                <w:ilvl w:val="0"/>
                <w:numId w:val="4"/>
              </w:numPr>
              <w:tabs>
                <w:tab w:val="left" w:pos="360"/>
                <w:tab w:val="left" w:pos="576"/>
              </w:tabs>
              <w:spacing w:before="60" w:after="60"/>
              <w:ind w:left="576" w:hanging="216"/>
            </w:pPr>
            <w:r w:rsidRPr="005D4222">
              <w:t>White.</w:t>
            </w:r>
          </w:p>
          <w:p w14:paraId="27511029" w14:textId="77777777" w:rsidR="004242EA" w:rsidRPr="005D4222" w:rsidRDefault="004242EA" w:rsidP="004242EA">
            <w:pPr>
              <w:pStyle w:val="Bullet"/>
              <w:numPr>
                <w:ilvl w:val="0"/>
                <w:numId w:val="4"/>
              </w:numPr>
              <w:tabs>
                <w:tab w:val="left" w:pos="360"/>
                <w:tab w:val="left" w:pos="576"/>
              </w:tabs>
              <w:spacing w:before="60" w:after="60"/>
              <w:ind w:left="576" w:hanging="216"/>
            </w:pPr>
            <w:r w:rsidRPr="005D4222">
              <w:t xml:space="preserve">Some Other Race. </w:t>
            </w:r>
          </w:p>
          <w:p w14:paraId="6BE5C25E" w14:textId="77777777" w:rsidR="004242EA" w:rsidRPr="005D4222" w:rsidRDefault="004242EA" w:rsidP="004242EA">
            <w:pPr>
              <w:pStyle w:val="Bullet"/>
              <w:numPr>
                <w:ilvl w:val="0"/>
                <w:numId w:val="4"/>
              </w:numPr>
              <w:tabs>
                <w:tab w:val="left" w:pos="360"/>
                <w:tab w:val="left" w:pos="576"/>
              </w:tabs>
              <w:spacing w:before="60" w:after="60"/>
              <w:ind w:left="576" w:hanging="216"/>
            </w:pPr>
            <w:r w:rsidRPr="005D4222">
              <w:t xml:space="preserve">Two or More Races. </w:t>
            </w:r>
          </w:p>
          <w:p w14:paraId="685E894E" w14:textId="77777777" w:rsidR="004242EA" w:rsidRPr="005D4222" w:rsidRDefault="004242EA" w:rsidP="004242EA">
            <w:pPr>
              <w:pStyle w:val="Bullet"/>
              <w:numPr>
                <w:ilvl w:val="0"/>
                <w:numId w:val="4"/>
              </w:numPr>
              <w:tabs>
                <w:tab w:val="left" w:pos="360"/>
                <w:tab w:val="left" w:pos="576"/>
              </w:tabs>
              <w:spacing w:before="60" w:after="60"/>
              <w:ind w:left="576" w:hanging="216"/>
            </w:pPr>
            <w:r w:rsidRPr="005D4222">
              <w:t xml:space="preserve">Asked But No Answer. </w:t>
            </w:r>
          </w:p>
          <w:p w14:paraId="0DC66A9A" w14:textId="77777777" w:rsidR="004242EA" w:rsidRPr="005D4222" w:rsidRDefault="004242EA" w:rsidP="004242EA">
            <w:pPr>
              <w:pStyle w:val="Bullet"/>
              <w:numPr>
                <w:ilvl w:val="0"/>
                <w:numId w:val="4"/>
              </w:numPr>
              <w:tabs>
                <w:tab w:val="left" w:pos="360"/>
                <w:tab w:val="left" w:pos="576"/>
              </w:tabs>
              <w:spacing w:before="60" w:after="60"/>
              <w:ind w:left="576" w:hanging="216"/>
              <w:rPr>
                <w:rFonts w:eastAsia="Arial,Arial,Arial,Arial,Arial,A"/>
              </w:rPr>
            </w:pPr>
            <w:r w:rsidRPr="005D4222">
              <w:t xml:space="preserve">Unknown. </w:t>
            </w:r>
          </w:p>
          <w:p w14:paraId="0FF453B1" w14:textId="2CE4462C" w:rsidR="004242EA" w:rsidRPr="005D4222" w:rsidRDefault="004242EA" w:rsidP="00A53E8C">
            <w:pPr>
              <w:pStyle w:val="ECDSBody"/>
            </w:pPr>
            <w:r w:rsidRPr="005D4222">
              <w:t xml:space="preserve">Ethnicity. (Refer to </w:t>
            </w:r>
            <w:hyperlink w:anchor="GG_Race_and_Ethnicity" w:history="1">
              <w:r w:rsidRPr="005D4222">
                <w:rPr>
                  <w:rStyle w:val="Hyperlink"/>
                  <w:i/>
                  <w:iCs/>
                </w:rPr>
                <w:t>General Guideline: Race and Ethnicity Stratification</w:t>
              </w:r>
            </w:hyperlink>
            <w:r w:rsidRPr="005D4222">
              <w:t>.)</w:t>
            </w:r>
          </w:p>
          <w:p w14:paraId="2B3B5431" w14:textId="77777777" w:rsidR="004242EA" w:rsidRPr="005D4222" w:rsidRDefault="004242EA" w:rsidP="004242EA">
            <w:pPr>
              <w:pStyle w:val="Bullet"/>
              <w:numPr>
                <w:ilvl w:val="0"/>
                <w:numId w:val="4"/>
              </w:numPr>
              <w:tabs>
                <w:tab w:val="left" w:pos="360"/>
                <w:tab w:val="left" w:pos="576"/>
              </w:tabs>
              <w:ind w:left="576" w:hanging="216"/>
            </w:pPr>
            <w:r w:rsidRPr="005D4222">
              <w:t xml:space="preserve">Hispanic or Latino. </w:t>
            </w:r>
          </w:p>
          <w:p w14:paraId="1E1999B2" w14:textId="77777777" w:rsidR="004242EA" w:rsidRPr="005D4222" w:rsidRDefault="004242EA" w:rsidP="004242EA">
            <w:pPr>
              <w:pStyle w:val="Bullet"/>
              <w:numPr>
                <w:ilvl w:val="0"/>
                <w:numId w:val="4"/>
              </w:numPr>
              <w:tabs>
                <w:tab w:val="left" w:pos="360"/>
                <w:tab w:val="left" w:pos="576"/>
              </w:tabs>
              <w:ind w:left="576" w:hanging="216"/>
            </w:pPr>
            <w:r w:rsidRPr="005D4222">
              <w:t xml:space="preserve">Not Hispanic or Latino. </w:t>
            </w:r>
          </w:p>
          <w:p w14:paraId="5729F67D" w14:textId="77777777" w:rsidR="004242EA" w:rsidRPr="005D4222" w:rsidRDefault="004242EA" w:rsidP="004242EA">
            <w:pPr>
              <w:pStyle w:val="Bullet"/>
              <w:numPr>
                <w:ilvl w:val="0"/>
                <w:numId w:val="4"/>
              </w:numPr>
              <w:tabs>
                <w:tab w:val="left" w:pos="360"/>
                <w:tab w:val="left" w:pos="576"/>
              </w:tabs>
              <w:ind w:left="576" w:hanging="216"/>
            </w:pPr>
            <w:r w:rsidRPr="005D4222">
              <w:t xml:space="preserve">Asked But No Answer. </w:t>
            </w:r>
          </w:p>
          <w:p w14:paraId="7FE1F56B" w14:textId="77777777" w:rsidR="004242EA" w:rsidRPr="005D4222" w:rsidRDefault="004242EA" w:rsidP="004242EA">
            <w:pPr>
              <w:pStyle w:val="Bullet"/>
              <w:numPr>
                <w:ilvl w:val="0"/>
                <w:numId w:val="4"/>
              </w:numPr>
              <w:tabs>
                <w:tab w:val="left" w:pos="360"/>
                <w:tab w:val="left" w:pos="576"/>
              </w:tabs>
              <w:ind w:left="576" w:hanging="216"/>
              <w:rPr>
                <w:rFonts w:eastAsia="Arial,Arial,Arial,Arial,Arial,A"/>
              </w:rPr>
            </w:pPr>
            <w:r w:rsidRPr="005D4222">
              <w:t>Unknown.</w:t>
            </w:r>
          </w:p>
        </w:tc>
      </w:tr>
      <w:tr w:rsidR="004242EA" w:rsidRPr="005D4222" w14:paraId="2729758B" w14:textId="77777777" w:rsidTr="00BD4531">
        <w:tc>
          <w:tcPr>
            <w:tcW w:w="2189" w:type="dxa"/>
            <w:tcBorders>
              <w:top w:val="nil"/>
              <w:left w:val="single" w:sz="4" w:space="0" w:color="auto"/>
              <w:bottom w:val="nil"/>
              <w:right w:val="single" w:sz="4" w:space="0" w:color="auto"/>
            </w:tcBorders>
            <w:tcMar>
              <w:top w:w="0" w:type="dxa"/>
              <w:left w:w="86" w:type="dxa"/>
              <w:bottom w:w="43" w:type="dxa"/>
              <w:right w:w="86" w:type="dxa"/>
            </w:tcMar>
          </w:tcPr>
          <w:p w14:paraId="498CC907" w14:textId="77777777" w:rsidR="004242EA" w:rsidRPr="005D4222" w:rsidRDefault="004242EA" w:rsidP="00BD4531">
            <w:pPr>
              <w:pStyle w:val="ECDSMarginSubhead"/>
              <w:spacing w:after="0"/>
            </w:pPr>
            <w:r w:rsidRPr="005D4222">
              <w:t>Risk adjustment</w:t>
            </w:r>
          </w:p>
        </w:tc>
        <w:tc>
          <w:tcPr>
            <w:tcW w:w="7546" w:type="dxa"/>
            <w:tcBorders>
              <w:top w:val="nil"/>
              <w:left w:val="single" w:sz="4" w:space="0" w:color="auto"/>
              <w:bottom w:val="nil"/>
              <w:right w:val="single" w:sz="4" w:space="0" w:color="auto"/>
            </w:tcBorders>
            <w:tcMar>
              <w:top w:w="0" w:type="dxa"/>
              <w:left w:w="86" w:type="dxa"/>
              <w:bottom w:w="43" w:type="dxa"/>
              <w:right w:w="86" w:type="dxa"/>
            </w:tcMar>
            <w:hideMark/>
          </w:tcPr>
          <w:p w14:paraId="3908F19A" w14:textId="77777777" w:rsidR="004242EA" w:rsidRPr="005D4222" w:rsidRDefault="004242EA" w:rsidP="00BD4531">
            <w:pPr>
              <w:pStyle w:val="ECDSBody"/>
              <w:spacing w:after="0"/>
            </w:pPr>
            <w:r w:rsidRPr="005D4222">
              <w:t>None.</w:t>
            </w:r>
          </w:p>
        </w:tc>
      </w:tr>
      <w:tr w:rsidR="004242EA" w:rsidRPr="005D4222" w14:paraId="3AB6BB68" w14:textId="77777777" w:rsidTr="00BD4531">
        <w:tc>
          <w:tcPr>
            <w:tcW w:w="2189"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7C8F0BBE" w14:textId="77777777" w:rsidR="004242EA" w:rsidRPr="005D4222" w:rsidRDefault="004242EA" w:rsidP="00A53E8C">
            <w:pPr>
              <w:pStyle w:val="ECDSMarginSubhead"/>
            </w:pPr>
            <w:r w:rsidRPr="005D4222">
              <w:t>Improvement notation</w:t>
            </w:r>
          </w:p>
        </w:tc>
        <w:tc>
          <w:tcPr>
            <w:tcW w:w="7546" w:type="dxa"/>
            <w:tcBorders>
              <w:top w:val="nil"/>
              <w:left w:val="single" w:sz="4" w:space="0" w:color="auto"/>
              <w:bottom w:val="single" w:sz="4" w:space="0" w:color="auto"/>
              <w:right w:val="single" w:sz="4" w:space="0" w:color="auto"/>
            </w:tcBorders>
            <w:tcMar>
              <w:top w:w="0" w:type="dxa"/>
              <w:left w:w="86" w:type="dxa"/>
              <w:bottom w:w="43" w:type="dxa"/>
              <w:right w:w="86" w:type="dxa"/>
            </w:tcMar>
            <w:hideMark/>
          </w:tcPr>
          <w:p w14:paraId="16C26559" w14:textId="77777777" w:rsidR="004242EA" w:rsidRPr="005D4222" w:rsidRDefault="004242EA" w:rsidP="00A53E8C">
            <w:pPr>
              <w:pStyle w:val="ECDSBody"/>
              <w:spacing w:after="0"/>
            </w:pPr>
            <w:r w:rsidRPr="005D4222">
              <w:rPr>
                <w:szCs w:val="21"/>
              </w:rPr>
              <w:t xml:space="preserve">Increased score indicates improvement. </w:t>
            </w:r>
          </w:p>
        </w:tc>
      </w:tr>
    </w:tbl>
    <w:p w14:paraId="4C64D0B0" w14:textId="77777777" w:rsidR="00BD4531" w:rsidRPr="005D4222" w:rsidRDefault="00BD4531"/>
    <w:tbl>
      <w:tblPr>
        <w:tblW w:w="9735" w:type="dxa"/>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18"/>
        <w:gridCol w:w="2171"/>
        <w:gridCol w:w="7546"/>
      </w:tblGrid>
      <w:tr w:rsidR="00BD4531" w:rsidRPr="005D4222" w14:paraId="7312D5A5" w14:textId="77777777" w:rsidTr="00BD4531">
        <w:tc>
          <w:tcPr>
            <w:tcW w:w="2189" w:type="dxa"/>
            <w:gridSpan w:val="2"/>
            <w:tcBorders>
              <w:top w:val="single" w:sz="4" w:space="0" w:color="auto"/>
              <w:left w:val="single" w:sz="4" w:space="0" w:color="auto"/>
              <w:right w:val="single" w:sz="4" w:space="0" w:color="auto"/>
            </w:tcBorders>
            <w:tcMar>
              <w:top w:w="0" w:type="dxa"/>
              <w:left w:w="86" w:type="dxa"/>
              <w:bottom w:w="43" w:type="dxa"/>
              <w:right w:w="86" w:type="dxa"/>
            </w:tcMar>
          </w:tcPr>
          <w:p w14:paraId="0F4067D7" w14:textId="77777777" w:rsidR="00BD4531" w:rsidRPr="005D4222" w:rsidRDefault="00BD4531" w:rsidP="00A53E8C">
            <w:pPr>
              <w:pStyle w:val="ECDSMarginSubhead"/>
            </w:pPr>
            <w:r w:rsidRPr="005D4222">
              <w:lastRenderedPageBreak/>
              <w:t>Guidance</w:t>
            </w:r>
          </w:p>
        </w:tc>
        <w:tc>
          <w:tcPr>
            <w:tcW w:w="7546" w:type="dxa"/>
            <w:tcBorders>
              <w:top w:val="single" w:sz="4" w:space="0" w:color="auto"/>
              <w:left w:val="single" w:sz="4" w:space="0" w:color="auto"/>
              <w:right w:val="single" w:sz="4" w:space="0" w:color="auto"/>
            </w:tcBorders>
            <w:tcMar>
              <w:top w:w="0" w:type="dxa"/>
              <w:left w:w="86" w:type="dxa"/>
              <w:bottom w:w="43" w:type="dxa"/>
              <w:right w:w="86" w:type="dxa"/>
            </w:tcMar>
          </w:tcPr>
          <w:p w14:paraId="34DC5B87" w14:textId="72517663" w:rsidR="00BD4531" w:rsidRPr="005D4222" w:rsidRDefault="00BD4531" w:rsidP="00A53E8C">
            <w:pPr>
              <w:pStyle w:val="ECDSBody"/>
            </w:pPr>
            <w:r w:rsidRPr="005D4222">
              <w:rPr>
                <w:b/>
              </w:rPr>
              <w:t>Data collection methodology:</w:t>
            </w:r>
            <w:r w:rsidRPr="005D4222">
              <w:t xml:space="preserve"> Administrative and hybrid. Refer to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2EABFED9" w14:textId="77777777" w:rsidR="00BD4531" w:rsidRPr="005D4222" w:rsidRDefault="00BD4531" w:rsidP="00A53E8C">
            <w:pPr>
              <w:pStyle w:val="ECDSBody"/>
            </w:pPr>
            <w:r w:rsidRPr="005D4222">
              <w:rPr>
                <w:b/>
              </w:rPr>
              <w:t>Date specificity:</w:t>
            </w:r>
            <w:r w:rsidRPr="005D4222">
              <w:t xml:space="preserve"> Dates must be specific enough to determine the event occurred in the period being measured.</w:t>
            </w:r>
          </w:p>
          <w:p w14:paraId="175C84E7" w14:textId="77777777" w:rsidR="00BD4531" w:rsidRPr="005D4222" w:rsidRDefault="00BD4531" w:rsidP="00A53E8C">
            <w:pPr>
              <w:pStyle w:val="ECDSBody"/>
              <w:rPr>
                <w:b/>
              </w:rPr>
            </w:pPr>
            <w:r w:rsidRPr="005D4222">
              <w:rPr>
                <w:b/>
              </w:rPr>
              <w:t xml:space="preserve">What services count? </w:t>
            </w:r>
          </w:p>
          <w:p w14:paraId="536362FD" w14:textId="77777777" w:rsidR="00BD4531" w:rsidRPr="005D4222" w:rsidRDefault="00BD4531" w:rsidP="00A53E8C">
            <w:pPr>
              <w:pStyle w:val="ProcessBullet"/>
            </w:pPr>
            <w:r w:rsidRPr="005D4222">
              <w:t>When using claims, include all paid, suspended, pending and denied claims.</w:t>
            </w:r>
          </w:p>
          <w:p w14:paraId="26D97248" w14:textId="77777777" w:rsidR="00BD4531" w:rsidRPr="005D4222" w:rsidRDefault="00BD4531" w:rsidP="00A53E8C">
            <w:pPr>
              <w:pStyle w:val="ProcessBullet"/>
            </w:pPr>
            <w:r w:rsidRPr="005D4222">
              <w:t>Services that occur over multiple visits count toward this measure if all services are within the time frame established in the measure. Ultrasound and lab results alone are not considered a visit; they must be combined with an office visit with an appropriate practitioner in order to count for this measure.</w:t>
            </w:r>
          </w:p>
          <w:p w14:paraId="7F01FCFC" w14:textId="77777777" w:rsidR="00BD4531" w:rsidRPr="005D4222" w:rsidRDefault="00BD4531" w:rsidP="00A53E8C">
            <w:pPr>
              <w:pStyle w:val="ECDSBody"/>
              <w:rPr>
                <w:b/>
                <w:bCs w:val="0"/>
              </w:rPr>
            </w:pPr>
            <w:r w:rsidRPr="005D4222">
              <w:rPr>
                <w:b/>
              </w:rPr>
              <w:t>Other guidance</w:t>
            </w:r>
            <w:r w:rsidRPr="005D4222">
              <w:rPr>
                <w:b/>
                <w:bCs w:val="0"/>
              </w:rPr>
              <w:t xml:space="preserve">: </w:t>
            </w:r>
          </w:p>
          <w:p w14:paraId="0A533EAB" w14:textId="77777777" w:rsidR="00BD4531" w:rsidRPr="005D4222" w:rsidRDefault="00BD4531" w:rsidP="00A53E8C">
            <w:pPr>
              <w:pStyle w:val="ProcessBullet"/>
            </w:pPr>
            <w:r w:rsidRPr="005D4222">
              <w:t xml:space="preserve">Criteria for identifying prenatal care for persons who were not enrolled during the first trimester allow more flexibility than criteria for persons who were enrolled. </w:t>
            </w:r>
          </w:p>
          <w:p w14:paraId="3697E7FC" w14:textId="77777777" w:rsidR="00BD4531" w:rsidRPr="005D4222" w:rsidRDefault="00BD4531" w:rsidP="004242EA">
            <w:pPr>
              <w:pStyle w:val="ProcessDash"/>
              <w:tabs>
                <w:tab w:val="clear" w:pos="432"/>
              </w:tabs>
              <w:spacing w:after="40"/>
            </w:pPr>
            <w:r w:rsidRPr="005D4222">
              <w:rPr>
                <w:i/>
              </w:rPr>
              <w:t>For persons who were enrolled at least 219 days before delivery,</w:t>
            </w:r>
            <w:r w:rsidRPr="005D4222">
              <w:t xml:space="preserve"> the organization has sufficient opportunity to provide prenatal care by the end of the first trimester. </w:t>
            </w:r>
          </w:p>
          <w:p w14:paraId="7CAB7B6C" w14:textId="77777777" w:rsidR="00BD4531" w:rsidRPr="005D4222" w:rsidRDefault="00BD4531" w:rsidP="004242EA">
            <w:pPr>
              <w:pStyle w:val="ProcessDash"/>
              <w:tabs>
                <w:tab w:val="clear" w:pos="432"/>
              </w:tabs>
              <w:spacing w:after="40"/>
            </w:pPr>
            <w:r w:rsidRPr="005D4222">
              <w:rPr>
                <w:i/>
              </w:rPr>
              <w:t>For persons who were not enrolled at least 219 days before delivery,</w:t>
            </w:r>
            <w:r w:rsidRPr="005D4222">
              <w:t xml:space="preserve"> the organization has sufficient opportunity to provide prenatal care within 42 days after enrollment. </w:t>
            </w:r>
          </w:p>
          <w:p w14:paraId="59AAC602" w14:textId="43C5F796" w:rsidR="00BD4531" w:rsidRPr="005D4222" w:rsidRDefault="00BD4531" w:rsidP="00A53E8C">
            <w:pPr>
              <w:pStyle w:val="ProcessBullet"/>
              <w:rPr>
                <w:rFonts w:cs="Arial"/>
                <w:b/>
                <w:i/>
              </w:rPr>
            </w:pPr>
            <w:r w:rsidRPr="005D4222">
              <w:t xml:space="preserve">Refer to </w:t>
            </w:r>
            <w:hyperlink w:anchor="Appendix_1" w:history="1">
              <w:r w:rsidR="00697063" w:rsidRPr="005D4222">
                <w:rPr>
                  <w:rStyle w:val="Hyperlink"/>
                </w:rPr>
                <w:t>Appendix 1</w:t>
              </w:r>
            </w:hyperlink>
            <w:r w:rsidRPr="005D4222">
              <w:t xml:space="preserve"> for the definition of </w:t>
            </w:r>
            <w:r w:rsidRPr="005D4222">
              <w:rPr>
                <w:i/>
                <w:iCs/>
              </w:rPr>
              <w:t>PCP</w:t>
            </w:r>
            <w:r w:rsidRPr="005D4222">
              <w:t xml:space="preserve"> and </w:t>
            </w:r>
            <w:r w:rsidRPr="005D4222">
              <w:rPr>
                <w:i/>
                <w:iCs/>
              </w:rPr>
              <w:t>OB/GYN and other prenatal care practitioner</w:t>
            </w:r>
            <w:r w:rsidRPr="005D4222">
              <w:rPr>
                <w:i/>
              </w:rPr>
              <w:t xml:space="preserve">. </w:t>
            </w:r>
          </w:p>
          <w:p w14:paraId="077B2A99" w14:textId="77777777" w:rsidR="00BD4531" w:rsidRPr="005D4222" w:rsidRDefault="00BD4531" w:rsidP="00A53E8C">
            <w:pPr>
              <w:pStyle w:val="ProcessBullet"/>
            </w:pPr>
            <w:r w:rsidRPr="005D4222">
              <w:t>Ancillary services (lab, ultrasound) may be delivered by an ancillary provider. Nonancillary services (e.g., fetal heart tone, prenatal risk assessment) must be delivered by the required provider type.</w:t>
            </w:r>
          </w:p>
          <w:p w14:paraId="1B1DEA54" w14:textId="77777777" w:rsidR="00BD4531" w:rsidRPr="005D4222" w:rsidRDefault="00BD4531" w:rsidP="00A53E8C">
            <w:pPr>
              <w:pStyle w:val="ProcessBullet"/>
            </w:pPr>
            <w:r w:rsidRPr="005D4222">
              <w:t>For both rates and for both Administrative and Hybrid data collection methods, services provided during a telephone visit, e-visit or virtual check-in are eligible for use in reporting.</w:t>
            </w:r>
          </w:p>
          <w:p w14:paraId="65B35B93" w14:textId="77777777" w:rsidR="00BD4531" w:rsidRPr="005D4222" w:rsidRDefault="00BD4531" w:rsidP="00A53E8C">
            <w:pPr>
              <w:pStyle w:val="ProcessBullet"/>
              <w:rPr>
                <w:rFonts w:cs="Arial"/>
                <w:b/>
                <w:bCs/>
              </w:rPr>
            </w:pPr>
            <w:r w:rsidRPr="005D4222">
              <w:t xml:space="preserve">For each person, the organization must use one date (date of delivery or estimated delivery date [EDD]) to define the start and end of the first trimester. If multiple EDDs are documented, the organization must define a method to determine which EDD to use, and use that date consistently. If the organization elects to use EDD, and the EDD is not on or between October 8 of the year prior to the measurement period and October 7 of the measurement period, the person is removed as a valid data error and replaced by the next person in the oversample. The LMP may not be used to determine the first trimester. </w:t>
            </w:r>
          </w:p>
          <w:p w14:paraId="2CCD060C" w14:textId="77777777" w:rsidR="00BD4531" w:rsidRPr="005D4222" w:rsidRDefault="00BD4531" w:rsidP="00A53E8C">
            <w:pPr>
              <w:pStyle w:val="ProcessBullet"/>
              <w:spacing w:after="80"/>
            </w:pPr>
            <w:r w:rsidRPr="005D4222">
              <w:t>The EDD may be used to identify the first trimester for the Timeliness of Prenatal Care rate and use the date of delivery for the Postpartum Care rate.</w:t>
            </w:r>
          </w:p>
          <w:p w14:paraId="04B01B45" w14:textId="506DC690" w:rsidR="00BD4531" w:rsidRPr="005D4222" w:rsidRDefault="00BD4531" w:rsidP="00A53E8C">
            <w:pPr>
              <w:pStyle w:val="ProcessBullet"/>
              <w:spacing w:after="80"/>
            </w:pPr>
            <w:r w:rsidRPr="005D4222">
              <w:t>The measure is based on deliveries; therefore, it is possible for denominator to include multiple deliveries for the same person.</w:t>
            </w:r>
          </w:p>
        </w:tc>
      </w:tr>
      <w:tr w:rsidR="004242EA" w:rsidRPr="005D4222" w14:paraId="1ABFE43F" w14:textId="77777777" w:rsidTr="00BD4531">
        <w:tc>
          <w:tcPr>
            <w:tcW w:w="9735" w:type="dxa"/>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47156491" w14:textId="77777777" w:rsidR="004242EA" w:rsidRPr="005D4222" w:rsidRDefault="004242EA" w:rsidP="00A53E8C">
            <w:pPr>
              <w:pStyle w:val="ECDSMarginHead"/>
              <w:rPr>
                <w:rStyle w:val="eop"/>
                <w:rFonts w:eastAsiaTheme="majorEastAsia"/>
                <w:color w:val="000000" w:themeColor="text1"/>
              </w:rPr>
            </w:pPr>
            <w:r w:rsidRPr="005D4222">
              <w:t>Definitions</w:t>
            </w:r>
          </w:p>
        </w:tc>
      </w:tr>
      <w:tr w:rsidR="004242EA" w:rsidRPr="005D4222" w14:paraId="62620A9E" w14:textId="77777777" w:rsidTr="00BD4531">
        <w:tc>
          <w:tcPr>
            <w:tcW w:w="2189" w:type="dxa"/>
            <w:gridSpan w:val="2"/>
            <w:tcBorders>
              <w:top w:val="single" w:sz="4" w:space="0" w:color="auto"/>
            </w:tcBorders>
            <w:shd w:val="clear" w:color="auto" w:fill="FFFFFF" w:themeFill="background1"/>
            <w:tcMar>
              <w:top w:w="0" w:type="dxa"/>
              <w:left w:w="86" w:type="dxa"/>
              <w:bottom w:w="43" w:type="dxa"/>
              <w:right w:w="86" w:type="dxa"/>
            </w:tcMar>
          </w:tcPr>
          <w:p w14:paraId="4EA408FF" w14:textId="77777777" w:rsidR="004242EA" w:rsidRPr="005D4222" w:rsidRDefault="004242EA" w:rsidP="00A53E8C">
            <w:pPr>
              <w:pStyle w:val="ECDSMarginSubhead"/>
            </w:pPr>
            <w:r w:rsidRPr="005D4222">
              <w:t>First trimester</w:t>
            </w:r>
          </w:p>
        </w:tc>
        <w:tc>
          <w:tcPr>
            <w:tcW w:w="7546" w:type="dxa"/>
            <w:tcBorders>
              <w:top w:val="single" w:sz="4" w:space="0" w:color="auto"/>
            </w:tcBorders>
            <w:tcMar>
              <w:top w:w="0" w:type="dxa"/>
              <w:left w:w="86" w:type="dxa"/>
              <w:bottom w:w="43" w:type="dxa"/>
              <w:right w:w="86" w:type="dxa"/>
            </w:tcMar>
          </w:tcPr>
          <w:p w14:paraId="05F9FCC0" w14:textId="77777777" w:rsidR="004242EA" w:rsidRPr="005D4222" w:rsidRDefault="004242EA" w:rsidP="00A53E8C">
            <w:pPr>
              <w:pStyle w:val="ECDSBody"/>
              <w:rPr>
                <w:rStyle w:val="eop"/>
                <w:rFonts w:eastAsiaTheme="majorEastAsia"/>
                <w:color w:val="000000" w:themeColor="text1"/>
              </w:rPr>
            </w:pPr>
            <w:r w:rsidRPr="005D4222">
              <w:rPr>
                <w:shd w:val="clear" w:color="auto" w:fill="FFFFFF"/>
              </w:rPr>
              <w:t>280–176 days prior to delivery (or estimated delivery date [EDD]).</w:t>
            </w:r>
          </w:p>
        </w:tc>
      </w:tr>
      <w:tr w:rsidR="004242EA" w:rsidRPr="005D4222" w14:paraId="71FB7A8C" w14:textId="77777777" w:rsidTr="00BD4531">
        <w:tc>
          <w:tcPr>
            <w:tcW w:w="2189" w:type="dxa"/>
            <w:gridSpan w:val="2"/>
            <w:shd w:val="clear" w:color="auto" w:fill="BFBFBF" w:themeFill="background1" w:themeFillShade="BF"/>
            <w:tcMar>
              <w:top w:w="0" w:type="dxa"/>
              <w:left w:w="86" w:type="dxa"/>
              <w:bottom w:w="43" w:type="dxa"/>
              <w:right w:w="86" w:type="dxa"/>
            </w:tcMar>
          </w:tcPr>
          <w:p w14:paraId="663E4A6E" w14:textId="77777777" w:rsidR="004242EA" w:rsidRPr="005D4222" w:rsidRDefault="004242EA" w:rsidP="00A53E8C">
            <w:pPr>
              <w:pStyle w:val="ECDSMarginHead"/>
            </w:pPr>
            <w:r w:rsidRPr="005D4222">
              <w:lastRenderedPageBreak/>
              <w:t>Initial population</w:t>
            </w:r>
          </w:p>
        </w:tc>
        <w:tc>
          <w:tcPr>
            <w:tcW w:w="7546"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EBA418A" w14:textId="77777777" w:rsidR="004242EA" w:rsidRPr="005D4222" w:rsidRDefault="004242EA" w:rsidP="00A53E8C">
            <w:pPr>
              <w:pStyle w:val="ECDSBody"/>
            </w:pPr>
            <w:r w:rsidRPr="005D4222">
              <w:rPr>
                <w:i/>
              </w:rPr>
              <w:t>Measure item count</w:t>
            </w:r>
            <w:r w:rsidRPr="005D4222">
              <w:rPr>
                <w:i/>
                <w:iCs/>
              </w:rPr>
              <w:t>:</w:t>
            </w:r>
            <w:r w:rsidRPr="005D4222">
              <w:t xml:space="preserve"> Episode. </w:t>
            </w:r>
          </w:p>
          <w:p w14:paraId="4A713455" w14:textId="77777777" w:rsidR="004242EA" w:rsidRPr="005D4222" w:rsidRDefault="004242EA" w:rsidP="00A53E8C">
            <w:pPr>
              <w:pStyle w:val="ECDSBody"/>
            </w:pPr>
            <w:r w:rsidRPr="005D4222">
              <w:rPr>
                <w:i/>
              </w:rPr>
              <w:t>Attribution</w:t>
            </w:r>
            <w:r w:rsidRPr="005D4222">
              <w:rPr>
                <w:i/>
                <w:iCs/>
              </w:rPr>
              <w:t xml:space="preserve"> basis:</w:t>
            </w:r>
            <w:r w:rsidRPr="005D4222">
              <w:rPr>
                <w:i/>
              </w:rPr>
              <w:t xml:space="preserve"> </w:t>
            </w:r>
            <w:r w:rsidRPr="005D4222">
              <w:t>Enrollment.</w:t>
            </w:r>
          </w:p>
          <w:p w14:paraId="73F17B9D" w14:textId="77777777" w:rsidR="004242EA" w:rsidRPr="005D4222" w:rsidRDefault="004242EA" w:rsidP="004242EA">
            <w:pPr>
              <w:pStyle w:val="Bullet"/>
              <w:numPr>
                <w:ilvl w:val="0"/>
                <w:numId w:val="4"/>
              </w:numPr>
              <w:tabs>
                <w:tab w:val="left" w:pos="360"/>
                <w:tab w:val="left" w:pos="576"/>
              </w:tabs>
              <w:spacing w:after="80"/>
              <w:ind w:left="576" w:hanging="216"/>
            </w:pPr>
            <w:r w:rsidRPr="005D4222">
              <w:rPr>
                <w:i/>
                <w:iCs/>
              </w:rPr>
              <w:t>Benefits:</w:t>
            </w:r>
            <w:r w:rsidRPr="005D4222">
              <w:t xml:space="preserve"> Medical. </w:t>
            </w:r>
          </w:p>
          <w:p w14:paraId="122034F8" w14:textId="77777777" w:rsidR="004242EA" w:rsidRPr="005D4222" w:rsidRDefault="004242EA" w:rsidP="004242EA">
            <w:pPr>
              <w:pStyle w:val="Bullet"/>
              <w:numPr>
                <w:ilvl w:val="0"/>
                <w:numId w:val="4"/>
              </w:numPr>
              <w:tabs>
                <w:tab w:val="left" w:pos="360"/>
                <w:tab w:val="left" w:pos="576"/>
              </w:tabs>
              <w:ind w:left="576" w:hanging="216"/>
              <w:rPr>
                <w:szCs w:val="21"/>
              </w:rPr>
            </w:pPr>
            <w:r w:rsidRPr="005D4222">
              <w:rPr>
                <w:i/>
                <w:iCs/>
              </w:rPr>
              <w:t>Continuous enrollment:</w:t>
            </w:r>
            <w:r w:rsidRPr="005D4222">
              <w:t xml:space="preserve"> </w:t>
            </w:r>
            <w:r w:rsidRPr="005D4222">
              <w:rPr>
                <w:color w:val="000000"/>
                <w:szCs w:val="21"/>
                <w:shd w:val="clear" w:color="auto" w:fill="FFFFFF"/>
              </w:rPr>
              <w:t xml:space="preserve">43 days prior to delivery through 60 days after delivery. </w:t>
            </w:r>
          </w:p>
          <w:p w14:paraId="789CB62D" w14:textId="77777777" w:rsidR="004242EA" w:rsidRPr="005D4222" w:rsidRDefault="004242EA" w:rsidP="004242EA">
            <w:pPr>
              <w:pStyle w:val="Bullet"/>
              <w:numPr>
                <w:ilvl w:val="0"/>
                <w:numId w:val="4"/>
              </w:numPr>
              <w:tabs>
                <w:tab w:val="left" w:pos="360"/>
                <w:tab w:val="left" w:pos="576"/>
              </w:tabs>
              <w:ind w:left="576" w:hanging="216"/>
            </w:pPr>
            <w:r w:rsidRPr="005D4222">
              <w:rPr>
                <w:i/>
                <w:iCs/>
              </w:rPr>
              <w:t xml:space="preserve">Allowable gap: </w:t>
            </w:r>
            <w:r w:rsidRPr="005D4222">
              <w:t>None.</w:t>
            </w:r>
          </w:p>
          <w:p w14:paraId="2F05E35F" w14:textId="77777777" w:rsidR="004242EA" w:rsidRPr="005D4222" w:rsidRDefault="004242EA" w:rsidP="00A53E8C">
            <w:pPr>
              <w:pStyle w:val="ECDSBody"/>
            </w:pPr>
            <w:r w:rsidRPr="005D4222">
              <w:rPr>
                <w:i/>
              </w:rPr>
              <w:t>Ag</w:t>
            </w:r>
            <w:r w:rsidRPr="005D4222">
              <w:rPr>
                <w:i/>
                <w:iCs/>
              </w:rPr>
              <w:t xml:space="preserve">es: </w:t>
            </w:r>
            <w:r w:rsidRPr="005D4222">
              <w:t>None.</w:t>
            </w:r>
          </w:p>
          <w:p w14:paraId="0FF07347" w14:textId="77777777" w:rsidR="004242EA" w:rsidRPr="005D4222" w:rsidRDefault="004242EA" w:rsidP="00A53E8C">
            <w:pPr>
              <w:pStyle w:val="ECDSBody"/>
              <w:rPr>
                <w:b/>
                <w:szCs w:val="21"/>
              </w:rPr>
            </w:pPr>
            <w:r w:rsidRPr="005D4222">
              <w:rPr>
                <w:i/>
                <w:szCs w:val="21"/>
              </w:rPr>
              <w:t>Event:</w:t>
            </w:r>
            <w:r w:rsidRPr="005D4222">
              <w:rPr>
                <w:i/>
              </w:rPr>
              <w:t xml:space="preserve"> </w:t>
            </w:r>
            <w:r w:rsidRPr="005D4222">
              <w:rPr>
                <w:b/>
                <w:szCs w:val="21"/>
              </w:rPr>
              <w:t>Deliveries.</w:t>
            </w:r>
            <w:r w:rsidRPr="005D4222">
              <w:rPr>
                <w:b/>
                <w:szCs w:val="21"/>
              </w:rPr>
              <w:br/>
            </w:r>
            <w:r w:rsidRPr="005D4222">
              <w:rPr>
                <w:bCs w:val="0"/>
                <w:szCs w:val="21"/>
              </w:rPr>
              <w:t>Live birth deliveries in any setting on or between October 8 of the year prior to the measurement period and October 7 of the measurement period.</w:t>
            </w:r>
          </w:p>
          <w:p w14:paraId="16833460" w14:textId="77777777" w:rsidR="004242EA" w:rsidRPr="005D4222" w:rsidRDefault="004242EA" w:rsidP="00A53E8C">
            <w:pPr>
              <w:pStyle w:val="ECDSBody"/>
            </w:pPr>
            <w:r w:rsidRPr="005D4222">
              <w:rPr>
                <w:b/>
              </w:rPr>
              <w:t>Step 1.</w:t>
            </w:r>
            <w:r w:rsidRPr="005D4222">
              <w:t xml:space="preserve"> Identify all</w:t>
            </w:r>
            <w:r w:rsidRPr="005D4222" w:rsidDel="00D1538F">
              <w:t xml:space="preserve"> </w:t>
            </w:r>
            <w:r w:rsidRPr="005D4222">
              <w:t>persons with a delivery (</w:t>
            </w:r>
            <w:r w:rsidRPr="005D4222">
              <w:rPr>
                <w:u w:val="single"/>
              </w:rPr>
              <w:t>Deliveries Value Set</w:t>
            </w:r>
            <w:r w:rsidRPr="005D4222">
              <w:t>) on or between October 8 of the year prior to the measurement period and October 7 of the measurement period.</w:t>
            </w:r>
          </w:p>
          <w:p w14:paraId="427D0896" w14:textId="77777777" w:rsidR="004242EA" w:rsidRPr="005D4222" w:rsidRDefault="004242EA" w:rsidP="00A53E8C">
            <w:pPr>
              <w:pStyle w:val="Note"/>
              <w:rPr>
                <w:rStyle w:val="TableTextChar"/>
                <w:rFonts w:ascii="Arial" w:hAnsi="Arial" w:cs="Arial"/>
                <w:bCs/>
                <w:i w:val="0"/>
                <w:szCs w:val="20"/>
              </w:rPr>
            </w:pPr>
            <w:r w:rsidRPr="005D4222">
              <w:rPr>
                <w:rFonts w:cs="Arial"/>
                <w:b/>
                <w:szCs w:val="20"/>
              </w:rPr>
              <w:t>Note:</w:t>
            </w:r>
            <w:r w:rsidRPr="005D4222">
              <w:rPr>
                <w:rFonts w:cs="Arial"/>
                <w:bCs/>
                <w:szCs w:val="20"/>
              </w:rPr>
              <w:t xml:space="preserve"> The intent is to identify the date of delivery (the date of the “procedure”).</w:t>
            </w:r>
            <w:r w:rsidRPr="005D4222">
              <w:rPr>
                <w:rStyle w:val="TableTextChar"/>
                <w:rFonts w:ascii="Arial" w:hAnsi="Arial" w:cs="Arial"/>
                <w:bCs/>
                <w:szCs w:val="20"/>
              </w:rPr>
              <w:t xml:space="preserve"> If the date of delivery cannot be interpreted on the claim, use the date of service or, for inpatient claims, the date of discharge.</w:t>
            </w:r>
          </w:p>
          <w:p w14:paraId="51BF47CB" w14:textId="77777777" w:rsidR="004242EA" w:rsidRPr="005D4222" w:rsidRDefault="004242EA" w:rsidP="00A53E8C">
            <w:pPr>
              <w:pStyle w:val="ECDSBody"/>
            </w:pPr>
            <w:r w:rsidRPr="005D4222">
              <w:rPr>
                <w:b/>
              </w:rPr>
              <w:t xml:space="preserve">Step 2. </w:t>
            </w:r>
            <w:r w:rsidRPr="005D4222">
              <w:t>Remove non-live births (</w:t>
            </w:r>
            <w:r w:rsidRPr="005D4222">
              <w:rPr>
                <w:u w:val="single"/>
              </w:rPr>
              <w:t>Non Live Births Value Set</w:t>
            </w:r>
            <w:r w:rsidRPr="005D4222">
              <w:t xml:space="preserve">). </w:t>
            </w:r>
          </w:p>
          <w:p w14:paraId="323226C4" w14:textId="77777777" w:rsidR="004242EA" w:rsidRPr="005D4222" w:rsidRDefault="004242EA" w:rsidP="00A53E8C">
            <w:pPr>
              <w:pStyle w:val="ECDSBody"/>
              <w:rPr>
                <w:color w:val="000000"/>
                <w:szCs w:val="21"/>
                <w:shd w:val="clear" w:color="auto" w:fill="FFFFFF"/>
              </w:rPr>
            </w:pPr>
            <w:r w:rsidRPr="005D4222">
              <w:rPr>
                <w:b/>
                <w:color w:val="000000"/>
                <w:szCs w:val="21"/>
                <w:shd w:val="clear" w:color="auto" w:fill="FFFFFF"/>
              </w:rPr>
              <w:t xml:space="preserve">Step 3. </w:t>
            </w:r>
            <w:r w:rsidRPr="005D4222">
              <w:rPr>
                <w:color w:val="000000"/>
                <w:szCs w:val="21"/>
                <w:shd w:val="clear" w:color="auto" w:fill="FFFFFF"/>
              </w:rPr>
              <w:t xml:space="preserve">Identify continuous enrollment. </w:t>
            </w:r>
            <w:r w:rsidRPr="005D4222">
              <w:t>Determine if enrollment was continuous 43 days prior to delivery through 60 days after delivery, with no gaps.</w:t>
            </w:r>
          </w:p>
          <w:p w14:paraId="4905F5E2" w14:textId="77777777" w:rsidR="004242EA" w:rsidRPr="005D4222" w:rsidRDefault="004242EA" w:rsidP="00A53E8C">
            <w:pPr>
              <w:pStyle w:val="ECDSBody"/>
            </w:pPr>
            <w:r w:rsidRPr="005D4222">
              <w:rPr>
                <w:b/>
              </w:rPr>
              <w:t>Step 4.</w:t>
            </w:r>
            <w:r w:rsidRPr="005D4222">
              <w:t xml:space="preserve"> Remove multiple deliveries in a 180-day period. If a person has more than one delivery in a 180-day period, include only the first eligible delivery. Then, if applicable, include the next delivery that occurs after the 180-day period. Identify deliveries chronologically, including only one per 180-day period.</w:t>
            </w:r>
          </w:p>
          <w:p w14:paraId="04B6C04A" w14:textId="77777777" w:rsidR="004242EA" w:rsidRPr="005D4222" w:rsidRDefault="004242EA" w:rsidP="00A53E8C">
            <w:pPr>
              <w:pStyle w:val="Note"/>
              <w:spacing w:after="80"/>
              <w:rPr>
                <w:shd w:val="clear" w:color="auto" w:fill="FFFFFF"/>
              </w:rPr>
            </w:pPr>
            <w:r w:rsidRPr="005D4222">
              <w:rPr>
                <w:b/>
              </w:rPr>
              <w:t xml:space="preserve">Note: </w:t>
            </w:r>
            <w:r w:rsidRPr="005D4222">
              <w:t>The initial population for this measure is based on deliveries, not on persons. All eligible deliveries that were not removed in steps 1–4 remain in the initial population.</w:t>
            </w:r>
          </w:p>
        </w:tc>
      </w:tr>
      <w:tr w:rsidR="004242EA" w:rsidRPr="005D4222" w14:paraId="74902ED6" w14:textId="77777777" w:rsidTr="00BD4531">
        <w:tc>
          <w:tcPr>
            <w:tcW w:w="2189" w:type="dxa"/>
            <w:gridSpan w:val="2"/>
            <w:shd w:val="clear" w:color="auto" w:fill="BFBFBF" w:themeFill="background1" w:themeFillShade="BF"/>
            <w:tcMar>
              <w:top w:w="0" w:type="dxa"/>
              <w:left w:w="86" w:type="dxa"/>
              <w:bottom w:w="43" w:type="dxa"/>
              <w:right w:w="86" w:type="dxa"/>
            </w:tcMar>
          </w:tcPr>
          <w:p w14:paraId="57993861" w14:textId="77777777" w:rsidR="004242EA" w:rsidRPr="005D4222" w:rsidRDefault="004242EA" w:rsidP="00A53E8C">
            <w:pPr>
              <w:pStyle w:val="ECDSMarginHead"/>
            </w:pPr>
            <w:r w:rsidRPr="005D4222">
              <w:t xml:space="preserve">Denominator exclusions </w:t>
            </w:r>
          </w:p>
        </w:tc>
        <w:tc>
          <w:tcPr>
            <w:tcW w:w="7546" w:type="dxa"/>
            <w:tcMar>
              <w:top w:w="0" w:type="dxa"/>
              <w:left w:w="86" w:type="dxa"/>
              <w:bottom w:w="43" w:type="dxa"/>
              <w:right w:w="86" w:type="dxa"/>
            </w:tcMar>
          </w:tcPr>
          <w:p w14:paraId="2C14D441" w14:textId="77777777" w:rsidR="004242EA" w:rsidRPr="005D4222" w:rsidRDefault="004242EA" w:rsidP="00A53E8C">
            <w:pPr>
              <w:pStyle w:val="ECDSBody"/>
            </w:pPr>
            <w:r w:rsidRPr="005D4222">
              <w:rPr>
                <w:b/>
              </w:rPr>
              <w:t>Persons with a date of death. </w:t>
            </w:r>
            <w:r w:rsidRPr="005D4222">
              <w:rPr>
                <w:b/>
              </w:rPr>
              <w:br/>
            </w:r>
            <w:r w:rsidRPr="005D4222">
              <w:t>Death in the measurement period, identified using data sources determined by the organization. Method and data sources are subject to review during the HEDIS audit. </w:t>
            </w:r>
          </w:p>
          <w:p w14:paraId="361F947C" w14:textId="77777777" w:rsidR="004242EA" w:rsidRPr="005D4222" w:rsidRDefault="004242EA" w:rsidP="00A53E8C">
            <w:pPr>
              <w:pStyle w:val="ECDSBody"/>
              <w:rPr>
                <w:rFonts w:eastAsia="Arial,Arial,Arial,Arial,Arial,A"/>
              </w:rPr>
            </w:pPr>
            <w:r w:rsidRPr="005D4222">
              <w:rPr>
                <w:rFonts w:eastAsia="Arial,Arial,Arial,Arial,Arial,A"/>
                <w:b/>
                <w:bCs w:val="0"/>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4242EA" w:rsidRPr="005D4222" w14:paraId="5BCB56C5" w14:textId="77777777" w:rsidTr="00BD4531">
        <w:tc>
          <w:tcPr>
            <w:tcW w:w="2189" w:type="dxa"/>
            <w:gridSpan w:val="2"/>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A61C71E" w14:textId="77777777" w:rsidR="004242EA" w:rsidRPr="005D4222" w:rsidRDefault="004242EA" w:rsidP="00A53E8C">
            <w:pPr>
              <w:pStyle w:val="ECDSMarginHead"/>
            </w:pPr>
            <w:r w:rsidRPr="005D4222">
              <w:t>Denominator</w:t>
            </w:r>
          </w:p>
        </w:tc>
        <w:tc>
          <w:tcPr>
            <w:tcW w:w="7546"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420C201" w14:textId="77777777" w:rsidR="004242EA" w:rsidRPr="005D4222" w:rsidRDefault="004242EA" w:rsidP="00A53E8C">
            <w:pPr>
              <w:pStyle w:val="Admin"/>
              <w:rPr>
                <w:b w:val="0"/>
                <w:bCs w:val="0"/>
                <w:i w:val="0"/>
                <w:iCs w:val="0"/>
              </w:rPr>
            </w:pPr>
            <w:r w:rsidRPr="005D4222">
              <w:t xml:space="preserve">ADMINISTRATIVE </w:t>
            </w:r>
          </w:p>
          <w:p w14:paraId="27BFA716" w14:textId="77777777" w:rsidR="004242EA" w:rsidRPr="005D4222" w:rsidRDefault="004242EA" w:rsidP="00A53E8C">
            <w:pPr>
              <w:pStyle w:val="ECDSBody"/>
              <w:spacing w:before="0"/>
              <w:rPr>
                <w:rStyle w:val="eop"/>
                <w:rFonts w:eastAsiaTheme="majorEastAsia"/>
                <w:color w:val="000000"/>
              </w:rPr>
            </w:pPr>
            <w:r w:rsidRPr="005D4222">
              <w:rPr>
                <w:shd w:val="clear" w:color="auto" w:fill="FFFFFF"/>
              </w:rPr>
              <w:t>The initial population minus denominator exclusions</w:t>
            </w:r>
            <w:r w:rsidRPr="005D4222">
              <w:rPr>
                <w:rStyle w:val="eop"/>
                <w:rFonts w:eastAsiaTheme="majorEastAsia"/>
                <w:color w:val="000000"/>
              </w:rPr>
              <w:t>.</w:t>
            </w:r>
          </w:p>
          <w:p w14:paraId="7E79C13E" w14:textId="77777777" w:rsidR="004242EA" w:rsidRPr="005D4222" w:rsidRDefault="004242EA" w:rsidP="00A53E8C">
            <w:pPr>
              <w:pStyle w:val="Admin"/>
              <w:spacing w:before="180"/>
              <w:rPr>
                <w:b w:val="0"/>
                <w:bCs w:val="0"/>
                <w:i w:val="0"/>
                <w:iCs w:val="0"/>
              </w:rPr>
            </w:pPr>
            <w:r w:rsidRPr="005D4222">
              <w:t xml:space="preserve">HYBRID </w:t>
            </w:r>
          </w:p>
          <w:p w14:paraId="1FF767F4" w14:textId="77777777" w:rsidR="004242EA" w:rsidRPr="005D4222" w:rsidRDefault="004242EA" w:rsidP="00A53E8C">
            <w:pPr>
              <w:pStyle w:val="ECDSBody"/>
              <w:spacing w:before="0"/>
              <w:rPr>
                <w:shd w:val="clear" w:color="auto" w:fill="FFFFFF"/>
              </w:rPr>
            </w:pPr>
            <w:r w:rsidRPr="005D4222">
              <w:rPr>
                <w:shd w:val="clear" w:color="auto" w:fill="FFFFFF"/>
              </w:rPr>
              <w:t xml:space="preserve">A systematic sample drawn from the </w:t>
            </w:r>
            <w:r w:rsidRPr="005D4222">
              <w:t>administrative denominator</w:t>
            </w:r>
            <w:r w:rsidRPr="005D4222">
              <w:rPr>
                <w:shd w:val="clear" w:color="auto" w:fill="FFFFFF"/>
              </w:rPr>
              <w:t>.</w:t>
            </w:r>
          </w:p>
          <w:p w14:paraId="715BBC00" w14:textId="77777777" w:rsidR="004242EA" w:rsidRPr="005D4222" w:rsidRDefault="004242EA" w:rsidP="002819C4">
            <w:pPr>
              <w:pStyle w:val="ECDSBody"/>
              <w:spacing w:before="180"/>
              <w:rPr>
                <w:shd w:val="clear" w:color="auto" w:fill="FFFFFF"/>
              </w:rPr>
            </w:pPr>
            <w:r w:rsidRPr="005D4222">
              <w:rPr>
                <w:shd w:val="clear" w:color="auto" w:fill="FFFFFF"/>
              </w:rPr>
              <w:lastRenderedPageBreak/>
              <w:t>Organizations may reduce the sample size using the current year’s administrative rate or the prior year’s audited, product line-specific rate for the lower of the two indicators.</w:t>
            </w:r>
          </w:p>
          <w:p w14:paraId="67484D53" w14:textId="320DD8B7" w:rsidR="004242EA" w:rsidRPr="005D4222" w:rsidRDefault="004242EA" w:rsidP="00A53E8C">
            <w:pPr>
              <w:pStyle w:val="ECDSBody"/>
              <w:rPr>
                <w:b/>
                <w:bCs w:val="0"/>
              </w:rPr>
            </w:pPr>
            <w:r w:rsidRPr="005D4222">
              <w:rPr>
                <w:rFonts w:eastAsia="Arial,Arial,Arial,Arial,Arial,A"/>
                <w:szCs w:val="21"/>
              </w:rPr>
              <w:t xml:space="preserve">Refer to the </w:t>
            </w:r>
            <w:hyperlink w:anchor="Guidelines_for_Sampling" w:history="1">
              <w:r w:rsidRPr="005D4222">
                <w:rPr>
                  <w:rStyle w:val="Hyperlink"/>
                  <w:rFonts w:eastAsia="Arial,Arial,Arial,Arial,Arial,A"/>
                  <w:i/>
                  <w:iCs/>
                  <w:szCs w:val="21"/>
                </w:rPr>
                <w:t>Guidelines for Calculations and Sampling</w:t>
              </w:r>
            </w:hyperlink>
            <w:r w:rsidRPr="005D4222">
              <w:rPr>
                <w:rFonts w:eastAsia="Arial,Arial,Arial,Arial,Arial,A"/>
                <w:szCs w:val="21"/>
              </w:rPr>
              <w:t xml:space="preserve"> for information on reducing the sample size.</w:t>
            </w:r>
          </w:p>
        </w:tc>
      </w:tr>
      <w:tr w:rsidR="004242EA" w:rsidRPr="005D4222" w14:paraId="6FB17410" w14:textId="77777777" w:rsidTr="00BD4531">
        <w:trPr>
          <w:gridBefore w:val="1"/>
          <w:wBefore w:w="18" w:type="dxa"/>
        </w:trPr>
        <w:tc>
          <w:tcPr>
            <w:tcW w:w="2171"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300DF71" w14:textId="77777777" w:rsidR="004242EA" w:rsidRPr="005D4222" w:rsidRDefault="004242EA" w:rsidP="00A53E8C">
            <w:pPr>
              <w:pStyle w:val="ECDSMarginHead"/>
            </w:pPr>
            <w:r w:rsidRPr="005D4222">
              <w:lastRenderedPageBreak/>
              <w:t xml:space="preserve">Numerator </w:t>
            </w:r>
          </w:p>
        </w:tc>
        <w:tc>
          <w:tcPr>
            <w:tcW w:w="7546"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388B017" w14:textId="77777777" w:rsidR="004242EA" w:rsidRPr="005D4222" w:rsidRDefault="004242EA" w:rsidP="00A53E8C">
            <w:pPr>
              <w:pStyle w:val="Admin"/>
              <w:rPr>
                <w:b w:val="0"/>
                <w:bCs w:val="0"/>
                <w:i w:val="0"/>
                <w:iCs w:val="0"/>
              </w:rPr>
            </w:pPr>
            <w:r w:rsidRPr="005D4222">
              <w:t>ADMINISTRATIVE</w:t>
            </w:r>
          </w:p>
          <w:p w14:paraId="5DD84B7A" w14:textId="77777777" w:rsidR="004242EA" w:rsidRPr="005D4222" w:rsidRDefault="004242EA" w:rsidP="00A53E8C">
            <w:pPr>
              <w:pStyle w:val="ECDSBody"/>
            </w:pPr>
            <w:r w:rsidRPr="005D4222">
              <w:rPr>
                <w:b/>
              </w:rPr>
              <w:t>Numerator 1:</w:t>
            </w:r>
            <w:r w:rsidRPr="005D4222" w:rsidDel="00F60AC6">
              <w:rPr>
                <w:b/>
              </w:rPr>
              <w:t xml:space="preserve"> </w:t>
            </w:r>
            <w:r w:rsidRPr="005D4222">
              <w:rPr>
                <w:b/>
              </w:rPr>
              <w:t>Timeliness of prenatal care.</w:t>
            </w:r>
            <w:r w:rsidRPr="005D4222">
              <w:rPr>
                <w:b/>
                <w:bCs w:val="0"/>
              </w:rPr>
              <w:br/>
            </w:r>
            <w:r w:rsidRPr="005D4222">
              <w:t xml:space="preserve">A prenatal visit during the required time frame. Follow the steps below to identify numerator compliance.  </w:t>
            </w:r>
          </w:p>
          <w:p w14:paraId="4DD48187" w14:textId="77777777" w:rsidR="004242EA" w:rsidRPr="005D4222" w:rsidRDefault="004242EA" w:rsidP="00A53E8C">
            <w:pPr>
              <w:pStyle w:val="ECDSBody"/>
            </w:pPr>
            <w:r w:rsidRPr="005D4222">
              <w:rPr>
                <w:b/>
              </w:rPr>
              <w:t>Step 1.</w:t>
            </w:r>
            <w:r w:rsidRPr="005D4222">
              <w:t xml:space="preserve"> Identify</w:t>
            </w:r>
            <w:r w:rsidRPr="005D4222" w:rsidDel="00D1538F">
              <w:t xml:space="preserve"> </w:t>
            </w:r>
            <w:r w:rsidRPr="005D4222">
              <w:t>persons who were continuously enrolled (with no gaps) from at least 219 days before delivery (or EDD) through 60 days after delivery.</w:t>
            </w:r>
          </w:p>
          <w:p w14:paraId="6C79FBB2" w14:textId="77777777" w:rsidR="004242EA" w:rsidRPr="005D4222" w:rsidRDefault="004242EA" w:rsidP="00A53E8C">
            <w:pPr>
              <w:pStyle w:val="ECDSBody"/>
            </w:pPr>
            <w:r w:rsidRPr="005D4222">
              <w:t>These persons must have a prenatal visit during the first trimester.</w:t>
            </w:r>
          </w:p>
          <w:p w14:paraId="1EB9CBD6" w14:textId="77777777" w:rsidR="004242EA" w:rsidRPr="005D4222" w:rsidRDefault="004242EA" w:rsidP="00A53E8C">
            <w:pPr>
              <w:pStyle w:val="ECDSBody"/>
            </w:pPr>
            <w:r w:rsidRPr="005D4222">
              <w:rPr>
                <w:b/>
              </w:rPr>
              <w:t>Step 2.</w:t>
            </w:r>
            <w:r w:rsidRPr="005D4222">
              <w:t xml:space="preserve"> Identify persons who were not continuously enrolled from at least 219 days before delivery (or EDD) through 60 days after delivery. </w:t>
            </w:r>
          </w:p>
          <w:p w14:paraId="58CD8112" w14:textId="77777777" w:rsidR="004242EA" w:rsidRPr="005D4222" w:rsidRDefault="004242EA" w:rsidP="00A53E8C">
            <w:pPr>
              <w:pStyle w:val="ECDSBody"/>
            </w:pPr>
            <w:r w:rsidRPr="005D4222">
              <w:t xml:space="preserve">These persons must have a prenatal visit any time during the period that begins 280 days prior to delivery and ends 42 days after the enrollment start date. </w:t>
            </w:r>
          </w:p>
          <w:p w14:paraId="5EDD6F72" w14:textId="77777777" w:rsidR="004242EA" w:rsidRPr="005D4222" w:rsidRDefault="004242EA" w:rsidP="00A53E8C">
            <w:pPr>
              <w:pStyle w:val="ECDSBody"/>
            </w:pPr>
            <w:r w:rsidRPr="005D4222">
              <w:t>Do not count visits that occur on or after the date of delivery. Visits that occur prior to the person’s enrollment start date during the pregnancy meet criteria.</w:t>
            </w:r>
          </w:p>
          <w:p w14:paraId="7009556F" w14:textId="77777777" w:rsidR="004242EA" w:rsidRPr="005D4222" w:rsidRDefault="004242EA" w:rsidP="00A53E8C">
            <w:pPr>
              <w:pStyle w:val="ECDSBody"/>
            </w:pPr>
            <w:r w:rsidRPr="005D4222">
              <w:rPr>
                <w:b/>
              </w:rPr>
              <w:t xml:space="preserve">Step 3. </w:t>
            </w:r>
            <w:r w:rsidRPr="005D4222">
              <w:t>Identify prenatal visits that occurred during the required time frame (the time frame identified in step 1 or 2). Any of the following, where the practitioner type is an OB/GYN or other prenatal care practitioner or PCP, meet criteria for a prenatal visit:</w:t>
            </w:r>
          </w:p>
          <w:p w14:paraId="311F682E" w14:textId="77777777" w:rsidR="004242EA" w:rsidRPr="005D4222" w:rsidRDefault="004242EA" w:rsidP="004242EA">
            <w:pPr>
              <w:pStyle w:val="Bullet"/>
              <w:numPr>
                <w:ilvl w:val="0"/>
                <w:numId w:val="4"/>
              </w:numPr>
              <w:tabs>
                <w:tab w:val="left" w:pos="576"/>
              </w:tabs>
              <w:spacing w:before="60"/>
              <w:ind w:left="576" w:hanging="216"/>
            </w:pPr>
            <w:r w:rsidRPr="005D4222">
              <w:t>A bundled service (</w:t>
            </w:r>
            <w:r w:rsidRPr="005D4222">
              <w:rPr>
                <w:u w:val="single"/>
              </w:rPr>
              <w:t>Prenatal Bundled Services Value Set</w:t>
            </w:r>
            <w:r w:rsidRPr="005D4222">
              <w:t xml:space="preserve">) where the organization can identify the date when prenatal care was initiated (because bundled service codes are used on the date of delivery, these codes may be used only if the claim form indicates when prenatal care was initiated). </w:t>
            </w:r>
            <w:r w:rsidRPr="005D4222">
              <w:rPr>
                <w:rFonts w:ascii="Arial Narrow" w:hAnsi="Arial Narrow" w:cs="Arial Narrow"/>
              </w:rPr>
              <w:t xml:space="preserve"> </w:t>
            </w:r>
          </w:p>
          <w:p w14:paraId="1CEC7312" w14:textId="77777777" w:rsidR="004242EA" w:rsidRPr="005D4222" w:rsidRDefault="004242EA" w:rsidP="004242EA">
            <w:pPr>
              <w:pStyle w:val="Bullet"/>
              <w:numPr>
                <w:ilvl w:val="0"/>
                <w:numId w:val="4"/>
              </w:numPr>
              <w:tabs>
                <w:tab w:val="left" w:pos="576"/>
              </w:tabs>
              <w:spacing w:before="60"/>
              <w:ind w:left="576" w:hanging="216"/>
              <w:rPr>
                <w:rFonts w:ascii="Times New Roman" w:eastAsiaTheme="minorHAnsi" w:hAnsi="Times New Roman"/>
                <w:sz w:val="24"/>
              </w:rPr>
            </w:pPr>
            <w:r w:rsidRPr="005D4222">
              <w:t>A visit for prenatal care (</w:t>
            </w:r>
            <w:r w:rsidRPr="005D4222">
              <w:rPr>
                <w:u w:val="single"/>
              </w:rPr>
              <w:t>Stand Alone Prenatal Visits Value Set</w:t>
            </w:r>
            <w:r w:rsidRPr="005D4222">
              <w:rPr>
                <w:rStyle w:val="normaltextrun"/>
                <w:rFonts w:cs="Arial"/>
                <w:color w:val="000000" w:themeColor="text1"/>
                <w:position w:val="4"/>
                <w:szCs w:val="21"/>
                <w:bdr w:val="none" w:sz="0" w:space="0" w:color="auto" w:frame="1"/>
              </w:rPr>
              <w:t>†</w:t>
            </w:r>
            <w:r w:rsidRPr="005D4222">
              <w:t xml:space="preserve">). </w:t>
            </w:r>
          </w:p>
          <w:p w14:paraId="36074285" w14:textId="77777777" w:rsidR="004242EA" w:rsidRPr="005D4222" w:rsidRDefault="004242EA" w:rsidP="004242EA">
            <w:pPr>
              <w:pStyle w:val="Bullet"/>
              <w:numPr>
                <w:ilvl w:val="0"/>
                <w:numId w:val="4"/>
              </w:numPr>
              <w:tabs>
                <w:tab w:val="left" w:pos="576"/>
              </w:tabs>
              <w:spacing w:before="60"/>
              <w:ind w:left="576" w:hanging="216"/>
              <w:rPr>
                <w:rFonts w:ascii="Times New Roman" w:eastAsiaTheme="minorHAnsi" w:hAnsi="Times New Roman"/>
                <w:sz w:val="24"/>
              </w:rPr>
            </w:pPr>
            <w:r w:rsidRPr="005D4222">
              <w:t>A prenatal visit (</w:t>
            </w:r>
            <w:r w:rsidRPr="005D4222">
              <w:rPr>
                <w:u w:val="single"/>
              </w:rPr>
              <w:t>Prenatal Visits Value Set</w:t>
            </w:r>
            <w:r w:rsidRPr="005D4222">
              <w:t xml:space="preserve">) </w:t>
            </w:r>
            <w:r w:rsidRPr="005D4222">
              <w:rPr>
                <w:b/>
                <w:i/>
              </w:rPr>
              <w:t>with</w:t>
            </w:r>
            <w:r w:rsidRPr="005D4222">
              <w:t xml:space="preserve"> a pregnancy-related diagnosis code (</w:t>
            </w:r>
            <w:r w:rsidRPr="005D4222">
              <w:rPr>
                <w:u w:val="single"/>
              </w:rPr>
              <w:t>Pregnancy Diagnosis Value Set</w:t>
            </w:r>
            <w:r w:rsidRPr="005D4222">
              <w:t xml:space="preserve">). </w:t>
            </w:r>
          </w:p>
          <w:p w14:paraId="4F8FBF02" w14:textId="77777777" w:rsidR="004242EA" w:rsidRPr="005D4222" w:rsidRDefault="004242EA" w:rsidP="00A53E8C">
            <w:pPr>
              <w:pStyle w:val="Body"/>
            </w:pPr>
            <w:r w:rsidRPr="005D4222">
              <w:rPr>
                <w:b/>
                <w:bCs/>
              </w:rPr>
              <w:t>Numerator 2</w:t>
            </w:r>
            <w:r w:rsidRPr="005D4222">
              <w:rPr>
                <w:b/>
                <w:bCs/>
                <w:i/>
                <w:iCs/>
              </w:rPr>
              <w:t>:</w:t>
            </w:r>
            <w:r w:rsidRPr="005D4222" w:rsidDel="00F1566E">
              <w:rPr>
                <w:b/>
                <w:bCs/>
              </w:rPr>
              <w:t xml:space="preserve"> </w:t>
            </w:r>
            <w:r w:rsidRPr="005D4222">
              <w:rPr>
                <w:b/>
                <w:bCs/>
              </w:rPr>
              <w:t>Postpartum care.</w:t>
            </w:r>
            <w:r w:rsidRPr="005D4222">
              <w:rPr>
                <w:b/>
                <w:bCs/>
              </w:rPr>
              <w:br/>
            </w:r>
            <w:r w:rsidRPr="005D4222">
              <w:t>A postpartum visit on or between 7 and 84 days after delivery. Any of the following meet criteria:</w:t>
            </w:r>
          </w:p>
          <w:p w14:paraId="589F8FA2" w14:textId="77777777" w:rsidR="004242EA" w:rsidRPr="005D4222" w:rsidRDefault="004242EA" w:rsidP="004242EA">
            <w:pPr>
              <w:pStyle w:val="Bullet"/>
              <w:numPr>
                <w:ilvl w:val="0"/>
                <w:numId w:val="4"/>
              </w:numPr>
              <w:tabs>
                <w:tab w:val="left" w:pos="576"/>
              </w:tabs>
              <w:spacing w:before="60"/>
              <w:ind w:left="576" w:hanging="216"/>
              <w:rPr>
                <w:rFonts w:ascii="Times New Roman" w:eastAsiaTheme="minorHAnsi" w:hAnsi="Times New Roman"/>
                <w:sz w:val="24"/>
              </w:rPr>
            </w:pPr>
            <w:r w:rsidRPr="005D4222">
              <w:t>A postpartum visit (</w:t>
            </w:r>
            <w:r w:rsidRPr="005D4222">
              <w:rPr>
                <w:u w:val="single"/>
              </w:rPr>
              <w:t>Postpartum Care Value Set</w:t>
            </w:r>
            <w:r w:rsidRPr="005D4222">
              <w:rPr>
                <w:rStyle w:val="normaltextrun"/>
                <w:rFonts w:cs="Arial"/>
                <w:color w:val="000000" w:themeColor="text1"/>
                <w:position w:val="4"/>
                <w:szCs w:val="21"/>
                <w:bdr w:val="none" w:sz="0" w:space="0" w:color="auto" w:frame="1"/>
              </w:rPr>
              <w:t>†</w:t>
            </w:r>
            <w:r w:rsidRPr="005D4222">
              <w:t xml:space="preserve">). </w:t>
            </w:r>
          </w:p>
          <w:p w14:paraId="7C5626DE" w14:textId="77777777" w:rsidR="004242EA" w:rsidRPr="005D4222" w:rsidRDefault="004242EA" w:rsidP="004242EA">
            <w:pPr>
              <w:pStyle w:val="Bullet"/>
              <w:numPr>
                <w:ilvl w:val="0"/>
                <w:numId w:val="4"/>
              </w:numPr>
              <w:tabs>
                <w:tab w:val="left" w:pos="576"/>
              </w:tabs>
              <w:spacing w:before="60" w:after="80"/>
              <w:ind w:left="576" w:hanging="216"/>
              <w:rPr>
                <w:b/>
              </w:rPr>
            </w:pPr>
            <w:r w:rsidRPr="005D4222">
              <w:t>An encounter for postpartum care (</w:t>
            </w:r>
            <w:r w:rsidRPr="005D4222">
              <w:rPr>
                <w:u w:val="single"/>
              </w:rPr>
              <w:t>Encounter for Postpartum Care Value Set</w:t>
            </w:r>
            <w:r w:rsidRPr="005D4222">
              <w:t>*).</w:t>
            </w:r>
            <w:r w:rsidRPr="005D4222">
              <w:rPr>
                <w:rFonts w:ascii="Times New Roman" w:eastAsiaTheme="minorHAnsi" w:hAnsi="Times New Roman"/>
                <w:sz w:val="24"/>
              </w:rPr>
              <w:t xml:space="preserve"> </w:t>
            </w:r>
          </w:p>
          <w:p w14:paraId="101E1DDE" w14:textId="77777777" w:rsidR="004242EA" w:rsidRPr="005D4222" w:rsidRDefault="004242EA" w:rsidP="004242EA">
            <w:pPr>
              <w:pStyle w:val="Bullet"/>
              <w:numPr>
                <w:ilvl w:val="0"/>
                <w:numId w:val="4"/>
              </w:numPr>
              <w:tabs>
                <w:tab w:val="left" w:pos="576"/>
              </w:tabs>
              <w:spacing w:before="0" w:after="80"/>
              <w:ind w:left="576" w:hanging="216"/>
              <w:rPr>
                <w:b/>
                <w:bCs/>
              </w:rPr>
            </w:pPr>
            <w:r w:rsidRPr="005D4222">
              <w:t>Cervical cytology (</w:t>
            </w:r>
            <w:r w:rsidRPr="005D4222">
              <w:rPr>
                <w:u w:val="single"/>
              </w:rPr>
              <w:t>Cervical Cytology Lab Test Value Set</w:t>
            </w:r>
            <w:r w:rsidRPr="005D4222">
              <w:t xml:space="preserve">; </w:t>
            </w:r>
            <w:r w:rsidRPr="005D4222">
              <w:rPr>
                <w:u w:val="single"/>
              </w:rPr>
              <w:t>Cervical Cytology Result or Finding Value Set</w:t>
            </w:r>
            <w:r w:rsidRPr="005D4222">
              <w:t>).</w:t>
            </w:r>
          </w:p>
          <w:p w14:paraId="288ACB99" w14:textId="6DEE05C5" w:rsidR="00BD4531" w:rsidRPr="005D4222" w:rsidRDefault="004242EA" w:rsidP="00BD4531">
            <w:pPr>
              <w:pStyle w:val="Bullet"/>
              <w:numPr>
                <w:ilvl w:val="0"/>
                <w:numId w:val="4"/>
              </w:numPr>
              <w:tabs>
                <w:tab w:val="left" w:pos="576"/>
              </w:tabs>
              <w:spacing w:after="80"/>
              <w:ind w:left="576" w:hanging="216"/>
              <w:rPr>
                <w:color w:val="000000" w:themeColor="text1"/>
                <w:szCs w:val="21"/>
              </w:rPr>
            </w:pPr>
            <w:r w:rsidRPr="005D4222">
              <w:t>A bundled service (</w:t>
            </w:r>
            <w:r w:rsidRPr="005D4222">
              <w:rPr>
                <w:u w:val="single"/>
              </w:rPr>
              <w:t>Postpartum Bundled Services Value Set</w:t>
            </w:r>
            <w:r w:rsidRPr="005D4222">
              <w:t>) where the organization can identify the date when postpartum care was rendered (because bundled service codes are used on the date of delivery, not on the date of the postpartum visit, these codes may be used only if the claim form indicates when postpartum care was rendered).</w:t>
            </w:r>
          </w:p>
        </w:tc>
      </w:tr>
      <w:tr w:rsidR="004242EA" w:rsidRPr="005D4222" w14:paraId="5D4466D6" w14:textId="77777777" w:rsidTr="00BD4531">
        <w:trPr>
          <w:gridBefore w:val="1"/>
          <w:wBefore w:w="18" w:type="dxa"/>
        </w:trPr>
        <w:tc>
          <w:tcPr>
            <w:tcW w:w="2171"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75A57C88" w14:textId="77777777" w:rsidR="004242EA" w:rsidRPr="005D4222" w:rsidRDefault="004242EA" w:rsidP="00A53E8C">
            <w:pPr>
              <w:pStyle w:val="ECDSMarginHead"/>
              <w:rPr>
                <w:bCs/>
              </w:rPr>
            </w:pPr>
          </w:p>
        </w:tc>
        <w:tc>
          <w:tcPr>
            <w:tcW w:w="7546" w:type="dxa"/>
            <w:tcBorders>
              <w:top w:val="single" w:sz="4" w:space="0" w:color="auto"/>
              <w:left w:val="single" w:sz="4" w:space="0" w:color="auto"/>
              <w:right w:val="single" w:sz="4" w:space="0" w:color="auto"/>
            </w:tcBorders>
            <w:tcMar>
              <w:top w:w="0" w:type="dxa"/>
              <w:left w:w="86" w:type="dxa"/>
              <w:bottom w:w="43" w:type="dxa"/>
              <w:right w:w="86" w:type="dxa"/>
            </w:tcMar>
          </w:tcPr>
          <w:p w14:paraId="0DB3C188" w14:textId="77777777" w:rsidR="00BD4531" w:rsidRPr="005D4222" w:rsidRDefault="00BD4531" w:rsidP="00BD4531">
            <w:pPr>
              <w:pStyle w:val="ECDSBody"/>
            </w:pPr>
            <w:r w:rsidRPr="005D4222">
              <w:t>Exclude services provided in an acute inpatient setting (</w:t>
            </w:r>
            <w:r w:rsidRPr="005D4222">
              <w:rPr>
                <w:u w:val="single"/>
              </w:rPr>
              <w:t>Acute Inpatient Value Set</w:t>
            </w:r>
            <w:r w:rsidRPr="005D4222">
              <w:t xml:space="preserve">; </w:t>
            </w:r>
            <w:r w:rsidRPr="005D4222">
              <w:rPr>
                <w:u w:val="single"/>
              </w:rPr>
              <w:t>Acute Inpatient POS Value Set</w:t>
            </w:r>
            <w:r w:rsidRPr="005D4222">
              <w:t xml:space="preserve">).  </w:t>
            </w:r>
          </w:p>
          <w:p w14:paraId="44143122" w14:textId="77777777" w:rsidR="00BD4531" w:rsidRPr="005D4222" w:rsidRDefault="00BD4531" w:rsidP="00BD4531">
            <w:pPr>
              <w:pStyle w:val="Note"/>
            </w:pPr>
            <w:r w:rsidRPr="005D4222">
              <w:rPr>
                <w:b/>
              </w:rPr>
              <w:t>Note:</w:t>
            </w:r>
            <w:r w:rsidRPr="005D4222">
              <w:t xml:space="preserve"> The practitioner requirement only applies to the Hybrid Specification. The organization is not required to identify practitioner type in administrative data.</w:t>
            </w:r>
          </w:p>
          <w:p w14:paraId="68A759E6" w14:textId="77777777" w:rsidR="004242EA" w:rsidRPr="005D4222" w:rsidRDefault="004242EA" w:rsidP="00A53E8C">
            <w:pPr>
              <w:pStyle w:val="ECDSBody"/>
              <w:spacing w:after="0"/>
              <w:rPr>
                <w:b/>
                <w:bCs w:val="0"/>
              </w:rPr>
            </w:pPr>
            <w:r w:rsidRPr="005D4222">
              <w:rPr>
                <w:b/>
                <w:bCs w:val="0"/>
              </w:rPr>
              <w:t>Coding Guidance</w:t>
            </w:r>
          </w:p>
          <w:p w14:paraId="7730CD5A" w14:textId="77777777" w:rsidR="004242EA" w:rsidRPr="005D4222" w:rsidRDefault="004242EA" w:rsidP="00A53E8C">
            <w:pPr>
              <w:pStyle w:val="ECDSBody"/>
              <w:spacing w:before="0" w:after="0"/>
            </w:pPr>
            <w:r w:rsidRPr="005D4222">
              <w:t>*Do not include laboratory claims (claims with POS code 81).</w:t>
            </w:r>
          </w:p>
          <w:p w14:paraId="2642FF1E" w14:textId="77777777" w:rsidR="004242EA" w:rsidRPr="005D4222" w:rsidRDefault="004242EA" w:rsidP="00A53E8C">
            <w:pPr>
              <w:pStyle w:val="ECDSBody"/>
              <w:spacing w:before="0"/>
            </w:pPr>
            <w:r w:rsidRPr="005D4222">
              <w:rPr>
                <w:rStyle w:val="normaltextrun"/>
                <w:color w:val="000000" w:themeColor="text1"/>
                <w:position w:val="4"/>
                <w:szCs w:val="21"/>
                <w:bdr w:val="none" w:sz="0" w:space="0" w:color="auto" w:frame="1"/>
              </w:rPr>
              <w:t>†</w:t>
            </w:r>
            <w:r w:rsidRPr="005D4222">
              <w:rPr>
                <w:color w:val="000000" w:themeColor="text1"/>
                <w:szCs w:val="21"/>
              </w:rPr>
              <w:t xml:space="preserve">Do not use codes with a modifier </w:t>
            </w:r>
            <w:r w:rsidRPr="005D4222">
              <w:t>(</w:t>
            </w:r>
            <w:r w:rsidRPr="005D4222">
              <w:rPr>
                <w:u w:val="single"/>
              </w:rPr>
              <w:t>CPT CAT II Modifier Value Set</w:t>
            </w:r>
            <w:r w:rsidRPr="005D4222">
              <w:t>)</w:t>
            </w:r>
            <w:r w:rsidRPr="005D4222">
              <w:rPr>
                <w:color w:val="000000" w:themeColor="text1"/>
                <w:szCs w:val="21"/>
              </w:rPr>
              <w:t>.</w:t>
            </w:r>
          </w:p>
          <w:p w14:paraId="7341DA77" w14:textId="77777777" w:rsidR="004242EA" w:rsidRPr="005D4222" w:rsidRDefault="004242EA" w:rsidP="00A53E8C">
            <w:pPr>
              <w:pStyle w:val="Admin"/>
            </w:pPr>
            <w:r w:rsidRPr="005D4222">
              <w:t xml:space="preserve">HYBRID </w:t>
            </w:r>
          </w:p>
          <w:p w14:paraId="40670CC1" w14:textId="77777777" w:rsidR="004242EA" w:rsidRPr="005D4222" w:rsidRDefault="004242EA" w:rsidP="00A53E8C">
            <w:pPr>
              <w:pStyle w:val="Note"/>
              <w:rPr>
                <w:i w:val="0"/>
              </w:rPr>
            </w:pPr>
            <w:r w:rsidRPr="005D4222">
              <w:t xml:space="preserve">Administrative: </w:t>
            </w:r>
            <w:r w:rsidRPr="005D4222">
              <w:rPr>
                <w:i w:val="0"/>
              </w:rPr>
              <w:t xml:space="preserve">Refer to </w:t>
            </w:r>
            <w:r w:rsidRPr="005D4222">
              <w:rPr>
                <w:i w:val="0"/>
                <w:iCs/>
              </w:rPr>
              <w:t xml:space="preserve">administrative </w:t>
            </w:r>
            <w:r w:rsidRPr="005D4222">
              <w:rPr>
                <w:i w:val="0"/>
              </w:rPr>
              <w:t>specifications to identify positive numerator hits from administrative data.</w:t>
            </w:r>
          </w:p>
          <w:p w14:paraId="4C6115F7" w14:textId="77777777" w:rsidR="004242EA" w:rsidRPr="005D4222" w:rsidRDefault="004242EA" w:rsidP="00A53E8C">
            <w:pPr>
              <w:pStyle w:val="ECDSBody"/>
            </w:pPr>
            <w:r w:rsidRPr="005D4222">
              <w:rPr>
                <w:b/>
                <w:bCs w:val="0"/>
              </w:rPr>
              <w:t>Numerator 1</w:t>
            </w:r>
            <w:r w:rsidRPr="005D4222">
              <w:rPr>
                <w:b/>
                <w:bCs w:val="0"/>
                <w:i/>
              </w:rPr>
              <w:t>:</w:t>
            </w:r>
            <w:r w:rsidRPr="005D4222">
              <w:rPr>
                <w:b/>
                <w:bCs w:val="0"/>
              </w:rPr>
              <w:t xml:space="preserve"> Timeliness of prenatal care.</w:t>
            </w:r>
            <w:r w:rsidRPr="005D4222">
              <w:rPr>
                <w:b/>
                <w:bCs w:val="0"/>
              </w:rPr>
              <w:br/>
            </w:r>
            <w:r w:rsidRPr="005D4222">
              <w:t xml:space="preserve">A prenatal visit during the required time frame. Refer to </w:t>
            </w:r>
            <w:r w:rsidRPr="005D4222">
              <w:rPr>
                <w:i/>
                <w:iCs/>
              </w:rPr>
              <w:t>Administrative Specification</w:t>
            </w:r>
            <w:r w:rsidRPr="005D4222">
              <w:t xml:space="preserve"> to identify the required time frame for each person based on the date of enrollment in the organization and the gaps in enrollment during the pregnancy.</w:t>
            </w:r>
          </w:p>
          <w:p w14:paraId="43947401" w14:textId="77777777" w:rsidR="004242EA" w:rsidRPr="005D4222" w:rsidRDefault="004242EA" w:rsidP="00A53E8C">
            <w:pPr>
              <w:pStyle w:val="ECDSBody"/>
            </w:pPr>
            <w:r w:rsidRPr="005D4222">
              <w:rPr>
                <w:i/>
                <w:iCs/>
              </w:rPr>
              <w:t xml:space="preserve">Medical record: </w:t>
            </w:r>
            <w:r w:rsidRPr="005D4222">
              <w:t>Prenatal care visit to an OB/GYN or other prenatal care practitioner, or PCP. For visits to a PCP, a diagnosis of pregnancy must be present. Documentation in the medical record must include a note indicating the date when the prenatal care visit occurred and evidence of one of the following.</w:t>
            </w:r>
          </w:p>
          <w:p w14:paraId="4B443160" w14:textId="77777777" w:rsidR="004F55B5" w:rsidRPr="005D4222" w:rsidRDefault="004242EA" w:rsidP="004242EA">
            <w:pPr>
              <w:pStyle w:val="Bullet"/>
              <w:numPr>
                <w:ilvl w:val="0"/>
                <w:numId w:val="4"/>
              </w:numPr>
              <w:tabs>
                <w:tab w:val="left" w:pos="360"/>
                <w:tab w:val="left" w:pos="576"/>
              </w:tabs>
              <w:ind w:left="576" w:hanging="216"/>
            </w:pPr>
            <w:r w:rsidRPr="005D4222">
              <w:t>Documentation indicating the person is pregnant or references to the pregnancy</w:t>
            </w:r>
            <w:r w:rsidR="004F55B5" w:rsidRPr="005D4222">
              <w:t>.</w:t>
            </w:r>
          </w:p>
          <w:p w14:paraId="31332AF2" w14:textId="24C10A3E" w:rsidR="004242EA" w:rsidRPr="005D4222" w:rsidRDefault="004F55B5" w:rsidP="004F55B5">
            <w:pPr>
              <w:pStyle w:val="Bullet"/>
              <w:numPr>
                <w:ilvl w:val="0"/>
                <w:numId w:val="0"/>
              </w:numPr>
              <w:tabs>
                <w:tab w:val="left" w:pos="360"/>
                <w:tab w:val="left" w:pos="576"/>
              </w:tabs>
              <w:ind w:left="576"/>
            </w:pPr>
            <w:r w:rsidRPr="005D4222">
              <w:rPr>
                <w:i/>
                <w:iCs/>
              </w:rPr>
              <w:t>F</w:t>
            </w:r>
            <w:r w:rsidR="004242EA" w:rsidRPr="005D4222">
              <w:rPr>
                <w:i/>
                <w:iCs/>
              </w:rPr>
              <w:t xml:space="preserve">or example: </w:t>
            </w:r>
          </w:p>
          <w:p w14:paraId="130364ED" w14:textId="77777777" w:rsidR="004242EA" w:rsidRPr="005D4222" w:rsidRDefault="004242EA" w:rsidP="004242EA">
            <w:pPr>
              <w:pStyle w:val="Dash"/>
              <w:tabs>
                <w:tab w:val="left" w:pos="576"/>
                <w:tab w:val="left" w:pos="792"/>
              </w:tabs>
            </w:pPr>
            <w:r w:rsidRPr="005D4222">
              <w:t xml:space="preserve">Documentation in a standardized prenatal flow sheet, </w:t>
            </w:r>
            <w:r w:rsidRPr="005D4222">
              <w:rPr>
                <w:b/>
                <w:bCs/>
                <w:i/>
                <w:iCs/>
              </w:rPr>
              <w:t>or</w:t>
            </w:r>
          </w:p>
          <w:p w14:paraId="044397DE" w14:textId="77777777" w:rsidR="004242EA" w:rsidRPr="005D4222" w:rsidRDefault="004242EA" w:rsidP="004242EA">
            <w:pPr>
              <w:pStyle w:val="Dash"/>
              <w:tabs>
                <w:tab w:val="left" w:pos="576"/>
                <w:tab w:val="left" w:pos="792"/>
              </w:tabs>
            </w:pPr>
            <w:r w:rsidRPr="005D4222">
              <w:t xml:space="preserve">Documentation of last menstrual period (LMP), EDD or gestational age, </w:t>
            </w:r>
            <w:r w:rsidRPr="005D4222">
              <w:rPr>
                <w:b/>
                <w:bCs/>
                <w:i/>
                <w:iCs/>
              </w:rPr>
              <w:t>or</w:t>
            </w:r>
          </w:p>
          <w:p w14:paraId="3025C2DE" w14:textId="77777777" w:rsidR="004242EA" w:rsidRPr="005D4222" w:rsidRDefault="004242EA" w:rsidP="004242EA">
            <w:pPr>
              <w:pStyle w:val="Dash"/>
              <w:tabs>
                <w:tab w:val="left" w:pos="576"/>
                <w:tab w:val="left" w:pos="792"/>
              </w:tabs>
            </w:pPr>
            <w:r w:rsidRPr="005D4222">
              <w:t xml:space="preserve">A positive pregnancy test result, </w:t>
            </w:r>
            <w:r w:rsidRPr="005D4222">
              <w:rPr>
                <w:b/>
                <w:bCs/>
                <w:i/>
                <w:iCs/>
              </w:rPr>
              <w:t>or</w:t>
            </w:r>
          </w:p>
          <w:p w14:paraId="33B1805D" w14:textId="77777777" w:rsidR="004242EA" w:rsidRPr="005D4222" w:rsidRDefault="004242EA" w:rsidP="004242EA">
            <w:pPr>
              <w:pStyle w:val="Dash"/>
              <w:tabs>
                <w:tab w:val="left" w:pos="576"/>
                <w:tab w:val="left" w:pos="792"/>
              </w:tabs>
            </w:pPr>
            <w:r w:rsidRPr="005D4222">
              <w:t xml:space="preserve">Documentation of gravidity and parity, </w:t>
            </w:r>
            <w:r w:rsidRPr="005D4222">
              <w:rPr>
                <w:b/>
                <w:bCs/>
                <w:i/>
                <w:iCs/>
              </w:rPr>
              <w:t>or</w:t>
            </w:r>
          </w:p>
          <w:p w14:paraId="3B962EBA" w14:textId="77777777" w:rsidR="004242EA" w:rsidRPr="005D4222" w:rsidRDefault="004242EA" w:rsidP="004242EA">
            <w:pPr>
              <w:pStyle w:val="Dash"/>
              <w:tabs>
                <w:tab w:val="left" w:pos="576"/>
                <w:tab w:val="left" w:pos="792"/>
              </w:tabs>
            </w:pPr>
            <w:r w:rsidRPr="005D4222">
              <w:t xml:space="preserve">Documentation of complete obstetrical history, </w:t>
            </w:r>
            <w:r w:rsidRPr="005D4222">
              <w:rPr>
                <w:b/>
                <w:bCs/>
                <w:i/>
                <w:iCs/>
              </w:rPr>
              <w:t>or</w:t>
            </w:r>
          </w:p>
          <w:p w14:paraId="0B8B5F3A" w14:textId="77777777" w:rsidR="004242EA" w:rsidRPr="005D4222" w:rsidRDefault="004242EA" w:rsidP="004242EA">
            <w:pPr>
              <w:pStyle w:val="Dash"/>
              <w:tabs>
                <w:tab w:val="left" w:pos="576"/>
                <w:tab w:val="left" w:pos="792"/>
              </w:tabs>
            </w:pPr>
            <w:r w:rsidRPr="005D4222">
              <w:t xml:space="preserve">Documentation of prenatal risk assessment and counseling/ education. </w:t>
            </w:r>
          </w:p>
          <w:p w14:paraId="7CD0FCBF" w14:textId="77777777" w:rsidR="004242EA" w:rsidRPr="005D4222" w:rsidRDefault="004242EA" w:rsidP="004242EA">
            <w:pPr>
              <w:pStyle w:val="Bullet"/>
              <w:numPr>
                <w:ilvl w:val="0"/>
                <w:numId w:val="4"/>
              </w:numPr>
              <w:tabs>
                <w:tab w:val="left" w:pos="360"/>
                <w:tab w:val="left" w:pos="576"/>
              </w:tabs>
              <w:ind w:left="576" w:hanging="216"/>
            </w:pPr>
            <w:r w:rsidRPr="005D4222">
              <w:t xml:space="preserve">A basic physical obstetrical examination that includes auscultation for fetal heart tone, </w:t>
            </w:r>
            <w:r w:rsidRPr="005D4222">
              <w:rPr>
                <w:b/>
                <w:bCs/>
                <w:i/>
                <w:iCs/>
              </w:rPr>
              <w:t>or</w:t>
            </w:r>
            <w:r w:rsidRPr="005D4222">
              <w:t xml:space="preserve"> pelvic exam with obstetric observations, </w:t>
            </w:r>
            <w:r w:rsidRPr="005D4222">
              <w:rPr>
                <w:b/>
                <w:bCs/>
                <w:i/>
                <w:iCs/>
              </w:rPr>
              <w:t>or</w:t>
            </w:r>
            <w:r w:rsidRPr="005D4222">
              <w:t xml:space="preserve"> measurement of fundus height (a standardized prenatal flow sheet may be used).</w:t>
            </w:r>
          </w:p>
          <w:p w14:paraId="787D32EE" w14:textId="77777777" w:rsidR="004242EA" w:rsidRPr="005D4222" w:rsidRDefault="004242EA" w:rsidP="004242EA">
            <w:pPr>
              <w:pStyle w:val="Bullet"/>
              <w:numPr>
                <w:ilvl w:val="0"/>
                <w:numId w:val="4"/>
              </w:numPr>
              <w:tabs>
                <w:tab w:val="left" w:pos="360"/>
                <w:tab w:val="left" w:pos="576"/>
              </w:tabs>
              <w:ind w:left="576" w:hanging="216"/>
            </w:pPr>
            <w:r w:rsidRPr="005D4222">
              <w:t>Evidence that a prenatal care procedure was performed, such as:</w:t>
            </w:r>
          </w:p>
          <w:p w14:paraId="7617C4ED" w14:textId="77777777" w:rsidR="004242EA" w:rsidRPr="005D4222" w:rsidRDefault="004242EA" w:rsidP="004242EA">
            <w:pPr>
              <w:pStyle w:val="Dash"/>
              <w:tabs>
                <w:tab w:val="left" w:pos="576"/>
                <w:tab w:val="left" w:pos="792"/>
              </w:tabs>
              <w:rPr>
                <w:i/>
                <w:iCs/>
              </w:rPr>
            </w:pPr>
            <w:r w:rsidRPr="005D4222">
              <w:t xml:space="preserve">Screening test in the form of an obstetric panel (must include all of the following: hematocrit, differential WBC count, platelet count, hepatitis B surface antigen, rubella antibody, syphilis test, RBC antibody screen, Rh and ABO blood typing), </w:t>
            </w:r>
            <w:r w:rsidRPr="005D4222">
              <w:rPr>
                <w:b/>
                <w:bCs/>
                <w:i/>
                <w:iCs/>
              </w:rPr>
              <w:t>or</w:t>
            </w:r>
          </w:p>
          <w:p w14:paraId="08EAAAAB" w14:textId="77777777" w:rsidR="004242EA" w:rsidRPr="005D4222" w:rsidRDefault="004242EA" w:rsidP="004242EA">
            <w:pPr>
              <w:pStyle w:val="Dash"/>
              <w:tabs>
                <w:tab w:val="left" w:pos="576"/>
                <w:tab w:val="left" w:pos="792"/>
              </w:tabs>
              <w:rPr>
                <w:i/>
                <w:iCs/>
              </w:rPr>
            </w:pPr>
            <w:r w:rsidRPr="005D4222">
              <w:t xml:space="preserve">TORCH antibody panel alone, </w:t>
            </w:r>
            <w:r w:rsidRPr="005D4222">
              <w:rPr>
                <w:b/>
                <w:bCs/>
                <w:i/>
                <w:iCs/>
              </w:rPr>
              <w:t>or</w:t>
            </w:r>
          </w:p>
          <w:p w14:paraId="2DA20B42" w14:textId="77777777" w:rsidR="004242EA" w:rsidRPr="005D4222" w:rsidRDefault="004242EA" w:rsidP="004242EA">
            <w:pPr>
              <w:pStyle w:val="Dash"/>
              <w:tabs>
                <w:tab w:val="left" w:pos="576"/>
                <w:tab w:val="left" w:pos="792"/>
              </w:tabs>
              <w:rPr>
                <w:i/>
                <w:iCs/>
              </w:rPr>
            </w:pPr>
            <w:r w:rsidRPr="005D4222">
              <w:t xml:space="preserve">A rubella antibody test/titer with an Rh incompatibility (ABO/Rh) blood typing, </w:t>
            </w:r>
            <w:r w:rsidRPr="005D4222">
              <w:rPr>
                <w:b/>
                <w:bCs/>
                <w:i/>
                <w:iCs/>
              </w:rPr>
              <w:t>or</w:t>
            </w:r>
          </w:p>
          <w:p w14:paraId="0D2EF39C" w14:textId="12B2A1F6" w:rsidR="00BD4531" w:rsidRPr="005D4222" w:rsidRDefault="004242EA" w:rsidP="00BD4531">
            <w:pPr>
              <w:pStyle w:val="Dash"/>
              <w:tabs>
                <w:tab w:val="left" w:pos="576"/>
                <w:tab w:val="left" w:pos="792"/>
              </w:tabs>
              <w:spacing w:after="80"/>
              <w:rPr>
                <w:szCs w:val="21"/>
              </w:rPr>
            </w:pPr>
            <w:r w:rsidRPr="005D4222">
              <w:t>Ultrasound of a pregnant uterus.</w:t>
            </w:r>
          </w:p>
        </w:tc>
      </w:tr>
    </w:tbl>
    <w:p w14:paraId="69FC17A8" w14:textId="77777777" w:rsidR="00BD4531" w:rsidRPr="005D4222" w:rsidRDefault="00BD4531"/>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71"/>
        <w:gridCol w:w="7546"/>
      </w:tblGrid>
      <w:tr w:rsidR="004242EA" w:rsidRPr="005D4222" w14:paraId="270D0DDC" w14:textId="77777777" w:rsidTr="00BD4531">
        <w:tc>
          <w:tcPr>
            <w:tcW w:w="2171"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429FE4E" w14:textId="77777777" w:rsidR="004242EA" w:rsidRPr="005D4222" w:rsidRDefault="004242EA" w:rsidP="00A53E8C">
            <w:pPr>
              <w:pStyle w:val="ECDSMarginHead"/>
              <w:rPr>
                <w:bCs/>
              </w:rPr>
            </w:pPr>
          </w:p>
        </w:tc>
        <w:tc>
          <w:tcPr>
            <w:tcW w:w="7546"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AEF9BF9" w14:textId="77777777" w:rsidR="00BD4531" w:rsidRPr="005D4222" w:rsidRDefault="00BD4531" w:rsidP="00BD4531">
            <w:pPr>
              <w:pStyle w:val="ECDSBody"/>
              <w:rPr>
                <w:szCs w:val="21"/>
              </w:rPr>
            </w:pPr>
            <w:r w:rsidRPr="005D4222">
              <w:rPr>
                <w:b/>
                <w:bCs w:val="0"/>
              </w:rPr>
              <w:t>Numerator 2</w:t>
            </w:r>
            <w:r w:rsidRPr="005D4222">
              <w:rPr>
                <w:b/>
                <w:bCs w:val="0"/>
                <w:i/>
              </w:rPr>
              <w:t>:</w:t>
            </w:r>
            <w:r w:rsidRPr="005D4222">
              <w:rPr>
                <w:b/>
                <w:bCs w:val="0"/>
              </w:rPr>
              <w:t xml:space="preserve"> P</w:t>
            </w:r>
            <w:r w:rsidRPr="005D4222">
              <w:rPr>
                <w:b/>
              </w:rPr>
              <w:t>ostpartum care.</w:t>
            </w:r>
            <w:r w:rsidRPr="005D4222">
              <w:rPr>
                <w:b/>
              </w:rPr>
              <w:br/>
            </w:r>
            <w:r w:rsidRPr="005D4222">
              <w:t xml:space="preserve">A postpartum visit on or between 7 and 84 days after delivery, as documented through either administrative data or medical record review. </w:t>
            </w:r>
          </w:p>
          <w:p w14:paraId="053F8211" w14:textId="77777777" w:rsidR="00BD4531" w:rsidRPr="005D4222" w:rsidRDefault="00BD4531" w:rsidP="00BD4531">
            <w:pPr>
              <w:pStyle w:val="ECDSBody"/>
              <w:rPr>
                <w:szCs w:val="21"/>
              </w:rPr>
            </w:pPr>
            <w:r w:rsidRPr="005D4222">
              <w:rPr>
                <w:i/>
              </w:rPr>
              <w:t>Medical record:</w:t>
            </w:r>
            <w:r w:rsidRPr="005D4222">
              <w:rPr>
                <w:szCs w:val="21"/>
              </w:rPr>
              <w:t xml:space="preserve"> Postpartum visit to an OB/GYN or other prenatal care practitioner, or PCP on or between 7 and 84 days after delivery. Do not include postpartum care provided in an acute inpatient setting. </w:t>
            </w:r>
          </w:p>
          <w:p w14:paraId="7A0DB2A6" w14:textId="77777777" w:rsidR="004242EA" w:rsidRPr="005D4222" w:rsidRDefault="004242EA" w:rsidP="00A53E8C">
            <w:pPr>
              <w:pStyle w:val="ECDSBody"/>
              <w:rPr>
                <w:szCs w:val="21"/>
              </w:rPr>
            </w:pPr>
            <w:r w:rsidRPr="005D4222">
              <w:rPr>
                <w:szCs w:val="21"/>
              </w:rPr>
              <w:t xml:space="preserve">Documentation in the medical record must include a note indicating the date when a postpartum visit occurred and </w:t>
            </w:r>
            <w:r w:rsidRPr="005D4222">
              <w:rPr>
                <w:i/>
                <w:szCs w:val="21"/>
              </w:rPr>
              <w:t xml:space="preserve">one </w:t>
            </w:r>
            <w:r w:rsidRPr="005D4222">
              <w:rPr>
                <w:szCs w:val="21"/>
              </w:rPr>
              <w:t xml:space="preserve">of the following:  </w:t>
            </w:r>
          </w:p>
          <w:p w14:paraId="7A8B92F8" w14:textId="77777777" w:rsidR="004242EA" w:rsidRPr="005D4222" w:rsidRDefault="004242EA" w:rsidP="004242EA">
            <w:pPr>
              <w:pStyle w:val="Bullet"/>
              <w:numPr>
                <w:ilvl w:val="0"/>
                <w:numId w:val="4"/>
              </w:numPr>
              <w:tabs>
                <w:tab w:val="left" w:pos="360"/>
                <w:tab w:val="left" w:pos="576"/>
              </w:tabs>
              <w:ind w:left="576" w:hanging="216"/>
            </w:pPr>
            <w:r w:rsidRPr="005D4222">
              <w:t xml:space="preserve">Pelvic exam.  </w:t>
            </w:r>
          </w:p>
          <w:p w14:paraId="57924049" w14:textId="77777777" w:rsidR="004242EA" w:rsidRPr="005D4222" w:rsidRDefault="004242EA" w:rsidP="004242EA">
            <w:pPr>
              <w:pStyle w:val="Bullet"/>
              <w:numPr>
                <w:ilvl w:val="0"/>
                <w:numId w:val="4"/>
              </w:numPr>
              <w:tabs>
                <w:tab w:val="left" w:pos="360"/>
                <w:tab w:val="left" w:pos="576"/>
              </w:tabs>
              <w:ind w:left="576" w:hanging="216"/>
            </w:pPr>
            <w:r w:rsidRPr="005D4222">
              <w:t xml:space="preserve">Evaluation of weight, BP, breasts and abdomen. </w:t>
            </w:r>
          </w:p>
          <w:p w14:paraId="20B904AB" w14:textId="77777777" w:rsidR="004242EA" w:rsidRPr="005D4222" w:rsidRDefault="004242EA" w:rsidP="004242EA">
            <w:pPr>
              <w:pStyle w:val="Dash"/>
              <w:tabs>
                <w:tab w:val="left" w:pos="576"/>
                <w:tab w:val="left" w:pos="792"/>
              </w:tabs>
            </w:pPr>
            <w:r w:rsidRPr="005D4222">
              <w:t xml:space="preserve">Notation of “breastfeeding” is acceptable for the “evaluation of breasts” component. </w:t>
            </w:r>
          </w:p>
          <w:p w14:paraId="74F4C6EB" w14:textId="77777777" w:rsidR="004242EA" w:rsidRPr="005D4222" w:rsidRDefault="004242EA" w:rsidP="004242EA">
            <w:pPr>
              <w:pStyle w:val="Bullet"/>
              <w:numPr>
                <w:ilvl w:val="0"/>
                <w:numId w:val="4"/>
              </w:numPr>
              <w:tabs>
                <w:tab w:val="left" w:pos="360"/>
                <w:tab w:val="left" w:pos="576"/>
              </w:tabs>
              <w:ind w:left="576" w:hanging="216"/>
            </w:pPr>
            <w:r w:rsidRPr="005D4222">
              <w:t xml:space="preserve">Notation of postpartum care, including, but not limited to: </w:t>
            </w:r>
          </w:p>
          <w:p w14:paraId="6D802B6A" w14:textId="77777777" w:rsidR="004242EA" w:rsidRPr="005D4222" w:rsidRDefault="004242EA" w:rsidP="004242EA">
            <w:pPr>
              <w:pStyle w:val="Dash"/>
              <w:tabs>
                <w:tab w:val="left" w:pos="576"/>
                <w:tab w:val="left" w:pos="792"/>
              </w:tabs>
            </w:pPr>
            <w:r w:rsidRPr="005D4222">
              <w:t xml:space="preserve">Notation of “postpartum care,” “PP care,” “PP check,” “6-week check.” </w:t>
            </w:r>
          </w:p>
          <w:p w14:paraId="690E800F" w14:textId="77777777" w:rsidR="004242EA" w:rsidRPr="005D4222" w:rsidRDefault="004242EA" w:rsidP="004242EA">
            <w:pPr>
              <w:pStyle w:val="Dash"/>
              <w:tabs>
                <w:tab w:val="left" w:pos="576"/>
                <w:tab w:val="left" w:pos="792"/>
              </w:tabs>
            </w:pPr>
            <w:r w:rsidRPr="005D4222">
              <w:t xml:space="preserve">A preprinted “Postpartum Care” form in which information was documented during the visit. </w:t>
            </w:r>
          </w:p>
          <w:p w14:paraId="6C53B7B5" w14:textId="77777777" w:rsidR="004242EA" w:rsidRPr="005D4222" w:rsidRDefault="004242EA" w:rsidP="00F87AA7">
            <w:pPr>
              <w:pStyle w:val="Bullet"/>
            </w:pPr>
            <w:r w:rsidRPr="005D4222">
              <w:t xml:space="preserve">Perineal or cesarean incision/wound check. </w:t>
            </w:r>
          </w:p>
          <w:p w14:paraId="62BB890C" w14:textId="77777777" w:rsidR="004242EA" w:rsidRPr="005D4222" w:rsidRDefault="004242EA" w:rsidP="00F87AA7">
            <w:pPr>
              <w:pStyle w:val="Bullet"/>
            </w:pPr>
            <w:r w:rsidRPr="005D4222">
              <w:t xml:space="preserve">Screening for depression, anxiety, tobacco use, substance use disorder or preexisting mental health disorders. </w:t>
            </w:r>
          </w:p>
          <w:p w14:paraId="4F857996" w14:textId="77777777" w:rsidR="004242EA" w:rsidRPr="005D4222" w:rsidRDefault="004242EA" w:rsidP="00F87AA7">
            <w:pPr>
              <w:pStyle w:val="Bullet"/>
            </w:pPr>
            <w:r w:rsidRPr="005D4222">
              <w:t xml:space="preserve">Glucose screening, for persons with gestational diabetes. </w:t>
            </w:r>
          </w:p>
          <w:p w14:paraId="4E963C5E" w14:textId="77777777" w:rsidR="004242EA" w:rsidRPr="005D4222" w:rsidRDefault="004242EA" w:rsidP="004242EA">
            <w:pPr>
              <w:pStyle w:val="Bullet"/>
              <w:numPr>
                <w:ilvl w:val="0"/>
                <w:numId w:val="4"/>
              </w:numPr>
              <w:tabs>
                <w:tab w:val="left" w:pos="360"/>
                <w:tab w:val="left" w:pos="576"/>
              </w:tabs>
              <w:ind w:left="576" w:hanging="216"/>
            </w:pPr>
            <w:r w:rsidRPr="005D4222">
              <w:t xml:space="preserve">Documentation of any of the following topics: </w:t>
            </w:r>
          </w:p>
          <w:p w14:paraId="7496C9EC" w14:textId="77777777" w:rsidR="004242EA" w:rsidRPr="005D4222" w:rsidRDefault="004242EA" w:rsidP="004242EA">
            <w:pPr>
              <w:pStyle w:val="Dash"/>
              <w:tabs>
                <w:tab w:val="left" w:pos="576"/>
                <w:tab w:val="left" w:pos="792"/>
              </w:tabs>
            </w:pPr>
            <w:r w:rsidRPr="005D4222">
              <w:t xml:space="preserve">Infant care or breastfeeding. </w:t>
            </w:r>
          </w:p>
          <w:p w14:paraId="57CD5287" w14:textId="77777777" w:rsidR="004242EA" w:rsidRPr="005D4222" w:rsidRDefault="004242EA" w:rsidP="004242EA">
            <w:pPr>
              <w:pStyle w:val="Dash"/>
              <w:tabs>
                <w:tab w:val="left" w:pos="576"/>
                <w:tab w:val="left" w:pos="792"/>
              </w:tabs>
            </w:pPr>
            <w:r w:rsidRPr="005D4222">
              <w:t xml:space="preserve">Resumption of intercourse, birth spacing or family planning.  </w:t>
            </w:r>
          </w:p>
          <w:p w14:paraId="7AE3DF2E" w14:textId="77777777" w:rsidR="004242EA" w:rsidRPr="005D4222" w:rsidRDefault="004242EA" w:rsidP="004242EA">
            <w:pPr>
              <w:pStyle w:val="Dash"/>
              <w:tabs>
                <w:tab w:val="left" w:pos="576"/>
                <w:tab w:val="left" w:pos="792"/>
              </w:tabs>
            </w:pPr>
            <w:r w:rsidRPr="005D4222">
              <w:t xml:space="preserve">Sleep/fatigue. </w:t>
            </w:r>
          </w:p>
          <w:p w14:paraId="12F5D542" w14:textId="77777777" w:rsidR="004242EA" w:rsidRPr="005D4222" w:rsidRDefault="004242EA" w:rsidP="004242EA">
            <w:pPr>
              <w:pStyle w:val="Dash"/>
              <w:tabs>
                <w:tab w:val="left" w:pos="576"/>
                <w:tab w:val="left" w:pos="792"/>
              </w:tabs>
            </w:pPr>
            <w:r w:rsidRPr="005D4222">
              <w:t xml:space="preserve">Resumption of physical activity.  </w:t>
            </w:r>
          </w:p>
          <w:p w14:paraId="7C030E07" w14:textId="77777777" w:rsidR="004242EA" w:rsidRPr="005D4222" w:rsidRDefault="004242EA" w:rsidP="004242EA">
            <w:pPr>
              <w:pStyle w:val="Dash"/>
              <w:tabs>
                <w:tab w:val="left" w:pos="576"/>
                <w:tab w:val="left" w:pos="792"/>
              </w:tabs>
              <w:rPr>
                <w:i/>
                <w:iCs/>
              </w:rPr>
            </w:pPr>
            <w:r w:rsidRPr="005D4222">
              <w:t>Attainment of healthy weight.</w:t>
            </w:r>
            <w:r w:rsidRPr="005D4222">
              <w:rPr>
                <w:i/>
                <w:iCs/>
              </w:rPr>
              <w:t xml:space="preserve"> </w:t>
            </w:r>
          </w:p>
          <w:p w14:paraId="1C3E2692" w14:textId="77777777" w:rsidR="004242EA" w:rsidRPr="005D4222" w:rsidRDefault="004242EA" w:rsidP="00A53E8C">
            <w:pPr>
              <w:pStyle w:val="Dash"/>
              <w:numPr>
                <w:ilvl w:val="0"/>
                <w:numId w:val="0"/>
              </w:numPr>
              <w:rPr>
                <w:b/>
                <w:bCs/>
                <w:i/>
                <w:iCs/>
              </w:rPr>
            </w:pPr>
            <w:r w:rsidRPr="005D4222">
              <w:rPr>
                <w:b/>
                <w:bCs/>
                <w:i/>
                <w:iCs/>
              </w:rPr>
              <w:t>Note</w:t>
            </w:r>
          </w:p>
          <w:p w14:paraId="175A649E" w14:textId="77777777" w:rsidR="004242EA" w:rsidRPr="005D4222" w:rsidRDefault="004242EA" w:rsidP="00A53E8C">
            <w:pPr>
              <w:pStyle w:val="ProcessBullet"/>
              <w:rPr>
                <w:i/>
                <w:iCs/>
                <w:sz w:val="20"/>
                <w:szCs w:val="20"/>
              </w:rPr>
            </w:pPr>
            <w:r w:rsidRPr="005D4222">
              <w:rPr>
                <w:i/>
                <w:iCs/>
                <w:sz w:val="20"/>
                <w:szCs w:val="20"/>
              </w:rPr>
              <w:t xml:space="preserve">A Pap test does not count as a prenatal care visit for the administrative and hybrid specification of the Timeliness of Prenatal Care rate but is acceptable for the Postpartum Care rate as evidence of a pelvic exam. A colposcopy alone is not numerator compliant for either rate. </w:t>
            </w:r>
          </w:p>
          <w:p w14:paraId="01D2B002" w14:textId="77777777" w:rsidR="004242EA" w:rsidRPr="005D4222" w:rsidRDefault="004242EA" w:rsidP="00A53E8C">
            <w:pPr>
              <w:pStyle w:val="ProcessBullet"/>
              <w:rPr>
                <w:i/>
                <w:iCs/>
                <w:sz w:val="20"/>
                <w:szCs w:val="20"/>
              </w:rPr>
            </w:pPr>
            <w:r w:rsidRPr="005D4222">
              <w:rPr>
                <w:i/>
                <w:iCs/>
                <w:sz w:val="20"/>
                <w:szCs w:val="20"/>
              </w:rPr>
              <w:t>Services that occur over multiple visits count toward this measure if all services are within the time frame established in the measure. Ultrasound and lab results alone are not considered a visit; they must be combined with an office visit with an appropriate practitioner in order to count for this measure.</w:t>
            </w:r>
          </w:p>
          <w:p w14:paraId="0AB6EF75" w14:textId="77777777" w:rsidR="004242EA" w:rsidRPr="005D4222" w:rsidRDefault="004242EA" w:rsidP="00A53E8C">
            <w:pPr>
              <w:pStyle w:val="ProcessBullet"/>
              <w:spacing w:after="80"/>
            </w:pPr>
            <w:r w:rsidRPr="005D4222">
              <w:rPr>
                <w:i/>
                <w:iCs/>
                <w:sz w:val="20"/>
                <w:szCs w:val="20"/>
              </w:rPr>
              <w:t>The intent is to assess whether prenatal and preventive care was rendered on a routine, outpatient basis rather than assessing treatment for emergent events.</w:t>
            </w:r>
          </w:p>
        </w:tc>
      </w:tr>
      <w:tr w:rsidR="004242EA" w:rsidRPr="005D4222" w14:paraId="7263BC38" w14:textId="77777777" w:rsidTr="00BD4531">
        <w:tc>
          <w:tcPr>
            <w:tcW w:w="2171"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AD97DCA" w14:textId="77777777" w:rsidR="004242EA" w:rsidRPr="005D4222" w:rsidRDefault="004242EA" w:rsidP="00A53E8C">
            <w:pPr>
              <w:pStyle w:val="ECDSMarginHead"/>
            </w:pPr>
            <w:r w:rsidRPr="005D4222">
              <w:t>Summary of changes</w:t>
            </w:r>
          </w:p>
        </w:tc>
        <w:tc>
          <w:tcPr>
            <w:tcW w:w="7546"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4BB86E9" w14:textId="77777777" w:rsidR="004242EA" w:rsidRPr="005D4222" w:rsidRDefault="004242EA" w:rsidP="00BD4531">
            <w:pPr>
              <w:pStyle w:val="ProcessBullet"/>
              <w:spacing w:before="120"/>
            </w:pPr>
            <w:r w:rsidRPr="005D4222">
              <w:t>Updated the race and ethnicity stratification categories to align with OMB SPD 15 2024.</w:t>
            </w:r>
          </w:p>
          <w:p w14:paraId="6933769A" w14:textId="77777777" w:rsidR="004242EA" w:rsidRPr="005D4222" w:rsidRDefault="004242EA" w:rsidP="00A53E8C">
            <w:pPr>
              <w:pStyle w:val="ProcessBullet"/>
            </w:pPr>
            <w:r w:rsidRPr="005D4222">
              <w:t>Added instructions on allowable adjustments to the race and ethnicity stratifications.</w:t>
            </w:r>
          </w:p>
          <w:p w14:paraId="7659E99A" w14:textId="77777777" w:rsidR="004242EA" w:rsidRPr="005D4222" w:rsidRDefault="004242EA" w:rsidP="00BD4531">
            <w:pPr>
              <w:pStyle w:val="ProcessBullet"/>
              <w:spacing w:after="80"/>
              <w:rPr>
                <w:rFonts w:cs="Arial"/>
              </w:rPr>
            </w:pPr>
            <w:r w:rsidRPr="005D4222">
              <w:t>Updated the allowable adjustments for the Numerator: Timeliness of Prenatal Care to allow visits any time during the pregnancy.</w:t>
            </w:r>
          </w:p>
        </w:tc>
      </w:tr>
      <w:tr w:rsidR="004242EA" w:rsidRPr="005D4222" w14:paraId="17D7F7E2" w14:textId="77777777" w:rsidTr="00A53E8C">
        <w:tc>
          <w:tcPr>
            <w:tcW w:w="2171"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4534199" w14:textId="77777777" w:rsidR="004242EA" w:rsidRPr="005D4222" w:rsidRDefault="004242EA" w:rsidP="00A53E8C">
            <w:pPr>
              <w:pStyle w:val="ECDSMarginHead"/>
            </w:pPr>
            <w:r w:rsidRPr="005D4222">
              <w:lastRenderedPageBreak/>
              <w:t>Data element tables</w:t>
            </w:r>
          </w:p>
        </w:tc>
        <w:tc>
          <w:tcPr>
            <w:tcW w:w="7546"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908889C" w14:textId="77777777" w:rsidR="004242EA" w:rsidRPr="005D4222" w:rsidRDefault="004242EA" w:rsidP="00A53E8C">
            <w:pPr>
              <w:pStyle w:val="ECDSBody"/>
            </w:pPr>
            <w:r w:rsidRPr="005D4222">
              <w:t>Organizations that submit HEDIS data to NCQA must provide the following data elements.</w:t>
            </w:r>
          </w:p>
          <w:p w14:paraId="076DB672" w14:textId="77777777" w:rsidR="004242EA" w:rsidRPr="005D4222" w:rsidRDefault="004242EA" w:rsidP="00A53E8C">
            <w:pPr>
              <w:pStyle w:val="Heading3"/>
              <w:rPr>
                <w:b w:val="0"/>
                <w:szCs w:val="18"/>
              </w:rPr>
            </w:pPr>
            <w:r w:rsidRPr="005D4222">
              <w:t>Table PPC-A-1/2: Data Elements for Prenatal and Postpartum Care</w:t>
            </w:r>
          </w:p>
          <w:tbl>
            <w:tblPr>
              <w:tblW w:w="7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5"/>
              <w:gridCol w:w="2705"/>
              <w:gridCol w:w="2071"/>
              <w:gridCol w:w="540"/>
            </w:tblGrid>
            <w:tr w:rsidR="004242EA" w:rsidRPr="005D4222" w14:paraId="3384E123" w14:textId="77777777" w:rsidTr="00A53E8C">
              <w:trPr>
                <w:cantSplit/>
                <w:tblHeader/>
              </w:trPr>
              <w:tc>
                <w:tcPr>
                  <w:tcW w:w="2063"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tcPr>
                <w:p w14:paraId="16FCEADD" w14:textId="77777777" w:rsidR="004242EA" w:rsidRPr="005D4222" w:rsidRDefault="004242EA" w:rsidP="00A53E8C">
                  <w:pPr>
                    <w:pStyle w:val="TableHead"/>
                    <w:rPr>
                      <w:rFonts w:eastAsia="Arial Narrow"/>
                    </w:rPr>
                  </w:pPr>
                  <w:r w:rsidRPr="005D4222">
                    <w:rPr>
                      <w:rFonts w:eastAsia="Arial Narrow"/>
                    </w:rPr>
                    <w:t>Metric</w:t>
                  </w:r>
                </w:p>
              </w:tc>
              <w:tc>
                <w:tcPr>
                  <w:tcW w:w="2703"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vAlign w:val="bottom"/>
                </w:tcPr>
                <w:p w14:paraId="7FCAE3A4" w14:textId="77777777" w:rsidR="004242EA" w:rsidRPr="005D4222" w:rsidRDefault="004242EA" w:rsidP="00A53E8C">
                  <w:pPr>
                    <w:pStyle w:val="TableHead"/>
                    <w:rPr>
                      <w:rFonts w:eastAsia="Arial Narrow"/>
                    </w:rPr>
                  </w:pPr>
                  <w:r w:rsidRPr="005D4222">
                    <w:rPr>
                      <w:rFonts w:eastAsia="Arial Narrow"/>
                    </w:rPr>
                    <w:t xml:space="preserve">Data Element </w:t>
                  </w:r>
                </w:p>
              </w:tc>
              <w:tc>
                <w:tcPr>
                  <w:tcW w:w="207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vAlign w:val="bottom"/>
                </w:tcPr>
                <w:p w14:paraId="258C1619" w14:textId="77777777" w:rsidR="004242EA" w:rsidRPr="005D4222" w:rsidRDefault="004242EA" w:rsidP="00A53E8C">
                  <w:pPr>
                    <w:pStyle w:val="TableHead"/>
                    <w:rPr>
                      <w:rFonts w:eastAsia="Arial Narrow"/>
                    </w:rPr>
                  </w:pPr>
                  <w:r w:rsidRPr="005D4222">
                    <w:rPr>
                      <w:rFonts w:eastAsia="Arial Narrow"/>
                    </w:rPr>
                    <w:t>Reporting Instructions</w:t>
                  </w:r>
                </w:p>
              </w:tc>
              <w:tc>
                <w:tcPr>
                  <w:tcW w:w="540"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tcPr>
                <w:p w14:paraId="0A3878F4" w14:textId="77777777" w:rsidR="004242EA" w:rsidRPr="005D4222" w:rsidRDefault="004242EA" w:rsidP="00A53E8C">
                  <w:pPr>
                    <w:spacing w:before="50" w:after="50" w:line="216" w:lineRule="auto"/>
                    <w:jc w:val="center"/>
                    <w:rPr>
                      <w:rFonts w:ascii="Arial Narrow" w:eastAsia="Arial Narrow" w:hAnsi="Arial Narrow"/>
                      <w:b/>
                    </w:rPr>
                  </w:pPr>
                  <w:r w:rsidRPr="005D4222">
                    <w:rPr>
                      <w:rFonts w:ascii="Arial Narrow" w:eastAsia="Arial Narrow" w:hAnsi="Arial Narrow"/>
                      <w:b/>
                    </w:rPr>
                    <w:t>A</w:t>
                  </w:r>
                </w:p>
              </w:tc>
            </w:tr>
            <w:tr w:rsidR="004242EA" w:rsidRPr="005D4222" w14:paraId="4E294782" w14:textId="77777777" w:rsidTr="00A53E8C">
              <w:trPr>
                <w:cantSplit/>
              </w:trPr>
              <w:tc>
                <w:tcPr>
                  <w:tcW w:w="2063" w:type="dxa"/>
                  <w:tcBorders>
                    <w:top w:val="single" w:sz="4" w:space="0" w:color="000000" w:themeColor="text1"/>
                    <w:bottom w:val="single" w:sz="4" w:space="0" w:color="auto"/>
                  </w:tcBorders>
                </w:tcPr>
                <w:p w14:paraId="0BBDD3E9" w14:textId="77777777" w:rsidR="004242EA" w:rsidRPr="005D4222" w:rsidRDefault="004242EA" w:rsidP="00A53E8C">
                  <w:pPr>
                    <w:pStyle w:val="TableText"/>
                  </w:pPr>
                  <w:r w:rsidRPr="005D4222">
                    <w:t>TimelinessPrenatalCare</w:t>
                  </w:r>
                </w:p>
              </w:tc>
              <w:tc>
                <w:tcPr>
                  <w:tcW w:w="2703" w:type="dxa"/>
                  <w:tcBorders>
                    <w:top w:val="single" w:sz="4" w:space="0" w:color="000000" w:themeColor="text1"/>
                  </w:tcBorders>
                  <w:shd w:val="clear" w:color="auto" w:fill="FFFFFF" w:themeFill="background1"/>
                </w:tcPr>
                <w:p w14:paraId="0C773D1B" w14:textId="77777777" w:rsidR="004242EA" w:rsidRPr="005D4222" w:rsidRDefault="004242EA" w:rsidP="00A53E8C">
                  <w:pPr>
                    <w:pStyle w:val="TableText"/>
                  </w:pPr>
                  <w:r w:rsidRPr="005D4222">
                    <w:rPr>
                      <w:rFonts w:eastAsia="Arial Narrow"/>
                    </w:rPr>
                    <w:t>CollectionMethod</w:t>
                  </w:r>
                </w:p>
              </w:tc>
              <w:tc>
                <w:tcPr>
                  <w:tcW w:w="2070" w:type="dxa"/>
                  <w:tcBorders>
                    <w:top w:val="single" w:sz="4" w:space="0" w:color="000000" w:themeColor="text1"/>
                    <w:right w:val="single" w:sz="4" w:space="0" w:color="auto"/>
                  </w:tcBorders>
                  <w:shd w:val="clear" w:color="auto" w:fill="FFFFFF" w:themeFill="background1"/>
                </w:tcPr>
                <w:p w14:paraId="556FF5C5" w14:textId="77777777" w:rsidR="004242EA" w:rsidRPr="005D4222" w:rsidRDefault="004242EA" w:rsidP="00A53E8C">
                  <w:pPr>
                    <w:pStyle w:val="TableText"/>
                  </w:pPr>
                  <w:r w:rsidRPr="005D4222">
                    <w:t>For each Metric</w:t>
                  </w:r>
                </w:p>
              </w:tc>
              <w:tc>
                <w:tcPr>
                  <w:tcW w:w="540" w:type="dxa"/>
                  <w:tcBorders>
                    <w:top w:val="single" w:sz="4" w:space="0" w:color="000000" w:themeColor="text1"/>
                    <w:right w:val="single" w:sz="4" w:space="0" w:color="auto"/>
                  </w:tcBorders>
                  <w:shd w:val="clear" w:color="auto" w:fill="FFFFFF" w:themeFill="background1"/>
                </w:tcPr>
                <w:p w14:paraId="433472EA" w14:textId="77777777" w:rsidR="004242EA" w:rsidRPr="005D4222" w:rsidRDefault="004242EA" w:rsidP="00A53E8C">
                  <w:pPr>
                    <w:spacing w:before="50" w:after="50" w:line="216" w:lineRule="auto"/>
                    <w:jc w:val="center"/>
                    <w:rPr>
                      <w:rFonts w:ascii="Arial Narrow" w:hAnsi="Arial Narrow"/>
                      <w:szCs w:val="19"/>
                    </w:rPr>
                  </w:pPr>
                  <w:r w:rsidRPr="005D4222">
                    <w:rPr>
                      <w:rFonts w:ascii="Wingdings" w:eastAsia="Wingdings" w:hAnsi="Wingdings" w:cs="Wingdings"/>
                      <w:szCs w:val="19"/>
                    </w:rPr>
                    <w:t>ü</w:t>
                  </w:r>
                </w:p>
              </w:tc>
            </w:tr>
            <w:tr w:rsidR="004242EA" w:rsidRPr="005D4222" w14:paraId="015258A2" w14:textId="77777777" w:rsidTr="00A53E8C">
              <w:trPr>
                <w:cantSplit/>
              </w:trPr>
              <w:tc>
                <w:tcPr>
                  <w:tcW w:w="2063" w:type="dxa"/>
                  <w:tcBorders>
                    <w:bottom w:val="single" w:sz="4" w:space="0" w:color="auto"/>
                  </w:tcBorders>
                </w:tcPr>
                <w:p w14:paraId="20A93187" w14:textId="77777777" w:rsidR="004242EA" w:rsidRPr="005D4222" w:rsidRDefault="004242EA" w:rsidP="00A53E8C">
                  <w:pPr>
                    <w:pStyle w:val="TableText"/>
                  </w:pPr>
                  <w:r w:rsidRPr="005D4222">
                    <w:t>PostpartumCare</w:t>
                  </w:r>
                </w:p>
              </w:tc>
              <w:tc>
                <w:tcPr>
                  <w:tcW w:w="2703" w:type="dxa"/>
                  <w:tcBorders>
                    <w:bottom w:val="single" w:sz="4" w:space="0" w:color="auto"/>
                  </w:tcBorders>
                  <w:shd w:val="clear" w:color="auto" w:fill="FFFFFF" w:themeFill="background1"/>
                </w:tcPr>
                <w:p w14:paraId="15DDBFB8" w14:textId="77777777" w:rsidR="004242EA" w:rsidRPr="005D4222" w:rsidRDefault="004242EA" w:rsidP="00A53E8C">
                  <w:pPr>
                    <w:pStyle w:val="TableText"/>
                  </w:pPr>
                  <w:r w:rsidRPr="005D4222">
                    <w:rPr>
                      <w:rFonts w:eastAsia="Arial Narrow"/>
                    </w:rPr>
                    <w:t>InitialPopulation</w:t>
                  </w:r>
                  <w:r w:rsidRPr="005D4222">
                    <w:rPr>
                      <w:rFonts w:eastAsia="Arial Narrow"/>
                      <w:b/>
                      <w:bCs/>
                    </w:rPr>
                    <w:t>*</w:t>
                  </w:r>
                </w:p>
              </w:tc>
              <w:tc>
                <w:tcPr>
                  <w:tcW w:w="2070" w:type="dxa"/>
                  <w:tcBorders>
                    <w:right w:val="single" w:sz="4" w:space="0" w:color="auto"/>
                  </w:tcBorders>
                  <w:shd w:val="clear" w:color="auto" w:fill="FFFFFF" w:themeFill="background1"/>
                </w:tcPr>
                <w:p w14:paraId="7710A7BE" w14:textId="77777777" w:rsidR="004242EA" w:rsidRPr="005D4222" w:rsidRDefault="004242EA" w:rsidP="00A53E8C">
                  <w:pPr>
                    <w:pStyle w:val="TableText"/>
                    <w:rPr>
                      <w:szCs w:val="21"/>
                    </w:rPr>
                  </w:pPr>
                  <w:r w:rsidRPr="005D4222">
                    <w:rPr>
                      <w:szCs w:val="21"/>
                    </w:rPr>
                    <w:t>For each Metric</w:t>
                  </w:r>
                </w:p>
              </w:tc>
              <w:tc>
                <w:tcPr>
                  <w:tcW w:w="540" w:type="dxa"/>
                  <w:tcBorders>
                    <w:right w:val="single" w:sz="4" w:space="0" w:color="auto"/>
                  </w:tcBorders>
                  <w:shd w:val="clear" w:color="auto" w:fill="FFFFFF" w:themeFill="background1"/>
                </w:tcPr>
                <w:p w14:paraId="5500232D" w14:textId="77777777" w:rsidR="004242EA" w:rsidRPr="005D4222" w:rsidRDefault="004242EA" w:rsidP="00A53E8C">
                  <w:pPr>
                    <w:spacing w:before="50" w:after="50" w:line="216" w:lineRule="auto"/>
                    <w:jc w:val="center"/>
                    <w:rPr>
                      <w:rFonts w:ascii="Arial Narrow" w:hAnsi="Arial Narrow"/>
                      <w:szCs w:val="19"/>
                    </w:rPr>
                  </w:pPr>
                  <w:r w:rsidRPr="005D4222">
                    <w:rPr>
                      <w:rFonts w:ascii="Wingdings" w:eastAsia="Wingdings" w:hAnsi="Wingdings" w:cs="Wingdings"/>
                      <w:szCs w:val="19"/>
                    </w:rPr>
                    <w:t>ü</w:t>
                  </w:r>
                </w:p>
              </w:tc>
            </w:tr>
            <w:tr w:rsidR="004242EA" w:rsidRPr="005D4222" w14:paraId="15C39BCC" w14:textId="77777777" w:rsidTr="00A53E8C">
              <w:trPr>
                <w:cantSplit/>
              </w:trPr>
              <w:tc>
                <w:tcPr>
                  <w:tcW w:w="2063" w:type="dxa"/>
                  <w:tcBorders>
                    <w:top w:val="single" w:sz="4" w:space="0" w:color="auto"/>
                    <w:left w:val="nil"/>
                    <w:bottom w:val="nil"/>
                    <w:right w:val="single" w:sz="4" w:space="0" w:color="auto"/>
                  </w:tcBorders>
                  <w:shd w:val="clear" w:color="auto" w:fill="FFFFFF" w:themeFill="background1"/>
                </w:tcPr>
                <w:p w14:paraId="4F1EE5D0" w14:textId="77777777" w:rsidR="004242EA" w:rsidRPr="005D4222" w:rsidRDefault="004242EA" w:rsidP="00A53E8C">
                  <w:pPr>
                    <w:pStyle w:val="TableText"/>
                  </w:pPr>
                </w:p>
              </w:tc>
              <w:tc>
                <w:tcPr>
                  <w:tcW w:w="2703" w:type="dxa"/>
                  <w:tcBorders>
                    <w:top w:val="single" w:sz="4" w:space="0" w:color="auto"/>
                    <w:left w:val="single" w:sz="4" w:space="0" w:color="auto"/>
                    <w:bottom w:val="single" w:sz="4" w:space="0" w:color="auto"/>
                  </w:tcBorders>
                  <w:shd w:val="clear" w:color="auto" w:fill="FFFFFF" w:themeFill="background1"/>
                  <w:vAlign w:val="center"/>
                </w:tcPr>
                <w:p w14:paraId="6F6347C9" w14:textId="77777777" w:rsidR="004242EA" w:rsidRPr="005D4222" w:rsidRDefault="004242EA" w:rsidP="00A53E8C">
                  <w:pPr>
                    <w:pStyle w:val="TableText"/>
                  </w:pPr>
                  <w:r w:rsidRPr="005D4222">
                    <w:t>Exclusions</w:t>
                  </w:r>
                  <w:r w:rsidRPr="005D4222">
                    <w:rPr>
                      <w:b/>
                      <w:bCs/>
                    </w:rPr>
                    <w:t>*</w:t>
                  </w:r>
                </w:p>
              </w:tc>
              <w:tc>
                <w:tcPr>
                  <w:tcW w:w="2070" w:type="dxa"/>
                  <w:tcBorders>
                    <w:right w:val="single" w:sz="4" w:space="0" w:color="auto"/>
                  </w:tcBorders>
                  <w:shd w:val="clear" w:color="auto" w:fill="FFFFFF" w:themeFill="background1"/>
                  <w:vAlign w:val="center"/>
                </w:tcPr>
                <w:p w14:paraId="4EC5CC8D" w14:textId="77777777" w:rsidR="004242EA" w:rsidRPr="005D4222" w:rsidRDefault="004242EA" w:rsidP="00A53E8C">
                  <w:pPr>
                    <w:pStyle w:val="TableText"/>
                  </w:pPr>
                  <w:r w:rsidRPr="005D4222">
                    <w:t>For each Metric</w:t>
                  </w:r>
                </w:p>
              </w:tc>
              <w:tc>
                <w:tcPr>
                  <w:tcW w:w="540" w:type="dxa"/>
                  <w:tcBorders>
                    <w:right w:val="single" w:sz="4" w:space="0" w:color="auto"/>
                  </w:tcBorders>
                  <w:shd w:val="clear" w:color="auto" w:fill="FFFFFF" w:themeFill="background1"/>
                </w:tcPr>
                <w:p w14:paraId="154511AB" w14:textId="77777777" w:rsidR="004242EA" w:rsidRPr="005D4222" w:rsidRDefault="004242EA" w:rsidP="00A53E8C">
                  <w:pPr>
                    <w:spacing w:before="50" w:after="50" w:line="216" w:lineRule="auto"/>
                    <w:jc w:val="center"/>
                    <w:rPr>
                      <w:rFonts w:ascii="Arial Narrow" w:hAnsi="Arial Narrow"/>
                      <w:szCs w:val="19"/>
                    </w:rPr>
                  </w:pPr>
                  <w:r w:rsidRPr="005D4222">
                    <w:rPr>
                      <w:rFonts w:ascii="Wingdings" w:eastAsia="Wingdings" w:hAnsi="Wingdings" w:cs="Wingdings"/>
                      <w:szCs w:val="19"/>
                    </w:rPr>
                    <w:t>ü</w:t>
                  </w:r>
                </w:p>
              </w:tc>
            </w:tr>
            <w:tr w:rsidR="004242EA" w:rsidRPr="005D4222" w14:paraId="7FC93DAF" w14:textId="77777777" w:rsidTr="00A53E8C">
              <w:trPr>
                <w:cantSplit/>
                <w:trHeight w:val="300"/>
              </w:trPr>
              <w:tc>
                <w:tcPr>
                  <w:tcW w:w="2063" w:type="dxa"/>
                  <w:tcBorders>
                    <w:top w:val="nil"/>
                    <w:left w:val="nil"/>
                    <w:bottom w:val="nil"/>
                    <w:right w:val="single" w:sz="4" w:space="0" w:color="auto"/>
                  </w:tcBorders>
                  <w:shd w:val="clear" w:color="auto" w:fill="FFFFFF" w:themeFill="background1"/>
                </w:tcPr>
                <w:p w14:paraId="0C3CB050" w14:textId="77777777" w:rsidR="004242EA" w:rsidRPr="005D4222" w:rsidRDefault="004242EA" w:rsidP="00A53E8C">
                  <w:pPr>
                    <w:pStyle w:val="TableText"/>
                  </w:pPr>
                </w:p>
              </w:tc>
              <w:tc>
                <w:tcPr>
                  <w:tcW w:w="2703" w:type="dxa"/>
                  <w:tcBorders>
                    <w:top w:val="single" w:sz="4" w:space="0" w:color="auto"/>
                    <w:left w:val="single" w:sz="4" w:space="0" w:color="auto"/>
                    <w:bottom w:val="single" w:sz="4" w:space="0" w:color="auto"/>
                  </w:tcBorders>
                  <w:shd w:val="clear" w:color="auto" w:fill="FFFFFF" w:themeFill="background1"/>
                  <w:vAlign w:val="center"/>
                </w:tcPr>
                <w:p w14:paraId="0F44A051" w14:textId="77777777" w:rsidR="004242EA" w:rsidRPr="005D4222" w:rsidDel="00673893" w:rsidRDefault="004242EA" w:rsidP="00A53E8C">
                  <w:pPr>
                    <w:pStyle w:val="TableText"/>
                  </w:pPr>
                  <w:r w:rsidRPr="005D4222">
                    <w:t>Denominator</w:t>
                  </w:r>
                  <w:r w:rsidRPr="005D4222">
                    <w:rPr>
                      <w:b/>
                    </w:rPr>
                    <w:t>*</w:t>
                  </w:r>
                </w:p>
              </w:tc>
              <w:tc>
                <w:tcPr>
                  <w:tcW w:w="2070" w:type="dxa"/>
                  <w:tcBorders>
                    <w:right w:val="single" w:sz="4" w:space="0" w:color="auto"/>
                  </w:tcBorders>
                  <w:shd w:val="clear" w:color="auto" w:fill="FFFFFF" w:themeFill="background1"/>
                  <w:vAlign w:val="center"/>
                </w:tcPr>
                <w:p w14:paraId="56C70031" w14:textId="77777777" w:rsidR="004242EA" w:rsidRPr="005D4222" w:rsidRDefault="004242EA" w:rsidP="00A53E8C">
                  <w:pPr>
                    <w:pStyle w:val="TableText"/>
                  </w:pPr>
                  <w:r w:rsidRPr="005D4222">
                    <w:t>Repeat per Metric</w:t>
                  </w:r>
                </w:p>
              </w:tc>
              <w:tc>
                <w:tcPr>
                  <w:tcW w:w="540" w:type="dxa"/>
                  <w:tcBorders>
                    <w:right w:val="single" w:sz="4" w:space="0" w:color="auto"/>
                  </w:tcBorders>
                  <w:shd w:val="clear" w:color="auto" w:fill="FFFFFF" w:themeFill="background1"/>
                </w:tcPr>
                <w:p w14:paraId="2B5F3D8E" w14:textId="77777777" w:rsidR="004242EA" w:rsidRPr="005D4222" w:rsidRDefault="004242EA" w:rsidP="00A53E8C">
                  <w:pPr>
                    <w:spacing w:before="50" w:after="50" w:line="216" w:lineRule="auto"/>
                    <w:jc w:val="center"/>
                    <w:rPr>
                      <w:rFonts w:ascii="Wingdings" w:eastAsia="Wingdings" w:hAnsi="Wingdings" w:cs="Wingdings"/>
                    </w:rPr>
                  </w:pPr>
                  <w:r w:rsidRPr="005D4222">
                    <w:rPr>
                      <w:rFonts w:ascii="Wingdings" w:eastAsia="Wingdings" w:hAnsi="Wingdings" w:cs="Wingdings"/>
                    </w:rPr>
                    <w:t>ü</w:t>
                  </w:r>
                </w:p>
              </w:tc>
            </w:tr>
            <w:tr w:rsidR="004242EA" w:rsidRPr="005D4222" w14:paraId="2C8B79D2" w14:textId="77777777" w:rsidTr="00A53E8C">
              <w:trPr>
                <w:cantSplit/>
              </w:trPr>
              <w:tc>
                <w:tcPr>
                  <w:tcW w:w="2065" w:type="dxa"/>
                  <w:tcBorders>
                    <w:top w:val="nil"/>
                    <w:left w:val="nil"/>
                    <w:bottom w:val="nil"/>
                    <w:right w:val="nil"/>
                  </w:tcBorders>
                </w:tcPr>
                <w:p w14:paraId="66505F41" w14:textId="77777777" w:rsidR="004242EA" w:rsidRPr="005D4222" w:rsidRDefault="004242EA" w:rsidP="00A53E8C">
                  <w:pPr>
                    <w:spacing w:after="160" w:line="259" w:lineRule="auto"/>
                  </w:pPr>
                </w:p>
              </w:tc>
              <w:tc>
                <w:tcPr>
                  <w:tcW w:w="2705" w:type="dxa"/>
                  <w:tcBorders>
                    <w:top w:val="single" w:sz="4" w:space="0" w:color="auto"/>
                    <w:left w:val="single" w:sz="4" w:space="0" w:color="auto"/>
                    <w:bottom w:val="single" w:sz="4" w:space="0" w:color="auto"/>
                  </w:tcBorders>
                  <w:shd w:val="clear" w:color="auto" w:fill="FFFFFF" w:themeFill="background1"/>
                </w:tcPr>
                <w:p w14:paraId="3463240B" w14:textId="77777777" w:rsidR="004242EA" w:rsidRPr="005D4222" w:rsidRDefault="004242EA" w:rsidP="00A53E8C">
                  <w:pPr>
                    <w:pStyle w:val="TableText"/>
                  </w:pPr>
                  <w:r w:rsidRPr="005D4222">
                    <w:t>NumeratorByAdminDenom</w:t>
                  </w:r>
                </w:p>
              </w:tc>
              <w:tc>
                <w:tcPr>
                  <w:tcW w:w="2071" w:type="dxa"/>
                  <w:tcBorders>
                    <w:right w:val="single" w:sz="4" w:space="0" w:color="auto"/>
                  </w:tcBorders>
                  <w:shd w:val="clear" w:color="auto" w:fill="FFFFFF" w:themeFill="background1"/>
                </w:tcPr>
                <w:p w14:paraId="5A6A9542" w14:textId="77777777" w:rsidR="004242EA" w:rsidRPr="005D4222" w:rsidRDefault="004242EA" w:rsidP="00A53E8C">
                  <w:pPr>
                    <w:pStyle w:val="TableText"/>
                  </w:pPr>
                  <w:r w:rsidRPr="005D4222">
                    <w:t>For each Metric</w:t>
                  </w:r>
                </w:p>
              </w:tc>
              <w:tc>
                <w:tcPr>
                  <w:tcW w:w="540" w:type="dxa"/>
                  <w:tcBorders>
                    <w:right w:val="single" w:sz="4" w:space="0" w:color="auto"/>
                  </w:tcBorders>
                  <w:shd w:val="clear" w:color="auto" w:fill="FFFFFF" w:themeFill="background1"/>
                </w:tcPr>
                <w:p w14:paraId="45ECE7F5" w14:textId="77777777" w:rsidR="004242EA" w:rsidRPr="005D4222" w:rsidRDefault="004242EA" w:rsidP="00A53E8C">
                  <w:pPr>
                    <w:spacing w:before="50" w:after="50" w:line="216" w:lineRule="auto"/>
                    <w:jc w:val="center"/>
                    <w:rPr>
                      <w:rFonts w:ascii="Arial Narrow" w:hAnsi="Arial Narrow"/>
                      <w:szCs w:val="19"/>
                    </w:rPr>
                  </w:pPr>
                </w:p>
              </w:tc>
            </w:tr>
            <w:tr w:rsidR="004242EA" w:rsidRPr="005D4222" w14:paraId="48040148" w14:textId="77777777" w:rsidTr="00A53E8C">
              <w:trPr>
                <w:cantSplit/>
              </w:trPr>
              <w:tc>
                <w:tcPr>
                  <w:tcW w:w="2065" w:type="dxa"/>
                  <w:tcBorders>
                    <w:top w:val="nil"/>
                    <w:left w:val="nil"/>
                    <w:bottom w:val="nil"/>
                    <w:right w:val="nil"/>
                  </w:tcBorders>
                </w:tcPr>
                <w:p w14:paraId="7DCD42A1" w14:textId="77777777" w:rsidR="004242EA" w:rsidRPr="005D4222" w:rsidRDefault="004242EA" w:rsidP="00A53E8C">
                  <w:pPr>
                    <w:pStyle w:val="TableText"/>
                  </w:pPr>
                </w:p>
              </w:tc>
              <w:tc>
                <w:tcPr>
                  <w:tcW w:w="2705" w:type="dxa"/>
                  <w:tcBorders>
                    <w:top w:val="single" w:sz="4" w:space="0" w:color="auto"/>
                    <w:left w:val="single" w:sz="4" w:space="0" w:color="auto"/>
                    <w:bottom w:val="single" w:sz="4" w:space="0" w:color="auto"/>
                  </w:tcBorders>
                  <w:shd w:val="clear" w:color="auto" w:fill="D9D9D9" w:themeFill="background1" w:themeFillShade="D9"/>
                </w:tcPr>
                <w:p w14:paraId="4682166B" w14:textId="77777777" w:rsidR="004242EA" w:rsidRPr="005D4222" w:rsidRDefault="004242EA" w:rsidP="00A53E8C">
                  <w:pPr>
                    <w:pStyle w:val="TableText"/>
                  </w:pPr>
                  <w:r w:rsidRPr="005D4222">
                    <w:t>CYAR</w:t>
                  </w:r>
                </w:p>
              </w:tc>
              <w:tc>
                <w:tcPr>
                  <w:tcW w:w="2071" w:type="dxa"/>
                  <w:tcBorders>
                    <w:right w:val="single" w:sz="4" w:space="0" w:color="auto"/>
                  </w:tcBorders>
                  <w:shd w:val="clear" w:color="auto" w:fill="D9D9D9" w:themeFill="background1" w:themeFillShade="D9"/>
                </w:tcPr>
                <w:p w14:paraId="07A2F17F" w14:textId="77777777" w:rsidR="004242EA" w:rsidRPr="005D4222" w:rsidRDefault="004242EA" w:rsidP="00A53E8C">
                  <w:pPr>
                    <w:pStyle w:val="TableText"/>
                  </w:pPr>
                  <w:r w:rsidRPr="005D4222">
                    <w:t>(Percent)</w:t>
                  </w:r>
                </w:p>
              </w:tc>
              <w:tc>
                <w:tcPr>
                  <w:tcW w:w="540" w:type="dxa"/>
                  <w:tcBorders>
                    <w:right w:val="single" w:sz="4" w:space="0" w:color="auto"/>
                  </w:tcBorders>
                  <w:shd w:val="clear" w:color="auto" w:fill="D9D9D9" w:themeFill="background1" w:themeFillShade="D9"/>
                </w:tcPr>
                <w:p w14:paraId="11175AD3" w14:textId="77777777" w:rsidR="004242EA" w:rsidRPr="005D4222" w:rsidRDefault="004242EA" w:rsidP="00A53E8C">
                  <w:pPr>
                    <w:spacing w:before="50" w:after="50" w:line="216" w:lineRule="auto"/>
                    <w:jc w:val="center"/>
                    <w:rPr>
                      <w:rFonts w:ascii="Arial Narrow" w:hAnsi="Arial Narrow"/>
                      <w:szCs w:val="19"/>
                    </w:rPr>
                  </w:pPr>
                </w:p>
              </w:tc>
            </w:tr>
            <w:tr w:rsidR="004242EA" w:rsidRPr="005D4222" w14:paraId="6C5C151C" w14:textId="77777777" w:rsidTr="00A53E8C">
              <w:trPr>
                <w:cantSplit/>
              </w:trPr>
              <w:tc>
                <w:tcPr>
                  <w:tcW w:w="2065" w:type="dxa"/>
                  <w:tcBorders>
                    <w:top w:val="nil"/>
                    <w:left w:val="nil"/>
                    <w:bottom w:val="nil"/>
                    <w:right w:val="nil"/>
                  </w:tcBorders>
                </w:tcPr>
                <w:p w14:paraId="5CB1FC93" w14:textId="77777777" w:rsidR="004242EA" w:rsidRPr="005D4222" w:rsidRDefault="004242EA" w:rsidP="00A53E8C">
                  <w:pPr>
                    <w:pStyle w:val="TableText"/>
                  </w:pPr>
                </w:p>
              </w:tc>
              <w:tc>
                <w:tcPr>
                  <w:tcW w:w="2705" w:type="dxa"/>
                  <w:tcBorders>
                    <w:top w:val="single" w:sz="4" w:space="0" w:color="auto"/>
                    <w:left w:val="single" w:sz="4" w:space="0" w:color="auto"/>
                    <w:bottom w:val="single" w:sz="4" w:space="0" w:color="auto"/>
                  </w:tcBorders>
                </w:tcPr>
                <w:p w14:paraId="33336FF1" w14:textId="77777777" w:rsidR="004242EA" w:rsidRPr="005D4222" w:rsidRDefault="004242EA" w:rsidP="00A53E8C">
                  <w:pPr>
                    <w:pStyle w:val="TableText"/>
                    <w:rPr>
                      <w:rFonts w:eastAsia="Arial Narrow"/>
                    </w:rPr>
                  </w:pPr>
                  <w:r w:rsidRPr="005D4222">
                    <w:t>MinReqSampleSize</w:t>
                  </w:r>
                </w:p>
              </w:tc>
              <w:tc>
                <w:tcPr>
                  <w:tcW w:w="2071" w:type="dxa"/>
                  <w:tcBorders>
                    <w:bottom w:val="single" w:sz="4" w:space="0" w:color="auto"/>
                    <w:right w:val="single" w:sz="4" w:space="0" w:color="auto"/>
                  </w:tcBorders>
                </w:tcPr>
                <w:p w14:paraId="575A308A" w14:textId="77777777" w:rsidR="004242EA" w:rsidRPr="005D4222" w:rsidRDefault="004242EA" w:rsidP="00A53E8C">
                  <w:pPr>
                    <w:pStyle w:val="TableText"/>
                    <w:rPr>
                      <w:rFonts w:eastAsia="Arial Narrow"/>
                    </w:rPr>
                  </w:pPr>
                  <w:r w:rsidRPr="005D4222">
                    <w:t>Repeat per Metric</w:t>
                  </w:r>
                </w:p>
              </w:tc>
              <w:tc>
                <w:tcPr>
                  <w:tcW w:w="540" w:type="dxa"/>
                  <w:tcBorders>
                    <w:bottom w:val="single" w:sz="4" w:space="0" w:color="auto"/>
                    <w:right w:val="single" w:sz="4" w:space="0" w:color="auto"/>
                  </w:tcBorders>
                </w:tcPr>
                <w:p w14:paraId="3A04FC9E" w14:textId="77777777" w:rsidR="004242EA" w:rsidRPr="005D4222" w:rsidRDefault="004242EA" w:rsidP="00A53E8C">
                  <w:pPr>
                    <w:spacing w:before="50" w:after="50" w:line="216" w:lineRule="auto"/>
                    <w:jc w:val="center"/>
                    <w:rPr>
                      <w:rFonts w:ascii="Arial Narrow" w:hAnsi="Arial Narrow"/>
                      <w:szCs w:val="19"/>
                    </w:rPr>
                  </w:pPr>
                </w:p>
              </w:tc>
            </w:tr>
            <w:tr w:rsidR="004242EA" w:rsidRPr="005D4222" w14:paraId="7279696A" w14:textId="77777777" w:rsidTr="00A53E8C">
              <w:trPr>
                <w:cantSplit/>
              </w:trPr>
              <w:tc>
                <w:tcPr>
                  <w:tcW w:w="2065" w:type="dxa"/>
                  <w:tcBorders>
                    <w:top w:val="nil"/>
                    <w:left w:val="nil"/>
                    <w:bottom w:val="nil"/>
                    <w:right w:val="nil"/>
                  </w:tcBorders>
                </w:tcPr>
                <w:p w14:paraId="23A2B99A" w14:textId="77777777" w:rsidR="004242EA" w:rsidRPr="005D4222" w:rsidRDefault="004242EA" w:rsidP="00A53E8C">
                  <w:pPr>
                    <w:pStyle w:val="TableText"/>
                  </w:pPr>
                </w:p>
              </w:tc>
              <w:tc>
                <w:tcPr>
                  <w:tcW w:w="2705" w:type="dxa"/>
                  <w:tcBorders>
                    <w:top w:val="single" w:sz="4" w:space="0" w:color="auto"/>
                    <w:left w:val="single" w:sz="4" w:space="0" w:color="auto"/>
                    <w:bottom w:val="single" w:sz="4" w:space="0" w:color="auto"/>
                  </w:tcBorders>
                  <w:shd w:val="clear" w:color="auto" w:fill="FFFFFF" w:themeFill="background1"/>
                </w:tcPr>
                <w:p w14:paraId="34B7081C" w14:textId="77777777" w:rsidR="004242EA" w:rsidRPr="005D4222" w:rsidRDefault="004242EA" w:rsidP="00A53E8C">
                  <w:pPr>
                    <w:pStyle w:val="TableText"/>
                    <w:rPr>
                      <w:rFonts w:eastAsia="Arial Narrow"/>
                    </w:rPr>
                  </w:pPr>
                  <w:r w:rsidRPr="005D4222">
                    <w:rPr>
                      <w:rFonts w:eastAsia="Arial Narrow"/>
                    </w:rPr>
                    <w:t>OversampleRate</w:t>
                  </w:r>
                </w:p>
              </w:tc>
              <w:tc>
                <w:tcPr>
                  <w:tcW w:w="2071" w:type="dxa"/>
                  <w:tcBorders>
                    <w:right w:val="single" w:sz="4" w:space="0" w:color="auto"/>
                  </w:tcBorders>
                  <w:shd w:val="clear" w:color="auto" w:fill="FFFFFF" w:themeFill="background1"/>
                </w:tcPr>
                <w:p w14:paraId="6CBEF8BB" w14:textId="77777777" w:rsidR="004242EA" w:rsidRPr="005D4222" w:rsidRDefault="004242EA" w:rsidP="00A53E8C">
                  <w:pPr>
                    <w:pStyle w:val="TableText"/>
                    <w:rPr>
                      <w:rFonts w:eastAsia="Arial Narrow"/>
                    </w:rPr>
                  </w:pPr>
                  <w:r w:rsidRPr="005D4222">
                    <w:t>Repeat per Metric</w:t>
                  </w:r>
                </w:p>
              </w:tc>
              <w:tc>
                <w:tcPr>
                  <w:tcW w:w="540" w:type="dxa"/>
                  <w:tcBorders>
                    <w:right w:val="single" w:sz="4" w:space="0" w:color="auto"/>
                  </w:tcBorders>
                  <w:shd w:val="clear" w:color="auto" w:fill="FFFFFF" w:themeFill="background1"/>
                </w:tcPr>
                <w:p w14:paraId="7559009C" w14:textId="77777777" w:rsidR="004242EA" w:rsidRPr="005D4222" w:rsidRDefault="004242EA" w:rsidP="00A53E8C">
                  <w:pPr>
                    <w:spacing w:before="50" w:after="50" w:line="216" w:lineRule="auto"/>
                    <w:jc w:val="center"/>
                    <w:rPr>
                      <w:rFonts w:ascii="Arial Narrow" w:hAnsi="Arial Narrow"/>
                      <w:szCs w:val="19"/>
                    </w:rPr>
                  </w:pPr>
                </w:p>
              </w:tc>
            </w:tr>
            <w:tr w:rsidR="004242EA" w:rsidRPr="005D4222" w14:paraId="7A961748" w14:textId="77777777" w:rsidTr="00A53E8C">
              <w:trPr>
                <w:cantSplit/>
              </w:trPr>
              <w:tc>
                <w:tcPr>
                  <w:tcW w:w="2065" w:type="dxa"/>
                  <w:tcBorders>
                    <w:top w:val="nil"/>
                    <w:left w:val="nil"/>
                    <w:bottom w:val="nil"/>
                    <w:right w:val="nil"/>
                  </w:tcBorders>
                </w:tcPr>
                <w:p w14:paraId="36CDF461" w14:textId="77777777" w:rsidR="004242EA" w:rsidRPr="005D4222" w:rsidRDefault="004242EA" w:rsidP="00A53E8C">
                  <w:pPr>
                    <w:pStyle w:val="TableText"/>
                    <w:rPr>
                      <w:rFonts w:eastAsia="Arial Narrow"/>
                    </w:rPr>
                  </w:pPr>
                </w:p>
              </w:tc>
              <w:tc>
                <w:tcPr>
                  <w:tcW w:w="2705" w:type="dxa"/>
                  <w:tcBorders>
                    <w:top w:val="single" w:sz="4" w:space="0" w:color="auto"/>
                    <w:left w:val="single" w:sz="4" w:space="0" w:color="auto"/>
                    <w:bottom w:val="single" w:sz="4" w:space="0" w:color="auto"/>
                  </w:tcBorders>
                  <w:shd w:val="clear" w:color="auto" w:fill="D9D9D9" w:themeFill="background1" w:themeFillShade="D9"/>
                </w:tcPr>
                <w:p w14:paraId="1625043C" w14:textId="77777777" w:rsidR="004242EA" w:rsidRPr="005D4222" w:rsidRDefault="004242EA" w:rsidP="00A53E8C">
                  <w:pPr>
                    <w:pStyle w:val="TableText"/>
                    <w:rPr>
                      <w:rFonts w:eastAsia="Arial Narrow"/>
                    </w:rPr>
                  </w:pPr>
                  <w:r w:rsidRPr="005D4222">
                    <w:t>OversampleRecordsNumber</w:t>
                  </w:r>
                </w:p>
              </w:tc>
              <w:tc>
                <w:tcPr>
                  <w:tcW w:w="2071" w:type="dxa"/>
                  <w:tcBorders>
                    <w:right w:val="single" w:sz="4" w:space="0" w:color="auto"/>
                  </w:tcBorders>
                  <w:shd w:val="clear" w:color="auto" w:fill="D9D9D9" w:themeFill="background1" w:themeFillShade="D9"/>
                  <w:vAlign w:val="center"/>
                </w:tcPr>
                <w:p w14:paraId="252020DB" w14:textId="77777777" w:rsidR="004242EA" w:rsidRPr="005D4222" w:rsidRDefault="004242EA" w:rsidP="00A53E8C">
                  <w:pPr>
                    <w:pStyle w:val="TableText"/>
                    <w:rPr>
                      <w:rFonts w:eastAsia="Arial Narrow"/>
                    </w:rPr>
                  </w:pPr>
                  <w:r w:rsidRPr="005D4222">
                    <w:rPr>
                      <w:rFonts w:eastAsia="Arial Narrow"/>
                    </w:rPr>
                    <w:t>(Count)</w:t>
                  </w:r>
                </w:p>
              </w:tc>
              <w:tc>
                <w:tcPr>
                  <w:tcW w:w="540" w:type="dxa"/>
                  <w:tcBorders>
                    <w:right w:val="single" w:sz="4" w:space="0" w:color="auto"/>
                  </w:tcBorders>
                  <w:shd w:val="clear" w:color="auto" w:fill="D9D9D9" w:themeFill="background1" w:themeFillShade="D9"/>
                </w:tcPr>
                <w:p w14:paraId="5C9927BB" w14:textId="77777777" w:rsidR="004242EA" w:rsidRPr="005D4222" w:rsidRDefault="004242EA" w:rsidP="00A53E8C">
                  <w:pPr>
                    <w:spacing w:before="50" w:after="50" w:line="216" w:lineRule="auto"/>
                    <w:jc w:val="center"/>
                    <w:rPr>
                      <w:rFonts w:ascii="Arial Narrow" w:hAnsi="Arial Narrow"/>
                      <w:szCs w:val="19"/>
                    </w:rPr>
                  </w:pPr>
                </w:p>
              </w:tc>
            </w:tr>
            <w:tr w:rsidR="004242EA" w:rsidRPr="005D4222" w14:paraId="4F09B5C7" w14:textId="77777777" w:rsidTr="00A53E8C">
              <w:trPr>
                <w:cantSplit/>
              </w:trPr>
              <w:tc>
                <w:tcPr>
                  <w:tcW w:w="2065" w:type="dxa"/>
                  <w:tcBorders>
                    <w:top w:val="nil"/>
                    <w:left w:val="nil"/>
                    <w:bottom w:val="nil"/>
                    <w:right w:val="nil"/>
                  </w:tcBorders>
                </w:tcPr>
                <w:p w14:paraId="6B082A00" w14:textId="77777777" w:rsidR="004242EA" w:rsidRPr="005D4222" w:rsidRDefault="004242EA" w:rsidP="00A53E8C">
                  <w:pPr>
                    <w:pStyle w:val="TableText"/>
                    <w:rPr>
                      <w:rFonts w:eastAsia="Arial Narrow"/>
                    </w:rPr>
                  </w:pPr>
                </w:p>
              </w:tc>
              <w:tc>
                <w:tcPr>
                  <w:tcW w:w="2705" w:type="dxa"/>
                  <w:tcBorders>
                    <w:top w:val="single" w:sz="4" w:space="0" w:color="auto"/>
                    <w:left w:val="single" w:sz="4" w:space="0" w:color="auto"/>
                    <w:bottom w:val="single" w:sz="4" w:space="0" w:color="auto"/>
                  </w:tcBorders>
                </w:tcPr>
                <w:p w14:paraId="33404427" w14:textId="77777777" w:rsidR="004242EA" w:rsidRPr="005D4222" w:rsidRDefault="004242EA" w:rsidP="00A53E8C">
                  <w:pPr>
                    <w:pStyle w:val="TableText"/>
                    <w:rPr>
                      <w:rFonts w:eastAsia="Arial Narrow"/>
                      <w:szCs w:val="21"/>
                    </w:rPr>
                  </w:pPr>
                  <w:r w:rsidRPr="005D4222">
                    <w:rPr>
                      <w:rFonts w:eastAsia="Arial Narrow"/>
                      <w:szCs w:val="21"/>
                    </w:rPr>
                    <w:t>ExclusionValidDataErrors</w:t>
                  </w:r>
                </w:p>
              </w:tc>
              <w:tc>
                <w:tcPr>
                  <w:tcW w:w="2071" w:type="dxa"/>
                  <w:tcBorders>
                    <w:right w:val="single" w:sz="4" w:space="0" w:color="auto"/>
                  </w:tcBorders>
                </w:tcPr>
                <w:p w14:paraId="43835346" w14:textId="77777777" w:rsidR="004242EA" w:rsidRPr="005D4222" w:rsidRDefault="004242EA" w:rsidP="00A53E8C">
                  <w:pPr>
                    <w:pStyle w:val="TableText"/>
                    <w:rPr>
                      <w:rFonts w:eastAsia="Arial Narrow"/>
                    </w:rPr>
                  </w:pPr>
                  <w:r w:rsidRPr="005D4222">
                    <w:t>Repeat per Metric</w:t>
                  </w:r>
                </w:p>
              </w:tc>
              <w:tc>
                <w:tcPr>
                  <w:tcW w:w="540" w:type="dxa"/>
                  <w:tcBorders>
                    <w:right w:val="single" w:sz="4" w:space="0" w:color="auto"/>
                  </w:tcBorders>
                </w:tcPr>
                <w:p w14:paraId="201E8CBB" w14:textId="77777777" w:rsidR="004242EA" w:rsidRPr="005D4222" w:rsidRDefault="004242EA" w:rsidP="00A53E8C">
                  <w:pPr>
                    <w:spacing w:before="50" w:after="50" w:line="216" w:lineRule="auto"/>
                    <w:jc w:val="center"/>
                    <w:rPr>
                      <w:rFonts w:ascii="Arial Narrow" w:hAnsi="Arial Narrow"/>
                      <w:szCs w:val="19"/>
                    </w:rPr>
                  </w:pPr>
                </w:p>
              </w:tc>
            </w:tr>
            <w:tr w:rsidR="004242EA" w:rsidRPr="005D4222" w14:paraId="75E34ACB" w14:textId="77777777" w:rsidTr="00A53E8C">
              <w:trPr>
                <w:cantSplit/>
              </w:trPr>
              <w:tc>
                <w:tcPr>
                  <w:tcW w:w="2065" w:type="dxa"/>
                  <w:tcBorders>
                    <w:top w:val="nil"/>
                    <w:left w:val="nil"/>
                    <w:bottom w:val="nil"/>
                    <w:right w:val="nil"/>
                  </w:tcBorders>
                </w:tcPr>
                <w:p w14:paraId="428F76F3" w14:textId="77777777" w:rsidR="004242EA" w:rsidRPr="005D4222" w:rsidRDefault="004242EA" w:rsidP="00A53E8C">
                  <w:pPr>
                    <w:pStyle w:val="TableText"/>
                  </w:pPr>
                </w:p>
              </w:tc>
              <w:tc>
                <w:tcPr>
                  <w:tcW w:w="2705" w:type="dxa"/>
                  <w:tcBorders>
                    <w:top w:val="single" w:sz="4" w:space="0" w:color="auto"/>
                    <w:left w:val="single" w:sz="4" w:space="0" w:color="auto"/>
                    <w:bottom w:val="single" w:sz="4" w:space="0" w:color="auto"/>
                  </w:tcBorders>
                  <w:shd w:val="clear" w:color="auto" w:fill="FFFFFF" w:themeFill="background1"/>
                </w:tcPr>
                <w:p w14:paraId="14D31216" w14:textId="77777777" w:rsidR="004242EA" w:rsidRPr="005D4222" w:rsidRDefault="004242EA" w:rsidP="00A53E8C">
                  <w:pPr>
                    <w:pStyle w:val="TableText"/>
                    <w:rPr>
                      <w:rFonts w:eastAsia="Arial Narrow"/>
                    </w:rPr>
                  </w:pPr>
                  <w:r w:rsidRPr="005D4222">
                    <w:t>ExclusionEmployeeOrDep</w:t>
                  </w:r>
                </w:p>
              </w:tc>
              <w:tc>
                <w:tcPr>
                  <w:tcW w:w="2071" w:type="dxa"/>
                  <w:tcBorders>
                    <w:right w:val="single" w:sz="4" w:space="0" w:color="auto"/>
                  </w:tcBorders>
                  <w:shd w:val="clear" w:color="auto" w:fill="FFFFFF" w:themeFill="background1"/>
                </w:tcPr>
                <w:p w14:paraId="00698640" w14:textId="77777777" w:rsidR="004242EA" w:rsidRPr="005D4222" w:rsidRDefault="004242EA" w:rsidP="00A53E8C">
                  <w:pPr>
                    <w:pStyle w:val="TableText"/>
                    <w:rPr>
                      <w:rFonts w:eastAsia="Arial Narrow"/>
                    </w:rPr>
                  </w:pPr>
                  <w:r w:rsidRPr="005D4222">
                    <w:t>Repeat per Metric</w:t>
                  </w:r>
                </w:p>
              </w:tc>
              <w:tc>
                <w:tcPr>
                  <w:tcW w:w="540" w:type="dxa"/>
                  <w:tcBorders>
                    <w:right w:val="single" w:sz="4" w:space="0" w:color="auto"/>
                  </w:tcBorders>
                  <w:shd w:val="clear" w:color="auto" w:fill="FFFFFF" w:themeFill="background1"/>
                </w:tcPr>
                <w:p w14:paraId="6B4FF7D3" w14:textId="77777777" w:rsidR="004242EA" w:rsidRPr="005D4222" w:rsidRDefault="004242EA" w:rsidP="00A53E8C">
                  <w:pPr>
                    <w:spacing w:before="50" w:after="50" w:line="216" w:lineRule="auto"/>
                    <w:jc w:val="center"/>
                    <w:rPr>
                      <w:rFonts w:ascii="Arial Narrow" w:hAnsi="Arial Narrow"/>
                      <w:szCs w:val="19"/>
                    </w:rPr>
                  </w:pPr>
                </w:p>
              </w:tc>
            </w:tr>
            <w:tr w:rsidR="004242EA" w:rsidRPr="005D4222" w14:paraId="4850479B" w14:textId="77777777" w:rsidTr="00A53E8C">
              <w:trPr>
                <w:cantSplit/>
              </w:trPr>
              <w:tc>
                <w:tcPr>
                  <w:tcW w:w="2065" w:type="dxa"/>
                  <w:tcBorders>
                    <w:top w:val="nil"/>
                    <w:left w:val="nil"/>
                    <w:bottom w:val="nil"/>
                    <w:right w:val="nil"/>
                  </w:tcBorders>
                </w:tcPr>
                <w:p w14:paraId="2BB9409D" w14:textId="77777777" w:rsidR="004242EA" w:rsidRPr="005D4222" w:rsidRDefault="004242EA" w:rsidP="00A53E8C">
                  <w:pPr>
                    <w:pStyle w:val="TableText"/>
                  </w:pPr>
                </w:p>
              </w:tc>
              <w:tc>
                <w:tcPr>
                  <w:tcW w:w="2705" w:type="dxa"/>
                  <w:tcBorders>
                    <w:top w:val="single" w:sz="4" w:space="0" w:color="auto"/>
                    <w:left w:val="single" w:sz="4" w:space="0" w:color="auto"/>
                    <w:bottom w:val="single" w:sz="4" w:space="0" w:color="auto"/>
                  </w:tcBorders>
                  <w:shd w:val="clear" w:color="auto" w:fill="FFFFFF" w:themeFill="background1"/>
                </w:tcPr>
                <w:p w14:paraId="7CF08C0A" w14:textId="77777777" w:rsidR="004242EA" w:rsidRPr="005D4222" w:rsidRDefault="004242EA" w:rsidP="00A53E8C">
                  <w:pPr>
                    <w:pStyle w:val="TableText"/>
                  </w:pPr>
                  <w:r w:rsidRPr="005D4222">
                    <w:rPr>
                      <w:rFonts w:eastAsia="Arial Narrow"/>
                    </w:rPr>
                    <w:t>OversampleRecsAdded</w:t>
                  </w:r>
                </w:p>
              </w:tc>
              <w:tc>
                <w:tcPr>
                  <w:tcW w:w="2071" w:type="dxa"/>
                  <w:tcBorders>
                    <w:right w:val="single" w:sz="4" w:space="0" w:color="auto"/>
                  </w:tcBorders>
                  <w:shd w:val="clear" w:color="auto" w:fill="FFFFFF" w:themeFill="background1"/>
                </w:tcPr>
                <w:p w14:paraId="33396700" w14:textId="77777777" w:rsidR="004242EA" w:rsidRPr="005D4222" w:rsidRDefault="004242EA" w:rsidP="00A53E8C">
                  <w:pPr>
                    <w:pStyle w:val="TableText"/>
                    <w:rPr>
                      <w:rFonts w:eastAsia="Arial Narrow"/>
                    </w:rPr>
                  </w:pPr>
                  <w:r w:rsidRPr="005D4222">
                    <w:t>Repeat per Metric</w:t>
                  </w:r>
                </w:p>
              </w:tc>
              <w:tc>
                <w:tcPr>
                  <w:tcW w:w="540" w:type="dxa"/>
                  <w:tcBorders>
                    <w:right w:val="single" w:sz="4" w:space="0" w:color="auto"/>
                  </w:tcBorders>
                  <w:shd w:val="clear" w:color="auto" w:fill="FFFFFF" w:themeFill="background1"/>
                </w:tcPr>
                <w:p w14:paraId="3C313F25" w14:textId="77777777" w:rsidR="004242EA" w:rsidRPr="005D4222" w:rsidRDefault="004242EA" w:rsidP="00A53E8C">
                  <w:pPr>
                    <w:spacing w:before="50" w:after="50" w:line="216" w:lineRule="auto"/>
                    <w:jc w:val="center"/>
                    <w:rPr>
                      <w:rFonts w:ascii="Arial Narrow" w:hAnsi="Arial Narrow"/>
                      <w:szCs w:val="19"/>
                    </w:rPr>
                  </w:pPr>
                </w:p>
              </w:tc>
            </w:tr>
            <w:tr w:rsidR="004242EA" w:rsidRPr="005D4222" w14:paraId="221B6581" w14:textId="77777777" w:rsidTr="00A53E8C">
              <w:trPr>
                <w:cantSplit/>
              </w:trPr>
              <w:tc>
                <w:tcPr>
                  <w:tcW w:w="2065" w:type="dxa"/>
                  <w:tcBorders>
                    <w:top w:val="nil"/>
                    <w:left w:val="nil"/>
                    <w:bottom w:val="nil"/>
                    <w:right w:val="nil"/>
                  </w:tcBorders>
                </w:tcPr>
                <w:p w14:paraId="4AD7E4FE" w14:textId="77777777" w:rsidR="004242EA" w:rsidRPr="005D4222" w:rsidRDefault="004242EA" w:rsidP="00A53E8C">
                  <w:pPr>
                    <w:pStyle w:val="TableText"/>
                  </w:pPr>
                </w:p>
              </w:tc>
              <w:tc>
                <w:tcPr>
                  <w:tcW w:w="2705" w:type="dxa"/>
                  <w:tcBorders>
                    <w:top w:val="single" w:sz="4" w:space="0" w:color="auto"/>
                    <w:left w:val="single" w:sz="4" w:space="0" w:color="auto"/>
                    <w:bottom w:val="single" w:sz="4" w:space="0" w:color="auto"/>
                  </w:tcBorders>
                  <w:shd w:val="clear" w:color="auto" w:fill="FFFFFF" w:themeFill="background1"/>
                </w:tcPr>
                <w:p w14:paraId="5778BC63" w14:textId="77777777" w:rsidR="004242EA" w:rsidRPr="005D4222" w:rsidRDefault="004242EA" w:rsidP="00A53E8C">
                  <w:pPr>
                    <w:pStyle w:val="TableText"/>
                  </w:pPr>
                  <w:r w:rsidRPr="005D4222">
                    <w:t>NumeratorByAdmin</w:t>
                  </w:r>
                </w:p>
              </w:tc>
              <w:tc>
                <w:tcPr>
                  <w:tcW w:w="2071" w:type="dxa"/>
                  <w:tcBorders>
                    <w:right w:val="single" w:sz="4" w:space="0" w:color="auto"/>
                  </w:tcBorders>
                  <w:shd w:val="clear" w:color="auto" w:fill="FFFFFF" w:themeFill="background1"/>
                </w:tcPr>
                <w:p w14:paraId="4DE0132E" w14:textId="77777777" w:rsidR="004242EA" w:rsidRPr="005D4222" w:rsidRDefault="004242EA" w:rsidP="00A53E8C">
                  <w:pPr>
                    <w:pStyle w:val="TableText"/>
                    <w:rPr>
                      <w:rFonts w:eastAsia="Arial Narrow"/>
                    </w:rPr>
                  </w:pPr>
                  <w:r w:rsidRPr="005D4222">
                    <w:rPr>
                      <w:rFonts w:eastAsia="Arial Narrow"/>
                    </w:rPr>
                    <w:t>For each Metric</w:t>
                  </w:r>
                </w:p>
              </w:tc>
              <w:tc>
                <w:tcPr>
                  <w:tcW w:w="540" w:type="dxa"/>
                  <w:tcBorders>
                    <w:right w:val="single" w:sz="4" w:space="0" w:color="auto"/>
                  </w:tcBorders>
                  <w:shd w:val="clear" w:color="auto" w:fill="FFFFFF" w:themeFill="background1"/>
                </w:tcPr>
                <w:p w14:paraId="284CB729" w14:textId="77777777" w:rsidR="004242EA" w:rsidRPr="005D4222" w:rsidRDefault="004242EA" w:rsidP="00A53E8C">
                  <w:pPr>
                    <w:spacing w:before="50" w:after="50" w:line="216" w:lineRule="auto"/>
                    <w:jc w:val="center"/>
                    <w:rPr>
                      <w:rFonts w:ascii="Arial Narrow" w:hAnsi="Arial Narrow"/>
                      <w:szCs w:val="19"/>
                    </w:rPr>
                  </w:pPr>
                  <w:r w:rsidRPr="005D4222">
                    <w:rPr>
                      <w:rFonts w:ascii="Wingdings" w:eastAsia="Wingdings" w:hAnsi="Wingdings" w:cs="Wingdings"/>
                      <w:szCs w:val="19"/>
                    </w:rPr>
                    <w:t>ü</w:t>
                  </w:r>
                </w:p>
              </w:tc>
            </w:tr>
            <w:tr w:rsidR="004242EA" w:rsidRPr="005D4222" w14:paraId="3C1F2750" w14:textId="77777777" w:rsidTr="00A53E8C">
              <w:trPr>
                <w:cantSplit/>
              </w:trPr>
              <w:tc>
                <w:tcPr>
                  <w:tcW w:w="2065" w:type="dxa"/>
                  <w:tcBorders>
                    <w:top w:val="nil"/>
                    <w:left w:val="nil"/>
                    <w:bottom w:val="nil"/>
                    <w:right w:val="nil"/>
                  </w:tcBorders>
                </w:tcPr>
                <w:p w14:paraId="1011D5E4" w14:textId="77777777" w:rsidR="004242EA" w:rsidRPr="005D4222" w:rsidRDefault="004242EA" w:rsidP="00A53E8C">
                  <w:pPr>
                    <w:pStyle w:val="TableText"/>
                  </w:pPr>
                </w:p>
              </w:tc>
              <w:tc>
                <w:tcPr>
                  <w:tcW w:w="2705" w:type="dxa"/>
                  <w:tcBorders>
                    <w:top w:val="single" w:sz="4" w:space="0" w:color="auto"/>
                    <w:left w:val="single" w:sz="4" w:space="0" w:color="auto"/>
                    <w:bottom w:val="single" w:sz="4" w:space="0" w:color="auto"/>
                  </w:tcBorders>
                  <w:shd w:val="clear" w:color="auto" w:fill="FFFFFF" w:themeFill="background1"/>
                </w:tcPr>
                <w:p w14:paraId="17473F02" w14:textId="77777777" w:rsidR="004242EA" w:rsidRPr="005D4222" w:rsidRDefault="004242EA" w:rsidP="00A53E8C">
                  <w:pPr>
                    <w:pStyle w:val="TableText"/>
                  </w:pPr>
                  <w:r w:rsidRPr="005D4222">
                    <w:t>NumeratorByMedicalRecords</w:t>
                  </w:r>
                </w:p>
              </w:tc>
              <w:tc>
                <w:tcPr>
                  <w:tcW w:w="2071" w:type="dxa"/>
                  <w:tcBorders>
                    <w:right w:val="single" w:sz="4" w:space="0" w:color="auto"/>
                  </w:tcBorders>
                  <w:shd w:val="clear" w:color="auto" w:fill="FFFFFF" w:themeFill="background1"/>
                </w:tcPr>
                <w:p w14:paraId="2348E587" w14:textId="77777777" w:rsidR="004242EA" w:rsidRPr="005D4222" w:rsidRDefault="004242EA" w:rsidP="00A53E8C">
                  <w:pPr>
                    <w:pStyle w:val="TableText"/>
                    <w:rPr>
                      <w:rFonts w:eastAsia="Arial Narrow"/>
                    </w:rPr>
                  </w:pPr>
                  <w:r w:rsidRPr="005D4222">
                    <w:rPr>
                      <w:rFonts w:eastAsia="Arial Narrow"/>
                    </w:rPr>
                    <w:t>For each Metric</w:t>
                  </w:r>
                </w:p>
              </w:tc>
              <w:tc>
                <w:tcPr>
                  <w:tcW w:w="540" w:type="dxa"/>
                  <w:tcBorders>
                    <w:right w:val="single" w:sz="4" w:space="0" w:color="auto"/>
                  </w:tcBorders>
                  <w:shd w:val="clear" w:color="auto" w:fill="FFFFFF" w:themeFill="background1"/>
                </w:tcPr>
                <w:p w14:paraId="3E9A2F8E" w14:textId="77777777" w:rsidR="004242EA" w:rsidRPr="005D4222" w:rsidRDefault="004242EA" w:rsidP="00A53E8C">
                  <w:pPr>
                    <w:spacing w:before="50" w:after="50" w:line="216" w:lineRule="auto"/>
                    <w:jc w:val="center"/>
                    <w:rPr>
                      <w:rFonts w:ascii="Arial Narrow" w:hAnsi="Arial Narrow"/>
                      <w:szCs w:val="19"/>
                    </w:rPr>
                  </w:pPr>
                </w:p>
              </w:tc>
            </w:tr>
            <w:tr w:rsidR="004242EA" w:rsidRPr="005D4222" w14:paraId="41F0AD3C" w14:textId="77777777" w:rsidTr="00A53E8C">
              <w:trPr>
                <w:cantSplit/>
              </w:trPr>
              <w:tc>
                <w:tcPr>
                  <w:tcW w:w="2065" w:type="dxa"/>
                  <w:tcBorders>
                    <w:top w:val="nil"/>
                    <w:left w:val="nil"/>
                    <w:bottom w:val="nil"/>
                    <w:right w:val="nil"/>
                  </w:tcBorders>
                </w:tcPr>
                <w:p w14:paraId="123401E8" w14:textId="77777777" w:rsidR="004242EA" w:rsidRPr="005D4222" w:rsidRDefault="004242EA" w:rsidP="00A53E8C">
                  <w:pPr>
                    <w:pStyle w:val="TableText"/>
                  </w:pPr>
                </w:p>
              </w:tc>
              <w:tc>
                <w:tcPr>
                  <w:tcW w:w="2705" w:type="dxa"/>
                  <w:tcBorders>
                    <w:top w:val="single" w:sz="4" w:space="0" w:color="auto"/>
                    <w:left w:val="single" w:sz="4" w:space="0" w:color="auto"/>
                    <w:bottom w:val="single" w:sz="4" w:space="0" w:color="auto"/>
                  </w:tcBorders>
                  <w:shd w:val="clear" w:color="auto" w:fill="D9D9D9" w:themeFill="background1" w:themeFillShade="D9"/>
                </w:tcPr>
                <w:p w14:paraId="7039CC96" w14:textId="77777777" w:rsidR="004242EA" w:rsidRPr="005D4222" w:rsidRDefault="004242EA" w:rsidP="00A53E8C">
                  <w:pPr>
                    <w:pStyle w:val="TableText"/>
                  </w:pPr>
                  <w:r w:rsidRPr="005D4222">
                    <w:t>Rate</w:t>
                  </w:r>
                </w:p>
              </w:tc>
              <w:tc>
                <w:tcPr>
                  <w:tcW w:w="2071" w:type="dxa"/>
                  <w:tcBorders>
                    <w:right w:val="single" w:sz="4" w:space="0" w:color="auto"/>
                  </w:tcBorders>
                  <w:shd w:val="clear" w:color="auto" w:fill="D9D9D9" w:themeFill="background1" w:themeFillShade="D9"/>
                </w:tcPr>
                <w:p w14:paraId="746A963E" w14:textId="77777777" w:rsidR="004242EA" w:rsidRPr="005D4222" w:rsidRDefault="004242EA" w:rsidP="00A53E8C">
                  <w:pPr>
                    <w:pStyle w:val="TableText"/>
                    <w:rPr>
                      <w:rFonts w:eastAsia="Arial Narrow"/>
                    </w:rPr>
                  </w:pPr>
                  <w:r w:rsidRPr="005D4222">
                    <w:rPr>
                      <w:rFonts w:eastAsia="Arial Narrow"/>
                    </w:rPr>
                    <w:t>(Percent)</w:t>
                  </w:r>
                </w:p>
              </w:tc>
              <w:tc>
                <w:tcPr>
                  <w:tcW w:w="540" w:type="dxa"/>
                  <w:tcBorders>
                    <w:right w:val="single" w:sz="4" w:space="0" w:color="auto"/>
                  </w:tcBorders>
                  <w:shd w:val="clear" w:color="auto" w:fill="D9D9D9" w:themeFill="background1" w:themeFillShade="D9"/>
                </w:tcPr>
                <w:p w14:paraId="3812BD30" w14:textId="77777777" w:rsidR="004242EA" w:rsidRPr="005D4222" w:rsidRDefault="004242EA" w:rsidP="00A53E8C">
                  <w:pPr>
                    <w:spacing w:before="50" w:after="50" w:line="216" w:lineRule="auto"/>
                    <w:jc w:val="center"/>
                    <w:rPr>
                      <w:rFonts w:ascii="Arial Narrow" w:hAnsi="Arial Narrow"/>
                      <w:szCs w:val="19"/>
                    </w:rPr>
                  </w:pPr>
                  <w:r w:rsidRPr="005D4222">
                    <w:rPr>
                      <w:rFonts w:ascii="Wingdings" w:eastAsia="Wingdings" w:hAnsi="Wingdings" w:cs="Wingdings"/>
                      <w:szCs w:val="19"/>
                    </w:rPr>
                    <w:t>ü</w:t>
                  </w:r>
                </w:p>
              </w:tc>
            </w:tr>
          </w:tbl>
          <w:p w14:paraId="4932A59F" w14:textId="5CC35F2B" w:rsidR="004242EA" w:rsidRPr="005D4222" w:rsidRDefault="004242EA" w:rsidP="00A53E8C">
            <w:pPr>
              <w:pStyle w:val="Heading3"/>
            </w:pPr>
            <w:r w:rsidRPr="005D4222">
              <w:br w:type="page"/>
              <w:t xml:space="preserve">Table PPC-B-1/2: Data Elements for Prenatal and Postpartum Care: </w:t>
            </w:r>
            <w:r w:rsidR="00B51CDC" w:rsidRPr="005D4222">
              <w:t>Stratifications</w:t>
            </w:r>
            <w:r w:rsidRPr="005D4222">
              <w:t xml:space="preserve"> </w:t>
            </w:r>
            <w:r w:rsidRPr="005D4222">
              <w:br/>
              <w:t>by Race</w:t>
            </w:r>
          </w:p>
          <w:tbl>
            <w:tblPr>
              <w:tblW w:w="21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160"/>
            </w:tblGrid>
            <w:tr w:rsidR="004242EA" w:rsidRPr="005D4222" w14:paraId="6137C5ED" w14:textId="77777777" w:rsidTr="00A53E8C">
              <w:tc>
                <w:tcPr>
                  <w:tcW w:w="2160" w:type="dxa"/>
                  <w:tcBorders>
                    <w:top w:val="single" w:sz="4" w:space="0" w:color="auto"/>
                    <w:left w:val="single" w:sz="4" w:space="0" w:color="auto"/>
                    <w:bottom w:val="single" w:sz="4" w:space="0" w:color="auto"/>
                    <w:right w:val="single" w:sz="4" w:space="0" w:color="auto"/>
                  </w:tcBorders>
                  <w:shd w:val="clear" w:color="auto" w:fill="000000"/>
                  <w:tcMar>
                    <w:left w:w="29" w:type="dxa"/>
                    <w:right w:w="29" w:type="dxa"/>
                  </w:tcMar>
                </w:tcPr>
                <w:p w14:paraId="3708A1E6" w14:textId="77777777" w:rsidR="004242EA" w:rsidRPr="005D4222" w:rsidRDefault="004242EA" w:rsidP="00A53E8C">
                  <w:pPr>
                    <w:pStyle w:val="TableHead"/>
                    <w:rPr>
                      <w:b w:val="0"/>
                      <w:color w:val="FFFFFF"/>
                    </w:rPr>
                  </w:pPr>
                  <w:r w:rsidRPr="005D4222">
                    <w:t>Metric</w:t>
                  </w:r>
                </w:p>
              </w:tc>
            </w:tr>
            <w:tr w:rsidR="004242EA" w:rsidRPr="005D4222" w14:paraId="274C6D88" w14:textId="77777777" w:rsidTr="00A53E8C">
              <w:tc>
                <w:tcPr>
                  <w:tcW w:w="2160" w:type="dxa"/>
                  <w:tcBorders>
                    <w:top w:val="single" w:sz="4" w:space="0" w:color="auto"/>
                    <w:left w:val="single" w:sz="4" w:space="0" w:color="auto"/>
                    <w:bottom w:val="single" w:sz="4" w:space="0" w:color="auto"/>
                    <w:right w:val="single" w:sz="4" w:space="0" w:color="auto"/>
                  </w:tcBorders>
                  <w:tcMar>
                    <w:left w:w="29" w:type="dxa"/>
                    <w:right w:w="29" w:type="dxa"/>
                  </w:tcMar>
                </w:tcPr>
                <w:p w14:paraId="33B0F8FA" w14:textId="77777777" w:rsidR="004242EA" w:rsidRPr="005D4222" w:rsidRDefault="004242EA" w:rsidP="00A53E8C">
                  <w:pPr>
                    <w:pStyle w:val="TableText"/>
                  </w:pPr>
                  <w:r w:rsidRPr="005D4222">
                    <w:t>TimelinessPrenatalCare</w:t>
                  </w:r>
                </w:p>
              </w:tc>
            </w:tr>
            <w:tr w:rsidR="004242EA" w:rsidRPr="005D4222" w14:paraId="7D0F6174" w14:textId="77777777" w:rsidTr="00A53E8C">
              <w:tc>
                <w:tcPr>
                  <w:tcW w:w="2160" w:type="dxa"/>
                  <w:tcBorders>
                    <w:top w:val="single" w:sz="4" w:space="0" w:color="auto"/>
                    <w:left w:val="single" w:sz="4" w:space="0" w:color="auto"/>
                    <w:bottom w:val="single" w:sz="4" w:space="0" w:color="auto"/>
                    <w:right w:val="single" w:sz="4" w:space="0" w:color="auto"/>
                  </w:tcBorders>
                  <w:shd w:val="clear" w:color="auto" w:fill="FFFFFF"/>
                  <w:tcMar>
                    <w:left w:w="29" w:type="dxa"/>
                    <w:right w:w="29" w:type="dxa"/>
                  </w:tcMar>
                </w:tcPr>
                <w:p w14:paraId="3A12C4A9" w14:textId="77777777" w:rsidR="004242EA" w:rsidRPr="005D4222" w:rsidRDefault="004242EA" w:rsidP="00A53E8C">
                  <w:pPr>
                    <w:pStyle w:val="TableText"/>
                  </w:pPr>
                  <w:r w:rsidRPr="005D4222">
                    <w:t>PostpartumCare</w:t>
                  </w:r>
                </w:p>
              </w:tc>
            </w:tr>
          </w:tbl>
          <w:p w14:paraId="521AAC14" w14:textId="77777777" w:rsidR="004242EA" w:rsidRPr="005D4222" w:rsidRDefault="004242EA" w:rsidP="00A53E8C">
            <w:pPr>
              <w:spacing w:line="259" w:lineRule="auto"/>
              <w:rPr>
                <w:rFonts w:ascii="Calibri" w:eastAsia="Calibri" w:hAnsi="Calibri" w:cs="Arial"/>
                <w:b/>
                <w:bCs/>
                <w:sz w:val="22"/>
                <w:szCs w:val="22"/>
              </w:rPr>
            </w:pPr>
          </w:p>
          <w:tbl>
            <w:tblPr>
              <w:tblW w:w="73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8" w:type="dxa"/>
                <w:right w:w="58" w:type="dxa"/>
              </w:tblCellMar>
              <w:tblLook w:val="0000" w:firstRow="0" w:lastRow="0" w:firstColumn="0" w:lastColumn="0" w:noHBand="0" w:noVBand="0"/>
            </w:tblPr>
            <w:tblGrid>
              <w:gridCol w:w="2775"/>
              <w:gridCol w:w="1710"/>
              <w:gridCol w:w="2351"/>
              <w:gridCol w:w="549"/>
            </w:tblGrid>
            <w:tr w:rsidR="004242EA" w:rsidRPr="005D4222" w14:paraId="2D5F5EF0" w14:textId="77777777" w:rsidTr="00A53E8C">
              <w:tc>
                <w:tcPr>
                  <w:tcW w:w="2775" w:type="dxa"/>
                  <w:tcBorders>
                    <w:top w:val="single" w:sz="4" w:space="0" w:color="000000" w:themeColor="text1"/>
                    <w:left w:val="single" w:sz="4" w:space="0" w:color="auto"/>
                    <w:bottom w:val="single" w:sz="4" w:space="0" w:color="000000" w:themeColor="text1"/>
                    <w:right w:val="single" w:sz="4" w:space="0" w:color="FFFFFF" w:themeColor="background1"/>
                  </w:tcBorders>
                  <w:shd w:val="clear" w:color="auto" w:fill="000000" w:themeFill="text1"/>
                  <w:tcMar>
                    <w:left w:w="58" w:type="dxa"/>
                    <w:right w:w="58" w:type="dxa"/>
                  </w:tcMar>
                  <w:vAlign w:val="bottom"/>
                </w:tcPr>
                <w:p w14:paraId="64486EBA" w14:textId="77777777" w:rsidR="004242EA" w:rsidRPr="005D4222" w:rsidRDefault="004242EA" w:rsidP="00A53E8C">
                  <w:pPr>
                    <w:pStyle w:val="TableHead"/>
                  </w:pPr>
                  <w:r w:rsidRPr="005D4222">
                    <w:t>Race</w:t>
                  </w:r>
                </w:p>
              </w:tc>
              <w:tc>
                <w:tcPr>
                  <w:tcW w:w="171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58" w:type="dxa"/>
                    <w:right w:w="58" w:type="dxa"/>
                  </w:tcMar>
                  <w:vAlign w:val="bottom"/>
                </w:tcPr>
                <w:p w14:paraId="49CCD240" w14:textId="77777777" w:rsidR="004242EA" w:rsidRPr="005D4222" w:rsidRDefault="004242EA" w:rsidP="00A53E8C">
                  <w:pPr>
                    <w:pStyle w:val="TableHead"/>
                  </w:pPr>
                  <w:r w:rsidRPr="005D4222">
                    <w:t>Data Element</w:t>
                  </w:r>
                </w:p>
              </w:tc>
              <w:tc>
                <w:tcPr>
                  <w:tcW w:w="2351"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58" w:type="dxa"/>
                    <w:right w:w="58" w:type="dxa"/>
                  </w:tcMar>
                  <w:vAlign w:val="bottom"/>
                </w:tcPr>
                <w:p w14:paraId="51AAC4AE" w14:textId="77777777" w:rsidR="004242EA" w:rsidRPr="005D4222" w:rsidRDefault="004242EA" w:rsidP="00A53E8C">
                  <w:pPr>
                    <w:pStyle w:val="TableHead"/>
                  </w:pPr>
                  <w:r w:rsidRPr="005D4222">
                    <w:t>Reporting Instructions</w:t>
                  </w:r>
                </w:p>
              </w:tc>
              <w:tc>
                <w:tcPr>
                  <w:tcW w:w="549"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tcMar>
                    <w:left w:w="58" w:type="dxa"/>
                    <w:right w:w="58" w:type="dxa"/>
                  </w:tcMar>
                  <w:vAlign w:val="bottom"/>
                </w:tcPr>
                <w:p w14:paraId="1F48227A" w14:textId="77777777" w:rsidR="004242EA" w:rsidRPr="005D4222" w:rsidRDefault="004242EA" w:rsidP="00A53E8C">
                  <w:pPr>
                    <w:pStyle w:val="TableHead"/>
                  </w:pPr>
                  <w:r w:rsidRPr="005D4222">
                    <w:t>A</w:t>
                  </w:r>
                </w:p>
              </w:tc>
            </w:tr>
            <w:tr w:rsidR="004242EA" w:rsidRPr="005D4222" w14:paraId="7F041572" w14:textId="77777777" w:rsidTr="00A53E8C">
              <w:tc>
                <w:tcPr>
                  <w:tcW w:w="2775" w:type="dxa"/>
                  <w:tcBorders>
                    <w:top w:val="single" w:sz="4" w:space="0" w:color="000000" w:themeColor="text1"/>
                    <w:left w:val="single" w:sz="4" w:space="0" w:color="auto"/>
                    <w:bottom w:val="single" w:sz="4" w:space="0" w:color="auto"/>
                    <w:right w:val="single" w:sz="4" w:space="0" w:color="auto"/>
                  </w:tcBorders>
                  <w:tcMar>
                    <w:left w:w="58" w:type="dxa"/>
                    <w:right w:w="58" w:type="dxa"/>
                  </w:tcMar>
                </w:tcPr>
                <w:p w14:paraId="3EC9F501" w14:textId="77777777" w:rsidR="004242EA" w:rsidRPr="005D4222" w:rsidRDefault="004242EA" w:rsidP="00A53E8C">
                  <w:pPr>
                    <w:pStyle w:val="TableText"/>
                  </w:pPr>
                  <w:r w:rsidRPr="005D4222">
                    <w:t>AmericanIndianOrAlaskaNative</w:t>
                  </w:r>
                </w:p>
              </w:tc>
              <w:tc>
                <w:tcPr>
                  <w:tcW w:w="1710" w:type="dxa"/>
                  <w:tcBorders>
                    <w:top w:val="single" w:sz="4" w:space="0" w:color="000000" w:themeColor="text1"/>
                    <w:left w:val="single" w:sz="4" w:space="0" w:color="auto"/>
                    <w:bottom w:val="single" w:sz="4" w:space="0" w:color="auto"/>
                    <w:right w:val="single" w:sz="4" w:space="0" w:color="auto"/>
                  </w:tcBorders>
                  <w:tcMar>
                    <w:left w:w="58" w:type="dxa"/>
                    <w:right w:w="58" w:type="dxa"/>
                  </w:tcMar>
                </w:tcPr>
                <w:p w14:paraId="64C8FCB4" w14:textId="77777777" w:rsidR="004242EA" w:rsidRPr="005D4222" w:rsidRDefault="004242EA" w:rsidP="00A53E8C">
                  <w:pPr>
                    <w:pStyle w:val="TableText"/>
                  </w:pPr>
                  <w:r w:rsidRPr="005D4222">
                    <w:t>CollectionMethod</w:t>
                  </w:r>
                </w:p>
              </w:tc>
              <w:tc>
                <w:tcPr>
                  <w:tcW w:w="2351" w:type="dxa"/>
                  <w:tcBorders>
                    <w:top w:val="single" w:sz="4" w:space="0" w:color="000000" w:themeColor="text1"/>
                    <w:left w:val="single" w:sz="4" w:space="0" w:color="auto"/>
                    <w:bottom w:val="single" w:sz="6" w:space="0" w:color="auto"/>
                    <w:right w:val="single" w:sz="4" w:space="0" w:color="auto"/>
                  </w:tcBorders>
                  <w:tcMar>
                    <w:left w:w="58" w:type="dxa"/>
                    <w:right w:w="58" w:type="dxa"/>
                  </w:tcMar>
                </w:tcPr>
                <w:p w14:paraId="0D938153" w14:textId="77777777" w:rsidR="004242EA" w:rsidRPr="005D4222" w:rsidRDefault="004242EA" w:rsidP="00A53E8C">
                  <w:pPr>
                    <w:pStyle w:val="TableText"/>
                    <w:rPr>
                      <w:rFonts w:eastAsia="Wingdings"/>
                    </w:rPr>
                  </w:pPr>
                  <w:r w:rsidRPr="005D4222">
                    <w:rPr>
                      <w:rFonts w:eastAsia="Wingdings"/>
                    </w:rPr>
                    <w:t>For each Metric, repeat per Stratification</w:t>
                  </w:r>
                </w:p>
              </w:tc>
              <w:tc>
                <w:tcPr>
                  <w:tcW w:w="549" w:type="dxa"/>
                  <w:tcBorders>
                    <w:top w:val="single" w:sz="4" w:space="0" w:color="000000" w:themeColor="text1"/>
                    <w:left w:val="single" w:sz="4" w:space="0" w:color="auto"/>
                    <w:bottom w:val="single" w:sz="6" w:space="0" w:color="auto"/>
                    <w:right w:val="single" w:sz="4" w:space="0" w:color="auto"/>
                  </w:tcBorders>
                  <w:tcMar>
                    <w:left w:w="58" w:type="dxa"/>
                    <w:right w:w="58" w:type="dxa"/>
                  </w:tcMar>
                </w:tcPr>
                <w:p w14:paraId="6ED51142" w14:textId="77777777" w:rsidR="004242EA" w:rsidRPr="005D4222" w:rsidRDefault="004242EA" w:rsidP="00A53E8C">
                  <w:pPr>
                    <w:spacing w:before="40" w:after="40" w:line="216" w:lineRule="auto"/>
                    <w:jc w:val="center"/>
                    <w:rPr>
                      <w:rFonts w:ascii="Arial Narrow" w:eastAsia="Wingdings" w:hAnsi="Arial Narrow" w:cs="Wingdings"/>
                    </w:rPr>
                  </w:pPr>
                  <w:r w:rsidRPr="005D4222">
                    <w:rPr>
                      <w:rFonts w:ascii="Wingdings" w:eastAsia="Wingdings" w:hAnsi="Wingdings" w:cs="Wingdings"/>
                      <w:szCs w:val="19"/>
                    </w:rPr>
                    <w:t>ü</w:t>
                  </w:r>
                </w:p>
              </w:tc>
            </w:tr>
            <w:tr w:rsidR="004242EA" w:rsidRPr="005D4222" w14:paraId="6E12DA75" w14:textId="77777777" w:rsidTr="00A53E8C">
              <w:tc>
                <w:tcPr>
                  <w:tcW w:w="2775"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5AB7BC03" w14:textId="77777777" w:rsidR="004242EA" w:rsidRPr="005D4222" w:rsidRDefault="004242EA" w:rsidP="00A53E8C">
                  <w:pPr>
                    <w:pStyle w:val="TableText"/>
                  </w:pPr>
                  <w:r w:rsidRPr="005D4222">
                    <w:t>Asian</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55B493D5" w14:textId="77777777" w:rsidR="004242EA" w:rsidRPr="005D4222" w:rsidRDefault="004242EA" w:rsidP="00A53E8C">
                  <w:pPr>
                    <w:pStyle w:val="TableText"/>
                  </w:pPr>
                  <w:r w:rsidRPr="005D4222">
                    <w:t>Denominator</w:t>
                  </w:r>
                  <w:r w:rsidRPr="005D4222">
                    <w:rPr>
                      <w:b/>
                      <w:bCs/>
                    </w:rPr>
                    <w:t>*</w:t>
                  </w:r>
                </w:p>
              </w:tc>
              <w:tc>
                <w:tcPr>
                  <w:tcW w:w="2351" w:type="dxa"/>
                  <w:tcBorders>
                    <w:left w:val="single" w:sz="4" w:space="0" w:color="auto"/>
                    <w:bottom w:val="single" w:sz="4" w:space="0" w:color="auto"/>
                    <w:right w:val="single" w:sz="4" w:space="0" w:color="auto"/>
                  </w:tcBorders>
                  <w:shd w:val="clear" w:color="auto" w:fill="FFFFFF" w:themeFill="background1"/>
                  <w:tcMar>
                    <w:left w:w="58" w:type="dxa"/>
                    <w:right w:w="58" w:type="dxa"/>
                  </w:tcMar>
                </w:tcPr>
                <w:p w14:paraId="0B983CEE" w14:textId="77777777" w:rsidR="004242EA" w:rsidRPr="005D4222" w:rsidRDefault="004242EA" w:rsidP="00A53E8C">
                  <w:pPr>
                    <w:pStyle w:val="TableText"/>
                    <w:rPr>
                      <w:rFonts w:eastAsia="Wingdings"/>
                    </w:rPr>
                  </w:pPr>
                  <w:r w:rsidRPr="005D4222">
                    <w:rPr>
                      <w:rFonts w:eastAsia="Wingdings"/>
                    </w:rPr>
                    <w:t>For each Stratification, repeat per Metric</w:t>
                  </w:r>
                </w:p>
              </w:tc>
              <w:tc>
                <w:tcPr>
                  <w:tcW w:w="549" w:type="dxa"/>
                  <w:tcBorders>
                    <w:left w:val="single" w:sz="4" w:space="0" w:color="auto"/>
                    <w:bottom w:val="single" w:sz="4" w:space="0" w:color="auto"/>
                    <w:right w:val="single" w:sz="4" w:space="0" w:color="auto"/>
                  </w:tcBorders>
                  <w:shd w:val="clear" w:color="auto" w:fill="FFFFFF" w:themeFill="background1"/>
                  <w:tcMar>
                    <w:left w:w="58" w:type="dxa"/>
                    <w:right w:w="58" w:type="dxa"/>
                  </w:tcMar>
                </w:tcPr>
                <w:p w14:paraId="6A66352C" w14:textId="77777777" w:rsidR="004242EA" w:rsidRPr="005D4222" w:rsidRDefault="004242EA" w:rsidP="00A53E8C">
                  <w:pPr>
                    <w:spacing w:before="40" w:after="40" w:line="216" w:lineRule="auto"/>
                    <w:jc w:val="center"/>
                    <w:rPr>
                      <w:rFonts w:ascii="Arial Narrow" w:eastAsia="Wingdings" w:hAnsi="Arial Narrow" w:cs="Wingdings"/>
                    </w:rPr>
                  </w:pPr>
                  <w:r w:rsidRPr="005D4222">
                    <w:rPr>
                      <w:rFonts w:ascii="Wingdings" w:eastAsia="Wingdings" w:hAnsi="Wingdings" w:cs="Wingdings"/>
                      <w:szCs w:val="19"/>
                    </w:rPr>
                    <w:t>ü</w:t>
                  </w:r>
                </w:p>
              </w:tc>
            </w:tr>
            <w:tr w:rsidR="004242EA" w:rsidRPr="005D4222" w14:paraId="3D0AC7CC" w14:textId="77777777" w:rsidTr="00A53E8C">
              <w:tc>
                <w:tcPr>
                  <w:tcW w:w="2775" w:type="dxa"/>
                  <w:tcBorders>
                    <w:top w:val="single" w:sz="4" w:space="0" w:color="auto"/>
                    <w:left w:val="single" w:sz="4" w:space="0" w:color="auto"/>
                    <w:bottom w:val="single" w:sz="4" w:space="0" w:color="auto"/>
                    <w:right w:val="single" w:sz="4" w:space="0" w:color="auto"/>
                  </w:tcBorders>
                  <w:tcMar>
                    <w:left w:w="58" w:type="dxa"/>
                    <w:right w:w="58" w:type="dxa"/>
                  </w:tcMar>
                </w:tcPr>
                <w:p w14:paraId="6453B5E9" w14:textId="77777777" w:rsidR="004242EA" w:rsidRPr="005D4222" w:rsidRDefault="004242EA" w:rsidP="00A53E8C">
                  <w:pPr>
                    <w:pStyle w:val="TableText"/>
                  </w:pPr>
                  <w:r w:rsidRPr="005D4222">
                    <w:t>BlackOrAfricanAmerican</w:t>
                  </w:r>
                  <w:r w:rsidRPr="005D4222" w:rsidDel="006F3FFA">
                    <w:t xml:space="preserve"> </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7A768BC6" w14:textId="77777777" w:rsidR="004242EA" w:rsidRPr="005D4222" w:rsidRDefault="004242EA" w:rsidP="00A53E8C">
                  <w:pPr>
                    <w:pStyle w:val="TableText"/>
                  </w:pPr>
                  <w:r w:rsidRPr="005D4222">
                    <w:t>Numerator</w:t>
                  </w:r>
                </w:p>
              </w:tc>
              <w:tc>
                <w:tcPr>
                  <w:tcW w:w="2351"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30DD2CDB" w14:textId="77777777" w:rsidR="004242EA" w:rsidRPr="005D4222" w:rsidRDefault="004242EA" w:rsidP="00A53E8C">
                  <w:pPr>
                    <w:pStyle w:val="TableText"/>
                    <w:rPr>
                      <w:rFonts w:eastAsia="Wingdings"/>
                    </w:rPr>
                  </w:pPr>
                  <w:r w:rsidRPr="005D4222">
                    <w:rPr>
                      <w:rFonts w:eastAsia="Wingdings"/>
                    </w:rPr>
                    <w:t>For each Metric and Stratification</w:t>
                  </w:r>
                </w:p>
              </w:tc>
              <w:tc>
                <w:tcPr>
                  <w:tcW w:w="549"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300EA633" w14:textId="77777777" w:rsidR="004242EA" w:rsidRPr="005D4222" w:rsidRDefault="004242EA" w:rsidP="00A53E8C">
                  <w:pPr>
                    <w:spacing w:before="40" w:after="40" w:line="216" w:lineRule="auto"/>
                    <w:jc w:val="center"/>
                    <w:rPr>
                      <w:rFonts w:ascii="Arial Narrow" w:eastAsia="Wingdings" w:hAnsi="Arial Narrow" w:cs="Wingdings"/>
                    </w:rPr>
                  </w:pPr>
                  <w:r w:rsidRPr="005D4222">
                    <w:rPr>
                      <w:rFonts w:ascii="Wingdings" w:eastAsia="Wingdings" w:hAnsi="Wingdings" w:cs="Wingdings"/>
                      <w:szCs w:val="19"/>
                    </w:rPr>
                    <w:t>ü</w:t>
                  </w:r>
                </w:p>
              </w:tc>
            </w:tr>
            <w:tr w:rsidR="004242EA" w:rsidRPr="005D4222" w14:paraId="53F63EBC" w14:textId="77777777" w:rsidTr="000274CF">
              <w:tc>
                <w:tcPr>
                  <w:tcW w:w="2775" w:type="dxa"/>
                  <w:tcBorders>
                    <w:top w:val="single" w:sz="4" w:space="0" w:color="auto"/>
                    <w:left w:val="single" w:sz="4" w:space="0" w:color="auto"/>
                    <w:bottom w:val="single" w:sz="4" w:space="0" w:color="auto"/>
                    <w:right w:val="single" w:sz="4" w:space="0" w:color="auto"/>
                  </w:tcBorders>
                  <w:tcMar>
                    <w:left w:w="58" w:type="dxa"/>
                    <w:right w:w="58" w:type="dxa"/>
                  </w:tcMar>
                </w:tcPr>
                <w:p w14:paraId="619FABB5" w14:textId="77777777" w:rsidR="004242EA" w:rsidRPr="005D4222" w:rsidRDefault="004242EA" w:rsidP="00A53E8C">
                  <w:pPr>
                    <w:pStyle w:val="TableText"/>
                  </w:pPr>
                  <w:r w:rsidRPr="005D4222">
                    <w:t>MiddleEasternOrNorthAfrican</w:t>
                  </w:r>
                </w:p>
              </w:tc>
              <w:tc>
                <w:tcPr>
                  <w:tcW w:w="17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58" w:type="dxa"/>
                    <w:right w:w="58" w:type="dxa"/>
                  </w:tcMar>
                </w:tcPr>
                <w:p w14:paraId="458B2D59" w14:textId="77777777" w:rsidR="004242EA" w:rsidRPr="005D4222" w:rsidRDefault="004242EA" w:rsidP="00A53E8C">
                  <w:pPr>
                    <w:pStyle w:val="TableText"/>
                  </w:pPr>
                  <w:r w:rsidRPr="005D4222">
                    <w:t>Rate</w:t>
                  </w:r>
                </w:p>
              </w:tc>
              <w:tc>
                <w:tcPr>
                  <w:tcW w:w="23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58" w:type="dxa"/>
                    <w:right w:w="58" w:type="dxa"/>
                  </w:tcMar>
                </w:tcPr>
                <w:p w14:paraId="07578D12" w14:textId="77777777" w:rsidR="004242EA" w:rsidRPr="005D4222" w:rsidRDefault="004242EA" w:rsidP="00A53E8C">
                  <w:pPr>
                    <w:pStyle w:val="TableText"/>
                    <w:rPr>
                      <w:rFonts w:eastAsia="Wingdings"/>
                    </w:rPr>
                  </w:pPr>
                  <w:r w:rsidRPr="005D4222">
                    <w:rPr>
                      <w:rFonts w:eastAsia="Wingdings"/>
                    </w:rPr>
                    <w:t>(Percent)</w:t>
                  </w:r>
                </w:p>
              </w:tc>
              <w:tc>
                <w:tcPr>
                  <w:tcW w:w="54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58" w:type="dxa"/>
                    <w:right w:w="58" w:type="dxa"/>
                  </w:tcMar>
                </w:tcPr>
                <w:p w14:paraId="44CBA7EE" w14:textId="77777777" w:rsidR="004242EA" w:rsidRPr="005D4222" w:rsidRDefault="004242EA" w:rsidP="00A53E8C">
                  <w:pPr>
                    <w:spacing w:before="40" w:after="40" w:line="216" w:lineRule="auto"/>
                    <w:jc w:val="center"/>
                    <w:rPr>
                      <w:rFonts w:ascii="Arial Narrow" w:eastAsia="Wingdings" w:hAnsi="Arial Narrow" w:cs="Wingdings"/>
                    </w:rPr>
                  </w:pPr>
                  <w:r w:rsidRPr="005D4222">
                    <w:rPr>
                      <w:rFonts w:ascii="Wingdings" w:eastAsia="Wingdings" w:hAnsi="Wingdings" w:cs="Wingdings"/>
                      <w:szCs w:val="19"/>
                    </w:rPr>
                    <w:t>ü</w:t>
                  </w:r>
                </w:p>
              </w:tc>
            </w:tr>
            <w:tr w:rsidR="004242EA" w:rsidRPr="005D4222" w14:paraId="58A22204" w14:textId="77777777" w:rsidTr="000274CF">
              <w:tc>
                <w:tcPr>
                  <w:tcW w:w="2775" w:type="dxa"/>
                  <w:tcBorders>
                    <w:top w:val="single" w:sz="4" w:space="0" w:color="auto"/>
                    <w:left w:val="single" w:sz="4" w:space="0" w:color="auto"/>
                    <w:bottom w:val="single" w:sz="4" w:space="0" w:color="auto"/>
                    <w:right w:val="single" w:sz="4" w:space="0" w:color="auto"/>
                  </w:tcBorders>
                  <w:tcMar>
                    <w:left w:w="58" w:type="dxa"/>
                    <w:right w:w="58" w:type="dxa"/>
                  </w:tcMar>
                </w:tcPr>
                <w:p w14:paraId="28D19401" w14:textId="77777777" w:rsidR="004242EA" w:rsidRPr="005D4222" w:rsidRDefault="004242EA" w:rsidP="00A53E8C">
                  <w:pPr>
                    <w:pStyle w:val="TableText"/>
                  </w:pPr>
                  <w:r w:rsidRPr="005D4222">
                    <w:t>NativeHawaiianOrPacificIslander</w:t>
                  </w:r>
                  <w:r w:rsidRPr="005D4222" w:rsidDel="006F3FFA">
                    <w:t xml:space="preserve"> </w:t>
                  </w:r>
                </w:p>
              </w:tc>
              <w:tc>
                <w:tcPr>
                  <w:tcW w:w="1710" w:type="dxa"/>
                  <w:tcBorders>
                    <w:top w:val="single" w:sz="4" w:space="0" w:color="auto"/>
                    <w:left w:val="single" w:sz="4" w:space="0" w:color="auto"/>
                    <w:bottom w:val="nil"/>
                    <w:right w:val="nil"/>
                  </w:tcBorders>
                  <w:shd w:val="clear" w:color="auto" w:fill="FFFFFF" w:themeFill="background1"/>
                  <w:tcMar>
                    <w:left w:w="58" w:type="dxa"/>
                    <w:right w:w="58" w:type="dxa"/>
                  </w:tcMar>
                </w:tcPr>
                <w:p w14:paraId="0B27BED0" w14:textId="77777777" w:rsidR="004242EA" w:rsidRPr="005D4222" w:rsidRDefault="004242EA" w:rsidP="00A53E8C">
                  <w:pPr>
                    <w:pStyle w:val="TableText"/>
                  </w:pPr>
                </w:p>
              </w:tc>
              <w:tc>
                <w:tcPr>
                  <w:tcW w:w="2351" w:type="dxa"/>
                  <w:tcBorders>
                    <w:top w:val="single" w:sz="4" w:space="0" w:color="auto"/>
                    <w:left w:val="nil"/>
                    <w:bottom w:val="nil"/>
                    <w:right w:val="nil"/>
                  </w:tcBorders>
                  <w:shd w:val="clear" w:color="auto" w:fill="FFFFFF" w:themeFill="background1"/>
                  <w:tcMar>
                    <w:left w:w="58" w:type="dxa"/>
                    <w:right w:w="58" w:type="dxa"/>
                  </w:tcMar>
                </w:tcPr>
                <w:p w14:paraId="0ECFD9E1" w14:textId="77777777" w:rsidR="004242EA" w:rsidRPr="005D4222" w:rsidRDefault="004242EA" w:rsidP="00A53E8C">
                  <w:pPr>
                    <w:pStyle w:val="TableText"/>
                    <w:rPr>
                      <w:rFonts w:eastAsia="Wingdings"/>
                    </w:rPr>
                  </w:pPr>
                </w:p>
              </w:tc>
              <w:tc>
                <w:tcPr>
                  <w:tcW w:w="549" w:type="dxa"/>
                  <w:tcBorders>
                    <w:top w:val="single" w:sz="4" w:space="0" w:color="auto"/>
                    <w:left w:val="nil"/>
                    <w:bottom w:val="nil"/>
                    <w:right w:val="nil"/>
                  </w:tcBorders>
                  <w:shd w:val="clear" w:color="auto" w:fill="FFFFFF" w:themeFill="background1"/>
                  <w:tcMar>
                    <w:left w:w="58" w:type="dxa"/>
                    <w:right w:w="58" w:type="dxa"/>
                  </w:tcMar>
                </w:tcPr>
                <w:p w14:paraId="56E63593" w14:textId="77777777" w:rsidR="004242EA" w:rsidRPr="005D4222" w:rsidRDefault="004242EA" w:rsidP="00A53E8C">
                  <w:pPr>
                    <w:spacing w:before="40" w:after="40" w:line="216" w:lineRule="auto"/>
                    <w:jc w:val="center"/>
                    <w:rPr>
                      <w:rFonts w:ascii="Arial Narrow" w:eastAsia="Wingdings" w:hAnsi="Arial Narrow" w:cs="Wingdings"/>
                    </w:rPr>
                  </w:pPr>
                </w:p>
              </w:tc>
            </w:tr>
            <w:tr w:rsidR="00BD4531" w:rsidRPr="005D4222" w14:paraId="7AA3B821" w14:textId="77777777" w:rsidTr="000274CF">
              <w:tc>
                <w:tcPr>
                  <w:tcW w:w="2775" w:type="dxa"/>
                  <w:tcBorders>
                    <w:top w:val="single" w:sz="4" w:space="0" w:color="auto"/>
                    <w:left w:val="single" w:sz="4" w:space="0" w:color="auto"/>
                    <w:bottom w:val="single" w:sz="4" w:space="0" w:color="auto"/>
                    <w:right w:val="single" w:sz="4" w:space="0" w:color="auto"/>
                  </w:tcBorders>
                  <w:tcMar>
                    <w:left w:w="58" w:type="dxa"/>
                    <w:right w:w="58" w:type="dxa"/>
                  </w:tcMar>
                </w:tcPr>
                <w:p w14:paraId="40E8750D" w14:textId="6235AEA0" w:rsidR="00BD4531" w:rsidRPr="005D4222" w:rsidRDefault="00BD4531" w:rsidP="00A53E8C">
                  <w:pPr>
                    <w:pStyle w:val="TableText"/>
                  </w:pPr>
                  <w:r w:rsidRPr="005D4222">
                    <w:t>White</w:t>
                  </w:r>
                </w:p>
              </w:tc>
              <w:tc>
                <w:tcPr>
                  <w:tcW w:w="1710" w:type="dxa"/>
                  <w:tcBorders>
                    <w:top w:val="nil"/>
                    <w:left w:val="single" w:sz="4" w:space="0" w:color="auto"/>
                    <w:bottom w:val="nil"/>
                    <w:right w:val="nil"/>
                  </w:tcBorders>
                  <w:shd w:val="clear" w:color="auto" w:fill="FFFFFF" w:themeFill="background1"/>
                  <w:tcMar>
                    <w:left w:w="58" w:type="dxa"/>
                    <w:right w:w="58" w:type="dxa"/>
                  </w:tcMar>
                </w:tcPr>
                <w:p w14:paraId="30DF50C9" w14:textId="77777777" w:rsidR="00BD4531" w:rsidRPr="005D4222" w:rsidRDefault="00BD4531" w:rsidP="00A53E8C">
                  <w:pPr>
                    <w:pStyle w:val="TableText"/>
                  </w:pPr>
                </w:p>
              </w:tc>
              <w:tc>
                <w:tcPr>
                  <w:tcW w:w="2351" w:type="dxa"/>
                  <w:tcBorders>
                    <w:top w:val="nil"/>
                    <w:left w:val="nil"/>
                    <w:bottom w:val="nil"/>
                    <w:right w:val="nil"/>
                  </w:tcBorders>
                  <w:shd w:val="clear" w:color="auto" w:fill="FFFFFF" w:themeFill="background1"/>
                  <w:tcMar>
                    <w:left w:w="58" w:type="dxa"/>
                    <w:right w:w="58" w:type="dxa"/>
                  </w:tcMar>
                </w:tcPr>
                <w:p w14:paraId="022AF96D" w14:textId="77777777" w:rsidR="00BD4531" w:rsidRPr="005D4222" w:rsidRDefault="00BD4531" w:rsidP="00A53E8C">
                  <w:pPr>
                    <w:pStyle w:val="TableText"/>
                    <w:rPr>
                      <w:rFonts w:eastAsia="Wingdings"/>
                    </w:rPr>
                  </w:pPr>
                </w:p>
              </w:tc>
              <w:tc>
                <w:tcPr>
                  <w:tcW w:w="549" w:type="dxa"/>
                  <w:tcBorders>
                    <w:top w:val="nil"/>
                    <w:left w:val="nil"/>
                    <w:bottom w:val="nil"/>
                    <w:right w:val="nil"/>
                  </w:tcBorders>
                  <w:shd w:val="clear" w:color="auto" w:fill="FFFFFF" w:themeFill="background1"/>
                  <w:tcMar>
                    <w:left w:w="58" w:type="dxa"/>
                    <w:right w:w="58" w:type="dxa"/>
                  </w:tcMar>
                </w:tcPr>
                <w:p w14:paraId="45AF8C3C" w14:textId="77777777" w:rsidR="00BD4531" w:rsidRPr="005D4222" w:rsidRDefault="00BD4531" w:rsidP="00A53E8C">
                  <w:pPr>
                    <w:spacing w:before="40" w:after="40" w:line="216" w:lineRule="auto"/>
                    <w:jc w:val="center"/>
                    <w:rPr>
                      <w:rFonts w:ascii="Arial Narrow" w:eastAsia="Wingdings" w:hAnsi="Arial Narrow" w:cs="Wingdings"/>
                    </w:rPr>
                  </w:pPr>
                </w:p>
              </w:tc>
            </w:tr>
            <w:tr w:rsidR="00BD4531" w:rsidRPr="005D4222" w14:paraId="1C2FE381" w14:textId="77777777" w:rsidTr="000274CF">
              <w:tc>
                <w:tcPr>
                  <w:tcW w:w="2775" w:type="dxa"/>
                  <w:tcBorders>
                    <w:top w:val="single" w:sz="4" w:space="0" w:color="auto"/>
                    <w:left w:val="single" w:sz="4" w:space="0" w:color="auto"/>
                    <w:bottom w:val="single" w:sz="4" w:space="0" w:color="auto"/>
                    <w:right w:val="single" w:sz="4" w:space="0" w:color="auto"/>
                  </w:tcBorders>
                  <w:tcMar>
                    <w:left w:w="58" w:type="dxa"/>
                    <w:right w:w="58" w:type="dxa"/>
                  </w:tcMar>
                </w:tcPr>
                <w:p w14:paraId="0280EE94" w14:textId="77F3BC18" w:rsidR="00BD4531" w:rsidRPr="005D4222" w:rsidRDefault="00BD4531" w:rsidP="00A53E8C">
                  <w:pPr>
                    <w:pStyle w:val="TableText"/>
                  </w:pPr>
                  <w:r w:rsidRPr="005D4222">
                    <w:t>SomeOtherRace</w:t>
                  </w:r>
                </w:p>
              </w:tc>
              <w:tc>
                <w:tcPr>
                  <w:tcW w:w="1710" w:type="dxa"/>
                  <w:tcBorders>
                    <w:top w:val="nil"/>
                    <w:left w:val="single" w:sz="4" w:space="0" w:color="auto"/>
                    <w:bottom w:val="nil"/>
                    <w:right w:val="nil"/>
                  </w:tcBorders>
                  <w:shd w:val="clear" w:color="auto" w:fill="FFFFFF" w:themeFill="background1"/>
                  <w:tcMar>
                    <w:left w:w="58" w:type="dxa"/>
                    <w:right w:w="58" w:type="dxa"/>
                  </w:tcMar>
                </w:tcPr>
                <w:p w14:paraId="274D6747" w14:textId="77777777" w:rsidR="00BD4531" w:rsidRPr="005D4222" w:rsidRDefault="00BD4531" w:rsidP="00A53E8C">
                  <w:pPr>
                    <w:pStyle w:val="TableText"/>
                  </w:pPr>
                </w:p>
              </w:tc>
              <w:tc>
                <w:tcPr>
                  <w:tcW w:w="2351" w:type="dxa"/>
                  <w:tcBorders>
                    <w:top w:val="nil"/>
                    <w:left w:val="nil"/>
                    <w:bottom w:val="nil"/>
                    <w:right w:val="nil"/>
                  </w:tcBorders>
                  <w:shd w:val="clear" w:color="auto" w:fill="FFFFFF" w:themeFill="background1"/>
                  <w:tcMar>
                    <w:left w:w="58" w:type="dxa"/>
                    <w:right w:w="58" w:type="dxa"/>
                  </w:tcMar>
                </w:tcPr>
                <w:p w14:paraId="5F7FDB85" w14:textId="77777777" w:rsidR="00BD4531" w:rsidRPr="005D4222" w:rsidRDefault="00BD4531" w:rsidP="00A53E8C">
                  <w:pPr>
                    <w:pStyle w:val="TableText"/>
                    <w:rPr>
                      <w:rFonts w:eastAsia="Wingdings"/>
                    </w:rPr>
                  </w:pPr>
                </w:p>
              </w:tc>
              <w:tc>
                <w:tcPr>
                  <w:tcW w:w="549" w:type="dxa"/>
                  <w:tcBorders>
                    <w:top w:val="nil"/>
                    <w:left w:val="nil"/>
                    <w:bottom w:val="nil"/>
                    <w:right w:val="nil"/>
                  </w:tcBorders>
                  <w:shd w:val="clear" w:color="auto" w:fill="FFFFFF" w:themeFill="background1"/>
                  <w:tcMar>
                    <w:left w:w="58" w:type="dxa"/>
                    <w:right w:w="58" w:type="dxa"/>
                  </w:tcMar>
                </w:tcPr>
                <w:p w14:paraId="47156E29" w14:textId="77777777" w:rsidR="00BD4531" w:rsidRPr="005D4222" w:rsidRDefault="00BD4531" w:rsidP="00A53E8C">
                  <w:pPr>
                    <w:spacing w:before="40" w:after="40" w:line="216" w:lineRule="auto"/>
                    <w:jc w:val="center"/>
                    <w:rPr>
                      <w:rFonts w:ascii="Arial Narrow" w:eastAsia="Wingdings" w:hAnsi="Arial Narrow" w:cs="Wingdings"/>
                    </w:rPr>
                  </w:pPr>
                </w:p>
              </w:tc>
            </w:tr>
          </w:tbl>
          <w:p w14:paraId="5EFFD695" w14:textId="77777777" w:rsidR="004242EA" w:rsidRPr="005D4222" w:rsidRDefault="004242EA" w:rsidP="00A53E8C">
            <w:pPr>
              <w:pStyle w:val="TableText"/>
              <w:spacing w:before="120"/>
              <w:ind w:left="92" w:hanging="92"/>
              <w:rPr>
                <w:rFonts w:eastAsia="Calibri"/>
                <w:b/>
                <w:bCs/>
              </w:rPr>
            </w:pPr>
          </w:p>
        </w:tc>
      </w:tr>
    </w:tbl>
    <w:p w14:paraId="5C83E405" w14:textId="77777777" w:rsidR="00BD4531" w:rsidRPr="005D4222" w:rsidRDefault="00BD4531"/>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71"/>
        <w:gridCol w:w="7546"/>
      </w:tblGrid>
      <w:tr w:rsidR="004242EA" w:rsidRPr="005D4222" w14:paraId="0517D45B" w14:textId="77777777" w:rsidTr="00A53E8C">
        <w:tc>
          <w:tcPr>
            <w:tcW w:w="2171"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34D6634" w14:textId="77777777" w:rsidR="004242EA" w:rsidRPr="005D4222" w:rsidRDefault="004242EA" w:rsidP="00A53E8C">
            <w:pPr>
              <w:pStyle w:val="ECDSMarginHead"/>
            </w:pPr>
          </w:p>
        </w:tc>
        <w:tc>
          <w:tcPr>
            <w:tcW w:w="7546"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B56AF35" w14:textId="77777777" w:rsidR="004242EA" w:rsidRPr="005D4222" w:rsidRDefault="004242EA" w:rsidP="00A53E8C">
            <w:pPr>
              <w:pStyle w:val="Heading3"/>
              <w:spacing w:before="0" w:after="0"/>
              <w:rPr>
                <w:sz w:val="10"/>
                <w:szCs w:val="10"/>
              </w:rPr>
            </w:pPr>
          </w:p>
          <w:tbl>
            <w:tblPr>
              <w:tblW w:w="73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8" w:type="dxa"/>
                <w:right w:w="58" w:type="dxa"/>
              </w:tblCellMar>
              <w:tblLook w:val="0000" w:firstRow="0" w:lastRow="0" w:firstColumn="0" w:lastColumn="0" w:noHBand="0" w:noVBand="0"/>
            </w:tblPr>
            <w:tblGrid>
              <w:gridCol w:w="2775"/>
              <w:gridCol w:w="1710"/>
              <w:gridCol w:w="2351"/>
              <w:gridCol w:w="549"/>
            </w:tblGrid>
            <w:tr w:rsidR="004242EA" w:rsidRPr="005D4222" w14:paraId="43347786" w14:textId="77777777" w:rsidTr="00A53E8C">
              <w:tc>
                <w:tcPr>
                  <w:tcW w:w="2775" w:type="dxa"/>
                  <w:tcBorders>
                    <w:top w:val="single" w:sz="4" w:space="0" w:color="000000" w:themeColor="text1"/>
                    <w:left w:val="single" w:sz="4" w:space="0" w:color="auto"/>
                    <w:bottom w:val="single" w:sz="4" w:space="0" w:color="000000" w:themeColor="text1"/>
                    <w:right w:val="single" w:sz="4" w:space="0" w:color="FFFFFF" w:themeColor="background1"/>
                  </w:tcBorders>
                  <w:shd w:val="clear" w:color="auto" w:fill="000000" w:themeFill="text1"/>
                  <w:tcMar>
                    <w:left w:w="58" w:type="dxa"/>
                    <w:right w:w="58" w:type="dxa"/>
                  </w:tcMar>
                  <w:vAlign w:val="bottom"/>
                </w:tcPr>
                <w:p w14:paraId="278C67B0" w14:textId="77777777" w:rsidR="004242EA" w:rsidRPr="005D4222" w:rsidRDefault="004242EA" w:rsidP="00A53E8C">
                  <w:pPr>
                    <w:pStyle w:val="TableHead"/>
                  </w:pPr>
                  <w:r w:rsidRPr="005D4222">
                    <w:t>Race</w:t>
                  </w:r>
                </w:p>
              </w:tc>
              <w:tc>
                <w:tcPr>
                  <w:tcW w:w="171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58" w:type="dxa"/>
                    <w:right w:w="58" w:type="dxa"/>
                  </w:tcMar>
                  <w:vAlign w:val="bottom"/>
                </w:tcPr>
                <w:p w14:paraId="50727FD6" w14:textId="77777777" w:rsidR="004242EA" w:rsidRPr="005D4222" w:rsidRDefault="004242EA" w:rsidP="00A53E8C">
                  <w:pPr>
                    <w:pStyle w:val="TableHead"/>
                  </w:pPr>
                  <w:r w:rsidRPr="005D4222">
                    <w:t>Data Element</w:t>
                  </w:r>
                </w:p>
              </w:tc>
              <w:tc>
                <w:tcPr>
                  <w:tcW w:w="2351" w:type="dxa"/>
                  <w:tcBorders>
                    <w:top w:val="single" w:sz="4" w:space="0" w:color="000000" w:themeColor="text1"/>
                    <w:left w:val="single" w:sz="4" w:space="0" w:color="FFFFFF" w:themeColor="background1"/>
                    <w:bottom w:val="single" w:sz="4" w:space="0" w:color="auto"/>
                    <w:right w:val="single" w:sz="4" w:space="0" w:color="FFFFFF" w:themeColor="background1"/>
                  </w:tcBorders>
                  <w:shd w:val="clear" w:color="auto" w:fill="000000" w:themeFill="text1"/>
                  <w:tcMar>
                    <w:left w:w="58" w:type="dxa"/>
                    <w:right w:w="58" w:type="dxa"/>
                  </w:tcMar>
                  <w:vAlign w:val="bottom"/>
                </w:tcPr>
                <w:p w14:paraId="539F17B9" w14:textId="77777777" w:rsidR="004242EA" w:rsidRPr="005D4222" w:rsidRDefault="004242EA" w:rsidP="00A53E8C">
                  <w:pPr>
                    <w:pStyle w:val="TableHead"/>
                  </w:pPr>
                  <w:r w:rsidRPr="005D4222">
                    <w:t>Reporting Instructions</w:t>
                  </w:r>
                </w:p>
              </w:tc>
              <w:tc>
                <w:tcPr>
                  <w:tcW w:w="549"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tcMar>
                    <w:left w:w="58" w:type="dxa"/>
                    <w:right w:w="58" w:type="dxa"/>
                  </w:tcMar>
                  <w:vAlign w:val="bottom"/>
                </w:tcPr>
                <w:p w14:paraId="195DEC07" w14:textId="77777777" w:rsidR="004242EA" w:rsidRPr="005D4222" w:rsidRDefault="004242EA" w:rsidP="00A53E8C">
                  <w:pPr>
                    <w:pStyle w:val="TableHead"/>
                  </w:pPr>
                  <w:r w:rsidRPr="005D4222">
                    <w:t>A</w:t>
                  </w:r>
                </w:p>
              </w:tc>
            </w:tr>
            <w:tr w:rsidR="004242EA" w:rsidRPr="005D4222" w14:paraId="5B44981C" w14:textId="77777777" w:rsidTr="00BD4531">
              <w:tc>
                <w:tcPr>
                  <w:tcW w:w="2775" w:type="dxa"/>
                  <w:tcBorders>
                    <w:top w:val="single" w:sz="4" w:space="0" w:color="auto"/>
                    <w:left w:val="single" w:sz="4" w:space="0" w:color="auto"/>
                    <w:bottom w:val="single" w:sz="4" w:space="0" w:color="auto"/>
                    <w:right w:val="single" w:sz="4" w:space="0" w:color="auto"/>
                  </w:tcBorders>
                  <w:tcMar>
                    <w:left w:w="58" w:type="dxa"/>
                    <w:right w:w="58" w:type="dxa"/>
                  </w:tcMar>
                </w:tcPr>
                <w:p w14:paraId="49167FC7" w14:textId="77777777" w:rsidR="004242EA" w:rsidRPr="005D4222" w:rsidRDefault="004242EA" w:rsidP="00A53E8C">
                  <w:pPr>
                    <w:pStyle w:val="TableText"/>
                  </w:pPr>
                  <w:r w:rsidRPr="005D4222">
                    <w:t>TwoOrMoreRaces</w:t>
                  </w:r>
                </w:p>
              </w:tc>
              <w:tc>
                <w:tcPr>
                  <w:tcW w:w="1710" w:type="dxa"/>
                  <w:tcBorders>
                    <w:top w:val="nil"/>
                    <w:left w:val="single" w:sz="4" w:space="0" w:color="auto"/>
                    <w:bottom w:val="nil"/>
                    <w:right w:val="nil"/>
                  </w:tcBorders>
                  <w:tcMar>
                    <w:left w:w="58" w:type="dxa"/>
                    <w:right w:w="58" w:type="dxa"/>
                  </w:tcMar>
                </w:tcPr>
                <w:p w14:paraId="7F30DB44" w14:textId="77777777" w:rsidR="004242EA" w:rsidRPr="005D4222" w:rsidRDefault="004242EA" w:rsidP="00A53E8C">
                  <w:pPr>
                    <w:pStyle w:val="TableText"/>
                  </w:pPr>
                </w:p>
              </w:tc>
              <w:tc>
                <w:tcPr>
                  <w:tcW w:w="2351" w:type="dxa"/>
                  <w:tcBorders>
                    <w:top w:val="nil"/>
                    <w:left w:val="nil"/>
                    <w:bottom w:val="nil"/>
                    <w:right w:val="nil"/>
                  </w:tcBorders>
                  <w:tcMar>
                    <w:left w:w="58" w:type="dxa"/>
                    <w:right w:w="58" w:type="dxa"/>
                  </w:tcMar>
                </w:tcPr>
                <w:p w14:paraId="1058C813" w14:textId="77777777" w:rsidR="004242EA" w:rsidRPr="005D4222" w:rsidRDefault="004242EA" w:rsidP="00A53E8C">
                  <w:pPr>
                    <w:pStyle w:val="TableText"/>
                    <w:rPr>
                      <w:rFonts w:eastAsia="Wingdings"/>
                    </w:rPr>
                  </w:pPr>
                </w:p>
              </w:tc>
              <w:tc>
                <w:tcPr>
                  <w:tcW w:w="549" w:type="dxa"/>
                  <w:tcBorders>
                    <w:top w:val="nil"/>
                    <w:left w:val="nil"/>
                    <w:bottom w:val="nil"/>
                    <w:right w:val="nil"/>
                  </w:tcBorders>
                  <w:tcMar>
                    <w:left w:w="58" w:type="dxa"/>
                    <w:right w:w="58" w:type="dxa"/>
                  </w:tcMar>
                </w:tcPr>
                <w:p w14:paraId="39004ADB" w14:textId="77777777" w:rsidR="004242EA" w:rsidRPr="005D4222" w:rsidRDefault="004242EA" w:rsidP="00A53E8C">
                  <w:pPr>
                    <w:spacing w:before="40" w:after="40" w:line="216" w:lineRule="auto"/>
                    <w:jc w:val="center"/>
                    <w:rPr>
                      <w:rFonts w:ascii="Arial Narrow" w:eastAsia="Wingdings" w:hAnsi="Arial Narrow" w:cs="Wingdings"/>
                    </w:rPr>
                  </w:pPr>
                </w:p>
              </w:tc>
            </w:tr>
            <w:tr w:rsidR="004242EA" w:rsidRPr="005D4222" w14:paraId="261D240F" w14:textId="77777777" w:rsidTr="00BD4531">
              <w:tc>
                <w:tcPr>
                  <w:tcW w:w="2775" w:type="dxa"/>
                  <w:tcBorders>
                    <w:top w:val="single" w:sz="4" w:space="0" w:color="auto"/>
                    <w:left w:val="single" w:sz="4" w:space="0" w:color="auto"/>
                    <w:bottom w:val="single" w:sz="4" w:space="0" w:color="auto"/>
                    <w:right w:val="single" w:sz="4" w:space="0" w:color="auto"/>
                  </w:tcBorders>
                  <w:tcMar>
                    <w:left w:w="58" w:type="dxa"/>
                    <w:right w:w="58" w:type="dxa"/>
                  </w:tcMar>
                </w:tcPr>
                <w:p w14:paraId="718C613B" w14:textId="77777777" w:rsidR="004242EA" w:rsidRPr="005D4222" w:rsidRDefault="004242EA" w:rsidP="00A53E8C">
                  <w:pPr>
                    <w:pStyle w:val="TableText"/>
                  </w:pPr>
                  <w:r w:rsidRPr="005D4222">
                    <w:t>AskedButNoAnswer</w:t>
                  </w:r>
                </w:p>
              </w:tc>
              <w:tc>
                <w:tcPr>
                  <w:tcW w:w="1710" w:type="dxa"/>
                  <w:tcBorders>
                    <w:top w:val="nil"/>
                    <w:left w:val="single" w:sz="4" w:space="0" w:color="auto"/>
                    <w:bottom w:val="nil"/>
                    <w:right w:val="nil"/>
                  </w:tcBorders>
                  <w:tcMar>
                    <w:left w:w="58" w:type="dxa"/>
                    <w:right w:w="58" w:type="dxa"/>
                  </w:tcMar>
                </w:tcPr>
                <w:p w14:paraId="317B0653" w14:textId="77777777" w:rsidR="004242EA" w:rsidRPr="005D4222" w:rsidRDefault="004242EA" w:rsidP="00A53E8C">
                  <w:pPr>
                    <w:pStyle w:val="TableText"/>
                  </w:pPr>
                </w:p>
              </w:tc>
              <w:tc>
                <w:tcPr>
                  <w:tcW w:w="2351" w:type="dxa"/>
                  <w:tcBorders>
                    <w:top w:val="nil"/>
                    <w:left w:val="nil"/>
                    <w:bottom w:val="nil"/>
                    <w:right w:val="nil"/>
                  </w:tcBorders>
                  <w:tcMar>
                    <w:left w:w="58" w:type="dxa"/>
                    <w:right w:w="58" w:type="dxa"/>
                  </w:tcMar>
                </w:tcPr>
                <w:p w14:paraId="57AE7B96" w14:textId="77777777" w:rsidR="004242EA" w:rsidRPr="005D4222" w:rsidRDefault="004242EA" w:rsidP="00A53E8C">
                  <w:pPr>
                    <w:pStyle w:val="TableText"/>
                    <w:rPr>
                      <w:rFonts w:eastAsia="Wingdings"/>
                    </w:rPr>
                  </w:pPr>
                </w:p>
              </w:tc>
              <w:tc>
                <w:tcPr>
                  <w:tcW w:w="549" w:type="dxa"/>
                  <w:tcBorders>
                    <w:top w:val="nil"/>
                    <w:left w:val="nil"/>
                    <w:bottom w:val="nil"/>
                    <w:right w:val="nil"/>
                  </w:tcBorders>
                  <w:tcMar>
                    <w:left w:w="58" w:type="dxa"/>
                    <w:right w:w="58" w:type="dxa"/>
                  </w:tcMar>
                </w:tcPr>
                <w:p w14:paraId="5BC816BC" w14:textId="77777777" w:rsidR="004242EA" w:rsidRPr="005D4222" w:rsidRDefault="004242EA" w:rsidP="00A53E8C">
                  <w:pPr>
                    <w:spacing w:before="40" w:after="40" w:line="216" w:lineRule="auto"/>
                    <w:jc w:val="center"/>
                    <w:rPr>
                      <w:rFonts w:ascii="Arial Narrow" w:eastAsia="Wingdings" w:hAnsi="Arial Narrow" w:cs="Wingdings"/>
                    </w:rPr>
                  </w:pPr>
                </w:p>
              </w:tc>
            </w:tr>
            <w:tr w:rsidR="004242EA" w:rsidRPr="005D4222" w14:paraId="223D934B" w14:textId="77777777" w:rsidTr="00BD4531">
              <w:trPr>
                <w:trHeight w:val="332"/>
              </w:trPr>
              <w:tc>
                <w:tcPr>
                  <w:tcW w:w="2775" w:type="dxa"/>
                  <w:tcBorders>
                    <w:top w:val="single" w:sz="4" w:space="0" w:color="auto"/>
                    <w:left w:val="single" w:sz="4" w:space="0" w:color="auto"/>
                    <w:bottom w:val="single" w:sz="4" w:space="0" w:color="auto"/>
                    <w:right w:val="single" w:sz="4" w:space="0" w:color="auto"/>
                  </w:tcBorders>
                  <w:tcMar>
                    <w:left w:w="58" w:type="dxa"/>
                    <w:right w:w="58" w:type="dxa"/>
                  </w:tcMar>
                </w:tcPr>
                <w:p w14:paraId="46FD0D4B" w14:textId="77777777" w:rsidR="004242EA" w:rsidRPr="005D4222" w:rsidRDefault="004242EA" w:rsidP="00A53E8C">
                  <w:pPr>
                    <w:pStyle w:val="TableText"/>
                  </w:pPr>
                  <w:r w:rsidRPr="005D4222">
                    <w:t>Unknown</w:t>
                  </w:r>
                </w:p>
              </w:tc>
              <w:tc>
                <w:tcPr>
                  <w:tcW w:w="1710" w:type="dxa"/>
                  <w:tcBorders>
                    <w:top w:val="nil"/>
                    <w:left w:val="single" w:sz="4" w:space="0" w:color="auto"/>
                    <w:bottom w:val="nil"/>
                    <w:right w:val="nil"/>
                  </w:tcBorders>
                  <w:tcMar>
                    <w:left w:w="58" w:type="dxa"/>
                    <w:right w:w="58" w:type="dxa"/>
                  </w:tcMar>
                </w:tcPr>
                <w:p w14:paraId="74F3D8C6" w14:textId="77777777" w:rsidR="004242EA" w:rsidRPr="005D4222" w:rsidRDefault="004242EA" w:rsidP="00A53E8C">
                  <w:pPr>
                    <w:pStyle w:val="TableText"/>
                  </w:pPr>
                </w:p>
              </w:tc>
              <w:tc>
                <w:tcPr>
                  <w:tcW w:w="2351" w:type="dxa"/>
                  <w:tcBorders>
                    <w:top w:val="nil"/>
                    <w:left w:val="nil"/>
                    <w:bottom w:val="nil"/>
                    <w:right w:val="nil"/>
                  </w:tcBorders>
                  <w:tcMar>
                    <w:left w:w="58" w:type="dxa"/>
                    <w:right w:w="58" w:type="dxa"/>
                  </w:tcMar>
                </w:tcPr>
                <w:p w14:paraId="49D01EA9" w14:textId="77777777" w:rsidR="004242EA" w:rsidRPr="005D4222" w:rsidRDefault="004242EA" w:rsidP="00A53E8C">
                  <w:pPr>
                    <w:pStyle w:val="TableText"/>
                    <w:rPr>
                      <w:rFonts w:eastAsia="Wingdings"/>
                    </w:rPr>
                  </w:pPr>
                </w:p>
              </w:tc>
              <w:tc>
                <w:tcPr>
                  <w:tcW w:w="549" w:type="dxa"/>
                  <w:tcBorders>
                    <w:top w:val="nil"/>
                    <w:left w:val="nil"/>
                    <w:bottom w:val="nil"/>
                    <w:right w:val="nil"/>
                  </w:tcBorders>
                  <w:tcMar>
                    <w:left w:w="58" w:type="dxa"/>
                    <w:right w:w="58" w:type="dxa"/>
                  </w:tcMar>
                </w:tcPr>
                <w:p w14:paraId="5035279D" w14:textId="77777777" w:rsidR="004242EA" w:rsidRPr="005D4222" w:rsidRDefault="004242EA" w:rsidP="00A53E8C">
                  <w:pPr>
                    <w:spacing w:before="40" w:after="40" w:line="216" w:lineRule="auto"/>
                    <w:jc w:val="center"/>
                    <w:rPr>
                      <w:rFonts w:ascii="Arial Narrow" w:eastAsia="Wingdings" w:hAnsi="Arial Narrow" w:cs="Wingdings"/>
                    </w:rPr>
                  </w:pPr>
                </w:p>
              </w:tc>
            </w:tr>
          </w:tbl>
          <w:p w14:paraId="2F48753F" w14:textId="432A06C3" w:rsidR="004242EA" w:rsidRPr="005D4222" w:rsidRDefault="004242EA" w:rsidP="00A53E8C">
            <w:pPr>
              <w:pStyle w:val="Heading3"/>
            </w:pPr>
            <w:r w:rsidRPr="005D4222">
              <w:t xml:space="preserve">Table PPC-C-1/2: Data Elements for Prenatal and Postpartum Care: </w:t>
            </w:r>
            <w:r w:rsidR="00B51CDC" w:rsidRPr="005D4222">
              <w:t>Stratifications</w:t>
            </w:r>
            <w:r w:rsidRPr="005D4222">
              <w:t xml:space="preserve"> </w:t>
            </w:r>
            <w:r w:rsidRPr="005D4222">
              <w:br/>
              <w:t>by Ethnicity</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062"/>
              <w:gridCol w:w="1707"/>
              <w:gridCol w:w="1526"/>
              <w:gridCol w:w="1528"/>
              <w:gridCol w:w="541"/>
            </w:tblGrid>
            <w:tr w:rsidR="004242EA" w:rsidRPr="005D4222" w14:paraId="7E36A62A" w14:textId="77777777" w:rsidTr="00A53E8C">
              <w:tc>
                <w:tcPr>
                  <w:tcW w:w="2062" w:type="dxa"/>
                  <w:tcBorders>
                    <w:top w:val="single" w:sz="4" w:space="0" w:color="000000"/>
                    <w:left w:val="single" w:sz="4" w:space="0" w:color="000000"/>
                    <w:bottom w:val="single" w:sz="4" w:space="0" w:color="000000"/>
                    <w:right w:val="single" w:sz="4" w:space="0" w:color="FFFFFF"/>
                  </w:tcBorders>
                  <w:shd w:val="clear" w:color="auto" w:fill="000000"/>
                  <w:tcMar>
                    <w:left w:w="58" w:type="dxa"/>
                    <w:right w:w="58" w:type="dxa"/>
                  </w:tcMar>
                  <w:vAlign w:val="bottom"/>
                </w:tcPr>
                <w:p w14:paraId="09C6B2EE" w14:textId="77777777" w:rsidR="004242EA" w:rsidRPr="005D4222" w:rsidRDefault="004242EA" w:rsidP="00A53E8C">
                  <w:pPr>
                    <w:pStyle w:val="TableHead"/>
                  </w:pPr>
                  <w:r w:rsidRPr="005D4222">
                    <w:t>Metric</w:t>
                  </w:r>
                </w:p>
              </w:tc>
              <w:tc>
                <w:tcPr>
                  <w:tcW w:w="1707" w:type="dxa"/>
                  <w:tcBorders>
                    <w:top w:val="single" w:sz="4" w:space="0" w:color="000000"/>
                    <w:left w:val="single" w:sz="4" w:space="0" w:color="FFFFFF"/>
                    <w:bottom w:val="single" w:sz="4" w:space="0" w:color="000000"/>
                    <w:right w:val="single" w:sz="4" w:space="0" w:color="FFFFFF"/>
                  </w:tcBorders>
                  <w:shd w:val="clear" w:color="auto" w:fill="000000"/>
                  <w:tcMar>
                    <w:left w:w="58" w:type="dxa"/>
                    <w:right w:w="58" w:type="dxa"/>
                  </w:tcMar>
                  <w:vAlign w:val="bottom"/>
                </w:tcPr>
                <w:p w14:paraId="26CAFB0D" w14:textId="77777777" w:rsidR="004242EA" w:rsidRPr="005D4222" w:rsidRDefault="004242EA" w:rsidP="00A53E8C">
                  <w:pPr>
                    <w:pStyle w:val="TableHead"/>
                  </w:pPr>
                  <w:r w:rsidRPr="005D4222">
                    <w:t>Ethnicity</w:t>
                  </w:r>
                </w:p>
              </w:tc>
              <w:tc>
                <w:tcPr>
                  <w:tcW w:w="1526" w:type="dxa"/>
                  <w:tcBorders>
                    <w:top w:val="single" w:sz="4" w:space="0" w:color="000000"/>
                    <w:left w:val="single" w:sz="4" w:space="0" w:color="FFFFFF"/>
                    <w:bottom w:val="single" w:sz="4" w:space="0" w:color="000000"/>
                    <w:right w:val="single" w:sz="4" w:space="0" w:color="FFFFFF"/>
                  </w:tcBorders>
                  <w:shd w:val="clear" w:color="auto" w:fill="000000"/>
                  <w:tcMar>
                    <w:left w:w="58" w:type="dxa"/>
                    <w:right w:w="58" w:type="dxa"/>
                  </w:tcMar>
                  <w:vAlign w:val="bottom"/>
                </w:tcPr>
                <w:p w14:paraId="540DEA1A" w14:textId="77777777" w:rsidR="004242EA" w:rsidRPr="005D4222" w:rsidRDefault="004242EA" w:rsidP="00A53E8C">
                  <w:pPr>
                    <w:pStyle w:val="TableHead"/>
                  </w:pPr>
                  <w:r w:rsidRPr="005D4222">
                    <w:t>Data Element</w:t>
                  </w:r>
                </w:p>
              </w:tc>
              <w:tc>
                <w:tcPr>
                  <w:tcW w:w="1528" w:type="dxa"/>
                  <w:tcBorders>
                    <w:top w:val="single" w:sz="4" w:space="0" w:color="000000"/>
                    <w:left w:val="single" w:sz="4" w:space="0" w:color="FFFFFF"/>
                    <w:bottom w:val="single" w:sz="4" w:space="0" w:color="000000"/>
                    <w:right w:val="single" w:sz="4" w:space="0" w:color="FFFFFF"/>
                  </w:tcBorders>
                  <w:shd w:val="clear" w:color="auto" w:fill="000000"/>
                  <w:tcMar>
                    <w:left w:w="58" w:type="dxa"/>
                    <w:right w:w="58" w:type="dxa"/>
                  </w:tcMar>
                  <w:vAlign w:val="bottom"/>
                </w:tcPr>
                <w:p w14:paraId="34DAD31E" w14:textId="77777777" w:rsidR="004242EA" w:rsidRPr="005D4222" w:rsidRDefault="004242EA" w:rsidP="00A53E8C">
                  <w:pPr>
                    <w:pStyle w:val="TableHead"/>
                  </w:pPr>
                  <w:r w:rsidRPr="005D4222">
                    <w:t>Reporting Instructions</w:t>
                  </w:r>
                </w:p>
              </w:tc>
              <w:tc>
                <w:tcPr>
                  <w:tcW w:w="541" w:type="dxa"/>
                  <w:tcBorders>
                    <w:top w:val="single" w:sz="4" w:space="0" w:color="000000"/>
                    <w:left w:val="single" w:sz="4" w:space="0" w:color="FFFFFF"/>
                    <w:bottom w:val="single" w:sz="4" w:space="0" w:color="000000"/>
                    <w:right w:val="single" w:sz="4" w:space="0" w:color="000000"/>
                  </w:tcBorders>
                  <w:shd w:val="clear" w:color="auto" w:fill="000000"/>
                  <w:tcMar>
                    <w:left w:w="58" w:type="dxa"/>
                    <w:right w:w="58" w:type="dxa"/>
                  </w:tcMar>
                  <w:vAlign w:val="bottom"/>
                </w:tcPr>
                <w:p w14:paraId="49E20069" w14:textId="77777777" w:rsidR="004242EA" w:rsidRPr="005D4222" w:rsidRDefault="004242EA" w:rsidP="00A53E8C">
                  <w:pPr>
                    <w:pStyle w:val="TableHead"/>
                  </w:pPr>
                  <w:r w:rsidRPr="005D4222">
                    <w:t>A</w:t>
                  </w:r>
                </w:p>
              </w:tc>
            </w:tr>
            <w:tr w:rsidR="004242EA" w:rsidRPr="005D4222" w14:paraId="7BB43DF4" w14:textId="77777777" w:rsidTr="00A53E8C">
              <w:tc>
                <w:tcPr>
                  <w:tcW w:w="2062" w:type="dxa"/>
                  <w:tcBorders>
                    <w:top w:val="single" w:sz="4" w:space="0" w:color="000000"/>
                    <w:left w:val="single" w:sz="4" w:space="0" w:color="auto"/>
                    <w:bottom w:val="single" w:sz="4" w:space="0" w:color="auto"/>
                    <w:right w:val="single" w:sz="4" w:space="0" w:color="auto"/>
                  </w:tcBorders>
                  <w:tcMar>
                    <w:left w:w="58" w:type="dxa"/>
                    <w:right w:w="58" w:type="dxa"/>
                  </w:tcMar>
                </w:tcPr>
                <w:p w14:paraId="11919A4A" w14:textId="77777777" w:rsidR="004242EA" w:rsidRPr="005D4222" w:rsidRDefault="004242EA" w:rsidP="00A53E8C">
                  <w:pPr>
                    <w:pStyle w:val="TableText"/>
                  </w:pPr>
                  <w:r w:rsidRPr="005D4222">
                    <w:t>TimelinessPrenatalCare</w:t>
                  </w:r>
                </w:p>
              </w:tc>
              <w:tc>
                <w:tcPr>
                  <w:tcW w:w="1707" w:type="dxa"/>
                  <w:tcBorders>
                    <w:top w:val="single" w:sz="4" w:space="0" w:color="000000"/>
                    <w:left w:val="single" w:sz="4" w:space="0" w:color="auto"/>
                    <w:bottom w:val="single" w:sz="4" w:space="0" w:color="auto"/>
                    <w:right w:val="single" w:sz="4" w:space="0" w:color="auto"/>
                  </w:tcBorders>
                  <w:tcMar>
                    <w:left w:w="58" w:type="dxa"/>
                    <w:right w:w="58" w:type="dxa"/>
                  </w:tcMar>
                </w:tcPr>
                <w:p w14:paraId="19D8B445" w14:textId="77777777" w:rsidR="004242EA" w:rsidRPr="005D4222" w:rsidRDefault="004242EA" w:rsidP="00A53E8C">
                  <w:pPr>
                    <w:pStyle w:val="TableText"/>
                  </w:pPr>
                  <w:r w:rsidRPr="005D4222">
                    <w:t>HispanicOrLatino</w:t>
                  </w:r>
                </w:p>
              </w:tc>
              <w:tc>
                <w:tcPr>
                  <w:tcW w:w="1526" w:type="dxa"/>
                  <w:tcBorders>
                    <w:top w:val="single" w:sz="4" w:space="0" w:color="000000"/>
                    <w:left w:val="single" w:sz="4" w:space="0" w:color="auto"/>
                    <w:bottom w:val="single" w:sz="4" w:space="0" w:color="auto"/>
                    <w:right w:val="single" w:sz="4" w:space="0" w:color="auto"/>
                  </w:tcBorders>
                  <w:tcMar>
                    <w:left w:w="58" w:type="dxa"/>
                    <w:right w:w="58" w:type="dxa"/>
                  </w:tcMar>
                </w:tcPr>
                <w:p w14:paraId="29887510" w14:textId="77777777" w:rsidR="004242EA" w:rsidRPr="005D4222" w:rsidRDefault="004242EA" w:rsidP="00A53E8C">
                  <w:pPr>
                    <w:pStyle w:val="TableText"/>
                  </w:pPr>
                  <w:r w:rsidRPr="005D4222">
                    <w:t>CollectionMethod</w:t>
                  </w:r>
                </w:p>
              </w:tc>
              <w:tc>
                <w:tcPr>
                  <w:tcW w:w="1528" w:type="dxa"/>
                  <w:tcBorders>
                    <w:top w:val="single" w:sz="4" w:space="0" w:color="000000"/>
                    <w:left w:val="single" w:sz="4" w:space="0" w:color="auto"/>
                    <w:bottom w:val="single" w:sz="6" w:space="0" w:color="auto"/>
                    <w:right w:val="single" w:sz="4" w:space="0" w:color="auto"/>
                  </w:tcBorders>
                  <w:tcMar>
                    <w:left w:w="58" w:type="dxa"/>
                    <w:right w:w="58" w:type="dxa"/>
                  </w:tcMar>
                </w:tcPr>
                <w:p w14:paraId="72FFB0EA" w14:textId="77777777" w:rsidR="004242EA" w:rsidRPr="005D4222" w:rsidRDefault="004242EA" w:rsidP="00A53E8C">
                  <w:pPr>
                    <w:pStyle w:val="TableText"/>
                    <w:rPr>
                      <w:rFonts w:eastAsia="Wingdings"/>
                    </w:rPr>
                  </w:pPr>
                  <w:r w:rsidRPr="005D4222">
                    <w:rPr>
                      <w:rFonts w:eastAsia="Wingdings"/>
                    </w:rPr>
                    <w:t>For each Metric, repeat per Stratification</w:t>
                  </w:r>
                </w:p>
              </w:tc>
              <w:tc>
                <w:tcPr>
                  <w:tcW w:w="541" w:type="dxa"/>
                  <w:tcBorders>
                    <w:top w:val="single" w:sz="4" w:space="0" w:color="000000"/>
                    <w:left w:val="single" w:sz="4" w:space="0" w:color="auto"/>
                    <w:bottom w:val="single" w:sz="6" w:space="0" w:color="auto"/>
                    <w:right w:val="single" w:sz="4" w:space="0" w:color="auto"/>
                  </w:tcBorders>
                  <w:tcMar>
                    <w:left w:w="58" w:type="dxa"/>
                    <w:right w:w="58" w:type="dxa"/>
                  </w:tcMar>
                </w:tcPr>
                <w:p w14:paraId="5632F37F" w14:textId="77777777" w:rsidR="004242EA" w:rsidRPr="005D4222" w:rsidRDefault="004242EA" w:rsidP="00A53E8C">
                  <w:pPr>
                    <w:spacing w:before="40" w:after="40" w:line="216" w:lineRule="auto"/>
                    <w:jc w:val="center"/>
                    <w:rPr>
                      <w:rFonts w:ascii="Arial Narrow" w:eastAsia="Wingdings" w:hAnsi="Arial Narrow" w:cs="Wingdings"/>
                    </w:rPr>
                  </w:pPr>
                  <w:r w:rsidRPr="005D4222">
                    <w:rPr>
                      <w:rFonts w:ascii="Wingdings" w:eastAsia="Wingdings" w:hAnsi="Wingdings" w:cs="Wingdings"/>
                      <w:szCs w:val="19"/>
                    </w:rPr>
                    <w:t>ü</w:t>
                  </w:r>
                </w:p>
              </w:tc>
            </w:tr>
            <w:tr w:rsidR="004242EA" w:rsidRPr="005D4222" w14:paraId="4F8C02A5" w14:textId="77777777" w:rsidTr="00A53E8C">
              <w:tc>
                <w:tcPr>
                  <w:tcW w:w="2062" w:type="dxa"/>
                  <w:tcBorders>
                    <w:top w:val="single" w:sz="4" w:space="0" w:color="auto"/>
                    <w:left w:val="single" w:sz="4" w:space="0" w:color="auto"/>
                    <w:bottom w:val="single" w:sz="4" w:space="0" w:color="auto"/>
                    <w:right w:val="single" w:sz="4" w:space="0" w:color="auto"/>
                  </w:tcBorders>
                  <w:shd w:val="clear" w:color="auto" w:fill="FFFFFF"/>
                  <w:tcMar>
                    <w:left w:w="58" w:type="dxa"/>
                    <w:right w:w="58" w:type="dxa"/>
                  </w:tcMar>
                </w:tcPr>
                <w:p w14:paraId="4CB9AC48" w14:textId="77777777" w:rsidR="004242EA" w:rsidRPr="005D4222" w:rsidRDefault="004242EA" w:rsidP="00A53E8C">
                  <w:pPr>
                    <w:pStyle w:val="TableText"/>
                  </w:pPr>
                  <w:r w:rsidRPr="005D4222">
                    <w:t>PostpartumCare</w:t>
                  </w:r>
                </w:p>
              </w:tc>
              <w:tc>
                <w:tcPr>
                  <w:tcW w:w="1707" w:type="dxa"/>
                  <w:tcBorders>
                    <w:top w:val="single" w:sz="4" w:space="0" w:color="auto"/>
                    <w:left w:val="single" w:sz="4" w:space="0" w:color="auto"/>
                    <w:bottom w:val="single" w:sz="4" w:space="0" w:color="auto"/>
                    <w:right w:val="single" w:sz="4" w:space="0" w:color="auto"/>
                  </w:tcBorders>
                  <w:shd w:val="clear" w:color="auto" w:fill="FFFFFF"/>
                  <w:tcMar>
                    <w:left w:w="58" w:type="dxa"/>
                    <w:right w:w="58" w:type="dxa"/>
                  </w:tcMar>
                </w:tcPr>
                <w:p w14:paraId="0A131CB4" w14:textId="77777777" w:rsidR="004242EA" w:rsidRPr="005D4222" w:rsidRDefault="004242EA" w:rsidP="00A53E8C">
                  <w:pPr>
                    <w:pStyle w:val="TableText"/>
                  </w:pPr>
                  <w:r w:rsidRPr="005D4222">
                    <w:t>NotHispanicOrLatino</w:t>
                  </w:r>
                </w:p>
              </w:tc>
              <w:tc>
                <w:tcPr>
                  <w:tcW w:w="1526" w:type="dxa"/>
                  <w:tcBorders>
                    <w:top w:val="single" w:sz="4" w:space="0" w:color="auto"/>
                    <w:left w:val="single" w:sz="4" w:space="0" w:color="auto"/>
                    <w:bottom w:val="single" w:sz="4" w:space="0" w:color="auto"/>
                    <w:right w:val="single" w:sz="4" w:space="0" w:color="auto"/>
                  </w:tcBorders>
                  <w:shd w:val="clear" w:color="auto" w:fill="FFFFFF"/>
                  <w:tcMar>
                    <w:left w:w="58" w:type="dxa"/>
                    <w:right w:w="58" w:type="dxa"/>
                  </w:tcMar>
                </w:tcPr>
                <w:p w14:paraId="1A40D100" w14:textId="77777777" w:rsidR="004242EA" w:rsidRPr="005D4222" w:rsidRDefault="004242EA" w:rsidP="00A53E8C">
                  <w:pPr>
                    <w:pStyle w:val="TableText"/>
                  </w:pPr>
                  <w:r w:rsidRPr="005D4222">
                    <w:t>Denominator</w:t>
                  </w:r>
                  <w:r w:rsidRPr="005D4222">
                    <w:rPr>
                      <w:b/>
                      <w:bCs/>
                    </w:rPr>
                    <w:t>*</w:t>
                  </w:r>
                </w:p>
              </w:tc>
              <w:tc>
                <w:tcPr>
                  <w:tcW w:w="1528" w:type="dxa"/>
                  <w:tcBorders>
                    <w:left w:val="single" w:sz="4" w:space="0" w:color="auto"/>
                    <w:bottom w:val="single" w:sz="4" w:space="0" w:color="auto"/>
                    <w:right w:val="single" w:sz="4" w:space="0" w:color="auto"/>
                  </w:tcBorders>
                  <w:shd w:val="clear" w:color="auto" w:fill="FFFFFF"/>
                  <w:tcMar>
                    <w:left w:w="58" w:type="dxa"/>
                    <w:right w:w="58" w:type="dxa"/>
                  </w:tcMar>
                </w:tcPr>
                <w:p w14:paraId="439EBBE6" w14:textId="77777777" w:rsidR="004242EA" w:rsidRPr="005D4222" w:rsidRDefault="004242EA" w:rsidP="00A53E8C">
                  <w:pPr>
                    <w:pStyle w:val="TableText"/>
                    <w:rPr>
                      <w:rFonts w:eastAsia="Wingdings"/>
                    </w:rPr>
                  </w:pPr>
                  <w:r w:rsidRPr="005D4222">
                    <w:rPr>
                      <w:rFonts w:eastAsia="Wingdings"/>
                    </w:rPr>
                    <w:t>For each Stratification, repeat per Metric</w:t>
                  </w:r>
                </w:p>
              </w:tc>
              <w:tc>
                <w:tcPr>
                  <w:tcW w:w="541" w:type="dxa"/>
                  <w:tcBorders>
                    <w:left w:val="single" w:sz="4" w:space="0" w:color="auto"/>
                    <w:bottom w:val="single" w:sz="4" w:space="0" w:color="auto"/>
                    <w:right w:val="single" w:sz="4" w:space="0" w:color="auto"/>
                  </w:tcBorders>
                  <w:shd w:val="clear" w:color="auto" w:fill="FFFFFF"/>
                  <w:tcMar>
                    <w:left w:w="58" w:type="dxa"/>
                    <w:right w:w="58" w:type="dxa"/>
                  </w:tcMar>
                </w:tcPr>
                <w:p w14:paraId="3B9B4AA9" w14:textId="77777777" w:rsidR="004242EA" w:rsidRPr="005D4222" w:rsidRDefault="004242EA" w:rsidP="00A53E8C">
                  <w:pPr>
                    <w:spacing w:before="40" w:after="40" w:line="216" w:lineRule="auto"/>
                    <w:jc w:val="center"/>
                    <w:rPr>
                      <w:rFonts w:ascii="Arial Narrow" w:eastAsia="Wingdings" w:hAnsi="Arial Narrow" w:cs="Wingdings"/>
                    </w:rPr>
                  </w:pPr>
                  <w:r w:rsidRPr="005D4222">
                    <w:rPr>
                      <w:rFonts w:ascii="Wingdings" w:eastAsia="Wingdings" w:hAnsi="Wingdings" w:cs="Wingdings"/>
                      <w:szCs w:val="19"/>
                    </w:rPr>
                    <w:t>ü</w:t>
                  </w:r>
                </w:p>
              </w:tc>
            </w:tr>
            <w:tr w:rsidR="004242EA" w:rsidRPr="005D4222" w14:paraId="316F2B28" w14:textId="77777777" w:rsidTr="00A53E8C">
              <w:tc>
                <w:tcPr>
                  <w:tcW w:w="2062" w:type="dxa"/>
                  <w:tcBorders>
                    <w:top w:val="single" w:sz="4" w:space="0" w:color="auto"/>
                    <w:left w:val="nil"/>
                    <w:bottom w:val="nil"/>
                    <w:right w:val="nil"/>
                  </w:tcBorders>
                  <w:shd w:val="clear" w:color="auto" w:fill="FFFFFF"/>
                  <w:tcMar>
                    <w:left w:w="58" w:type="dxa"/>
                    <w:right w:w="58" w:type="dxa"/>
                  </w:tcMar>
                </w:tcPr>
                <w:p w14:paraId="494E5832" w14:textId="77777777" w:rsidR="004242EA" w:rsidRPr="005D4222" w:rsidRDefault="004242EA" w:rsidP="00A53E8C">
                  <w:pPr>
                    <w:pStyle w:val="TableText"/>
                  </w:pPr>
                </w:p>
              </w:tc>
              <w:tc>
                <w:tcPr>
                  <w:tcW w:w="1707" w:type="dxa"/>
                  <w:tcBorders>
                    <w:top w:val="single" w:sz="4" w:space="0" w:color="auto"/>
                    <w:left w:val="single" w:sz="4" w:space="0" w:color="auto"/>
                    <w:bottom w:val="single" w:sz="4" w:space="0" w:color="auto"/>
                    <w:right w:val="single" w:sz="4" w:space="0" w:color="auto"/>
                  </w:tcBorders>
                  <w:tcMar>
                    <w:left w:w="58" w:type="dxa"/>
                    <w:right w:w="58" w:type="dxa"/>
                  </w:tcMar>
                </w:tcPr>
                <w:p w14:paraId="5D9A515A" w14:textId="77777777" w:rsidR="004242EA" w:rsidRPr="005D4222" w:rsidRDefault="004242EA" w:rsidP="00A53E8C">
                  <w:pPr>
                    <w:pStyle w:val="TableText"/>
                  </w:pPr>
                  <w:r w:rsidRPr="005D4222">
                    <w:t>AskedButNoAnswer</w:t>
                  </w:r>
                </w:p>
              </w:tc>
              <w:tc>
                <w:tcPr>
                  <w:tcW w:w="1526" w:type="dxa"/>
                  <w:tcBorders>
                    <w:top w:val="single" w:sz="4" w:space="0" w:color="auto"/>
                    <w:left w:val="single" w:sz="4" w:space="0" w:color="auto"/>
                    <w:bottom w:val="single" w:sz="4" w:space="0" w:color="auto"/>
                    <w:right w:val="single" w:sz="4" w:space="0" w:color="auto"/>
                  </w:tcBorders>
                  <w:shd w:val="clear" w:color="auto" w:fill="FFFFFF"/>
                  <w:tcMar>
                    <w:left w:w="58" w:type="dxa"/>
                    <w:right w:w="58" w:type="dxa"/>
                  </w:tcMar>
                </w:tcPr>
                <w:p w14:paraId="042FC5B6" w14:textId="77777777" w:rsidR="004242EA" w:rsidRPr="005D4222" w:rsidRDefault="004242EA" w:rsidP="00A53E8C">
                  <w:pPr>
                    <w:pStyle w:val="TableText"/>
                  </w:pPr>
                  <w:r w:rsidRPr="005D4222">
                    <w:t>Numerator</w:t>
                  </w:r>
                </w:p>
              </w:tc>
              <w:tc>
                <w:tcPr>
                  <w:tcW w:w="1528" w:type="dxa"/>
                  <w:tcBorders>
                    <w:top w:val="single" w:sz="4" w:space="0" w:color="auto"/>
                    <w:left w:val="single" w:sz="4" w:space="0" w:color="auto"/>
                    <w:bottom w:val="single" w:sz="4" w:space="0" w:color="auto"/>
                    <w:right w:val="single" w:sz="4" w:space="0" w:color="auto"/>
                  </w:tcBorders>
                  <w:shd w:val="clear" w:color="auto" w:fill="FFFFFF"/>
                  <w:tcMar>
                    <w:left w:w="58" w:type="dxa"/>
                    <w:right w:w="58" w:type="dxa"/>
                  </w:tcMar>
                </w:tcPr>
                <w:p w14:paraId="37C08CB1" w14:textId="77777777" w:rsidR="004242EA" w:rsidRPr="005D4222" w:rsidRDefault="004242EA" w:rsidP="00A53E8C">
                  <w:pPr>
                    <w:pStyle w:val="TableText"/>
                    <w:rPr>
                      <w:rFonts w:eastAsia="Wingdings"/>
                    </w:rPr>
                  </w:pPr>
                  <w:r w:rsidRPr="005D4222">
                    <w:rPr>
                      <w:rFonts w:eastAsia="Wingdings"/>
                    </w:rPr>
                    <w:t>For each Metric and Stratification</w:t>
                  </w:r>
                </w:p>
              </w:tc>
              <w:tc>
                <w:tcPr>
                  <w:tcW w:w="541" w:type="dxa"/>
                  <w:tcBorders>
                    <w:top w:val="single" w:sz="4" w:space="0" w:color="auto"/>
                    <w:left w:val="single" w:sz="4" w:space="0" w:color="auto"/>
                    <w:bottom w:val="single" w:sz="4" w:space="0" w:color="auto"/>
                    <w:right w:val="single" w:sz="4" w:space="0" w:color="auto"/>
                  </w:tcBorders>
                  <w:shd w:val="clear" w:color="auto" w:fill="FFFFFF"/>
                  <w:tcMar>
                    <w:left w:w="58" w:type="dxa"/>
                    <w:right w:w="58" w:type="dxa"/>
                  </w:tcMar>
                </w:tcPr>
                <w:p w14:paraId="70E23744" w14:textId="77777777" w:rsidR="004242EA" w:rsidRPr="005D4222" w:rsidRDefault="004242EA" w:rsidP="00A53E8C">
                  <w:pPr>
                    <w:spacing w:before="40" w:after="40" w:line="216" w:lineRule="auto"/>
                    <w:jc w:val="center"/>
                    <w:rPr>
                      <w:rFonts w:ascii="Arial Narrow" w:eastAsia="Wingdings" w:hAnsi="Arial Narrow" w:cs="Wingdings"/>
                    </w:rPr>
                  </w:pPr>
                  <w:r w:rsidRPr="005D4222">
                    <w:rPr>
                      <w:rFonts w:ascii="Wingdings" w:eastAsia="Wingdings" w:hAnsi="Wingdings" w:cs="Wingdings"/>
                      <w:szCs w:val="19"/>
                    </w:rPr>
                    <w:t>ü</w:t>
                  </w:r>
                </w:p>
              </w:tc>
            </w:tr>
            <w:tr w:rsidR="004242EA" w:rsidRPr="005D4222" w14:paraId="7C799343" w14:textId="77777777" w:rsidTr="00A53E8C">
              <w:tc>
                <w:tcPr>
                  <w:tcW w:w="2062" w:type="dxa"/>
                  <w:tcBorders>
                    <w:top w:val="nil"/>
                    <w:left w:val="nil"/>
                    <w:bottom w:val="nil"/>
                    <w:right w:val="nil"/>
                  </w:tcBorders>
                  <w:shd w:val="clear" w:color="auto" w:fill="FFFFFF"/>
                  <w:tcMar>
                    <w:left w:w="58" w:type="dxa"/>
                    <w:right w:w="58" w:type="dxa"/>
                  </w:tcMar>
                </w:tcPr>
                <w:p w14:paraId="10D77653" w14:textId="77777777" w:rsidR="004242EA" w:rsidRPr="005D4222" w:rsidRDefault="004242EA" w:rsidP="00A53E8C">
                  <w:pPr>
                    <w:pStyle w:val="TableText"/>
                  </w:pPr>
                </w:p>
              </w:tc>
              <w:tc>
                <w:tcPr>
                  <w:tcW w:w="1707" w:type="dxa"/>
                  <w:tcBorders>
                    <w:top w:val="single" w:sz="4" w:space="0" w:color="auto"/>
                    <w:left w:val="single" w:sz="4" w:space="0" w:color="auto"/>
                    <w:bottom w:val="single" w:sz="4" w:space="0" w:color="auto"/>
                    <w:right w:val="single" w:sz="4" w:space="0" w:color="auto"/>
                  </w:tcBorders>
                  <w:tcMar>
                    <w:left w:w="58" w:type="dxa"/>
                    <w:right w:w="58" w:type="dxa"/>
                  </w:tcMar>
                </w:tcPr>
                <w:p w14:paraId="34E30AFF" w14:textId="77777777" w:rsidR="004242EA" w:rsidRPr="005D4222" w:rsidRDefault="004242EA" w:rsidP="00A53E8C">
                  <w:pPr>
                    <w:pStyle w:val="TableText"/>
                  </w:pPr>
                  <w:r w:rsidRPr="005D4222">
                    <w:t>Unknown</w:t>
                  </w:r>
                </w:p>
              </w:tc>
              <w:tc>
                <w:tcPr>
                  <w:tcW w:w="1526" w:type="dxa"/>
                  <w:tcBorders>
                    <w:top w:val="single" w:sz="4" w:space="0" w:color="auto"/>
                    <w:left w:val="single" w:sz="4" w:space="0" w:color="auto"/>
                    <w:bottom w:val="single" w:sz="4" w:space="0" w:color="auto"/>
                    <w:right w:val="single" w:sz="4" w:space="0" w:color="auto"/>
                  </w:tcBorders>
                  <w:shd w:val="clear" w:color="auto" w:fill="D9D9D9"/>
                  <w:tcMar>
                    <w:left w:w="58" w:type="dxa"/>
                    <w:right w:w="58" w:type="dxa"/>
                  </w:tcMar>
                </w:tcPr>
                <w:p w14:paraId="05299F00" w14:textId="77777777" w:rsidR="004242EA" w:rsidRPr="005D4222" w:rsidRDefault="004242EA" w:rsidP="00A53E8C">
                  <w:pPr>
                    <w:pStyle w:val="TableText"/>
                  </w:pPr>
                  <w:r w:rsidRPr="005D4222">
                    <w:t>Rate</w:t>
                  </w:r>
                </w:p>
              </w:tc>
              <w:tc>
                <w:tcPr>
                  <w:tcW w:w="1528" w:type="dxa"/>
                  <w:tcBorders>
                    <w:top w:val="single" w:sz="4" w:space="0" w:color="auto"/>
                    <w:left w:val="single" w:sz="4" w:space="0" w:color="auto"/>
                    <w:bottom w:val="single" w:sz="4" w:space="0" w:color="auto"/>
                    <w:right w:val="single" w:sz="4" w:space="0" w:color="auto"/>
                  </w:tcBorders>
                  <w:shd w:val="clear" w:color="auto" w:fill="D9D9D9"/>
                  <w:tcMar>
                    <w:left w:w="58" w:type="dxa"/>
                    <w:right w:w="58" w:type="dxa"/>
                  </w:tcMar>
                </w:tcPr>
                <w:p w14:paraId="28C5659E" w14:textId="77777777" w:rsidR="004242EA" w:rsidRPr="005D4222" w:rsidRDefault="004242EA" w:rsidP="00A53E8C">
                  <w:pPr>
                    <w:pStyle w:val="TableText"/>
                    <w:rPr>
                      <w:rFonts w:eastAsia="Wingdings"/>
                    </w:rPr>
                  </w:pPr>
                  <w:r w:rsidRPr="005D4222">
                    <w:rPr>
                      <w:rFonts w:eastAsia="Wingdings"/>
                    </w:rPr>
                    <w:t>(Percent)</w:t>
                  </w:r>
                </w:p>
              </w:tc>
              <w:tc>
                <w:tcPr>
                  <w:tcW w:w="541" w:type="dxa"/>
                  <w:tcBorders>
                    <w:top w:val="single" w:sz="4" w:space="0" w:color="auto"/>
                    <w:left w:val="single" w:sz="4" w:space="0" w:color="auto"/>
                    <w:bottom w:val="single" w:sz="4" w:space="0" w:color="auto"/>
                    <w:right w:val="single" w:sz="4" w:space="0" w:color="auto"/>
                  </w:tcBorders>
                  <w:shd w:val="clear" w:color="auto" w:fill="D9D9D9"/>
                  <w:tcMar>
                    <w:left w:w="58" w:type="dxa"/>
                    <w:right w:w="58" w:type="dxa"/>
                  </w:tcMar>
                </w:tcPr>
                <w:p w14:paraId="37D83517" w14:textId="77777777" w:rsidR="004242EA" w:rsidRPr="005D4222" w:rsidRDefault="004242EA" w:rsidP="00A53E8C">
                  <w:pPr>
                    <w:spacing w:before="40" w:after="40" w:line="216" w:lineRule="auto"/>
                    <w:jc w:val="center"/>
                    <w:rPr>
                      <w:rFonts w:ascii="Arial Narrow" w:eastAsia="Wingdings" w:hAnsi="Arial Narrow" w:cs="Wingdings"/>
                    </w:rPr>
                  </w:pPr>
                  <w:r w:rsidRPr="005D4222">
                    <w:rPr>
                      <w:rFonts w:ascii="Wingdings" w:eastAsia="Wingdings" w:hAnsi="Wingdings" w:cs="Wingdings"/>
                      <w:szCs w:val="19"/>
                    </w:rPr>
                    <w:t>ü</w:t>
                  </w:r>
                </w:p>
              </w:tc>
            </w:tr>
          </w:tbl>
          <w:p w14:paraId="5F135E5C" w14:textId="77777777" w:rsidR="004242EA" w:rsidRPr="005D4222" w:rsidRDefault="004242EA" w:rsidP="00A53E8C">
            <w:pPr>
              <w:pStyle w:val="ECDSBody"/>
              <w:ind w:left="92" w:hanging="92"/>
            </w:pPr>
            <w:r w:rsidRPr="005D4222">
              <w:rPr>
                <w:rFonts w:eastAsia="Calibri"/>
                <w:b/>
                <w:bCs w:val="0"/>
              </w:rPr>
              <w:t>*</w:t>
            </w:r>
            <w:r w:rsidRPr="005D4222">
              <w:rPr>
                <w:rStyle w:val="TableTextChar"/>
                <w:rFonts w:eastAsia="Calibri"/>
              </w:rPr>
              <w:tab/>
            </w:r>
            <w:r w:rsidRPr="005D4222">
              <w:rPr>
                <w:rStyle w:val="TableTextChar"/>
              </w:rPr>
              <w:t>Repeat the InitialPopulation, Exclusions and Denominator values for metrics using the Administrative Method.</w:t>
            </w:r>
          </w:p>
        </w:tc>
      </w:tr>
      <w:tr w:rsidR="004242EA" w:rsidRPr="005D4222" w14:paraId="6FB8EF36" w14:textId="77777777" w:rsidTr="00A53E8C">
        <w:tc>
          <w:tcPr>
            <w:tcW w:w="2171"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E3A4DDE" w14:textId="77777777" w:rsidR="004242EA" w:rsidRPr="005D4222" w:rsidRDefault="004242EA" w:rsidP="00A53E8C">
            <w:pPr>
              <w:pStyle w:val="ECDSMarginHead"/>
            </w:pPr>
            <w:r w:rsidRPr="005D4222">
              <w:t>Rules for Allowable Adjustments</w:t>
            </w:r>
          </w:p>
        </w:tc>
        <w:tc>
          <w:tcPr>
            <w:tcW w:w="7546"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DCA414D" w14:textId="77777777" w:rsidR="004242EA" w:rsidRPr="005D4222" w:rsidRDefault="004242EA" w:rsidP="00A53E8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7337DFFE" w14:textId="77777777" w:rsidR="004242EA" w:rsidRPr="005D4222" w:rsidRDefault="004242EA" w:rsidP="00A53E8C">
            <w:pPr>
              <w:pStyle w:val="ECDSBody"/>
              <w:rPr>
                <w:b/>
              </w:rPr>
            </w:pPr>
            <w:r w:rsidRPr="005D4222">
              <w:rPr>
                <w:b/>
              </w:rPr>
              <w:t>Adjusted HEDIS measures may not be used for HEDIS health plan reporting.</w:t>
            </w:r>
          </w:p>
          <w:p w14:paraId="4198F5E1" w14:textId="77777777" w:rsidR="004242EA" w:rsidRPr="005D4222" w:rsidRDefault="004242EA" w:rsidP="00A53E8C">
            <w:pPr>
              <w:pStyle w:val="ECDSBody"/>
              <w:rPr>
                <w:b/>
                <w:bCs w:val="0"/>
              </w:rPr>
            </w:pPr>
            <w:r w:rsidRPr="005D4222">
              <w:rPr>
                <w:rStyle w:val="normaltextrun"/>
                <w:b/>
                <w:color w:val="000000"/>
                <w:szCs w:val="21"/>
              </w:rPr>
              <w:t>The Rules do not apply to the hybrid portion of the measure; only the administrative sections may be changed.</w:t>
            </w:r>
            <w:r w:rsidRPr="005D4222">
              <w:rPr>
                <w:b/>
              </w:rPr>
              <w:t xml:space="preserve"> </w:t>
            </w:r>
          </w:p>
          <w:p w14:paraId="241D9414" w14:textId="77777777" w:rsidR="004242EA" w:rsidRPr="005D4222" w:rsidRDefault="004242EA" w:rsidP="00A53E8C">
            <w:pPr>
              <w:pStyle w:val="Adjustments"/>
              <w:rPr>
                <w:b w:val="0"/>
              </w:rPr>
            </w:pPr>
            <w:r w:rsidRPr="005D4222">
              <w:t>Adjustments</w:t>
            </w:r>
            <w:r w:rsidRPr="005D4222">
              <w:rPr>
                <w:b w:val="0"/>
              </w:rPr>
              <w:t xml:space="preserve"> allowed</w:t>
            </w:r>
          </w:p>
          <w:p w14:paraId="1DC686DA" w14:textId="3434F08F" w:rsidR="004242EA" w:rsidRPr="005D4222" w:rsidRDefault="004242EA" w:rsidP="005D6173">
            <w:pPr>
              <w:pStyle w:val="ProcessBullet"/>
              <w:numPr>
                <w:ilvl w:val="0"/>
                <w:numId w:val="77"/>
              </w:numPr>
              <w:ind w:left="216" w:hanging="216"/>
              <w:rPr>
                <w:b/>
                <w:bCs/>
                <w:color w:val="000000" w:themeColor="text1"/>
              </w:rPr>
            </w:pPr>
            <w:r w:rsidRPr="005D4222">
              <w:rPr>
                <w:i/>
              </w:rPr>
              <w:t xml:space="preserve">Product lines. </w:t>
            </w:r>
            <w:r w:rsidRPr="005D4222">
              <w:t>Organizations are not required to use product line criteria; product lines may be combined</w:t>
            </w:r>
            <w:r w:rsidR="00E8671F" w:rsidRPr="005D4222">
              <w:t>,</w:t>
            </w:r>
            <w:r w:rsidRPr="005D4222">
              <w:t xml:space="preserve"> and all (or no) product line criteria may be used.</w:t>
            </w:r>
          </w:p>
          <w:p w14:paraId="64302CE3" w14:textId="77777777" w:rsidR="004242EA" w:rsidRPr="005D4222" w:rsidRDefault="004242EA" w:rsidP="005D6173">
            <w:pPr>
              <w:pStyle w:val="ProcessBullet"/>
              <w:numPr>
                <w:ilvl w:val="0"/>
                <w:numId w:val="77"/>
              </w:numPr>
              <w:ind w:left="216" w:hanging="216"/>
              <w:rPr>
                <w:color w:val="000000" w:themeColor="text1"/>
              </w:rPr>
            </w:pPr>
            <w:r w:rsidRPr="005D4222">
              <w:rPr>
                <w:i/>
                <w:iCs/>
                <w:color w:val="000000" w:themeColor="text1"/>
              </w:rPr>
              <w:t xml:space="preserve">Ages. </w:t>
            </w:r>
            <w:r w:rsidRPr="005D4222">
              <w:rPr>
                <w:color w:val="000000" w:themeColor="text1"/>
              </w:rPr>
              <w:t>There are no ages specified for this measure.</w:t>
            </w:r>
          </w:p>
          <w:p w14:paraId="2736FC8C" w14:textId="77777777" w:rsidR="004242EA" w:rsidRPr="005D4222" w:rsidRDefault="004242EA" w:rsidP="005D6173">
            <w:pPr>
              <w:pStyle w:val="ProcessBullet"/>
              <w:numPr>
                <w:ilvl w:val="0"/>
                <w:numId w:val="77"/>
              </w:numPr>
              <w:ind w:left="216" w:hanging="216"/>
              <w:rPr>
                <w:b/>
                <w:bCs/>
                <w:color w:val="000000" w:themeColor="text1"/>
              </w:rPr>
            </w:pPr>
            <w:r w:rsidRPr="005D4222">
              <w:rPr>
                <w:i/>
              </w:rPr>
              <w:t>Attribution.</w:t>
            </w:r>
            <w:r w:rsidRPr="005D4222">
              <w:t xml:space="preserve"> Organizations are not required to use enrollment criteria. </w:t>
            </w:r>
          </w:p>
          <w:p w14:paraId="038358E9" w14:textId="6208BE6A" w:rsidR="004242EA" w:rsidRPr="005D4222" w:rsidRDefault="00362E76" w:rsidP="005D6173">
            <w:pPr>
              <w:pStyle w:val="ProcessBullet"/>
              <w:numPr>
                <w:ilvl w:val="0"/>
                <w:numId w:val="77"/>
              </w:numPr>
              <w:spacing w:after="80"/>
              <w:ind w:left="216" w:hanging="216"/>
              <w:rPr>
                <w:b/>
                <w:bCs/>
                <w:color w:val="000000" w:themeColor="text1"/>
              </w:rPr>
            </w:pPr>
            <w:r w:rsidRPr="005D4222">
              <w:rPr>
                <w:i/>
              </w:rPr>
              <w:t>Benefits.</w:t>
            </w:r>
            <w:r w:rsidR="004242EA" w:rsidRPr="005D4222">
              <w:t xml:space="preserve"> Organizations are not required to use a benefit.</w:t>
            </w:r>
          </w:p>
          <w:p w14:paraId="60F69226" w14:textId="77777777" w:rsidR="004242EA" w:rsidRPr="005D4222" w:rsidRDefault="004242EA" w:rsidP="005D6173">
            <w:pPr>
              <w:pStyle w:val="ProcessBullet"/>
              <w:numPr>
                <w:ilvl w:val="0"/>
                <w:numId w:val="77"/>
              </w:numPr>
              <w:ind w:left="216" w:hanging="216"/>
              <w:rPr>
                <w:b/>
                <w:bCs/>
                <w:color w:val="000000" w:themeColor="text1"/>
              </w:rPr>
            </w:pPr>
            <w:r w:rsidRPr="005D4222">
              <w:rPr>
                <w:i/>
                <w:iCs/>
              </w:rPr>
              <w:t>Other.</w:t>
            </w:r>
            <w:r w:rsidRPr="005D4222">
              <w:t xml:space="preserve"> Organizations may use additional initial population criteria to focus on an area of interest defined by gender, race, ethnicity, socioeconomic or sociodemographic characteristics, geographic region or another characteristic.</w:t>
            </w:r>
          </w:p>
          <w:p w14:paraId="688FCD04" w14:textId="6EA38AD4" w:rsidR="00BD4531" w:rsidRPr="005D4222" w:rsidRDefault="004242EA" w:rsidP="005D6173">
            <w:pPr>
              <w:pStyle w:val="ProcessBullet"/>
              <w:numPr>
                <w:ilvl w:val="0"/>
                <w:numId w:val="77"/>
              </w:numPr>
              <w:spacing w:after="80"/>
              <w:ind w:left="216" w:hanging="216"/>
              <w:rPr>
                <w:b/>
                <w:bCs/>
              </w:rPr>
            </w:pPr>
            <w:r w:rsidRPr="005D4222">
              <w:rPr>
                <w:i/>
              </w:rPr>
              <w:t xml:space="preserve">Measurement </w:t>
            </w:r>
            <w:r w:rsidRPr="005D4222">
              <w:rPr>
                <w:i/>
                <w:iCs/>
              </w:rPr>
              <w:t>period a</w:t>
            </w:r>
            <w:r w:rsidRPr="005D4222">
              <w:rPr>
                <w:i/>
              </w:rPr>
              <w:t>djustments.</w:t>
            </w:r>
            <w:r w:rsidRPr="005D4222">
              <w:t xml:space="preserve"> Organizations may adjust the measurement period. </w:t>
            </w:r>
          </w:p>
        </w:tc>
      </w:tr>
    </w:tbl>
    <w:p w14:paraId="799DA93E" w14:textId="77777777" w:rsidR="00BD4531" w:rsidRPr="005D4222" w:rsidRDefault="00BD4531"/>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71"/>
        <w:gridCol w:w="7546"/>
      </w:tblGrid>
      <w:tr w:rsidR="00BD4531" w:rsidRPr="005D4222" w14:paraId="203C596A" w14:textId="77777777" w:rsidTr="00A53E8C">
        <w:tc>
          <w:tcPr>
            <w:tcW w:w="2171"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2DB938F" w14:textId="77777777" w:rsidR="00BD4531" w:rsidRPr="005D4222" w:rsidRDefault="00BD4531" w:rsidP="00A53E8C">
            <w:pPr>
              <w:pStyle w:val="ECDSMarginHead"/>
            </w:pPr>
          </w:p>
        </w:tc>
        <w:tc>
          <w:tcPr>
            <w:tcW w:w="7546"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A9F4216" w14:textId="77777777" w:rsidR="00BD4531" w:rsidRPr="005D4222" w:rsidRDefault="00BD4531" w:rsidP="005D6173">
            <w:pPr>
              <w:pStyle w:val="ProcessBullet"/>
              <w:numPr>
                <w:ilvl w:val="0"/>
                <w:numId w:val="77"/>
              </w:numPr>
              <w:ind w:left="216" w:hanging="216"/>
              <w:rPr>
                <w:color w:val="000000" w:themeColor="text1"/>
              </w:rPr>
            </w:pPr>
            <w:r w:rsidRPr="005D4222">
              <w:rPr>
                <w:i/>
                <w:iCs/>
                <w:color w:val="000000" w:themeColor="text1"/>
              </w:rPr>
              <w:t xml:space="preserve">Stratifications: </w:t>
            </w:r>
            <w:r w:rsidRPr="005D4222">
              <w:rPr>
                <w:color w:val="000000" w:themeColor="text1"/>
              </w:rPr>
              <w:t>Race and ethnicity stratification. The race and ethnicity stratification is not required. Organizations may adjust this stratification as needed.</w:t>
            </w:r>
          </w:p>
          <w:p w14:paraId="3AB6FEF0" w14:textId="77777777" w:rsidR="00BD4531" w:rsidRPr="005D4222" w:rsidRDefault="00BD4531" w:rsidP="005D6173">
            <w:pPr>
              <w:pStyle w:val="ProcessBullet"/>
              <w:numPr>
                <w:ilvl w:val="0"/>
                <w:numId w:val="77"/>
              </w:numPr>
              <w:spacing w:after="80"/>
              <w:ind w:left="216" w:hanging="216"/>
              <w:rPr>
                <w:b/>
                <w:bCs/>
                <w:color w:val="000000" w:themeColor="text1"/>
              </w:rPr>
            </w:pPr>
            <w:r w:rsidRPr="005D4222">
              <w:rPr>
                <w:i/>
              </w:rPr>
              <w:t>Exclusions.</w:t>
            </w:r>
            <w:r w:rsidRPr="005D4222">
              <w:t xml:space="preserve"> The hospice and deceased person exclusions are not required. </w:t>
            </w:r>
          </w:p>
          <w:p w14:paraId="195F18D4" w14:textId="2B95E61B" w:rsidR="00BD4531" w:rsidRPr="005D4222" w:rsidRDefault="00BD4531" w:rsidP="005D6173">
            <w:pPr>
              <w:pStyle w:val="ProcessBullet"/>
              <w:numPr>
                <w:ilvl w:val="0"/>
                <w:numId w:val="77"/>
              </w:numPr>
              <w:ind w:left="216" w:hanging="216"/>
              <w:rPr>
                <w:color w:val="000000" w:themeColor="text1"/>
              </w:rPr>
            </w:pPr>
            <w:r w:rsidRPr="005D4222">
              <w:rPr>
                <w:i/>
                <w:iCs/>
                <w:color w:val="000000" w:themeColor="text1"/>
              </w:rPr>
              <w:t>Telehealth.</w:t>
            </w:r>
            <w:r w:rsidRPr="005D4222">
              <w:rPr>
                <w:color w:val="000000" w:themeColor="text1"/>
              </w:rPr>
              <w:t xml:space="preserve"> Services/events that allow the use of synchronous telehealth visits, telephone visits and asynchronous telehealth (e-visits, virtual check-ins) may be stratified to identify services performed via telehealth. </w:t>
            </w:r>
            <w:r w:rsidRPr="005D4222">
              <w:t xml:space="preserve">This adjustment is not allowed for </w:t>
            </w:r>
            <w:r w:rsidR="00F45777" w:rsidRPr="005D4222">
              <w:t>events</w:t>
            </w:r>
            <w:r w:rsidRPr="005D4222">
              <w:t>, numerators and exclusions that do not allow the use of telehealth.</w:t>
            </w:r>
          </w:p>
          <w:p w14:paraId="7048361C" w14:textId="77777777" w:rsidR="00BD4531" w:rsidRPr="005D4222" w:rsidRDefault="00BD4531" w:rsidP="005D6173">
            <w:pPr>
              <w:pStyle w:val="ProcessBullet"/>
              <w:numPr>
                <w:ilvl w:val="0"/>
                <w:numId w:val="77"/>
              </w:numPr>
              <w:spacing w:after="80"/>
              <w:ind w:left="216" w:hanging="216"/>
              <w:rPr>
                <w:color w:val="000000" w:themeColor="text1"/>
              </w:rPr>
            </w:pPr>
            <w:r w:rsidRPr="005D4222">
              <w:rPr>
                <w:i/>
                <w:iCs/>
                <w:color w:val="000000" w:themeColor="text1"/>
              </w:rPr>
              <w:t>Supplemental data.</w:t>
            </w:r>
            <w:r w:rsidRPr="005D4222">
              <w:rPr>
                <w:color w:val="000000" w:themeColor="text1"/>
              </w:rPr>
              <w:t xml:space="preserve"> Supplemental data may be used to identify initial population, denominator, exclusion and numerator events.</w:t>
            </w:r>
          </w:p>
          <w:p w14:paraId="1D50B9C0" w14:textId="77777777" w:rsidR="00BD4531" w:rsidRPr="005D4222" w:rsidRDefault="00BD4531" w:rsidP="00BD4531">
            <w:pPr>
              <w:pStyle w:val="Adjustments"/>
              <w:rPr>
                <w:b w:val="0"/>
              </w:rPr>
            </w:pPr>
            <w:r w:rsidRPr="005D4222">
              <w:t>Adjustments</w:t>
            </w:r>
            <w:r w:rsidRPr="005D4222">
              <w:rPr>
                <w:b w:val="0"/>
              </w:rPr>
              <w:t xml:space="preserve"> allowed with limits</w:t>
            </w:r>
          </w:p>
          <w:p w14:paraId="3CF2ABAE" w14:textId="77777777" w:rsidR="00BD4531" w:rsidRPr="005D4222" w:rsidRDefault="00BD4531" w:rsidP="005D6173">
            <w:pPr>
              <w:pStyle w:val="ProcessBullet"/>
              <w:numPr>
                <w:ilvl w:val="0"/>
                <w:numId w:val="77"/>
              </w:numPr>
              <w:ind w:left="216" w:hanging="216"/>
            </w:pPr>
            <w:r w:rsidRPr="005D4222">
              <w:rPr>
                <w:i/>
              </w:rPr>
              <w:t>Initial population:</w:t>
            </w:r>
            <w:r w:rsidRPr="005D4222">
              <w:t xml:space="preserve"> Event. Organizations may not change the logic, but may change the delivery date and account for the impact on other date-dependent events. Organizations may assess at the person level (vs. discharge level) by applying measure logic appropriately (i.e., percentage of persons with deliveries). </w:t>
            </w:r>
            <w:r w:rsidRPr="005D4222">
              <w:rPr>
                <w:bCs/>
              </w:rPr>
              <w:t xml:space="preserve">Only events that contain (or map to) codes in the value sets may be used to identify visits. </w:t>
            </w:r>
            <w:r w:rsidRPr="005D4222">
              <w:t xml:space="preserve">The value sets and logic may not be changed. </w:t>
            </w:r>
          </w:p>
          <w:p w14:paraId="44B0FD24" w14:textId="77777777" w:rsidR="00BD4531" w:rsidRPr="005D4222" w:rsidRDefault="00BD4531" w:rsidP="00BD4531">
            <w:pPr>
              <w:pStyle w:val="ProcessBullet"/>
              <w:rPr>
                <w:sz w:val="20"/>
                <w:szCs w:val="20"/>
              </w:rPr>
            </w:pPr>
            <w:r w:rsidRPr="005D4222">
              <w:rPr>
                <w:i/>
                <w:iCs/>
              </w:rPr>
              <w:t xml:space="preserve">Numerator: </w:t>
            </w:r>
            <w:r w:rsidRPr="005D4222">
              <w:t xml:space="preserve">Timeliness of prenatal care. Organizations may remove the continuous enrollment criteria in steps 1 and 2 and assess for a prenatal care visit that occurs any time during the pregnancy. Value sets may not be changed. If the delivery-date range is changed, all numerator events must be measured in relation to the new range. </w:t>
            </w:r>
          </w:p>
          <w:p w14:paraId="54EC1A21" w14:textId="77777777" w:rsidR="00BD4531" w:rsidRPr="005D4222" w:rsidRDefault="00BD4531" w:rsidP="00BD4531">
            <w:pPr>
              <w:pStyle w:val="Note"/>
              <w:ind w:left="216"/>
            </w:pPr>
            <w:r w:rsidRPr="005D4222">
              <w:rPr>
                <w:b/>
              </w:rPr>
              <w:t>Note:</w:t>
            </w:r>
            <w:r w:rsidRPr="005D4222">
              <w:t xml:space="preserve"> Use caution when making adjustments to the timeliness of the prenatal visit. Assessing for visits outside of the first trimester should be used to assess gaps in care for the patient. </w:t>
            </w:r>
          </w:p>
          <w:p w14:paraId="00B34BD8" w14:textId="77777777" w:rsidR="00BD4531" w:rsidRPr="005D4222" w:rsidRDefault="00BD4531" w:rsidP="00BD4531">
            <w:pPr>
              <w:pStyle w:val="Adjustments"/>
              <w:rPr>
                <w:b w:val="0"/>
              </w:rPr>
            </w:pPr>
            <w:r w:rsidRPr="005D4222">
              <w:t>Adjustments</w:t>
            </w:r>
            <w:r w:rsidRPr="005D4222">
              <w:rPr>
                <w:b w:val="0"/>
              </w:rPr>
              <w:t xml:space="preserve"> not allowed</w:t>
            </w:r>
          </w:p>
          <w:p w14:paraId="0CB89517" w14:textId="181F08B4" w:rsidR="00BD4531" w:rsidRPr="005D4222" w:rsidRDefault="00BD4531" w:rsidP="005D6173">
            <w:pPr>
              <w:pStyle w:val="ProcessBullet"/>
              <w:numPr>
                <w:ilvl w:val="0"/>
                <w:numId w:val="77"/>
              </w:numPr>
              <w:spacing w:after="80"/>
              <w:ind w:left="216" w:hanging="216"/>
              <w:rPr>
                <w:b/>
                <w:bCs/>
              </w:rPr>
            </w:pPr>
            <w:r w:rsidRPr="005D4222">
              <w:rPr>
                <w:i/>
                <w:iCs/>
              </w:rPr>
              <w:t xml:space="preserve">Numerator: </w:t>
            </w:r>
            <w:r w:rsidRPr="005D4222">
              <w:t xml:space="preserve">Postpartum care. Value sets and logic may not be changed. If the delivery-date range is changed, all numerator events must be measured in relation to the new range. </w:t>
            </w:r>
          </w:p>
        </w:tc>
      </w:tr>
    </w:tbl>
    <w:p w14:paraId="27D1AA8C" w14:textId="77777777" w:rsidR="00BD4531" w:rsidRPr="005D4222" w:rsidRDefault="00BD4531" w:rsidP="005E4845">
      <w:pPr>
        <w:pStyle w:val="ECDSBody"/>
        <w:sectPr w:rsidR="00BD4531" w:rsidRPr="005D4222" w:rsidSect="0074514A">
          <w:headerReference w:type="default" r:id="rId167"/>
          <w:type w:val="nextColumn"/>
          <w:pgSz w:w="12240" w:h="15840" w:code="1"/>
          <w:pgMar w:top="1080" w:right="1080" w:bottom="1080" w:left="1440" w:header="720" w:footer="720" w:gutter="0"/>
          <w:cols w:space="720"/>
          <w:docGrid w:linePitch="360"/>
        </w:sectPr>
      </w:pPr>
    </w:p>
    <w:p w14:paraId="29522AF2" w14:textId="14D7A641" w:rsidR="005E4845" w:rsidRPr="005D4222" w:rsidRDefault="00331DB7" w:rsidP="00331DB7">
      <w:pPr>
        <w:pStyle w:val="MeasureTitle"/>
      </w:pPr>
      <w:bookmarkStart w:id="367" w:name="_Toc201813443"/>
      <w:r w:rsidRPr="005D4222">
        <w:lastRenderedPageBreak/>
        <w:t xml:space="preserve">Use of First-Line Psychosocial Care for Children and Adolescents </w:t>
      </w:r>
      <w:r w:rsidRPr="005D4222">
        <w:br/>
        <w:t>on Antipsychotics</w:t>
      </w:r>
      <w:r w:rsidR="0096709F" w:rsidRPr="005D4222">
        <w:t xml:space="preserve"> (APP)</w:t>
      </w:r>
      <w:bookmarkEnd w:id="367"/>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4926"/>
        <w:gridCol w:w="1610"/>
        <w:gridCol w:w="1021"/>
      </w:tblGrid>
      <w:tr w:rsidR="00834A27" w:rsidRPr="005D4222" w14:paraId="1646A9AD" w14:textId="77777777" w:rsidTr="00A53E8C">
        <w:tc>
          <w:tcPr>
            <w:tcW w:w="2157" w:type="dxa"/>
            <w:shd w:val="clear" w:color="auto" w:fill="BFBFBF" w:themeFill="background1" w:themeFillShade="BF"/>
            <w:tcMar>
              <w:top w:w="0" w:type="dxa"/>
              <w:left w:w="86" w:type="dxa"/>
              <w:bottom w:w="43" w:type="dxa"/>
              <w:right w:w="86" w:type="dxa"/>
            </w:tcMar>
            <w:hideMark/>
          </w:tcPr>
          <w:p w14:paraId="73221C9A" w14:textId="77777777" w:rsidR="00834A27" w:rsidRPr="005D4222" w:rsidRDefault="00834A27" w:rsidP="00A53E8C">
            <w:pPr>
              <w:pStyle w:val="ECDSMarginHead"/>
            </w:pPr>
            <w:r w:rsidRPr="005D4222">
              <w:t>Measure title</w:t>
            </w:r>
          </w:p>
        </w:tc>
        <w:tc>
          <w:tcPr>
            <w:tcW w:w="4926" w:type="dxa"/>
            <w:tcMar>
              <w:top w:w="0" w:type="dxa"/>
              <w:left w:w="86" w:type="dxa"/>
              <w:bottom w:w="43" w:type="dxa"/>
              <w:right w:w="86" w:type="dxa"/>
            </w:tcMar>
          </w:tcPr>
          <w:p w14:paraId="7EB031FC" w14:textId="77777777" w:rsidR="00834A27" w:rsidRPr="005D4222" w:rsidRDefault="00834A27" w:rsidP="00A53E8C">
            <w:pPr>
              <w:pStyle w:val="ECDSBody"/>
            </w:pPr>
            <w:r w:rsidRPr="005D4222">
              <w:t>Use of First-Line Psychosocial Care for Children and Adolescents on Antipsychotics</w:t>
            </w:r>
            <w:r w:rsidRPr="005D4222">
              <w:rPr>
                <w:b/>
              </w:rPr>
              <w:t>*</w:t>
            </w:r>
          </w:p>
        </w:tc>
        <w:tc>
          <w:tcPr>
            <w:tcW w:w="1610" w:type="dxa"/>
            <w:shd w:val="clear" w:color="auto" w:fill="BFBFBF" w:themeFill="background1" w:themeFillShade="BF"/>
            <w:tcMar>
              <w:top w:w="0" w:type="dxa"/>
              <w:left w:w="86" w:type="dxa"/>
              <w:bottom w:w="43" w:type="dxa"/>
              <w:right w:w="86" w:type="dxa"/>
            </w:tcMar>
          </w:tcPr>
          <w:p w14:paraId="487A7C12" w14:textId="77777777" w:rsidR="00834A27" w:rsidRPr="005D4222" w:rsidRDefault="00834A27" w:rsidP="00A53E8C">
            <w:pPr>
              <w:pStyle w:val="ECDSMarginHead"/>
            </w:pPr>
            <w:r w:rsidRPr="005D4222">
              <w:t>Measure ID</w:t>
            </w:r>
          </w:p>
        </w:tc>
        <w:tc>
          <w:tcPr>
            <w:tcW w:w="1021" w:type="dxa"/>
            <w:tcMar>
              <w:top w:w="0" w:type="dxa"/>
              <w:left w:w="86" w:type="dxa"/>
              <w:bottom w:w="43" w:type="dxa"/>
              <w:right w:w="86" w:type="dxa"/>
            </w:tcMar>
          </w:tcPr>
          <w:p w14:paraId="1DF68B31" w14:textId="77777777" w:rsidR="00834A27" w:rsidRPr="005D4222" w:rsidRDefault="00834A27" w:rsidP="00A53E8C">
            <w:pPr>
              <w:pStyle w:val="ECDSBody"/>
            </w:pPr>
            <w:r w:rsidRPr="005D4222">
              <w:t>APP</w:t>
            </w:r>
          </w:p>
        </w:tc>
      </w:tr>
      <w:tr w:rsidR="00834A27" w:rsidRPr="005D4222" w14:paraId="1401ABF3" w14:textId="77777777" w:rsidTr="00A53E8C">
        <w:tc>
          <w:tcPr>
            <w:tcW w:w="2157" w:type="dxa"/>
            <w:shd w:val="clear" w:color="auto" w:fill="BFBFBF" w:themeFill="background1" w:themeFillShade="BF"/>
            <w:tcMar>
              <w:top w:w="0" w:type="dxa"/>
              <w:left w:w="86" w:type="dxa"/>
              <w:bottom w:w="43" w:type="dxa"/>
              <w:right w:w="86" w:type="dxa"/>
            </w:tcMar>
            <w:hideMark/>
          </w:tcPr>
          <w:p w14:paraId="2FE80147" w14:textId="77777777" w:rsidR="00834A27" w:rsidRPr="005D4222" w:rsidRDefault="00834A27" w:rsidP="00A53E8C">
            <w:pPr>
              <w:pStyle w:val="ECDSMarginHead"/>
            </w:pPr>
            <w:r w:rsidRPr="005D4222">
              <w:t>Description</w:t>
            </w:r>
          </w:p>
        </w:tc>
        <w:tc>
          <w:tcPr>
            <w:tcW w:w="7557" w:type="dxa"/>
            <w:gridSpan w:val="3"/>
            <w:tcMar>
              <w:top w:w="0" w:type="dxa"/>
              <w:left w:w="86" w:type="dxa"/>
              <w:bottom w:w="43" w:type="dxa"/>
              <w:right w:w="86" w:type="dxa"/>
            </w:tcMar>
          </w:tcPr>
          <w:p w14:paraId="7285D9CE" w14:textId="77777777" w:rsidR="00834A27" w:rsidRPr="005D4222" w:rsidRDefault="00834A27" w:rsidP="00A53E8C">
            <w:pPr>
              <w:pStyle w:val="ECDSBody"/>
            </w:pPr>
            <w:r w:rsidRPr="005D4222">
              <w:t>The percentage of persons 1–17 years of age who had a new prescription for an antipsychotic medication and had documentation of psychosocial care as first-line treatment.</w:t>
            </w:r>
          </w:p>
        </w:tc>
      </w:tr>
      <w:tr w:rsidR="00834A27" w:rsidRPr="005D4222" w14:paraId="753023C9" w14:textId="77777777" w:rsidTr="00A53E8C">
        <w:tc>
          <w:tcPr>
            <w:tcW w:w="2157" w:type="dxa"/>
            <w:shd w:val="clear" w:color="auto" w:fill="BFBFBF" w:themeFill="background1" w:themeFillShade="BF"/>
            <w:tcMar>
              <w:top w:w="0" w:type="dxa"/>
              <w:left w:w="86" w:type="dxa"/>
              <w:bottom w:w="43" w:type="dxa"/>
              <w:right w:w="86" w:type="dxa"/>
            </w:tcMar>
          </w:tcPr>
          <w:p w14:paraId="1F2E4359" w14:textId="77777777" w:rsidR="00834A27" w:rsidRPr="005D4222" w:rsidRDefault="00834A27" w:rsidP="00A53E8C">
            <w:pPr>
              <w:pStyle w:val="ECDSMarginHead"/>
            </w:pPr>
            <w:r w:rsidRPr="005D4222">
              <w:t>Measurement period</w:t>
            </w:r>
          </w:p>
        </w:tc>
        <w:tc>
          <w:tcPr>
            <w:tcW w:w="7557" w:type="dxa"/>
            <w:gridSpan w:val="3"/>
            <w:tcMar>
              <w:top w:w="0" w:type="dxa"/>
              <w:left w:w="86" w:type="dxa"/>
              <w:bottom w:w="43" w:type="dxa"/>
              <w:right w:w="86" w:type="dxa"/>
            </w:tcMar>
          </w:tcPr>
          <w:p w14:paraId="4CDA7E67" w14:textId="77777777" w:rsidR="00834A27" w:rsidRPr="005D4222" w:rsidRDefault="00834A27" w:rsidP="00A53E8C">
            <w:pPr>
              <w:pStyle w:val="ECDSBody"/>
            </w:pPr>
            <w:r w:rsidRPr="005D4222">
              <w:t>January 1–December 31.</w:t>
            </w:r>
          </w:p>
        </w:tc>
      </w:tr>
      <w:tr w:rsidR="00834A27" w:rsidRPr="005D4222" w14:paraId="6B69D003" w14:textId="77777777" w:rsidTr="00A53E8C">
        <w:tc>
          <w:tcPr>
            <w:tcW w:w="2157" w:type="dxa"/>
            <w:shd w:val="clear" w:color="auto" w:fill="BFBFBF" w:themeFill="background1" w:themeFillShade="BF"/>
            <w:tcMar>
              <w:top w:w="0" w:type="dxa"/>
              <w:left w:w="86" w:type="dxa"/>
              <w:bottom w:w="43" w:type="dxa"/>
              <w:right w:w="86" w:type="dxa"/>
            </w:tcMar>
            <w:hideMark/>
          </w:tcPr>
          <w:p w14:paraId="52D9C536" w14:textId="77777777" w:rsidR="00834A27" w:rsidRPr="005D4222" w:rsidRDefault="00834A27" w:rsidP="00A53E8C">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076F97BD" w14:textId="77777777" w:rsidR="00834A27" w:rsidRPr="005D4222" w:rsidRDefault="00834A27" w:rsidP="00A53E8C">
            <w:pPr>
              <w:pStyle w:val="ECDSBody"/>
              <w:ind w:left="86" w:hanging="86"/>
              <w:rPr>
                <w:i/>
                <w:iCs/>
                <w:szCs w:val="21"/>
              </w:rPr>
            </w:pPr>
            <w:r w:rsidRPr="005D4222">
              <w:rPr>
                <w:bCs w:val="0"/>
                <w:i/>
                <w:iCs/>
                <w:szCs w:val="21"/>
              </w:rPr>
              <w:t>*</w:t>
            </w:r>
            <w:r w:rsidRPr="005D4222">
              <w:rPr>
                <w:i/>
                <w:iCs/>
                <w:szCs w:val="21"/>
              </w:rPr>
              <w:tab/>
              <w:t>Developed with financial support from the Agency for Healthcare Research and Quality (AHRQ) and CMS under the CHIPRA Pediatric Quality Measures Program Centers of Excellence grant number U18HS020503, from a measure developed by MedNet Medical Solutions.</w:t>
            </w:r>
          </w:p>
          <w:p w14:paraId="5F1CEF72" w14:textId="77777777" w:rsidR="00834A27" w:rsidRPr="005D4222" w:rsidRDefault="00834A27" w:rsidP="00A53E8C">
            <w:pPr>
              <w:pStyle w:val="ECDSBody"/>
            </w:pPr>
            <w:r w:rsidRPr="005D4222">
              <w:t xml:space="preserve">Refer to the complete copyright and disclaimer information at the front of this publication. </w:t>
            </w:r>
          </w:p>
          <w:p w14:paraId="741AD4AF" w14:textId="77777777" w:rsidR="00834A27" w:rsidRPr="005D4222" w:rsidRDefault="00834A27" w:rsidP="00A53E8C">
            <w:pPr>
              <w:pStyle w:val="ECDSBody"/>
              <w:spacing w:before="80"/>
            </w:pPr>
            <w:r w:rsidRPr="005D4222">
              <w:t xml:space="preserve">NCQA website: </w:t>
            </w:r>
            <w:r w:rsidRPr="005D4222">
              <w:rPr>
                <w:u w:val="single"/>
              </w:rPr>
              <w:t>www.ncqa.org</w:t>
            </w:r>
            <w:r w:rsidRPr="005D4222">
              <w:t>.</w:t>
            </w:r>
          </w:p>
          <w:p w14:paraId="445E2979" w14:textId="77777777" w:rsidR="00834A27" w:rsidRPr="005D4222" w:rsidRDefault="00834A27" w:rsidP="00A53E8C">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834A27" w:rsidRPr="005D4222" w14:paraId="1A874A60" w14:textId="77777777" w:rsidTr="00A53E8C">
        <w:trPr>
          <w:trHeight w:val="655"/>
        </w:trPr>
        <w:tc>
          <w:tcPr>
            <w:tcW w:w="2157" w:type="dxa"/>
            <w:shd w:val="clear" w:color="auto" w:fill="BFBFBF" w:themeFill="background1" w:themeFillShade="BF"/>
            <w:tcMar>
              <w:top w:w="0" w:type="dxa"/>
              <w:left w:w="86" w:type="dxa"/>
              <w:bottom w:w="43" w:type="dxa"/>
              <w:right w:w="86" w:type="dxa"/>
            </w:tcMar>
            <w:hideMark/>
          </w:tcPr>
          <w:p w14:paraId="555DE0C0" w14:textId="77777777" w:rsidR="00834A27" w:rsidRPr="005D4222" w:rsidRDefault="00834A27" w:rsidP="00A53E8C">
            <w:pPr>
              <w:pStyle w:val="ECDSMarginHead"/>
            </w:pPr>
            <w:r w:rsidRPr="005D4222">
              <w:t>Clinical recommendation statement/ rationale</w:t>
            </w:r>
          </w:p>
        </w:tc>
        <w:tc>
          <w:tcPr>
            <w:tcW w:w="7557" w:type="dxa"/>
            <w:gridSpan w:val="3"/>
            <w:tcMar>
              <w:top w:w="0" w:type="dxa"/>
              <w:left w:w="86" w:type="dxa"/>
              <w:bottom w:w="43" w:type="dxa"/>
              <w:right w:w="86" w:type="dxa"/>
            </w:tcMar>
          </w:tcPr>
          <w:p w14:paraId="0D8401B1" w14:textId="77777777" w:rsidR="00834A27" w:rsidRPr="005D4222" w:rsidRDefault="00834A27" w:rsidP="00A53E8C">
            <w:pPr>
              <w:pStyle w:val="ECDSBody"/>
              <w:rPr>
                <w:szCs w:val="21"/>
              </w:rPr>
            </w:pPr>
            <w:r w:rsidRPr="005D4222">
              <w:rPr>
                <w:szCs w:val="21"/>
              </w:rPr>
              <w:t>Antipsychotic medications are associated with a number of potential adverse impacts, including weight gain and diabetes, which can have serious implications for future health outcomes. Children without primary indication for an antipsychotic, and who are not given the benefit of a trial of psychosocial treatment first, may unnecessarily incur the risks associated with antipsychotic medications. To the extent that psychosocial interventions are associated with better outcomes, underuse of these therapies may lead to poorer mental and physical health outcomes.</w:t>
            </w:r>
          </w:p>
          <w:p w14:paraId="1C4191E9" w14:textId="77777777" w:rsidR="00834A27" w:rsidRPr="005D4222" w:rsidRDefault="00834A27" w:rsidP="00A53E8C">
            <w:pPr>
              <w:pStyle w:val="ECDSBody"/>
              <w:rPr>
                <w:szCs w:val="21"/>
              </w:rPr>
            </w:pPr>
            <w:r w:rsidRPr="005D4222">
              <w:rPr>
                <w:szCs w:val="21"/>
              </w:rPr>
              <w:t>Guidelines recommend that psychosocial treatments be provided prior to initiating an antipsychotic. Treatment guidelines for management of aggression and disruptive behavior disorders all endorse psychosocial interventions as first-line treatment.</w:t>
            </w:r>
          </w:p>
        </w:tc>
      </w:tr>
      <w:tr w:rsidR="00834A27" w:rsidRPr="005D4222" w14:paraId="1C5E0CBB" w14:textId="77777777" w:rsidTr="00A53E8C">
        <w:tc>
          <w:tcPr>
            <w:tcW w:w="2157" w:type="dxa"/>
            <w:shd w:val="clear" w:color="auto" w:fill="BFBFBF" w:themeFill="background1" w:themeFillShade="BF"/>
            <w:tcMar>
              <w:top w:w="0" w:type="dxa"/>
              <w:left w:w="86" w:type="dxa"/>
              <w:bottom w:w="43" w:type="dxa"/>
              <w:right w:w="86" w:type="dxa"/>
            </w:tcMar>
          </w:tcPr>
          <w:p w14:paraId="533CF73A" w14:textId="77777777" w:rsidR="00834A27" w:rsidRPr="005D4222" w:rsidRDefault="00834A27" w:rsidP="00A53E8C">
            <w:pPr>
              <w:pStyle w:val="MarginHead"/>
            </w:pPr>
            <w:r w:rsidRPr="005D4222">
              <w:t>Citations</w:t>
            </w:r>
          </w:p>
        </w:tc>
        <w:tc>
          <w:tcPr>
            <w:tcW w:w="7557" w:type="dxa"/>
            <w:gridSpan w:val="3"/>
            <w:tcMar>
              <w:top w:w="0" w:type="dxa"/>
              <w:left w:w="86" w:type="dxa"/>
              <w:bottom w:w="43" w:type="dxa"/>
              <w:right w:w="86" w:type="dxa"/>
            </w:tcMar>
          </w:tcPr>
          <w:p w14:paraId="64E5484E" w14:textId="77777777" w:rsidR="00834A27" w:rsidRPr="005D4222" w:rsidRDefault="00834A27" w:rsidP="00A53E8C">
            <w:pPr>
              <w:pStyle w:val="ECDSBody"/>
            </w:pPr>
            <w:r w:rsidRPr="005D4222">
              <w:t xml:space="preserve">Bobo, W.V., W.O. Cooper, C.M. Stein, et al. October 1, 2013. “Antipsychotics and the Risk of Type 2 Diabetes Mellitus in Children and Youth.” </w:t>
            </w:r>
            <w:r w:rsidRPr="005D4222">
              <w:rPr>
                <w:i/>
                <w:iCs/>
              </w:rPr>
              <w:t xml:space="preserve">JAMA Psychiatry </w:t>
            </w:r>
            <w:r w:rsidRPr="005D4222">
              <w:t>70(10):1067–75.</w:t>
            </w:r>
          </w:p>
          <w:p w14:paraId="4B13C92D" w14:textId="77777777" w:rsidR="00834A27" w:rsidRPr="005D4222" w:rsidRDefault="00834A27" w:rsidP="00A53E8C">
            <w:pPr>
              <w:pStyle w:val="ECDSBody"/>
            </w:pPr>
            <w:r w:rsidRPr="005D4222">
              <w:t xml:space="preserve">Correll, C.U. 2008. “Antipsychotic Use in Children and Adolescents: Minimizing Adverse Effects to Maximize Outcomes.” </w:t>
            </w:r>
            <w:r w:rsidRPr="005D4222">
              <w:rPr>
                <w:i/>
                <w:iCs/>
              </w:rPr>
              <w:t>FOCUS: The Journal of Lifelong Learning in Psychiatry</w:t>
            </w:r>
            <w:r w:rsidRPr="005D4222">
              <w:t xml:space="preserve"> 6(3):368–78.</w:t>
            </w:r>
          </w:p>
          <w:p w14:paraId="5119B251" w14:textId="77777777" w:rsidR="00834A27" w:rsidRPr="005D4222" w:rsidRDefault="00834A27" w:rsidP="00A53E8C">
            <w:pPr>
              <w:pStyle w:val="ECDSBody"/>
            </w:pPr>
            <w:r w:rsidRPr="005D4222">
              <w:t xml:space="preserve">Substance Abuse and Mental Health Services Administration. May 3, 2007. </w:t>
            </w:r>
            <w:r w:rsidRPr="005D4222">
              <w:rPr>
                <w:i/>
                <w:iCs/>
              </w:rPr>
              <w:t xml:space="preserve">The NSDUH Report: Depression and the Initiation of Alcohol and Other Drug Use Among Youths Aged 12 to 17. </w:t>
            </w:r>
            <w:r w:rsidRPr="005D4222">
              <w:t>Rockville, MD.</w:t>
            </w:r>
          </w:p>
          <w:p w14:paraId="61DAA7A3" w14:textId="77777777" w:rsidR="00834A27" w:rsidRPr="005D4222" w:rsidRDefault="00834A27" w:rsidP="00A53E8C">
            <w:pPr>
              <w:pStyle w:val="ECDSBody"/>
            </w:pPr>
            <w:r w:rsidRPr="005D4222">
              <w:t xml:space="preserve">Eyberg, S.M., M.M. Nelson, S.R. Boggs. January 2008. “Evidence-Based Psychosocial Treatments for Children and Adolescents with Disruptive Behavior.” </w:t>
            </w:r>
            <w:r w:rsidRPr="005D4222">
              <w:rPr>
                <w:i/>
                <w:iCs/>
              </w:rPr>
              <w:t>Journal of Clinical Child and Adolescent Psychology</w:t>
            </w:r>
            <w:r w:rsidRPr="005D4222">
              <w:t xml:space="preserve"> 37(1):215–37.</w:t>
            </w:r>
          </w:p>
        </w:tc>
      </w:tr>
      <w:tr w:rsidR="00834A27" w:rsidRPr="005D4222" w14:paraId="65D60D7D" w14:textId="77777777" w:rsidTr="00A53E8C">
        <w:tc>
          <w:tcPr>
            <w:tcW w:w="9714"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08C76E10" w14:textId="77777777" w:rsidR="00834A27" w:rsidRPr="005D4222" w:rsidRDefault="00834A27" w:rsidP="00A53E8C">
            <w:pPr>
              <w:pStyle w:val="ECDSMarginHead"/>
            </w:pPr>
            <w:r w:rsidRPr="005D4222">
              <w:lastRenderedPageBreak/>
              <w:t>Characteristics</w:t>
            </w:r>
          </w:p>
        </w:tc>
      </w:tr>
      <w:tr w:rsidR="00834A27" w:rsidRPr="005D4222" w14:paraId="5223D32E" w14:textId="77777777" w:rsidTr="00A53E8C">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5FD05EA8" w14:textId="77777777" w:rsidR="00834A27" w:rsidRPr="005D4222" w:rsidRDefault="00834A27" w:rsidP="00834A27">
            <w:pPr>
              <w:pStyle w:val="ECDSMarginSubhead"/>
              <w:spacing w:after="0"/>
            </w:pPr>
            <w:r w:rsidRPr="005D4222">
              <w:t>Scoring</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57CC4299" w14:textId="77777777" w:rsidR="00834A27" w:rsidRPr="005D4222" w:rsidRDefault="00834A27" w:rsidP="00834A27">
            <w:pPr>
              <w:pStyle w:val="ECDSBody"/>
              <w:spacing w:after="0"/>
            </w:pPr>
            <w:r w:rsidRPr="005D4222">
              <w:t>Proportion.</w:t>
            </w:r>
          </w:p>
        </w:tc>
      </w:tr>
      <w:tr w:rsidR="00834A27" w:rsidRPr="005D4222" w14:paraId="69A6A2C3"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43695F42" w14:textId="77777777" w:rsidR="00834A27" w:rsidRPr="005D4222" w:rsidRDefault="00834A27" w:rsidP="00834A27">
            <w:pPr>
              <w:pStyle w:val="ECDSMarginSubhead"/>
              <w:spacing w:after="0"/>
            </w:pPr>
            <w:r w:rsidRPr="005D4222">
              <w:t>Type</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3C782EC2" w14:textId="77777777" w:rsidR="00834A27" w:rsidRPr="005D4222" w:rsidRDefault="00834A27" w:rsidP="00834A27">
            <w:pPr>
              <w:pStyle w:val="ECDSBody"/>
              <w:spacing w:after="0"/>
            </w:pPr>
            <w:r w:rsidRPr="005D4222">
              <w:t>Process.</w:t>
            </w:r>
          </w:p>
        </w:tc>
      </w:tr>
      <w:tr w:rsidR="00834A27" w:rsidRPr="005D4222" w14:paraId="1F12760B"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38BF0E53" w14:textId="3ACBD798" w:rsidR="00834A27" w:rsidRPr="005D4222" w:rsidRDefault="00B51CDC" w:rsidP="00834A27">
            <w:pPr>
              <w:pStyle w:val="ECDSMarginSubhead"/>
              <w:spacing w:after="0"/>
            </w:pPr>
            <w:r w:rsidRPr="005D4222">
              <w:t>Product lines</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149546D2" w14:textId="77777777" w:rsidR="00834A27" w:rsidRPr="005D4222" w:rsidRDefault="00834A27" w:rsidP="005D6173">
            <w:pPr>
              <w:pStyle w:val="ProcessBullet"/>
              <w:numPr>
                <w:ilvl w:val="0"/>
                <w:numId w:val="98"/>
              </w:numPr>
              <w:ind w:left="216" w:hanging="216"/>
            </w:pPr>
            <w:r w:rsidRPr="005D4222">
              <w:t>Commercial.</w:t>
            </w:r>
          </w:p>
          <w:p w14:paraId="3DCA9066" w14:textId="77777777" w:rsidR="00834A27" w:rsidRPr="005D4222" w:rsidRDefault="00834A27" w:rsidP="005D6173">
            <w:pPr>
              <w:pStyle w:val="ProcessBullet"/>
              <w:numPr>
                <w:ilvl w:val="0"/>
                <w:numId w:val="98"/>
              </w:numPr>
              <w:ind w:left="216" w:hanging="216"/>
            </w:pPr>
            <w:r w:rsidRPr="005D4222">
              <w:t>Medicaid.</w:t>
            </w:r>
          </w:p>
        </w:tc>
      </w:tr>
      <w:tr w:rsidR="00834A27" w:rsidRPr="005D4222" w14:paraId="4B3D7914"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2247476F" w14:textId="01D7A2E9" w:rsidR="00834A27" w:rsidRPr="005D4222" w:rsidRDefault="00B51CDC" w:rsidP="00834A27">
            <w:pPr>
              <w:pStyle w:val="ECDSMarginSubhead"/>
              <w:spacing w:after="0"/>
            </w:pPr>
            <w:r w:rsidRPr="005D4222">
              <w:t>Stratifications</w:t>
            </w:r>
            <w:r w:rsidR="00834A27" w:rsidRPr="005D4222">
              <w:t xml:space="preserve"> </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238C3316" w14:textId="77777777" w:rsidR="00834A27" w:rsidRPr="005D4222" w:rsidRDefault="00834A27" w:rsidP="00834A27">
            <w:pPr>
              <w:pStyle w:val="ECDSBody"/>
              <w:spacing w:after="0"/>
              <w:rPr>
                <w:rFonts w:eastAsia="Arial,Arial,Arial,Arial,Arial,A"/>
              </w:rPr>
            </w:pPr>
            <w:r w:rsidRPr="005D4222">
              <w:rPr>
                <w:rFonts w:eastAsia="Arial,Arial,Arial,Arial,Arial,A"/>
              </w:rPr>
              <w:t>Age as of the last day of the measurement period.</w:t>
            </w:r>
          </w:p>
          <w:p w14:paraId="54908A97" w14:textId="77777777" w:rsidR="00834A27" w:rsidRPr="005D4222" w:rsidRDefault="00834A27" w:rsidP="00834A27">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1–11 years.</w:t>
            </w:r>
          </w:p>
          <w:p w14:paraId="48219427" w14:textId="77777777" w:rsidR="00834A27" w:rsidRPr="005D4222" w:rsidRDefault="00834A27" w:rsidP="00834A27">
            <w:pPr>
              <w:pStyle w:val="Bullet"/>
              <w:numPr>
                <w:ilvl w:val="0"/>
                <w:numId w:val="4"/>
              </w:numPr>
              <w:tabs>
                <w:tab w:val="left" w:pos="360"/>
                <w:tab w:val="left" w:pos="576"/>
              </w:tabs>
              <w:ind w:left="576" w:hanging="216"/>
              <w:rPr>
                <w:rFonts w:cs="Arial"/>
              </w:rPr>
            </w:pPr>
            <w:r w:rsidRPr="005D4222">
              <w:rPr>
                <w:rFonts w:eastAsia="Arial,Arial,Arial,Arial,Arial,A"/>
              </w:rPr>
              <w:t>12–17 years.</w:t>
            </w:r>
          </w:p>
        </w:tc>
      </w:tr>
      <w:tr w:rsidR="00834A27" w:rsidRPr="005D4222" w14:paraId="3570F1F4"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105AD719" w14:textId="77777777" w:rsidR="00834A27" w:rsidRPr="005D4222" w:rsidRDefault="00834A27" w:rsidP="00834A27">
            <w:pPr>
              <w:pStyle w:val="ECDSMarginSubhead"/>
              <w:spacing w:after="0"/>
            </w:pPr>
            <w:r w:rsidRPr="005D4222">
              <w:t>Risk adjustment</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07FAA3F7" w14:textId="77777777" w:rsidR="00834A27" w:rsidRPr="005D4222" w:rsidRDefault="00834A27" w:rsidP="00834A27">
            <w:pPr>
              <w:pStyle w:val="ECDSBody"/>
              <w:spacing w:after="0"/>
            </w:pPr>
            <w:r w:rsidRPr="005D4222">
              <w:t>None.</w:t>
            </w:r>
          </w:p>
        </w:tc>
      </w:tr>
      <w:tr w:rsidR="00834A27" w:rsidRPr="005D4222" w14:paraId="1211F4C7"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48FEF276" w14:textId="77777777" w:rsidR="00834A27" w:rsidRPr="005D4222" w:rsidRDefault="00834A27" w:rsidP="00834A27">
            <w:pPr>
              <w:pStyle w:val="ECDSMarginSubhead"/>
              <w:spacing w:after="0"/>
            </w:pPr>
            <w:r w:rsidRPr="005D4222">
              <w:t>Improvement notation</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77A86404" w14:textId="77777777" w:rsidR="00834A27" w:rsidRPr="005D4222" w:rsidRDefault="00834A27" w:rsidP="00834A27">
            <w:pPr>
              <w:pStyle w:val="ECDSBody"/>
              <w:spacing w:after="0"/>
              <w:rPr>
                <w:iCs/>
              </w:rPr>
            </w:pPr>
            <w:r w:rsidRPr="005D4222">
              <w:rPr>
                <w:iCs/>
              </w:rPr>
              <w:t>Increased score indicates improvement.</w:t>
            </w:r>
          </w:p>
        </w:tc>
      </w:tr>
      <w:tr w:rsidR="00834A27" w:rsidRPr="005D4222" w14:paraId="5DE0DC62" w14:textId="77777777" w:rsidTr="00A53E8C">
        <w:trPr>
          <w:trHeight w:val="633"/>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55E82B91" w14:textId="77777777" w:rsidR="00834A27" w:rsidRPr="005D4222" w:rsidRDefault="00834A27" w:rsidP="00A53E8C">
            <w:pPr>
              <w:pStyle w:val="ECDSMarginSubhead"/>
            </w:pPr>
            <w:r w:rsidRPr="005D4222">
              <w:t>Guidance</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46DC3922" w14:textId="30EC2BA8" w:rsidR="00834A27" w:rsidRPr="005D4222" w:rsidRDefault="00834A27" w:rsidP="00A53E8C">
            <w:pPr>
              <w:pStyle w:val="ECDSBody"/>
              <w:rPr>
                <w:rStyle w:val="eop"/>
                <w:rFonts w:eastAsiaTheme="majorEastAsia"/>
                <w:color w:val="000000"/>
                <w:shd w:val="clear" w:color="auto" w:fill="FFFFFF"/>
              </w:rPr>
            </w:pPr>
            <w:r w:rsidRPr="005D4222">
              <w:rPr>
                <w:rStyle w:val="normaltextrun"/>
                <w:b/>
                <w:color w:val="000000"/>
                <w:shd w:val="clear" w:color="auto" w:fill="FFFFFF"/>
              </w:rPr>
              <w:t>Data collection methodology</w:t>
            </w:r>
            <w:r w:rsidRPr="005D4222">
              <w:rPr>
                <w:rStyle w:val="normaltextrun"/>
                <w:b/>
                <w:bCs w:val="0"/>
                <w:color w:val="000000"/>
                <w:shd w:val="clear" w:color="auto" w:fill="FFFFFF"/>
              </w:rPr>
              <w:t>:</w:t>
            </w:r>
            <w:r w:rsidRPr="005D4222">
              <w:rPr>
                <w:rStyle w:val="normaltextrun"/>
                <w:color w:val="000000"/>
                <w:shd w:val="clear" w:color="auto" w:fill="FFFFFF"/>
              </w:rPr>
              <w:t xml:space="preserve"> Administrative. Refer to </w:t>
            </w:r>
            <w:hyperlink w:anchor="General_Guideline_Data_Collection_Method" w:history="1">
              <w:r w:rsidRPr="005D4222">
                <w:rPr>
                  <w:rStyle w:val="Hyperlink"/>
                  <w:i/>
                  <w:iCs/>
                  <w:shd w:val="clear" w:color="auto" w:fill="FFFFFF"/>
                </w:rPr>
                <w:t>General Guideline: Data Collection Methods</w:t>
              </w:r>
            </w:hyperlink>
            <w:r w:rsidRPr="005D4222">
              <w:rPr>
                <w:rStyle w:val="normaltextrun"/>
                <w:color w:val="000000"/>
                <w:shd w:val="clear" w:color="auto" w:fill="FFFFFF"/>
              </w:rPr>
              <w:t xml:space="preserve"> for additional information. </w:t>
            </w:r>
            <w:r w:rsidRPr="005D4222">
              <w:rPr>
                <w:rStyle w:val="eop"/>
                <w:rFonts w:eastAsiaTheme="majorEastAsia"/>
                <w:color w:val="000000"/>
                <w:shd w:val="clear" w:color="auto" w:fill="FFFFFF"/>
              </w:rPr>
              <w:t> </w:t>
            </w:r>
          </w:p>
          <w:p w14:paraId="0988B6EE" w14:textId="77777777" w:rsidR="00834A27" w:rsidRPr="005D4222" w:rsidRDefault="00834A27" w:rsidP="00A53E8C">
            <w:pPr>
              <w:pStyle w:val="ECDSBody"/>
            </w:pPr>
            <w:r w:rsidRPr="005D4222">
              <w:rPr>
                <w:b/>
              </w:rPr>
              <w:t xml:space="preserve">Date specificity: </w:t>
            </w:r>
            <w:r w:rsidRPr="005D4222">
              <w:t>Dates must be specific enough to determine the event occurred in the period being measured.</w:t>
            </w:r>
          </w:p>
          <w:p w14:paraId="5CDE7950" w14:textId="77777777" w:rsidR="00834A27" w:rsidRPr="005D4222" w:rsidRDefault="00834A27" w:rsidP="00A53E8C">
            <w:pPr>
              <w:pStyle w:val="ECDSBody"/>
            </w:pPr>
            <w:r w:rsidRPr="005D4222">
              <w:rPr>
                <w:b/>
              </w:rPr>
              <w:t xml:space="preserve">Which services count? </w:t>
            </w:r>
            <w:r w:rsidRPr="005D4222">
              <w:t>When using claims, include all paid, suspended, pending and denied claims.</w:t>
            </w:r>
          </w:p>
        </w:tc>
      </w:tr>
      <w:tr w:rsidR="00834A27" w:rsidRPr="005D4222" w14:paraId="6ABA3030" w14:textId="77777777" w:rsidTr="00A53E8C">
        <w:tc>
          <w:tcPr>
            <w:tcW w:w="9714" w:type="dxa"/>
            <w:gridSpan w:val="4"/>
            <w:tcBorders>
              <w:top w:val="single" w:sz="4" w:space="0" w:color="auto"/>
              <w:bottom w:val="single" w:sz="4" w:space="0" w:color="auto"/>
            </w:tcBorders>
            <w:shd w:val="clear" w:color="auto" w:fill="BFBFBF" w:themeFill="background1" w:themeFillShade="BF"/>
            <w:tcMar>
              <w:top w:w="0" w:type="dxa"/>
              <w:left w:w="86" w:type="dxa"/>
              <w:bottom w:w="43" w:type="dxa"/>
              <w:right w:w="86" w:type="dxa"/>
            </w:tcMar>
          </w:tcPr>
          <w:p w14:paraId="16739224" w14:textId="77777777" w:rsidR="00834A27" w:rsidRPr="005D4222" w:rsidRDefault="00834A27" w:rsidP="00A53E8C">
            <w:pPr>
              <w:pStyle w:val="ECDSMarginHead"/>
            </w:pPr>
            <w:r w:rsidRPr="005D4222">
              <w:t xml:space="preserve">Definitions </w:t>
            </w:r>
          </w:p>
        </w:tc>
      </w:tr>
      <w:tr w:rsidR="00834A27" w:rsidRPr="005D4222" w14:paraId="5219DD47" w14:textId="77777777" w:rsidTr="007B5FC3">
        <w:tc>
          <w:tcPr>
            <w:tcW w:w="2157" w:type="dxa"/>
            <w:tcBorders>
              <w:top w:val="single" w:sz="4" w:space="0" w:color="auto"/>
              <w:bottom w:val="nil"/>
            </w:tcBorders>
            <w:tcMar>
              <w:top w:w="0" w:type="dxa"/>
              <w:left w:w="86" w:type="dxa"/>
              <w:bottom w:w="43" w:type="dxa"/>
              <w:right w:w="86" w:type="dxa"/>
            </w:tcMar>
          </w:tcPr>
          <w:p w14:paraId="03D79BB9" w14:textId="77777777" w:rsidR="00834A27" w:rsidRPr="005D4222" w:rsidRDefault="00834A27" w:rsidP="0031163D">
            <w:pPr>
              <w:pStyle w:val="ECDSSubhead"/>
            </w:pPr>
            <w:r w:rsidRPr="005D4222">
              <w:t>Intake period</w:t>
            </w:r>
          </w:p>
        </w:tc>
        <w:tc>
          <w:tcPr>
            <w:tcW w:w="7557" w:type="dxa"/>
            <w:gridSpan w:val="3"/>
            <w:tcBorders>
              <w:top w:val="single" w:sz="4" w:space="0" w:color="auto"/>
              <w:bottom w:val="nil"/>
            </w:tcBorders>
            <w:tcMar>
              <w:left w:w="86" w:type="dxa"/>
              <w:bottom w:w="43" w:type="dxa"/>
              <w:right w:w="86" w:type="dxa"/>
            </w:tcMar>
          </w:tcPr>
          <w:p w14:paraId="017DCC79" w14:textId="77777777" w:rsidR="00834A27" w:rsidRPr="005D4222" w:rsidRDefault="00834A27" w:rsidP="00A53E8C">
            <w:pPr>
              <w:pStyle w:val="ECDSBody"/>
              <w:spacing w:after="0"/>
              <w:rPr>
                <w:highlight w:val="yellow"/>
              </w:rPr>
            </w:pPr>
            <w:r w:rsidRPr="005D4222">
              <w:t>January 1 through December 1 of the measurement period.</w:t>
            </w:r>
          </w:p>
        </w:tc>
      </w:tr>
      <w:tr w:rsidR="00834A27" w:rsidRPr="005D4222" w14:paraId="7252306F" w14:textId="77777777" w:rsidTr="007B5FC3">
        <w:tc>
          <w:tcPr>
            <w:tcW w:w="2157" w:type="dxa"/>
            <w:tcBorders>
              <w:top w:val="nil"/>
              <w:bottom w:val="nil"/>
            </w:tcBorders>
            <w:tcMar>
              <w:top w:w="0" w:type="dxa"/>
              <w:left w:w="86" w:type="dxa"/>
              <w:bottom w:w="43" w:type="dxa"/>
              <w:right w:w="86" w:type="dxa"/>
            </w:tcMar>
          </w:tcPr>
          <w:p w14:paraId="454AC3C9" w14:textId="77777777" w:rsidR="00834A27" w:rsidRPr="005D4222" w:rsidRDefault="00834A27" w:rsidP="0031163D">
            <w:pPr>
              <w:pStyle w:val="ECDSSubhead"/>
            </w:pPr>
            <w:r w:rsidRPr="005D4222">
              <w:t>IPSD</w:t>
            </w:r>
          </w:p>
        </w:tc>
        <w:tc>
          <w:tcPr>
            <w:tcW w:w="7557" w:type="dxa"/>
            <w:gridSpan w:val="3"/>
            <w:tcBorders>
              <w:top w:val="nil"/>
              <w:bottom w:val="nil"/>
            </w:tcBorders>
            <w:tcMar>
              <w:left w:w="86" w:type="dxa"/>
              <w:bottom w:w="43" w:type="dxa"/>
              <w:right w:w="86" w:type="dxa"/>
            </w:tcMar>
          </w:tcPr>
          <w:p w14:paraId="6045D6E6" w14:textId="77777777" w:rsidR="00834A27" w:rsidRPr="005D4222" w:rsidRDefault="00834A27" w:rsidP="00A53E8C">
            <w:pPr>
              <w:pStyle w:val="ECDSBody"/>
              <w:spacing w:after="0"/>
              <w:rPr>
                <w:highlight w:val="yellow"/>
              </w:rPr>
            </w:pPr>
            <w:r w:rsidRPr="005D4222">
              <w:t>Index prescription start date. The earliest prescription dispensing date for an antipsychotic medication where the date is in the intake period and there is a negative medication history.</w:t>
            </w:r>
          </w:p>
        </w:tc>
      </w:tr>
      <w:tr w:rsidR="00834A27" w:rsidRPr="005D4222" w14:paraId="488679DD" w14:textId="77777777" w:rsidTr="007B5FC3">
        <w:tc>
          <w:tcPr>
            <w:tcW w:w="2157" w:type="dxa"/>
            <w:tcBorders>
              <w:top w:val="nil"/>
              <w:bottom w:val="nil"/>
            </w:tcBorders>
            <w:tcMar>
              <w:top w:w="0" w:type="dxa"/>
              <w:left w:w="86" w:type="dxa"/>
              <w:bottom w:w="43" w:type="dxa"/>
              <w:right w:w="86" w:type="dxa"/>
            </w:tcMar>
          </w:tcPr>
          <w:p w14:paraId="56190E54" w14:textId="77777777" w:rsidR="00834A27" w:rsidRPr="005D4222" w:rsidRDefault="00834A27" w:rsidP="0031163D">
            <w:pPr>
              <w:pStyle w:val="ECDSSubhead"/>
            </w:pPr>
            <w:r w:rsidRPr="005D4222">
              <w:t>Negative medication history</w:t>
            </w:r>
          </w:p>
        </w:tc>
        <w:tc>
          <w:tcPr>
            <w:tcW w:w="7557" w:type="dxa"/>
            <w:gridSpan w:val="3"/>
            <w:tcBorders>
              <w:top w:val="nil"/>
              <w:bottom w:val="nil"/>
            </w:tcBorders>
            <w:tcMar>
              <w:top w:w="0" w:type="dxa"/>
              <w:left w:w="86" w:type="dxa"/>
              <w:bottom w:w="43" w:type="dxa"/>
              <w:right w:w="86" w:type="dxa"/>
            </w:tcMar>
          </w:tcPr>
          <w:p w14:paraId="1A479E09" w14:textId="77777777" w:rsidR="00834A27" w:rsidRPr="005D4222" w:rsidRDefault="00834A27" w:rsidP="00A53E8C">
            <w:pPr>
              <w:pStyle w:val="ECDSBody"/>
              <w:rPr>
                <w:highlight w:val="yellow"/>
              </w:rPr>
            </w:pPr>
            <w:r w:rsidRPr="005D4222">
              <w:t>A period of 120 days prior to the IPSD when the person had no antipsychotic medications dispensed for either new or refill prescriptions.</w:t>
            </w:r>
          </w:p>
        </w:tc>
      </w:tr>
      <w:tr w:rsidR="00834A27" w:rsidRPr="005D4222" w14:paraId="4626C0D7" w14:textId="77777777" w:rsidTr="00A53E8C">
        <w:trPr>
          <w:trHeight w:val="320"/>
        </w:trPr>
        <w:tc>
          <w:tcPr>
            <w:tcW w:w="2157" w:type="dxa"/>
            <w:shd w:val="clear" w:color="auto" w:fill="BFBFBF" w:themeFill="background1" w:themeFillShade="BF"/>
            <w:tcMar>
              <w:top w:w="0" w:type="dxa"/>
              <w:left w:w="86" w:type="dxa"/>
              <w:bottom w:w="43" w:type="dxa"/>
              <w:right w:w="86" w:type="dxa"/>
            </w:tcMar>
          </w:tcPr>
          <w:p w14:paraId="69FDEEC5" w14:textId="77777777" w:rsidR="00834A27" w:rsidRPr="005D4222" w:rsidRDefault="00834A27" w:rsidP="00A53E8C">
            <w:pPr>
              <w:pStyle w:val="ECDSMarginHead"/>
            </w:pPr>
            <w:r w:rsidRPr="005D4222">
              <w:t>Initial population</w:t>
            </w:r>
          </w:p>
        </w:tc>
        <w:tc>
          <w:tcPr>
            <w:tcW w:w="7557"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DBDF373" w14:textId="77777777" w:rsidR="00834A27" w:rsidRPr="005D4222" w:rsidRDefault="00834A27" w:rsidP="00A53E8C">
            <w:pPr>
              <w:pStyle w:val="ECDSBody"/>
            </w:pPr>
            <w:r w:rsidRPr="005D4222">
              <w:rPr>
                <w:i/>
                <w:iCs/>
              </w:rPr>
              <w:t xml:space="preserve">Measure item count: </w:t>
            </w:r>
            <w:r w:rsidRPr="005D4222">
              <w:t>Person.</w:t>
            </w:r>
          </w:p>
          <w:p w14:paraId="0B317499" w14:textId="77777777" w:rsidR="00834A27" w:rsidRPr="005D4222" w:rsidRDefault="00834A27" w:rsidP="00A53E8C">
            <w:pPr>
              <w:pStyle w:val="ECDSBody"/>
            </w:pPr>
            <w:r w:rsidRPr="005D4222">
              <w:rPr>
                <w:i/>
                <w:iCs/>
              </w:rPr>
              <w:t xml:space="preserve">Attribution basis: </w:t>
            </w:r>
            <w:r w:rsidRPr="005D4222">
              <w:t>Enrollment.</w:t>
            </w:r>
          </w:p>
          <w:p w14:paraId="0352C1B1" w14:textId="326F14DB" w:rsidR="00834A27" w:rsidRPr="005D4222" w:rsidRDefault="00834A27" w:rsidP="00834A27">
            <w:pPr>
              <w:pStyle w:val="Bullet"/>
              <w:numPr>
                <w:ilvl w:val="0"/>
                <w:numId w:val="4"/>
              </w:numPr>
              <w:tabs>
                <w:tab w:val="left" w:pos="360"/>
                <w:tab w:val="left" w:pos="576"/>
              </w:tabs>
              <w:ind w:left="576" w:hanging="216"/>
            </w:pPr>
            <w:r w:rsidRPr="005D4222">
              <w:rPr>
                <w:i/>
                <w:iCs/>
              </w:rPr>
              <w:t>Benefits:</w:t>
            </w:r>
            <w:r w:rsidRPr="005D4222">
              <w:t xml:space="preserve"> Medical, mental health, pharmacy.</w:t>
            </w:r>
          </w:p>
          <w:p w14:paraId="18DD47F2" w14:textId="77777777" w:rsidR="00834A27" w:rsidRPr="005D4222" w:rsidRDefault="00834A27" w:rsidP="00834A27">
            <w:pPr>
              <w:pStyle w:val="Bullet"/>
              <w:numPr>
                <w:ilvl w:val="0"/>
                <w:numId w:val="4"/>
              </w:numPr>
              <w:tabs>
                <w:tab w:val="left" w:pos="360"/>
                <w:tab w:val="left" w:pos="576"/>
              </w:tabs>
              <w:ind w:left="576" w:hanging="216"/>
            </w:pPr>
            <w:r w:rsidRPr="005D4222">
              <w:rPr>
                <w:i/>
                <w:iCs/>
              </w:rPr>
              <w:t>Continuous enrollment:</w:t>
            </w:r>
            <w:r w:rsidRPr="005D4222">
              <w:t xml:space="preserve"> 120 days prior to the IPSD through 30 days after the IPSD.</w:t>
            </w:r>
          </w:p>
          <w:p w14:paraId="7C1DBB92" w14:textId="77777777" w:rsidR="00834A27" w:rsidRPr="005D4222" w:rsidRDefault="00834A27" w:rsidP="00834A27">
            <w:pPr>
              <w:pStyle w:val="Bullet"/>
              <w:numPr>
                <w:ilvl w:val="0"/>
                <w:numId w:val="4"/>
              </w:numPr>
              <w:tabs>
                <w:tab w:val="left" w:pos="360"/>
                <w:tab w:val="left" w:pos="576"/>
              </w:tabs>
              <w:ind w:left="576" w:hanging="216"/>
            </w:pPr>
            <w:r w:rsidRPr="005D4222">
              <w:rPr>
                <w:i/>
                <w:iCs/>
              </w:rPr>
              <w:t xml:space="preserve">Allowable gap: </w:t>
            </w:r>
            <w:r w:rsidRPr="005D4222">
              <w:t>None.</w:t>
            </w:r>
          </w:p>
          <w:p w14:paraId="1BB1CAC6" w14:textId="77777777" w:rsidR="00834A27" w:rsidRPr="005D4222" w:rsidRDefault="00834A27" w:rsidP="00A53E8C">
            <w:pPr>
              <w:pStyle w:val="ECDSBody"/>
            </w:pPr>
            <w:r w:rsidRPr="005D4222">
              <w:rPr>
                <w:i/>
                <w:iCs/>
              </w:rPr>
              <w:t>Ages:</w:t>
            </w:r>
            <w:r w:rsidRPr="005D4222">
              <w:t xml:space="preserve"> 1–17 years of age as of the last day of the measurement period.</w:t>
            </w:r>
          </w:p>
          <w:p w14:paraId="0EBCD5CA" w14:textId="77777777" w:rsidR="00834A27" w:rsidRPr="005D4222" w:rsidRDefault="00834A27" w:rsidP="00A53E8C">
            <w:pPr>
              <w:pStyle w:val="ECDSBody"/>
              <w:rPr>
                <w:bCs w:val="0"/>
              </w:rPr>
            </w:pPr>
            <w:r w:rsidRPr="005D4222">
              <w:rPr>
                <w:i/>
                <w:iCs/>
              </w:rPr>
              <w:t xml:space="preserve">Event: </w:t>
            </w:r>
            <w:r w:rsidRPr="005D4222">
              <w:rPr>
                <w:b/>
              </w:rPr>
              <w:t>Persons with a new prescription for antipsychotics.</w:t>
            </w:r>
          </w:p>
          <w:p w14:paraId="7D626146" w14:textId="77777777" w:rsidR="00834A27" w:rsidRPr="005D4222" w:rsidRDefault="00834A27" w:rsidP="00A53E8C">
            <w:pPr>
              <w:pStyle w:val="ECDSBody"/>
            </w:pPr>
            <w:r w:rsidRPr="005D4222">
              <w:rPr>
                <w:b/>
              </w:rPr>
              <w:t xml:space="preserve">Step 1. </w:t>
            </w:r>
            <w:r w:rsidRPr="005D4222">
              <w:t>Identify all persons who were dispensed an antipsychotic medication (</w:t>
            </w:r>
            <w:r w:rsidRPr="005D4222">
              <w:rPr>
                <w:u w:val="single"/>
              </w:rPr>
              <w:t>Antipsychotic Medications List</w:t>
            </w:r>
            <w:r w:rsidRPr="005D4222">
              <w:t xml:space="preserve">, </w:t>
            </w:r>
            <w:r w:rsidRPr="005D4222">
              <w:rPr>
                <w:u w:val="single"/>
              </w:rPr>
              <w:t>Antipsychotic Combination Medications List</w:t>
            </w:r>
            <w:r w:rsidRPr="005D4222">
              <w:t>) during the intake period.</w:t>
            </w:r>
          </w:p>
          <w:p w14:paraId="423AB1CA" w14:textId="77777777" w:rsidR="00834A27" w:rsidRPr="005D4222" w:rsidRDefault="00834A27" w:rsidP="00A53E8C">
            <w:pPr>
              <w:pStyle w:val="ECDSBody"/>
              <w:spacing w:before="180"/>
              <w:rPr>
                <w:b/>
              </w:rPr>
            </w:pPr>
            <w:r w:rsidRPr="005D4222">
              <w:rPr>
                <w:b/>
              </w:rPr>
              <w:lastRenderedPageBreak/>
              <w:t xml:space="preserve">Step 2. </w:t>
            </w:r>
            <w:r w:rsidRPr="005D4222">
              <w:t xml:space="preserve">Test for negative medication history. For each person identified in </w:t>
            </w:r>
            <w:r w:rsidRPr="005D4222">
              <w:br/>
              <w:t xml:space="preserve">step 1, identify the IPSD and test each antipsychotic prescription for negative medication history. </w:t>
            </w:r>
          </w:p>
          <w:p w14:paraId="60C379DB" w14:textId="77777777" w:rsidR="00834A27" w:rsidRPr="005D4222" w:rsidRDefault="00834A27" w:rsidP="00A53E8C">
            <w:pPr>
              <w:pStyle w:val="ECDSBody"/>
              <w:rPr>
                <w:b/>
              </w:rPr>
            </w:pPr>
            <w:r w:rsidRPr="005D4222">
              <w:rPr>
                <w:b/>
              </w:rPr>
              <w:t xml:space="preserve">Step 3. </w:t>
            </w:r>
            <w:r w:rsidRPr="005D4222">
              <w:t>Calculate continuous enrollment.</w:t>
            </w:r>
          </w:p>
        </w:tc>
      </w:tr>
      <w:tr w:rsidR="00834A27" w:rsidRPr="005D4222" w14:paraId="05212B5A" w14:textId="77777777" w:rsidTr="00A53E8C">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7C0E2BA" w14:textId="77777777" w:rsidR="00834A27" w:rsidRPr="005D4222" w:rsidRDefault="00834A27" w:rsidP="00A53E8C">
            <w:pPr>
              <w:pStyle w:val="ECDSMarginHead"/>
            </w:pPr>
            <w:r w:rsidRPr="005D4222">
              <w:lastRenderedPageBreak/>
              <w:t xml:space="preserve">Denominator exclusions </w:t>
            </w:r>
          </w:p>
        </w:tc>
        <w:tc>
          <w:tcPr>
            <w:tcW w:w="7557"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1DC6E59F" w14:textId="77777777" w:rsidR="00834A27" w:rsidRPr="005D4222" w:rsidRDefault="00834A27" w:rsidP="00A53E8C">
            <w:pPr>
              <w:pStyle w:val="ECDSBody"/>
              <w:rPr>
                <w:rFonts w:cs="Segoe UI"/>
                <w:szCs w:val="18"/>
              </w:rPr>
            </w:pPr>
            <w:r w:rsidRPr="005D4222">
              <w:rPr>
                <w:b/>
              </w:rPr>
              <w:t>Persons with a date of death. </w:t>
            </w:r>
            <w:r w:rsidRPr="005D4222">
              <w:rPr>
                <w:b/>
              </w:rPr>
              <w:br/>
            </w:r>
            <w:r w:rsidRPr="005D4222">
              <w:t>Death in the measurement period, identified using data sources determined by the organization. Method and data sources are subject to review during the HEDIS audit. </w:t>
            </w:r>
          </w:p>
          <w:p w14:paraId="7263B563" w14:textId="77777777" w:rsidR="00834A27" w:rsidRPr="005D4222" w:rsidRDefault="00834A27" w:rsidP="00A53E8C">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763292BE" w14:textId="77777777" w:rsidR="00834A27" w:rsidRPr="005D4222" w:rsidRDefault="00834A27" w:rsidP="00A53E8C">
            <w:pPr>
              <w:pStyle w:val="ECDSBody"/>
              <w:rPr>
                <w:rFonts w:eastAsia="Arial,Arial,Arial,Arial,Arial,A"/>
              </w:rPr>
            </w:pPr>
            <w:r w:rsidRPr="005D4222">
              <w:rPr>
                <w:rFonts w:eastAsia="Arial,Arial,Arial,Arial,Arial,A"/>
                <w:b/>
              </w:rPr>
              <w:t xml:space="preserve">Persons for whom first-line antipsychotic medications may be clinically appropriate. </w:t>
            </w:r>
            <w:r w:rsidRPr="005D4222">
              <w:rPr>
                <w:rFonts w:eastAsia="Arial,Arial,Arial,Arial,Arial,A"/>
                <w:b/>
              </w:rPr>
              <w:br/>
            </w:r>
            <w:r w:rsidRPr="005D4222">
              <w:rPr>
                <w:rFonts w:eastAsia="Arial,Arial,Arial,Arial,Arial,A"/>
              </w:rPr>
              <w:t>Persons with a diagnosis of schizophrenia, schizoaffective disorder, bipolar disorder, other psychotic disorder, autism or other developmental disorder (</w:t>
            </w:r>
            <w:r w:rsidRPr="005D4222">
              <w:rPr>
                <w:rFonts w:eastAsia="Arial,Arial,Arial,Arial,Arial,A"/>
                <w:u w:val="single"/>
              </w:rPr>
              <w:t>Schizophrenia Value Set</w:t>
            </w:r>
            <w:r w:rsidRPr="005D4222">
              <w:rPr>
                <w:rFonts w:eastAsia="Arial,Arial,Arial,Arial,Arial,A"/>
              </w:rPr>
              <w:t xml:space="preserve">*, </w:t>
            </w:r>
            <w:r w:rsidRPr="005D4222">
              <w:rPr>
                <w:rFonts w:eastAsia="Arial,Arial,Arial,Arial,Arial,A"/>
                <w:u w:val="single"/>
              </w:rPr>
              <w:t>Bipolar Disorder Value Set</w:t>
            </w:r>
            <w:r w:rsidRPr="005D4222">
              <w:rPr>
                <w:rFonts w:eastAsia="Arial,Arial,Arial,Arial,Arial,A"/>
              </w:rPr>
              <w:t xml:space="preserve">*, </w:t>
            </w:r>
            <w:r w:rsidRPr="005D4222">
              <w:rPr>
                <w:rFonts w:eastAsia="Arial,Arial,Arial,Arial,Arial,A"/>
                <w:u w:val="single"/>
              </w:rPr>
              <w:t>Other Psychotic and Developmental Disorders Value Set</w:t>
            </w:r>
            <w:r w:rsidRPr="005D4222">
              <w:rPr>
                <w:rFonts w:eastAsia="Arial,Arial,Arial,Arial,Arial,A"/>
              </w:rPr>
              <w:t>*) on at least two different dates of service during the measurement period.</w:t>
            </w:r>
          </w:p>
          <w:p w14:paraId="0D3485ED" w14:textId="77777777" w:rsidR="00834A27" w:rsidRPr="005D4222" w:rsidRDefault="00834A27" w:rsidP="00A53E8C">
            <w:pPr>
              <w:pStyle w:val="ECDSBody"/>
              <w:spacing w:after="0"/>
              <w:rPr>
                <w:rFonts w:eastAsia="Arial,Arial,Arial,Arial,Arial,A"/>
                <w:b/>
                <w:bCs w:val="0"/>
              </w:rPr>
            </w:pPr>
            <w:r w:rsidRPr="005D4222">
              <w:rPr>
                <w:rFonts w:eastAsia="Arial,Arial,Arial,Arial,Arial,A"/>
                <w:b/>
                <w:bCs w:val="0"/>
              </w:rPr>
              <w:t>Coding Guidance</w:t>
            </w:r>
          </w:p>
          <w:p w14:paraId="3302952A" w14:textId="77777777" w:rsidR="00834A27" w:rsidRPr="005D4222" w:rsidRDefault="00834A27" w:rsidP="00A53E8C">
            <w:pPr>
              <w:pStyle w:val="ECDSBody"/>
              <w:spacing w:before="0"/>
              <w:rPr>
                <w:rFonts w:asciiTheme="majorHAnsi" w:eastAsiaTheme="majorEastAsia" w:hAnsiTheme="majorHAnsi"/>
                <w:color w:val="2F5496" w:themeColor="accent1" w:themeShade="BF"/>
              </w:rPr>
            </w:pPr>
            <w:r w:rsidRPr="005D4222">
              <w:rPr>
                <w:rFonts w:eastAsia="Arial,Arial,Arial,Arial,Arial,A"/>
              </w:rPr>
              <w:t>*Do not include laboratory claims (claims with POS code 81).</w:t>
            </w:r>
          </w:p>
        </w:tc>
      </w:tr>
      <w:tr w:rsidR="00834A27" w:rsidRPr="005D4222" w14:paraId="47C649B3" w14:textId="77777777" w:rsidTr="00A53E8C">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488CCEC" w14:textId="77777777" w:rsidR="00834A27" w:rsidRPr="005D4222" w:rsidRDefault="00834A27" w:rsidP="00A53E8C">
            <w:pPr>
              <w:pStyle w:val="ECDSMarginHead"/>
            </w:pPr>
            <w:r w:rsidRPr="005D4222">
              <w:t>Denominator</w:t>
            </w:r>
          </w:p>
        </w:tc>
        <w:tc>
          <w:tcPr>
            <w:tcW w:w="7557"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F2A6089" w14:textId="77777777" w:rsidR="00834A27" w:rsidRPr="005D4222" w:rsidRDefault="00834A27" w:rsidP="00A53E8C">
            <w:pPr>
              <w:pStyle w:val="ECDSBody"/>
              <w:rPr>
                <w:b/>
                <w:iCs/>
              </w:rPr>
            </w:pPr>
            <w:r w:rsidRPr="005D4222">
              <w:rPr>
                <w:rFonts w:eastAsia="Arial,Arial,Arial,Arial,Arial,A"/>
              </w:rPr>
              <w:t>The initial population minus denominator exclusions.</w:t>
            </w:r>
          </w:p>
        </w:tc>
      </w:tr>
      <w:tr w:rsidR="00834A27" w:rsidRPr="005D4222" w14:paraId="565AA36F" w14:textId="77777777" w:rsidTr="00A53E8C">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D064174" w14:textId="77777777" w:rsidR="00834A27" w:rsidRPr="005D4222" w:rsidRDefault="00834A27" w:rsidP="00A53E8C">
            <w:pPr>
              <w:pStyle w:val="ECDSMarginHead"/>
            </w:pPr>
            <w:r w:rsidRPr="005D4222">
              <w:t>Numerator</w:t>
            </w:r>
          </w:p>
        </w:tc>
        <w:tc>
          <w:tcPr>
            <w:tcW w:w="7557"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1409C86C" w14:textId="77777777" w:rsidR="00834A27" w:rsidRPr="005D4222" w:rsidRDefault="00834A27" w:rsidP="00A53E8C">
            <w:pPr>
              <w:pStyle w:val="ECDSBody"/>
              <w:rPr>
                <w:b/>
                <w:iCs/>
              </w:rPr>
            </w:pPr>
            <w:r w:rsidRPr="005D4222">
              <w:rPr>
                <w:b/>
                <w:iCs/>
              </w:rPr>
              <w:t>Persons who received psychosocial care or residential behavioral health treatment.</w:t>
            </w:r>
            <w:r w:rsidRPr="005D4222">
              <w:rPr>
                <w:b/>
                <w:iCs/>
              </w:rPr>
              <w:br/>
            </w:r>
            <w:r w:rsidRPr="005D4222">
              <w:rPr>
                <w:iCs/>
              </w:rPr>
              <w:t>Persons who received psychosocial care (</w:t>
            </w:r>
            <w:r w:rsidRPr="005D4222">
              <w:rPr>
                <w:iCs/>
                <w:u w:val="single"/>
              </w:rPr>
              <w:t>Psychosocial Care Value Set</w:t>
            </w:r>
            <w:r w:rsidRPr="005D4222">
              <w:rPr>
                <w:iCs/>
              </w:rPr>
              <w:t>) or residential behavioral health treatment (</w:t>
            </w:r>
            <w:r w:rsidRPr="005D4222">
              <w:rPr>
                <w:iCs/>
                <w:u w:val="single"/>
              </w:rPr>
              <w:t>Residential Behavioral Health Treatment Value Set</w:t>
            </w:r>
            <w:r w:rsidRPr="005D4222">
              <w:rPr>
                <w:iCs/>
              </w:rPr>
              <w:t>) in the 121-day period from 90 days prior to the IPSD through 30 days after the IPSD.</w:t>
            </w:r>
          </w:p>
        </w:tc>
      </w:tr>
      <w:tr w:rsidR="00834A27" w:rsidRPr="005D4222" w14:paraId="5EB18424"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E3CCF1C" w14:textId="77777777" w:rsidR="00834A27" w:rsidRPr="005D4222" w:rsidRDefault="00834A27" w:rsidP="00A53E8C">
            <w:pPr>
              <w:pStyle w:val="ECDSMarginHead"/>
            </w:pPr>
            <w:r w:rsidRPr="005D4222">
              <w:t>Summary of changes</w:t>
            </w:r>
          </w:p>
        </w:tc>
        <w:tc>
          <w:tcPr>
            <w:tcW w:w="7557"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DE253B1" w14:textId="77777777" w:rsidR="00834A27" w:rsidRPr="005D4222" w:rsidRDefault="00834A27" w:rsidP="005D6173">
            <w:pPr>
              <w:pStyle w:val="ProcessBullet"/>
              <w:numPr>
                <w:ilvl w:val="0"/>
                <w:numId w:val="98"/>
              </w:numPr>
              <w:spacing w:before="120"/>
              <w:ind w:left="216" w:hanging="216"/>
            </w:pPr>
            <w:r w:rsidRPr="005D4222">
              <w:t>No changes to this measure.</w:t>
            </w:r>
          </w:p>
        </w:tc>
      </w:tr>
      <w:tr w:rsidR="00834A27" w:rsidRPr="005D4222" w14:paraId="1042CBBD"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B2746EC" w14:textId="77777777" w:rsidR="00834A27" w:rsidRPr="005D4222" w:rsidRDefault="00834A27" w:rsidP="00A53E8C">
            <w:pPr>
              <w:pStyle w:val="ECDSMarginHead"/>
            </w:pPr>
            <w:r w:rsidRPr="005D4222">
              <w:t>Data element tables</w:t>
            </w:r>
          </w:p>
        </w:tc>
        <w:tc>
          <w:tcPr>
            <w:tcW w:w="7557"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CD8B084" w14:textId="77777777" w:rsidR="00834A27" w:rsidRPr="005D4222" w:rsidRDefault="00834A27" w:rsidP="00A53E8C">
            <w:pPr>
              <w:pStyle w:val="ECDSBody"/>
            </w:pPr>
            <w:r w:rsidRPr="005D4222">
              <w:t>Organizations that submit HEDIS data to NCQA must provide the following data elements.</w:t>
            </w:r>
          </w:p>
          <w:p w14:paraId="6FF87731" w14:textId="77777777" w:rsidR="00834A27" w:rsidRPr="005D4222" w:rsidRDefault="00834A27" w:rsidP="00A53E8C">
            <w:pPr>
              <w:pStyle w:val="Heading3"/>
              <w:spacing w:before="120"/>
            </w:pPr>
            <w:r w:rsidRPr="005D4222">
              <w:t>Table APP-1/2: Data Elements Access to Psychosocial Care for Children and Adolescents on Antipsychotics</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696"/>
              <w:gridCol w:w="900"/>
              <w:gridCol w:w="1800"/>
              <w:gridCol w:w="1979"/>
            </w:tblGrid>
            <w:tr w:rsidR="00834A27" w:rsidRPr="005D4222" w14:paraId="52038A5B" w14:textId="77777777" w:rsidTr="00A53E8C">
              <w:trPr>
                <w:trHeight w:val="209"/>
              </w:trPr>
              <w:tc>
                <w:tcPr>
                  <w:tcW w:w="2696"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vAlign w:val="bottom"/>
                  <w:hideMark/>
                </w:tcPr>
                <w:p w14:paraId="2A017855" w14:textId="77777777" w:rsidR="00834A27" w:rsidRPr="005D4222" w:rsidRDefault="00834A27" w:rsidP="00A53E8C">
                  <w:pPr>
                    <w:pStyle w:val="TableHead"/>
                    <w:spacing w:before="40" w:after="40"/>
                  </w:pPr>
                  <w:r w:rsidRPr="005D4222">
                    <w:t>Metric</w:t>
                  </w:r>
                </w:p>
              </w:tc>
              <w:tc>
                <w:tcPr>
                  <w:tcW w:w="90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vAlign w:val="bottom"/>
                  <w:hideMark/>
                </w:tcPr>
                <w:p w14:paraId="15720D27" w14:textId="77777777" w:rsidR="00834A27" w:rsidRPr="005D4222" w:rsidRDefault="00834A27" w:rsidP="00A53E8C">
                  <w:pPr>
                    <w:pStyle w:val="TableHead"/>
                    <w:spacing w:before="40" w:after="40"/>
                  </w:pPr>
                  <w:r w:rsidRPr="005D4222">
                    <w:t>Age</w:t>
                  </w:r>
                </w:p>
              </w:tc>
              <w:tc>
                <w:tcPr>
                  <w:tcW w:w="180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vAlign w:val="bottom"/>
                  <w:hideMark/>
                </w:tcPr>
                <w:p w14:paraId="536F5474" w14:textId="77777777" w:rsidR="00834A27" w:rsidRPr="005D4222" w:rsidRDefault="00834A27" w:rsidP="00A53E8C">
                  <w:pPr>
                    <w:pStyle w:val="TableHead"/>
                    <w:spacing w:before="40" w:after="40"/>
                  </w:pPr>
                  <w:r w:rsidRPr="005D4222">
                    <w:t>Data Element</w:t>
                  </w:r>
                </w:p>
              </w:tc>
              <w:tc>
                <w:tcPr>
                  <w:tcW w:w="1979"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vAlign w:val="bottom"/>
                  <w:hideMark/>
                </w:tcPr>
                <w:p w14:paraId="7107C453" w14:textId="77777777" w:rsidR="00834A27" w:rsidRPr="005D4222" w:rsidRDefault="00834A27" w:rsidP="00A53E8C">
                  <w:pPr>
                    <w:pStyle w:val="TableHead"/>
                    <w:spacing w:before="40" w:after="40"/>
                  </w:pPr>
                  <w:r w:rsidRPr="005D4222">
                    <w:t>Reporting Instructions</w:t>
                  </w:r>
                </w:p>
              </w:tc>
            </w:tr>
            <w:tr w:rsidR="00834A27" w:rsidRPr="005D4222" w14:paraId="02381480" w14:textId="77777777" w:rsidTr="00A53E8C">
              <w:trPr>
                <w:trHeight w:val="275"/>
              </w:trPr>
              <w:tc>
                <w:tcPr>
                  <w:tcW w:w="2696" w:type="dxa"/>
                  <w:tcBorders>
                    <w:top w:val="single" w:sz="4" w:space="0" w:color="000000" w:themeColor="text1"/>
                    <w:left w:val="single" w:sz="4" w:space="0" w:color="auto"/>
                    <w:bottom w:val="single" w:sz="4" w:space="0" w:color="auto"/>
                    <w:right w:val="single" w:sz="4" w:space="0" w:color="auto"/>
                  </w:tcBorders>
                  <w:hideMark/>
                </w:tcPr>
                <w:p w14:paraId="6CDF959B" w14:textId="77777777" w:rsidR="00834A27" w:rsidRPr="005D4222" w:rsidRDefault="00834A27" w:rsidP="00A53E8C">
                  <w:pPr>
                    <w:pStyle w:val="TableText"/>
                    <w:spacing w:before="40" w:after="40"/>
                  </w:pPr>
                  <w:r w:rsidRPr="005D4222">
                    <w:t>PsychosocialCareAntipsychotics</w:t>
                  </w:r>
                </w:p>
              </w:tc>
              <w:tc>
                <w:tcPr>
                  <w:tcW w:w="900" w:type="dxa"/>
                  <w:tcBorders>
                    <w:top w:val="single" w:sz="4" w:space="0" w:color="000000" w:themeColor="text1"/>
                    <w:left w:val="single" w:sz="4" w:space="0" w:color="auto"/>
                    <w:bottom w:val="single" w:sz="4" w:space="0" w:color="auto"/>
                    <w:right w:val="single" w:sz="4" w:space="0" w:color="auto"/>
                  </w:tcBorders>
                  <w:hideMark/>
                </w:tcPr>
                <w:p w14:paraId="587B3F43" w14:textId="77777777" w:rsidR="00834A27" w:rsidRPr="005D4222" w:rsidRDefault="00834A27" w:rsidP="00A53E8C">
                  <w:pPr>
                    <w:pStyle w:val="TableText"/>
                    <w:spacing w:before="40" w:after="40"/>
                  </w:pPr>
                  <w:r w:rsidRPr="005D4222">
                    <w:t>1-11</w:t>
                  </w:r>
                </w:p>
              </w:tc>
              <w:tc>
                <w:tcPr>
                  <w:tcW w:w="1800" w:type="dxa"/>
                  <w:tcBorders>
                    <w:top w:val="single" w:sz="4" w:space="0" w:color="000000" w:themeColor="text1"/>
                    <w:left w:val="single" w:sz="4" w:space="0" w:color="auto"/>
                    <w:bottom w:val="single" w:sz="4" w:space="0" w:color="auto"/>
                    <w:right w:val="single" w:sz="4" w:space="0" w:color="auto"/>
                  </w:tcBorders>
                  <w:hideMark/>
                </w:tcPr>
                <w:p w14:paraId="0B36D32C" w14:textId="77777777" w:rsidR="00834A27" w:rsidRPr="005D4222" w:rsidRDefault="00834A27" w:rsidP="00A53E8C">
                  <w:pPr>
                    <w:pStyle w:val="TableText"/>
                    <w:spacing w:before="40" w:after="40"/>
                  </w:pPr>
                  <w:r w:rsidRPr="005D4222">
                    <w:t>Benefit</w:t>
                  </w:r>
                </w:p>
              </w:tc>
              <w:tc>
                <w:tcPr>
                  <w:tcW w:w="1979" w:type="dxa"/>
                  <w:tcBorders>
                    <w:top w:val="single" w:sz="4" w:space="0" w:color="000000" w:themeColor="text1"/>
                    <w:left w:val="single" w:sz="4" w:space="0" w:color="auto"/>
                    <w:bottom w:val="single" w:sz="6" w:space="0" w:color="auto"/>
                    <w:right w:val="single" w:sz="4" w:space="0" w:color="auto"/>
                  </w:tcBorders>
                  <w:hideMark/>
                </w:tcPr>
                <w:p w14:paraId="514FECB1" w14:textId="77777777" w:rsidR="00834A27" w:rsidRPr="005D4222" w:rsidRDefault="00834A27" w:rsidP="00A53E8C">
                  <w:pPr>
                    <w:pStyle w:val="TableText"/>
                    <w:spacing w:before="40" w:after="40"/>
                    <w:rPr>
                      <w:rFonts w:eastAsia="Wingdings"/>
                    </w:rPr>
                  </w:pPr>
                  <w:r w:rsidRPr="005D4222">
                    <w:rPr>
                      <w:rFonts w:eastAsia="Wingdings"/>
                    </w:rPr>
                    <w:t>Metadata</w:t>
                  </w:r>
                </w:p>
              </w:tc>
            </w:tr>
            <w:tr w:rsidR="00834A27" w:rsidRPr="005D4222" w14:paraId="4A22C64F" w14:textId="77777777" w:rsidTr="00A53E8C">
              <w:trPr>
                <w:trHeight w:val="275"/>
              </w:trPr>
              <w:tc>
                <w:tcPr>
                  <w:tcW w:w="2696" w:type="dxa"/>
                  <w:tcBorders>
                    <w:top w:val="single" w:sz="4" w:space="0" w:color="auto"/>
                    <w:left w:val="nil"/>
                    <w:bottom w:val="nil"/>
                    <w:right w:val="single" w:sz="4" w:space="0" w:color="auto"/>
                  </w:tcBorders>
                  <w:shd w:val="clear" w:color="auto" w:fill="FFFFFF" w:themeFill="background1"/>
                </w:tcPr>
                <w:p w14:paraId="3C772FF1" w14:textId="77777777" w:rsidR="00834A27" w:rsidRPr="005D4222" w:rsidRDefault="00834A27" w:rsidP="00A53E8C">
                  <w:pPr>
                    <w:pStyle w:val="TableText"/>
                    <w:spacing w:before="40" w:after="40"/>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377084B" w14:textId="77777777" w:rsidR="00834A27" w:rsidRPr="005D4222" w:rsidRDefault="00834A27" w:rsidP="00A53E8C">
                  <w:pPr>
                    <w:pStyle w:val="TableText"/>
                    <w:spacing w:before="40" w:after="40"/>
                  </w:pPr>
                  <w:r w:rsidRPr="005D4222">
                    <w:t>12-17</w:t>
                  </w: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8860AA0" w14:textId="77777777" w:rsidR="00834A27" w:rsidRPr="005D4222" w:rsidRDefault="00834A27" w:rsidP="00A53E8C">
                  <w:pPr>
                    <w:pStyle w:val="TableText"/>
                    <w:spacing w:before="40" w:after="40"/>
                  </w:pPr>
                  <w:r w:rsidRPr="005D4222">
                    <w:t xml:space="preserve">InitialPopulation </w:t>
                  </w:r>
                </w:p>
              </w:tc>
              <w:tc>
                <w:tcPr>
                  <w:tcW w:w="1979"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59526CBF" w14:textId="77777777" w:rsidR="00834A27" w:rsidRPr="005D4222" w:rsidRDefault="00834A27" w:rsidP="00A53E8C">
                  <w:pPr>
                    <w:pStyle w:val="TableText"/>
                    <w:spacing w:before="40" w:after="40"/>
                    <w:rPr>
                      <w:rFonts w:eastAsia="Wingdings"/>
                    </w:rPr>
                  </w:pPr>
                  <w:r w:rsidRPr="005D4222">
                    <w:rPr>
                      <w:rFonts w:eastAsia="Wingdings"/>
                    </w:rPr>
                    <w:t>For each Stratification</w:t>
                  </w:r>
                </w:p>
              </w:tc>
            </w:tr>
            <w:tr w:rsidR="00834A27" w:rsidRPr="005D4222" w14:paraId="5F13EA71" w14:textId="77777777" w:rsidTr="00A53E8C">
              <w:trPr>
                <w:trHeight w:val="275"/>
              </w:trPr>
              <w:tc>
                <w:tcPr>
                  <w:tcW w:w="2696" w:type="dxa"/>
                  <w:tcBorders>
                    <w:top w:val="nil"/>
                    <w:left w:val="nil"/>
                    <w:bottom w:val="nil"/>
                    <w:right w:val="nil"/>
                  </w:tcBorders>
                  <w:shd w:val="clear" w:color="auto" w:fill="FFFFFF" w:themeFill="background1"/>
                </w:tcPr>
                <w:p w14:paraId="331EA642" w14:textId="77777777" w:rsidR="00834A27" w:rsidRPr="005D4222" w:rsidRDefault="00834A27" w:rsidP="00A53E8C">
                  <w:pPr>
                    <w:pStyle w:val="TableText"/>
                    <w:spacing w:before="40" w:after="40"/>
                  </w:pPr>
                </w:p>
              </w:tc>
              <w:tc>
                <w:tcPr>
                  <w:tcW w:w="90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9DCF87C" w14:textId="77777777" w:rsidR="00834A27" w:rsidRPr="005D4222" w:rsidRDefault="00834A27" w:rsidP="00A53E8C">
                  <w:pPr>
                    <w:pStyle w:val="TableText"/>
                    <w:spacing w:before="40" w:after="40"/>
                  </w:pPr>
                  <w:r w:rsidRPr="005D4222">
                    <w:t>Total</w:t>
                  </w: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D3583F6" w14:textId="108339CC" w:rsidR="00834A27" w:rsidRPr="005D4222" w:rsidRDefault="00834A27" w:rsidP="00A53E8C">
                  <w:pPr>
                    <w:pStyle w:val="TableText"/>
                    <w:spacing w:before="40" w:after="40"/>
                  </w:pPr>
                  <w:r w:rsidRPr="005D4222">
                    <w:t>Exclusions</w:t>
                  </w:r>
                </w:p>
              </w:tc>
              <w:tc>
                <w:tcPr>
                  <w:tcW w:w="1979"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3914692E" w14:textId="77777777" w:rsidR="00834A27" w:rsidRPr="005D4222" w:rsidRDefault="00834A27" w:rsidP="00A53E8C">
                  <w:pPr>
                    <w:pStyle w:val="TableText"/>
                    <w:spacing w:before="40" w:after="40"/>
                    <w:rPr>
                      <w:rFonts w:eastAsia="Wingdings"/>
                    </w:rPr>
                  </w:pPr>
                  <w:r w:rsidRPr="005D4222">
                    <w:rPr>
                      <w:rFonts w:eastAsia="Wingdings"/>
                    </w:rPr>
                    <w:t>For each Stratification</w:t>
                  </w:r>
                </w:p>
              </w:tc>
            </w:tr>
            <w:tr w:rsidR="00834A27" w:rsidRPr="005D4222" w14:paraId="797735EE" w14:textId="77777777" w:rsidTr="00A53E8C">
              <w:trPr>
                <w:trHeight w:val="300"/>
              </w:trPr>
              <w:tc>
                <w:tcPr>
                  <w:tcW w:w="2696" w:type="dxa"/>
                  <w:tcBorders>
                    <w:top w:val="nil"/>
                    <w:left w:val="nil"/>
                    <w:bottom w:val="nil"/>
                    <w:right w:val="nil"/>
                  </w:tcBorders>
                  <w:shd w:val="clear" w:color="auto" w:fill="FFFFFF" w:themeFill="background1"/>
                </w:tcPr>
                <w:p w14:paraId="1A15DE00" w14:textId="77777777" w:rsidR="00834A27" w:rsidRPr="005D4222" w:rsidRDefault="00834A27" w:rsidP="00A53E8C">
                  <w:pPr>
                    <w:pStyle w:val="TableText"/>
                    <w:spacing w:before="40" w:after="40"/>
                  </w:pPr>
                </w:p>
              </w:tc>
              <w:tc>
                <w:tcPr>
                  <w:tcW w:w="900" w:type="dxa"/>
                  <w:tcBorders>
                    <w:top w:val="single" w:sz="4" w:space="0" w:color="auto"/>
                    <w:left w:val="nil"/>
                    <w:bottom w:val="nil"/>
                    <w:right w:val="single" w:sz="4" w:space="0" w:color="auto"/>
                  </w:tcBorders>
                  <w:shd w:val="clear" w:color="auto" w:fill="FFFFFF" w:themeFill="background1"/>
                </w:tcPr>
                <w:p w14:paraId="53F25D85" w14:textId="77777777" w:rsidR="00834A27" w:rsidRPr="005D4222" w:rsidRDefault="00834A27" w:rsidP="00A53E8C">
                  <w:pPr>
                    <w:pStyle w:val="TableText"/>
                    <w:spacing w:before="40" w:after="40"/>
                  </w:pP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Pr>
                <w:p w14:paraId="13FAA803" w14:textId="77777777" w:rsidR="00834A27" w:rsidRPr="005D4222" w:rsidRDefault="00834A27" w:rsidP="00A53E8C">
                  <w:pPr>
                    <w:pStyle w:val="TableText"/>
                    <w:spacing w:before="40" w:after="40"/>
                  </w:pPr>
                  <w:r w:rsidRPr="005D4222">
                    <w:t>Denominator</w:t>
                  </w:r>
                </w:p>
              </w:tc>
              <w:tc>
                <w:tcPr>
                  <w:tcW w:w="1979" w:type="dxa"/>
                  <w:tcBorders>
                    <w:top w:val="single" w:sz="6" w:space="0" w:color="auto"/>
                    <w:left w:val="single" w:sz="4" w:space="0" w:color="auto"/>
                    <w:bottom w:val="single" w:sz="6" w:space="0" w:color="auto"/>
                    <w:right w:val="single" w:sz="4" w:space="0" w:color="auto"/>
                  </w:tcBorders>
                  <w:shd w:val="clear" w:color="auto" w:fill="FFFFFF" w:themeFill="background1"/>
                </w:tcPr>
                <w:p w14:paraId="120C35C3" w14:textId="77777777" w:rsidR="00834A27" w:rsidRPr="005D4222" w:rsidRDefault="00834A27" w:rsidP="00A53E8C">
                  <w:pPr>
                    <w:pStyle w:val="TableText"/>
                    <w:spacing w:before="40" w:after="40"/>
                    <w:rPr>
                      <w:rFonts w:eastAsia="Wingdings"/>
                    </w:rPr>
                  </w:pPr>
                  <w:r w:rsidRPr="005D4222">
                    <w:rPr>
                      <w:rFonts w:eastAsia="Wingdings"/>
                    </w:rPr>
                    <w:t>For each Stratification</w:t>
                  </w:r>
                </w:p>
              </w:tc>
            </w:tr>
            <w:tr w:rsidR="00834A27" w:rsidRPr="005D4222" w14:paraId="2B892D54" w14:textId="77777777" w:rsidTr="00A53E8C">
              <w:trPr>
                <w:trHeight w:val="286"/>
              </w:trPr>
              <w:tc>
                <w:tcPr>
                  <w:tcW w:w="2696" w:type="dxa"/>
                  <w:tcBorders>
                    <w:top w:val="nil"/>
                    <w:left w:val="nil"/>
                    <w:bottom w:val="nil"/>
                    <w:right w:val="nil"/>
                  </w:tcBorders>
                  <w:shd w:val="clear" w:color="auto" w:fill="FFFFFF" w:themeFill="background1"/>
                </w:tcPr>
                <w:p w14:paraId="6D5CDF39" w14:textId="77777777" w:rsidR="00834A27" w:rsidRPr="005D4222" w:rsidRDefault="00834A27" w:rsidP="00A53E8C">
                  <w:pPr>
                    <w:pStyle w:val="TableText"/>
                    <w:spacing w:before="40" w:after="40"/>
                  </w:pPr>
                </w:p>
              </w:tc>
              <w:tc>
                <w:tcPr>
                  <w:tcW w:w="900" w:type="dxa"/>
                  <w:tcBorders>
                    <w:top w:val="nil"/>
                    <w:left w:val="nil"/>
                    <w:bottom w:val="nil"/>
                    <w:right w:val="single" w:sz="4" w:space="0" w:color="auto"/>
                  </w:tcBorders>
                  <w:shd w:val="clear" w:color="auto" w:fill="FFFFFF" w:themeFill="background1"/>
                </w:tcPr>
                <w:p w14:paraId="1EEC7FFA" w14:textId="77777777" w:rsidR="00834A27" w:rsidRPr="005D4222" w:rsidRDefault="00834A27" w:rsidP="00A53E8C">
                  <w:pPr>
                    <w:pStyle w:val="TableText"/>
                    <w:spacing w:before="40" w:after="40"/>
                  </w:pP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1F64D71" w14:textId="77777777" w:rsidR="00834A27" w:rsidRPr="005D4222" w:rsidRDefault="00834A27" w:rsidP="00A53E8C">
                  <w:pPr>
                    <w:pStyle w:val="TableText"/>
                    <w:spacing w:before="40" w:after="40"/>
                  </w:pPr>
                  <w:r w:rsidRPr="005D4222">
                    <w:t>NumeratorByAdmin</w:t>
                  </w:r>
                </w:p>
              </w:tc>
              <w:tc>
                <w:tcPr>
                  <w:tcW w:w="1979"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1105EE07" w14:textId="77777777" w:rsidR="00834A27" w:rsidRPr="005D4222" w:rsidRDefault="00834A27" w:rsidP="00A53E8C">
                  <w:pPr>
                    <w:pStyle w:val="TableText"/>
                    <w:spacing w:before="40" w:after="40"/>
                    <w:rPr>
                      <w:rFonts w:eastAsia="Wingdings"/>
                    </w:rPr>
                  </w:pPr>
                  <w:r w:rsidRPr="005D4222">
                    <w:rPr>
                      <w:rFonts w:eastAsia="Wingdings"/>
                    </w:rPr>
                    <w:t>For each Stratification</w:t>
                  </w:r>
                </w:p>
              </w:tc>
            </w:tr>
            <w:tr w:rsidR="00834A27" w:rsidRPr="005D4222" w14:paraId="1D1E527D" w14:textId="77777777" w:rsidTr="00A53E8C">
              <w:trPr>
                <w:trHeight w:val="264"/>
              </w:trPr>
              <w:tc>
                <w:tcPr>
                  <w:tcW w:w="2696" w:type="dxa"/>
                  <w:tcBorders>
                    <w:top w:val="nil"/>
                    <w:left w:val="nil"/>
                    <w:bottom w:val="nil"/>
                    <w:right w:val="nil"/>
                  </w:tcBorders>
                  <w:shd w:val="clear" w:color="auto" w:fill="FFFFFF" w:themeFill="background1"/>
                </w:tcPr>
                <w:p w14:paraId="489CBE7D" w14:textId="77777777" w:rsidR="00834A27" w:rsidRPr="005D4222" w:rsidRDefault="00834A27" w:rsidP="00A53E8C">
                  <w:pPr>
                    <w:pStyle w:val="TableText"/>
                    <w:spacing w:before="40" w:after="40"/>
                  </w:pPr>
                </w:p>
              </w:tc>
              <w:tc>
                <w:tcPr>
                  <w:tcW w:w="900" w:type="dxa"/>
                  <w:tcBorders>
                    <w:top w:val="nil"/>
                    <w:left w:val="nil"/>
                    <w:bottom w:val="nil"/>
                    <w:right w:val="single" w:sz="4" w:space="0" w:color="auto"/>
                  </w:tcBorders>
                  <w:shd w:val="clear" w:color="auto" w:fill="FFFFFF" w:themeFill="background1"/>
                </w:tcPr>
                <w:p w14:paraId="4044AC7C" w14:textId="77777777" w:rsidR="00834A27" w:rsidRPr="005D4222" w:rsidRDefault="00834A27" w:rsidP="00A53E8C">
                  <w:pPr>
                    <w:pStyle w:val="TableText"/>
                    <w:spacing w:before="40" w:after="40"/>
                  </w:pPr>
                </w:p>
              </w:tc>
              <w:tc>
                <w:tcPr>
                  <w:tcW w:w="1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599DA2E" w14:textId="77777777" w:rsidR="00834A27" w:rsidRPr="005D4222" w:rsidRDefault="00834A27" w:rsidP="00A53E8C">
                  <w:pPr>
                    <w:pStyle w:val="TableText"/>
                    <w:spacing w:before="40" w:after="40"/>
                  </w:pPr>
                  <w:r w:rsidRPr="005D4222">
                    <w:t>Rate</w:t>
                  </w:r>
                </w:p>
              </w:tc>
              <w:tc>
                <w:tcPr>
                  <w:tcW w:w="1979" w:type="dxa"/>
                  <w:tcBorders>
                    <w:top w:val="single" w:sz="6" w:space="0" w:color="auto"/>
                    <w:left w:val="single" w:sz="4" w:space="0" w:color="auto"/>
                    <w:bottom w:val="single" w:sz="4" w:space="0" w:color="auto"/>
                    <w:right w:val="single" w:sz="4" w:space="0" w:color="auto"/>
                  </w:tcBorders>
                  <w:shd w:val="clear" w:color="auto" w:fill="D9D9D9" w:themeFill="background1" w:themeFillShade="D9"/>
                  <w:hideMark/>
                </w:tcPr>
                <w:p w14:paraId="1A53D4FB" w14:textId="77777777" w:rsidR="00834A27" w:rsidRPr="005D4222" w:rsidRDefault="00834A27" w:rsidP="00A53E8C">
                  <w:pPr>
                    <w:pStyle w:val="TableText"/>
                    <w:spacing w:before="40" w:after="40"/>
                    <w:rPr>
                      <w:rFonts w:eastAsia="Wingdings"/>
                    </w:rPr>
                  </w:pPr>
                  <w:r w:rsidRPr="005D4222">
                    <w:rPr>
                      <w:rFonts w:eastAsia="Wingdings"/>
                    </w:rPr>
                    <w:t>(Percent)</w:t>
                  </w:r>
                </w:p>
              </w:tc>
            </w:tr>
          </w:tbl>
          <w:p w14:paraId="2F4F4CD1" w14:textId="77777777" w:rsidR="00834A27" w:rsidRPr="005D4222" w:rsidRDefault="00834A27" w:rsidP="00A53E8C">
            <w:pPr>
              <w:pStyle w:val="ProcessDash"/>
              <w:numPr>
                <w:ilvl w:val="0"/>
                <w:numId w:val="0"/>
              </w:numPr>
              <w:rPr>
                <w:color w:val="000000" w:themeColor="text1"/>
                <w:highlight w:val="yellow"/>
              </w:rPr>
            </w:pPr>
          </w:p>
        </w:tc>
      </w:tr>
      <w:tr w:rsidR="00834A27" w:rsidRPr="005D4222" w14:paraId="7BA266BB"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D8ED505" w14:textId="77777777" w:rsidR="00834A27" w:rsidRPr="005D4222" w:rsidRDefault="00834A27" w:rsidP="00A53E8C">
            <w:pPr>
              <w:pStyle w:val="ECDSMarginHead"/>
            </w:pPr>
            <w:r w:rsidRPr="005D4222">
              <w:lastRenderedPageBreak/>
              <w:t>Rules for Allowable Adjustments</w:t>
            </w:r>
          </w:p>
        </w:tc>
        <w:tc>
          <w:tcPr>
            <w:tcW w:w="7557"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B8F05F9" w14:textId="77777777" w:rsidR="00834A27" w:rsidRPr="005D4222" w:rsidRDefault="00834A27" w:rsidP="00834A27">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58E4DD53" w14:textId="77777777" w:rsidR="00834A27" w:rsidRPr="005D4222" w:rsidRDefault="00834A27" w:rsidP="00A53E8C">
            <w:pPr>
              <w:pStyle w:val="Body"/>
              <w:rPr>
                <w:b/>
                <w:bCs/>
              </w:rPr>
            </w:pPr>
            <w:r w:rsidRPr="005D4222">
              <w:rPr>
                <w:b/>
                <w:bCs/>
              </w:rPr>
              <w:t>Adjusted HEDIS measures may not be used for HEDIS health plan reporting.</w:t>
            </w:r>
          </w:p>
          <w:p w14:paraId="5F0B9803" w14:textId="77777777" w:rsidR="00834A27" w:rsidRPr="005D4222" w:rsidRDefault="00834A27" w:rsidP="00A53E8C">
            <w:pPr>
              <w:pStyle w:val="Adjustments"/>
            </w:pPr>
            <w:r w:rsidRPr="005D4222">
              <w:t>Adjustments allowed</w:t>
            </w:r>
          </w:p>
          <w:p w14:paraId="5AD38347" w14:textId="2EB89FC4" w:rsidR="00834A27" w:rsidRPr="005D4222" w:rsidRDefault="00834A27" w:rsidP="005D6173">
            <w:pPr>
              <w:pStyle w:val="ProcessBullet"/>
              <w:numPr>
                <w:ilvl w:val="0"/>
                <w:numId w:val="98"/>
              </w:numPr>
              <w:ind w:left="216" w:hanging="216"/>
              <w:rPr>
                <w:b/>
              </w:rPr>
            </w:pPr>
            <w:r w:rsidRPr="005D4222">
              <w:rPr>
                <w:i/>
                <w:iCs/>
              </w:rPr>
              <w:t>Product lines</w:t>
            </w:r>
            <w:r w:rsidRPr="005D4222">
              <w:t xml:space="preserve">. </w:t>
            </w:r>
            <w:r w:rsidRPr="005D4222">
              <w:rPr>
                <w:rFonts w:eastAsia="Arial"/>
              </w:rPr>
              <w:t>Organizations are not required to use product line criteria; product lines may be combined</w:t>
            </w:r>
            <w:r w:rsidR="00E8671F" w:rsidRPr="005D4222">
              <w:rPr>
                <w:rFonts w:eastAsia="Arial"/>
              </w:rPr>
              <w:t>,</w:t>
            </w:r>
            <w:r w:rsidRPr="005D4222">
              <w:rPr>
                <w:rFonts w:eastAsia="Arial"/>
              </w:rPr>
              <w:t xml:space="preserve"> and all (or no) product line criteria may be used.</w:t>
            </w:r>
          </w:p>
          <w:p w14:paraId="7F6032F9" w14:textId="77777777" w:rsidR="00834A27" w:rsidRPr="005D4222" w:rsidRDefault="00834A27" w:rsidP="005D6173">
            <w:pPr>
              <w:pStyle w:val="ProcessBullet"/>
              <w:numPr>
                <w:ilvl w:val="0"/>
                <w:numId w:val="98"/>
              </w:numPr>
              <w:ind w:left="216" w:hanging="216"/>
              <w:rPr>
                <w:b/>
              </w:rPr>
            </w:pPr>
            <w:r w:rsidRPr="005D4222">
              <w:rPr>
                <w:i/>
                <w:iCs/>
              </w:rPr>
              <w:t>Ages.</w:t>
            </w:r>
            <w:r w:rsidRPr="005D4222">
              <w:rPr>
                <w:bCs/>
              </w:rPr>
              <w:t xml:space="preserve"> </w:t>
            </w:r>
            <w:r w:rsidRPr="005D4222">
              <w:rPr>
                <w:rFonts w:eastAsia="Arial"/>
              </w:rPr>
              <w:t>The age determination dates may be changed (e.g., select, “age as of June 30”). Changing the denominator age range is allowed.</w:t>
            </w:r>
          </w:p>
          <w:p w14:paraId="28908826" w14:textId="77777777" w:rsidR="00834A27" w:rsidRPr="005D4222" w:rsidRDefault="00834A27" w:rsidP="005D6173">
            <w:pPr>
              <w:pStyle w:val="ProcessBullet"/>
              <w:numPr>
                <w:ilvl w:val="0"/>
                <w:numId w:val="98"/>
              </w:numPr>
              <w:ind w:left="216" w:hanging="216"/>
              <w:rPr>
                <w:b/>
                <w:i/>
                <w:iCs/>
              </w:rPr>
            </w:pPr>
            <w:r w:rsidRPr="005D4222">
              <w:rPr>
                <w:rFonts w:eastAsia="Arial"/>
                <w:i/>
                <w:iCs/>
              </w:rPr>
              <w:t xml:space="preserve">Attribution. </w:t>
            </w:r>
            <w:r w:rsidRPr="005D4222">
              <w:rPr>
                <w:rFonts w:eastAsia="Arial"/>
              </w:rPr>
              <w:t>Organizations are not required to use enrollment criteria.</w:t>
            </w:r>
          </w:p>
          <w:p w14:paraId="4BC3DFDD" w14:textId="77777777" w:rsidR="00834A27" w:rsidRPr="005D4222" w:rsidRDefault="00834A27" w:rsidP="005D6173">
            <w:pPr>
              <w:pStyle w:val="ProcessBullet"/>
              <w:numPr>
                <w:ilvl w:val="0"/>
                <w:numId w:val="98"/>
              </w:numPr>
              <w:spacing w:after="80"/>
              <w:ind w:left="216" w:hanging="216"/>
              <w:rPr>
                <w:b/>
                <w:i/>
                <w:iCs/>
              </w:rPr>
            </w:pPr>
            <w:r w:rsidRPr="005D4222">
              <w:rPr>
                <w:rFonts w:eastAsia="Arial"/>
                <w:i/>
                <w:iCs/>
              </w:rPr>
              <w:t>Benefits.</w:t>
            </w:r>
            <w:r w:rsidRPr="005D4222">
              <w:rPr>
                <w:bCs/>
                <w:i/>
                <w:iCs/>
              </w:rPr>
              <w:t xml:space="preserve"> </w:t>
            </w:r>
            <w:r w:rsidRPr="005D4222">
              <w:rPr>
                <w:rFonts w:eastAsia="Arial"/>
              </w:rPr>
              <w:t>Organizations are not required to use a benefit.</w:t>
            </w:r>
          </w:p>
          <w:p w14:paraId="346FF4C2" w14:textId="77777777" w:rsidR="00834A27" w:rsidRPr="005D4222" w:rsidRDefault="00834A27" w:rsidP="005D6173">
            <w:pPr>
              <w:pStyle w:val="ProcessBullet"/>
              <w:numPr>
                <w:ilvl w:val="0"/>
                <w:numId w:val="98"/>
              </w:numPr>
              <w:spacing w:after="80"/>
              <w:ind w:left="216" w:hanging="216"/>
              <w:rPr>
                <w:b/>
                <w:i/>
                <w:iCs/>
              </w:rPr>
            </w:pPr>
            <w:r w:rsidRPr="005D4222">
              <w:rPr>
                <w:rFonts w:eastAsia="Arial"/>
                <w:i/>
                <w:iCs/>
              </w:rPr>
              <w:t>Other.</w:t>
            </w:r>
            <w:r w:rsidRPr="005D4222">
              <w:rPr>
                <w:bCs/>
              </w:rPr>
              <w:t xml:space="preserve"> </w:t>
            </w:r>
            <w:r w:rsidRPr="005D4222">
              <w:rPr>
                <w:rFonts w:eastAsia="Arial"/>
              </w:rPr>
              <w:t xml:space="preserve">Organizations may use additional initial population criteria to focus on an area of interest defined by gender, race, ethnicity, socioeconomic or sociodemographic characteristics, geographic region or another characteristic.  </w:t>
            </w:r>
          </w:p>
          <w:p w14:paraId="460D774A" w14:textId="77777777" w:rsidR="00834A27" w:rsidRPr="005D4222" w:rsidRDefault="00834A27" w:rsidP="005D6173">
            <w:pPr>
              <w:pStyle w:val="ProcessBullet"/>
              <w:numPr>
                <w:ilvl w:val="0"/>
                <w:numId w:val="98"/>
              </w:numPr>
              <w:spacing w:after="80"/>
              <w:ind w:left="216" w:hanging="216"/>
              <w:rPr>
                <w:bCs/>
              </w:rPr>
            </w:pPr>
            <w:r w:rsidRPr="005D4222">
              <w:rPr>
                <w:bCs/>
                <w:i/>
                <w:iCs/>
              </w:rPr>
              <w:t>Measurement period adjustments.</w:t>
            </w:r>
            <w:r w:rsidRPr="005D4222">
              <w:rPr>
                <w:bCs/>
              </w:rPr>
              <w:t xml:space="preserve"> Organizations may adjust the measurement period. </w:t>
            </w:r>
          </w:p>
          <w:p w14:paraId="0DA6304C" w14:textId="77777777" w:rsidR="00834A27" w:rsidRPr="005D4222" w:rsidRDefault="00834A27" w:rsidP="005D6173">
            <w:pPr>
              <w:pStyle w:val="ProcessBullet"/>
              <w:numPr>
                <w:ilvl w:val="0"/>
                <w:numId w:val="98"/>
              </w:numPr>
              <w:ind w:left="216" w:hanging="216"/>
              <w:rPr>
                <w:bCs/>
              </w:rPr>
            </w:pPr>
            <w:r w:rsidRPr="005D4222">
              <w:rPr>
                <w:bCs/>
                <w:i/>
                <w:iCs/>
              </w:rPr>
              <w:t>Exclusions.</w:t>
            </w:r>
            <w:r w:rsidRPr="005D4222">
              <w:rPr>
                <w:bCs/>
              </w:rPr>
              <w:t xml:space="preserve"> Hospice and deceased persons exclusions are not required. </w:t>
            </w:r>
          </w:p>
          <w:p w14:paraId="3B9781FE" w14:textId="073CCB42" w:rsidR="00834A27" w:rsidRPr="005D4222" w:rsidRDefault="00834A27" w:rsidP="005D6173">
            <w:pPr>
              <w:pStyle w:val="ProcessBullet"/>
              <w:numPr>
                <w:ilvl w:val="0"/>
                <w:numId w:val="98"/>
              </w:numPr>
              <w:spacing w:after="80"/>
              <w:ind w:left="216" w:hanging="216"/>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w:t>
            </w:r>
            <w:r w:rsidR="007D4B79" w:rsidRPr="005D4222">
              <w:t>events/diagnoses</w:t>
            </w:r>
            <w:r w:rsidRPr="005D4222">
              <w:t>, numerators and exclusions that do not allow the use of telehealth.</w:t>
            </w:r>
          </w:p>
          <w:p w14:paraId="3E62B175" w14:textId="77777777" w:rsidR="00834A27" w:rsidRPr="005D4222" w:rsidRDefault="00834A27" w:rsidP="005D6173">
            <w:pPr>
              <w:pStyle w:val="ProcessBullet"/>
              <w:numPr>
                <w:ilvl w:val="0"/>
                <w:numId w:val="98"/>
              </w:numPr>
              <w:ind w:left="216" w:hanging="216"/>
              <w:rPr>
                <w:bCs/>
              </w:rPr>
            </w:pPr>
            <w:r w:rsidRPr="005D4222">
              <w:rPr>
                <w:bCs/>
                <w:i/>
                <w:iCs/>
              </w:rPr>
              <w:t>Supplemental data.</w:t>
            </w:r>
            <w:r w:rsidRPr="005D4222">
              <w:rPr>
                <w:bCs/>
              </w:rPr>
              <w:t xml:space="preserve"> Supplemental data may be used to identify initial population, denominator, exclusion and numerator events.</w:t>
            </w:r>
          </w:p>
          <w:p w14:paraId="6B3EBA94" w14:textId="77777777" w:rsidR="00834A27" w:rsidRPr="005D4222" w:rsidRDefault="00834A27" w:rsidP="00A53E8C">
            <w:pPr>
              <w:pStyle w:val="Adjustments"/>
            </w:pPr>
            <w:r w:rsidRPr="005D4222">
              <w:t>Adjustments not allowed</w:t>
            </w:r>
          </w:p>
          <w:p w14:paraId="6088C13D" w14:textId="77777777" w:rsidR="00834A27" w:rsidRPr="005D4222" w:rsidRDefault="00834A27" w:rsidP="005D6173">
            <w:pPr>
              <w:pStyle w:val="ProcessBullet"/>
              <w:numPr>
                <w:ilvl w:val="0"/>
                <w:numId w:val="98"/>
              </w:numPr>
              <w:ind w:left="216" w:hanging="216"/>
              <w:rPr>
                <w:i/>
                <w:iCs/>
              </w:rPr>
            </w:pPr>
            <w:r w:rsidRPr="005D4222">
              <w:rPr>
                <w:i/>
                <w:iCs/>
              </w:rPr>
              <w:t>Initial population:</w:t>
            </w:r>
            <w:r w:rsidRPr="005D4222">
              <w:t xml:space="preserve"> Event.</w:t>
            </w:r>
            <w:r w:rsidRPr="005D4222">
              <w:rPr>
                <w:i/>
                <w:iCs/>
              </w:rPr>
              <w:t xml:space="preserve"> </w:t>
            </w:r>
            <w:r w:rsidRPr="005D4222">
              <w:rPr>
                <w:rFonts w:eastAsia="Arial"/>
              </w:rPr>
              <w:t>Medication lists, value sets and logic may not be changed.</w:t>
            </w:r>
          </w:p>
          <w:p w14:paraId="76FCC345" w14:textId="5F959AE9" w:rsidR="00721789" w:rsidRPr="005D4222" w:rsidRDefault="00721789" w:rsidP="005D6173">
            <w:pPr>
              <w:pStyle w:val="ProcessBullet"/>
              <w:numPr>
                <w:ilvl w:val="0"/>
                <w:numId w:val="98"/>
              </w:numPr>
              <w:ind w:left="216" w:hanging="216"/>
              <w:rPr>
                <w:i/>
                <w:iCs/>
              </w:rPr>
            </w:pPr>
            <w:r w:rsidRPr="005D4222">
              <w:rPr>
                <w:i/>
                <w:iCs/>
              </w:rPr>
              <w:t>Exclusio</w:t>
            </w:r>
            <w:r w:rsidR="00FA07C2" w:rsidRPr="005D4222">
              <w:rPr>
                <w:i/>
                <w:iCs/>
              </w:rPr>
              <w:t xml:space="preserve">ns. </w:t>
            </w:r>
            <w:r w:rsidR="00FA07C2" w:rsidRPr="005D4222">
              <w:t>The persons for whom first-line antipsychotic medications may be clinically appropriate exclusions</w:t>
            </w:r>
            <w:r w:rsidR="008A48EF" w:rsidRPr="005D4222">
              <w:t xml:space="preserve"> must be applied. </w:t>
            </w:r>
            <w:r w:rsidR="00834A27" w:rsidRPr="005D4222">
              <w:rPr>
                <w:rFonts w:eastAsia="Arial"/>
              </w:rPr>
              <w:t>Value sets and logic may not be changed.</w:t>
            </w:r>
          </w:p>
          <w:p w14:paraId="796A3C90" w14:textId="77777777" w:rsidR="00834A27" w:rsidRPr="005D4222" w:rsidRDefault="00834A27" w:rsidP="005D6173">
            <w:pPr>
              <w:pStyle w:val="ProcessBullet"/>
              <w:numPr>
                <w:ilvl w:val="0"/>
                <w:numId w:val="98"/>
              </w:numPr>
              <w:spacing w:after="80"/>
              <w:ind w:left="216" w:hanging="216"/>
              <w:rPr>
                <w:i/>
                <w:iCs/>
              </w:rPr>
            </w:pPr>
            <w:r w:rsidRPr="005D4222">
              <w:rPr>
                <w:rFonts w:eastAsia="Arial"/>
                <w:i/>
                <w:iCs/>
              </w:rPr>
              <w:t>Numerator</w:t>
            </w:r>
            <w:r w:rsidRPr="005D4222">
              <w:rPr>
                <w:rFonts w:eastAsia="Arial"/>
              </w:rPr>
              <w:t>. Value sets and logic may not be changed.</w:t>
            </w:r>
          </w:p>
        </w:tc>
      </w:tr>
    </w:tbl>
    <w:p w14:paraId="648313A3" w14:textId="77777777" w:rsidR="00834A27" w:rsidRPr="005D4222" w:rsidRDefault="00834A27" w:rsidP="00331DB7">
      <w:pPr>
        <w:pStyle w:val="ECDSBody"/>
        <w:sectPr w:rsidR="00834A27" w:rsidRPr="005D4222" w:rsidSect="0074514A">
          <w:headerReference w:type="default" r:id="rId168"/>
          <w:type w:val="nextColumn"/>
          <w:pgSz w:w="12240" w:h="15840" w:code="1"/>
          <w:pgMar w:top="1080" w:right="1080" w:bottom="1080" w:left="1440" w:header="720" w:footer="720" w:gutter="0"/>
          <w:cols w:space="720"/>
          <w:docGrid w:linePitch="360"/>
        </w:sectPr>
      </w:pPr>
    </w:p>
    <w:p w14:paraId="51484C6D" w14:textId="01FD13C9" w:rsidR="007560AC" w:rsidRPr="005D4222" w:rsidRDefault="007560AC" w:rsidP="007560AC">
      <w:pPr>
        <w:pStyle w:val="Breakpage"/>
        <w:rPr>
          <w:rFonts w:eastAsia="Calibri"/>
        </w:rPr>
      </w:pPr>
      <w:bookmarkStart w:id="368" w:name="_Toc74826753"/>
      <w:bookmarkStart w:id="369" w:name="_Toc171403036"/>
      <w:bookmarkStart w:id="370" w:name="_Toc201813444"/>
      <w:r w:rsidRPr="005D4222">
        <w:rPr>
          <w:rFonts w:eastAsia="Calibri"/>
        </w:rPr>
        <w:lastRenderedPageBreak/>
        <w:t>Experience of Care</w:t>
      </w:r>
      <w:bookmarkEnd w:id="368"/>
      <w:bookmarkEnd w:id="369"/>
      <w:bookmarkEnd w:id="370"/>
      <w:r w:rsidR="00EA3030">
        <w:rPr>
          <w:rFonts w:eastAsia="Calibri"/>
        </w:rPr>
        <w:t xml:space="preserve"> Measures</w:t>
      </w:r>
    </w:p>
    <w:p w14:paraId="5DA8C90A" w14:textId="77777777" w:rsidR="007560AC" w:rsidRPr="005D4222" w:rsidRDefault="007560AC" w:rsidP="007560AC">
      <w:pPr>
        <w:pStyle w:val="Breakpage"/>
        <w:rPr>
          <w:rFonts w:eastAsia="Calibri"/>
        </w:rPr>
      </w:pPr>
    </w:p>
    <w:p w14:paraId="2F355D80" w14:textId="77777777" w:rsidR="007560AC" w:rsidRPr="005D4222" w:rsidRDefault="007560AC" w:rsidP="007560AC">
      <w:pPr>
        <w:pStyle w:val="Breakpage"/>
        <w:rPr>
          <w:rFonts w:eastAsia="Calibri"/>
        </w:rPr>
      </w:pPr>
    </w:p>
    <w:p w14:paraId="2D50BB50" w14:textId="77777777" w:rsidR="007560AC" w:rsidRPr="005D4222" w:rsidRDefault="007560AC" w:rsidP="007560AC">
      <w:pPr>
        <w:jc w:val="right"/>
        <w:rPr>
          <w:rFonts w:eastAsia="Calibri"/>
          <w:b/>
          <w:sz w:val="48"/>
        </w:rPr>
        <w:sectPr w:rsidR="007560AC" w:rsidRPr="005D4222" w:rsidSect="0074514A">
          <w:headerReference w:type="default" r:id="rId169"/>
          <w:footerReference w:type="even" r:id="rId170"/>
          <w:footerReference w:type="default" r:id="rId171"/>
          <w:headerReference w:type="first" r:id="rId172"/>
          <w:footerReference w:type="first" r:id="rId173"/>
          <w:type w:val="nextColumn"/>
          <w:pgSz w:w="12240" w:h="15840" w:code="1"/>
          <w:pgMar w:top="1080" w:right="1080" w:bottom="1080" w:left="1440" w:header="720" w:footer="720" w:gutter="0"/>
          <w:cols w:space="720"/>
        </w:sectPr>
      </w:pPr>
    </w:p>
    <w:p w14:paraId="0D2EAE4D" w14:textId="77777777" w:rsidR="007560AC" w:rsidRPr="005D4222" w:rsidRDefault="007560AC" w:rsidP="007560AC">
      <w:pPr>
        <w:pStyle w:val="Heading2"/>
        <w:rPr>
          <w:rFonts w:eastAsia="Calibri" w:cs="Arial"/>
          <w:b w:val="0"/>
          <w:bCs/>
          <w:i w:val="0"/>
          <w:iCs/>
          <w:color w:val="000000" w:themeColor="text1"/>
          <w:szCs w:val="28"/>
        </w:rPr>
      </w:pPr>
      <w:bookmarkStart w:id="371" w:name="CAHPS_Adult_CPA"/>
      <w:bookmarkStart w:id="372" w:name="_Toc400546169"/>
      <w:bookmarkStart w:id="373" w:name="_Toc74826754"/>
      <w:bookmarkStart w:id="374" w:name="_Toc171403037"/>
      <w:bookmarkStart w:id="375" w:name="_Toc201813445"/>
      <w:bookmarkStart w:id="376" w:name="CPA"/>
      <w:r w:rsidRPr="005D4222">
        <w:rPr>
          <w:rFonts w:eastAsia="Calibri" w:cs="Arial"/>
          <w:bCs/>
          <w:iCs/>
          <w:color w:val="000000" w:themeColor="text1"/>
          <w:szCs w:val="28"/>
        </w:rPr>
        <w:lastRenderedPageBreak/>
        <w:t>CAHPS Health Plan</w:t>
      </w:r>
      <w:bookmarkEnd w:id="371"/>
      <w:r w:rsidRPr="005D4222">
        <w:rPr>
          <w:rFonts w:eastAsia="Calibri" w:cs="Arial"/>
          <w:bCs/>
          <w:iCs/>
          <w:color w:val="000000" w:themeColor="text1"/>
          <w:szCs w:val="28"/>
        </w:rPr>
        <w:t xml:space="preserve"> Survey 5.1H, Adult Version (CPA)</w:t>
      </w:r>
      <w:bookmarkEnd w:id="372"/>
      <w:bookmarkEnd w:id="373"/>
      <w:bookmarkEnd w:id="374"/>
      <w:bookmarkEnd w:id="375"/>
    </w:p>
    <w:bookmarkEnd w:id="376"/>
    <w:p w14:paraId="52E18954" w14:textId="77777777" w:rsidR="007560AC" w:rsidRPr="005D4222" w:rsidRDefault="007560AC" w:rsidP="007560AC">
      <w:pPr>
        <w:pStyle w:val="Body"/>
        <w:spacing w:before="0"/>
      </w:pPr>
      <w:r w:rsidRPr="005D4222">
        <w:t xml:space="preserve">This measure is collected using survey methodology. Refer to </w:t>
      </w:r>
      <w:r w:rsidRPr="005D4222">
        <w:rPr>
          <w:i/>
          <w:iCs/>
        </w:rPr>
        <w:t>HEDIS Volume 3: Specifications for Survey Measures</w:t>
      </w:r>
      <w:r w:rsidRPr="005D4222">
        <w:t xml:space="preserve"> for the measure specifications and data collection protocols.</w:t>
      </w:r>
    </w:p>
    <w:p w14:paraId="315E2EB0" w14:textId="57826840" w:rsidR="007560AC" w:rsidRPr="005D4222" w:rsidRDefault="002B51D3" w:rsidP="002B51D3">
      <w:pPr>
        <w:pStyle w:val="ReverseHead"/>
      </w:pPr>
      <w:r w:rsidRPr="005D4222">
        <w:rPr>
          <w:bCs/>
        </w:rPr>
        <w:t>Description</w:t>
      </w:r>
    </w:p>
    <w:p w14:paraId="0531E13F" w14:textId="77777777" w:rsidR="007560AC" w:rsidRPr="005D4222" w:rsidRDefault="007560AC" w:rsidP="007560AC">
      <w:pPr>
        <w:pStyle w:val="Body"/>
      </w:pPr>
      <w:r w:rsidRPr="005D4222">
        <w:t>This measure provides information on the experiences of commercial and Medicaid members with the organization and gives a general indication of how well the organization meets members’ expectations. Results summarize member experiences through ratings, composites and question summary rates.</w:t>
      </w:r>
    </w:p>
    <w:p w14:paraId="659AD00D" w14:textId="77777777" w:rsidR="007560AC" w:rsidRPr="005D4222" w:rsidRDefault="007560AC" w:rsidP="007560AC">
      <w:pPr>
        <w:pStyle w:val="Body"/>
      </w:pPr>
      <w:r w:rsidRPr="005D4222">
        <w:t>Four global rating questions reflect overall satisfaction:</w:t>
      </w:r>
    </w:p>
    <w:p w14:paraId="7F2C7C54" w14:textId="77777777" w:rsidR="007560AC" w:rsidRPr="005D4222" w:rsidRDefault="007560AC" w:rsidP="005D6173">
      <w:pPr>
        <w:pStyle w:val="Body"/>
        <w:numPr>
          <w:ilvl w:val="0"/>
          <w:numId w:val="99"/>
        </w:numPr>
        <w:spacing w:before="120"/>
        <w:ind w:left="648" w:hanging="288"/>
      </w:pPr>
      <w:r w:rsidRPr="005D4222">
        <w:t>Rating of All Health Care.</w:t>
      </w:r>
    </w:p>
    <w:p w14:paraId="68AA9B26" w14:textId="77777777" w:rsidR="007560AC" w:rsidRPr="005D4222" w:rsidRDefault="007560AC" w:rsidP="005D6173">
      <w:pPr>
        <w:pStyle w:val="Body"/>
        <w:numPr>
          <w:ilvl w:val="0"/>
          <w:numId w:val="99"/>
        </w:numPr>
        <w:spacing w:before="120"/>
        <w:ind w:left="648" w:hanging="288"/>
      </w:pPr>
      <w:r w:rsidRPr="005D4222">
        <w:t>Rating of Health Plan.</w:t>
      </w:r>
    </w:p>
    <w:p w14:paraId="740EEBB9" w14:textId="77777777" w:rsidR="007560AC" w:rsidRPr="005D4222" w:rsidRDefault="007560AC" w:rsidP="005D6173">
      <w:pPr>
        <w:pStyle w:val="Body"/>
        <w:numPr>
          <w:ilvl w:val="0"/>
          <w:numId w:val="99"/>
        </w:numPr>
        <w:spacing w:before="120"/>
        <w:ind w:left="648" w:hanging="288"/>
      </w:pPr>
      <w:r w:rsidRPr="005D4222">
        <w:t>Rating of Personal Doctor.</w:t>
      </w:r>
    </w:p>
    <w:p w14:paraId="7B762020" w14:textId="77777777" w:rsidR="007560AC" w:rsidRPr="005D4222" w:rsidRDefault="007560AC" w:rsidP="005D6173">
      <w:pPr>
        <w:pStyle w:val="Body"/>
        <w:numPr>
          <w:ilvl w:val="0"/>
          <w:numId w:val="99"/>
        </w:numPr>
        <w:spacing w:before="120"/>
        <w:ind w:left="648" w:hanging="288"/>
      </w:pPr>
      <w:r w:rsidRPr="005D4222">
        <w:t>Rating of Specialist Seen Most Often.</w:t>
      </w:r>
    </w:p>
    <w:p w14:paraId="7DBB58A4" w14:textId="77777777" w:rsidR="007560AC" w:rsidRPr="005D4222" w:rsidRDefault="007560AC" w:rsidP="007560AC">
      <w:pPr>
        <w:pStyle w:val="Body"/>
      </w:pPr>
      <w:r w:rsidRPr="005D4222">
        <w:t>Five composite scores summarize responses in key areas:</w:t>
      </w:r>
    </w:p>
    <w:p w14:paraId="174496DF" w14:textId="77777777" w:rsidR="007560AC" w:rsidRPr="005D4222" w:rsidRDefault="007560AC" w:rsidP="005D6173">
      <w:pPr>
        <w:pStyle w:val="Body"/>
        <w:numPr>
          <w:ilvl w:val="0"/>
          <w:numId w:val="100"/>
        </w:numPr>
        <w:spacing w:before="120"/>
        <w:ind w:left="648" w:hanging="288"/>
      </w:pPr>
      <w:r w:rsidRPr="005D4222">
        <w:t>Claims Processing (commercial only).</w:t>
      </w:r>
    </w:p>
    <w:p w14:paraId="3D5CB643" w14:textId="77777777" w:rsidR="007560AC" w:rsidRPr="005D4222" w:rsidRDefault="007560AC" w:rsidP="005D6173">
      <w:pPr>
        <w:pStyle w:val="Body"/>
        <w:numPr>
          <w:ilvl w:val="0"/>
          <w:numId w:val="100"/>
        </w:numPr>
        <w:spacing w:before="120"/>
        <w:ind w:left="648" w:hanging="288"/>
      </w:pPr>
      <w:r w:rsidRPr="005D4222">
        <w:t>Customer Service.</w:t>
      </w:r>
    </w:p>
    <w:p w14:paraId="28C90C98" w14:textId="77777777" w:rsidR="007560AC" w:rsidRPr="005D4222" w:rsidRDefault="007560AC" w:rsidP="005D6173">
      <w:pPr>
        <w:pStyle w:val="Body"/>
        <w:numPr>
          <w:ilvl w:val="0"/>
          <w:numId w:val="100"/>
        </w:numPr>
        <w:spacing w:before="120"/>
        <w:ind w:left="648" w:hanging="288"/>
      </w:pPr>
      <w:r w:rsidRPr="005D4222">
        <w:t>Getting Care Quickly.</w:t>
      </w:r>
    </w:p>
    <w:p w14:paraId="43F4FE68" w14:textId="77777777" w:rsidR="007560AC" w:rsidRPr="005D4222" w:rsidRDefault="007560AC" w:rsidP="005D6173">
      <w:pPr>
        <w:pStyle w:val="Body"/>
        <w:numPr>
          <w:ilvl w:val="0"/>
          <w:numId w:val="100"/>
        </w:numPr>
        <w:spacing w:before="120"/>
        <w:ind w:left="648" w:hanging="288"/>
      </w:pPr>
      <w:r w:rsidRPr="005D4222">
        <w:t>Getting Needed Care.</w:t>
      </w:r>
    </w:p>
    <w:p w14:paraId="28D0B7CC" w14:textId="77777777" w:rsidR="007560AC" w:rsidRPr="005D4222" w:rsidRDefault="007560AC" w:rsidP="005D6173">
      <w:pPr>
        <w:pStyle w:val="Body"/>
        <w:numPr>
          <w:ilvl w:val="0"/>
          <w:numId w:val="100"/>
        </w:numPr>
        <w:spacing w:before="120"/>
        <w:ind w:left="648" w:hanging="288"/>
      </w:pPr>
      <w:r w:rsidRPr="005D4222">
        <w:t>How Well Doctors Communicate.</w:t>
      </w:r>
    </w:p>
    <w:p w14:paraId="6A27C2AE" w14:textId="77777777" w:rsidR="007560AC" w:rsidRPr="005D4222" w:rsidRDefault="007560AC" w:rsidP="007560AC">
      <w:pPr>
        <w:pStyle w:val="Body"/>
      </w:pPr>
      <w:r w:rsidRPr="005D4222">
        <w:t>Item-specific question summary rates are reported for the rating questions and each composite question. Question Summary Rates are also reported individually for one item summarizing the following concept:</w:t>
      </w:r>
    </w:p>
    <w:p w14:paraId="1264888C" w14:textId="77777777" w:rsidR="007560AC" w:rsidRPr="005D4222" w:rsidRDefault="007560AC" w:rsidP="005D6173">
      <w:pPr>
        <w:pStyle w:val="Body"/>
        <w:numPr>
          <w:ilvl w:val="0"/>
          <w:numId w:val="101"/>
        </w:numPr>
        <w:spacing w:before="120"/>
        <w:ind w:left="648" w:hanging="288"/>
      </w:pPr>
      <w:r w:rsidRPr="005D4222">
        <w:t>Coordination of Care.</w:t>
      </w:r>
    </w:p>
    <w:p w14:paraId="35D71596" w14:textId="77777777" w:rsidR="007560AC" w:rsidRPr="005D4222" w:rsidRDefault="007560AC" w:rsidP="007560AC">
      <w:pPr>
        <w:pStyle w:val="Note"/>
      </w:pPr>
      <w:r w:rsidRPr="005D4222">
        <w:rPr>
          <w:b/>
        </w:rPr>
        <w:t xml:space="preserve">Note: </w:t>
      </w:r>
      <w:r w:rsidRPr="005D4222">
        <w:t xml:space="preserve">Medicare member experience with the organization is assessed through the Medicare CAHPS survey. Medicare CAHPS is not a HEDIS measure, Medicare CAHPS is maintained and administered by the Centers for Medicare &amp; Medicaid Services (CMS) on behalf of Medicare Advantage (MA) plans. </w:t>
      </w:r>
    </w:p>
    <w:p w14:paraId="1763F436" w14:textId="77777777" w:rsidR="007560AC" w:rsidRPr="005D4222" w:rsidRDefault="007560AC" w:rsidP="007560AC">
      <w:pPr>
        <w:spacing w:before="180"/>
      </w:pPr>
    </w:p>
    <w:p w14:paraId="709C717D" w14:textId="77777777" w:rsidR="007560AC" w:rsidRPr="005D4222" w:rsidRDefault="007560AC" w:rsidP="007560AC">
      <w:pPr>
        <w:spacing w:before="180"/>
      </w:pPr>
    </w:p>
    <w:p w14:paraId="3CBAB941" w14:textId="77777777" w:rsidR="007560AC" w:rsidRPr="005D4222" w:rsidRDefault="007560AC" w:rsidP="007560AC">
      <w:pPr>
        <w:spacing w:before="180"/>
        <w:sectPr w:rsidR="007560AC" w:rsidRPr="005D4222" w:rsidSect="0074514A">
          <w:headerReference w:type="even" r:id="rId174"/>
          <w:headerReference w:type="default" r:id="rId175"/>
          <w:footerReference w:type="default" r:id="rId176"/>
          <w:headerReference w:type="first" r:id="rId177"/>
          <w:footerReference w:type="first" r:id="rId178"/>
          <w:type w:val="nextColumn"/>
          <w:pgSz w:w="12240" w:h="15840" w:code="1"/>
          <w:pgMar w:top="1080" w:right="1080" w:bottom="1080" w:left="1440" w:header="720" w:footer="720" w:gutter="0"/>
          <w:cols w:space="720"/>
        </w:sectPr>
      </w:pPr>
    </w:p>
    <w:p w14:paraId="6261BB5E" w14:textId="77777777" w:rsidR="007560AC" w:rsidRPr="005D4222" w:rsidRDefault="007560AC" w:rsidP="007560AC">
      <w:pPr>
        <w:pStyle w:val="Heading2"/>
        <w:rPr>
          <w:rFonts w:eastAsia="Calibri" w:cs="Arial"/>
          <w:b w:val="0"/>
          <w:bCs/>
          <w:i w:val="0"/>
          <w:iCs/>
          <w:color w:val="000000" w:themeColor="text1"/>
          <w:szCs w:val="28"/>
        </w:rPr>
      </w:pPr>
      <w:bookmarkStart w:id="377" w:name="CAHPS_Child_CPC"/>
      <w:bookmarkStart w:id="378" w:name="_Toc400546170"/>
      <w:bookmarkStart w:id="379" w:name="_Toc74826755"/>
      <w:bookmarkStart w:id="380" w:name="_Toc171403038"/>
      <w:bookmarkStart w:id="381" w:name="_Toc201813446"/>
      <w:bookmarkStart w:id="382" w:name="CPC"/>
      <w:r w:rsidRPr="005D4222">
        <w:rPr>
          <w:rFonts w:eastAsia="Calibri" w:cs="Arial"/>
          <w:bCs/>
          <w:iCs/>
          <w:color w:val="000000" w:themeColor="text1"/>
          <w:szCs w:val="28"/>
        </w:rPr>
        <w:lastRenderedPageBreak/>
        <w:t>CAHPS Health Plan Survey</w:t>
      </w:r>
      <w:bookmarkEnd w:id="377"/>
      <w:r w:rsidRPr="005D4222">
        <w:rPr>
          <w:rFonts w:eastAsia="Calibri" w:cs="Arial"/>
          <w:bCs/>
          <w:iCs/>
          <w:color w:val="000000" w:themeColor="text1"/>
          <w:szCs w:val="28"/>
        </w:rPr>
        <w:t xml:space="preserve"> 5.1H, Child Version (CPC)</w:t>
      </w:r>
      <w:bookmarkEnd w:id="378"/>
      <w:bookmarkEnd w:id="379"/>
      <w:bookmarkEnd w:id="380"/>
      <w:bookmarkEnd w:id="381"/>
    </w:p>
    <w:bookmarkEnd w:id="382"/>
    <w:p w14:paraId="5A5DED4C" w14:textId="77777777" w:rsidR="007560AC" w:rsidRPr="005D4222" w:rsidRDefault="007560AC" w:rsidP="007560AC">
      <w:pPr>
        <w:pStyle w:val="Body"/>
        <w:spacing w:before="0"/>
        <w:rPr>
          <w:i/>
          <w:iCs/>
        </w:rPr>
      </w:pPr>
      <w:r w:rsidRPr="005D4222">
        <w:t xml:space="preserve">This measure is collected using survey methodology. Refer to </w:t>
      </w:r>
      <w:r w:rsidRPr="005D4222">
        <w:rPr>
          <w:i/>
          <w:iCs/>
        </w:rPr>
        <w:t>HEDIS Volume 3: Specifications for Survey Measures</w:t>
      </w:r>
      <w:r w:rsidRPr="005D4222">
        <w:t xml:space="preserve"> for the measure specifications and data collection protocols.</w:t>
      </w:r>
    </w:p>
    <w:p w14:paraId="606568E1" w14:textId="0427310E" w:rsidR="007560AC" w:rsidRPr="005D4222" w:rsidRDefault="002B51D3" w:rsidP="002B51D3">
      <w:pPr>
        <w:pStyle w:val="ReverseHead"/>
      </w:pPr>
      <w:r w:rsidRPr="005D4222">
        <w:rPr>
          <w:bCs/>
        </w:rPr>
        <w:t>Description</w:t>
      </w:r>
    </w:p>
    <w:p w14:paraId="2D756BA3" w14:textId="77777777" w:rsidR="007560AC" w:rsidRPr="005D4222" w:rsidRDefault="007560AC" w:rsidP="007560AC">
      <w:pPr>
        <w:pStyle w:val="Body"/>
      </w:pPr>
      <w:r w:rsidRPr="005D4222">
        <w:t>This measure provides information on parents’ experience with their child’s Medicaid organization. Results summarize member experiences through ratings, composites and individual question summary rates.</w:t>
      </w:r>
    </w:p>
    <w:p w14:paraId="0CAF1546" w14:textId="77777777" w:rsidR="007560AC" w:rsidRPr="005D4222" w:rsidRDefault="007560AC" w:rsidP="007560AC">
      <w:pPr>
        <w:pStyle w:val="Body"/>
      </w:pPr>
      <w:r w:rsidRPr="005D4222">
        <w:t>Four global rating questions reflect overall satisfaction:</w:t>
      </w:r>
    </w:p>
    <w:p w14:paraId="33CFD5BA" w14:textId="77777777" w:rsidR="007560AC" w:rsidRPr="005D4222" w:rsidRDefault="007560AC" w:rsidP="005D6173">
      <w:pPr>
        <w:pStyle w:val="Body"/>
        <w:numPr>
          <w:ilvl w:val="0"/>
          <w:numId w:val="102"/>
        </w:numPr>
        <w:spacing w:before="120"/>
        <w:ind w:left="648" w:hanging="288"/>
      </w:pPr>
      <w:r w:rsidRPr="005D4222">
        <w:t>Rating of All Health Care.</w:t>
      </w:r>
    </w:p>
    <w:p w14:paraId="47471C5B" w14:textId="77777777" w:rsidR="007560AC" w:rsidRPr="005D4222" w:rsidRDefault="007560AC" w:rsidP="005D6173">
      <w:pPr>
        <w:pStyle w:val="Body"/>
        <w:numPr>
          <w:ilvl w:val="0"/>
          <w:numId w:val="102"/>
        </w:numPr>
        <w:spacing w:before="120"/>
        <w:ind w:left="648" w:hanging="288"/>
      </w:pPr>
      <w:r w:rsidRPr="005D4222">
        <w:t>Rating of Health Plan.</w:t>
      </w:r>
    </w:p>
    <w:p w14:paraId="0E17BC75" w14:textId="77777777" w:rsidR="007560AC" w:rsidRPr="005D4222" w:rsidRDefault="007560AC" w:rsidP="005D6173">
      <w:pPr>
        <w:pStyle w:val="Body"/>
        <w:numPr>
          <w:ilvl w:val="0"/>
          <w:numId w:val="102"/>
        </w:numPr>
        <w:spacing w:before="120"/>
        <w:ind w:left="648" w:hanging="288"/>
      </w:pPr>
      <w:r w:rsidRPr="005D4222">
        <w:t>Rating of Personal Doctor.</w:t>
      </w:r>
    </w:p>
    <w:p w14:paraId="3FA58F79" w14:textId="77777777" w:rsidR="007560AC" w:rsidRPr="005D4222" w:rsidRDefault="007560AC" w:rsidP="005D6173">
      <w:pPr>
        <w:pStyle w:val="Body"/>
        <w:numPr>
          <w:ilvl w:val="0"/>
          <w:numId w:val="102"/>
        </w:numPr>
        <w:spacing w:before="120"/>
        <w:ind w:left="648" w:hanging="288"/>
      </w:pPr>
      <w:r w:rsidRPr="005D4222">
        <w:t>Rating of Specialist Seen Most Often.</w:t>
      </w:r>
    </w:p>
    <w:p w14:paraId="4D7DECEC" w14:textId="77777777" w:rsidR="007560AC" w:rsidRPr="005D4222" w:rsidRDefault="007560AC" w:rsidP="007560AC">
      <w:pPr>
        <w:pStyle w:val="Body"/>
      </w:pPr>
      <w:r w:rsidRPr="005D4222">
        <w:t>Four composite scores summarize responses in key areas:</w:t>
      </w:r>
    </w:p>
    <w:p w14:paraId="72F6FD03" w14:textId="77777777" w:rsidR="007560AC" w:rsidRPr="005D4222" w:rsidRDefault="007560AC" w:rsidP="005D6173">
      <w:pPr>
        <w:pStyle w:val="Body"/>
        <w:numPr>
          <w:ilvl w:val="0"/>
          <w:numId w:val="103"/>
        </w:numPr>
        <w:spacing w:before="120"/>
        <w:ind w:left="648" w:hanging="288"/>
      </w:pPr>
      <w:r w:rsidRPr="005D4222">
        <w:t>Customer Service.</w:t>
      </w:r>
    </w:p>
    <w:p w14:paraId="08554FC8" w14:textId="77777777" w:rsidR="007560AC" w:rsidRPr="005D4222" w:rsidRDefault="007560AC" w:rsidP="005D6173">
      <w:pPr>
        <w:pStyle w:val="Body"/>
        <w:numPr>
          <w:ilvl w:val="0"/>
          <w:numId w:val="103"/>
        </w:numPr>
        <w:spacing w:before="120"/>
        <w:ind w:left="648" w:hanging="288"/>
      </w:pPr>
      <w:r w:rsidRPr="005D4222">
        <w:t>Getting Care Quickly.</w:t>
      </w:r>
    </w:p>
    <w:p w14:paraId="4BE27084" w14:textId="77777777" w:rsidR="007560AC" w:rsidRPr="005D4222" w:rsidRDefault="007560AC" w:rsidP="005D6173">
      <w:pPr>
        <w:pStyle w:val="Body"/>
        <w:numPr>
          <w:ilvl w:val="0"/>
          <w:numId w:val="103"/>
        </w:numPr>
        <w:spacing w:before="120"/>
        <w:ind w:left="648" w:hanging="288"/>
      </w:pPr>
      <w:r w:rsidRPr="005D4222">
        <w:t>Getting Needed Care.</w:t>
      </w:r>
    </w:p>
    <w:p w14:paraId="49034F05" w14:textId="77777777" w:rsidR="007560AC" w:rsidRPr="005D4222" w:rsidRDefault="007560AC" w:rsidP="005D6173">
      <w:pPr>
        <w:pStyle w:val="Body"/>
        <w:numPr>
          <w:ilvl w:val="0"/>
          <w:numId w:val="103"/>
        </w:numPr>
        <w:spacing w:before="120"/>
        <w:ind w:left="648" w:hanging="288"/>
      </w:pPr>
      <w:r w:rsidRPr="005D4222">
        <w:t>How Well Doctors Communicate.</w:t>
      </w:r>
    </w:p>
    <w:p w14:paraId="1EFB4F35" w14:textId="77777777" w:rsidR="007560AC" w:rsidRPr="005D4222" w:rsidRDefault="007560AC" w:rsidP="007560AC">
      <w:pPr>
        <w:pStyle w:val="Body"/>
      </w:pPr>
      <w:r w:rsidRPr="005D4222">
        <w:t>Item-specific question summary rates are reported for the rating questions and each composite question. Question Summary Rates are also reported individually for one item summarizing the following concept:</w:t>
      </w:r>
    </w:p>
    <w:p w14:paraId="2A1A564F" w14:textId="77777777" w:rsidR="007560AC" w:rsidRPr="005D4222" w:rsidRDefault="007560AC" w:rsidP="005D6173">
      <w:pPr>
        <w:pStyle w:val="Body"/>
        <w:numPr>
          <w:ilvl w:val="0"/>
          <w:numId w:val="104"/>
        </w:numPr>
        <w:spacing w:before="120"/>
        <w:ind w:left="648" w:hanging="288"/>
      </w:pPr>
      <w:r w:rsidRPr="005D4222">
        <w:t>Coordination of Care.</w:t>
      </w:r>
    </w:p>
    <w:p w14:paraId="4F6DD510" w14:textId="77777777" w:rsidR="007560AC" w:rsidRPr="005D4222" w:rsidRDefault="007560AC" w:rsidP="007560AC">
      <w:pPr>
        <w:spacing w:before="180"/>
        <w:rPr>
          <w:rFonts w:eastAsia="Calibri" w:cs="Arial"/>
          <w:i/>
        </w:rPr>
      </w:pPr>
    </w:p>
    <w:p w14:paraId="4393A1C7" w14:textId="77777777" w:rsidR="007560AC" w:rsidRPr="005D4222" w:rsidRDefault="007560AC" w:rsidP="007560AC">
      <w:pPr>
        <w:spacing w:before="180"/>
        <w:rPr>
          <w:rFonts w:eastAsia="Calibri" w:cs="Arial"/>
        </w:rPr>
      </w:pPr>
    </w:p>
    <w:p w14:paraId="11B21667" w14:textId="77777777" w:rsidR="007560AC" w:rsidRPr="005D4222" w:rsidRDefault="007560AC" w:rsidP="007560AC">
      <w:pPr>
        <w:spacing w:before="180"/>
        <w:rPr>
          <w:rFonts w:eastAsia="Calibri" w:cs="Arial"/>
        </w:rPr>
        <w:sectPr w:rsidR="007560AC" w:rsidRPr="005D4222" w:rsidSect="0074514A">
          <w:headerReference w:type="even" r:id="rId179"/>
          <w:headerReference w:type="default" r:id="rId180"/>
          <w:footerReference w:type="default" r:id="rId181"/>
          <w:headerReference w:type="first" r:id="rId182"/>
          <w:footerReference w:type="first" r:id="rId183"/>
          <w:type w:val="nextColumn"/>
          <w:pgSz w:w="12240" w:h="15840" w:code="1"/>
          <w:pgMar w:top="1080" w:right="1080" w:bottom="1080" w:left="1440" w:header="720" w:footer="720" w:gutter="0"/>
          <w:cols w:space="720"/>
        </w:sectPr>
      </w:pPr>
    </w:p>
    <w:p w14:paraId="78122F5A" w14:textId="77777777" w:rsidR="007560AC" w:rsidRPr="005D4222" w:rsidRDefault="007560AC" w:rsidP="007560AC">
      <w:pPr>
        <w:pStyle w:val="Heading2"/>
        <w:rPr>
          <w:rFonts w:eastAsia="Calibri" w:cs="Arial"/>
          <w:b w:val="0"/>
          <w:bCs/>
          <w:i w:val="0"/>
          <w:iCs/>
          <w:color w:val="000000" w:themeColor="text1"/>
        </w:rPr>
      </w:pPr>
      <w:bookmarkStart w:id="383" w:name="Children_Chronic_Conditions_CCC"/>
      <w:bookmarkStart w:id="384" w:name="_Toc400546171"/>
      <w:bookmarkStart w:id="385" w:name="_Toc74826756"/>
      <w:bookmarkStart w:id="386" w:name="_Toc171403039"/>
      <w:bookmarkStart w:id="387" w:name="_Toc201813447"/>
      <w:bookmarkStart w:id="388" w:name="CCC"/>
      <w:r w:rsidRPr="005D4222">
        <w:rPr>
          <w:rFonts w:eastAsia="Calibri" w:cs="Arial"/>
          <w:bCs/>
          <w:iCs/>
          <w:color w:val="000000" w:themeColor="text1"/>
        </w:rPr>
        <w:lastRenderedPageBreak/>
        <w:t>Children With Chronic Conditions</w:t>
      </w:r>
      <w:bookmarkEnd w:id="383"/>
      <w:r w:rsidRPr="005D4222">
        <w:rPr>
          <w:rFonts w:eastAsia="Calibri" w:cs="Arial"/>
          <w:bCs/>
          <w:iCs/>
          <w:color w:val="000000" w:themeColor="text1"/>
        </w:rPr>
        <w:t xml:space="preserve"> (CCC)</w:t>
      </w:r>
      <w:bookmarkEnd w:id="384"/>
      <w:bookmarkEnd w:id="385"/>
      <w:bookmarkEnd w:id="386"/>
      <w:bookmarkEnd w:id="387"/>
    </w:p>
    <w:bookmarkEnd w:id="388"/>
    <w:p w14:paraId="6CAF89E7" w14:textId="77777777" w:rsidR="007560AC" w:rsidRPr="005D4222" w:rsidRDefault="007560AC" w:rsidP="007560AC">
      <w:pPr>
        <w:pStyle w:val="Body"/>
        <w:spacing w:before="0"/>
        <w:rPr>
          <w:i/>
          <w:iCs/>
        </w:rPr>
      </w:pPr>
      <w:r w:rsidRPr="005D4222">
        <w:t xml:space="preserve">This measure is collected using survey methodology. Refer to </w:t>
      </w:r>
      <w:r w:rsidRPr="005D4222">
        <w:rPr>
          <w:i/>
          <w:iCs/>
        </w:rPr>
        <w:t>HEDIS Volume 3: Specifications for Survey Measures</w:t>
      </w:r>
      <w:r w:rsidRPr="005D4222">
        <w:t xml:space="preserve"> for the measure specifications and data collection protocols.</w:t>
      </w:r>
    </w:p>
    <w:p w14:paraId="254A46A6" w14:textId="05EB9BE3" w:rsidR="007560AC" w:rsidRPr="005D4222" w:rsidRDefault="002B51D3" w:rsidP="002B51D3">
      <w:pPr>
        <w:pStyle w:val="ReverseHead"/>
      </w:pPr>
      <w:r w:rsidRPr="005D4222">
        <w:rPr>
          <w:bCs/>
        </w:rPr>
        <w:t>Description</w:t>
      </w:r>
    </w:p>
    <w:p w14:paraId="2D851F27" w14:textId="77777777" w:rsidR="007560AC" w:rsidRPr="005D4222" w:rsidRDefault="007560AC" w:rsidP="007560AC">
      <w:pPr>
        <w:pStyle w:val="Body"/>
      </w:pPr>
      <w:r w:rsidRPr="005D4222">
        <w:t>This measure provides information on parents’ experience with their child’s Medicaid organization for the population of children with chronic conditions. Three composites summarize satisfaction with basic components of care essential for successful treatment, management and support of children with chronic conditions:</w:t>
      </w:r>
    </w:p>
    <w:p w14:paraId="6708F4A1" w14:textId="77777777" w:rsidR="007560AC" w:rsidRPr="005D4222" w:rsidRDefault="007560AC" w:rsidP="005D6173">
      <w:pPr>
        <w:pStyle w:val="Body"/>
        <w:numPr>
          <w:ilvl w:val="0"/>
          <w:numId w:val="105"/>
        </w:numPr>
        <w:spacing w:before="120"/>
        <w:ind w:left="648" w:hanging="288"/>
      </w:pPr>
      <w:r w:rsidRPr="005D4222">
        <w:t>Access to Specialized Services.</w:t>
      </w:r>
    </w:p>
    <w:p w14:paraId="5D9DC00B" w14:textId="77777777" w:rsidR="007560AC" w:rsidRPr="005D4222" w:rsidRDefault="007560AC" w:rsidP="005D6173">
      <w:pPr>
        <w:pStyle w:val="Body"/>
        <w:numPr>
          <w:ilvl w:val="0"/>
          <w:numId w:val="105"/>
        </w:numPr>
        <w:spacing w:before="120"/>
        <w:ind w:left="648" w:hanging="288"/>
      </w:pPr>
      <w:r w:rsidRPr="005D4222">
        <w:t>Family Centered Care: Personal Doctor Who Knows Child.</w:t>
      </w:r>
    </w:p>
    <w:p w14:paraId="07DD53FF" w14:textId="77777777" w:rsidR="007560AC" w:rsidRPr="005D4222" w:rsidRDefault="007560AC" w:rsidP="005D6173">
      <w:pPr>
        <w:pStyle w:val="Body"/>
        <w:numPr>
          <w:ilvl w:val="0"/>
          <w:numId w:val="105"/>
        </w:numPr>
        <w:spacing w:before="120"/>
        <w:ind w:left="648" w:hanging="288"/>
      </w:pPr>
      <w:r w:rsidRPr="005D4222">
        <w:t>Coordination of Care for Children With Chronic Conditions.</w:t>
      </w:r>
    </w:p>
    <w:p w14:paraId="50EC03A0" w14:textId="77777777" w:rsidR="007560AC" w:rsidRPr="005D4222" w:rsidRDefault="007560AC" w:rsidP="007560AC">
      <w:pPr>
        <w:pStyle w:val="Body"/>
      </w:pPr>
      <w:r w:rsidRPr="005D4222">
        <w:t>Item-specific question summary rates are reported for each composite question. Question summary rates are also reported individually for two items summarizing the following concepts:</w:t>
      </w:r>
    </w:p>
    <w:p w14:paraId="0953EE7D" w14:textId="77777777" w:rsidR="007560AC" w:rsidRPr="005D4222" w:rsidRDefault="007560AC" w:rsidP="005D6173">
      <w:pPr>
        <w:pStyle w:val="Body"/>
        <w:numPr>
          <w:ilvl w:val="0"/>
          <w:numId w:val="106"/>
        </w:numPr>
        <w:spacing w:before="120"/>
        <w:ind w:left="648" w:hanging="288"/>
      </w:pPr>
      <w:r w:rsidRPr="005D4222">
        <w:t>Access to Prescription Medicines.</w:t>
      </w:r>
    </w:p>
    <w:p w14:paraId="73F0F152" w14:textId="77777777" w:rsidR="007560AC" w:rsidRPr="005D4222" w:rsidRDefault="007560AC" w:rsidP="005D6173">
      <w:pPr>
        <w:pStyle w:val="Body"/>
        <w:numPr>
          <w:ilvl w:val="0"/>
          <w:numId w:val="106"/>
        </w:numPr>
        <w:spacing w:before="120"/>
        <w:ind w:left="648" w:hanging="288"/>
      </w:pPr>
      <w:r w:rsidRPr="005D4222">
        <w:t>Family Centered Care: Getting Needed Information.</w:t>
      </w:r>
    </w:p>
    <w:p w14:paraId="7D66D4AA" w14:textId="77777777" w:rsidR="007560AC" w:rsidRPr="005D4222" w:rsidRDefault="007560AC" w:rsidP="007560AC"/>
    <w:p w14:paraId="6C617FA9" w14:textId="77777777" w:rsidR="006671E0" w:rsidRPr="005D4222" w:rsidRDefault="006671E0" w:rsidP="00331DB7">
      <w:pPr>
        <w:pStyle w:val="ECDSBody"/>
        <w:sectPr w:rsidR="006671E0" w:rsidRPr="005D4222" w:rsidSect="0074514A">
          <w:headerReference w:type="default" r:id="rId184"/>
          <w:type w:val="nextColumn"/>
          <w:pgSz w:w="12240" w:h="15840" w:code="1"/>
          <w:pgMar w:top="1080" w:right="1080" w:bottom="1080" w:left="1440" w:header="720" w:footer="720" w:gutter="0"/>
          <w:cols w:space="720"/>
          <w:docGrid w:linePitch="360"/>
        </w:sectPr>
      </w:pPr>
    </w:p>
    <w:p w14:paraId="6A502EC4" w14:textId="3CDA4DC7" w:rsidR="002B3D5C" w:rsidRPr="005D4222" w:rsidRDefault="002B3D5C" w:rsidP="002B3D5C">
      <w:pPr>
        <w:pStyle w:val="Breakpage"/>
        <w:rPr>
          <w:rFonts w:eastAsia="Calibri"/>
        </w:rPr>
      </w:pPr>
      <w:bookmarkStart w:id="389" w:name="_Toc201813448"/>
      <w:r w:rsidRPr="005D4222">
        <w:rPr>
          <w:rFonts w:eastAsia="Calibri"/>
        </w:rPr>
        <w:lastRenderedPageBreak/>
        <w:t>Utilization</w:t>
      </w:r>
      <w:bookmarkEnd w:id="389"/>
      <w:r w:rsidR="00EA3030">
        <w:rPr>
          <w:rFonts w:eastAsia="Calibri"/>
        </w:rPr>
        <w:t xml:space="preserve"> Measures</w:t>
      </w:r>
    </w:p>
    <w:p w14:paraId="211F13AF" w14:textId="77777777" w:rsidR="002B3D5C" w:rsidRPr="005D4222" w:rsidRDefault="002B3D5C" w:rsidP="002B3D5C">
      <w:pPr>
        <w:pStyle w:val="Breakpage"/>
        <w:rPr>
          <w:rFonts w:eastAsia="Calibri"/>
        </w:rPr>
      </w:pPr>
    </w:p>
    <w:p w14:paraId="4042EB6E" w14:textId="77777777" w:rsidR="002B3D5C" w:rsidRPr="005D4222" w:rsidRDefault="002B3D5C" w:rsidP="002B3D5C">
      <w:pPr>
        <w:pStyle w:val="Breakpage"/>
        <w:rPr>
          <w:rFonts w:eastAsia="Calibri"/>
        </w:rPr>
      </w:pPr>
    </w:p>
    <w:p w14:paraId="624EA00B" w14:textId="77777777" w:rsidR="002B3D5C" w:rsidRPr="005D4222" w:rsidRDefault="002B3D5C" w:rsidP="002B3D5C">
      <w:pPr>
        <w:jc w:val="right"/>
        <w:rPr>
          <w:rFonts w:eastAsia="Calibri"/>
          <w:b/>
          <w:sz w:val="48"/>
        </w:rPr>
        <w:sectPr w:rsidR="002B3D5C" w:rsidRPr="005D4222" w:rsidSect="0074514A">
          <w:headerReference w:type="default" r:id="rId185"/>
          <w:footerReference w:type="even" r:id="rId186"/>
          <w:footerReference w:type="default" r:id="rId187"/>
          <w:headerReference w:type="first" r:id="rId188"/>
          <w:footerReference w:type="first" r:id="rId189"/>
          <w:type w:val="nextColumn"/>
          <w:pgSz w:w="12240" w:h="15840" w:code="1"/>
          <w:pgMar w:top="1080" w:right="1080" w:bottom="1080" w:left="1440" w:header="720" w:footer="720" w:gutter="0"/>
          <w:cols w:space="720"/>
        </w:sectPr>
      </w:pPr>
    </w:p>
    <w:p w14:paraId="6DBEB974" w14:textId="428D74C1" w:rsidR="00331DB7" w:rsidRPr="005D4222" w:rsidRDefault="002C5A80" w:rsidP="002C5A80">
      <w:pPr>
        <w:pStyle w:val="MeasureTitle"/>
      </w:pPr>
      <w:bookmarkStart w:id="390" w:name="_Toc201813449"/>
      <w:r w:rsidRPr="005D4222">
        <w:lastRenderedPageBreak/>
        <w:t>Well-Child Visits in the First 30 Months of Life</w:t>
      </w:r>
      <w:r w:rsidR="0096709F" w:rsidRPr="005D4222">
        <w:t xml:space="preserve"> (W30)</w:t>
      </w:r>
      <w:bookmarkEnd w:id="390"/>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5040"/>
        <w:gridCol w:w="1593"/>
        <w:gridCol w:w="924"/>
      </w:tblGrid>
      <w:tr w:rsidR="00A46958" w:rsidRPr="005D4222" w14:paraId="05BFE138" w14:textId="77777777" w:rsidTr="00A53E8C">
        <w:tc>
          <w:tcPr>
            <w:tcW w:w="2157" w:type="dxa"/>
            <w:shd w:val="clear" w:color="auto" w:fill="BFBFBF" w:themeFill="background1" w:themeFillShade="BF"/>
            <w:tcMar>
              <w:top w:w="0" w:type="dxa"/>
              <w:left w:w="86" w:type="dxa"/>
              <w:bottom w:w="43" w:type="dxa"/>
              <w:right w:w="86" w:type="dxa"/>
            </w:tcMar>
            <w:hideMark/>
          </w:tcPr>
          <w:p w14:paraId="475DB0BC" w14:textId="77777777" w:rsidR="00A46958" w:rsidRPr="005D4222" w:rsidRDefault="00A46958" w:rsidP="00A53E8C">
            <w:pPr>
              <w:pStyle w:val="ECDSMarginHead"/>
            </w:pPr>
            <w:r w:rsidRPr="005D4222">
              <w:t>Measure title</w:t>
            </w:r>
          </w:p>
        </w:tc>
        <w:tc>
          <w:tcPr>
            <w:tcW w:w="5040" w:type="dxa"/>
            <w:tcMar>
              <w:top w:w="0" w:type="dxa"/>
              <w:left w:w="86" w:type="dxa"/>
              <w:bottom w:w="43" w:type="dxa"/>
              <w:right w:w="86" w:type="dxa"/>
            </w:tcMar>
          </w:tcPr>
          <w:p w14:paraId="7051F5D5" w14:textId="77777777" w:rsidR="00A46958" w:rsidRPr="005D4222" w:rsidRDefault="00A46958" w:rsidP="00A53E8C">
            <w:pPr>
              <w:pStyle w:val="ECDSBody"/>
            </w:pPr>
            <w:r w:rsidRPr="005D4222">
              <w:t>Well-Child Visits in the First 30 Months of Life</w:t>
            </w:r>
          </w:p>
        </w:tc>
        <w:tc>
          <w:tcPr>
            <w:tcW w:w="1593" w:type="dxa"/>
            <w:shd w:val="clear" w:color="auto" w:fill="BFBFBF" w:themeFill="background1" w:themeFillShade="BF"/>
            <w:tcMar>
              <w:top w:w="0" w:type="dxa"/>
              <w:left w:w="86" w:type="dxa"/>
              <w:bottom w:w="43" w:type="dxa"/>
              <w:right w:w="86" w:type="dxa"/>
            </w:tcMar>
          </w:tcPr>
          <w:p w14:paraId="1350EEE8" w14:textId="77777777" w:rsidR="00A46958" w:rsidRPr="005D4222" w:rsidRDefault="00A46958" w:rsidP="00A53E8C">
            <w:pPr>
              <w:pStyle w:val="ECDSMarginHead"/>
            </w:pPr>
            <w:r w:rsidRPr="005D4222">
              <w:t>Measure ID</w:t>
            </w:r>
          </w:p>
        </w:tc>
        <w:tc>
          <w:tcPr>
            <w:tcW w:w="924" w:type="dxa"/>
            <w:tcMar>
              <w:top w:w="0" w:type="dxa"/>
              <w:left w:w="86" w:type="dxa"/>
              <w:bottom w:w="43" w:type="dxa"/>
              <w:right w:w="86" w:type="dxa"/>
            </w:tcMar>
          </w:tcPr>
          <w:p w14:paraId="22E9FDF2" w14:textId="77777777" w:rsidR="00A46958" w:rsidRPr="005D4222" w:rsidRDefault="00A46958" w:rsidP="00A53E8C">
            <w:pPr>
              <w:pStyle w:val="ECDSBody"/>
            </w:pPr>
            <w:r w:rsidRPr="005D4222">
              <w:t>W30</w:t>
            </w:r>
          </w:p>
        </w:tc>
      </w:tr>
      <w:tr w:rsidR="00A46958" w:rsidRPr="005D4222" w14:paraId="1D25018E" w14:textId="77777777" w:rsidTr="00A53E8C">
        <w:tc>
          <w:tcPr>
            <w:tcW w:w="2157" w:type="dxa"/>
            <w:shd w:val="clear" w:color="auto" w:fill="BFBFBF" w:themeFill="background1" w:themeFillShade="BF"/>
            <w:tcMar>
              <w:top w:w="0" w:type="dxa"/>
              <w:left w:w="86" w:type="dxa"/>
              <w:bottom w:w="43" w:type="dxa"/>
              <w:right w:w="86" w:type="dxa"/>
            </w:tcMar>
            <w:hideMark/>
          </w:tcPr>
          <w:p w14:paraId="2D2FCC94" w14:textId="77777777" w:rsidR="00A46958" w:rsidRPr="005D4222" w:rsidRDefault="00A46958" w:rsidP="00A53E8C">
            <w:pPr>
              <w:pStyle w:val="ECDSMarginHead"/>
            </w:pPr>
            <w:r w:rsidRPr="005D4222">
              <w:t>Description</w:t>
            </w:r>
          </w:p>
        </w:tc>
        <w:tc>
          <w:tcPr>
            <w:tcW w:w="7557" w:type="dxa"/>
            <w:gridSpan w:val="3"/>
            <w:tcMar>
              <w:top w:w="0" w:type="dxa"/>
              <w:left w:w="86" w:type="dxa"/>
              <w:bottom w:w="43" w:type="dxa"/>
              <w:right w:w="86" w:type="dxa"/>
            </w:tcMar>
          </w:tcPr>
          <w:p w14:paraId="1DC81C30" w14:textId="77777777" w:rsidR="00A46958" w:rsidRPr="005D4222" w:rsidRDefault="00A46958" w:rsidP="00A53E8C">
            <w:pPr>
              <w:pStyle w:val="ECDSBody"/>
            </w:pPr>
            <w:r w:rsidRPr="005D4222">
              <w:t>The percentage of persons who had the following number of well-child visits with a PCP during the last 15 months. The following rates are reported:</w:t>
            </w:r>
          </w:p>
          <w:p w14:paraId="20EE2FC9" w14:textId="77777777" w:rsidR="00A46958" w:rsidRPr="005D4222" w:rsidRDefault="00A46958" w:rsidP="005D6173">
            <w:pPr>
              <w:pStyle w:val="Body"/>
              <w:numPr>
                <w:ilvl w:val="0"/>
                <w:numId w:val="107"/>
              </w:numPr>
              <w:spacing w:before="120" w:after="80"/>
              <w:ind w:left="648" w:hanging="288"/>
            </w:pPr>
            <w:r w:rsidRPr="005D4222">
              <w:rPr>
                <w:i/>
                <w:iCs/>
              </w:rPr>
              <w:t>Well-Child Visits in the First 15 Months</w:t>
            </w:r>
            <w:r w:rsidRPr="005D4222">
              <w:t>. Persons who turned 15 months old during the measurement period: Six or more well-child visits.</w:t>
            </w:r>
          </w:p>
          <w:p w14:paraId="6CABFD65" w14:textId="77777777" w:rsidR="00A46958" w:rsidRPr="005D4222" w:rsidRDefault="00A46958" w:rsidP="005D6173">
            <w:pPr>
              <w:pStyle w:val="Bullet"/>
              <w:numPr>
                <w:ilvl w:val="0"/>
                <w:numId w:val="107"/>
              </w:numPr>
              <w:spacing w:before="120" w:after="80"/>
              <w:ind w:left="648" w:hanging="288"/>
            </w:pPr>
            <w:r w:rsidRPr="005D4222">
              <w:rPr>
                <w:i/>
                <w:iCs/>
              </w:rPr>
              <w:t>Well-Child Visits for Age 15 Months–30 Months</w:t>
            </w:r>
            <w:r w:rsidRPr="005D4222">
              <w:t>. Persons who turned 30 months old during the measurement period: Two or more well-child visits.</w:t>
            </w:r>
          </w:p>
        </w:tc>
      </w:tr>
      <w:tr w:rsidR="00A46958" w:rsidRPr="005D4222" w14:paraId="0A138CFC" w14:textId="77777777" w:rsidTr="00A53E8C">
        <w:tc>
          <w:tcPr>
            <w:tcW w:w="2157" w:type="dxa"/>
            <w:shd w:val="clear" w:color="auto" w:fill="BFBFBF" w:themeFill="background1" w:themeFillShade="BF"/>
            <w:tcMar>
              <w:top w:w="0" w:type="dxa"/>
              <w:left w:w="86" w:type="dxa"/>
              <w:bottom w:w="43" w:type="dxa"/>
              <w:right w:w="86" w:type="dxa"/>
            </w:tcMar>
          </w:tcPr>
          <w:p w14:paraId="2FB973C9" w14:textId="77777777" w:rsidR="00A46958" w:rsidRPr="005D4222" w:rsidRDefault="00A46958" w:rsidP="00A53E8C">
            <w:pPr>
              <w:pStyle w:val="ECDSMarginHead"/>
            </w:pPr>
            <w:r w:rsidRPr="005D4222">
              <w:t>Measurement period</w:t>
            </w:r>
          </w:p>
        </w:tc>
        <w:tc>
          <w:tcPr>
            <w:tcW w:w="7557" w:type="dxa"/>
            <w:gridSpan w:val="3"/>
            <w:tcMar>
              <w:top w:w="0" w:type="dxa"/>
              <w:left w:w="86" w:type="dxa"/>
              <w:bottom w:w="43" w:type="dxa"/>
              <w:right w:w="86" w:type="dxa"/>
            </w:tcMar>
          </w:tcPr>
          <w:p w14:paraId="789BBFA1" w14:textId="77777777" w:rsidR="00A46958" w:rsidRPr="005D4222" w:rsidRDefault="00A46958" w:rsidP="00A53E8C">
            <w:pPr>
              <w:pStyle w:val="ECDSBody"/>
            </w:pPr>
            <w:r w:rsidRPr="005D4222">
              <w:t>January 1–December 31.</w:t>
            </w:r>
          </w:p>
        </w:tc>
      </w:tr>
      <w:tr w:rsidR="00A46958" w:rsidRPr="005D4222" w14:paraId="119A1BA4" w14:textId="77777777" w:rsidTr="00A53E8C">
        <w:tc>
          <w:tcPr>
            <w:tcW w:w="2157" w:type="dxa"/>
            <w:shd w:val="clear" w:color="auto" w:fill="BFBFBF" w:themeFill="background1" w:themeFillShade="BF"/>
            <w:tcMar>
              <w:top w:w="0" w:type="dxa"/>
              <w:left w:w="86" w:type="dxa"/>
              <w:bottom w:w="43" w:type="dxa"/>
              <w:right w:w="86" w:type="dxa"/>
            </w:tcMar>
            <w:hideMark/>
          </w:tcPr>
          <w:p w14:paraId="2B145F03" w14:textId="77777777" w:rsidR="00A46958" w:rsidRPr="005D4222" w:rsidRDefault="00A46958" w:rsidP="00A53E8C">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478DCA29" w14:textId="77777777" w:rsidR="00A46958" w:rsidRPr="005D4222" w:rsidRDefault="00A46958" w:rsidP="00A53E8C">
            <w:pPr>
              <w:pStyle w:val="ECDSBody"/>
            </w:pPr>
            <w:r w:rsidRPr="005D4222">
              <w:t>Refer to the complete copyright and disclaimer information at the front of this publication.</w:t>
            </w:r>
          </w:p>
          <w:p w14:paraId="25915918" w14:textId="77777777" w:rsidR="00A46958" w:rsidRPr="005D4222" w:rsidRDefault="00A46958" w:rsidP="00A53E8C">
            <w:pPr>
              <w:pStyle w:val="ECDSBody"/>
              <w:spacing w:before="80"/>
            </w:pPr>
            <w:r w:rsidRPr="005D4222">
              <w:t xml:space="preserve">NCQA website: </w:t>
            </w:r>
            <w:r w:rsidRPr="005D4222">
              <w:rPr>
                <w:u w:val="single"/>
              </w:rPr>
              <w:t>www.ncqa.org</w:t>
            </w:r>
            <w:r w:rsidRPr="005D4222">
              <w:t>.</w:t>
            </w:r>
          </w:p>
          <w:p w14:paraId="5413AB29" w14:textId="77777777" w:rsidR="00A46958" w:rsidRPr="005D4222" w:rsidRDefault="00A46958" w:rsidP="00A53E8C">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A46958" w:rsidRPr="005D4222" w14:paraId="7D05AAD9" w14:textId="77777777" w:rsidTr="00A53E8C">
        <w:trPr>
          <w:trHeight w:val="655"/>
        </w:trPr>
        <w:tc>
          <w:tcPr>
            <w:tcW w:w="2157" w:type="dxa"/>
            <w:shd w:val="clear" w:color="auto" w:fill="BFBFBF" w:themeFill="background1" w:themeFillShade="BF"/>
            <w:tcMar>
              <w:top w:w="0" w:type="dxa"/>
              <w:left w:w="86" w:type="dxa"/>
              <w:bottom w:w="43" w:type="dxa"/>
              <w:right w:w="86" w:type="dxa"/>
            </w:tcMar>
            <w:hideMark/>
          </w:tcPr>
          <w:p w14:paraId="60230A97" w14:textId="77777777" w:rsidR="00A46958" w:rsidRPr="005D4222" w:rsidRDefault="00A46958" w:rsidP="00A53E8C">
            <w:pPr>
              <w:pStyle w:val="ECDSMarginHead"/>
            </w:pPr>
            <w:r w:rsidRPr="005D4222">
              <w:t>Clinical recommendation statement/ rationale</w:t>
            </w:r>
          </w:p>
        </w:tc>
        <w:tc>
          <w:tcPr>
            <w:tcW w:w="7557" w:type="dxa"/>
            <w:gridSpan w:val="3"/>
            <w:tcMar>
              <w:top w:w="0" w:type="dxa"/>
              <w:left w:w="86" w:type="dxa"/>
              <w:bottom w:w="43" w:type="dxa"/>
              <w:right w:w="86" w:type="dxa"/>
            </w:tcMar>
          </w:tcPr>
          <w:p w14:paraId="3B5A1C8C" w14:textId="77777777" w:rsidR="00A46958" w:rsidRPr="005D4222" w:rsidRDefault="00A46958" w:rsidP="00A53E8C">
            <w:pPr>
              <w:pStyle w:val="ECDSBody"/>
              <w:rPr>
                <w:szCs w:val="21"/>
              </w:rPr>
            </w:pPr>
            <w:r w:rsidRPr="005D4222">
              <w:rPr>
                <w:szCs w:val="21"/>
              </w:rPr>
              <w:t>This measure is based on the American Academy of Pediatrics Bright Futures guidelines for Health Supervision of Infants, Children and Adolescents. In addition to the Bright Futures Guidelines, the AAP publishes a recommended schedule of screenings and assessments, known as the periodicity schedule, that outlines what to do at every visit, from infancy to adolescence. Bright Futures recommends more frequent well-child visits in the first years of life and one or more annual well-child visits from age 3–21. They recommend that the well-child visits include, but are not limited to, an initial/interval medical history, physical exam, developmental assessment, immunization and anticipatory guidance.</w:t>
            </w:r>
          </w:p>
          <w:p w14:paraId="0B05EA99" w14:textId="77777777" w:rsidR="00A46958" w:rsidRPr="005D4222" w:rsidRDefault="00A46958" w:rsidP="00A53E8C">
            <w:pPr>
              <w:pStyle w:val="ECDSBody"/>
              <w:rPr>
                <w:szCs w:val="21"/>
              </w:rPr>
            </w:pPr>
            <w:r w:rsidRPr="005D4222">
              <w:rPr>
                <w:szCs w:val="21"/>
              </w:rPr>
              <w:t>The AAP/Bright Futures guidelines also recommend two or more visits between 15 months and 30 months, an important period for early assessment and screenings. Early identification of developmental disorders is critical to the well-being of children and their families. It is an integral function of the primary care medical home and an appropriate responsibility of all pediatric health care professionals. Research shows that early intervention treatment services can greatly improve a child’s development. Early intervention services help children from birth through 3 years of age (36 months) learn important skills.</w:t>
            </w:r>
          </w:p>
        </w:tc>
      </w:tr>
      <w:tr w:rsidR="00A46958" w:rsidRPr="005D4222" w14:paraId="55CDC91A" w14:textId="77777777" w:rsidTr="00A53E8C">
        <w:tc>
          <w:tcPr>
            <w:tcW w:w="2157" w:type="dxa"/>
            <w:shd w:val="clear" w:color="auto" w:fill="BFBFBF" w:themeFill="background1" w:themeFillShade="BF"/>
            <w:tcMar>
              <w:top w:w="0" w:type="dxa"/>
              <w:left w:w="86" w:type="dxa"/>
              <w:bottom w:w="43" w:type="dxa"/>
              <w:right w:w="86" w:type="dxa"/>
            </w:tcMar>
          </w:tcPr>
          <w:p w14:paraId="5D783AAB" w14:textId="77777777" w:rsidR="00A46958" w:rsidRPr="005D4222" w:rsidRDefault="00A46958" w:rsidP="00A53E8C">
            <w:pPr>
              <w:pStyle w:val="ECDSMarginHead"/>
            </w:pPr>
            <w:r w:rsidRPr="005D4222">
              <w:t>Citations</w:t>
            </w:r>
          </w:p>
        </w:tc>
        <w:tc>
          <w:tcPr>
            <w:tcW w:w="7557" w:type="dxa"/>
            <w:gridSpan w:val="3"/>
            <w:tcMar>
              <w:top w:w="0" w:type="dxa"/>
              <w:left w:w="86" w:type="dxa"/>
              <w:bottom w:w="43" w:type="dxa"/>
              <w:right w:w="86" w:type="dxa"/>
            </w:tcMar>
          </w:tcPr>
          <w:p w14:paraId="686FAB6E" w14:textId="77777777" w:rsidR="00A46958" w:rsidRPr="005D4222" w:rsidRDefault="00A46958" w:rsidP="00A53E8C">
            <w:pPr>
              <w:pStyle w:val="ECDSBody"/>
            </w:pPr>
            <w:r w:rsidRPr="005D4222">
              <w:t xml:space="preserve">Hagan, J.F., J.S. Shaw, and P.M. Duncan, eds. 2017. </w:t>
            </w:r>
            <w:r w:rsidRPr="005D4222">
              <w:rPr>
                <w:i/>
                <w:iCs/>
              </w:rPr>
              <w:t xml:space="preserve">Bright Futures: Guidelines for Health Supervision of Infants, Children, and Adolescents. </w:t>
            </w:r>
            <w:r w:rsidRPr="005D4222">
              <w:t>Fourth edition. Elk Grove Village, IL: Bright Futures/American Academy of Pediatrics.</w:t>
            </w:r>
          </w:p>
          <w:p w14:paraId="1F1077B9" w14:textId="4D049A7B" w:rsidR="00A46958" w:rsidRPr="005D4222" w:rsidRDefault="00A46958" w:rsidP="00A53E8C">
            <w:pPr>
              <w:pStyle w:val="ECDSBody"/>
            </w:pPr>
            <w:r w:rsidRPr="005D4222">
              <w:t xml:space="preserve">Bright Futures &amp; American Academy of Pediatrics. 2025. </w:t>
            </w:r>
            <w:r w:rsidRPr="005D4222">
              <w:rPr>
                <w:i/>
                <w:iCs/>
              </w:rPr>
              <w:t xml:space="preserve">Periodicity Schedule—Recommendations for Preventive Pediatric Health Care. </w:t>
            </w:r>
            <w:r w:rsidRPr="005D4222">
              <w:t>https://downloads.aap.org/AAP/PDF/periodicity_schedule.pdf</w:t>
            </w:r>
          </w:p>
        </w:tc>
      </w:tr>
    </w:tbl>
    <w:p w14:paraId="44A74636" w14:textId="77777777" w:rsidR="00A46958" w:rsidRPr="005D4222" w:rsidRDefault="00A46958"/>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A46958" w:rsidRPr="005D4222" w14:paraId="2E56E383" w14:textId="77777777" w:rsidTr="00A53E8C">
        <w:tc>
          <w:tcPr>
            <w:tcW w:w="9714" w:type="dxa"/>
            <w:gridSpan w:val="2"/>
            <w:tcBorders>
              <w:bottom w:val="single" w:sz="4" w:space="0" w:color="auto"/>
            </w:tcBorders>
            <w:shd w:val="clear" w:color="auto" w:fill="BFBFBF" w:themeFill="background1" w:themeFillShade="BF"/>
            <w:tcMar>
              <w:top w:w="0" w:type="dxa"/>
              <w:left w:w="86" w:type="dxa"/>
              <w:bottom w:w="43" w:type="dxa"/>
              <w:right w:w="86" w:type="dxa"/>
            </w:tcMar>
          </w:tcPr>
          <w:p w14:paraId="52A8BC91" w14:textId="77777777" w:rsidR="00A46958" w:rsidRPr="005D4222" w:rsidRDefault="00A46958" w:rsidP="00A53E8C">
            <w:pPr>
              <w:pStyle w:val="ECDSMarginHead"/>
            </w:pPr>
            <w:r w:rsidRPr="005D4222">
              <w:lastRenderedPageBreak/>
              <w:t>Characteristics</w:t>
            </w:r>
          </w:p>
        </w:tc>
      </w:tr>
      <w:tr w:rsidR="00A46958" w:rsidRPr="005D4222" w14:paraId="5DFF464A" w14:textId="77777777" w:rsidTr="00A46958">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5662F473" w14:textId="77777777" w:rsidR="00A46958" w:rsidRPr="005D4222" w:rsidRDefault="00A46958" w:rsidP="00A46958">
            <w:pPr>
              <w:pStyle w:val="ECDSMarginSubhead"/>
              <w:spacing w:after="0"/>
            </w:pPr>
            <w:r w:rsidRPr="005D4222">
              <w:t>Scoring</w:t>
            </w: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2D48D424" w14:textId="77777777" w:rsidR="00A46958" w:rsidRPr="005D4222" w:rsidRDefault="00A46958" w:rsidP="00A46958">
            <w:pPr>
              <w:pStyle w:val="ECDSBody"/>
              <w:spacing w:after="0"/>
            </w:pPr>
            <w:r w:rsidRPr="005D4222">
              <w:t>Proportion.</w:t>
            </w:r>
          </w:p>
        </w:tc>
      </w:tr>
      <w:tr w:rsidR="00A46958" w:rsidRPr="005D4222" w14:paraId="588C3B50" w14:textId="77777777" w:rsidTr="00A46958">
        <w:tc>
          <w:tcPr>
            <w:tcW w:w="2157" w:type="dxa"/>
            <w:tcBorders>
              <w:top w:val="nil"/>
              <w:left w:val="single" w:sz="4" w:space="0" w:color="auto"/>
              <w:bottom w:val="nil"/>
              <w:right w:val="single" w:sz="4" w:space="0" w:color="auto"/>
            </w:tcBorders>
            <w:tcMar>
              <w:top w:w="0" w:type="dxa"/>
              <w:left w:w="86" w:type="dxa"/>
              <w:bottom w:w="43" w:type="dxa"/>
              <w:right w:w="86" w:type="dxa"/>
            </w:tcMar>
          </w:tcPr>
          <w:p w14:paraId="25385D3A" w14:textId="77777777" w:rsidR="00A46958" w:rsidRPr="005D4222" w:rsidRDefault="00A46958" w:rsidP="00A46958">
            <w:pPr>
              <w:pStyle w:val="ECDSMarginSubhead"/>
              <w:spacing w:after="0"/>
            </w:pPr>
            <w:r w:rsidRPr="005D4222">
              <w:t>Type</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7E5D3376" w14:textId="77777777" w:rsidR="00A46958" w:rsidRPr="005D4222" w:rsidRDefault="00A46958" w:rsidP="00A46958">
            <w:pPr>
              <w:pStyle w:val="ECDSBody"/>
              <w:spacing w:after="0"/>
            </w:pPr>
            <w:r w:rsidRPr="005D4222" w:rsidDel="00B708EA">
              <w:t>Process.</w:t>
            </w:r>
          </w:p>
        </w:tc>
      </w:tr>
      <w:tr w:rsidR="00A46958" w:rsidRPr="005D4222" w14:paraId="2314E56D" w14:textId="77777777" w:rsidTr="00A46958">
        <w:tc>
          <w:tcPr>
            <w:tcW w:w="2157" w:type="dxa"/>
            <w:tcBorders>
              <w:top w:val="nil"/>
              <w:left w:val="single" w:sz="4" w:space="0" w:color="auto"/>
              <w:bottom w:val="nil"/>
              <w:right w:val="single" w:sz="4" w:space="0" w:color="auto"/>
            </w:tcBorders>
            <w:tcMar>
              <w:top w:w="0" w:type="dxa"/>
              <w:left w:w="86" w:type="dxa"/>
              <w:bottom w:w="43" w:type="dxa"/>
              <w:right w:w="86" w:type="dxa"/>
            </w:tcMar>
          </w:tcPr>
          <w:p w14:paraId="16CC593C" w14:textId="44039C93" w:rsidR="00A46958" w:rsidRPr="005D4222" w:rsidRDefault="00B51CDC" w:rsidP="00A53E8C">
            <w:pPr>
              <w:pStyle w:val="ECDSMarginSubhead"/>
            </w:pPr>
            <w:r w:rsidRPr="005D4222">
              <w:t>Product lines</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38881F39" w14:textId="77777777" w:rsidR="00A46958" w:rsidRPr="005D4222" w:rsidRDefault="00A46958" w:rsidP="005D6173">
            <w:pPr>
              <w:pStyle w:val="ProcessBullet"/>
              <w:numPr>
                <w:ilvl w:val="0"/>
                <w:numId w:val="98"/>
              </w:numPr>
              <w:spacing w:before="120"/>
              <w:ind w:left="216" w:hanging="216"/>
            </w:pPr>
            <w:r w:rsidRPr="005D4222">
              <w:t>Commercial.</w:t>
            </w:r>
          </w:p>
          <w:p w14:paraId="5922B209" w14:textId="77777777" w:rsidR="00A46958" w:rsidRPr="005D4222" w:rsidRDefault="00A46958" w:rsidP="005D6173">
            <w:pPr>
              <w:pStyle w:val="ProcessBullet"/>
              <w:numPr>
                <w:ilvl w:val="0"/>
                <w:numId w:val="98"/>
              </w:numPr>
              <w:ind w:left="216" w:hanging="216"/>
            </w:pPr>
            <w:r w:rsidRPr="005D4222">
              <w:t>Medicaid.</w:t>
            </w:r>
          </w:p>
        </w:tc>
      </w:tr>
      <w:tr w:rsidR="00A46958" w:rsidRPr="005D4222" w14:paraId="57CF99DD"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73B25E7C" w14:textId="000BF5F7" w:rsidR="00A46958" w:rsidRPr="005D4222" w:rsidRDefault="00B51CDC" w:rsidP="00A53E8C">
            <w:pPr>
              <w:pStyle w:val="ECDSMarginSubhead"/>
            </w:pPr>
            <w:r w:rsidRPr="005D4222">
              <w:t>Stratifications</w:t>
            </w:r>
            <w:r w:rsidR="00A46958" w:rsidRPr="005D4222">
              <w:t xml:space="preserve"> </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1CDFBDB9" w14:textId="16B81246" w:rsidR="00A46958" w:rsidRPr="005D4222" w:rsidRDefault="00A46958" w:rsidP="00A53E8C">
            <w:pPr>
              <w:pStyle w:val="ECDSBody"/>
            </w:pPr>
            <w:r w:rsidRPr="005D4222">
              <w:t xml:space="preserve">Race. (Refer to </w:t>
            </w:r>
            <w:hyperlink w:anchor="GG_Race_and_Ethnicity" w:history="1">
              <w:r w:rsidRPr="005D4222">
                <w:rPr>
                  <w:rStyle w:val="Hyperlink"/>
                  <w:i/>
                  <w:iCs/>
                </w:rPr>
                <w:t>General Guideline: Race and Ethnicity Stratification</w:t>
              </w:r>
            </w:hyperlink>
            <w:r w:rsidRPr="005D4222">
              <w:rPr>
                <w:i/>
                <w:iCs/>
              </w:rPr>
              <w:t>.</w:t>
            </w:r>
            <w:r w:rsidRPr="005D4222">
              <w:t>)</w:t>
            </w:r>
          </w:p>
          <w:p w14:paraId="4E7E33A7" w14:textId="77777777" w:rsidR="00A46958" w:rsidRPr="005D4222" w:rsidRDefault="00A46958" w:rsidP="00A46958">
            <w:pPr>
              <w:pStyle w:val="Bullet"/>
              <w:numPr>
                <w:ilvl w:val="0"/>
                <w:numId w:val="4"/>
              </w:numPr>
              <w:tabs>
                <w:tab w:val="left" w:pos="360"/>
                <w:tab w:val="left" w:pos="576"/>
              </w:tabs>
              <w:ind w:left="576" w:hanging="216"/>
            </w:pPr>
            <w:r w:rsidRPr="005D4222">
              <w:t>American Indian or Alaska Native.</w:t>
            </w:r>
          </w:p>
          <w:p w14:paraId="5A907884" w14:textId="77777777" w:rsidR="00A46958" w:rsidRPr="005D4222" w:rsidRDefault="00A46958" w:rsidP="00A46958">
            <w:pPr>
              <w:pStyle w:val="Bullet"/>
              <w:numPr>
                <w:ilvl w:val="0"/>
                <w:numId w:val="4"/>
              </w:numPr>
              <w:tabs>
                <w:tab w:val="left" w:pos="360"/>
                <w:tab w:val="left" w:pos="576"/>
              </w:tabs>
              <w:ind w:left="576" w:hanging="216"/>
            </w:pPr>
            <w:r w:rsidRPr="005D4222">
              <w:t>Asian.</w:t>
            </w:r>
          </w:p>
          <w:p w14:paraId="736C3A8A" w14:textId="77777777" w:rsidR="00A46958" w:rsidRPr="005D4222" w:rsidRDefault="00A46958" w:rsidP="00A46958">
            <w:pPr>
              <w:pStyle w:val="Bullet"/>
              <w:numPr>
                <w:ilvl w:val="0"/>
                <w:numId w:val="4"/>
              </w:numPr>
              <w:tabs>
                <w:tab w:val="left" w:pos="360"/>
                <w:tab w:val="left" w:pos="576"/>
              </w:tabs>
              <w:ind w:left="576" w:hanging="216"/>
            </w:pPr>
            <w:r w:rsidRPr="005D4222">
              <w:t>Black or African American.</w:t>
            </w:r>
          </w:p>
          <w:p w14:paraId="1A0EB121" w14:textId="77777777" w:rsidR="00A46958" w:rsidRPr="005D4222" w:rsidRDefault="00A46958" w:rsidP="00A46958">
            <w:pPr>
              <w:pStyle w:val="Bullet"/>
              <w:numPr>
                <w:ilvl w:val="0"/>
                <w:numId w:val="4"/>
              </w:numPr>
              <w:tabs>
                <w:tab w:val="left" w:pos="360"/>
                <w:tab w:val="left" w:pos="576"/>
              </w:tabs>
              <w:ind w:left="576" w:hanging="216"/>
            </w:pPr>
            <w:r w:rsidRPr="005D4222">
              <w:t>Middle Eastern or North African.</w:t>
            </w:r>
          </w:p>
          <w:p w14:paraId="40ADEF2B" w14:textId="77777777" w:rsidR="00A46958" w:rsidRPr="005D4222" w:rsidRDefault="00A46958" w:rsidP="00A46958">
            <w:pPr>
              <w:pStyle w:val="Bullet"/>
              <w:numPr>
                <w:ilvl w:val="0"/>
                <w:numId w:val="4"/>
              </w:numPr>
              <w:tabs>
                <w:tab w:val="left" w:pos="360"/>
                <w:tab w:val="left" w:pos="576"/>
              </w:tabs>
              <w:ind w:left="576" w:hanging="216"/>
            </w:pPr>
            <w:r w:rsidRPr="005D4222">
              <w:t>Native Hawaiian or Pacific Islander.</w:t>
            </w:r>
          </w:p>
          <w:p w14:paraId="6BBD1697" w14:textId="77777777" w:rsidR="00A46958" w:rsidRPr="005D4222" w:rsidRDefault="00A46958" w:rsidP="00A46958">
            <w:pPr>
              <w:pStyle w:val="Bullet"/>
              <w:numPr>
                <w:ilvl w:val="0"/>
                <w:numId w:val="4"/>
              </w:numPr>
              <w:tabs>
                <w:tab w:val="left" w:pos="360"/>
                <w:tab w:val="left" w:pos="576"/>
              </w:tabs>
              <w:ind w:left="576" w:hanging="216"/>
            </w:pPr>
            <w:r w:rsidRPr="005D4222">
              <w:t>White.</w:t>
            </w:r>
          </w:p>
          <w:p w14:paraId="5018941E" w14:textId="77777777" w:rsidR="00A46958" w:rsidRPr="005D4222" w:rsidRDefault="00A46958" w:rsidP="00A46958">
            <w:pPr>
              <w:pStyle w:val="Bullet"/>
              <w:numPr>
                <w:ilvl w:val="0"/>
                <w:numId w:val="4"/>
              </w:numPr>
              <w:tabs>
                <w:tab w:val="left" w:pos="360"/>
                <w:tab w:val="left" w:pos="576"/>
              </w:tabs>
              <w:ind w:left="576" w:hanging="216"/>
            </w:pPr>
            <w:r w:rsidRPr="005D4222">
              <w:t>Some Other Race.</w:t>
            </w:r>
          </w:p>
          <w:p w14:paraId="59F72714" w14:textId="77777777" w:rsidR="00A46958" w:rsidRPr="005D4222" w:rsidRDefault="00A46958" w:rsidP="00A46958">
            <w:pPr>
              <w:pStyle w:val="Bullet"/>
              <w:numPr>
                <w:ilvl w:val="0"/>
                <w:numId w:val="4"/>
              </w:numPr>
              <w:tabs>
                <w:tab w:val="left" w:pos="360"/>
                <w:tab w:val="left" w:pos="576"/>
              </w:tabs>
              <w:ind w:left="576" w:hanging="216"/>
            </w:pPr>
            <w:r w:rsidRPr="005D4222">
              <w:t>Two or More Races.</w:t>
            </w:r>
          </w:p>
          <w:p w14:paraId="79A2FE7B" w14:textId="77777777" w:rsidR="00A46958" w:rsidRPr="005D4222" w:rsidRDefault="00A46958" w:rsidP="00A46958">
            <w:pPr>
              <w:pStyle w:val="Bullet"/>
              <w:numPr>
                <w:ilvl w:val="0"/>
                <w:numId w:val="4"/>
              </w:numPr>
              <w:tabs>
                <w:tab w:val="left" w:pos="360"/>
                <w:tab w:val="left" w:pos="576"/>
              </w:tabs>
              <w:ind w:left="576" w:hanging="216"/>
            </w:pPr>
            <w:r w:rsidRPr="005D4222">
              <w:t>Asked But No Answer.</w:t>
            </w:r>
          </w:p>
          <w:p w14:paraId="7D09BB2D" w14:textId="77777777" w:rsidR="00A46958" w:rsidRPr="005D4222" w:rsidRDefault="00A46958" w:rsidP="00A46958">
            <w:pPr>
              <w:pStyle w:val="Bullet"/>
              <w:numPr>
                <w:ilvl w:val="0"/>
                <w:numId w:val="4"/>
              </w:numPr>
              <w:tabs>
                <w:tab w:val="left" w:pos="360"/>
                <w:tab w:val="left" w:pos="576"/>
              </w:tabs>
              <w:ind w:left="576" w:hanging="216"/>
            </w:pPr>
            <w:r w:rsidRPr="005D4222">
              <w:t>Unknown.</w:t>
            </w:r>
          </w:p>
          <w:p w14:paraId="795EAF58" w14:textId="29F143AE" w:rsidR="00A46958" w:rsidRPr="005D4222" w:rsidRDefault="00A46958" w:rsidP="00A53E8C">
            <w:pPr>
              <w:pStyle w:val="ECDSBody"/>
            </w:pPr>
            <w:r w:rsidRPr="005D4222">
              <w:t xml:space="preserve">Ethnicity. (Refer to </w:t>
            </w:r>
            <w:hyperlink w:anchor="GG_Race_and_Ethnicity" w:history="1">
              <w:r w:rsidRPr="005D4222">
                <w:rPr>
                  <w:rStyle w:val="Hyperlink"/>
                  <w:i/>
                  <w:iCs/>
                </w:rPr>
                <w:t>General Guideline: Race and Ethnicity Stratification</w:t>
              </w:r>
            </w:hyperlink>
            <w:r w:rsidRPr="005D4222">
              <w:rPr>
                <w:i/>
                <w:iCs/>
              </w:rPr>
              <w:t>.</w:t>
            </w:r>
            <w:r w:rsidRPr="005D4222">
              <w:t>)</w:t>
            </w:r>
          </w:p>
          <w:p w14:paraId="4079C8DE" w14:textId="77777777" w:rsidR="00A46958" w:rsidRPr="005D4222" w:rsidRDefault="00A46958" w:rsidP="00A46958">
            <w:pPr>
              <w:pStyle w:val="Bullet"/>
              <w:numPr>
                <w:ilvl w:val="0"/>
                <w:numId w:val="4"/>
              </w:numPr>
              <w:tabs>
                <w:tab w:val="left" w:pos="360"/>
                <w:tab w:val="left" w:pos="576"/>
              </w:tabs>
              <w:ind w:left="576" w:hanging="216"/>
            </w:pPr>
            <w:r w:rsidRPr="005D4222">
              <w:t>Hispanic or Latino.</w:t>
            </w:r>
          </w:p>
          <w:p w14:paraId="1B1BB6E8" w14:textId="77777777" w:rsidR="00A46958" w:rsidRPr="005D4222" w:rsidRDefault="00A46958" w:rsidP="00A46958">
            <w:pPr>
              <w:pStyle w:val="Bullet"/>
              <w:numPr>
                <w:ilvl w:val="0"/>
                <w:numId w:val="4"/>
              </w:numPr>
              <w:tabs>
                <w:tab w:val="left" w:pos="360"/>
                <w:tab w:val="left" w:pos="576"/>
              </w:tabs>
              <w:ind w:left="576" w:hanging="216"/>
            </w:pPr>
            <w:r w:rsidRPr="005D4222">
              <w:t>Not Hispanic or Latino.</w:t>
            </w:r>
          </w:p>
          <w:p w14:paraId="114495FC" w14:textId="77777777" w:rsidR="00A46958" w:rsidRPr="005D4222" w:rsidRDefault="00A46958" w:rsidP="00A46958">
            <w:pPr>
              <w:pStyle w:val="Bullet"/>
              <w:numPr>
                <w:ilvl w:val="0"/>
                <w:numId w:val="4"/>
              </w:numPr>
              <w:tabs>
                <w:tab w:val="left" w:pos="360"/>
                <w:tab w:val="left" w:pos="576"/>
              </w:tabs>
              <w:ind w:left="576" w:hanging="216"/>
            </w:pPr>
            <w:r w:rsidRPr="005D4222">
              <w:t>Asked But No Answer.</w:t>
            </w:r>
          </w:p>
          <w:p w14:paraId="0F3AA4C4" w14:textId="77777777" w:rsidR="00A46958" w:rsidRPr="005D4222" w:rsidRDefault="00A46958" w:rsidP="00A46958">
            <w:pPr>
              <w:pStyle w:val="Bullet"/>
              <w:numPr>
                <w:ilvl w:val="0"/>
                <w:numId w:val="4"/>
              </w:numPr>
              <w:tabs>
                <w:tab w:val="left" w:pos="360"/>
                <w:tab w:val="left" w:pos="576"/>
              </w:tabs>
              <w:ind w:left="576" w:hanging="216"/>
            </w:pPr>
            <w:r w:rsidRPr="005D4222">
              <w:t>Unknown.</w:t>
            </w:r>
          </w:p>
        </w:tc>
      </w:tr>
      <w:tr w:rsidR="00A46958" w:rsidRPr="005D4222" w14:paraId="1CE3DA54"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524EA8FF" w14:textId="77777777" w:rsidR="00A46958" w:rsidRPr="005D4222" w:rsidRDefault="00A46958" w:rsidP="00A46958">
            <w:pPr>
              <w:pStyle w:val="ECDSMarginSubhead"/>
              <w:spacing w:after="0"/>
            </w:pPr>
            <w:r w:rsidRPr="005D4222">
              <w:t>Risk adjustment</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2EB62630" w14:textId="77777777" w:rsidR="00A46958" w:rsidRPr="005D4222" w:rsidRDefault="00A46958" w:rsidP="00A46958">
            <w:pPr>
              <w:pStyle w:val="ECDSBody"/>
              <w:spacing w:after="0"/>
            </w:pPr>
            <w:r w:rsidRPr="005D4222">
              <w:t>None.</w:t>
            </w:r>
          </w:p>
        </w:tc>
      </w:tr>
      <w:tr w:rsidR="00A46958" w:rsidRPr="005D4222" w14:paraId="001154E8"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6C3B88A7" w14:textId="77777777" w:rsidR="00A46958" w:rsidRPr="005D4222" w:rsidRDefault="00A46958" w:rsidP="00A46958">
            <w:pPr>
              <w:pStyle w:val="ECDSMarginSubhead"/>
              <w:spacing w:after="0"/>
            </w:pPr>
            <w:r w:rsidRPr="005D4222">
              <w:t>Improvement notation</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42F65B17" w14:textId="77777777" w:rsidR="00A46958" w:rsidRPr="005D4222" w:rsidRDefault="00A46958" w:rsidP="00A46958">
            <w:pPr>
              <w:pStyle w:val="ECDSBody"/>
              <w:spacing w:after="0"/>
              <w:rPr>
                <w:iCs/>
              </w:rPr>
            </w:pPr>
            <w:r w:rsidRPr="005D4222">
              <w:rPr>
                <w:iCs/>
              </w:rPr>
              <w:t>Increased score indicates improvement.</w:t>
            </w:r>
          </w:p>
        </w:tc>
      </w:tr>
      <w:tr w:rsidR="00A46958" w:rsidRPr="005D4222" w14:paraId="5A8458C5" w14:textId="77777777" w:rsidTr="00A53E8C">
        <w:trPr>
          <w:trHeight w:val="633"/>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33F2E9B3" w14:textId="77777777" w:rsidR="00A46958" w:rsidRPr="005D4222" w:rsidRDefault="00A46958" w:rsidP="00A53E8C">
            <w:pPr>
              <w:pStyle w:val="ECDSMarginSubhead"/>
            </w:pPr>
            <w:r w:rsidRPr="005D4222">
              <w:t>Guidance</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08FC5252" w14:textId="76A62081" w:rsidR="00A46958" w:rsidRPr="005D4222" w:rsidRDefault="00A46958" w:rsidP="00A53E8C">
            <w:pPr>
              <w:pStyle w:val="ECDSBody"/>
            </w:pPr>
            <w:r w:rsidRPr="005D4222">
              <w:rPr>
                <w:b/>
              </w:rPr>
              <w:t>Data collection methodology</w:t>
            </w:r>
            <w:r w:rsidRPr="005D4222">
              <w:rPr>
                <w:b/>
                <w:bCs w:val="0"/>
              </w:rPr>
              <w:t>:</w:t>
            </w:r>
            <w:r w:rsidRPr="005D4222">
              <w:t xml:space="preserve"> Administrative. Refer to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52EED02E" w14:textId="77777777" w:rsidR="00A46958" w:rsidRPr="005D4222" w:rsidRDefault="00A46958" w:rsidP="00A53E8C">
            <w:pPr>
              <w:pStyle w:val="ECDSBody"/>
            </w:pPr>
            <w:r w:rsidRPr="005D4222">
              <w:rPr>
                <w:b/>
              </w:rPr>
              <w:t xml:space="preserve">Date specificity: </w:t>
            </w:r>
            <w:r w:rsidRPr="005D4222">
              <w:t xml:space="preserve">Dates must be specific enough to determine the event occurred in the period being measured. </w:t>
            </w:r>
          </w:p>
          <w:p w14:paraId="2EB55DFD" w14:textId="77777777" w:rsidR="00A46958" w:rsidRPr="005D4222" w:rsidRDefault="00A46958" w:rsidP="00A53E8C">
            <w:pPr>
              <w:pStyle w:val="ECDSBody"/>
            </w:pPr>
            <w:r w:rsidRPr="005D4222">
              <w:rPr>
                <w:b/>
              </w:rPr>
              <w:t xml:space="preserve">Which services count? </w:t>
            </w:r>
            <w:r w:rsidRPr="005D4222">
              <w:t>When using claims, include all paid, suspended, pending and denied claims.</w:t>
            </w:r>
          </w:p>
          <w:p w14:paraId="7EE36E40" w14:textId="77777777" w:rsidR="00A46958" w:rsidRPr="005D4222" w:rsidRDefault="00A46958" w:rsidP="00A53E8C">
            <w:pPr>
              <w:pStyle w:val="ECDSBody"/>
            </w:pPr>
            <w:r w:rsidRPr="005D4222">
              <w:rPr>
                <w:b/>
              </w:rPr>
              <w:t>Other guidance:</w:t>
            </w:r>
            <w:r w:rsidRPr="005D4222">
              <w:t xml:space="preserve"> </w:t>
            </w:r>
          </w:p>
          <w:p w14:paraId="7609880E" w14:textId="18104B8C" w:rsidR="00A46958" w:rsidRPr="005D4222" w:rsidRDefault="00A46958" w:rsidP="005D6173">
            <w:pPr>
              <w:pStyle w:val="ProcessBullet"/>
              <w:numPr>
                <w:ilvl w:val="0"/>
                <w:numId w:val="98"/>
              </w:numPr>
              <w:ind w:left="216" w:hanging="216"/>
              <w:rPr>
                <w:i/>
                <w:iCs/>
              </w:rPr>
            </w:pPr>
            <w:r w:rsidRPr="005D4222">
              <w:t xml:space="preserve">Refer to </w:t>
            </w:r>
            <w:hyperlink w:anchor="Appendix_1" w:history="1">
              <w:r w:rsidRPr="005D4222">
                <w:rPr>
                  <w:rStyle w:val="Hyperlink"/>
                </w:rPr>
                <w:t>Appendix 1</w:t>
              </w:r>
            </w:hyperlink>
            <w:r w:rsidRPr="005D4222">
              <w:t xml:space="preserve"> for the definition of </w:t>
            </w:r>
            <w:r w:rsidRPr="005D4222">
              <w:rPr>
                <w:i/>
                <w:iCs/>
              </w:rPr>
              <w:t>PCP.</w:t>
            </w:r>
          </w:p>
          <w:p w14:paraId="66B57632" w14:textId="77777777" w:rsidR="00A46958" w:rsidRPr="005D4222" w:rsidRDefault="00A46958" w:rsidP="005D6173">
            <w:pPr>
              <w:pStyle w:val="ProcessBullet"/>
              <w:numPr>
                <w:ilvl w:val="0"/>
                <w:numId w:val="98"/>
              </w:numPr>
              <w:spacing w:after="80"/>
              <w:ind w:left="216" w:hanging="216"/>
            </w:pPr>
            <w:r w:rsidRPr="005D4222">
              <w:t>The well-child visit must occur with a PCP, but the PCP does not have to be the practitioner assigned to the child.</w:t>
            </w:r>
          </w:p>
        </w:tc>
      </w:tr>
    </w:tbl>
    <w:p w14:paraId="0CCDCE4A" w14:textId="77777777" w:rsidR="00A46958" w:rsidRPr="005D4222" w:rsidRDefault="00A46958">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A46958" w:rsidRPr="005D4222" w14:paraId="5EC145E1" w14:textId="77777777" w:rsidTr="00A46958">
        <w:tc>
          <w:tcPr>
            <w:tcW w:w="2157" w:type="dxa"/>
            <w:shd w:val="clear" w:color="auto" w:fill="BFBFBF" w:themeFill="background1" w:themeFillShade="BF"/>
            <w:tcMar>
              <w:top w:w="0" w:type="dxa"/>
              <w:left w:w="86" w:type="dxa"/>
              <w:bottom w:w="43" w:type="dxa"/>
              <w:right w:w="86" w:type="dxa"/>
            </w:tcMar>
          </w:tcPr>
          <w:p w14:paraId="224E5A08" w14:textId="77777777" w:rsidR="00A46958" w:rsidRPr="005D4222" w:rsidRDefault="00A46958" w:rsidP="00A53E8C">
            <w:pPr>
              <w:pStyle w:val="ECDSMarginHead"/>
            </w:pPr>
            <w:r w:rsidRPr="005D4222">
              <w:lastRenderedPageBreak/>
              <w:t>Initial population</w:t>
            </w: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tcPr>
          <w:p w14:paraId="32E09DEE" w14:textId="77777777" w:rsidR="00A46958" w:rsidRPr="005D4222" w:rsidRDefault="00A46958" w:rsidP="00A53E8C">
            <w:pPr>
              <w:pStyle w:val="ECDSBody"/>
            </w:pPr>
            <w:r w:rsidRPr="005D4222">
              <w:rPr>
                <w:i/>
                <w:iCs/>
              </w:rPr>
              <w:t>Measure item count:</w:t>
            </w:r>
            <w:r w:rsidRPr="005D4222">
              <w:t xml:space="preserve"> Person.</w:t>
            </w:r>
          </w:p>
          <w:p w14:paraId="6E176FB3" w14:textId="77777777" w:rsidR="00A46958" w:rsidRPr="005D4222" w:rsidRDefault="00A46958" w:rsidP="00A53E8C">
            <w:pPr>
              <w:pStyle w:val="ECDSBody"/>
            </w:pPr>
            <w:r w:rsidRPr="005D4222">
              <w:rPr>
                <w:i/>
                <w:iCs/>
              </w:rPr>
              <w:t xml:space="preserve">Attribution basis: </w:t>
            </w:r>
            <w:r w:rsidRPr="005D4222">
              <w:t>Enrollment.</w:t>
            </w:r>
          </w:p>
          <w:p w14:paraId="142527BB" w14:textId="77777777" w:rsidR="00A46958" w:rsidRPr="005D4222" w:rsidRDefault="00A46958" w:rsidP="00A46958">
            <w:pPr>
              <w:pStyle w:val="Bullet"/>
              <w:numPr>
                <w:ilvl w:val="0"/>
                <w:numId w:val="4"/>
              </w:numPr>
              <w:tabs>
                <w:tab w:val="left" w:pos="360"/>
                <w:tab w:val="left" w:pos="576"/>
              </w:tabs>
              <w:spacing w:after="80"/>
              <w:ind w:left="576" w:hanging="216"/>
              <w:rPr>
                <w:rFonts w:cs="Arial"/>
              </w:rPr>
            </w:pPr>
            <w:r w:rsidRPr="005D4222">
              <w:rPr>
                <w:i/>
                <w:iCs/>
              </w:rPr>
              <w:t>Benefits:</w:t>
            </w:r>
            <w:r w:rsidRPr="005D4222">
              <w:t xml:space="preserve"> Medical.</w:t>
            </w:r>
          </w:p>
          <w:p w14:paraId="266AFE2F" w14:textId="77777777" w:rsidR="0005427F" w:rsidRPr="005D4222" w:rsidRDefault="00A46958" w:rsidP="0005427F">
            <w:pPr>
              <w:pStyle w:val="Bullet"/>
              <w:rPr>
                <w:i/>
                <w:iCs/>
              </w:rPr>
            </w:pPr>
            <w:r w:rsidRPr="005D4222">
              <w:rPr>
                <w:i/>
                <w:iCs/>
              </w:rPr>
              <w:t xml:space="preserve">Continuous enrollment: </w:t>
            </w:r>
          </w:p>
          <w:p w14:paraId="2EA193BF" w14:textId="3526A3E9" w:rsidR="00A46958" w:rsidRPr="005D4222" w:rsidRDefault="00A46958" w:rsidP="00A46958">
            <w:pPr>
              <w:pStyle w:val="Dash"/>
              <w:tabs>
                <w:tab w:val="left" w:pos="576"/>
                <w:tab w:val="left" w:pos="792"/>
              </w:tabs>
            </w:pPr>
            <w:r w:rsidRPr="005D4222">
              <w:rPr>
                <w:i/>
                <w:iCs/>
              </w:rPr>
              <w:t>Initial population 1:</w:t>
            </w:r>
            <w:r w:rsidRPr="005D4222">
              <w:t xml:space="preserve"> 31 days through 15 months of age. Calculate 31 days of age by adding 31 days to the date of birth.</w:t>
            </w:r>
          </w:p>
          <w:p w14:paraId="07ADE147" w14:textId="77777777" w:rsidR="00A46958" w:rsidRPr="005D4222" w:rsidRDefault="00A46958" w:rsidP="00A46958">
            <w:pPr>
              <w:pStyle w:val="Dash"/>
              <w:tabs>
                <w:tab w:val="left" w:pos="576"/>
                <w:tab w:val="left" w:pos="792"/>
              </w:tabs>
            </w:pPr>
            <w:r w:rsidRPr="005D4222">
              <w:rPr>
                <w:i/>
                <w:iCs/>
              </w:rPr>
              <w:t>Initial population 2:</w:t>
            </w:r>
            <w:r w:rsidRPr="005D4222">
              <w:t xml:space="preserve"> 15 months plus 1 day through 30 months of age. Calculate the 15-month birthday plus 1 day as the first birthday plus 91 days.</w:t>
            </w:r>
          </w:p>
          <w:p w14:paraId="34A820EF" w14:textId="77777777" w:rsidR="00A46958" w:rsidRPr="005D4222" w:rsidRDefault="00A46958" w:rsidP="00A46958">
            <w:pPr>
              <w:pStyle w:val="Bullet"/>
              <w:numPr>
                <w:ilvl w:val="0"/>
                <w:numId w:val="4"/>
              </w:numPr>
              <w:tabs>
                <w:tab w:val="left" w:pos="360"/>
                <w:tab w:val="left" w:pos="576"/>
              </w:tabs>
              <w:ind w:left="576" w:hanging="216"/>
              <w:rPr>
                <w:i/>
                <w:iCs/>
              </w:rPr>
            </w:pPr>
            <w:r w:rsidRPr="005D4222">
              <w:rPr>
                <w:i/>
                <w:iCs/>
              </w:rPr>
              <w:t xml:space="preserve">Allowable gap: </w:t>
            </w:r>
          </w:p>
          <w:p w14:paraId="310436E2" w14:textId="7487A241" w:rsidR="00A46958" w:rsidRPr="005D4222" w:rsidRDefault="00A46958" w:rsidP="00A46958">
            <w:pPr>
              <w:pStyle w:val="Dash"/>
              <w:tabs>
                <w:tab w:val="left" w:pos="576"/>
                <w:tab w:val="left" w:pos="792"/>
              </w:tabs>
            </w:pPr>
            <w:r w:rsidRPr="005D4222">
              <w:rPr>
                <w:i/>
                <w:iCs/>
              </w:rPr>
              <w:t>Initial population 1:</w:t>
            </w:r>
            <w:r w:rsidRPr="005D4222">
              <w:t xml:space="preserve"> No more than one gap of ≤45 days during the continuous enrollment period. No gap</w:t>
            </w:r>
            <w:r w:rsidR="001E73BF" w:rsidRPr="005D4222">
              <w:t>s</w:t>
            </w:r>
            <w:r w:rsidRPr="005D4222">
              <w:t xml:space="preserve"> on the 15</w:t>
            </w:r>
            <w:r w:rsidR="009D4432" w:rsidRPr="005D4222">
              <w:t>-</w:t>
            </w:r>
            <w:r w:rsidRPr="005D4222">
              <w:t>month birthday.</w:t>
            </w:r>
          </w:p>
          <w:p w14:paraId="09BA4F93" w14:textId="77C857A5" w:rsidR="00A46958" w:rsidRPr="005D4222" w:rsidRDefault="00A46958" w:rsidP="00A46958">
            <w:pPr>
              <w:pStyle w:val="Dash"/>
              <w:tabs>
                <w:tab w:val="left" w:pos="576"/>
                <w:tab w:val="left" w:pos="792"/>
              </w:tabs>
            </w:pPr>
            <w:r w:rsidRPr="005D4222">
              <w:rPr>
                <w:i/>
                <w:iCs/>
              </w:rPr>
              <w:t>Initial population 2:</w:t>
            </w:r>
            <w:r w:rsidRPr="005D4222">
              <w:t xml:space="preserve"> No more than one gap of ≤45 days during the continuous enrollment period. No gaps on the 30</w:t>
            </w:r>
            <w:r w:rsidR="001E73BF" w:rsidRPr="005D4222">
              <w:t>-</w:t>
            </w:r>
            <w:r w:rsidRPr="005D4222">
              <w:t>month birthday.</w:t>
            </w:r>
          </w:p>
          <w:p w14:paraId="4B8B7B37" w14:textId="77777777" w:rsidR="00A46958" w:rsidRPr="005D4222" w:rsidRDefault="00A46958" w:rsidP="002819C4">
            <w:pPr>
              <w:pStyle w:val="Body"/>
              <w:spacing w:before="120"/>
              <w:rPr>
                <w:rFonts w:cs="Arial"/>
                <w:i/>
                <w:iCs/>
              </w:rPr>
            </w:pPr>
            <w:r w:rsidRPr="005D4222">
              <w:rPr>
                <w:rFonts w:cs="Arial"/>
                <w:i/>
                <w:iCs/>
              </w:rPr>
              <w:t xml:space="preserve">Ages: </w:t>
            </w:r>
          </w:p>
          <w:p w14:paraId="4102CB64" w14:textId="1D4153E6" w:rsidR="00A46958" w:rsidRPr="005D4222" w:rsidRDefault="00A46958" w:rsidP="00A46958">
            <w:pPr>
              <w:pStyle w:val="Bullet"/>
              <w:numPr>
                <w:ilvl w:val="0"/>
                <w:numId w:val="4"/>
              </w:numPr>
              <w:tabs>
                <w:tab w:val="left" w:pos="360"/>
                <w:tab w:val="left" w:pos="576"/>
              </w:tabs>
              <w:ind w:left="576" w:hanging="216"/>
            </w:pPr>
            <w:r w:rsidRPr="005D4222">
              <w:rPr>
                <w:i/>
                <w:iCs/>
              </w:rPr>
              <w:t>Initial population 1</w:t>
            </w:r>
            <w:r w:rsidRPr="005D4222">
              <w:rPr>
                <w:rFonts w:cs="Arial"/>
                <w:i/>
                <w:iCs/>
              </w:rPr>
              <w:t>:</w:t>
            </w:r>
            <w:r w:rsidRPr="005D4222">
              <w:t xml:space="preserve"> </w:t>
            </w:r>
            <w:r w:rsidR="001E73BF" w:rsidRPr="005D4222">
              <w:t>Persons</w:t>
            </w:r>
            <w:r w:rsidRPr="005D4222">
              <w:t xml:space="preserve"> who turn 15 months old during the measurement period. Calculate the 15-month birthday as the first birthday plus 90 days.</w:t>
            </w:r>
          </w:p>
          <w:p w14:paraId="23419013" w14:textId="26738C8E" w:rsidR="00A46958" w:rsidRPr="005D4222" w:rsidRDefault="00A46958" w:rsidP="00A46958">
            <w:pPr>
              <w:pStyle w:val="Bullet"/>
              <w:numPr>
                <w:ilvl w:val="0"/>
                <w:numId w:val="4"/>
              </w:numPr>
              <w:tabs>
                <w:tab w:val="left" w:pos="360"/>
                <w:tab w:val="left" w:pos="576"/>
              </w:tabs>
              <w:ind w:left="576" w:hanging="216"/>
            </w:pPr>
            <w:r w:rsidRPr="005D4222">
              <w:rPr>
                <w:i/>
                <w:iCs/>
              </w:rPr>
              <w:t>Initial population 2</w:t>
            </w:r>
            <w:r w:rsidRPr="005D4222">
              <w:rPr>
                <w:rFonts w:cs="Arial"/>
                <w:i/>
                <w:iCs/>
              </w:rPr>
              <w:t>:</w:t>
            </w:r>
            <w:r w:rsidRPr="005D4222">
              <w:rPr>
                <w:rFonts w:cs="Arial"/>
              </w:rPr>
              <w:t xml:space="preserve"> </w:t>
            </w:r>
            <w:r w:rsidR="001E73BF" w:rsidRPr="005D4222">
              <w:t>Persons</w:t>
            </w:r>
            <w:r w:rsidRPr="005D4222">
              <w:t xml:space="preserve"> who turn 30 months old during the measurement period. Calculate the 30-month birthday as the second birthday plus 180 days.</w:t>
            </w:r>
          </w:p>
          <w:p w14:paraId="7071F497" w14:textId="2540ED17" w:rsidR="00A46958" w:rsidRPr="005D4222" w:rsidRDefault="00A46958" w:rsidP="00A53E8C">
            <w:pPr>
              <w:pStyle w:val="ECDSBody"/>
            </w:pPr>
            <w:r w:rsidRPr="005D4222">
              <w:rPr>
                <w:i/>
                <w:iCs/>
              </w:rPr>
              <w:t>Event:</w:t>
            </w:r>
            <w:r w:rsidRPr="005D4222">
              <w:t xml:space="preserve"> None.</w:t>
            </w:r>
          </w:p>
        </w:tc>
      </w:tr>
      <w:tr w:rsidR="00A46958" w:rsidRPr="005D4222" w14:paraId="457C125B" w14:textId="77777777" w:rsidTr="00A46958">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1437051" w14:textId="77777777" w:rsidR="00A46958" w:rsidRPr="005D4222" w:rsidRDefault="00A46958" w:rsidP="00A53E8C">
            <w:pPr>
              <w:pStyle w:val="ECDSMarginHead"/>
            </w:pPr>
            <w:r w:rsidRPr="005D4222">
              <w:t xml:space="preserve">Denominator exclusions </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63388B9F" w14:textId="77777777" w:rsidR="00A46958" w:rsidRPr="005D4222" w:rsidRDefault="00A46958" w:rsidP="00A53E8C">
            <w:pPr>
              <w:pStyle w:val="ECDSBody"/>
              <w:rPr>
                <w:rFonts w:cs="Segoe UI"/>
                <w:szCs w:val="18"/>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p w14:paraId="0B513572" w14:textId="77777777" w:rsidR="00A46958" w:rsidRPr="005D4222" w:rsidRDefault="00A46958" w:rsidP="00A53E8C">
            <w:pPr>
              <w:pStyle w:val="ECDSBody"/>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A46958" w:rsidRPr="005D4222" w14:paraId="3E122E9C" w14:textId="77777777" w:rsidTr="00A46958">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3D912E3" w14:textId="77777777" w:rsidR="00A46958" w:rsidRPr="005D4222" w:rsidRDefault="00A46958" w:rsidP="00A53E8C">
            <w:pPr>
              <w:pStyle w:val="ECDSMarginHead"/>
            </w:pPr>
            <w:r w:rsidRPr="005D4222">
              <w:t>Denominator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9B66288" w14:textId="77777777" w:rsidR="00A46958" w:rsidRPr="005D4222" w:rsidRDefault="00A46958" w:rsidP="00A53E8C">
            <w:pPr>
              <w:pStyle w:val="ECDSBody"/>
              <w:rPr>
                <w:rFonts w:eastAsia="Arial,Arial,Arial,Arial,Arial,A"/>
              </w:rPr>
            </w:pPr>
            <w:r w:rsidRPr="005D4222">
              <w:rPr>
                <w:rFonts w:eastAsia="Arial,Arial,Arial,Arial,Arial,A"/>
                <w:b/>
                <w:bCs w:val="0"/>
              </w:rPr>
              <w:t xml:space="preserve">Denominator 1: </w:t>
            </w:r>
            <w:r w:rsidRPr="005D4222">
              <w:rPr>
                <w:b/>
                <w:bCs w:val="0"/>
              </w:rPr>
              <w:t>Well-child visits in the first 15 months</w:t>
            </w:r>
            <w:r w:rsidRPr="005D4222">
              <w:rPr>
                <w:rFonts w:eastAsia="Arial,Arial,Arial,Arial,Arial,A"/>
                <w:b/>
                <w:bCs w:val="0"/>
              </w:rPr>
              <w:t xml:space="preserve">. </w:t>
            </w:r>
            <w:r w:rsidRPr="005D4222">
              <w:rPr>
                <w:rFonts w:eastAsia="Arial,Arial,Arial,Arial,Arial,A"/>
              </w:rPr>
              <w:br/>
              <w:t xml:space="preserve">The initial population 1 minus denominator exclusions. </w:t>
            </w:r>
          </w:p>
          <w:p w14:paraId="64EEF3F7" w14:textId="77777777" w:rsidR="00A46958" w:rsidRPr="005D4222" w:rsidRDefault="00A46958" w:rsidP="00A53E8C">
            <w:pPr>
              <w:pStyle w:val="ECDSBody"/>
            </w:pPr>
            <w:r w:rsidRPr="005D4222">
              <w:rPr>
                <w:rFonts w:eastAsia="Arial,Arial,Arial,Arial,Arial,A"/>
                <w:b/>
                <w:bCs w:val="0"/>
              </w:rPr>
              <w:t xml:space="preserve">Denominator 2: Well-child visits for 15 months–30 months of age. </w:t>
            </w:r>
            <w:r w:rsidRPr="005D4222">
              <w:rPr>
                <w:rFonts w:eastAsia="Arial,Arial,Arial,Arial,Arial,A"/>
              </w:rPr>
              <w:br/>
              <w:t>The initial population 2 minus denominator exclusions.</w:t>
            </w:r>
          </w:p>
        </w:tc>
      </w:tr>
      <w:tr w:rsidR="00A46958" w:rsidRPr="005D4222" w14:paraId="1024BF31" w14:textId="77777777" w:rsidTr="00A46958">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A92F561" w14:textId="77777777" w:rsidR="00A46958" w:rsidRPr="005D4222" w:rsidRDefault="00A46958" w:rsidP="00A53E8C">
            <w:pPr>
              <w:pStyle w:val="ECDSMarginHead"/>
            </w:pPr>
            <w:r w:rsidRPr="005D4222">
              <w:t>Numerator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52DC7ADB" w14:textId="27D99710" w:rsidR="00A46958" w:rsidRPr="005D4222" w:rsidRDefault="00A46958" w:rsidP="00A53E8C">
            <w:pPr>
              <w:pStyle w:val="ECDSBody"/>
            </w:pPr>
            <w:r w:rsidRPr="005D4222">
              <w:rPr>
                <w:b/>
                <w:bCs w:val="0"/>
              </w:rPr>
              <w:t>Numerator 1:</w:t>
            </w:r>
            <w:r w:rsidRPr="005D4222">
              <w:rPr>
                <w:b/>
                <w:bCs w:val="0"/>
                <w:i/>
                <w:iCs/>
              </w:rPr>
              <w:t xml:space="preserve"> </w:t>
            </w:r>
            <w:r w:rsidRPr="005D4222">
              <w:rPr>
                <w:b/>
                <w:bCs w:val="0"/>
              </w:rPr>
              <w:t>Well-</w:t>
            </w:r>
            <w:r w:rsidR="00B01D10" w:rsidRPr="005D4222">
              <w:rPr>
                <w:b/>
                <w:bCs w:val="0"/>
              </w:rPr>
              <w:t>c</w:t>
            </w:r>
            <w:r w:rsidRPr="005D4222">
              <w:rPr>
                <w:b/>
                <w:bCs w:val="0"/>
              </w:rPr>
              <w:t xml:space="preserve">hild </w:t>
            </w:r>
            <w:r w:rsidR="00B01D10" w:rsidRPr="005D4222">
              <w:rPr>
                <w:b/>
                <w:bCs w:val="0"/>
              </w:rPr>
              <w:t>v</w:t>
            </w:r>
            <w:r w:rsidRPr="005D4222">
              <w:rPr>
                <w:b/>
                <w:bCs w:val="0"/>
              </w:rPr>
              <w:t xml:space="preserve">isits in the </w:t>
            </w:r>
            <w:r w:rsidR="00B01D10" w:rsidRPr="005D4222">
              <w:rPr>
                <w:b/>
                <w:bCs w:val="0"/>
              </w:rPr>
              <w:t>f</w:t>
            </w:r>
            <w:r w:rsidRPr="005D4222">
              <w:rPr>
                <w:b/>
                <w:bCs w:val="0"/>
              </w:rPr>
              <w:t xml:space="preserve">irst 15 </w:t>
            </w:r>
            <w:r w:rsidR="00B01D10" w:rsidRPr="005D4222">
              <w:rPr>
                <w:b/>
                <w:bCs w:val="0"/>
              </w:rPr>
              <w:t>m</w:t>
            </w:r>
            <w:r w:rsidRPr="005D4222">
              <w:rPr>
                <w:b/>
                <w:bCs w:val="0"/>
              </w:rPr>
              <w:t>onths.</w:t>
            </w:r>
            <w:r w:rsidRPr="005D4222">
              <w:rPr>
                <w:b/>
                <w:bCs w:val="0"/>
              </w:rPr>
              <w:br/>
            </w:r>
            <w:r w:rsidRPr="005D4222">
              <w:t>Persons with six or more well-child visits on different dates of service with a PCP on or before the 15-month birthday. Either of the following meet criteria:</w:t>
            </w:r>
          </w:p>
          <w:p w14:paraId="6F61FD9F" w14:textId="77777777" w:rsidR="00A46958" w:rsidRPr="005D4222" w:rsidRDefault="00A46958" w:rsidP="00A46958">
            <w:pPr>
              <w:pStyle w:val="Bullet"/>
              <w:numPr>
                <w:ilvl w:val="0"/>
                <w:numId w:val="4"/>
              </w:numPr>
              <w:tabs>
                <w:tab w:val="left" w:pos="360"/>
                <w:tab w:val="left" w:pos="576"/>
              </w:tabs>
              <w:ind w:left="576" w:hanging="216"/>
            </w:pPr>
            <w:r w:rsidRPr="005D4222">
              <w:t>A well-care visit (</w:t>
            </w:r>
            <w:r w:rsidRPr="005D4222">
              <w:rPr>
                <w:u w:val="single"/>
              </w:rPr>
              <w:t>Well Care Visit Value Set</w:t>
            </w:r>
            <w:r w:rsidRPr="005D4222">
              <w:t>).</w:t>
            </w:r>
          </w:p>
          <w:p w14:paraId="1D4BA357" w14:textId="77777777" w:rsidR="00A46958" w:rsidRPr="005D4222" w:rsidDel="004321DC" w:rsidRDefault="00A46958" w:rsidP="00A46958">
            <w:pPr>
              <w:pStyle w:val="Bullet"/>
              <w:numPr>
                <w:ilvl w:val="0"/>
                <w:numId w:val="4"/>
              </w:numPr>
              <w:tabs>
                <w:tab w:val="left" w:pos="360"/>
                <w:tab w:val="left" w:pos="576"/>
              </w:tabs>
              <w:ind w:left="576" w:hanging="216"/>
            </w:pPr>
            <w:r w:rsidRPr="005D4222">
              <w:t>An encounter for well-care (</w:t>
            </w:r>
            <w:r w:rsidRPr="005D4222">
              <w:rPr>
                <w:u w:val="single"/>
              </w:rPr>
              <w:t>Encounter for Well Care Value Set</w:t>
            </w:r>
            <w:r w:rsidRPr="005D4222">
              <w:t xml:space="preserve">*). </w:t>
            </w:r>
          </w:p>
          <w:p w14:paraId="6EFD8D5B" w14:textId="6CB1A847" w:rsidR="00A46958" w:rsidRPr="005D4222" w:rsidRDefault="00A46958" w:rsidP="00AF5D89">
            <w:pPr>
              <w:pStyle w:val="Bullet"/>
              <w:numPr>
                <w:ilvl w:val="0"/>
                <w:numId w:val="0"/>
              </w:numPr>
              <w:tabs>
                <w:tab w:val="left" w:pos="360"/>
                <w:tab w:val="left" w:pos="576"/>
              </w:tabs>
            </w:pPr>
            <w:r w:rsidRPr="005D4222">
              <w:t xml:space="preserve">Do not include telehealth visits (visits billed with a code that indicates telehealth: </w:t>
            </w:r>
            <w:r w:rsidRPr="005D4222">
              <w:rPr>
                <w:u w:val="single"/>
              </w:rPr>
              <w:t>Telehealth POS Value Set</w:t>
            </w:r>
            <w:r w:rsidRPr="005D4222">
              <w:t xml:space="preserve">; </w:t>
            </w:r>
            <w:r w:rsidRPr="005D4222">
              <w:rPr>
                <w:u w:val="single"/>
              </w:rPr>
              <w:t>Online Assessments Value Set</w:t>
            </w:r>
            <w:r w:rsidRPr="005D4222">
              <w:t xml:space="preserve">; </w:t>
            </w:r>
            <w:r w:rsidRPr="005D4222">
              <w:rPr>
                <w:u w:val="single"/>
              </w:rPr>
              <w:t>Telephone Visits Value Set</w:t>
            </w:r>
            <w:r w:rsidRPr="005D4222">
              <w:t>).</w:t>
            </w:r>
          </w:p>
        </w:tc>
      </w:tr>
      <w:tr w:rsidR="00A46958" w:rsidRPr="005D4222" w14:paraId="41F7567C" w14:textId="77777777" w:rsidTr="00A46958">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CC77A43" w14:textId="77777777" w:rsidR="00A46958" w:rsidRPr="005D4222" w:rsidRDefault="00A46958"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0144E671" w14:textId="48CCBC51" w:rsidR="00A46958" w:rsidRPr="005D4222" w:rsidRDefault="00A46958" w:rsidP="00A46958">
            <w:pPr>
              <w:pStyle w:val="ECDSBody"/>
            </w:pPr>
            <w:r w:rsidRPr="005D4222">
              <w:rPr>
                <w:b/>
                <w:bCs w:val="0"/>
              </w:rPr>
              <w:t>Numerator 2:</w:t>
            </w:r>
            <w:r w:rsidRPr="005D4222">
              <w:t xml:space="preserve"> </w:t>
            </w:r>
            <w:r w:rsidRPr="005D4222">
              <w:rPr>
                <w:b/>
                <w:bCs w:val="0"/>
              </w:rPr>
              <w:t>Well-</w:t>
            </w:r>
            <w:r w:rsidR="00B01D10" w:rsidRPr="005D4222">
              <w:rPr>
                <w:b/>
                <w:bCs w:val="0"/>
              </w:rPr>
              <w:t>child visits</w:t>
            </w:r>
            <w:r w:rsidRPr="005D4222">
              <w:rPr>
                <w:b/>
                <w:bCs w:val="0"/>
              </w:rPr>
              <w:t xml:space="preserve"> for </w:t>
            </w:r>
            <w:r w:rsidR="00B01D10" w:rsidRPr="005D4222">
              <w:rPr>
                <w:b/>
                <w:bCs w:val="0"/>
              </w:rPr>
              <w:t>age</w:t>
            </w:r>
            <w:r w:rsidRPr="005D4222">
              <w:rPr>
                <w:b/>
                <w:bCs w:val="0"/>
              </w:rPr>
              <w:t xml:space="preserve"> 15 </w:t>
            </w:r>
            <w:r w:rsidR="00B01D10" w:rsidRPr="005D4222">
              <w:rPr>
                <w:b/>
                <w:bCs w:val="0"/>
              </w:rPr>
              <w:t>months</w:t>
            </w:r>
            <w:r w:rsidRPr="005D4222">
              <w:rPr>
                <w:b/>
                <w:bCs w:val="0"/>
              </w:rPr>
              <w:t xml:space="preserve">–30 </w:t>
            </w:r>
            <w:r w:rsidR="00B01D10" w:rsidRPr="005D4222">
              <w:rPr>
                <w:b/>
                <w:bCs w:val="0"/>
              </w:rPr>
              <w:t>months</w:t>
            </w:r>
            <w:r w:rsidRPr="005D4222">
              <w:rPr>
                <w:b/>
                <w:bCs w:val="0"/>
              </w:rPr>
              <w:br/>
            </w:r>
            <w:r w:rsidRPr="005D4222">
              <w:t>Two</w:t>
            </w:r>
            <w:r w:rsidRPr="005D4222" w:rsidDel="000857E4">
              <w:t xml:space="preserve"> or more well-</w:t>
            </w:r>
            <w:r w:rsidRPr="005D4222">
              <w:t>child</w:t>
            </w:r>
            <w:r w:rsidRPr="005D4222" w:rsidDel="000857E4">
              <w:t xml:space="preserve"> visits on </w:t>
            </w:r>
            <w:r w:rsidRPr="005D4222">
              <w:t>different dates of service with a PCP between the child’s 15-month birthday plus 1 day and the 30-month birthday. Either of the following meets criteria:</w:t>
            </w:r>
          </w:p>
          <w:p w14:paraId="4B493625" w14:textId="77777777" w:rsidR="00A46958" w:rsidRPr="005D4222" w:rsidRDefault="00A46958" w:rsidP="00A46958">
            <w:pPr>
              <w:pStyle w:val="Bullet"/>
              <w:numPr>
                <w:ilvl w:val="0"/>
                <w:numId w:val="4"/>
              </w:numPr>
              <w:tabs>
                <w:tab w:val="left" w:pos="360"/>
                <w:tab w:val="left" w:pos="576"/>
              </w:tabs>
              <w:ind w:left="576" w:hanging="216"/>
            </w:pPr>
            <w:r w:rsidRPr="005D4222">
              <w:t>A well-care visit (</w:t>
            </w:r>
            <w:r w:rsidRPr="005D4222">
              <w:rPr>
                <w:u w:val="single"/>
              </w:rPr>
              <w:t>Well Care Visit Value Set</w:t>
            </w:r>
            <w:r w:rsidRPr="005D4222">
              <w:t>).</w:t>
            </w:r>
          </w:p>
          <w:p w14:paraId="52AF1304" w14:textId="77777777" w:rsidR="00A46958" w:rsidRPr="005D4222" w:rsidRDefault="00A46958" w:rsidP="00A46958">
            <w:pPr>
              <w:pStyle w:val="Bullet"/>
              <w:numPr>
                <w:ilvl w:val="0"/>
                <w:numId w:val="4"/>
              </w:numPr>
              <w:tabs>
                <w:tab w:val="left" w:pos="360"/>
                <w:tab w:val="left" w:pos="576"/>
              </w:tabs>
              <w:spacing w:after="80"/>
              <w:ind w:left="576" w:hanging="216"/>
            </w:pPr>
            <w:r w:rsidRPr="005D4222">
              <w:t>An encounter for well-care (</w:t>
            </w:r>
            <w:r w:rsidRPr="005D4222">
              <w:rPr>
                <w:u w:val="single"/>
              </w:rPr>
              <w:t>Encounter for Well Care Value Set</w:t>
            </w:r>
            <w:r w:rsidRPr="005D4222">
              <w:t>*).</w:t>
            </w:r>
          </w:p>
          <w:p w14:paraId="3BAA56C6" w14:textId="77777777" w:rsidR="00A46958" w:rsidRPr="005D4222" w:rsidRDefault="00A46958" w:rsidP="00A53E8C">
            <w:pPr>
              <w:pStyle w:val="ECDSBody"/>
            </w:pPr>
            <w:r w:rsidRPr="005D4222">
              <w:t xml:space="preserve">Do not include telehealth visits (visits billed with a code that indicates telehealth: </w:t>
            </w:r>
            <w:r w:rsidRPr="005D4222">
              <w:rPr>
                <w:u w:val="single"/>
              </w:rPr>
              <w:t>Telehealth POS Value Set</w:t>
            </w:r>
            <w:r w:rsidRPr="005D4222">
              <w:t xml:space="preserve">; </w:t>
            </w:r>
            <w:r w:rsidRPr="005D4222">
              <w:rPr>
                <w:u w:val="single"/>
              </w:rPr>
              <w:t>Online Assessments Value Set</w:t>
            </w:r>
            <w:r w:rsidRPr="005D4222">
              <w:t xml:space="preserve">; </w:t>
            </w:r>
            <w:r w:rsidRPr="005D4222">
              <w:rPr>
                <w:u w:val="single"/>
              </w:rPr>
              <w:t>Telephone Visits Value Set</w:t>
            </w:r>
            <w:r w:rsidRPr="005D4222">
              <w:t>).</w:t>
            </w:r>
          </w:p>
          <w:p w14:paraId="10CFBC47" w14:textId="77777777" w:rsidR="00A46958" w:rsidRPr="005D4222" w:rsidRDefault="00A46958" w:rsidP="00A53E8C">
            <w:pPr>
              <w:pStyle w:val="ECDSBody"/>
              <w:spacing w:after="0"/>
              <w:rPr>
                <w:b/>
                <w:bCs w:val="0"/>
              </w:rPr>
            </w:pPr>
            <w:r w:rsidRPr="005D4222">
              <w:rPr>
                <w:b/>
                <w:bCs w:val="0"/>
              </w:rPr>
              <w:t>Coding Guidance</w:t>
            </w:r>
          </w:p>
          <w:p w14:paraId="0C76BB2D" w14:textId="77777777" w:rsidR="00A46958" w:rsidRPr="005D4222" w:rsidRDefault="00A46958" w:rsidP="00A53E8C">
            <w:pPr>
              <w:pStyle w:val="ECDSBody"/>
              <w:spacing w:before="0"/>
              <w:rPr>
                <w:b/>
                <w:bCs w:val="0"/>
              </w:rPr>
            </w:pPr>
            <w:r w:rsidRPr="005D4222">
              <w:t>*Do not include laboratory claims (claims with POS code 81).</w:t>
            </w:r>
          </w:p>
        </w:tc>
      </w:tr>
      <w:tr w:rsidR="00A46958" w:rsidRPr="005D4222" w14:paraId="3C6B270A" w14:textId="77777777" w:rsidTr="00A46958">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8BDA22C" w14:textId="77777777" w:rsidR="00A46958" w:rsidRPr="005D4222" w:rsidRDefault="00A46958" w:rsidP="00A53E8C">
            <w:pPr>
              <w:pStyle w:val="ECDSMarginHead"/>
            </w:pPr>
            <w:r w:rsidRPr="005D4222">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E0344A2" w14:textId="77777777" w:rsidR="00A46958" w:rsidRPr="005D4222" w:rsidRDefault="00A46958" w:rsidP="005D6173">
            <w:pPr>
              <w:pStyle w:val="ProcessBullet"/>
              <w:numPr>
                <w:ilvl w:val="0"/>
                <w:numId w:val="98"/>
              </w:numPr>
              <w:spacing w:before="120" w:after="80"/>
              <w:ind w:left="216" w:hanging="216"/>
              <w:rPr>
                <w:color w:val="000000" w:themeColor="text1"/>
              </w:rPr>
            </w:pPr>
            <w:r w:rsidRPr="005D4222">
              <w:t>Updated the race and ethnicity stratification categories to align with OMB SPD 15 2024.</w:t>
            </w:r>
          </w:p>
          <w:p w14:paraId="4E6CBBBD" w14:textId="77777777" w:rsidR="00A46958" w:rsidRPr="005D4222" w:rsidRDefault="00A46958" w:rsidP="005D6173">
            <w:pPr>
              <w:pStyle w:val="ProcessBullet"/>
              <w:numPr>
                <w:ilvl w:val="0"/>
                <w:numId w:val="98"/>
              </w:numPr>
              <w:spacing w:after="80"/>
              <w:ind w:left="216" w:hanging="216"/>
              <w:rPr>
                <w:color w:val="000000" w:themeColor="text1"/>
              </w:rPr>
            </w:pPr>
            <w:r w:rsidRPr="005D4222">
              <w:t>Added instructions on allowable adjustments to the race and ethnicity stratifications.</w:t>
            </w:r>
          </w:p>
        </w:tc>
      </w:tr>
      <w:tr w:rsidR="00A46958" w:rsidRPr="005D4222" w14:paraId="18EB6B72" w14:textId="77777777" w:rsidTr="00A46958">
        <w:trPr>
          <w:trHeight w:val="104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5C57B41" w14:textId="77777777" w:rsidR="00A46958" w:rsidRPr="005D4222" w:rsidRDefault="00A46958" w:rsidP="00A53E8C">
            <w:pPr>
              <w:pStyle w:val="ECDS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4165789" w14:textId="77777777" w:rsidR="00A46958" w:rsidRPr="005D4222" w:rsidRDefault="00A46958" w:rsidP="00A53E8C">
            <w:pPr>
              <w:pStyle w:val="ECDSBody"/>
            </w:pPr>
            <w:r w:rsidRPr="005D4222">
              <w:t>Organizations that submit HEDIS data to NCQA must provide the following data elements.</w:t>
            </w:r>
          </w:p>
          <w:p w14:paraId="58290466" w14:textId="77777777" w:rsidR="00A46958" w:rsidRPr="005D4222" w:rsidRDefault="00A46958" w:rsidP="00A53E8C">
            <w:pPr>
              <w:pStyle w:val="Heading3"/>
              <w:spacing w:before="120"/>
            </w:pPr>
            <w:r w:rsidRPr="005D4222">
              <w:t>Table W30-A-1/2: Data Elements for Well-Child Visits in the First 30 Months of Life</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29"/>
              <w:gridCol w:w="2816"/>
              <w:gridCol w:w="2330"/>
            </w:tblGrid>
            <w:tr w:rsidR="00A46958" w:rsidRPr="005D4222" w14:paraId="4A44CC6F" w14:textId="77777777" w:rsidTr="00A53E8C">
              <w:tc>
                <w:tcPr>
                  <w:tcW w:w="2066"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tcPr>
                <w:p w14:paraId="389AB0E5" w14:textId="77777777" w:rsidR="00A46958" w:rsidRPr="005D4222" w:rsidRDefault="00A46958" w:rsidP="00A53E8C">
                  <w:pPr>
                    <w:pStyle w:val="TableHead"/>
                    <w:spacing w:before="30" w:after="30"/>
                  </w:pPr>
                  <w:r w:rsidRPr="005D4222">
                    <w:t>Metric</w:t>
                  </w:r>
                </w:p>
              </w:tc>
              <w:tc>
                <w:tcPr>
                  <w:tcW w:w="261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Pr>
                <w:p w14:paraId="218113FD" w14:textId="77777777" w:rsidR="00A46958" w:rsidRPr="005D4222" w:rsidRDefault="00A46958" w:rsidP="00A53E8C">
                  <w:pPr>
                    <w:pStyle w:val="TableHead"/>
                    <w:spacing w:before="30" w:after="30"/>
                  </w:pPr>
                  <w:r w:rsidRPr="005D4222">
                    <w:t>Data Element</w:t>
                  </w:r>
                </w:p>
              </w:tc>
              <w:tc>
                <w:tcPr>
                  <w:tcW w:w="2160"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tcPr>
                <w:p w14:paraId="6FE89FBB" w14:textId="77777777" w:rsidR="00A46958" w:rsidRPr="005D4222" w:rsidRDefault="00A46958" w:rsidP="00A53E8C">
                  <w:pPr>
                    <w:pStyle w:val="TableHead"/>
                    <w:spacing w:before="30" w:after="30"/>
                  </w:pPr>
                  <w:r w:rsidRPr="005D4222">
                    <w:t>Reporting Instructions</w:t>
                  </w:r>
                </w:p>
              </w:tc>
            </w:tr>
            <w:tr w:rsidR="00A46958" w:rsidRPr="005D4222" w14:paraId="143AEDB7" w14:textId="77777777" w:rsidTr="00A53E8C">
              <w:tc>
                <w:tcPr>
                  <w:tcW w:w="2066" w:type="dxa"/>
                  <w:tcBorders>
                    <w:top w:val="single" w:sz="4" w:space="0" w:color="000000" w:themeColor="text1"/>
                    <w:left w:val="single" w:sz="4" w:space="0" w:color="auto"/>
                    <w:bottom w:val="single" w:sz="4" w:space="0" w:color="auto"/>
                    <w:right w:val="single" w:sz="4" w:space="0" w:color="auto"/>
                  </w:tcBorders>
                </w:tcPr>
                <w:p w14:paraId="4C638FC5" w14:textId="77777777" w:rsidR="00A46958" w:rsidRPr="005D4222" w:rsidRDefault="00A46958" w:rsidP="00A53E8C">
                  <w:pPr>
                    <w:pStyle w:val="TableText"/>
                    <w:spacing w:before="30" w:after="30"/>
                  </w:pPr>
                  <w:r w:rsidRPr="005D4222">
                    <w:t>Age15Months</w:t>
                  </w:r>
                </w:p>
              </w:tc>
              <w:tc>
                <w:tcPr>
                  <w:tcW w:w="2610" w:type="dxa"/>
                  <w:tcBorders>
                    <w:top w:val="single" w:sz="4" w:space="0" w:color="000000" w:themeColor="text1"/>
                    <w:left w:val="single" w:sz="4" w:space="0" w:color="auto"/>
                    <w:bottom w:val="single" w:sz="4" w:space="0" w:color="auto"/>
                    <w:right w:val="single" w:sz="4" w:space="0" w:color="auto"/>
                  </w:tcBorders>
                </w:tcPr>
                <w:p w14:paraId="228F636B" w14:textId="77777777" w:rsidR="00A46958" w:rsidRPr="005D4222" w:rsidRDefault="00A46958" w:rsidP="00A53E8C">
                  <w:pPr>
                    <w:pStyle w:val="TableText"/>
                    <w:spacing w:before="30" w:after="30"/>
                  </w:pPr>
                  <w:r w:rsidRPr="005D4222">
                    <w:t xml:space="preserve">InitialPopulation </w:t>
                  </w:r>
                </w:p>
              </w:tc>
              <w:tc>
                <w:tcPr>
                  <w:tcW w:w="2160" w:type="dxa"/>
                  <w:tcBorders>
                    <w:top w:val="single" w:sz="4" w:space="0" w:color="000000" w:themeColor="text1"/>
                    <w:left w:val="single" w:sz="4" w:space="0" w:color="auto"/>
                    <w:bottom w:val="single" w:sz="6" w:space="0" w:color="auto"/>
                    <w:right w:val="single" w:sz="4" w:space="0" w:color="auto"/>
                  </w:tcBorders>
                </w:tcPr>
                <w:p w14:paraId="71E5B418" w14:textId="77777777" w:rsidR="00A46958" w:rsidRPr="005D4222" w:rsidRDefault="00A46958" w:rsidP="00A53E8C">
                  <w:pPr>
                    <w:pStyle w:val="TableText"/>
                    <w:spacing w:before="30" w:after="30"/>
                    <w:rPr>
                      <w:rFonts w:eastAsia="Wingdings"/>
                    </w:rPr>
                  </w:pPr>
                  <w:r w:rsidRPr="005D4222">
                    <w:rPr>
                      <w:rFonts w:eastAsia="Wingdings"/>
                    </w:rPr>
                    <w:t>For each Metric</w:t>
                  </w:r>
                </w:p>
              </w:tc>
            </w:tr>
            <w:tr w:rsidR="00A46958" w:rsidRPr="005D4222" w14:paraId="5234F776" w14:textId="77777777" w:rsidTr="00A53E8C">
              <w:tc>
                <w:tcPr>
                  <w:tcW w:w="2066" w:type="dxa"/>
                  <w:tcBorders>
                    <w:top w:val="single" w:sz="4" w:space="0" w:color="auto"/>
                    <w:left w:val="single" w:sz="4" w:space="0" w:color="auto"/>
                    <w:bottom w:val="single" w:sz="4" w:space="0" w:color="auto"/>
                    <w:right w:val="single" w:sz="4" w:space="0" w:color="auto"/>
                  </w:tcBorders>
                  <w:shd w:val="clear" w:color="auto" w:fill="FFFFFF" w:themeFill="background1"/>
                </w:tcPr>
                <w:p w14:paraId="33BE35A9" w14:textId="77777777" w:rsidR="00A46958" w:rsidRPr="005D4222" w:rsidRDefault="00A46958" w:rsidP="00A53E8C">
                  <w:pPr>
                    <w:pStyle w:val="TableText"/>
                    <w:spacing w:before="30" w:after="30"/>
                  </w:pPr>
                  <w:r w:rsidRPr="005D4222">
                    <w:t>Age15To30Months</w:t>
                  </w:r>
                </w:p>
              </w:tc>
              <w:tc>
                <w:tcPr>
                  <w:tcW w:w="2610" w:type="dxa"/>
                  <w:tcBorders>
                    <w:top w:val="single" w:sz="4" w:space="0" w:color="auto"/>
                    <w:left w:val="single" w:sz="4" w:space="0" w:color="auto"/>
                    <w:bottom w:val="single" w:sz="4" w:space="0" w:color="auto"/>
                    <w:right w:val="single" w:sz="4" w:space="0" w:color="auto"/>
                  </w:tcBorders>
                  <w:shd w:val="clear" w:color="auto" w:fill="FFFFFF" w:themeFill="background1"/>
                </w:tcPr>
                <w:p w14:paraId="231D665E" w14:textId="77777777" w:rsidR="00A46958" w:rsidRPr="005D4222" w:rsidRDefault="00A46958" w:rsidP="00A53E8C">
                  <w:pPr>
                    <w:pStyle w:val="TableText"/>
                    <w:spacing w:before="30" w:after="30"/>
                  </w:pPr>
                  <w:r w:rsidRPr="005D4222">
                    <w:t>Exclusions</w:t>
                  </w:r>
                </w:p>
              </w:tc>
              <w:tc>
                <w:tcPr>
                  <w:tcW w:w="2160" w:type="dxa"/>
                  <w:tcBorders>
                    <w:left w:val="single" w:sz="4" w:space="0" w:color="auto"/>
                    <w:right w:val="single" w:sz="4" w:space="0" w:color="auto"/>
                  </w:tcBorders>
                  <w:shd w:val="clear" w:color="auto" w:fill="FFFFFF" w:themeFill="background1"/>
                </w:tcPr>
                <w:p w14:paraId="39ECF30C" w14:textId="77777777" w:rsidR="00A46958" w:rsidRPr="005D4222" w:rsidRDefault="00A46958" w:rsidP="00A53E8C">
                  <w:pPr>
                    <w:pStyle w:val="TableText"/>
                    <w:spacing w:before="30" w:after="30"/>
                    <w:rPr>
                      <w:rFonts w:eastAsia="Wingdings"/>
                    </w:rPr>
                  </w:pPr>
                  <w:r w:rsidRPr="005D4222">
                    <w:rPr>
                      <w:rFonts w:eastAsia="Wingdings"/>
                    </w:rPr>
                    <w:t>For each Metric</w:t>
                  </w:r>
                </w:p>
              </w:tc>
            </w:tr>
            <w:tr w:rsidR="00A46958" w:rsidRPr="005D4222" w14:paraId="1CECBBF7" w14:textId="77777777" w:rsidTr="00A53E8C">
              <w:tc>
                <w:tcPr>
                  <w:tcW w:w="2066" w:type="dxa"/>
                  <w:tcBorders>
                    <w:top w:val="single" w:sz="4" w:space="0" w:color="auto"/>
                    <w:left w:val="nil"/>
                    <w:bottom w:val="nil"/>
                    <w:right w:val="nil"/>
                  </w:tcBorders>
                  <w:shd w:val="clear" w:color="auto" w:fill="FFFFFF" w:themeFill="background1"/>
                </w:tcPr>
                <w:p w14:paraId="55065D7B" w14:textId="77777777" w:rsidR="00A46958" w:rsidRPr="005D4222" w:rsidRDefault="00A46958" w:rsidP="00A53E8C">
                  <w:pPr>
                    <w:pStyle w:val="TableText"/>
                    <w:spacing w:before="30" w:after="30"/>
                  </w:pPr>
                </w:p>
              </w:tc>
              <w:tc>
                <w:tcPr>
                  <w:tcW w:w="2610" w:type="dxa"/>
                  <w:tcBorders>
                    <w:top w:val="single" w:sz="4" w:space="0" w:color="auto"/>
                    <w:left w:val="single" w:sz="4" w:space="0" w:color="auto"/>
                    <w:bottom w:val="single" w:sz="4" w:space="0" w:color="auto"/>
                    <w:right w:val="single" w:sz="4" w:space="0" w:color="auto"/>
                  </w:tcBorders>
                  <w:shd w:val="clear" w:color="auto" w:fill="FFFFFF" w:themeFill="background1"/>
                </w:tcPr>
                <w:p w14:paraId="703D1BEF" w14:textId="77777777" w:rsidR="00A46958" w:rsidRPr="005D4222" w:rsidRDefault="00A46958" w:rsidP="00A53E8C">
                  <w:pPr>
                    <w:pStyle w:val="TableText"/>
                    <w:spacing w:before="30" w:after="30"/>
                  </w:pPr>
                  <w:r w:rsidRPr="005D4222">
                    <w:t>Denominator</w:t>
                  </w:r>
                </w:p>
              </w:tc>
              <w:tc>
                <w:tcPr>
                  <w:tcW w:w="2160" w:type="dxa"/>
                  <w:tcBorders>
                    <w:left w:val="single" w:sz="4" w:space="0" w:color="auto"/>
                    <w:bottom w:val="single" w:sz="6" w:space="0" w:color="auto"/>
                    <w:right w:val="single" w:sz="4" w:space="0" w:color="auto"/>
                  </w:tcBorders>
                  <w:shd w:val="clear" w:color="auto" w:fill="FFFFFF" w:themeFill="background1"/>
                </w:tcPr>
                <w:p w14:paraId="7365A15F" w14:textId="77777777" w:rsidR="00A46958" w:rsidRPr="005D4222" w:rsidRDefault="00A46958" w:rsidP="00A53E8C">
                  <w:pPr>
                    <w:pStyle w:val="TableText"/>
                    <w:spacing w:before="30" w:after="30"/>
                    <w:rPr>
                      <w:rFonts w:eastAsia="Wingdings"/>
                    </w:rPr>
                  </w:pPr>
                  <w:r w:rsidRPr="005D4222">
                    <w:rPr>
                      <w:rFonts w:eastAsia="Wingdings"/>
                    </w:rPr>
                    <w:t>For each Metric</w:t>
                  </w:r>
                </w:p>
              </w:tc>
            </w:tr>
            <w:tr w:rsidR="00A46958" w:rsidRPr="005D4222" w14:paraId="00D61B61" w14:textId="77777777" w:rsidTr="00A53E8C">
              <w:tc>
                <w:tcPr>
                  <w:tcW w:w="2066" w:type="dxa"/>
                  <w:tcBorders>
                    <w:top w:val="nil"/>
                    <w:left w:val="nil"/>
                    <w:bottom w:val="nil"/>
                    <w:right w:val="nil"/>
                  </w:tcBorders>
                  <w:shd w:val="clear" w:color="auto" w:fill="FFFFFF" w:themeFill="background1"/>
                </w:tcPr>
                <w:p w14:paraId="40F3AF59" w14:textId="77777777" w:rsidR="00A46958" w:rsidRPr="005D4222" w:rsidRDefault="00A46958" w:rsidP="00A53E8C">
                  <w:pPr>
                    <w:pStyle w:val="TableText"/>
                    <w:spacing w:before="30" w:after="30"/>
                  </w:pPr>
                </w:p>
              </w:tc>
              <w:tc>
                <w:tcPr>
                  <w:tcW w:w="2610" w:type="dxa"/>
                  <w:tcBorders>
                    <w:top w:val="single" w:sz="4" w:space="0" w:color="auto"/>
                    <w:left w:val="single" w:sz="4" w:space="0" w:color="auto"/>
                    <w:bottom w:val="single" w:sz="4" w:space="0" w:color="auto"/>
                    <w:right w:val="single" w:sz="4" w:space="0" w:color="auto"/>
                  </w:tcBorders>
                  <w:shd w:val="clear" w:color="auto" w:fill="FFFFFF" w:themeFill="background1"/>
                </w:tcPr>
                <w:p w14:paraId="5F9AC125" w14:textId="77777777" w:rsidR="00A46958" w:rsidRPr="005D4222" w:rsidRDefault="00A46958" w:rsidP="00A53E8C">
                  <w:pPr>
                    <w:pStyle w:val="TableText"/>
                    <w:spacing w:before="30" w:after="30"/>
                  </w:pPr>
                  <w:r w:rsidRPr="005D4222">
                    <w:t>NumeratorByAdmin</w:t>
                  </w:r>
                </w:p>
              </w:tc>
              <w:tc>
                <w:tcPr>
                  <w:tcW w:w="2160" w:type="dxa"/>
                  <w:tcBorders>
                    <w:left w:val="single" w:sz="4" w:space="0" w:color="auto"/>
                    <w:bottom w:val="single" w:sz="6" w:space="0" w:color="auto"/>
                    <w:right w:val="single" w:sz="4" w:space="0" w:color="auto"/>
                  </w:tcBorders>
                  <w:shd w:val="clear" w:color="auto" w:fill="FFFFFF" w:themeFill="background1"/>
                </w:tcPr>
                <w:p w14:paraId="4EF0A426" w14:textId="77777777" w:rsidR="00A46958" w:rsidRPr="005D4222" w:rsidRDefault="00A46958" w:rsidP="00A53E8C">
                  <w:pPr>
                    <w:pStyle w:val="TableText"/>
                    <w:spacing w:before="30" w:after="30"/>
                    <w:rPr>
                      <w:rFonts w:eastAsia="Wingdings"/>
                    </w:rPr>
                  </w:pPr>
                  <w:r w:rsidRPr="005D4222">
                    <w:rPr>
                      <w:rFonts w:eastAsia="Wingdings"/>
                    </w:rPr>
                    <w:t>For each Metric</w:t>
                  </w:r>
                </w:p>
              </w:tc>
            </w:tr>
            <w:tr w:rsidR="00A46958" w:rsidRPr="005D4222" w14:paraId="3CE8CF8F" w14:textId="77777777" w:rsidTr="00A53E8C">
              <w:tc>
                <w:tcPr>
                  <w:tcW w:w="2066" w:type="dxa"/>
                  <w:tcBorders>
                    <w:top w:val="nil"/>
                    <w:left w:val="nil"/>
                    <w:bottom w:val="nil"/>
                    <w:right w:val="nil"/>
                  </w:tcBorders>
                  <w:shd w:val="clear" w:color="auto" w:fill="FFFFFF" w:themeFill="background1"/>
                </w:tcPr>
                <w:p w14:paraId="30E4F5FC" w14:textId="77777777" w:rsidR="00A46958" w:rsidRPr="005D4222" w:rsidRDefault="00A46958" w:rsidP="00A53E8C">
                  <w:pPr>
                    <w:pStyle w:val="TableText"/>
                    <w:spacing w:before="30" w:after="30"/>
                  </w:pPr>
                </w:p>
              </w:tc>
              <w:tc>
                <w:tcPr>
                  <w:tcW w:w="2610" w:type="dxa"/>
                  <w:tcBorders>
                    <w:top w:val="single" w:sz="4" w:space="0" w:color="auto"/>
                    <w:left w:val="single" w:sz="4" w:space="0" w:color="auto"/>
                    <w:bottom w:val="single" w:sz="4" w:space="0" w:color="auto"/>
                    <w:right w:val="single" w:sz="4" w:space="0" w:color="auto"/>
                  </w:tcBorders>
                  <w:shd w:val="clear" w:color="auto" w:fill="FFFFFF" w:themeFill="background1"/>
                </w:tcPr>
                <w:p w14:paraId="5ABDA2A8" w14:textId="77777777" w:rsidR="00A46958" w:rsidRPr="005D4222" w:rsidRDefault="00A46958" w:rsidP="00A53E8C">
                  <w:pPr>
                    <w:pStyle w:val="TableText"/>
                    <w:spacing w:before="30" w:after="30"/>
                  </w:pPr>
                  <w:r w:rsidRPr="005D4222">
                    <w:t>NumeratorBySupplemental</w:t>
                  </w:r>
                </w:p>
              </w:tc>
              <w:tc>
                <w:tcPr>
                  <w:tcW w:w="2160" w:type="dxa"/>
                  <w:tcBorders>
                    <w:left w:val="single" w:sz="4" w:space="0" w:color="auto"/>
                    <w:bottom w:val="single" w:sz="6" w:space="0" w:color="auto"/>
                    <w:right w:val="single" w:sz="4" w:space="0" w:color="auto"/>
                  </w:tcBorders>
                  <w:shd w:val="clear" w:color="auto" w:fill="FFFFFF" w:themeFill="background1"/>
                </w:tcPr>
                <w:p w14:paraId="3815F1C4" w14:textId="77777777" w:rsidR="00A46958" w:rsidRPr="005D4222" w:rsidRDefault="00A46958" w:rsidP="00A53E8C">
                  <w:pPr>
                    <w:pStyle w:val="TableText"/>
                    <w:spacing w:before="30" w:after="30"/>
                    <w:rPr>
                      <w:rFonts w:eastAsia="Wingdings"/>
                    </w:rPr>
                  </w:pPr>
                  <w:r w:rsidRPr="005D4222">
                    <w:rPr>
                      <w:rFonts w:eastAsia="Wingdings"/>
                    </w:rPr>
                    <w:t>For each Metric</w:t>
                  </w:r>
                </w:p>
              </w:tc>
            </w:tr>
            <w:tr w:rsidR="00A46958" w:rsidRPr="005D4222" w14:paraId="1AB7428B" w14:textId="77777777" w:rsidTr="007B5FC3">
              <w:tc>
                <w:tcPr>
                  <w:tcW w:w="2066" w:type="dxa"/>
                  <w:tcBorders>
                    <w:top w:val="nil"/>
                    <w:left w:val="nil"/>
                    <w:bottom w:val="nil"/>
                    <w:right w:val="nil"/>
                  </w:tcBorders>
                </w:tcPr>
                <w:p w14:paraId="4A6F753E" w14:textId="77777777" w:rsidR="00A46958" w:rsidRPr="005D4222" w:rsidRDefault="00A46958" w:rsidP="00A53E8C">
                  <w:pPr>
                    <w:pStyle w:val="TableText"/>
                    <w:spacing w:before="30" w:after="30"/>
                  </w:pPr>
                </w:p>
              </w:tc>
              <w:tc>
                <w:tcPr>
                  <w:tcW w:w="26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F1B2A0" w14:textId="77777777" w:rsidR="00A46958" w:rsidRPr="005D4222" w:rsidRDefault="00A46958" w:rsidP="00A53E8C">
                  <w:pPr>
                    <w:pStyle w:val="TableText"/>
                    <w:spacing w:before="30" w:after="30"/>
                  </w:pPr>
                  <w:r w:rsidRPr="005D4222">
                    <w:t>Rate</w:t>
                  </w:r>
                </w:p>
              </w:tc>
              <w:tc>
                <w:tcPr>
                  <w:tcW w:w="2160" w:type="dxa"/>
                  <w:tcBorders>
                    <w:left w:val="single" w:sz="4" w:space="0" w:color="auto"/>
                    <w:bottom w:val="single" w:sz="6" w:space="0" w:color="auto"/>
                    <w:right w:val="single" w:sz="4" w:space="0" w:color="auto"/>
                  </w:tcBorders>
                  <w:shd w:val="clear" w:color="auto" w:fill="D9D9D9" w:themeFill="background1" w:themeFillShade="D9"/>
                </w:tcPr>
                <w:p w14:paraId="435E7B91" w14:textId="77777777" w:rsidR="00A46958" w:rsidRPr="005D4222" w:rsidRDefault="00A46958" w:rsidP="00A53E8C">
                  <w:pPr>
                    <w:pStyle w:val="TableText"/>
                    <w:spacing w:before="30" w:after="30"/>
                    <w:rPr>
                      <w:rFonts w:eastAsia="Wingdings"/>
                    </w:rPr>
                  </w:pPr>
                  <w:r w:rsidRPr="005D4222">
                    <w:rPr>
                      <w:rFonts w:eastAsia="Wingdings"/>
                    </w:rPr>
                    <w:t>(Percent)</w:t>
                  </w:r>
                </w:p>
              </w:tc>
            </w:tr>
          </w:tbl>
          <w:p w14:paraId="0380924F" w14:textId="02BE5284" w:rsidR="00A46958" w:rsidRPr="005D4222" w:rsidRDefault="00A46958" w:rsidP="00A53E8C">
            <w:pPr>
              <w:pStyle w:val="Heading3"/>
            </w:pPr>
            <w:r w:rsidRPr="005D4222" w:rsidDel="003A1195">
              <w:t xml:space="preserve">Table </w:t>
            </w:r>
            <w:r w:rsidRPr="005D4222">
              <w:t xml:space="preserve">W30-B-1/2: Data Elements for Well-Child Visits in the First 30 Months of Life: </w:t>
            </w:r>
            <w:r w:rsidR="00B51CDC" w:rsidRPr="005D4222">
              <w:t>Stratifications</w:t>
            </w:r>
            <w:r w:rsidRPr="005D4222">
              <w:t xml:space="preserve"> by Race</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8" w:type="dxa"/>
                <w:right w:w="58" w:type="dxa"/>
              </w:tblCellMar>
              <w:tblLook w:val="0000" w:firstRow="0" w:lastRow="0" w:firstColumn="0" w:lastColumn="0" w:noHBand="0" w:noVBand="0"/>
            </w:tblPr>
            <w:tblGrid>
              <w:gridCol w:w="1616"/>
              <w:gridCol w:w="3060"/>
              <w:gridCol w:w="1350"/>
              <w:gridCol w:w="1349"/>
            </w:tblGrid>
            <w:tr w:rsidR="00A46958" w:rsidRPr="005D4222" w14:paraId="20608805" w14:textId="77777777" w:rsidTr="00A53E8C">
              <w:tc>
                <w:tcPr>
                  <w:tcW w:w="1616" w:type="dxa"/>
                  <w:tcBorders>
                    <w:top w:val="single" w:sz="4" w:space="0" w:color="000000" w:themeColor="text1"/>
                    <w:left w:val="single" w:sz="4" w:space="0" w:color="auto"/>
                    <w:bottom w:val="single" w:sz="4" w:space="0" w:color="auto"/>
                    <w:right w:val="single" w:sz="4" w:space="0" w:color="FFFFFF" w:themeColor="background1"/>
                  </w:tcBorders>
                  <w:shd w:val="clear" w:color="auto" w:fill="000000" w:themeFill="text1"/>
                  <w:tcMar>
                    <w:left w:w="58" w:type="dxa"/>
                    <w:right w:w="58" w:type="dxa"/>
                  </w:tcMar>
                  <w:vAlign w:val="bottom"/>
                </w:tcPr>
                <w:p w14:paraId="7679A2EF" w14:textId="77777777" w:rsidR="00A46958" w:rsidRPr="005D4222" w:rsidRDefault="00A46958" w:rsidP="00A53E8C">
                  <w:pPr>
                    <w:pStyle w:val="TableHead"/>
                    <w:spacing w:before="30" w:after="30"/>
                  </w:pPr>
                  <w:r w:rsidRPr="005D4222">
                    <w:t>Metric</w:t>
                  </w:r>
                </w:p>
              </w:tc>
              <w:tc>
                <w:tcPr>
                  <w:tcW w:w="306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58" w:type="dxa"/>
                    <w:right w:w="58" w:type="dxa"/>
                  </w:tcMar>
                  <w:vAlign w:val="bottom"/>
                </w:tcPr>
                <w:p w14:paraId="336C9A8B" w14:textId="77777777" w:rsidR="00A46958" w:rsidRPr="005D4222" w:rsidRDefault="00A46958" w:rsidP="00A53E8C">
                  <w:pPr>
                    <w:pStyle w:val="TableHead"/>
                    <w:spacing w:before="30" w:after="30"/>
                  </w:pPr>
                  <w:r w:rsidRPr="005D4222">
                    <w:t>Race</w:t>
                  </w:r>
                </w:p>
              </w:tc>
              <w:tc>
                <w:tcPr>
                  <w:tcW w:w="135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58" w:type="dxa"/>
                    <w:right w:w="58" w:type="dxa"/>
                  </w:tcMar>
                  <w:vAlign w:val="bottom"/>
                </w:tcPr>
                <w:p w14:paraId="687199BD" w14:textId="77777777" w:rsidR="00A46958" w:rsidRPr="005D4222" w:rsidRDefault="00A46958" w:rsidP="00A53E8C">
                  <w:pPr>
                    <w:pStyle w:val="TableHead"/>
                    <w:spacing w:before="30" w:after="30"/>
                  </w:pPr>
                  <w:r w:rsidRPr="005D4222">
                    <w:t>Data Element</w:t>
                  </w:r>
                </w:p>
              </w:tc>
              <w:tc>
                <w:tcPr>
                  <w:tcW w:w="1349" w:type="dxa"/>
                  <w:tcBorders>
                    <w:top w:val="single" w:sz="4" w:space="0" w:color="000000" w:themeColor="text1"/>
                    <w:left w:val="single" w:sz="4" w:space="0" w:color="FFFFFF" w:themeColor="background1"/>
                    <w:bottom w:val="single" w:sz="4" w:space="0" w:color="000000" w:themeColor="text1"/>
                    <w:right w:val="single" w:sz="4" w:space="0" w:color="auto"/>
                  </w:tcBorders>
                  <w:shd w:val="clear" w:color="auto" w:fill="000000" w:themeFill="text1"/>
                  <w:tcMar>
                    <w:left w:w="58" w:type="dxa"/>
                    <w:right w:w="58" w:type="dxa"/>
                  </w:tcMar>
                  <w:vAlign w:val="bottom"/>
                </w:tcPr>
                <w:p w14:paraId="6923E04B" w14:textId="77777777" w:rsidR="00A46958" w:rsidRPr="005D4222" w:rsidRDefault="00A46958" w:rsidP="00A53E8C">
                  <w:pPr>
                    <w:pStyle w:val="TableHead"/>
                    <w:spacing w:before="30" w:after="30"/>
                  </w:pPr>
                  <w:r w:rsidRPr="005D4222">
                    <w:t>Reporting Instructions</w:t>
                  </w:r>
                </w:p>
              </w:tc>
            </w:tr>
            <w:tr w:rsidR="00A46958" w:rsidRPr="005D4222" w14:paraId="1F596D4E" w14:textId="77777777" w:rsidTr="00A53E8C">
              <w:tc>
                <w:tcPr>
                  <w:tcW w:w="1616" w:type="dxa"/>
                  <w:tcBorders>
                    <w:top w:val="single" w:sz="4" w:space="0" w:color="auto"/>
                    <w:left w:val="single" w:sz="4" w:space="0" w:color="auto"/>
                    <w:bottom w:val="single" w:sz="4" w:space="0" w:color="auto"/>
                    <w:right w:val="single" w:sz="4" w:space="0" w:color="auto"/>
                  </w:tcBorders>
                  <w:tcMar>
                    <w:left w:w="58" w:type="dxa"/>
                    <w:right w:w="58" w:type="dxa"/>
                  </w:tcMar>
                </w:tcPr>
                <w:p w14:paraId="324EFB70" w14:textId="77777777" w:rsidR="00A46958" w:rsidRPr="005D4222" w:rsidRDefault="00A46958" w:rsidP="00A53E8C">
                  <w:pPr>
                    <w:pStyle w:val="TableText"/>
                    <w:spacing w:before="30" w:after="30"/>
                    <w:rPr>
                      <w:szCs w:val="21"/>
                    </w:rPr>
                  </w:pPr>
                  <w:r w:rsidRPr="005D4222">
                    <w:rPr>
                      <w:szCs w:val="21"/>
                    </w:rPr>
                    <w:t>Age15Months</w:t>
                  </w:r>
                </w:p>
              </w:tc>
              <w:tc>
                <w:tcPr>
                  <w:tcW w:w="3060" w:type="dxa"/>
                  <w:tcBorders>
                    <w:top w:val="single" w:sz="4" w:space="0" w:color="000000" w:themeColor="text1"/>
                    <w:left w:val="single" w:sz="4" w:space="0" w:color="auto"/>
                    <w:bottom w:val="single" w:sz="4" w:space="0" w:color="auto"/>
                    <w:right w:val="single" w:sz="4" w:space="0" w:color="auto"/>
                  </w:tcBorders>
                  <w:tcMar>
                    <w:left w:w="58" w:type="dxa"/>
                    <w:right w:w="58" w:type="dxa"/>
                  </w:tcMar>
                </w:tcPr>
                <w:p w14:paraId="1B10C671" w14:textId="77777777" w:rsidR="00A46958" w:rsidRPr="005D4222" w:rsidRDefault="00A46958" w:rsidP="00A53E8C">
                  <w:pPr>
                    <w:pStyle w:val="TableText"/>
                    <w:spacing w:before="30" w:after="30"/>
                    <w:rPr>
                      <w:szCs w:val="21"/>
                    </w:rPr>
                  </w:pPr>
                  <w:r w:rsidRPr="005D4222">
                    <w:rPr>
                      <w:szCs w:val="21"/>
                    </w:rPr>
                    <w:t>AmericanIndianOrAlaskaNative</w:t>
                  </w:r>
                  <w:r w:rsidRPr="005D4222" w:rsidDel="00D8177F">
                    <w:rPr>
                      <w:szCs w:val="21"/>
                    </w:rPr>
                    <w:t xml:space="preserve"> </w:t>
                  </w:r>
                </w:p>
              </w:tc>
              <w:tc>
                <w:tcPr>
                  <w:tcW w:w="1350" w:type="dxa"/>
                  <w:tcBorders>
                    <w:top w:val="single" w:sz="4" w:space="0" w:color="000000" w:themeColor="text1"/>
                    <w:left w:val="single" w:sz="4" w:space="0" w:color="auto"/>
                    <w:bottom w:val="single" w:sz="4" w:space="0" w:color="auto"/>
                    <w:right w:val="single" w:sz="4" w:space="0" w:color="auto"/>
                  </w:tcBorders>
                  <w:tcMar>
                    <w:left w:w="58" w:type="dxa"/>
                    <w:right w:w="58" w:type="dxa"/>
                  </w:tcMar>
                </w:tcPr>
                <w:p w14:paraId="6D998CDA" w14:textId="77777777" w:rsidR="00A46958" w:rsidRPr="005D4222" w:rsidRDefault="00A46958" w:rsidP="00A53E8C">
                  <w:pPr>
                    <w:pStyle w:val="TableText"/>
                    <w:spacing w:before="30" w:after="30"/>
                  </w:pPr>
                  <w:r w:rsidRPr="005D4222">
                    <w:t>Denominator</w:t>
                  </w:r>
                </w:p>
              </w:tc>
              <w:tc>
                <w:tcPr>
                  <w:tcW w:w="1349" w:type="dxa"/>
                  <w:tcBorders>
                    <w:top w:val="single" w:sz="4" w:space="0" w:color="000000" w:themeColor="text1"/>
                    <w:left w:val="single" w:sz="4" w:space="0" w:color="auto"/>
                    <w:bottom w:val="single" w:sz="6" w:space="0" w:color="auto"/>
                    <w:right w:val="single" w:sz="4" w:space="0" w:color="auto"/>
                  </w:tcBorders>
                  <w:tcMar>
                    <w:left w:w="58" w:type="dxa"/>
                    <w:right w:w="58" w:type="dxa"/>
                  </w:tcMar>
                </w:tcPr>
                <w:p w14:paraId="36BD830D" w14:textId="77777777" w:rsidR="00A46958" w:rsidRPr="005D4222" w:rsidRDefault="00A46958" w:rsidP="00A53E8C">
                  <w:pPr>
                    <w:pStyle w:val="TableText"/>
                    <w:spacing w:before="30" w:after="30"/>
                    <w:rPr>
                      <w:rFonts w:eastAsia="Wingdings"/>
                      <w:szCs w:val="21"/>
                    </w:rPr>
                  </w:pPr>
                  <w:r w:rsidRPr="005D4222">
                    <w:rPr>
                      <w:rFonts w:eastAsia="Wingdings"/>
                      <w:szCs w:val="21"/>
                    </w:rPr>
                    <w:t xml:space="preserve">For each </w:t>
                  </w:r>
                  <w:r w:rsidRPr="005D4222">
                    <w:rPr>
                      <w:rFonts w:eastAsia="Wingdings"/>
                      <w:szCs w:val="21"/>
                    </w:rPr>
                    <w:br/>
                    <w:t>Metric and Stratification</w:t>
                  </w:r>
                </w:p>
              </w:tc>
            </w:tr>
            <w:tr w:rsidR="00A46958" w:rsidRPr="005D4222" w14:paraId="0808DB28" w14:textId="77777777" w:rsidTr="00A53E8C">
              <w:tc>
                <w:tcPr>
                  <w:tcW w:w="1616"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44C30C2C" w14:textId="77777777" w:rsidR="00A46958" w:rsidRPr="005D4222" w:rsidRDefault="00A46958" w:rsidP="00A53E8C">
                  <w:pPr>
                    <w:pStyle w:val="TableText"/>
                    <w:spacing w:before="30" w:after="30"/>
                    <w:rPr>
                      <w:szCs w:val="21"/>
                    </w:rPr>
                  </w:pPr>
                  <w:r w:rsidRPr="005D4222">
                    <w:rPr>
                      <w:szCs w:val="21"/>
                    </w:rPr>
                    <w:t>Age15To30Months</w:t>
                  </w:r>
                </w:p>
              </w:tc>
              <w:tc>
                <w:tcPr>
                  <w:tcW w:w="306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09B6CEBA" w14:textId="77777777" w:rsidR="00A46958" w:rsidRPr="005D4222" w:rsidRDefault="00A46958" w:rsidP="00A53E8C">
                  <w:pPr>
                    <w:pStyle w:val="TableText"/>
                    <w:spacing w:before="30" w:after="30"/>
                    <w:rPr>
                      <w:szCs w:val="21"/>
                    </w:rPr>
                  </w:pPr>
                  <w:r w:rsidRPr="005D4222">
                    <w:rPr>
                      <w:szCs w:val="21"/>
                    </w:rPr>
                    <w:t>Asian</w:t>
                  </w:r>
                </w:p>
              </w:tc>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452567C6" w14:textId="77777777" w:rsidR="00A46958" w:rsidRPr="005D4222" w:rsidRDefault="00A46958" w:rsidP="00A53E8C">
                  <w:pPr>
                    <w:pStyle w:val="TableText"/>
                    <w:spacing w:before="30" w:after="30"/>
                    <w:rPr>
                      <w:szCs w:val="21"/>
                    </w:rPr>
                  </w:pPr>
                  <w:r w:rsidRPr="005D4222">
                    <w:rPr>
                      <w:szCs w:val="21"/>
                    </w:rPr>
                    <w:t>Numerator</w:t>
                  </w:r>
                </w:p>
              </w:tc>
              <w:tc>
                <w:tcPr>
                  <w:tcW w:w="1349" w:type="dxa"/>
                  <w:tcBorders>
                    <w:left w:val="single" w:sz="4" w:space="0" w:color="auto"/>
                    <w:bottom w:val="single" w:sz="4" w:space="0" w:color="auto"/>
                    <w:right w:val="single" w:sz="4" w:space="0" w:color="auto"/>
                  </w:tcBorders>
                  <w:shd w:val="clear" w:color="auto" w:fill="FFFFFF" w:themeFill="background1"/>
                  <w:tcMar>
                    <w:left w:w="58" w:type="dxa"/>
                    <w:right w:w="58" w:type="dxa"/>
                  </w:tcMar>
                </w:tcPr>
                <w:p w14:paraId="470AE53B" w14:textId="77777777" w:rsidR="00A46958" w:rsidRPr="005D4222" w:rsidRDefault="00A46958" w:rsidP="00A53E8C">
                  <w:pPr>
                    <w:pStyle w:val="TableText"/>
                    <w:spacing w:before="30" w:after="30"/>
                    <w:rPr>
                      <w:rFonts w:eastAsia="Wingdings"/>
                      <w:szCs w:val="21"/>
                    </w:rPr>
                  </w:pPr>
                  <w:r w:rsidRPr="005D4222">
                    <w:rPr>
                      <w:rFonts w:eastAsia="Wingdings"/>
                      <w:szCs w:val="21"/>
                    </w:rPr>
                    <w:t xml:space="preserve">For each </w:t>
                  </w:r>
                  <w:r w:rsidRPr="005D4222">
                    <w:rPr>
                      <w:rFonts w:eastAsia="Wingdings"/>
                      <w:szCs w:val="21"/>
                    </w:rPr>
                    <w:br/>
                    <w:t>Metric and Stratification</w:t>
                  </w:r>
                </w:p>
              </w:tc>
            </w:tr>
            <w:tr w:rsidR="00A46958" w:rsidRPr="005D4222" w14:paraId="0764E3A6" w14:textId="77777777" w:rsidTr="007B5FC3">
              <w:tc>
                <w:tcPr>
                  <w:tcW w:w="1616" w:type="dxa"/>
                  <w:tcBorders>
                    <w:top w:val="single" w:sz="4" w:space="0" w:color="auto"/>
                    <w:left w:val="nil"/>
                    <w:bottom w:val="nil"/>
                    <w:right w:val="single" w:sz="4" w:space="0" w:color="auto"/>
                  </w:tcBorders>
                  <w:tcMar>
                    <w:left w:w="58" w:type="dxa"/>
                    <w:right w:w="58" w:type="dxa"/>
                  </w:tcMar>
                </w:tcPr>
                <w:p w14:paraId="56CC5563" w14:textId="77777777" w:rsidR="00A46958" w:rsidRPr="005D4222" w:rsidRDefault="00A46958" w:rsidP="00A53E8C">
                  <w:pPr>
                    <w:pStyle w:val="TableText"/>
                    <w:spacing w:before="30" w:after="30"/>
                    <w:rPr>
                      <w:szCs w:val="21"/>
                    </w:rPr>
                  </w:pPr>
                </w:p>
              </w:tc>
              <w:tc>
                <w:tcPr>
                  <w:tcW w:w="3060" w:type="dxa"/>
                  <w:tcBorders>
                    <w:top w:val="single" w:sz="4" w:space="0" w:color="auto"/>
                    <w:left w:val="single" w:sz="4" w:space="0" w:color="auto"/>
                    <w:bottom w:val="single" w:sz="4" w:space="0" w:color="auto"/>
                    <w:right w:val="single" w:sz="4" w:space="0" w:color="auto"/>
                  </w:tcBorders>
                  <w:tcMar>
                    <w:left w:w="58" w:type="dxa"/>
                    <w:right w:w="58" w:type="dxa"/>
                  </w:tcMar>
                </w:tcPr>
                <w:p w14:paraId="77F49838" w14:textId="77777777" w:rsidR="00A46958" w:rsidRPr="005D4222" w:rsidRDefault="00A46958" w:rsidP="00A53E8C">
                  <w:pPr>
                    <w:pStyle w:val="TableText"/>
                    <w:spacing w:before="30" w:after="30"/>
                    <w:rPr>
                      <w:szCs w:val="21"/>
                    </w:rPr>
                  </w:pPr>
                  <w:r w:rsidRPr="005D4222">
                    <w:rPr>
                      <w:szCs w:val="21"/>
                    </w:rPr>
                    <w:t>BlackOrAfricanAmerican</w:t>
                  </w:r>
                  <w:r w:rsidRPr="005D4222" w:rsidDel="00D8177F">
                    <w:rPr>
                      <w:szCs w:val="21"/>
                    </w:rPr>
                    <w:t xml:space="preserve"> </w:t>
                  </w: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58" w:type="dxa"/>
                    <w:right w:w="58" w:type="dxa"/>
                  </w:tcMar>
                </w:tcPr>
                <w:p w14:paraId="7D8093B3" w14:textId="77777777" w:rsidR="00A46958" w:rsidRPr="005D4222" w:rsidRDefault="00A46958" w:rsidP="00A53E8C">
                  <w:pPr>
                    <w:pStyle w:val="TableText"/>
                    <w:spacing w:before="30" w:after="30"/>
                    <w:rPr>
                      <w:szCs w:val="21"/>
                    </w:rPr>
                  </w:pPr>
                  <w:r w:rsidRPr="005D4222">
                    <w:rPr>
                      <w:szCs w:val="21"/>
                    </w:rPr>
                    <w:t>Rate</w:t>
                  </w:r>
                </w:p>
              </w:tc>
              <w:tc>
                <w:tcPr>
                  <w:tcW w:w="134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58" w:type="dxa"/>
                    <w:right w:w="58" w:type="dxa"/>
                  </w:tcMar>
                </w:tcPr>
                <w:p w14:paraId="48AF47DE" w14:textId="77777777" w:rsidR="00A46958" w:rsidRPr="005D4222" w:rsidRDefault="00A46958" w:rsidP="00A53E8C">
                  <w:pPr>
                    <w:pStyle w:val="TableText"/>
                    <w:spacing w:before="30" w:after="30"/>
                    <w:rPr>
                      <w:rFonts w:eastAsia="Wingdings"/>
                      <w:szCs w:val="21"/>
                    </w:rPr>
                  </w:pPr>
                  <w:r w:rsidRPr="005D4222">
                    <w:rPr>
                      <w:rFonts w:eastAsia="Wingdings"/>
                      <w:szCs w:val="21"/>
                    </w:rPr>
                    <w:t>(Percent)</w:t>
                  </w:r>
                </w:p>
              </w:tc>
            </w:tr>
            <w:tr w:rsidR="00A46958" w:rsidRPr="005D4222" w14:paraId="320D8707" w14:textId="77777777" w:rsidTr="007B5FC3">
              <w:tc>
                <w:tcPr>
                  <w:tcW w:w="1616" w:type="dxa"/>
                  <w:tcBorders>
                    <w:top w:val="nil"/>
                    <w:left w:val="nil"/>
                    <w:bottom w:val="nil"/>
                    <w:right w:val="single" w:sz="4" w:space="0" w:color="auto"/>
                  </w:tcBorders>
                  <w:tcMar>
                    <w:left w:w="58" w:type="dxa"/>
                    <w:right w:w="58" w:type="dxa"/>
                  </w:tcMar>
                </w:tcPr>
                <w:p w14:paraId="447DFC2B" w14:textId="77777777" w:rsidR="00A46958" w:rsidRPr="005D4222" w:rsidRDefault="00A46958" w:rsidP="00A53E8C">
                  <w:pPr>
                    <w:pStyle w:val="TableText"/>
                    <w:spacing w:before="30" w:after="30"/>
                    <w:rPr>
                      <w:szCs w:val="21"/>
                    </w:rPr>
                  </w:pPr>
                </w:p>
              </w:tc>
              <w:tc>
                <w:tcPr>
                  <w:tcW w:w="3060" w:type="dxa"/>
                  <w:tcBorders>
                    <w:top w:val="single" w:sz="4" w:space="0" w:color="auto"/>
                    <w:left w:val="single" w:sz="4" w:space="0" w:color="auto"/>
                    <w:bottom w:val="single" w:sz="4" w:space="0" w:color="auto"/>
                    <w:right w:val="single" w:sz="4" w:space="0" w:color="auto"/>
                  </w:tcBorders>
                  <w:tcMar>
                    <w:left w:w="58" w:type="dxa"/>
                    <w:right w:w="58" w:type="dxa"/>
                  </w:tcMar>
                </w:tcPr>
                <w:p w14:paraId="303FE58C" w14:textId="77777777" w:rsidR="00A46958" w:rsidRPr="005D4222" w:rsidRDefault="00A46958" w:rsidP="00A53E8C">
                  <w:pPr>
                    <w:pStyle w:val="TableText"/>
                    <w:spacing w:before="30" w:after="30"/>
                    <w:rPr>
                      <w:szCs w:val="21"/>
                    </w:rPr>
                  </w:pPr>
                  <w:r w:rsidRPr="005D4222">
                    <w:rPr>
                      <w:szCs w:val="21"/>
                    </w:rPr>
                    <w:t>MiddleEasternOrNorthAfrican</w:t>
                  </w:r>
                </w:p>
              </w:tc>
              <w:tc>
                <w:tcPr>
                  <w:tcW w:w="1350" w:type="dxa"/>
                  <w:tcBorders>
                    <w:top w:val="single" w:sz="4" w:space="0" w:color="auto"/>
                    <w:left w:val="single" w:sz="4" w:space="0" w:color="auto"/>
                    <w:bottom w:val="nil"/>
                    <w:right w:val="nil"/>
                  </w:tcBorders>
                  <w:tcMar>
                    <w:left w:w="58" w:type="dxa"/>
                    <w:right w:w="58" w:type="dxa"/>
                  </w:tcMar>
                </w:tcPr>
                <w:p w14:paraId="1E56033A" w14:textId="77777777" w:rsidR="00A46958" w:rsidRPr="005D4222" w:rsidRDefault="00A46958" w:rsidP="00A53E8C">
                  <w:pPr>
                    <w:pStyle w:val="TableText"/>
                    <w:spacing w:before="30" w:after="30"/>
                    <w:rPr>
                      <w:szCs w:val="21"/>
                    </w:rPr>
                  </w:pPr>
                </w:p>
              </w:tc>
              <w:tc>
                <w:tcPr>
                  <w:tcW w:w="1349" w:type="dxa"/>
                  <w:tcBorders>
                    <w:top w:val="single" w:sz="4" w:space="0" w:color="auto"/>
                    <w:left w:val="nil"/>
                    <w:bottom w:val="nil"/>
                    <w:right w:val="nil"/>
                  </w:tcBorders>
                  <w:tcMar>
                    <w:left w:w="58" w:type="dxa"/>
                    <w:right w:w="58" w:type="dxa"/>
                  </w:tcMar>
                </w:tcPr>
                <w:p w14:paraId="64C699F7" w14:textId="77777777" w:rsidR="00A46958" w:rsidRPr="005D4222" w:rsidRDefault="00A46958" w:rsidP="00A53E8C">
                  <w:pPr>
                    <w:pStyle w:val="TableText"/>
                    <w:spacing w:before="30" w:after="30"/>
                    <w:rPr>
                      <w:rFonts w:eastAsia="Wingdings"/>
                      <w:szCs w:val="21"/>
                    </w:rPr>
                  </w:pPr>
                </w:p>
              </w:tc>
            </w:tr>
            <w:tr w:rsidR="00A46958" w:rsidRPr="005D4222" w14:paraId="3A3E7780" w14:textId="77777777" w:rsidTr="007B5FC3">
              <w:tc>
                <w:tcPr>
                  <w:tcW w:w="1616" w:type="dxa"/>
                  <w:tcBorders>
                    <w:top w:val="nil"/>
                    <w:left w:val="nil"/>
                    <w:bottom w:val="nil"/>
                    <w:right w:val="single" w:sz="4" w:space="0" w:color="auto"/>
                  </w:tcBorders>
                  <w:tcMar>
                    <w:left w:w="58" w:type="dxa"/>
                    <w:right w:w="58" w:type="dxa"/>
                  </w:tcMar>
                </w:tcPr>
                <w:p w14:paraId="4C01D968" w14:textId="77777777" w:rsidR="00A46958" w:rsidRPr="005D4222" w:rsidRDefault="00A46958" w:rsidP="00A53E8C">
                  <w:pPr>
                    <w:pStyle w:val="TableText"/>
                    <w:spacing w:before="30" w:after="30"/>
                    <w:rPr>
                      <w:szCs w:val="21"/>
                    </w:rPr>
                  </w:pPr>
                </w:p>
              </w:tc>
              <w:tc>
                <w:tcPr>
                  <w:tcW w:w="3060" w:type="dxa"/>
                  <w:tcBorders>
                    <w:top w:val="single" w:sz="4" w:space="0" w:color="auto"/>
                    <w:left w:val="single" w:sz="4" w:space="0" w:color="auto"/>
                    <w:bottom w:val="single" w:sz="4" w:space="0" w:color="auto"/>
                    <w:right w:val="single" w:sz="4" w:space="0" w:color="auto"/>
                  </w:tcBorders>
                  <w:tcMar>
                    <w:left w:w="58" w:type="dxa"/>
                    <w:right w:w="58" w:type="dxa"/>
                  </w:tcMar>
                </w:tcPr>
                <w:p w14:paraId="7DFE37A7" w14:textId="77777777" w:rsidR="00A46958" w:rsidRPr="005D4222" w:rsidRDefault="00A46958" w:rsidP="00A53E8C">
                  <w:pPr>
                    <w:pStyle w:val="TableText"/>
                    <w:spacing w:before="30" w:after="30"/>
                    <w:rPr>
                      <w:szCs w:val="21"/>
                    </w:rPr>
                  </w:pPr>
                  <w:r w:rsidRPr="005D4222">
                    <w:rPr>
                      <w:szCs w:val="21"/>
                    </w:rPr>
                    <w:t>NativeHawaiianOrPacificIslander</w:t>
                  </w:r>
                </w:p>
              </w:tc>
              <w:tc>
                <w:tcPr>
                  <w:tcW w:w="1350" w:type="dxa"/>
                  <w:tcBorders>
                    <w:top w:val="nil"/>
                    <w:left w:val="nil"/>
                    <w:bottom w:val="nil"/>
                    <w:right w:val="nil"/>
                  </w:tcBorders>
                  <w:tcMar>
                    <w:left w:w="58" w:type="dxa"/>
                    <w:right w:w="58" w:type="dxa"/>
                  </w:tcMar>
                </w:tcPr>
                <w:p w14:paraId="1CAA0FCF" w14:textId="77777777" w:rsidR="00A46958" w:rsidRPr="005D4222" w:rsidRDefault="00A46958" w:rsidP="00A53E8C">
                  <w:pPr>
                    <w:pStyle w:val="TableText"/>
                    <w:spacing w:before="30" w:after="30"/>
                    <w:rPr>
                      <w:szCs w:val="21"/>
                    </w:rPr>
                  </w:pPr>
                </w:p>
              </w:tc>
              <w:tc>
                <w:tcPr>
                  <w:tcW w:w="1349" w:type="dxa"/>
                  <w:tcBorders>
                    <w:top w:val="nil"/>
                    <w:left w:val="nil"/>
                    <w:bottom w:val="nil"/>
                    <w:right w:val="nil"/>
                  </w:tcBorders>
                  <w:tcMar>
                    <w:left w:w="58" w:type="dxa"/>
                    <w:right w:w="58" w:type="dxa"/>
                  </w:tcMar>
                </w:tcPr>
                <w:p w14:paraId="432D41B4" w14:textId="77777777" w:rsidR="00A46958" w:rsidRPr="005D4222" w:rsidRDefault="00A46958" w:rsidP="00A53E8C">
                  <w:pPr>
                    <w:pStyle w:val="TableText"/>
                    <w:spacing w:before="30" w:after="30"/>
                    <w:rPr>
                      <w:rFonts w:eastAsia="Wingdings"/>
                      <w:szCs w:val="21"/>
                    </w:rPr>
                  </w:pPr>
                </w:p>
              </w:tc>
            </w:tr>
            <w:tr w:rsidR="00A46958" w:rsidRPr="005D4222" w14:paraId="556E898D" w14:textId="77777777" w:rsidTr="007B5FC3">
              <w:tc>
                <w:tcPr>
                  <w:tcW w:w="1616" w:type="dxa"/>
                  <w:tcBorders>
                    <w:top w:val="nil"/>
                    <w:left w:val="nil"/>
                    <w:bottom w:val="nil"/>
                    <w:right w:val="single" w:sz="4" w:space="0" w:color="auto"/>
                  </w:tcBorders>
                  <w:tcMar>
                    <w:left w:w="58" w:type="dxa"/>
                    <w:right w:w="58" w:type="dxa"/>
                  </w:tcMar>
                </w:tcPr>
                <w:p w14:paraId="097B2C91" w14:textId="77777777" w:rsidR="00A46958" w:rsidRPr="005D4222" w:rsidRDefault="00A46958" w:rsidP="00A53E8C">
                  <w:pPr>
                    <w:pStyle w:val="TableText"/>
                    <w:spacing w:before="30" w:after="30"/>
                    <w:rPr>
                      <w:szCs w:val="21"/>
                    </w:rPr>
                  </w:pPr>
                </w:p>
              </w:tc>
              <w:tc>
                <w:tcPr>
                  <w:tcW w:w="3060" w:type="dxa"/>
                  <w:tcBorders>
                    <w:top w:val="single" w:sz="4" w:space="0" w:color="auto"/>
                    <w:left w:val="single" w:sz="4" w:space="0" w:color="auto"/>
                    <w:bottom w:val="single" w:sz="4" w:space="0" w:color="auto"/>
                    <w:right w:val="single" w:sz="4" w:space="0" w:color="auto"/>
                  </w:tcBorders>
                  <w:tcMar>
                    <w:left w:w="58" w:type="dxa"/>
                    <w:right w:w="58" w:type="dxa"/>
                  </w:tcMar>
                </w:tcPr>
                <w:p w14:paraId="55695997" w14:textId="77777777" w:rsidR="00A46958" w:rsidRPr="005D4222" w:rsidRDefault="00A46958" w:rsidP="00A53E8C">
                  <w:pPr>
                    <w:pStyle w:val="TableText"/>
                    <w:spacing w:before="30" w:after="30"/>
                    <w:rPr>
                      <w:szCs w:val="21"/>
                    </w:rPr>
                  </w:pPr>
                  <w:r w:rsidRPr="005D4222">
                    <w:rPr>
                      <w:szCs w:val="21"/>
                    </w:rPr>
                    <w:t>White</w:t>
                  </w:r>
                </w:p>
              </w:tc>
              <w:tc>
                <w:tcPr>
                  <w:tcW w:w="1350" w:type="dxa"/>
                  <w:tcBorders>
                    <w:top w:val="nil"/>
                    <w:left w:val="nil"/>
                    <w:bottom w:val="nil"/>
                    <w:right w:val="nil"/>
                  </w:tcBorders>
                  <w:tcMar>
                    <w:left w:w="58" w:type="dxa"/>
                    <w:right w:w="58" w:type="dxa"/>
                  </w:tcMar>
                </w:tcPr>
                <w:p w14:paraId="459EE86C" w14:textId="77777777" w:rsidR="00A46958" w:rsidRPr="005D4222" w:rsidRDefault="00A46958" w:rsidP="00A53E8C">
                  <w:pPr>
                    <w:pStyle w:val="TableText"/>
                    <w:spacing w:before="30" w:after="30"/>
                    <w:rPr>
                      <w:szCs w:val="21"/>
                    </w:rPr>
                  </w:pPr>
                </w:p>
              </w:tc>
              <w:tc>
                <w:tcPr>
                  <w:tcW w:w="1349" w:type="dxa"/>
                  <w:tcBorders>
                    <w:top w:val="nil"/>
                    <w:left w:val="nil"/>
                    <w:bottom w:val="nil"/>
                    <w:right w:val="nil"/>
                  </w:tcBorders>
                  <w:tcMar>
                    <w:left w:w="58" w:type="dxa"/>
                    <w:right w:w="58" w:type="dxa"/>
                  </w:tcMar>
                </w:tcPr>
                <w:p w14:paraId="7C4746A8" w14:textId="77777777" w:rsidR="00A46958" w:rsidRPr="005D4222" w:rsidRDefault="00A46958" w:rsidP="00A53E8C">
                  <w:pPr>
                    <w:pStyle w:val="TableText"/>
                    <w:spacing w:before="30" w:after="30"/>
                    <w:rPr>
                      <w:rFonts w:eastAsia="Wingdings"/>
                      <w:szCs w:val="21"/>
                    </w:rPr>
                  </w:pPr>
                </w:p>
              </w:tc>
            </w:tr>
            <w:tr w:rsidR="00A46958" w:rsidRPr="005D4222" w14:paraId="35E4E500" w14:textId="77777777" w:rsidTr="007B5FC3">
              <w:tc>
                <w:tcPr>
                  <w:tcW w:w="1616" w:type="dxa"/>
                  <w:tcBorders>
                    <w:top w:val="nil"/>
                    <w:left w:val="nil"/>
                    <w:bottom w:val="nil"/>
                    <w:right w:val="single" w:sz="4" w:space="0" w:color="auto"/>
                  </w:tcBorders>
                  <w:tcMar>
                    <w:left w:w="58" w:type="dxa"/>
                    <w:right w:w="58" w:type="dxa"/>
                  </w:tcMar>
                </w:tcPr>
                <w:p w14:paraId="0C9FBD11" w14:textId="77777777" w:rsidR="00A46958" w:rsidRPr="005D4222" w:rsidRDefault="00A46958" w:rsidP="00A53E8C">
                  <w:pPr>
                    <w:pStyle w:val="TableText"/>
                    <w:spacing w:before="30" w:after="30"/>
                    <w:rPr>
                      <w:szCs w:val="21"/>
                    </w:rPr>
                  </w:pPr>
                </w:p>
              </w:tc>
              <w:tc>
                <w:tcPr>
                  <w:tcW w:w="3060" w:type="dxa"/>
                  <w:tcBorders>
                    <w:top w:val="single" w:sz="4" w:space="0" w:color="auto"/>
                    <w:left w:val="single" w:sz="4" w:space="0" w:color="auto"/>
                    <w:bottom w:val="single" w:sz="4" w:space="0" w:color="auto"/>
                    <w:right w:val="single" w:sz="4" w:space="0" w:color="auto"/>
                  </w:tcBorders>
                  <w:tcMar>
                    <w:left w:w="58" w:type="dxa"/>
                    <w:right w:w="58" w:type="dxa"/>
                  </w:tcMar>
                </w:tcPr>
                <w:p w14:paraId="6724FCA8" w14:textId="77777777" w:rsidR="00A46958" w:rsidRPr="005D4222" w:rsidRDefault="00A46958" w:rsidP="00A53E8C">
                  <w:pPr>
                    <w:pStyle w:val="TableText"/>
                    <w:spacing w:before="30" w:after="30"/>
                    <w:rPr>
                      <w:szCs w:val="21"/>
                    </w:rPr>
                  </w:pPr>
                  <w:r w:rsidRPr="005D4222">
                    <w:rPr>
                      <w:szCs w:val="21"/>
                    </w:rPr>
                    <w:t>SomeOtherRace</w:t>
                  </w:r>
                </w:p>
              </w:tc>
              <w:tc>
                <w:tcPr>
                  <w:tcW w:w="1350" w:type="dxa"/>
                  <w:tcBorders>
                    <w:top w:val="nil"/>
                    <w:left w:val="nil"/>
                    <w:bottom w:val="nil"/>
                    <w:right w:val="nil"/>
                  </w:tcBorders>
                  <w:tcMar>
                    <w:left w:w="58" w:type="dxa"/>
                    <w:right w:w="58" w:type="dxa"/>
                  </w:tcMar>
                </w:tcPr>
                <w:p w14:paraId="10FD9DD0" w14:textId="77777777" w:rsidR="00A46958" w:rsidRPr="005D4222" w:rsidRDefault="00A46958" w:rsidP="00A53E8C">
                  <w:pPr>
                    <w:pStyle w:val="TableText"/>
                    <w:spacing w:before="30" w:after="30"/>
                    <w:rPr>
                      <w:szCs w:val="21"/>
                    </w:rPr>
                  </w:pPr>
                </w:p>
              </w:tc>
              <w:tc>
                <w:tcPr>
                  <w:tcW w:w="1349" w:type="dxa"/>
                  <w:tcBorders>
                    <w:top w:val="nil"/>
                    <w:left w:val="nil"/>
                    <w:bottom w:val="nil"/>
                    <w:right w:val="nil"/>
                  </w:tcBorders>
                  <w:tcMar>
                    <w:left w:w="58" w:type="dxa"/>
                    <w:right w:w="58" w:type="dxa"/>
                  </w:tcMar>
                </w:tcPr>
                <w:p w14:paraId="6C9BF3CD" w14:textId="77777777" w:rsidR="00A46958" w:rsidRPr="005D4222" w:rsidRDefault="00A46958" w:rsidP="00A53E8C">
                  <w:pPr>
                    <w:pStyle w:val="TableText"/>
                    <w:spacing w:before="30" w:after="30"/>
                    <w:rPr>
                      <w:rFonts w:eastAsia="Wingdings"/>
                      <w:szCs w:val="21"/>
                    </w:rPr>
                  </w:pPr>
                </w:p>
              </w:tc>
            </w:tr>
            <w:tr w:rsidR="00A46958" w:rsidRPr="005D4222" w14:paraId="7B218C60" w14:textId="77777777" w:rsidTr="007B5FC3">
              <w:tc>
                <w:tcPr>
                  <w:tcW w:w="1616" w:type="dxa"/>
                  <w:tcBorders>
                    <w:top w:val="nil"/>
                    <w:left w:val="nil"/>
                    <w:bottom w:val="nil"/>
                    <w:right w:val="single" w:sz="4" w:space="0" w:color="auto"/>
                  </w:tcBorders>
                  <w:tcMar>
                    <w:left w:w="58" w:type="dxa"/>
                    <w:right w:w="58" w:type="dxa"/>
                  </w:tcMar>
                </w:tcPr>
                <w:p w14:paraId="29320FA3" w14:textId="77777777" w:rsidR="00A46958" w:rsidRPr="005D4222" w:rsidRDefault="00A46958" w:rsidP="00A53E8C">
                  <w:pPr>
                    <w:pStyle w:val="TableText"/>
                    <w:spacing w:before="30" w:after="30"/>
                    <w:rPr>
                      <w:szCs w:val="21"/>
                    </w:rPr>
                  </w:pPr>
                </w:p>
              </w:tc>
              <w:tc>
                <w:tcPr>
                  <w:tcW w:w="3060" w:type="dxa"/>
                  <w:tcBorders>
                    <w:top w:val="single" w:sz="4" w:space="0" w:color="auto"/>
                    <w:left w:val="single" w:sz="4" w:space="0" w:color="auto"/>
                    <w:bottom w:val="single" w:sz="4" w:space="0" w:color="auto"/>
                    <w:right w:val="single" w:sz="4" w:space="0" w:color="auto"/>
                  </w:tcBorders>
                  <w:tcMar>
                    <w:left w:w="58" w:type="dxa"/>
                    <w:right w:w="58" w:type="dxa"/>
                  </w:tcMar>
                </w:tcPr>
                <w:p w14:paraId="008EA381" w14:textId="77777777" w:rsidR="00A46958" w:rsidRPr="005D4222" w:rsidRDefault="00A46958" w:rsidP="00A53E8C">
                  <w:pPr>
                    <w:pStyle w:val="TableText"/>
                    <w:spacing w:before="30" w:after="30"/>
                    <w:rPr>
                      <w:szCs w:val="21"/>
                    </w:rPr>
                  </w:pPr>
                  <w:r w:rsidRPr="005D4222">
                    <w:rPr>
                      <w:szCs w:val="21"/>
                    </w:rPr>
                    <w:t>TwoOrMoreRaces</w:t>
                  </w:r>
                </w:p>
              </w:tc>
              <w:tc>
                <w:tcPr>
                  <w:tcW w:w="1350" w:type="dxa"/>
                  <w:tcBorders>
                    <w:top w:val="nil"/>
                    <w:left w:val="nil"/>
                    <w:bottom w:val="nil"/>
                    <w:right w:val="nil"/>
                  </w:tcBorders>
                  <w:tcMar>
                    <w:left w:w="58" w:type="dxa"/>
                    <w:right w:w="58" w:type="dxa"/>
                  </w:tcMar>
                </w:tcPr>
                <w:p w14:paraId="7B2343AE" w14:textId="77777777" w:rsidR="00A46958" w:rsidRPr="005D4222" w:rsidRDefault="00A46958" w:rsidP="00A53E8C">
                  <w:pPr>
                    <w:pStyle w:val="TableText"/>
                    <w:spacing w:before="30" w:after="30"/>
                    <w:rPr>
                      <w:szCs w:val="21"/>
                    </w:rPr>
                  </w:pPr>
                </w:p>
              </w:tc>
              <w:tc>
                <w:tcPr>
                  <w:tcW w:w="1349" w:type="dxa"/>
                  <w:tcBorders>
                    <w:top w:val="nil"/>
                    <w:left w:val="nil"/>
                    <w:bottom w:val="nil"/>
                    <w:right w:val="nil"/>
                  </w:tcBorders>
                  <w:tcMar>
                    <w:left w:w="58" w:type="dxa"/>
                    <w:right w:w="58" w:type="dxa"/>
                  </w:tcMar>
                </w:tcPr>
                <w:p w14:paraId="12E876C8" w14:textId="77777777" w:rsidR="00A46958" w:rsidRPr="005D4222" w:rsidRDefault="00A46958" w:rsidP="00A53E8C">
                  <w:pPr>
                    <w:pStyle w:val="TableText"/>
                    <w:spacing w:before="30" w:after="30"/>
                    <w:rPr>
                      <w:rFonts w:eastAsia="Wingdings"/>
                      <w:szCs w:val="21"/>
                    </w:rPr>
                  </w:pPr>
                </w:p>
              </w:tc>
            </w:tr>
            <w:tr w:rsidR="00A46958" w:rsidRPr="005D4222" w14:paraId="7DF7656A" w14:textId="77777777" w:rsidTr="007B5FC3">
              <w:tc>
                <w:tcPr>
                  <w:tcW w:w="1616" w:type="dxa"/>
                  <w:tcBorders>
                    <w:top w:val="nil"/>
                    <w:left w:val="nil"/>
                    <w:bottom w:val="nil"/>
                    <w:right w:val="single" w:sz="4" w:space="0" w:color="auto"/>
                  </w:tcBorders>
                  <w:tcMar>
                    <w:left w:w="58" w:type="dxa"/>
                    <w:right w:w="58" w:type="dxa"/>
                  </w:tcMar>
                </w:tcPr>
                <w:p w14:paraId="51134825" w14:textId="77777777" w:rsidR="00A46958" w:rsidRPr="005D4222" w:rsidRDefault="00A46958" w:rsidP="00A53E8C">
                  <w:pPr>
                    <w:pStyle w:val="TableText"/>
                    <w:spacing w:before="30" w:after="30"/>
                    <w:rPr>
                      <w:szCs w:val="21"/>
                    </w:rPr>
                  </w:pPr>
                </w:p>
              </w:tc>
              <w:tc>
                <w:tcPr>
                  <w:tcW w:w="3060" w:type="dxa"/>
                  <w:tcBorders>
                    <w:top w:val="single" w:sz="4" w:space="0" w:color="auto"/>
                    <w:left w:val="single" w:sz="4" w:space="0" w:color="auto"/>
                    <w:bottom w:val="single" w:sz="4" w:space="0" w:color="auto"/>
                    <w:right w:val="single" w:sz="4" w:space="0" w:color="auto"/>
                  </w:tcBorders>
                  <w:tcMar>
                    <w:left w:w="58" w:type="dxa"/>
                    <w:right w:w="58" w:type="dxa"/>
                  </w:tcMar>
                </w:tcPr>
                <w:p w14:paraId="6BC38449" w14:textId="77777777" w:rsidR="00A46958" w:rsidRPr="005D4222" w:rsidRDefault="00A46958" w:rsidP="00A53E8C">
                  <w:pPr>
                    <w:pStyle w:val="TableText"/>
                    <w:spacing w:before="30" w:after="30"/>
                    <w:rPr>
                      <w:szCs w:val="21"/>
                    </w:rPr>
                  </w:pPr>
                  <w:r w:rsidRPr="005D4222">
                    <w:rPr>
                      <w:szCs w:val="21"/>
                    </w:rPr>
                    <w:t>AskedButNoAnswer</w:t>
                  </w:r>
                </w:p>
              </w:tc>
              <w:tc>
                <w:tcPr>
                  <w:tcW w:w="1350" w:type="dxa"/>
                  <w:tcBorders>
                    <w:top w:val="nil"/>
                    <w:left w:val="nil"/>
                    <w:bottom w:val="nil"/>
                    <w:right w:val="nil"/>
                  </w:tcBorders>
                  <w:tcMar>
                    <w:left w:w="58" w:type="dxa"/>
                    <w:right w:w="58" w:type="dxa"/>
                  </w:tcMar>
                </w:tcPr>
                <w:p w14:paraId="46B6E459" w14:textId="77777777" w:rsidR="00A46958" w:rsidRPr="005D4222" w:rsidRDefault="00A46958" w:rsidP="00A53E8C">
                  <w:pPr>
                    <w:pStyle w:val="TableText"/>
                    <w:spacing w:before="30" w:after="30"/>
                    <w:rPr>
                      <w:szCs w:val="21"/>
                    </w:rPr>
                  </w:pPr>
                </w:p>
              </w:tc>
              <w:tc>
                <w:tcPr>
                  <w:tcW w:w="1349" w:type="dxa"/>
                  <w:tcBorders>
                    <w:top w:val="nil"/>
                    <w:left w:val="nil"/>
                    <w:bottom w:val="nil"/>
                    <w:right w:val="nil"/>
                  </w:tcBorders>
                  <w:tcMar>
                    <w:left w:w="58" w:type="dxa"/>
                    <w:right w:w="58" w:type="dxa"/>
                  </w:tcMar>
                </w:tcPr>
                <w:p w14:paraId="7162FFAC" w14:textId="77777777" w:rsidR="00A46958" w:rsidRPr="005D4222" w:rsidRDefault="00A46958" w:rsidP="00A53E8C">
                  <w:pPr>
                    <w:pStyle w:val="TableText"/>
                    <w:spacing w:before="30" w:after="30"/>
                    <w:rPr>
                      <w:rFonts w:eastAsia="Wingdings"/>
                      <w:szCs w:val="21"/>
                    </w:rPr>
                  </w:pPr>
                </w:p>
              </w:tc>
            </w:tr>
            <w:tr w:rsidR="00A46958" w:rsidRPr="005D4222" w14:paraId="246F2638" w14:textId="77777777" w:rsidTr="007B5FC3">
              <w:tc>
                <w:tcPr>
                  <w:tcW w:w="1616" w:type="dxa"/>
                  <w:tcBorders>
                    <w:top w:val="nil"/>
                    <w:left w:val="nil"/>
                    <w:bottom w:val="nil"/>
                    <w:right w:val="single" w:sz="4" w:space="0" w:color="auto"/>
                  </w:tcBorders>
                  <w:tcMar>
                    <w:left w:w="58" w:type="dxa"/>
                    <w:right w:w="58" w:type="dxa"/>
                  </w:tcMar>
                </w:tcPr>
                <w:p w14:paraId="16FA7E22" w14:textId="77777777" w:rsidR="00A46958" w:rsidRPr="005D4222" w:rsidRDefault="00A46958" w:rsidP="00A53E8C">
                  <w:pPr>
                    <w:pStyle w:val="TableText"/>
                    <w:spacing w:before="30" w:after="30"/>
                    <w:rPr>
                      <w:szCs w:val="21"/>
                    </w:rPr>
                  </w:pPr>
                </w:p>
              </w:tc>
              <w:tc>
                <w:tcPr>
                  <w:tcW w:w="3060" w:type="dxa"/>
                  <w:tcBorders>
                    <w:top w:val="single" w:sz="4" w:space="0" w:color="auto"/>
                    <w:left w:val="single" w:sz="4" w:space="0" w:color="auto"/>
                    <w:bottom w:val="single" w:sz="4" w:space="0" w:color="auto"/>
                    <w:right w:val="single" w:sz="4" w:space="0" w:color="auto"/>
                  </w:tcBorders>
                  <w:tcMar>
                    <w:left w:w="58" w:type="dxa"/>
                    <w:right w:w="58" w:type="dxa"/>
                  </w:tcMar>
                </w:tcPr>
                <w:p w14:paraId="22C5A41D" w14:textId="77777777" w:rsidR="00A46958" w:rsidRPr="005D4222" w:rsidRDefault="00A46958" w:rsidP="00A53E8C">
                  <w:pPr>
                    <w:pStyle w:val="TableText"/>
                    <w:spacing w:before="30" w:after="30"/>
                    <w:rPr>
                      <w:szCs w:val="21"/>
                    </w:rPr>
                  </w:pPr>
                  <w:r w:rsidRPr="005D4222">
                    <w:rPr>
                      <w:szCs w:val="21"/>
                    </w:rPr>
                    <w:t>Unknown</w:t>
                  </w:r>
                </w:p>
              </w:tc>
              <w:tc>
                <w:tcPr>
                  <w:tcW w:w="1350" w:type="dxa"/>
                  <w:tcBorders>
                    <w:top w:val="nil"/>
                    <w:left w:val="nil"/>
                    <w:bottom w:val="nil"/>
                    <w:right w:val="nil"/>
                  </w:tcBorders>
                  <w:tcMar>
                    <w:left w:w="58" w:type="dxa"/>
                    <w:right w:w="58" w:type="dxa"/>
                  </w:tcMar>
                </w:tcPr>
                <w:p w14:paraId="1335A423" w14:textId="77777777" w:rsidR="00A46958" w:rsidRPr="005D4222" w:rsidRDefault="00A46958" w:rsidP="00A53E8C">
                  <w:pPr>
                    <w:pStyle w:val="TableText"/>
                    <w:spacing w:before="30" w:after="30"/>
                    <w:rPr>
                      <w:szCs w:val="21"/>
                    </w:rPr>
                  </w:pPr>
                </w:p>
              </w:tc>
              <w:tc>
                <w:tcPr>
                  <w:tcW w:w="1349" w:type="dxa"/>
                  <w:tcBorders>
                    <w:top w:val="nil"/>
                    <w:left w:val="nil"/>
                    <w:bottom w:val="nil"/>
                    <w:right w:val="nil"/>
                  </w:tcBorders>
                  <w:tcMar>
                    <w:left w:w="58" w:type="dxa"/>
                    <w:right w:w="58" w:type="dxa"/>
                  </w:tcMar>
                </w:tcPr>
                <w:p w14:paraId="0BE67DA7" w14:textId="77777777" w:rsidR="00A46958" w:rsidRPr="005D4222" w:rsidRDefault="00A46958" w:rsidP="00A53E8C">
                  <w:pPr>
                    <w:pStyle w:val="TableText"/>
                    <w:spacing w:before="30" w:after="30"/>
                    <w:rPr>
                      <w:rFonts w:eastAsia="Wingdings"/>
                      <w:szCs w:val="21"/>
                    </w:rPr>
                  </w:pPr>
                </w:p>
              </w:tc>
            </w:tr>
          </w:tbl>
          <w:p w14:paraId="5719EECF" w14:textId="77777777" w:rsidR="00A46958" w:rsidRPr="005D4222" w:rsidRDefault="00A46958" w:rsidP="00A53E8C">
            <w:pPr>
              <w:pStyle w:val="TableText"/>
              <w:spacing w:before="0"/>
              <w:rPr>
                <w:rFonts w:eastAsia="Calibri" w:cs="Arial"/>
                <w:szCs w:val="21"/>
              </w:rPr>
            </w:pPr>
          </w:p>
        </w:tc>
      </w:tr>
      <w:tr w:rsidR="00A46958" w:rsidRPr="005D4222" w14:paraId="65B55107"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695616D" w14:textId="77777777" w:rsidR="00A46958" w:rsidRPr="005D4222" w:rsidRDefault="00A46958"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BC74D30" w14:textId="2254E56B" w:rsidR="00A46958" w:rsidRPr="005D4222" w:rsidRDefault="00A46958" w:rsidP="00A53E8C">
            <w:pPr>
              <w:pStyle w:val="Heading3"/>
              <w:spacing w:before="120"/>
              <w:rPr>
                <w:b w:val="0"/>
                <w:szCs w:val="21"/>
              </w:rPr>
            </w:pPr>
            <w:r w:rsidRPr="005D4222">
              <w:t xml:space="preserve">Table </w:t>
            </w:r>
            <w:r w:rsidRPr="005D4222">
              <w:rPr>
                <w:szCs w:val="21"/>
              </w:rPr>
              <w:t xml:space="preserve">W30-C-1/2: Data Elements for Well-Child Visits in the First 30 Months of Life: </w:t>
            </w:r>
            <w:r w:rsidR="00B51CDC" w:rsidRPr="005D4222">
              <w:rPr>
                <w:szCs w:val="21"/>
              </w:rPr>
              <w:t>Stratifications</w:t>
            </w:r>
            <w:r w:rsidRPr="005D4222">
              <w:rPr>
                <w:szCs w:val="21"/>
              </w:rPr>
              <w:t xml:space="preserve"> by Ethnicity</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17"/>
              <w:gridCol w:w="1979"/>
              <w:gridCol w:w="1530"/>
              <w:gridCol w:w="2249"/>
            </w:tblGrid>
            <w:tr w:rsidR="00A46958" w:rsidRPr="005D4222" w14:paraId="2176ECE9" w14:textId="77777777" w:rsidTr="00A53E8C">
              <w:tc>
                <w:tcPr>
                  <w:tcW w:w="1617" w:type="dxa"/>
                  <w:tcBorders>
                    <w:top w:val="single" w:sz="4" w:space="0" w:color="000000" w:themeColor="text1"/>
                    <w:left w:val="single" w:sz="4" w:space="0" w:color="000000" w:themeColor="text1"/>
                    <w:bottom w:val="single" w:sz="4" w:space="0" w:color="auto"/>
                    <w:right w:val="single" w:sz="4" w:space="0" w:color="FFFFFF" w:themeColor="background1"/>
                  </w:tcBorders>
                  <w:shd w:val="clear" w:color="auto" w:fill="000000" w:themeFill="text1"/>
                  <w:tcMar>
                    <w:left w:w="58" w:type="dxa"/>
                    <w:right w:w="58" w:type="dxa"/>
                  </w:tcMar>
                  <w:vAlign w:val="bottom"/>
                </w:tcPr>
                <w:p w14:paraId="27E92C4A" w14:textId="77777777" w:rsidR="00A46958" w:rsidRPr="005D4222" w:rsidRDefault="00A46958" w:rsidP="00DC15BF">
                  <w:pPr>
                    <w:pStyle w:val="TableHead"/>
                    <w:spacing w:before="40" w:after="40"/>
                  </w:pPr>
                  <w:r w:rsidRPr="005D4222">
                    <w:t>Metric</w:t>
                  </w:r>
                </w:p>
              </w:tc>
              <w:tc>
                <w:tcPr>
                  <w:tcW w:w="1979"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58" w:type="dxa"/>
                    <w:right w:w="58" w:type="dxa"/>
                  </w:tcMar>
                  <w:vAlign w:val="bottom"/>
                </w:tcPr>
                <w:p w14:paraId="3754E47B" w14:textId="77777777" w:rsidR="00A46958" w:rsidRPr="005D4222" w:rsidRDefault="00A46958" w:rsidP="00DC15BF">
                  <w:pPr>
                    <w:pStyle w:val="TableHead"/>
                    <w:spacing w:before="40" w:after="40"/>
                  </w:pPr>
                  <w:r w:rsidRPr="005D4222">
                    <w:t>Ethnicity</w:t>
                  </w:r>
                </w:p>
              </w:tc>
              <w:tc>
                <w:tcPr>
                  <w:tcW w:w="153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58" w:type="dxa"/>
                    <w:right w:w="58" w:type="dxa"/>
                  </w:tcMar>
                  <w:vAlign w:val="bottom"/>
                </w:tcPr>
                <w:p w14:paraId="4ECE151B" w14:textId="77777777" w:rsidR="00A46958" w:rsidRPr="005D4222" w:rsidRDefault="00A46958" w:rsidP="00DC15BF">
                  <w:pPr>
                    <w:pStyle w:val="TableHead"/>
                    <w:spacing w:before="40" w:after="40"/>
                  </w:pPr>
                  <w:r w:rsidRPr="005D4222">
                    <w:t>Data Element</w:t>
                  </w:r>
                </w:p>
              </w:tc>
              <w:tc>
                <w:tcPr>
                  <w:tcW w:w="2249" w:type="dxa"/>
                  <w:tcBorders>
                    <w:top w:val="single" w:sz="4" w:space="0" w:color="000000" w:themeColor="text1"/>
                    <w:left w:val="single" w:sz="4" w:space="0" w:color="FFFFFF" w:themeColor="background1"/>
                    <w:bottom w:val="single" w:sz="4" w:space="0" w:color="000000" w:themeColor="text1"/>
                    <w:right w:val="single" w:sz="4" w:space="0" w:color="auto"/>
                  </w:tcBorders>
                  <w:shd w:val="clear" w:color="auto" w:fill="000000" w:themeFill="text1"/>
                  <w:tcMar>
                    <w:left w:w="58" w:type="dxa"/>
                    <w:right w:w="58" w:type="dxa"/>
                  </w:tcMar>
                  <w:vAlign w:val="bottom"/>
                </w:tcPr>
                <w:p w14:paraId="530C7F27" w14:textId="77777777" w:rsidR="00A46958" w:rsidRPr="005D4222" w:rsidRDefault="00A46958" w:rsidP="00DC15BF">
                  <w:pPr>
                    <w:pStyle w:val="TableHead"/>
                    <w:spacing w:before="40" w:after="40"/>
                  </w:pPr>
                  <w:r w:rsidRPr="005D4222">
                    <w:t>Reporting Instructions</w:t>
                  </w:r>
                </w:p>
              </w:tc>
            </w:tr>
            <w:tr w:rsidR="00A46958" w:rsidRPr="005D4222" w14:paraId="1D95FF03" w14:textId="77777777" w:rsidTr="00A53E8C">
              <w:tc>
                <w:tcPr>
                  <w:tcW w:w="1617" w:type="dxa"/>
                  <w:tcBorders>
                    <w:top w:val="single" w:sz="4" w:space="0" w:color="auto"/>
                    <w:left w:val="single" w:sz="4" w:space="0" w:color="auto"/>
                    <w:bottom w:val="single" w:sz="4" w:space="0" w:color="auto"/>
                    <w:right w:val="single" w:sz="4" w:space="0" w:color="auto"/>
                  </w:tcBorders>
                  <w:tcMar>
                    <w:left w:w="58" w:type="dxa"/>
                    <w:right w:w="58" w:type="dxa"/>
                  </w:tcMar>
                </w:tcPr>
                <w:p w14:paraId="6A6B7624" w14:textId="77777777" w:rsidR="00A46958" w:rsidRPr="005D4222" w:rsidRDefault="00A46958" w:rsidP="00DC15BF">
                  <w:pPr>
                    <w:pStyle w:val="TableText"/>
                    <w:spacing w:before="40" w:after="40"/>
                    <w:rPr>
                      <w:szCs w:val="21"/>
                    </w:rPr>
                  </w:pPr>
                  <w:r w:rsidRPr="005D4222">
                    <w:rPr>
                      <w:szCs w:val="21"/>
                    </w:rPr>
                    <w:t>Age15Months</w:t>
                  </w:r>
                </w:p>
              </w:tc>
              <w:tc>
                <w:tcPr>
                  <w:tcW w:w="1979" w:type="dxa"/>
                  <w:tcBorders>
                    <w:top w:val="single" w:sz="4" w:space="0" w:color="000000" w:themeColor="text1"/>
                    <w:left w:val="single" w:sz="4" w:space="0" w:color="auto"/>
                    <w:bottom w:val="single" w:sz="4" w:space="0" w:color="auto"/>
                    <w:right w:val="single" w:sz="4" w:space="0" w:color="auto"/>
                  </w:tcBorders>
                  <w:tcMar>
                    <w:left w:w="58" w:type="dxa"/>
                    <w:right w:w="58" w:type="dxa"/>
                  </w:tcMar>
                </w:tcPr>
                <w:p w14:paraId="37A03891" w14:textId="77777777" w:rsidR="00A46958" w:rsidRPr="005D4222" w:rsidRDefault="00A46958" w:rsidP="00DC15BF">
                  <w:pPr>
                    <w:pStyle w:val="TableText"/>
                    <w:spacing w:before="40" w:after="40"/>
                    <w:rPr>
                      <w:szCs w:val="21"/>
                    </w:rPr>
                  </w:pPr>
                  <w:r w:rsidRPr="005D4222">
                    <w:rPr>
                      <w:szCs w:val="21"/>
                    </w:rPr>
                    <w:t>HispanicOrLatino</w:t>
                  </w:r>
                </w:p>
              </w:tc>
              <w:tc>
                <w:tcPr>
                  <w:tcW w:w="1530" w:type="dxa"/>
                  <w:tcBorders>
                    <w:top w:val="single" w:sz="4" w:space="0" w:color="000000" w:themeColor="text1"/>
                    <w:left w:val="single" w:sz="4" w:space="0" w:color="auto"/>
                    <w:bottom w:val="single" w:sz="4" w:space="0" w:color="auto"/>
                    <w:right w:val="single" w:sz="4" w:space="0" w:color="auto"/>
                  </w:tcBorders>
                  <w:tcMar>
                    <w:left w:w="58" w:type="dxa"/>
                    <w:right w:w="58" w:type="dxa"/>
                  </w:tcMar>
                </w:tcPr>
                <w:p w14:paraId="18A6E553" w14:textId="77777777" w:rsidR="00A46958" w:rsidRPr="005D4222" w:rsidRDefault="00A46958" w:rsidP="00DC15BF">
                  <w:pPr>
                    <w:pStyle w:val="TableText"/>
                    <w:spacing w:before="40" w:after="40"/>
                  </w:pPr>
                  <w:r w:rsidRPr="005D4222">
                    <w:t>Denominator</w:t>
                  </w:r>
                </w:p>
              </w:tc>
              <w:tc>
                <w:tcPr>
                  <w:tcW w:w="2249" w:type="dxa"/>
                  <w:tcBorders>
                    <w:top w:val="single" w:sz="4" w:space="0" w:color="000000" w:themeColor="text1"/>
                    <w:left w:val="single" w:sz="4" w:space="0" w:color="auto"/>
                    <w:bottom w:val="single" w:sz="6" w:space="0" w:color="auto"/>
                    <w:right w:val="single" w:sz="4" w:space="0" w:color="auto"/>
                  </w:tcBorders>
                  <w:tcMar>
                    <w:left w:w="58" w:type="dxa"/>
                    <w:right w:w="58" w:type="dxa"/>
                  </w:tcMar>
                </w:tcPr>
                <w:p w14:paraId="55B8620A" w14:textId="77777777" w:rsidR="00A46958" w:rsidRPr="005D4222" w:rsidRDefault="00A46958" w:rsidP="00DC15BF">
                  <w:pPr>
                    <w:pStyle w:val="TableText"/>
                    <w:spacing w:before="40" w:after="40"/>
                    <w:rPr>
                      <w:rFonts w:eastAsia="Wingdings"/>
                      <w:szCs w:val="21"/>
                    </w:rPr>
                  </w:pPr>
                  <w:r w:rsidRPr="005D4222">
                    <w:rPr>
                      <w:rFonts w:eastAsia="Wingdings"/>
                      <w:szCs w:val="21"/>
                    </w:rPr>
                    <w:t>For each Metric and Stratification</w:t>
                  </w:r>
                </w:p>
              </w:tc>
            </w:tr>
            <w:tr w:rsidR="00A46958" w:rsidRPr="005D4222" w14:paraId="22BD779E" w14:textId="77777777" w:rsidTr="00A53E8C">
              <w:tc>
                <w:tcPr>
                  <w:tcW w:w="1617"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1E64E6B7" w14:textId="77777777" w:rsidR="00A46958" w:rsidRPr="005D4222" w:rsidRDefault="00A46958" w:rsidP="00DC15BF">
                  <w:pPr>
                    <w:pStyle w:val="TableText"/>
                    <w:spacing w:before="40" w:after="40"/>
                    <w:rPr>
                      <w:szCs w:val="21"/>
                    </w:rPr>
                  </w:pPr>
                  <w:r w:rsidRPr="005D4222">
                    <w:rPr>
                      <w:szCs w:val="21"/>
                    </w:rPr>
                    <w:t>Age15To30Months</w:t>
                  </w:r>
                </w:p>
              </w:tc>
              <w:tc>
                <w:tcPr>
                  <w:tcW w:w="1979"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1FF3BF0B" w14:textId="77777777" w:rsidR="00A46958" w:rsidRPr="005D4222" w:rsidRDefault="00A46958" w:rsidP="00DC15BF">
                  <w:pPr>
                    <w:pStyle w:val="TableText"/>
                    <w:spacing w:before="40" w:after="40"/>
                    <w:rPr>
                      <w:szCs w:val="21"/>
                    </w:rPr>
                  </w:pPr>
                  <w:r w:rsidRPr="005D4222">
                    <w:rPr>
                      <w:szCs w:val="21"/>
                    </w:rPr>
                    <w:t>NotHispanicOrLatino</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64F4C430" w14:textId="77777777" w:rsidR="00A46958" w:rsidRPr="005D4222" w:rsidRDefault="00A46958" w:rsidP="00DC15BF">
                  <w:pPr>
                    <w:pStyle w:val="TableText"/>
                    <w:spacing w:before="40" w:after="40"/>
                    <w:rPr>
                      <w:szCs w:val="21"/>
                    </w:rPr>
                  </w:pPr>
                  <w:r w:rsidRPr="005D4222">
                    <w:rPr>
                      <w:szCs w:val="21"/>
                    </w:rPr>
                    <w:t>Numerator</w:t>
                  </w:r>
                </w:p>
              </w:tc>
              <w:tc>
                <w:tcPr>
                  <w:tcW w:w="2249" w:type="dxa"/>
                  <w:tcBorders>
                    <w:left w:val="single" w:sz="4" w:space="0" w:color="auto"/>
                    <w:bottom w:val="single" w:sz="4" w:space="0" w:color="auto"/>
                    <w:right w:val="single" w:sz="4" w:space="0" w:color="auto"/>
                  </w:tcBorders>
                  <w:shd w:val="clear" w:color="auto" w:fill="FFFFFF" w:themeFill="background1"/>
                  <w:tcMar>
                    <w:left w:w="58" w:type="dxa"/>
                    <w:right w:w="58" w:type="dxa"/>
                  </w:tcMar>
                </w:tcPr>
                <w:p w14:paraId="1D175250" w14:textId="77777777" w:rsidR="00A46958" w:rsidRPr="005D4222" w:rsidRDefault="00A46958" w:rsidP="00DC15BF">
                  <w:pPr>
                    <w:pStyle w:val="TableText"/>
                    <w:spacing w:before="40" w:after="40"/>
                    <w:rPr>
                      <w:rFonts w:eastAsia="Wingdings"/>
                      <w:szCs w:val="21"/>
                    </w:rPr>
                  </w:pPr>
                  <w:r w:rsidRPr="005D4222">
                    <w:rPr>
                      <w:rFonts w:eastAsia="Wingdings"/>
                      <w:szCs w:val="21"/>
                    </w:rPr>
                    <w:t>For each Metric and Stratification</w:t>
                  </w:r>
                </w:p>
              </w:tc>
            </w:tr>
            <w:tr w:rsidR="00A46958" w:rsidRPr="005D4222" w14:paraId="78FB8D69" w14:textId="77777777" w:rsidTr="007B5FC3">
              <w:tc>
                <w:tcPr>
                  <w:tcW w:w="1617" w:type="dxa"/>
                  <w:tcBorders>
                    <w:top w:val="single" w:sz="4" w:space="0" w:color="auto"/>
                    <w:left w:val="nil"/>
                    <w:bottom w:val="nil"/>
                    <w:right w:val="nil"/>
                  </w:tcBorders>
                  <w:shd w:val="clear" w:color="auto" w:fill="FFFFFF" w:themeFill="background1"/>
                  <w:tcMar>
                    <w:left w:w="58" w:type="dxa"/>
                    <w:right w:w="58" w:type="dxa"/>
                  </w:tcMar>
                </w:tcPr>
                <w:p w14:paraId="59A2B6D9" w14:textId="77777777" w:rsidR="00A46958" w:rsidRPr="005D4222" w:rsidRDefault="00A46958" w:rsidP="00DC15BF">
                  <w:pPr>
                    <w:pStyle w:val="TableText"/>
                    <w:spacing w:before="40" w:after="40"/>
                    <w:rPr>
                      <w:szCs w:val="21"/>
                    </w:rPr>
                  </w:pPr>
                </w:p>
              </w:tc>
              <w:tc>
                <w:tcPr>
                  <w:tcW w:w="1979" w:type="dxa"/>
                  <w:tcBorders>
                    <w:top w:val="single" w:sz="4" w:space="0" w:color="auto"/>
                    <w:left w:val="single" w:sz="4" w:space="0" w:color="auto"/>
                    <w:bottom w:val="single" w:sz="4" w:space="0" w:color="auto"/>
                    <w:right w:val="single" w:sz="4" w:space="0" w:color="auto"/>
                  </w:tcBorders>
                  <w:tcMar>
                    <w:left w:w="58" w:type="dxa"/>
                    <w:right w:w="58" w:type="dxa"/>
                  </w:tcMar>
                </w:tcPr>
                <w:p w14:paraId="524D837D" w14:textId="77777777" w:rsidR="00A46958" w:rsidRPr="005D4222" w:rsidRDefault="00A46958" w:rsidP="00DC15BF">
                  <w:pPr>
                    <w:pStyle w:val="TableText"/>
                    <w:spacing w:before="40" w:after="40"/>
                    <w:rPr>
                      <w:szCs w:val="21"/>
                    </w:rPr>
                  </w:pPr>
                  <w:r w:rsidRPr="005D4222">
                    <w:rPr>
                      <w:szCs w:val="21"/>
                    </w:rPr>
                    <w:t>AskedButNoAnswer</w:t>
                  </w: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58" w:type="dxa"/>
                    <w:right w:w="58" w:type="dxa"/>
                  </w:tcMar>
                </w:tcPr>
                <w:p w14:paraId="02BA3864" w14:textId="77777777" w:rsidR="00A46958" w:rsidRPr="005D4222" w:rsidRDefault="00A46958" w:rsidP="00DC15BF">
                  <w:pPr>
                    <w:pStyle w:val="TableText"/>
                    <w:spacing w:before="40" w:after="40"/>
                    <w:rPr>
                      <w:szCs w:val="21"/>
                    </w:rPr>
                  </w:pPr>
                  <w:r w:rsidRPr="005D4222">
                    <w:rPr>
                      <w:szCs w:val="21"/>
                    </w:rPr>
                    <w:t>Rate</w:t>
                  </w:r>
                </w:p>
              </w:tc>
              <w:tc>
                <w:tcPr>
                  <w:tcW w:w="224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58" w:type="dxa"/>
                    <w:right w:w="58" w:type="dxa"/>
                  </w:tcMar>
                </w:tcPr>
                <w:p w14:paraId="3D120FF9" w14:textId="77777777" w:rsidR="00A46958" w:rsidRPr="005D4222" w:rsidRDefault="00A46958" w:rsidP="00DC15BF">
                  <w:pPr>
                    <w:pStyle w:val="TableText"/>
                    <w:spacing w:before="40" w:after="40"/>
                    <w:rPr>
                      <w:rFonts w:eastAsia="Wingdings"/>
                      <w:szCs w:val="21"/>
                    </w:rPr>
                  </w:pPr>
                  <w:r w:rsidRPr="005D4222">
                    <w:rPr>
                      <w:rFonts w:eastAsia="Wingdings"/>
                      <w:szCs w:val="21"/>
                    </w:rPr>
                    <w:t>(Percent)</w:t>
                  </w:r>
                </w:p>
              </w:tc>
            </w:tr>
            <w:tr w:rsidR="00A46958" w:rsidRPr="005D4222" w14:paraId="5CF792C2" w14:textId="77777777" w:rsidTr="007B5FC3">
              <w:tc>
                <w:tcPr>
                  <w:tcW w:w="1617" w:type="dxa"/>
                  <w:tcBorders>
                    <w:top w:val="nil"/>
                    <w:left w:val="nil"/>
                    <w:bottom w:val="nil"/>
                    <w:right w:val="nil"/>
                  </w:tcBorders>
                  <w:shd w:val="clear" w:color="auto" w:fill="FFFFFF" w:themeFill="background1"/>
                  <w:tcMar>
                    <w:left w:w="58" w:type="dxa"/>
                    <w:right w:w="58" w:type="dxa"/>
                  </w:tcMar>
                </w:tcPr>
                <w:p w14:paraId="656CF0B3" w14:textId="77777777" w:rsidR="00A46958" w:rsidRPr="005D4222" w:rsidRDefault="00A46958" w:rsidP="00DC15BF">
                  <w:pPr>
                    <w:pStyle w:val="TableText"/>
                    <w:spacing w:before="40" w:after="40"/>
                    <w:rPr>
                      <w:szCs w:val="21"/>
                    </w:rPr>
                  </w:pPr>
                </w:p>
              </w:tc>
              <w:tc>
                <w:tcPr>
                  <w:tcW w:w="1979" w:type="dxa"/>
                  <w:tcBorders>
                    <w:top w:val="single" w:sz="4" w:space="0" w:color="auto"/>
                    <w:left w:val="single" w:sz="4" w:space="0" w:color="auto"/>
                    <w:bottom w:val="single" w:sz="4" w:space="0" w:color="auto"/>
                    <w:right w:val="single" w:sz="4" w:space="0" w:color="auto"/>
                  </w:tcBorders>
                  <w:tcMar>
                    <w:left w:w="58" w:type="dxa"/>
                    <w:right w:w="58" w:type="dxa"/>
                  </w:tcMar>
                </w:tcPr>
                <w:p w14:paraId="1F5AF119" w14:textId="77777777" w:rsidR="00A46958" w:rsidRPr="005D4222" w:rsidRDefault="00A46958" w:rsidP="00DC15BF">
                  <w:pPr>
                    <w:pStyle w:val="TableText"/>
                    <w:spacing w:before="40" w:after="40"/>
                    <w:rPr>
                      <w:szCs w:val="21"/>
                    </w:rPr>
                  </w:pPr>
                  <w:r w:rsidRPr="005D4222">
                    <w:rPr>
                      <w:szCs w:val="21"/>
                    </w:rPr>
                    <w:t>Unknown</w:t>
                  </w:r>
                </w:p>
              </w:tc>
              <w:tc>
                <w:tcPr>
                  <w:tcW w:w="1530" w:type="dxa"/>
                  <w:tcBorders>
                    <w:top w:val="single" w:sz="4" w:space="0" w:color="auto"/>
                    <w:left w:val="single" w:sz="4" w:space="0" w:color="auto"/>
                    <w:bottom w:val="nil"/>
                    <w:right w:val="nil"/>
                  </w:tcBorders>
                  <w:tcMar>
                    <w:left w:w="58" w:type="dxa"/>
                    <w:right w:w="58" w:type="dxa"/>
                  </w:tcMar>
                </w:tcPr>
                <w:p w14:paraId="7EE01F66" w14:textId="77777777" w:rsidR="00A46958" w:rsidRPr="005D4222" w:rsidRDefault="00A46958" w:rsidP="00DC15BF">
                  <w:pPr>
                    <w:pStyle w:val="TableText"/>
                    <w:spacing w:before="40" w:after="40"/>
                    <w:rPr>
                      <w:szCs w:val="21"/>
                    </w:rPr>
                  </w:pPr>
                </w:p>
              </w:tc>
              <w:tc>
                <w:tcPr>
                  <w:tcW w:w="2249" w:type="dxa"/>
                  <w:tcBorders>
                    <w:top w:val="single" w:sz="4" w:space="0" w:color="auto"/>
                    <w:left w:val="nil"/>
                    <w:bottom w:val="nil"/>
                    <w:right w:val="nil"/>
                  </w:tcBorders>
                  <w:tcMar>
                    <w:left w:w="58" w:type="dxa"/>
                    <w:right w:w="58" w:type="dxa"/>
                  </w:tcMar>
                </w:tcPr>
                <w:p w14:paraId="77218BA8" w14:textId="77777777" w:rsidR="00A46958" w:rsidRPr="005D4222" w:rsidRDefault="00A46958" w:rsidP="00DC15BF">
                  <w:pPr>
                    <w:pStyle w:val="TableText"/>
                    <w:spacing w:before="40" w:after="40"/>
                    <w:rPr>
                      <w:rFonts w:eastAsia="Wingdings"/>
                      <w:szCs w:val="21"/>
                    </w:rPr>
                  </w:pPr>
                </w:p>
              </w:tc>
            </w:tr>
          </w:tbl>
          <w:p w14:paraId="20C5F784" w14:textId="77777777" w:rsidR="00A46958" w:rsidRPr="005D4222" w:rsidRDefault="00A46958" w:rsidP="00A53E8C">
            <w:pPr>
              <w:pStyle w:val="ECDSBody"/>
              <w:rPr>
                <w:b/>
                <w:i/>
              </w:rPr>
            </w:pPr>
          </w:p>
        </w:tc>
      </w:tr>
      <w:tr w:rsidR="00A46958" w:rsidRPr="005D4222" w14:paraId="6F88CFEF"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7F25DB8" w14:textId="77777777" w:rsidR="00A46958" w:rsidRPr="005D4222" w:rsidRDefault="00A46958" w:rsidP="00A53E8C">
            <w:pPr>
              <w:pStyle w:val="ECDSMarginHead"/>
            </w:pPr>
            <w:r w:rsidRPr="005D4222">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802566E" w14:textId="77777777" w:rsidR="00A46958" w:rsidRPr="005D4222" w:rsidRDefault="00A46958" w:rsidP="00A53E8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7CBA73BA" w14:textId="77777777" w:rsidR="00A46958" w:rsidRPr="005D4222" w:rsidRDefault="00A46958" w:rsidP="00A53E8C">
            <w:pPr>
              <w:pStyle w:val="ECDSBody"/>
              <w:rPr>
                <w:b/>
              </w:rPr>
            </w:pPr>
            <w:r w:rsidRPr="005D4222">
              <w:rPr>
                <w:b/>
              </w:rPr>
              <w:t>Adjusted HEDIS measures may not be used for HEDIS health plan reporting.</w:t>
            </w:r>
          </w:p>
          <w:p w14:paraId="17F6A880" w14:textId="77777777" w:rsidR="00A46958" w:rsidRPr="005D4222" w:rsidRDefault="00A46958" w:rsidP="00A53E8C">
            <w:pPr>
              <w:pStyle w:val="Adjustments"/>
            </w:pPr>
            <w:r w:rsidRPr="005D4222">
              <w:t>Adjustments</w:t>
            </w:r>
            <w:r w:rsidRPr="005D4222">
              <w:rPr>
                <w:bCs/>
              </w:rPr>
              <w:t xml:space="preserve"> a</w:t>
            </w:r>
            <w:r w:rsidRPr="005D4222">
              <w:t>llowed</w:t>
            </w:r>
          </w:p>
          <w:p w14:paraId="6CAAE8C6" w14:textId="579B2D0D" w:rsidR="00A46958" w:rsidRPr="005D4222" w:rsidRDefault="00A46958" w:rsidP="00DC15BF">
            <w:pPr>
              <w:pStyle w:val="ProcessBullet"/>
              <w:numPr>
                <w:ilvl w:val="0"/>
                <w:numId w:val="98"/>
              </w:numPr>
              <w:spacing w:before="60"/>
              <w:ind w:left="216" w:hanging="216"/>
            </w:pPr>
            <w:r w:rsidRPr="005D4222">
              <w:rPr>
                <w:i/>
                <w:iCs/>
              </w:rPr>
              <w:t xml:space="preserve">Product lines. </w:t>
            </w:r>
            <w:r w:rsidRPr="005D4222">
              <w:rPr>
                <w:rStyle w:val="ProcessBulletChar"/>
              </w:rPr>
              <w:t>Organizations are not required to use product line criteria; product lines may be combined</w:t>
            </w:r>
            <w:r w:rsidR="00E8671F" w:rsidRPr="005D4222">
              <w:rPr>
                <w:rStyle w:val="ProcessBulletChar"/>
              </w:rPr>
              <w:t>,</w:t>
            </w:r>
            <w:r w:rsidRPr="005D4222">
              <w:rPr>
                <w:rStyle w:val="ProcessBulletChar"/>
              </w:rPr>
              <w:t xml:space="preserve"> and all (or no) product line criteria may be used.</w:t>
            </w:r>
          </w:p>
          <w:p w14:paraId="73B0EF8F" w14:textId="682530CD" w:rsidR="00A46958" w:rsidRPr="005D4222" w:rsidRDefault="00A46958" w:rsidP="00DC15BF">
            <w:pPr>
              <w:pStyle w:val="ProcessBullet"/>
              <w:numPr>
                <w:ilvl w:val="0"/>
                <w:numId w:val="98"/>
              </w:numPr>
              <w:spacing w:before="60"/>
              <w:ind w:left="216" w:hanging="216"/>
            </w:pPr>
            <w:r w:rsidRPr="005D4222">
              <w:rPr>
                <w:i/>
                <w:iCs/>
              </w:rPr>
              <w:t xml:space="preserve">Attribution. </w:t>
            </w:r>
            <w:r w:rsidRPr="005D4222">
              <w:t>Organizations are not required to use enrollment criteria.</w:t>
            </w:r>
          </w:p>
          <w:p w14:paraId="65E3360F" w14:textId="75CE13FE" w:rsidR="00A46958" w:rsidRPr="005D4222" w:rsidRDefault="00362E76" w:rsidP="00DC15BF">
            <w:pPr>
              <w:pStyle w:val="ProcessBullet"/>
              <w:numPr>
                <w:ilvl w:val="0"/>
                <w:numId w:val="98"/>
              </w:numPr>
              <w:spacing w:before="60"/>
              <w:ind w:left="216" w:hanging="216"/>
            </w:pPr>
            <w:r w:rsidRPr="005D4222">
              <w:rPr>
                <w:i/>
                <w:iCs/>
              </w:rPr>
              <w:t>Benefits.</w:t>
            </w:r>
            <w:r w:rsidR="00A46958" w:rsidRPr="005D4222">
              <w:rPr>
                <w:i/>
                <w:iCs/>
              </w:rPr>
              <w:t xml:space="preserve"> </w:t>
            </w:r>
            <w:r w:rsidR="00A46958" w:rsidRPr="005D4222">
              <w:t>Organizations are not required to use a benefit.</w:t>
            </w:r>
          </w:p>
          <w:p w14:paraId="589DDA0E" w14:textId="77777777" w:rsidR="00A46958" w:rsidRPr="005D4222" w:rsidRDefault="00A46958" w:rsidP="00DC15BF">
            <w:pPr>
              <w:pStyle w:val="ProcessBullet"/>
              <w:numPr>
                <w:ilvl w:val="0"/>
                <w:numId w:val="98"/>
              </w:numPr>
              <w:spacing w:before="60"/>
              <w:ind w:left="216" w:hanging="216"/>
            </w:pPr>
            <w:r w:rsidRPr="005D4222">
              <w:rPr>
                <w:i/>
                <w:iCs/>
              </w:rPr>
              <w:t xml:space="preserve">Other. </w:t>
            </w:r>
            <w:r w:rsidRPr="005D4222">
              <w:t xml:space="preserve">Organizations may use additional initial population criteria to focus on an area of interest defined by gender, race, ethnicity, socio-economic or sociodemographic characteristics, geographic region or another characteristic.  </w:t>
            </w:r>
          </w:p>
          <w:p w14:paraId="3AC3278C" w14:textId="77777777" w:rsidR="00A46958" w:rsidRPr="005D4222" w:rsidRDefault="00A46958" w:rsidP="00DC15BF">
            <w:pPr>
              <w:pStyle w:val="ProcessBullet"/>
              <w:numPr>
                <w:ilvl w:val="0"/>
                <w:numId w:val="98"/>
              </w:numPr>
              <w:spacing w:before="60"/>
              <w:ind w:left="216" w:hanging="216"/>
            </w:pPr>
            <w:r w:rsidRPr="005D4222">
              <w:rPr>
                <w:i/>
                <w:iCs/>
              </w:rPr>
              <w:t xml:space="preserve">Measurement period adjustments. </w:t>
            </w:r>
            <w:r w:rsidRPr="005D4222">
              <w:t xml:space="preserve">Organizations may adjust the measurement period. </w:t>
            </w:r>
          </w:p>
          <w:p w14:paraId="6BD1053E" w14:textId="77777777" w:rsidR="00A46958" w:rsidRPr="005D4222" w:rsidRDefault="00A46958" w:rsidP="00DC15BF">
            <w:pPr>
              <w:pStyle w:val="ProcessBullet"/>
              <w:numPr>
                <w:ilvl w:val="0"/>
                <w:numId w:val="98"/>
              </w:numPr>
              <w:spacing w:before="60"/>
              <w:ind w:left="216" w:hanging="216"/>
              <w:rPr>
                <w:color w:val="000000" w:themeColor="text1"/>
              </w:rPr>
            </w:pPr>
            <w:r w:rsidRPr="005D4222">
              <w:rPr>
                <w:i/>
                <w:iCs/>
                <w:color w:val="000000" w:themeColor="text1"/>
              </w:rPr>
              <w:t xml:space="preserve">Stratifications: </w:t>
            </w:r>
            <w:r w:rsidRPr="005D4222">
              <w:rPr>
                <w:color w:val="000000" w:themeColor="text1"/>
              </w:rPr>
              <w:t>Race and ethnicity stratification.</w:t>
            </w:r>
            <w:r w:rsidRPr="005D4222">
              <w:rPr>
                <w:i/>
                <w:iCs/>
                <w:color w:val="000000" w:themeColor="text1"/>
              </w:rPr>
              <w:t xml:space="preserve"> </w:t>
            </w:r>
            <w:r w:rsidRPr="005D4222">
              <w:rPr>
                <w:color w:val="000000" w:themeColor="text1"/>
              </w:rPr>
              <w:t>The race and ethnicity stratification is not required. Organizations may adjust this stratification as needed.</w:t>
            </w:r>
          </w:p>
          <w:p w14:paraId="4CC2FE21" w14:textId="77777777" w:rsidR="00A46958" w:rsidRPr="005D4222" w:rsidRDefault="00A46958" w:rsidP="00DC15BF">
            <w:pPr>
              <w:pStyle w:val="ProcessBullet"/>
              <w:numPr>
                <w:ilvl w:val="0"/>
                <w:numId w:val="98"/>
              </w:numPr>
              <w:spacing w:before="60"/>
              <w:ind w:left="216" w:hanging="216"/>
              <w:rPr>
                <w:i/>
                <w:iCs/>
              </w:rPr>
            </w:pPr>
            <w:r w:rsidRPr="005D4222">
              <w:rPr>
                <w:i/>
                <w:iCs/>
              </w:rPr>
              <w:t>Exclusions.</w:t>
            </w:r>
            <w:r w:rsidRPr="005D4222">
              <w:t xml:space="preserve"> The hospice and deceased person exclusions are not required. </w:t>
            </w:r>
          </w:p>
          <w:p w14:paraId="6F9C1353" w14:textId="77777777" w:rsidR="00A46958" w:rsidRPr="005D4222" w:rsidRDefault="00A46958" w:rsidP="00DC15BF">
            <w:pPr>
              <w:pStyle w:val="ProcessBullet"/>
              <w:numPr>
                <w:ilvl w:val="0"/>
                <w:numId w:val="98"/>
              </w:numPr>
              <w:spacing w:before="60"/>
              <w:ind w:left="216" w:hanging="216"/>
            </w:pPr>
            <w:r w:rsidRPr="005D4222">
              <w:rPr>
                <w:i/>
                <w:iCs/>
              </w:rPr>
              <w:t>Supplemental data.</w:t>
            </w:r>
            <w:r w:rsidRPr="005D4222">
              <w:t xml:space="preserve"> Supplemental data may be used to identify initial population, denominator, exclusion and numerator events.</w:t>
            </w:r>
          </w:p>
          <w:p w14:paraId="519E411A" w14:textId="77777777" w:rsidR="00A46958" w:rsidRPr="005D4222" w:rsidRDefault="00A46958" w:rsidP="00A53E8C">
            <w:pPr>
              <w:pStyle w:val="Adjustments"/>
            </w:pPr>
            <w:r w:rsidRPr="005D4222">
              <w:t>Adjustments allowed with limits</w:t>
            </w:r>
          </w:p>
          <w:p w14:paraId="3F34564A" w14:textId="77777777" w:rsidR="00A46958" w:rsidRPr="005D4222" w:rsidRDefault="00A46958" w:rsidP="00DC15BF">
            <w:pPr>
              <w:pStyle w:val="ProcessBullet"/>
              <w:numPr>
                <w:ilvl w:val="0"/>
                <w:numId w:val="98"/>
              </w:numPr>
              <w:spacing w:before="60"/>
              <w:ind w:left="216" w:hanging="216"/>
            </w:pPr>
            <w:r w:rsidRPr="005D4222">
              <w:rPr>
                <w:i/>
                <w:iCs/>
              </w:rPr>
              <w:t>Ages</w:t>
            </w:r>
            <w:r w:rsidRPr="005D4222">
              <w:t>. The age determination dates may be changed (e.g., select, “age 15 months as of June 30”). The denominator age may not be expanded.</w:t>
            </w:r>
          </w:p>
          <w:p w14:paraId="56D86E14" w14:textId="77777777" w:rsidR="00A46958" w:rsidRPr="005D4222" w:rsidRDefault="00A46958" w:rsidP="00DC15BF">
            <w:pPr>
              <w:pStyle w:val="ProcessBullet"/>
              <w:numPr>
                <w:ilvl w:val="0"/>
                <w:numId w:val="98"/>
              </w:numPr>
              <w:spacing w:before="60"/>
              <w:ind w:left="216" w:hanging="216"/>
            </w:pPr>
            <w:r w:rsidRPr="005D4222">
              <w:rPr>
                <w:i/>
                <w:iCs/>
              </w:rPr>
              <w:t>Stratifications.</w:t>
            </w:r>
            <w:r w:rsidRPr="005D4222">
              <w:t xml:space="preserve"> Organizations may stratify the count of visits for the numerator of both rates. Value sets and logic may not be changed. </w:t>
            </w:r>
          </w:p>
          <w:p w14:paraId="4803C85C" w14:textId="77777777" w:rsidR="004372B5" w:rsidRPr="005D4222" w:rsidRDefault="004372B5" w:rsidP="004372B5">
            <w:pPr>
              <w:pStyle w:val="Adjustments"/>
              <w:spacing w:before="120"/>
            </w:pPr>
            <w:r w:rsidRPr="005D4222">
              <w:t xml:space="preserve">Adjustments </w:t>
            </w:r>
            <w:r w:rsidRPr="005D4222">
              <w:rPr>
                <w:bCs/>
              </w:rPr>
              <w:t>not allowed</w:t>
            </w:r>
          </w:p>
          <w:p w14:paraId="542A5C1E" w14:textId="77777777" w:rsidR="004372B5" w:rsidRPr="005D4222" w:rsidRDefault="004372B5" w:rsidP="00DC15BF">
            <w:pPr>
              <w:pStyle w:val="ProcessBullet"/>
              <w:numPr>
                <w:ilvl w:val="0"/>
                <w:numId w:val="98"/>
              </w:numPr>
              <w:spacing w:before="60"/>
              <w:ind w:left="216" w:hanging="216"/>
            </w:pPr>
            <w:r w:rsidRPr="005D4222">
              <w:rPr>
                <w:i/>
                <w:iCs/>
              </w:rPr>
              <w:t>Numerator.</w:t>
            </w:r>
            <w:r w:rsidRPr="005D4222">
              <w:t xml:space="preserve"> Value sets and logic may not be changed. </w:t>
            </w:r>
          </w:p>
          <w:p w14:paraId="55DF3889" w14:textId="1A08B99B" w:rsidR="00A46958" w:rsidRPr="005D4222" w:rsidRDefault="004372B5" w:rsidP="00DC15BF">
            <w:pPr>
              <w:pStyle w:val="ProcessBullet"/>
              <w:numPr>
                <w:ilvl w:val="0"/>
                <w:numId w:val="98"/>
              </w:numPr>
              <w:spacing w:before="60"/>
              <w:ind w:left="216" w:hanging="216"/>
            </w:pPr>
            <w:r w:rsidRPr="005D4222">
              <w:rPr>
                <w:i/>
                <w:iCs/>
              </w:rPr>
              <w:t>Telehealth</w:t>
            </w:r>
            <w:r w:rsidRPr="005D4222">
              <w:t>. Organizations may not include telehealth services for this measure.</w:t>
            </w:r>
          </w:p>
        </w:tc>
      </w:tr>
    </w:tbl>
    <w:p w14:paraId="7BAE3E77" w14:textId="77777777" w:rsidR="00915E5F" w:rsidRPr="005D4222" w:rsidRDefault="00915E5F" w:rsidP="00DC15BF">
      <w:pPr>
        <w:pStyle w:val="ECDSBody"/>
        <w:spacing w:before="0" w:after="0"/>
        <w:sectPr w:rsidR="00915E5F" w:rsidRPr="005D4222" w:rsidSect="0074514A">
          <w:headerReference w:type="default" r:id="rId190"/>
          <w:footerReference w:type="default" r:id="rId191"/>
          <w:type w:val="nextColumn"/>
          <w:pgSz w:w="12240" w:h="15840" w:code="1"/>
          <w:pgMar w:top="1080" w:right="1080" w:bottom="1080" w:left="1440" w:header="720" w:footer="720" w:gutter="0"/>
          <w:cols w:space="720"/>
          <w:docGrid w:linePitch="360"/>
        </w:sectPr>
      </w:pPr>
    </w:p>
    <w:p w14:paraId="29309115" w14:textId="3F245200" w:rsidR="002C5A80" w:rsidRPr="005D4222" w:rsidRDefault="00693F03" w:rsidP="00693F03">
      <w:pPr>
        <w:pStyle w:val="MeasureTitle"/>
      </w:pPr>
      <w:bookmarkStart w:id="391" w:name="_Toc201813450"/>
      <w:r w:rsidRPr="005D4222">
        <w:lastRenderedPageBreak/>
        <w:t>Child and Adolescent Well-Care Visits</w:t>
      </w:r>
      <w:r w:rsidR="0096709F" w:rsidRPr="005D4222">
        <w:t xml:space="preserve"> (WCV)</w:t>
      </w:r>
      <w:bookmarkEnd w:id="391"/>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1977"/>
        <w:gridCol w:w="5130"/>
        <w:gridCol w:w="1522"/>
        <w:gridCol w:w="1088"/>
      </w:tblGrid>
      <w:tr w:rsidR="002E3983" w:rsidRPr="005D4222" w14:paraId="78BBFA85" w14:textId="77777777" w:rsidTr="002E3983">
        <w:tc>
          <w:tcPr>
            <w:tcW w:w="1977" w:type="dxa"/>
            <w:shd w:val="clear" w:color="auto" w:fill="BFBFBF" w:themeFill="background1" w:themeFillShade="BF"/>
            <w:tcMar>
              <w:top w:w="0" w:type="dxa"/>
              <w:left w:w="86" w:type="dxa"/>
              <w:bottom w:w="43" w:type="dxa"/>
              <w:right w:w="86" w:type="dxa"/>
            </w:tcMar>
            <w:hideMark/>
          </w:tcPr>
          <w:p w14:paraId="7E6651EF" w14:textId="77777777" w:rsidR="002E3983" w:rsidRPr="005D4222" w:rsidRDefault="002E3983" w:rsidP="00A53E8C">
            <w:pPr>
              <w:pStyle w:val="ECDSMarginHead"/>
            </w:pPr>
            <w:r w:rsidRPr="005D4222">
              <w:t>Measure title</w:t>
            </w:r>
          </w:p>
        </w:tc>
        <w:tc>
          <w:tcPr>
            <w:tcW w:w="5130" w:type="dxa"/>
            <w:tcMar>
              <w:top w:w="0" w:type="dxa"/>
              <w:left w:w="86" w:type="dxa"/>
              <w:bottom w:w="43" w:type="dxa"/>
              <w:right w:w="86" w:type="dxa"/>
            </w:tcMar>
          </w:tcPr>
          <w:p w14:paraId="36624093" w14:textId="77777777" w:rsidR="002E3983" w:rsidRPr="005D4222" w:rsidRDefault="002E3983" w:rsidP="00A53E8C">
            <w:pPr>
              <w:pStyle w:val="ECDSBody"/>
            </w:pPr>
            <w:r w:rsidRPr="005D4222">
              <w:t>Child and Adolescent Well-Care Visits</w:t>
            </w:r>
          </w:p>
        </w:tc>
        <w:tc>
          <w:tcPr>
            <w:tcW w:w="1522" w:type="dxa"/>
            <w:shd w:val="clear" w:color="auto" w:fill="BFBFBF" w:themeFill="background1" w:themeFillShade="BF"/>
            <w:tcMar>
              <w:top w:w="0" w:type="dxa"/>
              <w:left w:w="86" w:type="dxa"/>
              <w:bottom w:w="43" w:type="dxa"/>
              <w:right w:w="86" w:type="dxa"/>
            </w:tcMar>
          </w:tcPr>
          <w:p w14:paraId="72541FE4" w14:textId="77777777" w:rsidR="002E3983" w:rsidRPr="005D4222" w:rsidRDefault="002E3983" w:rsidP="00A53E8C">
            <w:pPr>
              <w:pStyle w:val="ECDSMarginHead"/>
            </w:pPr>
            <w:r w:rsidRPr="005D4222">
              <w:t>Measure ID</w:t>
            </w:r>
          </w:p>
        </w:tc>
        <w:tc>
          <w:tcPr>
            <w:tcW w:w="1088" w:type="dxa"/>
            <w:tcMar>
              <w:top w:w="0" w:type="dxa"/>
              <w:left w:w="86" w:type="dxa"/>
              <w:bottom w:w="43" w:type="dxa"/>
              <w:right w:w="86" w:type="dxa"/>
            </w:tcMar>
          </w:tcPr>
          <w:p w14:paraId="20585B87" w14:textId="77777777" w:rsidR="002E3983" w:rsidRPr="005D4222" w:rsidRDefault="002E3983" w:rsidP="00A53E8C">
            <w:pPr>
              <w:pStyle w:val="ECDSBody"/>
            </w:pPr>
            <w:r w:rsidRPr="005D4222">
              <w:t>WCV</w:t>
            </w:r>
          </w:p>
        </w:tc>
      </w:tr>
      <w:tr w:rsidR="002E3983" w:rsidRPr="005D4222" w14:paraId="3CA14ED4" w14:textId="77777777" w:rsidTr="002E3983">
        <w:tc>
          <w:tcPr>
            <w:tcW w:w="1977" w:type="dxa"/>
            <w:shd w:val="clear" w:color="auto" w:fill="BFBFBF" w:themeFill="background1" w:themeFillShade="BF"/>
            <w:tcMar>
              <w:top w:w="0" w:type="dxa"/>
              <w:left w:w="86" w:type="dxa"/>
              <w:bottom w:w="43" w:type="dxa"/>
              <w:right w:w="86" w:type="dxa"/>
            </w:tcMar>
            <w:hideMark/>
          </w:tcPr>
          <w:p w14:paraId="5E86AE29" w14:textId="77777777" w:rsidR="002E3983" w:rsidRPr="005D4222" w:rsidRDefault="002E3983" w:rsidP="00A53E8C">
            <w:pPr>
              <w:pStyle w:val="ECDSMarginHead"/>
            </w:pPr>
            <w:r w:rsidRPr="005D4222">
              <w:t>Description</w:t>
            </w:r>
          </w:p>
        </w:tc>
        <w:tc>
          <w:tcPr>
            <w:tcW w:w="7740" w:type="dxa"/>
            <w:gridSpan w:val="3"/>
            <w:tcMar>
              <w:top w:w="0" w:type="dxa"/>
              <w:left w:w="86" w:type="dxa"/>
              <w:bottom w:w="43" w:type="dxa"/>
              <w:right w:w="86" w:type="dxa"/>
            </w:tcMar>
          </w:tcPr>
          <w:p w14:paraId="6FD43FD2" w14:textId="77777777" w:rsidR="002E3983" w:rsidRPr="005D4222" w:rsidRDefault="002E3983" w:rsidP="00A53E8C">
            <w:pPr>
              <w:pStyle w:val="ECDSBody"/>
            </w:pPr>
            <w:r w:rsidRPr="005D4222">
              <w:t>The percentage of persons 3–21 years of age who had at least one comprehensive well-care visit with a PCP or an OB/GYN practitioner during the measurement period.</w:t>
            </w:r>
          </w:p>
        </w:tc>
      </w:tr>
      <w:tr w:rsidR="002E3983" w:rsidRPr="005D4222" w14:paraId="14D45694" w14:textId="77777777" w:rsidTr="002E3983">
        <w:tc>
          <w:tcPr>
            <w:tcW w:w="1977" w:type="dxa"/>
            <w:shd w:val="clear" w:color="auto" w:fill="BFBFBF" w:themeFill="background1" w:themeFillShade="BF"/>
            <w:tcMar>
              <w:top w:w="0" w:type="dxa"/>
              <w:left w:w="86" w:type="dxa"/>
              <w:bottom w:w="43" w:type="dxa"/>
              <w:right w:w="86" w:type="dxa"/>
            </w:tcMar>
          </w:tcPr>
          <w:p w14:paraId="1359F874" w14:textId="77777777" w:rsidR="002E3983" w:rsidRPr="005D4222" w:rsidRDefault="002E3983" w:rsidP="00A53E8C">
            <w:pPr>
              <w:pStyle w:val="ECDSMarginHead"/>
            </w:pPr>
            <w:r w:rsidRPr="005D4222">
              <w:t>Measurement period</w:t>
            </w:r>
          </w:p>
        </w:tc>
        <w:tc>
          <w:tcPr>
            <w:tcW w:w="7740" w:type="dxa"/>
            <w:gridSpan w:val="3"/>
            <w:tcMar>
              <w:top w:w="0" w:type="dxa"/>
              <w:left w:w="86" w:type="dxa"/>
              <w:bottom w:w="43" w:type="dxa"/>
              <w:right w:w="86" w:type="dxa"/>
            </w:tcMar>
          </w:tcPr>
          <w:p w14:paraId="7D9D4105" w14:textId="77777777" w:rsidR="002E3983" w:rsidRPr="005D4222" w:rsidRDefault="002E3983" w:rsidP="00A53E8C">
            <w:pPr>
              <w:pStyle w:val="ECDSBody"/>
            </w:pPr>
            <w:r w:rsidRPr="005D4222">
              <w:t>January 1–December 31.</w:t>
            </w:r>
          </w:p>
        </w:tc>
      </w:tr>
      <w:tr w:rsidR="002E3983" w:rsidRPr="005D4222" w14:paraId="4CF4FBEB" w14:textId="77777777" w:rsidTr="002E3983">
        <w:tc>
          <w:tcPr>
            <w:tcW w:w="1977" w:type="dxa"/>
            <w:shd w:val="clear" w:color="auto" w:fill="BFBFBF" w:themeFill="background1" w:themeFillShade="BF"/>
            <w:tcMar>
              <w:top w:w="0" w:type="dxa"/>
              <w:left w:w="86" w:type="dxa"/>
              <w:bottom w:w="43" w:type="dxa"/>
              <w:right w:w="86" w:type="dxa"/>
            </w:tcMar>
            <w:hideMark/>
          </w:tcPr>
          <w:p w14:paraId="310A25B0" w14:textId="77777777" w:rsidR="002E3983" w:rsidRPr="005D4222" w:rsidRDefault="002E3983" w:rsidP="00A53E8C">
            <w:pPr>
              <w:pStyle w:val="ECDSMarginHead"/>
              <w:rPr>
                <w:rFonts w:eastAsia="Arial"/>
              </w:rPr>
            </w:pPr>
            <w:r w:rsidRPr="005D4222">
              <w:rPr>
                <w:rFonts w:eastAsia="Arial"/>
              </w:rPr>
              <w:t>Copyright and disclaimer notice</w:t>
            </w:r>
          </w:p>
        </w:tc>
        <w:tc>
          <w:tcPr>
            <w:tcW w:w="7740" w:type="dxa"/>
            <w:gridSpan w:val="3"/>
            <w:tcMar>
              <w:top w:w="0" w:type="dxa"/>
              <w:left w:w="86" w:type="dxa"/>
              <w:bottom w:w="43" w:type="dxa"/>
              <w:right w:w="86" w:type="dxa"/>
            </w:tcMar>
          </w:tcPr>
          <w:p w14:paraId="6D549412" w14:textId="77777777" w:rsidR="002E3983" w:rsidRPr="005D4222" w:rsidRDefault="002E3983" w:rsidP="00A53E8C">
            <w:pPr>
              <w:pStyle w:val="ECDSBody"/>
            </w:pPr>
            <w:r w:rsidRPr="005D4222">
              <w:t>Refer to the complete copyright and disclaimer information at the front of this publication.</w:t>
            </w:r>
          </w:p>
          <w:p w14:paraId="60C16D26" w14:textId="77777777" w:rsidR="002E3983" w:rsidRPr="005D4222" w:rsidRDefault="002E3983" w:rsidP="00A53E8C">
            <w:pPr>
              <w:pStyle w:val="ECDSBody"/>
              <w:spacing w:before="80"/>
            </w:pPr>
            <w:r w:rsidRPr="005D4222">
              <w:t xml:space="preserve">NCQA website: </w:t>
            </w:r>
            <w:r w:rsidRPr="005D4222">
              <w:rPr>
                <w:szCs w:val="21"/>
                <w:u w:val="single"/>
              </w:rPr>
              <w:t>www.ncqa.org</w:t>
            </w:r>
            <w:r w:rsidRPr="005D4222">
              <w:t>.</w:t>
            </w:r>
          </w:p>
          <w:p w14:paraId="77853952" w14:textId="77777777" w:rsidR="002E3983" w:rsidRPr="005D4222" w:rsidRDefault="002E3983" w:rsidP="00A53E8C">
            <w:pPr>
              <w:pStyle w:val="ECDSBody"/>
              <w:spacing w:before="80"/>
              <w:rPr>
                <w:sz w:val="18"/>
                <w:szCs w:val="18"/>
              </w:rPr>
            </w:pPr>
            <w:r w:rsidRPr="005D4222">
              <w:t>Submit policy clarification support questions via My NCQA (</w:t>
            </w:r>
            <w:r w:rsidRPr="005D4222">
              <w:rPr>
                <w:szCs w:val="21"/>
                <w:u w:val="single"/>
              </w:rPr>
              <w:t>https://my.ncqa.org</w:t>
            </w:r>
            <w:r w:rsidRPr="005D4222">
              <w:t>).</w:t>
            </w:r>
          </w:p>
        </w:tc>
      </w:tr>
      <w:tr w:rsidR="002E3983" w:rsidRPr="005D4222" w14:paraId="26DAA22E" w14:textId="77777777" w:rsidTr="002E3983">
        <w:trPr>
          <w:trHeight w:val="655"/>
        </w:trPr>
        <w:tc>
          <w:tcPr>
            <w:tcW w:w="1977" w:type="dxa"/>
            <w:shd w:val="clear" w:color="auto" w:fill="BFBFBF" w:themeFill="background1" w:themeFillShade="BF"/>
            <w:tcMar>
              <w:top w:w="0" w:type="dxa"/>
              <w:left w:w="86" w:type="dxa"/>
              <w:bottom w:w="43" w:type="dxa"/>
              <w:right w:w="86" w:type="dxa"/>
            </w:tcMar>
            <w:hideMark/>
          </w:tcPr>
          <w:p w14:paraId="6D714D65" w14:textId="77777777" w:rsidR="002E3983" w:rsidRPr="005D4222" w:rsidRDefault="002E3983" w:rsidP="00A53E8C">
            <w:pPr>
              <w:pStyle w:val="ECDSMarginHead"/>
            </w:pPr>
            <w:r w:rsidRPr="005D4222">
              <w:t>Clinical recommendation statement/</w:t>
            </w:r>
            <w:r w:rsidRPr="005D4222" w:rsidDel="008638B5">
              <w:t xml:space="preserve"> </w:t>
            </w:r>
            <w:r w:rsidRPr="005D4222">
              <w:t>rationale</w:t>
            </w:r>
          </w:p>
        </w:tc>
        <w:tc>
          <w:tcPr>
            <w:tcW w:w="7740" w:type="dxa"/>
            <w:gridSpan w:val="3"/>
            <w:tcMar>
              <w:top w:w="0" w:type="dxa"/>
              <w:left w:w="86" w:type="dxa"/>
              <w:bottom w:w="43" w:type="dxa"/>
              <w:right w:w="86" w:type="dxa"/>
            </w:tcMar>
          </w:tcPr>
          <w:p w14:paraId="2EB31287" w14:textId="77777777" w:rsidR="002E3983" w:rsidRPr="005D4222" w:rsidRDefault="002E3983" w:rsidP="00A53E8C">
            <w:pPr>
              <w:pStyle w:val="ECDSBody"/>
            </w:pPr>
            <w:r w:rsidRPr="005D4222">
              <w:rPr>
                <w:szCs w:val="21"/>
              </w:rPr>
              <w:t xml:space="preserve">This measure is based on the American Academy of Pediatrics Bright Futures guidelines for Health Supervision of Infants, Children and Adolescents. </w:t>
            </w:r>
            <w:r w:rsidRPr="005D4222">
              <w:t>Bright Futures recommends one or more well care visits from age 3–21.</w:t>
            </w:r>
          </w:p>
        </w:tc>
      </w:tr>
      <w:tr w:rsidR="002E3983" w:rsidRPr="005D4222" w14:paraId="01F6AEF1" w14:textId="77777777" w:rsidTr="002E3983">
        <w:tc>
          <w:tcPr>
            <w:tcW w:w="1977" w:type="dxa"/>
            <w:shd w:val="clear" w:color="auto" w:fill="BFBFBF" w:themeFill="background1" w:themeFillShade="BF"/>
            <w:tcMar>
              <w:top w:w="0" w:type="dxa"/>
              <w:left w:w="86" w:type="dxa"/>
              <w:bottom w:w="43" w:type="dxa"/>
              <w:right w:w="86" w:type="dxa"/>
            </w:tcMar>
          </w:tcPr>
          <w:p w14:paraId="2C8C9016" w14:textId="77777777" w:rsidR="002E3983" w:rsidRPr="005D4222" w:rsidRDefault="002E3983" w:rsidP="00A53E8C">
            <w:pPr>
              <w:pStyle w:val="ECDSMarginHead"/>
            </w:pPr>
            <w:r w:rsidRPr="005D4222">
              <w:t>Citations</w:t>
            </w:r>
          </w:p>
        </w:tc>
        <w:tc>
          <w:tcPr>
            <w:tcW w:w="7740" w:type="dxa"/>
            <w:gridSpan w:val="3"/>
            <w:tcMar>
              <w:top w:w="0" w:type="dxa"/>
              <w:left w:w="86" w:type="dxa"/>
              <w:bottom w:w="43" w:type="dxa"/>
              <w:right w:w="86" w:type="dxa"/>
            </w:tcMar>
          </w:tcPr>
          <w:p w14:paraId="27805983" w14:textId="77777777" w:rsidR="002E3983" w:rsidRPr="005D4222" w:rsidRDefault="002E3983" w:rsidP="00A53E8C">
            <w:pPr>
              <w:pStyle w:val="ECDSBody"/>
              <w:rPr>
                <w:szCs w:val="21"/>
              </w:rPr>
            </w:pPr>
            <w:r w:rsidRPr="005D4222">
              <w:rPr>
                <w:szCs w:val="21"/>
              </w:rPr>
              <w:t>Bright Futures &amp; American Academy of Pediatrics. “Periodicity Schedule — Recommendations for Preventive Pediatric Health Care.” 2025. https://downloads.aap.org/AAP/PDF/periodicity_schedule.pdf</w:t>
            </w:r>
          </w:p>
        </w:tc>
      </w:tr>
      <w:tr w:rsidR="002E3983" w:rsidRPr="005D4222" w14:paraId="339E841E" w14:textId="77777777" w:rsidTr="002E3983">
        <w:tc>
          <w:tcPr>
            <w:tcW w:w="9717"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6FA1F770" w14:textId="77777777" w:rsidR="002E3983" w:rsidRPr="005D4222" w:rsidRDefault="002E3983" w:rsidP="00A53E8C">
            <w:pPr>
              <w:pStyle w:val="ECDSMarginHead"/>
            </w:pPr>
            <w:r w:rsidRPr="005D4222">
              <w:t>Characteristics</w:t>
            </w:r>
          </w:p>
        </w:tc>
      </w:tr>
      <w:tr w:rsidR="002E3983" w:rsidRPr="005D4222" w14:paraId="4AD845FC" w14:textId="77777777" w:rsidTr="002E3983">
        <w:tc>
          <w:tcPr>
            <w:tcW w:w="197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633F4A30" w14:textId="77777777" w:rsidR="002E3983" w:rsidRPr="005D4222" w:rsidRDefault="002E3983" w:rsidP="002E3983">
            <w:pPr>
              <w:pStyle w:val="ECDSMarginSubhead"/>
              <w:spacing w:after="0"/>
            </w:pPr>
            <w:r w:rsidRPr="005D4222">
              <w:t>Scoring</w:t>
            </w:r>
          </w:p>
        </w:tc>
        <w:tc>
          <w:tcPr>
            <w:tcW w:w="7740"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0E0E04BC" w14:textId="77777777" w:rsidR="002E3983" w:rsidRPr="005D4222" w:rsidRDefault="002E3983" w:rsidP="002E3983">
            <w:pPr>
              <w:pStyle w:val="ECDSBody"/>
              <w:spacing w:after="0"/>
            </w:pPr>
            <w:r w:rsidRPr="005D4222">
              <w:t>Proportion.</w:t>
            </w:r>
          </w:p>
        </w:tc>
      </w:tr>
      <w:tr w:rsidR="002E3983" w:rsidRPr="005D4222" w14:paraId="4331E929" w14:textId="77777777" w:rsidTr="002E3983">
        <w:tc>
          <w:tcPr>
            <w:tcW w:w="1977" w:type="dxa"/>
            <w:tcBorders>
              <w:top w:val="nil"/>
              <w:left w:val="single" w:sz="4" w:space="0" w:color="auto"/>
              <w:bottom w:val="nil"/>
              <w:right w:val="single" w:sz="4" w:space="0" w:color="auto"/>
            </w:tcBorders>
            <w:tcMar>
              <w:top w:w="0" w:type="dxa"/>
              <w:left w:w="86" w:type="dxa"/>
              <w:bottom w:w="43" w:type="dxa"/>
              <w:right w:w="86" w:type="dxa"/>
            </w:tcMar>
          </w:tcPr>
          <w:p w14:paraId="6601BC65" w14:textId="77777777" w:rsidR="002E3983" w:rsidRPr="005D4222" w:rsidRDefault="002E3983" w:rsidP="002E3983">
            <w:pPr>
              <w:pStyle w:val="ECDSMarginSubhead"/>
              <w:spacing w:after="0"/>
            </w:pPr>
            <w:r w:rsidRPr="005D4222">
              <w:t>Type</w:t>
            </w:r>
          </w:p>
        </w:tc>
        <w:tc>
          <w:tcPr>
            <w:tcW w:w="7740" w:type="dxa"/>
            <w:gridSpan w:val="3"/>
            <w:tcBorders>
              <w:top w:val="nil"/>
              <w:left w:val="single" w:sz="4" w:space="0" w:color="auto"/>
              <w:bottom w:val="nil"/>
              <w:right w:val="single" w:sz="4" w:space="0" w:color="auto"/>
            </w:tcBorders>
            <w:tcMar>
              <w:top w:w="0" w:type="dxa"/>
              <w:left w:w="86" w:type="dxa"/>
              <w:bottom w:w="43" w:type="dxa"/>
              <w:right w:w="86" w:type="dxa"/>
            </w:tcMar>
          </w:tcPr>
          <w:p w14:paraId="6BA56573" w14:textId="77777777" w:rsidR="002E3983" w:rsidRPr="005D4222" w:rsidRDefault="002E3983" w:rsidP="002E3983">
            <w:pPr>
              <w:pStyle w:val="ECDSBody"/>
              <w:spacing w:after="0"/>
            </w:pPr>
            <w:r w:rsidRPr="005D4222">
              <w:t>Process.</w:t>
            </w:r>
          </w:p>
        </w:tc>
      </w:tr>
      <w:tr w:rsidR="002E3983" w:rsidRPr="005D4222" w14:paraId="654A9C89" w14:textId="77777777" w:rsidTr="002E3983">
        <w:tc>
          <w:tcPr>
            <w:tcW w:w="1977" w:type="dxa"/>
            <w:tcBorders>
              <w:top w:val="nil"/>
              <w:left w:val="single" w:sz="4" w:space="0" w:color="auto"/>
              <w:bottom w:val="nil"/>
              <w:right w:val="single" w:sz="4" w:space="0" w:color="auto"/>
            </w:tcBorders>
            <w:tcMar>
              <w:top w:w="0" w:type="dxa"/>
              <w:left w:w="86" w:type="dxa"/>
              <w:bottom w:w="43" w:type="dxa"/>
              <w:right w:w="86" w:type="dxa"/>
            </w:tcMar>
          </w:tcPr>
          <w:p w14:paraId="6CCA9173" w14:textId="5F55F92A" w:rsidR="002E3983" w:rsidRPr="005D4222" w:rsidRDefault="00B51CDC" w:rsidP="002E3983">
            <w:pPr>
              <w:pStyle w:val="ECDSMarginSubhead"/>
              <w:spacing w:after="0"/>
            </w:pPr>
            <w:r w:rsidRPr="005D4222">
              <w:t>Product lines</w:t>
            </w:r>
          </w:p>
        </w:tc>
        <w:tc>
          <w:tcPr>
            <w:tcW w:w="7740" w:type="dxa"/>
            <w:gridSpan w:val="3"/>
            <w:tcBorders>
              <w:top w:val="nil"/>
              <w:left w:val="single" w:sz="4" w:space="0" w:color="auto"/>
              <w:bottom w:val="nil"/>
              <w:right w:val="single" w:sz="4" w:space="0" w:color="auto"/>
            </w:tcBorders>
            <w:tcMar>
              <w:top w:w="0" w:type="dxa"/>
              <w:left w:w="86" w:type="dxa"/>
              <w:bottom w:w="43" w:type="dxa"/>
              <w:right w:w="86" w:type="dxa"/>
            </w:tcMar>
          </w:tcPr>
          <w:p w14:paraId="323AD487" w14:textId="77777777" w:rsidR="002E3983" w:rsidRPr="005D4222" w:rsidRDefault="002E3983" w:rsidP="005D6173">
            <w:pPr>
              <w:pStyle w:val="ProcessBullet"/>
              <w:numPr>
                <w:ilvl w:val="0"/>
                <w:numId w:val="108"/>
              </w:numPr>
              <w:tabs>
                <w:tab w:val="left" w:pos="216"/>
              </w:tabs>
              <w:spacing w:before="120"/>
            </w:pPr>
            <w:r w:rsidRPr="005D4222">
              <w:t>Commercial.</w:t>
            </w:r>
          </w:p>
          <w:p w14:paraId="15F7FA50" w14:textId="77777777" w:rsidR="002E3983" w:rsidRPr="005D4222" w:rsidRDefault="002E3983" w:rsidP="005D6173">
            <w:pPr>
              <w:pStyle w:val="ProcessBullet"/>
              <w:numPr>
                <w:ilvl w:val="0"/>
                <w:numId w:val="108"/>
              </w:numPr>
              <w:tabs>
                <w:tab w:val="left" w:pos="216"/>
              </w:tabs>
            </w:pPr>
            <w:r w:rsidRPr="005D4222">
              <w:t>Medicaid.</w:t>
            </w:r>
          </w:p>
        </w:tc>
      </w:tr>
      <w:tr w:rsidR="002E3983" w:rsidRPr="005D4222" w14:paraId="5CC84B14" w14:textId="77777777" w:rsidTr="002E3983">
        <w:tc>
          <w:tcPr>
            <w:tcW w:w="197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7A642CED" w14:textId="437628D9" w:rsidR="002E3983" w:rsidRPr="005D4222" w:rsidRDefault="00B51CDC" w:rsidP="00A53E8C">
            <w:pPr>
              <w:pStyle w:val="ECDSMarginSubhead"/>
            </w:pPr>
            <w:r w:rsidRPr="005D4222">
              <w:t>Stratifications</w:t>
            </w:r>
            <w:r w:rsidR="002E3983" w:rsidRPr="005D4222">
              <w:t xml:space="preserve"> </w:t>
            </w:r>
          </w:p>
        </w:tc>
        <w:tc>
          <w:tcPr>
            <w:tcW w:w="7740"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hideMark/>
          </w:tcPr>
          <w:p w14:paraId="701C7548" w14:textId="77777777" w:rsidR="002E3983" w:rsidRPr="005D4222" w:rsidRDefault="002E3983" w:rsidP="00A53E8C">
            <w:pPr>
              <w:pStyle w:val="ECDSBody"/>
              <w:rPr>
                <w:i/>
              </w:rPr>
            </w:pPr>
            <w:r w:rsidRPr="005D4222">
              <w:t>Age as of the last day of the measurement period.</w:t>
            </w:r>
          </w:p>
          <w:p w14:paraId="0ECC4EA9" w14:textId="77777777" w:rsidR="002E3983" w:rsidRPr="005D4222" w:rsidRDefault="002E3983" w:rsidP="002E3983">
            <w:pPr>
              <w:pStyle w:val="Bullet"/>
              <w:numPr>
                <w:ilvl w:val="0"/>
                <w:numId w:val="4"/>
              </w:numPr>
              <w:tabs>
                <w:tab w:val="left" w:pos="360"/>
                <w:tab w:val="left" w:pos="576"/>
              </w:tabs>
              <w:ind w:left="576" w:hanging="216"/>
            </w:pPr>
            <w:r w:rsidRPr="005D4222">
              <w:t>3–11 years.</w:t>
            </w:r>
          </w:p>
          <w:p w14:paraId="4EF2547A" w14:textId="77777777" w:rsidR="002E3983" w:rsidRPr="005D4222" w:rsidRDefault="002E3983" w:rsidP="002E3983">
            <w:pPr>
              <w:pStyle w:val="Bullet"/>
              <w:numPr>
                <w:ilvl w:val="0"/>
                <w:numId w:val="4"/>
              </w:numPr>
              <w:tabs>
                <w:tab w:val="left" w:pos="360"/>
                <w:tab w:val="left" w:pos="576"/>
              </w:tabs>
              <w:ind w:left="576" w:hanging="216"/>
            </w:pPr>
            <w:r w:rsidRPr="005D4222">
              <w:t>12–17 years.</w:t>
            </w:r>
          </w:p>
          <w:p w14:paraId="419FB72B" w14:textId="77777777" w:rsidR="002E3983" w:rsidRPr="005D4222" w:rsidRDefault="002E3983" w:rsidP="002E3983">
            <w:pPr>
              <w:pStyle w:val="Bullet"/>
              <w:numPr>
                <w:ilvl w:val="0"/>
                <w:numId w:val="4"/>
              </w:numPr>
              <w:tabs>
                <w:tab w:val="left" w:pos="360"/>
                <w:tab w:val="left" w:pos="576"/>
              </w:tabs>
              <w:ind w:left="576" w:hanging="216"/>
            </w:pPr>
            <w:r w:rsidRPr="005D4222">
              <w:t>18–21 years.</w:t>
            </w:r>
          </w:p>
          <w:p w14:paraId="2742C736" w14:textId="09452F44" w:rsidR="002E3983" w:rsidRPr="005D4222" w:rsidRDefault="002E3983" w:rsidP="00A53E8C">
            <w:pPr>
              <w:pStyle w:val="ECDSBody"/>
            </w:pPr>
            <w:r w:rsidRPr="005D4222">
              <w:t xml:space="preserve">Race. (Refer to </w:t>
            </w:r>
            <w:hyperlink w:anchor="GG_Race_and_Ethnicity" w:history="1">
              <w:r w:rsidRPr="005D4222">
                <w:rPr>
                  <w:rStyle w:val="Hyperlink"/>
                  <w:i/>
                  <w:iCs/>
                </w:rPr>
                <w:t>General Guideline: Race and Ethnicity Stratification</w:t>
              </w:r>
            </w:hyperlink>
            <w:r w:rsidRPr="005D4222">
              <w:t>.)</w:t>
            </w:r>
          </w:p>
          <w:p w14:paraId="47E12D3F" w14:textId="77777777" w:rsidR="002E3983" w:rsidRPr="005D4222" w:rsidRDefault="002E3983" w:rsidP="002E3983">
            <w:pPr>
              <w:pStyle w:val="Bullet"/>
              <w:numPr>
                <w:ilvl w:val="0"/>
                <w:numId w:val="4"/>
              </w:numPr>
              <w:tabs>
                <w:tab w:val="left" w:pos="360"/>
                <w:tab w:val="left" w:pos="576"/>
              </w:tabs>
              <w:ind w:left="576" w:hanging="216"/>
            </w:pPr>
            <w:r w:rsidRPr="005D4222">
              <w:t>American Indian or Alaska Native.</w:t>
            </w:r>
          </w:p>
          <w:p w14:paraId="2491A06E" w14:textId="77777777" w:rsidR="002E3983" w:rsidRPr="005D4222" w:rsidRDefault="002E3983" w:rsidP="002E3983">
            <w:pPr>
              <w:pStyle w:val="Bullet"/>
              <w:numPr>
                <w:ilvl w:val="0"/>
                <w:numId w:val="4"/>
              </w:numPr>
              <w:tabs>
                <w:tab w:val="left" w:pos="360"/>
                <w:tab w:val="left" w:pos="576"/>
              </w:tabs>
              <w:ind w:left="576" w:hanging="216"/>
            </w:pPr>
            <w:r w:rsidRPr="005D4222">
              <w:t>Asian.</w:t>
            </w:r>
          </w:p>
          <w:p w14:paraId="01C46DF0" w14:textId="77777777" w:rsidR="002E3983" w:rsidRPr="005D4222" w:rsidRDefault="002E3983" w:rsidP="002E3983">
            <w:pPr>
              <w:pStyle w:val="Bullet"/>
              <w:numPr>
                <w:ilvl w:val="0"/>
                <w:numId w:val="4"/>
              </w:numPr>
              <w:tabs>
                <w:tab w:val="left" w:pos="360"/>
                <w:tab w:val="left" w:pos="576"/>
              </w:tabs>
              <w:ind w:left="576" w:hanging="216"/>
            </w:pPr>
            <w:r w:rsidRPr="005D4222">
              <w:t>Black or African American.</w:t>
            </w:r>
          </w:p>
          <w:p w14:paraId="67BA38B9" w14:textId="77777777" w:rsidR="002E3983" w:rsidRPr="005D4222" w:rsidRDefault="002E3983" w:rsidP="002E3983">
            <w:pPr>
              <w:pStyle w:val="Bullet"/>
              <w:numPr>
                <w:ilvl w:val="0"/>
                <w:numId w:val="4"/>
              </w:numPr>
              <w:tabs>
                <w:tab w:val="left" w:pos="360"/>
                <w:tab w:val="left" w:pos="576"/>
              </w:tabs>
              <w:ind w:left="576" w:hanging="216"/>
            </w:pPr>
            <w:r w:rsidRPr="005D4222">
              <w:t>Middle Eastern or North African.</w:t>
            </w:r>
          </w:p>
          <w:p w14:paraId="6E1EF550" w14:textId="77777777" w:rsidR="002E3983" w:rsidRPr="005D4222" w:rsidRDefault="002E3983" w:rsidP="002E3983">
            <w:pPr>
              <w:pStyle w:val="Bullet"/>
              <w:numPr>
                <w:ilvl w:val="0"/>
                <w:numId w:val="4"/>
              </w:numPr>
              <w:tabs>
                <w:tab w:val="left" w:pos="360"/>
                <w:tab w:val="left" w:pos="576"/>
              </w:tabs>
              <w:ind w:left="576" w:hanging="216"/>
            </w:pPr>
            <w:r w:rsidRPr="005D4222">
              <w:t>Native Hawaiian or Pacific Islander.</w:t>
            </w:r>
          </w:p>
          <w:p w14:paraId="34B5E251" w14:textId="77777777" w:rsidR="002E3983" w:rsidRPr="005D4222" w:rsidRDefault="002E3983" w:rsidP="002E3983">
            <w:pPr>
              <w:pStyle w:val="Bullet"/>
              <w:numPr>
                <w:ilvl w:val="0"/>
                <w:numId w:val="4"/>
              </w:numPr>
              <w:tabs>
                <w:tab w:val="left" w:pos="360"/>
                <w:tab w:val="left" w:pos="576"/>
              </w:tabs>
              <w:ind w:left="576" w:hanging="216"/>
            </w:pPr>
            <w:r w:rsidRPr="005D4222">
              <w:t>White.</w:t>
            </w:r>
          </w:p>
          <w:p w14:paraId="719ADAC9" w14:textId="4CB32689" w:rsidR="002E3983" w:rsidRPr="005D4222" w:rsidRDefault="002E3983" w:rsidP="002E3983">
            <w:pPr>
              <w:pStyle w:val="Bullet"/>
              <w:numPr>
                <w:ilvl w:val="0"/>
                <w:numId w:val="4"/>
              </w:numPr>
              <w:tabs>
                <w:tab w:val="left" w:pos="360"/>
                <w:tab w:val="left" w:pos="576"/>
              </w:tabs>
              <w:spacing w:after="80"/>
              <w:ind w:left="576" w:hanging="216"/>
              <w:rPr>
                <w:rFonts w:cs="Arial"/>
              </w:rPr>
            </w:pPr>
            <w:r w:rsidRPr="005D4222">
              <w:t>Some Other Race.</w:t>
            </w:r>
          </w:p>
        </w:tc>
      </w:tr>
      <w:tr w:rsidR="002E3983" w:rsidRPr="005D4222" w14:paraId="26804EF4" w14:textId="77777777" w:rsidTr="002E3983">
        <w:tc>
          <w:tcPr>
            <w:tcW w:w="197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770F5C76" w14:textId="77777777" w:rsidR="002E3983" w:rsidRPr="005D4222" w:rsidRDefault="002E3983" w:rsidP="00A53E8C">
            <w:pPr>
              <w:pStyle w:val="ECDSMarginSubhead"/>
            </w:pPr>
          </w:p>
        </w:tc>
        <w:tc>
          <w:tcPr>
            <w:tcW w:w="7740"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tcPr>
          <w:p w14:paraId="728C731E" w14:textId="77777777" w:rsidR="002E3983" w:rsidRPr="005D4222" w:rsidRDefault="002E3983" w:rsidP="002E3983">
            <w:pPr>
              <w:pStyle w:val="Bullet"/>
              <w:numPr>
                <w:ilvl w:val="0"/>
                <w:numId w:val="4"/>
              </w:numPr>
              <w:tabs>
                <w:tab w:val="left" w:pos="360"/>
                <w:tab w:val="left" w:pos="576"/>
              </w:tabs>
              <w:spacing w:after="80"/>
              <w:ind w:left="576" w:hanging="216"/>
              <w:rPr>
                <w:rFonts w:cs="Arial"/>
              </w:rPr>
            </w:pPr>
            <w:r w:rsidRPr="005D4222">
              <w:t>Two or More Races.</w:t>
            </w:r>
          </w:p>
          <w:p w14:paraId="235B12FB" w14:textId="77777777" w:rsidR="002E3983" w:rsidRPr="005D4222" w:rsidRDefault="002E3983" w:rsidP="002E3983">
            <w:pPr>
              <w:pStyle w:val="Bullet"/>
              <w:numPr>
                <w:ilvl w:val="0"/>
                <w:numId w:val="4"/>
              </w:numPr>
              <w:tabs>
                <w:tab w:val="left" w:pos="360"/>
                <w:tab w:val="left" w:pos="576"/>
              </w:tabs>
              <w:spacing w:after="80"/>
              <w:ind w:left="576" w:hanging="216"/>
              <w:rPr>
                <w:rFonts w:cs="Arial"/>
              </w:rPr>
            </w:pPr>
            <w:r w:rsidRPr="005D4222">
              <w:t>Asked But No Answer.</w:t>
            </w:r>
          </w:p>
          <w:p w14:paraId="77F3E140" w14:textId="77777777" w:rsidR="002E3983" w:rsidRPr="005D4222" w:rsidRDefault="002E3983" w:rsidP="002E3983">
            <w:pPr>
              <w:pStyle w:val="Bullet"/>
              <w:numPr>
                <w:ilvl w:val="0"/>
                <w:numId w:val="4"/>
              </w:numPr>
              <w:tabs>
                <w:tab w:val="left" w:pos="360"/>
                <w:tab w:val="left" w:pos="576"/>
              </w:tabs>
              <w:ind w:left="576" w:hanging="216"/>
            </w:pPr>
            <w:r w:rsidRPr="005D4222">
              <w:t>Unknown.</w:t>
            </w:r>
          </w:p>
          <w:p w14:paraId="62154BAF" w14:textId="73C38992" w:rsidR="002E3983" w:rsidRPr="005D4222" w:rsidRDefault="002E3983" w:rsidP="00A53E8C">
            <w:pPr>
              <w:pStyle w:val="ECDSBody"/>
            </w:pPr>
            <w:r w:rsidRPr="005D4222">
              <w:t xml:space="preserve">Ethnicity. (Refer to </w:t>
            </w:r>
            <w:hyperlink w:anchor="GG_Race_and_Ethnicity" w:history="1">
              <w:r w:rsidRPr="005D4222">
                <w:rPr>
                  <w:rStyle w:val="Hyperlink"/>
                  <w:i/>
                  <w:iCs/>
                </w:rPr>
                <w:t>General Guideline: Race and Ethnicity Stratification</w:t>
              </w:r>
            </w:hyperlink>
            <w:r w:rsidRPr="005D4222">
              <w:t>.)</w:t>
            </w:r>
          </w:p>
          <w:p w14:paraId="66056717" w14:textId="77777777" w:rsidR="002E3983" w:rsidRPr="005D4222" w:rsidRDefault="002E3983" w:rsidP="002E3983">
            <w:pPr>
              <w:pStyle w:val="Bullet"/>
              <w:numPr>
                <w:ilvl w:val="0"/>
                <w:numId w:val="4"/>
              </w:numPr>
              <w:tabs>
                <w:tab w:val="left" w:pos="360"/>
                <w:tab w:val="left" w:pos="576"/>
              </w:tabs>
              <w:ind w:left="576" w:hanging="216"/>
            </w:pPr>
            <w:r w:rsidRPr="005D4222">
              <w:t>Hispanic or Latino.</w:t>
            </w:r>
          </w:p>
          <w:p w14:paraId="7850DA7C" w14:textId="77777777" w:rsidR="002E3983" w:rsidRPr="005D4222" w:rsidRDefault="002E3983" w:rsidP="002E3983">
            <w:pPr>
              <w:pStyle w:val="Bullet"/>
              <w:numPr>
                <w:ilvl w:val="0"/>
                <w:numId w:val="4"/>
              </w:numPr>
              <w:tabs>
                <w:tab w:val="left" w:pos="360"/>
                <w:tab w:val="left" w:pos="576"/>
              </w:tabs>
              <w:ind w:left="576" w:hanging="216"/>
            </w:pPr>
            <w:r w:rsidRPr="005D4222">
              <w:t>Not Hispanic or Latino.</w:t>
            </w:r>
          </w:p>
          <w:p w14:paraId="50DAADEC" w14:textId="77777777" w:rsidR="002E3983" w:rsidRPr="005D4222" w:rsidRDefault="002E3983" w:rsidP="002E3983">
            <w:pPr>
              <w:pStyle w:val="Bullet"/>
              <w:numPr>
                <w:ilvl w:val="0"/>
                <w:numId w:val="4"/>
              </w:numPr>
              <w:tabs>
                <w:tab w:val="left" w:pos="360"/>
                <w:tab w:val="left" w:pos="576"/>
              </w:tabs>
              <w:ind w:left="576" w:hanging="216"/>
            </w:pPr>
            <w:r w:rsidRPr="005D4222">
              <w:t>Asked But No Answer.</w:t>
            </w:r>
          </w:p>
          <w:p w14:paraId="704F1FB5" w14:textId="77777777" w:rsidR="002E3983" w:rsidRPr="005D4222" w:rsidRDefault="002E3983" w:rsidP="002E3983">
            <w:pPr>
              <w:pStyle w:val="Bullet"/>
              <w:numPr>
                <w:ilvl w:val="0"/>
                <w:numId w:val="4"/>
              </w:numPr>
              <w:tabs>
                <w:tab w:val="left" w:pos="360"/>
                <w:tab w:val="left" w:pos="576"/>
              </w:tabs>
              <w:ind w:left="576" w:hanging="216"/>
            </w:pPr>
            <w:r w:rsidRPr="005D4222">
              <w:t>Unknown.</w:t>
            </w:r>
          </w:p>
        </w:tc>
      </w:tr>
      <w:tr w:rsidR="002E3983" w:rsidRPr="005D4222" w14:paraId="7F55EC3E" w14:textId="77777777" w:rsidTr="002E3983">
        <w:tc>
          <w:tcPr>
            <w:tcW w:w="1977" w:type="dxa"/>
            <w:tcBorders>
              <w:top w:val="nil"/>
              <w:left w:val="single" w:sz="4" w:space="0" w:color="auto"/>
              <w:bottom w:val="nil"/>
              <w:right w:val="single" w:sz="4" w:space="0" w:color="auto"/>
            </w:tcBorders>
            <w:tcMar>
              <w:top w:w="0" w:type="dxa"/>
              <w:left w:w="86" w:type="dxa"/>
              <w:bottom w:w="43" w:type="dxa"/>
              <w:right w:w="86" w:type="dxa"/>
            </w:tcMar>
          </w:tcPr>
          <w:p w14:paraId="2361A535" w14:textId="77777777" w:rsidR="002E3983" w:rsidRPr="005D4222" w:rsidRDefault="002E3983" w:rsidP="002E3983">
            <w:pPr>
              <w:pStyle w:val="ECDSMarginSubhead"/>
              <w:spacing w:after="0"/>
            </w:pPr>
            <w:r w:rsidRPr="005D4222">
              <w:t>Risk adjustment</w:t>
            </w:r>
          </w:p>
        </w:tc>
        <w:tc>
          <w:tcPr>
            <w:tcW w:w="7740"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740BAF6D" w14:textId="77777777" w:rsidR="002E3983" w:rsidRPr="005D4222" w:rsidRDefault="002E3983" w:rsidP="002E3983">
            <w:pPr>
              <w:pStyle w:val="ECDSBody"/>
              <w:spacing w:after="0"/>
            </w:pPr>
            <w:r w:rsidRPr="005D4222">
              <w:t>None.</w:t>
            </w:r>
          </w:p>
        </w:tc>
      </w:tr>
      <w:tr w:rsidR="002E3983" w:rsidRPr="005D4222" w14:paraId="73B1A2B1" w14:textId="77777777" w:rsidTr="002E3983">
        <w:tc>
          <w:tcPr>
            <w:tcW w:w="1977" w:type="dxa"/>
            <w:tcBorders>
              <w:top w:val="nil"/>
              <w:left w:val="single" w:sz="4" w:space="0" w:color="auto"/>
              <w:bottom w:val="nil"/>
              <w:right w:val="single" w:sz="4" w:space="0" w:color="auto"/>
            </w:tcBorders>
            <w:tcMar>
              <w:top w:w="0" w:type="dxa"/>
              <w:left w:w="86" w:type="dxa"/>
              <w:bottom w:w="43" w:type="dxa"/>
              <w:right w:w="86" w:type="dxa"/>
            </w:tcMar>
          </w:tcPr>
          <w:p w14:paraId="1E550C46" w14:textId="77777777" w:rsidR="002E3983" w:rsidRPr="005D4222" w:rsidRDefault="002E3983" w:rsidP="002E3983">
            <w:pPr>
              <w:pStyle w:val="ECDSMarginSubhead"/>
              <w:spacing w:after="0"/>
            </w:pPr>
            <w:r w:rsidRPr="005D4222">
              <w:t>Improvement notation</w:t>
            </w:r>
          </w:p>
        </w:tc>
        <w:tc>
          <w:tcPr>
            <w:tcW w:w="7740"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3FC495BF" w14:textId="77777777" w:rsidR="002E3983" w:rsidRPr="005D4222" w:rsidRDefault="002E3983" w:rsidP="002E3983">
            <w:pPr>
              <w:pStyle w:val="ECDSBody"/>
              <w:spacing w:after="0"/>
            </w:pPr>
            <w:r w:rsidRPr="005D4222">
              <w:t>Increased score indicates improvement.</w:t>
            </w:r>
          </w:p>
        </w:tc>
      </w:tr>
      <w:tr w:rsidR="002E3983" w:rsidRPr="005D4222" w14:paraId="2D6BD068" w14:textId="77777777" w:rsidTr="002E3983">
        <w:trPr>
          <w:trHeight w:val="633"/>
        </w:trPr>
        <w:tc>
          <w:tcPr>
            <w:tcW w:w="197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00BB4622" w14:textId="77777777" w:rsidR="002E3983" w:rsidRPr="005D4222" w:rsidRDefault="002E3983" w:rsidP="00A53E8C">
            <w:pPr>
              <w:pStyle w:val="ECDSMarginSubhead"/>
            </w:pPr>
            <w:r w:rsidRPr="005D4222">
              <w:t>Guidance</w:t>
            </w:r>
          </w:p>
        </w:tc>
        <w:tc>
          <w:tcPr>
            <w:tcW w:w="7740"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2B7E3422" w14:textId="36401DE4" w:rsidR="002E3983" w:rsidRPr="005D4222" w:rsidRDefault="002E3983" w:rsidP="00A53E8C">
            <w:pPr>
              <w:pStyle w:val="ECDSBody"/>
            </w:pPr>
            <w:r w:rsidRPr="005D4222">
              <w:rPr>
                <w:b/>
              </w:rPr>
              <w:t>Data collection methodology</w:t>
            </w:r>
            <w:r w:rsidRPr="005D4222">
              <w:rPr>
                <w:b/>
                <w:bCs w:val="0"/>
              </w:rPr>
              <w:t>:</w:t>
            </w:r>
            <w:r w:rsidRPr="005D4222">
              <w:t xml:space="preserve"> Administrative. Refer to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23A2D585" w14:textId="77777777" w:rsidR="002E3983" w:rsidRPr="005D4222" w:rsidRDefault="002E3983" w:rsidP="00A53E8C">
            <w:pPr>
              <w:pStyle w:val="ECDSBody"/>
            </w:pPr>
            <w:r w:rsidRPr="005D4222">
              <w:rPr>
                <w:b/>
              </w:rPr>
              <w:t xml:space="preserve">Date specificity: </w:t>
            </w:r>
            <w:r w:rsidRPr="005D4222">
              <w:t xml:space="preserve">Dates must be specific enough to determine the event occurred in the period being measured. </w:t>
            </w:r>
          </w:p>
          <w:p w14:paraId="38E61424" w14:textId="77777777" w:rsidR="002E3983" w:rsidRPr="005D4222" w:rsidRDefault="002E3983" w:rsidP="00A53E8C">
            <w:pPr>
              <w:pStyle w:val="ECDSBody"/>
            </w:pPr>
            <w:r w:rsidRPr="005D4222">
              <w:rPr>
                <w:b/>
              </w:rPr>
              <w:t xml:space="preserve">Which services count? </w:t>
            </w:r>
            <w:r w:rsidRPr="005D4222">
              <w:t>When using claims, include all paid, suspended, pending and denied claims.</w:t>
            </w:r>
          </w:p>
          <w:p w14:paraId="6D9F697A" w14:textId="77777777" w:rsidR="002E3983" w:rsidRPr="005D4222" w:rsidRDefault="002E3983" w:rsidP="00A53E8C">
            <w:pPr>
              <w:pStyle w:val="ECDSBody"/>
            </w:pPr>
            <w:r w:rsidRPr="005D4222">
              <w:rPr>
                <w:b/>
              </w:rPr>
              <w:t>Other guidance:</w:t>
            </w:r>
          </w:p>
          <w:p w14:paraId="179E5EEA" w14:textId="2CC6DA49" w:rsidR="002E3983" w:rsidRPr="005D4222" w:rsidRDefault="002E3983" w:rsidP="002E3983">
            <w:pPr>
              <w:pStyle w:val="ProcessBullet"/>
              <w:tabs>
                <w:tab w:val="left" w:pos="216"/>
              </w:tabs>
              <w:rPr>
                <w:i/>
                <w:iCs/>
              </w:rPr>
            </w:pPr>
            <w:r w:rsidRPr="005D4222">
              <w:t xml:space="preserve">Refer to </w:t>
            </w:r>
            <w:hyperlink w:anchor="Appendix_1" w:history="1">
              <w:r w:rsidRPr="005D4222">
                <w:rPr>
                  <w:rStyle w:val="Hyperlink"/>
                </w:rPr>
                <w:t>Appendix 1</w:t>
              </w:r>
            </w:hyperlink>
            <w:r w:rsidRPr="005D4222">
              <w:t xml:space="preserve"> for the definition of </w:t>
            </w:r>
            <w:r w:rsidRPr="005D4222">
              <w:rPr>
                <w:i/>
                <w:iCs/>
              </w:rPr>
              <w:t xml:space="preserve">PCP </w:t>
            </w:r>
            <w:r w:rsidRPr="005D4222">
              <w:t xml:space="preserve">and </w:t>
            </w:r>
            <w:r w:rsidRPr="005D4222">
              <w:rPr>
                <w:i/>
                <w:iCs/>
              </w:rPr>
              <w:t>OB/GYN and other prenatal care practitioner.</w:t>
            </w:r>
          </w:p>
          <w:p w14:paraId="31ABF892" w14:textId="77777777" w:rsidR="002E3983" w:rsidRPr="005D4222" w:rsidRDefault="002E3983" w:rsidP="002E3983">
            <w:pPr>
              <w:pStyle w:val="ProcessBullet"/>
              <w:tabs>
                <w:tab w:val="left" w:pos="216"/>
              </w:tabs>
              <w:spacing w:after="80"/>
              <w:rPr>
                <w:rFonts w:cs="Arial"/>
              </w:rPr>
            </w:pPr>
            <w:r w:rsidRPr="005D4222">
              <w:t>The well-care visit must occur with a PCP or an OB/GYN practitioner, but the practitioner does not have to be the practitioner assigned to the child/ adolescent.</w:t>
            </w:r>
          </w:p>
        </w:tc>
      </w:tr>
      <w:tr w:rsidR="002E3983" w:rsidRPr="005D4222" w14:paraId="1DF89625" w14:textId="77777777" w:rsidTr="002E3983">
        <w:tc>
          <w:tcPr>
            <w:tcW w:w="9717" w:type="dxa"/>
            <w:gridSpan w:val="4"/>
            <w:tcBorders>
              <w:top w:val="single" w:sz="4" w:space="0" w:color="auto"/>
              <w:bottom w:val="nil"/>
            </w:tcBorders>
            <w:shd w:val="clear" w:color="auto" w:fill="BFBFBF" w:themeFill="background1" w:themeFillShade="BF"/>
            <w:tcMar>
              <w:top w:w="0" w:type="dxa"/>
              <w:left w:w="86" w:type="dxa"/>
              <w:bottom w:w="43" w:type="dxa"/>
              <w:right w:w="86" w:type="dxa"/>
            </w:tcMar>
          </w:tcPr>
          <w:p w14:paraId="1C26F7AE" w14:textId="77777777" w:rsidR="002E3983" w:rsidRPr="005D4222" w:rsidRDefault="002E3983" w:rsidP="00A53E8C">
            <w:pPr>
              <w:pStyle w:val="ECDSMarginHead"/>
            </w:pPr>
            <w:r w:rsidRPr="005D4222">
              <w:t xml:space="preserve">Definitions </w:t>
            </w:r>
          </w:p>
        </w:tc>
      </w:tr>
      <w:tr w:rsidR="002E3983" w:rsidRPr="005D4222" w14:paraId="216B3567" w14:textId="77777777" w:rsidTr="002E3983">
        <w:trPr>
          <w:trHeight w:val="320"/>
        </w:trPr>
        <w:tc>
          <w:tcPr>
            <w:tcW w:w="1977" w:type="dxa"/>
            <w:shd w:val="clear" w:color="auto" w:fill="BFBFBF" w:themeFill="background1" w:themeFillShade="BF"/>
            <w:tcMar>
              <w:top w:w="0" w:type="dxa"/>
              <w:left w:w="86" w:type="dxa"/>
              <w:bottom w:w="43" w:type="dxa"/>
              <w:right w:w="86" w:type="dxa"/>
            </w:tcMar>
          </w:tcPr>
          <w:p w14:paraId="64A4CB4D" w14:textId="77777777" w:rsidR="002E3983" w:rsidRPr="005D4222" w:rsidRDefault="002E3983" w:rsidP="00A53E8C">
            <w:pPr>
              <w:pStyle w:val="ECDSMarginHead"/>
            </w:pPr>
            <w:r w:rsidRPr="005D4222">
              <w:t>Initial population</w:t>
            </w:r>
          </w:p>
        </w:tc>
        <w:tc>
          <w:tcPr>
            <w:tcW w:w="7740"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1183C37" w14:textId="77777777" w:rsidR="002E3983" w:rsidRPr="005D4222" w:rsidRDefault="002E3983" w:rsidP="00A53E8C">
            <w:pPr>
              <w:pStyle w:val="ECDSBody"/>
            </w:pPr>
            <w:r w:rsidRPr="005D4222">
              <w:rPr>
                <w:i/>
                <w:iCs/>
              </w:rPr>
              <w:t>Measure item count:</w:t>
            </w:r>
            <w:r w:rsidRPr="005D4222">
              <w:t xml:space="preserve"> Person.</w:t>
            </w:r>
          </w:p>
          <w:p w14:paraId="39CACB65" w14:textId="77777777" w:rsidR="002E3983" w:rsidRPr="005D4222" w:rsidRDefault="002E3983" w:rsidP="00A53E8C">
            <w:pPr>
              <w:pStyle w:val="ECDSBody"/>
            </w:pPr>
            <w:r w:rsidRPr="005D4222">
              <w:rPr>
                <w:i/>
                <w:iCs/>
              </w:rPr>
              <w:t>Attribution basis:</w:t>
            </w:r>
            <w:r w:rsidRPr="005D4222">
              <w:t xml:space="preserve"> Enrollment.</w:t>
            </w:r>
          </w:p>
          <w:p w14:paraId="33E9AB1F" w14:textId="77777777" w:rsidR="002E3983" w:rsidRPr="005D4222" w:rsidRDefault="002E3983" w:rsidP="002E3983">
            <w:pPr>
              <w:pStyle w:val="Bullet"/>
              <w:numPr>
                <w:ilvl w:val="0"/>
                <w:numId w:val="4"/>
              </w:numPr>
              <w:tabs>
                <w:tab w:val="left" w:pos="360"/>
                <w:tab w:val="left" w:pos="576"/>
              </w:tabs>
              <w:ind w:left="576" w:hanging="216"/>
            </w:pPr>
            <w:r w:rsidRPr="005D4222">
              <w:rPr>
                <w:i/>
                <w:iCs/>
              </w:rPr>
              <w:t>Benefits:</w:t>
            </w:r>
            <w:r w:rsidRPr="005D4222">
              <w:t xml:space="preserve"> Medical.</w:t>
            </w:r>
          </w:p>
          <w:p w14:paraId="26569E67" w14:textId="77777777" w:rsidR="002E3983" w:rsidRPr="005D4222" w:rsidRDefault="002E3983" w:rsidP="002E3983">
            <w:pPr>
              <w:pStyle w:val="Bullet"/>
              <w:numPr>
                <w:ilvl w:val="0"/>
                <w:numId w:val="4"/>
              </w:numPr>
              <w:tabs>
                <w:tab w:val="left" w:pos="360"/>
                <w:tab w:val="left" w:pos="576"/>
              </w:tabs>
              <w:ind w:left="576" w:hanging="216"/>
            </w:pPr>
            <w:r w:rsidRPr="005D4222">
              <w:rPr>
                <w:i/>
                <w:iCs/>
              </w:rPr>
              <w:t>Continuous enrollment:</w:t>
            </w:r>
            <w:r w:rsidRPr="005D4222">
              <w:t xml:space="preserve"> The measurement period.</w:t>
            </w:r>
          </w:p>
          <w:p w14:paraId="64079C99" w14:textId="7CFD94FA" w:rsidR="002E3983" w:rsidRPr="005D4222" w:rsidRDefault="002E3983" w:rsidP="002E3983">
            <w:pPr>
              <w:pStyle w:val="Bullet"/>
              <w:numPr>
                <w:ilvl w:val="0"/>
                <w:numId w:val="4"/>
              </w:numPr>
              <w:tabs>
                <w:tab w:val="left" w:pos="360"/>
                <w:tab w:val="left" w:pos="576"/>
              </w:tabs>
              <w:ind w:left="576" w:hanging="216"/>
            </w:pPr>
            <w:r w:rsidRPr="005D4222">
              <w:rPr>
                <w:i/>
                <w:iCs/>
              </w:rPr>
              <w:t>Allowable gap:</w:t>
            </w:r>
            <w:r w:rsidRPr="005D4222">
              <w:t xml:space="preserve"> No more than one gap of ≤45 days during the measurement period. No gaps on the last day of the measurement period.</w:t>
            </w:r>
          </w:p>
          <w:p w14:paraId="130F88DB" w14:textId="59B889A5" w:rsidR="002E3983" w:rsidRPr="005D4222" w:rsidRDefault="002E3983" w:rsidP="00A53E8C">
            <w:pPr>
              <w:pStyle w:val="ECDSBody"/>
            </w:pPr>
            <w:r w:rsidRPr="005D4222">
              <w:rPr>
                <w:i/>
                <w:iCs/>
              </w:rPr>
              <w:t>Ages:</w:t>
            </w:r>
            <w:r w:rsidRPr="005D4222">
              <w:t xml:space="preserve"> 3–21 years </w:t>
            </w:r>
            <w:r w:rsidR="00C537E3" w:rsidRPr="005D4222">
              <w:t xml:space="preserve">of age </w:t>
            </w:r>
            <w:r w:rsidRPr="005D4222">
              <w:t>as of the last day of the measurement period.</w:t>
            </w:r>
          </w:p>
          <w:p w14:paraId="5601E2EB" w14:textId="77777777" w:rsidR="002E3983" w:rsidRPr="005D4222" w:rsidRDefault="002E3983" w:rsidP="00A53E8C">
            <w:pPr>
              <w:pStyle w:val="ECDSBody"/>
            </w:pPr>
            <w:r w:rsidRPr="005D4222">
              <w:rPr>
                <w:i/>
                <w:iCs/>
              </w:rPr>
              <w:t>Event:</w:t>
            </w:r>
            <w:r w:rsidRPr="005D4222">
              <w:t xml:space="preserve"> None.</w:t>
            </w:r>
          </w:p>
        </w:tc>
      </w:tr>
      <w:tr w:rsidR="002E3983" w:rsidRPr="005D4222" w14:paraId="1D13DF3C" w14:textId="77777777" w:rsidTr="002E3983">
        <w:tc>
          <w:tcPr>
            <w:tcW w:w="197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8EC76B4" w14:textId="77777777" w:rsidR="002E3983" w:rsidRPr="005D4222" w:rsidRDefault="002E3983" w:rsidP="00A53E8C">
            <w:pPr>
              <w:pStyle w:val="ECDSMarginHead"/>
            </w:pPr>
            <w:r w:rsidRPr="005D4222">
              <w:t xml:space="preserve">Denominator exclusions </w:t>
            </w:r>
          </w:p>
        </w:tc>
        <w:tc>
          <w:tcPr>
            <w:tcW w:w="7740"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12929968" w14:textId="77777777" w:rsidR="002E3983" w:rsidRPr="005D4222" w:rsidRDefault="002E3983" w:rsidP="00A53E8C">
            <w:pPr>
              <w:pStyle w:val="ECDSBody"/>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tc>
      </w:tr>
    </w:tbl>
    <w:p w14:paraId="0C562947" w14:textId="77777777" w:rsidR="002E3983" w:rsidRPr="005D4222" w:rsidRDefault="002E3983" w:rsidP="002E3983">
      <w:pPr>
        <w:spacing w:after="160" w:line="259" w:lineRule="auto"/>
      </w:pPr>
      <w:r w:rsidRPr="005D4222">
        <w:br w:type="page"/>
      </w:r>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60"/>
      </w:tblGrid>
      <w:tr w:rsidR="002E3983" w:rsidRPr="005D4222" w14:paraId="600695E3" w14:textId="77777777" w:rsidTr="00A53E8C">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07A3586" w14:textId="77777777" w:rsidR="002E3983" w:rsidRPr="005D4222" w:rsidRDefault="002E3983" w:rsidP="00A53E8C">
            <w:pPr>
              <w:pStyle w:val="ECDSMarginHead"/>
            </w:pP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4B644061" w14:textId="77777777" w:rsidR="002E3983" w:rsidRPr="005D4222" w:rsidRDefault="002E3983" w:rsidP="00A53E8C">
            <w:pPr>
              <w:pStyle w:val="ECDSBody"/>
              <w:rPr>
                <w:b/>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2E3983" w:rsidRPr="005D4222" w14:paraId="7ABAE760" w14:textId="77777777" w:rsidTr="00A53E8C">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7B11EB2" w14:textId="77777777" w:rsidR="002E3983" w:rsidRPr="005D4222" w:rsidRDefault="002E3983" w:rsidP="00A53E8C">
            <w:pPr>
              <w:pStyle w:val="ECDSMarginHead"/>
            </w:pPr>
            <w:r w:rsidRPr="005D4222">
              <w:t>Denominator</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0F38ED2" w14:textId="77777777" w:rsidR="002E3983" w:rsidRPr="005D4222" w:rsidRDefault="002E3983" w:rsidP="00A53E8C">
            <w:pPr>
              <w:pStyle w:val="ECDSBody"/>
              <w:rPr>
                <w:color w:val="000000" w:themeColor="text1"/>
                <w:szCs w:val="21"/>
              </w:rPr>
            </w:pPr>
            <w:r w:rsidRPr="005D4222">
              <w:rPr>
                <w:rFonts w:eastAsia="Arial,Arial,Arial,Arial,Arial,A"/>
              </w:rPr>
              <w:t>The initial population minus denominator exclusions.</w:t>
            </w:r>
          </w:p>
        </w:tc>
      </w:tr>
      <w:tr w:rsidR="002E3983" w:rsidRPr="005D4222" w14:paraId="4D8FF7E7" w14:textId="77777777" w:rsidTr="00A53E8C">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F4B4CF3" w14:textId="77777777" w:rsidR="002E3983" w:rsidRPr="005D4222" w:rsidRDefault="002E3983" w:rsidP="00A53E8C">
            <w:pPr>
              <w:pStyle w:val="ECDSMarginHead"/>
            </w:pPr>
            <w:r w:rsidRPr="005D4222">
              <w:t>Numerator</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36D408E1" w14:textId="77777777" w:rsidR="002E3983" w:rsidRPr="005D4222" w:rsidRDefault="002E3983" w:rsidP="00A53E8C">
            <w:pPr>
              <w:pStyle w:val="ECDSBody"/>
              <w:spacing w:after="0"/>
            </w:pPr>
            <w:r w:rsidRPr="005D4222">
              <w:rPr>
                <w:b/>
                <w:bCs w:val="0"/>
              </w:rPr>
              <w:t xml:space="preserve">Persons who had one or more well-care visits during the measurement period with </w:t>
            </w:r>
            <w:r w:rsidRPr="005D4222">
              <w:rPr>
                <w:b/>
              </w:rPr>
              <w:t>a</w:t>
            </w:r>
            <w:r w:rsidRPr="005D4222">
              <w:rPr>
                <w:b/>
                <w:bCs w:val="0"/>
              </w:rPr>
              <w:t xml:space="preserve"> PCP or OB/GYN practitioner.</w:t>
            </w:r>
            <w:r w:rsidRPr="005D4222">
              <w:rPr>
                <w:b/>
                <w:bCs w:val="0"/>
              </w:rPr>
              <w:br/>
            </w:r>
            <w:r w:rsidRPr="005D4222">
              <w:t>Either of the following meet criteria:</w:t>
            </w:r>
          </w:p>
          <w:p w14:paraId="7F656A4A" w14:textId="77777777" w:rsidR="002E3983" w:rsidRPr="005D4222" w:rsidRDefault="002E3983" w:rsidP="002E3983">
            <w:pPr>
              <w:pStyle w:val="Bullet"/>
              <w:numPr>
                <w:ilvl w:val="0"/>
                <w:numId w:val="4"/>
              </w:numPr>
              <w:tabs>
                <w:tab w:val="left" w:pos="360"/>
                <w:tab w:val="left" w:pos="576"/>
              </w:tabs>
              <w:ind w:left="576" w:hanging="216"/>
            </w:pPr>
            <w:r w:rsidRPr="005D4222">
              <w:t>A well-care visit (</w:t>
            </w:r>
            <w:r w:rsidRPr="005D4222">
              <w:rPr>
                <w:u w:val="single"/>
              </w:rPr>
              <w:t>Well Care Visit Value Set</w:t>
            </w:r>
            <w:r w:rsidRPr="005D4222">
              <w:t>).</w:t>
            </w:r>
          </w:p>
          <w:p w14:paraId="70AB8ED1" w14:textId="77777777" w:rsidR="002E3983" w:rsidRPr="005D4222" w:rsidDel="004321DC" w:rsidRDefault="002E3983" w:rsidP="002E3983">
            <w:pPr>
              <w:pStyle w:val="Bullet"/>
              <w:numPr>
                <w:ilvl w:val="0"/>
                <w:numId w:val="4"/>
              </w:numPr>
              <w:tabs>
                <w:tab w:val="left" w:pos="360"/>
                <w:tab w:val="left" w:pos="576"/>
              </w:tabs>
              <w:ind w:left="576" w:hanging="216"/>
            </w:pPr>
            <w:r w:rsidRPr="005D4222">
              <w:t>An encounter for well-care (</w:t>
            </w:r>
            <w:r w:rsidRPr="005D4222">
              <w:rPr>
                <w:u w:val="single"/>
              </w:rPr>
              <w:t>Encounter for Well Care Value Set</w:t>
            </w:r>
            <w:r w:rsidRPr="005D4222">
              <w:t>*).</w:t>
            </w:r>
          </w:p>
          <w:p w14:paraId="0092E489" w14:textId="77777777" w:rsidR="002E3983" w:rsidRPr="005D4222" w:rsidRDefault="002E3983" w:rsidP="00A53E8C">
            <w:pPr>
              <w:pStyle w:val="ECDSBody"/>
            </w:pPr>
            <w:r w:rsidRPr="005D4222">
              <w:t xml:space="preserve">Do not include telehealth visits (visits billed with a code that indicates telehealth: </w:t>
            </w:r>
            <w:r w:rsidRPr="005D4222">
              <w:rPr>
                <w:u w:val="single"/>
              </w:rPr>
              <w:t>Telehealth POS Value Set</w:t>
            </w:r>
            <w:r w:rsidRPr="005D4222">
              <w:t xml:space="preserve">; </w:t>
            </w:r>
            <w:r w:rsidRPr="005D4222">
              <w:rPr>
                <w:u w:val="single"/>
              </w:rPr>
              <w:t>Online Assessments Value Set</w:t>
            </w:r>
            <w:r w:rsidRPr="005D4222">
              <w:t xml:space="preserve">; </w:t>
            </w:r>
            <w:r w:rsidRPr="005D4222">
              <w:rPr>
                <w:u w:val="single"/>
              </w:rPr>
              <w:t>Telephone Visits Value Set</w:t>
            </w:r>
            <w:r w:rsidRPr="005D4222">
              <w:t>).</w:t>
            </w:r>
          </w:p>
          <w:p w14:paraId="1E5611F2" w14:textId="77777777" w:rsidR="002E3983" w:rsidRPr="005D4222" w:rsidRDefault="002E3983" w:rsidP="00A53E8C">
            <w:pPr>
              <w:pStyle w:val="ECDSBody"/>
              <w:spacing w:after="0"/>
              <w:rPr>
                <w:rFonts w:eastAsia="Arial,Arial,Arial,Arial,Arial,A"/>
                <w:b/>
              </w:rPr>
            </w:pPr>
            <w:r w:rsidRPr="005D4222">
              <w:rPr>
                <w:rFonts w:eastAsia="Arial,Arial,Arial,Arial,Arial,A"/>
                <w:b/>
              </w:rPr>
              <w:t>Coding Guidance</w:t>
            </w:r>
          </w:p>
          <w:p w14:paraId="66FB30E7" w14:textId="77777777" w:rsidR="002E3983" w:rsidRPr="005D4222" w:rsidRDefault="002E3983" w:rsidP="00A53E8C">
            <w:pPr>
              <w:pStyle w:val="ECDSBody"/>
              <w:spacing w:before="0"/>
              <w:rPr>
                <w:rFonts w:asciiTheme="majorHAnsi" w:eastAsiaTheme="majorEastAsia" w:hAnsiTheme="majorHAnsi"/>
                <w:color w:val="2F5496" w:themeColor="accent1" w:themeShade="BF"/>
              </w:rPr>
            </w:pPr>
            <w:r w:rsidRPr="005D4222">
              <w:rPr>
                <w:rFonts w:eastAsia="Arial,Arial,Arial,Arial,Arial,A"/>
                <w:b/>
              </w:rPr>
              <w:t>*</w:t>
            </w:r>
            <w:r w:rsidRPr="005D4222">
              <w:rPr>
                <w:rFonts w:eastAsia="Arial,Arial,Arial,Arial,Arial,A"/>
              </w:rPr>
              <w:t>Do not include laboratory claims (claims with POS code 81).</w:t>
            </w:r>
          </w:p>
        </w:tc>
      </w:tr>
      <w:tr w:rsidR="002E3983" w:rsidRPr="005D4222" w14:paraId="385B0634"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7264351" w14:textId="77777777" w:rsidR="002E3983" w:rsidRPr="005D4222" w:rsidRDefault="002E3983" w:rsidP="00A53E8C">
            <w:pPr>
              <w:pStyle w:val="ECDSMarginHead"/>
            </w:pPr>
            <w:r w:rsidRPr="005D4222">
              <w:t>Summary of changes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83542FF" w14:textId="77777777" w:rsidR="002E3983" w:rsidRPr="005D4222" w:rsidRDefault="002E3983" w:rsidP="00DA1811">
            <w:pPr>
              <w:pStyle w:val="ProcessBullet"/>
              <w:tabs>
                <w:tab w:val="left" w:pos="216"/>
              </w:tabs>
              <w:spacing w:before="120"/>
              <w:rPr>
                <w:color w:val="000000" w:themeColor="text1"/>
              </w:rPr>
            </w:pPr>
            <w:r w:rsidRPr="005D4222">
              <w:t>Updated the race and ethnicity stratification categories to align with OMB SPD 15 2024.</w:t>
            </w:r>
          </w:p>
          <w:p w14:paraId="21D30B08" w14:textId="7E231EA2" w:rsidR="002E3983" w:rsidRPr="005D4222" w:rsidRDefault="006D4316" w:rsidP="002E3983">
            <w:pPr>
              <w:pStyle w:val="ProcessBullet"/>
              <w:tabs>
                <w:tab w:val="left" w:pos="216"/>
              </w:tabs>
              <w:spacing w:after="80"/>
              <w:rPr>
                <w:color w:val="000000" w:themeColor="text1"/>
              </w:rPr>
            </w:pPr>
            <w:r w:rsidRPr="005D4222">
              <w:t>Added instructions on allowable adjustments to the race and ethnicity stratifications.</w:t>
            </w:r>
          </w:p>
        </w:tc>
      </w:tr>
      <w:tr w:rsidR="002E3983" w:rsidRPr="005D4222" w14:paraId="75E4A3BA"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709D0A2" w14:textId="77777777" w:rsidR="002E3983" w:rsidRPr="005D4222" w:rsidRDefault="002E3983" w:rsidP="00A53E8C">
            <w:pPr>
              <w:pStyle w:val="ECDSMarginHead"/>
            </w:pPr>
            <w:r w:rsidRPr="005D4222">
              <w:t>Data element tables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E95A539" w14:textId="77777777" w:rsidR="002E3983" w:rsidRPr="005D4222" w:rsidRDefault="002E3983" w:rsidP="00A53E8C">
            <w:pPr>
              <w:pStyle w:val="ECDSBody"/>
            </w:pPr>
            <w:r w:rsidRPr="005D4222">
              <w:t>Organizations that submit HEDIS data to NCQA must provide the following data elements.</w:t>
            </w:r>
          </w:p>
          <w:p w14:paraId="7DF07BC2" w14:textId="77777777" w:rsidR="002E3983" w:rsidRPr="005D4222" w:rsidRDefault="002E3983" w:rsidP="00A53E8C">
            <w:pPr>
              <w:pStyle w:val="Heading3"/>
              <w:spacing w:before="120"/>
            </w:pPr>
            <w:r w:rsidRPr="005D4222">
              <w:t>Table WCV-A-1/2: Data Elements for Child and Adolescent Well-Care Visits</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27"/>
              <w:gridCol w:w="810"/>
              <w:gridCol w:w="2431"/>
              <w:gridCol w:w="1710"/>
            </w:tblGrid>
            <w:tr w:rsidR="002E3983" w:rsidRPr="005D4222" w14:paraId="6A7C6978" w14:textId="77777777" w:rsidTr="00A53E8C">
              <w:tc>
                <w:tcPr>
                  <w:tcW w:w="2426"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tcMar>
                    <w:left w:w="58" w:type="dxa"/>
                    <w:right w:w="58" w:type="dxa"/>
                  </w:tcMar>
                  <w:vAlign w:val="bottom"/>
                </w:tcPr>
                <w:p w14:paraId="0DC8ABA7" w14:textId="77777777" w:rsidR="002E3983" w:rsidRPr="005D4222" w:rsidRDefault="002E3983" w:rsidP="00A53E8C">
                  <w:pPr>
                    <w:pStyle w:val="TableHead"/>
                  </w:pPr>
                  <w:r w:rsidRPr="005D4222">
                    <w:t>Metric</w:t>
                  </w:r>
                </w:p>
              </w:tc>
              <w:tc>
                <w:tcPr>
                  <w:tcW w:w="81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58" w:type="dxa"/>
                    <w:right w:w="58" w:type="dxa"/>
                  </w:tcMar>
                  <w:vAlign w:val="bottom"/>
                </w:tcPr>
                <w:p w14:paraId="666DE7FA" w14:textId="77777777" w:rsidR="002E3983" w:rsidRPr="005D4222" w:rsidRDefault="002E3983" w:rsidP="00A53E8C">
                  <w:pPr>
                    <w:pStyle w:val="TableHead"/>
                  </w:pPr>
                  <w:r w:rsidRPr="005D4222">
                    <w:t>Age</w:t>
                  </w:r>
                </w:p>
              </w:tc>
              <w:tc>
                <w:tcPr>
                  <w:tcW w:w="243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58" w:type="dxa"/>
                    <w:right w:w="58" w:type="dxa"/>
                  </w:tcMar>
                  <w:vAlign w:val="bottom"/>
                </w:tcPr>
                <w:p w14:paraId="21695882" w14:textId="77777777" w:rsidR="002E3983" w:rsidRPr="005D4222" w:rsidRDefault="002E3983" w:rsidP="00A53E8C">
                  <w:pPr>
                    <w:pStyle w:val="TableHead"/>
                  </w:pPr>
                  <w:r w:rsidRPr="005D4222">
                    <w:t>Data Element</w:t>
                  </w:r>
                </w:p>
              </w:tc>
              <w:tc>
                <w:tcPr>
                  <w:tcW w:w="1709"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tcMar>
                    <w:left w:w="58" w:type="dxa"/>
                    <w:right w:w="58" w:type="dxa"/>
                  </w:tcMar>
                  <w:vAlign w:val="bottom"/>
                </w:tcPr>
                <w:p w14:paraId="61754246" w14:textId="77777777" w:rsidR="002E3983" w:rsidRPr="005D4222" w:rsidRDefault="002E3983" w:rsidP="00A53E8C">
                  <w:pPr>
                    <w:pStyle w:val="TableHead"/>
                  </w:pPr>
                  <w:r w:rsidRPr="005D4222">
                    <w:t>Reporting Instructions</w:t>
                  </w:r>
                </w:p>
              </w:tc>
            </w:tr>
            <w:tr w:rsidR="002E3983" w:rsidRPr="005D4222" w14:paraId="590E48D0" w14:textId="77777777" w:rsidTr="00A53E8C">
              <w:tc>
                <w:tcPr>
                  <w:tcW w:w="2426" w:type="dxa"/>
                  <w:tcBorders>
                    <w:top w:val="single" w:sz="4" w:space="0" w:color="000000" w:themeColor="text1"/>
                    <w:left w:val="single" w:sz="4" w:space="0" w:color="auto"/>
                    <w:bottom w:val="single" w:sz="4" w:space="0" w:color="auto"/>
                    <w:right w:val="single" w:sz="4" w:space="0" w:color="auto"/>
                  </w:tcBorders>
                  <w:tcMar>
                    <w:left w:w="58" w:type="dxa"/>
                    <w:right w:w="58" w:type="dxa"/>
                  </w:tcMar>
                </w:tcPr>
                <w:p w14:paraId="41E70BF7" w14:textId="77777777" w:rsidR="002E3983" w:rsidRPr="005D4222" w:rsidRDefault="002E3983" w:rsidP="00A53E8C">
                  <w:pPr>
                    <w:pStyle w:val="TableText"/>
                  </w:pPr>
                  <w:r w:rsidRPr="005D4222">
                    <w:t>ChildAdolescentWellVisits</w:t>
                  </w:r>
                </w:p>
              </w:tc>
              <w:tc>
                <w:tcPr>
                  <w:tcW w:w="810" w:type="dxa"/>
                  <w:tcBorders>
                    <w:top w:val="single" w:sz="4" w:space="0" w:color="000000" w:themeColor="text1"/>
                    <w:left w:val="single" w:sz="4" w:space="0" w:color="auto"/>
                    <w:bottom w:val="single" w:sz="4" w:space="0" w:color="auto"/>
                    <w:right w:val="single" w:sz="4" w:space="0" w:color="auto"/>
                  </w:tcBorders>
                  <w:tcMar>
                    <w:left w:w="58" w:type="dxa"/>
                    <w:right w:w="58" w:type="dxa"/>
                  </w:tcMar>
                </w:tcPr>
                <w:p w14:paraId="57C2E7BC" w14:textId="77777777" w:rsidR="002E3983" w:rsidRPr="005D4222" w:rsidRDefault="002E3983" w:rsidP="00A53E8C">
                  <w:pPr>
                    <w:pStyle w:val="TableText"/>
                  </w:pPr>
                  <w:r w:rsidRPr="005D4222">
                    <w:t>3-11</w:t>
                  </w:r>
                </w:p>
              </w:tc>
              <w:tc>
                <w:tcPr>
                  <w:tcW w:w="2430" w:type="dxa"/>
                  <w:tcBorders>
                    <w:top w:val="single" w:sz="4" w:space="0" w:color="000000" w:themeColor="text1"/>
                    <w:left w:val="single" w:sz="4" w:space="0" w:color="auto"/>
                    <w:bottom w:val="single" w:sz="4" w:space="0" w:color="auto"/>
                    <w:right w:val="single" w:sz="4" w:space="0" w:color="auto"/>
                  </w:tcBorders>
                  <w:tcMar>
                    <w:left w:w="58" w:type="dxa"/>
                    <w:right w:w="58" w:type="dxa"/>
                  </w:tcMar>
                </w:tcPr>
                <w:p w14:paraId="6B40EB70" w14:textId="77777777" w:rsidR="002E3983" w:rsidRPr="005D4222" w:rsidRDefault="002E3983" w:rsidP="00A53E8C">
                  <w:pPr>
                    <w:pStyle w:val="TableText"/>
                  </w:pPr>
                  <w:r w:rsidRPr="005D4222">
                    <w:t xml:space="preserve">InitialPopulation </w:t>
                  </w:r>
                </w:p>
              </w:tc>
              <w:tc>
                <w:tcPr>
                  <w:tcW w:w="1709" w:type="dxa"/>
                  <w:tcBorders>
                    <w:top w:val="single" w:sz="4" w:space="0" w:color="000000" w:themeColor="text1"/>
                    <w:left w:val="single" w:sz="4" w:space="0" w:color="auto"/>
                    <w:bottom w:val="single" w:sz="6" w:space="0" w:color="auto"/>
                    <w:right w:val="single" w:sz="4" w:space="0" w:color="auto"/>
                  </w:tcBorders>
                  <w:tcMar>
                    <w:left w:w="58" w:type="dxa"/>
                    <w:right w:w="58" w:type="dxa"/>
                  </w:tcMar>
                </w:tcPr>
                <w:p w14:paraId="34952737" w14:textId="77777777" w:rsidR="002E3983" w:rsidRPr="005D4222" w:rsidRDefault="002E3983" w:rsidP="00A53E8C">
                  <w:pPr>
                    <w:pStyle w:val="TableText"/>
                    <w:rPr>
                      <w:rFonts w:eastAsia="Wingdings"/>
                    </w:rPr>
                  </w:pPr>
                  <w:r w:rsidRPr="005D4222">
                    <w:rPr>
                      <w:rFonts w:eastAsia="Wingdings"/>
                    </w:rPr>
                    <w:t>For each Stratification</w:t>
                  </w:r>
                </w:p>
              </w:tc>
            </w:tr>
            <w:tr w:rsidR="002E3983" w:rsidRPr="005D4222" w14:paraId="2552F1F0" w14:textId="77777777" w:rsidTr="00A53E8C">
              <w:tc>
                <w:tcPr>
                  <w:tcW w:w="2426" w:type="dxa"/>
                  <w:tcBorders>
                    <w:top w:val="single" w:sz="4" w:space="0" w:color="auto"/>
                    <w:left w:val="nil"/>
                    <w:bottom w:val="nil"/>
                    <w:right w:val="single" w:sz="4" w:space="0" w:color="auto"/>
                  </w:tcBorders>
                  <w:shd w:val="clear" w:color="auto" w:fill="FFFFFF" w:themeFill="background1"/>
                  <w:tcMar>
                    <w:left w:w="58" w:type="dxa"/>
                    <w:right w:w="58" w:type="dxa"/>
                  </w:tcMar>
                </w:tcPr>
                <w:p w14:paraId="140C399E" w14:textId="77777777" w:rsidR="002E3983" w:rsidRPr="005D4222" w:rsidRDefault="002E3983" w:rsidP="00A53E8C">
                  <w:pPr>
                    <w:pStyle w:val="TableText"/>
                  </w:pPr>
                </w:p>
              </w:tc>
              <w:tc>
                <w:tcPr>
                  <w:tcW w:w="81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340B2503" w14:textId="77777777" w:rsidR="002E3983" w:rsidRPr="005D4222" w:rsidRDefault="002E3983" w:rsidP="00A53E8C">
                  <w:pPr>
                    <w:pStyle w:val="TableText"/>
                  </w:pPr>
                  <w:r w:rsidRPr="005D4222">
                    <w:t>12-17</w:t>
                  </w:r>
                </w:p>
              </w:tc>
              <w:tc>
                <w:tcPr>
                  <w:tcW w:w="243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2A97A9ED" w14:textId="77777777" w:rsidR="002E3983" w:rsidRPr="005D4222" w:rsidRDefault="002E3983" w:rsidP="00A53E8C">
                  <w:pPr>
                    <w:pStyle w:val="TableText"/>
                  </w:pPr>
                  <w:r w:rsidRPr="005D4222">
                    <w:t>Exclusions</w:t>
                  </w:r>
                </w:p>
              </w:tc>
              <w:tc>
                <w:tcPr>
                  <w:tcW w:w="1709" w:type="dxa"/>
                  <w:tcBorders>
                    <w:left w:val="single" w:sz="4" w:space="0" w:color="auto"/>
                    <w:right w:val="single" w:sz="4" w:space="0" w:color="auto"/>
                  </w:tcBorders>
                  <w:shd w:val="clear" w:color="auto" w:fill="FFFFFF" w:themeFill="background1"/>
                  <w:tcMar>
                    <w:left w:w="58" w:type="dxa"/>
                    <w:right w:w="58" w:type="dxa"/>
                  </w:tcMar>
                </w:tcPr>
                <w:p w14:paraId="175EA7AA" w14:textId="77777777" w:rsidR="002E3983" w:rsidRPr="005D4222" w:rsidRDefault="002E3983" w:rsidP="00A53E8C">
                  <w:pPr>
                    <w:pStyle w:val="TableText"/>
                    <w:rPr>
                      <w:rFonts w:eastAsia="Wingdings"/>
                    </w:rPr>
                  </w:pPr>
                  <w:r w:rsidRPr="005D4222">
                    <w:rPr>
                      <w:rFonts w:eastAsia="Wingdings"/>
                    </w:rPr>
                    <w:t>For each Stratification</w:t>
                  </w:r>
                </w:p>
              </w:tc>
            </w:tr>
            <w:tr w:rsidR="002E3983" w:rsidRPr="005D4222" w14:paraId="77A5D975" w14:textId="77777777" w:rsidTr="00A53E8C">
              <w:tc>
                <w:tcPr>
                  <w:tcW w:w="2426" w:type="dxa"/>
                  <w:tcBorders>
                    <w:top w:val="nil"/>
                    <w:left w:val="nil"/>
                    <w:bottom w:val="nil"/>
                    <w:right w:val="nil"/>
                  </w:tcBorders>
                  <w:shd w:val="clear" w:color="auto" w:fill="FFFFFF" w:themeFill="background1"/>
                  <w:tcMar>
                    <w:left w:w="58" w:type="dxa"/>
                    <w:right w:w="58" w:type="dxa"/>
                  </w:tcMar>
                </w:tcPr>
                <w:p w14:paraId="7A183B1B" w14:textId="77777777" w:rsidR="002E3983" w:rsidRPr="005D4222" w:rsidRDefault="002E3983" w:rsidP="00A53E8C">
                  <w:pPr>
                    <w:pStyle w:val="TableText"/>
                  </w:pPr>
                </w:p>
              </w:tc>
              <w:tc>
                <w:tcPr>
                  <w:tcW w:w="81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0EA0807C" w14:textId="77777777" w:rsidR="002E3983" w:rsidRPr="005D4222" w:rsidRDefault="002E3983" w:rsidP="00A53E8C">
                  <w:pPr>
                    <w:pStyle w:val="TableText"/>
                  </w:pPr>
                  <w:r w:rsidRPr="005D4222">
                    <w:t>18-21</w:t>
                  </w:r>
                </w:p>
              </w:tc>
              <w:tc>
                <w:tcPr>
                  <w:tcW w:w="243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3E6DCA52" w14:textId="77777777" w:rsidR="002E3983" w:rsidRPr="005D4222" w:rsidRDefault="002E3983" w:rsidP="00A53E8C">
                  <w:pPr>
                    <w:pStyle w:val="TableText"/>
                  </w:pPr>
                  <w:r w:rsidRPr="005D4222">
                    <w:t>Denominator</w:t>
                  </w:r>
                </w:p>
              </w:tc>
              <w:tc>
                <w:tcPr>
                  <w:tcW w:w="1709" w:type="dxa"/>
                  <w:tcBorders>
                    <w:left w:val="single" w:sz="4" w:space="0" w:color="auto"/>
                    <w:bottom w:val="single" w:sz="6" w:space="0" w:color="auto"/>
                    <w:right w:val="single" w:sz="4" w:space="0" w:color="auto"/>
                  </w:tcBorders>
                  <w:shd w:val="clear" w:color="auto" w:fill="FFFFFF" w:themeFill="background1"/>
                  <w:tcMar>
                    <w:left w:w="58" w:type="dxa"/>
                    <w:right w:w="58" w:type="dxa"/>
                  </w:tcMar>
                </w:tcPr>
                <w:p w14:paraId="14F78B40" w14:textId="77777777" w:rsidR="002E3983" w:rsidRPr="005D4222" w:rsidRDefault="002E3983" w:rsidP="00A53E8C">
                  <w:pPr>
                    <w:pStyle w:val="TableText"/>
                    <w:rPr>
                      <w:rFonts w:eastAsia="Wingdings"/>
                    </w:rPr>
                  </w:pPr>
                  <w:r w:rsidRPr="005D4222">
                    <w:rPr>
                      <w:rFonts w:eastAsia="Wingdings"/>
                    </w:rPr>
                    <w:t>For each Stratification</w:t>
                  </w:r>
                </w:p>
              </w:tc>
            </w:tr>
            <w:tr w:rsidR="002E3983" w:rsidRPr="005D4222" w14:paraId="1C4B308E" w14:textId="77777777" w:rsidTr="00A53E8C">
              <w:tc>
                <w:tcPr>
                  <w:tcW w:w="2426" w:type="dxa"/>
                  <w:tcBorders>
                    <w:top w:val="nil"/>
                    <w:left w:val="nil"/>
                    <w:bottom w:val="nil"/>
                    <w:right w:val="nil"/>
                  </w:tcBorders>
                  <w:shd w:val="clear" w:color="auto" w:fill="FFFFFF" w:themeFill="background1"/>
                  <w:tcMar>
                    <w:left w:w="58" w:type="dxa"/>
                    <w:right w:w="58" w:type="dxa"/>
                  </w:tcMar>
                </w:tcPr>
                <w:p w14:paraId="30945B16" w14:textId="77777777" w:rsidR="002E3983" w:rsidRPr="005D4222" w:rsidRDefault="002E3983" w:rsidP="00A53E8C">
                  <w:pPr>
                    <w:pStyle w:val="TableText"/>
                  </w:pPr>
                </w:p>
              </w:tc>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58" w:type="dxa"/>
                    <w:right w:w="58" w:type="dxa"/>
                  </w:tcMar>
                </w:tcPr>
                <w:p w14:paraId="46771EF4" w14:textId="77777777" w:rsidR="002E3983" w:rsidRPr="005D4222" w:rsidRDefault="002E3983" w:rsidP="00A53E8C">
                  <w:pPr>
                    <w:pStyle w:val="TableText"/>
                  </w:pPr>
                  <w:r w:rsidRPr="005D4222">
                    <w:t>Total</w:t>
                  </w:r>
                </w:p>
              </w:tc>
              <w:tc>
                <w:tcPr>
                  <w:tcW w:w="243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62EB46D0" w14:textId="77777777" w:rsidR="002E3983" w:rsidRPr="005D4222" w:rsidRDefault="002E3983" w:rsidP="00A53E8C">
                  <w:pPr>
                    <w:pStyle w:val="TableText"/>
                  </w:pPr>
                  <w:r w:rsidRPr="005D4222">
                    <w:t>NumeratorByAdmin</w:t>
                  </w:r>
                </w:p>
              </w:tc>
              <w:tc>
                <w:tcPr>
                  <w:tcW w:w="1709" w:type="dxa"/>
                  <w:tcBorders>
                    <w:left w:val="single" w:sz="4" w:space="0" w:color="auto"/>
                    <w:bottom w:val="single" w:sz="6" w:space="0" w:color="auto"/>
                    <w:right w:val="single" w:sz="4" w:space="0" w:color="auto"/>
                  </w:tcBorders>
                  <w:shd w:val="clear" w:color="auto" w:fill="FFFFFF" w:themeFill="background1"/>
                  <w:tcMar>
                    <w:left w:w="58" w:type="dxa"/>
                    <w:right w:w="58" w:type="dxa"/>
                  </w:tcMar>
                </w:tcPr>
                <w:p w14:paraId="77088109" w14:textId="77777777" w:rsidR="002E3983" w:rsidRPr="005D4222" w:rsidRDefault="002E3983" w:rsidP="00A53E8C">
                  <w:pPr>
                    <w:pStyle w:val="TableText"/>
                    <w:rPr>
                      <w:rFonts w:eastAsia="Wingdings"/>
                    </w:rPr>
                  </w:pPr>
                  <w:r w:rsidRPr="005D4222">
                    <w:rPr>
                      <w:rFonts w:eastAsia="Wingdings"/>
                    </w:rPr>
                    <w:t>For each Stratification</w:t>
                  </w:r>
                </w:p>
              </w:tc>
            </w:tr>
            <w:tr w:rsidR="002E3983" w:rsidRPr="005D4222" w14:paraId="32AD996B" w14:textId="77777777" w:rsidTr="00A53E8C">
              <w:tc>
                <w:tcPr>
                  <w:tcW w:w="2426" w:type="dxa"/>
                  <w:tcBorders>
                    <w:top w:val="nil"/>
                    <w:left w:val="nil"/>
                    <w:bottom w:val="nil"/>
                    <w:right w:val="nil"/>
                  </w:tcBorders>
                  <w:shd w:val="clear" w:color="auto" w:fill="FFFFFF" w:themeFill="background1"/>
                  <w:tcMar>
                    <w:left w:w="58" w:type="dxa"/>
                    <w:right w:w="58" w:type="dxa"/>
                  </w:tcMar>
                </w:tcPr>
                <w:p w14:paraId="0B927BD9" w14:textId="77777777" w:rsidR="002E3983" w:rsidRPr="005D4222" w:rsidRDefault="002E3983" w:rsidP="00A53E8C">
                  <w:pPr>
                    <w:pStyle w:val="TableText"/>
                  </w:pPr>
                </w:p>
              </w:tc>
              <w:tc>
                <w:tcPr>
                  <w:tcW w:w="810" w:type="dxa"/>
                  <w:tcBorders>
                    <w:top w:val="single" w:sz="4" w:space="0" w:color="auto"/>
                    <w:left w:val="nil"/>
                    <w:bottom w:val="nil"/>
                    <w:right w:val="single" w:sz="4" w:space="0" w:color="auto"/>
                  </w:tcBorders>
                  <w:shd w:val="clear" w:color="auto" w:fill="FFFFFF" w:themeFill="background1"/>
                  <w:tcMar>
                    <w:left w:w="58" w:type="dxa"/>
                    <w:right w:w="58" w:type="dxa"/>
                  </w:tcMar>
                </w:tcPr>
                <w:p w14:paraId="0DA5F985" w14:textId="77777777" w:rsidR="002E3983" w:rsidRPr="005D4222" w:rsidRDefault="002E3983" w:rsidP="00A53E8C">
                  <w:pPr>
                    <w:pStyle w:val="TableText"/>
                  </w:pPr>
                </w:p>
              </w:tc>
              <w:tc>
                <w:tcPr>
                  <w:tcW w:w="243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336213F2" w14:textId="77777777" w:rsidR="002E3983" w:rsidRPr="005D4222" w:rsidRDefault="002E3983" w:rsidP="00A53E8C">
                  <w:pPr>
                    <w:pStyle w:val="TableText"/>
                  </w:pPr>
                  <w:r w:rsidRPr="005D4222">
                    <w:t>NumeratorBySupplemental</w:t>
                  </w:r>
                </w:p>
              </w:tc>
              <w:tc>
                <w:tcPr>
                  <w:tcW w:w="1709" w:type="dxa"/>
                  <w:tcBorders>
                    <w:left w:val="single" w:sz="4" w:space="0" w:color="auto"/>
                    <w:bottom w:val="single" w:sz="6" w:space="0" w:color="auto"/>
                    <w:right w:val="single" w:sz="4" w:space="0" w:color="auto"/>
                  </w:tcBorders>
                  <w:shd w:val="clear" w:color="auto" w:fill="FFFFFF" w:themeFill="background1"/>
                  <w:tcMar>
                    <w:left w:w="58" w:type="dxa"/>
                    <w:right w:w="58" w:type="dxa"/>
                  </w:tcMar>
                </w:tcPr>
                <w:p w14:paraId="54A40055" w14:textId="77777777" w:rsidR="002E3983" w:rsidRPr="005D4222" w:rsidRDefault="002E3983" w:rsidP="00A53E8C">
                  <w:pPr>
                    <w:pStyle w:val="TableText"/>
                    <w:rPr>
                      <w:rFonts w:eastAsia="Wingdings"/>
                    </w:rPr>
                  </w:pPr>
                  <w:r w:rsidRPr="005D4222">
                    <w:rPr>
                      <w:rFonts w:eastAsia="Wingdings"/>
                    </w:rPr>
                    <w:t>For each Stratification</w:t>
                  </w:r>
                </w:p>
              </w:tc>
            </w:tr>
            <w:tr w:rsidR="002E3983" w:rsidRPr="005D4222" w14:paraId="1A3105FC" w14:textId="77777777" w:rsidTr="00A53E8C">
              <w:tc>
                <w:tcPr>
                  <w:tcW w:w="2426" w:type="dxa"/>
                  <w:tcBorders>
                    <w:top w:val="nil"/>
                    <w:left w:val="nil"/>
                    <w:bottom w:val="nil"/>
                    <w:right w:val="nil"/>
                  </w:tcBorders>
                  <w:shd w:val="clear" w:color="auto" w:fill="FFFFFF" w:themeFill="background1"/>
                  <w:tcMar>
                    <w:left w:w="58" w:type="dxa"/>
                    <w:right w:w="58" w:type="dxa"/>
                  </w:tcMar>
                </w:tcPr>
                <w:p w14:paraId="48E35DDC" w14:textId="77777777" w:rsidR="002E3983" w:rsidRPr="005D4222" w:rsidRDefault="002E3983" w:rsidP="00A53E8C">
                  <w:pPr>
                    <w:pStyle w:val="TableText"/>
                  </w:pPr>
                </w:p>
              </w:tc>
              <w:tc>
                <w:tcPr>
                  <w:tcW w:w="810" w:type="dxa"/>
                  <w:tcBorders>
                    <w:top w:val="nil"/>
                    <w:left w:val="nil"/>
                    <w:bottom w:val="nil"/>
                    <w:right w:val="single" w:sz="4" w:space="0" w:color="auto"/>
                  </w:tcBorders>
                  <w:shd w:val="clear" w:color="auto" w:fill="FFFFFF" w:themeFill="background1"/>
                  <w:tcMar>
                    <w:left w:w="58" w:type="dxa"/>
                    <w:right w:w="58" w:type="dxa"/>
                  </w:tcMar>
                </w:tcPr>
                <w:p w14:paraId="55949F68" w14:textId="77777777" w:rsidR="002E3983" w:rsidRPr="005D4222" w:rsidRDefault="002E3983" w:rsidP="00A53E8C">
                  <w:pPr>
                    <w:pStyle w:val="TableText"/>
                  </w:pPr>
                </w:p>
              </w:tc>
              <w:tc>
                <w:tcPr>
                  <w:tcW w:w="24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58" w:type="dxa"/>
                    <w:right w:w="58" w:type="dxa"/>
                  </w:tcMar>
                </w:tcPr>
                <w:p w14:paraId="41B4347E" w14:textId="77777777" w:rsidR="002E3983" w:rsidRPr="005D4222" w:rsidRDefault="002E3983" w:rsidP="00A53E8C">
                  <w:pPr>
                    <w:pStyle w:val="TableText"/>
                  </w:pPr>
                  <w:r w:rsidRPr="005D4222">
                    <w:t>Rate</w:t>
                  </w:r>
                </w:p>
              </w:tc>
              <w:tc>
                <w:tcPr>
                  <w:tcW w:w="1709" w:type="dxa"/>
                  <w:tcBorders>
                    <w:left w:val="single" w:sz="4" w:space="0" w:color="auto"/>
                    <w:bottom w:val="single" w:sz="6" w:space="0" w:color="auto"/>
                    <w:right w:val="single" w:sz="4" w:space="0" w:color="auto"/>
                  </w:tcBorders>
                  <w:shd w:val="clear" w:color="auto" w:fill="D9D9D9" w:themeFill="background1" w:themeFillShade="D9"/>
                  <w:tcMar>
                    <w:left w:w="58" w:type="dxa"/>
                    <w:right w:w="58" w:type="dxa"/>
                  </w:tcMar>
                </w:tcPr>
                <w:p w14:paraId="394EAC33" w14:textId="77777777" w:rsidR="002E3983" w:rsidRPr="005D4222" w:rsidRDefault="002E3983" w:rsidP="00A53E8C">
                  <w:pPr>
                    <w:pStyle w:val="TableText"/>
                    <w:rPr>
                      <w:rFonts w:eastAsia="Wingdings"/>
                    </w:rPr>
                  </w:pPr>
                  <w:r w:rsidRPr="005D4222">
                    <w:rPr>
                      <w:rFonts w:eastAsia="Wingdings"/>
                    </w:rPr>
                    <w:t>(Percent)</w:t>
                  </w:r>
                </w:p>
              </w:tc>
            </w:tr>
          </w:tbl>
          <w:p w14:paraId="65BF45C6" w14:textId="77777777" w:rsidR="002E3983" w:rsidRPr="005D4222" w:rsidRDefault="002E3983" w:rsidP="00A53E8C">
            <w:pPr>
              <w:pStyle w:val="Heading3"/>
            </w:pPr>
          </w:p>
        </w:tc>
      </w:tr>
    </w:tbl>
    <w:p w14:paraId="052EEDB7" w14:textId="77777777" w:rsidR="002E3983" w:rsidRPr="005D4222" w:rsidRDefault="002E3983" w:rsidP="002E3983">
      <w:pPr>
        <w:spacing w:after="160" w:line="259" w:lineRule="auto"/>
      </w:pPr>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2E3983" w:rsidRPr="005D4222" w14:paraId="29570CCF"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4622865" w14:textId="77777777" w:rsidR="002E3983" w:rsidRPr="005D4222" w:rsidRDefault="002E3983"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4B49D41" w14:textId="3F25C5B6" w:rsidR="002E3983" w:rsidRPr="005D4222" w:rsidRDefault="002E3983" w:rsidP="00A53E8C">
            <w:pPr>
              <w:pStyle w:val="Heading3"/>
              <w:spacing w:before="120"/>
            </w:pPr>
            <w:r w:rsidRPr="005D4222" w:rsidDel="003A1195">
              <w:t>Table WCV-</w:t>
            </w:r>
            <w:r w:rsidRPr="005D4222">
              <w:t xml:space="preserve">B-1/2: Data Elements for Child and Adolescent Well-Care Visits: </w:t>
            </w:r>
            <w:r w:rsidR="00B51CDC" w:rsidRPr="005D4222">
              <w:t>Stratifications</w:t>
            </w:r>
            <w:r w:rsidRPr="005D4222">
              <w:t xml:space="preserve"> by Race</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8" w:type="dxa"/>
                <w:right w:w="58" w:type="dxa"/>
              </w:tblCellMar>
              <w:tblLook w:val="0000" w:firstRow="0" w:lastRow="0" w:firstColumn="0" w:lastColumn="0" w:noHBand="0" w:noVBand="0"/>
            </w:tblPr>
            <w:tblGrid>
              <w:gridCol w:w="2246"/>
              <w:gridCol w:w="2790"/>
              <w:gridCol w:w="1170"/>
              <w:gridCol w:w="1169"/>
            </w:tblGrid>
            <w:tr w:rsidR="002E3983" w:rsidRPr="005D4222" w14:paraId="73FDEDAE" w14:textId="77777777" w:rsidTr="00A53E8C">
              <w:tc>
                <w:tcPr>
                  <w:tcW w:w="2246" w:type="dxa"/>
                  <w:tcBorders>
                    <w:top w:val="single" w:sz="4" w:space="0" w:color="000000" w:themeColor="text1"/>
                    <w:left w:val="single" w:sz="4" w:space="0" w:color="auto"/>
                    <w:bottom w:val="single" w:sz="4" w:space="0" w:color="auto"/>
                    <w:right w:val="single" w:sz="4" w:space="0" w:color="FFFFFF" w:themeColor="background1"/>
                  </w:tcBorders>
                  <w:shd w:val="clear" w:color="auto" w:fill="000000" w:themeFill="text1"/>
                  <w:vAlign w:val="bottom"/>
                </w:tcPr>
                <w:p w14:paraId="5001BC7A" w14:textId="77777777" w:rsidR="002E3983" w:rsidRPr="005D4222" w:rsidRDefault="002E3983" w:rsidP="00A53E8C">
                  <w:pPr>
                    <w:pStyle w:val="TableHead"/>
                  </w:pPr>
                  <w:r w:rsidRPr="005D4222">
                    <w:t>Metric</w:t>
                  </w:r>
                </w:p>
              </w:tc>
              <w:tc>
                <w:tcPr>
                  <w:tcW w:w="279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vAlign w:val="bottom"/>
                </w:tcPr>
                <w:p w14:paraId="6DA86384" w14:textId="77777777" w:rsidR="002E3983" w:rsidRPr="005D4222" w:rsidRDefault="002E3983" w:rsidP="00A53E8C">
                  <w:pPr>
                    <w:pStyle w:val="TableHead"/>
                  </w:pPr>
                  <w:r w:rsidRPr="005D4222">
                    <w:t>Race</w:t>
                  </w:r>
                </w:p>
              </w:tc>
              <w:tc>
                <w:tcPr>
                  <w:tcW w:w="117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vAlign w:val="bottom"/>
                </w:tcPr>
                <w:p w14:paraId="6FFEBEEE" w14:textId="77777777" w:rsidR="002E3983" w:rsidRPr="005D4222" w:rsidRDefault="002E3983" w:rsidP="00A53E8C">
                  <w:pPr>
                    <w:pStyle w:val="TableHead"/>
                  </w:pPr>
                  <w:r w:rsidRPr="005D4222">
                    <w:t>Data Element</w:t>
                  </w:r>
                </w:p>
              </w:tc>
              <w:tc>
                <w:tcPr>
                  <w:tcW w:w="1169" w:type="dxa"/>
                  <w:tcBorders>
                    <w:top w:val="single" w:sz="4" w:space="0" w:color="000000" w:themeColor="text1"/>
                    <w:left w:val="single" w:sz="4" w:space="0" w:color="FFFFFF" w:themeColor="background1"/>
                    <w:bottom w:val="single" w:sz="4" w:space="0" w:color="000000" w:themeColor="text1"/>
                    <w:right w:val="single" w:sz="4" w:space="0" w:color="auto"/>
                  </w:tcBorders>
                  <w:shd w:val="clear" w:color="auto" w:fill="000000" w:themeFill="text1"/>
                  <w:vAlign w:val="bottom"/>
                </w:tcPr>
                <w:p w14:paraId="1AEF9398" w14:textId="77777777" w:rsidR="002E3983" w:rsidRPr="005D4222" w:rsidRDefault="002E3983" w:rsidP="00A53E8C">
                  <w:pPr>
                    <w:pStyle w:val="TableHead"/>
                  </w:pPr>
                  <w:r w:rsidRPr="005D4222">
                    <w:t>Reporting Instructions</w:t>
                  </w:r>
                </w:p>
              </w:tc>
            </w:tr>
            <w:tr w:rsidR="002E3983" w:rsidRPr="005D4222" w14:paraId="7EE97A1E" w14:textId="77777777" w:rsidTr="007B5FC3">
              <w:tc>
                <w:tcPr>
                  <w:tcW w:w="2246" w:type="dxa"/>
                  <w:tcBorders>
                    <w:top w:val="single" w:sz="4" w:space="0" w:color="auto"/>
                    <w:left w:val="single" w:sz="4" w:space="0" w:color="auto"/>
                    <w:bottom w:val="single" w:sz="4" w:space="0" w:color="auto"/>
                    <w:right w:val="single" w:sz="4" w:space="0" w:color="auto"/>
                  </w:tcBorders>
                </w:tcPr>
                <w:p w14:paraId="6F9426A4" w14:textId="77777777" w:rsidR="002E3983" w:rsidRPr="005D4222" w:rsidRDefault="002E3983" w:rsidP="00A53E8C">
                  <w:pPr>
                    <w:pStyle w:val="TableText"/>
                    <w:rPr>
                      <w:szCs w:val="21"/>
                    </w:rPr>
                  </w:pPr>
                  <w:r w:rsidRPr="005D4222">
                    <w:rPr>
                      <w:szCs w:val="21"/>
                    </w:rPr>
                    <w:t>ChildAdolescentWellVisits</w:t>
                  </w:r>
                </w:p>
              </w:tc>
              <w:tc>
                <w:tcPr>
                  <w:tcW w:w="2790" w:type="dxa"/>
                  <w:tcBorders>
                    <w:top w:val="single" w:sz="4" w:space="0" w:color="auto"/>
                    <w:left w:val="single" w:sz="4" w:space="0" w:color="auto"/>
                    <w:bottom w:val="single" w:sz="4" w:space="0" w:color="auto"/>
                    <w:right w:val="single" w:sz="4" w:space="0" w:color="auto"/>
                  </w:tcBorders>
                </w:tcPr>
                <w:p w14:paraId="219B5A4A" w14:textId="77777777" w:rsidR="002E3983" w:rsidRPr="005D4222" w:rsidRDefault="002E3983" w:rsidP="00A53E8C">
                  <w:pPr>
                    <w:pStyle w:val="TableText"/>
                    <w:rPr>
                      <w:szCs w:val="21"/>
                    </w:rPr>
                  </w:pPr>
                  <w:r w:rsidRPr="005D4222">
                    <w:rPr>
                      <w:szCs w:val="21"/>
                    </w:rPr>
                    <w:t>AmericanIndianOrAlaskaNative</w:t>
                  </w:r>
                </w:p>
              </w:tc>
              <w:tc>
                <w:tcPr>
                  <w:tcW w:w="1170" w:type="dxa"/>
                  <w:tcBorders>
                    <w:top w:val="single" w:sz="4" w:space="0" w:color="000000" w:themeColor="text1"/>
                    <w:left w:val="single" w:sz="4" w:space="0" w:color="auto"/>
                    <w:bottom w:val="single" w:sz="4" w:space="0" w:color="auto"/>
                    <w:right w:val="single" w:sz="4" w:space="0" w:color="auto"/>
                  </w:tcBorders>
                </w:tcPr>
                <w:p w14:paraId="5FE39455" w14:textId="77777777" w:rsidR="002E3983" w:rsidRPr="005D4222" w:rsidRDefault="002E3983" w:rsidP="00A53E8C">
                  <w:pPr>
                    <w:pStyle w:val="TableText"/>
                    <w:rPr>
                      <w:szCs w:val="21"/>
                    </w:rPr>
                  </w:pPr>
                  <w:r w:rsidRPr="005D4222">
                    <w:rPr>
                      <w:szCs w:val="21"/>
                    </w:rPr>
                    <w:t>Denominator</w:t>
                  </w:r>
                </w:p>
              </w:tc>
              <w:tc>
                <w:tcPr>
                  <w:tcW w:w="1169" w:type="dxa"/>
                  <w:tcBorders>
                    <w:top w:val="single" w:sz="4" w:space="0" w:color="000000" w:themeColor="text1"/>
                    <w:left w:val="single" w:sz="4" w:space="0" w:color="auto"/>
                    <w:bottom w:val="single" w:sz="4" w:space="0" w:color="auto"/>
                    <w:right w:val="single" w:sz="4" w:space="0" w:color="auto"/>
                  </w:tcBorders>
                </w:tcPr>
                <w:p w14:paraId="38BE7DB6" w14:textId="77777777" w:rsidR="002E3983" w:rsidRPr="005D4222" w:rsidRDefault="002E3983" w:rsidP="00A53E8C">
                  <w:pPr>
                    <w:pStyle w:val="TableText"/>
                    <w:rPr>
                      <w:rFonts w:eastAsia="Wingdings"/>
                      <w:szCs w:val="21"/>
                    </w:rPr>
                  </w:pPr>
                  <w:r w:rsidRPr="005D4222">
                    <w:rPr>
                      <w:rFonts w:eastAsia="Wingdings"/>
                      <w:szCs w:val="21"/>
                    </w:rPr>
                    <w:t>For each Stratification</w:t>
                  </w:r>
                </w:p>
              </w:tc>
            </w:tr>
            <w:tr w:rsidR="002E3983" w:rsidRPr="005D4222" w14:paraId="2891EC59" w14:textId="77777777" w:rsidTr="007B5FC3">
              <w:tc>
                <w:tcPr>
                  <w:tcW w:w="2246" w:type="dxa"/>
                  <w:tcBorders>
                    <w:top w:val="single" w:sz="4" w:space="0" w:color="auto"/>
                    <w:left w:val="nil"/>
                    <w:bottom w:val="nil"/>
                    <w:right w:val="single" w:sz="4" w:space="0" w:color="auto"/>
                  </w:tcBorders>
                </w:tcPr>
                <w:p w14:paraId="5DFECA48" w14:textId="77777777" w:rsidR="002E3983" w:rsidRPr="005D4222" w:rsidRDefault="002E3983" w:rsidP="00A53E8C">
                  <w:pPr>
                    <w:pStyle w:val="TableText"/>
                    <w:rPr>
                      <w:szCs w:val="21"/>
                    </w:rPr>
                  </w:pPr>
                </w:p>
              </w:tc>
              <w:tc>
                <w:tcPr>
                  <w:tcW w:w="2790" w:type="dxa"/>
                  <w:tcBorders>
                    <w:top w:val="single" w:sz="4" w:space="0" w:color="auto"/>
                    <w:left w:val="single" w:sz="4" w:space="0" w:color="auto"/>
                    <w:bottom w:val="single" w:sz="4" w:space="0" w:color="auto"/>
                    <w:right w:val="single" w:sz="4" w:space="0" w:color="auto"/>
                  </w:tcBorders>
                </w:tcPr>
                <w:p w14:paraId="12A30FE4" w14:textId="77777777" w:rsidR="002E3983" w:rsidRPr="005D4222" w:rsidRDefault="002E3983" w:rsidP="00A53E8C">
                  <w:pPr>
                    <w:pStyle w:val="TableText"/>
                    <w:rPr>
                      <w:szCs w:val="21"/>
                    </w:rPr>
                  </w:pPr>
                  <w:r w:rsidRPr="005D4222">
                    <w:rPr>
                      <w:szCs w:val="21"/>
                    </w:rPr>
                    <w:t>Asian</w:t>
                  </w:r>
                </w:p>
              </w:tc>
              <w:tc>
                <w:tcPr>
                  <w:tcW w:w="1170" w:type="dxa"/>
                  <w:tcBorders>
                    <w:top w:val="single" w:sz="4" w:space="0" w:color="auto"/>
                    <w:left w:val="single" w:sz="4" w:space="0" w:color="auto"/>
                    <w:bottom w:val="single" w:sz="4" w:space="0" w:color="auto"/>
                    <w:right w:val="single" w:sz="4" w:space="0" w:color="auto"/>
                  </w:tcBorders>
                </w:tcPr>
                <w:p w14:paraId="14A5483E" w14:textId="77777777" w:rsidR="002E3983" w:rsidRPr="005D4222" w:rsidRDefault="002E3983" w:rsidP="00A53E8C">
                  <w:pPr>
                    <w:pStyle w:val="TableText"/>
                    <w:rPr>
                      <w:szCs w:val="21"/>
                    </w:rPr>
                  </w:pPr>
                  <w:r w:rsidRPr="005D4222">
                    <w:rPr>
                      <w:szCs w:val="21"/>
                    </w:rPr>
                    <w:t>Numerator</w:t>
                  </w:r>
                </w:p>
              </w:tc>
              <w:tc>
                <w:tcPr>
                  <w:tcW w:w="1169" w:type="dxa"/>
                  <w:tcBorders>
                    <w:top w:val="single" w:sz="4" w:space="0" w:color="auto"/>
                    <w:left w:val="single" w:sz="4" w:space="0" w:color="auto"/>
                    <w:bottom w:val="single" w:sz="4" w:space="0" w:color="auto"/>
                    <w:right w:val="single" w:sz="4" w:space="0" w:color="auto"/>
                  </w:tcBorders>
                </w:tcPr>
                <w:p w14:paraId="23D11EA9" w14:textId="77777777" w:rsidR="002E3983" w:rsidRPr="005D4222" w:rsidRDefault="002E3983" w:rsidP="00A53E8C">
                  <w:pPr>
                    <w:pStyle w:val="TableText"/>
                    <w:rPr>
                      <w:rFonts w:eastAsia="Wingdings"/>
                      <w:szCs w:val="21"/>
                    </w:rPr>
                  </w:pPr>
                  <w:r w:rsidRPr="005D4222">
                    <w:rPr>
                      <w:rFonts w:eastAsia="Wingdings"/>
                      <w:szCs w:val="21"/>
                    </w:rPr>
                    <w:t>For each Stratification</w:t>
                  </w:r>
                </w:p>
              </w:tc>
            </w:tr>
            <w:tr w:rsidR="002E3983" w:rsidRPr="005D4222" w14:paraId="3BEBBB10" w14:textId="77777777" w:rsidTr="007B5FC3">
              <w:tc>
                <w:tcPr>
                  <w:tcW w:w="2246" w:type="dxa"/>
                  <w:tcBorders>
                    <w:top w:val="nil"/>
                    <w:left w:val="nil"/>
                    <w:bottom w:val="nil"/>
                    <w:right w:val="single" w:sz="4" w:space="0" w:color="auto"/>
                  </w:tcBorders>
                </w:tcPr>
                <w:p w14:paraId="0124D998" w14:textId="77777777" w:rsidR="002E3983" w:rsidRPr="005D4222" w:rsidRDefault="002E3983" w:rsidP="00A53E8C">
                  <w:pPr>
                    <w:pStyle w:val="TableText"/>
                    <w:rPr>
                      <w:szCs w:val="21"/>
                    </w:rPr>
                  </w:pPr>
                </w:p>
              </w:tc>
              <w:tc>
                <w:tcPr>
                  <w:tcW w:w="2790" w:type="dxa"/>
                  <w:tcBorders>
                    <w:top w:val="single" w:sz="4" w:space="0" w:color="auto"/>
                    <w:left w:val="single" w:sz="4" w:space="0" w:color="auto"/>
                    <w:bottom w:val="single" w:sz="4" w:space="0" w:color="auto"/>
                    <w:right w:val="single" w:sz="4" w:space="0" w:color="auto"/>
                  </w:tcBorders>
                </w:tcPr>
                <w:p w14:paraId="7DBC45BA" w14:textId="77777777" w:rsidR="002E3983" w:rsidRPr="005D4222" w:rsidRDefault="002E3983" w:rsidP="00A53E8C">
                  <w:pPr>
                    <w:pStyle w:val="TableText"/>
                    <w:rPr>
                      <w:szCs w:val="21"/>
                    </w:rPr>
                  </w:pPr>
                  <w:r w:rsidRPr="005D4222">
                    <w:rPr>
                      <w:szCs w:val="21"/>
                    </w:rPr>
                    <w:t>BlackOrAfricanAmerican</w:t>
                  </w:r>
                  <w:r w:rsidRPr="005D4222" w:rsidDel="00D8177F">
                    <w:rPr>
                      <w:szCs w:val="21"/>
                    </w:rPr>
                    <w:t xml:space="preserve"> </w:t>
                  </w: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ACBE28A" w14:textId="77777777" w:rsidR="002E3983" w:rsidRPr="005D4222" w:rsidRDefault="002E3983" w:rsidP="00A53E8C">
                  <w:pPr>
                    <w:pStyle w:val="TableText"/>
                    <w:rPr>
                      <w:szCs w:val="21"/>
                    </w:rPr>
                  </w:pPr>
                  <w:r w:rsidRPr="005D4222">
                    <w:rPr>
                      <w:szCs w:val="21"/>
                    </w:rPr>
                    <w:t>Rate</w:t>
                  </w:r>
                </w:p>
              </w:tc>
              <w:tc>
                <w:tcPr>
                  <w:tcW w:w="116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ABE91CA" w14:textId="77777777" w:rsidR="002E3983" w:rsidRPr="005D4222" w:rsidRDefault="002E3983" w:rsidP="00A53E8C">
                  <w:pPr>
                    <w:pStyle w:val="TableText"/>
                    <w:rPr>
                      <w:rFonts w:eastAsia="Wingdings"/>
                      <w:szCs w:val="21"/>
                    </w:rPr>
                  </w:pPr>
                  <w:r w:rsidRPr="005D4222">
                    <w:rPr>
                      <w:rFonts w:eastAsia="Wingdings"/>
                      <w:szCs w:val="21"/>
                    </w:rPr>
                    <w:t>(Percent)</w:t>
                  </w:r>
                </w:p>
              </w:tc>
            </w:tr>
            <w:tr w:rsidR="002E3983" w:rsidRPr="005D4222" w14:paraId="04E60834" w14:textId="77777777" w:rsidTr="007B5FC3">
              <w:tc>
                <w:tcPr>
                  <w:tcW w:w="2246" w:type="dxa"/>
                  <w:tcBorders>
                    <w:top w:val="nil"/>
                    <w:left w:val="nil"/>
                    <w:bottom w:val="nil"/>
                    <w:right w:val="single" w:sz="4" w:space="0" w:color="auto"/>
                  </w:tcBorders>
                </w:tcPr>
                <w:p w14:paraId="5D7435FE" w14:textId="77777777" w:rsidR="002E3983" w:rsidRPr="005D4222" w:rsidRDefault="002E3983" w:rsidP="00A53E8C">
                  <w:pPr>
                    <w:pStyle w:val="TableText"/>
                    <w:rPr>
                      <w:szCs w:val="21"/>
                    </w:rPr>
                  </w:pPr>
                </w:p>
              </w:tc>
              <w:tc>
                <w:tcPr>
                  <w:tcW w:w="2790" w:type="dxa"/>
                  <w:tcBorders>
                    <w:top w:val="single" w:sz="4" w:space="0" w:color="auto"/>
                    <w:left w:val="single" w:sz="4" w:space="0" w:color="auto"/>
                    <w:bottom w:val="single" w:sz="4" w:space="0" w:color="auto"/>
                    <w:right w:val="single" w:sz="4" w:space="0" w:color="auto"/>
                  </w:tcBorders>
                </w:tcPr>
                <w:p w14:paraId="4E4841AA" w14:textId="77777777" w:rsidR="002E3983" w:rsidRPr="005D4222" w:rsidRDefault="002E3983" w:rsidP="00A53E8C">
                  <w:pPr>
                    <w:pStyle w:val="TableText"/>
                    <w:rPr>
                      <w:szCs w:val="21"/>
                    </w:rPr>
                  </w:pPr>
                  <w:r w:rsidRPr="005D4222">
                    <w:rPr>
                      <w:szCs w:val="21"/>
                    </w:rPr>
                    <w:t>MiddleEasternOrNorthAfrican</w:t>
                  </w:r>
                </w:p>
              </w:tc>
              <w:tc>
                <w:tcPr>
                  <w:tcW w:w="1170" w:type="dxa"/>
                  <w:tcBorders>
                    <w:top w:val="single" w:sz="4" w:space="0" w:color="auto"/>
                    <w:left w:val="single" w:sz="4" w:space="0" w:color="auto"/>
                    <w:bottom w:val="nil"/>
                    <w:right w:val="nil"/>
                  </w:tcBorders>
                </w:tcPr>
                <w:p w14:paraId="450C0248" w14:textId="77777777" w:rsidR="002E3983" w:rsidRPr="005D4222" w:rsidRDefault="002E3983" w:rsidP="00A53E8C">
                  <w:pPr>
                    <w:pStyle w:val="TableText"/>
                    <w:rPr>
                      <w:szCs w:val="21"/>
                    </w:rPr>
                  </w:pPr>
                </w:p>
              </w:tc>
              <w:tc>
                <w:tcPr>
                  <w:tcW w:w="1169" w:type="dxa"/>
                  <w:tcBorders>
                    <w:top w:val="single" w:sz="4" w:space="0" w:color="auto"/>
                    <w:left w:val="nil"/>
                    <w:bottom w:val="nil"/>
                    <w:right w:val="nil"/>
                  </w:tcBorders>
                </w:tcPr>
                <w:p w14:paraId="78C050BB" w14:textId="77777777" w:rsidR="002E3983" w:rsidRPr="005D4222" w:rsidRDefault="002E3983" w:rsidP="00A53E8C">
                  <w:pPr>
                    <w:pStyle w:val="TableText"/>
                    <w:rPr>
                      <w:rFonts w:eastAsia="Wingdings"/>
                      <w:szCs w:val="21"/>
                    </w:rPr>
                  </w:pPr>
                </w:p>
              </w:tc>
            </w:tr>
            <w:tr w:rsidR="002E3983" w:rsidRPr="005D4222" w14:paraId="39BE622E" w14:textId="77777777" w:rsidTr="007B5FC3">
              <w:tc>
                <w:tcPr>
                  <w:tcW w:w="2246" w:type="dxa"/>
                  <w:tcBorders>
                    <w:top w:val="nil"/>
                    <w:left w:val="nil"/>
                    <w:bottom w:val="nil"/>
                    <w:right w:val="single" w:sz="4" w:space="0" w:color="auto"/>
                  </w:tcBorders>
                </w:tcPr>
                <w:p w14:paraId="07D56685" w14:textId="77777777" w:rsidR="002E3983" w:rsidRPr="005D4222" w:rsidRDefault="002E3983" w:rsidP="00A53E8C">
                  <w:pPr>
                    <w:pStyle w:val="TableText"/>
                    <w:rPr>
                      <w:szCs w:val="21"/>
                    </w:rPr>
                  </w:pPr>
                </w:p>
              </w:tc>
              <w:tc>
                <w:tcPr>
                  <w:tcW w:w="2790" w:type="dxa"/>
                  <w:tcBorders>
                    <w:top w:val="single" w:sz="4" w:space="0" w:color="auto"/>
                    <w:left w:val="single" w:sz="4" w:space="0" w:color="auto"/>
                    <w:bottom w:val="single" w:sz="4" w:space="0" w:color="auto"/>
                    <w:right w:val="single" w:sz="4" w:space="0" w:color="auto"/>
                  </w:tcBorders>
                </w:tcPr>
                <w:p w14:paraId="20CAB590" w14:textId="77777777" w:rsidR="002E3983" w:rsidRPr="005D4222" w:rsidRDefault="002E3983" w:rsidP="00A53E8C">
                  <w:pPr>
                    <w:pStyle w:val="TableText"/>
                    <w:rPr>
                      <w:szCs w:val="21"/>
                    </w:rPr>
                  </w:pPr>
                  <w:r w:rsidRPr="005D4222">
                    <w:rPr>
                      <w:szCs w:val="21"/>
                    </w:rPr>
                    <w:t>NativeHawaiianOrPacificIslander</w:t>
                  </w:r>
                  <w:r w:rsidRPr="005D4222" w:rsidDel="00D8177F">
                    <w:rPr>
                      <w:szCs w:val="21"/>
                    </w:rPr>
                    <w:t xml:space="preserve"> </w:t>
                  </w:r>
                </w:p>
              </w:tc>
              <w:tc>
                <w:tcPr>
                  <w:tcW w:w="1170" w:type="dxa"/>
                  <w:tcBorders>
                    <w:top w:val="nil"/>
                    <w:left w:val="nil"/>
                    <w:bottom w:val="nil"/>
                    <w:right w:val="nil"/>
                  </w:tcBorders>
                </w:tcPr>
                <w:p w14:paraId="1BA42676" w14:textId="77777777" w:rsidR="002E3983" w:rsidRPr="005D4222" w:rsidRDefault="002E3983" w:rsidP="00A53E8C">
                  <w:pPr>
                    <w:pStyle w:val="TableText"/>
                    <w:rPr>
                      <w:szCs w:val="21"/>
                    </w:rPr>
                  </w:pPr>
                </w:p>
              </w:tc>
              <w:tc>
                <w:tcPr>
                  <w:tcW w:w="1169" w:type="dxa"/>
                  <w:tcBorders>
                    <w:top w:val="nil"/>
                    <w:left w:val="nil"/>
                    <w:bottom w:val="nil"/>
                    <w:right w:val="nil"/>
                  </w:tcBorders>
                </w:tcPr>
                <w:p w14:paraId="03644BD8" w14:textId="77777777" w:rsidR="002E3983" w:rsidRPr="005D4222" w:rsidRDefault="002E3983" w:rsidP="00A53E8C">
                  <w:pPr>
                    <w:pStyle w:val="TableText"/>
                    <w:rPr>
                      <w:rFonts w:eastAsia="Wingdings"/>
                      <w:szCs w:val="21"/>
                    </w:rPr>
                  </w:pPr>
                </w:p>
              </w:tc>
            </w:tr>
            <w:tr w:rsidR="002E3983" w:rsidRPr="005D4222" w14:paraId="185AB987" w14:textId="77777777" w:rsidTr="007B5FC3">
              <w:tc>
                <w:tcPr>
                  <w:tcW w:w="2246" w:type="dxa"/>
                  <w:tcBorders>
                    <w:top w:val="nil"/>
                    <w:left w:val="nil"/>
                    <w:bottom w:val="nil"/>
                    <w:right w:val="single" w:sz="4" w:space="0" w:color="auto"/>
                  </w:tcBorders>
                </w:tcPr>
                <w:p w14:paraId="57C947D7" w14:textId="77777777" w:rsidR="002E3983" w:rsidRPr="005D4222" w:rsidRDefault="002E3983" w:rsidP="00A53E8C">
                  <w:pPr>
                    <w:pStyle w:val="TableText"/>
                    <w:rPr>
                      <w:szCs w:val="21"/>
                    </w:rPr>
                  </w:pPr>
                </w:p>
              </w:tc>
              <w:tc>
                <w:tcPr>
                  <w:tcW w:w="2790" w:type="dxa"/>
                  <w:tcBorders>
                    <w:top w:val="single" w:sz="4" w:space="0" w:color="auto"/>
                    <w:left w:val="single" w:sz="4" w:space="0" w:color="auto"/>
                    <w:bottom w:val="single" w:sz="4" w:space="0" w:color="auto"/>
                    <w:right w:val="single" w:sz="4" w:space="0" w:color="auto"/>
                  </w:tcBorders>
                </w:tcPr>
                <w:p w14:paraId="5FD5E7BC" w14:textId="77777777" w:rsidR="002E3983" w:rsidRPr="005D4222" w:rsidRDefault="002E3983" w:rsidP="00A53E8C">
                  <w:pPr>
                    <w:pStyle w:val="TableText"/>
                    <w:rPr>
                      <w:szCs w:val="21"/>
                    </w:rPr>
                  </w:pPr>
                  <w:r w:rsidRPr="005D4222">
                    <w:rPr>
                      <w:szCs w:val="21"/>
                    </w:rPr>
                    <w:t>White</w:t>
                  </w:r>
                </w:p>
              </w:tc>
              <w:tc>
                <w:tcPr>
                  <w:tcW w:w="1170" w:type="dxa"/>
                  <w:tcBorders>
                    <w:top w:val="nil"/>
                    <w:left w:val="nil"/>
                    <w:bottom w:val="nil"/>
                    <w:right w:val="nil"/>
                  </w:tcBorders>
                </w:tcPr>
                <w:p w14:paraId="2C27EEF7" w14:textId="77777777" w:rsidR="002E3983" w:rsidRPr="005D4222" w:rsidRDefault="002E3983" w:rsidP="00A53E8C">
                  <w:pPr>
                    <w:pStyle w:val="TableText"/>
                    <w:rPr>
                      <w:szCs w:val="21"/>
                    </w:rPr>
                  </w:pPr>
                </w:p>
              </w:tc>
              <w:tc>
                <w:tcPr>
                  <w:tcW w:w="1169" w:type="dxa"/>
                  <w:tcBorders>
                    <w:top w:val="nil"/>
                    <w:left w:val="nil"/>
                    <w:bottom w:val="nil"/>
                    <w:right w:val="nil"/>
                  </w:tcBorders>
                </w:tcPr>
                <w:p w14:paraId="13074124" w14:textId="77777777" w:rsidR="002E3983" w:rsidRPr="005D4222" w:rsidRDefault="002E3983" w:rsidP="00A53E8C">
                  <w:pPr>
                    <w:pStyle w:val="TableText"/>
                    <w:rPr>
                      <w:rFonts w:eastAsia="Wingdings"/>
                      <w:szCs w:val="21"/>
                    </w:rPr>
                  </w:pPr>
                </w:p>
              </w:tc>
            </w:tr>
            <w:tr w:rsidR="002E3983" w:rsidRPr="005D4222" w14:paraId="54E9DF28" w14:textId="77777777" w:rsidTr="007B5FC3">
              <w:tc>
                <w:tcPr>
                  <w:tcW w:w="2246" w:type="dxa"/>
                  <w:tcBorders>
                    <w:top w:val="nil"/>
                    <w:left w:val="nil"/>
                    <w:bottom w:val="nil"/>
                    <w:right w:val="single" w:sz="4" w:space="0" w:color="auto"/>
                  </w:tcBorders>
                </w:tcPr>
                <w:p w14:paraId="6B8C3367" w14:textId="77777777" w:rsidR="002E3983" w:rsidRPr="005D4222" w:rsidRDefault="002E3983" w:rsidP="00A53E8C">
                  <w:pPr>
                    <w:pStyle w:val="TableText"/>
                    <w:rPr>
                      <w:szCs w:val="21"/>
                    </w:rPr>
                  </w:pPr>
                </w:p>
              </w:tc>
              <w:tc>
                <w:tcPr>
                  <w:tcW w:w="2790" w:type="dxa"/>
                  <w:tcBorders>
                    <w:top w:val="single" w:sz="4" w:space="0" w:color="auto"/>
                    <w:left w:val="single" w:sz="4" w:space="0" w:color="auto"/>
                    <w:bottom w:val="single" w:sz="4" w:space="0" w:color="auto"/>
                    <w:right w:val="single" w:sz="4" w:space="0" w:color="auto"/>
                  </w:tcBorders>
                </w:tcPr>
                <w:p w14:paraId="7C9CDB91" w14:textId="77777777" w:rsidR="002E3983" w:rsidRPr="005D4222" w:rsidRDefault="002E3983" w:rsidP="00A53E8C">
                  <w:pPr>
                    <w:pStyle w:val="TableText"/>
                    <w:rPr>
                      <w:szCs w:val="21"/>
                    </w:rPr>
                  </w:pPr>
                  <w:r w:rsidRPr="005D4222">
                    <w:rPr>
                      <w:szCs w:val="21"/>
                    </w:rPr>
                    <w:t>SomeOtherRace</w:t>
                  </w:r>
                </w:p>
              </w:tc>
              <w:tc>
                <w:tcPr>
                  <w:tcW w:w="1170" w:type="dxa"/>
                  <w:tcBorders>
                    <w:top w:val="nil"/>
                    <w:left w:val="nil"/>
                    <w:bottom w:val="nil"/>
                    <w:right w:val="nil"/>
                  </w:tcBorders>
                </w:tcPr>
                <w:p w14:paraId="28A05246" w14:textId="77777777" w:rsidR="002E3983" w:rsidRPr="005D4222" w:rsidRDefault="002E3983" w:rsidP="00A53E8C">
                  <w:pPr>
                    <w:pStyle w:val="TableText"/>
                    <w:rPr>
                      <w:szCs w:val="21"/>
                    </w:rPr>
                  </w:pPr>
                </w:p>
              </w:tc>
              <w:tc>
                <w:tcPr>
                  <w:tcW w:w="1169" w:type="dxa"/>
                  <w:tcBorders>
                    <w:top w:val="nil"/>
                    <w:left w:val="nil"/>
                    <w:bottom w:val="nil"/>
                    <w:right w:val="nil"/>
                  </w:tcBorders>
                </w:tcPr>
                <w:p w14:paraId="29810001" w14:textId="77777777" w:rsidR="002E3983" w:rsidRPr="005D4222" w:rsidRDefault="002E3983" w:rsidP="00A53E8C">
                  <w:pPr>
                    <w:pStyle w:val="TableText"/>
                    <w:rPr>
                      <w:rFonts w:eastAsia="Wingdings"/>
                      <w:szCs w:val="21"/>
                    </w:rPr>
                  </w:pPr>
                </w:p>
              </w:tc>
            </w:tr>
            <w:tr w:rsidR="002E3983" w:rsidRPr="005D4222" w14:paraId="7155F346" w14:textId="77777777" w:rsidTr="007B5FC3">
              <w:tc>
                <w:tcPr>
                  <w:tcW w:w="2246" w:type="dxa"/>
                  <w:tcBorders>
                    <w:top w:val="nil"/>
                    <w:left w:val="nil"/>
                    <w:bottom w:val="nil"/>
                    <w:right w:val="single" w:sz="4" w:space="0" w:color="auto"/>
                  </w:tcBorders>
                </w:tcPr>
                <w:p w14:paraId="2B22F599" w14:textId="77777777" w:rsidR="002E3983" w:rsidRPr="005D4222" w:rsidRDefault="002E3983" w:rsidP="00A53E8C">
                  <w:pPr>
                    <w:pStyle w:val="TableText"/>
                    <w:rPr>
                      <w:szCs w:val="21"/>
                    </w:rPr>
                  </w:pPr>
                </w:p>
              </w:tc>
              <w:tc>
                <w:tcPr>
                  <w:tcW w:w="2790" w:type="dxa"/>
                  <w:tcBorders>
                    <w:top w:val="single" w:sz="4" w:space="0" w:color="auto"/>
                    <w:left w:val="single" w:sz="4" w:space="0" w:color="auto"/>
                    <w:bottom w:val="single" w:sz="4" w:space="0" w:color="auto"/>
                    <w:right w:val="single" w:sz="4" w:space="0" w:color="auto"/>
                  </w:tcBorders>
                </w:tcPr>
                <w:p w14:paraId="7734AFEB" w14:textId="77777777" w:rsidR="002E3983" w:rsidRPr="005D4222" w:rsidRDefault="002E3983" w:rsidP="00A53E8C">
                  <w:pPr>
                    <w:pStyle w:val="TableText"/>
                    <w:rPr>
                      <w:szCs w:val="21"/>
                    </w:rPr>
                  </w:pPr>
                  <w:r w:rsidRPr="005D4222">
                    <w:rPr>
                      <w:szCs w:val="21"/>
                    </w:rPr>
                    <w:t>TwoOrMoreRaces</w:t>
                  </w:r>
                </w:p>
              </w:tc>
              <w:tc>
                <w:tcPr>
                  <w:tcW w:w="1170" w:type="dxa"/>
                  <w:tcBorders>
                    <w:top w:val="nil"/>
                    <w:left w:val="nil"/>
                    <w:bottom w:val="nil"/>
                    <w:right w:val="nil"/>
                  </w:tcBorders>
                </w:tcPr>
                <w:p w14:paraId="3B4DB332" w14:textId="77777777" w:rsidR="002E3983" w:rsidRPr="005D4222" w:rsidRDefault="002E3983" w:rsidP="00A53E8C">
                  <w:pPr>
                    <w:pStyle w:val="TableText"/>
                    <w:rPr>
                      <w:szCs w:val="21"/>
                    </w:rPr>
                  </w:pPr>
                </w:p>
              </w:tc>
              <w:tc>
                <w:tcPr>
                  <w:tcW w:w="1169" w:type="dxa"/>
                  <w:tcBorders>
                    <w:top w:val="nil"/>
                    <w:left w:val="nil"/>
                    <w:bottom w:val="nil"/>
                    <w:right w:val="nil"/>
                  </w:tcBorders>
                </w:tcPr>
                <w:p w14:paraId="2EE06380" w14:textId="77777777" w:rsidR="002E3983" w:rsidRPr="005D4222" w:rsidRDefault="002E3983" w:rsidP="00A53E8C">
                  <w:pPr>
                    <w:pStyle w:val="TableText"/>
                    <w:rPr>
                      <w:rFonts w:eastAsia="Wingdings"/>
                      <w:szCs w:val="21"/>
                    </w:rPr>
                  </w:pPr>
                </w:p>
              </w:tc>
            </w:tr>
            <w:tr w:rsidR="002E3983" w:rsidRPr="005D4222" w14:paraId="109B78D1" w14:textId="77777777" w:rsidTr="007B5FC3">
              <w:tc>
                <w:tcPr>
                  <w:tcW w:w="2246" w:type="dxa"/>
                  <w:tcBorders>
                    <w:top w:val="nil"/>
                    <w:left w:val="nil"/>
                    <w:bottom w:val="nil"/>
                    <w:right w:val="single" w:sz="4" w:space="0" w:color="auto"/>
                  </w:tcBorders>
                </w:tcPr>
                <w:p w14:paraId="0962B31A" w14:textId="77777777" w:rsidR="002E3983" w:rsidRPr="005D4222" w:rsidRDefault="002E3983" w:rsidP="00A53E8C">
                  <w:pPr>
                    <w:pStyle w:val="TableText"/>
                    <w:rPr>
                      <w:szCs w:val="21"/>
                    </w:rPr>
                  </w:pPr>
                </w:p>
              </w:tc>
              <w:tc>
                <w:tcPr>
                  <w:tcW w:w="2790" w:type="dxa"/>
                  <w:tcBorders>
                    <w:top w:val="single" w:sz="4" w:space="0" w:color="auto"/>
                    <w:left w:val="single" w:sz="4" w:space="0" w:color="auto"/>
                    <w:bottom w:val="single" w:sz="4" w:space="0" w:color="auto"/>
                    <w:right w:val="single" w:sz="4" w:space="0" w:color="auto"/>
                  </w:tcBorders>
                </w:tcPr>
                <w:p w14:paraId="2A7DAADD" w14:textId="77777777" w:rsidR="002E3983" w:rsidRPr="005D4222" w:rsidRDefault="002E3983" w:rsidP="00A53E8C">
                  <w:pPr>
                    <w:pStyle w:val="TableText"/>
                    <w:rPr>
                      <w:szCs w:val="21"/>
                    </w:rPr>
                  </w:pPr>
                  <w:r w:rsidRPr="005D4222">
                    <w:rPr>
                      <w:szCs w:val="21"/>
                    </w:rPr>
                    <w:t>AskedButNoAnswer</w:t>
                  </w:r>
                </w:p>
              </w:tc>
              <w:tc>
                <w:tcPr>
                  <w:tcW w:w="1170" w:type="dxa"/>
                  <w:tcBorders>
                    <w:top w:val="nil"/>
                    <w:left w:val="nil"/>
                    <w:bottom w:val="nil"/>
                    <w:right w:val="nil"/>
                  </w:tcBorders>
                </w:tcPr>
                <w:p w14:paraId="32109F87" w14:textId="77777777" w:rsidR="002E3983" w:rsidRPr="005D4222" w:rsidRDefault="002E3983" w:rsidP="00A53E8C">
                  <w:pPr>
                    <w:pStyle w:val="TableText"/>
                    <w:rPr>
                      <w:szCs w:val="21"/>
                    </w:rPr>
                  </w:pPr>
                </w:p>
              </w:tc>
              <w:tc>
                <w:tcPr>
                  <w:tcW w:w="1169" w:type="dxa"/>
                  <w:tcBorders>
                    <w:top w:val="nil"/>
                    <w:left w:val="nil"/>
                    <w:bottom w:val="nil"/>
                    <w:right w:val="nil"/>
                  </w:tcBorders>
                </w:tcPr>
                <w:p w14:paraId="42C4BD35" w14:textId="77777777" w:rsidR="002E3983" w:rsidRPr="005D4222" w:rsidRDefault="002E3983" w:rsidP="00A53E8C">
                  <w:pPr>
                    <w:pStyle w:val="TableText"/>
                    <w:rPr>
                      <w:rFonts w:eastAsia="Wingdings"/>
                      <w:szCs w:val="21"/>
                    </w:rPr>
                  </w:pPr>
                </w:p>
              </w:tc>
            </w:tr>
            <w:tr w:rsidR="002E3983" w:rsidRPr="005D4222" w14:paraId="38028654" w14:textId="77777777" w:rsidTr="007B5FC3">
              <w:tc>
                <w:tcPr>
                  <w:tcW w:w="2246" w:type="dxa"/>
                  <w:tcBorders>
                    <w:top w:val="nil"/>
                    <w:left w:val="nil"/>
                    <w:bottom w:val="nil"/>
                    <w:right w:val="single" w:sz="4" w:space="0" w:color="auto"/>
                  </w:tcBorders>
                </w:tcPr>
                <w:p w14:paraId="3776A63E" w14:textId="77777777" w:rsidR="002E3983" w:rsidRPr="005D4222" w:rsidRDefault="002E3983" w:rsidP="00A53E8C">
                  <w:pPr>
                    <w:pStyle w:val="TableText"/>
                    <w:rPr>
                      <w:szCs w:val="21"/>
                    </w:rPr>
                  </w:pPr>
                </w:p>
              </w:tc>
              <w:tc>
                <w:tcPr>
                  <w:tcW w:w="2790" w:type="dxa"/>
                  <w:tcBorders>
                    <w:top w:val="single" w:sz="4" w:space="0" w:color="auto"/>
                    <w:left w:val="single" w:sz="4" w:space="0" w:color="auto"/>
                    <w:bottom w:val="single" w:sz="4" w:space="0" w:color="auto"/>
                    <w:right w:val="single" w:sz="4" w:space="0" w:color="auto"/>
                  </w:tcBorders>
                </w:tcPr>
                <w:p w14:paraId="5DD47AD4" w14:textId="77777777" w:rsidR="002E3983" w:rsidRPr="005D4222" w:rsidRDefault="002E3983" w:rsidP="00A53E8C">
                  <w:pPr>
                    <w:pStyle w:val="TableText"/>
                    <w:rPr>
                      <w:szCs w:val="21"/>
                    </w:rPr>
                  </w:pPr>
                  <w:r w:rsidRPr="005D4222">
                    <w:rPr>
                      <w:szCs w:val="21"/>
                    </w:rPr>
                    <w:t>Unknown</w:t>
                  </w:r>
                </w:p>
              </w:tc>
              <w:tc>
                <w:tcPr>
                  <w:tcW w:w="1170" w:type="dxa"/>
                  <w:tcBorders>
                    <w:top w:val="nil"/>
                    <w:left w:val="nil"/>
                    <w:bottom w:val="nil"/>
                    <w:right w:val="nil"/>
                  </w:tcBorders>
                </w:tcPr>
                <w:p w14:paraId="3B78FCD8" w14:textId="77777777" w:rsidR="002E3983" w:rsidRPr="005D4222" w:rsidRDefault="002E3983" w:rsidP="00A53E8C">
                  <w:pPr>
                    <w:pStyle w:val="TableText"/>
                    <w:rPr>
                      <w:szCs w:val="21"/>
                    </w:rPr>
                  </w:pPr>
                </w:p>
              </w:tc>
              <w:tc>
                <w:tcPr>
                  <w:tcW w:w="1169" w:type="dxa"/>
                  <w:tcBorders>
                    <w:top w:val="nil"/>
                    <w:left w:val="nil"/>
                    <w:bottom w:val="nil"/>
                    <w:right w:val="nil"/>
                  </w:tcBorders>
                </w:tcPr>
                <w:p w14:paraId="2B88BE8A" w14:textId="77777777" w:rsidR="002E3983" w:rsidRPr="005D4222" w:rsidRDefault="002E3983" w:rsidP="00A53E8C">
                  <w:pPr>
                    <w:pStyle w:val="TableText"/>
                    <w:rPr>
                      <w:rFonts w:eastAsia="Wingdings"/>
                      <w:szCs w:val="21"/>
                    </w:rPr>
                  </w:pPr>
                </w:p>
              </w:tc>
            </w:tr>
          </w:tbl>
          <w:p w14:paraId="53E82852" w14:textId="609CAB7C" w:rsidR="002E3983" w:rsidRPr="005D4222" w:rsidRDefault="002E3983" w:rsidP="00A53E8C">
            <w:pPr>
              <w:pStyle w:val="Heading3"/>
            </w:pPr>
            <w:r w:rsidRPr="005D4222">
              <w:t xml:space="preserve">Table WCV-C-1/2: Data Elements for Child and Adolescent Well-Care Visits: </w:t>
            </w:r>
            <w:r w:rsidR="00B51CDC" w:rsidRPr="005D4222">
              <w:t>Stratifications</w:t>
            </w:r>
            <w:r w:rsidRPr="005D4222">
              <w:t xml:space="preserve"> by Ethnicity</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46"/>
              <w:gridCol w:w="1980"/>
              <w:gridCol w:w="1710"/>
              <w:gridCol w:w="1439"/>
            </w:tblGrid>
            <w:tr w:rsidR="002E3983" w:rsidRPr="005D4222" w14:paraId="5B85A5CE" w14:textId="77777777" w:rsidTr="00A53E8C">
              <w:tc>
                <w:tcPr>
                  <w:tcW w:w="2246" w:type="dxa"/>
                  <w:tcBorders>
                    <w:top w:val="single" w:sz="4" w:space="0" w:color="000000" w:themeColor="text1"/>
                    <w:left w:val="single" w:sz="4" w:space="0" w:color="000000" w:themeColor="text1"/>
                    <w:bottom w:val="single" w:sz="4" w:space="0" w:color="auto"/>
                    <w:right w:val="single" w:sz="4" w:space="0" w:color="FFFFFF" w:themeColor="background1"/>
                  </w:tcBorders>
                  <w:shd w:val="clear" w:color="auto" w:fill="000000" w:themeFill="text1"/>
                  <w:tcMar>
                    <w:left w:w="58" w:type="dxa"/>
                    <w:right w:w="58" w:type="dxa"/>
                  </w:tcMar>
                  <w:vAlign w:val="bottom"/>
                </w:tcPr>
                <w:p w14:paraId="0C5FA989" w14:textId="77777777" w:rsidR="002E3983" w:rsidRPr="005D4222" w:rsidRDefault="002E3983" w:rsidP="00A53E8C">
                  <w:pPr>
                    <w:pStyle w:val="TableHead"/>
                  </w:pPr>
                  <w:r w:rsidRPr="005D4222">
                    <w:t>Metric</w:t>
                  </w:r>
                </w:p>
              </w:tc>
              <w:tc>
                <w:tcPr>
                  <w:tcW w:w="198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58" w:type="dxa"/>
                    <w:right w:w="58" w:type="dxa"/>
                  </w:tcMar>
                  <w:vAlign w:val="bottom"/>
                </w:tcPr>
                <w:p w14:paraId="4CF794C8" w14:textId="77777777" w:rsidR="002E3983" w:rsidRPr="005D4222" w:rsidRDefault="002E3983" w:rsidP="00A53E8C">
                  <w:pPr>
                    <w:pStyle w:val="TableHead"/>
                  </w:pPr>
                  <w:r w:rsidRPr="005D4222">
                    <w:t>Ethnicity</w:t>
                  </w:r>
                </w:p>
              </w:tc>
              <w:tc>
                <w:tcPr>
                  <w:tcW w:w="171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58" w:type="dxa"/>
                    <w:right w:w="58" w:type="dxa"/>
                  </w:tcMar>
                  <w:vAlign w:val="bottom"/>
                </w:tcPr>
                <w:p w14:paraId="51139658" w14:textId="77777777" w:rsidR="002E3983" w:rsidRPr="005D4222" w:rsidRDefault="002E3983" w:rsidP="00A53E8C">
                  <w:pPr>
                    <w:pStyle w:val="TableHead"/>
                  </w:pPr>
                  <w:r w:rsidRPr="005D4222">
                    <w:t>Data Element</w:t>
                  </w:r>
                </w:p>
              </w:tc>
              <w:tc>
                <w:tcPr>
                  <w:tcW w:w="1439" w:type="dxa"/>
                  <w:tcBorders>
                    <w:top w:val="single" w:sz="4" w:space="0" w:color="000000" w:themeColor="text1"/>
                    <w:left w:val="single" w:sz="4" w:space="0" w:color="FFFFFF" w:themeColor="background1"/>
                    <w:bottom w:val="single" w:sz="4" w:space="0" w:color="000000" w:themeColor="text1"/>
                    <w:right w:val="single" w:sz="4" w:space="0" w:color="auto"/>
                  </w:tcBorders>
                  <w:shd w:val="clear" w:color="auto" w:fill="000000" w:themeFill="text1"/>
                  <w:tcMar>
                    <w:left w:w="58" w:type="dxa"/>
                    <w:right w:w="58" w:type="dxa"/>
                  </w:tcMar>
                  <w:vAlign w:val="bottom"/>
                </w:tcPr>
                <w:p w14:paraId="777B9810" w14:textId="77777777" w:rsidR="002E3983" w:rsidRPr="005D4222" w:rsidRDefault="002E3983" w:rsidP="00A53E8C">
                  <w:pPr>
                    <w:pStyle w:val="TableHead"/>
                  </w:pPr>
                  <w:r w:rsidRPr="005D4222">
                    <w:t>Reporting Instructions</w:t>
                  </w:r>
                </w:p>
              </w:tc>
            </w:tr>
            <w:tr w:rsidR="002E3983" w:rsidRPr="005D4222" w14:paraId="12FE345A" w14:textId="77777777" w:rsidTr="00A53E8C">
              <w:tc>
                <w:tcPr>
                  <w:tcW w:w="2246" w:type="dxa"/>
                  <w:tcBorders>
                    <w:top w:val="single" w:sz="4" w:space="0" w:color="auto"/>
                    <w:left w:val="single" w:sz="4" w:space="0" w:color="auto"/>
                    <w:bottom w:val="single" w:sz="4" w:space="0" w:color="auto"/>
                    <w:right w:val="single" w:sz="4" w:space="0" w:color="auto"/>
                  </w:tcBorders>
                  <w:tcMar>
                    <w:left w:w="58" w:type="dxa"/>
                    <w:right w:w="58" w:type="dxa"/>
                  </w:tcMar>
                </w:tcPr>
                <w:p w14:paraId="3136C3C0" w14:textId="77777777" w:rsidR="002E3983" w:rsidRPr="005D4222" w:rsidRDefault="002E3983" w:rsidP="00A53E8C">
                  <w:pPr>
                    <w:pStyle w:val="TableText"/>
                  </w:pPr>
                  <w:r w:rsidRPr="005D4222">
                    <w:t>ChildAdolescentWellVisits</w:t>
                  </w:r>
                </w:p>
              </w:tc>
              <w:tc>
                <w:tcPr>
                  <w:tcW w:w="1980" w:type="dxa"/>
                  <w:tcBorders>
                    <w:top w:val="single" w:sz="4" w:space="0" w:color="000000" w:themeColor="text1"/>
                    <w:left w:val="single" w:sz="4" w:space="0" w:color="auto"/>
                    <w:bottom w:val="single" w:sz="4" w:space="0" w:color="auto"/>
                    <w:right w:val="single" w:sz="4" w:space="0" w:color="auto"/>
                  </w:tcBorders>
                  <w:tcMar>
                    <w:left w:w="58" w:type="dxa"/>
                    <w:right w:w="58" w:type="dxa"/>
                  </w:tcMar>
                </w:tcPr>
                <w:p w14:paraId="1D007684" w14:textId="77777777" w:rsidR="002E3983" w:rsidRPr="005D4222" w:rsidRDefault="002E3983" w:rsidP="00A53E8C">
                  <w:pPr>
                    <w:pStyle w:val="TableText"/>
                  </w:pPr>
                  <w:r w:rsidRPr="005D4222">
                    <w:t>HispanicOrLatino</w:t>
                  </w:r>
                </w:p>
              </w:tc>
              <w:tc>
                <w:tcPr>
                  <w:tcW w:w="1710" w:type="dxa"/>
                  <w:tcBorders>
                    <w:top w:val="single" w:sz="4" w:space="0" w:color="000000" w:themeColor="text1"/>
                    <w:left w:val="single" w:sz="4" w:space="0" w:color="auto"/>
                    <w:bottom w:val="single" w:sz="4" w:space="0" w:color="auto"/>
                    <w:right w:val="single" w:sz="4" w:space="0" w:color="auto"/>
                  </w:tcBorders>
                  <w:tcMar>
                    <w:left w:w="58" w:type="dxa"/>
                    <w:right w:w="58" w:type="dxa"/>
                  </w:tcMar>
                </w:tcPr>
                <w:p w14:paraId="35CF70A8" w14:textId="77777777" w:rsidR="002E3983" w:rsidRPr="005D4222" w:rsidRDefault="002E3983" w:rsidP="00A53E8C">
                  <w:pPr>
                    <w:pStyle w:val="TableText"/>
                  </w:pPr>
                  <w:r w:rsidRPr="005D4222">
                    <w:t>Denominator</w:t>
                  </w:r>
                </w:p>
              </w:tc>
              <w:tc>
                <w:tcPr>
                  <w:tcW w:w="1439" w:type="dxa"/>
                  <w:tcBorders>
                    <w:top w:val="single" w:sz="4" w:space="0" w:color="000000" w:themeColor="text1"/>
                    <w:left w:val="single" w:sz="4" w:space="0" w:color="auto"/>
                    <w:bottom w:val="single" w:sz="6" w:space="0" w:color="auto"/>
                    <w:right w:val="single" w:sz="4" w:space="0" w:color="auto"/>
                  </w:tcBorders>
                  <w:tcMar>
                    <w:left w:w="58" w:type="dxa"/>
                    <w:right w:w="58" w:type="dxa"/>
                  </w:tcMar>
                </w:tcPr>
                <w:p w14:paraId="7221BA8A" w14:textId="77777777" w:rsidR="002E3983" w:rsidRPr="005D4222" w:rsidRDefault="002E3983" w:rsidP="00A53E8C">
                  <w:pPr>
                    <w:pStyle w:val="TableText"/>
                    <w:rPr>
                      <w:rFonts w:eastAsia="Wingdings"/>
                    </w:rPr>
                  </w:pPr>
                  <w:r w:rsidRPr="005D4222">
                    <w:rPr>
                      <w:rFonts w:eastAsia="Wingdings"/>
                    </w:rPr>
                    <w:t>For each Stratification</w:t>
                  </w:r>
                </w:p>
              </w:tc>
            </w:tr>
            <w:tr w:rsidR="002E3983" w:rsidRPr="005D4222" w14:paraId="0127B2F7" w14:textId="77777777" w:rsidTr="00A53E8C">
              <w:tc>
                <w:tcPr>
                  <w:tcW w:w="2246" w:type="dxa"/>
                  <w:tcBorders>
                    <w:top w:val="single" w:sz="4" w:space="0" w:color="auto"/>
                    <w:left w:val="nil"/>
                    <w:bottom w:val="nil"/>
                    <w:right w:val="single" w:sz="4" w:space="0" w:color="auto"/>
                  </w:tcBorders>
                  <w:shd w:val="clear" w:color="auto" w:fill="FFFFFF" w:themeFill="background1"/>
                  <w:tcMar>
                    <w:left w:w="58" w:type="dxa"/>
                    <w:right w:w="58" w:type="dxa"/>
                  </w:tcMar>
                </w:tcPr>
                <w:p w14:paraId="3D2B09AE" w14:textId="77777777" w:rsidR="002E3983" w:rsidRPr="005D4222" w:rsidRDefault="002E3983" w:rsidP="00A53E8C">
                  <w:pPr>
                    <w:pStyle w:val="TableText"/>
                  </w:pP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371F3FC3" w14:textId="77777777" w:rsidR="002E3983" w:rsidRPr="005D4222" w:rsidRDefault="002E3983" w:rsidP="00A53E8C">
                  <w:pPr>
                    <w:pStyle w:val="TableText"/>
                  </w:pPr>
                  <w:r w:rsidRPr="005D4222">
                    <w:t>NotHispanicOrLatino</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44DDF6BA" w14:textId="77777777" w:rsidR="002E3983" w:rsidRPr="005D4222" w:rsidRDefault="002E3983" w:rsidP="00A53E8C">
                  <w:pPr>
                    <w:pStyle w:val="TableText"/>
                  </w:pPr>
                  <w:r w:rsidRPr="005D4222">
                    <w:t>Numerator</w:t>
                  </w:r>
                </w:p>
              </w:tc>
              <w:tc>
                <w:tcPr>
                  <w:tcW w:w="1439" w:type="dxa"/>
                  <w:tcBorders>
                    <w:left w:val="single" w:sz="4" w:space="0" w:color="auto"/>
                    <w:bottom w:val="single" w:sz="4" w:space="0" w:color="auto"/>
                    <w:right w:val="single" w:sz="4" w:space="0" w:color="auto"/>
                  </w:tcBorders>
                  <w:shd w:val="clear" w:color="auto" w:fill="FFFFFF" w:themeFill="background1"/>
                  <w:tcMar>
                    <w:left w:w="58" w:type="dxa"/>
                    <w:right w:w="58" w:type="dxa"/>
                  </w:tcMar>
                </w:tcPr>
                <w:p w14:paraId="124F2413" w14:textId="77777777" w:rsidR="002E3983" w:rsidRPr="005D4222" w:rsidRDefault="002E3983" w:rsidP="00A53E8C">
                  <w:pPr>
                    <w:pStyle w:val="TableText"/>
                    <w:rPr>
                      <w:rFonts w:eastAsia="Wingdings"/>
                    </w:rPr>
                  </w:pPr>
                  <w:r w:rsidRPr="005D4222">
                    <w:rPr>
                      <w:rFonts w:eastAsia="Wingdings"/>
                    </w:rPr>
                    <w:t>For each Stratification</w:t>
                  </w:r>
                </w:p>
              </w:tc>
            </w:tr>
            <w:tr w:rsidR="002E3983" w:rsidRPr="005D4222" w14:paraId="137398A9" w14:textId="77777777" w:rsidTr="007B5FC3">
              <w:tc>
                <w:tcPr>
                  <w:tcW w:w="2246" w:type="dxa"/>
                  <w:tcBorders>
                    <w:top w:val="nil"/>
                    <w:left w:val="nil"/>
                    <w:bottom w:val="nil"/>
                    <w:right w:val="nil"/>
                  </w:tcBorders>
                  <w:shd w:val="clear" w:color="auto" w:fill="FFFFFF" w:themeFill="background1"/>
                  <w:tcMar>
                    <w:left w:w="58" w:type="dxa"/>
                    <w:right w:w="58" w:type="dxa"/>
                  </w:tcMar>
                </w:tcPr>
                <w:p w14:paraId="6B095AD6" w14:textId="77777777" w:rsidR="002E3983" w:rsidRPr="005D4222" w:rsidRDefault="002E3983" w:rsidP="00A53E8C">
                  <w:pPr>
                    <w:pStyle w:val="TableText"/>
                  </w:pPr>
                </w:p>
              </w:tc>
              <w:tc>
                <w:tcPr>
                  <w:tcW w:w="1980" w:type="dxa"/>
                  <w:tcBorders>
                    <w:top w:val="single" w:sz="4" w:space="0" w:color="auto"/>
                    <w:left w:val="single" w:sz="4" w:space="0" w:color="auto"/>
                    <w:bottom w:val="single" w:sz="4" w:space="0" w:color="auto"/>
                    <w:right w:val="single" w:sz="4" w:space="0" w:color="auto"/>
                  </w:tcBorders>
                  <w:tcMar>
                    <w:left w:w="58" w:type="dxa"/>
                    <w:right w:w="58" w:type="dxa"/>
                  </w:tcMar>
                </w:tcPr>
                <w:p w14:paraId="60EEAAEB" w14:textId="77777777" w:rsidR="002E3983" w:rsidRPr="005D4222" w:rsidRDefault="002E3983" w:rsidP="00A53E8C">
                  <w:pPr>
                    <w:pStyle w:val="TableText"/>
                  </w:pPr>
                  <w:r w:rsidRPr="005D4222">
                    <w:t>AskedButNoAnswer</w:t>
                  </w:r>
                </w:p>
              </w:tc>
              <w:tc>
                <w:tcPr>
                  <w:tcW w:w="17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58" w:type="dxa"/>
                    <w:right w:w="58" w:type="dxa"/>
                  </w:tcMar>
                </w:tcPr>
                <w:p w14:paraId="3F1FE365" w14:textId="77777777" w:rsidR="002E3983" w:rsidRPr="005D4222" w:rsidRDefault="002E3983" w:rsidP="00A53E8C">
                  <w:pPr>
                    <w:pStyle w:val="TableText"/>
                  </w:pPr>
                  <w:r w:rsidRPr="005D4222">
                    <w:t>Rate</w:t>
                  </w:r>
                </w:p>
              </w:tc>
              <w:tc>
                <w:tcPr>
                  <w:tcW w:w="14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58" w:type="dxa"/>
                    <w:right w:w="58" w:type="dxa"/>
                  </w:tcMar>
                </w:tcPr>
                <w:p w14:paraId="4563745B" w14:textId="77777777" w:rsidR="002E3983" w:rsidRPr="005D4222" w:rsidRDefault="002E3983" w:rsidP="00A53E8C">
                  <w:pPr>
                    <w:pStyle w:val="TableText"/>
                    <w:rPr>
                      <w:rFonts w:eastAsia="Wingdings"/>
                    </w:rPr>
                  </w:pPr>
                  <w:r w:rsidRPr="005D4222">
                    <w:rPr>
                      <w:rFonts w:eastAsia="Wingdings"/>
                    </w:rPr>
                    <w:t>(Percent)</w:t>
                  </w:r>
                </w:p>
              </w:tc>
            </w:tr>
            <w:tr w:rsidR="002E3983" w:rsidRPr="005D4222" w14:paraId="6FF41239" w14:textId="77777777" w:rsidTr="007B5FC3">
              <w:tc>
                <w:tcPr>
                  <w:tcW w:w="2246" w:type="dxa"/>
                  <w:tcBorders>
                    <w:top w:val="nil"/>
                    <w:left w:val="nil"/>
                    <w:bottom w:val="nil"/>
                    <w:right w:val="nil"/>
                  </w:tcBorders>
                  <w:shd w:val="clear" w:color="auto" w:fill="FFFFFF" w:themeFill="background1"/>
                  <w:tcMar>
                    <w:left w:w="58" w:type="dxa"/>
                    <w:right w:w="58" w:type="dxa"/>
                  </w:tcMar>
                </w:tcPr>
                <w:p w14:paraId="54B43774" w14:textId="77777777" w:rsidR="002E3983" w:rsidRPr="005D4222" w:rsidRDefault="002E3983" w:rsidP="00A53E8C">
                  <w:pPr>
                    <w:pStyle w:val="TableText"/>
                  </w:pPr>
                </w:p>
              </w:tc>
              <w:tc>
                <w:tcPr>
                  <w:tcW w:w="1980" w:type="dxa"/>
                  <w:tcBorders>
                    <w:top w:val="single" w:sz="4" w:space="0" w:color="auto"/>
                    <w:left w:val="single" w:sz="4" w:space="0" w:color="auto"/>
                    <w:bottom w:val="single" w:sz="4" w:space="0" w:color="auto"/>
                    <w:right w:val="single" w:sz="4" w:space="0" w:color="auto"/>
                  </w:tcBorders>
                  <w:tcMar>
                    <w:left w:w="58" w:type="dxa"/>
                    <w:right w:w="58" w:type="dxa"/>
                  </w:tcMar>
                </w:tcPr>
                <w:p w14:paraId="20C02F7D" w14:textId="77777777" w:rsidR="002E3983" w:rsidRPr="005D4222" w:rsidRDefault="002E3983" w:rsidP="00A53E8C">
                  <w:pPr>
                    <w:pStyle w:val="TableText"/>
                  </w:pPr>
                  <w:r w:rsidRPr="005D4222">
                    <w:t>Unknown</w:t>
                  </w:r>
                </w:p>
              </w:tc>
              <w:tc>
                <w:tcPr>
                  <w:tcW w:w="1710" w:type="dxa"/>
                  <w:tcBorders>
                    <w:top w:val="single" w:sz="4" w:space="0" w:color="auto"/>
                    <w:left w:val="single" w:sz="4" w:space="0" w:color="auto"/>
                    <w:bottom w:val="nil"/>
                    <w:right w:val="nil"/>
                  </w:tcBorders>
                  <w:tcMar>
                    <w:left w:w="58" w:type="dxa"/>
                    <w:right w:w="58" w:type="dxa"/>
                  </w:tcMar>
                </w:tcPr>
                <w:p w14:paraId="07EA99CB" w14:textId="77777777" w:rsidR="002E3983" w:rsidRPr="005D4222" w:rsidRDefault="002E3983" w:rsidP="00A53E8C">
                  <w:pPr>
                    <w:pStyle w:val="TableText"/>
                  </w:pPr>
                </w:p>
              </w:tc>
              <w:tc>
                <w:tcPr>
                  <w:tcW w:w="1439" w:type="dxa"/>
                  <w:tcBorders>
                    <w:top w:val="single" w:sz="4" w:space="0" w:color="auto"/>
                    <w:left w:val="nil"/>
                    <w:bottom w:val="nil"/>
                    <w:right w:val="nil"/>
                  </w:tcBorders>
                  <w:tcMar>
                    <w:left w:w="58" w:type="dxa"/>
                    <w:right w:w="58" w:type="dxa"/>
                  </w:tcMar>
                </w:tcPr>
                <w:p w14:paraId="4E1AA9E2" w14:textId="77777777" w:rsidR="002E3983" w:rsidRPr="005D4222" w:rsidRDefault="002E3983" w:rsidP="00A53E8C">
                  <w:pPr>
                    <w:pStyle w:val="TableText"/>
                    <w:rPr>
                      <w:rFonts w:eastAsia="Wingdings"/>
                    </w:rPr>
                  </w:pPr>
                </w:p>
              </w:tc>
            </w:tr>
          </w:tbl>
          <w:p w14:paraId="016C0DB8" w14:textId="77777777" w:rsidR="002E3983" w:rsidRPr="005D4222" w:rsidRDefault="002E3983" w:rsidP="00A53E8C">
            <w:pPr>
              <w:pStyle w:val="ECDSBody"/>
            </w:pPr>
          </w:p>
        </w:tc>
      </w:tr>
      <w:tr w:rsidR="002E3983" w:rsidRPr="005D4222" w14:paraId="3B82732B"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B932730" w14:textId="77777777" w:rsidR="002E3983" w:rsidRPr="005D4222" w:rsidRDefault="002E3983" w:rsidP="00A53E8C">
            <w:pPr>
              <w:pStyle w:val="ECDSMarginHead"/>
            </w:pPr>
            <w:r w:rsidRPr="005D4222">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7530E14" w14:textId="77777777" w:rsidR="002E3983" w:rsidRPr="005D4222" w:rsidRDefault="002E3983" w:rsidP="00A53E8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384FE8D9" w14:textId="77777777" w:rsidR="002E3983" w:rsidRPr="005D4222" w:rsidRDefault="002E3983" w:rsidP="00A53E8C">
            <w:pPr>
              <w:pStyle w:val="ECDSBody"/>
              <w:rPr>
                <w:b/>
              </w:rPr>
            </w:pPr>
            <w:r w:rsidRPr="005D4222">
              <w:rPr>
                <w:b/>
              </w:rPr>
              <w:t>Adjusted HEDIS measures may not be used for HEDIS health plan reporting.</w:t>
            </w:r>
          </w:p>
          <w:p w14:paraId="6CA4AB47" w14:textId="77777777" w:rsidR="002E3983" w:rsidRPr="005D4222" w:rsidRDefault="002E3983" w:rsidP="00A53E8C">
            <w:pPr>
              <w:pStyle w:val="Adjustments"/>
              <w:rPr>
                <w:b w:val="0"/>
              </w:rPr>
            </w:pPr>
            <w:r w:rsidRPr="005D4222">
              <w:t>Adjustments</w:t>
            </w:r>
            <w:r w:rsidRPr="005D4222">
              <w:rPr>
                <w:bCs/>
              </w:rPr>
              <w:t xml:space="preserve"> a</w:t>
            </w:r>
            <w:r w:rsidRPr="005D4222">
              <w:t>llowed</w:t>
            </w:r>
          </w:p>
          <w:p w14:paraId="044BAE3E" w14:textId="45355AB7" w:rsidR="002E3983" w:rsidRPr="005D4222" w:rsidRDefault="002E3983" w:rsidP="002E3983">
            <w:pPr>
              <w:pStyle w:val="ProcessBullet"/>
              <w:tabs>
                <w:tab w:val="left" w:pos="216"/>
              </w:tabs>
            </w:pPr>
            <w:r w:rsidRPr="005D4222">
              <w:rPr>
                <w:i/>
                <w:iCs/>
              </w:rPr>
              <w:t>Product lines.</w:t>
            </w:r>
            <w:r w:rsidRPr="005D4222">
              <w:t xml:space="preserve"> </w:t>
            </w:r>
            <w:r w:rsidRPr="005D4222">
              <w:rPr>
                <w:rStyle w:val="ProcessBulletChar"/>
              </w:rPr>
              <w:t>Organizations are not required to use product line criteria; product lines may be combined</w:t>
            </w:r>
            <w:r w:rsidR="00E8671F" w:rsidRPr="005D4222">
              <w:rPr>
                <w:rStyle w:val="ProcessBulletChar"/>
              </w:rPr>
              <w:t>,</w:t>
            </w:r>
            <w:r w:rsidRPr="005D4222">
              <w:rPr>
                <w:rStyle w:val="ProcessBulletChar"/>
              </w:rPr>
              <w:t xml:space="preserve"> and all (or no) product line criteria may be used.</w:t>
            </w:r>
          </w:p>
          <w:p w14:paraId="66684648" w14:textId="475176D5" w:rsidR="002E3983" w:rsidRPr="005D4222" w:rsidRDefault="002E3983" w:rsidP="002E3983">
            <w:pPr>
              <w:pStyle w:val="ProcessBullet"/>
              <w:tabs>
                <w:tab w:val="left" w:pos="216"/>
              </w:tabs>
              <w:spacing w:after="80"/>
            </w:pPr>
            <w:r w:rsidRPr="005D4222">
              <w:rPr>
                <w:i/>
                <w:iCs/>
              </w:rPr>
              <w:t xml:space="preserve">Attribution. </w:t>
            </w:r>
            <w:r w:rsidRPr="005D4222">
              <w:t>Organizations are not required to use enrollment criteria.</w:t>
            </w:r>
          </w:p>
          <w:p w14:paraId="2F67C878" w14:textId="1B48A0BF" w:rsidR="002E3983" w:rsidRPr="005D4222" w:rsidRDefault="00362E76" w:rsidP="002E3983">
            <w:pPr>
              <w:pStyle w:val="ProcessBullet"/>
              <w:tabs>
                <w:tab w:val="left" w:pos="216"/>
              </w:tabs>
              <w:spacing w:after="80"/>
              <w:rPr>
                <w:b/>
                <w:kern w:val="24"/>
              </w:rPr>
            </w:pPr>
            <w:r w:rsidRPr="005D4222">
              <w:rPr>
                <w:i/>
                <w:iCs/>
              </w:rPr>
              <w:t>Benefits.</w:t>
            </w:r>
            <w:r w:rsidR="002E3983" w:rsidRPr="005D4222">
              <w:t xml:space="preserve"> Organizations are not required to use a benefit.</w:t>
            </w:r>
          </w:p>
        </w:tc>
      </w:tr>
    </w:tbl>
    <w:p w14:paraId="4C4B9148" w14:textId="77777777" w:rsidR="00610628" w:rsidRPr="005D4222" w:rsidRDefault="00610628"/>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2E3983" w:rsidRPr="005D4222" w14:paraId="71E36380"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E8AAC01" w14:textId="77777777" w:rsidR="002E3983" w:rsidRPr="005D4222" w:rsidRDefault="002E3983"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8AEB6A0" w14:textId="77777777" w:rsidR="002E3983" w:rsidRPr="005D4222" w:rsidRDefault="002E3983" w:rsidP="002E3983">
            <w:pPr>
              <w:pStyle w:val="ProcessBullet"/>
              <w:tabs>
                <w:tab w:val="left" w:pos="216"/>
              </w:tabs>
            </w:pPr>
            <w:r w:rsidRPr="005D4222">
              <w:rPr>
                <w:i/>
                <w:iCs/>
              </w:rPr>
              <w:t>Other.</w:t>
            </w:r>
            <w:r w:rsidRPr="005D4222">
              <w:t xml:space="preserve"> Organizations may use additional initial population criteria to focus on an area of interest defined by gender, race, ethnicity, socio-economic or sociodemographic characteristics, geographic region or another characteristic.  </w:t>
            </w:r>
          </w:p>
          <w:p w14:paraId="61A114CE" w14:textId="77777777" w:rsidR="002E3983" w:rsidRPr="005D4222" w:rsidRDefault="002E3983" w:rsidP="002E3983">
            <w:pPr>
              <w:pStyle w:val="ProcessBullet"/>
              <w:tabs>
                <w:tab w:val="left" w:pos="216"/>
              </w:tabs>
              <w:spacing w:after="80"/>
            </w:pPr>
            <w:r w:rsidRPr="005D4222">
              <w:rPr>
                <w:i/>
                <w:iCs/>
              </w:rPr>
              <w:t xml:space="preserve">Measurement period adjustments. </w:t>
            </w:r>
            <w:r w:rsidRPr="005D4222">
              <w:t xml:space="preserve">Organizations may adjust the measurement period. </w:t>
            </w:r>
          </w:p>
          <w:p w14:paraId="7BA80643" w14:textId="77777777" w:rsidR="002E3983" w:rsidRPr="005D4222" w:rsidRDefault="002E3983" w:rsidP="002E3983">
            <w:pPr>
              <w:pStyle w:val="ProcessBullet"/>
              <w:tabs>
                <w:tab w:val="left" w:pos="216"/>
              </w:tabs>
              <w:ind w:left="177" w:hanging="177"/>
              <w:rPr>
                <w:color w:val="000000" w:themeColor="text1"/>
              </w:rPr>
            </w:pPr>
            <w:r w:rsidRPr="005D4222">
              <w:rPr>
                <w:i/>
                <w:iCs/>
                <w:color w:val="000000" w:themeColor="text1"/>
              </w:rPr>
              <w:t xml:space="preserve">Stratifications: </w:t>
            </w:r>
            <w:r w:rsidRPr="005D4222">
              <w:rPr>
                <w:color w:val="000000" w:themeColor="text1"/>
              </w:rPr>
              <w:t>Race and ethnicity stratification.</w:t>
            </w:r>
            <w:r w:rsidRPr="005D4222">
              <w:rPr>
                <w:i/>
                <w:iCs/>
                <w:color w:val="000000" w:themeColor="text1"/>
              </w:rPr>
              <w:t xml:space="preserve"> </w:t>
            </w:r>
            <w:r w:rsidRPr="005D4222">
              <w:rPr>
                <w:color w:val="000000" w:themeColor="text1"/>
              </w:rPr>
              <w:t>The race and ethnicity stratification is not required. Organizations may adjust this stratification as needed.</w:t>
            </w:r>
          </w:p>
          <w:p w14:paraId="780539F6" w14:textId="77777777" w:rsidR="002E3983" w:rsidRPr="005D4222" w:rsidRDefault="002E3983" w:rsidP="002E3983">
            <w:pPr>
              <w:pStyle w:val="ProcessBullet"/>
              <w:tabs>
                <w:tab w:val="left" w:pos="216"/>
              </w:tabs>
            </w:pPr>
            <w:r w:rsidRPr="005D4222">
              <w:rPr>
                <w:i/>
                <w:iCs/>
              </w:rPr>
              <w:t xml:space="preserve">Exclusions. </w:t>
            </w:r>
            <w:r w:rsidRPr="005D4222">
              <w:t xml:space="preserve">The hospice and deceased person exclusions are not required. </w:t>
            </w:r>
          </w:p>
          <w:p w14:paraId="7B8D9BDB" w14:textId="77777777" w:rsidR="002E3983" w:rsidRPr="005D4222" w:rsidRDefault="002E3983" w:rsidP="002E3983">
            <w:pPr>
              <w:pStyle w:val="ProcessBullet"/>
              <w:tabs>
                <w:tab w:val="left" w:pos="216"/>
              </w:tabs>
            </w:pPr>
            <w:r w:rsidRPr="005D4222">
              <w:rPr>
                <w:i/>
                <w:iCs/>
              </w:rPr>
              <w:t xml:space="preserve">Supplemental data. </w:t>
            </w:r>
            <w:r w:rsidRPr="005D4222">
              <w:t>Supplemental data may be used to identify initial population, denominator, exclusion and numerator events.</w:t>
            </w:r>
          </w:p>
          <w:p w14:paraId="02A12CC1" w14:textId="77777777" w:rsidR="002E3983" w:rsidRPr="005D4222" w:rsidRDefault="002E3983" w:rsidP="002E3983">
            <w:pPr>
              <w:pStyle w:val="Adjustments"/>
              <w:rPr>
                <w:b w:val="0"/>
              </w:rPr>
            </w:pPr>
            <w:r w:rsidRPr="005D4222">
              <w:t>Adjustments allowed with limits</w:t>
            </w:r>
          </w:p>
          <w:p w14:paraId="7C3E95E4" w14:textId="77777777" w:rsidR="002E3983" w:rsidRPr="005D4222" w:rsidRDefault="002E3983" w:rsidP="002E3983">
            <w:pPr>
              <w:pStyle w:val="ProcessBullet"/>
              <w:tabs>
                <w:tab w:val="left" w:pos="216"/>
              </w:tabs>
            </w:pPr>
            <w:r w:rsidRPr="005D4222">
              <w:rPr>
                <w:i/>
                <w:iCs/>
              </w:rPr>
              <w:t>Ages</w:t>
            </w:r>
            <w:r w:rsidRPr="005D4222">
              <w:t>. The age determination dates may be changed (e.g., select, “age 15 months as of June 30”). The denominator age may be changed if the range is within the specified age range (3–21 years). Organizations must consult American Academy of Pediatrics guidelines when considering whether to expand the age ranges outside the current thresholds.</w:t>
            </w:r>
          </w:p>
          <w:p w14:paraId="08094B5D" w14:textId="77777777" w:rsidR="002E3983" w:rsidRPr="005D4222" w:rsidRDefault="002E3983" w:rsidP="002E3983">
            <w:pPr>
              <w:pStyle w:val="Adjustments"/>
              <w:rPr>
                <w:b w:val="0"/>
              </w:rPr>
            </w:pPr>
            <w:r w:rsidRPr="005D4222">
              <w:t>Adjustments not allowed</w:t>
            </w:r>
          </w:p>
          <w:p w14:paraId="679CD8D1" w14:textId="6AFA450D" w:rsidR="002E3983" w:rsidRPr="005D4222" w:rsidRDefault="00DE550E" w:rsidP="002E3983">
            <w:pPr>
              <w:pStyle w:val="ProcessBullet"/>
              <w:tabs>
                <w:tab w:val="left" w:pos="216"/>
              </w:tabs>
            </w:pPr>
            <w:r w:rsidRPr="005D4222">
              <w:rPr>
                <w:i/>
                <w:iCs/>
              </w:rPr>
              <w:t>Numerator.</w:t>
            </w:r>
            <w:r w:rsidR="002E3983" w:rsidRPr="005D4222">
              <w:t xml:space="preserve"> Value sets and logic may not be changed. </w:t>
            </w:r>
          </w:p>
          <w:p w14:paraId="28F59F0C" w14:textId="220542D3" w:rsidR="002E3983" w:rsidRPr="005D4222" w:rsidRDefault="002E3983" w:rsidP="00A53E8C">
            <w:pPr>
              <w:pStyle w:val="ProcessBullet"/>
              <w:tabs>
                <w:tab w:val="left" w:pos="216"/>
              </w:tabs>
              <w:spacing w:after="80"/>
              <w:rPr>
                <w:b/>
                <w:kern w:val="24"/>
              </w:rPr>
            </w:pPr>
            <w:r w:rsidRPr="005D4222">
              <w:rPr>
                <w:i/>
                <w:iCs/>
              </w:rPr>
              <w:t>Telehealth</w:t>
            </w:r>
            <w:r w:rsidRPr="005D4222">
              <w:t xml:space="preserve">. Organizations may not include telehealth services for this measure. </w:t>
            </w:r>
          </w:p>
        </w:tc>
      </w:tr>
    </w:tbl>
    <w:p w14:paraId="685F7F6F" w14:textId="77777777" w:rsidR="002E3983" w:rsidRPr="005D4222" w:rsidRDefault="002E3983" w:rsidP="00693F03">
      <w:pPr>
        <w:pStyle w:val="ECDSBody"/>
        <w:sectPr w:rsidR="002E3983" w:rsidRPr="005D4222" w:rsidSect="0074514A">
          <w:headerReference w:type="default" r:id="rId192"/>
          <w:type w:val="nextColumn"/>
          <w:pgSz w:w="12240" w:h="15840" w:code="1"/>
          <w:pgMar w:top="1080" w:right="1080" w:bottom="1080" w:left="1440" w:header="720" w:footer="720" w:gutter="0"/>
          <w:cols w:space="720"/>
          <w:docGrid w:linePitch="360"/>
        </w:sectPr>
      </w:pPr>
    </w:p>
    <w:p w14:paraId="679E0A34" w14:textId="70A30E87" w:rsidR="00693F03" w:rsidRPr="005D4222" w:rsidRDefault="00285652" w:rsidP="00285652">
      <w:pPr>
        <w:pStyle w:val="MeasureTitle"/>
        <w:rPr>
          <w:szCs w:val="21"/>
        </w:rPr>
      </w:pPr>
      <w:bookmarkStart w:id="392" w:name="_Toc201813451"/>
      <w:r w:rsidRPr="005D4222">
        <w:rPr>
          <w:szCs w:val="21"/>
        </w:rPr>
        <w:lastRenderedPageBreak/>
        <w:t>Antibiotic Utilization for Respiratory Conditions</w:t>
      </w:r>
      <w:r w:rsidR="0096709F" w:rsidRPr="005D4222">
        <w:rPr>
          <w:szCs w:val="21"/>
        </w:rPr>
        <w:t xml:space="preserve"> (AXR)</w:t>
      </w:r>
      <w:bookmarkEnd w:id="392"/>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4838"/>
        <w:gridCol w:w="1526"/>
        <w:gridCol w:w="1193"/>
      </w:tblGrid>
      <w:tr w:rsidR="00065ECE" w:rsidRPr="005D4222" w14:paraId="43AADB21" w14:textId="77777777" w:rsidTr="00A53E8C">
        <w:tc>
          <w:tcPr>
            <w:tcW w:w="2157" w:type="dxa"/>
            <w:shd w:val="clear" w:color="auto" w:fill="BFBFBF" w:themeFill="background1" w:themeFillShade="BF"/>
            <w:tcMar>
              <w:top w:w="0" w:type="dxa"/>
              <w:left w:w="86" w:type="dxa"/>
              <w:bottom w:w="43" w:type="dxa"/>
              <w:right w:w="86" w:type="dxa"/>
            </w:tcMar>
            <w:hideMark/>
          </w:tcPr>
          <w:p w14:paraId="45838FC0" w14:textId="77777777" w:rsidR="00065ECE" w:rsidRPr="005D4222" w:rsidRDefault="00065ECE" w:rsidP="00A53E8C">
            <w:pPr>
              <w:pStyle w:val="ECDSMarginHead"/>
            </w:pPr>
            <w:r w:rsidRPr="005D4222">
              <w:t>Measure title</w:t>
            </w:r>
          </w:p>
        </w:tc>
        <w:tc>
          <w:tcPr>
            <w:tcW w:w="4838" w:type="dxa"/>
            <w:tcMar>
              <w:top w:w="0" w:type="dxa"/>
              <w:left w:w="86" w:type="dxa"/>
              <w:bottom w:w="43" w:type="dxa"/>
              <w:right w:w="86" w:type="dxa"/>
            </w:tcMar>
          </w:tcPr>
          <w:p w14:paraId="632EA252" w14:textId="77777777" w:rsidR="00065ECE" w:rsidRPr="005D4222" w:rsidRDefault="00065ECE" w:rsidP="00571BA8">
            <w:pPr>
              <w:pStyle w:val="ECDSBody"/>
            </w:pPr>
            <w:r w:rsidRPr="005D4222">
              <w:t>Antibiotic Utilization for Respiratory Conditions</w:t>
            </w:r>
          </w:p>
        </w:tc>
        <w:tc>
          <w:tcPr>
            <w:tcW w:w="1526" w:type="dxa"/>
            <w:shd w:val="clear" w:color="auto" w:fill="BFBFBF" w:themeFill="background1" w:themeFillShade="BF"/>
            <w:tcMar>
              <w:top w:w="0" w:type="dxa"/>
              <w:left w:w="86" w:type="dxa"/>
              <w:bottom w:w="43" w:type="dxa"/>
              <w:right w:w="86" w:type="dxa"/>
            </w:tcMar>
          </w:tcPr>
          <w:p w14:paraId="0F16215F" w14:textId="77777777" w:rsidR="00065ECE" w:rsidRPr="005D4222" w:rsidRDefault="00065ECE" w:rsidP="00571BA8">
            <w:pPr>
              <w:pStyle w:val="ECDSMarginHead"/>
            </w:pPr>
            <w:r w:rsidRPr="005D4222">
              <w:t>Measure ID</w:t>
            </w:r>
          </w:p>
        </w:tc>
        <w:tc>
          <w:tcPr>
            <w:tcW w:w="1193" w:type="dxa"/>
            <w:tcMar>
              <w:top w:w="0" w:type="dxa"/>
              <w:left w:w="86" w:type="dxa"/>
              <w:bottom w:w="43" w:type="dxa"/>
              <w:right w:w="86" w:type="dxa"/>
            </w:tcMar>
          </w:tcPr>
          <w:p w14:paraId="5F0AFD78" w14:textId="77777777" w:rsidR="00065ECE" w:rsidRPr="005D4222" w:rsidRDefault="00065ECE" w:rsidP="00571BA8">
            <w:pPr>
              <w:pStyle w:val="ECDSBody"/>
            </w:pPr>
            <w:r w:rsidRPr="005D4222">
              <w:t>AXR</w:t>
            </w:r>
          </w:p>
        </w:tc>
      </w:tr>
      <w:tr w:rsidR="00065ECE" w:rsidRPr="005D4222" w14:paraId="25F2A96E" w14:textId="77777777" w:rsidTr="00A53E8C">
        <w:tc>
          <w:tcPr>
            <w:tcW w:w="2157" w:type="dxa"/>
            <w:shd w:val="clear" w:color="auto" w:fill="BFBFBF" w:themeFill="background1" w:themeFillShade="BF"/>
            <w:tcMar>
              <w:top w:w="0" w:type="dxa"/>
              <w:left w:w="86" w:type="dxa"/>
              <w:bottom w:w="43" w:type="dxa"/>
              <w:right w:w="86" w:type="dxa"/>
            </w:tcMar>
            <w:hideMark/>
          </w:tcPr>
          <w:p w14:paraId="0CA56878" w14:textId="77777777" w:rsidR="00065ECE" w:rsidRPr="005D4222" w:rsidRDefault="00065ECE" w:rsidP="00A53E8C">
            <w:pPr>
              <w:pStyle w:val="ECDSMarginHead"/>
            </w:pPr>
            <w:r w:rsidRPr="005D4222">
              <w:t>Description</w:t>
            </w:r>
          </w:p>
        </w:tc>
        <w:tc>
          <w:tcPr>
            <w:tcW w:w="7557" w:type="dxa"/>
            <w:gridSpan w:val="3"/>
            <w:tcMar>
              <w:top w:w="0" w:type="dxa"/>
              <w:left w:w="86" w:type="dxa"/>
              <w:bottom w:w="43" w:type="dxa"/>
              <w:right w:w="86" w:type="dxa"/>
            </w:tcMar>
          </w:tcPr>
          <w:p w14:paraId="40A57127" w14:textId="77777777" w:rsidR="00065ECE" w:rsidRPr="005D4222" w:rsidRDefault="00065ECE" w:rsidP="00571BA8">
            <w:pPr>
              <w:pStyle w:val="ECDSBody"/>
            </w:pPr>
            <w:r w:rsidRPr="005D4222">
              <w:t xml:space="preserve">The percentage of episodes for persons 3 months of age and older with a diagnosis of a respiratory condition that resulted in an antibiotic dispensing event. </w:t>
            </w:r>
          </w:p>
        </w:tc>
      </w:tr>
      <w:tr w:rsidR="00065ECE" w:rsidRPr="005D4222" w14:paraId="09F04C3F" w14:textId="77777777" w:rsidTr="00A53E8C">
        <w:tc>
          <w:tcPr>
            <w:tcW w:w="2157" w:type="dxa"/>
            <w:shd w:val="clear" w:color="auto" w:fill="BFBFBF" w:themeFill="background1" w:themeFillShade="BF"/>
            <w:tcMar>
              <w:top w:w="0" w:type="dxa"/>
              <w:left w:w="86" w:type="dxa"/>
              <w:bottom w:w="43" w:type="dxa"/>
              <w:right w:w="86" w:type="dxa"/>
            </w:tcMar>
          </w:tcPr>
          <w:p w14:paraId="695AA6A4" w14:textId="77777777" w:rsidR="00065ECE" w:rsidRPr="005D4222" w:rsidRDefault="00065ECE" w:rsidP="00A53E8C">
            <w:pPr>
              <w:pStyle w:val="ECDSMarginHead"/>
            </w:pPr>
            <w:r w:rsidRPr="005D4222">
              <w:t>Measurement period</w:t>
            </w:r>
          </w:p>
        </w:tc>
        <w:tc>
          <w:tcPr>
            <w:tcW w:w="7557" w:type="dxa"/>
            <w:gridSpan w:val="3"/>
            <w:tcMar>
              <w:top w:w="0" w:type="dxa"/>
              <w:left w:w="86" w:type="dxa"/>
              <w:bottom w:w="43" w:type="dxa"/>
              <w:right w:w="86" w:type="dxa"/>
            </w:tcMar>
          </w:tcPr>
          <w:p w14:paraId="55B7DEEF" w14:textId="77777777" w:rsidR="00065ECE" w:rsidRPr="005D4222" w:rsidRDefault="00065ECE" w:rsidP="00571BA8">
            <w:pPr>
              <w:pStyle w:val="ECDSBody"/>
            </w:pPr>
            <w:r w:rsidRPr="005D4222">
              <w:t>January 1–December 31.</w:t>
            </w:r>
          </w:p>
        </w:tc>
      </w:tr>
      <w:tr w:rsidR="00065ECE" w:rsidRPr="005D4222" w14:paraId="5A0E0EE8" w14:textId="77777777" w:rsidTr="00A53E8C">
        <w:tc>
          <w:tcPr>
            <w:tcW w:w="2157" w:type="dxa"/>
            <w:shd w:val="clear" w:color="auto" w:fill="BFBFBF" w:themeFill="background1" w:themeFillShade="BF"/>
            <w:tcMar>
              <w:top w:w="0" w:type="dxa"/>
              <w:left w:w="86" w:type="dxa"/>
              <w:bottom w:w="43" w:type="dxa"/>
              <w:right w:w="86" w:type="dxa"/>
            </w:tcMar>
            <w:hideMark/>
          </w:tcPr>
          <w:p w14:paraId="62A9C30F" w14:textId="77777777" w:rsidR="00065ECE" w:rsidRPr="005D4222" w:rsidRDefault="00065ECE" w:rsidP="00A53E8C">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25ACFCCE" w14:textId="77777777" w:rsidR="00065ECE" w:rsidRPr="005D4222" w:rsidRDefault="00065ECE" w:rsidP="00571BA8">
            <w:pPr>
              <w:pStyle w:val="ECDSBody"/>
            </w:pPr>
            <w:r w:rsidRPr="005D4222">
              <w:t>Refer to the complete copyright and disclaimer information at the front of this publication.</w:t>
            </w:r>
          </w:p>
          <w:p w14:paraId="786B22F4" w14:textId="77777777" w:rsidR="00065ECE" w:rsidRPr="005D4222" w:rsidRDefault="00065ECE" w:rsidP="00571BA8">
            <w:pPr>
              <w:pStyle w:val="ECDSBody"/>
            </w:pPr>
            <w:r w:rsidRPr="005D4222">
              <w:t xml:space="preserve">NCQA website: </w:t>
            </w:r>
            <w:r w:rsidRPr="005D4222">
              <w:rPr>
                <w:szCs w:val="21"/>
                <w:u w:val="single"/>
              </w:rPr>
              <w:t>www.ncqa.org</w:t>
            </w:r>
            <w:r w:rsidRPr="005D4222">
              <w:t>.</w:t>
            </w:r>
          </w:p>
          <w:p w14:paraId="4128ECB7" w14:textId="77777777" w:rsidR="00065ECE" w:rsidRPr="005D4222" w:rsidRDefault="00065ECE" w:rsidP="00571BA8">
            <w:pPr>
              <w:pStyle w:val="ECDSBody"/>
              <w:rPr>
                <w:sz w:val="18"/>
                <w:szCs w:val="18"/>
              </w:rPr>
            </w:pPr>
            <w:r w:rsidRPr="005D4222">
              <w:t>Submit policy clarification support questions via My NCQA (</w:t>
            </w:r>
            <w:r w:rsidRPr="005D4222">
              <w:rPr>
                <w:szCs w:val="21"/>
                <w:u w:val="single"/>
              </w:rPr>
              <w:t>https://my.ncqa.org</w:t>
            </w:r>
            <w:r w:rsidRPr="005D4222">
              <w:t>).</w:t>
            </w:r>
          </w:p>
        </w:tc>
      </w:tr>
      <w:tr w:rsidR="00065ECE" w:rsidRPr="005D4222" w14:paraId="75EDF943" w14:textId="77777777" w:rsidTr="00A53E8C">
        <w:trPr>
          <w:trHeight w:val="655"/>
        </w:trPr>
        <w:tc>
          <w:tcPr>
            <w:tcW w:w="2157" w:type="dxa"/>
            <w:shd w:val="clear" w:color="auto" w:fill="BFBFBF" w:themeFill="background1" w:themeFillShade="BF"/>
            <w:tcMar>
              <w:top w:w="0" w:type="dxa"/>
              <w:left w:w="86" w:type="dxa"/>
              <w:bottom w:w="43" w:type="dxa"/>
              <w:right w:w="86" w:type="dxa"/>
            </w:tcMar>
            <w:hideMark/>
          </w:tcPr>
          <w:p w14:paraId="685EBFBB" w14:textId="77777777" w:rsidR="00065ECE" w:rsidRPr="005D4222" w:rsidRDefault="00065ECE" w:rsidP="00A53E8C">
            <w:pPr>
              <w:pStyle w:val="ECDSMarginHead"/>
            </w:pPr>
            <w:r w:rsidRPr="005D4222">
              <w:t>Clinical recommendation statement/ rationale</w:t>
            </w:r>
          </w:p>
        </w:tc>
        <w:tc>
          <w:tcPr>
            <w:tcW w:w="7557" w:type="dxa"/>
            <w:gridSpan w:val="3"/>
            <w:tcMar>
              <w:top w:w="0" w:type="dxa"/>
              <w:left w:w="86" w:type="dxa"/>
              <w:bottom w:w="43" w:type="dxa"/>
              <w:right w:w="86" w:type="dxa"/>
            </w:tcMar>
          </w:tcPr>
          <w:p w14:paraId="15EE66E4" w14:textId="77777777" w:rsidR="00065ECE" w:rsidRPr="005D4222" w:rsidRDefault="00065ECE" w:rsidP="00571BA8">
            <w:pPr>
              <w:pStyle w:val="ECDSBody"/>
            </w:pPr>
            <w:r w:rsidRPr="005D4222">
              <w:t xml:space="preserve">While antibiotic medications are indicated interventions for conditions caused by bacterial infections, recent studies demonstrate that approximately 30% of antibiotics prescribed in outpatient settings did not align with clinical guidelines.  Non-indicated antibiotic use (i.e., for viral respiratory infections) can drive increases in prevalence of antibiotic-resistant bacteria, negative clinical outcomes and high health care costs. Monitoring antibiotic use for respiratory conditions might encourage prescribing practices that align with clinical guidelines for respiratory care. </w:t>
            </w:r>
          </w:p>
        </w:tc>
      </w:tr>
      <w:tr w:rsidR="00065ECE" w:rsidRPr="005D4222" w14:paraId="0B5D9142" w14:textId="77777777" w:rsidTr="00A53E8C">
        <w:tc>
          <w:tcPr>
            <w:tcW w:w="2157" w:type="dxa"/>
            <w:shd w:val="clear" w:color="auto" w:fill="BFBFBF" w:themeFill="background1" w:themeFillShade="BF"/>
            <w:tcMar>
              <w:top w:w="0" w:type="dxa"/>
              <w:left w:w="86" w:type="dxa"/>
              <w:bottom w:w="43" w:type="dxa"/>
              <w:right w:w="86" w:type="dxa"/>
            </w:tcMar>
          </w:tcPr>
          <w:p w14:paraId="458087A2" w14:textId="77777777" w:rsidR="00065ECE" w:rsidRPr="005D4222" w:rsidRDefault="00065ECE" w:rsidP="00A53E8C">
            <w:pPr>
              <w:pStyle w:val="ECDSMarginHead"/>
            </w:pPr>
            <w:r w:rsidRPr="005D4222">
              <w:t>Citations</w:t>
            </w:r>
          </w:p>
        </w:tc>
        <w:tc>
          <w:tcPr>
            <w:tcW w:w="7557" w:type="dxa"/>
            <w:gridSpan w:val="3"/>
            <w:tcMar>
              <w:top w:w="0" w:type="dxa"/>
              <w:left w:w="86" w:type="dxa"/>
              <w:bottom w:w="43" w:type="dxa"/>
              <w:right w:w="86" w:type="dxa"/>
            </w:tcMar>
          </w:tcPr>
          <w:p w14:paraId="6EE03B46" w14:textId="77777777" w:rsidR="00065ECE" w:rsidRPr="005D4222" w:rsidRDefault="00065ECE" w:rsidP="00571BA8">
            <w:pPr>
              <w:pStyle w:val="ECDSBody"/>
            </w:pPr>
            <w:r w:rsidRPr="005D4222">
              <w:rPr>
                <w:i/>
                <w:iCs/>
              </w:rPr>
              <w:t xml:space="preserve">Antibiotic Use and Stewardship in the United States, 2024 Update: Progress and Opportunities. </w:t>
            </w:r>
            <w:r w:rsidRPr="005D4222">
              <w:t>Centers for Disease Control and Prevention. Updated November 20, 2024. Accessed April 7, 2025. https://www.cdc.gov/antibiotic-use/hcp/data-research/stewardship-report.html</w:t>
            </w:r>
          </w:p>
          <w:p w14:paraId="2B4EDC13" w14:textId="77777777" w:rsidR="00065ECE" w:rsidRPr="005D4222" w:rsidRDefault="00065ECE" w:rsidP="00571BA8">
            <w:pPr>
              <w:pStyle w:val="ECDSBody"/>
            </w:pPr>
            <w:r w:rsidRPr="00C53E84">
              <w:rPr>
                <w:lang w:val="fr-FR"/>
              </w:rPr>
              <w:t xml:space="preserve">Sur, D.K.C., &amp; M.L. Plesa. </w:t>
            </w:r>
            <w:r w:rsidRPr="005D4222">
              <w:t xml:space="preserve">2022. “Antibiotic Use in Acute Upper Respiratory Tract Infections.” </w:t>
            </w:r>
            <w:r w:rsidRPr="005D4222">
              <w:rPr>
                <w:i/>
                <w:iCs/>
              </w:rPr>
              <w:t xml:space="preserve">Am Fam Physician </w:t>
            </w:r>
            <w:r w:rsidRPr="005D4222">
              <w:t>106(6):628–36.</w:t>
            </w:r>
          </w:p>
        </w:tc>
      </w:tr>
      <w:tr w:rsidR="00065ECE" w:rsidRPr="005D4222" w14:paraId="7CC801BB" w14:textId="77777777" w:rsidTr="00A53E8C">
        <w:tc>
          <w:tcPr>
            <w:tcW w:w="9714"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1F9A47FA" w14:textId="77777777" w:rsidR="00065ECE" w:rsidRPr="005D4222" w:rsidRDefault="00065ECE" w:rsidP="008D3CE8">
            <w:pPr>
              <w:pStyle w:val="ECDSMarginHead"/>
            </w:pPr>
            <w:r w:rsidRPr="005D4222">
              <w:t>Characteristics</w:t>
            </w:r>
          </w:p>
        </w:tc>
      </w:tr>
      <w:tr w:rsidR="00065ECE" w:rsidRPr="005D4222" w14:paraId="5ED867BE" w14:textId="77777777" w:rsidTr="00A53E8C">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1FF760D1" w14:textId="77777777" w:rsidR="00065ECE" w:rsidRPr="005D4222" w:rsidRDefault="00065ECE" w:rsidP="002819C4">
            <w:pPr>
              <w:pStyle w:val="ECDSSubhead"/>
            </w:pPr>
            <w:r w:rsidRPr="005D4222">
              <w:t>Scoring</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7049EB65" w14:textId="77777777" w:rsidR="00065ECE" w:rsidRPr="005D4222" w:rsidRDefault="00065ECE" w:rsidP="002819C4">
            <w:pPr>
              <w:pStyle w:val="ECDSBody"/>
              <w:spacing w:after="0"/>
            </w:pPr>
            <w:r w:rsidRPr="005D4222">
              <w:t>Proportion.</w:t>
            </w:r>
          </w:p>
        </w:tc>
      </w:tr>
      <w:tr w:rsidR="00065ECE" w:rsidRPr="005D4222" w14:paraId="7F252A16"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2F10CD26" w14:textId="77777777" w:rsidR="00065ECE" w:rsidRPr="005D4222" w:rsidRDefault="00065ECE" w:rsidP="002819C4">
            <w:pPr>
              <w:pStyle w:val="ECDSSubhead"/>
            </w:pPr>
            <w:r w:rsidRPr="005D4222">
              <w:t>Type</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329AFE93" w14:textId="77777777" w:rsidR="00065ECE" w:rsidRPr="005D4222" w:rsidRDefault="00065ECE" w:rsidP="002819C4">
            <w:pPr>
              <w:pStyle w:val="ECDSBody"/>
              <w:spacing w:after="0"/>
            </w:pPr>
            <w:r w:rsidRPr="005D4222">
              <w:t xml:space="preserve">Process. </w:t>
            </w:r>
          </w:p>
        </w:tc>
      </w:tr>
      <w:tr w:rsidR="00065ECE" w:rsidRPr="005D4222" w14:paraId="04EA7F98" w14:textId="77777777" w:rsidTr="002819C4">
        <w:tc>
          <w:tcPr>
            <w:tcW w:w="2157" w:type="dxa"/>
            <w:tcBorders>
              <w:top w:val="nil"/>
              <w:left w:val="single" w:sz="4" w:space="0" w:color="auto"/>
              <w:bottom w:val="nil"/>
              <w:right w:val="single" w:sz="4" w:space="0" w:color="auto"/>
            </w:tcBorders>
            <w:tcMar>
              <w:top w:w="0" w:type="dxa"/>
              <w:left w:w="86" w:type="dxa"/>
              <w:bottom w:w="43" w:type="dxa"/>
              <w:right w:w="86" w:type="dxa"/>
            </w:tcMar>
          </w:tcPr>
          <w:p w14:paraId="4FCC8248" w14:textId="45B710D8" w:rsidR="00065ECE" w:rsidRPr="005D4222" w:rsidRDefault="00B51CDC" w:rsidP="00A833D9">
            <w:pPr>
              <w:pStyle w:val="ECDSSubhead"/>
            </w:pPr>
            <w:r w:rsidRPr="005D4222">
              <w:t>Product lines</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73AEDA65" w14:textId="77777777" w:rsidR="00065ECE" w:rsidRPr="005D4222" w:rsidRDefault="00065ECE" w:rsidP="005D6173">
            <w:pPr>
              <w:pStyle w:val="ProcessBullet"/>
              <w:numPr>
                <w:ilvl w:val="0"/>
                <w:numId w:val="109"/>
              </w:numPr>
              <w:tabs>
                <w:tab w:val="left" w:pos="216"/>
              </w:tabs>
            </w:pPr>
            <w:r w:rsidRPr="005D4222">
              <w:t>Commercial.</w:t>
            </w:r>
          </w:p>
          <w:p w14:paraId="15FD5785" w14:textId="77777777" w:rsidR="00065ECE" w:rsidRPr="005D4222" w:rsidRDefault="00065ECE" w:rsidP="005D6173">
            <w:pPr>
              <w:pStyle w:val="ProcessBullet"/>
              <w:numPr>
                <w:ilvl w:val="0"/>
                <w:numId w:val="109"/>
              </w:numPr>
              <w:tabs>
                <w:tab w:val="left" w:pos="216"/>
              </w:tabs>
            </w:pPr>
            <w:r w:rsidRPr="005D4222">
              <w:t>Medicaid.</w:t>
            </w:r>
          </w:p>
          <w:p w14:paraId="3313427D" w14:textId="77777777" w:rsidR="00065ECE" w:rsidRPr="005D4222" w:rsidRDefault="00065ECE" w:rsidP="005D6173">
            <w:pPr>
              <w:pStyle w:val="ProcessBullet"/>
              <w:numPr>
                <w:ilvl w:val="0"/>
                <w:numId w:val="109"/>
              </w:numPr>
              <w:tabs>
                <w:tab w:val="left" w:pos="216"/>
              </w:tabs>
            </w:pPr>
            <w:r w:rsidRPr="005D4222">
              <w:t>Medicare.</w:t>
            </w:r>
          </w:p>
        </w:tc>
      </w:tr>
      <w:tr w:rsidR="00065ECE" w:rsidRPr="005D4222" w14:paraId="19B48F1B" w14:textId="77777777" w:rsidTr="002819C4">
        <w:tc>
          <w:tcPr>
            <w:tcW w:w="2157" w:type="dxa"/>
            <w:tcBorders>
              <w:top w:val="nil"/>
              <w:left w:val="single" w:sz="4" w:space="0" w:color="auto"/>
              <w:bottom w:val="nil"/>
              <w:right w:val="single" w:sz="4" w:space="0" w:color="auto"/>
            </w:tcBorders>
            <w:tcMar>
              <w:top w:w="0" w:type="dxa"/>
              <w:left w:w="86" w:type="dxa"/>
              <w:bottom w:w="43" w:type="dxa"/>
              <w:right w:w="86" w:type="dxa"/>
            </w:tcMar>
          </w:tcPr>
          <w:p w14:paraId="332D96F4" w14:textId="73041C04" w:rsidR="00065ECE" w:rsidRPr="005D4222" w:rsidRDefault="00B51CDC" w:rsidP="002819C4">
            <w:pPr>
              <w:pStyle w:val="ECDSSubhead"/>
            </w:pPr>
            <w:r w:rsidRPr="005D4222">
              <w:t>Stratifications</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7704D2F9" w14:textId="77777777" w:rsidR="00065ECE" w:rsidRPr="005D4222" w:rsidRDefault="00065ECE" w:rsidP="002819C4">
            <w:pPr>
              <w:pStyle w:val="ECDSBody"/>
              <w:spacing w:after="0"/>
              <w:rPr>
                <w:rFonts w:eastAsia="Arial,Arial,Arial,Arial,Arial,A"/>
              </w:rPr>
            </w:pPr>
            <w:r w:rsidRPr="005D4222">
              <w:rPr>
                <w:rFonts w:eastAsia="Arial,Arial,Arial,Arial,Arial,A"/>
              </w:rPr>
              <w:t xml:space="preserve">Age </w:t>
            </w:r>
            <w:r w:rsidRPr="005D4222">
              <w:t>as of the episode date</w:t>
            </w:r>
            <w:r w:rsidRPr="005D4222">
              <w:rPr>
                <w:rFonts w:eastAsia="Arial,Arial,Arial,Arial,Arial,A"/>
              </w:rPr>
              <w:t>.</w:t>
            </w:r>
          </w:p>
          <w:p w14:paraId="0F1E8D7A" w14:textId="77777777" w:rsidR="00065ECE" w:rsidRPr="005D4222" w:rsidRDefault="00065ECE" w:rsidP="002819C4">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3 months–17 years.</w:t>
            </w:r>
          </w:p>
          <w:p w14:paraId="22262DE8" w14:textId="77777777" w:rsidR="00065ECE" w:rsidRPr="005D4222" w:rsidRDefault="00065ECE" w:rsidP="002819C4">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18–64 years.</w:t>
            </w:r>
          </w:p>
          <w:p w14:paraId="2DBBD3AE" w14:textId="77777777" w:rsidR="00065ECE" w:rsidRPr="005D4222" w:rsidRDefault="00065ECE" w:rsidP="002819C4">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65 years and older.</w:t>
            </w:r>
          </w:p>
        </w:tc>
      </w:tr>
      <w:tr w:rsidR="00065ECE" w:rsidRPr="005D4222" w14:paraId="33689A79" w14:textId="77777777" w:rsidTr="002819C4">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3EE2D0EE" w14:textId="77777777" w:rsidR="00065ECE" w:rsidRPr="005D4222" w:rsidRDefault="00065ECE" w:rsidP="00A833D9">
            <w:pPr>
              <w:pStyle w:val="ECDSSubhead"/>
            </w:pPr>
            <w:r w:rsidRPr="005D4222">
              <w:t>Risk adjustment</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hideMark/>
          </w:tcPr>
          <w:p w14:paraId="1E76174D" w14:textId="77777777" w:rsidR="00065ECE" w:rsidRPr="005D4222" w:rsidRDefault="00065ECE" w:rsidP="002819C4">
            <w:pPr>
              <w:pStyle w:val="ECDSBody"/>
            </w:pPr>
            <w:r w:rsidRPr="005D4222">
              <w:t xml:space="preserve">None. </w:t>
            </w:r>
          </w:p>
        </w:tc>
      </w:tr>
      <w:tr w:rsidR="00A833D9" w:rsidRPr="005D4222" w14:paraId="72278351" w14:textId="77777777" w:rsidTr="002819C4">
        <w:tc>
          <w:tcPr>
            <w:tcW w:w="2157" w:type="dxa"/>
            <w:tcBorders>
              <w:top w:val="single" w:sz="4" w:space="0" w:color="auto"/>
              <w:left w:val="single" w:sz="4" w:space="0" w:color="auto"/>
              <w:right w:val="single" w:sz="4" w:space="0" w:color="auto"/>
            </w:tcBorders>
            <w:tcMar>
              <w:top w:w="0" w:type="dxa"/>
              <w:left w:w="86" w:type="dxa"/>
              <w:bottom w:w="43" w:type="dxa"/>
              <w:right w:w="86" w:type="dxa"/>
            </w:tcMar>
          </w:tcPr>
          <w:p w14:paraId="4EFAE1F5" w14:textId="77777777" w:rsidR="00A833D9" w:rsidRPr="005D4222" w:rsidRDefault="00A833D9" w:rsidP="00A833D9">
            <w:pPr>
              <w:pStyle w:val="ECDSSubhead"/>
            </w:pPr>
            <w:r w:rsidRPr="005D4222">
              <w:lastRenderedPageBreak/>
              <w:t>Guidance</w:t>
            </w:r>
          </w:p>
        </w:tc>
        <w:tc>
          <w:tcPr>
            <w:tcW w:w="7557" w:type="dxa"/>
            <w:gridSpan w:val="3"/>
            <w:tcBorders>
              <w:top w:val="single" w:sz="4" w:space="0" w:color="auto"/>
              <w:left w:val="single" w:sz="4" w:space="0" w:color="auto"/>
              <w:right w:val="single" w:sz="4" w:space="0" w:color="auto"/>
            </w:tcBorders>
            <w:tcMar>
              <w:top w:w="0" w:type="dxa"/>
              <w:left w:w="86" w:type="dxa"/>
              <w:bottom w:w="43" w:type="dxa"/>
              <w:right w:w="86" w:type="dxa"/>
            </w:tcMar>
          </w:tcPr>
          <w:p w14:paraId="3A57C980" w14:textId="6B1F4F1E" w:rsidR="00A833D9" w:rsidRPr="005D4222" w:rsidRDefault="00A833D9" w:rsidP="00A53E8C">
            <w:pPr>
              <w:pStyle w:val="ECDSBody"/>
            </w:pPr>
            <w:r w:rsidRPr="005D4222">
              <w:rPr>
                <w:b/>
              </w:rPr>
              <w:t xml:space="preserve">Data collection methodology: </w:t>
            </w:r>
            <w:r w:rsidRPr="005D4222">
              <w:t xml:space="preserve">Administrative. Refer to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54DA05FF" w14:textId="77777777" w:rsidR="00A833D9" w:rsidRPr="005D4222" w:rsidRDefault="00A833D9" w:rsidP="00A53E8C">
            <w:pPr>
              <w:pStyle w:val="ECDSBody"/>
            </w:pPr>
            <w:r w:rsidRPr="005D4222">
              <w:rPr>
                <w:b/>
              </w:rPr>
              <w:t xml:space="preserve">Date specificity: </w:t>
            </w:r>
            <w:r w:rsidRPr="005D4222">
              <w:t>Dates must be specific enough to determine the event occurred in the period being measured.</w:t>
            </w:r>
          </w:p>
          <w:p w14:paraId="4B24E0F3" w14:textId="77777777" w:rsidR="00A833D9" w:rsidRPr="005D4222" w:rsidRDefault="00A833D9" w:rsidP="00A53E8C">
            <w:pPr>
              <w:pStyle w:val="ECDSBody"/>
            </w:pPr>
            <w:r w:rsidRPr="005D4222">
              <w:rPr>
                <w:b/>
              </w:rPr>
              <w:t>Which services count?</w:t>
            </w:r>
            <w:r w:rsidRPr="005D4222">
              <w:t xml:space="preserve"> </w:t>
            </w:r>
          </w:p>
          <w:p w14:paraId="60D6B7E5" w14:textId="77777777" w:rsidR="00A833D9" w:rsidRPr="005D4222" w:rsidRDefault="00A833D9" w:rsidP="00065ECE">
            <w:pPr>
              <w:pStyle w:val="ProcessBullet"/>
              <w:tabs>
                <w:tab w:val="left" w:pos="216"/>
              </w:tabs>
            </w:pPr>
            <w:r w:rsidRPr="005D4222">
              <w:t>Do not include denied claims when identifying initial population and numerator events; only include claims the organization paid for or expects to pay for (i.e., claims incurred but not paid).</w:t>
            </w:r>
          </w:p>
          <w:p w14:paraId="2859C26E" w14:textId="77777777" w:rsidR="00A833D9" w:rsidRPr="005D4222" w:rsidRDefault="00A833D9" w:rsidP="00065ECE">
            <w:pPr>
              <w:pStyle w:val="ProcessBullet"/>
              <w:tabs>
                <w:tab w:val="left" w:pos="216"/>
              </w:tabs>
            </w:pPr>
            <w:r w:rsidRPr="005D4222">
              <w:t>Include all paid, suspended, pending and denied claims to identify the denominator exclusions.</w:t>
            </w:r>
          </w:p>
          <w:p w14:paraId="1684C191" w14:textId="77777777" w:rsidR="00A833D9" w:rsidRPr="005D4222" w:rsidRDefault="00A833D9" w:rsidP="00065ECE">
            <w:pPr>
              <w:pStyle w:val="ProcessBullet"/>
              <w:tabs>
                <w:tab w:val="left" w:pos="216"/>
              </w:tabs>
            </w:pPr>
            <w:r w:rsidRPr="005D4222">
              <w:t>If a person is enrolled retroactively, count all services for which the organization paid or expects to pay.</w:t>
            </w:r>
          </w:p>
          <w:p w14:paraId="7E0295B7" w14:textId="77777777" w:rsidR="00A833D9" w:rsidRPr="005D4222" w:rsidRDefault="00A833D9" w:rsidP="00065ECE">
            <w:pPr>
              <w:pStyle w:val="ProcessBullet"/>
              <w:tabs>
                <w:tab w:val="left" w:pos="216"/>
              </w:tabs>
            </w:pPr>
            <w:r w:rsidRPr="005D4222">
              <w:t xml:space="preserve">When confirming that an ED visit does not result in an inpatient stay, all inpatient stays must be considered, regardless of payment status (paid, suspended, pending, denied). </w:t>
            </w:r>
          </w:p>
          <w:p w14:paraId="4436769B" w14:textId="77777777" w:rsidR="00A833D9" w:rsidRPr="005D4222" w:rsidRDefault="00A833D9" w:rsidP="00065ECE">
            <w:pPr>
              <w:pStyle w:val="ProcessDash"/>
              <w:spacing w:after="40"/>
            </w:pPr>
            <w:r w:rsidRPr="005D4222">
              <w:rPr>
                <w:i/>
                <w:iCs/>
              </w:rPr>
              <w:t>For example,</w:t>
            </w:r>
            <w:r w:rsidRPr="005D4222">
              <w:t xml:space="preserve"> if an ED visit is paid, but an inpatient stay is denied, the ED visit resulted in an inpatient stay and is not included in the measure.</w:t>
            </w:r>
          </w:p>
          <w:p w14:paraId="7870EC26" w14:textId="77777777" w:rsidR="00A833D9" w:rsidRPr="005D4222" w:rsidRDefault="00A833D9" w:rsidP="00A53E8C">
            <w:pPr>
              <w:pStyle w:val="ECDSBody"/>
            </w:pPr>
            <w:r w:rsidRPr="005D4222">
              <w:rPr>
                <w:b/>
              </w:rPr>
              <w:t xml:space="preserve">Supplemental data exceptions: </w:t>
            </w:r>
            <w:r w:rsidRPr="005D4222">
              <w:t>Supplemental data for this measure may be used only for denominator exclusions.</w:t>
            </w:r>
          </w:p>
          <w:p w14:paraId="1F2077D3" w14:textId="77777777" w:rsidR="00A833D9" w:rsidRPr="005D4222" w:rsidRDefault="00A833D9" w:rsidP="00A53E8C">
            <w:pPr>
              <w:pStyle w:val="ECDSBody"/>
              <w:rPr>
                <w:szCs w:val="21"/>
              </w:rPr>
            </w:pPr>
            <w:r w:rsidRPr="005D4222">
              <w:rPr>
                <w:b/>
                <w:szCs w:val="21"/>
              </w:rPr>
              <w:t xml:space="preserve">Improvement notation: </w:t>
            </w:r>
            <w:r w:rsidRPr="005D4222">
              <w:rPr>
                <w:szCs w:val="21"/>
              </w:rPr>
              <w:t>This measure is designed to capture the frequency of antibiotic utilization for respiratory conditions. Organizations should use this information for internal evaluation only. NCQA does not view higher or lower service counts as indicating better or worse performance.</w:t>
            </w:r>
          </w:p>
          <w:p w14:paraId="09BB5138" w14:textId="3BA1A39B" w:rsidR="00A833D9" w:rsidRPr="005D4222" w:rsidRDefault="00A833D9" w:rsidP="00A53E8C">
            <w:pPr>
              <w:pStyle w:val="ECDSBody"/>
            </w:pPr>
            <w:r w:rsidRPr="005D4222">
              <w:rPr>
                <w:b/>
                <w:bCs w:val="0"/>
                <w:szCs w:val="21"/>
              </w:rPr>
              <w:t xml:space="preserve">Other guidance: </w:t>
            </w:r>
            <w:r w:rsidRPr="005D4222">
              <w:t>The measure is based on episodes; therefore, it is possible for the denominator to include multiple events for the same person.</w:t>
            </w:r>
          </w:p>
        </w:tc>
      </w:tr>
      <w:tr w:rsidR="00065ECE" w:rsidRPr="005D4222" w14:paraId="27ED623E" w14:textId="77777777" w:rsidTr="00A53E8C">
        <w:tc>
          <w:tcPr>
            <w:tcW w:w="9714" w:type="dxa"/>
            <w:gridSpan w:val="4"/>
            <w:tcBorders>
              <w:top w:val="single" w:sz="4" w:space="0" w:color="auto"/>
              <w:bottom w:val="single" w:sz="4" w:space="0" w:color="auto"/>
            </w:tcBorders>
            <w:shd w:val="clear" w:color="auto" w:fill="BFBFBF" w:themeFill="background1" w:themeFillShade="BF"/>
            <w:tcMar>
              <w:top w:w="0" w:type="dxa"/>
              <w:left w:w="86" w:type="dxa"/>
              <w:bottom w:w="43" w:type="dxa"/>
              <w:right w:w="86" w:type="dxa"/>
            </w:tcMar>
          </w:tcPr>
          <w:p w14:paraId="2CA3EDFA" w14:textId="77777777" w:rsidR="00065ECE" w:rsidRPr="005D4222" w:rsidRDefault="00065ECE" w:rsidP="00A53E8C">
            <w:pPr>
              <w:pStyle w:val="ECDSMarginHead"/>
            </w:pPr>
            <w:r w:rsidRPr="005D4222">
              <w:t xml:space="preserve">Definitions </w:t>
            </w:r>
          </w:p>
        </w:tc>
      </w:tr>
      <w:tr w:rsidR="00065ECE" w:rsidRPr="005D4222" w14:paraId="54244FD3" w14:textId="77777777" w:rsidTr="007B5FC3">
        <w:tc>
          <w:tcPr>
            <w:tcW w:w="2157" w:type="dxa"/>
            <w:tcBorders>
              <w:top w:val="single" w:sz="4" w:space="0" w:color="auto"/>
              <w:bottom w:val="nil"/>
            </w:tcBorders>
            <w:tcMar>
              <w:top w:w="0" w:type="dxa"/>
              <w:left w:w="86" w:type="dxa"/>
              <w:bottom w:w="43" w:type="dxa"/>
              <w:right w:w="86" w:type="dxa"/>
            </w:tcMar>
          </w:tcPr>
          <w:p w14:paraId="58DEB6DE" w14:textId="77777777" w:rsidR="00065ECE" w:rsidRPr="005D4222" w:rsidRDefault="00065ECE" w:rsidP="00A833D9">
            <w:pPr>
              <w:pStyle w:val="ECDSMarginSubhead"/>
              <w:spacing w:after="0"/>
            </w:pPr>
            <w:r w:rsidRPr="005D4222">
              <w:t>Episode date</w:t>
            </w:r>
          </w:p>
        </w:tc>
        <w:tc>
          <w:tcPr>
            <w:tcW w:w="7557" w:type="dxa"/>
            <w:gridSpan w:val="3"/>
            <w:tcBorders>
              <w:top w:val="single" w:sz="4" w:space="0" w:color="auto"/>
              <w:bottom w:val="nil"/>
            </w:tcBorders>
            <w:tcMar>
              <w:left w:w="86" w:type="dxa"/>
              <w:bottom w:w="43" w:type="dxa"/>
              <w:right w:w="86" w:type="dxa"/>
            </w:tcMar>
          </w:tcPr>
          <w:p w14:paraId="731A5463" w14:textId="77777777" w:rsidR="00065ECE" w:rsidRPr="005D4222" w:rsidRDefault="00065ECE" w:rsidP="00A833D9">
            <w:pPr>
              <w:pStyle w:val="ECDSBody"/>
              <w:spacing w:after="0"/>
            </w:pPr>
            <w:r w:rsidRPr="005D4222">
              <w:t>The date of service for any outpatient, telephone or ED visit, e-visit or virtual check-in during the intake period with a diagnosis of a respiratory condition.</w:t>
            </w:r>
          </w:p>
        </w:tc>
      </w:tr>
      <w:tr w:rsidR="00065ECE" w:rsidRPr="005D4222" w14:paraId="5DE8C459" w14:textId="77777777" w:rsidTr="007B5FC3">
        <w:tc>
          <w:tcPr>
            <w:tcW w:w="2157" w:type="dxa"/>
            <w:tcBorders>
              <w:top w:val="nil"/>
              <w:bottom w:val="nil"/>
            </w:tcBorders>
            <w:tcMar>
              <w:top w:w="0" w:type="dxa"/>
              <w:left w:w="86" w:type="dxa"/>
              <w:bottom w:w="43" w:type="dxa"/>
              <w:right w:w="86" w:type="dxa"/>
            </w:tcMar>
          </w:tcPr>
          <w:p w14:paraId="10174738" w14:textId="77777777" w:rsidR="00065ECE" w:rsidRPr="005D4222" w:rsidRDefault="00065ECE" w:rsidP="00A833D9">
            <w:pPr>
              <w:pStyle w:val="ECDSMarginSubhead"/>
              <w:spacing w:after="0"/>
            </w:pPr>
            <w:r w:rsidRPr="005D4222">
              <w:t>Intake period</w:t>
            </w:r>
          </w:p>
        </w:tc>
        <w:tc>
          <w:tcPr>
            <w:tcW w:w="7557" w:type="dxa"/>
            <w:gridSpan w:val="3"/>
            <w:tcBorders>
              <w:top w:val="nil"/>
              <w:bottom w:val="nil"/>
            </w:tcBorders>
            <w:tcMar>
              <w:left w:w="86" w:type="dxa"/>
              <w:bottom w:w="43" w:type="dxa"/>
              <w:right w:w="86" w:type="dxa"/>
            </w:tcMar>
          </w:tcPr>
          <w:p w14:paraId="6813E298" w14:textId="77777777" w:rsidR="00065ECE" w:rsidRPr="005D4222" w:rsidRDefault="00065ECE" w:rsidP="00A833D9">
            <w:pPr>
              <w:pStyle w:val="ECDSBody"/>
              <w:spacing w:after="0"/>
            </w:pPr>
            <w:r w:rsidRPr="005D4222">
              <w:t>July 1 of the year prior to the measurement period to June 30 of the measurement period. The intake period captures eligible episodes of treatment.</w:t>
            </w:r>
          </w:p>
        </w:tc>
      </w:tr>
      <w:tr w:rsidR="00065ECE" w:rsidRPr="005D4222" w14:paraId="78307408" w14:textId="77777777" w:rsidTr="007B5FC3">
        <w:tc>
          <w:tcPr>
            <w:tcW w:w="2157" w:type="dxa"/>
            <w:tcBorders>
              <w:top w:val="nil"/>
              <w:bottom w:val="nil"/>
            </w:tcBorders>
            <w:tcMar>
              <w:top w:w="86" w:type="dxa"/>
              <w:left w:w="86" w:type="dxa"/>
              <w:bottom w:w="43" w:type="dxa"/>
              <w:right w:w="86" w:type="dxa"/>
            </w:tcMar>
          </w:tcPr>
          <w:p w14:paraId="45C17016" w14:textId="77777777" w:rsidR="00065ECE" w:rsidRPr="005D4222" w:rsidRDefault="00065ECE" w:rsidP="00A833D9">
            <w:pPr>
              <w:pStyle w:val="ECDSMarginSubhead"/>
              <w:spacing w:after="0"/>
            </w:pPr>
            <w:r w:rsidRPr="005D4222">
              <w:t>Negative comorbid condition history</w:t>
            </w:r>
          </w:p>
        </w:tc>
        <w:tc>
          <w:tcPr>
            <w:tcW w:w="7557" w:type="dxa"/>
            <w:gridSpan w:val="3"/>
            <w:tcBorders>
              <w:top w:val="nil"/>
              <w:bottom w:val="nil"/>
            </w:tcBorders>
            <w:tcMar>
              <w:left w:w="86" w:type="dxa"/>
              <w:bottom w:w="43" w:type="dxa"/>
              <w:right w:w="86" w:type="dxa"/>
            </w:tcMar>
          </w:tcPr>
          <w:p w14:paraId="28F5C918" w14:textId="77777777" w:rsidR="00065ECE" w:rsidRPr="005D4222" w:rsidRDefault="00065ECE" w:rsidP="00A833D9">
            <w:pPr>
              <w:pStyle w:val="ECDSBody"/>
              <w:spacing w:after="0"/>
              <w:rPr>
                <w:rFonts w:ascii="Times New Roman" w:hAnsi="Times New Roman"/>
                <w:sz w:val="24"/>
                <w:szCs w:val="24"/>
                <w:highlight w:val="yellow"/>
              </w:rPr>
            </w:pPr>
            <w:r w:rsidRPr="005D4222">
              <w:t xml:space="preserve">A period of 365 days prior to and including the episode date when the person had no claims/encounters with any diagnosis for a comorbid condition (366 days total). </w:t>
            </w:r>
          </w:p>
        </w:tc>
      </w:tr>
      <w:tr w:rsidR="00065ECE" w:rsidRPr="005D4222" w14:paraId="30646FCF" w14:textId="77777777" w:rsidTr="007B5FC3">
        <w:tc>
          <w:tcPr>
            <w:tcW w:w="2157" w:type="dxa"/>
            <w:tcBorders>
              <w:top w:val="nil"/>
              <w:bottom w:val="nil"/>
            </w:tcBorders>
            <w:tcMar>
              <w:top w:w="86" w:type="dxa"/>
              <w:left w:w="86" w:type="dxa"/>
              <w:bottom w:w="43" w:type="dxa"/>
              <w:right w:w="86" w:type="dxa"/>
            </w:tcMar>
          </w:tcPr>
          <w:p w14:paraId="75E060B2" w14:textId="77777777" w:rsidR="00065ECE" w:rsidRPr="005D4222" w:rsidRDefault="00065ECE" w:rsidP="00A833D9">
            <w:pPr>
              <w:pStyle w:val="ECDSMarginSubhead"/>
              <w:spacing w:after="0"/>
            </w:pPr>
            <w:r w:rsidRPr="005D4222">
              <w:t>Negative competing diagnosis</w:t>
            </w:r>
          </w:p>
        </w:tc>
        <w:tc>
          <w:tcPr>
            <w:tcW w:w="7557" w:type="dxa"/>
            <w:gridSpan w:val="3"/>
            <w:tcBorders>
              <w:top w:val="nil"/>
              <w:bottom w:val="nil"/>
            </w:tcBorders>
            <w:tcMar>
              <w:left w:w="86" w:type="dxa"/>
              <w:bottom w:w="43" w:type="dxa"/>
              <w:right w:w="86" w:type="dxa"/>
            </w:tcMar>
          </w:tcPr>
          <w:p w14:paraId="3BEA8E5E" w14:textId="77777777" w:rsidR="00065ECE" w:rsidRPr="005D4222" w:rsidRDefault="00065ECE" w:rsidP="00A833D9">
            <w:pPr>
              <w:pStyle w:val="ECDSBody"/>
              <w:spacing w:after="0"/>
              <w:rPr>
                <w:rFonts w:ascii="Times New Roman" w:hAnsi="Times New Roman"/>
                <w:sz w:val="24"/>
                <w:szCs w:val="24"/>
                <w:highlight w:val="yellow"/>
              </w:rPr>
            </w:pPr>
            <w:r w:rsidRPr="005D4222">
              <w:t xml:space="preserve">The episode date and 3 days following the episode date when the person had no claims/encounters with a competing diagnosis. </w:t>
            </w:r>
          </w:p>
        </w:tc>
      </w:tr>
      <w:tr w:rsidR="00065ECE" w:rsidRPr="005D4222" w14:paraId="7AF4803B" w14:textId="77777777" w:rsidTr="002819C4">
        <w:tc>
          <w:tcPr>
            <w:tcW w:w="2157" w:type="dxa"/>
            <w:tcBorders>
              <w:top w:val="nil"/>
              <w:bottom w:val="single" w:sz="4" w:space="0" w:color="auto"/>
            </w:tcBorders>
            <w:tcMar>
              <w:top w:w="86" w:type="dxa"/>
              <w:left w:w="86" w:type="dxa"/>
              <w:bottom w:w="43" w:type="dxa"/>
              <w:right w:w="86" w:type="dxa"/>
            </w:tcMar>
          </w:tcPr>
          <w:p w14:paraId="182232DD" w14:textId="77777777" w:rsidR="00065ECE" w:rsidRPr="005D4222" w:rsidRDefault="00065ECE" w:rsidP="00A833D9">
            <w:pPr>
              <w:pStyle w:val="ECDSMarginSubhead"/>
              <w:spacing w:after="0"/>
            </w:pPr>
            <w:r w:rsidRPr="005D4222">
              <w:t>Negative medication history</w:t>
            </w:r>
          </w:p>
        </w:tc>
        <w:tc>
          <w:tcPr>
            <w:tcW w:w="7557" w:type="dxa"/>
            <w:gridSpan w:val="3"/>
            <w:tcBorders>
              <w:top w:val="nil"/>
              <w:bottom w:val="single" w:sz="4" w:space="0" w:color="auto"/>
            </w:tcBorders>
            <w:tcMar>
              <w:left w:w="86" w:type="dxa"/>
              <w:bottom w:w="43" w:type="dxa"/>
              <w:right w:w="86" w:type="dxa"/>
            </w:tcMar>
          </w:tcPr>
          <w:p w14:paraId="730619E1" w14:textId="77777777" w:rsidR="00065ECE" w:rsidRPr="005D4222" w:rsidRDefault="00065ECE" w:rsidP="00A833D9">
            <w:pPr>
              <w:pStyle w:val="ECDSBody"/>
              <w:spacing w:after="0"/>
              <w:rPr>
                <w:rFonts w:ascii="Times New Roman" w:hAnsi="Times New Roman"/>
                <w:sz w:val="24"/>
                <w:szCs w:val="24"/>
              </w:rPr>
            </w:pPr>
            <w:r w:rsidRPr="005D4222">
              <w:t xml:space="preserve">To qualify for negative medication history, the following criteria must be met: </w:t>
            </w:r>
          </w:p>
          <w:p w14:paraId="158A6FEC" w14:textId="25D68EF7" w:rsidR="002819C4" w:rsidRPr="005D4222" w:rsidRDefault="00065ECE" w:rsidP="00C16406">
            <w:pPr>
              <w:pStyle w:val="Bullet"/>
              <w:spacing w:after="80"/>
            </w:pPr>
            <w:r w:rsidRPr="005D4222">
              <w:t xml:space="preserve">A period of 30 days prior to the episode date when the person had no pharmacy claims for either new or refill prescriptions for a listed antibiotic drug. </w:t>
            </w:r>
          </w:p>
        </w:tc>
      </w:tr>
      <w:tr w:rsidR="00A833D9" w:rsidRPr="005D4222" w14:paraId="5A5F7B89" w14:textId="77777777" w:rsidTr="002819C4">
        <w:tc>
          <w:tcPr>
            <w:tcW w:w="2157" w:type="dxa"/>
            <w:tcBorders>
              <w:top w:val="single" w:sz="4" w:space="0" w:color="auto"/>
              <w:bottom w:val="single" w:sz="4" w:space="0" w:color="auto"/>
            </w:tcBorders>
            <w:tcMar>
              <w:top w:w="0" w:type="dxa"/>
              <w:left w:w="86" w:type="dxa"/>
              <w:bottom w:w="43" w:type="dxa"/>
              <w:right w:w="86" w:type="dxa"/>
            </w:tcMar>
          </w:tcPr>
          <w:p w14:paraId="6AACFB22" w14:textId="77777777" w:rsidR="00A833D9" w:rsidRPr="005D4222" w:rsidRDefault="00A833D9" w:rsidP="00A833D9">
            <w:pPr>
              <w:pStyle w:val="ECDSMarginSubhead"/>
              <w:spacing w:after="0"/>
            </w:pPr>
          </w:p>
        </w:tc>
        <w:tc>
          <w:tcPr>
            <w:tcW w:w="7557" w:type="dxa"/>
            <w:gridSpan w:val="3"/>
            <w:tcBorders>
              <w:top w:val="single" w:sz="4" w:space="0" w:color="auto"/>
              <w:bottom w:val="single" w:sz="4" w:space="0" w:color="auto"/>
            </w:tcBorders>
            <w:tcMar>
              <w:left w:w="86" w:type="dxa"/>
              <w:bottom w:w="43" w:type="dxa"/>
              <w:right w:w="86" w:type="dxa"/>
            </w:tcMar>
          </w:tcPr>
          <w:p w14:paraId="70B63130" w14:textId="77777777" w:rsidR="00C16406" w:rsidRPr="005D4222" w:rsidRDefault="00C16406" w:rsidP="00C16406">
            <w:pPr>
              <w:pStyle w:val="Bullet"/>
            </w:pPr>
            <w:r w:rsidRPr="005D4222">
              <w:t>No prescriptions dispensed more than 30 days prior to the episode date that are active on the episode date.</w:t>
            </w:r>
          </w:p>
          <w:p w14:paraId="092B3A12" w14:textId="3E73F2D5" w:rsidR="00A833D9" w:rsidRPr="005D4222" w:rsidRDefault="00A833D9" w:rsidP="00C16406">
            <w:pPr>
              <w:pStyle w:val="Dash"/>
            </w:pPr>
            <w:r w:rsidRPr="005D4222">
              <w:t>A prescription is considered active if the “days supply” indicated on the date when the person was dispensed the prescription is the number of days or more between that date and the relevant service date. The 30-day look-back period for pharmacy data includes the 30 days prior to the intake period.</w:t>
            </w:r>
          </w:p>
        </w:tc>
      </w:tr>
      <w:tr w:rsidR="00065ECE" w:rsidRPr="005D4222" w14:paraId="028DF28E" w14:textId="77777777" w:rsidTr="00A53E8C">
        <w:tc>
          <w:tcPr>
            <w:tcW w:w="2157" w:type="dxa"/>
            <w:tcBorders>
              <w:top w:val="single" w:sz="4" w:space="0" w:color="auto"/>
            </w:tcBorders>
            <w:shd w:val="clear" w:color="auto" w:fill="BFBFBF" w:themeFill="background1" w:themeFillShade="BF"/>
            <w:noWrap/>
            <w:tcMar>
              <w:top w:w="0" w:type="dxa"/>
              <w:left w:w="86" w:type="dxa"/>
              <w:bottom w:w="43" w:type="dxa"/>
              <w:right w:w="86" w:type="dxa"/>
            </w:tcMar>
          </w:tcPr>
          <w:p w14:paraId="10E84CED" w14:textId="77777777" w:rsidR="00065ECE" w:rsidRPr="005D4222" w:rsidRDefault="00065ECE" w:rsidP="00A53E8C">
            <w:pPr>
              <w:pStyle w:val="ECDSMarginHead"/>
            </w:pPr>
            <w:r w:rsidRPr="005D4222">
              <w:t>Initial population</w:t>
            </w:r>
          </w:p>
        </w:tc>
        <w:tc>
          <w:tcPr>
            <w:tcW w:w="7557" w:type="dxa"/>
            <w:gridSpan w:val="3"/>
            <w:tcBorders>
              <w:top w:val="single" w:sz="4" w:space="0" w:color="auto"/>
              <w:left w:val="single" w:sz="4" w:space="0" w:color="auto"/>
              <w:right w:val="single" w:sz="4" w:space="0" w:color="auto"/>
            </w:tcBorders>
            <w:noWrap/>
            <w:tcMar>
              <w:top w:w="0" w:type="dxa"/>
              <w:left w:w="86" w:type="dxa"/>
              <w:bottom w:w="43" w:type="dxa"/>
              <w:right w:w="86" w:type="dxa"/>
            </w:tcMar>
          </w:tcPr>
          <w:p w14:paraId="3ADBCC62" w14:textId="77777777" w:rsidR="00065ECE" w:rsidRPr="005D4222" w:rsidRDefault="00065ECE" w:rsidP="00A53E8C">
            <w:pPr>
              <w:pStyle w:val="ECDSBody"/>
            </w:pPr>
            <w:r w:rsidRPr="005D4222">
              <w:rPr>
                <w:i/>
              </w:rPr>
              <w:t>Measure item count:</w:t>
            </w:r>
            <w:r w:rsidRPr="005D4222">
              <w:t xml:space="preserve"> Episode.</w:t>
            </w:r>
          </w:p>
          <w:p w14:paraId="1D3C8C7E" w14:textId="77777777" w:rsidR="00065ECE" w:rsidRPr="005D4222" w:rsidRDefault="00065ECE" w:rsidP="00A53E8C">
            <w:pPr>
              <w:pStyle w:val="ECDSBody"/>
            </w:pPr>
            <w:r w:rsidRPr="005D4222">
              <w:rPr>
                <w:i/>
              </w:rPr>
              <w:t>Attribution basis:</w:t>
            </w:r>
            <w:r w:rsidRPr="005D4222">
              <w:t xml:space="preserve"> Enrollment.</w:t>
            </w:r>
          </w:p>
          <w:p w14:paraId="36E67CCA" w14:textId="77777777" w:rsidR="00065ECE" w:rsidRPr="005D4222" w:rsidRDefault="00065ECE" w:rsidP="00065ECE">
            <w:pPr>
              <w:pStyle w:val="Bullet"/>
              <w:numPr>
                <w:ilvl w:val="0"/>
                <w:numId w:val="4"/>
              </w:numPr>
              <w:tabs>
                <w:tab w:val="left" w:pos="360"/>
                <w:tab w:val="left" w:pos="576"/>
              </w:tabs>
              <w:spacing w:after="80"/>
              <w:ind w:left="576" w:hanging="216"/>
            </w:pPr>
            <w:r w:rsidRPr="005D4222">
              <w:rPr>
                <w:i/>
                <w:iCs/>
              </w:rPr>
              <w:t>Benefits:</w:t>
            </w:r>
            <w:r w:rsidRPr="005D4222">
              <w:t xml:space="preserve"> Medical and pharmacy.</w:t>
            </w:r>
          </w:p>
          <w:p w14:paraId="434E2201" w14:textId="77777777" w:rsidR="00065ECE" w:rsidRPr="005D4222" w:rsidRDefault="00065ECE" w:rsidP="00065ECE">
            <w:pPr>
              <w:pStyle w:val="Bullet"/>
              <w:numPr>
                <w:ilvl w:val="0"/>
                <w:numId w:val="4"/>
              </w:numPr>
              <w:tabs>
                <w:tab w:val="left" w:pos="360"/>
                <w:tab w:val="left" w:pos="576"/>
              </w:tabs>
              <w:spacing w:after="80"/>
              <w:ind w:left="576" w:hanging="216"/>
            </w:pPr>
            <w:r w:rsidRPr="005D4222">
              <w:rPr>
                <w:i/>
                <w:iCs/>
              </w:rPr>
              <w:t>Continuous enrollment:</w:t>
            </w:r>
            <w:r w:rsidRPr="005D4222">
              <w:t xml:space="preserve"> 30 days prior to the episode date through 3 days after the episode date (34 total days).  </w:t>
            </w:r>
          </w:p>
          <w:p w14:paraId="277B6B4A" w14:textId="77777777" w:rsidR="00065ECE" w:rsidRPr="005D4222" w:rsidRDefault="00065ECE" w:rsidP="00065ECE">
            <w:pPr>
              <w:pStyle w:val="Bullet"/>
              <w:numPr>
                <w:ilvl w:val="0"/>
                <w:numId w:val="4"/>
              </w:numPr>
              <w:tabs>
                <w:tab w:val="left" w:pos="360"/>
                <w:tab w:val="left" w:pos="576"/>
              </w:tabs>
              <w:spacing w:after="80"/>
              <w:ind w:left="576" w:hanging="216"/>
            </w:pPr>
            <w:r w:rsidRPr="005D4222">
              <w:rPr>
                <w:i/>
                <w:iCs/>
              </w:rPr>
              <w:t>Allowable gap:</w:t>
            </w:r>
            <w:r w:rsidRPr="005D4222">
              <w:t xml:space="preserve"> None.</w:t>
            </w:r>
          </w:p>
          <w:p w14:paraId="44CFB114" w14:textId="77777777" w:rsidR="00065ECE" w:rsidRPr="005D4222" w:rsidRDefault="00065ECE" w:rsidP="00A53E8C">
            <w:pPr>
              <w:pStyle w:val="ECDSBody"/>
            </w:pPr>
            <w:r w:rsidRPr="005D4222">
              <w:rPr>
                <w:i/>
                <w:iCs/>
              </w:rPr>
              <w:t>Ages:</w:t>
            </w:r>
            <w:r w:rsidRPr="005D4222">
              <w:t xml:space="preserve"> At least 3 months of age as of the episode date.</w:t>
            </w:r>
          </w:p>
          <w:p w14:paraId="6EC912C5" w14:textId="77777777" w:rsidR="00065ECE" w:rsidRPr="005D4222" w:rsidRDefault="00065ECE" w:rsidP="00A53E8C">
            <w:pPr>
              <w:pStyle w:val="ECDSBody"/>
              <w:rPr>
                <w:i/>
                <w:iCs/>
              </w:rPr>
            </w:pPr>
            <w:r w:rsidRPr="005D4222">
              <w:rPr>
                <w:i/>
                <w:iCs/>
              </w:rPr>
              <w:t xml:space="preserve">Event: </w:t>
            </w:r>
            <w:r w:rsidRPr="005D4222">
              <w:rPr>
                <w:b/>
              </w:rPr>
              <w:t>Diagnosis of a respiratory condition.</w:t>
            </w:r>
          </w:p>
          <w:p w14:paraId="32E20CD9" w14:textId="77777777" w:rsidR="00065ECE" w:rsidRPr="005D4222" w:rsidRDefault="00065ECE" w:rsidP="00A53E8C">
            <w:pPr>
              <w:pStyle w:val="ECDSBody"/>
            </w:pPr>
            <w:r w:rsidRPr="005D4222">
              <w:rPr>
                <w:b/>
                <w:i/>
                <w:iCs/>
              </w:rPr>
              <w:t xml:space="preserve">Step 1. </w:t>
            </w:r>
            <w:r w:rsidRPr="005D4222">
              <w:t>Identify all persons who had an outpatient, ED, telephone visit, e-visit or virtual check-in visit (</w:t>
            </w:r>
            <w:r w:rsidRPr="005D4222">
              <w:rPr>
                <w:u w:val="single"/>
              </w:rPr>
              <w:t>Outpatient, ED and Telehealth Value Set</w:t>
            </w:r>
            <w:r w:rsidRPr="005D4222">
              <w:t>) during the intake period with a diagnosis of a respiratory condition (</w:t>
            </w:r>
            <w:r w:rsidRPr="005D4222">
              <w:rPr>
                <w:u w:val="single"/>
              </w:rPr>
              <w:t>Respiratory Conditions and Symptoms Value Set</w:t>
            </w:r>
            <w:r w:rsidRPr="005D4222">
              <w:t>).</w:t>
            </w:r>
          </w:p>
          <w:p w14:paraId="2513AF49" w14:textId="77777777" w:rsidR="00065ECE" w:rsidRPr="005D4222" w:rsidRDefault="00065ECE" w:rsidP="00A53E8C">
            <w:pPr>
              <w:pStyle w:val="ECDSBody"/>
            </w:pPr>
            <w:r w:rsidRPr="005D4222">
              <w:rPr>
                <w:b/>
              </w:rPr>
              <w:t xml:space="preserve">Step 2. </w:t>
            </w:r>
            <w:r w:rsidRPr="005D4222">
              <w:t xml:space="preserve">For each person identified in step 1, determine all respiratory condition episode dates. </w:t>
            </w:r>
            <w:r w:rsidRPr="005D4222">
              <w:rPr>
                <w:szCs w:val="21"/>
              </w:rPr>
              <w:t>Do not include visits that result in an inpatient stay (</w:t>
            </w:r>
            <w:r w:rsidRPr="005D4222">
              <w:rPr>
                <w:szCs w:val="21"/>
                <w:u w:val="single"/>
              </w:rPr>
              <w:t>Inpatient Stay Value Set</w:t>
            </w:r>
            <w:r w:rsidRPr="005D4222">
              <w:rPr>
                <w:szCs w:val="21"/>
              </w:rPr>
              <w:t>)</w:t>
            </w:r>
            <w:r w:rsidRPr="005D4222">
              <w:t>.</w:t>
            </w:r>
          </w:p>
          <w:p w14:paraId="7F383DCF" w14:textId="77777777" w:rsidR="00065ECE" w:rsidRPr="005D4222" w:rsidRDefault="00065ECE" w:rsidP="00A53E8C">
            <w:pPr>
              <w:pStyle w:val="ECDSBody"/>
              <w:rPr>
                <w:szCs w:val="21"/>
              </w:rPr>
            </w:pPr>
            <w:r w:rsidRPr="005D4222">
              <w:rPr>
                <w:b/>
              </w:rPr>
              <w:t xml:space="preserve">Step 3. </w:t>
            </w:r>
            <w:r w:rsidRPr="005D4222">
              <w:t>Test for negative comorbid condition history.</w:t>
            </w:r>
            <w:r w:rsidRPr="005D4222">
              <w:rPr>
                <w:szCs w:val="21"/>
              </w:rPr>
              <w:t xml:space="preserve"> Remove episode dates </w:t>
            </w:r>
            <w:r w:rsidRPr="005D4222">
              <w:t>where</w:t>
            </w:r>
            <w:r w:rsidRPr="005D4222">
              <w:rPr>
                <w:szCs w:val="21"/>
              </w:rPr>
              <w:t xml:space="preserve"> the person had a claim/encounter with any diagnosis for a comorbid condition (</w:t>
            </w:r>
            <w:r w:rsidRPr="005D4222">
              <w:rPr>
                <w:szCs w:val="21"/>
                <w:u w:val="single"/>
              </w:rPr>
              <w:t>Comorbid Conditions Value Set</w:t>
            </w:r>
            <w:r w:rsidRPr="005D4222">
              <w:rPr>
                <w:szCs w:val="21"/>
              </w:rPr>
              <w:t>*) during the 365 days prior to or on the episode date (366 days total).</w:t>
            </w:r>
          </w:p>
          <w:p w14:paraId="2BA83A8B" w14:textId="77777777" w:rsidR="00065ECE" w:rsidRPr="005D4222" w:rsidRDefault="00065ECE" w:rsidP="00A53E8C">
            <w:pPr>
              <w:pStyle w:val="ECDSBody"/>
            </w:pPr>
            <w:r w:rsidRPr="005D4222">
              <w:rPr>
                <w:b/>
              </w:rPr>
              <w:t xml:space="preserve">Step 4. </w:t>
            </w:r>
            <w:r w:rsidRPr="005D4222">
              <w:rPr>
                <w:szCs w:val="21"/>
              </w:rPr>
              <w:t>Test for negative medication history. Remove episode dates where a new or refill prescription for an antibiotic medication (</w:t>
            </w:r>
            <w:r w:rsidRPr="005D4222">
              <w:rPr>
                <w:szCs w:val="21"/>
                <w:u w:val="single"/>
              </w:rPr>
              <w:t>AXR Antibiotic Medications List</w:t>
            </w:r>
            <w:r w:rsidRPr="005D4222">
              <w:rPr>
                <w:szCs w:val="21"/>
              </w:rPr>
              <w:t xml:space="preserve">) was dispensed </w:t>
            </w:r>
            <w:r w:rsidRPr="005D4222">
              <w:t>30 days prior to the episode date or was active on the episode date.</w:t>
            </w:r>
          </w:p>
          <w:p w14:paraId="6FDAA236" w14:textId="77777777" w:rsidR="00065ECE" w:rsidRPr="005D4222" w:rsidRDefault="00065ECE" w:rsidP="00A53E8C">
            <w:pPr>
              <w:pStyle w:val="ECDSBody"/>
            </w:pPr>
            <w:r w:rsidRPr="005D4222">
              <w:rPr>
                <w:b/>
              </w:rPr>
              <w:t xml:space="preserve">Step 5. </w:t>
            </w:r>
            <w:r w:rsidRPr="005D4222">
              <w:t>Test for negative competing diagnoses. Remove episode dates where the person had a claim/encounter with a competing diagnosis (</w:t>
            </w:r>
            <w:r w:rsidRPr="005D4222">
              <w:rPr>
                <w:u w:val="single"/>
              </w:rPr>
              <w:t>AXR Competing Diagnosis Value Set</w:t>
            </w:r>
            <w:r w:rsidRPr="005D4222">
              <w:t>*) on or 3 days after the episode date.</w:t>
            </w:r>
          </w:p>
          <w:p w14:paraId="318DE8E7" w14:textId="77777777" w:rsidR="00065ECE" w:rsidRPr="005D4222" w:rsidRDefault="00065ECE" w:rsidP="00A53E8C">
            <w:pPr>
              <w:pStyle w:val="ECDSBody"/>
            </w:pPr>
            <w:r w:rsidRPr="005D4222">
              <w:rPr>
                <w:b/>
              </w:rPr>
              <w:t>Step 6.</w:t>
            </w:r>
            <w:r w:rsidRPr="005D4222">
              <w:t xml:space="preserve"> Calculate continuous enrollment. </w:t>
            </w:r>
          </w:p>
          <w:p w14:paraId="2C2CC65A" w14:textId="77777777" w:rsidR="00065ECE" w:rsidRPr="005D4222" w:rsidRDefault="00065ECE" w:rsidP="00A53E8C">
            <w:pPr>
              <w:pStyle w:val="ECDSBody"/>
              <w:rPr>
                <w:rFonts w:ascii="Arial Bold" w:hAnsi="Arial Bold" w:cs="Segoe UI"/>
                <w:b/>
                <w:szCs w:val="18"/>
              </w:rPr>
            </w:pPr>
            <w:r w:rsidRPr="005D4222">
              <w:rPr>
                <w:b/>
              </w:rPr>
              <w:t xml:space="preserve">Step 7. </w:t>
            </w:r>
            <w:r w:rsidRPr="005D4222">
              <w:t xml:space="preserve">Deduplicate eligible episodes. Identify visits chronologically, including only one per 31-day period. If a person has more than one eligible episode in a 31-day period, include only the first eligible episode. </w:t>
            </w:r>
          </w:p>
          <w:p w14:paraId="4CC23BC4" w14:textId="77777777" w:rsidR="00065ECE" w:rsidRPr="005D4222" w:rsidRDefault="00065ECE" w:rsidP="00065ECE">
            <w:pPr>
              <w:pStyle w:val="Bullet"/>
              <w:numPr>
                <w:ilvl w:val="0"/>
                <w:numId w:val="4"/>
              </w:numPr>
              <w:tabs>
                <w:tab w:val="left" w:pos="360"/>
                <w:tab w:val="left" w:pos="576"/>
              </w:tabs>
              <w:ind w:left="576" w:hanging="216"/>
              <w:rPr>
                <w:rFonts w:ascii="Arial Bold" w:hAnsi="Arial Bold" w:cs="Segoe UI"/>
                <w:b/>
                <w:bCs/>
                <w:szCs w:val="18"/>
              </w:rPr>
            </w:pPr>
            <w:r w:rsidRPr="005D4222">
              <w:rPr>
                <w:i/>
                <w:iCs/>
              </w:rPr>
              <w:t xml:space="preserve">For example, </w:t>
            </w:r>
            <w:r w:rsidRPr="005D4222">
              <w:t>if a person has an eligible episode on January 1, include the January 1 visit and do not include eligible episodes that occur on or between January 2 and January 31. Then, if applicable, include the next eligible episode that occurs on or after February 1.</w:t>
            </w:r>
          </w:p>
          <w:p w14:paraId="527BBC92" w14:textId="77777777" w:rsidR="00065ECE" w:rsidRPr="005D4222" w:rsidRDefault="00065ECE" w:rsidP="00A53E8C">
            <w:pPr>
              <w:pStyle w:val="ECDSBody"/>
              <w:spacing w:after="0"/>
              <w:rPr>
                <w:b/>
                <w:bCs w:val="0"/>
              </w:rPr>
            </w:pPr>
            <w:r w:rsidRPr="005D4222">
              <w:rPr>
                <w:b/>
                <w:bCs w:val="0"/>
              </w:rPr>
              <w:t>Coding Guidance</w:t>
            </w:r>
          </w:p>
          <w:p w14:paraId="6FFE1C3B" w14:textId="77777777" w:rsidR="00065ECE" w:rsidRPr="005D4222" w:rsidRDefault="00065ECE" w:rsidP="00A53E8C">
            <w:pPr>
              <w:pStyle w:val="ECDSBody"/>
              <w:spacing w:before="0"/>
            </w:pPr>
            <w:r w:rsidRPr="005D4222">
              <w:t>*Do not include laboratory claims (claims with POS code 81).</w:t>
            </w:r>
          </w:p>
        </w:tc>
      </w:tr>
    </w:tbl>
    <w:p w14:paraId="34D702D1" w14:textId="77777777" w:rsidR="002819C4" w:rsidRPr="005D4222" w:rsidRDefault="002819C4">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A833D9" w:rsidRPr="005D4222" w14:paraId="7772B872" w14:textId="77777777" w:rsidTr="002819C4">
        <w:tc>
          <w:tcPr>
            <w:tcW w:w="2157" w:type="dxa"/>
            <w:tcBorders>
              <w:top w:val="single" w:sz="2"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1A9EF373" w14:textId="77777777" w:rsidR="00A833D9" w:rsidRPr="005D4222" w:rsidRDefault="00A833D9" w:rsidP="00A53E8C">
            <w:pPr>
              <w:pStyle w:val="ECDSMarginHead"/>
            </w:pPr>
            <w:r w:rsidRPr="005D4222">
              <w:lastRenderedPageBreak/>
              <w:t xml:space="preserve">Denominator exclusions </w:t>
            </w: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vAlign w:val="center"/>
          </w:tcPr>
          <w:p w14:paraId="64A60877" w14:textId="77777777" w:rsidR="00A833D9" w:rsidRPr="005D4222" w:rsidRDefault="00A833D9" w:rsidP="00A53E8C">
            <w:pPr>
              <w:pStyle w:val="ECDSBody"/>
              <w:rPr>
                <w:rFonts w:eastAsia="Arial,Arial,Arial,Arial,Arial,A"/>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p w14:paraId="5EEE4FA8" w14:textId="509F9E7D" w:rsidR="00A833D9" w:rsidRPr="005D4222" w:rsidRDefault="00A833D9" w:rsidP="00A53E8C">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065ECE" w:rsidRPr="005D4222" w14:paraId="35FDF375" w14:textId="77777777" w:rsidTr="002819C4">
        <w:tc>
          <w:tcPr>
            <w:tcW w:w="2157" w:type="dxa"/>
            <w:shd w:val="clear" w:color="auto" w:fill="BFBFBF" w:themeFill="background1" w:themeFillShade="BF"/>
            <w:tcMar>
              <w:top w:w="0" w:type="dxa"/>
              <w:left w:w="86" w:type="dxa"/>
              <w:bottom w:w="43" w:type="dxa"/>
              <w:right w:w="86" w:type="dxa"/>
            </w:tcMar>
          </w:tcPr>
          <w:p w14:paraId="517D34A3" w14:textId="77777777" w:rsidR="00065ECE" w:rsidRPr="005D4222" w:rsidRDefault="00065ECE" w:rsidP="00A53E8C">
            <w:pPr>
              <w:pStyle w:val="ECDSMarginHead"/>
            </w:pPr>
            <w:r w:rsidRPr="005D4222">
              <w:t>Denominator</w:t>
            </w:r>
          </w:p>
        </w:tc>
        <w:tc>
          <w:tcPr>
            <w:tcW w:w="7557" w:type="dxa"/>
            <w:tcMar>
              <w:top w:w="0" w:type="dxa"/>
              <w:left w:w="86" w:type="dxa"/>
              <w:bottom w:w="43" w:type="dxa"/>
              <w:right w:w="86" w:type="dxa"/>
            </w:tcMar>
          </w:tcPr>
          <w:p w14:paraId="4B59256F" w14:textId="77777777" w:rsidR="00065ECE" w:rsidRPr="005D4222" w:rsidRDefault="00065ECE" w:rsidP="00A53E8C">
            <w:pPr>
              <w:pStyle w:val="ECDSBody"/>
              <w:rPr>
                <w:rFonts w:eastAsia="Arial,Arial,Arial,Arial,Arial,A"/>
              </w:rPr>
            </w:pPr>
            <w:r w:rsidRPr="005D4222">
              <w:rPr>
                <w:rFonts w:eastAsia="Arial,Arial,Arial,Arial,Arial,A"/>
              </w:rPr>
              <w:t>The initial population minus denominator exclusions.</w:t>
            </w:r>
          </w:p>
        </w:tc>
      </w:tr>
      <w:tr w:rsidR="00065ECE" w:rsidRPr="005D4222" w14:paraId="4C13FE74" w14:textId="77777777" w:rsidTr="002819C4">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A71AB10" w14:textId="77777777" w:rsidR="00065ECE" w:rsidRPr="005D4222" w:rsidRDefault="00065ECE" w:rsidP="00A53E8C">
            <w:pPr>
              <w:pStyle w:val="ECDSMarginHead"/>
            </w:pPr>
            <w:r w:rsidRPr="005D4222">
              <w:t>Numerator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25BC83AB" w14:textId="77777777" w:rsidR="00065ECE" w:rsidRPr="005D4222" w:rsidRDefault="00065ECE" w:rsidP="00A53E8C">
            <w:pPr>
              <w:pStyle w:val="ECDSBody"/>
              <w:rPr>
                <w:b/>
                <w:color w:val="000000" w:themeColor="text1"/>
              </w:rPr>
            </w:pPr>
            <w:r w:rsidRPr="005D4222">
              <w:rPr>
                <w:b/>
                <w:color w:val="000000" w:themeColor="text1"/>
              </w:rPr>
              <w:t>Antibiotic medication prescription.</w:t>
            </w:r>
            <w:r w:rsidRPr="005D4222">
              <w:br/>
            </w:r>
            <w:r w:rsidRPr="005D4222">
              <w:rPr>
                <w:color w:val="000000" w:themeColor="text1"/>
              </w:rPr>
              <w:t>Dispensed a prescription for an antibiotic medication (</w:t>
            </w:r>
            <w:r w:rsidRPr="005D4222">
              <w:rPr>
                <w:color w:val="000000" w:themeColor="text1"/>
                <w:u w:val="single"/>
              </w:rPr>
              <w:t>AXR Antibiotic Medications List</w:t>
            </w:r>
            <w:r w:rsidRPr="005D4222">
              <w:rPr>
                <w:color w:val="000000" w:themeColor="text1"/>
              </w:rPr>
              <w:t xml:space="preserve">) on or 3 days after the episode date. </w:t>
            </w:r>
          </w:p>
        </w:tc>
      </w:tr>
      <w:tr w:rsidR="00065ECE" w:rsidRPr="005D4222" w14:paraId="53F25E52" w14:textId="77777777" w:rsidTr="002819C4">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6157EFC" w14:textId="77777777" w:rsidR="00065ECE" w:rsidRPr="005D4222" w:rsidRDefault="00065ECE" w:rsidP="00A53E8C">
            <w:pPr>
              <w:pStyle w:val="ECDSMarginHead"/>
            </w:pPr>
            <w:r w:rsidRPr="005D4222">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1B55107" w14:textId="0D625076" w:rsidR="00065ECE" w:rsidRPr="005D4222" w:rsidRDefault="00065ECE" w:rsidP="00065ECE">
            <w:pPr>
              <w:pStyle w:val="ProcessBullet"/>
              <w:tabs>
                <w:tab w:val="left" w:pos="216"/>
              </w:tabs>
              <w:spacing w:before="120"/>
            </w:pPr>
            <w:r w:rsidRPr="005D4222">
              <w:t xml:space="preserve">Added a death exclusion to the </w:t>
            </w:r>
            <w:r w:rsidRPr="005D4222">
              <w:rPr>
                <w:i/>
                <w:iCs/>
              </w:rPr>
              <w:t>Denominator</w:t>
            </w:r>
            <w:r w:rsidRPr="005D4222">
              <w:rPr>
                <w:i/>
              </w:rPr>
              <w:t xml:space="preserve"> exclusion</w:t>
            </w:r>
            <w:r w:rsidR="00515885" w:rsidRPr="005D4222">
              <w:rPr>
                <w:i/>
              </w:rPr>
              <w:t>s</w:t>
            </w:r>
            <w:r w:rsidRPr="005D4222">
              <w:t xml:space="preserve"> section. </w:t>
            </w:r>
          </w:p>
        </w:tc>
      </w:tr>
      <w:tr w:rsidR="00065ECE" w:rsidRPr="005D4222" w14:paraId="68730F5B" w14:textId="77777777" w:rsidTr="002819C4">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4195578" w14:textId="77777777" w:rsidR="00065ECE" w:rsidRPr="005D4222" w:rsidRDefault="00065ECE" w:rsidP="00A53E8C">
            <w:pPr>
              <w:pStyle w:val="ECDS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AF0A2BA" w14:textId="77777777" w:rsidR="00065ECE" w:rsidRPr="005D4222" w:rsidRDefault="00065ECE" w:rsidP="00A53E8C">
            <w:pPr>
              <w:pStyle w:val="ECDSBody"/>
              <w:rPr>
                <w:rFonts w:eastAsia="Arial,Times New Roman"/>
              </w:rPr>
            </w:pPr>
            <w:r w:rsidRPr="005D4222">
              <w:rPr>
                <w:rFonts w:eastAsia="Arial,Arial,Times New Roman"/>
              </w:rPr>
              <w:t>Organizations that submit HEDIS data to NCQA must provide the following data elements.</w:t>
            </w:r>
          </w:p>
          <w:p w14:paraId="6C9F9402" w14:textId="77777777" w:rsidR="00065ECE" w:rsidRPr="005D4222" w:rsidRDefault="00065ECE" w:rsidP="00A53E8C">
            <w:pPr>
              <w:pStyle w:val="Heading3"/>
              <w:spacing w:before="120"/>
              <w:rPr>
                <w:rFonts w:eastAsia="Arial,Arial,Times New Roman"/>
              </w:rPr>
            </w:pPr>
            <w:r w:rsidRPr="005D4222">
              <w:rPr>
                <w:rFonts w:eastAsia="Arial,Arial,Times New Roman"/>
              </w:rPr>
              <w:t>Table AXR-1/2/3: Data Elements for Antibiotic Utilization</w:t>
            </w:r>
          </w:p>
          <w:tbl>
            <w:tblPr>
              <w:tblW w:w="736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356"/>
              <w:gridCol w:w="850"/>
              <w:gridCol w:w="1730"/>
              <w:gridCol w:w="1433"/>
            </w:tblGrid>
            <w:tr w:rsidR="00065ECE" w:rsidRPr="005D4222" w14:paraId="418140DE" w14:textId="77777777" w:rsidTr="00A53E8C">
              <w:trPr>
                <w:trHeight w:val="120"/>
              </w:trPr>
              <w:tc>
                <w:tcPr>
                  <w:tcW w:w="3356" w:type="dxa"/>
                  <w:tcBorders>
                    <w:top w:val="single" w:sz="4" w:space="0" w:color="000000" w:themeColor="text1"/>
                    <w:left w:val="single" w:sz="4" w:space="0" w:color="000000" w:themeColor="text1"/>
                    <w:bottom w:val="single" w:sz="4" w:space="0" w:color="auto"/>
                    <w:right w:val="single" w:sz="4" w:space="0" w:color="FFFFFF" w:themeColor="background1"/>
                  </w:tcBorders>
                  <w:shd w:val="clear" w:color="auto" w:fill="000000" w:themeFill="text1"/>
                  <w:vAlign w:val="bottom"/>
                  <w:hideMark/>
                </w:tcPr>
                <w:p w14:paraId="40FDF3C8" w14:textId="77777777" w:rsidR="00065ECE" w:rsidRPr="005D4222" w:rsidRDefault="00065ECE" w:rsidP="00A53E8C">
                  <w:pPr>
                    <w:pStyle w:val="TableHead"/>
                  </w:pPr>
                  <w:r w:rsidRPr="005D4222">
                    <w:t>Metric</w:t>
                  </w:r>
                </w:p>
              </w:tc>
              <w:tc>
                <w:tcPr>
                  <w:tcW w:w="850" w:type="dxa"/>
                  <w:tcBorders>
                    <w:top w:val="single" w:sz="4" w:space="0" w:color="000000" w:themeColor="text1"/>
                    <w:left w:val="single" w:sz="4" w:space="0" w:color="FFFFFF" w:themeColor="background1"/>
                    <w:bottom w:val="single" w:sz="4" w:space="0" w:color="auto"/>
                    <w:right w:val="single" w:sz="4" w:space="0" w:color="FFFFFF" w:themeColor="background1"/>
                  </w:tcBorders>
                  <w:shd w:val="clear" w:color="auto" w:fill="000000" w:themeFill="text1"/>
                  <w:vAlign w:val="bottom"/>
                  <w:hideMark/>
                </w:tcPr>
                <w:p w14:paraId="697E1E97" w14:textId="77777777" w:rsidR="00065ECE" w:rsidRPr="005D4222" w:rsidRDefault="00065ECE" w:rsidP="00A53E8C">
                  <w:pPr>
                    <w:pStyle w:val="TableHead"/>
                  </w:pPr>
                  <w:r w:rsidRPr="005D4222">
                    <w:t>Age</w:t>
                  </w:r>
                </w:p>
              </w:tc>
              <w:tc>
                <w:tcPr>
                  <w:tcW w:w="173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vAlign w:val="bottom"/>
                  <w:hideMark/>
                </w:tcPr>
                <w:p w14:paraId="26686604" w14:textId="77777777" w:rsidR="00065ECE" w:rsidRPr="005D4222" w:rsidRDefault="00065ECE" w:rsidP="00A53E8C">
                  <w:pPr>
                    <w:pStyle w:val="TableHead"/>
                  </w:pPr>
                  <w:r w:rsidRPr="005D4222">
                    <w:t>Data Element</w:t>
                  </w:r>
                </w:p>
              </w:tc>
              <w:tc>
                <w:tcPr>
                  <w:tcW w:w="1433"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vAlign w:val="bottom"/>
                  <w:hideMark/>
                </w:tcPr>
                <w:p w14:paraId="0E1E7528" w14:textId="77777777" w:rsidR="00065ECE" w:rsidRPr="005D4222" w:rsidRDefault="00065ECE" w:rsidP="00A53E8C">
                  <w:pPr>
                    <w:pStyle w:val="TableHead"/>
                  </w:pPr>
                  <w:r w:rsidRPr="005D4222">
                    <w:t>Reporting Instructions</w:t>
                  </w:r>
                </w:p>
              </w:tc>
            </w:tr>
            <w:tr w:rsidR="00065ECE" w:rsidRPr="005D4222" w14:paraId="62B2DF6B" w14:textId="77777777" w:rsidTr="00A53E8C">
              <w:trPr>
                <w:trHeight w:val="158"/>
              </w:trPr>
              <w:tc>
                <w:tcPr>
                  <w:tcW w:w="3356" w:type="dxa"/>
                  <w:tcBorders>
                    <w:top w:val="single" w:sz="4" w:space="0" w:color="auto"/>
                    <w:left w:val="single" w:sz="4" w:space="0" w:color="auto"/>
                    <w:bottom w:val="single" w:sz="4" w:space="0" w:color="auto"/>
                    <w:right w:val="single" w:sz="4" w:space="0" w:color="auto"/>
                  </w:tcBorders>
                  <w:hideMark/>
                </w:tcPr>
                <w:p w14:paraId="16A26D7A" w14:textId="77777777" w:rsidR="00065ECE" w:rsidRPr="005D4222" w:rsidRDefault="00065ECE" w:rsidP="00A53E8C">
                  <w:pPr>
                    <w:pStyle w:val="TableText"/>
                  </w:pPr>
                  <w:r w:rsidRPr="005D4222">
                    <w:t>AntibioticUtilizationRespiratoryConditions</w:t>
                  </w:r>
                </w:p>
              </w:tc>
              <w:tc>
                <w:tcPr>
                  <w:tcW w:w="850" w:type="dxa"/>
                  <w:tcBorders>
                    <w:top w:val="single" w:sz="4" w:space="0" w:color="auto"/>
                    <w:left w:val="single" w:sz="4" w:space="0" w:color="auto"/>
                    <w:bottom w:val="single" w:sz="4" w:space="0" w:color="auto"/>
                    <w:right w:val="single" w:sz="4" w:space="0" w:color="auto"/>
                  </w:tcBorders>
                  <w:hideMark/>
                </w:tcPr>
                <w:p w14:paraId="704E9937" w14:textId="77777777" w:rsidR="00065ECE" w:rsidRPr="005D4222" w:rsidRDefault="00065ECE" w:rsidP="00A53E8C">
                  <w:pPr>
                    <w:pStyle w:val="TableText"/>
                  </w:pPr>
                  <w:r w:rsidRPr="005D4222">
                    <w:t>3m-17</w:t>
                  </w:r>
                </w:p>
              </w:tc>
              <w:tc>
                <w:tcPr>
                  <w:tcW w:w="1730" w:type="dxa"/>
                  <w:tcBorders>
                    <w:top w:val="single" w:sz="4" w:space="0" w:color="000000" w:themeColor="text1"/>
                    <w:left w:val="single" w:sz="4" w:space="0" w:color="auto"/>
                    <w:bottom w:val="single" w:sz="4" w:space="0" w:color="auto"/>
                    <w:right w:val="single" w:sz="4" w:space="0" w:color="auto"/>
                  </w:tcBorders>
                  <w:hideMark/>
                </w:tcPr>
                <w:p w14:paraId="1258C027" w14:textId="77777777" w:rsidR="00065ECE" w:rsidRPr="005D4222" w:rsidRDefault="00065ECE" w:rsidP="00A53E8C">
                  <w:pPr>
                    <w:pStyle w:val="TableText"/>
                  </w:pPr>
                  <w:r w:rsidRPr="005D4222">
                    <w:t>Benefit</w:t>
                  </w:r>
                </w:p>
              </w:tc>
              <w:tc>
                <w:tcPr>
                  <w:tcW w:w="1433" w:type="dxa"/>
                  <w:tcBorders>
                    <w:top w:val="single" w:sz="4" w:space="0" w:color="000000" w:themeColor="text1"/>
                    <w:left w:val="single" w:sz="4" w:space="0" w:color="auto"/>
                    <w:bottom w:val="single" w:sz="6" w:space="0" w:color="auto"/>
                    <w:right w:val="single" w:sz="4" w:space="0" w:color="auto"/>
                  </w:tcBorders>
                  <w:hideMark/>
                </w:tcPr>
                <w:p w14:paraId="71D064AB" w14:textId="77777777" w:rsidR="00065ECE" w:rsidRPr="005D4222" w:rsidRDefault="00065ECE" w:rsidP="00A53E8C">
                  <w:pPr>
                    <w:pStyle w:val="TableText"/>
                    <w:rPr>
                      <w:rFonts w:eastAsia="Wingdings"/>
                    </w:rPr>
                  </w:pPr>
                  <w:r w:rsidRPr="005D4222">
                    <w:rPr>
                      <w:rFonts w:eastAsia="Wingdings"/>
                    </w:rPr>
                    <w:t>Metadata</w:t>
                  </w:r>
                </w:p>
              </w:tc>
            </w:tr>
            <w:tr w:rsidR="00065ECE" w:rsidRPr="005D4222" w14:paraId="67DEA73E" w14:textId="77777777" w:rsidTr="00A53E8C">
              <w:trPr>
                <w:trHeight w:val="158"/>
              </w:trPr>
              <w:tc>
                <w:tcPr>
                  <w:tcW w:w="3356" w:type="dxa"/>
                  <w:tcBorders>
                    <w:top w:val="single" w:sz="4" w:space="0" w:color="auto"/>
                    <w:left w:val="nil"/>
                    <w:bottom w:val="nil"/>
                    <w:right w:val="single" w:sz="4" w:space="0" w:color="auto"/>
                  </w:tcBorders>
                  <w:shd w:val="clear" w:color="auto" w:fill="FFFFFF" w:themeFill="background1"/>
                </w:tcPr>
                <w:p w14:paraId="0331E9E9" w14:textId="77777777" w:rsidR="00065ECE" w:rsidRPr="005D4222" w:rsidRDefault="00065ECE" w:rsidP="00A53E8C">
                  <w:pPr>
                    <w:pStyle w:val="TableText"/>
                  </w:pP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CE7418C" w14:textId="77777777" w:rsidR="00065ECE" w:rsidRPr="005D4222" w:rsidRDefault="00065ECE" w:rsidP="00A53E8C">
                  <w:pPr>
                    <w:pStyle w:val="TableText"/>
                  </w:pPr>
                  <w:r w:rsidRPr="005D4222">
                    <w:t>18-64</w:t>
                  </w:r>
                </w:p>
              </w:tc>
              <w:tc>
                <w:tcPr>
                  <w:tcW w:w="173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ECA70A7" w14:textId="77777777" w:rsidR="00065ECE" w:rsidRPr="005D4222" w:rsidRDefault="00065ECE" w:rsidP="00A53E8C">
                  <w:pPr>
                    <w:pStyle w:val="TableText"/>
                  </w:pPr>
                  <w:r w:rsidRPr="005D4222">
                    <w:t xml:space="preserve">InitialPopulation </w:t>
                  </w:r>
                </w:p>
              </w:tc>
              <w:tc>
                <w:tcPr>
                  <w:tcW w:w="1433"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77508A82" w14:textId="77777777" w:rsidR="00065ECE" w:rsidRPr="005D4222" w:rsidRDefault="00065ECE" w:rsidP="00A53E8C">
                  <w:pPr>
                    <w:pStyle w:val="TableText"/>
                    <w:rPr>
                      <w:rFonts w:eastAsia="Wingdings"/>
                    </w:rPr>
                  </w:pPr>
                  <w:r w:rsidRPr="005D4222">
                    <w:rPr>
                      <w:rFonts w:eastAsia="Wingdings"/>
                    </w:rPr>
                    <w:t>For each Stratification</w:t>
                  </w:r>
                </w:p>
              </w:tc>
            </w:tr>
            <w:tr w:rsidR="00065ECE" w:rsidRPr="005D4222" w14:paraId="0A6A6753" w14:textId="77777777" w:rsidTr="00A53E8C">
              <w:trPr>
                <w:trHeight w:val="158"/>
              </w:trPr>
              <w:tc>
                <w:tcPr>
                  <w:tcW w:w="3356" w:type="dxa"/>
                  <w:tcBorders>
                    <w:top w:val="nil"/>
                    <w:left w:val="nil"/>
                    <w:bottom w:val="nil"/>
                    <w:right w:val="single" w:sz="4" w:space="0" w:color="auto"/>
                  </w:tcBorders>
                  <w:shd w:val="clear" w:color="auto" w:fill="FFFFFF" w:themeFill="background1"/>
                </w:tcPr>
                <w:p w14:paraId="63C2E5D7" w14:textId="77777777" w:rsidR="00065ECE" w:rsidRPr="005D4222" w:rsidRDefault="00065ECE" w:rsidP="00A53E8C">
                  <w:pPr>
                    <w:pStyle w:val="TableText"/>
                  </w:pPr>
                </w:p>
              </w:tc>
              <w:tc>
                <w:tcPr>
                  <w:tcW w:w="850" w:type="dxa"/>
                  <w:tcBorders>
                    <w:top w:val="single" w:sz="4" w:space="0" w:color="auto"/>
                    <w:left w:val="single" w:sz="4" w:space="0" w:color="auto"/>
                    <w:bottom w:val="single" w:sz="4" w:space="0" w:color="auto"/>
                    <w:right w:val="single" w:sz="4" w:space="0" w:color="auto"/>
                  </w:tcBorders>
                  <w:hideMark/>
                </w:tcPr>
                <w:p w14:paraId="46F84DA9" w14:textId="77777777" w:rsidR="00065ECE" w:rsidRPr="005D4222" w:rsidRDefault="00065ECE" w:rsidP="00A53E8C">
                  <w:pPr>
                    <w:pStyle w:val="TableText"/>
                  </w:pPr>
                  <w:r w:rsidRPr="005D4222">
                    <w:t>65+</w:t>
                  </w:r>
                </w:p>
              </w:tc>
              <w:tc>
                <w:tcPr>
                  <w:tcW w:w="173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EC81D18" w14:textId="77777777" w:rsidR="00065ECE" w:rsidRPr="005D4222" w:rsidRDefault="00065ECE" w:rsidP="00A53E8C">
                  <w:pPr>
                    <w:pStyle w:val="TableText"/>
                  </w:pPr>
                  <w:r w:rsidRPr="005D4222">
                    <w:t>Exclusions</w:t>
                  </w:r>
                </w:p>
              </w:tc>
              <w:tc>
                <w:tcPr>
                  <w:tcW w:w="1433"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1E10ED40" w14:textId="77777777" w:rsidR="00065ECE" w:rsidRPr="005D4222" w:rsidRDefault="00065ECE" w:rsidP="00A53E8C">
                  <w:pPr>
                    <w:pStyle w:val="TableText"/>
                    <w:rPr>
                      <w:rFonts w:eastAsia="Wingdings"/>
                    </w:rPr>
                  </w:pPr>
                  <w:r w:rsidRPr="005D4222">
                    <w:rPr>
                      <w:rFonts w:eastAsia="Wingdings"/>
                    </w:rPr>
                    <w:t>For each Stratification</w:t>
                  </w:r>
                </w:p>
              </w:tc>
            </w:tr>
            <w:tr w:rsidR="00065ECE" w:rsidRPr="005D4222" w14:paraId="38AF6BB6" w14:textId="77777777" w:rsidTr="00A53E8C">
              <w:trPr>
                <w:trHeight w:val="300"/>
              </w:trPr>
              <w:tc>
                <w:tcPr>
                  <w:tcW w:w="3356" w:type="dxa"/>
                  <w:tcBorders>
                    <w:top w:val="nil"/>
                    <w:left w:val="nil"/>
                    <w:bottom w:val="nil"/>
                    <w:right w:val="single" w:sz="4" w:space="0" w:color="auto"/>
                  </w:tcBorders>
                  <w:shd w:val="clear" w:color="auto" w:fill="FFFFFF" w:themeFill="background1"/>
                </w:tcPr>
                <w:p w14:paraId="2F0AA209" w14:textId="77777777" w:rsidR="00065ECE" w:rsidRPr="005D4222" w:rsidRDefault="00065ECE" w:rsidP="00A53E8C">
                  <w:pPr>
                    <w:pStyle w:val="TableText"/>
                  </w:pPr>
                </w:p>
              </w:tc>
              <w:tc>
                <w:tcPr>
                  <w:tcW w:w="8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5F706AA" w14:textId="77777777" w:rsidR="00065ECE" w:rsidRPr="005D4222" w:rsidRDefault="00065ECE" w:rsidP="00A53E8C">
                  <w:pPr>
                    <w:pStyle w:val="TableText"/>
                  </w:pPr>
                  <w:r w:rsidRPr="005D4222">
                    <w:t>Total</w:t>
                  </w:r>
                </w:p>
              </w:tc>
              <w:tc>
                <w:tcPr>
                  <w:tcW w:w="1730" w:type="dxa"/>
                  <w:tcBorders>
                    <w:top w:val="single" w:sz="4" w:space="0" w:color="auto"/>
                    <w:left w:val="single" w:sz="4" w:space="0" w:color="auto"/>
                    <w:bottom w:val="single" w:sz="4" w:space="0" w:color="auto"/>
                    <w:right w:val="single" w:sz="4" w:space="0" w:color="auto"/>
                  </w:tcBorders>
                  <w:shd w:val="clear" w:color="auto" w:fill="FFFFFF" w:themeFill="background1"/>
                </w:tcPr>
                <w:p w14:paraId="30C787F8" w14:textId="77777777" w:rsidR="00065ECE" w:rsidRPr="005D4222" w:rsidRDefault="00065ECE" w:rsidP="00A53E8C">
                  <w:pPr>
                    <w:pStyle w:val="TableText"/>
                  </w:pPr>
                  <w:r w:rsidRPr="005D4222">
                    <w:t>Denominator</w:t>
                  </w:r>
                </w:p>
              </w:tc>
              <w:tc>
                <w:tcPr>
                  <w:tcW w:w="1433" w:type="dxa"/>
                  <w:tcBorders>
                    <w:top w:val="single" w:sz="6" w:space="0" w:color="auto"/>
                    <w:left w:val="single" w:sz="4" w:space="0" w:color="auto"/>
                    <w:bottom w:val="single" w:sz="6" w:space="0" w:color="auto"/>
                    <w:right w:val="single" w:sz="4" w:space="0" w:color="auto"/>
                  </w:tcBorders>
                  <w:shd w:val="clear" w:color="auto" w:fill="FFFFFF" w:themeFill="background1"/>
                </w:tcPr>
                <w:p w14:paraId="71B7F142" w14:textId="77777777" w:rsidR="00065ECE" w:rsidRPr="005D4222" w:rsidRDefault="00065ECE" w:rsidP="00A53E8C">
                  <w:pPr>
                    <w:pStyle w:val="TableText"/>
                    <w:rPr>
                      <w:rFonts w:eastAsia="Wingdings"/>
                    </w:rPr>
                  </w:pPr>
                  <w:r w:rsidRPr="005D4222">
                    <w:rPr>
                      <w:rFonts w:eastAsia="Wingdings"/>
                    </w:rPr>
                    <w:t>For each Stratification</w:t>
                  </w:r>
                </w:p>
              </w:tc>
            </w:tr>
            <w:tr w:rsidR="00065ECE" w:rsidRPr="005D4222" w14:paraId="32421F29" w14:textId="77777777" w:rsidTr="00A53E8C">
              <w:trPr>
                <w:trHeight w:val="165"/>
              </w:trPr>
              <w:tc>
                <w:tcPr>
                  <w:tcW w:w="3356" w:type="dxa"/>
                  <w:tcBorders>
                    <w:top w:val="nil"/>
                    <w:left w:val="nil"/>
                    <w:bottom w:val="nil"/>
                    <w:right w:val="nil"/>
                  </w:tcBorders>
                  <w:shd w:val="clear" w:color="auto" w:fill="FFFFFF" w:themeFill="background1"/>
                </w:tcPr>
                <w:p w14:paraId="3CC3ECF9" w14:textId="77777777" w:rsidR="00065ECE" w:rsidRPr="005D4222" w:rsidRDefault="00065ECE" w:rsidP="00A53E8C">
                  <w:pPr>
                    <w:pStyle w:val="TableText"/>
                  </w:pPr>
                </w:p>
              </w:tc>
              <w:tc>
                <w:tcPr>
                  <w:tcW w:w="850" w:type="dxa"/>
                  <w:tcBorders>
                    <w:top w:val="single" w:sz="4" w:space="0" w:color="auto"/>
                    <w:left w:val="nil"/>
                    <w:bottom w:val="nil"/>
                    <w:right w:val="single" w:sz="4" w:space="0" w:color="auto"/>
                  </w:tcBorders>
                  <w:shd w:val="clear" w:color="auto" w:fill="FFFFFF" w:themeFill="background1"/>
                  <w:hideMark/>
                </w:tcPr>
                <w:p w14:paraId="4366EDB7" w14:textId="77777777" w:rsidR="00065ECE" w:rsidRPr="005D4222" w:rsidRDefault="00065ECE" w:rsidP="00A53E8C">
                  <w:pPr>
                    <w:pStyle w:val="TableText"/>
                  </w:pPr>
                </w:p>
              </w:tc>
              <w:tc>
                <w:tcPr>
                  <w:tcW w:w="1730" w:type="dxa"/>
                  <w:tcBorders>
                    <w:top w:val="single" w:sz="4" w:space="0" w:color="auto"/>
                    <w:left w:val="single" w:sz="4" w:space="0" w:color="auto"/>
                    <w:bottom w:val="single" w:sz="4" w:space="0" w:color="auto"/>
                    <w:right w:val="single" w:sz="4" w:space="0" w:color="auto"/>
                  </w:tcBorders>
                  <w:hideMark/>
                </w:tcPr>
                <w:p w14:paraId="5EBA567A" w14:textId="77777777" w:rsidR="00065ECE" w:rsidRPr="005D4222" w:rsidRDefault="00065ECE" w:rsidP="00A53E8C">
                  <w:pPr>
                    <w:pStyle w:val="TableText"/>
                  </w:pPr>
                  <w:r w:rsidRPr="005D4222">
                    <w:t>NumeratorByAdmin</w:t>
                  </w:r>
                </w:p>
              </w:tc>
              <w:tc>
                <w:tcPr>
                  <w:tcW w:w="1433" w:type="dxa"/>
                  <w:tcBorders>
                    <w:top w:val="single" w:sz="6" w:space="0" w:color="auto"/>
                    <w:left w:val="single" w:sz="4" w:space="0" w:color="auto"/>
                    <w:bottom w:val="single" w:sz="6" w:space="0" w:color="auto"/>
                    <w:right w:val="single" w:sz="4" w:space="0" w:color="auto"/>
                  </w:tcBorders>
                  <w:hideMark/>
                </w:tcPr>
                <w:p w14:paraId="2D946DB9" w14:textId="77777777" w:rsidR="00065ECE" w:rsidRPr="005D4222" w:rsidRDefault="00065ECE" w:rsidP="00A53E8C">
                  <w:pPr>
                    <w:pStyle w:val="TableText"/>
                    <w:rPr>
                      <w:rFonts w:eastAsia="Wingdings"/>
                    </w:rPr>
                  </w:pPr>
                  <w:r w:rsidRPr="005D4222">
                    <w:rPr>
                      <w:rFonts w:eastAsia="Wingdings"/>
                    </w:rPr>
                    <w:t>For each Stratification</w:t>
                  </w:r>
                </w:p>
              </w:tc>
            </w:tr>
            <w:tr w:rsidR="00065ECE" w:rsidRPr="005D4222" w14:paraId="546A9835" w14:textId="77777777" w:rsidTr="00A53E8C">
              <w:trPr>
                <w:trHeight w:val="158"/>
              </w:trPr>
              <w:tc>
                <w:tcPr>
                  <w:tcW w:w="3356" w:type="dxa"/>
                  <w:tcBorders>
                    <w:top w:val="nil"/>
                    <w:left w:val="nil"/>
                    <w:bottom w:val="nil"/>
                    <w:right w:val="nil"/>
                  </w:tcBorders>
                  <w:shd w:val="clear" w:color="auto" w:fill="FFFFFF" w:themeFill="background1"/>
                </w:tcPr>
                <w:p w14:paraId="2DB23047" w14:textId="77777777" w:rsidR="00065ECE" w:rsidRPr="005D4222" w:rsidRDefault="00065ECE" w:rsidP="00A53E8C">
                  <w:pPr>
                    <w:pStyle w:val="TableText"/>
                  </w:pPr>
                </w:p>
              </w:tc>
              <w:tc>
                <w:tcPr>
                  <w:tcW w:w="850" w:type="dxa"/>
                  <w:tcBorders>
                    <w:top w:val="nil"/>
                    <w:left w:val="nil"/>
                    <w:bottom w:val="nil"/>
                    <w:right w:val="single" w:sz="4" w:space="0" w:color="auto"/>
                  </w:tcBorders>
                </w:tcPr>
                <w:p w14:paraId="27F2D91A" w14:textId="77777777" w:rsidR="00065ECE" w:rsidRPr="005D4222" w:rsidRDefault="00065ECE" w:rsidP="00A53E8C">
                  <w:pPr>
                    <w:pStyle w:val="TableText"/>
                  </w:pPr>
                </w:p>
              </w:tc>
              <w:tc>
                <w:tcPr>
                  <w:tcW w:w="17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A7F94F6" w14:textId="77777777" w:rsidR="00065ECE" w:rsidRPr="005D4222" w:rsidRDefault="00065ECE" w:rsidP="00A53E8C">
                  <w:pPr>
                    <w:pStyle w:val="TableText"/>
                  </w:pPr>
                  <w:r w:rsidRPr="005D4222">
                    <w:t>Rate</w:t>
                  </w:r>
                </w:p>
              </w:tc>
              <w:tc>
                <w:tcPr>
                  <w:tcW w:w="1433" w:type="dxa"/>
                  <w:tcBorders>
                    <w:top w:val="single" w:sz="6" w:space="0" w:color="auto"/>
                    <w:left w:val="single" w:sz="4" w:space="0" w:color="auto"/>
                    <w:bottom w:val="single" w:sz="6" w:space="0" w:color="auto"/>
                    <w:right w:val="single" w:sz="4" w:space="0" w:color="auto"/>
                  </w:tcBorders>
                  <w:shd w:val="clear" w:color="auto" w:fill="D9D9D9" w:themeFill="background1" w:themeFillShade="D9"/>
                  <w:hideMark/>
                </w:tcPr>
                <w:p w14:paraId="7B826506" w14:textId="77777777" w:rsidR="00065ECE" w:rsidRPr="005D4222" w:rsidRDefault="00065ECE" w:rsidP="00A53E8C">
                  <w:pPr>
                    <w:pStyle w:val="TableText"/>
                    <w:rPr>
                      <w:rFonts w:eastAsia="Wingdings"/>
                    </w:rPr>
                  </w:pPr>
                  <w:r w:rsidRPr="005D4222">
                    <w:rPr>
                      <w:rFonts w:eastAsia="Wingdings"/>
                    </w:rPr>
                    <w:t>(Percent)</w:t>
                  </w:r>
                </w:p>
              </w:tc>
            </w:tr>
          </w:tbl>
          <w:p w14:paraId="185DFB01" w14:textId="77777777" w:rsidR="00065ECE" w:rsidRPr="005D4222" w:rsidRDefault="00065ECE" w:rsidP="00A53E8C">
            <w:pPr>
              <w:pStyle w:val="ProcessDash"/>
              <w:numPr>
                <w:ilvl w:val="0"/>
                <w:numId w:val="0"/>
              </w:numPr>
              <w:rPr>
                <w:color w:val="000000" w:themeColor="text1"/>
                <w:highlight w:val="yellow"/>
              </w:rPr>
            </w:pPr>
          </w:p>
        </w:tc>
      </w:tr>
      <w:tr w:rsidR="00065ECE" w:rsidRPr="005D4222" w14:paraId="47EE045A" w14:textId="77777777" w:rsidTr="002819C4">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1210687" w14:textId="77777777" w:rsidR="00065ECE" w:rsidRPr="005D4222" w:rsidRDefault="00065ECE" w:rsidP="00A53E8C">
            <w:pPr>
              <w:pStyle w:val="ECDSMarginHead"/>
            </w:pPr>
            <w:r w:rsidRPr="005D4222">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B04352C" w14:textId="77777777" w:rsidR="00065ECE" w:rsidRPr="005D4222" w:rsidRDefault="00065ECE" w:rsidP="00A53E8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3B78A171" w14:textId="77777777" w:rsidR="00065ECE" w:rsidRPr="005D4222" w:rsidRDefault="00065ECE" w:rsidP="00A53E8C">
            <w:pPr>
              <w:pStyle w:val="ECDSBody"/>
              <w:rPr>
                <w:b/>
              </w:rPr>
            </w:pPr>
            <w:r w:rsidRPr="005D4222">
              <w:rPr>
                <w:b/>
              </w:rPr>
              <w:t>Adjusted HEDIS measures may not be used for HEDIS health plan reporting.</w:t>
            </w:r>
          </w:p>
          <w:p w14:paraId="1DD63855" w14:textId="77777777" w:rsidR="00065ECE" w:rsidRPr="005D4222" w:rsidRDefault="00065ECE" w:rsidP="00A53E8C">
            <w:pPr>
              <w:pStyle w:val="Adjustments"/>
              <w:rPr>
                <w:b w:val="0"/>
              </w:rPr>
            </w:pPr>
            <w:r w:rsidRPr="005D4222">
              <w:t>Adjustments</w:t>
            </w:r>
            <w:r w:rsidRPr="005D4222">
              <w:rPr>
                <w:bCs/>
              </w:rPr>
              <w:t xml:space="preserve"> a</w:t>
            </w:r>
            <w:r w:rsidRPr="005D4222">
              <w:t>llowed</w:t>
            </w:r>
          </w:p>
          <w:p w14:paraId="15FDE2AF" w14:textId="656685A0" w:rsidR="00A833D9" w:rsidRPr="005D4222" w:rsidRDefault="00065ECE" w:rsidP="00A833D9">
            <w:pPr>
              <w:pStyle w:val="ProcessBullet"/>
              <w:tabs>
                <w:tab w:val="left" w:pos="216"/>
              </w:tabs>
              <w:spacing w:after="80"/>
              <w:rPr>
                <w:i/>
                <w:iCs/>
              </w:rPr>
            </w:pPr>
            <w:r w:rsidRPr="005D4222">
              <w:rPr>
                <w:i/>
                <w:iCs/>
              </w:rPr>
              <w:t>Product lines</w:t>
            </w:r>
            <w:r w:rsidRPr="005D4222">
              <w:t xml:space="preserve">. </w:t>
            </w:r>
            <w:r w:rsidRPr="005D4222">
              <w:rPr>
                <w:rFonts w:eastAsia="Arial"/>
              </w:rPr>
              <w:t>Organizations are not required to use product line criteria; product lines may be combined</w:t>
            </w:r>
            <w:r w:rsidR="00E8671F" w:rsidRPr="005D4222">
              <w:rPr>
                <w:rFonts w:eastAsia="Arial"/>
              </w:rPr>
              <w:t>,</w:t>
            </w:r>
            <w:r w:rsidRPr="005D4222">
              <w:rPr>
                <w:rFonts w:eastAsia="Arial"/>
              </w:rPr>
              <w:t xml:space="preserve"> and all (or no) product line criteria may be used.</w:t>
            </w:r>
          </w:p>
        </w:tc>
      </w:tr>
      <w:tr w:rsidR="00065ECE" w:rsidRPr="005D4222" w14:paraId="7311CB71" w14:textId="77777777" w:rsidTr="002819C4">
        <w:tc>
          <w:tcPr>
            <w:tcW w:w="2157"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1129D40E" w14:textId="77777777" w:rsidR="00065ECE" w:rsidRPr="005D4222" w:rsidRDefault="00065ECE" w:rsidP="00A53E8C">
            <w:pPr>
              <w:pStyle w:val="ECDSMarginHead"/>
            </w:pP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tcPr>
          <w:p w14:paraId="7D2B58F1" w14:textId="24651302" w:rsidR="00A833D9" w:rsidRPr="005D4222" w:rsidRDefault="00A833D9" w:rsidP="00A833D9">
            <w:pPr>
              <w:pStyle w:val="ProcessBullet"/>
              <w:tabs>
                <w:tab w:val="left" w:pos="216"/>
              </w:tabs>
              <w:spacing w:after="80"/>
              <w:rPr>
                <w:rStyle w:val="NoteChar"/>
                <w:iCs/>
                <w:sz w:val="21"/>
              </w:rPr>
            </w:pPr>
            <w:r w:rsidRPr="005D4222">
              <w:rPr>
                <w:rFonts w:eastAsia="Arial"/>
                <w:i/>
                <w:iCs/>
              </w:rPr>
              <w:t>Attribution.</w:t>
            </w:r>
            <w:r w:rsidRPr="005D4222">
              <w:rPr>
                <w:rFonts w:eastAsia="Arial"/>
              </w:rPr>
              <w:t xml:space="preserve"> Organizations are not required to use enrollment criteria. </w:t>
            </w:r>
          </w:p>
          <w:p w14:paraId="0CB8CB05" w14:textId="77777777" w:rsidR="00065ECE" w:rsidRPr="005D4222" w:rsidRDefault="00065ECE" w:rsidP="00065ECE">
            <w:pPr>
              <w:pStyle w:val="ProcessBullet"/>
              <w:tabs>
                <w:tab w:val="left" w:pos="216"/>
              </w:tabs>
              <w:spacing w:after="80"/>
              <w:rPr>
                <w:i/>
              </w:rPr>
            </w:pPr>
            <w:r w:rsidRPr="005D4222">
              <w:rPr>
                <w:rFonts w:eastAsia="Arial"/>
                <w:i/>
                <w:iCs/>
              </w:rPr>
              <w:t>Benefits.</w:t>
            </w:r>
            <w:r w:rsidRPr="005D4222">
              <w:rPr>
                <w:b/>
              </w:rPr>
              <w:t xml:space="preserve"> </w:t>
            </w:r>
            <w:r w:rsidRPr="005D4222">
              <w:rPr>
                <w:rFonts w:eastAsia="Arial"/>
              </w:rPr>
              <w:t>Organizations are not required to use a benefit.</w:t>
            </w:r>
          </w:p>
          <w:p w14:paraId="28513F8E" w14:textId="77777777" w:rsidR="00065ECE" w:rsidRPr="005D4222" w:rsidRDefault="00065ECE" w:rsidP="00065ECE">
            <w:pPr>
              <w:pStyle w:val="ProcessBullet"/>
              <w:tabs>
                <w:tab w:val="left" w:pos="216"/>
              </w:tabs>
              <w:spacing w:after="80"/>
              <w:rPr>
                <w:b/>
              </w:rPr>
            </w:pPr>
            <w:r w:rsidRPr="005D4222">
              <w:rPr>
                <w:rFonts w:eastAsia="Arial"/>
                <w:i/>
                <w:iCs/>
              </w:rPr>
              <w:t>Other.</w:t>
            </w:r>
            <w:r w:rsidRPr="005D4222">
              <w:rPr>
                <w:b/>
              </w:rPr>
              <w:t xml:space="preserve"> </w:t>
            </w:r>
            <w:r w:rsidRPr="005D4222">
              <w:rPr>
                <w:rFonts w:eastAsia="Arial"/>
              </w:rPr>
              <w:t>Organizations may use additional initial population criteria to focus on an area of interest defined by gender, race, ethnicity, socioeconomic or sociodemographic characteristics, geographic region or another characteristic.</w:t>
            </w:r>
          </w:p>
          <w:p w14:paraId="50000207" w14:textId="77777777" w:rsidR="00065ECE" w:rsidRPr="005D4222" w:rsidRDefault="00065ECE" w:rsidP="00065ECE">
            <w:pPr>
              <w:pStyle w:val="ProcessBullet"/>
              <w:tabs>
                <w:tab w:val="left" w:pos="216"/>
              </w:tabs>
              <w:spacing w:after="80"/>
              <w:rPr>
                <w:i/>
                <w:iCs/>
              </w:rPr>
            </w:pPr>
            <w:r w:rsidRPr="005D4222">
              <w:rPr>
                <w:i/>
                <w:iCs/>
              </w:rPr>
              <w:t>Measurement period adjustments</w:t>
            </w:r>
            <w:r w:rsidRPr="005D4222">
              <w:t xml:space="preserve">. Organizations may adjust the measurement period. </w:t>
            </w:r>
          </w:p>
          <w:p w14:paraId="5FCE14C9" w14:textId="00003E5D" w:rsidR="00393B9E" w:rsidRPr="005D4222" w:rsidRDefault="00393B9E" w:rsidP="00393B9E">
            <w:pPr>
              <w:pStyle w:val="ProcessBullet"/>
              <w:numPr>
                <w:ilvl w:val="0"/>
                <w:numId w:val="0"/>
              </w:numPr>
              <w:tabs>
                <w:tab w:val="left" w:pos="216"/>
              </w:tabs>
              <w:spacing w:after="80"/>
              <w:ind w:left="216"/>
              <w:rPr>
                <w:i/>
                <w:iCs/>
              </w:rPr>
            </w:pPr>
            <w:r w:rsidRPr="005D4222">
              <w:rPr>
                <w:rStyle w:val="NoteChar"/>
                <w:b/>
                <w:bCs/>
              </w:rPr>
              <w:t>Note:</w:t>
            </w:r>
            <w:r w:rsidRPr="005D4222">
              <w:rPr>
                <w:rStyle w:val="NoteChar"/>
              </w:rPr>
              <w:t xml:space="preserve"> Changes to these criteria can affect how the event will be calculated using the intake period, episode date, negative comorbid condition, negative medication history, negative competing diagnosis.</w:t>
            </w:r>
          </w:p>
          <w:p w14:paraId="2B5A9F69" w14:textId="2D0A2724" w:rsidR="00065ECE" w:rsidRPr="005D4222" w:rsidRDefault="00065ECE" w:rsidP="00065ECE">
            <w:pPr>
              <w:pStyle w:val="ProcessBullet"/>
              <w:tabs>
                <w:tab w:val="left" w:pos="216"/>
              </w:tabs>
              <w:spacing w:after="80"/>
              <w:rPr>
                <w:i/>
                <w:iCs/>
              </w:rPr>
            </w:pPr>
            <w:r w:rsidRPr="005D4222">
              <w:rPr>
                <w:rFonts w:eastAsia="Arial"/>
                <w:i/>
                <w:iCs/>
              </w:rPr>
              <w:t>Exclusions.</w:t>
            </w:r>
            <w:r w:rsidRPr="005D4222">
              <w:rPr>
                <w:b/>
                <w:bCs/>
              </w:rPr>
              <w:t xml:space="preserve"> </w:t>
            </w:r>
            <w:r w:rsidRPr="005D4222">
              <w:rPr>
                <w:rFonts w:eastAsia="Arial"/>
              </w:rPr>
              <w:t xml:space="preserve">The hospice </w:t>
            </w:r>
            <w:r w:rsidR="00393B9E" w:rsidRPr="005D4222">
              <w:rPr>
                <w:rFonts w:eastAsia="Arial"/>
              </w:rPr>
              <w:t>and deceased person</w:t>
            </w:r>
            <w:r w:rsidRPr="005D4222">
              <w:rPr>
                <w:rFonts w:eastAsia="Arial"/>
              </w:rPr>
              <w:t xml:space="preserve"> exclusion</w:t>
            </w:r>
            <w:r w:rsidR="00393B9E" w:rsidRPr="005D4222">
              <w:rPr>
                <w:rFonts w:eastAsia="Arial"/>
              </w:rPr>
              <w:t>s</w:t>
            </w:r>
            <w:r w:rsidRPr="005D4222">
              <w:rPr>
                <w:rFonts w:eastAsia="Arial"/>
              </w:rPr>
              <w:t xml:space="preserve"> </w:t>
            </w:r>
            <w:r w:rsidR="00393B9E" w:rsidRPr="005D4222">
              <w:rPr>
                <w:rFonts w:eastAsia="Arial"/>
              </w:rPr>
              <w:t>are</w:t>
            </w:r>
            <w:r w:rsidRPr="005D4222">
              <w:rPr>
                <w:rFonts w:eastAsia="Arial"/>
              </w:rPr>
              <w:t xml:space="preserve"> not required. </w:t>
            </w:r>
          </w:p>
          <w:p w14:paraId="4EA242F4" w14:textId="0361E792" w:rsidR="00065ECE" w:rsidRPr="005D4222" w:rsidRDefault="00065ECE" w:rsidP="00065ECE">
            <w:pPr>
              <w:pStyle w:val="ProcessBullet"/>
              <w:tabs>
                <w:tab w:val="left" w:pos="216"/>
              </w:tabs>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w:t>
            </w:r>
            <w:r w:rsidR="007D4B79" w:rsidRPr="005D4222">
              <w:t>events/diagnoses</w:t>
            </w:r>
            <w:r w:rsidRPr="005D4222">
              <w:t>, numerators and exclusions that do not allow the use of telehealth.</w:t>
            </w:r>
          </w:p>
          <w:p w14:paraId="41EF733E" w14:textId="77777777" w:rsidR="00065ECE" w:rsidRPr="005D4222" w:rsidRDefault="00065ECE" w:rsidP="00065ECE">
            <w:pPr>
              <w:pStyle w:val="ProcessBullet"/>
              <w:tabs>
                <w:tab w:val="left" w:pos="216"/>
              </w:tabs>
              <w:rPr>
                <w:b/>
                <w:bCs/>
              </w:rPr>
            </w:pPr>
            <w:r w:rsidRPr="005D4222">
              <w:rPr>
                <w:i/>
                <w:iCs/>
              </w:rPr>
              <w:t>Supplemental data.</w:t>
            </w:r>
            <w:r w:rsidRPr="005D4222">
              <w:t xml:space="preserve"> Supplemental data may be used to identify initial population, denominator, exclusion and numerator events.</w:t>
            </w:r>
          </w:p>
          <w:p w14:paraId="1A24DAE2" w14:textId="77777777" w:rsidR="00065ECE" w:rsidRPr="005D4222" w:rsidRDefault="00065ECE" w:rsidP="00A53E8C">
            <w:pPr>
              <w:pStyle w:val="Adjustments"/>
              <w:rPr>
                <w:b w:val="0"/>
              </w:rPr>
            </w:pPr>
            <w:r w:rsidRPr="005D4222">
              <w:t>Adjustments allowed with limits</w:t>
            </w:r>
          </w:p>
          <w:p w14:paraId="12EDBCE9" w14:textId="77777777" w:rsidR="00065ECE" w:rsidRPr="005D4222" w:rsidRDefault="00065ECE" w:rsidP="00065ECE">
            <w:pPr>
              <w:pStyle w:val="ProcessBullet"/>
              <w:tabs>
                <w:tab w:val="left" w:pos="216"/>
              </w:tabs>
            </w:pPr>
            <w:r w:rsidRPr="005D4222">
              <w:rPr>
                <w:i/>
                <w:iCs/>
              </w:rPr>
              <w:t>Ages</w:t>
            </w:r>
            <w:r w:rsidRPr="005D4222">
              <w:t xml:space="preserve">. Age determination dates may be changed (e.g., select “age as of January 1”). The denominator age may be changed if the range is within the specified age range. The denominator age may not be expanded. </w:t>
            </w:r>
          </w:p>
          <w:p w14:paraId="457501F3" w14:textId="77777777" w:rsidR="00065ECE" w:rsidRPr="005D4222" w:rsidRDefault="00065ECE" w:rsidP="00065ECE">
            <w:pPr>
              <w:pStyle w:val="ProcessBullet"/>
              <w:tabs>
                <w:tab w:val="left" w:pos="216"/>
              </w:tabs>
            </w:pPr>
            <w:r w:rsidRPr="005D4222">
              <w:rPr>
                <w:i/>
                <w:iCs/>
              </w:rPr>
              <w:t>Initial population:</w:t>
            </w:r>
            <w:r w:rsidRPr="005D4222">
              <w:t xml:space="preserve"> Event. Only events that contain (or map to) codes in the medication lists and value sets may be used to identify visits, diagnoses and medication history. Medication lists, value sets and logic may not be changed. Organizations may include denied claims to calculate the denominator.</w:t>
            </w:r>
          </w:p>
          <w:p w14:paraId="34D88FCF" w14:textId="77777777" w:rsidR="00065ECE" w:rsidRPr="005D4222" w:rsidRDefault="00065ECE" w:rsidP="00065ECE">
            <w:pPr>
              <w:pStyle w:val="ProcessBullet"/>
              <w:tabs>
                <w:tab w:val="left" w:pos="216"/>
              </w:tabs>
              <w:spacing w:after="80"/>
              <w:rPr>
                <w:b/>
                <w:i/>
              </w:rPr>
            </w:pPr>
            <w:r w:rsidRPr="005D4222">
              <w:rPr>
                <w:i/>
                <w:iCs/>
              </w:rPr>
              <w:t>Numerator.</w:t>
            </w:r>
            <w:r w:rsidRPr="005D4222">
              <w:t xml:space="preserve"> Medications lists and logic may not be changed. Organizations may include denied claims to calculate inpatient services.</w:t>
            </w:r>
          </w:p>
        </w:tc>
      </w:tr>
    </w:tbl>
    <w:p w14:paraId="4EFA4051" w14:textId="77777777" w:rsidR="00A833D9" w:rsidRPr="005D4222" w:rsidRDefault="00A833D9" w:rsidP="00285652">
      <w:pPr>
        <w:pStyle w:val="ECDSBody"/>
        <w:sectPr w:rsidR="00A833D9" w:rsidRPr="005D4222" w:rsidSect="0074514A">
          <w:headerReference w:type="default" r:id="rId193"/>
          <w:type w:val="nextColumn"/>
          <w:pgSz w:w="12240" w:h="15840" w:code="1"/>
          <w:pgMar w:top="1080" w:right="1080" w:bottom="1080" w:left="1440" w:header="720" w:footer="720" w:gutter="0"/>
          <w:cols w:space="720"/>
          <w:docGrid w:linePitch="360"/>
        </w:sectPr>
      </w:pPr>
    </w:p>
    <w:p w14:paraId="65BC825C" w14:textId="5FDE9DD6" w:rsidR="000C6C0E" w:rsidRPr="005D4222" w:rsidRDefault="000C6C0E" w:rsidP="000C6C0E">
      <w:pPr>
        <w:pStyle w:val="Breakpage"/>
        <w:rPr>
          <w:rFonts w:eastAsia="Calibri"/>
        </w:rPr>
      </w:pPr>
      <w:bookmarkStart w:id="393" w:name="_Toc201813452"/>
      <w:r w:rsidRPr="005D4222">
        <w:rPr>
          <w:rFonts w:eastAsia="Calibri"/>
        </w:rPr>
        <w:lastRenderedPageBreak/>
        <w:t>Risk Adjust</w:t>
      </w:r>
      <w:r w:rsidR="002412BB" w:rsidRPr="005D4222">
        <w:rPr>
          <w:rFonts w:eastAsia="Calibri"/>
        </w:rPr>
        <w:t>ed</w:t>
      </w:r>
      <w:r w:rsidR="0041779A" w:rsidRPr="005D4222">
        <w:rPr>
          <w:rFonts w:eastAsia="Calibri"/>
        </w:rPr>
        <w:t xml:space="preserve"> Utilization</w:t>
      </w:r>
      <w:bookmarkEnd w:id="393"/>
      <w:r w:rsidR="00DD7F5C">
        <w:rPr>
          <w:rFonts w:eastAsia="Calibri"/>
        </w:rPr>
        <w:t xml:space="preserve"> Measures</w:t>
      </w:r>
    </w:p>
    <w:p w14:paraId="0BE1FD09" w14:textId="77777777" w:rsidR="000C6C0E" w:rsidRPr="005D4222" w:rsidRDefault="000C6C0E" w:rsidP="000C6C0E">
      <w:pPr>
        <w:pStyle w:val="Breakpage"/>
        <w:rPr>
          <w:rFonts w:eastAsia="Calibri"/>
        </w:rPr>
      </w:pPr>
    </w:p>
    <w:p w14:paraId="77B4EE2D" w14:textId="77777777" w:rsidR="000C6C0E" w:rsidRPr="005D4222" w:rsidRDefault="000C6C0E" w:rsidP="000C6C0E">
      <w:pPr>
        <w:pStyle w:val="Breakpage"/>
        <w:rPr>
          <w:rFonts w:eastAsia="Calibri"/>
        </w:rPr>
      </w:pPr>
    </w:p>
    <w:p w14:paraId="73221F1E" w14:textId="77777777" w:rsidR="000C6C0E" w:rsidRPr="005D4222" w:rsidRDefault="000C6C0E" w:rsidP="000C6C0E">
      <w:pPr>
        <w:jc w:val="right"/>
        <w:rPr>
          <w:rFonts w:eastAsia="Calibri"/>
          <w:b/>
          <w:sz w:val="48"/>
        </w:rPr>
        <w:sectPr w:rsidR="000C6C0E" w:rsidRPr="005D4222" w:rsidSect="0074514A">
          <w:headerReference w:type="default" r:id="rId194"/>
          <w:footerReference w:type="even" r:id="rId195"/>
          <w:footerReference w:type="default" r:id="rId196"/>
          <w:headerReference w:type="first" r:id="rId197"/>
          <w:footerReference w:type="first" r:id="rId198"/>
          <w:type w:val="nextColumn"/>
          <w:pgSz w:w="12240" w:h="15840" w:code="1"/>
          <w:pgMar w:top="1080" w:right="1080" w:bottom="1080" w:left="1440" w:header="720" w:footer="720" w:gutter="0"/>
          <w:cols w:space="720"/>
        </w:sectPr>
      </w:pPr>
    </w:p>
    <w:p w14:paraId="6AEEC390" w14:textId="0331F652" w:rsidR="00285652" w:rsidRPr="005D4222" w:rsidRDefault="00674C67" w:rsidP="00674C67">
      <w:pPr>
        <w:pStyle w:val="MeasureTitle"/>
      </w:pPr>
      <w:bookmarkStart w:id="394" w:name="_Toc201813453"/>
      <w:r w:rsidRPr="005D4222">
        <w:lastRenderedPageBreak/>
        <w:t>Plan All-Cause Readmissions</w:t>
      </w:r>
      <w:r w:rsidR="0096709F" w:rsidRPr="005D4222">
        <w:t xml:space="preserve"> (PCR)</w:t>
      </w:r>
      <w:bookmarkEnd w:id="394"/>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5130"/>
        <w:gridCol w:w="1350"/>
        <w:gridCol w:w="1077"/>
      </w:tblGrid>
      <w:tr w:rsidR="00B25234" w:rsidRPr="005D4222" w14:paraId="1B7E5C4B" w14:textId="77777777" w:rsidTr="00A53E8C">
        <w:tc>
          <w:tcPr>
            <w:tcW w:w="2157" w:type="dxa"/>
            <w:shd w:val="clear" w:color="auto" w:fill="BFBFBF" w:themeFill="background1" w:themeFillShade="BF"/>
            <w:tcMar>
              <w:top w:w="0" w:type="dxa"/>
              <w:left w:w="86" w:type="dxa"/>
              <w:bottom w:w="43" w:type="dxa"/>
              <w:right w:w="86" w:type="dxa"/>
            </w:tcMar>
            <w:hideMark/>
          </w:tcPr>
          <w:p w14:paraId="579301FE" w14:textId="77777777" w:rsidR="00B25234" w:rsidRPr="005D4222" w:rsidRDefault="00B25234" w:rsidP="00A53E8C">
            <w:pPr>
              <w:pStyle w:val="ECDSMarginHead"/>
            </w:pPr>
            <w:r w:rsidRPr="005D4222">
              <w:t>Measure title</w:t>
            </w:r>
          </w:p>
        </w:tc>
        <w:tc>
          <w:tcPr>
            <w:tcW w:w="5130" w:type="dxa"/>
            <w:tcMar>
              <w:top w:w="0" w:type="dxa"/>
              <w:left w:w="86" w:type="dxa"/>
              <w:bottom w:w="43" w:type="dxa"/>
              <w:right w:w="86" w:type="dxa"/>
            </w:tcMar>
          </w:tcPr>
          <w:p w14:paraId="3DC05ABE" w14:textId="77777777" w:rsidR="00B25234" w:rsidRPr="005D4222" w:rsidRDefault="00B25234" w:rsidP="00A53E8C">
            <w:pPr>
              <w:pStyle w:val="ECDSBody"/>
            </w:pPr>
            <w:r w:rsidRPr="005D4222">
              <w:t>Plan All-Cause Readmissions</w:t>
            </w:r>
          </w:p>
        </w:tc>
        <w:tc>
          <w:tcPr>
            <w:tcW w:w="1350" w:type="dxa"/>
            <w:shd w:val="clear" w:color="auto" w:fill="BFBFBF" w:themeFill="background1" w:themeFillShade="BF"/>
            <w:tcMar>
              <w:top w:w="0" w:type="dxa"/>
              <w:left w:w="86" w:type="dxa"/>
              <w:bottom w:w="43" w:type="dxa"/>
              <w:right w:w="86" w:type="dxa"/>
            </w:tcMar>
          </w:tcPr>
          <w:p w14:paraId="17661354" w14:textId="77777777" w:rsidR="00B25234" w:rsidRPr="005D4222" w:rsidRDefault="00B25234" w:rsidP="00A53E8C">
            <w:pPr>
              <w:pStyle w:val="ECDSMarginHead"/>
            </w:pPr>
            <w:r w:rsidRPr="005D4222">
              <w:t>Measure ID</w:t>
            </w:r>
          </w:p>
        </w:tc>
        <w:tc>
          <w:tcPr>
            <w:tcW w:w="1077" w:type="dxa"/>
            <w:tcMar>
              <w:top w:w="0" w:type="dxa"/>
              <w:left w:w="86" w:type="dxa"/>
              <w:bottom w:w="43" w:type="dxa"/>
              <w:right w:w="86" w:type="dxa"/>
            </w:tcMar>
          </w:tcPr>
          <w:p w14:paraId="42002AFF" w14:textId="77777777" w:rsidR="00B25234" w:rsidRPr="005D4222" w:rsidRDefault="00B25234" w:rsidP="00A53E8C">
            <w:pPr>
              <w:pStyle w:val="ECDSBody"/>
            </w:pPr>
            <w:r w:rsidRPr="005D4222">
              <w:t>PCR</w:t>
            </w:r>
          </w:p>
        </w:tc>
      </w:tr>
      <w:tr w:rsidR="00B25234" w:rsidRPr="005D4222" w14:paraId="72AF328B" w14:textId="77777777" w:rsidTr="00A53E8C">
        <w:tc>
          <w:tcPr>
            <w:tcW w:w="2157" w:type="dxa"/>
            <w:shd w:val="clear" w:color="auto" w:fill="BFBFBF" w:themeFill="background1" w:themeFillShade="BF"/>
            <w:tcMar>
              <w:top w:w="0" w:type="dxa"/>
              <w:left w:w="86" w:type="dxa"/>
              <w:bottom w:w="43" w:type="dxa"/>
              <w:right w:w="86" w:type="dxa"/>
            </w:tcMar>
            <w:hideMark/>
          </w:tcPr>
          <w:p w14:paraId="59A7730D" w14:textId="77777777" w:rsidR="00B25234" w:rsidRPr="005D4222" w:rsidRDefault="00B25234" w:rsidP="00A53E8C">
            <w:pPr>
              <w:pStyle w:val="ECDSMarginHead"/>
            </w:pPr>
            <w:r w:rsidRPr="005D4222">
              <w:t>Description</w:t>
            </w:r>
          </w:p>
        </w:tc>
        <w:tc>
          <w:tcPr>
            <w:tcW w:w="7557" w:type="dxa"/>
            <w:gridSpan w:val="3"/>
            <w:tcMar>
              <w:top w:w="0" w:type="dxa"/>
              <w:left w:w="86" w:type="dxa"/>
              <w:bottom w:w="43" w:type="dxa"/>
              <w:right w:w="86" w:type="dxa"/>
            </w:tcMar>
          </w:tcPr>
          <w:p w14:paraId="07F59058" w14:textId="77777777" w:rsidR="00B25234" w:rsidRPr="005D4222" w:rsidRDefault="00B25234" w:rsidP="00A53E8C">
            <w:pPr>
              <w:pStyle w:val="ECDSBody"/>
            </w:pPr>
            <w:r w:rsidRPr="005D4222">
              <w:t xml:space="preserve">For persons 18 years of age and older, the risk-adjusted ratio of observed-to-expected unplanned acute readmissions (inpatient and observation stays) for any diagnosis within 30 days of an acute hospitalization (inpatient and observation stays). </w:t>
            </w:r>
          </w:p>
        </w:tc>
      </w:tr>
      <w:tr w:rsidR="00B25234" w:rsidRPr="005D4222" w14:paraId="0B324A23" w14:textId="77777777" w:rsidTr="00A53E8C">
        <w:tc>
          <w:tcPr>
            <w:tcW w:w="2157" w:type="dxa"/>
            <w:shd w:val="clear" w:color="auto" w:fill="BFBFBF" w:themeFill="background1" w:themeFillShade="BF"/>
            <w:tcMar>
              <w:top w:w="0" w:type="dxa"/>
              <w:left w:w="86" w:type="dxa"/>
              <w:bottom w:w="43" w:type="dxa"/>
              <w:right w:w="86" w:type="dxa"/>
            </w:tcMar>
          </w:tcPr>
          <w:p w14:paraId="4632EFA3" w14:textId="77777777" w:rsidR="00B25234" w:rsidRPr="005D4222" w:rsidRDefault="00B25234" w:rsidP="00A53E8C">
            <w:pPr>
              <w:pStyle w:val="ECDSMarginHead"/>
            </w:pPr>
            <w:r w:rsidRPr="005D4222">
              <w:t>Measurement period</w:t>
            </w:r>
          </w:p>
        </w:tc>
        <w:tc>
          <w:tcPr>
            <w:tcW w:w="7557" w:type="dxa"/>
            <w:gridSpan w:val="3"/>
            <w:tcMar>
              <w:top w:w="0" w:type="dxa"/>
              <w:left w:w="86" w:type="dxa"/>
              <w:bottom w:w="43" w:type="dxa"/>
              <w:right w:w="86" w:type="dxa"/>
            </w:tcMar>
          </w:tcPr>
          <w:p w14:paraId="2B2024D8" w14:textId="77777777" w:rsidR="00B25234" w:rsidRPr="005D4222" w:rsidRDefault="00B25234" w:rsidP="00A53E8C">
            <w:pPr>
              <w:pStyle w:val="ECDSBody"/>
            </w:pPr>
            <w:r w:rsidRPr="005D4222">
              <w:t>January 1–December 31.</w:t>
            </w:r>
          </w:p>
        </w:tc>
      </w:tr>
      <w:tr w:rsidR="00B25234" w:rsidRPr="005D4222" w14:paraId="641309DA" w14:textId="77777777" w:rsidTr="00A53E8C">
        <w:tc>
          <w:tcPr>
            <w:tcW w:w="2157" w:type="dxa"/>
            <w:shd w:val="clear" w:color="auto" w:fill="BFBFBF" w:themeFill="background1" w:themeFillShade="BF"/>
            <w:tcMar>
              <w:top w:w="0" w:type="dxa"/>
              <w:left w:w="86" w:type="dxa"/>
              <w:bottom w:w="43" w:type="dxa"/>
              <w:right w:w="86" w:type="dxa"/>
            </w:tcMar>
            <w:hideMark/>
          </w:tcPr>
          <w:p w14:paraId="2352E820" w14:textId="77777777" w:rsidR="00B25234" w:rsidRPr="005D4222" w:rsidRDefault="00B25234" w:rsidP="00A53E8C">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3E9FCB13" w14:textId="77777777" w:rsidR="00B25234" w:rsidRPr="005D4222" w:rsidRDefault="00B25234" w:rsidP="00A53E8C">
            <w:pPr>
              <w:pStyle w:val="ECDSBody"/>
            </w:pPr>
            <w:r w:rsidRPr="005D4222">
              <w:t xml:space="preserve">Refer to the complete copyright and disclaimer information at the front of the publication. </w:t>
            </w:r>
          </w:p>
          <w:p w14:paraId="133E5B44" w14:textId="77777777" w:rsidR="00B25234" w:rsidRPr="005D4222" w:rsidRDefault="00B25234" w:rsidP="00A53E8C">
            <w:pPr>
              <w:pStyle w:val="ECDSBody"/>
              <w:spacing w:before="80"/>
            </w:pPr>
            <w:r w:rsidRPr="005D4222">
              <w:t xml:space="preserve">NCQA website: </w:t>
            </w:r>
            <w:r w:rsidRPr="005D4222">
              <w:rPr>
                <w:szCs w:val="21"/>
                <w:u w:val="single"/>
              </w:rPr>
              <w:t>www.ncqa.org</w:t>
            </w:r>
            <w:r w:rsidRPr="005D4222">
              <w:rPr>
                <w:szCs w:val="21"/>
              </w:rPr>
              <w:t>.</w:t>
            </w:r>
            <w:r w:rsidRPr="005D4222">
              <w:t xml:space="preserve"> </w:t>
            </w:r>
          </w:p>
          <w:p w14:paraId="5A3FFE7E" w14:textId="77777777" w:rsidR="00B25234" w:rsidRPr="005D4222" w:rsidRDefault="00B25234" w:rsidP="00A53E8C">
            <w:pPr>
              <w:pStyle w:val="ECDSBody"/>
              <w:spacing w:before="80"/>
              <w:rPr>
                <w:sz w:val="18"/>
                <w:szCs w:val="18"/>
              </w:rPr>
            </w:pPr>
            <w:r w:rsidRPr="005D4222">
              <w:t>Submit policy clarification support questions via My NCQA (</w:t>
            </w:r>
            <w:r w:rsidRPr="005D4222">
              <w:rPr>
                <w:szCs w:val="21"/>
                <w:u w:val="single"/>
              </w:rPr>
              <w:t>https://my.ncqa.org</w:t>
            </w:r>
            <w:r w:rsidRPr="005D4222">
              <w:t>).</w:t>
            </w:r>
          </w:p>
        </w:tc>
      </w:tr>
      <w:tr w:rsidR="00B25234" w:rsidRPr="005D4222" w14:paraId="3F0061F9" w14:textId="77777777" w:rsidTr="00A53E8C">
        <w:tc>
          <w:tcPr>
            <w:tcW w:w="2157" w:type="dxa"/>
            <w:shd w:val="clear" w:color="auto" w:fill="BFBFBF" w:themeFill="background1" w:themeFillShade="BF"/>
            <w:tcMar>
              <w:top w:w="0" w:type="dxa"/>
              <w:left w:w="86" w:type="dxa"/>
              <w:bottom w:w="43" w:type="dxa"/>
              <w:right w:w="86" w:type="dxa"/>
            </w:tcMar>
            <w:hideMark/>
          </w:tcPr>
          <w:p w14:paraId="496DE77B" w14:textId="77777777" w:rsidR="00B25234" w:rsidRPr="005D4222" w:rsidRDefault="00B25234" w:rsidP="00A53E8C">
            <w:pPr>
              <w:pStyle w:val="ECDSMarginHead"/>
            </w:pPr>
            <w:r w:rsidRPr="005D4222">
              <w:t>Clinical recommendation statement/ rationale</w:t>
            </w:r>
          </w:p>
        </w:tc>
        <w:tc>
          <w:tcPr>
            <w:tcW w:w="7557" w:type="dxa"/>
            <w:gridSpan w:val="3"/>
            <w:tcMar>
              <w:top w:w="0" w:type="dxa"/>
              <w:left w:w="86" w:type="dxa"/>
              <w:bottom w:w="43" w:type="dxa"/>
              <w:right w:w="86" w:type="dxa"/>
            </w:tcMar>
          </w:tcPr>
          <w:p w14:paraId="18563A1E" w14:textId="77777777" w:rsidR="00B25234" w:rsidRPr="005D4222" w:rsidRDefault="00B25234" w:rsidP="00A53E8C">
            <w:pPr>
              <w:pStyle w:val="ECDSBody"/>
            </w:pPr>
            <w:r w:rsidRPr="005D4222">
              <w:t>Readmission to the hospital within 30 days of discharge is frequently avoidable and can lead to adverse outcomes for patients. Any preventable hospitalization can have a negative impact on health outcomes, particularly for older adults and adults with multiple chronic conditions. Health risks associated with hospitalization include infection, adverse drug events, loss of function, isolation, lower quality of life and readmission.</w:t>
            </w:r>
          </w:p>
        </w:tc>
      </w:tr>
      <w:tr w:rsidR="00B25234" w:rsidRPr="005D4222" w14:paraId="71DAFDEC" w14:textId="77777777" w:rsidTr="00A53E8C">
        <w:tc>
          <w:tcPr>
            <w:tcW w:w="2157" w:type="dxa"/>
            <w:shd w:val="clear" w:color="auto" w:fill="BFBFBF" w:themeFill="background1" w:themeFillShade="BF"/>
            <w:tcMar>
              <w:top w:w="0" w:type="dxa"/>
              <w:left w:w="86" w:type="dxa"/>
              <w:bottom w:w="43" w:type="dxa"/>
              <w:right w:w="86" w:type="dxa"/>
            </w:tcMar>
          </w:tcPr>
          <w:p w14:paraId="0CBB5577" w14:textId="77777777" w:rsidR="00B25234" w:rsidRPr="005D4222" w:rsidRDefault="00B25234" w:rsidP="00A53E8C">
            <w:pPr>
              <w:pStyle w:val="ECDSMarginHead"/>
            </w:pPr>
            <w:r w:rsidRPr="005D4222">
              <w:t>Citations</w:t>
            </w:r>
          </w:p>
        </w:tc>
        <w:tc>
          <w:tcPr>
            <w:tcW w:w="7557" w:type="dxa"/>
            <w:gridSpan w:val="3"/>
            <w:tcMar>
              <w:top w:w="0" w:type="dxa"/>
              <w:left w:w="86" w:type="dxa"/>
              <w:bottom w:w="43" w:type="dxa"/>
              <w:right w:w="86" w:type="dxa"/>
            </w:tcMar>
          </w:tcPr>
          <w:p w14:paraId="09CA7F10" w14:textId="77777777" w:rsidR="00B25234" w:rsidRPr="005D4222" w:rsidRDefault="00B25234" w:rsidP="00A53E8C">
            <w:pPr>
              <w:pStyle w:val="ECDSBody"/>
            </w:pPr>
            <w:r w:rsidRPr="005D4222">
              <w:t>Medicare Payment Advisory Commission. “Data Book: Health Care Spending and the Medicare Program.” Baltimore, MD: MedPAC, 2015. Available at http://medpac.gov/documents/reports/june-2015-report-to-the-congress-medicare-and-the-health-care-delivery-system.pdf?sfvrsn=0</w:t>
            </w:r>
          </w:p>
          <w:p w14:paraId="38795192" w14:textId="77777777" w:rsidR="00B25234" w:rsidRPr="005D4222" w:rsidRDefault="00B25234" w:rsidP="00A53E8C">
            <w:pPr>
              <w:pStyle w:val="ECDSBody"/>
            </w:pPr>
            <w:r w:rsidRPr="005D4222">
              <w:t>Burke, R.E., E.A. Whitfield, D. Hittle, S.J. Min, C. Levy, A.V. Prochazka, E.A. Coleman, R. Schwartz, A.A. Ginde. 2016. “Hospital Readmission from Post-Acute Care Facilities: Risk Factors, Timing, and Outcomes.”</w:t>
            </w:r>
            <w:r w:rsidRPr="005D4222">
              <w:rPr>
                <w:i/>
              </w:rPr>
              <w:t xml:space="preserve"> J Am Med Dir Assoc </w:t>
            </w:r>
            <w:r w:rsidRPr="005D4222">
              <w:t>17(3):249–55. doi: 10.1016/j.jamda.2015.11.005</w:t>
            </w:r>
          </w:p>
          <w:p w14:paraId="213B0FD4" w14:textId="77777777" w:rsidR="00B25234" w:rsidRPr="005D4222" w:rsidRDefault="00B25234" w:rsidP="00A53E8C">
            <w:pPr>
              <w:pStyle w:val="ECDSBody"/>
            </w:pPr>
            <w:r w:rsidRPr="005D4222">
              <w:t xml:space="preserve">Hakkarainen, T.W., S. Arbabi, M.M. Willis, G.H. Davidson, D.R. Flum. 2016. “Outcomes of Patients Discharged to Skilled Nursing Facilities After Acute Care Hospitalizations.” </w:t>
            </w:r>
            <w:r w:rsidRPr="005D4222">
              <w:rPr>
                <w:i/>
              </w:rPr>
              <w:t xml:space="preserve">Ann Surg </w:t>
            </w:r>
            <w:r w:rsidRPr="005D4222">
              <w:t>263(2):280–5. doi:10.1097/SLA.0000000000001367.</w:t>
            </w:r>
          </w:p>
        </w:tc>
      </w:tr>
      <w:tr w:rsidR="00B25234" w:rsidRPr="005D4222" w14:paraId="7B3F39E7" w14:textId="77777777" w:rsidTr="00A53E8C">
        <w:tc>
          <w:tcPr>
            <w:tcW w:w="9714"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794C32A1" w14:textId="77777777" w:rsidR="00B25234" w:rsidRPr="005D4222" w:rsidRDefault="00B25234" w:rsidP="00A53E8C">
            <w:pPr>
              <w:pStyle w:val="ECDSMarginHead"/>
            </w:pPr>
            <w:r w:rsidRPr="005D4222">
              <w:t>Characteristics</w:t>
            </w:r>
          </w:p>
        </w:tc>
      </w:tr>
      <w:tr w:rsidR="00B25234" w:rsidRPr="005D4222" w14:paraId="182A1567" w14:textId="77777777" w:rsidTr="00CB3B82">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439D5704" w14:textId="77777777" w:rsidR="00B25234" w:rsidRPr="005D4222" w:rsidRDefault="00B25234" w:rsidP="002819C4">
            <w:pPr>
              <w:pStyle w:val="ECDSMarginSubhead"/>
              <w:spacing w:after="0"/>
            </w:pPr>
            <w:r w:rsidRPr="005D4222">
              <w:t>Scoring</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0620174A" w14:textId="77777777" w:rsidR="00B25234" w:rsidRPr="005D4222" w:rsidRDefault="00B25234" w:rsidP="002819C4">
            <w:pPr>
              <w:pStyle w:val="ECDSBody"/>
              <w:spacing w:after="0"/>
            </w:pPr>
            <w:r w:rsidRPr="005D4222">
              <w:t>Ratio.</w:t>
            </w:r>
          </w:p>
        </w:tc>
      </w:tr>
      <w:tr w:rsidR="00B25234" w:rsidRPr="005D4222" w14:paraId="3342701B" w14:textId="77777777" w:rsidTr="00CB3B82">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2183C7A4" w14:textId="04151F90" w:rsidR="00B25234" w:rsidRPr="005D4222" w:rsidRDefault="00B51CDC" w:rsidP="00A53E8C">
            <w:pPr>
              <w:pStyle w:val="ECDSMarginSubhead"/>
            </w:pPr>
            <w:r w:rsidRPr="005D4222">
              <w:t>Product lines</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578EB365" w14:textId="77777777" w:rsidR="00B25234" w:rsidRPr="005D4222" w:rsidRDefault="00B25234" w:rsidP="005D6173">
            <w:pPr>
              <w:pStyle w:val="ProcessBullet"/>
              <w:numPr>
                <w:ilvl w:val="0"/>
                <w:numId w:val="98"/>
              </w:numPr>
              <w:tabs>
                <w:tab w:val="left" w:pos="216"/>
              </w:tabs>
              <w:ind w:left="216" w:hanging="216"/>
              <w:rPr>
                <w:rFonts w:cs="Arial"/>
                <w:bCs/>
                <w:szCs w:val="26"/>
              </w:rPr>
            </w:pPr>
            <w:r w:rsidRPr="005D4222">
              <w:rPr>
                <w:rFonts w:cs="Arial"/>
                <w:bCs/>
                <w:szCs w:val="26"/>
              </w:rPr>
              <w:t>Commercial.</w:t>
            </w:r>
          </w:p>
          <w:p w14:paraId="18851B36" w14:textId="77777777" w:rsidR="00B25234" w:rsidRPr="005D4222" w:rsidRDefault="00B25234" w:rsidP="005D6173">
            <w:pPr>
              <w:pStyle w:val="ProcessBullet"/>
              <w:numPr>
                <w:ilvl w:val="0"/>
                <w:numId w:val="98"/>
              </w:numPr>
              <w:tabs>
                <w:tab w:val="left" w:pos="216"/>
              </w:tabs>
              <w:ind w:left="216" w:hanging="216"/>
              <w:rPr>
                <w:rFonts w:cs="Arial"/>
                <w:bCs/>
                <w:szCs w:val="26"/>
              </w:rPr>
            </w:pPr>
            <w:r w:rsidRPr="005D4222">
              <w:rPr>
                <w:rFonts w:cs="Arial"/>
                <w:bCs/>
                <w:szCs w:val="26"/>
              </w:rPr>
              <w:t>Medicaid.</w:t>
            </w:r>
          </w:p>
          <w:p w14:paraId="4571A136" w14:textId="77777777" w:rsidR="00B25234" w:rsidRPr="005D4222" w:rsidRDefault="00B25234" w:rsidP="005D6173">
            <w:pPr>
              <w:pStyle w:val="ProcessBullet"/>
              <w:numPr>
                <w:ilvl w:val="0"/>
                <w:numId w:val="98"/>
              </w:numPr>
              <w:tabs>
                <w:tab w:val="left" w:pos="216"/>
              </w:tabs>
              <w:spacing w:after="80"/>
              <w:ind w:left="216" w:hanging="216"/>
              <w:rPr>
                <w:rFonts w:cs="Arial"/>
                <w:bCs/>
                <w:szCs w:val="26"/>
              </w:rPr>
            </w:pPr>
            <w:r w:rsidRPr="005D4222">
              <w:rPr>
                <w:rFonts w:cs="Arial"/>
                <w:bCs/>
                <w:szCs w:val="26"/>
              </w:rPr>
              <w:t>Medicare.</w:t>
            </w:r>
          </w:p>
        </w:tc>
      </w:tr>
    </w:tbl>
    <w:p w14:paraId="554B8138" w14:textId="77777777" w:rsidR="00CB3B82" w:rsidRPr="005D4222" w:rsidRDefault="00CB3B82">
      <w:r w:rsidRPr="005D4222">
        <w:br w:type="page"/>
      </w:r>
    </w:p>
    <w:tbl>
      <w:tblPr>
        <w:tblW w:w="9714" w:type="dxa"/>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CB3B82" w:rsidRPr="005D4222" w14:paraId="59A06511" w14:textId="77777777" w:rsidTr="00601D04">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16D38D55" w14:textId="291C7C5F" w:rsidR="00CB3B82" w:rsidRPr="005D4222" w:rsidRDefault="00B51CDC" w:rsidP="00A53E8C">
            <w:pPr>
              <w:pStyle w:val="ECDSMarginSubhead"/>
            </w:pPr>
            <w:r w:rsidRPr="005D4222">
              <w:lastRenderedPageBreak/>
              <w:t>Stratifications</w:t>
            </w:r>
            <w:r w:rsidR="00CB3B82" w:rsidRPr="005D4222">
              <w:t xml:space="preserve"> </w:t>
            </w: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4CE1C155" w14:textId="77777777" w:rsidR="00CB3B82" w:rsidRPr="005D4222" w:rsidRDefault="00CB3B82" w:rsidP="00A53E8C">
            <w:pPr>
              <w:pStyle w:val="ECDSBody"/>
            </w:pPr>
            <w:r w:rsidRPr="005D4222">
              <w:t xml:space="preserve">Age as of the index discharge date for commercial and Medicaid. </w:t>
            </w:r>
          </w:p>
          <w:p w14:paraId="0BC2B05A" w14:textId="77777777" w:rsidR="00CB3B82" w:rsidRPr="005D4222" w:rsidRDefault="00CB3B82" w:rsidP="00B25234">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18–44 years.</w:t>
            </w:r>
          </w:p>
          <w:p w14:paraId="46F41156" w14:textId="77777777" w:rsidR="00CB3B82" w:rsidRPr="005D4222" w:rsidRDefault="00CB3B82" w:rsidP="00B25234">
            <w:pPr>
              <w:pStyle w:val="Bullet"/>
              <w:numPr>
                <w:ilvl w:val="0"/>
                <w:numId w:val="4"/>
              </w:numPr>
              <w:tabs>
                <w:tab w:val="left" w:pos="360"/>
                <w:tab w:val="left" w:pos="576"/>
              </w:tabs>
              <w:spacing w:after="80"/>
              <w:ind w:left="576" w:hanging="216"/>
            </w:pPr>
            <w:r w:rsidRPr="005D4222">
              <w:rPr>
                <w:rFonts w:eastAsia="Arial,Arial,Arial,Arial,Arial,A"/>
              </w:rPr>
              <w:t>45–54 years.</w:t>
            </w:r>
          </w:p>
          <w:p w14:paraId="16B4F38C" w14:textId="77777777" w:rsidR="00CB3B82" w:rsidRPr="005D4222" w:rsidRDefault="00CB3B82" w:rsidP="00CB3B82">
            <w:pPr>
              <w:pStyle w:val="Bullet"/>
            </w:pPr>
            <w:r w:rsidRPr="005D4222">
              <w:rPr>
                <w:rFonts w:eastAsia="Arial,Arial,Arial,Arial,Arial,A"/>
              </w:rPr>
              <w:t>55–64 years.</w:t>
            </w:r>
          </w:p>
          <w:p w14:paraId="36EFF75C" w14:textId="77777777" w:rsidR="00CB3B82" w:rsidRPr="005D4222" w:rsidRDefault="00CB3B82" w:rsidP="00A53E8C">
            <w:pPr>
              <w:pStyle w:val="ECDSBody"/>
            </w:pPr>
            <w:r w:rsidRPr="005D4222">
              <w:t xml:space="preserve">Age as of the index discharge date for Medicare. </w:t>
            </w:r>
          </w:p>
          <w:p w14:paraId="2EF1526C" w14:textId="77777777" w:rsidR="00CB3B82" w:rsidRPr="005D4222" w:rsidRDefault="00CB3B82" w:rsidP="00B25234">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18–44 years.</w:t>
            </w:r>
          </w:p>
          <w:p w14:paraId="7AF3D671" w14:textId="77777777" w:rsidR="00CB3B82" w:rsidRPr="005D4222" w:rsidRDefault="00CB3B82" w:rsidP="00B25234">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45–54 years.</w:t>
            </w:r>
          </w:p>
          <w:p w14:paraId="7776ABC0" w14:textId="77777777" w:rsidR="00CB3B82" w:rsidRPr="005D4222" w:rsidRDefault="00CB3B82" w:rsidP="00B25234">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55–64 years.</w:t>
            </w:r>
          </w:p>
          <w:p w14:paraId="1EA7EAF3" w14:textId="77777777" w:rsidR="00CB3B82" w:rsidRPr="005D4222" w:rsidRDefault="00CB3B82" w:rsidP="00B25234">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65–74 years.</w:t>
            </w:r>
          </w:p>
          <w:p w14:paraId="2AED2C0B" w14:textId="77777777" w:rsidR="00CB3B82" w:rsidRPr="005D4222" w:rsidRDefault="00CB3B82" w:rsidP="00B25234">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75–84 years.</w:t>
            </w:r>
          </w:p>
          <w:p w14:paraId="67BF6B93" w14:textId="77777777" w:rsidR="00CB3B82" w:rsidRPr="005D4222" w:rsidRDefault="00CB3B82" w:rsidP="00B25234">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18–64 years.</w:t>
            </w:r>
          </w:p>
          <w:p w14:paraId="429403A0" w14:textId="77777777" w:rsidR="00CB3B82" w:rsidRPr="005D4222" w:rsidRDefault="00CB3B82" w:rsidP="00B25234">
            <w:pPr>
              <w:pStyle w:val="Bullet"/>
              <w:numPr>
                <w:ilvl w:val="0"/>
                <w:numId w:val="4"/>
              </w:numPr>
              <w:tabs>
                <w:tab w:val="left" w:pos="360"/>
                <w:tab w:val="left" w:pos="576"/>
              </w:tabs>
              <w:ind w:left="576" w:hanging="216"/>
            </w:pPr>
            <w:r w:rsidRPr="005D4222">
              <w:rPr>
                <w:rFonts w:eastAsia="Arial,Arial,Arial,Arial,Arial,A"/>
              </w:rPr>
              <w:t>85+ years.</w:t>
            </w:r>
          </w:p>
          <w:p w14:paraId="435BDAC8" w14:textId="77777777" w:rsidR="00CB3B82" w:rsidRPr="005D4222" w:rsidRDefault="00CB3B82" w:rsidP="00A53E8C">
            <w:pPr>
              <w:pStyle w:val="ECDSBody"/>
            </w:pPr>
            <w:r w:rsidRPr="005D4222">
              <w:t>Skilled nursing facility. Age as of the index discharge date (Medicare only).</w:t>
            </w:r>
          </w:p>
          <w:p w14:paraId="35E4F356" w14:textId="77777777" w:rsidR="00CB3B82" w:rsidRPr="005D4222" w:rsidRDefault="00CB3B82" w:rsidP="00B25234">
            <w:pPr>
              <w:pStyle w:val="Bullet"/>
              <w:numPr>
                <w:ilvl w:val="0"/>
                <w:numId w:val="4"/>
              </w:numPr>
              <w:tabs>
                <w:tab w:val="left" w:pos="360"/>
                <w:tab w:val="left" w:pos="576"/>
              </w:tabs>
              <w:ind w:left="576" w:hanging="216"/>
            </w:pPr>
            <w:r w:rsidRPr="005D4222">
              <w:t>65–74 years.</w:t>
            </w:r>
          </w:p>
          <w:p w14:paraId="2B580B6D" w14:textId="77777777" w:rsidR="00CB3B82" w:rsidRPr="005D4222" w:rsidRDefault="00CB3B82" w:rsidP="00B25234">
            <w:pPr>
              <w:pStyle w:val="Bullet"/>
              <w:numPr>
                <w:ilvl w:val="0"/>
                <w:numId w:val="4"/>
              </w:numPr>
              <w:tabs>
                <w:tab w:val="left" w:pos="360"/>
                <w:tab w:val="left" w:pos="576"/>
              </w:tabs>
              <w:ind w:left="576" w:hanging="216"/>
            </w:pPr>
            <w:r w:rsidRPr="005D4222">
              <w:t>75–84 years.</w:t>
            </w:r>
          </w:p>
          <w:p w14:paraId="6BBB1EA0" w14:textId="77777777" w:rsidR="00CB3B82" w:rsidRPr="005D4222" w:rsidRDefault="00CB3B82" w:rsidP="00B25234">
            <w:pPr>
              <w:pStyle w:val="Bullet"/>
              <w:numPr>
                <w:ilvl w:val="0"/>
                <w:numId w:val="4"/>
              </w:numPr>
              <w:tabs>
                <w:tab w:val="left" w:pos="360"/>
                <w:tab w:val="left" w:pos="576"/>
              </w:tabs>
              <w:ind w:left="576" w:hanging="216"/>
            </w:pPr>
            <w:r w:rsidRPr="005D4222">
              <w:t>85+ years.</w:t>
            </w:r>
          </w:p>
          <w:p w14:paraId="0E9B6BF6" w14:textId="5BEC2077" w:rsidR="00CB3B82" w:rsidRPr="005D4222" w:rsidRDefault="00CB3B82" w:rsidP="00A53E8C">
            <w:pPr>
              <w:pStyle w:val="ECDSBody"/>
            </w:pPr>
            <w:r w:rsidRPr="005D4222">
              <w:t xml:space="preserve">SES as of the end of the continuous enrollment period for each Medicare discharge (Medicare IHS only). (Refer to </w:t>
            </w:r>
            <w:hyperlink w:anchor="GG_Medicare_Socioeconomic" w:history="1">
              <w:r w:rsidRPr="005D4222">
                <w:rPr>
                  <w:rStyle w:val="Hyperlink"/>
                  <w:i/>
                  <w:iCs/>
                </w:rPr>
                <w:t>General Guideline: Medicare Socioeconomic Status Stratification</w:t>
              </w:r>
            </w:hyperlink>
            <w:r w:rsidRPr="005D4222">
              <w:rPr>
                <w:i/>
                <w:iCs/>
              </w:rPr>
              <w:t>.</w:t>
            </w:r>
            <w:r w:rsidRPr="005D4222">
              <w:t xml:space="preserve">)  </w:t>
            </w:r>
          </w:p>
          <w:p w14:paraId="7B8968DF" w14:textId="77777777" w:rsidR="00CB3B82" w:rsidRPr="005D4222" w:rsidRDefault="00CB3B82" w:rsidP="00B25234">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Non-LIS/DE, Nondisability.</w:t>
            </w:r>
          </w:p>
          <w:p w14:paraId="61892F2B" w14:textId="77777777" w:rsidR="00CB3B82" w:rsidRPr="005D4222" w:rsidRDefault="00CB3B82" w:rsidP="00B25234">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LIS/DE.</w:t>
            </w:r>
          </w:p>
          <w:p w14:paraId="66E35DB5" w14:textId="77777777" w:rsidR="00CB3B82" w:rsidRPr="005D4222" w:rsidRDefault="00CB3B82" w:rsidP="00B25234">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Disability.</w:t>
            </w:r>
          </w:p>
          <w:p w14:paraId="3B8EE7D5" w14:textId="77777777" w:rsidR="00CB3B82" w:rsidRPr="005D4222" w:rsidRDefault="00CB3B82" w:rsidP="00B25234">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 xml:space="preserve">LIS/DE and Disability. </w:t>
            </w:r>
          </w:p>
          <w:p w14:paraId="7460B29D" w14:textId="77777777" w:rsidR="00CB3B82" w:rsidRPr="005D4222" w:rsidRDefault="00CB3B82" w:rsidP="00B25234">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Other.</w:t>
            </w:r>
          </w:p>
          <w:p w14:paraId="1C49E344" w14:textId="3CB121E1" w:rsidR="00CB3B82" w:rsidRPr="005D4222" w:rsidRDefault="00CB3B82" w:rsidP="00B25234">
            <w:pPr>
              <w:pStyle w:val="Bullet"/>
              <w:numPr>
                <w:ilvl w:val="0"/>
                <w:numId w:val="4"/>
              </w:numPr>
              <w:tabs>
                <w:tab w:val="left" w:pos="360"/>
                <w:tab w:val="left" w:pos="576"/>
              </w:tabs>
              <w:ind w:left="576" w:hanging="216"/>
            </w:pPr>
            <w:r w:rsidRPr="005D4222">
              <w:rPr>
                <w:rFonts w:eastAsia="Arial,Arial,Arial,Arial,Arial,A"/>
              </w:rPr>
              <w:t>Unknown.</w:t>
            </w:r>
          </w:p>
        </w:tc>
      </w:tr>
      <w:tr w:rsidR="00B25234" w:rsidRPr="005D4222" w14:paraId="6338DE74" w14:textId="77777777" w:rsidTr="00601D04">
        <w:trPr>
          <w:trHeight w:val="633"/>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1DF80B45" w14:textId="77777777" w:rsidR="00B25234" w:rsidRPr="005D4222" w:rsidRDefault="00B25234" w:rsidP="00A53E8C">
            <w:pPr>
              <w:pStyle w:val="ECDSMarginSubhead"/>
            </w:pPr>
            <w:r w:rsidRPr="005D4222">
              <w:t>Guidance</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4FD51023" w14:textId="77777777" w:rsidR="00B25234" w:rsidRPr="005D4222" w:rsidDel="00C878A3" w:rsidRDefault="00B25234" w:rsidP="00A53E8C">
            <w:pPr>
              <w:pStyle w:val="ECDSBody"/>
              <w:rPr>
                <w:b/>
                <w:i/>
              </w:rPr>
            </w:pPr>
            <w:r w:rsidRPr="005D4222">
              <w:rPr>
                <w:b/>
                <w:i/>
              </w:rPr>
              <w:t>Programming Guidance</w:t>
            </w:r>
          </w:p>
          <w:p w14:paraId="3BD8DFCA" w14:textId="5E80A97D" w:rsidR="00B25234" w:rsidRPr="005D4222" w:rsidRDefault="00B25234" w:rsidP="00A53E8C">
            <w:pPr>
              <w:pStyle w:val="ECDSBody"/>
              <w:spacing w:before="0"/>
            </w:pPr>
            <w:r w:rsidRPr="005D4222">
              <w:rPr>
                <w:b/>
                <w:bCs w:val="0"/>
              </w:rPr>
              <w:t xml:space="preserve">Dual </w:t>
            </w:r>
            <w:r w:rsidRPr="005D4222">
              <w:rPr>
                <w:b/>
              </w:rPr>
              <w:t>enrollment:</w:t>
            </w:r>
            <w:r w:rsidRPr="005D4222">
              <w:rPr>
                <w:b/>
                <w:bCs w:val="0"/>
              </w:rPr>
              <w:t xml:space="preserve"> </w:t>
            </w:r>
            <w:r w:rsidRPr="005D4222">
              <w:t>Persons with dual commercial/Medicaid enrollment may only be reported in the commercial product line. Persons with dual Medicaid and Medicare enrollment may only be reported in the Medicare product line. Dual enrollment is assessed after the continuous enrollment criteria are applied. To meet criteria for dual enrollment, persons must have dual enrollment at the end of the continuous enrollment period.</w:t>
            </w:r>
          </w:p>
          <w:p w14:paraId="68DEAB2F" w14:textId="77777777" w:rsidR="009552EB" w:rsidRDefault="00B25234" w:rsidP="009552EB">
            <w:pPr>
              <w:pStyle w:val="ECDSBody"/>
            </w:pPr>
            <w:r w:rsidRPr="005D4222">
              <w:rPr>
                <w:b/>
                <w:bCs w:val="0"/>
              </w:rPr>
              <w:t>Facilities</w:t>
            </w:r>
            <w:r w:rsidRPr="005D4222">
              <w:rPr>
                <w:b/>
              </w:rPr>
              <w:t>:</w:t>
            </w:r>
            <w:r w:rsidRPr="005D4222">
              <w:t xml:space="preserve"> The measure includes acute discharges from any type of facility (including behavioral health care facilities).</w:t>
            </w:r>
          </w:p>
          <w:p w14:paraId="22FF59AB" w14:textId="77777777" w:rsidR="00CE5F02" w:rsidRPr="005D4222" w:rsidRDefault="00CE5F02" w:rsidP="00CE5F02">
            <w:pPr>
              <w:pStyle w:val="ECDSBody"/>
              <w:rPr>
                <w:b/>
                <w:i/>
              </w:rPr>
            </w:pPr>
            <w:r w:rsidRPr="005D4222">
              <w:rPr>
                <w:b/>
                <w:i/>
              </w:rPr>
              <w:t>Risk Adjustment Measure-Specific Guidance</w:t>
            </w:r>
          </w:p>
          <w:p w14:paraId="4A420EA6" w14:textId="5DF93251" w:rsidR="00CE5F02" w:rsidRPr="005D4222" w:rsidRDefault="00CE5F02" w:rsidP="00CE5F02">
            <w:pPr>
              <w:pStyle w:val="ECDSBody"/>
              <w:spacing w:before="0"/>
            </w:pPr>
            <w:r w:rsidRPr="005D4222">
              <w:rPr>
                <w:b/>
                <w:szCs w:val="21"/>
              </w:rPr>
              <w:t>Observation stays:</w:t>
            </w:r>
            <w:r w:rsidRPr="005D4222">
              <w:rPr>
                <w:szCs w:val="21"/>
              </w:rPr>
              <w:t xml:space="preserve"> For observation stays (</w:t>
            </w:r>
            <w:r w:rsidRPr="005D4222">
              <w:rPr>
                <w:szCs w:val="21"/>
                <w:u w:val="single"/>
              </w:rPr>
              <w:t>Observation Stay Value Set</w:t>
            </w:r>
            <w:r w:rsidRPr="005D4222">
              <w:rPr>
                <w:szCs w:val="21"/>
              </w:rPr>
              <w:t>) that do not have a recorded admission or discharge date, set the admission date to the earliest date of service on the claim and set the discharge date to the last date of service on the claim.</w:t>
            </w:r>
          </w:p>
        </w:tc>
      </w:tr>
    </w:tbl>
    <w:p w14:paraId="40196F02" w14:textId="77777777" w:rsidR="009552EB" w:rsidRPr="005D4222" w:rsidRDefault="009552EB">
      <w:r w:rsidRPr="005D4222">
        <w:br w:type="page"/>
      </w:r>
    </w:p>
    <w:tbl>
      <w:tblPr>
        <w:tblW w:w="9714" w:type="dxa"/>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B25234" w:rsidRPr="005D4222" w14:paraId="55E7CDFA" w14:textId="77777777" w:rsidTr="00CE5F02">
        <w:trPr>
          <w:trHeight w:val="633"/>
        </w:trPr>
        <w:tc>
          <w:tcPr>
            <w:tcW w:w="21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9550B0D" w14:textId="77777777" w:rsidR="00B25234" w:rsidRPr="005D4222" w:rsidRDefault="00B25234" w:rsidP="00A53E8C">
            <w:pPr>
              <w:pStyle w:val="ECDSMarginSub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E95CF74" w14:textId="77777777" w:rsidR="00B25234" w:rsidRPr="005D4222" w:rsidRDefault="00B25234" w:rsidP="00A53E8C">
            <w:pPr>
              <w:pStyle w:val="ECDSBody"/>
              <w:rPr>
                <w:rFonts w:ascii="Segoe UI" w:hAnsi="Segoe UI" w:cs="Segoe UI"/>
                <w:b/>
                <w:szCs w:val="21"/>
              </w:rPr>
            </w:pPr>
            <w:r w:rsidRPr="005D4222">
              <w:rPr>
                <w:b/>
                <w:szCs w:val="21"/>
              </w:rPr>
              <w:t xml:space="preserve">Which services count? </w:t>
            </w:r>
          </w:p>
          <w:p w14:paraId="54449E42" w14:textId="77777777" w:rsidR="00B25234" w:rsidRPr="005D4222" w:rsidRDefault="00B25234" w:rsidP="005D6173">
            <w:pPr>
              <w:pStyle w:val="ProcessBullet"/>
              <w:numPr>
                <w:ilvl w:val="0"/>
                <w:numId w:val="98"/>
              </w:numPr>
              <w:ind w:left="216" w:hanging="216"/>
              <w:rPr>
                <w:rFonts w:ascii="Segoe UI" w:hAnsi="Segoe UI" w:cs="Segoe UI"/>
                <w:szCs w:val="21"/>
              </w:rPr>
            </w:pPr>
            <w:r w:rsidRPr="005D4222">
              <w:rPr>
                <w:szCs w:val="21"/>
              </w:rPr>
              <w:t>Use all paid, suspended, pending</w:t>
            </w:r>
            <w:r w:rsidRPr="005D4222" w:rsidDel="0075163D">
              <w:rPr>
                <w:szCs w:val="21"/>
              </w:rPr>
              <w:t>,</w:t>
            </w:r>
            <w:r w:rsidRPr="005D4222">
              <w:rPr>
                <w:szCs w:val="21"/>
              </w:rPr>
              <w:t xml:space="preserve"> and denied claims when applying risk adjustment comorbidity category determination and the hospice exclusion. </w:t>
            </w:r>
          </w:p>
          <w:p w14:paraId="67783366" w14:textId="77777777" w:rsidR="00B25234" w:rsidRPr="005D4222" w:rsidRDefault="00B25234" w:rsidP="005D6173">
            <w:pPr>
              <w:pStyle w:val="ProcessBullet"/>
              <w:numPr>
                <w:ilvl w:val="0"/>
                <w:numId w:val="98"/>
              </w:numPr>
              <w:ind w:left="216" w:hanging="216"/>
              <w:rPr>
                <w:rFonts w:cs="Arial"/>
                <w:szCs w:val="21"/>
              </w:rPr>
            </w:pPr>
            <w:r w:rsidRPr="005D4222">
              <w:rPr>
                <w:szCs w:val="21"/>
              </w:rPr>
              <w:t>Do not include denied claims when identifying all other events (e.g., the IHS in the PCR measure or observed events in the other risk adjusted utilization measures); only report claims the organization paid for or expects to pay for (i.e., claims incurred but not paid).</w:t>
            </w:r>
            <w:r w:rsidRPr="005D4222">
              <w:rPr>
                <w:rFonts w:cs="Arial"/>
                <w:szCs w:val="21"/>
              </w:rPr>
              <w:t>  </w:t>
            </w:r>
          </w:p>
          <w:p w14:paraId="0958BFB4" w14:textId="77777777" w:rsidR="00B25234" w:rsidRPr="005D4222" w:rsidRDefault="00B25234" w:rsidP="00A53E8C">
            <w:pPr>
              <w:pStyle w:val="ECDSBody"/>
            </w:pPr>
            <w:r w:rsidRPr="005D4222">
              <w:rPr>
                <w:b/>
                <w:szCs w:val="21"/>
              </w:rPr>
              <w:t xml:space="preserve">Supplemental data exceptions: </w:t>
            </w:r>
            <w:r w:rsidRPr="005D4222">
              <w:rPr>
                <w:szCs w:val="21"/>
              </w:rPr>
              <w:t>Supplemental data may only be used for the hospice exclusio</w:t>
            </w:r>
            <w:r w:rsidRPr="005D4222">
              <w:t>n. </w:t>
            </w:r>
          </w:p>
          <w:p w14:paraId="2CBF023B" w14:textId="77777777" w:rsidR="00B25234" w:rsidRPr="005D4222" w:rsidRDefault="00B25234" w:rsidP="00A53E8C">
            <w:pPr>
              <w:pStyle w:val="ECDSBody"/>
              <w:rPr>
                <w:szCs w:val="21"/>
              </w:rPr>
            </w:pPr>
            <w:r w:rsidRPr="005D4222">
              <w:rPr>
                <w:b/>
                <w:szCs w:val="21"/>
              </w:rPr>
              <w:t>Transfers:</w:t>
            </w:r>
            <w:r w:rsidRPr="005D4222">
              <w:rPr>
                <w:szCs w:val="21"/>
              </w:rPr>
              <w:t xml:space="preserve"> </w:t>
            </w:r>
          </w:p>
          <w:p w14:paraId="36C560DC" w14:textId="77777777" w:rsidR="00B25234" w:rsidRPr="005D4222" w:rsidRDefault="00B25234" w:rsidP="005D6173">
            <w:pPr>
              <w:pStyle w:val="ProcessBullet"/>
              <w:numPr>
                <w:ilvl w:val="0"/>
                <w:numId w:val="98"/>
              </w:numPr>
              <w:tabs>
                <w:tab w:val="left" w:pos="216"/>
              </w:tabs>
              <w:ind w:left="216" w:hanging="216"/>
            </w:pPr>
            <w:r w:rsidRPr="005D4222">
              <w:t xml:space="preserve">Treat transfers </w:t>
            </w:r>
            <w:r w:rsidRPr="005D4222">
              <w:rPr>
                <w:i/>
              </w:rPr>
              <w:t xml:space="preserve">between </w:t>
            </w:r>
            <w:r w:rsidRPr="005D4222">
              <w:t xml:space="preserve">institutions as separate admissions. </w:t>
            </w:r>
          </w:p>
          <w:p w14:paraId="4D21A014" w14:textId="77777777" w:rsidR="00B25234" w:rsidRPr="005D4222" w:rsidRDefault="00B25234" w:rsidP="005D6173">
            <w:pPr>
              <w:pStyle w:val="ProcessBullet"/>
              <w:numPr>
                <w:ilvl w:val="0"/>
                <w:numId w:val="98"/>
              </w:numPr>
              <w:tabs>
                <w:tab w:val="left" w:pos="216"/>
              </w:tabs>
              <w:ind w:left="216" w:hanging="216"/>
            </w:pPr>
            <w:r w:rsidRPr="005D4222">
              <w:t xml:space="preserve">Base transfer reports </w:t>
            </w:r>
            <w:r w:rsidRPr="005D4222">
              <w:rPr>
                <w:i/>
              </w:rPr>
              <w:t>within</w:t>
            </w:r>
            <w:r w:rsidRPr="005D4222">
              <w:t xml:space="preserve"> an institution on the type and level of services provided. </w:t>
            </w:r>
          </w:p>
          <w:p w14:paraId="1E06F609" w14:textId="77777777" w:rsidR="00B25234" w:rsidRPr="005D4222" w:rsidRDefault="00B25234" w:rsidP="005D6173">
            <w:pPr>
              <w:pStyle w:val="ProcessBullet"/>
              <w:numPr>
                <w:ilvl w:val="0"/>
                <w:numId w:val="98"/>
              </w:numPr>
              <w:tabs>
                <w:tab w:val="left" w:pos="216"/>
              </w:tabs>
              <w:ind w:left="216" w:hanging="216"/>
            </w:pPr>
            <w:r w:rsidRPr="005D4222">
              <w:t xml:space="preserve">Report separate admissions when the transfer is between acute and nonacute levels of service or between mental health/chemical dependency services and non-mental health/chemical dependency services. </w:t>
            </w:r>
          </w:p>
          <w:p w14:paraId="0C1977C9" w14:textId="77777777" w:rsidR="00B25234" w:rsidRPr="005D4222" w:rsidRDefault="00B25234" w:rsidP="005D6173">
            <w:pPr>
              <w:pStyle w:val="ProcessBullet"/>
              <w:numPr>
                <w:ilvl w:val="0"/>
                <w:numId w:val="98"/>
              </w:numPr>
              <w:tabs>
                <w:tab w:val="left" w:pos="216"/>
              </w:tabs>
              <w:ind w:left="216" w:hanging="216"/>
            </w:pPr>
            <w:r w:rsidRPr="005D4222">
              <w:t>Count only one admission when the transfer takes place within the same service category, but to a different level of care (e.g., from intensive care to a lesser level of care; from a lesser level of care to intensive care).</w:t>
            </w:r>
          </w:p>
          <w:p w14:paraId="48151C8E" w14:textId="77777777" w:rsidR="00B25234" w:rsidRPr="005D4222" w:rsidRDefault="00B25234" w:rsidP="00A53E8C">
            <w:pPr>
              <w:pStyle w:val="ECDSBody"/>
              <w:rPr>
                <w:szCs w:val="21"/>
              </w:rPr>
            </w:pPr>
            <w:r w:rsidRPr="005D4222">
              <w:rPr>
                <w:b/>
                <w:szCs w:val="21"/>
              </w:rPr>
              <w:t>Risk adjustment:</w:t>
            </w:r>
            <w:r w:rsidRPr="005D4222">
              <w:rPr>
                <w:szCs w:val="21"/>
              </w:rPr>
              <w:t xml:space="preserve"> Organizations may not use risk assessment protocols to supplement diagnoses for calculation of the risk adjustment scores for these measures. The measurement model was developed and tested using only claims-based diagnoses; diagnoses from additional data sources would affect the validity of the models as they are currently implemented in the specification. </w:t>
            </w:r>
          </w:p>
          <w:p w14:paraId="6CF558D0" w14:textId="77777777" w:rsidR="00B25234" w:rsidRPr="005D4222" w:rsidRDefault="00B25234" w:rsidP="00A53E8C">
            <w:pPr>
              <w:pStyle w:val="ECDSBody"/>
              <w:rPr>
                <w:b/>
                <w:i/>
                <w:szCs w:val="21"/>
              </w:rPr>
            </w:pPr>
            <w:r w:rsidRPr="005D4222">
              <w:rPr>
                <w:b/>
                <w:i/>
                <w:szCs w:val="21"/>
              </w:rPr>
              <w:t>General Rules</w:t>
            </w:r>
          </w:p>
          <w:p w14:paraId="1B5D0C9D" w14:textId="775CD5A4" w:rsidR="00B25234" w:rsidRPr="005D4222" w:rsidRDefault="00B25234" w:rsidP="00A53E8C">
            <w:pPr>
              <w:pStyle w:val="ECDSBody"/>
              <w:spacing w:before="0"/>
              <w:rPr>
                <w:szCs w:val="21"/>
              </w:rPr>
            </w:pPr>
            <w:r w:rsidRPr="005D4222">
              <w:rPr>
                <w:b/>
                <w:szCs w:val="21"/>
              </w:rPr>
              <w:t>Data collection methodology</w:t>
            </w:r>
            <w:r w:rsidRPr="005D4222" w:rsidDel="00EA3048">
              <w:rPr>
                <w:b/>
                <w:szCs w:val="21"/>
              </w:rPr>
              <w:t xml:space="preserve">: </w:t>
            </w:r>
            <w:r w:rsidRPr="005D4222">
              <w:rPr>
                <w:szCs w:val="21"/>
              </w:rPr>
              <w:t>Administrative</w:t>
            </w:r>
            <w:r w:rsidRPr="005D4222">
              <w:rPr>
                <w:bCs w:val="0"/>
                <w:szCs w:val="21"/>
              </w:rPr>
              <w:t>.</w:t>
            </w:r>
            <w:r w:rsidRPr="005D4222">
              <w:rPr>
                <w:szCs w:val="21"/>
              </w:rPr>
              <w:t xml:space="preserve"> Refer to </w:t>
            </w:r>
            <w:hyperlink w:anchor="General_Guideline_Data_Collection_Method" w:history="1">
              <w:r w:rsidRPr="005D4222">
                <w:rPr>
                  <w:rStyle w:val="Hyperlink"/>
                  <w:i/>
                  <w:szCs w:val="21"/>
                </w:rPr>
                <w:t>General Guideline: Data Collection Methods</w:t>
              </w:r>
            </w:hyperlink>
            <w:r w:rsidRPr="005D4222">
              <w:rPr>
                <w:szCs w:val="21"/>
              </w:rPr>
              <w:t xml:space="preserve"> for additional information.  </w:t>
            </w:r>
          </w:p>
          <w:p w14:paraId="5BB9AFFC" w14:textId="77777777" w:rsidR="00B25234" w:rsidRPr="005D4222" w:rsidRDefault="00B25234" w:rsidP="00A53E8C">
            <w:pPr>
              <w:pStyle w:val="ECDSBody"/>
              <w:rPr>
                <w:szCs w:val="21"/>
              </w:rPr>
            </w:pPr>
            <w:r w:rsidRPr="005D4222">
              <w:rPr>
                <w:b/>
                <w:szCs w:val="21"/>
              </w:rPr>
              <w:t>Date specificity:</w:t>
            </w:r>
            <w:r w:rsidRPr="005D4222">
              <w:rPr>
                <w:szCs w:val="21"/>
              </w:rPr>
              <w:t xml:space="preserve"> Dates must be specific enough to determine the event occurred in the period being measured. </w:t>
            </w:r>
          </w:p>
          <w:p w14:paraId="7DA1454A" w14:textId="77777777" w:rsidR="00B25234" w:rsidRPr="005D4222" w:rsidRDefault="00B25234" w:rsidP="00A53E8C">
            <w:pPr>
              <w:pStyle w:val="ECDSBody"/>
              <w:rPr>
                <w:szCs w:val="21"/>
              </w:rPr>
            </w:pPr>
            <w:r w:rsidRPr="005D4222">
              <w:rPr>
                <w:b/>
                <w:bCs w:val="0"/>
                <w:szCs w:val="21"/>
              </w:rPr>
              <w:t>Other guidance</w:t>
            </w:r>
            <w:r w:rsidRPr="005D4222">
              <w:rPr>
                <w:szCs w:val="21"/>
              </w:rPr>
              <w:t>: The measure is based on episodes; therefore, it is possible for the denominator to include multiple events for the same person.</w:t>
            </w:r>
          </w:p>
          <w:p w14:paraId="31B7092D" w14:textId="1A62E364" w:rsidR="00B25234" w:rsidRPr="005D4222" w:rsidRDefault="00B25234" w:rsidP="00D66A85">
            <w:pPr>
              <w:pStyle w:val="Body"/>
              <w:spacing w:before="120" w:after="80"/>
              <w:rPr>
                <w:b/>
                <w:i/>
              </w:rPr>
            </w:pPr>
            <w:r w:rsidRPr="005D4222">
              <w:rPr>
                <w:b/>
                <w:iCs/>
                <w:szCs w:val="21"/>
              </w:rPr>
              <w:t xml:space="preserve">Improvement </w:t>
            </w:r>
            <w:r w:rsidR="00D66A85" w:rsidRPr="005D4222">
              <w:rPr>
                <w:b/>
                <w:iCs/>
                <w:szCs w:val="21"/>
              </w:rPr>
              <w:t>n</w:t>
            </w:r>
            <w:r w:rsidRPr="005D4222">
              <w:rPr>
                <w:b/>
                <w:iCs/>
                <w:szCs w:val="21"/>
              </w:rPr>
              <w:t>otation</w:t>
            </w:r>
            <w:r w:rsidR="00D66A85" w:rsidRPr="005D4222">
              <w:rPr>
                <w:b/>
                <w:iCs/>
                <w:szCs w:val="21"/>
              </w:rPr>
              <w:t xml:space="preserve">: </w:t>
            </w:r>
            <w:r w:rsidRPr="005D4222">
              <w:rPr>
                <w:color w:val="000000"/>
                <w:shd w:val="clear" w:color="auto" w:fill="FFFFFF"/>
              </w:rPr>
              <w:t>To interpret the rate as better or worse than expected, the rate must be calibrated</w:t>
            </w:r>
            <w:r w:rsidRPr="005D4222">
              <w:rPr>
                <w:color w:val="000000" w:themeColor="text1"/>
              </w:rPr>
              <w:t>. Organizations can calibrate rates by d</w:t>
            </w:r>
            <w:r w:rsidRPr="005D4222">
              <w:rPr>
                <w:color w:val="000000"/>
                <w:shd w:val="clear" w:color="auto" w:fill="FFFFFF"/>
              </w:rPr>
              <w:t>ivid</w:t>
            </w:r>
            <w:r w:rsidRPr="005D4222">
              <w:rPr>
                <w:color w:val="000000" w:themeColor="text1"/>
              </w:rPr>
              <w:t>ing</w:t>
            </w:r>
            <w:r w:rsidRPr="005D4222">
              <w:rPr>
                <w:color w:val="000000"/>
                <w:shd w:val="clear" w:color="auto" w:fill="FFFFFF"/>
              </w:rPr>
              <w:t xml:space="preserve"> individual organization rates or national percentiles by</w:t>
            </w:r>
            <w:r w:rsidRPr="005D4222">
              <w:rPr>
                <w:color w:val="000000" w:themeColor="text1"/>
              </w:rPr>
              <w:t xml:space="preserve"> the</w:t>
            </w:r>
            <w:r w:rsidRPr="005D4222">
              <w:rPr>
                <w:color w:val="000000"/>
                <w:shd w:val="clear" w:color="auto" w:fill="FFFFFF"/>
              </w:rPr>
              <w:t xml:space="preserve"> national average rate. Organizations </w:t>
            </w:r>
            <w:r w:rsidRPr="005D4222">
              <w:rPr>
                <w:color w:val="000000" w:themeColor="text1"/>
              </w:rPr>
              <w:t>may</w:t>
            </w:r>
            <w:r w:rsidRPr="005D4222">
              <w:rPr>
                <w:color w:val="000000"/>
                <w:shd w:val="clear" w:color="auto" w:fill="FFFFFF"/>
              </w:rPr>
              <w:t xml:space="preserve"> be more successful at achieving fewer readmissions than expected, given the types of cases treated by the organization (calibrated rate with a value &lt;1.0), or may be less successful (calibrated rate with a value &gt;1.0).</w:t>
            </w:r>
          </w:p>
        </w:tc>
      </w:tr>
    </w:tbl>
    <w:p w14:paraId="114056C3" w14:textId="77777777" w:rsidR="00CE5F02" w:rsidRDefault="00CE5F02">
      <w:r>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B25234" w:rsidRPr="005D4222" w14:paraId="7C27AFC1" w14:textId="77777777" w:rsidTr="00CE5F02">
        <w:tc>
          <w:tcPr>
            <w:tcW w:w="9714" w:type="dxa"/>
            <w:gridSpan w:val="2"/>
            <w:tcBorders>
              <w:top w:val="single" w:sz="4" w:space="0" w:color="auto"/>
              <w:bottom w:val="single" w:sz="4" w:space="0" w:color="auto"/>
            </w:tcBorders>
            <w:shd w:val="clear" w:color="auto" w:fill="BFBFBF" w:themeFill="background1" w:themeFillShade="BF"/>
            <w:tcMar>
              <w:top w:w="0" w:type="dxa"/>
              <w:left w:w="86" w:type="dxa"/>
              <w:bottom w:w="43" w:type="dxa"/>
              <w:right w:w="86" w:type="dxa"/>
            </w:tcMar>
          </w:tcPr>
          <w:p w14:paraId="38D5C65D" w14:textId="77777777" w:rsidR="00B25234" w:rsidRPr="005D4222" w:rsidRDefault="00B25234" w:rsidP="00A53E8C">
            <w:pPr>
              <w:pStyle w:val="ECDSMarginHead"/>
            </w:pPr>
            <w:r w:rsidRPr="005D4222">
              <w:lastRenderedPageBreak/>
              <w:t>Definitions</w:t>
            </w:r>
          </w:p>
        </w:tc>
      </w:tr>
      <w:tr w:rsidR="00B25234" w:rsidRPr="005D4222" w14:paraId="161B9338" w14:textId="77777777" w:rsidTr="00CE5F02">
        <w:tc>
          <w:tcPr>
            <w:tcW w:w="2157" w:type="dxa"/>
            <w:tcBorders>
              <w:top w:val="single" w:sz="4" w:space="0" w:color="auto"/>
              <w:bottom w:val="nil"/>
              <w:right w:val="single" w:sz="4" w:space="0" w:color="auto"/>
            </w:tcBorders>
            <w:tcMar>
              <w:top w:w="0" w:type="dxa"/>
              <w:left w:w="86" w:type="dxa"/>
              <w:bottom w:w="43" w:type="dxa"/>
              <w:right w:w="86" w:type="dxa"/>
            </w:tcMar>
          </w:tcPr>
          <w:p w14:paraId="198E7461" w14:textId="77777777" w:rsidR="00B25234" w:rsidRPr="005D4222" w:rsidRDefault="00B25234" w:rsidP="00A53E8C">
            <w:pPr>
              <w:pStyle w:val="ECDSMarginSubhead"/>
            </w:pPr>
            <w:r w:rsidRPr="005D4222">
              <w:t>Direct transfer</w:t>
            </w:r>
          </w:p>
        </w:tc>
        <w:tc>
          <w:tcPr>
            <w:tcW w:w="7557" w:type="dxa"/>
            <w:tcBorders>
              <w:top w:val="single" w:sz="4" w:space="0" w:color="auto"/>
              <w:left w:val="nil"/>
              <w:bottom w:val="nil"/>
            </w:tcBorders>
            <w:tcMar>
              <w:top w:w="0" w:type="dxa"/>
              <w:left w:w="86" w:type="dxa"/>
              <w:bottom w:w="43" w:type="dxa"/>
              <w:right w:w="86" w:type="dxa"/>
            </w:tcMar>
          </w:tcPr>
          <w:p w14:paraId="09136B0F" w14:textId="77777777" w:rsidR="00B25234" w:rsidRPr="005D4222" w:rsidRDefault="00B25234" w:rsidP="00A53E8C">
            <w:pPr>
              <w:pStyle w:val="ECDSBody"/>
            </w:pPr>
            <w:r w:rsidRPr="005D4222">
              <w:t xml:space="preserve">When the discharge date from the initial stay precedes the admission date to a subsequent stay by 1 calendar day or less. </w:t>
            </w:r>
          </w:p>
          <w:p w14:paraId="48FECC4E" w14:textId="77777777" w:rsidR="00B25234" w:rsidRPr="005D4222" w:rsidRDefault="00B25234" w:rsidP="00B25234">
            <w:pPr>
              <w:pStyle w:val="Bullet"/>
              <w:numPr>
                <w:ilvl w:val="0"/>
                <w:numId w:val="4"/>
              </w:numPr>
              <w:tabs>
                <w:tab w:val="left" w:pos="360"/>
                <w:tab w:val="left" w:pos="576"/>
              </w:tabs>
              <w:ind w:left="576" w:hanging="216"/>
              <w:rPr>
                <w:i/>
              </w:rPr>
            </w:pPr>
            <w:r w:rsidRPr="005D4222">
              <w:rPr>
                <w:i/>
              </w:rPr>
              <w:t>For example:</w:t>
            </w:r>
          </w:p>
          <w:p w14:paraId="71F0AC77" w14:textId="77777777" w:rsidR="00B25234" w:rsidRPr="005D4222" w:rsidRDefault="00B25234" w:rsidP="00B25234">
            <w:pPr>
              <w:pStyle w:val="Dash"/>
              <w:tabs>
                <w:tab w:val="left" w:pos="576"/>
                <w:tab w:val="left" w:pos="792"/>
              </w:tabs>
              <w:rPr>
                <w:i/>
              </w:rPr>
            </w:pPr>
            <w:r w:rsidRPr="005D4222">
              <w:t xml:space="preserve">A discharge on June 1, followed by a subsequent admission on June 1 or June 2, </w:t>
            </w:r>
            <w:r w:rsidRPr="005D4222">
              <w:rPr>
                <w:i/>
              </w:rPr>
              <w:t>is a direct transfer.</w:t>
            </w:r>
          </w:p>
          <w:p w14:paraId="39155328" w14:textId="77777777" w:rsidR="00B25234" w:rsidRPr="005D4222" w:rsidRDefault="00B25234" w:rsidP="00B25234">
            <w:pPr>
              <w:pStyle w:val="Dash"/>
              <w:tabs>
                <w:tab w:val="left" w:pos="576"/>
                <w:tab w:val="left" w:pos="792"/>
              </w:tabs>
              <w:spacing w:before="120"/>
            </w:pPr>
            <w:r w:rsidRPr="005D4222">
              <w:t xml:space="preserve">A discharge on June 1, followed by a subsequent admission on </w:t>
            </w:r>
            <w:r w:rsidRPr="005D4222">
              <w:br/>
              <w:t xml:space="preserve">June 3, </w:t>
            </w:r>
            <w:r w:rsidRPr="005D4222">
              <w:rPr>
                <w:i/>
              </w:rPr>
              <w:t xml:space="preserve">is not a direct transfer; </w:t>
            </w:r>
            <w:r w:rsidRPr="005D4222">
              <w:t>these are two distinct stays.</w:t>
            </w:r>
          </w:p>
          <w:p w14:paraId="0223FE2D" w14:textId="77777777" w:rsidR="00B25234" w:rsidRPr="005D4222" w:rsidRDefault="00B25234" w:rsidP="00B25234">
            <w:pPr>
              <w:pStyle w:val="Dash"/>
              <w:tabs>
                <w:tab w:val="left" w:pos="576"/>
                <w:tab w:val="left" w:pos="792"/>
              </w:tabs>
            </w:pPr>
            <w:r w:rsidRPr="005D4222">
              <w:t>A discharge on June 1, followed by a subsequent admission on June 2 (with discharge on June 3), followed by a subsequent admission on June 4,</w:t>
            </w:r>
            <w:r w:rsidRPr="005D4222">
              <w:rPr>
                <w:i/>
              </w:rPr>
              <w:t xml:space="preserve"> is a direct transfer.</w:t>
            </w:r>
          </w:p>
          <w:p w14:paraId="39DAB341" w14:textId="77777777" w:rsidR="00B25234" w:rsidRPr="005D4222" w:rsidRDefault="00B25234" w:rsidP="00A53E8C">
            <w:pPr>
              <w:pStyle w:val="ECDSBody"/>
              <w:spacing w:after="0"/>
            </w:pPr>
            <w:r w:rsidRPr="005D4222">
              <w:t>Direct transfers may occur between different facilities, and between acute inpatient and observation.</w:t>
            </w:r>
          </w:p>
        </w:tc>
      </w:tr>
      <w:tr w:rsidR="00B25234" w:rsidRPr="005D4222" w14:paraId="31D7F1E3" w14:textId="77777777" w:rsidTr="00CE5F02">
        <w:tc>
          <w:tcPr>
            <w:tcW w:w="2157" w:type="dxa"/>
            <w:tcBorders>
              <w:top w:val="nil"/>
              <w:bottom w:val="nil"/>
              <w:right w:val="single" w:sz="4" w:space="0" w:color="auto"/>
            </w:tcBorders>
            <w:tcMar>
              <w:top w:w="0" w:type="dxa"/>
              <w:left w:w="86" w:type="dxa"/>
              <w:bottom w:w="43" w:type="dxa"/>
              <w:right w:w="86" w:type="dxa"/>
            </w:tcMar>
          </w:tcPr>
          <w:p w14:paraId="3AEB8437" w14:textId="77777777" w:rsidR="00B25234" w:rsidRPr="005D4222" w:rsidRDefault="00B25234" w:rsidP="00A53E8C">
            <w:pPr>
              <w:pStyle w:val="ECDSMarginSubhead"/>
            </w:pPr>
            <w:r w:rsidRPr="005D4222">
              <w:t>IHS</w:t>
            </w:r>
          </w:p>
        </w:tc>
        <w:tc>
          <w:tcPr>
            <w:tcW w:w="7557" w:type="dxa"/>
            <w:tcBorders>
              <w:top w:val="nil"/>
              <w:left w:val="nil"/>
              <w:bottom w:val="nil"/>
            </w:tcBorders>
            <w:tcMar>
              <w:top w:w="0" w:type="dxa"/>
              <w:left w:w="86" w:type="dxa"/>
              <w:bottom w:w="43" w:type="dxa"/>
              <w:right w:w="86" w:type="dxa"/>
            </w:tcMar>
          </w:tcPr>
          <w:p w14:paraId="783C06A5" w14:textId="77777777" w:rsidR="00B25234" w:rsidRPr="005D4222" w:rsidRDefault="00B25234" w:rsidP="00A53E8C">
            <w:pPr>
              <w:pStyle w:val="ECDSBody"/>
              <w:spacing w:after="0"/>
            </w:pPr>
            <w:r w:rsidRPr="005D4222">
              <w:t>Index hospital stay. An acute inpatient or observation stay with a discharge on or between January 1 and December 1 of the measurement period, as identified in the denominator.</w:t>
            </w:r>
          </w:p>
        </w:tc>
      </w:tr>
      <w:tr w:rsidR="00B25234" w:rsidRPr="005D4222" w14:paraId="2A47D093" w14:textId="77777777" w:rsidTr="00CE5F02">
        <w:tc>
          <w:tcPr>
            <w:tcW w:w="2157" w:type="dxa"/>
            <w:tcBorders>
              <w:top w:val="nil"/>
              <w:bottom w:val="nil"/>
              <w:right w:val="single" w:sz="4" w:space="0" w:color="auto"/>
            </w:tcBorders>
            <w:tcMar>
              <w:top w:w="0" w:type="dxa"/>
              <w:left w:w="86" w:type="dxa"/>
              <w:bottom w:w="43" w:type="dxa"/>
              <w:right w:w="86" w:type="dxa"/>
            </w:tcMar>
          </w:tcPr>
          <w:p w14:paraId="44675460" w14:textId="77777777" w:rsidR="00B25234" w:rsidRPr="005D4222" w:rsidRDefault="00B25234" w:rsidP="00EF4F7E">
            <w:pPr>
              <w:pStyle w:val="ECDSMarginSubhead"/>
              <w:spacing w:after="0"/>
            </w:pPr>
            <w:r w:rsidRPr="005D4222">
              <w:t>Index admission date</w:t>
            </w:r>
          </w:p>
        </w:tc>
        <w:tc>
          <w:tcPr>
            <w:tcW w:w="7557" w:type="dxa"/>
            <w:tcBorders>
              <w:top w:val="nil"/>
              <w:left w:val="nil"/>
              <w:bottom w:val="nil"/>
            </w:tcBorders>
            <w:tcMar>
              <w:top w:w="0" w:type="dxa"/>
              <w:left w:w="86" w:type="dxa"/>
              <w:bottom w:w="43" w:type="dxa"/>
              <w:right w:w="86" w:type="dxa"/>
            </w:tcMar>
          </w:tcPr>
          <w:p w14:paraId="4B1CC895" w14:textId="77777777" w:rsidR="00B25234" w:rsidRPr="005D4222" w:rsidRDefault="00B25234" w:rsidP="00EF4F7E">
            <w:pPr>
              <w:pStyle w:val="ECDSBody"/>
              <w:spacing w:after="0"/>
            </w:pPr>
            <w:r w:rsidRPr="005D4222">
              <w:t>The IHS admission date.</w:t>
            </w:r>
          </w:p>
        </w:tc>
      </w:tr>
      <w:tr w:rsidR="00B25234" w:rsidRPr="005D4222" w14:paraId="56AF9AD8" w14:textId="77777777" w:rsidTr="00CE5F02">
        <w:tc>
          <w:tcPr>
            <w:tcW w:w="2157" w:type="dxa"/>
            <w:tcBorders>
              <w:top w:val="nil"/>
              <w:bottom w:val="nil"/>
              <w:right w:val="single" w:sz="4" w:space="0" w:color="auto"/>
            </w:tcBorders>
            <w:tcMar>
              <w:top w:w="0" w:type="dxa"/>
              <w:left w:w="86" w:type="dxa"/>
              <w:bottom w:w="43" w:type="dxa"/>
              <w:right w:w="86" w:type="dxa"/>
            </w:tcMar>
          </w:tcPr>
          <w:p w14:paraId="20196614" w14:textId="77777777" w:rsidR="00B25234" w:rsidRPr="005D4222" w:rsidRDefault="00B25234" w:rsidP="00EF4F7E">
            <w:pPr>
              <w:pStyle w:val="ECDSMarginSubhead"/>
              <w:spacing w:after="0"/>
            </w:pPr>
            <w:r w:rsidRPr="005D4222">
              <w:t>Index discharge date</w:t>
            </w:r>
          </w:p>
        </w:tc>
        <w:tc>
          <w:tcPr>
            <w:tcW w:w="7557" w:type="dxa"/>
            <w:tcBorders>
              <w:top w:val="nil"/>
              <w:left w:val="nil"/>
              <w:bottom w:val="nil"/>
            </w:tcBorders>
            <w:tcMar>
              <w:top w:w="0" w:type="dxa"/>
              <w:left w:w="86" w:type="dxa"/>
              <w:bottom w:w="43" w:type="dxa"/>
              <w:right w:w="86" w:type="dxa"/>
            </w:tcMar>
          </w:tcPr>
          <w:p w14:paraId="096DDC78" w14:textId="77777777" w:rsidR="00B25234" w:rsidRPr="005D4222" w:rsidRDefault="00B25234" w:rsidP="00EF4F7E">
            <w:pPr>
              <w:pStyle w:val="ECDSBody"/>
              <w:spacing w:after="0"/>
            </w:pPr>
            <w:r w:rsidRPr="005D4222">
              <w:t>The IHS discharge date. The index discharge date must occur on or between January 1 and December 1 of the measurement period.</w:t>
            </w:r>
          </w:p>
        </w:tc>
      </w:tr>
      <w:tr w:rsidR="00B25234" w:rsidRPr="005D4222" w14:paraId="56B26258" w14:textId="77777777" w:rsidTr="00CE5F02">
        <w:tc>
          <w:tcPr>
            <w:tcW w:w="2157" w:type="dxa"/>
            <w:tcBorders>
              <w:top w:val="nil"/>
              <w:bottom w:val="nil"/>
              <w:right w:val="single" w:sz="4" w:space="0" w:color="auto"/>
            </w:tcBorders>
            <w:tcMar>
              <w:top w:w="0" w:type="dxa"/>
              <w:left w:w="86" w:type="dxa"/>
              <w:bottom w:w="43" w:type="dxa"/>
              <w:right w:w="86" w:type="dxa"/>
            </w:tcMar>
          </w:tcPr>
          <w:p w14:paraId="29D4339A" w14:textId="77777777" w:rsidR="00B25234" w:rsidRPr="005D4222" w:rsidRDefault="00B25234" w:rsidP="00EF4F7E">
            <w:pPr>
              <w:pStyle w:val="ECDSMarginSubhead"/>
              <w:spacing w:after="0"/>
            </w:pPr>
            <w:r w:rsidRPr="005D4222">
              <w:t>Index readmission stay</w:t>
            </w:r>
          </w:p>
        </w:tc>
        <w:tc>
          <w:tcPr>
            <w:tcW w:w="7557" w:type="dxa"/>
            <w:tcBorders>
              <w:top w:val="nil"/>
              <w:left w:val="nil"/>
              <w:bottom w:val="nil"/>
            </w:tcBorders>
            <w:tcMar>
              <w:top w:w="0" w:type="dxa"/>
              <w:left w:w="86" w:type="dxa"/>
              <w:bottom w:w="43" w:type="dxa"/>
              <w:right w:w="86" w:type="dxa"/>
            </w:tcMar>
          </w:tcPr>
          <w:p w14:paraId="4CCC5A56" w14:textId="77777777" w:rsidR="00B25234" w:rsidRPr="005D4222" w:rsidRDefault="00B25234" w:rsidP="00EF4F7E">
            <w:pPr>
              <w:pStyle w:val="ECDSBody"/>
              <w:spacing w:after="0"/>
            </w:pPr>
            <w:r w:rsidRPr="005D4222">
              <w:t>An acute inpatient or observation stay for any diagnosis with an admission date within 30 days of a previous index discharge date.</w:t>
            </w:r>
          </w:p>
        </w:tc>
      </w:tr>
      <w:tr w:rsidR="00B25234" w:rsidRPr="005D4222" w14:paraId="48138C8A" w14:textId="77777777" w:rsidTr="00CE5F02">
        <w:tc>
          <w:tcPr>
            <w:tcW w:w="2157" w:type="dxa"/>
            <w:tcBorders>
              <w:top w:val="nil"/>
              <w:bottom w:val="nil"/>
              <w:right w:val="single" w:sz="4" w:space="0" w:color="auto"/>
            </w:tcBorders>
            <w:tcMar>
              <w:top w:w="0" w:type="dxa"/>
              <w:left w:w="86" w:type="dxa"/>
              <w:bottom w:w="43" w:type="dxa"/>
              <w:right w:w="86" w:type="dxa"/>
            </w:tcMar>
          </w:tcPr>
          <w:p w14:paraId="1473A04A" w14:textId="77777777" w:rsidR="00B25234" w:rsidRPr="005D4222" w:rsidRDefault="00B25234" w:rsidP="00EF4F7E">
            <w:pPr>
              <w:pStyle w:val="ECDSMarginSubhead"/>
              <w:spacing w:after="0"/>
            </w:pPr>
            <w:r w:rsidRPr="005D4222">
              <w:t>Index readmission date</w:t>
            </w:r>
          </w:p>
        </w:tc>
        <w:tc>
          <w:tcPr>
            <w:tcW w:w="7557" w:type="dxa"/>
            <w:tcBorders>
              <w:top w:val="nil"/>
              <w:left w:val="nil"/>
              <w:bottom w:val="nil"/>
            </w:tcBorders>
            <w:tcMar>
              <w:top w:w="0" w:type="dxa"/>
              <w:left w:w="86" w:type="dxa"/>
              <w:bottom w:w="43" w:type="dxa"/>
              <w:right w:w="86" w:type="dxa"/>
            </w:tcMar>
          </w:tcPr>
          <w:p w14:paraId="32D8F3F3" w14:textId="77777777" w:rsidR="00B25234" w:rsidRPr="005D4222" w:rsidRDefault="00B25234" w:rsidP="00EF4F7E">
            <w:pPr>
              <w:pStyle w:val="ECDSBody"/>
              <w:spacing w:after="0"/>
            </w:pPr>
            <w:r w:rsidRPr="005D4222">
              <w:t>The admission date associated with the index readmission stay.</w:t>
            </w:r>
          </w:p>
        </w:tc>
      </w:tr>
      <w:tr w:rsidR="00B25234" w:rsidRPr="005D4222" w14:paraId="53A2570A" w14:textId="77777777" w:rsidTr="00CE5F02">
        <w:tc>
          <w:tcPr>
            <w:tcW w:w="2157" w:type="dxa"/>
            <w:tcBorders>
              <w:top w:val="nil"/>
              <w:bottom w:val="nil"/>
              <w:right w:val="single" w:sz="4" w:space="0" w:color="auto"/>
            </w:tcBorders>
            <w:tcMar>
              <w:top w:w="0" w:type="dxa"/>
              <w:left w:w="86" w:type="dxa"/>
              <w:bottom w:w="43" w:type="dxa"/>
              <w:right w:w="86" w:type="dxa"/>
            </w:tcMar>
          </w:tcPr>
          <w:p w14:paraId="31036D1D" w14:textId="77777777" w:rsidR="00B25234" w:rsidRPr="005D4222" w:rsidRDefault="00B25234" w:rsidP="00EF4F7E">
            <w:pPr>
              <w:pStyle w:val="ECDSMarginSubhead"/>
              <w:spacing w:after="0"/>
            </w:pPr>
            <w:r w:rsidRPr="005D4222">
              <w:t>Planned hospital stay</w:t>
            </w:r>
          </w:p>
        </w:tc>
        <w:tc>
          <w:tcPr>
            <w:tcW w:w="7557" w:type="dxa"/>
            <w:tcBorders>
              <w:top w:val="nil"/>
              <w:left w:val="nil"/>
              <w:bottom w:val="nil"/>
            </w:tcBorders>
            <w:tcMar>
              <w:top w:w="0" w:type="dxa"/>
              <w:left w:w="86" w:type="dxa"/>
              <w:bottom w:w="43" w:type="dxa"/>
              <w:right w:w="86" w:type="dxa"/>
            </w:tcMar>
          </w:tcPr>
          <w:p w14:paraId="6B7DC959" w14:textId="77777777" w:rsidR="00B25234" w:rsidRPr="005D4222" w:rsidRDefault="00B25234" w:rsidP="00EF4F7E">
            <w:pPr>
              <w:pStyle w:val="ECDSBody"/>
              <w:spacing w:after="0"/>
            </w:pPr>
            <w:r w:rsidRPr="005D4222">
              <w:t>A hospital stay is considered planned if it meets criteria as described in step 3 (exclusions) of the numerator.</w:t>
            </w:r>
          </w:p>
        </w:tc>
      </w:tr>
      <w:tr w:rsidR="00B25234" w:rsidRPr="005D4222" w14:paraId="5909EC27" w14:textId="77777777" w:rsidTr="00CE5F02">
        <w:tc>
          <w:tcPr>
            <w:tcW w:w="2157" w:type="dxa"/>
            <w:tcBorders>
              <w:top w:val="nil"/>
              <w:bottom w:val="nil"/>
              <w:right w:val="single" w:sz="4" w:space="0" w:color="auto"/>
            </w:tcBorders>
            <w:tcMar>
              <w:top w:w="0" w:type="dxa"/>
              <w:left w:w="86" w:type="dxa"/>
              <w:bottom w:w="43" w:type="dxa"/>
              <w:right w:w="86" w:type="dxa"/>
            </w:tcMar>
          </w:tcPr>
          <w:p w14:paraId="15F1F047" w14:textId="77777777" w:rsidR="00B25234" w:rsidRPr="005D4222" w:rsidRDefault="00B25234" w:rsidP="00A53E8C">
            <w:pPr>
              <w:pStyle w:val="ECDSMarginSubhead"/>
            </w:pPr>
            <w:r w:rsidRPr="005D4222">
              <w:t>Plan population</w:t>
            </w:r>
          </w:p>
        </w:tc>
        <w:tc>
          <w:tcPr>
            <w:tcW w:w="7557" w:type="dxa"/>
            <w:tcBorders>
              <w:top w:val="nil"/>
              <w:left w:val="nil"/>
              <w:bottom w:val="nil"/>
            </w:tcBorders>
            <w:tcMar>
              <w:top w:w="0" w:type="dxa"/>
              <w:left w:w="86" w:type="dxa"/>
              <w:bottom w:w="43" w:type="dxa"/>
              <w:right w:w="86" w:type="dxa"/>
            </w:tcMar>
          </w:tcPr>
          <w:p w14:paraId="7D9B9EDE" w14:textId="77777777" w:rsidR="00B25234" w:rsidRPr="005D4222" w:rsidRDefault="00B25234" w:rsidP="00A53E8C">
            <w:pPr>
              <w:pStyle w:val="ECDSBody"/>
              <w:spacing w:after="0"/>
            </w:pPr>
            <w:r w:rsidRPr="005D4222">
              <w:t>Persons in the initial population prior to exclusion of outliers. The plan population is only used as a denominator for the outlier rate.</w:t>
            </w:r>
          </w:p>
          <w:p w14:paraId="562AAB00" w14:textId="77777777" w:rsidR="00B25234" w:rsidRPr="005D4222" w:rsidRDefault="00B25234" w:rsidP="00A53E8C">
            <w:pPr>
              <w:pStyle w:val="ECDSBody"/>
              <w:spacing w:after="0"/>
              <w:rPr>
                <w:szCs w:val="21"/>
              </w:rPr>
            </w:pPr>
            <w:r w:rsidRPr="005D4222">
              <w:rPr>
                <w:szCs w:val="21"/>
              </w:rPr>
              <w:t>Persons must be 18 years and older as of the earliest index discharge date.</w:t>
            </w:r>
          </w:p>
          <w:p w14:paraId="3DEEFEAF" w14:textId="77777777" w:rsidR="00B25234" w:rsidRPr="005D4222" w:rsidRDefault="00B25234" w:rsidP="00A53E8C">
            <w:pPr>
              <w:pStyle w:val="ECDSBody"/>
              <w:spacing w:after="0"/>
              <w:rPr>
                <w:szCs w:val="21"/>
              </w:rPr>
            </w:pPr>
            <w:r w:rsidRPr="005D4222">
              <w:rPr>
                <w:szCs w:val="21"/>
              </w:rPr>
              <w:t>The plan population is based on persons, not on discharges. Count persons only once in the plan population.</w:t>
            </w:r>
          </w:p>
          <w:p w14:paraId="14AD57B1" w14:textId="77777777" w:rsidR="00B25234" w:rsidRPr="005D4222" w:rsidRDefault="00B25234" w:rsidP="00A53E8C">
            <w:pPr>
              <w:pStyle w:val="ECDSBody"/>
              <w:spacing w:after="0"/>
              <w:rPr>
                <w:szCs w:val="21"/>
              </w:rPr>
            </w:pPr>
            <w:r w:rsidRPr="005D4222">
              <w:rPr>
                <w:szCs w:val="21"/>
              </w:rPr>
              <w:t xml:space="preserve">Assign persons to the product/product line in which they are enrolled at the start of the continuous enrollment period of their earliest IHS. If there is a gap at the beginning of this continuous enrollment period, assign the person to the product/product line in which they were enrolled as of their first enrollment segment during this continuous enrollment period. </w:t>
            </w:r>
          </w:p>
        </w:tc>
      </w:tr>
      <w:tr w:rsidR="00B25234" w:rsidRPr="005D4222" w14:paraId="54E209EF" w14:textId="77777777" w:rsidTr="00CE5F02">
        <w:tc>
          <w:tcPr>
            <w:tcW w:w="2157" w:type="dxa"/>
            <w:tcBorders>
              <w:top w:val="nil"/>
              <w:bottom w:val="single" w:sz="4" w:space="0" w:color="auto"/>
              <w:right w:val="single" w:sz="4" w:space="0" w:color="auto"/>
            </w:tcBorders>
            <w:tcMar>
              <w:top w:w="0" w:type="dxa"/>
              <w:left w:w="86" w:type="dxa"/>
              <w:bottom w:w="43" w:type="dxa"/>
              <w:right w:w="86" w:type="dxa"/>
            </w:tcMar>
          </w:tcPr>
          <w:p w14:paraId="6CB57F9D" w14:textId="77777777" w:rsidR="00B25234" w:rsidRPr="005D4222" w:rsidRDefault="00B25234" w:rsidP="00A53E8C">
            <w:pPr>
              <w:pStyle w:val="ECDSMarginSubhead"/>
            </w:pPr>
            <w:r w:rsidRPr="005D4222">
              <w:t>Outlier</w:t>
            </w:r>
          </w:p>
        </w:tc>
        <w:tc>
          <w:tcPr>
            <w:tcW w:w="7557" w:type="dxa"/>
            <w:tcBorders>
              <w:top w:val="nil"/>
              <w:left w:val="nil"/>
              <w:bottom w:val="single" w:sz="4" w:space="0" w:color="auto"/>
            </w:tcBorders>
            <w:tcMar>
              <w:top w:w="0" w:type="dxa"/>
              <w:left w:w="86" w:type="dxa"/>
              <w:bottom w:w="43" w:type="dxa"/>
              <w:right w:w="86" w:type="dxa"/>
            </w:tcMar>
          </w:tcPr>
          <w:p w14:paraId="09ED9603" w14:textId="77777777" w:rsidR="00B25234" w:rsidRPr="005D4222" w:rsidRDefault="00B25234" w:rsidP="00A53E8C">
            <w:pPr>
              <w:pStyle w:val="ECDSBody"/>
              <w:spacing w:after="0"/>
            </w:pPr>
            <w:r w:rsidRPr="005D4222">
              <w:t xml:space="preserve">Enrollees in Medicaid and Medicare in the initial population with four or more IHS between January 1 and December 1 of the measurement period. </w:t>
            </w:r>
          </w:p>
          <w:p w14:paraId="7E607128" w14:textId="7D018944" w:rsidR="00B25234" w:rsidRPr="005D4222" w:rsidRDefault="00B25234" w:rsidP="00EF4F7E">
            <w:pPr>
              <w:pStyle w:val="ECDSBody"/>
            </w:pPr>
            <w:r w:rsidRPr="005D4222">
              <w:t>Commercial enrollees in the initial population with three or more IHS between January 1 and December 1 of the measurement period.</w:t>
            </w:r>
          </w:p>
        </w:tc>
      </w:tr>
      <w:tr w:rsidR="00EF4F7E" w:rsidRPr="005D4222" w14:paraId="040C7936" w14:textId="77777777" w:rsidTr="00CE5F02">
        <w:tc>
          <w:tcPr>
            <w:tcW w:w="2157" w:type="dxa"/>
            <w:tcBorders>
              <w:top w:val="single" w:sz="4" w:space="0" w:color="auto"/>
              <w:bottom w:val="nil"/>
              <w:right w:val="single" w:sz="4" w:space="0" w:color="auto"/>
            </w:tcBorders>
            <w:tcMar>
              <w:top w:w="0" w:type="dxa"/>
              <w:left w:w="86" w:type="dxa"/>
              <w:bottom w:w="43" w:type="dxa"/>
              <w:right w:w="86" w:type="dxa"/>
            </w:tcMar>
          </w:tcPr>
          <w:p w14:paraId="385214C6" w14:textId="77777777" w:rsidR="00EF4F7E" w:rsidRPr="005D4222" w:rsidRDefault="00EF4F7E" w:rsidP="00A53E8C">
            <w:pPr>
              <w:pStyle w:val="ECDSMarginSubhead"/>
            </w:pPr>
          </w:p>
        </w:tc>
        <w:tc>
          <w:tcPr>
            <w:tcW w:w="7557" w:type="dxa"/>
            <w:tcBorders>
              <w:top w:val="single" w:sz="4" w:space="0" w:color="auto"/>
              <w:left w:val="nil"/>
              <w:bottom w:val="nil"/>
            </w:tcBorders>
            <w:tcMar>
              <w:top w:w="0" w:type="dxa"/>
              <w:left w:w="86" w:type="dxa"/>
              <w:bottom w:w="43" w:type="dxa"/>
              <w:right w:w="86" w:type="dxa"/>
            </w:tcMar>
          </w:tcPr>
          <w:p w14:paraId="3FF3B8FC" w14:textId="0DFF003F" w:rsidR="00EF4F7E" w:rsidRPr="005D4222" w:rsidRDefault="00EF4F7E" w:rsidP="00A53E8C">
            <w:pPr>
              <w:pStyle w:val="ECDSBody"/>
              <w:spacing w:after="0"/>
            </w:pPr>
            <w:r w:rsidRPr="005D4222">
              <w:rPr>
                <w:szCs w:val="21"/>
              </w:rPr>
              <w:t>When assigning outlier status, assign enrollees to the product/product line in which they are enrolled at the start of the continuous enrollment period of their earliest IHS. If there is a gap at the beginning of the continuous enrollment period, assign enrollees to the product/product line in which they were enrolled as of their first enrollment segment during the continuous enrollment period.</w:t>
            </w:r>
          </w:p>
        </w:tc>
      </w:tr>
      <w:tr w:rsidR="00B25234" w:rsidRPr="005D4222" w14:paraId="39566659" w14:textId="77777777" w:rsidTr="00CE5F02">
        <w:tc>
          <w:tcPr>
            <w:tcW w:w="2157" w:type="dxa"/>
            <w:tcBorders>
              <w:top w:val="nil"/>
              <w:bottom w:val="nil"/>
              <w:right w:val="single" w:sz="4" w:space="0" w:color="auto"/>
            </w:tcBorders>
            <w:tcMar>
              <w:top w:w="0" w:type="dxa"/>
              <w:left w:w="86" w:type="dxa"/>
              <w:bottom w:w="43" w:type="dxa"/>
              <w:right w:w="86" w:type="dxa"/>
            </w:tcMar>
          </w:tcPr>
          <w:p w14:paraId="7EA40025" w14:textId="77777777" w:rsidR="00B25234" w:rsidRPr="005D4222" w:rsidRDefault="00B25234" w:rsidP="00EF4F7E">
            <w:pPr>
              <w:pStyle w:val="ECDSMarginSubhead"/>
              <w:spacing w:after="0"/>
            </w:pPr>
            <w:r w:rsidRPr="005D4222">
              <w:t>Nonoutlier</w:t>
            </w:r>
          </w:p>
        </w:tc>
        <w:tc>
          <w:tcPr>
            <w:tcW w:w="7557" w:type="dxa"/>
            <w:tcBorders>
              <w:top w:val="nil"/>
              <w:left w:val="nil"/>
              <w:bottom w:val="nil"/>
            </w:tcBorders>
            <w:tcMar>
              <w:top w:w="0" w:type="dxa"/>
              <w:left w:w="86" w:type="dxa"/>
              <w:bottom w:w="43" w:type="dxa"/>
              <w:right w:w="86" w:type="dxa"/>
            </w:tcMar>
          </w:tcPr>
          <w:p w14:paraId="74A681FA" w14:textId="77777777" w:rsidR="00B25234" w:rsidRPr="005D4222" w:rsidRDefault="00B25234" w:rsidP="00EF4F7E">
            <w:pPr>
              <w:pStyle w:val="ECDSBody"/>
              <w:spacing w:after="0"/>
            </w:pPr>
            <w:r w:rsidRPr="005D4222">
              <w:t xml:space="preserve">Medicaid and Medicare enrollees in the eligible population with three or fewer IHS between January 1 and December 1 of the measurement period. </w:t>
            </w:r>
          </w:p>
          <w:p w14:paraId="32D53B73" w14:textId="77777777" w:rsidR="00B25234" w:rsidRPr="005D4222" w:rsidRDefault="00B25234" w:rsidP="00EF4F7E">
            <w:pPr>
              <w:pStyle w:val="ECDSBody"/>
              <w:spacing w:after="0"/>
            </w:pPr>
            <w:r w:rsidRPr="005D4222">
              <w:rPr>
                <w:szCs w:val="21"/>
              </w:rPr>
              <w:t>Commercial enrollees in the eligible population with two or fewer IHS between January 1 and December 1 of the measurement period.</w:t>
            </w:r>
          </w:p>
        </w:tc>
      </w:tr>
      <w:tr w:rsidR="00B25234" w:rsidRPr="005D4222" w14:paraId="243C891F" w14:textId="77777777" w:rsidTr="00CE5F02">
        <w:trPr>
          <w:trHeight w:val="4281"/>
        </w:trPr>
        <w:tc>
          <w:tcPr>
            <w:tcW w:w="2157" w:type="dxa"/>
            <w:tcBorders>
              <w:top w:val="nil"/>
              <w:right w:val="single" w:sz="4" w:space="0" w:color="auto"/>
            </w:tcBorders>
            <w:tcMar>
              <w:top w:w="0" w:type="dxa"/>
              <w:left w:w="86" w:type="dxa"/>
              <w:bottom w:w="43" w:type="dxa"/>
              <w:right w:w="86" w:type="dxa"/>
            </w:tcMar>
          </w:tcPr>
          <w:p w14:paraId="42A12751" w14:textId="77777777" w:rsidR="00B25234" w:rsidRPr="005D4222" w:rsidRDefault="00B25234" w:rsidP="00A53E8C">
            <w:pPr>
              <w:pStyle w:val="ECDSMarginSubhead"/>
            </w:pPr>
            <w:r w:rsidRPr="005D4222">
              <w:t>Skilled nursing care discharge</w:t>
            </w:r>
          </w:p>
        </w:tc>
        <w:tc>
          <w:tcPr>
            <w:tcW w:w="7557" w:type="dxa"/>
            <w:tcBorders>
              <w:top w:val="nil"/>
              <w:left w:val="nil"/>
            </w:tcBorders>
            <w:tcMar>
              <w:top w:w="0" w:type="dxa"/>
              <w:left w:w="86" w:type="dxa"/>
              <w:bottom w:w="43" w:type="dxa"/>
              <w:right w:w="86" w:type="dxa"/>
            </w:tcMar>
          </w:tcPr>
          <w:p w14:paraId="3B6E371A" w14:textId="77777777" w:rsidR="00B25234" w:rsidRPr="005D4222" w:rsidRDefault="00B25234" w:rsidP="00A53E8C">
            <w:pPr>
              <w:pStyle w:val="ECDSBody"/>
            </w:pPr>
            <w:r w:rsidRPr="005D4222">
              <w:rPr>
                <w:b/>
                <w:bCs w:val="0"/>
              </w:rPr>
              <w:t>Step 1</w:t>
            </w:r>
            <w:r w:rsidRPr="005D4222">
              <w:rPr>
                <w:b/>
              </w:rPr>
              <w:t>.</w:t>
            </w:r>
            <w:r w:rsidRPr="005D4222">
              <w:t xml:space="preserve"> For Medicare nonoutlier enrollees 65 years of age and older, determine if the IHS was discharged or transferred to skilled nursing care (</w:t>
            </w:r>
            <w:r w:rsidRPr="005D4222">
              <w:rPr>
                <w:u w:val="single"/>
              </w:rPr>
              <w:t>Skilled Nursing Stay Value Set</w:t>
            </w:r>
            <w:r w:rsidRPr="005D4222">
              <w:t xml:space="preserve">). </w:t>
            </w:r>
          </w:p>
          <w:p w14:paraId="0E44B0C6" w14:textId="77777777" w:rsidR="00B25234" w:rsidRPr="005D4222" w:rsidRDefault="00B25234" w:rsidP="00A53E8C">
            <w:pPr>
              <w:pStyle w:val="ECDSBody"/>
            </w:pPr>
            <w:r w:rsidRPr="005D4222">
              <w:t xml:space="preserve">An index stay is discharged or transferred to skilled nursing care when the discharge date from the acute inpatient or observation stay precedes the admission date for skilled nursing care by 1 calendar day or less. </w:t>
            </w:r>
          </w:p>
          <w:p w14:paraId="7C3E449D" w14:textId="77777777" w:rsidR="00B25234" w:rsidRPr="005D4222" w:rsidRDefault="00B25234" w:rsidP="00B25234">
            <w:pPr>
              <w:pStyle w:val="Bullet"/>
              <w:numPr>
                <w:ilvl w:val="0"/>
                <w:numId w:val="4"/>
              </w:numPr>
              <w:tabs>
                <w:tab w:val="left" w:pos="360"/>
                <w:tab w:val="left" w:pos="576"/>
              </w:tabs>
              <w:ind w:left="576" w:hanging="216"/>
              <w:rPr>
                <w:i/>
                <w:iCs/>
              </w:rPr>
            </w:pPr>
            <w:r w:rsidRPr="005D4222">
              <w:rPr>
                <w:i/>
                <w:iCs/>
              </w:rPr>
              <w:t>For example:</w:t>
            </w:r>
          </w:p>
          <w:p w14:paraId="7BDB2D13" w14:textId="77777777" w:rsidR="00B25234" w:rsidRPr="005D4222" w:rsidRDefault="00B25234" w:rsidP="00B25234">
            <w:pPr>
              <w:pStyle w:val="Dash"/>
              <w:tabs>
                <w:tab w:val="left" w:pos="576"/>
                <w:tab w:val="left" w:pos="792"/>
              </w:tabs>
            </w:pPr>
            <w:r w:rsidRPr="005D4222">
              <w:t xml:space="preserve">An index stay discharge on June 1, followed by an admission to a skilled nursing setting on June 1 or June 2, </w:t>
            </w:r>
            <w:r w:rsidRPr="005D4222">
              <w:rPr>
                <w:i/>
                <w:iCs/>
              </w:rPr>
              <w:t xml:space="preserve">is an IHS </w:t>
            </w:r>
            <w:r w:rsidRPr="005D4222">
              <w:t xml:space="preserve">discharged or transferred to skilled nursing care. </w:t>
            </w:r>
          </w:p>
          <w:p w14:paraId="225D1D6D" w14:textId="77777777" w:rsidR="00B25234" w:rsidRPr="005D4222" w:rsidRDefault="00B25234" w:rsidP="00B25234">
            <w:pPr>
              <w:pStyle w:val="Dash"/>
              <w:tabs>
                <w:tab w:val="left" w:pos="576"/>
                <w:tab w:val="left" w:pos="792"/>
              </w:tabs>
            </w:pPr>
            <w:r w:rsidRPr="005D4222">
              <w:t xml:space="preserve">An index stay discharge on June 1, followed by an admission to a skilled nursing setting on June 3, </w:t>
            </w:r>
            <w:r w:rsidRPr="005D4222">
              <w:rPr>
                <w:i/>
                <w:iCs/>
              </w:rPr>
              <w:t>is not an IHS</w:t>
            </w:r>
            <w:r w:rsidRPr="005D4222">
              <w:t xml:space="preserve"> discharged or transferred to skilled nursing care.</w:t>
            </w:r>
          </w:p>
          <w:p w14:paraId="693EAB3F" w14:textId="77777777" w:rsidR="00B25234" w:rsidRPr="005D4222" w:rsidRDefault="00B25234" w:rsidP="00A53E8C">
            <w:pPr>
              <w:pStyle w:val="ECDSBody"/>
            </w:pPr>
            <w:r w:rsidRPr="005D4222">
              <w:rPr>
                <w:b/>
                <w:bCs w:val="0"/>
              </w:rPr>
              <w:t>Step 2</w:t>
            </w:r>
            <w:r w:rsidRPr="005D4222">
              <w:rPr>
                <w:b/>
              </w:rPr>
              <w:t xml:space="preserve">. </w:t>
            </w:r>
            <w:r w:rsidRPr="005D4222">
              <w:t>Report Medicare discharges for each IHS discharged or transferred to skilled nursing care to an age group in Table PCR-C-3.</w:t>
            </w:r>
          </w:p>
        </w:tc>
      </w:tr>
      <w:tr w:rsidR="00B25234" w:rsidRPr="005D4222" w14:paraId="653EEEC8" w14:textId="77777777" w:rsidTr="00CE5F02">
        <w:tc>
          <w:tcPr>
            <w:tcW w:w="2157" w:type="dxa"/>
            <w:tcBorders>
              <w:top w:val="single" w:sz="4" w:space="0" w:color="auto"/>
              <w:left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4165400E" w14:textId="77777777" w:rsidR="00B25234" w:rsidRPr="005D4222" w:rsidRDefault="00B25234" w:rsidP="00A53E8C">
            <w:pPr>
              <w:pStyle w:val="ECDSMarginHead"/>
            </w:pPr>
            <w:r w:rsidRPr="005D4222">
              <w:t>Initial population</w:t>
            </w:r>
          </w:p>
        </w:tc>
        <w:tc>
          <w:tcPr>
            <w:tcW w:w="7557" w:type="dxa"/>
            <w:tcBorders>
              <w:top w:val="nil"/>
              <w:left w:val="single" w:sz="4" w:space="0" w:color="auto"/>
              <w:bottom w:val="single" w:sz="2" w:space="0" w:color="auto"/>
              <w:right w:val="single" w:sz="4" w:space="0" w:color="auto"/>
            </w:tcBorders>
            <w:tcMar>
              <w:top w:w="0" w:type="dxa"/>
              <w:left w:w="86" w:type="dxa"/>
              <w:bottom w:w="43" w:type="dxa"/>
              <w:right w:w="86" w:type="dxa"/>
            </w:tcMar>
          </w:tcPr>
          <w:p w14:paraId="64573219" w14:textId="77777777" w:rsidR="00B25234" w:rsidRPr="005D4222" w:rsidRDefault="00B25234" w:rsidP="00A53E8C">
            <w:pPr>
              <w:pStyle w:val="ECDSBody"/>
            </w:pPr>
            <w:r w:rsidRPr="005D4222">
              <w:rPr>
                <w:bCs w:val="0"/>
                <w:i/>
                <w:iCs/>
              </w:rPr>
              <w:t>Measure item count:</w:t>
            </w:r>
            <w:r w:rsidRPr="005D4222">
              <w:t xml:space="preserve"> Episode.</w:t>
            </w:r>
          </w:p>
          <w:p w14:paraId="0029E132" w14:textId="77777777" w:rsidR="00B25234" w:rsidRPr="005D4222" w:rsidRDefault="00B25234" w:rsidP="00A53E8C">
            <w:pPr>
              <w:pStyle w:val="ECDSBody"/>
            </w:pPr>
            <w:r w:rsidRPr="005D4222">
              <w:rPr>
                <w:bCs w:val="0"/>
                <w:i/>
                <w:iCs/>
              </w:rPr>
              <w:t>Attribution basis:</w:t>
            </w:r>
            <w:r w:rsidRPr="005D4222">
              <w:t xml:space="preserve"> Enrollment.</w:t>
            </w:r>
          </w:p>
          <w:p w14:paraId="61B0F528" w14:textId="77777777" w:rsidR="00B25234" w:rsidRPr="005D4222" w:rsidRDefault="00B25234" w:rsidP="00B25234">
            <w:pPr>
              <w:pStyle w:val="Bullet"/>
              <w:numPr>
                <w:ilvl w:val="0"/>
                <w:numId w:val="4"/>
              </w:numPr>
              <w:tabs>
                <w:tab w:val="left" w:pos="360"/>
                <w:tab w:val="left" w:pos="576"/>
              </w:tabs>
              <w:ind w:left="576" w:hanging="216"/>
            </w:pPr>
            <w:r w:rsidRPr="005D4222">
              <w:rPr>
                <w:bCs/>
                <w:i/>
                <w:iCs/>
              </w:rPr>
              <w:t>Benefits:</w:t>
            </w:r>
            <w:r w:rsidRPr="005D4222">
              <w:t xml:space="preserve"> Medical.</w:t>
            </w:r>
          </w:p>
          <w:p w14:paraId="5CB9F000" w14:textId="498B2968" w:rsidR="00B25234" w:rsidRPr="005D4222" w:rsidRDefault="00B25234" w:rsidP="00B25234">
            <w:pPr>
              <w:pStyle w:val="Bullet"/>
              <w:numPr>
                <w:ilvl w:val="0"/>
                <w:numId w:val="4"/>
              </w:numPr>
              <w:tabs>
                <w:tab w:val="left" w:pos="360"/>
                <w:tab w:val="left" w:pos="576"/>
              </w:tabs>
              <w:ind w:left="576" w:hanging="216"/>
            </w:pPr>
            <w:r w:rsidRPr="005D4222">
              <w:rPr>
                <w:i/>
                <w:iCs/>
              </w:rPr>
              <w:t xml:space="preserve">Continuous enrollment: </w:t>
            </w:r>
            <w:r w:rsidRPr="005D4222">
              <w:t xml:space="preserve">365 days prior to the </w:t>
            </w:r>
            <w:r w:rsidR="00672134">
              <w:t>index discharge date</w:t>
            </w:r>
            <w:r w:rsidRPr="005D4222">
              <w:t xml:space="preserve"> through 30 days after the index discharge date. </w:t>
            </w:r>
          </w:p>
          <w:p w14:paraId="64390A83" w14:textId="77777777" w:rsidR="00B25234" w:rsidRPr="005D4222" w:rsidRDefault="00B25234" w:rsidP="00B25234">
            <w:pPr>
              <w:pStyle w:val="Bullet"/>
              <w:numPr>
                <w:ilvl w:val="0"/>
                <w:numId w:val="4"/>
              </w:numPr>
              <w:tabs>
                <w:tab w:val="left" w:pos="360"/>
                <w:tab w:val="left" w:pos="576"/>
              </w:tabs>
              <w:ind w:left="576" w:hanging="216"/>
              <w:rPr>
                <w:bCs/>
                <w:i/>
                <w:iCs/>
              </w:rPr>
            </w:pPr>
            <w:r w:rsidRPr="005D4222">
              <w:rPr>
                <w:bCs/>
                <w:i/>
                <w:iCs/>
              </w:rPr>
              <w:t>Allowable gap:</w:t>
            </w:r>
          </w:p>
          <w:p w14:paraId="7B552D9C" w14:textId="77777777" w:rsidR="00B25234" w:rsidRPr="005D4222" w:rsidRDefault="00B25234" w:rsidP="00B25234">
            <w:pPr>
              <w:pStyle w:val="Dash"/>
              <w:tabs>
                <w:tab w:val="left" w:pos="576"/>
                <w:tab w:val="left" w:pos="792"/>
              </w:tabs>
            </w:pPr>
            <w:r w:rsidRPr="005D4222">
              <w:rPr>
                <w:i/>
              </w:rPr>
              <w:t>365 days to 1 day prior to the index discharge date:</w:t>
            </w:r>
            <w:r w:rsidRPr="005D4222">
              <w:t xml:space="preserve"> No more than one gap </w:t>
            </w:r>
            <w:r w:rsidRPr="005D4222">
              <w:rPr>
                <w:iCs/>
              </w:rPr>
              <w:t>of ≤</w:t>
            </w:r>
            <w:r w:rsidRPr="005D4222">
              <w:t xml:space="preserve">45 days. </w:t>
            </w:r>
          </w:p>
          <w:p w14:paraId="0DC3BAB4" w14:textId="006AD83D" w:rsidR="00B25234" w:rsidRPr="005D4222" w:rsidRDefault="00B25234" w:rsidP="00B25234">
            <w:pPr>
              <w:pStyle w:val="Dash"/>
              <w:tabs>
                <w:tab w:val="left" w:pos="576"/>
                <w:tab w:val="left" w:pos="792"/>
              </w:tabs>
            </w:pPr>
            <w:r w:rsidRPr="005D4222">
              <w:rPr>
                <w:i/>
              </w:rPr>
              <w:t xml:space="preserve">Index </w:t>
            </w:r>
            <w:r w:rsidR="00672134">
              <w:rPr>
                <w:i/>
              </w:rPr>
              <w:t>d</w:t>
            </w:r>
            <w:r w:rsidRPr="005D4222">
              <w:rPr>
                <w:i/>
              </w:rPr>
              <w:t xml:space="preserve">ischarge </w:t>
            </w:r>
            <w:r w:rsidR="00672134">
              <w:rPr>
                <w:i/>
              </w:rPr>
              <w:t>d</w:t>
            </w:r>
            <w:r w:rsidRPr="005D4222">
              <w:rPr>
                <w:i/>
              </w:rPr>
              <w:t>ate and 30 days following the index discharge</w:t>
            </w:r>
            <w:r w:rsidRPr="005D4222">
              <w:rPr>
                <w:i/>
                <w:iCs/>
              </w:rPr>
              <w:t xml:space="preserve"> date:</w:t>
            </w:r>
            <w:r w:rsidRPr="005D4222">
              <w:t xml:space="preserve"> None.</w:t>
            </w:r>
          </w:p>
          <w:p w14:paraId="28DE36C7" w14:textId="77777777" w:rsidR="00B25234" w:rsidRPr="005D4222" w:rsidRDefault="00B25234" w:rsidP="00A53E8C">
            <w:pPr>
              <w:pStyle w:val="ECDSBody"/>
              <w:rPr>
                <w:i/>
                <w:iCs/>
              </w:rPr>
            </w:pPr>
            <w:r w:rsidRPr="005D4222">
              <w:rPr>
                <w:i/>
                <w:iCs/>
              </w:rPr>
              <w:t>Ages:</w:t>
            </w:r>
          </w:p>
          <w:p w14:paraId="6FE82A49" w14:textId="77777777" w:rsidR="00B25234" w:rsidRPr="005D4222" w:rsidRDefault="00B25234" w:rsidP="00B25234">
            <w:pPr>
              <w:pStyle w:val="Bullet"/>
              <w:numPr>
                <w:ilvl w:val="0"/>
                <w:numId w:val="4"/>
              </w:numPr>
              <w:tabs>
                <w:tab w:val="left" w:pos="360"/>
                <w:tab w:val="left" w:pos="576"/>
              </w:tabs>
              <w:ind w:left="576" w:hanging="216"/>
            </w:pPr>
            <w:r w:rsidRPr="005D4222">
              <w:rPr>
                <w:i/>
              </w:rPr>
              <w:t>Commercial and Medicaid:</w:t>
            </w:r>
            <w:r w:rsidRPr="005D4222">
              <w:t xml:space="preserve"> 18–64 years as of the index discharge date.</w:t>
            </w:r>
          </w:p>
          <w:p w14:paraId="38AB22FD" w14:textId="77777777" w:rsidR="00B25234" w:rsidRPr="005D4222" w:rsidRDefault="00B25234" w:rsidP="00B25234">
            <w:pPr>
              <w:pStyle w:val="Bullet"/>
              <w:numPr>
                <w:ilvl w:val="0"/>
                <w:numId w:val="4"/>
              </w:numPr>
              <w:tabs>
                <w:tab w:val="left" w:pos="360"/>
                <w:tab w:val="left" w:pos="576"/>
              </w:tabs>
              <w:ind w:left="576" w:hanging="216"/>
            </w:pPr>
            <w:r w:rsidRPr="005D4222">
              <w:rPr>
                <w:i/>
              </w:rPr>
              <w:t>Medicare:</w:t>
            </w:r>
            <w:r w:rsidRPr="005D4222">
              <w:t xml:space="preserve"> 18 years and older as of the index discharge date.</w:t>
            </w:r>
          </w:p>
          <w:p w14:paraId="186A101D" w14:textId="77777777" w:rsidR="00B25234" w:rsidRPr="005D4222" w:rsidRDefault="00B25234" w:rsidP="00A53E8C">
            <w:pPr>
              <w:pStyle w:val="ECDSBody"/>
              <w:rPr>
                <w:i/>
                <w:iCs/>
              </w:rPr>
            </w:pPr>
            <w:r w:rsidRPr="005D4222">
              <w:rPr>
                <w:i/>
                <w:iCs/>
              </w:rPr>
              <w:t xml:space="preserve">Gender/Sex criteria: </w:t>
            </w:r>
          </w:p>
          <w:p w14:paraId="37F8F7F6" w14:textId="77777777" w:rsidR="00B25234" w:rsidRPr="005D4222" w:rsidRDefault="00B25234" w:rsidP="00B25234">
            <w:pPr>
              <w:pStyle w:val="Bullet"/>
              <w:numPr>
                <w:ilvl w:val="0"/>
                <w:numId w:val="4"/>
              </w:numPr>
              <w:tabs>
                <w:tab w:val="left" w:pos="360"/>
                <w:tab w:val="left" w:pos="576"/>
              </w:tabs>
              <w:ind w:left="576" w:hanging="216"/>
            </w:pPr>
            <w:r w:rsidRPr="005D4222" w:rsidDel="008E2FA6">
              <w:t xml:space="preserve">Administrative </w:t>
            </w:r>
            <w:r w:rsidRPr="005D4222">
              <w:rPr>
                <w:iCs/>
              </w:rPr>
              <w:t>Gender of</w:t>
            </w:r>
            <w:r w:rsidRPr="005D4222" w:rsidDel="008E2FA6">
              <w:t xml:space="preserve"> </w:t>
            </w:r>
            <w:r w:rsidRPr="005D4222">
              <w:t>Female (AdministrativeGender code female).</w:t>
            </w:r>
          </w:p>
          <w:p w14:paraId="2295BB4B" w14:textId="227FB20C" w:rsidR="00B25234" w:rsidRPr="005D4222" w:rsidRDefault="00B25234" w:rsidP="00EF4F7E">
            <w:pPr>
              <w:pStyle w:val="Bullet"/>
              <w:numPr>
                <w:ilvl w:val="0"/>
                <w:numId w:val="4"/>
              </w:numPr>
              <w:tabs>
                <w:tab w:val="left" w:pos="360"/>
                <w:tab w:val="left" w:pos="576"/>
              </w:tabs>
              <w:spacing w:after="80"/>
              <w:ind w:left="576" w:hanging="216"/>
            </w:pPr>
            <w:r w:rsidRPr="005D4222" w:rsidDel="008E2FA6">
              <w:t xml:space="preserve">Administrative </w:t>
            </w:r>
            <w:r w:rsidRPr="005D4222">
              <w:rPr>
                <w:iCs/>
              </w:rPr>
              <w:t>Gender of</w:t>
            </w:r>
            <w:r w:rsidRPr="005D4222" w:rsidDel="008E2FA6">
              <w:t xml:space="preserve"> </w:t>
            </w:r>
            <w:r w:rsidRPr="005D4222">
              <w:t>Male (AdministrativeGender code male).</w:t>
            </w:r>
          </w:p>
        </w:tc>
      </w:tr>
    </w:tbl>
    <w:p w14:paraId="17DE4842" w14:textId="77777777" w:rsidR="00EF4F7E" w:rsidRPr="005D4222" w:rsidRDefault="00EF4F7E"/>
    <w:tbl>
      <w:tblPr>
        <w:tblW w:w="9714" w:type="dxa"/>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EF4F7E" w:rsidRPr="005D4222" w14:paraId="7E6CDDC9" w14:textId="77777777" w:rsidTr="004F1073">
        <w:tc>
          <w:tcPr>
            <w:tcW w:w="2157" w:type="dxa"/>
            <w:tcBorders>
              <w:top w:val="single" w:sz="4" w:space="0" w:color="auto"/>
              <w:left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1A92973F" w14:textId="77777777" w:rsidR="00EF4F7E" w:rsidRPr="005D4222" w:rsidRDefault="00EF4F7E" w:rsidP="00A53E8C">
            <w:pPr>
              <w:pStyle w:val="ECDSMarginHead"/>
            </w:pPr>
          </w:p>
        </w:tc>
        <w:tc>
          <w:tcPr>
            <w:tcW w:w="7557" w:type="dxa"/>
            <w:tcBorders>
              <w:top w:val="single" w:sz="4" w:space="0" w:color="auto"/>
              <w:left w:val="single" w:sz="4" w:space="0" w:color="auto"/>
              <w:bottom w:val="single" w:sz="2" w:space="0" w:color="auto"/>
              <w:right w:val="single" w:sz="4" w:space="0" w:color="auto"/>
            </w:tcBorders>
            <w:tcMar>
              <w:top w:w="0" w:type="dxa"/>
              <w:left w:w="86" w:type="dxa"/>
              <w:bottom w:w="43" w:type="dxa"/>
              <w:right w:w="86" w:type="dxa"/>
            </w:tcMar>
          </w:tcPr>
          <w:p w14:paraId="31E92D0E" w14:textId="77777777" w:rsidR="00EB1EC4" w:rsidRPr="005D4222" w:rsidRDefault="00EF4F7E" w:rsidP="00EB1EC4">
            <w:pPr>
              <w:pStyle w:val="ECDSBody"/>
              <w:rPr>
                <w:rFonts w:eastAsia="Arial,Arial,Arial,Arial,Arial,A"/>
                <w:b/>
              </w:rPr>
            </w:pPr>
            <w:r w:rsidRPr="005D4222">
              <w:rPr>
                <w:i/>
                <w:iCs/>
              </w:rPr>
              <w:t xml:space="preserve">Exclusion: </w:t>
            </w:r>
            <w:r w:rsidRPr="005D4222" w:rsidDel="002D4AA7">
              <w:rPr>
                <w:rFonts w:eastAsia="Arial,Arial,Arial,Arial,Arial,A"/>
                <w:b/>
              </w:rPr>
              <w:t xml:space="preserve">Persons </w:t>
            </w:r>
            <w:r w:rsidRPr="005D4222">
              <w:rPr>
                <w:rFonts w:eastAsia="Arial,Arial,Arial,Arial,Arial,A"/>
                <w:b/>
              </w:rPr>
              <w:t>in hospice or using hospice services.</w:t>
            </w:r>
          </w:p>
          <w:p w14:paraId="04C115C5" w14:textId="5A816AC0" w:rsidR="00EF4F7E" w:rsidRPr="005D4222" w:rsidRDefault="00EF4F7E" w:rsidP="00EB1EC4">
            <w:pPr>
              <w:pStyle w:val="ECDSBody"/>
              <w:rPr>
                <w:bCs w:val="0"/>
                <w:i/>
                <w:iCs/>
              </w:rPr>
            </w:pP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B25234" w:rsidRPr="005D4222" w14:paraId="13DFB030" w14:textId="77777777" w:rsidTr="00EF4F7E">
        <w:trPr>
          <w:trHeight w:val="9791"/>
        </w:trPr>
        <w:tc>
          <w:tcPr>
            <w:tcW w:w="2157" w:type="dxa"/>
            <w:tcBorders>
              <w:top w:val="single" w:sz="4" w:space="0" w:color="auto"/>
              <w:left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5CADEE26" w14:textId="77777777" w:rsidR="00B25234" w:rsidRPr="005D4222" w:rsidRDefault="00B25234" w:rsidP="00A53E8C">
            <w:pPr>
              <w:pStyle w:val="ECDSMarginHead"/>
            </w:pPr>
            <w:r w:rsidRPr="005D4222">
              <w:t>Denominator</w:t>
            </w:r>
          </w:p>
        </w:tc>
        <w:tc>
          <w:tcPr>
            <w:tcW w:w="7557" w:type="dxa"/>
            <w:tcBorders>
              <w:top w:val="single" w:sz="2" w:space="0" w:color="auto"/>
              <w:left w:val="single" w:sz="4" w:space="0" w:color="auto"/>
              <w:right w:val="single" w:sz="4" w:space="0" w:color="auto"/>
            </w:tcBorders>
            <w:tcMar>
              <w:top w:w="0" w:type="dxa"/>
              <w:left w:w="86" w:type="dxa"/>
              <w:bottom w:w="43" w:type="dxa"/>
              <w:right w:w="86" w:type="dxa"/>
            </w:tcMar>
          </w:tcPr>
          <w:p w14:paraId="17961AF9" w14:textId="77777777" w:rsidR="00B25234" w:rsidRPr="005D4222" w:rsidRDefault="00B25234" w:rsidP="00A53E8C">
            <w:pPr>
              <w:pStyle w:val="ECDSBody"/>
              <w:rPr>
                <w:b/>
              </w:rPr>
            </w:pPr>
            <w:r w:rsidRPr="005D4222">
              <w:rPr>
                <w:b/>
                <w:bCs w:val="0"/>
              </w:rPr>
              <w:t>Acute inpatient or observation stay discharges.</w:t>
            </w:r>
            <w:r w:rsidRPr="005D4222">
              <w:rPr>
                <w:b/>
              </w:rPr>
              <w:t xml:space="preserve"> </w:t>
            </w:r>
          </w:p>
          <w:p w14:paraId="74957CE6" w14:textId="77777777" w:rsidR="00B25234" w:rsidRPr="005D4222" w:rsidRDefault="00B25234" w:rsidP="00A53E8C">
            <w:pPr>
              <w:pStyle w:val="ECDSBody"/>
            </w:pPr>
            <w:r w:rsidRPr="005D4222">
              <w:rPr>
                <w:b/>
                <w:bCs w:val="0"/>
                <w:szCs w:val="21"/>
              </w:rPr>
              <w:t>Step 1.</w:t>
            </w:r>
            <w:r w:rsidRPr="005D4222">
              <w:rPr>
                <w:szCs w:val="21"/>
              </w:rPr>
              <w:t xml:space="preserve"> I</w:t>
            </w:r>
            <w:r w:rsidRPr="005D4222">
              <w:t>dentify all acute inpatient and observation stay discharges on or between January 1 and December 1 of the measurement period. To identify acute inpatient and observation stay discharges:</w:t>
            </w:r>
          </w:p>
          <w:p w14:paraId="25E57778" w14:textId="77777777" w:rsidR="00B25234" w:rsidRPr="005D4222" w:rsidRDefault="00B25234" w:rsidP="005D6173">
            <w:pPr>
              <w:numPr>
                <w:ilvl w:val="0"/>
                <w:numId w:val="110"/>
              </w:numPr>
              <w:tabs>
                <w:tab w:val="clear" w:pos="576"/>
                <w:tab w:val="num" w:pos="216"/>
              </w:tabs>
              <w:spacing w:before="80"/>
              <w:ind w:left="648" w:hanging="288"/>
            </w:pPr>
            <w:r w:rsidRPr="005D4222">
              <w:t>Identify all acute and nonacute inpatient stays (</w:t>
            </w:r>
            <w:r w:rsidRPr="005D4222">
              <w:rPr>
                <w:u w:val="single"/>
              </w:rPr>
              <w:t>Inpatient Stay Value Set</w:t>
            </w:r>
            <w:r w:rsidRPr="005D4222">
              <w:t>) and observation stays (</w:t>
            </w:r>
            <w:r w:rsidRPr="005D4222">
              <w:rPr>
                <w:u w:val="single"/>
              </w:rPr>
              <w:t>Observation Stay Value Set</w:t>
            </w:r>
            <w:r w:rsidRPr="005D4222">
              <w:t>).</w:t>
            </w:r>
          </w:p>
          <w:p w14:paraId="6F25106E" w14:textId="77777777" w:rsidR="00B25234" w:rsidRPr="005D4222" w:rsidRDefault="00B25234" w:rsidP="005D6173">
            <w:pPr>
              <w:numPr>
                <w:ilvl w:val="0"/>
                <w:numId w:val="110"/>
              </w:numPr>
              <w:tabs>
                <w:tab w:val="clear" w:pos="576"/>
                <w:tab w:val="num" w:pos="216"/>
              </w:tabs>
              <w:spacing w:before="80" w:after="80"/>
              <w:ind w:left="648" w:hanging="288"/>
              <w:rPr>
                <w:bCs/>
                <w:sz w:val="20"/>
              </w:rPr>
            </w:pPr>
            <w:r w:rsidRPr="005D4222">
              <w:t>Exclude nonacute inpatient stays (</w:t>
            </w:r>
            <w:r w:rsidRPr="005D4222">
              <w:rPr>
                <w:u w:val="single"/>
              </w:rPr>
              <w:t>Nonacute Inpatient Stay Value Set</w:t>
            </w:r>
            <w:r w:rsidRPr="005D4222">
              <w:t>).</w:t>
            </w:r>
          </w:p>
          <w:p w14:paraId="7BF443FE" w14:textId="77777777" w:rsidR="00B25234" w:rsidRPr="005D4222" w:rsidRDefault="00B25234" w:rsidP="005D6173">
            <w:pPr>
              <w:numPr>
                <w:ilvl w:val="0"/>
                <w:numId w:val="110"/>
              </w:numPr>
              <w:tabs>
                <w:tab w:val="clear" w:pos="576"/>
                <w:tab w:val="num" w:pos="216"/>
              </w:tabs>
              <w:spacing w:before="80" w:after="80"/>
              <w:ind w:left="648" w:hanging="288"/>
            </w:pPr>
            <w:r w:rsidRPr="005D4222">
              <w:t>Identify the discharge date for the stay.</w:t>
            </w:r>
          </w:p>
          <w:p w14:paraId="64E1672D" w14:textId="77777777" w:rsidR="00B25234" w:rsidRPr="005D4222" w:rsidRDefault="00B25234" w:rsidP="00A53E8C">
            <w:pPr>
              <w:pStyle w:val="ECDSBody"/>
            </w:pPr>
            <w:r w:rsidRPr="005D4222">
              <w:t xml:space="preserve">Inpatient and observation stays where the discharge date from the first setting and the admission date to the second setting are 2 or more calendar days apart must be considered distinct stays. </w:t>
            </w:r>
          </w:p>
          <w:p w14:paraId="36400596" w14:textId="77777777" w:rsidR="00B25234" w:rsidRPr="005D4222" w:rsidRDefault="00B25234" w:rsidP="00A53E8C">
            <w:pPr>
              <w:pStyle w:val="ECDSBody"/>
              <w:rPr>
                <w:bCs w:val="0"/>
                <w:color w:val="000000" w:themeColor="text1"/>
                <w:szCs w:val="21"/>
                <w:lang w:eastAsia="zh-CN"/>
              </w:rPr>
            </w:pPr>
            <w:r w:rsidRPr="005D4222">
              <w:rPr>
                <w:b/>
                <w:bCs w:val="0"/>
              </w:rPr>
              <w:t xml:space="preserve">Step 2. </w:t>
            </w:r>
            <w:r w:rsidRPr="005D4222">
              <w:rPr>
                <w:bCs w:val="0"/>
                <w:color w:val="000000" w:themeColor="text1"/>
                <w:szCs w:val="21"/>
                <w:lang w:eastAsia="zh-CN"/>
              </w:rPr>
              <w:t>For discharges with one or more direct transfers, use the last discharge.  </w:t>
            </w:r>
          </w:p>
          <w:p w14:paraId="512315F8" w14:textId="77777777" w:rsidR="00B25234" w:rsidRPr="005D4222" w:rsidRDefault="00B25234" w:rsidP="00A53E8C">
            <w:pPr>
              <w:pStyle w:val="ECDSBody"/>
              <w:rPr>
                <w:bCs w:val="0"/>
                <w:color w:val="000000" w:themeColor="text1"/>
                <w:szCs w:val="21"/>
                <w:lang w:eastAsia="zh-CN"/>
              </w:rPr>
            </w:pPr>
            <w:r w:rsidRPr="005D4222">
              <w:rPr>
                <w:color w:val="000000" w:themeColor="text1"/>
                <w:szCs w:val="21"/>
                <w:lang w:eastAsia="zh-CN"/>
              </w:rPr>
              <w:t xml:space="preserve">Using the discharges identified in step 1, identify direct transfers between acute inpatient and observation using the definition of “direct transfer.” </w:t>
            </w:r>
            <w:r w:rsidRPr="005D4222">
              <w:t>Exclude the hospital stay if the direct transfer’s discharge date occurs after December 1 of the measurement period.</w:t>
            </w:r>
          </w:p>
          <w:p w14:paraId="4A0EBA10" w14:textId="77777777" w:rsidR="00B25234" w:rsidRPr="005D4222" w:rsidRDefault="00B25234" w:rsidP="00A53E8C">
            <w:pPr>
              <w:pStyle w:val="ECDSBody"/>
            </w:pPr>
            <w:r w:rsidRPr="005D4222">
              <w:rPr>
                <w:b/>
                <w:bCs w:val="0"/>
              </w:rPr>
              <w:t xml:space="preserve">Step 3. </w:t>
            </w:r>
            <w:r w:rsidRPr="005D4222">
              <w:t>Exclude hospital stays where the index admission date is the same as the index discharge date.</w:t>
            </w:r>
          </w:p>
          <w:p w14:paraId="3204D207" w14:textId="77777777" w:rsidR="00B25234" w:rsidRPr="005D4222" w:rsidRDefault="00B25234" w:rsidP="00A53E8C">
            <w:pPr>
              <w:pStyle w:val="ECDSBody"/>
            </w:pPr>
            <w:r w:rsidRPr="005D4222">
              <w:rPr>
                <w:b/>
              </w:rPr>
              <w:t xml:space="preserve">Step 4. </w:t>
            </w:r>
            <w:r w:rsidRPr="005D4222">
              <w:t>Exclude hospital stays for any of the following reasons:</w:t>
            </w:r>
          </w:p>
          <w:p w14:paraId="7DFA24B1" w14:textId="77777777" w:rsidR="00B25234" w:rsidRPr="005D4222" w:rsidRDefault="00B25234" w:rsidP="00B25234">
            <w:pPr>
              <w:pStyle w:val="Bullet"/>
              <w:numPr>
                <w:ilvl w:val="0"/>
                <w:numId w:val="4"/>
              </w:numPr>
              <w:tabs>
                <w:tab w:val="left" w:pos="360"/>
                <w:tab w:val="left" w:pos="576"/>
              </w:tabs>
              <w:ind w:left="576" w:hanging="216"/>
            </w:pPr>
            <w:r w:rsidRPr="005D4222">
              <w:t>The person died during the stay.</w:t>
            </w:r>
          </w:p>
          <w:p w14:paraId="005E8574" w14:textId="77777777" w:rsidR="00B25234" w:rsidRPr="005D4222" w:rsidRDefault="00B25234" w:rsidP="00B25234">
            <w:pPr>
              <w:pStyle w:val="Bullet"/>
              <w:numPr>
                <w:ilvl w:val="0"/>
                <w:numId w:val="4"/>
              </w:numPr>
              <w:tabs>
                <w:tab w:val="left" w:pos="360"/>
                <w:tab w:val="left" w:pos="576"/>
              </w:tabs>
              <w:ind w:left="576" w:hanging="216"/>
            </w:pPr>
            <w:r w:rsidRPr="005D4222">
              <w:t>A principal diagnosis of pregnancy (</w:t>
            </w:r>
            <w:r w:rsidRPr="005D4222">
              <w:rPr>
                <w:u w:val="single"/>
              </w:rPr>
              <w:t>Pregnancy Value Set</w:t>
            </w:r>
            <w:r w:rsidRPr="005D4222">
              <w:t>) or a condition originating in the perinatal period (</w:t>
            </w:r>
            <w:r w:rsidRPr="005D4222">
              <w:rPr>
                <w:u w:val="single"/>
              </w:rPr>
              <w:t>Perinatal Conditions Value Set</w:t>
            </w:r>
            <w:r w:rsidRPr="005D4222">
              <w:t xml:space="preserve">) on the discharge claim. </w:t>
            </w:r>
          </w:p>
          <w:p w14:paraId="45325D07" w14:textId="77777777" w:rsidR="00B25234" w:rsidRPr="005D4222" w:rsidRDefault="00B25234" w:rsidP="00A53E8C">
            <w:pPr>
              <w:pStyle w:val="Note"/>
            </w:pPr>
            <w:r w:rsidRPr="005D4222">
              <w:rPr>
                <w:b/>
              </w:rPr>
              <w:t xml:space="preserve">Note: </w:t>
            </w:r>
            <w:r w:rsidRPr="005D4222">
              <w:t>For hospital stays where there was a direct transfer (identified in step 2), use the original stay and any direct transfer stays to identify exclusions in this step.</w:t>
            </w:r>
          </w:p>
          <w:p w14:paraId="38279DA0" w14:textId="77777777" w:rsidR="00B25234" w:rsidRPr="005D4222" w:rsidRDefault="00B25234" w:rsidP="00A53E8C">
            <w:pPr>
              <w:pStyle w:val="ECDSBody"/>
            </w:pPr>
            <w:r w:rsidRPr="005D4222">
              <w:rPr>
                <w:b/>
                <w:bCs w:val="0"/>
                <w:szCs w:val="21"/>
              </w:rPr>
              <w:t>Step 5.</w:t>
            </w:r>
            <w:r w:rsidRPr="005D4222">
              <w:rPr>
                <w:b/>
                <w:bCs w:val="0"/>
                <w:sz w:val="20"/>
              </w:rPr>
              <w:t xml:space="preserve"> </w:t>
            </w:r>
            <w:r w:rsidRPr="005D4222">
              <w:t>Calculate continuous enrollment.</w:t>
            </w:r>
          </w:p>
          <w:p w14:paraId="62D6E14F" w14:textId="77777777" w:rsidR="00B25234" w:rsidRPr="005D4222" w:rsidRDefault="00B25234" w:rsidP="00A53E8C">
            <w:pPr>
              <w:pStyle w:val="ECDSBody"/>
            </w:pPr>
            <w:r w:rsidRPr="005D4222">
              <w:rPr>
                <w:b/>
                <w:bCs w:val="0"/>
              </w:rPr>
              <w:t xml:space="preserve">Step 6. </w:t>
            </w:r>
            <w:r w:rsidRPr="005D4222">
              <w:t xml:space="preserve">Remove hospital stays for outliers and report these persons as outliers in Tables PCR-A-1/2 and PCR-A-3. </w:t>
            </w:r>
          </w:p>
          <w:p w14:paraId="688E79E6" w14:textId="77777777" w:rsidR="00B25234" w:rsidRPr="005D4222" w:rsidRDefault="00B25234" w:rsidP="00A53E8C">
            <w:pPr>
              <w:pStyle w:val="Note"/>
              <w:rPr>
                <w:i w:val="0"/>
                <w:iCs/>
              </w:rPr>
            </w:pPr>
            <w:r w:rsidRPr="005D4222">
              <w:rPr>
                <w:b/>
              </w:rPr>
              <w:t>Note:</w:t>
            </w:r>
            <w:r w:rsidRPr="005D4222">
              <w:rPr>
                <w:i w:val="0"/>
                <w:iCs/>
              </w:rPr>
              <w:t xml:space="preserve"> </w:t>
            </w:r>
            <w:r w:rsidRPr="005D4222">
              <w:t>Count discharges with one or more direct transfers (identified in step 2) as one discharge when identifying outliers.</w:t>
            </w:r>
          </w:p>
          <w:p w14:paraId="3CE76377" w14:textId="77777777" w:rsidR="00B25234" w:rsidRPr="005D4222" w:rsidRDefault="00B25234" w:rsidP="00A53E8C">
            <w:pPr>
              <w:pStyle w:val="ECDSBody"/>
              <w:rPr>
                <w:sz w:val="20"/>
              </w:rPr>
            </w:pPr>
            <w:r w:rsidRPr="005D4222">
              <w:rPr>
                <w:b/>
                <w:bCs w:val="0"/>
              </w:rPr>
              <w:t>Step 7.</w:t>
            </w:r>
            <w:r w:rsidRPr="005D4222">
              <w:t xml:space="preserve"> Assign each remaining acute inpatient or observation stay to an age and stratification category using the reporting instructions below.</w:t>
            </w:r>
          </w:p>
        </w:tc>
      </w:tr>
    </w:tbl>
    <w:p w14:paraId="776EB046" w14:textId="77777777" w:rsidR="00792FA1" w:rsidRPr="005D4222" w:rsidRDefault="00792FA1">
      <w:r w:rsidRPr="005D4222">
        <w:br w:type="page"/>
      </w:r>
    </w:p>
    <w:tbl>
      <w:tblPr>
        <w:tblW w:w="9714" w:type="dxa"/>
        <w:tblBorders>
          <w:top w:val="single" w:sz="4" w:space="0" w:color="auto"/>
          <w:left w:val="single" w:sz="2" w:space="0" w:color="auto"/>
          <w:bottom w:val="single" w:sz="4" w:space="0" w:color="auto"/>
          <w:right w:val="single" w:sz="2" w:space="0" w:color="auto"/>
          <w:insideH w:val="single" w:sz="4" w:space="0" w:color="auto"/>
          <w:insideV w:val="single" w:sz="4"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B25234" w:rsidRPr="005D4222" w14:paraId="2587C0C2" w14:textId="77777777" w:rsidTr="00792FA1">
        <w:tc>
          <w:tcPr>
            <w:tcW w:w="2157" w:type="dxa"/>
            <w:tcBorders>
              <w:top w:val="single" w:sz="4" w:space="0" w:color="auto"/>
              <w:bottom w:val="single" w:sz="4" w:space="0" w:color="auto"/>
            </w:tcBorders>
            <w:shd w:val="clear" w:color="auto" w:fill="BFBFBF" w:themeFill="background1" w:themeFillShade="BF"/>
            <w:tcMar>
              <w:top w:w="0" w:type="dxa"/>
              <w:left w:w="86" w:type="dxa"/>
              <w:bottom w:w="43" w:type="dxa"/>
              <w:right w:w="86" w:type="dxa"/>
            </w:tcMar>
          </w:tcPr>
          <w:p w14:paraId="0776E0C1" w14:textId="77777777" w:rsidR="00B25234" w:rsidRPr="005D4222" w:rsidRDefault="00B25234" w:rsidP="00A53E8C">
            <w:pPr>
              <w:pStyle w:val="ECDSMarginHead"/>
            </w:pPr>
            <w:r w:rsidRPr="005D4222">
              <w:lastRenderedPageBreak/>
              <w:t>Risk adjustment factors</w:t>
            </w:r>
          </w:p>
        </w:tc>
        <w:tc>
          <w:tcPr>
            <w:tcW w:w="7557" w:type="dxa"/>
            <w:tcBorders>
              <w:top w:val="single" w:sz="4" w:space="0" w:color="auto"/>
              <w:bottom w:val="single" w:sz="4" w:space="0" w:color="auto"/>
            </w:tcBorders>
            <w:tcMar>
              <w:left w:w="86" w:type="dxa"/>
              <w:bottom w:w="43" w:type="dxa"/>
              <w:right w:w="86" w:type="dxa"/>
            </w:tcMar>
          </w:tcPr>
          <w:p w14:paraId="7699123E" w14:textId="77777777" w:rsidR="00B25234" w:rsidRPr="005D4222" w:rsidRDefault="00B25234" w:rsidP="00A53E8C">
            <w:pPr>
              <w:pStyle w:val="ECDSBody"/>
              <w:rPr>
                <w:b/>
                <w:i/>
              </w:rPr>
            </w:pPr>
            <w:r w:rsidRPr="005D4222">
              <w:rPr>
                <w:b/>
                <w:bCs w:val="0"/>
                <w:i/>
                <w:iCs/>
              </w:rPr>
              <w:t>Risk Adjustment Determination</w:t>
            </w:r>
          </w:p>
          <w:p w14:paraId="695DD553" w14:textId="77777777" w:rsidR="00B25234" w:rsidRPr="005D4222" w:rsidRDefault="00B25234" w:rsidP="00A53E8C">
            <w:pPr>
              <w:pStyle w:val="ECDSBody"/>
              <w:spacing w:before="0"/>
            </w:pPr>
            <w:r w:rsidRPr="005D4222">
              <w:t>For each IHS among nonoutliers, identify risk adjustment weights based on observation stay status at discharge, surgeries, discharge condition, COVID-19 discharge, comorbidity, age and gender. Weights are specific to product line (Medicare Under 65, Medicare 65+, commercial, Medicaid). Refer to the reporting indicator column in the risk adjustment tables to ensure that weights are linked appropriately.</w:t>
            </w:r>
          </w:p>
          <w:p w14:paraId="4FCDB448" w14:textId="77777777" w:rsidR="00B25234" w:rsidRPr="005D4222" w:rsidRDefault="00B25234" w:rsidP="00A53E8C">
            <w:pPr>
              <w:pStyle w:val="ECDSBody"/>
              <w:rPr>
                <w:szCs w:val="21"/>
              </w:rPr>
            </w:pPr>
            <w:r w:rsidRPr="005D4222">
              <w:rPr>
                <w:b/>
                <w:szCs w:val="21"/>
              </w:rPr>
              <w:t>Observation stay</w:t>
            </w:r>
            <w:r w:rsidRPr="005D4222">
              <w:rPr>
                <w:b/>
                <w:bCs w:val="0"/>
                <w:szCs w:val="21"/>
              </w:rPr>
              <w:t xml:space="preserve">: </w:t>
            </w:r>
            <w:r w:rsidRPr="005D4222">
              <w:rPr>
                <w:szCs w:val="21"/>
              </w:rPr>
              <w:t>Determine if the IHS at discharge was an observation stay (</w:t>
            </w:r>
            <w:r w:rsidRPr="005D4222">
              <w:rPr>
                <w:szCs w:val="21"/>
                <w:u w:val="single"/>
              </w:rPr>
              <w:t>Observation Stay Value Set</w:t>
            </w:r>
            <w:r w:rsidRPr="005D4222">
              <w:rPr>
                <w:szCs w:val="21"/>
              </w:rPr>
              <w:t>). For direct transfers, determine the hospitalization status using the last discharge.</w:t>
            </w:r>
          </w:p>
          <w:p w14:paraId="218A13E9" w14:textId="77777777" w:rsidR="00B25234" w:rsidRPr="005D4222" w:rsidRDefault="00B25234" w:rsidP="00A53E8C">
            <w:pPr>
              <w:pStyle w:val="ECDSBody"/>
            </w:pPr>
            <w:r w:rsidRPr="005D4222">
              <w:rPr>
                <w:b/>
              </w:rPr>
              <w:t>Surgeries</w:t>
            </w:r>
            <w:r w:rsidRPr="005D4222">
              <w:rPr>
                <w:b/>
                <w:bCs w:val="0"/>
              </w:rPr>
              <w:t xml:space="preserve">: </w:t>
            </w:r>
            <w:r w:rsidRPr="005D4222">
              <w:t>Determine if the person underwent surgery during the stay. Consider an IHS to include a surgery if at least one procedure code (</w:t>
            </w:r>
            <w:r w:rsidRPr="005D4222">
              <w:rPr>
                <w:u w:val="single"/>
              </w:rPr>
              <w:t>Surgery Procedure Value Set</w:t>
            </w:r>
            <w:r w:rsidRPr="005D4222">
              <w:t xml:space="preserve">) is present from any provider between the admission and discharge dates. </w:t>
            </w:r>
          </w:p>
          <w:p w14:paraId="492A9EBF" w14:textId="77777777" w:rsidR="00B25234" w:rsidRPr="005D4222" w:rsidRDefault="00B25234" w:rsidP="00A53E8C">
            <w:pPr>
              <w:pStyle w:val="ECDSBody"/>
            </w:pPr>
            <w:r w:rsidRPr="005D4222">
              <w:rPr>
                <w:b/>
              </w:rPr>
              <w:t>Discharge condition</w:t>
            </w:r>
            <w:r w:rsidRPr="005D4222">
              <w:rPr>
                <w:b/>
                <w:bCs w:val="0"/>
              </w:rPr>
              <w:t xml:space="preserve">: </w:t>
            </w:r>
            <w:r w:rsidRPr="005D4222">
              <w:t>Assign a discharge Clinical Condition (CC) category code or codes to the IHS based on its principal discharge diagnosis, using Table CC—Mapping. For direct transfers, use the principal discharge diagnosis from the last discharge.</w:t>
            </w:r>
          </w:p>
          <w:p w14:paraId="0318DBB5" w14:textId="77777777" w:rsidR="00B25234" w:rsidRPr="005D4222" w:rsidRDefault="00B25234" w:rsidP="00A53E8C">
            <w:pPr>
              <w:pStyle w:val="ECDSBody"/>
            </w:pPr>
            <w:r w:rsidRPr="005D4222">
              <w:t>Exclude diagnoses that cannot be mapped to Table CC—Mapping.</w:t>
            </w:r>
          </w:p>
          <w:p w14:paraId="6BB16BD1" w14:textId="77777777" w:rsidR="00B25234" w:rsidRPr="005D4222" w:rsidRDefault="00B25234" w:rsidP="00A53E8C">
            <w:pPr>
              <w:pStyle w:val="ECDSBody"/>
            </w:pPr>
            <w:r w:rsidRPr="005D4222">
              <w:rPr>
                <w:b/>
              </w:rPr>
              <w:t>COVID-19 discharge</w:t>
            </w:r>
            <w:r w:rsidRPr="005D4222">
              <w:rPr>
                <w:b/>
                <w:bCs w:val="0"/>
              </w:rPr>
              <w:t xml:space="preserve">: </w:t>
            </w:r>
            <w:r w:rsidRPr="005D4222">
              <w:t>Assign a COVID-19 discharge code to the IHS if its principal discharge diagnosis was COVID-19 (ICD-10-CM code U07.1). For direct transfers, use the principal discharge diagnosis from the last discharge.</w:t>
            </w:r>
          </w:p>
          <w:p w14:paraId="1082328F" w14:textId="77777777" w:rsidR="00B25234" w:rsidRPr="005D4222" w:rsidRDefault="00B25234" w:rsidP="00A53E8C">
            <w:pPr>
              <w:pStyle w:val="ECDSBody"/>
              <w:rPr>
                <w:b/>
                <w:bCs w:val="0"/>
              </w:rPr>
            </w:pPr>
            <w:r w:rsidRPr="005D4222">
              <w:rPr>
                <w:b/>
              </w:rPr>
              <w:t>Comorbidities</w:t>
            </w:r>
            <w:r w:rsidRPr="005D4222">
              <w:rPr>
                <w:b/>
                <w:bCs w:val="0"/>
              </w:rPr>
              <w:t xml:space="preserve">: </w:t>
            </w:r>
          </w:p>
          <w:p w14:paraId="6DDA4547" w14:textId="77777777" w:rsidR="00B25234" w:rsidRPr="005D4222" w:rsidRDefault="00B25234" w:rsidP="00A53E8C">
            <w:pPr>
              <w:pStyle w:val="ECDSBody"/>
            </w:pPr>
            <w:r w:rsidRPr="005D4222">
              <w:rPr>
                <w:b/>
              </w:rPr>
              <w:t xml:space="preserve">Step 1. </w:t>
            </w:r>
            <w:r w:rsidRPr="005D4222">
              <w:t>Identify all diagnoses for encounters during the 365 days prior to and on the date of the index discharge date. Exclude the principal discharge diagnosis on the IHS. Include the following when identifying encounters:</w:t>
            </w:r>
          </w:p>
          <w:p w14:paraId="69A0B0DF" w14:textId="35A496AC" w:rsidR="00B25234" w:rsidRPr="005D4222" w:rsidRDefault="00B25234" w:rsidP="00B25234">
            <w:pPr>
              <w:pStyle w:val="Bullet"/>
              <w:numPr>
                <w:ilvl w:val="0"/>
                <w:numId w:val="4"/>
              </w:numPr>
              <w:tabs>
                <w:tab w:val="left" w:pos="360"/>
                <w:tab w:val="left" w:pos="576"/>
              </w:tabs>
              <w:ind w:left="576" w:hanging="216"/>
            </w:pPr>
            <w:r w:rsidRPr="005D4222">
              <w:t>Outpatient visits, ED visits, telephone visits, nonacute inpatient encounters and acute inpatient encounters (</w:t>
            </w:r>
            <w:r w:rsidRPr="005D4222">
              <w:rPr>
                <w:u w:val="single"/>
              </w:rPr>
              <w:t>Outpatient, ED, Telephone, Acute Inpatient and Nonacute Inpatient Value Set</w:t>
            </w:r>
            <w:r w:rsidRPr="005D4222">
              <w:t xml:space="preserve">) with a date of service in the period from 365 days before the </w:t>
            </w:r>
            <w:r w:rsidR="00672134">
              <w:t>index discharge date</w:t>
            </w:r>
            <w:r w:rsidRPr="005D4222">
              <w:t xml:space="preserve"> to (and including) the </w:t>
            </w:r>
            <w:r w:rsidR="00672134">
              <w:t>index discharge date</w:t>
            </w:r>
            <w:r w:rsidRPr="005D4222">
              <w:t xml:space="preserve">. </w:t>
            </w:r>
          </w:p>
          <w:p w14:paraId="54AE536C" w14:textId="2B5B616F" w:rsidR="00B25234" w:rsidRPr="005D4222" w:rsidRDefault="00B25234" w:rsidP="00B25234">
            <w:pPr>
              <w:pStyle w:val="Bullet"/>
              <w:numPr>
                <w:ilvl w:val="0"/>
                <w:numId w:val="4"/>
              </w:numPr>
              <w:tabs>
                <w:tab w:val="left" w:pos="360"/>
                <w:tab w:val="left" w:pos="576"/>
              </w:tabs>
              <w:ind w:left="576" w:hanging="216"/>
            </w:pPr>
            <w:r w:rsidRPr="005D4222">
              <w:t>Acute and nonacute inpatient discharges (</w:t>
            </w:r>
            <w:r w:rsidRPr="005D4222">
              <w:rPr>
                <w:u w:val="single"/>
              </w:rPr>
              <w:t>Inpatient Stay Value Set</w:t>
            </w:r>
            <w:r w:rsidRPr="005D4222">
              <w:t xml:space="preserve">) with a discharge date in the period from 365 days before the </w:t>
            </w:r>
            <w:r w:rsidR="00672134">
              <w:t>index discharge date</w:t>
            </w:r>
            <w:r w:rsidRPr="005D4222">
              <w:t xml:space="preserve"> to (and including) the </w:t>
            </w:r>
            <w:r w:rsidR="00672134">
              <w:t>index discharge date</w:t>
            </w:r>
            <w:r w:rsidRPr="005D4222">
              <w:t xml:space="preserve">. </w:t>
            </w:r>
          </w:p>
          <w:p w14:paraId="3EC32C1A" w14:textId="77777777" w:rsidR="00B25234" w:rsidRPr="005D4222" w:rsidRDefault="00B25234" w:rsidP="00A53E8C">
            <w:pPr>
              <w:pStyle w:val="ECDSBody"/>
              <w:rPr>
                <w:b/>
                <w:bCs w:val="0"/>
              </w:rPr>
            </w:pPr>
            <w:r w:rsidRPr="005D4222">
              <w:rPr>
                <w:b/>
                <w:bCs w:val="0"/>
              </w:rPr>
              <w:t xml:space="preserve">Step 2. </w:t>
            </w:r>
            <w:r w:rsidRPr="005D4222">
              <w:t>Assign each diagnosis to one or more comorbid Clinical Condition (CC) category using Table CC—Mapping in the Risk Adjustment Shared Tables. If the code appears more than once in Table CC—Mapping, it is assigned to multiple CCs.</w:t>
            </w:r>
          </w:p>
          <w:p w14:paraId="607FC16D" w14:textId="77777777" w:rsidR="00B25234" w:rsidRPr="005D4222" w:rsidRDefault="00B25234" w:rsidP="00A53E8C">
            <w:pPr>
              <w:pStyle w:val="ECDSBody"/>
            </w:pPr>
            <w:r w:rsidRPr="005D4222">
              <w:t xml:space="preserve">Exclude all diagnoses that cannot be assigned to a comorbid CC category. For denominator units with no qualifying diagnoses from face-to-face encounters, skip to </w:t>
            </w:r>
            <w:r w:rsidRPr="005D4222">
              <w:rPr>
                <w:i/>
                <w:iCs/>
              </w:rPr>
              <w:t>Risk Adjustment Calculation</w:t>
            </w:r>
            <w:r w:rsidRPr="005D4222">
              <w:t>.</w:t>
            </w:r>
          </w:p>
          <w:p w14:paraId="202C6697" w14:textId="77777777" w:rsidR="00B25234" w:rsidRPr="005D4222" w:rsidRDefault="00B25234" w:rsidP="00A53E8C">
            <w:pPr>
              <w:pStyle w:val="ECDSBody"/>
            </w:pPr>
            <w:r w:rsidRPr="005D4222">
              <w:t>All digits must match exactly when mapping diagnosis codes to the comorbid CCs.</w:t>
            </w:r>
          </w:p>
          <w:p w14:paraId="0FBB7518" w14:textId="2FFD8247" w:rsidR="00792FA1" w:rsidRPr="005D4222" w:rsidRDefault="00B25234" w:rsidP="00792FA1">
            <w:pPr>
              <w:pStyle w:val="ECDSBody"/>
              <w:rPr>
                <w:b/>
                <w:bCs w:val="0"/>
              </w:rPr>
            </w:pPr>
            <w:r w:rsidRPr="005D4222">
              <w:rPr>
                <w:b/>
              </w:rPr>
              <w:t xml:space="preserve">Step 3. </w:t>
            </w:r>
            <w:r w:rsidRPr="005D4222">
              <w:t>Determine HCCs for each comorbid CC identified. Refer to Table HCC—Rank.</w:t>
            </w:r>
          </w:p>
        </w:tc>
      </w:tr>
      <w:tr w:rsidR="00B25234" w:rsidRPr="005D4222" w14:paraId="6FD5F64A" w14:textId="77777777" w:rsidTr="00A53E8C">
        <w:tc>
          <w:tcPr>
            <w:tcW w:w="2157" w:type="dxa"/>
            <w:shd w:val="clear" w:color="auto" w:fill="BFBFBF" w:themeFill="background1" w:themeFillShade="BF"/>
            <w:tcMar>
              <w:top w:w="0" w:type="dxa"/>
              <w:left w:w="86" w:type="dxa"/>
              <w:bottom w:w="43" w:type="dxa"/>
              <w:right w:w="86" w:type="dxa"/>
            </w:tcMar>
          </w:tcPr>
          <w:p w14:paraId="2097E949" w14:textId="77777777" w:rsidR="00B25234" w:rsidRPr="005D4222" w:rsidRDefault="00B25234" w:rsidP="00A53E8C">
            <w:pPr>
              <w:pStyle w:val="ECDSMarginHead"/>
            </w:pPr>
          </w:p>
        </w:tc>
        <w:tc>
          <w:tcPr>
            <w:tcW w:w="7557" w:type="dxa"/>
            <w:tcMar>
              <w:left w:w="86" w:type="dxa"/>
              <w:bottom w:w="43" w:type="dxa"/>
              <w:right w:w="86" w:type="dxa"/>
            </w:tcMar>
          </w:tcPr>
          <w:p w14:paraId="0BA668DD" w14:textId="77777777" w:rsidR="00792FA1" w:rsidRPr="005D4222" w:rsidRDefault="00792FA1" w:rsidP="00792FA1">
            <w:pPr>
              <w:pStyle w:val="ECDSBody"/>
              <w:spacing w:before="80"/>
            </w:pPr>
            <w:r w:rsidRPr="005D4222">
              <w:t>For each denominator unit’s comorbid CC list, match the comorbid CC code to the comorbid CC code in the table, and assign:</w:t>
            </w:r>
          </w:p>
          <w:p w14:paraId="0A11915F" w14:textId="77777777" w:rsidR="00792FA1" w:rsidRPr="005D4222" w:rsidRDefault="00792FA1" w:rsidP="00792FA1">
            <w:pPr>
              <w:pStyle w:val="Bullet"/>
              <w:numPr>
                <w:ilvl w:val="0"/>
                <w:numId w:val="4"/>
              </w:numPr>
              <w:tabs>
                <w:tab w:val="left" w:pos="360"/>
                <w:tab w:val="left" w:pos="576"/>
              </w:tabs>
              <w:ind w:left="576" w:hanging="216"/>
            </w:pPr>
            <w:r w:rsidRPr="005D4222">
              <w:t>The ranking group.</w:t>
            </w:r>
          </w:p>
          <w:p w14:paraId="5F02ADFF" w14:textId="77777777" w:rsidR="00792FA1" w:rsidRPr="005D4222" w:rsidRDefault="00792FA1" w:rsidP="00792FA1">
            <w:pPr>
              <w:pStyle w:val="Bullet"/>
              <w:numPr>
                <w:ilvl w:val="0"/>
                <w:numId w:val="4"/>
              </w:numPr>
              <w:tabs>
                <w:tab w:val="left" w:pos="360"/>
                <w:tab w:val="left" w:pos="576"/>
              </w:tabs>
              <w:ind w:left="576" w:hanging="216"/>
            </w:pPr>
            <w:r w:rsidRPr="005D4222">
              <w:t>The rank.</w:t>
            </w:r>
          </w:p>
          <w:p w14:paraId="04D9EA3B" w14:textId="77777777" w:rsidR="00792FA1" w:rsidRPr="005D4222" w:rsidRDefault="00792FA1" w:rsidP="00792FA1">
            <w:pPr>
              <w:pStyle w:val="Bullet"/>
              <w:numPr>
                <w:ilvl w:val="0"/>
                <w:numId w:val="4"/>
              </w:numPr>
              <w:tabs>
                <w:tab w:val="left" w:pos="360"/>
                <w:tab w:val="left" w:pos="576"/>
              </w:tabs>
              <w:ind w:left="576" w:hanging="216"/>
            </w:pPr>
            <w:r w:rsidRPr="005D4222">
              <w:t>The HCC.</w:t>
            </w:r>
          </w:p>
          <w:p w14:paraId="36FB7DB3" w14:textId="77777777" w:rsidR="00792FA1" w:rsidRPr="005D4222" w:rsidRDefault="00792FA1" w:rsidP="00792FA1">
            <w:pPr>
              <w:pStyle w:val="ECDSBody"/>
            </w:pPr>
            <w:r w:rsidRPr="005D4222">
              <w:t>For comorbid CCs that do not match to Table HCC—Rank, use the comorbid CC as the HCC and assign a rank of 1. One comorbid CC can map to multiple HCCs; each HCC can have one or more comorbid CCs.</w:t>
            </w:r>
          </w:p>
          <w:p w14:paraId="7EDD4BEA" w14:textId="77777777" w:rsidR="00B25234" w:rsidRPr="005D4222" w:rsidRDefault="00B25234" w:rsidP="00A53E8C">
            <w:pPr>
              <w:pStyle w:val="ECDSBody"/>
            </w:pPr>
            <w:r w:rsidRPr="005D4222">
              <w:rPr>
                <w:b/>
                <w:bCs w:val="0"/>
              </w:rPr>
              <w:t>Step 4.</w:t>
            </w:r>
            <w:r w:rsidRPr="005D4222">
              <w:t xml:space="preserve"> Assess each ranking group separately and select only the highest ranked HCC in each ranking group using the “Rank” column (1 is the highest rank possible). </w:t>
            </w:r>
          </w:p>
          <w:p w14:paraId="0AB64B45" w14:textId="77777777" w:rsidR="00B25234" w:rsidRPr="005D4222" w:rsidRDefault="00B25234" w:rsidP="00A53E8C">
            <w:pPr>
              <w:pStyle w:val="ECDSBody"/>
              <w:rPr>
                <w:b/>
              </w:rPr>
            </w:pPr>
            <w:r w:rsidRPr="005D4222">
              <w:t>Drop all other HCCs in each ranking group, and de-duplicate the HCC list if necessary.</w:t>
            </w:r>
          </w:p>
          <w:p w14:paraId="0E7241E7" w14:textId="77777777" w:rsidR="00B25234" w:rsidRPr="005D4222" w:rsidRDefault="00B25234" w:rsidP="00B25234">
            <w:pPr>
              <w:pStyle w:val="Bullet"/>
              <w:numPr>
                <w:ilvl w:val="0"/>
                <w:numId w:val="4"/>
              </w:numPr>
              <w:tabs>
                <w:tab w:val="left" w:pos="360"/>
                <w:tab w:val="left" w:pos="576"/>
              </w:tabs>
              <w:ind w:left="576" w:hanging="216"/>
            </w:pPr>
            <w:r w:rsidRPr="005D4222">
              <w:rPr>
                <w:bCs/>
                <w:i/>
                <w:iCs/>
              </w:rPr>
              <w:t>For e</w:t>
            </w:r>
            <w:r w:rsidRPr="005D4222">
              <w:rPr>
                <w:i/>
                <w:iCs/>
              </w:rPr>
              <w:t xml:space="preserve">xample, </w:t>
            </w:r>
            <w:r w:rsidRPr="005D4222">
              <w:t xml:space="preserve">assume a denominator unit with the following comorbid CCs: CC-85, CC-17 and CC-19 (assume no other CCs). </w:t>
            </w:r>
          </w:p>
          <w:p w14:paraId="5056F85C" w14:textId="77777777" w:rsidR="00B25234" w:rsidRPr="005D4222" w:rsidRDefault="00B25234" w:rsidP="00B25234">
            <w:pPr>
              <w:pStyle w:val="Dash"/>
              <w:tabs>
                <w:tab w:val="left" w:pos="576"/>
                <w:tab w:val="left" w:pos="792"/>
              </w:tabs>
              <w:rPr>
                <w:b/>
                <w:bCs/>
              </w:rPr>
            </w:pPr>
            <w:r w:rsidRPr="005D4222">
              <w:t xml:space="preserve">CC-85 does not have a map to the ranking table and becomes </w:t>
            </w:r>
            <w:r w:rsidRPr="005D4222">
              <w:br/>
              <w:t>HCC-85.</w:t>
            </w:r>
          </w:p>
          <w:p w14:paraId="3382B92A" w14:textId="77777777" w:rsidR="00B25234" w:rsidRPr="005D4222" w:rsidRDefault="00B25234" w:rsidP="00B25234">
            <w:pPr>
              <w:pStyle w:val="Dash"/>
              <w:tabs>
                <w:tab w:val="left" w:pos="576"/>
                <w:tab w:val="left" w:pos="792"/>
              </w:tabs>
              <w:rPr>
                <w:b/>
              </w:rPr>
            </w:pPr>
            <w:r w:rsidRPr="005D4222">
              <w:t xml:space="preserve">HCC-17 and HCC-19 are part of Diabetes Ranking Group 1. Because CC-17 is ranked higher than CC-19 in Ranking Group Diabetes 1, the comorbidity is assigned as HCC-17 for Ranking Group 1. </w:t>
            </w:r>
          </w:p>
          <w:p w14:paraId="39064EA2" w14:textId="77777777" w:rsidR="00B25234" w:rsidRPr="005D4222" w:rsidRDefault="00B25234" w:rsidP="00A53E8C">
            <w:pPr>
              <w:pStyle w:val="ECDSBody"/>
              <w:rPr>
                <w:b/>
              </w:rPr>
            </w:pPr>
            <w:r w:rsidRPr="005D4222">
              <w:t>The final comorbidities for this denominator unit are HCC-17 and HCC-85.</w:t>
            </w:r>
          </w:p>
          <w:p w14:paraId="4203768A" w14:textId="77777777" w:rsidR="00B25234" w:rsidRPr="005D4222" w:rsidRDefault="00B25234" w:rsidP="00A53E8C">
            <w:pPr>
              <w:pStyle w:val="Heading3"/>
              <w:spacing w:before="120"/>
            </w:pPr>
            <w:r w:rsidRPr="005D4222">
              <w:t>Table HCC—Rank</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94"/>
              <w:gridCol w:w="853"/>
              <w:gridCol w:w="3517"/>
              <w:gridCol w:w="849"/>
              <w:gridCol w:w="862"/>
            </w:tblGrid>
            <w:tr w:rsidR="00B25234" w:rsidRPr="005D4222" w14:paraId="2E67CF18" w14:textId="77777777" w:rsidTr="00424C2B">
              <w:tc>
                <w:tcPr>
                  <w:tcW w:w="1035" w:type="dxa"/>
                  <w:tcBorders>
                    <w:right w:val="single" w:sz="6" w:space="0" w:color="FFFFFF" w:themeColor="background1"/>
                  </w:tcBorders>
                  <w:shd w:val="clear" w:color="auto" w:fill="000000" w:themeFill="text1"/>
                  <w:vAlign w:val="bottom"/>
                  <w:hideMark/>
                </w:tcPr>
                <w:p w14:paraId="19E7763C" w14:textId="77777777" w:rsidR="00B25234" w:rsidRPr="005D4222" w:rsidRDefault="00B25234" w:rsidP="00A53E8C">
                  <w:pPr>
                    <w:pStyle w:val="TableHead"/>
                    <w:rPr>
                      <w:color w:val="auto"/>
                    </w:rPr>
                  </w:pPr>
                  <w:r w:rsidRPr="005D4222">
                    <w:rPr>
                      <w:color w:val="auto"/>
                    </w:rPr>
                    <w:t>Ranking Group</w:t>
                  </w:r>
                </w:p>
              </w:tc>
              <w:tc>
                <w:tcPr>
                  <w:tcW w:w="682" w:type="dxa"/>
                  <w:tcBorders>
                    <w:left w:val="single" w:sz="6" w:space="0" w:color="FFFFFF" w:themeColor="background1"/>
                    <w:right w:val="single" w:sz="6" w:space="0" w:color="FFFFFF" w:themeColor="background1"/>
                  </w:tcBorders>
                  <w:shd w:val="clear" w:color="auto" w:fill="000000" w:themeFill="text1"/>
                  <w:vAlign w:val="bottom"/>
                  <w:hideMark/>
                </w:tcPr>
                <w:p w14:paraId="5FAF9710" w14:textId="77777777" w:rsidR="00B25234" w:rsidRPr="005D4222" w:rsidRDefault="00B25234" w:rsidP="00A53E8C">
                  <w:pPr>
                    <w:pStyle w:val="TableHead"/>
                    <w:rPr>
                      <w:color w:val="auto"/>
                    </w:rPr>
                  </w:pPr>
                  <w:r w:rsidRPr="005D4222">
                    <w:rPr>
                      <w:color w:val="auto"/>
                    </w:rPr>
                    <w:t>CC</w:t>
                  </w:r>
                </w:p>
              </w:tc>
              <w:tc>
                <w:tcPr>
                  <w:tcW w:w="2812" w:type="dxa"/>
                  <w:tcBorders>
                    <w:left w:val="single" w:sz="6" w:space="0" w:color="FFFFFF" w:themeColor="background1"/>
                    <w:right w:val="single" w:sz="6" w:space="0" w:color="FFFFFF" w:themeColor="background1"/>
                  </w:tcBorders>
                  <w:shd w:val="clear" w:color="auto" w:fill="000000" w:themeFill="text1"/>
                  <w:vAlign w:val="bottom"/>
                  <w:hideMark/>
                </w:tcPr>
                <w:p w14:paraId="6E4334A6" w14:textId="77777777" w:rsidR="00B25234" w:rsidRPr="005D4222" w:rsidRDefault="00B25234" w:rsidP="00A53E8C">
                  <w:pPr>
                    <w:pStyle w:val="TableHead"/>
                    <w:rPr>
                      <w:color w:val="auto"/>
                    </w:rPr>
                  </w:pPr>
                  <w:r w:rsidRPr="005D4222">
                    <w:rPr>
                      <w:color w:val="auto"/>
                    </w:rPr>
                    <w:t>Description</w:t>
                  </w:r>
                </w:p>
              </w:tc>
              <w:tc>
                <w:tcPr>
                  <w:tcW w:w="679" w:type="dxa"/>
                  <w:tcBorders>
                    <w:left w:val="single" w:sz="6" w:space="0" w:color="FFFFFF" w:themeColor="background1"/>
                    <w:right w:val="single" w:sz="6" w:space="0" w:color="FFFFFF" w:themeColor="background1"/>
                  </w:tcBorders>
                  <w:shd w:val="clear" w:color="auto" w:fill="000000" w:themeFill="text1"/>
                  <w:vAlign w:val="bottom"/>
                  <w:hideMark/>
                </w:tcPr>
                <w:p w14:paraId="2347BD77" w14:textId="77777777" w:rsidR="00B25234" w:rsidRPr="005D4222" w:rsidRDefault="00B25234" w:rsidP="00A53E8C">
                  <w:pPr>
                    <w:pStyle w:val="TableHead"/>
                    <w:rPr>
                      <w:color w:val="auto"/>
                    </w:rPr>
                  </w:pPr>
                  <w:r w:rsidRPr="005D4222">
                    <w:rPr>
                      <w:color w:val="auto"/>
                    </w:rPr>
                    <w:t>Rank</w:t>
                  </w:r>
                </w:p>
              </w:tc>
              <w:tc>
                <w:tcPr>
                  <w:tcW w:w="689" w:type="dxa"/>
                  <w:tcBorders>
                    <w:left w:val="single" w:sz="6" w:space="0" w:color="FFFFFF" w:themeColor="background1"/>
                  </w:tcBorders>
                  <w:shd w:val="clear" w:color="auto" w:fill="000000" w:themeFill="text1"/>
                  <w:vAlign w:val="bottom"/>
                  <w:hideMark/>
                </w:tcPr>
                <w:p w14:paraId="123C4D22" w14:textId="77777777" w:rsidR="00B25234" w:rsidRPr="005D4222" w:rsidRDefault="00B25234" w:rsidP="00A53E8C">
                  <w:pPr>
                    <w:pStyle w:val="TableHead"/>
                    <w:rPr>
                      <w:color w:val="auto"/>
                    </w:rPr>
                  </w:pPr>
                  <w:r w:rsidRPr="005D4222">
                    <w:rPr>
                      <w:color w:val="auto"/>
                    </w:rPr>
                    <w:t>HCC</w:t>
                  </w:r>
                </w:p>
              </w:tc>
            </w:tr>
            <w:tr w:rsidR="00B25234" w:rsidRPr="005D4222" w14:paraId="1420561D" w14:textId="77777777" w:rsidTr="00424C2B">
              <w:tc>
                <w:tcPr>
                  <w:tcW w:w="1035" w:type="dxa"/>
                  <w:tcBorders>
                    <w:bottom w:val="single" w:sz="4" w:space="0" w:color="000000" w:themeColor="text1"/>
                  </w:tcBorders>
                  <w:hideMark/>
                </w:tcPr>
                <w:p w14:paraId="5F8098F8" w14:textId="77777777" w:rsidR="00B25234" w:rsidRPr="005D4222" w:rsidRDefault="00B25234" w:rsidP="00A53E8C">
                  <w:pPr>
                    <w:pStyle w:val="TableText"/>
                  </w:pPr>
                  <w:r w:rsidRPr="005D4222">
                    <w:t>NA</w:t>
                  </w:r>
                </w:p>
              </w:tc>
              <w:tc>
                <w:tcPr>
                  <w:tcW w:w="682" w:type="dxa"/>
                  <w:tcBorders>
                    <w:bottom w:val="single" w:sz="4" w:space="0" w:color="000000" w:themeColor="text1"/>
                  </w:tcBorders>
                  <w:hideMark/>
                </w:tcPr>
                <w:p w14:paraId="63794659" w14:textId="77777777" w:rsidR="00B25234" w:rsidRPr="005D4222" w:rsidRDefault="00B25234" w:rsidP="00A53E8C">
                  <w:pPr>
                    <w:pStyle w:val="TableText"/>
                    <w:jc w:val="center"/>
                  </w:pPr>
                  <w:r w:rsidRPr="005D4222">
                    <w:t>CC-85</w:t>
                  </w:r>
                </w:p>
              </w:tc>
              <w:tc>
                <w:tcPr>
                  <w:tcW w:w="2812" w:type="dxa"/>
                  <w:tcBorders>
                    <w:bottom w:val="single" w:sz="4" w:space="0" w:color="000000" w:themeColor="text1"/>
                  </w:tcBorders>
                  <w:hideMark/>
                </w:tcPr>
                <w:p w14:paraId="3E8C9F85" w14:textId="77777777" w:rsidR="00B25234" w:rsidRPr="005D4222" w:rsidRDefault="00B25234" w:rsidP="00A53E8C">
                  <w:pPr>
                    <w:pStyle w:val="TableText"/>
                  </w:pPr>
                  <w:r w:rsidRPr="005D4222">
                    <w:t>Congestive Heart Failure</w:t>
                  </w:r>
                </w:p>
              </w:tc>
              <w:tc>
                <w:tcPr>
                  <w:tcW w:w="679" w:type="dxa"/>
                  <w:tcBorders>
                    <w:bottom w:val="single" w:sz="4" w:space="0" w:color="000000" w:themeColor="text1"/>
                  </w:tcBorders>
                  <w:hideMark/>
                </w:tcPr>
                <w:p w14:paraId="33D08D54" w14:textId="77777777" w:rsidR="00B25234" w:rsidRPr="005D4222" w:rsidRDefault="00B25234" w:rsidP="00A53E8C">
                  <w:pPr>
                    <w:pStyle w:val="TableText"/>
                    <w:jc w:val="center"/>
                  </w:pPr>
                  <w:r w:rsidRPr="005D4222">
                    <w:t>NA</w:t>
                  </w:r>
                </w:p>
              </w:tc>
              <w:tc>
                <w:tcPr>
                  <w:tcW w:w="689" w:type="dxa"/>
                  <w:tcBorders>
                    <w:bottom w:val="single" w:sz="4" w:space="0" w:color="000000" w:themeColor="text1"/>
                  </w:tcBorders>
                  <w:hideMark/>
                </w:tcPr>
                <w:p w14:paraId="62CAAB73" w14:textId="77777777" w:rsidR="00B25234" w:rsidRPr="005D4222" w:rsidRDefault="00B25234" w:rsidP="00A53E8C">
                  <w:pPr>
                    <w:pStyle w:val="TableText"/>
                    <w:jc w:val="center"/>
                  </w:pPr>
                  <w:r w:rsidRPr="005D4222">
                    <w:t>HCC-85</w:t>
                  </w:r>
                </w:p>
              </w:tc>
            </w:tr>
            <w:tr w:rsidR="00B25234" w:rsidRPr="005D4222" w14:paraId="750FD075" w14:textId="77777777" w:rsidTr="00424C2B">
              <w:tc>
                <w:tcPr>
                  <w:tcW w:w="1035" w:type="dxa"/>
                  <w:vMerge w:val="restart"/>
                  <w:shd w:val="clear" w:color="auto" w:fill="FFFFFF" w:themeFill="background1"/>
                  <w:vAlign w:val="center"/>
                  <w:hideMark/>
                </w:tcPr>
                <w:p w14:paraId="37944943" w14:textId="77777777" w:rsidR="00B25234" w:rsidRPr="005D4222" w:rsidRDefault="00B25234" w:rsidP="00A53E8C">
                  <w:pPr>
                    <w:pStyle w:val="TableText"/>
                    <w:rPr>
                      <w:rFonts w:cs="Arial"/>
                    </w:rPr>
                  </w:pPr>
                  <w:r w:rsidRPr="005D4222">
                    <w:rPr>
                      <w:rFonts w:cs="Arial"/>
                    </w:rPr>
                    <w:t xml:space="preserve">Diabetes 1 </w:t>
                  </w:r>
                </w:p>
              </w:tc>
              <w:tc>
                <w:tcPr>
                  <w:tcW w:w="682" w:type="dxa"/>
                  <w:tcBorders>
                    <w:bottom w:val="dotted" w:sz="6" w:space="0" w:color="auto"/>
                  </w:tcBorders>
                  <w:shd w:val="clear" w:color="auto" w:fill="FFFFFF" w:themeFill="background1"/>
                  <w:hideMark/>
                </w:tcPr>
                <w:p w14:paraId="4ECB680E" w14:textId="77777777" w:rsidR="00B25234" w:rsidRPr="005D4222" w:rsidRDefault="00B25234" w:rsidP="00A53E8C">
                  <w:pPr>
                    <w:pStyle w:val="TableText"/>
                    <w:jc w:val="center"/>
                    <w:rPr>
                      <w:rFonts w:cs="Arial"/>
                    </w:rPr>
                  </w:pPr>
                  <w:r w:rsidRPr="005D4222">
                    <w:rPr>
                      <w:rFonts w:cs="Arial"/>
                    </w:rPr>
                    <w:t>CC-17</w:t>
                  </w:r>
                </w:p>
              </w:tc>
              <w:tc>
                <w:tcPr>
                  <w:tcW w:w="2812" w:type="dxa"/>
                  <w:tcBorders>
                    <w:bottom w:val="dotted" w:sz="6" w:space="0" w:color="auto"/>
                  </w:tcBorders>
                  <w:shd w:val="clear" w:color="auto" w:fill="FFFFFF" w:themeFill="background1"/>
                  <w:hideMark/>
                </w:tcPr>
                <w:p w14:paraId="6C63BD52" w14:textId="77777777" w:rsidR="00B25234" w:rsidRPr="005D4222" w:rsidRDefault="00B25234" w:rsidP="00A53E8C">
                  <w:pPr>
                    <w:pStyle w:val="TableText"/>
                    <w:rPr>
                      <w:rFonts w:cs="Arial"/>
                    </w:rPr>
                  </w:pPr>
                  <w:r w:rsidRPr="005D4222">
                    <w:rPr>
                      <w:rFonts w:cs="Arial"/>
                    </w:rPr>
                    <w:t xml:space="preserve">Diabetes With Acute Complications </w:t>
                  </w:r>
                </w:p>
              </w:tc>
              <w:tc>
                <w:tcPr>
                  <w:tcW w:w="679" w:type="dxa"/>
                  <w:tcBorders>
                    <w:bottom w:val="dotted" w:sz="6" w:space="0" w:color="auto"/>
                  </w:tcBorders>
                  <w:shd w:val="clear" w:color="auto" w:fill="FFFFFF" w:themeFill="background1"/>
                  <w:hideMark/>
                </w:tcPr>
                <w:p w14:paraId="4962E3A1" w14:textId="77777777" w:rsidR="00B25234" w:rsidRPr="005D4222" w:rsidRDefault="00B25234" w:rsidP="00A53E8C">
                  <w:pPr>
                    <w:pStyle w:val="TableText"/>
                    <w:jc w:val="center"/>
                    <w:rPr>
                      <w:rFonts w:cs="Arial"/>
                    </w:rPr>
                  </w:pPr>
                  <w:r w:rsidRPr="005D4222">
                    <w:rPr>
                      <w:rFonts w:cs="Arial"/>
                    </w:rPr>
                    <w:t>1</w:t>
                  </w:r>
                </w:p>
              </w:tc>
              <w:tc>
                <w:tcPr>
                  <w:tcW w:w="689" w:type="dxa"/>
                  <w:tcBorders>
                    <w:bottom w:val="dotted" w:sz="6" w:space="0" w:color="auto"/>
                  </w:tcBorders>
                  <w:shd w:val="clear" w:color="auto" w:fill="FFFFFF" w:themeFill="background1"/>
                  <w:hideMark/>
                </w:tcPr>
                <w:p w14:paraId="71C3869B" w14:textId="77777777" w:rsidR="00B25234" w:rsidRPr="005D4222" w:rsidRDefault="00B25234" w:rsidP="00A53E8C">
                  <w:pPr>
                    <w:pStyle w:val="TableText"/>
                    <w:jc w:val="center"/>
                    <w:rPr>
                      <w:rFonts w:cs="Arial"/>
                    </w:rPr>
                  </w:pPr>
                  <w:r w:rsidRPr="005D4222">
                    <w:rPr>
                      <w:rFonts w:cs="Arial"/>
                    </w:rPr>
                    <w:t>HCC-17</w:t>
                  </w:r>
                </w:p>
              </w:tc>
            </w:tr>
            <w:tr w:rsidR="00B25234" w:rsidRPr="005D4222" w14:paraId="7D0EE8D7" w14:textId="77777777" w:rsidTr="00424C2B">
              <w:tc>
                <w:tcPr>
                  <w:tcW w:w="1035" w:type="dxa"/>
                  <w:vMerge/>
                  <w:shd w:val="clear" w:color="auto" w:fill="FFFFFF" w:themeFill="background1"/>
                  <w:hideMark/>
                </w:tcPr>
                <w:p w14:paraId="7ABD04EC" w14:textId="77777777" w:rsidR="00B25234" w:rsidRPr="005D4222" w:rsidRDefault="00B25234" w:rsidP="00A53E8C">
                  <w:pPr>
                    <w:pStyle w:val="TableText"/>
                    <w:rPr>
                      <w:rFonts w:cs="Arial"/>
                    </w:rPr>
                  </w:pPr>
                </w:p>
              </w:tc>
              <w:tc>
                <w:tcPr>
                  <w:tcW w:w="682" w:type="dxa"/>
                  <w:tcBorders>
                    <w:top w:val="dotted" w:sz="6" w:space="0" w:color="auto"/>
                    <w:bottom w:val="dotted" w:sz="6" w:space="0" w:color="auto"/>
                  </w:tcBorders>
                  <w:shd w:val="clear" w:color="auto" w:fill="FFFFFF" w:themeFill="background1"/>
                  <w:hideMark/>
                </w:tcPr>
                <w:p w14:paraId="4072CBA5" w14:textId="77777777" w:rsidR="00B25234" w:rsidRPr="005D4222" w:rsidRDefault="00B25234" w:rsidP="00A53E8C">
                  <w:pPr>
                    <w:pStyle w:val="TableText"/>
                    <w:jc w:val="center"/>
                    <w:rPr>
                      <w:rFonts w:cs="Arial"/>
                    </w:rPr>
                  </w:pPr>
                  <w:r w:rsidRPr="005D4222">
                    <w:rPr>
                      <w:rFonts w:cs="Arial"/>
                    </w:rPr>
                    <w:t>CC-18</w:t>
                  </w:r>
                </w:p>
              </w:tc>
              <w:tc>
                <w:tcPr>
                  <w:tcW w:w="2812" w:type="dxa"/>
                  <w:tcBorders>
                    <w:top w:val="dotted" w:sz="6" w:space="0" w:color="auto"/>
                    <w:bottom w:val="dotted" w:sz="6" w:space="0" w:color="auto"/>
                  </w:tcBorders>
                  <w:shd w:val="clear" w:color="auto" w:fill="FFFFFF" w:themeFill="background1"/>
                  <w:hideMark/>
                </w:tcPr>
                <w:p w14:paraId="0EFB40CD" w14:textId="77777777" w:rsidR="00B25234" w:rsidRPr="005D4222" w:rsidRDefault="00B25234" w:rsidP="00A53E8C">
                  <w:pPr>
                    <w:pStyle w:val="TableText"/>
                    <w:rPr>
                      <w:rFonts w:cs="Arial"/>
                    </w:rPr>
                  </w:pPr>
                  <w:r w:rsidRPr="005D4222">
                    <w:rPr>
                      <w:rFonts w:cs="Arial"/>
                    </w:rPr>
                    <w:t xml:space="preserve">Diabetes With Chronic Complications </w:t>
                  </w:r>
                </w:p>
              </w:tc>
              <w:tc>
                <w:tcPr>
                  <w:tcW w:w="679" w:type="dxa"/>
                  <w:tcBorders>
                    <w:top w:val="dotted" w:sz="6" w:space="0" w:color="auto"/>
                    <w:bottom w:val="dotted" w:sz="6" w:space="0" w:color="auto"/>
                  </w:tcBorders>
                  <w:shd w:val="clear" w:color="auto" w:fill="FFFFFF" w:themeFill="background1"/>
                  <w:hideMark/>
                </w:tcPr>
                <w:p w14:paraId="57F1B35D" w14:textId="77777777" w:rsidR="00B25234" w:rsidRPr="005D4222" w:rsidRDefault="00B25234" w:rsidP="00A53E8C">
                  <w:pPr>
                    <w:pStyle w:val="TableText"/>
                    <w:jc w:val="center"/>
                    <w:rPr>
                      <w:rFonts w:cs="Arial"/>
                    </w:rPr>
                  </w:pPr>
                  <w:r w:rsidRPr="005D4222">
                    <w:rPr>
                      <w:rFonts w:cs="Arial"/>
                    </w:rPr>
                    <w:t>2</w:t>
                  </w:r>
                </w:p>
              </w:tc>
              <w:tc>
                <w:tcPr>
                  <w:tcW w:w="689" w:type="dxa"/>
                  <w:tcBorders>
                    <w:top w:val="dotted" w:sz="6" w:space="0" w:color="auto"/>
                    <w:bottom w:val="dotted" w:sz="6" w:space="0" w:color="auto"/>
                  </w:tcBorders>
                  <w:shd w:val="clear" w:color="auto" w:fill="FFFFFF" w:themeFill="background1"/>
                  <w:hideMark/>
                </w:tcPr>
                <w:p w14:paraId="6E7AEE25" w14:textId="77777777" w:rsidR="00B25234" w:rsidRPr="005D4222" w:rsidRDefault="00B25234" w:rsidP="00A53E8C">
                  <w:pPr>
                    <w:pStyle w:val="TableText"/>
                    <w:jc w:val="center"/>
                    <w:rPr>
                      <w:rFonts w:cs="Arial"/>
                    </w:rPr>
                  </w:pPr>
                  <w:r w:rsidRPr="005D4222">
                    <w:rPr>
                      <w:rFonts w:cs="Arial"/>
                    </w:rPr>
                    <w:t>HCC-18</w:t>
                  </w:r>
                </w:p>
              </w:tc>
            </w:tr>
            <w:tr w:rsidR="00B25234" w:rsidRPr="005D4222" w14:paraId="29B27963" w14:textId="77777777" w:rsidTr="00424C2B">
              <w:tc>
                <w:tcPr>
                  <w:tcW w:w="1035" w:type="dxa"/>
                  <w:vMerge/>
                  <w:shd w:val="clear" w:color="auto" w:fill="FFFFFF" w:themeFill="background1"/>
                  <w:hideMark/>
                </w:tcPr>
                <w:p w14:paraId="4007736C" w14:textId="77777777" w:rsidR="00B25234" w:rsidRPr="005D4222" w:rsidRDefault="00B25234" w:rsidP="00A53E8C">
                  <w:pPr>
                    <w:pStyle w:val="TableText"/>
                    <w:rPr>
                      <w:rFonts w:cs="Arial"/>
                    </w:rPr>
                  </w:pPr>
                </w:p>
              </w:tc>
              <w:tc>
                <w:tcPr>
                  <w:tcW w:w="682" w:type="dxa"/>
                  <w:tcBorders>
                    <w:top w:val="dotted" w:sz="6" w:space="0" w:color="auto"/>
                    <w:bottom w:val="single" w:sz="4" w:space="0" w:color="auto"/>
                  </w:tcBorders>
                  <w:shd w:val="clear" w:color="auto" w:fill="FFFFFF" w:themeFill="background1"/>
                  <w:hideMark/>
                </w:tcPr>
                <w:p w14:paraId="78E3BEB0" w14:textId="77777777" w:rsidR="00B25234" w:rsidRPr="005D4222" w:rsidRDefault="00B25234" w:rsidP="00A53E8C">
                  <w:pPr>
                    <w:pStyle w:val="TableText"/>
                    <w:jc w:val="center"/>
                    <w:rPr>
                      <w:rFonts w:cs="Arial"/>
                    </w:rPr>
                  </w:pPr>
                  <w:r w:rsidRPr="005D4222">
                    <w:rPr>
                      <w:rFonts w:cs="Arial"/>
                    </w:rPr>
                    <w:t>CC-19</w:t>
                  </w:r>
                </w:p>
              </w:tc>
              <w:tc>
                <w:tcPr>
                  <w:tcW w:w="2812" w:type="dxa"/>
                  <w:tcBorders>
                    <w:top w:val="dotted" w:sz="6" w:space="0" w:color="auto"/>
                    <w:bottom w:val="single" w:sz="4" w:space="0" w:color="auto"/>
                  </w:tcBorders>
                  <w:shd w:val="clear" w:color="auto" w:fill="FFFFFF" w:themeFill="background1"/>
                  <w:hideMark/>
                </w:tcPr>
                <w:p w14:paraId="54175894" w14:textId="77777777" w:rsidR="00B25234" w:rsidRPr="005D4222" w:rsidRDefault="00B25234" w:rsidP="00A53E8C">
                  <w:pPr>
                    <w:pStyle w:val="TableText"/>
                    <w:rPr>
                      <w:rFonts w:cs="Arial"/>
                    </w:rPr>
                  </w:pPr>
                  <w:r w:rsidRPr="005D4222">
                    <w:rPr>
                      <w:rFonts w:cs="Arial"/>
                    </w:rPr>
                    <w:t xml:space="preserve">Diabetes Without Complications </w:t>
                  </w:r>
                </w:p>
              </w:tc>
              <w:tc>
                <w:tcPr>
                  <w:tcW w:w="679" w:type="dxa"/>
                  <w:tcBorders>
                    <w:top w:val="dotted" w:sz="6" w:space="0" w:color="auto"/>
                    <w:bottom w:val="single" w:sz="4" w:space="0" w:color="auto"/>
                  </w:tcBorders>
                  <w:shd w:val="clear" w:color="auto" w:fill="FFFFFF" w:themeFill="background1"/>
                  <w:hideMark/>
                </w:tcPr>
                <w:p w14:paraId="1EADFC4F" w14:textId="77777777" w:rsidR="00B25234" w:rsidRPr="005D4222" w:rsidRDefault="00B25234" w:rsidP="00A53E8C">
                  <w:pPr>
                    <w:pStyle w:val="TableText"/>
                    <w:jc w:val="center"/>
                    <w:rPr>
                      <w:rFonts w:cs="Arial"/>
                    </w:rPr>
                  </w:pPr>
                  <w:r w:rsidRPr="005D4222">
                    <w:rPr>
                      <w:rFonts w:cs="Arial"/>
                    </w:rPr>
                    <w:t>3</w:t>
                  </w:r>
                </w:p>
              </w:tc>
              <w:tc>
                <w:tcPr>
                  <w:tcW w:w="689" w:type="dxa"/>
                  <w:tcBorders>
                    <w:top w:val="dotted" w:sz="6" w:space="0" w:color="auto"/>
                    <w:bottom w:val="single" w:sz="4" w:space="0" w:color="auto"/>
                  </w:tcBorders>
                  <w:shd w:val="clear" w:color="auto" w:fill="FFFFFF" w:themeFill="background1"/>
                  <w:hideMark/>
                </w:tcPr>
                <w:p w14:paraId="13B534AC" w14:textId="77777777" w:rsidR="00B25234" w:rsidRPr="005D4222" w:rsidRDefault="00B25234" w:rsidP="00A53E8C">
                  <w:pPr>
                    <w:pStyle w:val="TableText"/>
                    <w:jc w:val="center"/>
                    <w:rPr>
                      <w:rFonts w:cs="Arial"/>
                    </w:rPr>
                  </w:pPr>
                  <w:r w:rsidRPr="005D4222">
                    <w:rPr>
                      <w:rFonts w:cs="Arial"/>
                    </w:rPr>
                    <w:t>HCC-19</w:t>
                  </w:r>
                </w:p>
              </w:tc>
            </w:tr>
          </w:tbl>
          <w:p w14:paraId="3EE788B5" w14:textId="77777777" w:rsidR="00B25234" w:rsidRPr="005D4222" w:rsidRDefault="00B25234" w:rsidP="00A53E8C">
            <w:pPr>
              <w:pStyle w:val="ECDSBody"/>
              <w:spacing w:before="240"/>
            </w:pPr>
            <w:r w:rsidRPr="005D4222">
              <w:rPr>
                <w:b/>
              </w:rPr>
              <w:t xml:space="preserve">Step 5. </w:t>
            </w:r>
            <w:r w:rsidRPr="005D4222">
              <w:t xml:space="preserve">Identify combination HCCs listed in Table HCC—Comb. </w:t>
            </w:r>
          </w:p>
          <w:p w14:paraId="53745501" w14:textId="77777777" w:rsidR="00B25234" w:rsidRPr="005D4222" w:rsidRDefault="00B25234" w:rsidP="00A53E8C">
            <w:pPr>
              <w:pStyle w:val="ECDSBody"/>
            </w:pPr>
            <w:r w:rsidRPr="005D4222">
              <w:t>Some combinations suggest a greater amount of risk when observed together.</w:t>
            </w:r>
          </w:p>
          <w:p w14:paraId="30EDEB9E" w14:textId="77777777" w:rsidR="00B25234" w:rsidRPr="005D4222" w:rsidRDefault="00B25234" w:rsidP="00B25234">
            <w:pPr>
              <w:pStyle w:val="Bullet"/>
              <w:numPr>
                <w:ilvl w:val="0"/>
                <w:numId w:val="4"/>
              </w:numPr>
              <w:tabs>
                <w:tab w:val="left" w:pos="360"/>
                <w:tab w:val="left" w:pos="576"/>
              </w:tabs>
              <w:ind w:left="576" w:hanging="216"/>
            </w:pPr>
            <w:r w:rsidRPr="005D4222">
              <w:rPr>
                <w:i/>
              </w:rPr>
              <w:t>For example,</w:t>
            </w:r>
            <w:r w:rsidRPr="005D4222">
              <w:t xml:space="preserve"> when diabetes and</w:t>
            </w:r>
            <w:r w:rsidRPr="005D4222">
              <w:rPr>
                <w:i/>
                <w:iCs/>
              </w:rPr>
              <w:t xml:space="preserve"> </w:t>
            </w:r>
            <w:r w:rsidRPr="005D4222">
              <w:t xml:space="preserve">CHF are present, an increased amount of risk is evident. Additional HCCs are selected to account for these relationships. </w:t>
            </w:r>
          </w:p>
          <w:p w14:paraId="3274E796" w14:textId="77777777" w:rsidR="00B25234" w:rsidRPr="005D4222" w:rsidRDefault="00B25234" w:rsidP="00A53E8C">
            <w:pPr>
              <w:pStyle w:val="ECDSBody"/>
            </w:pPr>
            <w:r w:rsidRPr="005D4222">
              <w:t xml:space="preserve">Compare each denominator unit’s list of unique HCCs to those in the </w:t>
            </w:r>
            <w:r w:rsidRPr="005D4222">
              <w:rPr>
                <w:i/>
              </w:rPr>
              <w:t>Comorbid HCC</w:t>
            </w:r>
            <w:r w:rsidRPr="005D4222">
              <w:t xml:space="preserve"> columns in Table HCC—Comb and assign any additional HCC conditions.</w:t>
            </w:r>
          </w:p>
          <w:p w14:paraId="49E54181" w14:textId="77777777" w:rsidR="00B25234" w:rsidRPr="005D4222" w:rsidRDefault="00B25234" w:rsidP="00A53E8C">
            <w:pPr>
              <w:pStyle w:val="ECDSBody"/>
            </w:pPr>
            <w:r w:rsidRPr="005D4222">
              <w:rPr>
                <w:i/>
              </w:rPr>
              <w:t xml:space="preserve">If there are overlapping combinations, use both sets of combinations. </w:t>
            </w:r>
            <w:r w:rsidRPr="005D4222">
              <w:t>Based on the combinations, a denominator unit can have none, one or more of these added HCCs.</w:t>
            </w:r>
          </w:p>
          <w:p w14:paraId="01FA0672" w14:textId="12032F64" w:rsidR="00B25234" w:rsidRPr="005D4222" w:rsidRDefault="00B25234" w:rsidP="005207E4">
            <w:pPr>
              <w:pStyle w:val="Bullet"/>
              <w:numPr>
                <w:ilvl w:val="0"/>
                <w:numId w:val="4"/>
              </w:numPr>
              <w:tabs>
                <w:tab w:val="left" w:pos="360"/>
                <w:tab w:val="left" w:pos="576"/>
              </w:tabs>
              <w:spacing w:after="80"/>
              <w:ind w:left="576" w:hanging="216"/>
            </w:pPr>
            <w:r w:rsidRPr="005D4222">
              <w:rPr>
                <w:i/>
                <w:iCs/>
              </w:rPr>
              <w:t xml:space="preserve">For example, </w:t>
            </w:r>
            <w:r w:rsidRPr="005D4222">
              <w:t>for a</w:t>
            </w:r>
            <w:r w:rsidRPr="005D4222" w:rsidDel="008F7E1D">
              <w:t xml:space="preserve"> </w:t>
            </w:r>
            <w:r w:rsidRPr="005D4222">
              <w:t xml:space="preserve">denominator unit with comorbidities HCC-17 and HCC-85 (assume no other HCCs), assign HCC-901 in addition to </w:t>
            </w:r>
            <w:r w:rsidRPr="005D4222">
              <w:br/>
              <w:t xml:space="preserve">HCC-17 and HCC-85. This </w:t>
            </w:r>
            <w:r w:rsidRPr="005D4222">
              <w:rPr>
                <w:i/>
                <w:iCs/>
              </w:rPr>
              <w:t>does not</w:t>
            </w:r>
            <w:r w:rsidRPr="005D4222">
              <w:t xml:space="preserve"> replace HCC-17 and HCC-85.</w:t>
            </w:r>
          </w:p>
        </w:tc>
      </w:tr>
      <w:tr w:rsidR="00B25234" w:rsidRPr="005D4222" w14:paraId="36BC0CCF" w14:textId="77777777" w:rsidTr="006605E1">
        <w:tc>
          <w:tcPr>
            <w:tcW w:w="2157" w:type="dxa"/>
            <w:tcBorders>
              <w:bottom w:val="single" w:sz="4" w:space="0" w:color="auto"/>
            </w:tcBorders>
            <w:shd w:val="clear" w:color="auto" w:fill="BFBFBF" w:themeFill="background1" w:themeFillShade="BF"/>
            <w:tcMar>
              <w:top w:w="0" w:type="dxa"/>
              <w:left w:w="86" w:type="dxa"/>
              <w:bottom w:w="43" w:type="dxa"/>
              <w:right w:w="86" w:type="dxa"/>
            </w:tcMar>
          </w:tcPr>
          <w:p w14:paraId="453C04AC" w14:textId="77777777" w:rsidR="00B25234" w:rsidRPr="005D4222" w:rsidRDefault="00B25234" w:rsidP="00A53E8C">
            <w:pPr>
              <w:pStyle w:val="ECDSMarginHead"/>
            </w:pPr>
          </w:p>
        </w:tc>
        <w:tc>
          <w:tcPr>
            <w:tcW w:w="7557" w:type="dxa"/>
            <w:tcBorders>
              <w:bottom w:val="single" w:sz="4" w:space="0" w:color="auto"/>
            </w:tcBorders>
            <w:tcMar>
              <w:top w:w="0" w:type="dxa"/>
              <w:left w:w="86" w:type="dxa"/>
              <w:bottom w:w="43" w:type="dxa"/>
              <w:right w:w="86" w:type="dxa"/>
            </w:tcMar>
          </w:tcPr>
          <w:p w14:paraId="2A8C2615" w14:textId="77777777" w:rsidR="00B25234" w:rsidRPr="005D4222" w:rsidRDefault="00B25234" w:rsidP="00A53E8C">
            <w:pPr>
              <w:pStyle w:val="Heading3"/>
              <w:spacing w:before="120"/>
            </w:pPr>
            <w:r w:rsidRPr="005D4222">
              <w:t>Table HCC—Comb</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5"/>
              <w:gridCol w:w="1475"/>
              <w:gridCol w:w="1475"/>
              <w:gridCol w:w="1475"/>
              <w:gridCol w:w="1475"/>
            </w:tblGrid>
            <w:tr w:rsidR="00B25234" w:rsidRPr="005D4222" w14:paraId="495958F5" w14:textId="77777777" w:rsidTr="00A53E8C">
              <w:trPr>
                <w:trHeight w:val="448"/>
              </w:trPr>
              <w:tc>
                <w:tcPr>
                  <w:tcW w:w="1475" w:type="dxa"/>
                  <w:tcBorders>
                    <w:right w:val="single" w:sz="4" w:space="0" w:color="FFFFFF" w:themeColor="background1"/>
                  </w:tcBorders>
                  <w:shd w:val="clear" w:color="auto" w:fill="000000" w:themeFill="text1"/>
                  <w:vAlign w:val="bottom"/>
                  <w:hideMark/>
                </w:tcPr>
                <w:p w14:paraId="5D9DC72C" w14:textId="77777777" w:rsidR="00B25234" w:rsidRPr="005D4222" w:rsidRDefault="00B25234" w:rsidP="00A53E8C">
                  <w:pPr>
                    <w:pStyle w:val="TableHead"/>
                    <w:spacing w:before="40" w:after="40"/>
                    <w:rPr>
                      <w:color w:val="auto"/>
                    </w:rPr>
                  </w:pPr>
                  <w:r w:rsidRPr="005D4222">
                    <w:rPr>
                      <w:color w:val="auto"/>
                    </w:rPr>
                    <w:t xml:space="preserve">Comorbid </w:t>
                  </w:r>
                  <w:r w:rsidRPr="005D4222">
                    <w:rPr>
                      <w:color w:val="auto"/>
                    </w:rPr>
                    <w:br/>
                    <w:t>HCC 1</w:t>
                  </w:r>
                </w:p>
              </w:tc>
              <w:tc>
                <w:tcPr>
                  <w:tcW w:w="1475" w:type="dxa"/>
                  <w:tcBorders>
                    <w:left w:val="single" w:sz="4" w:space="0" w:color="FFFFFF" w:themeColor="background1"/>
                    <w:right w:val="single" w:sz="4" w:space="0" w:color="FFFFFF" w:themeColor="background1"/>
                  </w:tcBorders>
                  <w:shd w:val="clear" w:color="auto" w:fill="000000" w:themeFill="text1"/>
                  <w:vAlign w:val="bottom"/>
                  <w:hideMark/>
                </w:tcPr>
                <w:p w14:paraId="08EED122" w14:textId="77777777" w:rsidR="00B25234" w:rsidRPr="005D4222" w:rsidRDefault="00B25234" w:rsidP="00A53E8C">
                  <w:pPr>
                    <w:pStyle w:val="TableHead"/>
                    <w:spacing w:before="40" w:after="40"/>
                    <w:rPr>
                      <w:color w:val="auto"/>
                    </w:rPr>
                  </w:pPr>
                  <w:r w:rsidRPr="005D4222">
                    <w:rPr>
                      <w:color w:val="auto"/>
                    </w:rPr>
                    <w:t xml:space="preserve">Comorbid </w:t>
                  </w:r>
                  <w:r w:rsidRPr="005D4222">
                    <w:rPr>
                      <w:color w:val="auto"/>
                    </w:rPr>
                    <w:br/>
                    <w:t>HCC 2</w:t>
                  </w:r>
                </w:p>
              </w:tc>
              <w:tc>
                <w:tcPr>
                  <w:tcW w:w="1475" w:type="dxa"/>
                  <w:tcBorders>
                    <w:left w:val="single" w:sz="4" w:space="0" w:color="FFFFFF" w:themeColor="background1"/>
                    <w:right w:val="single" w:sz="4" w:space="0" w:color="FFFFFF" w:themeColor="background1"/>
                  </w:tcBorders>
                  <w:shd w:val="clear" w:color="auto" w:fill="000000" w:themeFill="text1"/>
                  <w:vAlign w:val="bottom"/>
                  <w:hideMark/>
                </w:tcPr>
                <w:p w14:paraId="4CD9B947" w14:textId="77777777" w:rsidR="00B25234" w:rsidRPr="005D4222" w:rsidRDefault="00B25234" w:rsidP="00A53E8C">
                  <w:pPr>
                    <w:pStyle w:val="TableHead"/>
                    <w:spacing w:before="40" w:after="40"/>
                    <w:rPr>
                      <w:color w:val="auto"/>
                    </w:rPr>
                  </w:pPr>
                  <w:r w:rsidRPr="005D4222">
                    <w:rPr>
                      <w:color w:val="auto"/>
                    </w:rPr>
                    <w:t xml:space="preserve">Comorbid </w:t>
                  </w:r>
                  <w:r w:rsidRPr="005D4222">
                    <w:rPr>
                      <w:color w:val="auto"/>
                    </w:rPr>
                    <w:br/>
                    <w:t>HCC 3</w:t>
                  </w:r>
                </w:p>
              </w:tc>
              <w:tc>
                <w:tcPr>
                  <w:tcW w:w="1475" w:type="dxa"/>
                  <w:tcBorders>
                    <w:left w:val="single" w:sz="4" w:space="0" w:color="FFFFFF" w:themeColor="background1"/>
                    <w:right w:val="single" w:sz="4" w:space="0" w:color="FFFFFF" w:themeColor="background1"/>
                  </w:tcBorders>
                  <w:shd w:val="clear" w:color="auto" w:fill="000000" w:themeFill="text1"/>
                  <w:vAlign w:val="bottom"/>
                  <w:hideMark/>
                </w:tcPr>
                <w:p w14:paraId="57A5ADE9" w14:textId="77777777" w:rsidR="00B25234" w:rsidRPr="005D4222" w:rsidRDefault="00B25234" w:rsidP="00A53E8C">
                  <w:pPr>
                    <w:pStyle w:val="TableHead"/>
                    <w:spacing w:before="40" w:after="40"/>
                    <w:rPr>
                      <w:color w:val="auto"/>
                    </w:rPr>
                  </w:pPr>
                  <w:r w:rsidRPr="005D4222">
                    <w:rPr>
                      <w:color w:val="auto"/>
                    </w:rPr>
                    <w:t>HCC-</w:t>
                  </w:r>
                  <w:r w:rsidRPr="005D4222">
                    <w:rPr>
                      <w:color w:val="auto"/>
                    </w:rPr>
                    <w:br/>
                    <w:t>Combination</w:t>
                  </w:r>
                </w:p>
              </w:tc>
              <w:tc>
                <w:tcPr>
                  <w:tcW w:w="1475" w:type="dxa"/>
                  <w:tcBorders>
                    <w:left w:val="single" w:sz="4" w:space="0" w:color="FFFFFF" w:themeColor="background1"/>
                  </w:tcBorders>
                  <w:shd w:val="clear" w:color="auto" w:fill="000000" w:themeFill="text1"/>
                  <w:vAlign w:val="bottom"/>
                </w:tcPr>
                <w:p w14:paraId="0A0DAAAD" w14:textId="77777777" w:rsidR="00B25234" w:rsidRPr="005D4222" w:rsidRDefault="00B25234" w:rsidP="00A53E8C">
                  <w:pPr>
                    <w:pStyle w:val="TableHead"/>
                    <w:spacing w:before="40" w:after="40"/>
                    <w:rPr>
                      <w:color w:val="auto"/>
                    </w:rPr>
                  </w:pPr>
                  <w:r w:rsidRPr="005D4222">
                    <w:rPr>
                      <w:color w:val="auto"/>
                    </w:rPr>
                    <w:t>HCC-Comb Description</w:t>
                  </w:r>
                </w:p>
              </w:tc>
            </w:tr>
            <w:tr w:rsidR="00B25234" w:rsidRPr="005D4222" w14:paraId="1573FEDD" w14:textId="77777777" w:rsidTr="00A53E8C">
              <w:tc>
                <w:tcPr>
                  <w:tcW w:w="1475" w:type="dxa"/>
                  <w:shd w:val="clear" w:color="auto" w:fill="FFFFFF" w:themeFill="background1"/>
                  <w:hideMark/>
                </w:tcPr>
                <w:p w14:paraId="03B68BFE" w14:textId="77777777" w:rsidR="00B25234" w:rsidRPr="005D4222" w:rsidRDefault="00B25234" w:rsidP="00A53E8C">
                  <w:pPr>
                    <w:pStyle w:val="TableText"/>
                    <w:spacing w:before="40" w:after="40"/>
                  </w:pPr>
                  <w:r w:rsidRPr="005D4222">
                    <w:t>HCC-17</w:t>
                  </w:r>
                </w:p>
              </w:tc>
              <w:tc>
                <w:tcPr>
                  <w:tcW w:w="1475" w:type="dxa"/>
                  <w:shd w:val="clear" w:color="auto" w:fill="FFFFFF" w:themeFill="background1"/>
                  <w:hideMark/>
                </w:tcPr>
                <w:p w14:paraId="0D2552B6" w14:textId="77777777" w:rsidR="00B25234" w:rsidRPr="005D4222" w:rsidRDefault="00B25234" w:rsidP="00A53E8C">
                  <w:pPr>
                    <w:pStyle w:val="TableText"/>
                    <w:spacing w:before="40" w:after="40"/>
                  </w:pPr>
                  <w:r w:rsidRPr="005D4222">
                    <w:t>HCC-85</w:t>
                  </w:r>
                </w:p>
              </w:tc>
              <w:tc>
                <w:tcPr>
                  <w:tcW w:w="1475" w:type="dxa"/>
                  <w:shd w:val="clear" w:color="auto" w:fill="FFFFFF" w:themeFill="background1"/>
                  <w:hideMark/>
                </w:tcPr>
                <w:p w14:paraId="6BE2D5E0" w14:textId="77777777" w:rsidR="00B25234" w:rsidRPr="005D4222" w:rsidRDefault="00B25234" w:rsidP="00A53E8C">
                  <w:pPr>
                    <w:pStyle w:val="TableText"/>
                    <w:spacing w:before="40" w:after="40"/>
                  </w:pPr>
                  <w:r w:rsidRPr="005D4222">
                    <w:t>NA</w:t>
                  </w:r>
                </w:p>
              </w:tc>
              <w:tc>
                <w:tcPr>
                  <w:tcW w:w="1475" w:type="dxa"/>
                  <w:shd w:val="clear" w:color="auto" w:fill="FFFFFF" w:themeFill="background1"/>
                  <w:hideMark/>
                </w:tcPr>
                <w:p w14:paraId="7833D055" w14:textId="77777777" w:rsidR="00B25234" w:rsidRPr="005D4222" w:rsidRDefault="00B25234" w:rsidP="00A53E8C">
                  <w:pPr>
                    <w:pStyle w:val="TableText"/>
                    <w:spacing w:before="40" w:after="40"/>
                  </w:pPr>
                  <w:r w:rsidRPr="005D4222">
                    <w:t>HCC-901</w:t>
                  </w:r>
                </w:p>
              </w:tc>
              <w:tc>
                <w:tcPr>
                  <w:tcW w:w="1475" w:type="dxa"/>
                  <w:shd w:val="clear" w:color="auto" w:fill="FFFFFF" w:themeFill="background1"/>
                </w:tcPr>
                <w:p w14:paraId="76CC44B0" w14:textId="77777777" w:rsidR="00B25234" w:rsidRPr="005D4222" w:rsidRDefault="00B25234" w:rsidP="00A53E8C">
                  <w:pPr>
                    <w:pStyle w:val="TableText"/>
                    <w:spacing w:before="40" w:after="40"/>
                  </w:pPr>
                  <w:r w:rsidRPr="005D4222">
                    <w:t>Combination: Diabetes and CHF</w:t>
                  </w:r>
                </w:p>
              </w:tc>
            </w:tr>
            <w:tr w:rsidR="00B25234" w:rsidRPr="005D4222" w14:paraId="789B626A" w14:textId="77777777" w:rsidTr="00A53E8C">
              <w:tc>
                <w:tcPr>
                  <w:tcW w:w="1475" w:type="dxa"/>
                  <w:hideMark/>
                </w:tcPr>
                <w:p w14:paraId="1E051F8E" w14:textId="77777777" w:rsidR="00B25234" w:rsidRPr="005D4222" w:rsidRDefault="00B25234" w:rsidP="00A53E8C">
                  <w:pPr>
                    <w:pStyle w:val="TableText"/>
                    <w:spacing w:before="40" w:after="40"/>
                  </w:pPr>
                  <w:r w:rsidRPr="005D4222">
                    <w:t>HCC-18</w:t>
                  </w:r>
                </w:p>
              </w:tc>
              <w:tc>
                <w:tcPr>
                  <w:tcW w:w="1475" w:type="dxa"/>
                  <w:hideMark/>
                </w:tcPr>
                <w:p w14:paraId="45985810" w14:textId="77777777" w:rsidR="00B25234" w:rsidRPr="005D4222" w:rsidRDefault="00B25234" w:rsidP="00A53E8C">
                  <w:pPr>
                    <w:pStyle w:val="TableText"/>
                    <w:spacing w:before="40" w:after="40"/>
                  </w:pPr>
                  <w:r w:rsidRPr="005D4222">
                    <w:t>HCC-85</w:t>
                  </w:r>
                </w:p>
              </w:tc>
              <w:tc>
                <w:tcPr>
                  <w:tcW w:w="1475" w:type="dxa"/>
                  <w:hideMark/>
                </w:tcPr>
                <w:p w14:paraId="0077309D" w14:textId="77777777" w:rsidR="00B25234" w:rsidRPr="005D4222" w:rsidRDefault="00B25234" w:rsidP="00A53E8C">
                  <w:pPr>
                    <w:pStyle w:val="TableText"/>
                    <w:spacing w:before="40" w:after="40"/>
                  </w:pPr>
                  <w:r w:rsidRPr="005D4222">
                    <w:t>NA</w:t>
                  </w:r>
                </w:p>
              </w:tc>
              <w:tc>
                <w:tcPr>
                  <w:tcW w:w="1475" w:type="dxa"/>
                  <w:hideMark/>
                </w:tcPr>
                <w:p w14:paraId="77909F7E" w14:textId="77777777" w:rsidR="00B25234" w:rsidRPr="005D4222" w:rsidRDefault="00B25234" w:rsidP="00A53E8C">
                  <w:pPr>
                    <w:pStyle w:val="TableText"/>
                    <w:spacing w:before="40" w:after="40"/>
                  </w:pPr>
                  <w:r w:rsidRPr="005D4222">
                    <w:t>HCC-901</w:t>
                  </w:r>
                </w:p>
              </w:tc>
              <w:tc>
                <w:tcPr>
                  <w:tcW w:w="1475" w:type="dxa"/>
                </w:tcPr>
                <w:p w14:paraId="0243A847" w14:textId="77777777" w:rsidR="00B25234" w:rsidRPr="005D4222" w:rsidRDefault="00B25234" w:rsidP="00A53E8C">
                  <w:pPr>
                    <w:pStyle w:val="TableText"/>
                    <w:spacing w:before="40" w:after="40"/>
                  </w:pPr>
                  <w:r w:rsidRPr="005D4222">
                    <w:t>Combination: Diabetes and CHF</w:t>
                  </w:r>
                </w:p>
              </w:tc>
            </w:tr>
            <w:tr w:rsidR="00B25234" w:rsidRPr="005D4222" w14:paraId="59775A53" w14:textId="77777777" w:rsidTr="00A53E8C">
              <w:tc>
                <w:tcPr>
                  <w:tcW w:w="1475" w:type="dxa"/>
                  <w:hideMark/>
                </w:tcPr>
                <w:p w14:paraId="7C1B664E" w14:textId="77777777" w:rsidR="00B25234" w:rsidRPr="005D4222" w:rsidRDefault="00B25234" w:rsidP="00A53E8C">
                  <w:pPr>
                    <w:pStyle w:val="TableText"/>
                    <w:spacing w:before="40" w:after="40"/>
                  </w:pPr>
                  <w:r w:rsidRPr="005D4222">
                    <w:t>HCC-19</w:t>
                  </w:r>
                </w:p>
              </w:tc>
              <w:tc>
                <w:tcPr>
                  <w:tcW w:w="1475" w:type="dxa"/>
                  <w:hideMark/>
                </w:tcPr>
                <w:p w14:paraId="4230C189" w14:textId="77777777" w:rsidR="00B25234" w:rsidRPr="005D4222" w:rsidRDefault="00B25234" w:rsidP="00A53E8C">
                  <w:pPr>
                    <w:pStyle w:val="TableText"/>
                    <w:spacing w:before="40" w:after="40"/>
                  </w:pPr>
                  <w:r w:rsidRPr="005D4222">
                    <w:t>HCC-85</w:t>
                  </w:r>
                </w:p>
              </w:tc>
              <w:tc>
                <w:tcPr>
                  <w:tcW w:w="1475" w:type="dxa"/>
                  <w:hideMark/>
                </w:tcPr>
                <w:p w14:paraId="637D80B4" w14:textId="77777777" w:rsidR="00B25234" w:rsidRPr="005D4222" w:rsidRDefault="00B25234" w:rsidP="00A53E8C">
                  <w:pPr>
                    <w:pStyle w:val="TableText"/>
                    <w:spacing w:before="40" w:after="40"/>
                  </w:pPr>
                  <w:r w:rsidRPr="005D4222">
                    <w:t>NA</w:t>
                  </w:r>
                </w:p>
              </w:tc>
              <w:tc>
                <w:tcPr>
                  <w:tcW w:w="1475" w:type="dxa"/>
                  <w:hideMark/>
                </w:tcPr>
                <w:p w14:paraId="60BF74B9" w14:textId="77777777" w:rsidR="00B25234" w:rsidRPr="005D4222" w:rsidRDefault="00B25234" w:rsidP="00A53E8C">
                  <w:pPr>
                    <w:pStyle w:val="TableText"/>
                    <w:spacing w:before="40" w:after="40"/>
                  </w:pPr>
                  <w:r w:rsidRPr="005D4222">
                    <w:t>HCC-901</w:t>
                  </w:r>
                </w:p>
              </w:tc>
              <w:tc>
                <w:tcPr>
                  <w:tcW w:w="1475" w:type="dxa"/>
                </w:tcPr>
                <w:p w14:paraId="2BEDB64C" w14:textId="77777777" w:rsidR="00B25234" w:rsidRPr="005D4222" w:rsidRDefault="00B25234" w:rsidP="00A53E8C">
                  <w:pPr>
                    <w:pStyle w:val="TableText"/>
                    <w:spacing w:before="40" w:after="40"/>
                  </w:pPr>
                  <w:r w:rsidRPr="005D4222">
                    <w:t>Combination: Diabetes and CHF</w:t>
                  </w:r>
                </w:p>
              </w:tc>
            </w:tr>
          </w:tbl>
          <w:p w14:paraId="52D0FE63" w14:textId="77777777" w:rsidR="00B25234" w:rsidRPr="005D4222" w:rsidRDefault="00B25234" w:rsidP="00A53E8C">
            <w:pPr>
              <w:pStyle w:val="ECDSBody"/>
              <w:rPr>
                <w:b/>
                <w:bCs w:val="0"/>
              </w:rPr>
            </w:pPr>
          </w:p>
        </w:tc>
      </w:tr>
      <w:tr w:rsidR="00B25234" w:rsidRPr="005D4222" w14:paraId="52AC211B" w14:textId="77777777" w:rsidTr="00A53E8C">
        <w:tblPrEx>
          <w:tblBorders>
            <w:top w:val="single" w:sz="2" w:space="0" w:color="auto"/>
            <w:bottom w:val="single" w:sz="2" w:space="0" w:color="auto"/>
            <w:insideH w:val="single" w:sz="2" w:space="0" w:color="auto"/>
            <w:insideV w:val="single" w:sz="2" w:space="0" w:color="auto"/>
          </w:tblBorders>
        </w:tblPrEx>
        <w:tc>
          <w:tcPr>
            <w:tcW w:w="2157" w:type="dxa"/>
            <w:tcBorders>
              <w:top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674429CD" w14:textId="77777777" w:rsidR="00B25234" w:rsidRPr="005D4222" w:rsidRDefault="00B25234" w:rsidP="00A53E8C">
            <w:pPr>
              <w:pStyle w:val="ECDSMarginHead"/>
              <w:rPr>
                <w:sz w:val="21"/>
              </w:rPr>
            </w:pPr>
            <w:r w:rsidRPr="005D4222">
              <w:t>Risk adjustment</w:t>
            </w:r>
          </w:p>
        </w:tc>
        <w:tc>
          <w:tcPr>
            <w:tcW w:w="7557" w:type="dxa"/>
            <w:tcBorders>
              <w:top w:val="single" w:sz="4" w:space="0" w:color="auto"/>
              <w:left w:val="single" w:sz="4" w:space="0" w:color="auto"/>
              <w:bottom w:val="single" w:sz="4" w:space="0" w:color="auto"/>
            </w:tcBorders>
            <w:tcMar>
              <w:left w:w="86" w:type="dxa"/>
              <w:bottom w:w="43" w:type="dxa"/>
              <w:right w:w="86" w:type="dxa"/>
            </w:tcMar>
          </w:tcPr>
          <w:p w14:paraId="3D049E0D" w14:textId="77777777" w:rsidR="00B25234" w:rsidRPr="005D4222" w:rsidRDefault="00B25234" w:rsidP="00A53E8C">
            <w:pPr>
              <w:pStyle w:val="ECDSBody"/>
              <w:rPr>
                <w:b/>
                <w:i/>
              </w:rPr>
            </w:pPr>
            <w:r w:rsidRPr="005D4222">
              <w:rPr>
                <w:b/>
                <w:i/>
              </w:rPr>
              <w:t>Risk</w:t>
            </w:r>
            <w:r w:rsidRPr="005D4222">
              <w:rPr>
                <w:b/>
                <w:bCs w:val="0"/>
                <w:i/>
                <w:iCs/>
              </w:rPr>
              <w:t xml:space="preserve"> Adjustment Calculation</w:t>
            </w:r>
          </w:p>
          <w:p w14:paraId="753026DF" w14:textId="77777777" w:rsidR="00B25234" w:rsidRPr="005D4222" w:rsidRDefault="00B25234" w:rsidP="00A53E8C">
            <w:pPr>
              <w:pStyle w:val="ECDSBody"/>
              <w:spacing w:before="0"/>
            </w:pPr>
            <w:r w:rsidRPr="005D4222">
              <w:rPr>
                <w:kern w:val="24"/>
              </w:rPr>
              <w:t xml:space="preserve">For each IHS among nonoutliers, use the following steps to identify risk adjustment weights based on observation stays status at discharge, surgeries, discharge condition, COVID-19, comorbidity, age and gender. </w:t>
            </w:r>
          </w:p>
          <w:p w14:paraId="53502429" w14:textId="77777777" w:rsidR="00B25234" w:rsidRPr="005D4222" w:rsidRDefault="00B25234" w:rsidP="00A53E8C">
            <w:pPr>
              <w:pStyle w:val="Note"/>
            </w:pPr>
            <w:r w:rsidRPr="005D4222">
              <w:rPr>
                <w:b/>
              </w:rPr>
              <w:t>Note:</w:t>
            </w:r>
            <w:r w:rsidRPr="005D4222">
              <w:t xml:space="preserve"> For Medicare product lines, IHS that are discharged or transferred to skilled nursing care should be assigned two sets of risk adjustment weights: the skilled nursing care risk weights for reporting in Table PCR-C-3 and the standard set of risk weights for reporting in Table PCR-A-3 and Table PCR-B-3. </w:t>
            </w:r>
          </w:p>
          <w:p w14:paraId="44880925" w14:textId="77777777" w:rsidR="00B25234" w:rsidRPr="005D4222" w:rsidRDefault="00B25234" w:rsidP="006B0218">
            <w:pPr>
              <w:pStyle w:val="Note"/>
              <w:spacing w:before="80"/>
              <w:rPr>
                <w:i w:val="0"/>
                <w:iCs/>
              </w:rPr>
            </w:pPr>
            <w:r w:rsidRPr="005D4222">
              <w:t>For reporting IHS that are discharged or transferred to skilled nursing care, do not assign the skilled nursing care risk weights for the stays when reporting in Table PCR-A-3 and Table PCR-B-3 and do not assign the standard set or risk weights for the stays when reporting in Table PCR-C-3.</w:t>
            </w:r>
          </w:p>
          <w:p w14:paraId="31D39886" w14:textId="77777777" w:rsidR="00B25234" w:rsidRPr="005D4222" w:rsidRDefault="00B25234" w:rsidP="00A53E8C">
            <w:pPr>
              <w:pStyle w:val="ECDSBody"/>
            </w:pPr>
            <w:r w:rsidRPr="005D4222">
              <w:rPr>
                <w:b/>
                <w:bCs w:val="0"/>
              </w:rPr>
              <w:t>Step 1.</w:t>
            </w:r>
            <w:r w:rsidRPr="005D4222">
              <w:t xml:space="preserve"> For each IHS discharge that is an observation stay, link the observation stay IHS weight.</w:t>
            </w:r>
          </w:p>
          <w:p w14:paraId="1D8F1C7B" w14:textId="77777777" w:rsidR="00B25234" w:rsidRPr="005D4222" w:rsidRDefault="00B25234" w:rsidP="00A53E8C">
            <w:pPr>
              <w:pStyle w:val="ECDSBody"/>
            </w:pPr>
            <w:r w:rsidRPr="005D4222">
              <w:rPr>
                <w:b/>
                <w:bCs w:val="0"/>
              </w:rPr>
              <w:t>Step 2.</w:t>
            </w:r>
            <w:r w:rsidRPr="005D4222">
              <w:t xml:space="preserve"> For each IHS with a surgery, link the surgery weight.</w:t>
            </w:r>
          </w:p>
          <w:p w14:paraId="16445F52" w14:textId="77777777" w:rsidR="00B25234" w:rsidRPr="005D4222" w:rsidRDefault="00B25234" w:rsidP="00A53E8C">
            <w:pPr>
              <w:pStyle w:val="ECDSBody"/>
            </w:pPr>
            <w:r w:rsidRPr="005D4222">
              <w:rPr>
                <w:b/>
                <w:bCs w:val="0"/>
              </w:rPr>
              <w:t>Step 3.</w:t>
            </w:r>
            <w:r w:rsidRPr="005D4222">
              <w:t xml:space="preserve"> For each IHS with a discharge CC category, link the primary discharge weights.</w:t>
            </w:r>
          </w:p>
          <w:p w14:paraId="58098EF3" w14:textId="77777777" w:rsidR="00B25234" w:rsidRPr="005D4222" w:rsidRDefault="00B25234" w:rsidP="00A53E8C">
            <w:pPr>
              <w:pStyle w:val="ECDSBody"/>
            </w:pPr>
            <w:r w:rsidRPr="005D4222">
              <w:rPr>
                <w:b/>
                <w:bCs w:val="0"/>
              </w:rPr>
              <w:t>Step 4.</w:t>
            </w:r>
            <w:r w:rsidRPr="005D4222">
              <w:t xml:space="preserve"> For each IHS with a comorbidity HCC category, link the comorbidity weights.</w:t>
            </w:r>
          </w:p>
          <w:p w14:paraId="01BDE908" w14:textId="77777777" w:rsidR="00B25234" w:rsidRPr="005D4222" w:rsidRDefault="00B25234" w:rsidP="00A53E8C">
            <w:pPr>
              <w:pStyle w:val="ECDSBody"/>
            </w:pPr>
            <w:r w:rsidRPr="005D4222">
              <w:rPr>
                <w:b/>
                <w:bCs w:val="0"/>
              </w:rPr>
              <w:t>Step 5.</w:t>
            </w:r>
            <w:r w:rsidRPr="005D4222">
              <w:t xml:space="preserve"> For each IHS with a COVID-19 discharge, link the COVID-19 discharge weight.</w:t>
            </w:r>
          </w:p>
          <w:p w14:paraId="6DA188D5" w14:textId="77777777" w:rsidR="00B25234" w:rsidRPr="005D4222" w:rsidRDefault="00B25234" w:rsidP="00A53E8C">
            <w:pPr>
              <w:pStyle w:val="ECDSBody"/>
            </w:pPr>
            <w:r w:rsidRPr="005D4222">
              <w:rPr>
                <w:b/>
                <w:bCs w:val="0"/>
              </w:rPr>
              <w:t>Step 6.</w:t>
            </w:r>
            <w:r w:rsidRPr="005D4222">
              <w:t xml:space="preserve"> Link the age and gender weights for each IHS.</w:t>
            </w:r>
          </w:p>
          <w:p w14:paraId="690B44AC" w14:textId="77777777" w:rsidR="00B25234" w:rsidRPr="005D4222" w:rsidRDefault="00B25234" w:rsidP="00A53E8C">
            <w:pPr>
              <w:pStyle w:val="ECDSBody"/>
            </w:pPr>
            <w:r w:rsidRPr="005D4222">
              <w:rPr>
                <w:b/>
                <w:bCs w:val="0"/>
              </w:rPr>
              <w:t>Step 7</w:t>
            </w:r>
            <w:r w:rsidRPr="005D4222">
              <w:rPr>
                <w:b/>
              </w:rPr>
              <w:t>.</w:t>
            </w:r>
            <w:r w:rsidRPr="005D4222">
              <w:t xml:space="preserve"> Sum all weights (observation stay, presence of surgery, principal discharge diagnosis, comorbidities, COVID-19 discharge, age and gender) associated with the IHS and use the formula below to calculate the estimated readmission risk for each IHS:</w:t>
            </w:r>
          </w:p>
          <w:p w14:paraId="70565D9D" w14:textId="77777777" w:rsidR="00B25234" w:rsidRPr="005D4222" w:rsidRDefault="00B25234" w:rsidP="00A53E8C">
            <w:pPr>
              <w:pStyle w:val="Body"/>
              <w:ind w:left="723" w:hanging="723"/>
              <w:jc w:val="center"/>
            </w:pPr>
            <w:r w:rsidRPr="005D4222">
              <w:t xml:space="preserve">Estimated Readmission Risk = </w:t>
            </w:r>
            <m:oMath>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nary>
                        <m:naryPr>
                          <m:chr m:val="∑"/>
                          <m:limLoc m:val="undOvr"/>
                          <m:subHide m:val="1"/>
                          <m:supHide m:val="1"/>
                          <m:ctrlPr>
                            <w:rPr>
                              <w:rFonts w:ascii="Cambria Math" w:hAnsi="Cambria Math"/>
                              <w:i/>
                            </w:rPr>
                          </m:ctrlPr>
                        </m:naryPr>
                        <m:sub/>
                        <m:sup/>
                        <m:e>
                          <m:r>
                            <m:rPr>
                              <m:nor/>
                            </m:rPr>
                            <m:t>WeightsForIHS</m:t>
                          </m:r>
                        </m:e>
                      </m:nary>
                      <m:r>
                        <w:rPr>
                          <w:rFonts w:ascii="Cambria Math" w:hAnsi="Cambria Math"/>
                        </w:rPr>
                        <m:t>)</m:t>
                      </m:r>
                    </m:sup>
                  </m:sSup>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nary>
                        <m:naryPr>
                          <m:chr m:val="∑"/>
                          <m:limLoc m:val="undOvr"/>
                          <m:subHide m:val="1"/>
                          <m:supHide m:val="1"/>
                          <m:ctrlPr>
                            <w:rPr>
                              <w:rFonts w:ascii="Cambria Math" w:hAnsi="Cambria Math"/>
                              <w:i/>
                            </w:rPr>
                          </m:ctrlPr>
                        </m:naryPr>
                        <m:sub/>
                        <m:sup/>
                        <m:e>
                          <m:r>
                            <m:rPr>
                              <m:nor/>
                            </m:rPr>
                            <m:t>WeightsForIHS</m:t>
                          </m:r>
                        </m:e>
                      </m:nary>
                      <m:r>
                        <w:rPr>
                          <w:rFonts w:ascii="Cambria Math" w:hAnsi="Cambria Math"/>
                        </w:rPr>
                        <m:t>)</m:t>
                      </m:r>
                    </m:sup>
                  </m:sSup>
                </m:den>
              </m:f>
            </m:oMath>
          </w:p>
          <w:p w14:paraId="3C5235CA" w14:textId="77777777" w:rsidR="00B25234" w:rsidRPr="005D4222" w:rsidRDefault="00B25234" w:rsidP="00A53E8C">
            <w:pPr>
              <w:spacing w:after="80"/>
              <w:ind w:left="723" w:hanging="723"/>
              <w:rPr>
                <w:rFonts w:cs="Arial"/>
                <w:b/>
                <w:i/>
              </w:rPr>
            </w:pPr>
            <w:r w:rsidRPr="005D4222">
              <w:rPr>
                <w:rFonts w:cs="Arial"/>
                <w:b/>
                <w:i/>
              </w:rPr>
              <w:t>OR</w:t>
            </w:r>
          </w:p>
          <w:p w14:paraId="38E653A2" w14:textId="77777777" w:rsidR="00B25234" w:rsidRPr="005D4222" w:rsidRDefault="00B25234" w:rsidP="00A53E8C">
            <w:pPr>
              <w:pStyle w:val="Body"/>
              <w:jc w:val="center"/>
            </w:pPr>
            <w:r w:rsidRPr="005D4222">
              <w:t xml:space="preserve">Estimated Readmission Risk = [exp (sum of weights for IHS)] / [ 1 + exp </w:t>
            </w:r>
            <w:r w:rsidRPr="005D4222">
              <w:br/>
              <w:t>(sum of weights for IHS)]</w:t>
            </w:r>
          </w:p>
          <w:p w14:paraId="7723521A" w14:textId="77777777" w:rsidR="00B25234" w:rsidRPr="005D4222" w:rsidRDefault="00B25234" w:rsidP="00A53E8C">
            <w:pPr>
              <w:pStyle w:val="Note"/>
              <w:spacing w:after="80"/>
              <w:ind w:left="723" w:hanging="723"/>
              <w:jc w:val="both"/>
            </w:pPr>
            <w:r w:rsidRPr="005D4222">
              <w:rPr>
                <w:b/>
              </w:rPr>
              <w:t xml:space="preserve">Note: </w:t>
            </w:r>
            <w:r w:rsidRPr="005D4222">
              <w:t>“Exp” refers to the exponential or antilog function.</w:t>
            </w:r>
          </w:p>
          <w:p w14:paraId="2111B100" w14:textId="77777777" w:rsidR="00B25234" w:rsidRPr="005D4222" w:rsidRDefault="00B25234" w:rsidP="00A53E8C">
            <w:pPr>
              <w:pStyle w:val="ECDSBody"/>
              <w:rPr>
                <w:i/>
              </w:rPr>
            </w:pPr>
            <w:r w:rsidRPr="005D4222">
              <w:lastRenderedPageBreak/>
              <w:t>Truncate the estimated readmission risk for each IHS to 10 decimal places. Do not truncate or round in previous steps.</w:t>
            </w:r>
          </w:p>
          <w:p w14:paraId="3EC002B9" w14:textId="77777777" w:rsidR="00B25234" w:rsidRPr="005D4222" w:rsidRDefault="00B25234" w:rsidP="00A53E8C">
            <w:pPr>
              <w:pStyle w:val="ECDSBody"/>
            </w:pPr>
            <w:r w:rsidRPr="005D4222">
              <w:rPr>
                <w:b/>
              </w:rPr>
              <w:t>Step 8.</w:t>
            </w:r>
            <w:r w:rsidRPr="005D4222">
              <w:t xml:space="preserve"> Calculate the count of expected readmissions for each age and stratification category. The count of expected readmissions is the sum of the estimated readmission risk calculated in step 7 for each IHS in each age and stratification category. </w:t>
            </w:r>
          </w:p>
          <w:p w14:paraId="6735561C" w14:textId="77777777" w:rsidR="00B25234" w:rsidRPr="005D4222" w:rsidRDefault="00010176" w:rsidP="00A53E8C">
            <w:pPr>
              <w:autoSpaceDE w:val="0"/>
              <w:autoSpaceDN w:val="0"/>
              <w:adjustRightInd w:val="0"/>
              <w:jc w:val="center"/>
              <w:rPr>
                <w:i/>
                <w:iCs/>
              </w:rPr>
            </w:pPr>
            <m:oMathPara>
              <m:oMath>
                <m:r>
                  <w:rPr>
                    <w:rFonts w:ascii="Cambria Math" w:hAnsi="Cambria Math" w:cs="Arial"/>
                  </w:rPr>
                  <m:t>Count of Expected Readmissions=</m:t>
                </m:r>
                <m:nary>
                  <m:naryPr>
                    <m:chr m:val="∑"/>
                    <m:limLoc m:val="undOvr"/>
                    <m:subHide m:val="1"/>
                    <m:supHide m:val="1"/>
                    <m:ctrlPr>
                      <w:rPr>
                        <w:rFonts w:ascii="Cambria Math" w:hAnsi="Cambria Math" w:cs="Arial"/>
                        <w:i/>
                        <w:color w:val="000000" w:themeColor="text1"/>
                      </w:rPr>
                    </m:ctrlPr>
                  </m:naryPr>
                  <m:sub/>
                  <m:sup/>
                  <m:e>
                    <m:r>
                      <m:rPr>
                        <m:sty m:val="p"/>
                      </m:rPr>
                      <w:rPr>
                        <w:rFonts w:ascii="Cambria Math" w:hAnsi="Cambria Math" w:cs="Arial"/>
                        <w:color w:val="000000" w:themeColor="text1"/>
                      </w:rPr>
                      <m:t>(Estimated Readmission Risk)</m:t>
                    </m:r>
                  </m:e>
                </m:nary>
              </m:oMath>
            </m:oMathPara>
          </w:p>
          <w:p w14:paraId="04356763" w14:textId="77777777" w:rsidR="00B25234" w:rsidRPr="005D4222" w:rsidRDefault="00B25234" w:rsidP="00A53E8C">
            <w:pPr>
              <w:pStyle w:val="ECDSBody"/>
            </w:pPr>
            <w:r w:rsidRPr="005D4222">
              <w:rPr>
                <w:b/>
              </w:rPr>
              <w:t>Step 9</w:t>
            </w:r>
            <w:r w:rsidRPr="005D4222">
              <w:rPr>
                <w:b/>
                <w:i/>
                <w:iCs/>
              </w:rPr>
              <w:t xml:space="preserve">. </w:t>
            </w:r>
            <w:r w:rsidRPr="005D4222">
              <w:t>Use the formula below and the estimated readmission risk calculated in step 7 to calculate the variance for each IHS.</w:t>
            </w:r>
          </w:p>
          <w:p w14:paraId="0FCBF412" w14:textId="77777777" w:rsidR="00B25234" w:rsidRPr="005D4222" w:rsidRDefault="00B25234" w:rsidP="00A53E8C">
            <w:pPr>
              <w:pStyle w:val="Body"/>
              <w:jc w:val="center"/>
            </w:pPr>
            <w:r w:rsidRPr="005D4222">
              <w:t>Variance = Estimated Readmission Risk x (1 – Estimated Readmission Risk)</w:t>
            </w:r>
          </w:p>
          <w:p w14:paraId="1E5F055F" w14:textId="77777777" w:rsidR="00B25234" w:rsidRPr="005D4222" w:rsidRDefault="00B25234" w:rsidP="00A53E8C">
            <w:pPr>
              <w:pStyle w:val="ECDSBody"/>
            </w:pPr>
            <w:r w:rsidRPr="005D4222">
              <w:t xml:space="preserve">Truncate the variance </w:t>
            </w:r>
            <w:r w:rsidRPr="005D4222">
              <w:rPr>
                <w:i/>
              </w:rPr>
              <w:t>for each IHS</w:t>
            </w:r>
            <w:r w:rsidRPr="005D4222">
              <w:t xml:space="preserve"> to 10 decimal places.</w:t>
            </w:r>
          </w:p>
          <w:p w14:paraId="3E5DD525" w14:textId="77777777" w:rsidR="00B25234" w:rsidRPr="005D4222" w:rsidRDefault="00B25234" w:rsidP="00B25234">
            <w:pPr>
              <w:pStyle w:val="Bullet"/>
              <w:numPr>
                <w:ilvl w:val="0"/>
                <w:numId w:val="4"/>
              </w:numPr>
              <w:tabs>
                <w:tab w:val="left" w:pos="360"/>
                <w:tab w:val="left" w:pos="576"/>
              </w:tabs>
              <w:spacing w:before="120" w:after="80"/>
              <w:ind w:left="576" w:hanging="216"/>
              <w:rPr>
                <w:rFonts w:cs="Arial"/>
                <w:b/>
                <w:i/>
              </w:rPr>
            </w:pPr>
            <w:r w:rsidRPr="005D4222">
              <w:rPr>
                <w:i/>
              </w:rPr>
              <w:t>For example</w:t>
            </w:r>
            <w:r w:rsidRPr="005D4222">
              <w:rPr>
                <w:iCs/>
              </w:rPr>
              <w:t>: I</w:t>
            </w:r>
            <w:r w:rsidRPr="005D4222">
              <w:t>f the estimated readmission risk is 0.1518450741 for an IHS, then the variance for this IHS is 0.1518450741 x 0.8481549259 = 0.1287881475.</w:t>
            </w:r>
          </w:p>
          <w:p w14:paraId="30C6B8CB" w14:textId="77777777" w:rsidR="00B25234" w:rsidRPr="005D4222" w:rsidRDefault="00B25234" w:rsidP="00A53E8C">
            <w:pPr>
              <w:pStyle w:val="Note"/>
              <w:spacing w:after="80"/>
              <w:rPr>
                <w:rFonts w:cs="Arial"/>
                <w:b/>
                <w:i w:val="0"/>
              </w:rPr>
            </w:pPr>
            <w:r w:rsidRPr="005D4222">
              <w:rPr>
                <w:b/>
              </w:rPr>
              <w:t>Note:</w:t>
            </w:r>
            <w:r w:rsidRPr="005D4222">
              <w:t xml:space="preserve"> Organizations must sum the variances for each stratification and age when populating the Variance cells in the reporting tables. When reporting, round the variance to 4 decimal places using the .5 rule.</w:t>
            </w:r>
          </w:p>
        </w:tc>
      </w:tr>
      <w:tr w:rsidR="00B25234" w:rsidRPr="005D4222" w14:paraId="65CDFA07" w14:textId="77777777" w:rsidTr="00A53E8C">
        <w:tblPrEx>
          <w:tblBorders>
            <w:top w:val="single" w:sz="2" w:space="0" w:color="auto"/>
            <w:bottom w:val="single" w:sz="2" w:space="0" w:color="auto"/>
            <w:insideH w:val="single" w:sz="2" w:space="0" w:color="auto"/>
            <w:insideV w:val="single" w:sz="2" w:space="0" w:color="auto"/>
          </w:tblBorders>
        </w:tblPrEx>
        <w:tc>
          <w:tcPr>
            <w:tcW w:w="2157" w:type="dxa"/>
            <w:tcBorders>
              <w:top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307EEF16" w14:textId="77777777" w:rsidR="00B25234" w:rsidRPr="005D4222" w:rsidRDefault="00B25234" w:rsidP="00A53E8C">
            <w:pPr>
              <w:pStyle w:val="ECDSMarginHead"/>
            </w:pPr>
            <w:r w:rsidRPr="005D4222">
              <w:lastRenderedPageBreak/>
              <w:t>Numerator</w:t>
            </w:r>
          </w:p>
        </w:tc>
        <w:tc>
          <w:tcPr>
            <w:tcW w:w="7557" w:type="dxa"/>
            <w:tcBorders>
              <w:top w:val="single" w:sz="4" w:space="0" w:color="auto"/>
              <w:left w:val="single" w:sz="4" w:space="0" w:color="auto"/>
            </w:tcBorders>
            <w:tcMar>
              <w:left w:w="86" w:type="dxa"/>
              <w:bottom w:w="43" w:type="dxa"/>
              <w:right w:w="86" w:type="dxa"/>
            </w:tcMar>
          </w:tcPr>
          <w:p w14:paraId="10A6F683" w14:textId="77777777" w:rsidR="00B25234" w:rsidRPr="005D4222" w:rsidRDefault="00B25234" w:rsidP="00A53E8C">
            <w:pPr>
              <w:pStyle w:val="ECDSBody"/>
              <w:rPr>
                <w:b/>
              </w:rPr>
            </w:pPr>
            <w:r w:rsidRPr="005D4222">
              <w:rPr>
                <w:b/>
              </w:rPr>
              <w:t xml:space="preserve">At least one acute readmission for any diagnosis within 30 days of the </w:t>
            </w:r>
            <w:r w:rsidRPr="005D4222">
              <w:rPr>
                <w:b/>
                <w:bCs w:val="0"/>
              </w:rPr>
              <w:t>index discharge date</w:t>
            </w:r>
            <w:r w:rsidRPr="005D4222">
              <w:rPr>
                <w:b/>
              </w:rPr>
              <w:t>.</w:t>
            </w:r>
          </w:p>
          <w:p w14:paraId="704BB90F" w14:textId="77777777" w:rsidR="00B25234" w:rsidRPr="005D4222" w:rsidRDefault="00B25234" w:rsidP="00A53E8C">
            <w:pPr>
              <w:pStyle w:val="ECDSBody"/>
            </w:pPr>
            <w:r w:rsidRPr="005D4222">
              <w:rPr>
                <w:b/>
                <w:bCs w:val="0"/>
              </w:rPr>
              <w:t>Step 1</w:t>
            </w:r>
            <w:r w:rsidRPr="005D4222" w:rsidDel="00915CFE">
              <w:rPr>
                <w:b/>
              </w:rPr>
              <w:t>.</w:t>
            </w:r>
            <w:r w:rsidRPr="005D4222">
              <w:rPr>
                <w:b/>
              </w:rPr>
              <w:t xml:space="preserve"> </w:t>
            </w:r>
            <w:r w:rsidRPr="005D4222">
              <w:t>Identify all acute inpatient and observation stays with an admission date on or between January 3 and December 31 of the measurement period:</w:t>
            </w:r>
          </w:p>
          <w:p w14:paraId="24075A81" w14:textId="77777777" w:rsidR="00B25234" w:rsidRPr="005D4222" w:rsidRDefault="00B25234" w:rsidP="005D6173">
            <w:pPr>
              <w:pStyle w:val="Bullet"/>
              <w:numPr>
                <w:ilvl w:val="0"/>
                <w:numId w:val="111"/>
              </w:numPr>
              <w:ind w:left="648" w:hanging="288"/>
            </w:pPr>
            <w:r w:rsidRPr="005D4222">
              <w:t>Identify all acute and nonacute inpatient stays (</w:t>
            </w:r>
            <w:r w:rsidRPr="005D4222">
              <w:rPr>
                <w:u w:val="single"/>
              </w:rPr>
              <w:t>Inpatient Stay Value Set</w:t>
            </w:r>
            <w:r w:rsidRPr="005D4222">
              <w:t>) and observation stays (</w:t>
            </w:r>
            <w:r w:rsidRPr="005D4222">
              <w:rPr>
                <w:u w:val="single"/>
              </w:rPr>
              <w:t>Observation Stay Value Set</w:t>
            </w:r>
            <w:r w:rsidRPr="005D4222">
              <w:t>).</w:t>
            </w:r>
          </w:p>
          <w:p w14:paraId="4927C9A0" w14:textId="77777777" w:rsidR="00B25234" w:rsidRPr="005D4222" w:rsidRDefault="00B25234" w:rsidP="005D6173">
            <w:pPr>
              <w:pStyle w:val="Bullet"/>
              <w:numPr>
                <w:ilvl w:val="0"/>
                <w:numId w:val="111"/>
              </w:numPr>
              <w:ind w:left="648" w:hanging="288"/>
            </w:pPr>
            <w:r w:rsidRPr="005D4222">
              <w:t>Exclude nonacute inpatient stays (</w:t>
            </w:r>
            <w:r w:rsidRPr="005D4222">
              <w:rPr>
                <w:u w:val="single"/>
              </w:rPr>
              <w:t>Nonacute Inpatient Stay Value Set</w:t>
            </w:r>
            <w:r w:rsidRPr="005D4222">
              <w:t>).</w:t>
            </w:r>
          </w:p>
          <w:p w14:paraId="166ED2E6" w14:textId="77777777" w:rsidR="00B25234" w:rsidRPr="005D4222" w:rsidRDefault="00B25234" w:rsidP="005D6173">
            <w:pPr>
              <w:pStyle w:val="Bullet"/>
              <w:numPr>
                <w:ilvl w:val="0"/>
                <w:numId w:val="111"/>
              </w:numPr>
              <w:ind w:left="648" w:hanging="288"/>
            </w:pPr>
            <w:r w:rsidRPr="005D4222">
              <w:t>Identify the admission date for the stay.</w:t>
            </w:r>
          </w:p>
          <w:p w14:paraId="349D77E1" w14:textId="77777777" w:rsidR="00B25234" w:rsidRPr="005D4222" w:rsidRDefault="00B25234" w:rsidP="00A53E8C">
            <w:pPr>
              <w:pStyle w:val="ECDSBody"/>
              <w:rPr>
                <w:b/>
                <w:bCs w:val="0"/>
              </w:rPr>
            </w:pPr>
            <w:r w:rsidRPr="005D4222">
              <w:rPr>
                <w:b/>
                <w:bCs w:val="0"/>
              </w:rPr>
              <w:t>Step 2</w:t>
            </w:r>
            <w:r w:rsidRPr="005D4222">
              <w:rPr>
                <w:b/>
              </w:rPr>
              <w:t>.</w:t>
            </w:r>
            <w:r w:rsidRPr="005D4222">
              <w:rPr>
                <w:b/>
                <w:bCs w:val="0"/>
              </w:rPr>
              <w:t xml:space="preserve"> </w:t>
            </w:r>
            <w:r w:rsidRPr="005D4222">
              <w:t>For discharges with one or more direct transfers, use the last discharge. Using the discharges identified in step 1, identify direct transfers between acute inpatient and observation using the definition of direct transfer</w:t>
            </w:r>
            <w:r w:rsidRPr="005D4222">
              <w:rPr>
                <w:i/>
                <w:iCs/>
              </w:rPr>
              <w:t>.</w:t>
            </w:r>
            <w:r w:rsidRPr="005D4222">
              <w:t xml:space="preserve"> </w:t>
            </w:r>
          </w:p>
          <w:p w14:paraId="180CC0AB" w14:textId="77777777" w:rsidR="00B25234" w:rsidRPr="005D4222" w:rsidRDefault="00B25234" w:rsidP="00A53E8C">
            <w:pPr>
              <w:pStyle w:val="ECDSBody"/>
            </w:pPr>
            <w:r w:rsidRPr="005D4222">
              <w:rPr>
                <w:b/>
                <w:bCs w:val="0"/>
              </w:rPr>
              <w:t>Step 3</w:t>
            </w:r>
            <w:r w:rsidRPr="005D4222">
              <w:rPr>
                <w:b/>
              </w:rPr>
              <w:t>.</w:t>
            </w:r>
            <w:r w:rsidRPr="005D4222">
              <w:rPr>
                <w:b/>
                <w:bCs w:val="0"/>
              </w:rPr>
              <w:t xml:space="preserve"> </w:t>
            </w:r>
            <w:r w:rsidRPr="005D4222">
              <w:t>Exclude acute hospitalizations with any of the following criteria on the discharge claim:</w:t>
            </w:r>
          </w:p>
          <w:p w14:paraId="3C481000" w14:textId="77777777" w:rsidR="00B25234" w:rsidRPr="005D4222" w:rsidRDefault="00B25234" w:rsidP="00B25234">
            <w:pPr>
              <w:pStyle w:val="Bullet"/>
              <w:numPr>
                <w:ilvl w:val="0"/>
                <w:numId w:val="4"/>
              </w:numPr>
              <w:tabs>
                <w:tab w:val="left" w:pos="360"/>
                <w:tab w:val="left" w:pos="576"/>
              </w:tabs>
              <w:ind w:left="576" w:hanging="216"/>
            </w:pPr>
            <w:r w:rsidRPr="005D4222">
              <w:t>A principal diagnosis of pregnancy (</w:t>
            </w:r>
            <w:r w:rsidRPr="005D4222">
              <w:rPr>
                <w:u w:val="single"/>
              </w:rPr>
              <w:t>Pregnancy Value Set</w:t>
            </w:r>
            <w:r w:rsidRPr="005D4222">
              <w:rPr>
                <w:szCs w:val="20"/>
              </w:rPr>
              <w:t xml:space="preserve">) or </w:t>
            </w:r>
            <w:r w:rsidRPr="005D4222">
              <w:t>a condition originating in the perinatal period (</w:t>
            </w:r>
            <w:r w:rsidRPr="005D4222">
              <w:rPr>
                <w:u w:val="single"/>
              </w:rPr>
              <w:t>Perinatal Conditions Value Set</w:t>
            </w:r>
            <w:r w:rsidRPr="005D4222">
              <w:rPr>
                <w:szCs w:val="20"/>
              </w:rPr>
              <w:t xml:space="preserve">). </w:t>
            </w:r>
          </w:p>
          <w:p w14:paraId="339AAC76" w14:textId="77777777" w:rsidR="00B25234" w:rsidRPr="005D4222" w:rsidRDefault="00B25234" w:rsidP="00B25234">
            <w:pPr>
              <w:pStyle w:val="Bullet"/>
              <w:numPr>
                <w:ilvl w:val="0"/>
                <w:numId w:val="4"/>
              </w:numPr>
              <w:tabs>
                <w:tab w:val="left" w:pos="360"/>
                <w:tab w:val="left" w:pos="576"/>
              </w:tabs>
              <w:ind w:left="576" w:hanging="216"/>
              <w:rPr>
                <w:rFonts w:cs="Arial"/>
                <w:b/>
                <w:bCs/>
                <w:i/>
                <w:iCs/>
              </w:rPr>
            </w:pPr>
            <w:r w:rsidRPr="005D4222">
              <w:t>A planned hospital stay using any of the following:</w:t>
            </w:r>
          </w:p>
          <w:p w14:paraId="4FD70A40" w14:textId="77777777" w:rsidR="00B25234" w:rsidRPr="005D4222" w:rsidRDefault="00B25234" w:rsidP="00B25234">
            <w:pPr>
              <w:pStyle w:val="Dash"/>
              <w:tabs>
                <w:tab w:val="left" w:pos="576"/>
                <w:tab w:val="left" w:pos="792"/>
              </w:tabs>
            </w:pPr>
            <w:r w:rsidRPr="005D4222">
              <w:t>A principal diagnosis of maintenance chemotherapy (</w:t>
            </w:r>
            <w:r w:rsidRPr="005D4222">
              <w:rPr>
                <w:u w:val="single"/>
              </w:rPr>
              <w:t>Chemotherapy Encounter Value Set</w:t>
            </w:r>
            <w:r w:rsidRPr="005D4222">
              <w:t xml:space="preserve">). </w:t>
            </w:r>
          </w:p>
          <w:p w14:paraId="07B11BDC" w14:textId="77777777" w:rsidR="00B25234" w:rsidRPr="005D4222" w:rsidRDefault="00B25234" w:rsidP="00B25234">
            <w:pPr>
              <w:pStyle w:val="Dash"/>
              <w:tabs>
                <w:tab w:val="left" w:pos="576"/>
                <w:tab w:val="left" w:pos="792"/>
              </w:tabs>
            </w:pPr>
            <w:r w:rsidRPr="005D4222">
              <w:t>A principal diagnosis of rehabilitation (</w:t>
            </w:r>
            <w:r w:rsidRPr="005D4222">
              <w:rPr>
                <w:u w:val="single"/>
              </w:rPr>
              <w:t>Rehabilitation Value Set</w:t>
            </w:r>
            <w:r w:rsidRPr="005D4222">
              <w:t xml:space="preserve">). </w:t>
            </w:r>
          </w:p>
          <w:p w14:paraId="30867BE6" w14:textId="77777777" w:rsidR="00B25234" w:rsidRPr="005D4222" w:rsidRDefault="00B25234" w:rsidP="00B25234">
            <w:pPr>
              <w:pStyle w:val="Dash"/>
              <w:tabs>
                <w:tab w:val="left" w:pos="576"/>
                <w:tab w:val="left" w:pos="792"/>
              </w:tabs>
            </w:pPr>
            <w:r w:rsidRPr="005D4222">
              <w:t>An organ transplant (</w:t>
            </w:r>
            <w:r w:rsidRPr="005D4222">
              <w:rPr>
                <w:u w:val="single"/>
              </w:rPr>
              <w:t>Kidney Transplant Value Set</w:t>
            </w:r>
            <w:r w:rsidRPr="005D4222">
              <w:t xml:space="preserve">, </w:t>
            </w:r>
            <w:r w:rsidRPr="005D4222">
              <w:rPr>
                <w:u w:val="single"/>
              </w:rPr>
              <w:t>Bone Marrow Transplant Value Set</w:t>
            </w:r>
            <w:r w:rsidRPr="005D4222">
              <w:t xml:space="preserve">, </w:t>
            </w:r>
            <w:r w:rsidRPr="005D4222">
              <w:rPr>
                <w:u w:val="single"/>
              </w:rPr>
              <w:t>Organ Transplant Other Than Kidney Value Set</w:t>
            </w:r>
            <w:r w:rsidRPr="005D4222">
              <w:t xml:space="preserve">, </w:t>
            </w:r>
            <w:r w:rsidRPr="005D4222">
              <w:rPr>
                <w:u w:val="single"/>
              </w:rPr>
              <w:t>Introduction of Autologous Pancreatic Cells Value Set</w:t>
            </w:r>
            <w:r w:rsidRPr="005D4222">
              <w:t>).</w:t>
            </w:r>
          </w:p>
          <w:p w14:paraId="324BEA24" w14:textId="77777777" w:rsidR="00B25234" w:rsidRPr="005D4222" w:rsidRDefault="00B25234" w:rsidP="00B25234">
            <w:pPr>
              <w:pStyle w:val="Dash"/>
              <w:tabs>
                <w:tab w:val="left" w:pos="576"/>
                <w:tab w:val="left" w:pos="792"/>
              </w:tabs>
              <w:spacing w:after="80"/>
            </w:pPr>
            <w:r w:rsidRPr="005D4222">
              <w:rPr>
                <w:kern w:val="24"/>
              </w:rPr>
              <w:t>A potentially planned procedure (</w:t>
            </w:r>
            <w:r w:rsidRPr="005D4222">
              <w:rPr>
                <w:kern w:val="24"/>
                <w:u w:val="single"/>
              </w:rPr>
              <w:t>Potentially Planned Procedures Value Set</w:t>
            </w:r>
            <w:r w:rsidRPr="005D4222">
              <w:rPr>
                <w:kern w:val="24"/>
              </w:rPr>
              <w:t>) without a principal acute diagnosis (</w:t>
            </w:r>
            <w:r w:rsidRPr="005D4222">
              <w:rPr>
                <w:kern w:val="24"/>
                <w:u w:val="single"/>
              </w:rPr>
              <w:t>Acute Condition Value Set</w:t>
            </w:r>
            <w:r w:rsidRPr="005D4222">
              <w:rPr>
                <w:kern w:val="24"/>
              </w:rPr>
              <w:t>).</w:t>
            </w:r>
          </w:p>
          <w:p w14:paraId="25623AC6" w14:textId="77777777" w:rsidR="00B25234" w:rsidRPr="005D4222" w:rsidRDefault="00B25234" w:rsidP="00A53E8C">
            <w:pPr>
              <w:pStyle w:val="Note"/>
            </w:pPr>
            <w:r w:rsidRPr="005D4222">
              <w:rPr>
                <w:b/>
                <w:bCs/>
              </w:rPr>
              <w:lastRenderedPageBreak/>
              <w:t xml:space="preserve">Note: </w:t>
            </w:r>
            <w:r w:rsidRPr="005D4222">
              <w:t>For hospital stays where there was a direct transfer (identified in step 2), use the original stay and any direct transfer stays to identify exclusions in this step.</w:t>
            </w:r>
          </w:p>
          <w:p w14:paraId="447593A6" w14:textId="77777777" w:rsidR="00B25234" w:rsidRPr="005D4222" w:rsidRDefault="00B25234" w:rsidP="00A53E8C">
            <w:pPr>
              <w:pStyle w:val="ECDSBody"/>
              <w:rPr>
                <w:b/>
              </w:rPr>
            </w:pPr>
            <w:r w:rsidRPr="005D4222">
              <w:rPr>
                <w:b/>
                <w:color w:val="000000"/>
              </w:rPr>
              <w:t>Step 4</w:t>
            </w:r>
            <w:r w:rsidRPr="005D4222">
              <w:rPr>
                <w:b/>
              </w:rPr>
              <w:t xml:space="preserve">. </w:t>
            </w:r>
            <w:r w:rsidRPr="005D4222">
              <w:t>For each IHS identified in the denominator, determine if any of the acute inpatient and observation stays identified in the numerator have an admission date within 30 days after the index discharge date. </w:t>
            </w:r>
          </w:p>
          <w:p w14:paraId="6DAE1959" w14:textId="77777777" w:rsidR="00B25234" w:rsidRPr="005D4222" w:rsidRDefault="00B25234" w:rsidP="00A53E8C">
            <w:pPr>
              <w:pStyle w:val="Note"/>
              <w:spacing w:after="80"/>
              <w:rPr>
                <w:b/>
                <w:iCs/>
                <w:szCs w:val="20"/>
              </w:rPr>
            </w:pPr>
            <w:r w:rsidRPr="005D4222">
              <w:rPr>
                <w:b/>
                <w:szCs w:val="20"/>
              </w:rPr>
              <w:t>Note</w:t>
            </w:r>
          </w:p>
          <w:p w14:paraId="4B0F6790" w14:textId="77777777" w:rsidR="00B25234" w:rsidRPr="005D4222" w:rsidRDefault="00B25234" w:rsidP="005D6173">
            <w:pPr>
              <w:pStyle w:val="ProcessBullet"/>
              <w:numPr>
                <w:ilvl w:val="0"/>
                <w:numId w:val="98"/>
              </w:numPr>
              <w:tabs>
                <w:tab w:val="left" w:pos="216"/>
              </w:tabs>
              <w:ind w:left="216" w:hanging="216"/>
              <w:rPr>
                <w:i/>
                <w:sz w:val="20"/>
                <w:szCs w:val="20"/>
              </w:rPr>
            </w:pPr>
            <w:r w:rsidRPr="005D4222">
              <w:rPr>
                <w:i/>
                <w:sz w:val="20"/>
                <w:szCs w:val="20"/>
              </w:rPr>
              <w:t>Count each acute hospitalization only once toward the numerator for the last denominator event.</w:t>
            </w:r>
          </w:p>
          <w:p w14:paraId="2904DF72" w14:textId="77777777" w:rsidR="00B25234" w:rsidRPr="005D4222" w:rsidRDefault="00B25234" w:rsidP="00A53E8C">
            <w:pPr>
              <w:pStyle w:val="ECDSBody"/>
              <w:ind w:left="216"/>
              <w:rPr>
                <w:i/>
                <w:iCs/>
                <w:sz w:val="20"/>
                <w:szCs w:val="20"/>
              </w:rPr>
            </w:pPr>
            <w:r w:rsidRPr="005D4222">
              <w:rPr>
                <w:i/>
                <w:sz w:val="20"/>
                <w:szCs w:val="20"/>
              </w:rPr>
              <w:t xml:space="preserve">If a single numerator event meets criteria for multiple denominator events, only count the last denominator event. </w:t>
            </w:r>
          </w:p>
          <w:p w14:paraId="3AFCF3FA" w14:textId="77777777" w:rsidR="00B25234" w:rsidRPr="005D4222" w:rsidRDefault="00B25234" w:rsidP="00A53E8C">
            <w:pPr>
              <w:pStyle w:val="ProcessDash"/>
              <w:numPr>
                <w:ilvl w:val="0"/>
                <w:numId w:val="0"/>
              </w:numPr>
              <w:ind w:left="216"/>
              <w:rPr>
                <w:b/>
                <w:i/>
                <w:sz w:val="20"/>
              </w:rPr>
            </w:pPr>
            <w:r w:rsidRPr="005D4222">
              <w:rPr>
                <w:sz w:val="20"/>
              </w:rPr>
              <w:t xml:space="preserve">For example, </w:t>
            </w:r>
            <w:r w:rsidRPr="005D4222">
              <w:rPr>
                <w:i/>
                <w:sz w:val="20"/>
              </w:rPr>
              <w:t>consider the following events:</w:t>
            </w:r>
          </w:p>
          <w:p w14:paraId="15289650" w14:textId="77777777" w:rsidR="00B25234" w:rsidRPr="005D4222" w:rsidRDefault="00B25234" w:rsidP="00B25234">
            <w:pPr>
              <w:pStyle w:val="ProcessDash"/>
              <w:spacing w:after="40"/>
              <w:rPr>
                <w:i/>
                <w:sz w:val="20"/>
              </w:rPr>
            </w:pPr>
            <w:r w:rsidRPr="005D4222">
              <w:rPr>
                <w:i/>
                <w:sz w:val="20"/>
              </w:rPr>
              <w:t>Acute inpatient stay 1: May 1–10.</w:t>
            </w:r>
          </w:p>
          <w:p w14:paraId="511B4265" w14:textId="77777777" w:rsidR="00B25234" w:rsidRPr="005D4222" w:rsidRDefault="00B25234" w:rsidP="00B25234">
            <w:pPr>
              <w:pStyle w:val="ProcessDash"/>
              <w:spacing w:after="40"/>
              <w:rPr>
                <w:i/>
                <w:sz w:val="20"/>
              </w:rPr>
            </w:pPr>
            <w:r w:rsidRPr="005D4222">
              <w:rPr>
                <w:i/>
                <w:sz w:val="20"/>
              </w:rPr>
              <w:t>Acute inpatient stay 2: May 15–25 (principal diagnosis of maintenance chemotherapy).</w:t>
            </w:r>
          </w:p>
          <w:p w14:paraId="1DCEF389" w14:textId="77777777" w:rsidR="00B25234" w:rsidRPr="005D4222" w:rsidRDefault="00B25234" w:rsidP="00B25234">
            <w:pPr>
              <w:pStyle w:val="ProcessDash"/>
              <w:spacing w:after="40"/>
              <w:rPr>
                <w:i/>
                <w:iCs/>
                <w:sz w:val="20"/>
              </w:rPr>
            </w:pPr>
            <w:r w:rsidRPr="005D4222">
              <w:rPr>
                <w:i/>
                <w:sz w:val="20"/>
              </w:rPr>
              <w:t>Acute inpatient stay 3: May 30–June 5.</w:t>
            </w:r>
          </w:p>
          <w:p w14:paraId="27619641" w14:textId="77777777" w:rsidR="00B25234" w:rsidRPr="005D4222" w:rsidRDefault="00B25234" w:rsidP="00A53E8C">
            <w:pPr>
              <w:pStyle w:val="ECDSBody"/>
              <w:ind w:left="216"/>
            </w:pPr>
            <w:r w:rsidRPr="005D4222">
              <w:rPr>
                <w:i/>
                <w:iCs/>
                <w:sz w:val="20"/>
                <w:szCs w:val="20"/>
              </w:rPr>
              <w:t>All three acute inpatient stays are included as denominator events. Stay 2 is excluded from the numerator because it is a planned hospitalization. Stay 3 is within 30 days of stay 1 and stay 2. Count stay 3 as a numerator event only toward the last denominator event (stay 2, May 15–25).</w:t>
            </w:r>
          </w:p>
        </w:tc>
      </w:tr>
      <w:tr w:rsidR="00B25234" w:rsidRPr="005D4222" w14:paraId="0346783F" w14:textId="77777777" w:rsidTr="00A53E8C">
        <w:tblPrEx>
          <w:tblBorders>
            <w:top w:val="single" w:sz="2" w:space="0" w:color="auto"/>
            <w:bottom w:val="single" w:sz="2" w:space="0" w:color="auto"/>
            <w:insideH w:val="single" w:sz="2" w:space="0" w:color="auto"/>
            <w:insideV w:val="single" w:sz="2" w:space="0" w:color="auto"/>
          </w:tblBorders>
        </w:tblPrEx>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9FDC426" w14:textId="77777777" w:rsidR="00B25234" w:rsidRPr="005D4222" w:rsidRDefault="00B25234" w:rsidP="00A53E8C">
            <w:pPr>
              <w:pStyle w:val="ECDSMarginHead"/>
            </w:pPr>
            <w:r w:rsidRPr="005D4222">
              <w:lastRenderedPageBreak/>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75AA4F9" w14:textId="77777777" w:rsidR="00B25234" w:rsidRPr="005D4222" w:rsidRDefault="00B25234" w:rsidP="005D6173">
            <w:pPr>
              <w:pStyle w:val="ProcessBullet"/>
              <w:numPr>
                <w:ilvl w:val="0"/>
                <w:numId w:val="98"/>
              </w:numPr>
              <w:tabs>
                <w:tab w:val="left" w:pos="216"/>
              </w:tabs>
              <w:spacing w:before="120"/>
              <w:ind w:left="216" w:hanging="216"/>
            </w:pPr>
            <w:r w:rsidRPr="005D4222">
              <w:t>Updated the measure description.</w:t>
            </w:r>
          </w:p>
          <w:p w14:paraId="3B779CA7" w14:textId="77777777" w:rsidR="00B25234" w:rsidRPr="005D4222" w:rsidRDefault="00B25234" w:rsidP="005D6173">
            <w:pPr>
              <w:pStyle w:val="ProcessBullet"/>
              <w:numPr>
                <w:ilvl w:val="0"/>
                <w:numId w:val="98"/>
              </w:numPr>
              <w:tabs>
                <w:tab w:val="left" w:pos="216"/>
              </w:tabs>
              <w:ind w:left="216" w:hanging="216"/>
            </w:pPr>
            <w:r w:rsidRPr="005D4222">
              <w:t xml:space="preserve">Integrated the Risk Adjustment General Guidelines into the </w:t>
            </w:r>
            <w:r w:rsidRPr="005D4222">
              <w:rPr>
                <w:i/>
              </w:rPr>
              <w:t xml:space="preserve">Guidance </w:t>
            </w:r>
            <w:r w:rsidRPr="005D4222">
              <w:t>section.</w:t>
            </w:r>
          </w:p>
          <w:p w14:paraId="76C19558" w14:textId="77777777" w:rsidR="00B25234" w:rsidRPr="005D4222" w:rsidRDefault="00B25234" w:rsidP="005D6173">
            <w:pPr>
              <w:pStyle w:val="ProcessBullet"/>
              <w:numPr>
                <w:ilvl w:val="0"/>
                <w:numId w:val="98"/>
              </w:numPr>
              <w:tabs>
                <w:tab w:val="left" w:pos="216"/>
              </w:tabs>
              <w:ind w:left="216" w:hanging="216"/>
            </w:pPr>
            <w:r w:rsidRPr="005D4222">
              <w:t xml:space="preserve">Moved the instructions regarding facility type from step 1 of the denominator to the </w:t>
            </w:r>
            <w:r w:rsidRPr="005D4222">
              <w:rPr>
                <w:i/>
              </w:rPr>
              <w:t>Guidance</w:t>
            </w:r>
            <w:r w:rsidRPr="005D4222">
              <w:t xml:space="preserve"> section.</w:t>
            </w:r>
          </w:p>
          <w:p w14:paraId="7B8B59A2" w14:textId="77777777" w:rsidR="00B25234" w:rsidRPr="005D4222" w:rsidRDefault="00B25234" w:rsidP="005D6173">
            <w:pPr>
              <w:pStyle w:val="ProcessBullet"/>
              <w:numPr>
                <w:ilvl w:val="0"/>
                <w:numId w:val="98"/>
              </w:numPr>
              <w:tabs>
                <w:tab w:val="left" w:pos="216"/>
              </w:tabs>
              <w:ind w:left="216" w:hanging="216"/>
              <w:rPr>
                <w:color w:val="000000" w:themeColor="text1"/>
              </w:rPr>
            </w:pPr>
            <w:bookmarkStart w:id="395" w:name="_Hlk195012160"/>
            <w:r w:rsidRPr="005D4222">
              <w:rPr>
                <w:color w:val="000000" w:themeColor="text1"/>
              </w:rPr>
              <w:t xml:space="preserve">Moved the </w:t>
            </w:r>
            <w:r w:rsidRPr="005D4222">
              <w:rPr>
                <w:i/>
                <w:color w:val="000000" w:themeColor="text1"/>
              </w:rPr>
              <w:t xml:space="preserve">Skilled </w:t>
            </w:r>
            <w:r w:rsidRPr="005D4222">
              <w:rPr>
                <w:i/>
                <w:iCs/>
                <w:color w:val="000000" w:themeColor="text1"/>
              </w:rPr>
              <w:t>nursing care stratification</w:t>
            </w:r>
            <w:r w:rsidRPr="005D4222">
              <w:rPr>
                <w:color w:val="000000" w:themeColor="text1"/>
              </w:rPr>
              <w:t xml:space="preserve"> reporting instructions to the </w:t>
            </w:r>
            <w:r w:rsidRPr="005D4222">
              <w:rPr>
                <w:i/>
                <w:iCs/>
                <w:color w:val="000000" w:themeColor="text1"/>
              </w:rPr>
              <w:t>Definitions</w:t>
            </w:r>
            <w:r w:rsidRPr="005D4222">
              <w:rPr>
                <w:color w:val="000000" w:themeColor="text1"/>
              </w:rPr>
              <w:t xml:space="preserve"> section</w:t>
            </w:r>
            <w:bookmarkEnd w:id="395"/>
            <w:r w:rsidRPr="005D4222">
              <w:rPr>
                <w:color w:val="000000" w:themeColor="text1"/>
              </w:rPr>
              <w:t xml:space="preserve">. </w:t>
            </w:r>
          </w:p>
          <w:p w14:paraId="2BFAA80B" w14:textId="77777777" w:rsidR="00B25234" w:rsidRPr="005D4222" w:rsidRDefault="00B25234" w:rsidP="005D6173">
            <w:pPr>
              <w:pStyle w:val="ProcessBullet"/>
              <w:numPr>
                <w:ilvl w:val="0"/>
                <w:numId w:val="98"/>
              </w:numPr>
              <w:tabs>
                <w:tab w:val="left" w:pos="216"/>
              </w:tabs>
              <w:spacing w:after="80"/>
              <w:ind w:left="216" w:hanging="216"/>
              <w:rPr>
                <w:color w:val="000000" w:themeColor="text1"/>
              </w:rPr>
            </w:pPr>
            <w:r w:rsidRPr="005D4222">
              <w:rPr>
                <w:color w:val="000000" w:themeColor="text1"/>
              </w:rPr>
              <w:t xml:space="preserve">Moved the definition of “classification period” to the </w:t>
            </w:r>
            <w:r w:rsidRPr="005D4222">
              <w:rPr>
                <w:i/>
                <w:color w:val="000000" w:themeColor="text1"/>
              </w:rPr>
              <w:t xml:space="preserve">Risk </w:t>
            </w:r>
            <w:r w:rsidRPr="005D4222">
              <w:rPr>
                <w:i/>
                <w:iCs/>
                <w:color w:val="000000" w:themeColor="text1"/>
              </w:rPr>
              <w:t>adjustment comorbidity category determination</w:t>
            </w:r>
            <w:r w:rsidRPr="005D4222">
              <w:rPr>
                <w:color w:val="000000" w:themeColor="text1"/>
              </w:rPr>
              <w:t xml:space="preserve"> section.</w:t>
            </w:r>
          </w:p>
          <w:p w14:paraId="333376E1" w14:textId="77777777" w:rsidR="00B25234" w:rsidRPr="004771F6" w:rsidRDefault="00B25234" w:rsidP="005D6173">
            <w:pPr>
              <w:pStyle w:val="ProcessBullet"/>
              <w:numPr>
                <w:ilvl w:val="0"/>
                <w:numId w:val="98"/>
              </w:numPr>
              <w:tabs>
                <w:tab w:val="left" w:pos="216"/>
              </w:tabs>
              <w:spacing w:after="80"/>
              <w:ind w:left="216" w:hanging="216"/>
              <w:rPr>
                <w:color w:val="000000" w:themeColor="text1"/>
              </w:rPr>
            </w:pPr>
            <w:r w:rsidRPr="005D4222">
              <w:t xml:space="preserve">Added “direct transfer” to the </w:t>
            </w:r>
            <w:r w:rsidRPr="005D4222">
              <w:rPr>
                <w:i/>
                <w:iCs/>
              </w:rPr>
              <w:t xml:space="preserve">Definitions </w:t>
            </w:r>
            <w:r w:rsidRPr="005D4222">
              <w:t>section.</w:t>
            </w:r>
          </w:p>
          <w:p w14:paraId="4A0D8224" w14:textId="2033DC59" w:rsidR="004771F6" w:rsidRPr="005D4222" w:rsidRDefault="004771F6" w:rsidP="005D6173">
            <w:pPr>
              <w:pStyle w:val="ProcessBullet"/>
              <w:numPr>
                <w:ilvl w:val="0"/>
                <w:numId w:val="98"/>
              </w:numPr>
              <w:tabs>
                <w:tab w:val="left" w:pos="216"/>
              </w:tabs>
              <w:spacing w:after="80"/>
              <w:ind w:left="216" w:hanging="216"/>
              <w:rPr>
                <w:color w:val="000000" w:themeColor="text1"/>
              </w:rPr>
            </w:pPr>
            <w:r w:rsidRPr="00D81F5D">
              <w:t>Added administrative gender code</w:t>
            </w:r>
            <w:r>
              <w:t xml:space="preserve">s </w:t>
            </w:r>
            <w:r w:rsidRPr="00D81F5D">
              <w:t>to the initial population.</w:t>
            </w:r>
          </w:p>
        </w:tc>
      </w:tr>
      <w:tr w:rsidR="00B25234" w:rsidRPr="005D4222" w14:paraId="4DF99B9D" w14:textId="77777777" w:rsidTr="00E949A5">
        <w:tblPrEx>
          <w:tblBorders>
            <w:top w:val="single" w:sz="2" w:space="0" w:color="auto"/>
            <w:bottom w:val="single" w:sz="2" w:space="0" w:color="auto"/>
            <w:insideH w:val="single" w:sz="2" w:space="0" w:color="auto"/>
            <w:insideV w:val="single" w:sz="2" w:space="0" w:color="auto"/>
          </w:tblBorders>
        </w:tblPrEx>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17FC235" w14:textId="77777777" w:rsidR="00B25234" w:rsidRPr="005D4222" w:rsidRDefault="00B25234" w:rsidP="00A53E8C">
            <w:pPr>
              <w:pStyle w:val="ECDS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D4A435F" w14:textId="77777777" w:rsidR="00B25234" w:rsidRPr="005D4222" w:rsidRDefault="00B25234" w:rsidP="00A53E8C">
            <w:pPr>
              <w:pStyle w:val="ECDSBody"/>
              <w:rPr>
                <w:b/>
              </w:rPr>
            </w:pPr>
            <w:r w:rsidRPr="005D4222">
              <w:rPr>
                <w:b/>
                <w:i/>
                <w:iCs/>
              </w:rPr>
              <w:t>Reporting:</w:t>
            </w:r>
            <w:r w:rsidRPr="005D4222">
              <w:rPr>
                <w:b/>
              </w:rPr>
              <w:t xml:space="preserve"> Number of persons</w:t>
            </w:r>
            <w:r w:rsidRPr="005D4222" w:rsidDel="00733024">
              <w:rPr>
                <w:b/>
              </w:rPr>
              <w:t xml:space="preserve"> </w:t>
            </w:r>
            <w:r w:rsidRPr="005D4222">
              <w:rPr>
                <w:b/>
              </w:rPr>
              <w:t>in plan population</w:t>
            </w:r>
          </w:p>
          <w:p w14:paraId="0507755F" w14:textId="77777777" w:rsidR="00B25234" w:rsidRPr="005D4222" w:rsidRDefault="00B25234" w:rsidP="00A53E8C">
            <w:pPr>
              <w:pStyle w:val="ECDSBody"/>
            </w:pPr>
            <w:r w:rsidRPr="005D4222">
              <w:rPr>
                <w:b/>
              </w:rPr>
              <w:t>Step 1.</w:t>
            </w:r>
            <w:r w:rsidRPr="005D4222">
              <w:t xml:space="preserve"> Determine the person’s age as of the earliest index discharge date.</w:t>
            </w:r>
          </w:p>
          <w:p w14:paraId="0A2E7988" w14:textId="77777777" w:rsidR="00B25234" w:rsidRPr="005D4222" w:rsidRDefault="00B25234" w:rsidP="00A53E8C">
            <w:pPr>
              <w:pStyle w:val="ECDSBody"/>
            </w:pPr>
            <w:r w:rsidRPr="005D4222">
              <w:rPr>
                <w:b/>
              </w:rPr>
              <w:t>Step 2.</w:t>
            </w:r>
            <w:r w:rsidRPr="005D4222">
              <w:t xml:space="preserve"> Report the count of persons in the plan population for each age group as the PersonCount.</w:t>
            </w:r>
          </w:p>
          <w:p w14:paraId="33F91CD7" w14:textId="77777777" w:rsidR="00B25234" w:rsidRPr="005D4222" w:rsidRDefault="00B25234" w:rsidP="00A53E8C">
            <w:pPr>
              <w:pStyle w:val="ECDSBody"/>
              <w:rPr>
                <w:b/>
              </w:rPr>
            </w:pPr>
            <w:r w:rsidRPr="005D4222">
              <w:rPr>
                <w:b/>
                <w:i/>
                <w:iCs/>
              </w:rPr>
              <w:t>Reporting:</w:t>
            </w:r>
            <w:r w:rsidRPr="005D4222">
              <w:rPr>
                <w:b/>
              </w:rPr>
              <w:t xml:space="preserve"> Number of outliers</w:t>
            </w:r>
          </w:p>
          <w:p w14:paraId="76D4340D" w14:textId="77777777" w:rsidR="00B25234" w:rsidRPr="005D4222" w:rsidDel="008E0A91" w:rsidRDefault="00B25234" w:rsidP="00A53E8C">
            <w:pPr>
              <w:pStyle w:val="ECDSBody"/>
              <w:rPr>
                <w:b/>
                <w:bCs w:val="0"/>
              </w:rPr>
            </w:pPr>
            <w:r w:rsidRPr="005D4222">
              <w:rPr>
                <w:b/>
              </w:rPr>
              <w:t>Step 1.</w:t>
            </w:r>
            <w:r w:rsidRPr="005D4222">
              <w:t xml:space="preserve"> Determine the person’s age as of the earliest index discharge date.</w:t>
            </w:r>
          </w:p>
          <w:p w14:paraId="45DDCFA8" w14:textId="77777777" w:rsidR="00B25234" w:rsidRPr="005D4222" w:rsidRDefault="00B25234" w:rsidP="00A53E8C">
            <w:pPr>
              <w:pStyle w:val="ECDSBody"/>
            </w:pPr>
            <w:r w:rsidRPr="005D4222">
              <w:rPr>
                <w:b/>
              </w:rPr>
              <w:t xml:space="preserve">Step 2. </w:t>
            </w:r>
            <w:r w:rsidRPr="005D4222">
              <w:t>Report the count of outlier persons for each age group as the OutlierPersonCount.</w:t>
            </w:r>
          </w:p>
          <w:p w14:paraId="74DC997F" w14:textId="2B91BC12" w:rsidR="00E949A5" w:rsidRPr="005D4222" w:rsidDel="008E0A91" w:rsidRDefault="00B25234" w:rsidP="00E949A5">
            <w:pPr>
              <w:pStyle w:val="ECDSBody"/>
            </w:pPr>
            <w:r w:rsidRPr="005D4222">
              <w:rPr>
                <w:b/>
                <w:i/>
              </w:rPr>
              <w:t xml:space="preserve">Calculated: </w:t>
            </w:r>
            <w:r w:rsidRPr="005D4222">
              <w:rPr>
                <w:b/>
                <w:iCs/>
              </w:rPr>
              <w:t>Outlier rate</w:t>
            </w:r>
            <w:r w:rsidRPr="005D4222">
              <w:rPr>
                <w:b/>
                <w:iCs/>
              </w:rPr>
              <w:br/>
            </w:r>
            <w:r w:rsidRPr="005D4222">
              <w:t xml:space="preserve">The number of outlier persons (OutlierPersonCount) divided by the number of persons in the plan population (PersonCount), displayed as a permillage </w:t>
            </w:r>
          </w:p>
        </w:tc>
      </w:tr>
      <w:tr w:rsidR="00E949A5" w:rsidRPr="005D4222" w14:paraId="05B26096" w14:textId="77777777" w:rsidTr="00A53E8C">
        <w:tblPrEx>
          <w:tblBorders>
            <w:top w:val="single" w:sz="2" w:space="0" w:color="auto"/>
            <w:bottom w:val="single" w:sz="2" w:space="0" w:color="auto"/>
            <w:insideH w:val="single" w:sz="2" w:space="0" w:color="auto"/>
            <w:insideV w:val="single" w:sz="2" w:space="0" w:color="auto"/>
          </w:tblBorders>
        </w:tblPrEx>
        <w:tc>
          <w:tcPr>
            <w:tcW w:w="2157"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042CA7AC" w14:textId="77777777" w:rsidR="00E949A5" w:rsidRPr="005D4222" w:rsidRDefault="00E949A5" w:rsidP="00A53E8C">
            <w:pPr>
              <w:pStyle w:val="ECDSMarginHead"/>
            </w:pP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tcPr>
          <w:p w14:paraId="4D54EED8" w14:textId="4E5BB5A6" w:rsidR="00424748" w:rsidRDefault="00424748" w:rsidP="00E949A5">
            <w:pPr>
              <w:pStyle w:val="ECDSBody"/>
              <w:rPr>
                <w:b/>
                <w:i/>
                <w:iCs/>
              </w:rPr>
            </w:pPr>
            <w:r w:rsidRPr="005D4222">
              <w:t>(multiplied by 1,000), for each age group and totals. Calculated by IDSS as the OutlierRate.</w:t>
            </w:r>
          </w:p>
          <w:p w14:paraId="24E88BEB" w14:textId="10E8C832" w:rsidR="00E949A5" w:rsidRPr="005D4222" w:rsidRDefault="00E949A5" w:rsidP="00E949A5">
            <w:pPr>
              <w:pStyle w:val="ECDSBody"/>
            </w:pPr>
            <w:r w:rsidRPr="005D4222">
              <w:rPr>
                <w:b/>
                <w:i/>
                <w:iCs/>
              </w:rPr>
              <w:t>Reporting:</w:t>
            </w:r>
            <w:r w:rsidRPr="005D4222">
              <w:rPr>
                <w:b/>
              </w:rPr>
              <w:t xml:space="preserve"> Denominator</w:t>
            </w:r>
            <w:r w:rsidRPr="005D4222">
              <w:rPr>
                <w:b/>
              </w:rPr>
              <w:br/>
            </w:r>
            <w:r w:rsidRPr="005D4222">
              <w:t>Count the number of IHS among nonoutlier persons for each age group. Report these values as the denominator.</w:t>
            </w:r>
          </w:p>
          <w:p w14:paraId="084C79F6" w14:textId="483B24C9" w:rsidR="00E949A5" w:rsidRPr="005D4222" w:rsidRDefault="00E949A5" w:rsidP="00E949A5">
            <w:pPr>
              <w:pStyle w:val="ECDSBody"/>
              <w:rPr>
                <w:b/>
              </w:rPr>
            </w:pPr>
            <w:r w:rsidRPr="005D4222">
              <w:rPr>
                <w:b/>
                <w:bCs w:val="0"/>
                <w:i/>
                <w:iCs/>
              </w:rPr>
              <w:t>Reporting:</w:t>
            </w:r>
            <w:r w:rsidRPr="005D4222">
              <w:rPr>
                <w:b/>
                <w:bCs w:val="0"/>
              </w:rPr>
              <w:t xml:space="preserve"> SES </w:t>
            </w:r>
            <w:r w:rsidR="00B51CDC" w:rsidRPr="005D4222">
              <w:rPr>
                <w:b/>
              </w:rPr>
              <w:t>Stratifications</w:t>
            </w:r>
            <w:r w:rsidRPr="005D4222">
              <w:rPr>
                <w:b/>
                <w:bCs w:val="0"/>
              </w:rPr>
              <w:t xml:space="preserve"> (Medicare only)</w:t>
            </w:r>
          </w:p>
          <w:p w14:paraId="78EF7FB2" w14:textId="77777777" w:rsidR="00E949A5" w:rsidRPr="005D4222" w:rsidRDefault="00E949A5" w:rsidP="00E949A5">
            <w:pPr>
              <w:pStyle w:val="ECDSBody"/>
            </w:pPr>
            <w:r w:rsidRPr="005D4222">
              <w:rPr>
                <w:b/>
              </w:rPr>
              <w:t xml:space="preserve">Step 1. </w:t>
            </w:r>
            <w:r w:rsidRPr="005D4222">
              <w:t>Determine the persons enrolled in Medicare SES stratifications as of the end of the continuous enrollment period for each Medicare discharge:</w:t>
            </w:r>
          </w:p>
          <w:p w14:paraId="1702CBC0" w14:textId="77777777" w:rsidR="00E949A5" w:rsidRPr="005D4222" w:rsidRDefault="00E949A5" w:rsidP="00E949A5">
            <w:pPr>
              <w:pStyle w:val="Bullet"/>
              <w:numPr>
                <w:ilvl w:val="0"/>
                <w:numId w:val="4"/>
              </w:numPr>
              <w:tabs>
                <w:tab w:val="left" w:pos="360"/>
                <w:tab w:val="left" w:pos="576"/>
              </w:tabs>
              <w:ind w:left="576" w:hanging="216"/>
            </w:pPr>
            <w:r w:rsidRPr="005D4222">
              <w:rPr>
                <w:i/>
              </w:rPr>
              <w:t xml:space="preserve">Non-LIS/DE, </w:t>
            </w:r>
            <w:r w:rsidRPr="005D4222">
              <w:rPr>
                <w:i/>
                <w:iCs/>
              </w:rPr>
              <w:t>nondisability</w:t>
            </w:r>
            <w:r w:rsidRPr="005D4222">
              <w:t>: Person is eligible for Medicare due to age only (does not receive LIS, is not DE for Medicaid, does not have disability status).</w:t>
            </w:r>
          </w:p>
          <w:p w14:paraId="614F306E" w14:textId="77777777" w:rsidR="00E949A5" w:rsidRPr="005D4222" w:rsidRDefault="00E949A5" w:rsidP="00E949A5">
            <w:pPr>
              <w:pStyle w:val="Bullet"/>
              <w:numPr>
                <w:ilvl w:val="0"/>
                <w:numId w:val="4"/>
              </w:numPr>
              <w:tabs>
                <w:tab w:val="left" w:pos="360"/>
                <w:tab w:val="left" w:pos="576"/>
              </w:tabs>
              <w:spacing w:after="80"/>
              <w:ind w:left="576" w:hanging="216"/>
            </w:pPr>
            <w:r w:rsidRPr="005D4222">
              <w:rPr>
                <w:i/>
              </w:rPr>
              <w:t>IS/DE:</w:t>
            </w:r>
            <w:r w:rsidRPr="005D4222">
              <w:t xml:space="preserve"> Person is eligible for Medicare due to age and receives LIS (includes persons eligible for Medicare due to DE), does not have disability status.</w:t>
            </w:r>
          </w:p>
          <w:p w14:paraId="3601E831" w14:textId="77777777" w:rsidR="00E949A5" w:rsidRPr="005D4222" w:rsidRDefault="00E949A5" w:rsidP="00E949A5">
            <w:pPr>
              <w:pStyle w:val="Bullet"/>
              <w:numPr>
                <w:ilvl w:val="0"/>
                <w:numId w:val="4"/>
              </w:numPr>
              <w:tabs>
                <w:tab w:val="left" w:pos="360"/>
                <w:tab w:val="left" w:pos="576"/>
              </w:tabs>
              <w:spacing w:before="120"/>
              <w:ind w:left="576" w:hanging="216"/>
            </w:pPr>
            <w:r w:rsidRPr="005D4222">
              <w:rPr>
                <w:i/>
              </w:rPr>
              <w:t xml:space="preserve">Disability: </w:t>
            </w:r>
            <w:r w:rsidRPr="005D4222">
              <w:t xml:space="preserve">Person is eligible for Medicare due to disability status only. </w:t>
            </w:r>
          </w:p>
          <w:p w14:paraId="02357FCA" w14:textId="77777777" w:rsidR="00E949A5" w:rsidRPr="005D4222" w:rsidRDefault="00E949A5" w:rsidP="00E949A5">
            <w:pPr>
              <w:pStyle w:val="Bullet"/>
              <w:numPr>
                <w:ilvl w:val="0"/>
                <w:numId w:val="4"/>
              </w:numPr>
              <w:tabs>
                <w:tab w:val="left" w:pos="360"/>
                <w:tab w:val="left" w:pos="576"/>
              </w:tabs>
              <w:ind w:left="576" w:hanging="216"/>
            </w:pPr>
            <w:r w:rsidRPr="005D4222">
              <w:rPr>
                <w:i/>
              </w:rPr>
              <w:t xml:space="preserve">LIS/DE and </w:t>
            </w:r>
            <w:r w:rsidRPr="005D4222">
              <w:rPr>
                <w:i/>
                <w:iCs/>
              </w:rPr>
              <w:t>disability</w:t>
            </w:r>
            <w:r w:rsidRPr="005D4222">
              <w:rPr>
                <w:i/>
              </w:rPr>
              <w:t xml:space="preserve">: </w:t>
            </w:r>
            <w:r w:rsidRPr="005D4222">
              <w:t>Person is eligible for Medicare, receives LIS and has disability status.</w:t>
            </w:r>
          </w:p>
          <w:p w14:paraId="59740FA5" w14:textId="77777777" w:rsidR="00E949A5" w:rsidRPr="005D4222" w:rsidRDefault="00E949A5" w:rsidP="00E949A5">
            <w:pPr>
              <w:pStyle w:val="Bullet"/>
              <w:numPr>
                <w:ilvl w:val="0"/>
                <w:numId w:val="4"/>
              </w:numPr>
              <w:tabs>
                <w:tab w:val="left" w:pos="360"/>
                <w:tab w:val="left" w:pos="576"/>
              </w:tabs>
              <w:ind w:left="576" w:hanging="216"/>
            </w:pPr>
            <w:r w:rsidRPr="005D4222">
              <w:rPr>
                <w:i/>
              </w:rPr>
              <w:t xml:space="preserve">Other: </w:t>
            </w:r>
            <w:r w:rsidRPr="005D4222">
              <w:t>Person has ESRD-only status or is assigned “9—none of the above.”</w:t>
            </w:r>
          </w:p>
          <w:p w14:paraId="54890DAD" w14:textId="77777777" w:rsidR="00E949A5" w:rsidRPr="005D4222" w:rsidRDefault="00E949A5" w:rsidP="00E949A5">
            <w:pPr>
              <w:pStyle w:val="Bullet"/>
              <w:numPr>
                <w:ilvl w:val="0"/>
                <w:numId w:val="4"/>
              </w:numPr>
              <w:tabs>
                <w:tab w:val="left" w:pos="360"/>
                <w:tab w:val="left" w:pos="576"/>
              </w:tabs>
              <w:ind w:left="576" w:hanging="216"/>
            </w:pPr>
            <w:r w:rsidRPr="005D4222">
              <w:rPr>
                <w:i/>
              </w:rPr>
              <w:t xml:space="preserve">Unknown: </w:t>
            </w:r>
            <w:r w:rsidRPr="005D4222">
              <w:t xml:space="preserve">Person’s SES is unknown. </w:t>
            </w:r>
          </w:p>
          <w:p w14:paraId="28DE836F" w14:textId="77777777" w:rsidR="00E949A5" w:rsidRPr="005D4222" w:rsidRDefault="00E949A5" w:rsidP="00E949A5">
            <w:pPr>
              <w:pStyle w:val="Bullet"/>
              <w:numPr>
                <w:ilvl w:val="0"/>
                <w:numId w:val="4"/>
              </w:numPr>
              <w:tabs>
                <w:tab w:val="left" w:pos="360"/>
                <w:tab w:val="left" w:pos="576"/>
              </w:tabs>
              <w:ind w:left="576" w:hanging="216"/>
            </w:pPr>
            <w:r w:rsidRPr="005D4222">
              <w:rPr>
                <w:i/>
              </w:rPr>
              <w:t>Total Medicare:</w:t>
            </w:r>
            <w:r w:rsidRPr="005D4222">
              <w:t xml:space="preserve"> Total of all categories.</w:t>
            </w:r>
          </w:p>
          <w:p w14:paraId="7B650E24" w14:textId="77777777" w:rsidR="00E949A5" w:rsidRPr="005D4222" w:rsidRDefault="00E949A5" w:rsidP="00E949A5">
            <w:pPr>
              <w:pStyle w:val="ECDSBody"/>
            </w:pPr>
            <w:r w:rsidRPr="005D4222">
              <w:rPr>
                <w:b/>
              </w:rPr>
              <w:t xml:space="preserve">Step 2. </w:t>
            </w:r>
            <w:r w:rsidRPr="005D4222">
              <w:t>Report Medicare discharges based on the SES stratification assigned for each Medicare index stay in Table PCR-B-3.</w:t>
            </w:r>
          </w:p>
          <w:p w14:paraId="6EDC6C98" w14:textId="77777777" w:rsidR="00E949A5" w:rsidRPr="005D4222" w:rsidRDefault="00E949A5" w:rsidP="00E949A5">
            <w:pPr>
              <w:pStyle w:val="ECDSBody"/>
            </w:pPr>
            <w:r w:rsidRPr="005D4222">
              <w:rPr>
                <w:b/>
                <w:bCs w:val="0"/>
                <w:i/>
                <w:iCs/>
              </w:rPr>
              <w:t xml:space="preserve">Reporting: </w:t>
            </w:r>
            <w:r w:rsidRPr="005D4222">
              <w:rPr>
                <w:b/>
                <w:bCs w:val="0"/>
              </w:rPr>
              <w:t xml:space="preserve">Skilled </w:t>
            </w:r>
            <w:r w:rsidRPr="005D4222">
              <w:rPr>
                <w:b/>
              </w:rPr>
              <w:t>nursing care stratification</w:t>
            </w:r>
            <w:r w:rsidRPr="005D4222">
              <w:rPr>
                <w:b/>
                <w:bCs w:val="0"/>
              </w:rPr>
              <w:t xml:space="preserve"> (Medicare 65+ only)</w:t>
            </w:r>
            <w:r w:rsidRPr="005D4222">
              <w:rPr>
                <w:b/>
              </w:rPr>
              <w:br/>
            </w:r>
            <w:r w:rsidRPr="005D4222">
              <w:t xml:space="preserve">Report Medicare discharges for each IHS discharged or transferred to skilled nursing care to an age group in Table PCR-C-3. </w:t>
            </w:r>
          </w:p>
          <w:p w14:paraId="193EE441" w14:textId="77777777" w:rsidR="00E949A5" w:rsidRPr="005D4222" w:rsidRDefault="00E949A5" w:rsidP="00E949A5">
            <w:pPr>
              <w:pStyle w:val="ECDSBody"/>
            </w:pPr>
            <w:r w:rsidRPr="005D4222">
              <w:rPr>
                <w:b/>
                <w:bCs w:val="0"/>
                <w:i/>
                <w:iCs/>
              </w:rPr>
              <w:t>Reporting:</w:t>
            </w:r>
            <w:r w:rsidRPr="005D4222">
              <w:rPr>
                <w:b/>
                <w:bCs w:val="0"/>
              </w:rPr>
              <w:t xml:space="preserve"> Numerator</w:t>
            </w:r>
            <w:r w:rsidRPr="005D4222">
              <w:rPr>
                <w:b/>
                <w:bCs w:val="0"/>
              </w:rPr>
              <w:br/>
            </w:r>
            <w:r w:rsidRPr="005D4222">
              <w:t>Count the number of observed IHS among nonoutlier persons with a readmission within 30 days of discharge for each age group and report these values as the ObservedCount.</w:t>
            </w:r>
          </w:p>
          <w:p w14:paraId="1CC74DC8" w14:textId="34E3B7FA" w:rsidR="00E949A5" w:rsidRPr="005D4222" w:rsidRDefault="00E949A5" w:rsidP="00E949A5">
            <w:pPr>
              <w:pStyle w:val="ECDSBody"/>
            </w:pPr>
            <w:r w:rsidRPr="005D4222">
              <w:rPr>
                <w:b/>
                <w:bCs w:val="0"/>
                <w:i/>
                <w:iCs/>
              </w:rPr>
              <w:t xml:space="preserve">Calculated: </w:t>
            </w:r>
            <w:r w:rsidRPr="005D4222">
              <w:rPr>
                <w:b/>
                <w:bCs w:val="0"/>
              </w:rPr>
              <w:t xml:space="preserve">Observed </w:t>
            </w:r>
            <w:r w:rsidRPr="005D4222">
              <w:rPr>
                <w:b/>
              </w:rPr>
              <w:t>readmission rate</w:t>
            </w:r>
            <w:r w:rsidRPr="005D4222">
              <w:rPr>
                <w:b/>
              </w:rPr>
              <w:br/>
            </w:r>
            <w:r w:rsidRPr="005D4222">
              <w:t>The count of observed 30-day readmissions (ObservedCount) divided by the count of index stays (</w:t>
            </w:r>
            <w:r w:rsidR="001773BC" w:rsidRPr="005D4222">
              <w:t>D</w:t>
            </w:r>
            <w:r w:rsidRPr="005D4222">
              <w:t>enominator) for each age group and totals. Calculated by IDSS as the ObservedRate.</w:t>
            </w:r>
          </w:p>
          <w:p w14:paraId="24FFC607" w14:textId="77777777" w:rsidR="00E949A5" w:rsidRPr="005D4222" w:rsidRDefault="00E949A5" w:rsidP="00E949A5">
            <w:pPr>
              <w:pStyle w:val="ECDSBody"/>
              <w:rPr>
                <w:b/>
                <w:bCs w:val="0"/>
                <w:sz w:val="22"/>
                <w:szCs w:val="22"/>
              </w:rPr>
            </w:pPr>
            <w:r w:rsidRPr="005D4222">
              <w:rPr>
                <w:b/>
                <w:bCs w:val="0"/>
                <w:i/>
                <w:iCs/>
              </w:rPr>
              <w:t>Reporting:</w:t>
            </w:r>
            <w:r w:rsidRPr="005D4222">
              <w:rPr>
                <w:b/>
                <w:bCs w:val="0"/>
              </w:rPr>
              <w:t xml:space="preserve"> </w:t>
            </w:r>
            <w:r w:rsidRPr="005D4222">
              <w:rPr>
                <w:b/>
                <w:bCs w:val="0"/>
                <w:sz w:val="22"/>
                <w:szCs w:val="22"/>
              </w:rPr>
              <w:t xml:space="preserve">Count of </w:t>
            </w:r>
            <w:r w:rsidRPr="005D4222">
              <w:rPr>
                <w:b/>
                <w:sz w:val="22"/>
                <w:szCs w:val="22"/>
              </w:rPr>
              <w:t>expected</w:t>
            </w:r>
            <w:r w:rsidRPr="005D4222">
              <w:rPr>
                <w:b/>
                <w:bCs w:val="0"/>
                <w:sz w:val="22"/>
                <w:szCs w:val="22"/>
              </w:rPr>
              <w:t xml:space="preserve"> 30-</w:t>
            </w:r>
            <w:r w:rsidRPr="005D4222">
              <w:rPr>
                <w:b/>
                <w:sz w:val="22"/>
                <w:szCs w:val="22"/>
              </w:rPr>
              <w:t>day readmissions</w:t>
            </w:r>
          </w:p>
          <w:p w14:paraId="035CC241" w14:textId="77777777" w:rsidR="00E949A5" w:rsidRPr="005D4222" w:rsidRDefault="00E949A5" w:rsidP="00E949A5">
            <w:pPr>
              <w:pStyle w:val="ECDSBody"/>
              <w:rPr>
                <w:bCs w:val="0"/>
              </w:rPr>
            </w:pPr>
            <w:r w:rsidRPr="005D4222">
              <w:rPr>
                <w:b/>
              </w:rPr>
              <w:t xml:space="preserve">Step 1. </w:t>
            </w:r>
            <w:r w:rsidRPr="005D4222">
              <w:t xml:space="preserve">Calculate the count of expected readmissions among nonoutliers for each age group. </w:t>
            </w:r>
          </w:p>
          <w:p w14:paraId="1894E493" w14:textId="77777777" w:rsidR="00E949A5" w:rsidRPr="005D4222" w:rsidRDefault="00E949A5" w:rsidP="00E949A5">
            <w:pPr>
              <w:pStyle w:val="ECDSBody"/>
            </w:pPr>
            <w:r w:rsidRPr="005D4222">
              <w:rPr>
                <w:b/>
              </w:rPr>
              <w:t xml:space="preserve">Step 2. </w:t>
            </w:r>
            <w:r w:rsidRPr="005D4222">
              <w:t>Round to 4 decimal places using the .5 rule and report these values as the ExpectedCount.</w:t>
            </w:r>
          </w:p>
          <w:p w14:paraId="40292662" w14:textId="72354C72" w:rsidR="00E949A5" w:rsidRPr="005D4222" w:rsidRDefault="00E949A5" w:rsidP="00A53E8C">
            <w:pPr>
              <w:pStyle w:val="ECDSBody"/>
            </w:pPr>
            <w:r w:rsidRPr="005D4222">
              <w:rPr>
                <w:b/>
                <w:i/>
              </w:rPr>
              <w:t xml:space="preserve">Calculated: </w:t>
            </w:r>
            <w:r w:rsidRPr="005D4222">
              <w:rPr>
                <w:b/>
                <w:iCs/>
              </w:rPr>
              <w:t>Expected readmissions rate</w:t>
            </w:r>
            <w:r w:rsidRPr="005D4222">
              <w:rPr>
                <w:b/>
                <w:iCs/>
              </w:rPr>
              <w:br/>
            </w:r>
            <w:r w:rsidRPr="005D4222">
              <w:t>The count of expected 30-day readmissions (ExpectedCount) divided by the count of index stays (Denominator) for each age group and totals. Calculated by IDSS as the ExpectedRate.</w:t>
            </w:r>
          </w:p>
        </w:tc>
      </w:tr>
    </w:tbl>
    <w:p w14:paraId="068FCDB3" w14:textId="77777777" w:rsidR="00B25234" w:rsidRPr="005D4222" w:rsidRDefault="00B25234" w:rsidP="00B25234">
      <w:pPr>
        <w:spacing w:after="160" w:line="259" w:lineRule="auto"/>
      </w:pPr>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B25234" w:rsidRPr="005D4222" w14:paraId="4341A915"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5D311C9" w14:textId="77777777" w:rsidR="00B25234" w:rsidRPr="005D4222" w:rsidRDefault="00B25234"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D5E29FB" w14:textId="77777777" w:rsidR="00B25234" w:rsidRPr="005D4222" w:rsidRDefault="00B25234" w:rsidP="00A53E8C">
            <w:pPr>
              <w:pStyle w:val="ECDSBody"/>
              <w:rPr>
                <w:b/>
              </w:rPr>
            </w:pPr>
            <w:r w:rsidRPr="005D4222">
              <w:rPr>
                <w:b/>
                <w:i/>
                <w:iCs/>
              </w:rPr>
              <w:t>Reporting</w:t>
            </w:r>
            <w:r w:rsidRPr="005D4222">
              <w:rPr>
                <w:b/>
              </w:rPr>
              <w:t>: Variance</w:t>
            </w:r>
          </w:p>
          <w:p w14:paraId="407D537B" w14:textId="77777777" w:rsidR="00B25234" w:rsidRPr="005D4222" w:rsidRDefault="00B25234" w:rsidP="00A53E8C">
            <w:pPr>
              <w:pStyle w:val="ECDSBody"/>
              <w:rPr>
                <w:rFonts w:eastAsiaTheme="minorEastAsia"/>
                <w:color w:val="000000"/>
                <w:lang w:eastAsia="zh-CN"/>
              </w:rPr>
            </w:pPr>
            <w:r w:rsidRPr="005D4222">
              <w:rPr>
                <w:rFonts w:eastAsiaTheme="minorEastAsia"/>
                <w:b/>
                <w:color w:val="000000"/>
                <w:lang w:eastAsia="zh-CN"/>
              </w:rPr>
              <w:t>Step 1</w:t>
            </w:r>
            <w:r w:rsidRPr="005D4222">
              <w:rPr>
                <w:rFonts w:eastAsiaTheme="minorEastAsia"/>
                <w:b/>
                <w:bCs w:val="0"/>
                <w:color w:val="000000"/>
                <w:lang w:eastAsia="zh-CN"/>
              </w:rPr>
              <w:t>.</w:t>
            </w:r>
            <w:r w:rsidRPr="005D4222">
              <w:rPr>
                <w:rFonts w:eastAsiaTheme="minorEastAsia"/>
                <w:color w:val="000000"/>
                <w:lang w:eastAsia="zh-CN"/>
              </w:rPr>
              <w:t xml:space="preserve"> Calculate the total (sum) variance (</w:t>
            </w:r>
            <w:r w:rsidRPr="005D4222">
              <w:rPr>
                <w:rFonts w:eastAsiaTheme="minorEastAsia"/>
                <w:i/>
                <w:iCs/>
                <w:color w:val="000000"/>
                <w:lang w:eastAsia="zh-CN"/>
              </w:rPr>
              <w:t>Risk Adjustment Calculation</w:t>
            </w:r>
            <w:r w:rsidRPr="005D4222">
              <w:rPr>
                <w:rFonts w:eastAsiaTheme="minorEastAsia"/>
                <w:color w:val="000000"/>
                <w:lang w:eastAsia="zh-CN"/>
              </w:rPr>
              <w:t xml:space="preserve">, step 9) for each SES stratification (Medicare only), skilled nursing stratification (Medicare only) and age group. </w:t>
            </w:r>
          </w:p>
          <w:p w14:paraId="22F87299" w14:textId="77777777" w:rsidR="00B25234" w:rsidRPr="005D4222" w:rsidRDefault="00B25234" w:rsidP="00A53E8C">
            <w:pPr>
              <w:pStyle w:val="ECDSBody"/>
              <w:rPr>
                <w:rFonts w:eastAsiaTheme="minorEastAsia"/>
                <w:color w:val="000000"/>
                <w:lang w:eastAsia="zh-CN"/>
              </w:rPr>
            </w:pPr>
            <w:r w:rsidRPr="005D4222">
              <w:rPr>
                <w:rFonts w:eastAsiaTheme="minorEastAsia"/>
                <w:b/>
                <w:color w:val="000000"/>
                <w:lang w:eastAsia="zh-CN"/>
              </w:rPr>
              <w:t>Step 2</w:t>
            </w:r>
            <w:r w:rsidRPr="005D4222">
              <w:rPr>
                <w:rFonts w:eastAsiaTheme="minorEastAsia"/>
                <w:b/>
                <w:bCs w:val="0"/>
                <w:color w:val="000000"/>
                <w:lang w:eastAsia="zh-CN"/>
              </w:rPr>
              <w:t>.</w:t>
            </w:r>
            <w:r w:rsidRPr="005D4222">
              <w:rPr>
                <w:rFonts w:eastAsiaTheme="minorEastAsia"/>
                <w:color w:val="000000"/>
                <w:lang w:eastAsia="zh-CN"/>
              </w:rPr>
              <w:t xml:space="preserve"> Round to 4 decimal places using the .5 rule and report these values as the CountVariance.</w:t>
            </w:r>
          </w:p>
          <w:p w14:paraId="3051140D" w14:textId="77777777" w:rsidR="00B25234" w:rsidRPr="005D4222" w:rsidRDefault="00B25234" w:rsidP="00A53E8C">
            <w:pPr>
              <w:pStyle w:val="ECDSBody"/>
            </w:pPr>
            <w:r w:rsidRPr="005D4222">
              <w:rPr>
                <w:b/>
                <w:i/>
                <w:iCs/>
              </w:rPr>
              <w:t xml:space="preserve">Calculated: </w:t>
            </w:r>
            <w:r w:rsidRPr="005D4222">
              <w:rPr>
                <w:b/>
              </w:rPr>
              <w:t>O/E ratio</w:t>
            </w:r>
            <w:r w:rsidRPr="005D4222">
              <w:rPr>
                <w:b/>
              </w:rPr>
              <w:br/>
            </w:r>
            <w:r w:rsidRPr="005D4222">
              <w:t>The count of observed 30-day readmissions (ObservedCount) divided by the count of expected 30-day readmissions (ExpectedCount) for each age group and totals. Calculated by IDSS as the OE. The O/E ratio is not calculated for SES stratification.</w:t>
            </w:r>
          </w:p>
          <w:p w14:paraId="317B009A" w14:textId="77777777" w:rsidR="00B25234" w:rsidRPr="005D4222" w:rsidRDefault="00B25234" w:rsidP="00A53E8C">
            <w:pPr>
              <w:pStyle w:val="Heading3"/>
              <w:spacing w:before="120"/>
              <w:rPr>
                <w:rFonts w:eastAsia="Arial,Times New Roman"/>
              </w:rPr>
            </w:pPr>
            <w:r w:rsidRPr="005D4222">
              <w:rPr>
                <w:b w:val="0"/>
                <w:bCs w:val="0"/>
                <w:i w:val="0"/>
                <w:iCs/>
                <w:sz w:val="21"/>
                <w:szCs w:val="21"/>
              </w:rPr>
              <w:t>Organizations that submit HEDIS data to NCQA must provide the following data elements.</w:t>
            </w:r>
          </w:p>
          <w:p w14:paraId="56D2F188" w14:textId="77777777" w:rsidR="00B25234" w:rsidRPr="005D4222" w:rsidRDefault="00B25234" w:rsidP="00A53E8C">
            <w:pPr>
              <w:pStyle w:val="Heading3"/>
              <w:spacing w:before="120"/>
              <w:rPr>
                <w:rFonts w:eastAsia="Arial,Times New Roman"/>
              </w:rPr>
            </w:pPr>
            <w:r w:rsidRPr="005D4222">
              <w:rPr>
                <w:rFonts w:eastAsia="Arial,Times New Roman"/>
              </w:rPr>
              <w:t xml:space="preserve">Table PCR-A-1/2: Data Element for Plan All-Cause Readmissions </w:t>
            </w:r>
          </w:p>
          <w:tbl>
            <w:tblPr>
              <w:tblW w:w="7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2346"/>
              <w:gridCol w:w="804"/>
              <w:gridCol w:w="1796"/>
              <w:gridCol w:w="2430"/>
            </w:tblGrid>
            <w:tr w:rsidR="00B25234" w:rsidRPr="005D4222" w14:paraId="5F1F2F4C" w14:textId="77777777" w:rsidTr="00A53E8C">
              <w:trPr>
                <w:cantSplit/>
                <w:trHeight w:val="260"/>
              </w:trPr>
              <w:tc>
                <w:tcPr>
                  <w:tcW w:w="2346" w:type="dxa"/>
                  <w:tcBorders>
                    <w:top w:val="single" w:sz="4" w:space="0" w:color="auto"/>
                    <w:left w:val="single" w:sz="4" w:space="0" w:color="auto"/>
                    <w:bottom w:val="single" w:sz="4" w:space="0" w:color="000000"/>
                    <w:right w:val="single" w:sz="4" w:space="0" w:color="FFFFFF"/>
                  </w:tcBorders>
                  <w:shd w:val="clear" w:color="auto" w:fill="000000"/>
                  <w:tcMar>
                    <w:left w:w="72" w:type="dxa"/>
                    <w:right w:w="72" w:type="dxa"/>
                  </w:tcMar>
                </w:tcPr>
                <w:p w14:paraId="7588C339" w14:textId="77777777" w:rsidR="00B25234" w:rsidRPr="005D4222" w:rsidRDefault="00B25234" w:rsidP="00A53E8C">
                  <w:pPr>
                    <w:pStyle w:val="TableHead"/>
                    <w:spacing w:before="80" w:after="80"/>
                    <w:rPr>
                      <w:rFonts w:eastAsia="Arial Narrow"/>
                    </w:rPr>
                  </w:pPr>
                  <w:r w:rsidRPr="005D4222">
                    <w:rPr>
                      <w:rFonts w:eastAsia="Arial Narrow"/>
                    </w:rPr>
                    <w:t>Metric</w:t>
                  </w:r>
                </w:p>
              </w:tc>
              <w:tc>
                <w:tcPr>
                  <w:tcW w:w="804" w:type="dxa"/>
                  <w:tcBorders>
                    <w:top w:val="single" w:sz="4" w:space="0" w:color="auto"/>
                    <w:left w:val="single" w:sz="4" w:space="0" w:color="FFFFFF"/>
                    <w:bottom w:val="single" w:sz="4" w:space="0" w:color="auto"/>
                    <w:right w:val="single" w:sz="4" w:space="0" w:color="FFFFFF"/>
                  </w:tcBorders>
                  <w:shd w:val="clear" w:color="auto" w:fill="000000"/>
                  <w:tcMar>
                    <w:left w:w="72" w:type="dxa"/>
                    <w:right w:w="72" w:type="dxa"/>
                  </w:tcMar>
                </w:tcPr>
                <w:p w14:paraId="1AB6533A" w14:textId="77777777" w:rsidR="00B25234" w:rsidRPr="005D4222" w:rsidRDefault="00B25234" w:rsidP="00A53E8C">
                  <w:pPr>
                    <w:pStyle w:val="TableHead"/>
                    <w:spacing w:before="80" w:after="80"/>
                    <w:rPr>
                      <w:rFonts w:eastAsia="Arial Narrow"/>
                    </w:rPr>
                  </w:pPr>
                  <w:r w:rsidRPr="005D4222">
                    <w:rPr>
                      <w:rFonts w:eastAsia="Arial Narrow"/>
                    </w:rPr>
                    <w:t>Age</w:t>
                  </w:r>
                </w:p>
              </w:tc>
              <w:tc>
                <w:tcPr>
                  <w:tcW w:w="1796" w:type="dxa"/>
                  <w:tcBorders>
                    <w:top w:val="single" w:sz="4" w:space="0" w:color="auto"/>
                    <w:left w:val="single" w:sz="4" w:space="0" w:color="FFFFFF"/>
                    <w:right w:val="single" w:sz="6" w:space="0" w:color="FFFFFF"/>
                  </w:tcBorders>
                  <w:shd w:val="clear" w:color="auto" w:fill="000000"/>
                  <w:tcMar>
                    <w:left w:w="72" w:type="dxa"/>
                    <w:right w:w="72" w:type="dxa"/>
                  </w:tcMar>
                  <w:vAlign w:val="bottom"/>
                </w:tcPr>
                <w:p w14:paraId="5FA392BD" w14:textId="77777777" w:rsidR="00B25234" w:rsidRPr="005D4222" w:rsidRDefault="00B25234" w:rsidP="00A53E8C">
                  <w:pPr>
                    <w:pStyle w:val="TableHead"/>
                    <w:spacing w:before="80" w:after="80"/>
                    <w:rPr>
                      <w:rFonts w:eastAsia="Arial Narrow"/>
                    </w:rPr>
                  </w:pPr>
                  <w:r w:rsidRPr="005D4222">
                    <w:rPr>
                      <w:rFonts w:eastAsia="Arial Narrow"/>
                    </w:rPr>
                    <w:t xml:space="preserve">Data Element </w:t>
                  </w:r>
                </w:p>
              </w:tc>
              <w:tc>
                <w:tcPr>
                  <w:tcW w:w="2430" w:type="dxa"/>
                  <w:tcBorders>
                    <w:top w:val="single" w:sz="4" w:space="0" w:color="auto"/>
                    <w:left w:val="single" w:sz="6" w:space="0" w:color="FFFFFF"/>
                    <w:right w:val="single" w:sz="4" w:space="0" w:color="auto"/>
                  </w:tcBorders>
                  <w:shd w:val="clear" w:color="auto" w:fill="000000"/>
                  <w:tcMar>
                    <w:left w:w="72" w:type="dxa"/>
                    <w:right w:w="72" w:type="dxa"/>
                  </w:tcMar>
                  <w:vAlign w:val="bottom"/>
                </w:tcPr>
                <w:p w14:paraId="21413F1E" w14:textId="77777777" w:rsidR="00B25234" w:rsidRPr="005D4222" w:rsidRDefault="00B25234" w:rsidP="00A53E8C">
                  <w:pPr>
                    <w:pStyle w:val="TableHead"/>
                    <w:spacing w:before="80" w:after="80"/>
                    <w:rPr>
                      <w:rFonts w:eastAsia="Arial Narrow"/>
                    </w:rPr>
                  </w:pPr>
                  <w:r w:rsidRPr="005D4222">
                    <w:rPr>
                      <w:rFonts w:eastAsia="Arial Narrow"/>
                    </w:rPr>
                    <w:t>Reporting Instructions</w:t>
                  </w:r>
                </w:p>
              </w:tc>
            </w:tr>
            <w:tr w:rsidR="00B25234" w:rsidRPr="005D4222" w14:paraId="024BAC83" w14:textId="77777777" w:rsidTr="00A53E8C">
              <w:trPr>
                <w:cantSplit/>
              </w:trPr>
              <w:tc>
                <w:tcPr>
                  <w:tcW w:w="2346" w:type="dxa"/>
                  <w:tcBorders>
                    <w:top w:val="single" w:sz="4" w:space="0" w:color="000000"/>
                    <w:left w:val="single" w:sz="4" w:space="0" w:color="000000"/>
                    <w:bottom w:val="single" w:sz="4" w:space="0" w:color="000000"/>
                    <w:right w:val="single" w:sz="4" w:space="0" w:color="000000"/>
                  </w:tcBorders>
                  <w:tcMar>
                    <w:left w:w="72" w:type="dxa"/>
                    <w:right w:w="72" w:type="dxa"/>
                  </w:tcMar>
                </w:tcPr>
                <w:p w14:paraId="4A6668CD"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hAnsi="Arial Narrow"/>
                      <w:szCs w:val="19"/>
                    </w:rPr>
                    <w:t>PlanAllCauseReadmissions</w:t>
                  </w:r>
                </w:p>
              </w:tc>
              <w:tc>
                <w:tcPr>
                  <w:tcW w:w="804" w:type="dxa"/>
                  <w:tcBorders>
                    <w:left w:val="single" w:sz="4" w:space="0" w:color="000000"/>
                    <w:bottom w:val="single" w:sz="4" w:space="0" w:color="000000"/>
                  </w:tcBorders>
                  <w:tcMar>
                    <w:left w:w="72" w:type="dxa"/>
                    <w:right w:w="72" w:type="dxa"/>
                  </w:tcMar>
                </w:tcPr>
                <w:p w14:paraId="55CF536B"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18-44</w:t>
                  </w:r>
                </w:p>
              </w:tc>
              <w:tc>
                <w:tcPr>
                  <w:tcW w:w="1796" w:type="dxa"/>
                  <w:tcBorders>
                    <w:bottom w:val="single" w:sz="4" w:space="0" w:color="auto"/>
                  </w:tcBorders>
                  <w:tcMar>
                    <w:left w:w="72" w:type="dxa"/>
                    <w:right w:w="72" w:type="dxa"/>
                  </w:tcMar>
                </w:tcPr>
                <w:p w14:paraId="0DC00CA3"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PersonCount</w:t>
                  </w:r>
                </w:p>
              </w:tc>
              <w:tc>
                <w:tcPr>
                  <w:tcW w:w="2430" w:type="dxa"/>
                  <w:tcBorders>
                    <w:bottom w:val="single" w:sz="4" w:space="0" w:color="auto"/>
                  </w:tcBorders>
                  <w:tcMar>
                    <w:left w:w="72" w:type="dxa"/>
                    <w:right w:w="72" w:type="dxa"/>
                  </w:tcMar>
                </w:tcPr>
                <w:p w14:paraId="1BB177BF"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For each Stratification</w:t>
                  </w:r>
                </w:p>
              </w:tc>
            </w:tr>
            <w:tr w:rsidR="00B25234" w:rsidRPr="005D4222" w14:paraId="6C8477D8" w14:textId="77777777" w:rsidTr="00A53E8C">
              <w:trPr>
                <w:cantSplit/>
              </w:trPr>
              <w:tc>
                <w:tcPr>
                  <w:tcW w:w="2346" w:type="dxa"/>
                  <w:tcBorders>
                    <w:top w:val="single" w:sz="4" w:space="0" w:color="000000"/>
                    <w:left w:val="nil"/>
                    <w:bottom w:val="nil"/>
                    <w:right w:val="single" w:sz="4" w:space="0" w:color="000000"/>
                  </w:tcBorders>
                  <w:tcMar>
                    <w:left w:w="72" w:type="dxa"/>
                    <w:right w:w="72" w:type="dxa"/>
                  </w:tcMar>
                </w:tcPr>
                <w:p w14:paraId="2C25D410" w14:textId="77777777" w:rsidR="00B25234" w:rsidRPr="005D4222" w:rsidRDefault="00B25234" w:rsidP="00A53E8C">
                  <w:pPr>
                    <w:spacing w:before="80" w:after="80" w:line="216" w:lineRule="auto"/>
                    <w:rPr>
                      <w:rFonts w:ascii="Arial Narrow" w:eastAsia="Arial Narrow" w:hAnsi="Arial Narrow"/>
                      <w:szCs w:val="19"/>
                    </w:rPr>
                  </w:pPr>
                </w:p>
              </w:tc>
              <w:tc>
                <w:tcPr>
                  <w:tcW w:w="804" w:type="dxa"/>
                  <w:tcBorders>
                    <w:top w:val="single" w:sz="4" w:space="0" w:color="000000"/>
                    <w:left w:val="single" w:sz="4" w:space="0" w:color="000000"/>
                    <w:bottom w:val="single" w:sz="4" w:space="0" w:color="000000"/>
                    <w:right w:val="single" w:sz="4" w:space="0" w:color="000000"/>
                  </w:tcBorders>
                  <w:tcMar>
                    <w:left w:w="72" w:type="dxa"/>
                    <w:right w:w="72" w:type="dxa"/>
                  </w:tcMar>
                </w:tcPr>
                <w:p w14:paraId="424545AD"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45-54</w:t>
                  </w:r>
                </w:p>
              </w:tc>
              <w:tc>
                <w:tcPr>
                  <w:tcW w:w="1796" w:type="dxa"/>
                  <w:tcBorders>
                    <w:left w:val="single" w:sz="4" w:space="0" w:color="000000"/>
                    <w:bottom w:val="single" w:sz="4" w:space="0" w:color="auto"/>
                  </w:tcBorders>
                  <w:shd w:val="clear" w:color="auto" w:fill="FFFFFF"/>
                  <w:tcMar>
                    <w:left w:w="72" w:type="dxa"/>
                    <w:right w:w="72" w:type="dxa"/>
                  </w:tcMar>
                </w:tcPr>
                <w:p w14:paraId="768EE2D9"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OutlierPersonCount</w:t>
                  </w:r>
                </w:p>
              </w:tc>
              <w:tc>
                <w:tcPr>
                  <w:tcW w:w="2430" w:type="dxa"/>
                  <w:tcBorders>
                    <w:bottom w:val="single" w:sz="4" w:space="0" w:color="auto"/>
                  </w:tcBorders>
                  <w:shd w:val="clear" w:color="auto" w:fill="FFFFFF"/>
                  <w:tcMar>
                    <w:left w:w="72" w:type="dxa"/>
                    <w:right w:w="72" w:type="dxa"/>
                  </w:tcMar>
                </w:tcPr>
                <w:p w14:paraId="62A19957"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For each Stratification</w:t>
                  </w:r>
                </w:p>
              </w:tc>
            </w:tr>
            <w:tr w:rsidR="00B25234" w:rsidRPr="005D4222" w14:paraId="2F5B7784" w14:textId="77777777" w:rsidTr="00A53E8C">
              <w:trPr>
                <w:cantSplit/>
              </w:trPr>
              <w:tc>
                <w:tcPr>
                  <w:tcW w:w="2346" w:type="dxa"/>
                  <w:tcBorders>
                    <w:top w:val="nil"/>
                    <w:left w:val="nil"/>
                    <w:bottom w:val="nil"/>
                    <w:right w:val="single" w:sz="4" w:space="0" w:color="000000"/>
                  </w:tcBorders>
                  <w:tcMar>
                    <w:left w:w="72" w:type="dxa"/>
                    <w:right w:w="72" w:type="dxa"/>
                  </w:tcMar>
                  <w:vAlign w:val="bottom"/>
                </w:tcPr>
                <w:p w14:paraId="30F6801F" w14:textId="77777777" w:rsidR="00B25234" w:rsidRPr="005D4222" w:rsidRDefault="00B25234" w:rsidP="00A53E8C">
                  <w:pPr>
                    <w:spacing w:before="80" w:after="80" w:line="216" w:lineRule="auto"/>
                    <w:rPr>
                      <w:rFonts w:ascii="Arial Narrow" w:eastAsia="Arial Narrow" w:hAnsi="Arial Narrow"/>
                      <w:szCs w:val="19"/>
                    </w:rPr>
                  </w:pPr>
                </w:p>
              </w:tc>
              <w:tc>
                <w:tcPr>
                  <w:tcW w:w="804" w:type="dxa"/>
                  <w:tcBorders>
                    <w:top w:val="single" w:sz="4" w:space="0" w:color="000000"/>
                    <w:left w:val="single" w:sz="4" w:space="0" w:color="000000"/>
                    <w:bottom w:val="single" w:sz="4" w:space="0" w:color="000000"/>
                    <w:right w:val="single" w:sz="4" w:space="0" w:color="000000"/>
                  </w:tcBorders>
                  <w:tcMar>
                    <w:left w:w="72" w:type="dxa"/>
                    <w:right w:w="72" w:type="dxa"/>
                  </w:tcMar>
                </w:tcPr>
                <w:p w14:paraId="7B9DF967"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55-64</w:t>
                  </w:r>
                </w:p>
              </w:tc>
              <w:tc>
                <w:tcPr>
                  <w:tcW w:w="1796" w:type="dxa"/>
                  <w:tcBorders>
                    <w:top w:val="single" w:sz="4" w:space="0" w:color="auto"/>
                    <w:left w:val="single" w:sz="4" w:space="0" w:color="000000"/>
                    <w:bottom w:val="single" w:sz="4" w:space="0" w:color="auto"/>
                    <w:right w:val="single" w:sz="4" w:space="0" w:color="auto"/>
                  </w:tcBorders>
                  <w:shd w:val="clear" w:color="auto" w:fill="D9D9D9"/>
                  <w:tcMar>
                    <w:left w:w="72" w:type="dxa"/>
                    <w:right w:w="72" w:type="dxa"/>
                  </w:tcMar>
                </w:tcPr>
                <w:p w14:paraId="7675E3F1"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OutlierRate</w:t>
                  </w:r>
                </w:p>
              </w:tc>
              <w:tc>
                <w:tcPr>
                  <w:tcW w:w="2430" w:type="dxa"/>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tcPr>
                <w:p w14:paraId="23B69AC0"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OutlierPersonCount / PersonCount (Permille)</w:t>
                  </w:r>
                </w:p>
              </w:tc>
            </w:tr>
            <w:tr w:rsidR="00B25234" w:rsidRPr="005D4222" w14:paraId="54ABAE5B" w14:textId="77777777" w:rsidTr="00A53E8C">
              <w:trPr>
                <w:cantSplit/>
              </w:trPr>
              <w:tc>
                <w:tcPr>
                  <w:tcW w:w="2346" w:type="dxa"/>
                  <w:tcBorders>
                    <w:top w:val="nil"/>
                    <w:left w:val="nil"/>
                    <w:bottom w:val="nil"/>
                    <w:right w:val="single" w:sz="4" w:space="0" w:color="000000"/>
                  </w:tcBorders>
                  <w:tcMar>
                    <w:left w:w="72" w:type="dxa"/>
                    <w:right w:w="72" w:type="dxa"/>
                  </w:tcMar>
                  <w:vAlign w:val="bottom"/>
                </w:tcPr>
                <w:p w14:paraId="6304CC88" w14:textId="77777777" w:rsidR="00B25234" w:rsidRPr="005D4222" w:rsidRDefault="00B25234" w:rsidP="00A53E8C">
                  <w:pPr>
                    <w:spacing w:before="80" w:after="80" w:line="216" w:lineRule="auto"/>
                    <w:rPr>
                      <w:rFonts w:ascii="Arial Narrow" w:hAnsi="Arial Narrow"/>
                      <w:szCs w:val="19"/>
                    </w:rPr>
                  </w:pPr>
                </w:p>
              </w:tc>
              <w:tc>
                <w:tcPr>
                  <w:tcW w:w="804" w:type="dxa"/>
                  <w:tcBorders>
                    <w:top w:val="single" w:sz="4" w:space="0" w:color="000000"/>
                    <w:left w:val="single" w:sz="4" w:space="0" w:color="000000"/>
                    <w:bottom w:val="single" w:sz="4" w:space="0" w:color="000000"/>
                    <w:right w:val="single" w:sz="4" w:space="0" w:color="000000"/>
                  </w:tcBorders>
                  <w:shd w:val="clear" w:color="auto" w:fill="D9D9D9"/>
                  <w:tcMar>
                    <w:left w:w="72" w:type="dxa"/>
                    <w:right w:w="72" w:type="dxa"/>
                  </w:tcMar>
                </w:tcPr>
                <w:p w14:paraId="4A27657B"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hAnsi="Arial Narrow"/>
                      <w:szCs w:val="19"/>
                    </w:rPr>
                    <w:t>18-64</w:t>
                  </w:r>
                </w:p>
              </w:tc>
              <w:tc>
                <w:tcPr>
                  <w:tcW w:w="1796"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tcPr>
                <w:p w14:paraId="646D04FC"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Denominator</w:t>
                  </w:r>
                </w:p>
              </w:tc>
              <w:tc>
                <w:tcPr>
                  <w:tcW w:w="2430"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tcPr>
                <w:p w14:paraId="45652791"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For each Stratification</w:t>
                  </w:r>
                </w:p>
              </w:tc>
            </w:tr>
            <w:tr w:rsidR="00B25234" w:rsidRPr="005D4222" w14:paraId="4D423881" w14:textId="77777777" w:rsidTr="00A53E8C">
              <w:trPr>
                <w:cantSplit/>
              </w:trPr>
              <w:tc>
                <w:tcPr>
                  <w:tcW w:w="2346" w:type="dxa"/>
                  <w:tcBorders>
                    <w:top w:val="nil"/>
                    <w:left w:val="nil"/>
                    <w:bottom w:val="nil"/>
                    <w:right w:val="nil"/>
                  </w:tcBorders>
                  <w:tcMar>
                    <w:left w:w="72" w:type="dxa"/>
                    <w:right w:w="72" w:type="dxa"/>
                  </w:tcMar>
                  <w:vAlign w:val="bottom"/>
                </w:tcPr>
                <w:p w14:paraId="594CBA3D" w14:textId="77777777" w:rsidR="00B25234" w:rsidRPr="005D4222" w:rsidRDefault="00B25234" w:rsidP="00A53E8C">
                  <w:pPr>
                    <w:spacing w:before="80" w:after="80" w:line="216" w:lineRule="auto"/>
                    <w:rPr>
                      <w:rFonts w:ascii="Arial Narrow" w:hAnsi="Arial Narrow"/>
                      <w:szCs w:val="19"/>
                    </w:rPr>
                  </w:pPr>
                </w:p>
              </w:tc>
              <w:tc>
                <w:tcPr>
                  <w:tcW w:w="804" w:type="dxa"/>
                  <w:tcBorders>
                    <w:top w:val="single" w:sz="4" w:space="0" w:color="000000"/>
                    <w:left w:val="nil"/>
                    <w:bottom w:val="nil"/>
                    <w:right w:val="nil"/>
                  </w:tcBorders>
                  <w:shd w:val="clear" w:color="auto" w:fill="FFFFFF"/>
                  <w:tcMar>
                    <w:left w:w="72" w:type="dxa"/>
                    <w:right w:w="72" w:type="dxa"/>
                  </w:tcMar>
                </w:tcPr>
                <w:p w14:paraId="6F91A68D" w14:textId="77777777" w:rsidR="00B25234" w:rsidRPr="005D4222" w:rsidRDefault="00B25234" w:rsidP="00A53E8C">
                  <w:pPr>
                    <w:spacing w:before="80" w:after="80" w:line="216" w:lineRule="auto"/>
                    <w:rPr>
                      <w:rFonts w:ascii="Arial Narrow" w:hAnsi="Arial Narrow"/>
                      <w:szCs w:val="19"/>
                    </w:rPr>
                  </w:pPr>
                </w:p>
              </w:tc>
              <w:tc>
                <w:tcPr>
                  <w:tcW w:w="1796"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tcPr>
                <w:p w14:paraId="41AF5ABF" w14:textId="77777777" w:rsidR="00B25234" w:rsidRPr="005D4222" w:rsidRDefault="00B25234" w:rsidP="00A53E8C">
                  <w:pPr>
                    <w:spacing w:before="80" w:after="80" w:line="216" w:lineRule="auto"/>
                    <w:rPr>
                      <w:rFonts w:ascii="Arial Narrow" w:hAnsi="Arial Narrow"/>
                      <w:szCs w:val="19"/>
                    </w:rPr>
                  </w:pPr>
                  <w:r w:rsidRPr="005D4222">
                    <w:rPr>
                      <w:rFonts w:ascii="Arial Narrow" w:hAnsi="Arial Narrow"/>
                      <w:szCs w:val="19"/>
                    </w:rPr>
                    <w:t>ObservedCount</w:t>
                  </w:r>
                </w:p>
              </w:tc>
              <w:tc>
                <w:tcPr>
                  <w:tcW w:w="2430"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tcPr>
                <w:p w14:paraId="7F391E09"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For each Stratification</w:t>
                  </w:r>
                </w:p>
              </w:tc>
            </w:tr>
            <w:tr w:rsidR="00B25234" w:rsidRPr="005D4222" w14:paraId="29603093" w14:textId="77777777" w:rsidTr="00A53E8C">
              <w:trPr>
                <w:cantSplit/>
              </w:trPr>
              <w:tc>
                <w:tcPr>
                  <w:tcW w:w="2346" w:type="dxa"/>
                  <w:tcBorders>
                    <w:top w:val="nil"/>
                    <w:left w:val="nil"/>
                    <w:bottom w:val="nil"/>
                    <w:right w:val="nil"/>
                  </w:tcBorders>
                  <w:tcMar>
                    <w:left w:w="72" w:type="dxa"/>
                    <w:right w:w="72" w:type="dxa"/>
                  </w:tcMar>
                  <w:vAlign w:val="bottom"/>
                </w:tcPr>
                <w:p w14:paraId="007E82CF" w14:textId="77777777" w:rsidR="00B25234" w:rsidRPr="005D4222" w:rsidRDefault="00B25234" w:rsidP="00A53E8C">
                  <w:pPr>
                    <w:spacing w:before="80" w:after="80" w:line="216" w:lineRule="auto"/>
                    <w:rPr>
                      <w:rFonts w:ascii="Arial Narrow" w:hAnsi="Arial Narrow"/>
                      <w:szCs w:val="19"/>
                    </w:rPr>
                  </w:pPr>
                </w:p>
              </w:tc>
              <w:tc>
                <w:tcPr>
                  <w:tcW w:w="804" w:type="dxa"/>
                  <w:tcBorders>
                    <w:top w:val="nil"/>
                    <w:left w:val="nil"/>
                    <w:bottom w:val="nil"/>
                    <w:right w:val="nil"/>
                  </w:tcBorders>
                  <w:shd w:val="clear" w:color="auto" w:fill="FFFFFF"/>
                  <w:tcMar>
                    <w:left w:w="72" w:type="dxa"/>
                    <w:right w:w="72" w:type="dxa"/>
                  </w:tcMar>
                </w:tcPr>
                <w:p w14:paraId="106CFFCA" w14:textId="77777777" w:rsidR="00B25234" w:rsidRPr="005D4222" w:rsidRDefault="00B25234" w:rsidP="00A53E8C">
                  <w:pPr>
                    <w:spacing w:before="80" w:after="80" w:line="216" w:lineRule="auto"/>
                    <w:rPr>
                      <w:rFonts w:ascii="Arial Narrow" w:hAnsi="Arial Narrow"/>
                      <w:szCs w:val="19"/>
                    </w:rPr>
                  </w:pPr>
                </w:p>
              </w:tc>
              <w:tc>
                <w:tcPr>
                  <w:tcW w:w="1796" w:type="dxa"/>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tcPr>
                <w:p w14:paraId="409DB1E4" w14:textId="77777777" w:rsidR="00B25234" w:rsidRPr="005D4222" w:rsidRDefault="00B25234" w:rsidP="00A53E8C">
                  <w:pPr>
                    <w:spacing w:before="80" w:after="80" w:line="216" w:lineRule="auto"/>
                    <w:rPr>
                      <w:rFonts w:ascii="Arial Narrow" w:hAnsi="Arial Narrow"/>
                      <w:szCs w:val="19"/>
                    </w:rPr>
                  </w:pPr>
                  <w:r w:rsidRPr="005D4222">
                    <w:rPr>
                      <w:rFonts w:ascii="Arial Narrow" w:hAnsi="Arial Narrow"/>
                      <w:szCs w:val="19"/>
                    </w:rPr>
                    <w:t>ObservedRate</w:t>
                  </w:r>
                </w:p>
              </w:tc>
              <w:tc>
                <w:tcPr>
                  <w:tcW w:w="2430" w:type="dxa"/>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tcPr>
                <w:p w14:paraId="7CBE3E12"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ObservedCount / Denominator (Percent)</w:t>
                  </w:r>
                </w:p>
              </w:tc>
            </w:tr>
            <w:tr w:rsidR="00B25234" w:rsidRPr="005D4222" w14:paraId="5DFA16C8" w14:textId="77777777" w:rsidTr="00A53E8C">
              <w:trPr>
                <w:cantSplit/>
              </w:trPr>
              <w:tc>
                <w:tcPr>
                  <w:tcW w:w="2346" w:type="dxa"/>
                  <w:tcBorders>
                    <w:top w:val="nil"/>
                    <w:left w:val="nil"/>
                    <w:bottom w:val="nil"/>
                    <w:right w:val="nil"/>
                  </w:tcBorders>
                  <w:tcMar>
                    <w:left w:w="72" w:type="dxa"/>
                    <w:right w:w="72" w:type="dxa"/>
                  </w:tcMar>
                  <w:vAlign w:val="bottom"/>
                </w:tcPr>
                <w:p w14:paraId="6A3450F0" w14:textId="77777777" w:rsidR="00B25234" w:rsidRPr="005D4222" w:rsidRDefault="00B25234" w:rsidP="00A53E8C">
                  <w:pPr>
                    <w:spacing w:before="80" w:after="80" w:line="216" w:lineRule="auto"/>
                    <w:rPr>
                      <w:rFonts w:ascii="Calibri" w:hAnsi="Calibri" w:cs="Calibri"/>
                      <w:sz w:val="22"/>
                      <w:szCs w:val="22"/>
                    </w:rPr>
                  </w:pPr>
                </w:p>
              </w:tc>
              <w:tc>
                <w:tcPr>
                  <w:tcW w:w="804" w:type="dxa"/>
                  <w:tcBorders>
                    <w:top w:val="nil"/>
                    <w:left w:val="nil"/>
                    <w:bottom w:val="nil"/>
                    <w:right w:val="nil"/>
                  </w:tcBorders>
                  <w:shd w:val="clear" w:color="auto" w:fill="FFFFFF"/>
                  <w:tcMar>
                    <w:left w:w="72" w:type="dxa"/>
                    <w:right w:w="72" w:type="dxa"/>
                  </w:tcMar>
                </w:tcPr>
                <w:p w14:paraId="741209B6" w14:textId="77777777" w:rsidR="00B25234" w:rsidRPr="005D4222" w:rsidRDefault="00B25234" w:rsidP="00A53E8C">
                  <w:pPr>
                    <w:spacing w:before="80" w:after="80" w:line="216" w:lineRule="auto"/>
                    <w:rPr>
                      <w:rFonts w:ascii="Arial Narrow" w:hAnsi="Arial Narrow"/>
                      <w:szCs w:val="19"/>
                    </w:rPr>
                  </w:pPr>
                </w:p>
              </w:tc>
              <w:tc>
                <w:tcPr>
                  <w:tcW w:w="1796"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tcPr>
                <w:p w14:paraId="730B74FD" w14:textId="77777777" w:rsidR="00B25234" w:rsidRPr="005D4222" w:rsidRDefault="00B25234" w:rsidP="00A53E8C">
                  <w:pPr>
                    <w:spacing w:before="80" w:after="80" w:line="216" w:lineRule="auto"/>
                    <w:rPr>
                      <w:rFonts w:ascii="Arial Narrow" w:hAnsi="Arial Narrow"/>
                      <w:szCs w:val="19"/>
                    </w:rPr>
                  </w:pPr>
                  <w:r w:rsidRPr="005D4222">
                    <w:rPr>
                      <w:rFonts w:ascii="Arial Narrow" w:hAnsi="Arial Narrow"/>
                      <w:szCs w:val="19"/>
                    </w:rPr>
                    <w:t>ExpectedCount</w:t>
                  </w:r>
                </w:p>
              </w:tc>
              <w:tc>
                <w:tcPr>
                  <w:tcW w:w="2430"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tcPr>
                <w:p w14:paraId="19940114"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For each Stratification</w:t>
                  </w:r>
                </w:p>
              </w:tc>
            </w:tr>
            <w:tr w:rsidR="00B25234" w:rsidRPr="005D4222" w14:paraId="081CA11D" w14:textId="77777777" w:rsidTr="00A53E8C">
              <w:trPr>
                <w:cantSplit/>
              </w:trPr>
              <w:tc>
                <w:tcPr>
                  <w:tcW w:w="2346" w:type="dxa"/>
                  <w:tcBorders>
                    <w:top w:val="nil"/>
                    <w:left w:val="nil"/>
                    <w:bottom w:val="nil"/>
                    <w:right w:val="nil"/>
                  </w:tcBorders>
                  <w:tcMar>
                    <w:left w:w="72" w:type="dxa"/>
                    <w:right w:w="72" w:type="dxa"/>
                  </w:tcMar>
                  <w:vAlign w:val="bottom"/>
                </w:tcPr>
                <w:p w14:paraId="5E48F18A" w14:textId="77777777" w:rsidR="00B25234" w:rsidRPr="005D4222" w:rsidRDefault="00B25234" w:rsidP="00A53E8C">
                  <w:pPr>
                    <w:spacing w:before="80" w:after="80" w:line="216" w:lineRule="auto"/>
                    <w:rPr>
                      <w:rFonts w:ascii="Calibri" w:hAnsi="Calibri" w:cs="Calibri"/>
                      <w:sz w:val="22"/>
                      <w:szCs w:val="22"/>
                    </w:rPr>
                  </w:pPr>
                </w:p>
              </w:tc>
              <w:tc>
                <w:tcPr>
                  <w:tcW w:w="804" w:type="dxa"/>
                  <w:tcBorders>
                    <w:top w:val="nil"/>
                    <w:left w:val="nil"/>
                    <w:bottom w:val="nil"/>
                    <w:right w:val="nil"/>
                  </w:tcBorders>
                  <w:shd w:val="clear" w:color="auto" w:fill="FFFFFF"/>
                  <w:tcMar>
                    <w:left w:w="72" w:type="dxa"/>
                    <w:right w:w="72" w:type="dxa"/>
                  </w:tcMar>
                </w:tcPr>
                <w:p w14:paraId="2F6710C7" w14:textId="77777777" w:rsidR="00B25234" w:rsidRPr="005D4222" w:rsidRDefault="00B25234" w:rsidP="00A53E8C">
                  <w:pPr>
                    <w:spacing w:before="80" w:after="80" w:line="216" w:lineRule="auto"/>
                    <w:rPr>
                      <w:rFonts w:ascii="Arial Narrow" w:hAnsi="Arial Narrow"/>
                      <w:szCs w:val="19"/>
                    </w:rPr>
                  </w:pPr>
                </w:p>
              </w:tc>
              <w:tc>
                <w:tcPr>
                  <w:tcW w:w="1796" w:type="dxa"/>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tcPr>
                <w:p w14:paraId="1FFB6D60" w14:textId="77777777" w:rsidR="00B25234" w:rsidRPr="005D4222" w:rsidRDefault="00B25234" w:rsidP="00A53E8C">
                  <w:pPr>
                    <w:spacing w:before="80" w:after="80" w:line="216" w:lineRule="auto"/>
                    <w:rPr>
                      <w:rFonts w:ascii="Arial Narrow" w:hAnsi="Arial Narrow"/>
                      <w:szCs w:val="19"/>
                    </w:rPr>
                  </w:pPr>
                  <w:r w:rsidRPr="005D4222">
                    <w:rPr>
                      <w:rFonts w:ascii="Arial Narrow" w:hAnsi="Arial Narrow"/>
                      <w:szCs w:val="19"/>
                    </w:rPr>
                    <w:t>ExpectedRate</w:t>
                  </w:r>
                </w:p>
              </w:tc>
              <w:tc>
                <w:tcPr>
                  <w:tcW w:w="2430" w:type="dxa"/>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tcPr>
                <w:p w14:paraId="0B9FAF81"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ExpectedCount / Denominator (Percent)</w:t>
                  </w:r>
                </w:p>
              </w:tc>
            </w:tr>
            <w:tr w:rsidR="00B25234" w:rsidRPr="005D4222" w14:paraId="54CFC858" w14:textId="77777777" w:rsidTr="00A53E8C">
              <w:trPr>
                <w:cantSplit/>
              </w:trPr>
              <w:tc>
                <w:tcPr>
                  <w:tcW w:w="2346" w:type="dxa"/>
                  <w:tcBorders>
                    <w:top w:val="nil"/>
                    <w:left w:val="nil"/>
                    <w:bottom w:val="nil"/>
                    <w:right w:val="nil"/>
                  </w:tcBorders>
                  <w:tcMar>
                    <w:left w:w="72" w:type="dxa"/>
                    <w:right w:w="72" w:type="dxa"/>
                  </w:tcMar>
                  <w:vAlign w:val="bottom"/>
                </w:tcPr>
                <w:p w14:paraId="4D5D8052" w14:textId="77777777" w:rsidR="00B25234" w:rsidRPr="005D4222" w:rsidRDefault="00B25234" w:rsidP="00A53E8C">
                  <w:pPr>
                    <w:spacing w:before="80" w:after="80" w:line="216" w:lineRule="auto"/>
                    <w:rPr>
                      <w:rFonts w:ascii="Calibri" w:hAnsi="Calibri" w:cs="Calibri"/>
                      <w:sz w:val="22"/>
                      <w:szCs w:val="22"/>
                    </w:rPr>
                  </w:pPr>
                </w:p>
              </w:tc>
              <w:tc>
                <w:tcPr>
                  <w:tcW w:w="804" w:type="dxa"/>
                  <w:tcBorders>
                    <w:top w:val="nil"/>
                    <w:left w:val="nil"/>
                    <w:bottom w:val="nil"/>
                    <w:right w:val="nil"/>
                  </w:tcBorders>
                  <w:shd w:val="clear" w:color="auto" w:fill="FFFFFF"/>
                  <w:tcMar>
                    <w:left w:w="72" w:type="dxa"/>
                    <w:right w:w="72" w:type="dxa"/>
                  </w:tcMar>
                </w:tcPr>
                <w:p w14:paraId="171098C4" w14:textId="77777777" w:rsidR="00B25234" w:rsidRPr="005D4222" w:rsidRDefault="00B25234" w:rsidP="00A53E8C">
                  <w:pPr>
                    <w:spacing w:before="80" w:after="80" w:line="216" w:lineRule="auto"/>
                    <w:rPr>
                      <w:rFonts w:ascii="Arial Narrow" w:hAnsi="Arial Narrow"/>
                      <w:szCs w:val="19"/>
                    </w:rPr>
                  </w:pPr>
                </w:p>
              </w:tc>
              <w:tc>
                <w:tcPr>
                  <w:tcW w:w="1796"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tcPr>
                <w:p w14:paraId="72C15BE9" w14:textId="77777777" w:rsidR="00B25234" w:rsidRPr="005D4222" w:rsidRDefault="00B25234" w:rsidP="00A53E8C">
                  <w:pPr>
                    <w:spacing w:before="80" w:after="80" w:line="216" w:lineRule="auto"/>
                    <w:rPr>
                      <w:rFonts w:ascii="Arial Narrow" w:hAnsi="Arial Narrow"/>
                      <w:szCs w:val="19"/>
                    </w:rPr>
                  </w:pPr>
                  <w:r w:rsidRPr="005D4222">
                    <w:rPr>
                      <w:rFonts w:ascii="Arial Narrow" w:hAnsi="Arial Narrow"/>
                      <w:szCs w:val="19"/>
                    </w:rPr>
                    <w:t>CountVariance</w:t>
                  </w:r>
                </w:p>
              </w:tc>
              <w:tc>
                <w:tcPr>
                  <w:tcW w:w="2430"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tcPr>
                <w:p w14:paraId="7EEFE922"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For each Stratification</w:t>
                  </w:r>
                </w:p>
              </w:tc>
            </w:tr>
            <w:tr w:rsidR="00B25234" w:rsidRPr="005D4222" w14:paraId="158D335D" w14:textId="77777777" w:rsidTr="00A53E8C">
              <w:trPr>
                <w:cantSplit/>
              </w:trPr>
              <w:tc>
                <w:tcPr>
                  <w:tcW w:w="2346" w:type="dxa"/>
                  <w:tcBorders>
                    <w:top w:val="nil"/>
                    <w:left w:val="nil"/>
                    <w:bottom w:val="nil"/>
                    <w:right w:val="nil"/>
                  </w:tcBorders>
                  <w:tcMar>
                    <w:left w:w="72" w:type="dxa"/>
                    <w:right w:w="72" w:type="dxa"/>
                  </w:tcMar>
                  <w:vAlign w:val="bottom"/>
                </w:tcPr>
                <w:p w14:paraId="4245AFB6" w14:textId="77777777" w:rsidR="00B25234" w:rsidRPr="005D4222" w:rsidRDefault="00B25234" w:rsidP="00A53E8C">
                  <w:pPr>
                    <w:spacing w:before="80" w:after="80" w:line="216" w:lineRule="auto"/>
                    <w:rPr>
                      <w:rFonts w:ascii="Calibri" w:hAnsi="Calibri" w:cs="Calibri"/>
                      <w:sz w:val="22"/>
                      <w:szCs w:val="22"/>
                    </w:rPr>
                  </w:pPr>
                </w:p>
              </w:tc>
              <w:tc>
                <w:tcPr>
                  <w:tcW w:w="804" w:type="dxa"/>
                  <w:tcBorders>
                    <w:top w:val="nil"/>
                    <w:left w:val="nil"/>
                    <w:bottom w:val="nil"/>
                    <w:right w:val="nil"/>
                  </w:tcBorders>
                  <w:shd w:val="clear" w:color="auto" w:fill="FFFFFF"/>
                  <w:tcMar>
                    <w:left w:w="72" w:type="dxa"/>
                    <w:right w:w="72" w:type="dxa"/>
                  </w:tcMar>
                </w:tcPr>
                <w:p w14:paraId="0672A77F" w14:textId="77777777" w:rsidR="00B25234" w:rsidRPr="005D4222" w:rsidRDefault="00B25234" w:rsidP="00A53E8C">
                  <w:pPr>
                    <w:spacing w:before="80" w:after="80" w:line="216" w:lineRule="auto"/>
                    <w:rPr>
                      <w:rFonts w:ascii="Arial Narrow" w:hAnsi="Arial Narrow"/>
                      <w:szCs w:val="19"/>
                    </w:rPr>
                  </w:pPr>
                </w:p>
              </w:tc>
              <w:tc>
                <w:tcPr>
                  <w:tcW w:w="1796" w:type="dxa"/>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tcPr>
                <w:p w14:paraId="77906676" w14:textId="77777777" w:rsidR="00B25234" w:rsidRPr="005D4222" w:rsidRDefault="00B25234" w:rsidP="00A53E8C">
                  <w:pPr>
                    <w:spacing w:before="80" w:after="80" w:line="216" w:lineRule="auto"/>
                    <w:rPr>
                      <w:rFonts w:ascii="Arial Narrow" w:hAnsi="Arial Narrow"/>
                      <w:szCs w:val="19"/>
                    </w:rPr>
                  </w:pPr>
                  <w:r w:rsidRPr="005D4222">
                    <w:rPr>
                      <w:rFonts w:ascii="Arial Narrow" w:hAnsi="Arial Narrow"/>
                      <w:szCs w:val="19"/>
                    </w:rPr>
                    <w:t>OE</w:t>
                  </w:r>
                </w:p>
              </w:tc>
              <w:tc>
                <w:tcPr>
                  <w:tcW w:w="2430" w:type="dxa"/>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tcPr>
                <w:p w14:paraId="79B7A6F6"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ObservedCount / ExpectedCount</w:t>
                  </w:r>
                </w:p>
              </w:tc>
            </w:tr>
          </w:tbl>
          <w:p w14:paraId="64F84456" w14:textId="77777777" w:rsidR="00B25234" w:rsidRPr="005D4222" w:rsidRDefault="00B25234" w:rsidP="00A53E8C">
            <w:pPr>
              <w:pStyle w:val="Heading3"/>
              <w:rPr>
                <w:rFonts w:eastAsia="Arial,Times New Roman"/>
              </w:rPr>
            </w:pPr>
            <w:r w:rsidRPr="005D4222">
              <w:rPr>
                <w:rFonts w:eastAsia="Arial,Times New Roman"/>
              </w:rPr>
              <w:t xml:space="preserve">Table PCR-A-3: Data Elements for Plan All-Cause Readmissions </w:t>
            </w:r>
          </w:p>
          <w:tbl>
            <w:tblPr>
              <w:tblW w:w="7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2348"/>
              <w:gridCol w:w="806"/>
              <w:gridCol w:w="1798"/>
              <w:gridCol w:w="2434"/>
            </w:tblGrid>
            <w:tr w:rsidR="00B25234" w:rsidRPr="005D4222" w14:paraId="3DB13C79" w14:textId="77777777" w:rsidTr="00A53E8C">
              <w:trPr>
                <w:cantSplit/>
                <w:trHeight w:val="260"/>
              </w:trPr>
              <w:tc>
                <w:tcPr>
                  <w:tcW w:w="2348" w:type="dxa"/>
                  <w:tcBorders>
                    <w:top w:val="single" w:sz="4" w:space="0" w:color="auto"/>
                    <w:left w:val="single" w:sz="4" w:space="0" w:color="auto"/>
                    <w:bottom w:val="single" w:sz="4" w:space="0" w:color="000000"/>
                    <w:right w:val="single" w:sz="4" w:space="0" w:color="FFFFFF"/>
                  </w:tcBorders>
                  <w:shd w:val="clear" w:color="auto" w:fill="000000"/>
                  <w:tcMar>
                    <w:left w:w="72" w:type="dxa"/>
                    <w:right w:w="72" w:type="dxa"/>
                  </w:tcMar>
                </w:tcPr>
                <w:p w14:paraId="23627102" w14:textId="77777777" w:rsidR="00B25234" w:rsidRPr="005D4222" w:rsidRDefault="00B25234" w:rsidP="00A53E8C">
                  <w:pPr>
                    <w:pStyle w:val="TableHead"/>
                    <w:spacing w:before="80" w:after="80"/>
                    <w:rPr>
                      <w:rFonts w:eastAsia="Arial Narrow"/>
                    </w:rPr>
                  </w:pPr>
                  <w:r w:rsidRPr="005D4222">
                    <w:rPr>
                      <w:rFonts w:eastAsia="Arial Narrow"/>
                    </w:rPr>
                    <w:t>Metric</w:t>
                  </w:r>
                </w:p>
              </w:tc>
              <w:tc>
                <w:tcPr>
                  <w:tcW w:w="806" w:type="dxa"/>
                  <w:tcBorders>
                    <w:top w:val="single" w:sz="4" w:space="0" w:color="auto"/>
                    <w:left w:val="single" w:sz="4" w:space="0" w:color="FFFFFF"/>
                    <w:bottom w:val="single" w:sz="4" w:space="0" w:color="auto"/>
                    <w:right w:val="single" w:sz="4" w:space="0" w:color="FFFFFF"/>
                  </w:tcBorders>
                  <w:shd w:val="clear" w:color="auto" w:fill="000000"/>
                  <w:tcMar>
                    <w:left w:w="72" w:type="dxa"/>
                    <w:right w:w="72" w:type="dxa"/>
                  </w:tcMar>
                </w:tcPr>
                <w:p w14:paraId="1296246F" w14:textId="77777777" w:rsidR="00B25234" w:rsidRPr="005D4222" w:rsidRDefault="00B25234" w:rsidP="00A53E8C">
                  <w:pPr>
                    <w:pStyle w:val="TableHead"/>
                    <w:spacing w:before="80" w:after="80"/>
                    <w:rPr>
                      <w:rFonts w:eastAsia="Arial Narrow"/>
                    </w:rPr>
                  </w:pPr>
                  <w:r w:rsidRPr="005D4222">
                    <w:rPr>
                      <w:rFonts w:eastAsia="Arial Narrow"/>
                    </w:rPr>
                    <w:t>Age</w:t>
                  </w:r>
                </w:p>
              </w:tc>
              <w:tc>
                <w:tcPr>
                  <w:tcW w:w="1798" w:type="dxa"/>
                  <w:tcBorders>
                    <w:top w:val="single" w:sz="4" w:space="0" w:color="auto"/>
                    <w:left w:val="single" w:sz="4" w:space="0" w:color="FFFFFF"/>
                    <w:right w:val="single" w:sz="6" w:space="0" w:color="FFFFFF"/>
                  </w:tcBorders>
                  <w:shd w:val="clear" w:color="auto" w:fill="000000"/>
                  <w:tcMar>
                    <w:left w:w="72" w:type="dxa"/>
                    <w:right w:w="72" w:type="dxa"/>
                  </w:tcMar>
                  <w:vAlign w:val="bottom"/>
                </w:tcPr>
                <w:p w14:paraId="25006D79" w14:textId="77777777" w:rsidR="00B25234" w:rsidRPr="005D4222" w:rsidRDefault="00B25234" w:rsidP="00A53E8C">
                  <w:pPr>
                    <w:pStyle w:val="TableHead"/>
                    <w:spacing w:before="80" w:after="80"/>
                    <w:rPr>
                      <w:rFonts w:eastAsia="Arial Narrow"/>
                    </w:rPr>
                  </w:pPr>
                  <w:r w:rsidRPr="005D4222">
                    <w:rPr>
                      <w:rFonts w:eastAsia="Arial Narrow"/>
                    </w:rPr>
                    <w:t xml:space="preserve">Data Element </w:t>
                  </w:r>
                </w:p>
              </w:tc>
              <w:tc>
                <w:tcPr>
                  <w:tcW w:w="2434" w:type="dxa"/>
                  <w:tcBorders>
                    <w:top w:val="single" w:sz="4" w:space="0" w:color="auto"/>
                    <w:left w:val="single" w:sz="6" w:space="0" w:color="FFFFFF"/>
                    <w:right w:val="single" w:sz="4" w:space="0" w:color="auto"/>
                  </w:tcBorders>
                  <w:shd w:val="clear" w:color="auto" w:fill="000000"/>
                  <w:tcMar>
                    <w:left w:w="72" w:type="dxa"/>
                    <w:right w:w="72" w:type="dxa"/>
                  </w:tcMar>
                  <w:vAlign w:val="bottom"/>
                </w:tcPr>
                <w:p w14:paraId="1C7488CF" w14:textId="77777777" w:rsidR="00B25234" w:rsidRPr="005D4222" w:rsidRDefault="00B25234" w:rsidP="00A53E8C">
                  <w:pPr>
                    <w:pStyle w:val="TableHead"/>
                    <w:spacing w:before="80" w:after="80"/>
                    <w:rPr>
                      <w:rFonts w:eastAsia="Arial Narrow"/>
                    </w:rPr>
                  </w:pPr>
                  <w:r w:rsidRPr="005D4222">
                    <w:rPr>
                      <w:rFonts w:eastAsia="Arial Narrow"/>
                    </w:rPr>
                    <w:t>Reporting Instructions</w:t>
                  </w:r>
                </w:p>
              </w:tc>
            </w:tr>
            <w:tr w:rsidR="00B25234" w:rsidRPr="005D4222" w14:paraId="1D1F3775" w14:textId="77777777" w:rsidTr="00A53E8C">
              <w:trPr>
                <w:cantSplit/>
              </w:trPr>
              <w:tc>
                <w:tcPr>
                  <w:tcW w:w="2348" w:type="dxa"/>
                  <w:tcBorders>
                    <w:top w:val="single" w:sz="4" w:space="0" w:color="000000"/>
                    <w:left w:val="single" w:sz="4" w:space="0" w:color="000000"/>
                    <w:bottom w:val="single" w:sz="4" w:space="0" w:color="auto"/>
                    <w:right w:val="single" w:sz="4" w:space="0" w:color="000000"/>
                  </w:tcBorders>
                  <w:tcMar>
                    <w:left w:w="72" w:type="dxa"/>
                    <w:right w:w="72" w:type="dxa"/>
                  </w:tcMar>
                </w:tcPr>
                <w:p w14:paraId="5369CE8A"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hAnsi="Arial Narrow"/>
                      <w:szCs w:val="19"/>
                    </w:rPr>
                    <w:t>PlanAllCauseReadmissions</w:t>
                  </w:r>
                </w:p>
              </w:tc>
              <w:tc>
                <w:tcPr>
                  <w:tcW w:w="806" w:type="dxa"/>
                  <w:tcBorders>
                    <w:left w:val="single" w:sz="4" w:space="0" w:color="000000"/>
                    <w:bottom w:val="single" w:sz="4" w:space="0" w:color="000000"/>
                  </w:tcBorders>
                  <w:tcMar>
                    <w:left w:w="72" w:type="dxa"/>
                    <w:right w:w="72" w:type="dxa"/>
                  </w:tcMar>
                </w:tcPr>
                <w:p w14:paraId="1D256325"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18-44</w:t>
                  </w:r>
                </w:p>
              </w:tc>
              <w:tc>
                <w:tcPr>
                  <w:tcW w:w="1798" w:type="dxa"/>
                  <w:tcBorders>
                    <w:bottom w:val="single" w:sz="4" w:space="0" w:color="auto"/>
                  </w:tcBorders>
                  <w:tcMar>
                    <w:left w:w="72" w:type="dxa"/>
                    <w:right w:w="72" w:type="dxa"/>
                  </w:tcMar>
                </w:tcPr>
                <w:p w14:paraId="3E594235"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PersonCount</w:t>
                  </w:r>
                </w:p>
              </w:tc>
              <w:tc>
                <w:tcPr>
                  <w:tcW w:w="2434" w:type="dxa"/>
                  <w:tcBorders>
                    <w:bottom w:val="single" w:sz="4" w:space="0" w:color="auto"/>
                  </w:tcBorders>
                  <w:tcMar>
                    <w:left w:w="72" w:type="dxa"/>
                    <w:right w:w="72" w:type="dxa"/>
                  </w:tcMar>
                </w:tcPr>
                <w:p w14:paraId="014DB4D6"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For each Stratification</w:t>
                  </w:r>
                </w:p>
              </w:tc>
            </w:tr>
            <w:tr w:rsidR="00B25234" w:rsidRPr="005D4222" w14:paraId="1ED53225" w14:textId="77777777" w:rsidTr="00A53E8C">
              <w:trPr>
                <w:cantSplit/>
              </w:trPr>
              <w:tc>
                <w:tcPr>
                  <w:tcW w:w="2348" w:type="dxa"/>
                  <w:tcBorders>
                    <w:top w:val="single" w:sz="4" w:space="0" w:color="auto"/>
                    <w:left w:val="nil"/>
                    <w:bottom w:val="nil"/>
                    <w:right w:val="single" w:sz="4" w:space="0" w:color="auto"/>
                  </w:tcBorders>
                  <w:tcMar>
                    <w:left w:w="72" w:type="dxa"/>
                    <w:right w:w="72" w:type="dxa"/>
                  </w:tcMar>
                </w:tcPr>
                <w:p w14:paraId="519F4272" w14:textId="77777777" w:rsidR="00B25234" w:rsidRPr="005D4222" w:rsidRDefault="00B25234" w:rsidP="00A53E8C">
                  <w:pPr>
                    <w:spacing w:before="80" w:after="80" w:line="216" w:lineRule="auto"/>
                    <w:rPr>
                      <w:rFonts w:ascii="Arial Narrow" w:eastAsia="Arial Narrow" w:hAnsi="Arial Narrow"/>
                      <w:szCs w:val="19"/>
                    </w:rPr>
                  </w:pPr>
                </w:p>
              </w:tc>
              <w:tc>
                <w:tcPr>
                  <w:tcW w:w="806" w:type="dxa"/>
                  <w:tcBorders>
                    <w:top w:val="single" w:sz="4" w:space="0" w:color="000000"/>
                    <w:left w:val="single" w:sz="4" w:space="0" w:color="auto"/>
                    <w:bottom w:val="single" w:sz="4" w:space="0" w:color="000000"/>
                    <w:right w:val="single" w:sz="4" w:space="0" w:color="000000"/>
                  </w:tcBorders>
                  <w:tcMar>
                    <w:left w:w="72" w:type="dxa"/>
                    <w:right w:w="72" w:type="dxa"/>
                  </w:tcMar>
                </w:tcPr>
                <w:p w14:paraId="65C4E491"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45-54</w:t>
                  </w:r>
                </w:p>
              </w:tc>
              <w:tc>
                <w:tcPr>
                  <w:tcW w:w="1798" w:type="dxa"/>
                  <w:tcBorders>
                    <w:left w:val="single" w:sz="4" w:space="0" w:color="000000"/>
                  </w:tcBorders>
                  <w:shd w:val="clear" w:color="auto" w:fill="FFFFFF"/>
                  <w:tcMar>
                    <w:left w:w="72" w:type="dxa"/>
                    <w:right w:w="72" w:type="dxa"/>
                  </w:tcMar>
                </w:tcPr>
                <w:p w14:paraId="4D818C68"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OutlierPersonCount</w:t>
                  </w:r>
                </w:p>
              </w:tc>
              <w:tc>
                <w:tcPr>
                  <w:tcW w:w="2434" w:type="dxa"/>
                  <w:shd w:val="clear" w:color="auto" w:fill="FFFFFF"/>
                  <w:tcMar>
                    <w:left w:w="72" w:type="dxa"/>
                    <w:right w:w="72" w:type="dxa"/>
                  </w:tcMar>
                </w:tcPr>
                <w:p w14:paraId="7DF443AD"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For each Stratification</w:t>
                  </w:r>
                </w:p>
              </w:tc>
            </w:tr>
            <w:tr w:rsidR="00B25234" w:rsidRPr="005D4222" w14:paraId="59AFDE2E" w14:textId="77777777" w:rsidTr="00A53E8C">
              <w:trPr>
                <w:cantSplit/>
              </w:trPr>
              <w:tc>
                <w:tcPr>
                  <w:tcW w:w="2348" w:type="dxa"/>
                  <w:tcBorders>
                    <w:top w:val="nil"/>
                    <w:left w:val="nil"/>
                    <w:bottom w:val="nil"/>
                    <w:right w:val="single" w:sz="4" w:space="0" w:color="auto"/>
                  </w:tcBorders>
                  <w:tcMar>
                    <w:left w:w="72" w:type="dxa"/>
                    <w:right w:w="72" w:type="dxa"/>
                  </w:tcMar>
                </w:tcPr>
                <w:p w14:paraId="73F1774D" w14:textId="77777777" w:rsidR="00B25234" w:rsidRPr="005D4222" w:rsidRDefault="00B25234" w:rsidP="00A53E8C">
                  <w:pPr>
                    <w:spacing w:before="80" w:after="80" w:line="216" w:lineRule="auto"/>
                    <w:rPr>
                      <w:rFonts w:ascii="Arial Narrow" w:eastAsia="Arial Narrow" w:hAnsi="Arial Narrow"/>
                      <w:szCs w:val="19"/>
                    </w:rPr>
                  </w:pPr>
                </w:p>
              </w:tc>
              <w:tc>
                <w:tcPr>
                  <w:tcW w:w="806" w:type="dxa"/>
                  <w:tcBorders>
                    <w:top w:val="single" w:sz="4" w:space="0" w:color="000000"/>
                    <w:left w:val="single" w:sz="4" w:space="0" w:color="auto"/>
                    <w:bottom w:val="single" w:sz="4" w:space="0" w:color="000000"/>
                    <w:right w:val="single" w:sz="4" w:space="0" w:color="000000"/>
                  </w:tcBorders>
                  <w:tcMar>
                    <w:left w:w="72" w:type="dxa"/>
                    <w:right w:w="72" w:type="dxa"/>
                  </w:tcMar>
                </w:tcPr>
                <w:p w14:paraId="117AB837"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55-64</w:t>
                  </w:r>
                </w:p>
              </w:tc>
              <w:tc>
                <w:tcPr>
                  <w:tcW w:w="1798" w:type="dxa"/>
                  <w:tcBorders>
                    <w:left w:val="single" w:sz="4" w:space="0" w:color="000000"/>
                  </w:tcBorders>
                  <w:shd w:val="clear" w:color="auto" w:fill="D9D9D9" w:themeFill="background1" w:themeFillShade="D9"/>
                  <w:tcMar>
                    <w:left w:w="72" w:type="dxa"/>
                    <w:right w:w="72" w:type="dxa"/>
                  </w:tcMar>
                </w:tcPr>
                <w:p w14:paraId="2BF9D78B"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OutlierRate</w:t>
                  </w:r>
                </w:p>
              </w:tc>
              <w:tc>
                <w:tcPr>
                  <w:tcW w:w="2434" w:type="dxa"/>
                  <w:shd w:val="clear" w:color="auto" w:fill="D9D9D9" w:themeFill="background1" w:themeFillShade="D9"/>
                  <w:tcMar>
                    <w:left w:w="72" w:type="dxa"/>
                    <w:right w:w="72" w:type="dxa"/>
                  </w:tcMar>
                </w:tcPr>
                <w:p w14:paraId="2ACEC6DD"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OutlierPersonCount / PersonCount (Permille)</w:t>
                  </w:r>
                </w:p>
              </w:tc>
            </w:tr>
            <w:tr w:rsidR="00B25234" w:rsidRPr="005D4222" w14:paraId="219BCC8D" w14:textId="77777777" w:rsidTr="00A53E8C">
              <w:trPr>
                <w:cantSplit/>
              </w:trPr>
              <w:tc>
                <w:tcPr>
                  <w:tcW w:w="2348" w:type="dxa"/>
                  <w:tcBorders>
                    <w:top w:val="nil"/>
                    <w:left w:val="nil"/>
                    <w:bottom w:val="nil"/>
                    <w:right w:val="single" w:sz="4" w:space="0" w:color="auto"/>
                  </w:tcBorders>
                  <w:tcMar>
                    <w:left w:w="72" w:type="dxa"/>
                    <w:right w:w="72" w:type="dxa"/>
                  </w:tcMar>
                </w:tcPr>
                <w:p w14:paraId="4AEB7901" w14:textId="77777777" w:rsidR="00B25234" w:rsidRPr="005D4222" w:rsidRDefault="00B25234" w:rsidP="00A53E8C">
                  <w:pPr>
                    <w:spacing w:before="80" w:after="80" w:line="216" w:lineRule="auto"/>
                    <w:rPr>
                      <w:rFonts w:ascii="Arial Narrow" w:eastAsia="Arial Narrow" w:hAnsi="Arial Narrow"/>
                      <w:szCs w:val="19"/>
                    </w:rPr>
                  </w:pPr>
                </w:p>
              </w:tc>
              <w:tc>
                <w:tcPr>
                  <w:tcW w:w="806" w:type="dxa"/>
                  <w:tcBorders>
                    <w:top w:val="single" w:sz="4" w:space="0" w:color="000000"/>
                    <w:left w:val="single" w:sz="4" w:space="0" w:color="auto"/>
                    <w:bottom w:val="single" w:sz="4" w:space="0" w:color="000000"/>
                    <w:right w:val="single" w:sz="4" w:space="0" w:color="000000"/>
                  </w:tcBorders>
                  <w:shd w:val="clear" w:color="auto" w:fill="D9D9D9" w:themeFill="background1" w:themeFillShade="D9"/>
                  <w:tcMar>
                    <w:left w:w="72" w:type="dxa"/>
                    <w:right w:w="72" w:type="dxa"/>
                  </w:tcMar>
                </w:tcPr>
                <w:p w14:paraId="468E0397"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18-64</w:t>
                  </w:r>
                </w:p>
              </w:tc>
              <w:tc>
                <w:tcPr>
                  <w:tcW w:w="1798" w:type="dxa"/>
                  <w:tcBorders>
                    <w:left w:val="single" w:sz="4" w:space="0" w:color="000000"/>
                  </w:tcBorders>
                  <w:shd w:val="clear" w:color="auto" w:fill="FFFFFF" w:themeFill="background1"/>
                  <w:tcMar>
                    <w:left w:w="72" w:type="dxa"/>
                    <w:right w:w="72" w:type="dxa"/>
                  </w:tcMar>
                </w:tcPr>
                <w:p w14:paraId="512C84BB"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Denominator</w:t>
                  </w:r>
                </w:p>
              </w:tc>
              <w:tc>
                <w:tcPr>
                  <w:tcW w:w="2434" w:type="dxa"/>
                  <w:shd w:val="clear" w:color="auto" w:fill="FFFFFF" w:themeFill="background1"/>
                  <w:tcMar>
                    <w:left w:w="72" w:type="dxa"/>
                    <w:right w:w="72" w:type="dxa"/>
                  </w:tcMar>
                </w:tcPr>
                <w:p w14:paraId="33ECE1B6"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For each Stratification</w:t>
                  </w:r>
                </w:p>
              </w:tc>
            </w:tr>
            <w:tr w:rsidR="00B25234" w:rsidRPr="005D4222" w14:paraId="41830718" w14:textId="77777777" w:rsidTr="00A53E8C">
              <w:trPr>
                <w:cantSplit/>
              </w:trPr>
              <w:tc>
                <w:tcPr>
                  <w:tcW w:w="2348" w:type="dxa"/>
                  <w:tcBorders>
                    <w:top w:val="nil"/>
                    <w:left w:val="nil"/>
                    <w:bottom w:val="nil"/>
                    <w:right w:val="single" w:sz="4" w:space="0" w:color="000000"/>
                  </w:tcBorders>
                  <w:tcMar>
                    <w:left w:w="72" w:type="dxa"/>
                    <w:right w:w="72" w:type="dxa"/>
                  </w:tcMar>
                  <w:vAlign w:val="bottom"/>
                </w:tcPr>
                <w:p w14:paraId="7102F0FF" w14:textId="77777777" w:rsidR="00B25234" w:rsidRPr="005D4222" w:rsidRDefault="00B25234" w:rsidP="00A53E8C">
                  <w:pPr>
                    <w:spacing w:before="80" w:after="80" w:line="259" w:lineRule="auto"/>
                    <w:rPr>
                      <w:rFonts w:ascii="Arial Narrow" w:hAnsi="Arial Narrow"/>
                      <w:szCs w:val="19"/>
                    </w:rPr>
                  </w:pPr>
                </w:p>
              </w:tc>
              <w:tc>
                <w:tcPr>
                  <w:tcW w:w="806" w:type="dxa"/>
                  <w:tcBorders>
                    <w:top w:val="single" w:sz="4" w:space="0" w:color="000000"/>
                    <w:left w:val="single" w:sz="4" w:space="0" w:color="000000"/>
                    <w:bottom w:val="single" w:sz="4" w:space="0" w:color="000000"/>
                    <w:right w:val="single" w:sz="4" w:space="0" w:color="000000"/>
                  </w:tcBorders>
                  <w:shd w:val="clear" w:color="auto" w:fill="FFFFFF"/>
                  <w:tcMar>
                    <w:left w:w="72" w:type="dxa"/>
                    <w:right w:w="72" w:type="dxa"/>
                  </w:tcMar>
                </w:tcPr>
                <w:p w14:paraId="18E4542F"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65-74</w:t>
                  </w:r>
                </w:p>
              </w:tc>
              <w:tc>
                <w:tcPr>
                  <w:tcW w:w="1798" w:type="dxa"/>
                  <w:tcBorders>
                    <w:top w:val="single" w:sz="4" w:space="0" w:color="auto"/>
                    <w:left w:val="single" w:sz="4" w:space="0" w:color="000000"/>
                    <w:bottom w:val="single" w:sz="4" w:space="0" w:color="auto"/>
                    <w:right w:val="single" w:sz="4" w:space="0" w:color="auto"/>
                  </w:tcBorders>
                  <w:shd w:val="clear" w:color="auto" w:fill="FFFFFF"/>
                  <w:tcMar>
                    <w:left w:w="72" w:type="dxa"/>
                    <w:right w:w="72" w:type="dxa"/>
                  </w:tcMar>
                </w:tcPr>
                <w:p w14:paraId="0A7E5822"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ObservedCount</w:t>
                  </w:r>
                </w:p>
              </w:tc>
              <w:tc>
                <w:tcPr>
                  <w:tcW w:w="2434"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tcPr>
                <w:p w14:paraId="2C07C7A6"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For each Stratification</w:t>
                  </w:r>
                </w:p>
              </w:tc>
            </w:tr>
          </w:tbl>
          <w:p w14:paraId="5AB3EAC0" w14:textId="77777777" w:rsidR="00B25234" w:rsidRPr="005D4222" w:rsidDel="008E0A91" w:rsidRDefault="00B25234" w:rsidP="00A53E8C">
            <w:pPr>
              <w:pStyle w:val="ECDSBody"/>
              <w:rPr>
                <w:b/>
                <w:bCs w:val="0"/>
              </w:rPr>
            </w:pPr>
          </w:p>
        </w:tc>
      </w:tr>
    </w:tbl>
    <w:p w14:paraId="2ED34480" w14:textId="77777777" w:rsidR="00B25234" w:rsidRPr="005D4222" w:rsidRDefault="00B25234" w:rsidP="00B25234">
      <w:pPr>
        <w:spacing w:after="160" w:line="259" w:lineRule="auto"/>
      </w:pPr>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B25234" w:rsidRPr="005D4222" w14:paraId="714F71B1"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9F7AFD3" w14:textId="77777777" w:rsidR="00B25234" w:rsidRPr="005D4222" w:rsidRDefault="00B25234" w:rsidP="00A53E8C">
            <w:pPr>
              <w:spacing w:after="160" w:line="259" w:lineRule="auto"/>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E211CE0" w14:textId="77777777" w:rsidR="00B25234" w:rsidRPr="005D4222" w:rsidRDefault="00B25234" w:rsidP="00A53E8C">
            <w:pPr>
              <w:rPr>
                <w:sz w:val="10"/>
                <w:szCs w:val="10"/>
              </w:rPr>
            </w:pPr>
          </w:p>
          <w:tbl>
            <w:tblPr>
              <w:tblW w:w="73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2349"/>
              <w:gridCol w:w="807"/>
              <w:gridCol w:w="1799"/>
              <w:gridCol w:w="2436"/>
            </w:tblGrid>
            <w:tr w:rsidR="00B25234" w:rsidRPr="005D4222" w14:paraId="47587A30" w14:textId="77777777" w:rsidTr="00A53E8C">
              <w:trPr>
                <w:cantSplit/>
                <w:trHeight w:val="260"/>
              </w:trPr>
              <w:tc>
                <w:tcPr>
                  <w:tcW w:w="2348" w:type="dxa"/>
                  <w:tcBorders>
                    <w:top w:val="single" w:sz="4" w:space="0" w:color="auto"/>
                    <w:left w:val="single" w:sz="4" w:space="0" w:color="auto"/>
                    <w:bottom w:val="single" w:sz="4" w:space="0" w:color="000000"/>
                    <w:right w:val="single" w:sz="4" w:space="0" w:color="FFFFFF"/>
                  </w:tcBorders>
                  <w:shd w:val="clear" w:color="auto" w:fill="000000"/>
                  <w:tcMar>
                    <w:left w:w="72" w:type="dxa"/>
                    <w:right w:w="72" w:type="dxa"/>
                  </w:tcMar>
                </w:tcPr>
                <w:p w14:paraId="475D9484" w14:textId="77777777" w:rsidR="00B25234" w:rsidRPr="005D4222" w:rsidRDefault="00B25234" w:rsidP="00A53E8C">
                  <w:pPr>
                    <w:pStyle w:val="TableHead"/>
                    <w:spacing w:before="80" w:after="80"/>
                    <w:rPr>
                      <w:rFonts w:eastAsia="Arial Narrow"/>
                    </w:rPr>
                  </w:pPr>
                  <w:r w:rsidRPr="005D4222">
                    <w:rPr>
                      <w:rFonts w:eastAsia="Arial Narrow"/>
                    </w:rPr>
                    <w:t>Metric</w:t>
                  </w:r>
                </w:p>
              </w:tc>
              <w:tc>
                <w:tcPr>
                  <w:tcW w:w="806" w:type="dxa"/>
                  <w:tcBorders>
                    <w:top w:val="single" w:sz="4" w:space="0" w:color="auto"/>
                    <w:left w:val="single" w:sz="4" w:space="0" w:color="FFFFFF"/>
                    <w:bottom w:val="single" w:sz="4" w:space="0" w:color="auto"/>
                    <w:right w:val="single" w:sz="4" w:space="0" w:color="FFFFFF"/>
                  </w:tcBorders>
                  <w:shd w:val="clear" w:color="auto" w:fill="000000"/>
                  <w:tcMar>
                    <w:left w:w="72" w:type="dxa"/>
                    <w:right w:w="72" w:type="dxa"/>
                  </w:tcMar>
                </w:tcPr>
                <w:p w14:paraId="6C176F4E" w14:textId="77777777" w:rsidR="00B25234" w:rsidRPr="005D4222" w:rsidRDefault="00B25234" w:rsidP="00A53E8C">
                  <w:pPr>
                    <w:pStyle w:val="TableHead"/>
                    <w:spacing w:before="80" w:after="80"/>
                    <w:rPr>
                      <w:rFonts w:eastAsia="Arial Narrow"/>
                    </w:rPr>
                  </w:pPr>
                  <w:r w:rsidRPr="005D4222">
                    <w:rPr>
                      <w:rFonts w:eastAsia="Arial Narrow"/>
                    </w:rPr>
                    <w:t>Age</w:t>
                  </w:r>
                </w:p>
              </w:tc>
              <w:tc>
                <w:tcPr>
                  <w:tcW w:w="1798" w:type="dxa"/>
                  <w:tcBorders>
                    <w:top w:val="single" w:sz="4" w:space="0" w:color="auto"/>
                    <w:left w:val="single" w:sz="4" w:space="0" w:color="FFFFFF"/>
                    <w:right w:val="single" w:sz="6" w:space="0" w:color="FFFFFF"/>
                  </w:tcBorders>
                  <w:shd w:val="clear" w:color="auto" w:fill="000000"/>
                  <w:tcMar>
                    <w:left w:w="72" w:type="dxa"/>
                    <w:right w:w="72" w:type="dxa"/>
                  </w:tcMar>
                  <w:vAlign w:val="bottom"/>
                </w:tcPr>
                <w:p w14:paraId="5A15FDFE" w14:textId="77777777" w:rsidR="00B25234" w:rsidRPr="005D4222" w:rsidRDefault="00B25234" w:rsidP="00A53E8C">
                  <w:pPr>
                    <w:pStyle w:val="TableHead"/>
                    <w:spacing w:before="80" w:after="80"/>
                    <w:rPr>
                      <w:rFonts w:eastAsia="Arial Narrow"/>
                    </w:rPr>
                  </w:pPr>
                  <w:r w:rsidRPr="005D4222">
                    <w:rPr>
                      <w:rFonts w:eastAsia="Arial Narrow"/>
                    </w:rPr>
                    <w:t xml:space="preserve">Data Element </w:t>
                  </w:r>
                </w:p>
              </w:tc>
              <w:tc>
                <w:tcPr>
                  <w:tcW w:w="2434" w:type="dxa"/>
                  <w:tcBorders>
                    <w:top w:val="single" w:sz="4" w:space="0" w:color="auto"/>
                    <w:left w:val="single" w:sz="6" w:space="0" w:color="FFFFFF"/>
                    <w:right w:val="single" w:sz="4" w:space="0" w:color="auto"/>
                  </w:tcBorders>
                  <w:shd w:val="clear" w:color="auto" w:fill="000000"/>
                  <w:tcMar>
                    <w:left w:w="72" w:type="dxa"/>
                    <w:right w:w="72" w:type="dxa"/>
                  </w:tcMar>
                  <w:vAlign w:val="bottom"/>
                </w:tcPr>
                <w:p w14:paraId="18BDE074" w14:textId="77777777" w:rsidR="00B25234" w:rsidRPr="005D4222" w:rsidRDefault="00B25234" w:rsidP="00A53E8C">
                  <w:pPr>
                    <w:pStyle w:val="TableHead"/>
                    <w:spacing w:before="80" w:after="80"/>
                    <w:rPr>
                      <w:rFonts w:eastAsia="Arial Narrow"/>
                    </w:rPr>
                  </w:pPr>
                  <w:r w:rsidRPr="005D4222">
                    <w:rPr>
                      <w:rFonts w:eastAsia="Arial Narrow"/>
                    </w:rPr>
                    <w:t>Reporting Instructions</w:t>
                  </w:r>
                </w:p>
              </w:tc>
            </w:tr>
            <w:tr w:rsidR="00B25234" w:rsidRPr="005D4222" w14:paraId="3062D192" w14:textId="77777777" w:rsidTr="00A53E8C">
              <w:trPr>
                <w:cantSplit/>
              </w:trPr>
              <w:tc>
                <w:tcPr>
                  <w:tcW w:w="2348" w:type="dxa"/>
                  <w:tcBorders>
                    <w:top w:val="nil"/>
                    <w:left w:val="nil"/>
                    <w:bottom w:val="nil"/>
                    <w:right w:val="single" w:sz="4" w:space="0" w:color="000000"/>
                  </w:tcBorders>
                  <w:tcMar>
                    <w:left w:w="72" w:type="dxa"/>
                    <w:right w:w="72" w:type="dxa"/>
                  </w:tcMar>
                  <w:vAlign w:val="bottom"/>
                </w:tcPr>
                <w:p w14:paraId="2854582F" w14:textId="77777777" w:rsidR="00B25234" w:rsidRPr="005D4222" w:rsidRDefault="00B25234" w:rsidP="00A53E8C">
                  <w:pPr>
                    <w:spacing w:before="80" w:after="80" w:line="259" w:lineRule="auto"/>
                    <w:rPr>
                      <w:rFonts w:ascii="Arial Narrow" w:hAnsi="Arial Narrow"/>
                      <w:szCs w:val="19"/>
                    </w:rPr>
                  </w:pPr>
                </w:p>
              </w:tc>
              <w:tc>
                <w:tcPr>
                  <w:tcW w:w="806" w:type="dxa"/>
                  <w:tcBorders>
                    <w:top w:val="single" w:sz="4" w:space="0" w:color="000000"/>
                    <w:left w:val="single" w:sz="4" w:space="0" w:color="000000"/>
                    <w:bottom w:val="single" w:sz="4" w:space="0" w:color="000000"/>
                    <w:right w:val="single" w:sz="4" w:space="0" w:color="000000"/>
                  </w:tcBorders>
                  <w:shd w:val="clear" w:color="auto" w:fill="FFFFFF"/>
                  <w:tcMar>
                    <w:left w:w="72" w:type="dxa"/>
                    <w:right w:w="72" w:type="dxa"/>
                  </w:tcMar>
                </w:tcPr>
                <w:p w14:paraId="46C7C742"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75-84</w:t>
                  </w:r>
                </w:p>
              </w:tc>
              <w:tc>
                <w:tcPr>
                  <w:tcW w:w="1798" w:type="dxa"/>
                  <w:tcBorders>
                    <w:top w:val="single" w:sz="4" w:space="0" w:color="auto"/>
                    <w:left w:val="single" w:sz="4" w:space="0" w:color="000000"/>
                    <w:bottom w:val="single" w:sz="4" w:space="0" w:color="auto"/>
                    <w:right w:val="single" w:sz="4" w:space="0" w:color="auto"/>
                  </w:tcBorders>
                  <w:shd w:val="clear" w:color="auto" w:fill="D9D9D9"/>
                  <w:tcMar>
                    <w:left w:w="72" w:type="dxa"/>
                    <w:right w:w="72" w:type="dxa"/>
                  </w:tcMar>
                </w:tcPr>
                <w:p w14:paraId="7934140D"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ObservedRate</w:t>
                  </w:r>
                </w:p>
              </w:tc>
              <w:tc>
                <w:tcPr>
                  <w:tcW w:w="2434" w:type="dxa"/>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tcPr>
                <w:p w14:paraId="5DF23832"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ObservedCount / Denominator (Percent)</w:t>
                  </w:r>
                </w:p>
              </w:tc>
            </w:tr>
            <w:tr w:rsidR="00B25234" w:rsidRPr="005D4222" w14:paraId="369CC667" w14:textId="77777777" w:rsidTr="00A53E8C">
              <w:trPr>
                <w:cantSplit/>
                <w:trHeight w:val="368"/>
              </w:trPr>
              <w:tc>
                <w:tcPr>
                  <w:tcW w:w="2348" w:type="dxa"/>
                  <w:tcBorders>
                    <w:top w:val="nil"/>
                    <w:left w:val="nil"/>
                    <w:bottom w:val="nil"/>
                    <w:right w:val="single" w:sz="4" w:space="0" w:color="000000"/>
                  </w:tcBorders>
                  <w:tcMar>
                    <w:left w:w="72" w:type="dxa"/>
                    <w:right w:w="72" w:type="dxa"/>
                  </w:tcMar>
                  <w:vAlign w:val="bottom"/>
                </w:tcPr>
                <w:p w14:paraId="5A0EAE19" w14:textId="77777777" w:rsidR="00B25234" w:rsidRPr="005D4222" w:rsidRDefault="00B25234" w:rsidP="00A53E8C">
                  <w:pPr>
                    <w:spacing w:before="80" w:after="80" w:line="216" w:lineRule="auto"/>
                    <w:rPr>
                      <w:rFonts w:ascii="Arial Narrow" w:hAnsi="Arial Narrow"/>
                      <w:szCs w:val="19"/>
                    </w:rPr>
                  </w:pPr>
                </w:p>
              </w:tc>
              <w:tc>
                <w:tcPr>
                  <w:tcW w:w="806" w:type="dxa"/>
                  <w:tcBorders>
                    <w:top w:val="single" w:sz="4" w:space="0" w:color="000000"/>
                    <w:left w:val="single" w:sz="4" w:space="0" w:color="000000"/>
                    <w:bottom w:val="single" w:sz="4" w:space="0" w:color="000000"/>
                    <w:right w:val="single" w:sz="4" w:space="0" w:color="000000"/>
                  </w:tcBorders>
                  <w:shd w:val="clear" w:color="auto" w:fill="FFFFFF"/>
                  <w:tcMar>
                    <w:left w:w="72" w:type="dxa"/>
                    <w:right w:w="72" w:type="dxa"/>
                  </w:tcMar>
                </w:tcPr>
                <w:p w14:paraId="0039C9AE"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85+</w:t>
                  </w:r>
                </w:p>
              </w:tc>
              <w:tc>
                <w:tcPr>
                  <w:tcW w:w="1798" w:type="dxa"/>
                  <w:tcBorders>
                    <w:top w:val="single" w:sz="4" w:space="0" w:color="auto"/>
                    <w:left w:val="single" w:sz="4" w:space="0" w:color="000000"/>
                    <w:bottom w:val="single" w:sz="4" w:space="0" w:color="auto"/>
                    <w:right w:val="single" w:sz="4" w:space="0" w:color="auto"/>
                  </w:tcBorders>
                  <w:shd w:val="clear" w:color="auto" w:fill="FFFFFF"/>
                  <w:tcMar>
                    <w:left w:w="72" w:type="dxa"/>
                    <w:right w:w="72" w:type="dxa"/>
                  </w:tcMar>
                </w:tcPr>
                <w:p w14:paraId="43FACE76"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ExpectedCount</w:t>
                  </w:r>
                </w:p>
              </w:tc>
              <w:tc>
                <w:tcPr>
                  <w:tcW w:w="2434"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tcPr>
                <w:p w14:paraId="07CF4BD4"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For each Stratification</w:t>
                  </w:r>
                </w:p>
              </w:tc>
            </w:tr>
            <w:tr w:rsidR="00B25234" w:rsidRPr="005D4222" w14:paraId="00546CB2" w14:textId="77777777" w:rsidTr="00A53E8C">
              <w:trPr>
                <w:cantSplit/>
              </w:trPr>
              <w:tc>
                <w:tcPr>
                  <w:tcW w:w="2348" w:type="dxa"/>
                  <w:tcBorders>
                    <w:top w:val="nil"/>
                    <w:left w:val="nil"/>
                    <w:bottom w:val="nil"/>
                    <w:right w:val="single" w:sz="4" w:space="0" w:color="000000"/>
                  </w:tcBorders>
                  <w:tcMar>
                    <w:left w:w="72" w:type="dxa"/>
                    <w:right w:w="72" w:type="dxa"/>
                  </w:tcMar>
                  <w:vAlign w:val="bottom"/>
                </w:tcPr>
                <w:p w14:paraId="377434B6" w14:textId="77777777" w:rsidR="00B25234" w:rsidRPr="005D4222" w:rsidRDefault="00B25234" w:rsidP="00A53E8C">
                  <w:pPr>
                    <w:spacing w:before="80" w:after="80" w:line="216" w:lineRule="auto"/>
                    <w:rPr>
                      <w:rFonts w:ascii="Arial Narrow" w:hAnsi="Arial Narrow"/>
                      <w:szCs w:val="19"/>
                    </w:rPr>
                  </w:pPr>
                </w:p>
              </w:tc>
              <w:tc>
                <w:tcPr>
                  <w:tcW w:w="806" w:type="dxa"/>
                  <w:tcBorders>
                    <w:top w:val="single" w:sz="4" w:space="0" w:color="000000"/>
                    <w:left w:val="single" w:sz="4" w:space="0" w:color="000000"/>
                    <w:bottom w:val="single" w:sz="4" w:space="0" w:color="000000"/>
                    <w:right w:val="single" w:sz="4" w:space="0" w:color="000000"/>
                  </w:tcBorders>
                  <w:shd w:val="clear" w:color="auto" w:fill="D9D9D9"/>
                  <w:tcMar>
                    <w:left w:w="72" w:type="dxa"/>
                    <w:right w:w="72" w:type="dxa"/>
                  </w:tcMar>
                </w:tcPr>
                <w:p w14:paraId="0016F50D"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65+</w:t>
                  </w:r>
                </w:p>
              </w:tc>
              <w:tc>
                <w:tcPr>
                  <w:tcW w:w="1798" w:type="dxa"/>
                  <w:tcBorders>
                    <w:top w:val="single" w:sz="4" w:space="0" w:color="auto"/>
                    <w:left w:val="single" w:sz="4" w:space="0" w:color="000000"/>
                    <w:bottom w:val="single" w:sz="4" w:space="0" w:color="auto"/>
                    <w:right w:val="single" w:sz="4" w:space="0" w:color="auto"/>
                  </w:tcBorders>
                  <w:shd w:val="clear" w:color="auto" w:fill="D9D9D9"/>
                  <w:tcMar>
                    <w:left w:w="72" w:type="dxa"/>
                    <w:right w:w="72" w:type="dxa"/>
                  </w:tcMar>
                </w:tcPr>
                <w:p w14:paraId="0BC3996A"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ExpectedRate</w:t>
                  </w:r>
                </w:p>
              </w:tc>
              <w:tc>
                <w:tcPr>
                  <w:tcW w:w="2434" w:type="dxa"/>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tcPr>
                <w:p w14:paraId="69E138FF"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ExpectedCount / Denominator (Percent)</w:t>
                  </w:r>
                </w:p>
              </w:tc>
            </w:tr>
            <w:tr w:rsidR="00B25234" w:rsidRPr="005D4222" w14:paraId="40C88E79" w14:textId="77777777" w:rsidTr="00A53E8C">
              <w:trPr>
                <w:cantSplit/>
              </w:trPr>
              <w:tc>
                <w:tcPr>
                  <w:tcW w:w="2348" w:type="dxa"/>
                  <w:tcBorders>
                    <w:top w:val="nil"/>
                    <w:left w:val="nil"/>
                    <w:bottom w:val="nil"/>
                    <w:right w:val="nil"/>
                  </w:tcBorders>
                  <w:tcMar>
                    <w:left w:w="72" w:type="dxa"/>
                    <w:right w:w="72" w:type="dxa"/>
                  </w:tcMar>
                  <w:vAlign w:val="bottom"/>
                </w:tcPr>
                <w:p w14:paraId="41DA92B3" w14:textId="77777777" w:rsidR="00B25234" w:rsidRPr="005D4222" w:rsidRDefault="00B25234" w:rsidP="00A53E8C">
                  <w:pPr>
                    <w:spacing w:before="80" w:after="80" w:line="216" w:lineRule="auto"/>
                    <w:rPr>
                      <w:rFonts w:ascii="Arial Narrow" w:hAnsi="Arial Narrow"/>
                      <w:szCs w:val="19"/>
                    </w:rPr>
                  </w:pPr>
                </w:p>
              </w:tc>
              <w:tc>
                <w:tcPr>
                  <w:tcW w:w="806" w:type="dxa"/>
                  <w:tcBorders>
                    <w:top w:val="single" w:sz="4" w:space="0" w:color="000000"/>
                    <w:left w:val="nil"/>
                    <w:bottom w:val="nil"/>
                    <w:right w:val="nil"/>
                  </w:tcBorders>
                  <w:shd w:val="clear" w:color="auto" w:fill="FFFFFF"/>
                  <w:tcMar>
                    <w:left w:w="72" w:type="dxa"/>
                    <w:right w:w="72" w:type="dxa"/>
                  </w:tcMar>
                </w:tcPr>
                <w:p w14:paraId="793AB30B" w14:textId="77777777" w:rsidR="00B25234" w:rsidRPr="005D4222" w:rsidRDefault="00B25234" w:rsidP="00A53E8C">
                  <w:pPr>
                    <w:spacing w:before="80" w:after="80" w:line="216" w:lineRule="auto"/>
                    <w:rPr>
                      <w:rFonts w:ascii="Arial Narrow" w:eastAsia="Arial Narrow" w:hAnsi="Arial Narrow"/>
                      <w:szCs w:val="19"/>
                    </w:rPr>
                  </w:pPr>
                </w:p>
              </w:tc>
              <w:tc>
                <w:tcPr>
                  <w:tcW w:w="1798"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tcPr>
                <w:p w14:paraId="5BF3A94D"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CountVariance</w:t>
                  </w:r>
                </w:p>
              </w:tc>
              <w:tc>
                <w:tcPr>
                  <w:tcW w:w="2434"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tcPr>
                <w:p w14:paraId="2DB2D600"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For each Stratification</w:t>
                  </w:r>
                </w:p>
              </w:tc>
            </w:tr>
            <w:tr w:rsidR="00B25234" w:rsidRPr="005D4222" w14:paraId="17C89FB1" w14:textId="77777777" w:rsidTr="00A53E8C">
              <w:trPr>
                <w:cantSplit/>
              </w:trPr>
              <w:tc>
                <w:tcPr>
                  <w:tcW w:w="2348" w:type="dxa"/>
                  <w:tcBorders>
                    <w:top w:val="nil"/>
                    <w:left w:val="nil"/>
                    <w:bottom w:val="nil"/>
                    <w:right w:val="nil"/>
                  </w:tcBorders>
                  <w:tcMar>
                    <w:left w:w="72" w:type="dxa"/>
                    <w:right w:w="72" w:type="dxa"/>
                  </w:tcMar>
                  <w:vAlign w:val="bottom"/>
                </w:tcPr>
                <w:p w14:paraId="690E94F1" w14:textId="77777777" w:rsidR="00B25234" w:rsidRPr="005D4222" w:rsidRDefault="00B25234" w:rsidP="00A53E8C">
                  <w:pPr>
                    <w:spacing w:before="80" w:after="80" w:line="216" w:lineRule="auto"/>
                    <w:rPr>
                      <w:rFonts w:ascii="Arial Narrow" w:hAnsi="Arial Narrow"/>
                      <w:szCs w:val="19"/>
                    </w:rPr>
                  </w:pPr>
                </w:p>
              </w:tc>
              <w:tc>
                <w:tcPr>
                  <w:tcW w:w="806" w:type="dxa"/>
                  <w:tcBorders>
                    <w:top w:val="nil"/>
                    <w:left w:val="nil"/>
                    <w:bottom w:val="nil"/>
                    <w:right w:val="nil"/>
                  </w:tcBorders>
                  <w:shd w:val="clear" w:color="auto" w:fill="FFFFFF"/>
                  <w:tcMar>
                    <w:left w:w="72" w:type="dxa"/>
                    <w:right w:w="72" w:type="dxa"/>
                  </w:tcMar>
                </w:tcPr>
                <w:p w14:paraId="6F74CB59" w14:textId="77777777" w:rsidR="00B25234" w:rsidRPr="005D4222" w:rsidRDefault="00B25234" w:rsidP="00A53E8C">
                  <w:pPr>
                    <w:spacing w:before="80" w:after="80" w:line="216" w:lineRule="auto"/>
                    <w:rPr>
                      <w:rFonts w:ascii="Arial Narrow" w:eastAsia="Arial Narrow" w:hAnsi="Arial Narrow"/>
                      <w:szCs w:val="19"/>
                    </w:rPr>
                  </w:pPr>
                </w:p>
              </w:tc>
              <w:tc>
                <w:tcPr>
                  <w:tcW w:w="1798" w:type="dxa"/>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tcPr>
                <w:p w14:paraId="6EAA0173"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OE</w:t>
                  </w:r>
                </w:p>
              </w:tc>
              <w:tc>
                <w:tcPr>
                  <w:tcW w:w="2434" w:type="dxa"/>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tcPr>
                <w:p w14:paraId="0B069D2E"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ObservedCount / ExpectedCount</w:t>
                  </w:r>
                </w:p>
              </w:tc>
            </w:tr>
          </w:tbl>
          <w:p w14:paraId="06A302B3" w14:textId="186ED0A5" w:rsidR="00B25234" w:rsidRPr="005D4222" w:rsidRDefault="00B25234" w:rsidP="00A53E8C">
            <w:pPr>
              <w:pStyle w:val="Heading3"/>
            </w:pPr>
            <w:r w:rsidRPr="005D4222">
              <w:t>Table PCR</w:t>
            </w:r>
            <w:r w:rsidRPr="005D4222" w:rsidDel="003D01B4">
              <w:t>-</w:t>
            </w:r>
            <w:r w:rsidRPr="005D4222">
              <w:t xml:space="preserve">B-3: Data Elements for Plan All-Cause Readmissions by SES </w:t>
            </w:r>
            <w:r w:rsidR="00B51CDC" w:rsidRPr="005D4222">
              <w:t>Stratifications</w:t>
            </w:r>
          </w:p>
          <w:tbl>
            <w:tblPr>
              <w:tblW w:w="7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4A0" w:firstRow="1" w:lastRow="0" w:firstColumn="1" w:lastColumn="0" w:noHBand="0" w:noVBand="1"/>
            </w:tblPr>
            <w:tblGrid>
              <w:gridCol w:w="2156"/>
              <w:gridCol w:w="1800"/>
              <w:gridCol w:w="720"/>
              <w:gridCol w:w="1350"/>
              <w:gridCol w:w="1350"/>
            </w:tblGrid>
            <w:tr w:rsidR="00B25234" w:rsidRPr="005D4222" w14:paraId="21EF73A0" w14:textId="77777777" w:rsidTr="00A53E8C">
              <w:trPr>
                <w:cantSplit/>
                <w:trHeight w:val="260"/>
              </w:trPr>
              <w:tc>
                <w:tcPr>
                  <w:tcW w:w="2156" w:type="dxa"/>
                  <w:tcBorders>
                    <w:top w:val="single" w:sz="4" w:space="0" w:color="auto"/>
                    <w:left w:val="single" w:sz="4" w:space="0" w:color="auto"/>
                    <w:bottom w:val="single" w:sz="4" w:space="0" w:color="000000"/>
                    <w:right w:val="single" w:sz="4" w:space="0" w:color="FFFFFF"/>
                  </w:tcBorders>
                  <w:shd w:val="clear" w:color="auto" w:fill="000000"/>
                  <w:vAlign w:val="bottom"/>
                </w:tcPr>
                <w:p w14:paraId="36AB45C0" w14:textId="77777777" w:rsidR="00B25234" w:rsidRPr="005D4222" w:rsidRDefault="00B25234" w:rsidP="00A53E8C">
                  <w:pPr>
                    <w:pStyle w:val="TableHead"/>
                    <w:rPr>
                      <w:rFonts w:eastAsia="Arial Narrow"/>
                    </w:rPr>
                  </w:pPr>
                  <w:r w:rsidRPr="005D4222">
                    <w:rPr>
                      <w:rFonts w:eastAsia="Arial Narrow"/>
                    </w:rPr>
                    <w:t>Metric</w:t>
                  </w:r>
                </w:p>
              </w:tc>
              <w:tc>
                <w:tcPr>
                  <w:tcW w:w="1800" w:type="dxa"/>
                  <w:tcBorders>
                    <w:top w:val="single" w:sz="4" w:space="0" w:color="auto"/>
                    <w:left w:val="single" w:sz="4" w:space="0" w:color="FFFFFF"/>
                    <w:bottom w:val="single" w:sz="4" w:space="0" w:color="000000"/>
                    <w:right w:val="single" w:sz="4" w:space="0" w:color="FFFFFF"/>
                  </w:tcBorders>
                  <w:shd w:val="clear" w:color="auto" w:fill="000000"/>
                  <w:vAlign w:val="bottom"/>
                </w:tcPr>
                <w:p w14:paraId="639F9D7B" w14:textId="37D31CBF" w:rsidR="00B25234" w:rsidRPr="005D4222" w:rsidRDefault="00B25234" w:rsidP="00A53E8C">
                  <w:pPr>
                    <w:pStyle w:val="TableHead"/>
                    <w:rPr>
                      <w:rFonts w:eastAsia="Arial Narrow"/>
                    </w:rPr>
                  </w:pPr>
                  <w:r w:rsidRPr="005D4222">
                    <w:rPr>
                      <w:rFonts w:eastAsia="Arial Narrow"/>
                    </w:rPr>
                    <w:t xml:space="preserve">SES </w:t>
                  </w:r>
                  <w:r w:rsidR="00B51CDC" w:rsidRPr="005D4222">
                    <w:rPr>
                      <w:rFonts w:eastAsia="Arial Narrow"/>
                    </w:rPr>
                    <w:t>Stratifications</w:t>
                  </w:r>
                </w:p>
              </w:tc>
              <w:tc>
                <w:tcPr>
                  <w:tcW w:w="720" w:type="dxa"/>
                  <w:tcBorders>
                    <w:top w:val="single" w:sz="4" w:space="0" w:color="auto"/>
                    <w:left w:val="single" w:sz="4" w:space="0" w:color="FFFFFF"/>
                    <w:bottom w:val="single" w:sz="4" w:space="0" w:color="auto"/>
                    <w:right w:val="single" w:sz="4" w:space="0" w:color="FFFFFF"/>
                  </w:tcBorders>
                  <w:shd w:val="clear" w:color="auto" w:fill="000000"/>
                  <w:vAlign w:val="bottom"/>
                </w:tcPr>
                <w:p w14:paraId="7D696381" w14:textId="77777777" w:rsidR="00B25234" w:rsidRPr="005D4222" w:rsidRDefault="00B25234" w:rsidP="00A53E8C">
                  <w:pPr>
                    <w:pStyle w:val="TableHead"/>
                    <w:rPr>
                      <w:rFonts w:eastAsia="Arial Narrow"/>
                    </w:rPr>
                  </w:pPr>
                  <w:r w:rsidRPr="005D4222">
                    <w:rPr>
                      <w:rFonts w:eastAsia="Arial Narrow"/>
                    </w:rPr>
                    <w:t>Age</w:t>
                  </w:r>
                </w:p>
              </w:tc>
              <w:tc>
                <w:tcPr>
                  <w:tcW w:w="1350" w:type="dxa"/>
                  <w:tcBorders>
                    <w:top w:val="single" w:sz="4" w:space="0" w:color="auto"/>
                    <w:left w:val="single" w:sz="4" w:space="0" w:color="FFFFFF"/>
                    <w:right w:val="single" w:sz="6" w:space="0" w:color="FFFFFF"/>
                  </w:tcBorders>
                  <w:shd w:val="clear" w:color="auto" w:fill="000000"/>
                  <w:vAlign w:val="bottom"/>
                </w:tcPr>
                <w:p w14:paraId="4F1B3450" w14:textId="77777777" w:rsidR="00B25234" w:rsidRPr="005D4222" w:rsidRDefault="00B25234" w:rsidP="00A53E8C">
                  <w:pPr>
                    <w:pStyle w:val="TableHead"/>
                    <w:rPr>
                      <w:rFonts w:eastAsia="Arial Narrow"/>
                    </w:rPr>
                  </w:pPr>
                  <w:r w:rsidRPr="005D4222">
                    <w:rPr>
                      <w:rFonts w:eastAsia="Arial Narrow"/>
                    </w:rPr>
                    <w:t>Data Element</w:t>
                  </w:r>
                </w:p>
              </w:tc>
              <w:tc>
                <w:tcPr>
                  <w:tcW w:w="1350" w:type="dxa"/>
                  <w:tcBorders>
                    <w:top w:val="single" w:sz="4" w:space="0" w:color="auto"/>
                    <w:left w:val="single" w:sz="6" w:space="0" w:color="FFFFFF"/>
                    <w:right w:val="single" w:sz="4" w:space="0" w:color="auto"/>
                  </w:tcBorders>
                  <w:shd w:val="clear" w:color="auto" w:fill="000000"/>
                  <w:vAlign w:val="bottom"/>
                </w:tcPr>
                <w:p w14:paraId="61B2C2FE" w14:textId="77777777" w:rsidR="00B25234" w:rsidRPr="005D4222" w:rsidRDefault="00B25234" w:rsidP="00A53E8C">
                  <w:pPr>
                    <w:pStyle w:val="TableHead"/>
                    <w:rPr>
                      <w:rFonts w:eastAsia="Arial Narrow"/>
                    </w:rPr>
                  </w:pPr>
                  <w:r w:rsidRPr="005D4222">
                    <w:rPr>
                      <w:rFonts w:eastAsia="Arial Narrow"/>
                    </w:rPr>
                    <w:t>Reporting Instructions</w:t>
                  </w:r>
                </w:p>
              </w:tc>
            </w:tr>
            <w:tr w:rsidR="00B25234" w:rsidRPr="005D4222" w14:paraId="2263BF0D" w14:textId="77777777" w:rsidTr="00A53E8C">
              <w:trPr>
                <w:cantSplit/>
              </w:trPr>
              <w:tc>
                <w:tcPr>
                  <w:tcW w:w="2156" w:type="dxa"/>
                  <w:tcBorders>
                    <w:top w:val="single" w:sz="4" w:space="0" w:color="000000"/>
                    <w:left w:val="single" w:sz="4" w:space="0" w:color="000000"/>
                    <w:bottom w:val="single" w:sz="4" w:space="0" w:color="000000"/>
                    <w:right w:val="single" w:sz="4" w:space="0" w:color="000000"/>
                  </w:tcBorders>
                </w:tcPr>
                <w:p w14:paraId="7A33836F" w14:textId="77777777" w:rsidR="00B25234" w:rsidRPr="005D4222" w:rsidRDefault="00B25234" w:rsidP="00A53E8C">
                  <w:pPr>
                    <w:pStyle w:val="TableText"/>
                    <w:rPr>
                      <w:sz w:val="20"/>
                      <w:szCs w:val="20"/>
                    </w:rPr>
                  </w:pPr>
                  <w:r w:rsidRPr="005D4222">
                    <w:rPr>
                      <w:sz w:val="20"/>
                      <w:szCs w:val="20"/>
                    </w:rPr>
                    <w:t>PlanAllCauseReadmissions</w:t>
                  </w:r>
                </w:p>
              </w:tc>
              <w:tc>
                <w:tcPr>
                  <w:tcW w:w="1800" w:type="dxa"/>
                  <w:tcBorders>
                    <w:top w:val="single" w:sz="4" w:space="0" w:color="000000"/>
                    <w:left w:val="single" w:sz="4" w:space="0" w:color="000000"/>
                    <w:bottom w:val="single" w:sz="4" w:space="0" w:color="000000"/>
                    <w:right w:val="single" w:sz="4" w:space="0" w:color="000000"/>
                  </w:tcBorders>
                </w:tcPr>
                <w:p w14:paraId="25463003" w14:textId="77777777" w:rsidR="00B25234" w:rsidRPr="005D4222" w:rsidRDefault="00B25234" w:rsidP="00A53E8C">
                  <w:pPr>
                    <w:pStyle w:val="TableText"/>
                    <w:rPr>
                      <w:rFonts w:eastAsia="Arial Narrow"/>
                      <w:sz w:val="20"/>
                      <w:szCs w:val="20"/>
                    </w:rPr>
                  </w:pPr>
                  <w:r w:rsidRPr="005D4222">
                    <w:rPr>
                      <w:sz w:val="20"/>
                      <w:szCs w:val="20"/>
                    </w:rPr>
                    <w:t>NonLisDeNondisability</w:t>
                  </w:r>
                </w:p>
              </w:tc>
              <w:tc>
                <w:tcPr>
                  <w:tcW w:w="720" w:type="dxa"/>
                  <w:tcBorders>
                    <w:left w:val="single" w:sz="4" w:space="0" w:color="000000"/>
                    <w:bottom w:val="single" w:sz="4" w:space="0" w:color="000000"/>
                  </w:tcBorders>
                </w:tcPr>
                <w:p w14:paraId="10ACB224" w14:textId="77777777" w:rsidR="00B25234" w:rsidRPr="005D4222" w:rsidRDefault="00B25234" w:rsidP="00A53E8C">
                  <w:pPr>
                    <w:pStyle w:val="TableText"/>
                    <w:rPr>
                      <w:rFonts w:eastAsia="Arial Narrow"/>
                      <w:sz w:val="20"/>
                      <w:szCs w:val="20"/>
                    </w:rPr>
                  </w:pPr>
                  <w:r w:rsidRPr="005D4222">
                    <w:rPr>
                      <w:rFonts w:eastAsia="Arial Narrow"/>
                      <w:sz w:val="20"/>
                      <w:szCs w:val="20"/>
                    </w:rPr>
                    <w:t>18-64</w:t>
                  </w:r>
                </w:p>
              </w:tc>
              <w:tc>
                <w:tcPr>
                  <w:tcW w:w="1350" w:type="dxa"/>
                  <w:tcBorders>
                    <w:bottom w:val="single" w:sz="4" w:space="0" w:color="auto"/>
                  </w:tcBorders>
                </w:tcPr>
                <w:p w14:paraId="4C3ADAC1" w14:textId="77777777" w:rsidR="00B25234" w:rsidRPr="005D4222" w:rsidRDefault="00B25234" w:rsidP="00A53E8C">
                  <w:pPr>
                    <w:pStyle w:val="TableText"/>
                    <w:rPr>
                      <w:rFonts w:eastAsia="Arial Narrow"/>
                      <w:sz w:val="20"/>
                      <w:szCs w:val="20"/>
                    </w:rPr>
                  </w:pPr>
                  <w:r w:rsidRPr="005D4222">
                    <w:rPr>
                      <w:rFonts w:eastAsia="Arial Narrow"/>
                      <w:sz w:val="20"/>
                      <w:szCs w:val="20"/>
                    </w:rPr>
                    <w:t>Denominator</w:t>
                  </w:r>
                </w:p>
              </w:tc>
              <w:tc>
                <w:tcPr>
                  <w:tcW w:w="1350" w:type="dxa"/>
                  <w:tcBorders>
                    <w:bottom w:val="single" w:sz="4" w:space="0" w:color="auto"/>
                  </w:tcBorders>
                </w:tcPr>
                <w:p w14:paraId="08E7097D" w14:textId="77777777" w:rsidR="00B25234" w:rsidRPr="005D4222" w:rsidRDefault="00B25234" w:rsidP="00A53E8C">
                  <w:pPr>
                    <w:pStyle w:val="TableText"/>
                    <w:rPr>
                      <w:rFonts w:eastAsia="Arial Narrow"/>
                      <w:sz w:val="20"/>
                      <w:szCs w:val="20"/>
                    </w:rPr>
                  </w:pPr>
                  <w:r w:rsidRPr="005D4222">
                    <w:rPr>
                      <w:rFonts w:eastAsia="Arial Narrow"/>
                      <w:sz w:val="20"/>
                      <w:szCs w:val="20"/>
                    </w:rPr>
                    <w:t>For each Stratification</w:t>
                  </w:r>
                </w:p>
              </w:tc>
            </w:tr>
            <w:tr w:rsidR="00B25234" w:rsidRPr="005D4222" w14:paraId="05BAE06E" w14:textId="77777777" w:rsidTr="00A53E8C">
              <w:trPr>
                <w:cantSplit/>
              </w:trPr>
              <w:tc>
                <w:tcPr>
                  <w:tcW w:w="2156" w:type="dxa"/>
                  <w:tcBorders>
                    <w:top w:val="single" w:sz="4" w:space="0" w:color="000000"/>
                    <w:left w:val="nil"/>
                    <w:bottom w:val="nil"/>
                    <w:right w:val="single" w:sz="4" w:space="0" w:color="000000"/>
                  </w:tcBorders>
                </w:tcPr>
                <w:p w14:paraId="67A529DD" w14:textId="77777777" w:rsidR="00B25234" w:rsidRPr="005D4222" w:rsidRDefault="00B25234" w:rsidP="00A53E8C">
                  <w:pPr>
                    <w:pStyle w:val="TableText"/>
                    <w:rPr>
                      <w:sz w:val="20"/>
                      <w:szCs w:val="20"/>
                    </w:rPr>
                  </w:pPr>
                </w:p>
              </w:tc>
              <w:tc>
                <w:tcPr>
                  <w:tcW w:w="1800" w:type="dxa"/>
                  <w:tcBorders>
                    <w:top w:val="single" w:sz="4" w:space="0" w:color="000000"/>
                    <w:left w:val="single" w:sz="4" w:space="0" w:color="000000"/>
                    <w:bottom w:val="single" w:sz="4" w:space="0" w:color="000000"/>
                    <w:right w:val="single" w:sz="4" w:space="0" w:color="000000"/>
                  </w:tcBorders>
                </w:tcPr>
                <w:p w14:paraId="464402D0" w14:textId="77777777" w:rsidR="00B25234" w:rsidRPr="005D4222" w:rsidRDefault="00B25234" w:rsidP="00A53E8C">
                  <w:pPr>
                    <w:pStyle w:val="TableText"/>
                    <w:rPr>
                      <w:rFonts w:eastAsia="Arial Narrow"/>
                      <w:sz w:val="20"/>
                      <w:szCs w:val="20"/>
                    </w:rPr>
                  </w:pPr>
                  <w:r w:rsidRPr="005D4222">
                    <w:rPr>
                      <w:sz w:val="20"/>
                      <w:szCs w:val="20"/>
                    </w:rPr>
                    <w:t>LisDe</w:t>
                  </w:r>
                </w:p>
              </w:tc>
              <w:tc>
                <w:tcPr>
                  <w:tcW w:w="720" w:type="dxa"/>
                  <w:tcBorders>
                    <w:top w:val="single" w:sz="4" w:space="0" w:color="000000"/>
                    <w:left w:val="single" w:sz="4" w:space="0" w:color="000000"/>
                    <w:bottom w:val="single" w:sz="4" w:space="0" w:color="000000"/>
                    <w:right w:val="single" w:sz="4" w:space="0" w:color="000000"/>
                  </w:tcBorders>
                </w:tcPr>
                <w:p w14:paraId="3A2CC53F" w14:textId="77777777" w:rsidR="00B25234" w:rsidRPr="005D4222" w:rsidRDefault="00B25234" w:rsidP="00A53E8C">
                  <w:pPr>
                    <w:pStyle w:val="TableText"/>
                    <w:rPr>
                      <w:rFonts w:eastAsia="Arial Narrow"/>
                      <w:sz w:val="20"/>
                      <w:szCs w:val="20"/>
                    </w:rPr>
                  </w:pPr>
                  <w:r w:rsidRPr="005D4222">
                    <w:rPr>
                      <w:rFonts w:eastAsia="Arial Narrow"/>
                      <w:sz w:val="20"/>
                      <w:szCs w:val="20"/>
                    </w:rPr>
                    <w:t>65+</w:t>
                  </w:r>
                </w:p>
              </w:tc>
              <w:tc>
                <w:tcPr>
                  <w:tcW w:w="1350" w:type="dxa"/>
                  <w:tcBorders>
                    <w:left w:val="single" w:sz="4" w:space="0" w:color="000000"/>
                    <w:bottom w:val="single" w:sz="4" w:space="0" w:color="000000"/>
                  </w:tcBorders>
                  <w:shd w:val="clear" w:color="auto" w:fill="FFFFFF"/>
                </w:tcPr>
                <w:p w14:paraId="6297DA00" w14:textId="77777777" w:rsidR="00B25234" w:rsidRPr="005D4222" w:rsidRDefault="00B25234" w:rsidP="00A53E8C">
                  <w:pPr>
                    <w:pStyle w:val="TableText"/>
                    <w:rPr>
                      <w:rFonts w:eastAsia="Arial Narrow"/>
                      <w:sz w:val="20"/>
                      <w:szCs w:val="20"/>
                    </w:rPr>
                  </w:pPr>
                  <w:r w:rsidRPr="005D4222">
                    <w:rPr>
                      <w:rFonts w:eastAsia="Arial Narrow"/>
                      <w:sz w:val="20"/>
                      <w:szCs w:val="20"/>
                    </w:rPr>
                    <w:t>ObservedCount</w:t>
                  </w:r>
                </w:p>
              </w:tc>
              <w:tc>
                <w:tcPr>
                  <w:tcW w:w="1350" w:type="dxa"/>
                  <w:tcBorders>
                    <w:bottom w:val="single" w:sz="4" w:space="0" w:color="auto"/>
                  </w:tcBorders>
                  <w:shd w:val="clear" w:color="auto" w:fill="FFFFFF"/>
                </w:tcPr>
                <w:p w14:paraId="76932337" w14:textId="77777777" w:rsidR="00B25234" w:rsidRPr="005D4222" w:rsidRDefault="00B25234" w:rsidP="00A53E8C">
                  <w:pPr>
                    <w:pStyle w:val="TableText"/>
                    <w:rPr>
                      <w:rFonts w:eastAsia="Arial Narrow"/>
                      <w:sz w:val="20"/>
                      <w:szCs w:val="20"/>
                    </w:rPr>
                  </w:pPr>
                  <w:r w:rsidRPr="005D4222">
                    <w:rPr>
                      <w:rFonts w:eastAsia="Arial Narrow"/>
                      <w:sz w:val="20"/>
                      <w:szCs w:val="20"/>
                    </w:rPr>
                    <w:t>For each Stratification</w:t>
                  </w:r>
                </w:p>
              </w:tc>
            </w:tr>
            <w:tr w:rsidR="00B25234" w:rsidRPr="005D4222" w14:paraId="61A76544" w14:textId="77777777" w:rsidTr="00A53E8C">
              <w:trPr>
                <w:cantSplit/>
              </w:trPr>
              <w:tc>
                <w:tcPr>
                  <w:tcW w:w="2156" w:type="dxa"/>
                  <w:tcBorders>
                    <w:top w:val="nil"/>
                    <w:left w:val="nil"/>
                    <w:bottom w:val="nil"/>
                    <w:right w:val="single" w:sz="4" w:space="0" w:color="000000"/>
                  </w:tcBorders>
                </w:tcPr>
                <w:p w14:paraId="6D40A1B7" w14:textId="77777777" w:rsidR="00B25234" w:rsidRPr="005D4222" w:rsidRDefault="00B25234" w:rsidP="00A53E8C">
                  <w:pPr>
                    <w:pStyle w:val="TableText"/>
                    <w:rPr>
                      <w:sz w:val="20"/>
                      <w:szCs w:val="20"/>
                    </w:rPr>
                  </w:pPr>
                </w:p>
              </w:tc>
              <w:tc>
                <w:tcPr>
                  <w:tcW w:w="1800" w:type="dxa"/>
                  <w:tcBorders>
                    <w:top w:val="single" w:sz="4" w:space="0" w:color="000000"/>
                    <w:left w:val="single" w:sz="4" w:space="0" w:color="000000"/>
                    <w:bottom w:val="single" w:sz="4" w:space="0" w:color="000000"/>
                    <w:right w:val="single" w:sz="4" w:space="0" w:color="000000"/>
                  </w:tcBorders>
                </w:tcPr>
                <w:p w14:paraId="6388EDCD" w14:textId="77777777" w:rsidR="00B25234" w:rsidRPr="005D4222" w:rsidRDefault="00B25234" w:rsidP="00A53E8C">
                  <w:pPr>
                    <w:pStyle w:val="TableText"/>
                    <w:rPr>
                      <w:rFonts w:eastAsia="Arial Narrow"/>
                      <w:sz w:val="20"/>
                      <w:szCs w:val="20"/>
                    </w:rPr>
                  </w:pPr>
                  <w:r w:rsidRPr="005D4222">
                    <w:rPr>
                      <w:sz w:val="20"/>
                      <w:szCs w:val="20"/>
                    </w:rPr>
                    <w:t>Disability</w:t>
                  </w:r>
                </w:p>
              </w:tc>
              <w:tc>
                <w:tcPr>
                  <w:tcW w:w="720" w:type="dxa"/>
                  <w:tcBorders>
                    <w:top w:val="single" w:sz="4" w:space="0" w:color="000000"/>
                    <w:left w:val="single" w:sz="4" w:space="0" w:color="000000"/>
                    <w:bottom w:val="nil"/>
                    <w:right w:val="single" w:sz="4" w:space="0" w:color="000000"/>
                  </w:tcBorders>
                  <w:shd w:val="clear" w:color="auto" w:fill="FFFFFF"/>
                </w:tcPr>
                <w:p w14:paraId="1717C949" w14:textId="77777777" w:rsidR="00B25234" w:rsidRPr="005D4222" w:rsidRDefault="00B25234" w:rsidP="00A53E8C">
                  <w:pPr>
                    <w:pStyle w:val="TableText"/>
                    <w:rPr>
                      <w:rFonts w:eastAsia="Arial Narrow"/>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D9D9D9"/>
                </w:tcPr>
                <w:p w14:paraId="0691BA02" w14:textId="77777777" w:rsidR="00B25234" w:rsidRPr="005D4222" w:rsidRDefault="00B25234" w:rsidP="00A53E8C">
                  <w:pPr>
                    <w:pStyle w:val="TableText"/>
                    <w:rPr>
                      <w:rFonts w:eastAsia="Arial Narrow"/>
                      <w:sz w:val="20"/>
                      <w:szCs w:val="20"/>
                    </w:rPr>
                  </w:pPr>
                  <w:r w:rsidRPr="005D4222">
                    <w:rPr>
                      <w:rFonts w:eastAsia="Arial Narrow"/>
                      <w:sz w:val="20"/>
                      <w:szCs w:val="20"/>
                    </w:rPr>
                    <w:t>ObservedRate</w:t>
                  </w:r>
                </w:p>
              </w:tc>
              <w:tc>
                <w:tcPr>
                  <w:tcW w:w="1350" w:type="dxa"/>
                  <w:tcBorders>
                    <w:top w:val="single" w:sz="4" w:space="0" w:color="auto"/>
                    <w:left w:val="single" w:sz="4" w:space="0" w:color="000000"/>
                    <w:bottom w:val="single" w:sz="4" w:space="0" w:color="auto"/>
                    <w:right w:val="single" w:sz="4" w:space="0" w:color="auto"/>
                  </w:tcBorders>
                  <w:shd w:val="clear" w:color="auto" w:fill="D9D9D9"/>
                </w:tcPr>
                <w:p w14:paraId="1F9992F4" w14:textId="77777777" w:rsidR="00B25234" w:rsidRPr="005D4222" w:rsidRDefault="00B25234" w:rsidP="00A53E8C">
                  <w:pPr>
                    <w:pStyle w:val="TableText"/>
                    <w:rPr>
                      <w:rFonts w:eastAsia="Arial Narrow"/>
                      <w:sz w:val="20"/>
                      <w:szCs w:val="20"/>
                    </w:rPr>
                  </w:pPr>
                  <w:r w:rsidRPr="005D4222">
                    <w:rPr>
                      <w:rFonts w:eastAsia="Arial Narrow"/>
                      <w:sz w:val="20"/>
                      <w:szCs w:val="20"/>
                    </w:rPr>
                    <w:t>ObservedCount / Denominator (Percent)</w:t>
                  </w:r>
                </w:p>
              </w:tc>
            </w:tr>
            <w:tr w:rsidR="00B25234" w:rsidRPr="005D4222" w14:paraId="3B04807A" w14:textId="77777777" w:rsidTr="00A53E8C">
              <w:trPr>
                <w:cantSplit/>
              </w:trPr>
              <w:tc>
                <w:tcPr>
                  <w:tcW w:w="2156" w:type="dxa"/>
                  <w:tcBorders>
                    <w:top w:val="nil"/>
                    <w:left w:val="nil"/>
                    <w:bottom w:val="nil"/>
                    <w:right w:val="single" w:sz="4" w:space="0" w:color="000000"/>
                  </w:tcBorders>
                </w:tcPr>
                <w:p w14:paraId="6DE4DE9B" w14:textId="77777777" w:rsidR="00B25234" w:rsidRPr="005D4222" w:rsidRDefault="00B25234" w:rsidP="00A53E8C">
                  <w:pPr>
                    <w:pStyle w:val="TableText"/>
                    <w:rPr>
                      <w:sz w:val="20"/>
                      <w:szCs w:val="20"/>
                    </w:rPr>
                  </w:pPr>
                </w:p>
              </w:tc>
              <w:tc>
                <w:tcPr>
                  <w:tcW w:w="1800" w:type="dxa"/>
                  <w:tcBorders>
                    <w:top w:val="single" w:sz="4" w:space="0" w:color="000000"/>
                    <w:left w:val="single" w:sz="4" w:space="0" w:color="000000"/>
                    <w:bottom w:val="single" w:sz="4" w:space="0" w:color="000000"/>
                    <w:right w:val="single" w:sz="4" w:space="0" w:color="000000"/>
                  </w:tcBorders>
                </w:tcPr>
                <w:p w14:paraId="003CD8A6" w14:textId="77777777" w:rsidR="00B25234" w:rsidRPr="005D4222" w:rsidRDefault="00B25234" w:rsidP="00A53E8C">
                  <w:pPr>
                    <w:pStyle w:val="TableText"/>
                    <w:rPr>
                      <w:sz w:val="20"/>
                      <w:szCs w:val="20"/>
                    </w:rPr>
                  </w:pPr>
                  <w:r w:rsidRPr="005D4222">
                    <w:rPr>
                      <w:sz w:val="20"/>
                      <w:szCs w:val="20"/>
                    </w:rPr>
                    <w:t>LisDeAndDisability</w:t>
                  </w:r>
                </w:p>
              </w:tc>
              <w:tc>
                <w:tcPr>
                  <w:tcW w:w="720" w:type="dxa"/>
                  <w:tcBorders>
                    <w:top w:val="nil"/>
                    <w:left w:val="single" w:sz="4" w:space="0" w:color="000000"/>
                    <w:bottom w:val="nil"/>
                    <w:right w:val="single" w:sz="4" w:space="0" w:color="000000"/>
                  </w:tcBorders>
                  <w:shd w:val="clear" w:color="auto" w:fill="FFFFFF"/>
                </w:tcPr>
                <w:p w14:paraId="395000FE" w14:textId="77777777" w:rsidR="00B25234" w:rsidRPr="005D4222" w:rsidRDefault="00B25234" w:rsidP="00A53E8C">
                  <w:pPr>
                    <w:pStyle w:val="TableText"/>
                    <w:rPr>
                      <w:rFonts w:eastAsia="Arial Narrow"/>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4D42DBF4" w14:textId="77777777" w:rsidR="00B25234" w:rsidRPr="005D4222" w:rsidRDefault="00B25234" w:rsidP="00A53E8C">
                  <w:pPr>
                    <w:pStyle w:val="TableText"/>
                    <w:rPr>
                      <w:rFonts w:eastAsia="Arial Narrow"/>
                      <w:sz w:val="20"/>
                      <w:szCs w:val="20"/>
                    </w:rPr>
                  </w:pPr>
                  <w:r w:rsidRPr="005D4222">
                    <w:rPr>
                      <w:rFonts w:eastAsia="Arial Narrow"/>
                      <w:sz w:val="20"/>
                      <w:szCs w:val="20"/>
                    </w:rPr>
                    <w:t>ExpectedCount</w:t>
                  </w:r>
                </w:p>
              </w:tc>
              <w:tc>
                <w:tcPr>
                  <w:tcW w:w="1350" w:type="dxa"/>
                  <w:tcBorders>
                    <w:top w:val="single" w:sz="4" w:space="0" w:color="auto"/>
                    <w:left w:val="single" w:sz="4" w:space="0" w:color="000000"/>
                    <w:bottom w:val="single" w:sz="4" w:space="0" w:color="auto"/>
                    <w:right w:val="single" w:sz="4" w:space="0" w:color="auto"/>
                  </w:tcBorders>
                  <w:shd w:val="clear" w:color="auto" w:fill="FFFFFF"/>
                </w:tcPr>
                <w:p w14:paraId="18FCF30A" w14:textId="77777777" w:rsidR="00B25234" w:rsidRPr="005D4222" w:rsidRDefault="00B25234" w:rsidP="00A53E8C">
                  <w:pPr>
                    <w:pStyle w:val="TableText"/>
                    <w:rPr>
                      <w:rFonts w:eastAsia="Arial Narrow"/>
                      <w:sz w:val="20"/>
                      <w:szCs w:val="20"/>
                    </w:rPr>
                  </w:pPr>
                  <w:r w:rsidRPr="005D4222">
                    <w:rPr>
                      <w:rFonts w:eastAsia="Arial Narrow"/>
                      <w:sz w:val="20"/>
                      <w:szCs w:val="20"/>
                    </w:rPr>
                    <w:t>For each Stratification</w:t>
                  </w:r>
                </w:p>
              </w:tc>
            </w:tr>
            <w:tr w:rsidR="00B25234" w:rsidRPr="005D4222" w14:paraId="30E9821C" w14:textId="77777777" w:rsidTr="00A53E8C">
              <w:trPr>
                <w:cantSplit/>
              </w:trPr>
              <w:tc>
                <w:tcPr>
                  <w:tcW w:w="2156" w:type="dxa"/>
                  <w:tcBorders>
                    <w:top w:val="nil"/>
                    <w:left w:val="nil"/>
                    <w:bottom w:val="nil"/>
                    <w:right w:val="single" w:sz="4" w:space="0" w:color="000000"/>
                  </w:tcBorders>
                </w:tcPr>
                <w:p w14:paraId="36C1AADA" w14:textId="77777777" w:rsidR="00B25234" w:rsidRPr="005D4222" w:rsidRDefault="00B25234" w:rsidP="00A53E8C">
                  <w:pPr>
                    <w:pStyle w:val="TableText"/>
                    <w:rPr>
                      <w:sz w:val="20"/>
                      <w:szCs w:val="20"/>
                    </w:rPr>
                  </w:pPr>
                </w:p>
              </w:tc>
              <w:tc>
                <w:tcPr>
                  <w:tcW w:w="1800" w:type="dxa"/>
                  <w:tcBorders>
                    <w:top w:val="single" w:sz="4" w:space="0" w:color="000000"/>
                    <w:left w:val="single" w:sz="4" w:space="0" w:color="000000"/>
                    <w:bottom w:val="single" w:sz="4" w:space="0" w:color="000000"/>
                    <w:right w:val="single" w:sz="4" w:space="0" w:color="000000"/>
                  </w:tcBorders>
                </w:tcPr>
                <w:p w14:paraId="3EC44191" w14:textId="77777777" w:rsidR="00B25234" w:rsidRPr="005D4222" w:rsidRDefault="00B25234" w:rsidP="00A53E8C">
                  <w:pPr>
                    <w:pStyle w:val="TableText"/>
                    <w:rPr>
                      <w:sz w:val="20"/>
                      <w:szCs w:val="20"/>
                    </w:rPr>
                  </w:pPr>
                  <w:r w:rsidRPr="005D4222">
                    <w:rPr>
                      <w:sz w:val="20"/>
                      <w:szCs w:val="20"/>
                    </w:rPr>
                    <w:t>Other</w:t>
                  </w:r>
                </w:p>
              </w:tc>
              <w:tc>
                <w:tcPr>
                  <w:tcW w:w="720" w:type="dxa"/>
                  <w:tcBorders>
                    <w:top w:val="nil"/>
                    <w:left w:val="single" w:sz="4" w:space="0" w:color="000000"/>
                    <w:bottom w:val="nil"/>
                    <w:right w:val="single" w:sz="4" w:space="0" w:color="000000"/>
                  </w:tcBorders>
                  <w:shd w:val="clear" w:color="auto" w:fill="FFFFFF"/>
                </w:tcPr>
                <w:p w14:paraId="0A141F63" w14:textId="77777777" w:rsidR="00B25234" w:rsidRPr="005D4222" w:rsidRDefault="00B25234" w:rsidP="00A53E8C">
                  <w:pPr>
                    <w:pStyle w:val="TableText"/>
                    <w:rPr>
                      <w:rFonts w:eastAsia="Arial Narrow"/>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D9D9D9"/>
                </w:tcPr>
                <w:p w14:paraId="4104C5EC" w14:textId="77777777" w:rsidR="00B25234" w:rsidRPr="005D4222" w:rsidRDefault="00B25234" w:rsidP="00A53E8C">
                  <w:pPr>
                    <w:pStyle w:val="TableText"/>
                    <w:rPr>
                      <w:rFonts w:eastAsia="Arial Narrow"/>
                      <w:sz w:val="20"/>
                      <w:szCs w:val="20"/>
                    </w:rPr>
                  </w:pPr>
                  <w:r w:rsidRPr="005D4222">
                    <w:rPr>
                      <w:rFonts w:eastAsia="Arial Narrow"/>
                      <w:sz w:val="20"/>
                      <w:szCs w:val="20"/>
                    </w:rPr>
                    <w:t>ExpectedRate</w:t>
                  </w:r>
                </w:p>
              </w:tc>
              <w:tc>
                <w:tcPr>
                  <w:tcW w:w="1350" w:type="dxa"/>
                  <w:tcBorders>
                    <w:top w:val="single" w:sz="4" w:space="0" w:color="auto"/>
                    <w:left w:val="single" w:sz="4" w:space="0" w:color="000000"/>
                    <w:bottom w:val="single" w:sz="4" w:space="0" w:color="000000"/>
                    <w:right w:val="single" w:sz="4" w:space="0" w:color="auto"/>
                  </w:tcBorders>
                  <w:shd w:val="clear" w:color="auto" w:fill="D9D9D9"/>
                </w:tcPr>
                <w:p w14:paraId="6F29C7F9" w14:textId="77777777" w:rsidR="00B25234" w:rsidRPr="005D4222" w:rsidRDefault="00B25234" w:rsidP="00A53E8C">
                  <w:pPr>
                    <w:pStyle w:val="TableText"/>
                    <w:rPr>
                      <w:rFonts w:eastAsia="Arial Narrow"/>
                      <w:sz w:val="20"/>
                      <w:szCs w:val="20"/>
                    </w:rPr>
                  </w:pPr>
                  <w:r w:rsidRPr="005D4222">
                    <w:rPr>
                      <w:rFonts w:eastAsia="Arial Narrow"/>
                      <w:sz w:val="20"/>
                      <w:szCs w:val="20"/>
                    </w:rPr>
                    <w:t>ExpectedCount / Denominator (Percent)</w:t>
                  </w:r>
                </w:p>
              </w:tc>
            </w:tr>
            <w:tr w:rsidR="00B25234" w:rsidRPr="005D4222" w14:paraId="6A121CE4" w14:textId="77777777" w:rsidTr="00A53E8C">
              <w:trPr>
                <w:cantSplit/>
              </w:trPr>
              <w:tc>
                <w:tcPr>
                  <w:tcW w:w="2156" w:type="dxa"/>
                  <w:tcBorders>
                    <w:top w:val="nil"/>
                    <w:left w:val="nil"/>
                    <w:bottom w:val="nil"/>
                    <w:right w:val="single" w:sz="4" w:space="0" w:color="000000"/>
                  </w:tcBorders>
                </w:tcPr>
                <w:p w14:paraId="09314052" w14:textId="77777777" w:rsidR="00B25234" w:rsidRPr="005D4222" w:rsidRDefault="00B25234" w:rsidP="00A53E8C">
                  <w:pPr>
                    <w:pStyle w:val="TableText"/>
                    <w:rPr>
                      <w:sz w:val="20"/>
                      <w:szCs w:val="20"/>
                    </w:rPr>
                  </w:pPr>
                </w:p>
              </w:tc>
              <w:tc>
                <w:tcPr>
                  <w:tcW w:w="1800" w:type="dxa"/>
                  <w:tcBorders>
                    <w:top w:val="single" w:sz="4" w:space="0" w:color="000000"/>
                    <w:left w:val="single" w:sz="4" w:space="0" w:color="000000"/>
                    <w:bottom w:val="single" w:sz="4" w:space="0" w:color="000000"/>
                    <w:right w:val="single" w:sz="4" w:space="0" w:color="000000"/>
                  </w:tcBorders>
                </w:tcPr>
                <w:p w14:paraId="417D3C97" w14:textId="77777777" w:rsidR="00B25234" w:rsidRPr="005D4222" w:rsidRDefault="00B25234" w:rsidP="00A53E8C">
                  <w:pPr>
                    <w:pStyle w:val="TableText"/>
                    <w:rPr>
                      <w:sz w:val="20"/>
                      <w:szCs w:val="20"/>
                    </w:rPr>
                  </w:pPr>
                  <w:r w:rsidRPr="005D4222">
                    <w:rPr>
                      <w:sz w:val="20"/>
                      <w:szCs w:val="20"/>
                    </w:rPr>
                    <w:t>Unknown</w:t>
                  </w:r>
                </w:p>
              </w:tc>
              <w:tc>
                <w:tcPr>
                  <w:tcW w:w="720" w:type="dxa"/>
                  <w:tcBorders>
                    <w:top w:val="nil"/>
                    <w:left w:val="single" w:sz="4" w:space="0" w:color="000000"/>
                    <w:bottom w:val="nil"/>
                    <w:right w:val="single" w:sz="4" w:space="0" w:color="000000"/>
                  </w:tcBorders>
                  <w:shd w:val="clear" w:color="auto" w:fill="FFFFFF"/>
                </w:tcPr>
                <w:p w14:paraId="7C8A4C89" w14:textId="77777777" w:rsidR="00B25234" w:rsidRPr="005D4222" w:rsidRDefault="00B25234" w:rsidP="00A53E8C">
                  <w:pPr>
                    <w:pStyle w:val="TableText"/>
                    <w:rPr>
                      <w:rFonts w:eastAsia="Arial Narrow"/>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60A7223F" w14:textId="77777777" w:rsidR="00B25234" w:rsidRPr="005D4222" w:rsidRDefault="00B25234" w:rsidP="00A53E8C">
                  <w:pPr>
                    <w:pStyle w:val="TableText"/>
                    <w:rPr>
                      <w:rFonts w:eastAsia="Arial Narrow"/>
                      <w:sz w:val="20"/>
                      <w:szCs w:val="20"/>
                    </w:rPr>
                  </w:pPr>
                  <w:r w:rsidRPr="005D4222">
                    <w:rPr>
                      <w:rFonts w:eastAsia="Arial Narrow"/>
                      <w:sz w:val="20"/>
                      <w:szCs w:val="20"/>
                    </w:rPr>
                    <w:t>CountVariance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06D9BC1B" w14:textId="77777777" w:rsidR="00B25234" w:rsidRPr="005D4222" w:rsidRDefault="00B25234" w:rsidP="00A53E8C">
                  <w:pPr>
                    <w:pStyle w:val="TableText"/>
                    <w:rPr>
                      <w:rFonts w:eastAsia="Arial Narrow"/>
                      <w:sz w:val="20"/>
                      <w:szCs w:val="20"/>
                    </w:rPr>
                  </w:pPr>
                  <w:r w:rsidRPr="005D4222">
                    <w:rPr>
                      <w:rFonts w:eastAsia="Arial Narrow"/>
                      <w:sz w:val="20"/>
                      <w:szCs w:val="20"/>
                    </w:rPr>
                    <w:t>For each Stratification</w:t>
                  </w:r>
                </w:p>
              </w:tc>
            </w:tr>
          </w:tbl>
          <w:p w14:paraId="53EB42CD" w14:textId="34308343" w:rsidR="00B25234" w:rsidRPr="005D4222" w:rsidRDefault="00B25234" w:rsidP="00A53E8C">
            <w:pPr>
              <w:pStyle w:val="Heading3"/>
              <w:rPr>
                <w:rFonts w:eastAsia="Arial,Times New Roman"/>
              </w:rPr>
            </w:pPr>
            <w:r w:rsidRPr="005D4222">
              <w:rPr>
                <w:rFonts w:eastAsia="Arial,Times New Roman"/>
              </w:rPr>
              <w:t>Table PCR</w:t>
            </w:r>
            <w:r w:rsidRPr="005D4222" w:rsidDel="003D01B4">
              <w:rPr>
                <w:rFonts w:eastAsia="Arial,Times New Roman"/>
              </w:rPr>
              <w:t>-</w:t>
            </w:r>
            <w:r w:rsidRPr="005D4222">
              <w:rPr>
                <w:rFonts w:eastAsia="Arial,Times New Roman"/>
              </w:rPr>
              <w:t xml:space="preserve">C-3: Data Elements for Plan All-Cause Readmissions for Skilled Nursing Care </w:t>
            </w:r>
            <w:r w:rsidR="00B51CDC" w:rsidRPr="005D4222">
              <w:rPr>
                <w:rFonts w:eastAsia="Arial,Times New Roman"/>
              </w:rPr>
              <w:t>Stratifications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639"/>
              <w:gridCol w:w="751"/>
              <w:gridCol w:w="1434"/>
              <w:gridCol w:w="3551"/>
            </w:tblGrid>
            <w:tr w:rsidR="00B25234" w:rsidRPr="005D4222" w14:paraId="35BAD6BF" w14:textId="77777777" w:rsidTr="00A53E8C">
              <w:trPr>
                <w:cantSplit/>
                <w:trHeight w:val="243"/>
              </w:trPr>
              <w:tc>
                <w:tcPr>
                  <w:tcW w:w="1399" w:type="dxa"/>
                  <w:tcBorders>
                    <w:top w:val="single" w:sz="4" w:space="0" w:color="auto"/>
                    <w:left w:val="single" w:sz="4" w:space="0" w:color="auto"/>
                    <w:bottom w:val="single" w:sz="4" w:space="0" w:color="000000" w:themeColor="text1"/>
                    <w:right w:val="single" w:sz="4" w:space="0" w:color="FFFFFF" w:themeColor="background1"/>
                  </w:tcBorders>
                  <w:shd w:val="clear" w:color="auto" w:fill="000000" w:themeFill="text1"/>
                  <w:tcMar>
                    <w:left w:w="72" w:type="dxa"/>
                    <w:right w:w="72" w:type="dxa"/>
                  </w:tcMar>
                </w:tcPr>
                <w:p w14:paraId="036E8280" w14:textId="77777777" w:rsidR="00B25234" w:rsidRPr="005D4222" w:rsidRDefault="00B25234" w:rsidP="00A53E8C">
                  <w:pPr>
                    <w:pStyle w:val="TableHead"/>
                    <w:rPr>
                      <w:rFonts w:eastAsia="Arial Narrow"/>
                    </w:rPr>
                  </w:pPr>
                  <w:r w:rsidRPr="005D4222">
                    <w:rPr>
                      <w:rFonts w:eastAsia="Arial Narrow"/>
                    </w:rPr>
                    <w:t>Metric</w:t>
                  </w:r>
                </w:p>
              </w:tc>
              <w:tc>
                <w:tcPr>
                  <w:tcW w:w="641"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cMar>
                    <w:left w:w="72" w:type="dxa"/>
                    <w:right w:w="72" w:type="dxa"/>
                  </w:tcMar>
                </w:tcPr>
                <w:p w14:paraId="41911BAD" w14:textId="77777777" w:rsidR="00B25234" w:rsidRPr="005D4222" w:rsidRDefault="00B25234" w:rsidP="00A53E8C">
                  <w:pPr>
                    <w:pStyle w:val="TableHead"/>
                    <w:rPr>
                      <w:rFonts w:eastAsia="Arial Narrow"/>
                    </w:rPr>
                  </w:pPr>
                  <w:r w:rsidRPr="005D4222">
                    <w:rPr>
                      <w:rFonts w:eastAsia="Arial Narrow"/>
                    </w:rPr>
                    <w:t>Age</w:t>
                  </w:r>
                </w:p>
              </w:tc>
              <w:tc>
                <w:tcPr>
                  <w:tcW w:w="1224" w:type="dxa"/>
                  <w:tcBorders>
                    <w:top w:val="single" w:sz="4" w:space="0" w:color="auto"/>
                    <w:left w:val="single" w:sz="4" w:space="0" w:color="FFFFFF" w:themeColor="background1"/>
                    <w:right w:val="single" w:sz="6" w:space="0" w:color="FFFFFF" w:themeColor="background1"/>
                  </w:tcBorders>
                  <w:shd w:val="clear" w:color="auto" w:fill="000000" w:themeFill="text1"/>
                  <w:tcMar>
                    <w:left w:w="72" w:type="dxa"/>
                    <w:right w:w="72" w:type="dxa"/>
                  </w:tcMar>
                  <w:vAlign w:val="bottom"/>
                </w:tcPr>
                <w:p w14:paraId="76DF9802" w14:textId="77777777" w:rsidR="00B25234" w:rsidRPr="005D4222" w:rsidRDefault="00B25234" w:rsidP="00A53E8C">
                  <w:pPr>
                    <w:pStyle w:val="TableHead"/>
                    <w:rPr>
                      <w:rFonts w:eastAsia="Arial Narrow"/>
                    </w:rPr>
                  </w:pPr>
                  <w:r w:rsidRPr="005D4222">
                    <w:rPr>
                      <w:rFonts w:eastAsia="Arial Narrow"/>
                    </w:rPr>
                    <w:t xml:space="preserve">Data Element </w:t>
                  </w:r>
                </w:p>
              </w:tc>
              <w:tc>
                <w:tcPr>
                  <w:tcW w:w="3031" w:type="dxa"/>
                  <w:tcBorders>
                    <w:top w:val="single" w:sz="4" w:space="0" w:color="auto"/>
                    <w:left w:val="single" w:sz="6" w:space="0" w:color="FFFFFF" w:themeColor="background1"/>
                    <w:right w:val="single" w:sz="4" w:space="0" w:color="auto"/>
                  </w:tcBorders>
                  <w:shd w:val="clear" w:color="auto" w:fill="000000" w:themeFill="text1"/>
                  <w:tcMar>
                    <w:left w:w="72" w:type="dxa"/>
                    <w:right w:w="72" w:type="dxa"/>
                  </w:tcMar>
                  <w:vAlign w:val="bottom"/>
                </w:tcPr>
                <w:p w14:paraId="7AD76E99" w14:textId="77777777" w:rsidR="00B25234" w:rsidRPr="005D4222" w:rsidRDefault="00B25234" w:rsidP="00A53E8C">
                  <w:pPr>
                    <w:pStyle w:val="TableHead"/>
                    <w:rPr>
                      <w:rFonts w:eastAsia="Arial Narrow"/>
                    </w:rPr>
                  </w:pPr>
                  <w:r w:rsidRPr="005D4222">
                    <w:rPr>
                      <w:rFonts w:eastAsia="Arial Narrow"/>
                    </w:rPr>
                    <w:t>Reporting Instructions</w:t>
                  </w:r>
                </w:p>
              </w:tc>
            </w:tr>
            <w:tr w:rsidR="00B25234" w:rsidRPr="005D4222" w14:paraId="0768AF9C" w14:textId="77777777" w:rsidTr="00A53E8C">
              <w:trPr>
                <w:cantSplit/>
              </w:trPr>
              <w:tc>
                <w:tcPr>
                  <w:tcW w:w="1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2" w:type="dxa"/>
                    <w:right w:w="72" w:type="dxa"/>
                  </w:tcMar>
                </w:tcPr>
                <w:p w14:paraId="5BCD3E45" w14:textId="77777777" w:rsidR="00B25234" w:rsidRPr="005D4222" w:rsidRDefault="00B25234" w:rsidP="00A53E8C">
                  <w:pPr>
                    <w:pStyle w:val="TableText"/>
                    <w:rPr>
                      <w:rFonts w:eastAsia="Arial Narrow"/>
                    </w:rPr>
                  </w:pPr>
                  <w:r w:rsidRPr="005D4222">
                    <w:t>SkilledNursingCare</w:t>
                  </w:r>
                </w:p>
              </w:tc>
              <w:tc>
                <w:tcPr>
                  <w:tcW w:w="641" w:type="dxa"/>
                  <w:tcBorders>
                    <w:left w:val="single" w:sz="4" w:space="0" w:color="000000" w:themeColor="text1"/>
                    <w:bottom w:val="single" w:sz="4" w:space="0" w:color="000000" w:themeColor="text1"/>
                  </w:tcBorders>
                  <w:tcMar>
                    <w:left w:w="72" w:type="dxa"/>
                    <w:right w:w="72" w:type="dxa"/>
                  </w:tcMar>
                </w:tcPr>
                <w:p w14:paraId="6BDAB195" w14:textId="77777777" w:rsidR="00B25234" w:rsidRPr="005D4222" w:rsidRDefault="00B25234" w:rsidP="00A53E8C">
                  <w:pPr>
                    <w:pStyle w:val="TableText"/>
                    <w:rPr>
                      <w:rFonts w:eastAsia="Arial Narrow"/>
                    </w:rPr>
                  </w:pPr>
                  <w:r w:rsidRPr="005D4222">
                    <w:rPr>
                      <w:rFonts w:eastAsia="Arial Narrow"/>
                    </w:rPr>
                    <w:t>65-74</w:t>
                  </w:r>
                </w:p>
              </w:tc>
              <w:tc>
                <w:tcPr>
                  <w:tcW w:w="1224" w:type="dxa"/>
                  <w:tcBorders>
                    <w:bottom w:val="single" w:sz="4" w:space="0" w:color="auto"/>
                  </w:tcBorders>
                  <w:tcMar>
                    <w:left w:w="72" w:type="dxa"/>
                    <w:right w:w="72" w:type="dxa"/>
                  </w:tcMar>
                </w:tcPr>
                <w:p w14:paraId="3FDB9D23" w14:textId="77777777" w:rsidR="00B25234" w:rsidRPr="005D4222" w:rsidRDefault="00B25234" w:rsidP="00A53E8C">
                  <w:pPr>
                    <w:pStyle w:val="TableText"/>
                    <w:rPr>
                      <w:rFonts w:eastAsia="Arial Narrow"/>
                    </w:rPr>
                  </w:pPr>
                  <w:r w:rsidRPr="005D4222">
                    <w:rPr>
                      <w:rFonts w:eastAsia="Arial Narrow"/>
                    </w:rPr>
                    <w:t>Denominator</w:t>
                  </w:r>
                </w:p>
              </w:tc>
              <w:tc>
                <w:tcPr>
                  <w:tcW w:w="3031" w:type="dxa"/>
                  <w:tcBorders>
                    <w:bottom w:val="single" w:sz="4" w:space="0" w:color="auto"/>
                  </w:tcBorders>
                  <w:tcMar>
                    <w:left w:w="72" w:type="dxa"/>
                    <w:right w:w="72" w:type="dxa"/>
                  </w:tcMar>
                </w:tcPr>
                <w:p w14:paraId="672812DE" w14:textId="77777777" w:rsidR="00B25234" w:rsidRPr="005D4222" w:rsidRDefault="00B25234" w:rsidP="00A53E8C">
                  <w:pPr>
                    <w:pStyle w:val="TableText"/>
                    <w:rPr>
                      <w:rFonts w:eastAsia="Arial Narrow"/>
                    </w:rPr>
                  </w:pPr>
                  <w:r w:rsidRPr="005D4222">
                    <w:rPr>
                      <w:rFonts w:eastAsia="Arial Narrow"/>
                    </w:rPr>
                    <w:t>For each Stratification</w:t>
                  </w:r>
                </w:p>
              </w:tc>
            </w:tr>
            <w:tr w:rsidR="00B25234" w:rsidRPr="005D4222" w14:paraId="34E770B6" w14:textId="77777777" w:rsidTr="00A53E8C">
              <w:trPr>
                <w:cantSplit/>
              </w:trPr>
              <w:tc>
                <w:tcPr>
                  <w:tcW w:w="1399" w:type="dxa"/>
                  <w:tcBorders>
                    <w:top w:val="single" w:sz="4" w:space="0" w:color="000000" w:themeColor="text1"/>
                    <w:left w:val="nil"/>
                    <w:bottom w:val="nil"/>
                    <w:right w:val="single" w:sz="4" w:space="0" w:color="000000" w:themeColor="text1"/>
                  </w:tcBorders>
                  <w:tcMar>
                    <w:left w:w="72" w:type="dxa"/>
                    <w:right w:w="72" w:type="dxa"/>
                  </w:tcMar>
                </w:tcPr>
                <w:p w14:paraId="5625A8CC" w14:textId="77777777" w:rsidR="00B25234" w:rsidRPr="005D4222" w:rsidRDefault="00B25234" w:rsidP="00A53E8C">
                  <w:pPr>
                    <w:pStyle w:val="TableText"/>
                    <w:rPr>
                      <w:rFonts w:eastAsia="Arial Narrow"/>
                    </w:rPr>
                  </w:pPr>
                </w:p>
              </w:tc>
              <w:tc>
                <w:tcPr>
                  <w:tcW w:w="6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2" w:type="dxa"/>
                    <w:right w:w="72" w:type="dxa"/>
                  </w:tcMar>
                </w:tcPr>
                <w:p w14:paraId="7DC96BA1" w14:textId="77777777" w:rsidR="00B25234" w:rsidRPr="005D4222" w:rsidRDefault="00B25234" w:rsidP="00A53E8C">
                  <w:pPr>
                    <w:pStyle w:val="TableText"/>
                    <w:rPr>
                      <w:rFonts w:eastAsia="Arial Narrow"/>
                    </w:rPr>
                  </w:pPr>
                  <w:r w:rsidRPr="005D4222">
                    <w:rPr>
                      <w:rFonts w:eastAsia="Arial Narrow"/>
                    </w:rPr>
                    <w:t>75-84</w:t>
                  </w:r>
                </w:p>
              </w:tc>
              <w:tc>
                <w:tcPr>
                  <w:tcW w:w="1224" w:type="dxa"/>
                  <w:tcBorders>
                    <w:left w:val="single" w:sz="4" w:space="0" w:color="000000" w:themeColor="text1"/>
                    <w:bottom w:val="single" w:sz="4" w:space="0" w:color="auto"/>
                  </w:tcBorders>
                  <w:shd w:val="clear" w:color="auto" w:fill="FFFFFF" w:themeFill="background1"/>
                  <w:tcMar>
                    <w:left w:w="72" w:type="dxa"/>
                    <w:right w:w="72" w:type="dxa"/>
                  </w:tcMar>
                </w:tcPr>
                <w:p w14:paraId="3332F14E" w14:textId="77777777" w:rsidR="00B25234" w:rsidRPr="005D4222" w:rsidRDefault="00B25234" w:rsidP="00A53E8C">
                  <w:pPr>
                    <w:pStyle w:val="TableText"/>
                    <w:rPr>
                      <w:rFonts w:eastAsia="Arial Narrow"/>
                    </w:rPr>
                  </w:pPr>
                  <w:r w:rsidRPr="005D4222">
                    <w:rPr>
                      <w:rFonts w:eastAsia="Arial Narrow"/>
                    </w:rPr>
                    <w:t>ObservedCount</w:t>
                  </w:r>
                </w:p>
              </w:tc>
              <w:tc>
                <w:tcPr>
                  <w:tcW w:w="3031" w:type="dxa"/>
                  <w:tcBorders>
                    <w:bottom w:val="single" w:sz="4" w:space="0" w:color="auto"/>
                  </w:tcBorders>
                  <w:shd w:val="clear" w:color="auto" w:fill="FFFFFF" w:themeFill="background1"/>
                  <w:tcMar>
                    <w:left w:w="72" w:type="dxa"/>
                    <w:right w:w="72" w:type="dxa"/>
                  </w:tcMar>
                </w:tcPr>
                <w:p w14:paraId="446013E1" w14:textId="77777777" w:rsidR="00B25234" w:rsidRPr="005D4222" w:rsidRDefault="00B25234" w:rsidP="00A53E8C">
                  <w:pPr>
                    <w:pStyle w:val="TableText"/>
                    <w:rPr>
                      <w:rFonts w:eastAsia="Arial Narrow"/>
                    </w:rPr>
                  </w:pPr>
                  <w:r w:rsidRPr="005D4222">
                    <w:rPr>
                      <w:rFonts w:eastAsia="Arial Narrow"/>
                    </w:rPr>
                    <w:t>For each Stratification</w:t>
                  </w:r>
                </w:p>
              </w:tc>
            </w:tr>
            <w:tr w:rsidR="00B25234" w:rsidRPr="005D4222" w14:paraId="2AD9D4D8" w14:textId="77777777" w:rsidTr="00A53E8C">
              <w:trPr>
                <w:cantSplit/>
              </w:trPr>
              <w:tc>
                <w:tcPr>
                  <w:tcW w:w="1399" w:type="dxa"/>
                  <w:tcBorders>
                    <w:top w:val="nil"/>
                    <w:left w:val="nil"/>
                    <w:bottom w:val="nil"/>
                    <w:right w:val="single" w:sz="4" w:space="0" w:color="000000" w:themeColor="text1"/>
                  </w:tcBorders>
                  <w:tcMar>
                    <w:left w:w="72" w:type="dxa"/>
                    <w:right w:w="72" w:type="dxa"/>
                  </w:tcMar>
                  <w:vAlign w:val="bottom"/>
                </w:tcPr>
                <w:p w14:paraId="2DDBC505" w14:textId="77777777" w:rsidR="00B25234" w:rsidRPr="005D4222" w:rsidRDefault="00B25234" w:rsidP="00A53E8C">
                  <w:pPr>
                    <w:pStyle w:val="TableText"/>
                    <w:rPr>
                      <w:rFonts w:eastAsia="Arial Narrow"/>
                    </w:rPr>
                  </w:pPr>
                </w:p>
              </w:tc>
              <w:tc>
                <w:tcPr>
                  <w:tcW w:w="641" w:type="dxa"/>
                  <w:tcBorders>
                    <w:top w:val="single" w:sz="4" w:space="0" w:color="000000" w:themeColor="text1"/>
                    <w:left w:val="single" w:sz="4" w:space="0" w:color="000000" w:themeColor="text1"/>
                    <w:bottom w:val="single" w:sz="4" w:space="0" w:color="auto"/>
                    <w:right w:val="single" w:sz="4" w:space="0" w:color="000000" w:themeColor="text1"/>
                  </w:tcBorders>
                  <w:tcMar>
                    <w:left w:w="72" w:type="dxa"/>
                    <w:right w:w="72" w:type="dxa"/>
                  </w:tcMar>
                </w:tcPr>
                <w:p w14:paraId="63220E8E" w14:textId="77777777" w:rsidR="00B25234" w:rsidRPr="005D4222" w:rsidRDefault="00B25234" w:rsidP="00A53E8C">
                  <w:pPr>
                    <w:pStyle w:val="TableText"/>
                    <w:rPr>
                      <w:rFonts w:eastAsia="Arial Narrow"/>
                    </w:rPr>
                  </w:pPr>
                  <w:r w:rsidRPr="005D4222">
                    <w:rPr>
                      <w:rFonts w:eastAsia="Arial Narrow"/>
                    </w:rPr>
                    <w:t>85+</w:t>
                  </w:r>
                </w:p>
              </w:tc>
              <w:tc>
                <w:tcPr>
                  <w:tcW w:w="1224" w:type="dxa"/>
                  <w:tcBorders>
                    <w:top w:val="single" w:sz="4" w:space="0" w:color="auto"/>
                    <w:left w:val="single" w:sz="4" w:space="0" w:color="000000" w:themeColor="text1"/>
                    <w:bottom w:val="single" w:sz="4" w:space="0" w:color="auto"/>
                    <w:right w:val="single" w:sz="4" w:space="0" w:color="auto"/>
                  </w:tcBorders>
                  <w:shd w:val="clear" w:color="auto" w:fill="D9D9D9" w:themeFill="background1" w:themeFillShade="D9"/>
                  <w:tcMar>
                    <w:left w:w="72" w:type="dxa"/>
                    <w:right w:w="72" w:type="dxa"/>
                  </w:tcMar>
                </w:tcPr>
                <w:p w14:paraId="2C955134" w14:textId="77777777" w:rsidR="00B25234" w:rsidRPr="005D4222" w:rsidRDefault="00B25234" w:rsidP="00A53E8C">
                  <w:pPr>
                    <w:pStyle w:val="TableText"/>
                    <w:rPr>
                      <w:rFonts w:eastAsia="Arial Narrow"/>
                      <w:szCs w:val="21"/>
                    </w:rPr>
                  </w:pPr>
                  <w:r w:rsidRPr="005D4222">
                    <w:rPr>
                      <w:rFonts w:eastAsia="Arial Narrow"/>
                    </w:rPr>
                    <w:t>ObservedRate</w:t>
                  </w:r>
                </w:p>
              </w:tc>
              <w:tc>
                <w:tcPr>
                  <w:tcW w:w="303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7758F5C7" w14:textId="77777777" w:rsidR="00B25234" w:rsidRPr="005D4222" w:rsidRDefault="00B25234" w:rsidP="00A53E8C">
                  <w:pPr>
                    <w:pStyle w:val="TableText"/>
                    <w:rPr>
                      <w:rFonts w:eastAsia="Arial Narrow"/>
                    </w:rPr>
                  </w:pPr>
                  <w:r w:rsidRPr="005D4222">
                    <w:rPr>
                      <w:rFonts w:eastAsia="Arial Narrow"/>
                    </w:rPr>
                    <w:t>ObservedCount / Denominator (Percent)</w:t>
                  </w:r>
                </w:p>
              </w:tc>
            </w:tr>
            <w:tr w:rsidR="00B25234" w:rsidRPr="005D4222" w14:paraId="20EC0990" w14:textId="77777777" w:rsidTr="00A53E8C">
              <w:trPr>
                <w:cantSplit/>
              </w:trPr>
              <w:tc>
                <w:tcPr>
                  <w:tcW w:w="1399" w:type="dxa"/>
                  <w:tcBorders>
                    <w:top w:val="nil"/>
                    <w:left w:val="nil"/>
                    <w:bottom w:val="nil"/>
                    <w:right w:val="single" w:sz="4" w:space="0" w:color="auto"/>
                  </w:tcBorders>
                  <w:tcMar>
                    <w:left w:w="72" w:type="dxa"/>
                    <w:right w:w="72" w:type="dxa"/>
                  </w:tcMar>
                  <w:vAlign w:val="bottom"/>
                </w:tcPr>
                <w:p w14:paraId="01C73E8F" w14:textId="77777777" w:rsidR="00B25234" w:rsidRPr="005D4222" w:rsidRDefault="00B25234" w:rsidP="00A53E8C">
                  <w:pPr>
                    <w:pStyle w:val="TableText"/>
                  </w:pPr>
                </w:p>
              </w:tc>
              <w:tc>
                <w:tcPr>
                  <w:tcW w:w="6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53B7B07E" w14:textId="77777777" w:rsidR="00B25234" w:rsidRPr="005D4222" w:rsidRDefault="00B25234" w:rsidP="00A53E8C">
                  <w:pPr>
                    <w:pStyle w:val="TableText"/>
                    <w:rPr>
                      <w:rFonts w:eastAsia="Arial Narrow"/>
                    </w:rPr>
                  </w:pPr>
                  <w:r w:rsidRPr="005D4222">
                    <w:rPr>
                      <w:rFonts w:eastAsia="Arial Narrow"/>
                    </w:rPr>
                    <w:t>65+</w:t>
                  </w:r>
                </w:p>
              </w:tc>
              <w:tc>
                <w:tcPr>
                  <w:tcW w:w="1224"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48FAA2A0" w14:textId="77777777" w:rsidR="00B25234" w:rsidRPr="005D4222" w:rsidRDefault="00B25234" w:rsidP="00A53E8C">
                  <w:pPr>
                    <w:pStyle w:val="TableText"/>
                    <w:rPr>
                      <w:rFonts w:eastAsia="Arial Narrow"/>
                    </w:rPr>
                  </w:pPr>
                  <w:r w:rsidRPr="005D4222">
                    <w:rPr>
                      <w:rFonts w:eastAsia="Arial Narrow"/>
                    </w:rPr>
                    <w:t>ExpectedCount</w:t>
                  </w:r>
                </w:p>
              </w:tc>
              <w:tc>
                <w:tcPr>
                  <w:tcW w:w="3031"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523D9E3A" w14:textId="77777777" w:rsidR="00B25234" w:rsidRPr="005D4222" w:rsidRDefault="00B25234" w:rsidP="00A53E8C">
                  <w:pPr>
                    <w:pStyle w:val="TableText"/>
                    <w:rPr>
                      <w:rFonts w:eastAsia="Arial Narrow"/>
                    </w:rPr>
                  </w:pPr>
                  <w:r w:rsidRPr="005D4222">
                    <w:rPr>
                      <w:rFonts w:eastAsia="Arial Narrow"/>
                    </w:rPr>
                    <w:t>For each Stratification</w:t>
                  </w:r>
                </w:p>
              </w:tc>
            </w:tr>
            <w:tr w:rsidR="00B25234" w:rsidRPr="005D4222" w14:paraId="0F7F14EF" w14:textId="77777777" w:rsidTr="00A53E8C">
              <w:trPr>
                <w:cantSplit/>
              </w:trPr>
              <w:tc>
                <w:tcPr>
                  <w:tcW w:w="1399" w:type="dxa"/>
                  <w:tcBorders>
                    <w:top w:val="nil"/>
                    <w:left w:val="nil"/>
                    <w:bottom w:val="nil"/>
                    <w:right w:val="nil"/>
                  </w:tcBorders>
                  <w:tcMar>
                    <w:left w:w="72" w:type="dxa"/>
                    <w:right w:w="72" w:type="dxa"/>
                  </w:tcMar>
                  <w:vAlign w:val="bottom"/>
                </w:tcPr>
                <w:p w14:paraId="1A37A1C5" w14:textId="77777777" w:rsidR="00B25234" w:rsidRPr="005D4222" w:rsidRDefault="00B25234" w:rsidP="00A53E8C">
                  <w:pPr>
                    <w:pStyle w:val="TableText"/>
                  </w:pPr>
                </w:p>
              </w:tc>
              <w:tc>
                <w:tcPr>
                  <w:tcW w:w="641" w:type="dxa"/>
                  <w:tcBorders>
                    <w:top w:val="single" w:sz="4" w:space="0" w:color="auto"/>
                    <w:left w:val="nil"/>
                    <w:bottom w:val="nil"/>
                    <w:right w:val="single" w:sz="4" w:space="0" w:color="auto"/>
                  </w:tcBorders>
                  <w:tcMar>
                    <w:left w:w="72" w:type="dxa"/>
                    <w:right w:w="72" w:type="dxa"/>
                  </w:tcMar>
                </w:tcPr>
                <w:p w14:paraId="6345CED7" w14:textId="77777777" w:rsidR="00B25234" w:rsidRPr="005D4222" w:rsidRDefault="00B25234" w:rsidP="00A53E8C">
                  <w:pPr>
                    <w:pStyle w:val="TableText"/>
                    <w:rPr>
                      <w:rFonts w:eastAsia="Arial Narrow"/>
                    </w:rPr>
                  </w:pPr>
                </w:p>
              </w:tc>
              <w:tc>
                <w:tcPr>
                  <w:tcW w:w="1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081D0ADD" w14:textId="77777777" w:rsidR="00B25234" w:rsidRPr="005D4222" w:rsidRDefault="00B25234" w:rsidP="00A53E8C">
                  <w:pPr>
                    <w:pStyle w:val="TableText"/>
                    <w:rPr>
                      <w:rFonts w:eastAsia="Arial Narrow"/>
                    </w:rPr>
                  </w:pPr>
                  <w:r w:rsidRPr="005D4222">
                    <w:rPr>
                      <w:rFonts w:eastAsia="Arial Narrow"/>
                    </w:rPr>
                    <w:t>ExpectedRate</w:t>
                  </w:r>
                </w:p>
              </w:tc>
              <w:tc>
                <w:tcPr>
                  <w:tcW w:w="303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5D368452" w14:textId="77777777" w:rsidR="00B25234" w:rsidRPr="005D4222" w:rsidRDefault="00B25234" w:rsidP="00A53E8C">
                  <w:pPr>
                    <w:pStyle w:val="TableText"/>
                    <w:rPr>
                      <w:rFonts w:eastAsia="Arial Narrow"/>
                    </w:rPr>
                  </w:pPr>
                  <w:r w:rsidRPr="005D4222">
                    <w:rPr>
                      <w:rFonts w:eastAsia="Arial Narrow"/>
                    </w:rPr>
                    <w:t>ExpectedCount / Denominator (Percent)</w:t>
                  </w:r>
                </w:p>
              </w:tc>
            </w:tr>
            <w:tr w:rsidR="00B25234" w:rsidRPr="005D4222" w14:paraId="4D6BA87F" w14:textId="77777777" w:rsidTr="00A53E8C">
              <w:trPr>
                <w:cantSplit/>
              </w:trPr>
              <w:tc>
                <w:tcPr>
                  <w:tcW w:w="1399" w:type="dxa"/>
                  <w:tcBorders>
                    <w:top w:val="nil"/>
                    <w:left w:val="nil"/>
                    <w:bottom w:val="nil"/>
                    <w:right w:val="nil"/>
                  </w:tcBorders>
                  <w:tcMar>
                    <w:left w:w="72" w:type="dxa"/>
                    <w:right w:w="72" w:type="dxa"/>
                  </w:tcMar>
                  <w:vAlign w:val="bottom"/>
                </w:tcPr>
                <w:p w14:paraId="1952D1D2" w14:textId="77777777" w:rsidR="00B25234" w:rsidRPr="005D4222" w:rsidRDefault="00B25234" w:rsidP="00A53E8C">
                  <w:pPr>
                    <w:pStyle w:val="TableText"/>
                  </w:pPr>
                </w:p>
              </w:tc>
              <w:tc>
                <w:tcPr>
                  <w:tcW w:w="641" w:type="dxa"/>
                  <w:tcBorders>
                    <w:top w:val="nil"/>
                    <w:left w:val="nil"/>
                    <w:bottom w:val="nil"/>
                    <w:right w:val="single" w:sz="4" w:space="0" w:color="auto"/>
                  </w:tcBorders>
                  <w:tcMar>
                    <w:left w:w="72" w:type="dxa"/>
                    <w:right w:w="72" w:type="dxa"/>
                  </w:tcMar>
                </w:tcPr>
                <w:p w14:paraId="19481339" w14:textId="77777777" w:rsidR="00B25234" w:rsidRPr="005D4222" w:rsidRDefault="00B25234" w:rsidP="00A53E8C">
                  <w:pPr>
                    <w:pStyle w:val="TableText"/>
                    <w:rPr>
                      <w:rFonts w:eastAsia="Arial Narrow"/>
                    </w:rPr>
                  </w:pPr>
                </w:p>
              </w:tc>
              <w:tc>
                <w:tcPr>
                  <w:tcW w:w="1224" w:type="dxa"/>
                  <w:tcBorders>
                    <w:top w:val="single" w:sz="4" w:space="0" w:color="auto"/>
                    <w:left w:val="single" w:sz="4" w:space="0" w:color="auto"/>
                    <w:bottom w:val="single" w:sz="4" w:space="0" w:color="auto"/>
                    <w:right w:val="single" w:sz="4" w:space="0" w:color="auto"/>
                  </w:tcBorders>
                  <w:tcMar>
                    <w:left w:w="72" w:type="dxa"/>
                    <w:right w:w="72" w:type="dxa"/>
                  </w:tcMar>
                </w:tcPr>
                <w:p w14:paraId="7D163271" w14:textId="77777777" w:rsidR="00B25234" w:rsidRPr="005D4222" w:rsidRDefault="00B25234" w:rsidP="00A53E8C">
                  <w:pPr>
                    <w:pStyle w:val="TableText"/>
                    <w:rPr>
                      <w:rFonts w:eastAsia="Arial Narrow"/>
                    </w:rPr>
                  </w:pPr>
                  <w:r w:rsidRPr="005D4222">
                    <w:rPr>
                      <w:rFonts w:eastAsia="Arial Narrow"/>
                    </w:rPr>
                    <w:t>CountVariance</w:t>
                  </w:r>
                </w:p>
              </w:tc>
              <w:tc>
                <w:tcPr>
                  <w:tcW w:w="3031" w:type="dxa"/>
                  <w:tcBorders>
                    <w:top w:val="single" w:sz="4" w:space="0" w:color="auto"/>
                    <w:left w:val="single" w:sz="4" w:space="0" w:color="auto"/>
                    <w:bottom w:val="single" w:sz="4" w:space="0" w:color="auto"/>
                    <w:right w:val="single" w:sz="4" w:space="0" w:color="auto"/>
                  </w:tcBorders>
                  <w:tcMar>
                    <w:left w:w="72" w:type="dxa"/>
                    <w:right w:w="72" w:type="dxa"/>
                  </w:tcMar>
                </w:tcPr>
                <w:p w14:paraId="579A16DB" w14:textId="77777777" w:rsidR="00B25234" w:rsidRPr="005D4222" w:rsidRDefault="00B25234" w:rsidP="00A53E8C">
                  <w:pPr>
                    <w:pStyle w:val="TableText"/>
                    <w:rPr>
                      <w:rFonts w:eastAsia="Arial Narrow"/>
                    </w:rPr>
                  </w:pPr>
                  <w:r w:rsidRPr="005D4222">
                    <w:rPr>
                      <w:rFonts w:eastAsia="Arial Narrow"/>
                    </w:rPr>
                    <w:t>For each Stratification</w:t>
                  </w:r>
                </w:p>
              </w:tc>
            </w:tr>
            <w:tr w:rsidR="00B25234" w:rsidRPr="005D4222" w14:paraId="3EF78D8F" w14:textId="77777777" w:rsidTr="00A53E8C">
              <w:trPr>
                <w:cantSplit/>
              </w:trPr>
              <w:tc>
                <w:tcPr>
                  <w:tcW w:w="1399" w:type="dxa"/>
                  <w:tcBorders>
                    <w:top w:val="nil"/>
                    <w:left w:val="nil"/>
                    <w:bottom w:val="nil"/>
                    <w:right w:val="nil"/>
                  </w:tcBorders>
                  <w:tcMar>
                    <w:left w:w="72" w:type="dxa"/>
                    <w:right w:w="72" w:type="dxa"/>
                  </w:tcMar>
                  <w:vAlign w:val="bottom"/>
                </w:tcPr>
                <w:p w14:paraId="362C0148" w14:textId="77777777" w:rsidR="00B25234" w:rsidRPr="005D4222" w:rsidRDefault="00B25234" w:rsidP="00A53E8C">
                  <w:pPr>
                    <w:spacing w:before="80" w:after="80" w:line="216" w:lineRule="auto"/>
                    <w:rPr>
                      <w:rFonts w:ascii="Calibri" w:hAnsi="Calibri" w:cs="Calibri"/>
                      <w:sz w:val="22"/>
                      <w:szCs w:val="22"/>
                    </w:rPr>
                  </w:pPr>
                </w:p>
              </w:tc>
              <w:tc>
                <w:tcPr>
                  <w:tcW w:w="641" w:type="dxa"/>
                  <w:tcBorders>
                    <w:top w:val="nil"/>
                    <w:left w:val="nil"/>
                    <w:bottom w:val="nil"/>
                    <w:right w:val="single" w:sz="4" w:space="0" w:color="auto"/>
                  </w:tcBorders>
                  <w:tcMar>
                    <w:left w:w="72" w:type="dxa"/>
                    <w:right w:w="72" w:type="dxa"/>
                  </w:tcMar>
                </w:tcPr>
                <w:p w14:paraId="5139E545" w14:textId="77777777" w:rsidR="00B25234" w:rsidRPr="005D4222" w:rsidRDefault="00B25234" w:rsidP="00A53E8C">
                  <w:pPr>
                    <w:spacing w:before="80" w:after="80" w:line="216" w:lineRule="auto"/>
                    <w:rPr>
                      <w:rFonts w:ascii="Arial Narrow" w:eastAsia="Arial Narrow" w:hAnsi="Arial Narrow"/>
                      <w:szCs w:val="19"/>
                    </w:rPr>
                  </w:pPr>
                </w:p>
              </w:tc>
              <w:tc>
                <w:tcPr>
                  <w:tcW w:w="1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351D7829"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OE</w:t>
                  </w:r>
                </w:p>
              </w:tc>
              <w:tc>
                <w:tcPr>
                  <w:tcW w:w="303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46978C8B" w14:textId="77777777" w:rsidR="00B25234" w:rsidRPr="005D4222" w:rsidRDefault="00B25234" w:rsidP="00A53E8C">
                  <w:pPr>
                    <w:spacing w:before="80" w:after="80" w:line="216" w:lineRule="auto"/>
                    <w:rPr>
                      <w:rFonts w:ascii="Arial Narrow" w:eastAsia="Arial Narrow" w:hAnsi="Arial Narrow"/>
                      <w:szCs w:val="19"/>
                    </w:rPr>
                  </w:pPr>
                  <w:r w:rsidRPr="005D4222">
                    <w:rPr>
                      <w:rFonts w:ascii="Arial Narrow" w:eastAsia="Arial Narrow" w:hAnsi="Arial Narrow"/>
                      <w:szCs w:val="19"/>
                    </w:rPr>
                    <w:t>ObservedCount / ExpectedCount</w:t>
                  </w:r>
                </w:p>
              </w:tc>
            </w:tr>
          </w:tbl>
          <w:p w14:paraId="39FE715B" w14:textId="77777777" w:rsidR="00B25234" w:rsidRPr="005D4222" w:rsidRDefault="00B25234" w:rsidP="00A53E8C">
            <w:pPr>
              <w:pStyle w:val="Heading3"/>
              <w:spacing w:before="120"/>
            </w:pPr>
          </w:p>
        </w:tc>
      </w:tr>
    </w:tbl>
    <w:p w14:paraId="78D409CA" w14:textId="77777777" w:rsidR="00F63775" w:rsidRPr="005D4222" w:rsidRDefault="00F63775">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B25234" w:rsidRPr="005D4222" w14:paraId="36D819D8"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3D905DA" w14:textId="77777777" w:rsidR="00B25234" w:rsidRPr="005D4222" w:rsidRDefault="00B25234" w:rsidP="00A53E8C">
            <w:pPr>
              <w:pStyle w:val="ECDSMarginHead"/>
            </w:pPr>
            <w:r w:rsidRPr="005D4222">
              <w:lastRenderedPageBreak/>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7C24B77" w14:textId="77777777" w:rsidR="00B25234" w:rsidRPr="005D4222" w:rsidRDefault="00B25234" w:rsidP="00A53E8C">
            <w:pPr>
              <w:pStyle w:val="ECDSBody"/>
            </w:pPr>
            <w:r w:rsidRPr="005D4222">
              <w:rPr>
                <w:b/>
                <w:i/>
              </w:rPr>
              <w:t xml:space="preserve">Copyright and use: </w:t>
            </w:r>
            <w:r w:rsidRPr="005D4222">
              <w:t xml:space="preserve">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73D61B2C" w14:textId="77777777" w:rsidR="00B25234" w:rsidRPr="005D4222" w:rsidRDefault="00B25234" w:rsidP="00A53E8C">
            <w:pPr>
              <w:pStyle w:val="ECDSBody"/>
            </w:pPr>
            <w:r w:rsidRPr="005D4222">
              <w:rPr>
                <w:b/>
              </w:rPr>
              <w:t xml:space="preserve">Adjusted HEDIS measures </w:t>
            </w:r>
            <w:r w:rsidRPr="005D4222">
              <w:rPr>
                <w:b/>
                <w:i/>
              </w:rPr>
              <w:t>may not</w:t>
            </w:r>
            <w:r w:rsidRPr="005D4222">
              <w:rPr>
                <w:b/>
              </w:rPr>
              <w:t xml:space="preserve"> be used for HEDIS health plan reporting. </w:t>
            </w:r>
          </w:p>
          <w:p w14:paraId="77DD6C6E" w14:textId="77777777" w:rsidR="00B25234" w:rsidRPr="005D4222" w:rsidRDefault="00B25234" w:rsidP="00A53E8C">
            <w:pPr>
              <w:pStyle w:val="ECDSBody"/>
            </w:pPr>
            <w:r w:rsidRPr="005D4222">
              <w:t xml:space="preserve">The measures under the Risk Adjusted Utilization domain allow two types of </w:t>
            </w:r>
            <w:r w:rsidRPr="005D4222">
              <w:rPr>
                <w:i/>
              </w:rPr>
              <w:t>Rules for Allowable Adjustments</w:t>
            </w:r>
            <w:r w:rsidRPr="005D4222">
              <w:t xml:space="preserve"> sections:</w:t>
            </w:r>
          </w:p>
          <w:p w14:paraId="0495A523" w14:textId="5CD3F561" w:rsidR="00B25234" w:rsidRPr="005D4222" w:rsidRDefault="00B25234" w:rsidP="00F63775">
            <w:pPr>
              <w:pStyle w:val="Body"/>
              <w:spacing w:before="120"/>
              <w:ind w:left="648" w:hanging="288"/>
            </w:pPr>
            <w:r w:rsidRPr="005D4222">
              <w:t>1.</w:t>
            </w:r>
            <w:r w:rsidRPr="005D4222">
              <w:tab/>
            </w:r>
            <w:r w:rsidRPr="005D4222">
              <w:rPr>
                <w:i/>
                <w:iCs/>
              </w:rPr>
              <w:t xml:space="preserve">Rules for Allowable Adjustments for Risk-Adjusted Measurement. </w:t>
            </w:r>
            <w:r w:rsidRPr="005D4222">
              <w:t>This section must be followed for adjustments when calculating the full measure specifications, which includes all risk adjusted rates (expected rates, risk adjustment, O/E) and calculation components (count of index stays, observed events).</w:t>
            </w:r>
          </w:p>
          <w:p w14:paraId="7BECD5DA" w14:textId="77777777" w:rsidR="00B25234" w:rsidRPr="005D4222" w:rsidRDefault="00B25234" w:rsidP="00F63775">
            <w:pPr>
              <w:pStyle w:val="Body"/>
              <w:spacing w:before="120"/>
              <w:ind w:left="648" w:hanging="288"/>
            </w:pPr>
            <w:r w:rsidRPr="005D4222">
              <w:t>2.</w:t>
            </w:r>
            <w:r w:rsidRPr="005D4222">
              <w:tab/>
            </w:r>
            <w:r w:rsidRPr="005D4222">
              <w:rPr>
                <w:i/>
                <w:iCs/>
              </w:rPr>
              <w:t xml:space="preserve">Rules for Allowable Adjustments for Observed Measurement (rates without risk adjustment). </w:t>
            </w:r>
            <w:r w:rsidRPr="005D4222">
              <w:t>This section must be followed when adjusting the calculation of observed events only. When applying these adjustments, organizations must not include risk adjustment logic.</w:t>
            </w:r>
          </w:p>
          <w:p w14:paraId="47D4F77E" w14:textId="77777777" w:rsidR="00B25234" w:rsidRPr="005D4222" w:rsidRDefault="00B25234" w:rsidP="00A53E8C">
            <w:pPr>
              <w:pStyle w:val="ECDSBody"/>
            </w:pPr>
            <w:r w:rsidRPr="005D4222">
              <w:t>The intent of including two types of Rules is to allow organizations to adjust measures without compromising measure validity. Risk adjustment is based on statistical prediction models specifically calibrated to each measure.</w:t>
            </w:r>
          </w:p>
          <w:p w14:paraId="50277ACF" w14:textId="02FF8B79" w:rsidR="00B25234" w:rsidRPr="005D4222" w:rsidRDefault="00B25234" w:rsidP="00A53E8C">
            <w:pPr>
              <w:pStyle w:val="ECDSBody"/>
              <w:rPr>
                <w:b/>
              </w:rPr>
            </w:pPr>
            <w:r w:rsidRPr="005D4222">
              <w:rPr>
                <w:b/>
              </w:rPr>
              <w:t xml:space="preserve">The following </w:t>
            </w:r>
            <w:r w:rsidR="009D34B5" w:rsidRPr="005D4222">
              <w:rPr>
                <w:b/>
              </w:rPr>
              <w:t>are</w:t>
            </w:r>
            <w:r w:rsidRPr="005D4222">
              <w:rPr>
                <w:b/>
              </w:rPr>
              <w:t xml:space="preserve"> the Rules for Allowable Adjustments for </w:t>
            </w:r>
            <w:r w:rsidRPr="005D4222">
              <w:rPr>
                <w:b/>
                <w:u w:val="single"/>
              </w:rPr>
              <w:t>Risk-Adjusted Measurement</w:t>
            </w:r>
            <w:r w:rsidRPr="005D4222">
              <w:rPr>
                <w:b/>
              </w:rPr>
              <w:t xml:space="preserve"> of the Plan All-Cause Readmissions measure (count of index stays, count of observed 30-day readmissions, observed readmission rate, risk adjustment determination, risk adjustment weighting, count of expected 30-day readmissions, </w:t>
            </w:r>
            <w:r w:rsidRPr="005D4222">
              <w:rPr>
                <w:b/>
                <w:bCs w:val="0"/>
              </w:rPr>
              <w:t>O</w:t>
            </w:r>
            <w:r w:rsidRPr="005D4222">
              <w:rPr>
                <w:b/>
              </w:rPr>
              <w:t>/E).</w:t>
            </w:r>
          </w:p>
          <w:p w14:paraId="159F2F78" w14:textId="77777777" w:rsidR="00B25234" w:rsidRPr="005D4222" w:rsidRDefault="00B25234" w:rsidP="00A53E8C">
            <w:pPr>
              <w:pStyle w:val="Adjustments"/>
              <w:rPr>
                <w:b w:val="0"/>
              </w:rPr>
            </w:pPr>
            <w:r w:rsidRPr="005D4222">
              <w:t>Adjustments</w:t>
            </w:r>
            <w:r w:rsidRPr="005D4222">
              <w:rPr>
                <w:b w:val="0"/>
                <w:bCs/>
              </w:rPr>
              <w:t xml:space="preserve"> a</w:t>
            </w:r>
            <w:r w:rsidRPr="005D4222">
              <w:rPr>
                <w:b w:val="0"/>
              </w:rPr>
              <w:t>llowed</w:t>
            </w:r>
          </w:p>
          <w:p w14:paraId="16ECC106" w14:textId="012723EF" w:rsidR="00B25234" w:rsidRPr="005D4222" w:rsidRDefault="00362E76" w:rsidP="005D6173">
            <w:pPr>
              <w:pStyle w:val="ProcessBullet"/>
              <w:numPr>
                <w:ilvl w:val="0"/>
                <w:numId w:val="98"/>
              </w:numPr>
              <w:tabs>
                <w:tab w:val="left" w:pos="216"/>
              </w:tabs>
              <w:ind w:left="216" w:hanging="216"/>
              <w:rPr>
                <w:b/>
                <w:bCs/>
                <w:color w:val="000000" w:themeColor="text1"/>
              </w:rPr>
            </w:pPr>
            <w:r w:rsidRPr="005D4222">
              <w:rPr>
                <w:i/>
                <w:iCs/>
              </w:rPr>
              <w:t>Benefits.</w:t>
            </w:r>
            <w:r w:rsidR="00B25234" w:rsidRPr="005D4222">
              <w:t xml:space="preserve"> Organizations are not required to use a benefit.</w:t>
            </w:r>
          </w:p>
          <w:p w14:paraId="13B5C006" w14:textId="77777777" w:rsidR="00B25234" w:rsidRPr="005D4222" w:rsidRDefault="00B25234" w:rsidP="005D6173">
            <w:pPr>
              <w:pStyle w:val="ProcessBullet"/>
              <w:numPr>
                <w:ilvl w:val="0"/>
                <w:numId w:val="98"/>
              </w:numPr>
              <w:tabs>
                <w:tab w:val="left" w:pos="216"/>
              </w:tabs>
              <w:ind w:left="216" w:hanging="216"/>
            </w:pPr>
            <w:r w:rsidRPr="005D4222">
              <w:rPr>
                <w:i/>
                <w:iCs/>
              </w:rPr>
              <w:t>Plan population.</w:t>
            </w:r>
            <w:r w:rsidRPr="005D4222">
              <w:rPr>
                <w:b/>
              </w:rPr>
              <w:t xml:space="preserve"> </w:t>
            </w:r>
            <w:r w:rsidRPr="005D4222">
              <w:t>Organizations are not required to use plan population to identify outlier rates.</w:t>
            </w:r>
          </w:p>
          <w:p w14:paraId="3E946C8A" w14:textId="77777777" w:rsidR="00B25234" w:rsidRPr="005D4222" w:rsidRDefault="00B25234" w:rsidP="005D6173">
            <w:pPr>
              <w:pStyle w:val="ProcessBullet"/>
              <w:numPr>
                <w:ilvl w:val="0"/>
                <w:numId w:val="98"/>
              </w:numPr>
              <w:tabs>
                <w:tab w:val="left" w:pos="216"/>
              </w:tabs>
              <w:spacing w:after="80"/>
              <w:ind w:left="216" w:hanging="216"/>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5F14B31D" w14:textId="77777777" w:rsidR="00B25234" w:rsidRPr="005D4222" w:rsidRDefault="00B25234" w:rsidP="00A53E8C">
            <w:pPr>
              <w:pStyle w:val="Adjustments"/>
            </w:pPr>
            <w:r w:rsidRPr="005D4222">
              <w:t xml:space="preserve">Adjustments </w:t>
            </w:r>
            <w:r w:rsidRPr="005D4222">
              <w:rPr>
                <w:bCs/>
              </w:rPr>
              <w:t>a</w:t>
            </w:r>
            <w:r w:rsidRPr="005D4222">
              <w:t xml:space="preserve">llowed with </w:t>
            </w:r>
            <w:r w:rsidRPr="005D4222">
              <w:rPr>
                <w:bCs/>
              </w:rPr>
              <w:t>l</w:t>
            </w:r>
            <w:r w:rsidRPr="005D4222">
              <w:t>imits</w:t>
            </w:r>
          </w:p>
          <w:p w14:paraId="3828363A" w14:textId="454075D3" w:rsidR="00B25234" w:rsidRPr="005D4222" w:rsidRDefault="00B25234" w:rsidP="005D6173">
            <w:pPr>
              <w:pStyle w:val="ProcessBullet"/>
              <w:numPr>
                <w:ilvl w:val="0"/>
                <w:numId w:val="98"/>
              </w:numPr>
              <w:tabs>
                <w:tab w:val="left" w:pos="216"/>
              </w:tabs>
              <w:ind w:left="216" w:hanging="216"/>
            </w:pPr>
            <w:r w:rsidRPr="005D4222">
              <w:rPr>
                <w:i/>
                <w:iCs/>
              </w:rPr>
              <w:t xml:space="preserve">Other. </w:t>
            </w:r>
            <w:r w:rsidRPr="005D4222">
              <w:t xml:space="preserve">Organizations may only adjust the </w:t>
            </w:r>
            <w:r w:rsidR="00876226" w:rsidRPr="005D4222">
              <w:t>initial</w:t>
            </w:r>
            <w:r w:rsidRPr="005D4222">
              <w:t xml:space="preserve"> population criteria to focus on an area of interest defined by gender, sociodemographic characteristics or geographical region. NCQA recommends evaluating risk model performance and validity within adjusted populations. Organizations may not adjust for a clinical subpopulation (e.g., persons with a diabetes diagnosis).</w:t>
            </w:r>
          </w:p>
          <w:p w14:paraId="79B52EFA" w14:textId="77777777" w:rsidR="00B25234" w:rsidRPr="005D4222" w:rsidRDefault="00B25234" w:rsidP="005D6173">
            <w:pPr>
              <w:pStyle w:val="ProcessBullet"/>
              <w:numPr>
                <w:ilvl w:val="0"/>
                <w:numId w:val="98"/>
              </w:numPr>
              <w:tabs>
                <w:tab w:val="left" w:pos="216"/>
              </w:tabs>
              <w:spacing w:after="80"/>
              <w:ind w:left="216" w:hanging="216"/>
            </w:pPr>
            <w:r w:rsidRPr="005D4222">
              <w:rPr>
                <w:i/>
                <w:iCs/>
              </w:rPr>
              <w:t>Measurement period adjustments.</w:t>
            </w:r>
            <w:r w:rsidRPr="005D4222">
              <w:t xml:space="preserve"> Organizations may only change the measurement period by 1 year.</w:t>
            </w:r>
          </w:p>
        </w:tc>
      </w:tr>
    </w:tbl>
    <w:p w14:paraId="1B643209" w14:textId="77777777" w:rsidR="00B25234" w:rsidRPr="005D4222" w:rsidRDefault="00B25234" w:rsidP="00B25234"/>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B25234" w:rsidRPr="005D4222" w14:paraId="0F2A4766"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DE05071" w14:textId="77777777" w:rsidR="00B25234" w:rsidRPr="005D4222" w:rsidRDefault="00B25234"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17B02B3" w14:textId="77777777" w:rsidR="00B25234" w:rsidRPr="005D4222" w:rsidRDefault="00B25234" w:rsidP="005D6173">
            <w:pPr>
              <w:pStyle w:val="ProcessBullet"/>
              <w:numPr>
                <w:ilvl w:val="0"/>
                <w:numId w:val="98"/>
              </w:numPr>
              <w:tabs>
                <w:tab w:val="left" w:pos="216"/>
              </w:tabs>
              <w:ind w:left="216" w:hanging="216"/>
              <w:rPr>
                <w:b/>
                <w:bCs/>
              </w:rPr>
            </w:pPr>
            <w:r w:rsidRPr="005D4222">
              <w:rPr>
                <w:i/>
                <w:iCs/>
              </w:rPr>
              <w:t>SES stratification, skilled nursing care stratification.</w:t>
            </w:r>
            <w:r w:rsidRPr="005D4222">
              <w:rPr>
                <w:b/>
                <w:bCs/>
              </w:rPr>
              <w:t xml:space="preserve"> </w:t>
            </w:r>
            <w:r w:rsidRPr="005D4222">
              <w:t>Stratifications are not required, but if they are used the value sets, logic and product lines may not be changed.</w:t>
            </w:r>
          </w:p>
          <w:p w14:paraId="77236C68" w14:textId="77777777" w:rsidR="00B25234" w:rsidRPr="005D4222" w:rsidRDefault="00B25234" w:rsidP="005D6173">
            <w:pPr>
              <w:pStyle w:val="ProcessBullet"/>
              <w:numPr>
                <w:ilvl w:val="0"/>
                <w:numId w:val="98"/>
              </w:numPr>
              <w:tabs>
                <w:tab w:val="left" w:pos="216"/>
              </w:tabs>
              <w:ind w:left="216" w:hanging="216"/>
            </w:pPr>
            <w:r w:rsidRPr="005D4222">
              <w:rPr>
                <w:i/>
                <w:iCs/>
              </w:rPr>
              <w:t>Outlier</w:t>
            </w:r>
            <w:r w:rsidRPr="005D4222">
              <w:t>. Organizations may include denied claims to calculate these events. Organizations may not adjust the outlier logic.</w:t>
            </w:r>
          </w:p>
          <w:p w14:paraId="2502DAC1" w14:textId="77777777" w:rsidR="00B25234" w:rsidRPr="005D4222" w:rsidRDefault="00B25234" w:rsidP="005D6173">
            <w:pPr>
              <w:pStyle w:val="ProcessBullet"/>
              <w:numPr>
                <w:ilvl w:val="0"/>
                <w:numId w:val="98"/>
              </w:numPr>
              <w:tabs>
                <w:tab w:val="left" w:pos="216"/>
              </w:tabs>
              <w:spacing w:after="80"/>
              <w:ind w:left="216" w:hanging="216"/>
            </w:pPr>
            <w:r w:rsidRPr="005D4222">
              <w:rPr>
                <w:rFonts w:cs="Arial"/>
                <w:i/>
              </w:rPr>
              <w:t>Denominator.</w:t>
            </w:r>
            <w:r w:rsidRPr="005D4222">
              <w:t xml:space="preserve"> Organizations may include denied claims to calculate denominator events.</w:t>
            </w:r>
            <w:r w:rsidRPr="005D4222">
              <w:rPr>
                <w:i/>
              </w:rPr>
              <w:t xml:space="preserve"> </w:t>
            </w:r>
            <w:r w:rsidRPr="005D4222">
              <w:t>Value sets and logic may not be changed.</w:t>
            </w:r>
          </w:p>
          <w:p w14:paraId="798ED316" w14:textId="77777777" w:rsidR="00B25234" w:rsidRPr="005D4222" w:rsidRDefault="00B25234" w:rsidP="005D6173">
            <w:pPr>
              <w:pStyle w:val="ProcessBullet"/>
              <w:numPr>
                <w:ilvl w:val="0"/>
                <w:numId w:val="77"/>
              </w:numPr>
              <w:ind w:left="216" w:hanging="216"/>
              <w:rPr>
                <w:rFonts w:cs="Arial"/>
              </w:rPr>
            </w:pPr>
            <w:r w:rsidRPr="005D4222">
              <w:rPr>
                <w:rFonts w:cs="Arial"/>
                <w:i/>
                <w:iCs/>
              </w:rPr>
              <w:t xml:space="preserve">Risk adjustment determination, risk adjustment weighting, expected readmissions, variance. </w:t>
            </w:r>
            <w:r w:rsidRPr="005D4222">
              <w:rPr>
                <w:rFonts w:cs="Arial"/>
              </w:rPr>
              <w:t>Organizations may include denied claims to calculate these events.</w:t>
            </w:r>
            <w:r w:rsidRPr="005D4222">
              <w:t xml:space="preserve"> </w:t>
            </w:r>
            <w:r w:rsidRPr="005D4222">
              <w:rPr>
                <w:rFonts w:cs="Arial"/>
              </w:rPr>
              <w:t>Risk adjustment determinations, weighting, expected readmissions, variance and calculations of expected events logic may not be changed.</w:t>
            </w:r>
          </w:p>
          <w:p w14:paraId="7744DCF0" w14:textId="77777777" w:rsidR="00B25234" w:rsidRPr="005D4222" w:rsidRDefault="00B25234" w:rsidP="005D6173">
            <w:pPr>
              <w:pStyle w:val="ProcessBullet"/>
              <w:numPr>
                <w:ilvl w:val="0"/>
                <w:numId w:val="77"/>
              </w:numPr>
              <w:spacing w:after="80"/>
              <w:ind w:left="216" w:hanging="216"/>
            </w:pPr>
            <w:r w:rsidRPr="005D4222">
              <w:rPr>
                <w:i/>
              </w:rPr>
              <w:t xml:space="preserve">Numerator. </w:t>
            </w:r>
            <w:r w:rsidRPr="005D4222">
              <w:rPr>
                <w:iCs/>
              </w:rPr>
              <w:t>Organizations may include denied claims to calculate the numerator.</w:t>
            </w:r>
            <w:r w:rsidRPr="005D4222">
              <w:rPr>
                <w:i/>
              </w:rPr>
              <w:t xml:space="preserve"> </w:t>
            </w:r>
            <w:r w:rsidRPr="005D4222">
              <w:t>Value sets and logic may not be changed.</w:t>
            </w:r>
          </w:p>
          <w:p w14:paraId="27DCDD66" w14:textId="77777777" w:rsidR="00B25234" w:rsidRPr="005D4222" w:rsidRDefault="00B25234" w:rsidP="00A53E8C">
            <w:pPr>
              <w:pStyle w:val="Adjustments"/>
              <w:spacing w:before="120"/>
            </w:pPr>
            <w:r w:rsidRPr="005D4222">
              <w:t xml:space="preserve">Adjustments </w:t>
            </w:r>
            <w:r w:rsidRPr="005D4222">
              <w:rPr>
                <w:bCs/>
              </w:rPr>
              <w:t>not allowed</w:t>
            </w:r>
          </w:p>
          <w:p w14:paraId="5F264F6B" w14:textId="77777777" w:rsidR="00B25234" w:rsidRPr="005D4222" w:rsidRDefault="00B25234" w:rsidP="005D6173">
            <w:pPr>
              <w:pStyle w:val="ProcessBullet"/>
              <w:numPr>
                <w:ilvl w:val="0"/>
                <w:numId w:val="77"/>
              </w:numPr>
              <w:ind w:left="216" w:hanging="216"/>
              <w:rPr>
                <w:b/>
                <w:bCs/>
                <w:color w:val="000000" w:themeColor="text1"/>
              </w:rPr>
            </w:pPr>
            <w:r w:rsidRPr="005D4222">
              <w:rPr>
                <w:i/>
                <w:iCs/>
              </w:rPr>
              <w:t xml:space="preserve">Product lines. </w:t>
            </w:r>
            <w:r w:rsidRPr="005D4222">
              <w:t>Organizations may not adjust product lines.</w:t>
            </w:r>
          </w:p>
          <w:p w14:paraId="5BC1B301" w14:textId="77777777" w:rsidR="00B25234" w:rsidRPr="005D4222" w:rsidRDefault="00B25234" w:rsidP="005D6173">
            <w:pPr>
              <w:pStyle w:val="ProcessBullet"/>
              <w:numPr>
                <w:ilvl w:val="0"/>
                <w:numId w:val="77"/>
              </w:numPr>
              <w:ind w:left="216" w:hanging="216"/>
              <w:rPr>
                <w:b/>
                <w:bCs/>
                <w:color w:val="000000" w:themeColor="text1"/>
              </w:rPr>
            </w:pPr>
            <w:r w:rsidRPr="005D4222">
              <w:rPr>
                <w:i/>
                <w:iCs/>
              </w:rPr>
              <w:t>Attribution.</w:t>
            </w:r>
            <w:r w:rsidRPr="005D4222">
              <w:t xml:space="preserve"> Organizations are required to use enrollment criteria. </w:t>
            </w:r>
          </w:p>
          <w:p w14:paraId="30FD2639" w14:textId="77777777" w:rsidR="00B25234" w:rsidRPr="005D4222" w:rsidRDefault="00B25234" w:rsidP="005D6173">
            <w:pPr>
              <w:pStyle w:val="ProcessBullet"/>
              <w:numPr>
                <w:ilvl w:val="0"/>
                <w:numId w:val="77"/>
              </w:numPr>
              <w:ind w:left="216" w:hanging="216"/>
              <w:rPr>
                <w:b/>
                <w:bCs/>
                <w:color w:val="000000" w:themeColor="text1"/>
              </w:rPr>
            </w:pPr>
            <w:r w:rsidRPr="005D4222">
              <w:rPr>
                <w:i/>
                <w:iCs/>
                <w:color w:val="000000" w:themeColor="text1"/>
              </w:rPr>
              <w:t>Ages</w:t>
            </w:r>
            <w:r w:rsidRPr="005D4222">
              <w:rPr>
                <w:color w:val="000000" w:themeColor="text1"/>
              </w:rPr>
              <w:t>. The age determination dates may not be changed.</w:t>
            </w:r>
          </w:p>
          <w:p w14:paraId="7AB03205" w14:textId="77777777" w:rsidR="00B25234" w:rsidRPr="005D4222" w:rsidRDefault="00B25234" w:rsidP="005D6173">
            <w:pPr>
              <w:pStyle w:val="ProcessBullet"/>
              <w:numPr>
                <w:ilvl w:val="0"/>
                <w:numId w:val="77"/>
              </w:numPr>
              <w:ind w:left="216" w:hanging="216"/>
              <w:rPr>
                <w:color w:val="000000" w:themeColor="text1"/>
              </w:rPr>
            </w:pPr>
            <w:r w:rsidRPr="005D4222">
              <w:rPr>
                <w:i/>
                <w:iCs/>
                <w:color w:val="000000" w:themeColor="text1"/>
              </w:rPr>
              <w:t>Supplemental data.</w:t>
            </w:r>
            <w:r w:rsidRPr="005D4222">
              <w:rPr>
                <w:color w:val="000000" w:themeColor="text1"/>
              </w:rPr>
              <w:t xml:space="preserve"> Supplemental data may not be used to identify initial population, denominator and numerator events.</w:t>
            </w:r>
          </w:p>
          <w:p w14:paraId="547BD770" w14:textId="77777777" w:rsidR="00B25234" w:rsidRPr="005D4222" w:rsidRDefault="00B25234" w:rsidP="005D6173">
            <w:pPr>
              <w:pStyle w:val="ProcessBullet"/>
              <w:numPr>
                <w:ilvl w:val="0"/>
                <w:numId w:val="77"/>
              </w:numPr>
              <w:ind w:left="216" w:hanging="216"/>
              <w:rPr>
                <w:b/>
                <w:bCs/>
                <w:color w:val="000000" w:themeColor="text1"/>
              </w:rPr>
            </w:pPr>
            <w:r w:rsidRPr="005D4222">
              <w:rPr>
                <w:i/>
              </w:rPr>
              <w:t>Exclusions.</w:t>
            </w:r>
            <w:r w:rsidRPr="005D4222">
              <w:t xml:space="preserve"> The hospice exclusion must be applied. Logic may not be changed.</w:t>
            </w:r>
          </w:p>
          <w:p w14:paraId="2E04B3A3" w14:textId="20E662DD" w:rsidR="00B25234" w:rsidRPr="005D4222" w:rsidRDefault="00B25234" w:rsidP="00A53E8C">
            <w:pPr>
              <w:pStyle w:val="ECDSBody"/>
              <w:rPr>
                <w:b/>
              </w:rPr>
            </w:pPr>
            <w:r w:rsidRPr="005D4222">
              <w:rPr>
                <w:b/>
              </w:rPr>
              <w:t xml:space="preserve">The following </w:t>
            </w:r>
            <w:r w:rsidR="009D34B5" w:rsidRPr="005D4222">
              <w:rPr>
                <w:b/>
              </w:rPr>
              <w:t>are</w:t>
            </w:r>
            <w:r w:rsidRPr="005D4222">
              <w:rPr>
                <w:b/>
              </w:rPr>
              <w:t xml:space="preserve"> the Rules for Allowable Adjustments for </w:t>
            </w:r>
            <w:r w:rsidRPr="005D4222">
              <w:rPr>
                <w:b/>
                <w:u w:val="single"/>
              </w:rPr>
              <w:t>Observed Measurement</w:t>
            </w:r>
            <w:r w:rsidRPr="005D4222">
              <w:rPr>
                <w:b/>
              </w:rPr>
              <w:t xml:space="preserve"> of the Plan All-Cause Readmissions measure </w:t>
            </w:r>
            <w:r w:rsidRPr="005D4222">
              <w:rPr>
                <w:b/>
                <w:bCs w:val="0"/>
              </w:rPr>
              <w:t>observed events</w:t>
            </w:r>
            <w:r w:rsidRPr="005D4222">
              <w:rPr>
                <w:b/>
              </w:rPr>
              <w:t xml:space="preserve"> (count of index stays, count of observed 30-day readmissions, observed readmission rate).</w:t>
            </w:r>
          </w:p>
          <w:p w14:paraId="056C46CA" w14:textId="77777777" w:rsidR="00B25234" w:rsidRPr="005D4222" w:rsidRDefault="00B25234" w:rsidP="00A53E8C">
            <w:pPr>
              <w:pStyle w:val="Adjustments"/>
            </w:pPr>
            <w:r w:rsidRPr="005D4222">
              <w:t>Adjustments</w:t>
            </w:r>
            <w:r w:rsidRPr="005D4222">
              <w:rPr>
                <w:bCs/>
              </w:rPr>
              <w:t xml:space="preserve"> a</w:t>
            </w:r>
            <w:r w:rsidRPr="005D4222">
              <w:t>llowed</w:t>
            </w:r>
          </w:p>
          <w:p w14:paraId="25E46D4E" w14:textId="6164910D" w:rsidR="00B25234" w:rsidRPr="005D4222" w:rsidRDefault="00B25234" w:rsidP="005D6173">
            <w:pPr>
              <w:pStyle w:val="ProcessBullet"/>
              <w:numPr>
                <w:ilvl w:val="0"/>
                <w:numId w:val="77"/>
              </w:numPr>
              <w:ind w:left="216" w:hanging="216"/>
              <w:rPr>
                <w:b/>
                <w:bCs/>
                <w:color w:val="000000" w:themeColor="text1"/>
              </w:rPr>
            </w:pPr>
            <w:r w:rsidRPr="005D4222">
              <w:rPr>
                <w:i/>
                <w:iCs/>
              </w:rPr>
              <w:t xml:space="preserve">Product lines. </w:t>
            </w:r>
            <w:r w:rsidRPr="005D4222">
              <w:t>When adjusting this measure to assess for observed events only, organizations are not required to use product line criteria; product lines may be combined</w:t>
            </w:r>
            <w:r w:rsidR="00E8671F" w:rsidRPr="005D4222">
              <w:t>,</w:t>
            </w:r>
            <w:r w:rsidRPr="005D4222">
              <w:t xml:space="preserve"> and all (or no) product line criteria may be used.</w:t>
            </w:r>
          </w:p>
          <w:p w14:paraId="47420C79" w14:textId="77777777" w:rsidR="00B25234" w:rsidRPr="005D4222" w:rsidRDefault="00B25234" w:rsidP="005D6173">
            <w:pPr>
              <w:pStyle w:val="ProcessBullet"/>
              <w:numPr>
                <w:ilvl w:val="0"/>
                <w:numId w:val="77"/>
              </w:numPr>
              <w:ind w:left="216" w:hanging="216"/>
              <w:rPr>
                <w:rStyle w:val="eop"/>
                <w:rFonts w:eastAsiaTheme="majorEastAsia"/>
                <w:b/>
                <w:bCs/>
                <w:color w:val="000000" w:themeColor="text1"/>
              </w:rPr>
            </w:pPr>
            <w:r w:rsidRPr="005D4222">
              <w:rPr>
                <w:rFonts w:cs="Arial"/>
                <w:i/>
                <w:color w:val="000000"/>
                <w:shd w:val="clear" w:color="auto" w:fill="FFFFFF"/>
              </w:rPr>
              <w:t>Ages.</w:t>
            </w:r>
            <w:r w:rsidRPr="005D4222">
              <w:rPr>
                <w:rFonts w:cs="Arial"/>
                <w:color w:val="000000"/>
                <w:shd w:val="clear" w:color="auto" w:fill="FFFFFF"/>
              </w:rPr>
              <w:t xml:space="preserve"> The observed event age range may be expanded. Age determination dates may be changed (e.g., select, “age as of June 30”).</w:t>
            </w:r>
            <w:r w:rsidRPr="005D4222">
              <w:rPr>
                <w:rStyle w:val="eop"/>
                <w:rFonts w:eastAsiaTheme="majorEastAsia" w:cs="Arial"/>
                <w:color w:val="000000"/>
                <w:shd w:val="clear" w:color="auto" w:fill="FFFFFF"/>
              </w:rPr>
              <w:t> </w:t>
            </w:r>
          </w:p>
          <w:p w14:paraId="4BE54E34" w14:textId="77777777" w:rsidR="00B25234" w:rsidRPr="005D4222" w:rsidRDefault="00B25234" w:rsidP="005D6173">
            <w:pPr>
              <w:pStyle w:val="ProcessBullet"/>
              <w:numPr>
                <w:ilvl w:val="0"/>
                <w:numId w:val="77"/>
              </w:numPr>
              <w:ind w:left="216" w:hanging="216"/>
              <w:rPr>
                <w:b/>
                <w:bCs/>
                <w:color w:val="000000" w:themeColor="text1"/>
              </w:rPr>
            </w:pPr>
            <w:r w:rsidRPr="005D4222">
              <w:rPr>
                <w:i/>
                <w:iCs/>
              </w:rPr>
              <w:t>Attribution.</w:t>
            </w:r>
            <w:r w:rsidRPr="005D4222">
              <w:t xml:space="preserve"> Organizations are not required to use enrollment criteria. </w:t>
            </w:r>
          </w:p>
          <w:p w14:paraId="36F60F56" w14:textId="195A8537" w:rsidR="00B25234" w:rsidRPr="005D4222" w:rsidRDefault="00362E76" w:rsidP="005D6173">
            <w:pPr>
              <w:pStyle w:val="ProcessBullet"/>
              <w:numPr>
                <w:ilvl w:val="0"/>
                <w:numId w:val="77"/>
              </w:numPr>
              <w:spacing w:after="80"/>
              <w:ind w:left="216" w:hanging="216"/>
              <w:rPr>
                <w:b/>
                <w:i/>
              </w:rPr>
            </w:pPr>
            <w:r w:rsidRPr="005D4222">
              <w:rPr>
                <w:i/>
                <w:iCs/>
              </w:rPr>
              <w:t>Benefits.</w:t>
            </w:r>
            <w:r w:rsidR="00B25234" w:rsidRPr="005D4222">
              <w:t xml:space="preserve"> Organizations are not required to use a benefit.</w:t>
            </w:r>
          </w:p>
          <w:p w14:paraId="18B7260B" w14:textId="3C379581" w:rsidR="00B25234" w:rsidRPr="005D4222" w:rsidRDefault="00B25234" w:rsidP="005D6173">
            <w:pPr>
              <w:pStyle w:val="ProcessBullet"/>
              <w:numPr>
                <w:ilvl w:val="0"/>
                <w:numId w:val="77"/>
              </w:numPr>
              <w:spacing w:after="80"/>
              <w:ind w:left="216" w:hanging="216"/>
              <w:rPr>
                <w:b/>
                <w:bCs/>
                <w:color w:val="000000" w:themeColor="text1"/>
              </w:rPr>
            </w:pPr>
            <w:r w:rsidRPr="005D4222">
              <w:rPr>
                <w:i/>
                <w:iCs/>
              </w:rPr>
              <w:t>Other.</w:t>
            </w:r>
            <w:r w:rsidRPr="005D4222">
              <w:t xml:space="preserve"> Organizations may adjust the </w:t>
            </w:r>
            <w:r w:rsidR="002D7F49" w:rsidRPr="005D4222">
              <w:t>initial</w:t>
            </w:r>
            <w:r w:rsidRPr="005D4222">
              <w:t xml:space="preserve"> population criteria to focus on an area of interest defined by gender, race, ethnicity, socioeconomic or sociodemographic characteristics, geographic region or another characteristic.</w:t>
            </w:r>
          </w:p>
          <w:p w14:paraId="453B38A1" w14:textId="77777777" w:rsidR="00B25234" w:rsidRPr="005D4222" w:rsidRDefault="00B25234" w:rsidP="005D6173">
            <w:pPr>
              <w:pStyle w:val="ProcessBullet"/>
              <w:numPr>
                <w:ilvl w:val="0"/>
                <w:numId w:val="77"/>
              </w:numPr>
              <w:ind w:left="216" w:hanging="216"/>
              <w:rPr>
                <w:b/>
                <w:bCs/>
                <w:color w:val="000000" w:themeColor="text1"/>
              </w:rPr>
            </w:pPr>
            <w:r w:rsidRPr="005D4222">
              <w:rPr>
                <w:i/>
                <w:iCs/>
              </w:rPr>
              <w:t>Measurement period adjustments.</w:t>
            </w:r>
            <w:r w:rsidRPr="005D4222">
              <w:t xml:space="preserve"> Organizations may adjust the measurement period. </w:t>
            </w:r>
          </w:p>
          <w:p w14:paraId="0BF86104" w14:textId="77777777" w:rsidR="00B25234" w:rsidRPr="005D4222" w:rsidRDefault="00B25234" w:rsidP="005D6173">
            <w:pPr>
              <w:pStyle w:val="ProcessBullet"/>
              <w:numPr>
                <w:ilvl w:val="0"/>
                <w:numId w:val="77"/>
              </w:numPr>
              <w:ind w:left="216" w:hanging="216"/>
              <w:rPr>
                <w:b/>
                <w:bCs/>
                <w:color w:val="000000" w:themeColor="text1"/>
              </w:rPr>
            </w:pPr>
            <w:r w:rsidRPr="005D4222">
              <w:rPr>
                <w:i/>
                <w:iCs/>
              </w:rPr>
              <w:t>Exclusions.</w:t>
            </w:r>
            <w:r w:rsidRPr="005D4222">
              <w:t xml:space="preserve"> Hospice exclusion is not required. </w:t>
            </w:r>
          </w:p>
          <w:p w14:paraId="52AE98D7" w14:textId="77777777" w:rsidR="00B25234" w:rsidRPr="005D4222" w:rsidRDefault="00B25234" w:rsidP="005D6173">
            <w:pPr>
              <w:pStyle w:val="ProcessBullet"/>
              <w:numPr>
                <w:ilvl w:val="0"/>
                <w:numId w:val="77"/>
              </w:numPr>
              <w:spacing w:after="80"/>
              <w:ind w:left="216" w:hanging="216"/>
              <w:rPr>
                <w:b/>
                <w:i/>
              </w:rPr>
            </w:pPr>
            <w:r w:rsidRPr="005D4222">
              <w:rPr>
                <w:rFonts w:cs="Arial"/>
                <w:i/>
                <w:iCs/>
                <w:color w:val="000000"/>
                <w:shd w:val="clear" w:color="auto" w:fill="FFFFFF"/>
              </w:rPr>
              <w:t>Outlier</w:t>
            </w:r>
            <w:r w:rsidRPr="005D4222">
              <w:rPr>
                <w:rFonts w:cs="Arial"/>
                <w:color w:val="000000"/>
                <w:shd w:val="clear" w:color="auto" w:fill="FFFFFF"/>
              </w:rPr>
              <w:t>. Organizations may adjust the outlier logic. The outlier logic is not required to be applied. The outlier thresholds may be expanded or reduced. Denied claims may be used to calculate these events.</w:t>
            </w:r>
          </w:p>
        </w:tc>
      </w:tr>
      <w:tr w:rsidR="00B25234" w:rsidRPr="005D4222" w14:paraId="7366B76A"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401DEFB" w14:textId="77777777" w:rsidR="00B25234" w:rsidRPr="005D4222" w:rsidRDefault="00B25234"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6D4359A" w14:textId="77777777" w:rsidR="00B25234" w:rsidRPr="005D4222" w:rsidRDefault="00B25234" w:rsidP="005D6173">
            <w:pPr>
              <w:pStyle w:val="ProcessBullet"/>
              <w:numPr>
                <w:ilvl w:val="0"/>
                <w:numId w:val="77"/>
              </w:numPr>
              <w:ind w:left="216" w:hanging="216"/>
              <w:rPr>
                <w:color w:val="000000" w:themeColor="text1"/>
              </w:rPr>
            </w:pPr>
            <w:r w:rsidRPr="005D4222">
              <w:rPr>
                <w:i/>
                <w:iCs/>
              </w:rPr>
              <w:t>Plan population.</w:t>
            </w:r>
            <w:r w:rsidRPr="005D4222">
              <w:rPr>
                <w:b/>
                <w:bCs/>
                <w:color w:val="000000" w:themeColor="text1"/>
              </w:rPr>
              <w:t xml:space="preserve"> </w:t>
            </w:r>
            <w:r w:rsidRPr="005D4222">
              <w:rPr>
                <w:color w:val="000000" w:themeColor="text1"/>
              </w:rPr>
              <w:t>Organizations are not required to use plan population to identify outlier rates.</w:t>
            </w:r>
          </w:p>
          <w:p w14:paraId="06191670" w14:textId="21AA176C" w:rsidR="00B25234" w:rsidRPr="005D4222" w:rsidRDefault="00B25234" w:rsidP="005D6173">
            <w:pPr>
              <w:pStyle w:val="ProcessBullet"/>
              <w:numPr>
                <w:ilvl w:val="0"/>
                <w:numId w:val="77"/>
              </w:numPr>
              <w:spacing w:after="80"/>
              <w:ind w:left="216" w:hanging="216"/>
              <w:rPr>
                <w:b/>
                <w:i/>
              </w:rPr>
            </w:pPr>
            <w:r w:rsidRPr="005D4222">
              <w:rPr>
                <w:i/>
                <w:iCs/>
                <w:color w:val="000000" w:themeColor="text1"/>
              </w:rPr>
              <w:t>Telehealth.</w:t>
            </w:r>
            <w:r w:rsidRPr="005D4222">
              <w:rPr>
                <w:color w:val="000000" w:themeColor="text1"/>
              </w:rPr>
              <w:t xml:space="preserve"> Services/events that allow the use of synchronous telehealth visits, telephone visits and asynchronous telehealth (e-visits, virtual check-ins) may be stratified to identify services performed via telehealth. </w:t>
            </w:r>
            <w:r w:rsidRPr="005D4222">
              <w:t xml:space="preserve">This adjustment is not allowed for </w:t>
            </w:r>
            <w:r w:rsidR="00F45777" w:rsidRPr="005D4222">
              <w:t>events</w:t>
            </w:r>
            <w:r w:rsidRPr="005D4222">
              <w:t>, numerators and exclusions that do not allow the use of telehealth.</w:t>
            </w:r>
          </w:p>
          <w:p w14:paraId="0B7E70BA" w14:textId="77777777" w:rsidR="00B25234" w:rsidRPr="005D4222" w:rsidRDefault="00B25234" w:rsidP="005D6173">
            <w:pPr>
              <w:pStyle w:val="ProcessBullet"/>
              <w:numPr>
                <w:ilvl w:val="0"/>
                <w:numId w:val="77"/>
              </w:numPr>
              <w:spacing w:after="80"/>
              <w:ind w:left="216" w:hanging="216"/>
              <w:rPr>
                <w:b/>
                <w:i/>
              </w:rPr>
            </w:pPr>
            <w:r w:rsidRPr="005D4222">
              <w:rPr>
                <w:i/>
                <w:iCs/>
                <w:color w:val="000000" w:themeColor="text1"/>
              </w:rPr>
              <w:t>Supplemental data.</w:t>
            </w:r>
            <w:r w:rsidRPr="005D4222">
              <w:rPr>
                <w:color w:val="000000" w:themeColor="text1"/>
              </w:rPr>
              <w:t xml:space="preserve"> Supplemental data may be used to identify initial population, denominator, exclusion and numerator events.</w:t>
            </w:r>
          </w:p>
          <w:p w14:paraId="0CB73F3A" w14:textId="77777777" w:rsidR="00B25234" w:rsidRPr="005D4222" w:rsidRDefault="00B25234" w:rsidP="00A53E8C">
            <w:pPr>
              <w:pStyle w:val="Adjustments"/>
            </w:pPr>
            <w:r w:rsidRPr="005D4222">
              <w:t xml:space="preserve">Adjustments </w:t>
            </w:r>
            <w:r w:rsidRPr="005D4222">
              <w:rPr>
                <w:bCs/>
              </w:rPr>
              <w:t>a</w:t>
            </w:r>
            <w:r w:rsidRPr="005D4222">
              <w:t xml:space="preserve">llowed with </w:t>
            </w:r>
            <w:r w:rsidRPr="005D4222">
              <w:rPr>
                <w:bCs/>
              </w:rPr>
              <w:t>l</w:t>
            </w:r>
            <w:r w:rsidRPr="005D4222">
              <w:t>imits</w:t>
            </w:r>
          </w:p>
          <w:p w14:paraId="6D015BA0" w14:textId="77777777" w:rsidR="00B25234" w:rsidRPr="005D4222" w:rsidRDefault="00B25234" w:rsidP="005D6173">
            <w:pPr>
              <w:pStyle w:val="ProcessBullet"/>
              <w:numPr>
                <w:ilvl w:val="0"/>
                <w:numId w:val="77"/>
              </w:numPr>
              <w:spacing w:after="80"/>
              <w:ind w:left="216" w:hanging="216"/>
              <w:rPr>
                <w:b/>
                <w:i/>
              </w:rPr>
            </w:pPr>
            <w:r w:rsidRPr="005D4222">
              <w:rPr>
                <w:i/>
                <w:iCs/>
              </w:rPr>
              <w:t>SES stratification, skilled nursing care stratification.</w:t>
            </w:r>
            <w:r w:rsidRPr="005D4222">
              <w:rPr>
                <w:b/>
                <w:bCs/>
                <w:color w:val="000000" w:themeColor="text1"/>
              </w:rPr>
              <w:t xml:space="preserve"> </w:t>
            </w:r>
            <w:r w:rsidRPr="005D4222">
              <w:rPr>
                <w:color w:val="000000" w:themeColor="text1"/>
              </w:rPr>
              <w:t>Stratifications are not required, but if they are used, the value sets, logic and product lines may not be changed.</w:t>
            </w:r>
          </w:p>
          <w:p w14:paraId="6824F4DF" w14:textId="77777777" w:rsidR="00B25234" w:rsidRPr="005D4222" w:rsidRDefault="00B25234" w:rsidP="005D6173">
            <w:pPr>
              <w:pStyle w:val="ProcessBullet"/>
              <w:numPr>
                <w:ilvl w:val="0"/>
                <w:numId w:val="77"/>
              </w:numPr>
              <w:ind w:left="216" w:hanging="216"/>
              <w:rPr>
                <w:rFonts w:cs="Arial"/>
                <w:i/>
                <w:iCs/>
              </w:rPr>
            </w:pPr>
            <w:r w:rsidRPr="005D4222">
              <w:rPr>
                <w:rFonts w:cs="Arial"/>
                <w:i/>
                <w:iCs/>
              </w:rPr>
              <w:t>Denominator.</w:t>
            </w:r>
            <w:r w:rsidRPr="005D4222">
              <w:rPr>
                <w:iCs/>
              </w:rPr>
              <w:t xml:space="preserve"> Organizations may include denied claims to calculate denominator events.</w:t>
            </w:r>
            <w:r w:rsidRPr="005D4222">
              <w:rPr>
                <w:i/>
              </w:rPr>
              <w:t xml:space="preserve"> </w:t>
            </w:r>
            <w:r w:rsidRPr="005D4222">
              <w:t>Value sets and logic may not be changed.</w:t>
            </w:r>
          </w:p>
          <w:p w14:paraId="6CD2F0A4" w14:textId="77777777" w:rsidR="00B25234" w:rsidRPr="005D4222" w:rsidRDefault="00B25234" w:rsidP="005D6173">
            <w:pPr>
              <w:pStyle w:val="ProcessBullet"/>
              <w:numPr>
                <w:ilvl w:val="0"/>
                <w:numId w:val="98"/>
              </w:numPr>
              <w:spacing w:after="80"/>
              <w:ind w:left="216" w:hanging="216"/>
            </w:pPr>
            <w:r w:rsidRPr="005D4222">
              <w:rPr>
                <w:i/>
              </w:rPr>
              <w:t xml:space="preserve">Numerator. </w:t>
            </w:r>
            <w:r w:rsidRPr="005D4222">
              <w:t>Organizations may include denied claims to calculate the numerator.</w:t>
            </w:r>
            <w:r w:rsidRPr="005D4222">
              <w:rPr>
                <w:i/>
              </w:rPr>
              <w:t xml:space="preserve"> </w:t>
            </w:r>
            <w:r w:rsidRPr="005D4222">
              <w:t>Value sets and logic may not be changed.</w:t>
            </w:r>
          </w:p>
        </w:tc>
      </w:tr>
    </w:tbl>
    <w:p w14:paraId="623D5D2E" w14:textId="77777777" w:rsidR="008C7BB2" w:rsidRPr="005D4222" w:rsidRDefault="008C7BB2">
      <w:pPr>
        <w:rPr>
          <w:rFonts w:cs="Arial"/>
          <w:bCs/>
          <w:szCs w:val="26"/>
        </w:rPr>
        <w:sectPr w:rsidR="008C7BB2" w:rsidRPr="005D4222" w:rsidSect="0074514A">
          <w:headerReference w:type="default" r:id="rId199"/>
          <w:footerReference w:type="default" r:id="rId200"/>
          <w:type w:val="nextColumn"/>
          <w:pgSz w:w="12240" w:h="15840" w:code="1"/>
          <w:pgMar w:top="1080" w:right="1080" w:bottom="1080" w:left="1440" w:header="720" w:footer="720" w:gutter="0"/>
          <w:cols w:space="720"/>
          <w:docGrid w:linePitch="360"/>
        </w:sectPr>
      </w:pPr>
      <w:bookmarkStart w:id="396" w:name="_Toc201813454"/>
    </w:p>
    <w:p w14:paraId="30B25012" w14:textId="3F847A44" w:rsidR="00674C67" w:rsidRPr="005D4222" w:rsidRDefault="002D55FC" w:rsidP="002D55FC">
      <w:pPr>
        <w:pStyle w:val="MeasureTitle"/>
      </w:pPr>
      <w:r w:rsidRPr="005D4222">
        <w:lastRenderedPageBreak/>
        <w:t>Hospitalization Following Discharge From a Skilled Nursing Facility</w:t>
      </w:r>
      <w:r w:rsidR="0096709F" w:rsidRPr="005D4222">
        <w:t xml:space="preserve"> (HFS)</w:t>
      </w:r>
      <w:bookmarkEnd w:id="396"/>
    </w:p>
    <w:tbl>
      <w:tblPr>
        <w:tblW w:w="9720"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9"/>
        <w:gridCol w:w="5218"/>
        <w:gridCol w:w="1440"/>
        <w:gridCol w:w="903"/>
      </w:tblGrid>
      <w:tr w:rsidR="00DF6008" w:rsidRPr="005D4222" w14:paraId="72903441" w14:textId="77777777" w:rsidTr="00DF6008">
        <w:trPr>
          <w:trHeight w:val="300"/>
        </w:trPr>
        <w:tc>
          <w:tcPr>
            <w:tcW w:w="2159" w:type="dxa"/>
            <w:shd w:val="clear" w:color="auto" w:fill="BFBFBF" w:themeFill="background1" w:themeFillShade="BF"/>
            <w:tcMar>
              <w:top w:w="0" w:type="dxa"/>
              <w:left w:w="86" w:type="dxa"/>
              <w:bottom w:w="43" w:type="dxa"/>
              <w:right w:w="86" w:type="dxa"/>
            </w:tcMar>
            <w:hideMark/>
          </w:tcPr>
          <w:p w14:paraId="7C62815B" w14:textId="77777777" w:rsidR="00DF6008" w:rsidRPr="005D4222" w:rsidRDefault="00DF6008" w:rsidP="00A53E8C">
            <w:pPr>
              <w:pStyle w:val="ECDSMarginHead"/>
            </w:pPr>
            <w:r w:rsidRPr="005D4222">
              <w:t>Measure title</w:t>
            </w:r>
          </w:p>
        </w:tc>
        <w:tc>
          <w:tcPr>
            <w:tcW w:w="5218" w:type="dxa"/>
            <w:tcMar>
              <w:top w:w="0" w:type="dxa"/>
              <w:left w:w="86" w:type="dxa"/>
              <w:bottom w:w="43" w:type="dxa"/>
              <w:right w:w="86" w:type="dxa"/>
            </w:tcMar>
          </w:tcPr>
          <w:p w14:paraId="6A097C5D" w14:textId="77777777" w:rsidR="00DF6008" w:rsidRPr="005D4222" w:rsidRDefault="00DF6008" w:rsidP="00A53E8C">
            <w:pPr>
              <w:pStyle w:val="ECDSBody"/>
            </w:pPr>
            <w:r w:rsidRPr="005D4222">
              <w:t>Hospitalization Following Discharge From a Skilled Nursing Facility</w:t>
            </w:r>
          </w:p>
        </w:tc>
        <w:tc>
          <w:tcPr>
            <w:tcW w:w="1440" w:type="dxa"/>
            <w:shd w:val="clear" w:color="auto" w:fill="BFBFBF" w:themeFill="background1" w:themeFillShade="BF"/>
            <w:tcMar>
              <w:top w:w="0" w:type="dxa"/>
              <w:left w:w="86" w:type="dxa"/>
              <w:bottom w:w="43" w:type="dxa"/>
              <w:right w:w="86" w:type="dxa"/>
            </w:tcMar>
          </w:tcPr>
          <w:p w14:paraId="08F4E2D1" w14:textId="77777777" w:rsidR="00DF6008" w:rsidRPr="005D4222" w:rsidRDefault="00DF6008" w:rsidP="00276497">
            <w:pPr>
              <w:pStyle w:val="ECDSMarginHead"/>
            </w:pPr>
            <w:r w:rsidRPr="005D4222">
              <w:t>Measure ID</w:t>
            </w:r>
          </w:p>
        </w:tc>
        <w:tc>
          <w:tcPr>
            <w:tcW w:w="903" w:type="dxa"/>
            <w:tcMar>
              <w:top w:w="0" w:type="dxa"/>
              <w:left w:w="86" w:type="dxa"/>
              <w:bottom w:w="43" w:type="dxa"/>
              <w:right w:w="86" w:type="dxa"/>
            </w:tcMar>
          </w:tcPr>
          <w:p w14:paraId="35AE1609" w14:textId="77777777" w:rsidR="00DF6008" w:rsidRPr="005D4222" w:rsidRDefault="00DF6008" w:rsidP="00A53E8C">
            <w:pPr>
              <w:pStyle w:val="ECDSBody"/>
            </w:pPr>
            <w:r w:rsidRPr="005D4222">
              <w:t>HFS</w:t>
            </w:r>
          </w:p>
        </w:tc>
      </w:tr>
      <w:tr w:rsidR="00DF6008" w:rsidRPr="005D4222" w14:paraId="0DF539AB" w14:textId="77777777" w:rsidTr="00DF6008">
        <w:trPr>
          <w:trHeight w:val="300"/>
        </w:trPr>
        <w:tc>
          <w:tcPr>
            <w:tcW w:w="2159" w:type="dxa"/>
            <w:shd w:val="clear" w:color="auto" w:fill="BFBFBF" w:themeFill="background1" w:themeFillShade="BF"/>
            <w:tcMar>
              <w:top w:w="0" w:type="dxa"/>
              <w:left w:w="86" w:type="dxa"/>
              <w:bottom w:w="43" w:type="dxa"/>
              <w:right w:w="86" w:type="dxa"/>
            </w:tcMar>
            <w:hideMark/>
          </w:tcPr>
          <w:p w14:paraId="21318B6A" w14:textId="77777777" w:rsidR="00DF6008" w:rsidRPr="005D4222" w:rsidRDefault="00DF6008" w:rsidP="00A53E8C">
            <w:pPr>
              <w:pStyle w:val="ECDSMarginHead"/>
            </w:pPr>
            <w:r w:rsidRPr="005D4222">
              <w:t>Description</w:t>
            </w:r>
          </w:p>
        </w:tc>
        <w:tc>
          <w:tcPr>
            <w:tcW w:w="7561" w:type="dxa"/>
            <w:gridSpan w:val="3"/>
            <w:tcMar>
              <w:top w:w="0" w:type="dxa"/>
              <w:left w:w="86" w:type="dxa"/>
              <w:bottom w:w="43" w:type="dxa"/>
              <w:right w:w="86" w:type="dxa"/>
            </w:tcMar>
          </w:tcPr>
          <w:p w14:paraId="04BE2745" w14:textId="77777777" w:rsidR="00DF6008" w:rsidRPr="005D4222" w:rsidRDefault="00DF6008" w:rsidP="00A53E8C">
            <w:pPr>
              <w:pStyle w:val="ECDSBody"/>
              <w:rPr>
                <w:szCs w:val="21"/>
              </w:rPr>
            </w:pPr>
            <w:r w:rsidRPr="005D4222">
              <w:t xml:space="preserve">For persons 65 years of age and older, the risk-adjusted ratio of observed-to-expected unplanned acute hospitalizations (inpatient and observation stays) for any diagnosis within 30 days and within 60 days following a skilled nursing facility (SNF) discharge to the community. </w:t>
            </w:r>
          </w:p>
        </w:tc>
      </w:tr>
      <w:tr w:rsidR="00DF6008" w:rsidRPr="005D4222" w14:paraId="08C21A79" w14:textId="77777777" w:rsidTr="00DF6008">
        <w:trPr>
          <w:trHeight w:val="300"/>
        </w:trPr>
        <w:tc>
          <w:tcPr>
            <w:tcW w:w="2159" w:type="dxa"/>
            <w:shd w:val="clear" w:color="auto" w:fill="BFBFBF" w:themeFill="background1" w:themeFillShade="BF"/>
            <w:tcMar>
              <w:top w:w="0" w:type="dxa"/>
              <w:left w:w="86" w:type="dxa"/>
              <w:bottom w:w="43" w:type="dxa"/>
              <w:right w:w="86" w:type="dxa"/>
            </w:tcMar>
          </w:tcPr>
          <w:p w14:paraId="13B2000F" w14:textId="77777777" w:rsidR="00DF6008" w:rsidRPr="005D4222" w:rsidRDefault="00DF6008" w:rsidP="00A53E8C">
            <w:pPr>
              <w:pStyle w:val="ECDSMarginHead"/>
            </w:pPr>
            <w:r w:rsidRPr="005D4222">
              <w:t>Measurement period</w:t>
            </w:r>
          </w:p>
        </w:tc>
        <w:tc>
          <w:tcPr>
            <w:tcW w:w="7561" w:type="dxa"/>
            <w:gridSpan w:val="3"/>
            <w:tcMar>
              <w:top w:w="0" w:type="dxa"/>
              <w:left w:w="86" w:type="dxa"/>
              <w:bottom w:w="43" w:type="dxa"/>
              <w:right w:w="86" w:type="dxa"/>
            </w:tcMar>
          </w:tcPr>
          <w:p w14:paraId="2EB8F600" w14:textId="77777777" w:rsidR="00DF6008" w:rsidRPr="005D4222" w:rsidRDefault="00DF6008" w:rsidP="00A53E8C">
            <w:pPr>
              <w:pStyle w:val="ECDSBody"/>
              <w:rPr>
                <w:szCs w:val="21"/>
              </w:rPr>
            </w:pPr>
            <w:r w:rsidRPr="005D4222">
              <w:rPr>
                <w:szCs w:val="21"/>
              </w:rPr>
              <w:t>January 1–December 31.</w:t>
            </w:r>
          </w:p>
        </w:tc>
      </w:tr>
      <w:tr w:rsidR="00DF6008" w:rsidRPr="005D4222" w14:paraId="48B717B9" w14:textId="77777777" w:rsidTr="00DF6008">
        <w:trPr>
          <w:trHeight w:val="300"/>
        </w:trPr>
        <w:tc>
          <w:tcPr>
            <w:tcW w:w="2159" w:type="dxa"/>
            <w:shd w:val="clear" w:color="auto" w:fill="BFBFBF" w:themeFill="background1" w:themeFillShade="BF"/>
            <w:tcMar>
              <w:top w:w="0" w:type="dxa"/>
              <w:left w:w="86" w:type="dxa"/>
              <w:bottom w:w="43" w:type="dxa"/>
              <w:right w:w="86" w:type="dxa"/>
            </w:tcMar>
            <w:hideMark/>
          </w:tcPr>
          <w:p w14:paraId="197E377A" w14:textId="77777777" w:rsidR="00DF6008" w:rsidRPr="005D4222" w:rsidRDefault="00DF6008" w:rsidP="00A53E8C">
            <w:pPr>
              <w:pStyle w:val="ECDSMarginHead"/>
              <w:rPr>
                <w:rFonts w:eastAsia="Arial"/>
              </w:rPr>
            </w:pPr>
            <w:r w:rsidRPr="005D4222">
              <w:rPr>
                <w:rFonts w:eastAsia="Arial"/>
              </w:rPr>
              <w:t>Copyright and disclaimer notice</w:t>
            </w:r>
          </w:p>
        </w:tc>
        <w:tc>
          <w:tcPr>
            <w:tcW w:w="7561" w:type="dxa"/>
            <w:gridSpan w:val="3"/>
            <w:tcMar>
              <w:top w:w="0" w:type="dxa"/>
              <w:left w:w="86" w:type="dxa"/>
              <w:bottom w:w="43" w:type="dxa"/>
              <w:right w:w="86" w:type="dxa"/>
            </w:tcMar>
          </w:tcPr>
          <w:p w14:paraId="1A22FA8C" w14:textId="77777777" w:rsidR="00DF6008" w:rsidRPr="005D4222" w:rsidRDefault="00DF6008" w:rsidP="00A53E8C">
            <w:pPr>
              <w:pStyle w:val="ECDSBody"/>
              <w:rPr>
                <w:szCs w:val="21"/>
              </w:rPr>
            </w:pPr>
            <w:r w:rsidRPr="005D4222">
              <w:rPr>
                <w:szCs w:val="21"/>
              </w:rPr>
              <w:t xml:space="preserve">Refer to the complete copyright and disclaimer information at the front of the publication. </w:t>
            </w:r>
          </w:p>
          <w:p w14:paraId="4AF27B51" w14:textId="77777777" w:rsidR="00DF6008" w:rsidRPr="005D4222" w:rsidRDefault="00DF6008" w:rsidP="00A53E8C">
            <w:pPr>
              <w:pStyle w:val="ECDSBody"/>
              <w:spacing w:before="80"/>
              <w:rPr>
                <w:szCs w:val="21"/>
              </w:rPr>
            </w:pPr>
            <w:r w:rsidRPr="005D4222">
              <w:rPr>
                <w:szCs w:val="21"/>
              </w:rPr>
              <w:t xml:space="preserve">NCQA website: </w:t>
            </w:r>
            <w:r w:rsidRPr="005D4222">
              <w:rPr>
                <w:szCs w:val="21"/>
                <w:u w:val="single"/>
              </w:rPr>
              <w:t>www.ncqa.org</w:t>
            </w:r>
            <w:r w:rsidRPr="005D4222">
              <w:rPr>
                <w:szCs w:val="21"/>
              </w:rPr>
              <w:t xml:space="preserve">. </w:t>
            </w:r>
          </w:p>
          <w:p w14:paraId="53719D94" w14:textId="77777777" w:rsidR="00DF6008" w:rsidRPr="005D4222" w:rsidRDefault="00DF6008" w:rsidP="00A53E8C">
            <w:pPr>
              <w:pStyle w:val="ECDSBody"/>
              <w:spacing w:before="80"/>
              <w:rPr>
                <w:szCs w:val="21"/>
              </w:rPr>
            </w:pPr>
            <w:r w:rsidRPr="005D4222">
              <w:rPr>
                <w:szCs w:val="21"/>
              </w:rPr>
              <w:t>Submit policy clarification support questions via My NCQA (</w:t>
            </w:r>
            <w:r w:rsidRPr="005D4222">
              <w:rPr>
                <w:szCs w:val="21"/>
                <w:u w:val="single"/>
              </w:rPr>
              <w:t>https://my.ncqa.org</w:t>
            </w:r>
            <w:r w:rsidRPr="005D4222">
              <w:rPr>
                <w:szCs w:val="21"/>
              </w:rPr>
              <w:t>).</w:t>
            </w:r>
          </w:p>
        </w:tc>
      </w:tr>
      <w:tr w:rsidR="00DF6008" w:rsidRPr="005D4222" w14:paraId="73CC69E3" w14:textId="77777777" w:rsidTr="00DF6008">
        <w:trPr>
          <w:trHeight w:val="655"/>
        </w:trPr>
        <w:tc>
          <w:tcPr>
            <w:tcW w:w="2159" w:type="dxa"/>
            <w:shd w:val="clear" w:color="auto" w:fill="BFBFBF" w:themeFill="background1" w:themeFillShade="BF"/>
            <w:tcMar>
              <w:top w:w="0" w:type="dxa"/>
              <w:left w:w="86" w:type="dxa"/>
              <w:bottom w:w="43" w:type="dxa"/>
              <w:right w:w="86" w:type="dxa"/>
            </w:tcMar>
            <w:hideMark/>
          </w:tcPr>
          <w:p w14:paraId="3315EFB2" w14:textId="77777777" w:rsidR="00DF6008" w:rsidRPr="005D4222" w:rsidRDefault="00DF6008" w:rsidP="00A53E8C">
            <w:pPr>
              <w:pStyle w:val="ECDSMarginHead"/>
            </w:pPr>
            <w:r w:rsidRPr="005D4222">
              <w:t>Clinical recommendation statement/ rationale</w:t>
            </w:r>
          </w:p>
        </w:tc>
        <w:tc>
          <w:tcPr>
            <w:tcW w:w="7561" w:type="dxa"/>
            <w:gridSpan w:val="3"/>
            <w:tcMar>
              <w:top w:w="0" w:type="dxa"/>
              <w:left w:w="86" w:type="dxa"/>
              <w:bottom w:w="43" w:type="dxa"/>
              <w:right w:w="86" w:type="dxa"/>
            </w:tcMar>
          </w:tcPr>
          <w:p w14:paraId="6B99512F" w14:textId="77777777" w:rsidR="00DF6008" w:rsidRPr="005D4222" w:rsidRDefault="00DF6008" w:rsidP="00A53E8C">
            <w:pPr>
              <w:pStyle w:val="ECDSBody"/>
              <w:rPr>
                <w:szCs w:val="21"/>
              </w:rPr>
            </w:pPr>
            <w:r w:rsidRPr="005D4222">
              <w:rPr>
                <w:szCs w:val="21"/>
              </w:rPr>
              <w:t>Patients readmitted to a hospital from inpatient rehabilitation facilities and SNF</w:t>
            </w:r>
            <w:r w:rsidRPr="005D4222" w:rsidDel="004B75AD">
              <w:rPr>
                <w:szCs w:val="21"/>
              </w:rPr>
              <w:t>s</w:t>
            </w:r>
            <w:r w:rsidRPr="005D4222">
              <w:rPr>
                <w:szCs w:val="21"/>
              </w:rPr>
              <w:t xml:space="preserve"> were found to be twice as likely to die within 30 days, and nearly four times as likely to die within 100 days, than patients without a readmission event. Health plans are accountable for a person’s entire episode of care including care prior to SNF admission, during SNF stay and after SNF discharge.</w:t>
            </w:r>
          </w:p>
        </w:tc>
      </w:tr>
      <w:tr w:rsidR="00DF6008" w:rsidRPr="005D4222" w14:paraId="3BF844E9" w14:textId="77777777" w:rsidTr="00DF6008">
        <w:trPr>
          <w:trHeight w:val="300"/>
        </w:trPr>
        <w:tc>
          <w:tcPr>
            <w:tcW w:w="2159" w:type="dxa"/>
            <w:shd w:val="clear" w:color="auto" w:fill="BFBFBF" w:themeFill="background1" w:themeFillShade="BF"/>
            <w:tcMar>
              <w:top w:w="0" w:type="dxa"/>
              <w:left w:w="86" w:type="dxa"/>
              <w:bottom w:w="43" w:type="dxa"/>
              <w:right w:w="86" w:type="dxa"/>
            </w:tcMar>
          </w:tcPr>
          <w:p w14:paraId="04072660" w14:textId="77777777" w:rsidR="00DF6008" w:rsidRPr="005D4222" w:rsidRDefault="00DF6008" w:rsidP="00A53E8C">
            <w:pPr>
              <w:pStyle w:val="ECDSMarginHead"/>
            </w:pPr>
            <w:r w:rsidRPr="005D4222">
              <w:t>Citations</w:t>
            </w:r>
          </w:p>
        </w:tc>
        <w:tc>
          <w:tcPr>
            <w:tcW w:w="7561" w:type="dxa"/>
            <w:gridSpan w:val="3"/>
            <w:tcMar>
              <w:top w:w="0" w:type="dxa"/>
              <w:left w:w="86" w:type="dxa"/>
              <w:bottom w:w="43" w:type="dxa"/>
              <w:right w:w="86" w:type="dxa"/>
            </w:tcMar>
          </w:tcPr>
          <w:p w14:paraId="2157DC8F" w14:textId="77777777" w:rsidR="00DF6008" w:rsidRPr="005D4222" w:rsidRDefault="00DF6008" w:rsidP="00A53E8C">
            <w:pPr>
              <w:pStyle w:val="ECDSBody"/>
              <w:rPr>
                <w:szCs w:val="21"/>
              </w:rPr>
            </w:pPr>
            <w:r w:rsidRPr="005D4222">
              <w:rPr>
                <w:szCs w:val="21"/>
              </w:rPr>
              <w:t xml:space="preserve">Hakkarainen, T.W., S. Arbabi, M.M. Willis, G.H. Davidson, D.R. Flum. 2016. “Outcomes of Patients Discharged to Skilled Nursing Facilities After Acute Care Hospitalizations.” </w:t>
            </w:r>
            <w:r w:rsidRPr="005D4222">
              <w:rPr>
                <w:i/>
                <w:iCs/>
                <w:szCs w:val="21"/>
              </w:rPr>
              <w:t>Ann Surg</w:t>
            </w:r>
            <w:r w:rsidRPr="005D4222">
              <w:rPr>
                <w:szCs w:val="21"/>
              </w:rPr>
              <w:t xml:space="preserve"> 263(2):280–5. doi:10.1097/SLA.0000000000001367.</w:t>
            </w:r>
          </w:p>
          <w:p w14:paraId="42B52FD1" w14:textId="77777777" w:rsidR="00DF6008" w:rsidRPr="005D4222" w:rsidRDefault="00DF6008" w:rsidP="00A53E8C">
            <w:pPr>
              <w:pStyle w:val="ECDSBody"/>
              <w:rPr>
                <w:szCs w:val="21"/>
              </w:rPr>
            </w:pPr>
            <w:r w:rsidRPr="005D4222">
              <w:rPr>
                <w:szCs w:val="21"/>
              </w:rPr>
              <w:t xml:space="preserve">Mor, V., O. Intrator, Z. Feng, D.C. Grabowki. 2010. “The Revolving Door of Rehospitalization From Skilled Nursing Facilities.” </w:t>
            </w:r>
            <w:r w:rsidRPr="005D4222">
              <w:rPr>
                <w:i/>
                <w:iCs/>
                <w:szCs w:val="21"/>
              </w:rPr>
              <w:t xml:space="preserve">Health Affairs </w:t>
            </w:r>
            <w:r w:rsidRPr="005D4222">
              <w:rPr>
                <w:szCs w:val="21"/>
              </w:rPr>
              <w:t>29(1): 57–64. doi: 10.1377/hlthaff.2009.0629.</w:t>
            </w:r>
          </w:p>
        </w:tc>
      </w:tr>
      <w:tr w:rsidR="00DF6008" w:rsidRPr="005D4222" w14:paraId="2CDE73CD" w14:textId="77777777" w:rsidTr="00DF6008">
        <w:trPr>
          <w:trHeight w:val="300"/>
        </w:trPr>
        <w:tc>
          <w:tcPr>
            <w:tcW w:w="9720"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3E786C45" w14:textId="77777777" w:rsidR="00DF6008" w:rsidRPr="005D4222" w:rsidRDefault="00DF6008" w:rsidP="00A53E8C">
            <w:pPr>
              <w:pStyle w:val="ECDSMarginHead"/>
            </w:pPr>
            <w:r w:rsidRPr="005D4222">
              <w:t>Characteristics</w:t>
            </w:r>
          </w:p>
        </w:tc>
      </w:tr>
      <w:tr w:rsidR="00DF6008" w:rsidRPr="005D4222" w14:paraId="4E3F6EDC" w14:textId="77777777" w:rsidTr="00DF6008">
        <w:trPr>
          <w:trHeight w:val="300"/>
        </w:trPr>
        <w:tc>
          <w:tcPr>
            <w:tcW w:w="2159"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6D0D460D" w14:textId="77777777" w:rsidR="00DF6008" w:rsidRPr="005D4222" w:rsidRDefault="00DF6008" w:rsidP="00DF6008">
            <w:pPr>
              <w:pStyle w:val="ECDSMarginSubhead"/>
              <w:spacing w:after="0"/>
            </w:pPr>
            <w:r w:rsidRPr="005D4222">
              <w:t>Scoring</w:t>
            </w:r>
          </w:p>
        </w:tc>
        <w:tc>
          <w:tcPr>
            <w:tcW w:w="7561"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314564F9" w14:textId="77777777" w:rsidR="00DF6008" w:rsidRPr="005D4222" w:rsidRDefault="00DF6008" w:rsidP="00DF6008">
            <w:pPr>
              <w:pStyle w:val="ECDSBody"/>
              <w:spacing w:after="0"/>
            </w:pPr>
            <w:r w:rsidRPr="005D4222">
              <w:t>Ratio.</w:t>
            </w:r>
          </w:p>
        </w:tc>
      </w:tr>
      <w:tr w:rsidR="00DF6008" w:rsidRPr="005D4222" w14:paraId="79518963" w14:textId="77777777" w:rsidTr="0096709F">
        <w:trPr>
          <w:trHeight w:val="300"/>
        </w:trPr>
        <w:tc>
          <w:tcPr>
            <w:tcW w:w="2159" w:type="dxa"/>
            <w:tcBorders>
              <w:top w:val="nil"/>
              <w:left w:val="single" w:sz="4" w:space="0" w:color="auto"/>
              <w:bottom w:val="nil"/>
              <w:right w:val="single" w:sz="4" w:space="0" w:color="auto"/>
            </w:tcBorders>
            <w:tcMar>
              <w:top w:w="0" w:type="dxa"/>
              <w:left w:w="86" w:type="dxa"/>
              <w:bottom w:w="43" w:type="dxa"/>
              <w:right w:w="86" w:type="dxa"/>
            </w:tcMar>
          </w:tcPr>
          <w:p w14:paraId="728CD5EB" w14:textId="768A0589" w:rsidR="00DF6008" w:rsidRPr="005D4222" w:rsidRDefault="00B51CDC" w:rsidP="00DF6008">
            <w:pPr>
              <w:pStyle w:val="ECDSMarginSubhead"/>
              <w:spacing w:after="0"/>
            </w:pPr>
            <w:r w:rsidRPr="005D4222">
              <w:t>Product lines</w:t>
            </w:r>
          </w:p>
        </w:tc>
        <w:tc>
          <w:tcPr>
            <w:tcW w:w="7561" w:type="dxa"/>
            <w:gridSpan w:val="3"/>
            <w:tcBorders>
              <w:top w:val="nil"/>
              <w:left w:val="single" w:sz="4" w:space="0" w:color="auto"/>
              <w:bottom w:val="nil"/>
              <w:right w:val="single" w:sz="4" w:space="0" w:color="auto"/>
            </w:tcBorders>
            <w:tcMar>
              <w:top w:w="0" w:type="dxa"/>
              <w:left w:w="86" w:type="dxa"/>
              <w:bottom w:w="43" w:type="dxa"/>
              <w:right w:w="86" w:type="dxa"/>
            </w:tcMar>
          </w:tcPr>
          <w:p w14:paraId="1FF79D12" w14:textId="77777777" w:rsidR="00DF6008" w:rsidRPr="005D4222" w:rsidRDefault="00DF6008" w:rsidP="00DF6008">
            <w:pPr>
              <w:pStyle w:val="ECDSBody"/>
              <w:spacing w:after="0"/>
            </w:pPr>
            <w:r w:rsidRPr="005D4222">
              <w:t>Medicare.</w:t>
            </w:r>
          </w:p>
        </w:tc>
      </w:tr>
      <w:tr w:rsidR="00DF6008" w:rsidRPr="005D4222" w14:paraId="55D804BE" w14:textId="77777777" w:rsidTr="0096709F">
        <w:trPr>
          <w:trHeight w:val="300"/>
        </w:trPr>
        <w:tc>
          <w:tcPr>
            <w:tcW w:w="2159"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4810909A" w14:textId="5F582D66" w:rsidR="00DF6008" w:rsidRPr="005D4222" w:rsidRDefault="00B51CDC" w:rsidP="00A53E8C">
            <w:pPr>
              <w:pStyle w:val="ECDSMarginSubhead"/>
            </w:pPr>
            <w:r w:rsidRPr="005D4222">
              <w:t>Stratifications</w:t>
            </w:r>
            <w:r w:rsidR="00DF6008" w:rsidRPr="005D4222">
              <w:t xml:space="preserve"> </w:t>
            </w:r>
          </w:p>
        </w:tc>
        <w:tc>
          <w:tcPr>
            <w:tcW w:w="7561"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hideMark/>
          </w:tcPr>
          <w:p w14:paraId="3E8844AE" w14:textId="77777777" w:rsidR="00DF6008" w:rsidRPr="005D4222" w:rsidRDefault="00DF6008" w:rsidP="00A53E8C">
            <w:pPr>
              <w:pStyle w:val="ECDSBody"/>
            </w:pPr>
            <w:r w:rsidRPr="005D4222">
              <w:t>Age as of the SNF discharge.</w:t>
            </w:r>
          </w:p>
          <w:p w14:paraId="0CBF8DCC" w14:textId="77777777" w:rsidR="00DF6008" w:rsidRPr="005D4222" w:rsidRDefault="00DF6008" w:rsidP="00DF6008">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65-74 years.</w:t>
            </w:r>
          </w:p>
          <w:p w14:paraId="2BAF82A2" w14:textId="77777777" w:rsidR="00DF6008" w:rsidRPr="005D4222" w:rsidRDefault="00DF6008" w:rsidP="00DF6008">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75-84 years.</w:t>
            </w:r>
          </w:p>
          <w:p w14:paraId="07334B2F" w14:textId="77777777" w:rsidR="00DF6008" w:rsidRPr="005D4222" w:rsidRDefault="00DF6008" w:rsidP="0096709F">
            <w:pPr>
              <w:pStyle w:val="Bullet"/>
              <w:numPr>
                <w:ilvl w:val="0"/>
                <w:numId w:val="4"/>
              </w:numPr>
              <w:tabs>
                <w:tab w:val="left" w:pos="360"/>
                <w:tab w:val="left" w:pos="576"/>
              </w:tabs>
              <w:spacing w:after="80"/>
              <w:ind w:left="576" w:hanging="216"/>
            </w:pPr>
            <w:r w:rsidRPr="005D4222">
              <w:rPr>
                <w:rFonts w:eastAsia="Arial,Arial,Arial,Arial,Arial,A"/>
              </w:rPr>
              <w:t>85+ years.</w:t>
            </w:r>
          </w:p>
        </w:tc>
      </w:tr>
    </w:tbl>
    <w:p w14:paraId="585356B2" w14:textId="796B327F" w:rsidR="0096709F" w:rsidRPr="005D4222" w:rsidRDefault="0096709F"/>
    <w:p w14:paraId="207D2A66" w14:textId="77777777" w:rsidR="0096709F" w:rsidRPr="005D4222" w:rsidRDefault="0096709F">
      <w:r w:rsidRPr="005D4222">
        <w:br w:type="page"/>
      </w:r>
    </w:p>
    <w:tbl>
      <w:tblPr>
        <w:tblW w:w="9720" w:type="dxa"/>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9"/>
        <w:gridCol w:w="7561"/>
      </w:tblGrid>
      <w:tr w:rsidR="00DF6008" w:rsidRPr="005D4222" w14:paraId="316DAD45" w14:textId="77777777" w:rsidTr="0096709F">
        <w:trPr>
          <w:trHeight w:val="633"/>
        </w:trPr>
        <w:tc>
          <w:tcPr>
            <w:tcW w:w="2159"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9F669D8" w14:textId="0DA0CF4A" w:rsidR="00DF6008" w:rsidRPr="005D4222" w:rsidRDefault="0096709F" w:rsidP="00A53E8C">
            <w:pPr>
              <w:pStyle w:val="ECDSMarginSubhead"/>
            </w:pPr>
            <w:r w:rsidRPr="005D4222">
              <w:lastRenderedPageBreak/>
              <w:t>Guidance</w:t>
            </w:r>
          </w:p>
        </w:tc>
        <w:tc>
          <w:tcPr>
            <w:tcW w:w="7561"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576BCB2" w14:textId="77777777" w:rsidR="0096709F" w:rsidRPr="005D4222" w:rsidRDefault="0096709F" w:rsidP="0096709F">
            <w:pPr>
              <w:pStyle w:val="ECDSBody"/>
              <w:rPr>
                <w:b/>
                <w:bCs w:val="0"/>
                <w:i/>
                <w:iCs/>
              </w:rPr>
            </w:pPr>
            <w:r w:rsidRPr="005D4222">
              <w:rPr>
                <w:b/>
                <w:bCs w:val="0"/>
                <w:i/>
                <w:iCs/>
              </w:rPr>
              <w:t>Risk Adjustment Measure-Specific Guidance</w:t>
            </w:r>
          </w:p>
          <w:p w14:paraId="2731BBE0" w14:textId="77777777" w:rsidR="0096709F" w:rsidRPr="005D4222" w:rsidRDefault="0096709F" w:rsidP="0096709F">
            <w:pPr>
              <w:pStyle w:val="ECDSBody"/>
              <w:spacing w:before="0"/>
            </w:pPr>
            <w:r w:rsidRPr="005D4222">
              <w:rPr>
                <w:b/>
              </w:rPr>
              <w:t>Observation stays:</w:t>
            </w:r>
            <w:r w:rsidRPr="005D4222">
              <w:t xml:space="preserve"> For observation stays (</w:t>
            </w:r>
            <w:r w:rsidRPr="005D4222">
              <w:rPr>
                <w:u w:val="single"/>
              </w:rPr>
              <w:t>Observation Stay Value Set</w:t>
            </w:r>
            <w:r w:rsidRPr="005D4222">
              <w:t>) that do not have a recorded admission or discharge date, set the admission date to the earliest date of service on the claim and set the discharge date to the last date of service on the claim.</w:t>
            </w:r>
          </w:p>
          <w:p w14:paraId="0D475598" w14:textId="77777777" w:rsidR="00DF6008" w:rsidRPr="005D4222" w:rsidRDefault="00DF6008" w:rsidP="00A53E8C">
            <w:pPr>
              <w:pStyle w:val="ECDSBody"/>
              <w:rPr>
                <w:szCs w:val="21"/>
              </w:rPr>
            </w:pPr>
            <w:r w:rsidRPr="005D4222">
              <w:rPr>
                <w:b/>
              </w:rPr>
              <w:t>Which services count?</w:t>
            </w:r>
            <w:r w:rsidRPr="005D4222">
              <w:t xml:space="preserve"> </w:t>
            </w:r>
          </w:p>
          <w:p w14:paraId="04AB5EB2" w14:textId="77777777" w:rsidR="00DF6008" w:rsidRPr="005D4222" w:rsidRDefault="00DF6008" w:rsidP="00A53E8C">
            <w:pPr>
              <w:pStyle w:val="ECDSBody"/>
              <w:rPr>
                <w:szCs w:val="21"/>
              </w:rPr>
            </w:pPr>
            <w:r w:rsidRPr="005D4222">
              <w:t>Use all paid, suspended, pending and denied claims when applying risk adjustment comorbidity category determination and the hospice exclusion. </w:t>
            </w:r>
          </w:p>
          <w:p w14:paraId="3D5C882A" w14:textId="77777777" w:rsidR="00DF6008" w:rsidRPr="005D4222" w:rsidRDefault="00DF6008" w:rsidP="00A53E8C">
            <w:pPr>
              <w:pStyle w:val="ECDSBody"/>
              <w:rPr>
                <w:szCs w:val="21"/>
              </w:rPr>
            </w:pPr>
            <w:r w:rsidRPr="005D4222">
              <w:t>Do not include denied claims when identifying all other events (e.g., the SND in the HFS measure or observed events in the other risk adjusted utilization measures); only report claims the organization paid for or expects to pay for (i.e., claims incurred but not paid).  </w:t>
            </w:r>
          </w:p>
          <w:p w14:paraId="21E08143" w14:textId="77777777" w:rsidR="00DF6008" w:rsidRPr="005D4222" w:rsidRDefault="00DF6008" w:rsidP="00A53E8C">
            <w:pPr>
              <w:pStyle w:val="ECDSBody"/>
              <w:rPr>
                <w:szCs w:val="21"/>
              </w:rPr>
            </w:pPr>
            <w:r w:rsidRPr="005D4222">
              <w:rPr>
                <w:b/>
              </w:rPr>
              <w:t xml:space="preserve">Supplemental data exceptions: </w:t>
            </w:r>
            <w:r w:rsidRPr="005D4222">
              <w:t>Supplemental data may only be used for the hospice exclusion.</w:t>
            </w:r>
          </w:p>
          <w:p w14:paraId="3CCB9E30" w14:textId="77777777" w:rsidR="00DF6008" w:rsidRPr="005D4222" w:rsidRDefault="00DF6008" w:rsidP="00A53E8C">
            <w:pPr>
              <w:pStyle w:val="ECDSBody"/>
            </w:pPr>
            <w:r w:rsidRPr="005D4222">
              <w:rPr>
                <w:b/>
              </w:rPr>
              <w:t>Transfers:</w:t>
            </w:r>
            <w:r w:rsidRPr="005D4222">
              <w:t xml:space="preserve"> </w:t>
            </w:r>
          </w:p>
          <w:p w14:paraId="6A806FC7" w14:textId="77777777" w:rsidR="00DF6008" w:rsidRPr="005D4222" w:rsidRDefault="00DF6008" w:rsidP="005D6173">
            <w:pPr>
              <w:pStyle w:val="ProcessBullet"/>
              <w:numPr>
                <w:ilvl w:val="0"/>
                <w:numId w:val="98"/>
              </w:numPr>
              <w:tabs>
                <w:tab w:val="left" w:pos="216"/>
              </w:tabs>
              <w:ind w:left="216" w:hanging="216"/>
            </w:pPr>
            <w:r w:rsidRPr="005D4222">
              <w:t xml:space="preserve">Treat transfers </w:t>
            </w:r>
            <w:r w:rsidRPr="005D4222">
              <w:rPr>
                <w:i/>
                <w:iCs/>
              </w:rPr>
              <w:t xml:space="preserve">between </w:t>
            </w:r>
            <w:r w:rsidRPr="005D4222">
              <w:t xml:space="preserve">institutions as separate admissions. </w:t>
            </w:r>
          </w:p>
          <w:p w14:paraId="5C4D050D" w14:textId="77777777" w:rsidR="00DF6008" w:rsidRPr="005D4222" w:rsidRDefault="00DF6008" w:rsidP="005D6173">
            <w:pPr>
              <w:pStyle w:val="ProcessBullet"/>
              <w:numPr>
                <w:ilvl w:val="0"/>
                <w:numId w:val="98"/>
              </w:numPr>
              <w:tabs>
                <w:tab w:val="left" w:pos="216"/>
              </w:tabs>
              <w:ind w:left="216" w:hanging="216"/>
            </w:pPr>
            <w:r w:rsidRPr="005D4222">
              <w:t xml:space="preserve">Base transfer reports </w:t>
            </w:r>
            <w:r w:rsidRPr="005D4222">
              <w:rPr>
                <w:i/>
                <w:iCs/>
              </w:rPr>
              <w:t>within</w:t>
            </w:r>
            <w:r w:rsidRPr="005D4222">
              <w:t xml:space="preserve"> an institution on the type and level of services provided. </w:t>
            </w:r>
          </w:p>
          <w:p w14:paraId="11C7A2CF" w14:textId="77777777" w:rsidR="00DF6008" w:rsidRPr="005D4222" w:rsidRDefault="00DF6008" w:rsidP="005D6173">
            <w:pPr>
              <w:pStyle w:val="ProcessBullet"/>
              <w:numPr>
                <w:ilvl w:val="0"/>
                <w:numId w:val="98"/>
              </w:numPr>
              <w:tabs>
                <w:tab w:val="left" w:pos="216"/>
              </w:tabs>
              <w:ind w:left="216" w:hanging="216"/>
            </w:pPr>
            <w:r w:rsidRPr="005D4222">
              <w:t xml:space="preserve">Report separate admissions when the transfer is between acute and nonacute levels of service or between mental health/chemical dependency services and non-mental health/chemical dependency services. </w:t>
            </w:r>
          </w:p>
          <w:p w14:paraId="32BDA5EF" w14:textId="77777777" w:rsidR="00DF6008" w:rsidRPr="005D4222" w:rsidRDefault="00DF6008" w:rsidP="005D6173">
            <w:pPr>
              <w:pStyle w:val="ProcessBullet"/>
              <w:numPr>
                <w:ilvl w:val="0"/>
                <w:numId w:val="98"/>
              </w:numPr>
              <w:tabs>
                <w:tab w:val="left" w:pos="216"/>
              </w:tabs>
              <w:ind w:left="216" w:hanging="216"/>
            </w:pPr>
            <w:r w:rsidRPr="005D4222">
              <w:t>Count only one admission when the transfer takes place within the same service category, but to a different level of care (e.g., from intensive care to a lesser level of care; from a lesser level of care to intensive care).</w:t>
            </w:r>
          </w:p>
          <w:p w14:paraId="30938749" w14:textId="77777777" w:rsidR="00DF6008" w:rsidRPr="005D4222" w:rsidRDefault="00DF6008" w:rsidP="00A53E8C">
            <w:pPr>
              <w:pStyle w:val="ECDSBody"/>
            </w:pPr>
            <w:r w:rsidRPr="005D4222">
              <w:rPr>
                <w:b/>
              </w:rPr>
              <w:t>Risk adjustment:</w:t>
            </w:r>
            <w:r w:rsidRPr="005D4222">
              <w:t xml:space="preserve"> Organizations may not use risk assessment protocols to supplement diagnoses for calculation of the risk adjustment scores for these measures. The measurement model was developed and tested using only claims-based diagnoses; diagnoses from additional data sources would affect the validity of the models as they are currently implemented in the specification. </w:t>
            </w:r>
          </w:p>
          <w:p w14:paraId="26B9BD9C" w14:textId="77777777" w:rsidR="00DF6008" w:rsidRPr="005D4222" w:rsidRDefault="00DF6008" w:rsidP="00A53E8C">
            <w:pPr>
              <w:pStyle w:val="ECDSBody"/>
              <w:rPr>
                <w:b/>
                <w:bCs w:val="0"/>
                <w:i/>
                <w:iCs/>
              </w:rPr>
            </w:pPr>
            <w:r w:rsidRPr="005D4222">
              <w:rPr>
                <w:b/>
                <w:bCs w:val="0"/>
                <w:i/>
                <w:iCs/>
              </w:rPr>
              <w:t>General Rules</w:t>
            </w:r>
          </w:p>
          <w:p w14:paraId="3EABC517" w14:textId="72D1A956" w:rsidR="00DF6008" w:rsidRPr="005D4222" w:rsidRDefault="00DF6008" w:rsidP="00A53E8C">
            <w:pPr>
              <w:pStyle w:val="ECDSBody"/>
              <w:spacing w:before="0"/>
            </w:pPr>
            <w:r w:rsidRPr="005D4222">
              <w:rPr>
                <w:b/>
                <w:bCs w:val="0"/>
              </w:rPr>
              <w:t xml:space="preserve">Data collection methodology: </w:t>
            </w:r>
            <w:r w:rsidRPr="005D4222">
              <w:t xml:space="preserve">Administrative. Refer to </w:t>
            </w:r>
            <w:hyperlink w:anchor="General_Guideline_Data_Collection_Method" w:history="1">
              <w:r w:rsidRPr="005D4222">
                <w:rPr>
                  <w:rStyle w:val="Hyperlink"/>
                  <w:i/>
                  <w:iCs/>
                </w:rPr>
                <w:t>General Guideline: Data Collection Methods</w:t>
              </w:r>
            </w:hyperlink>
            <w:r w:rsidRPr="005D4222">
              <w:t xml:space="preserve"> for additional information.  </w:t>
            </w:r>
          </w:p>
          <w:p w14:paraId="5EB4DEC4" w14:textId="77777777" w:rsidR="00DF6008" w:rsidRPr="005D4222" w:rsidRDefault="00DF6008" w:rsidP="00A53E8C">
            <w:pPr>
              <w:pStyle w:val="ECDSBody"/>
            </w:pPr>
            <w:r w:rsidRPr="005D4222">
              <w:rPr>
                <w:b/>
                <w:bCs w:val="0"/>
              </w:rPr>
              <w:t xml:space="preserve">Date specificity: </w:t>
            </w:r>
            <w:r w:rsidRPr="005D4222">
              <w:t>Dates must be specific enough to determine the event occurred in the period being measured. </w:t>
            </w:r>
          </w:p>
          <w:p w14:paraId="5BD2F61E" w14:textId="77777777" w:rsidR="00DF6008" w:rsidRPr="005D4222" w:rsidRDefault="00DF6008" w:rsidP="00A53E8C">
            <w:pPr>
              <w:pStyle w:val="ECDSBody"/>
              <w:rPr>
                <w:szCs w:val="21"/>
              </w:rPr>
            </w:pPr>
            <w:r w:rsidRPr="005D4222">
              <w:rPr>
                <w:b/>
                <w:bCs w:val="0"/>
                <w:szCs w:val="21"/>
              </w:rPr>
              <w:t>Other guidance</w:t>
            </w:r>
            <w:r w:rsidRPr="005D4222">
              <w:rPr>
                <w:szCs w:val="21"/>
              </w:rPr>
              <w:t>: The measure is based on episodes; therefore, it is possible for the denominator to include multiple events for the same person.</w:t>
            </w:r>
          </w:p>
          <w:p w14:paraId="69FD31D5" w14:textId="050997B9" w:rsidR="00DF6008" w:rsidRPr="005D4222" w:rsidRDefault="00DF6008" w:rsidP="00D66A85">
            <w:pPr>
              <w:pStyle w:val="ECDSBody"/>
              <w:rPr>
                <w:b/>
                <w:bCs w:val="0"/>
                <w:i/>
                <w:iCs/>
              </w:rPr>
            </w:pPr>
            <w:r w:rsidRPr="005D4222">
              <w:rPr>
                <w:b/>
                <w:bCs w:val="0"/>
              </w:rPr>
              <w:t xml:space="preserve">Improvement </w:t>
            </w:r>
            <w:r w:rsidR="00D66A85" w:rsidRPr="005D4222">
              <w:rPr>
                <w:b/>
                <w:bCs w:val="0"/>
              </w:rPr>
              <w:t>n</w:t>
            </w:r>
            <w:r w:rsidRPr="005D4222">
              <w:rPr>
                <w:b/>
                <w:bCs w:val="0"/>
              </w:rPr>
              <w:t>otation</w:t>
            </w:r>
            <w:r w:rsidR="00D66A85" w:rsidRPr="005D4222">
              <w:rPr>
                <w:b/>
                <w:bCs w:val="0"/>
              </w:rPr>
              <w:t xml:space="preserve">: </w:t>
            </w:r>
            <w:r w:rsidRPr="005D4222">
              <w:rPr>
                <w:color w:val="000000"/>
                <w:shd w:val="clear" w:color="auto" w:fill="FFFFFF"/>
              </w:rPr>
              <w:t>To interpret the ra</w:t>
            </w:r>
            <w:r w:rsidRPr="005D4222">
              <w:rPr>
                <w:color w:val="000000" w:themeColor="text1"/>
              </w:rPr>
              <w:t>tio</w:t>
            </w:r>
            <w:r w:rsidRPr="005D4222">
              <w:rPr>
                <w:color w:val="000000"/>
                <w:shd w:val="clear" w:color="auto" w:fill="FFFFFF"/>
              </w:rPr>
              <w:t xml:space="preserve"> as better or worse than expected, the rat</w:t>
            </w:r>
            <w:r w:rsidRPr="005D4222">
              <w:rPr>
                <w:color w:val="000000" w:themeColor="text1"/>
              </w:rPr>
              <w:t>io</w:t>
            </w:r>
            <w:r w:rsidRPr="005D4222">
              <w:rPr>
                <w:color w:val="000000"/>
                <w:shd w:val="clear" w:color="auto" w:fill="FFFFFF"/>
              </w:rPr>
              <w:t xml:space="preserve"> must be calibrated. Organizations can calibrate rat</w:t>
            </w:r>
            <w:r w:rsidRPr="005D4222">
              <w:rPr>
                <w:color w:val="000000" w:themeColor="text1"/>
              </w:rPr>
              <w:t>io</w:t>
            </w:r>
            <w:r w:rsidRPr="005D4222">
              <w:rPr>
                <w:color w:val="000000"/>
                <w:shd w:val="clear" w:color="auto" w:fill="FFFFFF"/>
              </w:rPr>
              <w:t>s by dividing individual organization rat</w:t>
            </w:r>
            <w:r w:rsidRPr="005D4222">
              <w:rPr>
                <w:color w:val="000000" w:themeColor="text1"/>
              </w:rPr>
              <w:t>io</w:t>
            </w:r>
            <w:r w:rsidRPr="005D4222">
              <w:rPr>
                <w:color w:val="000000"/>
                <w:shd w:val="clear" w:color="auto" w:fill="FFFFFF"/>
              </w:rPr>
              <w:t>s or national percentiles by the national average rat</w:t>
            </w:r>
            <w:r w:rsidRPr="005D4222">
              <w:rPr>
                <w:color w:val="000000" w:themeColor="text1"/>
              </w:rPr>
              <w:t>ios</w:t>
            </w:r>
            <w:r w:rsidRPr="005D4222">
              <w:rPr>
                <w:color w:val="000000"/>
                <w:shd w:val="clear" w:color="auto" w:fill="FFFFFF"/>
              </w:rPr>
              <w:t xml:space="preserve">. Organizations </w:t>
            </w:r>
            <w:r w:rsidRPr="005D4222">
              <w:rPr>
                <w:color w:val="000000" w:themeColor="text1"/>
              </w:rPr>
              <w:t>may</w:t>
            </w:r>
            <w:r w:rsidRPr="005D4222">
              <w:rPr>
                <w:color w:val="000000"/>
                <w:shd w:val="clear" w:color="auto" w:fill="FFFFFF"/>
              </w:rPr>
              <w:t xml:space="preserve"> be more successful at achieving fewer readmissions than expected, given the types of cases treated by the organization (calibrated rat</w:t>
            </w:r>
            <w:r w:rsidRPr="005D4222">
              <w:rPr>
                <w:color w:val="000000" w:themeColor="text1"/>
              </w:rPr>
              <w:t>io</w:t>
            </w:r>
            <w:r w:rsidRPr="005D4222">
              <w:rPr>
                <w:color w:val="000000"/>
                <w:shd w:val="clear" w:color="auto" w:fill="FFFFFF"/>
              </w:rPr>
              <w:t xml:space="preserve"> with a value &lt;1.0), or may be less successful (calibrated rat</w:t>
            </w:r>
            <w:r w:rsidRPr="005D4222">
              <w:rPr>
                <w:color w:val="000000" w:themeColor="text1"/>
              </w:rPr>
              <w:t>io</w:t>
            </w:r>
            <w:r w:rsidRPr="005D4222">
              <w:rPr>
                <w:color w:val="000000"/>
                <w:shd w:val="clear" w:color="auto" w:fill="FFFFFF"/>
              </w:rPr>
              <w:t xml:space="preserve"> with a value &gt;1.0).</w:t>
            </w:r>
          </w:p>
        </w:tc>
      </w:tr>
    </w:tbl>
    <w:p w14:paraId="097109BC" w14:textId="77777777" w:rsidR="00DF6008" w:rsidRPr="005D4222" w:rsidRDefault="00DF6008">
      <w:r w:rsidRPr="005D4222">
        <w:br w:type="page"/>
      </w:r>
    </w:p>
    <w:tbl>
      <w:tblPr>
        <w:tblW w:w="9720"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9"/>
        <w:gridCol w:w="7561"/>
      </w:tblGrid>
      <w:tr w:rsidR="00DF6008" w:rsidRPr="005D4222" w14:paraId="3AE3055F" w14:textId="77777777" w:rsidTr="004B225A">
        <w:trPr>
          <w:trHeight w:val="300"/>
        </w:trPr>
        <w:tc>
          <w:tcPr>
            <w:tcW w:w="9720" w:type="dxa"/>
            <w:gridSpan w:val="2"/>
            <w:tcBorders>
              <w:top w:val="single" w:sz="4" w:space="0" w:color="auto"/>
              <w:bottom w:val="single" w:sz="4" w:space="0" w:color="auto"/>
            </w:tcBorders>
            <w:shd w:val="clear" w:color="auto" w:fill="BFBFBF" w:themeFill="background1" w:themeFillShade="BF"/>
            <w:tcMar>
              <w:top w:w="0" w:type="dxa"/>
              <w:left w:w="86" w:type="dxa"/>
              <w:bottom w:w="43" w:type="dxa"/>
              <w:right w:w="86" w:type="dxa"/>
            </w:tcMar>
          </w:tcPr>
          <w:p w14:paraId="579CF154" w14:textId="77777777" w:rsidR="00DF6008" w:rsidRPr="005D4222" w:rsidRDefault="00DF6008" w:rsidP="00A53E8C">
            <w:pPr>
              <w:pStyle w:val="ECDSMarginHead"/>
            </w:pPr>
            <w:r w:rsidRPr="005D4222">
              <w:lastRenderedPageBreak/>
              <w:t>Definitions</w:t>
            </w:r>
          </w:p>
        </w:tc>
      </w:tr>
      <w:tr w:rsidR="00DF6008" w:rsidRPr="005D4222" w14:paraId="4507EF19" w14:textId="77777777" w:rsidTr="004B225A">
        <w:tc>
          <w:tcPr>
            <w:tcW w:w="2159" w:type="dxa"/>
            <w:tcBorders>
              <w:top w:val="single" w:sz="4" w:space="0" w:color="auto"/>
              <w:bottom w:val="nil"/>
              <w:right w:val="single" w:sz="4" w:space="0" w:color="auto"/>
            </w:tcBorders>
            <w:tcMar>
              <w:top w:w="0" w:type="dxa"/>
              <w:left w:w="86" w:type="dxa"/>
              <w:bottom w:w="43" w:type="dxa"/>
              <w:right w:w="86" w:type="dxa"/>
            </w:tcMar>
          </w:tcPr>
          <w:p w14:paraId="3251EFE5" w14:textId="77777777" w:rsidR="00DF6008" w:rsidRPr="005D4222" w:rsidRDefault="00DF6008" w:rsidP="00A53E8C">
            <w:pPr>
              <w:pStyle w:val="ECDSMarginSubhead"/>
            </w:pPr>
            <w:r w:rsidRPr="005D4222">
              <w:t>Direct transfer</w:t>
            </w:r>
          </w:p>
        </w:tc>
        <w:tc>
          <w:tcPr>
            <w:tcW w:w="7561" w:type="dxa"/>
            <w:tcBorders>
              <w:top w:val="single" w:sz="4" w:space="0" w:color="auto"/>
              <w:left w:val="nil"/>
              <w:bottom w:val="nil"/>
            </w:tcBorders>
            <w:tcMar>
              <w:top w:w="0" w:type="dxa"/>
              <w:left w:w="86" w:type="dxa"/>
              <w:bottom w:w="43" w:type="dxa"/>
              <w:right w:w="86" w:type="dxa"/>
            </w:tcMar>
          </w:tcPr>
          <w:p w14:paraId="0C6CEAA1" w14:textId="77777777" w:rsidR="00DF6008" w:rsidRPr="005D4222" w:rsidRDefault="00DF6008" w:rsidP="00A53E8C">
            <w:pPr>
              <w:pStyle w:val="ECDSBody"/>
            </w:pPr>
            <w:r w:rsidRPr="005D4222">
              <w:t xml:space="preserve">When the discharge date from the initial stay precedes the admission date to a subsequent stay by 1 calendar day or less. </w:t>
            </w:r>
          </w:p>
          <w:p w14:paraId="4971CC13" w14:textId="77777777" w:rsidR="00DF6008" w:rsidRPr="005D4222" w:rsidRDefault="00DF6008" w:rsidP="00DF6008">
            <w:pPr>
              <w:pStyle w:val="Bullet"/>
              <w:numPr>
                <w:ilvl w:val="0"/>
                <w:numId w:val="4"/>
              </w:numPr>
              <w:tabs>
                <w:tab w:val="left" w:pos="360"/>
                <w:tab w:val="left" w:pos="576"/>
              </w:tabs>
              <w:ind w:left="576" w:hanging="216"/>
              <w:rPr>
                <w:i/>
                <w:iCs/>
              </w:rPr>
            </w:pPr>
            <w:r w:rsidRPr="005D4222">
              <w:rPr>
                <w:i/>
                <w:iCs/>
              </w:rPr>
              <w:t>For example:</w:t>
            </w:r>
          </w:p>
          <w:p w14:paraId="2DAEC77A" w14:textId="77777777" w:rsidR="00DF6008" w:rsidRPr="005D4222" w:rsidRDefault="00DF6008" w:rsidP="00DF6008">
            <w:pPr>
              <w:pStyle w:val="Dash"/>
              <w:tabs>
                <w:tab w:val="left" w:pos="576"/>
                <w:tab w:val="left" w:pos="792"/>
              </w:tabs>
            </w:pPr>
            <w:r w:rsidRPr="005D4222">
              <w:t xml:space="preserve">A discharge on June 1, followed by a subsequent admission on June 1 or June 2, </w:t>
            </w:r>
            <w:r w:rsidRPr="005D4222">
              <w:rPr>
                <w:i/>
                <w:iCs/>
              </w:rPr>
              <w:t>is a direct transfer.</w:t>
            </w:r>
          </w:p>
          <w:p w14:paraId="25274D3E" w14:textId="77777777" w:rsidR="00DF6008" w:rsidRPr="005D4222" w:rsidRDefault="00DF6008" w:rsidP="00DF6008">
            <w:pPr>
              <w:pStyle w:val="Dash"/>
              <w:tabs>
                <w:tab w:val="left" w:pos="576"/>
                <w:tab w:val="left" w:pos="792"/>
              </w:tabs>
              <w:spacing w:after="80"/>
            </w:pPr>
            <w:r w:rsidRPr="005D4222">
              <w:t xml:space="preserve">A discharge on June 1, followed by a subsequent admission on </w:t>
            </w:r>
            <w:r w:rsidRPr="005D4222">
              <w:br/>
              <w:t xml:space="preserve">June 3, </w:t>
            </w:r>
            <w:r w:rsidRPr="005D4222">
              <w:rPr>
                <w:i/>
                <w:iCs/>
              </w:rPr>
              <w:t>is not a direct transfer;</w:t>
            </w:r>
            <w:r w:rsidRPr="005D4222">
              <w:t xml:space="preserve"> these are two distinct stays.</w:t>
            </w:r>
          </w:p>
          <w:p w14:paraId="6FCB06A8" w14:textId="77777777" w:rsidR="00DF6008" w:rsidRPr="005D4222" w:rsidRDefault="00DF6008" w:rsidP="00DF6008">
            <w:pPr>
              <w:pStyle w:val="Dash"/>
              <w:tabs>
                <w:tab w:val="left" w:pos="576"/>
                <w:tab w:val="left" w:pos="792"/>
              </w:tabs>
              <w:spacing w:before="80"/>
            </w:pPr>
            <w:r w:rsidRPr="005D4222">
              <w:t xml:space="preserve">A discharge on June 1, followed by a subsequent admission on June 2 (with discharge on June 3), followed by a subsequent admission on June 4, </w:t>
            </w:r>
            <w:r w:rsidRPr="005D4222">
              <w:rPr>
                <w:i/>
                <w:iCs/>
              </w:rPr>
              <w:t>is a direct transfer.</w:t>
            </w:r>
          </w:p>
          <w:p w14:paraId="5ACB51A4" w14:textId="77777777" w:rsidR="00DF6008" w:rsidRPr="005D4222" w:rsidRDefault="00DF6008" w:rsidP="00A53E8C">
            <w:pPr>
              <w:pStyle w:val="ECDSBody"/>
              <w:spacing w:after="0"/>
            </w:pPr>
            <w:r w:rsidRPr="005D4222">
              <w:t>Direct transfers may occur between different facilities, and between acute inpatient and observation.</w:t>
            </w:r>
          </w:p>
        </w:tc>
      </w:tr>
      <w:tr w:rsidR="00DF6008" w:rsidRPr="005D4222" w14:paraId="6A6F8FA7" w14:textId="77777777" w:rsidTr="004B225A">
        <w:trPr>
          <w:trHeight w:val="300"/>
        </w:trPr>
        <w:tc>
          <w:tcPr>
            <w:tcW w:w="2159" w:type="dxa"/>
            <w:tcBorders>
              <w:top w:val="nil"/>
              <w:bottom w:val="nil"/>
              <w:right w:val="single" w:sz="4" w:space="0" w:color="auto"/>
            </w:tcBorders>
            <w:tcMar>
              <w:top w:w="0" w:type="dxa"/>
              <w:left w:w="86" w:type="dxa"/>
              <w:bottom w:w="43" w:type="dxa"/>
              <w:right w:w="86" w:type="dxa"/>
            </w:tcMar>
          </w:tcPr>
          <w:p w14:paraId="5C6C68D9" w14:textId="77777777" w:rsidR="00DF6008" w:rsidRPr="005D4222" w:rsidRDefault="00DF6008" w:rsidP="00A53E8C">
            <w:pPr>
              <w:pStyle w:val="ECDSMarginSubhead"/>
            </w:pPr>
            <w:r w:rsidRPr="005D4222">
              <w:t>SND</w:t>
            </w:r>
          </w:p>
        </w:tc>
        <w:tc>
          <w:tcPr>
            <w:tcW w:w="7561" w:type="dxa"/>
            <w:tcBorders>
              <w:top w:val="nil"/>
              <w:left w:val="nil"/>
              <w:bottom w:val="nil"/>
            </w:tcBorders>
            <w:tcMar>
              <w:top w:w="0" w:type="dxa"/>
              <w:left w:w="86" w:type="dxa"/>
              <w:bottom w:w="43" w:type="dxa"/>
              <w:right w:w="86" w:type="dxa"/>
            </w:tcMar>
          </w:tcPr>
          <w:p w14:paraId="45FF33B5" w14:textId="77777777" w:rsidR="00DF6008" w:rsidRPr="005D4222" w:rsidRDefault="00DF6008" w:rsidP="00A53E8C">
            <w:pPr>
              <w:pStyle w:val="ECDSBody"/>
              <w:spacing w:after="0"/>
            </w:pPr>
            <w:r w:rsidRPr="005D4222">
              <w:t>SNF discharge. A SNF discharge on or between January 1 and November 1 of the measurement period.</w:t>
            </w:r>
          </w:p>
        </w:tc>
      </w:tr>
      <w:tr w:rsidR="00DF6008" w:rsidRPr="005D4222" w14:paraId="3B047753" w14:textId="77777777" w:rsidTr="00DF6008">
        <w:trPr>
          <w:trHeight w:val="300"/>
        </w:trPr>
        <w:tc>
          <w:tcPr>
            <w:tcW w:w="2159" w:type="dxa"/>
            <w:tcBorders>
              <w:top w:val="nil"/>
              <w:bottom w:val="nil"/>
              <w:right w:val="single" w:sz="4" w:space="0" w:color="auto"/>
            </w:tcBorders>
            <w:tcMar>
              <w:top w:w="0" w:type="dxa"/>
              <w:left w:w="86" w:type="dxa"/>
              <w:bottom w:w="43" w:type="dxa"/>
              <w:right w:w="86" w:type="dxa"/>
            </w:tcMar>
          </w:tcPr>
          <w:p w14:paraId="54E6DEE5" w14:textId="77777777" w:rsidR="00DF6008" w:rsidRPr="005D4222" w:rsidRDefault="00DF6008" w:rsidP="00A53E8C">
            <w:pPr>
              <w:pStyle w:val="ECDSMarginSubhead"/>
            </w:pPr>
            <w:r w:rsidRPr="005D4222">
              <w:t>Planned hospital stay</w:t>
            </w:r>
          </w:p>
        </w:tc>
        <w:tc>
          <w:tcPr>
            <w:tcW w:w="7561" w:type="dxa"/>
            <w:tcBorders>
              <w:top w:val="nil"/>
              <w:left w:val="nil"/>
              <w:bottom w:val="single" w:sz="4" w:space="0" w:color="auto"/>
            </w:tcBorders>
            <w:tcMar>
              <w:top w:w="0" w:type="dxa"/>
              <w:left w:w="86" w:type="dxa"/>
              <w:bottom w:w="43" w:type="dxa"/>
              <w:right w:w="86" w:type="dxa"/>
            </w:tcMar>
          </w:tcPr>
          <w:p w14:paraId="3801E03E" w14:textId="77777777" w:rsidR="00DF6008" w:rsidRPr="005D4222" w:rsidRDefault="00DF6008" w:rsidP="00A53E8C">
            <w:pPr>
              <w:pStyle w:val="ECDSBody"/>
            </w:pPr>
            <w:r w:rsidRPr="005D4222">
              <w:t>A hospital stay is considered planned if it meets criteria in step 3 of the numerator.</w:t>
            </w:r>
          </w:p>
        </w:tc>
      </w:tr>
      <w:tr w:rsidR="00DF6008" w:rsidRPr="005D4222" w14:paraId="7569441B" w14:textId="77777777" w:rsidTr="00800ACB">
        <w:trPr>
          <w:trHeight w:val="633"/>
        </w:trPr>
        <w:tc>
          <w:tcPr>
            <w:tcW w:w="2159" w:type="dxa"/>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35628BF6" w14:textId="77777777" w:rsidR="00DF6008" w:rsidRPr="005D4222" w:rsidRDefault="00DF6008" w:rsidP="00A53E8C">
            <w:pPr>
              <w:pStyle w:val="ECDSMarginHead"/>
            </w:pPr>
            <w:r w:rsidRPr="005D4222">
              <w:t>Initial population</w:t>
            </w:r>
          </w:p>
        </w:tc>
        <w:tc>
          <w:tcPr>
            <w:tcW w:w="7561"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0A029EC" w14:textId="77777777" w:rsidR="00DF6008" w:rsidRPr="005D4222" w:rsidRDefault="00DF6008" w:rsidP="00A53E8C">
            <w:pPr>
              <w:pStyle w:val="ECDSBody"/>
            </w:pPr>
            <w:r w:rsidRPr="005D4222">
              <w:rPr>
                <w:i/>
                <w:iCs/>
              </w:rPr>
              <w:t xml:space="preserve">Measure item count: </w:t>
            </w:r>
            <w:r w:rsidRPr="005D4222">
              <w:t>Episode.</w:t>
            </w:r>
          </w:p>
          <w:p w14:paraId="3B74F623" w14:textId="77777777" w:rsidR="00DF6008" w:rsidRPr="005D4222" w:rsidRDefault="00DF6008" w:rsidP="00A53E8C">
            <w:pPr>
              <w:pStyle w:val="ECDSBody"/>
            </w:pPr>
            <w:r w:rsidRPr="005D4222">
              <w:rPr>
                <w:i/>
                <w:iCs/>
              </w:rPr>
              <w:t>Attribution basis:</w:t>
            </w:r>
            <w:r w:rsidRPr="005D4222">
              <w:t xml:space="preserve"> Enrollment.</w:t>
            </w:r>
          </w:p>
          <w:p w14:paraId="1113676C" w14:textId="77777777" w:rsidR="00DF6008" w:rsidRPr="005D4222" w:rsidRDefault="00DF6008" w:rsidP="00DF6008">
            <w:pPr>
              <w:pStyle w:val="Bullet"/>
              <w:numPr>
                <w:ilvl w:val="0"/>
                <w:numId w:val="4"/>
              </w:numPr>
              <w:tabs>
                <w:tab w:val="left" w:pos="360"/>
                <w:tab w:val="left" w:pos="576"/>
              </w:tabs>
              <w:ind w:left="576" w:hanging="216"/>
            </w:pPr>
            <w:r w:rsidRPr="005D4222">
              <w:rPr>
                <w:i/>
                <w:iCs/>
              </w:rPr>
              <w:t xml:space="preserve">Benefits: </w:t>
            </w:r>
            <w:r w:rsidRPr="005D4222">
              <w:t>Medical.</w:t>
            </w:r>
          </w:p>
          <w:p w14:paraId="30735162" w14:textId="77777777" w:rsidR="00DF6008" w:rsidRPr="005D4222" w:rsidRDefault="00DF6008" w:rsidP="00DF6008">
            <w:pPr>
              <w:pStyle w:val="Bullet"/>
              <w:numPr>
                <w:ilvl w:val="0"/>
                <w:numId w:val="4"/>
              </w:numPr>
              <w:tabs>
                <w:tab w:val="left" w:pos="360"/>
                <w:tab w:val="left" w:pos="576"/>
              </w:tabs>
              <w:ind w:left="576" w:hanging="216"/>
            </w:pPr>
            <w:r w:rsidRPr="005D4222">
              <w:rPr>
                <w:i/>
                <w:iCs/>
              </w:rPr>
              <w:t xml:space="preserve">Continuous enrollment: </w:t>
            </w:r>
            <w:r w:rsidRPr="005D4222">
              <w:t>365 days prior to the SND date through 60 days after the SND date.</w:t>
            </w:r>
          </w:p>
          <w:p w14:paraId="5305EA74" w14:textId="77777777" w:rsidR="00DF6008" w:rsidRPr="005D4222" w:rsidRDefault="00DF6008" w:rsidP="00DF6008">
            <w:pPr>
              <w:pStyle w:val="Bullet"/>
              <w:numPr>
                <w:ilvl w:val="0"/>
                <w:numId w:val="4"/>
              </w:numPr>
              <w:tabs>
                <w:tab w:val="left" w:pos="360"/>
                <w:tab w:val="left" w:pos="576"/>
              </w:tabs>
              <w:ind w:left="576" w:hanging="216"/>
              <w:rPr>
                <w:bCs/>
                <w:i/>
                <w:iCs/>
              </w:rPr>
            </w:pPr>
            <w:r w:rsidRPr="005D4222">
              <w:rPr>
                <w:i/>
                <w:iCs/>
              </w:rPr>
              <w:t>Allowable gap:</w:t>
            </w:r>
          </w:p>
          <w:p w14:paraId="2500336B" w14:textId="77777777" w:rsidR="00DF6008" w:rsidRPr="005D4222" w:rsidRDefault="00DF6008" w:rsidP="00DF6008">
            <w:pPr>
              <w:pStyle w:val="Dash"/>
              <w:tabs>
                <w:tab w:val="left" w:pos="576"/>
                <w:tab w:val="left" w:pos="792"/>
              </w:tabs>
            </w:pPr>
            <w:r w:rsidRPr="005D4222">
              <w:rPr>
                <w:i/>
                <w:iCs/>
              </w:rPr>
              <w:t>365 days prior to the SND date:</w:t>
            </w:r>
            <w:r w:rsidRPr="005D4222">
              <w:t xml:space="preserve"> No more than one gap of ≤45 days. </w:t>
            </w:r>
          </w:p>
          <w:p w14:paraId="13C14A18" w14:textId="77777777" w:rsidR="00DF6008" w:rsidRPr="005D4222" w:rsidRDefault="00DF6008" w:rsidP="00DF6008">
            <w:pPr>
              <w:pStyle w:val="Dash"/>
              <w:tabs>
                <w:tab w:val="left" w:pos="576"/>
                <w:tab w:val="left" w:pos="792"/>
              </w:tabs>
            </w:pPr>
            <w:r w:rsidRPr="005D4222">
              <w:rPr>
                <w:i/>
                <w:iCs/>
              </w:rPr>
              <w:t>SND and 60 days following the SND date:</w:t>
            </w:r>
            <w:r w:rsidRPr="005D4222">
              <w:t xml:space="preserve"> None.</w:t>
            </w:r>
          </w:p>
          <w:p w14:paraId="7944335D" w14:textId="3B7890FE" w:rsidR="00DF6008" w:rsidRPr="005D4222" w:rsidRDefault="00DF6008" w:rsidP="00A53E8C">
            <w:pPr>
              <w:pStyle w:val="ECDSBody"/>
            </w:pPr>
            <w:r w:rsidRPr="005D4222">
              <w:rPr>
                <w:i/>
                <w:iCs/>
              </w:rPr>
              <w:t>Ages:</w:t>
            </w:r>
            <w:r w:rsidRPr="005D4222">
              <w:t xml:space="preserve"> 65 </w:t>
            </w:r>
            <w:r w:rsidR="0017001E" w:rsidRPr="005D4222">
              <w:t xml:space="preserve">years of age </w:t>
            </w:r>
            <w:r w:rsidRPr="005D4222">
              <w:t>and older as of the SND date.</w:t>
            </w:r>
          </w:p>
          <w:p w14:paraId="48735CEA" w14:textId="77777777" w:rsidR="00DF6008" w:rsidRPr="005D4222" w:rsidRDefault="00DF6008" w:rsidP="00A53E8C">
            <w:pPr>
              <w:pStyle w:val="ECDSBody"/>
              <w:rPr>
                <w:i/>
                <w:iCs/>
              </w:rPr>
            </w:pPr>
            <w:r w:rsidRPr="005D4222">
              <w:rPr>
                <w:i/>
                <w:iCs/>
              </w:rPr>
              <w:t xml:space="preserve">Gender/sex criteria: </w:t>
            </w:r>
          </w:p>
          <w:p w14:paraId="0CC046AA" w14:textId="77777777" w:rsidR="00DF6008" w:rsidRPr="005D4222" w:rsidRDefault="00DF6008" w:rsidP="00DF6008">
            <w:pPr>
              <w:pStyle w:val="Bullet"/>
              <w:numPr>
                <w:ilvl w:val="0"/>
                <w:numId w:val="4"/>
              </w:numPr>
              <w:tabs>
                <w:tab w:val="left" w:pos="360"/>
                <w:tab w:val="left" w:pos="576"/>
              </w:tabs>
              <w:ind w:left="576" w:hanging="216"/>
              <w:rPr>
                <w:iCs/>
              </w:rPr>
            </w:pPr>
            <w:r w:rsidRPr="005D4222">
              <w:rPr>
                <w:iCs/>
              </w:rPr>
              <w:t>Administrative Gender of Female (AdministrativeGender code female).</w:t>
            </w:r>
          </w:p>
          <w:p w14:paraId="4763B070" w14:textId="77777777" w:rsidR="00DF6008" w:rsidRPr="005D4222" w:rsidRDefault="00DF6008" w:rsidP="00DF6008">
            <w:pPr>
              <w:pStyle w:val="Bullet"/>
              <w:numPr>
                <w:ilvl w:val="0"/>
                <w:numId w:val="4"/>
              </w:numPr>
              <w:tabs>
                <w:tab w:val="left" w:pos="360"/>
                <w:tab w:val="left" w:pos="576"/>
              </w:tabs>
              <w:spacing w:after="80"/>
              <w:ind w:left="576" w:hanging="216"/>
            </w:pPr>
            <w:r w:rsidRPr="005D4222">
              <w:rPr>
                <w:iCs/>
              </w:rPr>
              <w:t xml:space="preserve">Administrative Gender of </w:t>
            </w:r>
            <w:r w:rsidRPr="005D4222">
              <w:t>Male (AdministrativeGender code male).</w:t>
            </w:r>
          </w:p>
          <w:p w14:paraId="567499DE" w14:textId="77777777" w:rsidR="00DF6008" w:rsidRPr="005D4222" w:rsidRDefault="00DF6008" w:rsidP="00A53E8C">
            <w:pPr>
              <w:pStyle w:val="ECDSBody"/>
              <w:rPr>
                <w:i/>
                <w:iCs/>
              </w:rPr>
            </w:pPr>
            <w:r w:rsidRPr="005D4222">
              <w:rPr>
                <w:i/>
                <w:iCs/>
              </w:rPr>
              <w:t>Exclusions:</w:t>
            </w:r>
          </w:p>
          <w:p w14:paraId="523FCA0A" w14:textId="77777777" w:rsidR="00DF6008" w:rsidRPr="005D4222" w:rsidRDefault="00DF6008" w:rsidP="00A53E8C">
            <w:pPr>
              <w:pStyle w:val="ECDSBody"/>
              <w:rPr>
                <w:i/>
                <w:iCs/>
              </w:rPr>
            </w:pPr>
            <w:r w:rsidRPr="005D4222" w:rsidDel="002D4AA7">
              <w:rPr>
                <w:rFonts w:eastAsia="Arial,Arial,Arial,Arial,Arial,A"/>
                <w:b/>
              </w:rPr>
              <w:t xml:space="preserve">Persons </w:t>
            </w:r>
            <w:r w:rsidRPr="005D4222">
              <w:rPr>
                <w:rFonts w:eastAsia="Arial,Arial,Arial,Arial,Arial,A"/>
                <w:b/>
              </w:rPr>
              <w:t>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7436CD27" w14:textId="77777777" w:rsidR="00DF6008" w:rsidRPr="005D4222" w:rsidRDefault="00DF6008" w:rsidP="00A53E8C">
            <w:pPr>
              <w:pStyle w:val="ECDSBody"/>
              <w:rPr>
                <w:rFonts w:eastAsia="Arial,Arial,Arial,Arial,Arial,A"/>
                <w:color w:val="000000" w:themeColor="text1"/>
              </w:rPr>
            </w:pPr>
            <w:r w:rsidRPr="005D4222">
              <w:rPr>
                <w:b/>
                <w:kern w:val="24"/>
              </w:rPr>
              <w:t xml:space="preserve">Medicare enrollees </w:t>
            </w:r>
            <w:r w:rsidRPr="005D4222">
              <w:rPr>
                <w:b/>
              </w:rPr>
              <w:t>living long-term in an institution (LTI)</w:t>
            </w:r>
            <w:r w:rsidRPr="005D4222">
              <w:rPr>
                <w:b/>
                <w:kern w:val="24"/>
              </w:rPr>
              <w:t xml:space="preserve">. </w:t>
            </w:r>
            <w:r w:rsidRPr="005D4222">
              <w:rPr>
                <w:b/>
                <w:kern w:val="24"/>
              </w:rPr>
              <w:br/>
            </w:r>
            <w:r w:rsidRPr="005D4222">
              <w:t>Living long-term in an institution any time during the measurement period as identified by the LTI flag in the Monthly Membership Detail Data (MMDF) File. Use the run date of the file to determine if a member had an LTI flag during the measurement period</w:t>
            </w:r>
            <w:r w:rsidRPr="005D4222">
              <w:rPr>
                <w:color w:val="000000" w:themeColor="text1"/>
              </w:rPr>
              <w:t>. </w:t>
            </w:r>
            <w:r w:rsidRPr="005D4222">
              <w:rPr>
                <w:rStyle w:val="eop"/>
                <w:rFonts w:eastAsiaTheme="majorEastAsia"/>
                <w:color w:val="000000" w:themeColor="text1"/>
              </w:rPr>
              <w:t> </w:t>
            </w:r>
          </w:p>
        </w:tc>
      </w:tr>
      <w:tr w:rsidR="00DF6008" w:rsidRPr="005D4222" w14:paraId="2DA8C372" w14:textId="77777777" w:rsidTr="00800ACB">
        <w:tc>
          <w:tcPr>
            <w:tcW w:w="2159" w:type="dxa"/>
            <w:tcBorders>
              <w:top w:val="single" w:sz="4" w:space="0" w:color="auto"/>
              <w:left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6266B239" w14:textId="77777777" w:rsidR="00DF6008" w:rsidRPr="005D4222" w:rsidRDefault="00DF6008" w:rsidP="00A53E8C">
            <w:pPr>
              <w:pStyle w:val="ECDSMarginHead"/>
            </w:pPr>
            <w:r w:rsidRPr="005D4222">
              <w:lastRenderedPageBreak/>
              <w:t>Denominator</w:t>
            </w:r>
          </w:p>
        </w:tc>
        <w:tc>
          <w:tcPr>
            <w:tcW w:w="7561" w:type="dxa"/>
            <w:tcBorders>
              <w:top w:val="single" w:sz="4" w:space="0" w:color="auto"/>
              <w:left w:val="single" w:sz="4" w:space="0" w:color="auto"/>
              <w:right w:val="single" w:sz="4" w:space="0" w:color="auto"/>
            </w:tcBorders>
            <w:tcMar>
              <w:top w:w="0" w:type="dxa"/>
              <w:left w:w="86" w:type="dxa"/>
              <w:bottom w:w="43" w:type="dxa"/>
              <w:right w:w="86" w:type="dxa"/>
            </w:tcMar>
          </w:tcPr>
          <w:p w14:paraId="18D01CA3" w14:textId="77777777" w:rsidR="00DF6008" w:rsidRPr="005D4222" w:rsidRDefault="00DF6008" w:rsidP="00A53E8C">
            <w:pPr>
              <w:pStyle w:val="ECDSBody"/>
            </w:pPr>
            <w:r w:rsidRPr="005D4222">
              <w:rPr>
                <w:b/>
                <w:bCs w:val="0"/>
              </w:rPr>
              <w:t>Skilled nursing facility discharges to the community.</w:t>
            </w:r>
            <w:r w:rsidRPr="005D4222">
              <w:t xml:space="preserve"> </w:t>
            </w:r>
          </w:p>
          <w:p w14:paraId="02E74A39" w14:textId="77777777" w:rsidR="00DF6008" w:rsidRPr="005D4222" w:rsidRDefault="00DF6008" w:rsidP="00A53E8C">
            <w:pPr>
              <w:pStyle w:val="ECDSBody"/>
            </w:pPr>
            <w:r w:rsidRPr="005D4222">
              <w:rPr>
                <w:b/>
                <w:bCs w:val="0"/>
              </w:rPr>
              <w:t xml:space="preserve">Step 1. </w:t>
            </w:r>
            <w:r w:rsidRPr="005D4222">
              <w:t>Identify all SNDs on or between January 1 and November 1 of the measurement period. To identify SNDs:</w:t>
            </w:r>
          </w:p>
          <w:p w14:paraId="7E17183D" w14:textId="77777777" w:rsidR="00DF6008" w:rsidRPr="005D4222" w:rsidRDefault="00DF6008" w:rsidP="005D6173">
            <w:pPr>
              <w:pStyle w:val="Body"/>
              <w:numPr>
                <w:ilvl w:val="0"/>
                <w:numId w:val="112"/>
              </w:numPr>
              <w:spacing w:before="80" w:after="80"/>
              <w:ind w:left="648" w:hanging="288"/>
              <w:rPr>
                <w:bCs/>
                <w:szCs w:val="21"/>
              </w:rPr>
            </w:pPr>
            <w:r w:rsidRPr="005D4222">
              <w:rPr>
                <w:bCs/>
                <w:szCs w:val="21"/>
              </w:rPr>
              <w:t>Identify all SNF stays (</w:t>
            </w:r>
            <w:r w:rsidRPr="005D4222">
              <w:rPr>
                <w:bCs/>
                <w:szCs w:val="21"/>
                <w:u w:val="single"/>
              </w:rPr>
              <w:t>Skilled Nursing Stay Value Set</w:t>
            </w:r>
            <w:r w:rsidRPr="005D4222">
              <w:rPr>
                <w:bCs/>
                <w:szCs w:val="21"/>
              </w:rPr>
              <w:t>).</w:t>
            </w:r>
          </w:p>
          <w:p w14:paraId="30BDC479" w14:textId="77777777" w:rsidR="00DF6008" w:rsidRPr="005D4222" w:rsidRDefault="00DF6008" w:rsidP="005D6173">
            <w:pPr>
              <w:pStyle w:val="Body"/>
              <w:numPr>
                <w:ilvl w:val="0"/>
                <w:numId w:val="112"/>
              </w:numPr>
              <w:spacing w:before="80" w:after="80"/>
              <w:ind w:left="648" w:hanging="288"/>
              <w:rPr>
                <w:bCs/>
              </w:rPr>
            </w:pPr>
            <w:r w:rsidRPr="005D4222">
              <w:rPr>
                <w:bCs/>
                <w:szCs w:val="21"/>
              </w:rPr>
              <w:t>Identify the discharge date for the SNF stay.</w:t>
            </w:r>
          </w:p>
          <w:p w14:paraId="7B273364" w14:textId="77777777" w:rsidR="00DF6008" w:rsidRPr="005D4222" w:rsidRDefault="00DF6008" w:rsidP="00A53E8C">
            <w:pPr>
              <w:pStyle w:val="ECDSBody"/>
            </w:pPr>
            <w:r w:rsidRPr="005D4222">
              <w:rPr>
                <w:b/>
              </w:rPr>
              <w:t>Step 2.</w:t>
            </w:r>
            <w:r w:rsidRPr="005D4222">
              <w:t xml:space="preserve"> </w:t>
            </w:r>
            <w:r w:rsidRPr="005D4222">
              <w:rPr>
                <w:i/>
              </w:rPr>
              <w:t>Skilled</w:t>
            </w:r>
            <w:r w:rsidRPr="005D4222" w:rsidDel="00B30CA0">
              <w:rPr>
                <w:i/>
              </w:rPr>
              <w:t xml:space="preserve"> nursing</w:t>
            </w:r>
            <w:r w:rsidRPr="005D4222">
              <w:rPr>
                <w:i/>
              </w:rPr>
              <w:t xml:space="preserve">-to-skilled nursing </w:t>
            </w:r>
            <w:r w:rsidRPr="005D4222" w:rsidDel="00B30CA0">
              <w:rPr>
                <w:i/>
              </w:rPr>
              <w:t>direct transfers</w:t>
            </w:r>
            <w:r w:rsidRPr="005D4222">
              <w:rPr>
                <w:i/>
                <w:iCs/>
              </w:rPr>
              <w:t>.</w:t>
            </w:r>
            <w:r w:rsidRPr="005D4222" w:rsidDel="00B30CA0">
              <w:rPr>
                <w:i/>
              </w:rPr>
              <w:t xml:space="preserve"> </w:t>
            </w:r>
            <w:r w:rsidRPr="005D4222">
              <w:t xml:space="preserve">For SNF stays with one or more direct transfers </w:t>
            </w:r>
            <w:r w:rsidRPr="005D4222">
              <w:rPr>
                <w:bCs w:val="0"/>
              </w:rPr>
              <w:t>from another SNF</w:t>
            </w:r>
            <w:r w:rsidRPr="005D4222">
              <w:t>, use the last discharge. Using the discharges in step 1, identify direct transfers between SNFs using the definition of direct transfer</w:t>
            </w:r>
            <w:r w:rsidRPr="005D4222">
              <w:rPr>
                <w:i/>
                <w:iCs/>
              </w:rPr>
              <w:t>.</w:t>
            </w:r>
            <w:r w:rsidRPr="005D4222">
              <w:t xml:space="preserve"> Exclude the SND if the direct transfer discharge date occurs after November 1 of the measurement period.</w:t>
            </w:r>
          </w:p>
          <w:p w14:paraId="29EB7093" w14:textId="77777777" w:rsidR="00DF6008" w:rsidRPr="005D4222" w:rsidRDefault="00DF6008" w:rsidP="00A53E8C">
            <w:pPr>
              <w:pStyle w:val="ECDSBody"/>
            </w:pPr>
            <w:r w:rsidRPr="005D4222">
              <w:rPr>
                <w:b/>
              </w:rPr>
              <w:t xml:space="preserve">Step 3. </w:t>
            </w:r>
            <w:r w:rsidRPr="005D4222">
              <w:t>Exclude SNDs where the SNF admission date is the same as the SND date.</w:t>
            </w:r>
          </w:p>
          <w:p w14:paraId="484A8AF2" w14:textId="77777777" w:rsidR="00DF6008" w:rsidRPr="005D4222" w:rsidRDefault="00DF6008" w:rsidP="00A53E8C">
            <w:pPr>
              <w:pStyle w:val="ECDSBody"/>
            </w:pPr>
            <w:r w:rsidRPr="005D4222">
              <w:rPr>
                <w:b/>
              </w:rPr>
              <w:t xml:space="preserve">Step 4. </w:t>
            </w:r>
            <w:r w:rsidRPr="005D4222">
              <w:t xml:space="preserve">Exclude SNDs due to an acute hospital transfer. To identify acute hospital transfers from SNFs: </w:t>
            </w:r>
          </w:p>
          <w:p w14:paraId="6EC1540E" w14:textId="77777777" w:rsidR="00DF6008" w:rsidRPr="005D4222" w:rsidRDefault="00DF6008" w:rsidP="00A53E8C">
            <w:pPr>
              <w:pStyle w:val="Body"/>
              <w:spacing w:before="80"/>
              <w:ind w:left="648" w:hanging="288"/>
              <w:rPr>
                <w:szCs w:val="21"/>
              </w:rPr>
            </w:pPr>
            <w:r w:rsidRPr="005D4222">
              <w:rPr>
                <w:szCs w:val="21"/>
              </w:rPr>
              <w:t>1.</w:t>
            </w:r>
            <w:r w:rsidRPr="005D4222">
              <w:rPr>
                <w:szCs w:val="21"/>
              </w:rPr>
              <w:tab/>
              <w:t>Identify all acute and nonacute inpatient stays (</w:t>
            </w:r>
            <w:r w:rsidRPr="005D4222">
              <w:rPr>
                <w:szCs w:val="21"/>
                <w:u w:val="single"/>
              </w:rPr>
              <w:t>Inpatient Stay Value Set</w:t>
            </w:r>
            <w:r w:rsidRPr="005D4222">
              <w:rPr>
                <w:szCs w:val="21"/>
              </w:rPr>
              <w:t>) and observation stays (</w:t>
            </w:r>
            <w:r w:rsidRPr="005D4222">
              <w:rPr>
                <w:szCs w:val="21"/>
                <w:u w:val="single"/>
              </w:rPr>
              <w:t>Observation Stay Value Set</w:t>
            </w:r>
            <w:r w:rsidRPr="005D4222">
              <w:rPr>
                <w:szCs w:val="21"/>
              </w:rPr>
              <w:t>).</w:t>
            </w:r>
          </w:p>
          <w:p w14:paraId="09C29DBE" w14:textId="77777777" w:rsidR="00DF6008" w:rsidRPr="005D4222" w:rsidRDefault="00DF6008" w:rsidP="00A53E8C">
            <w:pPr>
              <w:pStyle w:val="Body"/>
              <w:spacing w:before="80"/>
              <w:ind w:left="648" w:hanging="288"/>
              <w:rPr>
                <w:szCs w:val="21"/>
              </w:rPr>
            </w:pPr>
            <w:r w:rsidRPr="005D4222">
              <w:rPr>
                <w:szCs w:val="21"/>
              </w:rPr>
              <w:t>2.</w:t>
            </w:r>
            <w:r w:rsidRPr="005D4222">
              <w:rPr>
                <w:szCs w:val="21"/>
              </w:rPr>
              <w:tab/>
              <w:t>Exclude nonacute inpatient stays (</w:t>
            </w:r>
            <w:r w:rsidRPr="005D4222">
              <w:rPr>
                <w:szCs w:val="21"/>
                <w:u w:val="single"/>
              </w:rPr>
              <w:t>Nonacute Inpatient Stay Value Set</w:t>
            </w:r>
            <w:r w:rsidRPr="005D4222">
              <w:rPr>
                <w:szCs w:val="21"/>
              </w:rPr>
              <w:t>).</w:t>
            </w:r>
          </w:p>
          <w:p w14:paraId="0A2A30DB" w14:textId="77777777" w:rsidR="00DF6008" w:rsidRPr="005D4222" w:rsidRDefault="00DF6008" w:rsidP="00A53E8C">
            <w:pPr>
              <w:pStyle w:val="Body"/>
              <w:spacing w:before="80"/>
              <w:ind w:left="648" w:hanging="288"/>
              <w:rPr>
                <w:szCs w:val="21"/>
              </w:rPr>
            </w:pPr>
            <w:r w:rsidRPr="005D4222">
              <w:rPr>
                <w:szCs w:val="21"/>
              </w:rPr>
              <w:t>3.</w:t>
            </w:r>
            <w:r w:rsidRPr="005D4222">
              <w:rPr>
                <w:szCs w:val="21"/>
              </w:rPr>
              <w:tab/>
              <w:t>Identify the admission date for the hospitalization.</w:t>
            </w:r>
          </w:p>
          <w:p w14:paraId="0FA10931" w14:textId="77777777" w:rsidR="00DF6008" w:rsidRPr="005D4222" w:rsidRDefault="00DF6008" w:rsidP="00A53E8C">
            <w:pPr>
              <w:pStyle w:val="Body"/>
              <w:spacing w:before="80"/>
              <w:ind w:left="648" w:hanging="288"/>
              <w:rPr>
                <w:szCs w:val="21"/>
              </w:rPr>
            </w:pPr>
            <w:r w:rsidRPr="005D4222">
              <w:rPr>
                <w:szCs w:val="21"/>
              </w:rPr>
              <w:t>4.</w:t>
            </w:r>
            <w:r w:rsidRPr="005D4222">
              <w:rPr>
                <w:szCs w:val="21"/>
              </w:rPr>
              <w:tab/>
              <w:t xml:space="preserve">Exclude SNDs with an acute hospital admission date within 1 calendar day or less after the SND date. </w:t>
            </w:r>
          </w:p>
          <w:p w14:paraId="2FEA6927" w14:textId="77777777" w:rsidR="00DF6008" w:rsidRPr="005D4222" w:rsidRDefault="00DF6008" w:rsidP="00DF6008">
            <w:pPr>
              <w:pStyle w:val="Bullet"/>
              <w:numPr>
                <w:ilvl w:val="0"/>
                <w:numId w:val="4"/>
              </w:numPr>
              <w:tabs>
                <w:tab w:val="left" w:pos="360"/>
                <w:tab w:val="left" w:pos="576"/>
              </w:tabs>
              <w:ind w:left="864" w:hanging="216"/>
              <w:rPr>
                <w:i/>
                <w:iCs/>
                <w:szCs w:val="21"/>
              </w:rPr>
            </w:pPr>
            <w:r w:rsidRPr="005D4222">
              <w:rPr>
                <w:i/>
                <w:iCs/>
                <w:szCs w:val="21"/>
              </w:rPr>
              <w:t>For example:</w:t>
            </w:r>
          </w:p>
          <w:p w14:paraId="4ED0DA87" w14:textId="77777777" w:rsidR="00DF6008" w:rsidRPr="005D4222" w:rsidRDefault="00DF6008" w:rsidP="00DF6008">
            <w:pPr>
              <w:pStyle w:val="Dash"/>
              <w:tabs>
                <w:tab w:val="left" w:pos="576"/>
                <w:tab w:val="left" w:pos="792"/>
              </w:tabs>
              <w:ind w:left="1080"/>
              <w:rPr>
                <w:i/>
                <w:iCs/>
              </w:rPr>
            </w:pPr>
            <w:r w:rsidRPr="005D4222">
              <w:t>An</w:t>
            </w:r>
            <w:r w:rsidRPr="005D4222" w:rsidDel="00C74020">
              <w:t xml:space="preserve"> </w:t>
            </w:r>
            <w:r w:rsidRPr="005D4222">
              <w:t>SND on June 1</w:t>
            </w:r>
            <w:r w:rsidRPr="005D4222" w:rsidDel="00C74020">
              <w:t>,</w:t>
            </w:r>
            <w:r w:rsidRPr="005D4222">
              <w:t xml:space="preserve"> followed by a hospitalization on June 1</w:t>
            </w:r>
            <w:r w:rsidRPr="005D4222" w:rsidDel="00C74020">
              <w:t>,</w:t>
            </w:r>
            <w:r w:rsidRPr="005D4222">
              <w:t xml:space="preserve"> </w:t>
            </w:r>
            <w:r w:rsidRPr="005D4222">
              <w:br/>
            </w:r>
            <w:r w:rsidRPr="005D4222" w:rsidDel="00C74020">
              <w:rPr>
                <w:i/>
                <w:iCs/>
              </w:rPr>
              <w:t>is excluded</w:t>
            </w:r>
            <w:r w:rsidRPr="005D4222">
              <w:rPr>
                <w:i/>
                <w:iCs/>
              </w:rPr>
              <w:t xml:space="preserve">. </w:t>
            </w:r>
          </w:p>
          <w:p w14:paraId="3D5C5352" w14:textId="77777777" w:rsidR="00DF6008" w:rsidRPr="005D4222" w:rsidRDefault="00DF6008" w:rsidP="00DF6008">
            <w:pPr>
              <w:pStyle w:val="Dash"/>
              <w:tabs>
                <w:tab w:val="left" w:pos="576"/>
                <w:tab w:val="left" w:pos="792"/>
              </w:tabs>
              <w:ind w:left="1080"/>
              <w:rPr>
                <w:i/>
                <w:iCs/>
              </w:rPr>
            </w:pPr>
            <w:r w:rsidRPr="005D4222" w:rsidDel="00C74020">
              <w:t>A</w:t>
            </w:r>
            <w:r w:rsidRPr="005D4222">
              <w:t>n</w:t>
            </w:r>
            <w:r w:rsidRPr="005D4222" w:rsidDel="00C74020">
              <w:t xml:space="preserve"> </w:t>
            </w:r>
            <w:r w:rsidRPr="005D4222">
              <w:t>SND on June 1</w:t>
            </w:r>
            <w:r w:rsidRPr="005D4222" w:rsidDel="00C74020">
              <w:t>,</w:t>
            </w:r>
            <w:r w:rsidRPr="005D4222">
              <w:t xml:space="preserve"> followed by a hospitalization on June 2</w:t>
            </w:r>
            <w:r w:rsidRPr="005D4222" w:rsidDel="00C74020">
              <w:t xml:space="preserve">, </w:t>
            </w:r>
            <w:r w:rsidRPr="005D4222">
              <w:br/>
            </w:r>
            <w:r w:rsidRPr="005D4222" w:rsidDel="00C74020">
              <w:rPr>
                <w:i/>
                <w:iCs/>
              </w:rPr>
              <w:t>is excluded</w:t>
            </w:r>
            <w:r w:rsidRPr="005D4222">
              <w:rPr>
                <w:i/>
                <w:iCs/>
              </w:rPr>
              <w:t>.</w:t>
            </w:r>
          </w:p>
          <w:p w14:paraId="19F5484F" w14:textId="77777777" w:rsidR="00DF6008" w:rsidRPr="005D4222" w:rsidRDefault="00DF6008" w:rsidP="00DF6008">
            <w:pPr>
              <w:pStyle w:val="Dash"/>
              <w:tabs>
                <w:tab w:val="left" w:pos="576"/>
                <w:tab w:val="left" w:pos="792"/>
              </w:tabs>
              <w:ind w:left="1080"/>
            </w:pPr>
            <w:r w:rsidRPr="005D4222">
              <w:t xml:space="preserve">An SND on June 1, followed by a hospitalization on June 3, </w:t>
            </w:r>
            <w:r w:rsidRPr="005D4222">
              <w:br/>
            </w:r>
            <w:r w:rsidRPr="005D4222">
              <w:rPr>
                <w:i/>
                <w:iCs/>
              </w:rPr>
              <w:t>is included.</w:t>
            </w:r>
          </w:p>
          <w:p w14:paraId="71E3B82B" w14:textId="77777777" w:rsidR="00DF6008" w:rsidRPr="005D4222" w:rsidRDefault="00DF6008" w:rsidP="00A53E8C">
            <w:pPr>
              <w:pStyle w:val="ECDSBody"/>
            </w:pPr>
            <w:r w:rsidRPr="005D4222">
              <w:rPr>
                <w:b/>
              </w:rPr>
              <w:t xml:space="preserve">Step 5. </w:t>
            </w:r>
            <w:r w:rsidRPr="005D4222">
              <w:t>Calculate continuous enrollment.</w:t>
            </w:r>
          </w:p>
          <w:p w14:paraId="5709CA75" w14:textId="481D2FAC" w:rsidR="00DF6008" w:rsidRPr="005D4222" w:rsidRDefault="00DF6008" w:rsidP="00A53E8C">
            <w:pPr>
              <w:pStyle w:val="ECDSBody"/>
              <w:rPr>
                <w:bCs w:val="0"/>
              </w:rPr>
            </w:pPr>
            <w:r w:rsidRPr="005D4222">
              <w:rPr>
                <w:b/>
              </w:rPr>
              <w:t xml:space="preserve">Step 6. </w:t>
            </w:r>
            <w:r w:rsidRPr="005D4222">
              <w:t xml:space="preserve">Assign each SND to an age stratification using the </w:t>
            </w:r>
            <w:r w:rsidRPr="005D4222">
              <w:rPr>
                <w:i/>
                <w:iCs/>
              </w:rPr>
              <w:t xml:space="preserve">Reporting: Denominator </w:t>
            </w:r>
            <w:r w:rsidRPr="005D4222">
              <w:t>section. Refer to Tables HFS-A-3 and HFS-B-3.</w:t>
            </w:r>
          </w:p>
        </w:tc>
      </w:tr>
      <w:tr w:rsidR="006439AD" w:rsidRPr="005D4222" w14:paraId="45C19ACA" w14:textId="77777777" w:rsidTr="00800ACB">
        <w:trPr>
          <w:trHeight w:val="300"/>
        </w:trPr>
        <w:tc>
          <w:tcPr>
            <w:tcW w:w="2159" w:type="dxa"/>
            <w:tcBorders>
              <w:top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5B049D92" w14:textId="77777777" w:rsidR="00DF6008" w:rsidRPr="005D4222" w:rsidRDefault="00DF6008" w:rsidP="00A53E8C">
            <w:pPr>
              <w:pStyle w:val="ECDSMarginHead"/>
            </w:pPr>
            <w:r w:rsidRPr="005D4222">
              <w:t>Risk adjustment factors</w:t>
            </w:r>
          </w:p>
        </w:tc>
        <w:tc>
          <w:tcPr>
            <w:tcW w:w="7561" w:type="dxa"/>
            <w:tcBorders>
              <w:top w:val="single" w:sz="4" w:space="0" w:color="auto"/>
              <w:left w:val="single" w:sz="4" w:space="0" w:color="auto"/>
              <w:bottom w:val="single" w:sz="4" w:space="0" w:color="auto"/>
            </w:tcBorders>
            <w:tcMar>
              <w:left w:w="86" w:type="dxa"/>
              <w:bottom w:w="43" w:type="dxa"/>
              <w:right w:w="86" w:type="dxa"/>
            </w:tcMar>
          </w:tcPr>
          <w:p w14:paraId="5B1DCBBF" w14:textId="77777777" w:rsidR="00DF6008" w:rsidRPr="005D4222" w:rsidRDefault="00DF6008" w:rsidP="00A53E8C">
            <w:pPr>
              <w:pStyle w:val="ECDSBody"/>
              <w:rPr>
                <w:b/>
                <w:bCs w:val="0"/>
                <w:i/>
                <w:iCs/>
              </w:rPr>
            </w:pPr>
            <w:r w:rsidRPr="005D4222">
              <w:rPr>
                <w:b/>
                <w:bCs w:val="0"/>
                <w:i/>
                <w:iCs/>
              </w:rPr>
              <w:t>Risk Adjustment Determination</w:t>
            </w:r>
          </w:p>
          <w:p w14:paraId="211E32D5" w14:textId="77777777" w:rsidR="00DF6008" w:rsidRPr="005D4222" w:rsidRDefault="00DF6008" w:rsidP="00A53E8C">
            <w:pPr>
              <w:pStyle w:val="ECDSBody"/>
            </w:pPr>
            <w:r w:rsidRPr="005D4222">
              <w:t>For each SND, identify risk adjustment weights based on discharge condition, COVID-19 discharge, comorbidity, age and gender. Weights are specific to reporting rate (30-day and 60-day). Refer to the reporting indicator column in the risk adjustment tables to ensure that weights are linked appropriately.</w:t>
            </w:r>
          </w:p>
          <w:p w14:paraId="1E90E40E" w14:textId="77777777" w:rsidR="00DF6008" w:rsidRPr="005D4222" w:rsidRDefault="00DF6008" w:rsidP="00A53E8C">
            <w:pPr>
              <w:pStyle w:val="ECDSBody"/>
            </w:pPr>
            <w:r w:rsidRPr="005D4222">
              <w:rPr>
                <w:b/>
              </w:rPr>
              <w:t xml:space="preserve">Discharge condition: </w:t>
            </w:r>
            <w:r w:rsidRPr="005D4222">
              <w:t xml:space="preserve">Assign a Clinical Condition (CC) category code or codes to the SND based on its principal discharge diagnosis, using Table CC—Mapping. For direct transfers, use the principal discharge diagnosis from the last discharge. </w:t>
            </w:r>
          </w:p>
          <w:p w14:paraId="3789BC49" w14:textId="77777777" w:rsidR="00DF6008" w:rsidRPr="005D4222" w:rsidRDefault="00DF6008" w:rsidP="00A53E8C">
            <w:pPr>
              <w:pStyle w:val="ECDSBody"/>
            </w:pPr>
            <w:r w:rsidRPr="005D4222">
              <w:t>Exclude diagnoses that cannot be mapped to Table CC—Mapping.</w:t>
            </w:r>
          </w:p>
          <w:p w14:paraId="4C49C970" w14:textId="54365B2B" w:rsidR="00DF6008" w:rsidRPr="005D4222" w:rsidRDefault="00DF6008" w:rsidP="00DF6008">
            <w:pPr>
              <w:pStyle w:val="ECDSBody"/>
            </w:pPr>
            <w:r w:rsidRPr="005D4222">
              <w:rPr>
                <w:b/>
              </w:rPr>
              <w:t xml:space="preserve">COVID-19 discharge: </w:t>
            </w:r>
            <w:r w:rsidRPr="005D4222">
              <w:t>Assign a COVID-19 discharge code to the SND if its principal discharge diagnosis was COVID-19 (ICD-10-CM code U07.1). For direct transfers, use the principal discharge diagnosis from the last discharge.</w:t>
            </w:r>
          </w:p>
        </w:tc>
      </w:tr>
      <w:tr w:rsidR="002B5FBD" w:rsidRPr="005D4222" w14:paraId="38E45039" w14:textId="77777777" w:rsidTr="00F77943">
        <w:tblPrEx>
          <w:tblBorders>
            <w:top w:val="single" w:sz="4" w:space="0" w:color="auto"/>
            <w:bottom w:val="single" w:sz="4" w:space="0" w:color="auto"/>
            <w:insideH w:val="single" w:sz="4" w:space="0" w:color="auto"/>
            <w:insideV w:val="single" w:sz="4" w:space="0" w:color="auto"/>
          </w:tblBorders>
        </w:tblPrEx>
        <w:trPr>
          <w:trHeight w:val="300"/>
        </w:trPr>
        <w:tc>
          <w:tcPr>
            <w:tcW w:w="2159" w:type="dxa"/>
            <w:tcBorders>
              <w:top w:val="single" w:sz="4" w:space="0" w:color="auto"/>
              <w:bottom w:val="single" w:sz="4" w:space="0" w:color="auto"/>
            </w:tcBorders>
            <w:shd w:val="clear" w:color="auto" w:fill="BFBFBF" w:themeFill="background1" w:themeFillShade="BF"/>
            <w:tcMar>
              <w:top w:w="0" w:type="dxa"/>
              <w:left w:w="86" w:type="dxa"/>
              <w:bottom w:w="43" w:type="dxa"/>
              <w:right w:w="86" w:type="dxa"/>
            </w:tcMar>
          </w:tcPr>
          <w:p w14:paraId="2F5C0DB4" w14:textId="77777777" w:rsidR="00DF6008" w:rsidRPr="005D4222" w:rsidRDefault="00DF6008" w:rsidP="00A53E8C">
            <w:pPr>
              <w:pStyle w:val="ECDSMarginHead"/>
            </w:pPr>
          </w:p>
        </w:tc>
        <w:tc>
          <w:tcPr>
            <w:tcW w:w="7561" w:type="dxa"/>
            <w:tcBorders>
              <w:top w:val="single" w:sz="4" w:space="0" w:color="auto"/>
              <w:bottom w:val="single" w:sz="4" w:space="0" w:color="auto"/>
            </w:tcBorders>
            <w:tcMar>
              <w:left w:w="86" w:type="dxa"/>
              <w:bottom w:w="43" w:type="dxa"/>
              <w:right w:w="86" w:type="dxa"/>
            </w:tcMar>
          </w:tcPr>
          <w:p w14:paraId="3448FC96" w14:textId="77777777" w:rsidR="00DF6008" w:rsidRPr="005D4222" w:rsidRDefault="00DF6008" w:rsidP="00DF6008">
            <w:pPr>
              <w:pStyle w:val="Body"/>
              <w:spacing w:before="120"/>
              <w:rPr>
                <w:b/>
                <w:bCs/>
                <w:i/>
                <w:iCs/>
              </w:rPr>
            </w:pPr>
            <w:r w:rsidRPr="005D4222">
              <w:rPr>
                <w:b/>
                <w:bCs/>
              </w:rPr>
              <w:t>Comorbidities:</w:t>
            </w:r>
          </w:p>
          <w:p w14:paraId="6F0ED850" w14:textId="77777777" w:rsidR="00DF6008" w:rsidRPr="005D4222" w:rsidRDefault="00DF6008" w:rsidP="00DF6008">
            <w:pPr>
              <w:pStyle w:val="ECDSBody"/>
              <w:spacing w:after="0"/>
              <w:rPr>
                <w:szCs w:val="21"/>
              </w:rPr>
            </w:pPr>
            <w:r w:rsidRPr="005D4222">
              <w:rPr>
                <w:b/>
              </w:rPr>
              <w:t xml:space="preserve">Step 1. </w:t>
            </w:r>
            <w:r w:rsidRPr="005D4222">
              <w:rPr>
                <w:szCs w:val="21"/>
              </w:rPr>
              <w:t>Identify all diagnoses for encounters during the 365 days prior to and on the date of the SND. Exclude the primary discharge diagnosis on the SND to the community. Include the following when identifying encounters:</w:t>
            </w:r>
          </w:p>
          <w:p w14:paraId="79866F74" w14:textId="77777777" w:rsidR="00DF6008" w:rsidRPr="005D4222" w:rsidRDefault="00DF6008" w:rsidP="00DF6008">
            <w:pPr>
              <w:pStyle w:val="Bullet"/>
              <w:numPr>
                <w:ilvl w:val="0"/>
                <w:numId w:val="4"/>
              </w:numPr>
              <w:tabs>
                <w:tab w:val="left" w:pos="360"/>
                <w:tab w:val="left" w:pos="576"/>
              </w:tabs>
              <w:ind w:left="576" w:hanging="216"/>
            </w:pPr>
            <w:r w:rsidRPr="005D4222">
              <w:t>Outpatient visits, ED visits, telephone visits, nonacute inpatient encounters and acute inpatient encounters (</w:t>
            </w:r>
            <w:r w:rsidRPr="005D4222">
              <w:rPr>
                <w:u w:val="single"/>
              </w:rPr>
              <w:t>Outpatient, ED, Telephone, Acute Inpatient and Nonacute Inpatient Value Set</w:t>
            </w:r>
            <w:r w:rsidRPr="005D4222">
              <w:t>) with a date of service in the period from 365 days before the SND to (and including) the SND.</w:t>
            </w:r>
          </w:p>
          <w:p w14:paraId="356EB6C4" w14:textId="77777777" w:rsidR="00DF6008" w:rsidRPr="005D4222" w:rsidRDefault="00DF6008" w:rsidP="00DF6008">
            <w:pPr>
              <w:pStyle w:val="Bullet"/>
              <w:numPr>
                <w:ilvl w:val="0"/>
                <w:numId w:val="4"/>
              </w:numPr>
              <w:tabs>
                <w:tab w:val="left" w:pos="360"/>
                <w:tab w:val="left" w:pos="576"/>
              </w:tabs>
              <w:ind w:left="576" w:hanging="216"/>
              <w:rPr>
                <w:rFonts w:cs="Arial"/>
              </w:rPr>
            </w:pPr>
            <w:r w:rsidRPr="005D4222">
              <w:t>Acute and nonacute inpatient discharges (</w:t>
            </w:r>
            <w:r w:rsidRPr="005D4222">
              <w:rPr>
                <w:u w:val="single"/>
              </w:rPr>
              <w:t>Inpatient Stay Value Set</w:t>
            </w:r>
            <w:r w:rsidRPr="005D4222">
              <w:t xml:space="preserve">) with a discharge date in the period from 365 days before the SND to (and including) the SND. </w:t>
            </w:r>
          </w:p>
          <w:p w14:paraId="73666055" w14:textId="77777777" w:rsidR="00DF6008" w:rsidRPr="005D4222" w:rsidRDefault="00DF6008" w:rsidP="00A53E8C">
            <w:pPr>
              <w:pStyle w:val="ECDSBody"/>
              <w:rPr>
                <w:b/>
              </w:rPr>
            </w:pPr>
            <w:r w:rsidRPr="005D4222">
              <w:rPr>
                <w:b/>
              </w:rPr>
              <w:t xml:space="preserve">Step 2. </w:t>
            </w:r>
            <w:r w:rsidRPr="005D4222">
              <w:t>Assign each diagnosis to one or more comorbid Clinical Condition (CC) category using Table CC—Mapping in the Risk Adjustment Shared Tables. If the code appears more than once in Table CC—Mapping, it is assigned to multiple CCs.</w:t>
            </w:r>
          </w:p>
          <w:p w14:paraId="398A82A2" w14:textId="77777777" w:rsidR="00DF6008" w:rsidRPr="005D4222" w:rsidRDefault="00DF6008" w:rsidP="00A53E8C">
            <w:pPr>
              <w:pStyle w:val="ECDSBody"/>
              <w:rPr>
                <w:i/>
                <w:iCs/>
              </w:rPr>
            </w:pPr>
            <w:r w:rsidRPr="005D4222">
              <w:t xml:space="preserve">Exclude all diagnoses that cannot be assigned to a comorbid CC category. For persons with no qualifying diagnoses from face-to-face encounters, skip to </w:t>
            </w:r>
            <w:r w:rsidRPr="005D4222">
              <w:rPr>
                <w:i/>
                <w:iCs/>
              </w:rPr>
              <w:t>Risk Adjustment Calculation.</w:t>
            </w:r>
          </w:p>
          <w:p w14:paraId="11C24E1B" w14:textId="77777777" w:rsidR="00DF6008" w:rsidRPr="005D4222" w:rsidRDefault="00DF6008" w:rsidP="00A53E8C">
            <w:pPr>
              <w:pStyle w:val="ECDSBody"/>
              <w:rPr>
                <w:i/>
                <w:iCs/>
              </w:rPr>
            </w:pPr>
            <w:r w:rsidRPr="005D4222">
              <w:t>All digits must match exactly when mapping diagnosis codes to the comorbid CCs.</w:t>
            </w:r>
          </w:p>
          <w:p w14:paraId="663B1FB3" w14:textId="77777777" w:rsidR="00DF6008" w:rsidRPr="005D4222" w:rsidRDefault="00DF6008" w:rsidP="00A53E8C">
            <w:pPr>
              <w:pStyle w:val="ECDSBody"/>
            </w:pPr>
            <w:r w:rsidRPr="005D4222">
              <w:rPr>
                <w:b/>
              </w:rPr>
              <w:t xml:space="preserve">Step 3. </w:t>
            </w:r>
            <w:r w:rsidRPr="005D4222">
              <w:t>Determine HCCs for each comorbid CC identified. Refer to Table HCC—Rank.</w:t>
            </w:r>
          </w:p>
          <w:p w14:paraId="053BF138" w14:textId="77777777" w:rsidR="00DF6008" w:rsidRPr="005D4222" w:rsidRDefault="00DF6008" w:rsidP="00A53E8C">
            <w:pPr>
              <w:pStyle w:val="ECDSBody"/>
            </w:pPr>
            <w:r w:rsidRPr="005D4222">
              <w:t>For each denominator unit’s comorbid CC list, match the comorbid CC code to the comorbid CC code in the table, and assign:</w:t>
            </w:r>
          </w:p>
          <w:p w14:paraId="67A1A6FE" w14:textId="77777777" w:rsidR="00DF6008" w:rsidRPr="005D4222" w:rsidRDefault="00DF6008" w:rsidP="00DF6008">
            <w:pPr>
              <w:pStyle w:val="Bullet"/>
              <w:numPr>
                <w:ilvl w:val="0"/>
                <w:numId w:val="4"/>
              </w:numPr>
              <w:tabs>
                <w:tab w:val="left" w:pos="360"/>
                <w:tab w:val="left" w:pos="576"/>
              </w:tabs>
              <w:ind w:left="576" w:hanging="216"/>
              <w:rPr>
                <w:szCs w:val="21"/>
              </w:rPr>
            </w:pPr>
            <w:r w:rsidRPr="005D4222">
              <w:rPr>
                <w:szCs w:val="21"/>
              </w:rPr>
              <w:t>The ranking group.</w:t>
            </w:r>
          </w:p>
          <w:p w14:paraId="3F903A36" w14:textId="77777777" w:rsidR="00DF6008" w:rsidRPr="005D4222" w:rsidRDefault="00DF6008" w:rsidP="00DF6008">
            <w:pPr>
              <w:pStyle w:val="Bullet"/>
              <w:numPr>
                <w:ilvl w:val="0"/>
                <w:numId w:val="4"/>
              </w:numPr>
              <w:tabs>
                <w:tab w:val="left" w:pos="360"/>
                <w:tab w:val="left" w:pos="576"/>
              </w:tabs>
              <w:ind w:left="576" w:hanging="216"/>
              <w:rPr>
                <w:szCs w:val="21"/>
              </w:rPr>
            </w:pPr>
            <w:r w:rsidRPr="005D4222">
              <w:rPr>
                <w:szCs w:val="21"/>
              </w:rPr>
              <w:t>The rank.</w:t>
            </w:r>
          </w:p>
          <w:p w14:paraId="1B15FE97" w14:textId="77777777" w:rsidR="00DF6008" w:rsidRPr="005D4222" w:rsidRDefault="00DF6008" w:rsidP="00DF6008">
            <w:pPr>
              <w:pStyle w:val="Bullet"/>
              <w:numPr>
                <w:ilvl w:val="0"/>
                <w:numId w:val="4"/>
              </w:numPr>
              <w:tabs>
                <w:tab w:val="left" w:pos="360"/>
                <w:tab w:val="left" w:pos="576"/>
              </w:tabs>
              <w:ind w:left="576" w:hanging="216"/>
              <w:rPr>
                <w:szCs w:val="21"/>
              </w:rPr>
            </w:pPr>
            <w:r w:rsidRPr="005D4222">
              <w:rPr>
                <w:szCs w:val="21"/>
              </w:rPr>
              <w:t>The HCC.</w:t>
            </w:r>
          </w:p>
          <w:p w14:paraId="35D49995" w14:textId="77777777" w:rsidR="00DF6008" w:rsidRPr="005D4222" w:rsidRDefault="00DF6008" w:rsidP="00A53E8C">
            <w:pPr>
              <w:pStyle w:val="ECDSBody"/>
            </w:pPr>
            <w:r w:rsidRPr="005D4222">
              <w:t>For comorbid CCs that do not match to Table HCC—Rank, use the comorbid CC as the HCC and assign a rank of 1. One comorbid CC can map to multiple HCCs; each HCC can have one or more comorbid CCs.</w:t>
            </w:r>
          </w:p>
          <w:p w14:paraId="3814C1D8" w14:textId="77777777" w:rsidR="00DF6008" w:rsidRPr="005D4222" w:rsidRDefault="00DF6008" w:rsidP="00A53E8C">
            <w:pPr>
              <w:pStyle w:val="ECDSBody"/>
              <w:rPr>
                <w:b/>
              </w:rPr>
            </w:pPr>
            <w:r w:rsidRPr="005D4222">
              <w:rPr>
                <w:b/>
              </w:rPr>
              <w:t>Step 4.</w:t>
            </w:r>
            <w:r w:rsidRPr="005D4222">
              <w:t xml:space="preserve"> Assess each ranking group separately and select only the highest ranked HCC in each ranking group using the “Rank” column (1 is the highest rank possible). </w:t>
            </w:r>
          </w:p>
          <w:p w14:paraId="0F5D57B5" w14:textId="77777777" w:rsidR="00DF6008" w:rsidRPr="005D4222" w:rsidRDefault="00DF6008" w:rsidP="00A53E8C">
            <w:pPr>
              <w:pStyle w:val="ECDSBody"/>
              <w:rPr>
                <w:b/>
              </w:rPr>
            </w:pPr>
            <w:r w:rsidRPr="005D4222">
              <w:t>Drop all other HCCs in each ranking group, and de-duplicate the HCC list if necessary.</w:t>
            </w:r>
          </w:p>
          <w:p w14:paraId="0AFA853C" w14:textId="77777777" w:rsidR="00DF6008" w:rsidRPr="005D4222" w:rsidRDefault="00DF6008" w:rsidP="00DF6008">
            <w:pPr>
              <w:pStyle w:val="Bullet"/>
              <w:numPr>
                <w:ilvl w:val="0"/>
                <w:numId w:val="4"/>
              </w:numPr>
              <w:tabs>
                <w:tab w:val="left" w:pos="360"/>
                <w:tab w:val="left" w:pos="576"/>
              </w:tabs>
              <w:ind w:left="576" w:hanging="216"/>
              <w:rPr>
                <w:szCs w:val="21"/>
              </w:rPr>
            </w:pPr>
            <w:r w:rsidRPr="005D4222">
              <w:rPr>
                <w:bCs/>
                <w:i/>
                <w:iCs/>
              </w:rPr>
              <w:t>For e</w:t>
            </w:r>
            <w:r w:rsidRPr="005D4222">
              <w:rPr>
                <w:i/>
                <w:iCs/>
              </w:rPr>
              <w:t xml:space="preserve">xample, </w:t>
            </w:r>
            <w:r w:rsidRPr="005D4222">
              <w:t>a</w:t>
            </w:r>
            <w:r w:rsidRPr="005D4222">
              <w:rPr>
                <w:szCs w:val="21"/>
              </w:rPr>
              <w:t>ssume a denominator unit with the following comorbid CCs: CC-85, CC-17 and CC-19 (assume no other CCs).</w:t>
            </w:r>
          </w:p>
          <w:p w14:paraId="47D61767" w14:textId="77777777" w:rsidR="00DF6008" w:rsidRPr="005D4222" w:rsidRDefault="00DF6008" w:rsidP="00DF6008">
            <w:pPr>
              <w:pStyle w:val="Dash"/>
              <w:tabs>
                <w:tab w:val="left" w:pos="576"/>
                <w:tab w:val="left" w:pos="792"/>
              </w:tabs>
            </w:pPr>
            <w:r w:rsidRPr="005D4222">
              <w:t xml:space="preserve">CC-85 does not have a map to the ranking table and becomes </w:t>
            </w:r>
            <w:r w:rsidRPr="005D4222">
              <w:br/>
              <w:t>HCC-85.</w:t>
            </w:r>
          </w:p>
          <w:p w14:paraId="7B4CA4A1" w14:textId="77777777" w:rsidR="00DF6008" w:rsidRPr="005D4222" w:rsidRDefault="00DF6008" w:rsidP="00DF6008">
            <w:pPr>
              <w:pStyle w:val="Dash"/>
              <w:tabs>
                <w:tab w:val="left" w:pos="576"/>
                <w:tab w:val="left" w:pos="792"/>
              </w:tabs>
              <w:spacing w:before="80"/>
            </w:pPr>
            <w:r w:rsidRPr="005D4222">
              <w:t xml:space="preserve">HCC-17 and HCC-19 are part of Diabetes Ranking Group 1. Because CC-17 is ranked higher than CC-19 in Ranking Group Diabetes 1, the comorbidity is assigned as HCC-17 for Ranking Group 1. </w:t>
            </w:r>
          </w:p>
          <w:p w14:paraId="4654A900" w14:textId="77777777" w:rsidR="00DF6008" w:rsidRPr="005D4222" w:rsidRDefault="00DF6008" w:rsidP="00A53E8C">
            <w:pPr>
              <w:pStyle w:val="ECDSBody"/>
              <w:rPr>
                <w:b/>
              </w:rPr>
            </w:pPr>
            <w:r w:rsidRPr="005D4222">
              <w:t>The final comorbidities for this denominator unit are HCC-17 and HCC-85.</w:t>
            </w:r>
          </w:p>
        </w:tc>
      </w:tr>
    </w:tbl>
    <w:p w14:paraId="29E671C6" w14:textId="77777777" w:rsidR="00DF6008" w:rsidRPr="005D4222" w:rsidRDefault="00DF6008" w:rsidP="00DF6008">
      <w:pPr>
        <w:spacing w:after="160" w:line="259" w:lineRule="auto"/>
      </w:pPr>
      <w:r w:rsidRPr="005D4222">
        <w:br w:type="page"/>
      </w:r>
    </w:p>
    <w:tbl>
      <w:tblPr>
        <w:tblW w:w="9720"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9"/>
        <w:gridCol w:w="7561"/>
      </w:tblGrid>
      <w:tr w:rsidR="006439AD" w:rsidRPr="005D4222" w14:paraId="49F56D8B" w14:textId="77777777" w:rsidTr="00F77943">
        <w:trPr>
          <w:trHeight w:val="300"/>
        </w:trPr>
        <w:tc>
          <w:tcPr>
            <w:tcW w:w="2159" w:type="dxa"/>
            <w:tcBorders>
              <w:top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08A79552" w14:textId="77777777" w:rsidR="00DF6008" w:rsidRPr="005D4222" w:rsidRDefault="00DF6008" w:rsidP="00A53E8C">
            <w:pPr>
              <w:pStyle w:val="ECDSMarginHead"/>
            </w:pPr>
          </w:p>
        </w:tc>
        <w:tc>
          <w:tcPr>
            <w:tcW w:w="7561" w:type="dxa"/>
            <w:tcBorders>
              <w:top w:val="single" w:sz="4" w:space="0" w:color="auto"/>
              <w:left w:val="single" w:sz="4" w:space="0" w:color="auto"/>
              <w:bottom w:val="single" w:sz="4" w:space="0" w:color="auto"/>
            </w:tcBorders>
            <w:tcMar>
              <w:left w:w="86" w:type="dxa"/>
              <w:bottom w:w="43" w:type="dxa"/>
              <w:right w:w="86" w:type="dxa"/>
            </w:tcMar>
          </w:tcPr>
          <w:p w14:paraId="20181CD8" w14:textId="77777777" w:rsidR="00DF6008" w:rsidRPr="005D4222" w:rsidRDefault="00DF6008" w:rsidP="00A53E8C">
            <w:pPr>
              <w:pStyle w:val="Heading3"/>
              <w:spacing w:before="120"/>
            </w:pPr>
            <w:r w:rsidRPr="005D4222">
              <w:t>Table HCC—Rank</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2"/>
              <w:gridCol w:w="866"/>
              <w:gridCol w:w="3139"/>
              <w:gridCol w:w="900"/>
              <w:gridCol w:w="1172"/>
            </w:tblGrid>
            <w:tr w:rsidR="00DF6008" w:rsidRPr="005D4222" w14:paraId="2D8EF9F4" w14:textId="77777777" w:rsidTr="00A53E8C">
              <w:trPr>
                <w:trHeight w:val="328"/>
              </w:trPr>
              <w:tc>
                <w:tcPr>
                  <w:tcW w:w="1301" w:type="dxa"/>
                  <w:tcBorders>
                    <w:right w:val="single" w:sz="6" w:space="0" w:color="FFFFFF" w:themeColor="background1"/>
                  </w:tcBorders>
                  <w:shd w:val="clear" w:color="auto" w:fill="000000" w:themeFill="text1"/>
                  <w:vAlign w:val="bottom"/>
                  <w:hideMark/>
                </w:tcPr>
                <w:p w14:paraId="58174AD5" w14:textId="77777777" w:rsidR="00DF6008" w:rsidRPr="005D4222" w:rsidRDefault="00DF6008" w:rsidP="00A53E8C">
                  <w:pPr>
                    <w:pStyle w:val="TableHead"/>
                    <w:spacing w:before="80" w:after="80"/>
                    <w:rPr>
                      <w:color w:val="auto"/>
                    </w:rPr>
                  </w:pPr>
                  <w:r w:rsidRPr="005D4222">
                    <w:rPr>
                      <w:color w:val="auto"/>
                    </w:rPr>
                    <w:t>Ranking Group</w:t>
                  </w:r>
                </w:p>
              </w:tc>
              <w:tc>
                <w:tcPr>
                  <w:tcW w:w="866" w:type="dxa"/>
                  <w:tcBorders>
                    <w:left w:val="single" w:sz="6" w:space="0" w:color="FFFFFF" w:themeColor="background1"/>
                    <w:right w:val="single" w:sz="6" w:space="0" w:color="FFFFFF" w:themeColor="background1"/>
                  </w:tcBorders>
                  <w:shd w:val="clear" w:color="auto" w:fill="000000" w:themeFill="text1"/>
                  <w:vAlign w:val="bottom"/>
                  <w:hideMark/>
                </w:tcPr>
                <w:p w14:paraId="109EA858" w14:textId="77777777" w:rsidR="00DF6008" w:rsidRPr="005D4222" w:rsidRDefault="00DF6008" w:rsidP="00A53E8C">
                  <w:pPr>
                    <w:pStyle w:val="TableHead"/>
                    <w:spacing w:before="80" w:after="80"/>
                    <w:rPr>
                      <w:color w:val="auto"/>
                    </w:rPr>
                  </w:pPr>
                  <w:r w:rsidRPr="005D4222">
                    <w:rPr>
                      <w:color w:val="auto"/>
                    </w:rPr>
                    <w:t>CC</w:t>
                  </w:r>
                </w:p>
              </w:tc>
              <w:tc>
                <w:tcPr>
                  <w:tcW w:w="3139" w:type="dxa"/>
                  <w:tcBorders>
                    <w:left w:val="single" w:sz="6" w:space="0" w:color="FFFFFF" w:themeColor="background1"/>
                    <w:right w:val="single" w:sz="6" w:space="0" w:color="FFFFFF" w:themeColor="background1"/>
                  </w:tcBorders>
                  <w:shd w:val="clear" w:color="auto" w:fill="000000" w:themeFill="text1"/>
                  <w:vAlign w:val="bottom"/>
                  <w:hideMark/>
                </w:tcPr>
                <w:p w14:paraId="31ACFF14" w14:textId="77777777" w:rsidR="00DF6008" w:rsidRPr="005D4222" w:rsidRDefault="00DF6008" w:rsidP="00A53E8C">
                  <w:pPr>
                    <w:pStyle w:val="TableHead"/>
                    <w:spacing w:before="80" w:after="80"/>
                    <w:rPr>
                      <w:color w:val="auto"/>
                    </w:rPr>
                  </w:pPr>
                  <w:r w:rsidRPr="005D4222">
                    <w:rPr>
                      <w:color w:val="auto"/>
                    </w:rPr>
                    <w:t>Description</w:t>
                  </w:r>
                </w:p>
              </w:tc>
              <w:tc>
                <w:tcPr>
                  <w:tcW w:w="900" w:type="dxa"/>
                  <w:tcBorders>
                    <w:left w:val="single" w:sz="6" w:space="0" w:color="FFFFFF" w:themeColor="background1"/>
                    <w:right w:val="single" w:sz="6" w:space="0" w:color="FFFFFF" w:themeColor="background1"/>
                  </w:tcBorders>
                  <w:shd w:val="clear" w:color="auto" w:fill="000000" w:themeFill="text1"/>
                  <w:vAlign w:val="bottom"/>
                  <w:hideMark/>
                </w:tcPr>
                <w:p w14:paraId="54C26434" w14:textId="77777777" w:rsidR="00DF6008" w:rsidRPr="005D4222" w:rsidRDefault="00DF6008" w:rsidP="00A53E8C">
                  <w:pPr>
                    <w:pStyle w:val="TableHead"/>
                    <w:spacing w:before="80" w:after="80"/>
                    <w:rPr>
                      <w:color w:val="auto"/>
                    </w:rPr>
                  </w:pPr>
                  <w:r w:rsidRPr="005D4222">
                    <w:rPr>
                      <w:color w:val="auto"/>
                    </w:rPr>
                    <w:t>Rank</w:t>
                  </w:r>
                </w:p>
              </w:tc>
              <w:tc>
                <w:tcPr>
                  <w:tcW w:w="1172" w:type="dxa"/>
                  <w:tcBorders>
                    <w:left w:val="single" w:sz="6" w:space="0" w:color="FFFFFF" w:themeColor="background1"/>
                  </w:tcBorders>
                  <w:shd w:val="clear" w:color="auto" w:fill="000000" w:themeFill="text1"/>
                  <w:vAlign w:val="bottom"/>
                  <w:hideMark/>
                </w:tcPr>
                <w:p w14:paraId="408AF2BC" w14:textId="77777777" w:rsidR="00DF6008" w:rsidRPr="005D4222" w:rsidRDefault="00DF6008" w:rsidP="00A53E8C">
                  <w:pPr>
                    <w:pStyle w:val="TableHead"/>
                    <w:spacing w:before="80" w:after="80"/>
                    <w:rPr>
                      <w:color w:val="auto"/>
                    </w:rPr>
                  </w:pPr>
                  <w:r w:rsidRPr="005D4222">
                    <w:rPr>
                      <w:color w:val="auto"/>
                    </w:rPr>
                    <w:t>HCC</w:t>
                  </w:r>
                </w:p>
              </w:tc>
            </w:tr>
            <w:tr w:rsidR="00DF6008" w:rsidRPr="005D4222" w14:paraId="63B23FE5" w14:textId="77777777" w:rsidTr="00A53E8C">
              <w:trPr>
                <w:trHeight w:val="340"/>
              </w:trPr>
              <w:tc>
                <w:tcPr>
                  <w:tcW w:w="1301" w:type="dxa"/>
                  <w:tcBorders>
                    <w:bottom w:val="single" w:sz="4" w:space="0" w:color="000000" w:themeColor="text1"/>
                  </w:tcBorders>
                  <w:hideMark/>
                </w:tcPr>
                <w:p w14:paraId="6117CF71" w14:textId="77777777" w:rsidR="00DF6008" w:rsidRPr="005D4222" w:rsidRDefault="00DF6008" w:rsidP="00A53E8C">
                  <w:pPr>
                    <w:pStyle w:val="TableText"/>
                    <w:rPr>
                      <w:szCs w:val="21"/>
                    </w:rPr>
                  </w:pPr>
                  <w:r w:rsidRPr="005D4222">
                    <w:rPr>
                      <w:szCs w:val="21"/>
                    </w:rPr>
                    <w:t>NA</w:t>
                  </w:r>
                </w:p>
              </w:tc>
              <w:tc>
                <w:tcPr>
                  <w:tcW w:w="866" w:type="dxa"/>
                  <w:tcBorders>
                    <w:bottom w:val="single" w:sz="4" w:space="0" w:color="000000" w:themeColor="text1"/>
                  </w:tcBorders>
                  <w:hideMark/>
                </w:tcPr>
                <w:p w14:paraId="697E1F07" w14:textId="77777777" w:rsidR="00DF6008" w:rsidRPr="005D4222" w:rsidRDefault="00DF6008" w:rsidP="00A53E8C">
                  <w:pPr>
                    <w:pStyle w:val="TableText"/>
                    <w:jc w:val="center"/>
                    <w:rPr>
                      <w:szCs w:val="21"/>
                    </w:rPr>
                  </w:pPr>
                  <w:r w:rsidRPr="005D4222">
                    <w:rPr>
                      <w:szCs w:val="21"/>
                    </w:rPr>
                    <w:t>CC-85</w:t>
                  </w:r>
                </w:p>
              </w:tc>
              <w:tc>
                <w:tcPr>
                  <w:tcW w:w="3139" w:type="dxa"/>
                  <w:tcBorders>
                    <w:bottom w:val="single" w:sz="4" w:space="0" w:color="000000" w:themeColor="text1"/>
                  </w:tcBorders>
                  <w:hideMark/>
                </w:tcPr>
                <w:p w14:paraId="26794ED9" w14:textId="77777777" w:rsidR="00DF6008" w:rsidRPr="005D4222" w:rsidRDefault="00DF6008" w:rsidP="00A53E8C">
                  <w:pPr>
                    <w:pStyle w:val="TableText"/>
                    <w:rPr>
                      <w:szCs w:val="21"/>
                    </w:rPr>
                  </w:pPr>
                  <w:r w:rsidRPr="005D4222">
                    <w:rPr>
                      <w:szCs w:val="21"/>
                    </w:rPr>
                    <w:t>Congestive Heart Failure</w:t>
                  </w:r>
                </w:p>
              </w:tc>
              <w:tc>
                <w:tcPr>
                  <w:tcW w:w="900" w:type="dxa"/>
                  <w:tcBorders>
                    <w:bottom w:val="single" w:sz="4" w:space="0" w:color="000000" w:themeColor="text1"/>
                  </w:tcBorders>
                  <w:hideMark/>
                </w:tcPr>
                <w:p w14:paraId="16D2A59D" w14:textId="77777777" w:rsidR="00DF6008" w:rsidRPr="005D4222" w:rsidRDefault="00DF6008" w:rsidP="00A53E8C">
                  <w:pPr>
                    <w:pStyle w:val="TableText"/>
                    <w:jc w:val="center"/>
                    <w:rPr>
                      <w:szCs w:val="21"/>
                    </w:rPr>
                  </w:pPr>
                  <w:r w:rsidRPr="005D4222">
                    <w:rPr>
                      <w:szCs w:val="21"/>
                    </w:rPr>
                    <w:t>NA</w:t>
                  </w:r>
                </w:p>
              </w:tc>
              <w:tc>
                <w:tcPr>
                  <w:tcW w:w="1172" w:type="dxa"/>
                  <w:tcBorders>
                    <w:bottom w:val="single" w:sz="4" w:space="0" w:color="000000" w:themeColor="text1"/>
                  </w:tcBorders>
                  <w:hideMark/>
                </w:tcPr>
                <w:p w14:paraId="2A283627" w14:textId="77777777" w:rsidR="00DF6008" w:rsidRPr="005D4222" w:rsidRDefault="00DF6008" w:rsidP="00A53E8C">
                  <w:pPr>
                    <w:pStyle w:val="TableText"/>
                    <w:jc w:val="center"/>
                    <w:rPr>
                      <w:szCs w:val="21"/>
                    </w:rPr>
                  </w:pPr>
                  <w:r w:rsidRPr="005D4222">
                    <w:rPr>
                      <w:szCs w:val="21"/>
                    </w:rPr>
                    <w:t>HCC-85</w:t>
                  </w:r>
                </w:p>
              </w:tc>
            </w:tr>
            <w:tr w:rsidR="00DF6008" w:rsidRPr="005D4222" w14:paraId="13DB173C" w14:textId="77777777" w:rsidTr="00A53E8C">
              <w:trPr>
                <w:trHeight w:val="328"/>
              </w:trPr>
              <w:tc>
                <w:tcPr>
                  <w:tcW w:w="1301" w:type="dxa"/>
                  <w:vMerge w:val="restart"/>
                  <w:shd w:val="clear" w:color="auto" w:fill="FFFFFF" w:themeFill="background1"/>
                  <w:vAlign w:val="center"/>
                  <w:hideMark/>
                </w:tcPr>
                <w:p w14:paraId="484A2A34" w14:textId="77777777" w:rsidR="00DF6008" w:rsidRPr="005D4222" w:rsidRDefault="00DF6008" w:rsidP="00A53E8C">
                  <w:pPr>
                    <w:pStyle w:val="TableText"/>
                    <w:rPr>
                      <w:rFonts w:cs="Arial"/>
                      <w:szCs w:val="21"/>
                    </w:rPr>
                  </w:pPr>
                  <w:r w:rsidRPr="005D4222">
                    <w:rPr>
                      <w:rFonts w:cs="Arial"/>
                      <w:szCs w:val="21"/>
                    </w:rPr>
                    <w:t xml:space="preserve">Diabetes 1 </w:t>
                  </w:r>
                </w:p>
              </w:tc>
              <w:tc>
                <w:tcPr>
                  <w:tcW w:w="866" w:type="dxa"/>
                  <w:tcBorders>
                    <w:top w:val="single" w:sz="4" w:space="0" w:color="000000" w:themeColor="text1"/>
                    <w:bottom w:val="single" w:sz="4" w:space="0" w:color="808080" w:themeColor="background1" w:themeShade="80"/>
                  </w:tcBorders>
                  <w:shd w:val="clear" w:color="auto" w:fill="FFFFFF" w:themeFill="background1"/>
                  <w:hideMark/>
                </w:tcPr>
                <w:p w14:paraId="6041E9F3" w14:textId="77777777" w:rsidR="00DF6008" w:rsidRPr="005D4222" w:rsidRDefault="00DF6008" w:rsidP="00A53E8C">
                  <w:pPr>
                    <w:pStyle w:val="TableText"/>
                    <w:jc w:val="center"/>
                    <w:rPr>
                      <w:rFonts w:cs="Arial"/>
                      <w:szCs w:val="21"/>
                    </w:rPr>
                  </w:pPr>
                  <w:r w:rsidRPr="005D4222">
                    <w:rPr>
                      <w:rFonts w:cs="Arial"/>
                      <w:szCs w:val="21"/>
                    </w:rPr>
                    <w:t>CC-17</w:t>
                  </w:r>
                </w:p>
              </w:tc>
              <w:tc>
                <w:tcPr>
                  <w:tcW w:w="3139" w:type="dxa"/>
                  <w:tcBorders>
                    <w:top w:val="single" w:sz="4" w:space="0" w:color="000000" w:themeColor="text1"/>
                    <w:bottom w:val="single" w:sz="4" w:space="0" w:color="808080" w:themeColor="background1" w:themeShade="80"/>
                  </w:tcBorders>
                  <w:shd w:val="clear" w:color="auto" w:fill="FFFFFF" w:themeFill="background1"/>
                  <w:hideMark/>
                </w:tcPr>
                <w:p w14:paraId="5BB9000B" w14:textId="77777777" w:rsidR="00DF6008" w:rsidRPr="005D4222" w:rsidRDefault="00DF6008" w:rsidP="00A53E8C">
                  <w:pPr>
                    <w:pStyle w:val="TableText"/>
                    <w:rPr>
                      <w:rFonts w:cs="Arial"/>
                      <w:szCs w:val="21"/>
                    </w:rPr>
                  </w:pPr>
                  <w:r w:rsidRPr="005D4222">
                    <w:rPr>
                      <w:rFonts w:cs="Arial"/>
                      <w:szCs w:val="21"/>
                    </w:rPr>
                    <w:t xml:space="preserve">Diabetes With Acute Complications </w:t>
                  </w:r>
                </w:p>
              </w:tc>
              <w:tc>
                <w:tcPr>
                  <w:tcW w:w="900" w:type="dxa"/>
                  <w:tcBorders>
                    <w:top w:val="single" w:sz="4" w:space="0" w:color="000000" w:themeColor="text1"/>
                    <w:bottom w:val="single" w:sz="4" w:space="0" w:color="808080" w:themeColor="background1" w:themeShade="80"/>
                  </w:tcBorders>
                  <w:shd w:val="clear" w:color="auto" w:fill="FFFFFF" w:themeFill="background1"/>
                  <w:hideMark/>
                </w:tcPr>
                <w:p w14:paraId="63438DFF" w14:textId="77777777" w:rsidR="00DF6008" w:rsidRPr="005D4222" w:rsidRDefault="00DF6008" w:rsidP="00A53E8C">
                  <w:pPr>
                    <w:pStyle w:val="TableText"/>
                    <w:jc w:val="center"/>
                    <w:rPr>
                      <w:rFonts w:cs="Arial"/>
                      <w:szCs w:val="21"/>
                    </w:rPr>
                  </w:pPr>
                  <w:r w:rsidRPr="005D4222">
                    <w:rPr>
                      <w:rFonts w:cs="Arial"/>
                      <w:szCs w:val="21"/>
                    </w:rPr>
                    <w:t>1</w:t>
                  </w:r>
                </w:p>
              </w:tc>
              <w:tc>
                <w:tcPr>
                  <w:tcW w:w="1172" w:type="dxa"/>
                  <w:tcBorders>
                    <w:top w:val="single" w:sz="4" w:space="0" w:color="000000" w:themeColor="text1"/>
                    <w:bottom w:val="single" w:sz="4" w:space="0" w:color="808080" w:themeColor="background1" w:themeShade="80"/>
                  </w:tcBorders>
                  <w:shd w:val="clear" w:color="auto" w:fill="FFFFFF" w:themeFill="background1"/>
                  <w:hideMark/>
                </w:tcPr>
                <w:p w14:paraId="31AB4DF9" w14:textId="77777777" w:rsidR="00DF6008" w:rsidRPr="005D4222" w:rsidRDefault="00DF6008" w:rsidP="00A53E8C">
                  <w:pPr>
                    <w:pStyle w:val="TableText"/>
                    <w:jc w:val="center"/>
                    <w:rPr>
                      <w:rFonts w:cs="Arial"/>
                      <w:szCs w:val="21"/>
                    </w:rPr>
                  </w:pPr>
                  <w:r w:rsidRPr="005D4222">
                    <w:rPr>
                      <w:rFonts w:cs="Arial"/>
                      <w:szCs w:val="21"/>
                    </w:rPr>
                    <w:t>HCC-17</w:t>
                  </w:r>
                </w:p>
              </w:tc>
            </w:tr>
            <w:tr w:rsidR="00DF6008" w:rsidRPr="005D4222" w14:paraId="275678CC" w14:textId="77777777" w:rsidTr="00A53E8C">
              <w:trPr>
                <w:trHeight w:val="351"/>
              </w:trPr>
              <w:tc>
                <w:tcPr>
                  <w:tcW w:w="1301" w:type="dxa"/>
                  <w:vMerge/>
                  <w:shd w:val="clear" w:color="auto" w:fill="FFFFFF" w:themeFill="background1"/>
                  <w:hideMark/>
                </w:tcPr>
                <w:p w14:paraId="5717211A" w14:textId="77777777" w:rsidR="00DF6008" w:rsidRPr="005D4222" w:rsidRDefault="00DF6008" w:rsidP="00A53E8C">
                  <w:pPr>
                    <w:pStyle w:val="TableText"/>
                    <w:rPr>
                      <w:rFonts w:cs="Arial"/>
                    </w:rPr>
                  </w:pPr>
                </w:p>
              </w:tc>
              <w:tc>
                <w:tcPr>
                  <w:tcW w:w="866" w:type="dxa"/>
                  <w:tcBorders>
                    <w:top w:val="single" w:sz="4" w:space="0" w:color="808080" w:themeColor="background1" w:themeShade="80"/>
                    <w:bottom w:val="single" w:sz="4" w:space="0" w:color="808080" w:themeColor="background1" w:themeShade="80"/>
                  </w:tcBorders>
                  <w:shd w:val="clear" w:color="auto" w:fill="FFFFFF" w:themeFill="background1"/>
                  <w:hideMark/>
                </w:tcPr>
                <w:p w14:paraId="2D5DC727" w14:textId="77777777" w:rsidR="00DF6008" w:rsidRPr="005D4222" w:rsidRDefault="00DF6008" w:rsidP="00A53E8C">
                  <w:pPr>
                    <w:pStyle w:val="TableText"/>
                    <w:jc w:val="center"/>
                    <w:rPr>
                      <w:rFonts w:cs="Arial"/>
                      <w:szCs w:val="21"/>
                    </w:rPr>
                  </w:pPr>
                  <w:r w:rsidRPr="005D4222">
                    <w:rPr>
                      <w:rFonts w:cs="Arial"/>
                      <w:szCs w:val="21"/>
                    </w:rPr>
                    <w:t>CC-18</w:t>
                  </w:r>
                </w:p>
              </w:tc>
              <w:tc>
                <w:tcPr>
                  <w:tcW w:w="3139" w:type="dxa"/>
                  <w:tcBorders>
                    <w:top w:val="single" w:sz="4" w:space="0" w:color="808080" w:themeColor="background1" w:themeShade="80"/>
                    <w:bottom w:val="single" w:sz="4" w:space="0" w:color="808080" w:themeColor="background1" w:themeShade="80"/>
                  </w:tcBorders>
                  <w:shd w:val="clear" w:color="auto" w:fill="FFFFFF" w:themeFill="background1"/>
                  <w:hideMark/>
                </w:tcPr>
                <w:p w14:paraId="01ADDB71" w14:textId="77777777" w:rsidR="00DF6008" w:rsidRPr="005D4222" w:rsidRDefault="00DF6008" w:rsidP="00A53E8C">
                  <w:pPr>
                    <w:pStyle w:val="TableText"/>
                    <w:rPr>
                      <w:rFonts w:cs="Arial"/>
                      <w:szCs w:val="21"/>
                    </w:rPr>
                  </w:pPr>
                  <w:r w:rsidRPr="005D4222">
                    <w:rPr>
                      <w:rFonts w:cs="Arial"/>
                      <w:szCs w:val="21"/>
                    </w:rPr>
                    <w:t xml:space="preserve">Diabetes With Chronic Complications </w:t>
                  </w:r>
                </w:p>
              </w:tc>
              <w:tc>
                <w:tcPr>
                  <w:tcW w:w="900" w:type="dxa"/>
                  <w:tcBorders>
                    <w:top w:val="single" w:sz="4" w:space="0" w:color="808080" w:themeColor="background1" w:themeShade="80"/>
                    <w:bottom w:val="single" w:sz="4" w:space="0" w:color="808080" w:themeColor="background1" w:themeShade="80"/>
                  </w:tcBorders>
                  <w:shd w:val="clear" w:color="auto" w:fill="FFFFFF" w:themeFill="background1"/>
                  <w:hideMark/>
                </w:tcPr>
                <w:p w14:paraId="05C84157" w14:textId="77777777" w:rsidR="00DF6008" w:rsidRPr="005D4222" w:rsidRDefault="00DF6008" w:rsidP="00A53E8C">
                  <w:pPr>
                    <w:pStyle w:val="TableText"/>
                    <w:jc w:val="center"/>
                    <w:rPr>
                      <w:rFonts w:cs="Arial"/>
                      <w:szCs w:val="21"/>
                    </w:rPr>
                  </w:pPr>
                  <w:r w:rsidRPr="005D4222">
                    <w:rPr>
                      <w:rFonts w:cs="Arial"/>
                      <w:szCs w:val="21"/>
                    </w:rPr>
                    <w:t>2</w:t>
                  </w:r>
                </w:p>
              </w:tc>
              <w:tc>
                <w:tcPr>
                  <w:tcW w:w="1172" w:type="dxa"/>
                  <w:tcBorders>
                    <w:top w:val="single" w:sz="4" w:space="0" w:color="808080" w:themeColor="background1" w:themeShade="80"/>
                    <w:bottom w:val="single" w:sz="4" w:space="0" w:color="808080" w:themeColor="background1" w:themeShade="80"/>
                  </w:tcBorders>
                  <w:shd w:val="clear" w:color="auto" w:fill="FFFFFF" w:themeFill="background1"/>
                  <w:hideMark/>
                </w:tcPr>
                <w:p w14:paraId="6E7F5E6D" w14:textId="77777777" w:rsidR="00DF6008" w:rsidRPr="005D4222" w:rsidRDefault="00DF6008" w:rsidP="00A53E8C">
                  <w:pPr>
                    <w:pStyle w:val="TableText"/>
                    <w:jc w:val="center"/>
                    <w:rPr>
                      <w:rFonts w:cs="Arial"/>
                      <w:szCs w:val="21"/>
                    </w:rPr>
                  </w:pPr>
                  <w:r w:rsidRPr="005D4222">
                    <w:rPr>
                      <w:rFonts w:cs="Arial"/>
                      <w:szCs w:val="21"/>
                    </w:rPr>
                    <w:t>HCC-18</w:t>
                  </w:r>
                </w:p>
              </w:tc>
            </w:tr>
            <w:tr w:rsidR="00DF6008" w:rsidRPr="005D4222" w14:paraId="37FBFAE3" w14:textId="77777777" w:rsidTr="00A53E8C">
              <w:trPr>
                <w:trHeight w:val="340"/>
              </w:trPr>
              <w:tc>
                <w:tcPr>
                  <w:tcW w:w="1301" w:type="dxa"/>
                  <w:vMerge/>
                  <w:shd w:val="clear" w:color="auto" w:fill="FFFFFF" w:themeFill="background1"/>
                  <w:hideMark/>
                </w:tcPr>
                <w:p w14:paraId="3B64E262" w14:textId="77777777" w:rsidR="00DF6008" w:rsidRPr="005D4222" w:rsidRDefault="00DF6008" w:rsidP="00A53E8C">
                  <w:pPr>
                    <w:pStyle w:val="TableText"/>
                    <w:rPr>
                      <w:rFonts w:cs="Arial"/>
                    </w:rPr>
                  </w:pPr>
                </w:p>
              </w:tc>
              <w:tc>
                <w:tcPr>
                  <w:tcW w:w="866" w:type="dxa"/>
                  <w:tcBorders>
                    <w:top w:val="single" w:sz="4" w:space="0" w:color="808080" w:themeColor="background1" w:themeShade="80"/>
                    <w:bottom w:val="single" w:sz="4" w:space="0" w:color="auto"/>
                  </w:tcBorders>
                  <w:shd w:val="clear" w:color="auto" w:fill="FFFFFF" w:themeFill="background1"/>
                  <w:hideMark/>
                </w:tcPr>
                <w:p w14:paraId="284D8CE4" w14:textId="77777777" w:rsidR="00DF6008" w:rsidRPr="005D4222" w:rsidRDefault="00DF6008" w:rsidP="00A53E8C">
                  <w:pPr>
                    <w:pStyle w:val="TableText"/>
                    <w:jc w:val="center"/>
                    <w:rPr>
                      <w:rFonts w:cs="Arial"/>
                      <w:szCs w:val="21"/>
                    </w:rPr>
                  </w:pPr>
                  <w:r w:rsidRPr="005D4222">
                    <w:rPr>
                      <w:rFonts w:cs="Arial"/>
                      <w:szCs w:val="21"/>
                    </w:rPr>
                    <w:t>CC-19</w:t>
                  </w:r>
                </w:p>
              </w:tc>
              <w:tc>
                <w:tcPr>
                  <w:tcW w:w="3139" w:type="dxa"/>
                  <w:tcBorders>
                    <w:top w:val="single" w:sz="4" w:space="0" w:color="808080" w:themeColor="background1" w:themeShade="80"/>
                    <w:bottom w:val="single" w:sz="4" w:space="0" w:color="auto"/>
                  </w:tcBorders>
                  <w:shd w:val="clear" w:color="auto" w:fill="FFFFFF" w:themeFill="background1"/>
                  <w:hideMark/>
                </w:tcPr>
                <w:p w14:paraId="4222BEA6" w14:textId="77777777" w:rsidR="00DF6008" w:rsidRPr="005D4222" w:rsidRDefault="00DF6008" w:rsidP="00A53E8C">
                  <w:pPr>
                    <w:pStyle w:val="TableText"/>
                    <w:rPr>
                      <w:rFonts w:cs="Arial"/>
                      <w:szCs w:val="21"/>
                    </w:rPr>
                  </w:pPr>
                  <w:r w:rsidRPr="005D4222">
                    <w:rPr>
                      <w:rFonts w:cs="Arial"/>
                      <w:szCs w:val="21"/>
                    </w:rPr>
                    <w:t xml:space="preserve">Diabetes Without Complications </w:t>
                  </w:r>
                </w:p>
              </w:tc>
              <w:tc>
                <w:tcPr>
                  <w:tcW w:w="900" w:type="dxa"/>
                  <w:tcBorders>
                    <w:top w:val="single" w:sz="4" w:space="0" w:color="808080" w:themeColor="background1" w:themeShade="80"/>
                    <w:bottom w:val="single" w:sz="4" w:space="0" w:color="auto"/>
                  </w:tcBorders>
                  <w:shd w:val="clear" w:color="auto" w:fill="FFFFFF" w:themeFill="background1"/>
                  <w:hideMark/>
                </w:tcPr>
                <w:p w14:paraId="49F8CC82" w14:textId="77777777" w:rsidR="00DF6008" w:rsidRPr="005D4222" w:rsidRDefault="00DF6008" w:rsidP="00A53E8C">
                  <w:pPr>
                    <w:pStyle w:val="TableText"/>
                    <w:jc w:val="center"/>
                    <w:rPr>
                      <w:rFonts w:cs="Arial"/>
                      <w:szCs w:val="21"/>
                    </w:rPr>
                  </w:pPr>
                  <w:r w:rsidRPr="005D4222">
                    <w:rPr>
                      <w:rFonts w:cs="Arial"/>
                      <w:szCs w:val="21"/>
                    </w:rPr>
                    <w:t>3</w:t>
                  </w:r>
                </w:p>
              </w:tc>
              <w:tc>
                <w:tcPr>
                  <w:tcW w:w="1172" w:type="dxa"/>
                  <w:tcBorders>
                    <w:top w:val="single" w:sz="4" w:space="0" w:color="808080" w:themeColor="background1" w:themeShade="80"/>
                    <w:bottom w:val="single" w:sz="4" w:space="0" w:color="auto"/>
                  </w:tcBorders>
                  <w:shd w:val="clear" w:color="auto" w:fill="FFFFFF" w:themeFill="background1"/>
                  <w:hideMark/>
                </w:tcPr>
                <w:p w14:paraId="68CA67C6" w14:textId="77777777" w:rsidR="00DF6008" w:rsidRPr="005D4222" w:rsidRDefault="00DF6008" w:rsidP="00A53E8C">
                  <w:pPr>
                    <w:pStyle w:val="TableText"/>
                    <w:jc w:val="center"/>
                    <w:rPr>
                      <w:rFonts w:cs="Arial"/>
                      <w:szCs w:val="21"/>
                    </w:rPr>
                  </w:pPr>
                  <w:r w:rsidRPr="005D4222">
                    <w:rPr>
                      <w:rFonts w:cs="Arial"/>
                      <w:szCs w:val="21"/>
                    </w:rPr>
                    <w:t>HCC-19</w:t>
                  </w:r>
                </w:p>
              </w:tc>
            </w:tr>
          </w:tbl>
          <w:p w14:paraId="58D495C7" w14:textId="77777777" w:rsidR="00DF6008" w:rsidRPr="005D4222" w:rsidRDefault="00DF6008" w:rsidP="00A53E8C">
            <w:pPr>
              <w:pStyle w:val="ECDSBody"/>
              <w:spacing w:before="240"/>
            </w:pPr>
            <w:r w:rsidRPr="005D4222">
              <w:rPr>
                <w:b/>
              </w:rPr>
              <w:t>Step 5.</w:t>
            </w:r>
            <w:r w:rsidRPr="005D4222">
              <w:t xml:space="preserve"> Identify combination HCCs listed in Table HCC—Comb. </w:t>
            </w:r>
          </w:p>
          <w:p w14:paraId="6E82DFC9" w14:textId="77777777" w:rsidR="00DF6008" w:rsidRPr="005D4222" w:rsidRDefault="00DF6008" w:rsidP="00A53E8C">
            <w:pPr>
              <w:pStyle w:val="ECDSBody"/>
              <w:spacing w:before="0"/>
            </w:pPr>
            <w:r w:rsidRPr="005D4222">
              <w:t>Some combinations suggest a greater amount of risk when observed together.</w:t>
            </w:r>
          </w:p>
          <w:p w14:paraId="2DD022D3" w14:textId="77777777" w:rsidR="00DF6008" w:rsidRPr="005D4222" w:rsidRDefault="00DF6008" w:rsidP="00DF6008">
            <w:pPr>
              <w:pStyle w:val="Bullet"/>
              <w:numPr>
                <w:ilvl w:val="0"/>
                <w:numId w:val="4"/>
              </w:numPr>
              <w:tabs>
                <w:tab w:val="left" w:pos="360"/>
                <w:tab w:val="left" w:pos="576"/>
              </w:tabs>
              <w:ind w:left="576" w:hanging="216"/>
            </w:pPr>
            <w:r w:rsidRPr="005D4222">
              <w:rPr>
                <w:i/>
              </w:rPr>
              <w:t>For example,</w:t>
            </w:r>
            <w:r w:rsidRPr="005D4222">
              <w:t xml:space="preserve"> when diabetes </w:t>
            </w:r>
            <w:r w:rsidRPr="005D4222">
              <w:rPr>
                <w:i/>
                <w:iCs/>
              </w:rPr>
              <w:t xml:space="preserve">and </w:t>
            </w:r>
            <w:r w:rsidRPr="005D4222">
              <w:t xml:space="preserve">CHF are present, an increased amount of risk is evident. Additional HCCs are selected to account for these relationships. </w:t>
            </w:r>
          </w:p>
          <w:p w14:paraId="24D4B56C" w14:textId="77777777" w:rsidR="00DF6008" w:rsidRPr="005D4222" w:rsidRDefault="00DF6008" w:rsidP="00A53E8C">
            <w:pPr>
              <w:pStyle w:val="ECDSBody"/>
              <w:rPr>
                <w:i/>
              </w:rPr>
            </w:pPr>
            <w:r w:rsidRPr="005D4222">
              <w:t xml:space="preserve">Compare each denominator unit’s list of unique HCCs to those in the </w:t>
            </w:r>
            <w:r w:rsidRPr="005D4222">
              <w:rPr>
                <w:i/>
                <w:iCs/>
              </w:rPr>
              <w:t>Comorbid HCC</w:t>
            </w:r>
            <w:r w:rsidRPr="005D4222">
              <w:t xml:space="preserve"> columns in Table HCC—Comb and assign any additional HCC conditions.</w:t>
            </w:r>
          </w:p>
          <w:p w14:paraId="0F40AFA1" w14:textId="77777777" w:rsidR="00DF6008" w:rsidRPr="005D4222" w:rsidRDefault="00DF6008" w:rsidP="00A53E8C">
            <w:pPr>
              <w:pStyle w:val="ECDSBody"/>
            </w:pPr>
            <w:r w:rsidRPr="005D4222">
              <w:rPr>
                <w:i/>
              </w:rPr>
              <w:t xml:space="preserve">If there are overlapping combinations, use both sets of combinations. </w:t>
            </w:r>
            <w:r w:rsidRPr="005D4222">
              <w:t>Based on the combinations, a denominator unit can have none, one or more of these added HCCs.</w:t>
            </w:r>
          </w:p>
          <w:p w14:paraId="3F9E5A3A" w14:textId="77777777" w:rsidR="00DF6008" w:rsidRPr="005D4222" w:rsidRDefault="00DF6008" w:rsidP="00DF6008">
            <w:pPr>
              <w:pStyle w:val="Bullet"/>
              <w:numPr>
                <w:ilvl w:val="0"/>
                <w:numId w:val="4"/>
              </w:numPr>
              <w:tabs>
                <w:tab w:val="left" w:pos="360"/>
                <w:tab w:val="left" w:pos="576"/>
              </w:tabs>
              <w:ind w:left="576" w:hanging="216"/>
              <w:rPr>
                <w:szCs w:val="21"/>
              </w:rPr>
            </w:pPr>
            <w:r w:rsidRPr="005D4222">
              <w:rPr>
                <w:i/>
                <w:iCs/>
              </w:rPr>
              <w:t>For example,</w:t>
            </w:r>
            <w:r w:rsidRPr="005D4222">
              <w:t xml:space="preserve"> </w:t>
            </w:r>
            <w:r w:rsidRPr="005D4222">
              <w:rPr>
                <w:szCs w:val="21"/>
              </w:rPr>
              <w:t>for a</w:t>
            </w:r>
            <w:r w:rsidRPr="005D4222" w:rsidDel="008F7E1D">
              <w:rPr>
                <w:szCs w:val="21"/>
              </w:rPr>
              <w:t xml:space="preserve"> </w:t>
            </w:r>
            <w:r w:rsidRPr="005D4222">
              <w:rPr>
                <w:szCs w:val="21"/>
              </w:rPr>
              <w:t xml:space="preserve">denominator unit with comorbidities HCC-17 and HCC-85 (assume no other HCCs), assign HCC-901 in addition to </w:t>
            </w:r>
            <w:r w:rsidRPr="005D4222">
              <w:rPr>
                <w:szCs w:val="21"/>
              </w:rPr>
              <w:br/>
              <w:t>HCC-17 and HCC-85. This does not replace HCC-17 and HCC-85.</w:t>
            </w:r>
          </w:p>
          <w:p w14:paraId="38F83963" w14:textId="77777777" w:rsidR="00DF6008" w:rsidRPr="005D4222" w:rsidRDefault="00DF6008" w:rsidP="00A53E8C">
            <w:pPr>
              <w:pStyle w:val="Heading3"/>
              <w:spacing w:before="120"/>
            </w:pPr>
            <w:r w:rsidRPr="005D4222">
              <w:t>Table HCC—Comb</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29"/>
              <w:gridCol w:w="1328"/>
              <w:gridCol w:w="1328"/>
              <w:gridCol w:w="1329"/>
              <w:gridCol w:w="2065"/>
            </w:tblGrid>
            <w:tr w:rsidR="00DF6008" w:rsidRPr="005D4222" w14:paraId="25CC03BE" w14:textId="77777777" w:rsidTr="00A53E8C">
              <w:tc>
                <w:tcPr>
                  <w:tcW w:w="1973" w:type="dxa"/>
                  <w:tcBorders>
                    <w:right w:val="single" w:sz="4" w:space="0" w:color="FFFFFF" w:themeColor="background1"/>
                  </w:tcBorders>
                  <w:shd w:val="clear" w:color="auto" w:fill="000000" w:themeFill="text1"/>
                  <w:vAlign w:val="bottom"/>
                  <w:hideMark/>
                </w:tcPr>
                <w:p w14:paraId="25BE6E66" w14:textId="77777777" w:rsidR="00DF6008" w:rsidRPr="005D4222" w:rsidRDefault="00DF6008" w:rsidP="00A53E8C">
                  <w:pPr>
                    <w:pStyle w:val="TableHead"/>
                    <w:rPr>
                      <w:color w:val="auto"/>
                    </w:rPr>
                  </w:pPr>
                  <w:r w:rsidRPr="005D4222">
                    <w:rPr>
                      <w:color w:val="auto"/>
                    </w:rPr>
                    <w:t xml:space="preserve">Comorbid </w:t>
                  </w:r>
                  <w:r w:rsidRPr="005D4222">
                    <w:rPr>
                      <w:color w:val="auto"/>
                    </w:rPr>
                    <w:br/>
                    <w:t>HCC 1</w:t>
                  </w:r>
                </w:p>
              </w:tc>
              <w:tc>
                <w:tcPr>
                  <w:tcW w:w="1973" w:type="dxa"/>
                  <w:tcBorders>
                    <w:left w:val="single" w:sz="4" w:space="0" w:color="FFFFFF" w:themeColor="background1"/>
                    <w:right w:val="single" w:sz="4" w:space="0" w:color="FFFFFF" w:themeColor="background1"/>
                  </w:tcBorders>
                  <w:shd w:val="clear" w:color="auto" w:fill="000000" w:themeFill="text1"/>
                  <w:vAlign w:val="bottom"/>
                  <w:hideMark/>
                </w:tcPr>
                <w:p w14:paraId="159DF3F5" w14:textId="77777777" w:rsidR="00DF6008" w:rsidRPr="005D4222" w:rsidRDefault="00DF6008" w:rsidP="00A53E8C">
                  <w:pPr>
                    <w:pStyle w:val="TableHead"/>
                    <w:rPr>
                      <w:color w:val="auto"/>
                    </w:rPr>
                  </w:pPr>
                  <w:r w:rsidRPr="005D4222">
                    <w:rPr>
                      <w:color w:val="auto"/>
                    </w:rPr>
                    <w:t xml:space="preserve">Comorbid </w:t>
                  </w:r>
                  <w:r w:rsidRPr="005D4222">
                    <w:rPr>
                      <w:color w:val="auto"/>
                    </w:rPr>
                    <w:br/>
                    <w:t>HCC 2</w:t>
                  </w:r>
                </w:p>
              </w:tc>
              <w:tc>
                <w:tcPr>
                  <w:tcW w:w="1973" w:type="dxa"/>
                  <w:tcBorders>
                    <w:left w:val="single" w:sz="4" w:space="0" w:color="FFFFFF" w:themeColor="background1"/>
                    <w:right w:val="single" w:sz="4" w:space="0" w:color="FFFFFF" w:themeColor="background1"/>
                  </w:tcBorders>
                  <w:shd w:val="clear" w:color="auto" w:fill="000000" w:themeFill="text1"/>
                  <w:vAlign w:val="bottom"/>
                  <w:hideMark/>
                </w:tcPr>
                <w:p w14:paraId="67A4BA9E" w14:textId="77777777" w:rsidR="00DF6008" w:rsidRPr="005D4222" w:rsidRDefault="00DF6008" w:rsidP="00A53E8C">
                  <w:pPr>
                    <w:pStyle w:val="TableHead"/>
                    <w:rPr>
                      <w:color w:val="auto"/>
                    </w:rPr>
                  </w:pPr>
                  <w:r w:rsidRPr="005D4222">
                    <w:rPr>
                      <w:color w:val="auto"/>
                    </w:rPr>
                    <w:t xml:space="preserve">Comorbid </w:t>
                  </w:r>
                  <w:r w:rsidRPr="005D4222">
                    <w:rPr>
                      <w:color w:val="auto"/>
                    </w:rPr>
                    <w:br/>
                    <w:t>HCC 3</w:t>
                  </w:r>
                </w:p>
              </w:tc>
              <w:tc>
                <w:tcPr>
                  <w:tcW w:w="1974" w:type="dxa"/>
                  <w:tcBorders>
                    <w:left w:val="single" w:sz="4" w:space="0" w:color="FFFFFF" w:themeColor="background1"/>
                    <w:right w:val="single" w:sz="4" w:space="0" w:color="FFFFFF" w:themeColor="background1"/>
                  </w:tcBorders>
                  <w:shd w:val="clear" w:color="auto" w:fill="000000" w:themeFill="text1"/>
                  <w:vAlign w:val="bottom"/>
                  <w:hideMark/>
                </w:tcPr>
                <w:p w14:paraId="35983D94" w14:textId="77777777" w:rsidR="00DF6008" w:rsidRPr="005D4222" w:rsidRDefault="00DF6008" w:rsidP="00A53E8C">
                  <w:pPr>
                    <w:pStyle w:val="TableHead"/>
                    <w:rPr>
                      <w:color w:val="auto"/>
                    </w:rPr>
                  </w:pPr>
                  <w:r w:rsidRPr="005D4222">
                    <w:rPr>
                      <w:color w:val="auto"/>
                    </w:rPr>
                    <w:t>HCC-</w:t>
                  </w:r>
                  <w:r w:rsidRPr="005D4222">
                    <w:rPr>
                      <w:color w:val="auto"/>
                    </w:rPr>
                    <w:br/>
                    <w:t>Combination</w:t>
                  </w:r>
                </w:p>
              </w:tc>
              <w:tc>
                <w:tcPr>
                  <w:tcW w:w="3144" w:type="dxa"/>
                  <w:tcBorders>
                    <w:left w:val="single" w:sz="4" w:space="0" w:color="FFFFFF" w:themeColor="background1"/>
                  </w:tcBorders>
                  <w:shd w:val="clear" w:color="auto" w:fill="000000" w:themeFill="text1"/>
                  <w:vAlign w:val="bottom"/>
                </w:tcPr>
                <w:p w14:paraId="2C7F2C1C" w14:textId="77777777" w:rsidR="00DF6008" w:rsidRPr="005D4222" w:rsidRDefault="00DF6008" w:rsidP="00A53E8C">
                  <w:pPr>
                    <w:pStyle w:val="TableHead"/>
                    <w:rPr>
                      <w:color w:val="auto"/>
                    </w:rPr>
                  </w:pPr>
                  <w:r w:rsidRPr="005D4222">
                    <w:rPr>
                      <w:color w:val="auto"/>
                    </w:rPr>
                    <w:t>HCC-Comb Description</w:t>
                  </w:r>
                </w:p>
              </w:tc>
            </w:tr>
            <w:tr w:rsidR="00DF6008" w:rsidRPr="005D4222" w14:paraId="4938377A" w14:textId="77777777" w:rsidTr="00A53E8C">
              <w:tc>
                <w:tcPr>
                  <w:tcW w:w="1973" w:type="dxa"/>
                  <w:shd w:val="clear" w:color="auto" w:fill="FFFFFF" w:themeFill="background1"/>
                  <w:hideMark/>
                </w:tcPr>
                <w:p w14:paraId="1EB85423" w14:textId="77777777" w:rsidR="00DF6008" w:rsidRPr="005D4222" w:rsidRDefault="00DF6008" w:rsidP="00A53E8C">
                  <w:pPr>
                    <w:pStyle w:val="TableText"/>
                    <w:rPr>
                      <w:szCs w:val="21"/>
                    </w:rPr>
                  </w:pPr>
                  <w:r w:rsidRPr="005D4222">
                    <w:rPr>
                      <w:szCs w:val="21"/>
                    </w:rPr>
                    <w:t>HCC-17</w:t>
                  </w:r>
                </w:p>
              </w:tc>
              <w:tc>
                <w:tcPr>
                  <w:tcW w:w="1973" w:type="dxa"/>
                  <w:shd w:val="clear" w:color="auto" w:fill="FFFFFF" w:themeFill="background1"/>
                  <w:hideMark/>
                </w:tcPr>
                <w:p w14:paraId="20807A77" w14:textId="77777777" w:rsidR="00DF6008" w:rsidRPr="005D4222" w:rsidRDefault="00DF6008" w:rsidP="00A53E8C">
                  <w:pPr>
                    <w:pStyle w:val="TableText"/>
                    <w:rPr>
                      <w:szCs w:val="21"/>
                    </w:rPr>
                  </w:pPr>
                  <w:r w:rsidRPr="005D4222">
                    <w:rPr>
                      <w:szCs w:val="21"/>
                    </w:rPr>
                    <w:t>HCC-85</w:t>
                  </w:r>
                </w:p>
              </w:tc>
              <w:tc>
                <w:tcPr>
                  <w:tcW w:w="1973" w:type="dxa"/>
                  <w:shd w:val="clear" w:color="auto" w:fill="FFFFFF" w:themeFill="background1"/>
                  <w:hideMark/>
                </w:tcPr>
                <w:p w14:paraId="7BE6E019" w14:textId="77777777" w:rsidR="00DF6008" w:rsidRPr="005D4222" w:rsidRDefault="00DF6008" w:rsidP="00A53E8C">
                  <w:pPr>
                    <w:pStyle w:val="TableText"/>
                    <w:rPr>
                      <w:szCs w:val="21"/>
                    </w:rPr>
                  </w:pPr>
                  <w:r w:rsidRPr="005D4222">
                    <w:rPr>
                      <w:szCs w:val="21"/>
                    </w:rPr>
                    <w:t>NA</w:t>
                  </w:r>
                </w:p>
              </w:tc>
              <w:tc>
                <w:tcPr>
                  <w:tcW w:w="1974" w:type="dxa"/>
                  <w:shd w:val="clear" w:color="auto" w:fill="FFFFFF" w:themeFill="background1"/>
                  <w:hideMark/>
                </w:tcPr>
                <w:p w14:paraId="63301A1D" w14:textId="77777777" w:rsidR="00DF6008" w:rsidRPr="005D4222" w:rsidRDefault="00DF6008" w:rsidP="00A53E8C">
                  <w:pPr>
                    <w:pStyle w:val="TableText"/>
                    <w:rPr>
                      <w:szCs w:val="21"/>
                    </w:rPr>
                  </w:pPr>
                  <w:r w:rsidRPr="005D4222">
                    <w:rPr>
                      <w:szCs w:val="21"/>
                    </w:rPr>
                    <w:t>HCC-901</w:t>
                  </w:r>
                </w:p>
              </w:tc>
              <w:tc>
                <w:tcPr>
                  <w:tcW w:w="3144" w:type="dxa"/>
                  <w:shd w:val="clear" w:color="auto" w:fill="FFFFFF" w:themeFill="background1"/>
                </w:tcPr>
                <w:p w14:paraId="4766AE44" w14:textId="77777777" w:rsidR="00DF6008" w:rsidRPr="005D4222" w:rsidRDefault="00DF6008" w:rsidP="00A53E8C">
                  <w:pPr>
                    <w:pStyle w:val="TableText"/>
                    <w:rPr>
                      <w:szCs w:val="21"/>
                    </w:rPr>
                  </w:pPr>
                  <w:r w:rsidRPr="005D4222">
                    <w:rPr>
                      <w:szCs w:val="21"/>
                    </w:rPr>
                    <w:t>Combination: Diabetes and CHF</w:t>
                  </w:r>
                </w:p>
              </w:tc>
            </w:tr>
            <w:tr w:rsidR="00DF6008" w:rsidRPr="005D4222" w14:paraId="262A7322" w14:textId="77777777" w:rsidTr="007B5FC3">
              <w:tc>
                <w:tcPr>
                  <w:tcW w:w="1973" w:type="dxa"/>
                  <w:hideMark/>
                </w:tcPr>
                <w:p w14:paraId="0CB515D2" w14:textId="77777777" w:rsidR="00DF6008" w:rsidRPr="005D4222" w:rsidRDefault="00DF6008" w:rsidP="00A53E8C">
                  <w:pPr>
                    <w:pStyle w:val="TableText"/>
                    <w:rPr>
                      <w:szCs w:val="21"/>
                    </w:rPr>
                  </w:pPr>
                  <w:r w:rsidRPr="005D4222">
                    <w:rPr>
                      <w:szCs w:val="21"/>
                    </w:rPr>
                    <w:t>HCC-18</w:t>
                  </w:r>
                </w:p>
              </w:tc>
              <w:tc>
                <w:tcPr>
                  <w:tcW w:w="1973" w:type="dxa"/>
                  <w:hideMark/>
                </w:tcPr>
                <w:p w14:paraId="1A12CC3E" w14:textId="77777777" w:rsidR="00DF6008" w:rsidRPr="005D4222" w:rsidRDefault="00DF6008" w:rsidP="00A53E8C">
                  <w:pPr>
                    <w:pStyle w:val="TableText"/>
                    <w:rPr>
                      <w:szCs w:val="21"/>
                    </w:rPr>
                  </w:pPr>
                  <w:r w:rsidRPr="005D4222">
                    <w:rPr>
                      <w:szCs w:val="21"/>
                    </w:rPr>
                    <w:t>HCC-85</w:t>
                  </w:r>
                </w:p>
              </w:tc>
              <w:tc>
                <w:tcPr>
                  <w:tcW w:w="1973" w:type="dxa"/>
                  <w:hideMark/>
                </w:tcPr>
                <w:p w14:paraId="5E322DC7" w14:textId="77777777" w:rsidR="00DF6008" w:rsidRPr="005D4222" w:rsidRDefault="00DF6008" w:rsidP="00A53E8C">
                  <w:pPr>
                    <w:pStyle w:val="TableText"/>
                    <w:rPr>
                      <w:szCs w:val="21"/>
                    </w:rPr>
                  </w:pPr>
                  <w:r w:rsidRPr="005D4222">
                    <w:rPr>
                      <w:szCs w:val="21"/>
                    </w:rPr>
                    <w:t>NA</w:t>
                  </w:r>
                </w:p>
              </w:tc>
              <w:tc>
                <w:tcPr>
                  <w:tcW w:w="1974" w:type="dxa"/>
                  <w:hideMark/>
                </w:tcPr>
                <w:p w14:paraId="46132188" w14:textId="77777777" w:rsidR="00DF6008" w:rsidRPr="005D4222" w:rsidRDefault="00DF6008" w:rsidP="00A53E8C">
                  <w:pPr>
                    <w:pStyle w:val="TableText"/>
                    <w:rPr>
                      <w:szCs w:val="21"/>
                    </w:rPr>
                  </w:pPr>
                  <w:r w:rsidRPr="005D4222">
                    <w:rPr>
                      <w:szCs w:val="21"/>
                    </w:rPr>
                    <w:t>HCC-901</w:t>
                  </w:r>
                </w:p>
              </w:tc>
              <w:tc>
                <w:tcPr>
                  <w:tcW w:w="3144" w:type="dxa"/>
                </w:tcPr>
                <w:p w14:paraId="66FA2A02" w14:textId="77777777" w:rsidR="00DF6008" w:rsidRPr="005D4222" w:rsidRDefault="00DF6008" w:rsidP="00A53E8C">
                  <w:pPr>
                    <w:pStyle w:val="TableText"/>
                    <w:rPr>
                      <w:szCs w:val="21"/>
                    </w:rPr>
                  </w:pPr>
                  <w:r w:rsidRPr="005D4222">
                    <w:rPr>
                      <w:szCs w:val="21"/>
                    </w:rPr>
                    <w:t>Combination: Diabetes and CHF</w:t>
                  </w:r>
                </w:p>
              </w:tc>
            </w:tr>
            <w:tr w:rsidR="00DF6008" w:rsidRPr="005D4222" w14:paraId="04AFFB31" w14:textId="77777777" w:rsidTr="007B5FC3">
              <w:tc>
                <w:tcPr>
                  <w:tcW w:w="1973" w:type="dxa"/>
                  <w:hideMark/>
                </w:tcPr>
                <w:p w14:paraId="458FA21D" w14:textId="77777777" w:rsidR="00DF6008" w:rsidRPr="005D4222" w:rsidRDefault="00DF6008" w:rsidP="00A53E8C">
                  <w:pPr>
                    <w:pStyle w:val="TableText"/>
                    <w:rPr>
                      <w:szCs w:val="21"/>
                    </w:rPr>
                  </w:pPr>
                  <w:r w:rsidRPr="005D4222">
                    <w:rPr>
                      <w:szCs w:val="21"/>
                    </w:rPr>
                    <w:t>HCC-19</w:t>
                  </w:r>
                </w:p>
              </w:tc>
              <w:tc>
                <w:tcPr>
                  <w:tcW w:w="1973" w:type="dxa"/>
                  <w:hideMark/>
                </w:tcPr>
                <w:p w14:paraId="324B064E" w14:textId="77777777" w:rsidR="00DF6008" w:rsidRPr="005D4222" w:rsidRDefault="00DF6008" w:rsidP="00A53E8C">
                  <w:pPr>
                    <w:pStyle w:val="TableText"/>
                    <w:rPr>
                      <w:szCs w:val="21"/>
                    </w:rPr>
                  </w:pPr>
                  <w:r w:rsidRPr="005D4222">
                    <w:rPr>
                      <w:szCs w:val="21"/>
                    </w:rPr>
                    <w:t>HCC-85</w:t>
                  </w:r>
                </w:p>
              </w:tc>
              <w:tc>
                <w:tcPr>
                  <w:tcW w:w="1973" w:type="dxa"/>
                  <w:hideMark/>
                </w:tcPr>
                <w:p w14:paraId="033DBB07" w14:textId="77777777" w:rsidR="00DF6008" w:rsidRPr="005D4222" w:rsidRDefault="00DF6008" w:rsidP="00A53E8C">
                  <w:pPr>
                    <w:pStyle w:val="TableText"/>
                    <w:rPr>
                      <w:szCs w:val="21"/>
                    </w:rPr>
                  </w:pPr>
                  <w:r w:rsidRPr="005D4222">
                    <w:rPr>
                      <w:szCs w:val="21"/>
                    </w:rPr>
                    <w:t>NA</w:t>
                  </w:r>
                </w:p>
              </w:tc>
              <w:tc>
                <w:tcPr>
                  <w:tcW w:w="1974" w:type="dxa"/>
                  <w:hideMark/>
                </w:tcPr>
                <w:p w14:paraId="723CA31A" w14:textId="77777777" w:rsidR="00DF6008" w:rsidRPr="005D4222" w:rsidRDefault="00DF6008" w:rsidP="00A53E8C">
                  <w:pPr>
                    <w:pStyle w:val="TableText"/>
                    <w:rPr>
                      <w:szCs w:val="21"/>
                    </w:rPr>
                  </w:pPr>
                  <w:r w:rsidRPr="005D4222">
                    <w:rPr>
                      <w:szCs w:val="21"/>
                    </w:rPr>
                    <w:t>HCC-901</w:t>
                  </w:r>
                </w:p>
              </w:tc>
              <w:tc>
                <w:tcPr>
                  <w:tcW w:w="3144" w:type="dxa"/>
                </w:tcPr>
                <w:p w14:paraId="1B4A190E" w14:textId="77777777" w:rsidR="00DF6008" w:rsidRPr="005D4222" w:rsidRDefault="00DF6008" w:rsidP="00A53E8C">
                  <w:pPr>
                    <w:pStyle w:val="TableText"/>
                    <w:rPr>
                      <w:szCs w:val="21"/>
                    </w:rPr>
                  </w:pPr>
                  <w:r w:rsidRPr="005D4222">
                    <w:rPr>
                      <w:szCs w:val="21"/>
                    </w:rPr>
                    <w:t>Combination: Diabetes and CHF</w:t>
                  </w:r>
                </w:p>
              </w:tc>
            </w:tr>
          </w:tbl>
          <w:p w14:paraId="6E4436C1" w14:textId="77777777" w:rsidR="00DF6008" w:rsidRPr="005D4222" w:rsidRDefault="00DF6008" w:rsidP="00A53E8C">
            <w:pPr>
              <w:pStyle w:val="ECDSBody"/>
              <w:rPr>
                <w:b/>
              </w:rPr>
            </w:pPr>
          </w:p>
        </w:tc>
      </w:tr>
      <w:tr w:rsidR="006439AD" w:rsidRPr="005D4222" w14:paraId="430B13FF" w14:textId="77777777" w:rsidTr="00800ACB">
        <w:trPr>
          <w:trHeight w:val="300"/>
        </w:trPr>
        <w:tc>
          <w:tcPr>
            <w:tcW w:w="2159" w:type="dxa"/>
            <w:tcBorders>
              <w:top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677848D5" w14:textId="77777777" w:rsidR="00DF6008" w:rsidRPr="005D4222" w:rsidRDefault="00DF6008" w:rsidP="00A53E8C">
            <w:pPr>
              <w:pStyle w:val="ECDSMarginHead"/>
            </w:pPr>
            <w:r w:rsidRPr="005D4222">
              <w:t>Risk adjustment</w:t>
            </w:r>
          </w:p>
        </w:tc>
        <w:tc>
          <w:tcPr>
            <w:tcW w:w="7561" w:type="dxa"/>
            <w:tcBorders>
              <w:top w:val="single" w:sz="4" w:space="0" w:color="auto"/>
              <w:left w:val="single" w:sz="4" w:space="0" w:color="auto"/>
              <w:bottom w:val="single" w:sz="4" w:space="0" w:color="auto"/>
            </w:tcBorders>
            <w:tcMar>
              <w:left w:w="86" w:type="dxa"/>
              <w:bottom w:w="43" w:type="dxa"/>
              <w:right w:w="86" w:type="dxa"/>
            </w:tcMar>
          </w:tcPr>
          <w:p w14:paraId="0C8EFD55" w14:textId="77777777" w:rsidR="00DF6008" w:rsidRPr="005D4222" w:rsidRDefault="00DF6008" w:rsidP="00A53E8C">
            <w:pPr>
              <w:pStyle w:val="ECDSBody"/>
              <w:rPr>
                <w:b/>
                <w:bCs w:val="0"/>
                <w:i/>
                <w:iCs/>
              </w:rPr>
            </w:pPr>
            <w:r w:rsidRPr="005D4222">
              <w:rPr>
                <w:b/>
                <w:bCs w:val="0"/>
                <w:i/>
                <w:iCs/>
              </w:rPr>
              <w:t>Risk Adjustment Calculation</w:t>
            </w:r>
          </w:p>
          <w:p w14:paraId="64995335" w14:textId="77777777" w:rsidR="00DF6008" w:rsidRPr="005D4222" w:rsidRDefault="00DF6008" w:rsidP="00A53E8C">
            <w:pPr>
              <w:pStyle w:val="ECDSBody"/>
              <w:spacing w:before="0"/>
              <w:rPr>
                <w:b/>
                <w:i/>
              </w:rPr>
            </w:pPr>
            <w:r w:rsidRPr="005D4222">
              <w:t xml:space="preserve">For each SND, use the following steps to identify the 30-day and 60-day hospitalization risk adjustment weights based on discharge condition, comorbidity, age and gender. </w:t>
            </w:r>
          </w:p>
          <w:p w14:paraId="691A1455" w14:textId="77777777" w:rsidR="00DF6008" w:rsidRPr="005D4222" w:rsidRDefault="00DF6008" w:rsidP="00A53E8C">
            <w:pPr>
              <w:pStyle w:val="ECDSBody"/>
            </w:pPr>
            <w:r w:rsidRPr="005D4222">
              <w:rPr>
                <w:b/>
              </w:rPr>
              <w:t xml:space="preserve">Step 1. </w:t>
            </w:r>
            <w:r w:rsidRPr="005D4222">
              <w:t xml:space="preserve">For each SND with a Discharge CC Category, link the 30-day and </w:t>
            </w:r>
            <w:r w:rsidRPr="005D4222">
              <w:br/>
              <w:t>60-day primary discharge weights.</w:t>
            </w:r>
          </w:p>
          <w:p w14:paraId="288AF94A" w14:textId="77777777" w:rsidR="00DF6008" w:rsidRPr="005D4222" w:rsidRDefault="00DF6008" w:rsidP="00A53E8C">
            <w:pPr>
              <w:pStyle w:val="ECDSBody"/>
              <w:spacing w:before="80"/>
            </w:pPr>
            <w:r w:rsidRPr="005D4222">
              <w:rPr>
                <w:b/>
              </w:rPr>
              <w:t xml:space="preserve">Step 2. </w:t>
            </w:r>
            <w:r w:rsidRPr="005D4222">
              <w:t>For each SND with a Comorbidity HCC Category, link the 30-day and 60-day weights.</w:t>
            </w:r>
          </w:p>
          <w:p w14:paraId="768A61BF" w14:textId="77777777" w:rsidR="00DF6008" w:rsidRPr="005D4222" w:rsidRDefault="00DF6008" w:rsidP="00A53E8C">
            <w:pPr>
              <w:pStyle w:val="ECDSBody"/>
            </w:pPr>
            <w:r w:rsidRPr="005D4222">
              <w:rPr>
                <w:b/>
              </w:rPr>
              <w:t xml:space="preserve">Step 3. </w:t>
            </w:r>
            <w:r w:rsidRPr="005D4222">
              <w:t>For each SND with a COVID-19 discharge, link the 30-day and 60-day weights.</w:t>
            </w:r>
          </w:p>
          <w:p w14:paraId="35D4E2BC" w14:textId="77777777" w:rsidR="00DF6008" w:rsidRPr="005D4222" w:rsidRDefault="00DF6008" w:rsidP="00A53E8C">
            <w:pPr>
              <w:pStyle w:val="ECDSBody"/>
              <w:spacing w:before="80"/>
            </w:pPr>
            <w:r w:rsidRPr="005D4222">
              <w:rPr>
                <w:b/>
              </w:rPr>
              <w:t>Step 4.</w:t>
            </w:r>
            <w:r w:rsidRPr="005D4222">
              <w:t xml:space="preserve"> Link the 30-day and 60-day age and gender weights for each SND.</w:t>
            </w:r>
          </w:p>
        </w:tc>
      </w:tr>
    </w:tbl>
    <w:p w14:paraId="1B0B0557" w14:textId="77777777" w:rsidR="00DF6008" w:rsidRPr="005D4222" w:rsidRDefault="00DF6008" w:rsidP="00DF6008"/>
    <w:tbl>
      <w:tblPr>
        <w:tblW w:w="9720"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9"/>
        <w:gridCol w:w="7561"/>
      </w:tblGrid>
      <w:tr w:rsidR="00DF6008" w:rsidRPr="005D4222" w14:paraId="061E252D" w14:textId="77777777" w:rsidTr="00F77943">
        <w:trPr>
          <w:trHeight w:val="300"/>
        </w:trPr>
        <w:tc>
          <w:tcPr>
            <w:tcW w:w="2159" w:type="dxa"/>
            <w:tcBorders>
              <w:top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10D89D12" w14:textId="77777777" w:rsidR="00DF6008" w:rsidRPr="005D4222" w:rsidRDefault="00DF6008" w:rsidP="00A53E8C">
            <w:pPr>
              <w:pStyle w:val="ECDSMarginHead"/>
            </w:pPr>
          </w:p>
        </w:tc>
        <w:tc>
          <w:tcPr>
            <w:tcW w:w="7561" w:type="dxa"/>
            <w:tcBorders>
              <w:top w:val="single" w:sz="4" w:space="0" w:color="auto"/>
              <w:left w:val="single" w:sz="4" w:space="0" w:color="auto"/>
              <w:bottom w:val="single" w:sz="4" w:space="0" w:color="auto"/>
            </w:tcBorders>
            <w:tcMar>
              <w:left w:w="86" w:type="dxa"/>
              <w:bottom w:w="43" w:type="dxa"/>
              <w:right w:w="86" w:type="dxa"/>
            </w:tcMar>
          </w:tcPr>
          <w:p w14:paraId="610E736F" w14:textId="77777777" w:rsidR="00DF6008" w:rsidRPr="005D4222" w:rsidRDefault="00DF6008" w:rsidP="00A53E8C">
            <w:pPr>
              <w:pStyle w:val="ECDSBody"/>
              <w:rPr>
                <w:b/>
              </w:rPr>
            </w:pPr>
            <w:r w:rsidRPr="005D4222">
              <w:rPr>
                <w:b/>
              </w:rPr>
              <w:t xml:space="preserve">Step 5. </w:t>
            </w:r>
            <w:r w:rsidRPr="005D4222">
              <w:t>Sum all weights (discharge CC, comorbidities, COVID-19 discharge, age and gender) associated with each SND for each category (30-day hospitalization, 60-day hospitalization).</w:t>
            </w:r>
          </w:p>
          <w:p w14:paraId="026F5680" w14:textId="0008CF9A" w:rsidR="00DF6008" w:rsidRPr="005D4222" w:rsidRDefault="00DF6008" w:rsidP="00E77DAB">
            <w:pPr>
              <w:pStyle w:val="ECDSBody"/>
              <w:spacing w:after="0"/>
            </w:pPr>
            <w:r w:rsidRPr="005D4222">
              <w:rPr>
                <w:b/>
              </w:rPr>
              <w:t xml:space="preserve">Step 6. </w:t>
            </w:r>
            <w:r w:rsidRPr="005D4222">
              <w:t xml:space="preserve">Use the formula below to calculate the Estimated Hospitalization </w:t>
            </w:r>
            <w:r w:rsidR="009463F7" w:rsidRPr="005D4222">
              <w:br/>
            </w:r>
            <w:r w:rsidRPr="005D4222">
              <w:t xml:space="preserve">Risk for each SND, for each category (30-day hospitalization, 60-day hospitalization). </w:t>
            </w:r>
          </w:p>
          <w:p w14:paraId="04561291" w14:textId="77777777" w:rsidR="00DF6008" w:rsidRPr="005D4222" w:rsidRDefault="00DF6008" w:rsidP="0026758D">
            <w:pPr>
              <w:pStyle w:val="ECDSBody"/>
              <w:spacing w:after="0"/>
              <w:jc w:val="center"/>
              <w:rPr>
                <w:b/>
                <w:bCs w:val="0"/>
                <w:i/>
                <w:iCs/>
              </w:rPr>
            </w:pPr>
            <w:r w:rsidRPr="005D4222">
              <w:t>Estimated Hospitalization Risk =</w:t>
            </w:r>
            <m:oMath>
              <m:f>
                <m:fPr>
                  <m:ctrlPr>
                    <w:rPr>
                      <w:rFonts w:ascii="Cambria Math" w:hAnsi="Cambria Math"/>
                      <w:i/>
                    </w:rPr>
                  </m:ctrlPr>
                </m:fPr>
                <m:num>
                  <m:sSup>
                    <m:sSupPr>
                      <m:ctrlPr>
                        <w:rPr>
                          <w:rFonts w:ascii="Cambria Math" w:hAnsi="Cambria Math"/>
                          <w:i/>
                        </w:rPr>
                      </m:ctrlPr>
                    </m:sSupPr>
                    <m:e>
                      <m:r>
                        <w:rPr>
                          <w:rFonts w:ascii="Cambria Math" w:hAnsi="Cambria Math"/>
                        </w:rPr>
                        <m:t>e</m:t>
                      </m:r>
                    </m:e>
                    <m:sup>
                      <m:d>
                        <m:dPr>
                          <m:ctrlPr>
                            <w:rPr>
                              <w:rFonts w:ascii="Cambria Math" w:hAnsi="Cambria Math"/>
                              <w:i/>
                            </w:rPr>
                          </m:ctrlPr>
                        </m:dPr>
                        <m:e>
                          <m:nary>
                            <m:naryPr>
                              <m:chr m:val="∑"/>
                              <m:limLoc m:val="undOvr"/>
                              <m:subHide m:val="1"/>
                              <m:supHide m:val="1"/>
                              <m:ctrlPr>
                                <w:rPr>
                                  <w:rFonts w:ascii="Cambria Math" w:hAnsi="Cambria Math"/>
                                  <w:i/>
                                </w:rPr>
                              </m:ctrlPr>
                            </m:naryPr>
                            <m:sub/>
                            <m:sup/>
                            <m:e>
                              <m:r>
                                <m:rPr>
                                  <m:nor/>
                                </m:rPr>
                                <m:t>WeightsForSND</m:t>
                              </m:r>
                            </m:e>
                          </m:nary>
                        </m:e>
                      </m:d>
                    </m:sup>
                  </m:sSup>
                </m:num>
                <m:den>
                  <m:r>
                    <w:rPr>
                      <w:rFonts w:ascii="Cambria Math" w:hAnsi="Cambria Math"/>
                    </w:rPr>
                    <m:t>1+</m:t>
                  </m:r>
                  <m:sSup>
                    <m:sSupPr>
                      <m:ctrlPr>
                        <w:rPr>
                          <w:rFonts w:ascii="Cambria Math" w:hAnsi="Cambria Math"/>
                          <w:i/>
                        </w:rPr>
                      </m:ctrlPr>
                    </m:sSupPr>
                    <m:e>
                      <m:r>
                        <w:rPr>
                          <w:rFonts w:ascii="Cambria Math" w:hAnsi="Cambria Math"/>
                        </w:rPr>
                        <m:t>e</m:t>
                      </m:r>
                    </m:e>
                    <m:sup>
                      <m:d>
                        <m:dPr>
                          <m:ctrlPr>
                            <w:rPr>
                              <w:rFonts w:ascii="Cambria Math" w:hAnsi="Cambria Math"/>
                              <w:i/>
                            </w:rPr>
                          </m:ctrlPr>
                        </m:dPr>
                        <m:e>
                          <m:nary>
                            <m:naryPr>
                              <m:chr m:val="∑"/>
                              <m:limLoc m:val="undOvr"/>
                              <m:subHide m:val="1"/>
                              <m:supHide m:val="1"/>
                              <m:ctrlPr>
                                <w:rPr>
                                  <w:rFonts w:ascii="Cambria Math" w:hAnsi="Cambria Math"/>
                                  <w:i/>
                                </w:rPr>
                              </m:ctrlPr>
                            </m:naryPr>
                            <m:sub/>
                            <m:sup/>
                            <m:e>
                              <m:r>
                                <m:rPr>
                                  <m:nor/>
                                </m:rPr>
                                <m:t>WeightsForSND</m:t>
                              </m:r>
                            </m:e>
                          </m:nary>
                        </m:e>
                      </m:d>
                    </m:sup>
                  </m:sSup>
                </m:den>
              </m:f>
            </m:oMath>
          </w:p>
          <w:p w14:paraId="751302A4" w14:textId="77777777" w:rsidR="00DF6008" w:rsidRPr="005D4222" w:rsidRDefault="00DF6008" w:rsidP="00A53E8C">
            <w:pPr>
              <w:pStyle w:val="ECDSBody"/>
              <w:spacing w:after="0"/>
              <w:rPr>
                <w:b/>
                <w:bCs w:val="0"/>
                <w:i/>
                <w:iCs/>
              </w:rPr>
            </w:pPr>
            <w:r w:rsidRPr="005D4222">
              <w:rPr>
                <w:b/>
                <w:bCs w:val="0"/>
                <w:i/>
                <w:iCs/>
              </w:rPr>
              <w:t>OR</w:t>
            </w:r>
          </w:p>
          <w:p w14:paraId="755946BA" w14:textId="77777777" w:rsidR="00DF6008" w:rsidRPr="005D4222" w:rsidRDefault="00DF6008" w:rsidP="00E77DAB">
            <w:pPr>
              <w:pStyle w:val="Body"/>
              <w:spacing w:before="0"/>
              <w:jc w:val="center"/>
            </w:pPr>
            <w:r w:rsidRPr="005D4222">
              <w:t xml:space="preserve">Estimated Hospitalization Risk = [exp (sum of weights for SND)] / </w:t>
            </w:r>
            <w:r w:rsidRPr="005D4222">
              <w:br/>
              <w:t>[ 1 + exp (sum of weights for SNDs)]</w:t>
            </w:r>
          </w:p>
          <w:p w14:paraId="7CFB338B" w14:textId="77777777" w:rsidR="00DF6008" w:rsidRPr="005D4222" w:rsidRDefault="00DF6008" w:rsidP="00A53E8C">
            <w:pPr>
              <w:pStyle w:val="Note"/>
            </w:pPr>
            <w:r w:rsidRPr="005D4222">
              <w:rPr>
                <w:b/>
              </w:rPr>
              <w:t xml:space="preserve">Note: </w:t>
            </w:r>
            <w:r w:rsidRPr="005D4222">
              <w:t>“Exp” refers to the exponential or antilog function.</w:t>
            </w:r>
          </w:p>
          <w:p w14:paraId="4BF563F1" w14:textId="77777777" w:rsidR="00DF6008" w:rsidRPr="005D4222" w:rsidRDefault="00DF6008" w:rsidP="00A53E8C">
            <w:pPr>
              <w:pStyle w:val="ECDSBody"/>
              <w:rPr>
                <w:b/>
                <w:i/>
                <w:iCs/>
              </w:rPr>
            </w:pPr>
            <w:r w:rsidRPr="005D4222">
              <w:t xml:space="preserve">Truncate the estimated hospitalization risk </w:t>
            </w:r>
            <w:r w:rsidRPr="005D4222">
              <w:rPr>
                <w:i/>
              </w:rPr>
              <w:t>for each SND</w:t>
            </w:r>
            <w:r w:rsidRPr="005D4222">
              <w:t xml:space="preserve"> to 10 decimal places. Do not truncate or round in previous steps.</w:t>
            </w:r>
          </w:p>
          <w:p w14:paraId="2007E58D" w14:textId="77777777" w:rsidR="00DF6008" w:rsidRPr="005D4222" w:rsidRDefault="00DF6008" w:rsidP="00A53E8C">
            <w:pPr>
              <w:pStyle w:val="ECDSBody"/>
            </w:pPr>
            <w:bookmarkStart w:id="397" w:name="step_7"/>
            <w:r w:rsidRPr="005D4222">
              <w:rPr>
                <w:b/>
              </w:rPr>
              <w:t>Step 7</w:t>
            </w:r>
            <w:bookmarkEnd w:id="397"/>
            <w:r w:rsidRPr="005D4222">
              <w:rPr>
                <w:b/>
              </w:rPr>
              <w:t xml:space="preserve">. </w:t>
            </w:r>
            <w:r w:rsidRPr="005D4222">
              <w:t>Calculate the count of expected hospitalizations for each age, for each category (30-day hospitalization and 60-day hospitalization). The count of expected hospitalizations is the sum of the estimated hospitalizations risk calculated in step 6 for each SND for each age, for each category (30-day hospitalization</w:t>
            </w:r>
            <w:r w:rsidRPr="005D4222" w:rsidDel="00E039F6">
              <w:t xml:space="preserve"> and</w:t>
            </w:r>
            <w:r w:rsidRPr="005D4222">
              <w:t xml:space="preserve"> 60-day hospitalization). </w:t>
            </w:r>
          </w:p>
          <w:p w14:paraId="69FE1342" w14:textId="77777777" w:rsidR="00DF6008" w:rsidRPr="005D4222" w:rsidRDefault="00DF6008" w:rsidP="00A53E8C">
            <w:pPr>
              <w:rPr>
                <w:rFonts w:cs="Arial"/>
                <w:sz w:val="10"/>
                <w:szCs w:val="10"/>
              </w:rPr>
            </w:pPr>
          </w:p>
          <w:p w14:paraId="5335BE4A" w14:textId="77777777" w:rsidR="00DF6008" w:rsidRPr="005D4222" w:rsidRDefault="00010176" w:rsidP="00A53E8C">
            <w:pPr>
              <w:pStyle w:val="Body"/>
            </w:pPr>
            <m:oMathPara>
              <m:oMath>
                <m:r>
                  <w:rPr>
                    <w:rFonts w:ascii="Cambria Math" w:hAnsi="Cambria Math" w:cs="Arial"/>
                  </w:rPr>
                  <m:t>Count of Expected Hospitalizations=</m:t>
                </m:r>
                <m:nary>
                  <m:naryPr>
                    <m:chr m:val="∑"/>
                    <m:limLoc m:val="undOvr"/>
                    <m:subHide m:val="1"/>
                    <m:supHide m:val="1"/>
                    <m:ctrlPr>
                      <w:rPr>
                        <w:rFonts w:ascii="Cambria Math" w:hAnsi="Cambria Math" w:cs="Arial"/>
                        <w:i/>
                      </w:rPr>
                    </m:ctrlPr>
                  </m:naryPr>
                  <m:sub/>
                  <m:sup/>
                  <m:e>
                    <m:r>
                      <m:rPr>
                        <m:sty m:val="p"/>
                      </m:rPr>
                      <w:rPr>
                        <w:rFonts w:ascii="Cambria Math" w:hAnsi="Cambria Math" w:cs="Arial"/>
                      </w:rPr>
                      <m:t>(Estimated Hospitalization Risk)</m:t>
                    </m:r>
                  </m:e>
                </m:nary>
              </m:oMath>
            </m:oMathPara>
          </w:p>
          <w:p w14:paraId="4FD20BA0" w14:textId="77777777" w:rsidR="00DF6008" w:rsidRPr="005D4222" w:rsidRDefault="00DF6008" w:rsidP="00A53E8C">
            <w:pPr>
              <w:pStyle w:val="ECDSBody"/>
              <w:spacing w:before="240"/>
            </w:pPr>
            <w:r w:rsidRPr="005D4222">
              <w:rPr>
                <w:b/>
              </w:rPr>
              <w:t>Step 8.</w:t>
            </w:r>
            <w:r w:rsidRPr="005D4222">
              <w:t xml:space="preserve"> Use the formula below and the estimated hospitalization risk calculated in step 6 to calculate the variance for each SND, for each category (30-day hospitalization</w:t>
            </w:r>
            <w:r w:rsidRPr="005D4222" w:rsidDel="00911B2E">
              <w:t xml:space="preserve"> and</w:t>
            </w:r>
            <w:r w:rsidRPr="005D4222">
              <w:t xml:space="preserve"> 60-day hospitalization).</w:t>
            </w:r>
          </w:p>
          <w:p w14:paraId="4814E4CC" w14:textId="77777777" w:rsidR="00DF6008" w:rsidRPr="005D4222" w:rsidRDefault="00DF6008" w:rsidP="00A53E8C">
            <w:pPr>
              <w:pStyle w:val="ECDSBody"/>
              <w:jc w:val="center"/>
            </w:pPr>
            <w:r w:rsidRPr="005D4222">
              <w:t xml:space="preserve">Variance = Estimated Hospitalization Risk x </w:t>
            </w:r>
            <w:r w:rsidRPr="005D4222">
              <w:br/>
              <w:t>(1 – Estimated Hospitalization Risk)</w:t>
            </w:r>
          </w:p>
          <w:p w14:paraId="649A409F" w14:textId="77777777" w:rsidR="00DF6008" w:rsidRPr="005D4222" w:rsidRDefault="00DF6008" w:rsidP="00A53E8C">
            <w:pPr>
              <w:pStyle w:val="ECDSBody"/>
            </w:pPr>
            <w:r w:rsidRPr="005D4222">
              <w:rPr>
                <w:szCs w:val="21"/>
              </w:rPr>
              <w:t xml:space="preserve">Truncate the variance </w:t>
            </w:r>
            <w:r w:rsidRPr="005D4222">
              <w:rPr>
                <w:i/>
                <w:iCs/>
                <w:szCs w:val="21"/>
              </w:rPr>
              <w:t>for each SND</w:t>
            </w:r>
            <w:r w:rsidRPr="005D4222">
              <w:rPr>
                <w:szCs w:val="21"/>
              </w:rPr>
              <w:t xml:space="preserve"> to 10 decimal places.</w:t>
            </w:r>
          </w:p>
          <w:p w14:paraId="0CADFDCA" w14:textId="77777777" w:rsidR="00DF6008" w:rsidRPr="005D4222" w:rsidRDefault="00DF6008" w:rsidP="00DF6008">
            <w:pPr>
              <w:pStyle w:val="Bullet"/>
              <w:numPr>
                <w:ilvl w:val="0"/>
                <w:numId w:val="4"/>
              </w:numPr>
              <w:tabs>
                <w:tab w:val="left" w:pos="360"/>
                <w:tab w:val="left" w:pos="576"/>
              </w:tabs>
              <w:ind w:left="576" w:hanging="216"/>
            </w:pPr>
            <w:r w:rsidRPr="005D4222" w:rsidDel="001027B8">
              <w:rPr>
                <w:i/>
                <w:iCs/>
              </w:rPr>
              <w:t xml:space="preserve">For </w:t>
            </w:r>
            <w:r w:rsidRPr="005D4222">
              <w:rPr>
                <w:i/>
                <w:iCs/>
              </w:rPr>
              <w:t xml:space="preserve">example, </w:t>
            </w:r>
            <w:r w:rsidRPr="005D4222">
              <w:t>if the estimated 30-day hospitalization risk is 0.1518450741 for an SND, then the 30-day hospitalization variance for this SND is 0.1518450741 x 0.8481549259 = 0.1287881475.</w:t>
            </w:r>
          </w:p>
          <w:p w14:paraId="09EDE2B0" w14:textId="77777777" w:rsidR="00DF6008" w:rsidRPr="005D4222" w:rsidRDefault="00DF6008" w:rsidP="00A53E8C">
            <w:pPr>
              <w:pStyle w:val="Note"/>
              <w:spacing w:after="80"/>
              <w:rPr>
                <w:b/>
                <w:bCs/>
              </w:rPr>
            </w:pPr>
            <w:r w:rsidRPr="005D4222">
              <w:rPr>
                <w:b/>
              </w:rPr>
              <w:t>Note</w:t>
            </w:r>
            <w:r w:rsidRPr="005D4222">
              <w:rPr>
                <w:b/>
                <w:bCs/>
              </w:rPr>
              <w:t>:</w:t>
            </w:r>
            <w:r w:rsidRPr="005D4222">
              <w:t xml:space="preserve"> Organizations must sum the variances for each age when populating the variance cells in the reporting tables. When reporting, round the variance to 4 decimal places using the .5 rule.</w:t>
            </w:r>
          </w:p>
        </w:tc>
      </w:tr>
      <w:tr w:rsidR="00DF6008" w:rsidRPr="005D4222" w14:paraId="27EA50CE" w14:textId="77777777" w:rsidTr="00A51C43">
        <w:trPr>
          <w:trHeight w:val="300"/>
        </w:trPr>
        <w:tc>
          <w:tcPr>
            <w:tcW w:w="2159" w:type="dxa"/>
            <w:tcBorders>
              <w:top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4D84DB68" w14:textId="77777777" w:rsidR="00DF6008" w:rsidRPr="005D4222" w:rsidRDefault="00DF6008" w:rsidP="00A53E8C">
            <w:pPr>
              <w:pStyle w:val="ECDSMarginHead"/>
            </w:pPr>
            <w:r w:rsidRPr="005D4222">
              <w:t>Numerator</w:t>
            </w:r>
          </w:p>
        </w:tc>
        <w:tc>
          <w:tcPr>
            <w:tcW w:w="7561" w:type="dxa"/>
            <w:tcBorders>
              <w:top w:val="single" w:sz="4" w:space="0" w:color="auto"/>
              <w:left w:val="single" w:sz="4" w:space="0" w:color="auto"/>
              <w:bottom w:val="single" w:sz="4" w:space="0" w:color="auto"/>
            </w:tcBorders>
            <w:tcMar>
              <w:left w:w="86" w:type="dxa"/>
              <w:bottom w:w="43" w:type="dxa"/>
              <w:right w:w="86" w:type="dxa"/>
            </w:tcMar>
          </w:tcPr>
          <w:p w14:paraId="7CE1F720" w14:textId="77777777" w:rsidR="00DF6008" w:rsidRPr="005D4222" w:rsidRDefault="00DF6008" w:rsidP="00A53E8C">
            <w:pPr>
              <w:pStyle w:val="ECDSBody"/>
              <w:rPr>
                <w:b/>
                <w:bCs w:val="0"/>
                <w:szCs w:val="21"/>
              </w:rPr>
            </w:pPr>
            <w:r w:rsidRPr="005D4222">
              <w:rPr>
                <w:b/>
                <w:bCs w:val="0"/>
                <w:szCs w:val="21"/>
              </w:rPr>
              <w:t xml:space="preserve">Acute inpatient admissions or observation stays after SND. </w:t>
            </w:r>
          </w:p>
          <w:p w14:paraId="03D2785F" w14:textId="77777777" w:rsidR="00DF6008" w:rsidRPr="005D4222" w:rsidRDefault="00DF6008" w:rsidP="00A53E8C">
            <w:pPr>
              <w:pStyle w:val="ECDSBody"/>
              <w:rPr>
                <w:szCs w:val="21"/>
              </w:rPr>
            </w:pPr>
            <w:r w:rsidRPr="005D4222">
              <w:rPr>
                <w:b/>
                <w:bCs w:val="0"/>
                <w:szCs w:val="21"/>
              </w:rPr>
              <w:t xml:space="preserve">Step 1. </w:t>
            </w:r>
            <w:r w:rsidRPr="005D4222">
              <w:rPr>
                <w:szCs w:val="21"/>
              </w:rPr>
              <w:t>For each SND, identify all acute inpatient admissions and observation stay hospitalizations with an admission date within 30 days and within 60 days after the SND date. To identify acute hospitalizations:</w:t>
            </w:r>
          </w:p>
          <w:p w14:paraId="3C607DCC" w14:textId="77777777" w:rsidR="00DF6008" w:rsidRPr="005D4222" w:rsidRDefault="00DF6008" w:rsidP="00A53E8C">
            <w:pPr>
              <w:pStyle w:val="Body"/>
              <w:spacing w:before="80"/>
              <w:ind w:left="648" w:hanging="288"/>
              <w:rPr>
                <w:rFonts w:cs="Arial"/>
                <w:szCs w:val="21"/>
              </w:rPr>
            </w:pPr>
            <w:r w:rsidRPr="005D4222">
              <w:rPr>
                <w:rFonts w:cs="Arial"/>
                <w:szCs w:val="21"/>
              </w:rPr>
              <w:t>1.</w:t>
            </w:r>
            <w:r w:rsidRPr="005D4222">
              <w:rPr>
                <w:rFonts w:cs="Arial"/>
                <w:szCs w:val="21"/>
              </w:rPr>
              <w:tab/>
              <w:t>Identify all acute and nonacute inpatient stays (I</w:t>
            </w:r>
            <w:r w:rsidRPr="005D4222">
              <w:rPr>
                <w:rFonts w:cs="Arial"/>
                <w:szCs w:val="21"/>
                <w:u w:val="single"/>
              </w:rPr>
              <w:t>npatient Stay Value Set</w:t>
            </w:r>
            <w:r w:rsidRPr="005D4222">
              <w:rPr>
                <w:rFonts w:cs="Arial"/>
                <w:szCs w:val="21"/>
              </w:rPr>
              <w:t>) and observation stays (</w:t>
            </w:r>
            <w:r w:rsidRPr="005D4222">
              <w:rPr>
                <w:rFonts w:cs="Arial"/>
                <w:szCs w:val="21"/>
                <w:u w:val="single"/>
              </w:rPr>
              <w:t>Observation Stay Value Set</w:t>
            </w:r>
            <w:r w:rsidRPr="005D4222">
              <w:rPr>
                <w:rFonts w:cs="Arial"/>
                <w:szCs w:val="21"/>
              </w:rPr>
              <w:t>).</w:t>
            </w:r>
          </w:p>
          <w:p w14:paraId="5CC6D82B" w14:textId="77777777" w:rsidR="00DF6008" w:rsidRPr="005D4222" w:rsidRDefault="00DF6008" w:rsidP="00A53E8C">
            <w:pPr>
              <w:pStyle w:val="Body"/>
              <w:spacing w:before="80"/>
              <w:ind w:left="648" w:hanging="288"/>
              <w:rPr>
                <w:rFonts w:cs="Arial"/>
                <w:szCs w:val="21"/>
              </w:rPr>
            </w:pPr>
            <w:r w:rsidRPr="005D4222">
              <w:rPr>
                <w:rFonts w:cs="Arial"/>
                <w:szCs w:val="21"/>
              </w:rPr>
              <w:t>2.</w:t>
            </w:r>
            <w:r w:rsidRPr="005D4222">
              <w:rPr>
                <w:rFonts w:cs="Arial"/>
                <w:szCs w:val="21"/>
              </w:rPr>
              <w:tab/>
              <w:t>Exclude nonacute inpatient stays (</w:t>
            </w:r>
            <w:r w:rsidRPr="005D4222">
              <w:rPr>
                <w:rFonts w:cs="Arial"/>
                <w:szCs w:val="21"/>
                <w:u w:val="single"/>
              </w:rPr>
              <w:t>Nonacute Inpatient Stay Value Set</w:t>
            </w:r>
            <w:r w:rsidRPr="005D4222">
              <w:rPr>
                <w:rFonts w:cs="Arial"/>
                <w:szCs w:val="21"/>
              </w:rPr>
              <w:t>).</w:t>
            </w:r>
          </w:p>
          <w:p w14:paraId="535FDA63" w14:textId="77777777" w:rsidR="00DF6008" w:rsidRPr="005D4222" w:rsidRDefault="00DF6008" w:rsidP="00E77DAB">
            <w:pPr>
              <w:pStyle w:val="Body"/>
              <w:spacing w:before="80" w:after="80"/>
              <w:ind w:left="648" w:hanging="288"/>
              <w:rPr>
                <w:rFonts w:cs="Arial"/>
                <w:szCs w:val="21"/>
              </w:rPr>
            </w:pPr>
            <w:r w:rsidRPr="005D4222">
              <w:rPr>
                <w:rFonts w:cs="Arial"/>
                <w:szCs w:val="21"/>
              </w:rPr>
              <w:t>3.</w:t>
            </w:r>
            <w:r w:rsidRPr="005D4222">
              <w:rPr>
                <w:rFonts w:cs="Arial"/>
                <w:szCs w:val="21"/>
              </w:rPr>
              <w:tab/>
              <w:t>Identify the admission date for the hospitalization.</w:t>
            </w:r>
          </w:p>
          <w:p w14:paraId="1F49EFF8" w14:textId="77777777" w:rsidR="00DF6008" w:rsidRPr="005D4222" w:rsidRDefault="00DF6008" w:rsidP="00A53E8C">
            <w:pPr>
              <w:pStyle w:val="ECDSBody"/>
              <w:spacing w:before="180"/>
              <w:rPr>
                <w:szCs w:val="21"/>
              </w:rPr>
            </w:pPr>
            <w:r w:rsidRPr="005D4222">
              <w:rPr>
                <w:b/>
                <w:szCs w:val="21"/>
              </w:rPr>
              <w:lastRenderedPageBreak/>
              <w:t xml:space="preserve">Step 2. </w:t>
            </w:r>
            <w:r w:rsidRPr="005D4222">
              <w:rPr>
                <w:szCs w:val="21"/>
              </w:rPr>
              <w:t xml:space="preserve">For hospitalizations with one or more direct transfers, use the last discharge. </w:t>
            </w:r>
          </w:p>
          <w:p w14:paraId="7287B510" w14:textId="77777777" w:rsidR="00DF6008" w:rsidRPr="005D4222" w:rsidRDefault="00DF6008" w:rsidP="00A53E8C">
            <w:pPr>
              <w:pStyle w:val="ECDSBody"/>
              <w:rPr>
                <w:szCs w:val="21"/>
              </w:rPr>
            </w:pPr>
            <w:r w:rsidRPr="005D4222">
              <w:rPr>
                <w:szCs w:val="21"/>
              </w:rPr>
              <w:t>Using the acute inpatient admissions or observation stays identified in step 1, identify direct transfers between acute inpatient and observation using the definition of direct transfer.</w:t>
            </w:r>
          </w:p>
          <w:p w14:paraId="5B3A1AF3" w14:textId="77777777" w:rsidR="00DF6008" w:rsidRPr="005D4222" w:rsidRDefault="00DF6008" w:rsidP="00A53E8C">
            <w:pPr>
              <w:pStyle w:val="ECDSBody"/>
              <w:rPr>
                <w:szCs w:val="21"/>
              </w:rPr>
            </w:pPr>
            <w:r w:rsidRPr="005D4222">
              <w:rPr>
                <w:b/>
                <w:szCs w:val="21"/>
              </w:rPr>
              <w:t xml:space="preserve">Step 3. </w:t>
            </w:r>
            <w:r w:rsidRPr="005D4222">
              <w:rPr>
                <w:szCs w:val="21"/>
              </w:rPr>
              <w:t>Exclude planned hospitalizations with any of the following criteria on the discharge claim:</w:t>
            </w:r>
          </w:p>
          <w:p w14:paraId="5F28CB18" w14:textId="77777777" w:rsidR="00DF6008" w:rsidRPr="005D4222" w:rsidRDefault="00DF6008" w:rsidP="00DF6008">
            <w:pPr>
              <w:pStyle w:val="Bullet"/>
              <w:numPr>
                <w:ilvl w:val="0"/>
                <w:numId w:val="4"/>
              </w:numPr>
              <w:tabs>
                <w:tab w:val="left" w:pos="360"/>
                <w:tab w:val="left" w:pos="576"/>
              </w:tabs>
              <w:ind w:left="576" w:hanging="216"/>
              <w:rPr>
                <w:szCs w:val="21"/>
              </w:rPr>
            </w:pPr>
            <w:r w:rsidRPr="005D4222">
              <w:rPr>
                <w:szCs w:val="21"/>
              </w:rPr>
              <w:t>A principal diagnosis of maintenance chemotherapy (</w:t>
            </w:r>
            <w:r w:rsidRPr="005D4222">
              <w:rPr>
                <w:szCs w:val="21"/>
                <w:u w:val="single"/>
              </w:rPr>
              <w:t>Chemotherapy Encounter Value Set</w:t>
            </w:r>
            <w:r w:rsidRPr="005D4222">
              <w:rPr>
                <w:szCs w:val="21"/>
              </w:rPr>
              <w:t xml:space="preserve">). </w:t>
            </w:r>
          </w:p>
          <w:p w14:paraId="3B044A5C" w14:textId="77777777" w:rsidR="00DF6008" w:rsidRPr="005D4222" w:rsidRDefault="00DF6008" w:rsidP="00DF6008">
            <w:pPr>
              <w:pStyle w:val="Bullet"/>
              <w:numPr>
                <w:ilvl w:val="0"/>
                <w:numId w:val="4"/>
              </w:numPr>
              <w:tabs>
                <w:tab w:val="left" w:pos="360"/>
                <w:tab w:val="left" w:pos="576"/>
              </w:tabs>
              <w:ind w:left="576" w:hanging="216"/>
              <w:rPr>
                <w:szCs w:val="21"/>
              </w:rPr>
            </w:pPr>
            <w:r w:rsidRPr="005D4222">
              <w:rPr>
                <w:szCs w:val="21"/>
              </w:rPr>
              <w:t>A principal diagnosis of rehabilitation (</w:t>
            </w:r>
            <w:r w:rsidRPr="005D4222">
              <w:rPr>
                <w:szCs w:val="21"/>
                <w:u w:val="single"/>
              </w:rPr>
              <w:t>Rehabilitation Value Set</w:t>
            </w:r>
            <w:r w:rsidRPr="005D4222">
              <w:rPr>
                <w:szCs w:val="21"/>
              </w:rPr>
              <w:t xml:space="preserve">). </w:t>
            </w:r>
          </w:p>
          <w:p w14:paraId="2EA581D1" w14:textId="77777777" w:rsidR="00DF6008" w:rsidRPr="005D4222" w:rsidRDefault="00DF6008" w:rsidP="00DF6008">
            <w:pPr>
              <w:pStyle w:val="Bullet"/>
              <w:numPr>
                <w:ilvl w:val="0"/>
                <w:numId w:val="4"/>
              </w:numPr>
              <w:tabs>
                <w:tab w:val="left" w:pos="360"/>
                <w:tab w:val="left" w:pos="576"/>
              </w:tabs>
              <w:ind w:left="576" w:hanging="216"/>
              <w:rPr>
                <w:szCs w:val="21"/>
              </w:rPr>
            </w:pPr>
            <w:r w:rsidRPr="005D4222">
              <w:rPr>
                <w:szCs w:val="21"/>
              </w:rPr>
              <w:t>An organ transplant (</w:t>
            </w:r>
            <w:r w:rsidRPr="005D4222">
              <w:rPr>
                <w:szCs w:val="21"/>
                <w:u w:val="single"/>
              </w:rPr>
              <w:t>Kidney Transplant Value Set</w:t>
            </w:r>
            <w:r w:rsidRPr="005D4222">
              <w:rPr>
                <w:szCs w:val="21"/>
              </w:rPr>
              <w:t xml:space="preserve">, </w:t>
            </w:r>
            <w:r w:rsidRPr="005D4222">
              <w:rPr>
                <w:szCs w:val="21"/>
                <w:u w:val="single"/>
              </w:rPr>
              <w:t>Bone Marrow Transplant Value Set</w:t>
            </w:r>
            <w:r w:rsidRPr="005D4222">
              <w:rPr>
                <w:szCs w:val="21"/>
              </w:rPr>
              <w:t xml:space="preserve">, </w:t>
            </w:r>
            <w:r w:rsidRPr="005D4222">
              <w:rPr>
                <w:szCs w:val="21"/>
                <w:u w:val="single"/>
              </w:rPr>
              <w:t>Organ Transplant Other Than Kidney Value Set</w:t>
            </w:r>
            <w:r w:rsidRPr="005D4222">
              <w:rPr>
                <w:szCs w:val="21"/>
              </w:rPr>
              <w:t xml:space="preserve">, </w:t>
            </w:r>
            <w:r w:rsidRPr="005D4222">
              <w:rPr>
                <w:szCs w:val="21"/>
                <w:u w:val="single"/>
              </w:rPr>
              <w:t>Introduction of Autologous Pancreatic Cells Value Set</w:t>
            </w:r>
            <w:r w:rsidRPr="005D4222">
              <w:rPr>
                <w:szCs w:val="21"/>
              </w:rPr>
              <w:t>).</w:t>
            </w:r>
          </w:p>
          <w:p w14:paraId="1E71F2F7" w14:textId="77777777" w:rsidR="00DF6008" w:rsidRPr="005D4222" w:rsidRDefault="00DF6008" w:rsidP="00DF6008">
            <w:pPr>
              <w:pStyle w:val="Bullet"/>
              <w:numPr>
                <w:ilvl w:val="0"/>
                <w:numId w:val="4"/>
              </w:numPr>
              <w:tabs>
                <w:tab w:val="left" w:pos="360"/>
                <w:tab w:val="left" w:pos="576"/>
              </w:tabs>
              <w:ind w:left="576" w:hanging="216"/>
              <w:rPr>
                <w:szCs w:val="21"/>
              </w:rPr>
            </w:pPr>
            <w:r w:rsidRPr="005D4222">
              <w:rPr>
                <w:szCs w:val="21"/>
              </w:rPr>
              <w:t>A potentially planned procedure (</w:t>
            </w:r>
            <w:r w:rsidRPr="005D4222">
              <w:rPr>
                <w:szCs w:val="21"/>
                <w:u w:val="single"/>
              </w:rPr>
              <w:t>Potentially Planned Procedures Value Set</w:t>
            </w:r>
            <w:r w:rsidRPr="005D4222">
              <w:rPr>
                <w:szCs w:val="21"/>
              </w:rPr>
              <w:t xml:space="preserve">, </w:t>
            </w:r>
            <w:r w:rsidRPr="005D4222">
              <w:rPr>
                <w:szCs w:val="21"/>
                <w:u w:val="single"/>
              </w:rPr>
              <w:t>Potentially Planned Post Acute Care Hospitalization Value Set</w:t>
            </w:r>
            <w:r w:rsidRPr="005D4222">
              <w:rPr>
                <w:szCs w:val="21"/>
              </w:rPr>
              <w:t>) without a principal acute diagnosis (</w:t>
            </w:r>
            <w:r w:rsidRPr="005D4222">
              <w:rPr>
                <w:szCs w:val="21"/>
                <w:u w:val="single"/>
              </w:rPr>
              <w:t>Acute Condition Value Set</w:t>
            </w:r>
            <w:r w:rsidRPr="005D4222">
              <w:rPr>
                <w:szCs w:val="21"/>
              </w:rPr>
              <w:t>).</w:t>
            </w:r>
          </w:p>
          <w:p w14:paraId="14829E83" w14:textId="77777777" w:rsidR="00DF6008" w:rsidRPr="005D4222" w:rsidRDefault="00DF6008" w:rsidP="00A53E8C">
            <w:pPr>
              <w:pStyle w:val="ECDSBody"/>
              <w:rPr>
                <w:b/>
                <w:i/>
                <w:sz w:val="20"/>
                <w:szCs w:val="20"/>
              </w:rPr>
            </w:pPr>
            <w:r w:rsidRPr="005D4222">
              <w:rPr>
                <w:b/>
                <w:i/>
                <w:sz w:val="20"/>
                <w:szCs w:val="20"/>
              </w:rPr>
              <w:t>Note</w:t>
            </w:r>
          </w:p>
          <w:p w14:paraId="7207C494" w14:textId="77777777" w:rsidR="00DF6008" w:rsidRPr="005D4222" w:rsidRDefault="00DF6008" w:rsidP="005D6173">
            <w:pPr>
              <w:pStyle w:val="ProcessBullet"/>
              <w:numPr>
                <w:ilvl w:val="0"/>
                <w:numId w:val="98"/>
              </w:numPr>
              <w:tabs>
                <w:tab w:val="left" w:pos="216"/>
              </w:tabs>
              <w:ind w:left="216" w:hanging="216"/>
              <w:rPr>
                <w:i/>
                <w:iCs/>
                <w:sz w:val="20"/>
                <w:szCs w:val="20"/>
              </w:rPr>
            </w:pPr>
            <w:r w:rsidRPr="005D4222">
              <w:rPr>
                <w:i/>
                <w:iCs/>
                <w:sz w:val="20"/>
                <w:szCs w:val="20"/>
              </w:rPr>
              <w:t>For hospital stays where there was a direct transfer (identified in step 2), use the original stay and any direct transfer stays to identify exclusions in this step.</w:t>
            </w:r>
          </w:p>
          <w:p w14:paraId="2F0D5C6D" w14:textId="77777777" w:rsidR="00DF6008" w:rsidRPr="005D4222" w:rsidRDefault="00DF6008" w:rsidP="005D6173">
            <w:pPr>
              <w:pStyle w:val="ProcessBullet"/>
              <w:numPr>
                <w:ilvl w:val="0"/>
                <w:numId w:val="98"/>
              </w:numPr>
              <w:tabs>
                <w:tab w:val="left" w:pos="216"/>
              </w:tabs>
              <w:ind w:left="216" w:hanging="216"/>
              <w:rPr>
                <w:i/>
                <w:iCs/>
                <w:sz w:val="20"/>
                <w:szCs w:val="20"/>
              </w:rPr>
            </w:pPr>
            <w:r w:rsidRPr="005D4222">
              <w:rPr>
                <w:i/>
                <w:iCs/>
                <w:sz w:val="20"/>
                <w:szCs w:val="20"/>
              </w:rPr>
              <w:t>Count each unique acute inpatient admission or observation stay hospitalization only once toward the numerator for the last denominator event. If a single numerator event meets criteria for multiple denominator events, only count the last denominator event. For example, consider the following events:</w:t>
            </w:r>
          </w:p>
          <w:p w14:paraId="2E9F8269" w14:textId="77777777" w:rsidR="00DF6008" w:rsidRPr="005D4222" w:rsidRDefault="00DF6008" w:rsidP="0076406B">
            <w:pPr>
              <w:pStyle w:val="ProcessDash"/>
              <w:rPr>
                <w:i/>
                <w:iCs/>
                <w:sz w:val="20"/>
              </w:rPr>
            </w:pPr>
            <w:r w:rsidRPr="005D4222">
              <w:rPr>
                <w:i/>
                <w:iCs/>
                <w:sz w:val="20"/>
              </w:rPr>
              <w:t>SNF stay 1: May 1–10.</w:t>
            </w:r>
          </w:p>
          <w:p w14:paraId="385AD48E" w14:textId="77777777" w:rsidR="00DF6008" w:rsidRPr="005D4222" w:rsidRDefault="00DF6008" w:rsidP="0076406B">
            <w:pPr>
              <w:pStyle w:val="ProcessDash"/>
              <w:rPr>
                <w:i/>
                <w:iCs/>
                <w:sz w:val="20"/>
              </w:rPr>
            </w:pPr>
            <w:r w:rsidRPr="005D4222" w:rsidDel="006A4F13">
              <w:rPr>
                <w:i/>
                <w:iCs/>
                <w:sz w:val="20"/>
              </w:rPr>
              <w:t xml:space="preserve">SNF </w:t>
            </w:r>
            <w:r w:rsidRPr="005D4222">
              <w:rPr>
                <w:i/>
                <w:iCs/>
                <w:sz w:val="20"/>
              </w:rPr>
              <w:t>stay 2: May 15–25.</w:t>
            </w:r>
          </w:p>
          <w:p w14:paraId="0F992055" w14:textId="77777777" w:rsidR="00DF6008" w:rsidRPr="005D4222" w:rsidRDefault="00DF6008" w:rsidP="0076406B">
            <w:pPr>
              <w:pStyle w:val="ProcessDash"/>
              <w:rPr>
                <w:i/>
                <w:iCs/>
                <w:sz w:val="20"/>
              </w:rPr>
            </w:pPr>
            <w:r w:rsidRPr="005D4222">
              <w:rPr>
                <w:i/>
                <w:iCs/>
                <w:sz w:val="20"/>
              </w:rPr>
              <w:t>Acute inpatient stay: May 30–June 5.</w:t>
            </w:r>
          </w:p>
          <w:p w14:paraId="007A2111" w14:textId="77777777" w:rsidR="00DF6008" w:rsidRPr="005D4222" w:rsidRDefault="00DF6008" w:rsidP="0076406B">
            <w:pPr>
              <w:pStyle w:val="ECDSBody"/>
              <w:spacing w:before="80"/>
              <w:ind w:left="216"/>
              <w:rPr>
                <w:i/>
                <w:iCs/>
                <w:sz w:val="20"/>
                <w:szCs w:val="20"/>
              </w:rPr>
            </w:pPr>
            <w:r w:rsidRPr="005D4222">
              <w:rPr>
                <w:i/>
                <w:iCs/>
                <w:sz w:val="20"/>
                <w:szCs w:val="20"/>
              </w:rPr>
              <w:t>The SND dates of May 10 and May 25 are included as denominator events. The acute inpatient stay counts as a numerator event only toward the last denominator event (stay 2, May 15–25).</w:t>
            </w:r>
          </w:p>
          <w:p w14:paraId="685347E3" w14:textId="77777777" w:rsidR="00DF6008" w:rsidRPr="005D4222" w:rsidRDefault="00DF6008" w:rsidP="005D6173">
            <w:pPr>
              <w:pStyle w:val="ProcessBullet"/>
              <w:numPr>
                <w:ilvl w:val="0"/>
                <w:numId w:val="98"/>
              </w:numPr>
              <w:tabs>
                <w:tab w:val="left" w:pos="216"/>
              </w:tabs>
              <w:ind w:left="216" w:hanging="216"/>
              <w:rPr>
                <w:i/>
                <w:iCs/>
                <w:sz w:val="20"/>
                <w:szCs w:val="20"/>
              </w:rPr>
            </w:pPr>
            <w:r w:rsidRPr="005D4222">
              <w:rPr>
                <w:i/>
                <w:iCs/>
                <w:sz w:val="20"/>
                <w:szCs w:val="20"/>
              </w:rPr>
              <w:t>Only one inpatient admission or observation stay hospitalization may be included in the numerator for each unique SND. If there are multiple numerator events that meet criteria for a singular denominator event, only count the numerator event closest to the SND date. For example, consider the following events:</w:t>
            </w:r>
          </w:p>
          <w:p w14:paraId="5DF9D0F1" w14:textId="77777777" w:rsidR="00DF6008" w:rsidRPr="005D4222" w:rsidRDefault="00DF6008" w:rsidP="0076406B">
            <w:pPr>
              <w:pStyle w:val="ProcessDash"/>
              <w:rPr>
                <w:i/>
                <w:iCs/>
                <w:sz w:val="20"/>
              </w:rPr>
            </w:pPr>
            <w:r w:rsidRPr="005D4222">
              <w:rPr>
                <w:i/>
                <w:iCs/>
                <w:sz w:val="20"/>
              </w:rPr>
              <w:t>SNF stay: May 1–10.</w:t>
            </w:r>
          </w:p>
          <w:p w14:paraId="53D18E0F" w14:textId="77777777" w:rsidR="00DF6008" w:rsidRPr="005D4222" w:rsidRDefault="00DF6008" w:rsidP="0076406B">
            <w:pPr>
              <w:pStyle w:val="ProcessDash"/>
              <w:rPr>
                <w:i/>
                <w:iCs/>
                <w:sz w:val="20"/>
              </w:rPr>
            </w:pPr>
            <w:r w:rsidRPr="005D4222">
              <w:rPr>
                <w:i/>
                <w:iCs/>
                <w:sz w:val="20"/>
              </w:rPr>
              <w:t>Observation stay: May 15–25.</w:t>
            </w:r>
          </w:p>
          <w:p w14:paraId="2943AD7E" w14:textId="77777777" w:rsidR="00DF6008" w:rsidRPr="005D4222" w:rsidRDefault="00DF6008" w:rsidP="0076406B">
            <w:pPr>
              <w:pStyle w:val="ProcessDash"/>
              <w:rPr>
                <w:i/>
                <w:iCs/>
                <w:sz w:val="20"/>
              </w:rPr>
            </w:pPr>
            <w:r w:rsidRPr="005D4222">
              <w:rPr>
                <w:i/>
                <w:iCs/>
                <w:sz w:val="20"/>
              </w:rPr>
              <w:t>Acute inpatient stay: May 30–June 5.</w:t>
            </w:r>
          </w:p>
          <w:p w14:paraId="24637EA9" w14:textId="77777777" w:rsidR="00DF6008" w:rsidRPr="005D4222" w:rsidRDefault="00DF6008" w:rsidP="0076406B">
            <w:pPr>
              <w:pStyle w:val="ECDSBody"/>
              <w:spacing w:before="80"/>
              <w:ind w:left="216"/>
              <w:rPr>
                <w:i/>
                <w:iCs/>
                <w:sz w:val="20"/>
                <w:szCs w:val="20"/>
              </w:rPr>
            </w:pPr>
            <w:r w:rsidRPr="005D4222">
              <w:rPr>
                <w:i/>
                <w:iCs/>
                <w:sz w:val="20"/>
                <w:szCs w:val="20"/>
              </w:rPr>
              <w:t xml:space="preserve">Both the observation stay of May 15–25 and the acute inpatient stay of May 30–June 5 are within 30 days of the </w:t>
            </w:r>
            <w:r w:rsidRPr="005D4222" w:rsidDel="003129FB">
              <w:rPr>
                <w:i/>
                <w:iCs/>
                <w:sz w:val="20"/>
                <w:szCs w:val="20"/>
              </w:rPr>
              <w:t>SN</w:t>
            </w:r>
            <w:r w:rsidRPr="005D4222">
              <w:rPr>
                <w:i/>
                <w:iCs/>
                <w:sz w:val="20"/>
                <w:szCs w:val="20"/>
              </w:rPr>
              <w:t xml:space="preserve">D date on May 10. Only the observation stay is included in the numerator because it is the hospitalization event closest to the SND date. </w:t>
            </w:r>
          </w:p>
          <w:p w14:paraId="17FEE29A" w14:textId="77777777" w:rsidR="00DF6008" w:rsidRPr="005D4222" w:rsidRDefault="00DF6008" w:rsidP="0076406B">
            <w:pPr>
              <w:pStyle w:val="ECDSBody"/>
              <w:spacing w:before="80" w:after="0"/>
              <w:ind w:left="216"/>
              <w:rPr>
                <w:i/>
                <w:iCs/>
                <w:sz w:val="20"/>
                <w:szCs w:val="20"/>
              </w:rPr>
            </w:pPr>
            <w:r w:rsidRPr="005D4222">
              <w:rPr>
                <w:i/>
                <w:iCs/>
                <w:sz w:val="20"/>
                <w:szCs w:val="20"/>
              </w:rPr>
              <w:t xml:space="preserve">The specifications in the second and third bullets may be applied simultaneously: </w:t>
            </w:r>
          </w:p>
          <w:p w14:paraId="2847F32E" w14:textId="77777777" w:rsidR="00DF6008" w:rsidRPr="005D4222" w:rsidRDefault="00DF6008" w:rsidP="0076406B">
            <w:pPr>
              <w:pStyle w:val="ProcessDash"/>
              <w:rPr>
                <w:i/>
                <w:iCs/>
                <w:sz w:val="20"/>
              </w:rPr>
            </w:pPr>
            <w:r w:rsidRPr="005D4222" w:rsidDel="00E63107">
              <w:rPr>
                <w:i/>
                <w:iCs/>
                <w:sz w:val="20"/>
              </w:rPr>
              <w:t>SNF</w:t>
            </w:r>
            <w:r w:rsidRPr="005D4222">
              <w:rPr>
                <w:i/>
                <w:iCs/>
                <w:sz w:val="20"/>
              </w:rPr>
              <w:t xml:space="preserve"> stay 1: May 1–10.</w:t>
            </w:r>
          </w:p>
          <w:p w14:paraId="6B48FF41" w14:textId="77777777" w:rsidR="00DF6008" w:rsidRPr="005D4222" w:rsidRDefault="00DF6008" w:rsidP="0076406B">
            <w:pPr>
              <w:pStyle w:val="ProcessDash"/>
              <w:rPr>
                <w:i/>
                <w:iCs/>
                <w:sz w:val="20"/>
              </w:rPr>
            </w:pPr>
            <w:r w:rsidRPr="005D4222" w:rsidDel="00E63107">
              <w:rPr>
                <w:i/>
                <w:iCs/>
                <w:sz w:val="20"/>
              </w:rPr>
              <w:t>SNF</w:t>
            </w:r>
            <w:r w:rsidRPr="005D4222">
              <w:rPr>
                <w:i/>
                <w:iCs/>
                <w:sz w:val="20"/>
              </w:rPr>
              <w:t xml:space="preserve"> stay 2: May 15–25.</w:t>
            </w:r>
          </w:p>
          <w:p w14:paraId="6A754EC1" w14:textId="77777777" w:rsidR="00DF6008" w:rsidRPr="005D4222" w:rsidRDefault="00DF6008" w:rsidP="0076406B">
            <w:pPr>
              <w:pStyle w:val="ProcessDash"/>
              <w:rPr>
                <w:i/>
                <w:iCs/>
                <w:sz w:val="20"/>
              </w:rPr>
            </w:pPr>
            <w:r w:rsidRPr="005D4222">
              <w:rPr>
                <w:i/>
                <w:iCs/>
                <w:sz w:val="20"/>
              </w:rPr>
              <w:t>Acute inpatient stay 1: May 30–June 1.</w:t>
            </w:r>
          </w:p>
          <w:p w14:paraId="7813BA98" w14:textId="448AB9E1" w:rsidR="00E77DAB" w:rsidRPr="005D4222" w:rsidRDefault="00DF6008" w:rsidP="0076406B">
            <w:pPr>
              <w:pStyle w:val="ProcessDash"/>
              <w:spacing w:after="80"/>
              <w:rPr>
                <w:i/>
                <w:szCs w:val="21"/>
              </w:rPr>
            </w:pPr>
            <w:r w:rsidRPr="005D4222">
              <w:rPr>
                <w:i/>
                <w:iCs/>
                <w:sz w:val="20"/>
              </w:rPr>
              <w:t>Acute inpatient stay 2: June 5–8.</w:t>
            </w:r>
          </w:p>
        </w:tc>
      </w:tr>
      <w:tr w:rsidR="00E77DAB" w:rsidRPr="005D4222" w14:paraId="11E7B062" w14:textId="77777777" w:rsidTr="00A51C43">
        <w:trPr>
          <w:trHeight w:val="300"/>
        </w:trPr>
        <w:tc>
          <w:tcPr>
            <w:tcW w:w="2159" w:type="dxa"/>
            <w:tcBorders>
              <w:top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000AAA70" w14:textId="77777777" w:rsidR="00E77DAB" w:rsidRPr="005D4222" w:rsidRDefault="00E77DAB" w:rsidP="00A53E8C">
            <w:pPr>
              <w:pStyle w:val="ECDSMarginHead"/>
            </w:pPr>
          </w:p>
        </w:tc>
        <w:tc>
          <w:tcPr>
            <w:tcW w:w="7561" w:type="dxa"/>
            <w:tcBorders>
              <w:top w:val="single" w:sz="4" w:space="0" w:color="auto"/>
              <w:left w:val="single" w:sz="4" w:space="0" w:color="auto"/>
              <w:bottom w:val="single" w:sz="4" w:space="0" w:color="auto"/>
            </w:tcBorders>
            <w:tcMar>
              <w:left w:w="86" w:type="dxa"/>
              <w:bottom w:w="43" w:type="dxa"/>
              <w:right w:w="86" w:type="dxa"/>
            </w:tcMar>
          </w:tcPr>
          <w:p w14:paraId="4FC563E5" w14:textId="77777777" w:rsidR="00E77DAB" w:rsidRPr="005D4222" w:rsidRDefault="00E77DAB" w:rsidP="00E77DAB">
            <w:pPr>
              <w:pStyle w:val="ECDSBody"/>
              <w:ind w:left="216"/>
              <w:rPr>
                <w:i/>
                <w:iCs/>
                <w:sz w:val="20"/>
                <w:szCs w:val="20"/>
              </w:rPr>
            </w:pPr>
            <w:r w:rsidRPr="005D4222">
              <w:rPr>
                <w:i/>
                <w:iCs/>
                <w:sz w:val="20"/>
                <w:szCs w:val="20"/>
              </w:rPr>
              <w:t>The SND of May 10 and May 25 are included as denominator events. Acute inpatient stay 1 of May 30–June 1 counts as a numerator event only toward the last denominator event (</w:t>
            </w:r>
            <w:r w:rsidRPr="005D4222" w:rsidDel="005F10A0">
              <w:rPr>
                <w:i/>
                <w:iCs/>
                <w:sz w:val="20"/>
                <w:szCs w:val="20"/>
              </w:rPr>
              <w:t>SNF</w:t>
            </w:r>
            <w:r w:rsidRPr="005D4222">
              <w:rPr>
                <w:i/>
                <w:iCs/>
                <w:sz w:val="20"/>
                <w:szCs w:val="20"/>
              </w:rPr>
              <w:t xml:space="preserve"> stay 2, May 15–25).</w:t>
            </w:r>
          </w:p>
          <w:p w14:paraId="3439365F" w14:textId="350AC849" w:rsidR="00E77DAB" w:rsidRPr="005D4222" w:rsidRDefault="00E77DAB" w:rsidP="00E77DAB">
            <w:pPr>
              <w:pStyle w:val="ECDSBody"/>
              <w:ind w:left="216"/>
              <w:rPr>
                <w:i/>
                <w:iCs/>
                <w:sz w:val="20"/>
                <w:szCs w:val="20"/>
              </w:rPr>
            </w:pPr>
            <w:r w:rsidRPr="005D4222">
              <w:rPr>
                <w:i/>
                <w:iCs/>
                <w:sz w:val="20"/>
                <w:szCs w:val="20"/>
              </w:rPr>
              <w:t>Acute inpatient stay 2 of June 5–8 does not count toward the numerator, because the last denominator event (</w:t>
            </w:r>
            <w:r w:rsidRPr="005D4222" w:rsidDel="005F10A0">
              <w:rPr>
                <w:i/>
                <w:iCs/>
                <w:sz w:val="20"/>
                <w:szCs w:val="20"/>
              </w:rPr>
              <w:t>SNF</w:t>
            </w:r>
            <w:r w:rsidRPr="005D4222">
              <w:rPr>
                <w:i/>
                <w:iCs/>
                <w:sz w:val="20"/>
                <w:szCs w:val="20"/>
              </w:rPr>
              <w:t xml:space="preserve"> stay 2, May 15–25) applies only toward the closest numerator event (acute inpatient stay 1, May 30–June 1).</w:t>
            </w:r>
          </w:p>
        </w:tc>
      </w:tr>
      <w:tr w:rsidR="00DF6008" w:rsidRPr="005D4222" w14:paraId="069E0E2C" w14:textId="77777777" w:rsidTr="00A53E8C">
        <w:trPr>
          <w:trHeight w:val="45"/>
        </w:trPr>
        <w:tc>
          <w:tcPr>
            <w:tcW w:w="2159"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32AC4C7" w14:textId="77777777" w:rsidR="00DF6008" w:rsidRPr="005D4222" w:rsidRDefault="00DF6008" w:rsidP="00A53E8C">
            <w:pPr>
              <w:pStyle w:val="ECDSMarginHead"/>
            </w:pPr>
            <w:r w:rsidRPr="005D4222">
              <w:t>Summary of changes</w:t>
            </w:r>
          </w:p>
        </w:tc>
        <w:tc>
          <w:tcPr>
            <w:tcW w:w="7561"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ACBED3E" w14:textId="77777777" w:rsidR="00DF6008" w:rsidRPr="005D4222" w:rsidRDefault="00DF6008" w:rsidP="005D6173">
            <w:pPr>
              <w:pStyle w:val="ProcessBullet"/>
              <w:numPr>
                <w:ilvl w:val="0"/>
                <w:numId w:val="114"/>
              </w:numPr>
              <w:tabs>
                <w:tab w:val="left" w:pos="216"/>
              </w:tabs>
              <w:spacing w:before="120"/>
            </w:pPr>
            <w:r w:rsidRPr="005D4222">
              <w:t>Updated the measure description.</w:t>
            </w:r>
          </w:p>
          <w:p w14:paraId="7C595363" w14:textId="77777777" w:rsidR="00DF6008" w:rsidRPr="005D4222" w:rsidRDefault="00DF6008" w:rsidP="005D6173">
            <w:pPr>
              <w:pStyle w:val="ProcessBullet"/>
              <w:numPr>
                <w:ilvl w:val="0"/>
                <w:numId w:val="98"/>
              </w:numPr>
              <w:tabs>
                <w:tab w:val="left" w:pos="216"/>
              </w:tabs>
              <w:ind w:left="216" w:hanging="216"/>
              <w:rPr>
                <w:rFonts w:eastAsia="Arial"/>
              </w:rPr>
            </w:pPr>
            <w:r w:rsidRPr="005D4222">
              <w:rPr>
                <w:rFonts w:eastAsia="Arial"/>
              </w:rPr>
              <w:t xml:space="preserve">Integrated the Risk Adjustment General Guidelines into the </w:t>
            </w:r>
            <w:r w:rsidRPr="005D4222">
              <w:rPr>
                <w:rFonts w:eastAsia="Arial"/>
                <w:i/>
              </w:rPr>
              <w:t xml:space="preserve">Guidance </w:t>
            </w:r>
            <w:r w:rsidRPr="005D4222">
              <w:rPr>
                <w:rFonts w:eastAsia="Arial"/>
              </w:rPr>
              <w:t xml:space="preserve">section. </w:t>
            </w:r>
          </w:p>
          <w:p w14:paraId="09E10484" w14:textId="77777777" w:rsidR="00DF6008" w:rsidRPr="005D4222" w:rsidRDefault="00DF6008" w:rsidP="005D6173">
            <w:pPr>
              <w:pStyle w:val="ProcessBullet"/>
              <w:numPr>
                <w:ilvl w:val="0"/>
                <w:numId w:val="98"/>
              </w:numPr>
              <w:tabs>
                <w:tab w:val="left" w:pos="216"/>
              </w:tabs>
              <w:ind w:left="216" w:hanging="216"/>
              <w:rPr>
                <w:rFonts w:eastAsia="Arial"/>
              </w:rPr>
            </w:pPr>
            <w:r w:rsidRPr="005D4222">
              <w:rPr>
                <w:rFonts w:eastAsia="Arial"/>
              </w:rPr>
              <w:t xml:space="preserve">Moved the definition of “classification period” to the </w:t>
            </w:r>
            <w:r w:rsidRPr="005D4222">
              <w:rPr>
                <w:rFonts w:eastAsia="Arial"/>
                <w:i/>
              </w:rPr>
              <w:t>Risk adjustment comorbidity category determination</w:t>
            </w:r>
            <w:r w:rsidRPr="005D4222">
              <w:rPr>
                <w:rFonts w:eastAsia="Arial"/>
              </w:rPr>
              <w:t xml:space="preserve"> section. </w:t>
            </w:r>
          </w:p>
          <w:p w14:paraId="1876DFB2" w14:textId="77777777" w:rsidR="00DF6008" w:rsidRDefault="00DF6008" w:rsidP="005D6173">
            <w:pPr>
              <w:pStyle w:val="ProcessBullet"/>
              <w:numPr>
                <w:ilvl w:val="0"/>
                <w:numId w:val="98"/>
              </w:numPr>
              <w:tabs>
                <w:tab w:val="left" w:pos="216"/>
              </w:tabs>
              <w:ind w:left="216" w:hanging="216"/>
              <w:rPr>
                <w:rFonts w:eastAsia="Arial"/>
              </w:rPr>
            </w:pPr>
            <w:r w:rsidRPr="005D4222">
              <w:rPr>
                <w:rFonts w:eastAsia="Arial"/>
              </w:rPr>
              <w:t xml:space="preserve">Added “direct transfer” to the </w:t>
            </w:r>
            <w:r w:rsidRPr="005D4222">
              <w:rPr>
                <w:rFonts w:eastAsia="Arial"/>
                <w:i/>
              </w:rPr>
              <w:t>Definitions</w:t>
            </w:r>
            <w:r w:rsidRPr="005D4222">
              <w:rPr>
                <w:rFonts w:eastAsia="Arial"/>
              </w:rPr>
              <w:t xml:space="preserve"> section.</w:t>
            </w:r>
          </w:p>
          <w:p w14:paraId="622E6FCB" w14:textId="2A83A686" w:rsidR="004771F6" w:rsidRPr="005D4222" w:rsidRDefault="004771F6" w:rsidP="005D6173">
            <w:pPr>
              <w:pStyle w:val="ProcessBullet"/>
              <w:numPr>
                <w:ilvl w:val="0"/>
                <w:numId w:val="98"/>
              </w:numPr>
              <w:tabs>
                <w:tab w:val="left" w:pos="216"/>
              </w:tabs>
              <w:ind w:left="216" w:hanging="216"/>
              <w:rPr>
                <w:rFonts w:eastAsia="Arial"/>
              </w:rPr>
            </w:pPr>
            <w:r w:rsidRPr="00D81F5D">
              <w:t>Added administrative gender code</w:t>
            </w:r>
            <w:r>
              <w:t xml:space="preserve">s </w:t>
            </w:r>
            <w:r w:rsidRPr="00D81F5D">
              <w:t>to the initial population.</w:t>
            </w:r>
          </w:p>
          <w:p w14:paraId="23707BCB" w14:textId="77777777" w:rsidR="00DF6008" w:rsidRPr="005D4222" w:rsidRDefault="00DF6008" w:rsidP="005D6173">
            <w:pPr>
              <w:pStyle w:val="ProcessBullet"/>
              <w:numPr>
                <w:ilvl w:val="0"/>
                <w:numId w:val="98"/>
              </w:numPr>
              <w:tabs>
                <w:tab w:val="left" w:pos="216"/>
              </w:tabs>
              <w:ind w:left="216" w:hanging="216"/>
            </w:pPr>
            <w:r w:rsidRPr="005D4222">
              <w:t>Clarified in step 2 of the denominator that SNDs with a direct transfer with a discharge date after November 1 are excluded.</w:t>
            </w:r>
          </w:p>
          <w:p w14:paraId="2D49E334" w14:textId="77777777" w:rsidR="00DF6008" w:rsidRPr="005D4222" w:rsidRDefault="00DF6008" w:rsidP="005D6173">
            <w:pPr>
              <w:pStyle w:val="ProcessBullet"/>
              <w:numPr>
                <w:ilvl w:val="0"/>
                <w:numId w:val="98"/>
              </w:numPr>
              <w:tabs>
                <w:tab w:val="left" w:pos="216"/>
              </w:tabs>
              <w:spacing w:after="80"/>
              <w:ind w:left="216" w:hanging="216"/>
            </w:pPr>
            <w:r w:rsidRPr="005D4222">
              <w:t>Removed the pregnancy exclusion from the numerator.</w:t>
            </w:r>
          </w:p>
        </w:tc>
      </w:tr>
      <w:tr w:rsidR="00DF6008" w:rsidRPr="005D4222" w14:paraId="0FAA5517" w14:textId="77777777" w:rsidTr="00A53E8C">
        <w:trPr>
          <w:trHeight w:val="45"/>
        </w:trPr>
        <w:tc>
          <w:tcPr>
            <w:tcW w:w="2159"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8925E03" w14:textId="77777777" w:rsidR="00DF6008" w:rsidRPr="005D4222" w:rsidRDefault="00DF6008" w:rsidP="00A53E8C">
            <w:pPr>
              <w:pStyle w:val="ECDSMarginHead"/>
            </w:pPr>
            <w:r w:rsidRPr="005D4222">
              <w:t>Data element tables</w:t>
            </w:r>
          </w:p>
        </w:tc>
        <w:tc>
          <w:tcPr>
            <w:tcW w:w="7561"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22D837D" w14:textId="77777777" w:rsidR="00DF6008" w:rsidRPr="005D4222" w:rsidRDefault="00DF6008" w:rsidP="00A53E8C">
            <w:pPr>
              <w:pStyle w:val="ECDSBody"/>
            </w:pPr>
            <w:r w:rsidRPr="005D4222">
              <w:rPr>
                <w:b/>
                <w:bCs w:val="0"/>
                <w:i/>
                <w:iCs/>
              </w:rPr>
              <w:t>Reporting:</w:t>
            </w:r>
            <w:r w:rsidRPr="005D4222">
              <w:rPr>
                <w:b/>
                <w:bCs w:val="0"/>
              </w:rPr>
              <w:t xml:space="preserve"> Denominator</w:t>
            </w:r>
            <w:r w:rsidRPr="005D4222">
              <w:rPr>
                <w:b/>
                <w:bCs w:val="0"/>
              </w:rPr>
              <w:br/>
            </w:r>
            <w:r w:rsidRPr="005D4222">
              <w:t>The number of SNDs for each age group, for each category (30-day hospitalization, 60-day hospitalization), reported as the Denominator.</w:t>
            </w:r>
          </w:p>
          <w:p w14:paraId="471A298D" w14:textId="77777777" w:rsidR="00DF6008" w:rsidRPr="005D4222" w:rsidRDefault="00DF6008" w:rsidP="00A53E8C">
            <w:pPr>
              <w:pStyle w:val="ECDSBody"/>
            </w:pPr>
            <w:r w:rsidRPr="005D4222">
              <w:rPr>
                <w:b/>
                <w:bCs w:val="0"/>
                <w:i/>
                <w:iCs/>
              </w:rPr>
              <w:t>Reporting:</w:t>
            </w:r>
            <w:r w:rsidRPr="005D4222">
              <w:rPr>
                <w:b/>
                <w:bCs w:val="0"/>
              </w:rPr>
              <w:t xml:space="preserve"> Numerator</w:t>
            </w:r>
            <w:r w:rsidRPr="005D4222">
              <w:rPr>
                <w:b/>
                <w:bCs w:val="0"/>
              </w:rPr>
              <w:br/>
            </w:r>
            <w:r w:rsidRPr="005D4222">
              <w:t>The number of observed acute inpatient admission or observation stay hospitalizations for each age group, for each category (30-day hospitalization, 60-day hospitalization), reported as the ObservedCount.</w:t>
            </w:r>
          </w:p>
          <w:p w14:paraId="51B8E994" w14:textId="77777777" w:rsidR="00DF6008" w:rsidRPr="005D4222" w:rsidRDefault="00DF6008" w:rsidP="00A53E8C">
            <w:pPr>
              <w:pStyle w:val="ECDSBody"/>
            </w:pPr>
            <w:r w:rsidRPr="005D4222">
              <w:rPr>
                <w:b/>
                <w:bCs w:val="0"/>
                <w:i/>
                <w:iCs/>
              </w:rPr>
              <w:t>Calculated:</w:t>
            </w:r>
            <w:r w:rsidRPr="005D4222">
              <w:rPr>
                <w:b/>
                <w:bCs w:val="0"/>
              </w:rPr>
              <w:t xml:space="preserve"> Observed hospitalization rate</w:t>
            </w:r>
            <w:r w:rsidRPr="005D4222">
              <w:rPr>
                <w:b/>
                <w:bCs w:val="0"/>
              </w:rPr>
              <w:br/>
            </w:r>
            <w:r w:rsidRPr="005D4222">
              <w:t>The number of observed acute inpatient admission or observation stay hospitalizations (ObservedCount) divided by the number of SNDs to the community (Denominator) for each age group and total, for each category (30-day hospitalization, 60-day hospitalization). Calculated by IDSS as the ObservedRate.</w:t>
            </w:r>
          </w:p>
          <w:p w14:paraId="3DE5A70F" w14:textId="77777777" w:rsidR="00DF6008" w:rsidRPr="005D4222" w:rsidRDefault="00DF6008" w:rsidP="00A53E8C">
            <w:pPr>
              <w:pStyle w:val="ECDSBody"/>
              <w:rPr>
                <w:b/>
                <w:bCs w:val="0"/>
              </w:rPr>
            </w:pPr>
            <w:r w:rsidRPr="005D4222">
              <w:rPr>
                <w:b/>
                <w:bCs w:val="0"/>
                <w:i/>
                <w:iCs/>
              </w:rPr>
              <w:t>Reporting:</w:t>
            </w:r>
            <w:r w:rsidRPr="005D4222">
              <w:rPr>
                <w:b/>
                <w:bCs w:val="0"/>
              </w:rPr>
              <w:t xml:space="preserve"> Count of expected hospitalizations</w:t>
            </w:r>
          </w:p>
          <w:p w14:paraId="2E46D18D" w14:textId="77777777" w:rsidR="00DF6008" w:rsidRPr="005D4222" w:rsidRDefault="00DF6008" w:rsidP="00A53E8C">
            <w:pPr>
              <w:pStyle w:val="ECDSBody"/>
            </w:pPr>
            <w:r w:rsidRPr="005D4222">
              <w:rPr>
                <w:b/>
                <w:bCs w:val="0"/>
              </w:rPr>
              <w:t xml:space="preserve">Step 1. </w:t>
            </w:r>
            <w:r w:rsidRPr="005D4222">
              <w:t>Calculate the number of expected inpatient admission or observation stay hospitalizations for each age group, for each category (30-day hospitalization, 60-day hospitalization).</w:t>
            </w:r>
          </w:p>
          <w:p w14:paraId="6DE1E5A9" w14:textId="77777777" w:rsidR="00DF6008" w:rsidRPr="005D4222" w:rsidRDefault="00DF6008" w:rsidP="00A53E8C">
            <w:pPr>
              <w:pStyle w:val="ECDSBody"/>
            </w:pPr>
            <w:r w:rsidRPr="005D4222">
              <w:rPr>
                <w:b/>
                <w:bCs w:val="0"/>
              </w:rPr>
              <w:t xml:space="preserve">Step 2. </w:t>
            </w:r>
            <w:r w:rsidRPr="005D4222">
              <w:t>Round to 4 decimal places using the .5 rule and report these values as the ExpectedCount.</w:t>
            </w:r>
          </w:p>
          <w:p w14:paraId="0E3483A0" w14:textId="77777777" w:rsidR="00DF6008" w:rsidRPr="005D4222" w:rsidRDefault="00DF6008" w:rsidP="00A53E8C">
            <w:pPr>
              <w:pStyle w:val="ECDSBody"/>
              <w:rPr>
                <w:color w:val="000000" w:themeColor="text1"/>
              </w:rPr>
            </w:pPr>
            <w:r w:rsidRPr="005D4222">
              <w:rPr>
                <w:b/>
                <w:i/>
                <w:iCs/>
              </w:rPr>
              <w:t>Calculated:</w:t>
            </w:r>
            <w:r w:rsidRPr="005D4222">
              <w:rPr>
                <w:b/>
              </w:rPr>
              <w:t xml:space="preserve"> Expected hospitalization rate</w:t>
            </w:r>
            <w:r w:rsidRPr="005D4222">
              <w:rPr>
                <w:b/>
              </w:rPr>
              <w:br/>
            </w:r>
            <w:r w:rsidRPr="005D4222">
              <w:t>The number of expected acute inpatient admission or observation stay hospitalizations (ExpectedCount) divided by the number of SNDs to the community (Denominator) for each age group and total, for each category (30-day hospitalization, 60-day hospitalization). Calculated by IDSS as the ExpectedRate.</w:t>
            </w:r>
          </w:p>
        </w:tc>
      </w:tr>
    </w:tbl>
    <w:p w14:paraId="4C931BBC" w14:textId="77777777" w:rsidR="00DF6008" w:rsidRPr="005D4222" w:rsidRDefault="00DF6008" w:rsidP="00DF6008">
      <w:pPr>
        <w:spacing w:after="160" w:line="259" w:lineRule="auto"/>
      </w:pPr>
      <w:r w:rsidRPr="005D4222">
        <w:br w:type="page"/>
      </w:r>
    </w:p>
    <w:tbl>
      <w:tblPr>
        <w:tblW w:w="9720"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9"/>
        <w:gridCol w:w="7561"/>
      </w:tblGrid>
      <w:tr w:rsidR="006439AD" w:rsidRPr="005D4222" w14:paraId="455CC0BD" w14:textId="77777777" w:rsidTr="00A53E8C">
        <w:trPr>
          <w:trHeight w:val="45"/>
        </w:trPr>
        <w:tc>
          <w:tcPr>
            <w:tcW w:w="2159"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29BCF37" w14:textId="77777777" w:rsidR="00DF6008" w:rsidRPr="005D4222" w:rsidRDefault="00DF6008" w:rsidP="00A53E8C">
            <w:pPr>
              <w:pStyle w:val="ECDSMarginHead"/>
            </w:pPr>
          </w:p>
        </w:tc>
        <w:tc>
          <w:tcPr>
            <w:tcW w:w="7561"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E695B9A" w14:textId="77777777" w:rsidR="00DF6008" w:rsidRPr="005D4222" w:rsidRDefault="00DF6008" w:rsidP="00A53E8C">
            <w:pPr>
              <w:pStyle w:val="ECDSBody"/>
              <w:rPr>
                <w:b/>
              </w:rPr>
            </w:pPr>
            <w:r w:rsidRPr="005D4222">
              <w:rPr>
                <w:b/>
                <w:i/>
                <w:iCs/>
              </w:rPr>
              <w:t xml:space="preserve">Reporting: </w:t>
            </w:r>
            <w:r w:rsidRPr="005D4222">
              <w:rPr>
                <w:b/>
              </w:rPr>
              <w:t>Variance</w:t>
            </w:r>
          </w:p>
          <w:p w14:paraId="5AEC0EFE" w14:textId="77777777" w:rsidR="00DF6008" w:rsidRPr="005D4222" w:rsidRDefault="00DF6008" w:rsidP="00A53E8C">
            <w:pPr>
              <w:pStyle w:val="ECDSBody"/>
              <w:rPr>
                <w:iCs/>
              </w:rPr>
            </w:pPr>
            <w:r w:rsidRPr="005D4222">
              <w:rPr>
                <w:b/>
                <w:iCs/>
              </w:rPr>
              <w:t xml:space="preserve">Step 1. </w:t>
            </w:r>
            <w:r w:rsidRPr="005D4222">
              <w:rPr>
                <w:iCs/>
              </w:rPr>
              <w:t>Calculate the variance (</w:t>
            </w:r>
            <w:r w:rsidRPr="005D4222">
              <w:rPr>
                <w:i/>
              </w:rPr>
              <w:t xml:space="preserve">Risk Adjustment Calculation, </w:t>
            </w:r>
            <w:r w:rsidRPr="005D4222">
              <w:rPr>
                <w:iCs/>
              </w:rPr>
              <w:t>step 8) for each group, for each category (30-day hospitalization, 60-day hospitalization).</w:t>
            </w:r>
          </w:p>
          <w:p w14:paraId="2D07FD6B" w14:textId="77777777" w:rsidR="00DF6008" w:rsidRPr="005D4222" w:rsidRDefault="00DF6008" w:rsidP="00A53E8C">
            <w:pPr>
              <w:pStyle w:val="ECDSBody"/>
            </w:pPr>
            <w:r w:rsidRPr="005D4222">
              <w:rPr>
                <w:b/>
                <w:iCs/>
              </w:rPr>
              <w:t xml:space="preserve">Step 2. </w:t>
            </w:r>
            <w:r w:rsidRPr="005D4222">
              <w:rPr>
                <w:iCs/>
              </w:rPr>
              <w:t>R</w:t>
            </w:r>
            <w:r w:rsidRPr="005D4222">
              <w:t>ound to 4 decimal places using the .5 rule and report these values as the CountVariance.</w:t>
            </w:r>
          </w:p>
          <w:p w14:paraId="2691AEDD" w14:textId="77777777" w:rsidR="00DF6008" w:rsidRPr="005D4222" w:rsidRDefault="00DF6008" w:rsidP="00A53E8C">
            <w:pPr>
              <w:pStyle w:val="ECDSBody"/>
              <w:rPr>
                <w:b/>
              </w:rPr>
            </w:pPr>
            <w:r w:rsidRPr="005D4222">
              <w:rPr>
                <w:b/>
                <w:i/>
                <w:iCs/>
              </w:rPr>
              <w:t>Calculated:</w:t>
            </w:r>
            <w:r w:rsidRPr="005D4222">
              <w:rPr>
                <w:b/>
              </w:rPr>
              <w:t xml:space="preserve"> O/E ratio</w:t>
            </w:r>
          </w:p>
          <w:p w14:paraId="3DEE2894" w14:textId="77777777" w:rsidR="00DF6008" w:rsidRPr="005D4222" w:rsidRDefault="00DF6008" w:rsidP="00A53E8C">
            <w:pPr>
              <w:pStyle w:val="ECDSBody"/>
              <w:spacing w:before="0"/>
            </w:pPr>
            <w:r w:rsidRPr="005D4222">
              <w:t>The number of observed acute inpatient admission or observation stay hospitalizations (ObservedCount) divided by the number of expected acute inpatient admission or observation stay hospitalizations (ExpectedCount) for each age group and total, for each category (30-day hospitalization, 60-day hospitalization). Calculated by IDSS as the OE.</w:t>
            </w:r>
          </w:p>
          <w:p w14:paraId="74979CDD" w14:textId="77777777" w:rsidR="00DF6008" w:rsidRPr="005D4222" w:rsidRDefault="00DF6008" w:rsidP="00A53E8C">
            <w:pPr>
              <w:pStyle w:val="Heading3"/>
              <w:spacing w:before="120"/>
              <w:rPr>
                <w:rFonts w:eastAsia="Arial,Times New Roman"/>
                <w:b w:val="0"/>
                <w:i w:val="0"/>
                <w:sz w:val="21"/>
              </w:rPr>
            </w:pPr>
            <w:r w:rsidRPr="005D4222">
              <w:rPr>
                <w:b w:val="0"/>
                <w:i w:val="0"/>
                <w:sz w:val="21"/>
              </w:rPr>
              <w:t>Organizations that submit HEDIS data to NCQA must provide the following data elements.</w:t>
            </w:r>
            <w:r w:rsidRPr="005D4222">
              <w:rPr>
                <w:rFonts w:eastAsia="Arial,Times New Roman"/>
                <w:b w:val="0"/>
                <w:i w:val="0"/>
                <w:sz w:val="21"/>
              </w:rPr>
              <w:t xml:space="preserve"> </w:t>
            </w:r>
          </w:p>
          <w:p w14:paraId="7769C816" w14:textId="77777777" w:rsidR="00DF6008" w:rsidRPr="005D4222" w:rsidRDefault="00DF6008" w:rsidP="00A53E8C">
            <w:pPr>
              <w:pStyle w:val="Heading3"/>
              <w:spacing w:before="120"/>
              <w:rPr>
                <w:rFonts w:eastAsia="Arial,Times New Roman"/>
              </w:rPr>
            </w:pPr>
            <w:r w:rsidRPr="005D4222">
              <w:rPr>
                <w:rFonts w:eastAsia="Arial,Times New Roman"/>
              </w:rPr>
              <w:t>Table HFS-3: Data Elements for Hospitalization Following Discharge From a Skilled Nursing Facility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2434"/>
              <w:gridCol w:w="989"/>
              <w:gridCol w:w="1438"/>
              <w:gridCol w:w="2518"/>
            </w:tblGrid>
            <w:tr w:rsidR="00DF6008" w:rsidRPr="005D4222" w14:paraId="7620C108" w14:textId="77777777" w:rsidTr="00A53E8C">
              <w:trPr>
                <w:cantSplit/>
                <w:trHeight w:val="251"/>
              </w:trPr>
              <w:tc>
                <w:tcPr>
                  <w:tcW w:w="2437" w:type="dxa"/>
                  <w:tcBorders>
                    <w:top w:val="single" w:sz="4" w:space="0" w:color="auto"/>
                    <w:left w:val="single" w:sz="4" w:space="0" w:color="auto"/>
                    <w:bottom w:val="single" w:sz="4" w:space="0" w:color="auto"/>
                    <w:right w:val="single" w:sz="4" w:space="0" w:color="FFFFFF" w:themeColor="background1"/>
                  </w:tcBorders>
                  <w:shd w:val="clear" w:color="auto" w:fill="000000" w:themeFill="text1"/>
                  <w:tcMar>
                    <w:left w:w="72" w:type="dxa"/>
                    <w:right w:w="72" w:type="dxa"/>
                  </w:tcMar>
                </w:tcPr>
                <w:p w14:paraId="302DF34C" w14:textId="77777777" w:rsidR="00DF6008" w:rsidRPr="005D4222" w:rsidRDefault="00DF6008" w:rsidP="00A53E8C">
                  <w:pPr>
                    <w:pStyle w:val="TableHead"/>
                    <w:rPr>
                      <w:rFonts w:eastAsia="Arial Narrow"/>
                      <w:color w:val="auto"/>
                    </w:rPr>
                  </w:pPr>
                  <w:r w:rsidRPr="005D4222">
                    <w:rPr>
                      <w:rFonts w:eastAsia="Arial Narrow"/>
                      <w:color w:val="auto"/>
                    </w:rPr>
                    <w:t>Metric</w:t>
                  </w:r>
                </w:p>
              </w:tc>
              <w:tc>
                <w:tcPr>
                  <w:tcW w:w="99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cMar>
                    <w:left w:w="72" w:type="dxa"/>
                    <w:right w:w="72" w:type="dxa"/>
                  </w:tcMar>
                </w:tcPr>
                <w:p w14:paraId="6DDB7576" w14:textId="77777777" w:rsidR="00DF6008" w:rsidRPr="005D4222" w:rsidRDefault="00DF6008" w:rsidP="00A53E8C">
                  <w:pPr>
                    <w:pStyle w:val="TableHead"/>
                    <w:rPr>
                      <w:rFonts w:eastAsia="Arial Narrow"/>
                      <w:color w:val="auto"/>
                    </w:rPr>
                  </w:pPr>
                  <w:r w:rsidRPr="005D4222">
                    <w:rPr>
                      <w:rFonts w:eastAsia="Arial Narrow"/>
                      <w:color w:val="auto"/>
                    </w:rPr>
                    <w:t>Age</w:t>
                  </w:r>
                </w:p>
              </w:tc>
              <w:tc>
                <w:tcPr>
                  <w:tcW w:w="1440" w:type="dxa"/>
                  <w:tcBorders>
                    <w:top w:val="single" w:sz="4" w:space="0" w:color="auto"/>
                    <w:left w:val="single" w:sz="4" w:space="0" w:color="FFFFFF" w:themeColor="background1"/>
                    <w:right w:val="single" w:sz="6" w:space="0" w:color="FFFFFF" w:themeColor="background1"/>
                  </w:tcBorders>
                  <w:shd w:val="clear" w:color="auto" w:fill="000000" w:themeFill="text1"/>
                  <w:tcMar>
                    <w:left w:w="72" w:type="dxa"/>
                    <w:right w:w="72" w:type="dxa"/>
                  </w:tcMar>
                  <w:vAlign w:val="bottom"/>
                </w:tcPr>
                <w:p w14:paraId="17361B51" w14:textId="77777777" w:rsidR="00DF6008" w:rsidRPr="005D4222" w:rsidRDefault="00DF6008" w:rsidP="00A53E8C">
                  <w:pPr>
                    <w:pStyle w:val="TableHead"/>
                    <w:rPr>
                      <w:rFonts w:eastAsia="Arial Narrow"/>
                      <w:color w:val="auto"/>
                    </w:rPr>
                  </w:pPr>
                  <w:r w:rsidRPr="005D4222">
                    <w:rPr>
                      <w:rFonts w:eastAsia="Arial Narrow"/>
                      <w:color w:val="auto"/>
                    </w:rPr>
                    <w:t xml:space="preserve">Data Element </w:t>
                  </w:r>
                </w:p>
              </w:tc>
              <w:tc>
                <w:tcPr>
                  <w:tcW w:w="2521" w:type="dxa"/>
                  <w:tcBorders>
                    <w:top w:val="single" w:sz="4" w:space="0" w:color="auto"/>
                    <w:left w:val="single" w:sz="6" w:space="0" w:color="FFFFFF" w:themeColor="background1"/>
                    <w:right w:val="single" w:sz="4" w:space="0" w:color="auto"/>
                  </w:tcBorders>
                  <w:shd w:val="clear" w:color="auto" w:fill="000000" w:themeFill="text1"/>
                  <w:tcMar>
                    <w:left w:w="72" w:type="dxa"/>
                    <w:right w:w="72" w:type="dxa"/>
                  </w:tcMar>
                  <w:vAlign w:val="bottom"/>
                </w:tcPr>
                <w:p w14:paraId="11C2B830" w14:textId="77777777" w:rsidR="00DF6008" w:rsidRPr="005D4222" w:rsidRDefault="00DF6008" w:rsidP="00A53E8C">
                  <w:pPr>
                    <w:pStyle w:val="TableHead"/>
                    <w:rPr>
                      <w:rFonts w:eastAsia="Arial Narrow"/>
                      <w:color w:val="auto"/>
                    </w:rPr>
                  </w:pPr>
                  <w:r w:rsidRPr="005D4222">
                    <w:rPr>
                      <w:rFonts w:eastAsia="Arial Narrow"/>
                      <w:color w:val="auto"/>
                    </w:rPr>
                    <w:t>Reporting Instructions</w:t>
                  </w:r>
                </w:p>
              </w:tc>
            </w:tr>
            <w:tr w:rsidR="00DF6008" w:rsidRPr="005D4222" w14:paraId="26B761B2" w14:textId="77777777" w:rsidTr="00A53E8C">
              <w:trPr>
                <w:cantSplit/>
                <w:trHeight w:val="355"/>
              </w:trPr>
              <w:tc>
                <w:tcPr>
                  <w:tcW w:w="2437" w:type="dxa"/>
                  <w:tcBorders>
                    <w:top w:val="single" w:sz="4" w:space="0" w:color="auto"/>
                    <w:bottom w:val="single" w:sz="4" w:space="0" w:color="auto"/>
                  </w:tcBorders>
                  <w:tcMar>
                    <w:left w:w="72" w:type="dxa"/>
                    <w:right w:w="72" w:type="dxa"/>
                  </w:tcMar>
                </w:tcPr>
                <w:p w14:paraId="619A4791" w14:textId="77777777" w:rsidR="00DF6008" w:rsidRPr="005D4222" w:rsidRDefault="00DF6008" w:rsidP="00A53E8C">
                  <w:pPr>
                    <w:pStyle w:val="TableText"/>
                    <w:rPr>
                      <w:rFonts w:eastAsia="Arial Narrow"/>
                      <w:szCs w:val="21"/>
                    </w:rPr>
                  </w:pPr>
                  <w:r w:rsidRPr="005D4222">
                    <w:rPr>
                      <w:szCs w:val="21"/>
                    </w:rPr>
                    <w:t>HospitalizationWithin30Days</w:t>
                  </w:r>
                </w:p>
              </w:tc>
              <w:tc>
                <w:tcPr>
                  <w:tcW w:w="990" w:type="dxa"/>
                  <w:tcMar>
                    <w:left w:w="72" w:type="dxa"/>
                    <w:right w:w="72" w:type="dxa"/>
                  </w:tcMar>
                </w:tcPr>
                <w:p w14:paraId="76B862A9" w14:textId="77777777" w:rsidR="00DF6008" w:rsidRPr="005D4222" w:rsidRDefault="00DF6008" w:rsidP="00A53E8C">
                  <w:pPr>
                    <w:pStyle w:val="TableText"/>
                    <w:rPr>
                      <w:rFonts w:eastAsia="Arial Narrow"/>
                      <w:szCs w:val="21"/>
                    </w:rPr>
                  </w:pPr>
                  <w:r w:rsidRPr="005D4222">
                    <w:rPr>
                      <w:szCs w:val="21"/>
                    </w:rPr>
                    <w:t>65-74</w:t>
                  </w:r>
                </w:p>
              </w:tc>
              <w:tc>
                <w:tcPr>
                  <w:tcW w:w="1440" w:type="dxa"/>
                  <w:tcBorders>
                    <w:bottom w:val="single" w:sz="4" w:space="0" w:color="auto"/>
                  </w:tcBorders>
                  <w:tcMar>
                    <w:left w:w="72" w:type="dxa"/>
                    <w:right w:w="72" w:type="dxa"/>
                  </w:tcMar>
                </w:tcPr>
                <w:p w14:paraId="1AADD732" w14:textId="77777777" w:rsidR="00DF6008" w:rsidRPr="005D4222" w:rsidRDefault="00DF6008" w:rsidP="00A53E8C">
                  <w:pPr>
                    <w:pStyle w:val="TableText"/>
                    <w:rPr>
                      <w:rFonts w:eastAsia="Arial Narrow"/>
                      <w:szCs w:val="21"/>
                    </w:rPr>
                  </w:pPr>
                  <w:r w:rsidRPr="005D4222">
                    <w:rPr>
                      <w:rFonts w:eastAsia="Arial Narrow"/>
                      <w:szCs w:val="21"/>
                    </w:rPr>
                    <w:t>Denominator</w:t>
                  </w:r>
                </w:p>
              </w:tc>
              <w:tc>
                <w:tcPr>
                  <w:tcW w:w="2521" w:type="dxa"/>
                  <w:tcBorders>
                    <w:bottom w:val="single" w:sz="4" w:space="0" w:color="auto"/>
                  </w:tcBorders>
                  <w:tcMar>
                    <w:left w:w="72" w:type="dxa"/>
                    <w:right w:w="72" w:type="dxa"/>
                  </w:tcMar>
                </w:tcPr>
                <w:p w14:paraId="1A255EED" w14:textId="77777777" w:rsidR="00DF6008" w:rsidRPr="005D4222" w:rsidRDefault="00DF6008" w:rsidP="00A53E8C">
                  <w:pPr>
                    <w:pStyle w:val="TableText"/>
                    <w:rPr>
                      <w:rFonts w:eastAsia="Arial Narrow"/>
                      <w:szCs w:val="21"/>
                    </w:rPr>
                  </w:pPr>
                  <w:r w:rsidRPr="005D4222">
                    <w:rPr>
                      <w:rFonts w:eastAsia="Arial Narrow"/>
                      <w:szCs w:val="21"/>
                    </w:rPr>
                    <w:t>For each Stratification, repeat per Metric</w:t>
                  </w:r>
                </w:p>
              </w:tc>
            </w:tr>
            <w:tr w:rsidR="00DF6008" w:rsidRPr="005D4222" w14:paraId="58BAC9D1" w14:textId="77777777" w:rsidTr="00A53E8C">
              <w:trPr>
                <w:cantSplit/>
                <w:trHeight w:val="355"/>
              </w:trPr>
              <w:tc>
                <w:tcPr>
                  <w:tcW w:w="2437" w:type="dxa"/>
                  <w:tcBorders>
                    <w:bottom w:val="single" w:sz="4" w:space="0" w:color="auto"/>
                  </w:tcBorders>
                  <w:tcMar>
                    <w:left w:w="72" w:type="dxa"/>
                    <w:right w:w="72" w:type="dxa"/>
                  </w:tcMar>
                </w:tcPr>
                <w:p w14:paraId="642BBAF6" w14:textId="77777777" w:rsidR="00DF6008" w:rsidRPr="005D4222" w:rsidRDefault="00DF6008" w:rsidP="00A53E8C">
                  <w:pPr>
                    <w:pStyle w:val="TableText"/>
                    <w:rPr>
                      <w:rFonts w:eastAsia="Arial Narrow"/>
                      <w:szCs w:val="21"/>
                    </w:rPr>
                  </w:pPr>
                  <w:r w:rsidRPr="005D4222">
                    <w:rPr>
                      <w:szCs w:val="21"/>
                    </w:rPr>
                    <w:t>HospitalizationWithin60Days</w:t>
                  </w:r>
                </w:p>
              </w:tc>
              <w:tc>
                <w:tcPr>
                  <w:tcW w:w="990" w:type="dxa"/>
                  <w:tcBorders>
                    <w:bottom w:val="single" w:sz="4" w:space="0" w:color="auto"/>
                  </w:tcBorders>
                  <w:tcMar>
                    <w:left w:w="72" w:type="dxa"/>
                    <w:right w:w="72" w:type="dxa"/>
                  </w:tcMar>
                </w:tcPr>
                <w:p w14:paraId="7CB04C46" w14:textId="77777777" w:rsidR="00DF6008" w:rsidRPr="005D4222" w:rsidRDefault="00DF6008" w:rsidP="00A53E8C">
                  <w:pPr>
                    <w:pStyle w:val="TableText"/>
                    <w:rPr>
                      <w:rFonts w:eastAsia="Arial Narrow"/>
                      <w:szCs w:val="21"/>
                    </w:rPr>
                  </w:pPr>
                  <w:r w:rsidRPr="005D4222">
                    <w:rPr>
                      <w:szCs w:val="21"/>
                    </w:rPr>
                    <w:t>75-84</w:t>
                  </w:r>
                </w:p>
              </w:tc>
              <w:tc>
                <w:tcPr>
                  <w:tcW w:w="1440" w:type="dxa"/>
                  <w:tcBorders>
                    <w:bottom w:val="single" w:sz="4" w:space="0" w:color="auto"/>
                  </w:tcBorders>
                  <w:shd w:val="clear" w:color="auto" w:fill="FFFFFF" w:themeFill="background1"/>
                  <w:tcMar>
                    <w:left w:w="72" w:type="dxa"/>
                    <w:right w:w="72" w:type="dxa"/>
                  </w:tcMar>
                </w:tcPr>
                <w:p w14:paraId="126B22A0" w14:textId="77777777" w:rsidR="00DF6008" w:rsidRPr="005D4222" w:rsidRDefault="00DF6008" w:rsidP="00A53E8C">
                  <w:pPr>
                    <w:pStyle w:val="TableText"/>
                    <w:rPr>
                      <w:rFonts w:eastAsia="Arial Narrow"/>
                      <w:szCs w:val="21"/>
                    </w:rPr>
                  </w:pPr>
                  <w:r w:rsidRPr="005D4222">
                    <w:rPr>
                      <w:szCs w:val="21"/>
                    </w:rPr>
                    <w:t>ObservedCount</w:t>
                  </w:r>
                </w:p>
              </w:tc>
              <w:tc>
                <w:tcPr>
                  <w:tcW w:w="2521" w:type="dxa"/>
                  <w:tcBorders>
                    <w:bottom w:val="single" w:sz="4" w:space="0" w:color="auto"/>
                  </w:tcBorders>
                  <w:shd w:val="clear" w:color="auto" w:fill="FFFFFF" w:themeFill="background1"/>
                  <w:tcMar>
                    <w:left w:w="72" w:type="dxa"/>
                    <w:right w:w="72" w:type="dxa"/>
                  </w:tcMar>
                </w:tcPr>
                <w:p w14:paraId="331C1E15" w14:textId="77777777" w:rsidR="00DF6008" w:rsidRPr="005D4222" w:rsidRDefault="00DF6008" w:rsidP="00A53E8C">
                  <w:pPr>
                    <w:pStyle w:val="TableText"/>
                    <w:rPr>
                      <w:rFonts w:eastAsia="Arial Narrow"/>
                      <w:szCs w:val="21"/>
                    </w:rPr>
                  </w:pPr>
                  <w:r w:rsidRPr="005D4222">
                    <w:rPr>
                      <w:rFonts w:eastAsia="Arial Narrow"/>
                      <w:szCs w:val="21"/>
                    </w:rPr>
                    <w:t>For each Metric and Stratification</w:t>
                  </w:r>
                </w:p>
              </w:tc>
            </w:tr>
            <w:tr w:rsidR="00DF6008" w:rsidRPr="005D4222" w14:paraId="5710149F" w14:textId="77777777" w:rsidTr="00A53E8C">
              <w:trPr>
                <w:cantSplit/>
                <w:trHeight w:val="368"/>
              </w:trPr>
              <w:tc>
                <w:tcPr>
                  <w:tcW w:w="2437" w:type="dxa"/>
                  <w:tcBorders>
                    <w:top w:val="single" w:sz="4" w:space="0" w:color="auto"/>
                    <w:left w:val="nil"/>
                    <w:bottom w:val="nil"/>
                    <w:right w:val="single" w:sz="4" w:space="0" w:color="auto"/>
                  </w:tcBorders>
                  <w:tcMar>
                    <w:left w:w="72" w:type="dxa"/>
                    <w:right w:w="72" w:type="dxa"/>
                  </w:tcMar>
                  <w:vAlign w:val="bottom"/>
                </w:tcPr>
                <w:p w14:paraId="10DD4DFD" w14:textId="77777777" w:rsidR="00DF6008" w:rsidRPr="005D4222" w:rsidRDefault="00DF6008" w:rsidP="00A53E8C">
                  <w:pPr>
                    <w:pStyle w:val="TableText"/>
                    <w:rPr>
                      <w:rFonts w:eastAsia="Arial Narrow"/>
                    </w:rPr>
                  </w:pPr>
                </w:p>
              </w:tc>
              <w:tc>
                <w:tcPr>
                  <w:tcW w:w="990" w:type="dxa"/>
                  <w:tcBorders>
                    <w:left w:val="single" w:sz="4" w:space="0" w:color="auto"/>
                    <w:bottom w:val="single" w:sz="4" w:space="0" w:color="auto"/>
                    <w:right w:val="single" w:sz="4" w:space="0" w:color="auto"/>
                  </w:tcBorders>
                  <w:tcMar>
                    <w:left w:w="72" w:type="dxa"/>
                    <w:right w:w="72" w:type="dxa"/>
                  </w:tcMar>
                </w:tcPr>
                <w:p w14:paraId="1505AE71" w14:textId="77777777" w:rsidR="00DF6008" w:rsidRPr="005D4222" w:rsidRDefault="00DF6008" w:rsidP="00A53E8C">
                  <w:pPr>
                    <w:pStyle w:val="TableText"/>
                    <w:rPr>
                      <w:rFonts w:eastAsia="Arial Narrow"/>
                      <w:szCs w:val="21"/>
                    </w:rPr>
                  </w:pPr>
                  <w:r w:rsidRPr="005D4222">
                    <w:rPr>
                      <w:szCs w:val="21"/>
                    </w:rPr>
                    <w:t>85+</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1601DC20" w14:textId="77777777" w:rsidR="00DF6008" w:rsidRPr="005D4222" w:rsidRDefault="00DF6008" w:rsidP="00A53E8C">
                  <w:pPr>
                    <w:pStyle w:val="TableText"/>
                    <w:rPr>
                      <w:rFonts w:eastAsia="Arial Narrow"/>
                      <w:szCs w:val="21"/>
                    </w:rPr>
                  </w:pPr>
                  <w:r w:rsidRPr="005D4222">
                    <w:rPr>
                      <w:szCs w:val="21"/>
                    </w:rPr>
                    <w:t>ObservedRate</w:t>
                  </w:r>
                </w:p>
              </w:tc>
              <w:tc>
                <w:tcPr>
                  <w:tcW w:w="252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60667E81" w14:textId="77777777" w:rsidR="00DF6008" w:rsidRPr="005D4222" w:rsidRDefault="00DF6008" w:rsidP="00A53E8C">
                  <w:pPr>
                    <w:pStyle w:val="TableText"/>
                    <w:rPr>
                      <w:rFonts w:eastAsia="Arial Narrow"/>
                      <w:szCs w:val="21"/>
                    </w:rPr>
                  </w:pPr>
                  <w:r w:rsidRPr="005D4222">
                    <w:rPr>
                      <w:rFonts w:eastAsia="Arial Narrow"/>
                      <w:szCs w:val="21"/>
                    </w:rPr>
                    <w:t>ObservedCount / Denominator (Percent)</w:t>
                  </w:r>
                </w:p>
              </w:tc>
            </w:tr>
            <w:tr w:rsidR="00DF6008" w:rsidRPr="005D4222" w14:paraId="2F5905CA" w14:textId="77777777" w:rsidTr="00A53E8C">
              <w:trPr>
                <w:cantSplit/>
                <w:trHeight w:val="355"/>
              </w:trPr>
              <w:tc>
                <w:tcPr>
                  <w:tcW w:w="2437" w:type="dxa"/>
                  <w:tcBorders>
                    <w:top w:val="nil"/>
                    <w:left w:val="nil"/>
                    <w:bottom w:val="nil"/>
                    <w:right w:val="single" w:sz="4" w:space="0" w:color="000000" w:themeColor="text1"/>
                  </w:tcBorders>
                  <w:tcMar>
                    <w:left w:w="72" w:type="dxa"/>
                    <w:right w:w="72" w:type="dxa"/>
                  </w:tcMar>
                  <w:vAlign w:val="bottom"/>
                </w:tcPr>
                <w:p w14:paraId="1EF3F7F9" w14:textId="77777777" w:rsidR="00DF6008" w:rsidRPr="005D4222" w:rsidRDefault="00DF6008" w:rsidP="00A53E8C">
                  <w:pPr>
                    <w:pStyle w:val="TableText"/>
                  </w:pPr>
                </w:p>
              </w:tc>
              <w:tc>
                <w:tcPr>
                  <w:tcW w:w="99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72" w:type="dxa"/>
                    <w:right w:w="72" w:type="dxa"/>
                  </w:tcMar>
                </w:tcPr>
                <w:p w14:paraId="107CC7A1" w14:textId="77777777" w:rsidR="00DF6008" w:rsidRPr="005D4222" w:rsidRDefault="00DF6008" w:rsidP="00A53E8C">
                  <w:pPr>
                    <w:pStyle w:val="TableText"/>
                    <w:rPr>
                      <w:rFonts w:eastAsia="Arial Narrow"/>
                      <w:szCs w:val="21"/>
                    </w:rPr>
                  </w:pPr>
                  <w:r w:rsidRPr="005D4222">
                    <w:rPr>
                      <w:szCs w:val="21"/>
                    </w:rPr>
                    <w:t>Total</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1E03197F" w14:textId="77777777" w:rsidR="00DF6008" w:rsidRPr="005D4222" w:rsidRDefault="00DF6008" w:rsidP="00A53E8C">
                  <w:pPr>
                    <w:pStyle w:val="TableText"/>
                    <w:rPr>
                      <w:rFonts w:eastAsia="Arial Narrow"/>
                      <w:szCs w:val="21"/>
                    </w:rPr>
                  </w:pPr>
                  <w:r w:rsidRPr="005D4222">
                    <w:rPr>
                      <w:szCs w:val="21"/>
                    </w:rPr>
                    <w:t>ExpectedCount</w:t>
                  </w:r>
                </w:p>
              </w:tc>
              <w:tc>
                <w:tcPr>
                  <w:tcW w:w="2521"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77F5E4D7" w14:textId="77777777" w:rsidR="00DF6008" w:rsidRPr="005D4222" w:rsidRDefault="00DF6008" w:rsidP="00A53E8C">
                  <w:pPr>
                    <w:pStyle w:val="TableText"/>
                    <w:rPr>
                      <w:rFonts w:eastAsia="Arial Narrow"/>
                      <w:szCs w:val="21"/>
                    </w:rPr>
                  </w:pPr>
                  <w:r w:rsidRPr="005D4222">
                    <w:rPr>
                      <w:rFonts w:eastAsia="Arial Narrow"/>
                      <w:szCs w:val="21"/>
                    </w:rPr>
                    <w:t>For each Metric and Stratification</w:t>
                  </w:r>
                </w:p>
              </w:tc>
            </w:tr>
            <w:tr w:rsidR="00DF6008" w:rsidRPr="005D4222" w14:paraId="69C7ACC8" w14:textId="77777777" w:rsidTr="00A53E8C">
              <w:trPr>
                <w:cantSplit/>
                <w:trHeight w:val="368"/>
              </w:trPr>
              <w:tc>
                <w:tcPr>
                  <w:tcW w:w="2437" w:type="dxa"/>
                  <w:tcBorders>
                    <w:top w:val="nil"/>
                    <w:left w:val="nil"/>
                    <w:bottom w:val="nil"/>
                    <w:right w:val="nil"/>
                  </w:tcBorders>
                  <w:tcMar>
                    <w:left w:w="72" w:type="dxa"/>
                    <w:right w:w="72" w:type="dxa"/>
                  </w:tcMar>
                  <w:vAlign w:val="bottom"/>
                </w:tcPr>
                <w:p w14:paraId="053FEFA0" w14:textId="77777777" w:rsidR="00DF6008" w:rsidRPr="005D4222" w:rsidRDefault="00DF6008" w:rsidP="00A53E8C">
                  <w:pPr>
                    <w:pStyle w:val="TableText"/>
                  </w:pPr>
                </w:p>
              </w:tc>
              <w:tc>
                <w:tcPr>
                  <w:tcW w:w="990" w:type="dxa"/>
                  <w:tcBorders>
                    <w:top w:val="single" w:sz="4" w:space="0" w:color="000000" w:themeColor="text1"/>
                    <w:left w:val="nil"/>
                    <w:bottom w:val="nil"/>
                    <w:right w:val="nil"/>
                  </w:tcBorders>
                  <w:shd w:val="clear" w:color="auto" w:fill="FFFFFF" w:themeFill="background1"/>
                  <w:tcMar>
                    <w:left w:w="72" w:type="dxa"/>
                    <w:right w:w="72" w:type="dxa"/>
                  </w:tcMar>
                </w:tcPr>
                <w:p w14:paraId="00D88D6B" w14:textId="77777777" w:rsidR="00DF6008" w:rsidRPr="005D4222" w:rsidRDefault="00DF6008" w:rsidP="00A53E8C">
                  <w:pPr>
                    <w:pStyle w:val="TableText"/>
                  </w:pP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0EB5EF81" w14:textId="77777777" w:rsidR="00DF6008" w:rsidRPr="005D4222" w:rsidRDefault="00DF6008" w:rsidP="00A53E8C">
                  <w:pPr>
                    <w:pStyle w:val="TableText"/>
                    <w:rPr>
                      <w:szCs w:val="21"/>
                    </w:rPr>
                  </w:pPr>
                  <w:r w:rsidRPr="005D4222">
                    <w:rPr>
                      <w:szCs w:val="21"/>
                    </w:rPr>
                    <w:t>ExpectedRate</w:t>
                  </w:r>
                </w:p>
              </w:tc>
              <w:tc>
                <w:tcPr>
                  <w:tcW w:w="252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74B1F317" w14:textId="77777777" w:rsidR="00DF6008" w:rsidRPr="005D4222" w:rsidRDefault="00DF6008" w:rsidP="00A53E8C">
                  <w:pPr>
                    <w:pStyle w:val="TableText"/>
                    <w:rPr>
                      <w:rFonts w:eastAsia="Arial Narrow"/>
                      <w:szCs w:val="21"/>
                    </w:rPr>
                  </w:pPr>
                  <w:r w:rsidRPr="005D4222">
                    <w:rPr>
                      <w:rFonts w:eastAsia="Arial Narrow"/>
                      <w:szCs w:val="21"/>
                    </w:rPr>
                    <w:t>ExpectedCount / Denominator (Percent)</w:t>
                  </w:r>
                </w:p>
              </w:tc>
            </w:tr>
            <w:tr w:rsidR="00DF6008" w:rsidRPr="005D4222" w14:paraId="378F75E6" w14:textId="77777777" w:rsidTr="00A53E8C">
              <w:trPr>
                <w:cantSplit/>
                <w:trHeight w:val="355"/>
              </w:trPr>
              <w:tc>
                <w:tcPr>
                  <w:tcW w:w="2437" w:type="dxa"/>
                  <w:tcBorders>
                    <w:top w:val="nil"/>
                    <w:left w:val="nil"/>
                    <w:bottom w:val="nil"/>
                    <w:right w:val="nil"/>
                  </w:tcBorders>
                  <w:tcMar>
                    <w:left w:w="72" w:type="dxa"/>
                    <w:right w:w="72" w:type="dxa"/>
                  </w:tcMar>
                  <w:vAlign w:val="bottom"/>
                </w:tcPr>
                <w:p w14:paraId="2C3C5AC9" w14:textId="77777777" w:rsidR="00DF6008" w:rsidRPr="005D4222" w:rsidRDefault="00DF6008" w:rsidP="00A53E8C">
                  <w:pPr>
                    <w:pStyle w:val="TableText"/>
                  </w:pPr>
                </w:p>
              </w:tc>
              <w:tc>
                <w:tcPr>
                  <w:tcW w:w="990" w:type="dxa"/>
                  <w:tcBorders>
                    <w:top w:val="nil"/>
                    <w:left w:val="nil"/>
                    <w:bottom w:val="nil"/>
                    <w:right w:val="nil"/>
                  </w:tcBorders>
                  <w:shd w:val="clear" w:color="auto" w:fill="FFFFFF" w:themeFill="background1"/>
                  <w:tcMar>
                    <w:left w:w="72" w:type="dxa"/>
                    <w:right w:w="72" w:type="dxa"/>
                  </w:tcMar>
                </w:tcPr>
                <w:p w14:paraId="22739A9A" w14:textId="77777777" w:rsidR="00DF6008" w:rsidRPr="005D4222" w:rsidRDefault="00DF6008" w:rsidP="00A53E8C">
                  <w:pPr>
                    <w:pStyle w:val="TableText"/>
                  </w:pP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47FEC7A8" w14:textId="77777777" w:rsidR="00DF6008" w:rsidRPr="005D4222" w:rsidRDefault="00DF6008" w:rsidP="00A53E8C">
                  <w:pPr>
                    <w:pStyle w:val="TableText"/>
                    <w:rPr>
                      <w:szCs w:val="21"/>
                    </w:rPr>
                  </w:pPr>
                  <w:r w:rsidRPr="005D4222">
                    <w:rPr>
                      <w:szCs w:val="21"/>
                    </w:rPr>
                    <w:t>CountVariance</w:t>
                  </w:r>
                </w:p>
              </w:tc>
              <w:tc>
                <w:tcPr>
                  <w:tcW w:w="2521"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143E5D56" w14:textId="77777777" w:rsidR="00DF6008" w:rsidRPr="005D4222" w:rsidRDefault="00DF6008" w:rsidP="00A53E8C">
                  <w:pPr>
                    <w:pStyle w:val="TableText"/>
                    <w:rPr>
                      <w:rFonts w:eastAsia="Arial Narrow"/>
                      <w:szCs w:val="21"/>
                    </w:rPr>
                  </w:pPr>
                  <w:r w:rsidRPr="005D4222">
                    <w:rPr>
                      <w:rFonts w:eastAsia="Arial Narrow"/>
                      <w:szCs w:val="21"/>
                    </w:rPr>
                    <w:t>For each Metric and Stratification</w:t>
                  </w:r>
                </w:p>
              </w:tc>
            </w:tr>
            <w:tr w:rsidR="00DF6008" w:rsidRPr="005D4222" w14:paraId="14B00EA8" w14:textId="77777777" w:rsidTr="00A53E8C">
              <w:trPr>
                <w:cantSplit/>
                <w:trHeight w:val="381"/>
              </w:trPr>
              <w:tc>
                <w:tcPr>
                  <w:tcW w:w="2437" w:type="dxa"/>
                  <w:tcBorders>
                    <w:top w:val="nil"/>
                    <w:left w:val="nil"/>
                    <w:bottom w:val="nil"/>
                    <w:right w:val="nil"/>
                  </w:tcBorders>
                  <w:tcMar>
                    <w:left w:w="72" w:type="dxa"/>
                    <w:right w:w="72" w:type="dxa"/>
                  </w:tcMar>
                  <w:vAlign w:val="bottom"/>
                </w:tcPr>
                <w:p w14:paraId="15AAC13D" w14:textId="77777777" w:rsidR="00DF6008" w:rsidRPr="005D4222" w:rsidRDefault="00DF6008" w:rsidP="00A53E8C">
                  <w:pPr>
                    <w:pStyle w:val="TableText"/>
                    <w:rPr>
                      <w:rFonts w:ascii="Calibri" w:hAnsi="Calibri" w:cs="Calibri"/>
                      <w:sz w:val="22"/>
                      <w:szCs w:val="22"/>
                    </w:rPr>
                  </w:pPr>
                </w:p>
              </w:tc>
              <w:tc>
                <w:tcPr>
                  <w:tcW w:w="990" w:type="dxa"/>
                  <w:tcBorders>
                    <w:top w:val="nil"/>
                    <w:left w:val="nil"/>
                    <w:bottom w:val="nil"/>
                    <w:right w:val="nil"/>
                  </w:tcBorders>
                  <w:shd w:val="clear" w:color="auto" w:fill="FFFFFF" w:themeFill="background1"/>
                  <w:tcMar>
                    <w:left w:w="72" w:type="dxa"/>
                    <w:right w:w="72" w:type="dxa"/>
                  </w:tcMar>
                </w:tcPr>
                <w:p w14:paraId="52C3FBFA" w14:textId="77777777" w:rsidR="00DF6008" w:rsidRPr="005D4222" w:rsidRDefault="00DF6008" w:rsidP="00A53E8C">
                  <w:pPr>
                    <w:pStyle w:val="TableText"/>
                  </w:pP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43A69636" w14:textId="77777777" w:rsidR="00DF6008" w:rsidRPr="005D4222" w:rsidRDefault="00DF6008" w:rsidP="00A53E8C">
                  <w:pPr>
                    <w:pStyle w:val="TableText"/>
                    <w:rPr>
                      <w:szCs w:val="21"/>
                    </w:rPr>
                  </w:pPr>
                  <w:r w:rsidRPr="005D4222">
                    <w:rPr>
                      <w:szCs w:val="21"/>
                    </w:rPr>
                    <w:t>OE</w:t>
                  </w:r>
                </w:p>
              </w:tc>
              <w:tc>
                <w:tcPr>
                  <w:tcW w:w="252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68DD8123" w14:textId="77777777" w:rsidR="00DF6008" w:rsidRPr="005D4222" w:rsidRDefault="00DF6008" w:rsidP="00A53E8C">
                  <w:pPr>
                    <w:pStyle w:val="TableText"/>
                    <w:rPr>
                      <w:rFonts w:eastAsia="Arial Narrow"/>
                      <w:szCs w:val="21"/>
                    </w:rPr>
                  </w:pPr>
                  <w:r w:rsidRPr="005D4222">
                    <w:rPr>
                      <w:rFonts w:eastAsia="Arial Narrow"/>
                      <w:szCs w:val="21"/>
                    </w:rPr>
                    <w:t>ObservedCount / ExpectedCount</w:t>
                  </w:r>
                </w:p>
              </w:tc>
            </w:tr>
          </w:tbl>
          <w:p w14:paraId="412F0EEF" w14:textId="77777777" w:rsidR="00DF6008" w:rsidRPr="005D4222" w:rsidRDefault="00DF6008" w:rsidP="00A53E8C">
            <w:pPr>
              <w:pStyle w:val="ECDSBody"/>
              <w:rPr>
                <w:b/>
                <w:bCs w:val="0"/>
                <w:i/>
                <w:iCs/>
              </w:rPr>
            </w:pPr>
          </w:p>
        </w:tc>
      </w:tr>
      <w:tr w:rsidR="006439AD" w:rsidRPr="005D4222" w14:paraId="59D2B913" w14:textId="77777777" w:rsidTr="00F03990">
        <w:tblPrEx>
          <w:tblCellMar>
            <w:top w:w="40" w:type="dxa"/>
          </w:tblCellMar>
        </w:tblPrEx>
        <w:tc>
          <w:tcPr>
            <w:tcW w:w="2159"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25AEB4E" w14:textId="77777777" w:rsidR="00DF6008" w:rsidRPr="005D4222" w:rsidRDefault="00DF6008" w:rsidP="00A53E8C">
            <w:pPr>
              <w:pStyle w:val="ECDSMarginHead"/>
            </w:pPr>
            <w:r w:rsidRPr="005D4222">
              <w:t>Rules for Allowable Adjustments</w:t>
            </w:r>
          </w:p>
        </w:tc>
        <w:tc>
          <w:tcPr>
            <w:tcW w:w="7561"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501BE3E" w14:textId="77777777" w:rsidR="00DF6008" w:rsidRPr="005D4222" w:rsidRDefault="00DF6008" w:rsidP="00A53E8C">
            <w:pPr>
              <w:pStyle w:val="ECDSBody"/>
            </w:pPr>
            <w:r w:rsidRPr="005D4222">
              <w:rPr>
                <w:b/>
                <w:i/>
                <w:iCs/>
              </w:rPr>
              <w:t xml:space="preserve">Copyright and use: </w:t>
            </w:r>
            <w:r w:rsidRPr="005D4222">
              <w:t xml:space="preserve">The “Rules for Allowable Adjustments of HEDIS” (the “Rules”) describe how NCQA’s HEDIS measure specifications can be adjusted for other populations, if applicable. The </w:t>
            </w:r>
            <w:r w:rsidRPr="005D4222" w:rsidDel="00D14268">
              <w:t>R</w:t>
            </w:r>
            <w:r w:rsidRPr="005D4222">
              <w:t xml:space="preserve">ules, reviewed and approved by NCQA measure experts, provide for expanded use of HEDIS measures without changing their clinical intent.  </w:t>
            </w:r>
          </w:p>
          <w:p w14:paraId="6EEC1F1F" w14:textId="77777777" w:rsidR="00DF6008" w:rsidRPr="005D4222" w:rsidRDefault="00DF6008" w:rsidP="00A53E8C">
            <w:pPr>
              <w:pStyle w:val="ECDSBody"/>
            </w:pPr>
            <w:r w:rsidRPr="005D4222">
              <w:rPr>
                <w:b/>
              </w:rPr>
              <w:t xml:space="preserve">Adjusted HEDIS measures </w:t>
            </w:r>
            <w:r w:rsidRPr="005D4222">
              <w:rPr>
                <w:b/>
                <w:i/>
                <w:iCs/>
              </w:rPr>
              <w:t>may not</w:t>
            </w:r>
            <w:r w:rsidRPr="005D4222">
              <w:rPr>
                <w:b/>
              </w:rPr>
              <w:t xml:space="preserve"> be used for HEDIS health plan reporting. </w:t>
            </w:r>
          </w:p>
          <w:p w14:paraId="7372D6DA" w14:textId="77777777" w:rsidR="00DF6008" w:rsidRPr="005D4222" w:rsidRDefault="00DF6008" w:rsidP="00A53E8C">
            <w:pPr>
              <w:pStyle w:val="ECDSBody"/>
            </w:pPr>
            <w:r w:rsidRPr="005D4222">
              <w:t xml:space="preserve">The measures under the Risk Adjusted Utilization domain allow two types of </w:t>
            </w:r>
            <w:r w:rsidRPr="005D4222">
              <w:rPr>
                <w:i/>
                <w:iCs/>
              </w:rPr>
              <w:t>Rules for Allowable Adjustments</w:t>
            </w:r>
            <w:r w:rsidRPr="005D4222">
              <w:t xml:space="preserve"> sections:</w:t>
            </w:r>
          </w:p>
          <w:p w14:paraId="17A96D4C" w14:textId="36121DBC" w:rsidR="00DF6008" w:rsidRPr="005D4222" w:rsidRDefault="00DF6008" w:rsidP="005D6173">
            <w:pPr>
              <w:pStyle w:val="Body"/>
              <w:numPr>
                <w:ilvl w:val="0"/>
                <w:numId w:val="113"/>
              </w:numPr>
              <w:spacing w:before="120" w:after="80"/>
              <w:ind w:left="648" w:hanging="288"/>
            </w:pPr>
            <w:r w:rsidRPr="005D4222">
              <w:rPr>
                <w:i/>
                <w:iCs/>
                <w:szCs w:val="21"/>
              </w:rPr>
              <w:t xml:space="preserve">Rules for Allowable Adjustments for Risk-Adjusted Measurement. </w:t>
            </w:r>
            <w:r w:rsidRPr="005D4222">
              <w:rPr>
                <w:szCs w:val="21"/>
              </w:rPr>
              <w:t xml:space="preserve">This section must be followed for adjustments when calculating the full measure specifications, which includes all risk adjusted rates (expected </w:t>
            </w:r>
          </w:p>
        </w:tc>
      </w:tr>
    </w:tbl>
    <w:p w14:paraId="30938ED2" w14:textId="77777777" w:rsidR="00835615" w:rsidRDefault="00835615">
      <w:r>
        <w:br w:type="page"/>
      </w:r>
    </w:p>
    <w:tbl>
      <w:tblPr>
        <w:tblW w:w="9720"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9"/>
        <w:gridCol w:w="7561"/>
      </w:tblGrid>
      <w:tr w:rsidR="006439AD" w:rsidRPr="005D4222" w14:paraId="208BCED6" w14:textId="77777777" w:rsidTr="00F03990">
        <w:tc>
          <w:tcPr>
            <w:tcW w:w="2159"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412FE26" w14:textId="77777777" w:rsidR="00DF6008" w:rsidRPr="005D4222" w:rsidRDefault="00DF6008" w:rsidP="00A53E8C">
            <w:pPr>
              <w:pStyle w:val="ECDSMarginHead"/>
            </w:pPr>
          </w:p>
        </w:tc>
        <w:tc>
          <w:tcPr>
            <w:tcW w:w="7561"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7ACAF06" w14:textId="06D81F62" w:rsidR="00DF6008" w:rsidRPr="005D4222" w:rsidRDefault="00835615" w:rsidP="00E77DAB">
            <w:pPr>
              <w:pStyle w:val="Body"/>
              <w:spacing w:before="120"/>
              <w:ind w:left="648"/>
              <w:rPr>
                <w:szCs w:val="21"/>
              </w:rPr>
            </w:pPr>
            <w:r w:rsidRPr="005D4222">
              <w:rPr>
                <w:szCs w:val="21"/>
              </w:rPr>
              <w:t xml:space="preserve">rates, risk adjustment, O/E) and calculation components (count of </w:t>
            </w:r>
            <w:r w:rsidR="00DF6008" w:rsidRPr="005D4222">
              <w:rPr>
                <w:szCs w:val="21"/>
              </w:rPr>
              <w:t xml:space="preserve">index stays, observed events). </w:t>
            </w:r>
          </w:p>
          <w:p w14:paraId="66C3745C" w14:textId="77777777" w:rsidR="00DF6008" w:rsidRPr="005D4222" w:rsidRDefault="00DF6008" w:rsidP="00A53E8C">
            <w:pPr>
              <w:pStyle w:val="Body"/>
              <w:spacing w:before="80"/>
              <w:ind w:left="648" w:hanging="288"/>
              <w:rPr>
                <w:szCs w:val="21"/>
              </w:rPr>
            </w:pPr>
            <w:r w:rsidRPr="005D4222">
              <w:rPr>
                <w:szCs w:val="21"/>
              </w:rPr>
              <w:t>2.</w:t>
            </w:r>
            <w:r w:rsidRPr="005D4222">
              <w:rPr>
                <w:szCs w:val="21"/>
              </w:rPr>
              <w:tab/>
            </w:r>
            <w:r w:rsidRPr="005D4222">
              <w:rPr>
                <w:i/>
                <w:iCs/>
                <w:szCs w:val="21"/>
              </w:rPr>
              <w:t xml:space="preserve">Rules for Allowable Adjustments for Observed Measurement (rates without risk adjustment). </w:t>
            </w:r>
            <w:r w:rsidRPr="005D4222">
              <w:rPr>
                <w:szCs w:val="21"/>
              </w:rPr>
              <w:t>This section must be followed when adjusting the calculation of observed events only. When applying these adjustments, organizations must not include risk adjustment logic.</w:t>
            </w:r>
          </w:p>
          <w:p w14:paraId="7353DEEF" w14:textId="77777777" w:rsidR="00DF6008" w:rsidRPr="005D4222" w:rsidRDefault="00DF6008" w:rsidP="00A53E8C">
            <w:pPr>
              <w:pStyle w:val="ECDSBody"/>
              <w:spacing w:before="80"/>
            </w:pPr>
            <w:r w:rsidRPr="005D4222">
              <w:t xml:space="preserve">The intent of including two types of </w:t>
            </w:r>
            <w:r w:rsidRPr="005D4222" w:rsidDel="009A4F33">
              <w:t>R</w:t>
            </w:r>
            <w:r w:rsidRPr="005D4222">
              <w:t>ules is to allow organizations to adjust measures without compromising measure validity. Risk adjustment is based on statistical prediction models specifically calibrated to each measure.</w:t>
            </w:r>
          </w:p>
          <w:p w14:paraId="739C7E24" w14:textId="3C3A0231" w:rsidR="00DF6008" w:rsidRPr="005D4222" w:rsidRDefault="00DF6008" w:rsidP="00A53E8C">
            <w:pPr>
              <w:pStyle w:val="ECDSBody"/>
              <w:rPr>
                <w:rFonts w:ascii="Segoe UI" w:hAnsi="Segoe UI" w:cs="Segoe UI"/>
              </w:rPr>
            </w:pPr>
            <w:r w:rsidRPr="005D4222">
              <w:rPr>
                <w:b/>
              </w:rPr>
              <w:t xml:space="preserve">The following </w:t>
            </w:r>
            <w:r w:rsidR="009D34B5" w:rsidRPr="005D4222">
              <w:rPr>
                <w:b/>
              </w:rPr>
              <w:t>are</w:t>
            </w:r>
            <w:r w:rsidRPr="005D4222">
              <w:rPr>
                <w:b/>
              </w:rPr>
              <w:t xml:space="preserve"> the Rules for Allowable Adjustments for</w:t>
            </w:r>
            <w:r w:rsidRPr="005D4222">
              <w:t xml:space="preserve"> </w:t>
            </w:r>
            <w:r w:rsidRPr="005D4222">
              <w:rPr>
                <w:b/>
                <w:u w:val="single"/>
              </w:rPr>
              <w:t>Risk-Adjusted</w:t>
            </w:r>
            <w:r w:rsidRPr="005D4222">
              <w:rPr>
                <w:u w:val="single"/>
              </w:rPr>
              <w:t xml:space="preserve"> </w:t>
            </w:r>
            <w:r w:rsidRPr="005D4222">
              <w:rPr>
                <w:b/>
                <w:u w:val="single"/>
              </w:rPr>
              <w:t>Measurement</w:t>
            </w:r>
            <w:r w:rsidRPr="005D4222">
              <w:t xml:space="preserve"> </w:t>
            </w:r>
            <w:r w:rsidRPr="005D4222">
              <w:rPr>
                <w:b/>
              </w:rPr>
              <w:t xml:space="preserve">of the </w:t>
            </w:r>
            <w:r w:rsidRPr="005D4222" w:rsidDel="008C6C7A">
              <w:rPr>
                <w:b/>
              </w:rPr>
              <w:t>Hospitalization Following Discharge From a Skilled Nursing Facility</w:t>
            </w:r>
            <w:r w:rsidRPr="005D4222">
              <w:rPr>
                <w:b/>
              </w:rPr>
              <w:t xml:space="preserve"> measure (count of SND, count of observed hospitalizations, risk adjustment determination, count of expected hospitalizations risk adjustment weighting, O/E ratio, variance</w:t>
            </w:r>
            <w:r w:rsidRPr="005D4222">
              <w:t>).</w:t>
            </w:r>
          </w:p>
          <w:p w14:paraId="55A02D14" w14:textId="77777777" w:rsidR="00DF6008" w:rsidRPr="005D4222" w:rsidRDefault="00DF6008" w:rsidP="00A53E8C">
            <w:pPr>
              <w:pStyle w:val="Adjustments"/>
            </w:pPr>
            <w:r w:rsidRPr="005D4222">
              <w:t>Adjustments</w:t>
            </w:r>
            <w:r w:rsidRPr="005D4222">
              <w:rPr>
                <w:bCs/>
              </w:rPr>
              <w:t xml:space="preserve"> a</w:t>
            </w:r>
            <w:r w:rsidRPr="005D4222">
              <w:t>llowed</w:t>
            </w:r>
          </w:p>
          <w:p w14:paraId="7CEE37CC" w14:textId="093880D6" w:rsidR="00DF6008" w:rsidRPr="005D4222" w:rsidRDefault="00362E76" w:rsidP="005D6173">
            <w:pPr>
              <w:pStyle w:val="ProcessBullet"/>
              <w:numPr>
                <w:ilvl w:val="0"/>
                <w:numId w:val="77"/>
              </w:numPr>
              <w:ind w:left="216" w:hanging="216"/>
              <w:rPr>
                <w:b/>
                <w:bCs/>
                <w:color w:val="000000" w:themeColor="text1"/>
              </w:rPr>
            </w:pPr>
            <w:r w:rsidRPr="005D4222">
              <w:rPr>
                <w:i/>
                <w:iCs/>
              </w:rPr>
              <w:t>Benefits.</w:t>
            </w:r>
            <w:r w:rsidR="00DF6008" w:rsidRPr="005D4222">
              <w:t xml:space="preserve"> Organizations are not required to use a benefit.</w:t>
            </w:r>
          </w:p>
          <w:p w14:paraId="59DF7DA7" w14:textId="432D1106" w:rsidR="00DF6008" w:rsidRPr="005D4222" w:rsidRDefault="00DF6008" w:rsidP="005D6173">
            <w:pPr>
              <w:pStyle w:val="ProcessBullet"/>
              <w:numPr>
                <w:ilvl w:val="0"/>
                <w:numId w:val="77"/>
              </w:numPr>
              <w:ind w:left="216" w:hanging="216"/>
              <w:rPr>
                <w:color w:val="000000" w:themeColor="text1"/>
              </w:rPr>
            </w:pPr>
            <w:r w:rsidRPr="005D4222">
              <w:rPr>
                <w:i/>
                <w:iCs/>
                <w:color w:val="000000" w:themeColor="text1"/>
              </w:rPr>
              <w:t>Telehealth</w:t>
            </w:r>
            <w:r w:rsidR="00DC72AB" w:rsidRPr="005D4222">
              <w:rPr>
                <w:i/>
                <w:iCs/>
                <w:color w:val="000000" w:themeColor="text1"/>
              </w:rPr>
              <w:t>.</w:t>
            </w:r>
            <w:r w:rsidRPr="005D4222">
              <w:rPr>
                <w:color w:val="000000" w:themeColor="text1"/>
              </w:rPr>
              <w:t xml:space="preserve"> Services/events that allow the use of synchronous telehealth visits, telephone visits and asynchronous telehealth (e-visits, virtual check-ins) may be stratified to identify services performed via telehealth. This adjustment is not allowed for </w:t>
            </w:r>
            <w:r w:rsidR="00F45777" w:rsidRPr="005D4222">
              <w:rPr>
                <w:color w:val="000000" w:themeColor="text1"/>
              </w:rPr>
              <w:t>events</w:t>
            </w:r>
            <w:r w:rsidRPr="005D4222">
              <w:rPr>
                <w:color w:val="000000" w:themeColor="text1"/>
              </w:rPr>
              <w:t>, numerators and exclusions that do not allow the use of telehealth.</w:t>
            </w:r>
          </w:p>
          <w:p w14:paraId="6DE442E9" w14:textId="77777777" w:rsidR="00DF6008" w:rsidRPr="005D4222" w:rsidRDefault="00DF6008" w:rsidP="00A53E8C">
            <w:pPr>
              <w:pStyle w:val="Adjustments"/>
            </w:pPr>
            <w:r w:rsidRPr="005D4222">
              <w:t xml:space="preserve">Adjustments </w:t>
            </w:r>
            <w:r w:rsidRPr="005D4222">
              <w:rPr>
                <w:bCs/>
              </w:rPr>
              <w:t>a</w:t>
            </w:r>
            <w:r w:rsidRPr="005D4222">
              <w:t xml:space="preserve">llowed with </w:t>
            </w:r>
            <w:r w:rsidRPr="005D4222">
              <w:rPr>
                <w:bCs/>
              </w:rPr>
              <w:t>l</w:t>
            </w:r>
            <w:r w:rsidRPr="005D4222">
              <w:t>imits</w:t>
            </w:r>
          </w:p>
          <w:p w14:paraId="68E7DD47" w14:textId="6A1D8DFD" w:rsidR="00DF6008" w:rsidRPr="005D4222" w:rsidRDefault="00DF6008" w:rsidP="005D6173">
            <w:pPr>
              <w:pStyle w:val="ProcessBullet"/>
              <w:numPr>
                <w:ilvl w:val="0"/>
                <w:numId w:val="98"/>
              </w:numPr>
              <w:ind w:left="216" w:hanging="216"/>
              <w:rPr>
                <w:color w:val="000000" w:themeColor="text1"/>
              </w:rPr>
            </w:pPr>
            <w:r w:rsidRPr="005D4222">
              <w:rPr>
                <w:i/>
                <w:iCs/>
                <w:color w:val="000000" w:themeColor="text1"/>
              </w:rPr>
              <w:t xml:space="preserve">Other. </w:t>
            </w:r>
            <w:r w:rsidRPr="005D4222">
              <w:rPr>
                <w:color w:val="000000" w:themeColor="text1"/>
              </w:rPr>
              <w:t xml:space="preserve">Organizations may only adjust the </w:t>
            </w:r>
            <w:r w:rsidR="00BC6978" w:rsidRPr="005D4222">
              <w:t>initial</w:t>
            </w:r>
            <w:r w:rsidRPr="005D4222">
              <w:t xml:space="preserve"> </w:t>
            </w:r>
            <w:r w:rsidRPr="005D4222">
              <w:rPr>
                <w:color w:val="000000" w:themeColor="text1"/>
              </w:rPr>
              <w:t>population criteria to focus on an area of interest defined by gender, sociodemographic characteristics or geographical region. NCQA recommends evaluating risk model performance and validity within adjusted populations. Organizations may not adjust for a clinical subpopulation (e.g., persons with a diabetes diagnosis).</w:t>
            </w:r>
          </w:p>
          <w:p w14:paraId="2220D7B8" w14:textId="77777777" w:rsidR="00DF6008" w:rsidRPr="005D4222" w:rsidRDefault="00DF6008" w:rsidP="005D6173">
            <w:pPr>
              <w:pStyle w:val="ProcessBullet"/>
              <w:numPr>
                <w:ilvl w:val="0"/>
                <w:numId w:val="98"/>
              </w:numPr>
              <w:ind w:left="216" w:hanging="216"/>
              <w:rPr>
                <w:b/>
                <w:bCs/>
                <w:color w:val="000000" w:themeColor="text1"/>
              </w:rPr>
            </w:pPr>
            <w:r w:rsidRPr="005D4222">
              <w:rPr>
                <w:i/>
                <w:iCs/>
              </w:rPr>
              <w:t>Measurement period adjustments.</w:t>
            </w:r>
            <w:r w:rsidRPr="005D4222">
              <w:t xml:space="preserve"> Organizations may only change the measurement period by 1 year.</w:t>
            </w:r>
          </w:p>
          <w:p w14:paraId="61006909" w14:textId="77777777" w:rsidR="00DF6008" w:rsidRPr="005D4222" w:rsidRDefault="00DF6008" w:rsidP="005D6173">
            <w:pPr>
              <w:pStyle w:val="ProcessBullet"/>
              <w:numPr>
                <w:ilvl w:val="0"/>
                <w:numId w:val="98"/>
              </w:numPr>
              <w:ind w:left="216" w:hanging="216"/>
            </w:pPr>
            <w:r w:rsidRPr="005D4222">
              <w:rPr>
                <w:i/>
              </w:rPr>
              <w:t>Denominator.</w:t>
            </w:r>
            <w:r w:rsidRPr="005D4222">
              <w:t xml:space="preserve"> </w:t>
            </w:r>
            <w:r w:rsidRPr="005D4222">
              <w:rPr>
                <w:color w:val="000000" w:themeColor="text1"/>
              </w:rPr>
              <w:t>Organizations may include denied claims to calculate the initial population</w:t>
            </w:r>
            <w:r w:rsidRPr="005D4222">
              <w:t xml:space="preserve">. The logic may not be changed. </w:t>
            </w:r>
          </w:p>
          <w:p w14:paraId="67CA6B23" w14:textId="77777777" w:rsidR="00DF6008" w:rsidRPr="005D4222" w:rsidRDefault="00DF6008" w:rsidP="005D6173">
            <w:pPr>
              <w:pStyle w:val="ProcessBullet"/>
              <w:numPr>
                <w:ilvl w:val="0"/>
                <w:numId w:val="98"/>
              </w:numPr>
              <w:spacing w:after="80"/>
              <w:ind w:left="216" w:hanging="216"/>
            </w:pPr>
            <w:r w:rsidRPr="005D4222">
              <w:rPr>
                <w:i/>
              </w:rPr>
              <w:t>Exclusions</w:t>
            </w:r>
            <w:r w:rsidRPr="005D4222">
              <w:t>. The LTI exclusion is not required and may be removed.</w:t>
            </w:r>
          </w:p>
          <w:p w14:paraId="5B7D1AFE" w14:textId="77777777" w:rsidR="00DF6008" w:rsidRPr="005D4222" w:rsidRDefault="00DF6008" w:rsidP="005D6173">
            <w:pPr>
              <w:pStyle w:val="ProcessBullet"/>
              <w:numPr>
                <w:ilvl w:val="0"/>
                <w:numId w:val="98"/>
              </w:numPr>
              <w:ind w:left="216" w:hanging="216"/>
              <w:rPr>
                <w:rFonts w:cs="Arial"/>
              </w:rPr>
            </w:pPr>
            <w:r w:rsidRPr="005D4222">
              <w:rPr>
                <w:rFonts w:cs="Arial"/>
                <w:i/>
              </w:rPr>
              <w:t xml:space="preserve">Risk adjustment determination, risk adjustment weighting, expected hospitalizations, variance. </w:t>
            </w:r>
            <w:r w:rsidRPr="005D4222">
              <w:rPr>
                <w:rFonts w:cs="Arial"/>
              </w:rPr>
              <w:t>Organizations may include denied claims to calculate these events.</w:t>
            </w:r>
            <w:r w:rsidRPr="005D4222">
              <w:t xml:space="preserve"> </w:t>
            </w:r>
            <w:r w:rsidRPr="005D4222">
              <w:rPr>
                <w:rFonts w:cs="Arial"/>
              </w:rPr>
              <w:t>Risk adjustment determinations, weighting and calculations of expected events logic may not be changed.</w:t>
            </w:r>
          </w:p>
          <w:p w14:paraId="69817716" w14:textId="70DE562A" w:rsidR="00DF6008" w:rsidRPr="005D4222" w:rsidRDefault="00DE550E" w:rsidP="005D6173">
            <w:pPr>
              <w:pStyle w:val="ProcessBullet"/>
              <w:numPr>
                <w:ilvl w:val="0"/>
                <w:numId w:val="98"/>
              </w:numPr>
              <w:spacing w:after="80"/>
              <w:ind w:left="216" w:hanging="216"/>
              <w:rPr>
                <w:b/>
                <w:i/>
                <w:iCs/>
              </w:rPr>
            </w:pPr>
            <w:r w:rsidRPr="005D4222">
              <w:rPr>
                <w:i/>
                <w:iCs/>
              </w:rPr>
              <w:t>Numerator.</w:t>
            </w:r>
            <w:r w:rsidR="00DF6008" w:rsidRPr="005D4222">
              <w:rPr>
                <w:i/>
              </w:rPr>
              <w:t xml:space="preserve"> </w:t>
            </w:r>
            <w:r w:rsidR="00DF6008" w:rsidRPr="005D4222">
              <w:rPr>
                <w:iCs/>
              </w:rPr>
              <w:t>Organizations may include denied claims to calculate the numerators.</w:t>
            </w:r>
            <w:r w:rsidR="00DF6008" w:rsidRPr="005D4222">
              <w:rPr>
                <w:i/>
              </w:rPr>
              <w:t xml:space="preserve"> </w:t>
            </w:r>
            <w:r w:rsidR="00DF6008" w:rsidRPr="005D4222">
              <w:t>Value sets and logic may not be changed.</w:t>
            </w:r>
          </w:p>
          <w:p w14:paraId="26C267A7" w14:textId="77777777" w:rsidR="00DF6008" w:rsidRPr="005D4222" w:rsidRDefault="00DF6008" w:rsidP="00A53E8C">
            <w:pPr>
              <w:pStyle w:val="Adjustments"/>
            </w:pPr>
            <w:r w:rsidRPr="005D4222">
              <w:t xml:space="preserve">Adjustments </w:t>
            </w:r>
            <w:r w:rsidRPr="005D4222">
              <w:rPr>
                <w:bCs/>
              </w:rPr>
              <w:t>not allowed</w:t>
            </w:r>
          </w:p>
          <w:p w14:paraId="0B0F3149" w14:textId="77777777" w:rsidR="00DF6008" w:rsidRPr="005D4222" w:rsidRDefault="00DF6008" w:rsidP="005D6173">
            <w:pPr>
              <w:pStyle w:val="ProcessBullet"/>
              <w:numPr>
                <w:ilvl w:val="0"/>
                <w:numId w:val="98"/>
              </w:numPr>
              <w:ind w:left="216" w:hanging="216"/>
              <w:rPr>
                <w:b/>
                <w:bCs/>
                <w:color w:val="000000" w:themeColor="text1"/>
              </w:rPr>
            </w:pPr>
            <w:r w:rsidRPr="005D4222">
              <w:rPr>
                <w:i/>
                <w:iCs/>
              </w:rPr>
              <w:t xml:space="preserve">Product lines. </w:t>
            </w:r>
            <w:r w:rsidRPr="005D4222">
              <w:t>Organizations may not adjust product lines.</w:t>
            </w:r>
          </w:p>
          <w:p w14:paraId="60E27929" w14:textId="77777777" w:rsidR="00DF6008" w:rsidRPr="005D4222" w:rsidRDefault="00DF6008" w:rsidP="005D6173">
            <w:pPr>
              <w:pStyle w:val="ProcessBullet"/>
              <w:numPr>
                <w:ilvl w:val="0"/>
                <w:numId w:val="98"/>
              </w:numPr>
              <w:ind w:left="216" w:hanging="216"/>
              <w:rPr>
                <w:b/>
                <w:bCs/>
                <w:color w:val="000000" w:themeColor="text1"/>
              </w:rPr>
            </w:pPr>
            <w:r w:rsidRPr="005D4222">
              <w:rPr>
                <w:i/>
                <w:iCs/>
              </w:rPr>
              <w:t>Attribution.</w:t>
            </w:r>
            <w:r w:rsidRPr="005D4222">
              <w:t xml:space="preserve"> Organizations are required to use enrollment criteria. </w:t>
            </w:r>
          </w:p>
          <w:p w14:paraId="6B4F0A36" w14:textId="77777777" w:rsidR="00DF6008" w:rsidRPr="005D4222" w:rsidRDefault="00DF6008" w:rsidP="005D6173">
            <w:pPr>
              <w:pStyle w:val="ProcessBullet"/>
              <w:numPr>
                <w:ilvl w:val="0"/>
                <w:numId w:val="98"/>
              </w:numPr>
              <w:spacing w:after="80"/>
              <w:ind w:left="216" w:hanging="216"/>
              <w:rPr>
                <w:b/>
                <w:i/>
                <w:iCs/>
              </w:rPr>
            </w:pPr>
            <w:r w:rsidRPr="005D4222">
              <w:rPr>
                <w:i/>
                <w:iCs/>
                <w:color w:val="000000" w:themeColor="text1"/>
              </w:rPr>
              <w:t>Ages</w:t>
            </w:r>
            <w:r w:rsidRPr="005D4222">
              <w:rPr>
                <w:color w:val="000000" w:themeColor="text1"/>
              </w:rPr>
              <w:t>. The age determination dates may not be changed.</w:t>
            </w:r>
          </w:p>
          <w:p w14:paraId="52479E2C" w14:textId="5CBC0154" w:rsidR="00835615" w:rsidRPr="005D4222" w:rsidRDefault="00DF6008" w:rsidP="00835615">
            <w:pPr>
              <w:pStyle w:val="ProcessBullet"/>
              <w:numPr>
                <w:ilvl w:val="0"/>
                <w:numId w:val="98"/>
              </w:numPr>
              <w:spacing w:after="80"/>
              <w:ind w:left="216" w:hanging="216"/>
              <w:rPr>
                <w:b/>
                <w:i/>
                <w:iCs/>
              </w:rPr>
            </w:pPr>
            <w:r w:rsidRPr="005D4222">
              <w:rPr>
                <w:i/>
                <w:iCs/>
                <w:color w:val="000000" w:themeColor="text1"/>
              </w:rPr>
              <w:t>Supplemental data.</w:t>
            </w:r>
            <w:r w:rsidRPr="005D4222">
              <w:rPr>
                <w:color w:val="000000" w:themeColor="text1"/>
              </w:rPr>
              <w:t xml:space="preserve"> Supplemental data may not be used to identify initial population, denominator and numerator events.</w:t>
            </w:r>
          </w:p>
        </w:tc>
      </w:tr>
      <w:tr w:rsidR="006439AD" w:rsidRPr="005D4222" w14:paraId="19718C8F" w14:textId="77777777" w:rsidTr="00F03990">
        <w:tblPrEx>
          <w:tblCellMar>
            <w:top w:w="40" w:type="dxa"/>
          </w:tblCellMar>
        </w:tblPrEx>
        <w:tc>
          <w:tcPr>
            <w:tcW w:w="2159"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E8A9AD8" w14:textId="77777777" w:rsidR="00DF6008" w:rsidRPr="005D4222" w:rsidRDefault="00DF6008" w:rsidP="00A53E8C">
            <w:pPr>
              <w:pStyle w:val="ECDSMarginHead"/>
            </w:pPr>
          </w:p>
        </w:tc>
        <w:tc>
          <w:tcPr>
            <w:tcW w:w="7561"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66325AA" w14:textId="77777777" w:rsidR="00DF6008" w:rsidRPr="005D4222" w:rsidRDefault="00DF6008" w:rsidP="005D6173">
            <w:pPr>
              <w:pStyle w:val="ProcessBullet"/>
              <w:numPr>
                <w:ilvl w:val="0"/>
                <w:numId w:val="98"/>
              </w:numPr>
              <w:spacing w:after="80"/>
              <w:ind w:left="216" w:hanging="216"/>
              <w:rPr>
                <w:b/>
                <w:i/>
                <w:iCs/>
              </w:rPr>
            </w:pPr>
            <w:r w:rsidRPr="005D4222">
              <w:rPr>
                <w:i/>
              </w:rPr>
              <w:t>Exclusions.</w:t>
            </w:r>
            <w:r w:rsidRPr="005D4222">
              <w:t xml:space="preserve"> The hospice exclusion must be applied. Logic may not be changed.</w:t>
            </w:r>
          </w:p>
          <w:p w14:paraId="74A8B263" w14:textId="5B9D1300" w:rsidR="00DF6008" w:rsidRPr="005D4222" w:rsidRDefault="00DF6008" w:rsidP="00A53E8C">
            <w:pPr>
              <w:pStyle w:val="ECDSBody"/>
              <w:rPr>
                <w:b/>
              </w:rPr>
            </w:pPr>
            <w:r w:rsidRPr="005D4222">
              <w:rPr>
                <w:b/>
              </w:rPr>
              <w:t xml:space="preserve">The following </w:t>
            </w:r>
            <w:r w:rsidR="009D34B5" w:rsidRPr="005D4222">
              <w:rPr>
                <w:b/>
              </w:rPr>
              <w:t>are</w:t>
            </w:r>
            <w:r w:rsidRPr="005D4222">
              <w:rPr>
                <w:b/>
              </w:rPr>
              <w:t xml:space="preserve"> the Rules for Allowable Adjustments for </w:t>
            </w:r>
            <w:r w:rsidRPr="005D4222">
              <w:rPr>
                <w:b/>
                <w:u w:val="single"/>
              </w:rPr>
              <w:t>Observed Measurement</w:t>
            </w:r>
            <w:r w:rsidRPr="005D4222">
              <w:rPr>
                <w:b/>
              </w:rPr>
              <w:t xml:space="preserve"> of the </w:t>
            </w:r>
            <w:r w:rsidRPr="005D4222" w:rsidDel="00866B35">
              <w:rPr>
                <w:b/>
              </w:rPr>
              <w:t>Hospitalization Following Discharge From a Skilled Nursing Facility</w:t>
            </w:r>
            <w:r w:rsidRPr="005D4222">
              <w:rPr>
                <w:b/>
              </w:rPr>
              <w:t xml:space="preserve"> </w:t>
            </w:r>
            <w:r w:rsidRPr="005D4222">
              <w:rPr>
                <w:b/>
                <w:bCs w:val="0"/>
              </w:rPr>
              <w:t xml:space="preserve">measure </w:t>
            </w:r>
            <w:r w:rsidRPr="005D4222">
              <w:rPr>
                <w:b/>
              </w:rPr>
              <w:t>observed events (count of SND, count of observed hospitalizations).</w:t>
            </w:r>
          </w:p>
          <w:p w14:paraId="06D072AF" w14:textId="77777777" w:rsidR="00DF6008" w:rsidRPr="005D4222" w:rsidRDefault="00DF6008" w:rsidP="00A53E8C">
            <w:pPr>
              <w:pStyle w:val="Adjustments"/>
            </w:pPr>
            <w:r w:rsidRPr="005D4222">
              <w:t>Adjustments</w:t>
            </w:r>
            <w:r w:rsidRPr="005D4222">
              <w:rPr>
                <w:bCs/>
              </w:rPr>
              <w:t xml:space="preserve"> a</w:t>
            </w:r>
            <w:r w:rsidRPr="005D4222">
              <w:t>llowed</w:t>
            </w:r>
          </w:p>
          <w:p w14:paraId="05CC5AA7" w14:textId="0BF7E203" w:rsidR="00DF6008" w:rsidRPr="005D4222" w:rsidRDefault="00DF6008" w:rsidP="005D6173">
            <w:pPr>
              <w:pStyle w:val="ProcessBullet"/>
              <w:numPr>
                <w:ilvl w:val="0"/>
                <w:numId w:val="77"/>
              </w:numPr>
              <w:ind w:left="216" w:hanging="216"/>
              <w:rPr>
                <w:b/>
                <w:bCs/>
                <w:color w:val="000000" w:themeColor="text1"/>
              </w:rPr>
            </w:pPr>
            <w:r w:rsidRPr="005D4222">
              <w:rPr>
                <w:i/>
                <w:iCs/>
              </w:rPr>
              <w:t xml:space="preserve">Product lines. </w:t>
            </w:r>
            <w:r w:rsidRPr="005D4222">
              <w:t>When adjusting this measure to assess for observed events only, organizations are not required to use product line criteria; product lines may be combined</w:t>
            </w:r>
            <w:r w:rsidR="00E8671F" w:rsidRPr="005D4222">
              <w:t>,</w:t>
            </w:r>
            <w:r w:rsidRPr="005D4222">
              <w:t xml:space="preserve"> and all (or no) product line criteria may be used.</w:t>
            </w:r>
          </w:p>
          <w:p w14:paraId="0BBE5931" w14:textId="77777777" w:rsidR="00DF6008" w:rsidRPr="005D4222" w:rsidRDefault="00DF6008" w:rsidP="005D6173">
            <w:pPr>
              <w:pStyle w:val="ProcessBullet"/>
              <w:numPr>
                <w:ilvl w:val="0"/>
                <w:numId w:val="77"/>
              </w:numPr>
              <w:ind w:left="216" w:hanging="216"/>
              <w:rPr>
                <w:b/>
                <w:bCs/>
                <w:color w:val="000000" w:themeColor="text1"/>
              </w:rPr>
            </w:pPr>
            <w:r w:rsidRPr="005D4222">
              <w:rPr>
                <w:i/>
                <w:iCs/>
              </w:rPr>
              <w:t>Attribution.</w:t>
            </w:r>
            <w:r w:rsidRPr="005D4222">
              <w:t xml:space="preserve"> Organizations are not required to use enrollment criteria. </w:t>
            </w:r>
          </w:p>
          <w:p w14:paraId="207059D6" w14:textId="156A5063" w:rsidR="00DF6008" w:rsidRPr="005D4222" w:rsidRDefault="00362E76" w:rsidP="005D6173">
            <w:pPr>
              <w:pStyle w:val="ProcessBullet"/>
              <w:numPr>
                <w:ilvl w:val="0"/>
                <w:numId w:val="77"/>
              </w:numPr>
              <w:ind w:left="216" w:hanging="216"/>
              <w:rPr>
                <w:b/>
                <w:bCs/>
                <w:color w:val="000000" w:themeColor="text1"/>
              </w:rPr>
            </w:pPr>
            <w:r w:rsidRPr="005D4222">
              <w:rPr>
                <w:i/>
                <w:iCs/>
              </w:rPr>
              <w:t>Benefits.</w:t>
            </w:r>
            <w:r w:rsidR="00DF6008" w:rsidRPr="005D4222">
              <w:t xml:space="preserve"> Organizations are not required to use a benefit.</w:t>
            </w:r>
          </w:p>
          <w:p w14:paraId="11332097" w14:textId="7030AB7D" w:rsidR="00DF6008" w:rsidRPr="005D4222" w:rsidRDefault="00DF6008" w:rsidP="005D6173">
            <w:pPr>
              <w:pStyle w:val="ProcessBullet"/>
              <w:numPr>
                <w:ilvl w:val="0"/>
                <w:numId w:val="77"/>
              </w:numPr>
              <w:ind w:left="216" w:hanging="216"/>
              <w:rPr>
                <w:b/>
                <w:bCs/>
                <w:color w:val="000000" w:themeColor="text1"/>
              </w:rPr>
            </w:pPr>
            <w:r w:rsidRPr="005D4222">
              <w:rPr>
                <w:i/>
                <w:iCs/>
              </w:rPr>
              <w:t>Other.</w:t>
            </w:r>
            <w:r w:rsidRPr="005D4222">
              <w:t xml:space="preserve"> Organizations may adjust the </w:t>
            </w:r>
            <w:r w:rsidR="00BC6978" w:rsidRPr="005D4222">
              <w:t>initial</w:t>
            </w:r>
            <w:r w:rsidRPr="005D4222">
              <w:t xml:space="preserve"> population criteria to focus on an area of interest defined by gender, race, ethnicity, socioeconomic or sociodemographic characteristics, geographic region or another characteristic.</w:t>
            </w:r>
          </w:p>
          <w:p w14:paraId="7175FD05" w14:textId="77777777" w:rsidR="00DF6008" w:rsidRPr="005D4222" w:rsidRDefault="00DF6008" w:rsidP="005D6173">
            <w:pPr>
              <w:pStyle w:val="ProcessBullet"/>
              <w:numPr>
                <w:ilvl w:val="0"/>
                <w:numId w:val="77"/>
              </w:numPr>
              <w:ind w:left="216" w:hanging="216"/>
              <w:rPr>
                <w:b/>
                <w:bCs/>
                <w:color w:val="000000" w:themeColor="text1"/>
              </w:rPr>
            </w:pPr>
            <w:r w:rsidRPr="005D4222">
              <w:rPr>
                <w:i/>
                <w:iCs/>
              </w:rPr>
              <w:t>Measurement period adjustments.</w:t>
            </w:r>
            <w:r w:rsidRPr="005D4222">
              <w:t xml:space="preserve"> Organizations may adjust the measurement period. </w:t>
            </w:r>
          </w:p>
          <w:p w14:paraId="5678A38C" w14:textId="77777777" w:rsidR="00DF6008" w:rsidRPr="005D4222" w:rsidRDefault="00DF6008" w:rsidP="005D6173">
            <w:pPr>
              <w:pStyle w:val="ProcessBullet"/>
              <w:numPr>
                <w:ilvl w:val="0"/>
                <w:numId w:val="77"/>
              </w:numPr>
              <w:ind w:left="216" w:hanging="216"/>
              <w:rPr>
                <w:b/>
                <w:bCs/>
                <w:color w:val="000000" w:themeColor="text1"/>
              </w:rPr>
            </w:pPr>
            <w:r w:rsidRPr="005D4222">
              <w:rPr>
                <w:i/>
                <w:iCs/>
              </w:rPr>
              <w:t>Exclusions.</w:t>
            </w:r>
            <w:r w:rsidRPr="005D4222">
              <w:t xml:space="preserve"> Hospice and LTI exclusions are not required. </w:t>
            </w:r>
          </w:p>
          <w:p w14:paraId="6D272014" w14:textId="0C044E21" w:rsidR="00DF6008" w:rsidRPr="005D4222" w:rsidRDefault="00DF6008" w:rsidP="005D6173">
            <w:pPr>
              <w:pStyle w:val="ProcessBullet"/>
              <w:numPr>
                <w:ilvl w:val="0"/>
                <w:numId w:val="77"/>
              </w:numPr>
              <w:ind w:left="216" w:hanging="216"/>
            </w:pPr>
            <w:r w:rsidRPr="005D4222">
              <w:rPr>
                <w:i/>
                <w:iCs/>
                <w:color w:val="000000" w:themeColor="text1"/>
              </w:rPr>
              <w:t>Telehealth</w:t>
            </w:r>
            <w:r w:rsidR="00DC72AB" w:rsidRPr="005D4222">
              <w:rPr>
                <w:i/>
                <w:iCs/>
                <w:color w:val="000000" w:themeColor="text1"/>
              </w:rPr>
              <w:t>.</w:t>
            </w:r>
            <w:r w:rsidRPr="005D4222">
              <w:rPr>
                <w:color w:val="000000" w:themeColor="text1"/>
              </w:rPr>
              <w:t xml:space="preserve"> Services/events that allow the use of synchronous telehealth visits, telephone visits and asynchronous telehealth (e-visits, virtual check-ins) may be stratified to identify services performed via telehealth. </w:t>
            </w:r>
            <w:r w:rsidRPr="005D4222">
              <w:t>This adjustment is not allowed for events, numerators and exclusions that do not allow the use of telehealth.</w:t>
            </w:r>
          </w:p>
          <w:p w14:paraId="11068087" w14:textId="77777777" w:rsidR="00DF6008" w:rsidRPr="005D4222" w:rsidRDefault="00DF6008" w:rsidP="005D6173">
            <w:pPr>
              <w:pStyle w:val="ProcessBullet"/>
              <w:numPr>
                <w:ilvl w:val="0"/>
                <w:numId w:val="77"/>
              </w:numPr>
              <w:ind w:left="216" w:hanging="216"/>
              <w:rPr>
                <w:color w:val="000000" w:themeColor="text1"/>
              </w:rPr>
            </w:pPr>
            <w:r w:rsidRPr="005D4222">
              <w:rPr>
                <w:i/>
                <w:iCs/>
                <w:color w:val="000000" w:themeColor="text1"/>
              </w:rPr>
              <w:t>Supplemental data.</w:t>
            </w:r>
            <w:r w:rsidRPr="005D4222">
              <w:rPr>
                <w:color w:val="000000" w:themeColor="text1"/>
              </w:rPr>
              <w:t xml:space="preserve"> Supplemental data may be used to identify initial population, denominator, exclusion and numerator events.</w:t>
            </w:r>
          </w:p>
          <w:p w14:paraId="417D65D4" w14:textId="77777777" w:rsidR="00DF6008" w:rsidRPr="005D4222" w:rsidRDefault="00DF6008" w:rsidP="00A53E8C">
            <w:pPr>
              <w:pStyle w:val="Body"/>
              <w:rPr>
                <w:b/>
                <w:szCs w:val="21"/>
              </w:rPr>
            </w:pPr>
            <w:r w:rsidRPr="005D4222">
              <w:rPr>
                <w:b/>
                <w:szCs w:val="21"/>
              </w:rPr>
              <w:t xml:space="preserve">Adjustments </w:t>
            </w:r>
            <w:r w:rsidRPr="005D4222">
              <w:rPr>
                <w:b/>
                <w:bCs/>
                <w:szCs w:val="21"/>
              </w:rPr>
              <w:t>a</w:t>
            </w:r>
            <w:r w:rsidRPr="005D4222">
              <w:rPr>
                <w:b/>
                <w:szCs w:val="21"/>
              </w:rPr>
              <w:t xml:space="preserve">llowed with </w:t>
            </w:r>
            <w:r w:rsidRPr="005D4222">
              <w:rPr>
                <w:b/>
                <w:bCs/>
                <w:szCs w:val="21"/>
              </w:rPr>
              <w:t>l</w:t>
            </w:r>
            <w:r w:rsidRPr="005D4222">
              <w:rPr>
                <w:b/>
                <w:szCs w:val="21"/>
              </w:rPr>
              <w:t>imits</w:t>
            </w:r>
          </w:p>
          <w:p w14:paraId="02B844FE" w14:textId="77777777" w:rsidR="00DF6008" w:rsidRPr="005D4222" w:rsidRDefault="00DF6008" w:rsidP="005D6173">
            <w:pPr>
              <w:pStyle w:val="ProcessBullet"/>
              <w:numPr>
                <w:ilvl w:val="0"/>
                <w:numId w:val="98"/>
              </w:numPr>
              <w:tabs>
                <w:tab w:val="left" w:pos="216"/>
              </w:tabs>
              <w:ind w:left="216" w:hanging="216"/>
            </w:pPr>
            <w:r w:rsidRPr="005D4222">
              <w:rPr>
                <w:i/>
                <w:iCs/>
              </w:rPr>
              <w:t>Ages.</w:t>
            </w:r>
            <w:r w:rsidRPr="005D4222">
              <w:t xml:space="preserve"> Age determination dates may be changed (e.g., select, “age as of June 30”). The denominator age range may not be expanded.</w:t>
            </w:r>
          </w:p>
          <w:p w14:paraId="723B88FB" w14:textId="77777777" w:rsidR="00DF6008" w:rsidRPr="005D4222" w:rsidRDefault="00DF6008" w:rsidP="005D6173">
            <w:pPr>
              <w:pStyle w:val="ProcessBullet"/>
              <w:numPr>
                <w:ilvl w:val="0"/>
                <w:numId w:val="98"/>
              </w:numPr>
              <w:tabs>
                <w:tab w:val="left" w:pos="216"/>
              </w:tabs>
              <w:ind w:left="216" w:hanging="216"/>
            </w:pPr>
            <w:r w:rsidRPr="005D4222">
              <w:rPr>
                <w:i/>
                <w:iCs/>
              </w:rPr>
              <w:t>Denominator.</w:t>
            </w:r>
            <w:r w:rsidRPr="005D4222">
              <w:t xml:space="preserve"> Organizations may include denied claims to calculate the initial population. The logic may not be changed. </w:t>
            </w:r>
          </w:p>
          <w:p w14:paraId="7102F4AD" w14:textId="77777777" w:rsidR="00DF6008" w:rsidRPr="005D4222" w:rsidRDefault="00DF6008" w:rsidP="005D6173">
            <w:pPr>
              <w:pStyle w:val="ProcessBullet"/>
              <w:numPr>
                <w:ilvl w:val="0"/>
                <w:numId w:val="98"/>
              </w:numPr>
              <w:tabs>
                <w:tab w:val="left" w:pos="216"/>
              </w:tabs>
              <w:spacing w:after="80"/>
              <w:ind w:left="216" w:hanging="216"/>
              <w:rPr>
                <w:b/>
                <w:i/>
              </w:rPr>
            </w:pPr>
            <w:r w:rsidRPr="005D4222">
              <w:rPr>
                <w:i/>
                <w:iCs/>
              </w:rPr>
              <w:t>Numerator.</w:t>
            </w:r>
            <w:r w:rsidRPr="005D4222">
              <w:t xml:space="preserve"> Organizations may include denied claims to calculate the numerator. Value sets and logic may not be changed.</w:t>
            </w:r>
          </w:p>
        </w:tc>
      </w:tr>
    </w:tbl>
    <w:p w14:paraId="2CC3534F" w14:textId="77777777" w:rsidR="001C5829" w:rsidRPr="005D4222" w:rsidRDefault="001C5829" w:rsidP="002D55FC">
      <w:pPr>
        <w:pStyle w:val="ECDSBody"/>
        <w:sectPr w:rsidR="001C5829" w:rsidRPr="005D4222" w:rsidSect="0074514A">
          <w:headerReference w:type="default" r:id="rId201"/>
          <w:type w:val="nextColumn"/>
          <w:pgSz w:w="12240" w:h="15840" w:code="1"/>
          <w:pgMar w:top="1080" w:right="1080" w:bottom="1080" w:left="1440" w:header="720" w:footer="720" w:gutter="0"/>
          <w:cols w:space="720"/>
          <w:docGrid w:linePitch="360"/>
        </w:sectPr>
      </w:pPr>
    </w:p>
    <w:p w14:paraId="67B7B51B" w14:textId="16C2C0FD" w:rsidR="002D55FC" w:rsidRPr="005D4222" w:rsidRDefault="00114134" w:rsidP="00E0624C">
      <w:pPr>
        <w:pStyle w:val="MeasureTitle"/>
        <w:rPr>
          <w:lang w:eastAsia="zh-CN"/>
        </w:rPr>
      </w:pPr>
      <w:bookmarkStart w:id="398" w:name="_Toc201813455"/>
      <w:r w:rsidRPr="005D4222">
        <w:rPr>
          <w:lang w:eastAsia="zh-CN"/>
        </w:rPr>
        <w:lastRenderedPageBreak/>
        <w:t xml:space="preserve">Acute Hospitalizations </w:t>
      </w:r>
      <w:r w:rsidR="00E0624C" w:rsidRPr="005D4222">
        <w:rPr>
          <w:lang w:eastAsia="zh-CN"/>
        </w:rPr>
        <w:t>Following Outpatient Colonoscopy</w:t>
      </w:r>
      <w:r w:rsidR="0096709F" w:rsidRPr="005D4222">
        <w:rPr>
          <w:lang w:eastAsia="zh-CN"/>
        </w:rPr>
        <w:t xml:space="preserve"> (HFC)</w:t>
      </w:r>
      <w:bookmarkEnd w:id="398"/>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3" w:type="dxa"/>
          <w:right w:w="86" w:type="dxa"/>
        </w:tblCellMar>
        <w:tblLook w:val="04A0" w:firstRow="1" w:lastRow="0" w:firstColumn="1" w:lastColumn="0" w:noHBand="0" w:noVBand="1"/>
      </w:tblPr>
      <w:tblGrid>
        <w:gridCol w:w="2157"/>
        <w:gridCol w:w="5025"/>
        <w:gridCol w:w="1455"/>
        <w:gridCol w:w="1077"/>
      </w:tblGrid>
      <w:tr w:rsidR="00F25792" w:rsidRPr="005D4222" w14:paraId="4DD20E97" w14:textId="77777777" w:rsidTr="004009EA">
        <w:tc>
          <w:tcPr>
            <w:tcW w:w="2157" w:type="dxa"/>
            <w:tcBorders>
              <w:top w:val="single" w:sz="2" w:space="0" w:color="auto"/>
              <w:left w:val="single" w:sz="2" w:space="0" w:color="auto"/>
              <w:bottom w:val="single" w:sz="2" w:space="0" w:color="auto"/>
              <w:right w:val="single" w:sz="2" w:space="0" w:color="auto"/>
            </w:tcBorders>
            <w:shd w:val="clear" w:color="auto" w:fill="BFBFBF" w:themeFill="background1" w:themeFillShade="BF"/>
            <w:tcMar>
              <w:top w:w="0" w:type="dxa"/>
            </w:tcMar>
            <w:hideMark/>
          </w:tcPr>
          <w:p w14:paraId="6B487E24" w14:textId="77777777" w:rsidR="00F25792" w:rsidRPr="005D4222" w:rsidRDefault="00F25792" w:rsidP="00A53E8C">
            <w:pPr>
              <w:pStyle w:val="ECDSMarginHead"/>
              <w:rPr>
                <w:lang w:eastAsia="zh-CN"/>
              </w:rPr>
            </w:pPr>
            <w:r w:rsidRPr="005D4222">
              <w:rPr>
                <w:lang w:eastAsia="zh-CN"/>
              </w:rPr>
              <w:t>Measure title</w:t>
            </w:r>
          </w:p>
        </w:tc>
        <w:tc>
          <w:tcPr>
            <w:tcW w:w="5025" w:type="dxa"/>
            <w:tcBorders>
              <w:top w:val="single" w:sz="2" w:space="0" w:color="auto"/>
              <w:left w:val="single" w:sz="2" w:space="0" w:color="auto"/>
              <w:bottom w:val="single" w:sz="2" w:space="0" w:color="auto"/>
              <w:right w:val="single" w:sz="2" w:space="0" w:color="auto"/>
            </w:tcBorders>
            <w:hideMark/>
          </w:tcPr>
          <w:p w14:paraId="571C103B" w14:textId="598D5716" w:rsidR="00F25792" w:rsidRPr="005D4222" w:rsidRDefault="00114134" w:rsidP="00A53E8C">
            <w:pPr>
              <w:pStyle w:val="ECDSBody"/>
              <w:rPr>
                <w:lang w:eastAsia="zh-CN"/>
              </w:rPr>
            </w:pPr>
            <w:r w:rsidRPr="005D4222">
              <w:rPr>
                <w:lang w:eastAsia="zh-CN"/>
              </w:rPr>
              <w:t xml:space="preserve">Acute Hospitalizations </w:t>
            </w:r>
            <w:r w:rsidR="00F25792" w:rsidRPr="005D4222">
              <w:rPr>
                <w:lang w:eastAsia="zh-CN"/>
              </w:rPr>
              <w:t>Following Outpatient Colonoscopy</w:t>
            </w:r>
          </w:p>
        </w:tc>
        <w:tc>
          <w:tcPr>
            <w:tcW w:w="1455" w:type="dxa"/>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6AA789AA" w14:textId="77777777" w:rsidR="00F25792" w:rsidRPr="005D4222" w:rsidRDefault="00F25792" w:rsidP="00467A8D">
            <w:pPr>
              <w:pStyle w:val="ECDSMarginHead"/>
              <w:rPr>
                <w:lang w:eastAsia="zh-CN"/>
              </w:rPr>
            </w:pPr>
            <w:r w:rsidRPr="005D4222">
              <w:rPr>
                <w:lang w:eastAsia="zh-CN"/>
              </w:rPr>
              <w:t>Measure ID</w:t>
            </w:r>
          </w:p>
        </w:tc>
        <w:tc>
          <w:tcPr>
            <w:tcW w:w="1077" w:type="dxa"/>
            <w:tcBorders>
              <w:top w:val="single" w:sz="2" w:space="0" w:color="auto"/>
              <w:left w:val="single" w:sz="2" w:space="0" w:color="auto"/>
              <w:bottom w:val="single" w:sz="2" w:space="0" w:color="auto"/>
              <w:right w:val="single" w:sz="2" w:space="0" w:color="auto"/>
            </w:tcBorders>
            <w:hideMark/>
          </w:tcPr>
          <w:p w14:paraId="38591D9E" w14:textId="77777777" w:rsidR="00F25792" w:rsidRPr="005D4222" w:rsidRDefault="00F25792" w:rsidP="00A53E8C">
            <w:pPr>
              <w:pStyle w:val="ECDSBody"/>
              <w:rPr>
                <w:lang w:eastAsia="zh-CN"/>
              </w:rPr>
            </w:pPr>
            <w:r w:rsidRPr="005D4222">
              <w:rPr>
                <w:lang w:eastAsia="zh-CN"/>
              </w:rPr>
              <w:t>HFC</w:t>
            </w:r>
          </w:p>
        </w:tc>
      </w:tr>
      <w:tr w:rsidR="00F25792" w:rsidRPr="005D4222" w14:paraId="6DAF5054" w14:textId="77777777" w:rsidTr="004009EA">
        <w:tc>
          <w:tcPr>
            <w:tcW w:w="2157" w:type="dxa"/>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0E8688AE" w14:textId="77777777" w:rsidR="00F25792" w:rsidRPr="005D4222" w:rsidRDefault="00F25792" w:rsidP="00A53E8C">
            <w:pPr>
              <w:pStyle w:val="ECDSMarginHead"/>
              <w:rPr>
                <w:lang w:eastAsia="zh-CN"/>
              </w:rPr>
            </w:pPr>
            <w:r w:rsidRPr="005D4222">
              <w:rPr>
                <w:lang w:eastAsia="zh-CN"/>
              </w:rPr>
              <w:t>Description</w:t>
            </w:r>
          </w:p>
        </w:tc>
        <w:tc>
          <w:tcPr>
            <w:tcW w:w="7557" w:type="dxa"/>
            <w:gridSpan w:val="3"/>
            <w:tcBorders>
              <w:top w:val="single" w:sz="2" w:space="0" w:color="auto"/>
              <w:left w:val="single" w:sz="2" w:space="0" w:color="auto"/>
              <w:bottom w:val="single" w:sz="2" w:space="0" w:color="auto"/>
              <w:right w:val="single" w:sz="2" w:space="0" w:color="auto"/>
            </w:tcBorders>
            <w:vAlign w:val="center"/>
            <w:hideMark/>
          </w:tcPr>
          <w:p w14:paraId="5A363C2C" w14:textId="77777777" w:rsidR="00F25792" w:rsidRPr="005D4222" w:rsidRDefault="00F25792" w:rsidP="00A53E8C">
            <w:pPr>
              <w:pStyle w:val="ECDSBody"/>
            </w:pPr>
            <w:r w:rsidRPr="005D4222">
              <w:t>For persons 65 years of age and older, the risk-adjusted ratio of observed-to-expected unplanned acute hospitalizations (inpatient and observation stays) for any diagnosis that occurred within 15 days following select outpatient colonoscopies.</w:t>
            </w:r>
          </w:p>
        </w:tc>
      </w:tr>
      <w:tr w:rsidR="00F25792" w:rsidRPr="005D4222" w14:paraId="6A738ABF" w14:textId="77777777" w:rsidTr="004009EA">
        <w:tc>
          <w:tcPr>
            <w:tcW w:w="2157" w:type="dxa"/>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79A99961" w14:textId="77777777" w:rsidR="00F25792" w:rsidRPr="005D4222" w:rsidRDefault="00F25792" w:rsidP="00A53E8C">
            <w:pPr>
              <w:pStyle w:val="ECDSMarginHead"/>
              <w:rPr>
                <w:lang w:eastAsia="zh-CN"/>
              </w:rPr>
            </w:pPr>
            <w:r w:rsidRPr="005D4222">
              <w:rPr>
                <w:lang w:eastAsia="zh-CN"/>
              </w:rPr>
              <w:t>Measurement period</w:t>
            </w:r>
          </w:p>
        </w:tc>
        <w:tc>
          <w:tcPr>
            <w:tcW w:w="7557" w:type="dxa"/>
            <w:gridSpan w:val="3"/>
            <w:tcBorders>
              <w:top w:val="single" w:sz="2" w:space="0" w:color="auto"/>
              <w:left w:val="single" w:sz="2" w:space="0" w:color="auto"/>
              <w:bottom w:val="single" w:sz="2" w:space="0" w:color="auto"/>
              <w:right w:val="single" w:sz="2" w:space="0" w:color="auto"/>
            </w:tcBorders>
            <w:hideMark/>
          </w:tcPr>
          <w:p w14:paraId="7A6E099B" w14:textId="77777777" w:rsidR="00F25792" w:rsidRPr="005D4222" w:rsidRDefault="00F25792" w:rsidP="00A53E8C">
            <w:pPr>
              <w:pStyle w:val="ECDSBody"/>
              <w:rPr>
                <w:lang w:eastAsia="zh-CN"/>
              </w:rPr>
            </w:pPr>
            <w:r w:rsidRPr="005D4222">
              <w:rPr>
                <w:lang w:eastAsia="zh-CN"/>
              </w:rPr>
              <w:t>January 1—December 31.</w:t>
            </w:r>
          </w:p>
        </w:tc>
      </w:tr>
      <w:tr w:rsidR="00F25792" w:rsidRPr="005D4222" w14:paraId="1C86207E" w14:textId="77777777" w:rsidTr="004009EA">
        <w:tc>
          <w:tcPr>
            <w:tcW w:w="2157" w:type="dxa"/>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6D9EC2EF" w14:textId="77777777" w:rsidR="00F25792" w:rsidRPr="005D4222" w:rsidRDefault="00F25792" w:rsidP="00A53E8C">
            <w:pPr>
              <w:pStyle w:val="ECDSMarginHead"/>
              <w:rPr>
                <w:rFonts w:eastAsia="Arial"/>
                <w:lang w:eastAsia="zh-CN"/>
              </w:rPr>
            </w:pPr>
            <w:r w:rsidRPr="005D4222">
              <w:rPr>
                <w:rFonts w:eastAsia="Arial"/>
                <w:lang w:eastAsia="zh-CN"/>
              </w:rPr>
              <w:t>Copyright and disclaimer notice</w:t>
            </w:r>
          </w:p>
        </w:tc>
        <w:tc>
          <w:tcPr>
            <w:tcW w:w="7557" w:type="dxa"/>
            <w:gridSpan w:val="3"/>
            <w:tcBorders>
              <w:top w:val="single" w:sz="2" w:space="0" w:color="auto"/>
              <w:left w:val="single" w:sz="2" w:space="0" w:color="auto"/>
              <w:bottom w:val="single" w:sz="2" w:space="0" w:color="auto"/>
              <w:right w:val="single" w:sz="2" w:space="0" w:color="auto"/>
            </w:tcBorders>
            <w:hideMark/>
          </w:tcPr>
          <w:p w14:paraId="7EA94D32" w14:textId="77777777" w:rsidR="00F25792" w:rsidRPr="005D4222" w:rsidRDefault="00F25792" w:rsidP="00A53E8C">
            <w:pPr>
              <w:pStyle w:val="ECDSBody"/>
              <w:rPr>
                <w:color w:val="000000" w:themeColor="text1"/>
                <w:szCs w:val="21"/>
              </w:rPr>
            </w:pPr>
            <w:r w:rsidRPr="005D4222">
              <w:t>Refer</w:t>
            </w:r>
            <w:r w:rsidRPr="005D4222">
              <w:rPr>
                <w:color w:val="000000" w:themeColor="text1"/>
                <w:szCs w:val="21"/>
              </w:rPr>
              <w:t xml:space="preserve"> to the complete copyright and disclaimer information at the front of this publication.  </w:t>
            </w:r>
          </w:p>
          <w:p w14:paraId="40037977" w14:textId="77777777" w:rsidR="00F25792" w:rsidRPr="005D4222" w:rsidRDefault="00F25792" w:rsidP="00A53E8C">
            <w:pPr>
              <w:pStyle w:val="ECDSBody"/>
              <w:spacing w:before="80"/>
            </w:pPr>
            <w:r w:rsidRPr="005D4222">
              <w:t xml:space="preserve">NCQA website: </w:t>
            </w:r>
            <w:r w:rsidRPr="005D4222">
              <w:rPr>
                <w:u w:val="single"/>
              </w:rPr>
              <w:t>www.ncqa.org</w:t>
            </w:r>
            <w:r w:rsidRPr="005D4222">
              <w:t>.</w:t>
            </w:r>
          </w:p>
          <w:p w14:paraId="60579F46" w14:textId="77777777" w:rsidR="00F25792" w:rsidRPr="005D4222" w:rsidRDefault="00F25792" w:rsidP="00A53E8C">
            <w:pPr>
              <w:pStyle w:val="ECDSBody"/>
              <w:spacing w:before="80"/>
            </w:pPr>
            <w:r w:rsidRPr="005D4222">
              <w:t>Submit policy clarification support questions via My NCQA (</w:t>
            </w:r>
            <w:r w:rsidRPr="005D4222">
              <w:rPr>
                <w:u w:val="single"/>
              </w:rPr>
              <w:t>https://my.ncqa.org</w:t>
            </w:r>
            <w:r w:rsidRPr="005D4222">
              <w:t>).</w:t>
            </w:r>
          </w:p>
        </w:tc>
      </w:tr>
      <w:tr w:rsidR="00F25792" w:rsidRPr="005D4222" w14:paraId="1DEEA7C8" w14:textId="77777777" w:rsidTr="004009EA">
        <w:tc>
          <w:tcPr>
            <w:tcW w:w="2157" w:type="dxa"/>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60993001" w14:textId="77777777" w:rsidR="00F25792" w:rsidRPr="005D4222" w:rsidRDefault="00F25792" w:rsidP="00A53E8C">
            <w:pPr>
              <w:pStyle w:val="ECDSMarginHead"/>
              <w:rPr>
                <w:lang w:eastAsia="zh-CN"/>
              </w:rPr>
            </w:pPr>
            <w:r w:rsidRPr="005D4222">
              <w:rPr>
                <w:lang w:eastAsia="zh-CN"/>
              </w:rPr>
              <w:t>Clinical recommendation statement/ rationale</w:t>
            </w:r>
          </w:p>
        </w:tc>
        <w:tc>
          <w:tcPr>
            <w:tcW w:w="7557" w:type="dxa"/>
            <w:gridSpan w:val="3"/>
            <w:tcBorders>
              <w:top w:val="single" w:sz="2" w:space="0" w:color="auto"/>
              <w:left w:val="single" w:sz="2" w:space="0" w:color="auto"/>
              <w:bottom w:val="single" w:sz="2" w:space="0" w:color="auto"/>
              <w:right w:val="single" w:sz="2" w:space="0" w:color="auto"/>
            </w:tcBorders>
            <w:hideMark/>
          </w:tcPr>
          <w:p w14:paraId="6FD372F9" w14:textId="77777777" w:rsidR="00F25792" w:rsidRPr="005D4222" w:rsidRDefault="00F25792" w:rsidP="00A53E8C">
            <w:pPr>
              <w:pStyle w:val="ECDSBody"/>
              <w:rPr>
                <w:lang w:eastAsia="zh-CN"/>
              </w:rPr>
            </w:pPr>
            <w:r w:rsidRPr="005D4222">
              <w:rPr>
                <w:lang w:eastAsia="zh-CN"/>
              </w:rPr>
              <w:t>Advances in surgical technologies, perioperative care and payment structures have increased the number and variety of surgical procedures performed in outpatient settings. The most common complications requiring hospitalization following colonoscopies are perforations and gastrointestinal bleeding. Potentially avoidable hospitalizations can reduce the costs and quality benefits of transitioning procedures to outpatient settings and can be mitigated through appropriate preprocedural risk assessments, intraprocedural recognition of adverse events and care coordination with patients</w:t>
            </w:r>
            <w:r w:rsidRPr="005D4222">
              <w:rPr>
                <w:lang w:eastAsia="zh-CN"/>
              </w:rPr>
              <w:fldChar w:fldCharType="begin"/>
            </w:r>
            <w:r w:rsidRPr="005D4222">
              <w:rPr>
                <w:lang w:eastAsia="zh-CN"/>
              </w:rPr>
              <w:instrText xml:space="preserve"> ADDIN ZOTERO_ITEM CSL_CITATION {"citationID":"o29B33c7","properties":{"formattedCitation":"(Ko et al., 2010)","plainCitation":"(Ko et al., 2010)","noteIndex":0},"citationItems":[{"id":908,"uris":["http://zotero.org/users/14981273/items/NBILWTPS"],"itemData":{"id":908,"type":"article-journal","abstract":"Background &amp; Aims\nThe risk of serious complications after colonoscopy has important implications for the overall benefits of colorectal cancer screening programs. We evaluated the incidence of serious complications within 30 days after screening or surveillance colonoscopies in diverse clinical settings and to identify potential risk factors for complications.\n\nMethods\nPatients age 40 and over undergoing colonoscopy for screening, surveillance, or evaluation based an abnormal result from another screening test were enrolled through the National Endoscopic Database (CORI). Patients completed a standardized telephone interview approximately 7 and 30 days after their colonoscopy. We estimated the incidence of serious complications within 30 days of colonoscopy and identified risk factors associated with complications using logistic regression analyses.\n\nResults\n21,375 patients were enrolled. Gastrointestinal bleeding requiring hospitalization occurred in 34 patients (incidence 1.59/1000 exams; 95% confidence interval [CI] 1.10–2.22). Perforations occurred in 4 patients (0.19/1000 exams; 95% CI 0.05–0.48), diverticulitis requiring hospitalization in 5 patients (0.23/1000 exams; 95% CI 0.08–0.54), and post-polypectomy syndrome in 2 patients (0.09/1000 exams; 95%CI 0.02–0.30). The overall incidence of complications directly related to colonoscopy was 2.01 per 1000 exams (95%CI 1.46–2.71). Two of the four perforations occurred without biopsy or polypectomy. The risk of complications increased with pre-procedure warfarin use and performance of polypectomy with cautery.\n\nConclusions\nComplications after screening or surveillance colonoscopy are uncommon. Risk factors for complications include warfarin use and polypectomy with cautery.","container-title":"Clinical gastroenterology and hepatology : the official clinical practice journal of the American Gastroenterological Association","DOI":"10.1016/j.cgh.2009.10.007","ISSN":"1542-3565","issue":"2","journalAbbreviation":"Clin Gastroenterol Hepatol","note":"PMID: 19850154\nPMCID: PMC2821994","page":"166","source":"PubMed Central","title":"Serious complications within 30 days of screening and surveillance colonoscopy are uncommon","volume":"8","author":[{"family":"Ko","given":"Cynthia W."},{"family":"Riffle","given":"Stacy"},{"family":"Michaels","given":"LeAnn"},{"family":"Morris","given":"Cynthia"},{"family":"Holub","given":"Jennifer"},{"family":"Shapiro","given":"Jean A."},{"family":"Ciol","given":"Marcia A."},{"family":"Kimmey","given":"Michael B."},{"family":"Seeff","given":"Laura C."},{"family":"Lieberman","given":"David"}],"issued":{"date-parts":[["2010",2]]}}}],"schema":"https://github.com/citation-style-language/schema/raw/master/csl-citation.json"} </w:instrText>
            </w:r>
            <w:r w:rsidRPr="005D4222">
              <w:rPr>
                <w:lang w:eastAsia="zh-CN"/>
              </w:rPr>
              <w:fldChar w:fldCharType="separate"/>
            </w:r>
            <w:r w:rsidRPr="005D4222">
              <w:rPr>
                <w:lang w:eastAsia="zh-CN"/>
              </w:rPr>
              <w:fldChar w:fldCharType="end"/>
            </w:r>
            <w:r w:rsidRPr="005D4222">
              <w:rPr>
                <w:lang w:eastAsia="zh-CN"/>
              </w:rPr>
              <w:t>.</w:t>
            </w:r>
          </w:p>
        </w:tc>
      </w:tr>
      <w:tr w:rsidR="00F25792" w:rsidRPr="005D4222" w14:paraId="6E47DA68" w14:textId="77777777" w:rsidTr="004009EA">
        <w:tc>
          <w:tcPr>
            <w:tcW w:w="2157" w:type="dxa"/>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67A757BB" w14:textId="77777777" w:rsidR="00F25792" w:rsidRPr="005D4222" w:rsidRDefault="00F25792" w:rsidP="00A53E8C">
            <w:pPr>
              <w:pStyle w:val="ECDSMarginHead"/>
              <w:rPr>
                <w:lang w:eastAsia="zh-CN"/>
              </w:rPr>
            </w:pPr>
            <w:r w:rsidRPr="005D4222">
              <w:rPr>
                <w:lang w:eastAsia="zh-CN"/>
              </w:rPr>
              <w:t>Citations</w:t>
            </w:r>
          </w:p>
        </w:tc>
        <w:tc>
          <w:tcPr>
            <w:tcW w:w="7557" w:type="dxa"/>
            <w:gridSpan w:val="3"/>
            <w:tcBorders>
              <w:top w:val="single" w:sz="2" w:space="0" w:color="auto"/>
              <w:left w:val="single" w:sz="2" w:space="0" w:color="auto"/>
              <w:bottom w:val="single" w:sz="2" w:space="0" w:color="auto"/>
              <w:right w:val="single" w:sz="2" w:space="0" w:color="auto"/>
            </w:tcBorders>
            <w:hideMark/>
          </w:tcPr>
          <w:p w14:paraId="19DD83FE" w14:textId="77777777" w:rsidR="00F25792" w:rsidRPr="005D4222" w:rsidRDefault="00F25792" w:rsidP="00A53E8C">
            <w:pPr>
              <w:pStyle w:val="ECDSBody"/>
              <w:rPr>
                <w:lang w:eastAsia="zh-CN"/>
              </w:rPr>
            </w:pPr>
            <w:r w:rsidRPr="005D4222">
              <w:rPr>
                <w:lang w:eastAsia="zh-CN"/>
              </w:rPr>
              <w:t xml:space="preserve">Bongiovanni, T., C. Parzynski, I. Ranasinghe, M.A. Steinman, &amp; J.S. Ross. 2021. “Unplanned Hospital Visits After Ambulatory Surgical Care.” </w:t>
            </w:r>
            <w:r w:rsidRPr="005D4222">
              <w:rPr>
                <w:i/>
                <w:iCs/>
                <w:lang w:eastAsia="zh-CN"/>
              </w:rPr>
              <w:t>PloS one</w:t>
            </w:r>
            <w:r w:rsidRPr="005D4222">
              <w:rPr>
                <w:lang w:eastAsia="zh-CN"/>
              </w:rPr>
              <w:t xml:space="preserve"> 16(7), e0254039. https://doi.org/10.1371/journal.pone.0254039</w:t>
            </w:r>
          </w:p>
          <w:p w14:paraId="621D5FB1" w14:textId="77777777" w:rsidR="00F25792" w:rsidRPr="005D4222" w:rsidRDefault="00F25792" w:rsidP="00A53E8C">
            <w:pPr>
              <w:pStyle w:val="ECDSBody"/>
              <w:rPr>
                <w:lang w:eastAsia="zh-CN"/>
              </w:rPr>
            </w:pPr>
            <w:r w:rsidRPr="005D4222">
              <w:rPr>
                <w:lang w:eastAsia="zh-CN"/>
              </w:rPr>
              <w:t xml:space="preserve">Cullen, K.A., M.J. Hall, A. Golosinskiy. 2009. </w:t>
            </w:r>
            <w:r w:rsidRPr="005D4222">
              <w:rPr>
                <w:i/>
                <w:iCs/>
                <w:lang w:eastAsia="zh-CN"/>
              </w:rPr>
              <w:t>Ambulatory Surgery in the United States, 2006.</w:t>
            </w:r>
            <w:r w:rsidRPr="005D4222">
              <w:rPr>
                <w:lang w:eastAsia="zh-CN"/>
              </w:rPr>
              <w:t xml:space="preserve"> National Health Statistics Reports; no 11. Revised. Hyattsville, MD: National Center for Health Statistics. </w:t>
            </w:r>
          </w:p>
          <w:p w14:paraId="1BED00E4" w14:textId="77777777" w:rsidR="00F25792" w:rsidRPr="005D4222" w:rsidRDefault="00F25792" w:rsidP="00A53E8C">
            <w:pPr>
              <w:pStyle w:val="ECDSBody"/>
              <w:rPr>
                <w:lang w:eastAsia="zh-CN"/>
              </w:rPr>
            </w:pPr>
            <w:r w:rsidRPr="005D4222">
              <w:rPr>
                <w:lang w:eastAsia="zh-CN"/>
              </w:rPr>
              <w:t xml:space="preserve">Ko, C.W., S. Riffle, L. Michaels, C. Morris, J. Holub, J.A. Shapiro, M.A. Ciol, M.B. Kimmey, L.C. Seeff, &amp; D. Lieberman. 2010. “Serious Complications Within 30 Days of Screening and Surveillance Colonoscopy Are Uncommon.” </w:t>
            </w:r>
            <w:r w:rsidRPr="005D4222">
              <w:rPr>
                <w:i/>
                <w:iCs/>
                <w:lang w:eastAsia="zh-CN"/>
              </w:rPr>
              <w:t>Clinical Gastroenterology and Hepatology : The Official Clinical Practice Journal of the American Gastroenterological Association</w:t>
            </w:r>
            <w:r w:rsidRPr="005D4222">
              <w:rPr>
                <w:lang w:eastAsia="zh-CN"/>
              </w:rPr>
              <w:t xml:space="preserve"> 8(2), 166. https://doi.org/10.1016/j.cgh.2009.10.007</w:t>
            </w:r>
          </w:p>
        </w:tc>
      </w:tr>
      <w:tr w:rsidR="00F25792" w:rsidRPr="005D4222" w14:paraId="77462BF3" w14:textId="77777777" w:rsidTr="004009EA">
        <w:tc>
          <w:tcPr>
            <w:tcW w:w="9714" w:type="dxa"/>
            <w:gridSpan w:val="4"/>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5592AEBB" w14:textId="77777777" w:rsidR="00F25792" w:rsidRPr="005D4222" w:rsidRDefault="00F25792" w:rsidP="00A53E8C">
            <w:pPr>
              <w:pStyle w:val="ECDSMarginHead"/>
              <w:rPr>
                <w:lang w:eastAsia="zh-CN"/>
              </w:rPr>
            </w:pPr>
            <w:r w:rsidRPr="005D4222">
              <w:rPr>
                <w:lang w:eastAsia="zh-CN"/>
              </w:rPr>
              <w:t>Characteristics</w:t>
            </w:r>
          </w:p>
        </w:tc>
      </w:tr>
      <w:tr w:rsidR="00F25792" w:rsidRPr="005D4222" w14:paraId="7602D439" w14:textId="77777777" w:rsidTr="004009EA">
        <w:tc>
          <w:tcPr>
            <w:tcW w:w="2157" w:type="dxa"/>
            <w:tcBorders>
              <w:top w:val="single" w:sz="4" w:space="0" w:color="auto"/>
              <w:left w:val="single" w:sz="4" w:space="0" w:color="auto"/>
              <w:bottom w:val="nil"/>
              <w:right w:val="single" w:sz="4" w:space="0" w:color="auto"/>
            </w:tcBorders>
            <w:hideMark/>
          </w:tcPr>
          <w:p w14:paraId="5A10F852" w14:textId="77777777" w:rsidR="00F25792" w:rsidRPr="005D4222" w:rsidRDefault="00F25792" w:rsidP="00CC18FB">
            <w:pPr>
              <w:pStyle w:val="ECDSMarginSubhead"/>
              <w:spacing w:after="0"/>
              <w:rPr>
                <w:lang w:eastAsia="zh-CN"/>
              </w:rPr>
            </w:pPr>
            <w:r w:rsidRPr="005D4222">
              <w:rPr>
                <w:lang w:eastAsia="zh-CN"/>
              </w:rPr>
              <w:t>Scoring</w:t>
            </w:r>
          </w:p>
        </w:tc>
        <w:tc>
          <w:tcPr>
            <w:tcW w:w="7557" w:type="dxa"/>
            <w:gridSpan w:val="3"/>
            <w:tcBorders>
              <w:top w:val="single" w:sz="4" w:space="0" w:color="auto"/>
              <w:left w:val="single" w:sz="4" w:space="0" w:color="auto"/>
              <w:bottom w:val="nil"/>
              <w:right w:val="single" w:sz="4" w:space="0" w:color="auto"/>
            </w:tcBorders>
          </w:tcPr>
          <w:p w14:paraId="5813431F" w14:textId="77777777" w:rsidR="00F25792" w:rsidRPr="005D4222" w:rsidRDefault="00F25792" w:rsidP="00CC18FB">
            <w:pPr>
              <w:pStyle w:val="ECDSBody"/>
              <w:spacing w:after="0"/>
              <w:rPr>
                <w:lang w:eastAsia="zh-CN"/>
              </w:rPr>
            </w:pPr>
            <w:r w:rsidRPr="005D4222">
              <w:rPr>
                <w:lang w:eastAsia="zh-CN"/>
              </w:rPr>
              <w:t>Ratio.</w:t>
            </w:r>
          </w:p>
        </w:tc>
      </w:tr>
      <w:tr w:rsidR="00F25792" w:rsidRPr="005D4222" w14:paraId="387CC4E9" w14:textId="77777777" w:rsidTr="004009EA">
        <w:tblPrEx>
          <w:tblCellMar>
            <w:top w:w="86" w:type="dxa"/>
          </w:tblCellMar>
        </w:tblPrEx>
        <w:tc>
          <w:tcPr>
            <w:tcW w:w="2157" w:type="dxa"/>
            <w:tcBorders>
              <w:top w:val="nil"/>
              <w:left w:val="single" w:sz="4" w:space="0" w:color="auto"/>
              <w:bottom w:val="nil"/>
              <w:right w:val="single" w:sz="4" w:space="0" w:color="auto"/>
            </w:tcBorders>
            <w:tcMar>
              <w:top w:w="0" w:type="dxa"/>
            </w:tcMar>
            <w:hideMark/>
          </w:tcPr>
          <w:p w14:paraId="65949859" w14:textId="100CFB31" w:rsidR="00F25792" w:rsidRPr="005D4222" w:rsidRDefault="00B51CDC" w:rsidP="00CC18FB">
            <w:pPr>
              <w:pStyle w:val="ECDSMarginSubhead"/>
              <w:spacing w:after="0"/>
              <w:rPr>
                <w:lang w:eastAsia="zh-CN"/>
              </w:rPr>
            </w:pPr>
            <w:r w:rsidRPr="005D4222">
              <w:rPr>
                <w:lang w:eastAsia="zh-CN"/>
              </w:rPr>
              <w:t>Product lines</w:t>
            </w:r>
          </w:p>
        </w:tc>
        <w:tc>
          <w:tcPr>
            <w:tcW w:w="7557" w:type="dxa"/>
            <w:gridSpan w:val="3"/>
            <w:tcBorders>
              <w:top w:val="nil"/>
              <w:left w:val="single" w:sz="4" w:space="0" w:color="auto"/>
              <w:bottom w:val="nil"/>
              <w:right w:val="single" w:sz="4" w:space="0" w:color="auto"/>
            </w:tcBorders>
            <w:tcMar>
              <w:top w:w="0" w:type="dxa"/>
            </w:tcMar>
          </w:tcPr>
          <w:p w14:paraId="10A58219" w14:textId="77777777" w:rsidR="00F25792" w:rsidRPr="005D4222" w:rsidRDefault="00F25792" w:rsidP="00CC18FB">
            <w:pPr>
              <w:pStyle w:val="ProcessBullet"/>
              <w:numPr>
                <w:ilvl w:val="0"/>
                <w:numId w:val="0"/>
              </w:numPr>
              <w:spacing w:before="120"/>
              <w:rPr>
                <w:rFonts w:eastAsia="Arial,Arial,Arial,Arial,Arial,A"/>
                <w:lang w:eastAsia="zh-CN"/>
              </w:rPr>
            </w:pPr>
            <w:r w:rsidRPr="005D4222">
              <w:rPr>
                <w:rFonts w:eastAsia="Arial,Arial,Arial,Arial,Arial,A"/>
                <w:lang w:eastAsia="zh-CN"/>
              </w:rPr>
              <w:t>Medicare.</w:t>
            </w:r>
          </w:p>
        </w:tc>
      </w:tr>
      <w:tr w:rsidR="00F25792" w:rsidRPr="005D4222" w14:paraId="752B244A" w14:textId="77777777" w:rsidTr="004009EA">
        <w:tblPrEx>
          <w:tblCellMar>
            <w:top w:w="86" w:type="dxa"/>
          </w:tblCellMar>
        </w:tblPrEx>
        <w:tc>
          <w:tcPr>
            <w:tcW w:w="2157" w:type="dxa"/>
            <w:tcBorders>
              <w:top w:val="nil"/>
              <w:left w:val="single" w:sz="4" w:space="0" w:color="auto"/>
              <w:bottom w:val="single" w:sz="4" w:space="0" w:color="auto"/>
              <w:right w:val="single" w:sz="4" w:space="0" w:color="auto"/>
            </w:tcBorders>
            <w:tcMar>
              <w:top w:w="0" w:type="dxa"/>
            </w:tcMar>
          </w:tcPr>
          <w:p w14:paraId="259AF198" w14:textId="58D9FFD0" w:rsidR="00F25792" w:rsidRPr="005D4222" w:rsidRDefault="00B51CDC" w:rsidP="00A53E8C">
            <w:pPr>
              <w:pStyle w:val="ECDSMarginSubhead"/>
              <w:rPr>
                <w:lang w:eastAsia="zh-CN"/>
              </w:rPr>
            </w:pPr>
            <w:r w:rsidRPr="005D4222">
              <w:rPr>
                <w:lang w:eastAsia="zh-CN"/>
              </w:rPr>
              <w:t>Stratifications</w:t>
            </w:r>
          </w:p>
        </w:tc>
        <w:tc>
          <w:tcPr>
            <w:tcW w:w="7557" w:type="dxa"/>
            <w:gridSpan w:val="3"/>
            <w:tcBorders>
              <w:top w:val="nil"/>
              <w:left w:val="single" w:sz="4" w:space="0" w:color="auto"/>
              <w:bottom w:val="single" w:sz="4" w:space="0" w:color="auto"/>
              <w:right w:val="single" w:sz="4" w:space="0" w:color="auto"/>
            </w:tcBorders>
            <w:tcMar>
              <w:top w:w="0" w:type="dxa"/>
            </w:tcMar>
          </w:tcPr>
          <w:p w14:paraId="42A01E97" w14:textId="77777777" w:rsidR="00F25792" w:rsidRPr="005D4222" w:rsidRDefault="00F25792" w:rsidP="00A53E8C">
            <w:pPr>
              <w:pStyle w:val="ECDSBody"/>
              <w:rPr>
                <w:rFonts w:eastAsia="Arial,Arial,Arial,Arial,Arial,A"/>
                <w:lang w:eastAsia="zh-CN"/>
              </w:rPr>
            </w:pPr>
            <w:r w:rsidRPr="005D4222">
              <w:rPr>
                <w:rFonts w:eastAsia="Arial,Arial,Arial,Arial,Arial,A"/>
                <w:lang w:eastAsia="zh-CN"/>
              </w:rPr>
              <w:t>None.</w:t>
            </w:r>
          </w:p>
          <w:p w14:paraId="44330A9E" w14:textId="77777777" w:rsidR="00F25792" w:rsidRPr="005D4222" w:rsidRDefault="00F25792" w:rsidP="00A53E8C">
            <w:pPr>
              <w:pStyle w:val="ECDSBody"/>
              <w:rPr>
                <w:rFonts w:eastAsia="Arial,Arial,Arial,Arial,Arial,A"/>
                <w:lang w:eastAsia="zh-CN"/>
              </w:rPr>
            </w:pPr>
          </w:p>
        </w:tc>
      </w:tr>
      <w:tr w:rsidR="00F25792" w:rsidRPr="005D4222" w14:paraId="2F002E42" w14:textId="77777777" w:rsidTr="004009EA">
        <w:tc>
          <w:tcPr>
            <w:tcW w:w="2157" w:type="dxa"/>
            <w:tcBorders>
              <w:top w:val="single" w:sz="4" w:space="0" w:color="auto"/>
              <w:left w:val="single" w:sz="4" w:space="0" w:color="auto"/>
              <w:bottom w:val="single" w:sz="4" w:space="0" w:color="auto"/>
              <w:right w:val="single" w:sz="4" w:space="0" w:color="auto"/>
            </w:tcBorders>
            <w:hideMark/>
          </w:tcPr>
          <w:p w14:paraId="57D70468" w14:textId="77777777" w:rsidR="00F25792" w:rsidRPr="005D4222" w:rsidRDefault="00F25792" w:rsidP="00A53E8C">
            <w:pPr>
              <w:pStyle w:val="ECDSMarginSubhead"/>
              <w:rPr>
                <w:lang w:eastAsia="zh-CN"/>
              </w:rPr>
            </w:pPr>
            <w:r w:rsidRPr="005D4222">
              <w:rPr>
                <w:lang w:eastAsia="zh-CN"/>
              </w:rPr>
              <w:lastRenderedPageBreak/>
              <w:t>Guidance</w:t>
            </w:r>
          </w:p>
        </w:tc>
        <w:tc>
          <w:tcPr>
            <w:tcW w:w="7557" w:type="dxa"/>
            <w:gridSpan w:val="3"/>
            <w:tcBorders>
              <w:top w:val="single" w:sz="4" w:space="0" w:color="auto"/>
              <w:left w:val="single" w:sz="4" w:space="0" w:color="auto"/>
              <w:bottom w:val="single" w:sz="4" w:space="0" w:color="auto"/>
              <w:right w:val="single" w:sz="4" w:space="0" w:color="auto"/>
            </w:tcBorders>
          </w:tcPr>
          <w:p w14:paraId="6ED0FE24" w14:textId="77777777" w:rsidR="00F25792" w:rsidRPr="005D4222" w:rsidRDefault="00F25792" w:rsidP="00A53E8C">
            <w:pPr>
              <w:pStyle w:val="ECDSBody"/>
              <w:rPr>
                <w:rFonts w:ascii="Segoe UI" w:hAnsi="Segoe UI" w:cs="Segoe UI"/>
                <w:b/>
                <w:bCs w:val="0"/>
                <w:i/>
                <w:iCs/>
                <w:sz w:val="18"/>
                <w:szCs w:val="18"/>
              </w:rPr>
            </w:pPr>
            <w:r w:rsidRPr="005D4222">
              <w:rPr>
                <w:b/>
                <w:bCs w:val="0"/>
                <w:i/>
                <w:iCs/>
              </w:rPr>
              <w:t xml:space="preserve">Risk Adjustment Measure Specific Guidance </w:t>
            </w:r>
          </w:p>
          <w:p w14:paraId="62B2AEA7" w14:textId="77777777" w:rsidR="00F25792" w:rsidRPr="005D4222" w:rsidRDefault="00F25792" w:rsidP="00A53E8C">
            <w:pPr>
              <w:pStyle w:val="ECDSBody"/>
              <w:rPr>
                <w:rFonts w:ascii="Segoe UI" w:hAnsi="Segoe UI" w:cs="Segoe UI"/>
                <w:sz w:val="18"/>
                <w:szCs w:val="18"/>
              </w:rPr>
            </w:pPr>
            <w:r w:rsidRPr="005D4222">
              <w:rPr>
                <w:b/>
                <w:bCs w:val="0"/>
              </w:rPr>
              <w:t xml:space="preserve">Observation stays: </w:t>
            </w:r>
            <w:r w:rsidRPr="005D4222">
              <w:t>For observation stays (</w:t>
            </w:r>
            <w:r w:rsidRPr="005D4222">
              <w:rPr>
                <w:u w:val="single"/>
              </w:rPr>
              <w:t>Observation Stay Value Set</w:t>
            </w:r>
            <w:r w:rsidRPr="005D4222">
              <w:t xml:space="preserve">) that do not have a recorded admission or discharge date, set the admission date to the earliest date of service on the claim and set the discharge date to the last date of service on the claim. </w:t>
            </w:r>
          </w:p>
          <w:p w14:paraId="7BE31501" w14:textId="77777777" w:rsidR="00F25792" w:rsidRPr="005D4222" w:rsidRDefault="00F25792" w:rsidP="00A53E8C">
            <w:pPr>
              <w:pStyle w:val="ECDSBody"/>
              <w:rPr>
                <w:rFonts w:ascii="Segoe UI" w:hAnsi="Segoe UI" w:cs="Segoe UI"/>
                <w:b/>
                <w:bCs w:val="0"/>
                <w:sz w:val="18"/>
                <w:szCs w:val="18"/>
              </w:rPr>
            </w:pPr>
            <w:r w:rsidRPr="005D4222">
              <w:rPr>
                <w:b/>
                <w:bCs w:val="0"/>
              </w:rPr>
              <w:t xml:space="preserve">Which services count? </w:t>
            </w:r>
          </w:p>
          <w:p w14:paraId="51A9CD7C" w14:textId="77777777" w:rsidR="00F25792" w:rsidRPr="005D4222" w:rsidRDefault="00F25792" w:rsidP="005D6173">
            <w:pPr>
              <w:pStyle w:val="ProcessBullet"/>
              <w:numPr>
                <w:ilvl w:val="0"/>
                <w:numId w:val="98"/>
              </w:numPr>
              <w:tabs>
                <w:tab w:val="num" w:pos="720"/>
              </w:tabs>
              <w:ind w:left="216" w:hanging="216"/>
              <w:rPr>
                <w:rFonts w:ascii="Segoe UI" w:hAnsi="Segoe UI" w:cs="Segoe UI"/>
                <w:sz w:val="18"/>
                <w:szCs w:val="18"/>
              </w:rPr>
            </w:pPr>
            <w:r w:rsidRPr="005D4222">
              <w:t xml:space="preserve">Use all paid, suspended, pending and denied claims when applying risk adjustment comorbidity category determination and the hospice exclusion. </w:t>
            </w:r>
          </w:p>
          <w:p w14:paraId="7A3CED47" w14:textId="77777777" w:rsidR="00F25792" w:rsidRPr="005D4222" w:rsidRDefault="00F25792" w:rsidP="005D6173">
            <w:pPr>
              <w:pStyle w:val="ProcessBullet"/>
              <w:numPr>
                <w:ilvl w:val="0"/>
                <w:numId w:val="98"/>
              </w:numPr>
              <w:tabs>
                <w:tab w:val="num" w:pos="720"/>
              </w:tabs>
              <w:ind w:left="216" w:hanging="216"/>
              <w:rPr>
                <w:rFonts w:cs="Arial"/>
                <w:sz w:val="18"/>
                <w:szCs w:val="18"/>
              </w:rPr>
            </w:pPr>
            <w:r w:rsidRPr="005D4222">
              <w:t xml:space="preserve">Do not include denied claims when identifying all other events (e.g., denominator events or observed events in the other risk adjusted utilization measures); only report claims the organization paid for or expects to pay for (i.e., claims incurred but not paid). </w:t>
            </w:r>
            <w:r w:rsidRPr="005D4222">
              <w:rPr>
                <w:rFonts w:cs="Arial"/>
              </w:rPr>
              <w:t xml:space="preserve"> </w:t>
            </w:r>
          </w:p>
          <w:p w14:paraId="0E67B7D4" w14:textId="77777777" w:rsidR="00F25792" w:rsidRPr="005D4222" w:rsidRDefault="00F25792" w:rsidP="00A53E8C">
            <w:pPr>
              <w:pStyle w:val="E-Body"/>
              <w:rPr>
                <w:rFonts w:ascii="Segoe UI" w:hAnsi="Segoe UI" w:cs="Segoe UI"/>
                <w:sz w:val="18"/>
                <w:szCs w:val="18"/>
              </w:rPr>
            </w:pPr>
            <w:r w:rsidRPr="005D4222">
              <w:rPr>
                <w:b/>
              </w:rPr>
              <w:t xml:space="preserve">Supplemental data exceptions: </w:t>
            </w:r>
            <w:r w:rsidRPr="005D4222">
              <w:t>Supplemental data may only be used for the hospice exclusion.</w:t>
            </w:r>
          </w:p>
          <w:p w14:paraId="3C03FD62" w14:textId="77777777" w:rsidR="00F25792" w:rsidRPr="005D4222" w:rsidRDefault="00F25792" w:rsidP="00A53E8C">
            <w:pPr>
              <w:pStyle w:val="E-Body"/>
            </w:pPr>
            <w:r w:rsidRPr="005D4222">
              <w:rPr>
                <w:b/>
              </w:rPr>
              <w:t>Transfers:</w:t>
            </w:r>
            <w:r w:rsidRPr="005D4222">
              <w:t xml:space="preserve"> </w:t>
            </w:r>
          </w:p>
          <w:p w14:paraId="001C6961" w14:textId="77777777" w:rsidR="00F25792" w:rsidRPr="005D4222" w:rsidRDefault="00F25792" w:rsidP="005D6173">
            <w:pPr>
              <w:pStyle w:val="ProcessBullet"/>
              <w:numPr>
                <w:ilvl w:val="0"/>
                <w:numId w:val="98"/>
              </w:numPr>
              <w:tabs>
                <w:tab w:val="num" w:pos="720"/>
              </w:tabs>
              <w:ind w:left="216" w:hanging="216"/>
            </w:pPr>
            <w:r w:rsidRPr="005D4222">
              <w:t xml:space="preserve">Treat transfers </w:t>
            </w:r>
            <w:r w:rsidRPr="005D4222">
              <w:rPr>
                <w:i/>
                <w:iCs/>
              </w:rPr>
              <w:t xml:space="preserve">between </w:t>
            </w:r>
            <w:r w:rsidRPr="005D4222">
              <w:t xml:space="preserve">institutions as separate admissions. </w:t>
            </w:r>
          </w:p>
          <w:p w14:paraId="5D035A5F" w14:textId="77777777" w:rsidR="00F25792" w:rsidRPr="005D4222" w:rsidRDefault="00F25792" w:rsidP="005D6173">
            <w:pPr>
              <w:pStyle w:val="ProcessBullet"/>
              <w:numPr>
                <w:ilvl w:val="0"/>
                <w:numId w:val="98"/>
              </w:numPr>
              <w:tabs>
                <w:tab w:val="num" w:pos="720"/>
              </w:tabs>
              <w:ind w:left="216" w:hanging="216"/>
            </w:pPr>
            <w:r w:rsidRPr="005D4222">
              <w:t xml:space="preserve">Base transfer reports </w:t>
            </w:r>
            <w:r w:rsidRPr="005D4222">
              <w:rPr>
                <w:i/>
                <w:iCs/>
              </w:rPr>
              <w:t>within</w:t>
            </w:r>
            <w:r w:rsidRPr="005D4222">
              <w:t xml:space="preserve"> an institution on the type and level of services provided. </w:t>
            </w:r>
          </w:p>
          <w:p w14:paraId="64AEC7D3" w14:textId="77777777" w:rsidR="00F25792" w:rsidRPr="005D4222" w:rsidRDefault="00F25792" w:rsidP="005D6173">
            <w:pPr>
              <w:pStyle w:val="ProcessBullet"/>
              <w:numPr>
                <w:ilvl w:val="0"/>
                <w:numId w:val="98"/>
              </w:numPr>
              <w:tabs>
                <w:tab w:val="num" w:pos="720"/>
              </w:tabs>
              <w:ind w:left="216" w:hanging="216"/>
            </w:pPr>
            <w:r w:rsidRPr="005D4222">
              <w:t xml:space="preserve">Report separate admissions when the transfer is between acute and nonacute levels of service or between mental health/chemical dependency services and non-mental health/chemical dependency services. </w:t>
            </w:r>
          </w:p>
          <w:p w14:paraId="2034E5A9" w14:textId="77777777" w:rsidR="00F25792" w:rsidRPr="005D4222" w:rsidRDefault="00F25792" w:rsidP="005D6173">
            <w:pPr>
              <w:pStyle w:val="ProcessBullet"/>
              <w:numPr>
                <w:ilvl w:val="0"/>
                <w:numId w:val="98"/>
              </w:numPr>
              <w:tabs>
                <w:tab w:val="num" w:pos="720"/>
              </w:tabs>
              <w:ind w:left="216" w:hanging="216"/>
            </w:pPr>
            <w:r w:rsidRPr="005D4222">
              <w:t>Count only one admission when the transfer takes place within the same service category, but to a different level of care (e.g., from intensive care to a lesser level of care; from a lesser level of care to intensive care).</w:t>
            </w:r>
          </w:p>
          <w:p w14:paraId="285B4F79" w14:textId="77777777" w:rsidR="00F25792" w:rsidRPr="005D4222" w:rsidRDefault="00F25792" w:rsidP="00A53E8C">
            <w:pPr>
              <w:pStyle w:val="E-Body"/>
            </w:pPr>
            <w:r w:rsidRPr="005D4222">
              <w:rPr>
                <w:b/>
              </w:rPr>
              <w:t>Risk adjustment:</w:t>
            </w:r>
            <w:r w:rsidRPr="005D4222">
              <w:t xml:space="preserve"> Organizations may not use risk assessment protocols to supplement diagnoses for calculation of the risk adjustment scores for these measures. The measurement model was developed and tested using only claims-based diagnoses; diagnoses from additional data sources would affect the validity of the models as they are currently implemented in the specification. </w:t>
            </w:r>
          </w:p>
          <w:p w14:paraId="5204AEF2" w14:textId="77777777" w:rsidR="00F25792" w:rsidRPr="005D4222" w:rsidRDefault="00F25792" w:rsidP="00A53E8C">
            <w:pPr>
              <w:pStyle w:val="ECDSBody"/>
              <w:rPr>
                <w:b/>
                <w:bCs w:val="0"/>
                <w:i/>
                <w:iCs/>
              </w:rPr>
            </w:pPr>
            <w:r w:rsidRPr="005D4222">
              <w:rPr>
                <w:b/>
                <w:bCs w:val="0"/>
                <w:i/>
                <w:iCs/>
              </w:rPr>
              <w:t xml:space="preserve">General Rules </w:t>
            </w:r>
          </w:p>
          <w:p w14:paraId="18B85986" w14:textId="247D04B3" w:rsidR="00F25792" w:rsidRPr="005D4222" w:rsidRDefault="00F25792" w:rsidP="00A53E8C">
            <w:pPr>
              <w:pStyle w:val="ECDSBody"/>
              <w:spacing w:before="0"/>
            </w:pPr>
            <w:r w:rsidRPr="005D4222">
              <w:rPr>
                <w:b/>
              </w:rPr>
              <w:t xml:space="preserve">Data collection methodology: </w:t>
            </w:r>
            <w:r w:rsidRPr="005D4222">
              <w:t xml:space="preserve">Administrative. Refer to </w:t>
            </w:r>
            <w:hyperlink w:anchor="General_Guideline_Data_Collection_Method" w:history="1">
              <w:r w:rsidRPr="005D4222">
                <w:rPr>
                  <w:rStyle w:val="Hyperlink"/>
                  <w:i/>
                  <w:iCs/>
                </w:rPr>
                <w:t>General Guideline: Data Collection Methods</w:t>
              </w:r>
            </w:hyperlink>
            <w:r w:rsidRPr="005D4222">
              <w:t xml:space="preserve"> for additional information.  </w:t>
            </w:r>
          </w:p>
          <w:p w14:paraId="734F3AD3" w14:textId="77777777" w:rsidR="00F25792" w:rsidRPr="005D4222" w:rsidRDefault="00F25792" w:rsidP="00A53E8C">
            <w:pPr>
              <w:pStyle w:val="ECDSBody"/>
            </w:pPr>
            <w:r w:rsidRPr="005D4222">
              <w:rPr>
                <w:b/>
              </w:rPr>
              <w:t>Date specificity:</w:t>
            </w:r>
            <w:r w:rsidRPr="005D4222">
              <w:t xml:space="preserve"> Dates must be specific enough to determine the event occurred in the period being measured. </w:t>
            </w:r>
          </w:p>
          <w:p w14:paraId="4190A5FE" w14:textId="77777777" w:rsidR="00F25792" w:rsidRPr="005D4222" w:rsidRDefault="00F25792" w:rsidP="00A53E8C">
            <w:pPr>
              <w:pStyle w:val="ECDSBody"/>
            </w:pPr>
            <w:r w:rsidRPr="005D4222">
              <w:rPr>
                <w:b/>
                <w:bCs w:val="0"/>
                <w:szCs w:val="21"/>
              </w:rPr>
              <w:t>Other guidance</w:t>
            </w:r>
            <w:r w:rsidRPr="005D4222">
              <w:rPr>
                <w:szCs w:val="21"/>
              </w:rPr>
              <w:t>: The measure is based on episodes; therefore, it is possible for the denominator to include multiple events for the same person.</w:t>
            </w:r>
          </w:p>
          <w:p w14:paraId="6789DD6B" w14:textId="5D1B8527" w:rsidR="00F25792" w:rsidRPr="005D4222" w:rsidRDefault="00F25792" w:rsidP="00D66A85">
            <w:pPr>
              <w:pStyle w:val="ECDSBody"/>
            </w:pPr>
            <w:r w:rsidRPr="005D4222">
              <w:rPr>
                <w:b/>
              </w:rPr>
              <w:t xml:space="preserve">Improvement </w:t>
            </w:r>
            <w:r w:rsidR="00D66A85" w:rsidRPr="005D4222">
              <w:rPr>
                <w:b/>
              </w:rPr>
              <w:t>n</w:t>
            </w:r>
            <w:r w:rsidRPr="005D4222">
              <w:rPr>
                <w:b/>
              </w:rPr>
              <w:t>otation</w:t>
            </w:r>
            <w:r w:rsidR="00D66A85" w:rsidRPr="005D4222">
              <w:rPr>
                <w:b/>
              </w:rPr>
              <w:t xml:space="preserve">: </w:t>
            </w:r>
            <w:r w:rsidRPr="005D4222">
              <w:t>To interpret the ratio as better or worse than expected, the ratio must be calibrated. Organizations can calibrate ratios by dividing individual organization ratios or national percentiles by the national average ratios. Organizations may be more successful at achieving fewer hospitalizations than expected, given the types of cases treated by the organization (calibrated ratio with a value &lt;1.0), or may be less successful (calibrated ratio with a value &gt;1.0).</w:t>
            </w:r>
          </w:p>
        </w:tc>
      </w:tr>
    </w:tbl>
    <w:p w14:paraId="34FB7265" w14:textId="77777777" w:rsidR="00F25792" w:rsidRPr="005D4222" w:rsidRDefault="00F25792" w:rsidP="00F25792">
      <w:pPr>
        <w:spacing w:after="160" w:line="259" w:lineRule="auto"/>
      </w:pPr>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3" w:type="dxa"/>
          <w:right w:w="86" w:type="dxa"/>
        </w:tblCellMar>
        <w:tblLook w:val="04A0" w:firstRow="1" w:lastRow="0" w:firstColumn="1" w:lastColumn="0" w:noHBand="0" w:noVBand="1"/>
      </w:tblPr>
      <w:tblGrid>
        <w:gridCol w:w="2157"/>
        <w:gridCol w:w="7557"/>
      </w:tblGrid>
      <w:tr w:rsidR="00F25792" w:rsidRPr="005D4222" w14:paraId="6278ED0C" w14:textId="77777777" w:rsidTr="00A53E8C">
        <w:tc>
          <w:tcPr>
            <w:tcW w:w="9714" w:type="dxa"/>
            <w:gridSpan w:val="2"/>
            <w:tcBorders>
              <w:top w:val="single" w:sz="2" w:space="0" w:color="auto"/>
              <w:left w:val="single" w:sz="2" w:space="0" w:color="auto"/>
              <w:bottom w:val="single" w:sz="2" w:space="0" w:color="auto"/>
              <w:right w:val="single" w:sz="4" w:space="0" w:color="auto"/>
            </w:tcBorders>
            <w:shd w:val="clear" w:color="auto" w:fill="BFBFBF" w:themeFill="background1" w:themeFillShade="BF"/>
          </w:tcPr>
          <w:p w14:paraId="2D604D0E" w14:textId="77777777" w:rsidR="00F25792" w:rsidRPr="005D4222" w:rsidRDefault="00F25792" w:rsidP="00A53E8C">
            <w:pPr>
              <w:pStyle w:val="MarginHead"/>
              <w:spacing w:line="256" w:lineRule="auto"/>
              <w:rPr>
                <w:rFonts w:cs="Arial"/>
                <w:color w:val="000000" w:themeColor="text1"/>
                <w:szCs w:val="22"/>
              </w:rPr>
            </w:pPr>
            <w:r w:rsidRPr="005D4222">
              <w:rPr>
                <w:rFonts w:cs="Arial"/>
                <w:color w:val="000000" w:themeColor="text1"/>
                <w:szCs w:val="22"/>
                <w:lang w:eastAsia="zh-CN"/>
              </w:rPr>
              <w:lastRenderedPageBreak/>
              <w:t>Definitions</w:t>
            </w:r>
          </w:p>
        </w:tc>
      </w:tr>
      <w:tr w:rsidR="00F25792" w:rsidRPr="005D4222" w14:paraId="0F9633DA" w14:textId="77777777" w:rsidTr="007B5FC3">
        <w:tc>
          <w:tcPr>
            <w:tcW w:w="2157" w:type="dxa"/>
            <w:tcBorders>
              <w:top w:val="single" w:sz="2" w:space="0" w:color="auto"/>
              <w:left w:val="single" w:sz="2" w:space="0" w:color="auto"/>
              <w:bottom w:val="nil"/>
              <w:right w:val="single" w:sz="2" w:space="0" w:color="auto"/>
            </w:tcBorders>
            <w:tcMar>
              <w:top w:w="0" w:type="dxa"/>
            </w:tcMar>
          </w:tcPr>
          <w:p w14:paraId="542AD2D4" w14:textId="77777777" w:rsidR="00F25792" w:rsidRPr="005D4222" w:rsidRDefault="00F25792" w:rsidP="00CC18FB">
            <w:pPr>
              <w:pStyle w:val="ECDSSubhead"/>
              <w:rPr>
                <w:lang w:eastAsia="zh-CN"/>
              </w:rPr>
            </w:pPr>
            <w:r w:rsidRPr="005D4222">
              <w:rPr>
                <w:lang w:eastAsia="zh-CN"/>
              </w:rPr>
              <w:t>Direct transfer</w:t>
            </w:r>
          </w:p>
        </w:tc>
        <w:tc>
          <w:tcPr>
            <w:tcW w:w="7557" w:type="dxa"/>
            <w:tcBorders>
              <w:top w:val="single" w:sz="4" w:space="0" w:color="auto"/>
              <w:left w:val="single" w:sz="4" w:space="0" w:color="auto"/>
              <w:bottom w:val="nil"/>
              <w:right w:val="single" w:sz="4" w:space="0" w:color="auto"/>
            </w:tcBorders>
            <w:tcMar>
              <w:top w:w="0" w:type="dxa"/>
            </w:tcMar>
          </w:tcPr>
          <w:p w14:paraId="09E6F752" w14:textId="77777777" w:rsidR="00F25792" w:rsidRPr="005D4222" w:rsidRDefault="00F25792" w:rsidP="00A53E8C">
            <w:pPr>
              <w:pStyle w:val="ECDSBody"/>
              <w:rPr>
                <w:lang w:eastAsia="zh-CN"/>
              </w:rPr>
            </w:pPr>
            <w:r w:rsidRPr="005D4222">
              <w:rPr>
                <w:lang w:eastAsia="zh-CN"/>
              </w:rPr>
              <w:t xml:space="preserve">When the discharge date from the initial stay precedes the admission date to a subsequent stay by 1 calendar day or less. </w:t>
            </w:r>
          </w:p>
          <w:p w14:paraId="7CAAB244" w14:textId="77777777" w:rsidR="00F25792" w:rsidRPr="005D4222" w:rsidRDefault="00F25792" w:rsidP="00A53E8C">
            <w:pPr>
              <w:pStyle w:val="Bullet"/>
              <w:rPr>
                <w:i/>
                <w:lang w:eastAsia="zh-CN"/>
              </w:rPr>
            </w:pPr>
            <w:r w:rsidRPr="005D4222">
              <w:rPr>
                <w:i/>
                <w:lang w:eastAsia="zh-CN"/>
              </w:rPr>
              <w:t xml:space="preserve">For example: </w:t>
            </w:r>
          </w:p>
          <w:p w14:paraId="3B85E4B9" w14:textId="77777777" w:rsidR="00F25792" w:rsidRPr="005D4222" w:rsidRDefault="00F25792" w:rsidP="00F25792">
            <w:pPr>
              <w:pStyle w:val="Dash"/>
              <w:tabs>
                <w:tab w:val="left" w:pos="576"/>
                <w:tab w:val="left" w:pos="792"/>
              </w:tabs>
              <w:rPr>
                <w:i/>
                <w:iCs/>
              </w:rPr>
            </w:pPr>
            <w:r w:rsidRPr="005D4222">
              <w:t>A discharge on June 1, followed by a subsequent admission on June 1 or June 2,</w:t>
            </w:r>
            <w:r w:rsidRPr="005D4222">
              <w:rPr>
                <w:i/>
                <w:iCs/>
              </w:rPr>
              <w:t xml:space="preserve"> is a direct transfer. </w:t>
            </w:r>
          </w:p>
          <w:p w14:paraId="1AA4572A" w14:textId="77777777" w:rsidR="00F25792" w:rsidRPr="005D4222" w:rsidRDefault="00F25792" w:rsidP="00F25792">
            <w:pPr>
              <w:pStyle w:val="Dash"/>
              <w:tabs>
                <w:tab w:val="left" w:pos="576"/>
                <w:tab w:val="left" w:pos="792"/>
              </w:tabs>
            </w:pPr>
            <w:r w:rsidRPr="005D4222">
              <w:t xml:space="preserve">A discharge on June 1, followed by a subsequent admission on </w:t>
            </w:r>
            <w:r w:rsidRPr="005D4222">
              <w:br/>
              <w:t>June 3,</w:t>
            </w:r>
            <w:r w:rsidRPr="005D4222">
              <w:rPr>
                <w:i/>
                <w:iCs/>
              </w:rPr>
              <w:t xml:space="preserve"> is not a direct transfer;</w:t>
            </w:r>
            <w:r w:rsidRPr="005D4222">
              <w:t xml:space="preserve"> these are two distinct stays. </w:t>
            </w:r>
          </w:p>
          <w:p w14:paraId="2DB0A473" w14:textId="77777777" w:rsidR="00F25792" w:rsidRPr="005D4222" w:rsidRDefault="00F25792" w:rsidP="00F25792">
            <w:pPr>
              <w:pStyle w:val="Dash"/>
              <w:tabs>
                <w:tab w:val="left" w:pos="576"/>
                <w:tab w:val="left" w:pos="792"/>
              </w:tabs>
              <w:rPr>
                <w:i/>
                <w:iCs/>
              </w:rPr>
            </w:pPr>
            <w:r w:rsidRPr="005D4222">
              <w:t>A discharge on June 1, followed by a subsequent admission on June 2 (with discharge on June 3), followed by a subsequent admission on June 4,</w:t>
            </w:r>
            <w:r w:rsidRPr="005D4222">
              <w:rPr>
                <w:i/>
                <w:iCs/>
              </w:rPr>
              <w:t xml:space="preserve"> is a direct transfer. </w:t>
            </w:r>
          </w:p>
          <w:p w14:paraId="6CA1A079" w14:textId="77777777" w:rsidR="00F25792" w:rsidRPr="005D4222" w:rsidRDefault="00F25792" w:rsidP="00A53E8C">
            <w:pPr>
              <w:pStyle w:val="ECDSBody"/>
              <w:spacing w:after="0"/>
              <w:rPr>
                <w:lang w:eastAsia="zh-CN"/>
              </w:rPr>
            </w:pPr>
            <w:r w:rsidRPr="005D4222">
              <w:rPr>
                <w:lang w:eastAsia="zh-CN"/>
              </w:rPr>
              <w:t xml:space="preserve">Direct transfers may occur between different facilities, and between acute inpatient and observation. </w:t>
            </w:r>
          </w:p>
        </w:tc>
      </w:tr>
      <w:tr w:rsidR="00F25792" w:rsidRPr="005D4222" w14:paraId="05A7B7AD" w14:textId="77777777" w:rsidTr="007B5FC3">
        <w:tc>
          <w:tcPr>
            <w:tcW w:w="2157" w:type="dxa"/>
            <w:tcBorders>
              <w:top w:val="nil"/>
              <w:left w:val="single" w:sz="2" w:space="0" w:color="auto"/>
              <w:bottom w:val="nil"/>
              <w:right w:val="single" w:sz="2" w:space="0" w:color="auto"/>
            </w:tcBorders>
            <w:tcMar>
              <w:top w:w="0" w:type="dxa"/>
            </w:tcMar>
          </w:tcPr>
          <w:p w14:paraId="104FE945" w14:textId="77777777" w:rsidR="00F25792" w:rsidRPr="005D4222" w:rsidRDefault="00F25792" w:rsidP="00CC18FB">
            <w:pPr>
              <w:pStyle w:val="ECDSSubhead"/>
              <w:rPr>
                <w:lang w:eastAsia="zh-CN"/>
              </w:rPr>
            </w:pPr>
            <w:r w:rsidRPr="005D4222">
              <w:rPr>
                <w:lang w:eastAsia="zh-CN"/>
              </w:rPr>
              <w:t>Outpatient colonoscopy episode</w:t>
            </w:r>
          </w:p>
        </w:tc>
        <w:tc>
          <w:tcPr>
            <w:tcW w:w="7557" w:type="dxa"/>
            <w:tcBorders>
              <w:top w:val="nil"/>
              <w:left w:val="single" w:sz="4" w:space="0" w:color="auto"/>
              <w:bottom w:val="nil"/>
              <w:right w:val="single" w:sz="4" w:space="0" w:color="auto"/>
            </w:tcBorders>
            <w:tcMar>
              <w:top w:w="0" w:type="dxa"/>
            </w:tcMar>
          </w:tcPr>
          <w:p w14:paraId="64B4C2F2" w14:textId="77777777" w:rsidR="00F25792" w:rsidRPr="005D4222" w:rsidRDefault="00F25792" w:rsidP="00A53E8C">
            <w:pPr>
              <w:pStyle w:val="ECDSBody"/>
              <w:spacing w:after="0"/>
            </w:pPr>
            <w:r w:rsidRPr="005D4222">
              <w:t>A qualifying outpatient colonoscopy that occurs on or between January 1 and December 16 of the measurement period, as identified in the denominator.</w:t>
            </w:r>
          </w:p>
        </w:tc>
      </w:tr>
      <w:tr w:rsidR="00F25792" w:rsidRPr="005D4222" w14:paraId="247C3D76" w14:textId="77777777" w:rsidTr="007B5FC3">
        <w:tc>
          <w:tcPr>
            <w:tcW w:w="2157" w:type="dxa"/>
            <w:tcBorders>
              <w:top w:val="nil"/>
              <w:left w:val="single" w:sz="2" w:space="0" w:color="auto"/>
              <w:bottom w:val="nil"/>
              <w:right w:val="single" w:sz="2" w:space="0" w:color="auto"/>
            </w:tcBorders>
            <w:tcMar>
              <w:top w:w="0" w:type="dxa"/>
            </w:tcMar>
          </w:tcPr>
          <w:p w14:paraId="0E3E21B2" w14:textId="77777777" w:rsidR="00F25792" w:rsidRPr="005D4222" w:rsidRDefault="00F25792" w:rsidP="00CC18FB">
            <w:pPr>
              <w:pStyle w:val="ECDSSubhead"/>
              <w:rPr>
                <w:lang w:eastAsia="zh-CN"/>
              </w:rPr>
            </w:pPr>
            <w:r w:rsidRPr="005D4222">
              <w:rPr>
                <w:lang w:eastAsia="zh-CN"/>
              </w:rPr>
              <w:t>Outpatient colonoscopy episode date</w:t>
            </w:r>
          </w:p>
        </w:tc>
        <w:tc>
          <w:tcPr>
            <w:tcW w:w="7557" w:type="dxa"/>
            <w:tcBorders>
              <w:top w:val="nil"/>
              <w:left w:val="single" w:sz="4" w:space="0" w:color="auto"/>
              <w:bottom w:val="nil"/>
              <w:right w:val="single" w:sz="4" w:space="0" w:color="auto"/>
            </w:tcBorders>
            <w:tcMar>
              <w:top w:w="0" w:type="dxa"/>
            </w:tcMar>
          </w:tcPr>
          <w:p w14:paraId="009F65D6" w14:textId="77777777" w:rsidR="00F25792" w:rsidRPr="005D4222" w:rsidRDefault="00F25792" w:rsidP="00A53E8C">
            <w:pPr>
              <w:pStyle w:val="ECDSBody"/>
              <w:spacing w:after="0"/>
              <w:rPr>
                <w:szCs w:val="21"/>
              </w:rPr>
            </w:pPr>
            <w:r w:rsidRPr="005D4222">
              <w:t xml:space="preserve">The date of service for </w:t>
            </w:r>
            <w:r w:rsidRPr="005D4222">
              <w:rPr>
                <w:szCs w:val="21"/>
              </w:rPr>
              <w:t xml:space="preserve">a qualifying outpatient colonoscopy episode. </w:t>
            </w:r>
          </w:p>
          <w:p w14:paraId="7E1270BF" w14:textId="77777777" w:rsidR="00F25792" w:rsidRPr="005D4222" w:rsidRDefault="00F25792" w:rsidP="00A53E8C">
            <w:pPr>
              <w:pStyle w:val="ECDSBody"/>
              <w:spacing w:after="0"/>
            </w:pPr>
            <w:r w:rsidRPr="005D4222">
              <w:t>For episodes that span more than 1 calendar day, use the last service date as the episode date.</w:t>
            </w:r>
          </w:p>
        </w:tc>
      </w:tr>
      <w:tr w:rsidR="00F25792" w:rsidRPr="005D4222" w14:paraId="7EBC0D87" w14:textId="77777777" w:rsidTr="007B5FC3">
        <w:tc>
          <w:tcPr>
            <w:tcW w:w="2157" w:type="dxa"/>
            <w:tcBorders>
              <w:top w:val="nil"/>
              <w:left w:val="single" w:sz="2" w:space="0" w:color="auto"/>
              <w:bottom w:val="single" w:sz="2" w:space="0" w:color="auto"/>
              <w:right w:val="single" w:sz="2" w:space="0" w:color="auto"/>
            </w:tcBorders>
            <w:tcMar>
              <w:top w:w="0" w:type="dxa"/>
            </w:tcMar>
          </w:tcPr>
          <w:p w14:paraId="4D4E9070" w14:textId="77777777" w:rsidR="00F25792" w:rsidRPr="005D4222" w:rsidRDefault="00F25792" w:rsidP="00CC18FB">
            <w:pPr>
              <w:pStyle w:val="ECDSSubhead"/>
              <w:spacing w:after="80"/>
              <w:rPr>
                <w:lang w:eastAsia="zh-CN"/>
              </w:rPr>
            </w:pPr>
            <w:r w:rsidRPr="005D4222">
              <w:rPr>
                <w:lang w:eastAsia="zh-CN"/>
              </w:rPr>
              <w:t>Planned hospital stay</w:t>
            </w:r>
          </w:p>
        </w:tc>
        <w:tc>
          <w:tcPr>
            <w:tcW w:w="7557" w:type="dxa"/>
            <w:tcBorders>
              <w:top w:val="nil"/>
              <w:left w:val="single" w:sz="4" w:space="0" w:color="auto"/>
              <w:bottom w:val="single" w:sz="4" w:space="0" w:color="auto"/>
              <w:right w:val="single" w:sz="4" w:space="0" w:color="auto"/>
            </w:tcBorders>
            <w:tcMar>
              <w:top w:w="0" w:type="dxa"/>
            </w:tcMar>
          </w:tcPr>
          <w:p w14:paraId="5A07F7D8" w14:textId="77777777" w:rsidR="00F25792" w:rsidRPr="005D4222" w:rsidRDefault="00F25792" w:rsidP="00A53E8C">
            <w:pPr>
              <w:pStyle w:val="ECDSBody"/>
              <w:rPr>
                <w:szCs w:val="21"/>
              </w:rPr>
            </w:pPr>
            <w:r w:rsidRPr="005D4222">
              <w:rPr>
                <w:szCs w:val="21"/>
              </w:rPr>
              <w:t xml:space="preserve">A hospital stay that meets criteria in step 3 of the numerator. </w:t>
            </w:r>
          </w:p>
        </w:tc>
      </w:tr>
      <w:tr w:rsidR="00F25792" w:rsidRPr="005D4222" w14:paraId="5BC25A46" w14:textId="77777777" w:rsidTr="00A53E8C">
        <w:tc>
          <w:tcPr>
            <w:tcW w:w="2157" w:type="dxa"/>
            <w:tcBorders>
              <w:top w:val="single" w:sz="2" w:space="0" w:color="auto"/>
              <w:left w:val="single" w:sz="2" w:space="0" w:color="auto"/>
              <w:bottom w:val="single" w:sz="2" w:space="0" w:color="auto"/>
              <w:right w:val="single" w:sz="2" w:space="0" w:color="auto"/>
            </w:tcBorders>
            <w:shd w:val="clear" w:color="auto" w:fill="BFBFBF" w:themeFill="background1" w:themeFillShade="BF"/>
            <w:tcMar>
              <w:top w:w="0" w:type="dxa"/>
            </w:tcMar>
            <w:hideMark/>
          </w:tcPr>
          <w:p w14:paraId="0F60021C" w14:textId="77777777" w:rsidR="00F25792" w:rsidRPr="005D4222" w:rsidRDefault="00F25792" w:rsidP="00A53E8C">
            <w:pPr>
              <w:pStyle w:val="ECDSMarginHead"/>
              <w:rPr>
                <w:lang w:eastAsia="zh-CN"/>
              </w:rPr>
            </w:pPr>
            <w:r w:rsidRPr="005D4222">
              <w:rPr>
                <w:lang w:eastAsia="zh-CN"/>
              </w:rPr>
              <w:t>Initial population</w:t>
            </w:r>
          </w:p>
        </w:tc>
        <w:tc>
          <w:tcPr>
            <w:tcW w:w="7557" w:type="dxa"/>
            <w:tcBorders>
              <w:top w:val="single" w:sz="4" w:space="0" w:color="auto"/>
              <w:left w:val="single" w:sz="4" w:space="0" w:color="auto"/>
              <w:bottom w:val="single" w:sz="4" w:space="0" w:color="auto"/>
              <w:right w:val="single" w:sz="4" w:space="0" w:color="auto"/>
            </w:tcBorders>
            <w:tcMar>
              <w:top w:w="0" w:type="dxa"/>
            </w:tcMar>
            <w:hideMark/>
          </w:tcPr>
          <w:p w14:paraId="713DAEA1" w14:textId="77777777" w:rsidR="00F25792" w:rsidRPr="005D4222" w:rsidRDefault="00F25792" w:rsidP="00A53E8C">
            <w:pPr>
              <w:pStyle w:val="ECDSBody"/>
              <w:rPr>
                <w:lang w:eastAsia="zh-CN"/>
              </w:rPr>
            </w:pPr>
            <w:r w:rsidRPr="005D4222">
              <w:rPr>
                <w:i/>
                <w:iCs/>
                <w:lang w:eastAsia="zh-CN"/>
              </w:rPr>
              <w:t xml:space="preserve">Measure item count: </w:t>
            </w:r>
            <w:r w:rsidRPr="005D4222">
              <w:rPr>
                <w:lang w:eastAsia="zh-CN"/>
              </w:rPr>
              <w:t>Episode.</w:t>
            </w:r>
          </w:p>
          <w:p w14:paraId="66615B1C" w14:textId="77777777" w:rsidR="00F25792" w:rsidRPr="005D4222" w:rsidRDefault="00F25792" w:rsidP="00A53E8C">
            <w:pPr>
              <w:pStyle w:val="ECDSBody"/>
              <w:rPr>
                <w:lang w:eastAsia="zh-CN"/>
              </w:rPr>
            </w:pPr>
            <w:r w:rsidRPr="005D4222">
              <w:rPr>
                <w:i/>
                <w:iCs/>
                <w:lang w:eastAsia="zh-CN"/>
              </w:rPr>
              <w:t>Attribution basis:</w:t>
            </w:r>
            <w:r w:rsidRPr="005D4222">
              <w:rPr>
                <w:lang w:eastAsia="zh-CN"/>
              </w:rPr>
              <w:t xml:space="preserve"> Enrollment.</w:t>
            </w:r>
          </w:p>
          <w:p w14:paraId="3FF12E7E" w14:textId="77777777" w:rsidR="00F25792" w:rsidRPr="005D4222" w:rsidRDefault="00F25792" w:rsidP="00A53E8C">
            <w:pPr>
              <w:pStyle w:val="Bullet"/>
              <w:rPr>
                <w:lang w:eastAsia="zh-CN"/>
              </w:rPr>
            </w:pPr>
            <w:r w:rsidRPr="005D4222">
              <w:rPr>
                <w:i/>
                <w:lang w:eastAsia="zh-CN"/>
              </w:rPr>
              <w:t>Benefits:</w:t>
            </w:r>
            <w:r w:rsidRPr="005D4222">
              <w:rPr>
                <w:lang w:eastAsia="zh-CN"/>
              </w:rPr>
              <w:t xml:space="preserve"> Medical.</w:t>
            </w:r>
          </w:p>
          <w:p w14:paraId="22917224" w14:textId="77777777" w:rsidR="00F25792" w:rsidRPr="005D4222" w:rsidRDefault="00F25792" w:rsidP="00A53E8C">
            <w:pPr>
              <w:pStyle w:val="Bullet"/>
              <w:rPr>
                <w:lang w:eastAsia="zh-CN"/>
              </w:rPr>
            </w:pPr>
            <w:r w:rsidRPr="005D4222">
              <w:rPr>
                <w:i/>
                <w:lang w:eastAsia="zh-CN"/>
              </w:rPr>
              <w:t>Continuous enrollment:</w:t>
            </w:r>
            <w:r w:rsidRPr="005D4222">
              <w:rPr>
                <w:lang w:eastAsia="zh-CN"/>
              </w:rPr>
              <w:t xml:space="preserve"> </w:t>
            </w:r>
            <w:r w:rsidRPr="005D4222">
              <w:t>365 days prior to the outpatient colonoscopy episode date through 15 days after the episode date.</w:t>
            </w:r>
          </w:p>
          <w:p w14:paraId="40D484CD" w14:textId="77777777" w:rsidR="00F25792" w:rsidRPr="005D4222" w:rsidDel="00762C83" w:rsidRDefault="00E94661" w:rsidP="00A53E8C">
            <w:pPr>
              <w:pStyle w:val="Bullet"/>
              <w:rPr>
                <w:lang w:eastAsia="zh-CN"/>
              </w:rPr>
            </w:pPr>
            <w:r w:rsidRPr="005D4222">
              <w:rPr>
                <w:i/>
                <w:iCs/>
                <w:lang w:eastAsia="zh-CN"/>
              </w:rPr>
              <w:t>Allowable gap:</w:t>
            </w:r>
            <w:r w:rsidR="00F25792" w:rsidRPr="005D4222">
              <w:rPr>
                <w:lang w:eastAsia="zh-CN"/>
              </w:rPr>
              <w:t xml:space="preserve"> </w:t>
            </w:r>
          </w:p>
          <w:p w14:paraId="33F78F61" w14:textId="77777777" w:rsidR="00F25792" w:rsidRPr="005D4222" w:rsidRDefault="00F25792" w:rsidP="00F25792">
            <w:pPr>
              <w:pStyle w:val="Dash"/>
              <w:tabs>
                <w:tab w:val="left" w:pos="576"/>
                <w:tab w:val="left" w:pos="792"/>
              </w:tabs>
            </w:pPr>
            <w:r w:rsidRPr="005D4222">
              <w:rPr>
                <w:i/>
                <w:iCs/>
              </w:rPr>
              <w:t xml:space="preserve">365 days prior to the outpatient colonoscopy episode: </w:t>
            </w:r>
            <w:r w:rsidRPr="005D4222">
              <w:t xml:space="preserve">No more than one gap of &lt;45 days.  </w:t>
            </w:r>
          </w:p>
          <w:p w14:paraId="3B444D16" w14:textId="77777777" w:rsidR="00F25792" w:rsidRPr="005D4222" w:rsidRDefault="00F25792" w:rsidP="00F25792">
            <w:pPr>
              <w:pStyle w:val="Dash"/>
              <w:tabs>
                <w:tab w:val="left" w:pos="576"/>
                <w:tab w:val="left" w:pos="792"/>
              </w:tabs>
            </w:pPr>
            <w:r w:rsidRPr="005D4222">
              <w:rPr>
                <w:i/>
                <w:iCs/>
              </w:rPr>
              <w:t xml:space="preserve">Outpatient colonoscopy episode through 15 days after the episode: </w:t>
            </w:r>
            <w:r w:rsidRPr="005D4222">
              <w:br/>
              <w:t xml:space="preserve">No gaps. </w:t>
            </w:r>
          </w:p>
          <w:p w14:paraId="464E1E75" w14:textId="77777777" w:rsidR="00F25792" w:rsidRPr="005D4222" w:rsidRDefault="00F25792" w:rsidP="00A53E8C">
            <w:pPr>
              <w:pStyle w:val="ECDSBody"/>
              <w:rPr>
                <w:lang w:eastAsia="zh-CN"/>
              </w:rPr>
            </w:pPr>
            <w:r w:rsidRPr="005D4222">
              <w:rPr>
                <w:i/>
                <w:lang w:eastAsia="zh-CN"/>
              </w:rPr>
              <w:t xml:space="preserve">Ages: </w:t>
            </w:r>
            <w:r w:rsidRPr="005D4222">
              <w:rPr>
                <w:lang w:eastAsia="zh-CN"/>
              </w:rPr>
              <w:t>65 years of age and older as of the outpatient colonoscopy episode.</w:t>
            </w:r>
          </w:p>
          <w:p w14:paraId="3DF343B3" w14:textId="77777777" w:rsidR="00F25792" w:rsidRPr="005D4222" w:rsidRDefault="00F25792" w:rsidP="00A53E8C">
            <w:pPr>
              <w:pStyle w:val="ECDSBody"/>
              <w:rPr>
                <w:lang w:eastAsia="zh-CN"/>
              </w:rPr>
            </w:pPr>
            <w:r w:rsidRPr="005D4222">
              <w:rPr>
                <w:i/>
                <w:lang w:eastAsia="zh-CN"/>
              </w:rPr>
              <w:t>Gender/Sex criteria:</w:t>
            </w:r>
            <w:r w:rsidRPr="005D4222">
              <w:rPr>
                <w:lang w:eastAsia="zh-CN"/>
              </w:rPr>
              <w:t xml:space="preserve"> </w:t>
            </w:r>
            <w:r w:rsidRPr="005D4222">
              <w:rPr>
                <w:i/>
                <w:lang w:eastAsia="zh-CN"/>
              </w:rPr>
              <w:t xml:space="preserve"> </w:t>
            </w:r>
            <w:r w:rsidRPr="005D4222">
              <w:rPr>
                <w:lang w:eastAsia="zh-CN"/>
              </w:rPr>
              <w:t xml:space="preserve"> </w:t>
            </w:r>
          </w:p>
          <w:p w14:paraId="3878F1A9" w14:textId="77777777" w:rsidR="00F25792" w:rsidRPr="005D4222" w:rsidRDefault="00F25792" w:rsidP="00A53E8C">
            <w:pPr>
              <w:pStyle w:val="Bullet"/>
              <w:tabs>
                <w:tab w:val="left" w:pos="360"/>
                <w:tab w:val="left" w:pos="576"/>
              </w:tabs>
              <w:rPr>
                <w:iCs/>
              </w:rPr>
            </w:pPr>
            <w:r w:rsidRPr="005D4222">
              <w:rPr>
                <w:iCs/>
              </w:rPr>
              <w:t>Administrative Gender of Female (AdministrativeGender code female).</w:t>
            </w:r>
          </w:p>
          <w:p w14:paraId="12DBACC0" w14:textId="77777777" w:rsidR="00F25792" w:rsidRPr="005D4222" w:rsidRDefault="00F25792" w:rsidP="00A53E8C">
            <w:pPr>
              <w:pStyle w:val="Bullet"/>
              <w:tabs>
                <w:tab w:val="left" w:pos="360"/>
                <w:tab w:val="left" w:pos="576"/>
              </w:tabs>
              <w:spacing w:after="80"/>
            </w:pPr>
            <w:r w:rsidRPr="005D4222">
              <w:rPr>
                <w:iCs/>
              </w:rPr>
              <w:t xml:space="preserve">Administrative Gender of </w:t>
            </w:r>
            <w:r w:rsidRPr="005D4222">
              <w:t>Male (AdministrativeGender code male).</w:t>
            </w:r>
          </w:p>
          <w:p w14:paraId="72199DA9" w14:textId="15F14597" w:rsidR="00F25792" w:rsidRPr="005D4222" w:rsidRDefault="00F25792" w:rsidP="00467A8D">
            <w:pPr>
              <w:pStyle w:val="ECDSBody"/>
              <w:rPr>
                <w:lang w:eastAsia="zh-CN"/>
              </w:rPr>
            </w:pPr>
            <w:r w:rsidRPr="005D4222">
              <w:rPr>
                <w:i/>
                <w:iCs/>
                <w:color w:val="000000" w:themeColor="text1"/>
                <w:szCs w:val="21"/>
                <w:lang w:eastAsia="zh-CN"/>
              </w:rPr>
              <w:t>Exclusion:</w:t>
            </w:r>
            <w:r w:rsidRPr="005D4222">
              <w:rPr>
                <w:color w:val="000000" w:themeColor="text1"/>
                <w:szCs w:val="21"/>
                <w:lang w:eastAsia="zh-CN"/>
              </w:rPr>
              <w:t xml:space="preserve"> </w:t>
            </w:r>
            <w:r w:rsidRPr="005D4222" w:rsidDel="002D4AA7">
              <w:rPr>
                <w:rFonts w:eastAsia="Arial,Arial,Arial,Arial,Arial,A"/>
                <w:b/>
              </w:rPr>
              <w:t>Persons</w:t>
            </w:r>
            <w:r w:rsidRPr="005D4222">
              <w:rPr>
                <w:rFonts w:eastAsia="Arial,Arial,Arial,Arial,Arial,A"/>
                <w:b/>
              </w:rPr>
              <w:t xml:space="preserve">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F25792" w:rsidRPr="005D4222" w14:paraId="233567A1"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tcMar>
            <w:hideMark/>
          </w:tcPr>
          <w:p w14:paraId="4A0E0F43" w14:textId="77777777" w:rsidR="00F25792" w:rsidRPr="005D4222" w:rsidRDefault="00F25792" w:rsidP="00A53E8C">
            <w:pPr>
              <w:pStyle w:val="MarginHead"/>
              <w:spacing w:line="256" w:lineRule="auto"/>
              <w:rPr>
                <w:rFonts w:cs="Arial"/>
                <w:color w:val="000000" w:themeColor="text1"/>
                <w:szCs w:val="22"/>
                <w:lang w:eastAsia="zh-CN"/>
              </w:rPr>
            </w:pPr>
            <w:r w:rsidRPr="005D4222">
              <w:rPr>
                <w:rFonts w:cs="Arial"/>
                <w:color w:val="000000" w:themeColor="text1"/>
                <w:szCs w:val="22"/>
                <w:lang w:eastAsia="zh-CN"/>
              </w:rPr>
              <w:lastRenderedPageBreak/>
              <w:t>Denominator</w:t>
            </w:r>
          </w:p>
        </w:tc>
        <w:tc>
          <w:tcPr>
            <w:tcW w:w="7557" w:type="dxa"/>
            <w:tcBorders>
              <w:top w:val="single" w:sz="4" w:space="0" w:color="auto"/>
              <w:left w:val="single" w:sz="4" w:space="0" w:color="auto"/>
              <w:bottom w:val="single" w:sz="4" w:space="0" w:color="auto"/>
              <w:right w:val="single" w:sz="4" w:space="0" w:color="auto"/>
            </w:tcBorders>
            <w:tcMar>
              <w:top w:w="0" w:type="dxa"/>
            </w:tcMar>
            <w:hideMark/>
          </w:tcPr>
          <w:p w14:paraId="186C6365" w14:textId="77777777" w:rsidR="00F25792" w:rsidRPr="005D4222" w:rsidRDefault="00F25792" w:rsidP="00A53E8C">
            <w:pPr>
              <w:pStyle w:val="ECDSBody"/>
              <w:rPr>
                <w:b/>
                <w:lang w:eastAsia="zh-CN"/>
              </w:rPr>
            </w:pPr>
            <w:r w:rsidRPr="005D4222">
              <w:rPr>
                <w:b/>
                <w:bCs w:val="0"/>
                <w:lang w:eastAsia="zh-CN"/>
              </w:rPr>
              <w:t>Outpatient</w:t>
            </w:r>
            <w:r w:rsidRPr="005D4222">
              <w:rPr>
                <w:b/>
                <w:lang w:eastAsia="zh-CN"/>
              </w:rPr>
              <w:t xml:space="preserve"> colonoscopy episodes.</w:t>
            </w:r>
          </w:p>
          <w:p w14:paraId="112DDC4E" w14:textId="77777777" w:rsidR="00F25792" w:rsidRPr="005D4222" w:rsidRDefault="00F25792" w:rsidP="00A53E8C">
            <w:pPr>
              <w:pStyle w:val="ECDSBody"/>
              <w:rPr>
                <w:lang w:eastAsia="zh-CN"/>
              </w:rPr>
            </w:pPr>
            <w:r w:rsidRPr="005D4222">
              <w:rPr>
                <w:b/>
                <w:lang w:eastAsia="zh-CN"/>
              </w:rPr>
              <w:t>Step 1.</w:t>
            </w:r>
            <w:r w:rsidRPr="005D4222">
              <w:rPr>
                <w:b/>
                <w:bCs w:val="0"/>
                <w:lang w:eastAsia="zh-CN"/>
              </w:rPr>
              <w:t xml:space="preserve"> </w:t>
            </w:r>
            <w:r w:rsidRPr="005D4222">
              <w:rPr>
                <w:lang w:eastAsia="zh-CN"/>
              </w:rPr>
              <w:t>Identify outpatient colonoscopy episodes on or between January 1 and December 16 of the measurement period:</w:t>
            </w:r>
          </w:p>
          <w:p w14:paraId="2769622C" w14:textId="789FF41C" w:rsidR="00F25792" w:rsidRPr="005D4222" w:rsidRDefault="00F25792" w:rsidP="005D6173">
            <w:pPr>
              <w:pStyle w:val="Body"/>
              <w:numPr>
                <w:ilvl w:val="1"/>
                <w:numId w:val="115"/>
              </w:numPr>
              <w:spacing w:before="0" w:after="80" w:line="256" w:lineRule="auto"/>
              <w:ind w:left="459" w:hanging="270"/>
              <w:rPr>
                <w:rFonts w:cs="Arial"/>
                <w:bCs/>
                <w:color w:val="000000" w:themeColor="text1"/>
                <w:szCs w:val="21"/>
                <w:lang w:eastAsia="zh-CN"/>
              </w:rPr>
            </w:pPr>
            <w:r w:rsidRPr="005D4222">
              <w:rPr>
                <w:rFonts w:cs="Arial"/>
                <w:bCs/>
                <w:color w:val="000000" w:themeColor="text1"/>
                <w:szCs w:val="21"/>
                <w:lang w:eastAsia="zh-CN"/>
              </w:rPr>
              <w:t>Identify all outpatient colonoscopy episodes (</w:t>
            </w:r>
            <w:r w:rsidRPr="005D4222">
              <w:rPr>
                <w:rFonts w:cs="Arial"/>
                <w:bCs/>
                <w:color w:val="000000" w:themeColor="text1"/>
                <w:szCs w:val="21"/>
                <w:u w:val="single"/>
                <w:lang w:eastAsia="zh-CN"/>
              </w:rPr>
              <w:t>Routine Colonoscopy Value Set</w:t>
            </w:r>
            <w:r w:rsidRPr="005D4222">
              <w:rPr>
                <w:rFonts w:cs="Arial"/>
                <w:bCs/>
                <w:color w:val="000000" w:themeColor="text1"/>
                <w:szCs w:val="21"/>
                <w:lang w:eastAsia="zh-CN"/>
              </w:rPr>
              <w:t xml:space="preserve"> </w:t>
            </w:r>
            <w:r w:rsidRPr="005D4222">
              <w:rPr>
                <w:rFonts w:cs="Arial"/>
                <w:b/>
                <w:i/>
                <w:iCs/>
                <w:color w:val="000000" w:themeColor="text1"/>
                <w:szCs w:val="21"/>
                <w:lang w:eastAsia="zh-CN"/>
              </w:rPr>
              <w:t>with</w:t>
            </w:r>
            <w:r w:rsidRPr="005D4222">
              <w:rPr>
                <w:rFonts w:cs="Arial"/>
                <w:bCs/>
                <w:color w:val="000000" w:themeColor="text1"/>
                <w:szCs w:val="21"/>
                <w:lang w:eastAsia="zh-CN"/>
              </w:rPr>
              <w:t xml:space="preserve"> </w:t>
            </w:r>
            <w:r w:rsidRPr="005D4222">
              <w:rPr>
                <w:rFonts w:cs="Arial"/>
                <w:bCs/>
                <w:color w:val="000000" w:themeColor="text1"/>
                <w:szCs w:val="21"/>
                <w:u w:val="single"/>
                <w:lang w:eastAsia="zh-CN"/>
              </w:rPr>
              <w:t>Ambulatory Surgery POS Value Set</w:t>
            </w:r>
            <w:r w:rsidRPr="005D4222">
              <w:rPr>
                <w:rFonts w:cs="Arial"/>
                <w:bCs/>
                <w:color w:val="000000" w:themeColor="text1"/>
                <w:szCs w:val="21"/>
                <w:lang w:eastAsia="zh-CN"/>
              </w:rPr>
              <w:t>)</w:t>
            </w:r>
            <w:r w:rsidR="00587DAA" w:rsidRPr="005D4222">
              <w:rPr>
                <w:rFonts w:cs="Arial"/>
                <w:bCs/>
                <w:color w:val="000000" w:themeColor="text1"/>
                <w:szCs w:val="21"/>
                <w:lang w:eastAsia="zh-CN"/>
              </w:rPr>
              <w:t>.</w:t>
            </w:r>
            <w:r w:rsidRPr="005D4222">
              <w:rPr>
                <w:rFonts w:cs="Arial"/>
                <w:bCs/>
                <w:color w:val="000000" w:themeColor="text1"/>
                <w:szCs w:val="21"/>
                <w:lang w:eastAsia="zh-CN"/>
              </w:rPr>
              <w:t xml:space="preserve">  </w:t>
            </w:r>
          </w:p>
          <w:p w14:paraId="10E7F08D" w14:textId="77777777" w:rsidR="00F25792" w:rsidRPr="005D4222" w:rsidRDefault="00F25792" w:rsidP="005D6173">
            <w:pPr>
              <w:pStyle w:val="Body"/>
              <w:numPr>
                <w:ilvl w:val="1"/>
                <w:numId w:val="115"/>
              </w:numPr>
              <w:spacing w:before="120" w:after="80" w:line="256" w:lineRule="auto"/>
              <w:ind w:left="459" w:hanging="270"/>
              <w:rPr>
                <w:rFonts w:cs="Arial"/>
                <w:bCs/>
                <w:color w:val="000000" w:themeColor="text1"/>
                <w:szCs w:val="21"/>
                <w:lang w:eastAsia="zh-CN"/>
              </w:rPr>
            </w:pPr>
            <w:r w:rsidRPr="005D4222">
              <w:rPr>
                <w:rFonts w:cs="Arial"/>
                <w:color w:val="000000" w:themeColor="text1"/>
                <w:lang w:eastAsia="zh-CN"/>
              </w:rPr>
              <w:t xml:space="preserve">Identify the outpatient colonoscopy episode date. </w:t>
            </w:r>
          </w:p>
          <w:p w14:paraId="2D041E66" w14:textId="77777777" w:rsidR="00F25792" w:rsidRPr="005D4222" w:rsidRDefault="00F25792" w:rsidP="00A53E8C">
            <w:pPr>
              <w:pStyle w:val="ECDSBody"/>
            </w:pPr>
            <w:r w:rsidRPr="005D4222">
              <w:rPr>
                <w:b/>
                <w:color w:val="000000" w:themeColor="text1"/>
                <w:szCs w:val="21"/>
                <w:lang w:eastAsia="zh-CN"/>
              </w:rPr>
              <w:t xml:space="preserve">Step 2. </w:t>
            </w:r>
            <w:r w:rsidRPr="005D4222">
              <w:t>Exclude outpatient colonoscopy episodes that meet any of the following criteria:</w:t>
            </w:r>
          </w:p>
          <w:p w14:paraId="120F0C58" w14:textId="77777777" w:rsidR="00F25792" w:rsidRPr="005D4222" w:rsidRDefault="00F25792" w:rsidP="005D6173">
            <w:pPr>
              <w:pStyle w:val="Bullet"/>
              <w:numPr>
                <w:ilvl w:val="0"/>
                <w:numId w:val="122"/>
              </w:numPr>
              <w:ind w:left="576" w:hanging="216"/>
            </w:pPr>
            <w:r w:rsidRPr="005D4222">
              <w:t>Occurs the day before an inpatient stay (</w:t>
            </w:r>
            <w:r w:rsidRPr="005D4222">
              <w:rPr>
                <w:u w:val="single"/>
              </w:rPr>
              <w:t>Inpatient Stay Value Set</w:t>
            </w:r>
            <w:r w:rsidRPr="005D4222">
              <w:t>) or observation stay (</w:t>
            </w:r>
            <w:r w:rsidRPr="005D4222">
              <w:rPr>
                <w:u w:val="single"/>
              </w:rPr>
              <w:t>Observation Stay Value Set</w:t>
            </w:r>
            <w:r w:rsidRPr="005D4222">
              <w:t>) admission date or at any time during an inpatient or observation stay.</w:t>
            </w:r>
          </w:p>
          <w:p w14:paraId="665944EA" w14:textId="7ABA6C9B" w:rsidR="00F25792" w:rsidRPr="005D4222" w:rsidRDefault="00F25792" w:rsidP="005D6173">
            <w:pPr>
              <w:pStyle w:val="Bullet"/>
              <w:numPr>
                <w:ilvl w:val="0"/>
                <w:numId w:val="122"/>
              </w:numPr>
              <w:ind w:left="576" w:hanging="216"/>
            </w:pPr>
            <w:r w:rsidRPr="005D4222">
              <w:t>Occurs concurrently (on the same claim) with a high-risk GI endoscopy procedure (</w:t>
            </w:r>
            <w:r w:rsidRPr="005D4222">
              <w:rPr>
                <w:u w:val="single"/>
              </w:rPr>
              <w:t>High Risk Upper GI Endoscopy Value Set</w:t>
            </w:r>
            <w:r w:rsidRPr="005D4222">
              <w:t>)</w:t>
            </w:r>
            <w:r w:rsidR="00E25D31" w:rsidRPr="005D4222">
              <w:t>.</w:t>
            </w:r>
            <w:r w:rsidRPr="005D4222">
              <w:t xml:space="preserve"> </w:t>
            </w:r>
          </w:p>
          <w:p w14:paraId="09B5A0A6" w14:textId="77777777" w:rsidR="00F25792" w:rsidRPr="005D4222" w:rsidRDefault="00F25792" w:rsidP="005D6173">
            <w:pPr>
              <w:pStyle w:val="Bullet"/>
              <w:numPr>
                <w:ilvl w:val="0"/>
                <w:numId w:val="122"/>
              </w:numPr>
              <w:ind w:left="576" w:hanging="216"/>
            </w:pPr>
            <w:r w:rsidRPr="005D4222">
              <w:t>Followed by a subsequent outpatient colonoscopy (</w:t>
            </w:r>
            <w:r w:rsidRPr="005D4222">
              <w:rPr>
                <w:u w:val="single"/>
              </w:rPr>
              <w:t>Routine Colonoscopy Value Se</w:t>
            </w:r>
            <w:r w:rsidRPr="005D4222">
              <w:t xml:space="preserve">t </w:t>
            </w:r>
            <w:r w:rsidRPr="005D4222">
              <w:rPr>
                <w:b/>
                <w:i/>
                <w:iCs/>
              </w:rPr>
              <w:t>with</w:t>
            </w:r>
            <w:r w:rsidRPr="005D4222">
              <w:t xml:space="preserve"> </w:t>
            </w:r>
            <w:r w:rsidRPr="005D4222">
              <w:rPr>
                <w:u w:val="single"/>
              </w:rPr>
              <w:t>Ambulatory Surgery POS Value Set</w:t>
            </w:r>
            <w:r w:rsidRPr="005D4222">
              <w:t>) within 15 days following the episode date.</w:t>
            </w:r>
          </w:p>
          <w:p w14:paraId="17E0B967" w14:textId="77777777" w:rsidR="00F25792" w:rsidRPr="005D4222" w:rsidRDefault="00F25792" w:rsidP="005D6173">
            <w:pPr>
              <w:pStyle w:val="Bullet"/>
              <w:numPr>
                <w:ilvl w:val="0"/>
                <w:numId w:val="122"/>
              </w:numPr>
              <w:spacing w:after="80"/>
              <w:ind w:left="576" w:hanging="216"/>
            </w:pPr>
            <w:r w:rsidRPr="005D4222">
              <w:t>History or current diagnosis of irritable bowel diseases (</w:t>
            </w:r>
            <w:r w:rsidRPr="005D4222">
              <w:rPr>
                <w:u w:val="single"/>
              </w:rPr>
              <w:t>Irritable Bowel Diseases Value Set</w:t>
            </w:r>
            <w:r w:rsidRPr="005D4222">
              <w:t>) 365 days prior to the outpatient colonoscopy episode date through 15 days after the episode date.</w:t>
            </w:r>
          </w:p>
        </w:tc>
      </w:tr>
      <w:tr w:rsidR="00F25792" w:rsidRPr="005D4222" w14:paraId="3D85A3C6" w14:textId="77777777" w:rsidTr="00A53E8C">
        <w:tc>
          <w:tcPr>
            <w:tcW w:w="2157" w:type="dxa"/>
            <w:tcBorders>
              <w:top w:val="single" w:sz="4" w:space="0" w:color="auto"/>
              <w:left w:val="single" w:sz="2" w:space="0" w:color="auto"/>
              <w:right w:val="single" w:sz="2" w:space="0" w:color="auto"/>
            </w:tcBorders>
            <w:shd w:val="clear" w:color="auto" w:fill="BFBFBF" w:themeFill="background1" w:themeFillShade="BF"/>
            <w:tcMar>
              <w:top w:w="0" w:type="dxa"/>
            </w:tcMar>
          </w:tcPr>
          <w:p w14:paraId="52D562B4" w14:textId="77777777" w:rsidR="00F25792" w:rsidRPr="005D4222" w:rsidRDefault="00F25792" w:rsidP="00A53E8C">
            <w:pPr>
              <w:pStyle w:val="MarginHead"/>
              <w:spacing w:line="256" w:lineRule="auto"/>
              <w:rPr>
                <w:rFonts w:cs="Arial"/>
                <w:color w:val="000000" w:themeColor="text1"/>
                <w:szCs w:val="22"/>
                <w:lang w:eastAsia="zh-CN"/>
              </w:rPr>
            </w:pPr>
            <w:r w:rsidRPr="005D4222">
              <w:rPr>
                <w:rFonts w:cs="Arial"/>
                <w:color w:val="000000" w:themeColor="text1"/>
                <w:szCs w:val="22"/>
                <w:lang w:eastAsia="zh-CN"/>
              </w:rPr>
              <w:t>Risk adjustment factors</w:t>
            </w:r>
          </w:p>
        </w:tc>
        <w:tc>
          <w:tcPr>
            <w:tcW w:w="7557" w:type="dxa"/>
            <w:tcBorders>
              <w:top w:val="single" w:sz="4" w:space="0" w:color="auto"/>
              <w:left w:val="single" w:sz="4" w:space="0" w:color="auto"/>
              <w:right w:val="single" w:sz="4" w:space="0" w:color="auto"/>
            </w:tcBorders>
            <w:tcMar>
              <w:top w:w="0" w:type="dxa"/>
            </w:tcMar>
          </w:tcPr>
          <w:p w14:paraId="5F387DB6" w14:textId="77777777" w:rsidR="00F25792" w:rsidRPr="005D4222" w:rsidRDefault="00F25792" w:rsidP="00A53E8C">
            <w:pPr>
              <w:pStyle w:val="ECDSBody"/>
              <w:rPr>
                <w:b/>
                <w:bCs w:val="0"/>
                <w:i/>
                <w:iCs/>
              </w:rPr>
            </w:pPr>
            <w:r w:rsidRPr="005D4222">
              <w:rPr>
                <w:b/>
                <w:bCs w:val="0"/>
                <w:i/>
                <w:iCs/>
              </w:rPr>
              <w:t>Risk Adjustment Determination</w:t>
            </w:r>
          </w:p>
          <w:p w14:paraId="153BA5A8" w14:textId="77777777" w:rsidR="00F25792" w:rsidRPr="005D4222" w:rsidRDefault="00F25792" w:rsidP="00A53E8C">
            <w:pPr>
              <w:pStyle w:val="ECDSBody"/>
            </w:pPr>
            <w:r w:rsidRPr="005D4222">
              <w:t xml:space="preserve">For each outpatient colonoscopy episode, identify risk adjustment weights based on comorbidity, age and gender. </w:t>
            </w:r>
          </w:p>
          <w:p w14:paraId="2C4EDF25" w14:textId="77777777" w:rsidR="00F25792" w:rsidRPr="005D4222" w:rsidRDefault="00F25792" w:rsidP="00A53E8C">
            <w:pPr>
              <w:pStyle w:val="ECDSBody"/>
            </w:pPr>
            <w:r w:rsidRPr="005D4222">
              <w:rPr>
                <w:b/>
                <w:bCs w:val="0"/>
              </w:rPr>
              <w:t>Comorbidities:</w:t>
            </w:r>
          </w:p>
          <w:p w14:paraId="68D3625C" w14:textId="77777777" w:rsidR="00F25792" w:rsidRPr="005D4222" w:rsidRDefault="00F25792" w:rsidP="00A53E8C">
            <w:pPr>
              <w:pStyle w:val="ECDSBody"/>
            </w:pPr>
            <w:r w:rsidRPr="005D4222">
              <w:rPr>
                <w:b/>
              </w:rPr>
              <w:t>Step 1.</w:t>
            </w:r>
            <w:r w:rsidRPr="005D4222">
              <w:rPr>
                <w:b/>
                <w:bCs w:val="0"/>
              </w:rPr>
              <w:t xml:space="preserve"> </w:t>
            </w:r>
            <w:r w:rsidRPr="005D4222">
              <w:t>Identify all diagnoses for encounters during the 365 days prior to and on the date of the outpatient colonoscopy episode date. Include the following when identifying encounters:</w:t>
            </w:r>
          </w:p>
          <w:p w14:paraId="10714E0C" w14:textId="77777777" w:rsidR="00F25792" w:rsidRPr="005D4222" w:rsidRDefault="00F25792" w:rsidP="00A53E8C">
            <w:pPr>
              <w:pStyle w:val="Bullet"/>
            </w:pPr>
            <w:r w:rsidRPr="005D4222">
              <w:t>Outpatient visits, ED visits, telephone visits, nonacute inpatient encounters and acute inpatient encounters (</w:t>
            </w:r>
            <w:r w:rsidRPr="005D4222">
              <w:rPr>
                <w:u w:val="single"/>
              </w:rPr>
              <w:t>Outpatient, ED, Telephone, Acute Inpatient and Nonacute Inpatient Value Set</w:t>
            </w:r>
            <w:r w:rsidRPr="005D4222">
              <w:t>) with a date of service 365 days prior to and on the date of the colonoscopy episode date.</w:t>
            </w:r>
          </w:p>
          <w:p w14:paraId="65CBE80A" w14:textId="77777777" w:rsidR="00F25792" w:rsidRPr="005D4222" w:rsidRDefault="00F25792" w:rsidP="00A53E8C">
            <w:pPr>
              <w:pStyle w:val="Bullet"/>
              <w:rPr>
                <w:rFonts w:cs="Arial"/>
              </w:rPr>
            </w:pPr>
            <w:r w:rsidRPr="005D4222">
              <w:t>Acute and nonacute inpatient discharges (</w:t>
            </w:r>
            <w:r w:rsidRPr="005D4222">
              <w:rPr>
                <w:u w:val="single"/>
              </w:rPr>
              <w:t>Inpatient Stay Value Set</w:t>
            </w:r>
            <w:r w:rsidRPr="005D4222">
              <w:t xml:space="preserve">) with a discharge date 365 days prior to and on the date of the colonoscopy episode date. </w:t>
            </w:r>
          </w:p>
          <w:p w14:paraId="5A91C4FD" w14:textId="77777777" w:rsidR="00F25792" w:rsidRPr="005D4222" w:rsidRDefault="00F25792" w:rsidP="00A53E8C">
            <w:pPr>
              <w:pStyle w:val="Bullet"/>
            </w:pPr>
            <w:r w:rsidRPr="005D4222">
              <w:rPr>
                <w:lang w:eastAsia="zh-CN"/>
              </w:rPr>
              <w:t>Outpatient colonoscopy episodes (</w:t>
            </w:r>
            <w:r w:rsidRPr="005D4222">
              <w:rPr>
                <w:u w:val="single"/>
                <w:lang w:eastAsia="zh-CN"/>
              </w:rPr>
              <w:t>Routine Colonoscopy Value Set</w:t>
            </w:r>
            <w:r w:rsidRPr="005D4222">
              <w:rPr>
                <w:lang w:eastAsia="zh-CN"/>
              </w:rPr>
              <w:t xml:space="preserve"> </w:t>
            </w:r>
            <w:r w:rsidRPr="005D4222">
              <w:rPr>
                <w:b/>
                <w:i/>
                <w:iCs/>
                <w:lang w:eastAsia="zh-CN"/>
              </w:rPr>
              <w:t>with</w:t>
            </w:r>
            <w:r w:rsidRPr="005D4222">
              <w:rPr>
                <w:lang w:eastAsia="zh-CN"/>
              </w:rPr>
              <w:t xml:space="preserve"> </w:t>
            </w:r>
            <w:r w:rsidRPr="005D4222">
              <w:rPr>
                <w:u w:val="single"/>
                <w:lang w:eastAsia="zh-CN"/>
              </w:rPr>
              <w:t>Ambulatory Surgery POS Value Set</w:t>
            </w:r>
            <w:r w:rsidRPr="005D4222">
              <w:rPr>
                <w:lang w:eastAsia="zh-CN"/>
              </w:rPr>
              <w:t xml:space="preserve">). </w:t>
            </w:r>
          </w:p>
          <w:p w14:paraId="253EF355" w14:textId="77777777" w:rsidR="00F25792" w:rsidRPr="005D4222" w:rsidRDefault="00F25792" w:rsidP="00A53E8C">
            <w:pPr>
              <w:pStyle w:val="ECDSBody"/>
              <w:spacing w:before="180"/>
            </w:pPr>
            <w:r w:rsidRPr="005D4222">
              <w:rPr>
                <w:b/>
              </w:rPr>
              <w:t xml:space="preserve">Step 2. </w:t>
            </w:r>
            <w:r w:rsidRPr="005D4222">
              <w:t xml:space="preserve">Assign each diagnosis to one or more comorbid Clinical Condition (CC) category using Table CC—Mapping in the Risk Adjustment Shared Tables. If the code appears more than once in Table CC—Mapping, it is assigned to multiple CCs. </w:t>
            </w:r>
          </w:p>
          <w:p w14:paraId="7B09BA0C" w14:textId="77777777" w:rsidR="00F25792" w:rsidRPr="005D4222" w:rsidRDefault="00F25792" w:rsidP="00A53E8C">
            <w:pPr>
              <w:pStyle w:val="ECDSBody"/>
            </w:pPr>
            <w:r w:rsidRPr="005D4222">
              <w:t xml:space="preserve">Exclude all diagnoses that cannot be assigned to a comorbid CC category. For denominator units with no qualifying diagnoses from face-to-face encounters, skip to </w:t>
            </w:r>
            <w:r w:rsidRPr="005D4222">
              <w:rPr>
                <w:i/>
                <w:iCs/>
              </w:rPr>
              <w:t>Risk Adjustment Calculation</w:t>
            </w:r>
            <w:r w:rsidRPr="005D4222">
              <w:t xml:space="preserve">. </w:t>
            </w:r>
          </w:p>
          <w:p w14:paraId="3F336B13" w14:textId="77777777" w:rsidR="00F25792" w:rsidRPr="005D4222" w:rsidRDefault="00F25792" w:rsidP="004B3219">
            <w:pPr>
              <w:pStyle w:val="ECDSBody"/>
              <w:spacing w:before="180"/>
            </w:pPr>
            <w:r w:rsidRPr="005D4222">
              <w:lastRenderedPageBreak/>
              <w:t xml:space="preserve">All digits must match exactly when mapping diagnosis codes to the comorbid CCs. </w:t>
            </w:r>
          </w:p>
          <w:p w14:paraId="329F968A" w14:textId="77777777" w:rsidR="00F25792" w:rsidRPr="005D4222" w:rsidRDefault="00F25792" w:rsidP="00A53E8C">
            <w:pPr>
              <w:pStyle w:val="ECDSBody"/>
            </w:pPr>
            <w:r w:rsidRPr="005D4222">
              <w:rPr>
                <w:b/>
              </w:rPr>
              <w:t xml:space="preserve">Step 3. </w:t>
            </w:r>
            <w:r w:rsidRPr="005D4222">
              <w:t xml:space="preserve">Determine HCCs for each comorbid CC identified. Refer to Table HCC—Rank. </w:t>
            </w:r>
          </w:p>
          <w:p w14:paraId="2F5EEF6B" w14:textId="77777777" w:rsidR="00F25792" w:rsidRPr="005D4222" w:rsidRDefault="00F25792" w:rsidP="00A53E8C">
            <w:pPr>
              <w:pStyle w:val="ECDSBody"/>
            </w:pPr>
            <w:r w:rsidRPr="005D4222">
              <w:t xml:space="preserve">For each denominator unit’s comorbid CC list, match the comorbid CC code to the comorbid CC code in the table, and assign: </w:t>
            </w:r>
          </w:p>
          <w:p w14:paraId="6813BA0E" w14:textId="77777777" w:rsidR="00F25792" w:rsidRPr="005D4222" w:rsidRDefault="00F25792" w:rsidP="00A53E8C">
            <w:pPr>
              <w:pStyle w:val="Bullet"/>
            </w:pPr>
            <w:r w:rsidRPr="005D4222">
              <w:t xml:space="preserve">The ranking group. </w:t>
            </w:r>
          </w:p>
          <w:p w14:paraId="57D59149" w14:textId="77777777" w:rsidR="00F25792" w:rsidRPr="005D4222" w:rsidRDefault="00F25792" w:rsidP="00A53E8C">
            <w:pPr>
              <w:pStyle w:val="Bullet"/>
            </w:pPr>
            <w:r w:rsidRPr="005D4222">
              <w:t xml:space="preserve">The rank. </w:t>
            </w:r>
          </w:p>
          <w:p w14:paraId="3733946E" w14:textId="77777777" w:rsidR="00F25792" w:rsidRPr="005D4222" w:rsidRDefault="00F25792" w:rsidP="00A53E8C">
            <w:pPr>
              <w:pStyle w:val="Bullet"/>
            </w:pPr>
            <w:r w:rsidRPr="005D4222">
              <w:t xml:space="preserve">The HCC. </w:t>
            </w:r>
          </w:p>
          <w:p w14:paraId="50D223EA" w14:textId="77777777" w:rsidR="00F25792" w:rsidRPr="005D4222" w:rsidRDefault="00F25792" w:rsidP="00A53E8C">
            <w:pPr>
              <w:pStyle w:val="ECDSBody"/>
            </w:pPr>
            <w:r w:rsidRPr="005D4222">
              <w:t xml:space="preserve">For comorbid CCs that do not match to Table HCC—Rank, use the comorbid CC as the HCC and assign a rank of 1. One comorbid CC can map to multiple HCCs; each HCC can have one or more comorbid CCs. </w:t>
            </w:r>
          </w:p>
          <w:p w14:paraId="28B8ADB0" w14:textId="77777777" w:rsidR="00F25792" w:rsidRPr="005D4222" w:rsidRDefault="00F25792" w:rsidP="00A53E8C">
            <w:pPr>
              <w:pStyle w:val="ECDSBody"/>
            </w:pPr>
            <w:r w:rsidRPr="005D4222">
              <w:rPr>
                <w:b/>
              </w:rPr>
              <w:t xml:space="preserve">Step 4. </w:t>
            </w:r>
            <w:r w:rsidRPr="005D4222">
              <w:t xml:space="preserve">Assess each ranking group separately and select only the highest ranked HCC in each ranking group using the “Rank” column (1 is the highest rank possible). </w:t>
            </w:r>
            <w:r w:rsidRPr="005D4222">
              <w:rPr>
                <w:b/>
              </w:rPr>
              <w:t xml:space="preserve"> </w:t>
            </w:r>
          </w:p>
          <w:p w14:paraId="4FEBFF12" w14:textId="77777777" w:rsidR="00F25792" w:rsidRPr="005D4222" w:rsidRDefault="00F25792" w:rsidP="00A53E8C">
            <w:pPr>
              <w:pStyle w:val="ECDSBody"/>
              <w:rPr>
                <w:b/>
              </w:rPr>
            </w:pPr>
            <w:r w:rsidRPr="005D4222">
              <w:t>Drop all other HCCs in each ranking group, and de-duplicate the HCC list if necessary.</w:t>
            </w:r>
            <w:r w:rsidRPr="005D4222">
              <w:rPr>
                <w:b/>
              </w:rPr>
              <w:t xml:space="preserve"> </w:t>
            </w:r>
          </w:p>
          <w:p w14:paraId="2BA52FFB" w14:textId="77777777" w:rsidR="00F25792" w:rsidRPr="005D4222" w:rsidRDefault="00F25792" w:rsidP="00A53E8C">
            <w:pPr>
              <w:pStyle w:val="Bullet"/>
            </w:pPr>
            <w:r w:rsidRPr="005D4222">
              <w:rPr>
                <w:i/>
                <w:iCs/>
              </w:rPr>
              <w:t xml:space="preserve">For example, </w:t>
            </w:r>
            <w:r w:rsidRPr="005D4222">
              <w:t xml:space="preserve">assume a denominator unit with the following comorbid CCs: CC-85, CC-17 and CC-19 (assume no other CCs).  </w:t>
            </w:r>
          </w:p>
          <w:p w14:paraId="7B2E6CDF" w14:textId="77777777" w:rsidR="00F25792" w:rsidRPr="005D4222" w:rsidRDefault="00F25792" w:rsidP="00F25792">
            <w:pPr>
              <w:pStyle w:val="Dash"/>
              <w:tabs>
                <w:tab w:val="left" w:pos="576"/>
                <w:tab w:val="left" w:pos="792"/>
              </w:tabs>
              <w:ind w:left="936"/>
            </w:pPr>
            <w:r w:rsidRPr="005D4222">
              <w:t xml:space="preserve">CC-85 does not have a map to the ranking table and becomes </w:t>
            </w:r>
            <w:r w:rsidRPr="005D4222">
              <w:br/>
              <w:t xml:space="preserve">HCC-85. </w:t>
            </w:r>
          </w:p>
          <w:p w14:paraId="3F13AC29" w14:textId="77777777" w:rsidR="00F25792" w:rsidRPr="005D4222" w:rsidRDefault="00F25792" w:rsidP="00F25792">
            <w:pPr>
              <w:pStyle w:val="Dash"/>
              <w:tabs>
                <w:tab w:val="left" w:pos="576"/>
                <w:tab w:val="left" w:pos="792"/>
              </w:tabs>
              <w:ind w:left="936"/>
            </w:pPr>
            <w:r w:rsidRPr="005D4222">
              <w:t xml:space="preserve">HCC-17 and HCC-19 are part of Diabetes Ranking Group 1. Because CC-17 is ranked higher than CC-19 in Ranking Group Diabetes 1, the comorbidity is assigned as HCC-17 for Ranking Group 1.  </w:t>
            </w:r>
          </w:p>
          <w:p w14:paraId="70C07230" w14:textId="6ED79AC2" w:rsidR="00F25792" w:rsidRPr="005D4222" w:rsidRDefault="00F25792" w:rsidP="00A53E8C">
            <w:pPr>
              <w:pStyle w:val="Body"/>
            </w:pPr>
            <w:r w:rsidRPr="005D4222">
              <w:t xml:space="preserve">The final comorbidities for this denominator unit are HCC-17 and HCC-85. </w:t>
            </w:r>
          </w:p>
          <w:p w14:paraId="21E99EB7" w14:textId="77777777" w:rsidR="00F25792" w:rsidRPr="005D4222" w:rsidRDefault="00F25792" w:rsidP="00A53E8C">
            <w:pPr>
              <w:pStyle w:val="Heading3"/>
              <w:spacing w:before="120"/>
            </w:pPr>
            <w:r w:rsidRPr="005D4222">
              <w:t xml:space="preserve">Table HCC—Rank </w:t>
            </w:r>
          </w:p>
          <w:tbl>
            <w:tblPr>
              <w:tblW w:w="5000" w:type="pct"/>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354"/>
              <w:gridCol w:w="889"/>
              <w:gridCol w:w="3240"/>
              <w:gridCol w:w="810"/>
              <w:gridCol w:w="1076"/>
            </w:tblGrid>
            <w:tr w:rsidR="00F25792" w:rsidRPr="005D4222" w14:paraId="7AE5B6FA" w14:textId="77777777" w:rsidTr="00A53E8C">
              <w:tc>
                <w:tcPr>
                  <w:tcW w:w="1354" w:type="dxa"/>
                  <w:tcBorders>
                    <w:top w:val="single" w:sz="6" w:space="0" w:color="000000"/>
                    <w:left w:val="single" w:sz="6" w:space="0" w:color="000000"/>
                    <w:bottom w:val="single" w:sz="6" w:space="0" w:color="000000"/>
                    <w:right w:val="single" w:sz="6" w:space="0" w:color="FFFFFF"/>
                  </w:tcBorders>
                  <w:shd w:val="clear" w:color="auto" w:fill="000000"/>
                  <w:tcMar>
                    <w:left w:w="72" w:type="dxa"/>
                    <w:right w:w="72" w:type="dxa"/>
                  </w:tcMar>
                  <w:vAlign w:val="bottom"/>
                  <w:hideMark/>
                </w:tcPr>
                <w:p w14:paraId="1A7A8EF3" w14:textId="77777777" w:rsidR="00F25792" w:rsidRPr="005D4222" w:rsidRDefault="00F25792" w:rsidP="00A53E8C">
                  <w:pPr>
                    <w:pStyle w:val="TableHead"/>
                  </w:pPr>
                  <w:r w:rsidRPr="005D4222">
                    <w:t>Ranking Group</w:t>
                  </w:r>
                </w:p>
              </w:tc>
              <w:tc>
                <w:tcPr>
                  <w:tcW w:w="889" w:type="dxa"/>
                  <w:tcBorders>
                    <w:top w:val="single" w:sz="6" w:space="0" w:color="000000"/>
                    <w:left w:val="single" w:sz="6" w:space="0" w:color="FFFFFF"/>
                    <w:bottom w:val="single" w:sz="6" w:space="0" w:color="000000"/>
                    <w:right w:val="single" w:sz="6" w:space="0" w:color="FFFFFF"/>
                  </w:tcBorders>
                  <w:shd w:val="clear" w:color="auto" w:fill="000000"/>
                  <w:tcMar>
                    <w:left w:w="72" w:type="dxa"/>
                    <w:right w:w="72" w:type="dxa"/>
                  </w:tcMar>
                  <w:vAlign w:val="bottom"/>
                  <w:hideMark/>
                </w:tcPr>
                <w:p w14:paraId="6ACACA28" w14:textId="77777777" w:rsidR="00F25792" w:rsidRPr="005D4222" w:rsidRDefault="00F25792" w:rsidP="00A53E8C">
                  <w:pPr>
                    <w:pStyle w:val="TableHead"/>
                  </w:pPr>
                  <w:r w:rsidRPr="005D4222">
                    <w:t>CC</w:t>
                  </w:r>
                </w:p>
              </w:tc>
              <w:tc>
                <w:tcPr>
                  <w:tcW w:w="3240" w:type="dxa"/>
                  <w:tcBorders>
                    <w:top w:val="single" w:sz="6" w:space="0" w:color="000000"/>
                    <w:left w:val="single" w:sz="6" w:space="0" w:color="FFFFFF"/>
                    <w:bottom w:val="single" w:sz="6" w:space="0" w:color="000000"/>
                    <w:right w:val="single" w:sz="6" w:space="0" w:color="FFFFFF"/>
                  </w:tcBorders>
                  <w:shd w:val="clear" w:color="auto" w:fill="000000"/>
                  <w:tcMar>
                    <w:left w:w="72" w:type="dxa"/>
                    <w:right w:w="72" w:type="dxa"/>
                  </w:tcMar>
                  <w:vAlign w:val="bottom"/>
                  <w:hideMark/>
                </w:tcPr>
                <w:p w14:paraId="00BA3E1F" w14:textId="77777777" w:rsidR="00F25792" w:rsidRPr="005D4222" w:rsidRDefault="00F25792" w:rsidP="00A53E8C">
                  <w:pPr>
                    <w:pStyle w:val="TableHead"/>
                  </w:pPr>
                  <w:r w:rsidRPr="005D4222">
                    <w:t>Description</w:t>
                  </w:r>
                </w:p>
              </w:tc>
              <w:tc>
                <w:tcPr>
                  <w:tcW w:w="810" w:type="dxa"/>
                  <w:tcBorders>
                    <w:top w:val="single" w:sz="6" w:space="0" w:color="000000"/>
                    <w:left w:val="single" w:sz="6" w:space="0" w:color="FFFFFF"/>
                    <w:bottom w:val="single" w:sz="6" w:space="0" w:color="000000"/>
                    <w:right w:val="single" w:sz="6" w:space="0" w:color="FFFFFF"/>
                  </w:tcBorders>
                  <w:shd w:val="clear" w:color="auto" w:fill="000000"/>
                  <w:tcMar>
                    <w:left w:w="72" w:type="dxa"/>
                    <w:right w:w="72" w:type="dxa"/>
                  </w:tcMar>
                  <w:vAlign w:val="bottom"/>
                  <w:hideMark/>
                </w:tcPr>
                <w:p w14:paraId="03EDD9CC" w14:textId="77777777" w:rsidR="00F25792" w:rsidRPr="005D4222" w:rsidRDefault="00F25792" w:rsidP="00A53E8C">
                  <w:pPr>
                    <w:pStyle w:val="TableHead"/>
                  </w:pPr>
                  <w:r w:rsidRPr="005D4222">
                    <w:t>Rank</w:t>
                  </w:r>
                </w:p>
              </w:tc>
              <w:tc>
                <w:tcPr>
                  <w:tcW w:w="1076" w:type="dxa"/>
                  <w:tcBorders>
                    <w:top w:val="single" w:sz="6" w:space="0" w:color="000000"/>
                    <w:left w:val="single" w:sz="6" w:space="0" w:color="FFFFFF"/>
                    <w:bottom w:val="single" w:sz="6" w:space="0" w:color="000000"/>
                    <w:right w:val="single" w:sz="6" w:space="0" w:color="000000"/>
                  </w:tcBorders>
                  <w:shd w:val="clear" w:color="auto" w:fill="000000"/>
                  <w:tcMar>
                    <w:left w:w="72" w:type="dxa"/>
                    <w:right w:w="72" w:type="dxa"/>
                  </w:tcMar>
                  <w:vAlign w:val="bottom"/>
                  <w:hideMark/>
                </w:tcPr>
                <w:p w14:paraId="56C912DE" w14:textId="77777777" w:rsidR="00F25792" w:rsidRPr="005D4222" w:rsidRDefault="00F25792" w:rsidP="00A53E8C">
                  <w:pPr>
                    <w:pStyle w:val="TableHead"/>
                  </w:pPr>
                  <w:r w:rsidRPr="005D4222">
                    <w:t>HCC</w:t>
                  </w:r>
                </w:p>
              </w:tc>
            </w:tr>
            <w:tr w:rsidR="00F25792" w:rsidRPr="005D4222" w14:paraId="7134F33C" w14:textId="77777777" w:rsidTr="007B5FC3">
              <w:tc>
                <w:tcPr>
                  <w:tcW w:w="1354" w:type="dxa"/>
                  <w:tcBorders>
                    <w:top w:val="single" w:sz="6" w:space="0" w:color="000000"/>
                    <w:left w:val="single" w:sz="6" w:space="0" w:color="000000"/>
                    <w:bottom w:val="single" w:sz="6" w:space="0" w:color="000000"/>
                    <w:right w:val="single" w:sz="6" w:space="0" w:color="000000"/>
                  </w:tcBorders>
                  <w:tcMar>
                    <w:left w:w="72" w:type="dxa"/>
                    <w:right w:w="72" w:type="dxa"/>
                  </w:tcMar>
                  <w:hideMark/>
                </w:tcPr>
                <w:p w14:paraId="59A99E16" w14:textId="77777777" w:rsidR="00F25792" w:rsidRPr="005D4222" w:rsidRDefault="00F25792" w:rsidP="00A53E8C">
                  <w:pPr>
                    <w:pStyle w:val="TableText"/>
                  </w:pPr>
                  <w:r w:rsidRPr="005D4222">
                    <w:t xml:space="preserve">NA </w:t>
                  </w:r>
                </w:p>
              </w:tc>
              <w:tc>
                <w:tcPr>
                  <w:tcW w:w="889" w:type="dxa"/>
                  <w:tcBorders>
                    <w:top w:val="single" w:sz="6" w:space="0" w:color="000000"/>
                    <w:left w:val="single" w:sz="6" w:space="0" w:color="000000"/>
                    <w:bottom w:val="single" w:sz="6" w:space="0" w:color="000000"/>
                    <w:right w:val="single" w:sz="6" w:space="0" w:color="000000"/>
                  </w:tcBorders>
                  <w:tcMar>
                    <w:left w:w="72" w:type="dxa"/>
                    <w:right w:w="72" w:type="dxa"/>
                  </w:tcMar>
                  <w:hideMark/>
                </w:tcPr>
                <w:p w14:paraId="5B22A934" w14:textId="77777777" w:rsidR="00F25792" w:rsidRPr="005D4222" w:rsidRDefault="00F25792" w:rsidP="00A53E8C">
                  <w:pPr>
                    <w:pStyle w:val="TableText"/>
                  </w:pPr>
                  <w:r w:rsidRPr="005D4222">
                    <w:t>CC-85</w:t>
                  </w:r>
                </w:p>
              </w:tc>
              <w:tc>
                <w:tcPr>
                  <w:tcW w:w="3240" w:type="dxa"/>
                  <w:tcBorders>
                    <w:top w:val="single" w:sz="6" w:space="0" w:color="000000"/>
                    <w:left w:val="single" w:sz="6" w:space="0" w:color="000000"/>
                    <w:bottom w:val="single" w:sz="6" w:space="0" w:color="000000"/>
                    <w:right w:val="single" w:sz="6" w:space="0" w:color="000000"/>
                  </w:tcBorders>
                  <w:tcMar>
                    <w:left w:w="72" w:type="dxa"/>
                    <w:right w:w="72" w:type="dxa"/>
                  </w:tcMar>
                  <w:hideMark/>
                </w:tcPr>
                <w:p w14:paraId="5BC2095B" w14:textId="77777777" w:rsidR="00F25792" w:rsidRPr="005D4222" w:rsidRDefault="00F25792" w:rsidP="00A53E8C">
                  <w:pPr>
                    <w:pStyle w:val="TableText"/>
                  </w:pPr>
                  <w:r w:rsidRPr="005D4222">
                    <w:t>Congestive Heart Failure</w:t>
                  </w:r>
                </w:p>
              </w:tc>
              <w:tc>
                <w:tcPr>
                  <w:tcW w:w="810" w:type="dxa"/>
                  <w:tcBorders>
                    <w:top w:val="single" w:sz="6" w:space="0" w:color="000000"/>
                    <w:left w:val="single" w:sz="6" w:space="0" w:color="000000"/>
                    <w:bottom w:val="single" w:sz="6" w:space="0" w:color="000000"/>
                    <w:right w:val="single" w:sz="6" w:space="0" w:color="000000"/>
                  </w:tcBorders>
                  <w:tcMar>
                    <w:left w:w="72" w:type="dxa"/>
                    <w:right w:w="72" w:type="dxa"/>
                  </w:tcMar>
                  <w:hideMark/>
                </w:tcPr>
                <w:p w14:paraId="3DEDBD41" w14:textId="77777777" w:rsidR="00F25792" w:rsidRPr="005D4222" w:rsidRDefault="00F25792" w:rsidP="00A53E8C">
                  <w:pPr>
                    <w:pStyle w:val="TableText"/>
                  </w:pPr>
                  <w:r w:rsidRPr="005D4222">
                    <w:t>NA</w:t>
                  </w:r>
                </w:p>
              </w:tc>
              <w:tc>
                <w:tcPr>
                  <w:tcW w:w="1076" w:type="dxa"/>
                  <w:tcBorders>
                    <w:top w:val="single" w:sz="6" w:space="0" w:color="000000"/>
                    <w:left w:val="single" w:sz="6" w:space="0" w:color="000000"/>
                    <w:bottom w:val="single" w:sz="6" w:space="0" w:color="000000"/>
                    <w:right w:val="single" w:sz="6" w:space="0" w:color="000000"/>
                  </w:tcBorders>
                  <w:tcMar>
                    <w:left w:w="72" w:type="dxa"/>
                    <w:right w:w="72" w:type="dxa"/>
                  </w:tcMar>
                  <w:hideMark/>
                </w:tcPr>
                <w:p w14:paraId="64822E3E" w14:textId="77777777" w:rsidR="00F25792" w:rsidRPr="005D4222" w:rsidRDefault="00F25792" w:rsidP="00A53E8C">
                  <w:pPr>
                    <w:pStyle w:val="TableText"/>
                  </w:pPr>
                  <w:r w:rsidRPr="005D4222">
                    <w:t>HCC-85</w:t>
                  </w:r>
                </w:p>
              </w:tc>
            </w:tr>
            <w:tr w:rsidR="00F25792" w:rsidRPr="005D4222" w14:paraId="42738113" w14:textId="77777777" w:rsidTr="00A53E8C">
              <w:tc>
                <w:tcPr>
                  <w:tcW w:w="1354" w:type="dxa"/>
                  <w:vMerge w:val="restart"/>
                  <w:tcBorders>
                    <w:top w:val="single" w:sz="6" w:space="0" w:color="000000"/>
                    <w:left w:val="single" w:sz="6" w:space="0" w:color="000000"/>
                    <w:bottom w:val="single" w:sz="6" w:space="0" w:color="000000"/>
                    <w:right w:val="single" w:sz="6" w:space="0" w:color="000000"/>
                  </w:tcBorders>
                  <w:shd w:val="clear" w:color="auto" w:fill="FFFFFF"/>
                  <w:tcMar>
                    <w:left w:w="72" w:type="dxa"/>
                    <w:right w:w="72" w:type="dxa"/>
                  </w:tcMar>
                  <w:vAlign w:val="center"/>
                  <w:hideMark/>
                </w:tcPr>
                <w:p w14:paraId="17644886" w14:textId="77777777" w:rsidR="00F25792" w:rsidRPr="005D4222" w:rsidRDefault="00F25792" w:rsidP="00A53E8C">
                  <w:pPr>
                    <w:pStyle w:val="TableText"/>
                  </w:pPr>
                  <w:r w:rsidRPr="005D4222">
                    <w:t xml:space="preserve">Diabetes 1  </w:t>
                  </w:r>
                </w:p>
              </w:tc>
              <w:tc>
                <w:tcPr>
                  <w:tcW w:w="889" w:type="dxa"/>
                  <w:tcBorders>
                    <w:top w:val="single" w:sz="6" w:space="0" w:color="000000"/>
                    <w:left w:val="single" w:sz="6" w:space="0" w:color="000000"/>
                    <w:bottom w:val="dotted" w:sz="6" w:space="0" w:color="auto"/>
                    <w:right w:val="single" w:sz="6" w:space="0" w:color="000000"/>
                  </w:tcBorders>
                  <w:shd w:val="clear" w:color="auto" w:fill="FFFFFF"/>
                  <w:tcMar>
                    <w:left w:w="72" w:type="dxa"/>
                    <w:right w:w="72" w:type="dxa"/>
                  </w:tcMar>
                  <w:hideMark/>
                </w:tcPr>
                <w:p w14:paraId="7D3EFCBD" w14:textId="77777777" w:rsidR="00F25792" w:rsidRPr="005D4222" w:rsidRDefault="00F25792" w:rsidP="00A53E8C">
                  <w:pPr>
                    <w:pStyle w:val="TableText"/>
                  </w:pPr>
                  <w:r w:rsidRPr="005D4222">
                    <w:t>CC-17</w:t>
                  </w:r>
                </w:p>
              </w:tc>
              <w:tc>
                <w:tcPr>
                  <w:tcW w:w="3240" w:type="dxa"/>
                  <w:tcBorders>
                    <w:top w:val="single" w:sz="6" w:space="0" w:color="000000"/>
                    <w:left w:val="single" w:sz="6" w:space="0" w:color="000000"/>
                    <w:bottom w:val="dotted" w:sz="6" w:space="0" w:color="auto"/>
                    <w:right w:val="single" w:sz="6" w:space="0" w:color="000000"/>
                  </w:tcBorders>
                  <w:shd w:val="clear" w:color="auto" w:fill="FFFFFF"/>
                  <w:tcMar>
                    <w:left w:w="72" w:type="dxa"/>
                    <w:right w:w="72" w:type="dxa"/>
                  </w:tcMar>
                  <w:hideMark/>
                </w:tcPr>
                <w:p w14:paraId="7472EA79" w14:textId="77777777" w:rsidR="00F25792" w:rsidRPr="005D4222" w:rsidRDefault="00F25792" w:rsidP="00A53E8C">
                  <w:pPr>
                    <w:pStyle w:val="TableText"/>
                  </w:pPr>
                  <w:r w:rsidRPr="005D4222">
                    <w:t>Diabetes With Acute Complications</w:t>
                  </w:r>
                </w:p>
              </w:tc>
              <w:tc>
                <w:tcPr>
                  <w:tcW w:w="810" w:type="dxa"/>
                  <w:tcBorders>
                    <w:top w:val="single" w:sz="6" w:space="0" w:color="000000"/>
                    <w:left w:val="single" w:sz="6" w:space="0" w:color="000000"/>
                    <w:bottom w:val="dotted" w:sz="6" w:space="0" w:color="auto"/>
                    <w:right w:val="single" w:sz="6" w:space="0" w:color="000000"/>
                  </w:tcBorders>
                  <w:shd w:val="clear" w:color="auto" w:fill="FFFFFF"/>
                  <w:tcMar>
                    <w:left w:w="72" w:type="dxa"/>
                    <w:right w:w="72" w:type="dxa"/>
                  </w:tcMar>
                  <w:hideMark/>
                </w:tcPr>
                <w:p w14:paraId="779A220F" w14:textId="77777777" w:rsidR="00F25792" w:rsidRPr="005D4222" w:rsidRDefault="00F25792" w:rsidP="00A53E8C">
                  <w:pPr>
                    <w:pStyle w:val="TableText"/>
                  </w:pPr>
                  <w:r w:rsidRPr="005D4222">
                    <w:t>1</w:t>
                  </w:r>
                </w:p>
              </w:tc>
              <w:tc>
                <w:tcPr>
                  <w:tcW w:w="1076" w:type="dxa"/>
                  <w:tcBorders>
                    <w:top w:val="single" w:sz="6" w:space="0" w:color="000000"/>
                    <w:left w:val="single" w:sz="6" w:space="0" w:color="000000"/>
                    <w:bottom w:val="dotted" w:sz="6" w:space="0" w:color="auto"/>
                    <w:right w:val="single" w:sz="6" w:space="0" w:color="000000"/>
                  </w:tcBorders>
                  <w:shd w:val="clear" w:color="auto" w:fill="FFFFFF"/>
                  <w:tcMar>
                    <w:left w:w="72" w:type="dxa"/>
                    <w:right w:w="72" w:type="dxa"/>
                  </w:tcMar>
                  <w:hideMark/>
                </w:tcPr>
                <w:p w14:paraId="6F198E43" w14:textId="77777777" w:rsidR="00F25792" w:rsidRPr="005D4222" w:rsidRDefault="00F25792" w:rsidP="00A53E8C">
                  <w:pPr>
                    <w:pStyle w:val="TableText"/>
                  </w:pPr>
                  <w:r w:rsidRPr="005D4222">
                    <w:t>HCC-17</w:t>
                  </w:r>
                </w:p>
              </w:tc>
            </w:tr>
            <w:tr w:rsidR="00F25792" w:rsidRPr="005D4222" w14:paraId="106711C0" w14:textId="77777777" w:rsidTr="007B5FC3">
              <w:tc>
                <w:tcPr>
                  <w:tcW w:w="1354" w:type="dxa"/>
                  <w:vMerge/>
                  <w:tcBorders>
                    <w:top w:val="single" w:sz="6" w:space="0" w:color="000000"/>
                    <w:left w:val="single" w:sz="6" w:space="0" w:color="000000"/>
                    <w:bottom w:val="single" w:sz="6" w:space="0" w:color="000000"/>
                    <w:right w:val="single" w:sz="6" w:space="0" w:color="000000"/>
                  </w:tcBorders>
                  <w:tcMar>
                    <w:left w:w="72" w:type="dxa"/>
                    <w:right w:w="72" w:type="dxa"/>
                  </w:tcMar>
                  <w:vAlign w:val="center"/>
                  <w:hideMark/>
                </w:tcPr>
                <w:p w14:paraId="642B7C8F" w14:textId="77777777" w:rsidR="00F25792" w:rsidRPr="005D4222" w:rsidRDefault="00F25792" w:rsidP="00A53E8C">
                  <w:pPr>
                    <w:pStyle w:val="TableText"/>
                  </w:pPr>
                </w:p>
              </w:tc>
              <w:tc>
                <w:tcPr>
                  <w:tcW w:w="889" w:type="dxa"/>
                  <w:tcBorders>
                    <w:top w:val="dotted" w:sz="6" w:space="0" w:color="auto"/>
                    <w:left w:val="single" w:sz="6" w:space="0" w:color="000000"/>
                    <w:bottom w:val="dotted" w:sz="6" w:space="0" w:color="auto"/>
                    <w:right w:val="single" w:sz="6" w:space="0" w:color="000000"/>
                  </w:tcBorders>
                  <w:shd w:val="clear" w:color="auto" w:fill="FFFFFF"/>
                  <w:tcMar>
                    <w:left w:w="72" w:type="dxa"/>
                    <w:right w:w="72" w:type="dxa"/>
                  </w:tcMar>
                  <w:hideMark/>
                </w:tcPr>
                <w:p w14:paraId="73565ECD" w14:textId="77777777" w:rsidR="00F25792" w:rsidRPr="005D4222" w:rsidRDefault="00F25792" w:rsidP="00A53E8C">
                  <w:pPr>
                    <w:pStyle w:val="TableText"/>
                  </w:pPr>
                  <w:r w:rsidRPr="005D4222">
                    <w:t>CC-18</w:t>
                  </w:r>
                </w:p>
              </w:tc>
              <w:tc>
                <w:tcPr>
                  <w:tcW w:w="3240" w:type="dxa"/>
                  <w:tcBorders>
                    <w:top w:val="dotted" w:sz="6" w:space="0" w:color="auto"/>
                    <w:left w:val="single" w:sz="6" w:space="0" w:color="000000"/>
                    <w:bottom w:val="dotted" w:sz="6" w:space="0" w:color="auto"/>
                    <w:right w:val="single" w:sz="6" w:space="0" w:color="000000"/>
                  </w:tcBorders>
                  <w:shd w:val="clear" w:color="auto" w:fill="FFFFFF"/>
                  <w:tcMar>
                    <w:left w:w="72" w:type="dxa"/>
                    <w:right w:w="72" w:type="dxa"/>
                  </w:tcMar>
                  <w:hideMark/>
                </w:tcPr>
                <w:p w14:paraId="537FCB0B" w14:textId="77777777" w:rsidR="00F25792" w:rsidRPr="005D4222" w:rsidRDefault="00F25792" w:rsidP="00A53E8C">
                  <w:pPr>
                    <w:pStyle w:val="TableText"/>
                  </w:pPr>
                  <w:r w:rsidRPr="005D4222">
                    <w:t>Diabetes With Chronic Complications</w:t>
                  </w:r>
                </w:p>
              </w:tc>
              <w:tc>
                <w:tcPr>
                  <w:tcW w:w="810" w:type="dxa"/>
                  <w:tcBorders>
                    <w:top w:val="dotted" w:sz="6" w:space="0" w:color="auto"/>
                    <w:left w:val="single" w:sz="6" w:space="0" w:color="000000"/>
                    <w:bottom w:val="dotted" w:sz="6" w:space="0" w:color="auto"/>
                    <w:right w:val="single" w:sz="6" w:space="0" w:color="000000"/>
                  </w:tcBorders>
                  <w:shd w:val="clear" w:color="auto" w:fill="FFFFFF"/>
                  <w:tcMar>
                    <w:left w:w="72" w:type="dxa"/>
                    <w:right w:w="72" w:type="dxa"/>
                  </w:tcMar>
                  <w:hideMark/>
                </w:tcPr>
                <w:p w14:paraId="689D467A" w14:textId="77777777" w:rsidR="00F25792" w:rsidRPr="005D4222" w:rsidRDefault="00F25792" w:rsidP="00A53E8C">
                  <w:pPr>
                    <w:pStyle w:val="TableText"/>
                  </w:pPr>
                  <w:r w:rsidRPr="005D4222">
                    <w:t>2</w:t>
                  </w:r>
                </w:p>
              </w:tc>
              <w:tc>
                <w:tcPr>
                  <w:tcW w:w="1076" w:type="dxa"/>
                  <w:tcBorders>
                    <w:top w:val="dotted" w:sz="6" w:space="0" w:color="auto"/>
                    <w:left w:val="single" w:sz="6" w:space="0" w:color="000000"/>
                    <w:bottom w:val="dotted" w:sz="6" w:space="0" w:color="auto"/>
                    <w:right w:val="single" w:sz="6" w:space="0" w:color="000000"/>
                  </w:tcBorders>
                  <w:shd w:val="clear" w:color="auto" w:fill="FFFFFF"/>
                  <w:tcMar>
                    <w:left w:w="72" w:type="dxa"/>
                    <w:right w:w="72" w:type="dxa"/>
                  </w:tcMar>
                  <w:hideMark/>
                </w:tcPr>
                <w:p w14:paraId="74A59C38" w14:textId="77777777" w:rsidR="00F25792" w:rsidRPr="005D4222" w:rsidRDefault="00F25792" w:rsidP="00A53E8C">
                  <w:pPr>
                    <w:pStyle w:val="TableText"/>
                  </w:pPr>
                  <w:r w:rsidRPr="005D4222">
                    <w:t>HCC-18</w:t>
                  </w:r>
                </w:p>
              </w:tc>
            </w:tr>
            <w:tr w:rsidR="00F25792" w:rsidRPr="005D4222" w14:paraId="25C3AB4C" w14:textId="77777777" w:rsidTr="007B5FC3">
              <w:tc>
                <w:tcPr>
                  <w:tcW w:w="1354" w:type="dxa"/>
                  <w:vMerge/>
                  <w:tcBorders>
                    <w:top w:val="single" w:sz="6" w:space="0" w:color="000000"/>
                    <w:left w:val="single" w:sz="6" w:space="0" w:color="000000"/>
                    <w:bottom w:val="single" w:sz="6" w:space="0" w:color="000000"/>
                    <w:right w:val="single" w:sz="6" w:space="0" w:color="000000"/>
                  </w:tcBorders>
                  <w:tcMar>
                    <w:left w:w="72" w:type="dxa"/>
                    <w:right w:w="72" w:type="dxa"/>
                  </w:tcMar>
                  <w:vAlign w:val="center"/>
                  <w:hideMark/>
                </w:tcPr>
                <w:p w14:paraId="5D209A89" w14:textId="77777777" w:rsidR="00F25792" w:rsidRPr="005D4222" w:rsidRDefault="00F25792" w:rsidP="00A53E8C">
                  <w:pPr>
                    <w:pStyle w:val="TableText"/>
                  </w:pPr>
                </w:p>
              </w:tc>
              <w:tc>
                <w:tcPr>
                  <w:tcW w:w="889" w:type="dxa"/>
                  <w:tcBorders>
                    <w:top w:val="dotted" w:sz="6" w:space="0" w:color="auto"/>
                    <w:left w:val="single" w:sz="6" w:space="0" w:color="000000"/>
                    <w:bottom w:val="single" w:sz="6" w:space="0" w:color="auto"/>
                    <w:right w:val="single" w:sz="6" w:space="0" w:color="000000"/>
                  </w:tcBorders>
                  <w:shd w:val="clear" w:color="auto" w:fill="FFFFFF"/>
                  <w:tcMar>
                    <w:left w:w="72" w:type="dxa"/>
                    <w:right w:w="72" w:type="dxa"/>
                  </w:tcMar>
                  <w:hideMark/>
                </w:tcPr>
                <w:p w14:paraId="46D564EB" w14:textId="77777777" w:rsidR="00F25792" w:rsidRPr="005D4222" w:rsidRDefault="00F25792" w:rsidP="00A53E8C">
                  <w:pPr>
                    <w:pStyle w:val="TableText"/>
                  </w:pPr>
                  <w:r w:rsidRPr="005D4222">
                    <w:t>CC-19</w:t>
                  </w:r>
                </w:p>
              </w:tc>
              <w:tc>
                <w:tcPr>
                  <w:tcW w:w="3240" w:type="dxa"/>
                  <w:tcBorders>
                    <w:top w:val="dotted" w:sz="6" w:space="0" w:color="auto"/>
                    <w:left w:val="single" w:sz="6" w:space="0" w:color="000000"/>
                    <w:bottom w:val="single" w:sz="6" w:space="0" w:color="auto"/>
                    <w:right w:val="single" w:sz="6" w:space="0" w:color="000000"/>
                  </w:tcBorders>
                  <w:shd w:val="clear" w:color="auto" w:fill="FFFFFF"/>
                  <w:tcMar>
                    <w:left w:w="72" w:type="dxa"/>
                    <w:right w:w="72" w:type="dxa"/>
                  </w:tcMar>
                  <w:hideMark/>
                </w:tcPr>
                <w:p w14:paraId="038D5B79" w14:textId="77777777" w:rsidR="00F25792" w:rsidRPr="005D4222" w:rsidRDefault="00F25792" w:rsidP="00A53E8C">
                  <w:pPr>
                    <w:pStyle w:val="TableText"/>
                  </w:pPr>
                  <w:r w:rsidRPr="005D4222">
                    <w:t>Diabetes Without Complications</w:t>
                  </w:r>
                </w:p>
              </w:tc>
              <w:tc>
                <w:tcPr>
                  <w:tcW w:w="810" w:type="dxa"/>
                  <w:tcBorders>
                    <w:top w:val="dotted" w:sz="6" w:space="0" w:color="auto"/>
                    <w:left w:val="single" w:sz="6" w:space="0" w:color="000000"/>
                    <w:bottom w:val="single" w:sz="6" w:space="0" w:color="auto"/>
                    <w:right w:val="single" w:sz="6" w:space="0" w:color="000000"/>
                  </w:tcBorders>
                  <w:shd w:val="clear" w:color="auto" w:fill="FFFFFF"/>
                  <w:tcMar>
                    <w:left w:w="72" w:type="dxa"/>
                    <w:right w:w="72" w:type="dxa"/>
                  </w:tcMar>
                  <w:hideMark/>
                </w:tcPr>
                <w:p w14:paraId="60FAEB1A" w14:textId="77777777" w:rsidR="00F25792" w:rsidRPr="005D4222" w:rsidRDefault="00F25792" w:rsidP="00A53E8C">
                  <w:pPr>
                    <w:pStyle w:val="TableText"/>
                  </w:pPr>
                  <w:r w:rsidRPr="005D4222">
                    <w:t>3</w:t>
                  </w:r>
                </w:p>
              </w:tc>
              <w:tc>
                <w:tcPr>
                  <w:tcW w:w="1076" w:type="dxa"/>
                  <w:tcBorders>
                    <w:top w:val="dotted" w:sz="6" w:space="0" w:color="auto"/>
                    <w:left w:val="single" w:sz="6" w:space="0" w:color="000000"/>
                    <w:bottom w:val="single" w:sz="6" w:space="0" w:color="auto"/>
                    <w:right w:val="single" w:sz="6" w:space="0" w:color="000000"/>
                  </w:tcBorders>
                  <w:shd w:val="clear" w:color="auto" w:fill="FFFFFF"/>
                  <w:tcMar>
                    <w:left w:w="72" w:type="dxa"/>
                    <w:right w:w="72" w:type="dxa"/>
                  </w:tcMar>
                  <w:hideMark/>
                </w:tcPr>
                <w:p w14:paraId="151A1C7D" w14:textId="77777777" w:rsidR="00F25792" w:rsidRPr="005D4222" w:rsidRDefault="00F25792" w:rsidP="00A53E8C">
                  <w:pPr>
                    <w:pStyle w:val="TableText"/>
                  </w:pPr>
                  <w:r w:rsidRPr="005D4222">
                    <w:t>HCC-19</w:t>
                  </w:r>
                </w:p>
              </w:tc>
            </w:tr>
          </w:tbl>
          <w:p w14:paraId="5E8F4BD0" w14:textId="77777777" w:rsidR="00F25792" w:rsidRPr="005D4222" w:rsidRDefault="00F25792" w:rsidP="00A53E8C">
            <w:pPr>
              <w:pStyle w:val="ECDSBody"/>
              <w:spacing w:before="240"/>
              <w:rPr>
                <w:rFonts w:eastAsia="Arial"/>
                <w:color w:val="000000" w:themeColor="text1"/>
              </w:rPr>
            </w:pPr>
            <w:r w:rsidRPr="005D4222">
              <w:rPr>
                <w:rFonts w:eastAsia="Arial"/>
                <w:b/>
                <w:color w:val="000000" w:themeColor="text1"/>
                <w:szCs w:val="21"/>
              </w:rPr>
              <w:t>Step 5.</w:t>
            </w:r>
            <w:r w:rsidRPr="005D4222">
              <w:rPr>
                <w:rFonts w:eastAsia="Arial"/>
                <w:bCs w:val="0"/>
                <w:color w:val="000000" w:themeColor="text1"/>
                <w:szCs w:val="21"/>
              </w:rPr>
              <w:t xml:space="preserve"> Identify combination HCCs listed in Table HCC—Comb. </w:t>
            </w:r>
          </w:p>
          <w:p w14:paraId="3A5C5629" w14:textId="77777777" w:rsidR="00F25792" w:rsidRPr="005D4222" w:rsidRDefault="00F25792" w:rsidP="00A53E8C">
            <w:pPr>
              <w:pStyle w:val="ECDSBody"/>
              <w:spacing w:before="0"/>
              <w:rPr>
                <w:rFonts w:eastAsia="Arial"/>
                <w:bCs w:val="0"/>
                <w:color w:val="000000" w:themeColor="text1"/>
                <w:szCs w:val="21"/>
              </w:rPr>
            </w:pPr>
            <w:r w:rsidRPr="005D4222">
              <w:rPr>
                <w:rFonts w:eastAsia="Arial"/>
                <w:bCs w:val="0"/>
                <w:color w:val="000000" w:themeColor="text1"/>
                <w:szCs w:val="21"/>
              </w:rPr>
              <w:t>Some combinations suggest a greater amount of risk when observed together.</w:t>
            </w:r>
          </w:p>
          <w:p w14:paraId="03623672" w14:textId="77777777" w:rsidR="00F25792" w:rsidRPr="005D4222" w:rsidRDefault="00F25792" w:rsidP="00A53E8C">
            <w:pPr>
              <w:pStyle w:val="Bullet"/>
              <w:spacing w:after="80"/>
              <w:rPr>
                <w:rFonts w:eastAsia="Arial"/>
              </w:rPr>
            </w:pPr>
            <w:r w:rsidRPr="005D4222">
              <w:rPr>
                <w:rFonts w:eastAsia="Arial"/>
                <w:i/>
              </w:rPr>
              <w:t>For example,</w:t>
            </w:r>
            <w:r w:rsidRPr="005D4222">
              <w:rPr>
                <w:rFonts w:eastAsia="Arial"/>
              </w:rPr>
              <w:t xml:space="preserve"> when diabetes </w:t>
            </w:r>
            <w:r w:rsidRPr="005D4222">
              <w:rPr>
                <w:rFonts w:eastAsia="Arial"/>
                <w:i/>
              </w:rPr>
              <w:t xml:space="preserve">and </w:t>
            </w:r>
            <w:r w:rsidRPr="005D4222">
              <w:rPr>
                <w:rFonts w:eastAsia="Arial"/>
              </w:rPr>
              <w:t xml:space="preserve">CHF are present, an increased amount of risk is evident. Additional HCCs are selected to account for these relationships. </w:t>
            </w:r>
          </w:p>
          <w:p w14:paraId="69CF54D4" w14:textId="77777777" w:rsidR="00F25792" w:rsidRPr="005D4222" w:rsidRDefault="00F25792" w:rsidP="00A53E8C">
            <w:pPr>
              <w:pStyle w:val="ECDSBody"/>
              <w:spacing w:before="180"/>
              <w:rPr>
                <w:rFonts w:eastAsia="Arial"/>
                <w:color w:val="000000" w:themeColor="text1"/>
              </w:rPr>
            </w:pPr>
            <w:r w:rsidRPr="005D4222">
              <w:rPr>
                <w:rFonts w:eastAsia="Arial"/>
                <w:bCs w:val="0"/>
                <w:color w:val="000000" w:themeColor="text1"/>
                <w:szCs w:val="21"/>
              </w:rPr>
              <w:t xml:space="preserve">Compare each denominator unit’s list of unique HCCs to those in the </w:t>
            </w:r>
            <w:r w:rsidRPr="005D4222">
              <w:rPr>
                <w:rFonts w:eastAsia="Arial"/>
                <w:bCs w:val="0"/>
                <w:i/>
                <w:iCs/>
                <w:color w:val="000000" w:themeColor="text1"/>
                <w:szCs w:val="21"/>
              </w:rPr>
              <w:t>Comorbid HCC</w:t>
            </w:r>
            <w:r w:rsidRPr="005D4222">
              <w:rPr>
                <w:rFonts w:eastAsia="Arial"/>
                <w:bCs w:val="0"/>
                <w:color w:val="000000" w:themeColor="text1"/>
                <w:szCs w:val="21"/>
              </w:rPr>
              <w:t xml:space="preserve"> columns in Table HCC—Comb and assign any additional HCC conditions.</w:t>
            </w:r>
          </w:p>
          <w:p w14:paraId="51F649AB" w14:textId="77777777" w:rsidR="00F25792" w:rsidRPr="005D4222" w:rsidRDefault="00F25792" w:rsidP="00436199">
            <w:pPr>
              <w:pStyle w:val="ECDSBody"/>
              <w:spacing w:before="180"/>
              <w:rPr>
                <w:rFonts w:eastAsia="Arial"/>
              </w:rPr>
            </w:pPr>
            <w:r w:rsidRPr="005D4222">
              <w:rPr>
                <w:rFonts w:eastAsia="Arial"/>
                <w:i/>
              </w:rPr>
              <w:lastRenderedPageBreak/>
              <w:t xml:space="preserve">If there are overlapping combinations, use both sets of combinations. </w:t>
            </w:r>
            <w:r w:rsidRPr="005D4222">
              <w:rPr>
                <w:rFonts w:eastAsia="Arial"/>
              </w:rPr>
              <w:t>Based on the combinations, a denominator unit can have none, one or more of these added HCCs.</w:t>
            </w:r>
          </w:p>
          <w:p w14:paraId="7074FA3D" w14:textId="77777777" w:rsidR="00F25792" w:rsidRPr="005D4222" w:rsidRDefault="00F25792" w:rsidP="00A53E8C">
            <w:pPr>
              <w:pStyle w:val="Bullet"/>
              <w:rPr>
                <w:rFonts w:eastAsia="Arial"/>
              </w:rPr>
            </w:pPr>
            <w:r w:rsidRPr="005D4222">
              <w:rPr>
                <w:rFonts w:eastAsia="Arial"/>
                <w:i/>
                <w:iCs/>
              </w:rPr>
              <w:t>For example,</w:t>
            </w:r>
            <w:r w:rsidRPr="005D4222">
              <w:rPr>
                <w:rFonts w:eastAsia="Arial"/>
              </w:rPr>
              <w:t xml:space="preserve"> for a denominator unit with comorbidities HCC-17 and HCC-85 (assume no other HCCs), assign HCC-901 in addition to </w:t>
            </w:r>
            <w:r w:rsidRPr="005D4222">
              <w:br/>
            </w:r>
            <w:r w:rsidRPr="005D4222">
              <w:rPr>
                <w:rFonts w:eastAsia="Arial"/>
              </w:rPr>
              <w:t>HCC-17 and HCC-85. This does not replace HCC-17 and HCC-85.</w:t>
            </w:r>
          </w:p>
          <w:p w14:paraId="52B0DD30" w14:textId="77777777" w:rsidR="00F25792" w:rsidRPr="005D4222" w:rsidRDefault="00F25792" w:rsidP="00A53E8C">
            <w:pPr>
              <w:pStyle w:val="Heading3"/>
              <w:spacing w:before="120"/>
              <w:rPr>
                <w:rFonts w:eastAsia="Arial"/>
                <w:iCs/>
                <w:color w:val="000000" w:themeColor="text1"/>
                <w:szCs w:val="18"/>
              </w:rPr>
            </w:pPr>
            <w:r w:rsidRPr="005D4222">
              <w:rPr>
                <w:rFonts w:eastAsia="Arial"/>
                <w:iCs/>
                <w:color w:val="000000" w:themeColor="text1"/>
                <w:szCs w:val="18"/>
              </w:rPr>
              <w:t>Table HCC—Comb</w:t>
            </w:r>
          </w:p>
          <w:tbl>
            <w:tblPr>
              <w:tblW w:w="5000" w:type="pct"/>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330"/>
              <w:gridCol w:w="1330"/>
              <w:gridCol w:w="1329"/>
              <w:gridCol w:w="1329"/>
              <w:gridCol w:w="2051"/>
            </w:tblGrid>
            <w:tr w:rsidR="00F25792" w:rsidRPr="005D4222" w14:paraId="5EC1B656" w14:textId="77777777" w:rsidTr="00A53E8C">
              <w:trPr>
                <w:trHeight w:val="300"/>
              </w:trPr>
              <w:tc>
                <w:tcPr>
                  <w:tcW w:w="1336" w:type="dxa"/>
                  <w:tcBorders>
                    <w:top w:val="single" w:sz="6" w:space="0" w:color="000000" w:themeColor="text1"/>
                    <w:left w:val="single" w:sz="6" w:space="0" w:color="000000" w:themeColor="text1"/>
                    <w:bottom w:val="single" w:sz="6" w:space="0" w:color="000000" w:themeColor="text1"/>
                    <w:right w:val="single" w:sz="6" w:space="0" w:color="FFFFFF" w:themeColor="background1"/>
                  </w:tcBorders>
                  <w:shd w:val="clear" w:color="auto" w:fill="000000" w:themeFill="text1"/>
                  <w:tcMar>
                    <w:left w:w="105" w:type="dxa"/>
                    <w:right w:w="105" w:type="dxa"/>
                  </w:tcMar>
                  <w:vAlign w:val="bottom"/>
                </w:tcPr>
                <w:p w14:paraId="66224AFC" w14:textId="77777777" w:rsidR="00F25792" w:rsidRPr="005D4222" w:rsidRDefault="00F25792" w:rsidP="00A53E8C">
                  <w:pPr>
                    <w:pStyle w:val="TableHead"/>
                    <w:rPr>
                      <w:rFonts w:eastAsia="Arial Narrow" w:cs="Arial Narrow"/>
                      <w:bCs/>
                    </w:rPr>
                  </w:pPr>
                  <w:r w:rsidRPr="005D4222">
                    <w:rPr>
                      <w:rFonts w:eastAsia="Arial Narrow" w:cs="Arial Narrow"/>
                      <w:bCs/>
                    </w:rPr>
                    <w:t xml:space="preserve">Comorbid </w:t>
                  </w:r>
                  <w:r w:rsidRPr="005D4222">
                    <w:br/>
                  </w:r>
                  <w:r w:rsidRPr="005D4222">
                    <w:rPr>
                      <w:rFonts w:eastAsia="Arial Narrow" w:cs="Arial Narrow"/>
                      <w:bCs/>
                    </w:rPr>
                    <w:t>HCC 1</w:t>
                  </w:r>
                </w:p>
              </w:tc>
              <w:tc>
                <w:tcPr>
                  <w:tcW w:w="1336" w:type="dxa"/>
                  <w:tcBorders>
                    <w:top w:val="single" w:sz="6" w:space="0" w:color="000000" w:themeColor="text1"/>
                    <w:left w:val="single" w:sz="6" w:space="0" w:color="FFFFFF" w:themeColor="background1"/>
                    <w:bottom w:val="single" w:sz="6" w:space="0" w:color="000000" w:themeColor="text1"/>
                    <w:right w:val="single" w:sz="6" w:space="0" w:color="FFFFFF" w:themeColor="background1"/>
                  </w:tcBorders>
                  <w:shd w:val="clear" w:color="auto" w:fill="000000" w:themeFill="text1"/>
                  <w:tcMar>
                    <w:left w:w="105" w:type="dxa"/>
                    <w:right w:w="105" w:type="dxa"/>
                  </w:tcMar>
                  <w:vAlign w:val="bottom"/>
                </w:tcPr>
                <w:p w14:paraId="4CA38980" w14:textId="77777777" w:rsidR="00F25792" w:rsidRPr="005D4222" w:rsidRDefault="00F25792" w:rsidP="00A53E8C">
                  <w:pPr>
                    <w:pStyle w:val="TableHead"/>
                    <w:rPr>
                      <w:rFonts w:eastAsia="Arial Narrow" w:cs="Arial Narrow"/>
                      <w:bCs/>
                    </w:rPr>
                  </w:pPr>
                  <w:r w:rsidRPr="005D4222">
                    <w:rPr>
                      <w:rFonts w:eastAsia="Arial Narrow" w:cs="Arial Narrow"/>
                      <w:bCs/>
                    </w:rPr>
                    <w:t xml:space="preserve">Comorbid </w:t>
                  </w:r>
                  <w:r w:rsidRPr="005D4222">
                    <w:br/>
                  </w:r>
                  <w:r w:rsidRPr="005D4222">
                    <w:rPr>
                      <w:rFonts w:eastAsia="Arial Narrow" w:cs="Arial Narrow"/>
                      <w:bCs/>
                    </w:rPr>
                    <w:t>HCC 2</w:t>
                  </w:r>
                </w:p>
              </w:tc>
              <w:tc>
                <w:tcPr>
                  <w:tcW w:w="1336" w:type="dxa"/>
                  <w:tcBorders>
                    <w:top w:val="single" w:sz="6" w:space="0" w:color="000000" w:themeColor="text1"/>
                    <w:left w:val="single" w:sz="6" w:space="0" w:color="FFFFFF" w:themeColor="background1"/>
                    <w:bottom w:val="single" w:sz="6" w:space="0" w:color="000000" w:themeColor="text1"/>
                    <w:right w:val="single" w:sz="6" w:space="0" w:color="FFFFFF" w:themeColor="background1"/>
                  </w:tcBorders>
                  <w:shd w:val="clear" w:color="auto" w:fill="000000" w:themeFill="text1"/>
                  <w:tcMar>
                    <w:left w:w="105" w:type="dxa"/>
                    <w:right w:w="105" w:type="dxa"/>
                  </w:tcMar>
                  <w:vAlign w:val="bottom"/>
                </w:tcPr>
                <w:p w14:paraId="38DED92E" w14:textId="77777777" w:rsidR="00F25792" w:rsidRPr="005D4222" w:rsidRDefault="00F25792" w:rsidP="00A53E8C">
                  <w:pPr>
                    <w:pStyle w:val="TableHead"/>
                    <w:rPr>
                      <w:rFonts w:eastAsia="Arial Narrow" w:cs="Arial Narrow"/>
                      <w:bCs/>
                    </w:rPr>
                  </w:pPr>
                  <w:r w:rsidRPr="005D4222">
                    <w:rPr>
                      <w:rFonts w:eastAsia="Arial Narrow" w:cs="Arial Narrow"/>
                      <w:bCs/>
                    </w:rPr>
                    <w:t xml:space="preserve">Comorbid </w:t>
                  </w:r>
                  <w:r w:rsidRPr="005D4222">
                    <w:br/>
                  </w:r>
                  <w:r w:rsidRPr="005D4222">
                    <w:rPr>
                      <w:rFonts w:eastAsia="Arial Narrow" w:cs="Arial Narrow"/>
                      <w:bCs/>
                    </w:rPr>
                    <w:t>HCC 3</w:t>
                  </w:r>
                </w:p>
              </w:tc>
              <w:tc>
                <w:tcPr>
                  <w:tcW w:w="1336" w:type="dxa"/>
                  <w:tcBorders>
                    <w:top w:val="single" w:sz="6" w:space="0" w:color="000000" w:themeColor="text1"/>
                    <w:left w:val="single" w:sz="6" w:space="0" w:color="FFFFFF" w:themeColor="background1"/>
                    <w:bottom w:val="single" w:sz="6" w:space="0" w:color="000000" w:themeColor="text1"/>
                    <w:right w:val="single" w:sz="6" w:space="0" w:color="FFFFFF" w:themeColor="background1"/>
                  </w:tcBorders>
                  <w:shd w:val="clear" w:color="auto" w:fill="000000" w:themeFill="text1"/>
                  <w:tcMar>
                    <w:left w:w="105" w:type="dxa"/>
                    <w:right w:w="105" w:type="dxa"/>
                  </w:tcMar>
                  <w:vAlign w:val="bottom"/>
                </w:tcPr>
                <w:p w14:paraId="583E7FD8" w14:textId="77777777" w:rsidR="00F25792" w:rsidRPr="005D4222" w:rsidRDefault="00F25792" w:rsidP="00A53E8C">
                  <w:pPr>
                    <w:pStyle w:val="TableHead"/>
                    <w:rPr>
                      <w:rFonts w:eastAsia="Arial Narrow" w:cs="Arial Narrow"/>
                      <w:bCs/>
                    </w:rPr>
                  </w:pPr>
                  <w:r w:rsidRPr="005D4222">
                    <w:rPr>
                      <w:rFonts w:eastAsia="Arial Narrow" w:cs="Arial Narrow"/>
                      <w:bCs/>
                    </w:rPr>
                    <w:t>HCC-</w:t>
                  </w:r>
                  <w:r w:rsidRPr="005D4222">
                    <w:br/>
                  </w:r>
                  <w:r w:rsidRPr="005D4222">
                    <w:rPr>
                      <w:rFonts w:eastAsia="Arial Narrow" w:cs="Arial Narrow"/>
                      <w:bCs/>
                    </w:rPr>
                    <w:t>Combination</w:t>
                  </w:r>
                </w:p>
              </w:tc>
              <w:tc>
                <w:tcPr>
                  <w:tcW w:w="2062" w:type="dxa"/>
                  <w:tcBorders>
                    <w:top w:val="single" w:sz="6" w:space="0" w:color="000000" w:themeColor="text1"/>
                    <w:left w:val="single" w:sz="6" w:space="0" w:color="FFFFFF" w:themeColor="background1"/>
                    <w:bottom w:val="single" w:sz="6" w:space="0" w:color="000000" w:themeColor="text1"/>
                    <w:right w:val="single" w:sz="6" w:space="0" w:color="000000" w:themeColor="text1"/>
                  </w:tcBorders>
                  <w:shd w:val="clear" w:color="auto" w:fill="000000" w:themeFill="text1"/>
                  <w:tcMar>
                    <w:left w:w="105" w:type="dxa"/>
                    <w:right w:w="105" w:type="dxa"/>
                  </w:tcMar>
                  <w:vAlign w:val="bottom"/>
                </w:tcPr>
                <w:p w14:paraId="70BB5BE8" w14:textId="77777777" w:rsidR="00F25792" w:rsidRPr="005D4222" w:rsidRDefault="00F25792" w:rsidP="00A53E8C">
                  <w:pPr>
                    <w:pStyle w:val="TableHead"/>
                    <w:rPr>
                      <w:rFonts w:eastAsia="Arial Narrow" w:cs="Arial Narrow"/>
                      <w:bCs/>
                    </w:rPr>
                  </w:pPr>
                  <w:r w:rsidRPr="005D4222">
                    <w:rPr>
                      <w:rFonts w:eastAsia="Arial Narrow" w:cs="Arial Narrow"/>
                      <w:bCs/>
                    </w:rPr>
                    <w:t>HCC-Comb Description</w:t>
                  </w:r>
                </w:p>
              </w:tc>
            </w:tr>
            <w:tr w:rsidR="00F25792" w:rsidRPr="005D4222" w14:paraId="108C62FA" w14:textId="77777777" w:rsidTr="00A53E8C">
              <w:trPr>
                <w:trHeight w:val="300"/>
              </w:trPr>
              <w:tc>
                <w:tcPr>
                  <w:tcW w:w="133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487CE02D" w14:textId="77777777" w:rsidR="00F25792" w:rsidRPr="005D4222" w:rsidRDefault="00F25792" w:rsidP="00A53E8C">
                  <w:pPr>
                    <w:pStyle w:val="TableText"/>
                    <w:rPr>
                      <w:rFonts w:eastAsia="Arial Narrow" w:cs="Arial Narrow"/>
                    </w:rPr>
                  </w:pPr>
                  <w:r w:rsidRPr="005D4222">
                    <w:rPr>
                      <w:rFonts w:eastAsia="Arial Narrow" w:cs="Arial Narrow"/>
                      <w:szCs w:val="21"/>
                    </w:rPr>
                    <w:t>HCC-17</w:t>
                  </w:r>
                </w:p>
              </w:tc>
              <w:tc>
                <w:tcPr>
                  <w:tcW w:w="133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79B0FD81" w14:textId="77777777" w:rsidR="00F25792" w:rsidRPr="005D4222" w:rsidRDefault="00F25792" w:rsidP="00A53E8C">
                  <w:pPr>
                    <w:pStyle w:val="TableText"/>
                    <w:rPr>
                      <w:rFonts w:eastAsia="Arial Narrow" w:cs="Arial Narrow"/>
                    </w:rPr>
                  </w:pPr>
                  <w:r w:rsidRPr="005D4222">
                    <w:rPr>
                      <w:rFonts w:eastAsia="Arial Narrow" w:cs="Arial Narrow"/>
                      <w:szCs w:val="21"/>
                    </w:rPr>
                    <w:t>HCC-85</w:t>
                  </w:r>
                </w:p>
              </w:tc>
              <w:tc>
                <w:tcPr>
                  <w:tcW w:w="133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15FA31EE" w14:textId="77777777" w:rsidR="00F25792" w:rsidRPr="005D4222" w:rsidRDefault="00F25792" w:rsidP="00A53E8C">
                  <w:pPr>
                    <w:pStyle w:val="TableText"/>
                    <w:rPr>
                      <w:rFonts w:eastAsia="Arial Narrow" w:cs="Arial Narrow"/>
                    </w:rPr>
                  </w:pPr>
                  <w:r w:rsidRPr="005D4222">
                    <w:rPr>
                      <w:rFonts w:eastAsia="Arial Narrow" w:cs="Arial Narrow"/>
                      <w:szCs w:val="21"/>
                    </w:rPr>
                    <w:t>NA</w:t>
                  </w:r>
                </w:p>
              </w:tc>
              <w:tc>
                <w:tcPr>
                  <w:tcW w:w="133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3A5A38E0" w14:textId="77777777" w:rsidR="00F25792" w:rsidRPr="005D4222" w:rsidRDefault="00F25792" w:rsidP="00A53E8C">
                  <w:pPr>
                    <w:pStyle w:val="TableText"/>
                    <w:rPr>
                      <w:rFonts w:eastAsia="Arial Narrow" w:cs="Arial Narrow"/>
                    </w:rPr>
                  </w:pPr>
                  <w:r w:rsidRPr="005D4222">
                    <w:rPr>
                      <w:rFonts w:eastAsia="Arial Narrow" w:cs="Arial Narrow"/>
                      <w:szCs w:val="21"/>
                    </w:rPr>
                    <w:t>HCC-901</w:t>
                  </w:r>
                </w:p>
              </w:tc>
              <w:tc>
                <w:tcPr>
                  <w:tcW w:w="20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3244B2CE" w14:textId="77777777" w:rsidR="00F25792" w:rsidRPr="005D4222" w:rsidRDefault="00F25792" w:rsidP="00A53E8C">
                  <w:pPr>
                    <w:pStyle w:val="TableText"/>
                    <w:rPr>
                      <w:rFonts w:eastAsia="Arial Narrow" w:cs="Arial Narrow"/>
                    </w:rPr>
                  </w:pPr>
                  <w:r w:rsidRPr="005D4222">
                    <w:rPr>
                      <w:rFonts w:eastAsia="Arial Narrow" w:cs="Arial Narrow"/>
                      <w:szCs w:val="21"/>
                    </w:rPr>
                    <w:t>Combination: Diabetes and CHF</w:t>
                  </w:r>
                </w:p>
              </w:tc>
            </w:tr>
            <w:tr w:rsidR="00F25792" w:rsidRPr="005D4222" w14:paraId="69358BF5" w14:textId="77777777" w:rsidTr="00A53E8C">
              <w:trPr>
                <w:trHeight w:val="300"/>
              </w:trPr>
              <w:tc>
                <w:tcPr>
                  <w:tcW w:w="13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4BDD800" w14:textId="77777777" w:rsidR="00F25792" w:rsidRPr="005D4222" w:rsidRDefault="00F25792" w:rsidP="00A53E8C">
                  <w:pPr>
                    <w:pStyle w:val="TableText"/>
                    <w:rPr>
                      <w:rFonts w:eastAsia="Arial Narrow" w:cs="Arial Narrow"/>
                    </w:rPr>
                  </w:pPr>
                  <w:r w:rsidRPr="005D4222">
                    <w:rPr>
                      <w:rFonts w:eastAsia="Arial Narrow" w:cs="Arial Narrow"/>
                      <w:szCs w:val="21"/>
                    </w:rPr>
                    <w:t>HCC-18</w:t>
                  </w:r>
                </w:p>
              </w:tc>
              <w:tc>
                <w:tcPr>
                  <w:tcW w:w="13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2146745" w14:textId="77777777" w:rsidR="00F25792" w:rsidRPr="005D4222" w:rsidRDefault="00F25792" w:rsidP="00A53E8C">
                  <w:pPr>
                    <w:pStyle w:val="TableText"/>
                    <w:rPr>
                      <w:rFonts w:eastAsia="Arial Narrow" w:cs="Arial Narrow"/>
                    </w:rPr>
                  </w:pPr>
                  <w:r w:rsidRPr="005D4222">
                    <w:rPr>
                      <w:rFonts w:eastAsia="Arial Narrow" w:cs="Arial Narrow"/>
                      <w:szCs w:val="21"/>
                    </w:rPr>
                    <w:t>HCC-85</w:t>
                  </w:r>
                </w:p>
              </w:tc>
              <w:tc>
                <w:tcPr>
                  <w:tcW w:w="13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3CA91DD" w14:textId="77777777" w:rsidR="00F25792" w:rsidRPr="005D4222" w:rsidRDefault="00F25792" w:rsidP="00A53E8C">
                  <w:pPr>
                    <w:pStyle w:val="TableText"/>
                    <w:rPr>
                      <w:rFonts w:eastAsia="Arial Narrow" w:cs="Arial Narrow"/>
                    </w:rPr>
                  </w:pPr>
                  <w:r w:rsidRPr="005D4222">
                    <w:rPr>
                      <w:rFonts w:eastAsia="Arial Narrow" w:cs="Arial Narrow"/>
                      <w:szCs w:val="21"/>
                    </w:rPr>
                    <w:t>NA</w:t>
                  </w:r>
                </w:p>
              </w:tc>
              <w:tc>
                <w:tcPr>
                  <w:tcW w:w="13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D4AB649" w14:textId="77777777" w:rsidR="00F25792" w:rsidRPr="005D4222" w:rsidRDefault="00F25792" w:rsidP="00A53E8C">
                  <w:pPr>
                    <w:pStyle w:val="TableText"/>
                    <w:rPr>
                      <w:rFonts w:eastAsia="Arial Narrow" w:cs="Arial Narrow"/>
                    </w:rPr>
                  </w:pPr>
                  <w:r w:rsidRPr="005D4222">
                    <w:rPr>
                      <w:rFonts w:eastAsia="Arial Narrow" w:cs="Arial Narrow"/>
                      <w:szCs w:val="21"/>
                    </w:rPr>
                    <w:t>HCC-901</w:t>
                  </w:r>
                </w:p>
              </w:tc>
              <w:tc>
                <w:tcPr>
                  <w:tcW w:w="20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63FD0AE" w14:textId="77777777" w:rsidR="00F25792" w:rsidRPr="005D4222" w:rsidRDefault="00F25792" w:rsidP="00A53E8C">
                  <w:pPr>
                    <w:pStyle w:val="TableText"/>
                    <w:rPr>
                      <w:rFonts w:eastAsia="Arial Narrow" w:cs="Arial Narrow"/>
                    </w:rPr>
                  </w:pPr>
                  <w:r w:rsidRPr="005D4222">
                    <w:rPr>
                      <w:rFonts w:eastAsia="Arial Narrow" w:cs="Arial Narrow"/>
                      <w:szCs w:val="21"/>
                    </w:rPr>
                    <w:t>Combination: Diabetes and CHF</w:t>
                  </w:r>
                </w:p>
              </w:tc>
            </w:tr>
            <w:tr w:rsidR="00F25792" w:rsidRPr="005D4222" w14:paraId="688EECFE" w14:textId="77777777" w:rsidTr="00A53E8C">
              <w:trPr>
                <w:trHeight w:val="300"/>
              </w:trPr>
              <w:tc>
                <w:tcPr>
                  <w:tcW w:w="13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64733A9" w14:textId="77777777" w:rsidR="00F25792" w:rsidRPr="005D4222" w:rsidRDefault="00F25792" w:rsidP="00A53E8C">
                  <w:pPr>
                    <w:pStyle w:val="TableText"/>
                    <w:rPr>
                      <w:rFonts w:eastAsia="Arial Narrow" w:cs="Arial Narrow"/>
                    </w:rPr>
                  </w:pPr>
                  <w:r w:rsidRPr="005D4222">
                    <w:rPr>
                      <w:rFonts w:eastAsia="Arial Narrow" w:cs="Arial Narrow"/>
                      <w:szCs w:val="21"/>
                    </w:rPr>
                    <w:t>HCC-19</w:t>
                  </w:r>
                </w:p>
              </w:tc>
              <w:tc>
                <w:tcPr>
                  <w:tcW w:w="13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495A553" w14:textId="77777777" w:rsidR="00F25792" w:rsidRPr="005D4222" w:rsidRDefault="00F25792" w:rsidP="00A53E8C">
                  <w:pPr>
                    <w:pStyle w:val="TableText"/>
                    <w:rPr>
                      <w:rFonts w:eastAsia="Arial Narrow" w:cs="Arial Narrow"/>
                    </w:rPr>
                  </w:pPr>
                  <w:r w:rsidRPr="005D4222">
                    <w:rPr>
                      <w:rFonts w:eastAsia="Arial Narrow" w:cs="Arial Narrow"/>
                      <w:szCs w:val="21"/>
                    </w:rPr>
                    <w:t>HCC-85</w:t>
                  </w:r>
                </w:p>
              </w:tc>
              <w:tc>
                <w:tcPr>
                  <w:tcW w:w="13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BF42D34" w14:textId="77777777" w:rsidR="00F25792" w:rsidRPr="005D4222" w:rsidRDefault="00F25792" w:rsidP="00A53E8C">
                  <w:pPr>
                    <w:pStyle w:val="TableText"/>
                    <w:rPr>
                      <w:rFonts w:eastAsia="Arial Narrow" w:cs="Arial Narrow"/>
                    </w:rPr>
                  </w:pPr>
                  <w:r w:rsidRPr="005D4222">
                    <w:rPr>
                      <w:rFonts w:eastAsia="Arial Narrow" w:cs="Arial Narrow"/>
                      <w:szCs w:val="21"/>
                    </w:rPr>
                    <w:t>NA</w:t>
                  </w:r>
                </w:p>
              </w:tc>
              <w:tc>
                <w:tcPr>
                  <w:tcW w:w="13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1770BBF" w14:textId="77777777" w:rsidR="00F25792" w:rsidRPr="005D4222" w:rsidRDefault="00F25792" w:rsidP="00A53E8C">
                  <w:pPr>
                    <w:pStyle w:val="TableText"/>
                    <w:rPr>
                      <w:rFonts w:eastAsia="Arial Narrow" w:cs="Arial Narrow"/>
                    </w:rPr>
                  </w:pPr>
                  <w:r w:rsidRPr="005D4222">
                    <w:rPr>
                      <w:rFonts w:eastAsia="Arial Narrow" w:cs="Arial Narrow"/>
                      <w:szCs w:val="21"/>
                    </w:rPr>
                    <w:t>HCC-901</w:t>
                  </w:r>
                </w:p>
              </w:tc>
              <w:tc>
                <w:tcPr>
                  <w:tcW w:w="20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0A4893" w14:textId="77777777" w:rsidR="00F25792" w:rsidRPr="005D4222" w:rsidRDefault="00F25792" w:rsidP="00A53E8C">
                  <w:pPr>
                    <w:pStyle w:val="TableText"/>
                    <w:rPr>
                      <w:rFonts w:eastAsia="Arial Narrow" w:cs="Arial Narrow"/>
                    </w:rPr>
                  </w:pPr>
                  <w:r w:rsidRPr="005D4222">
                    <w:rPr>
                      <w:rFonts w:eastAsia="Arial Narrow" w:cs="Arial Narrow"/>
                      <w:szCs w:val="21"/>
                    </w:rPr>
                    <w:t>Combination: Diabetes and CHF</w:t>
                  </w:r>
                </w:p>
              </w:tc>
            </w:tr>
          </w:tbl>
          <w:p w14:paraId="4E26B1F3" w14:textId="77777777" w:rsidR="00F25792" w:rsidRPr="005D4222" w:rsidRDefault="00F25792" w:rsidP="00A53E8C">
            <w:pPr>
              <w:pStyle w:val="ECDSBody"/>
            </w:pPr>
          </w:p>
        </w:tc>
      </w:tr>
      <w:tr w:rsidR="00F25792" w:rsidRPr="005D4222" w14:paraId="50211FDC" w14:textId="77777777" w:rsidTr="00A53E8C">
        <w:tblPrEx>
          <w:tblCellMar>
            <w:top w:w="86" w:type="dxa"/>
          </w:tblCellMar>
        </w:tblPrEx>
        <w:tc>
          <w:tcPr>
            <w:tcW w:w="2157" w:type="dxa"/>
            <w:tcBorders>
              <w:top w:val="single" w:sz="4" w:space="0" w:color="auto"/>
              <w:left w:val="single" w:sz="2" w:space="0" w:color="auto"/>
              <w:right w:val="single" w:sz="2" w:space="0" w:color="auto"/>
            </w:tcBorders>
            <w:shd w:val="clear" w:color="auto" w:fill="BFBFBF" w:themeFill="background1" w:themeFillShade="BF"/>
            <w:tcMar>
              <w:top w:w="0" w:type="dxa"/>
            </w:tcMar>
          </w:tcPr>
          <w:p w14:paraId="4AE8BD5E" w14:textId="77777777" w:rsidR="00F25792" w:rsidRPr="005D4222" w:rsidRDefault="00F25792" w:rsidP="00A53E8C">
            <w:pPr>
              <w:pStyle w:val="MarginHead"/>
              <w:spacing w:line="256" w:lineRule="auto"/>
              <w:rPr>
                <w:rFonts w:cs="Arial"/>
                <w:color w:val="000000" w:themeColor="text1"/>
                <w:szCs w:val="22"/>
                <w:lang w:eastAsia="zh-CN"/>
              </w:rPr>
            </w:pPr>
            <w:r w:rsidRPr="005D4222">
              <w:rPr>
                <w:rFonts w:cs="Arial"/>
                <w:color w:val="000000" w:themeColor="text1"/>
                <w:szCs w:val="22"/>
                <w:lang w:eastAsia="zh-CN"/>
              </w:rPr>
              <w:lastRenderedPageBreak/>
              <w:t>Risk adjustment</w:t>
            </w:r>
          </w:p>
        </w:tc>
        <w:tc>
          <w:tcPr>
            <w:tcW w:w="7557" w:type="dxa"/>
            <w:tcBorders>
              <w:top w:val="single" w:sz="4" w:space="0" w:color="auto"/>
              <w:left w:val="single" w:sz="4" w:space="0" w:color="auto"/>
              <w:right w:val="single" w:sz="4" w:space="0" w:color="auto"/>
            </w:tcBorders>
            <w:tcMar>
              <w:top w:w="0" w:type="dxa"/>
            </w:tcMar>
          </w:tcPr>
          <w:p w14:paraId="5DB5A234" w14:textId="77777777" w:rsidR="00F25792" w:rsidRPr="005D4222" w:rsidRDefault="00F25792" w:rsidP="00A53E8C">
            <w:pPr>
              <w:pStyle w:val="ECDSBody"/>
              <w:rPr>
                <w:b/>
                <w:bCs w:val="0"/>
                <w:i/>
                <w:iCs/>
                <w:lang w:eastAsia="zh-CN"/>
              </w:rPr>
            </w:pPr>
            <w:r w:rsidRPr="005D4222">
              <w:rPr>
                <w:b/>
                <w:bCs w:val="0"/>
                <w:i/>
                <w:iCs/>
                <w:lang w:eastAsia="zh-CN"/>
              </w:rPr>
              <w:t>Risk Adjustment Calculation</w:t>
            </w:r>
          </w:p>
          <w:p w14:paraId="1C1C83AD" w14:textId="77777777" w:rsidR="00F25792" w:rsidRPr="005D4222" w:rsidRDefault="00F25792" w:rsidP="00A53E8C">
            <w:pPr>
              <w:pStyle w:val="ECDSBody"/>
              <w:spacing w:before="0"/>
            </w:pPr>
            <w:r w:rsidRPr="005D4222">
              <w:t xml:space="preserve">For each outpatient colonoscopy episode, use the following steps to identify the 15-day hospitalization risk adjustment weights based on comorbidity, age and gender. </w:t>
            </w:r>
          </w:p>
          <w:p w14:paraId="0CF45513" w14:textId="77777777" w:rsidR="00F25792" w:rsidRPr="005D4222" w:rsidRDefault="00F25792" w:rsidP="00A53E8C">
            <w:pPr>
              <w:pStyle w:val="ECDSBody"/>
              <w:spacing w:before="180"/>
              <w:rPr>
                <w:lang w:eastAsia="zh-CN"/>
              </w:rPr>
            </w:pPr>
            <w:r w:rsidRPr="005D4222">
              <w:rPr>
                <w:b/>
                <w:lang w:eastAsia="zh-CN"/>
              </w:rPr>
              <w:t>Step 1.</w:t>
            </w:r>
            <w:r w:rsidRPr="005D4222">
              <w:rPr>
                <w:lang w:eastAsia="zh-CN"/>
              </w:rPr>
              <w:t xml:space="preserve"> For each outpatient colonoscopy episode with a Comorbidity HCC category, link the comorbidity weights.</w:t>
            </w:r>
          </w:p>
          <w:p w14:paraId="1470697C" w14:textId="77777777" w:rsidR="00F25792" w:rsidRPr="005D4222" w:rsidRDefault="00F25792" w:rsidP="00A53E8C">
            <w:pPr>
              <w:pStyle w:val="ECDSBody"/>
              <w:rPr>
                <w:lang w:eastAsia="zh-CN"/>
              </w:rPr>
            </w:pPr>
            <w:r w:rsidRPr="005D4222">
              <w:rPr>
                <w:b/>
                <w:lang w:eastAsia="zh-CN"/>
              </w:rPr>
              <w:t>Step 2.</w:t>
            </w:r>
            <w:r w:rsidRPr="005D4222">
              <w:rPr>
                <w:lang w:eastAsia="zh-CN"/>
              </w:rPr>
              <w:t xml:space="preserve"> Link the age and gender weights for each outpatient colonoscopy episode.</w:t>
            </w:r>
          </w:p>
          <w:p w14:paraId="378B7AA3" w14:textId="77777777" w:rsidR="00F25792" w:rsidRPr="005D4222" w:rsidRDefault="00F25792" w:rsidP="00A53E8C">
            <w:pPr>
              <w:pStyle w:val="ECDSBody"/>
              <w:spacing w:before="180"/>
              <w:rPr>
                <w:lang w:eastAsia="zh-CN"/>
              </w:rPr>
            </w:pPr>
            <w:r w:rsidRPr="005D4222">
              <w:rPr>
                <w:b/>
                <w:lang w:eastAsia="zh-CN"/>
              </w:rPr>
              <w:t>Step 3.</w:t>
            </w:r>
            <w:r w:rsidRPr="005D4222">
              <w:rPr>
                <w:lang w:eastAsia="zh-CN"/>
              </w:rPr>
              <w:t xml:space="preserve"> Sum all weights (comorbidities, age and gender) associated with each outpatient colonoscopy episode and use the formula below to calculate the estimated hospitalization risk for each episode:</w:t>
            </w:r>
          </w:p>
          <w:p w14:paraId="7CEC88B7" w14:textId="77777777" w:rsidR="00F25792" w:rsidRPr="005D4222" w:rsidRDefault="00F25792" w:rsidP="00A53E8C">
            <w:pPr>
              <w:pStyle w:val="Body"/>
              <w:ind w:left="723" w:hanging="723"/>
              <w:jc w:val="center"/>
            </w:pPr>
            <w:r w:rsidRPr="005D4222">
              <w:t xml:space="preserve">Estimated Hospitalization Risk = </w:t>
            </w:r>
            <m:oMath>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e</m:t>
                      </m:r>
                    </m:e>
                    <m:sup>
                      <m:r>
                        <w:rPr>
                          <w:rFonts w:ascii="Cambria Math" w:hAnsi="Cambria Math" w:cs="Arial"/>
                        </w:rPr>
                        <m:t>(</m:t>
                      </m:r>
                      <m:nary>
                        <m:naryPr>
                          <m:chr m:val="∑"/>
                          <m:limLoc m:val="undOvr"/>
                          <m:subHide m:val="1"/>
                          <m:supHide m:val="1"/>
                          <m:ctrlPr>
                            <w:rPr>
                              <w:rFonts w:ascii="Cambria Math" w:hAnsi="Cambria Math" w:cs="Arial"/>
                              <w:i/>
                            </w:rPr>
                          </m:ctrlPr>
                        </m:naryPr>
                        <m:sub/>
                        <m:sup/>
                        <m:e>
                          <m:r>
                            <m:rPr>
                              <m:nor/>
                            </m:rPr>
                            <w:rPr>
                              <w:rFonts w:cs="Arial"/>
                            </w:rPr>
                            <m:t>WeightsForEpisode</m:t>
                          </m:r>
                        </m:e>
                      </m:nary>
                      <m:r>
                        <w:rPr>
                          <w:rFonts w:ascii="Cambria Math" w:hAnsi="Cambria Math" w:cs="Arial"/>
                        </w:rPr>
                        <m:t>)</m:t>
                      </m:r>
                    </m:sup>
                  </m:sSup>
                </m:num>
                <m:den>
                  <m:r>
                    <w:rPr>
                      <w:rFonts w:ascii="Cambria Math" w:hAnsi="Cambria Math" w:cs="Arial"/>
                    </w:rPr>
                    <m:t>1+</m:t>
                  </m:r>
                  <m:sSup>
                    <m:sSupPr>
                      <m:ctrlPr>
                        <w:rPr>
                          <w:rFonts w:ascii="Cambria Math" w:hAnsi="Cambria Math" w:cs="Arial"/>
                          <w:i/>
                        </w:rPr>
                      </m:ctrlPr>
                    </m:sSupPr>
                    <m:e>
                      <m:r>
                        <w:rPr>
                          <w:rFonts w:ascii="Cambria Math" w:hAnsi="Cambria Math" w:cs="Arial"/>
                        </w:rPr>
                        <m:t>e</m:t>
                      </m:r>
                    </m:e>
                    <m:sup>
                      <m:r>
                        <w:rPr>
                          <w:rFonts w:ascii="Cambria Math" w:hAnsi="Cambria Math" w:cs="Arial"/>
                        </w:rPr>
                        <m:t>(</m:t>
                      </m:r>
                      <m:nary>
                        <m:naryPr>
                          <m:chr m:val="∑"/>
                          <m:limLoc m:val="undOvr"/>
                          <m:subHide m:val="1"/>
                          <m:supHide m:val="1"/>
                          <m:ctrlPr>
                            <w:rPr>
                              <w:rFonts w:ascii="Cambria Math" w:hAnsi="Cambria Math" w:cs="Arial"/>
                              <w:i/>
                            </w:rPr>
                          </m:ctrlPr>
                        </m:naryPr>
                        <m:sub/>
                        <m:sup/>
                        <m:e>
                          <m:r>
                            <m:rPr>
                              <m:nor/>
                            </m:rPr>
                            <w:rPr>
                              <w:rFonts w:cs="Arial"/>
                            </w:rPr>
                            <m:t>WeightsForEpisode</m:t>
                          </m:r>
                        </m:e>
                      </m:nary>
                      <m:r>
                        <w:rPr>
                          <w:rFonts w:ascii="Cambria Math" w:hAnsi="Cambria Math" w:cs="Arial"/>
                        </w:rPr>
                        <m:t>)</m:t>
                      </m:r>
                    </m:sup>
                  </m:sSup>
                </m:den>
              </m:f>
            </m:oMath>
          </w:p>
          <w:p w14:paraId="1945DBF4" w14:textId="77777777" w:rsidR="00F25792" w:rsidRPr="005D4222" w:rsidRDefault="00F25792" w:rsidP="00A53E8C">
            <w:pPr>
              <w:spacing w:after="80"/>
              <w:ind w:left="723" w:hanging="723"/>
              <w:rPr>
                <w:rFonts w:cs="Arial"/>
                <w:b/>
                <w:i/>
              </w:rPr>
            </w:pPr>
            <w:r w:rsidRPr="005D4222">
              <w:rPr>
                <w:rFonts w:cs="Arial"/>
                <w:b/>
                <w:i/>
              </w:rPr>
              <w:t>OR</w:t>
            </w:r>
          </w:p>
          <w:p w14:paraId="2813E2B4" w14:textId="77777777" w:rsidR="00F25792" w:rsidRPr="005D4222" w:rsidRDefault="00F25792" w:rsidP="00A53E8C">
            <w:pPr>
              <w:pStyle w:val="Body"/>
              <w:jc w:val="center"/>
            </w:pPr>
            <w:r w:rsidRPr="005D4222">
              <w:t xml:space="preserve">Estimated Hospitalization Risk = [exp (sum of weights for episode)] / [ 1 + exp </w:t>
            </w:r>
            <w:r w:rsidRPr="005D4222">
              <w:br/>
              <w:t>(sum of weights for episode)]</w:t>
            </w:r>
          </w:p>
          <w:p w14:paraId="1DECDCAC" w14:textId="77777777" w:rsidR="00F25792" w:rsidRPr="005D4222" w:rsidRDefault="00F25792" w:rsidP="00A53E8C">
            <w:pPr>
              <w:pStyle w:val="Note"/>
              <w:spacing w:after="80"/>
              <w:ind w:left="723" w:hanging="723"/>
              <w:jc w:val="both"/>
            </w:pPr>
            <w:r w:rsidRPr="005D4222">
              <w:rPr>
                <w:b/>
              </w:rPr>
              <w:t xml:space="preserve">Note: </w:t>
            </w:r>
            <w:r w:rsidRPr="005D4222">
              <w:t>“Exp” refers to the exponential or antilog function.</w:t>
            </w:r>
          </w:p>
          <w:p w14:paraId="22DA7EB0" w14:textId="77777777" w:rsidR="00F25792" w:rsidRPr="005D4222" w:rsidRDefault="00F25792" w:rsidP="00A53E8C">
            <w:pPr>
              <w:pStyle w:val="ECDSBody"/>
              <w:spacing w:before="80"/>
              <w:rPr>
                <w:i/>
              </w:rPr>
            </w:pPr>
            <w:r w:rsidRPr="005D4222">
              <w:t>Truncate the estimated hospitalization risk for each episode to 10 decimal places. Do not truncate or round in previous steps.</w:t>
            </w:r>
          </w:p>
          <w:p w14:paraId="77E3B8F0" w14:textId="77777777" w:rsidR="00F25792" w:rsidRPr="005D4222" w:rsidRDefault="00F25792" w:rsidP="00A53E8C">
            <w:pPr>
              <w:pStyle w:val="ECDSBody"/>
            </w:pPr>
            <w:r w:rsidRPr="005D4222">
              <w:rPr>
                <w:b/>
                <w:lang w:eastAsia="zh-CN"/>
              </w:rPr>
              <w:t>Step 4.</w:t>
            </w:r>
            <w:r w:rsidRPr="005D4222">
              <w:rPr>
                <w:lang w:eastAsia="zh-CN"/>
              </w:rPr>
              <w:t xml:space="preserve"> </w:t>
            </w:r>
            <w:r w:rsidRPr="005D4222">
              <w:t xml:space="preserve">Calculate the count of expected hospitalizations for each age. The count of expected hospitalizations is the sum of the estimated hospitalizations risk for each outpatient colonoscopy episode for each age. </w:t>
            </w:r>
          </w:p>
          <w:p w14:paraId="763ACC51" w14:textId="77777777" w:rsidR="00F25792" w:rsidRPr="005D4222" w:rsidRDefault="00010176" w:rsidP="00A53E8C">
            <w:pPr>
              <w:pStyle w:val="Body"/>
              <w:spacing w:line="256" w:lineRule="auto"/>
              <w:rPr>
                <w:rFonts w:cs="Arial"/>
              </w:rPr>
            </w:pPr>
            <m:oMathPara>
              <m:oMath>
                <m:r>
                  <w:rPr>
                    <w:rFonts w:ascii="Cambria Math" w:hAnsi="Cambria Math" w:cs="Arial"/>
                  </w:rPr>
                  <m:t>Count of Expected Hospitalizations=</m:t>
                </m:r>
                <m:nary>
                  <m:naryPr>
                    <m:chr m:val="∑"/>
                    <m:limLoc m:val="undOvr"/>
                    <m:subHide m:val="1"/>
                    <m:supHide m:val="1"/>
                    <m:ctrlPr>
                      <w:rPr>
                        <w:rFonts w:ascii="Cambria Math" w:hAnsi="Cambria Math" w:cs="Arial"/>
                        <w:i/>
                      </w:rPr>
                    </m:ctrlPr>
                  </m:naryPr>
                  <m:sub/>
                  <m:sup/>
                  <m:e>
                    <m:r>
                      <m:rPr>
                        <m:sty m:val="p"/>
                      </m:rPr>
                      <w:rPr>
                        <w:rFonts w:ascii="Cambria Math" w:hAnsi="Cambria Math" w:cs="Arial"/>
                      </w:rPr>
                      <m:t>(Estimated Hospitalization Risk)</m:t>
                    </m:r>
                  </m:e>
                </m:nary>
              </m:oMath>
            </m:oMathPara>
          </w:p>
          <w:p w14:paraId="48BD2674" w14:textId="77777777" w:rsidR="00F25792" w:rsidRPr="005D4222" w:rsidRDefault="00F25792" w:rsidP="00A53E8C">
            <w:pPr>
              <w:pStyle w:val="ECDSBody"/>
            </w:pPr>
            <w:r w:rsidRPr="005D4222">
              <w:rPr>
                <w:b/>
              </w:rPr>
              <w:t>Step 5.</w:t>
            </w:r>
            <w:r w:rsidRPr="005D4222">
              <w:t xml:space="preserve"> Use the formula below and the estimated hospitalization risk calculated in step 4 to calculate the variance for each outpatient colonoscopy episode.</w:t>
            </w:r>
          </w:p>
          <w:p w14:paraId="1B7900B1" w14:textId="77777777" w:rsidR="00F25792" w:rsidRPr="005D4222" w:rsidRDefault="00F25792" w:rsidP="00436199">
            <w:pPr>
              <w:pStyle w:val="Body"/>
              <w:spacing w:after="80"/>
              <w:jc w:val="center"/>
              <w:rPr>
                <w:rFonts w:cs="Arial"/>
              </w:rPr>
            </w:pPr>
            <w:r w:rsidRPr="005D4222">
              <w:rPr>
                <w:rFonts w:cs="Arial"/>
              </w:rPr>
              <w:lastRenderedPageBreak/>
              <w:t xml:space="preserve">Variance = Estimated Hospitalization Risk x </w:t>
            </w:r>
            <w:r w:rsidRPr="005D4222">
              <w:rPr>
                <w:rFonts w:cs="Arial"/>
              </w:rPr>
              <w:br/>
              <w:t>(1 – Estimated Hospitalization Risk)</w:t>
            </w:r>
          </w:p>
          <w:p w14:paraId="0C1C43E5" w14:textId="77777777" w:rsidR="00F25792" w:rsidRPr="005D4222" w:rsidRDefault="00F25792" w:rsidP="00DC6568">
            <w:pPr>
              <w:pStyle w:val="Body"/>
              <w:spacing w:before="120"/>
              <w:rPr>
                <w:rFonts w:cs="Arial"/>
              </w:rPr>
            </w:pPr>
            <w:r w:rsidRPr="005D4222">
              <w:rPr>
                <w:rStyle w:val="normaltextrun"/>
                <w:rFonts w:cs="Arial"/>
              </w:rPr>
              <w:t xml:space="preserve">Truncate the variance for each outpatient </w:t>
            </w:r>
            <w:r w:rsidRPr="005D4222">
              <w:t>colonoscopy</w:t>
            </w:r>
            <w:r w:rsidRPr="005D4222">
              <w:rPr>
                <w:rStyle w:val="normaltextrun"/>
                <w:rFonts w:cs="Arial"/>
              </w:rPr>
              <w:t xml:space="preserve"> episode to 10 decimal places.</w:t>
            </w:r>
          </w:p>
          <w:p w14:paraId="33656782" w14:textId="77777777" w:rsidR="00F25792" w:rsidRPr="005D4222" w:rsidRDefault="00F25792" w:rsidP="00A53E8C">
            <w:pPr>
              <w:pStyle w:val="Bullet"/>
            </w:pPr>
            <w:r w:rsidRPr="005D4222">
              <w:rPr>
                <w:i/>
                <w:iCs/>
              </w:rPr>
              <w:t xml:space="preserve">For example, </w:t>
            </w:r>
            <w:r w:rsidRPr="005D4222">
              <w:t>if the estimated hospitalization risk is 0.1518450741 for an outpatient colonoscopy episode, then the hospitalization variance for this episode is 0.1518450741 x 0.8481549259 = 0.1287881475.</w:t>
            </w:r>
          </w:p>
          <w:p w14:paraId="5440AC5C" w14:textId="77777777" w:rsidR="00F25792" w:rsidRPr="005D4222" w:rsidRDefault="00F25792" w:rsidP="00A53E8C">
            <w:pPr>
              <w:pStyle w:val="Note"/>
              <w:spacing w:after="80"/>
              <w:rPr>
                <w:bCs/>
                <w:szCs w:val="26"/>
                <w:lang w:eastAsia="zh-CN"/>
              </w:rPr>
            </w:pPr>
            <w:r w:rsidRPr="005D4222">
              <w:rPr>
                <w:b/>
              </w:rPr>
              <w:t xml:space="preserve">Note: </w:t>
            </w:r>
            <w:r w:rsidRPr="005D4222">
              <w:t>Organizations must sum the variances for each age when populating the variance cells in the reporting tables. When reporting, round the variance to 4 decimal places using the .5 rule.</w:t>
            </w:r>
          </w:p>
        </w:tc>
      </w:tr>
      <w:tr w:rsidR="00F25792" w:rsidRPr="005D4222" w14:paraId="77F61C2B" w14:textId="77777777" w:rsidTr="00A53E8C">
        <w:tblPrEx>
          <w:tblCellMar>
            <w:top w:w="86" w:type="dxa"/>
          </w:tblCellMar>
        </w:tblPrEx>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tcMar>
          </w:tcPr>
          <w:p w14:paraId="21D01DFB" w14:textId="77777777" w:rsidR="00F25792" w:rsidRPr="005D4222" w:rsidRDefault="00F25792" w:rsidP="00A53E8C">
            <w:pPr>
              <w:pStyle w:val="MarginHead"/>
              <w:spacing w:line="256" w:lineRule="auto"/>
              <w:rPr>
                <w:rFonts w:cs="Arial"/>
                <w:color w:val="000000" w:themeColor="text1"/>
                <w:szCs w:val="22"/>
                <w:lang w:eastAsia="zh-CN"/>
              </w:rPr>
            </w:pPr>
            <w:r w:rsidRPr="005D4222">
              <w:rPr>
                <w:rFonts w:cs="Arial"/>
                <w:color w:val="000000" w:themeColor="text1"/>
                <w:szCs w:val="22"/>
                <w:lang w:eastAsia="zh-CN"/>
              </w:rPr>
              <w:lastRenderedPageBreak/>
              <w:t>Numerator</w:t>
            </w:r>
          </w:p>
        </w:tc>
        <w:tc>
          <w:tcPr>
            <w:tcW w:w="7557" w:type="dxa"/>
            <w:tcBorders>
              <w:top w:val="single" w:sz="4" w:space="0" w:color="auto"/>
              <w:left w:val="single" w:sz="4" w:space="0" w:color="auto"/>
              <w:bottom w:val="single" w:sz="4" w:space="0" w:color="auto"/>
              <w:right w:val="single" w:sz="4" w:space="0" w:color="auto"/>
            </w:tcBorders>
            <w:tcMar>
              <w:top w:w="0" w:type="dxa"/>
            </w:tcMar>
          </w:tcPr>
          <w:p w14:paraId="481ADE9B" w14:textId="77777777" w:rsidR="00F25792" w:rsidRPr="005D4222" w:rsidRDefault="00F25792" w:rsidP="00A53E8C">
            <w:pPr>
              <w:pStyle w:val="ECDSBody"/>
              <w:rPr>
                <w:b/>
                <w:bCs w:val="0"/>
                <w:lang w:eastAsia="zh-CN"/>
              </w:rPr>
            </w:pPr>
            <w:r w:rsidRPr="005D4222">
              <w:rPr>
                <w:b/>
                <w:bCs w:val="0"/>
                <w:lang w:eastAsia="zh-CN"/>
              </w:rPr>
              <w:t xml:space="preserve">Acute hospitalization within 15 days of the outpatient colonoscopy episode. </w:t>
            </w:r>
          </w:p>
          <w:p w14:paraId="49DAB188" w14:textId="77777777" w:rsidR="00F25792" w:rsidRPr="005D4222" w:rsidRDefault="00F25792" w:rsidP="00A53E8C">
            <w:pPr>
              <w:pStyle w:val="ECDSBody"/>
            </w:pPr>
            <w:r w:rsidRPr="005D4222">
              <w:rPr>
                <w:b/>
                <w:color w:val="000000" w:themeColor="text1"/>
                <w:szCs w:val="21"/>
                <w:lang w:eastAsia="zh-CN"/>
              </w:rPr>
              <w:t xml:space="preserve">Step 1. </w:t>
            </w:r>
            <w:r w:rsidRPr="005D4222">
              <w:t xml:space="preserve">For each outpatient colonoscopy episode, identify all acute inpatient admissions and observation stay hospitalizations with an admission date within 15 days after the outpatient colonoscopy episode. </w:t>
            </w:r>
          </w:p>
          <w:p w14:paraId="65D98459" w14:textId="77777777" w:rsidR="00F25792" w:rsidRPr="005D4222" w:rsidRDefault="00F25792" w:rsidP="00A53E8C">
            <w:pPr>
              <w:pStyle w:val="Body"/>
            </w:pPr>
            <w:r w:rsidRPr="005D4222">
              <w:t>To identify acute inpatient and observation admissions:</w:t>
            </w:r>
          </w:p>
          <w:p w14:paraId="64B73148" w14:textId="77777777" w:rsidR="00F25792" w:rsidRPr="005D4222" w:rsidRDefault="00F25792" w:rsidP="005D6173">
            <w:pPr>
              <w:pStyle w:val="Body"/>
              <w:numPr>
                <w:ilvl w:val="0"/>
                <w:numId w:val="116"/>
              </w:numPr>
              <w:spacing w:before="120"/>
              <w:ind w:left="648" w:hanging="288"/>
            </w:pPr>
            <w:r w:rsidRPr="005D4222">
              <w:t>Identify all acute and nonacute inpatient stays (</w:t>
            </w:r>
            <w:r w:rsidRPr="005D4222">
              <w:rPr>
                <w:u w:val="single"/>
              </w:rPr>
              <w:t>Inpatient Stay Value Set</w:t>
            </w:r>
            <w:r w:rsidRPr="005D4222">
              <w:t>) and observation stays (</w:t>
            </w:r>
            <w:r w:rsidRPr="005D4222">
              <w:rPr>
                <w:u w:val="single"/>
              </w:rPr>
              <w:t>Observation Stay Value Set</w:t>
            </w:r>
            <w:r w:rsidRPr="005D4222">
              <w:t>).</w:t>
            </w:r>
          </w:p>
          <w:p w14:paraId="62EA8706" w14:textId="77777777" w:rsidR="00F25792" w:rsidRPr="005D4222" w:rsidRDefault="00F25792" w:rsidP="005D6173">
            <w:pPr>
              <w:pStyle w:val="Body"/>
              <w:numPr>
                <w:ilvl w:val="0"/>
                <w:numId w:val="116"/>
              </w:numPr>
              <w:spacing w:before="120"/>
              <w:ind w:left="648" w:hanging="288"/>
            </w:pPr>
            <w:r w:rsidRPr="005D4222">
              <w:t xml:space="preserve">Exclude </w:t>
            </w:r>
            <w:r w:rsidRPr="005D4222">
              <w:rPr>
                <w:szCs w:val="21"/>
              </w:rPr>
              <w:t>nonacute inpatient stays (</w:t>
            </w:r>
            <w:r w:rsidRPr="005D4222">
              <w:rPr>
                <w:szCs w:val="21"/>
                <w:u w:val="single"/>
              </w:rPr>
              <w:t>Nonacute Inpatient Stay Value Set</w:t>
            </w:r>
            <w:r w:rsidRPr="005D4222">
              <w:rPr>
                <w:szCs w:val="21"/>
              </w:rPr>
              <w:t xml:space="preserve">). </w:t>
            </w:r>
          </w:p>
          <w:p w14:paraId="5A4AD249" w14:textId="77777777" w:rsidR="00F25792" w:rsidRPr="005D4222" w:rsidRDefault="00F25792" w:rsidP="005D6173">
            <w:pPr>
              <w:pStyle w:val="Body"/>
              <w:numPr>
                <w:ilvl w:val="0"/>
                <w:numId w:val="116"/>
              </w:numPr>
              <w:spacing w:before="120"/>
              <w:ind w:left="648" w:hanging="288"/>
            </w:pPr>
            <w:r w:rsidRPr="005D4222">
              <w:t>Identify the admission date for the stay.</w:t>
            </w:r>
          </w:p>
          <w:p w14:paraId="037223F3" w14:textId="77777777" w:rsidR="00F25792" w:rsidRPr="005D4222" w:rsidRDefault="00F25792" w:rsidP="004B3219">
            <w:pPr>
              <w:pStyle w:val="ECDSBody"/>
            </w:pPr>
            <w:r w:rsidRPr="005D4222">
              <w:rPr>
                <w:b/>
                <w:bCs w:val="0"/>
              </w:rPr>
              <w:t xml:space="preserve">Step 2. </w:t>
            </w:r>
            <w:r w:rsidRPr="005D4222">
              <w:t xml:space="preserve">For discharges with one or more direct transfers, use the last discharge.  </w:t>
            </w:r>
          </w:p>
          <w:p w14:paraId="4CD9C432" w14:textId="77777777" w:rsidR="00F25792" w:rsidRPr="005D4222" w:rsidRDefault="00F25792" w:rsidP="004B3219">
            <w:pPr>
              <w:pStyle w:val="ECDSBody"/>
            </w:pPr>
            <w:r w:rsidRPr="005D4222">
              <w:t>Using the discharges identified in step 1, identify direct transfers between acute inpatient and observation using the definition of direct transfer.</w:t>
            </w:r>
          </w:p>
          <w:p w14:paraId="59487E5D" w14:textId="77777777" w:rsidR="00F25792" w:rsidRPr="005D4222" w:rsidRDefault="00F25792" w:rsidP="00A53E8C">
            <w:pPr>
              <w:pStyle w:val="ECDSBody"/>
            </w:pPr>
            <w:r w:rsidRPr="005D4222">
              <w:rPr>
                <w:b/>
                <w:color w:val="000000" w:themeColor="text1"/>
                <w:szCs w:val="21"/>
                <w:lang w:eastAsia="zh-CN"/>
              </w:rPr>
              <w:t xml:space="preserve">Step 3. </w:t>
            </w:r>
            <w:r w:rsidRPr="005D4222">
              <w:rPr>
                <w:bCs w:val="0"/>
                <w:color w:val="000000" w:themeColor="text1"/>
                <w:szCs w:val="21"/>
                <w:lang w:eastAsia="zh-CN"/>
              </w:rPr>
              <w:t>For the remaining discharges,</w:t>
            </w:r>
            <w:r w:rsidRPr="005D4222">
              <w:rPr>
                <w:b/>
                <w:color w:val="000000" w:themeColor="text1"/>
                <w:szCs w:val="21"/>
                <w:lang w:eastAsia="zh-CN"/>
              </w:rPr>
              <w:t xml:space="preserve"> </w:t>
            </w:r>
            <w:r w:rsidRPr="005D4222">
              <w:t xml:space="preserve">exclude inpatient and observation stay discharges with any of the following criteria on the discharge claim: </w:t>
            </w:r>
          </w:p>
          <w:p w14:paraId="4D24AB92" w14:textId="77777777" w:rsidR="00F25792" w:rsidRPr="005D4222" w:rsidRDefault="00F25792" w:rsidP="00A53E8C">
            <w:pPr>
              <w:pStyle w:val="Bullet"/>
            </w:pPr>
            <w:r w:rsidRPr="005D4222">
              <w:t>A principal diagnosis of a malignant neoplasm (</w:t>
            </w:r>
            <w:r w:rsidRPr="005D4222">
              <w:rPr>
                <w:u w:val="single"/>
              </w:rPr>
              <w:t>Malignant Neoplasms Value Set</w:t>
            </w:r>
            <w:r w:rsidRPr="005D4222">
              <w:t xml:space="preserve">, </w:t>
            </w:r>
            <w:r w:rsidRPr="005D4222">
              <w:rPr>
                <w:u w:val="single"/>
              </w:rPr>
              <w:t>Other Malignant Neoplasm of Skin Value Set</w:t>
            </w:r>
            <w:r w:rsidRPr="005D4222">
              <w:t>).</w:t>
            </w:r>
          </w:p>
          <w:p w14:paraId="12D6EE90" w14:textId="77777777" w:rsidR="00F25792" w:rsidRPr="005D4222" w:rsidRDefault="00F25792" w:rsidP="00A53E8C">
            <w:pPr>
              <w:pStyle w:val="Bullet"/>
            </w:pPr>
            <w:r w:rsidRPr="005D4222">
              <w:t>A planned hospital stay using any of the following:</w:t>
            </w:r>
          </w:p>
          <w:p w14:paraId="5A8ABAB7" w14:textId="77777777" w:rsidR="00F25792" w:rsidRPr="005D4222" w:rsidRDefault="00F25792" w:rsidP="005D6173">
            <w:pPr>
              <w:pStyle w:val="Dash"/>
              <w:numPr>
                <w:ilvl w:val="0"/>
                <w:numId w:val="123"/>
              </w:numPr>
              <w:tabs>
                <w:tab w:val="left" w:pos="576"/>
                <w:tab w:val="left" w:pos="792"/>
              </w:tabs>
              <w:ind w:left="792" w:hanging="216"/>
            </w:pPr>
            <w:r w:rsidRPr="005D4222">
              <w:t>A principal diagnosis of maintenance chemotherapy (</w:t>
            </w:r>
            <w:r w:rsidRPr="005D4222">
              <w:rPr>
                <w:u w:val="single"/>
              </w:rPr>
              <w:t>Chemotherapy Encounter Value Set</w:t>
            </w:r>
            <w:r w:rsidRPr="005D4222">
              <w:t xml:space="preserve">). </w:t>
            </w:r>
          </w:p>
          <w:p w14:paraId="1729E55C" w14:textId="77777777" w:rsidR="00F25792" w:rsidRPr="005D4222" w:rsidRDefault="00F25792" w:rsidP="005D6173">
            <w:pPr>
              <w:pStyle w:val="Dash"/>
              <w:numPr>
                <w:ilvl w:val="0"/>
                <w:numId w:val="123"/>
              </w:numPr>
              <w:tabs>
                <w:tab w:val="left" w:pos="576"/>
                <w:tab w:val="left" w:pos="792"/>
              </w:tabs>
              <w:ind w:left="792" w:hanging="216"/>
            </w:pPr>
            <w:r w:rsidRPr="005D4222">
              <w:t>A principal diagnosis of rehabilitation (</w:t>
            </w:r>
            <w:r w:rsidRPr="005D4222">
              <w:rPr>
                <w:u w:val="single"/>
              </w:rPr>
              <w:t>Rehabilitation Value Set</w:t>
            </w:r>
            <w:r w:rsidRPr="005D4222">
              <w:t xml:space="preserve">). </w:t>
            </w:r>
          </w:p>
          <w:p w14:paraId="3D50BCF5" w14:textId="77777777" w:rsidR="00F25792" w:rsidRPr="005D4222" w:rsidRDefault="00F25792" w:rsidP="005D6173">
            <w:pPr>
              <w:pStyle w:val="Dash"/>
              <w:numPr>
                <w:ilvl w:val="0"/>
                <w:numId w:val="123"/>
              </w:numPr>
              <w:tabs>
                <w:tab w:val="left" w:pos="576"/>
                <w:tab w:val="left" w:pos="792"/>
              </w:tabs>
              <w:ind w:left="792" w:hanging="216"/>
            </w:pPr>
            <w:r w:rsidRPr="005D4222">
              <w:t>An organ transplant (</w:t>
            </w:r>
            <w:r w:rsidRPr="005D4222">
              <w:rPr>
                <w:u w:val="single"/>
              </w:rPr>
              <w:t>Kidney Transplant Value Set</w:t>
            </w:r>
            <w:r w:rsidRPr="005D4222">
              <w:t xml:space="preserve">, </w:t>
            </w:r>
            <w:r w:rsidRPr="005D4222">
              <w:rPr>
                <w:u w:val="single"/>
              </w:rPr>
              <w:t>Bone Marrow Transplant Value Set</w:t>
            </w:r>
            <w:r w:rsidRPr="005D4222">
              <w:t xml:space="preserve">, </w:t>
            </w:r>
            <w:r w:rsidRPr="005D4222">
              <w:rPr>
                <w:u w:val="single"/>
              </w:rPr>
              <w:t>Organ Transplant Other Than Kidney Value Set</w:t>
            </w:r>
            <w:r w:rsidRPr="005D4222">
              <w:t xml:space="preserve">, </w:t>
            </w:r>
            <w:r w:rsidRPr="005D4222">
              <w:rPr>
                <w:u w:val="single"/>
              </w:rPr>
              <w:t>Introduction of Autologous Pancreatic Cells Value Set</w:t>
            </w:r>
            <w:r w:rsidRPr="005D4222">
              <w:t>).</w:t>
            </w:r>
          </w:p>
          <w:p w14:paraId="5D6DE83B" w14:textId="77777777" w:rsidR="00F25792" w:rsidRPr="005D4222" w:rsidRDefault="00F25792" w:rsidP="005D6173">
            <w:pPr>
              <w:pStyle w:val="Dash"/>
              <w:numPr>
                <w:ilvl w:val="0"/>
                <w:numId w:val="123"/>
              </w:numPr>
              <w:tabs>
                <w:tab w:val="left" w:pos="576"/>
                <w:tab w:val="left" w:pos="792"/>
              </w:tabs>
              <w:ind w:left="792" w:hanging="216"/>
            </w:pPr>
            <w:r w:rsidRPr="005D4222">
              <w:t>A potentially planned procedure (</w:t>
            </w:r>
            <w:r w:rsidRPr="005D4222">
              <w:rPr>
                <w:u w:val="single"/>
              </w:rPr>
              <w:t>Potentially Planned Procedures Value Set</w:t>
            </w:r>
            <w:r w:rsidRPr="005D4222">
              <w:t>) without a principal acute diagnosis (</w:t>
            </w:r>
            <w:r w:rsidRPr="005D4222">
              <w:rPr>
                <w:u w:val="single"/>
              </w:rPr>
              <w:t>Acute Condition Value Set</w:t>
            </w:r>
            <w:r w:rsidRPr="005D4222">
              <w:t>).</w:t>
            </w:r>
          </w:p>
          <w:p w14:paraId="5C73087B" w14:textId="77777777" w:rsidR="00F25792" w:rsidRPr="005D4222" w:rsidRDefault="00F25792" w:rsidP="00A53E8C">
            <w:pPr>
              <w:pStyle w:val="Note"/>
              <w:rPr>
                <w:b/>
                <w:szCs w:val="20"/>
              </w:rPr>
            </w:pPr>
            <w:r w:rsidRPr="005D4222">
              <w:rPr>
                <w:b/>
                <w:szCs w:val="20"/>
              </w:rPr>
              <w:t xml:space="preserve">Note </w:t>
            </w:r>
          </w:p>
          <w:p w14:paraId="48BC397C" w14:textId="471812BD" w:rsidR="003641C3" w:rsidRPr="005D4222" w:rsidRDefault="00F25792" w:rsidP="005D6173">
            <w:pPr>
              <w:pStyle w:val="ProcessBullet"/>
              <w:numPr>
                <w:ilvl w:val="0"/>
                <w:numId w:val="98"/>
              </w:numPr>
              <w:tabs>
                <w:tab w:val="num" w:pos="720"/>
              </w:tabs>
              <w:spacing w:after="80"/>
              <w:ind w:left="216" w:hanging="216"/>
              <w:rPr>
                <w:b/>
                <w:color w:val="000000" w:themeColor="text1"/>
                <w:szCs w:val="21"/>
                <w:u w:val="single"/>
                <w:lang w:eastAsia="zh-CN"/>
              </w:rPr>
            </w:pPr>
            <w:r w:rsidRPr="005D4222">
              <w:rPr>
                <w:i/>
                <w:iCs/>
                <w:sz w:val="20"/>
                <w:szCs w:val="20"/>
              </w:rPr>
              <w:t>For hospital stays where there was a direct transfer (identified in step 2), use the original stay and any direct transfer stays to identify exclusions in this step.</w:t>
            </w:r>
          </w:p>
        </w:tc>
      </w:tr>
    </w:tbl>
    <w:p w14:paraId="0193A9C4" w14:textId="77777777" w:rsidR="003641C3" w:rsidRPr="005D4222" w:rsidRDefault="003641C3"/>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86" w:type="dxa"/>
          <w:left w:w="86" w:type="dxa"/>
          <w:bottom w:w="43" w:type="dxa"/>
          <w:right w:w="86" w:type="dxa"/>
        </w:tblCellMar>
        <w:tblLook w:val="04A0" w:firstRow="1" w:lastRow="0" w:firstColumn="1" w:lastColumn="0" w:noHBand="0" w:noVBand="1"/>
      </w:tblPr>
      <w:tblGrid>
        <w:gridCol w:w="2157"/>
        <w:gridCol w:w="7557"/>
      </w:tblGrid>
      <w:tr w:rsidR="003641C3" w:rsidRPr="005D4222" w14:paraId="3749476A"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tcMar>
          </w:tcPr>
          <w:p w14:paraId="0EB5A6C3" w14:textId="77777777" w:rsidR="003641C3" w:rsidRPr="005D4222" w:rsidRDefault="003641C3" w:rsidP="00A53E8C">
            <w:pPr>
              <w:pStyle w:val="MarginHead"/>
              <w:spacing w:line="256" w:lineRule="auto"/>
              <w:rPr>
                <w:rFonts w:cs="Arial"/>
                <w:color w:val="000000" w:themeColor="text1"/>
                <w:szCs w:val="22"/>
                <w:lang w:eastAsia="zh-CN"/>
              </w:rPr>
            </w:pPr>
          </w:p>
        </w:tc>
        <w:tc>
          <w:tcPr>
            <w:tcW w:w="7557" w:type="dxa"/>
            <w:tcBorders>
              <w:top w:val="single" w:sz="4" w:space="0" w:color="auto"/>
              <w:left w:val="single" w:sz="4" w:space="0" w:color="auto"/>
              <w:bottom w:val="single" w:sz="4" w:space="0" w:color="auto"/>
              <w:right w:val="single" w:sz="4" w:space="0" w:color="auto"/>
            </w:tcBorders>
            <w:tcMar>
              <w:top w:w="0" w:type="dxa"/>
            </w:tcMar>
          </w:tcPr>
          <w:p w14:paraId="7A48D1E5" w14:textId="77777777" w:rsidR="003641C3" w:rsidRPr="005D4222" w:rsidRDefault="003641C3" w:rsidP="005D6173">
            <w:pPr>
              <w:pStyle w:val="ProcessBullet"/>
              <w:numPr>
                <w:ilvl w:val="0"/>
                <w:numId w:val="98"/>
              </w:numPr>
              <w:tabs>
                <w:tab w:val="num" w:pos="720"/>
              </w:tabs>
              <w:ind w:left="216" w:hanging="216"/>
              <w:rPr>
                <w:i/>
                <w:iCs/>
                <w:sz w:val="20"/>
                <w:szCs w:val="20"/>
              </w:rPr>
            </w:pPr>
            <w:r w:rsidRPr="005D4222">
              <w:rPr>
                <w:i/>
                <w:iCs/>
                <w:sz w:val="20"/>
                <w:szCs w:val="20"/>
              </w:rPr>
              <w:t xml:space="preserve">Only one inpatient admission or observation stay hospitalization may be included in the numerator for each unique outpatient colonoscopy episode denominator event. If there are multiple numerator events that meet criteria for a singular denominator event, only count the numerator event closest to the outpatient colonoscopy episode. </w:t>
            </w:r>
          </w:p>
          <w:p w14:paraId="56A928E3" w14:textId="77777777" w:rsidR="003641C3" w:rsidRPr="005D4222" w:rsidRDefault="003641C3" w:rsidP="003641C3">
            <w:pPr>
              <w:pStyle w:val="ProcessDash"/>
              <w:numPr>
                <w:ilvl w:val="0"/>
                <w:numId w:val="0"/>
              </w:numPr>
              <w:spacing w:before="80"/>
              <w:ind w:left="216"/>
              <w:rPr>
                <w:i/>
                <w:iCs/>
                <w:sz w:val="20"/>
              </w:rPr>
            </w:pPr>
            <w:r w:rsidRPr="005D4222">
              <w:rPr>
                <w:sz w:val="20"/>
              </w:rPr>
              <w:t xml:space="preserve">For example, </w:t>
            </w:r>
            <w:r w:rsidRPr="005D4222">
              <w:rPr>
                <w:i/>
                <w:iCs/>
                <w:sz w:val="20"/>
              </w:rPr>
              <w:t>consider the following events:</w:t>
            </w:r>
          </w:p>
          <w:p w14:paraId="32927F7B" w14:textId="77777777" w:rsidR="003641C3" w:rsidRPr="005D4222" w:rsidRDefault="003641C3" w:rsidP="003641C3">
            <w:pPr>
              <w:pStyle w:val="ProcessDash"/>
              <w:tabs>
                <w:tab w:val="clear" w:pos="432"/>
              </w:tabs>
              <w:spacing w:after="40"/>
              <w:rPr>
                <w:i/>
                <w:iCs/>
                <w:sz w:val="20"/>
              </w:rPr>
            </w:pPr>
            <w:r w:rsidRPr="005D4222">
              <w:rPr>
                <w:i/>
                <w:iCs/>
                <w:sz w:val="20"/>
              </w:rPr>
              <w:t>Outpatient colonoscopy episode: May 10.</w:t>
            </w:r>
          </w:p>
          <w:p w14:paraId="3931648E" w14:textId="77777777" w:rsidR="003641C3" w:rsidRPr="005D4222" w:rsidRDefault="003641C3" w:rsidP="003641C3">
            <w:pPr>
              <w:pStyle w:val="ProcessDash"/>
              <w:tabs>
                <w:tab w:val="clear" w:pos="432"/>
              </w:tabs>
              <w:spacing w:after="40"/>
              <w:rPr>
                <w:i/>
                <w:iCs/>
                <w:sz w:val="20"/>
              </w:rPr>
            </w:pPr>
            <w:r w:rsidRPr="005D4222">
              <w:rPr>
                <w:i/>
                <w:iCs/>
                <w:sz w:val="20"/>
              </w:rPr>
              <w:t>Observation stay: May 13–14.</w:t>
            </w:r>
          </w:p>
          <w:p w14:paraId="36EB7161" w14:textId="77777777" w:rsidR="003641C3" w:rsidRPr="005D4222" w:rsidRDefault="003641C3" w:rsidP="003641C3">
            <w:pPr>
              <w:pStyle w:val="ProcessDash"/>
              <w:tabs>
                <w:tab w:val="clear" w:pos="432"/>
              </w:tabs>
              <w:spacing w:after="40"/>
              <w:rPr>
                <w:i/>
                <w:iCs/>
                <w:sz w:val="20"/>
              </w:rPr>
            </w:pPr>
            <w:r w:rsidRPr="005D4222">
              <w:rPr>
                <w:i/>
                <w:iCs/>
                <w:sz w:val="20"/>
              </w:rPr>
              <w:t>Acute inpatient stay: May 16–20.</w:t>
            </w:r>
          </w:p>
          <w:p w14:paraId="69CB4CAC" w14:textId="138F1630" w:rsidR="003641C3" w:rsidRPr="005D4222" w:rsidRDefault="003641C3" w:rsidP="003641C3">
            <w:pPr>
              <w:pStyle w:val="ECDSBody"/>
              <w:ind w:left="216"/>
              <w:rPr>
                <w:b/>
                <w:bCs w:val="0"/>
                <w:lang w:eastAsia="zh-CN"/>
              </w:rPr>
            </w:pPr>
            <w:r w:rsidRPr="005D4222">
              <w:rPr>
                <w:i/>
                <w:iCs/>
                <w:sz w:val="20"/>
                <w:szCs w:val="20"/>
              </w:rPr>
              <w:t>Both the observation stay of May 13–14 and the acute inpatient stay of May 16–20 are within 15 days of the outpatient colonoscopy episode on May 10. Only the observation stay is included in the numerator because it is the hospitalization event closest to the outpatient colonoscopy episode.</w:t>
            </w:r>
          </w:p>
        </w:tc>
      </w:tr>
      <w:tr w:rsidR="00F25792" w:rsidRPr="005D4222" w14:paraId="133C4D08"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tcMar>
            <w:hideMark/>
          </w:tcPr>
          <w:p w14:paraId="37A388D8" w14:textId="77777777" w:rsidR="00F25792" w:rsidRPr="005D4222" w:rsidRDefault="00F25792" w:rsidP="00A53E8C">
            <w:pPr>
              <w:pStyle w:val="MarginHead"/>
              <w:spacing w:line="256" w:lineRule="auto"/>
              <w:rPr>
                <w:rFonts w:cs="Arial"/>
                <w:color w:val="000000" w:themeColor="text1"/>
                <w:szCs w:val="22"/>
                <w:lang w:eastAsia="zh-CN"/>
              </w:rPr>
            </w:pPr>
            <w:r w:rsidRPr="005D4222">
              <w:rPr>
                <w:rFonts w:cs="Arial"/>
                <w:color w:val="000000" w:themeColor="text1"/>
                <w:szCs w:val="22"/>
                <w:lang w:eastAsia="zh-CN"/>
              </w:rPr>
              <w:t>Summary of changes</w:t>
            </w:r>
          </w:p>
        </w:tc>
        <w:tc>
          <w:tcPr>
            <w:tcW w:w="7557" w:type="dxa"/>
            <w:tcBorders>
              <w:top w:val="single" w:sz="4" w:space="0" w:color="auto"/>
              <w:left w:val="single" w:sz="4" w:space="0" w:color="auto"/>
              <w:bottom w:val="single" w:sz="4" w:space="0" w:color="auto"/>
              <w:right w:val="single" w:sz="4" w:space="0" w:color="auto"/>
            </w:tcBorders>
            <w:tcMar>
              <w:top w:w="0" w:type="dxa"/>
            </w:tcMar>
          </w:tcPr>
          <w:p w14:paraId="17C59D9D" w14:textId="77777777" w:rsidR="00F25792" w:rsidRPr="005D4222" w:rsidRDefault="00F25792" w:rsidP="005D6173">
            <w:pPr>
              <w:pStyle w:val="ProcessBullet"/>
              <w:numPr>
                <w:ilvl w:val="0"/>
                <w:numId w:val="98"/>
              </w:numPr>
              <w:tabs>
                <w:tab w:val="num" w:pos="720"/>
              </w:tabs>
              <w:spacing w:before="120"/>
              <w:ind w:left="216" w:hanging="216"/>
              <w:rPr>
                <w:rFonts w:cs="Arial"/>
                <w:color w:val="000000" w:themeColor="text1"/>
                <w:lang w:eastAsia="zh-CN"/>
              </w:rPr>
            </w:pPr>
            <w:r w:rsidRPr="005D4222">
              <w:rPr>
                <w:rFonts w:eastAsia="Arial"/>
              </w:rPr>
              <w:t>This is a first-year measure.</w:t>
            </w:r>
          </w:p>
        </w:tc>
      </w:tr>
      <w:tr w:rsidR="00F25792" w:rsidRPr="005D4222" w14:paraId="5891F4E8"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tcMar>
          </w:tcPr>
          <w:p w14:paraId="0B63D9D7" w14:textId="77777777" w:rsidR="00F25792" w:rsidRPr="005D4222" w:rsidRDefault="00F25792" w:rsidP="00A53E8C">
            <w:pPr>
              <w:pStyle w:val="MarginHead"/>
              <w:spacing w:line="256" w:lineRule="auto"/>
              <w:rPr>
                <w:rFonts w:cs="Arial"/>
                <w:color w:val="000000" w:themeColor="text1"/>
                <w:szCs w:val="22"/>
                <w:lang w:eastAsia="zh-CN"/>
              </w:rPr>
            </w:pPr>
            <w:r w:rsidRPr="005D4222">
              <w:rPr>
                <w:rFonts w:cs="Arial"/>
                <w:color w:val="000000" w:themeColor="text1"/>
                <w:szCs w:val="22"/>
                <w:lang w:eastAsia="zh-CN"/>
              </w:rPr>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tcMar>
          </w:tcPr>
          <w:p w14:paraId="10A8CDD9" w14:textId="77777777" w:rsidR="00F25792" w:rsidRPr="005D4222" w:rsidRDefault="00F25792" w:rsidP="00A53E8C">
            <w:pPr>
              <w:pStyle w:val="E-Body"/>
              <w:rPr>
                <w:rFonts w:cs="Arial"/>
                <w:color w:val="000000" w:themeColor="text1"/>
                <w:kern w:val="20"/>
                <w:lang w:eastAsia="zh-CN"/>
              </w:rPr>
            </w:pPr>
            <w:r w:rsidRPr="005D4222">
              <w:rPr>
                <w:b/>
                <w:bCs w:val="0"/>
                <w:i/>
                <w:iCs/>
                <w:lang w:eastAsia="zh-CN"/>
              </w:rPr>
              <w:t xml:space="preserve">Reporting: </w:t>
            </w:r>
            <w:r w:rsidRPr="005D4222">
              <w:rPr>
                <w:b/>
                <w:bCs w:val="0"/>
                <w:lang w:eastAsia="zh-CN"/>
              </w:rPr>
              <w:t>Denominator</w:t>
            </w:r>
            <w:r w:rsidRPr="005D4222">
              <w:rPr>
                <w:b/>
                <w:bCs w:val="0"/>
                <w:lang w:eastAsia="zh-CN"/>
              </w:rPr>
              <w:br/>
            </w:r>
            <w:r w:rsidRPr="005D4222">
              <w:rPr>
                <w:lang w:eastAsia="zh-CN"/>
              </w:rPr>
              <w:t>The number of outpatient colonoscopy episodes, reported as the Denominator.</w:t>
            </w:r>
          </w:p>
          <w:p w14:paraId="36EDAEE9" w14:textId="77777777" w:rsidR="00F25792" w:rsidRPr="005D4222" w:rsidRDefault="00F25792" w:rsidP="00A53E8C">
            <w:pPr>
              <w:pStyle w:val="E-Body"/>
            </w:pPr>
            <w:r w:rsidRPr="005D4222">
              <w:rPr>
                <w:b/>
                <w:bCs w:val="0"/>
                <w:i/>
                <w:iCs/>
                <w:lang w:eastAsia="zh-CN"/>
              </w:rPr>
              <w:t>Reporting:</w:t>
            </w:r>
            <w:r w:rsidRPr="005D4222">
              <w:rPr>
                <w:b/>
                <w:bCs w:val="0"/>
                <w:lang w:eastAsia="zh-CN"/>
              </w:rPr>
              <w:t xml:space="preserve"> Numerator</w:t>
            </w:r>
            <w:r w:rsidRPr="005D4222">
              <w:rPr>
                <w:b/>
                <w:bCs w:val="0"/>
                <w:lang w:eastAsia="zh-CN"/>
              </w:rPr>
              <w:br/>
            </w:r>
            <w:r w:rsidRPr="005D4222">
              <w:t>The number of observed acute inpatient admission or observation stay hospitalizations, reported as the ObservedCount.</w:t>
            </w:r>
          </w:p>
          <w:p w14:paraId="575BF982" w14:textId="77777777" w:rsidR="00F25792" w:rsidRPr="005D4222" w:rsidRDefault="00F25792" w:rsidP="00A53E8C">
            <w:pPr>
              <w:pStyle w:val="E-Body"/>
            </w:pPr>
            <w:r w:rsidRPr="005D4222">
              <w:rPr>
                <w:b/>
                <w:bCs w:val="0"/>
                <w:i/>
                <w:iCs/>
              </w:rPr>
              <w:t>Calculated:</w:t>
            </w:r>
            <w:r w:rsidRPr="005D4222">
              <w:rPr>
                <w:b/>
                <w:bCs w:val="0"/>
              </w:rPr>
              <w:t xml:space="preserve"> Observed hospitalization rate</w:t>
            </w:r>
            <w:r w:rsidRPr="005D4222">
              <w:br/>
              <w:t xml:space="preserve">The number of observed acute inpatient admission or observation stay hospitalizations (ObservedCount) divided by the number of outpatient colonoscopy episodes (Denominator). Calculated by IDSS as the ObservedRate. </w:t>
            </w:r>
          </w:p>
          <w:p w14:paraId="7E7FDA65" w14:textId="77777777" w:rsidR="00F25792" w:rsidRPr="005D4222" w:rsidRDefault="00F25792" w:rsidP="00A53E8C">
            <w:pPr>
              <w:pStyle w:val="E-Body"/>
              <w:rPr>
                <w:b/>
                <w:bCs w:val="0"/>
              </w:rPr>
            </w:pPr>
            <w:r w:rsidRPr="005D4222">
              <w:rPr>
                <w:b/>
                <w:bCs w:val="0"/>
                <w:i/>
                <w:iCs/>
              </w:rPr>
              <w:t xml:space="preserve">Reporting: </w:t>
            </w:r>
            <w:r w:rsidRPr="005D4222">
              <w:rPr>
                <w:b/>
                <w:bCs w:val="0"/>
              </w:rPr>
              <w:t>Count of expected hospitalizations</w:t>
            </w:r>
          </w:p>
          <w:p w14:paraId="09EA63A9" w14:textId="77777777" w:rsidR="00F25792" w:rsidRPr="005D4222" w:rsidRDefault="00F25792" w:rsidP="00A53E8C">
            <w:pPr>
              <w:pStyle w:val="E-Body"/>
              <w:spacing w:before="0"/>
            </w:pPr>
            <w:r w:rsidRPr="005D4222">
              <w:rPr>
                <w:b/>
              </w:rPr>
              <w:t>Step 1.</w:t>
            </w:r>
            <w:r w:rsidRPr="005D4222">
              <w:t xml:space="preserve"> Calculate the number of expected inpatient admission or observation stay hospitalizations.</w:t>
            </w:r>
          </w:p>
          <w:p w14:paraId="7FFDED62" w14:textId="77777777" w:rsidR="00F25792" w:rsidRPr="005D4222" w:rsidRDefault="00F25792" w:rsidP="00A53E8C">
            <w:pPr>
              <w:pStyle w:val="ECDSBody"/>
            </w:pPr>
            <w:r w:rsidRPr="005D4222">
              <w:rPr>
                <w:b/>
              </w:rPr>
              <w:t>Step 2.</w:t>
            </w:r>
            <w:r w:rsidRPr="005D4222">
              <w:t xml:space="preserve"> Round to 4 decimal places using the .5 rule and report these values as the ExpectedCount.</w:t>
            </w:r>
          </w:p>
          <w:p w14:paraId="4B88C223" w14:textId="7E92834B" w:rsidR="00F25792" w:rsidRPr="005D4222" w:rsidRDefault="00F25792" w:rsidP="00A53E8C">
            <w:pPr>
              <w:pStyle w:val="E-Body"/>
            </w:pPr>
            <w:r w:rsidRPr="005D4222">
              <w:rPr>
                <w:b/>
                <w:bCs w:val="0"/>
                <w:i/>
                <w:iCs/>
              </w:rPr>
              <w:t>Calculated:</w:t>
            </w:r>
            <w:r w:rsidRPr="005D4222">
              <w:rPr>
                <w:b/>
                <w:bCs w:val="0"/>
              </w:rPr>
              <w:t xml:space="preserve"> Expected hospitalization rate</w:t>
            </w:r>
            <w:r w:rsidRPr="005D4222">
              <w:rPr>
                <w:b/>
                <w:bCs w:val="0"/>
              </w:rPr>
              <w:br/>
            </w:r>
            <w:r w:rsidRPr="005D4222">
              <w:t>The number of expected acute inpatient admission or observation stay hospitalizations (ExpectedCount) divided by the number of outpatient colonoscopy episodes (</w:t>
            </w:r>
            <w:r w:rsidR="001773BC" w:rsidRPr="005D4222">
              <w:t>D</w:t>
            </w:r>
            <w:r w:rsidRPr="005D4222">
              <w:t xml:space="preserve">enominator). Calculated by IDSS as the ExpectedRate. </w:t>
            </w:r>
          </w:p>
          <w:p w14:paraId="588C842B" w14:textId="77777777" w:rsidR="00F25792" w:rsidRPr="005D4222" w:rsidRDefault="00F25792" w:rsidP="00A53E8C">
            <w:pPr>
              <w:pStyle w:val="E-Body"/>
              <w:spacing w:before="180"/>
              <w:rPr>
                <w:b/>
                <w:bCs w:val="0"/>
              </w:rPr>
            </w:pPr>
            <w:r w:rsidRPr="005D4222">
              <w:rPr>
                <w:b/>
                <w:bCs w:val="0"/>
                <w:i/>
                <w:iCs/>
              </w:rPr>
              <w:t>Reporting:</w:t>
            </w:r>
            <w:r w:rsidRPr="005D4222">
              <w:rPr>
                <w:b/>
                <w:bCs w:val="0"/>
              </w:rPr>
              <w:t xml:space="preserve"> Variance</w:t>
            </w:r>
          </w:p>
          <w:p w14:paraId="21B73C17" w14:textId="77777777" w:rsidR="00F25792" w:rsidRPr="005D4222" w:rsidRDefault="00F25792" w:rsidP="00A53E8C">
            <w:pPr>
              <w:pStyle w:val="ECDSBody"/>
            </w:pPr>
            <w:r w:rsidRPr="005D4222">
              <w:rPr>
                <w:b/>
              </w:rPr>
              <w:t>Step 1.</w:t>
            </w:r>
            <w:r w:rsidRPr="005D4222">
              <w:t xml:space="preserve"> Calculate the variance (</w:t>
            </w:r>
            <w:r w:rsidRPr="005D4222">
              <w:rPr>
                <w:i/>
                <w:iCs/>
              </w:rPr>
              <w:t>Risk Adjustment Calculation</w:t>
            </w:r>
            <w:r w:rsidRPr="005D4222">
              <w:t xml:space="preserve">, step 5). </w:t>
            </w:r>
          </w:p>
          <w:p w14:paraId="0D89095D" w14:textId="77777777" w:rsidR="00F25792" w:rsidRPr="005D4222" w:rsidRDefault="00F25792" w:rsidP="00A53E8C">
            <w:pPr>
              <w:pStyle w:val="ECDSBody"/>
              <w:rPr>
                <w:lang w:eastAsia="zh-CN"/>
              </w:rPr>
            </w:pPr>
            <w:r w:rsidRPr="005D4222">
              <w:rPr>
                <w:b/>
              </w:rPr>
              <w:t>Step 2.</w:t>
            </w:r>
            <w:r w:rsidRPr="005D4222">
              <w:t xml:space="preserve"> Round to 4 decimal places using the .5 rule and report these values as the CountVariance.</w:t>
            </w:r>
          </w:p>
          <w:p w14:paraId="5D38E171" w14:textId="77777777" w:rsidR="00F25792" w:rsidRPr="005D4222" w:rsidRDefault="00F25792" w:rsidP="00A53E8C">
            <w:pPr>
              <w:pStyle w:val="E-Body"/>
            </w:pPr>
            <w:r w:rsidRPr="005D4222">
              <w:rPr>
                <w:b/>
                <w:bCs w:val="0"/>
                <w:i/>
                <w:iCs/>
              </w:rPr>
              <w:t>Calculated:</w:t>
            </w:r>
            <w:r w:rsidRPr="005D4222">
              <w:rPr>
                <w:b/>
                <w:bCs w:val="0"/>
              </w:rPr>
              <w:t xml:space="preserve"> O/E ratio</w:t>
            </w:r>
            <w:r w:rsidRPr="005D4222">
              <w:rPr>
                <w:b/>
                <w:bCs w:val="0"/>
              </w:rPr>
              <w:br/>
            </w:r>
            <w:r w:rsidRPr="005D4222">
              <w:t xml:space="preserve">The number of observed acute inpatient admission or observation stay hospitalizations (ObservedCount) divided by the number of expected acute inpatient admissions or observation stay hospitalizations (ExpectedCount). Calculated by IDSS as the OE. </w:t>
            </w:r>
          </w:p>
          <w:p w14:paraId="6A2D8FC7" w14:textId="77777777" w:rsidR="00F25792" w:rsidRPr="005D4222" w:rsidRDefault="00F25792" w:rsidP="00A53E8C">
            <w:pPr>
              <w:pStyle w:val="Heading3"/>
              <w:spacing w:before="120"/>
              <w:rPr>
                <w:b w:val="0"/>
                <w:bCs w:val="0"/>
                <w:i w:val="0"/>
                <w:iCs/>
                <w:sz w:val="21"/>
                <w:szCs w:val="21"/>
              </w:rPr>
            </w:pPr>
            <w:r w:rsidRPr="005D4222">
              <w:rPr>
                <w:b w:val="0"/>
                <w:bCs w:val="0"/>
                <w:i w:val="0"/>
                <w:iCs/>
                <w:sz w:val="21"/>
                <w:szCs w:val="21"/>
              </w:rPr>
              <w:lastRenderedPageBreak/>
              <w:t>Organizations that submit HEDIS data to NCQA must provide the following data elements.</w:t>
            </w:r>
          </w:p>
          <w:p w14:paraId="70F1BC6D" w14:textId="1832288A" w:rsidR="00F25792" w:rsidRPr="005D4222" w:rsidRDefault="00F25792" w:rsidP="00A53E8C">
            <w:pPr>
              <w:pStyle w:val="Heading3"/>
              <w:spacing w:before="120"/>
            </w:pPr>
            <w:r w:rsidRPr="005D4222">
              <w:rPr>
                <w:rFonts w:eastAsia="Arial,Times New Roman"/>
              </w:rPr>
              <w:t xml:space="preserve">Table HFC-3: Data Elements for </w:t>
            </w:r>
            <w:r w:rsidR="00114134" w:rsidRPr="005D4222">
              <w:rPr>
                <w:rFonts w:eastAsia="Arial,Times New Roman"/>
              </w:rPr>
              <w:t>Acute Hospitalizations Following</w:t>
            </w:r>
            <w:r w:rsidRPr="005D4222">
              <w:rPr>
                <w:rFonts w:eastAsia="Arial,Times New Roman"/>
              </w:rPr>
              <w:t xml:space="preserve"> Outpatient Colonoscopy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2360"/>
              <w:gridCol w:w="1586"/>
              <w:gridCol w:w="3429"/>
            </w:tblGrid>
            <w:tr w:rsidR="00F25792" w:rsidRPr="005D4222" w14:paraId="3FCD42A0" w14:textId="77777777" w:rsidTr="00A53E8C">
              <w:trPr>
                <w:cantSplit/>
                <w:trHeight w:val="260"/>
              </w:trPr>
              <w:tc>
                <w:tcPr>
                  <w:tcW w:w="2360" w:type="dxa"/>
                  <w:tcBorders>
                    <w:top w:val="single" w:sz="4" w:space="0" w:color="auto"/>
                    <w:left w:val="single" w:sz="4" w:space="0" w:color="auto"/>
                    <w:bottom w:val="single" w:sz="4" w:space="0" w:color="auto"/>
                    <w:right w:val="single" w:sz="4" w:space="0" w:color="FFFFFF" w:themeColor="background1"/>
                  </w:tcBorders>
                  <w:shd w:val="clear" w:color="auto" w:fill="000000" w:themeFill="text1"/>
                </w:tcPr>
                <w:p w14:paraId="04D69A76" w14:textId="77777777" w:rsidR="00F25792" w:rsidRPr="005D4222" w:rsidRDefault="00F25792" w:rsidP="00A53E8C">
                  <w:pPr>
                    <w:pStyle w:val="TableHead"/>
                    <w:rPr>
                      <w:rFonts w:eastAsia="Arial Narrow"/>
                    </w:rPr>
                  </w:pPr>
                  <w:r w:rsidRPr="005D4222">
                    <w:rPr>
                      <w:rFonts w:eastAsia="Arial Narrow"/>
                    </w:rPr>
                    <w:t>Metric</w:t>
                  </w:r>
                </w:p>
              </w:tc>
              <w:tc>
                <w:tcPr>
                  <w:tcW w:w="1586" w:type="dxa"/>
                  <w:tcBorders>
                    <w:top w:val="single" w:sz="4" w:space="0" w:color="auto"/>
                    <w:left w:val="single" w:sz="4" w:space="0" w:color="FFFFFF" w:themeColor="background1"/>
                    <w:right w:val="single" w:sz="6" w:space="0" w:color="FFFFFF" w:themeColor="background1"/>
                  </w:tcBorders>
                  <w:shd w:val="clear" w:color="auto" w:fill="000000" w:themeFill="text1"/>
                  <w:vAlign w:val="bottom"/>
                </w:tcPr>
                <w:p w14:paraId="37F053E5" w14:textId="77777777" w:rsidR="00F25792" w:rsidRPr="005D4222" w:rsidRDefault="00F25792" w:rsidP="00A53E8C">
                  <w:pPr>
                    <w:pStyle w:val="TableHead"/>
                    <w:rPr>
                      <w:rFonts w:eastAsia="Arial Narrow"/>
                    </w:rPr>
                  </w:pPr>
                  <w:r w:rsidRPr="005D4222">
                    <w:rPr>
                      <w:rFonts w:eastAsia="Arial Narrow"/>
                    </w:rPr>
                    <w:t xml:space="preserve">Data Element </w:t>
                  </w:r>
                </w:p>
              </w:tc>
              <w:tc>
                <w:tcPr>
                  <w:tcW w:w="3429" w:type="dxa"/>
                  <w:tcBorders>
                    <w:top w:val="single" w:sz="4" w:space="0" w:color="auto"/>
                    <w:left w:val="single" w:sz="6" w:space="0" w:color="FFFFFF" w:themeColor="background1"/>
                    <w:right w:val="single" w:sz="4" w:space="0" w:color="auto"/>
                  </w:tcBorders>
                  <w:shd w:val="clear" w:color="auto" w:fill="000000" w:themeFill="text1"/>
                  <w:vAlign w:val="bottom"/>
                </w:tcPr>
                <w:p w14:paraId="19CF466B" w14:textId="77777777" w:rsidR="00F25792" w:rsidRPr="005D4222" w:rsidRDefault="00F25792" w:rsidP="00A53E8C">
                  <w:pPr>
                    <w:pStyle w:val="TableHead"/>
                    <w:rPr>
                      <w:rFonts w:eastAsia="Arial Narrow"/>
                    </w:rPr>
                  </w:pPr>
                  <w:r w:rsidRPr="005D4222">
                    <w:rPr>
                      <w:rFonts w:eastAsia="Arial Narrow"/>
                    </w:rPr>
                    <w:t>Reporting Instructions</w:t>
                  </w:r>
                </w:p>
              </w:tc>
            </w:tr>
            <w:tr w:rsidR="00F25792" w:rsidRPr="005D4222" w14:paraId="760E43E9" w14:textId="77777777" w:rsidTr="00A53E8C">
              <w:trPr>
                <w:cantSplit/>
                <w:trHeight w:val="300"/>
              </w:trPr>
              <w:tc>
                <w:tcPr>
                  <w:tcW w:w="2360" w:type="dxa"/>
                  <w:tcBorders>
                    <w:top w:val="single" w:sz="4" w:space="0" w:color="auto"/>
                    <w:bottom w:val="single" w:sz="4" w:space="0" w:color="auto"/>
                  </w:tcBorders>
                </w:tcPr>
                <w:p w14:paraId="4081C01A" w14:textId="77777777" w:rsidR="00F25792" w:rsidRPr="005D4222" w:rsidRDefault="00F25792" w:rsidP="00A53E8C">
                  <w:pPr>
                    <w:pStyle w:val="TableText"/>
                    <w:rPr>
                      <w:rFonts w:eastAsia="Arial Narrow"/>
                    </w:rPr>
                  </w:pPr>
                  <w:r w:rsidRPr="005D4222">
                    <w:t>Colonoscopy</w:t>
                  </w:r>
                </w:p>
              </w:tc>
              <w:tc>
                <w:tcPr>
                  <w:tcW w:w="1586" w:type="dxa"/>
                  <w:tcBorders>
                    <w:bottom w:val="single" w:sz="4" w:space="0" w:color="auto"/>
                  </w:tcBorders>
                </w:tcPr>
                <w:p w14:paraId="4CB38654" w14:textId="77777777" w:rsidR="00F25792" w:rsidRPr="005D4222" w:rsidRDefault="00F25792" w:rsidP="00A53E8C">
                  <w:pPr>
                    <w:pStyle w:val="TableText"/>
                    <w:rPr>
                      <w:rFonts w:eastAsia="Arial Narrow"/>
                    </w:rPr>
                  </w:pPr>
                  <w:r w:rsidRPr="005D4222">
                    <w:rPr>
                      <w:rFonts w:eastAsia="Arial Narrow"/>
                    </w:rPr>
                    <w:t>Denominator</w:t>
                  </w:r>
                </w:p>
              </w:tc>
              <w:tc>
                <w:tcPr>
                  <w:tcW w:w="3429" w:type="dxa"/>
                  <w:tcBorders>
                    <w:bottom w:val="single" w:sz="4" w:space="0" w:color="auto"/>
                  </w:tcBorders>
                </w:tcPr>
                <w:p w14:paraId="1E35190A" w14:textId="77777777" w:rsidR="00F25792" w:rsidRPr="005D4222" w:rsidRDefault="00F25792" w:rsidP="00A53E8C">
                  <w:pPr>
                    <w:pStyle w:val="TableText"/>
                    <w:rPr>
                      <w:rFonts w:eastAsia="Arial Narrow"/>
                    </w:rPr>
                  </w:pPr>
                  <w:r w:rsidRPr="005D4222">
                    <w:rPr>
                      <w:rFonts w:eastAsia="Arial Narrow"/>
                    </w:rPr>
                    <w:t>Report once</w:t>
                  </w:r>
                </w:p>
              </w:tc>
            </w:tr>
            <w:tr w:rsidR="00F25792" w:rsidRPr="005D4222" w14:paraId="5BDE28AC" w14:textId="77777777" w:rsidTr="00A53E8C">
              <w:trPr>
                <w:cantSplit/>
                <w:trHeight w:val="300"/>
              </w:trPr>
              <w:tc>
                <w:tcPr>
                  <w:tcW w:w="2360" w:type="dxa"/>
                  <w:tcBorders>
                    <w:top w:val="single" w:sz="4" w:space="0" w:color="auto"/>
                    <w:left w:val="nil"/>
                    <w:bottom w:val="nil"/>
                    <w:right w:val="nil"/>
                  </w:tcBorders>
                  <w:vAlign w:val="bottom"/>
                </w:tcPr>
                <w:p w14:paraId="1C503317" w14:textId="77777777" w:rsidR="00F25792" w:rsidRPr="005D4222" w:rsidRDefault="00F25792" w:rsidP="00A53E8C">
                  <w:pPr>
                    <w:pStyle w:val="TableText"/>
                    <w:rPr>
                      <w:rFonts w:eastAsia="Arial Narrow"/>
                    </w:rPr>
                  </w:pPr>
                </w:p>
              </w:tc>
              <w:tc>
                <w:tcPr>
                  <w:tcW w:w="1586" w:type="dxa"/>
                  <w:tcBorders>
                    <w:bottom w:val="single" w:sz="4" w:space="0" w:color="auto"/>
                  </w:tcBorders>
                  <w:shd w:val="clear" w:color="auto" w:fill="FFFFFF" w:themeFill="background1"/>
                </w:tcPr>
                <w:p w14:paraId="4BC4AD21" w14:textId="77777777" w:rsidR="00F25792" w:rsidRPr="005D4222" w:rsidRDefault="00F25792" w:rsidP="00A53E8C">
                  <w:pPr>
                    <w:pStyle w:val="TableText"/>
                    <w:rPr>
                      <w:rFonts w:eastAsia="Arial Narrow"/>
                    </w:rPr>
                  </w:pPr>
                  <w:r w:rsidRPr="005D4222">
                    <w:t>ObservedCount</w:t>
                  </w:r>
                </w:p>
              </w:tc>
              <w:tc>
                <w:tcPr>
                  <w:tcW w:w="3429" w:type="dxa"/>
                  <w:tcBorders>
                    <w:bottom w:val="single" w:sz="4" w:space="0" w:color="auto"/>
                  </w:tcBorders>
                  <w:shd w:val="clear" w:color="auto" w:fill="FFFFFF" w:themeFill="background1"/>
                </w:tcPr>
                <w:p w14:paraId="5332B888" w14:textId="77777777" w:rsidR="00F25792" w:rsidRPr="005D4222" w:rsidRDefault="00F25792" w:rsidP="00A53E8C">
                  <w:pPr>
                    <w:pStyle w:val="TableText"/>
                    <w:rPr>
                      <w:rFonts w:eastAsia="Arial Narrow"/>
                    </w:rPr>
                  </w:pPr>
                  <w:r w:rsidRPr="005D4222">
                    <w:rPr>
                      <w:rFonts w:eastAsia="Arial Narrow"/>
                    </w:rPr>
                    <w:t xml:space="preserve">Report once </w:t>
                  </w:r>
                </w:p>
              </w:tc>
            </w:tr>
            <w:tr w:rsidR="00F25792" w:rsidRPr="005D4222" w14:paraId="5173D989" w14:textId="77777777" w:rsidTr="00A53E8C">
              <w:trPr>
                <w:cantSplit/>
                <w:trHeight w:val="300"/>
              </w:trPr>
              <w:tc>
                <w:tcPr>
                  <w:tcW w:w="2360" w:type="dxa"/>
                  <w:tcBorders>
                    <w:top w:val="nil"/>
                    <w:left w:val="nil"/>
                    <w:bottom w:val="nil"/>
                    <w:right w:val="nil"/>
                  </w:tcBorders>
                  <w:vAlign w:val="bottom"/>
                </w:tcPr>
                <w:p w14:paraId="74CB4492" w14:textId="77777777" w:rsidR="00F25792" w:rsidRPr="005D4222" w:rsidRDefault="00F25792" w:rsidP="00A53E8C">
                  <w:pPr>
                    <w:pStyle w:val="TableText"/>
                    <w:rPr>
                      <w:rFonts w:eastAsia="Arial Narrow"/>
                    </w:rPr>
                  </w:pPr>
                </w:p>
              </w:tc>
              <w:tc>
                <w:tcPr>
                  <w:tcW w:w="15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5127912" w14:textId="77777777" w:rsidR="00F25792" w:rsidRPr="005D4222" w:rsidRDefault="00F25792" w:rsidP="00A53E8C">
                  <w:pPr>
                    <w:pStyle w:val="TableText"/>
                    <w:rPr>
                      <w:rFonts w:eastAsia="Arial Narrow"/>
                    </w:rPr>
                  </w:pPr>
                  <w:r w:rsidRPr="005D4222">
                    <w:t>ObservedRate</w:t>
                  </w:r>
                </w:p>
              </w:tc>
              <w:tc>
                <w:tcPr>
                  <w:tcW w:w="342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0BB6DE6" w14:textId="77777777" w:rsidR="00F25792" w:rsidRPr="005D4222" w:rsidRDefault="00F25792" w:rsidP="00A53E8C">
                  <w:pPr>
                    <w:pStyle w:val="TableText"/>
                    <w:rPr>
                      <w:rFonts w:eastAsia="Arial Narrow"/>
                    </w:rPr>
                  </w:pPr>
                  <w:r w:rsidRPr="005D4222">
                    <w:rPr>
                      <w:rFonts w:eastAsia="Arial Narrow"/>
                    </w:rPr>
                    <w:t>ObservedCount / Denominator (Percent)</w:t>
                  </w:r>
                </w:p>
              </w:tc>
            </w:tr>
            <w:tr w:rsidR="00F25792" w:rsidRPr="005D4222" w14:paraId="67080421" w14:textId="77777777" w:rsidTr="00A53E8C">
              <w:trPr>
                <w:cantSplit/>
                <w:trHeight w:val="300"/>
              </w:trPr>
              <w:tc>
                <w:tcPr>
                  <w:tcW w:w="2360" w:type="dxa"/>
                  <w:tcBorders>
                    <w:top w:val="nil"/>
                    <w:left w:val="nil"/>
                    <w:bottom w:val="nil"/>
                    <w:right w:val="single" w:sz="4" w:space="0" w:color="auto"/>
                  </w:tcBorders>
                  <w:vAlign w:val="bottom"/>
                </w:tcPr>
                <w:p w14:paraId="646D3376" w14:textId="77777777" w:rsidR="00F25792" w:rsidRPr="005D4222" w:rsidRDefault="00F25792" w:rsidP="00A53E8C">
                  <w:pPr>
                    <w:pStyle w:val="TableText"/>
                  </w:pPr>
                </w:p>
              </w:tc>
              <w:tc>
                <w:tcPr>
                  <w:tcW w:w="1586" w:type="dxa"/>
                  <w:tcBorders>
                    <w:top w:val="single" w:sz="4" w:space="0" w:color="auto"/>
                    <w:left w:val="single" w:sz="4" w:space="0" w:color="auto"/>
                    <w:bottom w:val="single" w:sz="4" w:space="0" w:color="auto"/>
                    <w:right w:val="single" w:sz="4" w:space="0" w:color="auto"/>
                  </w:tcBorders>
                  <w:shd w:val="clear" w:color="auto" w:fill="FFFFFF" w:themeFill="background1"/>
                </w:tcPr>
                <w:p w14:paraId="4C5C15C6" w14:textId="77777777" w:rsidR="00F25792" w:rsidRPr="005D4222" w:rsidRDefault="00F25792" w:rsidP="00A53E8C">
                  <w:pPr>
                    <w:pStyle w:val="TableText"/>
                    <w:rPr>
                      <w:rFonts w:eastAsia="Arial Narrow"/>
                    </w:rPr>
                  </w:pPr>
                  <w:r w:rsidRPr="005D4222">
                    <w:t>ExpectedCount</w:t>
                  </w:r>
                </w:p>
              </w:tc>
              <w:tc>
                <w:tcPr>
                  <w:tcW w:w="3429" w:type="dxa"/>
                  <w:tcBorders>
                    <w:top w:val="single" w:sz="4" w:space="0" w:color="auto"/>
                    <w:left w:val="single" w:sz="4" w:space="0" w:color="auto"/>
                    <w:bottom w:val="single" w:sz="4" w:space="0" w:color="auto"/>
                    <w:right w:val="single" w:sz="4" w:space="0" w:color="auto"/>
                  </w:tcBorders>
                  <w:shd w:val="clear" w:color="auto" w:fill="FFFFFF" w:themeFill="background1"/>
                </w:tcPr>
                <w:p w14:paraId="03BC39F4" w14:textId="77777777" w:rsidR="00F25792" w:rsidRPr="005D4222" w:rsidRDefault="00F25792" w:rsidP="00A53E8C">
                  <w:pPr>
                    <w:pStyle w:val="TableText"/>
                    <w:rPr>
                      <w:rFonts w:eastAsia="Arial Narrow"/>
                    </w:rPr>
                  </w:pPr>
                  <w:r w:rsidRPr="005D4222">
                    <w:rPr>
                      <w:rFonts w:eastAsia="Arial Narrow"/>
                    </w:rPr>
                    <w:t xml:space="preserve">Report once </w:t>
                  </w:r>
                </w:p>
              </w:tc>
            </w:tr>
            <w:tr w:rsidR="00F25792" w:rsidRPr="005D4222" w14:paraId="442D6D6F" w14:textId="77777777" w:rsidTr="00A53E8C">
              <w:trPr>
                <w:cantSplit/>
                <w:trHeight w:val="300"/>
              </w:trPr>
              <w:tc>
                <w:tcPr>
                  <w:tcW w:w="2360" w:type="dxa"/>
                  <w:tcBorders>
                    <w:top w:val="nil"/>
                    <w:left w:val="nil"/>
                    <w:bottom w:val="nil"/>
                    <w:right w:val="single" w:sz="4" w:space="0" w:color="auto"/>
                  </w:tcBorders>
                  <w:vAlign w:val="bottom"/>
                </w:tcPr>
                <w:p w14:paraId="3993528F" w14:textId="77777777" w:rsidR="00F25792" w:rsidRPr="005D4222" w:rsidRDefault="00F25792" w:rsidP="00A53E8C">
                  <w:pPr>
                    <w:pStyle w:val="TableText"/>
                  </w:pPr>
                </w:p>
              </w:tc>
              <w:tc>
                <w:tcPr>
                  <w:tcW w:w="15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3D3195B" w14:textId="77777777" w:rsidR="00F25792" w:rsidRPr="005D4222" w:rsidRDefault="00F25792" w:rsidP="00A53E8C">
                  <w:pPr>
                    <w:pStyle w:val="TableText"/>
                  </w:pPr>
                  <w:r w:rsidRPr="005D4222">
                    <w:t>ExpectedRate</w:t>
                  </w:r>
                </w:p>
              </w:tc>
              <w:tc>
                <w:tcPr>
                  <w:tcW w:w="342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48096FE" w14:textId="77777777" w:rsidR="00F25792" w:rsidRPr="005D4222" w:rsidRDefault="00F25792" w:rsidP="00A53E8C">
                  <w:pPr>
                    <w:pStyle w:val="TableText"/>
                    <w:rPr>
                      <w:rFonts w:eastAsia="Arial Narrow"/>
                    </w:rPr>
                  </w:pPr>
                  <w:r w:rsidRPr="005D4222">
                    <w:rPr>
                      <w:rFonts w:eastAsia="Arial Narrow"/>
                    </w:rPr>
                    <w:t>ExpectedCount / Denominator (Percent)</w:t>
                  </w:r>
                </w:p>
              </w:tc>
            </w:tr>
            <w:tr w:rsidR="00F25792" w:rsidRPr="005D4222" w14:paraId="2F05B493" w14:textId="77777777" w:rsidTr="00A53E8C">
              <w:trPr>
                <w:cantSplit/>
                <w:trHeight w:val="300"/>
              </w:trPr>
              <w:tc>
                <w:tcPr>
                  <w:tcW w:w="2360" w:type="dxa"/>
                  <w:tcBorders>
                    <w:top w:val="nil"/>
                    <w:left w:val="nil"/>
                    <w:bottom w:val="nil"/>
                    <w:right w:val="nil"/>
                  </w:tcBorders>
                  <w:vAlign w:val="bottom"/>
                </w:tcPr>
                <w:p w14:paraId="1DCC0907" w14:textId="77777777" w:rsidR="00F25792" w:rsidRPr="005D4222" w:rsidRDefault="00F25792" w:rsidP="00A53E8C">
                  <w:pPr>
                    <w:pStyle w:val="TableText"/>
                  </w:pPr>
                </w:p>
              </w:tc>
              <w:tc>
                <w:tcPr>
                  <w:tcW w:w="1586" w:type="dxa"/>
                  <w:tcBorders>
                    <w:top w:val="single" w:sz="4" w:space="0" w:color="auto"/>
                    <w:left w:val="single" w:sz="4" w:space="0" w:color="auto"/>
                    <w:bottom w:val="single" w:sz="4" w:space="0" w:color="auto"/>
                    <w:right w:val="single" w:sz="4" w:space="0" w:color="auto"/>
                  </w:tcBorders>
                  <w:shd w:val="clear" w:color="auto" w:fill="FFFFFF" w:themeFill="background1"/>
                </w:tcPr>
                <w:p w14:paraId="378312E2" w14:textId="77777777" w:rsidR="00F25792" w:rsidRPr="005D4222" w:rsidRDefault="00F25792" w:rsidP="00A53E8C">
                  <w:pPr>
                    <w:pStyle w:val="TableText"/>
                  </w:pPr>
                  <w:r w:rsidRPr="005D4222">
                    <w:t>CountVariance</w:t>
                  </w:r>
                </w:p>
              </w:tc>
              <w:tc>
                <w:tcPr>
                  <w:tcW w:w="3429" w:type="dxa"/>
                  <w:tcBorders>
                    <w:top w:val="single" w:sz="4" w:space="0" w:color="auto"/>
                    <w:left w:val="single" w:sz="4" w:space="0" w:color="auto"/>
                    <w:bottom w:val="single" w:sz="4" w:space="0" w:color="auto"/>
                    <w:right w:val="single" w:sz="4" w:space="0" w:color="auto"/>
                  </w:tcBorders>
                  <w:shd w:val="clear" w:color="auto" w:fill="FFFFFF" w:themeFill="background1"/>
                </w:tcPr>
                <w:p w14:paraId="3A782A90" w14:textId="77777777" w:rsidR="00F25792" w:rsidRPr="005D4222" w:rsidRDefault="00F25792" w:rsidP="00A53E8C">
                  <w:pPr>
                    <w:pStyle w:val="TableText"/>
                    <w:rPr>
                      <w:rFonts w:eastAsia="Arial Narrow"/>
                    </w:rPr>
                  </w:pPr>
                  <w:r w:rsidRPr="005D4222">
                    <w:rPr>
                      <w:rFonts w:eastAsia="Arial Narrow"/>
                    </w:rPr>
                    <w:t xml:space="preserve">Report once </w:t>
                  </w:r>
                </w:p>
              </w:tc>
            </w:tr>
            <w:tr w:rsidR="00F25792" w:rsidRPr="005D4222" w14:paraId="154A7250" w14:textId="77777777" w:rsidTr="00A53E8C">
              <w:trPr>
                <w:cantSplit/>
                <w:trHeight w:val="300"/>
              </w:trPr>
              <w:tc>
                <w:tcPr>
                  <w:tcW w:w="2360" w:type="dxa"/>
                  <w:tcBorders>
                    <w:top w:val="nil"/>
                    <w:left w:val="nil"/>
                    <w:bottom w:val="nil"/>
                    <w:right w:val="nil"/>
                  </w:tcBorders>
                  <w:vAlign w:val="bottom"/>
                </w:tcPr>
                <w:p w14:paraId="08ED3237" w14:textId="77777777" w:rsidR="00F25792" w:rsidRPr="005D4222" w:rsidRDefault="00F25792" w:rsidP="00A53E8C">
                  <w:pPr>
                    <w:pStyle w:val="TableText"/>
                  </w:pPr>
                </w:p>
              </w:tc>
              <w:tc>
                <w:tcPr>
                  <w:tcW w:w="15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EAC0E0C" w14:textId="77777777" w:rsidR="00F25792" w:rsidRPr="005D4222" w:rsidRDefault="00F25792" w:rsidP="00A53E8C">
                  <w:pPr>
                    <w:pStyle w:val="TableText"/>
                  </w:pPr>
                  <w:r w:rsidRPr="005D4222">
                    <w:t>OE</w:t>
                  </w:r>
                </w:p>
              </w:tc>
              <w:tc>
                <w:tcPr>
                  <w:tcW w:w="342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9A3A052" w14:textId="77777777" w:rsidR="00F25792" w:rsidRPr="005D4222" w:rsidRDefault="00F25792" w:rsidP="00A53E8C">
                  <w:pPr>
                    <w:pStyle w:val="TableText"/>
                    <w:rPr>
                      <w:rFonts w:eastAsia="Arial Narrow"/>
                    </w:rPr>
                  </w:pPr>
                  <w:r w:rsidRPr="005D4222">
                    <w:rPr>
                      <w:rFonts w:eastAsia="Arial Narrow"/>
                    </w:rPr>
                    <w:t>ObservedCount / ExpectedCount</w:t>
                  </w:r>
                </w:p>
              </w:tc>
            </w:tr>
          </w:tbl>
          <w:p w14:paraId="641018BD" w14:textId="77777777" w:rsidR="00F25792" w:rsidRPr="005D4222" w:rsidDel="00A83210" w:rsidRDefault="00F25792" w:rsidP="00A53E8C">
            <w:pPr>
              <w:pStyle w:val="E-Body"/>
              <w:rPr>
                <w:b/>
                <w:bCs w:val="0"/>
                <w:lang w:eastAsia="zh-CN"/>
              </w:rPr>
            </w:pPr>
          </w:p>
        </w:tc>
      </w:tr>
      <w:tr w:rsidR="00F25792" w:rsidRPr="005D4222" w14:paraId="29FD8966"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tcMar>
          </w:tcPr>
          <w:p w14:paraId="726D57D9" w14:textId="77777777" w:rsidR="00F25792" w:rsidRPr="005D4222" w:rsidRDefault="00F25792" w:rsidP="00A53E8C">
            <w:pPr>
              <w:pStyle w:val="MarginHead"/>
              <w:spacing w:line="256" w:lineRule="auto"/>
              <w:rPr>
                <w:rFonts w:cs="Arial"/>
                <w:color w:val="000000" w:themeColor="text1"/>
                <w:szCs w:val="22"/>
                <w:lang w:eastAsia="zh-CN"/>
              </w:rPr>
            </w:pPr>
            <w:r w:rsidRPr="005D4222">
              <w:rPr>
                <w:rFonts w:cs="Arial"/>
                <w:color w:val="000000" w:themeColor="text1"/>
                <w:szCs w:val="22"/>
                <w:lang w:eastAsia="zh-CN"/>
              </w:rPr>
              <w:lastRenderedPageBreak/>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tcMar>
          </w:tcPr>
          <w:p w14:paraId="67D00B6D" w14:textId="77777777" w:rsidR="00F25792" w:rsidRPr="005D4222" w:rsidRDefault="00F25792" w:rsidP="00A53E8C">
            <w:pPr>
              <w:pStyle w:val="E-Body"/>
              <w:rPr>
                <w:lang w:eastAsia="zh-CN"/>
              </w:rPr>
            </w:pPr>
            <w:r w:rsidRPr="005D4222">
              <w:rPr>
                <w:b/>
                <w:lang w:eastAsia="zh-CN"/>
              </w:rPr>
              <w:t xml:space="preserve">Copyright and use: </w:t>
            </w:r>
            <w:r w:rsidRPr="005D4222">
              <w:rPr>
                <w:lang w:eastAsia="zh-CN"/>
              </w:rPr>
              <w:t xml:space="preserve">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33534E82" w14:textId="77777777" w:rsidR="00F25792" w:rsidRPr="005D4222" w:rsidRDefault="00F25792" w:rsidP="00A53E8C">
            <w:pPr>
              <w:pStyle w:val="E-Body"/>
              <w:rPr>
                <w:rFonts w:cs="Arial"/>
                <w:b/>
                <w:color w:val="000000" w:themeColor="text1"/>
                <w:sz w:val="22"/>
                <w:szCs w:val="22"/>
                <w:lang w:eastAsia="zh-CN"/>
              </w:rPr>
            </w:pPr>
            <w:r w:rsidRPr="005D4222">
              <w:rPr>
                <w:rFonts w:cs="Arial"/>
                <w:b/>
                <w:color w:val="000000" w:themeColor="text1"/>
                <w:sz w:val="22"/>
                <w:szCs w:val="22"/>
                <w:lang w:eastAsia="zh-CN"/>
              </w:rPr>
              <w:t>Adjusted HEDIS measures may not be used for HEDIS health plan reporting.</w:t>
            </w:r>
          </w:p>
          <w:p w14:paraId="1DF79903" w14:textId="77777777" w:rsidR="00F25792" w:rsidRPr="005D4222" w:rsidRDefault="00F25792" w:rsidP="00A53E8C">
            <w:pPr>
              <w:pStyle w:val="E-Body"/>
              <w:spacing w:before="180"/>
              <w:rPr>
                <w:lang w:eastAsia="zh-CN"/>
              </w:rPr>
            </w:pPr>
            <w:r w:rsidRPr="005D4222">
              <w:rPr>
                <w:lang w:eastAsia="zh-CN"/>
              </w:rPr>
              <w:t xml:space="preserve">The measures under the Risk Adjusted Utilization domain allow two types of </w:t>
            </w:r>
            <w:r w:rsidRPr="005D4222">
              <w:rPr>
                <w:i/>
                <w:lang w:eastAsia="zh-CN"/>
              </w:rPr>
              <w:t>Rules for Allowable Adjustments</w:t>
            </w:r>
            <w:r w:rsidRPr="005D4222">
              <w:rPr>
                <w:lang w:eastAsia="zh-CN"/>
              </w:rPr>
              <w:t xml:space="preserve"> sections: </w:t>
            </w:r>
          </w:p>
          <w:p w14:paraId="3EB5BC04" w14:textId="40A3B99B" w:rsidR="00F25792" w:rsidRPr="005D4222" w:rsidRDefault="00F25792" w:rsidP="005D6173">
            <w:pPr>
              <w:pStyle w:val="ECDSBody"/>
              <w:numPr>
                <w:ilvl w:val="0"/>
                <w:numId w:val="124"/>
              </w:numPr>
              <w:tabs>
                <w:tab w:val="clear" w:pos="1368"/>
              </w:tabs>
              <w:ind w:left="648" w:hanging="288"/>
            </w:pPr>
            <w:r w:rsidRPr="005D4222">
              <w:rPr>
                <w:i/>
              </w:rPr>
              <w:t>Rules for Allowable Adjustments for Risk-Adjusted Measurement.</w:t>
            </w:r>
            <w:r w:rsidRPr="005D4222">
              <w:t xml:space="preserve"> This section must be followed for adjustments when calculating the full measure specifications, which includes all risk adjusted rates (expected rates, risk adjustment, O/E) and calculation components (count of index stays, observed events). </w:t>
            </w:r>
          </w:p>
          <w:p w14:paraId="5CFABA92" w14:textId="77777777" w:rsidR="00F25792" w:rsidRPr="005D4222" w:rsidRDefault="00F25792" w:rsidP="005D6173">
            <w:pPr>
              <w:pStyle w:val="ECDSBody"/>
              <w:numPr>
                <w:ilvl w:val="0"/>
                <w:numId w:val="124"/>
              </w:numPr>
              <w:tabs>
                <w:tab w:val="clear" w:pos="1368"/>
              </w:tabs>
              <w:ind w:left="648" w:hanging="288"/>
            </w:pPr>
            <w:r w:rsidRPr="005D4222">
              <w:rPr>
                <w:i/>
                <w:iCs/>
              </w:rPr>
              <w:t>Rules for Allowable Adjustments for Observed Measurement (rates without risk adjustment).</w:t>
            </w:r>
            <w:r w:rsidRPr="005D4222">
              <w:t xml:space="preserve"> This section must be followed when adjusting the calculation of observed events only. When applying these adjustments, organizations must not include risk adjustment logic. </w:t>
            </w:r>
          </w:p>
          <w:p w14:paraId="19D45A11" w14:textId="77777777" w:rsidR="00F25792" w:rsidRPr="005D4222" w:rsidRDefault="00F25792" w:rsidP="00A53E8C">
            <w:pPr>
              <w:pStyle w:val="E-Body"/>
              <w:rPr>
                <w:lang w:eastAsia="zh-CN"/>
              </w:rPr>
            </w:pPr>
            <w:r w:rsidRPr="005D4222">
              <w:rPr>
                <w:lang w:eastAsia="zh-CN"/>
              </w:rPr>
              <w:t xml:space="preserve">The intent of including two types of Rules is to allow organizations to adjust measures without compromising measure validity. Risk adjustment is based on statistical prediction models specifically calibrated to each measure. </w:t>
            </w:r>
          </w:p>
          <w:p w14:paraId="02900EA7" w14:textId="680739B0" w:rsidR="00F25792" w:rsidRPr="005D4222" w:rsidRDefault="00F25792" w:rsidP="00A53E8C">
            <w:pPr>
              <w:pStyle w:val="E-Body"/>
              <w:rPr>
                <w:lang w:eastAsia="zh-CN"/>
              </w:rPr>
            </w:pPr>
            <w:r w:rsidRPr="005D4222">
              <w:rPr>
                <w:b/>
                <w:lang w:eastAsia="zh-CN"/>
              </w:rPr>
              <w:t xml:space="preserve">The following </w:t>
            </w:r>
            <w:r w:rsidR="009D34B5" w:rsidRPr="005D4222">
              <w:rPr>
                <w:b/>
                <w:lang w:eastAsia="zh-CN"/>
              </w:rPr>
              <w:t>are</w:t>
            </w:r>
            <w:r w:rsidRPr="005D4222">
              <w:rPr>
                <w:b/>
                <w:lang w:eastAsia="zh-CN"/>
              </w:rPr>
              <w:t xml:space="preserve"> the Rules for Allowable Adjustments for </w:t>
            </w:r>
            <w:r w:rsidRPr="005D4222">
              <w:rPr>
                <w:b/>
                <w:u w:val="single"/>
                <w:lang w:eastAsia="zh-CN"/>
              </w:rPr>
              <w:t>Risk-Adjusted Measurement</w:t>
            </w:r>
            <w:r w:rsidRPr="005D4222">
              <w:rPr>
                <w:b/>
                <w:lang w:eastAsia="zh-CN"/>
              </w:rPr>
              <w:t xml:space="preserve"> of the </w:t>
            </w:r>
            <w:r w:rsidR="00114134" w:rsidRPr="005D4222">
              <w:rPr>
                <w:b/>
                <w:lang w:eastAsia="zh-CN"/>
              </w:rPr>
              <w:t xml:space="preserve">Acute Hospitalizations </w:t>
            </w:r>
            <w:r w:rsidRPr="005D4222" w:rsidDel="00AB2F99">
              <w:rPr>
                <w:b/>
                <w:lang w:eastAsia="zh-CN"/>
              </w:rPr>
              <w:t>Following Outpatient Colonoscopy</w:t>
            </w:r>
            <w:r w:rsidRPr="005D4222">
              <w:rPr>
                <w:b/>
                <w:lang w:eastAsia="zh-CN"/>
              </w:rPr>
              <w:t xml:space="preserve"> measure (expected hospitalization rate, risk adjustment determination, risk adjustment weighting, variance, O/E ratio)</w:t>
            </w:r>
            <w:r w:rsidRPr="005D4222">
              <w:rPr>
                <w:lang w:eastAsia="zh-CN"/>
              </w:rPr>
              <w:t xml:space="preserve">. </w:t>
            </w:r>
          </w:p>
          <w:p w14:paraId="6B8ED34A" w14:textId="77777777" w:rsidR="00F25792" w:rsidRPr="005D4222" w:rsidRDefault="00F25792" w:rsidP="00A53E8C">
            <w:pPr>
              <w:pStyle w:val="Adjustments"/>
              <w:rPr>
                <w:lang w:eastAsia="zh-CN"/>
              </w:rPr>
            </w:pPr>
            <w:r w:rsidRPr="005D4222">
              <w:rPr>
                <w:lang w:eastAsia="zh-CN"/>
              </w:rPr>
              <w:t xml:space="preserve">Adjustments allowed </w:t>
            </w:r>
          </w:p>
          <w:p w14:paraId="614CA7AF" w14:textId="0914292F" w:rsidR="00F25792" w:rsidRPr="005D4222" w:rsidRDefault="00362E76" w:rsidP="005D6173">
            <w:pPr>
              <w:pStyle w:val="ProcessBullet"/>
              <w:numPr>
                <w:ilvl w:val="0"/>
                <w:numId w:val="117"/>
              </w:numPr>
              <w:ind w:left="216" w:hanging="216"/>
              <w:rPr>
                <w:lang w:eastAsia="zh-CN"/>
              </w:rPr>
            </w:pPr>
            <w:r w:rsidRPr="005D4222">
              <w:rPr>
                <w:i/>
                <w:iCs/>
                <w:lang w:eastAsia="zh-CN"/>
              </w:rPr>
              <w:t>Benefits.</w:t>
            </w:r>
            <w:r w:rsidR="00F25792" w:rsidRPr="005D4222">
              <w:rPr>
                <w:lang w:eastAsia="zh-CN"/>
              </w:rPr>
              <w:t xml:space="preserve"> Organizations are not required to use a benefit. </w:t>
            </w:r>
          </w:p>
          <w:p w14:paraId="00071000" w14:textId="0D9ADFB6" w:rsidR="003641C3" w:rsidRPr="005D4222" w:rsidRDefault="00F25792" w:rsidP="005D6173">
            <w:pPr>
              <w:pStyle w:val="ProcessBullet"/>
              <w:numPr>
                <w:ilvl w:val="0"/>
                <w:numId w:val="117"/>
              </w:numPr>
              <w:spacing w:after="80"/>
              <w:ind w:left="216" w:hanging="216"/>
              <w:rPr>
                <w:b/>
                <w:lang w:eastAsia="zh-CN"/>
              </w:rPr>
            </w:pPr>
            <w:r w:rsidRPr="005D4222">
              <w:rPr>
                <w:i/>
                <w:iCs/>
                <w:lang w:eastAsia="zh-CN"/>
              </w:rPr>
              <w:t>Telehealth.</w:t>
            </w:r>
            <w:r w:rsidRPr="005D4222">
              <w:rPr>
                <w:lang w:eastAsia="zh-CN"/>
              </w:rPr>
              <w:t xml:space="preserve"> Services/events that allow the use of synchronous telehealth visits, telephone visits and asynchronous telehealth (e-visits, virtual check-ins) may be stratified to identify services performed via telehealth. This </w:t>
            </w:r>
          </w:p>
        </w:tc>
      </w:tr>
      <w:tr w:rsidR="00F25792" w:rsidRPr="005D4222" w14:paraId="00408CC5"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tcMar>
          </w:tcPr>
          <w:p w14:paraId="7E8CC6C6" w14:textId="77777777" w:rsidR="00F25792" w:rsidRPr="005D4222" w:rsidRDefault="00F25792" w:rsidP="00A53E8C">
            <w:pPr>
              <w:pStyle w:val="MarginHead"/>
              <w:spacing w:line="256" w:lineRule="auto"/>
              <w:rPr>
                <w:rFonts w:cs="Arial"/>
                <w:color w:val="000000" w:themeColor="text1"/>
                <w:szCs w:val="22"/>
                <w:lang w:eastAsia="zh-CN"/>
              </w:rPr>
            </w:pPr>
          </w:p>
        </w:tc>
        <w:tc>
          <w:tcPr>
            <w:tcW w:w="7557" w:type="dxa"/>
            <w:tcBorders>
              <w:top w:val="single" w:sz="4" w:space="0" w:color="auto"/>
              <w:left w:val="single" w:sz="4" w:space="0" w:color="auto"/>
              <w:bottom w:val="single" w:sz="4" w:space="0" w:color="auto"/>
              <w:right w:val="single" w:sz="4" w:space="0" w:color="auto"/>
            </w:tcBorders>
            <w:tcMar>
              <w:top w:w="0" w:type="dxa"/>
            </w:tcMar>
          </w:tcPr>
          <w:p w14:paraId="0984F973" w14:textId="161C4A66" w:rsidR="003641C3" w:rsidRPr="005D4222" w:rsidRDefault="003641C3" w:rsidP="00F34084">
            <w:pPr>
              <w:pStyle w:val="ProcessBullet"/>
              <w:numPr>
                <w:ilvl w:val="0"/>
                <w:numId w:val="0"/>
              </w:numPr>
              <w:spacing w:before="120"/>
              <w:ind w:left="216"/>
              <w:rPr>
                <w:lang w:eastAsia="zh-CN"/>
              </w:rPr>
            </w:pPr>
            <w:r w:rsidRPr="005D4222">
              <w:rPr>
                <w:lang w:eastAsia="zh-CN"/>
              </w:rPr>
              <w:t xml:space="preserve">adjustment is not allowed for </w:t>
            </w:r>
            <w:r w:rsidR="00F45777" w:rsidRPr="005D4222">
              <w:rPr>
                <w:lang w:eastAsia="zh-CN"/>
              </w:rPr>
              <w:t>events</w:t>
            </w:r>
            <w:r w:rsidRPr="005D4222">
              <w:rPr>
                <w:lang w:eastAsia="zh-CN"/>
              </w:rPr>
              <w:t>, numerators and exclusions that do not allow the use of telehealth.</w:t>
            </w:r>
          </w:p>
          <w:p w14:paraId="4D626A52" w14:textId="77777777" w:rsidR="003641C3" w:rsidRPr="005D4222" w:rsidRDefault="003641C3" w:rsidP="003641C3">
            <w:pPr>
              <w:pStyle w:val="Adjustments"/>
              <w:rPr>
                <w:lang w:eastAsia="zh-CN"/>
              </w:rPr>
            </w:pPr>
            <w:r w:rsidRPr="005D4222">
              <w:rPr>
                <w:lang w:eastAsia="zh-CN"/>
              </w:rPr>
              <w:t xml:space="preserve">Adjustments allowed with limits </w:t>
            </w:r>
          </w:p>
          <w:p w14:paraId="5395B8CF" w14:textId="509D1C9C" w:rsidR="003641C3" w:rsidRPr="005D4222" w:rsidRDefault="003641C3" w:rsidP="005D6173">
            <w:pPr>
              <w:pStyle w:val="ProcessBullet"/>
              <w:numPr>
                <w:ilvl w:val="0"/>
                <w:numId w:val="118"/>
              </w:numPr>
              <w:ind w:left="216" w:hanging="216"/>
              <w:rPr>
                <w:lang w:eastAsia="zh-CN"/>
              </w:rPr>
            </w:pPr>
            <w:r w:rsidRPr="005D4222">
              <w:rPr>
                <w:i/>
                <w:iCs/>
                <w:lang w:eastAsia="zh-CN"/>
              </w:rPr>
              <w:t xml:space="preserve">Other. </w:t>
            </w:r>
            <w:r w:rsidRPr="005D4222">
              <w:rPr>
                <w:lang w:eastAsia="zh-CN"/>
              </w:rPr>
              <w:t xml:space="preserve">Organizations may only adjust the </w:t>
            </w:r>
            <w:r w:rsidR="00524BFF" w:rsidRPr="005D4222">
              <w:t>initial</w:t>
            </w:r>
            <w:r w:rsidRPr="005D4222">
              <w:t xml:space="preserve"> </w:t>
            </w:r>
            <w:r w:rsidRPr="005D4222">
              <w:rPr>
                <w:lang w:eastAsia="zh-CN"/>
              </w:rPr>
              <w:t xml:space="preserve">population criteria to focus on an area of interest defined by gender, sociodemographic characteristics or geographical region. NCQA recommends evaluating risk model performance and validity within adjusted populations. Organizations may not adjust for a clinical subpopulation (e.g., persons with a diabetes diagnosis). </w:t>
            </w:r>
          </w:p>
          <w:p w14:paraId="31DFC20E" w14:textId="77777777" w:rsidR="003641C3" w:rsidRPr="005D4222" w:rsidRDefault="003641C3" w:rsidP="005D6173">
            <w:pPr>
              <w:pStyle w:val="ProcessBullet"/>
              <w:numPr>
                <w:ilvl w:val="0"/>
                <w:numId w:val="119"/>
              </w:numPr>
              <w:ind w:left="216" w:hanging="216"/>
              <w:rPr>
                <w:lang w:eastAsia="zh-CN"/>
              </w:rPr>
            </w:pPr>
            <w:r w:rsidRPr="005D4222">
              <w:rPr>
                <w:i/>
                <w:iCs/>
                <w:lang w:eastAsia="zh-CN"/>
              </w:rPr>
              <w:t>Measurement period adjustments.</w:t>
            </w:r>
            <w:r w:rsidRPr="005D4222">
              <w:rPr>
                <w:lang w:eastAsia="zh-CN"/>
              </w:rPr>
              <w:t xml:space="preserve"> Organizations may only change the measurement period by 1 year. </w:t>
            </w:r>
          </w:p>
          <w:p w14:paraId="7024594B" w14:textId="77777777" w:rsidR="003641C3" w:rsidRPr="005D4222" w:rsidRDefault="003641C3" w:rsidP="005D6173">
            <w:pPr>
              <w:pStyle w:val="ProcessBullet"/>
              <w:numPr>
                <w:ilvl w:val="0"/>
                <w:numId w:val="119"/>
              </w:numPr>
              <w:spacing w:after="80"/>
              <w:ind w:left="216" w:hanging="216"/>
              <w:rPr>
                <w:b/>
                <w:lang w:eastAsia="zh-CN"/>
              </w:rPr>
            </w:pPr>
            <w:r w:rsidRPr="005D4222">
              <w:rPr>
                <w:i/>
                <w:iCs/>
                <w:lang w:eastAsia="zh-CN"/>
              </w:rPr>
              <w:t>Denominator.</w:t>
            </w:r>
            <w:r w:rsidRPr="005D4222">
              <w:rPr>
                <w:lang w:eastAsia="zh-CN"/>
              </w:rPr>
              <w:t xml:space="preserve"> Organizations may include denied claims to calculate denominator events.</w:t>
            </w:r>
            <w:r w:rsidRPr="005D4222">
              <w:rPr>
                <w:i/>
                <w:iCs/>
                <w:lang w:eastAsia="zh-CN"/>
              </w:rPr>
              <w:t xml:space="preserve"> </w:t>
            </w:r>
            <w:r w:rsidRPr="005D4222">
              <w:rPr>
                <w:lang w:eastAsia="zh-CN"/>
              </w:rPr>
              <w:t xml:space="preserve">Value sets and logic may not be changed. </w:t>
            </w:r>
          </w:p>
          <w:p w14:paraId="79B294A9" w14:textId="77777777" w:rsidR="00F25792" w:rsidRPr="005D4222" w:rsidRDefault="00F25792" w:rsidP="005D6173">
            <w:pPr>
              <w:pStyle w:val="ProcessBullet"/>
              <w:numPr>
                <w:ilvl w:val="0"/>
                <w:numId w:val="98"/>
              </w:numPr>
              <w:tabs>
                <w:tab w:val="num" w:pos="279"/>
              </w:tabs>
              <w:spacing w:after="80"/>
              <w:ind w:left="189" w:hanging="180"/>
              <w:rPr>
                <w:b/>
                <w:lang w:eastAsia="zh-CN"/>
              </w:rPr>
            </w:pPr>
            <w:r w:rsidRPr="005D4222">
              <w:rPr>
                <w:i/>
                <w:iCs/>
                <w:lang w:eastAsia="zh-CN"/>
              </w:rPr>
              <w:t xml:space="preserve">Risk adjustment determination, risk adjustment weighting, expected hospitalizations, variance. </w:t>
            </w:r>
            <w:r w:rsidRPr="005D4222">
              <w:rPr>
                <w:lang w:eastAsia="zh-CN"/>
              </w:rPr>
              <w:t xml:space="preserve">Organizations may include denied claims to calculate these events. Risk adjustment determinations, weighting and calculations of expected events logic may not be changed. </w:t>
            </w:r>
          </w:p>
          <w:p w14:paraId="52FE059D" w14:textId="77777777" w:rsidR="00F25792" w:rsidRPr="005D4222" w:rsidRDefault="00F25792" w:rsidP="005D6173">
            <w:pPr>
              <w:pStyle w:val="ProcessBullet"/>
              <w:numPr>
                <w:ilvl w:val="0"/>
                <w:numId w:val="119"/>
              </w:numPr>
              <w:spacing w:after="80"/>
              <w:ind w:left="216" w:hanging="216"/>
              <w:rPr>
                <w:rFonts w:cs="Arial"/>
                <w:color w:val="000000" w:themeColor="text1"/>
                <w:lang w:eastAsia="zh-CN"/>
              </w:rPr>
            </w:pPr>
            <w:r w:rsidRPr="005D4222">
              <w:rPr>
                <w:i/>
                <w:iCs/>
                <w:lang w:eastAsia="zh-CN"/>
              </w:rPr>
              <w:t xml:space="preserve">Numerator. </w:t>
            </w:r>
            <w:r w:rsidRPr="005D4222">
              <w:rPr>
                <w:lang w:eastAsia="zh-CN"/>
              </w:rPr>
              <w:t>Organizations may include denied claims to calculate the numerator.</w:t>
            </w:r>
            <w:r w:rsidRPr="005D4222">
              <w:rPr>
                <w:i/>
                <w:iCs/>
                <w:lang w:eastAsia="zh-CN"/>
              </w:rPr>
              <w:t xml:space="preserve"> </w:t>
            </w:r>
            <w:r w:rsidRPr="005D4222">
              <w:rPr>
                <w:lang w:eastAsia="zh-CN"/>
              </w:rPr>
              <w:t xml:space="preserve">Value sets and logic may not be changed. </w:t>
            </w:r>
          </w:p>
          <w:p w14:paraId="762A395D" w14:textId="77777777" w:rsidR="00F25792" w:rsidRPr="005D4222" w:rsidRDefault="00F25792" w:rsidP="00A53E8C">
            <w:pPr>
              <w:pStyle w:val="Adjustments"/>
              <w:rPr>
                <w:lang w:eastAsia="zh-CN"/>
              </w:rPr>
            </w:pPr>
            <w:r w:rsidRPr="005D4222">
              <w:rPr>
                <w:lang w:eastAsia="zh-CN"/>
              </w:rPr>
              <w:t xml:space="preserve">Adjustments not allowed </w:t>
            </w:r>
          </w:p>
          <w:p w14:paraId="4CE7A31D" w14:textId="77777777" w:rsidR="00F25792" w:rsidRPr="005D4222" w:rsidRDefault="00F25792" w:rsidP="005D6173">
            <w:pPr>
              <w:pStyle w:val="ProcessBullet"/>
              <w:numPr>
                <w:ilvl w:val="0"/>
                <w:numId w:val="120"/>
              </w:numPr>
              <w:ind w:left="216" w:hanging="216"/>
              <w:rPr>
                <w:lang w:eastAsia="zh-CN"/>
              </w:rPr>
            </w:pPr>
            <w:r w:rsidRPr="005D4222">
              <w:rPr>
                <w:i/>
                <w:iCs/>
                <w:lang w:eastAsia="zh-CN"/>
              </w:rPr>
              <w:t xml:space="preserve">Product lines. </w:t>
            </w:r>
            <w:r w:rsidRPr="005D4222">
              <w:rPr>
                <w:lang w:eastAsia="zh-CN"/>
              </w:rPr>
              <w:t xml:space="preserve">Organizations may not adjust product lines. </w:t>
            </w:r>
          </w:p>
          <w:p w14:paraId="6D6972F6" w14:textId="77777777" w:rsidR="00F25792" w:rsidRPr="005D4222" w:rsidRDefault="00F25792" w:rsidP="005D6173">
            <w:pPr>
              <w:pStyle w:val="ProcessBullet"/>
              <w:numPr>
                <w:ilvl w:val="0"/>
                <w:numId w:val="120"/>
              </w:numPr>
              <w:spacing w:after="80"/>
              <w:ind w:left="216" w:hanging="216"/>
              <w:rPr>
                <w:b/>
                <w:lang w:eastAsia="zh-CN"/>
              </w:rPr>
            </w:pPr>
            <w:r w:rsidRPr="005D4222">
              <w:rPr>
                <w:i/>
                <w:iCs/>
                <w:lang w:eastAsia="zh-CN"/>
              </w:rPr>
              <w:t>Attribution.</w:t>
            </w:r>
            <w:r w:rsidRPr="005D4222">
              <w:rPr>
                <w:lang w:eastAsia="zh-CN"/>
              </w:rPr>
              <w:t xml:space="preserve"> Organizations are required to use enrollment criteria.  </w:t>
            </w:r>
          </w:p>
          <w:p w14:paraId="016C48FF" w14:textId="77777777" w:rsidR="00F25792" w:rsidRPr="005D4222" w:rsidRDefault="00F25792" w:rsidP="005D6173">
            <w:pPr>
              <w:pStyle w:val="ProcessBullet"/>
              <w:numPr>
                <w:ilvl w:val="0"/>
                <w:numId w:val="120"/>
              </w:numPr>
              <w:spacing w:after="80"/>
              <w:ind w:left="216" w:hanging="216"/>
              <w:rPr>
                <w:b/>
                <w:lang w:eastAsia="zh-CN"/>
              </w:rPr>
            </w:pPr>
            <w:r w:rsidRPr="005D4222">
              <w:rPr>
                <w:i/>
                <w:iCs/>
                <w:lang w:eastAsia="zh-CN"/>
              </w:rPr>
              <w:t>Ages</w:t>
            </w:r>
            <w:r w:rsidRPr="005D4222">
              <w:rPr>
                <w:lang w:eastAsia="zh-CN"/>
              </w:rPr>
              <w:t xml:space="preserve">. The age determination dates may not be changed. </w:t>
            </w:r>
          </w:p>
          <w:p w14:paraId="32391B68" w14:textId="77777777" w:rsidR="00F25792" w:rsidRPr="005D4222" w:rsidRDefault="00F25792" w:rsidP="005D6173">
            <w:pPr>
              <w:pStyle w:val="ProcessBullet"/>
              <w:numPr>
                <w:ilvl w:val="0"/>
                <w:numId w:val="120"/>
              </w:numPr>
              <w:ind w:left="216" w:hanging="216"/>
              <w:rPr>
                <w:lang w:eastAsia="zh-CN"/>
              </w:rPr>
            </w:pPr>
            <w:r w:rsidRPr="005D4222">
              <w:rPr>
                <w:i/>
                <w:iCs/>
                <w:lang w:eastAsia="zh-CN"/>
              </w:rPr>
              <w:t>Supplemental data.</w:t>
            </w:r>
            <w:r w:rsidRPr="005D4222">
              <w:rPr>
                <w:lang w:eastAsia="zh-CN"/>
              </w:rPr>
              <w:t xml:space="preserve"> Supplemental data may not be used to identify initial population </w:t>
            </w:r>
            <w:r w:rsidRPr="005D4222">
              <w:t>(with the exception of the hospice exclusion)</w:t>
            </w:r>
            <w:r w:rsidRPr="005D4222">
              <w:rPr>
                <w:lang w:eastAsia="zh-CN"/>
              </w:rPr>
              <w:t xml:space="preserve">, denominator and numerator events. </w:t>
            </w:r>
          </w:p>
          <w:p w14:paraId="53DD242C" w14:textId="77777777" w:rsidR="00F25792" w:rsidRPr="005D4222" w:rsidRDefault="00F25792" w:rsidP="005D6173">
            <w:pPr>
              <w:pStyle w:val="ProcessBullet"/>
              <w:numPr>
                <w:ilvl w:val="0"/>
                <w:numId w:val="120"/>
              </w:numPr>
              <w:spacing w:after="80"/>
              <w:ind w:left="216" w:hanging="216"/>
              <w:rPr>
                <w:b/>
                <w:lang w:eastAsia="zh-CN"/>
              </w:rPr>
            </w:pPr>
            <w:r w:rsidRPr="005D4222">
              <w:rPr>
                <w:i/>
                <w:iCs/>
                <w:lang w:eastAsia="zh-CN"/>
              </w:rPr>
              <w:t>Exclusions.</w:t>
            </w:r>
            <w:r w:rsidRPr="005D4222">
              <w:rPr>
                <w:lang w:eastAsia="zh-CN"/>
              </w:rPr>
              <w:t xml:space="preserve"> The hospice exclusion must be applied. Logic may not be changed.</w:t>
            </w:r>
          </w:p>
          <w:p w14:paraId="65C18496" w14:textId="55C08D08" w:rsidR="00F25792" w:rsidRPr="005D4222" w:rsidRDefault="00F25792" w:rsidP="00A53E8C">
            <w:pPr>
              <w:pStyle w:val="E-Body"/>
              <w:rPr>
                <w:b/>
                <w:lang w:eastAsia="zh-CN"/>
              </w:rPr>
            </w:pPr>
            <w:r w:rsidRPr="005D4222">
              <w:rPr>
                <w:b/>
                <w:lang w:eastAsia="zh-CN"/>
              </w:rPr>
              <w:t xml:space="preserve">The following </w:t>
            </w:r>
            <w:r w:rsidR="00FE60F9" w:rsidRPr="005D4222">
              <w:rPr>
                <w:b/>
                <w:lang w:eastAsia="zh-CN"/>
              </w:rPr>
              <w:t>are</w:t>
            </w:r>
            <w:r w:rsidRPr="005D4222">
              <w:rPr>
                <w:b/>
                <w:lang w:eastAsia="zh-CN"/>
              </w:rPr>
              <w:t xml:space="preserve"> the Rules for Allowable Adjustments for </w:t>
            </w:r>
            <w:r w:rsidRPr="005D4222">
              <w:rPr>
                <w:b/>
                <w:u w:val="single"/>
                <w:lang w:eastAsia="zh-CN"/>
              </w:rPr>
              <w:t>Observed Measurement</w:t>
            </w:r>
            <w:r w:rsidRPr="005D4222">
              <w:rPr>
                <w:b/>
                <w:lang w:eastAsia="zh-CN"/>
              </w:rPr>
              <w:t xml:space="preserve"> of the </w:t>
            </w:r>
            <w:r w:rsidR="00114134" w:rsidRPr="005D4222">
              <w:rPr>
                <w:b/>
                <w:lang w:eastAsia="zh-CN"/>
              </w:rPr>
              <w:t xml:space="preserve">Acute Hospitalizations </w:t>
            </w:r>
            <w:r w:rsidRPr="005D4222">
              <w:rPr>
                <w:b/>
                <w:lang w:eastAsia="zh-CN"/>
              </w:rPr>
              <w:t>Following Outpatient Colonoscopy measure observed events (denominator, numerator, observed hospitalization rate).</w:t>
            </w:r>
          </w:p>
          <w:p w14:paraId="4C08537F" w14:textId="77777777" w:rsidR="00F25792" w:rsidRPr="005D4222" w:rsidRDefault="00F25792" w:rsidP="00A53E8C">
            <w:pPr>
              <w:pStyle w:val="Adjustments"/>
              <w:rPr>
                <w:lang w:eastAsia="zh-CN"/>
              </w:rPr>
            </w:pPr>
            <w:r w:rsidRPr="005D4222">
              <w:rPr>
                <w:lang w:eastAsia="zh-CN"/>
              </w:rPr>
              <w:t xml:space="preserve">Adjustments allowed </w:t>
            </w:r>
          </w:p>
          <w:p w14:paraId="76780347" w14:textId="4EE07BE3" w:rsidR="00F25792" w:rsidRPr="005D4222" w:rsidRDefault="00F25792" w:rsidP="005D6173">
            <w:pPr>
              <w:pStyle w:val="ProcessBullet"/>
              <w:numPr>
                <w:ilvl w:val="0"/>
                <w:numId w:val="121"/>
              </w:numPr>
              <w:ind w:left="216" w:hanging="216"/>
              <w:rPr>
                <w:lang w:eastAsia="zh-CN"/>
              </w:rPr>
            </w:pPr>
            <w:r w:rsidRPr="005D4222">
              <w:rPr>
                <w:i/>
                <w:iCs/>
                <w:lang w:eastAsia="zh-CN"/>
              </w:rPr>
              <w:t xml:space="preserve">Product lines. </w:t>
            </w:r>
            <w:r w:rsidRPr="005D4222">
              <w:rPr>
                <w:lang w:eastAsia="zh-CN"/>
              </w:rPr>
              <w:t>When adjusting this measure to assess for observed events only, organizations are not required to use product line criteria; product lines may be combined</w:t>
            </w:r>
            <w:r w:rsidR="00E8671F" w:rsidRPr="005D4222">
              <w:rPr>
                <w:lang w:eastAsia="zh-CN"/>
              </w:rPr>
              <w:t>,</w:t>
            </w:r>
            <w:r w:rsidRPr="005D4222">
              <w:rPr>
                <w:lang w:eastAsia="zh-CN"/>
              </w:rPr>
              <w:t xml:space="preserve"> and all (or no) product line criteria may be used. </w:t>
            </w:r>
          </w:p>
          <w:p w14:paraId="7522BA51" w14:textId="77777777" w:rsidR="00F25792" w:rsidRPr="005D4222" w:rsidRDefault="00F25792" w:rsidP="005D6173">
            <w:pPr>
              <w:pStyle w:val="ProcessBullet"/>
              <w:numPr>
                <w:ilvl w:val="0"/>
                <w:numId w:val="121"/>
              </w:numPr>
              <w:ind w:left="216" w:hanging="216"/>
              <w:rPr>
                <w:lang w:eastAsia="zh-CN"/>
              </w:rPr>
            </w:pPr>
            <w:r w:rsidRPr="005D4222">
              <w:rPr>
                <w:i/>
                <w:iCs/>
                <w:lang w:eastAsia="zh-CN"/>
              </w:rPr>
              <w:t>Ages.</w:t>
            </w:r>
            <w:r w:rsidRPr="005D4222">
              <w:rPr>
                <w:lang w:eastAsia="zh-CN"/>
              </w:rPr>
              <w:t xml:space="preserve"> The observed event age range may be expanded. Age determination dates may be changed (e.g., select, “age as of June 30”).  </w:t>
            </w:r>
          </w:p>
          <w:p w14:paraId="5052BB9F" w14:textId="77777777" w:rsidR="00F25792" w:rsidRPr="005D4222" w:rsidRDefault="00F25792" w:rsidP="005D6173">
            <w:pPr>
              <w:pStyle w:val="ProcessBullet"/>
              <w:numPr>
                <w:ilvl w:val="0"/>
                <w:numId w:val="121"/>
              </w:numPr>
              <w:ind w:left="216" w:hanging="216"/>
              <w:rPr>
                <w:lang w:eastAsia="zh-CN"/>
              </w:rPr>
            </w:pPr>
            <w:r w:rsidRPr="005D4222">
              <w:rPr>
                <w:i/>
                <w:iCs/>
                <w:lang w:eastAsia="zh-CN"/>
              </w:rPr>
              <w:t>Attribution.</w:t>
            </w:r>
            <w:r w:rsidRPr="005D4222">
              <w:rPr>
                <w:lang w:eastAsia="zh-CN"/>
              </w:rPr>
              <w:t xml:space="preserve"> Organizations are not required to use enrollment criteria.  </w:t>
            </w:r>
          </w:p>
          <w:p w14:paraId="10F4A8E4" w14:textId="771FE679" w:rsidR="00F25792" w:rsidRPr="005D4222" w:rsidRDefault="00362E76" w:rsidP="005D6173">
            <w:pPr>
              <w:pStyle w:val="ProcessBullet"/>
              <w:numPr>
                <w:ilvl w:val="0"/>
                <w:numId w:val="121"/>
              </w:numPr>
              <w:ind w:left="216" w:hanging="216"/>
              <w:rPr>
                <w:lang w:eastAsia="zh-CN"/>
              </w:rPr>
            </w:pPr>
            <w:r w:rsidRPr="005D4222">
              <w:rPr>
                <w:i/>
                <w:iCs/>
                <w:lang w:eastAsia="zh-CN"/>
              </w:rPr>
              <w:t>Benefits.</w:t>
            </w:r>
            <w:r w:rsidR="00F25792" w:rsidRPr="005D4222">
              <w:rPr>
                <w:lang w:eastAsia="zh-CN"/>
              </w:rPr>
              <w:t xml:space="preserve"> Organizations are not required to use a benefit. </w:t>
            </w:r>
          </w:p>
          <w:p w14:paraId="1F00E43C" w14:textId="5EEA8429" w:rsidR="00310BF3" w:rsidRPr="005D4222" w:rsidRDefault="00F25792" w:rsidP="005D6173">
            <w:pPr>
              <w:pStyle w:val="ProcessBullet"/>
              <w:numPr>
                <w:ilvl w:val="0"/>
                <w:numId w:val="121"/>
              </w:numPr>
              <w:spacing w:after="80"/>
              <w:ind w:left="216" w:hanging="216"/>
              <w:rPr>
                <w:b/>
                <w:lang w:eastAsia="zh-CN"/>
              </w:rPr>
            </w:pPr>
            <w:r w:rsidRPr="005D4222">
              <w:rPr>
                <w:i/>
                <w:iCs/>
                <w:lang w:eastAsia="zh-CN"/>
              </w:rPr>
              <w:t>Other.</w:t>
            </w:r>
            <w:r w:rsidRPr="005D4222">
              <w:rPr>
                <w:lang w:eastAsia="zh-CN"/>
              </w:rPr>
              <w:t xml:space="preserve"> Organizations may adjust the </w:t>
            </w:r>
            <w:r w:rsidR="00524BFF" w:rsidRPr="005D4222">
              <w:t>initial</w:t>
            </w:r>
            <w:r w:rsidRPr="005D4222">
              <w:t xml:space="preserve"> </w:t>
            </w:r>
            <w:r w:rsidRPr="005D4222">
              <w:rPr>
                <w:lang w:eastAsia="zh-CN"/>
              </w:rPr>
              <w:t xml:space="preserve">population criteria to focus on an area of interest defined by gender, race, ethnicity, socioeconomic or sociodemographic characteristics, geographic region or another characteristic. </w:t>
            </w:r>
          </w:p>
        </w:tc>
      </w:tr>
      <w:tr w:rsidR="00F25792" w:rsidRPr="005D4222" w14:paraId="534C4C76" w14:textId="77777777" w:rsidTr="00A53E8C">
        <w:tc>
          <w:tcPr>
            <w:tcW w:w="2157" w:type="dxa"/>
            <w:tcBorders>
              <w:top w:val="single" w:sz="4" w:space="0" w:color="auto"/>
              <w:left w:val="single" w:sz="2" w:space="0" w:color="auto"/>
              <w:right w:val="single" w:sz="2" w:space="0" w:color="auto"/>
            </w:tcBorders>
            <w:shd w:val="clear" w:color="auto" w:fill="BFBFBF" w:themeFill="background1" w:themeFillShade="BF"/>
            <w:tcMar>
              <w:top w:w="0" w:type="dxa"/>
            </w:tcMar>
          </w:tcPr>
          <w:p w14:paraId="4765132B" w14:textId="77777777" w:rsidR="00F25792" w:rsidRPr="005D4222" w:rsidRDefault="00F25792" w:rsidP="00A53E8C">
            <w:pPr>
              <w:pStyle w:val="MarginHead"/>
              <w:spacing w:line="256" w:lineRule="auto"/>
              <w:rPr>
                <w:rFonts w:cs="Arial"/>
                <w:color w:val="000000" w:themeColor="text1"/>
                <w:szCs w:val="22"/>
                <w:lang w:eastAsia="zh-CN"/>
              </w:rPr>
            </w:pPr>
          </w:p>
        </w:tc>
        <w:tc>
          <w:tcPr>
            <w:tcW w:w="7557" w:type="dxa"/>
            <w:tcBorders>
              <w:top w:val="single" w:sz="4" w:space="0" w:color="auto"/>
              <w:left w:val="single" w:sz="4" w:space="0" w:color="auto"/>
              <w:right w:val="single" w:sz="4" w:space="0" w:color="auto"/>
            </w:tcBorders>
            <w:tcMar>
              <w:top w:w="0" w:type="dxa"/>
            </w:tcMar>
          </w:tcPr>
          <w:p w14:paraId="58FF7DBB" w14:textId="77777777" w:rsidR="00310BF3" w:rsidRPr="005D4222" w:rsidRDefault="00310BF3" w:rsidP="005D6173">
            <w:pPr>
              <w:pStyle w:val="ProcessBullet"/>
              <w:numPr>
                <w:ilvl w:val="0"/>
                <w:numId w:val="121"/>
              </w:numPr>
              <w:ind w:left="216" w:hanging="216"/>
              <w:rPr>
                <w:lang w:eastAsia="zh-CN"/>
              </w:rPr>
            </w:pPr>
            <w:r w:rsidRPr="005D4222">
              <w:rPr>
                <w:i/>
                <w:iCs/>
                <w:lang w:eastAsia="zh-CN"/>
              </w:rPr>
              <w:t>Measurement period adjustments.</w:t>
            </w:r>
            <w:r w:rsidRPr="005D4222">
              <w:rPr>
                <w:lang w:eastAsia="zh-CN"/>
              </w:rPr>
              <w:t xml:space="preserve"> Organizations may adjust the measurement period.  </w:t>
            </w:r>
          </w:p>
          <w:p w14:paraId="5C876492" w14:textId="77777777" w:rsidR="00310BF3" w:rsidRPr="005D4222" w:rsidRDefault="00310BF3" w:rsidP="005D6173">
            <w:pPr>
              <w:pStyle w:val="ProcessBullet"/>
              <w:numPr>
                <w:ilvl w:val="0"/>
                <w:numId w:val="121"/>
              </w:numPr>
              <w:ind w:left="216" w:hanging="216"/>
              <w:rPr>
                <w:lang w:eastAsia="zh-CN"/>
              </w:rPr>
            </w:pPr>
            <w:r w:rsidRPr="005D4222">
              <w:rPr>
                <w:i/>
                <w:iCs/>
                <w:lang w:eastAsia="zh-CN"/>
              </w:rPr>
              <w:t>Exclusions.</w:t>
            </w:r>
            <w:r w:rsidRPr="005D4222">
              <w:rPr>
                <w:lang w:eastAsia="zh-CN"/>
              </w:rPr>
              <w:t xml:space="preserve"> Hospice exclusion is not required.  </w:t>
            </w:r>
          </w:p>
          <w:p w14:paraId="512A159F" w14:textId="0F7505A0" w:rsidR="00310BF3" w:rsidRPr="005D4222" w:rsidRDefault="00310BF3" w:rsidP="005D6173">
            <w:pPr>
              <w:pStyle w:val="ProcessBullet"/>
              <w:numPr>
                <w:ilvl w:val="0"/>
                <w:numId w:val="121"/>
              </w:numPr>
              <w:ind w:left="216" w:hanging="216"/>
              <w:rPr>
                <w:lang w:eastAsia="zh-CN"/>
              </w:rPr>
            </w:pPr>
            <w:r w:rsidRPr="005D4222">
              <w:rPr>
                <w:i/>
                <w:iCs/>
                <w:lang w:eastAsia="zh-CN"/>
              </w:rPr>
              <w:t>Telehealth.</w:t>
            </w:r>
            <w:r w:rsidRPr="005D4222">
              <w:rPr>
                <w:lang w:eastAsia="zh-CN"/>
              </w:rPr>
              <w:t xml:space="preserve"> Services/events that allow the use of synchronous telehealth visits, telephone visits and asynchronous telehealth (e-visits, virtual check-ins) may be stratified to identify services performed via telehealth. This adjustment is not allowed for </w:t>
            </w:r>
            <w:r w:rsidR="00F45777" w:rsidRPr="005D4222">
              <w:rPr>
                <w:lang w:eastAsia="zh-CN"/>
              </w:rPr>
              <w:t>events</w:t>
            </w:r>
            <w:r w:rsidRPr="005D4222">
              <w:rPr>
                <w:lang w:eastAsia="zh-CN"/>
              </w:rPr>
              <w:t xml:space="preserve">, numerators and exclusions that do not allow the use of telehealth. </w:t>
            </w:r>
          </w:p>
          <w:p w14:paraId="568C53C5" w14:textId="77777777" w:rsidR="00310BF3" w:rsidRPr="005D4222" w:rsidRDefault="00310BF3" w:rsidP="005D6173">
            <w:pPr>
              <w:pStyle w:val="ProcessBullet"/>
              <w:numPr>
                <w:ilvl w:val="0"/>
                <w:numId w:val="121"/>
              </w:numPr>
              <w:spacing w:after="80"/>
              <w:ind w:left="216" w:hanging="216"/>
              <w:rPr>
                <w:b/>
                <w:lang w:eastAsia="zh-CN"/>
              </w:rPr>
            </w:pPr>
            <w:r w:rsidRPr="005D4222">
              <w:rPr>
                <w:i/>
                <w:iCs/>
                <w:lang w:eastAsia="zh-CN"/>
              </w:rPr>
              <w:t>Supplemental data.</w:t>
            </w:r>
            <w:r w:rsidRPr="005D4222">
              <w:rPr>
                <w:lang w:eastAsia="zh-CN"/>
              </w:rPr>
              <w:t xml:space="preserve"> Supplemental data may be used to identify initial population, denominator, exclusion and numerator events. </w:t>
            </w:r>
          </w:p>
          <w:p w14:paraId="0B9D3BE8" w14:textId="77777777" w:rsidR="00F25792" w:rsidRPr="005D4222" w:rsidRDefault="00F25792" w:rsidP="00A53E8C">
            <w:pPr>
              <w:pStyle w:val="Adjustments"/>
              <w:rPr>
                <w:lang w:eastAsia="zh-CN"/>
              </w:rPr>
            </w:pPr>
            <w:r w:rsidRPr="005D4222">
              <w:rPr>
                <w:lang w:eastAsia="zh-CN"/>
              </w:rPr>
              <w:t xml:space="preserve">Adjustments allowed with limits </w:t>
            </w:r>
          </w:p>
          <w:p w14:paraId="2A0FE8A2" w14:textId="77777777" w:rsidR="00F25792" w:rsidRPr="005D4222" w:rsidRDefault="00F25792" w:rsidP="005D6173">
            <w:pPr>
              <w:pStyle w:val="ProcessBullet"/>
              <w:numPr>
                <w:ilvl w:val="0"/>
                <w:numId w:val="98"/>
              </w:numPr>
              <w:tabs>
                <w:tab w:val="num" w:pos="459"/>
              </w:tabs>
              <w:spacing w:after="80"/>
              <w:ind w:left="216" w:hanging="216"/>
              <w:rPr>
                <w:b/>
                <w:lang w:eastAsia="zh-CN"/>
              </w:rPr>
            </w:pPr>
            <w:r w:rsidRPr="005D4222">
              <w:rPr>
                <w:i/>
                <w:iCs/>
                <w:lang w:eastAsia="zh-CN"/>
              </w:rPr>
              <w:t>Denominator.</w:t>
            </w:r>
            <w:r w:rsidRPr="005D4222">
              <w:rPr>
                <w:lang w:eastAsia="zh-CN"/>
              </w:rPr>
              <w:t xml:space="preserve"> Organizations may include denied claims to calculate denominator events.</w:t>
            </w:r>
            <w:r w:rsidRPr="005D4222">
              <w:rPr>
                <w:i/>
                <w:iCs/>
                <w:lang w:eastAsia="zh-CN"/>
              </w:rPr>
              <w:t xml:space="preserve"> </w:t>
            </w:r>
            <w:r w:rsidRPr="005D4222">
              <w:rPr>
                <w:lang w:eastAsia="zh-CN"/>
              </w:rPr>
              <w:t xml:space="preserve">Value sets and logic may not be changed. </w:t>
            </w:r>
          </w:p>
          <w:p w14:paraId="3F5C4EEA" w14:textId="77777777" w:rsidR="00F25792" w:rsidRPr="005D4222" w:rsidRDefault="00F25792" w:rsidP="005D6173">
            <w:pPr>
              <w:pStyle w:val="ProcessBullet"/>
              <w:numPr>
                <w:ilvl w:val="0"/>
                <w:numId w:val="98"/>
              </w:numPr>
              <w:tabs>
                <w:tab w:val="num" w:pos="459"/>
              </w:tabs>
              <w:spacing w:after="80"/>
              <w:ind w:left="216" w:hanging="216"/>
              <w:rPr>
                <w:i/>
                <w:iCs/>
                <w:lang w:eastAsia="zh-CN"/>
              </w:rPr>
            </w:pPr>
            <w:r w:rsidRPr="005D4222">
              <w:rPr>
                <w:i/>
                <w:iCs/>
                <w:lang w:eastAsia="zh-CN"/>
              </w:rPr>
              <w:t xml:space="preserve">Numerator. </w:t>
            </w:r>
            <w:r w:rsidRPr="005D4222">
              <w:rPr>
                <w:lang w:eastAsia="zh-CN"/>
              </w:rPr>
              <w:t>Organizations may include denied claims to calculate the numerator.</w:t>
            </w:r>
            <w:r w:rsidRPr="005D4222">
              <w:rPr>
                <w:i/>
                <w:iCs/>
                <w:lang w:eastAsia="zh-CN"/>
              </w:rPr>
              <w:t xml:space="preserve"> </w:t>
            </w:r>
            <w:r w:rsidRPr="005D4222">
              <w:rPr>
                <w:lang w:eastAsia="zh-CN"/>
              </w:rPr>
              <w:t>Value sets and logic may not be changed.</w:t>
            </w:r>
          </w:p>
        </w:tc>
      </w:tr>
    </w:tbl>
    <w:p w14:paraId="674CC889" w14:textId="77777777" w:rsidR="002F71CE" w:rsidRPr="005D4222" w:rsidRDefault="002F71CE" w:rsidP="00E0624C">
      <w:pPr>
        <w:pStyle w:val="ECDSBody"/>
        <w:sectPr w:rsidR="002F71CE" w:rsidRPr="005D4222" w:rsidSect="0074514A">
          <w:headerReference w:type="default" r:id="rId202"/>
          <w:type w:val="nextColumn"/>
          <w:pgSz w:w="12240" w:h="15840" w:code="1"/>
          <w:pgMar w:top="1080" w:right="1080" w:bottom="1080" w:left="1440" w:header="720" w:footer="720" w:gutter="0"/>
          <w:cols w:space="720"/>
          <w:docGrid w:linePitch="360"/>
        </w:sectPr>
      </w:pPr>
    </w:p>
    <w:p w14:paraId="5629E276" w14:textId="0DEBEA4A" w:rsidR="00E0624C" w:rsidRPr="005D4222" w:rsidRDefault="00114134" w:rsidP="002C0999">
      <w:pPr>
        <w:pStyle w:val="MeasureTitle"/>
      </w:pPr>
      <w:bookmarkStart w:id="399" w:name="_Toc201813456"/>
      <w:r w:rsidRPr="005D4222">
        <w:lastRenderedPageBreak/>
        <w:t xml:space="preserve">Acute Hospitalizations </w:t>
      </w:r>
      <w:r w:rsidR="002C0999" w:rsidRPr="005D4222">
        <w:t>Following Outpatient General Surgery</w:t>
      </w:r>
      <w:r w:rsidR="0096709F" w:rsidRPr="005D4222">
        <w:t xml:space="preserve"> (</w:t>
      </w:r>
      <w:r w:rsidR="006B0FDD" w:rsidRPr="005D4222">
        <w:t>HFG)</w:t>
      </w:r>
      <w:bookmarkEnd w:id="399"/>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5151"/>
        <w:gridCol w:w="1509"/>
        <w:gridCol w:w="897"/>
      </w:tblGrid>
      <w:tr w:rsidR="0084708C" w:rsidRPr="005D4222" w14:paraId="6588BD08" w14:textId="77777777" w:rsidTr="006663E6">
        <w:tc>
          <w:tcPr>
            <w:tcW w:w="2157" w:type="dxa"/>
            <w:shd w:val="clear" w:color="auto" w:fill="BFBFBF" w:themeFill="background1" w:themeFillShade="BF"/>
            <w:tcMar>
              <w:top w:w="0" w:type="dxa"/>
              <w:left w:w="86" w:type="dxa"/>
              <w:bottom w:w="43" w:type="dxa"/>
              <w:right w:w="86" w:type="dxa"/>
            </w:tcMar>
            <w:hideMark/>
          </w:tcPr>
          <w:p w14:paraId="5B2BE748" w14:textId="77777777" w:rsidR="0084708C" w:rsidRPr="005D4222" w:rsidRDefault="0084708C" w:rsidP="00A53E8C">
            <w:pPr>
              <w:pStyle w:val="ECDSMarginHead"/>
            </w:pPr>
            <w:r w:rsidRPr="005D4222">
              <w:t>Measure title</w:t>
            </w:r>
          </w:p>
        </w:tc>
        <w:tc>
          <w:tcPr>
            <w:tcW w:w="5151" w:type="dxa"/>
            <w:tcMar>
              <w:top w:w="0" w:type="dxa"/>
              <w:left w:w="86" w:type="dxa"/>
              <w:bottom w:w="43" w:type="dxa"/>
              <w:right w:w="86" w:type="dxa"/>
            </w:tcMar>
          </w:tcPr>
          <w:p w14:paraId="3E54A613" w14:textId="6577CDA4" w:rsidR="0084708C" w:rsidRPr="005D4222" w:rsidRDefault="00114134" w:rsidP="00A53E8C">
            <w:pPr>
              <w:pStyle w:val="ECDSBody"/>
            </w:pPr>
            <w:r w:rsidRPr="005D4222">
              <w:t xml:space="preserve">Acute Hospitalizations </w:t>
            </w:r>
            <w:r w:rsidR="0084708C" w:rsidRPr="005D4222">
              <w:t>Following Outpatient General Surgery</w:t>
            </w:r>
          </w:p>
        </w:tc>
        <w:tc>
          <w:tcPr>
            <w:tcW w:w="1509" w:type="dxa"/>
            <w:shd w:val="clear" w:color="auto" w:fill="BFBFBF" w:themeFill="background1" w:themeFillShade="BF"/>
            <w:tcMar>
              <w:top w:w="0" w:type="dxa"/>
              <w:left w:w="86" w:type="dxa"/>
              <w:bottom w:w="43" w:type="dxa"/>
              <w:right w:w="86" w:type="dxa"/>
            </w:tcMar>
          </w:tcPr>
          <w:p w14:paraId="5073F67A" w14:textId="77777777" w:rsidR="0084708C" w:rsidRPr="005D4222" w:rsidRDefault="0084708C" w:rsidP="00A53E8C">
            <w:pPr>
              <w:pStyle w:val="ECDSMarginHead"/>
            </w:pPr>
            <w:r w:rsidRPr="005D4222">
              <w:t>Measure ID</w:t>
            </w:r>
          </w:p>
        </w:tc>
        <w:tc>
          <w:tcPr>
            <w:tcW w:w="897" w:type="dxa"/>
            <w:tcMar>
              <w:top w:w="0" w:type="dxa"/>
              <w:left w:w="86" w:type="dxa"/>
              <w:bottom w:w="43" w:type="dxa"/>
              <w:right w:w="86" w:type="dxa"/>
            </w:tcMar>
          </w:tcPr>
          <w:p w14:paraId="0BC37C6B" w14:textId="77777777" w:rsidR="0084708C" w:rsidRPr="005D4222" w:rsidRDefault="0084708C" w:rsidP="006B0FDD">
            <w:pPr>
              <w:pStyle w:val="ECDSBody"/>
            </w:pPr>
            <w:r w:rsidRPr="005D4222">
              <w:t xml:space="preserve">HFG  </w:t>
            </w:r>
          </w:p>
        </w:tc>
      </w:tr>
      <w:tr w:rsidR="0084708C" w:rsidRPr="005D4222" w14:paraId="09B65EB9" w14:textId="77777777" w:rsidTr="006663E6">
        <w:tc>
          <w:tcPr>
            <w:tcW w:w="2157" w:type="dxa"/>
            <w:shd w:val="clear" w:color="auto" w:fill="BFBFBF" w:themeFill="background1" w:themeFillShade="BF"/>
            <w:tcMar>
              <w:top w:w="0" w:type="dxa"/>
              <w:left w:w="86" w:type="dxa"/>
              <w:bottom w:w="43" w:type="dxa"/>
              <w:right w:w="86" w:type="dxa"/>
            </w:tcMar>
            <w:hideMark/>
          </w:tcPr>
          <w:p w14:paraId="49C8C388" w14:textId="77777777" w:rsidR="0084708C" w:rsidRPr="005D4222" w:rsidRDefault="0084708C" w:rsidP="00A53E8C">
            <w:pPr>
              <w:pStyle w:val="ECDSMarginHead"/>
            </w:pPr>
            <w:r w:rsidRPr="005D4222">
              <w:t>Description</w:t>
            </w:r>
          </w:p>
        </w:tc>
        <w:tc>
          <w:tcPr>
            <w:tcW w:w="7557" w:type="dxa"/>
            <w:gridSpan w:val="3"/>
            <w:tcMar>
              <w:top w:w="0" w:type="dxa"/>
              <w:left w:w="86" w:type="dxa"/>
              <w:bottom w:w="43" w:type="dxa"/>
              <w:right w:w="86" w:type="dxa"/>
            </w:tcMar>
          </w:tcPr>
          <w:p w14:paraId="36021A43" w14:textId="77777777" w:rsidR="0084708C" w:rsidRPr="005D4222" w:rsidRDefault="0084708C" w:rsidP="00A53E8C">
            <w:pPr>
              <w:pStyle w:val="ECDSBody"/>
            </w:pPr>
            <w:r w:rsidRPr="005D4222">
              <w:t xml:space="preserve">For persons 65 years of age and older, the risk-adjusted ratio of observed-to-expected unplanned acute hospitalizations (inpatient and observation stays) for any diagnosis that occurred within 15 days following select outpatient general surgeries. </w:t>
            </w:r>
          </w:p>
        </w:tc>
      </w:tr>
      <w:tr w:rsidR="0084708C" w:rsidRPr="005D4222" w14:paraId="21F6919E" w14:textId="77777777" w:rsidTr="006663E6">
        <w:tc>
          <w:tcPr>
            <w:tcW w:w="2157" w:type="dxa"/>
            <w:shd w:val="clear" w:color="auto" w:fill="BFBFBF" w:themeFill="background1" w:themeFillShade="BF"/>
            <w:tcMar>
              <w:top w:w="0" w:type="dxa"/>
              <w:left w:w="86" w:type="dxa"/>
              <w:bottom w:w="43" w:type="dxa"/>
              <w:right w:w="86" w:type="dxa"/>
            </w:tcMar>
          </w:tcPr>
          <w:p w14:paraId="345CA5A4" w14:textId="77777777" w:rsidR="0084708C" w:rsidRPr="005D4222" w:rsidRDefault="0084708C" w:rsidP="00A53E8C">
            <w:pPr>
              <w:pStyle w:val="ECDSMarginHead"/>
            </w:pPr>
            <w:r w:rsidRPr="005D4222">
              <w:t>Measurement period</w:t>
            </w:r>
          </w:p>
        </w:tc>
        <w:tc>
          <w:tcPr>
            <w:tcW w:w="7557" w:type="dxa"/>
            <w:gridSpan w:val="3"/>
            <w:tcMar>
              <w:top w:w="0" w:type="dxa"/>
              <w:left w:w="86" w:type="dxa"/>
              <w:bottom w:w="43" w:type="dxa"/>
              <w:right w:w="86" w:type="dxa"/>
            </w:tcMar>
          </w:tcPr>
          <w:p w14:paraId="614B5486" w14:textId="77777777" w:rsidR="0084708C" w:rsidRPr="005D4222" w:rsidRDefault="0084708C" w:rsidP="00A53E8C">
            <w:pPr>
              <w:pStyle w:val="ECDSBody"/>
            </w:pPr>
            <w:r w:rsidRPr="005D4222">
              <w:t>January 1–December 31.</w:t>
            </w:r>
          </w:p>
        </w:tc>
      </w:tr>
      <w:tr w:rsidR="0084708C" w:rsidRPr="005D4222" w14:paraId="43CA1C4F" w14:textId="77777777" w:rsidTr="006663E6">
        <w:tc>
          <w:tcPr>
            <w:tcW w:w="2157" w:type="dxa"/>
            <w:tcBorders>
              <w:bottom w:val="single" w:sz="2" w:space="0" w:color="auto"/>
            </w:tcBorders>
            <w:shd w:val="clear" w:color="auto" w:fill="BFBFBF" w:themeFill="background1" w:themeFillShade="BF"/>
            <w:tcMar>
              <w:top w:w="0" w:type="dxa"/>
              <w:left w:w="86" w:type="dxa"/>
              <w:bottom w:w="43" w:type="dxa"/>
              <w:right w:w="86" w:type="dxa"/>
            </w:tcMar>
            <w:hideMark/>
          </w:tcPr>
          <w:p w14:paraId="0B3D1452" w14:textId="77777777" w:rsidR="0084708C" w:rsidRPr="005D4222" w:rsidRDefault="0084708C" w:rsidP="00A53E8C">
            <w:pPr>
              <w:pStyle w:val="ECDSMarginHead"/>
              <w:rPr>
                <w:rFonts w:eastAsia="Arial"/>
              </w:rPr>
            </w:pPr>
            <w:r w:rsidRPr="005D4222">
              <w:rPr>
                <w:rFonts w:eastAsia="Arial"/>
              </w:rPr>
              <w:t>Copyright and disclaimer notice</w:t>
            </w:r>
          </w:p>
        </w:tc>
        <w:tc>
          <w:tcPr>
            <w:tcW w:w="7557" w:type="dxa"/>
            <w:gridSpan w:val="3"/>
            <w:tcBorders>
              <w:bottom w:val="single" w:sz="2" w:space="0" w:color="auto"/>
            </w:tcBorders>
            <w:tcMar>
              <w:top w:w="0" w:type="dxa"/>
              <w:left w:w="86" w:type="dxa"/>
              <w:bottom w:w="43" w:type="dxa"/>
              <w:right w:w="86" w:type="dxa"/>
            </w:tcMar>
          </w:tcPr>
          <w:p w14:paraId="414150ED" w14:textId="77777777" w:rsidR="0084708C" w:rsidRPr="005D4222" w:rsidRDefault="0084708C" w:rsidP="00A53E8C">
            <w:pPr>
              <w:pStyle w:val="ECDSBody"/>
            </w:pPr>
            <w:r w:rsidRPr="005D4222">
              <w:t xml:space="preserve">Refer to the complete copyright and disclaimer information at the front of this publication. </w:t>
            </w:r>
          </w:p>
          <w:p w14:paraId="01CA645A" w14:textId="77777777" w:rsidR="0084708C" w:rsidRPr="005D4222" w:rsidRDefault="0084708C" w:rsidP="00A53E8C">
            <w:pPr>
              <w:pStyle w:val="ECDSBody"/>
              <w:spacing w:before="80"/>
            </w:pPr>
            <w:r w:rsidRPr="005D4222">
              <w:t xml:space="preserve">NCQA website: </w:t>
            </w:r>
            <w:r w:rsidRPr="005D4222">
              <w:rPr>
                <w:u w:val="single"/>
              </w:rPr>
              <w:t>www.ncqa.org</w:t>
            </w:r>
            <w:r w:rsidRPr="005D4222">
              <w:t>.</w:t>
            </w:r>
          </w:p>
          <w:p w14:paraId="4C78726A" w14:textId="77777777" w:rsidR="0084708C" w:rsidRPr="005D4222" w:rsidRDefault="0084708C" w:rsidP="00A53E8C">
            <w:pPr>
              <w:pStyle w:val="ECDSBody"/>
              <w:spacing w:before="80"/>
            </w:pPr>
            <w:r w:rsidRPr="005D4222">
              <w:t>Submit policy clarification support questions via My NCQA (</w:t>
            </w:r>
            <w:r w:rsidRPr="005D4222">
              <w:rPr>
                <w:u w:val="single"/>
              </w:rPr>
              <w:t>https://my.ncqa.org</w:t>
            </w:r>
            <w:r w:rsidRPr="005D4222">
              <w:t>).</w:t>
            </w:r>
          </w:p>
        </w:tc>
      </w:tr>
      <w:tr w:rsidR="0084708C" w:rsidRPr="005D4222" w14:paraId="62EF8499" w14:textId="77777777" w:rsidTr="006663E6">
        <w:tc>
          <w:tcPr>
            <w:tcW w:w="2157" w:type="dxa"/>
            <w:tcBorders>
              <w:bottom w:val="single" w:sz="4" w:space="0" w:color="auto"/>
            </w:tcBorders>
            <w:shd w:val="clear" w:color="auto" w:fill="BFBFBF" w:themeFill="background1" w:themeFillShade="BF"/>
            <w:tcMar>
              <w:top w:w="0" w:type="dxa"/>
              <w:left w:w="86" w:type="dxa"/>
              <w:bottom w:w="43" w:type="dxa"/>
              <w:right w:w="86" w:type="dxa"/>
            </w:tcMar>
            <w:hideMark/>
          </w:tcPr>
          <w:p w14:paraId="3BACDE56" w14:textId="77777777" w:rsidR="0084708C" w:rsidRPr="005D4222" w:rsidRDefault="0084708C" w:rsidP="00A53E8C">
            <w:pPr>
              <w:pStyle w:val="ECDSMarginHead"/>
            </w:pPr>
            <w:r w:rsidRPr="005D4222">
              <w:t>Clinical recommendation statement/ rationale</w:t>
            </w:r>
          </w:p>
        </w:tc>
        <w:tc>
          <w:tcPr>
            <w:tcW w:w="7557" w:type="dxa"/>
            <w:gridSpan w:val="3"/>
            <w:tcBorders>
              <w:bottom w:val="single" w:sz="4" w:space="0" w:color="auto"/>
            </w:tcBorders>
            <w:tcMar>
              <w:top w:w="0" w:type="dxa"/>
              <w:left w:w="86" w:type="dxa"/>
              <w:bottom w:w="43" w:type="dxa"/>
              <w:right w:w="86" w:type="dxa"/>
            </w:tcMar>
          </w:tcPr>
          <w:p w14:paraId="71DA68B3" w14:textId="77777777" w:rsidR="0084708C" w:rsidRPr="005D4222" w:rsidRDefault="0084708C" w:rsidP="00A53E8C">
            <w:pPr>
              <w:pStyle w:val="ECDSBody"/>
            </w:pPr>
            <w:r w:rsidRPr="005D4222">
              <w:rPr>
                <w:color w:val="000000" w:themeColor="text1"/>
                <w:lang w:eastAsia="zh-CN"/>
              </w:rPr>
              <w:t xml:space="preserve">Advances in surgical technologies, perioperative care and payment structures have increased the number and variety of surgical procedures performed in outpatient settings. The most common reason for hospital visits following nonelective general surgery procedures is surgical site infections, which negatively impact patient outcomes and are associated with significant financial costs. Postoperative complications can be better identified and managed through a multidisciplinary approach to postoperative care coordination, technological advancements allowing for improved patient communication and adherence to evidence-based methods during preoperative risk assessments. </w:t>
            </w:r>
          </w:p>
        </w:tc>
      </w:tr>
      <w:tr w:rsidR="0084708C" w:rsidRPr="005D4222" w14:paraId="42EBB545" w14:textId="77777777" w:rsidTr="006663E6">
        <w:tc>
          <w:tcPr>
            <w:tcW w:w="2157" w:type="dxa"/>
            <w:tcBorders>
              <w:top w:val="single" w:sz="4" w:space="0" w:color="auto"/>
            </w:tcBorders>
            <w:shd w:val="clear" w:color="auto" w:fill="BFBFBF" w:themeFill="background1" w:themeFillShade="BF"/>
            <w:tcMar>
              <w:top w:w="0" w:type="dxa"/>
              <w:left w:w="86" w:type="dxa"/>
              <w:bottom w:w="43" w:type="dxa"/>
              <w:right w:w="86" w:type="dxa"/>
            </w:tcMar>
          </w:tcPr>
          <w:p w14:paraId="19BEDF3D" w14:textId="77777777" w:rsidR="0084708C" w:rsidRPr="005D4222" w:rsidRDefault="0084708C" w:rsidP="00A53E8C">
            <w:pPr>
              <w:pStyle w:val="ECDSMarginHead"/>
            </w:pPr>
            <w:r w:rsidRPr="005D4222">
              <w:t>Citations</w:t>
            </w:r>
          </w:p>
        </w:tc>
        <w:tc>
          <w:tcPr>
            <w:tcW w:w="7557" w:type="dxa"/>
            <w:gridSpan w:val="3"/>
            <w:tcBorders>
              <w:top w:val="single" w:sz="4" w:space="0" w:color="auto"/>
            </w:tcBorders>
            <w:tcMar>
              <w:top w:w="0" w:type="dxa"/>
              <w:left w:w="86" w:type="dxa"/>
              <w:bottom w:w="43" w:type="dxa"/>
              <w:right w:w="86" w:type="dxa"/>
            </w:tcMar>
          </w:tcPr>
          <w:p w14:paraId="4A86F217" w14:textId="77777777" w:rsidR="0084708C" w:rsidRPr="005D4222" w:rsidRDefault="0084708C" w:rsidP="00A53E8C">
            <w:pPr>
              <w:pStyle w:val="ECDSBody"/>
              <w:rPr>
                <w:color w:val="000000" w:themeColor="text1"/>
                <w:lang w:eastAsia="zh-CN"/>
              </w:rPr>
            </w:pPr>
            <w:r w:rsidRPr="005D4222">
              <w:rPr>
                <w:color w:val="000000" w:themeColor="text1"/>
                <w:lang w:eastAsia="zh-CN"/>
              </w:rPr>
              <w:t xml:space="preserve">Bongiovanni, T., C. Parzynski, I. Ranasinghe, M.A. Steinman, &amp; J.S. Ross. 2021. “Unplanned Hospital Visits After Ambulatory Surgical Care.” </w:t>
            </w:r>
            <w:r w:rsidRPr="005D4222">
              <w:rPr>
                <w:i/>
                <w:iCs/>
                <w:color w:val="000000" w:themeColor="text1"/>
                <w:lang w:eastAsia="zh-CN"/>
              </w:rPr>
              <w:t>PloS one</w:t>
            </w:r>
            <w:r w:rsidRPr="005D4222">
              <w:rPr>
                <w:color w:val="000000" w:themeColor="text1"/>
                <w:lang w:eastAsia="zh-CN"/>
              </w:rPr>
              <w:t xml:space="preserve"> 16(7), e0254039. https://doi.org/10.1371/journal.pone.0254039</w:t>
            </w:r>
          </w:p>
          <w:p w14:paraId="36022869" w14:textId="77777777" w:rsidR="0084708C" w:rsidRPr="005D4222" w:rsidRDefault="0084708C" w:rsidP="00A53E8C">
            <w:pPr>
              <w:pStyle w:val="ECDSBody"/>
              <w:rPr>
                <w:color w:val="000000" w:themeColor="text1"/>
                <w:lang w:eastAsia="zh-CN"/>
              </w:rPr>
            </w:pPr>
            <w:r w:rsidRPr="005D4222">
              <w:rPr>
                <w:color w:val="000000" w:themeColor="text1"/>
                <w:lang w:eastAsia="zh-CN"/>
              </w:rPr>
              <w:t xml:space="preserve">Cullen, K.A., M.J. Hall, A. Golosinskiy. 2009. </w:t>
            </w:r>
            <w:r w:rsidRPr="005D4222">
              <w:rPr>
                <w:i/>
                <w:iCs/>
                <w:color w:val="000000" w:themeColor="text1"/>
                <w:lang w:eastAsia="zh-CN"/>
              </w:rPr>
              <w:t>Ambulatory Surgery in the United States, 2006.</w:t>
            </w:r>
            <w:r w:rsidRPr="005D4222">
              <w:rPr>
                <w:color w:val="000000" w:themeColor="text1"/>
                <w:lang w:eastAsia="zh-CN"/>
              </w:rPr>
              <w:t xml:space="preserve"> National Health Statistics Reports; no 11. Revised. Hyattsville, MD: National Center for Health Statistics. </w:t>
            </w:r>
          </w:p>
          <w:p w14:paraId="0BD505A3" w14:textId="77777777" w:rsidR="0084708C" w:rsidRPr="005D4222" w:rsidRDefault="0084708C" w:rsidP="00A53E8C">
            <w:pPr>
              <w:pStyle w:val="ECDSBody"/>
              <w:rPr>
                <w:color w:val="000000" w:themeColor="text1"/>
                <w:lang w:eastAsia="zh-CN"/>
              </w:rPr>
            </w:pPr>
            <w:r w:rsidRPr="005D4222">
              <w:rPr>
                <w:color w:val="000000" w:themeColor="text1"/>
                <w:lang w:eastAsia="zh-CN"/>
              </w:rPr>
              <w:t xml:space="preserve">Javed, H., O.A. Olanrewaju, F. Ansah Owusu, A. Saleem, P. Pavani, H. Tariq,  B.S. Vasquez Ortiz, R. Ram, &amp; G. Varrassi. 2023. “Challenges and Solutions in Postoperative Complications: A Narrative Review in General Surgery.” </w:t>
            </w:r>
            <w:r w:rsidRPr="005D4222">
              <w:rPr>
                <w:i/>
                <w:iCs/>
                <w:color w:val="000000" w:themeColor="text1"/>
                <w:lang w:eastAsia="zh-CN"/>
              </w:rPr>
              <w:t>Cureus</w:t>
            </w:r>
            <w:r w:rsidRPr="005D4222">
              <w:rPr>
                <w:color w:val="000000" w:themeColor="text1"/>
                <w:lang w:eastAsia="zh-CN"/>
              </w:rPr>
              <w:t xml:space="preserve">, </w:t>
            </w:r>
            <w:r w:rsidRPr="005D4222">
              <w:rPr>
                <w:i/>
                <w:iCs/>
                <w:color w:val="000000" w:themeColor="text1"/>
                <w:lang w:eastAsia="zh-CN"/>
              </w:rPr>
              <w:t>15</w:t>
            </w:r>
            <w:r w:rsidRPr="005D4222">
              <w:rPr>
                <w:color w:val="000000" w:themeColor="text1"/>
                <w:lang w:eastAsia="zh-CN"/>
              </w:rPr>
              <w:t>(12), e50942. https://doi.org/10.7759/cureus.50942</w:t>
            </w:r>
          </w:p>
          <w:p w14:paraId="0645E841" w14:textId="77777777" w:rsidR="0084708C" w:rsidRPr="005D4222" w:rsidRDefault="0084708C" w:rsidP="00A53E8C">
            <w:pPr>
              <w:pStyle w:val="ECDSBody"/>
              <w:rPr>
                <w:szCs w:val="21"/>
              </w:rPr>
            </w:pPr>
            <w:r w:rsidRPr="005D4222">
              <w:rPr>
                <w:color w:val="000000" w:themeColor="text1"/>
                <w:lang w:eastAsia="zh-CN"/>
              </w:rPr>
              <w:t xml:space="preserve">Rossi, I.R., S.W. Ross, A.K. May, &amp; C.E. Reinke. 2021. “Readmission After Emergency General Surgery: NSQIP Review of Risk, Cause and Ideal Follow-Up.” </w:t>
            </w:r>
            <w:r w:rsidRPr="005D4222">
              <w:rPr>
                <w:i/>
                <w:iCs/>
                <w:color w:val="000000" w:themeColor="text1"/>
                <w:lang w:eastAsia="zh-CN"/>
              </w:rPr>
              <w:t>Journal of Surgical Research</w:t>
            </w:r>
            <w:r w:rsidRPr="005D4222">
              <w:rPr>
                <w:color w:val="000000" w:themeColor="text1"/>
                <w:lang w:eastAsia="zh-CN"/>
              </w:rPr>
              <w:t xml:space="preserve">, </w:t>
            </w:r>
            <w:r w:rsidRPr="005D4222">
              <w:rPr>
                <w:i/>
                <w:iCs/>
                <w:color w:val="000000" w:themeColor="text1"/>
                <w:lang w:eastAsia="zh-CN"/>
              </w:rPr>
              <w:t>260</w:t>
            </w:r>
            <w:r w:rsidRPr="005D4222">
              <w:rPr>
                <w:color w:val="000000" w:themeColor="text1"/>
                <w:lang w:eastAsia="zh-CN"/>
              </w:rPr>
              <w:t>, 359–68. https://doi.org/10.1016/j.jss.2020.11.035</w:t>
            </w:r>
          </w:p>
        </w:tc>
      </w:tr>
      <w:tr w:rsidR="0084708C" w:rsidRPr="005D4222" w14:paraId="7BB0C281" w14:textId="77777777" w:rsidTr="006663E6">
        <w:tc>
          <w:tcPr>
            <w:tcW w:w="9714"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6795DF9F" w14:textId="77777777" w:rsidR="0084708C" w:rsidRPr="005D4222" w:rsidRDefault="0084708C" w:rsidP="00266893">
            <w:pPr>
              <w:pStyle w:val="ECDSMarginHead"/>
            </w:pPr>
            <w:r w:rsidRPr="005D4222">
              <w:t>Characteristics</w:t>
            </w:r>
          </w:p>
        </w:tc>
      </w:tr>
      <w:tr w:rsidR="0084708C" w:rsidRPr="005D4222" w14:paraId="25C8BEF1" w14:textId="77777777" w:rsidTr="006663E6">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4722D6B5" w14:textId="77777777" w:rsidR="0084708C" w:rsidRPr="005D4222" w:rsidRDefault="0084708C" w:rsidP="006663E6">
            <w:pPr>
              <w:pStyle w:val="ECDSSubhead"/>
            </w:pPr>
            <w:r w:rsidRPr="005D4222">
              <w:t>Scoring</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1E93C3BC" w14:textId="77777777" w:rsidR="0084708C" w:rsidRPr="005D4222" w:rsidRDefault="0084708C" w:rsidP="00A53E8C">
            <w:pPr>
              <w:pStyle w:val="ECDSBody"/>
              <w:spacing w:after="0"/>
            </w:pPr>
            <w:r w:rsidRPr="005D4222">
              <w:t>Ratio.</w:t>
            </w:r>
          </w:p>
        </w:tc>
      </w:tr>
      <w:tr w:rsidR="0084708C" w:rsidRPr="005D4222" w14:paraId="3693A392" w14:textId="77777777" w:rsidTr="006663E6">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2151ED82" w14:textId="12CD9A41" w:rsidR="0084708C" w:rsidRPr="005D4222" w:rsidRDefault="00B51CDC" w:rsidP="006663E6">
            <w:pPr>
              <w:pStyle w:val="ECDSSubhead"/>
              <w:spacing w:after="80"/>
            </w:pPr>
            <w:r w:rsidRPr="005D4222">
              <w:t>Product lines</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5F11526A" w14:textId="77777777" w:rsidR="0084708C" w:rsidRPr="005D4222" w:rsidRDefault="0084708C" w:rsidP="006663E6">
            <w:pPr>
              <w:pStyle w:val="ECDSBody"/>
              <w:rPr>
                <w:rFonts w:eastAsia="Arial,Arial,Arial,Arial,Arial,A"/>
              </w:rPr>
            </w:pPr>
            <w:r w:rsidRPr="005D4222">
              <w:rPr>
                <w:rFonts w:eastAsia="Arial,Arial,Arial,Arial,Arial,A"/>
              </w:rPr>
              <w:t>Medicare.</w:t>
            </w:r>
          </w:p>
        </w:tc>
      </w:tr>
      <w:tr w:rsidR="0084708C" w:rsidRPr="005D4222" w14:paraId="15A1926C" w14:textId="77777777" w:rsidTr="006663E6">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58F6E391" w14:textId="4BF48F88" w:rsidR="0084708C" w:rsidRPr="005D4222" w:rsidRDefault="00B51CDC" w:rsidP="006663E6">
            <w:pPr>
              <w:pStyle w:val="ECDSSubhead"/>
            </w:pPr>
            <w:r w:rsidRPr="005D4222">
              <w:lastRenderedPageBreak/>
              <w:t>Stratifications</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tcPr>
          <w:p w14:paraId="12850F1D" w14:textId="77777777" w:rsidR="0084708C" w:rsidRPr="005D4222" w:rsidRDefault="0084708C" w:rsidP="006663E6">
            <w:pPr>
              <w:pStyle w:val="ECDSBody"/>
              <w:spacing w:after="0"/>
              <w:rPr>
                <w:rFonts w:eastAsia="Arial,Arial,Arial,Arial,Arial,A"/>
              </w:rPr>
            </w:pPr>
            <w:r w:rsidRPr="005D4222">
              <w:rPr>
                <w:rFonts w:eastAsia="Arial,Arial,Arial,Arial,Arial,A"/>
              </w:rPr>
              <w:t>None.</w:t>
            </w:r>
          </w:p>
        </w:tc>
      </w:tr>
      <w:tr w:rsidR="0084708C" w:rsidRPr="005D4222" w14:paraId="655906A4" w14:textId="77777777" w:rsidTr="006663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157" w:type="dxa"/>
            <w:tcBorders>
              <w:top w:val="nil"/>
              <w:bottom w:val="single" w:sz="4" w:space="0" w:color="auto"/>
            </w:tcBorders>
            <w:tcMar>
              <w:top w:w="0" w:type="dxa"/>
              <w:left w:w="86" w:type="dxa"/>
              <w:bottom w:w="43" w:type="dxa"/>
              <w:right w:w="86" w:type="dxa"/>
            </w:tcMar>
          </w:tcPr>
          <w:p w14:paraId="6FE09EE9" w14:textId="77777777" w:rsidR="0084708C" w:rsidRPr="005D4222" w:rsidRDefault="0084708C" w:rsidP="006663E6">
            <w:pPr>
              <w:pStyle w:val="ECDSSubhead"/>
            </w:pPr>
            <w:r w:rsidRPr="005D4222">
              <w:t>Guidance</w:t>
            </w:r>
          </w:p>
        </w:tc>
        <w:tc>
          <w:tcPr>
            <w:tcW w:w="7557" w:type="dxa"/>
            <w:gridSpan w:val="3"/>
            <w:tcBorders>
              <w:top w:val="nil"/>
              <w:bottom w:val="single" w:sz="4" w:space="0" w:color="auto"/>
            </w:tcBorders>
            <w:tcMar>
              <w:top w:w="0" w:type="dxa"/>
              <w:left w:w="86" w:type="dxa"/>
              <w:bottom w:w="43" w:type="dxa"/>
              <w:right w:w="86" w:type="dxa"/>
            </w:tcMar>
          </w:tcPr>
          <w:p w14:paraId="173D332E" w14:textId="77777777" w:rsidR="0084708C" w:rsidRPr="005D4222" w:rsidRDefault="0084708C" w:rsidP="00A53E8C">
            <w:pPr>
              <w:pStyle w:val="ECDSBody"/>
              <w:rPr>
                <w:rFonts w:ascii="Segoe UI" w:hAnsi="Segoe UI" w:cs="Segoe UI"/>
                <w:i/>
                <w:iCs/>
                <w:sz w:val="22"/>
                <w:szCs w:val="22"/>
              </w:rPr>
            </w:pPr>
            <w:r w:rsidRPr="005D4222">
              <w:rPr>
                <w:b/>
                <w:i/>
                <w:iCs/>
                <w:szCs w:val="21"/>
              </w:rPr>
              <w:t>Risk Adjustment Measure-Specific Guidance</w:t>
            </w:r>
            <w:r w:rsidRPr="005D4222">
              <w:rPr>
                <w:i/>
                <w:iCs/>
                <w:sz w:val="22"/>
                <w:szCs w:val="22"/>
              </w:rPr>
              <w:t> </w:t>
            </w:r>
          </w:p>
          <w:p w14:paraId="21E119CB" w14:textId="77777777" w:rsidR="0084708C" w:rsidRPr="005D4222" w:rsidRDefault="0084708C" w:rsidP="00A53E8C">
            <w:pPr>
              <w:pStyle w:val="ECDSBody"/>
              <w:rPr>
                <w:szCs w:val="21"/>
              </w:rPr>
            </w:pPr>
            <w:r w:rsidRPr="005D4222">
              <w:rPr>
                <w:b/>
                <w:szCs w:val="21"/>
              </w:rPr>
              <w:t>Observation stays:</w:t>
            </w:r>
            <w:r w:rsidRPr="005D4222">
              <w:rPr>
                <w:szCs w:val="21"/>
              </w:rPr>
              <w:t xml:space="preserve"> </w:t>
            </w:r>
            <w:r w:rsidRPr="005D4222">
              <w:t>For observation stays (</w:t>
            </w:r>
            <w:r w:rsidRPr="005D4222">
              <w:rPr>
                <w:u w:val="single"/>
              </w:rPr>
              <w:t>Observation Stay Value Set</w:t>
            </w:r>
            <w:r w:rsidRPr="005D4222">
              <w:t xml:space="preserve">) </w:t>
            </w:r>
            <w:r w:rsidRPr="005D4222">
              <w:rPr>
                <w:szCs w:val="21"/>
              </w:rPr>
              <w:t xml:space="preserve">that do not have a recorded admission or discharge date, set the admission date to the earliest date of service on the claim and set the discharge date to the last date of service on the claim. </w:t>
            </w:r>
          </w:p>
          <w:p w14:paraId="53A74F6C" w14:textId="77777777" w:rsidR="0084708C" w:rsidRPr="005D4222" w:rsidRDefault="0084708C" w:rsidP="00A53E8C">
            <w:pPr>
              <w:pStyle w:val="ECDSBody"/>
              <w:rPr>
                <w:rFonts w:ascii="Segoe UI" w:hAnsi="Segoe UI" w:cs="Segoe UI"/>
                <w:sz w:val="18"/>
                <w:szCs w:val="18"/>
              </w:rPr>
            </w:pPr>
            <w:r w:rsidRPr="005D4222">
              <w:rPr>
                <w:b/>
                <w:szCs w:val="21"/>
              </w:rPr>
              <w:t>Which services count?</w:t>
            </w:r>
            <w:r w:rsidRPr="005D4222">
              <w:rPr>
                <w:szCs w:val="21"/>
              </w:rPr>
              <w:t xml:space="preserve"> </w:t>
            </w:r>
          </w:p>
          <w:p w14:paraId="549EB16F" w14:textId="77777777" w:rsidR="0084708C" w:rsidRPr="005D4222" w:rsidRDefault="0084708C" w:rsidP="005D6173">
            <w:pPr>
              <w:pStyle w:val="ProcessBullet"/>
              <w:numPr>
                <w:ilvl w:val="0"/>
                <w:numId w:val="98"/>
              </w:numPr>
              <w:tabs>
                <w:tab w:val="left" w:pos="216"/>
              </w:tabs>
              <w:ind w:left="216" w:hanging="216"/>
              <w:rPr>
                <w:rFonts w:ascii="Segoe UI" w:hAnsi="Segoe UI" w:cs="Segoe UI"/>
                <w:sz w:val="18"/>
                <w:szCs w:val="18"/>
              </w:rPr>
            </w:pPr>
            <w:r w:rsidRPr="005D4222">
              <w:t>Use all paid, suspended, pending, and denied claims when applying risk adjustment comorbidity category determination and the hospice exclusion. </w:t>
            </w:r>
          </w:p>
          <w:p w14:paraId="6709C8F0" w14:textId="77777777" w:rsidR="0084708C" w:rsidRPr="005D4222" w:rsidRDefault="0084708C" w:rsidP="005D6173">
            <w:pPr>
              <w:pStyle w:val="ProcessBullet"/>
              <w:numPr>
                <w:ilvl w:val="0"/>
                <w:numId w:val="98"/>
              </w:numPr>
              <w:ind w:left="216" w:hanging="216"/>
              <w:rPr>
                <w:rFonts w:cs="Arial"/>
                <w:sz w:val="18"/>
                <w:szCs w:val="18"/>
              </w:rPr>
            </w:pPr>
            <w:r w:rsidRPr="005D4222">
              <w:t xml:space="preserve">Do not include denied claims when identifying all other events (e.g., denominator events or observed events in the other risk adjusted utilization measures); only report claims the organization paid for or expects to pay for (i.e., claims incurred but not paid). </w:t>
            </w:r>
          </w:p>
          <w:p w14:paraId="7D6E8250" w14:textId="77777777" w:rsidR="0084708C" w:rsidRPr="005D4222" w:rsidRDefault="0084708C" w:rsidP="00A53E8C">
            <w:pPr>
              <w:pStyle w:val="ECDSBody"/>
              <w:rPr>
                <w:sz w:val="18"/>
                <w:szCs w:val="18"/>
              </w:rPr>
            </w:pPr>
            <w:r w:rsidRPr="005D4222">
              <w:rPr>
                <w:b/>
                <w:szCs w:val="21"/>
              </w:rPr>
              <w:t xml:space="preserve">Supplemental data exceptions: </w:t>
            </w:r>
            <w:r w:rsidRPr="005D4222">
              <w:rPr>
                <w:szCs w:val="21"/>
              </w:rPr>
              <w:t>Supplemental data may only be used for the hospice exclusion.</w:t>
            </w:r>
          </w:p>
          <w:p w14:paraId="138A432E" w14:textId="77777777" w:rsidR="0084708C" w:rsidRPr="005D4222" w:rsidRDefault="0084708C" w:rsidP="00A53E8C">
            <w:pPr>
              <w:pStyle w:val="ECDSBody"/>
              <w:rPr>
                <w:szCs w:val="21"/>
              </w:rPr>
            </w:pPr>
            <w:r w:rsidRPr="005D4222">
              <w:rPr>
                <w:b/>
                <w:szCs w:val="21"/>
              </w:rPr>
              <w:t>Transfers:</w:t>
            </w:r>
            <w:r w:rsidRPr="005D4222">
              <w:rPr>
                <w:szCs w:val="21"/>
              </w:rPr>
              <w:t xml:space="preserve"> </w:t>
            </w:r>
          </w:p>
          <w:p w14:paraId="3A4008F6" w14:textId="77777777" w:rsidR="0084708C" w:rsidRPr="005D4222" w:rsidRDefault="0084708C" w:rsidP="005D6173">
            <w:pPr>
              <w:pStyle w:val="ProcessBullet"/>
              <w:numPr>
                <w:ilvl w:val="0"/>
                <w:numId w:val="98"/>
              </w:numPr>
              <w:tabs>
                <w:tab w:val="left" w:pos="216"/>
              </w:tabs>
              <w:ind w:left="216" w:hanging="216"/>
            </w:pPr>
            <w:r w:rsidRPr="005D4222">
              <w:t xml:space="preserve">Treat transfers </w:t>
            </w:r>
            <w:r w:rsidRPr="005D4222">
              <w:rPr>
                <w:i/>
              </w:rPr>
              <w:t xml:space="preserve">between </w:t>
            </w:r>
            <w:r w:rsidRPr="005D4222">
              <w:t xml:space="preserve">institutions as separate admissions. </w:t>
            </w:r>
          </w:p>
          <w:p w14:paraId="45A4A99F" w14:textId="77777777" w:rsidR="0084708C" w:rsidRPr="005D4222" w:rsidRDefault="0084708C" w:rsidP="005D6173">
            <w:pPr>
              <w:pStyle w:val="ProcessBullet"/>
              <w:numPr>
                <w:ilvl w:val="0"/>
                <w:numId w:val="98"/>
              </w:numPr>
              <w:tabs>
                <w:tab w:val="left" w:pos="216"/>
              </w:tabs>
              <w:ind w:left="216" w:hanging="216"/>
            </w:pPr>
            <w:r w:rsidRPr="005D4222">
              <w:t xml:space="preserve">Base transfer reports </w:t>
            </w:r>
            <w:r w:rsidRPr="005D4222">
              <w:rPr>
                <w:i/>
              </w:rPr>
              <w:t>within</w:t>
            </w:r>
            <w:r w:rsidRPr="005D4222">
              <w:t xml:space="preserve"> an institution on the type and level of services provided. </w:t>
            </w:r>
          </w:p>
          <w:p w14:paraId="590C13F3" w14:textId="77777777" w:rsidR="0084708C" w:rsidRPr="005D4222" w:rsidRDefault="0084708C" w:rsidP="005D6173">
            <w:pPr>
              <w:pStyle w:val="ProcessBullet"/>
              <w:numPr>
                <w:ilvl w:val="0"/>
                <w:numId w:val="98"/>
              </w:numPr>
              <w:tabs>
                <w:tab w:val="left" w:pos="216"/>
              </w:tabs>
              <w:ind w:left="216" w:hanging="216"/>
            </w:pPr>
            <w:r w:rsidRPr="005D4222">
              <w:t xml:space="preserve">Report separate admissions when the transfer is between acute and nonacute levels of service or between mental health/chemical dependency services and non-mental health/chemical dependency services. </w:t>
            </w:r>
          </w:p>
          <w:p w14:paraId="3F662D4A" w14:textId="77777777" w:rsidR="0084708C" w:rsidRPr="005D4222" w:rsidRDefault="0084708C" w:rsidP="005D6173">
            <w:pPr>
              <w:pStyle w:val="ProcessBullet"/>
              <w:numPr>
                <w:ilvl w:val="0"/>
                <w:numId w:val="98"/>
              </w:numPr>
              <w:tabs>
                <w:tab w:val="left" w:pos="216"/>
              </w:tabs>
              <w:ind w:left="216" w:hanging="216"/>
            </w:pPr>
            <w:r w:rsidRPr="005D4222">
              <w:t>Count only one admission when the transfer takes place within the same service category, but to a different level of care (e.g., from intensive care to a lesser level of care; from a lesser level of care to intensive care).</w:t>
            </w:r>
          </w:p>
          <w:p w14:paraId="4DE44BD2" w14:textId="77777777" w:rsidR="0084708C" w:rsidRPr="005D4222" w:rsidRDefault="0084708C" w:rsidP="00A53E8C">
            <w:pPr>
              <w:pStyle w:val="ECDSBody"/>
              <w:rPr>
                <w:szCs w:val="21"/>
              </w:rPr>
            </w:pPr>
            <w:r w:rsidRPr="005D4222">
              <w:rPr>
                <w:b/>
                <w:szCs w:val="21"/>
              </w:rPr>
              <w:t>Risk adjustment:</w:t>
            </w:r>
            <w:r w:rsidRPr="005D4222">
              <w:t xml:space="preserve"> </w:t>
            </w:r>
            <w:r w:rsidRPr="005D4222">
              <w:rPr>
                <w:szCs w:val="21"/>
              </w:rPr>
              <w:t xml:space="preserve">Organizations may not use risk assessment protocols to supplement diagnoses for calculation of the risk adjustment scores for these measures. The measurement model was developed and tested using only claims-based diagnoses; diagnoses from additional data sources would affect the validity of the models as they are currently implemented in the specification. </w:t>
            </w:r>
          </w:p>
          <w:p w14:paraId="4A3D8C42" w14:textId="77777777" w:rsidR="0084708C" w:rsidRPr="005D4222" w:rsidRDefault="0084708C" w:rsidP="00A53E8C">
            <w:pPr>
              <w:pStyle w:val="ECDSBody"/>
              <w:rPr>
                <w:i/>
                <w:iCs/>
                <w:szCs w:val="21"/>
              </w:rPr>
            </w:pPr>
            <w:r w:rsidRPr="005D4222">
              <w:rPr>
                <w:b/>
                <w:i/>
                <w:iCs/>
                <w:szCs w:val="21"/>
              </w:rPr>
              <w:t>General Rules</w:t>
            </w:r>
          </w:p>
          <w:p w14:paraId="363A9911" w14:textId="7CABD40B" w:rsidR="0084708C" w:rsidRPr="005D4222" w:rsidRDefault="0084708C" w:rsidP="00A53E8C">
            <w:pPr>
              <w:pStyle w:val="ECDSBody"/>
              <w:rPr>
                <w:szCs w:val="21"/>
              </w:rPr>
            </w:pPr>
            <w:r w:rsidRPr="005D4222">
              <w:rPr>
                <w:b/>
                <w:szCs w:val="21"/>
              </w:rPr>
              <w:t xml:space="preserve">Data collection methodology: </w:t>
            </w:r>
            <w:r w:rsidRPr="005D4222">
              <w:rPr>
                <w:bCs w:val="0"/>
                <w:szCs w:val="21"/>
              </w:rPr>
              <w:t>Administrative</w:t>
            </w:r>
            <w:r w:rsidRPr="005D4222" w:rsidDel="00E873E1">
              <w:rPr>
                <w:szCs w:val="21"/>
              </w:rPr>
              <w:t>.</w:t>
            </w:r>
            <w:r w:rsidRPr="005D4222">
              <w:rPr>
                <w:szCs w:val="21"/>
              </w:rPr>
              <w:t xml:space="preserve"> Refer to </w:t>
            </w:r>
            <w:hyperlink w:anchor="General_Guideline_Data_Collection_Method" w:history="1">
              <w:r w:rsidRPr="005D4222">
                <w:rPr>
                  <w:rStyle w:val="Hyperlink"/>
                  <w:i/>
                  <w:iCs/>
                  <w:szCs w:val="21"/>
                </w:rPr>
                <w:t>General Guideline: Data Collection Methods</w:t>
              </w:r>
            </w:hyperlink>
            <w:r w:rsidRPr="005D4222">
              <w:rPr>
                <w:szCs w:val="21"/>
              </w:rPr>
              <w:t xml:space="preserve"> for additional information.  </w:t>
            </w:r>
          </w:p>
          <w:p w14:paraId="010EF9E5" w14:textId="77777777" w:rsidR="0084708C" w:rsidRPr="005D4222" w:rsidRDefault="0084708C" w:rsidP="00A53E8C">
            <w:pPr>
              <w:pStyle w:val="ECDSBody"/>
              <w:rPr>
                <w:szCs w:val="21"/>
              </w:rPr>
            </w:pPr>
            <w:r w:rsidRPr="005D4222">
              <w:rPr>
                <w:b/>
                <w:szCs w:val="21"/>
              </w:rPr>
              <w:t>Date specificity:</w:t>
            </w:r>
            <w:r w:rsidRPr="005D4222">
              <w:rPr>
                <w:szCs w:val="21"/>
              </w:rPr>
              <w:t xml:space="preserve"> Dates must be specific enough to determine the event occurred in the period being measured. </w:t>
            </w:r>
          </w:p>
          <w:p w14:paraId="36957C11" w14:textId="77777777" w:rsidR="0084708C" w:rsidRPr="005D4222" w:rsidRDefault="0084708C" w:rsidP="00A53E8C">
            <w:pPr>
              <w:pStyle w:val="ECDSBody"/>
              <w:rPr>
                <w:szCs w:val="21"/>
              </w:rPr>
            </w:pPr>
            <w:r w:rsidRPr="005D4222">
              <w:rPr>
                <w:b/>
                <w:bCs w:val="0"/>
                <w:szCs w:val="21"/>
              </w:rPr>
              <w:t>Other guidance</w:t>
            </w:r>
            <w:r w:rsidRPr="005D4222">
              <w:rPr>
                <w:szCs w:val="21"/>
              </w:rPr>
              <w:t>: The measure is based on episodes; therefore, it is possible for the denominator to include multiple events for the same person.</w:t>
            </w:r>
          </w:p>
          <w:p w14:paraId="72669B19" w14:textId="4898E6C1" w:rsidR="006663E6" w:rsidRPr="005D4222" w:rsidRDefault="0084708C" w:rsidP="00D66A85">
            <w:pPr>
              <w:pStyle w:val="ECDSBody"/>
              <w:rPr>
                <w:b/>
                <w:i/>
                <w:iCs/>
              </w:rPr>
            </w:pPr>
            <w:r w:rsidRPr="005D4222">
              <w:rPr>
                <w:b/>
                <w:szCs w:val="21"/>
              </w:rPr>
              <w:t xml:space="preserve">Improvement </w:t>
            </w:r>
            <w:r w:rsidR="00D66A85" w:rsidRPr="005D4222">
              <w:rPr>
                <w:b/>
                <w:szCs w:val="21"/>
              </w:rPr>
              <w:t>n</w:t>
            </w:r>
            <w:r w:rsidRPr="005D4222">
              <w:rPr>
                <w:b/>
                <w:szCs w:val="21"/>
              </w:rPr>
              <w:t>otation</w:t>
            </w:r>
            <w:r w:rsidR="00D66A85" w:rsidRPr="005D4222">
              <w:rPr>
                <w:b/>
                <w:szCs w:val="21"/>
              </w:rPr>
              <w:t>:</w:t>
            </w:r>
            <w:r w:rsidR="00D66A85" w:rsidRPr="005D4222">
              <w:rPr>
                <w:b/>
                <w:i/>
                <w:iCs/>
                <w:szCs w:val="21"/>
              </w:rPr>
              <w:t xml:space="preserve"> </w:t>
            </w:r>
            <w:r w:rsidRPr="005D4222">
              <w:t xml:space="preserve">To interpret the ratio as better or worse than expected, the ratio must be calibrated. Organizations can calibrate ratios by dividing individual organization ratios or national percentiles by the national average ratios. Organizations may be more successful at achieving fewer hospitalizations than expected, given </w:t>
            </w:r>
            <w:r w:rsidR="00D66A85" w:rsidRPr="005D4222">
              <w:t xml:space="preserve">the types of cases treated by the </w:t>
            </w:r>
          </w:p>
        </w:tc>
      </w:tr>
      <w:tr w:rsidR="006663E6" w:rsidRPr="005D4222" w14:paraId="684CF108" w14:textId="77777777" w:rsidTr="006663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157" w:type="dxa"/>
            <w:tcBorders>
              <w:top w:val="single" w:sz="4" w:space="0" w:color="auto"/>
            </w:tcBorders>
            <w:tcMar>
              <w:top w:w="0" w:type="dxa"/>
              <w:left w:w="86" w:type="dxa"/>
              <w:bottom w:w="43" w:type="dxa"/>
              <w:right w:w="86" w:type="dxa"/>
            </w:tcMar>
          </w:tcPr>
          <w:p w14:paraId="18ADE558" w14:textId="77777777" w:rsidR="006663E6" w:rsidRPr="005D4222" w:rsidRDefault="006663E6" w:rsidP="006663E6">
            <w:pPr>
              <w:pStyle w:val="ECDSSubhead"/>
            </w:pPr>
          </w:p>
        </w:tc>
        <w:tc>
          <w:tcPr>
            <w:tcW w:w="7557" w:type="dxa"/>
            <w:gridSpan w:val="3"/>
            <w:tcBorders>
              <w:top w:val="single" w:sz="4" w:space="0" w:color="auto"/>
            </w:tcBorders>
            <w:tcMar>
              <w:top w:w="0" w:type="dxa"/>
              <w:left w:w="86" w:type="dxa"/>
              <w:bottom w:w="43" w:type="dxa"/>
              <w:right w:w="86" w:type="dxa"/>
            </w:tcMar>
          </w:tcPr>
          <w:p w14:paraId="624410FF" w14:textId="2CD956CD" w:rsidR="006663E6" w:rsidRPr="005D4222" w:rsidRDefault="00D66A85" w:rsidP="00A53E8C">
            <w:pPr>
              <w:pStyle w:val="ECDSBody"/>
              <w:rPr>
                <w:b/>
                <w:i/>
                <w:iCs/>
                <w:szCs w:val="21"/>
              </w:rPr>
            </w:pPr>
            <w:r w:rsidRPr="005D4222">
              <w:t>organization (calibrated ratio with a value &lt;1.0), or may be less successful (calibrated ratio with a value &gt;1.0).</w:t>
            </w:r>
          </w:p>
        </w:tc>
      </w:tr>
      <w:tr w:rsidR="0084708C" w:rsidRPr="005D4222" w14:paraId="341D003C" w14:textId="77777777" w:rsidTr="006663E6">
        <w:tc>
          <w:tcPr>
            <w:tcW w:w="9714"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4DB85836" w14:textId="77777777" w:rsidR="0084708C" w:rsidRPr="005D4222" w:rsidRDefault="0084708C" w:rsidP="00A53E8C">
            <w:pPr>
              <w:pStyle w:val="ECDSMarginHead"/>
            </w:pPr>
            <w:r w:rsidRPr="005D4222">
              <w:t>Definitions</w:t>
            </w:r>
          </w:p>
        </w:tc>
      </w:tr>
      <w:tr w:rsidR="0084708C" w:rsidRPr="005D4222" w14:paraId="5C32318B" w14:textId="77777777" w:rsidTr="006663E6">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579ED7DC" w14:textId="77777777" w:rsidR="0084708C" w:rsidRPr="005D4222" w:rsidRDefault="0084708C" w:rsidP="006663E6">
            <w:pPr>
              <w:pStyle w:val="ECDSSubhead"/>
            </w:pPr>
            <w:r w:rsidRPr="005D4222">
              <w:t>Direct transfer</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tcPr>
          <w:p w14:paraId="03CBF981" w14:textId="77777777" w:rsidR="0084708C" w:rsidRPr="005D4222" w:rsidRDefault="0084708C" w:rsidP="00A53E8C">
            <w:pPr>
              <w:pStyle w:val="ECDSBody"/>
            </w:pPr>
            <w:r w:rsidRPr="005D4222">
              <w:t xml:space="preserve">When the discharge date from the initial stay precedes the admission date to a subsequent stay by 1 calendar day or less. </w:t>
            </w:r>
          </w:p>
          <w:p w14:paraId="432F7087" w14:textId="77777777" w:rsidR="0084708C" w:rsidRPr="005D4222" w:rsidRDefault="0084708C" w:rsidP="0084708C">
            <w:pPr>
              <w:pStyle w:val="Bullet"/>
              <w:numPr>
                <w:ilvl w:val="0"/>
                <w:numId w:val="4"/>
              </w:numPr>
              <w:tabs>
                <w:tab w:val="left" w:pos="360"/>
                <w:tab w:val="left" w:pos="576"/>
              </w:tabs>
              <w:ind w:left="576" w:hanging="216"/>
              <w:rPr>
                <w:i/>
                <w:iCs/>
              </w:rPr>
            </w:pPr>
            <w:r w:rsidRPr="005D4222">
              <w:rPr>
                <w:i/>
                <w:iCs/>
              </w:rPr>
              <w:t>For example:</w:t>
            </w:r>
          </w:p>
          <w:p w14:paraId="0DFCBA65" w14:textId="77777777" w:rsidR="0084708C" w:rsidRPr="005D4222" w:rsidRDefault="0084708C" w:rsidP="0084708C">
            <w:pPr>
              <w:pStyle w:val="Dash"/>
              <w:tabs>
                <w:tab w:val="left" w:pos="576"/>
                <w:tab w:val="left" w:pos="792"/>
              </w:tabs>
            </w:pPr>
            <w:r w:rsidRPr="005D4222">
              <w:t>A discharge on June 1, followed by a subsequent admission on June 1 or June 2,</w:t>
            </w:r>
            <w:r w:rsidRPr="005D4222">
              <w:rPr>
                <w:i/>
              </w:rPr>
              <w:t xml:space="preserve"> is a direct transfer.</w:t>
            </w:r>
          </w:p>
          <w:p w14:paraId="338775E1" w14:textId="77777777" w:rsidR="0084708C" w:rsidRPr="005D4222" w:rsidRDefault="0084708C" w:rsidP="0084708C">
            <w:pPr>
              <w:pStyle w:val="Dash"/>
              <w:tabs>
                <w:tab w:val="left" w:pos="576"/>
                <w:tab w:val="left" w:pos="792"/>
              </w:tabs>
            </w:pPr>
            <w:r w:rsidRPr="005D4222">
              <w:t>A discharge on June 1, followed by a subsequent admission on June 3,</w:t>
            </w:r>
            <w:r w:rsidRPr="005D4222">
              <w:rPr>
                <w:i/>
              </w:rPr>
              <w:t xml:space="preserve"> is not a direct transfer</w:t>
            </w:r>
            <w:r w:rsidRPr="005D4222">
              <w:t>; these are two distinct stays.</w:t>
            </w:r>
          </w:p>
          <w:p w14:paraId="6EC213A0" w14:textId="77777777" w:rsidR="0084708C" w:rsidRPr="005D4222" w:rsidRDefault="0084708C" w:rsidP="0084708C">
            <w:pPr>
              <w:pStyle w:val="Dash"/>
              <w:tabs>
                <w:tab w:val="left" w:pos="576"/>
                <w:tab w:val="left" w:pos="792"/>
              </w:tabs>
            </w:pPr>
            <w:r w:rsidRPr="005D4222">
              <w:t>A discharge on June 1, followed by a subsequent admission on June 2 (with discharge on June 3), followed by a subsequent admission on June 4,</w:t>
            </w:r>
            <w:r w:rsidRPr="005D4222">
              <w:rPr>
                <w:i/>
              </w:rPr>
              <w:t xml:space="preserve"> is a direct transfer.</w:t>
            </w:r>
          </w:p>
          <w:p w14:paraId="2677C7A1" w14:textId="77777777" w:rsidR="0084708C" w:rsidRPr="005D4222" w:rsidRDefault="0084708C" w:rsidP="00A53E8C">
            <w:pPr>
              <w:pStyle w:val="ECDSBody"/>
              <w:spacing w:after="0"/>
            </w:pPr>
            <w:r w:rsidRPr="005D4222">
              <w:t>Direct transfers may occur between different facilities, and between acute inpatient and observation.</w:t>
            </w:r>
          </w:p>
        </w:tc>
      </w:tr>
      <w:tr w:rsidR="0084708C" w:rsidRPr="005D4222" w14:paraId="16DB80B7" w14:textId="77777777" w:rsidTr="006663E6">
        <w:tc>
          <w:tcPr>
            <w:tcW w:w="2157" w:type="dxa"/>
            <w:tcBorders>
              <w:top w:val="nil"/>
              <w:left w:val="single" w:sz="4" w:space="0" w:color="auto"/>
              <w:bottom w:val="nil"/>
              <w:right w:val="single" w:sz="4" w:space="0" w:color="auto"/>
            </w:tcBorders>
            <w:tcMar>
              <w:top w:w="0" w:type="dxa"/>
              <w:left w:w="86" w:type="dxa"/>
              <w:bottom w:w="43" w:type="dxa"/>
              <w:right w:w="86" w:type="dxa"/>
            </w:tcMar>
          </w:tcPr>
          <w:p w14:paraId="0CA39B55" w14:textId="77777777" w:rsidR="0084708C" w:rsidRPr="005D4222" w:rsidRDefault="0084708C" w:rsidP="006663E6">
            <w:pPr>
              <w:pStyle w:val="ECDSSubhead"/>
              <w:rPr>
                <w:rFonts w:cs="Arial"/>
              </w:rPr>
            </w:pPr>
            <w:r w:rsidRPr="005D4222">
              <w:t>Outpatient general surgery episode</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7B8ACCB0" w14:textId="77777777" w:rsidR="0084708C" w:rsidRPr="005D4222" w:rsidRDefault="0084708C" w:rsidP="00A53E8C">
            <w:pPr>
              <w:pStyle w:val="ECDSBody"/>
              <w:spacing w:after="0"/>
              <w:rPr>
                <w:szCs w:val="24"/>
              </w:rPr>
            </w:pPr>
            <w:r w:rsidRPr="005D4222">
              <w:t>A qualifying outpatient general surgery that occurs on or between January 1 and December 16 of the measurement period, as identified in the denominator.</w:t>
            </w:r>
          </w:p>
        </w:tc>
      </w:tr>
      <w:tr w:rsidR="0084708C" w:rsidRPr="005D4222" w14:paraId="2350356A" w14:textId="77777777" w:rsidTr="006663E6">
        <w:tc>
          <w:tcPr>
            <w:tcW w:w="2157" w:type="dxa"/>
            <w:tcBorders>
              <w:top w:val="nil"/>
              <w:left w:val="single" w:sz="4" w:space="0" w:color="auto"/>
              <w:bottom w:val="nil"/>
              <w:right w:val="single" w:sz="4" w:space="0" w:color="auto"/>
            </w:tcBorders>
            <w:tcMar>
              <w:top w:w="0" w:type="dxa"/>
              <w:left w:w="86" w:type="dxa"/>
              <w:bottom w:w="43" w:type="dxa"/>
              <w:right w:w="86" w:type="dxa"/>
            </w:tcMar>
          </w:tcPr>
          <w:p w14:paraId="7DE59ADC" w14:textId="77777777" w:rsidR="0084708C" w:rsidRPr="005D4222" w:rsidRDefault="0084708C" w:rsidP="006663E6">
            <w:pPr>
              <w:pStyle w:val="ECDSSubhead"/>
            </w:pPr>
            <w:r w:rsidRPr="005D4222">
              <w:t>Outpatient general surgery episode date</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6C72D478" w14:textId="77777777" w:rsidR="0084708C" w:rsidRPr="005D4222" w:rsidRDefault="0084708C" w:rsidP="00A53E8C">
            <w:pPr>
              <w:pStyle w:val="ECDSBody"/>
              <w:spacing w:after="0"/>
              <w:rPr>
                <w:szCs w:val="21"/>
              </w:rPr>
            </w:pPr>
            <w:r w:rsidRPr="005D4222">
              <w:rPr>
                <w:szCs w:val="21"/>
              </w:rPr>
              <w:t xml:space="preserve">The date of service for a qualifying outpatient general surgery episode. </w:t>
            </w:r>
          </w:p>
          <w:p w14:paraId="0C4DE4D3" w14:textId="77777777" w:rsidR="0084708C" w:rsidRPr="005D4222" w:rsidRDefault="0084708C" w:rsidP="00A53E8C">
            <w:pPr>
              <w:pStyle w:val="ECDSBody"/>
              <w:spacing w:after="0"/>
            </w:pPr>
            <w:r w:rsidRPr="005D4222">
              <w:t>For episodes that span more than 1 calendar day, use the last service date as the episode date.</w:t>
            </w:r>
          </w:p>
        </w:tc>
      </w:tr>
      <w:tr w:rsidR="0084708C" w:rsidRPr="005D4222" w14:paraId="3E8AAB9C" w14:textId="77777777" w:rsidTr="006663E6">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571DF747" w14:textId="77777777" w:rsidR="0084708C" w:rsidRPr="005D4222" w:rsidRDefault="0084708C" w:rsidP="006663E6">
            <w:pPr>
              <w:pStyle w:val="ECDSSubhead"/>
              <w:spacing w:after="80"/>
              <w:rPr>
                <w:rFonts w:cs="Arial"/>
              </w:rPr>
            </w:pPr>
            <w:r w:rsidRPr="005D4222">
              <w:t>Planned hospital stay</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33A43B7B" w14:textId="77777777" w:rsidR="0084708C" w:rsidRPr="005D4222" w:rsidRDefault="0084708C" w:rsidP="00A53E8C">
            <w:pPr>
              <w:pStyle w:val="ECDSBody"/>
              <w:rPr>
                <w:b/>
                <w:szCs w:val="21"/>
              </w:rPr>
            </w:pPr>
            <w:r w:rsidRPr="005D4222">
              <w:t>A hospital stay that meets criteria in step 3 of the numerator.</w:t>
            </w:r>
          </w:p>
        </w:tc>
      </w:tr>
      <w:tr w:rsidR="0084708C" w:rsidRPr="005D4222" w14:paraId="1FC13C5E" w14:textId="77777777" w:rsidTr="006663E6">
        <w:tc>
          <w:tcPr>
            <w:tcW w:w="2157" w:type="dxa"/>
            <w:shd w:val="clear" w:color="auto" w:fill="BFBFBF" w:themeFill="background1" w:themeFillShade="BF"/>
            <w:tcMar>
              <w:top w:w="0" w:type="dxa"/>
              <w:left w:w="86" w:type="dxa"/>
              <w:bottom w:w="43" w:type="dxa"/>
              <w:right w:w="86" w:type="dxa"/>
            </w:tcMar>
          </w:tcPr>
          <w:p w14:paraId="68E655EA" w14:textId="77777777" w:rsidR="0084708C" w:rsidRPr="005D4222" w:rsidRDefault="0084708C" w:rsidP="00A53E8C">
            <w:pPr>
              <w:pStyle w:val="ECDSMarginHead"/>
            </w:pPr>
            <w:r w:rsidRPr="005D4222">
              <w:t>Initial population</w:t>
            </w:r>
          </w:p>
        </w:tc>
        <w:tc>
          <w:tcPr>
            <w:tcW w:w="7557"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77ACE78" w14:textId="77777777" w:rsidR="0084708C" w:rsidRPr="005D4222" w:rsidRDefault="0084708C" w:rsidP="00A53E8C">
            <w:pPr>
              <w:pStyle w:val="ECDSBody"/>
            </w:pPr>
            <w:r w:rsidRPr="005D4222">
              <w:rPr>
                <w:i/>
                <w:iCs/>
              </w:rPr>
              <w:t>Measure item count:</w:t>
            </w:r>
            <w:r w:rsidRPr="005D4222">
              <w:t xml:space="preserve"> Episode.</w:t>
            </w:r>
          </w:p>
          <w:p w14:paraId="6D4FB0FA" w14:textId="77777777" w:rsidR="0084708C" w:rsidRPr="005D4222" w:rsidRDefault="0084708C" w:rsidP="00A53E8C">
            <w:pPr>
              <w:pStyle w:val="ECDSBody"/>
            </w:pPr>
            <w:r w:rsidRPr="005D4222">
              <w:rPr>
                <w:i/>
                <w:iCs/>
              </w:rPr>
              <w:t xml:space="preserve">Attribution basis: </w:t>
            </w:r>
            <w:r w:rsidRPr="005D4222">
              <w:t>Enrollment.</w:t>
            </w:r>
          </w:p>
          <w:p w14:paraId="2545496E" w14:textId="77777777" w:rsidR="0084708C" w:rsidRPr="005D4222" w:rsidRDefault="0084708C" w:rsidP="0084708C">
            <w:pPr>
              <w:pStyle w:val="Bullet"/>
              <w:numPr>
                <w:ilvl w:val="0"/>
                <w:numId w:val="4"/>
              </w:numPr>
              <w:tabs>
                <w:tab w:val="left" w:pos="360"/>
                <w:tab w:val="left" w:pos="576"/>
              </w:tabs>
              <w:ind w:left="576" w:hanging="216"/>
            </w:pPr>
            <w:r w:rsidRPr="005D4222">
              <w:rPr>
                <w:i/>
                <w:iCs/>
              </w:rPr>
              <w:t>Benefits:</w:t>
            </w:r>
            <w:r w:rsidRPr="005D4222">
              <w:t xml:space="preserve"> Medical.</w:t>
            </w:r>
          </w:p>
          <w:p w14:paraId="6E1EB5EF" w14:textId="77777777" w:rsidR="0084708C" w:rsidRPr="005D4222" w:rsidRDefault="0084708C" w:rsidP="0084708C">
            <w:pPr>
              <w:pStyle w:val="Bullet"/>
              <w:numPr>
                <w:ilvl w:val="0"/>
                <w:numId w:val="4"/>
              </w:numPr>
              <w:tabs>
                <w:tab w:val="left" w:pos="360"/>
                <w:tab w:val="left" w:pos="576"/>
              </w:tabs>
              <w:ind w:left="576" w:hanging="216"/>
            </w:pPr>
            <w:r w:rsidRPr="005D4222">
              <w:rPr>
                <w:i/>
                <w:iCs/>
              </w:rPr>
              <w:t xml:space="preserve">Continuous enrollment: </w:t>
            </w:r>
            <w:r w:rsidRPr="005D4222">
              <w:t>365 days prior to the outpatient general surgery episode date through 15 days after the episode date.</w:t>
            </w:r>
          </w:p>
          <w:p w14:paraId="2B367BC6" w14:textId="77777777" w:rsidR="0084708C" w:rsidRPr="005D4222" w:rsidRDefault="0084708C" w:rsidP="0084708C">
            <w:pPr>
              <w:pStyle w:val="Bullet"/>
              <w:numPr>
                <w:ilvl w:val="0"/>
                <w:numId w:val="4"/>
              </w:numPr>
              <w:tabs>
                <w:tab w:val="left" w:pos="360"/>
                <w:tab w:val="left" w:pos="576"/>
              </w:tabs>
              <w:ind w:left="576" w:hanging="216"/>
            </w:pPr>
            <w:r w:rsidRPr="005D4222">
              <w:rPr>
                <w:i/>
                <w:iCs/>
              </w:rPr>
              <w:t>Allowable gap:</w:t>
            </w:r>
            <w:r w:rsidRPr="005D4222">
              <w:t xml:space="preserve"> </w:t>
            </w:r>
          </w:p>
          <w:p w14:paraId="64372EC6" w14:textId="77777777" w:rsidR="0084708C" w:rsidRPr="005D4222" w:rsidRDefault="0084708C" w:rsidP="0084708C">
            <w:pPr>
              <w:pStyle w:val="Dash"/>
              <w:tabs>
                <w:tab w:val="left" w:pos="576"/>
                <w:tab w:val="left" w:pos="792"/>
              </w:tabs>
            </w:pPr>
            <w:r w:rsidRPr="005D4222">
              <w:rPr>
                <w:i/>
              </w:rPr>
              <w:t xml:space="preserve">365 days prior to the date of the outpatient general surgery episode: </w:t>
            </w:r>
            <w:r w:rsidRPr="005D4222">
              <w:t>No more than one gap of ≤45 days.</w:t>
            </w:r>
          </w:p>
          <w:p w14:paraId="340A4596" w14:textId="77777777" w:rsidR="0084708C" w:rsidRPr="005D4222" w:rsidRDefault="0084708C" w:rsidP="0084708C">
            <w:pPr>
              <w:pStyle w:val="Dash"/>
              <w:tabs>
                <w:tab w:val="left" w:pos="576"/>
                <w:tab w:val="left" w:pos="792"/>
              </w:tabs>
            </w:pPr>
            <w:r w:rsidRPr="005D4222">
              <w:rPr>
                <w:i/>
              </w:rPr>
              <w:t>Outpatient general surgery episode through 15 days after the episode:</w:t>
            </w:r>
            <w:r w:rsidRPr="005D4222">
              <w:t xml:space="preserve"> No gaps. </w:t>
            </w:r>
          </w:p>
          <w:p w14:paraId="091C554D" w14:textId="77777777" w:rsidR="0084708C" w:rsidRPr="005D4222" w:rsidRDefault="0084708C" w:rsidP="00A53E8C">
            <w:pPr>
              <w:pStyle w:val="ECDSBody"/>
            </w:pPr>
            <w:r w:rsidRPr="005D4222">
              <w:rPr>
                <w:i/>
              </w:rPr>
              <w:t xml:space="preserve">Ages: </w:t>
            </w:r>
            <w:r w:rsidRPr="005D4222">
              <w:t>65 years of age and older as of the outpatient general surgery episode date.</w:t>
            </w:r>
          </w:p>
          <w:p w14:paraId="1F011B3B" w14:textId="77777777" w:rsidR="0084708C" w:rsidRPr="005D4222" w:rsidRDefault="0084708C" w:rsidP="00A53E8C">
            <w:pPr>
              <w:pStyle w:val="ECDSBody"/>
              <w:rPr>
                <w:i/>
                <w:iCs/>
              </w:rPr>
            </w:pPr>
            <w:r w:rsidRPr="005D4222">
              <w:rPr>
                <w:i/>
                <w:iCs/>
              </w:rPr>
              <w:t xml:space="preserve">Gender/Sex criteria: </w:t>
            </w:r>
          </w:p>
          <w:p w14:paraId="087E5904" w14:textId="77777777" w:rsidR="0084708C" w:rsidRPr="005D4222" w:rsidRDefault="0084708C" w:rsidP="0084708C">
            <w:pPr>
              <w:pStyle w:val="Bullet"/>
              <w:numPr>
                <w:ilvl w:val="0"/>
                <w:numId w:val="4"/>
              </w:numPr>
              <w:tabs>
                <w:tab w:val="left" w:pos="360"/>
                <w:tab w:val="left" w:pos="576"/>
              </w:tabs>
              <w:ind w:left="576" w:hanging="216"/>
              <w:rPr>
                <w:iCs/>
              </w:rPr>
            </w:pPr>
            <w:r w:rsidRPr="005D4222">
              <w:rPr>
                <w:iCs/>
              </w:rPr>
              <w:t>Administrative Gender of Female (AdministrativeGender code female).</w:t>
            </w:r>
          </w:p>
          <w:p w14:paraId="165A42CC" w14:textId="011CD78C" w:rsidR="0084708C" w:rsidRPr="005D4222" w:rsidRDefault="0084708C" w:rsidP="006663E6">
            <w:pPr>
              <w:pStyle w:val="Bullet"/>
              <w:numPr>
                <w:ilvl w:val="0"/>
                <w:numId w:val="4"/>
              </w:numPr>
              <w:tabs>
                <w:tab w:val="left" w:pos="360"/>
                <w:tab w:val="left" w:pos="576"/>
              </w:tabs>
              <w:spacing w:after="80"/>
              <w:ind w:left="576" w:hanging="216"/>
              <w:rPr>
                <w:rFonts w:eastAsia="Arial,Arial,Arial,Arial,Arial,A"/>
              </w:rPr>
            </w:pPr>
            <w:r w:rsidRPr="005D4222">
              <w:rPr>
                <w:iCs/>
              </w:rPr>
              <w:t xml:space="preserve">Administrative Gender of </w:t>
            </w:r>
            <w:r w:rsidRPr="005D4222">
              <w:t>Male (AdministrativeGender code male).</w:t>
            </w:r>
          </w:p>
        </w:tc>
      </w:tr>
    </w:tbl>
    <w:p w14:paraId="61B020C2" w14:textId="77777777" w:rsidR="006663E6" w:rsidRPr="005D4222" w:rsidRDefault="006663E6">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6663E6" w:rsidRPr="005D4222" w14:paraId="66BCE10F" w14:textId="77777777" w:rsidTr="006663E6">
        <w:tc>
          <w:tcPr>
            <w:tcW w:w="2157" w:type="dxa"/>
            <w:shd w:val="clear" w:color="auto" w:fill="BFBFBF" w:themeFill="background1" w:themeFillShade="BF"/>
            <w:tcMar>
              <w:top w:w="0" w:type="dxa"/>
              <w:left w:w="86" w:type="dxa"/>
              <w:bottom w:w="43" w:type="dxa"/>
              <w:right w:w="86" w:type="dxa"/>
            </w:tcMar>
          </w:tcPr>
          <w:p w14:paraId="71E8FDEE" w14:textId="77777777" w:rsidR="006663E6" w:rsidRPr="005D4222" w:rsidRDefault="006663E6"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0DD9DFE" w14:textId="77777777" w:rsidR="00807CF4" w:rsidRPr="005D4222" w:rsidRDefault="006663E6" w:rsidP="00807CF4">
            <w:pPr>
              <w:pStyle w:val="ECDSBody"/>
              <w:rPr>
                <w:rFonts w:eastAsia="Arial,Arial,Arial,Arial,Arial,A"/>
                <w:b/>
              </w:rPr>
            </w:pPr>
            <w:r w:rsidRPr="005D4222">
              <w:rPr>
                <w:i/>
                <w:iCs/>
              </w:rPr>
              <w:t>Exclusion:</w:t>
            </w:r>
            <w:r w:rsidR="00807CF4" w:rsidRPr="005D4222">
              <w:rPr>
                <w:i/>
                <w:iCs/>
              </w:rPr>
              <w:t xml:space="preserve"> </w:t>
            </w:r>
            <w:r w:rsidRPr="005D4222" w:rsidDel="002D4AA7">
              <w:rPr>
                <w:rFonts w:eastAsia="Arial,Arial,Arial,Arial,Arial,A"/>
                <w:b/>
              </w:rPr>
              <w:t xml:space="preserve">Persons </w:t>
            </w:r>
            <w:r w:rsidRPr="005D4222">
              <w:rPr>
                <w:rFonts w:eastAsia="Arial,Arial,Arial,Arial,Arial,A"/>
                <w:b/>
              </w:rPr>
              <w:t>in hospice or using hospice services.</w:t>
            </w:r>
          </w:p>
          <w:p w14:paraId="126278B1" w14:textId="3F7183E4" w:rsidR="006663E6" w:rsidRPr="005D4222" w:rsidRDefault="006663E6" w:rsidP="00807CF4">
            <w:pPr>
              <w:pStyle w:val="ECDSBody"/>
              <w:rPr>
                <w:i/>
                <w:iCs/>
              </w:rPr>
            </w:pP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84708C" w:rsidRPr="005D4222" w14:paraId="4CCA82E3" w14:textId="77777777" w:rsidTr="006663E6">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33594B9" w14:textId="77777777" w:rsidR="0084708C" w:rsidRPr="005D4222" w:rsidRDefault="0084708C" w:rsidP="00A53E8C">
            <w:pPr>
              <w:pStyle w:val="ECDSMarginHead"/>
            </w:pPr>
            <w:r w:rsidRPr="005D4222">
              <w:t>Denominator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9976E59" w14:textId="77777777" w:rsidR="0084708C" w:rsidRPr="005D4222" w:rsidRDefault="0084708C" w:rsidP="00A53E8C">
            <w:pPr>
              <w:pStyle w:val="ECDSBody"/>
              <w:rPr>
                <w:b/>
                <w:bCs w:val="0"/>
              </w:rPr>
            </w:pPr>
            <w:r w:rsidRPr="005D4222">
              <w:rPr>
                <w:b/>
                <w:bCs w:val="0"/>
              </w:rPr>
              <w:t>Outpatient general surgery episodes.</w:t>
            </w:r>
          </w:p>
          <w:p w14:paraId="517130CF" w14:textId="77777777" w:rsidR="0084708C" w:rsidRPr="005D4222" w:rsidRDefault="0084708C" w:rsidP="00A53E8C">
            <w:pPr>
              <w:pStyle w:val="ECDSBody"/>
            </w:pPr>
            <w:r w:rsidRPr="005D4222">
              <w:rPr>
                <w:b/>
              </w:rPr>
              <w:t>Step 1.</w:t>
            </w:r>
            <w:r w:rsidRPr="005D4222">
              <w:rPr>
                <w:b/>
                <w:bCs w:val="0"/>
              </w:rPr>
              <w:t xml:space="preserve"> </w:t>
            </w:r>
            <w:r w:rsidRPr="005D4222">
              <w:t>Identify outpatient general surgery episodes on or between January 1 and December 16 of the measurement period:</w:t>
            </w:r>
          </w:p>
          <w:p w14:paraId="7E6A654A" w14:textId="77777777" w:rsidR="0084708C" w:rsidRPr="005D4222" w:rsidRDefault="0084708C" w:rsidP="005D6173">
            <w:pPr>
              <w:pStyle w:val="Body"/>
              <w:numPr>
                <w:ilvl w:val="0"/>
                <w:numId w:val="126"/>
              </w:numPr>
              <w:spacing w:before="120"/>
              <w:ind w:left="648" w:hanging="288"/>
              <w:rPr>
                <w:bCs/>
              </w:rPr>
            </w:pPr>
            <w:r w:rsidRPr="005D4222">
              <w:rPr>
                <w:bCs/>
              </w:rPr>
              <w:t>Identify all outpatient general surgery episodes (</w:t>
            </w:r>
            <w:r w:rsidRPr="005D4222">
              <w:rPr>
                <w:bCs/>
                <w:u w:val="single"/>
              </w:rPr>
              <w:t>General Surgery Value Se</w:t>
            </w:r>
            <w:r w:rsidRPr="005D4222">
              <w:rPr>
                <w:u w:val="single"/>
              </w:rPr>
              <w:t>t</w:t>
            </w:r>
            <w:r w:rsidRPr="005D4222">
              <w:rPr>
                <w:bCs/>
              </w:rPr>
              <w:t xml:space="preserve"> </w:t>
            </w:r>
            <w:r w:rsidRPr="005D4222">
              <w:rPr>
                <w:b/>
                <w:i/>
                <w:iCs/>
              </w:rPr>
              <w:t>with</w:t>
            </w:r>
            <w:r w:rsidRPr="005D4222">
              <w:rPr>
                <w:bCs/>
              </w:rPr>
              <w:t xml:space="preserve"> </w:t>
            </w:r>
            <w:r w:rsidRPr="005D4222">
              <w:rPr>
                <w:bCs/>
                <w:u w:val="single"/>
              </w:rPr>
              <w:t>Ambulatory Surgery POS Value Set</w:t>
            </w:r>
            <w:r w:rsidRPr="005D4222">
              <w:rPr>
                <w:bCs/>
              </w:rPr>
              <w:t xml:space="preserve">). </w:t>
            </w:r>
          </w:p>
          <w:p w14:paraId="52BCBDE5" w14:textId="77777777" w:rsidR="0084708C" w:rsidRPr="005D4222" w:rsidRDefault="0084708C" w:rsidP="005D6173">
            <w:pPr>
              <w:pStyle w:val="Body"/>
              <w:numPr>
                <w:ilvl w:val="0"/>
                <w:numId w:val="126"/>
              </w:numPr>
              <w:spacing w:before="120"/>
              <w:ind w:left="648" w:hanging="288"/>
              <w:rPr>
                <w:bCs/>
              </w:rPr>
            </w:pPr>
            <w:r w:rsidRPr="005D4222">
              <w:rPr>
                <w:bCs/>
              </w:rPr>
              <w:t xml:space="preserve">Identify the outpatient general surgery episode date. </w:t>
            </w:r>
          </w:p>
          <w:p w14:paraId="2DCDD754" w14:textId="77777777" w:rsidR="0084708C" w:rsidRPr="005D4222" w:rsidDel="00AA4A01" w:rsidRDefault="0084708C" w:rsidP="00A53E8C">
            <w:pPr>
              <w:pStyle w:val="ECDSBody"/>
            </w:pPr>
            <w:r w:rsidRPr="005D4222">
              <w:rPr>
                <w:b/>
              </w:rPr>
              <w:t>Step 2.</w:t>
            </w:r>
            <w:r w:rsidRPr="005D4222">
              <w:t xml:space="preserve"> Exclude outpatient general surgery episodes that occur the day before an inpatient stay (</w:t>
            </w:r>
            <w:r w:rsidRPr="005D4222">
              <w:rPr>
                <w:u w:val="single"/>
              </w:rPr>
              <w:t>Inpatient Stay Value Set</w:t>
            </w:r>
            <w:r w:rsidRPr="005D4222">
              <w:t>) or observation stay (</w:t>
            </w:r>
            <w:r w:rsidRPr="005D4222">
              <w:rPr>
                <w:u w:val="single"/>
              </w:rPr>
              <w:t>Observation Stay Value Set</w:t>
            </w:r>
            <w:r w:rsidRPr="005D4222">
              <w:t>) admission date or at any time during an inpatient or observation stay.</w:t>
            </w:r>
          </w:p>
        </w:tc>
      </w:tr>
      <w:tr w:rsidR="0084708C" w:rsidRPr="005D4222" w14:paraId="45A1F1D9" w14:textId="77777777" w:rsidTr="006663E6">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00C2259" w14:textId="77777777" w:rsidR="0084708C" w:rsidRPr="005D4222" w:rsidRDefault="0084708C" w:rsidP="00A53E8C">
            <w:pPr>
              <w:pStyle w:val="ECDSMarginHead"/>
            </w:pPr>
            <w:r w:rsidRPr="005D4222">
              <w:t>Risk adjustment factors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C8E68AE" w14:textId="77777777" w:rsidR="0084708C" w:rsidRPr="005D4222" w:rsidRDefault="0084708C" w:rsidP="00A53E8C">
            <w:pPr>
              <w:pStyle w:val="ECDSBody"/>
              <w:rPr>
                <w:b/>
                <w:bCs w:val="0"/>
                <w:i/>
                <w:iCs/>
              </w:rPr>
            </w:pPr>
            <w:r w:rsidRPr="005D4222">
              <w:rPr>
                <w:b/>
                <w:bCs w:val="0"/>
                <w:i/>
                <w:iCs/>
              </w:rPr>
              <w:t>Risk Adjustment Determination</w:t>
            </w:r>
          </w:p>
          <w:p w14:paraId="3E52A577" w14:textId="77777777" w:rsidR="0084708C" w:rsidRPr="005D4222" w:rsidRDefault="0084708C" w:rsidP="00A53E8C">
            <w:pPr>
              <w:pStyle w:val="ECDSBody"/>
              <w:spacing w:before="0"/>
            </w:pPr>
            <w:r w:rsidRPr="005D4222">
              <w:rPr>
                <w:rFonts w:eastAsia="Arial"/>
                <w:bCs w:val="0"/>
                <w:szCs w:val="21"/>
              </w:rPr>
              <w:t xml:space="preserve">For each </w:t>
            </w:r>
            <w:r w:rsidRPr="005D4222">
              <w:t>outpatient general surgery episode</w:t>
            </w:r>
            <w:r w:rsidRPr="005D4222">
              <w:rPr>
                <w:rFonts w:eastAsia="Arial"/>
                <w:bCs w:val="0"/>
                <w:szCs w:val="21"/>
              </w:rPr>
              <w:t xml:space="preserve">, identify risk adjustment weights based on procedure subtype, comorbidity, age and gender. </w:t>
            </w:r>
          </w:p>
          <w:p w14:paraId="03A2A04C" w14:textId="77777777" w:rsidR="0084708C" w:rsidRPr="005D4222" w:rsidRDefault="0084708C" w:rsidP="00A53E8C">
            <w:pPr>
              <w:pStyle w:val="ECDSBody"/>
              <w:rPr>
                <w:b/>
              </w:rPr>
            </w:pPr>
            <w:r w:rsidRPr="005D4222">
              <w:rPr>
                <w:b/>
              </w:rPr>
              <w:t xml:space="preserve">Procedure subtype: </w:t>
            </w:r>
          </w:p>
          <w:p w14:paraId="10EC43D3" w14:textId="77777777" w:rsidR="0084708C" w:rsidRPr="005D4222" w:rsidRDefault="0084708C" w:rsidP="00A53E8C">
            <w:pPr>
              <w:pStyle w:val="ECDSBody"/>
            </w:pPr>
            <w:r w:rsidRPr="005D4222">
              <w:rPr>
                <w:b/>
              </w:rPr>
              <w:t>Step 1.</w:t>
            </w:r>
            <w:r w:rsidRPr="005D4222">
              <w:t xml:space="preserve"> Identify all CPT codes associated with each outpatient general surgery episode date. Some episode dates will be associated with more than one CPT code. </w:t>
            </w:r>
          </w:p>
          <w:p w14:paraId="52F2C2AE" w14:textId="77777777" w:rsidR="0084708C" w:rsidRPr="005D4222" w:rsidRDefault="0084708C" w:rsidP="00A53E8C">
            <w:pPr>
              <w:pStyle w:val="ECDSBody"/>
            </w:pPr>
            <w:r w:rsidRPr="005D4222">
              <w:rPr>
                <w:b/>
              </w:rPr>
              <w:t>Step 2.</w:t>
            </w:r>
            <w:r w:rsidRPr="005D4222">
              <w:t xml:space="preserve"> Assign each CPT code to a procedure subtype using Table Proc—Mapping in the Risk Adjustment Shared Tables. Capture all associated CCS categories for each episode. Exclude CPT codes that cannot be assigned to a CCS category. If multiple CPT codes map to one CCS category, only count that CCS category once.</w:t>
            </w:r>
          </w:p>
          <w:p w14:paraId="46235C8F" w14:textId="77777777" w:rsidR="0084708C" w:rsidRPr="005D4222" w:rsidRDefault="0084708C" w:rsidP="0084708C">
            <w:pPr>
              <w:pStyle w:val="Bullet"/>
              <w:numPr>
                <w:ilvl w:val="0"/>
                <w:numId w:val="4"/>
              </w:numPr>
              <w:tabs>
                <w:tab w:val="left" w:pos="360"/>
                <w:tab w:val="left" w:pos="576"/>
              </w:tabs>
              <w:ind w:left="576" w:hanging="216"/>
            </w:pPr>
            <w:r w:rsidRPr="005D4222">
              <w:rPr>
                <w:bCs/>
                <w:i/>
                <w:iCs/>
              </w:rPr>
              <w:t xml:space="preserve">For example, </w:t>
            </w:r>
            <w:r w:rsidRPr="005D4222">
              <w:rPr>
                <w:bCs/>
              </w:rPr>
              <w:t>a</w:t>
            </w:r>
            <w:r w:rsidRPr="005D4222">
              <w:t>ssume an episode date has CPT 10160, CPT 11762 and CPT 15934 codes.</w:t>
            </w:r>
          </w:p>
          <w:p w14:paraId="55A2C180" w14:textId="77777777" w:rsidR="0084708C" w:rsidRPr="005D4222" w:rsidRDefault="0084708C" w:rsidP="0084708C">
            <w:pPr>
              <w:pStyle w:val="Dash"/>
              <w:tabs>
                <w:tab w:val="left" w:pos="576"/>
                <w:tab w:val="left" w:pos="792"/>
              </w:tabs>
            </w:pPr>
            <w:r w:rsidRPr="005D4222">
              <w:t>CPT 10160 maps to CCS 170 (Excision of skin lesion).</w:t>
            </w:r>
          </w:p>
          <w:p w14:paraId="5FE62663" w14:textId="77777777" w:rsidR="0084708C" w:rsidRPr="005D4222" w:rsidRDefault="0084708C" w:rsidP="0084708C">
            <w:pPr>
              <w:pStyle w:val="Dash"/>
              <w:tabs>
                <w:tab w:val="left" w:pos="576"/>
                <w:tab w:val="left" w:pos="792"/>
              </w:tabs>
            </w:pPr>
            <w:r w:rsidRPr="005D4222">
              <w:t>CPT 11762 maps to CCS 175 (Other OR therapeutic procedures on skin and breast).</w:t>
            </w:r>
          </w:p>
          <w:p w14:paraId="1B5B8A78" w14:textId="77777777" w:rsidR="0084708C" w:rsidRPr="005D4222" w:rsidRDefault="0084708C" w:rsidP="0084708C">
            <w:pPr>
              <w:pStyle w:val="Dash"/>
              <w:tabs>
                <w:tab w:val="left" w:pos="576"/>
                <w:tab w:val="left" w:pos="792"/>
              </w:tabs>
            </w:pPr>
            <w:r w:rsidRPr="005D4222">
              <w:t>CPT 15934 maps to CCS 170 (Excision of skin lesion).</w:t>
            </w:r>
          </w:p>
          <w:p w14:paraId="21DBE3A7" w14:textId="77777777" w:rsidR="0084708C" w:rsidRPr="005D4222" w:rsidRDefault="0084708C" w:rsidP="00680C27">
            <w:pPr>
              <w:pStyle w:val="Body"/>
              <w:spacing w:before="80"/>
              <w:ind w:left="576"/>
              <w:rPr>
                <w:rFonts w:cs="Arial"/>
              </w:rPr>
            </w:pPr>
            <w:r w:rsidRPr="005D4222">
              <w:rPr>
                <w:rFonts w:cs="Arial"/>
              </w:rPr>
              <w:t>The final procedure subtypes for this episode date are CCS 170 and CCS 175. Only count CCS 170 once.</w:t>
            </w:r>
          </w:p>
          <w:p w14:paraId="0BB95124" w14:textId="77777777" w:rsidR="0084708C" w:rsidRPr="005D4222" w:rsidRDefault="0084708C" w:rsidP="00A53E8C">
            <w:pPr>
              <w:pStyle w:val="ECDSBody"/>
            </w:pPr>
            <w:r w:rsidRPr="005D4222">
              <w:rPr>
                <w:b/>
                <w:bCs w:val="0"/>
              </w:rPr>
              <w:t xml:space="preserve">Comorbidities: </w:t>
            </w:r>
          </w:p>
          <w:p w14:paraId="5D9559C6" w14:textId="32B21FBB" w:rsidR="0084708C" w:rsidRPr="005D4222" w:rsidRDefault="0084708C" w:rsidP="00680C27">
            <w:pPr>
              <w:pStyle w:val="ECDSBody"/>
              <w:rPr>
                <w:b/>
              </w:rPr>
            </w:pPr>
            <w:r w:rsidRPr="005D4222">
              <w:rPr>
                <w:b/>
              </w:rPr>
              <w:t>Step 1.</w:t>
            </w:r>
            <w:r w:rsidRPr="005D4222">
              <w:t xml:space="preserve"> Identify all diagnoses for encounters during the 365 days prior to and on the date of the outpatient general surgery episode date. Include the following when identifying encounters:</w:t>
            </w:r>
          </w:p>
        </w:tc>
      </w:tr>
    </w:tbl>
    <w:p w14:paraId="0573D2FA" w14:textId="77777777" w:rsidR="00680C27" w:rsidRPr="005D4222" w:rsidRDefault="00680C27">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680C27" w:rsidRPr="005D4222" w14:paraId="772E3C75" w14:textId="77777777" w:rsidTr="006663E6">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18BD0AA" w14:textId="77777777" w:rsidR="00680C27" w:rsidRPr="005D4222" w:rsidRDefault="00680C27"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005F8D8" w14:textId="77777777" w:rsidR="00680C27" w:rsidRPr="005D4222" w:rsidRDefault="00680C27" w:rsidP="001B0105">
            <w:pPr>
              <w:pStyle w:val="Bullet"/>
              <w:numPr>
                <w:ilvl w:val="0"/>
                <w:numId w:val="4"/>
              </w:numPr>
              <w:tabs>
                <w:tab w:val="left" w:pos="360"/>
                <w:tab w:val="left" w:pos="576"/>
              </w:tabs>
              <w:spacing w:before="120"/>
              <w:ind w:left="576" w:hanging="216"/>
            </w:pPr>
            <w:r w:rsidRPr="005D4222">
              <w:t>Outpatient visits, ED visits, telephone visits, nonacute inpatient encounters and acute inpatient encounters (</w:t>
            </w:r>
            <w:r w:rsidRPr="005D4222">
              <w:rPr>
                <w:u w:val="single"/>
              </w:rPr>
              <w:t>Outpatient, ED, Telephone, Acute Inpatient and Nonacute Inpatient Value Set</w:t>
            </w:r>
            <w:r w:rsidRPr="005D4222">
              <w:t xml:space="preserve">) with a date of service 365 days prior to and on the date of the </w:t>
            </w:r>
            <w:r w:rsidRPr="005D4222">
              <w:rPr>
                <w:rFonts w:cs="Arial"/>
              </w:rPr>
              <w:t>outpatient general surgery episode date</w:t>
            </w:r>
            <w:r w:rsidRPr="005D4222">
              <w:t>.</w:t>
            </w:r>
          </w:p>
          <w:p w14:paraId="302874A6" w14:textId="77777777" w:rsidR="00680C27" w:rsidRPr="005D4222" w:rsidRDefault="00680C27" w:rsidP="00680C27">
            <w:pPr>
              <w:pStyle w:val="Bullet"/>
              <w:numPr>
                <w:ilvl w:val="0"/>
                <w:numId w:val="4"/>
              </w:numPr>
              <w:tabs>
                <w:tab w:val="left" w:pos="360"/>
                <w:tab w:val="left" w:pos="576"/>
              </w:tabs>
              <w:spacing w:before="60" w:after="80"/>
              <w:ind w:left="576" w:hanging="216"/>
              <w:rPr>
                <w:rFonts w:cs="Arial"/>
              </w:rPr>
            </w:pPr>
            <w:r w:rsidRPr="005D4222">
              <w:t>Acute and nonacute inpatient discharges (</w:t>
            </w:r>
            <w:r w:rsidRPr="005D4222">
              <w:rPr>
                <w:u w:val="single"/>
              </w:rPr>
              <w:t>Inpatient Stay Value Set</w:t>
            </w:r>
            <w:r w:rsidRPr="005D4222">
              <w:t xml:space="preserve">) with a discharge date 365 days prior to and on the date of the </w:t>
            </w:r>
            <w:r w:rsidRPr="005D4222">
              <w:rPr>
                <w:rFonts w:cs="Arial"/>
              </w:rPr>
              <w:t>outpatient general surgery episode date</w:t>
            </w:r>
            <w:r w:rsidRPr="005D4222">
              <w:t xml:space="preserve">. </w:t>
            </w:r>
          </w:p>
          <w:p w14:paraId="1B0FD9A7" w14:textId="77777777" w:rsidR="00680C27" w:rsidRPr="005D4222" w:rsidRDefault="00680C27" w:rsidP="00680C27">
            <w:pPr>
              <w:pStyle w:val="Bullet"/>
              <w:numPr>
                <w:ilvl w:val="0"/>
                <w:numId w:val="4"/>
              </w:numPr>
              <w:tabs>
                <w:tab w:val="left" w:pos="360"/>
                <w:tab w:val="left" w:pos="576"/>
              </w:tabs>
              <w:spacing w:after="80"/>
              <w:ind w:left="576" w:hanging="216"/>
              <w:rPr>
                <w:rFonts w:cs="Arial"/>
              </w:rPr>
            </w:pPr>
            <w:r w:rsidRPr="005D4222">
              <w:rPr>
                <w:rFonts w:cs="Arial"/>
              </w:rPr>
              <w:t>Outpatient general surgery episodes (</w:t>
            </w:r>
            <w:r w:rsidRPr="005D4222">
              <w:rPr>
                <w:rFonts w:cs="Arial"/>
                <w:u w:val="single"/>
              </w:rPr>
              <w:t>General Surgery Value Set</w:t>
            </w:r>
            <w:r w:rsidRPr="005D4222">
              <w:rPr>
                <w:rFonts w:cs="Arial"/>
              </w:rPr>
              <w:t xml:space="preserve"> </w:t>
            </w:r>
            <w:r w:rsidRPr="005D4222">
              <w:rPr>
                <w:rFonts w:cs="Arial"/>
                <w:b/>
                <w:bCs/>
                <w:i/>
                <w:iCs/>
              </w:rPr>
              <w:t>with</w:t>
            </w:r>
            <w:r w:rsidRPr="005D4222">
              <w:rPr>
                <w:rFonts w:cs="Arial"/>
              </w:rPr>
              <w:t xml:space="preserve"> </w:t>
            </w:r>
            <w:r w:rsidRPr="005D4222">
              <w:rPr>
                <w:rFonts w:cs="Arial"/>
                <w:u w:val="single"/>
              </w:rPr>
              <w:t>Ambulatory Surgery POS Value Set</w:t>
            </w:r>
            <w:r w:rsidRPr="005D4222">
              <w:rPr>
                <w:rFonts w:cs="Arial"/>
              </w:rPr>
              <w:t>).</w:t>
            </w:r>
          </w:p>
          <w:p w14:paraId="4A1D8ADF" w14:textId="77777777" w:rsidR="00680C27" w:rsidRPr="005D4222" w:rsidRDefault="00680C27" w:rsidP="00680C27">
            <w:pPr>
              <w:pStyle w:val="ECDSBody"/>
            </w:pPr>
            <w:r w:rsidRPr="005D4222">
              <w:rPr>
                <w:b/>
              </w:rPr>
              <w:t xml:space="preserve">Step 2. </w:t>
            </w:r>
            <w:r w:rsidRPr="005D4222">
              <w:t>Assign each diagnosis to one or more comorbid Clinical Condition (CC) category using Table CC—Mapping in the Risk Adjustment Shared Tables. If the code appears more than once in Table CC—Mapping, it is assigned to multiple CCs.</w:t>
            </w:r>
          </w:p>
          <w:p w14:paraId="6A65777C" w14:textId="77777777" w:rsidR="00680C27" w:rsidRPr="005D4222" w:rsidRDefault="00680C27" w:rsidP="00680C27">
            <w:pPr>
              <w:pStyle w:val="ECDSBody"/>
            </w:pPr>
            <w:r w:rsidRPr="005D4222">
              <w:t xml:space="preserve">Exclude all diagnoses that cannot be assigned to a comorbid CC category. For denominator units with no qualifying diagnoses from face-to-face encounters, skip to </w:t>
            </w:r>
            <w:r w:rsidRPr="005D4222">
              <w:rPr>
                <w:i/>
                <w:iCs/>
              </w:rPr>
              <w:t>Risk Adjustment Calculation</w:t>
            </w:r>
            <w:r w:rsidRPr="005D4222">
              <w:t>.</w:t>
            </w:r>
          </w:p>
          <w:p w14:paraId="51A5AE28" w14:textId="77777777" w:rsidR="00680C27" w:rsidRPr="005D4222" w:rsidRDefault="00680C27" w:rsidP="00680C27">
            <w:pPr>
              <w:pStyle w:val="ECDSBody"/>
            </w:pPr>
            <w:r w:rsidRPr="005D4222">
              <w:t>All digits must match exactly when mapping diagnosis codes to the comorbid CCs.</w:t>
            </w:r>
          </w:p>
          <w:p w14:paraId="5C1713C4" w14:textId="77777777" w:rsidR="00680C27" w:rsidRPr="005D4222" w:rsidRDefault="00680C27" w:rsidP="00680C27">
            <w:pPr>
              <w:pStyle w:val="ECDSBody"/>
            </w:pPr>
            <w:r w:rsidRPr="005D4222">
              <w:rPr>
                <w:b/>
              </w:rPr>
              <w:t xml:space="preserve">Step 3. </w:t>
            </w:r>
            <w:r w:rsidRPr="005D4222">
              <w:t>Determine HCCs for each comorbid CC identified. Refer to Table HCC—Rank.</w:t>
            </w:r>
          </w:p>
          <w:p w14:paraId="7C5E1ADE" w14:textId="77777777" w:rsidR="00680C27" w:rsidRPr="005D4222" w:rsidRDefault="00680C27" w:rsidP="00680C27">
            <w:pPr>
              <w:pStyle w:val="ECDSBody"/>
            </w:pPr>
            <w:r w:rsidRPr="005D4222">
              <w:t>For each denominator unit’s comorbid CC list, match the comorbid CC code to the comorbid CC code in the table, and assign:</w:t>
            </w:r>
          </w:p>
          <w:p w14:paraId="4139C097" w14:textId="77777777" w:rsidR="00680C27" w:rsidRPr="005D4222" w:rsidRDefault="00680C27" w:rsidP="00680C27">
            <w:pPr>
              <w:pStyle w:val="Bullet"/>
              <w:numPr>
                <w:ilvl w:val="0"/>
                <w:numId w:val="4"/>
              </w:numPr>
              <w:tabs>
                <w:tab w:val="left" w:pos="360"/>
                <w:tab w:val="left" w:pos="576"/>
              </w:tabs>
              <w:ind w:left="576" w:hanging="216"/>
            </w:pPr>
            <w:r w:rsidRPr="005D4222">
              <w:t>The ranking group.</w:t>
            </w:r>
          </w:p>
          <w:p w14:paraId="5F9E4A21" w14:textId="77777777" w:rsidR="00680C27" w:rsidRPr="005D4222" w:rsidRDefault="00680C27" w:rsidP="00680C27">
            <w:pPr>
              <w:pStyle w:val="Bullet"/>
              <w:numPr>
                <w:ilvl w:val="0"/>
                <w:numId w:val="4"/>
              </w:numPr>
              <w:tabs>
                <w:tab w:val="left" w:pos="360"/>
                <w:tab w:val="left" w:pos="576"/>
              </w:tabs>
              <w:ind w:left="576" w:hanging="216"/>
            </w:pPr>
            <w:r w:rsidRPr="005D4222">
              <w:t>The rank.</w:t>
            </w:r>
          </w:p>
          <w:p w14:paraId="568EB5B2" w14:textId="77777777" w:rsidR="00680C27" w:rsidRPr="005D4222" w:rsidRDefault="00680C27" w:rsidP="00680C27">
            <w:pPr>
              <w:pStyle w:val="Bullet"/>
              <w:numPr>
                <w:ilvl w:val="0"/>
                <w:numId w:val="4"/>
              </w:numPr>
              <w:tabs>
                <w:tab w:val="left" w:pos="360"/>
                <w:tab w:val="left" w:pos="576"/>
              </w:tabs>
              <w:ind w:left="576" w:hanging="216"/>
            </w:pPr>
            <w:r w:rsidRPr="005D4222">
              <w:t>The HCC.</w:t>
            </w:r>
          </w:p>
          <w:p w14:paraId="3BDD421C" w14:textId="77777777" w:rsidR="00680C27" w:rsidRPr="005D4222" w:rsidRDefault="00680C27" w:rsidP="00680C27">
            <w:pPr>
              <w:pStyle w:val="ECDSBody"/>
            </w:pPr>
            <w:r w:rsidRPr="005D4222">
              <w:t>For comorbid CCs that do not match to Table HCC—Rank, use the comorbid CC as the HCC and assign a rank of 1. One comorbid CC can map to multiple HCCs; each HCC can have one or more comorbid CCs.</w:t>
            </w:r>
          </w:p>
          <w:p w14:paraId="323DFAD9" w14:textId="77777777" w:rsidR="00680C27" w:rsidRPr="005D4222" w:rsidRDefault="00680C27" w:rsidP="00680C27">
            <w:pPr>
              <w:pStyle w:val="ECDSBody"/>
            </w:pPr>
            <w:r w:rsidRPr="005D4222">
              <w:rPr>
                <w:b/>
              </w:rPr>
              <w:t>Step 4.</w:t>
            </w:r>
            <w:r w:rsidRPr="005D4222">
              <w:t xml:space="preserve"> Assess each ranking group separately and select only the highest ranked HCC in each ranking group using the “Rank” column (1 is the highest rank possible). </w:t>
            </w:r>
          </w:p>
          <w:p w14:paraId="0ECD2609" w14:textId="77777777" w:rsidR="00680C27" w:rsidRPr="005D4222" w:rsidRDefault="00680C27" w:rsidP="00680C27">
            <w:pPr>
              <w:pStyle w:val="ECDSBody"/>
              <w:rPr>
                <w:b/>
              </w:rPr>
            </w:pPr>
            <w:r w:rsidRPr="005D4222">
              <w:t>Drop all other HCCs in each ranking group, and de-duplicate the HCC list if necessary.</w:t>
            </w:r>
          </w:p>
          <w:p w14:paraId="6F38DA85" w14:textId="77777777" w:rsidR="00680C27" w:rsidRPr="005D4222" w:rsidRDefault="00680C27" w:rsidP="00680C27">
            <w:pPr>
              <w:pStyle w:val="Bullet"/>
              <w:numPr>
                <w:ilvl w:val="0"/>
                <w:numId w:val="4"/>
              </w:numPr>
              <w:tabs>
                <w:tab w:val="left" w:pos="360"/>
                <w:tab w:val="left" w:pos="576"/>
              </w:tabs>
              <w:ind w:left="576" w:hanging="216"/>
            </w:pPr>
            <w:r w:rsidRPr="005D4222">
              <w:rPr>
                <w:bCs/>
                <w:i/>
                <w:iCs/>
              </w:rPr>
              <w:t>For e</w:t>
            </w:r>
            <w:r w:rsidRPr="005D4222">
              <w:rPr>
                <w:i/>
                <w:iCs/>
              </w:rPr>
              <w:t xml:space="preserve">xample, </w:t>
            </w:r>
            <w:r w:rsidRPr="005D4222">
              <w:t xml:space="preserve">assume a denominator unit with the following comorbid CCs: CC-85, CC-17 and CC-19 (assume no other CCs). </w:t>
            </w:r>
          </w:p>
          <w:p w14:paraId="73240372" w14:textId="77777777" w:rsidR="00680C27" w:rsidRPr="005D4222" w:rsidRDefault="00680C27" w:rsidP="00680C27">
            <w:pPr>
              <w:pStyle w:val="Dash"/>
              <w:tabs>
                <w:tab w:val="left" w:pos="576"/>
                <w:tab w:val="left" w:pos="792"/>
              </w:tabs>
            </w:pPr>
            <w:r w:rsidRPr="005D4222">
              <w:t xml:space="preserve">CC-85 does not have a map to the ranking table and becomes </w:t>
            </w:r>
            <w:r w:rsidRPr="005D4222">
              <w:br/>
              <w:t>HCC-85.</w:t>
            </w:r>
          </w:p>
          <w:p w14:paraId="47A5123E" w14:textId="77777777" w:rsidR="00680C27" w:rsidRPr="005D4222" w:rsidRDefault="00680C27" w:rsidP="00680C27">
            <w:pPr>
              <w:pStyle w:val="Dash"/>
              <w:tabs>
                <w:tab w:val="left" w:pos="576"/>
                <w:tab w:val="left" w:pos="792"/>
              </w:tabs>
            </w:pPr>
            <w:r w:rsidRPr="005D4222">
              <w:t xml:space="preserve">HCC-17 and HCC-19 are part of Diabetes Ranking Group 1. Because CC-17 is ranked higher than CC-19 in Ranking Group Diabetes 1, the comorbidity is assigned as HCC-17 for Ranking Group 1. </w:t>
            </w:r>
          </w:p>
          <w:p w14:paraId="5BD0E000" w14:textId="3F4FC39B" w:rsidR="00680C27" w:rsidRPr="005D4222" w:rsidRDefault="00680C27" w:rsidP="001B0105">
            <w:pPr>
              <w:pStyle w:val="ECDSBody"/>
              <w:spacing w:before="80"/>
              <w:ind w:left="576"/>
              <w:rPr>
                <w:b/>
                <w:i/>
                <w:iCs/>
              </w:rPr>
            </w:pPr>
            <w:r w:rsidRPr="005D4222">
              <w:t xml:space="preserve">The final comorbidities for this denominator unit are HCC-17 and </w:t>
            </w:r>
            <w:r w:rsidRPr="005D4222">
              <w:br/>
              <w:t>HCC-85.</w:t>
            </w:r>
          </w:p>
        </w:tc>
      </w:tr>
    </w:tbl>
    <w:p w14:paraId="3149E860" w14:textId="77777777" w:rsidR="001B0105" w:rsidRPr="005D4222" w:rsidRDefault="001B0105"/>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84708C" w:rsidRPr="005D4222" w14:paraId="5035576C" w14:textId="77777777" w:rsidTr="006663E6">
        <w:tc>
          <w:tcPr>
            <w:tcW w:w="2157" w:type="dxa"/>
            <w:tcBorders>
              <w:top w:val="single" w:sz="4" w:space="0" w:color="auto"/>
              <w:left w:val="single" w:sz="2" w:space="0" w:color="auto"/>
              <w:bottom w:val="nil"/>
              <w:right w:val="single" w:sz="2" w:space="0" w:color="auto"/>
            </w:tcBorders>
            <w:shd w:val="clear" w:color="auto" w:fill="BFBFBF" w:themeFill="background1" w:themeFillShade="BF"/>
            <w:tcMar>
              <w:top w:w="0" w:type="dxa"/>
              <w:left w:w="86" w:type="dxa"/>
              <w:bottom w:w="43" w:type="dxa"/>
              <w:right w:w="86" w:type="dxa"/>
            </w:tcMar>
          </w:tcPr>
          <w:p w14:paraId="70C7E167" w14:textId="77777777" w:rsidR="0084708C" w:rsidRPr="005D4222" w:rsidRDefault="0084708C"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8A60EDB" w14:textId="77777777" w:rsidR="00680C27" w:rsidRPr="005D4222" w:rsidRDefault="00680C27" w:rsidP="00813FE1">
            <w:pPr>
              <w:pStyle w:val="Heading3"/>
              <w:spacing w:before="120"/>
            </w:pPr>
            <w:r w:rsidRPr="005D4222">
              <w:t>Table HCC—Rank</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6"/>
              <w:gridCol w:w="884"/>
              <w:gridCol w:w="3296"/>
              <w:gridCol w:w="900"/>
              <w:gridCol w:w="989"/>
            </w:tblGrid>
            <w:tr w:rsidR="00680C27" w:rsidRPr="005D4222" w14:paraId="1B7F964D" w14:textId="77777777" w:rsidTr="00A53E8C">
              <w:trPr>
                <w:trHeight w:val="339"/>
              </w:trPr>
              <w:tc>
                <w:tcPr>
                  <w:tcW w:w="1306" w:type="dxa"/>
                  <w:tcBorders>
                    <w:right w:val="single" w:sz="6" w:space="0" w:color="FFFFFF" w:themeColor="background1"/>
                  </w:tcBorders>
                  <w:shd w:val="clear" w:color="auto" w:fill="000000" w:themeFill="text1"/>
                  <w:vAlign w:val="bottom"/>
                  <w:hideMark/>
                </w:tcPr>
                <w:p w14:paraId="1594D76E" w14:textId="77777777" w:rsidR="00680C27" w:rsidRPr="005D4222" w:rsidRDefault="00680C27" w:rsidP="00680C27">
                  <w:pPr>
                    <w:pStyle w:val="TableHead"/>
                    <w:rPr>
                      <w:color w:val="auto"/>
                    </w:rPr>
                  </w:pPr>
                  <w:r w:rsidRPr="005D4222">
                    <w:rPr>
                      <w:color w:val="auto"/>
                    </w:rPr>
                    <w:t>Ranking Group</w:t>
                  </w:r>
                </w:p>
              </w:tc>
              <w:tc>
                <w:tcPr>
                  <w:tcW w:w="884" w:type="dxa"/>
                  <w:tcBorders>
                    <w:left w:val="single" w:sz="6" w:space="0" w:color="FFFFFF" w:themeColor="background1"/>
                    <w:right w:val="single" w:sz="6" w:space="0" w:color="FFFFFF" w:themeColor="background1"/>
                  </w:tcBorders>
                  <w:shd w:val="clear" w:color="auto" w:fill="000000" w:themeFill="text1"/>
                  <w:vAlign w:val="bottom"/>
                  <w:hideMark/>
                </w:tcPr>
                <w:p w14:paraId="0A1951C9" w14:textId="77777777" w:rsidR="00680C27" w:rsidRPr="005D4222" w:rsidRDefault="00680C27" w:rsidP="00680C27">
                  <w:pPr>
                    <w:pStyle w:val="TableHead"/>
                    <w:rPr>
                      <w:color w:val="auto"/>
                    </w:rPr>
                  </w:pPr>
                  <w:r w:rsidRPr="005D4222">
                    <w:rPr>
                      <w:color w:val="auto"/>
                    </w:rPr>
                    <w:t>CC</w:t>
                  </w:r>
                </w:p>
              </w:tc>
              <w:tc>
                <w:tcPr>
                  <w:tcW w:w="3296" w:type="dxa"/>
                  <w:tcBorders>
                    <w:left w:val="single" w:sz="6" w:space="0" w:color="FFFFFF" w:themeColor="background1"/>
                    <w:right w:val="single" w:sz="6" w:space="0" w:color="FFFFFF" w:themeColor="background1"/>
                  </w:tcBorders>
                  <w:shd w:val="clear" w:color="auto" w:fill="000000" w:themeFill="text1"/>
                  <w:vAlign w:val="bottom"/>
                  <w:hideMark/>
                </w:tcPr>
                <w:p w14:paraId="08632FB0" w14:textId="77777777" w:rsidR="00680C27" w:rsidRPr="005D4222" w:rsidRDefault="00680C27" w:rsidP="00680C27">
                  <w:pPr>
                    <w:pStyle w:val="TableHead"/>
                    <w:rPr>
                      <w:color w:val="auto"/>
                    </w:rPr>
                  </w:pPr>
                  <w:r w:rsidRPr="005D4222">
                    <w:rPr>
                      <w:color w:val="auto"/>
                    </w:rPr>
                    <w:t>Description</w:t>
                  </w:r>
                </w:p>
              </w:tc>
              <w:tc>
                <w:tcPr>
                  <w:tcW w:w="900" w:type="dxa"/>
                  <w:tcBorders>
                    <w:left w:val="single" w:sz="6" w:space="0" w:color="FFFFFF" w:themeColor="background1"/>
                    <w:right w:val="single" w:sz="6" w:space="0" w:color="FFFFFF" w:themeColor="background1"/>
                  </w:tcBorders>
                  <w:shd w:val="clear" w:color="auto" w:fill="000000" w:themeFill="text1"/>
                  <w:vAlign w:val="bottom"/>
                  <w:hideMark/>
                </w:tcPr>
                <w:p w14:paraId="60293818" w14:textId="77777777" w:rsidR="00680C27" w:rsidRPr="005D4222" w:rsidRDefault="00680C27" w:rsidP="00680C27">
                  <w:pPr>
                    <w:pStyle w:val="TableHead"/>
                    <w:rPr>
                      <w:color w:val="auto"/>
                    </w:rPr>
                  </w:pPr>
                  <w:r w:rsidRPr="005D4222">
                    <w:rPr>
                      <w:color w:val="auto"/>
                    </w:rPr>
                    <w:t>Rank</w:t>
                  </w:r>
                </w:p>
              </w:tc>
              <w:tc>
                <w:tcPr>
                  <w:tcW w:w="989" w:type="dxa"/>
                  <w:tcBorders>
                    <w:left w:val="single" w:sz="6" w:space="0" w:color="FFFFFF" w:themeColor="background1"/>
                  </w:tcBorders>
                  <w:shd w:val="clear" w:color="auto" w:fill="000000" w:themeFill="text1"/>
                  <w:vAlign w:val="bottom"/>
                  <w:hideMark/>
                </w:tcPr>
                <w:p w14:paraId="2859E3A9" w14:textId="77777777" w:rsidR="00680C27" w:rsidRPr="005D4222" w:rsidRDefault="00680C27" w:rsidP="00680C27">
                  <w:pPr>
                    <w:pStyle w:val="TableHead"/>
                    <w:rPr>
                      <w:color w:val="auto"/>
                    </w:rPr>
                  </w:pPr>
                  <w:r w:rsidRPr="005D4222">
                    <w:rPr>
                      <w:color w:val="auto"/>
                    </w:rPr>
                    <w:t>HCC</w:t>
                  </w:r>
                </w:p>
              </w:tc>
            </w:tr>
            <w:tr w:rsidR="00680C27" w:rsidRPr="005D4222" w14:paraId="46D33560" w14:textId="77777777" w:rsidTr="00A53E8C">
              <w:trPr>
                <w:trHeight w:val="351"/>
              </w:trPr>
              <w:tc>
                <w:tcPr>
                  <w:tcW w:w="1306" w:type="dxa"/>
                  <w:tcBorders>
                    <w:bottom w:val="single" w:sz="4" w:space="0" w:color="000000" w:themeColor="text1"/>
                  </w:tcBorders>
                  <w:hideMark/>
                </w:tcPr>
                <w:p w14:paraId="08B5BB87" w14:textId="77777777" w:rsidR="00680C27" w:rsidRPr="005D4222" w:rsidRDefault="00680C27" w:rsidP="00680C27">
                  <w:pPr>
                    <w:pStyle w:val="TableText"/>
                  </w:pPr>
                  <w:r w:rsidRPr="005D4222">
                    <w:t>NA</w:t>
                  </w:r>
                </w:p>
              </w:tc>
              <w:tc>
                <w:tcPr>
                  <w:tcW w:w="884" w:type="dxa"/>
                  <w:tcBorders>
                    <w:bottom w:val="single" w:sz="4" w:space="0" w:color="000000" w:themeColor="text1"/>
                  </w:tcBorders>
                  <w:hideMark/>
                </w:tcPr>
                <w:p w14:paraId="3EE7DC52" w14:textId="77777777" w:rsidR="00680C27" w:rsidRPr="005D4222" w:rsidRDefault="00680C27" w:rsidP="00680C27">
                  <w:pPr>
                    <w:pStyle w:val="TableText"/>
                    <w:jc w:val="center"/>
                  </w:pPr>
                  <w:r w:rsidRPr="005D4222">
                    <w:t>CC-85</w:t>
                  </w:r>
                </w:p>
              </w:tc>
              <w:tc>
                <w:tcPr>
                  <w:tcW w:w="3296" w:type="dxa"/>
                  <w:tcBorders>
                    <w:bottom w:val="single" w:sz="4" w:space="0" w:color="000000" w:themeColor="text1"/>
                  </w:tcBorders>
                  <w:hideMark/>
                </w:tcPr>
                <w:p w14:paraId="5FFC0B0E" w14:textId="77777777" w:rsidR="00680C27" w:rsidRPr="005D4222" w:rsidRDefault="00680C27" w:rsidP="00680C27">
                  <w:pPr>
                    <w:pStyle w:val="TableText"/>
                  </w:pPr>
                  <w:r w:rsidRPr="005D4222">
                    <w:t>Congestive Heart Failure</w:t>
                  </w:r>
                </w:p>
              </w:tc>
              <w:tc>
                <w:tcPr>
                  <w:tcW w:w="900" w:type="dxa"/>
                  <w:tcBorders>
                    <w:bottom w:val="single" w:sz="4" w:space="0" w:color="000000" w:themeColor="text1"/>
                  </w:tcBorders>
                  <w:hideMark/>
                </w:tcPr>
                <w:p w14:paraId="63410D0C" w14:textId="77777777" w:rsidR="00680C27" w:rsidRPr="005D4222" w:rsidRDefault="00680C27" w:rsidP="00680C27">
                  <w:pPr>
                    <w:pStyle w:val="TableText"/>
                    <w:jc w:val="center"/>
                  </w:pPr>
                  <w:r w:rsidRPr="005D4222">
                    <w:t>NA</w:t>
                  </w:r>
                </w:p>
              </w:tc>
              <w:tc>
                <w:tcPr>
                  <w:tcW w:w="989" w:type="dxa"/>
                  <w:tcBorders>
                    <w:bottom w:val="single" w:sz="4" w:space="0" w:color="000000" w:themeColor="text1"/>
                  </w:tcBorders>
                  <w:hideMark/>
                </w:tcPr>
                <w:p w14:paraId="519E73F4" w14:textId="77777777" w:rsidR="00680C27" w:rsidRPr="005D4222" w:rsidRDefault="00680C27" w:rsidP="00680C27">
                  <w:pPr>
                    <w:pStyle w:val="TableText"/>
                    <w:jc w:val="center"/>
                  </w:pPr>
                  <w:r w:rsidRPr="005D4222">
                    <w:t>HCC-85</w:t>
                  </w:r>
                </w:p>
              </w:tc>
            </w:tr>
            <w:tr w:rsidR="00680C27" w:rsidRPr="005D4222" w14:paraId="67C7B528" w14:textId="77777777" w:rsidTr="00A53E8C">
              <w:trPr>
                <w:trHeight w:val="339"/>
              </w:trPr>
              <w:tc>
                <w:tcPr>
                  <w:tcW w:w="1306" w:type="dxa"/>
                  <w:vMerge w:val="restart"/>
                  <w:shd w:val="clear" w:color="auto" w:fill="FFFFFF" w:themeFill="background1"/>
                  <w:vAlign w:val="center"/>
                  <w:hideMark/>
                </w:tcPr>
                <w:p w14:paraId="2FB386A2" w14:textId="77777777" w:rsidR="00680C27" w:rsidRPr="005D4222" w:rsidRDefault="00680C27" w:rsidP="00680C27">
                  <w:pPr>
                    <w:pStyle w:val="TableText"/>
                    <w:rPr>
                      <w:rFonts w:cs="Arial"/>
                    </w:rPr>
                  </w:pPr>
                  <w:r w:rsidRPr="005D4222">
                    <w:rPr>
                      <w:rFonts w:cs="Arial"/>
                    </w:rPr>
                    <w:t xml:space="preserve">Diabetes 1 </w:t>
                  </w:r>
                </w:p>
              </w:tc>
              <w:tc>
                <w:tcPr>
                  <w:tcW w:w="884" w:type="dxa"/>
                  <w:tcBorders>
                    <w:bottom w:val="dotted" w:sz="6" w:space="0" w:color="auto"/>
                  </w:tcBorders>
                  <w:shd w:val="clear" w:color="auto" w:fill="FFFFFF" w:themeFill="background1"/>
                  <w:hideMark/>
                </w:tcPr>
                <w:p w14:paraId="1540B7C4" w14:textId="77777777" w:rsidR="00680C27" w:rsidRPr="005D4222" w:rsidRDefault="00680C27" w:rsidP="00680C27">
                  <w:pPr>
                    <w:pStyle w:val="TableText"/>
                    <w:jc w:val="center"/>
                    <w:rPr>
                      <w:rFonts w:cs="Arial"/>
                    </w:rPr>
                  </w:pPr>
                  <w:r w:rsidRPr="005D4222">
                    <w:rPr>
                      <w:rFonts w:cs="Arial"/>
                    </w:rPr>
                    <w:t>CC-17</w:t>
                  </w:r>
                </w:p>
              </w:tc>
              <w:tc>
                <w:tcPr>
                  <w:tcW w:w="3296" w:type="dxa"/>
                  <w:tcBorders>
                    <w:bottom w:val="dotted" w:sz="6" w:space="0" w:color="auto"/>
                  </w:tcBorders>
                  <w:shd w:val="clear" w:color="auto" w:fill="FFFFFF" w:themeFill="background1"/>
                  <w:hideMark/>
                </w:tcPr>
                <w:p w14:paraId="6ED6958B" w14:textId="77777777" w:rsidR="00680C27" w:rsidRPr="005D4222" w:rsidRDefault="00680C27" w:rsidP="00680C27">
                  <w:pPr>
                    <w:pStyle w:val="TableText"/>
                    <w:rPr>
                      <w:rFonts w:cs="Arial"/>
                    </w:rPr>
                  </w:pPr>
                  <w:r w:rsidRPr="005D4222">
                    <w:rPr>
                      <w:rFonts w:cs="Arial"/>
                    </w:rPr>
                    <w:t xml:space="preserve">Diabetes With Acute Complications </w:t>
                  </w:r>
                </w:p>
              </w:tc>
              <w:tc>
                <w:tcPr>
                  <w:tcW w:w="900" w:type="dxa"/>
                  <w:tcBorders>
                    <w:bottom w:val="dotted" w:sz="6" w:space="0" w:color="auto"/>
                  </w:tcBorders>
                  <w:shd w:val="clear" w:color="auto" w:fill="FFFFFF" w:themeFill="background1"/>
                  <w:hideMark/>
                </w:tcPr>
                <w:p w14:paraId="3933F04E" w14:textId="77777777" w:rsidR="00680C27" w:rsidRPr="005D4222" w:rsidRDefault="00680C27" w:rsidP="00680C27">
                  <w:pPr>
                    <w:pStyle w:val="TableText"/>
                    <w:jc w:val="center"/>
                    <w:rPr>
                      <w:rFonts w:cs="Arial"/>
                    </w:rPr>
                  </w:pPr>
                  <w:r w:rsidRPr="005D4222">
                    <w:rPr>
                      <w:rFonts w:cs="Arial"/>
                    </w:rPr>
                    <w:t>1</w:t>
                  </w:r>
                </w:p>
              </w:tc>
              <w:tc>
                <w:tcPr>
                  <w:tcW w:w="989" w:type="dxa"/>
                  <w:tcBorders>
                    <w:bottom w:val="dotted" w:sz="6" w:space="0" w:color="auto"/>
                  </w:tcBorders>
                  <w:shd w:val="clear" w:color="auto" w:fill="FFFFFF" w:themeFill="background1"/>
                  <w:hideMark/>
                </w:tcPr>
                <w:p w14:paraId="1896AF17" w14:textId="77777777" w:rsidR="00680C27" w:rsidRPr="005D4222" w:rsidRDefault="00680C27" w:rsidP="00680C27">
                  <w:pPr>
                    <w:pStyle w:val="TableText"/>
                    <w:jc w:val="center"/>
                    <w:rPr>
                      <w:rFonts w:cs="Arial"/>
                    </w:rPr>
                  </w:pPr>
                  <w:r w:rsidRPr="005D4222">
                    <w:rPr>
                      <w:rFonts w:cs="Arial"/>
                    </w:rPr>
                    <w:t>HCC-17</w:t>
                  </w:r>
                </w:p>
              </w:tc>
            </w:tr>
            <w:tr w:rsidR="00680C27" w:rsidRPr="005D4222" w14:paraId="48315D8D" w14:textId="77777777" w:rsidTr="00A53E8C">
              <w:trPr>
                <w:trHeight w:val="362"/>
              </w:trPr>
              <w:tc>
                <w:tcPr>
                  <w:tcW w:w="1306" w:type="dxa"/>
                  <w:vMerge/>
                  <w:shd w:val="clear" w:color="auto" w:fill="FFFFFF" w:themeFill="background1"/>
                  <w:hideMark/>
                </w:tcPr>
                <w:p w14:paraId="737DBB63" w14:textId="77777777" w:rsidR="00680C27" w:rsidRPr="005D4222" w:rsidRDefault="00680C27" w:rsidP="00680C27">
                  <w:pPr>
                    <w:pStyle w:val="TableText"/>
                    <w:rPr>
                      <w:rFonts w:cs="Arial"/>
                    </w:rPr>
                  </w:pPr>
                </w:p>
              </w:tc>
              <w:tc>
                <w:tcPr>
                  <w:tcW w:w="884" w:type="dxa"/>
                  <w:tcBorders>
                    <w:top w:val="dotted" w:sz="6" w:space="0" w:color="auto"/>
                    <w:bottom w:val="dotted" w:sz="6" w:space="0" w:color="auto"/>
                  </w:tcBorders>
                  <w:shd w:val="clear" w:color="auto" w:fill="FFFFFF" w:themeFill="background1"/>
                  <w:hideMark/>
                </w:tcPr>
                <w:p w14:paraId="398AA878" w14:textId="77777777" w:rsidR="00680C27" w:rsidRPr="005D4222" w:rsidRDefault="00680C27" w:rsidP="00680C27">
                  <w:pPr>
                    <w:pStyle w:val="TableText"/>
                    <w:jc w:val="center"/>
                    <w:rPr>
                      <w:rFonts w:cs="Arial"/>
                    </w:rPr>
                  </w:pPr>
                  <w:r w:rsidRPr="005D4222">
                    <w:rPr>
                      <w:rFonts w:cs="Arial"/>
                    </w:rPr>
                    <w:t>CC-18</w:t>
                  </w:r>
                </w:p>
              </w:tc>
              <w:tc>
                <w:tcPr>
                  <w:tcW w:w="3296" w:type="dxa"/>
                  <w:tcBorders>
                    <w:top w:val="dotted" w:sz="6" w:space="0" w:color="auto"/>
                    <w:bottom w:val="dotted" w:sz="6" w:space="0" w:color="auto"/>
                  </w:tcBorders>
                  <w:shd w:val="clear" w:color="auto" w:fill="FFFFFF" w:themeFill="background1"/>
                  <w:hideMark/>
                </w:tcPr>
                <w:p w14:paraId="176DE5D4" w14:textId="77777777" w:rsidR="00680C27" w:rsidRPr="005D4222" w:rsidRDefault="00680C27" w:rsidP="00680C27">
                  <w:pPr>
                    <w:pStyle w:val="TableText"/>
                    <w:rPr>
                      <w:rFonts w:cs="Arial"/>
                    </w:rPr>
                  </w:pPr>
                  <w:r w:rsidRPr="005D4222">
                    <w:rPr>
                      <w:rFonts w:cs="Arial"/>
                    </w:rPr>
                    <w:t xml:space="preserve">Diabetes With Chronic Complications </w:t>
                  </w:r>
                </w:p>
              </w:tc>
              <w:tc>
                <w:tcPr>
                  <w:tcW w:w="900" w:type="dxa"/>
                  <w:tcBorders>
                    <w:top w:val="dotted" w:sz="6" w:space="0" w:color="auto"/>
                    <w:bottom w:val="dotted" w:sz="6" w:space="0" w:color="auto"/>
                  </w:tcBorders>
                  <w:shd w:val="clear" w:color="auto" w:fill="FFFFFF" w:themeFill="background1"/>
                  <w:hideMark/>
                </w:tcPr>
                <w:p w14:paraId="6E16AE82" w14:textId="77777777" w:rsidR="00680C27" w:rsidRPr="005D4222" w:rsidRDefault="00680C27" w:rsidP="00680C27">
                  <w:pPr>
                    <w:pStyle w:val="TableText"/>
                    <w:jc w:val="center"/>
                    <w:rPr>
                      <w:rFonts w:cs="Arial"/>
                    </w:rPr>
                  </w:pPr>
                  <w:r w:rsidRPr="005D4222">
                    <w:rPr>
                      <w:rFonts w:cs="Arial"/>
                    </w:rPr>
                    <w:t>2</w:t>
                  </w:r>
                </w:p>
              </w:tc>
              <w:tc>
                <w:tcPr>
                  <w:tcW w:w="989" w:type="dxa"/>
                  <w:tcBorders>
                    <w:top w:val="dotted" w:sz="6" w:space="0" w:color="auto"/>
                    <w:bottom w:val="dotted" w:sz="6" w:space="0" w:color="auto"/>
                  </w:tcBorders>
                  <w:shd w:val="clear" w:color="auto" w:fill="FFFFFF" w:themeFill="background1"/>
                  <w:hideMark/>
                </w:tcPr>
                <w:p w14:paraId="7731AFC7" w14:textId="77777777" w:rsidR="00680C27" w:rsidRPr="005D4222" w:rsidRDefault="00680C27" w:rsidP="00680C27">
                  <w:pPr>
                    <w:pStyle w:val="TableText"/>
                    <w:jc w:val="center"/>
                    <w:rPr>
                      <w:rFonts w:cs="Arial"/>
                    </w:rPr>
                  </w:pPr>
                  <w:r w:rsidRPr="005D4222">
                    <w:rPr>
                      <w:rFonts w:cs="Arial"/>
                    </w:rPr>
                    <w:t>HCC-18</w:t>
                  </w:r>
                </w:p>
              </w:tc>
            </w:tr>
            <w:tr w:rsidR="00680C27" w:rsidRPr="005D4222" w14:paraId="1BE6EB2E" w14:textId="77777777" w:rsidTr="00A53E8C">
              <w:trPr>
                <w:trHeight w:val="351"/>
              </w:trPr>
              <w:tc>
                <w:tcPr>
                  <w:tcW w:w="1306" w:type="dxa"/>
                  <w:vMerge/>
                  <w:shd w:val="clear" w:color="auto" w:fill="FFFFFF" w:themeFill="background1"/>
                  <w:hideMark/>
                </w:tcPr>
                <w:p w14:paraId="28DED898" w14:textId="77777777" w:rsidR="00680C27" w:rsidRPr="005D4222" w:rsidRDefault="00680C27" w:rsidP="00680C27">
                  <w:pPr>
                    <w:pStyle w:val="TableText"/>
                    <w:rPr>
                      <w:rFonts w:cs="Arial"/>
                    </w:rPr>
                  </w:pPr>
                </w:p>
              </w:tc>
              <w:tc>
                <w:tcPr>
                  <w:tcW w:w="884" w:type="dxa"/>
                  <w:tcBorders>
                    <w:top w:val="dotted" w:sz="6" w:space="0" w:color="auto"/>
                    <w:bottom w:val="single" w:sz="4" w:space="0" w:color="auto"/>
                  </w:tcBorders>
                  <w:shd w:val="clear" w:color="auto" w:fill="FFFFFF" w:themeFill="background1"/>
                  <w:hideMark/>
                </w:tcPr>
                <w:p w14:paraId="0828080E" w14:textId="77777777" w:rsidR="00680C27" w:rsidRPr="005D4222" w:rsidRDefault="00680C27" w:rsidP="00680C27">
                  <w:pPr>
                    <w:pStyle w:val="TableText"/>
                    <w:jc w:val="center"/>
                    <w:rPr>
                      <w:rFonts w:cs="Arial"/>
                    </w:rPr>
                  </w:pPr>
                  <w:r w:rsidRPr="005D4222">
                    <w:rPr>
                      <w:rFonts w:cs="Arial"/>
                    </w:rPr>
                    <w:t>CC-19</w:t>
                  </w:r>
                </w:p>
              </w:tc>
              <w:tc>
                <w:tcPr>
                  <w:tcW w:w="3296" w:type="dxa"/>
                  <w:tcBorders>
                    <w:top w:val="dotted" w:sz="6" w:space="0" w:color="auto"/>
                    <w:bottom w:val="single" w:sz="4" w:space="0" w:color="auto"/>
                  </w:tcBorders>
                  <w:shd w:val="clear" w:color="auto" w:fill="FFFFFF" w:themeFill="background1"/>
                  <w:hideMark/>
                </w:tcPr>
                <w:p w14:paraId="02C9A37B" w14:textId="77777777" w:rsidR="00680C27" w:rsidRPr="005D4222" w:rsidRDefault="00680C27" w:rsidP="00680C27">
                  <w:pPr>
                    <w:pStyle w:val="TableText"/>
                    <w:rPr>
                      <w:rFonts w:cs="Arial"/>
                    </w:rPr>
                  </w:pPr>
                  <w:r w:rsidRPr="005D4222">
                    <w:rPr>
                      <w:rFonts w:cs="Arial"/>
                    </w:rPr>
                    <w:t xml:space="preserve">Diabetes Without Complications </w:t>
                  </w:r>
                </w:p>
              </w:tc>
              <w:tc>
                <w:tcPr>
                  <w:tcW w:w="900" w:type="dxa"/>
                  <w:tcBorders>
                    <w:top w:val="dotted" w:sz="6" w:space="0" w:color="auto"/>
                    <w:bottom w:val="single" w:sz="4" w:space="0" w:color="auto"/>
                  </w:tcBorders>
                  <w:shd w:val="clear" w:color="auto" w:fill="FFFFFF" w:themeFill="background1"/>
                  <w:hideMark/>
                </w:tcPr>
                <w:p w14:paraId="0C916779" w14:textId="77777777" w:rsidR="00680C27" w:rsidRPr="005D4222" w:rsidRDefault="00680C27" w:rsidP="00680C27">
                  <w:pPr>
                    <w:pStyle w:val="TableText"/>
                    <w:jc w:val="center"/>
                    <w:rPr>
                      <w:rFonts w:cs="Arial"/>
                    </w:rPr>
                  </w:pPr>
                  <w:r w:rsidRPr="005D4222">
                    <w:rPr>
                      <w:rFonts w:cs="Arial"/>
                    </w:rPr>
                    <w:t>3</w:t>
                  </w:r>
                </w:p>
              </w:tc>
              <w:tc>
                <w:tcPr>
                  <w:tcW w:w="989" w:type="dxa"/>
                  <w:tcBorders>
                    <w:top w:val="dotted" w:sz="6" w:space="0" w:color="auto"/>
                    <w:bottom w:val="single" w:sz="4" w:space="0" w:color="auto"/>
                  </w:tcBorders>
                  <w:shd w:val="clear" w:color="auto" w:fill="FFFFFF" w:themeFill="background1"/>
                  <w:hideMark/>
                </w:tcPr>
                <w:p w14:paraId="413B52DE" w14:textId="77777777" w:rsidR="00680C27" w:rsidRPr="005D4222" w:rsidRDefault="00680C27" w:rsidP="00680C27">
                  <w:pPr>
                    <w:pStyle w:val="TableText"/>
                    <w:jc w:val="center"/>
                    <w:rPr>
                      <w:rFonts w:cs="Arial"/>
                    </w:rPr>
                  </w:pPr>
                  <w:r w:rsidRPr="005D4222">
                    <w:rPr>
                      <w:rFonts w:cs="Arial"/>
                    </w:rPr>
                    <w:t>HCC-19</w:t>
                  </w:r>
                </w:p>
              </w:tc>
            </w:tr>
          </w:tbl>
          <w:p w14:paraId="3F1F28E0" w14:textId="4FD00352" w:rsidR="0084708C" w:rsidRPr="005D4222" w:rsidRDefault="0084708C" w:rsidP="00813FE1">
            <w:pPr>
              <w:pStyle w:val="ECDSBody"/>
              <w:spacing w:before="240"/>
            </w:pPr>
            <w:r w:rsidRPr="005D4222">
              <w:rPr>
                <w:b/>
              </w:rPr>
              <w:t xml:space="preserve">Step 5. </w:t>
            </w:r>
            <w:r w:rsidRPr="005D4222">
              <w:t xml:space="preserve">Identify combination HCCs listed in Table HCC—Comb. </w:t>
            </w:r>
          </w:p>
          <w:p w14:paraId="296FE7FA" w14:textId="77777777" w:rsidR="0084708C" w:rsidRPr="005D4222" w:rsidRDefault="0084708C" w:rsidP="00A53E8C">
            <w:pPr>
              <w:pStyle w:val="ECDSBody"/>
            </w:pPr>
            <w:r w:rsidRPr="005D4222">
              <w:t xml:space="preserve">Some combinations suggest a greater amount of risk when observed together. For example, when diabetes and CHF are present, an increased amount of risk is evident. Additional HCCs are selected to account for these relationships. </w:t>
            </w:r>
          </w:p>
          <w:p w14:paraId="45232A0D" w14:textId="77777777" w:rsidR="0084708C" w:rsidRPr="005D4222" w:rsidRDefault="0084708C" w:rsidP="00A53E8C">
            <w:pPr>
              <w:pStyle w:val="ECDSBody"/>
              <w:rPr>
                <w:i/>
              </w:rPr>
            </w:pPr>
            <w:r w:rsidRPr="005D4222">
              <w:t xml:space="preserve">Compare each denominator unit’s list of unique HCCs to those in the </w:t>
            </w:r>
            <w:r w:rsidRPr="005D4222">
              <w:rPr>
                <w:i/>
                <w:iCs/>
              </w:rPr>
              <w:t>Comorbid HCC</w:t>
            </w:r>
            <w:r w:rsidRPr="005D4222">
              <w:t xml:space="preserve"> columns in Table HCC—Comb and assign any additional HCC conditions.</w:t>
            </w:r>
          </w:p>
          <w:p w14:paraId="71111275" w14:textId="77777777" w:rsidR="0084708C" w:rsidRPr="005D4222" w:rsidRDefault="0084708C" w:rsidP="00A53E8C">
            <w:pPr>
              <w:pStyle w:val="ECDSBody"/>
              <w:rPr>
                <w:b/>
              </w:rPr>
            </w:pPr>
            <w:r w:rsidRPr="005D4222">
              <w:rPr>
                <w:i/>
              </w:rPr>
              <w:t xml:space="preserve">If there are overlapping combinations, use both sets of combinations. </w:t>
            </w:r>
            <w:r w:rsidRPr="005D4222">
              <w:t>Based on the combinations, a denominator unit can have none, one or more of these added HCCs.</w:t>
            </w:r>
          </w:p>
          <w:p w14:paraId="36FDF543" w14:textId="77777777" w:rsidR="0084708C" w:rsidRPr="005D4222" w:rsidRDefault="0084708C" w:rsidP="0084708C">
            <w:pPr>
              <w:pStyle w:val="Bullet"/>
              <w:numPr>
                <w:ilvl w:val="0"/>
                <w:numId w:val="4"/>
              </w:numPr>
              <w:tabs>
                <w:tab w:val="left" w:pos="360"/>
                <w:tab w:val="left" w:pos="576"/>
              </w:tabs>
              <w:ind w:left="576" w:hanging="216"/>
            </w:pPr>
            <w:r w:rsidRPr="005D4222">
              <w:rPr>
                <w:i/>
                <w:iCs/>
              </w:rPr>
              <w:t xml:space="preserve">For example, </w:t>
            </w:r>
            <w:r w:rsidRPr="005D4222">
              <w:t>for a</w:t>
            </w:r>
            <w:r w:rsidRPr="005D4222" w:rsidDel="008F7E1D">
              <w:t xml:space="preserve"> </w:t>
            </w:r>
            <w:r w:rsidRPr="005D4222">
              <w:t xml:space="preserve">denominator unit with comorbidities HCC-17 and HCC-85 (assume no other HCCs), assign HCC-901 in addition to </w:t>
            </w:r>
            <w:r w:rsidRPr="005D4222">
              <w:br/>
              <w:t xml:space="preserve">HCC-17 and HCC-85. This </w:t>
            </w:r>
            <w:r w:rsidRPr="005D4222">
              <w:rPr>
                <w:i/>
                <w:iCs/>
              </w:rPr>
              <w:t>does not</w:t>
            </w:r>
            <w:r w:rsidRPr="005D4222">
              <w:t xml:space="preserve"> replace HCC-17 and HCC-85.</w:t>
            </w:r>
          </w:p>
          <w:p w14:paraId="47B6CE67" w14:textId="77777777" w:rsidR="0084708C" w:rsidRPr="005D4222" w:rsidRDefault="0084708C" w:rsidP="00813FE1">
            <w:pPr>
              <w:pStyle w:val="Heading3"/>
              <w:spacing w:before="120"/>
            </w:pPr>
            <w:r w:rsidRPr="005D4222">
              <w:t>Table HCC—Comb</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6"/>
              <w:gridCol w:w="1267"/>
              <w:gridCol w:w="1267"/>
              <w:gridCol w:w="1326"/>
              <w:gridCol w:w="2249"/>
            </w:tblGrid>
            <w:tr w:rsidR="0084708C" w:rsidRPr="005D4222" w14:paraId="57269AEE" w14:textId="77777777" w:rsidTr="00A53E8C">
              <w:trPr>
                <w:trHeight w:val="448"/>
              </w:trPr>
              <w:tc>
                <w:tcPr>
                  <w:tcW w:w="1266" w:type="dxa"/>
                  <w:tcBorders>
                    <w:right w:val="single" w:sz="4" w:space="0" w:color="FFFFFF" w:themeColor="background1"/>
                  </w:tcBorders>
                  <w:shd w:val="clear" w:color="auto" w:fill="000000" w:themeFill="text1"/>
                  <w:vAlign w:val="bottom"/>
                  <w:hideMark/>
                </w:tcPr>
                <w:p w14:paraId="4B190EB3" w14:textId="77777777" w:rsidR="0084708C" w:rsidRPr="005D4222" w:rsidRDefault="0084708C" w:rsidP="00A53E8C">
                  <w:pPr>
                    <w:pStyle w:val="TableHead"/>
                    <w:rPr>
                      <w:color w:val="auto"/>
                    </w:rPr>
                  </w:pPr>
                  <w:r w:rsidRPr="005D4222">
                    <w:rPr>
                      <w:color w:val="auto"/>
                    </w:rPr>
                    <w:t xml:space="preserve">Comorbid </w:t>
                  </w:r>
                  <w:r w:rsidRPr="005D4222">
                    <w:rPr>
                      <w:color w:val="auto"/>
                    </w:rPr>
                    <w:br/>
                    <w:t>HCC 1</w:t>
                  </w:r>
                </w:p>
              </w:tc>
              <w:tc>
                <w:tcPr>
                  <w:tcW w:w="1267" w:type="dxa"/>
                  <w:tcBorders>
                    <w:left w:val="single" w:sz="4" w:space="0" w:color="FFFFFF" w:themeColor="background1"/>
                    <w:right w:val="single" w:sz="4" w:space="0" w:color="FFFFFF" w:themeColor="background1"/>
                  </w:tcBorders>
                  <w:shd w:val="clear" w:color="auto" w:fill="000000" w:themeFill="text1"/>
                  <w:vAlign w:val="bottom"/>
                  <w:hideMark/>
                </w:tcPr>
                <w:p w14:paraId="1B55B53B" w14:textId="77777777" w:rsidR="0084708C" w:rsidRPr="005D4222" w:rsidRDefault="0084708C" w:rsidP="00A53E8C">
                  <w:pPr>
                    <w:pStyle w:val="TableHead"/>
                    <w:rPr>
                      <w:color w:val="auto"/>
                    </w:rPr>
                  </w:pPr>
                  <w:r w:rsidRPr="005D4222">
                    <w:rPr>
                      <w:color w:val="auto"/>
                    </w:rPr>
                    <w:t xml:space="preserve">Comorbid </w:t>
                  </w:r>
                  <w:r w:rsidRPr="005D4222">
                    <w:rPr>
                      <w:color w:val="auto"/>
                    </w:rPr>
                    <w:br/>
                    <w:t>HCC 2</w:t>
                  </w:r>
                </w:p>
              </w:tc>
              <w:tc>
                <w:tcPr>
                  <w:tcW w:w="1267" w:type="dxa"/>
                  <w:tcBorders>
                    <w:left w:val="single" w:sz="4" w:space="0" w:color="FFFFFF" w:themeColor="background1"/>
                    <w:right w:val="single" w:sz="4" w:space="0" w:color="FFFFFF" w:themeColor="background1"/>
                  </w:tcBorders>
                  <w:shd w:val="clear" w:color="auto" w:fill="000000" w:themeFill="text1"/>
                  <w:vAlign w:val="bottom"/>
                  <w:hideMark/>
                </w:tcPr>
                <w:p w14:paraId="421667DC" w14:textId="77777777" w:rsidR="0084708C" w:rsidRPr="005D4222" w:rsidRDefault="0084708C" w:rsidP="00A53E8C">
                  <w:pPr>
                    <w:pStyle w:val="TableHead"/>
                    <w:rPr>
                      <w:color w:val="auto"/>
                    </w:rPr>
                  </w:pPr>
                  <w:r w:rsidRPr="005D4222">
                    <w:rPr>
                      <w:color w:val="auto"/>
                    </w:rPr>
                    <w:t xml:space="preserve">Comorbid </w:t>
                  </w:r>
                  <w:r w:rsidRPr="005D4222">
                    <w:rPr>
                      <w:color w:val="auto"/>
                    </w:rPr>
                    <w:br/>
                    <w:t>HCC 3</w:t>
                  </w:r>
                </w:p>
              </w:tc>
              <w:tc>
                <w:tcPr>
                  <w:tcW w:w="1326" w:type="dxa"/>
                  <w:tcBorders>
                    <w:left w:val="single" w:sz="4" w:space="0" w:color="FFFFFF" w:themeColor="background1"/>
                    <w:right w:val="single" w:sz="4" w:space="0" w:color="FFFFFF" w:themeColor="background1"/>
                  </w:tcBorders>
                  <w:shd w:val="clear" w:color="auto" w:fill="000000" w:themeFill="text1"/>
                  <w:vAlign w:val="bottom"/>
                  <w:hideMark/>
                </w:tcPr>
                <w:p w14:paraId="709B2B13" w14:textId="77777777" w:rsidR="0084708C" w:rsidRPr="005D4222" w:rsidRDefault="0084708C" w:rsidP="00A53E8C">
                  <w:pPr>
                    <w:pStyle w:val="TableHead"/>
                    <w:rPr>
                      <w:color w:val="auto"/>
                    </w:rPr>
                  </w:pPr>
                  <w:r w:rsidRPr="005D4222">
                    <w:rPr>
                      <w:color w:val="auto"/>
                    </w:rPr>
                    <w:t>HCC-</w:t>
                  </w:r>
                  <w:r w:rsidRPr="005D4222">
                    <w:rPr>
                      <w:color w:val="auto"/>
                    </w:rPr>
                    <w:br/>
                    <w:t>Combination</w:t>
                  </w:r>
                </w:p>
              </w:tc>
              <w:tc>
                <w:tcPr>
                  <w:tcW w:w="2249" w:type="dxa"/>
                  <w:tcBorders>
                    <w:left w:val="single" w:sz="4" w:space="0" w:color="FFFFFF" w:themeColor="background1"/>
                  </w:tcBorders>
                  <w:shd w:val="clear" w:color="auto" w:fill="000000" w:themeFill="text1"/>
                  <w:vAlign w:val="bottom"/>
                </w:tcPr>
                <w:p w14:paraId="0BD07509" w14:textId="77777777" w:rsidR="0084708C" w:rsidRPr="005D4222" w:rsidRDefault="0084708C" w:rsidP="00A53E8C">
                  <w:pPr>
                    <w:pStyle w:val="TableHead"/>
                    <w:rPr>
                      <w:color w:val="auto"/>
                    </w:rPr>
                  </w:pPr>
                  <w:r w:rsidRPr="005D4222">
                    <w:rPr>
                      <w:color w:val="auto"/>
                    </w:rPr>
                    <w:t>HCC-Comb Description</w:t>
                  </w:r>
                </w:p>
              </w:tc>
            </w:tr>
            <w:tr w:rsidR="0084708C" w:rsidRPr="005D4222" w14:paraId="7B8D7B48" w14:textId="77777777" w:rsidTr="00A53E8C">
              <w:tc>
                <w:tcPr>
                  <w:tcW w:w="1266" w:type="dxa"/>
                  <w:shd w:val="clear" w:color="auto" w:fill="FFFFFF" w:themeFill="background1"/>
                  <w:hideMark/>
                </w:tcPr>
                <w:p w14:paraId="7F12934B" w14:textId="77777777" w:rsidR="0084708C" w:rsidRPr="005D4222" w:rsidRDefault="0084708C" w:rsidP="00A53E8C">
                  <w:pPr>
                    <w:pStyle w:val="TableText"/>
                  </w:pPr>
                  <w:r w:rsidRPr="005D4222">
                    <w:t>HCC-17</w:t>
                  </w:r>
                </w:p>
              </w:tc>
              <w:tc>
                <w:tcPr>
                  <w:tcW w:w="1267" w:type="dxa"/>
                  <w:shd w:val="clear" w:color="auto" w:fill="FFFFFF" w:themeFill="background1"/>
                  <w:hideMark/>
                </w:tcPr>
                <w:p w14:paraId="06A9A799" w14:textId="77777777" w:rsidR="0084708C" w:rsidRPr="005D4222" w:rsidRDefault="0084708C" w:rsidP="00A53E8C">
                  <w:pPr>
                    <w:pStyle w:val="TableText"/>
                  </w:pPr>
                  <w:r w:rsidRPr="005D4222">
                    <w:t>HCC-85</w:t>
                  </w:r>
                </w:p>
              </w:tc>
              <w:tc>
                <w:tcPr>
                  <w:tcW w:w="1267" w:type="dxa"/>
                  <w:shd w:val="clear" w:color="auto" w:fill="FFFFFF" w:themeFill="background1"/>
                  <w:hideMark/>
                </w:tcPr>
                <w:p w14:paraId="358F5C18" w14:textId="77777777" w:rsidR="0084708C" w:rsidRPr="005D4222" w:rsidRDefault="0084708C" w:rsidP="00A53E8C">
                  <w:pPr>
                    <w:pStyle w:val="TableText"/>
                  </w:pPr>
                  <w:r w:rsidRPr="005D4222">
                    <w:t>NA</w:t>
                  </w:r>
                </w:p>
              </w:tc>
              <w:tc>
                <w:tcPr>
                  <w:tcW w:w="1326" w:type="dxa"/>
                  <w:shd w:val="clear" w:color="auto" w:fill="FFFFFF" w:themeFill="background1"/>
                  <w:hideMark/>
                </w:tcPr>
                <w:p w14:paraId="57CCD172" w14:textId="77777777" w:rsidR="0084708C" w:rsidRPr="005D4222" w:rsidRDefault="0084708C" w:rsidP="00A53E8C">
                  <w:pPr>
                    <w:pStyle w:val="TableText"/>
                  </w:pPr>
                  <w:r w:rsidRPr="005D4222">
                    <w:t>HCC-901</w:t>
                  </w:r>
                </w:p>
              </w:tc>
              <w:tc>
                <w:tcPr>
                  <w:tcW w:w="2249" w:type="dxa"/>
                  <w:shd w:val="clear" w:color="auto" w:fill="FFFFFF" w:themeFill="background1"/>
                </w:tcPr>
                <w:p w14:paraId="678BDC40" w14:textId="77777777" w:rsidR="0084708C" w:rsidRPr="005D4222" w:rsidRDefault="0084708C" w:rsidP="00A53E8C">
                  <w:pPr>
                    <w:pStyle w:val="TableText"/>
                  </w:pPr>
                  <w:r w:rsidRPr="005D4222">
                    <w:t>Combination: Diabetes and CHF</w:t>
                  </w:r>
                </w:p>
              </w:tc>
            </w:tr>
            <w:tr w:rsidR="0084708C" w:rsidRPr="005D4222" w14:paraId="14CE7550" w14:textId="77777777" w:rsidTr="007B5FC3">
              <w:tc>
                <w:tcPr>
                  <w:tcW w:w="1266" w:type="dxa"/>
                  <w:hideMark/>
                </w:tcPr>
                <w:p w14:paraId="7DBF78E8" w14:textId="77777777" w:rsidR="0084708C" w:rsidRPr="005D4222" w:rsidRDefault="0084708C" w:rsidP="00A53E8C">
                  <w:pPr>
                    <w:pStyle w:val="TableText"/>
                  </w:pPr>
                  <w:r w:rsidRPr="005D4222">
                    <w:t>HCC-18</w:t>
                  </w:r>
                </w:p>
              </w:tc>
              <w:tc>
                <w:tcPr>
                  <w:tcW w:w="1267" w:type="dxa"/>
                  <w:hideMark/>
                </w:tcPr>
                <w:p w14:paraId="358E50F2" w14:textId="77777777" w:rsidR="0084708C" w:rsidRPr="005D4222" w:rsidRDefault="0084708C" w:rsidP="00A53E8C">
                  <w:pPr>
                    <w:pStyle w:val="TableText"/>
                  </w:pPr>
                  <w:r w:rsidRPr="005D4222">
                    <w:t>HCC-85</w:t>
                  </w:r>
                </w:p>
              </w:tc>
              <w:tc>
                <w:tcPr>
                  <w:tcW w:w="1267" w:type="dxa"/>
                  <w:hideMark/>
                </w:tcPr>
                <w:p w14:paraId="2FC426B6" w14:textId="77777777" w:rsidR="0084708C" w:rsidRPr="005D4222" w:rsidRDefault="0084708C" w:rsidP="00A53E8C">
                  <w:pPr>
                    <w:pStyle w:val="TableText"/>
                  </w:pPr>
                  <w:r w:rsidRPr="005D4222">
                    <w:t>NA</w:t>
                  </w:r>
                </w:p>
              </w:tc>
              <w:tc>
                <w:tcPr>
                  <w:tcW w:w="1326" w:type="dxa"/>
                  <w:hideMark/>
                </w:tcPr>
                <w:p w14:paraId="130DE2F2" w14:textId="77777777" w:rsidR="0084708C" w:rsidRPr="005D4222" w:rsidRDefault="0084708C" w:rsidP="00A53E8C">
                  <w:pPr>
                    <w:pStyle w:val="TableText"/>
                  </w:pPr>
                  <w:r w:rsidRPr="005D4222">
                    <w:t>HCC-901</w:t>
                  </w:r>
                </w:p>
              </w:tc>
              <w:tc>
                <w:tcPr>
                  <w:tcW w:w="2249" w:type="dxa"/>
                </w:tcPr>
                <w:p w14:paraId="16C814B1" w14:textId="77777777" w:rsidR="0084708C" w:rsidRPr="005D4222" w:rsidRDefault="0084708C" w:rsidP="00A53E8C">
                  <w:pPr>
                    <w:pStyle w:val="TableText"/>
                  </w:pPr>
                  <w:r w:rsidRPr="005D4222">
                    <w:t>Combination: Diabetes and CHF</w:t>
                  </w:r>
                </w:p>
              </w:tc>
            </w:tr>
            <w:tr w:rsidR="0084708C" w:rsidRPr="005D4222" w14:paraId="12692F3B" w14:textId="77777777" w:rsidTr="007B5FC3">
              <w:tc>
                <w:tcPr>
                  <w:tcW w:w="1266" w:type="dxa"/>
                  <w:hideMark/>
                </w:tcPr>
                <w:p w14:paraId="4F773B94" w14:textId="77777777" w:rsidR="0084708C" w:rsidRPr="005D4222" w:rsidRDefault="0084708C" w:rsidP="00A53E8C">
                  <w:pPr>
                    <w:pStyle w:val="TableText"/>
                  </w:pPr>
                  <w:r w:rsidRPr="005D4222">
                    <w:t>HCC-19</w:t>
                  </w:r>
                </w:p>
              </w:tc>
              <w:tc>
                <w:tcPr>
                  <w:tcW w:w="1267" w:type="dxa"/>
                  <w:hideMark/>
                </w:tcPr>
                <w:p w14:paraId="2C357B7A" w14:textId="77777777" w:rsidR="0084708C" w:rsidRPr="005D4222" w:rsidRDefault="0084708C" w:rsidP="00A53E8C">
                  <w:pPr>
                    <w:pStyle w:val="TableText"/>
                  </w:pPr>
                  <w:r w:rsidRPr="005D4222">
                    <w:t>HCC-85</w:t>
                  </w:r>
                </w:p>
              </w:tc>
              <w:tc>
                <w:tcPr>
                  <w:tcW w:w="1267" w:type="dxa"/>
                  <w:hideMark/>
                </w:tcPr>
                <w:p w14:paraId="1ACEC194" w14:textId="77777777" w:rsidR="0084708C" w:rsidRPr="005D4222" w:rsidRDefault="0084708C" w:rsidP="00A53E8C">
                  <w:pPr>
                    <w:pStyle w:val="TableText"/>
                  </w:pPr>
                  <w:r w:rsidRPr="005D4222">
                    <w:t>NA</w:t>
                  </w:r>
                </w:p>
              </w:tc>
              <w:tc>
                <w:tcPr>
                  <w:tcW w:w="1326" w:type="dxa"/>
                  <w:hideMark/>
                </w:tcPr>
                <w:p w14:paraId="08E4FE78" w14:textId="77777777" w:rsidR="0084708C" w:rsidRPr="005D4222" w:rsidRDefault="0084708C" w:rsidP="00A53E8C">
                  <w:pPr>
                    <w:pStyle w:val="TableText"/>
                  </w:pPr>
                  <w:r w:rsidRPr="005D4222">
                    <w:t>HCC-901</w:t>
                  </w:r>
                </w:p>
              </w:tc>
              <w:tc>
                <w:tcPr>
                  <w:tcW w:w="2249" w:type="dxa"/>
                </w:tcPr>
                <w:p w14:paraId="540301CE" w14:textId="77777777" w:rsidR="0084708C" w:rsidRPr="005D4222" w:rsidRDefault="0084708C" w:rsidP="00A53E8C">
                  <w:pPr>
                    <w:pStyle w:val="TableText"/>
                  </w:pPr>
                  <w:r w:rsidRPr="005D4222">
                    <w:t>Combination: Diabetes and CHF</w:t>
                  </w:r>
                </w:p>
              </w:tc>
            </w:tr>
          </w:tbl>
          <w:p w14:paraId="6845936B" w14:textId="77777777" w:rsidR="0084708C" w:rsidRPr="005D4222" w:rsidRDefault="0084708C" w:rsidP="00A53E8C">
            <w:pPr>
              <w:pStyle w:val="ECDSBody"/>
              <w:rPr>
                <w:b/>
                <w:bCs w:val="0"/>
                <w:i/>
                <w:iCs/>
              </w:rPr>
            </w:pPr>
          </w:p>
        </w:tc>
      </w:tr>
      <w:tr w:rsidR="0084708C" w:rsidRPr="005D4222" w14:paraId="64854387" w14:textId="77777777" w:rsidTr="006663E6">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967A520" w14:textId="77777777" w:rsidR="0084708C" w:rsidRPr="005D4222" w:rsidRDefault="0084708C" w:rsidP="00A53E8C">
            <w:pPr>
              <w:pStyle w:val="ECDSMarginHead"/>
            </w:pPr>
            <w:r w:rsidRPr="005D4222">
              <w:t>Risk adjustment</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8367CC4" w14:textId="77777777" w:rsidR="0084708C" w:rsidRPr="005D4222" w:rsidRDefault="0084708C" w:rsidP="00A53E8C">
            <w:pPr>
              <w:pStyle w:val="ECDSBody"/>
              <w:rPr>
                <w:b/>
                <w:bCs w:val="0"/>
                <w:i/>
                <w:iCs/>
              </w:rPr>
            </w:pPr>
            <w:r w:rsidRPr="005D4222">
              <w:rPr>
                <w:b/>
                <w:bCs w:val="0"/>
                <w:i/>
                <w:iCs/>
              </w:rPr>
              <w:t>Risk Adjustment Calculation</w:t>
            </w:r>
          </w:p>
          <w:p w14:paraId="2D5D3143" w14:textId="77777777" w:rsidR="0084708C" w:rsidRPr="005D4222" w:rsidRDefault="0084708C" w:rsidP="00A53E8C">
            <w:pPr>
              <w:pStyle w:val="ECDSBody"/>
            </w:pPr>
            <w:r w:rsidRPr="005D4222">
              <w:t xml:space="preserve">For each outpatient general surgery episode, use the following steps to identify the 15-day hospitalization risk adjustment weights based on procedure subtype, comorbidity, age and gender. </w:t>
            </w:r>
          </w:p>
          <w:p w14:paraId="6B37AACF" w14:textId="77777777" w:rsidR="0084708C" w:rsidRPr="005D4222" w:rsidRDefault="0084708C" w:rsidP="00A53E8C">
            <w:pPr>
              <w:pStyle w:val="ECDSBody"/>
            </w:pPr>
            <w:r w:rsidRPr="005D4222">
              <w:rPr>
                <w:b/>
              </w:rPr>
              <w:t xml:space="preserve">Step 1. </w:t>
            </w:r>
            <w:r w:rsidRPr="005D4222">
              <w:t>For each outpatient general surgery episode with a procedure subtype, link the subtype weights.</w:t>
            </w:r>
          </w:p>
          <w:p w14:paraId="51A0AE60" w14:textId="77777777" w:rsidR="0084708C" w:rsidRPr="005D4222" w:rsidRDefault="0084708C" w:rsidP="00A53E8C">
            <w:pPr>
              <w:pStyle w:val="ECDSBody"/>
            </w:pPr>
            <w:r w:rsidRPr="005D4222">
              <w:rPr>
                <w:b/>
              </w:rPr>
              <w:t>Step 2.</w:t>
            </w:r>
            <w:r w:rsidRPr="005D4222">
              <w:t xml:space="preserve"> For each outpatient general surgery episode with a Comorbidity HCC category, link the comorbidity weights.</w:t>
            </w:r>
          </w:p>
          <w:p w14:paraId="1C4E775D" w14:textId="77777777" w:rsidR="0084708C" w:rsidRPr="005D4222" w:rsidRDefault="0084708C" w:rsidP="00A53E8C">
            <w:pPr>
              <w:pStyle w:val="ECDSBody"/>
            </w:pPr>
            <w:r w:rsidRPr="005D4222">
              <w:rPr>
                <w:b/>
              </w:rPr>
              <w:t xml:space="preserve">Step 3. </w:t>
            </w:r>
            <w:r w:rsidRPr="005D4222">
              <w:t>Link the age and gender weights for each outpatient general surgery episode.</w:t>
            </w:r>
          </w:p>
          <w:p w14:paraId="0945E023" w14:textId="77777777" w:rsidR="0084708C" w:rsidRPr="005D4222" w:rsidRDefault="0084708C" w:rsidP="00A53E8C">
            <w:pPr>
              <w:pStyle w:val="ECDSBody"/>
            </w:pPr>
            <w:r w:rsidRPr="005D4222">
              <w:rPr>
                <w:b/>
              </w:rPr>
              <w:t xml:space="preserve">Step 4. </w:t>
            </w:r>
            <w:r w:rsidRPr="005D4222">
              <w:t>Sum all weights (procedure subtype, comorbidities, age and gender) associated with each outpatient general surgery episode and use the formula below to calculate the estimated hospitalization risk for each episode:</w:t>
            </w:r>
          </w:p>
          <w:p w14:paraId="58B45EC7" w14:textId="77777777" w:rsidR="0084708C" w:rsidRPr="005D4222" w:rsidRDefault="0084708C" w:rsidP="00A53E8C">
            <w:pPr>
              <w:pStyle w:val="Body"/>
              <w:ind w:left="723" w:hanging="723"/>
              <w:jc w:val="center"/>
            </w:pPr>
            <w:r w:rsidRPr="005D4222">
              <w:lastRenderedPageBreak/>
              <w:t xml:space="preserve">Estimated Hospitalization Risk = </w:t>
            </w:r>
            <m:oMath>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e</m:t>
                      </m:r>
                    </m:e>
                    <m:sup>
                      <m:r>
                        <w:rPr>
                          <w:rFonts w:ascii="Cambria Math" w:hAnsi="Cambria Math" w:cs="Arial"/>
                        </w:rPr>
                        <m:t>(</m:t>
                      </m:r>
                      <m:nary>
                        <m:naryPr>
                          <m:chr m:val="∑"/>
                          <m:limLoc m:val="undOvr"/>
                          <m:subHide m:val="1"/>
                          <m:supHide m:val="1"/>
                          <m:ctrlPr>
                            <w:rPr>
                              <w:rFonts w:ascii="Cambria Math" w:hAnsi="Cambria Math" w:cs="Arial"/>
                              <w:i/>
                            </w:rPr>
                          </m:ctrlPr>
                        </m:naryPr>
                        <m:sub/>
                        <m:sup/>
                        <m:e>
                          <m:r>
                            <m:rPr>
                              <m:nor/>
                            </m:rPr>
                            <w:rPr>
                              <w:rFonts w:cs="Arial"/>
                            </w:rPr>
                            <m:t>WeightsForEpisode</m:t>
                          </m:r>
                        </m:e>
                      </m:nary>
                      <m:r>
                        <w:rPr>
                          <w:rFonts w:ascii="Cambria Math" w:hAnsi="Cambria Math" w:cs="Arial"/>
                        </w:rPr>
                        <m:t>)</m:t>
                      </m:r>
                    </m:sup>
                  </m:sSup>
                </m:num>
                <m:den>
                  <m:r>
                    <w:rPr>
                      <w:rFonts w:ascii="Cambria Math" w:hAnsi="Cambria Math" w:cs="Arial"/>
                    </w:rPr>
                    <m:t>1+</m:t>
                  </m:r>
                  <m:sSup>
                    <m:sSupPr>
                      <m:ctrlPr>
                        <w:rPr>
                          <w:rFonts w:ascii="Cambria Math" w:hAnsi="Cambria Math" w:cs="Arial"/>
                          <w:i/>
                        </w:rPr>
                      </m:ctrlPr>
                    </m:sSupPr>
                    <m:e>
                      <m:r>
                        <w:rPr>
                          <w:rFonts w:ascii="Cambria Math" w:hAnsi="Cambria Math" w:cs="Arial"/>
                        </w:rPr>
                        <m:t>e</m:t>
                      </m:r>
                    </m:e>
                    <m:sup>
                      <m:r>
                        <w:rPr>
                          <w:rFonts w:ascii="Cambria Math" w:hAnsi="Cambria Math" w:cs="Arial"/>
                        </w:rPr>
                        <m:t>(</m:t>
                      </m:r>
                      <m:nary>
                        <m:naryPr>
                          <m:chr m:val="∑"/>
                          <m:limLoc m:val="undOvr"/>
                          <m:subHide m:val="1"/>
                          <m:supHide m:val="1"/>
                          <m:ctrlPr>
                            <w:rPr>
                              <w:rFonts w:ascii="Cambria Math" w:hAnsi="Cambria Math" w:cs="Arial"/>
                              <w:i/>
                            </w:rPr>
                          </m:ctrlPr>
                        </m:naryPr>
                        <m:sub/>
                        <m:sup/>
                        <m:e>
                          <m:r>
                            <m:rPr>
                              <m:nor/>
                            </m:rPr>
                            <w:rPr>
                              <w:rFonts w:cs="Arial"/>
                            </w:rPr>
                            <m:t>WeightsForEpisode</m:t>
                          </m:r>
                        </m:e>
                      </m:nary>
                      <m:r>
                        <w:rPr>
                          <w:rFonts w:ascii="Cambria Math" w:hAnsi="Cambria Math" w:cs="Arial"/>
                        </w:rPr>
                        <m:t>)</m:t>
                      </m:r>
                    </m:sup>
                  </m:sSup>
                </m:den>
              </m:f>
            </m:oMath>
          </w:p>
          <w:p w14:paraId="1AA4DDC0" w14:textId="77777777" w:rsidR="0084708C" w:rsidRPr="005D4222" w:rsidRDefault="0084708C" w:rsidP="00A53E8C">
            <w:pPr>
              <w:spacing w:after="80"/>
              <w:ind w:left="723" w:hanging="723"/>
              <w:rPr>
                <w:rFonts w:cs="Arial"/>
                <w:b/>
                <w:i/>
              </w:rPr>
            </w:pPr>
            <w:r w:rsidRPr="005D4222">
              <w:rPr>
                <w:rFonts w:cs="Arial"/>
                <w:b/>
                <w:i/>
              </w:rPr>
              <w:t>OR</w:t>
            </w:r>
          </w:p>
          <w:p w14:paraId="41DBBFFA" w14:textId="24D94C6D" w:rsidR="0084708C" w:rsidRPr="005D4222" w:rsidRDefault="0084708C" w:rsidP="00A53E8C">
            <w:pPr>
              <w:pStyle w:val="Body"/>
              <w:jc w:val="center"/>
            </w:pPr>
            <w:r w:rsidRPr="005D4222">
              <w:t xml:space="preserve">Estimated Hospitalization Risk = [exp (sum of weights for episode)] / </w:t>
            </w:r>
            <w:r w:rsidR="00A07FCD">
              <w:br/>
            </w:r>
            <w:r w:rsidRPr="005D4222">
              <w:t>[ 1 + exp (sum of weights for episode)]</w:t>
            </w:r>
          </w:p>
          <w:p w14:paraId="2660C0A0" w14:textId="77777777" w:rsidR="0084708C" w:rsidRPr="005D4222" w:rsidRDefault="0084708C" w:rsidP="00A53E8C">
            <w:pPr>
              <w:pStyle w:val="Note"/>
              <w:spacing w:after="80"/>
              <w:ind w:left="723" w:hanging="723"/>
              <w:jc w:val="both"/>
            </w:pPr>
            <w:r w:rsidRPr="005D4222">
              <w:rPr>
                <w:b/>
              </w:rPr>
              <w:t xml:space="preserve">Note: </w:t>
            </w:r>
            <w:r w:rsidRPr="005D4222">
              <w:t>“Exp” refers to the exponential or antilog function.</w:t>
            </w:r>
          </w:p>
          <w:p w14:paraId="68CA75B1" w14:textId="77777777" w:rsidR="0084708C" w:rsidRPr="005D4222" w:rsidRDefault="0084708C" w:rsidP="00A53E8C">
            <w:pPr>
              <w:pStyle w:val="ECDSBody"/>
              <w:spacing w:before="80"/>
              <w:rPr>
                <w:i/>
              </w:rPr>
            </w:pPr>
            <w:r w:rsidRPr="005D4222">
              <w:t>Truncate the estimated hospitalization risk for each episode to 10 decimal places. Do not truncate or round in previous steps.</w:t>
            </w:r>
          </w:p>
          <w:p w14:paraId="5D49F8FA" w14:textId="77777777" w:rsidR="0084708C" w:rsidRPr="005D4222" w:rsidRDefault="0084708C" w:rsidP="00A53E8C">
            <w:pPr>
              <w:pStyle w:val="ECDSBody"/>
            </w:pPr>
            <w:r w:rsidRPr="005D4222">
              <w:rPr>
                <w:b/>
              </w:rPr>
              <w:t>Step 5.</w:t>
            </w:r>
            <w:r w:rsidRPr="005D4222">
              <w:t xml:space="preserve"> Calculate the count of expected hospitalizations for each age. The count of expected hospitalizations is the sum of the estimated hospitalization risk calculated for each outpatient general surgery episode for each age. </w:t>
            </w:r>
          </w:p>
          <w:p w14:paraId="79E18581" w14:textId="77777777" w:rsidR="0084708C" w:rsidRPr="005D4222" w:rsidRDefault="00010176" w:rsidP="00A53E8C">
            <w:pPr>
              <w:spacing w:after="120"/>
              <w:rPr>
                <w:bCs/>
                <w:iCs/>
              </w:rPr>
            </w:pPr>
            <m:oMathPara>
              <m:oMathParaPr>
                <m:jc m:val="center"/>
              </m:oMathParaPr>
              <m:oMath>
                <m:r>
                  <m:rPr>
                    <m:sty m:val="p"/>
                  </m:rPr>
                  <w:rPr>
                    <w:rFonts w:ascii="Cambria Math" w:hAnsi="Cambria Math" w:cs="Arial"/>
                  </w:rPr>
                  <m:t>Count of Expected Hospitalizations=</m:t>
                </m:r>
                <m:nary>
                  <m:naryPr>
                    <m:chr m:val="∑"/>
                    <m:limLoc m:val="undOvr"/>
                    <m:subHide m:val="1"/>
                    <m:supHide m:val="1"/>
                    <m:ctrlPr>
                      <w:rPr>
                        <w:rFonts w:ascii="Cambria Math" w:hAnsi="Cambria Math" w:cs="Arial"/>
                        <w:iCs/>
                      </w:rPr>
                    </m:ctrlPr>
                  </m:naryPr>
                  <m:sub/>
                  <m:sup/>
                  <m:e>
                    <m:r>
                      <m:rPr>
                        <m:sty m:val="p"/>
                      </m:rPr>
                      <w:rPr>
                        <w:rFonts w:ascii="Cambria Math" w:hAnsi="Cambria Math" w:cs="Arial"/>
                      </w:rPr>
                      <m:t>(Estimated Hospitalization Risk)</m:t>
                    </m:r>
                  </m:e>
                </m:nary>
              </m:oMath>
            </m:oMathPara>
          </w:p>
          <w:p w14:paraId="5BCB9B46" w14:textId="77777777" w:rsidR="0084708C" w:rsidRPr="005D4222" w:rsidRDefault="0084708C" w:rsidP="00A53E8C">
            <w:pPr>
              <w:pStyle w:val="ECDSBody"/>
            </w:pPr>
            <w:r w:rsidRPr="005D4222">
              <w:rPr>
                <w:b/>
                <w:iCs/>
              </w:rPr>
              <w:t>Step 6.</w:t>
            </w:r>
            <w:r w:rsidRPr="005D4222">
              <w:rPr>
                <w:iCs/>
              </w:rPr>
              <w:t xml:space="preserve"> Use t</w:t>
            </w:r>
            <w:r w:rsidRPr="005D4222">
              <w:t>he formula below and the estimated hospitalization risk calculated in step 5 to calculate the variance for each outpatient general surgery episode.</w:t>
            </w:r>
          </w:p>
          <w:p w14:paraId="2D10BE8C" w14:textId="77777777" w:rsidR="0084708C" w:rsidRPr="005D4222" w:rsidRDefault="0084708C" w:rsidP="00A53E8C">
            <w:pPr>
              <w:spacing w:before="240" w:after="120"/>
              <w:jc w:val="center"/>
              <w:rPr>
                <w:bCs/>
              </w:rPr>
            </w:pPr>
            <w:r w:rsidRPr="005D4222">
              <w:rPr>
                <w:bCs/>
              </w:rPr>
              <w:t xml:space="preserve">Variance = Estimated Hospitalization Risk x </w:t>
            </w:r>
            <w:r w:rsidRPr="005D4222">
              <w:rPr>
                <w:bCs/>
              </w:rPr>
              <w:br/>
              <w:t>(1 – Estimated Hospitalization Risk)</w:t>
            </w:r>
          </w:p>
          <w:p w14:paraId="766ACCD5" w14:textId="77777777" w:rsidR="0084708C" w:rsidRPr="005D4222" w:rsidRDefault="0084708C" w:rsidP="00A53E8C">
            <w:pPr>
              <w:pStyle w:val="ECDSBody"/>
            </w:pPr>
            <w:r w:rsidRPr="005D4222">
              <w:t>Truncate the variance for each outpatient general surgery episode to 10 decimal places.</w:t>
            </w:r>
          </w:p>
          <w:p w14:paraId="7A410E9F" w14:textId="77777777" w:rsidR="0084708C" w:rsidRPr="005D4222" w:rsidRDefault="0084708C" w:rsidP="0084708C">
            <w:pPr>
              <w:pStyle w:val="Bullet"/>
              <w:numPr>
                <w:ilvl w:val="0"/>
                <w:numId w:val="4"/>
              </w:numPr>
              <w:tabs>
                <w:tab w:val="left" w:pos="360"/>
                <w:tab w:val="left" w:pos="576"/>
              </w:tabs>
              <w:ind w:left="576" w:hanging="216"/>
            </w:pPr>
            <w:r w:rsidRPr="005D4222">
              <w:rPr>
                <w:i/>
                <w:iCs/>
              </w:rPr>
              <w:t xml:space="preserve">For example, </w:t>
            </w:r>
            <w:r w:rsidRPr="005D4222">
              <w:t>if the estimated hospitalization risk is 0.1518450741 for an outpatient general surgery episode, then the hospitalization variance for this outpatient general surgery episode is 0.1518450741 x 0.8481549259 = 0.1287881475.</w:t>
            </w:r>
          </w:p>
          <w:p w14:paraId="2CDAE4B8" w14:textId="77777777" w:rsidR="0084708C" w:rsidRPr="005D4222" w:rsidRDefault="0084708C" w:rsidP="00A53E8C">
            <w:pPr>
              <w:pStyle w:val="Note"/>
              <w:spacing w:after="80"/>
              <w:rPr>
                <w:b/>
              </w:rPr>
            </w:pPr>
            <w:r w:rsidRPr="005D4222">
              <w:rPr>
                <w:b/>
              </w:rPr>
              <w:t xml:space="preserve">Note: </w:t>
            </w:r>
            <w:r w:rsidRPr="005D4222">
              <w:t>Organizations must sum the variances for each age when populating the variance cells in the reporting tables. When reporting, round the variance to 4 decimal places using the .5 rule.</w:t>
            </w:r>
          </w:p>
        </w:tc>
      </w:tr>
      <w:tr w:rsidR="0084708C" w:rsidRPr="005D4222" w14:paraId="4F060EE8" w14:textId="77777777" w:rsidTr="006663E6">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77C8654" w14:textId="77777777" w:rsidR="0084708C" w:rsidRPr="005D4222" w:rsidRDefault="0084708C" w:rsidP="00A53E8C">
            <w:pPr>
              <w:pStyle w:val="ECDSMarginHead"/>
            </w:pPr>
            <w:r w:rsidRPr="005D4222">
              <w:lastRenderedPageBreak/>
              <w:t>Numerator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F3A411F" w14:textId="77777777" w:rsidR="0084708C" w:rsidRPr="005D4222" w:rsidRDefault="0084708C" w:rsidP="00A53E8C">
            <w:pPr>
              <w:pStyle w:val="ECDSBody"/>
              <w:rPr>
                <w:b/>
                <w:bCs w:val="0"/>
              </w:rPr>
            </w:pPr>
            <w:r w:rsidRPr="005D4222">
              <w:rPr>
                <w:b/>
                <w:bCs w:val="0"/>
              </w:rPr>
              <w:t>Acute hospitalization within 15 days of the outpatient general surgery episode.</w:t>
            </w:r>
          </w:p>
          <w:p w14:paraId="68E11EB9" w14:textId="77777777" w:rsidR="0084708C" w:rsidRPr="005D4222" w:rsidRDefault="0084708C" w:rsidP="00A53E8C">
            <w:pPr>
              <w:pStyle w:val="ECDSBody"/>
            </w:pPr>
            <w:r w:rsidRPr="005D4222">
              <w:rPr>
                <w:b/>
              </w:rPr>
              <w:t>Step 1.</w:t>
            </w:r>
            <w:r w:rsidRPr="005D4222">
              <w:t xml:space="preserve"> For each outpatient general surgery episode, identify all acute inpatient admissions and observation stay hospitalizations with an admission date within 15 days after the outpatient general surgery episode. </w:t>
            </w:r>
          </w:p>
          <w:p w14:paraId="1F647E98" w14:textId="77777777" w:rsidR="0084708C" w:rsidRPr="005D4222" w:rsidRDefault="0084708C" w:rsidP="00A53E8C">
            <w:pPr>
              <w:pStyle w:val="ECDSBody"/>
            </w:pPr>
            <w:r w:rsidRPr="005D4222">
              <w:t>To identify acute inpatient and observation admissions:</w:t>
            </w:r>
          </w:p>
          <w:p w14:paraId="6D594975" w14:textId="77777777" w:rsidR="0084708C" w:rsidRPr="005D4222" w:rsidRDefault="0084708C" w:rsidP="005D6173">
            <w:pPr>
              <w:pStyle w:val="Body"/>
              <w:numPr>
                <w:ilvl w:val="0"/>
                <w:numId w:val="125"/>
              </w:numPr>
              <w:spacing w:before="120"/>
              <w:ind w:left="648" w:hanging="288"/>
            </w:pPr>
            <w:r w:rsidRPr="005D4222">
              <w:t>Identify all acute and nonacute inpatient stays (</w:t>
            </w:r>
            <w:r w:rsidRPr="005D4222">
              <w:rPr>
                <w:u w:val="single"/>
              </w:rPr>
              <w:t>Inpatient Stay Value Set</w:t>
            </w:r>
            <w:r w:rsidRPr="005D4222">
              <w:t>) and observation stays (</w:t>
            </w:r>
            <w:r w:rsidRPr="005D4222">
              <w:rPr>
                <w:u w:val="single"/>
              </w:rPr>
              <w:t>Observation Stay Value Set</w:t>
            </w:r>
            <w:r w:rsidRPr="005D4222">
              <w:t>).</w:t>
            </w:r>
          </w:p>
          <w:p w14:paraId="15640F35" w14:textId="77777777" w:rsidR="0084708C" w:rsidRPr="005D4222" w:rsidRDefault="0084708C" w:rsidP="005D6173">
            <w:pPr>
              <w:pStyle w:val="Body"/>
              <w:numPr>
                <w:ilvl w:val="0"/>
                <w:numId w:val="125"/>
              </w:numPr>
              <w:spacing w:before="120"/>
              <w:ind w:left="648" w:hanging="288"/>
            </w:pPr>
            <w:r w:rsidRPr="005D4222">
              <w:t xml:space="preserve">Exclude </w:t>
            </w:r>
            <w:r w:rsidRPr="005D4222">
              <w:rPr>
                <w:szCs w:val="21"/>
              </w:rPr>
              <w:t>nonacute inpatient stays (</w:t>
            </w:r>
            <w:r w:rsidRPr="005D4222">
              <w:rPr>
                <w:szCs w:val="21"/>
                <w:u w:val="single"/>
              </w:rPr>
              <w:t>Nonacute Inpatient Stay Value Set</w:t>
            </w:r>
            <w:r w:rsidRPr="005D4222">
              <w:rPr>
                <w:szCs w:val="21"/>
              </w:rPr>
              <w:t xml:space="preserve">). </w:t>
            </w:r>
          </w:p>
          <w:p w14:paraId="3AA827EA" w14:textId="77777777" w:rsidR="0084708C" w:rsidRPr="005D4222" w:rsidRDefault="0084708C" w:rsidP="005D6173">
            <w:pPr>
              <w:pStyle w:val="Body"/>
              <w:numPr>
                <w:ilvl w:val="0"/>
                <w:numId w:val="125"/>
              </w:numPr>
              <w:tabs>
                <w:tab w:val="left" w:pos="632"/>
              </w:tabs>
              <w:spacing w:before="120" w:after="80"/>
              <w:ind w:hanging="124"/>
              <w:rPr>
                <w:u w:val="single"/>
              </w:rPr>
            </w:pPr>
            <w:r w:rsidRPr="005D4222">
              <w:t>Identify the admission date for the stay.</w:t>
            </w:r>
          </w:p>
          <w:p w14:paraId="601016AB" w14:textId="77777777" w:rsidR="0084708C" w:rsidRPr="005D4222" w:rsidRDefault="0084708C" w:rsidP="00A53E8C">
            <w:pPr>
              <w:pStyle w:val="ECDSBody"/>
            </w:pPr>
            <w:r w:rsidRPr="005D4222">
              <w:rPr>
                <w:b/>
              </w:rPr>
              <w:t>Step 2.</w:t>
            </w:r>
            <w:r w:rsidRPr="005D4222">
              <w:t xml:space="preserve"> For discharges with one or more direct transfers, use the last discharge. </w:t>
            </w:r>
          </w:p>
          <w:p w14:paraId="64429614" w14:textId="77777777" w:rsidR="0084708C" w:rsidRPr="005D4222" w:rsidRDefault="0084708C" w:rsidP="00A53E8C">
            <w:pPr>
              <w:pStyle w:val="ECDSBody"/>
            </w:pPr>
            <w:r w:rsidRPr="005D4222">
              <w:t>Using the discharges identified in step 1, identify direct transfers between acute inpatient and observation using the definition of direct transfer.</w:t>
            </w:r>
          </w:p>
          <w:p w14:paraId="5176A0DD" w14:textId="7300C8B8" w:rsidR="00813FE1" w:rsidRPr="005D4222" w:rsidRDefault="0084708C" w:rsidP="00813FE1">
            <w:pPr>
              <w:pStyle w:val="ECDSBody"/>
              <w:rPr>
                <w:b/>
              </w:rPr>
            </w:pPr>
            <w:r w:rsidRPr="005D4222">
              <w:rPr>
                <w:b/>
              </w:rPr>
              <w:t>Step 3.</w:t>
            </w:r>
            <w:r w:rsidRPr="005D4222">
              <w:t xml:space="preserve"> For the remaining discharges, exclude inpatient and observation stay discharges with any of the following criteria on the discharge claim: </w:t>
            </w:r>
          </w:p>
        </w:tc>
      </w:tr>
      <w:tr w:rsidR="0084708C" w:rsidRPr="005D4222" w14:paraId="270036BE" w14:textId="77777777" w:rsidTr="006663E6">
        <w:tc>
          <w:tcPr>
            <w:tcW w:w="2157" w:type="dxa"/>
            <w:tcBorders>
              <w:top w:val="single" w:sz="4" w:space="0" w:color="auto"/>
              <w:left w:val="single" w:sz="2" w:space="0" w:color="auto"/>
              <w:bottom w:val="nil"/>
              <w:right w:val="single" w:sz="2" w:space="0" w:color="auto"/>
            </w:tcBorders>
            <w:shd w:val="clear" w:color="auto" w:fill="BFBFBF" w:themeFill="background1" w:themeFillShade="BF"/>
            <w:tcMar>
              <w:top w:w="0" w:type="dxa"/>
              <w:left w:w="86" w:type="dxa"/>
              <w:bottom w:w="43" w:type="dxa"/>
              <w:right w:w="86" w:type="dxa"/>
            </w:tcMar>
          </w:tcPr>
          <w:p w14:paraId="3676C534" w14:textId="77777777" w:rsidR="0084708C" w:rsidRPr="005D4222" w:rsidRDefault="0084708C"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39406AA" w14:textId="77777777" w:rsidR="00813FE1" w:rsidRPr="005D4222" w:rsidRDefault="00813FE1" w:rsidP="00813FE1">
            <w:pPr>
              <w:pStyle w:val="Bullet"/>
              <w:numPr>
                <w:ilvl w:val="0"/>
                <w:numId w:val="4"/>
              </w:numPr>
              <w:tabs>
                <w:tab w:val="left" w:pos="360"/>
                <w:tab w:val="left" w:pos="576"/>
              </w:tabs>
              <w:ind w:left="576" w:hanging="216"/>
            </w:pPr>
            <w:r w:rsidRPr="005D4222">
              <w:t>A principal diagnosis of maintenance chemotherapy (</w:t>
            </w:r>
            <w:r w:rsidRPr="005D4222">
              <w:rPr>
                <w:u w:val="single"/>
              </w:rPr>
              <w:t>Chemotherapy Encounter Value Set</w:t>
            </w:r>
            <w:r w:rsidRPr="005D4222">
              <w:t xml:space="preserve">). </w:t>
            </w:r>
          </w:p>
          <w:p w14:paraId="60D06293" w14:textId="77777777" w:rsidR="00813FE1" w:rsidRPr="005D4222" w:rsidRDefault="00813FE1" w:rsidP="00813FE1">
            <w:pPr>
              <w:pStyle w:val="Bullet"/>
              <w:numPr>
                <w:ilvl w:val="0"/>
                <w:numId w:val="4"/>
              </w:numPr>
              <w:tabs>
                <w:tab w:val="left" w:pos="360"/>
                <w:tab w:val="left" w:pos="576"/>
              </w:tabs>
              <w:ind w:left="576" w:hanging="216"/>
            </w:pPr>
            <w:r w:rsidRPr="005D4222">
              <w:t>A principal diagnosis of rehabilitation (</w:t>
            </w:r>
            <w:r w:rsidRPr="005D4222">
              <w:rPr>
                <w:u w:val="single"/>
              </w:rPr>
              <w:t>Rehabilitation Value Set</w:t>
            </w:r>
            <w:r w:rsidRPr="005D4222">
              <w:t xml:space="preserve">). </w:t>
            </w:r>
          </w:p>
          <w:p w14:paraId="356291CC" w14:textId="77777777" w:rsidR="00813FE1" w:rsidRPr="005D4222" w:rsidRDefault="00813FE1" w:rsidP="00813FE1">
            <w:pPr>
              <w:pStyle w:val="Bullet"/>
              <w:numPr>
                <w:ilvl w:val="0"/>
                <w:numId w:val="4"/>
              </w:numPr>
              <w:tabs>
                <w:tab w:val="left" w:pos="360"/>
                <w:tab w:val="left" w:pos="576"/>
              </w:tabs>
              <w:ind w:left="576" w:hanging="216"/>
            </w:pPr>
            <w:r w:rsidRPr="005D4222">
              <w:t>An organ transplant (</w:t>
            </w:r>
            <w:r w:rsidRPr="005D4222">
              <w:rPr>
                <w:u w:val="single"/>
              </w:rPr>
              <w:t>Kidney Transplant Value Set</w:t>
            </w:r>
            <w:r w:rsidRPr="005D4222">
              <w:t xml:space="preserve">, </w:t>
            </w:r>
            <w:r w:rsidRPr="005D4222">
              <w:rPr>
                <w:u w:val="single"/>
              </w:rPr>
              <w:t>Bone Marrow Transplant Value Set</w:t>
            </w:r>
            <w:r w:rsidRPr="005D4222">
              <w:t xml:space="preserve">, </w:t>
            </w:r>
            <w:r w:rsidRPr="005D4222">
              <w:rPr>
                <w:u w:val="single"/>
              </w:rPr>
              <w:t>Organ Transplant Other Than Kidney Value Set</w:t>
            </w:r>
            <w:r w:rsidRPr="005D4222">
              <w:t xml:space="preserve">, </w:t>
            </w:r>
            <w:r w:rsidRPr="005D4222">
              <w:rPr>
                <w:u w:val="single"/>
              </w:rPr>
              <w:t>Introduction of Autologous Pancreatic Cells Value Set</w:t>
            </w:r>
            <w:r w:rsidRPr="005D4222">
              <w:t>).</w:t>
            </w:r>
          </w:p>
          <w:p w14:paraId="21800445" w14:textId="77777777" w:rsidR="00813FE1" w:rsidRPr="005D4222" w:rsidRDefault="00813FE1" w:rsidP="00813FE1">
            <w:pPr>
              <w:pStyle w:val="Bullet"/>
              <w:numPr>
                <w:ilvl w:val="0"/>
                <w:numId w:val="4"/>
              </w:numPr>
              <w:tabs>
                <w:tab w:val="left" w:pos="360"/>
                <w:tab w:val="left" w:pos="576"/>
              </w:tabs>
              <w:ind w:left="576" w:hanging="216"/>
            </w:pPr>
            <w:r w:rsidRPr="005D4222">
              <w:t>A potentially planned procedure (</w:t>
            </w:r>
            <w:r w:rsidRPr="005D4222">
              <w:rPr>
                <w:u w:val="single"/>
              </w:rPr>
              <w:t>Potentially Planned Procedures Value Set</w:t>
            </w:r>
            <w:r w:rsidRPr="005D4222">
              <w:t>) without a principal acute diagnosis (</w:t>
            </w:r>
            <w:r w:rsidRPr="005D4222">
              <w:rPr>
                <w:u w:val="single"/>
              </w:rPr>
              <w:t>Acute Condition Value Set</w:t>
            </w:r>
            <w:r w:rsidRPr="005D4222">
              <w:t>).</w:t>
            </w:r>
          </w:p>
          <w:p w14:paraId="473097A5" w14:textId="77777777" w:rsidR="00813FE1" w:rsidRPr="005D4222" w:rsidRDefault="00813FE1" w:rsidP="00813FE1">
            <w:pPr>
              <w:pStyle w:val="Note"/>
              <w:rPr>
                <w:b/>
                <w:bCs/>
                <w:szCs w:val="20"/>
              </w:rPr>
            </w:pPr>
            <w:r w:rsidRPr="005D4222">
              <w:rPr>
                <w:b/>
                <w:bCs/>
                <w:szCs w:val="20"/>
              </w:rPr>
              <w:t>Note</w:t>
            </w:r>
          </w:p>
          <w:p w14:paraId="2E3660D8" w14:textId="77777777" w:rsidR="00813FE1" w:rsidRPr="005D4222" w:rsidRDefault="00813FE1" w:rsidP="005D6173">
            <w:pPr>
              <w:pStyle w:val="ProcessBullet"/>
              <w:numPr>
                <w:ilvl w:val="0"/>
                <w:numId w:val="98"/>
              </w:numPr>
              <w:tabs>
                <w:tab w:val="left" w:pos="216"/>
              </w:tabs>
              <w:ind w:left="216" w:hanging="216"/>
              <w:rPr>
                <w:i/>
                <w:iCs/>
                <w:sz w:val="20"/>
                <w:szCs w:val="20"/>
              </w:rPr>
            </w:pPr>
            <w:r w:rsidRPr="005D4222">
              <w:rPr>
                <w:i/>
                <w:iCs/>
                <w:sz w:val="20"/>
                <w:szCs w:val="20"/>
              </w:rPr>
              <w:t>For hospital stays where there was a direct transfer (identified in step 2), use the original stay and any direct transfer stays to identify exclusions in this step.</w:t>
            </w:r>
          </w:p>
          <w:p w14:paraId="772E1861" w14:textId="77777777" w:rsidR="00813FE1" w:rsidRPr="005D4222" w:rsidRDefault="00813FE1" w:rsidP="005D6173">
            <w:pPr>
              <w:pStyle w:val="ProcessBullet"/>
              <w:numPr>
                <w:ilvl w:val="0"/>
                <w:numId w:val="98"/>
              </w:numPr>
              <w:tabs>
                <w:tab w:val="left" w:pos="216"/>
              </w:tabs>
              <w:spacing w:after="80"/>
              <w:ind w:left="216" w:hanging="216"/>
              <w:rPr>
                <w:b/>
                <w:sz w:val="20"/>
                <w:szCs w:val="20"/>
              </w:rPr>
            </w:pPr>
            <w:r w:rsidRPr="005D4222">
              <w:rPr>
                <w:i/>
                <w:iCs/>
                <w:sz w:val="20"/>
                <w:szCs w:val="20"/>
              </w:rPr>
              <w:t xml:space="preserve">Only one inpatient admission or observation stay hospitalization may be included in the numerators for each unique outpatient general surgery episode denominator event. If there are multiple numerator events that meet criteria for a singular denominator event, only count the numerator event closest to the outpatient general surgery episode. </w:t>
            </w:r>
          </w:p>
          <w:p w14:paraId="05783D73" w14:textId="77777777" w:rsidR="0084708C" w:rsidRPr="005D4222" w:rsidRDefault="0084708C" w:rsidP="00A53E8C">
            <w:pPr>
              <w:pStyle w:val="ProcessBullet"/>
              <w:numPr>
                <w:ilvl w:val="0"/>
                <w:numId w:val="0"/>
              </w:numPr>
              <w:ind w:left="216"/>
              <w:rPr>
                <w:i/>
                <w:iCs/>
                <w:sz w:val="20"/>
                <w:szCs w:val="20"/>
              </w:rPr>
            </w:pPr>
            <w:r w:rsidRPr="005D4222">
              <w:rPr>
                <w:sz w:val="20"/>
                <w:szCs w:val="20"/>
              </w:rPr>
              <w:t xml:space="preserve">For example, </w:t>
            </w:r>
            <w:r w:rsidRPr="005D4222">
              <w:rPr>
                <w:i/>
                <w:iCs/>
                <w:sz w:val="20"/>
                <w:szCs w:val="20"/>
              </w:rPr>
              <w:t>consider the following events:</w:t>
            </w:r>
          </w:p>
          <w:p w14:paraId="70DA2B48" w14:textId="77777777" w:rsidR="0084708C" w:rsidRPr="005D4222" w:rsidRDefault="0084708C" w:rsidP="0084708C">
            <w:pPr>
              <w:pStyle w:val="ProcessDash"/>
              <w:spacing w:after="40"/>
              <w:rPr>
                <w:i/>
                <w:iCs/>
                <w:sz w:val="20"/>
              </w:rPr>
            </w:pPr>
            <w:r w:rsidRPr="005D4222">
              <w:rPr>
                <w:i/>
                <w:iCs/>
                <w:sz w:val="20"/>
              </w:rPr>
              <w:t>Outpatient general surgery episode: May 10.</w:t>
            </w:r>
          </w:p>
          <w:p w14:paraId="7CBB666F" w14:textId="77777777" w:rsidR="0084708C" w:rsidRPr="005D4222" w:rsidRDefault="0084708C" w:rsidP="0084708C">
            <w:pPr>
              <w:pStyle w:val="ProcessDash"/>
              <w:spacing w:after="40"/>
              <w:rPr>
                <w:i/>
                <w:iCs/>
                <w:sz w:val="20"/>
              </w:rPr>
            </w:pPr>
            <w:r w:rsidRPr="005D4222">
              <w:rPr>
                <w:i/>
                <w:iCs/>
                <w:sz w:val="20"/>
              </w:rPr>
              <w:t>Observation stay: May 13–14.</w:t>
            </w:r>
          </w:p>
          <w:p w14:paraId="3C55A523" w14:textId="77777777" w:rsidR="0084708C" w:rsidRPr="005D4222" w:rsidRDefault="0084708C" w:rsidP="0084708C">
            <w:pPr>
              <w:pStyle w:val="ProcessDash"/>
              <w:spacing w:after="40"/>
              <w:rPr>
                <w:i/>
                <w:iCs/>
                <w:sz w:val="20"/>
              </w:rPr>
            </w:pPr>
            <w:r w:rsidRPr="005D4222">
              <w:rPr>
                <w:i/>
                <w:iCs/>
                <w:sz w:val="20"/>
              </w:rPr>
              <w:t>Acute inpatient stay: May 16–20.</w:t>
            </w:r>
          </w:p>
          <w:p w14:paraId="3CAD1073" w14:textId="77777777" w:rsidR="0084708C" w:rsidRPr="005D4222" w:rsidRDefault="0084708C" w:rsidP="00A53E8C">
            <w:pPr>
              <w:spacing w:before="80" w:after="120"/>
              <w:ind w:left="216"/>
              <w:rPr>
                <w:bCs/>
                <w:i/>
                <w:iCs/>
                <w:sz w:val="20"/>
              </w:rPr>
            </w:pPr>
            <w:r w:rsidRPr="005D4222">
              <w:rPr>
                <w:bCs/>
                <w:i/>
                <w:iCs/>
                <w:sz w:val="20"/>
              </w:rPr>
              <w:t>Both the observation stay of May 13–14 and the acute inpatient stay of May 16–20 are within 15 days of the outpatient general surgery episode on May 10. Only the observation stay is included in the numerator because it is the hospitalization event closest to the outpatient general surgery episode.</w:t>
            </w:r>
          </w:p>
          <w:p w14:paraId="565CD25C" w14:textId="77777777" w:rsidR="0084708C" w:rsidRPr="005D4222" w:rsidRDefault="0084708C" w:rsidP="005D6173">
            <w:pPr>
              <w:pStyle w:val="ProcessBullet"/>
              <w:numPr>
                <w:ilvl w:val="0"/>
                <w:numId w:val="98"/>
              </w:numPr>
              <w:ind w:left="216" w:hanging="216"/>
              <w:rPr>
                <w:i/>
                <w:iCs/>
                <w:sz w:val="20"/>
                <w:szCs w:val="20"/>
              </w:rPr>
            </w:pPr>
            <w:r w:rsidRPr="005D4222">
              <w:rPr>
                <w:i/>
                <w:iCs/>
                <w:sz w:val="20"/>
                <w:szCs w:val="20"/>
              </w:rPr>
              <w:t xml:space="preserve">Count each unique acute inpatient admission or observation stay hospitalization only once toward the numerator for the last denominator event. If a single numerator event meets criteria for multiple denominator events, only attribute the numerator event to the last denominator event. </w:t>
            </w:r>
          </w:p>
          <w:p w14:paraId="41FEF14F" w14:textId="77777777" w:rsidR="0084708C" w:rsidRPr="005D4222" w:rsidRDefault="0084708C" w:rsidP="00A53E8C">
            <w:pPr>
              <w:pStyle w:val="ProcessBullet"/>
              <w:numPr>
                <w:ilvl w:val="0"/>
                <w:numId w:val="0"/>
              </w:numPr>
              <w:ind w:left="216"/>
              <w:rPr>
                <w:i/>
                <w:iCs/>
                <w:sz w:val="20"/>
                <w:szCs w:val="20"/>
              </w:rPr>
            </w:pPr>
            <w:r w:rsidRPr="005D4222">
              <w:rPr>
                <w:sz w:val="20"/>
                <w:szCs w:val="20"/>
              </w:rPr>
              <w:t>For example,</w:t>
            </w:r>
            <w:r w:rsidRPr="005D4222">
              <w:rPr>
                <w:i/>
                <w:iCs/>
                <w:sz w:val="20"/>
                <w:szCs w:val="20"/>
              </w:rPr>
              <w:t xml:space="preserve"> consider the following events:</w:t>
            </w:r>
          </w:p>
          <w:p w14:paraId="6C7C2E07" w14:textId="77777777" w:rsidR="0084708C" w:rsidRPr="005D4222" w:rsidRDefault="0084708C" w:rsidP="0084708C">
            <w:pPr>
              <w:pStyle w:val="ProcessDash"/>
              <w:spacing w:after="40"/>
              <w:rPr>
                <w:i/>
                <w:iCs/>
                <w:sz w:val="20"/>
              </w:rPr>
            </w:pPr>
            <w:r w:rsidRPr="005D4222">
              <w:rPr>
                <w:i/>
                <w:iCs/>
                <w:sz w:val="20"/>
              </w:rPr>
              <w:t>Outpatient general surgery episode 1: May 10.</w:t>
            </w:r>
          </w:p>
          <w:p w14:paraId="72FEA393" w14:textId="77777777" w:rsidR="0084708C" w:rsidRPr="005D4222" w:rsidRDefault="0084708C" w:rsidP="0084708C">
            <w:pPr>
              <w:pStyle w:val="ProcessDash"/>
              <w:spacing w:after="40"/>
              <w:rPr>
                <w:i/>
                <w:iCs/>
                <w:sz w:val="20"/>
              </w:rPr>
            </w:pPr>
            <w:r w:rsidRPr="005D4222">
              <w:rPr>
                <w:i/>
                <w:iCs/>
                <w:sz w:val="20"/>
              </w:rPr>
              <w:t>Outpatient general surgery episode 2: May 15.</w:t>
            </w:r>
          </w:p>
          <w:p w14:paraId="2DD620EF" w14:textId="77777777" w:rsidR="0084708C" w:rsidRPr="005D4222" w:rsidRDefault="0084708C" w:rsidP="0084708C">
            <w:pPr>
              <w:pStyle w:val="ProcessDash"/>
              <w:spacing w:after="40"/>
              <w:rPr>
                <w:i/>
                <w:iCs/>
                <w:sz w:val="20"/>
              </w:rPr>
            </w:pPr>
            <w:r w:rsidRPr="005D4222">
              <w:rPr>
                <w:i/>
                <w:iCs/>
                <w:sz w:val="20"/>
              </w:rPr>
              <w:t>Acute inpatient stay: May 18.</w:t>
            </w:r>
          </w:p>
          <w:p w14:paraId="0ABA4546" w14:textId="77777777" w:rsidR="0084708C" w:rsidRPr="005D4222" w:rsidRDefault="0084708C" w:rsidP="00A53E8C">
            <w:pPr>
              <w:pStyle w:val="ECDSBody"/>
              <w:spacing w:before="80"/>
              <w:ind w:left="216"/>
              <w:rPr>
                <w:b/>
                <w:bCs w:val="0"/>
              </w:rPr>
            </w:pPr>
            <w:r w:rsidRPr="005D4222">
              <w:rPr>
                <w:i/>
                <w:iCs/>
                <w:sz w:val="20"/>
                <w:szCs w:val="20"/>
              </w:rPr>
              <w:t>The outpatient general surgery episodes of May 10 and May 15 are included as denominator events. The acute inpatient stay counts as a numerator event only toward the last denominator event (episode 2, May 15).</w:t>
            </w:r>
          </w:p>
        </w:tc>
      </w:tr>
      <w:tr w:rsidR="0084708C" w:rsidRPr="005D4222" w14:paraId="137916EC" w14:textId="77777777" w:rsidTr="006663E6">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E40E639" w14:textId="77777777" w:rsidR="0084708C" w:rsidRPr="005D4222" w:rsidRDefault="0084708C" w:rsidP="00A53E8C">
            <w:pPr>
              <w:pStyle w:val="ECDSMarginHead"/>
            </w:pPr>
            <w:r w:rsidRPr="005D4222">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ACCF253" w14:textId="77777777" w:rsidR="0084708C" w:rsidRPr="005D4222" w:rsidRDefault="0084708C" w:rsidP="005D6173">
            <w:pPr>
              <w:pStyle w:val="ProcessBullet"/>
              <w:numPr>
                <w:ilvl w:val="0"/>
                <w:numId w:val="98"/>
              </w:numPr>
              <w:tabs>
                <w:tab w:val="left" w:pos="216"/>
              </w:tabs>
              <w:spacing w:before="120"/>
              <w:ind w:left="216" w:hanging="216"/>
              <w:rPr>
                <w:rFonts w:eastAsiaTheme="minorHAnsi"/>
              </w:rPr>
            </w:pPr>
            <w:r w:rsidRPr="005D4222">
              <w:rPr>
                <w:rFonts w:eastAsia="Arial"/>
              </w:rPr>
              <w:t>This is a first-year measure.</w:t>
            </w:r>
          </w:p>
        </w:tc>
      </w:tr>
      <w:tr w:rsidR="0084708C" w:rsidRPr="005D4222" w14:paraId="4FA338E4" w14:textId="77777777" w:rsidTr="006663E6">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7711B20" w14:textId="77777777" w:rsidR="0084708C" w:rsidRPr="005D4222" w:rsidRDefault="0084708C" w:rsidP="00A53E8C">
            <w:pPr>
              <w:pStyle w:val="ECDS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92A67BA" w14:textId="77777777" w:rsidR="0084708C" w:rsidRPr="005D4222" w:rsidRDefault="0084708C" w:rsidP="00A53E8C">
            <w:pPr>
              <w:pStyle w:val="ECDSBody"/>
            </w:pPr>
            <w:r w:rsidRPr="005D4222">
              <w:rPr>
                <w:b/>
                <w:i/>
                <w:iCs/>
              </w:rPr>
              <w:t>Reporting:</w:t>
            </w:r>
            <w:r w:rsidRPr="005D4222">
              <w:rPr>
                <w:b/>
              </w:rPr>
              <w:t xml:space="preserve"> Denominator</w:t>
            </w:r>
            <w:r w:rsidRPr="005D4222">
              <w:rPr>
                <w:b/>
              </w:rPr>
              <w:br/>
            </w:r>
            <w:r w:rsidRPr="005D4222">
              <w:t>The number of outpatient general surgery episodes, reported as the Denominator.</w:t>
            </w:r>
          </w:p>
          <w:p w14:paraId="21803CA5" w14:textId="1E636F99" w:rsidR="007A037A" w:rsidRPr="005D4222" w:rsidRDefault="0084708C" w:rsidP="007A037A">
            <w:pPr>
              <w:pStyle w:val="ECDSBody"/>
            </w:pPr>
            <w:r w:rsidRPr="005D4222">
              <w:rPr>
                <w:b/>
                <w:i/>
                <w:iCs/>
              </w:rPr>
              <w:t xml:space="preserve">Reporting: </w:t>
            </w:r>
            <w:r w:rsidRPr="005D4222">
              <w:rPr>
                <w:b/>
              </w:rPr>
              <w:t>Numerator</w:t>
            </w:r>
            <w:r w:rsidRPr="005D4222">
              <w:rPr>
                <w:b/>
              </w:rPr>
              <w:br/>
            </w:r>
            <w:r w:rsidRPr="005D4222">
              <w:t>The number of observed acute inpatient admission or observation stay hospitalizations, reported as the ObservedCount.</w:t>
            </w:r>
          </w:p>
        </w:tc>
      </w:tr>
    </w:tbl>
    <w:p w14:paraId="67BD0B6F" w14:textId="77777777" w:rsidR="007A037A" w:rsidRPr="005D4222" w:rsidRDefault="007A037A"/>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84708C" w:rsidRPr="005D4222" w14:paraId="47FB9D53" w14:textId="77777777" w:rsidTr="006663E6">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3CA7073" w14:textId="77777777" w:rsidR="0084708C" w:rsidRPr="005D4222" w:rsidRDefault="0084708C"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FB5FAE8" w14:textId="77777777" w:rsidR="007A037A" w:rsidRPr="005D4222" w:rsidRDefault="007A037A" w:rsidP="007A037A">
            <w:pPr>
              <w:pStyle w:val="ECDSBody"/>
            </w:pPr>
            <w:r w:rsidRPr="005D4222">
              <w:rPr>
                <w:b/>
                <w:i/>
                <w:iCs/>
              </w:rPr>
              <w:t>Calculated:</w:t>
            </w:r>
            <w:r w:rsidRPr="005D4222">
              <w:rPr>
                <w:b/>
              </w:rPr>
              <w:t xml:space="preserve"> Observed hospitalization rate</w:t>
            </w:r>
            <w:r w:rsidRPr="005D4222">
              <w:rPr>
                <w:b/>
              </w:rPr>
              <w:br/>
            </w:r>
            <w:r w:rsidRPr="005D4222">
              <w:t>The number of observed acute inpatient admission or observation stay hospitalizations (ObservedCount) divided by the number of outpatient general surgery episodes (</w:t>
            </w:r>
            <w:r w:rsidRPr="005D4222" w:rsidDel="00A31B1F">
              <w:t>D</w:t>
            </w:r>
            <w:r w:rsidRPr="005D4222">
              <w:t>enominator). Calculated by IDSS as the ObservedRate.</w:t>
            </w:r>
          </w:p>
          <w:p w14:paraId="2367669B" w14:textId="77777777" w:rsidR="007A037A" w:rsidRPr="005D4222" w:rsidRDefault="007A037A" w:rsidP="007A037A">
            <w:pPr>
              <w:pStyle w:val="ECDSBody"/>
              <w:rPr>
                <w:b/>
              </w:rPr>
            </w:pPr>
            <w:r w:rsidRPr="005D4222">
              <w:rPr>
                <w:b/>
                <w:i/>
                <w:iCs/>
              </w:rPr>
              <w:t xml:space="preserve">Reporting: </w:t>
            </w:r>
            <w:r w:rsidRPr="005D4222">
              <w:rPr>
                <w:b/>
              </w:rPr>
              <w:t>Count of expected hospitalizations</w:t>
            </w:r>
          </w:p>
          <w:p w14:paraId="50D8175B" w14:textId="77777777" w:rsidR="007A037A" w:rsidRPr="005D4222" w:rsidRDefault="007A037A" w:rsidP="007A037A">
            <w:pPr>
              <w:pStyle w:val="ECDSBody"/>
            </w:pPr>
            <w:r w:rsidRPr="005D4222">
              <w:rPr>
                <w:b/>
              </w:rPr>
              <w:t>Step 1.</w:t>
            </w:r>
            <w:r w:rsidRPr="005D4222">
              <w:t xml:space="preserve"> Calculate the number of expected inpatient admission or observation stay hospitalizations.</w:t>
            </w:r>
          </w:p>
          <w:p w14:paraId="0D04F01A" w14:textId="77777777" w:rsidR="007A037A" w:rsidRPr="005D4222" w:rsidRDefault="007A037A" w:rsidP="007A037A">
            <w:pPr>
              <w:pStyle w:val="ECDSBody"/>
            </w:pPr>
            <w:r w:rsidRPr="005D4222">
              <w:rPr>
                <w:b/>
              </w:rPr>
              <w:t>Step 2.</w:t>
            </w:r>
            <w:r w:rsidRPr="005D4222">
              <w:t xml:space="preserve"> Round to 4 decimal places using the .5 rule and report these values as the ExpectedCount.</w:t>
            </w:r>
          </w:p>
          <w:p w14:paraId="117BDA75" w14:textId="77777777" w:rsidR="007A037A" w:rsidRPr="005D4222" w:rsidRDefault="007A037A" w:rsidP="007A037A">
            <w:pPr>
              <w:pStyle w:val="ECDSBody"/>
            </w:pPr>
            <w:r w:rsidRPr="005D4222">
              <w:rPr>
                <w:b/>
                <w:i/>
                <w:iCs/>
              </w:rPr>
              <w:t>Calculated:</w:t>
            </w:r>
            <w:r w:rsidRPr="005D4222">
              <w:rPr>
                <w:b/>
              </w:rPr>
              <w:t xml:space="preserve"> Expected hospitalization rate</w:t>
            </w:r>
            <w:r w:rsidRPr="005D4222">
              <w:rPr>
                <w:b/>
              </w:rPr>
              <w:br/>
            </w:r>
            <w:r w:rsidRPr="005D4222">
              <w:t>The number of expected acute inpatient admission or observation stay hospitalizations (ExpectedCount) divided by the number of outpatient general surgery episodes (</w:t>
            </w:r>
            <w:r w:rsidRPr="005D4222" w:rsidDel="00A31B1F">
              <w:t>D</w:t>
            </w:r>
            <w:r w:rsidRPr="005D4222">
              <w:t>enominator). Calculated by IDSS as the ExpectedRate.</w:t>
            </w:r>
          </w:p>
          <w:p w14:paraId="57787925" w14:textId="77777777" w:rsidR="007A037A" w:rsidRPr="005D4222" w:rsidRDefault="007A037A" w:rsidP="007A037A">
            <w:pPr>
              <w:pStyle w:val="ECDSBody"/>
              <w:rPr>
                <w:b/>
              </w:rPr>
            </w:pPr>
            <w:r w:rsidRPr="005D4222">
              <w:rPr>
                <w:b/>
                <w:i/>
                <w:iCs/>
              </w:rPr>
              <w:t xml:space="preserve">Reporting: </w:t>
            </w:r>
            <w:r w:rsidRPr="005D4222">
              <w:rPr>
                <w:b/>
              </w:rPr>
              <w:t>Variance</w:t>
            </w:r>
          </w:p>
          <w:p w14:paraId="43CC5496" w14:textId="77777777" w:rsidR="007A037A" w:rsidRPr="005D4222" w:rsidRDefault="007A037A" w:rsidP="007A037A">
            <w:pPr>
              <w:pStyle w:val="ECDSBody"/>
            </w:pPr>
            <w:r w:rsidRPr="005D4222">
              <w:rPr>
                <w:b/>
              </w:rPr>
              <w:t>Step 1.</w:t>
            </w:r>
            <w:r w:rsidRPr="005D4222">
              <w:t xml:space="preserve"> Calculate the variance (</w:t>
            </w:r>
            <w:r w:rsidRPr="005D4222">
              <w:rPr>
                <w:i/>
                <w:iCs/>
              </w:rPr>
              <w:t>Risk Adjustment Calculation</w:t>
            </w:r>
            <w:r w:rsidRPr="005D4222">
              <w:t>, step 6).</w:t>
            </w:r>
          </w:p>
          <w:p w14:paraId="4848BBA7" w14:textId="77777777" w:rsidR="0084708C" w:rsidRPr="005D4222" w:rsidRDefault="0084708C" w:rsidP="00A53E8C">
            <w:pPr>
              <w:pStyle w:val="ECDSBody"/>
            </w:pPr>
            <w:r w:rsidRPr="005D4222">
              <w:rPr>
                <w:b/>
              </w:rPr>
              <w:t>Step 2.</w:t>
            </w:r>
            <w:r w:rsidRPr="005D4222">
              <w:t xml:space="preserve"> Round to 4 decimal places using the .5 rule and report these values as the CountVariance.</w:t>
            </w:r>
          </w:p>
          <w:p w14:paraId="2953C146" w14:textId="77777777" w:rsidR="0084708C" w:rsidRPr="005D4222" w:rsidRDefault="0084708C" w:rsidP="00A53E8C">
            <w:pPr>
              <w:pStyle w:val="ECDSBody"/>
            </w:pPr>
            <w:r w:rsidRPr="005D4222">
              <w:rPr>
                <w:b/>
                <w:i/>
                <w:iCs/>
              </w:rPr>
              <w:t>Calculated:</w:t>
            </w:r>
            <w:r w:rsidRPr="005D4222">
              <w:rPr>
                <w:b/>
              </w:rPr>
              <w:t xml:space="preserve"> O/E ratio</w:t>
            </w:r>
            <w:r w:rsidRPr="005D4222">
              <w:rPr>
                <w:b/>
              </w:rPr>
              <w:br/>
            </w:r>
            <w:r w:rsidRPr="005D4222">
              <w:t>The number of observed acute inpatient admission or observation stay hospitalizations (ObservedCount) divided by the number of expected acute inpatient admission or observation stay hospitalizations (ExpectedCount). Calculated by IDSS as the OE.</w:t>
            </w:r>
          </w:p>
          <w:p w14:paraId="0D2A5879" w14:textId="77777777" w:rsidR="0084708C" w:rsidRPr="005D4222" w:rsidRDefault="0084708C" w:rsidP="00A53E8C">
            <w:pPr>
              <w:pStyle w:val="Heading3"/>
              <w:spacing w:before="120"/>
              <w:rPr>
                <w:b w:val="0"/>
                <w:i w:val="0"/>
                <w:sz w:val="21"/>
                <w:szCs w:val="21"/>
              </w:rPr>
            </w:pPr>
            <w:r w:rsidRPr="005D4222">
              <w:rPr>
                <w:b w:val="0"/>
                <w:i w:val="0"/>
                <w:sz w:val="21"/>
                <w:szCs w:val="21"/>
              </w:rPr>
              <w:t>Organizations that submit HEDIS data to NCQA must provide the following data elements.</w:t>
            </w:r>
          </w:p>
          <w:p w14:paraId="2C90DCB8" w14:textId="56A25DEF" w:rsidR="0084708C" w:rsidRPr="005D4222" w:rsidRDefault="0084708C" w:rsidP="00A53E8C">
            <w:pPr>
              <w:pStyle w:val="Heading3"/>
              <w:spacing w:before="120"/>
              <w:rPr>
                <w:rFonts w:eastAsia="Arial,Times New Roman"/>
              </w:rPr>
            </w:pPr>
            <w:r w:rsidRPr="005D4222">
              <w:rPr>
                <w:rFonts w:eastAsia="Arial,Times New Roman"/>
              </w:rPr>
              <w:t xml:space="preserve">Table HFG-3: Data Elements for </w:t>
            </w:r>
            <w:r w:rsidR="00114134" w:rsidRPr="005D4222">
              <w:rPr>
                <w:rFonts w:eastAsia="Arial,Times New Roman"/>
              </w:rPr>
              <w:t>Acute Hospitalizations Following</w:t>
            </w:r>
            <w:r w:rsidRPr="005D4222">
              <w:rPr>
                <w:rFonts w:eastAsia="Arial,Times New Roman"/>
              </w:rPr>
              <w:t xml:space="preserve"> Outpatient General Surgery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2360"/>
              <w:gridCol w:w="1586"/>
              <w:gridCol w:w="3429"/>
            </w:tblGrid>
            <w:tr w:rsidR="0084708C" w:rsidRPr="005D4222" w14:paraId="5ABF4E98" w14:textId="77777777" w:rsidTr="00A53E8C">
              <w:trPr>
                <w:cantSplit/>
                <w:trHeight w:val="260"/>
              </w:trPr>
              <w:tc>
                <w:tcPr>
                  <w:tcW w:w="2413" w:type="dxa"/>
                  <w:tcBorders>
                    <w:top w:val="single" w:sz="4" w:space="0" w:color="auto"/>
                    <w:left w:val="single" w:sz="4" w:space="0" w:color="auto"/>
                    <w:bottom w:val="single" w:sz="4" w:space="0" w:color="auto"/>
                    <w:right w:val="single" w:sz="4" w:space="0" w:color="FFFFFF" w:themeColor="background1"/>
                  </w:tcBorders>
                  <w:shd w:val="clear" w:color="auto" w:fill="000000" w:themeFill="text1"/>
                </w:tcPr>
                <w:p w14:paraId="4C70529D" w14:textId="77777777" w:rsidR="0084708C" w:rsidRPr="005D4222" w:rsidRDefault="0084708C" w:rsidP="00A53E8C">
                  <w:pPr>
                    <w:pStyle w:val="TableHead"/>
                    <w:rPr>
                      <w:rFonts w:eastAsia="Arial Narrow"/>
                    </w:rPr>
                  </w:pPr>
                  <w:r w:rsidRPr="005D4222">
                    <w:rPr>
                      <w:rFonts w:eastAsia="Arial Narrow"/>
                    </w:rPr>
                    <w:t>Metric</w:t>
                  </w:r>
                </w:p>
              </w:tc>
              <w:tc>
                <w:tcPr>
                  <w:tcW w:w="1620" w:type="dxa"/>
                  <w:tcBorders>
                    <w:top w:val="single" w:sz="4" w:space="0" w:color="auto"/>
                    <w:left w:val="single" w:sz="4" w:space="0" w:color="FFFFFF" w:themeColor="background1"/>
                    <w:bottom w:val="single" w:sz="4" w:space="0" w:color="auto"/>
                    <w:right w:val="single" w:sz="6" w:space="0" w:color="FFFFFF" w:themeColor="background1"/>
                  </w:tcBorders>
                  <w:shd w:val="clear" w:color="auto" w:fill="000000" w:themeFill="text1"/>
                  <w:vAlign w:val="bottom"/>
                </w:tcPr>
                <w:p w14:paraId="0C1E2DBA" w14:textId="77777777" w:rsidR="0084708C" w:rsidRPr="005D4222" w:rsidRDefault="0084708C" w:rsidP="00A53E8C">
                  <w:pPr>
                    <w:pStyle w:val="TableHead"/>
                    <w:rPr>
                      <w:rFonts w:eastAsia="Arial Narrow"/>
                    </w:rPr>
                  </w:pPr>
                  <w:r w:rsidRPr="005D4222">
                    <w:rPr>
                      <w:rFonts w:eastAsia="Arial Narrow"/>
                    </w:rPr>
                    <w:t xml:space="preserve">Data Element </w:t>
                  </w:r>
                </w:p>
              </w:tc>
              <w:tc>
                <w:tcPr>
                  <w:tcW w:w="3510" w:type="dxa"/>
                  <w:tcBorders>
                    <w:top w:val="single" w:sz="4" w:space="0" w:color="auto"/>
                    <w:left w:val="single" w:sz="6" w:space="0" w:color="FFFFFF" w:themeColor="background1"/>
                    <w:right w:val="single" w:sz="4" w:space="0" w:color="auto"/>
                  </w:tcBorders>
                  <w:shd w:val="clear" w:color="auto" w:fill="000000" w:themeFill="text1"/>
                  <w:vAlign w:val="bottom"/>
                </w:tcPr>
                <w:p w14:paraId="7CCCE021" w14:textId="77777777" w:rsidR="0084708C" w:rsidRPr="005D4222" w:rsidRDefault="0084708C" w:rsidP="00A53E8C">
                  <w:pPr>
                    <w:pStyle w:val="TableHead"/>
                    <w:rPr>
                      <w:rFonts w:eastAsia="Arial Narrow"/>
                    </w:rPr>
                  </w:pPr>
                  <w:r w:rsidRPr="005D4222">
                    <w:rPr>
                      <w:rFonts w:eastAsia="Arial Narrow"/>
                    </w:rPr>
                    <w:t>Reporting Instructions</w:t>
                  </w:r>
                </w:p>
              </w:tc>
            </w:tr>
            <w:tr w:rsidR="0084708C" w:rsidRPr="005D4222" w14:paraId="6C61CE02" w14:textId="77777777" w:rsidTr="00A53E8C">
              <w:trPr>
                <w:cantSplit/>
                <w:trHeight w:val="300"/>
              </w:trPr>
              <w:tc>
                <w:tcPr>
                  <w:tcW w:w="2413" w:type="dxa"/>
                  <w:tcBorders>
                    <w:top w:val="single" w:sz="4" w:space="0" w:color="auto"/>
                    <w:bottom w:val="single" w:sz="4" w:space="0" w:color="auto"/>
                  </w:tcBorders>
                </w:tcPr>
                <w:p w14:paraId="7836F9C1" w14:textId="77777777" w:rsidR="0084708C" w:rsidRPr="005D4222" w:rsidRDefault="0084708C" w:rsidP="00A53E8C">
                  <w:pPr>
                    <w:pStyle w:val="TableText"/>
                    <w:rPr>
                      <w:rFonts w:eastAsia="Arial Narrow"/>
                    </w:rPr>
                  </w:pPr>
                  <w:r w:rsidRPr="005D4222">
                    <w:t>GeneralSurgery</w:t>
                  </w:r>
                </w:p>
              </w:tc>
              <w:tc>
                <w:tcPr>
                  <w:tcW w:w="1620" w:type="dxa"/>
                  <w:tcBorders>
                    <w:bottom w:val="single" w:sz="4" w:space="0" w:color="auto"/>
                  </w:tcBorders>
                </w:tcPr>
                <w:p w14:paraId="70184776" w14:textId="77777777" w:rsidR="0084708C" w:rsidRPr="005D4222" w:rsidRDefault="0084708C" w:rsidP="00A53E8C">
                  <w:pPr>
                    <w:pStyle w:val="TableText"/>
                    <w:rPr>
                      <w:rFonts w:eastAsia="Arial Narrow"/>
                    </w:rPr>
                  </w:pPr>
                  <w:r w:rsidRPr="005D4222">
                    <w:rPr>
                      <w:rFonts w:eastAsia="Arial Narrow"/>
                    </w:rPr>
                    <w:t>Denominator</w:t>
                  </w:r>
                </w:p>
              </w:tc>
              <w:tc>
                <w:tcPr>
                  <w:tcW w:w="3510" w:type="dxa"/>
                  <w:tcBorders>
                    <w:bottom w:val="single" w:sz="4" w:space="0" w:color="auto"/>
                  </w:tcBorders>
                </w:tcPr>
                <w:p w14:paraId="6E7A7EDD" w14:textId="77777777" w:rsidR="0084708C" w:rsidRPr="005D4222" w:rsidRDefault="0084708C" w:rsidP="00A53E8C">
                  <w:pPr>
                    <w:pStyle w:val="TableText"/>
                    <w:rPr>
                      <w:rFonts w:eastAsia="Arial Narrow"/>
                    </w:rPr>
                  </w:pPr>
                  <w:r w:rsidRPr="005D4222">
                    <w:rPr>
                      <w:rFonts w:eastAsia="Arial Narrow"/>
                    </w:rPr>
                    <w:t>Report once</w:t>
                  </w:r>
                </w:p>
              </w:tc>
            </w:tr>
            <w:tr w:rsidR="0084708C" w:rsidRPr="005D4222" w14:paraId="32675B04" w14:textId="77777777" w:rsidTr="00A53E8C">
              <w:trPr>
                <w:cantSplit/>
                <w:trHeight w:val="300"/>
              </w:trPr>
              <w:tc>
                <w:tcPr>
                  <w:tcW w:w="2413" w:type="dxa"/>
                  <w:tcBorders>
                    <w:top w:val="single" w:sz="4" w:space="0" w:color="auto"/>
                    <w:left w:val="nil"/>
                    <w:bottom w:val="nil"/>
                    <w:right w:val="single" w:sz="4" w:space="0" w:color="auto"/>
                  </w:tcBorders>
                </w:tcPr>
                <w:p w14:paraId="7F2907F3" w14:textId="77777777" w:rsidR="0084708C" w:rsidRPr="005D4222" w:rsidRDefault="0084708C" w:rsidP="00A53E8C">
                  <w:pPr>
                    <w:pStyle w:val="TableText"/>
                    <w:rPr>
                      <w:rFonts w:eastAsia="Arial Narrow"/>
                    </w:rPr>
                  </w:pPr>
                </w:p>
              </w:tc>
              <w:tc>
                <w:tcPr>
                  <w:tcW w:w="1620" w:type="dxa"/>
                  <w:tcBorders>
                    <w:left w:val="single" w:sz="4" w:space="0" w:color="auto"/>
                    <w:bottom w:val="single" w:sz="4" w:space="0" w:color="auto"/>
                  </w:tcBorders>
                  <w:shd w:val="clear" w:color="auto" w:fill="FFFFFF" w:themeFill="background1"/>
                </w:tcPr>
                <w:p w14:paraId="642304C3" w14:textId="77777777" w:rsidR="0084708C" w:rsidRPr="005D4222" w:rsidRDefault="0084708C" w:rsidP="00A53E8C">
                  <w:pPr>
                    <w:pStyle w:val="TableText"/>
                    <w:rPr>
                      <w:rFonts w:eastAsia="Arial Narrow"/>
                    </w:rPr>
                  </w:pPr>
                  <w:r w:rsidRPr="005D4222">
                    <w:t>ObservedCount</w:t>
                  </w:r>
                </w:p>
              </w:tc>
              <w:tc>
                <w:tcPr>
                  <w:tcW w:w="3510" w:type="dxa"/>
                  <w:tcBorders>
                    <w:bottom w:val="single" w:sz="4" w:space="0" w:color="auto"/>
                  </w:tcBorders>
                  <w:shd w:val="clear" w:color="auto" w:fill="FFFFFF" w:themeFill="background1"/>
                </w:tcPr>
                <w:p w14:paraId="2E7AA70D" w14:textId="77777777" w:rsidR="0084708C" w:rsidRPr="005D4222" w:rsidRDefault="0084708C" w:rsidP="00A53E8C">
                  <w:pPr>
                    <w:pStyle w:val="TableText"/>
                    <w:rPr>
                      <w:rFonts w:eastAsia="Arial Narrow"/>
                    </w:rPr>
                  </w:pPr>
                  <w:r w:rsidRPr="005D4222">
                    <w:rPr>
                      <w:rFonts w:eastAsia="Arial Narrow" w:cs="Arial Narrow"/>
                      <w:szCs w:val="21"/>
                    </w:rPr>
                    <w:t>Report once</w:t>
                  </w:r>
                  <w:r w:rsidRPr="005D4222">
                    <w:t xml:space="preserve"> </w:t>
                  </w:r>
                </w:p>
              </w:tc>
            </w:tr>
            <w:tr w:rsidR="0084708C" w:rsidRPr="005D4222" w14:paraId="448753AC" w14:textId="77777777" w:rsidTr="00A53E8C">
              <w:trPr>
                <w:cantSplit/>
                <w:trHeight w:val="300"/>
              </w:trPr>
              <w:tc>
                <w:tcPr>
                  <w:tcW w:w="2413" w:type="dxa"/>
                  <w:tcBorders>
                    <w:top w:val="nil"/>
                    <w:left w:val="nil"/>
                    <w:bottom w:val="nil"/>
                    <w:right w:val="single" w:sz="4" w:space="0" w:color="auto"/>
                  </w:tcBorders>
                  <w:vAlign w:val="bottom"/>
                </w:tcPr>
                <w:p w14:paraId="421B7242" w14:textId="77777777" w:rsidR="0084708C" w:rsidRPr="005D4222" w:rsidRDefault="0084708C" w:rsidP="00A53E8C">
                  <w:pPr>
                    <w:pStyle w:val="TableText"/>
                    <w:rPr>
                      <w:rFonts w:eastAsia="Arial Narrow"/>
                    </w:rPr>
                  </w:pP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1FB2498" w14:textId="77777777" w:rsidR="0084708C" w:rsidRPr="005D4222" w:rsidRDefault="0084708C" w:rsidP="00A53E8C">
                  <w:pPr>
                    <w:pStyle w:val="TableText"/>
                    <w:rPr>
                      <w:rFonts w:eastAsia="Arial Narrow"/>
                    </w:rPr>
                  </w:pPr>
                  <w:r w:rsidRPr="005D4222">
                    <w:t>ObservedRate</w:t>
                  </w:r>
                </w:p>
              </w:tc>
              <w:tc>
                <w:tcPr>
                  <w:tcW w:w="35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B7B42A" w14:textId="77777777" w:rsidR="0084708C" w:rsidRPr="005D4222" w:rsidRDefault="0084708C" w:rsidP="00A53E8C">
                  <w:pPr>
                    <w:pStyle w:val="TableText"/>
                    <w:rPr>
                      <w:rFonts w:eastAsia="Arial Narrow"/>
                    </w:rPr>
                  </w:pPr>
                  <w:r w:rsidRPr="005D4222">
                    <w:rPr>
                      <w:rFonts w:eastAsia="Arial Narrow"/>
                    </w:rPr>
                    <w:t>ObservedCount / Denominator (Percent)</w:t>
                  </w:r>
                </w:p>
              </w:tc>
            </w:tr>
            <w:tr w:rsidR="0084708C" w:rsidRPr="005D4222" w14:paraId="2CCC7504" w14:textId="77777777" w:rsidTr="00A53E8C">
              <w:trPr>
                <w:cantSplit/>
                <w:trHeight w:val="300"/>
              </w:trPr>
              <w:tc>
                <w:tcPr>
                  <w:tcW w:w="2413" w:type="dxa"/>
                  <w:tcBorders>
                    <w:top w:val="nil"/>
                    <w:left w:val="nil"/>
                    <w:bottom w:val="nil"/>
                    <w:right w:val="single" w:sz="4" w:space="0" w:color="auto"/>
                  </w:tcBorders>
                  <w:vAlign w:val="bottom"/>
                </w:tcPr>
                <w:p w14:paraId="16A1D1F7" w14:textId="77777777" w:rsidR="0084708C" w:rsidRPr="005D4222" w:rsidRDefault="0084708C" w:rsidP="00A53E8C">
                  <w:pPr>
                    <w:pStyle w:val="TableText"/>
                  </w:pP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Pr>
                <w:p w14:paraId="5900BA75" w14:textId="77777777" w:rsidR="0084708C" w:rsidRPr="005D4222" w:rsidRDefault="0084708C" w:rsidP="00A53E8C">
                  <w:pPr>
                    <w:pStyle w:val="TableText"/>
                    <w:rPr>
                      <w:rFonts w:eastAsia="Arial Narrow"/>
                    </w:rPr>
                  </w:pPr>
                  <w:r w:rsidRPr="005D4222">
                    <w:t>ExpectedCount</w:t>
                  </w:r>
                </w:p>
              </w:tc>
              <w:tc>
                <w:tcPr>
                  <w:tcW w:w="3510" w:type="dxa"/>
                  <w:tcBorders>
                    <w:top w:val="single" w:sz="4" w:space="0" w:color="auto"/>
                    <w:left w:val="single" w:sz="4" w:space="0" w:color="auto"/>
                    <w:bottom w:val="single" w:sz="4" w:space="0" w:color="auto"/>
                    <w:right w:val="single" w:sz="4" w:space="0" w:color="auto"/>
                  </w:tcBorders>
                  <w:shd w:val="clear" w:color="auto" w:fill="FFFFFF" w:themeFill="background1"/>
                </w:tcPr>
                <w:p w14:paraId="0BFE1085" w14:textId="77777777" w:rsidR="0084708C" w:rsidRPr="005D4222" w:rsidRDefault="0084708C" w:rsidP="00A53E8C">
                  <w:pPr>
                    <w:pStyle w:val="TableText"/>
                    <w:rPr>
                      <w:rFonts w:eastAsia="Arial Narrow"/>
                    </w:rPr>
                  </w:pPr>
                  <w:r w:rsidRPr="005D4222">
                    <w:rPr>
                      <w:rFonts w:eastAsia="Arial Narrow" w:cs="Arial Narrow"/>
                      <w:szCs w:val="21"/>
                    </w:rPr>
                    <w:t>Report once</w:t>
                  </w:r>
                  <w:r w:rsidRPr="005D4222">
                    <w:t xml:space="preserve"> </w:t>
                  </w:r>
                </w:p>
              </w:tc>
            </w:tr>
            <w:tr w:rsidR="0084708C" w:rsidRPr="005D4222" w14:paraId="38EA0F4C" w14:textId="77777777" w:rsidTr="00A53E8C">
              <w:trPr>
                <w:cantSplit/>
                <w:trHeight w:val="300"/>
              </w:trPr>
              <w:tc>
                <w:tcPr>
                  <w:tcW w:w="2413" w:type="dxa"/>
                  <w:tcBorders>
                    <w:top w:val="nil"/>
                    <w:left w:val="nil"/>
                    <w:bottom w:val="nil"/>
                    <w:right w:val="nil"/>
                  </w:tcBorders>
                  <w:vAlign w:val="bottom"/>
                </w:tcPr>
                <w:p w14:paraId="3AB1E4DC" w14:textId="77777777" w:rsidR="0084708C" w:rsidRPr="005D4222" w:rsidRDefault="0084708C" w:rsidP="00A53E8C">
                  <w:pPr>
                    <w:pStyle w:val="TableText"/>
                  </w:pP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5A58D8F" w14:textId="77777777" w:rsidR="0084708C" w:rsidRPr="005D4222" w:rsidRDefault="0084708C" w:rsidP="00A53E8C">
                  <w:pPr>
                    <w:pStyle w:val="TableText"/>
                  </w:pPr>
                  <w:r w:rsidRPr="005D4222">
                    <w:t>ExpectedRate</w:t>
                  </w:r>
                </w:p>
              </w:tc>
              <w:tc>
                <w:tcPr>
                  <w:tcW w:w="35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B348549" w14:textId="77777777" w:rsidR="0084708C" w:rsidRPr="005D4222" w:rsidRDefault="0084708C" w:rsidP="00A53E8C">
                  <w:pPr>
                    <w:pStyle w:val="TableText"/>
                    <w:rPr>
                      <w:rFonts w:eastAsia="Arial Narrow"/>
                    </w:rPr>
                  </w:pPr>
                  <w:r w:rsidRPr="005D4222">
                    <w:rPr>
                      <w:rFonts w:eastAsia="Arial Narrow"/>
                    </w:rPr>
                    <w:t>ExpectedCount / Denominator (Percent)</w:t>
                  </w:r>
                </w:p>
              </w:tc>
            </w:tr>
            <w:tr w:rsidR="0084708C" w:rsidRPr="005D4222" w14:paraId="56CF3666" w14:textId="77777777" w:rsidTr="00A53E8C">
              <w:trPr>
                <w:cantSplit/>
                <w:trHeight w:val="300"/>
              </w:trPr>
              <w:tc>
                <w:tcPr>
                  <w:tcW w:w="2413" w:type="dxa"/>
                  <w:tcBorders>
                    <w:top w:val="nil"/>
                    <w:left w:val="nil"/>
                    <w:bottom w:val="nil"/>
                    <w:right w:val="nil"/>
                  </w:tcBorders>
                  <w:vAlign w:val="bottom"/>
                </w:tcPr>
                <w:p w14:paraId="06599EEB" w14:textId="77777777" w:rsidR="0084708C" w:rsidRPr="005D4222" w:rsidRDefault="0084708C" w:rsidP="00A53E8C">
                  <w:pPr>
                    <w:pStyle w:val="TableText"/>
                  </w:pP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Pr>
                <w:p w14:paraId="37325BB6" w14:textId="77777777" w:rsidR="0084708C" w:rsidRPr="005D4222" w:rsidRDefault="0084708C" w:rsidP="00A53E8C">
                  <w:pPr>
                    <w:pStyle w:val="TableText"/>
                  </w:pPr>
                  <w:r w:rsidRPr="005D4222">
                    <w:t>CountVariance</w:t>
                  </w:r>
                </w:p>
              </w:tc>
              <w:tc>
                <w:tcPr>
                  <w:tcW w:w="3510" w:type="dxa"/>
                  <w:tcBorders>
                    <w:top w:val="single" w:sz="4" w:space="0" w:color="auto"/>
                    <w:left w:val="single" w:sz="4" w:space="0" w:color="auto"/>
                    <w:bottom w:val="single" w:sz="4" w:space="0" w:color="auto"/>
                    <w:right w:val="single" w:sz="4" w:space="0" w:color="auto"/>
                  </w:tcBorders>
                  <w:shd w:val="clear" w:color="auto" w:fill="FFFFFF" w:themeFill="background1"/>
                </w:tcPr>
                <w:p w14:paraId="21F533C1" w14:textId="77777777" w:rsidR="0084708C" w:rsidRPr="005D4222" w:rsidRDefault="0084708C" w:rsidP="00A53E8C">
                  <w:pPr>
                    <w:pStyle w:val="TableText"/>
                    <w:rPr>
                      <w:rFonts w:eastAsia="Arial Narrow"/>
                    </w:rPr>
                  </w:pPr>
                  <w:r w:rsidRPr="005D4222">
                    <w:rPr>
                      <w:rFonts w:eastAsia="Arial Narrow" w:cs="Arial Narrow"/>
                      <w:szCs w:val="21"/>
                    </w:rPr>
                    <w:t>Report once</w:t>
                  </w:r>
                  <w:r w:rsidRPr="005D4222">
                    <w:t xml:space="preserve"> </w:t>
                  </w:r>
                </w:p>
              </w:tc>
            </w:tr>
            <w:tr w:rsidR="0084708C" w:rsidRPr="005D4222" w14:paraId="14EB13D6" w14:textId="77777777" w:rsidTr="00A53E8C">
              <w:trPr>
                <w:cantSplit/>
                <w:trHeight w:val="300"/>
              </w:trPr>
              <w:tc>
                <w:tcPr>
                  <w:tcW w:w="2413" w:type="dxa"/>
                  <w:tcBorders>
                    <w:top w:val="nil"/>
                    <w:left w:val="nil"/>
                    <w:bottom w:val="nil"/>
                    <w:right w:val="nil"/>
                  </w:tcBorders>
                  <w:vAlign w:val="bottom"/>
                </w:tcPr>
                <w:p w14:paraId="6666C53D" w14:textId="77777777" w:rsidR="0084708C" w:rsidRPr="005D4222" w:rsidRDefault="0084708C" w:rsidP="00A53E8C">
                  <w:pPr>
                    <w:pStyle w:val="TableText"/>
                  </w:pP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FA99B5E" w14:textId="77777777" w:rsidR="0084708C" w:rsidRPr="005D4222" w:rsidRDefault="0084708C" w:rsidP="00A53E8C">
                  <w:pPr>
                    <w:pStyle w:val="TableText"/>
                  </w:pPr>
                  <w:r w:rsidRPr="005D4222">
                    <w:t>OE</w:t>
                  </w:r>
                </w:p>
              </w:tc>
              <w:tc>
                <w:tcPr>
                  <w:tcW w:w="35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8BA0F54" w14:textId="77777777" w:rsidR="0084708C" w:rsidRPr="005D4222" w:rsidRDefault="0084708C" w:rsidP="00A53E8C">
                  <w:pPr>
                    <w:pStyle w:val="TableText"/>
                    <w:rPr>
                      <w:rFonts w:eastAsia="Arial Narrow"/>
                    </w:rPr>
                  </w:pPr>
                  <w:r w:rsidRPr="005D4222">
                    <w:rPr>
                      <w:rFonts w:eastAsia="Arial Narrow"/>
                    </w:rPr>
                    <w:t>ObservedCount / ExpectedCount</w:t>
                  </w:r>
                </w:p>
              </w:tc>
            </w:tr>
          </w:tbl>
          <w:p w14:paraId="1964B836" w14:textId="77777777" w:rsidR="0084708C" w:rsidRPr="005D4222" w:rsidDel="00D62846" w:rsidRDefault="0084708C" w:rsidP="00A53E8C">
            <w:pPr>
              <w:pStyle w:val="ECDSBody"/>
              <w:rPr>
                <w:rFonts w:ascii="Arial Narrow" w:eastAsiaTheme="minorEastAsia" w:hAnsi="Arial Narrow" w:cs="Arial Narrow"/>
                <w:b/>
                <w:bCs w:val="0"/>
                <w:color w:val="000000"/>
                <w:szCs w:val="21"/>
                <w:lang w:eastAsia="zh-CN"/>
              </w:rPr>
            </w:pPr>
          </w:p>
        </w:tc>
      </w:tr>
      <w:tr w:rsidR="0084708C" w:rsidRPr="005D4222" w14:paraId="4C4F7829" w14:textId="77777777" w:rsidTr="006663E6">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ACF4B5A" w14:textId="77777777" w:rsidR="0084708C" w:rsidRPr="005D4222" w:rsidRDefault="0084708C" w:rsidP="00A53E8C">
            <w:pPr>
              <w:pStyle w:val="ECDSMarginHead"/>
            </w:pPr>
            <w:r w:rsidRPr="005D4222">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D8A7924" w14:textId="77777777" w:rsidR="0084708C" w:rsidRPr="005D4222" w:rsidRDefault="0084708C" w:rsidP="00A53E8C">
            <w:pPr>
              <w:pStyle w:val="ECDSBody"/>
            </w:pPr>
            <w:r w:rsidRPr="005D4222">
              <w:rPr>
                <w:b/>
                <w:i/>
                <w:iCs/>
              </w:rPr>
              <w:t xml:space="preserve">Copyright and use: </w:t>
            </w:r>
            <w:r w:rsidRPr="005D4222">
              <w:t xml:space="preserve">The “Rules for Allowable Adjustments of HEDIS” (the “Rules”) describe how NCQA’s HEDIS measure specifications can be adjusted for other populations, if applicable. The </w:t>
            </w:r>
            <w:r w:rsidRPr="005D4222" w:rsidDel="00A31B1F">
              <w:t>R</w:t>
            </w:r>
            <w:r w:rsidRPr="005D4222">
              <w:t xml:space="preserve">ules, reviewed and approved by NCQA measure experts, provide for expanded use of HEDIS measures without changing their clinical intent.  </w:t>
            </w:r>
          </w:p>
          <w:p w14:paraId="3931F34C" w14:textId="1F16766D" w:rsidR="007A037A" w:rsidRPr="005D4222" w:rsidRDefault="0084708C" w:rsidP="001B0105">
            <w:pPr>
              <w:pStyle w:val="ECDSBody"/>
            </w:pPr>
            <w:r w:rsidRPr="005D4222">
              <w:rPr>
                <w:b/>
              </w:rPr>
              <w:t xml:space="preserve">Adjusted HEDIS measures </w:t>
            </w:r>
            <w:r w:rsidRPr="005D4222">
              <w:rPr>
                <w:b/>
                <w:i/>
                <w:iCs/>
              </w:rPr>
              <w:t>may not</w:t>
            </w:r>
            <w:r w:rsidRPr="005D4222">
              <w:rPr>
                <w:b/>
              </w:rPr>
              <w:t xml:space="preserve"> be used for HEDIS health plan reporting. </w:t>
            </w:r>
          </w:p>
        </w:tc>
      </w:tr>
    </w:tbl>
    <w:p w14:paraId="3BCA0352" w14:textId="77777777" w:rsidR="001B0105" w:rsidRPr="005D4222" w:rsidRDefault="001B0105"/>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84708C" w:rsidRPr="005D4222" w14:paraId="59E0A538" w14:textId="77777777" w:rsidTr="006663E6">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FC196A9" w14:textId="77777777" w:rsidR="0084708C" w:rsidRPr="005D4222" w:rsidRDefault="0084708C"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8E7B784" w14:textId="77777777" w:rsidR="007A037A" w:rsidRPr="005D4222" w:rsidRDefault="007A037A" w:rsidP="007A037A">
            <w:pPr>
              <w:pStyle w:val="ECDSBody"/>
            </w:pPr>
            <w:r w:rsidRPr="005D4222">
              <w:t xml:space="preserve">The measures under the Risk Adjusted Utilization domain allow two types of </w:t>
            </w:r>
            <w:r w:rsidRPr="005D4222">
              <w:rPr>
                <w:i/>
                <w:iCs/>
              </w:rPr>
              <w:t>Rules for Allowable Adjustments</w:t>
            </w:r>
            <w:r w:rsidRPr="005D4222">
              <w:t xml:space="preserve"> sections:</w:t>
            </w:r>
          </w:p>
          <w:p w14:paraId="5C77FA53" w14:textId="25EE6A31" w:rsidR="007A037A" w:rsidRPr="005D4222" w:rsidRDefault="007A037A" w:rsidP="007A037A">
            <w:pPr>
              <w:pStyle w:val="Body"/>
              <w:spacing w:before="120"/>
              <w:ind w:left="648" w:hanging="288"/>
            </w:pPr>
            <w:r w:rsidRPr="005D4222">
              <w:t>1.</w:t>
            </w:r>
            <w:r w:rsidRPr="005D4222">
              <w:tab/>
            </w:r>
            <w:r w:rsidRPr="005D4222">
              <w:rPr>
                <w:i/>
                <w:iCs/>
              </w:rPr>
              <w:t xml:space="preserve">Rules for Allowable Adjustments for Risk-Adjusted Measurement. </w:t>
            </w:r>
            <w:r w:rsidRPr="005D4222">
              <w:t xml:space="preserve">This section must be followed for adjustments when calculating the full measure specifications, which includes all risk adjusted rates (expected rates, risk adjustment, O/E) and calculation components (count of index stays, observed events). </w:t>
            </w:r>
          </w:p>
          <w:p w14:paraId="01CB24E9" w14:textId="77777777" w:rsidR="007A037A" w:rsidRPr="005D4222" w:rsidRDefault="007A037A" w:rsidP="007A037A">
            <w:pPr>
              <w:pStyle w:val="Body"/>
              <w:spacing w:before="120"/>
              <w:ind w:left="648" w:hanging="288"/>
            </w:pPr>
            <w:r w:rsidRPr="005D4222">
              <w:t>2.</w:t>
            </w:r>
            <w:r w:rsidRPr="005D4222">
              <w:tab/>
            </w:r>
            <w:r w:rsidRPr="005D4222">
              <w:rPr>
                <w:i/>
                <w:iCs/>
              </w:rPr>
              <w:t xml:space="preserve">Rules for Allowable Adjustments for Observed Measurement (rates without risk adjustment). </w:t>
            </w:r>
            <w:r w:rsidRPr="005D4222">
              <w:t>This section must be followed when adjusting the calculation of observed events only. When applying these adjustments, organizations must not include risk adjustment logic.</w:t>
            </w:r>
          </w:p>
          <w:p w14:paraId="6953C18E" w14:textId="77777777" w:rsidR="007A037A" w:rsidRPr="005D4222" w:rsidRDefault="007A037A" w:rsidP="007A037A">
            <w:pPr>
              <w:pStyle w:val="ECDSBody"/>
            </w:pPr>
            <w:r w:rsidRPr="005D4222">
              <w:t>The intent of including two types of Rules is to allow organizations to adjust measures without compromising measure validity. Risk adjustment is based on statistical prediction models specifically calibrated to each measure.</w:t>
            </w:r>
          </w:p>
          <w:p w14:paraId="60BD9C19" w14:textId="7B709B38" w:rsidR="0084708C" w:rsidRPr="005D4222" w:rsidRDefault="0084708C" w:rsidP="00A53E8C">
            <w:pPr>
              <w:pStyle w:val="ECDSBody"/>
              <w:rPr>
                <w:b/>
              </w:rPr>
            </w:pPr>
            <w:r w:rsidRPr="005D4222">
              <w:rPr>
                <w:b/>
              </w:rPr>
              <w:t xml:space="preserve">The following </w:t>
            </w:r>
            <w:r w:rsidR="00EB3A56" w:rsidRPr="005D4222">
              <w:rPr>
                <w:b/>
              </w:rPr>
              <w:t>are</w:t>
            </w:r>
            <w:r w:rsidRPr="005D4222">
              <w:rPr>
                <w:b/>
              </w:rPr>
              <w:t xml:space="preserve"> the Rules for Allowable Adjustments for </w:t>
            </w:r>
            <w:r w:rsidRPr="005D4222">
              <w:rPr>
                <w:b/>
                <w:u w:val="single"/>
              </w:rPr>
              <w:t>Risk-Adjusted Measurement</w:t>
            </w:r>
            <w:r w:rsidRPr="005D4222">
              <w:rPr>
                <w:b/>
              </w:rPr>
              <w:t xml:space="preserve"> of the </w:t>
            </w:r>
            <w:r w:rsidR="00114134" w:rsidRPr="005D4222">
              <w:rPr>
                <w:b/>
              </w:rPr>
              <w:t>Acute Hospitalizations Following</w:t>
            </w:r>
            <w:r w:rsidRPr="005D4222" w:rsidDel="00A31B1F">
              <w:rPr>
                <w:b/>
              </w:rPr>
              <w:t xml:space="preserve"> Outpatient General Surgery</w:t>
            </w:r>
            <w:r w:rsidRPr="005D4222">
              <w:rPr>
                <w:b/>
              </w:rPr>
              <w:t xml:space="preserve"> measure (expected hospitalization rate, risk adjustment determination, risk adjustment calculation, variance, O/E ratio).</w:t>
            </w:r>
          </w:p>
          <w:p w14:paraId="651A4897" w14:textId="77777777" w:rsidR="0084708C" w:rsidRPr="005D4222" w:rsidRDefault="0084708C" w:rsidP="00A53E8C">
            <w:pPr>
              <w:pStyle w:val="Adjustments"/>
            </w:pPr>
            <w:r w:rsidRPr="005D4222">
              <w:t>Adjustments</w:t>
            </w:r>
            <w:r w:rsidRPr="005D4222">
              <w:rPr>
                <w:bCs/>
              </w:rPr>
              <w:t xml:space="preserve"> a</w:t>
            </w:r>
            <w:r w:rsidRPr="005D4222">
              <w:t>llowed</w:t>
            </w:r>
          </w:p>
          <w:p w14:paraId="3C5FBD12" w14:textId="41B8588B" w:rsidR="0084708C" w:rsidRPr="005D4222" w:rsidRDefault="00362E76" w:rsidP="005D6173">
            <w:pPr>
              <w:pStyle w:val="ProcessBullet"/>
              <w:numPr>
                <w:ilvl w:val="0"/>
                <w:numId w:val="98"/>
              </w:numPr>
              <w:tabs>
                <w:tab w:val="left" w:pos="216"/>
              </w:tabs>
              <w:ind w:left="216" w:hanging="216"/>
              <w:rPr>
                <w:b/>
                <w:bCs/>
                <w:color w:val="000000" w:themeColor="text1"/>
              </w:rPr>
            </w:pPr>
            <w:r w:rsidRPr="005D4222">
              <w:rPr>
                <w:i/>
                <w:iCs/>
              </w:rPr>
              <w:t>Benefits.</w:t>
            </w:r>
            <w:r w:rsidR="0084708C" w:rsidRPr="005D4222">
              <w:t xml:space="preserve"> Organizations are not required to use a benefit.</w:t>
            </w:r>
          </w:p>
          <w:p w14:paraId="3FE52AD0" w14:textId="584C7EFC" w:rsidR="0084708C" w:rsidRPr="005D4222" w:rsidRDefault="0084708C" w:rsidP="005D6173">
            <w:pPr>
              <w:pStyle w:val="ProcessBullet"/>
              <w:numPr>
                <w:ilvl w:val="0"/>
                <w:numId w:val="98"/>
              </w:numPr>
              <w:tabs>
                <w:tab w:val="left" w:pos="216"/>
              </w:tabs>
              <w:ind w:left="216" w:hanging="216"/>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w:t>
            </w:r>
            <w:r w:rsidR="00F45777" w:rsidRPr="005D4222">
              <w:t>events</w:t>
            </w:r>
            <w:r w:rsidRPr="005D4222">
              <w:t>, numerators and exclusions that do not allow the use of telehealth.</w:t>
            </w:r>
          </w:p>
          <w:p w14:paraId="55A84E25" w14:textId="77777777" w:rsidR="0084708C" w:rsidRPr="005D4222" w:rsidRDefault="0084708C" w:rsidP="00A53E8C">
            <w:pPr>
              <w:pStyle w:val="Adjustments"/>
            </w:pPr>
            <w:r w:rsidRPr="005D4222">
              <w:t xml:space="preserve">Adjustments </w:t>
            </w:r>
            <w:r w:rsidRPr="005D4222">
              <w:rPr>
                <w:bCs/>
              </w:rPr>
              <w:t>a</w:t>
            </w:r>
            <w:r w:rsidRPr="005D4222">
              <w:t xml:space="preserve">llowed with </w:t>
            </w:r>
            <w:r w:rsidRPr="005D4222">
              <w:rPr>
                <w:bCs/>
              </w:rPr>
              <w:t>l</w:t>
            </w:r>
            <w:r w:rsidRPr="005D4222">
              <w:t>imits</w:t>
            </w:r>
          </w:p>
          <w:p w14:paraId="34CAC074" w14:textId="5146027E" w:rsidR="0084708C" w:rsidRPr="005D4222" w:rsidRDefault="0084708C" w:rsidP="005D6173">
            <w:pPr>
              <w:pStyle w:val="ProcessBullet"/>
              <w:numPr>
                <w:ilvl w:val="0"/>
                <w:numId w:val="98"/>
              </w:numPr>
              <w:tabs>
                <w:tab w:val="left" w:pos="216"/>
              </w:tabs>
              <w:ind w:left="216" w:hanging="216"/>
            </w:pPr>
            <w:r w:rsidRPr="005D4222">
              <w:rPr>
                <w:i/>
                <w:iCs/>
              </w:rPr>
              <w:t xml:space="preserve">Other. </w:t>
            </w:r>
            <w:r w:rsidRPr="005D4222">
              <w:t xml:space="preserve">Organizations may only adjust the </w:t>
            </w:r>
            <w:r w:rsidR="00524BFF" w:rsidRPr="005D4222">
              <w:t>initial</w:t>
            </w:r>
            <w:r w:rsidRPr="005D4222">
              <w:t xml:space="preserve"> population criteria to focus on an area of interest defined by gender, sociodemographic characteristics or geographical region. NCQA recommends evaluating risk model performance and validity within adjusted populations. Organizations may not adjust for a clinical subpopulation (e.g., persons with a diabetes diagnosis).</w:t>
            </w:r>
          </w:p>
          <w:p w14:paraId="6145E1E7" w14:textId="77777777" w:rsidR="0084708C" w:rsidRPr="005D4222" w:rsidRDefault="0084708C" w:rsidP="005D6173">
            <w:pPr>
              <w:pStyle w:val="ProcessBullet"/>
              <w:numPr>
                <w:ilvl w:val="0"/>
                <w:numId w:val="98"/>
              </w:numPr>
              <w:tabs>
                <w:tab w:val="left" w:pos="216"/>
              </w:tabs>
              <w:ind w:left="216" w:hanging="216"/>
              <w:rPr>
                <w:b/>
                <w:bCs/>
                <w:color w:val="000000" w:themeColor="text1"/>
              </w:rPr>
            </w:pPr>
            <w:r w:rsidRPr="005D4222">
              <w:rPr>
                <w:i/>
                <w:iCs/>
              </w:rPr>
              <w:t>Measurement period adjustments.</w:t>
            </w:r>
            <w:r w:rsidRPr="005D4222">
              <w:t xml:space="preserve"> Organizations may only change the measurement period by 1 year.</w:t>
            </w:r>
          </w:p>
          <w:p w14:paraId="50F84ADC" w14:textId="77777777" w:rsidR="0084708C" w:rsidRPr="005D4222" w:rsidRDefault="0084708C" w:rsidP="005D6173">
            <w:pPr>
              <w:pStyle w:val="ProcessBullet"/>
              <w:numPr>
                <w:ilvl w:val="0"/>
                <w:numId w:val="98"/>
              </w:numPr>
              <w:tabs>
                <w:tab w:val="left" w:pos="216"/>
              </w:tabs>
              <w:ind w:left="216" w:hanging="216"/>
              <w:rPr>
                <w:rFonts w:cs="Arial"/>
                <w:i/>
              </w:rPr>
            </w:pPr>
            <w:r w:rsidRPr="005D4222">
              <w:rPr>
                <w:rFonts w:cs="Arial"/>
                <w:i/>
              </w:rPr>
              <w:t>Denominator.</w:t>
            </w:r>
            <w:r w:rsidRPr="005D4222">
              <w:t xml:space="preserve"> Organizations may include denied claims to calculate denominator events.</w:t>
            </w:r>
            <w:r w:rsidRPr="005D4222">
              <w:rPr>
                <w:i/>
              </w:rPr>
              <w:t xml:space="preserve"> </w:t>
            </w:r>
            <w:r w:rsidRPr="005D4222">
              <w:t>Value sets and logic may not be changed.</w:t>
            </w:r>
          </w:p>
          <w:p w14:paraId="605CC1FF" w14:textId="77777777" w:rsidR="0084708C" w:rsidRPr="005D4222" w:rsidRDefault="0084708C" w:rsidP="005D6173">
            <w:pPr>
              <w:pStyle w:val="ProcessBullet"/>
              <w:numPr>
                <w:ilvl w:val="0"/>
                <w:numId w:val="98"/>
              </w:numPr>
              <w:tabs>
                <w:tab w:val="left" w:pos="216"/>
              </w:tabs>
              <w:ind w:left="216" w:hanging="216"/>
            </w:pPr>
            <w:r w:rsidRPr="005D4222">
              <w:rPr>
                <w:i/>
                <w:iCs/>
              </w:rPr>
              <w:t xml:space="preserve">Risk adjustment determination, risk adjustment calculation, expected hospitalizations, variance. </w:t>
            </w:r>
            <w:r w:rsidRPr="005D4222">
              <w:t>Organizations may include denied claims to calculate these events. Risk adjustment determinations, weighting and calculations of expected events logic may not be changed.</w:t>
            </w:r>
          </w:p>
          <w:p w14:paraId="70C1E7A5" w14:textId="524F3235" w:rsidR="007A037A" w:rsidRPr="005D4222" w:rsidRDefault="0084708C" w:rsidP="005D6173">
            <w:pPr>
              <w:pStyle w:val="ProcessBullet"/>
              <w:numPr>
                <w:ilvl w:val="0"/>
                <w:numId w:val="98"/>
              </w:numPr>
              <w:tabs>
                <w:tab w:val="left" w:pos="216"/>
              </w:tabs>
              <w:spacing w:after="80"/>
              <w:ind w:left="216" w:hanging="216"/>
            </w:pPr>
            <w:r w:rsidRPr="005D4222">
              <w:rPr>
                <w:i/>
              </w:rPr>
              <w:t xml:space="preserve">Numerator. </w:t>
            </w:r>
            <w:r w:rsidRPr="005D4222">
              <w:t>Organizations may include denied claims to calculate the numerator.</w:t>
            </w:r>
            <w:r w:rsidRPr="005D4222">
              <w:rPr>
                <w:i/>
              </w:rPr>
              <w:t xml:space="preserve"> </w:t>
            </w:r>
            <w:r w:rsidRPr="005D4222">
              <w:t>Value sets and logic may not be changed.</w:t>
            </w:r>
          </w:p>
        </w:tc>
      </w:tr>
    </w:tbl>
    <w:p w14:paraId="369C2D6A" w14:textId="77777777" w:rsidR="007A037A" w:rsidRPr="005D4222" w:rsidRDefault="007A037A">
      <w:r w:rsidRPr="005D4222">
        <w:br w:type="page"/>
      </w:r>
    </w:p>
    <w:tbl>
      <w:tblPr>
        <w:tblW w:w="9714" w:type="dxa"/>
        <w:tblBorders>
          <w:top w:val="single" w:sz="4" w:space="0" w:color="auto"/>
          <w:left w:val="single" w:sz="2" w:space="0" w:color="auto"/>
          <w:bottom w:val="single" w:sz="4" w:space="0" w:color="auto"/>
          <w:right w:val="single" w:sz="4" w:space="0" w:color="auto"/>
          <w:insideH w:val="single" w:sz="4" w:space="0" w:color="auto"/>
          <w:insideV w:val="single" w:sz="4"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84708C" w:rsidRPr="005D4222" w14:paraId="108783F6" w14:textId="77777777" w:rsidTr="006663E6">
        <w:tc>
          <w:tcPr>
            <w:tcW w:w="2157" w:type="dxa"/>
            <w:shd w:val="clear" w:color="auto" w:fill="BFBFBF" w:themeFill="background1" w:themeFillShade="BF"/>
            <w:tcMar>
              <w:top w:w="0" w:type="dxa"/>
              <w:left w:w="86" w:type="dxa"/>
              <w:bottom w:w="43" w:type="dxa"/>
              <w:right w:w="86" w:type="dxa"/>
            </w:tcMar>
          </w:tcPr>
          <w:p w14:paraId="1A2F2DFD" w14:textId="77777777" w:rsidR="0084708C" w:rsidRPr="005D4222" w:rsidRDefault="0084708C" w:rsidP="00A53E8C">
            <w:pPr>
              <w:pStyle w:val="ECDSMarginHead"/>
            </w:pPr>
          </w:p>
        </w:tc>
        <w:tc>
          <w:tcPr>
            <w:tcW w:w="7557" w:type="dxa"/>
            <w:tcMar>
              <w:top w:w="0" w:type="dxa"/>
              <w:left w:w="86" w:type="dxa"/>
              <w:bottom w:w="43" w:type="dxa"/>
              <w:right w:w="86" w:type="dxa"/>
            </w:tcMar>
          </w:tcPr>
          <w:p w14:paraId="4714D9FE" w14:textId="77777777" w:rsidR="007A037A" w:rsidRPr="005D4222" w:rsidRDefault="007A037A" w:rsidP="00BF2C86">
            <w:pPr>
              <w:pStyle w:val="Adjustments"/>
              <w:spacing w:before="120"/>
            </w:pPr>
            <w:r w:rsidRPr="005D4222">
              <w:t xml:space="preserve">Adjustments </w:t>
            </w:r>
            <w:r w:rsidRPr="005D4222">
              <w:rPr>
                <w:bCs/>
              </w:rPr>
              <w:t>not allowed</w:t>
            </w:r>
          </w:p>
          <w:p w14:paraId="05FBC5A3" w14:textId="77777777" w:rsidR="007A037A" w:rsidRPr="005D4222" w:rsidRDefault="007A037A" w:rsidP="005D6173">
            <w:pPr>
              <w:pStyle w:val="ProcessBullet"/>
              <w:numPr>
                <w:ilvl w:val="0"/>
                <w:numId w:val="98"/>
              </w:numPr>
              <w:tabs>
                <w:tab w:val="left" w:pos="216"/>
              </w:tabs>
              <w:ind w:left="216" w:hanging="216"/>
              <w:rPr>
                <w:b/>
                <w:bCs/>
                <w:color w:val="000000" w:themeColor="text1"/>
              </w:rPr>
            </w:pPr>
            <w:r w:rsidRPr="005D4222">
              <w:rPr>
                <w:i/>
                <w:iCs/>
              </w:rPr>
              <w:t xml:space="preserve">Product lines. </w:t>
            </w:r>
            <w:r w:rsidRPr="005D4222">
              <w:t>Organizations may not adjust product lines.</w:t>
            </w:r>
          </w:p>
          <w:p w14:paraId="26D9A1F5" w14:textId="77777777" w:rsidR="007A037A" w:rsidRPr="005D4222" w:rsidRDefault="007A037A" w:rsidP="005D6173">
            <w:pPr>
              <w:pStyle w:val="ProcessBullet"/>
              <w:numPr>
                <w:ilvl w:val="0"/>
                <w:numId w:val="98"/>
              </w:numPr>
              <w:tabs>
                <w:tab w:val="left" w:pos="216"/>
              </w:tabs>
              <w:ind w:left="216" w:hanging="216"/>
            </w:pPr>
            <w:r w:rsidRPr="005D4222">
              <w:rPr>
                <w:i/>
                <w:iCs/>
              </w:rPr>
              <w:t>Attribution.</w:t>
            </w:r>
            <w:r w:rsidRPr="005D4222">
              <w:t xml:space="preserve"> Organizations are required to use enrollment criteria.</w:t>
            </w:r>
          </w:p>
          <w:p w14:paraId="06270023" w14:textId="77777777" w:rsidR="007A037A" w:rsidRPr="005D4222" w:rsidRDefault="007A037A" w:rsidP="005D6173">
            <w:pPr>
              <w:pStyle w:val="ProcessBullet"/>
              <w:numPr>
                <w:ilvl w:val="0"/>
                <w:numId w:val="98"/>
              </w:numPr>
              <w:tabs>
                <w:tab w:val="left" w:pos="216"/>
              </w:tabs>
              <w:ind w:left="216" w:hanging="216"/>
              <w:rPr>
                <w:b/>
                <w:bCs/>
              </w:rPr>
            </w:pPr>
            <w:r w:rsidRPr="005D4222">
              <w:rPr>
                <w:i/>
                <w:iCs/>
              </w:rPr>
              <w:t>Ages</w:t>
            </w:r>
            <w:r w:rsidRPr="005D4222">
              <w:t>. The age determination dates may not be changed.</w:t>
            </w:r>
          </w:p>
          <w:p w14:paraId="213CE0CF" w14:textId="77777777" w:rsidR="007A037A" w:rsidRPr="005D4222" w:rsidRDefault="007A037A" w:rsidP="005D6173">
            <w:pPr>
              <w:pStyle w:val="ProcessBullet"/>
              <w:numPr>
                <w:ilvl w:val="0"/>
                <w:numId w:val="98"/>
              </w:numPr>
              <w:tabs>
                <w:tab w:val="left" w:pos="216"/>
              </w:tabs>
              <w:ind w:left="216" w:hanging="216"/>
            </w:pPr>
            <w:r w:rsidRPr="005D4222">
              <w:rPr>
                <w:i/>
                <w:iCs/>
              </w:rPr>
              <w:t>Supplemental data.</w:t>
            </w:r>
            <w:r w:rsidRPr="005D4222">
              <w:t xml:space="preserve"> Supplemental data may not be used to identify initial population, denominator and numerator events.</w:t>
            </w:r>
          </w:p>
          <w:p w14:paraId="3789317A" w14:textId="77777777" w:rsidR="007A037A" w:rsidRPr="005D4222" w:rsidRDefault="007A037A" w:rsidP="005D6173">
            <w:pPr>
              <w:pStyle w:val="ProcessBullet"/>
              <w:numPr>
                <w:ilvl w:val="0"/>
                <w:numId w:val="98"/>
              </w:numPr>
              <w:tabs>
                <w:tab w:val="left" w:pos="216"/>
              </w:tabs>
              <w:ind w:left="216" w:hanging="216"/>
              <w:rPr>
                <w:b/>
                <w:bCs/>
                <w:color w:val="000000" w:themeColor="text1"/>
              </w:rPr>
            </w:pPr>
            <w:r w:rsidRPr="005D4222">
              <w:rPr>
                <w:i/>
              </w:rPr>
              <w:t>Exclusions.</w:t>
            </w:r>
            <w:r w:rsidRPr="005D4222">
              <w:t xml:space="preserve"> The hospice exclusion must be applied. Logic may not be changed.</w:t>
            </w:r>
          </w:p>
          <w:p w14:paraId="253BEBB7" w14:textId="53470035" w:rsidR="007A037A" w:rsidRPr="005D4222" w:rsidRDefault="007A037A" w:rsidP="007A037A">
            <w:pPr>
              <w:pStyle w:val="ECDSBody"/>
              <w:rPr>
                <w:b/>
              </w:rPr>
            </w:pPr>
            <w:r w:rsidRPr="005D4222">
              <w:rPr>
                <w:b/>
              </w:rPr>
              <w:t xml:space="preserve">The following </w:t>
            </w:r>
            <w:r w:rsidR="00EB3A56" w:rsidRPr="005D4222">
              <w:rPr>
                <w:b/>
              </w:rPr>
              <w:t>are</w:t>
            </w:r>
            <w:r w:rsidRPr="005D4222">
              <w:rPr>
                <w:b/>
              </w:rPr>
              <w:t xml:space="preserve"> is for the Rules for Allowable Adjustments for </w:t>
            </w:r>
            <w:r w:rsidRPr="005D4222">
              <w:rPr>
                <w:b/>
                <w:u w:val="single"/>
              </w:rPr>
              <w:t>Observed Measurement</w:t>
            </w:r>
            <w:r w:rsidRPr="005D4222">
              <w:rPr>
                <w:b/>
              </w:rPr>
              <w:t xml:space="preserve"> of the </w:t>
            </w:r>
            <w:r w:rsidR="00114134" w:rsidRPr="005D4222">
              <w:rPr>
                <w:b/>
              </w:rPr>
              <w:t>Acute Hospitalizations Following</w:t>
            </w:r>
            <w:r w:rsidRPr="005D4222" w:rsidDel="00A31B1F">
              <w:rPr>
                <w:b/>
              </w:rPr>
              <w:t xml:space="preserve"> Outpatient General Surgery</w:t>
            </w:r>
            <w:r w:rsidRPr="005D4222">
              <w:rPr>
                <w:b/>
              </w:rPr>
              <w:t xml:space="preserve"> measure observed events (denominator, numerator, observed hospitalization rate).</w:t>
            </w:r>
          </w:p>
          <w:p w14:paraId="1F03F1D1" w14:textId="77777777" w:rsidR="0084708C" w:rsidRPr="005D4222" w:rsidRDefault="0084708C" w:rsidP="00A53E8C">
            <w:pPr>
              <w:pStyle w:val="Adjustments"/>
            </w:pPr>
            <w:r w:rsidRPr="005D4222">
              <w:t>Adjustments</w:t>
            </w:r>
            <w:r w:rsidRPr="005D4222">
              <w:rPr>
                <w:bCs/>
              </w:rPr>
              <w:t xml:space="preserve"> a</w:t>
            </w:r>
            <w:r w:rsidRPr="005D4222">
              <w:t>llowed</w:t>
            </w:r>
          </w:p>
          <w:p w14:paraId="7560AD86" w14:textId="22D1184D" w:rsidR="0084708C" w:rsidRPr="005D4222" w:rsidRDefault="0084708C" w:rsidP="005D6173">
            <w:pPr>
              <w:pStyle w:val="ProcessBullet"/>
              <w:numPr>
                <w:ilvl w:val="0"/>
                <w:numId w:val="77"/>
              </w:numPr>
              <w:ind w:left="216" w:hanging="216"/>
              <w:rPr>
                <w:b/>
                <w:bCs/>
                <w:color w:val="000000" w:themeColor="text1"/>
              </w:rPr>
            </w:pPr>
            <w:r w:rsidRPr="005D4222">
              <w:rPr>
                <w:i/>
                <w:iCs/>
              </w:rPr>
              <w:t xml:space="preserve">Product lines. </w:t>
            </w:r>
            <w:r w:rsidRPr="005D4222">
              <w:t>When adjusting this measure to assess for observed events only, organizations are not required to use product line criteria; product lines may be combined</w:t>
            </w:r>
            <w:r w:rsidR="00E8671F" w:rsidRPr="005D4222">
              <w:t>,</w:t>
            </w:r>
            <w:r w:rsidRPr="005D4222">
              <w:t xml:space="preserve"> and all (or no) product line criteria may be used.</w:t>
            </w:r>
          </w:p>
          <w:p w14:paraId="18EDDC47" w14:textId="77777777" w:rsidR="0084708C" w:rsidRPr="005D4222" w:rsidRDefault="0084708C" w:rsidP="005D6173">
            <w:pPr>
              <w:pStyle w:val="ProcessBullet"/>
              <w:numPr>
                <w:ilvl w:val="0"/>
                <w:numId w:val="77"/>
              </w:numPr>
              <w:ind w:left="216" w:hanging="216"/>
              <w:rPr>
                <w:rStyle w:val="eop"/>
                <w:rFonts w:eastAsiaTheme="majorEastAsia"/>
                <w:b/>
                <w:bCs/>
                <w:color w:val="000000" w:themeColor="text1"/>
              </w:rPr>
            </w:pPr>
            <w:r w:rsidRPr="005D4222">
              <w:rPr>
                <w:rStyle w:val="normaltextrun"/>
                <w:rFonts w:cs="Arial"/>
                <w:i/>
                <w:iCs/>
                <w:color w:val="000000"/>
                <w:shd w:val="clear" w:color="auto" w:fill="FFFFFF"/>
              </w:rPr>
              <w:t>Ages.</w:t>
            </w:r>
            <w:r w:rsidRPr="005D4222">
              <w:rPr>
                <w:rStyle w:val="normaltextrun"/>
                <w:rFonts w:cs="Arial"/>
                <w:color w:val="000000"/>
                <w:shd w:val="clear" w:color="auto" w:fill="FFFFFF"/>
              </w:rPr>
              <w:t xml:space="preserve"> The observed event age range may be expanded. Age determination dates may be changed (e.g., select, “age as of June 30”).</w:t>
            </w:r>
            <w:r w:rsidRPr="005D4222">
              <w:rPr>
                <w:rStyle w:val="eop"/>
                <w:rFonts w:eastAsiaTheme="majorEastAsia" w:cs="Arial"/>
                <w:color w:val="000000"/>
                <w:shd w:val="clear" w:color="auto" w:fill="FFFFFF"/>
              </w:rPr>
              <w:t> </w:t>
            </w:r>
          </w:p>
          <w:p w14:paraId="78284729" w14:textId="77777777" w:rsidR="0084708C" w:rsidRPr="005D4222" w:rsidRDefault="0084708C" w:rsidP="005D6173">
            <w:pPr>
              <w:pStyle w:val="ProcessBullet"/>
              <w:numPr>
                <w:ilvl w:val="0"/>
                <w:numId w:val="77"/>
              </w:numPr>
              <w:ind w:left="216" w:hanging="216"/>
              <w:rPr>
                <w:b/>
                <w:bCs/>
                <w:color w:val="000000" w:themeColor="text1"/>
              </w:rPr>
            </w:pPr>
            <w:r w:rsidRPr="005D4222">
              <w:rPr>
                <w:i/>
                <w:iCs/>
              </w:rPr>
              <w:t>Attribution.</w:t>
            </w:r>
            <w:r w:rsidRPr="005D4222">
              <w:t xml:space="preserve"> Organizations are not required to use enrollment criteria. </w:t>
            </w:r>
          </w:p>
          <w:p w14:paraId="3C3EF904" w14:textId="50692837" w:rsidR="0084708C" w:rsidRPr="005D4222" w:rsidRDefault="00362E76" w:rsidP="005D6173">
            <w:pPr>
              <w:pStyle w:val="ProcessBullet"/>
              <w:numPr>
                <w:ilvl w:val="0"/>
                <w:numId w:val="77"/>
              </w:numPr>
              <w:ind w:left="216" w:hanging="216"/>
              <w:rPr>
                <w:b/>
                <w:bCs/>
                <w:color w:val="000000" w:themeColor="text1"/>
              </w:rPr>
            </w:pPr>
            <w:r w:rsidRPr="005D4222">
              <w:rPr>
                <w:i/>
                <w:iCs/>
              </w:rPr>
              <w:t>Benefits.</w:t>
            </w:r>
            <w:r w:rsidR="0084708C" w:rsidRPr="005D4222">
              <w:t xml:space="preserve"> Organizations are not required to use a benefit.</w:t>
            </w:r>
          </w:p>
          <w:p w14:paraId="56E3D183" w14:textId="1913DBD1" w:rsidR="0084708C" w:rsidRPr="005D4222" w:rsidRDefault="0084708C" w:rsidP="005D6173">
            <w:pPr>
              <w:pStyle w:val="ProcessBullet"/>
              <w:numPr>
                <w:ilvl w:val="0"/>
                <w:numId w:val="77"/>
              </w:numPr>
              <w:ind w:left="216" w:hanging="216"/>
              <w:rPr>
                <w:b/>
                <w:bCs/>
                <w:color w:val="000000" w:themeColor="text1"/>
              </w:rPr>
            </w:pPr>
            <w:r w:rsidRPr="005D4222">
              <w:rPr>
                <w:i/>
                <w:iCs/>
              </w:rPr>
              <w:t>Other.</w:t>
            </w:r>
            <w:r w:rsidRPr="005D4222">
              <w:t xml:space="preserve"> Organizations may adjust the </w:t>
            </w:r>
            <w:r w:rsidR="00524BFF" w:rsidRPr="005D4222">
              <w:t>initial</w:t>
            </w:r>
            <w:r w:rsidRPr="005D4222">
              <w:t xml:space="preserve"> population criteria to focus on an area of interest defined by gender, race, ethnicity, socioeconomic or sociodemographic characteristics, geographic region or another characteristic.</w:t>
            </w:r>
          </w:p>
          <w:p w14:paraId="7CE97E3B" w14:textId="77777777" w:rsidR="0084708C" w:rsidRPr="005D4222" w:rsidRDefault="0084708C" w:rsidP="005D6173">
            <w:pPr>
              <w:pStyle w:val="ProcessBullet"/>
              <w:numPr>
                <w:ilvl w:val="0"/>
                <w:numId w:val="77"/>
              </w:numPr>
              <w:ind w:left="216" w:hanging="216"/>
              <w:rPr>
                <w:b/>
                <w:bCs/>
                <w:color w:val="000000" w:themeColor="text1"/>
              </w:rPr>
            </w:pPr>
            <w:r w:rsidRPr="005D4222">
              <w:rPr>
                <w:i/>
                <w:iCs/>
              </w:rPr>
              <w:t>Measurement period adjustments.</w:t>
            </w:r>
            <w:r w:rsidRPr="005D4222">
              <w:t xml:space="preserve"> Organizations may adjust the measurement period. </w:t>
            </w:r>
          </w:p>
          <w:p w14:paraId="249C9000" w14:textId="77777777" w:rsidR="0084708C" w:rsidRPr="005D4222" w:rsidRDefault="0084708C" w:rsidP="005D6173">
            <w:pPr>
              <w:pStyle w:val="ProcessBullet"/>
              <w:numPr>
                <w:ilvl w:val="0"/>
                <w:numId w:val="77"/>
              </w:numPr>
              <w:ind w:left="216" w:hanging="216"/>
              <w:rPr>
                <w:b/>
                <w:bCs/>
                <w:color w:val="000000" w:themeColor="text1"/>
              </w:rPr>
            </w:pPr>
            <w:r w:rsidRPr="005D4222">
              <w:rPr>
                <w:i/>
                <w:iCs/>
              </w:rPr>
              <w:t>Exclusions.</w:t>
            </w:r>
            <w:r w:rsidRPr="005D4222">
              <w:t xml:space="preserve"> Hospice exclusion is not required. </w:t>
            </w:r>
          </w:p>
          <w:p w14:paraId="254D1F80" w14:textId="5173E105" w:rsidR="0084708C" w:rsidRPr="005D4222" w:rsidRDefault="0084708C" w:rsidP="005D6173">
            <w:pPr>
              <w:pStyle w:val="ProcessBullet"/>
              <w:numPr>
                <w:ilvl w:val="0"/>
                <w:numId w:val="77"/>
              </w:numPr>
              <w:ind w:left="216" w:hanging="216"/>
              <w:rPr>
                <w:color w:val="000000" w:themeColor="text1"/>
              </w:rPr>
            </w:pPr>
            <w:r w:rsidRPr="005D4222">
              <w:rPr>
                <w:i/>
                <w:iCs/>
                <w:color w:val="000000" w:themeColor="text1"/>
              </w:rPr>
              <w:t>Telehealth.</w:t>
            </w:r>
            <w:r w:rsidRPr="005D4222">
              <w:rPr>
                <w:color w:val="000000" w:themeColor="text1"/>
              </w:rPr>
              <w:t xml:space="preserve"> Services/events that allow the use of synchronous telehealth visits, telephone visits and asynchronous telehealth (e-visits, virtual check-ins) may be stratified to identify services performed via telehealth. This adjustment is not allowed for </w:t>
            </w:r>
            <w:r w:rsidR="00F45777" w:rsidRPr="005D4222">
              <w:rPr>
                <w:color w:val="000000" w:themeColor="text1"/>
              </w:rPr>
              <w:t>events</w:t>
            </w:r>
            <w:r w:rsidRPr="005D4222">
              <w:rPr>
                <w:color w:val="000000" w:themeColor="text1"/>
              </w:rPr>
              <w:t>, numerators and exclusions that do not allow the use of telehealth.</w:t>
            </w:r>
          </w:p>
          <w:p w14:paraId="1ABE40A0" w14:textId="77777777" w:rsidR="0084708C" w:rsidRPr="005D4222" w:rsidRDefault="0084708C" w:rsidP="005D6173">
            <w:pPr>
              <w:pStyle w:val="ProcessBullet"/>
              <w:numPr>
                <w:ilvl w:val="0"/>
                <w:numId w:val="77"/>
              </w:numPr>
              <w:ind w:left="216" w:hanging="216"/>
              <w:rPr>
                <w:color w:val="000000" w:themeColor="text1"/>
              </w:rPr>
            </w:pPr>
            <w:r w:rsidRPr="005D4222">
              <w:rPr>
                <w:i/>
                <w:iCs/>
                <w:color w:val="000000" w:themeColor="text1"/>
              </w:rPr>
              <w:t>Supplemental data.</w:t>
            </w:r>
            <w:r w:rsidRPr="005D4222">
              <w:rPr>
                <w:color w:val="000000" w:themeColor="text1"/>
              </w:rPr>
              <w:t xml:space="preserve"> Supplemental data may be used to identify initial population, denominator, exclusion and numerator events.</w:t>
            </w:r>
          </w:p>
          <w:p w14:paraId="0FC20CC6" w14:textId="77777777" w:rsidR="0084708C" w:rsidRPr="005D4222" w:rsidRDefault="0084708C" w:rsidP="00A53E8C">
            <w:pPr>
              <w:pStyle w:val="Adjustments"/>
            </w:pPr>
            <w:r w:rsidRPr="005D4222">
              <w:t xml:space="preserve">Adjustments </w:t>
            </w:r>
            <w:r w:rsidRPr="005D4222">
              <w:rPr>
                <w:bCs/>
              </w:rPr>
              <w:t>a</w:t>
            </w:r>
            <w:r w:rsidRPr="005D4222">
              <w:t xml:space="preserve">llowed with </w:t>
            </w:r>
            <w:r w:rsidRPr="005D4222">
              <w:rPr>
                <w:bCs/>
              </w:rPr>
              <w:t>l</w:t>
            </w:r>
            <w:r w:rsidRPr="005D4222">
              <w:t>imits</w:t>
            </w:r>
          </w:p>
          <w:p w14:paraId="2270C8D2" w14:textId="77777777" w:rsidR="0084708C" w:rsidRPr="005D4222" w:rsidRDefault="0084708C" w:rsidP="005D6173">
            <w:pPr>
              <w:pStyle w:val="ProcessBullet"/>
              <w:numPr>
                <w:ilvl w:val="0"/>
                <w:numId w:val="77"/>
              </w:numPr>
              <w:ind w:left="216" w:hanging="216"/>
              <w:rPr>
                <w:rFonts w:cs="Arial"/>
                <w:i/>
                <w:iCs/>
              </w:rPr>
            </w:pPr>
            <w:r w:rsidRPr="005D4222">
              <w:rPr>
                <w:rFonts w:cs="Arial"/>
                <w:i/>
                <w:iCs/>
              </w:rPr>
              <w:t>Denominator.</w:t>
            </w:r>
            <w:r w:rsidRPr="005D4222">
              <w:rPr>
                <w:iCs/>
              </w:rPr>
              <w:t xml:space="preserve"> Organizations may include denied claims to calculate denominator events.</w:t>
            </w:r>
            <w:r w:rsidRPr="005D4222">
              <w:rPr>
                <w:i/>
              </w:rPr>
              <w:t xml:space="preserve"> </w:t>
            </w:r>
            <w:r w:rsidRPr="005D4222">
              <w:t>Value sets and logic may not be changed.</w:t>
            </w:r>
          </w:p>
          <w:p w14:paraId="5BD4DF4D" w14:textId="77777777" w:rsidR="0084708C" w:rsidRPr="005D4222" w:rsidRDefault="0084708C" w:rsidP="005D6173">
            <w:pPr>
              <w:pStyle w:val="ProcessBullet"/>
              <w:numPr>
                <w:ilvl w:val="0"/>
                <w:numId w:val="77"/>
              </w:numPr>
              <w:spacing w:after="80"/>
              <w:ind w:left="216" w:hanging="216"/>
              <w:rPr>
                <w:b/>
                <w:i/>
                <w:iCs/>
              </w:rPr>
            </w:pPr>
            <w:r w:rsidRPr="005D4222">
              <w:rPr>
                <w:i/>
              </w:rPr>
              <w:t xml:space="preserve">Numerator. </w:t>
            </w:r>
            <w:r w:rsidRPr="005D4222">
              <w:rPr>
                <w:iCs/>
              </w:rPr>
              <w:t>Organizations may include denied claims to calculate the numerator.</w:t>
            </w:r>
            <w:r w:rsidRPr="005D4222">
              <w:rPr>
                <w:i/>
              </w:rPr>
              <w:t xml:space="preserve"> </w:t>
            </w:r>
            <w:r w:rsidRPr="005D4222">
              <w:t>Value sets and logic may not be changed.</w:t>
            </w:r>
          </w:p>
        </w:tc>
      </w:tr>
    </w:tbl>
    <w:p w14:paraId="779E4C58" w14:textId="77777777" w:rsidR="00060306" w:rsidRPr="005D4222" w:rsidRDefault="00060306" w:rsidP="002C0999">
      <w:pPr>
        <w:pStyle w:val="ECDSBody"/>
        <w:sectPr w:rsidR="00060306" w:rsidRPr="005D4222" w:rsidSect="0074514A">
          <w:headerReference w:type="default" r:id="rId203"/>
          <w:type w:val="nextColumn"/>
          <w:pgSz w:w="12240" w:h="15840" w:code="1"/>
          <w:pgMar w:top="1080" w:right="1080" w:bottom="1080" w:left="1440" w:header="720" w:footer="720" w:gutter="0"/>
          <w:cols w:space="720"/>
          <w:docGrid w:linePitch="360"/>
        </w:sectPr>
      </w:pPr>
    </w:p>
    <w:p w14:paraId="3D485F9D" w14:textId="532B38FB" w:rsidR="002C0999" w:rsidRPr="005D4222" w:rsidRDefault="00114134" w:rsidP="005369F6">
      <w:pPr>
        <w:pStyle w:val="MeasureTitle"/>
      </w:pPr>
      <w:bookmarkStart w:id="400" w:name="_Toc201813457"/>
      <w:r w:rsidRPr="005D4222">
        <w:lastRenderedPageBreak/>
        <w:t xml:space="preserve">Acute Hospitalizations </w:t>
      </w:r>
      <w:r w:rsidR="005369F6" w:rsidRPr="005D4222">
        <w:t>Following Outpatient Orthopedic Surgery</w:t>
      </w:r>
      <w:r w:rsidR="006B0FDD" w:rsidRPr="005D4222">
        <w:t xml:space="preserve"> (HFO)</w:t>
      </w:r>
      <w:bookmarkEnd w:id="400"/>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4950"/>
        <w:gridCol w:w="1527"/>
        <w:gridCol w:w="1080"/>
      </w:tblGrid>
      <w:tr w:rsidR="004E64E3" w:rsidRPr="005D4222" w14:paraId="43C21B4D" w14:textId="77777777" w:rsidTr="00384F0C">
        <w:tc>
          <w:tcPr>
            <w:tcW w:w="2157" w:type="dxa"/>
            <w:shd w:val="clear" w:color="auto" w:fill="BFBFBF" w:themeFill="background1" w:themeFillShade="BF"/>
            <w:tcMar>
              <w:top w:w="0" w:type="dxa"/>
              <w:left w:w="86" w:type="dxa"/>
              <w:bottom w:w="43" w:type="dxa"/>
              <w:right w:w="86" w:type="dxa"/>
            </w:tcMar>
            <w:hideMark/>
          </w:tcPr>
          <w:p w14:paraId="2A556DA4" w14:textId="77777777" w:rsidR="004E64E3" w:rsidRPr="005D4222" w:rsidRDefault="004E64E3" w:rsidP="00A53E8C">
            <w:pPr>
              <w:pStyle w:val="ECDSMarginHead"/>
            </w:pPr>
            <w:r w:rsidRPr="005D4222">
              <w:t>Measure title</w:t>
            </w:r>
          </w:p>
        </w:tc>
        <w:tc>
          <w:tcPr>
            <w:tcW w:w="4950" w:type="dxa"/>
            <w:tcMar>
              <w:top w:w="0" w:type="dxa"/>
              <w:left w:w="86" w:type="dxa"/>
              <w:bottom w:w="43" w:type="dxa"/>
              <w:right w:w="86" w:type="dxa"/>
            </w:tcMar>
          </w:tcPr>
          <w:p w14:paraId="2A5BEBAB" w14:textId="1EE9C43A" w:rsidR="004E64E3" w:rsidRPr="005D4222" w:rsidRDefault="00114134" w:rsidP="00A53E8C">
            <w:pPr>
              <w:pStyle w:val="ECDSBody"/>
            </w:pPr>
            <w:r w:rsidRPr="005D4222">
              <w:t xml:space="preserve">Acute Hospitalizations </w:t>
            </w:r>
            <w:r w:rsidR="004E64E3" w:rsidRPr="005D4222">
              <w:t>Following Outpatient Orthopedic Surgery</w:t>
            </w:r>
          </w:p>
        </w:tc>
        <w:tc>
          <w:tcPr>
            <w:tcW w:w="1527" w:type="dxa"/>
            <w:shd w:val="clear" w:color="auto" w:fill="BFBFBF" w:themeFill="background1" w:themeFillShade="BF"/>
            <w:tcMar>
              <w:top w:w="0" w:type="dxa"/>
              <w:left w:w="86" w:type="dxa"/>
              <w:bottom w:w="43" w:type="dxa"/>
              <w:right w:w="86" w:type="dxa"/>
            </w:tcMar>
          </w:tcPr>
          <w:p w14:paraId="236CD6B7" w14:textId="77777777" w:rsidR="004E64E3" w:rsidRPr="005D4222" w:rsidRDefault="004E64E3" w:rsidP="00A53E8C">
            <w:pPr>
              <w:pStyle w:val="ECDSMarginHead"/>
            </w:pPr>
            <w:r w:rsidRPr="005D4222">
              <w:t>Measure ID</w:t>
            </w:r>
          </w:p>
        </w:tc>
        <w:tc>
          <w:tcPr>
            <w:tcW w:w="1080" w:type="dxa"/>
            <w:tcMar>
              <w:top w:w="0" w:type="dxa"/>
              <w:left w:w="86" w:type="dxa"/>
              <w:bottom w:w="43" w:type="dxa"/>
              <w:right w:w="86" w:type="dxa"/>
            </w:tcMar>
          </w:tcPr>
          <w:p w14:paraId="2175EAEC" w14:textId="77777777" w:rsidR="004E64E3" w:rsidRPr="005D4222" w:rsidRDefault="004E64E3" w:rsidP="00A53E8C">
            <w:pPr>
              <w:pStyle w:val="ECDSBody"/>
            </w:pPr>
            <w:r w:rsidRPr="005D4222">
              <w:t xml:space="preserve">HFO  </w:t>
            </w:r>
          </w:p>
        </w:tc>
      </w:tr>
      <w:tr w:rsidR="004E64E3" w:rsidRPr="005D4222" w14:paraId="09ADA18F" w14:textId="77777777" w:rsidTr="00384F0C">
        <w:tc>
          <w:tcPr>
            <w:tcW w:w="2157" w:type="dxa"/>
            <w:shd w:val="clear" w:color="auto" w:fill="BFBFBF" w:themeFill="background1" w:themeFillShade="BF"/>
            <w:tcMar>
              <w:top w:w="0" w:type="dxa"/>
              <w:left w:w="86" w:type="dxa"/>
              <w:bottom w:w="43" w:type="dxa"/>
              <w:right w:w="86" w:type="dxa"/>
            </w:tcMar>
            <w:hideMark/>
          </w:tcPr>
          <w:p w14:paraId="089E4253" w14:textId="77777777" w:rsidR="004E64E3" w:rsidRPr="005D4222" w:rsidRDefault="004E64E3" w:rsidP="00A53E8C">
            <w:pPr>
              <w:pStyle w:val="ECDSMarginHead"/>
            </w:pPr>
            <w:r w:rsidRPr="005D4222">
              <w:t>Description</w:t>
            </w:r>
          </w:p>
        </w:tc>
        <w:tc>
          <w:tcPr>
            <w:tcW w:w="7557" w:type="dxa"/>
            <w:gridSpan w:val="3"/>
            <w:tcMar>
              <w:top w:w="0" w:type="dxa"/>
              <w:left w:w="86" w:type="dxa"/>
              <w:bottom w:w="43" w:type="dxa"/>
              <w:right w:w="86" w:type="dxa"/>
            </w:tcMar>
          </w:tcPr>
          <w:p w14:paraId="3A632C77" w14:textId="77777777" w:rsidR="004E64E3" w:rsidRPr="005D4222" w:rsidRDefault="004E64E3" w:rsidP="00A53E8C">
            <w:pPr>
              <w:pStyle w:val="ECDSBody"/>
              <w:rPr>
                <w:i/>
                <w:lang w:eastAsia="zh-CN"/>
              </w:rPr>
            </w:pPr>
            <w:r w:rsidRPr="005D4222">
              <w:rPr>
                <w:lang w:eastAsia="zh-CN"/>
              </w:rPr>
              <w:t>For</w:t>
            </w:r>
            <w:r w:rsidRPr="005D4222">
              <w:rPr>
                <w:i/>
                <w:lang w:eastAsia="zh-CN"/>
              </w:rPr>
              <w:t xml:space="preserve"> </w:t>
            </w:r>
            <w:r w:rsidRPr="005D4222">
              <w:rPr>
                <w:lang w:eastAsia="zh-CN"/>
              </w:rPr>
              <w:t>persons</w:t>
            </w:r>
            <w:r w:rsidRPr="005D4222">
              <w:rPr>
                <w:i/>
                <w:lang w:eastAsia="zh-CN"/>
              </w:rPr>
              <w:t xml:space="preserve"> </w:t>
            </w:r>
            <w:r w:rsidRPr="005D4222">
              <w:rPr>
                <w:lang w:eastAsia="zh-CN"/>
              </w:rPr>
              <w:t>65</w:t>
            </w:r>
            <w:r w:rsidRPr="005D4222">
              <w:rPr>
                <w:i/>
                <w:lang w:eastAsia="zh-CN"/>
              </w:rPr>
              <w:t xml:space="preserve"> </w:t>
            </w:r>
            <w:r w:rsidRPr="005D4222">
              <w:rPr>
                <w:lang w:eastAsia="zh-CN"/>
              </w:rPr>
              <w:t>years</w:t>
            </w:r>
            <w:r w:rsidRPr="005D4222">
              <w:rPr>
                <w:i/>
                <w:lang w:eastAsia="zh-CN"/>
              </w:rPr>
              <w:t xml:space="preserve"> </w:t>
            </w:r>
            <w:r w:rsidRPr="005D4222">
              <w:rPr>
                <w:lang w:eastAsia="zh-CN"/>
              </w:rPr>
              <w:t>of</w:t>
            </w:r>
            <w:r w:rsidRPr="005D4222">
              <w:rPr>
                <w:i/>
                <w:lang w:eastAsia="zh-CN"/>
              </w:rPr>
              <w:t xml:space="preserve"> </w:t>
            </w:r>
            <w:r w:rsidRPr="005D4222">
              <w:rPr>
                <w:lang w:eastAsia="zh-CN"/>
              </w:rPr>
              <w:t>age</w:t>
            </w:r>
            <w:r w:rsidRPr="005D4222">
              <w:rPr>
                <w:i/>
                <w:lang w:eastAsia="zh-CN"/>
              </w:rPr>
              <w:t xml:space="preserve"> </w:t>
            </w:r>
            <w:r w:rsidRPr="005D4222">
              <w:rPr>
                <w:lang w:eastAsia="zh-CN"/>
              </w:rPr>
              <w:t>and</w:t>
            </w:r>
            <w:r w:rsidRPr="005D4222">
              <w:rPr>
                <w:i/>
                <w:lang w:eastAsia="zh-CN"/>
              </w:rPr>
              <w:t xml:space="preserve"> </w:t>
            </w:r>
            <w:r w:rsidRPr="005D4222">
              <w:rPr>
                <w:lang w:eastAsia="zh-CN"/>
              </w:rPr>
              <w:t>older,</w:t>
            </w:r>
            <w:r w:rsidRPr="005D4222">
              <w:rPr>
                <w:i/>
                <w:lang w:eastAsia="zh-CN"/>
              </w:rPr>
              <w:t xml:space="preserve"> </w:t>
            </w:r>
            <w:r w:rsidRPr="005D4222">
              <w:rPr>
                <w:lang w:eastAsia="zh-CN"/>
              </w:rPr>
              <w:t>the</w:t>
            </w:r>
            <w:r w:rsidRPr="005D4222">
              <w:rPr>
                <w:i/>
                <w:lang w:eastAsia="zh-CN"/>
              </w:rPr>
              <w:t xml:space="preserve"> </w:t>
            </w:r>
            <w:r w:rsidRPr="005D4222">
              <w:rPr>
                <w:lang w:eastAsia="zh-CN"/>
              </w:rPr>
              <w:t>risk-adjusted</w:t>
            </w:r>
            <w:r w:rsidRPr="005D4222">
              <w:rPr>
                <w:i/>
                <w:lang w:eastAsia="zh-CN"/>
              </w:rPr>
              <w:t xml:space="preserve"> </w:t>
            </w:r>
            <w:r w:rsidRPr="005D4222">
              <w:rPr>
                <w:lang w:eastAsia="zh-CN"/>
              </w:rPr>
              <w:t>ratio</w:t>
            </w:r>
            <w:r w:rsidRPr="005D4222">
              <w:rPr>
                <w:i/>
                <w:lang w:eastAsia="zh-CN"/>
              </w:rPr>
              <w:t xml:space="preserve"> </w:t>
            </w:r>
            <w:r w:rsidRPr="005D4222">
              <w:rPr>
                <w:lang w:eastAsia="zh-CN"/>
              </w:rPr>
              <w:t>of</w:t>
            </w:r>
            <w:r w:rsidRPr="005D4222">
              <w:rPr>
                <w:i/>
                <w:lang w:eastAsia="zh-CN"/>
              </w:rPr>
              <w:t xml:space="preserve"> </w:t>
            </w:r>
            <w:r w:rsidRPr="005D4222">
              <w:rPr>
                <w:lang w:eastAsia="zh-CN"/>
              </w:rPr>
              <w:t>observed-to-expected</w:t>
            </w:r>
            <w:r w:rsidRPr="005D4222">
              <w:rPr>
                <w:i/>
                <w:lang w:eastAsia="zh-CN"/>
              </w:rPr>
              <w:t xml:space="preserve"> </w:t>
            </w:r>
            <w:r w:rsidRPr="005D4222">
              <w:rPr>
                <w:lang w:eastAsia="zh-CN"/>
              </w:rPr>
              <w:t>unplanned</w:t>
            </w:r>
            <w:r w:rsidRPr="005D4222">
              <w:rPr>
                <w:i/>
                <w:lang w:eastAsia="zh-CN"/>
              </w:rPr>
              <w:t xml:space="preserve"> </w:t>
            </w:r>
            <w:r w:rsidRPr="005D4222">
              <w:rPr>
                <w:lang w:eastAsia="zh-CN"/>
              </w:rPr>
              <w:t>acute</w:t>
            </w:r>
            <w:r w:rsidRPr="005D4222">
              <w:rPr>
                <w:i/>
                <w:lang w:eastAsia="zh-CN"/>
              </w:rPr>
              <w:t xml:space="preserve"> </w:t>
            </w:r>
            <w:r w:rsidRPr="005D4222">
              <w:rPr>
                <w:lang w:eastAsia="zh-CN"/>
              </w:rPr>
              <w:t>hospitalizations</w:t>
            </w:r>
            <w:r w:rsidRPr="005D4222">
              <w:rPr>
                <w:i/>
                <w:lang w:eastAsia="zh-CN"/>
              </w:rPr>
              <w:t xml:space="preserve"> </w:t>
            </w:r>
            <w:r w:rsidRPr="005D4222">
              <w:rPr>
                <w:lang w:eastAsia="zh-CN"/>
              </w:rPr>
              <w:t>(inpatient</w:t>
            </w:r>
            <w:r w:rsidRPr="005D4222">
              <w:rPr>
                <w:i/>
                <w:lang w:eastAsia="zh-CN"/>
              </w:rPr>
              <w:t xml:space="preserve"> </w:t>
            </w:r>
            <w:r w:rsidRPr="005D4222">
              <w:rPr>
                <w:lang w:eastAsia="zh-CN"/>
              </w:rPr>
              <w:t>and</w:t>
            </w:r>
            <w:r w:rsidRPr="005D4222">
              <w:rPr>
                <w:i/>
                <w:lang w:eastAsia="zh-CN"/>
              </w:rPr>
              <w:t xml:space="preserve"> </w:t>
            </w:r>
            <w:r w:rsidRPr="005D4222">
              <w:rPr>
                <w:lang w:eastAsia="zh-CN"/>
              </w:rPr>
              <w:t>observation</w:t>
            </w:r>
            <w:r w:rsidRPr="005D4222">
              <w:rPr>
                <w:i/>
                <w:lang w:eastAsia="zh-CN"/>
              </w:rPr>
              <w:t xml:space="preserve"> </w:t>
            </w:r>
            <w:r w:rsidRPr="005D4222">
              <w:rPr>
                <w:lang w:eastAsia="zh-CN"/>
              </w:rPr>
              <w:t>stays)</w:t>
            </w:r>
            <w:r w:rsidRPr="005D4222">
              <w:rPr>
                <w:i/>
                <w:lang w:eastAsia="zh-CN"/>
              </w:rPr>
              <w:t xml:space="preserve"> </w:t>
            </w:r>
            <w:r w:rsidRPr="005D4222">
              <w:rPr>
                <w:lang w:eastAsia="zh-CN"/>
              </w:rPr>
              <w:t>for</w:t>
            </w:r>
            <w:r w:rsidRPr="005D4222">
              <w:rPr>
                <w:i/>
                <w:lang w:eastAsia="zh-CN"/>
              </w:rPr>
              <w:t xml:space="preserve"> </w:t>
            </w:r>
            <w:r w:rsidRPr="005D4222">
              <w:rPr>
                <w:lang w:eastAsia="zh-CN"/>
              </w:rPr>
              <w:t>any</w:t>
            </w:r>
            <w:r w:rsidRPr="005D4222">
              <w:rPr>
                <w:i/>
                <w:lang w:eastAsia="zh-CN"/>
              </w:rPr>
              <w:t xml:space="preserve"> </w:t>
            </w:r>
            <w:r w:rsidRPr="005D4222">
              <w:rPr>
                <w:lang w:eastAsia="zh-CN"/>
              </w:rPr>
              <w:t>diagnosis</w:t>
            </w:r>
            <w:r w:rsidRPr="005D4222">
              <w:rPr>
                <w:i/>
                <w:lang w:eastAsia="zh-CN"/>
              </w:rPr>
              <w:t xml:space="preserve"> </w:t>
            </w:r>
            <w:r w:rsidRPr="005D4222">
              <w:rPr>
                <w:lang w:eastAsia="zh-CN"/>
              </w:rPr>
              <w:t>that</w:t>
            </w:r>
            <w:r w:rsidRPr="005D4222">
              <w:rPr>
                <w:i/>
                <w:lang w:eastAsia="zh-CN"/>
              </w:rPr>
              <w:t xml:space="preserve"> </w:t>
            </w:r>
            <w:r w:rsidRPr="005D4222">
              <w:rPr>
                <w:lang w:eastAsia="zh-CN"/>
              </w:rPr>
              <w:t>occurred</w:t>
            </w:r>
            <w:r w:rsidRPr="005D4222">
              <w:rPr>
                <w:i/>
                <w:lang w:eastAsia="zh-CN"/>
              </w:rPr>
              <w:t xml:space="preserve"> </w:t>
            </w:r>
            <w:r w:rsidRPr="005D4222">
              <w:rPr>
                <w:lang w:eastAsia="zh-CN"/>
              </w:rPr>
              <w:t>within</w:t>
            </w:r>
            <w:r w:rsidRPr="005D4222">
              <w:rPr>
                <w:i/>
                <w:lang w:eastAsia="zh-CN"/>
              </w:rPr>
              <w:t xml:space="preserve"> </w:t>
            </w:r>
            <w:r w:rsidRPr="005D4222">
              <w:rPr>
                <w:lang w:eastAsia="zh-CN"/>
              </w:rPr>
              <w:t>15</w:t>
            </w:r>
            <w:r w:rsidRPr="005D4222">
              <w:rPr>
                <w:i/>
                <w:lang w:eastAsia="zh-CN"/>
              </w:rPr>
              <w:t xml:space="preserve"> </w:t>
            </w:r>
            <w:r w:rsidRPr="005D4222">
              <w:rPr>
                <w:lang w:eastAsia="zh-CN"/>
              </w:rPr>
              <w:t>days</w:t>
            </w:r>
            <w:r w:rsidRPr="005D4222">
              <w:rPr>
                <w:i/>
                <w:lang w:eastAsia="zh-CN"/>
              </w:rPr>
              <w:t xml:space="preserve"> </w:t>
            </w:r>
            <w:r w:rsidRPr="005D4222">
              <w:rPr>
                <w:lang w:eastAsia="zh-CN"/>
              </w:rPr>
              <w:t>following</w:t>
            </w:r>
            <w:r w:rsidRPr="005D4222">
              <w:rPr>
                <w:i/>
                <w:lang w:eastAsia="zh-CN"/>
              </w:rPr>
              <w:t xml:space="preserve"> </w:t>
            </w:r>
            <w:r w:rsidRPr="005D4222">
              <w:rPr>
                <w:lang w:eastAsia="zh-CN"/>
              </w:rPr>
              <w:t>select</w:t>
            </w:r>
            <w:r w:rsidRPr="005D4222">
              <w:rPr>
                <w:i/>
                <w:lang w:eastAsia="zh-CN"/>
              </w:rPr>
              <w:t xml:space="preserve"> </w:t>
            </w:r>
            <w:r w:rsidRPr="005D4222">
              <w:rPr>
                <w:lang w:eastAsia="zh-CN"/>
              </w:rPr>
              <w:t>outpatient</w:t>
            </w:r>
            <w:r w:rsidRPr="005D4222">
              <w:rPr>
                <w:i/>
                <w:lang w:eastAsia="zh-CN"/>
              </w:rPr>
              <w:t xml:space="preserve"> </w:t>
            </w:r>
            <w:r w:rsidRPr="005D4222">
              <w:rPr>
                <w:lang w:eastAsia="zh-CN"/>
              </w:rPr>
              <w:t>orthopedic</w:t>
            </w:r>
            <w:r w:rsidRPr="005D4222">
              <w:rPr>
                <w:i/>
                <w:lang w:eastAsia="zh-CN"/>
              </w:rPr>
              <w:t xml:space="preserve"> </w:t>
            </w:r>
            <w:r w:rsidRPr="005D4222">
              <w:rPr>
                <w:lang w:eastAsia="zh-CN"/>
              </w:rPr>
              <w:t>surgeries.</w:t>
            </w:r>
          </w:p>
        </w:tc>
      </w:tr>
      <w:tr w:rsidR="004E64E3" w:rsidRPr="005D4222" w14:paraId="6931D933" w14:textId="77777777" w:rsidTr="00384F0C">
        <w:tc>
          <w:tcPr>
            <w:tcW w:w="2157" w:type="dxa"/>
            <w:shd w:val="clear" w:color="auto" w:fill="BFBFBF" w:themeFill="background1" w:themeFillShade="BF"/>
            <w:tcMar>
              <w:top w:w="0" w:type="dxa"/>
              <w:left w:w="86" w:type="dxa"/>
              <w:bottom w:w="43" w:type="dxa"/>
              <w:right w:w="86" w:type="dxa"/>
            </w:tcMar>
          </w:tcPr>
          <w:p w14:paraId="651B93A2" w14:textId="77777777" w:rsidR="004E64E3" w:rsidRPr="005D4222" w:rsidRDefault="004E64E3" w:rsidP="00A53E8C">
            <w:pPr>
              <w:pStyle w:val="ECDSMarginHead"/>
            </w:pPr>
            <w:r w:rsidRPr="005D4222">
              <w:t>Measurement period</w:t>
            </w:r>
          </w:p>
        </w:tc>
        <w:tc>
          <w:tcPr>
            <w:tcW w:w="7557" w:type="dxa"/>
            <w:gridSpan w:val="3"/>
            <w:tcMar>
              <w:top w:w="0" w:type="dxa"/>
              <w:left w:w="86" w:type="dxa"/>
              <w:bottom w:w="43" w:type="dxa"/>
              <w:right w:w="86" w:type="dxa"/>
            </w:tcMar>
          </w:tcPr>
          <w:p w14:paraId="6DFB9FE4" w14:textId="77777777" w:rsidR="004E64E3" w:rsidRPr="005D4222" w:rsidRDefault="004E64E3" w:rsidP="00A53E8C">
            <w:pPr>
              <w:pStyle w:val="ECDSBody"/>
            </w:pPr>
            <w:r w:rsidRPr="005D4222">
              <w:t>January 1–December 31.</w:t>
            </w:r>
          </w:p>
        </w:tc>
      </w:tr>
      <w:tr w:rsidR="004E64E3" w:rsidRPr="005D4222" w14:paraId="246761CB" w14:textId="77777777" w:rsidTr="00384F0C">
        <w:tc>
          <w:tcPr>
            <w:tcW w:w="2157" w:type="dxa"/>
            <w:tcBorders>
              <w:bottom w:val="single" w:sz="2" w:space="0" w:color="auto"/>
            </w:tcBorders>
            <w:shd w:val="clear" w:color="auto" w:fill="BFBFBF" w:themeFill="background1" w:themeFillShade="BF"/>
            <w:tcMar>
              <w:top w:w="0" w:type="dxa"/>
              <w:left w:w="86" w:type="dxa"/>
              <w:bottom w:w="43" w:type="dxa"/>
              <w:right w:w="86" w:type="dxa"/>
            </w:tcMar>
            <w:hideMark/>
          </w:tcPr>
          <w:p w14:paraId="38665E9B" w14:textId="77777777" w:rsidR="004E64E3" w:rsidRPr="005D4222" w:rsidRDefault="004E64E3" w:rsidP="00A53E8C">
            <w:pPr>
              <w:pStyle w:val="ECDSMarginHead"/>
              <w:rPr>
                <w:rFonts w:eastAsia="Arial"/>
              </w:rPr>
            </w:pPr>
            <w:r w:rsidRPr="005D4222">
              <w:rPr>
                <w:rFonts w:eastAsia="Arial"/>
              </w:rPr>
              <w:t>Copyright and disclaimer notice</w:t>
            </w:r>
          </w:p>
        </w:tc>
        <w:tc>
          <w:tcPr>
            <w:tcW w:w="7557" w:type="dxa"/>
            <w:gridSpan w:val="3"/>
            <w:tcBorders>
              <w:bottom w:val="single" w:sz="2" w:space="0" w:color="auto"/>
            </w:tcBorders>
            <w:tcMar>
              <w:top w:w="0" w:type="dxa"/>
              <w:left w:w="86" w:type="dxa"/>
              <w:bottom w:w="43" w:type="dxa"/>
              <w:right w:w="86" w:type="dxa"/>
            </w:tcMar>
          </w:tcPr>
          <w:p w14:paraId="4A483B6C" w14:textId="77777777" w:rsidR="004E64E3" w:rsidRPr="005D4222" w:rsidRDefault="004E64E3" w:rsidP="00A53E8C">
            <w:pPr>
              <w:pStyle w:val="ECDSBody"/>
            </w:pPr>
            <w:r w:rsidRPr="005D4222">
              <w:t xml:space="preserve">Refer to the complete copyright and disclaimer information at the front of this publication. </w:t>
            </w:r>
          </w:p>
          <w:p w14:paraId="501C7347" w14:textId="77777777" w:rsidR="004E64E3" w:rsidRPr="005D4222" w:rsidRDefault="004E64E3" w:rsidP="00A53E8C">
            <w:pPr>
              <w:pStyle w:val="ECDSBody"/>
              <w:spacing w:before="80"/>
            </w:pPr>
            <w:r w:rsidRPr="005D4222">
              <w:t xml:space="preserve">NCQA website: </w:t>
            </w:r>
            <w:r w:rsidRPr="005D4222">
              <w:rPr>
                <w:u w:val="single"/>
              </w:rPr>
              <w:t>www.ncqa.org</w:t>
            </w:r>
            <w:r w:rsidRPr="005D4222">
              <w:t>.</w:t>
            </w:r>
          </w:p>
          <w:p w14:paraId="6E7F4AD9" w14:textId="77777777" w:rsidR="004E64E3" w:rsidRPr="005D4222" w:rsidRDefault="004E64E3" w:rsidP="00A53E8C">
            <w:pPr>
              <w:pStyle w:val="ECDSBody"/>
              <w:spacing w:before="80"/>
            </w:pPr>
            <w:r w:rsidRPr="005D4222">
              <w:t>Submit policy clarification support questions via My NCQA (</w:t>
            </w:r>
            <w:r w:rsidRPr="005D4222">
              <w:rPr>
                <w:u w:val="single"/>
              </w:rPr>
              <w:t>https://my.ncqa.org</w:t>
            </w:r>
            <w:r w:rsidRPr="005D4222">
              <w:t>).</w:t>
            </w:r>
          </w:p>
        </w:tc>
      </w:tr>
      <w:tr w:rsidR="004E64E3" w:rsidRPr="005D4222" w14:paraId="3484C279" w14:textId="77777777" w:rsidTr="00384F0C">
        <w:tc>
          <w:tcPr>
            <w:tcW w:w="2157" w:type="dxa"/>
            <w:tcBorders>
              <w:bottom w:val="single" w:sz="4" w:space="0" w:color="auto"/>
            </w:tcBorders>
            <w:shd w:val="clear" w:color="auto" w:fill="BFBFBF" w:themeFill="background1" w:themeFillShade="BF"/>
            <w:tcMar>
              <w:top w:w="0" w:type="dxa"/>
              <w:left w:w="86" w:type="dxa"/>
              <w:bottom w:w="43" w:type="dxa"/>
              <w:right w:w="86" w:type="dxa"/>
            </w:tcMar>
            <w:hideMark/>
          </w:tcPr>
          <w:p w14:paraId="2D1F5F12" w14:textId="77777777" w:rsidR="004E64E3" w:rsidRPr="005D4222" w:rsidRDefault="004E64E3" w:rsidP="00A53E8C">
            <w:pPr>
              <w:pStyle w:val="ECDSMarginHead"/>
            </w:pPr>
            <w:r w:rsidRPr="005D4222">
              <w:t>Clinical recommendation statement/ rationale</w:t>
            </w:r>
          </w:p>
        </w:tc>
        <w:tc>
          <w:tcPr>
            <w:tcW w:w="7557" w:type="dxa"/>
            <w:gridSpan w:val="3"/>
            <w:tcBorders>
              <w:bottom w:val="single" w:sz="4" w:space="0" w:color="auto"/>
            </w:tcBorders>
            <w:tcMar>
              <w:top w:w="0" w:type="dxa"/>
              <w:left w:w="86" w:type="dxa"/>
              <w:bottom w:w="43" w:type="dxa"/>
              <w:right w:w="86" w:type="dxa"/>
            </w:tcMar>
          </w:tcPr>
          <w:p w14:paraId="278F0377" w14:textId="77777777" w:rsidR="004E64E3" w:rsidRPr="005D4222" w:rsidRDefault="004E64E3" w:rsidP="00A53E8C">
            <w:pPr>
              <w:pStyle w:val="ECDSBody"/>
            </w:pPr>
            <w:r w:rsidRPr="005D4222">
              <w:rPr>
                <w:lang w:eastAsia="zh-CN"/>
              </w:rPr>
              <w:t xml:space="preserve">Advances in surgical technologies, perioperative care and payment structures have increased the number and variety of surgical procedures performed in outpatient settings. In one study, researchers found the most common reason for emergency department (ED) visits within 30 days of outpatient orthopedic surgery was infection. Following outpatient orthopedic surgery, wound management, improved preprocedural risk assessments and improved patient counseling of risk factors can minimize ED visits and complications. </w:t>
            </w:r>
          </w:p>
        </w:tc>
      </w:tr>
      <w:tr w:rsidR="004E64E3" w:rsidRPr="005D4222" w14:paraId="592EF897" w14:textId="77777777" w:rsidTr="00384F0C">
        <w:tc>
          <w:tcPr>
            <w:tcW w:w="2157" w:type="dxa"/>
            <w:tcBorders>
              <w:top w:val="single" w:sz="4" w:space="0" w:color="auto"/>
            </w:tcBorders>
            <w:shd w:val="clear" w:color="auto" w:fill="BFBFBF" w:themeFill="background1" w:themeFillShade="BF"/>
            <w:tcMar>
              <w:top w:w="0" w:type="dxa"/>
              <w:left w:w="86" w:type="dxa"/>
              <w:bottom w:w="43" w:type="dxa"/>
              <w:right w:w="86" w:type="dxa"/>
            </w:tcMar>
          </w:tcPr>
          <w:p w14:paraId="6425786B" w14:textId="77777777" w:rsidR="004E64E3" w:rsidRPr="005D4222" w:rsidRDefault="004E64E3" w:rsidP="00A53E8C">
            <w:pPr>
              <w:pStyle w:val="ECDSMarginHead"/>
            </w:pPr>
            <w:r w:rsidRPr="005D4222">
              <w:t>Citations</w:t>
            </w:r>
          </w:p>
        </w:tc>
        <w:tc>
          <w:tcPr>
            <w:tcW w:w="7557" w:type="dxa"/>
            <w:gridSpan w:val="3"/>
            <w:tcBorders>
              <w:top w:val="single" w:sz="4" w:space="0" w:color="auto"/>
            </w:tcBorders>
            <w:tcMar>
              <w:top w:w="0" w:type="dxa"/>
              <w:left w:w="86" w:type="dxa"/>
              <w:bottom w:w="43" w:type="dxa"/>
              <w:right w:w="86" w:type="dxa"/>
            </w:tcMar>
          </w:tcPr>
          <w:p w14:paraId="0C898042" w14:textId="77777777" w:rsidR="004E64E3" w:rsidRPr="005D4222" w:rsidRDefault="004E64E3" w:rsidP="00A53E8C">
            <w:pPr>
              <w:pStyle w:val="ECDSBody"/>
              <w:rPr>
                <w:lang w:eastAsia="zh-CN"/>
              </w:rPr>
            </w:pPr>
            <w:r w:rsidRPr="005D4222">
              <w:rPr>
                <w:lang w:eastAsia="zh-CN"/>
              </w:rPr>
              <w:t xml:space="preserve">Bernatz, J.T., J.L. Tueting, S. Hetzel, &amp; P.A. Anderson. 2016. “What Are the 30-day Readmission Rates Across Orthopaedic Subspecialties?” </w:t>
            </w:r>
            <w:r w:rsidRPr="005D4222">
              <w:rPr>
                <w:i/>
                <w:iCs/>
                <w:lang w:eastAsia="zh-CN"/>
              </w:rPr>
              <w:t>Clinical Orthopaedics and Related Research</w:t>
            </w:r>
            <w:r w:rsidRPr="005D4222">
              <w:rPr>
                <w:lang w:eastAsia="zh-CN"/>
              </w:rPr>
              <w:t xml:space="preserve"> 474(3), 838–47. https://doi.org/10.1007/s11999-015-4602-5</w:t>
            </w:r>
          </w:p>
          <w:p w14:paraId="120A2039" w14:textId="77777777" w:rsidR="004E64E3" w:rsidRPr="005D4222" w:rsidRDefault="004E64E3" w:rsidP="00A53E8C">
            <w:pPr>
              <w:pStyle w:val="ECDSBody"/>
              <w:rPr>
                <w:lang w:eastAsia="zh-CN"/>
              </w:rPr>
            </w:pPr>
            <w:r w:rsidRPr="005D4222">
              <w:rPr>
                <w:lang w:eastAsia="zh-CN"/>
              </w:rPr>
              <w:t xml:space="preserve">Bongiovanni, T., C. Parzynski, I. Ranasinghe, M.A. Steinman, &amp; J.S. Ross. 202). “Unplanned Hospital Visits After Ambulatory Surgical Care.” </w:t>
            </w:r>
            <w:r w:rsidRPr="005D4222">
              <w:rPr>
                <w:i/>
                <w:iCs/>
                <w:lang w:eastAsia="zh-CN"/>
              </w:rPr>
              <w:t xml:space="preserve">PloS one </w:t>
            </w:r>
            <w:r w:rsidRPr="005D4222">
              <w:rPr>
                <w:lang w:eastAsia="zh-CN"/>
              </w:rPr>
              <w:t>16(7), e0254039. https://doi.org/10.1371/journal.pone.0254039</w:t>
            </w:r>
          </w:p>
          <w:p w14:paraId="2982DFAF" w14:textId="77777777" w:rsidR="004E64E3" w:rsidRPr="005D4222" w:rsidRDefault="004E64E3" w:rsidP="00A53E8C">
            <w:pPr>
              <w:pStyle w:val="ECDSBody"/>
              <w:rPr>
                <w:lang w:eastAsia="zh-CN"/>
              </w:rPr>
            </w:pPr>
            <w:r w:rsidRPr="005D4222">
              <w:rPr>
                <w:lang w:eastAsia="zh-CN"/>
              </w:rPr>
              <w:t xml:space="preserve">Cullen, K.A., M.J. Hall, A. Golosinskiy. 2009. </w:t>
            </w:r>
            <w:r w:rsidRPr="005D4222">
              <w:rPr>
                <w:i/>
                <w:iCs/>
                <w:lang w:eastAsia="zh-CN"/>
              </w:rPr>
              <w:t>Ambulatory Surgery in the United States, 2006.</w:t>
            </w:r>
            <w:r w:rsidRPr="005D4222">
              <w:rPr>
                <w:lang w:eastAsia="zh-CN"/>
              </w:rPr>
              <w:t xml:space="preserve"> National Health Statistics Reports; no 11. Revised. Hyattsville, MD: National Center for Health Statistics.</w:t>
            </w:r>
          </w:p>
          <w:p w14:paraId="1CCC0029" w14:textId="77777777" w:rsidR="004E64E3" w:rsidRPr="005D4222" w:rsidRDefault="004E64E3" w:rsidP="00A53E8C">
            <w:pPr>
              <w:pStyle w:val="ECDSBody"/>
            </w:pPr>
            <w:r w:rsidRPr="004771F6">
              <w:rPr>
                <w:lang w:val="es-ES" w:eastAsia="zh-CN"/>
              </w:rPr>
              <w:t xml:space="preserve">Gonzalez, M., A. Ganta, &amp; A. Sapienza. </w:t>
            </w:r>
            <w:r w:rsidRPr="005D4222">
              <w:rPr>
                <w:lang w:eastAsia="zh-CN"/>
              </w:rPr>
              <w:t xml:space="preserve">2020. “Postoperative Inpatient Conversions Following Ambulatory Orthopedic Surgery.” </w:t>
            </w:r>
            <w:r w:rsidRPr="005D4222">
              <w:rPr>
                <w:i/>
                <w:iCs/>
                <w:lang w:eastAsia="zh-CN"/>
              </w:rPr>
              <w:t>Bulletin of the Hospital for Joint Disease</w:t>
            </w:r>
            <w:r w:rsidRPr="005D4222">
              <w:rPr>
                <w:lang w:eastAsia="zh-CN"/>
              </w:rPr>
              <w:t xml:space="preserve"> 78(4), 255–9.</w:t>
            </w:r>
          </w:p>
        </w:tc>
      </w:tr>
      <w:tr w:rsidR="004E64E3" w:rsidRPr="005D4222" w14:paraId="75816F72" w14:textId="77777777" w:rsidTr="00384F0C">
        <w:tc>
          <w:tcPr>
            <w:tcW w:w="9714"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7A038E92" w14:textId="77777777" w:rsidR="004E64E3" w:rsidRPr="005D4222" w:rsidRDefault="004E64E3" w:rsidP="00A53E8C">
            <w:pPr>
              <w:pStyle w:val="ECDSMarginHead"/>
            </w:pPr>
            <w:r w:rsidRPr="005D4222">
              <w:t>Characteristics</w:t>
            </w:r>
          </w:p>
        </w:tc>
      </w:tr>
      <w:tr w:rsidR="004E64E3" w:rsidRPr="005D4222" w14:paraId="0E3FB47D" w14:textId="77777777" w:rsidTr="00384F0C">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019D64B9" w14:textId="77777777" w:rsidR="004E64E3" w:rsidRPr="005D4222" w:rsidRDefault="004E64E3" w:rsidP="00DC2DE3">
            <w:pPr>
              <w:pStyle w:val="ECDSSubhead"/>
            </w:pPr>
            <w:r w:rsidRPr="005D4222">
              <w:t>Scoring</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0E2DCDE0" w14:textId="77777777" w:rsidR="004E64E3" w:rsidRPr="005D4222" w:rsidRDefault="004E64E3" w:rsidP="00A53E8C">
            <w:pPr>
              <w:pStyle w:val="ECDSBody"/>
              <w:spacing w:after="0"/>
            </w:pPr>
            <w:r w:rsidRPr="005D4222">
              <w:t>Ratio.</w:t>
            </w:r>
          </w:p>
        </w:tc>
      </w:tr>
      <w:tr w:rsidR="004E64E3" w:rsidRPr="005D4222" w14:paraId="1F6195B2" w14:textId="77777777" w:rsidTr="00384F0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3CFBE189" w14:textId="71A519DE" w:rsidR="004E64E3" w:rsidRPr="005D4222" w:rsidRDefault="00B51CDC" w:rsidP="00DC2DE3">
            <w:pPr>
              <w:pStyle w:val="ECDSSubhead"/>
            </w:pPr>
            <w:r w:rsidRPr="005D4222">
              <w:t>Product lines</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260816DB" w14:textId="77777777" w:rsidR="004E64E3" w:rsidRPr="005D4222" w:rsidRDefault="004E64E3" w:rsidP="00A53E8C">
            <w:pPr>
              <w:pStyle w:val="ProcessBullet"/>
              <w:numPr>
                <w:ilvl w:val="0"/>
                <w:numId w:val="0"/>
              </w:numPr>
              <w:spacing w:before="120"/>
              <w:rPr>
                <w:rFonts w:eastAsia="Arial,Arial,Arial,Arial,Arial,A"/>
              </w:rPr>
            </w:pPr>
            <w:r w:rsidRPr="005D4222">
              <w:rPr>
                <w:rFonts w:eastAsia="Arial,Arial,Arial,Arial,Arial,A"/>
              </w:rPr>
              <w:t>Medicare.</w:t>
            </w:r>
          </w:p>
        </w:tc>
      </w:tr>
      <w:tr w:rsidR="004E64E3" w:rsidRPr="005D4222" w14:paraId="4318D56A" w14:textId="77777777" w:rsidTr="00384F0C">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7DB881BC" w14:textId="27FD1DD8" w:rsidR="004E64E3" w:rsidRPr="005D4222" w:rsidRDefault="00B51CDC" w:rsidP="00DC2DE3">
            <w:pPr>
              <w:pStyle w:val="ECDSSubhead"/>
            </w:pPr>
            <w:r w:rsidRPr="005D4222">
              <w:t>Stratifications</w:t>
            </w:r>
            <w:r w:rsidR="004E64E3" w:rsidRPr="005D4222">
              <w:t xml:space="preserve"> </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hideMark/>
          </w:tcPr>
          <w:p w14:paraId="2A5612B8" w14:textId="77777777" w:rsidR="004E64E3" w:rsidRPr="005D4222" w:rsidRDefault="004E64E3" w:rsidP="00A53E8C">
            <w:pPr>
              <w:pStyle w:val="E-Body"/>
            </w:pPr>
            <w:r w:rsidRPr="005D4222">
              <w:t>None.</w:t>
            </w:r>
          </w:p>
        </w:tc>
      </w:tr>
      <w:tr w:rsidR="004E64E3" w:rsidRPr="005D4222" w14:paraId="55F76B58" w14:textId="77777777" w:rsidTr="00384F0C">
        <w:tc>
          <w:tcPr>
            <w:tcW w:w="21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7FEC7D3" w14:textId="77777777" w:rsidR="004E64E3" w:rsidRPr="005D4222" w:rsidRDefault="004E64E3" w:rsidP="00DC2DE3">
            <w:pPr>
              <w:pStyle w:val="ECDSSubhead"/>
            </w:pPr>
            <w:r w:rsidRPr="005D4222">
              <w:lastRenderedPageBreak/>
              <w:t>Guidance</w:t>
            </w:r>
          </w:p>
        </w:tc>
        <w:tc>
          <w:tcPr>
            <w:tcW w:w="7557"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444AAFD" w14:textId="77777777" w:rsidR="004E64E3" w:rsidRPr="005D4222" w:rsidRDefault="004E64E3" w:rsidP="00A53E8C">
            <w:pPr>
              <w:pStyle w:val="E-Body"/>
              <w:rPr>
                <w:rFonts w:ascii="Segoe UI" w:hAnsi="Segoe UI" w:cs="Segoe UI"/>
                <w:b/>
                <w:bCs w:val="0"/>
                <w:i/>
                <w:iCs/>
                <w:sz w:val="18"/>
                <w:szCs w:val="18"/>
              </w:rPr>
            </w:pPr>
            <w:r w:rsidRPr="005D4222">
              <w:rPr>
                <w:b/>
                <w:bCs w:val="0"/>
                <w:i/>
                <w:iCs/>
              </w:rPr>
              <w:t xml:space="preserve">Risk Adjustment Measure Specific Guidance </w:t>
            </w:r>
          </w:p>
          <w:p w14:paraId="096094BD" w14:textId="77777777" w:rsidR="004E64E3" w:rsidRPr="005D4222" w:rsidRDefault="004E64E3" w:rsidP="00A53E8C">
            <w:pPr>
              <w:pStyle w:val="E-Body"/>
              <w:rPr>
                <w:sz w:val="18"/>
                <w:szCs w:val="18"/>
              </w:rPr>
            </w:pPr>
            <w:r w:rsidRPr="005D4222">
              <w:rPr>
                <w:b/>
                <w:bCs w:val="0"/>
              </w:rPr>
              <w:t xml:space="preserve">Observation stays: </w:t>
            </w:r>
            <w:r w:rsidRPr="005D4222">
              <w:t>For observation stays (</w:t>
            </w:r>
            <w:r w:rsidRPr="005D4222">
              <w:rPr>
                <w:u w:val="single"/>
              </w:rPr>
              <w:t>Observation Stay Value Set</w:t>
            </w:r>
            <w:r w:rsidRPr="005D4222">
              <w:t xml:space="preserve">) that do not have a recorded admission or discharge date, set the admission date to the earliest date of service on the claim and set the discharge date to the last date of service on the claim. </w:t>
            </w:r>
          </w:p>
          <w:p w14:paraId="5936CEA1" w14:textId="77777777" w:rsidR="004E64E3" w:rsidRPr="005D4222" w:rsidRDefault="004E64E3" w:rsidP="00A53E8C">
            <w:pPr>
              <w:pStyle w:val="E-Body"/>
              <w:rPr>
                <w:b/>
                <w:bCs w:val="0"/>
              </w:rPr>
            </w:pPr>
            <w:r w:rsidRPr="005D4222">
              <w:rPr>
                <w:b/>
                <w:bCs w:val="0"/>
              </w:rPr>
              <w:t xml:space="preserve">Which services count? </w:t>
            </w:r>
          </w:p>
          <w:p w14:paraId="26A1EAA1" w14:textId="77777777" w:rsidR="004E64E3" w:rsidRPr="005D4222" w:rsidRDefault="004E64E3" w:rsidP="005D6173">
            <w:pPr>
              <w:pStyle w:val="ProcessBullet"/>
              <w:numPr>
                <w:ilvl w:val="0"/>
                <w:numId w:val="98"/>
              </w:numPr>
              <w:tabs>
                <w:tab w:val="left" w:pos="216"/>
              </w:tabs>
              <w:ind w:left="216" w:hanging="216"/>
            </w:pPr>
            <w:r w:rsidRPr="005D4222">
              <w:t xml:space="preserve">Use all paid, suspended, pending and denied claims when applying risk adjustment comorbidity category determination and the hospice exclusion. </w:t>
            </w:r>
          </w:p>
          <w:p w14:paraId="2CB2EACC" w14:textId="77777777" w:rsidR="004E64E3" w:rsidRPr="005D4222" w:rsidRDefault="004E64E3" w:rsidP="005D6173">
            <w:pPr>
              <w:pStyle w:val="ProcessBullet"/>
              <w:numPr>
                <w:ilvl w:val="0"/>
                <w:numId w:val="98"/>
              </w:numPr>
              <w:tabs>
                <w:tab w:val="left" w:pos="216"/>
              </w:tabs>
              <w:ind w:left="216" w:hanging="216"/>
            </w:pPr>
            <w:r w:rsidRPr="005D4222">
              <w:t xml:space="preserve">Do not include denied claims when identifying all other events (e.g., denominator events or observed events in the other risk adjusted utilization measures); only report claims the organization paid for or expects to pay for (i.e., claims incurred but not paid).  </w:t>
            </w:r>
          </w:p>
          <w:p w14:paraId="66E65273" w14:textId="77777777" w:rsidR="004E64E3" w:rsidRPr="005D4222" w:rsidRDefault="004E64E3" w:rsidP="00A53E8C">
            <w:pPr>
              <w:pStyle w:val="E-Body"/>
              <w:rPr>
                <w:rFonts w:ascii="Segoe UI" w:hAnsi="Segoe UI" w:cs="Segoe UI"/>
                <w:sz w:val="18"/>
                <w:szCs w:val="18"/>
              </w:rPr>
            </w:pPr>
            <w:r w:rsidRPr="005D4222">
              <w:rPr>
                <w:b/>
                <w:bCs w:val="0"/>
              </w:rPr>
              <w:t>Supplemental data exceptions:</w:t>
            </w:r>
            <w:r w:rsidRPr="005D4222">
              <w:t xml:space="preserve"> Supplemental data may only be used for the hospice exclusion.</w:t>
            </w:r>
          </w:p>
          <w:p w14:paraId="2CF5E46A" w14:textId="77777777" w:rsidR="004E64E3" w:rsidRPr="005D4222" w:rsidRDefault="004E64E3" w:rsidP="00A53E8C">
            <w:pPr>
              <w:pStyle w:val="E-Body"/>
            </w:pPr>
            <w:r w:rsidRPr="005D4222">
              <w:rPr>
                <w:b/>
                <w:bCs w:val="0"/>
              </w:rPr>
              <w:t>Transfers:</w:t>
            </w:r>
            <w:r w:rsidRPr="005D4222">
              <w:t xml:space="preserve"> </w:t>
            </w:r>
          </w:p>
          <w:p w14:paraId="704879CA" w14:textId="77777777" w:rsidR="004E64E3" w:rsidRPr="005D4222" w:rsidRDefault="004E64E3" w:rsidP="005D6173">
            <w:pPr>
              <w:pStyle w:val="ProcessBullet"/>
              <w:numPr>
                <w:ilvl w:val="0"/>
                <w:numId w:val="98"/>
              </w:numPr>
              <w:tabs>
                <w:tab w:val="left" w:pos="216"/>
              </w:tabs>
              <w:ind w:left="216" w:hanging="216"/>
            </w:pPr>
            <w:r w:rsidRPr="005D4222">
              <w:t xml:space="preserve">Treat transfers </w:t>
            </w:r>
            <w:r w:rsidRPr="005D4222">
              <w:rPr>
                <w:i/>
                <w:iCs/>
              </w:rPr>
              <w:t xml:space="preserve">between </w:t>
            </w:r>
            <w:r w:rsidRPr="005D4222">
              <w:t xml:space="preserve">institutions as separate admissions. </w:t>
            </w:r>
          </w:p>
          <w:p w14:paraId="27753EEF" w14:textId="77777777" w:rsidR="004E64E3" w:rsidRPr="005D4222" w:rsidRDefault="004E64E3" w:rsidP="005D6173">
            <w:pPr>
              <w:pStyle w:val="ProcessBullet"/>
              <w:numPr>
                <w:ilvl w:val="0"/>
                <w:numId w:val="98"/>
              </w:numPr>
              <w:tabs>
                <w:tab w:val="left" w:pos="216"/>
              </w:tabs>
              <w:ind w:left="216" w:hanging="216"/>
            </w:pPr>
            <w:r w:rsidRPr="005D4222">
              <w:t xml:space="preserve">Base transfer reports </w:t>
            </w:r>
            <w:r w:rsidRPr="005D4222">
              <w:rPr>
                <w:i/>
                <w:iCs/>
              </w:rPr>
              <w:t>within</w:t>
            </w:r>
            <w:r w:rsidRPr="005D4222">
              <w:t xml:space="preserve"> an institution on the type and level of services provided. </w:t>
            </w:r>
          </w:p>
          <w:p w14:paraId="57FC16BD" w14:textId="77777777" w:rsidR="004E64E3" w:rsidRPr="005D4222" w:rsidRDefault="004E64E3" w:rsidP="005D6173">
            <w:pPr>
              <w:pStyle w:val="ProcessBullet"/>
              <w:numPr>
                <w:ilvl w:val="0"/>
                <w:numId w:val="98"/>
              </w:numPr>
              <w:tabs>
                <w:tab w:val="left" w:pos="216"/>
              </w:tabs>
              <w:ind w:left="216" w:hanging="216"/>
            </w:pPr>
            <w:r w:rsidRPr="005D4222">
              <w:t xml:space="preserve">Report separate admissions when the transfer is between acute and nonacute levels of service or between mental health/chemical dependency services and non-mental health/chemical dependency services. </w:t>
            </w:r>
          </w:p>
          <w:p w14:paraId="7D01282C" w14:textId="77777777" w:rsidR="004E64E3" w:rsidRPr="005D4222" w:rsidRDefault="004E64E3" w:rsidP="005D6173">
            <w:pPr>
              <w:pStyle w:val="ProcessBullet"/>
              <w:numPr>
                <w:ilvl w:val="0"/>
                <w:numId w:val="98"/>
              </w:numPr>
              <w:tabs>
                <w:tab w:val="left" w:pos="216"/>
              </w:tabs>
              <w:ind w:left="216" w:hanging="216"/>
            </w:pPr>
            <w:r w:rsidRPr="005D4222">
              <w:t>Count only one admission when the transfer takes place within the same service category, but to a different level of care (e.g., from intensive care to a lesser level of care; from a lesser level of care to intensive care).</w:t>
            </w:r>
          </w:p>
          <w:p w14:paraId="306F262F" w14:textId="77777777" w:rsidR="004E64E3" w:rsidRPr="005D4222" w:rsidRDefault="004E64E3" w:rsidP="00A53E8C">
            <w:pPr>
              <w:pStyle w:val="E-Body"/>
            </w:pPr>
            <w:r w:rsidRPr="005D4222">
              <w:rPr>
                <w:b/>
                <w:bCs w:val="0"/>
              </w:rPr>
              <w:t xml:space="preserve">Risk adjustment: </w:t>
            </w:r>
            <w:r w:rsidRPr="005D4222">
              <w:t xml:space="preserve">Organizations may not use risk assessment protocols to supplement diagnoses for calculation of the risk adjustment scores for these measures. The measurement model was developed and tested using only claims-based diagnoses; diagnoses from additional data sources would affect the validity of the models as they are currently implemented in the specification. </w:t>
            </w:r>
          </w:p>
          <w:p w14:paraId="331898D7" w14:textId="77777777" w:rsidR="004E64E3" w:rsidRPr="005D4222" w:rsidRDefault="004E64E3" w:rsidP="00A53E8C">
            <w:pPr>
              <w:pStyle w:val="E-Body"/>
              <w:rPr>
                <w:b/>
                <w:bCs w:val="0"/>
                <w:i/>
                <w:iCs/>
              </w:rPr>
            </w:pPr>
            <w:r w:rsidRPr="005D4222">
              <w:rPr>
                <w:b/>
                <w:bCs w:val="0"/>
                <w:i/>
                <w:iCs/>
              </w:rPr>
              <w:t xml:space="preserve">General Rules </w:t>
            </w:r>
          </w:p>
          <w:p w14:paraId="51AC39AF" w14:textId="2944A931" w:rsidR="004E64E3" w:rsidRPr="005D4222" w:rsidRDefault="004E64E3" w:rsidP="00A53E8C">
            <w:pPr>
              <w:pStyle w:val="E-Body"/>
              <w:spacing w:before="0"/>
            </w:pPr>
            <w:r w:rsidRPr="005D4222">
              <w:rPr>
                <w:b/>
                <w:bCs w:val="0"/>
              </w:rPr>
              <w:t xml:space="preserve">Data collection methodology: </w:t>
            </w:r>
            <w:r w:rsidRPr="005D4222">
              <w:t xml:space="preserve">Administrative. Refer to </w:t>
            </w:r>
            <w:hyperlink w:anchor="General_Guideline_Data_Collection_Method" w:history="1">
              <w:r w:rsidRPr="005D4222">
                <w:rPr>
                  <w:rStyle w:val="Hyperlink"/>
                  <w:i/>
                </w:rPr>
                <w:t>General Guideline: Data Collection Methods</w:t>
              </w:r>
            </w:hyperlink>
            <w:r w:rsidRPr="005D4222">
              <w:t xml:space="preserve"> for additional information.  </w:t>
            </w:r>
          </w:p>
          <w:p w14:paraId="572DD6A6" w14:textId="77777777" w:rsidR="004E64E3" w:rsidRPr="005D4222" w:rsidRDefault="004E64E3" w:rsidP="00A53E8C">
            <w:pPr>
              <w:pStyle w:val="E-Body"/>
            </w:pPr>
            <w:r w:rsidRPr="005D4222">
              <w:rPr>
                <w:b/>
                <w:bCs w:val="0"/>
              </w:rPr>
              <w:t xml:space="preserve">Date specificity: </w:t>
            </w:r>
            <w:r w:rsidRPr="005D4222">
              <w:t xml:space="preserve">Dates must be specific enough to determine the event occurred in the period being measured. </w:t>
            </w:r>
          </w:p>
          <w:p w14:paraId="1490839C" w14:textId="77777777" w:rsidR="004E64E3" w:rsidRPr="005D4222" w:rsidRDefault="004E64E3" w:rsidP="00A53E8C">
            <w:pPr>
              <w:pStyle w:val="E-Body"/>
            </w:pPr>
            <w:r w:rsidRPr="005D4222">
              <w:rPr>
                <w:b/>
                <w:bCs w:val="0"/>
              </w:rPr>
              <w:t>Other guidance</w:t>
            </w:r>
            <w:r w:rsidRPr="005D4222">
              <w:t>: The measure is based on episodes; therefore, it is possible for the denominator to include multiple events for the same person.</w:t>
            </w:r>
          </w:p>
          <w:p w14:paraId="68A67C32" w14:textId="2B7047B5" w:rsidR="004E64E3" w:rsidRPr="005D4222" w:rsidRDefault="00384F0C" w:rsidP="00384F0C">
            <w:pPr>
              <w:pStyle w:val="E-Body"/>
            </w:pPr>
            <w:r w:rsidRPr="005D4222">
              <w:rPr>
                <w:rFonts w:cs="Arial"/>
                <w:b/>
                <w:bCs w:val="0"/>
              </w:rPr>
              <w:t xml:space="preserve">Improvement notation: </w:t>
            </w:r>
            <w:r w:rsidR="004E64E3" w:rsidRPr="005D4222">
              <w:rPr>
                <w:rFonts w:cs="Arial"/>
              </w:rPr>
              <w:t>To interpret the rate as better or worse than expected, the rate must be calibrated. Organizations can calibrate rates by dividing individual organization rates or national percentiles by the national average rate. Organizations may be more successful at achieving fewer hospitalizations than expected, given the types of cases treated by the organization (calibrated rate with a value &lt;1.0), or may be less successful (calibrated rate with a value &gt;1.0).</w:t>
            </w:r>
          </w:p>
        </w:tc>
      </w:tr>
    </w:tbl>
    <w:p w14:paraId="0FDDFF5D" w14:textId="77777777" w:rsidR="004E64E3" w:rsidRPr="005D4222" w:rsidRDefault="004E64E3" w:rsidP="004E64E3">
      <w:pPr>
        <w:spacing w:after="160" w:line="259" w:lineRule="auto"/>
      </w:pPr>
      <w:r w:rsidRPr="005D4222">
        <w:br w:type="page"/>
      </w:r>
    </w:p>
    <w:tbl>
      <w:tblPr>
        <w:tblW w:w="9714" w:type="dxa"/>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4E64E3" w:rsidRPr="005D4222" w14:paraId="062CAB7F" w14:textId="77777777" w:rsidTr="00A53E8C">
        <w:tc>
          <w:tcPr>
            <w:tcW w:w="9714"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529A57F1" w14:textId="77777777" w:rsidR="004E64E3" w:rsidRPr="005D4222" w:rsidRDefault="004E64E3" w:rsidP="00A53E8C">
            <w:pPr>
              <w:pStyle w:val="ECDSMarginHead"/>
            </w:pPr>
            <w:r w:rsidRPr="005D4222">
              <w:lastRenderedPageBreak/>
              <w:t>Definitions</w:t>
            </w:r>
          </w:p>
        </w:tc>
      </w:tr>
      <w:tr w:rsidR="004E64E3" w:rsidRPr="005D4222" w14:paraId="548A4BBC" w14:textId="77777777" w:rsidTr="00A53E8C">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7ABBCCAC" w14:textId="77777777" w:rsidR="004E64E3" w:rsidRPr="005D4222" w:rsidRDefault="004E64E3" w:rsidP="000C27D0">
            <w:pPr>
              <w:pStyle w:val="ECDSSubhead"/>
            </w:pPr>
            <w:r w:rsidRPr="005D4222">
              <w:t>Direct transfer</w:t>
            </w: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11A7E2C4" w14:textId="77777777" w:rsidR="004E64E3" w:rsidRPr="005D4222" w:rsidRDefault="004E64E3" w:rsidP="00A53E8C">
            <w:pPr>
              <w:pStyle w:val="E-Body"/>
            </w:pPr>
            <w:r w:rsidRPr="005D4222">
              <w:t xml:space="preserve">When the discharge date from the initial stay precedes the admission date to a subsequent stay by 1 calendar day or less. </w:t>
            </w:r>
          </w:p>
          <w:p w14:paraId="70B32B7A" w14:textId="77777777" w:rsidR="004E64E3" w:rsidRPr="005D4222" w:rsidRDefault="004E64E3" w:rsidP="004E64E3">
            <w:pPr>
              <w:pStyle w:val="Bullet"/>
              <w:numPr>
                <w:ilvl w:val="0"/>
                <w:numId w:val="4"/>
              </w:numPr>
              <w:tabs>
                <w:tab w:val="left" w:pos="360"/>
                <w:tab w:val="left" w:pos="576"/>
              </w:tabs>
              <w:ind w:left="576" w:hanging="216"/>
              <w:rPr>
                <w:i/>
                <w:iCs/>
              </w:rPr>
            </w:pPr>
            <w:r w:rsidRPr="005D4222">
              <w:rPr>
                <w:i/>
                <w:iCs/>
              </w:rPr>
              <w:t>For example:</w:t>
            </w:r>
          </w:p>
          <w:p w14:paraId="2497E2F4" w14:textId="77777777" w:rsidR="004E64E3" w:rsidRPr="005D4222" w:rsidRDefault="004E64E3" w:rsidP="004E64E3">
            <w:pPr>
              <w:pStyle w:val="Dash"/>
              <w:tabs>
                <w:tab w:val="left" w:pos="576"/>
                <w:tab w:val="left" w:pos="792"/>
              </w:tabs>
            </w:pPr>
            <w:r w:rsidRPr="005D4222">
              <w:t xml:space="preserve">A discharge on June 1, followed by a subsequent admission on June 1 or June 2, </w:t>
            </w:r>
            <w:r w:rsidRPr="005D4222">
              <w:rPr>
                <w:i/>
                <w:iCs/>
              </w:rPr>
              <w:t>is a direct transfer.</w:t>
            </w:r>
          </w:p>
          <w:p w14:paraId="71EA7963" w14:textId="77777777" w:rsidR="004E64E3" w:rsidRPr="005D4222" w:rsidRDefault="004E64E3" w:rsidP="004E64E3">
            <w:pPr>
              <w:pStyle w:val="Dash"/>
              <w:tabs>
                <w:tab w:val="left" w:pos="576"/>
                <w:tab w:val="left" w:pos="792"/>
              </w:tabs>
            </w:pPr>
            <w:r w:rsidRPr="005D4222">
              <w:t xml:space="preserve">A discharge on June 1, followed by a subsequent admission on </w:t>
            </w:r>
            <w:r w:rsidRPr="005D4222">
              <w:br/>
              <w:t xml:space="preserve">June 3, </w:t>
            </w:r>
            <w:r w:rsidRPr="005D4222">
              <w:rPr>
                <w:i/>
                <w:iCs/>
              </w:rPr>
              <w:t>is not a direct transfer;</w:t>
            </w:r>
            <w:r w:rsidRPr="005D4222">
              <w:t xml:space="preserve"> these are two distinct stays.</w:t>
            </w:r>
          </w:p>
          <w:p w14:paraId="4B3FC77F" w14:textId="77777777" w:rsidR="004E64E3" w:rsidRPr="005D4222" w:rsidRDefault="004E64E3" w:rsidP="004E64E3">
            <w:pPr>
              <w:pStyle w:val="Dash"/>
              <w:tabs>
                <w:tab w:val="left" w:pos="576"/>
                <w:tab w:val="left" w:pos="792"/>
              </w:tabs>
              <w:rPr>
                <w:i/>
                <w:iCs/>
              </w:rPr>
            </w:pPr>
            <w:r w:rsidRPr="005D4222">
              <w:t xml:space="preserve">A discharge on June 1, followed by a subsequent admission on June 2 (with discharge on June 3), followed by a subsequent admission on June 4, </w:t>
            </w:r>
            <w:r w:rsidRPr="005D4222">
              <w:rPr>
                <w:i/>
                <w:iCs/>
              </w:rPr>
              <w:t>is a direct transfer.</w:t>
            </w:r>
          </w:p>
          <w:p w14:paraId="68D528C7" w14:textId="77777777" w:rsidR="004E64E3" w:rsidRPr="005D4222" w:rsidRDefault="004E64E3" w:rsidP="00A53E8C">
            <w:pPr>
              <w:pStyle w:val="E-Body"/>
              <w:spacing w:after="0"/>
            </w:pPr>
            <w:r w:rsidRPr="005D4222">
              <w:t>Direct transfers may occur between different facilities, and between acute inpatient and observation.</w:t>
            </w:r>
          </w:p>
        </w:tc>
      </w:tr>
      <w:tr w:rsidR="004E64E3" w:rsidRPr="005D4222" w14:paraId="14878023"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58884549" w14:textId="77777777" w:rsidR="004E64E3" w:rsidRPr="005D4222" w:rsidRDefault="004E64E3" w:rsidP="000C27D0">
            <w:pPr>
              <w:pStyle w:val="ECDSSubhead"/>
            </w:pPr>
            <w:r w:rsidRPr="005D4222">
              <w:t>Outpatient orthopedic surgery episode</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7ED6E120" w14:textId="77777777" w:rsidR="004E64E3" w:rsidRPr="005D4222" w:rsidRDefault="004E64E3" w:rsidP="00A53E8C">
            <w:pPr>
              <w:pStyle w:val="E-Body"/>
              <w:spacing w:after="0"/>
            </w:pPr>
            <w:r w:rsidRPr="005D4222">
              <w:t xml:space="preserve">A qualifying outpatient orthopedic surgery that occurs on or between </w:t>
            </w:r>
            <w:r w:rsidRPr="005D4222">
              <w:br/>
              <w:t>January 1 and December 16 of the measurement period, as identified in the denominator.</w:t>
            </w:r>
          </w:p>
        </w:tc>
      </w:tr>
      <w:tr w:rsidR="004E64E3" w:rsidRPr="005D4222" w14:paraId="51F3092D"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2D4B8DC4" w14:textId="77777777" w:rsidR="004E64E3" w:rsidRPr="005D4222" w:rsidRDefault="004E64E3" w:rsidP="000C27D0">
            <w:pPr>
              <w:pStyle w:val="ECDSSubhead"/>
            </w:pPr>
            <w:r w:rsidRPr="005D4222">
              <w:t>Outpatient orthopedic surgery episode date</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468A63E1" w14:textId="77777777" w:rsidR="004E64E3" w:rsidRPr="005D4222" w:rsidRDefault="004E64E3" w:rsidP="00A53E8C">
            <w:pPr>
              <w:pStyle w:val="E-Body"/>
            </w:pPr>
            <w:r w:rsidRPr="005D4222">
              <w:t xml:space="preserve">The date of service for a qualifying outpatient orthopedic surgery episode. </w:t>
            </w:r>
          </w:p>
          <w:p w14:paraId="46269A1C" w14:textId="77777777" w:rsidR="004E64E3" w:rsidRPr="005D4222" w:rsidRDefault="004E64E3" w:rsidP="00A53E8C">
            <w:pPr>
              <w:pStyle w:val="E-Body"/>
              <w:spacing w:after="0"/>
            </w:pPr>
            <w:r w:rsidRPr="005D4222">
              <w:t>For episodes that span more than 1 calendar day, use the last service date as the episode date.</w:t>
            </w:r>
          </w:p>
        </w:tc>
      </w:tr>
      <w:tr w:rsidR="004E64E3" w:rsidRPr="005D4222" w14:paraId="32423806" w14:textId="77777777" w:rsidTr="00A53E8C">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73B3D77D" w14:textId="77777777" w:rsidR="004E64E3" w:rsidRPr="005D4222" w:rsidRDefault="004E64E3" w:rsidP="00D266F9">
            <w:pPr>
              <w:pStyle w:val="ECDSSubhead"/>
              <w:spacing w:after="80"/>
            </w:pPr>
            <w:r w:rsidRPr="005D4222">
              <w:t>Planned hospital stay</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555ED5F0" w14:textId="77777777" w:rsidR="004E64E3" w:rsidRPr="005D4222" w:rsidRDefault="004E64E3" w:rsidP="00A53E8C">
            <w:pPr>
              <w:pStyle w:val="E-Body"/>
              <w:spacing w:after="0"/>
              <w:rPr>
                <w:b/>
              </w:rPr>
            </w:pPr>
            <w:r w:rsidRPr="005D4222">
              <w:t>A hospital stay that meets criteria in step 3 of the numerator.</w:t>
            </w:r>
          </w:p>
        </w:tc>
      </w:tr>
      <w:tr w:rsidR="004E64E3" w:rsidRPr="005D4222" w14:paraId="6331B4A7" w14:textId="77777777" w:rsidTr="00A53E8C">
        <w:tc>
          <w:tcPr>
            <w:tcW w:w="2157" w:type="dxa"/>
            <w:shd w:val="clear" w:color="auto" w:fill="BFBFBF" w:themeFill="background1" w:themeFillShade="BF"/>
            <w:tcMar>
              <w:top w:w="0" w:type="dxa"/>
              <w:left w:w="86" w:type="dxa"/>
              <w:bottom w:w="43" w:type="dxa"/>
              <w:right w:w="86" w:type="dxa"/>
            </w:tcMar>
          </w:tcPr>
          <w:p w14:paraId="316BFDDF" w14:textId="77777777" w:rsidR="004E64E3" w:rsidRPr="005D4222" w:rsidRDefault="004E64E3" w:rsidP="00A53E8C">
            <w:pPr>
              <w:pStyle w:val="ECDSMarginHead"/>
            </w:pPr>
            <w:r w:rsidRPr="005D4222">
              <w:t>Initial population</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6F716A0" w14:textId="77777777" w:rsidR="004E64E3" w:rsidRPr="005D4222" w:rsidRDefault="004E64E3" w:rsidP="00A53E8C">
            <w:pPr>
              <w:pStyle w:val="E-Body"/>
            </w:pPr>
            <w:r w:rsidRPr="005D4222">
              <w:rPr>
                <w:i/>
                <w:iCs/>
              </w:rPr>
              <w:t>Measure item count:</w:t>
            </w:r>
            <w:r w:rsidRPr="005D4222">
              <w:t xml:space="preserve"> Episode.</w:t>
            </w:r>
          </w:p>
          <w:p w14:paraId="202BBDF6" w14:textId="77777777" w:rsidR="004E64E3" w:rsidRPr="005D4222" w:rsidRDefault="004E64E3" w:rsidP="00A53E8C">
            <w:pPr>
              <w:pStyle w:val="E-Body"/>
            </w:pPr>
            <w:r w:rsidRPr="005D4222">
              <w:rPr>
                <w:i/>
                <w:iCs/>
              </w:rPr>
              <w:t xml:space="preserve">Attribution basis: </w:t>
            </w:r>
            <w:r w:rsidRPr="005D4222">
              <w:t>Enrollment.</w:t>
            </w:r>
          </w:p>
          <w:p w14:paraId="492344EF" w14:textId="77777777" w:rsidR="004E64E3" w:rsidRPr="005D4222" w:rsidRDefault="004E64E3" w:rsidP="004E64E3">
            <w:pPr>
              <w:pStyle w:val="Bullet"/>
              <w:numPr>
                <w:ilvl w:val="0"/>
                <w:numId w:val="4"/>
              </w:numPr>
              <w:tabs>
                <w:tab w:val="left" w:pos="360"/>
                <w:tab w:val="left" w:pos="576"/>
              </w:tabs>
              <w:ind w:left="576" w:hanging="216"/>
            </w:pPr>
            <w:r w:rsidRPr="005D4222">
              <w:rPr>
                <w:i/>
                <w:iCs/>
              </w:rPr>
              <w:t>Benefits:</w:t>
            </w:r>
            <w:r w:rsidRPr="005D4222">
              <w:t xml:space="preserve"> Medical.</w:t>
            </w:r>
          </w:p>
          <w:p w14:paraId="69185200" w14:textId="77777777" w:rsidR="004E64E3" w:rsidRPr="005D4222" w:rsidRDefault="004E64E3" w:rsidP="004E64E3">
            <w:pPr>
              <w:pStyle w:val="Bullet"/>
              <w:numPr>
                <w:ilvl w:val="0"/>
                <w:numId w:val="4"/>
              </w:numPr>
              <w:tabs>
                <w:tab w:val="left" w:pos="360"/>
                <w:tab w:val="left" w:pos="576"/>
              </w:tabs>
              <w:ind w:left="576" w:hanging="216"/>
            </w:pPr>
            <w:r w:rsidRPr="005D4222">
              <w:rPr>
                <w:i/>
                <w:iCs/>
              </w:rPr>
              <w:t xml:space="preserve">Continuous enrollment: </w:t>
            </w:r>
            <w:r w:rsidRPr="005D4222">
              <w:t>365 days prior to the outpatient orthopedic surgery episode date through 15 days after the outpatient orthopedic surgery episode date.</w:t>
            </w:r>
          </w:p>
          <w:p w14:paraId="650EA749" w14:textId="77777777" w:rsidR="004E64E3" w:rsidRPr="005D4222" w:rsidRDefault="004E64E3" w:rsidP="004E64E3">
            <w:pPr>
              <w:pStyle w:val="Bullet"/>
              <w:numPr>
                <w:ilvl w:val="0"/>
                <w:numId w:val="4"/>
              </w:numPr>
              <w:tabs>
                <w:tab w:val="left" w:pos="360"/>
                <w:tab w:val="left" w:pos="576"/>
              </w:tabs>
              <w:ind w:left="576" w:hanging="216"/>
            </w:pPr>
            <w:r w:rsidRPr="005D4222">
              <w:rPr>
                <w:i/>
                <w:iCs/>
              </w:rPr>
              <w:t>Allowable gap:</w:t>
            </w:r>
            <w:r w:rsidRPr="005D4222">
              <w:t xml:space="preserve"> </w:t>
            </w:r>
          </w:p>
          <w:p w14:paraId="7E347AD3" w14:textId="77777777" w:rsidR="004E64E3" w:rsidRPr="005D4222" w:rsidRDefault="004E64E3" w:rsidP="004E64E3">
            <w:pPr>
              <w:pStyle w:val="Dash"/>
              <w:tabs>
                <w:tab w:val="left" w:pos="576"/>
                <w:tab w:val="left" w:pos="792"/>
              </w:tabs>
            </w:pPr>
            <w:r w:rsidRPr="005D4222">
              <w:rPr>
                <w:i/>
                <w:iCs/>
              </w:rPr>
              <w:t xml:space="preserve">365 days prior to the date of the outpatient orthopedic surgery episode: </w:t>
            </w:r>
            <w:r w:rsidRPr="005D4222">
              <w:t xml:space="preserve">No more than one gap in enrollment of ≤45 days. </w:t>
            </w:r>
          </w:p>
          <w:p w14:paraId="3E58F2A7" w14:textId="77777777" w:rsidR="004E64E3" w:rsidRPr="005D4222" w:rsidRDefault="004E64E3" w:rsidP="004E64E3">
            <w:pPr>
              <w:pStyle w:val="Dash"/>
              <w:tabs>
                <w:tab w:val="left" w:pos="576"/>
                <w:tab w:val="left" w:pos="792"/>
              </w:tabs>
            </w:pPr>
            <w:r w:rsidRPr="005D4222">
              <w:rPr>
                <w:i/>
                <w:iCs/>
              </w:rPr>
              <w:t>Earliest date of the outpatient orthopedic surgery episode and 15 days following the last date of the outpatient orthopedic surgery episode:</w:t>
            </w:r>
            <w:r w:rsidRPr="005D4222">
              <w:t xml:space="preserve"> </w:t>
            </w:r>
            <w:r w:rsidRPr="005D4222">
              <w:br/>
              <w:t xml:space="preserve">No gaps. </w:t>
            </w:r>
          </w:p>
          <w:p w14:paraId="7561D033" w14:textId="77777777" w:rsidR="004E64E3" w:rsidRPr="005D4222" w:rsidRDefault="004E64E3" w:rsidP="00A53E8C">
            <w:pPr>
              <w:pStyle w:val="E-Body"/>
            </w:pPr>
            <w:r w:rsidRPr="005D4222">
              <w:rPr>
                <w:rFonts w:cs="Arial"/>
                <w:i/>
              </w:rPr>
              <w:t xml:space="preserve">Ages: </w:t>
            </w:r>
            <w:r w:rsidRPr="005D4222">
              <w:t>65 years of age and older as of the outpatient orthopedic surgery episode.</w:t>
            </w:r>
          </w:p>
          <w:p w14:paraId="447D2512" w14:textId="77777777" w:rsidR="004E64E3" w:rsidRPr="005D4222" w:rsidRDefault="004E64E3" w:rsidP="00A53E8C">
            <w:pPr>
              <w:pStyle w:val="E-Body"/>
              <w:rPr>
                <w:i/>
                <w:iCs/>
              </w:rPr>
            </w:pPr>
            <w:r w:rsidRPr="005D4222">
              <w:rPr>
                <w:i/>
                <w:iCs/>
              </w:rPr>
              <w:t xml:space="preserve">Gender/Sex criteria: </w:t>
            </w:r>
          </w:p>
          <w:p w14:paraId="1003F6CA" w14:textId="77777777" w:rsidR="004E64E3" w:rsidRPr="005D4222" w:rsidRDefault="004E64E3" w:rsidP="004E64E3">
            <w:pPr>
              <w:pStyle w:val="Bullet"/>
              <w:numPr>
                <w:ilvl w:val="0"/>
                <w:numId w:val="4"/>
              </w:numPr>
              <w:tabs>
                <w:tab w:val="left" w:pos="360"/>
                <w:tab w:val="left" w:pos="576"/>
              </w:tabs>
              <w:ind w:left="576" w:hanging="216"/>
              <w:rPr>
                <w:iCs/>
              </w:rPr>
            </w:pPr>
            <w:r w:rsidRPr="005D4222">
              <w:rPr>
                <w:iCs/>
              </w:rPr>
              <w:t>Administrative Gender of Female (AdministrativeGender code female).</w:t>
            </w:r>
          </w:p>
          <w:p w14:paraId="031F4F4B" w14:textId="77777777" w:rsidR="004E64E3" w:rsidRPr="005D4222" w:rsidRDefault="004E64E3" w:rsidP="004E64E3">
            <w:pPr>
              <w:pStyle w:val="Bullet"/>
              <w:numPr>
                <w:ilvl w:val="0"/>
                <w:numId w:val="4"/>
              </w:numPr>
              <w:tabs>
                <w:tab w:val="left" w:pos="360"/>
                <w:tab w:val="left" w:pos="576"/>
              </w:tabs>
              <w:spacing w:after="80"/>
              <w:ind w:left="576" w:hanging="216"/>
            </w:pPr>
            <w:r w:rsidRPr="005D4222">
              <w:rPr>
                <w:iCs/>
              </w:rPr>
              <w:t xml:space="preserve">Administrative Gender of </w:t>
            </w:r>
            <w:r w:rsidRPr="005D4222">
              <w:t>Male (AdministrativeGender code male).</w:t>
            </w:r>
          </w:p>
        </w:tc>
      </w:tr>
    </w:tbl>
    <w:p w14:paraId="04EC64A8" w14:textId="77777777" w:rsidR="004E64E3" w:rsidRPr="005D4222" w:rsidRDefault="004E64E3" w:rsidP="004E64E3">
      <w:pPr>
        <w:spacing w:after="160" w:line="259" w:lineRule="auto"/>
      </w:pPr>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4E64E3" w:rsidRPr="005D4222" w14:paraId="46188240" w14:textId="77777777" w:rsidTr="00A53E8C">
        <w:tc>
          <w:tcPr>
            <w:tcW w:w="2157" w:type="dxa"/>
            <w:shd w:val="clear" w:color="auto" w:fill="BFBFBF" w:themeFill="background1" w:themeFillShade="BF"/>
            <w:tcMar>
              <w:top w:w="0" w:type="dxa"/>
              <w:left w:w="86" w:type="dxa"/>
              <w:bottom w:w="43" w:type="dxa"/>
              <w:right w:w="86" w:type="dxa"/>
            </w:tcMar>
          </w:tcPr>
          <w:p w14:paraId="7BDE406B" w14:textId="77777777" w:rsidR="004E64E3" w:rsidRPr="005D4222" w:rsidRDefault="004E64E3" w:rsidP="00A53E8C">
            <w:pPr>
              <w:pStyle w:val="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A99B8FE" w14:textId="77777777" w:rsidR="00D266F9" w:rsidRPr="005D4222" w:rsidRDefault="004E64E3" w:rsidP="00D266F9">
            <w:pPr>
              <w:pStyle w:val="E-Body"/>
              <w:rPr>
                <w:rFonts w:eastAsia="Arial,Arial,Arial,Arial,Arial,A"/>
                <w:b/>
              </w:rPr>
            </w:pPr>
            <w:r w:rsidRPr="005D4222">
              <w:rPr>
                <w:i/>
                <w:iCs/>
              </w:rPr>
              <w:t xml:space="preserve">Exclusion: </w:t>
            </w:r>
            <w:r w:rsidRPr="005D4222" w:rsidDel="002D4AA7">
              <w:rPr>
                <w:rFonts w:eastAsia="Arial,Arial,Arial,Arial,Arial,A"/>
                <w:b/>
              </w:rPr>
              <w:t>Persons</w:t>
            </w:r>
            <w:r w:rsidRPr="005D4222">
              <w:rPr>
                <w:rFonts w:eastAsia="Arial,Arial,Arial,Arial,Arial,A"/>
                <w:b/>
              </w:rPr>
              <w:t xml:space="preserve"> in hospice or using hospice services.</w:t>
            </w:r>
          </w:p>
          <w:p w14:paraId="58C985A2" w14:textId="6F3A4C9B" w:rsidR="004E64E3" w:rsidRPr="005D4222" w:rsidRDefault="004E64E3" w:rsidP="00D266F9">
            <w:pPr>
              <w:pStyle w:val="E-Body"/>
              <w:rPr>
                <w:rFonts w:cs="Arial"/>
                <w:i/>
              </w:rPr>
            </w:pP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4E64E3" w:rsidRPr="005D4222" w14:paraId="230F6815" w14:textId="77777777" w:rsidTr="00A53E8C">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549A865" w14:textId="77777777" w:rsidR="004E64E3" w:rsidRPr="005D4222" w:rsidRDefault="004E64E3" w:rsidP="00A53E8C">
            <w:pPr>
              <w:pStyle w:val="ECDSMarginHead"/>
            </w:pPr>
            <w:r w:rsidRPr="005D4222">
              <w:t>Denominator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5CDE7AE" w14:textId="77777777" w:rsidR="004E64E3" w:rsidRPr="005D4222" w:rsidRDefault="004E64E3" w:rsidP="00A53E8C">
            <w:pPr>
              <w:pStyle w:val="E-Body"/>
              <w:rPr>
                <w:b/>
                <w:bCs w:val="0"/>
              </w:rPr>
            </w:pPr>
            <w:r w:rsidRPr="005D4222">
              <w:rPr>
                <w:b/>
                <w:bCs w:val="0"/>
              </w:rPr>
              <w:t>Outpatient orthopedic surgery episodes.</w:t>
            </w:r>
          </w:p>
          <w:p w14:paraId="273DF8DF" w14:textId="77777777" w:rsidR="004E64E3" w:rsidRPr="005D4222" w:rsidRDefault="004E64E3" w:rsidP="00A53E8C">
            <w:pPr>
              <w:pStyle w:val="ECDSBody"/>
            </w:pPr>
            <w:r w:rsidRPr="005D4222">
              <w:rPr>
                <w:b/>
              </w:rPr>
              <w:t>Step 1.</w:t>
            </w:r>
            <w:r w:rsidRPr="005D4222">
              <w:t xml:space="preserve"> Identify outpatient orthopedic surgery episodes on or </w:t>
            </w:r>
            <w:r w:rsidRPr="005D4222">
              <w:rPr>
                <w:bCs w:val="0"/>
              </w:rPr>
              <w:t>between January 1 and December 16 of the measurement period:</w:t>
            </w:r>
          </w:p>
          <w:p w14:paraId="0F8143C1" w14:textId="77777777" w:rsidR="004E64E3" w:rsidRPr="005D4222" w:rsidRDefault="004E64E3" w:rsidP="005D6173">
            <w:pPr>
              <w:pStyle w:val="Body"/>
              <w:numPr>
                <w:ilvl w:val="0"/>
                <w:numId w:val="127"/>
              </w:numPr>
              <w:spacing w:before="120"/>
              <w:ind w:left="648" w:hanging="288"/>
            </w:pPr>
            <w:r w:rsidRPr="005D4222">
              <w:t>Identify all outpatient orthopedic surgery episodes (</w:t>
            </w:r>
            <w:r w:rsidRPr="005D4222">
              <w:rPr>
                <w:u w:val="single"/>
              </w:rPr>
              <w:t>Orthopedic Surgery Value Set</w:t>
            </w:r>
            <w:r w:rsidRPr="005D4222">
              <w:t xml:space="preserve"> </w:t>
            </w:r>
            <w:r w:rsidRPr="005D4222">
              <w:rPr>
                <w:b/>
                <w:bCs/>
                <w:i/>
                <w:iCs/>
              </w:rPr>
              <w:t>with</w:t>
            </w:r>
            <w:r w:rsidRPr="005D4222">
              <w:t xml:space="preserve"> </w:t>
            </w:r>
            <w:r w:rsidRPr="005D4222">
              <w:rPr>
                <w:u w:val="single"/>
              </w:rPr>
              <w:t>Ambulatory Surgery POS Value Set</w:t>
            </w:r>
            <w:r w:rsidRPr="005D4222">
              <w:t xml:space="preserve">). </w:t>
            </w:r>
          </w:p>
          <w:p w14:paraId="6D10F430" w14:textId="77777777" w:rsidR="004E64E3" w:rsidRPr="005D4222" w:rsidRDefault="004E64E3" w:rsidP="005D6173">
            <w:pPr>
              <w:pStyle w:val="Body"/>
              <w:numPr>
                <w:ilvl w:val="0"/>
                <w:numId w:val="127"/>
              </w:numPr>
              <w:spacing w:before="120"/>
              <w:ind w:left="648" w:hanging="288"/>
            </w:pPr>
            <w:r w:rsidRPr="005D4222">
              <w:t xml:space="preserve">Identify the outpatient orthopedic surgery episode date. </w:t>
            </w:r>
          </w:p>
          <w:p w14:paraId="3E74D4AB" w14:textId="77777777" w:rsidR="004E64E3" w:rsidRPr="005D4222" w:rsidDel="00AA4A01" w:rsidRDefault="004E64E3" w:rsidP="00A53E8C">
            <w:pPr>
              <w:pStyle w:val="ECDSBody"/>
            </w:pPr>
            <w:r w:rsidRPr="005D4222">
              <w:rPr>
                <w:b/>
              </w:rPr>
              <w:t>Step 2.</w:t>
            </w:r>
            <w:r w:rsidRPr="005D4222">
              <w:t xml:space="preserve"> Exclude outpatient orthopedic surgery episodes that occur the day before an inpatient stay (</w:t>
            </w:r>
            <w:r w:rsidRPr="005D4222">
              <w:rPr>
                <w:u w:val="single"/>
              </w:rPr>
              <w:t>Inpatient Stay Value Set</w:t>
            </w:r>
            <w:r w:rsidRPr="005D4222">
              <w:t>) or observation stay (</w:t>
            </w:r>
            <w:r w:rsidRPr="005D4222">
              <w:rPr>
                <w:u w:val="single"/>
              </w:rPr>
              <w:t>Observation Stay Value Set</w:t>
            </w:r>
            <w:r w:rsidRPr="005D4222">
              <w:t>) admission date or at any time during an inpatient or observation stay.</w:t>
            </w:r>
          </w:p>
        </w:tc>
      </w:tr>
      <w:tr w:rsidR="004E64E3" w:rsidRPr="005D4222" w14:paraId="286AD57F"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118BDCE" w14:textId="77777777" w:rsidR="004E64E3" w:rsidRPr="005D4222" w:rsidRDefault="004E64E3" w:rsidP="00A53E8C">
            <w:pPr>
              <w:pStyle w:val="ECDSMarginHead"/>
            </w:pPr>
            <w:r w:rsidRPr="005D4222">
              <w:t>Risk adjustment factors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D3648F3" w14:textId="77777777" w:rsidR="004E64E3" w:rsidRPr="005D4222" w:rsidRDefault="004E64E3" w:rsidP="00A53E8C">
            <w:pPr>
              <w:pStyle w:val="E-Body"/>
              <w:rPr>
                <w:b/>
                <w:bCs w:val="0"/>
                <w:i/>
                <w:iCs/>
              </w:rPr>
            </w:pPr>
            <w:r w:rsidRPr="005D4222">
              <w:rPr>
                <w:b/>
                <w:bCs w:val="0"/>
                <w:i/>
                <w:iCs/>
              </w:rPr>
              <w:t>Risk Adjustment Determination</w:t>
            </w:r>
          </w:p>
          <w:p w14:paraId="36996633" w14:textId="77777777" w:rsidR="004E64E3" w:rsidRPr="005D4222" w:rsidRDefault="004E64E3" w:rsidP="00A53E8C">
            <w:pPr>
              <w:pStyle w:val="ECDSBody"/>
              <w:spacing w:before="0"/>
            </w:pPr>
            <w:r w:rsidRPr="005D4222">
              <w:rPr>
                <w:rFonts w:eastAsia="Arial"/>
                <w:bCs w:val="0"/>
                <w:szCs w:val="21"/>
              </w:rPr>
              <w:t xml:space="preserve">For each outpatient orthopedic surgery episode, identify risk adjustment weights based on procedure subtype, comorbidity, age and gender. </w:t>
            </w:r>
          </w:p>
          <w:p w14:paraId="35F276CA" w14:textId="77777777" w:rsidR="004E64E3" w:rsidRPr="005D4222" w:rsidRDefault="004E64E3" w:rsidP="00A53E8C">
            <w:pPr>
              <w:pStyle w:val="E-Body"/>
            </w:pPr>
            <w:r w:rsidRPr="005D4222">
              <w:rPr>
                <w:b/>
                <w:bCs w:val="0"/>
              </w:rPr>
              <w:t xml:space="preserve">Procedure subtype: </w:t>
            </w:r>
          </w:p>
          <w:p w14:paraId="31C3E911" w14:textId="77777777" w:rsidR="004E64E3" w:rsidRPr="005D4222" w:rsidRDefault="004E64E3" w:rsidP="00A53E8C">
            <w:pPr>
              <w:pStyle w:val="ECDSBody"/>
            </w:pPr>
            <w:r w:rsidRPr="005D4222">
              <w:rPr>
                <w:b/>
              </w:rPr>
              <w:t>Step 1.</w:t>
            </w:r>
            <w:r w:rsidRPr="005D4222">
              <w:t xml:space="preserve"> Identify all CPT codes associated with each outpatient orthopedic surgery episode date. Some episode dates will be associated with more than one CPT code. </w:t>
            </w:r>
          </w:p>
          <w:p w14:paraId="43D1082B" w14:textId="77777777" w:rsidR="004E64E3" w:rsidRPr="005D4222" w:rsidRDefault="004E64E3" w:rsidP="00A53E8C">
            <w:pPr>
              <w:pStyle w:val="ECDSBody"/>
            </w:pPr>
            <w:r w:rsidRPr="005D4222">
              <w:rPr>
                <w:b/>
              </w:rPr>
              <w:t>Step 2.</w:t>
            </w:r>
            <w:r w:rsidRPr="005D4222">
              <w:t xml:space="preserve"> Assign each CPT code to a procedure subtype using Table Proc—Mapping in the Risk Adjustment Shared Tables. Capture all associated CCS categories for each episode. Exclude CPT codes that cannot be assigned to </w:t>
            </w:r>
            <w:r w:rsidRPr="005D4222">
              <w:br/>
              <w:t>a CCS category. If multiple CPT codes map to one CCS category, only count that CCS category once.</w:t>
            </w:r>
          </w:p>
          <w:p w14:paraId="45332F0A" w14:textId="77777777" w:rsidR="004E64E3" w:rsidRPr="005D4222" w:rsidRDefault="004E64E3" w:rsidP="004E64E3">
            <w:pPr>
              <w:pStyle w:val="Bullet"/>
              <w:numPr>
                <w:ilvl w:val="0"/>
                <w:numId w:val="4"/>
              </w:numPr>
              <w:tabs>
                <w:tab w:val="left" w:pos="360"/>
                <w:tab w:val="left" w:pos="576"/>
              </w:tabs>
              <w:ind w:left="576" w:hanging="216"/>
            </w:pPr>
            <w:r w:rsidRPr="005D4222">
              <w:rPr>
                <w:i/>
                <w:iCs/>
              </w:rPr>
              <w:t xml:space="preserve">For example, </w:t>
            </w:r>
            <w:r w:rsidRPr="005D4222">
              <w:t>assume an episode date has CPT 15920, CPT 20150 and CPT 20520 codes.</w:t>
            </w:r>
          </w:p>
          <w:p w14:paraId="57A06F2B" w14:textId="77777777" w:rsidR="004E64E3" w:rsidRPr="005D4222" w:rsidRDefault="004E64E3" w:rsidP="004E64E3">
            <w:pPr>
              <w:pStyle w:val="Dash"/>
              <w:tabs>
                <w:tab w:val="left" w:pos="576"/>
                <w:tab w:val="left" w:pos="792"/>
              </w:tabs>
            </w:pPr>
            <w:r w:rsidRPr="005D4222">
              <w:t>CPT 15920 maps to CCS 142 (Partial excision bone).</w:t>
            </w:r>
          </w:p>
          <w:p w14:paraId="40D5AAF9" w14:textId="77777777" w:rsidR="004E64E3" w:rsidRPr="005D4222" w:rsidRDefault="004E64E3" w:rsidP="004E64E3">
            <w:pPr>
              <w:pStyle w:val="Dash"/>
              <w:tabs>
                <w:tab w:val="left" w:pos="576"/>
                <w:tab w:val="left" w:pos="792"/>
              </w:tabs>
            </w:pPr>
            <w:r w:rsidRPr="005D4222">
              <w:t xml:space="preserve">CPT </w:t>
            </w:r>
            <w:r w:rsidRPr="005D4222">
              <w:rPr>
                <w:rFonts w:cs="Arial"/>
              </w:rPr>
              <w:t>20150</w:t>
            </w:r>
            <w:r w:rsidRPr="005D4222">
              <w:t xml:space="preserve"> maps to CCS 142 (Partial excision bone).</w:t>
            </w:r>
          </w:p>
          <w:p w14:paraId="600CF0F1" w14:textId="77777777" w:rsidR="004E64E3" w:rsidRPr="005D4222" w:rsidRDefault="004E64E3" w:rsidP="004E64E3">
            <w:pPr>
              <w:pStyle w:val="Dash"/>
              <w:tabs>
                <w:tab w:val="left" w:pos="576"/>
                <w:tab w:val="left" w:pos="792"/>
              </w:tabs>
            </w:pPr>
            <w:r w:rsidRPr="005D4222">
              <w:t xml:space="preserve">CPT </w:t>
            </w:r>
            <w:r w:rsidRPr="005D4222">
              <w:rPr>
                <w:rFonts w:cs="Arial"/>
              </w:rPr>
              <w:t>20520</w:t>
            </w:r>
            <w:r w:rsidRPr="005D4222">
              <w:t xml:space="preserve"> maps to CCS 160 (Other therapeutic procedures on muscles and tendons).</w:t>
            </w:r>
          </w:p>
          <w:p w14:paraId="6B842943" w14:textId="77777777" w:rsidR="004E64E3" w:rsidRPr="005D4222" w:rsidRDefault="004E64E3" w:rsidP="002609C2">
            <w:pPr>
              <w:pStyle w:val="E-Body"/>
              <w:spacing w:before="80"/>
              <w:ind w:left="576"/>
            </w:pPr>
            <w:r w:rsidRPr="005D4222">
              <w:t>The final procedure subtypes for this episode date are CCS 142 and CCS 160. Only count CCS 142 once.</w:t>
            </w:r>
          </w:p>
          <w:p w14:paraId="482FD5C4" w14:textId="77777777" w:rsidR="004E64E3" w:rsidRPr="005D4222" w:rsidRDefault="004E64E3" w:rsidP="00A53E8C">
            <w:pPr>
              <w:pStyle w:val="E-Body"/>
            </w:pPr>
            <w:r w:rsidRPr="005D4222">
              <w:rPr>
                <w:b/>
                <w:bCs w:val="0"/>
              </w:rPr>
              <w:t xml:space="preserve">Comorbidities: </w:t>
            </w:r>
          </w:p>
          <w:p w14:paraId="6E28A5BA" w14:textId="77777777" w:rsidR="004E64E3" w:rsidRPr="005D4222" w:rsidRDefault="004E64E3" w:rsidP="00A53E8C">
            <w:pPr>
              <w:pStyle w:val="ECDSBody"/>
              <w:rPr>
                <w:b/>
              </w:rPr>
            </w:pPr>
            <w:r w:rsidRPr="005D4222">
              <w:rPr>
                <w:b/>
              </w:rPr>
              <w:t>Step 1.</w:t>
            </w:r>
            <w:r w:rsidRPr="005D4222">
              <w:t xml:space="preserve"> Identify all diagnoses for encounters during the 365 days prior to and on the date of the outpatient orthopedic surgery episode date.</w:t>
            </w:r>
            <w:r w:rsidRPr="005D4222">
              <w:rPr>
                <w:i/>
                <w:iCs/>
              </w:rPr>
              <w:t xml:space="preserve"> </w:t>
            </w:r>
            <w:r w:rsidRPr="005D4222">
              <w:t>Include the following when identifying encounters:</w:t>
            </w:r>
          </w:p>
        </w:tc>
      </w:tr>
    </w:tbl>
    <w:p w14:paraId="258D259B" w14:textId="77777777" w:rsidR="004E64E3" w:rsidRPr="005D4222" w:rsidRDefault="004E64E3" w:rsidP="004E64E3">
      <w:pPr>
        <w:spacing w:after="160" w:line="259" w:lineRule="auto"/>
      </w:pPr>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4E64E3" w:rsidRPr="005D4222" w14:paraId="0443941D"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2E87530" w14:textId="77777777" w:rsidR="004E64E3" w:rsidRPr="005D4222" w:rsidRDefault="004E64E3"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AE49007" w14:textId="77777777" w:rsidR="004E64E3" w:rsidRPr="005D4222" w:rsidRDefault="004E64E3" w:rsidP="004E64E3">
            <w:pPr>
              <w:pStyle w:val="Bullet"/>
              <w:numPr>
                <w:ilvl w:val="0"/>
                <w:numId w:val="4"/>
              </w:numPr>
              <w:tabs>
                <w:tab w:val="left" w:pos="360"/>
                <w:tab w:val="left" w:pos="576"/>
              </w:tabs>
              <w:spacing w:after="80"/>
              <w:ind w:left="576" w:hanging="216"/>
            </w:pPr>
            <w:r w:rsidRPr="005D4222">
              <w:t>Outpatient visits, ED visits, telephone visits, nonacute inpatient encounters and acute inpatient encounters (</w:t>
            </w:r>
            <w:r w:rsidRPr="005D4222">
              <w:rPr>
                <w:u w:val="single"/>
              </w:rPr>
              <w:t>Outpatient, ED, Telephone, Acute Inpatient and Nonacute Inpatient Value Set</w:t>
            </w:r>
            <w:r w:rsidRPr="005D4222">
              <w:t>) with a date of service 365 days prior to and on the date of the outpatient orthopedic surgery episode date.</w:t>
            </w:r>
          </w:p>
          <w:p w14:paraId="4D760AFF" w14:textId="77777777" w:rsidR="004E64E3" w:rsidRPr="005D4222" w:rsidRDefault="004E64E3" w:rsidP="004E64E3">
            <w:pPr>
              <w:pStyle w:val="Bullet"/>
              <w:numPr>
                <w:ilvl w:val="0"/>
                <w:numId w:val="4"/>
              </w:numPr>
              <w:tabs>
                <w:tab w:val="left" w:pos="360"/>
                <w:tab w:val="left" w:pos="576"/>
              </w:tabs>
              <w:ind w:left="576" w:hanging="216"/>
              <w:rPr>
                <w:rFonts w:cs="Arial"/>
              </w:rPr>
            </w:pPr>
            <w:r w:rsidRPr="005D4222">
              <w:t>Acute and nonacute inpatient discharges (</w:t>
            </w:r>
            <w:r w:rsidRPr="005D4222">
              <w:rPr>
                <w:u w:val="single"/>
              </w:rPr>
              <w:t>Inpatient Stay Value Set</w:t>
            </w:r>
            <w:r w:rsidRPr="005D4222">
              <w:t xml:space="preserve">) with a discharge date 365 days prior to and on the date of the outpatient orthopedic surgery episode date. </w:t>
            </w:r>
          </w:p>
          <w:p w14:paraId="4490CA27" w14:textId="77777777" w:rsidR="004E64E3" w:rsidRPr="005D4222" w:rsidRDefault="004E64E3" w:rsidP="004E64E3">
            <w:pPr>
              <w:pStyle w:val="Bullet"/>
              <w:numPr>
                <w:ilvl w:val="0"/>
                <w:numId w:val="4"/>
              </w:numPr>
              <w:tabs>
                <w:tab w:val="left" w:pos="360"/>
                <w:tab w:val="left" w:pos="576"/>
              </w:tabs>
              <w:ind w:left="576" w:hanging="216"/>
            </w:pPr>
            <w:r w:rsidRPr="005D4222">
              <w:t>Outpatient orthopedic surgery episodes (</w:t>
            </w:r>
            <w:r w:rsidRPr="005D4222">
              <w:rPr>
                <w:u w:val="single"/>
              </w:rPr>
              <w:t>Orthopedic Surgery Value Set</w:t>
            </w:r>
            <w:r w:rsidRPr="005D4222">
              <w:t xml:space="preserve"> </w:t>
            </w:r>
            <w:r w:rsidRPr="005D4222">
              <w:rPr>
                <w:b/>
                <w:bCs/>
                <w:i/>
                <w:iCs/>
              </w:rPr>
              <w:t>with</w:t>
            </w:r>
            <w:r w:rsidRPr="005D4222">
              <w:t xml:space="preserve"> </w:t>
            </w:r>
            <w:r w:rsidRPr="005D4222">
              <w:rPr>
                <w:u w:val="single"/>
              </w:rPr>
              <w:t>Ambulatory Surgery POS Value Set</w:t>
            </w:r>
            <w:r w:rsidRPr="005D4222">
              <w:t xml:space="preserve">). </w:t>
            </w:r>
          </w:p>
          <w:p w14:paraId="01A81B21" w14:textId="77777777" w:rsidR="004E64E3" w:rsidRPr="005D4222" w:rsidRDefault="004E64E3" w:rsidP="00A53E8C">
            <w:pPr>
              <w:pStyle w:val="ECDSBody"/>
            </w:pPr>
            <w:r w:rsidRPr="005D4222">
              <w:rPr>
                <w:b/>
              </w:rPr>
              <w:t xml:space="preserve">Step 2. </w:t>
            </w:r>
            <w:r w:rsidRPr="005D4222">
              <w:t>Assign each diagnosis to one or more comorbid Clinical Condition (CC) category using Table CC—Mapping in the Risk Adjustment Shared Tables. If the code appears more than once in Table CC—Mapping, it is assigned to multiple CCs.</w:t>
            </w:r>
          </w:p>
          <w:p w14:paraId="2925761D" w14:textId="77777777" w:rsidR="004E64E3" w:rsidRPr="005D4222" w:rsidRDefault="004E64E3" w:rsidP="00A53E8C">
            <w:pPr>
              <w:pStyle w:val="E-Body"/>
            </w:pPr>
            <w:r w:rsidRPr="005D4222">
              <w:t xml:space="preserve">Exclude all diagnoses that cannot be assigned to a comorbid CC category. For denominator units with no qualifying diagnoses from face-to-face encounters, skip to </w:t>
            </w:r>
            <w:r w:rsidRPr="005D4222">
              <w:rPr>
                <w:i/>
                <w:iCs/>
              </w:rPr>
              <w:t>Risk Adjustment Calculation</w:t>
            </w:r>
            <w:r w:rsidRPr="005D4222">
              <w:t>.</w:t>
            </w:r>
          </w:p>
          <w:p w14:paraId="1D310810" w14:textId="77777777" w:rsidR="004E64E3" w:rsidRPr="005D4222" w:rsidRDefault="004E64E3" w:rsidP="00A53E8C">
            <w:pPr>
              <w:pStyle w:val="E-Body"/>
            </w:pPr>
            <w:r w:rsidRPr="005D4222">
              <w:t>All digits must match exactly when mapping diagnosis codes to the comorbid CCs.</w:t>
            </w:r>
          </w:p>
          <w:p w14:paraId="7D0EFE66" w14:textId="77777777" w:rsidR="004E64E3" w:rsidRPr="005D4222" w:rsidRDefault="004E64E3" w:rsidP="00A53E8C">
            <w:pPr>
              <w:pStyle w:val="ECDSBody"/>
            </w:pPr>
            <w:r w:rsidRPr="005D4222">
              <w:rPr>
                <w:b/>
              </w:rPr>
              <w:t xml:space="preserve">Step 3. </w:t>
            </w:r>
            <w:r w:rsidRPr="005D4222">
              <w:t>Determine HCCs for each comorbid CC identified. Refer to Table HCC—Rank.</w:t>
            </w:r>
          </w:p>
          <w:p w14:paraId="43429A89" w14:textId="77777777" w:rsidR="004E64E3" w:rsidRPr="005D4222" w:rsidRDefault="004E64E3" w:rsidP="00A53E8C">
            <w:pPr>
              <w:pStyle w:val="E-Body"/>
            </w:pPr>
            <w:r w:rsidRPr="005D4222">
              <w:t>For each denominator unit’s comorbid CC list, match the comorbid CC code to the comorbid CC code in the table, and assign:</w:t>
            </w:r>
          </w:p>
          <w:p w14:paraId="6D2F4538" w14:textId="77777777" w:rsidR="004E64E3" w:rsidRPr="005D4222" w:rsidRDefault="004E64E3" w:rsidP="004E64E3">
            <w:pPr>
              <w:pStyle w:val="Bullet"/>
              <w:numPr>
                <w:ilvl w:val="0"/>
                <w:numId w:val="4"/>
              </w:numPr>
              <w:tabs>
                <w:tab w:val="left" w:pos="360"/>
                <w:tab w:val="left" w:pos="576"/>
              </w:tabs>
              <w:ind w:left="576" w:hanging="216"/>
            </w:pPr>
            <w:r w:rsidRPr="005D4222">
              <w:t>The ranking group.</w:t>
            </w:r>
          </w:p>
          <w:p w14:paraId="497F722D" w14:textId="77777777" w:rsidR="004E64E3" w:rsidRPr="005D4222" w:rsidRDefault="004E64E3" w:rsidP="004E64E3">
            <w:pPr>
              <w:pStyle w:val="Bullet"/>
              <w:numPr>
                <w:ilvl w:val="0"/>
                <w:numId w:val="4"/>
              </w:numPr>
              <w:tabs>
                <w:tab w:val="left" w:pos="360"/>
                <w:tab w:val="left" w:pos="576"/>
              </w:tabs>
              <w:ind w:left="576" w:hanging="216"/>
            </w:pPr>
            <w:r w:rsidRPr="005D4222">
              <w:t>The rank.</w:t>
            </w:r>
          </w:p>
          <w:p w14:paraId="394BF380" w14:textId="77777777" w:rsidR="004E64E3" w:rsidRPr="005D4222" w:rsidRDefault="004E64E3" w:rsidP="004E64E3">
            <w:pPr>
              <w:pStyle w:val="Bullet"/>
              <w:numPr>
                <w:ilvl w:val="0"/>
                <w:numId w:val="4"/>
              </w:numPr>
              <w:tabs>
                <w:tab w:val="left" w:pos="360"/>
                <w:tab w:val="left" w:pos="576"/>
              </w:tabs>
              <w:ind w:left="576" w:hanging="216"/>
            </w:pPr>
            <w:r w:rsidRPr="005D4222">
              <w:t>The HCC.</w:t>
            </w:r>
          </w:p>
          <w:p w14:paraId="31C95675" w14:textId="77777777" w:rsidR="004E64E3" w:rsidRPr="005D4222" w:rsidRDefault="004E64E3" w:rsidP="00A53E8C">
            <w:pPr>
              <w:pStyle w:val="E-Body"/>
            </w:pPr>
            <w:r w:rsidRPr="005D4222">
              <w:t>For comorbid CCs that do not match to Table HCC—Rank, use the comorbid CC as the HCC and assign a rank of 1. One comorbid CC can map to multiple HCCs; each HCC can have one or more comorbid CCs.</w:t>
            </w:r>
          </w:p>
          <w:p w14:paraId="1406A1FF" w14:textId="77777777" w:rsidR="004E64E3" w:rsidRPr="005D4222" w:rsidRDefault="004E64E3" w:rsidP="00A53E8C">
            <w:pPr>
              <w:pStyle w:val="ECDSBody"/>
            </w:pPr>
            <w:r w:rsidRPr="005D4222">
              <w:rPr>
                <w:b/>
              </w:rPr>
              <w:t>Step 4.</w:t>
            </w:r>
            <w:r w:rsidRPr="005D4222">
              <w:t xml:space="preserve"> </w:t>
            </w:r>
            <w:r w:rsidRPr="005D4222">
              <w:rPr>
                <w:bCs w:val="0"/>
              </w:rPr>
              <w:t xml:space="preserve">Assess each ranking group separately and select only the highest ranked HCC in each ranking group using the “Rank” column (1 is the highest rank possible). </w:t>
            </w:r>
          </w:p>
          <w:p w14:paraId="5D815ECB" w14:textId="77777777" w:rsidR="004E64E3" w:rsidRPr="005D4222" w:rsidRDefault="004E64E3" w:rsidP="00A53E8C">
            <w:pPr>
              <w:pStyle w:val="E-Body"/>
              <w:rPr>
                <w:b/>
              </w:rPr>
            </w:pPr>
            <w:r w:rsidRPr="005D4222">
              <w:rPr>
                <w:bCs w:val="0"/>
              </w:rPr>
              <w:t>Drop all other HCCs in each ranking group, and de-duplicate the HCC list if necessary.</w:t>
            </w:r>
          </w:p>
          <w:p w14:paraId="471E8390" w14:textId="77777777" w:rsidR="004E64E3" w:rsidRPr="005D4222" w:rsidRDefault="004E64E3" w:rsidP="004E64E3">
            <w:pPr>
              <w:pStyle w:val="Bullet"/>
              <w:numPr>
                <w:ilvl w:val="0"/>
                <w:numId w:val="4"/>
              </w:numPr>
              <w:tabs>
                <w:tab w:val="left" w:pos="360"/>
                <w:tab w:val="left" w:pos="576"/>
              </w:tabs>
              <w:ind w:left="576" w:hanging="216"/>
            </w:pPr>
            <w:r w:rsidRPr="005D4222">
              <w:rPr>
                <w:bCs/>
                <w:i/>
                <w:iCs/>
              </w:rPr>
              <w:t>For e</w:t>
            </w:r>
            <w:r w:rsidRPr="005D4222">
              <w:rPr>
                <w:i/>
                <w:iCs/>
              </w:rPr>
              <w:t xml:space="preserve">xample, </w:t>
            </w:r>
            <w:r w:rsidRPr="005D4222">
              <w:t xml:space="preserve">assume a denominator unit with the following comorbid CCs: CC-85, CC-17 and CC-19 (assume no other CCs). </w:t>
            </w:r>
          </w:p>
          <w:p w14:paraId="78AA01C7" w14:textId="77777777" w:rsidR="004E64E3" w:rsidRPr="005D4222" w:rsidRDefault="004E64E3" w:rsidP="004E64E3">
            <w:pPr>
              <w:pStyle w:val="Dash"/>
              <w:tabs>
                <w:tab w:val="left" w:pos="576"/>
                <w:tab w:val="left" w:pos="792"/>
              </w:tabs>
            </w:pPr>
            <w:r w:rsidRPr="005D4222">
              <w:t>CC-85 does not have a map to the ranking table and becomes HCC-85.</w:t>
            </w:r>
          </w:p>
          <w:p w14:paraId="2D1320A9" w14:textId="77777777" w:rsidR="004E64E3" w:rsidRPr="005D4222" w:rsidRDefault="004E64E3" w:rsidP="004E64E3">
            <w:pPr>
              <w:pStyle w:val="Dash"/>
              <w:tabs>
                <w:tab w:val="left" w:pos="576"/>
                <w:tab w:val="left" w:pos="792"/>
              </w:tabs>
            </w:pPr>
            <w:r w:rsidRPr="005D4222">
              <w:t xml:space="preserve">HCC-17 and HCC-19 are part of Diabetes Ranking Group 1. Because CC-17 is ranked higher than CC-19 in Ranking Group Diabetes 1, the comorbidity is assigned as HCC-17 for Ranking Group 1. </w:t>
            </w:r>
          </w:p>
          <w:p w14:paraId="51D8C67D" w14:textId="77777777" w:rsidR="004E64E3" w:rsidRPr="005D4222" w:rsidRDefault="004E64E3" w:rsidP="00A53E8C">
            <w:pPr>
              <w:pStyle w:val="E-Body"/>
              <w:spacing w:before="80"/>
              <w:ind w:left="576"/>
              <w:rPr>
                <w:b/>
                <w:bCs w:val="0"/>
                <w:i/>
                <w:iCs/>
              </w:rPr>
            </w:pPr>
            <w:r w:rsidRPr="005D4222">
              <w:t xml:space="preserve">The final comorbidities for this denominator unit are HCC-17 and </w:t>
            </w:r>
            <w:r w:rsidRPr="005D4222">
              <w:br/>
              <w:t>HCC-85.</w:t>
            </w:r>
          </w:p>
        </w:tc>
      </w:tr>
      <w:tr w:rsidR="004E64E3" w:rsidRPr="005D4222" w14:paraId="061A0219"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F95C2D3" w14:textId="77777777" w:rsidR="004E64E3" w:rsidRPr="005D4222" w:rsidRDefault="004E64E3" w:rsidP="00A53E8C">
            <w:pPr>
              <w:pStyle w:val="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F5FEB86" w14:textId="77777777" w:rsidR="004E64E3" w:rsidRPr="005D4222" w:rsidRDefault="004E64E3" w:rsidP="00A53E8C">
            <w:pPr>
              <w:pStyle w:val="Heading3"/>
              <w:spacing w:before="120"/>
            </w:pPr>
            <w:r w:rsidRPr="005D4222">
              <w:t>Table HCC—Rank</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6"/>
              <w:gridCol w:w="884"/>
              <w:gridCol w:w="3206"/>
              <w:gridCol w:w="990"/>
              <w:gridCol w:w="989"/>
            </w:tblGrid>
            <w:tr w:rsidR="004E64E3" w:rsidRPr="005D4222" w14:paraId="5E2A07ED" w14:textId="77777777" w:rsidTr="00A53E8C">
              <w:trPr>
                <w:trHeight w:val="339"/>
              </w:trPr>
              <w:tc>
                <w:tcPr>
                  <w:tcW w:w="1306" w:type="dxa"/>
                  <w:tcBorders>
                    <w:right w:val="single" w:sz="6" w:space="0" w:color="FFFFFF" w:themeColor="background1"/>
                  </w:tcBorders>
                  <w:shd w:val="clear" w:color="auto" w:fill="000000" w:themeFill="text1"/>
                  <w:vAlign w:val="bottom"/>
                  <w:hideMark/>
                </w:tcPr>
                <w:p w14:paraId="3DDB4979" w14:textId="77777777" w:rsidR="004E64E3" w:rsidRPr="005D4222" w:rsidRDefault="004E64E3" w:rsidP="00A53E8C">
                  <w:pPr>
                    <w:pStyle w:val="TableHead"/>
                    <w:rPr>
                      <w:color w:val="auto"/>
                    </w:rPr>
                  </w:pPr>
                  <w:r w:rsidRPr="005D4222">
                    <w:rPr>
                      <w:color w:val="auto"/>
                    </w:rPr>
                    <w:t>Ranking Group</w:t>
                  </w:r>
                </w:p>
              </w:tc>
              <w:tc>
                <w:tcPr>
                  <w:tcW w:w="884" w:type="dxa"/>
                  <w:tcBorders>
                    <w:left w:val="single" w:sz="6" w:space="0" w:color="FFFFFF" w:themeColor="background1"/>
                    <w:right w:val="single" w:sz="6" w:space="0" w:color="FFFFFF" w:themeColor="background1"/>
                  </w:tcBorders>
                  <w:shd w:val="clear" w:color="auto" w:fill="000000" w:themeFill="text1"/>
                  <w:vAlign w:val="bottom"/>
                  <w:hideMark/>
                </w:tcPr>
                <w:p w14:paraId="209E7FF9" w14:textId="77777777" w:rsidR="004E64E3" w:rsidRPr="005D4222" w:rsidRDefault="004E64E3" w:rsidP="00A53E8C">
                  <w:pPr>
                    <w:pStyle w:val="TableHead"/>
                    <w:rPr>
                      <w:color w:val="auto"/>
                    </w:rPr>
                  </w:pPr>
                  <w:r w:rsidRPr="005D4222">
                    <w:rPr>
                      <w:color w:val="auto"/>
                    </w:rPr>
                    <w:t>CC</w:t>
                  </w:r>
                </w:p>
              </w:tc>
              <w:tc>
                <w:tcPr>
                  <w:tcW w:w="3206" w:type="dxa"/>
                  <w:tcBorders>
                    <w:left w:val="single" w:sz="6" w:space="0" w:color="FFFFFF" w:themeColor="background1"/>
                    <w:right w:val="single" w:sz="6" w:space="0" w:color="FFFFFF" w:themeColor="background1"/>
                  </w:tcBorders>
                  <w:shd w:val="clear" w:color="auto" w:fill="000000" w:themeFill="text1"/>
                  <w:vAlign w:val="bottom"/>
                  <w:hideMark/>
                </w:tcPr>
                <w:p w14:paraId="7BA04533" w14:textId="77777777" w:rsidR="004E64E3" w:rsidRPr="005D4222" w:rsidRDefault="004E64E3" w:rsidP="00A53E8C">
                  <w:pPr>
                    <w:pStyle w:val="TableHead"/>
                    <w:rPr>
                      <w:color w:val="auto"/>
                    </w:rPr>
                  </w:pPr>
                  <w:r w:rsidRPr="005D4222">
                    <w:rPr>
                      <w:color w:val="auto"/>
                    </w:rPr>
                    <w:t>Description</w:t>
                  </w:r>
                </w:p>
              </w:tc>
              <w:tc>
                <w:tcPr>
                  <w:tcW w:w="990" w:type="dxa"/>
                  <w:tcBorders>
                    <w:left w:val="single" w:sz="6" w:space="0" w:color="FFFFFF" w:themeColor="background1"/>
                    <w:right w:val="single" w:sz="6" w:space="0" w:color="FFFFFF" w:themeColor="background1"/>
                  </w:tcBorders>
                  <w:shd w:val="clear" w:color="auto" w:fill="000000" w:themeFill="text1"/>
                  <w:vAlign w:val="bottom"/>
                  <w:hideMark/>
                </w:tcPr>
                <w:p w14:paraId="4E8BBC3F" w14:textId="77777777" w:rsidR="004E64E3" w:rsidRPr="005D4222" w:rsidRDefault="004E64E3" w:rsidP="00A53E8C">
                  <w:pPr>
                    <w:pStyle w:val="TableHead"/>
                    <w:rPr>
                      <w:color w:val="auto"/>
                    </w:rPr>
                  </w:pPr>
                  <w:r w:rsidRPr="005D4222">
                    <w:rPr>
                      <w:color w:val="auto"/>
                    </w:rPr>
                    <w:t>Rank</w:t>
                  </w:r>
                </w:p>
              </w:tc>
              <w:tc>
                <w:tcPr>
                  <w:tcW w:w="989" w:type="dxa"/>
                  <w:tcBorders>
                    <w:left w:val="single" w:sz="6" w:space="0" w:color="FFFFFF" w:themeColor="background1"/>
                  </w:tcBorders>
                  <w:shd w:val="clear" w:color="auto" w:fill="000000" w:themeFill="text1"/>
                  <w:vAlign w:val="bottom"/>
                  <w:hideMark/>
                </w:tcPr>
                <w:p w14:paraId="61C1AD81" w14:textId="77777777" w:rsidR="004E64E3" w:rsidRPr="005D4222" w:rsidRDefault="004E64E3" w:rsidP="00A53E8C">
                  <w:pPr>
                    <w:pStyle w:val="TableHead"/>
                    <w:rPr>
                      <w:color w:val="auto"/>
                    </w:rPr>
                  </w:pPr>
                  <w:r w:rsidRPr="005D4222">
                    <w:rPr>
                      <w:color w:val="auto"/>
                    </w:rPr>
                    <w:t>HCC</w:t>
                  </w:r>
                </w:p>
              </w:tc>
            </w:tr>
            <w:tr w:rsidR="004E64E3" w:rsidRPr="005D4222" w14:paraId="65F24949" w14:textId="77777777" w:rsidTr="00A53E8C">
              <w:trPr>
                <w:trHeight w:val="351"/>
              </w:trPr>
              <w:tc>
                <w:tcPr>
                  <w:tcW w:w="1306" w:type="dxa"/>
                  <w:tcBorders>
                    <w:bottom w:val="single" w:sz="4" w:space="0" w:color="000000" w:themeColor="text1"/>
                  </w:tcBorders>
                  <w:hideMark/>
                </w:tcPr>
                <w:p w14:paraId="0D7EF5AE" w14:textId="77777777" w:rsidR="004E64E3" w:rsidRPr="005D4222" w:rsidRDefault="004E64E3" w:rsidP="00A53E8C">
                  <w:pPr>
                    <w:pStyle w:val="TableText"/>
                  </w:pPr>
                  <w:r w:rsidRPr="005D4222">
                    <w:t>NA</w:t>
                  </w:r>
                </w:p>
              </w:tc>
              <w:tc>
                <w:tcPr>
                  <w:tcW w:w="884" w:type="dxa"/>
                  <w:tcBorders>
                    <w:bottom w:val="single" w:sz="4" w:space="0" w:color="000000" w:themeColor="text1"/>
                  </w:tcBorders>
                  <w:hideMark/>
                </w:tcPr>
                <w:p w14:paraId="5AA3BADF" w14:textId="77777777" w:rsidR="004E64E3" w:rsidRPr="005D4222" w:rsidRDefault="004E64E3" w:rsidP="00A53E8C">
                  <w:pPr>
                    <w:pStyle w:val="TableText"/>
                    <w:jc w:val="center"/>
                  </w:pPr>
                  <w:r w:rsidRPr="005D4222">
                    <w:t>CC-85</w:t>
                  </w:r>
                </w:p>
              </w:tc>
              <w:tc>
                <w:tcPr>
                  <w:tcW w:w="3206" w:type="dxa"/>
                  <w:tcBorders>
                    <w:bottom w:val="single" w:sz="4" w:space="0" w:color="000000" w:themeColor="text1"/>
                  </w:tcBorders>
                  <w:hideMark/>
                </w:tcPr>
                <w:p w14:paraId="5644F2B9" w14:textId="77777777" w:rsidR="004E64E3" w:rsidRPr="005D4222" w:rsidRDefault="004E64E3" w:rsidP="00A53E8C">
                  <w:pPr>
                    <w:pStyle w:val="TableText"/>
                  </w:pPr>
                  <w:r w:rsidRPr="005D4222">
                    <w:t>Congestive Heart Failure</w:t>
                  </w:r>
                </w:p>
              </w:tc>
              <w:tc>
                <w:tcPr>
                  <w:tcW w:w="990" w:type="dxa"/>
                  <w:tcBorders>
                    <w:bottom w:val="single" w:sz="4" w:space="0" w:color="000000" w:themeColor="text1"/>
                  </w:tcBorders>
                  <w:hideMark/>
                </w:tcPr>
                <w:p w14:paraId="2E208AC2" w14:textId="77777777" w:rsidR="004E64E3" w:rsidRPr="005D4222" w:rsidRDefault="004E64E3" w:rsidP="00A53E8C">
                  <w:pPr>
                    <w:pStyle w:val="TableText"/>
                    <w:jc w:val="center"/>
                  </w:pPr>
                  <w:r w:rsidRPr="005D4222">
                    <w:t>NA</w:t>
                  </w:r>
                </w:p>
              </w:tc>
              <w:tc>
                <w:tcPr>
                  <w:tcW w:w="989" w:type="dxa"/>
                  <w:tcBorders>
                    <w:bottom w:val="single" w:sz="4" w:space="0" w:color="000000" w:themeColor="text1"/>
                  </w:tcBorders>
                  <w:hideMark/>
                </w:tcPr>
                <w:p w14:paraId="31780F5E" w14:textId="77777777" w:rsidR="004E64E3" w:rsidRPr="005D4222" w:rsidRDefault="004E64E3" w:rsidP="00A53E8C">
                  <w:pPr>
                    <w:pStyle w:val="TableText"/>
                    <w:jc w:val="center"/>
                  </w:pPr>
                  <w:r w:rsidRPr="005D4222">
                    <w:t>HCC-85</w:t>
                  </w:r>
                </w:p>
              </w:tc>
            </w:tr>
            <w:tr w:rsidR="004E64E3" w:rsidRPr="005D4222" w14:paraId="318FCDFA" w14:textId="77777777" w:rsidTr="00A53E8C">
              <w:trPr>
                <w:trHeight w:val="339"/>
              </w:trPr>
              <w:tc>
                <w:tcPr>
                  <w:tcW w:w="1306" w:type="dxa"/>
                  <w:vMerge w:val="restart"/>
                  <w:shd w:val="clear" w:color="auto" w:fill="FFFFFF" w:themeFill="background1"/>
                  <w:vAlign w:val="center"/>
                  <w:hideMark/>
                </w:tcPr>
                <w:p w14:paraId="1AF261F1" w14:textId="77777777" w:rsidR="004E64E3" w:rsidRPr="005D4222" w:rsidRDefault="004E64E3" w:rsidP="00A53E8C">
                  <w:pPr>
                    <w:pStyle w:val="TableText"/>
                    <w:rPr>
                      <w:rFonts w:cs="Arial"/>
                    </w:rPr>
                  </w:pPr>
                  <w:r w:rsidRPr="005D4222">
                    <w:rPr>
                      <w:rFonts w:cs="Arial"/>
                    </w:rPr>
                    <w:t xml:space="preserve">Diabetes 1 </w:t>
                  </w:r>
                </w:p>
              </w:tc>
              <w:tc>
                <w:tcPr>
                  <w:tcW w:w="884" w:type="dxa"/>
                  <w:tcBorders>
                    <w:bottom w:val="dotted" w:sz="6" w:space="0" w:color="auto"/>
                  </w:tcBorders>
                  <w:shd w:val="clear" w:color="auto" w:fill="FFFFFF" w:themeFill="background1"/>
                  <w:hideMark/>
                </w:tcPr>
                <w:p w14:paraId="5FA42E05" w14:textId="77777777" w:rsidR="004E64E3" w:rsidRPr="005D4222" w:rsidRDefault="004E64E3" w:rsidP="00A53E8C">
                  <w:pPr>
                    <w:pStyle w:val="TableText"/>
                    <w:jc w:val="center"/>
                    <w:rPr>
                      <w:rFonts w:cs="Arial"/>
                    </w:rPr>
                  </w:pPr>
                  <w:r w:rsidRPr="005D4222">
                    <w:rPr>
                      <w:rFonts w:cs="Arial"/>
                    </w:rPr>
                    <w:t>CC-17</w:t>
                  </w:r>
                </w:p>
              </w:tc>
              <w:tc>
                <w:tcPr>
                  <w:tcW w:w="3206" w:type="dxa"/>
                  <w:tcBorders>
                    <w:bottom w:val="dotted" w:sz="6" w:space="0" w:color="auto"/>
                  </w:tcBorders>
                  <w:shd w:val="clear" w:color="auto" w:fill="FFFFFF" w:themeFill="background1"/>
                  <w:hideMark/>
                </w:tcPr>
                <w:p w14:paraId="38865CFE" w14:textId="77777777" w:rsidR="004E64E3" w:rsidRPr="005D4222" w:rsidRDefault="004E64E3" w:rsidP="00A53E8C">
                  <w:pPr>
                    <w:pStyle w:val="TableText"/>
                    <w:rPr>
                      <w:rFonts w:cs="Arial"/>
                    </w:rPr>
                  </w:pPr>
                  <w:r w:rsidRPr="005D4222">
                    <w:rPr>
                      <w:rFonts w:cs="Arial"/>
                    </w:rPr>
                    <w:t xml:space="preserve">Diabetes With Acute Complications </w:t>
                  </w:r>
                </w:p>
              </w:tc>
              <w:tc>
                <w:tcPr>
                  <w:tcW w:w="990" w:type="dxa"/>
                  <w:tcBorders>
                    <w:bottom w:val="dotted" w:sz="6" w:space="0" w:color="auto"/>
                  </w:tcBorders>
                  <w:shd w:val="clear" w:color="auto" w:fill="FFFFFF" w:themeFill="background1"/>
                  <w:hideMark/>
                </w:tcPr>
                <w:p w14:paraId="15AA5AB0" w14:textId="77777777" w:rsidR="004E64E3" w:rsidRPr="005D4222" w:rsidRDefault="004E64E3" w:rsidP="00A53E8C">
                  <w:pPr>
                    <w:pStyle w:val="TableText"/>
                    <w:jc w:val="center"/>
                    <w:rPr>
                      <w:rFonts w:cs="Arial"/>
                    </w:rPr>
                  </w:pPr>
                  <w:r w:rsidRPr="005D4222">
                    <w:rPr>
                      <w:rFonts w:cs="Arial"/>
                    </w:rPr>
                    <w:t>1</w:t>
                  </w:r>
                </w:p>
              </w:tc>
              <w:tc>
                <w:tcPr>
                  <w:tcW w:w="989" w:type="dxa"/>
                  <w:tcBorders>
                    <w:bottom w:val="dotted" w:sz="6" w:space="0" w:color="auto"/>
                  </w:tcBorders>
                  <w:shd w:val="clear" w:color="auto" w:fill="FFFFFF" w:themeFill="background1"/>
                  <w:hideMark/>
                </w:tcPr>
                <w:p w14:paraId="4365C051" w14:textId="77777777" w:rsidR="004E64E3" w:rsidRPr="005D4222" w:rsidRDefault="004E64E3" w:rsidP="00A53E8C">
                  <w:pPr>
                    <w:pStyle w:val="TableText"/>
                    <w:jc w:val="center"/>
                    <w:rPr>
                      <w:rFonts w:cs="Arial"/>
                    </w:rPr>
                  </w:pPr>
                  <w:r w:rsidRPr="005D4222">
                    <w:rPr>
                      <w:rFonts w:cs="Arial"/>
                    </w:rPr>
                    <w:t>HCC-17</w:t>
                  </w:r>
                </w:p>
              </w:tc>
            </w:tr>
            <w:tr w:rsidR="004E64E3" w:rsidRPr="005D4222" w14:paraId="76519038" w14:textId="77777777" w:rsidTr="00A53E8C">
              <w:trPr>
                <w:trHeight w:val="362"/>
              </w:trPr>
              <w:tc>
                <w:tcPr>
                  <w:tcW w:w="1306" w:type="dxa"/>
                  <w:vMerge/>
                  <w:shd w:val="clear" w:color="auto" w:fill="FFFFFF" w:themeFill="background1"/>
                  <w:hideMark/>
                </w:tcPr>
                <w:p w14:paraId="74DDAE88" w14:textId="77777777" w:rsidR="004E64E3" w:rsidRPr="005D4222" w:rsidRDefault="004E64E3" w:rsidP="00A53E8C">
                  <w:pPr>
                    <w:pStyle w:val="TableText"/>
                    <w:rPr>
                      <w:rFonts w:cs="Arial"/>
                    </w:rPr>
                  </w:pPr>
                </w:p>
              </w:tc>
              <w:tc>
                <w:tcPr>
                  <w:tcW w:w="884" w:type="dxa"/>
                  <w:tcBorders>
                    <w:top w:val="dotted" w:sz="6" w:space="0" w:color="auto"/>
                    <w:bottom w:val="dotted" w:sz="6" w:space="0" w:color="auto"/>
                  </w:tcBorders>
                  <w:shd w:val="clear" w:color="auto" w:fill="FFFFFF" w:themeFill="background1"/>
                  <w:hideMark/>
                </w:tcPr>
                <w:p w14:paraId="777D98E1" w14:textId="77777777" w:rsidR="004E64E3" w:rsidRPr="005D4222" w:rsidRDefault="004E64E3" w:rsidP="00A53E8C">
                  <w:pPr>
                    <w:pStyle w:val="TableText"/>
                    <w:jc w:val="center"/>
                    <w:rPr>
                      <w:rFonts w:cs="Arial"/>
                    </w:rPr>
                  </w:pPr>
                  <w:r w:rsidRPr="005D4222">
                    <w:rPr>
                      <w:rFonts w:cs="Arial"/>
                    </w:rPr>
                    <w:t>CC-18</w:t>
                  </w:r>
                </w:p>
              </w:tc>
              <w:tc>
                <w:tcPr>
                  <w:tcW w:w="3206" w:type="dxa"/>
                  <w:tcBorders>
                    <w:top w:val="dotted" w:sz="6" w:space="0" w:color="auto"/>
                    <w:bottom w:val="dotted" w:sz="6" w:space="0" w:color="auto"/>
                  </w:tcBorders>
                  <w:shd w:val="clear" w:color="auto" w:fill="FFFFFF" w:themeFill="background1"/>
                  <w:hideMark/>
                </w:tcPr>
                <w:p w14:paraId="285EEB26" w14:textId="77777777" w:rsidR="004E64E3" w:rsidRPr="005D4222" w:rsidRDefault="004E64E3" w:rsidP="00A53E8C">
                  <w:pPr>
                    <w:pStyle w:val="TableText"/>
                    <w:rPr>
                      <w:rFonts w:cs="Arial"/>
                    </w:rPr>
                  </w:pPr>
                  <w:r w:rsidRPr="005D4222">
                    <w:rPr>
                      <w:rFonts w:cs="Arial"/>
                    </w:rPr>
                    <w:t xml:space="preserve">Diabetes With Chronic Complications </w:t>
                  </w:r>
                </w:p>
              </w:tc>
              <w:tc>
                <w:tcPr>
                  <w:tcW w:w="990" w:type="dxa"/>
                  <w:tcBorders>
                    <w:top w:val="dotted" w:sz="6" w:space="0" w:color="auto"/>
                    <w:bottom w:val="dotted" w:sz="6" w:space="0" w:color="auto"/>
                  </w:tcBorders>
                  <w:shd w:val="clear" w:color="auto" w:fill="FFFFFF" w:themeFill="background1"/>
                  <w:hideMark/>
                </w:tcPr>
                <w:p w14:paraId="5C6FCA93" w14:textId="77777777" w:rsidR="004E64E3" w:rsidRPr="005D4222" w:rsidRDefault="004E64E3" w:rsidP="00A53E8C">
                  <w:pPr>
                    <w:pStyle w:val="TableText"/>
                    <w:jc w:val="center"/>
                    <w:rPr>
                      <w:rFonts w:cs="Arial"/>
                    </w:rPr>
                  </w:pPr>
                  <w:r w:rsidRPr="005D4222">
                    <w:rPr>
                      <w:rFonts w:cs="Arial"/>
                    </w:rPr>
                    <w:t>2</w:t>
                  </w:r>
                </w:p>
              </w:tc>
              <w:tc>
                <w:tcPr>
                  <w:tcW w:w="989" w:type="dxa"/>
                  <w:tcBorders>
                    <w:top w:val="dotted" w:sz="6" w:space="0" w:color="auto"/>
                    <w:bottom w:val="dotted" w:sz="6" w:space="0" w:color="auto"/>
                  </w:tcBorders>
                  <w:shd w:val="clear" w:color="auto" w:fill="FFFFFF" w:themeFill="background1"/>
                  <w:hideMark/>
                </w:tcPr>
                <w:p w14:paraId="47BB44F7" w14:textId="77777777" w:rsidR="004E64E3" w:rsidRPr="005D4222" w:rsidRDefault="004E64E3" w:rsidP="00A53E8C">
                  <w:pPr>
                    <w:pStyle w:val="TableText"/>
                    <w:jc w:val="center"/>
                    <w:rPr>
                      <w:rFonts w:cs="Arial"/>
                    </w:rPr>
                  </w:pPr>
                  <w:r w:rsidRPr="005D4222">
                    <w:rPr>
                      <w:rFonts w:cs="Arial"/>
                    </w:rPr>
                    <w:t>HCC-18</w:t>
                  </w:r>
                </w:p>
              </w:tc>
            </w:tr>
            <w:tr w:rsidR="004E64E3" w:rsidRPr="005D4222" w14:paraId="51783C98" w14:textId="77777777" w:rsidTr="00A53E8C">
              <w:trPr>
                <w:trHeight w:val="351"/>
              </w:trPr>
              <w:tc>
                <w:tcPr>
                  <w:tcW w:w="1306" w:type="dxa"/>
                  <w:vMerge/>
                  <w:shd w:val="clear" w:color="auto" w:fill="FFFFFF" w:themeFill="background1"/>
                  <w:hideMark/>
                </w:tcPr>
                <w:p w14:paraId="3216A20A" w14:textId="77777777" w:rsidR="004E64E3" w:rsidRPr="005D4222" w:rsidRDefault="004E64E3" w:rsidP="00A53E8C">
                  <w:pPr>
                    <w:pStyle w:val="TableText"/>
                    <w:rPr>
                      <w:rFonts w:cs="Arial"/>
                    </w:rPr>
                  </w:pPr>
                </w:p>
              </w:tc>
              <w:tc>
                <w:tcPr>
                  <w:tcW w:w="884" w:type="dxa"/>
                  <w:tcBorders>
                    <w:top w:val="dotted" w:sz="6" w:space="0" w:color="auto"/>
                    <w:bottom w:val="single" w:sz="4" w:space="0" w:color="auto"/>
                  </w:tcBorders>
                  <w:shd w:val="clear" w:color="auto" w:fill="FFFFFF" w:themeFill="background1"/>
                  <w:hideMark/>
                </w:tcPr>
                <w:p w14:paraId="2953307A" w14:textId="77777777" w:rsidR="004E64E3" w:rsidRPr="005D4222" w:rsidRDefault="004E64E3" w:rsidP="00A53E8C">
                  <w:pPr>
                    <w:pStyle w:val="TableText"/>
                    <w:jc w:val="center"/>
                    <w:rPr>
                      <w:rFonts w:cs="Arial"/>
                    </w:rPr>
                  </w:pPr>
                  <w:r w:rsidRPr="005D4222">
                    <w:rPr>
                      <w:rFonts w:cs="Arial"/>
                    </w:rPr>
                    <w:t>CC-19</w:t>
                  </w:r>
                </w:p>
              </w:tc>
              <w:tc>
                <w:tcPr>
                  <w:tcW w:w="3206" w:type="dxa"/>
                  <w:tcBorders>
                    <w:top w:val="dotted" w:sz="6" w:space="0" w:color="auto"/>
                    <w:bottom w:val="single" w:sz="4" w:space="0" w:color="auto"/>
                  </w:tcBorders>
                  <w:shd w:val="clear" w:color="auto" w:fill="FFFFFF" w:themeFill="background1"/>
                  <w:hideMark/>
                </w:tcPr>
                <w:p w14:paraId="77777FCD" w14:textId="77777777" w:rsidR="004E64E3" w:rsidRPr="005D4222" w:rsidRDefault="004E64E3" w:rsidP="00A53E8C">
                  <w:pPr>
                    <w:pStyle w:val="TableText"/>
                    <w:rPr>
                      <w:rFonts w:cs="Arial"/>
                    </w:rPr>
                  </w:pPr>
                  <w:r w:rsidRPr="005D4222">
                    <w:rPr>
                      <w:rFonts w:cs="Arial"/>
                    </w:rPr>
                    <w:t xml:space="preserve">Diabetes Without Complications </w:t>
                  </w:r>
                </w:p>
              </w:tc>
              <w:tc>
                <w:tcPr>
                  <w:tcW w:w="990" w:type="dxa"/>
                  <w:tcBorders>
                    <w:top w:val="dotted" w:sz="6" w:space="0" w:color="auto"/>
                    <w:bottom w:val="single" w:sz="4" w:space="0" w:color="auto"/>
                  </w:tcBorders>
                  <w:shd w:val="clear" w:color="auto" w:fill="FFFFFF" w:themeFill="background1"/>
                  <w:hideMark/>
                </w:tcPr>
                <w:p w14:paraId="3E6EC040" w14:textId="77777777" w:rsidR="004E64E3" w:rsidRPr="005D4222" w:rsidRDefault="004E64E3" w:rsidP="00A53E8C">
                  <w:pPr>
                    <w:pStyle w:val="TableText"/>
                    <w:jc w:val="center"/>
                    <w:rPr>
                      <w:rFonts w:cs="Arial"/>
                    </w:rPr>
                  </w:pPr>
                  <w:r w:rsidRPr="005D4222">
                    <w:rPr>
                      <w:rFonts w:cs="Arial"/>
                    </w:rPr>
                    <w:t>3</w:t>
                  </w:r>
                </w:p>
              </w:tc>
              <w:tc>
                <w:tcPr>
                  <w:tcW w:w="989" w:type="dxa"/>
                  <w:tcBorders>
                    <w:top w:val="dotted" w:sz="6" w:space="0" w:color="auto"/>
                    <w:bottom w:val="single" w:sz="4" w:space="0" w:color="auto"/>
                  </w:tcBorders>
                  <w:shd w:val="clear" w:color="auto" w:fill="FFFFFF" w:themeFill="background1"/>
                  <w:hideMark/>
                </w:tcPr>
                <w:p w14:paraId="39D23CEE" w14:textId="77777777" w:rsidR="004E64E3" w:rsidRPr="005D4222" w:rsidRDefault="004E64E3" w:rsidP="00A53E8C">
                  <w:pPr>
                    <w:pStyle w:val="TableText"/>
                    <w:jc w:val="center"/>
                    <w:rPr>
                      <w:rFonts w:cs="Arial"/>
                    </w:rPr>
                  </w:pPr>
                  <w:r w:rsidRPr="005D4222">
                    <w:rPr>
                      <w:rFonts w:cs="Arial"/>
                    </w:rPr>
                    <w:t>HCC-19</w:t>
                  </w:r>
                </w:p>
              </w:tc>
            </w:tr>
          </w:tbl>
          <w:p w14:paraId="0CB96DA9" w14:textId="77777777" w:rsidR="004E64E3" w:rsidRPr="005D4222" w:rsidRDefault="004E64E3" w:rsidP="00A53E8C">
            <w:pPr>
              <w:pStyle w:val="ECDSBody"/>
            </w:pPr>
            <w:r w:rsidRPr="005D4222">
              <w:rPr>
                <w:b/>
              </w:rPr>
              <w:t xml:space="preserve">Step 5. </w:t>
            </w:r>
            <w:r w:rsidRPr="005D4222">
              <w:t xml:space="preserve">Identify combination HCCs listed in Table HCC—Comb. </w:t>
            </w:r>
          </w:p>
          <w:p w14:paraId="40B0A916" w14:textId="77777777" w:rsidR="004E64E3" w:rsidRPr="005D4222" w:rsidRDefault="004E64E3" w:rsidP="00A53E8C">
            <w:pPr>
              <w:pStyle w:val="E-Body"/>
            </w:pPr>
            <w:r w:rsidRPr="005D4222">
              <w:t xml:space="preserve">Some combinations suggest a greater amount of risk when observed together. For example, when diabetes </w:t>
            </w:r>
            <w:r w:rsidRPr="005D4222">
              <w:rPr>
                <w:i/>
                <w:iCs/>
              </w:rPr>
              <w:t xml:space="preserve">and </w:t>
            </w:r>
            <w:r w:rsidRPr="005D4222">
              <w:t xml:space="preserve">CHF are present, an increased amount of risk is evident. Additional HCCs are selected to account for these relationships. </w:t>
            </w:r>
          </w:p>
          <w:p w14:paraId="54538FC7" w14:textId="77777777" w:rsidR="004E64E3" w:rsidRPr="005D4222" w:rsidRDefault="004E64E3" w:rsidP="00A53E8C">
            <w:pPr>
              <w:pStyle w:val="E-Body"/>
            </w:pPr>
            <w:r w:rsidRPr="005D4222">
              <w:t xml:space="preserve">Compare each denominator unit’s list of unique HCCs to those in the </w:t>
            </w:r>
            <w:r w:rsidRPr="005D4222">
              <w:rPr>
                <w:i/>
                <w:iCs/>
              </w:rPr>
              <w:t>Comorbid HCC</w:t>
            </w:r>
            <w:r w:rsidRPr="005D4222">
              <w:t xml:space="preserve"> columns in Table HCC—Comb and assign any additional HCC conditions.</w:t>
            </w:r>
          </w:p>
          <w:p w14:paraId="24BF9684" w14:textId="77777777" w:rsidR="004E64E3" w:rsidRPr="005D4222" w:rsidRDefault="004E64E3" w:rsidP="00A53E8C">
            <w:pPr>
              <w:pStyle w:val="E-Body"/>
              <w:rPr>
                <w:b/>
              </w:rPr>
            </w:pPr>
            <w:r w:rsidRPr="005D4222">
              <w:rPr>
                <w:i/>
              </w:rPr>
              <w:t xml:space="preserve">If there are overlapping combinations, use both sets of combinations. </w:t>
            </w:r>
            <w:r w:rsidRPr="005D4222">
              <w:t>Based on the combinations, a denominator unit can have none, one or more of these added HCCs.</w:t>
            </w:r>
          </w:p>
          <w:p w14:paraId="64FE1BE5" w14:textId="77777777" w:rsidR="004E64E3" w:rsidRPr="005D4222" w:rsidRDefault="004E64E3" w:rsidP="004E64E3">
            <w:pPr>
              <w:pStyle w:val="Bullet"/>
              <w:numPr>
                <w:ilvl w:val="0"/>
                <w:numId w:val="4"/>
              </w:numPr>
              <w:tabs>
                <w:tab w:val="left" w:pos="360"/>
                <w:tab w:val="left" w:pos="576"/>
              </w:tabs>
              <w:ind w:left="576" w:hanging="216"/>
            </w:pPr>
            <w:r w:rsidRPr="005D4222">
              <w:rPr>
                <w:i/>
                <w:iCs/>
              </w:rPr>
              <w:t xml:space="preserve">For example, </w:t>
            </w:r>
            <w:r w:rsidRPr="005D4222">
              <w:t xml:space="preserve">for a denominator unit with comorbidities HCC-17 and HCC-85 (assume no other HCCs), assign HCC-901 in addition to HCC-17 and HCC-85. This </w:t>
            </w:r>
            <w:r w:rsidRPr="005D4222">
              <w:rPr>
                <w:i/>
                <w:iCs/>
              </w:rPr>
              <w:t>does not</w:t>
            </w:r>
            <w:r w:rsidRPr="005D4222">
              <w:t xml:space="preserve"> replace HCC-17 and HCC-85.</w:t>
            </w:r>
          </w:p>
          <w:p w14:paraId="03810726" w14:textId="77777777" w:rsidR="004E64E3" w:rsidRPr="005D4222" w:rsidRDefault="004E64E3" w:rsidP="00A53E8C">
            <w:pPr>
              <w:pStyle w:val="Heading3"/>
              <w:spacing w:before="120"/>
            </w:pPr>
            <w:r w:rsidRPr="005D4222">
              <w:t>Table HCC—Comb</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0"/>
              <w:gridCol w:w="1173"/>
              <w:gridCol w:w="1248"/>
              <w:gridCol w:w="1476"/>
              <w:gridCol w:w="2308"/>
            </w:tblGrid>
            <w:tr w:rsidR="004E64E3" w:rsidRPr="005D4222" w14:paraId="37E94E22" w14:textId="77777777" w:rsidTr="00A53E8C">
              <w:tc>
                <w:tcPr>
                  <w:tcW w:w="1347" w:type="dxa"/>
                  <w:tcBorders>
                    <w:right w:val="single" w:sz="4" w:space="0" w:color="FFFFFF" w:themeColor="background1"/>
                  </w:tcBorders>
                  <w:shd w:val="clear" w:color="auto" w:fill="000000" w:themeFill="text1"/>
                  <w:vAlign w:val="bottom"/>
                  <w:hideMark/>
                </w:tcPr>
                <w:p w14:paraId="07FBDFF3" w14:textId="77777777" w:rsidR="004E64E3" w:rsidRPr="005D4222" w:rsidRDefault="004E64E3" w:rsidP="00A53E8C">
                  <w:pPr>
                    <w:pStyle w:val="TableHead"/>
                    <w:rPr>
                      <w:color w:val="auto"/>
                    </w:rPr>
                  </w:pPr>
                  <w:r w:rsidRPr="005D4222">
                    <w:rPr>
                      <w:color w:val="auto"/>
                    </w:rPr>
                    <w:t xml:space="preserve">Comorbid </w:t>
                  </w:r>
                  <w:r w:rsidRPr="005D4222">
                    <w:rPr>
                      <w:color w:val="auto"/>
                    </w:rPr>
                    <w:br/>
                    <w:t>HCC 1</w:t>
                  </w:r>
                </w:p>
              </w:tc>
              <w:tc>
                <w:tcPr>
                  <w:tcW w:w="1350" w:type="dxa"/>
                  <w:tcBorders>
                    <w:left w:val="single" w:sz="4" w:space="0" w:color="FFFFFF" w:themeColor="background1"/>
                    <w:right w:val="single" w:sz="4" w:space="0" w:color="FFFFFF" w:themeColor="background1"/>
                  </w:tcBorders>
                  <w:shd w:val="clear" w:color="auto" w:fill="000000" w:themeFill="text1"/>
                  <w:vAlign w:val="bottom"/>
                  <w:hideMark/>
                </w:tcPr>
                <w:p w14:paraId="64CB2805" w14:textId="77777777" w:rsidR="004E64E3" w:rsidRPr="005D4222" w:rsidRDefault="004E64E3" w:rsidP="00A53E8C">
                  <w:pPr>
                    <w:pStyle w:val="TableHead"/>
                    <w:rPr>
                      <w:color w:val="auto"/>
                    </w:rPr>
                  </w:pPr>
                  <w:r w:rsidRPr="005D4222">
                    <w:rPr>
                      <w:color w:val="auto"/>
                    </w:rPr>
                    <w:t xml:space="preserve">Comorbid </w:t>
                  </w:r>
                  <w:r w:rsidRPr="005D4222">
                    <w:rPr>
                      <w:color w:val="auto"/>
                    </w:rPr>
                    <w:br/>
                    <w:t>HCC 2</w:t>
                  </w:r>
                </w:p>
              </w:tc>
              <w:tc>
                <w:tcPr>
                  <w:tcW w:w="1440" w:type="dxa"/>
                  <w:tcBorders>
                    <w:left w:val="single" w:sz="4" w:space="0" w:color="FFFFFF" w:themeColor="background1"/>
                    <w:right w:val="single" w:sz="4" w:space="0" w:color="FFFFFF" w:themeColor="background1"/>
                  </w:tcBorders>
                  <w:shd w:val="clear" w:color="auto" w:fill="000000" w:themeFill="text1"/>
                  <w:vAlign w:val="bottom"/>
                  <w:hideMark/>
                </w:tcPr>
                <w:p w14:paraId="60CB313D" w14:textId="77777777" w:rsidR="004E64E3" w:rsidRPr="005D4222" w:rsidRDefault="004E64E3" w:rsidP="00A53E8C">
                  <w:pPr>
                    <w:pStyle w:val="TableHead"/>
                    <w:rPr>
                      <w:color w:val="auto"/>
                    </w:rPr>
                  </w:pPr>
                  <w:r w:rsidRPr="005D4222">
                    <w:rPr>
                      <w:color w:val="auto"/>
                    </w:rPr>
                    <w:t xml:space="preserve">Comorbid </w:t>
                  </w:r>
                  <w:r w:rsidRPr="005D4222">
                    <w:rPr>
                      <w:color w:val="auto"/>
                    </w:rPr>
                    <w:br/>
                    <w:t>HCC 3</w:t>
                  </w:r>
                </w:p>
              </w:tc>
              <w:tc>
                <w:tcPr>
                  <w:tcW w:w="1710" w:type="dxa"/>
                  <w:tcBorders>
                    <w:left w:val="single" w:sz="4" w:space="0" w:color="FFFFFF" w:themeColor="background1"/>
                    <w:right w:val="single" w:sz="4" w:space="0" w:color="FFFFFF" w:themeColor="background1"/>
                  </w:tcBorders>
                  <w:shd w:val="clear" w:color="auto" w:fill="000000" w:themeFill="text1"/>
                  <w:vAlign w:val="bottom"/>
                  <w:hideMark/>
                </w:tcPr>
                <w:p w14:paraId="6E2CE0CD" w14:textId="77777777" w:rsidR="004E64E3" w:rsidRPr="005D4222" w:rsidRDefault="004E64E3" w:rsidP="00A53E8C">
                  <w:pPr>
                    <w:pStyle w:val="TableHead"/>
                    <w:rPr>
                      <w:color w:val="auto"/>
                    </w:rPr>
                  </w:pPr>
                  <w:r w:rsidRPr="005D4222">
                    <w:rPr>
                      <w:color w:val="auto"/>
                    </w:rPr>
                    <w:t>HCC-</w:t>
                  </w:r>
                  <w:r w:rsidRPr="005D4222">
                    <w:rPr>
                      <w:color w:val="auto"/>
                    </w:rPr>
                    <w:br/>
                    <w:t>Combination</w:t>
                  </w:r>
                </w:p>
              </w:tc>
              <w:tc>
                <w:tcPr>
                  <w:tcW w:w="2700" w:type="dxa"/>
                  <w:tcBorders>
                    <w:left w:val="single" w:sz="4" w:space="0" w:color="FFFFFF" w:themeColor="background1"/>
                  </w:tcBorders>
                  <w:shd w:val="clear" w:color="auto" w:fill="000000" w:themeFill="text1"/>
                  <w:vAlign w:val="bottom"/>
                </w:tcPr>
                <w:p w14:paraId="4AB90B0A" w14:textId="77777777" w:rsidR="004E64E3" w:rsidRPr="005D4222" w:rsidRDefault="004E64E3" w:rsidP="00A53E8C">
                  <w:pPr>
                    <w:pStyle w:val="TableHead"/>
                    <w:rPr>
                      <w:color w:val="auto"/>
                    </w:rPr>
                  </w:pPr>
                  <w:r w:rsidRPr="005D4222">
                    <w:rPr>
                      <w:color w:val="auto"/>
                    </w:rPr>
                    <w:t>HCC-Comb Description</w:t>
                  </w:r>
                </w:p>
              </w:tc>
            </w:tr>
            <w:tr w:rsidR="004E64E3" w:rsidRPr="005D4222" w14:paraId="1FB93A88" w14:textId="77777777" w:rsidTr="00A53E8C">
              <w:tc>
                <w:tcPr>
                  <w:tcW w:w="1347" w:type="dxa"/>
                  <w:shd w:val="clear" w:color="auto" w:fill="FFFFFF" w:themeFill="background1"/>
                  <w:hideMark/>
                </w:tcPr>
                <w:p w14:paraId="0C673D7B" w14:textId="77777777" w:rsidR="004E64E3" w:rsidRPr="005D4222" w:rsidRDefault="004E64E3" w:rsidP="00A53E8C">
                  <w:pPr>
                    <w:pStyle w:val="TableText"/>
                  </w:pPr>
                  <w:r w:rsidRPr="005D4222">
                    <w:t>HCC-17</w:t>
                  </w:r>
                </w:p>
              </w:tc>
              <w:tc>
                <w:tcPr>
                  <w:tcW w:w="1350" w:type="dxa"/>
                  <w:shd w:val="clear" w:color="auto" w:fill="FFFFFF" w:themeFill="background1"/>
                  <w:hideMark/>
                </w:tcPr>
                <w:p w14:paraId="6FAE43F7" w14:textId="77777777" w:rsidR="004E64E3" w:rsidRPr="005D4222" w:rsidRDefault="004E64E3" w:rsidP="00A53E8C">
                  <w:pPr>
                    <w:pStyle w:val="TableText"/>
                  </w:pPr>
                  <w:r w:rsidRPr="005D4222">
                    <w:t>HCC-85</w:t>
                  </w:r>
                </w:p>
              </w:tc>
              <w:tc>
                <w:tcPr>
                  <w:tcW w:w="1440" w:type="dxa"/>
                  <w:shd w:val="clear" w:color="auto" w:fill="FFFFFF" w:themeFill="background1"/>
                  <w:hideMark/>
                </w:tcPr>
                <w:p w14:paraId="0B7241FC" w14:textId="77777777" w:rsidR="004E64E3" w:rsidRPr="005D4222" w:rsidRDefault="004E64E3" w:rsidP="00A53E8C">
                  <w:pPr>
                    <w:pStyle w:val="TableText"/>
                  </w:pPr>
                  <w:r w:rsidRPr="005D4222">
                    <w:t>NA</w:t>
                  </w:r>
                </w:p>
              </w:tc>
              <w:tc>
                <w:tcPr>
                  <w:tcW w:w="1710" w:type="dxa"/>
                  <w:shd w:val="clear" w:color="auto" w:fill="FFFFFF" w:themeFill="background1"/>
                  <w:hideMark/>
                </w:tcPr>
                <w:p w14:paraId="395A1FB6" w14:textId="77777777" w:rsidR="004E64E3" w:rsidRPr="005D4222" w:rsidRDefault="004E64E3" w:rsidP="00A53E8C">
                  <w:pPr>
                    <w:pStyle w:val="TableText"/>
                  </w:pPr>
                  <w:r w:rsidRPr="005D4222">
                    <w:t>HCC-901</w:t>
                  </w:r>
                </w:p>
              </w:tc>
              <w:tc>
                <w:tcPr>
                  <w:tcW w:w="2700" w:type="dxa"/>
                  <w:shd w:val="clear" w:color="auto" w:fill="FFFFFF" w:themeFill="background1"/>
                </w:tcPr>
                <w:p w14:paraId="517F67AD" w14:textId="77777777" w:rsidR="004E64E3" w:rsidRPr="005D4222" w:rsidRDefault="004E64E3" w:rsidP="00A53E8C">
                  <w:pPr>
                    <w:pStyle w:val="TableText"/>
                  </w:pPr>
                  <w:r w:rsidRPr="005D4222">
                    <w:t>Combination: Diabetes and CHF</w:t>
                  </w:r>
                </w:p>
              </w:tc>
            </w:tr>
            <w:tr w:rsidR="004E64E3" w:rsidRPr="005D4222" w14:paraId="094874AA" w14:textId="77777777" w:rsidTr="007B5FC3">
              <w:tc>
                <w:tcPr>
                  <w:tcW w:w="1347" w:type="dxa"/>
                  <w:hideMark/>
                </w:tcPr>
                <w:p w14:paraId="20072F5A" w14:textId="77777777" w:rsidR="004E64E3" w:rsidRPr="005D4222" w:rsidRDefault="004E64E3" w:rsidP="00A53E8C">
                  <w:pPr>
                    <w:pStyle w:val="TableText"/>
                  </w:pPr>
                  <w:r w:rsidRPr="005D4222">
                    <w:t>HCC-18</w:t>
                  </w:r>
                </w:p>
              </w:tc>
              <w:tc>
                <w:tcPr>
                  <w:tcW w:w="1350" w:type="dxa"/>
                  <w:hideMark/>
                </w:tcPr>
                <w:p w14:paraId="4EB04F29" w14:textId="77777777" w:rsidR="004E64E3" w:rsidRPr="005D4222" w:rsidRDefault="004E64E3" w:rsidP="00A53E8C">
                  <w:pPr>
                    <w:pStyle w:val="TableText"/>
                  </w:pPr>
                  <w:r w:rsidRPr="005D4222">
                    <w:t>HCC-85</w:t>
                  </w:r>
                </w:p>
              </w:tc>
              <w:tc>
                <w:tcPr>
                  <w:tcW w:w="1440" w:type="dxa"/>
                  <w:hideMark/>
                </w:tcPr>
                <w:p w14:paraId="5CD9ABF6" w14:textId="77777777" w:rsidR="004E64E3" w:rsidRPr="005D4222" w:rsidRDefault="004E64E3" w:rsidP="00A53E8C">
                  <w:pPr>
                    <w:pStyle w:val="TableText"/>
                  </w:pPr>
                  <w:r w:rsidRPr="005D4222">
                    <w:t>NA</w:t>
                  </w:r>
                </w:p>
              </w:tc>
              <w:tc>
                <w:tcPr>
                  <w:tcW w:w="1710" w:type="dxa"/>
                  <w:hideMark/>
                </w:tcPr>
                <w:p w14:paraId="25A6F4EE" w14:textId="77777777" w:rsidR="004E64E3" w:rsidRPr="005D4222" w:rsidRDefault="004E64E3" w:rsidP="00A53E8C">
                  <w:pPr>
                    <w:pStyle w:val="TableText"/>
                  </w:pPr>
                  <w:r w:rsidRPr="005D4222">
                    <w:t>HCC-901</w:t>
                  </w:r>
                </w:p>
              </w:tc>
              <w:tc>
                <w:tcPr>
                  <w:tcW w:w="2700" w:type="dxa"/>
                </w:tcPr>
                <w:p w14:paraId="110F0BE8" w14:textId="77777777" w:rsidR="004E64E3" w:rsidRPr="005D4222" w:rsidRDefault="004E64E3" w:rsidP="00A53E8C">
                  <w:pPr>
                    <w:pStyle w:val="TableText"/>
                  </w:pPr>
                  <w:r w:rsidRPr="005D4222">
                    <w:t>Combination: Diabetes and CHF</w:t>
                  </w:r>
                </w:p>
              </w:tc>
            </w:tr>
            <w:tr w:rsidR="004E64E3" w:rsidRPr="005D4222" w14:paraId="48E93CDE" w14:textId="77777777" w:rsidTr="007B5FC3">
              <w:tc>
                <w:tcPr>
                  <w:tcW w:w="1347" w:type="dxa"/>
                  <w:hideMark/>
                </w:tcPr>
                <w:p w14:paraId="3BB045C5" w14:textId="77777777" w:rsidR="004E64E3" w:rsidRPr="005D4222" w:rsidRDefault="004E64E3" w:rsidP="00A53E8C">
                  <w:pPr>
                    <w:pStyle w:val="TableText"/>
                  </w:pPr>
                  <w:r w:rsidRPr="005D4222">
                    <w:t>HCC-19</w:t>
                  </w:r>
                </w:p>
              </w:tc>
              <w:tc>
                <w:tcPr>
                  <w:tcW w:w="1350" w:type="dxa"/>
                  <w:hideMark/>
                </w:tcPr>
                <w:p w14:paraId="74717041" w14:textId="77777777" w:rsidR="004E64E3" w:rsidRPr="005D4222" w:rsidRDefault="004E64E3" w:rsidP="00A53E8C">
                  <w:pPr>
                    <w:pStyle w:val="TableText"/>
                  </w:pPr>
                  <w:r w:rsidRPr="005D4222">
                    <w:t>HCC-85</w:t>
                  </w:r>
                </w:p>
              </w:tc>
              <w:tc>
                <w:tcPr>
                  <w:tcW w:w="1440" w:type="dxa"/>
                  <w:hideMark/>
                </w:tcPr>
                <w:p w14:paraId="3EEC57B6" w14:textId="77777777" w:rsidR="004E64E3" w:rsidRPr="005D4222" w:rsidRDefault="004E64E3" w:rsidP="00A53E8C">
                  <w:pPr>
                    <w:pStyle w:val="TableText"/>
                  </w:pPr>
                  <w:r w:rsidRPr="005D4222">
                    <w:t>NA</w:t>
                  </w:r>
                </w:p>
              </w:tc>
              <w:tc>
                <w:tcPr>
                  <w:tcW w:w="1710" w:type="dxa"/>
                  <w:hideMark/>
                </w:tcPr>
                <w:p w14:paraId="0BEDC2C1" w14:textId="77777777" w:rsidR="004E64E3" w:rsidRPr="005D4222" w:rsidRDefault="004E64E3" w:rsidP="00A53E8C">
                  <w:pPr>
                    <w:pStyle w:val="TableText"/>
                  </w:pPr>
                  <w:r w:rsidRPr="005D4222">
                    <w:t>HCC-901</w:t>
                  </w:r>
                </w:p>
              </w:tc>
              <w:tc>
                <w:tcPr>
                  <w:tcW w:w="2700" w:type="dxa"/>
                </w:tcPr>
                <w:p w14:paraId="3B550D3A" w14:textId="77777777" w:rsidR="004E64E3" w:rsidRPr="005D4222" w:rsidRDefault="004E64E3" w:rsidP="00A53E8C">
                  <w:pPr>
                    <w:pStyle w:val="TableText"/>
                  </w:pPr>
                  <w:r w:rsidRPr="005D4222">
                    <w:t>Combination: Diabetes and CHF</w:t>
                  </w:r>
                </w:p>
              </w:tc>
            </w:tr>
          </w:tbl>
          <w:p w14:paraId="36D0DF79" w14:textId="77777777" w:rsidR="004E64E3" w:rsidRPr="005D4222" w:rsidRDefault="004E64E3" w:rsidP="00A53E8C">
            <w:pPr>
              <w:pStyle w:val="Body"/>
              <w:rPr>
                <w:b/>
                <w:bCs/>
              </w:rPr>
            </w:pPr>
          </w:p>
        </w:tc>
      </w:tr>
      <w:tr w:rsidR="004E64E3" w:rsidRPr="005D4222" w14:paraId="3D2C9688"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ECF2418" w14:textId="77777777" w:rsidR="004E64E3" w:rsidRPr="005D4222" w:rsidRDefault="004E64E3" w:rsidP="00A53E8C">
            <w:pPr>
              <w:pStyle w:val="ECDSMarginHead"/>
            </w:pPr>
            <w:r w:rsidRPr="005D4222">
              <w:t>Risk adjustment</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BA86A3C" w14:textId="77777777" w:rsidR="004E64E3" w:rsidRPr="005D4222" w:rsidRDefault="004E64E3" w:rsidP="00A53E8C">
            <w:pPr>
              <w:pStyle w:val="E-Body"/>
              <w:rPr>
                <w:b/>
                <w:i/>
                <w:iCs/>
              </w:rPr>
            </w:pPr>
            <w:r w:rsidRPr="005D4222">
              <w:rPr>
                <w:b/>
                <w:i/>
                <w:iCs/>
              </w:rPr>
              <w:t>Risk Adjustment Calculation</w:t>
            </w:r>
          </w:p>
          <w:p w14:paraId="67005E81" w14:textId="77777777" w:rsidR="004E64E3" w:rsidRPr="005D4222" w:rsidRDefault="004E64E3" w:rsidP="00A53E8C">
            <w:pPr>
              <w:pStyle w:val="ECDSBody"/>
            </w:pPr>
            <w:r w:rsidRPr="005D4222">
              <w:t>For each outpatient orthopedic surgery episode, use the following steps to identify the 15-day hospitalization risk adjustment weights based on procedure subtype, comorbidity, age and gender.</w:t>
            </w:r>
          </w:p>
          <w:p w14:paraId="14366B7C" w14:textId="77777777" w:rsidR="004E64E3" w:rsidRPr="005D4222" w:rsidRDefault="004E64E3" w:rsidP="00A53E8C">
            <w:pPr>
              <w:pStyle w:val="ECDSBody"/>
            </w:pPr>
            <w:r w:rsidRPr="005D4222">
              <w:rPr>
                <w:b/>
              </w:rPr>
              <w:t xml:space="preserve">Step 1. </w:t>
            </w:r>
            <w:r w:rsidRPr="005D4222">
              <w:t>For each outpatient orthopedic surgery episode with a procedure subtype, link the subtype weights.</w:t>
            </w:r>
          </w:p>
          <w:p w14:paraId="06C627C0" w14:textId="77777777" w:rsidR="004E64E3" w:rsidRPr="005D4222" w:rsidRDefault="004E64E3" w:rsidP="00A53E8C">
            <w:pPr>
              <w:pStyle w:val="ECDSBody"/>
            </w:pPr>
            <w:r w:rsidRPr="005D4222">
              <w:rPr>
                <w:b/>
              </w:rPr>
              <w:t>Step 2.</w:t>
            </w:r>
            <w:r w:rsidRPr="005D4222">
              <w:t xml:space="preserve"> For each outpatient orthopedic surgery episode with a comorbidity HCC category, link the comorbidity weights.</w:t>
            </w:r>
          </w:p>
          <w:p w14:paraId="7AEFB0F6" w14:textId="77777777" w:rsidR="004E64E3" w:rsidRPr="005D4222" w:rsidRDefault="004E64E3" w:rsidP="00A53E8C">
            <w:pPr>
              <w:pStyle w:val="ECDSBody"/>
            </w:pPr>
            <w:r w:rsidRPr="005D4222">
              <w:rPr>
                <w:b/>
              </w:rPr>
              <w:t xml:space="preserve">Step 3. </w:t>
            </w:r>
            <w:r w:rsidRPr="005D4222">
              <w:t>Link the age and gender weights for each outpatient orthopedic surgery episode.</w:t>
            </w:r>
          </w:p>
          <w:p w14:paraId="22AF6118" w14:textId="3BCFC0A7" w:rsidR="004E64E3" w:rsidRPr="005D4222" w:rsidRDefault="004E64E3" w:rsidP="002609C2">
            <w:pPr>
              <w:pStyle w:val="ECDSBody"/>
            </w:pPr>
            <w:r w:rsidRPr="005D4222">
              <w:rPr>
                <w:b/>
              </w:rPr>
              <w:t xml:space="preserve">Step 4. </w:t>
            </w:r>
            <w:r w:rsidRPr="005D4222">
              <w:t>Sum all weights (procedure subtype, comorbidities, age and gender) associated with each outpatient orthopedic surgery episode and use the formula below to calculate the estimated hospitalization risk for each episode:</w:t>
            </w:r>
          </w:p>
        </w:tc>
      </w:tr>
      <w:tr w:rsidR="004E64E3" w:rsidRPr="005D4222" w14:paraId="7A9B562C"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297BDD0" w14:textId="77777777" w:rsidR="004E64E3" w:rsidRPr="005D4222" w:rsidRDefault="004E64E3" w:rsidP="00A53E8C">
            <w:pPr>
              <w:pStyle w:val="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70D6A05" w14:textId="77777777" w:rsidR="002609C2" w:rsidRPr="005D4222" w:rsidRDefault="002609C2" w:rsidP="002609C2">
            <w:pPr>
              <w:pStyle w:val="Body"/>
              <w:ind w:left="723" w:hanging="723"/>
              <w:jc w:val="center"/>
            </w:pPr>
            <w:r w:rsidRPr="005D4222">
              <w:t xml:space="preserve">Estimated Hospitalization Risk = </w:t>
            </w:r>
            <m:oMath>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e</m:t>
                      </m:r>
                    </m:e>
                    <m:sup>
                      <m:r>
                        <w:rPr>
                          <w:rFonts w:ascii="Cambria Math" w:hAnsi="Cambria Math" w:cs="Arial"/>
                        </w:rPr>
                        <m:t>(</m:t>
                      </m:r>
                      <m:nary>
                        <m:naryPr>
                          <m:chr m:val="∑"/>
                          <m:limLoc m:val="undOvr"/>
                          <m:subHide m:val="1"/>
                          <m:supHide m:val="1"/>
                          <m:ctrlPr>
                            <w:rPr>
                              <w:rFonts w:ascii="Cambria Math" w:hAnsi="Cambria Math" w:cs="Arial"/>
                              <w:i/>
                            </w:rPr>
                          </m:ctrlPr>
                        </m:naryPr>
                        <m:sub/>
                        <m:sup/>
                        <m:e>
                          <m:r>
                            <m:rPr>
                              <m:nor/>
                            </m:rPr>
                            <w:rPr>
                              <w:rFonts w:cs="Arial"/>
                            </w:rPr>
                            <m:t>WeightsForEpisode</m:t>
                          </m:r>
                        </m:e>
                      </m:nary>
                      <m:r>
                        <w:rPr>
                          <w:rFonts w:ascii="Cambria Math" w:hAnsi="Cambria Math" w:cs="Arial"/>
                        </w:rPr>
                        <m:t>)</m:t>
                      </m:r>
                    </m:sup>
                  </m:sSup>
                </m:num>
                <m:den>
                  <m:r>
                    <w:rPr>
                      <w:rFonts w:ascii="Cambria Math" w:hAnsi="Cambria Math" w:cs="Arial"/>
                    </w:rPr>
                    <m:t>1+</m:t>
                  </m:r>
                  <m:sSup>
                    <m:sSupPr>
                      <m:ctrlPr>
                        <w:rPr>
                          <w:rFonts w:ascii="Cambria Math" w:hAnsi="Cambria Math" w:cs="Arial"/>
                          <w:i/>
                        </w:rPr>
                      </m:ctrlPr>
                    </m:sSupPr>
                    <m:e>
                      <m:r>
                        <w:rPr>
                          <w:rFonts w:ascii="Cambria Math" w:hAnsi="Cambria Math" w:cs="Arial"/>
                        </w:rPr>
                        <m:t>e</m:t>
                      </m:r>
                    </m:e>
                    <m:sup>
                      <m:r>
                        <w:rPr>
                          <w:rFonts w:ascii="Cambria Math" w:hAnsi="Cambria Math" w:cs="Arial"/>
                        </w:rPr>
                        <m:t>(</m:t>
                      </m:r>
                      <m:nary>
                        <m:naryPr>
                          <m:chr m:val="∑"/>
                          <m:limLoc m:val="undOvr"/>
                          <m:subHide m:val="1"/>
                          <m:supHide m:val="1"/>
                          <m:ctrlPr>
                            <w:rPr>
                              <w:rFonts w:ascii="Cambria Math" w:hAnsi="Cambria Math" w:cs="Arial"/>
                              <w:i/>
                            </w:rPr>
                          </m:ctrlPr>
                        </m:naryPr>
                        <m:sub/>
                        <m:sup/>
                        <m:e>
                          <m:r>
                            <m:rPr>
                              <m:nor/>
                            </m:rPr>
                            <w:rPr>
                              <w:rFonts w:cs="Arial"/>
                            </w:rPr>
                            <m:t>WeightsForEpisode</m:t>
                          </m:r>
                        </m:e>
                      </m:nary>
                      <m:r>
                        <w:rPr>
                          <w:rFonts w:ascii="Cambria Math" w:hAnsi="Cambria Math" w:cs="Arial"/>
                        </w:rPr>
                        <m:t>)</m:t>
                      </m:r>
                    </m:sup>
                  </m:sSup>
                </m:den>
              </m:f>
            </m:oMath>
          </w:p>
          <w:p w14:paraId="68A909AC" w14:textId="77777777" w:rsidR="002609C2" w:rsidRPr="005D4222" w:rsidRDefault="002609C2" w:rsidP="002609C2">
            <w:pPr>
              <w:spacing w:after="80"/>
              <w:ind w:left="723" w:hanging="723"/>
              <w:rPr>
                <w:rFonts w:cs="Arial"/>
                <w:b/>
                <w:i/>
              </w:rPr>
            </w:pPr>
            <w:r w:rsidRPr="005D4222">
              <w:rPr>
                <w:rFonts w:cs="Arial"/>
                <w:b/>
                <w:i/>
              </w:rPr>
              <w:t>OR</w:t>
            </w:r>
          </w:p>
          <w:p w14:paraId="37E4ECBE" w14:textId="25594ED9" w:rsidR="002609C2" w:rsidRPr="005D4222" w:rsidRDefault="002609C2" w:rsidP="002609C2">
            <w:pPr>
              <w:pStyle w:val="Body"/>
              <w:jc w:val="center"/>
            </w:pPr>
            <w:r w:rsidRPr="005D4222">
              <w:t xml:space="preserve">Estimated Hospitalization Risk = [exp (sum of weights for episode)] / </w:t>
            </w:r>
            <w:r w:rsidR="00161B68">
              <w:br/>
            </w:r>
            <w:r w:rsidRPr="005D4222">
              <w:t>[ 1 + exp (sum of weights for episode)]</w:t>
            </w:r>
          </w:p>
          <w:p w14:paraId="645B0605" w14:textId="77777777" w:rsidR="002609C2" w:rsidRPr="005D4222" w:rsidRDefault="002609C2" w:rsidP="002609C2">
            <w:pPr>
              <w:pStyle w:val="Note"/>
              <w:spacing w:after="80"/>
              <w:ind w:left="723" w:hanging="723"/>
              <w:jc w:val="both"/>
            </w:pPr>
            <w:r w:rsidRPr="005D4222">
              <w:rPr>
                <w:b/>
              </w:rPr>
              <w:t xml:space="preserve">Note: </w:t>
            </w:r>
            <w:r w:rsidRPr="005D4222">
              <w:t>“Exp” refers to the exponential or antilog function.</w:t>
            </w:r>
          </w:p>
          <w:p w14:paraId="1302D538" w14:textId="77777777" w:rsidR="002609C2" w:rsidRPr="005D4222" w:rsidRDefault="002609C2" w:rsidP="002609C2">
            <w:pPr>
              <w:pStyle w:val="ECDSBody"/>
              <w:spacing w:before="80"/>
              <w:rPr>
                <w:i/>
              </w:rPr>
            </w:pPr>
            <w:r w:rsidRPr="005D4222">
              <w:t>Truncate the estimated hospitalization risk for each episode to 10 decimal places. Do not truncate or round in previous steps.</w:t>
            </w:r>
          </w:p>
          <w:p w14:paraId="0A80BDBF" w14:textId="37F87A52" w:rsidR="004E64E3" w:rsidRPr="005D4222" w:rsidRDefault="004E64E3" w:rsidP="00A53E8C">
            <w:pPr>
              <w:pStyle w:val="ECDSBody"/>
            </w:pPr>
            <w:r w:rsidRPr="005D4222">
              <w:rPr>
                <w:b/>
              </w:rPr>
              <w:t>Step 5.</w:t>
            </w:r>
            <w:r w:rsidRPr="005D4222">
              <w:t xml:space="preserve"> Calculate the count of expected hospitalizations for each age. The count of expected hospitalizations is the sum of the estimated hospitalization risk calculated for each outpatient orthopedic surgery episode for each age. </w:t>
            </w:r>
          </w:p>
          <w:p w14:paraId="07FC0E13" w14:textId="77777777" w:rsidR="004E64E3" w:rsidRPr="005D4222" w:rsidRDefault="00010176" w:rsidP="00A53E8C">
            <w:pPr>
              <w:spacing w:after="120"/>
              <w:rPr>
                <w:rFonts w:cs="Arial"/>
                <w:bCs/>
              </w:rPr>
            </w:pPr>
            <m:oMathPara>
              <m:oMath>
                <m:r>
                  <m:rPr>
                    <m:sty m:val="p"/>
                  </m:rPr>
                  <w:rPr>
                    <w:rFonts w:ascii="Cambria Math" w:hAnsi="Cambria Math" w:cs="Arial"/>
                  </w:rPr>
                  <m:t>Count of Expected Hospitalizations=</m:t>
                </m:r>
                <m:nary>
                  <m:naryPr>
                    <m:chr m:val="∑"/>
                    <m:limLoc m:val="undOvr"/>
                    <m:subHide m:val="1"/>
                    <m:supHide m:val="1"/>
                    <m:ctrlPr>
                      <w:rPr>
                        <w:rFonts w:ascii="Cambria Math" w:hAnsi="Cambria Math" w:cs="Arial"/>
                      </w:rPr>
                    </m:ctrlPr>
                  </m:naryPr>
                  <m:sub/>
                  <m:sup/>
                  <m:e>
                    <m:r>
                      <m:rPr>
                        <m:sty m:val="p"/>
                      </m:rPr>
                      <w:rPr>
                        <w:rFonts w:ascii="Cambria Math" w:hAnsi="Cambria Math" w:cs="Arial"/>
                      </w:rPr>
                      <m:t>(Estimated Hospitalization Risk)</m:t>
                    </m:r>
                  </m:e>
                </m:nary>
              </m:oMath>
            </m:oMathPara>
          </w:p>
          <w:p w14:paraId="6BB49F87" w14:textId="77777777" w:rsidR="004E64E3" w:rsidRPr="005D4222" w:rsidRDefault="004E64E3" w:rsidP="00A53E8C">
            <w:pPr>
              <w:pStyle w:val="ECDSBody"/>
            </w:pPr>
            <w:r w:rsidRPr="005D4222">
              <w:rPr>
                <w:b/>
              </w:rPr>
              <w:t>Step 6.</w:t>
            </w:r>
            <w:r w:rsidRPr="005D4222">
              <w:t xml:space="preserve"> Use the formula below and the estimated hospitalization risk calculated in step 5 to calculate the variance for each outpatient orthopedic surgery episode.</w:t>
            </w:r>
          </w:p>
          <w:p w14:paraId="0B58F9D4" w14:textId="77777777" w:rsidR="004E64E3" w:rsidRPr="005D4222" w:rsidRDefault="004E64E3" w:rsidP="00A53E8C">
            <w:pPr>
              <w:pStyle w:val="E-Body"/>
              <w:spacing w:before="0"/>
              <w:jc w:val="center"/>
            </w:pPr>
            <w:r w:rsidRPr="005D4222">
              <w:t xml:space="preserve">Variance = Estimated Hospitalization Risk x </w:t>
            </w:r>
            <w:r w:rsidRPr="005D4222">
              <w:br/>
              <w:t>(1 – Estimated Hospitalization Risk)</w:t>
            </w:r>
          </w:p>
          <w:p w14:paraId="6F74F030" w14:textId="77777777" w:rsidR="004E64E3" w:rsidRPr="005D4222" w:rsidRDefault="004E64E3" w:rsidP="00A53E8C">
            <w:pPr>
              <w:pStyle w:val="E-Body"/>
            </w:pPr>
            <w:r w:rsidRPr="005D4222">
              <w:t>Truncate the variance for each outpatient orthopedic surgery episode to 10 decimal places.</w:t>
            </w:r>
          </w:p>
          <w:p w14:paraId="742F47C9" w14:textId="77777777" w:rsidR="004E64E3" w:rsidRPr="005D4222" w:rsidRDefault="004E64E3" w:rsidP="004E64E3">
            <w:pPr>
              <w:pStyle w:val="Bullet"/>
              <w:numPr>
                <w:ilvl w:val="0"/>
                <w:numId w:val="4"/>
              </w:numPr>
              <w:tabs>
                <w:tab w:val="left" w:pos="360"/>
                <w:tab w:val="left" w:pos="576"/>
              </w:tabs>
              <w:ind w:left="576" w:hanging="216"/>
            </w:pPr>
            <w:r w:rsidRPr="005D4222">
              <w:rPr>
                <w:i/>
                <w:iCs/>
              </w:rPr>
              <w:t xml:space="preserve">For example, </w:t>
            </w:r>
            <w:r w:rsidRPr="005D4222">
              <w:t xml:space="preserve">if the estimated hospitalization risk is 0.1518450741 for an outpatient orthopedic surgery episode, then the hospitalization variance for </w:t>
            </w:r>
            <w:r w:rsidRPr="005D4222">
              <w:rPr>
                <w:rFonts w:cs="Arial"/>
              </w:rPr>
              <w:t xml:space="preserve">this </w:t>
            </w:r>
            <w:r w:rsidRPr="005D4222">
              <w:t>outpatient orthopedic surgery episode</w:t>
            </w:r>
            <w:r w:rsidRPr="005D4222">
              <w:rPr>
                <w:rFonts w:cs="Arial"/>
              </w:rPr>
              <w:t xml:space="preserve"> is 0.1518450741 x 0.8481549259 = 0.1287881475.</w:t>
            </w:r>
          </w:p>
          <w:p w14:paraId="54E1EF04" w14:textId="77777777" w:rsidR="004E64E3" w:rsidRPr="005D4222" w:rsidRDefault="004E64E3" w:rsidP="00A53E8C">
            <w:pPr>
              <w:pStyle w:val="Note"/>
              <w:spacing w:after="80"/>
              <w:rPr>
                <w:b/>
                <w:bCs/>
              </w:rPr>
            </w:pPr>
            <w:r w:rsidRPr="005D4222">
              <w:rPr>
                <w:b/>
              </w:rPr>
              <w:t xml:space="preserve">Note: </w:t>
            </w:r>
            <w:r w:rsidRPr="005D4222">
              <w:t>Organizations must sum the variances for each age when populating the variance cells in the reporting tables. When reporting, round the variance to 4 decimal places using the .5 rule.</w:t>
            </w:r>
          </w:p>
        </w:tc>
      </w:tr>
      <w:tr w:rsidR="004E64E3" w:rsidRPr="005D4222" w14:paraId="181C978B"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445E180" w14:textId="77777777" w:rsidR="004E64E3" w:rsidRPr="005D4222" w:rsidRDefault="004E64E3" w:rsidP="00A53E8C">
            <w:pPr>
              <w:pStyle w:val="ECDSMarginHead"/>
            </w:pPr>
            <w:r w:rsidRPr="005D4222">
              <w:t>Numerator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7E8CDBA" w14:textId="77777777" w:rsidR="004E64E3" w:rsidRPr="005D4222" w:rsidRDefault="004E64E3" w:rsidP="00A53E8C">
            <w:pPr>
              <w:pStyle w:val="E-Body"/>
              <w:rPr>
                <w:b/>
                <w:bCs w:val="0"/>
              </w:rPr>
            </w:pPr>
            <w:r w:rsidRPr="005D4222">
              <w:rPr>
                <w:b/>
                <w:bCs w:val="0"/>
              </w:rPr>
              <w:t>Acute hospitalization within 15 days of the outpatient orthopedic surgery episode.</w:t>
            </w:r>
          </w:p>
          <w:p w14:paraId="39295DCB" w14:textId="77777777" w:rsidR="004E64E3" w:rsidRPr="005D4222" w:rsidRDefault="004E64E3" w:rsidP="00A53E8C">
            <w:pPr>
              <w:pStyle w:val="ECDSBody"/>
            </w:pPr>
            <w:r w:rsidRPr="005D4222">
              <w:rPr>
                <w:b/>
              </w:rPr>
              <w:t>Step 1.</w:t>
            </w:r>
            <w:r w:rsidRPr="005D4222">
              <w:t xml:space="preserve"> For each outpatient orthopedic surgery episode, identify all acute inpatient admissions and observation stay hospitalizations with an admission date within 15 days after the outpatient orthopedic surgery episode. </w:t>
            </w:r>
          </w:p>
          <w:p w14:paraId="03000D17" w14:textId="77777777" w:rsidR="004E64E3" w:rsidRPr="005D4222" w:rsidRDefault="004E64E3" w:rsidP="00A53E8C">
            <w:pPr>
              <w:pStyle w:val="E-Body"/>
            </w:pPr>
            <w:r w:rsidRPr="005D4222">
              <w:t>To identify acute inpatient and observation admissions:</w:t>
            </w:r>
          </w:p>
          <w:p w14:paraId="3402E4C0" w14:textId="66E9857F" w:rsidR="004E64E3" w:rsidRPr="005D4222" w:rsidRDefault="002609C2" w:rsidP="002609C2">
            <w:pPr>
              <w:pStyle w:val="Body"/>
              <w:spacing w:before="120"/>
              <w:ind w:left="648" w:hanging="288"/>
            </w:pPr>
            <w:r w:rsidRPr="005D4222">
              <w:t>1.</w:t>
            </w:r>
            <w:r w:rsidRPr="005D4222">
              <w:tab/>
            </w:r>
            <w:r w:rsidR="004E64E3" w:rsidRPr="005D4222">
              <w:t>Identify all acute and nonacute inpatient stays (</w:t>
            </w:r>
            <w:r w:rsidR="004E64E3" w:rsidRPr="005D4222">
              <w:rPr>
                <w:u w:val="single"/>
              </w:rPr>
              <w:t>Inpatient Stay Value Set</w:t>
            </w:r>
            <w:r w:rsidR="004E64E3" w:rsidRPr="005D4222">
              <w:t>) and observation stays (</w:t>
            </w:r>
            <w:r w:rsidR="004E64E3" w:rsidRPr="005D4222">
              <w:rPr>
                <w:u w:val="single"/>
              </w:rPr>
              <w:t>Observation Stay Value Set</w:t>
            </w:r>
            <w:r w:rsidR="004E64E3" w:rsidRPr="005D4222">
              <w:t>).</w:t>
            </w:r>
          </w:p>
          <w:p w14:paraId="6E0E78D5" w14:textId="65295145" w:rsidR="004E64E3" w:rsidRPr="005D4222" w:rsidRDefault="002609C2" w:rsidP="002609C2">
            <w:pPr>
              <w:pStyle w:val="Body"/>
              <w:spacing w:before="120"/>
              <w:ind w:left="648" w:hanging="288"/>
            </w:pPr>
            <w:r w:rsidRPr="005D4222">
              <w:t>2.</w:t>
            </w:r>
            <w:r w:rsidRPr="005D4222">
              <w:tab/>
            </w:r>
            <w:r w:rsidR="004E64E3" w:rsidRPr="005D4222">
              <w:t xml:space="preserve">Exclude </w:t>
            </w:r>
            <w:r w:rsidR="004E64E3" w:rsidRPr="005D4222">
              <w:rPr>
                <w:szCs w:val="21"/>
              </w:rPr>
              <w:t>nonacute inpatient stays (</w:t>
            </w:r>
            <w:r w:rsidR="004E64E3" w:rsidRPr="005D4222">
              <w:rPr>
                <w:szCs w:val="21"/>
                <w:u w:val="single"/>
              </w:rPr>
              <w:t>Nonacute Inpatient Stay Value Set</w:t>
            </w:r>
            <w:r w:rsidR="004E64E3" w:rsidRPr="005D4222">
              <w:rPr>
                <w:szCs w:val="21"/>
              </w:rPr>
              <w:t xml:space="preserve">). </w:t>
            </w:r>
          </w:p>
          <w:p w14:paraId="3C3E877A" w14:textId="4545D0E1" w:rsidR="004E64E3" w:rsidRPr="005D4222" w:rsidRDefault="002609C2" w:rsidP="002609C2">
            <w:pPr>
              <w:pStyle w:val="Body"/>
              <w:spacing w:before="120"/>
              <w:ind w:left="648" w:hanging="288"/>
            </w:pPr>
            <w:r w:rsidRPr="005D4222">
              <w:t>3.</w:t>
            </w:r>
            <w:r w:rsidRPr="005D4222">
              <w:tab/>
            </w:r>
            <w:r w:rsidR="004E64E3" w:rsidRPr="005D4222">
              <w:t>Identify the admission date for the stay.</w:t>
            </w:r>
          </w:p>
          <w:p w14:paraId="45E03627" w14:textId="77777777" w:rsidR="004E64E3" w:rsidRPr="005D4222" w:rsidRDefault="004E64E3" w:rsidP="00A53E8C">
            <w:pPr>
              <w:pStyle w:val="ECDSBody"/>
            </w:pPr>
            <w:r w:rsidRPr="005D4222">
              <w:rPr>
                <w:b/>
              </w:rPr>
              <w:t>Step 2.</w:t>
            </w:r>
            <w:r w:rsidRPr="005D4222">
              <w:t xml:space="preserve"> For discharges with one or more direct transfers, use the last discharge. </w:t>
            </w:r>
          </w:p>
          <w:p w14:paraId="458A400C" w14:textId="77777777" w:rsidR="004E64E3" w:rsidRPr="005D4222" w:rsidRDefault="004E64E3" w:rsidP="00A53E8C">
            <w:pPr>
              <w:pStyle w:val="E-Body"/>
            </w:pPr>
            <w:r w:rsidRPr="005D4222">
              <w:t>Using the discharges identified in step 1, identify direct transfers between acute inpatient and observation using the definition of direct transfer.</w:t>
            </w:r>
          </w:p>
          <w:p w14:paraId="776FD3C8" w14:textId="215C9CE1" w:rsidR="002609C2" w:rsidRPr="005D4222" w:rsidRDefault="004E64E3" w:rsidP="002609C2">
            <w:pPr>
              <w:pStyle w:val="ECDSBody"/>
            </w:pPr>
            <w:r w:rsidRPr="005D4222">
              <w:rPr>
                <w:b/>
              </w:rPr>
              <w:t>Step 3.</w:t>
            </w:r>
            <w:r w:rsidRPr="005D4222">
              <w:t xml:space="preserve"> For the remaining discharges, exclude inpatient and observation stay discharges with any of the following criteria on the discharge claim: </w:t>
            </w:r>
          </w:p>
        </w:tc>
      </w:tr>
      <w:tr w:rsidR="004E64E3" w:rsidRPr="005D4222" w14:paraId="7975D798" w14:textId="77777777" w:rsidTr="00A53E8C">
        <w:tc>
          <w:tcPr>
            <w:tcW w:w="2157" w:type="dxa"/>
            <w:tcBorders>
              <w:top w:val="single" w:sz="4" w:space="0" w:color="auto"/>
              <w:left w:val="single" w:sz="2" w:space="0" w:color="auto"/>
              <w:bottom w:val="nil"/>
              <w:right w:val="single" w:sz="2" w:space="0" w:color="auto"/>
            </w:tcBorders>
            <w:shd w:val="clear" w:color="auto" w:fill="BFBFBF" w:themeFill="background1" w:themeFillShade="BF"/>
            <w:tcMar>
              <w:top w:w="0" w:type="dxa"/>
              <w:left w:w="86" w:type="dxa"/>
              <w:bottom w:w="43" w:type="dxa"/>
              <w:right w:w="86" w:type="dxa"/>
            </w:tcMar>
          </w:tcPr>
          <w:p w14:paraId="1BEE7AF4" w14:textId="77777777" w:rsidR="004E64E3" w:rsidRPr="005D4222" w:rsidRDefault="004E64E3" w:rsidP="00A53E8C">
            <w:pPr>
              <w:pStyle w:val="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B40FB9C" w14:textId="77777777" w:rsidR="002609C2" w:rsidRPr="005D4222" w:rsidRDefault="002609C2" w:rsidP="002609C2">
            <w:pPr>
              <w:pStyle w:val="Bullet"/>
              <w:numPr>
                <w:ilvl w:val="0"/>
                <w:numId w:val="4"/>
              </w:numPr>
              <w:tabs>
                <w:tab w:val="left" w:pos="360"/>
                <w:tab w:val="left" w:pos="576"/>
              </w:tabs>
              <w:ind w:left="576" w:hanging="216"/>
            </w:pPr>
            <w:r w:rsidRPr="005D4222">
              <w:t>A principal diagnosis of maintenance chemotherapy (</w:t>
            </w:r>
            <w:r w:rsidRPr="005D4222">
              <w:rPr>
                <w:u w:val="single"/>
              </w:rPr>
              <w:t>Chemotherapy Encounter Value Set</w:t>
            </w:r>
            <w:r w:rsidRPr="005D4222">
              <w:t xml:space="preserve">). </w:t>
            </w:r>
          </w:p>
          <w:p w14:paraId="57014D7D" w14:textId="77777777" w:rsidR="002609C2" w:rsidRPr="005D4222" w:rsidRDefault="002609C2" w:rsidP="002609C2">
            <w:pPr>
              <w:pStyle w:val="Bullet"/>
              <w:numPr>
                <w:ilvl w:val="0"/>
                <w:numId w:val="4"/>
              </w:numPr>
              <w:tabs>
                <w:tab w:val="left" w:pos="360"/>
                <w:tab w:val="left" w:pos="576"/>
              </w:tabs>
              <w:ind w:left="576" w:hanging="216"/>
            </w:pPr>
            <w:r w:rsidRPr="005D4222">
              <w:t>A principal diagnosis of rehabilitation (</w:t>
            </w:r>
            <w:r w:rsidRPr="005D4222">
              <w:rPr>
                <w:u w:val="single"/>
              </w:rPr>
              <w:t>Rehabilitation Value Set</w:t>
            </w:r>
            <w:r w:rsidRPr="005D4222">
              <w:t xml:space="preserve">). </w:t>
            </w:r>
          </w:p>
          <w:p w14:paraId="680688A1" w14:textId="77777777" w:rsidR="002609C2" w:rsidRPr="005D4222" w:rsidRDefault="002609C2" w:rsidP="002609C2">
            <w:pPr>
              <w:pStyle w:val="Bullet"/>
              <w:numPr>
                <w:ilvl w:val="0"/>
                <w:numId w:val="4"/>
              </w:numPr>
              <w:tabs>
                <w:tab w:val="left" w:pos="360"/>
                <w:tab w:val="left" w:pos="576"/>
              </w:tabs>
              <w:ind w:left="576" w:hanging="216"/>
            </w:pPr>
            <w:r w:rsidRPr="005D4222">
              <w:t>An organ transplant (</w:t>
            </w:r>
            <w:r w:rsidRPr="005D4222">
              <w:rPr>
                <w:u w:val="single"/>
              </w:rPr>
              <w:t>Kidney Transplant Value Set</w:t>
            </w:r>
            <w:r w:rsidRPr="005D4222">
              <w:t xml:space="preserve">, </w:t>
            </w:r>
            <w:r w:rsidRPr="005D4222">
              <w:rPr>
                <w:u w:val="single"/>
              </w:rPr>
              <w:t>Bone Marrow Transplant Value Set</w:t>
            </w:r>
            <w:r w:rsidRPr="005D4222">
              <w:t xml:space="preserve">, </w:t>
            </w:r>
            <w:r w:rsidRPr="005D4222">
              <w:rPr>
                <w:u w:val="single"/>
              </w:rPr>
              <w:t>Organ Transplant Other Than Kidney Value Set</w:t>
            </w:r>
            <w:r w:rsidRPr="005D4222">
              <w:t xml:space="preserve">, </w:t>
            </w:r>
            <w:r w:rsidRPr="005D4222">
              <w:rPr>
                <w:u w:val="single"/>
              </w:rPr>
              <w:t>Introduction of Autologous Pancreatic Cells Value Set</w:t>
            </w:r>
            <w:r w:rsidRPr="005D4222">
              <w:t>).</w:t>
            </w:r>
          </w:p>
          <w:p w14:paraId="5DB4689F" w14:textId="77777777" w:rsidR="002609C2" w:rsidRPr="005D4222" w:rsidRDefault="002609C2" w:rsidP="002609C2">
            <w:pPr>
              <w:pStyle w:val="Bullet"/>
              <w:numPr>
                <w:ilvl w:val="0"/>
                <w:numId w:val="4"/>
              </w:numPr>
              <w:tabs>
                <w:tab w:val="left" w:pos="360"/>
                <w:tab w:val="left" w:pos="576"/>
              </w:tabs>
              <w:spacing w:after="80"/>
              <w:ind w:left="576" w:hanging="216"/>
            </w:pPr>
            <w:r w:rsidRPr="005D4222">
              <w:t>A potentially planned procedure (</w:t>
            </w:r>
            <w:r w:rsidRPr="005D4222">
              <w:rPr>
                <w:u w:val="single"/>
              </w:rPr>
              <w:t>Potentially Planned Procedures Value Set</w:t>
            </w:r>
            <w:r w:rsidRPr="005D4222">
              <w:t>) without a principal acute diagnosis (</w:t>
            </w:r>
            <w:r w:rsidRPr="005D4222">
              <w:rPr>
                <w:u w:val="single"/>
              </w:rPr>
              <w:t>Acute Condition Value Set</w:t>
            </w:r>
            <w:r w:rsidRPr="005D4222">
              <w:t>).</w:t>
            </w:r>
          </w:p>
          <w:p w14:paraId="26EF92BF" w14:textId="77777777" w:rsidR="004E64E3" w:rsidRPr="005D4222" w:rsidRDefault="004E64E3" w:rsidP="00A53E8C">
            <w:pPr>
              <w:spacing w:before="120" w:after="80"/>
              <w:rPr>
                <w:b/>
                <w:bCs/>
                <w:i/>
                <w:iCs/>
                <w:sz w:val="20"/>
              </w:rPr>
            </w:pPr>
            <w:r w:rsidRPr="005D4222">
              <w:rPr>
                <w:b/>
                <w:bCs/>
                <w:i/>
                <w:iCs/>
                <w:sz w:val="20"/>
              </w:rPr>
              <w:t>Note</w:t>
            </w:r>
          </w:p>
          <w:p w14:paraId="4FDD7464" w14:textId="77777777" w:rsidR="004E64E3" w:rsidRPr="005D4222" w:rsidRDefault="004E64E3" w:rsidP="005D6173">
            <w:pPr>
              <w:pStyle w:val="ProcessBullet"/>
              <w:numPr>
                <w:ilvl w:val="0"/>
                <w:numId w:val="98"/>
              </w:numPr>
              <w:spacing w:after="40"/>
              <w:ind w:left="216" w:hanging="216"/>
              <w:rPr>
                <w:i/>
                <w:iCs/>
                <w:sz w:val="20"/>
                <w:szCs w:val="20"/>
              </w:rPr>
            </w:pPr>
            <w:r w:rsidRPr="005D4222">
              <w:rPr>
                <w:i/>
                <w:sz w:val="20"/>
                <w:szCs w:val="20"/>
              </w:rPr>
              <w:t>For hospital stays where there was a direct transfer (identified in step 2), use the original stay and any direct transfer stays to identify exclusions in this step.</w:t>
            </w:r>
          </w:p>
          <w:p w14:paraId="7DC6F358" w14:textId="77777777" w:rsidR="004E64E3" w:rsidRPr="005D4222" w:rsidRDefault="004E64E3" w:rsidP="005D6173">
            <w:pPr>
              <w:pStyle w:val="ProcessBullet"/>
              <w:numPr>
                <w:ilvl w:val="0"/>
                <w:numId w:val="98"/>
              </w:numPr>
              <w:spacing w:after="40"/>
              <w:ind w:left="216" w:hanging="216"/>
              <w:rPr>
                <w:i/>
                <w:iCs/>
                <w:sz w:val="20"/>
                <w:szCs w:val="20"/>
              </w:rPr>
            </w:pPr>
            <w:r w:rsidRPr="005D4222">
              <w:rPr>
                <w:i/>
                <w:iCs/>
                <w:sz w:val="20"/>
                <w:szCs w:val="20"/>
              </w:rPr>
              <w:t xml:space="preserve">Only one inpatient admission or observation stay hospitalization may be included in the numerators for each unique outpatient orthopedic surgery episode denominator event. If there are multiple numerator events that meet criteria for a singular denominator event, only count the numerator event closest to the outpatient orthopedic surgery episode. </w:t>
            </w:r>
          </w:p>
          <w:p w14:paraId="54728110" w14:textId="77777777" w:rsidR="004E64E3" w:rsidRPr="005D4222" w:rsidRDefault="004E64E3" w:rsidP="00A53E8C">
            <w:pPr>
              <w:pStyle w:val="ProcessBullet"/>
              <w:numPr>
                <w:ilvl w:val="0"/>
                <w:numId w:val="0"/>
              </w:numPr>
              <w:ind w:left="216"/>
              <w:rPr>
                <w:i/>
                <w:iCs/>
                <w:sz w:val="20"/>
                <w:szCs w:val="20"/>
              </w:rPr>
            </w:pPr>
            <w:r w:rsidRPr="005D4222">
              <w:rPr>
                <w:sz w:val="20"/>
                <w:szCs w:val="20"/>
              </w:rPr>
              <w:t xml:space="preserve">For example, </w:t>
            </w:r>
            <w:r w:rsidRPr="005D4222">
              <w:rPr>
                <w:i/>
                <w:iCs/>
                <w:sz w:val="20"/>
                <w:szCs w:val="20"/>
              </w:rPr>
              <w:t>consider the following events:</w:t>
            </w:r>
          </w:p>
          <w:p w14:paraId="47CE13A9" w14:textId="77777777" w:rsidR="004E64E3" w:rsidRPr="005D4222" w:rsidRDefault="004E64E3" w:rsidP="004E64E3">
            <w:pPr>
              <w:pStyle w:val="ProcessDash"/>
              <w:spacing w:after="40"/>
              <w:rPr>
                <w:i/>
                <w:iCs/>
                <w:sz w:val="20"/>
              </w:rPr>
            </w:pPr>
            <w:r w:rsidRPr="005D4222">
              <w:rPr>
                <w:i/>
                <w:iCs/>
                <w:sz w:val="20"/>
              </w:rPr>
              <w:t>Outpatient orthopedic surgery episode: May 10.</w:t>
            </w:r>
          </w:p>
          <w:p w14:paraId="47D513DC" w14:textId="77777777" w:rsidR="004E64E3" w:rsidRPr="005D4222" w:rsidRDefault="004E64E3" w:rsidP="004E64E3">
            <w:pPr>
              <w:pStyle w:val="ProcessDash"/>
              <w:spacing w:after="40"/>
              <w:rPr>
                <w:i/>
                <w:iCs/>
                <w:sz w:val="20"/>
              </w:rPr>
            </w:pPr>
            <w:r w:rsidRPr="005D4222">
              <w:rPr>
                <w:i/>
                <w:iCs/>
                <w:sz w:val="20"/>
              </w:rPr>
              <w:t>Observation stay: May 13–14.</w:t>
            </w:r>
          </w:p>
          <w:p w14:paraId="5467B41D" w14:textId="77777777" w:rsidR="004E64E3" w:rsidRPr="005D4222" w:rsidRDefault="004E64E3" w:rsidP="004E64E3">
            <w:pPr>
              <w:pStyle w:val="ProcessDash"/>
              <w:spacing w:after="40"/>
              <w:rPr>
                <w:i/>
                <w:iCs/>
                <w:sz w:val="20"/>
              </w:rPr>
            </w:pPr>
            <w:r w:rsidRPr="005D4222">
              <w:rPr>
                <w:i/>
                <w:iCs/>
                <w:sz w:val="20"/>
              </w:rPr>
              <w:t>Acute inpatient stay: May 16–20.</w:t>
            </w:r>
          </w:p>
          <w:p w14:paraId="2975AA88" w14:textId="77777777" w:rsidR="004E64E3" w:rsidRPr="005D4222" w:rsidRDefault="004E64E3" w:rsidP="00A53E8C">
            <w:pPr>
              <w:pStyle w:val="Body"/>
              <w:spacing w:before="80"/>
              <w:ind w:left="216"/>
              <w:rPr>
                <w:i/>
                <w:iCs/>
                <w:sz w:val="20"/>
              </w:rPr>
            </w:pPr>
            <w:r w:rsidRPr="005D4222">
              <w:rPr>
                <w:i/>
                <w:iCs/>
                <w:sz w:val="20"/>
              </w:rPr>
              <w:t>Both the observation stay of May 13–14 and the acute inpatient stay of May 16–20 are within 15 days of the outpatient orthopedic surgery episode on May 10. Only the observation stay is included in the numerator because it is the hospitalization event closest to the outpatient orthopedic surgery episode.</w:t>
            </w:r>
          </w:p>
          <w:p w14:paraId="221BEFC3" w14:textId="77777777" w:rsidR="004E64E3" w:rsidRPr="005D4222" w:rsidRDefault="004E64E3" w:rsidP="005D6173">
            <w:pPr>
              <w:pStyle w:val="ProcessBullet"/>
              <w:numPr>
                <w:ilvl w:val="0"/>
                <w:numId w:val="98"/>
              </w:numPr>
              <w:ind w:left="216" w:hanging="216"/>
              <w:rPr>
                <w:i/>
                <w:iCs/>
                <w:sz w:val="20"/>
                <w:szCs w:val="20"/>
              </w:rPr>
            </w:pPr>
            <w:r w:rsidRPr="005D4222">
              <w:rPr>
                <w:i/>
                <w:iCs/>
                <w:sz w:val="20"/>
                <w:szCs w:val="20"/>
              </w:rPr>
              <w:t xml:space="preserve">Count each unique acute inpatient admission or observation stay hospitalization only once toward the numerator for the last denominator event. If a single numerator event meets criteria for multiple denominator events, only attribute the numerator event to the last denominator event. </w:t>
            </w:r>
          </w:p>
          <w:p w14:paraId="24C9C2D7" w14:textId="77777777" w:rsidR="004E64E3" w:rsidRPr="005D4222" w:rsidRDefault="004E64E3" w:rsidP="00A53E8C">
            <w:pPr>
              <w:pStyle w:val="ProcessBullet"/>
              <w:numPr>
                <w:ilvl w:val="0"/>
                <w:numId w:val="0"/>
              </w:numPr>
              <w:ind w:left="216"/>
              <w:rPr>
                <w:i/>
                <w:iCs/>
                <w:sz w:val="20"/>
                <w:szCs w:val="20"/>
              </w:rPr>
            </w:pPr>
            <w:r w:rsidRPr="005D4222">
              <w:rPr>
                <w:sz w:val="20"/>
                <w:szCs w:val="20"/>
              </w:rPr>
              <w:t xml:space="preserve">For example, </w:t>
            </w:r>
            <w:r w:rsidRPr="005D4222">
              <w:rPr>
                <w:i/>
                <w:iCs/>
                <w:sz w:val="20"/>
                <w:szCs w:val="20"/>
              </w:rPr>
              <w:t>consider the following events:</w:t>
            </w:r>
          </w:p>
          <w:p w14:paraId="6B447204" w14:textId="77777777" w:rsidR="004E64E3" w:rsidRPr="005D4222" w:rsidRDefault="004E64E3" w:rsidP="004E64E3">
            <w:pPr>
              <w:pStyle w:val="ProcessDash"/>
              <w:spacing w:after="40"/>
              <w:rPr>
                <w:i/>
                <w:iCs/>
                <w:sz w:val="20"/>
              </w:rPr>
            </w:pPr>
            <w:r w:rsidRPr="005D4222">
              <w:rPr>
                <w:i/>
                <w:iCs/>
                <w:sz w:val="20"/>
              </w:rPr>
              <w:t>Outpatient orthopedic surgery episode 1: May 10.</w:t>
            </w:r>
          </w:p>
          <w:p w14:paraId="3BD70155" w14:textId="77777777" w:rsidR="004E64E3" w:rsidRPr="005D4222" w:rsidRDefault="004E64E3" w:rsidP="004E64E3">
            <w:pPr>
              <w:pStyle w:val="ProcessDash"/>
              <w:spacing w:after="40"/>
              <w:rPr>
                <w:i/>
                <w:iCs/>
                <w:sz w:val="20"/>
              </w:rPr>
            </w:pPr>
            <w:r w:rsidRPr="005D4222">
              <w:rPr>
                <w:i/>
                <w:iCs/>
                <w:sz w:val="20"/>
              </w:rPr>
              <w:t>Outpatient orthopedic surgery episode 2: May 15.</w:t>
            </w:r>
          </w:p>
          <w:p w14:paraId="425AF9B6" w14:textId="77777777" w:rsidR="004E64E3" w:rsidRPr="005D4222" w:rsidRDefault="004E64E3" w:rsidP="004E64E3">
            <w:pPr>
              <w:pStyle w:val="ProcessDash"/>
              <w:spacing w:after="40"/>
              <w:rPr>
                <w:i/>
                <w:iCs/>
                <w:sz w:val="20"/>
              </w:rPr>
            </w:pPr>
            <w:r w:rsidRPr="005D4222">
              <w:rPr>
                <w:i/>
                <w:iCs/>
                <w:sz w:val="20"/>
              </w:rPr>
              <w:t>Acute inpatient stay: May 18.</w:t>
            </w:r>
          </w:p>
          <w:p w14:paraId="372AA12C" w14:textId="77777777" w:rsidR="004E64E3" w:rsidRPr="005D4222" w:rsidRDefault="004E64E3" w:rsidP="002609C2">
            <w:pPr>
              <w:pStyle w:val="Body"/>
              <w:spacing w:before="80" w:after="80"/>
              <w:ind w:left="216"/>
              <w:rPr>
                <w:b/>
              </w:rPr>
            </w:pPr>
            <w:r w:rsidRPr="005D4222">
              <w:rPr>
                <w:i/>
                <w:iCs/>
                <w:sz w:val="20"/>
              </w:rPr>
              <w:t>The outpatient orthopedic surgery episodes of May 10 and May 15 are included as denominator events. The acute inpatient stay counts as a numerator event only toward the last denominator event (episode 2, May 15)</w:t>
            </w:r>
            <w:r w:rsidRPr="005D4222">
              <w:rPr>
                <w:i/>
                <w:sz w:val="20"/>
              </w:rPr>
              <w:t>.</w:t>
            </w:r>
          </w:p>
        </w:tc>
      </w:tr>
      <w:tr w:rsidR="004E64E3" w:rsidRPr="005D4222" w14:paraId="158F9EDE"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8DCCE6A" w14:textId="77777777" w:rsidR="004E64E3" w:rsidRPr="005D4222" w:rsidRDefault="004E64E3" w:rsidP="00A53E8C">
            <w:pPr>
              <w:pStyle w:val="ECDSMarginHead"/>
            </w:pPr>
            <w:r w:rsidRPr="005D4222">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9E79D71" w14:textId="77777777" w:rsidR="004E64E3" w:rsidRPr="005D4222" w:rsidRDefault="004E64E3" w:rsidP="005D6173">
            <w:pPr>
              <w:pStyle w:val="ProcessBullet"/>
              <w:numPr>
                <w:ilvl w:val="0"/>
                <w:numId w:val="98"/>
              </w:numPr>
              <w:tabs>
                <w:tab w:val="left" w:pos="216"/>
              </w:tabs>
              <w:spacing w:before="120"/>
              <w:ind w:left="216" w:hanging="216"/>
              <w:rPr>
                <w:rFonts w:eastAsiaTheme="minorHAnsi"/>
              </w:rPr>
            </w:pPr>
            <w:r w:rsidRPr="005D4222">
              <w:rPr>
                <w:rFonts w:eastAsia="Arial"/>
              </w:rPr>
              <w:t>This is a first-year measure.</w:t>
            </w:r>
          </w:p>
        </w:tc>
      </w:tr>
      <w:tr w:rsidR="004E64E3" w:rsidRPr="005D4222" w14:paraId="7D936E24"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1CE6192" w14:textId="77777777" w:rsidR="004E64E3" w:rsidRPr="005D4222" w:rsidRDefault="004E64E3" w:rsidP="00A53E8C">
            <w:pPr>
              <w:pStyle w:val="ECDS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581FD5A" w14:textId="77777777" w:rsidR="004E64E3" w:rsidRPr="005D4222" w:rsidRDefault="004E64E3" w:rsidP="00A53E8C">
            <w:pPr>
              <w:pStyle w:val="E-Body"/>
            </w:pPr>
            <w:r w:rsidRPr="005D4222" w:rsidDel="00FC0C82">
              <w:rPr>
                <w:b/>
                <w:i/>
              </w:rPr>
              <w:t>Reporting</w:t>
            </w:r>
            <w:r w:rsidRPr="005D4222">
              <w:rPr>
                <w:b/>
                <w:bCs w:val="0"/>
                <w:i/>
                <w:iCs/>
              </w:rPr>
              <w:t>:</w:t>
            </w:r>
            <w:r w:rsidRPr="005D4222">
              <w:rPr>
                <w:b/>
                <w:bCs w:val="0"/>
              </w:rPr>
              <w:t xml:space="preserve"> Denominator</w:t>
            </w:r>
            <w:r w:rsidRPr="005D4222">
              <w:rPr>
                <w:b/>
                <w:bCs w:val="0"/>
              </w:rPr>
              <w:br/>
            </w:r>
            <w:r w:rsidRPr="005D4222">
              <w:t>The number of outpatient orthopedic surgery episodes, reported as the Denominator.</w:t>
            </w:r>
          </w:p>
          <w:p w14:paraId="16F2D99F" w14:textId="58072C3C" w:rsidR="004E64E3" w:rsidRPr="005D4222" w:rsidRDefault="004E64E3" w:rsidP="002609C2">
            <w:pPr>
              <w:pStyle w:val="E-Body"/>
            </w:pPr>
            <w:r w:rsidRPr="005D4222">
              <w:rPr>
                <w:b/>
                <w:bCs w:val="0"/>
                <w:i/>
                <w:iCs/>
              </w:rPr>
              <w:t xml:space="preserve">Reporting: </w:t>
            </w:r>
            <w:r w:rsidRPr="005D4222">
              <w:rPr>
                <w:b/>
                <w:bCs w:val="0"/>
              </w:rPr>
              <w:t>Numerator</w:t>
            </w:r>
            <w:r w:rsidRPr="005D4222">
              <w:rPr>
                <w:b/>
                <w:bCs w:val="0"/>
              </w:rPr>
              <w:br/>
            </w:r>
            <w:r w:rsidRPr="005D4222">
              <w:t>The number of observed acute inpatient admission or observation stay hospitalizations, reported as the ObservedCount.</w:t>
            </w:r>
          </w:p>
        </w:tc>
      </w:tr>
    </w:tbl>
    <w:p w14:paraId="2638E2A0" w14:textId="77777777" w:rsidR="002609C2" w:rsidRPr="005D4222" w:rsidRDefault="002609C2"/>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2609C2" w:rsidRPr="005D4222" w14:paraId="6604476E"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F675667" w14:textId="77777777" w:rsidR="002609C2" w:rsidRPr="005D4222" w:rsidRDefault="002609C2"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FDC70A3" w14:textId="4DDE1D75" w:rsidR="002609C2" w:rsidRPr="005D4222" w:rsidRDefault="002609C2" w:rsidP="002609C2">
            <w:pPr>
              <w:pStyle w:val="E-Body"/>
            </w:pPr>
            <w:r w:rsidRPr="005D4222">
              <w:rPr>
                <w:b/>
                <w:bCs w:val="0"/>
                <w:i/>
                <w:iCs/>
              </w:rPr>
              <w:t>Calculated:</w:t>
            </w:r>
            <w:r w:rsidRPr="005D4222">
              <w:rPr>
                <w:b/>
                <w:bCs w:val="0"/>
              </w:rPr>
              <w:t xml:space="preserve"> Observed hospitalization rate</w:t>
            </w:r>
            <w:r w:rsidRPr="005D4222">
              <w:rPr>
                <w:b/>
                <w:bCs w:val="0"/>
              </w:rPr>
              <w:br/>
            </w:r>
            <w:r w:rsidRPr="005D4222">
              <w:t>The number of observed acute inpatient admission or observation stay hospitalizations (ObservedCount) divided by the number of outpatient orthopedic surgery episodes (</w:t>
            </w:r>
            <w:r w:rsidR="00292466" w:rsidRPr="005D4222">
              <w:t>D</w:t>
            </w:r>
            <w:r w:rsidRPr="005D4222">
              <w:t>enominator). Calculated by IDSS as the ObservedRate.</w:t>
            </w:r>
          </w:p>
          <w:p w14:paraId="46DA237C" w14:textId="77777777" w:rsidR="002609C2" w:rsidRPr="005D4222" w:rsidRDefault="002609C2" w:rsidP="002609C2">
            <w:pPr>
              <w:pStyle w:val="E-Body"/>
              <w:rPr>
                <w:b/>
                <w:bCs w:val="0"/>
              </w:rPr>
            </w:pPr>
            <w:r w:rsidRPr="005D4222">
              <w:rPr>
                <w:b/>
                <w:bCs w:val="0"/>
                <w:i/>
                <w:iCs/>
              </w:rPr>
              <w:t xml:space="preserve">Reporting: </w:t>
            </w:r>
            <w:r w:rsidRPr="005D4222">
              <w:rPr>
                <w:b/>
                <w:bCs w:val="0"/>
              </w:rPr>
              <w:t>Count of expected hospitalizations</w:t>
            </w:r>
          </w:p>
          <w:p w14:paraId="39903911" w14:textId="77777777" w:rsidR="002609C2" w:rsidRPr="005D4222" w:rsidRDefault="002609C2" w:rsidP="002609C2">
            <w:pPr>
              <w:pStyle w:val="ECDSBody"/>
            </w:pPr>
            <w:r w:rsidRPr="005D4222">
              <w:rPr>
                <w:b/>
              </w:rPr>
              <w:t>Step 1.</w:t>
            </w:r>
            <w:r w:rsidRPr="005D4222">
              <w:t xml:space="preserve"> Calculate the number of expected inpatient admission or observation stay hospitalizations.</w:t>
            </w:r>
          </w:p>
          <w:p w14:paraId="6CEA2607" w14:textId="77777777" w:rsidR="002609C2" w:rsidRPr="005D4222" w:rsidRDefault="002609C2" w:rsidP="002609C2">
            <w:pPr>
              <w:pStyle w:val="ECDSBody"/>
            </w:pPr>
            <w:r w:rsidRPr="005D4222">
              <w:rPr>
                <w:b/>
              </w:rPr>
              <w:t>Step 2.</w:t>
            </w:r>
            <w:r w:rsidRPr="005D4222">
              <w:t xml:space="preserve"> Round to 4 decimal places using the .5 rule and report these values as the ExpectedCount.</w:t>
            </w:r>
          </w:p>
          <w:p w14:paraId="6DC1C71D" w14:textId="392164C8" w:rsidR="002609C2" w:rsidRPr="005D4222" w:rsidRDefault="002609C2" w:rsidP="002609C2">
            <w:pPr>
              <w:pStyle w:val="E-Body"/>
            </w:pPr>
            <w:r w:rsidRPr="005D4222">
              <w:rPr>
                <w:b/>
                <w:bCs w:val="0"/>
                <w:i/>
                <w:iCs/>
              </w:rPr>
              <w:t>Calculated:</w:t>
            </w:r>
            <w:r w:rsidRPr="005D4222">
              <w:rPr>
                <w:b/>
                <w:bCs w:val="0"/>
              </w:rPr>
              <w:t xml:space="preserve"> Expected hospitalization rate</w:t>
            </w:r>
            <w:r w:rsidRPr="005D4222">
              <w:rPr>
                <w:b/>
                <w:bCs w:val="0"/>
              </w:rPr>
              <w:br/>
            </w:r>
            <w:r w:rsidRPr="005D4222">
              <w:t>The number of expected acute inpatient admission or observation stay hospitalizations (ExpectedCount) divided by the number of outpatient orthopedic surgery episodes (</w:t>
            </w:r>
            <w:r w:rsidR="00292466" w:rsidRPr="005D4222">
              <w:t>D</w:t>
            </w:r>
            <w:r w:rsidRPr="005D4222">
              <w:t>enominator). Calculated by IDSS as the ExpectedRate.</w:t>
            </w:r>
          </w:p>
          <w:p w14:paraId="3E008504" w14:textId="77777777" w:rsidR="002609C2" w:rsidRPr="005D4222" w:rsidRDefault="002609C2" w:rsidP="002609C2">
            <w:pPr>
              <w:pStyle w:val="E-Body"/>
              <w:rPr>
                <w:b/>
                <w:bCs w:val="0"/>
              </w:rPr>
            </w:pPr>
            <w:r w:rsidRPr="005D4222">
              <w:rPr>
                <w:b/>
                <w:bCs w:val="0"/>
                <w:i/>
                <w:iCs/>
              </w:rPr>
              <w:t xml:space="preserve">Reporting: </w:t>
            </w:r>
            <w:r w:rsidRPr="005D4222">
              <w:rPr>
                <w:b/>
                <w:bCs w:val="0"/>
              </w:rPr>
              <w:t>Variance</w:t>
            </w:r>
          </w:p>
          <w:p w14:paraId="34FBD06E" w14:textId="77777777" w:rsidR="002609C2" w:rsidRPr="005D4222" w:rsidRDefault="002609C2" w:rsidP="002609C2">
            <w:pPr>
              <w:pStyle w:val="ECDSBody"/>
            </w:pPr>
            <w:r w:rsidRPr="005D4222">
              <w:rPr>
                <w:b/>
              </w:rPr>
              <w:t>Step 1.</w:t>
            </w:r>
            <w:r w:rsidRPr="005D4222">
              <w:t xml:space="preserve"> Calculate the variance </w:t>
            </w:r>
            <w:r w:rsidRPr="005D4222">
              <w:rPr>
                <w:rFonts w:eastAsiaTheme="minorEastAsia"/>
                <w:color w:val="000000"/>
                <w:lang w:eastAsia="zh-CN"/>
              </w:rPr>
              <w:t>(</w:t>
            </w:r>
            <w:r w:rsidRPr="005D4222">
              <w:rPr>
                <w:rFonts w:eastAsiaTheme="minorEastAsia"/>
                <w:i/>
                <w:iCs/>
                <w:color w:val="000000"/>
                <w:lang w:eastAsia="zh-CN"/>
              </w:rPr>
              <w:t>Risk Adjustment Calculation</w:t>
            </w:r>
            <w:r w:rsidRPr="005D4222">
              <w:rPr>
                <w:rFonts w:eastAsiaTheme="minorEastAsia"/>
                <w:color w:val="000000"/>
                <w:lang w:eastAsia="zh-CN"/>
              </w:rPr>
              <w:t>, step 6)</w:t>
            </w:r>
            <w:r w:rsidRPr="005D4222">
              <w:t>.</w:t>
            </w:r>
          </w:p>
          <w:p w14:paraId="3B77EDF8" w14:textId="77777777" w:rsidR="002609C2" w:rsidRPr="005D4222" w:rsidRDefault="002609C2" w:rsidP="002609C2">
            <w:pPr>
              <w:pStyle w:val="ECDSBody"/>
            </w:pPr>
            <w:r w:rsidRPr="005D4222">
              <w:rPr>
                <w:b/>
              </w:rPr>
              <w:t>Step 2.</w:t>
            </w:r>
            <w:r w:rsidRPr="005D4222">
              <w:t xml:space="preserve"> Round to 4 decimal places using the .5 rule and report these values as the CountVariance.</w:t>
            </w:r>
          </w:p>
          <w:p w14:paraId="02F10D0D" w14:textId="77777777" w:rsidR="002609C2" w:rsidRPr="005D4222" w:rsidRDefault="002609C2" w:rsidP="002609C2">
            <w:pPr>
              <w:pStyle w:val="E-Body"/>
            </w:pPr>
            <w:r w:rsidRPr="005D4222">
              <w:rPr>
                <w:b/>
                <w:bCs w:val="0"/>
                <w:i/>
                <w:iCs/>
              </w:rPr>
              <w:t>Calculated:</w:t>
            </w:r>
            <w:r w:rsidRPr="005D4222">
              <w:rPr>
                <w:b/>
                <w:bCs w:val="0"/>
              </w:rPr>
              <w:t xml:space="preserve"> O/E ratio</w:t>
            </w:r>
            <w:r w:rsidRPr="005D4222">
              <w:rPr>
                <w:b/>
                <w:bCs w:val="0"/>
              </w:rPr>
              <w:br/>
            </w:r>
            <w:r w:rsidRPr="005D4222">
              <w:t>The number of observed acute inpatient admission or observation stay hospitalizations (ObservedCount) divided by the number of expected acute inpatient admission or observation stay hospitalizations (ExpectedCount). Calculated by IDSS as the OE.</w:t>
            </w:r>
          </w:p>
          <w:p w14:paraId="748E69E9" w14:textId="77777777" w:rsidR="002609C2" w:rsidRPr="005D4222" w:rsidRDefault="002609C2" w:rsidP="002609C2">
            <w:pPr>
              <w:pStyle w:val="Heading3"/>
              <w:spacing w:before="120"/>
              <w:rPr>
                <w:rFonts w:eastAsia="Arial" w:cs="Times New Roman"/>
                <w:b w:val="0"/>
                <w:i w:val="0"/>
                <w:sz w:val="21"/>
                <w:szCs w:val="21"/>
              </w:rPr>
            </w:pPr>
            <w:r w:rsidRPr="005D4222">
              <w:rPr>
                <w:rFonts w:eastAsia="Arial" w:cs="Times New Roman"/>
                <w:b w:val="0"/>
                <w:i w:val="0"/>
                <w:sz w:val="21"/>
                <w:szCs w:val="21"/>
              </w:rPr>
              <w:t xml:space="preserve">Organizations that submit HEDIS data to NCQA must provide the following data elements. </w:t>
            </w:r>
          </w:p>
          <w:p w14:paraId="168206B6" w14:textId="0EA408F4" w:rsidR="002609C2" w:rsidRPr="005D4222" w:rsidRDefault="002609C2" w:rsidP="002609C2">
            <w:pPr>
              <w:pStyle w:val="Heading3"/>
              <w:spacing w:before="120"/>
              <w:rPr>
                <w:rFonts w:eastAsia="Arial,Times New Roman"/>
              </w:rPr>
            </w:pPr>
            <w:r w:rsidRPr="005D4222">
              <w:rPr>
                <w:rFonts w:eastAsia="Arial,Times New Roman"/>
              </w:rPr>
              <w:t xml:space="preserve">Table HFG-3: Data Elements for </w:t>
            </w:r>
            <w:r w:rsidR="00114134" w:rsidRPr="005D4222">
              <w:rPr>
                <w:rFonts w:eastAsia="Arial,Times New Roman"/>
              </w:rPr>
              <w:t>Acute Hospitalizations Following</w:t>
            </w:r>
            <w:r w:rsidRPr="005D4222">
              <w:rPr>
                <w:rFonts w:eastAsia="Arial,Times New Roman"/>
              </w:rPr>
              <w:t xml:space="preserve"> Outpatient Orthopedic Surgery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2360"/>
              <w:gridCol w:w="1586"/>
              <w:gridCol w:w="3429"/>
            </w:tblGrid>
            <w:tr w:rsidR="002609C2" w:rsidRPr="005D4222" w14:paraId="60611917" w14:textId="77777777" w:rsidTr="00A53E8C">
              <w:trPr>
                <w:cantSplit/>
              </w:trPr>
              <w:tc>
                <w:tcPr>
                  <w:tcW w:w="2413" w:type="dxa"/>
                  <w:tcBorders>
                    <w:top w:val="single" w:sz="4" w:space="0" w:color="auto"/>
                    <w:left w:val="single" w:sz="4" w:space="0" w:color="auto"/>
                    <w:bottom w:val="single" w:sz="4" w:space="0" w:color="auto"/>
                    <w:right w:val="single" w:sz="4" w:space="0" w:color="FFFFFF" w:themeColor="background1"/>
                  </w:tcBorders>
                  <w:shd w:val="clear" w:color="auto" w:fill="000000" w:themeFill="text1"/>
                </w:tcPr>
                <w:p w14:paraId="1548304A" w14:textId="77777777" w:rsidR="002609C2" w:rsidRPr="005D4222" w:rsidRDefault="002609C2" w:rsidP="002609C2">
                  <w:pPr>
                    <w:pStyle w:val="TableHead"/>
                    <w:rPr>
                      <w:rFonts w:eastAsia="Arial Narrow"/>
                    </w:rPr>
                  </w:pPr>
                  <w:r w:rsidRPr="005D4222">
                    <w:rPr>
                      <w:rFonts w:eastAsia="Arial Narrow"/>
                    </w:rPr>
                    <w:t>Metric</w:t>
                  </w:r>
                </w:p>
              </w:tc>
              <w:tc>
                <w:tcPr>
                  <w:tcW w:w="1620" w:type="dxa"/>
                  <w:tcBorders>
                    <w:top w:val="single" w:sz="4" w:space="0" w:color="auto"/>
                    <w:left w:val="single" w:sz="4" w:space="0" w:color="FFFFFF" w:themeColor="background1"/>
                    <w:bottom w:val="single" w:sz="4" w:space="0" w:color="auto"/>
                    <w:right w:val="single" w:sz="6" w:space="0" w:color="FFFFFF" w:themeColor="background1"/>
                  </w:tcBorders>
                  <w:shd w:val="clear" w:color="auto" w:fill="000000" w:themeFill="text1"/>
                  <w:vAlign w:val="bottom"/>
                </w:tcPr>
                <w:p w14:paraId="0D7134E4" w14:textId="77777777" w:rsidR="002609C2" w:rsidRPr="005D4222" w:rsidRDefault="002609C2" w:rsidP="002609C2">
                  <w:pPr>
                    <w:pStyle w:val="TableHead"/>
                    <w:rPr>
                      <w:rFonts w:eastAsia="Arial Narrow"/>
                    </w:rPr>
                  </w:pPr>
                  <w:r w:rsidRPr="005D4222">
                    <w:rPr>
                      <w:rFonts w:eastAsia="Arial Narrow"/>
                    </w:rPr>
                    <w:t xml:space="preserve">Data Element </w:t>
                  </w:r>
                </w:p>
              </w:tc>
              <w:tc>
                <w:tcPr>
                  <w:tcW w:w="3510" w:type="dxa"/>
                  <w:tcBorders>
                    <w:top w:val="single" w:sz="4" w:space="0" w:color="auto"/>
                    <w:left w:val="single" w:sz="6" w:space="0" w:color="FFFFFF" w:themeColor="background1"/>
                    <w:right w:val="single" w:sz="4" w:space="0" w:color="auto"/>
                  </w:tcBorders>
                  <w:shd w:val="clear" w:color="auto" w:fill="000000" w:themeFill="text1"/>
                  <w:vAlign w:val="bottom"/>
                </w:tcPr>
                <w:p w14:paraId="4B06D689" w14:textId="77777777" w:rsidR="002609C2" w:rsidRPr="005D4222" w:rsidRDefault="002609C2" w:rsidP="002609C2">
                  <w:pPr>
                    <w:pStyle w:val="TableHead"/>
                    <w:rPr>
                      <w:rFonts w:eastAsia="Arial Narrow"/>
                    </w:rPr>
                  </w:pPr>
                  <w:r w:rsidRPr="005D4222">
                    <w:rPr>
                      <w:rFonts w:eastAsia="Arial Narrow"/>
                    </w:rPr>
                    <w:t>Reporting Instructions</w:t>
                  </w:r>
                </w:p>
              </w:tc>
            </w:tr>
            <w:tr w:rsidR="002609C2" w:rsidRPr="005D4222" w14:paraId="042DAFF5" w14:textId="77777777" w:rsidTr="00A53E8C">
              <w:trPr>
                <w:cantSplit/>
              </w:trPr>
              <w:tc>
                <w:tcPr>
                  <w:tcW w:w="2413" w:type="dxa"/>
                  <w:tcBorders>
                    <w:top w:val="single" w:sz="4" w:space="0" w:color="auto"/>
                    <w:bottom w:val="single" w:sz="4" w:space="0" w:color="auto"/>
                  </w:tcBorders>
                </w:tcPr>
                <w:p w14:paraId="080C6099" w14:textId="77777777" w:rsidR="002609C2" w:rsidRPr="005D4222" w:rsidRDefault="002609C2" w:rsidP="002609C2">
                  <w:pPr>
                    <w:pStyle w:val="TableText"/>
                    <w:rPr>
                      <w:rFonts w:eastAsia="Arial Narrow"/>
                    </w:rPr>
                  </w:pPr>
                  <w:r w:rsidRPr="005D4222">
                    <w:t>OrthoSurgery</w:t>
                  </w:r>
                </w:p>
              </w:tc>
              <w:tc>
                <w:tcPr>
                  <w:tcW w:w="1620" w:type="dxa"/>
                  <w:tcBorders>
                    <w:bottom w:val="single" w:sz="4" w:space="0" w:color="auto"/>
                  </w:tcBorders>
                </w:tcPr>
                <w:p w14:paraId="5DE28DDE" w14:textId="77777777" w:rsidR="002609C2" w:rsidRPr="005D4222" w:rsidRDefault="002609C2" w:rsidP="002609C2">
                  <w:pPr>
                    <w:pStyle w:val="TableText"/>
                    <w:rPr>
                      <w:rFonts w:eastAsia="Arial Narrow"/>
                    </w:rPr>
                  </w:pPr>
                  <w:r w:rsidRPr="005D4222">
                    <w:rPr>
                      <w:rFonts w:eastAsia="Arial Narrow"/>
                    </w:rPr>
                    <w:t>Denominator</w:t>
                  </w:r>
                </w:p>
              </w:tc>
              <w:tc>
                <w:tcPr>
                  <w:tcW w:w="3510" w:type="dxa"/>
                  <w:tcBorders>
                    <w:bottom w:val="single" w:sz="4" w:space="0" w:color="auto"/>
                  </w:tcBorders>
                </w:tcPr>
                <w:p w14:paraId="57697801" w14:textId="77777777" w:rsidR="002609C2" w:rsidRPr="005D4222" w:rsidRDefault="002609C2" w:rsidP="002609C2">
                  <w:pPr>
                    <w:pStyle w:val="TableText"/>
                    <w:rPr>
                      <w:rFonts w:eastAsia="Arial Narrow"/>
                    </w:rPr>
                  </w:pPr>
                  <w:r w:rsidRPr="005D4222">
                    <w:rPr>
                      <w:rFonts w:eastAsia="Arial Narrow"/>
                    </w:rPr>
                    <w:t>Report once</w:t>
                  </w:r>
                </w:p>
              </w:tc>
            </w:tr>
            <w:tr w:rsidR="002609C2" w:rsidRPr="005D4222" w14:paraId="17752D20" w14:textId="77777777" w:rsidTr="00A53E8C">
              <w:trPr>
                <w:cantSplit/>
              </w:trPr>
              <w:tc>
                <w:tcPr>
                  <w:tcW w:w="2413" w:type="dxa"/>
                  <w:tcBorders>
                    <w:top w:val="single" w:sz="4" w:space="0" w:color="auto"/>
                    <w:left w:val="nil"/>
                    <w:bottom w:val="nil"/>
                    <w:right w:val="single" w:sz="4" w:space="0" w:color="auto"/>
                  </w:tcBorders>
                </w:tcPr>
                <w:p w14:paraId="67C40B90" w14:textId="77777777" w:rsidR="002609C2" w:rsidRPr="005D4222" w:rsidRDefault="002609C2" w:rsidP="002609C2">
                  <w:pPr>
                    <w:pStyle w:val="TableText"/>
                    <w:rPr>
                      <w:rFonts w:eastAsia="Arial Narrow"/>
                    </w:rPr>
                  </w:pPr>
                </w:p>
              </w:tc>
              <w:tc>
                <w:tcPr>
                  <w:tcW w:w="1620" w:type="dxa"/>
                  <w:tcBorders>
                    <w:left w:val="single" w:sz="4" w:space="0" w:color="auto"/>
                    <w:bottom w:val="single" w:sz="4" w:space="0" w:color="auto"/>
                  </w:tcBorders>
                  <w:shd w:val="clear" w:color="auto" w:fill="FFFFFF" w:themeFill="background1"/>
                </w:tcPr>
                <w:p w14:paraId="66FC910A" w14:textId="77777777" w:rsidR="002609C2" w:rsidRPr="005D4222" w:rsidRDefault="002609C2" w:rsidP="002609C2">
                  <w:pPr>
                    <w:pStyle w:val="TableText"/>
                    <w:rPr>
                      <w:rFonts w:eastAsia="Arial Narrow"/>
                    </w:rPr>
                  </w:pPr>
                  <w:r w:rsidRPr="005D4222">
                    <w:t>ObservedCount</w:t>
                  </w:r>
                </w:p>
              </w:tc>
              <w:tc>
                <w:tcPr>
                  <w:tcW w:w="3510" w:type="dxa"/>
                  <w:tcBorders>
                    <w:bottom w:val="single" w:sz="4" w:space="0" w:color="auto"/>
                  </w:tcBorders>
                  <w:shd w:val="clear" w:color="auto" w:fill="FFFFFF" w:themeFill="background1"/>
                </w:tcPr>
                <w:p w14:paraId="025524E6" w14:textId="77777777" w:rsidR="002609C2" w:rsidRPr="005D4222" w:rsidRDefault="002609C2" w:rsidP="002609C2">
                  <w:pPr>
                    <w:pStyle w:val="TableText"/>
                    <w:rPr>
                      <w:rFonts w:eastAsia="Arial Narrow"/>
                    </w:rPr>
                  </w:pPr>
                  <w:r w:rsidRPr="005D4222">
                    <w:rPr>
                      <w:rFonts w:eastAsia="Arial Narrow"/>
                    </w:rPr>
                    <w:t>Report once</w:t>
                  </w:r>
                </w:p>
              </w:tc>
            </w:tr>
            <w:tr w:rsidR="002609C2" w:rsidRPr="005D4222" w14:paraId="26B0E779" w14:textId="77777777" w:rsidTr="00A53E8C">
              <w:trPr>
                <w:cantSplit/>
              </w:trPr>
              <w:tc>
                <w:tcPr>
                  <w:tcW w:w="2413" w:type="dxa"/>
                  <w:tcBorders>
                    <w:top w:val="nil"/>
                    <w:left w:val="nil"/>
                    <w:bottom w:val="nil"/>
                    <w:right w:val="single" w:sz="4" w:space="0" w:color="auto"/>
                  </w:tcBorders>
                  <w:vAlign w:val="bottom"/>
                </w:tcPr>
                <w:p w14:paraId="0550E67E" w14:textId="77777777" w:rsidR="002609C2" w:rsidRPr="005D4222" w:rsidRDefault="002609C2" w:rsidP="002609C2">
                  <w:pPr>
                    <w:pStyle w:val="TableText"/>
                    <w:rPr>
                      <w:rFonts w:eastAsia="Arial Narrow"/>
                    </w:rPr>
                  </w:pP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BA72D4B" w14:textId="77777777" w:rsidR="002609C2" w:rsidRPr="005D4222" w:rsidRDefault="002609C2" w:rsidP="002609C2">
                  <w:pPr>
                    <w:pStyle w:val="TableText"/>
                    <w:rPr>
                      <w:rFonts w:eastAsia="Arial Narrow"/>
                    </w:rPr>
                  </w:pPr>
                  <w:r w:rsidRPr="005D4222">
                    <w:t>ObservedRate</w:t>
                  </w:r>
                </w:p>
              </w:tc>
              <w:tc>
                <w:tcPr>
                  <w:tcW w:w="35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7814E98" w14:textId="77777777" w:rsidR="002609C2" w:rsidRPr="005D4222" w:rsidRDefault="002609C2" w:rsidP="002609C2">
                  <w:pPr>
                    <w:pStyle w:val="TableText"/>
                    <w:rPr>
                      <w:rFonts w:eastAsia="Arial Narrow"/>
                    </w:rPr>
                  </w:pPr>
                  <w:r w:rsidRPr="005D4222">
                    <w:rPr>
                      <w:rFonts w:eastAsia="Arial Narrow"/>
                    </w:rPr>
                    <w:t>ObservedCount / Denominator (Percent)</w:t>
                  </w:r>
                </w:p>
              </w:tc>
            </w:tr>
            <w:tr w:rsidR="002609C2" w:rsidRPr="005D4222" w14:paraId="58E8EE10" w14:textId="77777777" w:rsidTr="00A53E8C">
              <w:trPr>
                <w:cantSplit/>
              </w:trPr>
              <w:tc>
                <w:tcPr>
                  <w:tcW w:w="2413" w:type="dxa"/>
                  <w:tcBorders>
                    <w:top w:val="nil"/>
                    <w:left w:val="nil"/>
                    <w:bottom w:val="nil"/>
                    <w:right w:val="single" w:sz="4" w:space="0" w:color="auto"/>
                  </w:tcBorders>
                  <w:vAlign w:val="bottom"/>
                </w:tcPr>
                <w:p w14:paraId="6BACE705" w14:textId="77777777" w:rsidR="002609C2" w:rsidRPr="005D4222" w:rsidRDefault="002609C2" w:rsidP="002609C2">
                  <w:pPr>
                    <w:pStyle w:val="TableText"/>
                  </w:pP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Pr>
                <w:p w14:paraId="63279164" w14:textId="77777777" w:rsidR="002609C2" w:rsidRPr="005D4222" w:rsidRDefault="002609C2" w:rsidP="002609C2">
                  <w:pPr>
                    <w:pStyle w:val="TableText"/>
                    <w:rPr>
                      <w:rFonts w:eastAsia="Arial Narrow"/>
                    </w:rPr>
                  </w:pPr>
                  <w:r w:rsidRPr="005D4222">
                    <w:t>ExpectedCount</w:t>
                  </w:r>
                </w:p>
              </w:tc>
              <w:tc>
                <w:tcPr>
                  <w:tcW w:w="3510" w:type="dxa"/>
                  <w:tcBorders>
                    <w:top w:val="single" w:sz="4" w:space="0" w:color="auto"/>
                    <w:left w:val="single" w:sz="4" w:space="0" w:color="auto"/>
                    <w:bottom w:val="single" w:sz="4" w:space="0" w:color="auto"/>
                    <w:right w:val="single" w:sz="4" w:space="0" w:color="auto"/>
                  </w:tcBorders>
                  <w:shd w:val="clear" w:color="auto" w:fill="FFFFFF" w:themeFill="background1"/>
                </w:tcPr>
                <w:p w14:paraId="00019CCC" w14:textId="77777777" w:rsidR="002609C2" w:rsidRPr="005D4222" w:rsidRDefault="002609C2" w:rsidP="002609C2">
                  <w:pPr>
                    <w:pStyle w:val="TableText"/>
                    <w:rPr>
                      <w:rFonts w:eastAsia="Arial Narrow"/>
                    </w:rPr>
                  </w:pPr>
                  <w:r w:rsidRPr="005D4222">
                    <w:rPr>
                      <w:rFonts w:eastAsia="Arial Narrow"/>
                    </w:rPr>
                    <w:t>Report once</w:t>
                  </w:r>
                </w:p>
              </w:tc>
            </w:tr>
            <w:tr w:rsidR="002609C2" w:rsidRPr="005D4222" w14:paraId="76D2BF75" w14:textId="77777777" w:rsidTr="00A53E8C">
              <w:trPr>
                <w:cantSplit/>
              </w:trPr>
              <w:tc>
                <w:tcPr>
                  <w:tcW w:w="2413" w:type="dxa"/>
                  <w:tcBorders>
                    <w:top w:val="nil"/>
                    <w:left w:val="nil"/>
                    <w:bottom w:val="nil"/>
                    <w:right w:val="nil"/>
                  </w:tcBorders>
                  <w:vAlign w:val="bottom"/>
                </w:tcPr>
                <w:p w14:paraId="7B01BF3E" w14:textId="77777777" w:rsidR="002609C2" w:rsidRPr="005D4222" w:rsidRDefault="002609C2" w:rsidP="002609C2">
                  <w:pPr>
                    <w:pStyle w:val="TableText"/>
                  </w:pP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1296A7" w14:textId="77777777" w:rsidR="002609C2" w:rsidRPr="005D4222" w:rsidRDefault="002609C2" w:rsidP="002609C2">
                  <w:pPr>
                    <w:pStyle w:val="TableText"/>
                  </w:pPr>
                  <w:r w:rsidRPr="005D4222">
                    <w:t>ExpectedRate</w:t>
                  </w:r>
                </w:p>
              </w:tc>
              <w:tc>
                <w:tcPr>
                  <w:tcW w:w="35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2A3227" w14:textId="77777777" w:rsidR="002609C2" w:rsidRPr="005D4222" w:rsidRDefault="002609C2" w:rsidP="002609C2">
                  <w:pPr>
                    <w:pStyle w:val="TableText"/>
                    <w:rPr>
                      <w:rFonts w:eastAsia="Arial Narrow"/>
                    </w:rPr>
                  </w:pPr>
                  <w:r w:rsidRPr="005D4222">
                    <w:rPr>
                      <w:rFonts w:eastAsia="Arial Narrow"/>
                    </w:rPr>
                    <w:t>ExpectedCount / Denominator (Percent)</w:t>
                  </w:r>
                </w:p>
              </w:tc>
            </w:tr>
            <w:tr w:rsidR="002609C2" w:rsidRPr="005D4222" w14:paraId="3B249CA2" w14:textId="77777777" w:rsidTr="00A53E8C">
              <w:trPr>
                <w:cantSplit/>
              </w:trPr>
              <w:tc>
                <w:tcPr>
                  <w:tcW w:w="2413" w:type="dxa"/>
                  <w:tcBorders>
                    <w:top w:val="nil"/>
                    <w:left w:val="nil"/>
                    <w:bottom w:val="nil"/>
                    <w:right w:val="nil"/>
                  </w:tcBorders>
                  <w:vAlign w:val="bottom"/>
                </w:tcPr>
                <w:p w14:paraId="0E07DBAD" w14:textId="77777777" w:rsidR="002609C2" w:rsidRPr="005D4222" w:rsidRDefault="002609C2" w:rsidP="002609C2">
                  <w:pPr>
                    <w:pStyle w:val="TableText"/>
                  </w:pP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Pr>
                <w:p w14:paraId="5E832C2D" w14:textId="77777777" w:rsidR="002609C2" w:rsidRPr="005D4222" w:rsidRDefault="002609C2" w:rsidP="002609C2">
                  <w:pPr>
                    <w:pStyle w:val="TableText"/>
                  </w:pPr>
                  <w:r w:rsidRPr="005D4222">
                    <w:t>CountVariance</w:t>
                  </w:r>
                </w:p>
              </w:tc>
              <w:tc>
                <w:tcPr>
                  <w:tcW w:w="3510" w:type="dxa"/>
                  <w:tcBorders>
                    <w:top w:val="single" w:sz="4" w:space="0" w:color="auto"/>
                    <w:left w:val="single" w:sz="4" w:space="0" w:color="auto"/>
                    <w:bottom w:val="single" w:sz="4" w:space="0" w:color="auto"/>
                    <w:right w:val="single" w:sz="4" w:space="0" w:color="auto"/>
                  </w:tcBorders>
                  <w:shd w:val="clear" w:color="auto" w:fill="FFFFFF" w:themeFill="background1"/>
                </w:tcPr>
                <w:p w14:paraId="69429A41" w14:textId="77777777" w:rsidR="002609C2" w:rsidRPr="005D4222" w:rsidRDefault="002609C2" w:rsidP="002609C2">
                  <w:pPr>
                    <w:pStyle w:val="TableText"/>
                    <w:rPr>
                      <w:rFonts w:eastAsia="Arial Narrow"/>
                    </w:rPr>
                  </w:pPr>
                  <w:r w:rsidRPr="005D4222">
                    <w:rPr>
                      <w:rFonts w:eastAsia="Arial Narrow"/>
                    </w:rPr>
                    <w:t>Report once</w:t>
                  </w:r>
                </w:p>
              </w:tc>
            </w:tr>
            <w:tr w:rsidR="002609C2" w:rsidRPr="005D4222" w14:paraId="05CD90DE" w14:textId="77777777" w:rsidTr="00A53E8C">
              <w:trPr>
                <w:cantSplit/>
              </w:trPr>
              <w:tc>
                <w:tcPr>
                  <w:tcW w:w="2413" w:type="dxa"/>
                  <w:tcBorders>
                    <w:top w:val="nil"/>
                    <w:left w:val="nil"/>
                    <w:bottom w:val="nil"/>
                    <w:right w:val="nil"/>
                  </w:tcBorders>
                  <w:vAlign w:val="bottom"/>
                </w:tcPr>
                <w:p w14:paraId="0699D7B5" w14:textId="77777777" w:rsidR="002609C2" w:rsidRPr="005D4222" w:rsidRDefault="002609C2" w:rsidP="002609C2">
                  <w:pPr>
                    <w:pStyle w:val="TableText"/>
                  </w:pP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F500F6" w14:textId="77777777" w:rsidR="002609C2" w:rsidRPr="005D4222" w:rsidRDefault="002609C2" w:rsidP="002609C2">
                  <w:pPr>
                    <w:pStyle w:val="TableText"/>
                  </w:pPr>
                  <w:r w:rsidRPr="005D4222">
                    <w:t>OE</w:t>
                  </w:r>
                </w:p>
              </w:tc>
              <w:tc>
                <w:tcPr>
                  <w:tcW w:w="35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32BEC7" w14:textId="77777777" w:rsidR="002609C2" w:rsidRPr="005D4222" w:rsidRDefault="002609C2" w:rsidP="002609C2">
                  <w:pPr>
                    <w:pStyle w:val="TableText"/>
                    <w:rPr>
                      <w:rFonts w:eastAsia="Arial Narrow"/>
                    </w:rPr>
                  </w:pPr>
                  <w:r w:rsidRPr="005D4222">
                    <w:rPr>
                      <w:rFonts w:eastAsia="Arial Narrow"/>
                    </w:rPr>
                    <w:t>ObservedCount / ExpectedCount</w:t>
                  </w:r>
                </w:p>
              </w:tc>
            </w:tr>
          </w:tbl>
          <w:p w14:paraId="7A6A95DD" w14:textId="77777777" w:rsidR="002609C2" w:rsidRPr="005D4222" w:rsidDel="00FC0C82" w:rsidRDefault="002609C2" w:rsidP="00A53E8C">
            <w:pPr>
              <w:pStyle w:val="E-Body"/>
              <w:rPr>
                <w:b/>
                <w:i/>
              </w:rPr>
            </w:pPr>
          </w:p>
        </w:tc>
      </w:tr>
      <w:tr w:rsidR="004E64E3" w:rsidRPr="005D4222" w14:paraId="1CFFD6A4"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BF562ED" w14:textId="77777777" w:rsidR="004E64E3" w:rsidRPr="005D4222" w:rsidRDefault="004E64E3" w:rsidP="00A53E8C">
            <w:pPr>
              <w:pStyle w:val="ECDSMarginHead"/>
            </w:pPr>
            <w:r w:rsidRPr="005D4222">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3B83617" w14:textId="7508B76B" w:rsidR="002609C2" w:rsidRPr="005D4222" w:rsidRDefault="004E64E3" w:rsidP="002609C2">
            <w:pPr>
              <w:pStyle w:val="E-Body"/>
            </w:pPr>
            <w:r w:rsidRPr="005D4222">
              <w:rPr>
                <w:b/>
                <w:i/>
                <w:iCs/>
              </w:rPr>
              <w:t xml:space="preserve">Copyright and use: </w:t>
            </w:r>
            <w:r w:rsidRPr="005D4222">
              <w:t xml:space="preserve">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tc>
      </w:tr>
    </w:tbl>
    <w:p w14:paraId="2491B263" w14:textId="77777777" w:rsidR="00F42626" w:rsidRDefault="00F42626">
      <w:r>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4E64E3" w:rsidRPr="005D4222" w14:paraId="0722BBA0"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22E62AB" w14:textId="77777777" w:rsidR="004E64E3" w:rsidRPr="005D4222" w:rsidRDefault="004E64E3" w:rsidP="00A53E8C">
            <w:pPr>
              <w:pStyle w:val="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85235B5" w14:textId="77777777" w:rsidR="002609C2" w:rsidRPr="005D4222" w:rsidRDefault="002609C2" w:rsidP="002609C2">
            <w:pPr>
              <w:pStyle w:val="E-Body"/>
            </w:pPr>
            <w:r w:rsidRPr="005D4222">
              <w:rPr>
                <w:b/>
              </w:rPr>
              <w:t xml:space="preserve">Adjusted HEDIS measures </w:t>
            </w:r>
            <w:r w:rsidRPr="005D4222">
              <w:rPr>
                <w:b/>
                <w:i/>
                <w:iCs/>
              </w:rPr>
              <w:t>may not</w:t>
            </w:r>
            <w:r w:rsidRPr="005D4222">
              <w:rPr>
                <w:b/>
              </w:rPr>
              <w:t xml:space="preserve"> be used for HEDIS health plan reporting. </w:t>
            </w:r>
          </w:p>
          <w:p w14:paraId="54E32370" w14:textId="77777777" w:rsidR="002609C2" w:rsidRPr="005D4222" w:rsidRDefault="002609C2" w:rsidP="002609C2">
            <w:pPr>
              <w:pStyle w:val="E-Body"/>
            </w:pPr>
            <w:r w:rsidRPr="005D4222">
              <w:t xml:space="preserve">The measures under the Risk Adjusted Utilization domain allow two types of </w:t>
            </w:r>
            <w:r w:rsidRPr="005D4222">
              <w:rPr>
                <w:i/>
                <w:iCs/>
              </w:rPr>
              <w:t>Rules for Allowable Adjustments</w:t>
            </w:r>
            <w:r w:rsidRPr="005D4222">
              <w:t xml:space="preserve"> sections:</w:t>
            </w:r>
          </w:p>
          <w:p w14:paraId="28D372DB" w14:textId="31397452" w:rsidR="002609C2" w:rsidRPr="005D4222" w:rsidRDefault="002609C2" w:rsidP="002609C2">
            <w:pPr>
              <w:pStyle w:val="Body"/>
              <w:spacing w:before="120"/>
              <w:ind w:left="648" w:hanging="288"/>
            </w:pPr>
            <w:r w:rsidRPr="005D4222">
              <w:t>1.</w:t>
            </w:r>
            <w:r w:rsidRPr="005D4222">
              <w:tab/>
            </w:r>
            <w:r w:rsidRPr="005D4222">
              <w:rPr>
                <w:i/>
                <w:iCs/>
              </w:rPr>
              <w:t xml:space="preserve">Rules for Allowable Adjustments for Risk-Adjusted Measurement. </w:t>
            </w:r>
            <w:r w:rsidRPr="005D4222">
              <w:t xml:space="preserve">This section must be followed for adjustments when calculating the full measure specifications, which includes all risk adjusted rates (expected rates, risk adjustment, O/E) and calculation components (count of index stays, observed events). </w:t>
            </w:r>
          </w:p>
          <w:p w14:paraId="52E9F600" w14:textId="77777777" w:rsidR="002609C2" w:rsidRPr="005D4222" w:rsidRDefault="002609C2" w:rsidP="002609C2">
            <w:pPr>
              <w:pStyle w:val="Body"/>
              <w:spacing w:before="120"/>
              <w:ind w:left="648" w:hanging="288"/>
            </w:pPr>
            <w:r w:rsidRPr="005D4222">
              <w:t>2.</w:t>
            </w:r>
            <w:r w:rsidRPr="005D4222">
              <w:tab/>
            </w:r>
            <w:r w:rsidRPr="005D4222">
              <w:rPr>
                <w:i/>
                <w:iCs/>
              </w:rPr>
              <w:t xml:space="preserve">Rules for Allowable Adjustments for Observed Measurement (rates without risk adjustment). </w:t>
            </w:r>
            <w:r w:rsidRPr="005D4222">
              <w:t>This section must be followed when adjusting the calculation of observed events only. When applying these adjustments, organizations must not include risk adjustment logic.</w:t>
            </w:r>
          </w:p>
          <w:p w14:paraId="748F51E9" w14:textId="77777777" w:rsidR="002609C2" w:rsidRPr="005D4222" w:rsidRDefault="002609C2" w:rsidP="002609C2">
            <w:pPr>
              <w:pStyle w:val="E-Body"/>
            </w:pPr>
            <w:r w:rsidRPr="005D4222">
              <w:t>The intent of including two types of Rules is to allow organizations to adjust measures without compromising measure validity. Risk adjustment is based on statistical prediction models specifically calibrated to each measure.</w:t>
            </w:r>
          </w:p>
          <w:p w14:paraId="394657C6" w14:textId="5C962E82" w:rsidR="002609C2" w:rsidRPr="005D4222" w:rsidRDefault="002609C2" w:rsidP="002609C2">
            <w:pPr>
              <w:pStyle w:val="E-Body"/>
              <w:rPr>
                <w:b/>
              </w:rPr>
            </w:pPr>
            <w:r w:rsidRPr="005D4222">
              <w:rPr>
                <w:b/>
              </w:rPr>
              <w:t xml:space="preserve">The following </w:t>
            </w:r>
            <w:r w:rsidR="00BA26FF" w:rsidRPr="005D4222">
              <w:rPr>
                <w:b/>
              </w:rPr>
              <w:t>are</w:t>
            </w:r>
            <w:r w:rsidRPr="005D4222">
              <w:rPr>
                <w:b/>
              </w:rPr>
              <w:t xml:space="preserve"> the Rules for Allowable Adjustments for </w:t>
            </w:r>
            <w:r w:rsidRPr="005D4222">
              <w:rPr>
                <w:b/>
                <w:u w:val="single"/>
              </w:rPr>
              <w:t>Risk-Adjusted Measurement</w:t>
            </w:r>
            <w:r w:rsidRPr="005D4222">
              <w:rPr>
                <w:b/>
              </w:rPr>
              <w:t xml:space="preserve"> of the </w:t>
            </w:r>
            <w:r w:rsidR="00114134" w:rsidRPr="005D4222">
              <w:rPr>
                <w:b/>
              </w:rPr>
              <w:t>Acute Hospitalizations Following</w:t>
            </w:r>
            <w:r w:rsidRPr="005D4222" w:rsidDel="0069070F">
              <w:rPr>
                <w:b/>
              </w:rPr>
              <w:t xml:space="preserve"> Outpatient Orthopedic Surgery</w:t>
            </w:r>
            <w:r w:rsidRPr="005D4222">
              <w:rPr>
                <w:b/>
              </w:rPr>
              <w:t xml:space="preserve"> measure (expected hospitalization rate, risk adjustment determination, risk adjustment weighting, variance, </w:t>
            </w:r>
            <w:r w:rsidRPr="005D4222">
              <w:rPr>
                <w:b/>
                <w:bCs w:val="0"/>
              </w:rPr>
              <w:t>O</w:t>
            </w:r>
            <w:r w:rsidRPr="005D4222">
              <w:rPr>
                <w:b/>
              </w:rPr>
              <w:t>/E ratio).</w:t>
            </w:r>
          </w:p>
          <w:p w14:paraId="5AA211C8" w14:textId="77777777" w:rsidR="002609C2" w:rsidRPr="005D4222" w:rsidRDefault="002609C2" w:rsidP="002609C2">
            <w:pPr>
              <w:pStyle w:val="Adjustments"/>
              <w:spacing w:before="120"/>
              <w:rPr>
                <w:b w:val="0"/>
              </w:rPr>
            </w:pPr>
            <w:r w:rsidRPr="005D4222">
              <w:t>Adjustments</w:t>
            </w:r>
            <w:r w:rsidRPr="005D4222">
              <w:rPr>
                <w:b w:val="0"/>
              </w:rPr>
              <w:t xml:space="preserve"> allowed</w:t>
            </w:r>
          </w:p>
          <w:p w14:paraId="1691111B" w14:textId="3299D2F8" w:rsidR="002609C2" w:rsidRPr="005D4222" w:rsidRDefault="00362E76" w:rsidP="005D6173">
            <w:pPr>
              <w:pStyle w:val="ProcessBullet"/>
              <w:numPr>
                <w:ilvl w:val="0"/>
                <w:numId w:val="128"/>
              </w:numPr>
              <w:tabs>
                <w:tab w:val="left" w:pos="216"/>
              </w:tabs>
              <w:ind w:left="216" w:hanging="216"/>
              <w:rPr>
                <w:b/>
                <w:bCs/>
                <w:color w:val="000000" w:themeColor="text1"/>
              </w:rPr>
            </w:pPr>
            <w:r w:rsidRPr="005D4222">
              <w:rPr>
                <w:i/>
                <w:iCs/>
              </w:rPr>
              <w:t>Benefits.</w:t>
            </w:r>
            <w:r w:rsidR="002609C2" w:rsidRPr="005D4222">
              <w:t xml:space="preserve"> Organizations are not required to use a benefit.</w:t>
            </w:r>
          </w:p>
          <w:p w14:paraId="5649FE6A" w14:textId="5268853B" w:rsidR="002609C2" w:rsidRPr="005D4222" w:rsidRDefault="002609C2" w:rsidP="005D6173">
            <w:pPr>
              <w:pStyle w:val="ProcessBullet"/>
              <w:numPr>
                <w:ilvl w:val="0"/>
                <w:numId w:val="128"/>
              </w:numPr>
              <w:tabs>
                <w:tab w:val="left" w:pos="216"/>
              </w:tabs>
              <w:spacing w:after="80"/>
              <w:ind w:left="216" w:hanging="216"/>
              <w:rPr>
                <w:color w:val="000000" w:themeColor="text1"/>
              </w:rPr>
            </w:pPr>
            <w:r w:rsidRPr="005D4222">
              <w:rPr>
                <w:i/>
                <w:iCs/>
                <w:color w:val="000000" w:themeColor="text1"/>
              </w:rPr>
              <w:t>Telehealth.</w:t>
            </w:r>
            <w:r w:rsidRPr="005D4222">
              <w:rPr>
                <w:color w:val="000000" w:themeColor="text1"/>
              </w:rPr>
              <w:t xml:space="preserve"> Services/events that allow the use of synchronous telehealth visits, telephone visits and asynchronous telehealth (e-visits, virtual check-ins) may be stratified to identify services performed via telehealth. </w:t>
            </w:r>
            <w:r w:rsidRPr="005D4222">
              <w:t xml:space="preserve">This adjustment is not allowed for </w:t>
            </w:r>
            <w:r w:rsidR="00F45777" w:rsidRPr="005D4222">
              <w:t>events</w:t>
            </w:r>
            <w:r w:rsidRPr="005D4222">
              <w:t>, numerators and exclusions that do not allow the use of telehealth.</w:t>
            </w:r>
          </w:p>
          <w:p w14:paraId="6FB21EE4" w14:textId="77777777" w:rsidR="002609C2" w:rsidRPr="005D4222" w:rsidRDefault="002609C2" w:rsidP="002609C2">
            <w:pPr>
              <w:pStyle w:val="Adjustments"/>
              <w:spacing w:before="120"/>
              <w:rPr>
                <w:b w:val="0"/>
              </w:rPr>
            </w:pPr>
            <w:r w:rsidRPr="005D4222">
              <w:t xml:space="preserve">Adjustments </w:t>
            </w:r>
            <w:r w:rsidRPr="005D4222">
              <w:rPr>
                <w:bCs/>
              </w:rPr>
              <w:t>a</w:t>
            </w:r>
            <w:r w:rsidRPr="005D4222">
              <w:t xml:space="preserve">llowed with </w:t>
            </w:r>
            <w:r w:rsidRPr="005D4222">
              <w:rPr>
                <w:bCs/>
              </w:rPr>
              <w:t>l</w:t>
            </w:r>
            <w:r w:rsidRPr="005D4222">
              <w:t>imits</w:t>
            </w:r>
          </w:p>
          <w:p w14:paraId="1F5810BC" w14:textId="4883FC54" w:rsidR="002609C2" w:rsidRPr="005D4222" w:rsidRDefault="002609C2" w:rsidP="005D6173">
            <w:pPr>
              <w:pStyle w:val="ProcessBullet"/>
              <w:numPr>
                <w:ilvl w:val="0"/>
                <w:numId w:val="129"/>
              </w:numPr>
              <w:tabs>
                <w:tab w:val="left" w:pos="216"/>
              </w:tabs>
              <w:spacing w:after="80"/>
              <w:ind w:left="216" w:hanging="216"/>
            </w:pPr>
            <w:r w:rsidRPr="005D4222">
              <w:rPr>
                <w:i/>
                <w:iCs/>
              </w:rPr>
              <w:t xml:space="preserve">Other. </w:t>
            </w:r>
            <w:r w:rsidRPr="005D4222">
              <w:t xml:space="preserve">Organizations may only adjust the </w:t>
            </w:r>
            <w:r w:rsidR="00524BFF" w:rsidRPr="005D4222">
              <w:t>initial</w:t>
            </w:r>
            <w:r w:rsidRPr="005D4222">
              <w:t xml:space="preserve"> population criteria to focus on an area of interest defined by gender, sociodemographic characteristics or geographical region. NCQA recommends evaluating risk model performance and validity within adjusted populations. Organizations may not adjust for a clinical subpopulation (e.g., persons with a diabetes diagnosis).</w:t>
            </w:r>
          </w:p>
          <w:p w14:paraId="1086B22C" w14:textId="77777777" w:rsidR="002609C2" w:rsidRPr="005D4222" w:rsidRDefault="002609C2" w:rsidP="005D6173">
            <w:pPr>
              <w:pStyle w:val="ProcessBullet"/>
              <w:numPr>
                <w:ilvl w:val="0"/>
                <w:numId w:val="130"/>
              </w:numPr>
              <w:ind w:left="216" w:hanging="216"/>
            </w:pPr>
            <w:r w:rsidRPr="005D4222">
              <w:rPr>
                <w:i/>
                <w:iCs/>
              </w:rPr>
              <w:t xml:space="preserve">Measurement period adjustments. </w:t>
            </w:r>
            <w:r w:rsidRPr="005D4222">
              <w:t>Organizations may only change the measurement period by 1 year.</w:t>
            </w:r>
          </w:p>
          <w:p w14:paraId="1A6E0C77" w14:textId="77777777" w:rsidR="002609C2" w:rsidRPr="005D4222" w:rsidRDefault="002609C2" w:rsidP="005D6173">
            <w:pPr>
              <w:pStyle w:val="ProcessBullet"/>
              <w:numPr>
                <w:ilvl w:val="0"/>
                <w:numId w:val="130"/>
              </w:numPr>
              <w:ind w:left="216" w:hanging="216"/>
            </w:pPr>
            <w:r w:rsidRPr="005D4222">
              <w:rPr>
                <w:i/>
                <w:iCs/>
              </w:rPr>
              <w:t xml:space="preserve">Denominator. </w:t>
            </w:r>
            <w:r w:rsidRPr="005D4222">
              <w:t>Organizations may include denied claims to calculate denominator events. Value sets and logic may not be changed.</w:t>
            </w:r>
          </w:p>
          <w:p w14:paraId="0AE0F9D7" w14:textId="77777777" w:rsidR="002609C2" w:rsidRPr="005D4222" w:rsidRDefault="002609C2" w:rsidP="005D6173">
            <w:pPr>
              <w:pStyle w:val="ProcessBullet"/>
              <w:numPr>
                <w:ilvl w:val="0"/>
                <w:numId w:val="130"/>
              </w:numPr>
              <w:ind w:left="216" w:hanging="216"/>
            </w:pPr>
            <w:r w:rsidRPr="005D4222">
              <w:rPr>
                <w:i/>
                <w:iCs/>
              </w:rPr>
              <w:t>Risk adjustment determination, risk adjustment weighting, expected hospitalizations, variance.</w:t>
            </w:r>
            <w:r w:rsidRPr="005D4222">
              <w:t xml:space="preserve"> Organizations may include denied claims to calculate these events. Risk adjustment determinations, weighting and calculations of expected events logic may not be changed.</w:t>
            </w:r>
          </w:p>
          <w:p w14:paraId="33F63381" w14:textId="6DE4B386" w:rsidR="00752F9B" w:rsidRPr="005D4222" w:rsidRDefault="002609C2" w:rsidP="005D6173">
            <w:pPr>
              <w:pStyle w:val="ProcessBullet"/>
              <w:numPr>
                <w:ilvl w:val="0"/>
                <w:numId w:val="130"/>
              </w:numPr>
              <w:spacing w:after="80"/>
              <w:ind w:left="216" w:hanging="216"/>
              <w:rPr>
                <w:b/>
                <w:bCs/>
                <w:i/>
                <w:iCs/>
              </w:rPr>
            </w:pPr>
            <w:r w:rsidRPr="005D4222">
              <w:rPr>
                <w:i/>
                <w:iCs/>
              </w:rPr>
              <w:t xml:space="preserve">Numerator. </w:t>
            </w:r>
            <w:r w:rsidRPr="005D4222">
              <w:t>Organizations may include denied claims to calculate the numerator. Value sets and logic may not be changed.</w:t>
            </w:r>
          </w:p>
        </w:tc>
      </w:tr>
    </w:tbl>
    <w:p w14:paraId="1C5C78FC" w14:textId="77777777" w:rsidR="003A6792" w:rsidRDefault="003A6792">
      <w:r>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752F9B" w:rsidRPr="005D4222" w14:paraId="1DC0EC5F"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637633B" w14:textId="77777777" w:rsidR="00752F9B" w:rsidRPr="005D4222" w:rsidRDefault="00752F9B" w:rsidP="00A53E8C">
            <w:pPr>
              <w:pStyle w:val="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1B14F5F" w14:textId="77777777" w:rsidR="00752F9B" w:rsidRPr="005D4222" w:rsidRDefault="00752F9B" w:rsidP="00D266F9">
            <w:pPr>
              <w:pStyle w:val="Adjustments"/>
              <w:spacing w:before="120"/>
            </w:pPr>
            <w:r w:rsidRPr="005D4222">
              <w:t xml:space="preserve">Adjustments </w:t>
            </w:r>
            <w:r w:rsidRPr="005D4222">
              <w:rPr>
                <w:bCs/>
              </w:rPr>
              <w:t>not allowed</w:t>
            </w:r>
          </w:p>
          <w:p w14:paraId="2A3EB3EC" w14:textId="77777777" w:rsidR="00752F9B" w:rsidRPr="005D4222" w:rsidRDefault="00752F9B" w:rsidP="005D6173">
            <w:pPr>
              <w:pStyle w:val="ProcessBullet"/>
              <w:numPr>
                <w:ilvl w:val="0"/>
                <w:numId w:val="130"/>
              </w:numPr>
              <w:ind w:left="216" w:hanging="216"/>
            </w:pPr>
            <w:r w:rsidRPr="005D4222">
              <w:rPr>
                <w:i/>
                <w:iCs/>
              </w:rPr>
              <w:t xml:space="preserve">Product lines. </w:t>
            </w:r>
            <w:r w:rsidRPr="005D4222">
              <w:t>Organizations may not adjust product lines.</w:t>
            </w:r>
          </w:p>
          <w:p w14:paraId="4289385B" w14:textId="77777777" w:rsidR="00752F9B" w:rsidRPr="005D4222" w:rsidRDefault="00752F9B" w:rsidP="005D6173">
            <w:pPr>
              <w:pStyle w:val="ProcessBullet"/>
              <w:numPr>
                <w:ilvl w:val="0"/>
                <w:numId w:val="130"/>
              </w:numPr>
              <w:ind w:left="216" w:hanging="216"/>
            </w:pPr>
            <w:r w:rsidRPr="005D4222">
              <w:rPr>
                <w:i/>
                <w:iCs/>
              </w:rPr>
              <w:t xml:space="preserve">Attribution. </w:t>
            </w:r>
            <w:r w:rsidRPr="005D4222">
              <w:t xml:space="preserve">Organizations are required to use enrollment criteria. </w:t>
            </w:r>
          </w:p>
          <w:p w14:paraId="2543C9CF" w14:textId="77777777" w:rsidR="00752F9B" w:rsidRPr="005D4222" w:rsidRDefault="00752F9B" w:rsidP="005D6173">
            <w:pPr>
              <w:pStyle w:val="ProcessBullet"/>
              <w:numPr>
                <w:ilvl w:val="0"/>
                <w:numId w:val="130"/>
              </w:numPr>
              <w:ind w:left="216" w:hanging="216"/>
            </w:pPr>
            <w:r w:rsidRPr="005D4222">
              <w:rPr>
                <w:i/>
                <w:iCs/>
              </w:rPr>
              <w:t xml:space="preserve">Ages. </w:t>
            </w:r>
            <w:r w:rsidRPr="005D4222">
              <w:t>The age determination dates may not be changed.</w:t>
            </w:r>
          </w:p>
          <w:p w14:paraId="34A1E05E" w14:textId="77777777" w:rsidR="00752F9B" w:rsidRPr="005D4222" w:rsidRDefault="00752F9B" w:rsidP="005D6173">
            <w:pPr>
              <w:pStyle w:val="ProcessBullet"/>
              <w:numPr>
                <w:ilvl w:val="0"/>
                <w:numId w:val="130"/>
              </w:numPr>
              <w:ind w:left="216" w:hanging="216"/>
            </w:pPr>
            <w:r w:rsidRPr="005D4222">
              <w:rPr>
                <w:i/>
                <w:iCs/>
              </w:rPr>
              <w:t xml:space="preserve">Supplemental data. </w:t>
            </w:r>
            <w:r w:rsidRPr="005D4222">
              <w:t>Supplemental data may not be used to identify initial population, denominator and numerator events.</w:t>
            </w:r>
          </w:p>
          <w:p w14:paraId="41294BA4" w14:textId="77777777" w:rsidR="00752F9B" w:rsidRPr="005D4222" w:rsidRDefault="00752F9B" w:rsidP="005D6173">
            <w:pPr>
              <w:pStyle w:val="ProcessBullet"/>
              <w:numPr>
                <w:ilvl w:val="0"/>
                <w:numId w:val="130"/>
              </w:numPr>
              <w:spacing w:after="80"/>
              <w:ind w:left="216" w:hanging="216"/>
            </w:pPr>
            <w:r w:rsidRPr="005D4222">
              <w:rPr>
                <w:i/>
                <w:iCs/>
              </w:rPr>
              <w:t xml:space="preserve">Exclusions. </w:t>
            </w:r>
            <w:r w:rsidRPr="005D4222">
              <w:t>The hospice exclusion must be applied. Logic may not be changed.</w:t>
            </w:r>
          </w:p>
          <w:p w14:paraId="6847B615" w14:textId="29BED525" w:rsidR="00752F9B" w:rsidRPr="005D4222" w:rsidRDefault="00752F9B" w:rsidP="00752F9B">
            <w:pPr>
              <w:pStyle w:val="E-Body"/>
              <w:rPr>
                <w:b/>
              </w:rPr>
            </w:pPr>
            <w:r w:rsidRPr="005D4222">
              <w:rPr>
                <w:b/>
              </w:rPr>
              <w:t xml:space="preserve">The following </w:t>
            </w:r>
            <w:r w:rsidR="00BA26FF" w:rsidRPr="005D4222">
              <w:rPr>
                <w:b/>
              </w:rPr>
              <w:t>are</w:t>
            </w:r>
            <w:r w:rsidRPr="005D4222">
              <w:rPr>
                <w:b/>
              </w:rPr>
              <w:t xml:space="preserve"> the Rules for Allowable Adjustments for </w:t>
            </w:r>
            <w:r w:rsidRPr="005D4222">
              <w:rPr>
                <w:b/>
                <w:u w:val="single"/>
              </w:rPr>
              <w:t xml:space="preserve">Observed Measurement </w:t>
            </w:r>
            <w:r w:rsidRPr="005D4222">
              <w:rPr>
                <w:b/>
              </w:rPr>
              <w:t xml:space="preserve">of the </w:t>
            </w:r>
            <w:r w:rsidR="00114134" w:rsidRPr="005D4222">
              <w:rPr>
                <w:b/>
              </w:rPr>
              <w:t>Acute Hospitalizations Following</w:t>
            </w:r>
            <w:r w:rsidRPr="005D4222" w:rsidDel="0069070F">
              <w:rPr>
                <w:b/>
              </w:rPr>
              <w:t xml:space="preserve"> Outpatient Orthopedic Surgery</w:t>
            </w:r>
            <w:r w:rsidRPr="005D4222">
              <w:rPr>
                <w:b/>
              </w:rPr>
              <w:t xml:space="preserve"> measure</w:t>
            </w:r>
            <w:r w:rsidRPr="005D4222">
              <w:rPr>
                <w:b/>
                <w:bCs w:val="0"/>
              </w:rPr>
              <w:t xml:space="preserve"> observed events</w:t>
            </w:r>
            <w:r w:rsidRPr="005D4222" w:rsidDel="00313308">
              <w:rPr>
                <w:b/>
              </w:rPr>
              <w:t xml:space="preserve"> </w:t>
            </w:r>
            <w:r w:rsidRPr="005D4222">
              <w:rPr>
                <w:b/>
              </w:rPr>
              <w:t>(denominator, numerator, observed hospitalization rate).</w:t>
            </w:r>
          </w:p>
          <w:p w14:paraId="222125DD" w14:textId="77777777" w:rsidR="00752F9B" w:rsidRPr="005D4222" w:rsidRDefault="00752F9B" w:rsidP="00752F9B">
            <w:pPr>
              <w:pStyle w:val="Adjustments"/>
            </w:pPr>
            <w:r w:rsidRPr="005D4222">
              <w:t>Adjustments</w:t>
            </w:r>
            <w:r w:rsidRPr="005D4222">
              <w:rPr>
                <w:bCs/>
              </w:rPr>
              <w:t xml:space="preserve"> a</w:t>
            </w:r>
            <w:r w:rsidRPr="005D4222">
              <w:t>llowed</w:t>
            </w:r>
          </w:p>
          <w:p w14:paraId="6CB647C7" w14:textId="731456CF" w:rsidR="00752F9B" w:rsidRPr="005D4222" w:rsidRDefault="00752F9B" w:rsidP="005D6173">
            <w:pPr>
              <w:pStyle w:val="ProcessBullet"/>
              <w:numPr>
                <w:ilvl w:val="0"/>
                <w:numId w:val="130"/>
              </w:numPr>
              <w:ind w:left="216" w:hanging="216"/>
            </w:pPr>
            <w:r w:rsidRPr="005D4222">
              <w:rPr>
                <w:i/>
                <w:iCs/>
              </w:rPr>
              <w:t xml:space="preserve">Product lines. </w:t>
            </w:r>
            <w:r w:rsidRPr="005D4222">
              <w:t>When adjusting this measure to assess for observed events only, organizations are not required to use product line criteria; product lines may be combined</w:t>
            </w:r>
            <w:r w:rsidR="00E8671F" w:rsidRPr="005D4222">
              <w:t>,</w:t>
            </w:r>
            <w:r w:rsidRPr="005D4222">
              <w:t xml:space="preserve"> and all (or no) product line criteria may be used.</w:t>
            </w:r>
          </w:p>
          <w:p w14:paraId="27EC9BD9" w14:textId="77777777" w:rsidR="00752F9B" w:rsidRPr="005D4222" w:rsidRDefault="00752F9B" w:rsidP="005D6173">
            <w:pPr>
              <w:pStyle w:val="ProcessBullet"/>
              <w:numPr>
                <w:ilvl w:val="0"/>
                <w:numId w:val="130"/>
              </w:numPr>
              <w:ind w:left="216" w:hanging="216"/>
              <w:rPr>
                <w:rStyle w:val="eop"/>
                <w:rFonts w:eastAsiaTheme="majorEastAsia"/>
              </w:rPr>
            </w:pPr>
            <w:r w:rsidRPr="005D4222">
              <w:rPr>
                <w:rStyle w:val="normaltextrun"/>
                <w:i/>
                <w:iCs/>
              </w:rPr>
              <w:t xml:space="preserve">Ages. </w:t>
            </w:r>
            <w:r w:rsidRPr="005D4222">
              <w:rPr>
                <w:rStyle w:val="normaltextrun"/>
              </w:rPr>
              <w:t>The observed event age range may be expanded. Age determination dates may be changed (e.g., select, “age as of June 30”).</w:t>
            </w:r>
            <w:r w:rsidRPr="005D4222">
              <w:rPr>
                <w:rStyle w:val="eop"/>
                <w:rFonts w:eastAsiaTheme="majorEastAsia"/>
              </w:rPr>
              <w:t xml:space="preserve"> </w:t>
            </w:r>
          </w:p>
          <w:p w14:paraId="3B23A5BB" w14:textId="77777777" w:rsidR="00752F9B" w:rsidRPr="005D4222" w:rsidRDefault="00752F9B" w:rsidP="005D6173">
            <w:pPr>
              <w:pStyle w:val="ProcessBullet"/>
              <w:numPr>
                <w:ilvl w:val="0"/>
                <w:numId w:val="130"/>
              </w:numPr>
              <w:ind w:left="216" w:hanging="216"/>
            </w:pPr>
            <w:r w:rsidRPr="005D4222">
              <w:rPr>
                <w:i/>
                <w:iCs/>
              </w:rPr>
              <w:t xml:space="preserve">Attribution. </w:t>
            </w:r>
            <w:r w:rsidRPr="005D4222">
              <w:t xml:space="preserve">Organizations are not required to use enrollment criteria. </w:t>
            </w:r>
          </w:p>
          <w:p w14:paraId="6199BEDD" w14:textId="5E284354" w:rsidR="00752F9B" w:rsidRPr="005D4222" w:rsidRDefault="00362E76" w:rsidP="005D6173">
            <w:pPr>
              <w:pStyle w:val="ProcessBullet"/>
              <w:numPr>
                <w:ilvl w:val="0"/>
                <w:numId w:val="130"/>
              </w:numPr>
              <w:ind w:left="216" w:hanging="216"/>
            </w:pPr>
            <w:r w:rsidRPr="005D4222">
              <w:rPr>
                <w:i/>
                <w:iCs/>
              </w:rPr>
              <w:t>Benefits.</w:t>
            </w:r>
            <w:r w:rsidR="00752F9B" w:rsidRPr="005D4222">
              <w:rPr>
                <w:i/>
                <w:iCs/>
              </w:rPr>
              <w:t xml:space="preserve"> </w:t>
            </w:r>
            <w:r w:rsidR="00752F9B" w:rsidRPr="005D4222">
              <w:t>Organizations are not required to use a benefit.</w:t>
            </w:r>
          </w:p>
          <w:p w14:paraId="623C0C82" w14:textId="7F66DA81" w:rsidR="00752F9B" w:rsidRPr="005D4222" w:rsidRDefault="00752F9B" w:rsidP="005D6173">
            <w:pPr>
              <w:pStyle w:val="ProcessBullet"/>
              <w:numPr>
                <w:ilvl w:val="0"/>
                <w:numId w:val="130"/>
              </w:numPr>
              <w:ind w:left="216" w:hanging="216"/>
            </w:pPr>
            <w:r w:rsidRPr="005D4222">
              <w:rPr>
                <w:i/>
                <w:iCs/>
              </w:rPr>
              <w:t xml:space="preserve">Other. </w:t>
            </w:r>
            <w:r w:rsidRPr="005D4222">
              <w:t xml:space="preserve">Organizations may adjust the </w:t>
            </w:r>
            <w:r w:rsidR="00524BFF" w:rsidRPr="005D4222">
              <w:t>initial</w:t>
            </w:r>
            <w:r w:rsidRPr="005D4222">
              <w:t xml:space="preserve"> population criteria to focus on an area of interest defined by gender, race, ethnicity, socioeconomic or sociodemographic characteristics, geographic region or another characteristic.</w:t>
            </w:r>
          </w:p>
          <w:p w14:paraId="34B8CA78" w14:textId="77777777" w:rsidR="00752F9B" w:rsidRPr="005D4222" w:rsidRDefault="00752F9B" w:rsidP="005D6173">
            <w:pPr>
              <w:pStyle w:val="ProcessBullet"/>
              <w:numPr>
                <w:ilvl w:val="0"/>
                <w:numId w:val="130"/>
              </w:numPr>
              <w:spacing w:after="80"/>
              <w:ind w:left="216" w:hanging="216"/>
              <w:rPr>
                <w:b/>
                <w:bCs/>
                <w:i/>
                <w:iCs/>
              </w:rPr>
            </w:pPr>
            <w:r w:rsidRPr="005D4222">
              <w:rPr>
                <w:i/>
                <w:iCs/>
              </w:rPr>
              <w:t xml:space="preserve">Measurement period adjustments. </w:t>
            </w:r>
            <w:r w:rsidRPr="005D4222">
              <w:t xml:space="preserve">Organizations may adjust the measurement period. </w:t>
            </w:r>
          </w:p>
          <w:p w14:paraId="303C1F02" w14:textId="77777777" w:rsidR="00752F9B" w:rsidRPr="005D4222" w:rsidRDefault="00752F9B" w:rsidP="005D6173">
            <w:pPr>
              <w:pStyle w:val="ProcessBullet"/>
              <w:numPr>
                <w:ilvl w:val="0"/>
                <w:numId w:val="130"/>
              </w:numPr>
              <w:ind w:left="216" w:hanging="216"/>
              <w:rPr>
                <w:b/>
                <w:bCs/>
                <w:color w:val="000000" w:themeColor="text1"/>
              </w:rPr>
            </w:pPr>
            <w:r w:rsidRPr="005D4222">
              <w:rPr>
                <w:i/>
                <w:iCs/>
              </w:rPr>
              <w:t>Exclusions.</w:t>
            </w:r>
            <w:r w:rsidRPr="005D4222">
              <w:t xml:space="preserve"> Hospice exclusion is not required. </w:t>
            </w:r>
          </w:p>
          <w:p w14:paraId="0D7E5929" w14:textId="459990EB" w:rsidR="00752F9B" w:rsidRPr="005D4222" w:rsidRDefault="00752F9B" w:rsidP="005D6173">
            <w:pPr>
              <w:pStyle w:val="ProcessBullet"/>
              <w:numPr>
                <w:ilvl w:val="0"/>
                <w:numId w:val="130"/>
              </w:numPr>
              <w:ind w:left="216" w:hanging="216"/>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w:t>
            </w:r>
            <w:r w:rsidR="00F45777" w:rsidRPr="005D4222">
              <w:t>events</w:t>
            </w:r>
            <w:r w:rsidRPr="005D4222">
              <w:t>, numerators and exclusions that do not allow the use of telehealth.</w:t>
            </w:r>
          </w:p>
          <w:p w14:paraId="432F2DAC" w14:textId="77777777" w:rsidR="00752F9B" w:rsidRPr="005D4222" w:rsidRDefault="00752F9B" w:rsidP="005D6173">
            <w:pPr>
              <w:pStyle w:val="ProcessBullet"/>
              <w:numPr>
                <w:ilvl w:val="0"/>
                <w:numId w:val="130"/>
              </w:numPr>
              <w:spacing w:after="80"/>
              <w:ind w:left="216" w:hanging="216"/>
              <w:rPr>
                <w:b/>
                <w:bCs/>
                <w:i/>
                <w:iCs/>
              </w:rPr>
            </w:pPr>
            <w:r w:rsidRPr="005D4222">
              <w:rPr>
                <w:i/>
                <w:iCs/>
              </w:rPr>
              <w:t>Supplemental data.</w:t>
            </w:r>
            <w:r w:rsidRPr="005D4222">
              <w:t xml:space="preserve"> Supplemental data may be used to identify initial population, denominator, exclusion and numerator events.</w:t>
            </w:r>
          </w:p>
          <w:p w14:paraId="03F7E6AC" w14:textId="77777777" w:rsidR="00752F9B" w:rsidRPr="005D4222" w:rsidRDefault="00752F9B" w:rsidP="00DD1915">
            <w:pPr>
              <w:pStyle w:val="Adjustments"/>
            </w:pPr>
            <w:r w:rsidRPr="005D4222">
              <w:t xml:space="preserve">Adjustments </w:t>
            </w:r>
            <w:r w:rsidRPr="005D4222">
              <w:rPr>
                <w:bCs/>
              </w:rPr>
              <w:t>a</w:t>
            </w:r>
            <w:r w:rsidRPr="005D4222">
              <w:t xml:space="preserve">llowed with </w:t>
            </w:r>
            <w:r w:rsidRPr="005D4222">
              <w:rPr>
                <w:bCs/>
              </w:rPr>
              <w:t>l</w:t>
            </w:r>
            <w:r w:rsidRPr="005D4222">
              <w:t>imits</w:t>
            </w:r>
          </w:p>
          <w:p w14:paraId="5858F706" w14:textId="77777777" w:rsidR="00752F9B" w:rsidRPr="005D4222" w:rsidRDefault="00752F9B" w:rsidP="005D6173">
            <w:pPr>
              <w:pStyle w:val="ProcessBullet"/>
              <w:numPr>
                <w:ilvl w:val="0"/>
                <w:numId w:val="131"/>
              </w:numPr>
              <w:ind w:left="216" w:hanging="216"/>
              <w:rPr>
                <w:rFonts w:cs="Arial"/>
                <w:i/>
              </w:rPr>
            </w:pPr>
            <w:r w:rsidRPr="005D4222">
              <w:rPr>
                <w:rFonts w:cs="Arial"/>
                <w:i/>
              </w:rPr>
              <w:t>Denominator.</w:t>
            </w:r>
            <w:r w:rsidRPr="005D4222">
              <w:t xml:space="preserve"> Organizations may include denied claims to calculate denominator events.</w:t>
            </w:r>
            <w:r w:rsidRPr="005D4222">
              <w:rPr>
                <w:i/>
              </w:rPr>
              <w:t xml:space="preserve"> </w:t>
            </w:r>
            <w:r w:rsidRPr="005D4222">
              <w:t>Value sets and logic may not be changed.</w:t>
            </w:r>
          </w:p>
          <w:p w14:paraId="25E6AE7E" w14:textId="779D4C4D" w:rsidR="00752F9B" w:rsidRPr="005D4222" w:rsidRDefault="00752F9B" w:rsidP="005D6173">
            <w:pPr>
              <w:pStyle w:val="ProcessBullet"/>
              <w:numPr>
                <w:ilvl w:val="0"/>
                <w:numId w:val="131"/>
              </w:numPr>
              <w:spacing w:after="80"/>
              <w:ind w:left="216" w:hanging="216"/>
              <w:rPr>
                <w:b/>
              </w:rPr>
            </w:pPr>
            <w:r w:rsidRPr="005D4222">
              <w:rPr>
                <w:i/>
              </w:rPr>
              <w:t xml:space="preserve">Numerator. </w:t>
            </w:r>
            <w:r w:rsidRPr="005D4222">
              <w:t>Organizations may include denied claims to calculate the numerator.</w:t>
            </w:r>
            <w:r w:rsidRPr="005D4222">
              <w:rPr>
                <w:i/>
              </w:rPr>
              <w:t xml:space="preserve"> </w:t>
            </w:r>
            <w:r w:rsidRPr="005D4222">
              <w:t>Value sets and logic may not be changed.</w:t>
            </w:r>
          </w:p>
        </w:tc>
      </w:tr>
    </w:tbl>
    <w:p w14:paraId="67E1460F" w14:textId="77777777" w:rsidR="00DD1915" w:rsidRPr="005D4222" w:rsidRDefault="00DD1915" w:rsidP="005369F6">
      <w:pPr>
        <w:pStyle w:val="ECDSBody"/>
        <w:sectPr w:rsidR="00DD1915" w:rsidRPr="005D4222" w:rsidSect="0074514A">
          <w:headerReference w:type="default" r:id="rId204"/>
          <w:type w:val="nextColumn"/>
          <w:pgSz w:w="12240" w:h="15840" w:code="1"/>
          <w:pgMar w:top="1080" w:right="1080" w:bottom="1080" w:left="1440" w:header="720" w:footer="720" w:gutter="0"/>
          <w:cols w:space="720"/>
          <w:docGrid w:linePitch="360"/>
        </w:sectPr>
      </w:pPr>
    </w:p>
    <w:p w14:paraId="4D5D467F" w14:textId="38126368" w:rsidR="005369F6" w:rsidRPr="005D4222" w:rsidRDefault="00114134" w:rsidP="00ED6A00">
      <w:pPr>
        <w:pStyle w:val="MeasureTitle"/>
      </w:pPr>
      <w:bookmarkStart w:id="401" w:name="_Toc201813458"/>
      <w:r w:rsidRPr="005D4222">
        <w:lastRenderedPageBreak/>
        <w:t xml:space="preserve">Acute Hospitalizations </w:t>
      </w:r>
      <w:r w:rsidR="00ED6A00" w:rsidRPr="005D4222">
        <w:t>Following Outpatient Urologic Surgery</w:t>
      </w:r>
      <w:r w:rsidR="006B0FDD" w:rsidRPr="005D4222">
        <w:t xml:space="preserve"> (HFU)</w:t>
      </w:r>
      <w:bookmarkEnd w:id="401"/>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5151"/>
        <w:gridCol w:w="1419"/>
        <w:gridCol w:w="987"/>
      </w:tblGrid>
      <w:tr w:rsidR="00230F43" w:rsidRPr="005D4222" w14:paraId="424C3EF0" w14:textId="77777777" w:rsidTr="00A53E8C">
        <w:tc>
          <w:tcPr>
            <w:tcW w:w="2157" w:type="dxa"/>
            <w:shd w:val="clear" w:color="auto" w:fill="BFBFBF" w:themeFill="background1" w:themeFillShade="BF"/>
            <w:tcMar>
              <w:top w:w="0" w:type="dxa"/>
              <w:left w:w="86" w:type="dxa"/>
              <w:bottom w:w="43" w:type="dxa"/>
              <w:right w:w="86" w:type="dxa"/>
            </w:tcMar>
            <w:hideMark/>
          </w:tcPr>
          <w:p w14:paraId="65E88418" w14:textId="77777777" w:rsidR="00230F43" w:rsidRPr="005D4222" w:rsidRDefault="00230F43" w:rsidP="00A53E8C">
            <w:pPr>
              <w:pStyle w:val="ECDSMarginHead"/>
            </w:pPr>
            <w:r w:rsidRPr="005D4222">
              <w:t>Measure title</w:t>
            </w:r>
          </w:p>
        </w:tc>
        <w:tc>
          <w:tcPr>
            <w:tcW w:w="5151" w:type="dxa"/>
            <w:tcMar>
              <w:top w:w="0" w:type="dxa"/>
              <w:left w:w="86" w:type="dxa"/>
              <w:bottom w:w="43" w:type="dxa"/>
              <w:right w:w="86" w:type="dxa"/>
            </w:tcMar>
          </w:tcPr>
          <w:p w14:paraId="24206A75" w14:textId="3B754FBE" w:rsidR="00230F43" w:rsidRPr="005D4222" w:rsidRDefault="00114134" w:rsidP="00A53E8C">
            <w:pPr>
              <w:pStyle w:val="ECDSBody"/>
            </w:pPr>
            <w:r w:rsidRPr="005D4222">
              <w:t xml:space="preserve">Acute Hospitalizations </w:t>
            </w:r>
            <w:r w:rsidR="00230F43" w:rsidRPr="005D4222">
              <w:t>Following Outpatient Urologic Surgery</w:t>
            </w:r>
          </w:p>
        </w:tc>
        <w:tc>
          <w:tcPr>
            <w:tcW w:w="1419" w:type="dxa"/>
            <w:shd w:val="clear" w:color="auto" w:fill="BFBFBF" w:themeFill="background1" w:themeFillShade="BF"/>
            <w:tcMar>
              <w:top w:w="0" w:type="dxa"/>
              <w:left w:w="86" w:type="dxa"/>
              <w:bottom w:w="43" w:type="dxa"/>
              <w:right w:w="86" w:type="dxa"/>
            </w:tcMar>
          </w:tcPr>
          <w:p w14:paraId="0AA0C6E6" w14:textId="77777777" w:rsidR="00230F43" w:rsidRPr="005D4222" w:rsidRDefault="00230F43" w:rsidP="00D266F9">
            <w:pPr>
              <w:pStyle w:val="ECDSMarginHead"/>
            </w:pPr>
            <w:r w:rsidRPr="005D4222">
              <w:t>Measure ID</w:t>
            </w:r>
          </w:p>
        </w:tc>
        <w:tc>
          <w:tcPr>
            <w:tcW w:w="987" w:type="dxa"/>
            <w:tcMar>
              <w:top w:w="0" w:type="dxa"/>
              <w:left w:w="86" w:type="dxa"/>
              <w:bottom w:w="43" w:type="dxa"/>
              <w:right w:w="86" w:type="dxa"/>
            </w:tcMar>
          </w:tcPr>
          <w:p w14:paraId="54FB2877" w14:textId="77777777" w:rsidR="00230F43" w:rsidRPr="005D4222" w:rsidRDefault="00230F43" w:rsidP="00A53E8C">
            <w:pPr>
              <w:pStyle w:val="ECDSBody"/>
            </w:pPr>
            <w:r w:rsidRPr="005D4222">
              <w:t>HFU</w:t>
            </w:r>
          </w:p>
        </w:tc>
      </w:tr>
      <w:tr w:rsidR="00230F43" w:rsidRPr="005D4222" w14:paraId="42D3443F" w14:textId="77777777" w:rsidTr="00A53E8C">
        <w:tc>
          <w:tcPr>
            <w:tcW w:w="2157" w:type="dxa"/>
            <w:shd w:val="clear" w:color="auto" w:fill="BFBFBF" w:themeFill="background1" w:themeFillShade="BF"/>
            <w:tcMar>
              <w:top w:w="0" w:type="dxa"/>
              <w:left w:w="86" w:type="dxa"/>
              <w:bottom w:w="43" w:type="dxa"/>
              <w:right w:w="86" w:type="dxa"/>
            </w:tcMar>
            <w:hideMark/>
          </w:tcPr>
          <w:p w14:paraId="021751A3" w14:textId="77777777" w:rsidR="00230F43" w:rsidRPr="005D4222" w:rsidRDefault="00230F43" w:rsidP="00A53E8C">
            <w:pPr>
              <w:pStyle w:val="ECDSMarginHead"/>
            </w:pPr>
            <w:r w:rsidRPr="005D4222">
              <w:t>Description</w:t>
            </w:r>
          </w:p>
        </w:tc>
        <w:tc>
          <w:tcPr>
            <w:tcW w:w="7557" w:type="dxa"/>
            <w:gridSpan w:val="3"/>
            <w:tcMar>
              <w:top w:w="0" w:type="dxa"/>
              <w:left w:w="86" w:type="dxa"/>
              <w:bottom w:w="43" w:type="dxa"/>
              <w:right w:w="86" w:type="dxa"/>
            </w:tcMar>
          </w:tcPr>
          <w:p w14:paraId="53A38287" w14:textId="77777777" w:rsidR="00230F43" w:rsidRPr="005D4222" w:rsidRDefault="00230F43" w:rsidP="00A53E8C">
            <w:pPr>
              <w:pStyle w:val="ECDSBody"/>
            </w:pPr>
            <w:r w:rsidRPr="005D4222">
              <w:t xml:space="preserve">For persons 65 years of age and older, the risk-adjusted ratio of observed-to-expected unplanned acute hospitalizations (inpatient and observation stays) for any diagnosis that occurred within 15 days following select outpatient urologic surgeries. </w:t>
            </w:r>
          </w:p>
        </w:tc>
      </w:tr>
      <w:tr w:rsidR="00230F43" w:rsidRPr="005D4222" w14:paraId="4050D5A8" w14:textId="77777777" w:rsidTr="00A53E8C">
        <w:tc>
          <w:tcPr>
            <w:tcW w:w="2157" w:type="dxa"/>
            <w:shd w:val="clear" w:color="auto" w:fill="BFBFBF" w:themeFill="background1" w:themeFillShade="BF"/>
            <w:tcMar>
              <w:top w:w="0" w:type="dxa"/>
              <w:left w:w="86" w:type="dxa"/>
              <w:bottom w:w="43" w:type="dxa"/>
              <w:right w:w="86" w:type="dxa"/>
            </w:tcMar>
          </w:tcPr>
          <w:p w14:paraId="3DEDEF24" w14:textId="77777777" w:rsidR="00230F43" w:rsidRPr="005D4222" w:rsidRDefault="00230F43" w:rsidP="00A53E8C">
            <w:pPr>
              <w:pStyle w:val="ECDSMarginHead"/>
            </w:pPr>
            <w:r w:rsidRPr="005D4222">
              <w:t>Measurement period</w:t>
            </w:r>
          </w:p>
        </w:tc>
        <w:tc>
          <w:tcPr>
            <w:tcW w:w="7557" w:type="dxa"/>
            <w:gridSpan w:val="3"/>
            <w:tcMar>
              <w:top w:w="0" w:type="dxa"/>
              <w:left w:w="86" w:type="dxa"/>
              <w:bottom w:w="43" w:type="dxa"/>
              <w:right w:w="86" w:type="dxa"/>
            </w:tcMar>
          </w:tcPr>
          <w:p w14:paraId="6BFC1224" w14:textId="77777777" w:rsidR="00230F43" w:rsidRPr="005D4222" w:rsidRDefault="00230F43" w:rsidP="00A53E8C">
            <w:pPr>
              <w:pStyle w:val="ECDSBody"/>
            </w:pPr>
            <w:r w:rsidRPr="005D4222">
              <w:t>January 1–December 31.</w:t>
            </w:r>
          </w:p>
        </w:tc>
      </w:tr>
      <w:tr w:rsidR="00230F43" w:rsidRPr="005D4222" w14:paraId="10F5D02E" w14:textId="77777777" w:rsidTr="00A53E8C">
        <w:tc>
          <w:tcPr>
            <w:tcW w:w="2157" w:type="dxa"/>
            <w:tcBorders>
              <w:bottom w:val="single" w:sz="2" w:space="0" w:color="auto"/>
            </w:tcBorders>
            <w:shd w:val="clear" w:color="auto" w:fill="BFBFBF" w:themeFill="background1" w:themeFillShade="BF"/>
            <w:tcMar>
              <w:top w:w="0" w:type="dxa"/>
              <w:left w:w="86" w:type="dxa"/>
              <w:bottom w:w="43" w:type="dxa"/>
              <w:right w:w="86" w:type="dxa"/>
            </w:tcMar>
            <w:hideMark/>
          </w:tcPr>
          <w:p w14:paraId="78215B21" w14:textId="77777777" w:rsidR="00230F43" w:rsidRPr="005D4222" w:rsidRDefault="00230F43" w:rsidP="00A53E8C">
            <w:pPr>
              <w:pStyle w:val="ECDSMarginHead"/>
              <w:rPr>
                <w:rFonts w:eastAsia="Arial"/>
              </w:rPr>
            </w:pPr>
            <w:r w:rsidRPr="005D4222">
              <w:rPr>
                <w:rFonts w:eastAsia="Arial"/>
              </w:rPr>
              <w:t>Copyright and disclaimer notice</w:t>
            </w:r>
          </w:p>
        </w:tc>
        <w:tc>
          <w:tcPr>
            <w:tcW w:w="7557" w:type="dxa"/>
            <w:gridSpan w:val="3"/>
            <w:tcBorders>
              <w:bottom w:val="single" w:sz="2" w:space="0" w:color="auto"/>
            </w:tcBorders>
            <w:tcMar>
              <w:top w:w="0" w:type="dxa"/>
              <w:left w:w="86" w:type="dxa"/>
              <w:bottom w:w="43" w:type="dxa"/>
              <w:right w:w="86" w:type="dxa"/>
            </w:tcMar>
          </w:tcPr>
          <w:p w14:paraId="32B1FDAC" w14:textId="77777777" w:rsidR="00230F43" w:rsidRPr="005D4222" w:rsidRDefault="00230F43" w:rsidP="00A53E8C">
            <w:pPr>
              <w:pStyle w:val="ECDSBody"/>
            </w:pPr>
            <w:r w:rsidRPr="005D4222">
              <w:t xml:space="preserve">Refer to the complete copyright and disclaimer information at the front of this publication. </w:t>
            </w:r>
          </w:p>
          <w:p w14:paraId="715D6C8C" w14:textId="77777777" w:rsidR="00230F43" w:rsidRPr="005D4222" w:rsidRDefault="00230F43" w:rsidP="00A53E8C">
            <w:pPr>
              <w:pStyle w:val="ECDSBody"/>
              <w:spacing w:before="80"/>
            </w:pPr>
            <w:r w:rsidRPr="005D4222">
              <w:t xml:space="preserve">NCQA website: </w:t>
            </w:r>
            <w:r w:rsidRPr="005D4222">
              <w:rPr>
                <w:u w:val="single"/>
              </w:rPr>
              <w:t>www.ncqa.org</w:t>
            </w:r>
            <w:r w:rsidRPr="005D4222">
              <w:t>.</w:t>
            </w:r>
          </w:p>
          <w:p w14:paraId="281A387D" w14:textId="77777777" w:rsidR="00230F43" w:rsidRPr="005D4222" w:rsidRDefault="00230F43" w:rsidP="00A53E8C">
            <w:pPr>
              <w:pStyle w:val="ECDSBody"/>
              <w:spacing w:before="80"/>
            </w:pPr>
            <w:r w:rsidRPr="005D4222">
              <w:t>Submit policy clarification support questions via My NCQA (</w:t>
            </w:r>
            <w:r w:rsidRPr="005D4222">
              <w:rPr>
                <w:u w:val="single"/>
              </w:rPr>
              <w:t>https://my.ncqa.org</w:t>
            </w:r>
            <w:r w:rsidRPr="005D4222">
              <w:t>).</w:t>
            </w:r>
          </w:p>
        </w:tc>
      </w:tr>
      <w:tr w:rsidR="00230F43" w:rsidRPr="005D4222" w14:paraId="586B4F2D" w14:textId="77777777" w:rsidTr="00A53E8C">
        <w:tc>
          <w:tcPr>
            <w:tcW w:w="2157" w:type="dxa"/>
            <w:tcBorders>
              <w:bottom w:val="single" w:sz="4" w:space="0" w:color="auto"/>
            </w:tcBorders>
            <w:shd w:val="clear" w:color="auto" w:fill="BFBFBF" w:themeFill="background1" w:themeFillShade="BF"/>
            <w:tcMar>
              <w:top w:w="0" w:type="dxa"/>
              <w:left w:w="86" w:type="dxa"/>
              <w:bottom w:w="43" w:type="dxa"/>
              <w:right w:w="86" w:type="dxa"/>
            </w:tcMar>
            <w:hideMark/>
          </w:tcPr>
          <w:p w14:paraId="4140341A" w14:textId="77777777" w:rsidR="00230F43" w:rsidRPr="005D4222" w:rsidRDefault="00230F43" w:rsidP="00A53E8C">
            <w:pPr>
              <w:pStyle w:val="ECDSMarginHead"/>
            </w:pPr>
            <w:r w:rsidRPr="005D4222">
              <w:t>Clinical recommendation statement/ rationale</w:t>
            </w:r>
          </w:p>
        </w:tc>
        <w:tc>
          <w:tcPr>
            <w:tcW w:w="7557" w:type="dxa"/>
            <w:gridSpan w:val="3"/>
            <w:tcBorders>
              <w:bottom w:val="single" w:sz="4" w:space="0" w:color="auto"/>
            </w:tcBorders>
            <w:tcMar>
              <w:top w:w="0" w:type="dxa"/>
              <w:left w:w="86" w:type="dxa"/>
              <w:bottom w:w="43" w:type="dxa"/>
              <w:right w:w="86" w:type="dxa"/>
            </w:tcMar>
          </w:tcPr>
          <w:p w14:paraId="571B968C" w14:textId="77777777" w:rsidR="00230F43" w:rsidRPr="005D4222" w:rsidRDefault="00230F43" w:rsidP="00A53E8C">
            <w:pPr>
              <w:pStyle w:val="ECDSBody"/>
            </w:pPr>
            <w:r w:rsidRPr="005D4222">
              <w:rPr>
                <w:color w:val="000000" w:themeColor="text1"/>
                <w:lang w:eastAsia="zh-CN"/>
              </w:rPr>
              <w:t>Advances in surgical technologies, perioperative care and payment structures have increased the number and variety of surgical procedures performed in outpatient settings. The variety of complications following urologic surgery depends on patient characteristics, surgical approach and types of medical devices utilized during the procedure. Common complications include postoperative bleeding, serious injury and urinary retention, all of which can be mitigated through adhering to evidence-based guidelines for clinical practice to reduce preventable admissions.</w:t>
            </w:r>
          </w:p>
        </w:tc>
      </w:tr>
      <w:tr w:rsidR="00230F43" w:rsidRPr="005D4222" w14:paraId="67598FFC" w14:textId="77777777" w:rsidTr="00A53E8C">
        <w:tc>
          <w:tcPr>
            <w:tcW w:w="2157" w:type="dxa"/>
            <w:tcBorders>
              <w:top w:val="single" w:sz="4" w:space="0" w:color="auto"/>
            </w:tcBorders>
            <w:shd w:val="clear" w:color="auto" w:fill="BFBFBF" w:themeFill="background1" w:themeFillShade="BF"/>
            <w:tcMar>
              <w:top w:w="0" w:type="dxa"/>
              <w:left w:w="86" w:type="dxa"/>
              <w:bottom w:w="43" w:type="dxa"/>
              <w:right w:w="86" w:type="dxa"/>
            </w:tcMar>
          </w:tcPr>
          <w:p w14:paraId="27C954C8" w14:textId="77777777" w:rsidR="00230F43" w:rsidRPr="005D4222" w:rsidRDefault="00230F43" w:rsidP="00A53E8C">
            <w:pPr>
              <w:pStyle w:val="ECDSMarginHead"/>
            </w:pPr>
            <w:r w:rsidRPr="005D4222">
              <w:t>Citations</w:t>
            </w:r>
          </w:p>
        </w:tc>
        <w:tc>
          <w:tcPr>
            <w:tcW w:w="7557" w:type="dxa"/>
            <w:gridSpan w:val="3"/>
            <w:tcBorders>
              <w:top w:val="single" w:sz="4" w:space="0" w:color="auto"/>
            </w:tcBorders>
            <w:tcMar>
              <w:top w:w="0" w:type="dxa"/>
              <w:left w:w="86" w:type="dxa"/>
              <w:bottom w:w="43" w:type="dxa"/>
              <w:right w:w="86" w:type="dxa"/>
            </w:tcMar>
          </w:tcPr>
          <w:p w14:paraId="71C6318E" w14:textId="77777777" w:rsidR="00230F43" w:rsidRPr="005D4222" w:rsidRDefault="00230F43" w:rsidP="00A53E8C">
            <w:pPr>
              <w:pStyle w:val="ECDSBody"/>
              <w:rPr>
                <w:color w:val="000000" w:themeColor="text1"/>
                <w:lang w:eastAsia="zh-CN"/>
              </w:rPr>
            </w:pPr>
            <w:r w:rsidRPr="005D4222">
              <w:rPr>
                <w:color w:val="000000" w:themeColor="text1"/>
                <w:lang w:eastAsia="zh-CN"/>
              </w:rPr>
              <w:t xml:space="preserve">Bongiovanni, T., C. Parzynski, I. Ranasinghe, M.A. Steinman, &amp; J.S. Ross. 2021. “Unplanned Hospital Visits After Ambulatory Surgical Care.” </w:t>
            </w:r>
            <w:r w:rsidRPr="005D4222">
              <w:rPr>
                <w:i/>
                <w:iCs/>
                <w:color w:val="000000" w:themeColor="text1"/>
                <w:lang w:eastAsia="zh-CN"/>
              </w:rPr>
              <w:t>PloS one,</w:t>
            </w:r>
            <w:r w:rsidRPr="005D4222">
              <w:rPr>
                <w:color w:val="000000" w:themeColor="text1"/>
                <w:lang w:eastAsia="zh-CN"/>
              </w:rPr>
              <w:t xml:space="preserve"> 16(7), e0254039. https://doi.org/10.1371/journal.pone.0254039</w:t>
            </w:r>
          </w:p>
          <w:p w14:paraId="5B67F791" w14:textId="77777777" w:rsidR="00230F43" w:rsidRPr="005D4222" w:rsidRDefault="00230F43" w:rsidP="00A53E8C">
            <w:pPr>
              <w:pStyle w:val="ECDSBody"/>
              <w:rPr>
                <w:color w:val="000000" w:themeColor="text1"/>
                <w:lang w:eastAsia="zh-CN"/>
              </w:rPr>
            </w:pPr>
            <w:r w:rsidRPr="005D4222">
              <w:rPr>
                <w:color w:val="000000" w:themeColor="text1"/>
                <w:lang w:eastAsia="zh-CN"/>
              </w:rPr>
              <w:t xml:space="preserve">Cornu, J.N., T. Herrmann, O. Traxer, &amp; B. Matlaga. 2016. “Prevention and Management Following Complications from Endourology Procedures.” </w:t>
            </w:r>
            <w:r w:rsidRPr="005D4222">
              <w:rPr>
                <w:i/>
                <w:iCs/>
                <w:color w:val="000000" w:themeColor="text1"/>
                <w:lang w:eastAsia="zh-CN"/>
              </w:rPr>
              <w:t>European Urology Focus</w:t>
            </w:r>
            <w:r w:rsidRPr="005D4222">
              <w:rPr>
                <w:color w:val="000000" w:themeColor="text1"/>
                <w:lang w:eastAsia="zh-CN"/>
              </w:rPr>
              <w:t xml:space="preserve">, </w:t>
            </w:r>
            <w:r w:rsidRPr="005D4222">
              <w:rPr>
                <w:i/>
                <w:iCs/>
                <w:color w:val="000000" w:themeColor="text1"/>
                <w:lang w:eastAsia="zh-CN"/>
              </w:rPr>
              <w:t>2</w:t>
            </w:r>
            <w:r w:rsidRPr="005D4222">
              <w:rPr>
                <w:color w:val="000000" w:themeColor="text1"/>
                <w:lang w:eastAsia="zh-CN"/>
              </w:rPr>
              <w:t>(1), 49–59. https://doi.org/10.1016/j.euf.2016.03.014</w:t>
            </w:r>
          </w:p>
          <w:p w14:paraId="3E914D91" w14:textId="77777777" w:rsidR="00230F43" w:rsidRPr="005D4222" w:rsidRDefault="00230F43" w:rsidP="00A53E8C">
            <w:pPr>
              <w:pStyle w:val="ECDSBody"/>
            </w:pPr>
            <w:r w:rsidRPr="005D4222">
              <w:rPr>
                <w:color w:val="000000" w:themeColor="text1"/>
                <w:lang w:eastAsia="zh-CN"/>
              </w:rPr>
              <w:t xml:space="preserve">Cullen, K.A., M.J. Hall, A. Golosinskiy. 2009. </w:t>
            </w:r>
            <w:r w:rsidRPr="005D4222">
              <w:rPr>
                <w:i/>
                <w:iCs/>
                <w:color w:val="000000" w:themeColor="text1"/>
                <w:lang w:eastAsia="zh-CN"/>
              </w:rPr>
              <w:t>Ambulatory Surgery in the United States, 2006.</w:t>
            </w:r>
            <w:r w:rsidRPr="005D4222">
              <w:rPr>
                <w:color w:val="000000" w:themeColor="text1"/>
                <w:lang w:eastAsia="zh-CN"/>
              </w:rPr>
              <w:t xml:space="preserve"> National Health Statistics Reports; no 11. Revised. Hyattsville, MD: National Center for Health Statistics.</w:t>
            </w:r>
          </w:p>
        </w:tc>
      </w:tr>
      <w:tr w:rsidR="00230F43" w:rsidRPr="005D4222" w14:paraId="792EC3E7" w14:textId="77777777" w:rsidTr="00A53E8C">
        <w:tc>
          <w:tcPr>
            <w:tcW w:w="9714"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71F5AE5B" w14:textId="77777777" w:rsidR="00230F43" w:rsidRPr="005D4222" w:rsidRDefault="00230F43" w:rsidP="00A53E8C">
            <w:pPr>
              <w:pStyle w:val="ECDSMarginHead"/>
            </w:pPr>
            <w:r w:rsidRPr="005D4222">
              <w:t>Characteristics</w:t>
            </w:r>
          </w:p>
        </w:tc>
      </w:tr>
      <w:tr w:rsidR="00230F43" w:rsidRPr="005D4222" w14:paraId="34A73BC6" w14:textId="77777777" w:rsidTr="00A53E8C">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121E7606" w14:textId="77777777" w:rsidR="00230F43" w:rsidRPr="005D4222" w:rsidRDefault="00230F43" w:rsidP="00230F43">
            <w:pPr>
              <w:pStyle w:val="ECDSMarginSubhead"/>
              <w:spacing w:after="0"/>
            </w:pPr>
            <w:r w:rsidRPr="005D4222">
              <w:t>Scoring</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35A27675" w14:textId="77777777" w:rsidR="00230F43" w:rsidRPr="005D4222" w:rsidRDefault="00230F43" w:rsidP="00230F43">
            <w:pPr>
              <w:pStyle w:val="ECDSBody"/>
              <w:spacing w:after="0"/>
            </w:pPr>
            <w:r w:rsidRPr="005D4222">
              <w:t>Ratio.</w:t>
            </w:r>
          </w:p>
        </w:tc>
      </w:tr>
      <w:tr w:rsidR="00230F43" w:rsidRPr="005D4222" w14:paraId="670F20F3" w14:textId="77777777" w:rsidTr="00230F43">
        <w:tc>
          <w:tcPr>
            <w:tcW w:w="2157" w:type="dxa"/>
            <w:tcBorders>
              <w:top w:val="nil"/>
              <w:left w:val="single" w:sz="4" w:space="0" w:color="auto"/>
              <w:bottom w:val="nil"/>
              <w:right w:val="single" w:sz="4" w:space="0" w:color="auto"/>
            </w:tcBorders>
            <w:tcMar>
              <w:top w:w="0" w:type="dxa"/>
              <w:left w:w="86" w:type="dxa"/>
              <w:bottom w:w="43" w:type="dxa"/>
              <w:right w:w="86" w:type="dxa"/>
            </w:tcMar>
          </w:tcPr>
          <w:p w14:paraId="0EACE988" w14:textId="30653EC9" w:rsidR="00230F43" w:rsidRPr="005D4222" w:rsidRDefault="00B51CDC" w:rsidP="00230F43">
            <w:pPr>
              <w:pStyle w:val="ECDSMarginSubhead"/>
              <w:spacing w:after="0"/>
            </w:pPr>
            <w:r w:rsidRPr="005D4222">
              <w:t>Product lines</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1A87CEA4" w14:textId="77777777" w:rsidR="00230F43" w:rsidRPr="005D4222" w:rsidRDefault="00230F43" w:rsidP="00230F43">
            <w:pPr>
              <w:pStyle w:val="ECDSBody"/>
              <w:spacing w:after="0"/>
              <w:rPr>
                <w:rFonts w:eastAsia="Arial,Arial,Arial,Arial,Arial,A"/>
              </w:rPr>
            </w:pPr>
            <w:r w:rsidRPr="005D4222">
              <w:rPr>
                <w:rFonts w:eastAsia="Arial,Arial,Arial,Arial,Arial,A"/>
              </w:rPr>
              <w:t>Medicare.</w:t>
            </w:r>
          </w:p>
        </w:tc>
      </w:tr>
      <w:tr w:rsidR="00230F43" w:rsidRPr="005D4222" w14:paraId="6E36076A" w14:textId="77777777" w:rsidTr="00230F43">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4A6FED08" w14:textId="4345BFCD" w:rsidR="00230F43" w:rsidRPr="005D4222" w:rsidRDefault="00B51CDC" w:rsidP="00230F43">
            <w:pPr>
              <w:pStyle w:val="ECDSMarginSubhead"/>
            </w:pPr>
            <w:r w:rsidRPr="005D4222">
              <w:t>Stratifications</w:t>
            </w:r>
            <w:r w:rsidR="00230F43" w:rsidRPr="005D4222">
              <w:t xml:space="preserve"> </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hideMark/>
          </w:tcPr>
          <w:p w14:paraId="42E5352E" w14:textId="77777777" w:rsidR="00230F43" w:rsidRPr="005D4222" w:rsidRDefault="00230F43" w:rsidP="00230F43">
            <w:pPr>
              <w:pStyle w:val="ECDSBody"/>
            </w:pPr>
            <w:r w:rsidRPr="005D4222">
              <w:t>None.</w:t>
            </w:r>
          </w:p>
        </w:tc>
      </w:tr>
    </w:tbl>
    <w:p w14:paraId="3F9BFE10" w14:textId="77777777" w:rsidR="00230F43" w:rsidRPr="005D4222" w:rsidRDefault="00230F43">
      <w:r w:rsidRPr="005D4222">
        <w:br w:type="page"/>
      </w:r>
    </w:p>
    <w:tbl>
      <w:tblPr>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230F43" w:rsidRPr="005D4222" w14:paraId="6A9A6B72" w14:textId="77777777" w:rsidTr="00C64FC2">
        <w:tc>
          <w:tcPr>
            <w:tcW w:w="2157" w:type="dxa"/>
            <w:tcBorders>
              <w:top w:val="single" w:sz="4" w:space="0" w:color="auto"/>
              <w:left w:val="single" w:sz="4" w:space="0" w:color="auto"/>
              <w:right w:val="single" w:sz="4" w:space="0" w:color="auto"/>
            </w:tcBorders>
            <w:tcMar>
              <w:top w:w="0" w:type="dxa"/>
              <w:left w:w="86" w:type="dxa"/>
              <w:bottom w:w="43" w:type="dxa"/>
              <w:right w:w="86" w:type="dxa"/>
            </w:tcMar>
          </w:tcPr>
          <w:p w14:paraId="29C76851" w14:textId="77777777" w:rsidR="00230F43" w:rsidRPr="005D4222" w:rsidRDefault="00230F43" w:rsidP="00A53E8C">
            <w:pPr>
              <w:pStyle w:val="ECDSMarginSubhead"/>
            </w:pPr>
            <w:r w:rsidRPr="005D4222">
              <w:lastRenderedPageBreak/>
              <w:t>Guidance</w:t>
            </w: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tcPr>
          <w:p w14:paraId="61F9BA2C" w14:textId="77777777" w:rsidR="00230F43" w:rsidRPr="005D4222" w:rsidRDefault="00230F43" w:rsidP="00A53E8C">
            <w:pPr>
              <w:pStyle w:val="ECDSBody"/>
              <w:rPr>
                <w:rFonts w:ascii="Segoe UI" w:hAnsi="Segoe UI" w:cs="Segoe UI"/>
                <w:b/>
                <w:bCs w:val="0"/>
                <w:i/>
                <w:iCs/>
                <w:sz w:val="18"/>
                <w:szCs w:val="18"/>
              </w:rPr>
            </w:pPr>
            <w:r w:rsidRPr="005D4222">
              <w:rPr>
                <w:b/>
                <w:bCs w:val="0"/>
                <w:i/>
                <w:iCs/>
              </w:rPr>
              <w:t>Risk Adjustment Measure Specific Guidance </w:t>
            </w:r>
          </w:p>
          <w:p w14:paraId="54892F9F" w14:textId="77777777" w:rsidR="00230F43" w:rsidRPr="005D4222" w:rsidRDefault="00230F43" w:rsidP="00A53E8C">
            <w:pPr>
              <w:pStyle w:val="ECDSBody"/>
            </w:pPr>
            <w:r w:rsidRPr="005D4222">
              <w:rPr>
                <w:b/>
              </w:rPr>
              <w:t>Observation stays:</w:t>
            </w:r>
            <w:r w:rsidRPr="005D4222">
              <w:t xml:space="preserve"> For observation stays (</w:t>
            </w:r>
            <w:r w:rsidRPr="005D4222">
              <w:rPr>
                <w:u w:val="single"/>
              </w:rPr>
              <w:t>Observation Stay Value Set</w:t>
            </w:r>
            <w:r w:rsidRPr="005D4222">
              <w:t>) that do not have a recorded admission or discharge date, set the admission date to the earliest date of service on the claim and set the discharge date to the last date of service on the claim. </w:t>
            </w:r>
          </w:p>
          <w:p w14:paraId="2DF4D5E2" w14:textId="77777777" w:rsidR="00230F43" w:rsidRPr="005D4222" w:rsidRDefault="00230F43" w:rsidP="00230F43">
            <w:pPr>
              <w:pStyle w:val="ECDSBody"/>
              <w:rPr>
                <w:rFonts w:ascii="Segoe UI" w:hAnsi="Segoe UI" w:cs="Segoe UI"/>
                <w:b/>
                <w:bCs w:val="0"/>
                <w:sz w:val="18"/>
                <w:szCs w:val="18"/>
              </w:rPr>
            </w:pPr>
            <w:r w:rsidRPr="005D4222">
              <w:rPr>
                <w:b/>
                <w:bCs w:val="0"/>
              </w:rPr>
              <w:t xml:space="preserve">Which services count? </w:t>
            </w:r>
          </w:p>
          <w:p w14:paraId="24BE00E4" w14:textId="77777777" w:rsidR="00230F43" w:rsidRPr="005D4222" w:rsidRDefault="00230F43" w:rsidP="00230F43">
            <w:pPr>
              <w:pStyle w:val="ProcessBullet"/>
              <w:tabs>
                <w:tab w:val="left" w:pos="216"/>
                <w:tab w:val="num" w:pos="720"/>
              </w:tabs>
            </w:pPr>
            <w:r w:rsidRPr="005D4222">
              <w:t>Use all paid, suspended, pending, and denied claims when applying risk adjustment comorbidity category determination and the hospice exclusion. </w:t>
            </w:r>
          </w:p>
          <w:p w14:paraId="2834F0BD" w14:textId="77777777" w:rsidR="00230F43" w:rsidRPr="005D4222" w:rsidRDefault="00230F43" w:rsidP="00230F43">
            <w:pPr>
              <w:pStyle w:val="ProcessBullet"/>
              <w:tabs>
                <w:tab w:val="left" w:pos="216"/>
                <w:tab w:val="num" w:pos="720"/>
              </w:tabs>
            </w:pPr>
            <w:r w:rsidRPr="005D4222">
              <w:t>Do not include denied claims when identifying all other events (e.g., denominator events or observed events in the other risk adjusted utilization measures); only report claims the organization paid for or expects to pay for (i.e., claims incurred but not paid).  </w:t>
            </w:r>
          </w:p>
          <w:p w14:paraId="12044832" w14:textId="77777777" w:rsidR="00230F43" w:rsidRPr="005D4222" w:rsidRDefault="00230F43" w:rsidP="00A53E8C">
            <w:pPr>
              <w:pStyle w:val="ECDSBody"/>
              <w:rPr>
                <w:rFonts w:ascii="Segoe UI" w:hAnsi="Segoe UI" w:cs="Segoe UI"/>
                <w:sz w:val="18"/>
                <w:szCs w:val="18"/>
              </w:rPr>
            </w:pPr>
            <w:r w:rsidRPr="005D4222">
              <w:rPr>
                <w:b/>
              </w:rPr>
              <w:t xml:space="preserve">Supplemental data exceptions: </w:t>
            </w:r>
            <w:r w:rsidRPr="005D4222">
              <w:t>Supplemental data may only be used for the hospice exclusion.</w:t>
            </w:r>
          </w:p>
          <w:p w14:paraId="49526F38" w14:textId="77777777" w:rsidR="00230F43" w:rsidRPr="005D4222" w:rsidRDefault="00230F43" w:rsidP="00A53E8C">
            <w:pPr>
              <w:pStyle w:val="ECDSBody"/>
            </w:pPr>
            <w:r w:rsidRPr="005D4222">
              <w:rPr>
                <w:b/>
              </w:rPr>
              <w:t>Transfers:</w:t>
            </w:r>
            <w:r w:rsidRPr="005D4222">
              <w:t xml:space="preserve"> </w:t>
            </w:r>
          </w:p>
          <w:p w14:paraId="7A819500" w14:textId="77777777" w:rsidR="00230F43" w:rsidRPr="005D4222" w:rsidRDefault="00230F43" w:rsidP="00230F43">
            <w:pPr>
              <w:pStyle w:val="ProcessBullet"/>
              <w:tabs>
                <w:tab w:val="left" w:pos="216"/>
                <w:tab w:val="num" w:pos="720"/>
              </w:tabs>
            </w:pPr>
            <w:r w:rsidRPr="005D4222">
              <w:t xml:space="preserve">Treat transfers </w:t>
            </w:r>
            <w:r w:rsidRPr="005D4222">
              <w:rPr>
                <w:i/>
              </w:rPr>
              <w:t xml:space="preserve">between </w:t>
            </w:r>
            <w:r w:rsidRPr="005D4222">
              <w:t xml:space="preserve">institutions as separate admissions. </w:t>
            </w:r>
          </w:p>
          <w:p w14:paraId="583E2326" w14:textId="77777777" w:rsidR="00230F43" w:rsidRPr="005D4222" w:rsidRDefault="00230F43" w:rsidP="00230F43">
            <w:pPr>
              <w:pStyle w:val="ProcessBullet"/>
              <w:tabs>
                <w:tab w:val="left" w:pos="216"/>
                <w:tab w:val="num" w:pos="720"/>
              </w:tabs>
            </w:pPr>
            <w:r w:rsidRPr="005D4222">
              <w:t xml:space="preserve">Base transfer reports </w:t>
            </w:r>
            <w:r w:rsidRPr="005D4222">
              <w:rPr>
                <w:i/>
              </w:rPr>
              <w:t>within</w:t>
            </w:r>
            <w:r w:rsidRPr="005D4222">
              <w:t xml:space="preserve"> an institution on the type and level of services provided. </w:t>
            </w:r>
          </w:p>
          <w:p w14:paraId="62D75646" w14:textId="77777777" w:rsidR="00230F43" w:rsidRPr="005D4222" w:rsidRDefault="00230F43" w:rsidP="00230F43">
            <w:pPr>
              <w:pStyle w:val="ProcessBullet"/>
              <w:tabs>
                <w:tab w:val="left" w:pos="216"/>
                <w:tab w:val="num" w:pos="720"/>
              </w:tabs>
            </w:pPr>
            <w:r w:rsidRPr="005D4222">
              <w:t>Report separate admissions when the transfer is between acute and nonacute levels of service or between mental health/chemical dependency services and non-mental health/chemical dependency services. </w:t>
            </w:r>
          </w:p>
          <w:p w14:paraId="7A15A3BA" w14:textId="77777777" w:rsidR="00230F43" w:rsidRPr="005D4222" w:rsidRDefault="00230F43" w:rsidP="00230F43">
            <w:pPr>
              <w:pStyle w:val="ProcessBullet"/>
              <w:tabs>
                <w:tab w:val="left" w:pos="216"/>
                <w:tab w:val="num" w:pos="720"/>
              </w:tabs>
            </w:pPr>
            <w:r w:rsidRPr="005D4222">
              <w:t>Count only one admission when the transfer takes place within the same service category, but to a different level of care (e.g., from intensive care to a lesser level of care; from a lesser level of care to intensive care).</w:t>
            </w:r>
          </w:p>
          <w:p w14:paraId="2B3710C8" w14:textId="77777777" w:rsidR="00230F43" w:rsidRPr="005D4222" w:rsidRDefault="00230F43" w:rsidP="00A53E8C">
            <w:pPr>
              <w:pStyle w:val="ECDSBody"/>
            </w:pPr>
            <w:r w:rsidRPr="005D4222">
              <w:rPr>
                <w:b/>
              </w:rPr>
              <w:t>Risk adjustment:</w:t>
            </w:r>
            <w:r w:rsidRPr="005D4222">
              <w:t xml:space="preserve"> Organizations may not use risk assessment protocols to supplement diagnoses for calculation of the risk adjustment scores for these measures. The measurement model was developed and tested using only claims-based diagnoses; diagnoses from additional data sources would affect the validity of the models as they are currently implemented in the specification. </w:t>
            </w:r>
          </w:p>
          <w:p w14:paraId="7A8B8605" w14:textId="77777777" w:rsidR="00230F43" w:rsidRPr="005D4222" w:rsidRDefault="00230F43" w:rsidP="00A53E8C">
            <w:pPr>
              <w:pStyle w:val="ECDSBody"/>
              <w:rPr>
                <w:b/>
                <w:bCs w:val="0"/>
                <w:i/>
                <w:iCs/>
              </w:rPr>
            </w:pPr>
            <w:r w:rsidRPr="005D4222">
              <w:rPr>
                <w:b/>
                <w:bCs w:val="0"/>
                <w:i/>
                <w:iCs/>
              </w:rPr>
              <w:t>General Rules</w:t>
            </w:r>
          </w:p>
          <w:p w14:paraId="55A164F4" w14:textId="637D4534" w:rsidR="00230F43" w:rsidRPr="005D4222" w:rsidRDefault="00230F43" w:rsidP="00A53E8C">
            <w:pPr>
              <w:pStyle w:val="ECDSBody"/>
            </w:pPr>
            <w:r w:rsidRPr="005D4222">
              <w:rPr>
                <w:b/>
                <w:bCs w:val="0"/>
              </w:rPr>
              <w:t>Data collection methodology:</w:t>
            </w:r>
            <w:r w:rsidRPr="005D4222">
              <w:t xml:space="preserve"> Administrative. Refer to </w:t>
            </w:r>
            <w:hyperlink w:anchor="General_Guideline_Data_Collection_Method" w:history="1">
              <w:r w:rsidRPr="005D4222">
                <w:rPr>
                  <w:rStyle w:val="Hyperlink"/>
                  <w:i/>
                </w:rPr>
                <w:t>General Guideline: Data Collection Methods</w:t>
              </w:r>
            </w:hyperlink>
            <w:r w:rsidRPr="005D4222">
              <w:t xml:space="preserve"> for additional information.  </w:t>
            </w:r>
          </w:p>
          <w:p w14:paraId="2BAAB74A" w14:textId="77777777" w:rsidR="00230F43" w:rsidRPr="005D4222" w:rsidRDefault="00230F43" w:rsidP="00A53E8C">
            <w:pPr>
              <w:pStyle w:val="ECDSBody"/>
            </w:pPr>
            <w:r w:rsidRPr="005D4222">
              <w:rPr>
                <w:b/>
                <w:bCs w:val="0"/>
              </w:rPr>
              <w:t>Date specificity:</w:t>
            </w:r>
            <w:r w:rsidRPr="005D4222">
              <w:t xml:space="preserve"> Dates must be specific enough to determine the event occurred in the period being measured. </w:t>
            </w:r>
          </w:p>
          <w:p w14:paraId="4F4652C5" w14:textId="77777777" w:rsidR="00230F43" w:rsidRPr="005D4222" w:rsidRDefault="00230F43" w:rsidP="00A53E8C">
            <w:pPr>
              <w:pStyle w:val="ECDSBody"/>
            </w:pPr>
            <w:r w:rsidRPr="005D4222">
              <w:rPr>
                <w:b/>
                <w:bCs w:val="0"/>
              </w:rPr>
              <w:t>Other guidance</w:t>
            </w:r>
            <w:r w:rsidRPr="005D4222">
              <w:t>: The measure is based on episodes; therefore, it is possible for the denominator to include multiple events for the same person.</w:t>
            </w:r>
          </w:p>
          <w:p w14:paraId="44682684" w14:textId="29976F01" w:rsidR="00230F43" w:rsidRPr="005D4222" w:rsidRDefault="00230F43" w:rsidP="001575CC">
            <w:pPr>
              <w:pStyle w:val="ECDSBody"/>
            </w:pPr>
            <w:r w:rsidRPr="005D4222">
              <w:rPr>
                <w:b/>
                <w:bCs w:val="0"/>
              </w:rPr>
              <w:t xml:space="preserve">Improvement </w:t>
            </w:r>
            <w:r w:rsidR="001575CC" w:rsidRPr="005D4222">
              <w:rPr>
                <w:b/>
                <w:bCs w:val="0"/>
              </w:rPr>
              <w:t>n</w:t>
            </w:r>
            <w:r w:rsidRPr="005D4222">
              <w:rPr>
                <w:b/>
                <w:bCs w:val="0"/>
              </w:rPr>
              <w:t>otation</w:t>
            </w:r>
            <w:r w:rsidR="001575CC" w:rsidRPr="005D4222">
              <w:rPr>
                <w:b/>
                <w:bCs w:val="0"/>
              </w:rPr>
              <w:t xml:space="preserve">: </w:t>
            </w:r>
            <w:r w:rsidRPr="005D4222">
              <w:t>To interpret the ratio as better or worse than expected, the ratio must be calibrated. Organizations can calibrate ratios by dividing individual organization ratios or national percentiles by the national average ratios. Organizations may be more successful at achieving fewer hospitalizations than expected, given the types of cases treated by the organization (calibrated ratios with a value &lt;1.0), or may be less successful (calibrated ratios with a value &gt;1.0).</w:t>
            </w:r>
          </w:p>
        </w:tc>
      </w:tr>
    </w:tbl>
    <w:p w14:paraId="318A32C2" w14:textId="77777777" w:rsidR="001575CC" w:rsidRPr="005D4222" w:rsidRDefault="001575CC"/>
    <w:tbl>
      <w:tblPr>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230F43" w:rsidRPr="005D4222" w14:paraId="61447039" w14:textId="77777777" w:rsidTr="009D58C6">
        <w:tc>
          <w:tcPr>
            <w:tcW w:w="9714"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4C0119B7" w14:textId="77777777" w:rsidR="00230F43" w:rsidRPr="005D4222" w:rsidRDefault="00230F43" w:rsidP="00A53E8C">
            <w:pPr>
              <w:pStyle w:val="ECDSMarginHead"/>
            </w:pPr>
            <w:r w:rsidRPr="005D4222">
              <w:lastRenderedPageBreak/>
              <w:t>Definitions</w:t>
            </w:r>
          </w:p>
        </w:tc>
      </w:tr>
      <w:tr w:rsidR="00C64FC2" w:rsidRPr="005D4222" w14:paraId="67E3A2D0" w14:textId="77777777" w:rsidTr="009D58C6">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19922662" w14:textId="77777777" w:rsidR="00C64FC2" w:rsidRPr="005D4222" w:rsidRDefault="00C64FC2" w:rsidP="00375F8F">
            <w:pPr>
              <w:pStyle w:val="ECDSSubhead"/>
            </w:pPr>
            <w:r w:rsidRPr="005D4222">
              <w:t>Direct transfer</w:t>
            </w: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16D731C1" w14:textId="77777777" w:rsidR="00C64FC2" w:rsidRPr="005D4222" w:rsidRDefault="00C64FC2" w:rsidP="00A53E8C">
            <w:pPr>
              <w:pStyle w:val="ECDSBody"/>
            </w:pPr>
            <w:r w:rsidRPr="005D4222">
              <w:t xml:space="preserve">When the discharge date from the initial stay precedes the admission date to a subsequent stay by 1 calendar day or less. </w:t>
            </w:r>
          </w:p>
          <w:p w14:paraId="589C7CC6" w14:textId="77777777" w:rsidR="00C64FC2" w:rsidRPr="005D4222" w:rsidRDefault="00C64FC2" w:rsidP="00230F43">
            <w:pPr>
              <w:pStyle w:val="Bullet"/>
              <w:numPr>
                <w:ilvl w:val="0"/>
                <w:numId w:val="4"/>
              </w:numPr>
              <w:tabs>
                <w:tab w:val="left" w:pos="360"/>
                <w:tab w:val="left" w:pos="576"/>
              </w:tabs>
              <w:ind w:left="576" w:hanging="216"/>
              <w:rPr>
                <w:i/>
                <w:iCs/>
              </w:rPr>
            </w:pPr>
            <w:r w:rsidRPr="005D4222">
              <w:rPr>
                <w:i/>
                <w:iCs/>
              </w:rPr>
              <w:t>For example:</w:t>
            </w:r>
          </w:p>
          <w:p w14:paraId="3F934526" w14:textId="77777777" w:rsidR="00C64FC2" w:rsidRPr="005D4222" w:rsidRDefault="00C64FC2" w:rsidP="00C64FC2">
            <w:pPr>
              <w:pStyle w:val="Dash"/>
              <w:spacing w:after="0"/>
            </w:pPr>
            <w:r w:rsidRPr="005D4222">
              <w:t xml:space="preserve">A discharge on June 1, followed by a subsequent admission on June 1 or June 2, </w:t>
            </w:r>
            <w:r w:rsidRPr="005D4222">
              <w:rPr>
                <w:i/>
                <w:iCs/>
              </w:rPr>
              <w:t>is a direct transfer.</w:t>
            </w:r>
          </w:p>
          <w:p w14:paraId="0FD0978D" w14:textId="77777777" w:rsidR="00C64FC2" w:rsidRPr="005D4222" w:rsidRDefault="00C64FC2" w:rsidP="00C64FC2">
            <w:pPr>
              <w:pStyle w:val="Dash"/>
              <w:spacing w:after="0"/>
            </w:pPr>
            <w:r w:rsidRPr="005D4222">
              <w:t xml:space="preserve">A discharge on June 1, followed by a subsequent admission on </w:t>
            </w:r>
            <w:r w:rsidRPr="005D4222">
              <w:br/>
              <w:t xml:space="preserve">June 3, </w:t>
            </w:r>
            <w:r w:rsidRPr="005D4222">
              <w:rPr>
                <w:i/>
                <w:iCs/>
              </w:rPr>
              <w:t>is not a direct transfer;</w:t>
            </w:r>
            <w:r w:rsidRPr="005D4222">
              <w:t xml:space="preserve"> these are two distinct stays.</w:t>
            </w:r>
          </w:p>
          <w:p w14:paraId="5052C068" w14:textId="77777777" w:rsidR="00C64FC2" w:rsidRPr="005D4222" w:rsidRDefault="00C64FC2" w:rsidP="00A53E8C">
            <w:pPr>
              <w:pStyle w:val="Dash"/>
            </w:pPr>
            <w:r w:rsidRPr="005D4222">
              <w:t>A discharge on June 1, followed by a subsequent admission on June 2 (with discharge on June 3), followed by a subsequent admission on June 4,</w:t>
            </w:r>
            <w:r w:rsidRPr="005D4222">
              <w:rPr>
                <w:i/>
                <w:iCs/>
              </w:rPr>
              <w:t xml:space="preserve"> is a direct transfer.</w:t>
            </w:r>
          </w:p>
          <w:p w14:paraId="066B9299" w14:textId="11AC3ADD" w:rsidR="00C64FC2" w:rsidRPr="005D4222" w:rsidRDefault="00C64FC2" w:rsidP="00A53E8C">
            <w:pPr>
              <w:pStyle w:val="ECDSBody"/>
              <w:spacing w:after="0"/>
            </w:pPr>
            <w:r w:rsidRPr="005D4222">
              <w:t>Direct transfers may occur between different facilities, and between acute inpatient and observation.</w:t>
            </w:r>
          </w:p>
        </w:tc>
      </w:tr>
      <w:tr w:rsidR="00230F43" w:rsidRPr="005D4222" w14:paraId="20EF1C17" w14:textId="77777777" w:rsidTr="009D58C6">
        <w:tc>
          <w:tcPr>
            <w:tcW w:w="2157" w:type="dxa"/>
            <w:tcBorders>
              <w:top w:val="nil"/>
              <w:left w:val="single" w:sz="4" w:space="0" w:color="auto"/>
              <w:bottom w:val="nil"/>
              <w:right w:val="single" w:sz="4" w:space="0" w:color="auto"/>
            </w:tcBorders>
            <w:tcMar>
              <w:top w:w="0" w:type="dxa"/>
              <w:left w:w="86" w:type="dxa"/>
              <w:bottom w:w="43" w:type="dxa"/>
              <w:right w:w="86" w:type="dxa"/>
            </w:tcMar>
          </w:tcPr>
          <w:p w14:paraId="3BEB72B8" w14:textId="77777777" w:rsidR="00230F43" w:rsidRPr="005D4222" w:rsidRDefault="00230F43" w:rsidP="00375F8F">
            <w:pPr>
              <w:pStyle w:val="ECDSSubhead"/>
              <w:rPr>
                <w:rFonts w:cs="Arial"/>
              </w:rPr>
            </w:pPr>
            <w:r w:rsidRPr="005D4222">
              <w:t>Outpatient urologic surgery episode</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529CD363" w14:textId="77777777" w:rsidR="00230F43" w:rsidRPr="005D4222" w:rsidRDefault="00230F43" w:rsidP="00A53E8C">
            <w:pPr>
              <w:pStyle w:val="ECDSBody"/>
            </w:pPr>
            <w:r w:rsidRPr="005D4222">
              <w:t xml:space="preserve">A qualifying outpatient urologic surgery that occurs on or between January 1 and December 16 of the measurement period, as identified in the denominator. </w:t>
            </w:r>
          </w:p>
          <w:p w14:paraId="65664EEF" w14:textId="77777777" w:rsidR="00230F43" w:rsidRPr="005D4222" w:rsidRDefault="00230F43" w:rsidP="00A53E8C">
            <w:pPr>
              <w:pStyle w:val="ECDSBody"/>
              <w:spacing w:after="0"/>
            </w:pPr>
            <w:r w:rsidRPr="005D4222">
              <w:t xml:space="preserve">For episodes that span more than 1 calendar day, use the last service date as the episode date. </w:t>
            </w:r>
          </w:p>
        </w:tc>
      </w:tr>
      <w:tr w:rsidR="00230F43" w:rsidRPr="005D4222" w14:paraId="00EC288B"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10155C1A" w14:textId="77777777" w:rsidR="00230F43" w:rsidRPr="005D4222" w:rsidRDefault="00230F43" w:rsidP="00375F8F">
            <w:pPr>
              <w:pStyle w:val="ECDSSubhead"/>
            </w:pPr>
            <w:r w:rsidRPr="005D4222">
              <w:t>Outpatient urologic surgery episode date</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1E7AF856" w14:textId="77777777" w:rsidR="00230F43" w:rsidRPr="005D4222" w:rsidRDefault="00230F43" w:rsidP="00A53E8C">
            <w:pPr>
              <w:pStyle w:val="ECDSBody"/>
            </w:pPr>
            <w:r w:rsidRPr="005D4222">
              <w:t xml:space="preserve">The date of service for a qualifying outpatient urologic surgery episode. </w:t>
            </w:r>
          </w:p>
          <w:p w14:paraId="6E95B921" w14:textId="77777777" w:rsidR="00230F43" w:rsidRPr="005D4222" w:rsidRDefault="00230F43" w:rsidP="00A53E8C">
            <w:pPr>
              <w:pStyle w:val="ECDSBody"/>
              <w:spacing w:after="0"/>
            </w:pPr>
            <w:r w:rsidRPr="005D4222">
              <w:t>For episodes that span more than 1 calendar day, use the last service date as the episode date.</w:t>
            </w:r>
          </w:p>
        </w:tc>
      </w:tr>
      <w:tr w:rsidR="00230F43" w:rsidRPr="005D4222" w14:paraId="1C6F60A4" w14:textId="77777777" w:rsidTr="00A53E8C">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7EDC1237" w14:textId="77777777" w:rsidR="00230F43" w:rsidRPr="005D4222" w:rsidRDefault="00230F43" w:rsidP="00375F8F">
            <w:pPr>
              <w:pStyle w:val="ECDSSubhead"/>
              <w:spacing w:after="80"/>
              <w:rPr>
                <w:rFonts w:cs="Arial"/>
              </w:rPr>
            </w:pPr>
            <w:r w:rsidRPr="005D4222">
              <w:t>Planned hospital stay</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5BB3D140" w14:textId="77777777" w:rsidR="00230F43" w:rsidRPr="005D4222" w:rsidRDefault="00230F43" w:rsidP="00A53E8C">
            <w:pPr>
              <w:pStyle w:val="ECDSBody"/>
              <w:rPr>
                <w:b/>
              </w:rPr>
            </w:pPr>
            <w:r w:rsidRPr="005D4222">
              <w:t>A hospital stay that meets criteria in step 3 of the numerator.</w:t>
            </w:r>
          </w:p>
        </w:tc>
      </w:tr>
      <w:tr w:rsidR="00230F43" w:rsidRPr="005D4222" w14:paraId="38C37770" w14:textId="77777777" w:rsidTr="008D2D7F">
        <w:tc>
          <w:tcPr>
            <w:tcW w:w="2157" w:type="dxa"/>
            <w:shd w:val="clear" w:color="auto" w:fill="BFBFBF" w:themeFill="background1" w:themeFillShade="BF"/>
            <w:tcMar>
              <w:top w:w="0" w:type="dxa"/>
              <w:left w:w="86" w:type="dxa"/>
              <w:bottom w:w="43" w:type="dxa"/>
              <w:right w:w="86" w:type="dxa"/>
            </w:tcMar>
          </w:tcPr>
          <w:p w14:paraId="77DB25A1" w14:textId="77777777" w:rsidR="00230F43" w:rsidRPr="005D4222" w:rsidRDefault="00230F43" w:rsidP="00375F8F">
            <w:pPr>
              <w:pStyle w:val="ECDSSubhead"/>
            </w:pPr>
            <w:r w:rsidRPr="005D4222">
              <w:t>Initial population</w:t>
            </w: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tcPr>
          <w:p w14:paraId="2D3F7837" w14:textId="77777777" w:rsidR="00230F43" w:rsidRPr="005D4222" w:rsidRDefault="00230F43" w:rsidP="00A53E8C">
            <w:pPr>
              <w:pStyle w:val="ECDSBody"/>
            </w:pPr>
            <w:r w:rsidRPr="005D4222">
              <w:rPr>
                <w:i/>
                <w:iCs/>
              </w:rPr>
              <w:t>Measure item count:</w:t>
            </w:r>
            <w:r w:rsidRPr="005D4222">
              <w:t xml:space="preserve"> Episode.</w:t>
            </w:r>
          </w:p>
          <w:p w14:paraId="76F3B104" w14:textId="77777777" w:rsidR="00230F43" w:rsidRPr="005D4222" w:rsidRDefault="00230F43" w:rsidP="00A53E8C">
            <w:pPr>
              <w:pStyle w:val="ECDSBody"/>
            </w:pPr>
            <w:r w:rsidRPr="005D4222">
              <w:rPr>
                <w:i/>
                <w:iCs/>
              </w:rPr>
              <w:t>Attribution basis:</w:t>
            </w:r>
            <w:r w:rsidRPr="005D4222">
              <w:t xml:space="preserve"> Enrollment.</w:t>
            </w:r>
          </w:p>
          <w:p w14:paraId="7DDADAE3" w14:textId="77777777" w:rsidR="00230F43" w:rsidRPr="005D4222" w:rsidRDefault="00230F43" w:rsidP="00230F43">
            <w:pPr>
              <w:pStyle w:val="Bullet"/>
              <w:numPr>
                <w:ilvl w:val="0"/>
                <w:numId w:val="4"/>
              </w:numPr>
              <w:tabs>
                <w:tab w:val="left" w:pos="360"/>
                <w:tab w:val="left" w:pos="576"/>
              </w:tabs>
              <w:ind w:left="576" w:hanging="216"/>
            </w:pPr>
            <w:r w:rsidRPr="005D4222">
              <w:rPr>
                <w:i/>
                <w:iCs/>
              </w:rPr>
              <w:t>Benefits:</w:t>
            </w:r>
            <w:r w:rsidRPr="005D4222">
              <w:t xml:space="preserve"> Medical.</w:t>
            </w:r>
          </w:p>
          <w:p w14:paraId="500C4128" w14:textId="77777777" w:rsidR="00230F43" w:rsidRPr="005D4222" w:rsidRDefault="00230F43" w:rsidP="00230F43">
            <w:pPr>
              <w:pStyle w:val="Bullet"/>
              <w:numPr>
                <w:ilvl w:val="0"/>
                <w:numId w:val="4"/>
              </w:numPr>
              <w:tabs>
                <w:tab w:val="left" w:pos="360"/>
                <w:tab w:val="left" w:pos="576"/>
              </w:tabs>
              <w:ind w:left="576" w:hanging="216"/>
            </w:pPr>
            <w:r w:rsidRPr="005D4222">
              <w:rPr>
                <w:i/>
                <w:iCs/>
              </w:rPr>
              <w:t xml:space="preserve">Continuous enrollment: </w:t>
            </w:r>
            <w:r w:rsidRPr="005D4222">
              <w:t>365 days prior to the outpatient urologic surgery episode through 15 days after the outpatient urologic surgery episode.</w:t>
            </w:r>
          </w:p>
          <w:p w14:paraId="012C7DC4" w14:textId="77777777" w:rsidR="00230F43" w:rsidRPr="005D4222" w:rsidRDefault="00230F43" w:rsidP="00230F43">
            <w:pPr>
              <w:pStyle w:val="Bullet"/>
              <w:numPr>
                <w:ilvl w:val="0"/>
                <w:numId w:val="4"/>
              </w:numPr>
              <w:tabs>
                <w:tab w:val="left" w:pos="360"/>
                <w:tab w:val="left" w:pos="576"/>
              </w:tabs>
              <w:ind w:left="576" w:hanging="216"/>
            </w:pPr>
            <w:r w:rsidRPr="005D4222">
              <w:rPr>
                <w:i/>
                <w:iCs/>
              </w:rPr>
              <w:t>Allowable gap:</w:t>
            </w:r>
            <w:r w:rsidRPr="005D4222">
              <w:t xml:space="preserve"> </w:t>
            </w:r>
          </w:p>
          <w:p w14:paraId="22E180B3" w14:textId="77777777" w:rsidR="00230F43" w:rsidRPr="005D4222" w:rsidRDefault="00230F43" w:rsidP="00A53E8C">
            <w:pPr>
              <w:pStyle w:val="Dash"/>
            </w:pPr>
            <w:r w:rsidRPr="005D4222">
              <w:rPr>
                <w:i/>
                <w:iCs/>
              </w:rPr>
              <w:t xml:space="preserve">365 days prior to the date of the outpatient urologic surgery episode: </w:t>
            </w:r>
            <w:r w:rsidRPr="005D4222">
              <w:t xml:space="preserve">No more than one gap of ≤45 days. </w:t>
            </w:r>
          </w:p>
          <w:p w14:paraId="40132B38" w14:textId="77777777" w:rsidR="00230F43" w:rsidRPr="005D4222" w:rsidRDefault="00230F43" w:rsidP="00A53E8C">
            <w:pPr>
              <w:pStyle w:val="Dash"/>
            </w:pPr>
            <w:r w:rsidRPr="005D4222">
              <w:rPr>
                <w:i/>
                <w:iCs/>
              </w:rPr>
              <w:t xml:space="preserve">Outpatient urologic surgery episode through 15 days after the episode: </w:t>
            </w:r>
            <w:r w:rsidRPr="005D4222">
              <w:t>No gaps.</w:t>
            </w:r>
          </w:p>
          <w:p w14:paraId="3A6DE0AB" w14:textId="77777777" w:rsidR="00230F43" w:rsidRPr="005D4222" w:rsidRDefault="00230F43" w:rsidP="00A53E8C">
            <w:pPr>
              <w:pStyle w:val="ECDSBody"/>
            </w:pPr>
            <w:r w:rsidRPr="005D4222">
              <w:rPr>
                <w:i/>
              </w:rPr>
              <w:t xml:space="preserve">Ages: </w:t>
            </w:r>
            <w:r w:rsidRPr="005D4222">
              <w:t>65 years of age and older as of the outpatient urologic surgery episode.</w:t>
            </w:r>
          </w:p>
          <w:p w14:paraId="2450CFB2" w14:textId="77777777" w:rsidR="00230F43" w:rsidRPr="005D4222" w:rsidRDefault="00230F43" w:rsidP="00A53E8C">
            <w:pPr>
              <w:pStyle w:val="ECDSBody"/>
              <w:rPr>
                <w:i/>
                <w:iCs/>
              </w:rPr>
            </w:pPr>
            <w:r w:rsidRPr="005D4222">
              <w:rPr>
                <w:i/>
                <w:iCs/>
              </w:rPr>
              <w:t xml:space="preserve">Gender/Sex criteria: </w:t>
            </w:r>
          </w:p>
          <w:p w14:paraId="4B3CB5C2" w14:textId="77777777" w:rsidR="00230F43" w:rsidRPr="005D4222" w:rsidRDefault="00230F43" w:rsidP="00230F43">
            <w:pPr>
              <w:pStyle w:val="Bullet"/>
              <w:numPr>
                <w:ilvl w:val="0"/>
                <w:numId w:val="4"/>
              </w:numPr>
              <w:tabs>
                <w:tab w:val="left" w:pos="360"/>
                <w:tab w:val="left" w:pos="576"/>
              </w:tabs>
              <w:ind w:left="576" w:hanging="216"/>
              <w:rPr>
                <w:iCs/>
              </w:rPr>
            </w:pPr>
            <w:r w:rsidRPr="005D4222">
              <w:rPr>
                <w:iCs/>
              </w:rPr>
              <w:t>Administrative Gender of Female (AdministrativeGender code female).</w:t>
            </w:r>
          </w:p>
          <w:p w14:paraId="0BB4F90F" w14:textId="4C3F2EEC" w:rsidR="003B094A" w:rsidRPr="005D4222" w:rsidRDefault="00230F43" w:rsidP="003B094A">
            <w:pPr>
              <w:pStyle w:val="Bullet"/>
              <w:numPr>
                <w:ilvl w:val="0"/>
                <w:numId w:val="4"/>
              </w:numPr>
              <w:tabs>
                <w:tab w:val="left" w:pos="360"/>
                <w:tab w:val="left" w:pos="576"/>
              </w:tabs>
              <w:spacing w:after="80"/>
              <w:ind w:left="576" w:hanging="216"/>
              <w:rPr>
                <w:rFonts w:eastAsia="Arial,Arial,Arial,Arial,Arial,A"/>
              </w:rPr>
            </w:pPr>
            <w:r w:rsidRPr="005D4222">
              <w:rPr>
                <w:iCs/>
              </w:rPr>
              <w:t xml:space="preserve">Administrative Gender of </w:t>
            </w:r>
            <w:r w:rsidRPr="005D4222">
              <w:t>Male (AdministrativeGender code male).</w:t>
            </w:r>
          </w:p>
        </w:tc>
      </w:tr>
    </w:tbl>
    <w:p w14:paraId="79312CE8" w14:textId="77777777" w:rsidR="003B094A" w:rsidRPr="005D4222" w:rsidRDefault="003B094A">
      <w:r w:rsidRPr="005D4222">
        <w:br w:type="page"/>
      </w:r>
    </w:p>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3B094A" w:rsidRPr="005D4222" w14:paraId="0B2B4EBF" w14:textId="77777777" w:rsidTr="003B094A">
        <w:tc>
          <w:tcPr>
            <w:tcW w:w="2157" w:type="dxa"/>
            <w:shd w:val="clear" w:color="auto" w:fill="BFBFBF" w:themeFill="background1" w:themeFillShade="BF"/>
            <w:tcMar>
              <w:top w:w="0" w:type="dxa"/>
              <w:left w:w="86" w:type="dxa"/>
              <w:bottom w:w="43" w:type="dxa"/>
              <w:right w:w="86" w:type="dxa"/>
            </w:tcMar>
          </w:tcPr>
          <w:p w14:paraId="631AD43E" w14:textId="77777777" w:rsidR="003B094A" w:rsidRPr="005D4222" w:rsidRDefault="003B094A" w:rsidP="00A53E8C">
            <w:pPr>
              <w:pStyle w:val="ECDSMarginHead"/>
            </w:pP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tcPr>
          <w:p w14:paraId="37F4BB1D" w14:textId="77777777" w:rsidR="00375F8F" w:rsidRPr="005D4222" w:rsidRDefault="003B094A" w:rsidP="00375F8F">
            <w:pPr>
              <w:pStyle w:val="ECDSBody"/>
              <w:rPr>
                <w:rFonts w:eastAsia="Arial,Arial,Arial,Arial,Arial,A"/>
                <w:b/>
              </w:rPr>
            </w:pPr>
            <w:r w:rsidRPr="005D4222">
              <w:rPr>
                <w:i/>
                <w:iCs/>
              </w:rPr>
              <w:t>Exclusion:</w:t>
            </w:r>
            <w:r w:rsidR="00375F8F" w:rsidRPr="005D4222">
              <w:rPr>
                <w:i/>
                <w:iCs/>
              </w:rPr>
              <w:t xml:space="preserve"> </w:t>
            </w:r>
            <w:r w:rsidRPr="005D4222" w:rsidDel="002D4AA7">
              <w:rPr>
                <w:rFonts w:eastAsia="Arial,Arial,Arial,Arial,Arial,A"/>
                <w:b/>
              </w:rPr>
              <w:t xml:space="preserve">Persons </w:t>
            </w:r>
            <w:r w:rsidRPr="005D4222">
              <w:rPr>
                <w:rFonts w:eastAsia="Arial,Arial,Arial,Arial,Arial,A"/>
                <w:b/>
              </w:rPr>
              <w:t>in hospice or using hospice services.</w:t>
            </w:r>
          </w:p>
          <w:p w14:paraId="174D4A62" w14:textId="46048F28" w:rsidR="003B094A" w:rsidRPr="005D4222" w:rsidRDefault="003B094A" w:rsidP="00375F8F">
            <w:pPr>
              <w:pStyle w:val="ECDSBody"/>
              <w:rPr>
                <w:i/>
                <w:iCs/>
              </w:rPr>
            </w:pP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230F43" w:rsidRPr="005D4222" w14:paraId="0B6F281D" w14:textId="77777777" w:rsidTr="003B094A">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DC9C600" w14:textId="77777777" w:rsidR="00230F43" w:rsidRPr="005D4222" w:rsidRDefault="00230F43" w:rsidP="00A53E8C">
            <w:pPr>
              <w:pStyle w:val="ECDSMarginHead"/>
            </w:pPr>
            <w:r w:rsidRPr="005D4222">
              <w:t>Denominator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0BDBE54" w14:textId="77777777" w:rsidR="00230F43" w:rsidRPr="005D4222" w:rsidRDefault="00230F43" w:rsidP="00A53E8C">
            <w:pPr>
              <w:pStyle w:val="ECDSBody"/>
            </w:pPr>
            <w:r w:rsidRPr="005D4222">
              <w:rPr>
                <w:b/>
                <w:bCs w:val="0"/>
              </w:rPr>
              <w:t>Outpatient urologic surgery episodes</w:t>
            </w:r>
            <w:r w:rsidRPr="005D4222" w:rsidDel="00D34C4F">
              <w:t>.</w:t>
            </w:r>
          </w:p>
          <w:p w14:paraId="0A3B4535" w14:textId="77777777" w:rsidR="00230F43" w:rsidRPr="005D4222" w:rsidRDefault="00230F43" w:rsidP="00A53E8C">
            <w:pPr>
              <w:pStyle w:val="ECDSBody"/>
            </w:pPr>
            <w:r w:rsidRPr="005D4222">
              <w:rPr>
                <w:b/>
              </w:rPr>
              <w:t>Step 1.</w:t>
            </w:r>
            <w:r w:rsidRPr="005D4222">
              <w:t xml:space="preserve"> Identify outpatient urologic surgeries on or between January 1 and December 16 of the measurement period:</w:t>
            </w:r>
          </w:p>
          <w:p w14:paraId="1EDAA792" w14:textId="77777777" w:rsidR="00230F43" w:rsidRPr="005D4222" w:rsidRDefault="00230F43" w:rsidP="005D6173">
            <w:pPr>
              <w:pStyle w:val="Body"/>
              <w:numPr>
                <w:ilvl w:val="0"/>
                <w:numId w:val="132"/>
              </w:numPr>
              <w:spacing w:before="120" w:after="80"/>
              <w:ind w:left="648" w:hanging="288"/>
              <w:rPr>
                <w:bCs/>
              </w:rPr>
            </w:pPr>
            <w:r w:rsidRPr="005D4222">
              <w:rPr>
                <w:bCs/>
              </w:rPr>
              <w:t>Identify all outpatient urologic surgeries (</w:t>
            </w:r>
            <w:r w:rsidRPr="005D4222">
              <w:rPr>
                <w:bCs/>
                <w:u w:val="single"/>
              </w:rPr>
              <w:t>Urologic Surgery Value Set</w:t>
            </w:r>
            <w:r w:rsidRPr="005D4222">
              <w:rPr>
                <w:bCs/>
              </w:rPr>
              <w:t xml:space="preserve"> </w:t>
            </w:r>
            <w:r w:rsidRPr="005D4222">
              <w:rPr>
                <w:b/>
                <w:i/>
                <w:iCs/>
              </w:rPr>
              <w:t>with</w:t>
            </w:r>
            <w:r w:rsidRPr="005D4222">
              <w:rPr>
                <w:bCs/>
              </w:rPr>
              <w:t xml:space="preserve"> </w:t>
            </w:r>
            <w:r w:rsidRPr="005D4222">
              <w:rPr>
                <w:bCs/>
                <w:u w:val="single"/>
              </w:rPr>
              <w:t>Ambulatory Surgery POS Value Set</w:t>
            </w:r>
            <w:r w:rsidRPr="005D4222">
              <w:rPr>
                <w:bCs/>
              </w:rPr>
              <w:t xml:space="preserve">).  </w:t>
            </w:r>
          </w:p>
          <w:p w14:paraId="455B5C8D" w14:textId="77777777" w:rsidR="00230F43" w:rsidRPr="005D4222" w:rsidRDefault="00230F43" w:rsidP="005D6173">
            <w:pPr>
              <w:pStyle w:val="Body"/>
              <w:numPr>
                <w:ilvl w:val="0"/>
                <w:numId w:val="132"/>
              </w:numPr>
              <w:spacing w:before="120" w:after="80"/>
              <w:ind w:left="648" w:hanging="288"/>
              <w:rPr>
                <w:bCs/>
              </w:rPr>
            </w:pPr>
            <w:r w:rsidRPr="005D4222">
              <w:rPr>
                <w:bCs/>
              </w:rPr>
              <w:t xml:space="preserve">Identify the outpatient urologic surgery episode date. </w:t>
            </w:r>
          </w:p>
          <w:p w14:paraId="5CFA5A82" w14:textId="77777777" w:rsidR="00230F43" w:rsidRPr="005D4222" w:rsidDel="00AA4A01" w:rsidRDefault="00230F43" w:rsidP="00A53E8C">
            <w:pPr>
              <w:pStyle w:val="ECDSBody"/>
              <w:spacing w:before="180"/>
            </w:pPr>
            <w:r w:rsidRPr="005D4222">
              <w:rPr>
                <w:b/>
              </w:rPr>
              <w:t>Step 2.</w:t>
            </w:r>
            <w:r w:rsidRPr="005D4222">
              <w:t xml:space="preserve"> Exclude outpatient urologic surgery episode dates that occur the day before an inpatient stay (</w:t>
            </w:r>
            <w:r w:rsidRPr="005D4222">
              <w:rPr>
                <w:u w:val="single"/>
              </w:rPr>
              <w:t>Inpatient Stay Value Set</w:t>
            </w:r>
            <w:r w:rsidRPr="005D4222">
              <w:t>) or observation stay (</w:t>
            </w:r>
            <w:r w:rsidRPr="005D4222">
              <w:rPr>
                <w:u w:val="single"/>
              </w:rPr>
              <w:t>Observation Stay Value Set</w:t>
            </w:r>
            <w:r w:rsidRPr="005D4222">
              <w:t xml:space="preserve">) admission date or at any time during an inpatient or observation stay. </w:t>
            </w:r>
          </w:p>
        </w:tc>
      </w:tr>
      <w:tr w:rsidR="00230F43" w:rsidRPr="005D4222" w14:paraId="5F1B2127" w14:textId="77777777" w:rsidTr="003B094A">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2628FD1" w14:textId="77777777" w:rsidR="00230F43" w:rsidRPr="005D4222" w:rsidRDefault="00230F43" w:rsidP="00A53E8C">
            <w:pPr>
              <w:pStyle w:val="ECDSMarginHead"/>
            </w:pPr>
            <w:r w:rsidRPr="005D4222">
              <w:t>Risk adjustment factors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A341001" w14:textId="77777777" w:rsidR="00230F43" w:rsidRPr="005D4222" w:rsidRDefault="00230F43" w:rsidP="00A53E8C">
            <w:pPr>
              <w:pStyle w:val="ECDSBody"/>
              <w:rPr>
                <w:b/>
                <w:bCs w:val="0"/>
                <w:i/>
                <w:iCs/>
              </w:rPr>
            </w:pPr>
            <w:r w:rsidRPr="005D4222">
              <w:rPr>
                <w:b/>
                <w:i/>
                <w:iCs/>
              </w:rPr>
              <w:t>Risk Adjustment Determination</w:t>
            </w:r>
          </w:p>
          <w:p w14:paraId="1A56D05B" w14:textId="77777777" w:rsidR="00230F43" w:rsidRPr="005D4222" w:rsidRDefault="00230F43" w:rsidP="00A53E8C">
            <w:pPr>
              <w:pStyle w:val="ECDSBody"/>
              <w:rPr>
                <w:rFonts w:eastAsia="Arial"/>
                <w:bCs w:val="0"/>
              </w:rPr>
            </w:pPr>
            <w:r w:rsidRPr="005D4222">
              <w:rPr>
                <w:rFonts w:eastAsia="Arial"/>
                <w:bCs w:val="0"/>
              </w:rPr>
              <w:t xml:space="preserve">For each outpatient urologic surgery episode, identify risk adjustment weights based on procedure subtype, comorbidity, age and gender. </w:t>
            </w:r>
          </w:p>
          <w:p w14:paraId="0F83EC4F" w14:textId="77777777" w:rsidR="00230F43" w:rsidRPr="005D4222" w:rsidRDefault="00230F43" w:rsidP="00A53E8C">
            <w:pPr>
              <w:pStyle w:val="ECDSBody"/>
            </w:pPr>
            <w:r w:rsidRPr="005D4222">
              <w:rPr>
                <w:b/>
              </w:rPr>
              <w:t xml:space="preserve">Procedure subtype: </w:t>
            </w:r>
          </w:p>
          <w:p w14:paraId="530D3D7C" w14:textId="77777777" w:rsidR="00230F43" w:rsidRPr="005D4222" w:rsidRDefault="00230F43" w:rsidP="00A53E8C">
            <w:pPr>
              <w:pStyle w:val="ECDSBody"/>
            </w:pPr>
            <w:r w:rsidRPr="005D4222">
              <w:rPr>
                <w:b/>
              </w:rPr>
              <w:t xml:space="preserve">Step 1. </w:t>
            </w:r>
            <w:r w:rsidRPr="005D4222">
              <w:t xml:space="preserve">Identify all CPT codes associated with each outpatient urologic surgery episode date. Some episode dates will be associated with more than one CPT code. </w:t>
            </w:r>
          </w:p>
          <w:p w14:paraId="3DFC8D06" w14:textId="77777777" w:rsidR="00230F43" w:rsidRPr="005D4222" w:rsidRDefault="00230F43" w:rsidP="00A53E8C">
            <w:pPr>
              <w:pStyle w:val="ECDSBody"/>
            </w:pPr>
            <w:r w:rsidRPr="005D4222">
              <w:rPr>
                <w:b/>
              </w:rPr>
              <w:t xml:space="preserve">Step 2. </w:t>
            </w:r>
            <w:r w:rsidRPr="005D4222">
              <w:t>Assign each CPT code to a procedure subtype using Table Proc—Mapping in the Risk Adjustment Shared Tables. Capture all associated CCS categories for each episode. Exclude CPT codes that cannot be assigned to a CCS category. If multiple CPT codes map to one CCS category, only count that CCS category once.</w:t>
            </w:r>
          </w:p>
          <w:p w14:paraId="1CBAE3E4" w14:textId="77777777" w:rsidR="00230F43" w:rsidRPr="005D4222" w:rsidRDefault="00230F43" w:rsidP="00230F43">
            <w:pPr>
              <w:pStyle w:val="Bullet"/>
              <w:numPr>
                <w:ilvl w:val="0"/>
                <w:numId w:val="4"/>
              </w:numPr>
              <w:tabs>
                <w:tab w:val="left" w:pos="360"/>
                <w:tab w:val="left" w:pos="576"/>
              </w:tabs>
              <w:ind w:left="576" w:hanging="216"/>
            </w:pPr>
            <w:r w:rsidRPr="005D4222">
              <w:rPr>
                <w:i/>
                <w:iCs/>
              </w:rPr>
              <w:t xml:space="preserve">For example, </w:t>
            </w:r>
            <w:r w:rsidRPr="005D4222">
              <w:t>assume an episode date has CPT 50590, CPT 50945 and CPT 51040 codes.</w:t>
            </w:r>
          </w:p>
          <w:p w14:paraId="48C56AF5" w14:textId="77777777" w:rsidR="00230F43" w:rsidRPr="005D4222" w:rsidRDefault="00230F43" w:rsidP="00A53E8C">
            <w:pPr>
              <w:pStyle w:val="Dash"/>
            </w:pPr>
            <w:r w:rsidRPr="005D4222">
              <w:t xml:space="preserve">CPT 50590 maps to CCS 107 (Extracorporeal lithotripsy, urinary). </w:t>
            </w:r>
          </w:p>
          <w:p w14:paraId="58A51DA2" w14:textId="77777777" w:rsidR="00230F43" w:rsidRPr="005D4222" w:rsidRDefault="00230F43" w:rsidP="00A53E8C">
            <w:pPr>
              <w:pStyle w:val="Dash"/>
              <w:rPr>
                <w:rFonts w:cs="Arial"/>
              </w:rPr>
            </w:pPr>
            <w:r w:rsidRPr="005D4222">
              <w:t>CPT 50945 maps to CCS 112 (Other OR therapeutic procedures of urinary tract).</w:t>
            </w:r>
          </w:p>
          <w:p w14:paraId="516EA784" w14:textId="77777777" w:rsidR="00230F43" w:rsidRPr="005D4222" w:rsidRDefault="00230F43" w:rsidP="00A53E8C">
            <w:pPr>
              <w:pStyle w:val="Dash"/>
              <w:rPr>
                <w:rFonts w:cs="Arial"/>
              </w:rPr>
            </w:pPr>
            <w:r w:rsidRPr="005D4222">
              <w:t>CPT 51040 maps to CCS 112 (Other OR therapeutic procedures of urinary tract).</w:t>
            </w:r>
          </w:p>
          <w:p w14:paraId="1D1D60BA" w14:textId="77777777" w:rsidR="00230F43" w:rsidRPr="005D4222" w:rsidRDefault="00230F43" w:rsidP="00A53E8C">
            <w:pPr>
              <w:pStyle w:val="ECDSBody"/>
              <w:ind w:left="576"/>
            </w:pPr>
            <w:r w:rsidRPr="005D4222">
              <w:t>The final procedure subtypes for this episode date are CCS 107 and CCS 112. Only count CCS 112 once.</w:t>
            </w:r>
          </w:p>
          <w:p w14:paraId="0B147705" w14:textId="77777777" w:rsidR="00230F43" w:rsidRPr="005D4222" w:rsidRDefault="00230F43" w:rsidP="00A53E8C">
            <w:pPr>
              <w:pStyle w:val="ECDSBody"/>
            </w:pPr>
            <w:r w:rsidRPr="005D4222">
              <w:rPr>
                <w:b/>
                <w:bCs w:val="0"/>
              </w:rPr>
              <w:t xml:space="preserve">Comorbidities: </w:t>
            </w:r>
          </w:p>
          <w:p w14:paraId="4D1CA60D" w14:textId="5A33D583" w:rsidR="003B094A" w:rsidRPr="005D4222" w:rsidRDefault="00230F43" w:rsidP="003B094A">
            <w:pPr>
              <w:pStyle w:val="ECDSBody"/>
              <w:rPr>
                <w:b/>
                <w:bCs w:val="0"/>
                <w:i/>
                <w:iCs/>
              </w:rPr>
            </w:pPr>
            <w:r w:rsidRPr="005D4222">
              <w:rPr>
                <w:b/>
              </w:rPr>
              <w:t>Step 1.</w:t>
            </w:r>
            <w:r w:rsidRPr="005D4222">
              <w:t xml:space="preserve"> Identify all diagnoses for encounters during the 365 days prior to and on the date of the outpatient urologic surgery episode date. Include the following when identifying encounters:</w:t>
            </w:r>
          </w:p>
        </w:tc>
      </w:tr>
    </w:tbl>
    <w:p w14:paraId="211F3EF3" w14:textId="77777777" w:rsidR="003B094A" w:rsidRPr="005D4222" w:rsidRDefault="003B094A">
      <w:r w:rsidRPr="005D4222">
        <w:br w:type="page"/>
      </w:r>
    </w:p>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230F43" w:rsidRPr="005D4222" w14:paraId="6F758F75" w14:textId="77777777" w:rsidTr="003B094A">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ED3CC9B" w14:textId="77777777" w:rsidR="00230F43" w:rsidRPr="005D4222" w:rsidRDefault="00230F43"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CDB87A5" w14:textId="77777777" w:rsidR="003B094A" w:rsidRPr="005D4222" w:rsidRDefault="003B094A" w:rsidP="003B094A">
            <w:pPr>
              <w:pStyle w:val="Bullet"/>
              <w:numPr>
                <w:ilvl w:val="0"/>
                <w:numId w:val="4"/>
              </w:numPr>
              <w:tabs>
                <w:tab w:val="left" w:pos="360"/>
                <w:tab w:val="left" w:pos="576"/>
              </w:tabs>
              <w:spacing w:before="60"/>
              <w:ind w:left="576" w:hanging="216"/>
            </w:pPr>
            <w:r w:rsidRPr="005D4222">
              <w:t>Outpatient visits, ED visits, telephone visits, nonacute inpatient encounters and acute inpatient encounters (</w:t>
            </w:r>
            <w:r w:rsidRPr="005D4222">
              <w:rPr>
                <w:u w:val="single"/>
              </w:rPr>
              <w:t>Outpatient, ED, Telephone, Acute Inpatient and Nonacute Inpatient Value Set</w:t>
            </w:r>
            <w:r w:rsidRPr="005D4222">
              <w:t xml:space="preserve">) with a date of service 365 days prior to and on the date of the </w:t>
            </w:r>
            <w:r w:rsidRPr="005D4222">
              <w:rPr>
                <w:rFonts w:cs="Arial"/>
              </w:rPr>
              <w:t>outpatient urologic surgery episode date</w:t>
            </w:r>
            <w:r w:rsidRPr="005D4222">
              <w:t>.</w:t>
            </w:r>
          </w:p>
          <w:p w14:paraId="5CEF80BC" w14:textId="77777777" w:rsidR="003B094A" w:rsidRPr="005D4222" w:rsidRDefault="003B094A" w:rsidP="003B094A">
            <w:pPr>
              <w:pStyle w:val="Bullet"/>
              <w:numPr>
                <w:ilvl w:val="0"/>
                <w:numId w:val="4"/>
              </w:numPr>
              <w:tabs>
                <w:tab w:val="left" w:pos="360"/>
                <w:tab w:val="left" w:pos="576"/>
              </w:tabs>
              <w:spacing w:before="60"/>
              <w:ind w:left="576" w:hanging="216"/>
              <w:rPr>
                <w:rFonts w:cs="Arial"/>
              </w:rPr>
            </w:pPr>
            <w:r w:rsidRPr="005D4222">
              <w:t>Acute and nonacute inpatient discharges (</w:t>
            </w:r>
            <w:r w:rsidRPr="005D4222">
              <w:rPr>
                <w:u w:val="single"/>
              </w:rPr>
              <w:t>Inpatient Stay Value Set</w:t>
            </w:r>
            <w:r w:rsidRPr="005D4222">
              <w:t>) with a discharge date 365 days prior to and on the date of the</w:t>
            </w:r>
            <w:r w:rsidRPr="005D4222">
              <w:rPr>
                <w:rFonts w:cs="Arial"/>
              </w:rPr>
              <w:t xml:space="preserve"> outpatient urologic surgery episode date</w:t>
            </w:r>
            <w:r w:rsidRPr="005D4222">
              <w:t xml:space="preserve">. </w:t>
            </w:r>
          </w:p>
          <w:p w14:paraId="6B2A842F" w14:textId="77777777" w:rsidR="003B094A" w:rsidRPr="005D4222" w:rsidRDefault="003B094A" w:rsidP="003B094A">
            <w:pPr>
              <w:pStyle w:val="Bullet"/>
              <w:numPr>
                <w:ilvl w:val="0"/>
                <w:numId w:val="4"/>
              </w:numPr>
              <w:tabs>
                <w:tab w:val="left" w:pos="360"/>
                <w:tab w:val="left" w:pos="576"/>
              </w:tabs>
              <w:spacing w:before="60" w:after="80"/>
              <w:ind w:left="576" w:hanging="216"/>
              <w:rPr>
                <w:b/>
                <w:bCs/>
                <w:i/>
                <w:iCs/>
              </w:rPr>
            </w:pPr>
            <w:r w:rsidRPr="005D4222">
              <w:rPr>
                <w:bCs/>
              </w:rPr>
              <w:t>Outpatient urologic surgeries (</w:t>
            </w:r>
            <w:r w:rsidRPr="005D4222">
              <w:rPr>
                <w:bCs/>
                <w:u w:val="single"/>
              </w:rPr>
              <w:t>Urologic Surgery Value Set</w:t>
            </w:r>
            <w:r w:rsidRPr="005D4222">
              <w:rPr>
                <w:bCs/>
              </w:rPr>
              <w:t xml:space="preserve"> </w:t>
            </w:r>
            <w:r w:rsidRPr="005D4222">
              <w:rPr>
                <w:b/>
                <w:i/>
                <w:iCs/>
              </w:rPr>
              <w:t>with</w:t>
            </w:r>
            <w:r w:rsidRPr="005D4222">
              <w:rPr>
                <w:bCs/>
              </w:rPr>
              <w:t xml:space="preserve"> </w:t>
            </w:r>
            <w:r w:rsidRPr="005D4222">
              <w:rPr>
                <w:bCs/>
                <w:u w:val="single"/>
              </w:rPr>
              <w:t>Ambulatory Surgery POS Value Set</w:t>
            </w:r>
            <w:r w:rsidRPr="005D4222">
              <w:rPr>
                <w:bCs/>
              </w:rPr>
              <w:t>).</w:t>
            </w:r>
          </w:p>
          <w:p w14:paraId="0E5D1E51" w14:textId="77777777" w:rsidR="00230F43" w:rsidRPr="005D4222" w:rsidRDefault="00230F43" w:rsidP="00A53E8C">
            <w:pPr>
              <w:pStyle w:val="ECDSBody"/>
            </w:pPr>
            <w:r w:rsidRPr="005D4222">
              <w:rPr>
                <w:b/>
              </w:rPr>
              <w:t xml:space="preserve">Step 2. </w:t>
            </w:r>
            <w:r w:rsidRPr="005D4222">
              <w:t>Assign each diagnosis to one or more comorbid Clinical Condition (CC) category using Table CC—Mapping in the Risk Adjustment Shared Tables. If the code appears more than once in Table CC—Mapping, it is assigned to multiple CCs.</w:t>
            </w:r>
          </w:p>
          <w:p w14:paraId="2560D242" w14:textId="77777777" w:rsidR="00230F43" w:rsidRPr="005D4222" w:rsidRDefault="00230F43" w:rsidP="00A53E8C">
            <w:pPr>
              <w:pStyle w:val="ECDSBody"/>
            </w:pPr>
            <w:r w:rsidRPr="005D4222">
              <w:t xml:space="preserve">Exclude all diagnoses that cannot be assigned to a comorbid CC category. For denominator units with no qualifying diagnoses from face-to-face encounters, skip to </w:t>
            </w:r>
            <w:r w:rsidRPr="005D4222">
              <w:rPr>
                <w:i/>
                <w:iCs/>
              </w:rPr>
              <w:t>Risk Adjustment Calculation</w:t>
            </w:r>
            <w:r w:rsidRPr="005D4222">
              <w:t>.</w:t>
            </w:r>
          </w:p>
          <w:p w14:paraId="0E6EF6BC" w14:textId="77777777" w:rsidR="00230F43" w:rsidRPr="005D4222" w:rsidRDefault="00230F43" w:rsidP="00A53E8C">
            <w:pPr>
              <w:pStyle w:val="ECDSBody"/>
            </w:pPr>
            <w:r w:rsidRPr="005D4222">
              <w:t>All digits must match exactly when mapping diagnosis codes to the comorbid CCs.</w:t>
            </w:r>
          </w:p>
          <w:p w14:paraId="51FC4C15" w14:textId="77777777" w:rsidR="00230F43" w:rsidRPr="005D4222" w:rsidRDefault="00230F43" w:rsidP="00A53E8C">
            <w:pPr>
              <w:pStyle w:val="ECDSBody"/>
            </w:pPr>
            <w:r w:rsidRPr="005D4222">
              <w:rPr>
                <w:b/>
              </w:rPr>
              <w:t xml:space="preserve">Step 3. </w:t>
            </w:r>
            <w:r w:rsidRPr="005D4222">
              <w:t>Determine HCCs for each comorbid CC identified. Refer to Table HCC—Rank.</w:t>
            </w:r>
          </w:p>
          <w:p w14:paraId="56FFADE6" w14:textId="77777777" w:rsidR="00230F43" w:rsidRPr="005D4222" w:rsidRDefault="00230F43" w:rsidP="00A53E8C">
            <w:pPr>
              <w:pStyle w:val="ECDSBody"/>
            </w:pPr>
            <w:r w:rsidRPr="005D4222">
              <w:t>For each denominator unit’s comorbid CC list, match the comorbid CC code to the comorbid CC code in the table, and assign:</w:t>
            </w:r>
          </w:p>
          <w:p w14:paraId="29BF3C74" w14:textId="77777777" w:rsidR="00230F43" w:rsidRPr="005D4222" w:rsidRDefault="00230F43" w:rsidP="00230F43">
            <w:pPr>
              <w:pStyle w:val="Bullet"/>
              <w:numPr>
                <w:ilvl w:val="0"/>
                <w:numId w:val="4"/>
              </w:numPr>
              <w:tabs>
                <w:tab w:val="left" w:pos="360"/>
                <w:tab w:val="left" w:pos="576"/>
              </w:tabs>
              <w:ind w:left="576" w:hanging="216"/>
            </w:pPr>
            <w:r w:rsidRPr="005D4222">
              <w:t>The ranking group.</w:t>
            </w:r>
          </w:p>
          <w:p w14:paraId="287EF733" w14:textId="77777777" w:rsidR="00230F43" w:rsidRPr="005D4222" w:rsidRDefault="00230F43" w:rsidP="00230F43">
            <w:pPr>
              <w:pStyle w:val="Bullet"/>
              <w:numPr>
                <w:ilvl w:val="0"/>
                <w:numId w:val="4"/>
              </w:numPr>
              <w:tabs>
                <w:tab w:val="left" w:pos="360"/>
                <w:tab w:val="left" w:pos="576"/>
              </w:tabs>
              <w:ind w:left="576" w:hanging="216"/>
            </w:pPr>
            <w:r w:rsidRPr="005D4222">
              <w:t>The rank.</w:t>
            </w:r>
          </w:p>
          <w:p w14:paraId="29DE16D3" w14:textId="77777777" w:rsidR="00230F43" w:rsidRPr="005D4222" w:rsidRDefault="00230F43" w:rsidP="00230F43">
            <w:pPr>
              <w:pStyle w:val="Bullet"/>
              <w:numPr>
                <w:ilvl w:val="0"/>
                <w:numId w:val="4"/>
              </w:numPr>
              <w:tabs>
                <w:tab w:val="left" w:pos="360"/>
                <w:tab w:val="left" w:pos="576"/>
              </w:tabs>
              <w:ind w:left="576" w:hanging="216"/>
            </w:pPr>
            <w:r w:rsidRPr="005D4222">
              <w:t>The HCC.</w:t>
            </w:r>
          </w:p>
          <w:p w14:paraId="481E7870" w14:textId="77777777" w:rsidR="00230F43" w:rsidRPr="005D4222" w:rsidRDefault="00230F43" w:rsidP="00A53E8C">
            <w:pPr>
              <w:pStyle w:val="ECDSBody"/>
            </w:pPr>
            <w:r w:rsidRPr="005D4222">
              <w:t>For comorbid CCs that do not match to Table HCC—Rank, use the comorbid CC as the HCC and assign a rank of 1. One comorbid CC can map to multiple HCCs; each HCC can have one or more comorbid CCs.</w:t>
            </w:r>
          </w:p>
          <w:p w14:paraId="53FF4E15" w14:textId="77777777" w:rsidR="00230F43" w:rsidRPr="005D4222" w:rsidRDefault="00230F43" w:rsidP="00A53E8C">
            <w:pPr>
              <w:pStyle w:val="ECDSBody"/>
            </w:pPr>
            <w:r w:rsidRPr="005D4222">
              <w:rPr>
                <w:b/>
              </w:rPr>
              <w:t>Step 4.</w:t>
            </w:r>
            <w:r w:rsidRPr="005D4222">
              <w:t xml:space="preserve"> Assess each ranking group separately and select only the highest ranked HCC in each ranking group using the “Rank” column (1 is the highest rank possible). </w:t>
            </w:r>
          </w:p>
          <w:p w14:paraId="04635CF7" w14:textId="77777777" w:rsidR="00230F43" w:rsidRPr="005D4222" w:rsidRDefault="00230F43" w:rsidP="00A53E8C">
            <w:pPr>
              <w:pStyle w:val="ECDSBody"/>
              <w:rPr>
                <w:b/>
              </w:rPr>
            </w:pPr>
            <w:r w:rsidRPr="005D4222">
              <w:t>Drop all other HCCs in each ranking group, and de-duplicate the HCC list if necessary.</w:t>
            </w:r>
          </w:p>
          <w:p w14:paraId="72F22155" w14:textId="77777777" w:rsidR="00230F43" w:rsidRPr="005D4222" w:rsidRDefault="00230F43" w:rsidP="00230F43">
            <w:pPr>
              <w:pStyle w:val="Bullet"/>
              <w:numPr>
                <w:ilvl w:val="0"/>
                <w:numId w:val="4"/>
              </w:numPr>
              <w:tabs>
                <w:tab w:val="left" w:pos="360"/>
                <w:tab w:val="left" w:pos="576"/>
              </w:tabs>
              <w:ind w:left="576" w:hanging="216"/>
            </w:pPr>
            <w:r w:rsidRPr="005D4222">
              <w:rPr>
                <w:bCs/>
                <w:i/>
                <w:iCs/>
              </w:rPr>
              <w:t>For e</w:t>
            </w:r>
            <w:r w:rsidRPr="005D4222">
              <w:rPr>
                <w:i/>
                <w:iCs/>
              </w:rPr>
              <w:t xml:space="preserve">xample, </w:t>
            </w:r>
            <w:r w:rsidRPr="005D4222">
              <w:t xml:space="preserve">assume a denominator unit with the following comorbid CCs: CC-85, CC-17 and CC-19 (assume no other CCs). </w:t>
            </w:r>
          </w:p>
          <w:p w14:paraId="4DF59D29" w14:textId="77777777" w:rsidR="00230F43" w:rsidRPr="005D4222" w:rsidRDefault="00230F43" w:rsidP="00A53E8C">
            <w:pPr>
              <w:pStyle w:val="Dash"/>
            </w:pPr>
            <w:r w:rsidRPr="005D4222">
              <w:t xml:space="preserve">CC-85 does not have a map to the ranking table and becomes </w:t>
            </w:r>
            <w:r w:rsidRPr="005D4222">
              <w:br/>
              <w:t>HCC-85.</w:t>
            </w:r>
          </w:p>
          <w:p w14:paraId="629AFB4B" w14:textId="77777777" w:rsidR="00230F43" w:rsidRPr="005D4222" w:rsidRDefault="00230F43" w:rsidP="00A53E8C">
            <w:pPr>
              <w:pStyle w:val="Dash"/>
            </w:pPr>
            <w:r w:rsidRPr="005D4222">
              <w:t xml:space="preserve">HCC-17 and HCC-19 are part of Diabetes Ranking Group 1. Because CC-17 is ranked higher than CC-19 in Ranking Group Diabetes 1, the comorbidity is assigned as HCC-17 for Ranking Group 1. </w:t>
            </w:r>
          </w:p>
          <w:p w14:paraId="7284E5EC" w14:textId="68A2DD48" w:rsidR="00230F43" w:rsidRPr="005D4222" w:rsidRDefault="00230F43" w:rsidP="009F07A4">
            <w:pPr>
              <w:pStyle w:val="Body"/>
              <w:spacing w:before="80" w:after="80"/>
              <w:ind w:left="576"/>
              <w:rPr>
                <w:b/>
                <w:bCs/>
              </w:rPr>
            </w:pPr>
            <w:r w:rsidRPr="005D4222">
              <w:t xml:space="preserve">The final comorbidities for this denominator unit are HCC-17 and </w:t>
            </w:r>
            <w:r w:rsidRPr="005D4222">
              <w:br/>
              <w:t>HCC-85.</w:t>
            </w:r>
          </w:p>
        </w:tc>
      </w:tr>
    </w:tbl>
    <w:p w14:paraId="33FAEDCD" w14:textId="77777777" w:rsidR="009F07A4" w:rsidRPr="005D4222" w:rsidRDefault="009F07A4">
      <w:r w:rsidRPr="005D4222">
        <w:br w:type="page"/>
      </w:r>
    </w:p>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230F43" w:rsidRPr="005D4222" w14:paraId="0EF64BA7" w14:textId="77777777" w:rsidTr="00A53E8C">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E9A6B5C" w14:textId="77777777" w:rsidR="00230F43" w:rsidRPr="005D4222" w:rsidRDefault="00230F43"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B8A6E26" w14:textId="77777777" w:rsidR="009F07A4" w:rsidRPr="005D4222" w:rsidRDefault="009F07A4" w:rsidP="009F07A4">
            <w:pPr>
              <w:pStyle w:val="Heading3"/>
              <w:spacing w:before="120"/>
            </w:pPr>
            <w:r w:rsidRPr="005D4222">
              <w:t>Table HCC—Rank</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6"/>
              <w:gridCol w:w="884"/>
              <w:gridCol w:w="3206"/>
              <w:gridCol w:w="990"/>
              <w:gridCol w:w="989"/>
            </w:tblGrid>
            <w:tr w:rsidR="009F07A4" w:rsidRPr="005D4222" w14:paraId="24A4C94A" w14:textId="77777777" w:rsidTr="00A53E8C">
              <w:trPr>
                <w:trHeight w:val="339"/>
              </w:trPr>
              <w:tc>
                <w:tcPr>
                  <w:tcW w:w="1306" w:type="dxa"/>
                  <w:tcBorders>
                    <w:right w:val="single" w:sz="6" w:space="0" w:color="FFFFFF" w:themeColor="background1"/>
                  </w:tcBorders>
                  <w:shd w:val="clear" w:color="auto" w:fill="000000" w:themeFill="text1"/>
                  <w:vAlign w:val="bottom"/>
                  <w:hideMark/>
                </w:tcPr>
                <w:p w14:paraId="68B08C6E" w14:textId="77777777" w:rsidR="009F07A4" w:rsidRPr="005D4222" w:rsidRDefault="009F07A4" w:rsidP="009F07A4">
                  <w:pPr>
                    <w:pStyle w:val="TableHead"/>
                    <w:rPr>
                      <w:color w:val="auto"/>
                    </w:rPr>
                  </w:pPr>
                  <w:r w:rsidRPr="005D4222">
                    <w:rPr>
                      <w:color w:val="auto"/>
                    </w:rPr>
                    <w:t>Ranking Group</w:t>
                  </w:r>
                </w:p>
              </w:tc>
              <w:tc>
                <w:tcPr>
                  <w:tcW w:w="884" w:type="dxa"/>
                  <w:tcBorders>
                    <w:left w:val="single" w:sz="6" w:space="0" w:color="FFFFFF" w:themeColor="background1"/>
                    <w:right w:val="single" w:sz="6" w:space="0" w:color="FFFFFF" w:themeColor="background1"/>
                  </w:tcBorders>
                  <w:shd w:val="clear" w:color="auto" w:fill="000000" w:themeFill="text1"/>
                  <w:vAlign w:val="bottom"/>
                  <w:hideMark/>
                </w:tcPr>
                <w:p w14:paraId="580855FD" w14:textId="77777777" w:rsidR="009F07A4" w:rsidRPr="005D4222" w:rsidRDefault="009F07A4" w:rsidP="009F07A4">
                  <w:pPr>
                    <w:pStyle w:val="TableHead"/>
                    <w:rPr>
                      <w:color w:val="auto"/>
                    </w:rPr>
                  </w:pPr>
                  <w:r w:rsidRPr="005D4222">
                    <w:rPr>
                      <w:color w:val="auto"/>
                    </w:rPr>
                    <w:t>CC</w:t>
                  </w:r>
                </w:p>
              </w:tc>
              <w:tc>
                <w:tcPr>
                  <w:tcW w:w="3206" w:type="dxa"/>
                  <w:tcBorders>
                    <w:left w:val="single" w:sz="6" w:space="0" w:color="FFFFFF" w:themeColor="background1"/>
                    <w:right w:val="single" w:sz="6" w:space="0" w:color="FFFFFF" w:themeColor="background1"/>
                  </w:tcBorders>
                  <w:shd w:val="clear" w:color="auto" w:fill="000000" w:themeFill="text1"/>
                  <w:vAlign w:val="bottom"/>
                  <w:hideMark/>
                </w:tcPr>
                <w:p w14:paraId="52D7B8AE" w14:textId="77777777" w:rsidR="009F07A4" w:rsidRPr="005D4222" w:rsidRDefault="009F07A4" w:rsidP="009F07A4">
                  <w:pPr>
                    <w:pStyle w:val="TableHead"/>
                    <w:rPr>
                      <w:color w:val="auto"/>
                    </w:rPr>
                  </w:pPr>
                  <w:r w:rsidRPr="005D4222">
                    <w:rPr>
                      <w:color w:val="auto"/>
                    </w:rPr>
                    <w:t>Description</w:t>
                  </w:r>
                </w:p>
              </w:tc>
              <w:tc>
                <w:tcPr>
                  <w:tcW w:w="990" w:type="dxa"/>
                  <w:tcBorders>
                    <w:left w:val="single" w:sz="6" w:space="0" w:color="FFFFFF" w:themeColor="background1"/>
                    <w:right w:val="single" w:sz="6" w:space="0" w:color="FFFFFF" w:themeColor="background1"/>
                  </w:tcBorders>
                  <w:shd w:val="clear" w:color="auto" w:fill="000000" w:themeFill="text1"/>
                  <w:vAlign w:val="bottom"/>
                  <w:hideMark/>
                </w:tcPr>
                <w:p w14:paraId="38D4C906" w14:textId="77777777" w:rsidR="009F07A4" w:rsidRPr="005D4222" w:rsidRDefault="009F07A4" w:rsidP="009F07A4">
                  <w:pPr>
                    <w:pStyle w:val="TableHead"/>
                    <w:rPr>
                      <w:color w:val="auto"/>
                    </w:rPr>
                  </w:pPr>
                  <w:r w:rsidRPr="005D4222">
                    <w:rPr>
                      <w:color w:val="auto"/>
                    </w:rPr>
                    <w:t>Rank</w:t>
                  </w:r>
                </w:p>
              </w:tc>
              <w:tc>
                <w:tcPr>
                  <w:tcW w:w="989" w:type="dxa"/>
                  <w:tcBorders>
                    <w:left w:val="single" w:sz="6" w:space="0" w:color="FFFFFF" w:themeColor="background1"/>
                  </w:tcBorders>
                  <w:shd w:val="clear" w:color="auto" w:fill="000000" w:themeFill="text1"/>
                  <w:vAlign w:val="bottom"/>
                  <w:hideMark/>
                </w:tcPr>
                <w:p w14:paraId="5630AE8A" w14:textId="77777777" w:rsidR="009F07A4" w:rsidRPr="005D4222" w:rsidRDefault="009F07A4" w:rsidP="009F07A4">
                  <w:pPr>
                    <w:pStyle w:val="TableHead"/>
                    <w:rPr>
                      <w:color w:val="auto"/>
                    </w:rPr>
                  </w:pPr>
                  <w:r w:rsidRPr="005D4222">
                    <w:rPr>
                      <w:color w:val="auto"/>
                    </w:rPr>
                    <w:t>HCC</w:t>
                  </w:r>
                </w:p>
              </w:tc>
            </w:tr>
            <w:tr w:rsidR="009F07A4" w:rsidRPr="005D4222" w14:paraId="51E3FCA0" w14:textId="77777777" w:rsidTr="00A53E8C">
              <w:trPr>
                <w:trHeight w:val="351"/>
              </w:trPr>
              <w:tc>
                <w:tcPr>
                  <w:tcW w:w="1306" w:type="dxa"/>
                  <w:tcBorders>
                    <w:bottom w:val="single" w:sz="4" w:space="0" w:color="000000" w:themeColor="text1"/>
                  </w:tcBorders>
                  <w:hideMark/>
                </w:tcPr>
                <w:p w14:paraId="60CAD799" w14:textId="77777777" w:rsidR="009F07A4" w:rsidRPr="005D4222" w:rsidRDefault="009F07A4" w:rsidP="009F07A4">
                  <w:pPr>
                    <w:pStyle w:val="TableText"/>
                  </w:pPr>
                  <w:r w:rsidRPr="005D4222">
                    <w:t>NA</w:t>
                  </w:r>
                </w:p>
              </w:tc>
              <w:tc>
                <w:tcPr>
                  <w:tcW w:w="884" w:type="dxa"/>
                  <w:tcBorders>
                    <w:bottom w:val="single" w:sz="4" w:space="0" w:color="000000" w:themeColor="text1"/>
                  </w:tcBorders>
                  <w:hideMark/>
                </w:tcPr>
                <w:p w14:paraId="60BDFFDE" w14:textId="77777777" w:rsidR="009F07A4" w:rsidRPr="005D4222" w:rsidRDefault="009F07A4" w:rsidP="009F07A4">
                  <w:pPr>
                    <w:pStyle w:val="TableText"/>
                    <w:jc w:val="center"/>
                  </w:pPr>
                  <w:r w:rsidRPr="005D4222">
                    <w:t>CC-85</w:t>
                  </w:r>
                </w:p>
              </w:tc>
              <w:tc>
                <w:tcPr>
                  <w:tcW w:w="3206" w:type="dxa"/>
                  <w:tcBorders>
                    <w:bottom w:val="single" w:sz="4" w:space="0" w:color="000000" w:themeColor="text1"/>
                  </w:tcBorders>
                  <w:hideMark/>
                </w:tcPr>
                <w:p w14:paraId="740DC814" w14:textId="77777777" w:rsidR="009F07A4" w:rsidRPr="005D4222" w:rsidRDefault="009F07A4" w:rsidP="009F07A4">
                  <w:pPr>
                    <w:pStyle w:val="TableText"/>
                  </w:pPr>
                  <w:r w:rsidRPr="005D4222">
                    <w:t>Congestive Heart Failure</w:t>
                  </w:r>
                </w:p>
              </w:tc>
              <w:tc>
                <w:tcPr>
                  <w:tcW w:w="990" w:type="dxa"/>
                  <w:tcBorders>
                    <w:bottom w:val="single" w:sz="4" w:space="0" w:color="000000" w:themeColor="text1"/>
                  </w:tcBorders>
                  <w:hideMark/>
                </w:tcPr>
                <w:p w14:paraId="4FC19EB3" w14:textId="77777777" w:rsidR="009F07A4" w:rsidRPr="005D4222" w:rsidRDefault="009F07A4" w:rsidP="009F07A4">
                  <w:pPr>
                    <w:pStyle w:val="TableText"/>
                    <w:jc w:val="center"/>
                  </w:pPr>
                  <w:r w:rsidRPr="005D4222">
                    <w:t>NA</w:t>
                  </w:r>
                </w:p>
              </w:tc>
              <w:tc>
                <w:tcPr>
                  <w:tcW w:w="989" w:type="dxa"/>
                  <w:tcBorders>
                    <w:bottom w:val="single" w:sz="4" w:space="0" w:color="000000" w:themeColor="text1"/>
                  </w:tcBorders>
                  <w:hideMark/>
                </w:tcPr>
                <w:p w14:paraId="51F2278C" w14:textId="77777777" w:rsidR="009F07A4" w:rsidRPr="005D4222" w:rsidRDefault="009F07A4" w:rsidP="009F07A4">
                  <w:pPr>
                    <w:pStyle w:val="TableText"/>
                    <w:jc w:val="center"/>
                  </w:pPr>
                  <w:r w:rsidRPr="005D4222">
                    <w:t>HCC-85</w:t>
                  </w:r>
                </w:p>
              </w:tc>
            </w:tr>
            <w:tr w:rsidR="009F07A4" w:rsidRPr="005D4222" w14:paraId="3084AA65" w14:textId="77777777" w:rsidTr="00A53E8C">
              <w:trPr>
                <w:trHeight w:val="339"/>
              </w:trPr>
              <w:tc>
                <w:tcPr>
                  <w:tcW w:w="1306" w:type="dxa"/>
                  <w:vMerge w:val="restart"/>
                  <w:shd w:val="clear" w:color="auto" w:fill="FFFFFF" w:themeFill="background1"/>
                  <w:vAlign w:val="center"/>
                  <w:hideMark/>
                </w:tcPr>
                <w:p w14:paraId="325F6D01" w14:textId="77777777" w:rsidR="009F07A4" w:rsidRPr="005D4222" w:rsidRDefault="009F07A4" w:rsidP="009F07A4">
                  <w:pPr>
                    <w:pStyle w:val="TableText"/>
                    <w:rPr>
                      <w:rFonts w:cs="Arial"/>
                    </w:rPr>
                  </w:pPr>
                  <w:r w:rsidRPr="005D4222">
                    <w:rPr>
                      <w:rFonts w:cs="Arial"/>
                    </w:rPr>
                    <w:t xml:space="preserve">Diabetes 1 </w:t>
                  </w:r>
                </w:p>
              </w:tc>
              <w:tc>
                <w:tcPr>
                  <w:tcW w:w="884" w:type="dxa"/>
                  <w:tcBorders>
                    <w:bottom w:val="dotted" w:sz="6" w:space="0" w:color="auto"/>
                  </w:tcBorders>
                  <w:shd w:val="clear" w:color="auto" w:fill="FFFFFF" w:themeFill="background1"/>
                  <w:hideMark/>
                </w:tcPr>
                <w:p w14:paraId="11E581E7" w14:textId="77777777" w:rsidR="009F07A4" w:rsidRPr="005D4222" w:rsidRDefault="009F07A4" w:rsidP="009F07A4">
                  <w:pPr>
                    <w:pStyle w:val="TableText"/>
                    <w:jc w:val="center"/>
                    <w:rPr>
                      <w:rFonts w:cs="Arial"/>
                    </w:rPr>
                  </w:pPr>
                  <w:r w:rsidRPr="005D4222">
                    <w:rPr>
                      <w:rFonts w:cs="Arial"/>
                    </w:rPr>
                    <w:t>CC-17</w:t>
                  </w:r>
                </w:p>
              </w:tc>
              <w:tc>
                <w:tcPr>
                  <w:tcW w:w="3206" w:type="dxa"/>
                  <w:tcBorders>
                    <w:bottom w:val="dotted" w:sz="6" w:space="0" w:color="auto"/>
                  </w:tcBorders>
                  <w:shd w:val="clear" w:color="auto" w:fill="FFFFFF" w:themeFill="background1"/>
                  <w:hideMark/>
                </w:tcPr>
                <w:p w14:paraId="2CB539C9" w14:textId="77777777" w:rsidR="009F07A4" w:rsidRPr="005D4222" w:rsidRDefault="009F07A4" w:rsidP="009F07A4">
                  <w:pPr>
                    <w:pStyle w:val="TableText"/>
                    <w:rPr>
                      <w:rFonts w:cs="Arial"/>
                    </w:rPr>
                  </w:pPr>
                  <w:r w:rsidRPr="005D4222">
                    <w:rPr>
                      <w:rFonts w:cs="Arial"/>
                    </w:rPr>
                    <w:t xml:space="preserve">Diabetes With Acute Complications </w:t>
                  </w:r>
                </w:p>
              </w:tc>
              <w:tc>
                <w:tcPr>
                  <w:tcW w:w="990" w:type="dxa"/>
                  <w:tcBorders>
                    <w:bottom w:val="dotted" w:sz="6" w:space="0" w:color="auto"/>
                  </w:tcBorders>
                  <w:shd w:val="clear" w:color="auto" w:fill="FFFFFF" w:themeFill="background1"/>
                  <w:hideMark/>
                </w:tcPr>
                <w:p w14:paraId="3F7696B5" w14:textId="77777777" w:rsidR="009F07A4" w:rsidRPr="005D4222" w:rsidRDefault="009F07A4" w:rsidP="009F07A4">
                  <w:pPr>
                    <w:pStyle w:val="TableText"/>
                    <w:jc w:val="center"/>
                    <w:rPr>
                      <w:rFonts w:cs="Arial"/>
                    </w:rPr>
                  </w:pPr>
                  <w:r w:rsidRPr="005D4222">
                    <w:rPr>
                      <w:rFonts w:cs="Arial"/>
                    </w:rPr>
                    <w:t>1</w:t>
                  </w:r>
                </w:p>
              </w:tc>
              <w:tc>
                <w:tcPr>
                  <w:tcW w:w="989" w:type="dxa"/>
                  <w:tcBorders>
                    <w:bottom w:val="dotted" w:sz="6" w:space="0" w:color="auto"/>
                  </w:tcBorders>
                  <w:shd w:val="clear" w:color="auto" w:fill="FFFFFF" w:themeFill="background1"/>
                  <w:hideMark/>
                </w:tcPr>
                <w:p w14:paraId="43806A8E" w14:textId="77777777" w:rsidR="009F07A4" w:rsidRPr="005D4222" w:rsidRDefault="009F07A4" w:rsidP="009F07A4">
                  <w:pPr>
                    <w:pStyle w:val="TableText"/>
                    <w:jc w:val="center"/>
                    <w:rPr>
                      <w:rFonts w:cs="Arial"/>
                    </w:rPr>
                  </w:pPr>
                  <w:r w:rsidRPr="005D4222">
                    <w:rPr>
                      <w:rFonts w:cs="Arial"/>
                    </w:rPr>
                    <w:t>HCC-17</w:t>
                  </w:r>
                </w:p>
              </w:tc>
            </w:tr>
            <w:tr w:rsidR="009F07A4" w:rsidRPr="005D4222" w14:paraId="1C99668E" w14:textId="77777777" w:rsidTr="00A53E8C">
              <w:trPr>
                <w:trHeight w:val="362"/>
              </w:trPr>
              <w:tc>
                <w:tcPr>
                  <w:tcW w:w="1306" w:type="dxa"/>
                  <w:vMerge/>
                  <w:shd w:val="clear" w:color="auto" w:fill="FFFFFF" w:themeFill="background1"/>
                  <w:hideMark/>
                </w:tcPr>
                <w:p w14:paraId="6C89B23D" w14:textId="77777777" w:rsidR="009F07A4" w:rsidRPr="005D4222" w:rsidRDefault="009F07A4" w:rsidP="009F07A4">
                  <w:pPr>
                    <w:pStyle w:val="TableText"/>
                    <w:rPr>
                      <w:rFonts w:cs="Arial"/>
                    </w:rPr>
                  </w:pPr>
                </w:p>
              </w:tc>
              <w:tc>
                <w:tcPr>
                  <w:tcW w:w="884" w:type="dxa"/>
                  <w:tcBorders>
                    <w:top w:val="dotted" w:sz="6" w:space="0" w:color="auto"/>
                    <w:bottom w:val="dotted" w:sz="6" w:space="0" w:color="auto"/>
                  </w:tcBorders>
                  <w:shd w:val="clear" w:color="auto" w:fill="FFFFFF" w:themeFill="background1"/>
                  <w:hideMark/>
                </w:tcPr>
                <w:p w14:paraId="7987CE49" w14:textId="77777777" w:rsidR="009F07A4" w:rsidRPr="005D4222" w:rsidRDefault="009F07A4" w:rsidP="009F07A4">
                  <w:pPr>
                    <w:pStyle w:val="TableText"/>
                    <w:jc w:val="center"/>
                    <w:rPr>
                      <w:rFonts w:cs="Arial"/>
                    </w:rPr>
                  </w:pPr>
                  <w:r w:rsidRPr="005D4222">
                    <w:rPr>
                      <w:rFonts w:cs="Arial"/>
                    </w:rPr>
                    <w:t>CC-18</w:t>
                  </w:r>
                </w:p>
              </w:tc>
              <w:tc>
                <w:tcPr>
                  <w:tcW w:w="3206" w:type="dxa"/>
                  <w:tcBorders>
                    <w:top w:val="dotted" w:sz="6" w:space="0" w:color="auto"/>
                    <w:bottom w:val="dotted" w:sz="6" w:space="0" w:color="auto"/>
                  </w:tcBorders>
                  <w:shd w:val="clear" w:color="auto" w:fill="FFFFFF" w:themeFill="background1"/>
                  <w:hideMark/>
                </w:tcPr>
                <w:p w14:paraId="6A01B7BC" w14:textId="77777777" w:rsidR="009F07A4" w:rsidRPr="005D4222" w:rsidRDefault="009F07A4" w:rsidP="009F07A4">
                  <w:pPr>
                    <w:pStyle w:val="TableText"/>
                    <w:rPr>
                      <w:rFonts w:cs="Arial"/>
                    </w:rPr>
                  </w:pPr>
                  <w:r w:rsidRPr="005D4222">
                    <w:rPr>
                      <w:rFonts w:cs="Arial"/>
                    </w:rPr>
                    <w:t xml:space="preserve">Diabetes With Chronic Complications </w:t>
                  </w:r>
                </w:p>
              </w:tc>
              <w:tc>
                <w:tcPr>
                  <w:tcW w:w="990" w:type="dxa"/>
                  <w:tcBorders>
                    <w:top w:val="dotted" w:sz="6" w:space="0" w:color="auto"/>
                    <w:bottom w:val="dotted" w:sz="6" w:space="0" w:color="auto"/>
                  </w:tcBorders>
                  <w:shd w:val="clear" w:color="auto" w:fill="FFFFFF" w:themeFill="background1"/>
                  <w:hideMark/>
                </w:tcPr>
                <w:p w14:paraId="5EF292D1" w14:textId="77777777" w:rsidR="009F07A4" w:rsidRPr="005D4222" w:rsidRDefault="009F07A4" w:rsidP="009F07A4">
                  <w:pPr>
                    <w:pStyle w:val="TableText"/>
                    <w:jc w:val="center"/>
                    <w:rPr>
                      <w:rFonts w:cs="Arial"/>
                    </w:rPr>
                  </w:pPr>
                  <w:r w:rsidRPr="005D4222">
                    <w:rPr>
                      <w:rFonts w:cs="Arial"/>
                    </w:rPr>
                    <w:t>2</w:t>
                  </w:r>
                </w:p>
              </w:tc>
              <w:tc>
                <w:tcPr>
                  <w:tcW w:w="989" w:type="dxa"/>
                  <w:tcBorders>
                    <w:top w:val="dotted" w:sz="6" w:space="0" w:color="auto"/>
                    <w:bottom w:val="dotted" w:sz="6" w:space="0" w:color="auto"/>
                  </w:tcBorders>
                  <w:shd w:val="clear" w:color="auto" w:fill="FFFFFF" w:themeFill="background1"/>
                  <w:hideMark/>
                </w:tcPr>
                <w:p w14:paraId="1AF74EDE" w14:textId="77777777" w:rsidR="009F07A4" w:rsidRPr="005D4222" w:rsidRDefault="009F07A4" w:rsidP="009F07A4">
                  <w:pPr>
                    <w:pStyle w:val="TableText"/>
                    <w:jc w:val="center"/>
                    <w:rPr>
                      <w:rFonts w:cs="Arial"/>
                    </w:rPr>
                  </w:pPr>
                  <w:r w:rsidRPr="005D4222">
                    <w:rPr>
                      <w:rFonts w:cs="Arial"/>
                    </w:rPr>
                    <w:t>HCC-18</w:t>
                  </w:r>
                </w:p>
              </w:tc>
            </w:tr>
            <w:tr w:rsidR="009F07A4" w:rsidRPr="005D4222" w14:paraId="59525BB9" w14:textId="77777777" w:rsidTr="00A53E8C">
              <w:trPr>
                <w:trHeight w:val="351"/>
              </w:trPr>
              <w:tc>
                <w:tcPr>
                  <w:tcW w:w="1306" w:type="dxa"/>
                  <w:vMerge/>
                  <w:shd w:val="clear" w:color="auto" w:fill="FFFFFF" w:themeFill="background1"/>
                  <w:hideMark/>
                </w:tcPr>
                <w:p w14:paraId="44000923" w14:textId="77777777" w:rsidR="009F07A4" w:rsidRPr="005D4222" w:rsidRDefault="009F07A4" w:rsidP="009F07A4">
                  <w:pPr>
                    <w:pStyle w:val="TableText"/>
                    <w:rPr>
                      <w:rFonts w:cs="Arial"/>
                    </w:rPr>
                  </w:pPr>
                </w:p>
              </w:tc>
              <w:tc>
                <w:tcPr>
                  <w:tcW w:w="884" w:type="dxa"/>
                  <w:tcBorders>
                    <w:top w:val="dotted" w:sz="6" w:space="0" w:color="auto"/>
                    <w:bottom w:val="single" w:sz="4" w:space="0" w:color="auto"/>
                  </w:tcBorders>
                  <w:shd w:val="clear" w:color="auto" w:fill="FFFFFF" w:themeFill="background1"/>
                  <w:hideMark/>
                </w:tcPr>
                <w:p w14:paraId="506B5C5B" w14:textId="77777777" w:rsidR="009F07A4" w:rsidRPr="005D4222" w:rsidRDefault="009F07A4" w:rsidP="009F07A4">
                  <w:pPr>
                    <w:pStyle w:val="TableText"/>
                    <w:jc w:val="center"/>
                    <w:rPr>
                      <w:rFonts w:cs="Arial"/>
                    </w:rPr>
                  </w:pPr>
                  <w:r w:rsidRPr="005D4222">
                    <w:rPr>
                      <w:rFonts w:cs="Arial"/>
                    </w:rPr>
                    <w:t>CC-19</w:t>
                  </w:r>
                </w:p>
              </w:tc>
              <w:tc>
                <w:tcPr>
                  <w:tcW w:w="3206" w:type="dxa"/>
                  <w:tcBorders>
                    <w:top w:val="dotted" w:sz="6" w:space="0" w:color="auto"/>
                    <w:bottom w:val="single" w:sz="4" w:space="0" w:color="auto"/>
                  </w:tcBorders>
                  <w:shd w:val="clear" w:color="auto" w:fill="FFFFFF" w:themeFill="background1"/>
                  <w:hideMark/>
                </w:tcPr>
                <w:p w14:paraId="41C2E454" w14:textId="77777777" w:rsidR="009F07A4" w:rsidRPr="005D4222" w:rsidRDefault="009F07A4" w:rsidP="009F07A4">
                  <w:pPr>
                    <w:pStyle w:val="TableText"/>
                    <w:rPr>
                      <w:rFonts w:cs="Arial"/>
                    </w:rPr>
                  </w:pPr>
                  <w:r w:rsidRPr="005D4222">
                    <w:rPr>
                      <w:rFonts w:cs="Arial"/>
                    </w:rPr>
                    <w:t xml:space="preserve">Diabetes Without Complications </w:t>
                  </w:r>
                </w:p>
              </w:tc>
              <w:tc>
                <w:tcPr>
                  <w:tcW w:w="990" w:type="dxa"/>
                  <w:tcBorders>
                    <w:top w:val="dotted" w:sz="6" w:space="0" w:color="auto"/>
                    <w:bottom w:val="single" w:sz="4" w:space="0" w:color="auto"/>
                  </w:tcBorders>
                  <w:shd w:val="clear" w:color="auto" w:fill="FFFFFF" w:themeFill="background1"/>
                  <w:hideMark/>
                </w:tcPr>
                <w:p w14:paraId="6CBE391D" w14:textId="77777777" w:rsidR="009F07A4" w:rsidRPr="005D4222" w:rsidRDefault="009F07A4" w:rsidP="009F07A4">
                  <w:pPr>
                    <w:pStyle w:val="TableText"/>
                    <w:jc w:val="center"/>
                    <w:rPr>
                      <w:rFonts w:cs="Arial"/>
                    </w:rPr>
                  </w:pPr>
                  <w:r w:rsidRPr="005D4222">
                    <w:rPr>
                      <w:rFonts w:cs="Arial"/>
                    </w:rPr>
                    <w:t>3</w:t>
                  </w:r>
                </w:p>
              </w:tc>
              <w:tc>
                <w:tcPr>
                  <w:tcW w:w="989" w:type="dxa"/>
                  <w:tcBorders>
                    <w:top w:val="dotted" w:sz="6" w:space="0" w:color="auto"/>
                    <w:bottom w:val="single" w:sz="4" w:space="0" w:color="auto"/>
                  </w:tcBorders>
                  <w:shd w:val="clear" w:color="auto" w:fill="FFFFFF" w:themeFill="background1"/>
                  <w:hideMark/>
                </w:tcPr>
                <w:p w14:paraId="58A1FC21" w14:textId="77777777" w:rsidR="009F07A4" w:rsidRPr="005D4222" w:rsidRDefault="009F07A4" w:rsidP="009F07A4">
                  <w:pPr>
                    <w:pStyle w:val="TableText"/>
                    <w:jc w:val="center"/>
                    <w:rPr>
                      <w:rFonts w:cs="Arial"/>
                    </w:rPr>
                  </w:pPr>
                  <w:r w:rsidRPr="005D4222">
                    <w:rPr>
                      <w:rFonts w:cs="Arial"/>
                    </w:rPr>
                    <w:t>HCC-19</w:t>
                  </w:r>
                </w:p>
              </w:tc>
            </w:tr>
          </w:tbl>
          <w:p w14:paraId="65157EAA" w14:textId="5F357F7D" w:rsidR="00230F43" w:rsidRPr="005D4222" w:rsidRDefault="00230F43" w:rsidP="009F07A4">
            <w:pPr>
              <w:pStyle w:val="ECDSBody"/>
              <w:spacing w:before="240"/>
            </w:pPr>
            <w:r w:rsidRPr="005D4222">
              <w:rPr>
                <w:b/>
              </w:rPr>
              <w:t xml:space="preserve">Step 5. </w:t>
            </w:r>
            <w:r w:rsidRPr="005D4222">
              <w:t xml:space="preserve">Identify combination HCCs listed in Table HCC—Comb. </w:t>
            </w:r>
          </w:p>
          <w:p w14:paraId="04A91C39" w14:textId="77777777" w:rsidR="00230F43" w:rsidRPr="005D4222" w:rsidRDefault="00230F43" w:rsidP="00375F8F">
            <w:pPr>
              <w:pStyle w:val="ECDSBody"/>
            </w:pPr>
            <w:r w:rsidRPr="005D4222">
              <w:t xml:space="preserve">Some combinations suggest a greater amount of risk when observed together. For example, when diabetes </w:t>
            </w:r>
            <w:r w:rsidRPr="005D4222">
              <w:rPr>
                <w:i/>
              </w:rPr>
              <w:t xml:space="preserve">and </w:t>
            </w:r>
            <w:r w:rsidRPr="005D4222">
              <w:t xml:space="preserve">CHF are present, an increased amount of risk is evident. Additional HCCs are selected to account for these relationships. </w:t>
            </w:r>
          </w:p>
          <w:p w14:paraId="66AC6FBA" w14:textId="77777777" w:rsidR="00230F43" w:rsidRPr="005D4222" w:rsidRDefault="00230F43" w:rsidP="00375F8F">
            <w:pPr>
              <w:pStyle w:val="ECDSBody"/>
              <w:rPr>
                <w:i/>
              </w:rPr>
            </w:pPr>
            <w:r w:rsidRPr="005D4222">
              <w:t xml:space="preserve">Compare each denominator unit’s list of unique HCCs to those in the </w:t>
            </w:r>
            <w:r w:rsidRPr="005D4222">
              <w:rPr>
                <w:i/>
              </w:rPr>
              <w:t>Comorbid HCC</w:t>
            </w:r>
            <w:r w:rsidRPr="005D4222">
              <w:t xml:space="preserve"> columns in Table HCC—Comb and assign any additional HCC conditions.</w:t>
            </w:r>
          </w:p>
          <w:p w14:paraId="0047152E" w14:textId="77777777" w:rsidR="00230F43" w:rsidRPr="005D4222" w:rsidRDefault="00230F43" w:rsidP="00375F8F">
            <w:pPr>
              <w:pStyle w:val="ECDSBody"/>
              <w:rPr>
                <w:b/>
              </w:rPr>
            </w:pPr>
            <w:r w:rsidRPr="005D4222">
              <w:rPr>
                <w:i/>
              </w:rPr>
              <w:t xml:space="preserve">If there are overlapping combinations, use both sets of combinations. </w:t>
            </w:r>
            <w:r w:rsidRPr="005D4222">
              <w:t>Based on the combinations, a denominator unit can have none, one or more of these added HCCs.</w:t>
            </w:r>
          </w:p>
          <w:p w14:paraId="42043AAF" w14:textId="77777777" w:rsidR="00230F43" w:rsidRPr="005D4222" w:rsidRDefault="00230F43" w:rsidP="00230F43">
            <w:pPr>
              <w:pStyle w:val="Bullet"/>
              <w:numPr>
                <w:ilvl w:val="0"/>
                <w:numId w:val="4"/>
              </w:numPr>
              <w:tabs>
                <w:tab w:val="left" w:pos="360"/>
                <w:tab w:val="left" w:pos="576"/>
              </w:tabs>
              <w:ind w:left="576" w:hanging="216"/>
            </w:pPr>
            <w:r w:rsidRPr="005D4222">
              <w:rPr>
                <w:i/>
                <w:iCs/>
              </w:rPr>
              <w:t xml:space="preserve">For example, </w:t>
            </w:r>
            <w:r w:rsidRPr="005D4222">
              <w:t>for a</w:t>
            </w:r>
            <w:r w:rsidRPr="005D4222" w:rsidDel="008F7E1D">
              <w:t xml:space="preserve"> </w:t>
            </w:r>
            <w:r w:rsidRPr="005D4222">
              <w:t xml:space="preserve">denominator unit with comorbidities HCC-17 and HCC-85 (assume no other HCCs), assign HCC-901 in addition to </w:t>
            </w:r>
            <w:r w:rsidRPr="005D4222">
              <w:br/>
              <w:t xml:space="preserve">HCC-17 and HCC-85. This </w:t>
            </w:r>
            <w:r w:rsidRPr="005D4222">
              <w:rPr>
                <w:i/>
                <w:iCs/>
              </w:rPr>
              <w:t>does not</w:t>
            </w:r>
            <w:r w:rsidRPr="005D4222">
              <w:t xml:space="preserve"> replace HCC-17 and HCC-85.</w:t>
            </w:r>
          </w:p>
          <w:p w14:paraId="374C3586" w14:textId="77777777" w:rsidR="00230F43" w:rsidRPr="005D4222" w:rsidRDefault="00230F43" w:rsidP="009F07A4">
            <w:pPr>
              <w:pStyle w:val="Heading3"/>
              <w:spacing w:before="120"/>
            </w:pPr>
            <w:r w:rsidRPr="005D4222">
              <w:t>Table HCC—Comb</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7"/>
              <w:gridCol w:w="1197"/>
              <w:gridCol w:w="1197"/>
              <w:gridCol w:w="1535"/>
              <w:gridCol w:w="2249"/>
            </w:tblGrid>
            <w:tr w:rsidR="00230F43" w:rsidRPr="005D4222" w14:paraId="424B5B47" w14:textId="77777777" w:rsidTr="00A53E8C">
              <w:trPr>
                <w:trHeight w:val="448"/>
              </w:trPr>
              <w:tc>
                <w:tcPr>
                  <w:tcW w:w="1197" w:type="dxa"/>
                  <w:tcBorders>
                    <w:right w:val="single" w:sz="4" w:space="0" w:color="FFFFFF" w:themeColor="background1"/>
                  </w:tcBorders>
                  <w:shd w:val="clear" w:color="auto" w:fill="000000" w:themeFill="text1"/>
                  <w:vAlign w:val="bottom"/>
                  <w:hideMark/>
                </w:tcPr>
                <w:p w14:paraId="01AE37C4" w14:textId="77777777" w:rsidR="00230F43" w:rsidRPr="005D4222" w:rsidRDefault="00230F43" w:rsidP="00A53E8C">
                  <w:pPr>
                    <w:pStyle w:val="TableHead"/>
                    <w:rPr>
                      <w:color w:val="auto"/>
                    </w:rPr>
                  </w:pPr>
                  <w:r w:rsidRPr="005D4222">
                    <w:rPr>
                      <w:color w:val="auto"/>
                    </w:rPr>
                    <w:t xml:space="preserve">Comorbid </w:t>
                  </w:r>
                  <w:r w:rsidRPr="005D4222">
                    <w:rPr>
                      <w:color w:val="auto"/>
                    </w:rPr>
                    <w:br/>
                    <w:t>HCC 1</w:t>
                  </w:r>
                </w:p>
              </w:tc>
              <w:tc>
                <w:tcPr>
                  <w:tcW w:w="1197" w:type="dxa"/>
                  <w:tcBorders>
                    <w:left w:val="single" w:sz="4" w:space="0" w:color="FFFFFF" w:themeColor="background1"/>
                    <w:right w:val="single" w:sz="4" w:space="0" w:color="FFFFFF" w:themeColor="background1"/>
                  </w:tcBorders>
                  <w:shd w:val="clear" w:color="auto" w:fill="000000" w:themeFill="text1"/>
                  <w:vAlign w:val="bottom"/>
                  <w:hideMark/>
                </w:tcPr>
                <w:p w14:paraId="139E04C4" w14:textId="77777777" w:rsidR="00230F43" w:rsidRPr="005D4222" w:rsidRDefault="00230F43" w:rsidP="00A53E8C">
                  <w:pPr>
                    <w:pStyle w:val="TableHead"/>
                    <w:rPr>
                      <w:color w:val="auto"/>
                    </w:rPr>
                  </w:pPr>
                  <w:r w:rsidRPr="005D4222">
                    <w:rPr>
                      <w:color w:val="auto"/>
                    </w:rPr>
                    <w:t xml:space="preserve">Comorbid </w:t>
                  </w:r>
                  <w:r w:rsidRPr="005D4222">
                    <w:rPr>
                      <w:color w:val="auto"/>
                    </w:rPr>
                    <w:br/>
                    <w:t>HCC 2</w:t>
                  </w:r>
                </w:p>
              </w:tc>
              <w:tc>
                <w:tcPr>
                  <w:tcW w:w="1197" w:type="dxa"/>
                  <w:tcBorders>
                    <w:left w:val="single" w:sz="4" w:space="0" w:color="FFFFFF" w:themeColor="background1"/>
                    <w:right w:val="single" w:sz="4" w:space="0" w:color="FFFFFF" w:themeColor="background1"/>
                  </w:tcBorders>
                  <w:shd w:val="clear" w:color="auto" w:fill="000000" w:themeFill="text1"/>
                  <w:vAlign w:val="bottom"/>
                  <w:hideMark/>
                </w:tcPr>
                <w:p w14:paraId="30298D47" w14:textId="77777777" w:rsidR="00230F43" w:rsidRPr="005D4222" w:rsidRDefault="00230F43" w:rsidP="00A53E8C">
                  <w:pPr>
                    <w:pStyle w:val="TableHead"/>
                    <w:rPr>
                      <w:color w:val="auto"/>
                    </w:rPr>
                  </w:pPr>
                  <w:r w:rsidRPr="005D4222">
                    <w:rPr>
                      <w:color w:val="auto"/>
                    </w:rPr>
                    <w:t xml:space="preserve">Comorbid </w:t>
                  </w:r>
                  <w:r w:rsidRPr="005D4222">
                    <w:rPr>
                      <w:color w:val="auto"/>
                    </w:rPr>
                    <w:br/>
                    <w:t>HCC 3</w:t>
                  </w:r>
                </w:p>
              </w:tc>
              <w:tc>
                <w:tcPr>
                  <w:tcW w:w="1535" w:type="dxa"/>
                  <w:tcBorders>
                    <w:left w:val="single" w:sz="4" w:space="0" w:color="FFFFFF" w:themeColor="background1"/>
                    <w:right w:val="single" w:sz="4" w:space="0" w:color="FFFFFF" w:themeColor="background1"/>
                  </w:tcBorders>
                  <w:shd w:val="clear" w:color="auto" w:fill="000000" w:themeFill="text1"/>
                  <w:vAlign w:val="bottom"/>
                  <w:hideMark/>
                </w:tcPr>
                <w:p w14:paraId="451D9E81" w14:textId="77777777" w:rsidR="00230F43" w:rsidRPr="005D4222" w:rsidRDefault="00230F43" w:rsidP="00A53E8C">
                  <w:pPr>
                    <w:pStyle w:val="TableHead"/>
                    <w:rPr>
                      <w:color w:val="auto"/>
                    </w:rPr>
                  </w:pPr>
                  <w:r w:rsidRPr="005D4222">
                    <w:rPr>
                      <w:color w:val="auto"/>
                    </w:rPr>
                    <w:t>HCC-</w:t>
                  </w:r>
                  <w:r w:rsidRPr="005D4222">
                    <w:rPr>
                      <w:color w:val="auto"/>
                    </w:rPr>
                    <w:br/>
                    <w:t>Combination</w:t>
                  </w:r>
                </w:p>
              </w:tc>
              <w:tc>
                <w:tcPr>
                  <w:tcW w:w="2249" w:type="dxa"/>
                  <w:tcBorders>
                    <w:left w:val="single" w:sz="4" w:space="0" w:color="FFFFFF" w:themeColor="background1"/>
                  </w:tcBorders>
                  <w:shd w:val="clear" w:color="auto" w:fill="000000" w:themeFill="text1"/>
                  <w:vAlign w:val="bottom"/>
                </w:tcPr>
                <w:p w14:paraId="1C56A02B" w14:textId="77777777" w:rsidR="00230F43" w:rsidRPr="005D4222" w:rsidRDefault="00230F43" w:rsidP="00A53E8C">
                  <w:pPr>
                    <w:pStyle w:val="TableHead"/>
                    <w:rPr>
                      <w:color w:val="auto"/>
                    </w:rPr>
                  </w:pPr>
                  <w:r w:rsidRPr="005D4222">
                    <w:rPr>
                      <w:color w:val="auto"/>
                    </w:rPr>
                    <w:t>HCC-Comb Description</w:t>
                  </w:r>
                </w:p>
              </w:tc>
            </w:tr>
            <w:tr w:rsidR="00230F43" w:rsidRPr="005D4222" w14:paraId="7104119E" w14:textId="77777777" w:rsidTr="00A53E8C">
              <w:tc>
                <w:tcPr>
                  <w:tcW w:w="1197" w:type="dxa"/>
                  <w:shd w:val="clear" w:color="auto" w:fill="FFFFFF" w:themeFill="background1"/>
                  <w:hideMark/>
                </w:tcPr>
                <w:p w14:paraId="5FF97B79" w14:textId="77777777" w:rsidR="00230F43" w:rsidRPr="005D4222" w:rsidRDefault="00230F43" w:rsidP="00A53E8C">
                  <w:pPr>
                    <w:pStyle w:val="TableText"/>
                  </w:pPr>
                  <w:r w:rsidRPr="005D4222">
                    <w:t>HCC-17</w:t>
                  </w:r>
                </w:p>
              </w:tc>
              <w:tc>
                <w:tcPr>
                  <w:tcW w:w="1197" w:type="dxa"/>
                  <w:shd w:val="clear" w:color="auto" w:fill="FFFFFF" w:themeFill="background1"/>
                  <w:hideMark/>
                </w:tcPr>
                <w:p w14:paraId="0102B225" w14:textId="77777777" w:rsidR="00230F43" w:rsidRPr="005D4222" w:rsidRDefault="00230F43" w:rsidP="00A53E8C">
                  <w:pPr>
                    <w:pStyle w:val="TableText"/>
                  </w:pPr>
                  <w:r w:rsidRPr="005D4222">
                    <w:t>HCC-85</w:t>
                  </w:r>
                </w:p>
              </w:tc>
              <w:tc>
                <w:tcPr>
                  <w:tcW w:w="1197" w:type="dxa"/>
                  <w:shd w:val="clear" w:color="auto" w:fill="FFFFFF" w:themeFill="background1"/>
                  <w:hideMark/>
                </w:tcPr>
                <w:p w14:paraId="5F78D91B" w14:textId="77777777" w:rsidR="00230F43" w:rsidRPr="005D4222" w:rsidRDefault="00230F43" w:rsidP="00A53E8C">
                  <w:pPr>
                    <w:pStyle w:val="TableText"/>
                  </w:pPr>
                  <w:r w:rsidRPr="005D4222">
                    <w:t>NA</w:t>
                  </w:r>
                </w:p>
              </w:tc>
              <w:tc>
                <w:tcPr>
                  <w:tcW w:w="1535" w:type="dxa"/>
                  <w:shd w:val="clear" w:color="auto" w:fill="FFFFFF" w:themeFill="background1"/>
                  <w:hideMark/>
                </w:tcPr>
                <w:p w14:paraId="3A2DCC55" w14:textId="77777777" w:rsidR="00230F43" w:rsidRPr="005D4222" w:rsidRDefault="00230F43" w:rsidP="00A53E8C">
                  <w:pPr>
                    <w:pStyle w:val="TableText"/>
                  </w:pPr>
                  <w:r w:rsidRPr="005D4222">
                    <w:t>HCC-901</w:t>
                  </w:r>
                </w:p>
              </w:tc>
              <w:tc>
                <w:tcPr>
                  <w:tcW w:w="2249" w:type="dxa"/>
                  <w:shd w:val="clear" w:color="auto" w:fill="FFFFFF" w:themeFill="background1"/>
                </w:tcPr>
                <w:p w14:paraId="0A04B0EC" w14:textId="77777777" w:rsidR="00230F43" w:rsidRPr="005D4222" w:rsidRDefault="00230F43" w:rsidP="00A53E8C">
                  <w:pPr>
                    <w:pStyle w:val="TableText"/>
                  </w:pPr>
                  <w:r w:rsidRPr="005D4222">
                    <w:t>Combination: Diabetes and CHF</w:t>
                  </w:r>
                </w:p>
              </w:tc>
            </w:tr>
            <w:tr w:rsidR="00230F43" w:rsidRPr="005D4222" w14:paraId="70A23FDC" w14:textId="77777777" w:rsidTr="007B5FC3">
              <w:tc>
                <w:tcPr>
                  <w:tcW w:w="1197" w:type="dxa"/>
                  <w:hideMark/>
                </w:tcPr>
                <w:p w14:paraId="4424C9F7" w14:textId="77777777" w:rsidR="00230F43" w:rsidRPr="005D4222" w:rsidRDefault="00230F43" w:rsidP="00A53E8C">
                  <w:pPr>
                    <w:pStyle w:val="TableText"/>
                  </w:pPr>
                  <w:r w:rsidRPr="005D4222">
                    <w:t>HCC-18</w:t>
                  </w:r>
                </w:p>
              </w:tc>
              <w:tc>
                <w:tcPr>
                  <w:tcW w:w="1197" w:type="dxa"/>
                  <w:hideMark/>
                </w:tcPr>
                <w:p w14:paraId="5264F467" w14:textId="77777777" w:rsidR="00230F43" w:rsidRPr="005D4222" w:rsidRDefault="00230F43" w:rsidP="00A53E8C">
                  <w:pPr>
                    <w:pStyle w:val="TableText"/>
                  </w:pPr>
                  <w:r w:rsidRPr="005D4222">
                    <w:t>HCC-85</w:t>
                  </w:r>
                </w:p>
              </w:tc>
              <w:tc>
                <w:tcPr>
                  <w:tcW w:w="1197" w:type="dxa"/>
                  <w:hideMark/>
                </w:tcPr>
                <w:p w14:paraId="0600EDEF" w14:textId="77777777" w:rsidR="00230F43" w:rsidRPr="005D4222" w:rsidRDefault="00230F43" w:rsidP="00A53E8C">
                  <w:pPr>
                    <w:pStyle w:val="TableText"/>
                  </w:pPr>
                  <w:r w:rsidRPr="005D4222">
                    <w:t>NA</w:t>
                  </w:r>
                </w:p>
              </w:tc>
              <w:tc>
                <w:tcPr>
                  <w:tcW w:w="1535" w:type="dxa"/>
                  <w:hideMark/>
                </w:tcPr>
                <w:p w14:paraId="6CB4AD7B" w14:textId="77777777" w:rsidR="00230F43" w:rsidRPr="005D4222" w:rsidRDefault="00230F43" w:rsidP="00A53E8C">
                  <w:pPr>
                    <w:pStyle w:val="TableText"/>
                  </w:pPr>
                  <w:r w:rsidRPr="005D4222">
                    <w:t>HCC-901</w:t>
                  </w:r>
                </w:p>
              </w:tc>
              <w:tc>
                <w:tcPr>
                  <w:tcW w:w="2249" w:type="dxa"/>
                </w:tcPr>
                <w:p w14:paraId="6A7048B5" w14:textId="77777777" w:rsidR="00230F43" w:rsidRPr="005D4222" w:rsidRDefault="00230F43" w:rsidP="00A53E8C">
                  <w:pPr>
                    <w:pStyle w:val="TableText"/>
                  </w:pPr>
                  <w:r w:rsidRPr="005D4222">
                    <w:t>Combination: Diabetes and CHF</w:t>
                  </w:r>
                </w:p>
              </w:tc>
            </w:tr>
            <w:tr w:rsidR="00230F43" w:rsidRPr="005D4222" w14:paraId="44ECBD3A" w14:textId="77777777" w:rsidTr="007B5FC3">
              <w:tc>
                <w:tcPr>
                  <w:tcW w:w="1197" w:type="dxa"/>
                  <w:hideMark/>
                </w:tcPr>
                <w:p w14:paraId="1B78E1A5" w14:textId="77777777" w:rsidR="00230F43" w:rsidRPr="005D4222" w:rsidRDefault="00230F43" w:rsidP="00A53E8C">
                  <w:pPr>
                    <w:pStyle w:val="TableText"/>
                  </w:pPr>
                  <w:r w:rsidRPr="005D4222">
                    <w:t>HCC-19</w:t>
                  </w:r>
                </w:p>
              </w:tc>
              <w:tc>
                <w:tcPr>
                  <w:tcW w:w="1197" w:type="dxa"/>
                  <w:hideMark/>
                </w:tcPr>
                <w:p w14:paraId="07754133" w14:textId="77777777" w:rsidR="00230F43" w:rsidRPr="005D4222" w:rsidRDefault="00230F43" w:rsidP="00A53E8C">
                  <w:pPr>
                    <w:pStyle w:val="TableText"/>
                  </w:pPr>
                  <w:r w:rsidRPr="005D4222">
                    <w:t>HCC-85</w:t>
                  </w:r>
                </w:p>
              </w:tc>
              <w:tc>
                <w:tcPr>
                  <w:tcW w:w="1197" w:type="dxa"/>
                  <w:hideMark/>
                </w:tcPr>
                <w:p w14:paraId="3852F53B" w14:textId="77777777" w:rsidR="00230F43" w:rsidRPr="005D4222" w:rsidRDefault="00230F43" w:rsidP="00A53E8C">
                  <w:pPr>
                    <w:pStyle w:val="TableText"/>
                  </w:pPr>
                  <w:r w:rsidRPr="005D4222">
                    <w:t>NA</w:t>
                  </w:r>
                </w:p>
              </w:tc>
              <w:tc>
                <w:tcPr>
                  <w:tcW w:w="1535" w:type="dxa"/>
                  <w:hideMark/>
                </w:tcPr>
                <w:p w14:paraId="619698A5" w14:textId="77777777" w:rsidR="00230F43" w:rsidRPr="005D4222" w:rsidRDefault="00230F43" w:rsidP="00A53E8C">
                  <w:pPr>
                    <w:pStyle w:val="TableText"/>
                  </w:pPr>
                  <w:r w:rsidRPr="005D4222">
                    <w:t>HCC-901</w:t>
                  </w:r>
                </w:p>
              </w:tc>
              <w:tc>
                <w:tcPr>
                  <w:tcW w:w="2249" w:type="dxa"/>
                </w:tcPr>
                <w:p w14:paraId="696AE554" w14:textId="77777777" w:rsidR="00230F43" w:rsidRPr="005D4222" w:rsidRDefault="00230F43" w:rsidP="00A53E8C">
                  <w:pPr>
                    <w:pStyle w:val="TableText"/>
                  </w:pPr>
                  <w:r w:rsidRPr="005D4222">
                    <w:t>Combination: Diabetes and CHF</w:t>
                  </w:r>
                </w:p>
              </w:tc>
            </w:tr>
          </w:tbl>
          <w:p w14:paraId="4924419F" w14:textId="77777777" w:rsidR="00230F43" w:rsidRPr="005D4222" w:rsidRDefault="00230F43" w:rsidP="00A53E8C">
            <w:pPr>
              <w:pStyle w:val="ECDSBody"/>
              <w:rPr>
                <w:b/>
              </w:rPr>
            </w:pPr>
          </w:p>
        </w:tc>
      </w:tr>
      <w:tr w:rsidR="00230F43" w:rsidRPr="005D4222" w14:paraId="4EAD6625" w14:textId="77777777" w:rsidTr="00A53E8C">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9C105CF" w14:textId="77777777" w:rsidR="00230F43" w:rsidRPr="005D4222" w:rsidRDefault="00230F43" w:rsidP="00A53E8C">
            <w:pPr>
              <w:pStyle w:val="ECDSMarginHead"/>
            </w:pPr>
            <w:r w:rsidRPr="005D4222">
              <w:t>Risk adjustment</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D089C42" w14:textId="77777777" w:rsidR="00230F43" w:rsidRPr="005D4222" w:rsidRDefault="00230F43" w:rsidP="00A53E8C">
            <w:pPr>
              <w:pStyle w:val="ECDSBody"/>
              <w:rPr>
                <w:b/>
                <w:bCs w:val="0"/>
                <w:i/>
                <w:iCs/>
              </w:rPr>
            </w:pPr>
            <w:r w:rsidRPr="005D4222">
              <w:rPr>
                <w:b/>
                <w:bCs w:val="0"/>
                <w:i/>
                <w:iCs/>
              </w:rPr>
              <w:t>Risk Adjustment Calculation</w:t>
            </w:r>
          </w:p>
          <w:p w14:paraId="6E5F6372" w14:textId="77777777" w:rsidR="00230F43" w:rsidRPr="005D4222" w:rsidRDefault="00230F43" w:rsidP="00A53E8C">
            <w:pPr>
              <w:pStyle w:val="ECDSBody"/>
            </w:pPr>
            <w:r w:rsidRPr="005D4222">
              <w:t xml:space="preserve">For each outpatient urologic surgery episode, use the following steps to identify the 15-day hospitalization risk adjustment weights based on procedure subtype, comorbidity, age and gender. </w:t>
            </w:r>
          </w:p>
          <w:p w14:paraId="5C76F397" w14:textId="77777777" w:rsidR="00230F43" w:rsidRPr="005D4222" w:rsidRDefault="00230F43" w:rsidP="00375F8F">
            <w:pPr>
              <w:pStyle w:val="ECDSBody"/>
            </w:pPr>
            <w:r w:rsidRPr="005D4222">
              <w:rPr>
                <w:b/>
              </w:rPr>
              <w:t>Step 1.</w:t>
            </w:r>
            <w:r w:rsidRPr="005D4222">
              <w:t xml:space="preserve"> For each outpatient urologic surgery episode with a procedure subtype, link the subtype weights.</w:t>
            </w:r>
          </w:p>
          <w:p w14:paraId="5A6BC657" w14:textId="77777777" w:rsidR="00230F43" w:rsidRPr="005D4222" w:rsidRDefault="00230F43" w:rsidP="00375F8F">
            <w:pPr>
              <w:pStyle w:val="ECDSBody"/>
            </w:pPr>
            <w:r w:rsidRPr="005D4222">
              <w:rPr>
                <w:b/>
              </w:rPr>
              <w:t>Step 2.</w:t>
            </w:r>
            <w:r w:rsidRPr="005D4222">
              <w:t xml:space="preserve"> For each outpatient urologic surgery episode with a Comorbidity HCC category, link the comorbidity weights.</w:t>
            </w:r>
          </w:p>
          <w:p w14:paraId="5E39137C" w14:textId="4EB925FA" w:rsidR="009F07A4" w:rsidRPr="005D4222" w:rsidRDefault="00230F43" w:rsidP="00375F8F">
            <w:pPr>
              <w:pStyle w:val="ECDSBody"/>
              <w:rPr>
                <w:b/>
                <w:bCs w:val="0"/>
              </w:rPr>
            </w:pPr>
            <w:r w:rsidRPr="005D4222">
              <w:rPr>
                <w:b/>
              </w:rPr>
              <w:t>Step 3.</w:t>
            </w:r>
            <w:r w:rsidRPr="005D4222">
              <w:t xml:space="preserve"> Link the age and gender weights for each outpatient urologic surgery episode.</w:t>
            </w:r>
          </w:p>
        </w:tc>
      </w:tr>
    </w:tbl>
    <w:p w14:paraId="6D347B12" w14:textId="77777777" w:rsidR="00230F43" w:rsidRPr="005D4222" w:rsidRDefault="00230F43" w:rsidP="00230F43"/>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230F43" w:rsidRPr="005D4222" w14:paraId="3D6CB6A3" w14:textId="77777777" w:rsidTr="00A53E8C">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1625562" w14:textId="77777777" w:rsidR="00230F43" w:rsidRPr="005D4222" w:rsidRDefault="00230F43"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AB8FA47" w14:textId="77777777" w:rsidR="009F07A4" w:rsidRPr="005D4222" w:rsidRDefault="009F07A4" w:rsidP="009F07A4">
            <w:pPr>
              <w:pStyle w:val="ECDSBody"/>
            </w:pPr>
            <w:r w:rsidRPr="005D4222">
              <w:rPr>
                <w:b/>
              </w:rPr>
              <w:t>Step 4.</w:t>
            </w:r>
            <w:r w:rsidRPr="005D4222">
              <w:t xml:space="preserve"> Sum all weights (procedure subtype, comorbidities, age and gender) associated with each outpatient urologic surgery episode and use the formula below to calculate the estimated hospitalization risk for each episode:</w:t>
            </w:r>
          </w:p>
          <w:p w14:paraId="656657CC" w14:textId="77777777" w:rsidR="009F07A4" w:rsidRPr="005D4222" w:rsidRDefault="009F07A4" w:rsidP="009F07A4">
            <w:pPr>
              <w:pStyle w:val="Body"/>
              <w:ind w:left="723" w:hanging="723"/>
              <w:jc w:val="center"/>
            </w:pPr>
            <w:r w:rsidRPr="005D4222">
              <w:t xml:space="preserve">Estimated Hospitalization Risk = </w:t>
            </w:r>
            <m:oMath>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e</m:t>
                      </m:r>
                    </m:e>
                    <m:sup>
                      <m:r>
                        <w:rPr>
                          <w:rFonts w:ascii="Cambria Math" w:hAnsi="Cambria Math" w:cs="Arial"/>
                        </w:rPr>
                        <m:t>(</m:t>
                      </m:r>
                      <m:nary>
                        <m:naryPr>
                          <m:chr m:val="∑"/>
                          <m:limLoc m:val="undOvr"/>
                          <m:subHide m:val="1"/>
                          <m:supHide m:val="1"/>
                          <m:ctrlPr>
                            <w:rPr>
                              <w:rFonts w:ascii="Cambria Math" w:hAnsi="Cambria Math" w:cs="Arial"/>
                              <w:i/>
                            </w:rPr>
                          </m:ctrlPr>
                        </m:naryPr>
                        <m:sub/>
                        <m:sup/>
                        <m:e>
                          <m:r>
                            <m:rPr>
                              <m:nor/>
                            </m:rPr>
                            <w:rPr>
                              <w:rFonts w:cs="Arial"/>
                            </w:rPr>
                            <m:t>WeightsForEpisode</m:t>
                          </m:r>
                        </m:e>
                      </m:nary>
                      <m:r>
                        <w:rPr>
                          <w:rFonts w:ascii="Cambria Math" w:hAnsi="Cambria Math" w:cs="Arial"/>
                        </w:rPr>
                        <m:t>)</m:t>
                      </m:r>
                    </m:sup>
                  </m:sSup>
                </m:num>
                <m:den>
                  <m:r>
                    <w:rPr>
                      <w:rFonts w:ascii="Cambria Math" w:hAnsi="Cambria Math" w:cs="Arial"/>
                    </w:rPr>
                    <m:t>1+</m:t>
                  </m:r>
                  <m:sSup>
                    <m:sSupPr>
                      <m:ctrlPr>
                        <w:rPr>
                          <w:rFonts w:ascii="Cambria Math" w:hAnsi="Cambria Math" w:cs="Arial"/>
                          <w:i/>
                        </w:rPr>
                      </m:ctrlPr>
                    </m:sSupPr>
                    <m:e>
                      <m:r>
                        <w:rPr>
                          <w:rFonts w:ascii="Cambria Math" w:hAnsi="Cambria Math" w:cs="Arial"/>
                        </w:rPr>
                        <m:t>e</m:t>
                      </m:r>
                    </m:e>
                    <m:sup>
                      <m:r>
                        <w:rPr>
                          <w:rFonts w:ascii="Cambria Math" w:hAnsi="Cambria Math" w:cs="Arial"/>
                        </w:rPr>
                        <m:t>(</m:t>
                      </m:r>
                      <m:nary>
                        <m:naryPr>
                          <m:chr m:val="∑"/>
                          <m:limLoc m:val="undOvr"/>
                          <m:subHide m:val="1"/>
                          <m:supHide m:val="1"/>
                          <m:ctrlPr>
                            <w:rPr>
                              <w:rFonts w:ascii="Cambria Math" w:hAnsi="Cambria Math" w:cs="Arial"/>
                              <w:i/>
                            </w:rPr>
                          </m:ctrlPr>
                        </m:naryPr>
                        <m:sub/>
                        <m:sup/>
                        <m:e>
                          <m:r>
                            <m:rPr>
                              <m:nor/>
                            </m:rPr>
                            <w:rPr>
                              <w:rFonts w:cs="Arial"/>
                            </w:rPr>
                            <m:t>WeightsForEpisode</m:t>
                          </m:r>
                        </m:e>
                      </m:nary>
                      <m:r>
                        <w:rPr>
                          <w:rFonts w:ascii="Cambria Math" w:hAnsi="Cambria Math" w:cs="Arial"/>
                        </w:rPr>
                        <m:t>)</m:t>
                      </m:r>
                    </m:sup>
                  </m:sSup>
                </m:den>
              </m:f>
            </m:oMath>
          </w:p>
          <w:p w14:paraId="22431D6E" w14:textId="77777777" w:rsidR="009F07A4" w:rsidRPr="005D4222" w:rsidRDefault="009F07A4" w:rsidP="009F07A4">
            <w:pPr>
              <w:spacing w:after="80"/>
              <w:ind w:left="723" w:hanging="723"/>
              <w:rPr>
                <w:rFonts w:cs="Arial"/>
                <w:b/>
                <w:i/>
              </w:rPr>
            </w:pPr>
            <w:r w:rsidRPr="005D4222">
              <w:rPr>
                <w:rFonts w:cs="Arial"/>
                <w:b/>
                <w:i/>
              </w:rPr>
              <w:t>OR</w:t>
            </w:r>
          </w:p>
          <w:p w14:paraId="03CCC328" w14:textId="77777777" w:rsidR="009F07A4" w:rsidRPr="005D4222" w:rsidRDefault="009F07A4" w:rsidP="009F07A4">
            <w:pPr>
              <w:pStyle w:val="Body"/>
              <w:jc w:val="center"/>
            </w:pPr>
            <w:r w:rsidRPr="005D4222">
              <w:t xml:space="preserve">Estimated Hospitalization Risk = [exp (sum of weights for episode)] / [ 1 + exp </w:t>
            </w:r>
            <w:r w:rsidRPr="005D4222">
              <w:br/>
              <w:t>(sum of weights for episode)]</w:t>
            </w:r>
          </w:p>
          <w:p w14:paraId="61677FDD" w14:textId="77777777" w:rsidR="009F07A4" w:rsidRPr="005D4222" w:rsidRDefault="009F07A4" w:rsidP="009F07A4">
            <w:pPr>
              <w:pStyle w:val="Note"/>
              <w:spacing w:after="80"/>
              <w:ind w:left="723" w:hanging="723"/>
              <w:jc w:val="both"/>
            </w:pPr>
            <w:r w:rsidRPr="005D4222">
              <w:rPr>
                <w:b/>
              </w:rPr>
              <w:t xml:space="preserve">Note: </w:t>
            </w:r>
            <w:r w:rsidRPr="005D4222">
              <w:t>“Exp” refers to the exponential or antilog function.</w:t>
            </w:r>
          </w:p>
          <w:p w14:paraId="5AA1332D" w14:textId="77777777" w:rsidR="009F07A4" w:rsidRPr="005D4222" w:rsidRDefault="009F07A4" w:rsidP="009F07A4">
            <w:pPr>
              <w:pStyle w:val="ECDSBody"/>
              <w:spacing w:before="80"/>
              <w:rPr>
                <w:i/>
              </w:rPr>
            </w:pPr>
            <w:r w:rsidRPr="005D4222">
              <w:t>Truncate the estimated hospitalization risk for each episode to 10 decimal places. Do not truncate or round in previous steps.</w:t>
            </w:r>
          </w:p>
          <w:p w14:paraId="12843FE8" w14:textId="77777777" w:rsidR="009F07A4" w:rsidRPr="005D4222" w:rsidRDefault="009F07A4" w:rsidP="009F07A4">
            <w:pPr>
              <w:pStyle w:val="ECDSBody"/>
            </w:pPr>
            <w:r w:rsidRPr="005D4222">
              <w:rPr>
                <w:b/>
              </w:rPr>
              <w:t>Step 5.</w:t>
            </w:r>
            <w:r w:rsidRPr="005D4222">
              <w:t xml:space="preserve"> Calculate the count of expected hospitalizations for each age. The count of expected hospitalizations is the sum of the estimated hospitalization risk calculated for each outpatient urologic surgery episode for each age. </w:t>
            </w:r>
          </w:p>
          <w:p w14:paraId="76945476" w14:textId="77777777" w:rsidR="009F07A4" w:rsidRPr="005D4222" w:rsidRDefault="00010176" w:rsidP="009F07A4">
            <w:pPr>
              <w:pStyle w:val="ECDSBody"/>
            </w:pPr>
            <m:oMathPara>
              <m:oMath>
                <m:r>
                  <w:rPr>
                    <w:rFonts w:ascii="Cambria Math" w:hAnsi="Cambria Math"/>
                  </w:rPr>
                  <m:t>Count of Expected Hospitalizations=</m:t>
                </m:r>
                <m:nary>
                  <m:naryPr>
                    <m:chr m:val="∑"/>
                    <m:limLoc m:val="undOvr"/>
                    <m:subHide m:val="1"/>
                    <m:supHide m:val="1"/>
                    <m:ctrlPr>
                      <w:rPr>
                        <w:rFonts w:ascii="Cambria Math" w:hAnsi="Cambria Math"/>
                        <w:i/>
                      </w:rPr>
                    </m:ctrlPr>
                  </m:naryPr>
                  <m:sub/>
                  <m:sup/>
                  <m:e>
                    <m:r>
                      <m:rPr>
                        <m:sty m:val="p"/>
                      </m:rPr>
                      <w:rPr>
                        <w:rFonts w:ascii="Cambria Math" w:hAnsi="Cambria Math"/>
                      </w:rPr>
                      <m:t>(Estimated Hospitalization Risk)</m:t>
                    </m:r>
                  </m:e>
                </m:nary>
              </m:oMath>
            </m:oMathPara>
          </w:p>
          <w:p w14:paraId="33792103" w14:textId="77777777" w:rsidR="009F07A4" w:rsidRPr="005D4222" w:rsidRDefault="009F07A4" w:rsidP="009F07A4">
            <w:pPr>
              <w:pStyle w:val="ECDSBody"/>
            </w:pPr>
            <w:r w:rsidRPr="005D4222">
              <w:rPr>
                <w:b/>
              </w:rPr>
              <w:t>Step 6.</w:t>
            </w:r>
            <w:r w:rsidRPr="005D4222">
              <w:t xml:space="preserve"> Use the formula below and the estimated hospitalization risk calculated in step 5 to calculate the variance for each outpatient urologic surgery episode.</w:t>
            </w:r>
          </w:p>
          <w:p w14:paraId="48F44A87" w14:textId="77777777" w:rsidR="009F07A4" w:rsidRPr="005D4222" w:rsidRDefault="009F07A4" w:rsidP="009F07A4">
            <w:pPr>
              <w:pStyle w:val="ECDSBody"/>
              <w:jc w:val="center"/>
            </w:pPr>
            <w:r w:rsidRPr="005D4222">
              <w:t xml:space="preserve">Variance = Estimated Hospitalization Risk x </w:t>
            </w:r>
            <w:r w:rsidRPr="005D4222">
              <w:br/>
              <w:t>(1 – Estimated Hospitalization Risk)</w:t>
            </w:r>
          </w:p>
          <w:p w14:paraId="5EDC0019" w14:textId="77777777" w:rsidR="009F07A4" w:rsidRPr="005D4222" w:rsidRDefault="009F07A4" w:rsidP="009F07A4">
            <w:pPr>
              <w:spacing w:after="120"/>
              <w:rPr>
                <w:bCs/>
              </w:rPr>
            </w:pPr>
            <w:r w:rsidRPr="005D4222">
              <w:rPr>
                <w:bCs/>
              </w:rPr>
              <w:t>Truncate the variance for each outpatient urologic surgery episode to 10 decimal places.</w:t>
            </w:r>
          </w:p>
          <w:p w14:paraId="04723D30" w14:textId="77777777" w:rsidR="00230F43" w:rsidRPr="005D4222" w:rsidRDefault="00230F43" w:rsidP="00230F43">
            <w:pPr>
              <w:pStyle w:val="Bullet"/>
              <w:numPr>
                <w:ilvl w:val="0"/>
                <w:numId w:val="4"/>
              </w:numPr>
              <w:tabs>
                <w:tab w:val="left" w:pos="360"/>
                <w:tab w:val="left" w:pos="576"/>
              </w:tabs>
              <w:ind w:left="576" w:hanging="216"/>
            </w:pPr>
            <w:r w:rsidRPr="005D4222">
              <w:rPr>
                <w:i/>
                <w:iCs/>
              </w:rPr>
              <w:t xml:space="preserve">For example, </w:t>
            </w:r>
            <w:r w:rsidRPr="005D4222">
              <w:t>i</w:t>
            </w:r>
            <w:r w:rsidRPr="005D4222">
              <w:rPr>
                <w:bCs/>
              </w:rPr>
              <w:t>f</w:t>
            </w:r>
            <w:r w:rsidRPr="005D4222">
              <w:t xml:space="preserve"> the estimated hospitalization risk is 0.1518450741 for an outpatient urologic surgery episode, then the hospitalization variance for </w:t>
            </w:r>
            <w:r w:rsidRPr="005D4222">
              <w:rPr>
                <w:rFonts w:cs="Arial"/>
              </w:rPr>
              <w:t xml:space="preserve">this </w:t>
            </w:r>
            <w:r w:rsidRPr="005D4222">
              <w:t>outpatient urologic surgery episode</w:t>
            </w:r>
            <w:r w:rsidRPr="005D4222">
              <w:rPr>
                <w:rFonts w:cs="Arial"/>
              </w:rPr>
              <w:t xml:space="preserve"> is 0.1518450741 x 0.8481549259 = 0.1287881475.</w:t>
            </w:r>
          </w:p>
          <w:p w14:paraId="2DA210D6" w14:textId="77777777" w:rsidR="00230F43" w:rsidRPr="005D4222" w:rsidRDefault="00230F43" w:rsidP="00ED0B88">
            <w:pPr>
              <w:pStyle w:val="Note"/>
              <w:spacing w:after="80"/>
              <w:rPr>
                <w:b/>
                <w:bCs/>
                <w:iCs/>
              </w:rPr>
            </w:pPr>
            <w:r w:rsidRPr="005D4222">
              <w:rPr>
                <w:b/>
              </w:rPr>
              <w:t xml:space="preserve">Note: </w:t>
            </w:r>
            <w:r w:rsidRPr="005D4222">
              <w:t>Organizations must sum the variances for each age when populating the variance cells in the reporting tables. When reporting, round the variance to 4 decimal places using the .5 rule.</w:t>
            </w:r>
          </w:p>
        </w:tc>
      </w:tr>
      <w:tr w:rsidR="00230F43" w:rsidRPr="005D4222" w14:paraId="4D2F381A"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EA75D57" w14:textId="77777777" w:rsidR="00230F43" w:rsidRPr="005D4222" w:rsidRDefault="00230F43" w:rsidP="00A53E8C">
            <w:pPr>
              <w:pStyle w:val="ECDSMarginHead"/>
            </w:pPr>
            <w:r w:rsidRPr="005D4222">
              <w:t>Numerator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5B48914" w14:textId="77777777" w:rsidR="00230F43" w:rsidRPr="005D4222" w:rsidRDefault="00230F43" w:rsidP="00A53E8C">
            <w:pPr>
              <w:pStyle w:val="ECDSBody"/>
              <w:rPr>
                <w:b/>
                <w:bCs w:val="0"/>
              </w:rPr>
            </w:pPr>
            <w:r w:rsidRPr="005D4222">
              <w:rPr>
                <w:b/>
                <w:bCs w:val="0"/>
              </w:rPr>
              <w:t>Acute hospitalization within 15 days of the outpatient urologic surgery episode.</w:t>
            </w:r>
          </w:p>
          <w:p w14:paraId="39FBA021" w14:textId="77777777" w:rsidR="00230F43" w:rsidRPr="005D4222" w:rsidRDefault="00230F43" w:rsidP="00A53E8C">
            <w:pPr>
              <w:pStyle w:val="ECDSBody"/>
            </w:pPr>
            <w:r w:rsidRPr="005D4222">
              <w:rPr>
                <w:b/>
              </w:rPr>
              <w:t>Step 1.</w:t>
            </w:r>
            <w:r w:rsidRPr="005D4222">
              <w:t xml:space="preserve"> For each outpatient urologic surgery episode, identify all acute inpatient admissions and observation stay hospitalizations with an admission date within 15 days after the outpatient urologic surgery episode. </w:t>
            </w:r>
          </w:p>
          <w:p w14:paraId="053ADFFE" w14:textId="77777777" w:rsidR="00230F43" w:rsidRPr="005D4222" w:rsidRDefault="00230F43" w:rsidP="00A53E8C">
            <w:pPr>
              <w:pStyle w:val="ECDSBody"/>
            </w:pPr>
            <w:r w:rsidRPr="005D4222">
              <w:t>To identify acute inpatient and observation admissions:</w:t>
            </w:r>
          </w:p>
          <w:p w14:paraId="3EAFCA1F" w14:textId="77777777" w:rsidR="00230F43" w:rsidRPr="005D4222" w:rsidRDefault="00230F43" w:rsidP="005D6173">
            <w:pPr>
              <w:pStyle w:val="Body"/>
              <w:numPr>
                <w:ilvl w:val="0"/>
                <w:numId w:val="125"/>
              </w:numPr>
              <w:spacing w:before="80"/>
              <w:ind w:left="648" w:hanging="288"/>
            </w:pPr>
            <w:r w:rsidRPr="005D4222">
              <w:t>Identify all acute and nonacute inpatient stays (</w:t>
            </w:r>
            <w:r w:rsidRPr="005D4222">
              <w:rPr>
                <w:u w:val="single"/>
              </w:rPr>
              <w:t>Inpatient Stay Value Set</w:t>
            </w:r>
            <w:r w:rsidRPr="005D4222">
              <w:t>) and observation stays (</w:t>
            </w:r>
            <w:r w:rsidRPr="005D4222">
              <w:rPr>
                <w:u w:val="single"/>
              </w:rPr>
              <w:t>Observation Stay Value Set</w:t>
            </w:r>
            <w:r w:rsidRPr="005D4222">
              <w:t>).</w:t>
            </w:r>
          </w:p>
          <w:p w14:paraId="78E9DF99" w14:textId="77777777" w:rsidR="00230F43" w:rsidRPr="005D4222" w:rsidRDefault="00230F43" w:rsidP="005D6173">
            <w:pPr>
              <w:pStyle w:val="Body"/>
              <w:numPr>
                <w:ilvl w:val="0"/>
                <w:numId w:val="125"/>
              </w:numPr>
              <w:spacing w:before="80"/>
              <w:ind w:left="648" w:hanging="288"/>
            </w:pPr>
            <w:r w:rsidRPr="005D4222">
              <w:t xml:space="preserve">Exclude </w:t>
            </w:r>
            <w:r w:rsidRPr="005D4222">
              <w:rPr>
                <w:szCs w:val="21"/>
              </w:rPr>
              <w:t>nonacute inpatient stays (</w:t>
            </w:r>
            <w:r w:rsidRPr="005D4222">
              <w:rPr>
                <w:szCs w:val="21"/>
                <w:u w:val="single"/>
              </w:rPr>
              <w:t>Nonacute Inpatient Stay Value Set</w:t>
            </w:r>
            <w:r w:rsidRPr="005D4222">
              <w:rPr>
                <w:szCs w:val="21"/>
              </w:rPr>
              <w:t xml:space="preserve">). </w:t>
            </w:r>
          </w:p>
          <w:p w14:paraId="3F33F6B4" w14:textId="77777777" w:rsidR="00230F43" w:rsidRPr="005D4222" w:rsidRDefault="00230F43" w:rsidP="005D6173">
            <w:pPr>
              <w:pStyle w:val="Body"/>
              <w:numPr>
                <w:ilvl w:val="0"/>
                <w:numId w:val="125"/>
              </w:numPr>
              <w:spacing w:before="80"/>
              <w:ind w:left="648" w:hanging="288"/>
            </w:pPr>
            <w:r w:rsidRPr="005D4222">
              <w:t>Identify the admission date for the stay.</w:t>
            </w:r>
          </w:p>
          <w:p w14:paraId="478C36A0" w14:textId="77777777" w:rsidR="00230F43" w:rsidRPr="005D4222" w:rsidRDefault="00230F43" w:rsidP="00A53E8C">
            <w:pPr>
              <w:pStyle w:val="ECDSBody"/>
            </w:pPr>
            <w:r w:rsidRPr="005D4222">
              <w:rPr>
                <w:b/>
              </w:rPr>
              <w:t>Step 2.</w:t>
            </w:r>
            <w:r w:rsidRPr="005D4222">
              <w:t xml:space="preserve"> For discharges with one or more direct transfers, use the last discharge.  </w:t>
            </w:r>
          </w:p>
          <w:p w14:paraId="6D7C1B46" w14:textId="4EA89B0E" w:rsidR="00ED0B88" w:rsidRPr="005D4222" w:rsidRDefault="00230F43" w:rsidP="00ED0B88">
            <w:pPr>
              <w:pStyle w:val="ECDSBody"/>
              <w:rPr>
                <w:b/>
              </w:rPr>
            </w:pPr>
            <w:r w:rsidRPr="005D4222">
              <w:t>Using the discharges identified in step 1, identify direct transfers between acute inpatient and observation using the definition of direct transfer</w:t>
            </w:r>
            <w:r w:rsidRPr="005D4222">
              <w:rPr>
                <w:i/>
                <w:iCs/>
              </w:rPr>
              <w:t>.</w:t>
            </w:r>
            <w:r w:rsidRPr="005D4222">
              <w:t xml:space="preserve"> </w:t>
            </w:r>
          </w:p>
        </w:tc>
      </w:tr>
      <w:tr w:rsidR="00230F43" w:rsidRPr="005D4222" w14:paraId="0E8AAA0E" w14:textId="77777777" w:rsidTr="00A53E8C">
        <w:tc>
          <w:tcPr>
            <w:tcW w:w="2157" w:type="dxa"/>
            <w:tcBorders>
              <w:top w:val="single" w:sz="4" w:space="0" w:color="auto"/>
              <w:left w:val="single" w:sz="2" w:space="0" w:color="auto"/>
              <w:bottom w:val="nil"/>
              <w:right w:val="single" w:sz="2" w:space="0" w:color="auto"/>
            </w:tcBorders>
            <w:shd w:val="clear" w:color="auto" w:fill="BFBFBF" w:themeFill="background1" w:themeFillShade="BF"/>
            <w:tcMar>
              <w:top w:w="0" w:type="dxa"/>
              <w:left w:w="86" w:type="dxa"/>
              <w:bottom w:w="43" w:type="dxa"/>
              <w:right w:w="86" w:type="dxa"/>
            </w:tcMar>
          </w:tcPr>
          <w:p w14:paraId="27881809" w14:textId="77777777" w:rsidR="00230F43" w:rsidRPr="005D4222" w:rsidRDefault="00230F43"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F8CAC9B" w14:textId="77777777" w:rsidR="00ED0B88" w:rsidRPr="005D4222" w:rsidRDefault="00ED0B88" w:rsidP="00375F8F">
            <w:pPr>
              <w:pStyle w:val="ECDSBody"/>
            </w:pPr>
            <w:r w:rsidRPr="005D4222">
              <w:rPr>
                <w:b/>
              </w:rPr>
              <w:t>Step 3.</w:t>
            </w:r>
            <w:r w:rsidRPr="005D4222">
              <w:t xml:space="preserve"> For the remaining discharges, exclude inpatient and observation stay discharges with any of the following criteria on the discharge claim: </w:t>
            </w:r>
          </w:p>
          <w:p w14:paraId="42C67386" w14:textId="77777777" w:rsidR="00ED0B88" w:rsidRPr="005D4222" w:rsidDel="004341E1" w:rsidRDefault="00ED0B88" w:rsidP="00ED0B88">
            <w:pPr>
              <w:pStyle w:val="Bullet"/>
              <w:numPr>
                <w:ilvl w:val="0"/>
                <w:numId w:val="4"/>
              </w:numPr>
              <w:tabs>
                <w:tab w:val="left" w:pos="360"/>
                <w:tab w:val="left" w:pos="576"/>
              </w:tabs>
              <w:ind w:left="576" w:hanging="216"/>
            </w:pPr>
            <w:r w:rsidRPr="005D4222" w:rsidDel="004341E1">
              <w:t>A principal diagnosis of maintenance chemotherapy (</w:t>
            </w:r>
            <w:r w:rsidRPr="005D4222" w:rsidDel="004341E1">
              <w:rPr>
                <w:u w:val="single"/>
              </w:rPr>
              <w:t>Chemotherapy Encounter Value Set</w:t>
            </w:r>
            <w:r w:rsidRPr="005D4222" w:rsidDel="004341E1">
              <w:t xml:space="preserve">). </w:t>
            </w:r>
          </w:p>
          <w:p w14:paraId="524AC4E1" w14:textId="77777777" w:rsidR="00ED0B88" w:rsidRPr="005D4222" w:rsidDel="004341E1" w:rsidRDefault="00ED0B88" w:rsidP="00ED0B88">
            <w:pPr>
              <w:pStyle w:val="Bullet"/>
              <w:numPr>
                <w:ilvl w:val="0"/>
                <w:numId w:val="4"/>
              </w:numPr>
              <w:tabs>
                <w:tab w:val="left" w:pos="360"/>
                <w:tab w:val="left" w:pos="576"/>
              </w:tabs>
              <w:ind w:left="576" w:hanging="216"/>
            </w:pPr>
            <w:r w:rsidRPr="005D4222" w:rsidDel="004341E1">
              <w:t>A principal diagnosis of rehabilitation (</w:t>
            </w:r>
            <w:r w:rsidRPr="005D4222" w:rsidDel="004341E1">
              <w:rPr>
                <w:u w:val="single"/>
              </w:rPr>
              <w:t>Rehabilitation Value Set</w:t>
            </w:r>
            <w:r w:rsidRPr="005D4222" w:rsidDel="004341E1">
              <w:t xml:space="preserve">). </w:t>
            </w:r>
          </w:p>
          <w:p w14:paraId="196FC67B" w14:textId="77777777" w:rsidR="00ED0B88" w:rsidRPr="005D4222" w:rsidDel="004341E1" w:rsidRDefault="00ED0B88" w:rsidP="00ED0B88">
            <w:pPr>
              <w:pStyle w:val="Bullet"/>
              <w:numPr>
                <w:ilvl w:val="0"/>
                <w:numId w:val="4"/>
              </w:numPr>
              <w:tabs>
                <w:tab w:val="left" w:pos="360"/>
                <w:tab w:val="left" w:pos="576"/>
              </w:tabs>
              <w:ind w:left="576" w:hanging="216"/>
            </w:pPr>
            <w:r w:rsidRPr="005D4222" w:rsidDel="004341E1">
              <w:t>An organ transplant (</w:t>
            </w:r>
            <w:r w:rsidRPr="005D4222" w:rsidDel="004341E1">
              <w:rPr>
                <w:u w:val="single"/>
              </w:rPr>
              <w:t>Kidney Transplant Value Set</w:t>
            </w:r>
            <w:r w:rsidRPr="005D4222" w:rsidDel="004341E1">
              <w:t xml:space="preserve">, </w:t>
            </w:r>
            <w:r w:rsidRPr="005D4222" w:rsidDel="004341E1">
              <w:rPr>
                <w:u w:val="single"/>
              </w:rPr>
              <w:t>Bone Marrow Transplant Value Set</w:t>
            </w:r>
            <w:r w:rsidRPr="005D4222" w:rsidDel="004341E1">
              <w:t xml:space="preserve">, </w:t>
            </w:r>
            <w:r w:rsidRPr="005D4222" w:rsidDel="004341E1">
              <w:rPr>
                <w:u w:val="single"/>
              </w:rPr>
              <w:t>Organ Transplant Other Than Kidney Value Set</w:t>
            </w:r>
            <w:r w:rsidRPr="005D4222" w:rsidDel="004341E1">
              <w:t xml:space="preserve">, </w:t>
            </w:r>
            <w:r w:rsidRPr="005D4222" w:rsidDel="004341E1">
              <w:rPr>
                <w:u w:val="single"/>
              </w:rPr>
              <w:t>Introduction of Autologous Pancreatic Cells Value Set</w:t>
            </w:r>
            <w:r w:rsidRPr="005D4222" w:rsidDel="004341E1">
              <w:t>).</w:t>
            </w:r>
          </w:p>
          <w:p w14:paraId="701E0EE2" w14:textId="77777777" w:rsidR="00ED0B88" w:rsidRPr="005D4222" w:rsidDel="004341E1" w:rsidRDefault="00ED0B88" w:rsidP="00ED0B88">
            <w:pPr>
              <w:pStyle w:val="Bullet"/>
              <w:numPr>
                <w:ilvl w:val="0"/>
                <w:numId w:val="4"/>
              </w:numPr>
              <w:tabs>
                <w:tab w:val="left" w:pos="360"/>
                <w:tab w:val="left" w:pos="576"/>
              </w:tabs>
              <w:ind w:left="576" w:hanging="216"/>
            </w:pPr>
            <w:r w:rsidRPr="005D4222" w:rsidDel="004341E1">
              <w:t>A potentially planned procedure (</w:t>
            </w:r>
            <w:r w:rsidRPr="005D4222" w:rsidDel="004341E1">
              <w:rPr>
                <w:u w:val="single"/>
              </w:rPr>
              <w:t>Potentially Planned Procedures Value Set</w:t>
            </w:r>
            <w:r w:rsidRPr="005D4222" w:rsidDel="004341E1">
              <w:t>) without a principal acute diagnosis (</w:t>
            </w:r>
            <w:r w:rsidRPr="005D4222" w:rsidDel="004341E1">
              <w:rPr>
                <w:u w:val="single"/>
              </w:rPr>
              <w:t>Acute Condition Value Set</w:t>
            </w:r>
            <w:r w:rsidRPr="005D4222" w:rsidDel="004341E1">
              <w:t>).</w:t>
            </w:r>
          </w:p>
          <w:p w14:paraId="4C2DE8C4" w14:textId="77777777" w:rsidR="00ED0B88" w:rsidRPr="005D4222" w:rsidDel="004341E1" w:rsidRDefault="00ED0B88" w:rsidP="00ED0B88">
            <w:pPr>
              <w:pStyle w:val="Note"/>
              <w:rPr>
                <w:iCs/>
                <w:szCs w:val="20"/>
              </w:rPr>
            </w:pPr>
            <w:r w:rsidRPr="005D4222" w:rsidDel="004341E1">
              <w:rPr>
                <w:b/>
                <w:bCs/>
                <w:iCs/>
                <w:szCs w:val="20"/>
              </w:rPr>
              <w:t xml:space="preserve">Note </w:t>
            </w:r>
          </w:p>
          <w:p w14:paraId="18477A00" w14:textId="77777777" w:rsidR="00ED0B88" w:rsidRPr="005D4222" w:rsidRDefault="00ED0B88" w:rsidP="00ED0B88">
            <w:pPr>
              <w:pStyle w:val="ProcessBullet"/>
              <w:tabs>
                <w:tab w:val="left" w:pos="216"/>
                <w:tab w:val="num" w:pos="720"/>
              </w:tabs>
              <w:rPr>
                <w:i/>
                <w:iCs/>
                <w:sz w:val="20"/>
                <w:szCs w:val="20"/>
              </w:rPr>
            </w:pPr>
            <w:r w:rsidRPr="005D4222" w:rsidDel="004341E1">
              <w:rPr>
                <w:i/>
                <w:iCs/>
                <w:sz w:val="20"/>
                <w:szCs w:val="20"/>
              </w:rPr>
              <w:t>For hospital stays where there was a direct transfer (identified in step 2), use the original stay and any direct transfer stays to identify exclusions in this step.</w:t>
            </w:r>
          </w:p>
          <w:p w14:paraId="092020D4" w14:textId="77777777" w:rsidR="00ED0B88" w:rsidRPr="005D4222" w:rsidDel="004341E1" w:rsidRDefault="00ED0B88" w:rsidP="00ED0B88">
            <w:pPr>
              <w:pStyle w:val="ProcessBullet"/>
              <w:tabs>
                <w:tab w:val="left" w:pos="216"/>
                <w:tab w:val="num" w:pos="720"/>
              </w:tabs>
              <w:rPr>
                <w:rStyle w:val="ProcessBulletChar"/>
                <w:i/>
                <w:iCs/>
                <w:sz w:val="20"/>
                <w:szCs w:val="20"/>
              </w:rPr>
            </w:pPr>
            <w:r w:rsidRPr="005D4222" w:rsidDel="004341E1">
              <w:rPr>
                <w:rStyle w:val="ProcessBulletChar"/>
                <w:i/>
                <w:iCs/>
                <w:sz w:val="20"/>
                <w:szCs w:val="20"/>
              </w:rPr>
              <w:t xml:space="preserve">Only one inpatient admission or observation stay hospitalization may be included in the numerators for each unique outpatient urologic surgery denominator event. If there are multiple numerator events that meet criteria for a singular denominator event, only count the numerator event closest to the outpatient urologic surgery. </w:t>
            </w:r>
          </w:p>
          <w:p w14:paraId="30981BCA" w14:textId="77777777" w:rsidR="00ED0B88" w:rsidRPr="005D4222" w:rsidDel="004341E1" w:rsidRDefault="00ED0B88" w:rsidP="00375F8F">
            <w:pPr>
              <w:pStyle w:val="ECDSBody"/>
              <w:spacing w:after="0"/>
              <w:ind w:left="216"/>
              <w:rPr>
                <w:rStyle w:val="ProcessBulletChar"/>
                <w:i/>
                <w:iCs/>
                <w:sz w:val="20"/>
                <w:szCs w:val="20"/>
              </w:rPr>
            </w:pPr>
            <w:r w:rsidRPr="005D4222" w:rsidDel="004341E1">
              <w:rPr>
                <w:rStyle w:val="ProcessBulletChar"/>
                <w:sz w:val="20"/>
                <w:szCs w:val="20"/>
              </w:rPr>
              <w:t xml:space="preserve">For example, </w:t>
            </w:r>
            <w:r w:rsidRPr="005D4222" w:rsidDel="004341E1">
              <w:rPr>
                <w:rStyle w:val="ProcessBulletChar"/>
                <w:i/>
                <w:iCs/>
                <w:sz w:val="20"/>
                <w:szCs w:val="20"/>
              </w:rPr>
              <w:t>consider the following events:</w:t>
            </w:r>
          </w:p>
          <w:p w14:paraId="566EE5C1" w14:textId="77777777" w:rsidR="00ED0B88" w:rsidRPr="005D4222" w:rsidDel="004341E1" w:rsidRDefault="00ED0B88" w:rsidP="00ED0B88">
            <w:pPr>
              <w:pStyle w:val="ProcessDash"/>
              <w:tabs>
                <w:tab w:val="clear" w:pos="432"/>
              </w:tabs>
              <w:spacing w:after="40"/>
              <w:rPr>
                <w:i/>
                <w:iCs/>
                <w:sz w:val="20"/>
              </w:rPr>
            </w:pPr>
            <w:r w:rsidRPr="005D4222" w:rsidDel="004341E1">
              <w:rPr>
                <w:i/>
                <w:iCs/>
                <w:sz w:val="20"/>
              </w:rPr>
              <w:t>Outpatient urologic surgery episode: May 10.</w:t>
            </w:r>
          </w:p>
          <w:p w14:paraId="777100FD" w14:textId="77777777" w:rsidR="00ED0B88" w:rsidRPr="005D4222" w:rsidDel="004341E1" w:rsidRDefault="00ED0B88" w:rsidP="00ED0B88">
            <w:pPr>
              <w:pStyle w:val="ProcessDash"/>
              <w:tabs>
                <w:tab w:val="clear" w:pos="432"/>
              </w:tabs>
              <w:spacing w:after="40"/>
              <w:rPr>
                <w:i/>
                <w:iCs/>
                <w:sz w:val="20"/>
              </w:rPr>
            </w:pPr>
            <w:r w:rsidRPr="005D4222" w:rsidDel="004341E1">
              <w:rPr>
                <w:i/>
                <w:iCs/>
                <w:sz w:val="20"/>
              </w:rPr>
              <w:t>Observation stay: May 13–14.</w:t>
            </w:r>
          </w:p>
          <w:p w14:paraId="453FEEFC" w14:textId="77777777" w:rsidR="00ED0B88" w:rsidRPr="005D4222" w:rsidRDefault="00ED0B88" w:rsidP="00ED0B88">
            <w:pPr>
              <w:pStyle w:val="ProcessDash"/>
              <w:tabs>
                <w:tab w:val="clear" w:pos="432"/>
              </w:tabs>
              <w:spacing w:after="80"/>
              <w:rPr>
                <w:b/>
              </w:rPr>
            </w:pPr>
            <w:r w:rsidRPr="005D4222" w:rsidDel="004341E1">
              <w:rPr>
                <w:i/>
                <w:iCs/>
                <w:sz w:val="20"/>
              </w:rPr>
              <w:t>Acute inpatient stay: May 16–May 20.</w:t>
            </w:r>
          </w:p>
          <w:p w14:paraId="2B0EDBE6" w14:textId="77777777" w:rsidR="00230F43" w:rsidRPr="005D4222" w:rsidDel="004341E1" w:rsidRDefault="00230F43" w:rsidP="00A53E8C">
            <w:pPr>
              <w:pStyle w:val="ECDSBody"/>
              <w:spacing w:before="80"/>
              <w:ind w:left="216"/>
              <w:rPr>
                <w:i/>
                <w:iCs/>
                <w:sz w:val="20"/>
                <w:szCs w:val="20"/>
              </w:rPr>
            </w:pPr>
            <w:r w:rsidRPr="005D4222" w:rsidDel="004341E1">
              <w:rPr>
                <w:i/>
                <w:iCs/>
                <w:sz w:val="20"/>
                <w:szCs w:val="20"/>
              </w:rPr>
              <w:t>Both the observation stay of May 13–14 and the acute inpatient stay of May 16–May 20 are within 15 days of the outpatient urologic surgery episode on May 10. Only the observation stay is included in the numerator because it is the hospitalization event closest to the outpatient urologic surgery episode.</w:t>
            </w:r>
          </w:p>
          <w:p w14:paraId="7416DD18" w14:textId="77777777" w:rsidR="00230F43" w:rsidRPr="005D4222" w:rsidDel="004341E1" w:rsidRDefault="00230F43" w:rsidP="00230F43">
            <w:pPr>
              <w:pStyle w:val="ProcessBullet"/>
              <w:tabs>
                <w:tab w:val="left" w:pos="216"/>
                <w:tab w:val="num" w:pos="720"/>
              </w:tabs>
              <w:rPr>
                <w:i/>
                <w:iCs/>
                <w:sz w:val="20"/>
                <w:szCs w:val="20"/>
              </w:rPr>
            </w:pPr>
            <w:r w:rsidRPr="005D4222" w:rsidDel="004341E1">
              <w:rPr>
                <w:i/>
                <w:iCs/>
                <w:sz w:val="20"/>
                <w:szCs w:val="20"/>
              </w:rPr>
              <w:t xml:space="preserve">Count each unique acute inpatient admission or observation stay hospitalization only once toward the numerator for the last denominator event. If a single numerator event meets criteria for multiple denominator events, only attribute the numerator event to the last denominator event. </w:t>
            </w:r>
          </w:p>
          <w:p w14:paraId="2C2CDA0E" w14:textId="77777777" w:rsidR="00230F43" w:rsidRPr="005D4222" w:rsidDel="004341E1" w:rsidRDefault="00230F43" w:rsidP="00375F8F">
            <w:pPr>
              <w:pStyle w:val="ECDSBody"/>
              <w:spacing w:before="80" w:after="0"/>
              <w:ind w:left="216"/>
              <w:rPr>
                <w:i/>
                <w:iCs/>
                <w:sz w:val="20"/>
                <w:szCs w:val="20"/>
              </w:rPr>
            </w:pPr>
            <w:r w:rsidRPr="005D4222" w:rsidDel="004341E1">
              <w:rPr>
                <w:sz w:val="20"/>
                <w:szCs w:val="20"/>
              </w:rPr>
              <w:t xml:space="preserve">For example, </w:t>
            </w:r>
            <w:r w:rsidRPr="005D4222" w:rsidDel="004341E1">
              <w:rPr>
                <w:i/>
                <w:iCs/>
                <w:sz w:val="20"/>
                <w:szCs w:val="20"/>
              </w:rPr>
              <w:t>consider the following events:</w:t>
            </w:r>
          </w:p>
          <w:p w14:paraId="4FB61A22" w14:textId="77777777" w:rsidR="00230F43" w:rsidRPr="005D4222" w:rsidDel="004341E1" w:rsidRDefault="00230F43" w:rsidP="00230F43">
            <w:pPr>
              <w:pStyle w:val="ProcessDash"/>
              <w:tabs>
                <w:tab w:val="clear" w:pos="432"/>
              </w:tabs>
              <w:spacing w:after="40"/>
              <w:rPr>
                <w:i/>
                <w:iCs/>
                <w:sz w:val="20"/>
              </w:rPr>
            </w:pPr>
            <w:r w:rsidRPr="005D4222" w:rsidDel="004341E1">
              <w:rPr>
                <w:i/>
                <w:iCs/>
                <w:sz w:val="20"/>
              </w:rPr>
              <w:t>Outpatient urologic surgery episode 1: May 10.</w:t>
            </w:r>
          </w:p>
          <w:p w14:paraId="18157C65" w14:textId="77777777" w:rsidR="00230F43" w:rsidRPr="005D4222" w:rsidDel="004341E1" w:rsidRDefault="00230F43" w:rsidP="00230F43">
            <w:pPr>
              <w:pStyle w:val="ProcessDash"/>
              <w:tabs>
                <w:tab w:val="clear" w:pos="432"/>
              </w:tabs>
              <w:spacing w:after="40"/>
              <w:rPr>
                <w:i/>
                <w:iCs/>
                <w:sz w:val="20"/>
              </w:rPr>
            </w:pPr>
            <w:r w:rsidRPr="005D4222" w:rsidDel="004341E1">
              <w:rPr>
                <w:i/>
                <w:iCs/>
                <w:sz w:val="20"/>
              </w:rPr>
              <w:t>Outpatient urologic surgery episode 2: May 15.</w:t>
            </w:r>
          </w:p>
          <w:p w14:paraId="0B51F3B4" w14:textId="77777777" w:rsidR="00230F43" w:rsidRPr="005D4222" w:rsidDel="004341E1" w:rsidRDefault="00230F43" w:rsidP="00230F43">
            <w:pPr>
              <w:pStyle w:val="ProcessDash"/>
              <w:tabs>
                <w:tab w:val="clear" w:pos="432"/>
              </w:tabs>
              <w:spacing w:after="40"/>
              <w:rPr>
                <w:i/>
                <w:iCs/>
                <w:sz w:val="20"/>
              </w:rPr>
            </w:pPr>
            <w:r w:rsidRPr="005D4222" w:rsidDel="004341E1">
              <w:rPr>
                <w:i/>
                <w:iCs/>
                <w:sz w:val="20"/>
              </w:rPr>
              <w:t>Acute inpatient stay: May 18.</w:t>
            </w:r>
          </w:p>
          <w:p w14:paraId="61FEFF07" w14:textId="77777777" w:rsidR="00230F43" w:rsidRPr="005D4222" w:rsidRDefault="00230F43" w:rsidP="00A53E8C">
            <w:pPr>
              <w:pStyle w:val="ECDSBody"/>
              <w:spacing w:before="80"/>
              <w:ind w:left="216"/>
              <w:rPr>
                <w:i/>
                <w:iCs/>
                <w:sz w:val="20"/>
                <w:szCs w:val="20"/>
              </w:rPr>
            </w:pPr>
            <w:r w:rsidRPr="005D4222" w:rsidDel="004341E1">
              <w:rPr>
                <w:i/>
                <w:iCs/>
                <w:sz w:val="20"/>
                <w:szCs w:val="20"/>
              </w:rPr>
              <w:t>The outpatient urologic surgery episodes of May 10 and May 15 are included as denominator events. The acute inpatient stay counts as a numerator event only toward the last denominator event (episode 2, May 15).</w:t>
            </w:r>
          </w:p>
        </w:tc>
      </w:tr>
      <w:tr w:rsidR="00230F43" w:rsidRPr="005D4222" w14:paraId="4BF512FF"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8AA8DE2" w14:textId="77777777" w:rsidR="00230F43" w:rsidRPr="005D4222" w:rsidRDefault="00230F43" w:rsidP="00A53E8C">
            <w:pPr>
              <w:pStyle w:val="ECDSMarginHead"/>
            </w:pPr>
            <w:r w:rsidRPr="005D4222">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2121D26" w14:textId="77777777" w:rsidR="00230F43" w:rsidRPr="005D4222" w:rsidRDefault="00230F43" w:rsidP="00230F43">
            <w:pPr>
              <w:pStyle w:val="ProcessBullet"/>
              <w:tabs>
                <w:tab w:val="left" w:pos="216"/>
                <w:tab w:val="num" w:pos="720"/>
              </w:tabs>
              <w:spacing w:before="120"/>
              <w:rPr>
                <w:rFonts w:eastAsiaTheme="minorHAnsi"/>
              </w:rPr>
            </w:pPr>
            <w:r w:rsidRPr="005D4222">
              <w:rPr>
                <w:rFonts w:eastAsia="Arial"/>
              </w:rPr>
              <w:t>This is a first-year measure.</w:t>
            </w:r>
          </w:p>
        </w:tc>
      </w:tr>
      <w:tr w:rsidR="00230F43" w:rsidRPr="005D4222" w14:paraId="12EDCDA4"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3E69276" w14:textId="77777777" w:rsidR="00230F43" w:rsidRPr="005D4222" w:rsidRDefault="00230F43" w:rsidP="00A53E8C">
            <w:pPr>
              <w:pStyle w:val="ECDS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87DF35A" w14:textId="3050FB72" w:rsidR="00C63629" w:rsidRPr="005D4222" w:rsidRDefault="00230F43" w:rsidP="00C63629">
            <w:pPr>
              <w:pStyle w:val="ECDSBody"/>
            </w:pPr>
            <w:r w:rsidRPr="005D4222">
              <w:rPr>
                <w:b/>
                <w:i/>
                <w:iCs/>
              </w:rPr>
              <w:t>Reporting:</w:t>
            </w:r>
            <w:r w:rsidRPr="005D4222">
              <w:rPr>
                <w:b/>
              </w:rPr>
              <w:t xml:space="preserve"> Denominator</w:t>
            </w:r>
            <w:r w:rsidRPr="005D4222">
              <w:br/>
              <w:t>The number of outpatient urologic surgery episodes, reported as the Denominator.</w:t>
            </w:r>
          </w:p>
        </w:tc>
      </w:tr>
    </w:tbl>
    <w:p w14:paraId="510D3118" w14:textId="77777777" w:rsidR="00C63629" w:rsidRPr="005D4222" w:rsidRDefault="00C63629"/>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230F43" w:rsidRPr="005D4222" w14:paraId="1ECBF639"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7F6CF7D" w14:textId="77777777" w:rsidR="00230F43" w:rsidRPr="005D4222" w:rsidRDefault="00230F43"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85A68F3" w14:textId="77777777" w:rsidR="00C63629" w:rsidRPr="005D4222" w:rsidRDefault="00C63629" w:rsidP="00C63629">
            <w:pPr>
              <w:pStyle w:val="ECDSBody"/>
            </w:pPr>
            <w:r w:rsidRPr="005D4222">
              <w:rPr>
                <w:b/>
                <w:i/>
                <w:iCs/>
              </w:rPr>
              <w:t xml:space="preserve">Reporting: </w:t>
            </w:r>
            <w:r w:rsidRPr="005D4222">
              <w:rPr>
                <w:b/>
              </w:rPr>
              <w:t>Numerator</w:t>
            </w:r>
            <w:r w:rsidRPr="005D4222">
              <w:rPr>
                <w:b/>
              </w:rPr>
              <w:br/>
            </w:r>
            <w:r w:rsidRPr="005D4222">
              <w:t>The number of observed acute inpatient admission or observation stay hospitalizations, reported as the ObservedCount.</w:t>
            </w:r>
          </w:p>
          <w:p w14:paraId="6F792A16" w14:textId="77777777" w:rsidR="00C63629" w:rsidRPr="005D4222" w:rsidRDefault="00C63629" w:rsidP="00C63629">
            <w:pPr>
              <w:pStyle w:val="ECDSBody"/>
            </w:pPr>
            <w:r w:rsidRPr="005D4222">
              <w:rPr>
                <w:b/>
                <w:i/>
                <w:iCs/>
              </w:rPr>
              <w:t>Calculated:</w:t>
            </w:r>
            <w:r w:rsidRPr="005D4222">
              <w:rPr>
                <w:b/>
              </w:rPr>
              <w:t xml:space="preserve"> Observed hospitalization rate</w:t>
            </w:r>
            <w:r w:rsidRPr="005D4222">
              <w:br/>
              <w:t>The number of observed acute inpatient admission or observation stay hospitalizations (ObservedCount) divided by the number of outpatient urologic surgery episodes (Denominator). Calculated by IDSS as the ObservedRate.</w:t>
            </w:r>
          </w:p>
          <w:p w14:paraId="165078D8" w14:textId="77777777" w:rsidR="00C63629" w:rsidRPr="005D4222" w:rsidRDefault="00C63629" w:rsidP="00C63629">
            <w:pPr>
              <w:pStyle w:val="ECDSBody"/>
              <w:rPr>
                <w:b/>
              </w:rPr>
            </w:pPr>
            <w:r w:rsidRPr="005D4222">
              <w:rPr>
                <w:b/>
                <w:i/>
                <w:iCs/>
              </w:rPr>
              <w:t xml:space="preserve">Reporting: </w:t>
            </w:r>
            <w:r w:rsidRPr="005D4222">
              <w:rPr>
                <w:b/>
              </w:rPr>
              <w:t>Count of expected hospitalizations</w:t>
            </w:r>
          </w:p>
          <w:p w14:paraId="2838AAD8" w14:textId="77777777" w:rsidR="00C63629" w:rsidRPr="005D4222" w:rsidRDefault="00C63629" w:rsidP="00C63629">
            <w:pPr>
              <w:pStyle w:val="ECDSBody"/>
            </w:pPr>
            <w:r w:rsidRPr="005D4222">
              <w:rPr>
                <w:b/>
              </w:rPr>
              <w:t>Step 1.</w:t>
            </w:r>
            <w:r w:rsidRPr="005D4222">
              <w:t xml:space="preserve"> Calculate the number of expected inpatient admission or observation stay hospitalizations.</w:t>
            </w:r>
          </w:p>
          <w:p w14:paraId="20FEF909" w14:textId="77777777" w:rsidR="00C63629" w:rsidRPr="005D4222" w:rsidRDefault="00C63629" w:rsidP="00C63629">
            <w:pPr>
              <w:pStyle w:val="ECDSBody"/>
            </w:pPr>
            <w:r w:rsidRPr="005D4222">
              <w:rPr>
                <w:b/>
              </w:rPr>
              <w:t>Step 2.</w:t>
            </w:r>
            <w:r w:rsidRPr="005D4222">
              <w:t xml:space="preserve"> Round to 4 decimal places using the .5 rule and report these values as the ExpectedCount.</w:t>
            </w:r>
          </w:p>
          <w:p w14:paraId="70A49C91" w14:textId="77777777" w:rsidR="00C63629" w:rsidRPr="005D4222" w:rsidRDefault="00C63629" w:rsidP="00C63629">
            <w:pPr>
              <w:pStyle w:val="ECDSBody"/>
            </w:pPr>
            <w:r w:rsidRPr="005D4222">
              <w:rPr>
                <w:b/>
                <w:i/>
                <w:iCs/>
              </w:rPr>
              <w:t>Calculated:</w:t>
            </w:r>
            <w:r w:rsidRPr="005D4222">
              <w:rPr>
                <w:b/>
              </w:rPr>
              <w:t xml:space="preserve"> Expected hospitalization rate</w:t>
            </w:r>
            <w:r w:rsidRPr="005D4222">
              <w:rPr>
                <w:b/>
              </w:rPr>
              <w:br/>
            </w:r>
            <w:r w:rsidRPr="005D4222">
              <w:t>The number of expected acute inpatient admission or observation stay hospitalizations (ExpectedCount) divided by the number of outpatient urologic surgery episodes (Denominator). Calculated by IDSS as the ExpectedRate.</w:t>
            </w:r>
          </w:p>
          <w:p w14:paraId="76175FC2" w14:textId="77777777" w:rsidR="00C63629" w:rsidRPr="005D4222" w:rsidRDefault="00C63629" w:rsidP="00C63629">
            <w:pPr>
              <w:pStyle w:val="ECDSBody"/>
              <w:rPr>
                <w:b/>
              </w:rPr>
            </w:pPr>
            <w:r w:rsidRPr="005D4222">
              <w:rPr>
                <w:b/>
                <w:i/>
                <w:iCs/>
              </w:rPr>
              <w:t xml:space="preserve">Reporting: </w:t>
            </w:r>
            <w:r w:rsidRPr="005D4222">
              <w:rPr>
                <w:b/>
              </w:rPr>
              <w:t>Variance</w:t>
            </w:r>
          </w:p>
          <w:p w14:paraId="79C183B1" w14:textId="77777777" w:rsidR="00C63629" w:rsidRPr="005D4222" w:rsidRDefault="00C63629" w:rsidP="00C63629">
            <w:pPr>
              <w:pStyle w:val="ECDSBody"/>
            </w:pPr>
            <w:r w:rsidRPr="005D4222">
              <w:rPr>
                <w:b/>
              </w:rPr>
              <w:t>Step 1.</w:t>
            </w:r>
            <w:r w:rsidRPr="005D4222">
              <w:t xml:space="preserve"> Calculate the variance (</w:t>
            </w:r>
            <w:r w:rsidRPr="005D4222">
              <w:rPr>
                <w:i/>
                <w:iCs/>
              </w:rPr>
              <w:t>Risk Adjustment Calculation</w:t>
            </w:r>
            <w:r w:rsidRPr="005D4222">
              <w:t>, step 6).</w:t>
            </w:r>
          </w:p>
          <w:p w14:paraId="0FE62500" w14:textId="77777777" w:rsidR="00C63629" w:rsidRPr="005D4222" w:rsidRDefault="00C63629" w:rsidP="00C63629">
            <w:pPr>
              <w:pStyle w:val="ECDSBody"/>
            </w:pPr>
            <w:r w:rsidRPr="005D4222">
              <w:rPr>
                <w:b/>
              </w:rPr>
              <w:t>Step 2.</w:t>
            </w:r>
            <w:r w:rsidRPr="005D4222">
              <w:t xml:space="preserve"> Round to 4 decimal places using the .5 rule and report these values as the CountVariance.</w:t>
            </w:r>
          </w:p>
          <w:p w14:paraId="0B2622AE" w14:textId="77777777" w:rsidR="00C63629" w:rsidRPr="005D4222" w:rsidRDefault="00C63629" w:rsidP="00C63629">
            <w:pPr>
              <w:pStyle w:val="ECDSBody"/>
            </w:pPr>
            <w:r w:rsidRPr="005D4222">
              <w:rPr>
                <w:b/>
                <w:i/>
                <w:iCs/>
              </w:rPr>
              <w:t>Calculated:</w:t>
            </w:r>
            <w:r w:rsidRPr="005D4222">
              <w:rPr>
                <w:b/>
              </w:rPr>
              <w:t xml:space="preserve"> O/E ratio</w:t>
            </w:r>
            <w:r w:rsidRPr="005D4222">
              <w:rPr>
                <w:b/>
              </w:rPr>
              <w:br/>
            </w:r>
            <w:r w:rsidRPr="005D4222">
              <w:t>The number of observed acute inpatient admission or observation stay hospitalizations (ObservedCount) divided by the number of expected acute inpatient admission or observation stay hospitalizations (ExpectedCount). Calculated by IDSS as the OE.</w:t>
            </w:r>
          </w:p>
          <w:p w14:paraId="6282D01D" w14:textId="77777777" w:rsidR="00230F43" w:rsidRPr="005D4222" w:rsidRDefault="00230F43" w:rsidP="00A53E8C">
            <w:pPr>
              <w:pStyle w:val="Heading3"/>
              <w:spacing w:before="120"/>
              <w:rPr>
                <w:rFonts w:eastAsia="Arial" w:cs="Times New Roman"/>
                <w:b w:val="0"/>
                <w:i w:val="0"/>
                <w:sz w:val="21"/>
                <w:szCs w:val="21"/>
              </w:rPr>
            </w:pPr>
            <w:r w:rsidRPr="005D4222">
              <w:rPr>
                <w:rFonts w:eastAsia="Arial" w:cs="Times New Roman"/>
                <w:b w:val="0"/>
                <w:i w:val="0"/>
                <w:sz w:val="21"/>
                <w:szCs w:val="21"/>
              </w:rPr>
              <w:t xml:space="preserve">Organizations that submit HEDIS data to NCQA must provide the following data elements. </w:t>
            </w:r>
          </w:p>
          <w:p w14:paraId="4F76E358" w14:textId="23FDEC06" w:rsidR="00230F43" w:rsidRPr="005D4222" w:rsidRDefault="00230F43" w:rsidP="00A53E8C">
            <w:pPr>
              <w:pStyle w:val="Heading3"/>
              <w:spacing w:before="120"/>
              <w:rPr>
                <w:rFonts w:eastAsia="Arial,Times New Roman"/>
              </w:rPr>
            </w:pPr>
            <w:r w:rsidRPr="005D4222">
              <w:rPr>
                <w:rFonts w:eastAsia="Arial,Times New Roman"/>
              </w:rPr>
              <w:t xml:space="preserve">Table HFG-3: Data Elements for </w:t>
            </w:r>
            <w:r w:rsidR="00114134" w:rsidRPr="005D4222">
              <w:rPr>
                <w:rFonts w:eastAsia="Arial,Times New Roman"/>
              </w:rPr>
              <w:t>Acute Hospitalizations Following</w:t>
            </w:r>
            <w:r w:rsidRPr="005D4222">
              <w:rPr>
                <w:rFonts w:eastAsia="Arial,Times New Roman"/>
              </w:rPr>
              <w:t xml:space="preserve"> Outpatient Urologic Surgery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2066"/>
              <w:gridCol w:w="1880"/>
              <w:gridCol w:w="3429"/>
            </w:tblGrid>
            <w:tr w:rsidR="00230F43" w:rsidRPr="005D4222" w14:paraId="28EFC96F" w14:textId="77777777" w:rsidTr="00A53E8C">
              <w:trPr>
                <w:cantSplit/>
                <w:trHeight w:val="260"/>
              </w:trPr>
              <w:tc>
                <w:tcPr>
                  <w:tcW w:w="2066" w:type="dxa"/>
                  <w:tcBorders>
                    <w:top w:val="single" w:sz="4" w:space="0" w:color="auto"/>
                    <w:left w:val="single" w:sz="4" w:space="0" w:color="auto"/>
                    <w:bottom w:val="single" w:sz="4" w:space="0" w:color="auto"/>
                    <w:right w:val="single" w:sz="4" w:space="0" w:color="FFFFFF" w:themeColor="background1"/>
                  </w:tcBorders>
                  <w:shd w:val="clear" w:color="auto" w:fill="000000" w:themeFill="text1"/>
                </w:tcPr>
                <w:p w14:paraId="1EFC75A5" w14:textId="77777777" w:rsidR="00230F43" w:rsidRPr="005D4222" w:rsidRDefault="00230F43" w:rsidP="00A53E8C">
                  <w:pPr>
                    <w:pStyle w:val="TableHead"/>
                    <w:rPr>
                      <w:rFonts w:eastAsia="Arial Narrow"/>
                    </w:rPr>
                  </w:pPr>
                  <w:r w:rsidRPr="005D4222">
                    <w:rPr>
                      <w:rFonts w:eastAsia="Arial Narrow"/>
                    </w:rPr>
                    <w:t>Metric</w:t>
                  </w:r>
                </w:p>
              </w:tc>
              <w:tc>
                <w:tcPr>
                  <w:tcW w:w="1880" w:type="dxa"/>
                  <w:tcBorders>
                    <w:top w:val="single" w:sz="4" w:space="0" w:color="auto"/>
                    <w:left w:val="single" w:sz="4" w:space="0" w:color="FFFFFF" w:themeColor="background1"/>
                    <w:bottom w:val="single" w:sz="4" w:space="0" w:color="auto"/>
                    <w:right w:val="single" w:sz="6" w:space="0" w:color="FFFFFF" w:themeColor="background1"/>
                  </w:tcBorders>
                  <w:shd w:val="clear" w:color="auto" w:fill="000000" w:themeFill="text1"/>
                  <w:vAlign w:val="bottom"/>
                </w:tcPr>
                <w:p w14:paraId="563A0A24" w14:textId="77777777" w:rsidR="00230F43" w:rsidRPr="005D4222" w:rsidRDefault="00230F43" w:rsidP="00A53E8C">
                  <w:pPr>
                    <w:pStyle w:val="TableHead"/>
                    <w:rPr>
                      <w:rFonts w:eastAsia="Arial Narrow"/>
                    </w:rPr>
                  </w:pPr>
                  <w:r w:rsidRPr="005D4222">
                    <w:rPr>
                      <w:rFonts w:eastAsia="Arial Narrow"/>
                    </w:rPr>
                    <w:t xml:space="preserve">Data Element </w:t>
                  </w:r>
                </w:p>
              </w:tc>
              <w:tc>
                <w:tcPr>
                  <w:tcW w:w="3429" w:type="dxa"/>
                  <w:tcBorders>
                    <w:top w:val="single" w:sz="4" w:space="0" w:color="auto"/>
                    <w:left w:val="single" w:sz="6" w:space="0" w:color="FFFFFF" w:themeColor="background1"/>
                    <w:right w:val="single" w:sz="4" w:space="0" w:color="auto"/>
                  </w:tcBorders>
                  <w:shd w:val="clear" w:color="auto" w:fill="000000" w:themeFill="text1"/>
                  <w:vAlign w:val="bottom"/>
                </w:tcPr>
                <w:p w14:paraId="0BA3E0B2" w14:textId="77777777" w:rsidR="00230F43" w:rsidRPr="005D4222" w:rsidRDefault="00230F43" w:rsidP="00A53E8C">
                  <w:pPr>
                    <w:pStyle w:val="TableHead"/>
                    <w:rPr>
                      <w:rFonts w:eastAsia="Arial Narrow"/>
                    </w:rPr>
                  </w:pPr>
                  <w:r w:rsidRPr="005D4222">
                    <w:rPr>
                      <w:rFonts w:eastAsia="Arial Narrow"/>
                    </w:rPr>
                    <w:t>Reporting Instructions</w:t>
                  </w:r>
                </w:p>
              </w:tc>
            </w:tr>
            <w:tr w:rsidR="00230F43" w:rsidRPr="005D4222" w14:paraId="2EC6F9D8" w14:textId="77777777" w:rsidTr="00A53E8C">
              <w:trPr>
                <w:cantSplit/>
                <w:trHeight w:val="300"/>
              </w:trPr>
              <w:tc>
                <w:tcPr>
                  <w:tcW w:w="2066" w:type="dxa"/>
                  <w:tcBorders>
                    <w:top w:val="single" w:sz="4" w:space="0" w:color="auto"/>
                    <w:bottom w:val="single" w:sz="4" w:space="0" w:color="auto"/>
                  </w:tcBorders>
                </w:tcPr>
                <w:p w14:paraId="120F66B7" w14:textId="77777777" w:rsidR="00230F43" w:rsidRPr="005D4222" w:rsidRDefault="00230F43" w:rsidP="00A53E8C">
                  <w:pPr>
                    <w:pStyle w:val="TableText"/>
                    <w:rPr>
                      <w:rFonts w:eastAsia="Arial Narrow"/>
                    </w:rPr>
                  </w:pPr>
                  <w:r w:rsidRPr="005D4222">
                    <w:t>UrologicSurgery</w:t>
                  </w:r>
                </w:p>
              </w:tc>
              <w:tc>
                <w:tcPr>
                  <w:tcW w:w="1880" w:type="dxa"/>
                  <w:tcBorders>
                    <w:bottom w:val="single" w:sz="4" w:space="0" w:color="auto"/>
                  </w:tcBorders>
                </w:tcPr>
                <w:p w14:paraId="73E44794" w14:textId="77777777" w:rsidR="00230F43" w:rsidRPr="005D4222" w:rsidRDefault="00230F43" w:rsidP="00A53E8C">
                  <w:pPr>
                    <w:pStyle w:val="TableText"/>
                    <w:rPr>
                      <w:rFonts w:eastAsia="Arial Narrow"/>
                    </w:rPr>
                  </w:pPr>
                  <w:r w:rsidRPr="005D4222">
                    <w:rPr>
                      <w:rFonts w:eastAsia="Arial Narrow"/>
                    </w:rPr>
                    <w:t>Denominator</w:t>
                  </w:r>
                </w:p>
              </w:tc>
              <w:tc>
                <w:tcPr>
                  <w:tcW w:w="3429" w:type="dxa"/>
                  <w:tcBorders>
                    <w:bottom w:val="single" w:sz="4" w:space="0" w:color="auto"/>
                  </w:tcBorders>
                </w:tcPr>
                <w:p w14:paraId="179AF573" w14:textId="77777777" w:rsidR="00230F43" w:rsidRPr="005D4222" w:rsidRDefault="00230F43" w:rsidP="00A53E8C">
                  <w:pPr>
                    <w:pStyle w:val="TableText"/>
                    <w:rPr>
                      <w:rFonts w:eastAsia="Arial Narrow"/>
                    </w:rPr>
                  </w:pPr>
                  <w:r w:rsidRPr="005D4222">
                    <w:rPr>
                      <w:rFonts w:eastAsia="Arial Narrow"/>
                    </w:rPr>
                    <w:t>Report once</w:t>
                  </w:r>
                </w:p>
              </w:tc>
            </w:tr>
            <w:tr w:rsidR="00230F43" w:rsidRPr="005D4222" w14:paraId="6C7449FE" w14:textId="77777777" w:rsidTr="00A53E8C">
              <w:trPr>
                <w:cantSplit/>
                <w:trHeight w:val="300"/>
              </w:trPr>
              <w:tc>
                <w:tcPr>
                  <w:tcW w:w="2066" w:type="dxa"/>
                  <w:tcBorders>
                    <w:top w:val="single" w:sz="4" w:space="0" w:color="auto"/>
                    <w:left w:val="nil"/>
                    <w:bottom w:val="nil"/>
                    <w:right w:val="single" w:sz="4" w:space="0" w:color="auto"/>
                  </w:tcBorders>
                </w:tcPr>
                <w:p w14:paraId="226BAEBC" w14:textId="77777777" w:rsidR="00230F43" w:rsidRPr="005D4222" w:rsidRDefault="00230F43" w:rsidP="00A53E8C">
                  <w:pPr>
                    <w:pStyle w:val="TableText"/>
                    <w:rPr>
                      <w:rFonts w:eastAsia="Arial Narrow"/>
                    </w:rPr>
                  </w:pPr>
                </w:p>
              </w:tc>
              <w:tc>
                <w:tcPr>
                  <w:tcW w:w="1880" w:type="dxa"/>
                  <w:tcBorders>
                    <w:left w:val="single" w:sz="4" w:space="0" w:color="auto"/>
                    <w:bottom w:val="single" w:sz="4" w:space="0" w:color="auto"/>
                  </w:tcBorders>
                  <w:shd w:val="clear" w:color="auto" w:fill="FFFFFF" w:themeFill="background1"/>
                </w:tcPr>
                <w:p w14:paraId="181B1EEB" w14:textId="77777777" w:rsidR="00230F43" w:rsidRPr="005D4222" w:rsidRDefault="00230F43" w:rsidP="00A53E8C">
                  <w:pPr>
                    <w:pStyle w:val="TableText"/>
                    <w:rPr>
                      <w:rFonts w:eastAsia="Arial Narrow"/>
                    </w:rPr>
                  </w:pPr>
                  <w:r w:rsidRPr="005D4222">
                    <w:t>ObservedCount</w:t>
                  </w:r>
                </w:p>
              </w:tc>
              <w:tc>
                <w:tcPr>
                  <w:tcW w:w="3429" w:type="dxa"/>
                  <w:tcBorders>
                    <w:bottom w:val="single" w:sz="4" w:space="0" w:color="auto"/>
                  </w:tcBorders>
                  <w:shd w:val="clear" w:color="auto" w:fill="FFFFFF" w:themeFill="background1"/>
                </w:tcPr>
                <w:p w14:paraId="637DCED2" w14:textId="77777777" w:rsidR="00230F43" w:rsidRPr="005D4222" w:rsidRDefault="00230F43" w:rsidP="00A53E8C">
                  <w:pPr>
                    <w:pStyle w:val="TableText"/>
                    <w:rPr>
                      <w:rFonts w:eastAsia="Arial Narrow"/>
                    </w:rPr>
                  </w:pPr>
                  <w:r w:rsidRPr="005D4222">
                    <w:rPr>
                      <w:rFonts w:eastAsia="Arial Narrow"/>
                    </w:rPr>
                    <w:t xml:space="preserve">Report once </w:t>
                  </w:r>
                </w:p>
              </w:tc>
            </w:tr>
            <w:tr w:rsidR="00230F43" w:rsidRPr="005D4222" w14:paraId="24776F35" w14:textId="77777777" w:rsidTr="00A53E8C">
              <w:trPr>
                <w:cantSplit/>
                <w:trHeight w:val="300"/>
              </w:trPr>
              <w:tc>
                <w:tcPr>
                  <w:tcW w:w="2066" w:type="dxa"/>
                  <w:tcBorders>
                    <w:top w:val="nil"/>
                    <w:left w:val="nil"/>
                    <w:bottom w:val="nil"/>
                    <w:right w:val="single" w:sz="4" w:space="0" w:color="auto"/>
                  </w:tcBorders>
                  <w:vAlign w:val="bottom"/>
                </w:tcPr>
                <w:p w14:paraId="44479134" w14:textId="77777777" w:rsidR="00230F43" w:rsidRPr="005D4222" w:rsidRDefault="00230F43" w:rsidP="00A53E8C">
                  <w:pPr>
                    <w:pStyle w:val="TableText"/>
                    <w:rPr>
                      <w:rFonts w:eastAsia="Arial Narrow"/>
                    </w:rPr>
                  </w:pPr>
                </w:p>
              </w:tc>
              <w:tc>
                <w:tcPr>
                  <w:tcW w:w="1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89A6284" w14:textId="77777777" w:rsidR="00230F43" w:rsidRPr="005D4222" w:rsidRDefault="00230F43" w:rsidP="00A53E8C">
                  <w:pPr>
                    <w:pStyle w:val="TableText"/>
                    <w:rPr>
                      <w:rFonts w:eastAsia="Arial Narrow"/>
                    </w:rPr>
                  </w:pPr>
                  <w:r w:rsidRPr="005D4222">
                    <w:t>ObservedRate</w:t>
                  </w:r>
                </w:p>
              </w:tc>
              <w:tc>
                <w:tcPr>
                  <w:tcW w:w="342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C227A3" w14:textId="77777777" w:rsidR="00230F43" w:rsidRPr="005D4222" w:rsidRDefault="00230F43" w:rsidP="00A53E8C">
                  <w:pPr>
                    <w:pStyle w:val="TableText"/>
                    <w:rPr>
                      <w:rFonts w:eastAsia="Arial Narrow"/>
                    </w:rPr>
                  </w:pPr>
                  <w:r w:rsidRPr="005D4222">
                    <w:rPr>
                      <w:rFonts w:eastAsia="Arial Narrow"/>
                    </w:rPr>
                    <w:t>ObservedCount / Denominator (Percent)</w:t>
                  </w:r>
                </w:p>
              </w:tc>
            </w:tr>
            <w:tr w:rsidR="00230F43" w:rsidRPr="005D4222" w14:paraId="119C161C" w14:textId="77777777" w:rsidTr="00A53E8C">
              <w:trPr>
                <w:cantSplit/>
                <w:trHeight w:val="300"/>
              </w:trPr>
              <w:tc>
                <w:tcPr>
                  <w:tcW w:w="2066" w:type="dxa"/>
                  <w:tcBorders>
                    <w:top w:val="nil"/>
                    <w:left w:val="nil"/>
                    <w:bottom w:val="nil"/>
                    <w:right w:val="single" w:sz="4" w:space="0" w:color="auto"/>
                  </w:tcBorders>
                  <w:vAlign w:val="bottom"/>
                </w:tcPr>
                <w:p w14:paraId="14F219AD" w14:textId="77777777" w:rsidR="00230F43" w:rsidRPr="005D4222" w:rsidRDefault="00230F43" w:rsidP="00A53E8C">
                  <w:pPr>
                    <w:pStyle w:val="TableText"/>
                  </w:pPr>
                </w:p>
              </w:tc>
              <w:tc>
                <w:tcPr>
                  <w:tcW w:w="1880" w:type="dxa"/>
                  <w:tcBorders>
                    <w:top w:val="single" w:sz="4" w:space="0" w:color="auto"/>
                    <w:left w:val="single" w:sz="4" w:space="0" w:color="auto"/>
                    <w:bottom w:val="single" w:sz="4" w:space="0" w:color="auto"/>
                    <w:right w:val="single" w:sz="4" w:space="0" w:color="auto"/>
                  </w:tcBorders>
                  <w:shd w:val="clear" w:color="auto" w:fill="FFFFFF" w:themeFill="background1"/>
                </w:tcPr>
                <w:p w14:paraId="26CFB806" w14:textId="77777777" w:rsidR="00230F43" w:rsidRPr="005D4222" w:rsidRDefault="00230F43" w:rsidP="00A53E8C">
                  <w:pPr>
                    <w:pStyle w:val="TableText"/>
                    <w:rPr>
                      <w:rFonts w:eastAsia="Arial Narrow"/>
                    </w:rPr>
                  </w:pPr>
                  <w:r w:rsidRPr="005D4222">
                    <w:t>ExpectedCount</w:t>
                  </w:r>
                </w:p>
              </w:tc>
              <w:tc>
                <w:tcPr>
                  <w:tcW w:w="3429" w:type="dxa"/>
                  <w:tcBorders>
                    <w:top w:val="single" w:sz="4" w:space="0" w:color="auto"/>
                    <w:left w:val="single" w:sz="4" w:space="0" w:color="auto"/>
                    <w:bottom w:val="single" w:sz="4" w:space="0" w:color="auto"/>
                    <w:right w:val="single" w:sz="4" w:space="0" w:color="auto"/>
                  </w:tcBorders>
                  <w:shd w:val="clear" w:color="auto" w:fill="FFFFFF" w:themeFill="background1"/>
                </w:tcPr>
                <w:p w14:paraId="09D37E2C" w14:textId="77777777" w:rsidR="00230F43" w:rsidRPr="005D4222" w:rsidRDefault="00230F43" w:rsidP="00A53E8C">
                  <w:pPr>
                    <w:pStyle w:val="TableText"/>
                    <w:rPr>
                      <w:rFonts w:eastAsia="Arial Narrow"/>
                    </w:rPr>
                  </w:pPr>
                  <w:r w:rsidRPr="005D4222">
                    <w:rPr>
                      <w:rFonts w:eastAsia="Arial Narrow"/>
                    </w:rPr>
                    <w:t xml:space="preserve">Report once </w:t>
                  </w:r>
                </w:p>
              </w:tc>
            </w:tr>
            <w:tr w:rsidR="00230F43" w:rsidRPr="005D4222" w14:paraId="6079330F" w14:textId="77777777" w:rsidTr="00A53E8C">
              <w:trPr>
                <w:cantSplit/>
                <w:trHeight w:val="300"/>
              </w:trPr>
              <w:tc>
                <w:tcPr>
                  <w:tcW w:w="2066" w:type="dxa"/>
                  <w:tcBorders>
                    <w:top w:val="nil"/>
                    <w:left w:val="nil"/>
                    <w:bottom w:val="nil"/>
                    <w:right w:val="nil"/>
                  </w:tcBorders>
                  <w:vAlign w:val="bottom"/>
                </w:tcPr>
                <w:p w14:paraId="2C08E586" w14:textId="77777777" w:rsidR="00230F43" w:rsidRPr="005D4222" w:rsidRDefault="00230F43" w:rsidP="00A53E8C">
                  <w:pPr>
                    <w:pStyle w:val="TableText"/>
                  </w:pPr>
                </w:p>
              </w:tc>
              <w:tc>
                <w:tcPr>
                  <w:tcW w:w="1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C5A05BE" w14:textId="77777777" w:rsidR="00230F43" w:rsidRPr="005D4222" w:rsidRDefault="00230F43" w:rsidP="00A53E8C">
                  <w:pPr>
                    <w:pStyle w:val="TableText"/>
                  </w:pPr>
                  <w:r w:rsidRPr="005D4222">
                    <w:t>ExpectedRate</w:t>
                  </w:r>
                </w:p>
              </w:tc>
              <w:tc>
                <w:tcPr>
                  <w:tcW w:w="342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49B2F7A" w14:textId="77777777" w:rsidR="00230F43" w:rsidRPr="005D4222" w:rsidRDefault="00230F43" w:rsidP="00A53E8C">
                  <w:pPr>
                    <w:pStyle w:val="TableText"/>
                    <w:rPr>
                      <w:rFonts w:eastAsia="Arial Narrow"/>
                    </w:rPr>
                  </w:pPr>
                  <w:r w:rsidRPr="005D4222">
                    <w:rPr>
                      <w:rFonts w:eastAsia="Arial Narrow"/>
                    </w:rPr>
                    <w:t>ExpectedCount / Denominator (Percent)</w:t>
                  </w:r>
                </w:p>
              </w:tc>
            </w:tr>
            <w:tr w:rsidR="00230F43" w:rsidRPr="005D4222" w14:paraId="7FB4A5D6" w14:textId="77777777" w:rsidTr="00A53E8C">
              <w:trPr>
                <w:cantSplit/>
                <w:trHeight w:val="300"/>
              </w:trPr>
              <w:tc>
                <w:tcPr>
                  <w:tcW w:w="2066" w:type="dxa"/>
                  <w:tcBorders>
                    <w:top w:val="nil"/>
                    <w:left w:val="nil"/>
                    <w:bottom w:val="nil"/>
                    <w:right w:val="nil"/>
                  </w:tcBorders>
                  <w:vAlign w:val="bottom"/>
                </w:tcPr>
                <w:p w14:paraId="24A8BB31" w14:textId="77777777" w:rsidR="00230F43" w:rsidRPr="005D4222" w:rsidRDefault="00230F43" w:rsidP="00A53E8C">
                  <w:pPr>
                    <w:pStyle w:val="TableText"/>
                  </w:pPr>
                </w:p>
              </w:tc>
              <w:tc>
                <w:tcPr>
                  <w:tcW w:w="1880" w:type="dxa"/>
                  <w:tcBorders>
                    <w:top w:val="single" w:sz="4" w:space="0" w:color="auto"/>
                    <w:left w:val="single" w:sz="4" w:space="0" w:color="auto"/>
                    <w:bottom w:val="single" w:sz="4" w:space="0" w:color="auto"/>
                    <w:right w:val="single" w:sz="4" w:space="0" w:color="auto"/>
                  </w:tcBorders>
                  <w:shd w:val="clear" w:color="auto" w:fill="FFFFFF" w:themeFill="background1"/>
                </w:tcPr>
                <w:p w14:paraId="7821FA20" w14:textId="77777777" w:rsidR="00230F43" w:rsidRPr="005D4222" w:rsidRDefault="00230F43" w:rsidP="00A53E8C">
                  <w:pPr>
                    <w:pStyle w:val="TableText"/>
                  </w:pPr>
                  <w:r w:rsidRPr="005D4222">
                    <w:t>CountVariance</w:t>
                  </w:r>
                </w:p>
              </w:tc>
              <w:tc>
                <w:tcPr>
                  <w:tcW w:w="3429" w:type="dxa"/>
                  <w:tcBorders>
                    <w:top w:val="single" w:sz="4" w:space="0" w:color="auto"/>
                    <w:left w:val="single" w:sz="4" w:space="0" w:color="auto"/>
                    <w:bottom w:val="single" w:sz="4" w:space="0" w:color="auto"/>
                    <w:right w:val="single" w:sz="4" w:space="0" w:color="auto"/>
                  </w:tcBorders>
                  <w:shd w:val="clear" w:color="auto" w:fill="FFFFFF" w:themeFill="background1"/>
                </w:tcPr>
                <w:p w14:paraId="4A8587B9" w14:textId="77777777" w:rsidR="00230F43" w:rsidRPr="005D4222" w:rsidRDefault="00230F43" w:rsidP="00A53E8C">
                  <w:pPr>
                    <w:pStyle w:val="TableText"/>
                    <w:rPr>
                      <w:rFonts w:eastAsia="Arial Narrow"/>
                    </w:rPr>
                  </w:pPr>
                  <w:r w:rsidRPr="005D4222">
                    <w:rPr>
                      <w:rFonts w:eastAsia="Arial Narrow"/>
                    </w:rPr>
                    <w:t xml:space="preserve">Report once </w:t>
                  </w:r>
                </w:p>
              </w:tc>
            </w:tr>
            <w:tr w:rsidR="00230F43" w:rsidRPr="005D4222" w14:paraId="03C47CA8" w14:textId="77777777" w:rsidTr="00A53E8C">
              <w:trPr>
                <w:cantSplit/>
                <w:trHeight w:val="300"/>
              </w:trPr>
              <w:tc>
                <w:tcPr>
                  <w:tcW w:w="2066" w:type="dxa"/>
                  <w:tcBorders>
                    <w:top w:val="nil"/>
                    <w:left w:val="nil"/>
                    <w:bottom w:val="nil"/>
                    <w:right w:val="nil"/>
                  </w:tcBorders>
                  <w:vAlign w:val="bottom"/>
                </w:tcPr>
                <w:p w14:paraId="504AF695" w14:textId="77777777" w:rsidR="00230F43" w:rsidRPr="005D4222" w:rsidRDefault="00230F43" w:rsidP="00A53E8C">
                  <w:pPr>
                    <w:pStyle w:val="TableText"/>
                  </w:pPr>
                </w:p>
              </w:tc>
              <w:tc>
                <w:tcPr>
                  <w:tcW w:w="1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6E28513" w14:textId="77777777" w:rsidR="00230F43" w:rsidRPr="005D4222" w:rsidRDefault="00230F43" w:rsidP="00A53E8C">
                  <w:pPr>
                    <w:pStyle w:val="TableText"/>
                  </w:pPr>
                  <w:r w:rsidRPr="005D4222">
                    <w:t>OE</w:t>
                  </w:r>
                </w:p>
              </w:tc>
              <w:tc>
                <w:tcPr>
                  <w:tcW w:w="342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1806AB" w14:textId="77777777" w:rsidR="00230F43" w:rsidRPr="005D4222" w:rsidRDefault="00230F43" w:rsidP="00A53E8C">
                  <w:pPr>
                    <w:pStyle w:val="TableText"/>
                    <w:rPr>
                      <w:rFonts w:eastAsia="Arial Narrow"/>
                    </w:rPr>
                  </w:pPr>
                  <w:r w:rsidRPr="005D4222">
                    <w:rPr>
                      <w:rFonts w:eastAsia="Arial Narrow"/>
                    </w:rPr>
                    <w:t>ObservedCount / ExpectedCount</w:t>
                  </w:r>
                </w:p>
              </w:tc>
            </w:tr>
          </w:tbl>
          <w:p w14:paraId="23EEE4CB" w14:textId="77777777" w:rsidR="00230F43" w:rsidRPr="005D4222" w:rsidRDefault="00230F43" w:rsidP="00A53E8C">
            <w:pPr>
              <w:pStyle w:val="ECDSBody"/>
              <w:rPr>
                <w:rFonts w:eastAsiaTheme="minorEastAsia"/>
                <w:b/>
                <w:bCs w:val="0"/>
              </w:rPr>
            </w:pPr>
          </w:p>
        </w:tc>
      </w:tr>
      <w:tr w:rsidR="00230F43" w:rsidRPr="005D4222" w14:paraId="0049B9E6"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1B19E36" w14:textId="77777777" w:rsidR="00230F43" w:rsidRPr="005D4222" w:rsidRDefault="00230F43" w:rsidP="00A53E8C">
            <w:pPr>
              <w:pStyle w:val="ECDSMarginHead"/>
            </w:pPr>
            <w:r w:rsidRPr="005D4222">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9280B64" w14:textId="1740B439" w:rsidR="00A13302" w:rsidRPr="005D4222" w:rsidRDefault="00230F43" w:rsidP="00A13302">
            <w:pPr>
              <w:pStyle w:val="ECDSBody"/>
            </w:pPr>
            <w:r w:rsidRPr="005D4222">
              <w:rPr>
                <w:b/>
                <w:i/>
                <w:iCs/>
              </w:rPr>
              <w:t xml:space="preserve">Copyright and use: </w:t>
            </w:r>
            <w:r w:rsidRPr="005D4222">
              <w:t xml:space="preserve">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tc>
      </w:tr>
      <w:tr w:rsidR="00230F43" w:rsidRPr="005D4222" w14:paraId="10265E37"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76D535F" w14:textId="77777777" w:rsidR="00230F43" w:rsidRPr="005D4222" w:rsidRDefault="00230F43"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E5A7C44" w14:textId="77777777" w:rsidR="00A13302" w:rsidRPr="005D4222" w:rsidRDefault="00A13302" w:rsidP="00A13302">
            <w:pPr>
              <w:pStyle w:val="ECDSBody"/>
              <w:rPr>
                <w:b/>
                <w:bCs w:val="0"/>
              </w:rPr>
            </w:pPr>
            <w:r w:rsidRPr="005D4222">
              <w:rPr>
                <w:b/>
                <w:bCs w:val="0"/>
              </w:rPr>
              <w:t xml:space="preserve">Adjusted HEDIS measures </w:t>
            </w:r>
            <w:r w:rsidRPr="005D4222">
              <w:rPr>
                <w:b/>
                <w:bCs w:val="0"/>
                <w:i/>
                <w:iCs/>
              </w:rPr>
              <w:t>may not</w:t>
            </w:r>
            <w:r w:rsidRPr="005D4222">
              <w:rPr>
                <w:b/>
                <w:bCs w:val="0"/>
              </w:rPr>
              <w:t xml:space="preserve"> be used for HEDIS health plan reporting. </w:t>
            </w:r>
          </w:p>
          <w:p w14:paraId="005E211C" w14:textId="77777777" w:rsidR="00A13302" w:rsidRPr="005D4222" w:rsidRDefault="00A13302" w:rsidP="00A13302">
            <w:pPr>
              <w:pStyle w:val="ECDSBody"/>
            </w:pPr>
            <w:r w:rsidRPr="005D4222">
              <w:t xml:space="preserve">The measures under the Risk Adjusted Utilization domain allow two types of </w:t>
            </w:r>
            <w:r w:rsidRPr="005D4222">
              <w:rPr>
                <w:i/>
                <w:iCs/>
              </w:rPr>
              <w:t>Rules for Allowable Adjustments</w:t>
            </w:r>
            <w:r w:rsidRPr="005D4222">
              <w:t xml:space="preserve"> sections:</w:t>
            </w:r>
          </w:p>
          <w:p w14:paraId="3628F1EF" w14:textId="12B4812B" w:rsidR="00A13302" w:rsidRPr="005D4222" w:rsidRDefault="00A13302" w:rsidP="00A13302">
            <w:pPr>
              <w:pStyle w:val="Body"/>
              <w:spacing w:before="120"/>
              <w:ind w:left="648" w:hanging="288"/>
            </w:pPr>
            <w:r w:rsidRPr="005D4222">
              <w:t>1.</w:t>
            </w:r>
            <w:r w:rsidRPr="005D4222">
              <w:tab/>
            </w:r>
            <w:r w:rsidRPr="005D4222">
              <w:rPr>
                <w:i/>
                <w:iCs/>
              </w:rPr>
              <w:t xml:space="preserve">Rules for Allowable Adjustments for Risk-Adjusted Measurement. </w:t>
            </w:r>
            <w:r w:rsidRPr="005D4222">
              <w:t xml:space="preserve">This section must be followed for adjustments when calculating the full measure specifications, which includes all risk adjusted rates (expected rates, risk adjustment, O/E) and calculation components (count of index stays, observed events). </w:t>
            </w:r>
          </w:p>
          <w:p w14:paraId="5BD63198" w14:textId="77777777" w:rsidR="00A13302" w:rsidRPr="005D4222" w:rsidRDefault="00A13302" w:rsidP="00A13302">
            <w:pPr>
              <w:pStyle w:val="Body"/>
              <w:spacing w:before="120"/>
              <w:ind w:left="648" w:hanging="288"/>
            </w:pPr>
            <w:r w:rsidRPr="005D4222">
              <w:t>2.</w:t>
            </w:r>
            <w:r w:rsidRPr="005D4222">
              <w:tab/>
            </w:r>
            <w:r w:rsidRPr="005D4222">
              <w:rPr>
                <w:i/>
                <w:iCs/>
              </w:rPr>
              <w:t xml:space="preserve">Rules for Allowable Adjustments for Observed Measurement (rates without risk adjustment). </w:t>
            </w:r>
            <w:r w:rsidRPr="005D4222">
              <w:t>This section must be followed when adjusting the calculation of observed events only. When applying these adjustments, organizations must not include risk adjustment logic.</w:t>
            </w:r>
          </w:p>
          <w:p w14:paraId="43397F4B" w14:textId="77777777" w:rsidR="00A13302" w:rsidRPr="005D4222" w:rsidRDefault="00A13302" w:rsidP="00A13302">
            <w:pPr>
              <w:pStyle w:val="ECDSBody"/>
            </w:pPr>
            <w:r w:rsidRPr="005D4222">
              <w:t>The intent of including two types of Rules is to allow organizations to adjust measures without compromising measure validity. Risk adjustment is based on statistical prediction models specifically calibrated to each measure.</w:t>
            </w:r>
          </w:p>
          <w:p w14:paraId="0FD52961" w14:textId="4266B431" w:rsidR="00A13302" w:rsidRPr="005D4222" w:rsidRDefault="00A13302" w:rsidP="00A13302">
            <w:pPr>
              <w:pStyle w:val="ECDSBody"/>
              <w:rPr>
                <w:b/>
                <w:bCs w:val="0"/>
              </w:rPr>
            </w:pPr>
            <w:r w:rsidRPr="005D4222">
              <w:rPr>
                <w:b/>
                <w:bCs w:val="0"/>
              </w:rPr>
              <w:t xml:space="preserve">The following </w:t>
            </w:r>
            <w:r w:rsidR="00BA26FF" w:rsidRPr="005D4222">
              <w:rPr>
                <w:b/>
                <w:bCs w:val="0"/>
              </w:rPr>
              <w:t>are</w:t>
            </w:r>
            <w:r w:rsidRPr="005D4222">
              <w:rPr>
                <w:b/>
                <w:bCs w:val="0"/>
              </w:rPr>
              <w:t xml:space="preserve"> the Rules for Allowable Adjustments for Risk-Adjusted Measurement of the </w:t>
            </w:r>
            <w:r w:rsidR="00114134" w:rsidRPr="005D4222">
              <w:rPr>
                <w:b/>
                <w:bCs w:val="0"/>
              </w:rPr>
              <w:t>Acute Hospitalizations Following</w:t>
            </w:r>
            <w:r w:rsidRPr="005D4222">
              <w:rPr>
                <w:b/>
                <w:bCs w:val="0"/>
              </w:rPr>
              <w:t xml:space="preserve"> Outpatient Urologic Surgery measure (expected hospitalization rate, risk adjustment determination, risk adjustment weighting, variance, O/E ratio).</w:t>
            </w:r>
          </w:p>
          <w:p w14:paraId="28241A70" w14:textId="77777777" w:rsidR="00230F43" w:rsidRPr="005D4222" w:rsidRDefault="00230F43" w:rsidP="00A13302">
            <w:pPr>
              <w:pStyle w:val="Adjustments"/>
              <w:rPr>
                <w:b w:val="0"/>
              </w:rPr>
            </w:pPr>
            <w:r w:rsidRPr="005D4222">
              <w:t>Adjustments</w:t>
            </w:r>
            <w:r w:rsidRPr="005D4222">
              <w:rPr>
                <w:bCs/>
              </w:rPr>
              <w:t xml:space="preserve"> a</w:t>
            </w:r>
            <w:r w:rsidRPr="005D4222">
              <w:t>llowed</w:t>
            </w:r>
          </w:p>
          <w:p w14:paraId="0C170206" w14:textId="5E78FAD1" w:rsidR="00230F43" w:rsidRPr="005D4222" w:rsidRDefault="00362E76" w:rsidP="005D6173">
            <w:pPr>
              <w:pStyle w:val="ProcessBullet"/>
              <w:numPr>
                <w:ilvl w:val="0"/>
                <w:numId w:val="77"/>
              </w:numPr>
              <w:tabs>
                <w:tab w:val="left" w:pos="216"/>
              </w:tabs>
              <w:ind w:left="216" w:hanging="216"/>
              <w:rPr>
                <w:b/>
                <w:bCs/>
                <w:color w:val="000000" w:themeColor="text1"/>
              </w:rPr>
            </w:pPr>
            <w:r w:rsidRPr="005D4222">
              <w:rPr>
                <w:i/>
                <w:iCs/>
              </w:rPr>
              <w:t>Benefits.</w:t>
            </w:r>
            <w:r w:rsidR="00230F43" w:rsidRPr="005D4222">
              <w:t xml:space="preserve"> Organizations are not required to use a benefit.</w:t>
            </w:r>
          </w:p>
          <w:p w14:paraId="69B550A8" w14:textId="162C5751" w:rsidR="00230F43" w:rsidRPr="005D4222" w:rsidRDefault="00230F43" w:rsidP="00230F43">
            <w:pPr>
              <w:pStyle w:val="ProcessBullet"/>
              <w:tabs>
                <w:tab w:val="left" w:pos="216"/>
                <w:tab w:val="num" w:pos="720"/>
              </w:tabs>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w:t>
            </w:r>
            <w:r w:rsidR="00F45777" w:rsidRPr="005D4222">
              <w:t>events</w:t>
            </w:r>
            <w:r w:rsidRPr="005D4222">
              <w:t>, numerators and exclusions that do not allow the use of telehealth.</w:t>
            </w:r>
          </w:p>
          <w:p w14:paraId="6BE42AE0" w14:textId="77777777" w:rsidR="00230F43" w:rsidRPr="005D4222" w:rsidRDefault="00230F43" w:rsidP="00A13302">
            <w:pPr>
              <w:pStyle w:val="Adjustments"/>
            </w:pPr>
            <w:r w:rsidRPr="005D4222">
              <w:t xml:space="preserve">Adjustments </w:t>
            </w:r>
            <w:r w:rsidRPr="005D4222">
              <w:rPr>
                <w:bCs/>
              </w:rPr>
              <w:t>a</w:t>
            </w:r>
            <w:r w:rsidRPr="005D4222">
              <w:t xml:space="preserve">llowed with </w:t>
            </w:r>
            <w:r w:rsidRPr="005D4222">
              <w:rPr>
                <w:bCs/>
              </w:rPr>
              <w:t>l</w:t>
            </w:r>
            <w:r w:rsidRPr="005D4222">
              <w:t>imits</w:t>
            </w:r>
          </w:p>
          <w:p w14:paraId="2B4DB828" w14:textId="1413FA26" w:rsidR="00230F43" w:rsidRPr="005D4222" w:rsidRDefault="00230F43" w:rsidP="005D6173">
            <w:pPr>
              <w:pStyle w:val="ProcessBullet"/>
              <w:numPr>
                <w:ilvl w:val="0"/>
                <w:numId w:val="77"/>
              </w:numPr>
              <w:tabs>
                <w:tab w:val="left" w:pos="216"/>
              </w:tabs>
              <w:ind w:left="216" w:hanging="216"/>
              <w:rPr>
                <w:color w:val="000000" w:themeColor="text1"/>
              </w:rPr>
            </w:pPr>
            <w:r w:rsidRPr="005D4222">
              <w:rPr>
                <w:i/>
                <w:iCs/>
                <w:color w:val="000000" w:themeColor="text1"/>
              </w:rPr>
              <w:t xml:space="preserve">Other. </w:t>
            </w:r>
            <w:r w:rsidRPr="005D4222">
              <w:rPr>
                <w:color w:val="000000" w:themeColor="text1"/>
              </w:rPr>
              <w:t xml:space="preserve">Organizations may only adjust the </w:t>
            </w:r>
            <w:r w:rsidR="00524BFF" w:rsidRPr="005D4222">
              <w:t>initial</w:t>
            </w:r>
            <w:r w:rsidRPr="005D4222">
              <w:t xml:space="preserve"> </w:t>
            </w:r>
            <w:r w:rsidRPr="005D4222">
              <w:rPr>
                <w:color w:val="000000" w:themeColor="text1"/>
              </w:rPr>
              <w:t xml:space="preserve">population criteria to focus on an area of interest defined by gender, sociodemographic characteristics or geographical region. NCQA recommends evaluating risk model performance and validity within adjusted populations. Organizations may not adjust for a clinical subpopulation (e.g., </w:t>
            </w:r>
            <w:r w:rsidR="00CE4404" w:rsidRPr="005D4222">
              <w:rPr>
                <w:color w:val="000000" w:themeColor="text1"/>
              </w:rPr>
              <w:t>persons</w:t>
            </w:r>
            <w:r w:rsidRPr="005D4222">
              <w:rPr>
                <w:color w:val="000000" w:themeColor="text1"/>
              </w:rPr>
              <w:t xml:space="preserve"> with a diabetes diagnosis).</w:t>
            </w:r>
          </w:p>
          <w:p w14:paraId="5F9E95D8" w14:textId="77777777" w:rsidR="00230F43" w:rsidRPr="005D4222" w:rsidRDefault="00230F43" w:rsidP="005D6173">
            <w:pPr>
              <w:pStyle w:val="ProcessBullet"/>
              <w:numPr>
                <w:ilvl w:val="0"/>
                <w:numId w:val="77"/>
              </w:numPr>
              <w:tabs>
                <w:tab w:val="left" w:pos="216"/>
              </w:tabs>
              <w:spacing w:after="80"/>
              <w:ind w:left="216" w:hanging="216"/>
              <w:rPr>
                <w:b/>
                <w:bCs/>
                <w:color w:val="000000" w:themeColor="text1"/>
              </w:rPr>
            </w:pPr>
            <w:r w:rsidRPr="005D4222">
              <w:rPr>
                <w:i/>
                <w:iCs/>
              </w:rPr>
              <w:t>Measurement period adjustments.</w:t>
            </w:r>
            <w:r w:rsidRPr="005D4222">
              <w:t xml:space="preserve"> Organizations may only change the measurement period by 1 year.</w:t>
            </w:r>
          </w:p>
          <w:p w14:paraId="61E76BF7" w14:textId="77777777" w:rsidR="00230F43" w:rsidRPr="005D4222" w:rsidRDefault="00230F43" w:rsidP="005D6173">
            <w:pPr>
              <w:pStyle w:val="ProcessBullet"/>
              <w:numPr>
                <w:ilvl w:val="0"/>
                <w:numId w:val="77"/>
              </w:numPr>
              <w:tabs>
                <w:tab w:val="left" w:pos="216"/>
              </w:tabs>
              <w:spacing w:after="80"/>
              <w:ind w:left="216" w:hanging="216"/>
              <w:rPr>
                <w:rFonts w:cs="Arial"/>
                <w:i/>
                <w:iCs/>
              </w:rPr>
            </w:pPr>
            <w:r w:rsidRPr="005D4222">
              <w:rPr>
                <w:rFonts w:cs="Arial"/>
                <w:i/>
                <w:iCs/>
              </w:rPr>
              <w:t>Denominator.</w:t>
            </w:r>
            <w:r w:rsidRPr="005D4222">
              <w:rPr>
                <w:iCs/>
              </w:rPr>
              <w:t xml:space="preserve"> Organizations may include denied claims to calculate denominator events.</w:t>
            </w:r>
            <w:r w:rsidRPr="005D4222">
              <w:rPr>
                <w:i/>
              </w:rPr>
              <w:t xml:space="preserve"> </w:t>
            </w:r>
            <w:r w:rsidRPr="005D4222">
              <w:t>Value sets and logic may not be changed.</w:t>
            </w:r>
          </w:p>
          <w:p w14:paraId="0625BD2C" w14:textId="77777777" w:rsidR="00230F43" w:rsidRPr="005D4222" w:rsidRDefault="00230F43" w:rsidP="005D6173">
            <w:pPr>
              <w:pStyle w:val="ProcessBullet"/>
              <w:numPr>
                <w:ilvl w:val="0"/>
                <w:numId w:val="77"/>
              </w:numPr>
              <w:tabs>
                <w:tab w:val="left" w:pos="216"/>
              </w:tabs>
              <w:spacing w:after="80"/>
              <w:ind w:left="216" w:hanging="216"/>
              <w:rPr>
                <w:rFonts w:cs="Arial"/>
              </w:rPr>
            </w:pPr>
            <w:r w:rsidRPr="005D4222">
              <w:rPr>
                <w:rFonts w:cs="Arial"/>
                <w:i/>
                <w:iCs/>
              </w:rPr>
              <w:t xml:space="preserve">Risk adjustment determination, risk adjustment weighting, expected hospitalizations, variance. </w:t>
            </w:r>
            <w:r w:rsidRPr="005D4222">
              <w:rPr>
                <w:rFonts w:cs="Arial"/>
              </w:rPr>
              <w:t>Organizations may include denied claims to calculate these events.</w:t>
            </w:r>
            <w:r w:rsidRPr="005D4222">
              <w:t xml:space="preserve"> </w:t>
            </w:r>
            <w:r w:rsidRPr="005D4222">
              <w:rPr>
                <w:rFonts w:cs="Arial"/>
              </w:rPr>
              <w:t>Risk adjustment determinations, weighting and calculations of expected events logic may not be changed.</w:t>
            </w:r>
          </w:p>
          <w:p w14:paraId="729D1B1F" w14:textId="10D8C574" w:rsidR="00A13302" w:rsidRPr="005D4222" w:rsidRDefault="00230F43" w:rsidP="005D6173">
            <w:pPr>
              <w:pStyle w:val="ProcessBullet"/>
              <w:numPr>
                <w:ilvl w:val="0"/>
                <w:numId w:val="77"/>
              </w:numPr>
              <w:tabs>
                <w:tab w:val="left" w:pos="216"/>
              </w:tabs>
              <w:spacing w:after="80"/>
              <w:ind w:left="216" w:hanging="216"/>
              <w:rPr>
                <w:b/>
                <w:i/>
                <w:iCs/>
              </w:rPr>
            </w:pPr>
            <w:r w:rsidRPr="005D4222">
              <w:rPr>
                <w:i/>
              </w:rPr>
              <w:t xml:space="preserve">Numerator. </w:t>
            </w:r>
            <w:r w:rsidRPr="005D4222">
              <w:rPr>
                <w:iCs/>
              </w:rPr>
              <w:t>Organizations may include denied claims to calculate the numerator.</w:t>
            </w:r>
            <w:r w:rsidRPr="005D4222">
              <w:rPr>
                <w:i/>
              </w:rPr>
              <w:t xml:space="preserve"> </w:t>
            </w:r>
            <w:r w:rsidRPr="005D4222">
              <w:t>Value sets and logic may not be changed.</w:t>
            </w:r>
          </w:p>
        </w:tc>
      </w:tr>
    </w:tbl>
    <w:p w14:paraId="671BB0E1" w14:textId="77777777" w:rsidR="00A13302" w:rsidRPr="005D4222" w:rsidRDefault="00A13302"/>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A13302" w:rsidRPr="005D4222" w14:paraId="32C1E1F3"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4DDC651" w14:textId="77777777" w:rsidR="00A13302" w:rsidRPr="005D4222" w:rsidRDefault="00A13302"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CEBB7FB" w14:textId="77777777" w:rsidR="00A13302" w:rsidRPr="005D4222" w:rsidRDefault="00A13302" w:rsidP="00A13302">
            <w:pPr>
              <w:pStyle w:val="Adjustments"/>
              <w:spacing w:before="120"/>
              <w:rPr>
                <w:b w:val="0"/>
              </w:rPr>
            </w:pPr>
            <w:r w:rsidRPr="005D4222">
              <w:t xml:space="preserve">Adjustments </w:t>
            </w:r>
            <w:r w:rsidRPr="005D4222">
              <w:rPr>
                <w:bCs/>
              </w:rPr>
              <w:t>not allowed</w:t>
            </w:r>
          </w:p>
          <w:p w14:paraId="29FE0B0D" w14:textId="77777777" w:rsidR="00A13302" w:rsidRPr="005D4222" w:rsidRDefault="00A13302" w:rsidP="005D6173">
            <w:pPr>
              <w:pStyle w:val="ProcessBullet"/>
              <w:numPr>
                <w:ilvl w:val="0"/>
                <w:numId w:val="77"/>
              </w:numPr>
              <w:tabs>
                <w:tab w:val="left" w:pos="216"/>
              </w:tabs>
              <w:ind w:left="216" w:hanging="216"/>
              <w:rPr>
                <w:b/>
                <w:bCs/>
                <w:color w:val="000000" w:themeColor="text1"/>
              </w:rPr>
            </w:pPr>
            <w:r w:rsidRPr="005D4222">
              <w:rPr>
                <w:i/>
                <w:iCs/>
              </w:rPr>
              <w:t xml:space="preserve">Product lines. </w:t>
            </w:r>
            <w:r w:rsidRPr="005D4222">
              <w:t>Organizations may not adjust product lines.</w:t>
            </w:r>
          </w:p>
          <w:p w14:paraId="11FACDAA" w14:textId="77777777" w:rsidR="00A13302" w:rsidRPr="005D4222" w:rsidRDefault="00A13302" w:rsidP="005D6173">
            <w:pPr>
              <w:pStyle w:val="ProcessBullet"/>
              <w:numPr>
                <w:ilvl w:val="0"/>
                <w:numId w:val="77"/>
              </w:numPr>
              <w:tabs>
                <w:tab w:val="left" w:pos="216"/>
              </w:tabs>
              <w:ind w:left="216" w:hanging="216"/>
              <w:rPr>
                <w:b/>
                <w:bCs/>
                <w:color w:val="000000" w:themeColor="text1"/>
              </w:rPr>
            </w:pPr>
            <w:r w:rsidRPr="005D4222">
              <w:rPr>
                <w:i/>
                <w:iCs/>
              </w:rPr>
              <w:t>Attribution.</w:t>
            </w:r>
            <w:r w:rsidRPr="005D4222">
              <w:t xml:space="preserve"> Organizations are required to use enrollment criteria. </w:t>
            </w:r>
          </w:p>
          <w:p w14:paraId="5DB0A15D" w14:textId="77777777" w:rsidR="00A13302" w:rsidRPr="005D4222" w:rsidRDefault="00A13302" w:rsidP="005D6173">
            <w:pPr>
              <w:pStyle w:val="ProcessBullet"/>
              <w:numPr>
                <w:ilvl w:val="0"/>
                <w:numId w:val="77"/>
              </w:numPr>
              <w:tabs>
                <w:tab w:val="left" w:pos="216"/>
              </w:tabs>
              <w:ind w:left="216" w:hanging="216"/>
              <w:rPr>
                <w:b/>
                <w:bCs/>
                <w:color w:val="000000" w:themeColor="text1"/>
              </w:rPr>
            </w:pPr>
            <w:r w:rsidRPr="005D4222">
              <w:rPr>
                <w:i/>
                <w:iCs/>
                <w:color w:val="000000" w:themeColor="text1"/>
              </w:rPr>
              <w:t>Ages</w:t>
            </w:r>
            <w:r w:rsidRPr="005D4222">
              <w:rPr>
                <w:color w:val="000000" w:themeColor="text1"/>
              </w:rPr>
              <w:t>. The age determination dates may not be changed.</w:t>
            </w:r>
          </w:p>
          <w:p w14:paraId="5C2B45E0" w14:textId="77777777" w:rsidR="00A13302" w:rsidRPr="005D4222" w:rsidRDefault="00A13302" w:rsidP="005D6173">
            <w:pPr>
              <w:pStyle w:val="ProcessBullet"/>
              <w:numPr>
                <w:ilvl w:val="0"/>
                <w:numId w:val="77"/>
              </w:numPr>
              <w:tabs>
                <w:tab w:val="left" w:pos="216"/>
              </w:tabs>
              <w:ind w:left="216" w:hanging="216"/>
              <w:rPr>
                <w:color w:val="000000" w:themeColor="text1"/>
              </w:rPr>
            </w:pPr>
            <w:r w:rsidRPr="005D4222">
              <w:rPr>
                <w:i/>
                <w:iCs/>
                <w:color w:val="000000" w:themeColor="text1"/>
              </w:rPr>
              <w:t>Supplemental data.</w:t>
            </w:r>
            <w:r w:rsidRPr="005D4222">
              <w:rPr>
                <w:color w:val="000000" w:themeColor="text1"/>
              </w:rPr>
              <w:t xml:space="preserve"> Supplemental data may not be used to identify initial population, denominator, exclusion and numerator events.</w:t>
            </w:r>
          </w:p>
          <w:p w14:paraId="03247B18" w14:textId="77777777" w:rsidR="00A13302" w:rsidRPr="005D4222" w:rsidRDefault="00A13302" w:rsidP="005D6173">
            <w:pPr>
              <w:pStyle w:val="ProcessBullet"/>
              <w:numPr>
                <w:ilvl w:val="0"/>
                <w:numId w:val="77"/>
              </w:numPr>
              <w:tabs>
                <w:tab w:val="left" w:pos="216"/>
              </w:tabs>
              <w:ind w:left="216" w:hanging="216"/>
              <w:rPr>
                <w:b/>
                <w:bCs/>
                <w:color w:val="000000" w:themeColor="text1"/>
              </w:rPr>
            </w:pPr>
            <w:r w:rsidRPr="005D4222">
              <w:rPr>
                <w:i/>
              </w:rPr>
              <w:t>Exclusions.</w:t>
            </w:r>
            <w:r w:rsidRPr="005D4222">
              <w:t xml:space="preserve"> The hospice exclusion must be applied. Logic may not be changed.</w:t>
            </w:r>
          </w:p>
          <w:p w14:paraId="2992FD98" w14:textId="34BE09EE" w:rsidR="00A13302" w:rsidRPr="005D4222" w:rsidRDefault="00A13302" w:rsidP="00A13302">
            <w:pPr>
              <w:pStyle w:val="ECDSBody"/>
              <w:rPr>
                <w:b/>
                <w:bCs w:val="0"/>
              </w:rPr>
            </w:pPr>
            <w:r w:rsidRPr="005D4222">
              <w:rPr>
                <w:b/>
                <w:bCs w:val="0"/>
              </w:rPr>
              <w:t xml:space="preserve">The following </w:t>
            </w:r>
            <w:r w:rsidR="00BA26FF" w:rsidRPr="005D4222">
              <w:rPr>
                <w:b/>
                <w:bCs w:val="0"/>
              </w:rPr>
              <w:t>are</w:t>
            </w:r>
            <w:r w:rsidRPr="005D4222">
              <w:rPr>
                <w:b/>
                <w:bCs w:val="0"/>
              </w:rPr>
              <w:t xml:space="preserve"> the Rules for Allowable Adjustments for Observed Measurement of the </w:t>
            </w:r>
            <w:r w:rsidR="00114134" w:rsidRPr="005D4222">
              <w:rPr>
                <w:b/>
                <w:bCs w:val="0"/>
              </w:rPr>
              <w:t>Acute Hospitalizations Following</w:t>
            </w:r>
            <w:r w:rsidRPr="005D4222">
              <w:rPr>
                <w:b/>
                <w:bCs w:val="0"/>
              </w:rPr>
              <w:t xml:space="preserve"> Outpatient Urologic Surgery measure observed events</w:t>
            </w:r>
            <w:r w:rsidRPr="005D4222" w:rsidDel="000F4B53">
              <w:rPr>
                <w:b/>
                <w:bCs w:val="0"/>
              </w:rPr>
              <w:t xml:space="preserve"> </w:t>
            </w:r>
            <w:r w:rsidRPr="005D4222">
              <w:rPr>
                <w:b/>
                <w:bCs w:val="0"/>
              </w:rPr>
              <w:t>(denominator, numerator, observed hospitalization rate).</w:t>
            </w:r>
          </w:p>
          <w:p w14:paraId="07177AB4" w14:textId="77777777" w:rsidR="00A13302" w:rsidRPr="005D4222" w:rsidRDefault="00A13302" w:rsidP="00A13302">
            <w:pPr>
              <w:pStyle w:val="Adjustments"/>
              <w:rPr>
                <w:b w:val="0"/>
              </w:rPr>
            </w:pPr>
            <w:r w:rsidRPr="005D4222">
              <w:t>Adjustments</w:t>
            </w:r>
            <w:r w:rsidRPr="005D4222">
              <w:rPr>
                <w:bCs/>
              </w:rPr>
              <w:t xml:space="preserve"> a</w:t>
            </w:r>
            <w:r w:rsidRPr="005D4222">
              <w:t>llowed</w:t>
            </w:r>
          </w:p>
          <w:p w14:paraId="2ACB04A3" w14:textId="37538561" w:rsidR="00A13302" w:rsidRPr="005D4222" w:rsidRDefault="00A13302" w:rsidP="005D6173">
            <w:pPr>
              <w:pStyle w:val="ProcessBullet"/>
              <w:numPr>
                <w:ilvl w:val="0"/>
                <w:numId w:val="77"/>
              </w:numPr>
              <w:tabs>
                <w:tab w:val="left" w:pos="216"/>
              </w:tabs>
              <w:ind w:left="216" w:hanging="216"/>
              <w:rPr>
                <w:b/>
                <w:bCs/>
                <w:color w:val="000000" w:themeColor="text1"/>
              </w:rPr>
            </w:pPr>
            <w:r w:rsidRPr="005D4222">
              <w:rPr>
                <w:i/>
                <w:iCs/>
              </w:rPr>
              <w:t xml:space="preserve">Product lines. </w:t>
            </w:r>
            <w:r w:rsidRPr="005D4222">
              <w:t>When adjusting this measure to assess for observed events only, organizations are not required to use product line criteria; product lines may be combined</w:t>
            </w:r>
            <w:r w:rsidR="00E8671F" w:rsidRPr="005D4222">
              <w:t>,</w:t>
            </w:r>
            <w:r w:rsidRPr="005D4222">
              <w:t xml:space="preserve"> and all (or no) product line criteria may be used.</w:t>
            </w:r>
          </w:p>
          <w:p w14:paraId="497DB25D" w14:textId="77777777" w:rsidR="00A13302" w:rsidRPr="005D4222" w:rsidRDefault="00A13302" w:rsidP="005D6173">
            <w:pPr>
              <w:pStyle w:val="ProcessBullet"/>
              <w:numPr>
                <w:ilvl w:val="0"/>
                <w:numId w:val="77"/>
              </w:numPr>
              <w:tabs>
                <w:tab w:val="left" w:pos="216"/>
              </w:tabs>
              <w:ind w:left="216" w:hanging="216"/>
              <w:rPr>
                <w:rStyle w:val="eop"/>
                <w:rFonts w:eastAsiaTheme="majorEastAsia"/>
                <w:b/>
                <w:bCs/>
                <w:color w:val="000000" w:themeColor="text1"/>
              </w:rPr>
            </w:pPr>
            <w:r w:rsidRPr="005D4222">
              <w:rPr>
                <w:rStyle w:val="normaltextrun"/>
                <w:rFonts w:cs="Arial"/>
                <w:i/>
                <w:iCs/>
                <w:color w:val="000000"/>
                <w:shd w:val="clear" w:color="auto" w:fill="FFFFFF"/>
              </w:rPr>
              <w:t>Ages.</w:t>
            </w:r>
            <w:r w:rsidRPr="005D4222">
              <w:rPr>
                <w:rStyle w:val="normaltextrun"/>
                <w:rFonts w:cs="Arial"/>
                <w:color w:val="000000"/>
                <w:shd w:val="clear" w:color="auto" w:fill="FFFFFF"/>
              </w:rPr>
              <w:t xml:space="preserve"> The observed event age range may be expanded. Age determination dates may be changed (e.g., select, “age as of June 30”).</w:t>
            </w:r>
            <w:r w:rsidRPr="005D4222">
              <w:rPr>
                <w:rStyle w:val="eop"/>
                <w:rFonts w:eastAsiaTheme="majorEastAsia" w:cs="Arial"/>
                <w:color w:val="000000"/>
                <w:shd w:val="clear" w:color="auto" w:fill="FFFFFF"/>
              </w:rPr>
              <w:t> </w:t>
            </w:r>
          </w:p>
          <w:p w14:paraId="763068C2" w14:textId="77777777" w:rsidR="00A13302" w:rsidRPr="005D4222" w:rsidRDefault="00A13302" w:rsidP="005D6173">
            <w:pPr>
              <w:pStyle w:val="ProcessBullet"/>
              <w:numPr>
                <w:ilvl w:val="0"/>
                <w:numId w:val="77"/>
              </w:numPr>
              <w:tabs>
                <w:tab w:val="left" w:pos="216"/>
              </w:tabs>
              <w:ind w:left="216" w:hanging="216"/>
              <w:rPr>
                <w:b/>
                <w:bCs/>
                <w:color w:val="000000" w:themeColor="text1"/>
              </w:rPr>
            </w:pPr>
            <w:r w:rsidRPr="005D4222">
              <w:rPr>
                <w:i/>
                <w:iCs/>
              </w:rPr>
              <w:t>Attribution.</w:t>
            </w:r>
            <w:r w:rsidRPr="005D4222">
              <w:t xml:space="preserve"> Organizations are not required to use enrollment criteria. </w:t>
            </w:r>
          </w:p>
          <w:p w14:paraId="3A2FC58D" w14:textId="0B9C2016" w:rsidR="00A13302" w:rsidRPr="005D4222" w:rsidRDefault="00362E76" w:rsidP="005D6173">
            <w:pPr>
              <w:pStyle w:val="ProcessBullet"/>
              <w:numPr>
                <w:ilvl w:val="0"/>
                <w:numId w:val="77"/>
              </w:numPr>
              <w:tabs>
                <w:tab w:val="left" w:pos="216"/>
              </w:tabs>
              <w:ind w:left="216" w:hanging="216"/>
              <w:rPr>
                <w:b/>
                <w:bCs/>
                <w:color w:val="000000" w:themeColor="text1"/>
              </w:rPr>
            </w:pPr>
            <w:r w:rsidRPr="005D4222">
              <w:rPr>
                <w:i/>
                <w:iCs/>
              </w:rPr>
              <w:t>Benefits.</w:t>
            </w:r>
            <w:r w:rsidR="00A13302" w:rsidRPr="005D4222">
              <w:t xml:space="preserve"> Organizations are not required to use a benefit.</w:t>
            </w:r>
          </w:p>
          <w:p w14:paraId="55BA7B6D" w14:textId="1E8F8129" w:rsidR="00A13302" w:rsidRPr="005D4222" w:rsidRDefault="00A13302" w:rsidP="005D6173">
            <w:pPr>
              <w:pStyle w:val="ProcessBullet"/>
              <w:numPr>
                <w:ilvl w:val="0"/>
                <w:numId w:val="77"/>
              </w:numPr>
              <w:tabs>
                <w:tab w:val="left" w:pos="216"/>
              </w:tabs>
              <w:ind w:left="216" w:hanging="216"/>
              <w:rPr>
                <w:b/>
                <w:bCs/>
                <w:color w:val="000000" w:themeColor="text1"/>
              </w:rPr>
            </w:pPr>
            <w:r w:rsidRPr="005D4222">
              <w:rPr>
                <w:i/>
                <w:iCs/>
              </w:rPr>
              <w:t>Other.</w:t>
            </w:r>
            <w:r w:rsidRPr="005D4222">
              <w:t xml:space="preserve"> Organizations may adjust the </w:t>
            </w:r>
            <w:r w:rsidR="00524BFF" w:rsidRPr="005D4222">
              <w:t>initial</w:t>
            </w:r>
            <w:r w:rsidRPr="005D4222">
              <w:t xml:space="preserve"> population criteria to focus on an area of interest defined by gender, race, ethnicity, socioeconomic or sociodemographic characteristics, geographic region or another characteristic.</w:t>
            </w:r>
          </w:p>
          <w:p w14:paraId="6E1DF031" w14:textId="77777777" w:rsidR="00A13302" w:rsidRPr="005D4222" w:rsidRDefault="00A13302" w:rsidP="005D6173">
            <w:pPr>
              <w:pStyle w:val="ProcessBullet"/>
              <w:numPr>
                <w:ilvl w:val="0"/>
                <w:numId w:val="77"/>
              </w:numPr>
              <w:tabs>
                <w:tab w:val="left" w:pos="216"/>
              </w:tabs>
              <w:ind w:left="216" w:hanging="216"/>
              <w:rPr>
                <w:b/>
                <w:bCs/>
                <w:color w:val="000000" w:themeColor="text1"/>
              </w:rPr>
            </w:pPr>
            <w:r w:rsidRPr="005D4222">
              <w:rPr>
                <w:i/>
                <w:iCs/>
              </w:rPr>
              <w:t>Measurement period adjustments.</w:t>
            </w:r>
            <w:r w:rsidRPr="005D4222">
              <w:t xml:space="preserve"> Organizations may adjust the measurement period. </w:t>
            </w:r>
          </w:p>
          <w:p w14:paraId="0D9481B6" w14:textId="77777777" w:rsidR="00A13302" w:rsidRPr="005D4222" w:rsidRDefault="00A13302" w:rsidP="005D6173">
            <w:pPr>
              <w:pStyle w:val="ProcessBullet"/>
              <w:numPr>
                <w:ilvl w:val="0"/>
                <w:numId w:val="77"/>
              </w:numPr>
              <w:tabs>
                <w:tab w:val="left" w:pos="216"/>
              </w:tabs>
              <w:ind w:left="216" w:hanging="216"/>
              <w:rPr>
                <w:b/>
                <w:bCs/>
                <w:color w:val="000000" w:themeColor="text1"/>
              </w:rPr>
            </w:pPr>
            <w:r w:rsidRPr="005D4222">
              <w:rPr>
                <w:i/>
                <w:iCs/>
              </w:rPr>
              <w:t>Exclusions.</w:t>
            </w:r>
            <w:r w:rsidRPr="005D4222">
              <w:t xml:space="preserve"> Hospice exclusion is not required. </w:t>
            </w:r>
          </w:p>
          <w:p w14:paraId="1540EAFA" w14:textId="32D347C5" w:rsidR="00A13302" w:rsidRPr="005D4222" w:rsidRDefault="00A13302" w:rsidP="005D6173">
            <w:pPr>
              <w:pStyle w:val="ProcessBullet"/>
              <w:numPr>
                <w:ilvl w:val="0"/>
                <w:numId w:val="77"/>
              </w:numPr>
              <w:tabs>
                <w:tab w:val="left" w:pos="216"/>
              </w:tabs>
              <w:ind w:left="216" w:hanging="216"/>
              <w:rPr>
                <w:color w:val="000000" w:themeColor="text1"/>
              </w:rPr>
            </w:pPr>
            <w:r w:rsidRPr="005D4222">
              <w:rPr>
                <w:i/>
                <w:iCs/>
                <w:color w:val="000000" w:themeColor="text1"/>
              </w:rPr>
              <w:t>Telehealth.</w:t>
            </w:r>
            <w:r w:rsidRPr="005D4222">
              <w:rPr>
                <w:color w:val="000000" w:themeColor="text1"/>
              </w:rPr>
              <w:t xml:space="preserve"> Services/events that allow the use of synchronous telehealth visits, telephone visits and asynchronous telehealth (e-visits, virtual check-ins) may be stratified to identify services performed via telehealth. This adjustment is not allowed for </w:t>
            </w:r>
            <w:r w:rsidR="00F45777" w:rsidRPr="005D4222">
              <w:rPr>
                <w:color w:val="000000" w:themeColor="text1"/>
              </w:rPr>
              <w:t>events</w:t>
            </w:r>
            <w:r w:rsidRPr="005D4222">
              <w:rPr>
                <w:color w:val="000000" w:themeColor="text1"/>
              </w:rPr>
              <w:t>, numerators and exclusions that do not allow the use of telehealth.</w:t>
            </w:r>
          </w:p>
          <w:p w14:paraId="768333B6" w14:textId="77777777" w:rsidR="00A13302" w:rsidRPr="005D4222" w:rsidRDefault="00A13302" w:rsidP="005D6173">
            <w:pPr>
              <w:pStyle w:val="ProcessBullet"/>
              <w:numPr>
                <w:ilvl w:val="0"/>
                <w:numId w:val="77"/>
              </w:numPr>
              <w:tabs>
                <w:tab w:val="left" w:pos="216"/>
              </w:tabs>
              <w:spacing w:after="80"/>
              <w:ind w:left="216" w:hanging="216"/>
              <w:rPr>
                <w:rFonts w:cs="Arial"/>
                <w:i/>
                <w:iCs/>
              </w:rPr>
            </w:pPr>
            <w:r w:rsidRPr="005D4222">
              <w:rPr>
                <w:i/>
                <w:iCs/>
                <w:color w:val="000000" w:themeColor="text1"/>
              </w:rPr>
              <w:t>Supplemental data.</w:t>
            </w:r>
            <w:r w:rsidRPr="005D4222">
              <w:rPr>
                <w:color w:val="000000" w:themeColor="text1"/>
              </w:rPr>
              <w:t xml:space="preserve"> Supplemental data may be used to identify initial population, denominator, exclusion and numerator events.</w:t>
            </w:r>
          </w:p>
          <w:p w14:paraId="2263C47B" w14:textId="77777777" w:rsidR="00A13302" w:rsidRPr="005D4222" w:rsidRDefault="00A13302" w:rsidP="00A13302">
            <w:pPr>
              <w:pStyle w:val="Adjustments"/>
              <w:rPr>
                <w:b w:val="0"/>
              </w:rPr>
            </w:pPr>
            <w:r w:rsidRPr="005D4222">
              <w:t xml:space="preserve">Adjustments </w:t>
            </w:r>
            <w:r w:rsidRPr="005D4222">
              <w:rPr>
                <w:bCs/>
              </w:rPr>
              <w:t>a</w:t>
            </w:r>
            <w:r w:rsidRPr="005D4222">
              <w:t xml:space="preserve">llowed with </w:t>
            </w:r>
            <w:r w:rsidRPr="005D4222">
              <w:rPr>
                <w:bCs/>
              </w:rPr>
              <w:t>l</w:t>
            </w:r>
            <w:r w:rsidRPr="005D4222">
              <w:t>imits</w:t>
            </w:r>
          </w:p>
          <w:p w14:paraId="687563CB" w14:textId="77777777" w:rsidR="00A13302" w:rsidRPr="005D4222" w:rsidRDefault="00A13302" w:rsidP="005D6173">
            <w:pPr>
              <w:pStyle w:val="ProcessBullet"/>
              <w:numPr>
                <w:ilvl w:val="0"/>
                <w:numId w:val="77"/>
              </w:numPr>
              <w:tabs>
                <w:tab w:val="left" w:pos="216"/>
              </w:tabs>
              <w:spacing w:after="80"/>
              <w:ind w:left="216" w:hanging="216"/>
              <w:rPr>
                <w:rFonts w:cs="Arial"/>
                <w:i/>
                <w:iCs/>
              </w:rPr>
            </w:pPr>
            <w:r w:rsidRPr="005D4222">
              <w:rPr>
                <w:rFonts w:cs="Arial"/>
                <w:i/>
                <w:iCs/>
              </w:rPr>
              <w:t>Denominator.</w:t>
            </w:r>
            <w:r w:rsidRPr="005D4222">
              <w:rPr>
                <w:iCs/>
              </w:rPr>
              <w:t xml:space="preserve"> Organizations may include denied claims to calculate denominator events.</w:t>
            </w:r>
            <w:r w:rsidRPr="005D4222">
              <w:rPr>
                <w:i/>
              </w:rPr>
              <w:t xml:space="preserve"> </w:t>
            </w:r>
            <w:r w:rsidRPr="005D4222">
              <w:t>Value sets and logic may not be changed.</w:t>
            </w:r>
          </w:p>
          <w:p w14:paraId="0B0DFD7A" w14:textId="2C504631" w:rsidR="00A13302" w:rsidRPr="005D4222" w:rsidRDefault="00A13302" w:rsidP="00A13302">
            <w:pPr>
              <w:pStyle w:val="ProcessBullet"/>
              <w:tabs>
                <w:tab w:val="left" w:pos="216"/>
                <w:tab w:val="num" w:pos="720"/>
              </w:tabs>
              <w:spacing w:after="80"/>
              <w:rPr>
                <w:b/>
                <w:i/>
                <w:iCs/>
              </w:rPr>
            </w:pPr>
            <w:r w:rsidRPr="005D4222">
              <w:rPr>
                <w:i/>
              </w:rPr>
              <w:t xml:space="preserve">Numerator. </w:t>
            </w:r>
            <w:r w:rsidRPr="005D4222">
              <w:t>Organizations may include denied claims to calculate the numerator.</w:t>
            </w:r>
            <w:r w:rsidRPr="005D4222">
              <w:rPr>
                <w:i/>
              </w:rPr>
              <w:t xml:space="preserve"> </w:t>
            </w:r>
            <w:r w:rsidRPr="005D4222">
              <w:t>Value sets and logic may not be changed.</w:t>
            </w:r>
          </w:p>
        </w:tc>
      </w:tr>
    </w:tbl>
    <w:p w14:paraId="73F3D876" w14:textId="77777777" w:rsidR="00A13302" w:rsidRPr="005D4222" w:rsidRDefault="00A13302" w:rsidP="00ED6A00">
      <w:pPr>
        <w:pStyle w:val="ECDSBody"/>
        <w:sectPr w:rsidR="00A13302" w:rsidRPr="005D4222" w:rsidSect="0074514A">
          <w:headerReference w:type="default" r:id="rId205"/>
          <w:type w:val="nextColumn"/>
          <w:pgSz w:w="12240" w:h="15840" w:code="1"/>
          <w:pgMar w:top="1080" w:right="1080" w:bottom="1080" w:left="1440" w:header="720" w:footer="720" w:gutter="0"/>
          <w:cols w:space="720"/>
          <w:docGrid w:linePitch="360"/>
        </w:sectPr>
      </w:pPr>
    </w:p>
    <w:p w14:paraId="179CEF09" w14:textId="530E040B" w:rsidR="00ED6A00" w:rsidRPr="005D4222" w:rsidRDefault="00FE75BF" w:rsidP="00FE75BF">
      <w:pPr>
        <w:pStyle w:val="MeasureTitle"/>
      </w:pPr>
      <w:bookmarkStart w:id="402" w:name="_Toc201813459"/>
      <w:r w:rsidRPr="005D4222">
        <w:lastRenderedPageBreak/>
        <w:t>Acute Hospital Utilization</w:t>
      </w:r>
      <w:r w:rsidR="006B0FDD" w:rsidRPr="005D4222">
        <w:t xml:space="preserve"> (AHU)</w:t>
      </w:r>
      <w:bookmarkEnd w:id="402"/>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15" w:type="dxa"/>
          <w:bottom w:w="40" w:type="dxa"/>
          <w:right w:w="15" w:type="dxa"/>
        </w:tblCellMar>
        <w:tblLook w:val="04A0" w:firstRow="1" w:lastRow="0" w:firstColumn="1" w:lastColumn="0" w:noHBand="0" w:noVBand="1"/>
      </w:tblPr>
      <w:tblGrid>
        <w:gridCol w:w="2157"/>
        <w:gridCol w:w="4146"/>
        <w:gridCol w:w="2136"/>
        <w:gridCol w:w="1275"/>
      </w:tblGrid>
      <w:tr w:rsidR="008B0B96" w:rsidRPr="005D4222" w14:paraId="4582D174" w14:textId="77777777" w:rsidTr="003F62E9">
        <w:tc>
          <w:tcPr>
            <w:tcW w:w="2157" w:type="dxa"/>
            <w:shd w:val="clear" w:color="auto" w:fill="BFBFBF" w:themeFill="background1" w:themeFillShade="BF"/>
            <w:tcMar>
              <w:top w:w="0" w:type="dxa"/>
              <w:left w:w="86" w:type="dxa"/>
              <w:bottom w:w="43" w:type="dxa"/>
              <w:right w:w="86" w:type="dxa"/>
            </w:tcMar>
            <w:hideMark/>
          </w:tcPr>
          <w:p w14:paraId="35C60297" w14:textId="77777777" w:rsidR="008B0B96" w:rsidRPr="005D4222" w:rsidRDefault="008B0B96" w:rsidP="00A53E8C">
            <w:pPr>
              <w:pStyle w:val="ECDSMarginHead"/>
            </w:pPr>
            <w:r w:rsidRPr="005D4222">
              <w:t>Measure title</w:t>
            </w:r>
          </w:p>
        </w:tc>
        <w:tc>
          <w:tcPr>
            <w:tcW w:w="4146" w:type="dxa"/>
            <w:tcMar>
              <w:top w:w="0" w:type="dxa"/>
              <w:left w:w="86" w:type="dxa"/>
              <w:bottom w:w="43" w:type="dxa"/>
              <w:right w:w="86" w:type="dxa"/>
            </w:tcMar>
          </w:tcPr>
          <w:p w14:paraId="085E3419" w14:textId="77777777" w:rsidR="008B0B96" w:rsidRPr="005D4222" w:rsidRDefault="008B0B96" w:rsidP="00A53E8C">
            <w:pPr>
              <w:pStyle w:val="ECDSBody"/>
            </w:pPr>
            <w:r w:rsidRPr="005D4222">
              <w:t>Acute Hospital Utilization</w:t>
            </w:r>
          </w:p>
        </w:tc>
        <w:tc>
          <w:tcPr>
            <w:tcW w:w="2136" w:type="dxa"/>
            <w:shd w:val="clear" w:color="auto" w:fill="BFBFBF" w:themeFill="background1" w:themeFillShade="BF"/>
            <w:tcMar>
              <w:top w:w="0" w:type="dxa"/>
              <w:left w:w="86" w:type="dxa"/>
              <w:bottom w:w="43" w:type="dxa"/>
              <w:right w:w="86" w:type="dxa"/>
            </w:tcMar>
          </w:tcPr>
          <w:p w14:paraId="2101635F" w14:textId="77777777" w:rsidR="008B0B96" w:rsidRPr="005D4222" w:rsidRDefault="008B0B96" w:rsidP="00A53E8C">
            <w:pPr>
              <w:pStyle w:val="ECDSMarginHead"/>
            </w:pPr>
            <w:r w:rsidRPr="005D4222">
              <w:t>Measure ID</w:t>
            </w:r>
          </w:p>
        </w:tc>
        <w:tc>
          <w:tcPr>
            <w:tcW w:w="1275" w:type="dxa"/>
            <w:tcMar>
              <w:top w:w="0" w:type="dxa"/>
              <w:left w:w="86" w:type="dxa"/>
              <w:bottom w:w="43" w:type="dxa"/>
              <w:right w:w="86" w:type="dxa"/>
            </w:tcMar>
          </w:tcPr>
          <w:p w14:paraId="4D4E0781" w14:textId="77777777" w:rsidR="008B0B96" w:rsidRPr="005D4222" w:rsidRDefault="008B0B96" w:rsidP="00A53E8C">
            <w:pPr>
              <w:pStyle w:val="ECDSBody"/>
            </w:pPr>
            <w:r w:rsidRPr="005D4222">
              <w:t>AHU</w:t>
            </w:r>
          </w:p>
        </w:tc>
      </w:tr>
      <w:tr w:rsidR="008B0B96" w:rsidRPr="005D4222" w14:paraId="67AACC64" w14:textId="77777777" w:rsidTr="003F62E9">
        <w:tc>
          <w:tcPr>
            <w:tcW w:w="2157" w:type="dxa"/>
            <w:shd w:val="clear" w:color="auto" w:fill="BFBFBF" w:themeFill="background1" w:themeFillShade="BF"/>
            <w:tcMar>
              <w:top w:w="0" w:type="dxa"/>
              <w:left w:w="86" w:type="dxa"/>
              <w:bottom w:w="43" w:type="dxa"/>
              <w:right w:w="86" w:type="dxa"/>
            </w:tcMar>
            <w:hideMark/>
          </w:tcPr>
          <w:p w14:paraId="46AA3711" w14:textId="77777777" w:rsidR="008B0B96" w:rsidRPr="005D4222" w:rsidRDefault="008B0B96" w:rsidP="00A53E8C">
            <w:pPr>
              <w:pStyle w:val="ECDSMarginHead"/>
            </w:pPr>
            <w:r w:rsidRPr="005D4222">
              <w:t>Description</w:t>
            </w:r>
          </w:p>
        </w:tc>
        <w:tc>
          <w:tcPr>
            <w:tcW w:w="7557" w:type="dxa"/>
            <w:gridSpan w:val="3"/>
            <w:tcMar>
              <w:top w:w="0" w:type="dxa"/>
              <w:left w:w="86" w:type="dxa"/>
              <w:bottom w:w="43" w:type="dxa"/>
              <w:right w:w="86" w:type="dxa"/>
            </w:tcMar>
          </w:tcPr>
          <w:p w14:paraId="0B0F5E8C" w14:textId="77777777" w:rsidR="008B0B96" w:rsidRPr="005D4222" w:rsidRDefault="008B0B96" w:rsidP="00A53E8C">
            <w:pPr>
              <w:pStyle w:val="ECDSBody"/>
            </w:pPr>
            <w:r w:rsidRPr="005D4222">
              <w:t>For persons 18 years of age and older, the risk-adjusted ratio of observed-to-expected acute inpatient and observation stay discharges during the measurement period.</w:t>
            </w:r>
          </w:p>
        </w:tc>
      </w:tr>
      <w:tr w:rsidR="008B0B96" w:rsidRPr="005D4222" w14:paraId="7FAF5BC8" w14:textId="77777777" w:rsidTr="003F62E9">
        <w:tc>
          <w:tcPr>
            <w:tcW w:w="2157" w:type="dxa"/>
            <w:shd w:val="clear" w:color="auto" w:fill="BFBFBF" w:themeFill="background1" w:themeFillShade="BF"/>
            <w:tcMar>
              <w:top w:w="0" w:type="dxa"/>
              <w:left w:w="86" w:type="dxa"/>
              <w:bottom w:w="43" w:type="dxa"/>
              <w:right w:w="86" w:type="dxa"/>
            </w:tcMar>
          </w:tcPr>
          <w:p w14:paraId="1E7006A0" w14:textId="77777777" w:rsidR="008B0B96" w:rsidRPr="005D4222" w:rsidRDefault="008B0B96" w:rsidP="00A53E8C">
            <w:pPr>
              <w:pStyle w:val="ECDSMarginHead"/>
            </w:pPr>
            <w:r w:rsidRPr="005D4222">
              <w:t>Measurement period</w:t>
            </w:r>
          </w:p>
        </w:tc>
        <w:tc>
          <w:tcPr>
            <w:tcW w:w="7557" w:type="dxa"/>
            <w:gridSpan w:val="3"/>
            <w:tcMar>
              <w:top w:w="0" w:type="dxa"/>
              <w:left w:w="86" w:type="dxa"/>
              <w:bottom w:w="43" w:type="dxa"/>
              <w:right w:w="86" w:type="dxa"/>
            </w:tcMar>
          </w:tcPr>
          <w:p w14:paraId="4ABAE9FD" w14:textId="77777777" w:rsidR="008B0B96" w:rsidRPr="005D4222" w:rsidRDefault="008B0B96" w:rsidP="00A53E8C">
            <w:pPr>
              <w:pStyle w:val="ECDSBody"/>
            </w:pPr>
            <w:r w:rsidRPr="005D4222">
              <w:t>January 1–December 31.</w:t>
            </w:r>
          </w:p>
        </w:tc>
      </w:tr>
      <w:tr w:rsidR="008B0B96" w:rsidRPr="005D4222" w14:paraId="6C5E0837" w14:textId="77777777" w:rsidTr="003F62E9">
        <w:tc>
          <w:tcPr>
            <w:tcW w:w="2157" w:type="dxa"/>
            <w:shd w:val="clear" w:color="auto" w:fill="BFBFBF" w:themeFill="background1" w:themeFillShade="BF"/>
            <w:tcMar>
              <w:top w:w="0" w:type="dxa"/>
              <w:left w:w="86" w:type="dxa"/>
              <w:bottom w:w="43" w:type="dxa"/>
              <w:right w:w="86" w:type="dxa"/>
            </w:tcMar>
            <w:hideMark/>
          </w:tcPr>
          <w:p w14:paraId="056115CD" w14:textId="77777777" w:rsidR="008B0B96" w:rsidRPr="005D4222" w:rsidRDefault="008B0B96" w:rsidP="00A53E8C">
            <w:pPr>
              <w:pStyle w:val="ECDSMarginHead"/>
              <w:rPr>
                <w:rFonts w:eastAsia="Arial"/>
              </w:rPr>
            </w:pPr>
            <w:r w:rsidRPr="005D4222">
              <w:rPr>
                <w:rFonts w:eastAsia="Arial"/>
                <w:bCs/>
              </w:rPr>
              <w:t>Copyright and disclaimer notice</w:t>
            </w:r>
          </w:p>
        </w:tc>
        <w:tc>
          <w:tcPr>
            <w:tcW w:w="7557" w:type="dxa"/>
            <w:gridSpan w:val="3"/>
            <w:tcMar>
              <w:top w:w="0" w:type="dxa"/>
              <w:left w:w="86" w:type="dxa"/>
              <w:bottom w:w="43" w:type="dxa"/>
              <w:right w:w="86" w:type="dxa"/>
            </w:tcMar>
          </w:tcPr>
          <w:p w14:paraId="788DFC9C" w14:textId="77777777" w:rsidR="008B0B96" w:rsidRPr="005D4222" w:rsidRDefault="008B0B96" w:rsidP="00A53E8C">
            <w:pPr>
              <w:pStyle w:val="ECDSBody"/>
            </w:pPr>
            <w:r w:rsidRPr="005D4222">
              <w:t xml:space="preserve">Refer to the complete copyright and disclaimer information at the front of this publication. </w:t>
            </w:r>
          </w:p>
          <w:p w14:paraId="7A20F424" w14:textId="77777777" w:rsidR="008B0B96" w:rsidRPr="005D4222" w:rsidRDefault="008B0B96" w:rsidP="00A53E8C">
            <w:pPr>
              <w:pStyle w:val="ECDSBody"/>
              <w:spacing w:before="80"/>
              <w:rPr>
                <w:rFonts w:eastAsia="Arial"/>
              </w:rPr>
            </w:pPr>
            <w:r w:rsidRPr="005D4222">
              <w:rPr>
                <w:rFonts w:eastAsia="Arial"/>
              </w:rPr>
              <w:t xml:space="preserve">NCQA website: </w:t>
            </w:r>
            <w:r w:rsidRPr="005D4222">
              <w:rPr>
                <w:rFonts w:eastAsia="Arial"/>
                <w:u w:val="single"/>
              </w:rPr>
              <w:t>www.ncqa.org</w:t>
            </w:r>
            <w:r w:rsidRPr="005D4222">
              <w:rPr>
                <w:rFonts w:eastAsia="Arial"/>
              </w:rPr>
              <w:t>.</w:t>
            </w:r>
          </w:p>
          <w:p w14:paraId="5D42F280" w14:textId="77777777" w:rsidR="008B0B96" w:rsidRPr="005D4222" w:rsidRDefault="008B0B96" w:rsidP="00A53E8C">
            <w:pPr>
              <w:pStyle w:val="ECDSBody"/>
              <w:spacing w:before="80"/>
              <w:rPr>
                <w:sz w:val="18"/>
                <w:szCs w:val="18"/>
              </w:rPr>
            </w:pPr>
            <w:r w:rsidRPr="005D4222">
              <w:rPr>
                <w:rFonts w:eastAsia="Arial"/>
              </w:rPr>
              <w:t>Submit policy clarification support questions via My NCQA (</w:t>
            </w:r>
            <w:r w:rsidRPr="005D4222">
              <w:rPr>
                <w:rFonts w:eastAsia="Arial"/>
                <w:u w:val="single"/>
              </w:rPr>
              <w:t>https://my.ncqa.org</w:t>
            </w:r>
            <w:r w:rsidRPr="005D4222">
              <w:rPr>
                <w:rFonts w:eastAsia="Arial"/>
              </w:rPr>
              <w:t>).</w:t>
            </w:r>
          </w:p>
        </w:tc>
      </w:tr>
      <w:tr w:rsidR="008B0B96" w:rsidRPr="005D4222" w14:paraId="6E1D2A52" w14:textId="77777777" w:rsidTr="003F62E9">
        <w:tc>
          <w:tcPr>
            <w:tcW w:w="2157" w:type="dxa"/>
            <w:shd w:val="clear" w:color="auto" w:fill="BFBFBF" w:themeFill="background1" w:themeFillShade="BF"/>
            <w:tcMar>
              <w:top w:w="0" w:type="dxa"/>
              <w:left w:w="86" w:type="dxa"/>
              <w:bottom w:w="43" w:type="dxa"/>
              <w:right w:w="86" w:type="dxa"/>
            </w:tcMar>
            <w:hideMark/>
          </w:tcPr>
          <w:p w14:paraId="6E6E1F83" w14:textId="77777777" w:rsidR="008B0B96" w:rsidRPr="005D4222" w:rsidRDefault="008B0B96" w:rsidP="00A53E8C">
            <w:pPr>
              <w:pStyle w:val="ECDSMarginHead"/>
            </w:pPr>
            <w:r w:rsidRPr="005D4222">
              <w:t>Clinical recommendation statement/ rationale</w:t>
            </w:r>
          </w:p>
        </w:tc>
        <w:tc>
          <w:tcPr>
            <w:tcW w:w="7557" w:type="dxa"/>
            <w:gridSpan w:val="3"/>
            <w:tcMar>
              <w:top w:w="0" w:type="dxa"/>
              <w:left w:w="86" w:type="dxa"/>
              <w:bottom w:w="43" w:type="dxa"/>
              <w:right w:w="86" w:type="dxa"/>
            </w:tcMar>
          </w:tcPr>
          <w:p w14:paraId="11BBD669" w14:textId="77777777" w:rsidR="008B0B96" w:rsidRPr="005D4222" w:rsidRDefault="008B0B96" w:rsidP="00A53E8C">
            <w:pPr>
              <w:pStyle w:val="ECDSBody"/>
              <w:rPr>
                <w:vertAlign w:val="superscript"/>
              </w:rPr>
            </w:pPr>
            <w:r w:rsidRPr="005D4222">
              <w:t>Hospitalizations put patients at risk of adverse events and are costly, accounting for about a third of all annual health care expenditures in the US. While not all acute hospitalizations can be avoided, studies have shown that payer-level interventions (e.g., proper care coordination and case management for patients with complex medical needs or multiple comorbid conditions) are effective at reducing overall hospital utilization.</w:t>
            </w:r>
          </w:p>
        </w:tc>
      </w:tr>
      <w:tr w:rsidR="008B0B96" w:rsidRPr="005D4222" w14:paraId="7255A4EA" w14:textId="77777777" w:rsidTr="003F62E9">
        <w:tc>
          <w:tcPr>
            <w:tcW w:w="2157" w:type="dxa"/>
            <w:shd w:val="clear" w:color="auto" w:fill="BFBFBF" w:themeFill="background1" w:themeFillShade="BF"/>
            <w:tcMar>
              <w:top w:w="0" w:type="dxa"/>
              <w:left w:w="86" w:type="dxa"/>
              <w:bottom w:w="43" w:type="dxa"/>
              <w:right w:w="86" w:type="dxa"/>
            </w:tcMar>
          </w:tcPr>
          <w:p w14:paraId="6FED841F" w14:textId="77777777" w:rsidR="008B0B96" w:rsidRPr="005D4222" w:rsidRDefault="008B0B96" w:rsidP="00A53E8C">
            <w:pPr>
              <w:pStyle w:val="ECDSMarginHead"/>
            </w:pPr>
            <w:r w:rsidRPr="005D4222">
              <w:t>Citations</w:t>
            </w:r>
          </w:p>
        </w:tc>
        <w:tc>
          <w:tcPr>
            <w:tcW w:w="7557" w:type="dxa"/>
            <w:gridSpan w:val="3"/>
            <w:tcMar>
              <w:top w:w="0" w:type="dxa"/>
              <w:left w:w="86" w:type="dxa"/>
              <w:bottom w:w="43" w:type="dxa"/>
              <w:right w:w="86" w:type="dxa"/>
            </w:tcMar>
          </w:tcPr>
          <w:p w14:paraId="05F28EAE" w14:textId="77777777" w:rsidR="008B0B96" w:rsidRPr="005D4222" w:rsidRDefault="008B0B96" w:rsidP="00A53E8C">
            <w:pPr>
              <w:pStyle w:val="ECDSBody"/>
            </w:pPr>
            <w:r w:rsidRPr="005D4222">
              <w:t xml:space="preserve">Covinsky, K.E., E. Pierluissi, &amp; C.B. Johnston. 2011. “Hospitalization-Associated Disability.” </w:t>
            </w:r>
            <w:r w:rsidRPr="005D4222">
              <w:rPr>
                <w:i/>
                <w:iCs/>
              </w:rPr>
              <w:t> JAMA: The Journal of the American Medical Association</w:t>
            </w:r>
            <w:r w:rsidRPr="005D4222">
              <w:t xml:space="preserve"> 306(16), 1782–93.</w:t>
            </w:r>
            <w:r w:rsidRPr="005D4222">
              <w:rPr>
                <w:rStyle w:val="eop"/>
                <w:rFonts w:eastAsiaTheme="majorEastAsia"/>
              </w:rPr>
              <w:t xml:space="preserve"> </w:t>
            </w:r>
          </w:p>
          <w:p w14:paraId="45584E9A" w14:textId="77777777" w:rsidR="008B0B96" w:rsidRPr="005D4222" w:rsidRDefault="008B0B96" w:rsidP="00A53E8C">
            <w:pPr>
              <w:pStyle w:val="ECDSBody"/>
            </w:pPr>
            <w:r w:rsidRPr="005D4222">
              <w:t xml:space="preserve">McDermott, K.W., A. Elixhauser, R. Sun. 2017. “Trends in Hospital Inpatient Stays in the United States, 2005–2014.” HCUP Statistical Brief #225. Agency for Healthcare Research and Quality, Rockville, MD. </w:t>
            </w:r>
            <w:r w:rsidRPr="005D4222">
              <w:br/>
              <w:t>www.hcup-us.ahrq.gov/reports/statbriefs/sb225-Inpatient-US-Stays-Trends.pdf</w:t>
            </w:r>
          </w:p>
          <w:p w14:paraId="67CC35EC" w14:textId="77777777" w:rsidR="008B0B96" w:rsidRPr="005D4222" w:rsidRDefault="008B0B96" w:rsidP="00A53E8C">
            <w:pPr>
              <w:pStyle w:val="ECDSBody"/>
            </w:pPr>
            <w:r w:rsidRPr="005D4222">
              <w:t xml:space="preserve">Mkanta, W.N., N.R. Chumbler, K. Yang, R. Saigal, and M. Abdollahi. 2016. “Cost and Predictors of Hospitalizations for Ambulatory Care - Sensitive Conditions Among Medicaid Enrollees in Comprehensive Managed Care Plans.” </w:t>
            </w:r>
            <w:r w:rsidRPr="005D4222">
              <w:rPr>
                <w:i/>
                <w:iCs/>
              </w:rPr>
              <w:t>Health Services Research and Managerial Epidemiology</w:t>
            </w:r>
            <w:r w:rsidRPr="005D4222">
              <w:t xml:space="preserve"> 3, 2333392816670301. </w:t>
            </w:r>
          </w:p>
          <w:p w14:paraId="203D7F9E" w14:textId="77777777" w:rsidR="008B0B96" w:rsidRPr="005D4222" w:rsidRDefault="008B0B96" w:rsidP="00A53E8C">
            <w:pPr>
              <w:pStyle w:val="ECDSBody"/>
            </w:pPr>
            <w:r w:rsidRPr="005D4222">
              <w:t xml:space="preserve">Kaiser Family Foundation (KFF). (2019). </w:t>
            </w:r>
            <w:r w:rsidRPr="005D4222">
              <w:rPr>
                <w:i/>
                <w:iCs/>
              </w:rPr>
              <w:t>An Overview of Medicare.</w:t>
            </w:r>
            <w:r w:rsidRPr="005D4222">
              <w:t xml:space="preserve"> </w:t>
            </w:r>
            <w:r w:rsidRPr="005D4222">
              <w:br/>
              <w:t xml:space="preserve">https://www.kff.org/medicare/issue-brief/an-overview-of-medicare/ </w:t>
            </w:r>
          </w:p>
        </w:tc>
      </w:tr>
      <w:tr w:rsidR="008B0B96" w:rsidRPr="005D4222" w14:paraId="78C1E19A" w14:textId="77777777" w:rsidTr="003F62E9">
        <w:tc>
          <w:tcPr>
            <w:tcW w:w="9714"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5AA4A103" w14:textId="77777777" w:rsidR="008B0B96" w:rsidRPr="005D4222" w:rsidRDefault="008B0B96" w:rsidP="00A53E8C">
            <w:pPr>
              <w:pStyle w:val="ECDSMarginHead"/>
            </w:pPr>
            <w:r w:rsidRPr="005D4222">
              <w:t>Characteristics</w:t>
            </w:r>
          </w:p>
        </w:tc>
      </w:tr>
      <w:tr w:rsidR="008B0B96" w:rsidRPr="005D4222" w14:paraId="411ADD10" w14:textId="77777777" w:rsidTr="003F62E9">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40F8D844" w14:textId="77777777" w:rsidR="008B0B96" w:rsidRPr="005D4222" w:rsidRDefault="008B0B96" w:rsidP="003F62E9">
            <w:pPr>
              <w:pStyle w:val="ECDSSubhead"/>
            </w:pPr>
            <w:r w:rsidRPr="005D4222">
              <w:t>Scoring</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258D8458" w14:textId="77777777" w:rsidR="008B0B96" w:rsidRPr="005D4222" w:rsidRDefault="008B0B96" w:rsidP="00A53E8C">
            <w:pPr>
              <w:pStyle w:val="ECDSBody"/>
              <w:spacing w:after="0"/>
            </w:pPr>
            <w:r w:rsidRPr="005D4222">
              <w:t>Ratio.</w:t>
            </w:r>
          </w:p>
        </w:tc>
      </w:tr>
      <w:tr w:rsidR="008B0B96" w:rsidRPr="005D4222" w14:paraId="70DEBBAD" w14:textId="77777777" w:rsidTr="003F62E9">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3E9F9863" w14:textId="50BB3276" w:rsidR="008B0B96" w:rsidRPr="005D4222" w:rsidRDefault="00B51CDC" w:rsidP="003F62E9">
            <w:pPr>
              <w:pStyle w:val="ECDSSubhead"/>
            </w:pPr>
            <w:r w:rsidRPr="005D4222">
              <w:t>Product lines</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0BA5E52F" w14:textId="77777777" w:rsidR="008B0B96" w:rsidRPr="005D4222" w:rsidRDefault="008B0B96" w:rsidP="005D6173">
            <w:pPr>
              <w:pStyle w:val="ProcessBullet"/>
              <w:numPr>
                <w:ilvl w:val="0"/>
                <w:numId w:val="133"/>
              </w:numPr>
              <w:tabs>
                <w:tab w:val="left" w:pos="216"/>
              </w:tabs>
              <w:spacing w:before="120"/>
              <w:rPr>
                <w:rFonts w:eastAsia="Arial,Arial,Arial,Arial,Arial,A"/>
              </w:rPr>
            </w:pPr>
            <w:r w:rsidRPr="005D4222">
              <w:rPr>
                <w:rFonts w:eastAsia="Arial,Arial,Arial,Arial,Arial,A"/>
              </w:rPr>
              <w:t>Commercial.</w:t>
            </w:r>
          </w:p>
          <w:p w14:paraId="76560008" w14:textId="77777777" w:rsidR="008B0B96" w:rsidRPr="005D4222" w:rsidRDefault="008B0B96" w:rsidP="005D6173">
            <w:pPr>
              <w:pStyle w:val="ProcessBullet"/>
              <w:numPr>
                <w:ilvl w:val="0"/>
                <w:numId w:val="133"/>
              </w:numPr>
              <w:tabs>
                <w:tab w:val="left" w:pos="216"/>
              </w:tabs>
              <w:rPr>
                <w:rFonts w:eastAsia="Arial,Arial,Arial,Arial,Arial,A"/>
              </w:rPr>
            </w:pPr>
            <w:r w:rsidRPr="005D4222">
              <w:rPr>
                <w:rFonts w:eastAsia="Arial,Arial,Arial,Arial,Arial,A"/>
              </w:rPr>
              <w:t>Medicare.</w:t>
            </w:r>
          </w:p>
          <w:p w14:paraId="5C4C2971" w14:textId="77777777" w:rsidR="008B0B96" w:rsidRPr="005D4222" w:rsidRDefault="008B0B96" w:rsidP="005D6173">
            <w:pPr>
              <w:pStyle w:val="ProcessBullet"/>
              <w:numPr>
                <w:ilvl w:val="0"/>
                <w:numId w:val="133"/>
              </w:numPr>
              <w:tabs>
                <w:tab w:val="left" w:pos="216"/>
              </w:tabs>
              <w:spacing w:after="80"/>
              <w:rPr>
                <w:rFonts w:eastAsia="Arial,Arial,Arial,Arial,Arial,A"/>
              </w:rPr>
            </w:pPr>
            <w:r w:rsidRPr="005D4222">
              <w:rPr>
                <w:rFonts w:eastAsia="Arial,Arial,Arial,Arial,Arial,A"/>
              </w:rPr>
              <w:t>Medicaid.</w:t>
            </w:r>
          </w:p>
        </w:tc>
      </w:tr>
    </w:tbl>
    <w:p w14:paraId="6AAA30A7" w14:textId="77777777" w:rsidR="003F62E9" w:rsidRPr="005D4222" w:rsidRDefault="003F62E9">
      <w:r w:rsidRPr="005D4222">
        <w:br w:type="page"/>
      </w:r>
    </w:p>
    <w:tbl>
      <w:tblPr>
        <w:tblW w:w="9714" w:type="dxa"/>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15" w:type="dxa"/>
          <w:bottom w:w="40" w:type="dxa"/>
          <w:right w:w="15" w:type="dxa"/>
        </w:tblCellMar>
        <w:tblLook w:val="04A0" w:firstRow="1" w:lastRow="0" w:firstColumn="1" w:lastColumn="0" w:noHBand="0" w:noVBand="1"/>
      </w:tblPr>
      <w:tblGrid>
        <w:gridCol w:w="2157"/>
        <w:gridCol w:w="7557"/>
      </w:tblGrid>
      <w:tr w:rsidR="003F62E9" w:rsidRPr="005D4222" w14:paraId="08471847" w14:textId="77777777" w:rsidTr="00E42167">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2BD2BDB5" w14:textId="5521EF7F" w:rsidR="003F62E9" w:rsidRPr="005D4222" w:rsidRDefault="00B51CDC" w:rsidP="003F62E9">
            <w:pPr>
              <w:pStyle w:val="ECDSSubhead"/>
            </w:pPr>
            <w:r w:rsidRPr="005D4222">
              <w:lastRenderedPageBreak/>
              <w:t>Stratifications</w:t>
            </w:r>
            <w:r w:rsidR="003F62E9" w:rsidRPr="005D4222">
              <w:t xml:space="preserve"> </w:t>
            </w: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4EC484EC" w14:textId="77777777" w:rsidR="003F62E9" w:rsidRPr="005D4222" w:rsidRDefault="003F62E9" w:rsidP="00A53E8C">
            <w:pPr>
              <w:pStyle w:val="ECDSBody"/>
              <w:rPr>
                <w:rFonts w:eastAsia="Arial,Arial,Arial,Arial,Arial,A"/>
              </w:rPr>
            </w:pPr>
            <w:r w:rsidRPr="005D4222">
              <w:rPr>
                <w:rFonts w:eastAsia="Arial,Arial,Arial,Arial,Arial,A"/>
              </w:rPr>
              <w:t xml:space="preserve">Age as of the last day of the measurement period for Medicaid. </w:t>
            </w:r>
          </w:p>
          <w:p w14:paraId="642C261A" w14:textId="77777777" w:rsidR="003F62E9" w:rsidRPr="005D4222" w:rsidRDefault="003F62E9" w:rsidP="008B0B96">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18–21 years.</w:t>
            </w:r>
          </w:p>
          <w:p w14:paraId="650CA258" w14:textId="77777777" w:rsidR="003F62E9" w:rsidRPr="005D4222" w:rsidRDefault="003F62E9" w:rsidP="003F62E9">
            <w:pPr>
              <w:pStyle w:val="Bullet"/>
              <w:rPr>
                <w:rFonts w:eastAsia="Arial,Arial,Arial,Arial,Arial,A"/>
              </w:rPr>
            </w:pPr>
            <w:r w:rsidRPr="005D4222">
              <w:rPr>
                <w:rFonts w:eastAsia="Arial,Arial,Arial,Arial,Arial,A"/>
              </w:rPr>
              <w:t>22–34 years.</w:t>
            </w:r>
          </w:p>
          <w:p w14:paraId="30BCE921" w14:textId="77777777" w:rsidR="003F62E9" w:rsidRPr="005D4222" w:rsidRDefault="003F62E9" w:rsidP="008B0B96">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35–44 years.</w:t>
            </w:r>
          </w:p>
          <w:p w14:paraId="5A4864B0" w14:textId="77777777" w:rsidR="003F62E9" w:rsidRPr="005D4222" w:rsidRDefault="003F62E9" w:rsidP="008B0B96">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45–54 years.</w:t>
            </w:r>
          </w:p>
          <w:p w14:paraId="264B9BA4" w14:textId="77777777" w:rsidR="003F62E9" w:rsidRPr="005D4222" w:rsidRDefault="003F62E9" w:rsidP="008B0B96">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55–64 years.</w:t>
            </w:r>
          </w:p>
          <w:p w14:paraId="3D9EA50A" w14:textId="77777777" w:rsidR="003F62E9" w:rsidRPr="005D4222" w:rsidRDefault="003F62E9" w:rsidP="00A53E8C">
            <w:pPr>
              <w:pStyle w:val="ECDSBody"/>
              <w:rPr>
                <w:rFonts w:eastAsia="Arial,Arial,Arial,Arial,Arial,A"/>
              </w:rPr>
            </w:pPr>
            <w:r w:rsidRPr="005D4222">
              <w:rPr>
                <w:rFonts w:eastAsia="Arial,Arial,Arial,Arial,Arial,A"/>
              </w:rPr>
              <w:t xml:space="preserve">Ages as of the last day of the measurement period for commercial and Medicare. </w:t>
            </w:r>
          </w:p>
          <w:p w14:paraId="0A2E4EE5" w14:textId="77777777" w:rsidR="003F62E9" w:rsidRPr="005D4222" w:rsidRDefault="003F62E9" w:rsidP="008B0B96">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18–44 years.</w:t>
            </w:r>
          </w:p>
          <w:p w14:paraId="2D956E00" w14:textId="77777777" w:rsidR="003F62E9" w:rsidRPr="005D4222" w:rsidRDefault="003F62E9" w:rsidP="008B0B96">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45–54 years.</w:t>
            </w:r>
          </w:p>
          <w:p w14:paraId="58A9C26D" w14:textId="77777777" w:rsidR="003F62E9" w:rsidRPr="005D4222" w:rsidRDefault="003F62E9" w:rsidP="008B0B96">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55–64 years.</w:t>
            </w:r>
          </w:p>
          <w:p w14:paraId="0394B3EE" w14:textId="77777777" w:rsidR="003F62E9" w:rsidRPr="005D4222" w:rsidRDefault="003F62E9" w:rsidP="008B0B96">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65–74 years.</w:t>
            </w:r>
          </w:p>
          <w:p w14:paraId="7AC76D40" w14:textId="77777777" w:rsidR="003F62E9" w:rsidRPr="005D4222" w:rsidRDefault="003F62E9" w:rsidP="008B0B96">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75–84 years.</w:t>
            </w:r>
          </w:p>
          <w:p w14:paraId="0CBEA185" w14:textId="4FB72E81" w:rsidR="003F62E9" w:rsidRPr="005D4222" w:rsidRDefault="003F62E9" w:rsidP="008B0B96">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85+ years.</w:t>
            </w:r>
          </w:p>
        </w:tc>
      </w:tr>
      <w:tr w:rsidR="008B0B96" w:rsidRPr="005D4222" w14:paraId="6DAB5F37" w14:textId="77777777" w:rsidTr="00E42167">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33B19529" w14:textId="77777777" w:rsidR="008B0B96" w:rsidRPr="005D4222" w:rsidRDefault="008B0B96" w:rsidP="00A53E8C">
            <w:pPr>
              <w:pStyle w:val="MarginHead"/>
            </w:pPr>
            <w:r w:rsidRPr="005D4222">
              <w:t>Guidance</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3EB40D14" w14:textId="77777777" w:rsidR="008B0B96" w:rsidRPr="005D4222" w:rsidDel="00C878A3" w:rsidRDefault="008B0B96" w:rsidP="00A53E8C">
            <w:pPr>
              <w:pStyle w:val="ECDSBody"/>
              <w:rPr>
                <w:b/>
                <w:i/>
              </w:rPr>
            </w:pPr>
            <w:r w:rsidRPr="005D4222">
              <w:rPr>
                <w:b/>
                <w:i/>
              </w:rPr>
              <w:t>Programming Guidance</w:t>
            </w:r>
          </w:p>
          <w:p w14:paraId="1C66812C" w14:textId="699732FB" w:rsidR="008B0B96" w:rsidRPr="005D4222" w:rsidRDefault="008B0B96" w:rsidP="00A53E8C">
            <w:pPr>
              <w:pStyle w:val="ECDSBody"/>
              <w:spacing w:before="0"/>
            </w:pPr>
            <w:r w:rsidRPr="005D4222">
              <w:rPr>
                <w:b/>
                <w:bCs w:val="0"/>
              </w:rPr>
              <w:t xml:space="preserve">Dual </w:t>
            </w:r>
            <w:r w:rsidRPr="005D4222">
              <w:rPr>
                <w:b/>
              </w:rPr>
              <w:t xml:space="preserve">enrollment: </w:t>
            </w:r>
            <w:r w:rsidRPr="005D4222">
              <w:t>Persons with dual commercial and Medicaid enrollment may only be reported in the commercial product line. Persons with dual Medicaid/ Medicare enrollment may only be reported in the Medicare product line. Dual enrollment is assessed after the continuous enrollment criteria are applied. To meet criteria for dual enrollment, persons must have dual enrollment at the end of the continuous enrollment period.</w:t>
            </w:r>
          </w:p>
          <w:p w14:paraId="237644B6" w14:textId="77777777" w:rsidR="008B0B96" w:rsidRPr="005D4222" w:rsidRDefault="008B0B96" w:rsidP="00A53E8C">
            <w:pPr>
              <w:pStyle w:val="ECDSBody"/>
              <w:rPr>
                <w:b/>
                <w:i/>
                <w:szCs w:val="21"/>
              </w:rPr>
            </w:pPr>
            <w:r w:rsidRPr="005D4222">
              <w:rPr>
                <w:b/>
                <w:i/>
                <w:szCs w:val="21"/>
              </w:rPr>
              <w:t>Risk Adjustment Measure Specific Guidance</w:t>
            </w:r>
          </w:p>
          <w:p w14:paraId="0B36B7C9" w14:textId="77777777" w:rsidR="008B0B96" w:rsidRPr="005D4222" w:rsidRDefault="008B0B96" w:rsidP="00A53E8C">
            <w:pPr>
              <w:pStyle w:val="ECDSBody"/>
              <w:rPr>
                <w:rFonts w:ascii="Segoe UI" w:hAnsi="Segoe UI" w:cs="Segoe UI"/>
                <w:sz w:val="18"/>
                <w:szCs w:val="18"/>
              </w:rPr>
            </w:pPr>
            <w:r w:rsidRPr="005D4222">
              <w:rPr>
                <w:b/>
              </w:rPr>
              <w:t>Observation stays:</w:t>
            </w:r>
            <w:r w:rsidRPr="005D4222">
              <w:t xml:space="preserve"> For observation stays (</w:t>
            </w:r>
            <w:r w:rsidRPr="005D4222">
              <w:rPr>
                <w:u w:val="single"/>
              </w:rPr>
              <w:t>Observation Stay Value Set</w:t>
            </w:r>
            <w:r w:rsidRPr="005D4222">
              <w:t>) that do not have a recorded admission or discharge date, set the admission date to the earliest date of service on the claim and set the discharge date to the last date of service on the claim. </w:t>
            </w:r>
          </w:p>
          <w:p w14:paraId="4D35604D" w14:textId="77777777" w:rsidR="008B0B96" w:rsidRPr="005D4222" w:rsidRDefault="008B0B96" w:rsidP="00A53E8C">
            <w:pPr>
              <w:pStyle w:val="ECDSBody"/>
              <w:rPr>
                <w:rFonts w:ascii="Segoe UI" w:hAnsi="Segoe UI" w:cs="Segoe UI"/>
                <w:sz w:val="18"/>
                <w:szCs w:val="18"/>
              </w:rPr>
            </w:pPr>
            <w:r w:rsidRPr="005D4222">
              <w:rPr>
                <w:b/>
              </w:rPr>
              <w:t>Which services count?</w:t>
            </w:r>
            <w:r w:rsidRPr="005D4222">
              <w:t xml:space="preserve"> </w:t>
            </w:r>
          </w:p>
          <w:p w14:paraId="13BC525A" w14:textId="77777777" w:rsidR="008B0B96" w:rsidRPr="005D4222" w:rsidRDefault="008B0B96" w:rsidP="008B0B96">
            <w:pPr>
              <w:pStyle w:val="ProcessBullet"/>
              <w:tabs>
                <w:tab w:val="left" w:pos="216"/>
              </w:tabs>
              <w:rPr>
                <w:rFonts w:ascii="Segoe UI" w:hAnsi="Segoe UI" w:cs="Segoe UI"/>
                <w:sz w:val="18"/>
                <w:szCs w:val="18"/>
              </w:rPr>
            </w:pPr>
            <w:r w:rsidRPr="005D4222">
              <w:t>Use all paid, suspended, pending, and denied claims when applying risk adjustment comorbidity category determination and the hospice exclusion. </w:t>
            </w:r>
          </w:p>
          <w:p w14:paraId="3AAFFB25" w14:textId="77777777" w:rsidR="008B0B96" w:rsidRPr="005D4222" w:rsidRDefault="008B0B96" w:rsidP="00A53E8C">
            <w:pPr>
              <w:pStyle w:val="ProcessBullet"/>
              <w:rPr>
                <w:rFonts w:ascii="Segoe UI" w:hAnsi="Segoe UI" w:cs="Segoe UI"/>
                <w:sz w:val="18"/>
                <w:szCs w:val="18"/>
              </w:rPr>
            </w:pPr>
            <w:r w:rsidRPr="005D4222">
              <w:t>Do not include denied claims when identifying all other events (e.g., observed events); only report claims the organization paid for or expects to pay for (i.e., claims incurred but not paid).</w:t>
            </w:r>
          </w:p>
          <w:p w14:paraId="0C4299FA" w14:textId="77777777" w:rsidR="008B0B96" w:rsidRPr="005D4222" w:rsidRDefault="008B0B96" w:rsidP="00A53E8C">
            <w:pPr>
              <w:pStyle w:val="ECDSBody"/>
              <w:rPr>
                <w:rFonts w:ascii="Segoe UI" w:hAnsi="Segoe UI" w:cs="Segoe UI"/>
                <w:sz w:val="18"/>
                <w:szCs w:val="18"/>
              </w:rPr>
            </w:pPr>
            <w:r w:rsidRPr="005D4222">
              <w:rPr>
                <w:b/>
              </w:rPr>
              <w:t xml:space="preserve">Supplemental data exceptions: </w:t>
            </w:r>
            <w:r w:rsidRPr="005D4222">
              <w:t>Supplemental data may only be used for the hospice exclusion.</w:t>
            </w:r>
          </w:p>
          <w:p w14:paraId="7219D5FF" w14:textId="77777777" w:rsidR="008B0B96" w:rsidRPr="005D4222" w:rsidRDefault="008B0B96" w:rsidP="00A53E8C">
            <w:pPr>
              <w:pStyle w:val="ECDSBody"/>
            </w:pPr>
            <w:r w:rsidRPr="005D4222">
              <w:rPr>
                <w:b/>
              </w:rPr>
              <w:t>Transfers:</w:t>
            </w:r>
            <w:r w:rsidRPr="005D4222">
              <w:t xml:space="preserve"> </w:t>
            </w:r>
          </w:p>
          <w:p w14:paraId="64339118" w14:textId="77777777" w:rsidR="008B0B96" w:rsidRPr="005D4222" w:rsidRDefault="008B0B96" w:rsidP="008B0B96">
            <w:pPr>
              <w:pStyle w:val="ProcessBullet"/>
              <w:tabs>
                <w:tab w:val="left" w:pos="216"/>
              </w:tabs>
            </w:pPr>
            <w:r w:rsidRPr="005D4222">
              <w:t xml:space="preserve">Treat transfers </w:t>
            </w:r>
            <w:r w:rsidRPr="005D4222">
              <w:rPr>
                <w:i/>
                <w:iCs/>
              </w:rPr>
              <w:t xml:space="preserve">between </w:t>
            </w:r>
            <w:r w:rsidRPr="005D4222">
              <w:t xml:space="preserve">institutions as separate admissions. </w:t>
            </w:r>
          </w:p>
          <w:p w14:paraId="2952307E" w14:textId="77777777" w:rsidR="008B0B96" w:rsidRPr="005D4222" w:rsidRDefault="008B0B96" w:rsidP="008B0B96">
            <w:pPr>
              <w:pStyle w:val="ProcessBullet"/>
              <w:tabs>
                <w:tab w:val="left" w:pos="216"/>
              </w:tabs>
            </w:pPr>
            <w:r w:rsidRPr="005D4222">
              <w:t xml:space="preserve">Base transfer reports </w:t>
            </w:r>
            <w:r w:rsidRPr="005D4222">
              <w:rPr>
                <w:i/>
                <w:iCs/>
              </w:rPr>
              <w:t>within</w:t>
            </w:r>
            <w:r w:rsidRPr="005D4222">
              <w:t xml:space="preserve"> an institution on the type and level of services provided. </w:t>
            </w:r>
          </w:p>
          <w:p w14:paraId="19766272" w14:textId="5E38CECE" w:rsidR="003F62E9" w:rsidRPr="005D4222" w:rsidRDefault="008B0B96" w:rsidP="003F62E9">
            <w:pPr>
              <w:pStyle w:val="ProcessBullet"/>
              <w:tabs>
                <w:tab w:val="left" w:pos="216"/>
              </w:tabs>
              <w:spacing w:after="80"/>
            </w:pPr>
            <w:r w:rsidRPr="005D4222">
              <w:t xml:space="preserve">Report separate admissions when the transfer is between acute and nonacute levels of service or between mental health/chemical dependency services and non-mental health/chemical dependency services. </w:t>
            </w:r>
          </w:p>
        </w:tc>
      </w:tr>
      <w:tr w:rsidR="008B0B96" w:rsidRPr="005D4222" w14:paraId="4267D3F8" w14:textId="77777777" w:rsidTr="003F62E9">
        <w:tc>
          <w:tcPr>
            <w:tcW w:w="21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270BCD6" w14:textId="77777777" w:rsidR="008B0B96" w:rsidRPr="005D4222" w:rsidRDefault="008B0B96" w:rsidP="00A53E8C">
            <w:pPr>
              <w:pStyle w:val="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9E81CDB" w14:textId="77777777" w:rsidR="003F62E9" w:rsidRPr="005D4222" w:rsidRDefault="003F62E9" w:rsidP="003F62E9">
            <w:pPr>
              <w:pStyle w:val="ProcessBullet"/>
              <w:tabs>
                <w:tab w:val="left" w:pos="216"/>
              </w:tabs>
              <w:spacing w:before="120" w:after="80"/>
            </w:pPr>
            <w:r w:rsidRPr="005D4222">
              <w:t>Count only one admission when the transfer takes place within the same service category, but to a different level of care (e.g., from intensive care to a lesser level of care; from a lesser level of care to intensive care).</w:t>
            </w:r>
          </w:p>
          <w:p w14:paraId="1A094153" w14:textId="77777777" w:rsidR="008B0B96" w:rsidRPr="005D4222" w:rsidRDefault="008B0B96" w:rsidP="00A53E8C">
            <w:pPr>
              <w:pStyle w:val="ECDSBody"/>
            </w:pPr>
            <w:r w:rsidRPr="005D4222">
              <w:rPr>
                <w:b/>
              </w:rPr>
              <w:t xml:space="preserve">Risk adjustment: </w:t>
            </w:r>
            <w:r w:rsidRPr="005D4222">
              <w:t xml:space="preserve">Organizations may not use risk assessment protocols to supplement diagnoses for calculation of the risk adjustment scores for these measures. The measurement model was developed and tested using only claims-based diagnoses; diagnoses from additional data sources would affect the validity of the models as they are currently implemented in the specification. </w:t>
            </w:r>
          </w:p>
          <w:p w14:paraId="701BCFFC" w14:textId="77777777" w:rsidR="008B0B96" w:rsidRPr="005D4222" w:rsidRDefault="008B0B96" w:rsidP="00A53E8C">
            <w:pPr>
              <w:pStyle w:val="ECDSBody"/>
              <w:rPr>
                <w:b/>
                <w:bCs w:val="0"/>
                <w:i/>
                <w:iCs/>
              </w:rPr>
            </w:pPr>
            <w:r w:rsidRPr="005D4222">
              <w:rPr>
                <w:b/>
                <w:bCs w:val="0"/>
                <w:i/>
                <w:iCs/>
              </w:rPr>
              <w:t>General Rules</w:t>
            </w:r>
          </w:p>
          <w:p w14:paraId="7606F7A5" w14:textId="0D91B7AD" w:rsidR="008B0B96" w:rsidRPr="005D4222" w:rsidRDefault="008B0B96" w:rsidP="00A53E8C">
            <w:pPr>
              <w:pStyle w:val="ECDSBody"/>
            </w:pPr>
            <w:r w:rsidRPr="005D4222">
              <w:rPr>
                <w:b/>
                <w:bCs w:val="0"/>
              </w:rPr>
              <w:t xml:space="preserve">Data collection methodology: </w:t>
            </w:r>
            <w:r w:rsidRPr="005D4222">
              <w:t xml:space="preserve">Administrative. Refer to </w:t>
            </w:r>
            <w:hyperlink w:anchor="General_Guideline_Data_Collection_Method" w:history="1">
              <w:r w:rsidRPr="005D4222">
                <w:rPr>
                  <w:rStyle w:val="Hyperlink"/>
                  <w:i/>
                  <w:iCs/>
                </w:rPr>
                <w:t>General Guideline: Data Collection Methods</w:t>
              </w:r>
            </w:hyperlink>
            <w:r w:rsidRPr="005D4222">
              <w:rPr>
                <w:i/>
                <w:iCs/>
              </w:rPr>
              <w:t xml:space="preserve"> </w:t>
            </w:r>
            <w:r w:rsidRPr="005D4222">
              <w:t>for additional information.  </w:t>
            </w:r>
          </w:p>
          <w:p w14:paraId="045773F3" w14:textId="77777777" w:rsidR="008B0B96" w:rsidRPr="005D4222" w:rsidRDefault="008B0B96" w:rsidP="00A53E8C">
            <w:pPr>
              <w:pStyle w:val="ECDSBody"/>
            </w:pPr>
            <w:r w:rsidRPr="005D4222">
              <w:rPr>
                <w:b/>
                <w:bCs w:val="0"/>
              </w:rPr>
              <w:t>Date specificity:</w:t>
            </w:r>
            <w:r w:rsidRPr="005D4222">
              <w:t xml:space="preserve"> Dates must be specific enough to determine the event occurred in the period being measured. </w:t>
            </w:r>
          </w:p>
          <w:p w14:paraId="0B33198C" w14:textId="24368899" w:rsidR="008B0B96" w:rsidRPr="005D4222" w:rsidRDefault="008B0B96" w:rsidP="00D66A85">
            <w:pPr>
              <w:pStyle w:val="ECDSBody"/>
              <w:rPr>
                <w:b/>
                <w:i/>
                <w:iCs/>
              </w:rPr>
            </w:pPr>
            <w:r w:rsidRPr="005D4222">
              <w:rPr>
                <w:b/>
                <w:bCs w:val="0"/>
              </w:rPr>
              <w:t xml:space="preserve">Improvement </w:t>
            </w:r>
            <w:r w:rsidR="00D66A85" w:rsidRPr="005D4222">
              <w:rPr>
                <w:b/>
                <w:bCs w:val="0"/>
              </w:rPr>
              <w:t>n</w:t>
            </w:r>
            <w:r w:rsidRPr="005D4222">
              <w:rPr>
                <w:b/>
                <w:bCs w:val="0"/>
              </w:rPr>
              <w:t>otation</w:t>
            </w:r>
            <w:r w:rsidR="00D66A85" w:rsidRPr="005D4222">
              <w:rPr>
                <w:b/>
                <w:bCs w:val="0"/>
              </w:rPr>
              <w:t>:</w:t>
            </w:r>
            <w:r w:rsidR="00D66A85" w:rsidRPr="005D4222">
              <w:rPr>
                <w:b/>
                <w:bCs w:val="0"/>
                <w:i/>
                <w:iCs/>
              </w:rPr>
              <w:t xml:space="preserve"> </w:t>
            </w:r>
            <w:r w:rsidRPr="005D4222">
              <w:t>To interpret the ratio as better or worse than expected, the ratio must be calibrated. Organizations can calibrate ratios by dividing individual organization ratios or national percentiles by the national average ratio. Organizations may be more successful at achieving fewer hospitalizations than expected, given the types of cases treated by the organization (calibrated ratio with a value &lt;1.0), or may be less successful (calibrated ratio with a value &gt;1.0).</w:t>
            </w:r>
          </w:p>
        </w:tc>
      </w:tr>
      <w:tr w:rsidR="008B0B96" w:rsidRPr="005D4222" w14:paraId="20BD3D20" w14:textId="77777777" w:rsidTr="003F62E9">
        <w:tc>
          <w:tcPr>
            <w:tcW w:w="9714" w:type="dxa"/>
            <w:gridSpan w:val="2"/>
            <w:tcBorders>
              <w:top w:val="single" w:sz="4" w:space="0" w:color="auto"/>
              <w:bottom w:val="single" w:sz="4" w:space="0" w:color="auto"/>
            </w:tcBorders>
            <w:shd w:val="clear" w:color="auto" w:fill="BFBFBF" w:themeFill="background1" w:themeFillShade="BF"/>
            <w:tcMar>
              <w:top w:w="0" w:type="dxa"/>
              <w:left w:w="86" w:type="dxa"/>
              <w:bottom w:w="43" w:type="dxa"/>
              <w:right w:w="86" w:type="dxa"/>
            </w:tcMar>
          </w:tcPr>
          <w:p w14:paraId="243BAF35" w14:textId="77777777" w:rsidR="008B0B96" w:rsidRPr="005D4222" w:rsidRDefault="008B0B96" w:rsidP="00A53E8C">
            <w:pPr>
              <w:pStyle w:val="ECDSMarginHead"/>
            </w:pPr>
            <w:r w:rsidRPr="005D4222">
              <w:t>Definitions</w:t>
            </w:r>
          </w:p>
        </w:tc>
      </w:tr>
      <w:tr w:rsidR="008B0B96" w:rsidRPr="005D4222" w14:paraId="0E808AAE" w14:textId="77777777" w:rsidTr="003F62E9">
        <w:tc>
          <w:tcPr>
            <w:tcW w:w="2157" w:type="dxa"/>
            <w:tcBorders>
              <w:top w:val="nil"/>
              <w:bottom w:val="nil"/>
              <w:right w:val="single" w:sz="4" w:space="0" w:color="auto"/>
            </w:tcBorders>
            <w:tcMar>
              <w:top w:w="0" w:type="dxa"/>
              <w:left w:w="86" w:type="dxa"/>
              <w:bottom w:w="43" w:type="dxa"/>
              <w:right w:w="86" w:type="dxa"/>
            </w:tcMar>
          </w:tcPr>
          <w:p w14:paraId="16DEC94C" w14:textId="77777777" w:rsidR="008B0B96" w:rsidRPr="005D4222" w:rsidRDefault="008B0B96" w:rsidP="00A53E8C">
            <w:pPr>
              <w:pStyle w:val="ECDSMarginSubhead"/>
            </w:pPr>
            <w:r w:rsidRPr="005D4222">
              <w:t>Direct transfer</w:t>
            </w:r>
          </w:p>
        </w:tc>
        <w:tc>
          <w:tcPr>
            <w:tcW w:w="7557" w:type="dxa"/>
            <w:tcBorders>
              <w:top w:val="nil"/>
              <w:left w:val="nil"/>
              <w:bottom w:val="nil"/>
            </w:tcBorders>
            <w:tcMar>
              <w:top w:w="0" w:type="dxa"/>
              <w:left w:w="86" w:type="dxa"/>
              <w:bottom w:w="43" w:type="dxa"/>
              <w:right w:w="86" w:type="dxa"/>
            </w:tcMar>
          </w:tcPr>
          <w:p w14:paraId="7BDD25D3" w14:textId="77777777" w:rsidR="008B0B96" w:rsidRPr="005D4222" w:rsidRDefault="008B0B96" w:rsidP="00A53E8C">
            <w:pPr>
              <w:pStyle w:val="ECDSBody"/>
            </w:pPr>
            <w:r w:rsidRPr="005D4222">
              <w:t xml:space="preserve">When the discharge date from the initial stay precedes the admission date to a subsequent stay by 1 calendar day or less. </w:t>
            </w:r>
          </w:p>
          <w:p w14:paraId="6E00F8D9" w14:textId="77777777" w:rsidR="008B0B96" w:rsidRPr="005D4222" w:rsidRDefault="008B0B96" w:rsidP="008B0B96">
            <w:pPr>
              <w:pStyle w:val="Bullet"/>
              <w:numPr>
                <w:ilvl w:val="0"/>
                <w:numId w:val="4"/>
              </w:numPr>
              <w:tabs>
                <w:tab w:val="left" w:pos="360"/>
                <w:tab w:val="left" w:pos="576"/>
              </w:tabs>
              <w:ind w:left="576" w:hanging="216"/>
              <w:rPr>
                <w:i/>
              </w:rPr>
            </w:pPr>
            <w:r w:rsidRPr="005D4222">
              <w:rPr>
                <w:i/>
              </w:rPr>
              <w:t>For example:</w:t>
            </w:r>
          </w:p>
          <w:p w14:paraId="36579DEF" w14:textId="77777777" w:rsidR="008B0B96" w:rsidRPr="005D4222" w:rsidRDefault="008B0B96" w:rsidP="008B0B96">
            <w:pPr>
              <w:pStyle w:val="Dash"/>
              <w:tabs>
                <w:tab w:val="left" w:pos="576"/>
                <w:tab w:val="left" w:pos="792"/>
              </w:tabs>
              <w:rPr>
                <w:i/>
              </w:rPr>
            </w:pPr>
            <w:r w:rsidRPr="005D4222">
              <w:t xml:space="preserve">A discharge on June 1, followed by a subsequent admission on June 1 or June 2, </w:t>
            </w:r>
            <w:r w:rsidRPr="005D4222">
              <w:rPr>
                <w:i/>
              </w:rPr>
              <w:t>is a direct transfer.</w:t>
            </w:r>
          </w:p>
          <w:p w14:paraId="5A52B277" w14:textId="77777777" w:rsidR="008B0B96" w:rsidRPr="005D4222" w:rsidRDefault="008B0B96" w:rsidP="008B0B96">
            <w:pPr>
              <w:pStyle w:val="Dash"/>
              <w:tabs>
                <w:tab w:val="left" w:pos="576"/>
                <w:tab w:val="left" w:pos="792"/>
              </w:tabs>
            </w:pPr>
            <w:r w:rsidRPr="005D4222">
              <w:t xml:space="preserve">A discharge on June 1, followed by a subsequent admission on </w:t>
            </w:r>
            <w:r w:rsidRPr="005D4222">
              <w:br/>
              <w:t xml:space="preserve">June 3, </w:t>
            </w:r>
            <w:r w:rsidRPr="005D4222">
              <w:rPr>
                <w:i/>
              </w:rPr>
              <w:t>is not a direct transfer;</w:t>
            </w:r>
            <w:r w:rsidRPr="005D4222">
              <w:t xml:space="preserve"> these are two distinct stays.</w:t>
            </w:r>
          </w:p>
          <w:p w14:paraId="31955480" w14:textId="77777777" w:rsidR="008B0B96" w:rsidRPr="005D4222" w:rsidRDefault="008B0B96" w:rsidP="008B0B96">
            <w:pPr>
              <w:pStyle w:val="Dash"/>
              <w:tabs>
                <w:tab w:val="left" w:pos="576"/>
                <w:tab w:val="left" w:pos="792"/>
              </w:tabs>
            </w:pPr>
            <w:r w:rsidRPr="005D4222">
              <w:t xml:space="preserve">A discharge on June 1, followed by a subsequent admission on June 2 (with discharge on June 3), followed by a subsequent admission on June 4, </w:t>
            </w:r>
            <w:r w:rsidRPr="005D4222">
              <w:rPr>
                <w:i/>
              </w:rPr>
              <w:t>is a direct transfer.</w:t>
            </w:r>
          </w:p>
          <w:p w14:paraId="48D78119" w14:textId="77777777" w:rsidR="008B0B96" w:rsidRPr="005D4222" w:rsidRDefault="008B0B96" w:rsidP="00A53E8C">
            <w:pPr>
              <w:pStyle w:val="ECDSBody"/>
              <w:spacing w:after="0"/>
            </w:pPr>
            <w:r w:rsidRPr="005D4222">
              <w:t>Direct transfers may occur between different facilities, and between acute inpatient and observation.</w:t>
            </w:r>
          </w:p>
        </w:tc>
      </w:tr>
      <w:tr w:rsidR="008B0B96" w:rsidRPr="005D4222" w14:paraId="66808939" w14:textId="77777777" w:rsidTr="00886DCF">
        <w:tc>
          <w:tcPr>
            <w:tcW w:w="2157" w:type="dxa"/>
            <w:tcBorders>
              <w:top w:val="nil"/>
              <w:bottom w:val="nil"/>
              <w:right w:val="single" w:sz="4" w:space="0" w:color="auto"/>
            </w:tcBorders>
            <w:tcMar>
              <w:top w:w="0" w:type="dxa"/>
              <w:left w:w="86" w:type="dxa"/>
              <w:bottom w:w="43" w:type="dxa"/>
              <w:right w:w="86" w:type="dxa"/>
            </w:tcMar>
          </w:tcPr>
          <w:p w14:paraId="7454EC95" w14:textId="77777777" w:rsidR="008B0B96" w:rsidRPr="005D4222" w:rsidRDefault="008B0B96" w:rsidP="00A53E8C">
            <w:pPr>
              <w:pStyle w:val="ECDSMarginSubhead"/>
            </w:pPr>
            <w:r w:rsidRPr="005D4222">
              <w:t>Outlier</w:t>
            </w:r>
          </w:p>
        </w:tc>
        <w:tc>
          <w:tcPr>
            <w:tcW w:w="7557" w:type="dxa"/>
            <w:tcBorders>
              <w:top w:val="nil"/>
              <w:left w:val="nil"/>
              <w:bottom w:val="nil"/>
            </w:tcBorders>
            <w:tcMar>
              <w:top w:w="0" w:type="dxa"/>
              <w:left w:w="86" w:type="dxa"/>
              <w:bottom w:w="43" w:type="dxa"/>
              <w:right w:w="86" w:type="dxa"/>
            </w:tcMar>
          </w:tcPr>
          <w:p w14:paraId="7904F2E2" w14:textId="77777777" w:rsidR="008B0B96" w:rsidRPr="005D4222" w:rsidRDefault="008B0B96" w:rsidP="00A53E8C">
            <w:pPr>
              <w:pStyle w:val="ECDSBody"/>
            </w:pPr>
            <w:r w:rsidRPr="005D4222">
              <w:t>Medicare enrollees with four or more inpatient or observation stay discharges during the measurement period.</w:t>
            </w:r>
          </w:p>
          <w:p w14:paraId="4DE6B186" w14:textId="77777777" w:rsidR="008B0B96" w:rsidRPr="005D4222" w:rsidRDefault="008B0B96" w:rsidP="00A53E8C">
            <w:pPr>
              <w:pStyle w:val="ECDSBody"/>
            </w:pPr>
            <w:r w:rsidRPr="005D4222">
              <w:rPr>
                <w:rStyle w:val="normaltextrun"/>
                <w:szCs w:val="21"/>
                <w:shd w:val="clear" w:color="auto" w:fill="FFFFFF"/>
              </w:rPr>
              <w:t xml:space="preserve">Medicaid </w:t>
            </w:r>
            <w:r w:rsidRPr="005D4222">
              <w:t xml:space="preserve">enrollees </w:t>
            </w:r>
            <w:r w:rsidRPr="005D4222">
              <w:rPr>
                <w:rStyle w:val="normaltextrun"/>
                <w:szCs w:val="21"/>
                <w:shd w:val="clear" w:color="auto" w:fill="FFFFFF"/>
              </w:rPr>
              <w:t>with six or more inpatient or observation stay discharges during the measurement period.</w:t>
            </w:r>
          </w:p>
          <w:p w14:paraId="26355166" w14:textId="77777777" w:rsidR="008B0B96" w:rsidRPr="005D4222" w:rsidRDefault="008B0B96" w:rsidP="00A53E8C">
            <w:pPr>
              <w:pStyle w:val="ECDSBody"/>
              <w:spacing w:after="0"/>
            </w:pPr>
            <w:r w:rsidRPr="005D4222">
              <w:t>Commercial enrollees with three or more inpatient or observation stay discharges during the measurement period.</w:t>
            </w:r>
          </w:p>
        </w:tc>
      </w:tr>
      <w:tr w:rsidR="008B0B96" w:rsidRPr="005D4222" w14:paraId="7326157B" w14:textId="77777777" w:rsidTr="00886DCF">
        <w:tc>
          <w:tcPr>
            <w:tcW w:w="2157" w:type="dxa"/>
            <w:tcBorders>
              <w:top w:val="nil"/>
              <w:bottom w:val="single" w:sz="4" w:space="0" w:color="auto"/>
              <w:right w:val="single" w:sz="4" w:space="0" w:color="auto"/>
            </w:tcBorders>
            <w:tcMar>
              <w:top w:w="0" w:type="dxa"/>
              <w:left w:w="86" w:type="dxa"/>
              <w:bottom w:w="43" w:type="dxa"/>
              <w:right w:w="86" w:type="dxa"/>
            </w:tcMar>
          </w:tcPr>
          <w:p w14:paraId="6C1D415F" w14:textId="77777777" w:rsidR="008B0B96" w:rsidRPr="005D4222" w:rsidRDefault="008B0B96" w:rsidP="00A53E8C">
            <w:pPr>
              <w:pStyle w:val="ECDSMarginSubhead"/>
            </w:pPr>
            <w:r w:rsidRPr="005D4222">
              <w:t>Nonoutlier</w:t>
            </w:r>
          </w:p>
        </w:tc>
        <w:tc>
          <w:tcPr>
            <w:tcW w:w="7557" w:type="dxa"/>
            <w:tcBorders>
              <w:top w:val="nil"/>
              <w:left w:val="nil"/>
              <w:bottom w:val="single" w:sz="4" w:space="0" w:color="auto"/>
            </w:tcBorders>
            <w:tcMar>
              <w:top w:w="0" w:type="dxa"/>
              <w:left w:w="86" w:type="dxa"/>
              <w:bottom w:w="43" w:type="dxa"/>
              <w:right w:w="86" w:type="dxa"/>
            </w:tcMar>
          </w:tcPr>
          <w:p w14:paraId="3961C868" w14:textId="77777777" w:rsidR="008B0B96" w:rsidRPr="005D4222" w:rsidRDefault="008B0B96" w:rsidP="00A53E8C">
            <w:pPr>
              <w:pStyle w:val="ECDSBody"/>
            </w:pPr>
            <w:r w:rsidRPr="005D4222">
              <w:t>Medicare enrollees with three or fewer inpatient or observation stay discharges during the measurement period.</w:t>
            </w:r>
          </w:p>
          <w:p w14:paraId="22640BD1" w14:textId="3FB6A3F7" w:rsidR="008B0B96" w:rsidRPr="005D4222" w:rsidRDefault="008B0B96" w:rsidP="003F62E9">
            <w:pPr>
              <w:pStyle w:val="ECDSBody"/>
            </w:pPr>
            <w:r w:rsidRPr="005D4222">
              <w:t>Medicaid enrollees with five or fewer inpatient or observation stay discharges during the measurement period.</w:t>
            </w:r>
          </w:p>
        </w:tc>
      </w:tr>
      <w:tr w:rsidR="003F62E9" w:rsidRPr="005D4222" w14:paraId="08B5E2D4" w14:textId="77777777" w:rsidTr="00886DCF">
        <w:tc>
          <w:tcPr>
            <w:tcW w:w="2157" w:type="dxa"/>
            <w:tcBorders>
              <w:top w:val="single" w:sz="4" w:space="0" w:color="auto"/>
              <w:bottom w:val="nil"/>
              <w:right w:val="single" w:sz="4" w:space="0" w:color="auto"/>
            </w:tcBorders>
            <w:tcMar>
              <w:top w:w="0" w:type="dxa"/>
              <w:left w:w="86" w:type="dxa"/>
              <w:bottom w:w="43" w:type="dxa"/>
              <w:right w:w="86" w:type="dxa"/>
            </w:tcMar>
          </w:tcPr>
          <w:p w14:paraId="1EEB6645" w14:textId="77777777" w:rsidR="003F62E9" w:rsidRPr="005D4222" w:rsidRDefault="003F62E9" w:rsidP="003F62E9">
            <w:pPr>
              <w:pStyle w:val="ECDSMarginSubhead"/>
              <w:spacing w:after="0"/>
            </w:pPr>
          </w:p>
        </w:tc>
        <w:tc>
          <w:tcPr>
            <w:tcW w:w="7557" w:type="dxa"/>
            <w:tcBorders>
              <w:top w:val="single" w:sz="4" w:space="0" w:color="auto"/>
              <w:left w:val="nil"/>
              <w:bottom w:val="nil"/>
            </w:tcBorders>
            <w:tcMar>
              <w:top w:w="0" w:type="dxa"/>
              <w:left w:w="86" w:type="dxa"/>
              <w:bottom w:w="43" w:type="dxa"/>
              <w:right w:w="86" w:type="dxa"/>
            </w:tcMar>
          </w:tcPr>
          <w:p w14:paraId="47BF15D8" w14:textId="5EACB4ED" w:rsidR="003F62E9" w:rsidRPr="005D4222" w:rsidRDefault="003F62E9" w:rsidP="003F62E9">
            <w:pPr>
              <w:pStyle w:val="ECDSBody"/>
              <w:spacing w:after="0"/>
            </w:pPr>
            <w:r w:rsidRPr="005D4222">
              <w:t>Commercial enrollees with two or fewer inpatient or observation stay discharges during the measurement period.</w:t>
            </w:r>
          </w:p>
        </w:tc>
      </w:tr>
      <w:tr w:rsidR="008B0B96" w:rsidRPr="005D4222" w14:paraId="2E3DF796" w14:textId="77777777" w:rsidTr="003F62E9">
        <w:tc>
          <w:tcPr>
            <w:tcW w:w="2157" w:type="dxa"/>
            <w:tcBorders>
              <w:top w:val="nil"/>
              <w:bottom w:val="nil"/>
              <w:right w:val="single" w:sz="4" w:space="0" w:color="auto"/>
            </w:tcBorders>
            <w:tcMar>
              <w:top w:w="0" w:type="dxa"/>
              <w:left w:w="86" w:type="dxa"/>
              <w:bottom w:w="43" w:type="dxa"/>
              <w:right w:w="86" w:type="dxa"/>
            </w:tcMar>
          </w:tcPr>
          <w:p w14:paraId="1713179B" w14:textId="77777777" w:rsidR="008B0B96" w:rsidRPr="005D4222" w:rsidRDefault="008B0B96" w:rsidP="003F62E9">
            <w:pPr>
              <w:pStyle w:val="ECDSMarginSubhead"/>
              <w:spacing w:after="0"/>
            </w:pPr>
            <w:r w:rsidRPr="005D4222">
              <w:t>Planned hospital stay</w:t>
            </w:r>
          </w:p>
        </w:tc>
        <w:tc>
          <w:tcPr>
            <w:tcW w:w="7557" w:type="dxa"/>
            <w:tcBorders>
              <w:top w:val="nil"/>
              <w:left w:val="nil"/>
              <w:bottom w:val="nil"/>
            </w:tcBorders>
            <w:tcMar>
              <w:top w:w="0" w:type="dxa"/>
              <w:left w:w="86" w:type="dxa"/>
              <w:bottom w:w="43" w:type="dxa"/>
              <w:right w:w="86" w:type="dxa"/>
            </w:tcMar>
          </w:tcPr>
          <w:p w14:paraId="527D5BF7" w14:textId="77777777" w:rsidR="008B0B96" w:rsidRPr="005D4222" w:rsidRDefault="008B0B96" w:rsidP="003F62E9">
            <w:pPr>
              <w:pStyle w:val="ECDSBody"/>
              <w:spacing w:after="0"/>
            </w:pPr>
            <w:r w:rsidRPr="005D4222">
              <w:t>A hospital stay is considered planned if it meets criteria in step 3 of the measure observation.</w:t>
            </w:r>
          </w:p>
        </w:tc>
      </w:tr>
      <w:tr w:rsidR="008B0B96" w:rsidRPr="005D4222" w14:paraId="575CF842" w14:textId="77777777" w:rsidTr="003F62E9">
        <w:tc>
          <w:tcPr>
            <w:tcW w:w="2157" w:type="dxa"/>
            <w:tcBorders>
              <w:top w:val="nil"/>
              <w:bottom w:val="nil"/>
              <w:right w:val="single" w:sz="4" w:space="0" w:color="auto"/>
            </w:tcBorders>
            <w:tcMar>
              <w:top w:w="0" w:type="dxa"/>
              <w:left w:w="86" w:type="dxa"/>
              <w:bottom w:w="43" w:type="dxa"/>
              <w:right w:w="86" w:type="dxa"/>
            </w:tcMar>
          </w:tcPr>
          <w:p w14:paraId="1A4FFBB4" w14:textId="77777777" w:rsidR="008B0B96" w:rsidRPr="005D4222" w:rsidRDefault="008B0B96" w:rsidP="003F62E9">
            <w:pPr>
              <w:pStyle w:val="ECDSMarginSubhead"/>
              <w:spacing w:after="0"/>
            </w:pPr>
            <w:r w:rsidRPr="005D4222">
              <w:t>PPD</w:t>
            </w:r>
          </w:p>
        </w:tc>
        <w:tc>
          <w:tcPr>
            <w:tcW w:w="7557" w:type="dxa"/>
            <w:tcBorders>
              <w:top w:val="nil"/>
              <w:left w:val="nil"/>
              <w:bottom w:val="nil"/>
            </w:tcBorders>
            <w:tcMar>
              <w:top w:w="0" w:type="dxa"/>
              <w:left w:w="86" w:type="dxa"/>
              <w:bottom w:w="43" w:type="dxa"/>
              <w:right w:w="86" w:type="dxa"/>
            </w:tcMar>
          </w:tcPr>
          <w:p w14:paraId="0977E370" w14:textId="77777777" w:rsidR="008B0B96" w:rsidRPr="005D4222" w:rsidRDefault="008B0B96" w:rsidP="003F62E9">
            <w:pPr>
              <w:pStyle w:val="ECDSBody"/>
              <w:spacing w:after="0"/>
            </w:pPr>
            <w:r w:rsidRPr="005D4222">
              <w:t xml:space="preserve">Predicted probability of discharge. The predicted probability of a person having any discharge in the measurement period. </w:t>
            </w:r>
          </w:p>
        </w:tc>
      </w:tr>
      <w:tr w:rsidR="008B0B96" w:rsidRPr="005D4222" w14:paraId="6CDA1935" w14:textId="77777777" w:rsidTr="003F62E9">
        <w:tc>
          <w:tcPr>
            <w:tcW w:w="2157" w:type="dxa"/>
            <w:tcBorders>
              <w:top w:val="nil"/>
              <w:bottom w:val="nil"/>
              <w:right w:val="single" w:sz="4" w:space="0" w:color="auto"/>
            </w:tcBorders>
            <w:tcMar>
              <w:top w:w="0" w:type="dxa"/>
              <w:left w:w="86" w:type="dxa"/>
              <w:bottom w:w="43" w:type="dxa"/>
              <w:right w:w="86" w:type="dxa"/>
            </w:tcMar>
          </w:tcPr>
          <w:p w14:paraId="24ACDB23" w14:textId="77777777" w:rsidR="008B0B96" w:rsidRPr="005D4222" w:rsidRDefault="008B0B96" w:rsidP="00A53E8C">
            <w:pPr>
              <w:pStyle w:val="ECDSMarginSubhead"/>
            </w:pPr>
            <w:r w:rsidRPr="005D4222">
              <w:t>PUCD</w:t>
            </w:r>
          </w:p>
        </w:tc>
        <w:tc>
          <w:tcPr>
            <w:tcW w:w="7557" w:type="dxa"/>
            <w:tcBorders>
              <w:top w:val="nil"/>
              <w:left w:val="nil"/>
              <w:bottom w:val="single" w:sz="4" w:space="0" w:color="auto"/>
            </w:tcBorders>
            <w:tcMar>
              <w:top w:w="0" w:type="dxa"/>
              <w:left w:w="86" w:type="dxa"/>
              <w:bottom w:w="43" w:type="dxa"/>
              <w:right w:w="86" w:type="dxa"/>
            </w:tcMar>
          </w:tcPr>
          <w:p w14:paraId="165F9B6B" w14:textId="77777777" w:rsidR="008B0B96" w:rsidRPr="005D4222" w:rsidRDefault="008B0B96" w:rsidP="00A53E8C">
            <w:pPr>
              <w:pStyle w:val="ECDSBody"/>
              <w:rPr>
                <w:szCs w:val="21"/>
              </w:rPr>
            </w:pPr>
            <w:r w:rsidRPr="005D4222">
              <w:t>Predicted unconditional count of discharges. The predicted unconditional count of discharges for persons during the measurement period.</w:t>
            </w:r>
          </w:p>
        </w:tc>
      </w:tr>
      <w:tr w:rsidR="008B0B96" w:rsidRPr="005D4222" w14:paraId="1350A4D9" w14:textId="77777777" w:rsidTr="003F62E9">
        <w:tc>
          <w:tcPr>
            <w:tcW w:w="215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0605EF15" w14:textId="77777777" w:rsidR="008B0B96" w:rsidRPr="005D4222" w:rsidRDefault="008B0B96" w:rsidP="00A53E8C">
            <w:pPr>
              <w:pStyle w:val="ECDSMarginHead"/>
            </w:pPr>
            <w:r w:rsidRPr="005D4222">
              <w:t>Initial population</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2CB1B09A" w14:textId="77777777" w:rsidR="008B0B96" w:rsidRPr="005D4222" w:rsidRDefault="008B0B96" w:rsidP="00A53E8C">
            <w:pPr>
              <w:pStyle w:val="ECDSBody"/>
            </w:pPr>
            <w:r w:rsidRPr="005D4222">
              <w:rPr>
                <w:i/>
                <w:iCs/>
              </w:rPr>
              <w:t>Measure item count:</w:t>
            </w:r>
            <w:r w:rsidRPr="005D4222">
              <w:rPr>
                <w:i/>
              </w:rPr>
              <w:t xml:space="preserve"> </w:t>
            </w:r>
            <w:r w:rsidRPr="005D4222">
              <w:t>Person.</w:t>
            </w:r>
          </w:p>
          <w:p w14:paraId="37D0D1B9" w14:textId="77777777" w:rsidR="008B0B96" w:rsidRPr="005D4222" w:rsidRDefault="008B0B96" w:rsidP="00A53E8C">
            <w:pPr>
              <w:pStyle w:val="ECDSBody"/>
            </w:pPr>
            <w:r w:rsidRPr="005D4222">
              <w:rPr>
                <w:i/>
                <w:iCs/>
              </w:rPr>
              <w:t>Attribution basis:</w:t>
            </w:r>
            <w:r w:rsidRPr="005D4222">
              <w:rPr>
                <w:i/>
              </w:rPr>
              <w:t xml:space="preserve"> </w:t>
            </w:r>
            <w:r w:rsidRPr="005D4222">
              <w:t>Enrollment.</w:t>
            </w:r>
          </w:p>
          <w:p w14:paraId="610A6E83" w14:textId="77777777" w:rsidR="008B0B96" w:rsidRPr="005D4222" w:rsidRDefault="008B0B96" w:rsidP="008B0B96">
            <w:pPr>
              <w:pStyle w:val="Bullet"/>
              <w:numPr>
                <w:ilvl w:val="0"/>
                <w:numId w:val="4"/>
              </w:numPr>
              <w:tabs>
                <w:tab w:val="left" w:pos="360"/>
                <w:tab w:val="left" w:pos="576"/>
              </w:tabs>
              <w:ind w:left="576" w:hanging="216"/>
            </w:pPr>
            <w:r w:rsidRPr="005D4222">
              <w:rPr>
                <w:bCs/>
                <w:i/>
                <w:iCs/>
              </w:rPr>
              <w:t>Benefits:</w:t>
            </w:r>
            <w:r w:rsidRPr="005D4222">
              <w:t xml:space="preserve"> Medical.</w:t>
            </w:r>
          </w:p>
          <w:p w14:paraId="683E7C4B" w14:textId="77777777" w:rsidR="008B0B96" w:rsidRPr="005D4222" w:rsidRDefault="008B0B96" w:rsidP="008B0B96">
            <w:pPr>
              <w:pStyle w:val="Bullet"/>
              <w:numPr>
                <w:ilvl w:val="0"/>
                <w:numId w:val="4"/>
              </w:numPr>
              <w:tabs>
                <w:tab w:val="left" w:pos="360"/>
                <w:tab w:val="left" w:pos="576"/>
              </w:tabs>
              <w:ind w:left="576" w:hanging="216"/>
            </w:pPr>
            <w:r w:rsidRPr="005D4222">
              <w:rPr>
                <w:bCs/>
                <w:i/>
                <w:iCs/>
              </w:rPr>
              <w:t>Continuous enrollment:</w:t>
            </w:r>
            <w:r w:rsidRPr="005D4222">
              <w:rPr>
                <w:bCs/>
              </w:rPr>
              <w:t xml:space="preserve"> The measurement period and the year prior to the measurement period.</w:t>
            </w:r>
          </w:p>
          <w:p w14:paraId="403327E1" w14:textId="274927EB" w:rsidR="008B0B96" w:rsidRPr="005D4222" w:rsidRDefault="008B0B96" w:rsidP="008B0B96">
            <w:pPr>
              <w:pStyle w:val="Bullet"/>
              <w:numPr>
                <w:ilvl w:val="0"/>
                <w:numId w:val="4"/>
              </w:numPr>
              <w:tabs>
                <w:tab w:val="left" w:pos="360"/>
                <w:tab w:val="left" w:pos="576"/>
              </w:tabs>
              <w:ind w:left="576" w:hanging="216"/>
              <w:rPr>
                <w:i/>
                <w:iCs/>
              </w:rPr>
            </w:pPr>
            <w:r w:rsidRPr="005D4222">
              <w:rPr>
                <w:i/>
                <w:iCs/>
              </w:rPr>
              <w:t xml:space="preserve">Allowable gap: </w:t>
            </w:r>
            <w:r w:rsidRPr="005D4222">
              <w:t>No more than one gap of ≤45 days during each year of continuous enrollment. No gap on the last day of the measurement period.</w:t>
            </w:r>
          </w:p>
          <w:p w14:paraId="058DCC64" w14:textId="77777777" w:rsidR="008B0B96" w:rsidRPr="005D4222" w:rsidRDefault="008B0B96" w:rsidP="00A53E8C">
            <w:pPr>
              <w:pStyle w:val="Body"/>
              <w:rPr>
                <w:bCs/>
                <w:i/>
                <w:iCs/>
              </w:rPr>
            </w:pPr>
            <w:r w:rsidRPr="005D4222">
              <w:rPr>
                <w:bCs/>
                <w:i/>
                <w:iCs/>
              </w:rPr>
              <w:t xml:space="preserve">Ages: </w:t>
            </w:r>
          </w:p>
          <w:p w14:paraId="2BE6D027" w14:textId="77777777" w:rsidR="008B0B96" w:rsidRPr="005D4222" w:rsidRDefault="008B0B96" w:rsidP="008B0B96">
            <w:pPr>
              <w:pStyle w:val="Bullet"/>
              <w:numPr>
                <w:ilvl w:val="0"/>
                <w:numId w:val="4"/>
              </w:numPr>
              <w:tabs>
                <w:tab w:val="left" w:pos="360"/>
                <w:tab w:val="left" w:pos="576"/>
              </w:tabs>
              <w:ind w:left="576" w:hanging="216"/>
            </w:pPr>
            <w:r w:rsidRPr="005D4222">
              <w:rPr>
                <w:i/>
              </w:rPr>
              <w:t>Commercial and Medicare:</w:t>
            </w:r>
            <w:r w:rsidRPr="005D4222">
              <w:rPr>
                <w:bCs/>
              </w:rPr>
              <w:t xml:space="preserve"> </w:t>
            </w:r>
            <w:r w:rsidRPr="005D4222">
              <w:t>18 years of age and older as of the last day of the measurement period.</w:t>
            </w:r>
          </w:p>
          <w:p w14:paraId="50CC2802" w14:textId="77777777" w:rsidR="008B0B96" w:rsidRPr="005D4222" w:rsidRDefault="008B0B96" w:rsidP="008B0B96">
            <w:pPr>
              <w:pStyle w:val="Bullet"/>
              <w:numPr>
                <w:ilvl w:val="0"/>
                <w:numId w:val="4"/>
              </w:numPr>
              <w:tabs>
                <w:tab w:val="left" w:pos="360"/>
                <w:tab w:val="left" w:pos="576"/>
              </w:tabs>
              <w:ind w:left="576" w:hanging="216"/>
              <w:rPr>
                <w:bCs/>
              </w:rPr>
            </w:pPr>
            <w:r w:rsidRPr="005D4222">
              <w:rPr>
                <w:i/>
              </w:rPr>
              <w:t xml:space="preserve">Medicaid: </w:t>
            </w:r>
            <w:r w:rsidRPr="005D4222">
              <w:t>18–64 years of age as of the last day of the measurement period.</w:t>
            </w:r>
          </w:p>
          <w:p w14:paraId="4327A546" w14:textId="77777777" w:rsidR="008B0B96" w:rsidRPr="005D4222" w:rsidRDefault="008B0B96" w:rsidP="00A53E8C">
            <w:pPr>
              <w:pStyle w:val="Body"/>
              <w:rPr>
                <w:rFonts w:cs="Arial"/>
                <w:i/>
                <w:iCs/>
              </w:rPr>
            </w:pPr>
            <w:r w:rsidRPr="005D4222">
              <w:rPr>
                <w:rFonts w:cs="Arial"/>
                <w:i/>
                <w:iCs/>
              </w:rPr>
              <w:t>Gender/Sex criteria:</w:t>
            </w:r>
          </w:p>
          <w:p w14:paraId="62FC5262" w14:textId="77777777" w:rsidR="008B0B96" w:rsidRPr="005D4222" w:rsidRDefault="008B0B96" w:rsidP="008B0B96">
            <w:pPr>
              <w:pStyle w:val="Bullet"/>
              <w:numPr>
                <w:ilvl w:val="0"/>
                <w:numId w:val="4"/>
              </w:numPr>
              <w:tabs>
                <w:tab w:val="left" w:pos="360"/>
                <w:tab w:val="left" w:pos="576"/>
              </w:tabs>
              <w:ind w:left="576" w:hanging="216"/>
              <w:rPr>
                <w:iCs/>
              </w:rPr>
            </w:pPr>
            <w:r w:rsidRPr="005D4222">
              <w:rPr>
                <w:iCs/>
              </w:rPr>
              <w:t>Administrative Gender of Female (AdministrativeGender code female).</w:t>
            </w:r>
          </w:p>
          <w:p w14:paraId="04F15F48" w14:textId="77777777" w:rsidR="008B0B96" w:rsidRPr="005D4222" w:rsidRDefault="008B0B96" w:rsidP="008B0B96">
            <w:pPr>
              <w:pStyle w:val="Bullet"/>
              <w:numPr>
                <w:ilvl w:val="0"/>
                <w:numId w:val="4"/>
              </w:numPr>
              <w:tabs>
                <w:tab w:val="left" w:pos="360"/>
                <w:tab w:val="left" w:pos="576"/>
              </w:tabs>
              <w:spacing w:after="80"/>
              <w:ind w:left="576" w:hanging="216"/>
            </w:pPr>
            <w:r w:rsidRPr="005D4222">
              <w:rPr>
                <w:iCs/>
              </w:rPr>
              <w:t xml:space="preserve">Administrative Gender of </w:t>
            </w:r>
            <w:r w:rsidRPr="005D4222">
              <w:t>Male (AdministrativeGender code male).</w:t>
            </w:r>
          </w:p>
          <w:p w14:paraId="31FF89B8" w14:textId="77777777" w:rsidR="00886DCF" w:rsidRPr="005D4222" w:rsidRDefault="008B0B96" w:rsidP="00886DCF">
            <w:pPr>
              <w:pStyle w:val="ECDSBody"/>
              <w:rPr>
                <w:rFonts w:eastAsia="Arial,Arial,Arial,Arial,Arial,A"/>
                <w:b/>
              </w:rPr>
            </w:pPr>
            <w:r w:rsidRPr="005D4222">
              <w:rPr>
                <w:i/>
              </w:rPr>
              <w:t>Exclusion:</w:t>
            </w:r>
            <w:r w:rsidR="00886DCF" w:rsidRPr="005D4222">
              <w:rPr>
                <w:i/>
              </w:rPr>
              <w:t xml:space="preserve"> </w:t>
            </w:r>
            <w:r w:rsidRPr="005D4222" w:rsidDel="002D4AA7">
              <w:rPr>
                <w:rFonts w:eastAsia="Arial,Arial,Arial,Arial,Arial,A"/>
                <w:b/>
              </w:rPr>
              <w:t xml:space="preserve">Persons </w:t>
            </w:r>
            <w:r w:rsidRPr="005D4222">
              <w:rPr>
                <w:rFonts w:eastAsia="Arial,Arial,Arial,Arial,Arial,A"/>
                <w:b/>
              </w:rPr>
              <w:t>in hospice or using hospice services.</w:t>
            </w:r>
          </w:p>
          <w:p w14:paraId="67ADD852" w14:textId="028E8E8E" w:rsidR="008B0B96" w:rsidRPr="005D4222" w:rsidRDefault="008B0B96" w:rsidP="00886DCF">
            <w:pPr>
              <w:pStyle w:val="ECDSBody"/>
            </w:pP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8B0B96" w:rsidRPr="005D4222" w14:paraId="752828E9" w14:textId="77777777" w:rsidTr="003F62E9">
        <w:tc>
          <w:tcPr>
            <w:tcW w:w="2157" w:type="dxa"/>
            <w:tcBorders>
              <w:top w:val="single" w:sz="4" w:space="0" w:color="auto"/>
              <w:bottom w:val="single" w:sz="4" w:space="0" w:color="auto"/>
              <w:right w:val="single" w:sz="4" w:space="0" w:color="auto"/>
            </w:tcBorders>
            <w:shd w:val="clear" w:color="auto" w:fill="BFBFBF" w:themeFill="background1" w:themeFillShade="BF"/>
            <w:tcMar>
              <w:top w:w="86" w:type="dxa"/>
              <w:left w:w="86" w:type="dxa"/>
              <w:bottom w:w="43" w:type="dxa"/>
              <w:right w:w="86" w:type="dxa"/>
            </w:tcMar>
          </w:tcPr>
          <w:p w14:paraId="17D0D141" w14:textId="77777777" w:rsidR="008B0B96" w:rsidRPr="005D4222" w:rsidRDefault="008B0B96" w:rsidP="00A53E8C">
            <w:pPr>
              <w:pStyle w:val="ECDSMarginHead"/>
            </w:pPr>
            <w:r w:rsidRPr="005D4222">
              <w:t>Measure observation</w:t>
            </w:r>
          </w:p>
        </w:tc>
        <w:tc>
          <w:tcPr>
            <w:tcW w:w="7557" w:type="dxa"/>
            <w:tcBorders>
              <w:top w:val="single" w:sz="4" w:space="0" w:color="auto"/>
              <w:left w:val="single" w:sz="4" w:space="0" w:color="auto"/>
              <w:bottom w:val="single" w:sz="4" w:space="0" w:color="auto"/>
            </w:tcBorders>
            <w:tcMar>
              <w:left w:w="86" w:type="dxa"/>
              <w:bottom w:w="43" w:type="dxa"/>
              <w:right w:w="86" w:type="dxa"/>
            </w:tcMar>
          </w:tcPr>
          <w:p w14:paraId="40F87BD6" w14:textId="77777777" w:rsidR="008B0B96" w:rsidRPr="005D4222" w:rsidRDefault="008B0B96" w:rsidP="00A53E8C">
            <w:pPr>
              <w:pStyle w:val="ECDSBody"/>
            </w:pPr>
            <w:r w:rsidRPr="005D4222">
              <w:rPr>
                <w:b/>
                <w:bCs w:val="0"/>
              </w:rPr>
              <w:t>Calculation of observed events</w:t>
            </w:r>
            <w:r w:rsidRPr="005D4222">
              <w:br/>
              <w:t>Use the following steps to identify and categorize acute inpatient and observation stay discharges.</w:t>
            </w:r>
          </w:p>
          <w:p w14:paraId="17B396B0" w14:textId="77777777" w:rsidR="008B0B96" w:rsidRPr="005D4222" w:rsidRDefault="008B0B96" w:rsidP="00A53E8C">
            <w:pPr>
              <w:pStyle w:val="ECDSBody"/>
            </w:pPr>
            <w:r w:rsidRPr="005D4222">
              <w:rPr>
                <w:b/>
              </w:rPr>
              <w:t>Step 1.</w:t>
            </w:r>
            <w:r w:rsidRPr="005D4222">
              <w:t xml:space="preserve"> Identify all acute inpatient and observation stay discharges during the measurement period.</w:t>
            </w:r>
          </w:p>
          <w:p w14:paraId="5FA89E86" w14:textId="77777777" w:rsidR="008B0B96" w:rsidRPr="005D4222" w:rsidRDefault="008B0B96" w:rsidP="00A53E8C">
            <w:pPr>
              <w:pStyle w:val="Body"/>
              <w:spacing w:before="80"/>
              <w:ind w:left="648" w:hanging="288"/>
            </w:pPr>
            <w:r w:rsidRPr="005D4222">
              <w:t>1.</w:t>
            </w:r>
            <w:r w:rsidRPr="005D4222">
              <w:tab/>
              <w:t>Identify all acute and nonacute inpatient stays (</w:t>
            </w:r>
            <w:r w:rsidRPr="005D4222">
              <w:rPr>
                <w:u w:val="single"/>
              </w:rPr>
              <w:t>Inpatient Stay Value Set</w:t>
            </w:r>
            <w:r w:rsidRPr="005D4222">
              <w:t>) and observation stays (</w:t>
            </w:r>
            <w:r w:rsidRPr="005D4222">
              <w:rPr>
                <w:u w:val="single"/>
              </w:rPr>
              <w:t>Observation Stay Value Set</w:t>
            </w:r>
            <w:r w:rsidRPr="005D4222">
              <w:t xml:space="preserve">). </w:t>
            </w:r>
          </w:p>
          <w:p w14:paraId="62D66A8C" w14:textId="77777777" w:rsidR="008B0B96" w:rsidRPr="005D4222" w:rsidRDefault="008B0B96" w:rsidP="00A53E8C">
            <w:pPr>
              <w:pStyle w:val="Body"/>
              <w:spacing w:before="80"/>
              <w:ind w:left="648" w:hanging="288"/>
            </w:pPr>
            <w:r w:rsidRPr="005D4222">
              <w:t>2.</w:t>
            </w:r>
            <w:r w:rsidRPr="005D4222">
              <w:tab/>
              <w:t>Exclude nonacute inpatient stays (</w:t>
            </w:r>
            <w:r w:rsidRPr="005D4222">
              <w:rPr>
                <w:u w:val="single"/>
              </w:rPr>
              <w:t>Nonacute Inpatient Stay Value Set</w:t>
            </w:r>
            <w:r w:rsidRPr="005D4222">
              <w:t>).</w:t>
            </w:r>
          </w:p>
          <w:p w14:paraId="65A7E5CF" w14:textId="785CF3D0" w:rsidR="00363E17" w:rsidRPr="005D4222" w:rsidRDefault="008B0B96" w:rsidP="00363E17">
            <w:pPr>
              <w:pStyle w:val="Body"/>
              <w:spacing w:before="80" w:after="80"/>
              <w:ind w:left="648" w:hanging="288"/>
            </w:pPr>
            <w:r w:rsidRPr="005D4222">
              <w:t>3.</w:t>
            </w:r>
            <w:r w:rsidRPr="005D4222">
              <w:tab/>
              <w:t>Identify the discharge date for the stay.</w:t>
            </w:r>
          </w:p>
        </w:tc>
      </w:tr>
    </w:tbl>
    <w:p w14:paraId="210266C7" w14:textId="77777777" w:rsidR="00363E17" w:rsidRPr="005D4222" w:rsidRDefault="00363E17"/>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15" w:type="dxa"/>
          <w:bottom w:w="40" w:type="dxa"/>
          <w:right w:w="15" w:type="dxa"/>
        </w:tblCellMar>
        <w:tblLook w:val="04A0" w:firstRow="1" w:lastRow="0" w:firstColumn="1" w:lastColumn="0" w:noHBand="0" w:noVBand="1"/>
      </w:tblPr>
      <w:tblGrid>
        <w:gridCol w:w="2157"/>
        <w:gridCol w:w="7557"/>
      </w:tblGrid>
      <w:tr w:rsidR="008B0B96" w:rsidRPr="005D4222" w14:paraId="63B7517D" w14:textId="77777777" w:rsidTr="00363E17">
        <w:tc>
          <w:tcPr>
            <w:tcW w:w="2157" w:type="dxa"/>
            <w:tcBorders>
              <w:top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20B6765F" w14:textId="77777777" w:rsidR="008B0B96" w:rsidRPr="005D4222" w:rsidRDefault="008B0B96" w:rsidP="00A53E8C">
            <w:pPr>
              <w:pStyle w:val="ECDSMarginHead"/>
            </w:pPr>
          </w:p>
        </w:tc>
        <w:tc>
          <w:tcPr>
            <w:tcW w:w="7557" w:type="dxa"/>
            <w:tcBorders>
              <w:top w:val="single" w:sz="4" w:space="0" w:color="auto"/>
              <w:left w:val="single" w:sz="4" w:space="0" w:color="auto"/>
              <w:bottom w:val="single" w:sz="4" w:space="0" w:color="auto"/>
            </w:tcBorders>
            <w:tcMar>
              <w:left w:w="86" w:type="dxa"/>
              <w:bottom w:w="43" w:type="dxa"/>
              <w:right w:w="86" w:type="dxa"/>
            </w:tcMar>
          </w:tcPr>
          <w:p w14:paraId="337B8B59" w14:textId="77777777" w:rsidR="00363E17" w:rsidRPr="005D4222" w:rsidRDefault="00363E17" w:rsidP="00363E17">
            <w:pPr>
              <w:pStyle w:val="ECDSBody"/>
            </w:pPr>
            <w:r w:rsidRPr="005D4222">
              <w:rPr>
                <w:b/>
              </w:rPr>
              <w:t>Step 2.</w:t>
            </w:r>
            <w:r w:rsidRPr="005D4222">
              <w:t xml:space="preserve"> For discharges with one or more direct transfers, use the last discharge. Using the discharges identified in step 1, identify direct transfers between acute inpatient and observation using the definition of direct transfer.</w:t>
            </w:r>
          </w:p>
          <w:p w14:paraId="259D9805" w14:textId="77777777" w:rsidR="00363E17" w:rsidRPr="005D4222" w:rsidRDefault="00363E17" w:rsidP="00363E17">
            <w:pPr>
              <w:pStyle w:val="ECDSBody"/>
            </w:pPr>
            <w:r w:rsidRPr="005D4222">
              <w:rPr>
                <w:b/>
              </w:rPr>
              <w:t xml:space="preserve">Step 3. </w:t>
            </w:r>
            <w:r w:rsidRPr="005D4222">
              <w:t>For the remaining acute inpatient and observation stay discharges, exclude inpatient and observation stay discharges with any of the following criteria on the discharge claim:</w:t>
            </w:r>
          </w:p>
          <w:p w14:paraId="12E7DA94" w14:textId="77777777" w:rsidR="008B0B96" w:rsidRPr="005D4222" w:rsidRDefault="008B0B96" w:rsidP="008B0B96">
            <w:pPr>
              <w:pStyle w:val="Bullet"/>
              <w:numPr>
                <w:ilvl w:val="0"/>
                <w:numId w:val="4"/>
              </w:numPr>
              <w:tabs>
                <w:tab w:val="left" w:pos="360"/>
                <w:tab w:val="left" w:pos="576"/>
              </w:tabs>
              <w:spacing w:after="80"/>
              <w:ind w:left="576" w:hanging="216"/>
            </w:pPr>
            <w:r w:rsidRPr="005D4222">
              <w:t>A principal diagnosis of mental health or chemical dependency (</w:t>
            </w:r>
            <w:r w:rsidRPr="005D4222">
              <w:rPr>
                <w:u w:val="single"/>
              </w:rPr>
              <w:t>Mental and Behavioral Disorders Value Set</w:t>
            </w:r>
            <w:r w:rsidRPr="005D4222">
              <w:t xml:space="preserve">). </w:t>
            </w:r>
          </w:p>
          <w:p w14:paraId="63B91EDA" w14:textId="77777777" w:rsidR="008B0B96" w:rsidRPr="005D4222" w:rsidRDefault="008B0B96" w:rsidP="008B0B96">
            <w:pPr>
              <w:pStyle w:val="Bullet"/>
              <w:numPr>
                <w:ilvl w:val="0"/>
                <w:numId w:val="4"/>
              </w:numPr>
              <w:tabs>
                <w:tab w:val="left" w:pos="360"/>
                <w:tab w:val="left" w:pos="576"/>
              </w:tabs>
              <w:ind w:left="576" w:hanging="216"/>
            </w:pPr>
            <w:r w:rsidRPr="005D4222">
              <w:t>A principal diagnosis of live-born infant (</w:t>
            </w:r>
            <w:r w:rsidRPr="005D4222">
              <w:rPr>
                <w:u w:val="single"/>
              </w:rPr>
              <w:t>Deliveries Infant Record Value Set</w:t>
            </w:r>
            <w:r w:rsidRPr="005D4222">
              <w:t>) or maternity-related principal diagnosis (</w:t>
            </w:r>
            <w:r w:rsidRPr="005D4222">
              <w:rPr>
                <w:u w:val="single"/>
              </w:rPr>
              <w:t>Maternity Diagnosis Value Set</w:t>
            </w:r>
            <w:r w:rsidRPr="005D4222">
              <w:t>).</w:t>
            </w:r>
            <w:r w:rsidRPr="005D4222" w:rsidDel="005F38A5">
              <w:t xml:space="preserve"> </w:t>
            </w:r>
          </w:p>
          <w:p w14:paraId="4FE18F26" w14:textId="77777777" w:rsidR="008B0B96" w:rsidRPr="005D4222" w:rsidRDefault="008B0B96" w:rsidP="008B0B96">
            <w:pPr>
              <w:pStyle w:val="Bullet"/>
              <w:numPr>
                <w:ilvl w:val="0"/>
                <w:numId w:val="4"/>
              </w:numPr>
              <w:tabs>
                <w:tab w:val="left" w:pos="360"/>
                <w:tab w:val="left" w:pos="576"/>
              </w:tabs>
              <w:ind w:left="576" w:hanging="216"/>
            </w:pPr>
            <w:r w:rsidRPr="005D4222">
              <w:t>A maternity-related stay (</w:t>
            </w:r>
            <w:r w:rsidRPr="005D4222">
              <w:rPr>
                <w:u w:val="single"/>
              </w:rPr>
              <w:t>Maternity Value Set</w:t>
            </w:r>
            <w:r w:rsidRPr="005D4222">
              <w:t xml:space="preserve">). </w:t>
            </w:r>
          </w:p>
          <w:p w14:paraId="1B3D8B9C" w14:textId="77777777" w:rsidR="008B0B96" w:rsidRPr="005D4222" w:rsidRDefault="008B0B96" w:rsidP="008B0B96">
            <w:pPr>
              <w:pStyle w:val="Bullet"/>
              <w:numPr>
                <w:ilvl w:val="0"/>
                <w:numId w:val="4"/>
              </w:numPr>
              <w:tabs>
                <w:tab w:val="left" w:pos="360"/>
                <w:tab w:val="left" w:pos="576"/>
              </w:tabs>
              <w:ind w:left="576" w:hanging="216"/>
            </w:pPr>
            <w:r w:rsidRPr="005D4222">
              <w:t>A planned hospital stay using any of the following:</w:t>
            </w:r>
          </w:p>
          <w:p w14:paraId="23219B3E" w14:textId="77777777" w:rsidR="008B0B96" w:rsidRPr="005D4222" w:rsidRDefault="008B0B96" w:rsidP="008B0B96">
            <w:pPr>
              <w:pStyle w:val="Dash"/>
              <w:tabs>
                <w:tab w:val="left" w:pos="576"/>
                <w:tab w:val="left" w:pos="792"/>
              </w:tabs>
            </w:pPr>
            <w:r w:rsidRPr="005D4222">
              <w:t>A principal diagnosis of maintenance chemotherapy (</w:t>
            </w:r>
            <w:r w:rsidRPr="005D4222">
              <w:rPr>
                <w:u w:val="single"/>
              </w:rPr>
              <w:t>Chemotherapy Encounter Value Set</w:t>
            </w:r>
            <w:r w:rsidRPr="005D4222">
              <w:t xml:space="preserve">). </w:t>
            </w:r>
          </w:p>
          <w:p w14:paraId="5B4D5C82" w14:textId="77777777" w:rsidR="008B0B96" w:rsidRPr="005D4222" w:rsidRDefault="008B0B96" w:rsidP="008B0B96">
            <w:pPr>
              <w:pStyle w:val="Dash"/>
              <w:tabs>
                <w:tab w:val="left" w:pos="576"/>
                <w:tab w:val="left" w:pos="792"/>
              </w:tabs>
            </w:pPr>
            <w:r w:rsidRPr="005D4222">
              <w:t>A principal diagnosis of rehabilitation (</w:t>
            </w:r>
            <w:r w:rsidRPr="005D4222">
              <w:rPr>
                <w:u w:val="single"/>
              </w:rPr>
              <w:t>Rehabilitation Value Set</w:t>
            </w:r>
            <w:r w:rsidRPr="005D4222">
              <w:t xml:space="preserve">). </w:t>
            </w:r>
          </w:p>
          <w:p w14:paraId="41E2CFE7" w14:textId="77777777" w:rsidR="008B0B96" w:rsidRPr="005D4222" w:rsidRDefault="008B0B96" w:rsidP="008B0B96">
            <w:pPr>
              <w:pStyle w:val="Dash"/>
              <w:tabs>
                <w:tab w:val="left" w:pos="576"/>
                <w:tab w:val="left" w:pos="792"/>
              </w:tabs>
            </w:pPr>
            <w:r w:rsidRPr="005D4222">
              <w:t>An organ transplant (</w:t>
            </w:r>
            <w:r w:rsidRPr="005D4222">
              <w:rPr>
                <w:u w:val="single"/>
              </w:rPr>
              <w:t>Kidney Transplant Value Set</w:t>
            </w:r>
            <w:r w:rsidRPr="005D4222">
              <w:t>,</w:t>
            </w:r>
            <w:r w:rsidRPr="005D4222">
              <w:rPr>
                <w:u w:val="single"/>
              </w:rPr>
              <w:t xml:space="preserve"> Bone Marrow Transplant Value Set</w:t>
            </w:r>
            <w:r w:rsidRPr="005D4222">
              <w:t xml:space="preserve">, </w:t>
            </w:r>
            <w:r w:rsidRPr="005D4222">
              <w:rPr>
                <w:u w:val="single"/>
              </w:rPr>
              <w:t>Organ Transplant Other Than Kidney Value Set</w:t>
            </w:r>
            <w:r w:rsidRPr="005D4222">
              <w:t xml:space="preserve">, </w:t>
            </w:r>
            <w:r w:rsidRPr="005D4222">
              <w:rPr>
                <w:u w:val="single"/>
              </w:rPr>
              <w:t>Introduction of Autologous Pancreatic Cells Value Set</w:t>
            </w:r>
            <w:r w:rsidRPr="005D4222">
              <w:t>).</w:t>
            </w:r>
          </w:p>
          <w:p w14:paraId="354EA13E" w14:textId="77777777" w:rsidR="008B0B96" w:rsidRPr="005D4222" w:rsidRDefault="008B0B96" w:rsidP="008B0B96">
            <w:pPr>
              <w:pStyle w:val="Dash"/>
              <w:tabs>
                <w:tab w:val="left" w:pos="576"/>
                <w:tab w:val="left" w:pos="792"/>
              </w:tabs>
            </w:pPr>
            <w:r w:rsidRPr="005D4222">
              <w:t>A potentially planned procedure (</w:t>
            </w:r>
            <w:r w:rsidRPr="005D4222">
              <w:rPr>
                <w:u w:val="single"/>
              </w:rPr>
              <w:t>Potentially Planned Procedures Value Set</w:t>
            </w:r>
            <w:r w:rsidRPr="005D4222">
              <w:t>) without a principal acute diagnosis (</w:t>
            </w:r>
            <w:r w:rsidRPr="005D4222">
              <w:rPr>
                <w:u w:val="single"/>
              </w:rPr>
              <w:t>Acute Condition Value Set</w:t>
            </w:r>
            <w:r w:rsidRPr="005D4222">
              <w:t>).</w:t>
            </w:r>
          </w:p>
          <w:p w14:paraId="248C9693" w14:textId="77777777" w:rsidR="008B0B96" w:rsidRPr="005D4222" w:rsidRDefault="008B0B96" w:rsidP="008B0B96">
            <w:pPr>
              <w:pStyle w:val="Bullet"/>
              <w:numPr>
                <w:ilvl w:val="0"/>
                <w:numId w:val="4"/>
              </w:numPr>
              <w:tabs>
                <w:tab w:val="left" w:pos="360"/>
                <w:tab w:val="left" w:pos="576"/>
              </w:tabs>
              <w:ind w:left="576" w:hanging="216"/>
            </w:pPr>
            <w:r w:rsidRPr="005D4222">
              <w:t>Inpatient and observation stays with a discharge for death.</w:t>
            </w:r>
          </w:p>
          <w:p w14:paraId="40795115" w14:textId="77777777" w:rsidR="008B0B96" w:rsidRPr="005D4222" w:rsidRDefault="008B0B96" w:rsidP="00363E17">
            <w:pPr>
              <w:pStyle w:val="Note"/>
            </w:pPr>
            <w:r w:rsidRPr="005D4222">
              <w:rPr>
                <w:b/>
                <w:bCs/>
              </w:rPr>
              <w:t>Note:</w:t>
            </w:r>
            <w:r w:rsidRPr="005D4222">
              <w:t xml:space="preserve"> For hospital stays where there was a direct transfer (identified in step 2), use the original stay and any direct transfer stays to identify exclusions in this step.</w:t>
            </w:r>
          </w:p>
          <w:p w14:paraId="092857A4" w14:textId="77777777" w:rsidR="008B0B96" w:rsidRPr="005D4222" w:rsidRDefault="008B0B96" w:rsidP="00A53E8C">
            <w:pPr>
              <w:pStyle w:val="ECDSBody"/>
            </w:pPr>
            <w:r w:rsidRPr="005D4222">
              <w:rPr>
                <w:b/>
              </w:rPr>
              <w:t xml:space="preserve">Step 4. </w:t>
            </w:r>
            <w:r w:rsidRPr="005D4222">
              <w:t>Remove discharges for outliers and report these persons as outliers. Count discharges with one or more direct transfers (identified in step 2) as one discharge when identifying outliers.</w:t>
            </w:r>
          </w:p>
          <w:p w14:paraId="6BB6ED37" w14:textId="77777777" w:rsidR="008B0B96" w:rsidRPr="005D4222" w:rsidRDefault="008B0B96" w:rsidP="00A53E8C">
            <w:pPr>
              <w:pStyle w:val="ECDSBody"/>
              <w:rPr>
                <w:b/>
                <w:bCs w:val="0"/>
              </w:rPr>
            </w:pPr>
            <w:r w:rsidRPr="005D4222">
              <w:rPr>
                <w:b/>
              </w:rPr>
              <w:t xml:space="preserve">Step 5. </w:t>
            </w:r>
            <w:r w:rsidRPr="005D4222">
              <w:t>Calculate the total using all discharges identified after completing steps 1–4.</w:t>
            </w:r>
          </w:p>
        </w:tc>
      </w:tr>
      <w:tr w:rsidR="008B0B96" w:rsidRPr="005D4222" w14:paraId="1DFB8734" w14:textId="77777777" w:rsidTr="00EA26D6">
        <w:trPr>
          <w:trHeight w:val="863"/>
        </w:trPr>
        <w:tc>
          <w:tcPr>
            <w:tcW w:w="2157" w:type="dxa"/>
            <w:tcBorders>
              <w:top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0ABE01A7" w14:textId="77777777" w:rsidR="008B0B96" w:rsidRPr="005D4222" w:rsidRDefault="008B0B96" w:rsidP="00A53E8C">
            <w:pPr>
              <w:pStyle w:val="ECDSMarginSubhead"/>
            </w:pPr>
            <w:r w:rsidRPr="005D4222">
              <w:t>Risk adjustment</w:t>
            </w:r>
            <w:r w:rsidRPr="005D4222" w:rsidDel="00121865">
              <w:t xml:space="preserve"> </w:t>
            </w:r>
            <w:r w:rsidRPr="005D4222">
              <w:t>factors</w:t>
            </w:r>
          </w:p>
        </w:tc>
        <w:tc>
          <w:tcPr>
            <w:tcW w:w="7557" w:type="dxa"/>
            <w:tcBorders>
              <w:top w:val="single" w:sz="4" w:space="0" w:color="auto"/>
              <w:left w:val="single" w:sz="4" w:space="0" w:color="auto"/>
              <w:bottom w:val="single" w:sz="4" w:space="0" w:color="auto"/>
            </w:tcBorders>
            <w:tcMar>
              <w:left w:w="86" w:type="dxa"/>
              <w:bottom w:w="43" w:type="dxa"/>
              <w:right w:w="86" w:type="dxa"/>
            </w:tcMar>
          </w:tcPr>
          <w:p w14:paraId="365223F5" w14:textId="77777777" w:rsidR="008B0B96" w:rsidRPr="005D4222" w:rsidRDefault="008B0B96" w:rsidP="00A53E8C">
            <w:pPr>
              <w:pStyle w:val="ECDSBody"/>
              <w:rPr>
                <w:b/>
                <w:bCs w:val="0"/>
                <w:i/>
                <w:iCs/>
              </w:rPr>
            </w:pPr>
            <w:r w:rsidRPr="005D4222">
              <w:rPr>
                <w:b/>
                <w:bCs w:val="0"/>
                <w:i/>
                <w:iCs/>
              </w:rPr>
              <w:t>Risk Adjustment Determination</w:t>
            </w:r>
          </w:p>
          <w:p w14:paraId="083A4201" w14:textId="77777777" w:rsidR="008B0B96" w:rsidRPr="005D4222" w:rsidRDefault="008B0B96" w:rsidP="00A53E8C">
            <w:pPr>
              <w:pStyle w:val="ECDSBody"/>
            </w:pPr>
            <w:r w:rsidRPr="005D4222">
              <w:t>For each discharge among nonoutliers, identify risk adjustment weights based on comorbidity, age and gender. Weights are specific to product line (Medicare Under 65, Medicare 65 Plus, Medicaid, commercial). Refer to the reporting indicator column in the risk adjustment tables to ensure that weights are linked appropriately.</w:t>
            </w:r>
          </w:p>
          <w:p w14:paraId="3E02C53A" w14:textId="77777777" w:rsidR="008B0B96" w:rsidRPr="005D4222" w:rsidRDefault="008B0B96" w:rsidP="00A53E8C">
            <w:pPr>
              <w:pStyle w:val="ECDSBody"/>
              <w:rPr>
                <w:b/>
              </w:rPr>
            </w:pPr>
            <w:r w:rsidRPr="005D4222">
              <w:rPr>
                <w:b/>
              </w:rPr>
              <w:t>Comorbidities:</w:t>
            </w:r>
          </w:p>
          <w:p w14:paraId="0B552A00" w14:textId="77777777" w:rsidR="008B0B96" w:rsidRPr="005D4222" w:rsidRDefault="008B0B96" w:rsidP="00A53E8C">
            <w:pPr>
              <w:pStyle w:val="ECDSBody"/>
            </w:pPr>
            <w:r w:rsidRPr="005D4222">
              <w:rPr>
                <w:b/>
              </w:rPr>
              <w:t xml:space="preserve">Step 1. </w:t>
            </w:r>
            <w:r w:rsidRPr="005D4222">
              <w:t>Identify all diagnoses for encounters during the year prior to the measurement period. Include the following when identifying encounters:</w:t>
            </w:r>
          </w:p>
          <w:p w14:paraId="127141F1" w14:textId="4B9F680B" w:rsidR="008B0B96" w:rsidRPr="005D4222" w:rsidRDefault="008B0B96" w:rsidP="00886DCF">
            <w:pPr>
              <w:pStyle w:val="Bullet"/>
              <w:numPr>
                <w:ilvl w:val="0"/>
                <w:numId w:val="4"/>
              </w:numPr>
              <w:tabs>
                <w:tab w:val="left" w:pos="360"/>
                <w:tab w:val="left" w:pos="576"/>
              </w:tabs>
              <w:spacing w:before="60" w:after="80"/>
              <w:ind w:left="576" w:hanging="216"/>
              <w:rPr>
                <w:rFonts w:eastAsiaTheme="minorEastAsia"/>
                <w:b/>
                <w:color w:val="000000"/>
                <w:sz w:val="20"/>
                <w:u w:val="single"/>
                <w:lang w:eastAsia="zh-CN"/>
              </w:rPr>
            </w:pPr>
            <w:r w:rsidRPr="005D4222">
              <w:t>Outpatient visits, ED visits, telephone visits, nonacute inpatient encounters and acute inpatient encounters (</w:t>
            </w:r>
            <w:r w:rsidRPr="005D4222">
              <w:rPr>
                <w:u w:val="single"/>
              </w:rPr>
              <w:t>Outpatient, ED, Telephone, Acute Inpatient and Nonacute Inpatient Value Set</w:t>
            </w:r>
            <w:r w:rsidRPr="005D4222">
              <w:t>) with a date of service during the year prior to the measurement period</w:t>
            </w:r>
            <w:r w:rsidRPr="005D4222">
              <w:rPr>
                <w:szCs w:val="21"/>
              </w:rPr>
              <w:t xml:space="preserve">. </w:t>
            </w:r>
          </w:p>
        </w:tc>
      </w:tr>
    </w:tbl>
    <w:p w14:paraId="547740EF" w14:textId="77777777" w:rsidR="00DA4188" w:rsidRPr="005D4222" w:rsidRDefault="00DA4188">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15" w:type="dxa"/>
          <w:bottom w:w="40" w:type="dxa"/>
          <w:right w:w="15" w:type="dxa"/>
        </w:tblCellMar>
        <w:tblLook w:val="04A0" w:firstRow="1" w:lastRow="0" w:firstColumn="1" w:lastColumn="0" w:noHBand="0" w:noVBand="1"/>
      </w:tblPr>
      <w:tblGrid>
        <w:gridCol w:w="2157"/>
        <w:gridCol w:w="7557"/>
      </w:tblGrid>
      <w:tr w:rsidR="008B0B96" w:rsidRPr="005D4222" w14:paraId="65E297CF" w14:textId="77777777" w:rsidTr="00EA26D6">
        <w:tc>
          <w:tcPr>
            <w:tcW w:w="2157" w:type="dxa"/>
            <w:tcBorders>
              <w:top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557EA8C3" w14:textId="77777777" w:rsidR="008B0B96" w:rsidRPr="005D4222" w:rsidRDefault="008B0B96" w:rsidP="00A53E8C">
            <w:pPr>
              <w:pStyle w:val="ECDSMarginSubhead"/>
            </w:pPr>
          </w:p>
        </w:tc>
        <w:tc>
          <w:tcPr>
            <w:tcW w:w="7557" w:type="dxa"/>
            <w:tcBorders>
              <w:top w:val="single" w:sz="4" w:space="0" w:color="auto"/>
              <w:left w:val="single" w:sz="4" w:space="0" w:color="auto"/>
              <w:bottom w:val="single" w:sz="4" w:space="0" w:color="auto"/>
            </w:tcBorders>
            <w:tcMar>
              <w:left w:w="86" w:type="dxa"/>
              <w:bottom w:w="43" w:type="dxa"/>
              <w:right w:w="86" w:type="dxa"/>
            </w:tcMar>
          </w:tcPr>
          <w:p w14:paraId="04E19D59" w14:textId="77777777" w:rsidR="00DA4188" w:rsidRPr="005D4222" w:rsidRDefault="00DA4188" w:rsidP="00DA4188">
            <w:pPr>
              <w:pStyle w:val="Bullet"/>
              <w:numPr>
                <w:ilvl w:val="0"/>
                <w:numId w:val="4"/>
              </w:numPr>
              <w:tabs>
                <w:tab w:val="left" w:pos="360"/>
                <w:tab w:val="left" w:pos="576"/>
              </w:tabs>
              <w:spacing w:after="80"/>
              <w:ind w:left="576" w:hanging="216"/>
            </w:pPr>
            <w:r w:rsidRPr="005D4222">
              <w:t>Acute and nonacute inpatient discharges (</w:t>
            </w:r>
            <w:r w:rsidRPr="005D4222">
              <w:rPr>
                <w:u w:val="single"/>
              </w:rPr>
              <w:t>Inpatient Stay Value Set</w:t>
            </w:r>
            <w:r w:rsidRPr="005D4222">
              <w:t>) with a discharge date during the year prior to the measurement period</w:t>
            </w:r>
            <w:r w:rsidRPr="005D4222">
              <w:rPr>
                <w:szCs w:val="21"/>
              </w:rPr>
              <w:t xml:space="preserve">. </w:t>
            </w:r>
          </w:p>
          <w:p w14:paraId="5E5E1C66" w14:textId="77777777" w:rsidR="00DA4188" w:rsidRPr="005D4222" w:rsidRDefault="00DA4188" w:rsidP="00DA4188">
            <w:pPr>
              <w:pStyle w:val="ECDSBody"/>
            </w:pPr>
            <w:r w:rsidRPr="005D4222">
              <w:rPr>
                <w:b/>
              </w:rPr>
              <w:t xml:space="preserve">Step 2. </w:t>
            </w:r>
            <w:r w:rsidRPr="005D4222">
              <w:t>Assign each diagnosis to one or more comorbid Clinical Condition (CC) category using Table CC—Mapping in the Risk Adjustment Shared Tables. If the code appears more than once in Table CC—Mapping, it is assigned to multiple CCs.</w:t>
            </w:r>
          </w:p>
          <w:p w14:paraId="5B745051" w14:textId="77777777" w:rsidR="00DA4188" w:rsidRPr="005D4222" w:rsidRDefault="00DA4188" w:rsidP="00DA4188">
            <w:pPr>
              <w:pStyle w:val="ECDSBody"/>
            </w:pPr>
            <w:r w:rsidRPr="005D4222">
              <w:t>Exclude all diagnoses that cannot be assigned to a comorbid CC category. For persons with no qualifying diagnoses from face-to-face encounters, skip to Risk Adjustment Calculation.</w:t>
            </w:r>
          </w:p>
          <w:p w14:paraId="183A1669" w14:textId="77777777" w:rsidR="00DA4188" w:rsidRPr="005D4222" w:rsidRDefault="00DA4188" w:rsidP="00DA4188">
            <w:pPr>
              <w:pStyle w:val="ECDSBody"/>
            </w:pPr>
            <w:r w:rsidRPr="005D4222">
              <w:rPr>
                <w:rFonts w:eastAsia="Arial"/>
              </w:rPr>
              <w:t>All digits mu</w:t>
            </w:r>
            <w:r w:rsidRPr="005D4222">
              <w:rPr>
                <w:rFonts w:eastAsia="Arial"/>
                <w:bCs w:val="0"/>
                <w:szCs w:val="21"/>
              </w:rPr>
              <w:t>st match exactly when mapping diagnosis codes to the comorbid CCs.</w:t>
            </w:r>
          </w:p>
          <w:p w14:paraId="077A6B9A" w14:textId="77777777" w:rsidR="00DA4188" w:rsidRPr="005D4222" w:rsidRDefault="00DA4188" w:rsidP="00DA4188">
            <w:pPr>
              <w:pStyle w:val="ECDSBody"/>
            </w:pPr>
            <w:r w:rsidRPr="005D4222">
              <w:rPr>
                <w:b/>
              </w:rPr>
              <w:t xml:space="preserve">Step 3. </w:t>
            </w:r>
            <w:r w:rsidRPr="005D4222">
              <w:t>Determine HCCs for each comorbid CC identified. Refer to Table HCC—Rank.</w:t>
            </w:r>
          </w:p>
          <w:p w14:paraId="7E7EA1EC" w14:textId="77777777" w:rsidR="00DA4188" w:rsidRPr="005D4222" w:rsidRDefault="00DA4188" w:rsidP="00DA4188">
            <w:pPr>
              <w:pStyle w:val="ECDSBody"/>
            </w:pPr>
            <w:r w:rsidRPr="005D4222">
              <w:t>For each person’s comorbid CC list, match the comorbid CC code to the comorbid CC code in the table, and assign:</w:t>
            </w:r>
          </w:p>
          <w:p w14:paraId="5B16D6AA" w14:textId="77777777" w:rsidR="00DA4188" w:rsidRPr="005D4222" w:rsidRDefault="00DA4188" w:rsidP="00DA4188">
            <w:pPr>
              <w:pStyle w:val="Bullet"/>
              <w:numPr>
                <w:ilvl w:val="0"/>
                <w:numId w:val="4"/>
              </w:numPr>
              <w:tabs>
                <w:tab w:val="left" w:pos="360"/>
                <w:tab w:val="left" w:pos="576"/>
              </w:tabs>
              <w:ind w:left="576" w:hanging="216"/>
            </w:pPr>
            <w:r w:rsidRPr="005D4222">
              <w:t>The ranking group.</w:t>
            </w:r>
          </w:p>
          <w:p w14:paraId="16362262" w14:textId="77777777" w:rsidR="00DA4188" w:rsidRPr="005D4222" w:rsidRDefault="00DA4188" w:rsidP="00DA4188">
            <w:pPr>
              <w:pStyle w:val="Bullet"/>
              <w:numPr>
                <w:ilvl w:val="0"/>
                <w:numId w:val="4"/>
              </w:numPr>
              <w:tabs>
                <w:tab w:val="left" w:pos="360"/>
                <w:tab w:val="left" w:pos="576"/>
              </w:tabs>
              <w:ind w:left="576" w:hanging="216"/>
            </w:pPr>
            <w:r w:rsidRPr="005D4222">
              <w:t>The rank.</w:t>
            </w:r>
          </w:p>
          <w:p w14:paraId="35D1CF49" w14:textId="77777777" w:rsidR="00DA4188" w:rsidRPr="005D4222" w:rsidRDefault="00DA4188" w:rsidP="00DA4188">
            <w:pPr>
              <w:pStyle w:val="Bullet"/>
              <w:numPr>
                <w:ilvl w:val="0"/>
                <w:numId w:val="4"/>
              </w:numPr>
              <w:tabs>
                <w:tab w:val="left" w:pos="360"/>
                <w:tab w:val="left" w:pos="576"/>
              </w:tabs>
              <w:ind w:left="576" w:hanging="216"/>
            </w:pPr>
            <w:r w:rsidRPr="005D4222">
              <w:t>The HCC.</w:t>
            </w:r>
          </w:p>
          <w:p w14:paraId="4D09FA83" w14:textId="77777777" w:rsidR="00DA4188" w:rsidRPr="005D4222" w:rsidRDefault="00DA4188" w:rsidP="00DA4188">
            <w:pPr>
              <w:pStyle w:val="ECDSBody"/>
            </w:pPr>
            <w:r w:rsidRPr="005D4222">
              <w:t>For comorbid CCs that do not match to Table HCC—Rank, use the comorbid CC as the HCC and assign a rank of 1. One comorbid CC can map to multiple HCCs; each HCC can have one or more comorbid CCs.</w:t>
            </w:r>
          </w:p>
          <w:p w14:paraId="12DC4903" w14:textId="77777777" w:rsidR="00DA4188" w:rsidRPr="005D4222" w:rsidRDefault="00DA4188" w:rsidP="00DA4188">
            <w:pPr>
              <w:pStyle w:val="ECDSBody"/>
            </w:pPr>
            <w:r w:rsidRPr="005D4222">
              <w:rPr>
                <w:b/>
              </w:rPr>
              <w:t>Step 4.</w:t>
            </w:r>
            <w:r w:rsidRPr="005D4222">
              <w:t xml:space="preserve"> Assess each ranking group separately and select only the highest ranked HCC in each ranking group using the “Rank” column (1 is the highest rank possible). </w:t>
            </w:r>
          </w:p>
          <w:p w14:paraId="27E9AE44" w14:textId="77777777" w:rsidR="00DA4188" w:rsidRPr="005D4222" w:rsidRDefault="00DA4188" w:rsidP="00DA4188">
            <w:pPr>
              <w:pStyle w:val="ECDSBody"/>
            </w:pPr>
            <w:r w:rsidRPr="005D4222">
              <w:t xml:space="preserve">Drop all other HCCs in each ranking group, and de-duplicate the HCC list if necessary. </w:t>
            </w:r>
          </w:p>
          <w:p w14:paraId="4ACF26B1" w14:textId="77777777" w:rsidR="00DA4188" w:rsidRPr="005D4222" w:rsidRDefault="00DA4188" w:rsidP="00DA4188">
            <w:pPr>
              <w:pStyle w:val="Bullet"/>
              <w:numPr>
                <w:ilvl w:val="0"/>
                <w:numId w:val="4"/>
              </w:numPr>
              <w:tabs>
                <w:tab w:val="left" w:pos="360"/>
                <w:tab w:val="left" w:pos="576"/>
              </w:tabs>
              <w:ind w:left="576" w:hanging="216"/>
            </w:pPr>
            <w:r w:rsidRPr="005D4222">
              <w:rPr>
                <w:i/>
                <w:iCs/>
              </w:rPr>
              <w:t xml:space="preserve">For example, </w:t>
            </w:r>
            <w:r w:rsidRPr="005D4222">
              <w:t xml:space="preserve">assume a person with the following comorbid CCs: CC-85, CC-17 and CC-19 (assume no other CCs). </w:t>
            </w:r>
          </w:p>
          <w:p w14:paraId="080C32CA" w14:textId="77777777" w:rsidR="00DA4188" w:rsidRPr="005D4222" w:rsidRDefault="00DA4188" w:rsidP="00DA4188">
            <w:pPr>
              <w:pStyle w:val="Dash"/>
              <w:tabs>
                <w:tab w:val="left" w:pos="576"/>
                <w:tab w:val="left" w:pos="792"/>
              </w:tabs>
            </w:pPr>
            <w:r w:rsidRPr="005D4222">
              <w:t xml:space="preserve">CC-85 does not have a map to the ranking table and becomes </w:t>
            </w:r>
            <w:r w:rsidRPr="005D4222">
              <w:br/>
              <w:t>HCC-85.</w:t>
            </w:r>
          </w:p>
          <w:p w14:paraId="570524BB" w14:textId="77777777" w:rsidR="00DA4188" w:rsidRPr="005D4222" w:rsidRDefault="00DA4188" w:rsidP="00DA4188">
            <w:pPr>
              <w:pStyle w:val="Dash"/>
              <w:tabs>
                <w:tab w:val="left" w:pos="576"/>
                <w:tab w:val="left" w:pos="792"/>
              </w:tabs>
            </w:pPr>
            <w:r w:rsidRPr="005D4222">
              <w:t xml:space="preserve">HCC-17 and HCC-19 are part of Diabetes Ranking Group 1. Because CC-17 is ranked higher than CC-19 in Ranking Group Diabetes 1, the comorbidity is assigned as HCC-17 for Ranking Group 1. </w:t>
            </w:r>
          </w:p>
          <w:p w14:paraId="7B5F005B" w14:textId="77777777" w:rsidR="00DA4188" w:rsidRPr="005D4222" w:rsidRDefault="00DA4188" w:rsidP="00DA4188">
            <w:pPr>
              <w:pStyle w:val="ECDSBody"/>
              <w:spacing w:before="80"/>
              <w:ind w:left="576"/>
              <w:rPr>
                <w:b/>
              </w:rPr>
            </w:pPr>
            <w:r w:rsidRPr="005D4222">
              <w:t>The final comorbidities for this person are HCC-17 and HCC-85.</w:t>
            </w:r>
          </w:p>
          <w:p w14:paraId="069DAEE1" w14:textId="77777777" w:rsidR="00DA4188" w:rsidRPr="005D4222" w:rsidRDefault="00DA4188" w:rsidP="00DA4188">
            <w:pPr>
              <w:pStyle w:val="Heading3"/>
              <w:spacing w:before="120"/>
            </w:pPr>
            <w:r w:rsidRPr="005D4222">
              <w:rPr>
                <w:iCs/>
              </w:rPr>
              <w:t>Table HCC—Rank</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0"/>
              <w:gridCol w:w="865"/>
              <w:gridCol w:w="3012"/>
              <w:gridCol w:w="1042"/>
              <w:gridCol w:w="1156"/>
            </w:tblGrid>
            <w:tr w:rsidR="00DA4188" w:rsidRPr="005D4222" w14:paraId="320A478B" w14:textId="77777777" w:rsidTr="00A53E8C">
              <w:trPr>
                <w:trHeight w:val="321"/>
              </w:trPr>
              <w:tc>
                <w:tcPr>
                  <w:tcW w:w="1300" w:type="dxa"/>
                  <w:tcBorders>
                    <w:right w:val="single" w:sz="6" w:space="0" w:color="FFFFFF" w:themeColor="background1"/>
                  </w:tcBorders>
                  <w:shd w:val="clear" w:color="auto" w:fill="000000" w:themeFill="text1"/>
                  <w:vAlign w:val="bottom"/>
                  <w:hideMark/>
                </w:tcPr>
                <w:p w14:paraId="6A4A9F1D" w14:textId="77777777" w:rsidR="00DA4188" w:rsidRPr="005D4222" w:rsidRDefault="00DA4188" w:rsidP="00DA4188">
                  <w:pPr>
                    <w:pStyle w:val="TableHead"/>
                    <w:rPr>
                      <w:color w:val="auto"/>
                    </w:rPr>
                  </w:pPr>
                  <w:r w:rsidRPr="005D4222">
                    <w:rPr>
                      <w:color w:val="auto"/>
                    </w:rPr>
                    <w:t>Ranking Group</w:t>
                  </w:r>
                </w:p>
              </w:tc>
              <w:tc>
                <w:tcPr>
                  <w:tcW w:w="865" w:type="dxa"/>
                  <w:tcBorders>
                    <w:left w:val="single" w:sz="6" w:space="0" w:color="FFFFFF" w:themeColor="background1"/>
                    <w:right w:val="single" w:sz="6" w:space="0" w:color="FFFFFF" w:themeColor="background1"/>
                  </w:tcBorders>
                  <w:shd w:val="clear" w:color="auto" w:fill="000000" w:themeFill="text1"/>
                  <w:vAlign w:val="bottom"/>
                  <w:hideMark/>
                </w:tcPr>
                <w:p w14:paraId="4BC71046" w14:textId="77777777" w:rsidR="00DA4188" w:rsidRPr="005D4222" w:rsidRDefault="00DA4188" w:rsidP="00DA4188">
                  <w:pPr>
                    <w:pStyle w:val="TableHead"/>
                    <w:rPr>
                      <w:color w:val="auto"/>
                    </w:rPr>
                  </w:pPr>
                  <w:r w:rsidRPr="005D4222">
                    <w:rPr>
                      <w:color w:val="auto"/>
                    </w:rPr>
                    <w:t>CC</w:t>
                  </w:r>
                </w:p>
              </w:tc>
              <w:tc>
                <w:tcPr>
                  <w:tcW w:w="3012" w:type="dxa"/>
                  <w:tcBorders>
                    <w:left w:val="single" w:sz="6" w:space="0" w:color="FFFFFF" w:themeColor="background1"/>
                    <w:right w:val="single" w:sz="6" w:space="0" w:color="FFFFFF" w:themeColor="background1"/>
                  </w:tcBorders>
                  <w:shd w:val="clear" w:color="auto" w:fill="000000" w:themeFill="text1"/>
                  <w:vAlign w:val="bottom"/>
                  <w:hideMark/>
                </w:tcPr>
                <w:p w14:paraId="2EC8271F" w14:textId="77777777" w:rsidR="00DA4188" w:rsidRPr="005D4222" w:rsidRDefault="00DA4188" w:rsidP="00DA4188">
                  <w:pPr>
                    <w:pStyle w:val="TableHead"/>
                    <w:rPr>
                      <w:color w:val="auto"/>
                    </w:rPr>
                  </w:pPr>
                  <w:r w:rsidRPr="005D4222">
                    <w:rPr>
                      <w:color w:val="auto"/>
                    </w:rPr>
                    <w:t>Description</w:t>
                  </w:r>
                </w:p>
              </w:tc>
              <w:tc>
                <w:tcPr>
                  <w:tcW w:w="1042" w:type="dxa"/>
                  <w:tcBorders>
                    <w:left w:val="single" w:sz="6" w:space="0" w:color="FFFFFF" w:themeColor="background1"/>
                    <w:right w:val="single" w:sz="6" w:space="0" w:color="FFFFFF" w:themeColor="background1"/>
                  </w:tcBorders>
                  <w:shd w:val="clear" w:color="auto" w:fill="000000" w:themeFill="text1"/>
                  <w:vAlign w:val="bottom"/>
                  <w:hideMark/>
                </w:tcPr>
                <w:p w14:paraId="4F9193FF" w14:textId="77777777" w:rsidR="00DA4188" w:rsidRPr="005D4222" w:rsidRDefault="00DA4188" w:rsidP="00DA4188">
                  <w:pPr>
                    <w:pStyle w:val="TableHead"/>
                    <w:rPr>
                      <w:color w:val="auto"/>
                    </w:rPr>
                  </w:pPr>
                  <w:r w:rsidRPr="005D4222">
                    <w:rPr>
                      <w:color w:val="auto"/>
                    </w:rPr>
                    <w:t>Rank</w:t>
                  </w:r>
                </w:p>
              </w:tc>
              <w:tc>
                <w:tcPr>
                  <w:tcW w:w="1156" w:type="dxa"/>
                  <w:tcBorders>
                    <w:left w:val="single" w:sz="6" w:space="0" w:color="FFFFFF" w:themeColor="background1"/>
                  </w:tcBorders>
                  <w:shd w:val="clear" w:color="auto" w:fill="000000" w:themeFill="text1"/>
                  <w:vAlign w:val="bottom"/>
                  <w:hideMark/>
                </w:tcPr>
                <w:p w14:paraId="1EE77F45" w14:textId="77777777" w:rsidR="00DA4188" w:rsidRPr="005D4222" w:rsidRDefault="00DA4188" w:rsidP="00DA4188">
                  <w:pPr>
                    <w:pStyle w:val="TableHead"/>
                    <w:rPr>
                      <w:color w:val="auto"/>
                    </w:rPr>
                  </w:pPr>
                  <w:r w:rsidRPr="005D4222">
                    <w:rPr>
                      <w:color w:val="auto"/>
                    </w:rPr>
                    <w:t>HCC</w:t>
                  </w:r>
                </w:p>
              </w:tc>
            </w:tr>
            <w:tr w:rsidR="00DA4188" w:rsidRPr="005D4222" w14:paraId="1629E06B" w14:textId="77777777" w:rsidTr="00A53E8C">
              <w:trPr>
                <w:trHeight w:val="332"/>
              </w:trPr>
              <w:tc>
                <w:tcPr>
                  <w:tcW w:w="1300" w:type="dxa"/>
                  <w:tcBorders>
                    <w:bottom w:val="single" w:sz="4" w:space="0" w:color="000000" w:themeColor="text1"/>
                  </w:tcBorders>
                  <w:hideMark/>
                </w:tcPr>
                <w:p w14:paraId="4F67724B" w14:textId="77777777" w:rsidR="00DA4188" w:rsidRPr="005D4222" w:rsidRDefault="00DA4188" w:rsidP="00DA4188">
                  <w:pPr>
                    <w:pStyle w:val="TableText"/>
                  </w:pPr>
                  <w:r w:rsidRPr="005D4222">
                    <w:t>NA</w:t>
                  </w:r>
                </w:p>
              </w:tc>
              <w:tc>
                <w:tcPr>
                  <w:tcW w:w="865" w:type="dxa"/>
                  <w:tcBorders>
                    <w:bottom w:val="single" w:sz="4" w:space="0" w:color="000000" w:themeColor="text1"/>
                  </w:tcBorders>
                  <w:hideMark/>
                </w:tcPr>
                <w:p w14:paraId="4E987612" w14:textId="77777777" w:rsidR="00DA4188" w:rsidRPr="005D4222" w:rsidRDefault="00DA4188" w:rsidP="00DA4188">
                  <w:pPr>
                    <w:pStyle w:val="TableText"/>
                    <w:jc w:val="center"/>
                  </w:pPr>
                  <w:r w:rsidRPr="005D4222">
                    <w:t>CC-85</w:t>
                  </w:r>
                </w:p>
              </w:tc>
              <w:tc>
                <w:tcPr>
                  <w:tcW w:w="3012" w:type="dxa"/>
                  <w:tcBorders>
                    <w:bottom w:val="single" w:sz="4" w:space="0" w:color="000000" w:themeColor="text1"/>
                  </w:tcBorders>
                  <w:hideMark/>
                </w:tcPr>
                <w:p w14:paraId="49F66DAD" w14:textId="77777777" w:rsidR="00DA4188" w:rsidRPr="005D4222" w:rsidRDefault="00DA4188" w:rsidP="00DA4188">
                  <w:pPr>
                    <w:pStyle w:val="TableText"/>
                  </w:pPr>
                  <w:r w:rsidRPr="005D4222">
                    <w:t>Congestive Heart Failure</w:t>
                  </w:r>
                </w:p>
              </w:tc>
              <w:tc>
                <w:tcPr>
                  <w:tcW w:w="1042" w:type="dxa"/>
                  <w:tcBorders>
                    <w:bottom w:val="single" w:sz="4" w:space="0" w:color="000000" w:themeColor="text1"/>
                  </w:tcBorders>
                  <w:hideMark/>
                </w:tcPr>
                <w:p w14:paraId="0DDA5739" w14:textId="77777777" w:rsidR="00DA4188" w:rsidRPr="005D4222" w:rsidRDefault="00DA4188" w:rsidP="00DA4188">
                  <w:pPr>
                    <w:pStyle w:val="TableText"/>
                    <w:jc w:val="center"/>
                  </w:pPr>
                  <w:r w:rsidRPr="005D4222">
                    <w:t>NA</w:t>
                  </w:r>
                </w:p>
              </w:tc>
              <w:tc>
                <w:tcPr>
                  <w:tcW w:w="1156" w:type="dxa"/>
                  <w:tcBorders>
                    <w:bottom w:val="single" w:sz="4" w:space="0" w:color="000000" w:themeColor="text1"/>
                  </w:tcBorders>
                  <w:hideMark/>
                </w:tcPr>
                <w:p w14:paraId="0C50E33A" w14:textId="77777777" w:rsidR="00DA4188" w:rsidRPr="005D4222" w:rsidRDefault="00DA4188" w:rsidP="00DA4188">
                  <w:pPr>
                    <w:pStyle w:val="TableText"/>
                    <w:jc w:val="center"/>
                  </w:pPr>
                  <w:r w:rsidRPr="005D4222">
                    <w:t>HCC-85</w:t>
                  </w:r>
                </w:p>
              </w:tc>
            </w:tr>
            <w:tr w:rsidR="00DA4188" w:rsidRPr="005D4222" w14:paraId="384C02F5" w14:textId="77777777" w:rsidTr="00A53E8C">
              <w:trPr>
                <w:trHeight w:val="321"/>
              </w:trPr>
              <w:tc>
                <w:tcPr>
                  <w:tcW w:w="1300" w:type="dxa"/>
                  <w:vMerge w:val="restart"/>
                  <w:shd w:val="clear" w:color="auto" w:fill="FFFFFF" w:themeFill="background1"/>
                  <w:vAlign w:val="center"/>
                  <w:hideMark/>
                </w:tcPr>
                <w:p w14:paraId="5F933320" w14:textId="77777777" w:rsidR="00DA4188" w:rsidRPr="005D4222" w:rsidRDefault="00DA4188" w:rsidP="00DA4188">
                  <w:pPr>
                    <w:pStyle w:val="TableText"/>
                    <w:rPr>
                      <w:rFonts w:cs="Arial"/>
                    </w:rPr>
                  </w:pPr>
                  <w:r w:rsidRPr="005D4222">
                    <w:rPr>
                      <w:rFonts w:cs="Arial"/>
                    </w:rPr>
                    <w:t xml:space="preserve">Diabetes 1 </w:t>
                  </w:r>
                </w:p>
              </w:tc>
              <w:tc>
                <w:tcPr>
                  <w:tcW w:w="865" w:type="dxa"/>
                  <w:tcBorders>
                    <w:top w:val="single" w:sz="4" w:space="0" w:color="000000" w:themeColor="text1"/>
                    <w:bottom w:val="single" w:sz="4" w:space="0" w:color="808080" w:themeColor="background1" w:themeShade="80"/>
                  </w:tcBorders>
                  <w:shd w:val="clear" w:color="auto" w:fill="FFFFFF" w:themeFill="background1"/>
                  <w:hideMark/>
                </w:tcPr>
                <w:p w14:paraId="2D1D2CB1" w14:textId="77777777" w:rsidR="00DA4188" w:rsidRPr="005D4222" w:rsidRDefault="00DA4188" w:rsidP="00DA4188">
                  <w:pPr>
                    <w:pStyle w:val="TableText"/>
                    <w:jc w:val="center"/>
                    <w:rPr>
                      <w:rFonts w:cs="Arial"/>
                    </w:rPr>
                  </w:pPr>
                  <w:r w:rsidRPr="005D4222">
                    <w:rPr>
                      <w:rFonts w:cs="Arial"/>
                    </w:rPr>
                    <w:t>CC-17</w:t>
                  </w:r>
                </w:p>
              </w:tc>
              <w:tc>
                <w:tcPr>
                  <w:tcW w:w="3012" w:type="dxa"/>
                  <w:tcBorders>
                    <w:top w:val="single" w:sz="4" w:space="0" w:color="000000" w:themeColor="text1"/>
                    <w:bottom w:val="single" w:sz="4" w:space="0" w:color="808080" w:themeColor="background1" w:themeShade="80"/>
                  </w:tcBorders>
                  <w:shd w:val="clear" w:color="auto" w:fill="FFFFFF" w:themeFill="background1"/>
                  <w:hideMark/>
                </w:tcPr>
                <w:p w14:paraId="53484283" w14:textId="77777777" w:rsidR="00DA4188" w:rsidRPr="005D4222" w:rsidRDefault="00DA4188" w:rsidP="00DA4188">
                  <w:pPr>
                    <w:pStyle w:val="TableText"/>
                    <w:rPr>
                      <w:rFonts w:cs="Arial"/>
                    </w:rPr>
                  </w:pPr>
                  <w:r w:rsidRPr="005D4222">
                    <w:rPr>
                      <w:rFonts w:cs="Arial"/>
                    </w:rPr>
                    <w:t xml:space="preserve">Diabetes With Acute Complications </w:t>
                  </w:r>
                </w:p>
              </w:tc>
              <w:tc>
                <w:tcPr>
                  <w:tcW w:w="1042" w:type="dxa"/>
                  <w:tcBorders>
                    <w:top w:val="single" w:sz="4" w:space="0" w:color="000000" w:themeColor="text1"/>
                    <w:bottom w:val="single" w:sz="4" w:space="0" w:color="808080" w:themeColor="background1" w:themeShade="80"/>
                  </w:tcBorders>
                  <w:shd w:val="clear" w:color="auto" w:fill="FFFFFF" w:themeFill="background1"/>
                  <w:hideMark/>
                </w:tcPr>
                <w:p w14:paraId="162C8EFB" w14:textId="77777777" w:rsidR="00DA4188" w:rsidRPr="005D4222" w:rsidRDefault="00DA4188" w:rsidP="00DA4188">
                  <w:pPr>
                    <w:pStyle w:val="TableText"/>
                    <w:jc w:val="center"/>
                    <w:rPr>
                      <w:rFonts w:cs="Arial"/>
                    </w:rPr>
                  </w:pPr>
                  <w:r w:rsidRPr="005D4222">
                    <w:rPr>
                      <w:rFonts w:cs="Arial"/>
                    </w:rPr>
                    <w:t>1</w:t>
                  </w:r>
                </w:p>
              </w:tc>
              <w:tc>
                <w:tcPr>
                  <w:tcW w:w="1156" w:type="dxa"/>
                  <w:tcBorders>
                    <w:top w:val="single" w:sz="4" w:space="0" w:color="000000" w:themeColor="text1"/>
                    <w:bottom w:val="single" w:sz="4" w:space="0" w:color="808080" w:themeColor="background1" w:themeShade="80"/>
                  </w:tcBorders>
                  <w:shd w:val="clear" w:color="auto" w:fill="FFFFFF" w:themeFill="background1"/>
                  <w:hideMark/>
                </w:tcPr>
                <w:p w14:paraId="46760288" w14:textId="77777777" w:rsidR="00DA4188" w:rsidRPr="005D4222" w:rsidRDefault="00DA4188" w:rsidP="00DA4188">
                  <w:pPr>
                    <w:pStyle w:val="TableText"/>
                    <w:jc w:val="center"/>
                    <w:rPr>
                      <w:rFonts w:cs="Arial"/>
                    </w:rPr>
                  </w:pPr>
                  <w:r w:rsidRPr="005D4222">
                    <w:rPr>
                      <w:rFonts w:cs="Arial"/>
                    </w:rPr>
                    <w:t>HCC-17</w:t>
                  </w:r>
                </w:p>
              </w:tc>
            </w:tr>
            <w:tr w:rsidR="00DA4188" w:rsidRPr="005D4222" w14:paraId="7C1187A9" w14:textId="77777777" w:rsidTr="00A53E8C">
              <w:trPr>
                <w:trHeight w:val="343"/>
              </w:trPr>
              <w:tc>
                <w:tcPr>
                  <w:tcW w:w="1300" w:type="dxa"/>
                  <w:vMerge/>
                  <w:shd w:val="clear" w:color="auto" w:fill="FFFFFF" w:themeFill="background1"/>
                  <w:hideMark/>
                </w:tcPr>
                <w:p w14:paraId="571A4BE4" w14:textId="77777777" w:rsidR="00DA4188" w:rsidRPr="005D4222" w:rsidRDefault="00DA4188" w:rsidP="00DA4188">
                  <w:pPr>
                    <w:pStyle w:val="TableText"/>
                    <w:rPr>
                      <w:rFonts w:cs="Arial"/>
                    </w:rPr>
                  </w:pPr>
                </w:p>
              </w:tc>
              <w:tc>
                <w:tcPr>
                  <w:tcW w:w="865" w:type="dxa"/>
                  <w:tcBorders>
                    <w:top w:val="single" w:sz="4" w:space="0" w:color="808080" w:themeColor="background1" w:themeShade="80"/>
                    <w:bottom w:val="single" w:sz="4" w:space="0" w:color="808080" w:themeColor="background1" w:themeShade="80"/>
                  </w:tcBorders>
                  <w:shd w:val="clear" w:color="auto" w:fill="FFFFFF" w:themeFill="background1"/>
                  <w:hideMark/>
                </w:tcPr>
                <w:p w14:paraId="26DE5055" w14:textId="77777777" w:rsidR="00DA4188" w:rsidRPr="005D4222" w:rsidRDefault="00DA4188" w:rsidP="00DA4188">
                  <w:pPr>
                    <w:pStyle w:val="TableText"/>
                    <w:jc w:val="center"/>
                    <w:rPr>
                      <w:rFonts w:cs="Arial"/>
                    </w:rPr>
                  </w:pPr>
                  <w:r w:rsidRPr="005D4222">
                    <w:rPr>
                      <w:rFonts w:cs="Arial"/>
                    </w:rPr>
                    <w:t>CC-18</w:t>
                  </w:r>
                </w:p>
              </w:tc>
              <w:tc>
                <w:tcPr>
                  <w:tcW w:w="3012" w:type="dxa"/>
                  <w:tcBorders>
                    <w:top w:val="single" w:sz="4" w:space="0" w:color="808080" w:themeColor="background1" w:themeShade="80"/>
                    <w:bottom w:val="single" w:sz="4" w:space="0" w:color="808080" w:themeColor="background1" w:themeShade="80"/>
                  </w:tcBorders>
                  <w:shd w:val="clear" w:color="auto" w:fill="FFFFFF" w:themeFill="background1"/>
                  <w:hideMark/>
                </w:tcPr>
                <w:p w14:paraId="39BC92F0" w14:textId="77777777" w:rsidR="00DA4188" w:rsidRPr="005D4222" w:rsidRDefault="00DA4188" w:rsidP="00DA4188">
                  <w:pPr>
                    <w:pStyle w:val="TableText"/>
                    <w:rPr>
                      <w:rFonts w:cs="Arial"/>
                    </w:rPr>
                  </w:pPr>
                  <w:r w:rsidRPr="005D4222">
                    <w:rPr>
                      <w:rFonts w:cs="Arial"/>
                    </w:rPr>
                    <w:t xml:space="preserve">Diabetes With Chronic Complications </w:t>
                  </w:r>
                </w:p>
              </w:tc>
              <w:tc>
                <w:tcPr>
                  <w:tcW w:w="1042" w:type="dxa"/>
                  <w:tcBorders>
                    <w:top w:val="single" w:sz="4" w:space="0" w:color="808080" w:themeColor="background1" w:themeShade="80"/>
                    <w:bottom w:val="single" w:sz="4" w:space="0" w:color="808080" w:themeColor="background1" w:themeShade="80"/>
                  </w:tcBorders>
                  <w:shd w:val="clear" w:color="auto" w:fill="FFFFFF" w:themeFill="background1"/>
                  <w:hideMark/>
                </w:tcPr>
                <w:p w14:paraId="125DD4A9" w14:textId="77777777" w:rsidR="00DA4188" w:rsidRPr="005D4222" w:rsidRDefault="00DA4188" w:rsidP="00DA4188">
                  <w:pPr>
                    <w:pStyle w:val="TableText"/>
                    <w:jc w:val="center"/>
                    <w:rPr>
                      <w:rFonts w:cs="Arial"/>
                    </w:rPr>
                  </w:pPr>
                  <w:r w:rsidRPr="005D4222">
                    <w:rPr>
                      <w:rFonts w:cs="Arial"/>
                    </w:rPr>
                    <w:t>2</w:t>
                  </w:r>
                </w:p>
              </w:tc>
              <w:tc>
                <w:tcPr>
                  <w:tcW w:w="1156" w:type="dxa"/>
                  <w:tcBorders>
                    <w:top w:val="single" w:sz="4" w:space="0" w:color="808080" w:themeColor="background1" w:themeShade="80"/>
                    <w:bottom w:val="single" w:sz="4" w:space="0" w:color="808080" w:themeColor="background1" w:themeShade="80"/>
                  </w:tcBorders>
                  <w:shd w:val="clear" w:color="auto" w:fill="FFFFFF" w:themeFill="background1"/>
                  <w:hideMark/>
                </w:tcPr>
                <w:p w14:paraId="34B41835" w14:textId="77777777" w:rsidR="00DA4188" w:rsidRPr="005D4222" w:rsidRDefault="00DA4188" w:rsidP="00DA4188">
                  <w:pPr>
                    <w:pStyle w:val="TableText"/>
                    <w:jc w:val="center"/>
                    <w:rPr>
                      <w:rFonts w:cs="Arial"/>
                    </w:rPr>
                  </w:pPr>
                  <w:r w:rsidRPr="005D4222">
                    <w:rPr>
                      <w:rFonts w:cs="Arial"/>
                    </w:rPr>
                    <w:t>HCC-18</w:t>
                  </w:r>
                </w:p>
              </w:tc>
            </w:tr>
            <w:tr w:rsidR="00DA4188" w:rsidRPr="005D4222" w14:paraId="1A16F662" w14:textId="77777777" w:rsidTr="00A53E8C">
              <w:trPr>
                <w:trHeight w:val="332"/>
              </w:trPr>
              <w:tc>
                <w:tcPr>
                  <w:tcW w:w="1300" w:type="dxa"/>
                  <w:vMerge/>
                  <w:shd w:val="clear" w:color="auto" w:fill="FFFFFF" w:themeFill="background1"/>
                  <w:hideMark/>
                </w:tcPr>
                <w:p w14:paraId="478E5980" w14:textId="77777777" w:rsidR="00DA4188" w:rsidRPr="005D4222" w:rsidRDefault="00DA4188" w:rsidP="00DA4188">
                  <w:pPr>
                    <w:pStyle w:val="TableText"/>
                    <w:rPr>
                      <w:rFonts w:cs="Arial"/>
                    </w:rPr>
                  </w:pPr>
                </w:p>
              </w:tc>
              <w:tc>
                <w:tcPr>
                  <w:tcW w:w="865" w:type="dxa"/>
                  <w:tcBorders>
                    <w:top w:val="single" w:sz="4" w:space="0" w:color="808080" w:themeColor="background1" w:themeShade="80"/>
                    <w:bottom w:val="single" w:sz="4" w:space="0" w:color="808080" w:themeColor="background1" w:themeShade="80"/>
                  </w:tcBorders>
                  <w:shd w:val="clear" w:color="auto" w:fill="FFFFFF" w:themeFill="background1"/>
                  <w:hideMark/>
                </w:tcPr>
                <w:p w14:paraId="3B0C6E20" w14:textId="77777777" w:rsidR="00DA4188" w:rsidRPr="005D4222" w:rsidRDefault="00DA4188" w:rsidP="00DA4188">
                  <w:pPr>
                    <w:pStyle w:val="TableText"/>
                    <w:jc w:val="center"/>
                    <w:rPr>
                      <w:rFonts w:cs="Arial"/>
                    </w:rPr>
                  </w:pPr>
                  <w:r w:rsidRPr="005D4222">
                    <w:rPr>
                      <w:rFonts w:cs="Arial"/>
                    </w:rPr>
                    <w:t>CC-19</w:t>
                  </w:r>
                </w:p>
              </w:tc>
              <w:tc>
                <w:tcPr>
                  <w:tcW w:w="3012" w:type="dxa"/>
                  <w:tcBorders>
                    <w:top w:val="single" w:sz="4" w:space="0" w:color="808080" w:themeColor="background1" w:themeShade="80"/>
                    <w:bottom w:val="single" w:sz="4" w:space="0" w:color="808080" w:themeColor="background1" w:themeShade="80"/>
                  </w:tcBorders>
                  <w:shd w:val="clear" w:color="auto" w:fill="FFFFFF" w:themeFill="background1"/>
                  <w:hideMark/>
                </w:tcPr>
                <w:p w14:paraId="66E9874E" w14:textId="77777777" w:rsidR="00DA4188" w:rsidRPr="005D4222" w:rsidRDefault="00DA4188" w:rsidP="00DA4188">
                  <w:pPr>
                    <w:pStyle w:val="TableText"/>
                    <w:rPr>
                      <w:rFonts w:cs="Arial"/>
                    </w:rPr>
                  </w:pPr>
                  <w:r w:rsidRPr="005D4222">
                    <w:rPr>
                      <w:rFonts w:cs="Arial"/>
                    </w:rPr>
                    <w:t xml:space="preserve">Diabetes Without Complications </w:t>
                  </w:r>
                </w:p>
              </w:tc>
              <w:tc>
                <w:tcPr>
                  <w:tcW w:w="1042" w:type="dxa"/>
                  <w:tcBorders>
                    <w:top w:val="single" w:sz="4" w:space="0" w:color="808080" w:themeColor="background1" w:themeShade="80"/>
                    <w:bottom w:val="single" w:sz="4" w:space="0" w:color="808080" w:themeColor="background1" w:themeShade="80"/>
                  </w:tcBorders>
                  <w:shd w:val="clear" w:color="auto" w:fill="FFFFFF" w:themeFill="background1"/>
                  <w:hideMark/>
                </w:tcPr>
                <w:p w14:paraId="27F8B8B1" w14:textId="77777777" w:rsidR="00DA4188" w:rsidRPr="005D4222" w:rsidRDefault="00DA4188" w:rsidP="00DA4188">
                  <w:pPr>
                    <w:pStyle w:val="TableText"/>
                    <w:jc w:val="center"/>
                    <w:rPr>
                      <w:rFonts w:cs="Arial"/>
                    </w:rPr>
                  </w:pPr>
                  <w:r w:rsidRPr="005D4222">
                    <w:rPr>
                      <w:rFonts w:cs="Arial"/>
                    </w:rPr>
                    <w:t>3</w:t>
                  </w:r>
                </w:p>
              </w:tc>
              <w:tc>
                <w:tcPr>
                  <w:tcW w:w="1156" w:type="dxa"/>
                  <w:tcBorders>
                    <w:top w:val="single" w:sz="4" w:space="0" w:color="808080" w:themeColor="background1" w:themeShade="80"/>
                    <w:bottom w:val="single" w:sz="4" w:space="0" w:color="808080" w:themeColor="background1" w:themeShade="80"/>
                  </w:tcBorders>
                  <w:shd w:val="clear" w:color="auto" w:fill="FFFFFF" w:themeFill="background1"/>
                  <w:hideMark/>
                </w:tcPr>
                <w:p w14:paraId="0BD233B9" w14:textId="77777777" w:rsidR="00DA4188" w:rsidRPr="005D4222" w:rsidRDefault="00DA4188" w:rsidP="00DA4188">
                  <w:pPr>
                    <w:pStyle w:val="TableText"/>
                    <w:jc w:val="center"/>
                    <w:rPr>
                      <w:rFonts w:cs="Arial"/>
                    </w:rPr>
                  </w:pPr>
                  <w:r w:rsidRPr="005D4222">
                    <w:rPr>
                      <w:rFonts w:cs="Arial"/>
                    </w:rPr>
                    <w:t>HCC-19</w:t>
                  </w:r>
                </w:p>
              </w:tc>
            </w:tr>
          </w:tbl>
          <w:p w14:paraId="0AD69A1A" w14:textId="77777777" w:rsidR="008B0B96" w:rsidRPr="005D4222" w:rsidRDefault="008B0B96" w:rsidP="00A53E8C">
            <w:pPr>
              <w:pStyle w:val="ECDSBody"/>
            </w:pPr>
          </w:p>
        </w:tc>
      </w:tr>
    </w:tbl>
    <w:p w14:paraId="46F18915" w14:textId="77777777" w:rsidR="00DA4188" w:rsidRPr="005D4222" w:rsidRDefault="00DA4188"/>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15" w:type="dxa"/>
          <w:bottom w:w="40" w:type="dxa"/>
          <w:right w:w="15" w:type="dxa"/>
        </w:tblCellMar>
        <w:tblLook w:val="04A0" w:firstRow="1" w:lastRow="0" w:firstColumn="1" w:lastColumn="0" w:noHBand="0" w:noVBand="1"/>
      </w:tblPr>
      <w:tblGrid>
        <w:gridCol w:w="2157"/>
        <w:gridCol w:w="7557"/>
      </w:tblGrid>
      <w:tr w:rsidR="00DA4188" w:rsidRPr="005D4222" w14:paraId="6D5D0668" w14:textId="77777777" w:rsidTr="00EA26D6">
        <w:tc>
          <w:tcPr>
            <w:tcW w:w="2157" w:type="dxa"/>
            <w:tcBorders>
              <w:top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52126709" w14:textId="77777777" w:rsidR="00DA4188" w:rsidRPr="005D4222" w:rsidRDefault="00DA4188" w:rsidP="00DA4188">
            <w:pPr>
              <w:pStyle w:val="ECDSMarginHead"/>
            </w:pPr>
          </w:p>
        </w:tc>
        <w:tc>
          <w:tcPr>
            <w:tcW w:w="7557" w:type="dxa"/>
            <w:tcBorders>
              <w:top w:val="single" w:sz="4" w:space="0" w:color="auto"/>
              <w:left w:val="single" w:sz="4" w:space="0" w:color="auto"/>
              <w:bottom w:val="single" w:sz="4" w:space="0" w:color="auto"/>
            </w:tcBorders>
            <w:tcMar>
              <w:left w:w="86" w:type="dxa"/>
              <w:bottom w:w="43" w:type="dxa"/>
              <w:right w:w="86" w:type="dxa"/>
            </w:tcMar>
          </w:tcPr>
          <w:p w14:paraId="0615A285" w14:textId="77777777" w:rsidR="00DA4188" w:rsidRPr="005D4222" w:rsidRDefault="00DA4188" w:rsidP="00DA4188">
            <w:pPr>
              <w:pStyle w:val="ECDSBody"/>
            </w:pPr>
            <w:r w:rsidRPr="005D4222">
              <w:rPr>
                <w:b/>
                <w:i/>
                <w:iCs/>
              </w:rPr>
              <w:t>Step 5.</w:t>
            </w:r>
            <w:r w:rsidRPr="005D4222">
              <w:rPr>
                <w:b/>
              </w:rPr>
              <w:t xml:space="preserve"> </w:t>
            </w:r>
            <w:r w:rsidRPr="005D4222">
              <w:t xml:space="preserve">Identify combination HCCs listed in Table HCC—Comb. </w:t>
            </w:r>
          </w:p>
          <w:p w14:paraId="070887DC" w14:textId="77777777" w:rsidR="00DA4188" w:rsidRPr="005D4222" w:rsidRDefault="00DA4188" w:rsidP="00DA4188">
            <w:pPr>
              <w:pStyle w:val="ECDSBody"/>
            </w:pPr>
            <w:r w:rsidRPr="005D4222">
              <w:t xml:space="preserve">Some combinations suggest a greater amount of risk when observed together. For example, when diabetes </w:t>
            </w:r>
            <w:r w:rsidRPr="005D4222">
              <w:rPr>
                <w:i/>
                <w:iCs/>
              </w:rPr>
              <w:t xml:space="preserve">and </w:t>
            </w:r>
            <w:r w:rsidRPr="005D4222">
              <w:t xml:space="preserve">CHF are present, an increased amount of risk is evident. Additional HCCs are selected to account for these relationships. </w:t>
            </w:r>
          </w:p>
          <w:p w14:paraId="6D50B798" w14:textId="77777777" w:rsidR="00DA4188" w:rsidRPr="005D4222" w:rsidRDefault="00DA4188" w:rsidP="00DA4188">
            <w:pPr>
              <w:pStyle w:val="ECDSBody"/>
            </w:pPr>
            <w:r w:rsidRPr="005D4222">
              <w:t xml:space="preserve">Compare each person’s list of unique HCCs to those in the </w:t>
            </w:r>
            <w:r w:rsidRPr="005D4222">
              <w:rPr>
                <w:i/>
                <w:iCs/>
              </w:rPr>
              <w:t>Comorbid HCC</w:t>
            </w:r>
            <w:r w:rsidRPr="005D4222">
              <w:t xml:space="preserve"> columns in Table HCC—Comb and assign any additional HCC conditions.</w:t>
            </w:r>
          </w:p>
          <w:p w14:paraId="290330C2" w14:textId="77777777" w:rsidR="006720BF" w:rsidRPr="005D4222" w:rsidRDefault="00DA4188" w:rsidP="006720BF">
            <w:pPr>
              <w:pStyle w:val="ECDSBody"/>
            </w:pPr>
            <w:r w:rsidRPr="005D4222">
              <w:rPr>
                <w:iCs/>
              </w:rPr>
              <w:t>If there are overlapping combinations, use both sets of combinations.</w:t>
            </w:r>
            <w:r w:rsidRPr="005D4222">
              <w:rPr>
                <w:i/>
              </w:rPr>
              <w:t xml:space="preserve"> </w:t>
            </w:r>
            <w:r w:rsidRPr="005D4222">
              <w:t>Based on the combinations, a person can have none, one or more of these added HCCs.</w:t>
            </w:r>
          </w:p>
          <w:p w14:paraId="4CA036A8" w14:textId="7A723AAB" w:rsidR="00DA4188" w:rsidRPr="005D4222" w:rsidRDefault="00DA4188" w:rsidP="006720BF">
            <w:pPr>
              <w:pStyle w:val="Bullet"/>
            </w:pPr>
            <w:r w:rsidRPr="005D4222">
              <w:rPr>
                <w:i/>
                <w:iCs/>
              </w:rPr>
              <w:t xml:space="preserve">For example, </w:t>
            </w:r>
            <w:r w:rsidRPr="005D4222">
              <w:t>for a person with comorbidities HCC-17 and HCC-85 (assume no other HCCs), assign HCC-901 in addition to HCC-17 and HCC-85. This does not replace HCC-17 and HCC-85.</w:t>
            </w:r>
          </w:p>
          <w:p w14:paraId="395DAF5C" w14:textId="77777777" w:rsidR="00DA4188" w:rsidRPr="005D4222" w:rsidRDefault="00DA4188" w:rsidP="00DA4188">
            <w:pPr>
              <w:pStyle w:val="Heading3"/>
              <w:spacing w:before="120"/>
            </w:pPr>
            <w:r w:rsidRPr="005D4222">
              <w:t>Table HCC—Comb</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3"/>
              <w:gridCol w:w="1353"/>
              <w:gridCol w:w="1353"/>
              <w:gridCol w:w="1427"/>
              <w:gridCol w:w="1889"/>
            </w:tblGrid>
            <w:tr w:rsidR="00DA4188" w:rsidRPr="005D4222" w14:paraId="072167A7" w14:textId="77777777" w:rsidTr="00A53E8C">
              <w:tc>
                <w:tcPr>
                  <w:tcW w:w="1353" w:type="dxa"/>
                  <w:tcBorders>
                    <w:right w:val="single" w:sz="4" w:space="0" w:color="FFFFFF" w:themeColor="background1"/>
                  </w:tcBorders>
                  <w:shd w:val="clear" w:color="auto" w:fill="000000" w:themeFill="text1"/>
                  <w:tcMar>
                    <w:left w:w="72" w:type="dxa"/>
                    <w:right w:w="72" w:type="dxa"/>
                  </w:tcMar>
                  <w:vAlign w:val="bottom"/>
                  <w:hideMark/>
                </w:tcPr>
                <w:p w14:paraId="5A1D3E94" w14:textId="77777777" w:rsidR="00DA4188" w:rsidRPr="005D4222" w:rsidRDefault="00DA4188" w:rsidP="00DA4188">
                  <w:pPr>
                    <w:pStyle w:val="TableHead"/>
                    <w:rPr>
                      <w:color w:val="auto"/>
                    </w:rPr>
                  </w:pPr>
                  <w:r w:rsidRPr="005D4222">
                    <w:rPr>
                      <w:color w:val="auto"/>
                    </w:rPr>
                    <w:t xml:space="preserve">Comorbid </w:t>
                  </w:r>
                  <w:r w:rsidRPr="005D4222">
                    <w:rPr>
                      <w:color w:val="auto"/>
                    </w:rPr>
                    <w:br/>
                    <w:t>HCC 1</w:t>
                  </w:r>
                </w:p>
              </w:tc>
              <w:tc>
                <w:tcPr>
                  <w:tcW w:w="1353" w:type="dxa"/>
                  <w:tcBorders>
                    <w:left w:val="single" w:sz="4" w:space="0" w:color="FFFFFF" w:themeColor="background1"/>
                    <w:right w:val="single" w:sz="4" w:space="0" w:color="FFFFFF" w:themeColor="background1"/>
                  </w:tcBorders>
                  <w:shd w:val="clear" w:color="auto" w:fill="000000" w:themeFill="text1"/>
                  <w:tcMar>
                    <w:left w:w="72" w:type="dxa"/>
                    <w:right w:w="72" w:type="dxa"/>
                  </w:tcMar>
                  <w:vAlign w:val="bottom"/>
                  <w:hideMark/>
                </w:tcPr>
                <w:p w14:paraId="2EF68BA8" w14:textId="77777777" w:rsidR="00DA4188" w:rsidRPr="005D4222" w:rsidRDefault="00DA4188" w:rsidP="00DA4188">
                  <w:pPr>
                    <w:pStyle w:val="TableHead"/>
                    <w:rPr>
                      <w:color w:val="auto"/>
                    </w:rPr>
                  </w:pPr>
                  <w:r w:rsidRPr="005D4222">
                    <w:rPr>
                      <w:color w:val="auto"/>
                    </w:rPr>
                    <w:t xml:space="preserve">Comorbid </w:t>
                  </w:r>
                  <w:r w:rsidRPr="005D4222">
                    <w:rPr>
                      <w:color w:val="auto"/>
                    </w:rPr>
                    <w:br/>
                    <w:t>HCC 2</w:t>
                  </w:r>
                </w:p>
              </w:tc>
              <w:tc>
                <w:tcPr>
                  <w:tcW w:w="1353" w:type="dxa"/>
                  <w:tcBorders>
                    <w:left w:val="single" w:sz="4" w:space="0" w:color="FFFFFF" w:themeColor="background1"/>
                    <w:right w:val="single" w:sz="4" w:space="0" w:color="FFFFFF" w:themeColor="background1"/>
                  </w:tcBorders>
                  <w:shd w:val="clear" w:color="auto" w:fill="000000" w:themeFill="text1"/>
                  <w:tcMar>
                    <w:left w:w="72" w:type="dxa"/>
                    <w:right w:w="72" w:type="dxa"/>
                  </w:tcMar>
                  <w:vAlign w:val="bottom"/>
                  <w:hideMark/>
                </w:tcPr>
                <w:p w14:paraId="43588858" w14:textId="77777777" w:rsidR="00DA4188" w:rsidRPr="005D4222" w:rsidRDefault="00DA4188" w:rsidP="00DA4188">
                  <w:pPr>
                    <w:pStyle w:val="TableHead"/>
                    <w:rPr>
                      <w:color w:val="auto"/>
                    </w:rPr>
                  </w:pPr>
                  <w:r w:rsidRPr="005D4222">
                    <w:rPr>
                      <w:color w:val="auto"/>
                    </w:rPr>
                    <w:t xml:space="preserve">Comorbid </w:t>
                  </w:r>
                  <w:r w:rsidRPr="005D4222">
                    <w:rPr>
                      <w:color w:val="auto"/>
                    </w:rPr>
                    <w:br/>
                    <w:t>HCC 3</w:t>
                  </w:r>
                </w:p>
              </w:tc>
              <w:tc>
                <w:tcPr>
                  <w:tcW w:w="1427" w:type="dxa"/>
                  <w:tcBorders>
                    <w:left w:val="single" w:sz="4" w:space="0" w:color="FFFFFF" w:themeColor="background1"/>
                    <w:right w:val="single" w:sz="4" w:space="0" w:color="FFFFFF" w:themeColor="background1"/>
                  </w:tcBorders>
                  <w:shd w:val="clear" w:color="auto" w:fill="000000" w:themeFill="text1"/>
                  <w:tcMar>
                    <w:left w:w="72" w:type="dxa"/>
                    <w:right w:w="72" w:type="dxa"/>
                  </w:tcMar>
                  <w:vAlign w:val="bottom"/>
                  <w:hideMark/>
                </w:tcPr>
                <w:p w14:paraId="3673696B" w14:textId="77777777" w:rsidR="00DA4188" w:rsidRPr="005D4222" w:rsidRDefault="00DA4188" w:rsidP="00DA4188">
                  <w:pPr>
                    <w:pStyle w:val="TableHead"/>
                    <w:rPr>
                      <w:color w:val="auto"/>
                    </w:rPr>
                  </w:pPr>
                  <w:r w:rsidRPr="005D4222">
                    <w:rPr>
                      <w:color w:val="auto"/>
                    </w:rPr>
                    <w:t>HCC-</w:t>
                  </w:r>
                  <w:r w:rsidRPr="005D4222">
                    <w:rPr>
                      <w:color w:val="auto"/>
                    </w:rPr>
                    <w:br/>
                    <w:t>Combination</w:t>
                  </w:r>
                </w:p>
              </w:tc>
              <w:tc>
                <w:tcPr>
                  <w:tcW w:w="1889" w:type="dxa"/>
                  <w:tcBorders>
                    <w:left w:val="single" w:sz="4" w:space="0" w:color="FFFFFF" w:themeColor="background1"/>
                  </w:tcBorders>
                  <w:shd w:val="clear" w:color="auto" w:fill="000000" w:themeFill="text1"/>
                  <w:tcMar>
                    <w:left w:w="72" w:type="dxa"/>
                    <w:right w:w="72" w:type="dxa"/>
                  </w:tcMar>
                  <w:vAlign w:val="bottom"/>
                </w:tcPr>
                <w:p w14:paraId="049FF25C" w14:textId="77777777" w:rsidR="00DA4188" w:rsidRPr="005D4222" w:rsidRDefault="00DA4188" w:rsidP="00DA4188">
                  <w:pPr>
                    <w:pStyle w:val="TableHead"/>
                    <w:rPr>
                      <w:color w:val="auto"/>
                    </w:rPr>
                  </w:pPr>
                  <w:r w:rsidRPr="005D4222">
                    <w:rPr>
                      <w:color w:val="auto"/>
                    </w:rPr>
                    <w:t xml:space="preserve">HCC-Comb </w:t>
                  </w:r>
                  <w:r w:rsidRPr="005D4222">
                    <w:rPr>
                      <w:color w:val="auto"/>
                    </w:rPr>
                    <w:br/>
                    <w:t>Description</w:t>
                  </w:r>
                </w:p>
              </w:tc>
            </w:tr>
            <w:tr w:rsidR="00DA4188" w:rsidRPr="005D4222" w14:paraId="0DFE7641" w14:textId="77777777" w:rsidTr="00A53E8C">
              <w:tc>
                <w:tcPr>
                  <w:tcW w:w="1353" w:type="dxa"/>
                  <w:shd w:val="clear" w:color="auto" w:fill="FFFFFF" w:themeFill="background1"/>
                  <w:tcMar>
                    <w:left w:w="72" w:type="dxa"/>
                    <w:right w:w="72" w:type="dxa"/>
                  </w:tcMar>
                  <w:hideMark/>
                </w:tcPr>
                <w:p w14:paraId="279215EF" w14:textId="77777777" w:rsidR="00DA4188" w:rsidRPr="005D4222" w:rsidRDefault="00DA4188" w:rsidP="00DA4188">
                  <w:pPr>
                    <w:pStyle w:val="TableText"/>
                  </w:pPr>
                  <w:r w:rsidRPr="005D4222">
                    <w:t>HCC-17</w:t>
                  </w:r>
                </w:p>
              </w:tc>
              <w:tc>
                <w:tcPr>
                  <w:tcW w:w="1353" w:type="dxa"/>
                  <w:shd w:val="clear" w:color="auto" w:fill="FFFFFF" w:themeFill="background1"/>
                  <w:tcMar>
                    <w:left w:w="72" w:type="dxa"/>
                    <w:right w:w="72" w:type="dxa"/>
                  </w:tcMar>
                  <w:hideMark/>
                </w:tcPr>
                <w:p w14:paraId="2A60485E" w14:textId="77777777" w:rsidR="00DA4188" w:rsidRPr="005D4222" w:rsidRDefault="00DA4188" w:rsidP="00DA4188">
                  <w:pPr>
                    <w:pStyle w:val="TableText"/>
                  </w:pPr>
                  <w:r w:rsidRPr="005D4222">
                    <w:t>HCC-85</w:t>
                  </w:r>
                </w:p>
              </w:tc>
              <w:tc>
                <w:tcPr>
                  <w:tcW w:w="1353" w:type="dxa"/>
                  <w:shd w:val="clear" w:color="auto" w:fill="FFFFFF" w:themeFill="background1"/>
                  <w:tcMar>
                    <w:left w:w="72" w:type="dxa"/>
                    <w:right w:w="72" w:type="dxa"/>
                  </w:tcMar>
                  <w:hideMark/>
                </w:tcPr>
                <w:p w14:paraId="4AC5101F" w14:textId="77777777" w:rsidR="00DA4188" w:rsidRPr="005D4222" w:rsidRDefault="00DA4188" w:rsidP="00DA4188">
                  <w:pPr>
                    <w:pStyle w:val="TableText"/>
                  </w:pPr>
                  <w:r w:rsidRPr="005D4222">
                    <w:t>NA</w:t>
                  </w:r>
                </w:p>
              </w:tc>
              <w:tc>
                <w:tcPr>
                  <w:tcW w:w="1427" w:type="dxa"/>
                  <w:shd w:val="clear" w:color="auto" w:fill="FFFFFF" w:themeFill="background1"/>
                  <w:tcMar>
                    <w:left w:w="72" w:type="dxa"/>
                    <w:right w:w="72" w:type="dxa"/>
                  </w:tcMar>
                  <w:hideMark/>
                </w:tcPr>
                <w:p w14:paraId="0508442A" w14:textId="77777777" w:rsidR="00DA4188" w:rsidRPr="005D4222" w:rsidRDefault="00DA4188" w:rsidP="00DA4188">
                  <w:pPr>
                    <w:pStyle w:val="TableText"/>
                  </w:pPr>
                  <w:r w:rsidRPr="005D4222">
                    <w:t>HCC-901</w:t>
                  </w:r>
                </w:p>
              </w:tc>
              <w:tc>
                <w:tcPr>
                  <w:tcW w:w="1889" w:type="dxa"/>
                  <w:shd w:val="clear" w:color="auto" w:fill="FFFFFF" w:themeFill="background1"/>
                  <w:tcMar>
                    <w:left w:w="72" w:type="dxa"/>
                    <w:right w:w="72" w:type="dxa"/>
                  </w:tcMar>
                </w:tcPr>
                <w:p w14:paraId="292BBD00" w14:textId="77777777" w:rsidR="00DA4188" w:rsidRPr="005D4222" w:rsidRDefault="00DA4188" w:rsidP="00DA4188">
                  <w:pPr>
                    <w:pStyle w:val="TableText"/>
                  </w:pPr>
                  <w:r w:rsidRPr="005D4222">
                    <w:t>Combination: Diabetes and CHF</w:t>
                  </w:r>
                </w:p>
              </w:tc>
            </w:tr>
            <w:tr w:rsidR="00DA4188" w:rsidRPr="005D4222" w14:paraId="5F5DB57E" w14:textId="77777777" w:rsidTr="007B5FC3">
              <w:tc>
                <w:tcPr>
                  <w:tcW w:w="1353" w:type="dxa"/>
                  <w:tcMar>
                    <w:left w:w="72" w:type="dxa"/>
                    <w:right w:w="72" w:type="dxa"/>
                  </w:tcMar>
                  <w:hideMark/>
                </w:tcPr>
                <w:p w14:paraId="760B5980" w14:textId="77777777" w:rsidR="00DA4188" w:rsidRPr="005D4222" w:rsidRDefault="00DA4188" w:rsidP="00DA4188">
                  <w:pPr>
                    <w:pStyle w:val="TableText"/>
                  </w:pPr>
                  <w:r w:rsidRPr="005D4222">
                    <w:t>HCC-18</w:t>
                  </w:r>
                </w:p>
              </w:tc>
              <w:tc>
                <w:tcPr>
                  <w:tcW w:w="1353" w:type="dxa"/>
                  <w:tcMar>
                    <w:left w:w="72" w:type="dxa"/>
                    <w:right w:w="72" w:type="dxa"/>
                  </w:tcMar>
                  <w:hideMark/>
                </w:tcPr>
                <w:p w14:paraId="2C75850D" w14:textId="77777777" w:rsidR="00DA4188" w:rsidRPr="005D4222" w:rsidRDefault="00DA4188" w:rsidP="00DA4188">
                  <w:pPr>
                    <w:pStyle w:val="TableText"/>
                  </w:pPr>
                  <w:r w:rsidRPr="005D4222">
                    <w:t>HCC-85</w:t>
                  </w:r>
                </w:p>
              </w:tc>
              <w:tc>
                <w:tcPr>
                  <w:tcW w:w="1353" w:type="dxa"/>
                  <w:tcMar>
                    <w:left w:w="72" w:type="dxa"/>
                    <w:right w:w="72" w:type="dxa"/>
                  </w:tcMar>
                  <w:hideMark/>
                </w:tcPr>
                <w:p w14:paraId="337E1FD0" w14:textId="77777777" w:rsidR="00DA4188" w:rsidRPr="005D4222" w:rsidRDefault="00DA4188" w:rsidP="00DA4188">
                  <w:pPr>
                    <w:pStyle w:val="TableText"/>
                  </w:pPr>
                  <w:r w:rsidRPr="005D4222">
                    <w:t>NA</w:t>
                  </w:r>
                </w:p>
              </w:tc>
              <w:tc>
                <w:tcPr>
                  <w:tcW w:w="1427" w:type="dxa"/>
                  <w:tcMar>
                    <w:left w:w="72" w:type="dxa"/>
                    <w:right w:w="72" w:type="dxa"/>
                  </w:tcMar>
                  <w:hideMark/>
                </w:tcPr>
                <w:p w14:paraId="08972B1C" w14:textId="77777777" w:rsidR="00DA4188" w:rsidRPr="005D4222" w:rsidRDefault="00DA4188" w:rsidP="00DA4188">
                  <w:pPr>
                    <w:pStyle w:val="TableText"/>
                  </w:pPr>
                  <w:r w:rsidRPr="005D4222">
                    <w:t>HCC-901</w:t>
                  </w:r>
                </w:p>
              </w:tc>
              <w:tc>
                <w:tcPr>
                  <w:tcW w:w="1889" w:type="dxa"/>
                  <w:tcMar>
                    <w:left w:w="72" w:type="dxa"/>
                    <w:right w:w="72" w:type="dxa"/>
                  </w:tcMar>
                </w:tcPr>
                <w:p w14:paraId="2A5D7BA8" w14:textId="77777777" w:rsidR="00DA4188" w:rsidRPr="005D4222" w:rsidRDefault="00DA4188" w:rsidP="00DA4188">
                  <w:pPr>
                    <w:pStyle w:val="TableText"/>
                  </w:pPr>
                  <w:r w:rsidRPr="005D4222">
                    <w:t>Combination: Diabetes and CHF</w:t>
                  </w:r>
                </w:p>
              </w:tc>
            </w:tr>
            <w:tr w:rsidR="00DA4188" w:rsidRPr="005D4222" w14:paraId="69323A40" w14:textId="77777777" w:rsidTr="007B5FC3">
              <w:tc>
                <w:tcPr>
                  <w:tcW w:w="1353" w:type="dxa"/>
                  <w:tcMar>
                    <w:left w:w="72" w:type="dxa"/>
                    <w:right w:w="72" w:type="dxa"/>
                  </w:tcMar>
                  <w:hideMark/>
                </w:tcPr>
                <w:p w14:paraId="29089E55" w14:textId="77777777" w:rsidR="00DA4188" w:rsidRPr="005D4222" w:rsidRDefault="00DA4188" w:rsidP="00DA4188">
                  <w:pPr>
                    <w:pStyle w:val="TableText"/>
                  </w:pPr>
                  <w:r w:rsidRPr="005D4222">
                    <w:t>HCC-19</w:t>
                  </w:r>
                </w:p>
              </w:tc>
              <w:tc>
                <w:tcPr>
                  <w:tcW w:w="1353" w:type="dxa"/>
                  <w:tcMar>
                    <w:left w:w="72" w:type="dxa"/>
                    <w:right w:w="72" w:type="dxa"/>
                  </w:tcMar>
                  <w:hideMark/>
                </w:tcPr>
                <w:p w14:paraId="4AAEEA83" w14:textId="77777777" w:rsidR="00DA4188" w:rsidRPr="005D4222" w:rsidRDefault="00DA4188" w:rsidP="00DA4188">
                  <w:pPr>
                    <w:pStyle w:val="TableText"/>
                  </w:pPr>
                  <w:r w:rsidRPr="005D4222">
                    <w:t>HCC-85</w:t>
                  </w:r>
                </w:p>
              </w:tc>
              <w:tc>
                <w:tcPr>
                  <w:tcW w:w="1353" w:type="dxa"/>
                  <w:tcMar>
                    <w:left w:w="72" w:type="dxa"/>
                    <w:right w:w="72" w:type="dxa"/>
                  </w:tcMar>
                  <w:hideMark/>
                </w:tcPr>
                <w:p w14:paraId="33676FF1" w14:textId="77777777" w:rsidR="00DA4188" w:rsidRPr="005D4222" w:rsidRDefault="00DA4188" w:rsidP="00DA4188">
                  <w:pPr>
                    <w:pStyle w:val="TableText"/>
                  </w:pPr>
                  <w:r w:rsidRPr="005D4222">
                    <w:t>NA</w:t>
                  </w:r>
                </w:p>
              </w:tc>
              <w:tc>
                <w:tcPr>
                  <w:tcW w:w="1427" w:type="dxa"/>
                  <w:tcMar>
                    <w:left w:w="72" w:type="dxa"/>
                    <w:right w:w="72" w:type="dxa"/>
                  </w:tcMar>
                  <w:hideMark/>
                </w:tcPr>
                <w:p w14:paraId="223E4DEA" w14:textId="77777777" w:rsidR="00DA4188" w:rsidRPr="005D4222" w:rsidRDefault="00DA4188" w:rsidP="00DA4188">
                  <w:pPr>
                    <w:pStyle w:val="TableText"/>
                  </w:pPr>
                  <w:r w:rsidRPr="005D4222">
                    <w:t>HCC-901</w:t>
                  </w:r>
                </w:p>
              </w:tc>
              <w:tc>
                <w:tcPr>
                  <w:tcW w:w="1889" w:type="dxa"/>
                  <w:tcMar>
                    <w:left w:w="72" w:type="dxa"/>
                    <w:right w:w="72" w:type="dxa"/>
                  </w:tcMar>
                </w:tcPr>
                <w:p w14:paraId="4B3FC9EC" w14:textId="77777777" w:rsidR="00DA4188" w:rsidRPr="005D4222" w:rsidRDefault="00DA4188" w:rsidP="00DA4188">
                  <w:pPr>
                    <w:pStyle w:val="TableText"/>
                  </w:pPr>
                  <w:r w:rsidRPr="005D4222">
                    <w:t>Combination: Diabetes and CHF</w:t>
                  </w:r>
                </w:p>
              </w:tc>
            </w:tr>
          </w:tbl>
          <w:p w14:paraId="2707B2A4" w14:textId="77777777" w:rsidR="00DA4188" w:rsidRPr="005D4222" w:rsidRDefault="00DA4188" w:rsidP="00A53E8C">
            <w:pPr>
              <w:pStyle w:val="ECDSBody"/>
              <w:rPr>
                <w:b/>
                <w:bCs w:val="0"/>
                <w:i/>
                <w:iCs/>
              </w:rPr>
            </w:pPr>
          </w:p>
        </w:tc>
      </w:tr>
      <w:tr w:rsidR="008B0B96" w:rsidRPr="005D4222" w14:paraId="3A0E5B73" w14:textId="77777777" w:rsidTr="00EA26D6">
        <w:tc>
          <w:tcPr>
            <w:tcW w:w="2157" w:type="dxa"/>
            <w:tcBorders>
              <w:top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40E6BB2A" w14:textId="77777777" w:rsidR="008B0B96" w:rsidRPr="005D4222" w:rsidRDefault="008B0B96" w:rsidP="006720BF">
            <w:pPr>
              <w:pStyle w:val="ECDSMarginHead"/>
            </w:pPr>
            <w:r w:rsidRPr="005D4222">
              <w:t>Risk adjustment</w:t>
            </w:r>
          </w:p>
        </w:tc>
        <w:tc>
          <w:tcPr>
            <w:tcW w:w="7557" w:type="dxa"/>
            <w:tcBorders>
              <w:top w:val="single" w:sz="4" w:space="0" w:color="auto"/>
              <w:left w:val="single" w:sz="4" w:space="0" w:color="auto"/>
              <w:bottom w:val="single" w:sz="4" w:space="0" w:color="auto"/>
            </w:tcBorders>
            <w:tcMar>
              <w:left w:w="86" w:type="dxa"/>
              <w:bottom w:w="43" w:type="dxa"/>
              <w:right w:w="86" w:type="dxa"/>
            </w:tcMar>
          </w:tcPr>
          <w:p w14:paraId="6EA7015D" w14:textId="77777777" w:rsidR="008B0B96" w:rsidRPr="005D4222" w:rsidRDefault="008B0B96" w:rsidP="00A53E8C">
            <w:pPr>
              <w:pStyle w:val="ECDSBody"/>
              <w:rPr>
                <w:b/>
                <w:i/>
              </w:rPr>
            </w:pPr>
            <w:r w:rsidRPr="005D4222">
              <w:rPr>
                <w:b/>
                <w:bCs w:val="0"/>
                <w:i/>
                <w:iCs/>
              </w:rPr>
              <w:t>Risk Adjustment Calculation</w:t>
            </w:r>
          </w:p>
          <w:p w14:paraId="17EC3517" w14:textId="77777777" w:rsidR="008B0B96" w:rsidRPr="005D4222" w:rsidRDefault="008B0B96" w:rsidP="00A53E8C">
            <w:pPr>
              <w:pStyle w:val="ECDSBody"/>
              <w:rPr>
                <w:rFonts w:eastAsia="Arial"/>
              </w:rPr>
            </w:pPr>
            <w:r w:rsidRPr="005D4222">
              <w:rPr>
                <w:rFonts w:eastAsia="Arial"/>
              </w:rPr>
              <w:t xml:space="preserve">Calculation of risk-adjusted outcomes (counts of discharges) uses predetermined risk weights generated by two separate regression models. Weights from each model are combined to predict how many visits each person might have during the measurement period. </w:t>
            </w:r>
          </w:p>
          <w:p w14:paraId="5BBD60D6" w14:textId="77777777" w:rsidR="008B0B96" w:rsidRPr="005D4222" w:rsidRDefault="008B0B96" w:rsidP="00A53E8C">
            <w:pPr>
              <w:pStyle w:val="ECDSBody"/>
              <w:rPr>
                <w:b/>
                <w:bCs w:val="0"/>
              </w:rPr>
            </w:pPr>
            <w:r w:rsidRPr="005D4222">
              <w:rPr>
                <w:rFonts w:eastAsia="Arial"/>
                <w:b/>
                <w:bCs w:val="0"/>
              </w:rPr>
              <w:t>For each nonoutlier person in the initial population, assign PPD risk weights.</w:t>
            </w:r>
            <w:r w:rsidRPr="005D4222">
              <w:rPr>
                <w:b/>
                <w:bCs w:val="0"/>
              </w:rPr>
              <w:t xml:space="preserve"> Calculate the PPD.</w:t>
            </w:r>
          </w:p>
          <w:p w14:paraId="0B38D566" w14:textId="77777777" w:rsidR="008B0B96" w:rsidRPr="005D4222" w:rsidRDefault="008B0B96" w:rsidP="00A53E8C">
            <w:pPr>
              <w:pStyle w:val="ECDSBody"/>
            </w:pPr>
            <w:r w:rsidRPr="005D4222">
              <w:rPr>
                <w:b/>
              </w:rPr>
              <w:t xml:space="preserve">Step 1. </w:t>
            </w:r>
            <w:r w:rsidRPr="005D4222">
              <w:t>For each person with a comorbidity HCC category, link the PPD weights.</w:t>
            </w:r>
          </w:p>
          <w:p w14:paraId="1E5F73DD" w14:textId="77777777" w:rsidR="008B0B96" w:rsidRPr="005D4222" w:rsidRDefault="008B0B96" w:rsidP="00A53E8C">
            <w:pPr>
              <w:pStyle w:val="ECDSBody"/>
            </w:pPr>
            <w:r w:rsidRPr="005D4222">
              <w:rPr>
                <w:b/>
              </w:rPr>
              <w:t xml:space="preserve">Step 2. </w:t>
            </w:r>
            <w:r w:rsidRPr="005D4222">
              <w:t>Link the age-gender PPD weights for each person.</w:t>
            </w:r>
          </w:p>
          <w:p w14:paraId="4EEC958A" w14:textId="77777777" w:rsidR="008B0B96" w:rsidRPr="005D4222" w:rsidRDefault="008B0B96" w:rsidP="00A53E8C">
            <w:pPr>
              <w:pStyle w:val="ECDSBody"/>
            </w:pPr>
            <w:r w:rsidRPr="005D4222">
              <w:rPr>
                <w:b/>
              </w:rPr>
              <w:t xml:space="preserve">Step 3. </w:t>
            </w:r>
            <w:r w:rsidRPr="005D4222">
              <w:t>Sum all PPD weights (comorbidities, age and gender) associated with the person.</w:t>
            </w:r>
          </w:p>
          <w:p w14:paraId="6531A812" w14:textId="77777777" w:rsidR="008B0B96" w:rsidRPr="005D4222" w:rsidRDefault="008B0B96" w:rsidP="00A53E8C">
            <w:pPr>
              <w:pStyle w:val="ECDSBody"/>
            </w:pPr>
            <w:r w:rsidRPr="005D4222">
              <w:rPr>
                <w:b/>
              </w:rPr>
              <w:t xml:space="preserve">Step 4. </w:t>
            </w:r>
            <w:r w:rsidRPr="005D4222">
              <w:t>Calculate the predicted probability of having at least one discharge in the measurement period based on the sum of the weights for each person using the formula below.</w:t>
            </w:r>
          </w:p>
          <w:p w14:paraId="3D09ABAE" w14:textId="77777777" w:rsidR="008B0B96" w:rsidRPr="005D4222" w:rsidRDefault="008B0B96" w:rsidP="00A53E8C">
            <w:pPr>
              <w:pStyle w:val="Body"/>
              <w:jc w:val="center"/>
              <w:rPr>
                <w:sz w:val="24"/>
              </w:rPr>
            </w:pPr>
            <w:r w:rsidRPr="005D4222">
              <w:t xml:space="preserve">PPD = </w:t>
            </w:r>
            <m:oMath>
              <m:f>
                <m:fPr>
                  <m:ctrlPr>
                    <w:rPr>
                      <w:rFonts w:ascii="Cambria Math" w:hAnsi="Cambria Math" w:cs="Arial"/>
                      <w:sz w:val="24"/>
                    </w:rPr>
                  </m:ctrlPr>
                </m:fPr>
                <m:num>
                  <m:sSup>
                    <m:sSupPr>
                      <m:ctrlPr>
                        <w:rPr>
                          <w:rFonts w:ascii="Cambria Math" w:hAnsi="Cambria Math" w:cs="Arial"/>
                          <w:sz w:val="24"/>
                        </w:rPr>
                      </m:ctrlPr>
                    </m:sSupPr>
                    <m:e>
                      <m:r>
                        <m:rPr>
                          <m:sty m:val="p"/>
                        </m:rPr>
                        <w:rPr>
                          <w:rFonts w:ascii="Cambria Math" w:hAnsi="Cambria Math" w:cs="Arial"/>
                          <w:sz w:val="24"/>
                        </w:rPr>
                        <m:t>e</m:t>
                      </m:r>
                    </m:e>
                    <m:sup>
                      <m:r>
                        <m:rPr>
                          <m:sty m:val="p"/>
                        </m:rPr>
                        <w:rPr>
                          <w:rFonts w:ascii="Cambria Math" w:hAnsi="Cambria Math" w:cs="Arial"/>
                          <w:sz w:val="24"/>
                        </w:rPr>
                        <m:t>(</m:t>
                      </m:r>
                      <m:nary>
                        <m:naryPr>
                          <m:chr m:val="∑"/>
                          <m:limLoc m:val="undOvr"/>
                          <m:subHide m:val="1"/>
                          <m:supHide m:val="1"/>
                          <m:ctrlPr>
                            <w:rPr>
                              <w:rFonts w:ascii="Cambria Math" w:hAnsi="Cambria Math" w:cs="Arial"/>
                              <w:sz w:val="24"/>
                            </w:rPr>
                          </m:ctrlPr>
                        </m:naryPr>
                        <m:sub/>
                        <m:sup/>
                        <m:e>
                          <m:r>
                            <m:rPr>
                              <m:nor/>
                            </m:rPr>
                            <w:rPr>
                              <w:rFonts w:cs="Arial"/>
                              <w:sz w:val="24"/>
                            </w:rPr>
                            <m:t>PPD WeightsForEachPerson</m:t>
                          </m:r>
                        </m:e>
                      </m:nary>
                      <m:r>
                        <m:rPr>
                          <m:sty m:val="p"/>
                        </m:rPr>
                        <w:rPr>
                          <w:rFonts w:ascii="Cambria Math" w:hAnsi="Cambria Math" w:cs="Arial"/>
                          <w:sz w:val="24"/>
                        </w:rPr>
                        <m:t>)</m:t>
                      </m:r>
                    </m:sup>
                  </m:sSup>
                </m:num>
                <m:den>
                  <m:r>
                    <m:rPr>
                      <m:sty m:val="p"/>
                    </m:rPr>
                    <w:rPr>
                      <w:rFonts w:ascii="Cambria Math" w:hAnsi="Cambria Math" w:cs="Arial"/>
                      <w:sz w:val="24"/>
                    </w:rPr>
                    <m:t>1+</m:t>
                  </m:r>
                  <m:sSup>
                    <m:sSupPr>
                      <m:ctrlPr>
                        <w:rPr>
                          <w:rFonts w:ascii="Cambria Math" w:hAnsi="Cambria Math" w:cs="Arial"/>
                          <w:sz w:val="24"/>
                        </w:rPr>
                      </m:ctrlPr>
                    </m:sSupPr>
                    <m:e>
                      <m:r>
                        <m:rPr>
                          <m:sty m:val="p"/>
                        </m:rPr>
                        <w:rPr>
                          <w:rFonts w:ascii="Cambria Math" w:hAnsi="Cambria Math" w:cs="Arial"/>
                          <w:sz w:val="24"/>
                        </w:rPr>
                        <m:t>e</m:t>
                      </m:r>
                    </m:e>
                    <m:sup>
                      <m:r>
                        <m:rPr>
                          <m:sty m:val="p"/>
                        </m:rPr>
                        <w:rPr>
                          <w:rFonts w:ascii="Cambria Math" w:hAnsi="Cambria Math" w:cs="Arial"/>
                          <w:sz w:val="24"/>
                        </w:rPr>
                        <m:t>(</m:t>
                      </m:r>
                      <m:nary>
                        <m:naryPr>
                          <m:chr m:val="∑"/>
                          <m:limLoc m:val="undOvr"/>
                          <m:subHide m:val="1"/>
                          <m:supHide m:val="1"/>
                          <m:ctrlPr>
                            <w:rPr>
                              <w:rFonts w:ascii="Cambria Math" w:hAnsi="Cambria Math" w:cs="Arial"/>
                              <w:sz w:val="24"/>
                            </w:rPr>
                          </m:ctrlPr>
                        </m:naryPr>
                        <m:sub/>
                        <m:sup/>
                        <m:e>
                          <m:r>
                            <m:rPr>
                              <m:nor/>
                            </m:rPr>
                            <w:rPr>
                              <w:rFonts w:cs="Arial"/>
                              <w:sz w:val="24"/>
                            </w:rPr>
                            <m:t>PPD WeightsForEachPerson</m:t>
                          </m:r>
                        </m:e>
                      </m:nary>
                      <m:r>
                        <m:rPr>
                          <m:sty m:val="p"/>
                        </m:rPr>
                        <w:rPr>
                          <w:rFonts w:ascii="Cambria Math" w:hAnsi="Cambria Math" w:cs="Arial"/>
                          <w:sz w:val="24"/>
                        </w:rPr>
                        <m:t>)</m:t>
                      </m:r>
                    </m:sup>
                  </m:sSup>
                </m:den>
              </m:f>
            </m:oMath>
          </w:p>
          <w:p w14:paraId="52EBC5C1" w14:textId="4AEEFB95" w:rsidR="002A5D37" w:rsidRPr="005D4222" w:rsidRDefault="008B0B96" w:rsidP="002A5D37">
            <w:pPr>
              <w:pStyle w:val="ECDSBody"/>
            </w:pPr>
            <w:bookmarkStart w:id="403" w:name="_Hlk515878003"/>
            <w:r w:rsidRPr="005D4222">
              <w:rPr>
                <w:iCs/>
              </w:rPr>
              <w:t xml:space="preserve">Truncate the final PPD </w:t>
            </w:r>
            <w:r w:rsidRPr="005D4222">
              <w:rPr>
                <w:i/>
              </w:rPr>
              <w:t>for each person</w:t>
            </w:r>
            <w:r w:rsidRPr="005D4222">
              <w:rPr>
                <w:iCs/>
              </w:rPr>
              <w:t xml:space="preserve"> to 10 decimal places.</w:t>
            </w:r>
            <w:bookmarkEnd w:id="403"/>
            <w:r w:rsidRPr="005D4222">
              <w:rPr>
                <w:iCs/>
              </w:rPr>
              <w:t xml:space="preserve"> Do not truncate or round in previous steps.</w:t>
            </w:r>
          </w:p>
        </w:tc>
      </w:tr>
    </w:tbl>
    <w:p w14:paraId="645AD96B" w14:textId="77777777" w:rsidR="002A5D37" w:rsidRPr="005D4222" w:rsidRDefault="002A5D37">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15" w:type="dxa"/>
          <w:bottom w:w="40" w:type="dxa"/>
          <w:right w:w="15" w:type="dxa"/>
        </w:tblCellMar>
        <w:tblLook w:val="04A0" w:firstRow="1" w:lastRow="0" w:firstColumn="1" w:lastColumn="0" w:noHBand="0" w:noVBand="1"/>
      </w:tblPr>
      <w:tblGrid>
        <w:gridCol w:w="2157"/>
        <w:gridCol w:w="7557"/>
      </w:tblGrid>
      <w:tr w:rsidR="008B0B96" w:rsidRPr="005D4222" w14:paraId="799C2EFB" w14:textId="77777777" w:rsidTr="00EA26D6">
        <w:tc>
          <w:tcPr>
            <w:tcW w:w="2157" w:type="dxa"/>
            <w:tcBorders>
              <w:top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53D7188D" w14:textId="77777777" w:rsidR="008B0B96" w:rsidRPr="005D4222" w:rsidRDefault="008B0B96" w:rsidP="00A53E8C">
            <w:pPr>
              <w:pStyle w:val="MarginHead"/>
            </w:pPr>
          </w:p>
        </w:tc>
        <w:tc>
          <w:tcPr>
            <w:tcW w:w="7557" w:type="dxa"/>
            <w:tcBorders>
              <w:top w:val="single" w:sz="4" w:space="0" w:color="auto"/>
              <w:left w:val="single" w:sz="4" w:space="0" w:color="auto"/>
              <w:bottom w:val="single" w:sz="4" w:space="0" w:color="auto"/>
            </w:tcBorders>
            <w:tcMar>
              <w:left w:w="86" w:type="dxa"/>
              <w:bottom w:w="43" w:type="dxa"/>
              <w:right w:w="86" w:type="dxa"/>
            </w:tcMar>
          </w:tcPr>
          <w:p w14:paraId="0B6DE485" w14:textId="77777777" w:rsidR="002A5D37" w:rsidRPr="005D4222" w:rsidRDefault="002A5D37" w:rsidP="002A5D37">
            <w:pPr>
              <w:pStyle w:val="ECDSBody"/>
            </w:pPr>
            <w:r w:rsidRPr="005D4222">
              <w:t>For each nonoutlier person in the initial population, assign PUCD risk weights.</w:t>
            </w:r>
          </w:p>
          <w:p w14:paraId="11E46A42" w14:textId="77777777" w:rsidR="002A5D37" w:rsidRPr="005D4222" w:rsidRDefault="002A5D37" w:rsidP="002A5D37">
            <w:pPr>
              <w:pStyle w:val="ECDSBody"/>
            </w:pPr>
            <w:r w:rsidRPr="005D4222">
              <w:rPr>
                <w:b/>
              </w:rPr>
              <w:t xml:space="preserve">Step 1. </w:t>
            </w:r>
            <w:r w:rsidRPr="005D4222">
              <w:t>For each person with a comorbidity HCC Category, link the PUCD weights. If a person does not have any comorbidities to which a weight could be linked, assign a weight of 1.</w:t>
            </w:r>
          </w:p>
          <w:p w14:paraId="02CD1257" w14:textId="77777777" w:rsidR="002A5D37" w:rsidRPr="005D4222" w:rsidRDefault="002A5D37" w:rsidP="002A5D37">
            <w:pPr>
              <w:pStyle w:val="ECDSBody"/>
            </w:pPr>
            <w:r w:rsidRPr="005D4222">
              <w:rPr>
                <w:b/>
              </w:rPr>
              <w:t>Step 2.</w:t>
            </w:r>
            <w:r w:rsidRPr="005D4222">
              <w:t xml:space="preserve"> Link the age-gender PUCD weights for each person.</w:t>
            </w:r>
          </w:p>
          <w:p w14:paraId="1045351A" w14:textId="77777777" w:rsidR="002A5D37" w:rsidRPr="005D4222" w:rsidRDefault="002A5D37" w:rsidP="002A5D37">
            <w:pPr>
              <w:pStyle w:val="ECDSBody"/>
            </w:pPr>
            <w:r w:rsidRPr="005D4222">
              <w:rPr>
                <w:b/>
              </w:rPr>
              <w:t xml:space="preserve">Step 3. </w:t>
            </w:r>
            <w:r w:rsidRPr="005D4222">
              <w:t>Calculate the predicted unconditional count of discharges in the measurement period by multiplying all PUCD weights (comorbidities, age and gender) associated with the person. Use the following formula:</w:t>
            </w:r>
          </w:p>
          <w:p w14:paraId="4A12E157" w14:textId="77777777" w:rsidR="002A5D37" w:rsidRPr="005D4222" w:rsidRDefault="002A5D37" w:rsidP="002A5D37">
            <w:pPr>
              <w:autoSpaceDE w:val="0"/>
              <w:autoSpaceDN w:val="0"/>
              <w:adjustRightInd w:val="0"/>
              <w:spacing w:after="80"/>
              <w:jc w:val="center"/>
            </w:pPr>
            <w:r w:rsidRPr="005D4222">
              <w:t>PUCD = Age/Gender Weight * HCC Weight</w:t>
            </w:r>
          </w:p>
          <w:p w14:paraId="7DD5C7E3" w14:textId="77777777" w:rsidR="008B0B96" w:rsidRPr="005D4222" w:rsidRDefault="008B0B96" w:rsidP="00A53E8C">
            <w:pPr>
              <w:pStyle w:val="Note"/>
            </w:pPr>
            <w:r w:rsidRPr="005D4222">
              <w:rPr>
                <w:b/>
                <w:bCs/>
              </w:rPr>
              <w:t>Note:</w:t>
            </w:r>
            <w:r w:rsidRPr="005D4222">
              <w:t xml:space="preserve"> Multiply by each HCC associated with the person. For example, assume a person with HCC-2, HCC-10, HCC-47. The formula would be:</w:t>
            </w:r>
          </w:p>
          <w:p w14:paraId="0D625A89" w14:textId="77777777" w:rsidR="008B0B96" w:rsidRPr="005D4222" w:rsidRDefault="008B0B96" w:rsidP="00A53E8C">
            <w:pPr>
              <w:pStyle w:val="Note"/>
              <w:spacing w:before="60"/>
              <w:jc w:val="center"/>
            </w:pPr>
            <w:r w:rsidRPr="005D4222">
              <w:t>PUCD = Age/Gender Weight * HCC-2 * HCC-10 * HCC-47</w:t>
            </w:r>
          </w:p>
          <w:p w14:paraId="1137F20B" w14:textId="77777777" w:rsidR="008B0B96" w:rsidRPr="005D4222" w:rsidRDefault="008B0B96" w:rsidP="00A53E8C">
            <w:pPr>
              <w:pStyle w:val="ECDSBody"/>
            </w:pPr>
            <w:r w:rsidRPr="005D4222">
              <w:t xml:space="preserve">Truncate the final PUCD </w:t>
            </w:r>
            <w:r w:rsidRPr="005D4222">
              <w:rPr>
                <w:i/>
                <w:iCs/>
              </w:rPr>
              <w:t>for each person</w:t>
            </w:r>
            <w:r w:rsidRPr="005D4222">
              <w:t xml:space="preserve"> to 10 decimal places. Do not truncate or round in previous steps.</w:t>
            </w:r>
          </w:p>
          <w:p w14:paraId="2A4D5349" w14:textId="77777777" w:rsidR="008B0B96" w:rsidRPr="005D4222" w:rsidRDefault="008B0B96" w:rsidP="00A53E8C">
            <w:pPr>
              <w:pStyle w:val="ECDSBody"/>
            </w:pPr>
            <w:r w:rsidRPr="005D4222">
              <w:rPr>
                <w:b/>
                <w:bCs w:val="0"/>
                <w:i/>
              </w:rPr>
              <w:t xml:space="preserve">Expected count of </w:t>
            </w:r>
            <w:r w:rsidRPr="005D4222">
              <w:rPr>
                <w:b/>
                <w:bCs w:val="0"/>
                <w:i/>
                <w:iCs/>
              </w:rPr>
              <w:t>discharges</w:t>
            </w:r>
            <w:r w:rsidRPr="005D4222">
              <w:rPr>
                <w:bCs w:val="0"/>
                <w:i/>
                <w:iCs/>
              </w:rPr>
              <w:t xml:space="preserve">. </w:t>
            </w:r>
            <w:r w:rsidRPr="005D4222">
              <w:t xml:space="preserve">Calculate the final person-level expected count of discharges using the formula below. </w:t>
            </w:r>
          </w:p>
          <w:p w14:paraId="7380CF57" w14:textId="77777777" w:rsidR="008B0B96" w:rsidRPr="005D4222" w:rsidRDefault="008B0B96" w:rsidP="00A53E8C">
            <w:pPr>
              <w:pStyle w:val="ECDSBody"/>
              <w:spacing w:before="0"/>
              <w:jc w:val="center"/>
            </w:pPr>
            <w:r w:rsidRPr="005D4222">
              <w:t>Expected Count of Discharges = PPD x PUCD</w:t>
            </w:r>
          </w:p>
          <w:p w14:paraId="2F9F22CF" w14:textId="77777777" w:rsidR="008B0B96" w:rsidRPr="005D4222" w:rsidRDefault="008B0B96" w:rsidP="00A53E8C">
            <w:pPr>
              <w:pStyle w:val="ECDSBody"/>
            </w:pPr>
            <w:r w:rsidRPr="005D4222">
              <w:t>Round the person-level results to 4 decimal places using the .5 rule and sum over all persons in the category.</w:t>
            </w:r>
          </w:p>
          <w:p w14:paraId="1991D028" w14:textId="77777777" w:rsidR="00886DCF" w:rsidRPr="005D4222" w:rsidRDefault="008B0B96" w:rsidP="00886DCF">
            <w:pPr>
              <w:pStyle w:val="ECDSBody"/>
              <w:spacing w:after="120"/>
            </w:pPr>
            <w:r w:rsidRPr="005D4222">
              <w:rPr>
                <w:b/>
              </w:rPr>
              <w:t>Step 4.</w:t>
            </w:r>
            <w:r w:rsidRPr="005D4222">
              <w:t xml:space="preserve"> Use the formula below to calculate the covariance of the predicted outcomes for each category. For categories with a single person (</w:t>
            </w:r>
            <w:r w:rsidRPr="005D4222">
              <w:rPr>
                <w:rFonts w:ascii="Cambria Math" w:hAnsi="Cambria Math"/>
                <w:i/>
              </w:rPr>
              <w:t>n</w:t>
            </w:r>
            <w:r w:rsidRPr="005D4222">
              <w:rPr>
                <w:rFonts w:ascii="Cambria Math" w:hAnsi="Cambria Math"/>
                <w:vertAlign w:val="subscript"/>
              </w:rPr>
              <w:t>c</w:t>
            </w:r>
            <w:r w:rsidRPr="005D4222">
              <w:t>=1), set the covariance to zero. Do not round the covariance before using it in step 5.</w:t>
            </w:r>
          </w:p>
          <w:p w14:paraId="07072FC0" w14:textId="2435B709" w:rsidR="008B0B96" w:rsidRPr="005D4222" w:rsidRDefault="00000000" w:rsidP="00886DCF">
            <w:pPr>
              <w:pStyle w:val="ECDSBody"/>
              <w:spacing w:after="120"/>
              <w:rPr>
                <w:rFonts w:eastAsiaTheme="minorEastAsia"/>
                <w:szCs w:val="21"/>
              </w:rPr>
            </w:pPr>
            <m:oMathPara>
              <m:oMath>
                <m:sSub>
                  <m:sSubPr>
                    <m:ctrlPr>
                      <w:rPr>
                        <w:rFonts w:ascii="Cambria Math" w:hAnsi="Cambria Math"/>
                        <w:i/>
                        <w:szCs w:val="21"/>
                      </w:rPr>
                    </m:ctrlPr>
                  </m:sSubPr>
                  <m:e>
                    <m:r>
                      <w:rPr>
                        <w:rFonts w:ascii="Cambria Math" w:hAnsi="Cambria Math"/>
                        <w:szCs w:val="21"/>
                      </w:rPr>
                      <m:t>COV</m:t>
                    </m:r>
                  </m:e>
                  <m:sub>
                    <m:r>
                      <w:rPr>
                        <w:rFonts w:ascii="Cambria Math" w:hAnsi="Cambria Math"/>
                        <w:szCs w:val="21"/>
                      </w:rPr>
                      <m:t>c</m:t>
                    </m:r>
                  </m:sub>
                </m:sSub>
                <m:r>
                  <w:rPr>
                    <w:rFonts w:ascii="Cambria Math" w:hAnsi="Cambria Math"/>
                    <w:szCs w:val="21"/>
                  </w:rPr>
                  <m:t>=</m:t>
                </m:r>
                <m:f>
                  <m:fPr>
                    <m:ctrlPr>
                      <w:rPr>
                        <w:rFonts w:ascii="Cambria Math" w:hAnsi="Cambria Math"/>
                        <w:i/>
                        <w:szCs w:val="21"/>
                      </w:rPr>
                    </m:ctrlPr>
                  </m:fPr>
                  <m:num>
                    <m:nary>
                      <m:naryPr>
                        <m:chr m:val="∑"/>
                        <m:limLoc m:val="undOvr"/>
                        <m:ctrlPr>
                          <w:rPr>
                            <w:rFonts w:ascii="Cambria Math" w:hAnsi="Cambria Math"/>
                            <w:i/>
                            <w:szCs w:val="21"/>
                          </w:rPr>
                        </m:ctrlPr>
                      </m:naryPr>
                      <m:sub>
                        <m:r>
                          <w:rPr>
                            <w:rFonts w:ascii="Cambria Math" w:hAnsi="Cambria Math"/>
                            <w:szCs w:val="21"/>
                          </w:rPr>
                          <m:t>m</m:t>
                        </m:r>
                        <m:r>
                          <w:rPr>
                            <w:rFonts w:ascii="Cambria Math" w:hAnsi="Cambria Math"/>
                            <w:szCs w:val="21"/>
                          </w:rPr>
                          <m:t>=1</m:t>
                        </m:r>
                      </m:sub>
                      <m:sup>
                        <m:sSub>
                          <m:sSubPr>
                            <m:ctrlPr>
                              <w:rPr>
                                <w:rFonts w:ascii="Cambria Math" w:hAnsi="Cambria Math"/>
                                <w:i/>
                                <w:szCs w:val="21"/>
                              </w:rPr>
                            </m:ctrlPr>
                          </m:sSubPr>
                          <m:e>
                            <m:r>
                              <w:rPr>
                                <w:rFonts w:ascii="Cambria Math" w:hAnsi="Cambria Math"/>
                                <w:szCs w:val="21"/>
                              </w:rPr>
                              <m:t>n</m:t>
                            </m:r>
                          </m:e>
                          <m:sub>
                            <m:r>
                              <w:rPr>
                                <w:rFonts w:ascii="Cambria Math" w:hAnsi="Cambria Math"/>
                                <w:szCs w:val="21"/>
                              </w:rPr>
                              <m:t>c</m:t>
                            </m:r>
                          </m:sub>
                        </m:sSub>
                      </m:sup>
                      <m:e>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PPD</m:t>
                                </m:r>
                              </m:e>
                              <m:sub>
                                <m:r>
                                  <w:rPr>
                                    <w:rFonts w:ascii="Cambria Math" w:hAnsi="Cambria Math"/>
                                    <w:szCs w:val="21"/>
                                  </w:rPr>
                                  <m:t>m</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mean</m:t>
                                </m:r>
                                <m:r>
                                  <w:rPr>
                                    <w:rFonts w:ascii="Cambria Math" w:hAnsi="Cambria Math"/>
                                    <w:szCs w:val="21"/>
                                  </w:rPr>
                                  <m:t>(</m:t>
                                </m:r>
                                <m:r>
                                  <w:rPr>
                                    <w:rFonts w:ascii="Cambria Math" w:hAnsi="Cambria Math"/>
                                    <w:szCs w:val="21"/>
                                  </w:rPr>
                                  <m:t>PPD</m:t>
                                </m:r>
                                <m:r>
                                  <w:rPr>
                                    <w:rFonts w:ascii="Cambria Math" w:hAnsi="Cambria Math"/>
                                    <w:szCs w:val="21"/>
                                  </w:rPr>
                                  <m:t>)</m:t>
                                </m:r>
                              </m:e>
                              <m:sub>
                                <m:r>
                                  <w:rPr>
                                    <w:rFonts w:ascii="Cambria Math" w:hAnsi="Cambria Math"/>
                                    <w:szCs w:val="21"/>
                                  </w:rPr>
                                  <m:t>c</m:t>
                                </m:r>
                              </m:sub>
                            </m:sSub>
                          </m:e>
                        </m:d>
                        <m:r>
                          <w:rPr>
                            <w:rFonts w:ascii="Cambria Math" w:hAnsi="Cambria Math"/>
                            <w:szCs w:val="21"/>
                          </w:rPr>
                          <m:t xml:space="preserve"> × </m:t>
                        </m:r>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PUCD</m:t>
                                </m:r>
                              </m:e>
                              <m:sub>
                                <m:r>
                                  <w:rPr>
                                    <w:rFonts w:ascii="Cambria Math" w:hAnsi="Cambria Math"/>
                                    <w:szCs w:val="21"/>
                                  </w:rPr>
                                  <m:t>m</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mean</m:t>
                                </m:r>
                                <m:r>
                                  <w:rPr>
                                    <w:rFonts w:ascii="Cambria Math" w:hAnsi="Cambria Math"/>
                                    <w:szCs w:val="21"/>
                                  </w:rPr>
                                  <m:t>(</m:t>
                                </m:r>
                                <m:r>
                                  <w:rPr>
                                    <w:rFonts w:ascii="Cambria Math" w:hAnsi="Cambria Math"/>
                                    <w:szCs w:val="21"/>
                                  </w:rPr>
                                  <m:t>PUCD</m:t>
                                </m:r>
                                <m:r>
                                  <w:rPr>
                                    <w:rFonts w:ascii="Cambria Math" w:hAnsi="Cambria Math"/>
                                    <w:szCs w:val="21"/>
                                  </w:rPr>
                                  <m:t>)</m:t>
                                </m:r>
                              </m:e>
                              <m:sub>
                                <m:r>
                                  <w:rPr>
                                    <w:rFonts w:ascii="Cambria Math" w:hAnsi="Cambria Math"/>
                                    <w:szCs w:val="21"/>
                                  </w:rPr>
                                  <m:t>c</m:t>
                                </m:r>
                              </m:sub>
                            </m:sSub>
                          </m:e>
                        </m:d>
                      </m:e>
                    </m:nary>
                  </m:num>
                  <m:den>
                    <m:sSub>
                      <m:sSubPr>
                        <m:ctrlPr>
                          <w:rPr>
                            <w:rFonts w:ascii="Cambria Math" w:hAnsi="Cambria Math"/>
                            <w:i/>
                            <w:szCs w:val="21"/>
                          </w:rPr>
                        </m:ctrlPr>
                      </m:sSubPr>
                      <m:e>
                        <m:r>
                          <w:rPr>
                            <w:rFonts w:ascii="Cambria Math" w:hAnsi="Cambria Math"/>
                            <w:szCs w:val="21"/>
                          </w:rPr>
                          <m:t>n</m:t>
                        </m:r>
                      </m:e>
                      <m:sub>
                        <m:r>
                          <w:rPr>
                            <w:rFonts w:ascii="Cambria Math" w:hAnsi="Cambria Math"/>
                            <w:szCs w:val="21"/>
                          </w:rPr>
                          <m:t>c</m:t>
                        </m:r>
                      </m:sub>
                    </m:sSub>
                    <m:r>
                      <w:rPr>
                        <w:rFonts w:ascii="Cambria Math" w:hAnsi="Cambria Math"/>
                        <w:szCs w:val="21"/>
                      </w:rPr>
                      <m:t>-1</m:t>
                    </m:r>
                  </m:den>
                </m:f>
              </m:oMath>
            </m:oMathPara>
          </w:p>
          <w:p w14:paraId="39BF9657" w14:textId="77777777" w:rsidR="008B0B96" w:rsidRPr="005D4222" w:rsidRDefault="008B0B96" w:rsidP="00A53E8C">
            <w:pPr>
              <w:spacing w:before="120"/>
            </w:pPr>
            <w:r w:rsidRPr="005D4222">
              <w:t>Where:</w:t>
            </w:r>
          </w:p>
          <w:p w14:paraId="05F76D49" w14:textId="77777777" w:rsidR="008B0B96" w:rsidRPr="005D4222" w:rsidRDefault="00010176" w:rsidP="00A53E8C">
            <w:pPr>
              <w:ind w:left="1440" w:hanging="1440"/>
              <w:rPr>
                <w:rFonts w:eastAsiaTheme="minorEastAsia"/>
              </w:rPr>
            </w:pPr>
            <m:oMath>
              <m:r>
                <w:rPr>
                  <w:rFonts w:ascii="Cambria Math" w:eastAsiaTheme="minorEastAsia" w:hAnsi="Cambria Math"/>
                </w:rPr>
                <m:t>c</m:t>
              </m:r>
            </m:oMath>
            <w:r w:rsidR="008B0B96" w:rsidRPr="005D4222">
              <w:rPr>
                <w:rFonts w:eastAsiaTheme="minorEastAsia"/>
                <w:i/>
              </w:rPr>
              <w:t xml:space="preserve"> </w:t>
            </w:r>
            <w:r w:rsidR="008B0B96" w:rsidRPr="005D4222">
              <w:rPr>
                <w:rFonts w:eastAsiaTheme="minorEastAsia"/>
                <w:i/>
              </w:rPr>
              <w:tab/>
            </w:r>
            <w:r w:rsidR="008B0B96" w:rsidRPr="005D4222">
              <w:rPr>
                <w:rFonts w:eastAsiaTheme="minorEastAsia"/>
              </w:rPr>
              <w:t>denotes an individual category</w:t>
            </w:r>
          </w:p>
          <w:p w14:paraId="00284FA8" w14:textId="77777777" w:rsidR="008B0B96" w:rsidRPr="005D4222" w:rsidRDefault="00000000" w:rsidP="00A53E8C">
            <w:pPr>
              <w:spacing w:before="60"/>
              <w:ind w:left="1440" w:hanging="1440"/>
              <w:rPr>
                <w:rFonts w:eastAsiaTheme="minorEastAsia"/>
              </w:rPr>
            </w:pPr>
            <m:oMath>
              <m:sSub>
                <m:sSubPr>
                  <m:ctrlPr>
                    <w:rPr>
                      <w:rFonts w:ascii="Cambria Math" w:hAnsi="Cambria Math"/>
                      <w:i/>
                    </w:rPr>
                  </m:ctrlPr>
                </m:sSubPr>
                <m:e>
                  <m:r>
                    <w:rPr>
                      <w:rFonts w:ascii="Cambria Math" w:hAnsi="Cambria Math"/>
                    </w:rPr>
                    <m:t>n</m:t>
                  </m:r>
                </m:e>
                <m:sub>
                  <m:r>
                    <w:rPr>
                      <w:rFonts w:ascii="Cambria Math" w:hAnsi="Cambria Math"/>
                    </w:rPr>
                    <m:t>c</m:t>
                  </m:r>
                </m:sub>
              </m:sSub>
            </m:oMath>
            <w:r w:rsidR="008B0B96" w:rsidRPr="005D4222">
              <w:rPr>
                <w:rFonts w:eastAsiaTheme="minorEastAsia"/>
              </w:rPr>
              <w:t xml:space="preserve"> </w:t>
            </w:r>
            <w:r w:rsidR="008B0B96" w:rsidRPr="005D4222">
              <w:rPr>
                <w:rFonts w:eastAsiaTheme="minorEastAsia"/>
              </w:rPr>
              <w:tab/>
              <w:t xml:space="preserve">is the number of persons in the category indicated by </w:t>
            </w:r>
            <m:oMath>
              <m:r>
                <w:rPr>
                  <w:rFonts w:ascii="Cambria Math" w:eastAsiaTheme="minorEastAsia" w:hAnsi="Cambria Math"/>
                </w:rPr>
                <m:t>c</m:t>
              </m:r>
            </m:oMath>
          </w:p>
          <w:p w14:paraId="2584941C" w14:textId="77777777" w:rsidR="008B0B96" w:rsidRPr="005D4222" w:rsidRDefault="00010176" w:rsidP="00A53E8C">
            <w:pPr>
              <w:spacing w:before="60"/>
              <w:ind w:left="1440" w:hanging="1440"/>
              <w:rPr>
                <w:rFonts w:eastAsiaTheme="minorEastAsia"/>
              </w:rPr>
            </w:pPr>
            <m:oMath>
              <m:r>
                <w:rPr>
                  <w:rFonts w:ascii="Cambria Math" w:eastAsiaTheme="minorEastAsia" w:hAnsi="Cambria Math"/>
                </w:rPr>
                <m:t>m</m:t>
              </m:r>
            </m:oMath>
            <w:r w:rsidR="008B0B96" w:rsidRPr="005D4222">
              <w:rPr>
                <w:rFonts w:eastAsiaTheme="minorEastAsia"/>
              </w:rPr>
              <w:t xml:space="preserve"> </w:t>
            </w:r>
            <w:r w:rsidR="008B0B96" w:rsidRPr="005D4222">
              <w:rPr>
                <w:rFonts w:eastAsiaTheme="minorEastAsia"/>
              </w:rPr>
              <w:tab/>
              <w:t xml:space="preserve">is an individual person within the category indicated by </w:t>
            </w:r>
            <m:oMath>
              <m:r>
                <w:rPr>
                  <w:rFonts w:ascii="Cambria Math" w:eastAsiaTheme="minorEastAsia" w:hAnsi="Cambria Math"/>
                </w:rPr>
                <m:t>c</m:t>
              </m:r>
            </m:oMath>
          </w:p>
          <w:p w14:paraId="6A32B2DD" w14:textId="77777777" w:rsidR="008B0B96" w:rsidRPr="005D4222" w:rsidRDefault="00000000" w:rsidP="00A53E8C">
            <w:pPr>
              <w:spacing w:before="60"/>
              <w:ind w:left="1440" w:hanging="1440"/>
              <w:rPr>
                <w:rFonts w:eastAsiaTheme="minorEastAsia"/>
              </w:rPr>
            </w:pPr>
            <m:oMath>
              <m:sSub>
                <m:sSubPr>
                  <m:ctrlPr>
                    <w:rPr>
                      <w:rFonts w:ascii="Cambria Math" w:eastAsiaTheme="minorEastAsia" w:hAnsi="Cambria Math"/>
                      <w:i/>
                    </w:rPr>
                  </m:ctrlPr>
                </m:sSubPr>
                <m:e>
                  <m:r>
                    <w:rPr>
                      <w:rFonts w:ascii="Cambria Math" w:eastAsiaTheme="minorEastAsia" w:hAnsi="Cambria Math"/>
                    </w:rPr>
                    <m:t>PPD</m:t>
                  </m:r>
                </m:e>
                <m:sub>
                  <m:r>
                    <w:rPr>
                      <w:rFonts w:ascii="Cambria Math" w:eastAsiaTheme="minorEastAsia" w:hAnsi="Cambria Math"/>
                    </w:rPr>
                    <m:t>m</m:t>
                  </m:r>
                </m:sub>
              </m:sSub>
            </m:oMath>
            <w:r w:rsidR="008B0B96" w:rsidRPr="005D4222">
              <w:rPr>
                <w:rFonts w:eastAsiaTheme="minorEastAsia"/>
              </w:rPr>
              <w:t xml:space="preserve"> </w:t>
            </w:r>
            <w:r w:rsidR="008B0B96" w:rsidRPr="005D4222">
              <w:rPr>
                <w:rFonts w:eastAsiaTheme="minorEastAsia"/>
              </w:rPr>
              <w:tab/>
              <w:t xml:space="preserve">is the truncated PPD for the person denoted by </w:t>
            </w:r>
            <m:oMath>
              <m:r>
                <w:rPr>
                  <w:rFonts w:ascii="Cambria Math" w:eastAsiaTheme="minorEastAsia" w:hAnsi="Cambria Math"/>
                </w:rPr>
                <m:t>m</m:t>
              </m:r>
            </m:oMath>
          </w:p>
          <w:p w14:paraId="3604B575" w14:textId="77777777" w:rsidR="008B0B96" w:rsidRPr="005D4222" w:rsidRDefault="00000000" w:rsidP="00A53E8C">
            <w:pPr>
              <w:spacing w:before="60"/>
              <w:ind w:left="1440" w:hanging="1440"/>
              <w:rPr>
                <w:rFonts w:eastAsiaTheme="minorEastAsia"/>
              </w:rPr>
            </w:pPr>
            <m:oMath>
              <m:sSub>
                <m:sSubPr>
                  <m:ctrlPr>
                    <w:rPr>
                      <w:rFonts w:ascii="Cambria Math" w:eastAsiaTheme="minorEastAsia" w:hAnsi="Cambria Math"/>
                      <w:i/>
                    </w:rPr>
                  </m:ctrlPr>
                </m:sSubPr>
                <m:e>
                  <m:r>
                    <w:rPr>
                      <w:rFonts w:ascii="Cambria Math" w:eastAsiaTheme="minorEastAsia" w:hAnsi="Cambria Math"/>
                    </w:rPr>
                    <m:t>mean</m:t>
                  </m:r>
                  <m:r>
                    <w:rPr>
                      <w:rFonts w:ascii="Cambria Math" w:eastAsiaTheme="minorEastAsia" w:hAnsi="Cambria Math"/>
                    </w:rPr>
                    <m:t>(</m:t>
                  </m:r>
                  <m:r>
                    <w:rPr>
                      <w:rFonts w:ascii="Cambria Math" w:eastAsiaTheme="minorEastAsia" w:hAnsi="Cambria Math"/>
                    </w:rPr>
                    <m:t>PPD</m:t>
                  </m:r>
                  <m:r>
                    <w:rPr>
                      <w:rFonts w:ascii="Cambria Math" w:eastAsiaTheme="minorEastAsia" w:hAnsi="Cambria Math"/>
                    </w:rPr>
                    <m:t>)</m:t>
                  </m:r>
                </m:e>
                <m:sub>
                  <m:r>
                    <w:rPr>
                      <w:rFonts w:ascii="Cambria Math" w:eastAsiaTheme="minorEastAsia" w:hAnsi="Cambria Math"/>
                    </w:rPr>
                    <m:t>c</m:t>
                  </m:r>
                </m:sub>
              </m:sSub>
            </m:oMath>
            <w:r w:rsidR="008B0B96" w:rsidRPr="005D4222">
              <w:rPr>
                <w:rFonts w:eastAsiaTheme="minorEastAsia"/>
              </w:rPr>
              <w:tab/>
              <w:t xml:space="preserve">is the unrounded and untruncated mean PPD in the category indicated by </w:t>
            </w:r>
            <m:oMath>
              <m:r>
                <w:rPr>
                  <w:rFonts w:ascii="Cambria Math" w:eastAsiaTheme="minorEastAsia" w:hAnsi="Cambria Math"/>
                </w:rPr>
                <m:t>c</m:t>
              </m:r>
            </m:oMath>
          </w:p>
          <w:p w14:paraId="6DB215EE" w14:textId="77777777" w:rsidR="008B0B96" w:rsidRPr="005D4222" w:rsidRDefault="00000000" w:rsidP="00A53E8C">
            <w:pPr>
              <w:spacing w:before="60"/>
              <w:ind w:left="1440" w:hanging="1440"/>
              <w:rPr>
                <w:rFonts w:eastAsiaTheme="minorEastAsia"/>
              </w:rPr>
            </w:pPr>
            <m:oMath>
              <m:sSub>
                <m:sSubPr>
                  <m:ctrlPr>
                    <w:rPr>
                      <w:rFonts w:ascii="Cambria Math" w:eastAsiaTheme="minorEastAsia" w:hAnsi="Cambria Math"/>
                      <w:i/>
                    </w:rPr>
                  </m:ctrlPr>
                </m:sSubPr>
                <m:e>
                  <m:r>
                    <w:rPr>
                      <w:rFonts w:ascii="Cambria Math" w:eastAsiaTheme="minorEastAsia" w:hAnsi="Cambria Math"/>
                    </w:rPr>
                    <m:t>PUCD</m:t>
                  </m:r>
                </m:e>
                <m:sub>
                  <m:r>
                    <w:rPr>
                      <w:rFonts w:ascii="Cambria Math" w:eastAsiaTheme="minorEastAsia" w:hAnsi="Cambria Math"/>
                    </w:rPr>
                    <m:t>m</m:t>
                  </m:r>
                </m:sub>
              </m:sSub>
            </m:oMath>
            <w:r w:rsidR="008B0B96" w:rsidRPr="005D4222">
              <w:rPr>
                <w:rFonts w:eastAsiaTheme="minorEastAsia"/>
              </w:rPr>
              <w:t xml:space="preserve"> </w:t>
            </w:r>
            <w:r w:rsidR="008B0B96" w:rsidRPr="005D4222">
              <w:rPr>
                <w:rFonts w:eastAsiaTheme="minorEastAsia"/>
              </w:rPr>
              <w:tab/>
              <w:t xml:space="preserve">is the truncated PUCD for the person denoted by </w:t>
            </w:r>
            <m:oMath>
              <m:r>
                <w:rPr>
                  <w:rFonts w:ascii="Cambria Math" w:eastAsiaTheme="minorEastAsia" w:hAnsi="Cambria Math"/>
                </w:rPr>
                <m:t>m</m:t>
              </m:r>
            </m:oMath>
          </w:p>
          <w:p w14:paraId="64002FCA" w14:textId="77777777" w:rsidR="008B0B96" w:rsidRPr="005D4222" w:rsidRDefault="00000000" w:rsidP="00A53E8C">
            <w:pPr>
              <w:autoSpaceDE w:val="0"/>
              <w:autoSpaceDN w:val="0"/>
              <w:adjustRightInd w:val="0"/>
              <w:spacing w:before="60"/>
              <w:ind w:left="1442" w:hanging="1442"/>
              <w:rPr>
                <w:rFonts w:eastAsiaTheme="minorEastAsia"/>
              </w:rPr>
            </w:pPr>
            <m:oMath>
              <m:sSub>
                <m:sSubPr>
                  <m:ctrlPr>
                    <w:rPr>
                      <w:rFonts w:ascii="Cambria Math" w:eastAsiaTheme="minorEastAsia" w:hAnsi="Cambria Math"/>
                      <w:i/>
                    </w:rPr>
                  </m:ctrlPr>
                </m:sSubPr>
                <m:e>
                  <m:r>
                    <w:rPr>
                      <w:rFonts w:ascii="Cambria Math" w:eastAsiaTheme="minorEastAsia" w:hAnsi="Cambria Math"/>
                    </w:rPr>
                    <m:t>mean</m:t>
                  </m:r>
                  <m:r>
                    <w:rPr>
                      <w:rFonts w:ascii="Cambria Math" w:eastAsiaTheme="minorEastAsia" w:hAnsi="Cambria Math"/>
                    </w:rPr>
                    <m:t>(</m:t>
                  </m:r>
                  <m:r>
                    <w:rPr>
                      <w:rFonts w:ascii="Cambria Math" w:eastAsiaTheme="minorEastAsia" w:hAnsi="Cambria Math"/>
                    </w:rPr>
                    <m:t>PUCD</m:t>
                  </m:r>
                  <m:r>
                    <w:rPr>
                      <w:rFonts w:ascii="Cambria Math" w:eastAsiaTheme="minorEastAsia" w:hAnsi="Cambria Math"/>
                    </w:rPr>
                    <m:t>)</m:t>
                  </m:r>
                </m:e>
                <m:sub>
                  <m:r>
                    <w:rPr>
                      <w:rFonts w:ascii="Cambria Math" w:eastAsiaTheme="minorEastAsia" w:hAnsi="Cambria Math"/>
                    </w:rPr>
                    <m:t>c</m:t>
                  </m:r>
                </m:sub>
              </m:sSub>
            </m:oMath>
            <w:r w:rsidR="008B0B96" w:rsidRPr="005D4222">
              <w:rPr>
                <w:rFonts w:eastAsiaTheme="minorEastAsia"/>
              </w:rPr>
              <w:t xml:space="preserve"> </w:t>
            </w:r>
            <w:r w:rsidR="008B0B96" w:rsidRPr="005D4222">
              <w:rPr>
                <w:rFonts w:eastAsiaTheme="minorEastAsia"/>
              </w:rPr>
              <w:tab/>
              <w:t xml:space="preserve">is the unrounded and untruncated mean PUCD in the category indicated by </w:t>
            </w:r>
            <m:oMath>
              <m:r>
                <w:rPr>
                  <w:rFonts w:ascii="Cambria Math" w:eastAsiaTheme="minorEastAsia" w:hAnsi="Cambria Math"/>
                </w:rPr>
                <m:t>c</m:t>
              </m:r>
            </m:oMath>
          </w:p>
          <w:p w14:paraId="76363A9C" w14:textId="77777777" w:rsidR="008B0B96" w:rsidRPr="005D4222" w:rsidRDefault="008B0B96" w:rsidP="00A53E8C">
            <w:pPr>
              <w:pStyle w:val="ECDSBody"/>
              <w:rPr>
                <w:i/>
              </w:rPr>
            </w:pPr>
            <w:r w:rsidRPr="005D4222">
              <w:rPr>
                <w:rFonts w:eastAsiaTheme="minorEastAsia"/>
                <w:b/>
                <w:szCs w:val="21"/>
              </w:rPr>
              <w:t xml:space="preserve">Step 5. </w:t>
            </w:r>
            <w:r w:rsidRPr="005D4222">
              <w:t>Once the covariance between PPD and PUCD for a given category is calculated, it can be used as indicated in the formula below to calculate the variance for that category.</w:t>
            </w:r>
          </w:p>
          <w:p w14:paraId="7AF3E4C4" w14:textId="004D0D89" w:rsidR="008B0B96" w:rsidRPr="005D4222" w:rsidRDefault="00000000" w:rsidP="00886DCF">
            <w:pPr>
              <w:autoSpaceDE w:val="0"/>
              <w:autoSpaceDN w:val="0"/>
              <w:adjustRightInd w:val="0"/>
              <w:rPr>
                <w:b/>
                <w:bCs/>
              </w:rPr>
            </w:pPr>
            <m:oMathPara>
              <m:oMath>
                <m:sSub>
                  <m:sSubPr>
                    <m:ctrlPr>
                      <w:rPr>
                        <w:rFonts w:ascii="Cambria Math" w:eastAsiaTheme="minorHAnsi" w:hAnsi="Cambria Math" w:cs="Arial"/>
                      </w:rPr>
                    </m:ctrlPr>
                  </m:sSubPr>
                  <m:e>
                    <m:r>
                      <w:rPr>
                        <w:rFonts w:ascii="Cambria Math" w:eastAsiaTheme="minorHAnsi" w:hAnsi="Cambria Math" w:cs="Arial"/>
                      </w:rPr>
                      <m:t xml:space="preserve"> </m:t>
                    </m:r>
                    <m:r>
                      <w:rPr>
                        <w:rFonts w:ascii="Cambria Math" w:eastAsiaTheme="minorHAnsi" w:hAnsi="Cambria Math" w:cs="Arial"/>
                      </w:rPr>
                      <m:t>Variance</m:t>
                    </m:r>
                  </m:e>
                  <m:sub>
                    <m:r>
                      <w:rPr>
                        <w:rFonts w:ascii="Cambria Math" w:eastAsiaTheme="minorHAnsi" w:hAnsi="Cambria Math" w:cs="Arial"/>
                      </w:rPr>
                      <m:t>c</m:t>
                    </m:r>
                  </m:sub>
                </m:sSub>
                <m:r>
                  <w:rPr>
                    <w:rFonts w:ascii="Cambria Math" w:eastAsiaTheme="minorHAnsi" w:hAnsi="Cambria Math" w:cs="Arial"/>
                  </w:rPr>
                  <m:t>=</m:t>
                </m:r>
                <m:nary>
                  <m:naryPr>
                    <m:chr m:val="∑"/>
                    <m:limLoc m:val="undOvr"/>
                    <m:ctrlPr>
                      <w:rPr>
                        <w:rFonts w:ascii="Cambria Math" w:eastAsiaTheme="minorHAnsi" w:hAnsi="Cambria Math" w:cs="Arial"/>
                      </w:rPr>
                    </m:ctrlPr>
                  </m:naryPr>
                  <m:sub>
                    <m:r>
                      <w:rPr>
                        <w:rFonts w:ascii="Cambria Math" w:eastAsiaTheme="minorHAnsi" w:hAnsi="Cambria Math" w:cs="Arial"/>
                      </w:rPr>
                      <m:t>m</m:t>
                    </m:r>
                    <m:r>
                      <w:rPr>
                        <w:rFonts w:ascii="Cambria Math" w:eastAsiaTheme="minorHAnsi" w:hAnsi="Cambria Math" w:cs="Arial"/>
                      </w:rPr>
                      <m:t>=1</m:t>
                    </m:r>
                  </m:sub>
                  <m:sup>
                    <m:sSub>
                      <m:sSubPr>
                        <m:ctrlPr>
                          <w:rPr>
                            <w:rFonts w:ascii="Cambria Math" w:eastAsiaTheme="minorHAnsi" w:hAnsi="Cambria Math" w:cs="Arial"/>
                          </w:rPr>
                        </m:ctrlPr>
                      </m:sSubPr>
                      <m:e>
                        <m:r>
                          <w:rPr>
                            <w:rFonts w:ascii="Cambria Math" w:eastAsiaTheme="minorHAnsi" w:hAnsi="Cambria Math" w:cs="Arial"/>
                          </w:rPr>
                          <m:t>n</m:t>
                        </m:r>
                      </m:e>
                      <m:sub>
                        <m:r>
                          <w:rPr>
                            <w:rFonts w:ascii="Cambria Math" w:eastAsiaTheme="minorHAnsi" w:hAnsi="Cambria Math" w:cs="Arial"/>
                          </w:rPr>
                          <m:t>c</m:t>
                        </m:r>
                      </m:sub>
                    </m:sSub>
                  </m:sup>
                  <m:e>
                    <m:sSup>
                      <m:sSupPr>
                        <m:ctrlPr>
                          <w:rPr>
                            <w:rFonts w:ascii="Cambria Math" w:eastAsiaTheme="minorHAnsi" w:hAnsi="Cambria Math" w:cs="Arial"/>
                          </w:rPr>
                        </m:ctrlPr>
                      </m:sSupPr>
                      <m:e>
                        <m:d>
                          <m:dPr>
                            <m:ctrlPr>
                              <w:rPr>
                                <w:rFonts w:ascii="Cambria Math" w:eastAsiaTheme="minorHAnsi" w:hAnsi="Cambria Math" w:cs="Arial"/>
                              </w:rPr>
                            </m:ctrlPr>
                          </m:dPr>
                          <m:e>
                            <m:sSub>
                              <m:sSubPr>
                                <m:ctrlPr>
                                  <w:rPr>
                                    <w:rFonts w:ascii="Cambria Math" w:eastAsiaTheme="minorHAnsi" w:hAnsi="Cambria Math" w:cs="Arial"/>
                                  </w:rPr>
                                </m:ctrlPr>
                              </m:sSubPr>
                              <m:e>
                                <m:r>
                                  <w:rPr>
                                    <w:rFonts w:ascii="Cambria Math" w:eastAsiaTheme="minorHAnsi" w:hAnsi="Cambria Math" w:cs="Arial"/>
                                  </w:rPr>
                                  <m:t>PPD</m:t>
                                </m:r>
                              </m:e>
                              <m:sub>
                                <m:r>
                                  <w:rPr>
                                    <w:rFonts w:ascii="Cambria Math" w:eastAsiaTheme="minorHAnsi" w:hAnsi="Cambria Math" w:cs="Arial"/>
                                  </w:rPr>
                                  <m:t>m</m:t>
                                </m:r>
                              </m:sub>
                            </m:sSub>
                            <m:r>
                              <w:rPr>
                                <w:rFonts w:ascii="Cambria Math" w:eastAsiaTheme="minorHAnsi" w:hAnsi="Cambria Math" w:cs="Arial"/>
                              </w:rPr>
                              <m:t xml:space="preserve"> ×</m:t>
                            </m:r>
                            <m:sSub>
                              <m:sSubPr>
                                <m:ctrlPr>
                                  <w:rPr>
                                    <w:rFonts w:ascii="Cambria Math" w:eastAsiaTheme="minorHAnsi" w:hAnsi="Cambria Math" w:cs="Arial"/>
                                  </w:rPr>
                                </m:ctrlPr>
                              </m:sSubPr>
                              <m:e>
                                <m:r>
                                  <w:rPr>
                                    <w:rFonts w:ascii="Cambria Math" w:eastAsiaTheme="minorHAnsi" w:hAnsi="Cambria Math" w:cs="Arial"/>
                                  </w:rPr>
                                  <m:t>PUCD</m:t>
                                </m:r>
                              </m:e>
                              <m:sub>
                                <m:r>
                                  <w:rPr>
                                    <w:rFonts w:ascii="Cambria Math" w:eastAsiaTheme="minorHAnsi" w:hAnsi="Cambria Math" w:cs="Arial"/>
                                  </w:rPr>
                                  <m:t>m</m:t>
                                </m:r>
                              </m:sub>
                            </m:sSub>
                          </m:e>
                        </m:d>
                      </m:e>
                      <m:sup>
                        <m:r>
                          <w:rPr>
                            <w:rFonts w:ascii="Cambria Math" w:eastAsiaTheme="minorHAnsi" w:hAnsi="Cambria Math" w:cs="Arial"/>
                          </w:rPr>
                          <m:t>2</m:t>
                        </m:r>
                      </m:sup>
                    </m:sSup>
                    <m:r>
                      <w:rPr>
                        <w:rFonts w:ascii="Cambria Math" w:eastAsiaTheme="minorHAnsi" w:hAnsi="Cambria Math" w:cs="Arial"/>
                      </w:rPr>
                      <m:t>×</m:t>
                    </m:r>
                    <m:d>
                      <m:dPr>
                        <m:ctrlPr>
                          <w:rPr>
                            <w:rFonts w:ascii="Cambria Math" w:eastAsiaTheme="minorHAnsi" w:hAnsi="Cambria Math" w:cs="Arial"/>
                          </w:rPr>
                        </m:ctrlPr>
                      </m:dPr>
                      <m:e>
                        <m:sSup>
                          <m:sSupPr>
                            <m:ctrlPr>
                              <w:rPr>
                                <w:rFonts w:ascii="Cambria Math" w:eastAsiaTheme="minorHAnsi" w:hAnsi="Cambria Math" w:cs="Arial"/>
                              </w:rPr>
                            </m:ctrlPr>
                          </m:sSupPr>
                          <m:e>
                            <m:r>
                              <w:rPr>
                                <w:rFonts w:ascii="Cambria Math" w:eastAsiaTheme="minorHAnsi" w:hAnsi="Cambria Math" w:cs="Arial"/>
                              </w:rPr>
                              <m:t xml:space="preserve">1+ </m:t>
                            </m:r>
                            <m:d>
                              <m:dPr>
                                <m:ctrlPr>
                                  <w:rPr>
                                    <w:rFonts w:ascii="Cambria Math" w:eastAsiaTheme="minorHAnsi" w:hAnsi="Cambria Math" w:cs="Arial"/>
                                  </w:rPr>
                                </m:ctrlPr>
                              </m:dPr>
                              <m:e>
                                <m:r>
                                  <w:rPr>
                                    <w:rFonts w:ascii="Cambria Math" w:eastAsiaTheme="minorHAnsi" w:hAnsi="Cambria Math" w:cs="Arial"/>
                                  </w:rPr>
                                  <m:t>1-</m:t>
                                </m:r>
                                <m:sSub>
                                  <m:sSubPr>
                                    <m:ctrlPr>
                                      <w:rPr>
                                        <w:rFonts w:ascii="Cambria Math" w:eastAsiaTheme="minorHAnsi" w:hAnsi="Cambria Math" w:cs="Arial"/>
                                      </w:rPr>
                                    </m:ctrlPr>
                                  </m:sSubPr>
                                  <m:e>
                                    <m:r>
                                      <w:rPr>
                                        <w:rFonts w:ascii="Cambria Math" w:eastAsiaTheme="minorHAnsi" w:hAnsi="Cambria Math" w:cs="Arial"/>
                                      </w:rPr>
                                      <m:t>PPD</m:t>
                                    </m:r>
                                  </m:e>
                                  <m:sub>
                                    <m:r>
                                      <w:rPr>
                                        <w:rFonts w:ascii="Cambria Math" w:eastAsiaTheme="minorHAnsi" w:hAnsi="Cambria Math" w:cs="Arial"/>
                                      </w:rPr>
                                      <m:t>m</m:t>
                                    </m:r>
                                  </m:sub>
                                </m:sSub>
                              </m:e>
                            </m:d>
                          </m:e>
                          <m:sup>
                            <m:r>
                              <w:rPr>
                                <w:rFonts w:ascii="Cambria Math" w:eastAsiaTheme="minorHAnsi" w:hAnsi="Cambria Math" w:cs="Arial"/>
                              </w:rPr>
                              <m:t>2</m:t>
                            </m:r>
                          </m:sup>
                        </m:sSup>
                        <m:r>
                          <w:rPr>
                            <w:rFonts w:ascii="Cambria Math" w:eastAsiaTheme="minorHAnsi" w:hAnsi="Cambria Math" w:cs="Arial"/>
                          </w:rPr>
                          <m:t>+</m:t>
                        </m:r>
                        <m:d>
                          <m:dPr>
                            <m:ctrlPr>
                              <w:rPr>
                                <w:rFonts w:ascii="Cambria Math" w:eastAsiaTheme="minorHAnsi" w:hAnsi="Cambria Math" w:cs="Arial"/>
                              </w:rPr>
                            </m:ctrlPr>
                          </m:dPr>
                          <m:e>
                            <m:f>
                              <m:fPr>
                                <m:ctrlPr>
                                  <w:rPr>
                                    <w:rFonts w:ascii="Cambria Math" w:eastAsiaTheme="minorHAnsi" w:hAnsi="Cambria Math" w:cs="Arial"/>
                                  </w:rPr>
                                </m:ctrlPr>
                              </m:fPr>
                              <m:num>
                                <m:r>
                                  <w:rPr>
                                    <w:rFonts w:ascii="Cambria Math" w:eastAsiaTheme="minorHAnsi" w:hAnsi="Cambria Math" w:cs="Arial"/>
                                  </w:rPr>
                                  <m:t>2 ×</m:t>
                                </m:r>
                                <m:sSub>
                                  <m:sSubPr>
                                    <m:ctrlPr>
                                      <w:rPr>
                                        <w:rFonts w:ascii="Cambria Math" w:eastAsiaTheme="minorHAnsi" w:hAnsi="Cambria Math" w:cs="Arial"/>
                                      </w:rPr>
                                    </m:ctrlPr>
                                  </m:sSubPr>
                                  <m:e>
                                    <m:r>
                                      <w:rPr>
                                        <w:rFonts w:ascii="Cambria Math" w:eastAsiaTheme="minorHAnsi" w:hAnsi="Cambria Math" w:cs="Arial"/>
                                      </w:rPr>
                                      <m:t>COV</m:t>
                                    </m:r>
                                  </m:e>
                                  <m:sub>
                                    <m:r>
                                      <w:rPr>
                                        <w:rFonts w:ascii="Cambria Math" w:eastAsiaTheme="minorHAnsi" w:hAnsi="Cambria Math" w:cs="Arial"/>
                                      </w:rPr>
                                      <m:t>c</m:t>
                                    </m:r>
                                  </m:sub>
                                </m:sSub>
                              </m:num>
                              <m:den>
                                <m:sSub>
                                  <m:sSubPr>
                                    <m:ctrlPr>
                                      <w:rPr>
                                        <w:rFonts w:ascii="Cambria Math" w:eastAsiaTheme="minorHAnsi" w:hAnsi="Cambria Math" w:cs="Arial"/>
                                      </w:rPr>
                                    </m:ctrlPr>
                                  </m:sSubPr>
                                  <m:e>
                                    <m:r>
                                      <w:rPr>
                                        <w:rFonts w:ascii="Cambria Math" w:eastAsiaTheme="minorHAnsi" w:hAnsi="Cambria Math" w:cs="Arial"/>
                                      </w:rPr>
                                      <m:t>PPD</m:t>
                                    </m:r>
                                  </m:e>
                                  <m:sub>
                                    <m:r>
                                      <w:rPr>
                                        <w:rFonts w:ascii="Cambria Math" w:eastAsiaTheme="minorHAnsi" w:hAnsi="Cambria Math" w:cs="Arial"/>
                                      </w:rPr>
                                      <m:t>m</m:t>
                                    </m:r>
                                  </m:sub>
                                </m:sSub>
                                <m:r>
                                  <w:rPr>
                                    <w:rFonts w:ascii="Cambria Math" w:eastAsiaTheme="minorHAnsi" w:hAnsi="Cambria Math" w:cs="Arial"/>
                                  </w:rPr>
                                  <m:t xml:space="preserve"> ×</m:t>
                                </m:r>
                                <m:sSub>
                                  <m:sSubPr>
                                    <m:ctrlPr>
                                      <w:rPr>
                                        <w:rFonts w:ascii="Cambria Math" w:eastAsiaTheme="minorHAnsi" w:hAnsi="Cambria Math" w:cs="Arial"/>
                                      </w:rPr>
                                    </m:ctrlPr>
                                  </m:sSubPr>
                                  <m:e>
                                    <m:r>
                                      <w:rPr>
                                        <w:rFonts w:ascii="Cambria Math" w:eastAsiaTheme="minorHAnsi" w:hAnsi="Cambria Math" w:cs="Arial"/>
                                      </w:rPr>
                                      <m:t>PUCD</m:t>
                                    </m:r>
                                  </m:e>
                                  <m:sub>
                                    <m:r>
                                      <w:rPr>
                                        <w:rFonts w:ascii="Cambria Math" w:eastAsiaTheme="minorHAnsi" w:hAnsi="Cambria Math" w:cs="Arial"/>
                                      </w:rPr>
                                      <m:t>m</m:t>
                                    </m:r>
                                  </m:sub>
                                </m:sSub>
                              </m:den>
                            </m:f>
                          </m:e>
                        </m:d>
                      </m:e>
                    </m:d>
                  </m:e>
                </m:nary>
              </m:oMath>
            </m:oMathPara>
          </w:p>
        </w:tc>
      </w:tr>
      <w:tr w:rsidR="002A5D37" w:rsidRPr="005D4222" w14:paraId="4F3F1745" w14:textId="77777777" w:rsidTr="00EA26D6">
        <w:tc>
          <w:tcPr>
            <w:tcW w:w="2157" w:type="dxa"/>
            <w:tcBorders>
              <w:top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4E4D9B45" w14:textId="77777777" w:rsidR="002A5D37" w:rsidRPr="005D4222" w:rsidRDefault="002A5D37" w:rsidP="00A53E8C">
            <w:pPr>
              <w:pStyle w:val="MarginHead"/>
            </w:pPr>
          </w:p>
        </w:tc>
        <w:tc>
          <w:tcPr>
            <w:tcW w:w="7557" w:type="dxa"/>
            <w:tcBorders>
              <w:top w:val="single" w:sz="4" w:space="0" w:color="auto"/>
              <w:left w:val="single" w:sz="4" w:space="0" w:color="auto"/>
              <w:bottom w:val="single" w:sz="4" w:space="0" w:color="auto"/>
            </w:tcBorders>
            <w:tcMar>
              <w:left w:w="86" w:type="dxa"/>
              <w:bottom w:w="43" w:type="dxa"/>
              <w:right w:w="86" w:type="dxa"/>
            </w:tcMar>
          </w:tcPr>
          <w:p w14:paraId="0A8B69D6" w14:textId="77777777" w:rsidR="002A5D37" w:rsidRPr="005D4222" w:rsidRDefault="002A5D37" w:rsidP="002A5D37">
            <w:pPr>
              <w:pStyle w:val="ECDSBody"/>
            </w:pPr>
            <w:r w:rsidRPr="005D4222">
              <w:t>Where:</w:t>
            </w:r>
          </w:p>
          <w:p w14:paraId="2167EC8B" w14:textId="77777777" w:rsidR="002A5D37" w:rsidRPr="005D4222" w:rsidRDefault="00010176" w:rsidP="002A5D37">
            <w:pPr>
              <w:spacing w:before="60"/>
              <w:ind w:left="792" w:hanging="792"/>
              <w:rPr>
                <w:rFonts w:eastAsiaTheme="minorEastAsia"/>
              </w:rPr>
            </w:pPr>
            <m:oMath>
              <m:r>
                <w:rPr>
                  <w:rFonts w:ascii="Cambria Math" w:eastAsiaTheme="minorEastAsia" w:hAnsi="Cambria Math"/>
                </w:rPr>
                <m:t>c</m:t>
              </m:r>
            </m:oMath>
            <w:r w:rsidR="002A5D37" w:rsidRPr="005D4222">
              <w:rPr>
                <w:rFonts w:eastAsiaTheme="minorEastAsia"/>
                <w:i/>
              </w:rPr>
              <w:t xml:space="preserve"> </w:t>
            </w:r>
            <w:r w:rsidR="002A5D37" w:rsidRPr="005D4222">
              <w:rPr>
                <w:rFonts w:eastAsiaTheme="minorEastAsia"/>
                <w:i/>
              </w:rPr>
              <w:tab/>
            </w:r>
            <w:r w:rsidR="002A5D37" w:rsidRPr="005D4222">
              <w:rPr>
                <w:rFonts w:eastAsiaTheme="minorEastAsia"/>
              </w:rPr>
              <w:t>denotes an individual category</w:t>
            </w:r>
          </w:p>
          <w:p w14:paraId="2AEA5402" w14:textId="77777777" w:rsidR="002A5D37" w:rsidRPr="005D4222" w:rsidRDefault="00000000" w:rsidP="002A5D37">
            <w:pPr>
              <w:spacing w:before="40"/>
              <w:ind w:left="792" w:hanging="792"/>
              <w:rPr>
                <w:rFonts w:eastAsiaTheme="minorEastAsia"/>
              </w:rPr>
            </w:pPr>
            <m:oMath>
              <m:sSub>
                <m:sSubPr>
                  <m:ctrlPr>
                    <w:rPr>
                      <w:rFonts w:ascii="Cambria Math" w:hAnsi="Cambria Math"/>
                      <w:i/>
                    </w:rPr>
                  </m:ctrlPr>
                </m:sSubPr>
                <m:e>
                  <m:r>
                    <w:rPr>
                      <w:rFonts w:ascii="Cambria Math" w:hAnsi="Cambria Math"/>
                    </w:rPr>
                    <m:t>n</m:t>
                  </m:r>
                </m:e>
                <m:sub>
                  <m:r>
                    <w:rPr>
                      <w:rFonts w:ascii="Cambria Math" w:hAnsi="Cambria Math"/>
                    </w:rPr>
                    <m:t>c</m:t>
                  </m:r>
                </m:sub>
              </m:sSub>
            </m:oMath>
            <w:r w:rsidR="002A5D37" w:rsidRPr="005D4222">
              <w:rPr>
                <w:rFonts w:eastAsiaTheme="minorEastAsia"/>
              </w:rPr>
              <w:t xml:space="preserve"> </w:t>
            </w:r>
            <w:r w:rsidR="002A5D37" w:rsidRPr="005D4222">
              <w:rPr>
                <w:rFonts w:eastAsiaTheme="minorEastAsia"/>
              </w:rPr>
              <w:tab/>
              <w:t xml:space="preserve">is the number of persons in the category indicated by </w:t>
            </w:r>
            <m:oMath>
              <m:r>
                <w:rPr>
                  <w:rFonts w:ascii="Cambria Math" w:eastAsiaTheme="minorEastAsia" w:hAnsi="Cambria Math"/>
                </w:rPr>
                <m:t>c</m:t>
              </m:r>
            </m:oMath>
          </w:p>
          <w:p w14:paraId="7AA59D73" w14:textId="77777777" w:rsidR="002A5D37" w:rsidRPr="005D4222" w:rsidRDefault="00010176" w:rsidP="002A5D37">
            <w:pPr>
              <w:spacing w:before="60" w:after="80"/>
              <w:ind w:left="792" w:hanging="792"/>
              <w:rPr>
                <w:rFonts w:eastAsiaTheme="minorEastAsia"/>
              </w:rPr>
            </w:pPr>
            <m:oMath>
              <m:r>
                <w:rPr>
                  <w:rFonts w:ascii="Cambria Math" w:eastAsiaTheme="minorEastAsia" w:hAnsi="Cambria Math"/>
                </w:rPr>
                <m:t>m</m:t>
              </m:r>
            </m:oMath>
            <w:r w:rsidR="002A5D37" w:rsidRPr="005D4222">
              <w:rPr>
                <w:rFonts w:eastAsiaTheme="minorEastAsia"/>
              </w:rPr>
              <w:t xml:space="preserve"> </w:t>
            </w:r>
            <w:r w:rsidR="002A5D37" w:rsidRPr="005D4222">
              <w:rPr>
                <w:rFonts w:eastAsiaTheme="minorEastAsia"/>
              </w:rPr>
              <w:tab/>
              <w:t xml:space="preserve">is an individual person within the category indicated by </w:t>
            </w:r>
            <m:oMath>
              <m:r>
                <w:rPr>
                  <w:rFonts w:ascii="Cambria Math" w:eastAsiaTheme="minorEastAsia" w:hAnsi="Cambria Math"/>
                </w:rPr>
                <m:t>c</m:t>
              </m:r>
            </m:oMath>
          </w:p>
          <w:p w14:paraId="3E9644FB" w14:textId="77777777" w:rsidR="002A5D37" w:rsidRPr="005D4222" w:rsidRDefault="00000000" w:rsidP="002A5D37">
            <w:pPr>
              <w:spacing w:before="60"/>
              <w:ind w:left="792" w:hanging="792"/>
              <w:rPr>
                <w:rFonts w:eastAsiaTheme="minorEastAsia"/>
              </w:rPr>
            </w:pPr>
            <m:oMath>
              <m:sSub>
                <m:sSubPr>
                  <m:ctrlPr>
                    <w:rPr>
                      <w:rFonts w:ascii="Cambria Math" w:eastAsiaTheme="minorEastAsia" w:hAnsi="Cambria Math"/>
                      <w:i/>
                    </w:rPr>
                  </m:ctrlPr>
                </m:sSubPr>
                <m:e>
                  <m:r>
                    <w:rPr>
                      <w:rFonts w:ascii="Cambria Math" w:eastAsiaTheme="minorEastAsia" w:hAnsi="Cambria Math"/>
                    </w:rPr>
                    <m:t>PPD</m:t>
                  </m:r>
                </m:e>
                <m:sub>
                  <m:r>
                    <w:rPr>
                      <w:rFonts w:ascii="Cambria Math" w:eastAsiaTheme="minorEastAsia" w:hAnsi="Cambria Math"/>
                    </w:rPr>
                    <m:t>m</m:t>
                  </m:r>
                </m:sub>
              </m:sSub>
            </m:oMath>
            <w:r w:rsidR="002A5D37" w:rsidRPr="005D4222">
              <w:rPr>
                <w:rFonts w:eastAsiaTheme="minorEastAsia"/>
              </w:rPr>
              <w:t xml:space="preserve"> </w:t>
            </w:r>
            <w:r w:rsidR="002A5D37" w:rsidRPr="005D4222">
              <w:rPr>
                <w:rFonts w:eastAsiaTheme="minorEastAsia"/>
              </w:rPr>
              <w:tab/>
              <w:t xml:space="preserve">is the truncated PPD for the person denoted by </w:t>
            </w:r>
            <m:oMath>
              <m:r>
                <w:rPr>
                  <w:rFonts w:ascii="Cambria Math" w:eastAsiaTheme="minorEastAsia" w:hAnsi="Cambria Math"/>
                </w:rPr>
                <m:t>m</m:t>
              </m:r>
            </m:oMath>
          </w:p>
          <w:p w14:paraId="25E122EF" w14:textId="77777777" w:rsidR="002A5D37" w:rsidRPr="005D4222" w:rsidRDefault="00000000" w:rsidP="002A5D37">
            <w:pPr>
              <w:spacing w:before="60"/>
              <w:ind w:left="792" w:hanging="792"/>
              <w:rPr>
                <w:rFonts w:eastAsiaTheme="minorEastAsia"/>
              </w:rPr>
            </w:pPr>
            <m:oMath>
              <m:sSub>
                <m:sSubPr>
                  <m:ctrlPr>
                    <w:rPr>
                      <w:rFonts w:ascii="Cambria Math" w:eastAsiaTheme="minorEastAsia" w:hAnsi="Cambria Math"/>
                      <w:i/>
                    </w:rPr>
                  </m:ctrlPr>
                </m:sSubPr>
                <m:e>
                  <m:r>
                    <w:rPr>
                      <w:rFonts w:ascii="Cambria Math" w:eastAsiaTheme="minorEastAsia" w:hAnsi="Cambria Math"/>
                    </w:rPr>
                    <m:t>PUCD</m:t>
                  </m:r>
                </m:e>
                <m:sub>
                  <m:r>
                    <w:rPr>
                      <w:rFonts w:ascii="Cambria Math" w:eastAsiaTheme="minorEastAsia" w:hAnsi="Cambria Math"/>
                    </w:rPr>
                    <m:t>m</m:t>
                  </m:r>
                </m:sub>
              </m:sSub>
            </m:oMath>
            <w:r w:rsidR="002A5D37" w:rsidRPr="005D4222">
              <w:rPr>
                <w:rFonts w:eastAsiaTheme="minorEastAsia"/>
              </w:rPr>
              <w:t xml:space="preserve"> </w:t>
            </w:r>
            <w:r w:rsidR="002A5D37" w:rsidRPr="005D4222">
              <w:rPr>
                <w:rFonts w:eastAsiaTheme="minorEastAsia"/>
              </w:rPr>
              <w:tab/>
              <w:t xml:space="preserve">is the truncated PUCD for the person denoted by </w:t>
            </w:r>
            <m:oMath>
              <m:r>
                <w:rPr>
                  <w:rFonts w:ascii="Cambria Math" w:eastAsiaTheme="minorEastAsia" w:hAnsi="Cambria Math"/>
                </w:rPr>
                <m:t>m</m:t>
              </m:r>
            </m:oMath>
          </w:p>
          <w:p w14:paraId="124A80E2" w14:textId="4905E4D2" w:rsidR="002A5D37" w:rsidRPr="005D4222" w:rsidRDefault="002A5D37" w:rsidP="002A5D37">
            <w:pPr>
              <w:pStyle w:val="ECDSBody"/>
            </w:pPr>
            <w:r w:rsidRPr="005D4222">
              <w:t>Round the variance for reporting to 4 decimal places using the .5 rule</w:t>
            </w:r>
            <w:r w:rsidRPr="005D4222">
              <w:rPr>
                <w:szCs w:val="21"/>
              </w:rPr>
              <w:t>.</w:t>
            </w:r>
          </w:p>
        </w:tc>
      </w:tr>
      <w:tr w:rsidR="008B0B96" w:rsidRPr="005D4222" w14:paraId="43693AE6" w14:textId="77777777" w:rsidTr="00363E1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7C35615" w14:textId="77777777" w:rsidR="008B0B96" w:rsidRPr="005D4222" w:rsidRDefault="008B0B96" w:rsidP="00A53E8C">
            <w:pPr>
              <w:pStyle w:val="ECDSMarginHead"/>
            </w:pPr>
            <w:r w:rsidRPr="005D4222">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BCA4A0F" w14:textId="77777777" w:rsidR="008B0B96" w:rsidRPr="005D4222" w:rsidRDefault="008B0B96" w:rsidP="008B0B96">
            <w:pPr>
              <w:pStyle w:val="ProcessBullet"/>
              <w:tabs>
                <w:tab w:val="left" w:pos="216"/>
              </w:tabs>
              <w:spacing w:before="120"/>
            </w:pPr>
            <w:r w:rsidRPr="005D4222">
              <w:t xml:space="preserve">Integrated the Risk Adjustment General Guidelines into the </w:t>
            </w:r>
            <w:r w:rsidRPr="005D4222">
              <w:rPr>
                <w:i/>
              </w:rPr>
              <w:t xml:space="preserve">Guidance </w:t>
            </w:r>
            <w:r w:rsidRPr="005D4222">
              <w:t>section.</w:t>
            </w:r>
          </w:p>
          <w:p w14:paraId="3A87E09D" w14:textId="77777777" w:rsidR="008B0B96" w:rsidRPr="005D4222" w:rsidRDefault="008B0B96" w:rsidP="008B0B96">
            <w:pPr>
              <w:pStyle w:val="ProcessBullet"/>
              <w:tabs>
                <w:tab w:val="left" w:pos="216"/>
              </w:tabs>
              <w:spacing w:after="80"/>
            </w:pPr>
            <w:r w:rsidRPr="005D4222">
              <w:t xml:space="preserve">Removed the definition of the classification period and added this information into the risk adjustment calculation. </w:t>
            </w:r>
          </w:p>
          <w:p w14:paraId="43E10850" w14:textId="77777777" w:rsidR="008B0B96" w:rsidRDefault="008B0B96" w:rsidP="008B0B96">
            <w:pPr>
              <w:pStyle w:val="ProcessBullet"/>
              <w:tabs>
                <w:tab w:val="left" w:pos="216"/>
              </w:tabs>
              <w:spacing w:after="80"/>
            </w:pPr>
            <w:r w:rsidRPr="005D4222">
              <w:t xml:space="preserve">Added “direct transfer” to the </w:t>
            </w:r>
            <w:r w:rsidRPr="005D4222">
              <w:rPr>
                <w:i/>
                <w:iCs/>
              </w:rPr>
              <w:t xml:space="preserve">Definitions </w:t>
            </w:r>
            <w:r w:rsidRPr="005D4222">
              <w:t>section.</w:t>
            </w:r>
          </w:p>
          <w:p w14:paraId="09C0C599" w14:textId="2B08AC3F" w:rsidR="004771F6" w:rsidRPr="005D4222" w:rsidRDefault="004771F6" w:rsidP="008B0B96">
            <w:pPr>
              <w:pStyle w:val="ProcessBullet"/>
              <w:tabs>
                <w:tab w:val="left" w:pos="216"/>
              </w:tabs>
              <w:spacing w:after="80"/>
            </w:pPr>
            <w:r w:rsidRPr="00D81F5D">
              <w:t>Added administrative gender code</w:t>
            </w:r>
            <w:r>
              <w:t xml:space="preserve">s </w:t>
            </w:r>
            <w:r w:rsidRPr="00D81F5D">
              <w:t>to the initial population.</w:t>
            </w:r>
          </w:p>
        </w:tc>
      </w:tr>
      <w:tr w:rsidR="008B0B96" w:rsidRPr="005D4222" w14:paraId="68B53389" w14:textId="77777777" w:rsidTr="00363E1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7056BDD" w14:textId="77777777" w:rsidR="008B0B96" w:rsidRPr="005D4222" w:rsidRDefault="008B0B96" w:rsidP="00A53E8C">
            <w:pPr>
              <w:pStyle w:val="ECDS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607BCBF" w14:textId="77777777" w:rsidR="008B0B96" w:rsidRPr="005D4222" w:rsidRDefault="008B0B96" w:rsidP="00A53E8C">
            <w:pPr>
              <w:pStyle w:val="ECDSBody"/>
            </w:pPr>
            <w:r w:rsidRPr="005D4222">
              <w:rPr>
                <w:b/>
                <w:i/>
              </w:rPr>
              <w:t>Reporting:</w:t>
            </w:r>
            <w:r w:rsidRPr="005D4222">
              <w:rPr>
                <w:b/>
              </w:rPr>
              <w:t xml:space="preserve"> Number of </w:t>
            </w:r>
            <w:r w:rsidRPr="005D4222">
              <w:rPr>
                <w:b/>
                <w:bCs w:val="0"/>
              </w:rPr>
              <w:t>nonoutliers</w:t>
            </w:r>
            <w:r w:rsidRPr="005D4222">
              <w:br/>
              <w:t>The number of nonoutlier persons for each age group, reported as the NonOutlierPersonCount.</w:t>
            </w:r>
          </w:p>
          <w:p w14:paraId="51E0E5D2" w14:textId="77777777" w:rsidR="008B0B96" w:rsidRPr="005D4222" w:rsidRDefault="008B0B96" w:rsidP="00A53E8C">
            <w:pPr>
              <w:pStyle w:val="ECDSBody"/>
            </w:pPr>
            <w:r w:rsidRPr="005D4222">
              <w:rPr>
                <w:b/>
                <w:i/>
              </w:rPr>
              <w:t>Reporting:</w:t>
            </w:r>
            <w:r w:rsidRPr="005D4222">
              <w:rPr>
                <w:b/>
              </w:rPr>
              <w:t xml:space="preserve"> Number of </w:t>
            </w:r>
            <w:r w:rsidRPr="005D4222">
              <w:rPr>
                <w:b/>
                <w:bCs w:val="0"/>
              </w:rPr>
              <w:t>outliers</w:t>
            </w:r>
            <w:r w:rsidRPr="005D4222">
              <w:rPr>
                <w:b/>
                <w:bCs w:val="0"/>
              </w:rPr>
              <w:br/>
            </w:r>
            <w:r w:rsidRPr="005D4222">
              <w:t>The number of outlier persons for each age group, reported as the OutlierPersonCount.</w:t>
            </w:r>
          </w:p>
          <w:p w14:paraId="3BDD7B7C" w14:textId="77777777" w:rsidR="008B0B96" w:rsidRPr="005D4222" w:rsidRDefault="008B0B96" w:rsidP="00A53E8C">
            <w:pPr>
              <w:pStyle w:val="ECDSBody"/>
              <w:rPr>
                <w:kern w:val="24"/>
              </w:rPr>
            </w:pPr>
            <w:bookmarkStart w:id="404" w:name="_Hlk513211646"/>
            <w:r w:rsidRPr="005D4222">
              <w:rPr>
                <w:b/>
                <w:i/>
              </w:rPr>
              <w:t xml:space="preserve">Calculated: </w:t>
            </w:r>
            <w:r w:rsidRPr="005D4222">
              <w:rPr>
                <w:b/>
              </w:rPr>
              <w:t xml:space="preserve">Number of </w:t>
            </w:r>
            <w:r w:rsidRPr="005D4222">
              <w:rPr>
                <w:b/>
                <w:bCs w:val="0"/>
              </w:rPr>
              <w:t>persons</w:t>
            </w:r>
            <w:r w:rsidRPr="005D4222">
              <w:rPr>
                <w:b/>
              </w:rPr>
              <w:t xml:space="preserve"> in the </w:t>
            </w:r>
            <w:r w:rsidRPr="005D4222">
              <w:rPr>
                <w:b/>
                <w:bCs w:val="0"/>
              </w:rPr>
              <w:t>initial population</w:t>
            </w:r>
            <w:r w:rsidRPr="005D4222">
              <w:rPr>
                <w:b/>
                <w:bCs w:val="0"/>
              </w:rPr>
              <w:br/>
            </w:r>
            <w:r w:rsidRPr="005D4222">
              <w:rPr>
                <w:kern w:val="24"/>
              </w:rPr>
              <w:t xml:space="preserve">The number of </w:t>
            </w:r>
            <w:r w:rsidRPr="005D4222">
              <w:t xml:space="preserve">persons </w:t>
            </w:r>
            <w:r w:rsidRPr="005D4222">
              <w:rPr>
                <w:kern w:val="24"/>
              </w:rPr>
              <w:t>in the initial population (including outliers) for each age group and totals. Calculated by IDSS as the PersonCount.</w:t>
            </w:r>
          </w:p>
          <w:p w14:paraId="3AD727DA" w14:textId="77777777" w:rsidR="008B0B96" w:rsidRPr="005D4222" w:rsidRDefault="008B0B96" w:rsidP="00A53E8C">
            <w:pPr>
              <w:pStyle w:val="ECDSBody"/>
            </w:pPr>
            <w:r w:rsidRPr="005D4222">
              <w:rPr>
                <w:b/>
                <w:i/>
                <w:iCs/>
              </w:rPr>
              <w:t>Calculated:</w:t>
            </w:r>
            <w:r w:rsidRPr="005D4222">
              <w:rPr>
                <w:b/>
              </w:rPr>
              <w:t xml:space="preserve"> Outlier rate</w:t>
            </w:r>
            <w:r w:rsidRPr="005D4222">
              <w:br/>
              <w:t>The number of outlier persons (OutlierPersonCount) divided by the number of persons in the initial population (PersonCount) multiplied by 1,000 for each age group and totals. Calculated by IDSS as the OutlierRate.</w:t>
            </w:r>
            <w:bookmarkEnd w:id="404"/>
          </w:p>
          <w:p w14:paraId="6B20ADEF" w14:textId="77777777" w:rsidR="008B0B96" w:rsidRPr="005D4222" w:rsidRDefault="008B0B96" w:rsidP="00A53E8C">
            <w:pPr>
              <w:pStyle w:val="ECDSBody"/>
            </w:pPr>
            <w:r w:rsidRPr="005D4222">
              <w:rPr>
                <w:b/>
                <w:i/>
              </w:rPr>
              <w:t>Reporting:</w:t>
            </w:r>
            <w:r w:rsidRPr="005D4222">
              <w:rPr>
                <w:b/>
              </w:rPr>
              <w:t xml:space="preserve"> Number of </w:t>
            </w:r>
            <w:r w:rsidRPr="005D4222">
              <w:rPr>
                <w:b/>
                <w:bCs w:val="0"/>
              </w:rPr>
              <w:t xml:space="preserve">observed events among nonoutlier </w:t>
            </w:r>
            <w:r w:rsidRPr="005D4222">
              <w:rPr>
                <w:b/>
                <w:bCs w:val="0"/>
                <w:szCs w:val="22"/>
              </w:rPr>
              <w:t>persons</w:t>
            </w:r>
            <w:r w:rsidRPr="005D4222">
              <w:rPr>
                <w:b/>
                <w:bCs w:val="0"/>
                <w:szCs w:val="22"/>
              </w:rPr>
              <w:br/>
            </w:r>
            <w:r w:rsidRPr="005D4222">
              <w:t>The number of observed discharges within each age group, reported as the ObservedCount.</w:t>
            </w:r>
          </w:p>
          <w:p w14:paraId="5FBD9E90" w14:textId="4B1354B5" w:rsidR="008B0B96" w:rsidRPr="005D4222" w:rsidRDefault="008B0B96" w:rsidP="00A53E8C">
            <w:pPr>
              <w:pStyle w:val="ECDSBody"/>
            </w:pPr>
            <w:r w:rsidRPr="005D4222">
              <w:rPr>
                <w:b/>
                <w:i/>
              </w:rPr>
              <w:t>Calculated:</w:t>
            </w:r>
            <w:r w:rsidRPr="005D4222">
              <w:rPr>
                <w:b/>
              </w:rPr>
              <w:t xml:space="preserve"> Observed </w:t>
            </w:r>
            <w:r w:rsidRPr="005D4222">
              <w:rPr>
                <w:b/>
                <w:bCs w:val="0"/>
              </w:rPr>
              <w:t>discharges</w:t>
            </w:r>
            <w:r w:rsidRPr="005D4222">
              <w:rPr>
                <w:b/>
              </w:rPr>
              <w:t xml:space="preserve"> per 1,000 </w:t>
            </w:r>
            <w:r w:rsidRPr="005D4222">
              <w:rPr>
                <w:b/>
                <w:bCs w:val="0"/>
              </w:rPr>
              <w:t xml:space="preserve">nonoutlier </w:t>
            </w:r>
            <w:r w:rsidRPr="005D4222">
              <w:rPr>
                <w:b/>
                <w:bCs w:val="0"/>
                <w:szCs w:val="22"/>
              </w:rPr>
              <w:t>persons</w:t>
            </w:r>
            <w:r w:rsidRPr="005D4222">
              <w:rPr>
                <w:b/>
                <w:bCs w:val="0"/>
                <w:szCs w:val="22"/>
              </w:rPr>
              <w:br/>
            </w:r>
            <w:r w:rsidRPr="005D4222">
              <w:t xml:space="preserve">The number of observed discharges (ObservedCount) divided by the number of nonoutlier persons in the </w:t>
            </w:r>
            <w:r w:rsidR="00017453" w:rsidRPr="005D4222">
              <w:t>initial</w:t>
            </w:r>
            <w:r w:rsidRPr="005D4222">
              <w:t xml:space="preserve"> population (NonOutlierPersonCount), multiplied by 1,000 within each age group and totals. Calculated by IDSS as the ObservedRate.</w:t>
            </w:r>
          </w:p>
          <w:p w14:paraId="0878D428" w14:textId="77777777" w:rsidR="008B0B96" w:rsidRPr="005D4222" w:rsidRDefault="008B0B96" w:rsidP="00A53E8C">
            <w:pPr>
              <w:pStyle w:val="ECDSBody"/>
            </w:pPr>
            <w:r w:rsidRPr="005D4222">
              <w:rPr>
                <w:b/>
                <w:i/>
              </w:rPr>
              <w:t>Reporting:</w:t>
            </w:r>
            <w:r w:rsidRPr="005D4222">
              <w:rPr>
                <w:b/>
              </w:rPr>
              <w:t xml:space="preserve"> Number of </w:t>
            </w:r>
            <w:r w:rsidRPr="005D4222">
              <w:rPr>
                <w:b/>
                <w:bCs w:val="0"/>
              </w:rPr>
              <w:t xml:space="preserve">expected events among nonoutlier </w:t>
            </w:r>
            <w:r w:rsidRPr="005D4222">
              <w:rPr>
                <w:b/>
                <w:bCs w:val="0"/>
                <w:szCs w:val="22"/>
              </w:rPr>
              <w:t>persons</w:t>
            </w:r>
            <w:r w:rsidRPr="005D4222">
              <w:rPr>
                <w:b/>
                <w:bCs w:val="0"/>
                <w:szCs w:val="22"/>
              </w:rPr>
              <w:br/>
            </w:r>
            <w:r w:rsidRPr="005D4222">
              <w:t>The number of expected discharges within each age group, reported as the ExpectedCount.</w:t>
            </w:r>
          </w:p>
          <w:p w14:paraId="166CD85D" w14:textId="51C48E99" w:rsidR="000A193B" w:rsidRPr="005D4222" w:rsidRDefault="008B0B96" w:rsidP="000A193B">
            <w:pPr>
              <w:pStyle w:val="ECDSBody"/>
            </w:pPr>
            <w:r w:rsidRPr="005D4222">
              <w:rPr>
                <w:b/>
                <w:i/>
              </w:rPr>
              <w:t>Calculated:</w:t>
            </w:r>
            <w:r w:rsidRPr="005D4222">
              <w:rPr>
                <w:b/>
              </w:rPr>
              <w:t xml:space="preserve"> Expected </w:t>
            </w:r>
            <w:r w:rsidRPr="005D4222">
              <w:rPr>
                <w:b/>
                <w:bCs w:val="0"/>
              </w:rPr>
              <w:t>discharges</w:t>
            </w:r>
            <w:r w:rsidRPr="005D4222">
              <w:rPr>
                <w:b/>
              </w:rPr>
              <w:t xml:space="preserve"> per 1,000 </w:t>
            </w:r>
            <w:r w:rsidRPr="005D4222">
              <w:rPr>
                <w:b/>
                <w:bCs w:val="0"/>
              </w:rPr>
              <w:t xml:space="preserve">nonoutlier </w:t>
            </w:r>
            <w:r w:rsidRPr="005D4222">
              <w:rPr>
                <w:b/>
                <w:bCs w:val="0"/>
                <w:szCs w:val="22"/>
              </w:rPr>
              <w:t>persons</w:t>
            </w:r>
            <w:r w:rsidRPr="005D4222">
              <w:rPr>
                <w:b/>
                <w:bCs w:val="0"/>
                <w:szCs w:val="22"/>
              </w:rPr>
              <w:br/>
            </w:r>
            <w:r w:rsidRPr="005D4222">
              <w:t>The number of expected discharges (ExpectedCount) divided by the number of nonoutlier persons in the initial population (NonOutlierPersonCount), multiplied by 1,000 within each age group and totals. Calculated by IDSS as the ExpectedRate.</w:t>
            </w:r>
          </w:p>
        </w:tc>
      </w:tr>
    </w:tbl>
    <w:p w14:paraId="6D92FB90" w14:textId="77777777" w:rsidR="000A193B" w:rsidRPr="005D4222" w:rsidRDefault="000A193B">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15" w:type="dxa"/>
          <w:bottom w:w="40" w:type="dxa"/>
          <w:right w:w="15" w:type="dxa"/>
        </w:tblCellMar>
        <w:tblLook w:val="04A0" w:firstRow="1" w:lastRow="0" w:firstColumn="1" w:lastColumn="0" w:noHBand="0" w:noVBand="1"/>
      </w:tblPr>
      <w:tblGrid>
        <w:gridCol w:w="2157"/>
        <w:gridCol w:w="7557"/>
      </w:tblGrid>
      <w:tr w:rsidR="008B0B96" w:rsidRPr="005D4222" w14:paraId="065CEEBF" w14:textId="77777777" w:rsidTr="00363E17">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A87011D" w14:textId="77777777" w:rsidR="008B0B96" w:rsidRPr="005D4222" w:rsidRDefault="008B0B96"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CF6B7C2" w14:textId="77777777" w:rsidR="000A193B" w:rsidRPr="005D4222" w:rsidRDefault="000A193B" w:rsidP="000A193B">
            <w:pPr>
              <w:pStyle w:val="ECDSBody"/>
            </w:pPr>
            <w:r w:rsidRPr="004B63B6">
              <w:rPr>
                <w:b/>
                <w:i/>
                <w:iCs/>
                <w:szCs w:val="21"/>
              </w:rPr>
              <w:t>Reporting:</w:t>
            </w:r>
            <w:r w:rsidRPr="004B63B6">
              <w:rPr>
                <w:b/>
                <w:szCs w:val="21"/>
              </w:rPr>
              <w:t xml:space="preserve"> Variance among nonoutlier persons</w:t>
            </w:r>
            <w:r w:rsidRPr="005D4222">
              <w:br/>
              <w:t>The variance (</w:t>
            </w:r>
            <w:r w:rsidRPr="005D4222">
              <w:rPr>
                <w:i/>
                <w:iCs/>
              </w:rPr>
              <w:t>Risk Adjustment Calculation</w:t>
            </w:r>
            <w:r w:rsidRPr="005D4222">
              <w:t>, PUCD, step 5) within each age group, reported as the CountVariance.</w:t>
            </w:r>
          </w:p>
          <w:p w14:paraId="3FF45209" w14:textId="77777777" w:rsidR="000A193B" w:rsidRPr="005D4222" w:rsidRDefault="000A193B" w:rsidP="000A193B">
            <w:pPr>
              <w:pStyle w:val="ECDSBody"/>
            </w:pPr>
            <w:r w:rsidRPr="005D4222">
              <w:rPr>
                <w:b/>
                <w:bCs w:val="0"/>
                <w:i/>
                <w:iCs/>
              </w:rPr>
              <w:t>Calculated:</w:t>
            </w:r>
            <w:r w:rsidRPr="005D4222">
              <w:rPr>
                <w:b/>
                <w:bCs w:val="0"/>
              </w:rPr>
              <w:t xml:space="preserve"> O/E ratio</w:t>
            </w:r>
            <w:r w:rsidRPr="005D4222">
              <w:rPr>
                <w:b/>
                <w:bCs w:val="0"/>
              </w:rPr>
              <w:br/>
            </w:r>
            <w:r w:rsidRPr="005D4222">
              <w:t>The number of observed discharges among nonoutlier persons (ObservedCount) divided by the number of expected discharges among nonoutlier persons (ExpectedCount) for each age group and totals. Calculated by IDSS as the OE.</w:t>
            </w:r>
          </w:p>
          <w:p w14:paraId="7842700D" w14:textId="77777777" w:rsidR="008B0B96" w:rsidRPr="005D4222" w:rsidRDefault="008B0B96" w:rsidP="00A53E8C">
            <w:pPr>
              <w:pStyle w:val="Heading3"/>
              <w:spacing w:before="120"/>
              <w:rPr>
                <w:b w:val="0"/>
                <w:bCs w:val="0"/>
                <w:i w:val="0"/>
                <w:iCs/>
                <w:sz w:val="21"/>
                <w:szCs w:val="21"/>
              </w:rPr>
            </w:pPr>
            <w:r w:rsidRPr="005D4222">
              <w:rPr>
                <w:b w:val="0"/>
                <w:bCs w:val="0"/>
                <w:i w:val="0"/>
                <w:iCs/>
                <w:sz w:val="21"/>
                <w:szCs w:val="21"/>
              </w:rPr>
              <w:t>Organizations that submit HEDIS data to NCQA must provide the following data elements.</w:t>
            </w:r>
          </w:p>
          <w:p w14:paraId="27D19D9B" w14:textId="2482026B" w:rsidR="008B0B96" w:rsidRPr="005D4222" w:rsidRDefault="008B0B96" w:rsidP="00A53E8C">
            <w:pPr>
              <w:pStyle w:val="Heading3"/>
              <w:spacing w:before="120"/>
            </w:pPr>
            <w:r w:rsidRPr="005D4222">
              <w:t>Table AHU-1: Data Elements for Acute Hospital Utilization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4A0" w:firstRow="1" w:lastRow="0" w:firstColumn="1" w:lastColumn="0" w:noHBand="0" w:noVBand="1"/>
            </w:tblPr>
            <w:tblGrid>
              <w:gridCol w:w="2066"/>
              <w:gridCol w:w="1080"/>
              <w:gridCol w:w="1980"/>
              <w:gridCol w:w="2249"/>
            </w:tblGrid>
            <w:tr w:rsidR="008B0B96" w:rsidRPr="005D4222" w14:paraId="03D227EF" w14:textId="77777777" w:rsidTr="00A53E8C">
              <w:trPr>
                <w:cantSplit/>
              </w:trPr>
              <w:tc>
                <w:tcPr>
                  <w:tcW w:w="2066" w:type="dxa"/>
                  <w:tcBorders>
                    <w:top w:val="single" w:sz="4" w:space="0" w:color="auto"/>
                    <w:left w:val="single" w:sz="4" w:space="0" w:color="auto"/>
                    <w:bottom w:val="single" w:sz="4" w:space="0" w:color="auto"/>
                    <w:right w:val="single" w:sz="4" w:space="0" w:color="FFFFFF" w:themeColor="background1"/>
                  </w:tcBorders>
                  <w:shd w:val="clear" w:color="auto" w:fill="000000" w:themeFill="text1"/>
                </w:tcPr>
                <w:p w14:paraId="2F9818F4" w14:textId="77777777" w:rsidR="008B0B96" w:rsidRPr="005D4222" w:rsidRDefault="008B0B96" w:rsidP="000A193B">
                  <w:pPr>
                    <w:pStyle w:val="TableHead"/>
                    <w:spacing w:before="40" w:after="40"/>
                    <w:rPr>
                      <w:rFonts w:eastAsia="Arial Narrow"/>
                    </w:rPr>
                  </w:pPr>
                  <w:r w:rsidRPr="005D4222">
                    <w:rPr>
                      <w:rFonts w:eastAsia="Arial Narrow"/>
                    </w:rPr>
                    <w:t>Metric</w:t>
                  </w:r>
                </w:p>
              </w:tc>
              <w:tc>
                <w:tcPr>
                  <w:tcW w:w="108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cPr>
                <w:p w14:paraId="790213B7" w14:textId="77777777" w:rsidR="008B0B96" w:rsidRPr="005D4222" w:rsidRDefault="008B0B96" w:rsidP="000A193B">
                  <w:pPr>
                    <w:pStyle w:val="TableHead"/>
                    <w:spacing w:before="40" w:after="40"/>
                    <w:rPr>
                      <w:rFonts w:eastAsia="Arial Narrow"/>
                    </w:rPr>
                  </w:pPr>
                  <w:r w:rsidRPr="005D4222">
                    <w:rPr>
                      <w:rFonts w:eastAsia="Arial Narrow"/>
                    </w:rPr>
                    <w:t>Age</w:t>
                  </w:r>
                </w:p>
              </w:tc>
              <w:tc>
                <w:tcPr>
                  <w:tcW w:w="1980" w:type="dxa"/>
                  <w:tcBorders>
                    <w:top w:val="single" w:sz="4" w:space="0" w:color="auto"/>
                    <w:left w:val="single" w:sz="4" w:space="0" w:color="FFFFFF" w:themeColor="background1"/>
                    <w:right w:val="single" w:sz="6" w:space="0" w:color="FFFFFF" w:themeColor="background1"/>
                  </w:tcBorders>
                  <w:shd w:val="clear" w:color="auto" w:fill="000000" w:themeFill="text1"/>
                  <w:vAlign w:val="bottom"/>
                </w:tcPr>
                <w:p w14:paraId="5FBB53D5" w14:textId="77777777" w:rsidR="008B0B96" w:rsidRPr="005D4222" w:rsidRDefault="008B0B96" w:rsidP="000A193B">
                  <w:pPr>
                    <w:pStyle w:val="TableHead"/>
                    <w:spacing w:before="40" w:after="40"/>
                    <w:rPr>
                      <w:rFonts w:eastAsia="Arial Narrow"/>
                    </w:rPr>
                  </w:pPr>
                  <w:r w:rsidRPr="005D4222">
                    <w:rPr>
                      <w:rFonts w:eastAsia="Arial Narrow"/>
                    </w:rPr>
                    <w:t xml:space="preserve">Data Element </w:t>
                  </w:r>
                </w:p>
              </w:tc>
              <w:tc>
                <w:tcPr>
                  <w:tcW w:w="2249" w:type="dxa"/>
                  <w:tcBorders>
                    <w:top w:val="single" w:sz="4" w:space="0" w:color="auto"/>
                    <w:left w:val="single" w:sz="6" w:space="0" w:color="FFFFFF" w:themeColor="background1"/>
                    <w:right w:val="single" w:sz="4" w:space="0" w:color="auto"/>
                  </w:tcBorders>
                  <w:shd w:val="clear" w:color="auto" w:fill="000000" w:themeFill="text1"/>
                  <w:vAlign w:val="bottom"/>
                </w:tcPr>
                <w:p w14:paraId="308BF210" w14:textId="77777777" w:rsidR="008B0B96" w:rsidRPr="005D4222" w:rsidRDefault="008B0B96" w:rsidP="000A193B">
                  <w:pPr>
                    <w:pStyle w:val="TableHead"/>
                    <w:spacing w:before="40" w:after="40"/>
                    <w:rPr>
                      <w:rFonts w:eastAsia="Arial Narrow"/>
                    </w:rPr>
                  </w:pPr>
                  <w:r w:rsidRPr="005D4222">
                    <w:rPr>
                      <w:rFonts w:eastAsia="Arial Narrow"/>
                    </w:rPr>
                    <w:t>Reporting Instructions</w:t>
                  </w:r>
                </w:p>
              </w:tc>
            </w:tr>
            <w:tr w:rsidR="008B0B96" w:rsidRPr="005D4222" w14:paraId="72D805B4" w14:textId="77777777" w:rsidTr="00A53E8C">
              <w:trPr>
                <w:cantSplit/>
              </w:trPr>
              <w:tc>
                <w:tcPr>
                  <w:tcW w:w="2066" w:type="dxa"/>
                  <w:tcBorders>
                    <w:top w:val="single" w:sz="4" w:space="0" w:color="auto"/>
                    <w:bottom w:val="single" w:sz="4" w:space="0" w:color="auto"/>
                  </w:tcBorders>
                  <w:vAlign w:val="bottom"/>
                </w:tcPr>
                <w:p w14:paraId="3052A051" w14:textId="77777777" w:rsidR="008B0B96" w:rsidRPr="005D4222" w:rsidRDefault="008B0B96" w:rsidP="000A193B">
                  <w:pPr>
                    <w:pStyle w:val="TableText"/>
                    <w:spacing w:before="40" w:after="40"/>
                    <w:rPr>
                      <w:rFonts w:eastAsia="Arial Narrow"/>
                    </w:rPr>
                  </w:pPr>
                  <w:r w:rsidRPr="005D4222">
                    <w:rPr>
                      <w:rFonts w:eastAsia="Arial Narrow"/>
                    </w:rPr>
                    <w:t>AcuteHospitalUtilization</w:t>
                  </w:r>
                </w:p>
              </w:tc>
              <w:tc>
                <w:tcPr>
                  <w:tcW w:w="1080" w:type="dxa"/>
                  <w:tcBorders>
                    <w:bottom w:val="single" w:sz="4" w:space="0" w:color="auto"/>
                  </w:tcBorders>
                </w:tcPr>
                <w:p w14:paraId="6CDD0882" w14:textId="77777777" w:rsidR="008B0B96" w:rsidRPr="005D4222" w:rsidRDefault="008B0B96" w:rsidP="000A193B">
                  <w:pPr>
                    <w:pStyle w:val="TableText"/>
                    <w:spacing w:before="40" w:after="40"/>
                    <w:rPr>
                      <w:rFonts w:eastAsia="Arial Narrow"/>
                    </w:rPr>
                  </w:pPr>
                  <w:r w:rsidRPr="005D4222">
                    <w:rPr>
                      <w:rFonts w:eastAsia="Arial Narrow"/>
                    </w:rPr>
                    <w:t>18-21</w:t>
                  </w:r>
                </w:p>
              </w:tc>
              <w:tc>
                <w:tcPr>
                  <w:tcW w:w="1980" w:type="dxa"/>
                  <w:tcBorders>
                    <w:bottom w:val="single" w:sz="4" w:space="0" w:color="auto"/>
                  </w:tcBorders>
                </w:tcPr>
                <w:p w14:paraId="769C4F32" w14:textId="77777777" w:rsidR="008B0B96" w:rsidRPr="005D4222" w:rsidRDefault="008B0B96" w:rsidP="000A193B">
                  <w:pPr>
                    <w:pStyle w:val="TableText"/>
                    <w:spacing w:before="40" w:after="40"/>
                    <w:rPr>
                      <w:rFonts w:eastAsia="Arial Narrow"/>
                    </w:rPr>
                  </w:pPr>
                  <w:r w:rsidRPr="005D4222">
                    <w:rPr>
                      <w:rFonts w:eastAsia="Arial Narrow"/>
                    </w:rPr>
                    <w:t>NonOutlierPersonCount</w:t>
                  </w:r>
                </w:p>
              </w:tc>
              <w:tc>
                <w:tcPr>
                  <w:tcW w:w="2249" w:type="dxa"/>
                  <w:tcBorders>
                    <w:bottom w:val="single" w:sz="4" w:space="0" w:color="auto"/>
                  </w:tcBorders>
                </w:tcPr>
                <w:p w14:paraId="659727A0" w14:textId="77777777" w:rsidR="008B0B96" w:rsidRPr="005D4222" w:rsidRDefault="008B0B96" w:rsidP="000A193B">
                  <w:pPr>
                    <w:pStyle w:val="TableText"/>
                    <w:spacing w:before="40" w:after="40"/>
                    <w:rPr>
                      <w:rFonts w:eastAsia="Arial Narrow"/>
                    </w:rPr>
                  </w:pPr>
                  <w:r w:rsidRPr="005D4222">
                    <w:rPr>
                      <w:rFonts w:eastAsia="Arial Narrow"/>
                    </w:rPr>
                    <w:t>For each Stratification</w:t>
                  </w:r>
                </w:p>
              </w:tc>
            </w:tr>
            <w:tr w:rsidR="008B0B96" w:rsidRPr="005D4222" w14:paraId="4565E941" w14:textId="77777777" w:rsidTr="00A53E8C">
              <w:trPr>
                <w:cantSplit/>
              </w:trPr>
              <w:tc>
                <w:tcPr>
                  <w:tcW w:w="2066" w:type="dxa"/>
                  <w:tcBorders>
                    <w:top w:val="single" w:sz="4" w:space="0" w:color="auto"/>
                    <w:left w:val="nil"/>
                    <w:bottom w:val="nil"/>
                    <w:right w:val="single" w:sz="4" w:space="0" w:color="auto"/>
                  </w:tcBorders>
                  <w:vAlign w:val="bottom"/>
                </w:tcPr>
                <w:p w14:paraId="645FCFC3" w14:textId="77777777" w:rsidR="008B0B96" w:rsidRPr="005D4222" w:rsidRDefault="008B0B96" w:rsidP="000A193B">
                  <w:pPr>
                    <w:pStyle w:val="TableText"/>
                    <w:spacing w:before="40" w:after="40"/>
                    <w:rPr>
                      <w:rFonts w:eastAsia="Arial Narrow"/>
                    </w:rPr>
                  </w:pPr>
                </w:p>
              </w:tc>
              <w:tc>
                <w:tcPr>
                  <w:tcW w:w="1080" w:type="dxa"/>
                  <w:tcBorders>
                    <w:left w:val="single" w:sz="4" w:space="0" w:color="auto"/>
                    <w:bottom w:val="single" w:sz="4" w:space="0" w:color="auto"/>
                  </w:tcBorders>
                </w:tcPr>
                <w:p w14:paraId="4AB251F7" w14:textId="77777777" w:rsidR="008B0B96" w:rsidRPr="005D4222" w:rsidRDefault="008B0B96" w:rsidP="000A193B">
                  <w:pPr>
                    <w:pStyle w:val="TableText"/>
                    <w:spacing w:before="40" w:after="40"/>
                    <w:rPr>
                      <w:rFonts w:eastAsia="Arial Narrow"/>
                    </w:rPr>
                  </w:pPr>
                  <w:r w:rsidRPr="005D4222">
                    <w:rPr>
                      <w:rFonts w:eastAsia="Arial Narrow"/>
                    </w:rPr>
                    <w:t>22-34</w:t>
                  </w:r>
                </w:p>
              </w:tc>
              <w:tc>
                <w:tcPr>
                  <w:tcW w:w="1980" w:type="dxa"/>
                  <w:tcBorders>
                    <w:bottom w:val="single" w:sz="4" w:space="0" w:color="auto"/>
                  </w:tcBorders>
                </w:tcPr>
                <w:p w14:paraId="35FF60AD" w14:textId="77777777" w:rsidR="008B0B96" w:rsidRPr="005D4222" w:rsidRDefault="008B0B96" w:rsidP="000A193B">
                  <w:pPr>
                    <w:pStyle w:val="TableText"/>
                    <w:spacing w:before="40" w:after="40"/>
                    <w:rPr>
                      <w:rFonts w:eastAsia="Arial Narrow"/>
                    </w:rPr>
                  </w:pPr>
                  <w:r w:rsidRPr="005D4222">
                    <w:rPr>
                      <w:rFonts w:eastAsia="Arial Narrow"/>
                    </w:rPr>
                    <w:t>OutlierPersonCount</w:t>
                  </w:r>
                </w:p>
              </w:tc>
              <w:tc>
                <w:tcPr>
                  <w:tcW w:w="2249" w:type="dxa"/>
                  <w:tcBorders>
                    <w:bottom w:val="single" w:sz="4" w:space="0" w:color="auto"/>
                  </w:tcBorders>
                </w:tcPr>
                <w:p w14:paraId="212C8E90" w14:textId="77777777" w:rsidR="008B0B96" w:rsidRPr="005D4222" w:rsidRDefault="008B0B96" w:rsidP="000A193B">
                  <w:pPr>
                    <w:pStyle w:val="TableText"/>
                    <w:spacing w:before="40" w:after="40"/>
                    <w:rPr>
                      <w:rFonts w:eastAsia="Arial Narrow"/>
                    </w:rPr>
                  </w:pPr>
                  <w:r w:rsidRPr="005D4222">
                    <w:rPr>
                      <w:rFonts w:eastAsia="Arial Narrow"/>
                    </w:rPr>
                    <w:t>For each Stratification</w:t>
                  </w:r>
                </w:p>
              </w:tc>
            </w:tr>
            <w:tr w:rsidR="008B0B96" w:rsidRPr="005D4222" w14:paraId="1681717B" w14:textId="77777777" w:rsidTr="00A53E8C">
              <w:trPr>
                <w:cantSplit/>
              </w:trPr>
              <w:tc>
                <w:tcPr>
                  <w:tcW w:w="2066" w:type="dxa"/>
                  <w:tcBorders>
                    <w:top w:val="nil"/>
                    <w:left w:val="nil"/>
                    <w:bottom w:val="nil"/>
                    <w:right w:val="single" w:sz="4" w:space="0" w:color="auto"/>
                  </w:tcBorders>
                  <w:vAlign w:val="bottom"/>
                </w:tcPr>
                <w:p w14:paraId="71B22C44" w14:textId="77777777" w:rsidR="008B0B96" w:rsidRPr="005D4222" w:rsidRDefault="008B0B96" w:rsidP="000A193B">
                  <w:pPr>
                    <w:pStyle w:val="TableText"/>
                    <w:spacing w:before="40" w:after="40"/>
                    <w:rPr>
                      <w:rFonts w:eastAsia="Arial Narrow"/>
                    </w:rPr>
                  </w:pPr>
                </w:p>
              </w:tc>
              <w:tc>
                <w:tcPr>
                  <w:tcW w:w="1080" w:type="dxa"/>
                  <w:tcBorders>
                    <w:left w:val="single" w:sz="4" w:space="0" w:color="auto"/>
                    <w:bottom w:val="single" w:sz="4" w:space="0" w:color="auto"/>
                    <w:right w:val="single" w:sz="4" w:space="0" w:color="auto"/>
                  </w:tcBorders>
                </w:tcPr>
                <w:p w14:paraId="5B591BBF" w14:textId="77777777" w:rsidR="008B0B96" w:rsidRPr="005D4222" w:rsidRDefault="008B0B96" w:rsidP="000A193B">
                  <w:pPr>
                    <w:pStyle w:val="TableText"/>
                    <w:spacing w:before="40" w:after="40"/>
                    <w:rPr>
                      <w:rFonts w:eastAsia="Arial Narrow"/>
                    </w:rPr>
                  </w:pPr>
                  <w:r w:rsidRPr="005D4222">
                    <w:t>35-44</w:t>
                  </w:r>
                </w:p>
              </w:tc>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8A4FB9" w14:textId="77777777" w:rsidR="008B0B96" w:rsidRPr="005D4222" w:rsidRDefault="008B0B96" w:rsidP="000A193B">
                  <w:pPr>
                    <w:pStyle w:val="TableText"/>
                    <w:spacing w:before="40" w:after="40"/>
                    <w:rPr>
                      <w:rFonts w:eastAsia="Arial Narrow"/>
                    </w:rPr>
                  </w:pPr>
                  <w:r w:rsidRPr="005D4222">
                    <w:rPr>
                      <w:rFonts w:eastAsia="Arial Narrow"/>
                    </w:rPr>
                    <w:t>PersonCount</w:t>
                  </w:r>
                </w:p>
              </w:tc>
              <w:tc>
                <w:tcPr>
                  <w:tcW w:w="224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9211DCF" w14:textId="77777777" w:rsidR="008B0B96" w:rsidRPr="005D4222" w:rsidRDefault="008B0B96" w:rsidP="000A193B">
                  <w:pPr>
                    <w:pStyle w:val="TableText"/>
                    <w:spacing w:before="40" w:after="40"/>
                    <w:rPr>
                      <w:rFonts w:eastAsia="Arial Narrow"/>
                    </w:rPr>
                  </w:pPr>
                  <w:r w:rsidRPr="005D4222">
                    <w:rPr>
                      <w:rFonts w:eastAsia="Arial Narrow"/>
                    </w:rPr>
                    <w:t>NonOutlierPersonCount + OutlierPersonCount</w:t>
                  </w:r>
                </w:p>
              </w:tc>
            </w:tr>
            <w:tr w:rsidR="008B0B96" w:rsidRPr="005D4222" w14:paraId="0CF7F65E" w14:textId="77777777" w:rsidTr="00A53E8C">
              <w:trPr>
                <w:cantSplit/>
                <w:trHeight w:val="314"/>
              </w:trPr>
              <w:tc>
                <w:tcPr>
                  <w:tcW w:w="2066" w:type="dxa"/>
                  <w:tcBorders>
                    <w:top w:val="nil"/>
                    <w:left w:val="nil"/>
                    <w:bottom w:val="nil"/>
                    <w:right w:val="single" w:sz="4" w:space="0" w:color="auto"/>
                  </w:tcBorders>
                  <w:vAlign w:val="bottom"/>
                </w:tcPr>
                <w:p w14:paraId="7EEB4902" w14:textId="77777777" w:rsidR="008B0B96" w:rsidRPr="005D4222" w:rsidRDefault="008B0B96" w:rsidP="000A193B">
                  <w:pPr>
                    <w:pStyle w:val="TableText"/>
                    <w:spacing w:before="40" w:after="40"/>
                  </w:pP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35CBCF3" w14:textId="77777777" w:rsidR="008B0B96" w:rsidRPr="005D4222" w:rsidRDefault="008B0B96" w:rsidP="000A193B">
                  <w:pPr>
                    <w:pStyle w:val="TableText"/>
                    <w:spacing w:before="40" w:after="40"/>
                    <w:rPr>
                      <w:rFonts w:eastAsia="Arial Narrow"/>
                    </w:rPr>
                  </w:pPr>
                  <w:r w:rsidRPr="005D4222">
                    <w:rPr>
                      <w:rFonts w:eastAsia="Arial Narrow"/>
                    </w:rPr>
                    <w:t>18-44</w:t>
                  </w:r>
                </w:p>
              </w:tc>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C98D6B" w14:textId="77777777" w:rsidR="008B0B96" w:rsidRPr="005D4222" w:rsidRDefault="008B0B96" w:rsidP="000A193B">
                  <w:pPr>
                    <w:pStyle w:val="TableText"/>
                    <w:spacing w:before="40" w:after="40"/>
                    <w:rPr>
                      <w:rFonts w:eastAsia="Arial Narrow"/>
                    </w:rPr>
                  </w:pPr>
                  <w:r w:rsidRPr="005D4222">
                    <w:rPr>
                      <w:rFonts w:eastAsia="Arial Narrow"/>
                    </w:rPr>
                    <w:t>OutlierRate</w:t>
                  </w:r>
                </w:p>
              </w:tc>
              <w:tc>
                <w:tcPr>
                  <w:tcW w:w="224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A43253A" w14:textId="77777777" w:rsidR="008B0B96" w:rsidRPr="005D4222" w:rsidRDefault="008B0B96" w:rsidP="000A193B">
                  <w:pPr>
                    <w:pStyle w:val="TableText"/>
                    <w:spacing w:before="40" w:after="40"/>
                    <w:rPr>
                      <w:rFonts w:eastAsia="Arial Narrow"/>
                    </w:rPr>
                  </w:pPr>
                  <w:r w:rsidRPr="005D4222">
                    <w:rPr>
                      <w:rFonts w:eastAsia="Arial Narrow"/>
                    </w:rPr>
                    <w:t>OutlierPersonCount / PersonCount (Permille)</w:t>
                  </w:r>
                </w:p>
              </w:tc>
            </w:tr>
            <w:tr w:rsidR="008B0B96" w:rsidRPr="005D4222" w14:paraId="6FBDF0B5" w14:textId="77777777" w:rsidTr="007B5FC3">
              <w:trPr>
                <w:cantSplit/>
              </w:trPr>
              <w:tc>
                <w:tcPr>
                  <w:tcW w:w="2066" w:type="dxa"/>
                  <w:tcBorders>
                    <w:top w:val="nil"/>
                    <w:left w:val="nil"/>
                    <w:bottom w:val="nil"/>
                    <w:right w:val="single" w:sz="4" w:space="0" w:color="auto"/>
                  </w:tcBorders>
                  <w:vAlign w:val="bottom"/>
                </w:tcPr>
                <w:p w14:paraId="1FB334E4" w14:textId="77777777" w:rsidR="008B0B96" w:rsidRPr="005D4222" w:rsidRDefault="008B0B96" w:rsidP="000A193B">
                  <w:pPr>
                    <w:pStyle w:val="TableText"/>
                    <w:spacing w:before="40" w:after="40"/>
                  </w:pPr>
                </w:p>
              </w:tc>
              <w:tc>
                <w:tcPr>
                  <w:tcW w:w="1080" w:type="dxa"/>
                  <w:tcBorders>
                    <w:top w:val="single" w:sz="4" w:space="0" w:color="auto"/>
                    <w:left w:val="single" w:sz="4" w:space="0" w:color="auto"/>
                    <w:bottom w:val="single" w:sz="4" w:space="0" w:color="auto"/>
                    <w:right w:val="single" w:sz="4" w:space="0" w:color="auto"/>
                  </w:tcBorders>
                </w:tcPr>
                <w:p w14:paraId="3900BFE8" w14:textId="77777777" w:rsidR="008B0B96" w:rsidRPr="005D4222" w:rsidRDefault="008B0B96" w:rsidP="000A193B">
                  <w:pPr>
                    <w:pStyle w:val="TableText"/>
                    <w:spacing w:before="40" w:after="40"/>
                    <w:rPr>
                      <w:rFonts w:eastAsia="Arial Narrow"/>
                    </w:rPr>
                  </w:pPr>
                  <w:r w:rsidRPr="005D4222">
                    <w:rPr>
                      <w:rFonts w:eastAsia="Arial Narrow"/>
                    </w:rPr>
                    <w:t>45-54</w:t>
                  </w:r>
                </w:p>
              </w:tc>
              <w:tc>
                <w:tcPr>
                  <w:tcW w:w="1980" w:type="dxa"/>
                  <w:tcBorders>
                    <w:top w:val="single" w:sz="4" w:space="0" w:color="auto"/>
                    <w:left w:val="single" w:sz="4" w:space="0" w:color="auto"/>
                    <w:bottom w:val="single" w:sz="4" w:space="0" w:color="auto"/>
                    <w:right w:val="single" w:sz="4" w:space="0" w:color="auto"/>
                  </w:tcBorders>
                </w:tcPr>
                <w:p w14:paraId="6CCF0025" w14:textId="77777777" w:rsidR="008B0B96" w:rsidRPr="005D4222" w:rsidRDefault="008B0B96" w:rsidP="000A193B">
                  <w:pPr>
                    <w:pStyle w:val="TableText"/>
                    <w:spacing w:before="40" w:after="40"/>
                    <w:rPr>
                      <w:rFonts w:eastAsia="Arial Narrow"/>
                    </w:rPr>
                  </w:pPr>
                  <w:r w:rsidRPr="005D4222">
                    <w:t>ObservedCount</w:t>
                  </w:r>
                </w:p>
              </w:tc>
              <w:tc>
                <w:tcPr>
                  <w:tcW w:w="2249" w:type="dxa"/>
                  <w:tcBorders>
                    <w:top w:val="single" w:sz="4" w:space="0" w:color="auto"/>
                    <w:left w:val="single" w:sz="4" w:space="0" w:color="auto"/>
                    <w:bottom w:val="single" w:sz="4" w:space="0" w:color="auto"/>
                    <w:right w:val="single" w:sz="4" w:space="0" w:color="auto"/>
                  </w:tcBorders>
                </w:tcPr>
                <w:p w14:paraId="5C45759D" w14:textId="77777777" w:rsidR="008B0B96" w:rsidRPr="005D4222" w:rsidRDefault="008B0B96" w:rsidP="000A193B">
                  <w:pPr>
                    <w:pStyle w:val="TableText"/>
                    <w:spacing w:before="40" w:after="40"/>
                    <w:rPr>
                      <w:rFonts w:eastAsia="Arial Narrow"/>
                    </w:rPr>
                  </w:pPr>
                  <w:r w:rsidRPr="005D4222">
                    <w:rPr>
                      <w:rFonts w:eastAsia="Arial Narrow"/>
                    </w:rPr>
                    <w:t>For each Stratification</w:t>
                  </w:r>
                </w:p>
              </w:tc>
            </w:tr>
            <w:tr w:rsidR="008B0B96" w:rsidRPr="005D4222" w14:paraId="27641099" w14:textId="77777777" w:rsidTr="007B5FC3">
              <w:trPr>
                <w:cantSplit/>
              </w:trPr>
              <w:tc>
                <w:tcPr>
                  <w:tcW w:w="2066" w:type="dxa"/>
                  <w:tcBorders>
                    <w:top w:val="nil"/>
                    <w:left w:val="nil"/>
                    <w:bottom w:val="nil"/>
                    <w:right w:val="single" w:sz="4" w:space="0" w:color="auto"/>
                  </w:tcBorders>
                  <w:vAlign w:val="bottom"/>
                </w:tcPr>
                <w:p w14:paraId="64C84670" w14:textId="77777777" w:rsidR="008B0B96" w:rsidRPr="005D4222" w:rsidRDefault="008B0B96" w:rsidP="000A193B">
                  <w:pPr>
                    <w:pStyle w:val="TableText"/>
                    <w:spacing w:before="40" w:after="40"/>
                  </w:pPr>
                </w:p>
              </w:tc>
              <w:tc>
                <w:tcPr>
                  <w:tcW w:w="1080" w:type="dxa"/>
                  <w:tcBorders>
                    <w:top w:val="single" w:sz="4" w:space="0" w:color="auto"/>
                    <w:left w:val="single" w:sz="4" w:space="0" w:color="auto"/>
                    <w:bottom w:val="single" w:sz="4" w:space="0" w:color="auto"/>
                    <w:right w:val="single" w:sz="4" w:space="0" w:color="auto"/>
                  </w:tcBorders>
                </w:tcPr>
                <w:p w14:paraId="72432C19" w14:textId="77777777" w:rsidR="008B0B96" w:rsidRPr="005D4222" w:rsidRDefault="008B0B96" w:rsidP="000A193B">
                  <w:pPr>
                    <w:pStyle w:val="TableText"/>
                    <w:spacing w:before="40" w:after="40"/>
                    <w:rPr>
                      <w:rFonts w:eastAsia="Arial Narrow"/>
                    </w:rPr>
                  </w:pPr>
                  <w:r w:rsidRPr="005D4222">
                    <w:t>55-64</w:t>
                  </w:r>
                </w:p>
              </w:tc>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FFAD20" w14:textId="77777777" w:rsidR="008B0B96" w:rsidRPr="005D4222" w:rsidRDefault="008B0B96" w:rsidP="000A193B">
                  <w:pPr>
                    <w:pStyle w:val="TableText"/>
                    <w:spacing w:before="40" w:after="40"/>
                    <w:rPr>
                      <w:rFonts w:eastAsia="Arial Narrow"/>
                    </w:rPr>
                  </w:pPr>
                  <w:r w:rsidRPr="005D4222">
                    <w:t>ObservedRate</w:t>
                  </w:r>
                </w:p>
              </w:tc>
              <w:tc>
                <w:tcPr>
                  <w:tcW w:w="224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CA169CA" w14:textId="77777777" w:rsidR="008B0B96" w:rsidRPr="005D4222" w:rsidRDefault="008B0B96" w:rsidP="000A193B">
                  <w:pPr>
                    <w:pStyle w:val="TableText"/>
                    <w:spacing w:before="40" w:after="40"/>
                    <w:rPr>
                      <w:rFonts w:eastAsia="Arial Narrow"/>
                    </w:rPr>
                  </w:pPr>
                  <w:r w:rsidRPr="005D4222">
                    <w:rPr>
                      <w:rFonts w:eastAsia="Arial Narrow"/>
                    </w:rPr>
                    <w:t>1000 * ObservedCount / NonOutlierPersonCount</w:t>
                  </w:r>
                </w:p>
              </w:tc>
            </w:tr>
            <w:tr w:rsidR="008B0B96" w:rsidRPr="005D4222" w14:paraId="73CCFE50" w14:textId="77777777" w:rsidTr="007B5FC3">
              <w:trPr>
                <w:cantSplit/>
              </w:trPr>
              <w:tc>
                <w:tcPr>
                  <w:tcW w:w="2066" w:type="dxa"/>
                  <w:tcBorders>
                    <w:top w:val="nil"/>
                    <w:left w:val="nil"/>
                    <w:bottom w:val="nil"/>
                    <w:right w:val="single" w:sz="4" w:space="0" w:color="auto"/>
                  </w:tcBorders>
                  <w:vAlign w:val="bottom"/>
                </w:tcPr>
                <w:p w14:paraId="44DD897C" w14:textId="77777777" w:rsidR="008B0B96" w:rsidRPr="005D4222" w:rsidRDefault="008B0B96" w:rsidP="000A193B">
                  <w:pPr>
                    <w:pStyle w:val="TableText"/>
                    <w:spacing w:before="40" w:after="40"/>
                  </w:pPr>
                </w:p>
              </w:tc>
              <w:tc>
                <w:tcPr>
                  <w:tcW w:w="1080" w:type="dxa"/>
                  <w:tcBorders>
                    <w:top w:val="single" w:sz="4" w:space="0" w:color="auto"/>
                    <w:left w:val="single" w:sz="4" w:space="0" w:color="auto"/>
                    <w:bottom w:val="single" w:sz="4" w:space="0" w:color="auto"/>
                    <w:right w:val="single" w:sz="4" w:space="0" w:color="auto"/>
                  </w:tcBorders>
                  <w:shd w:val="clear" w:color="auto" w:fill="E7E6E6" w:themeFill="background2"/>
                </w:tcPr>
                <w:p w14:paraId="01F033F7" w14:textId="77777777" w:rsidR="008B0B96" w:rsidRPr="005D4222" w:rsidRDefault="008B0B96" w:rsidP="000A193B">
                  <w:pPr>
                    <w:pStyle w:val="TableText"/>
                    <w:spacing w:before="40" w:after="40"/>
                    <w:rPr>
                      <w:rFonts w:eastAsia="Arial Narrow"/>
                    </w:rPr>
                  </w:pPr>
                  <w:r w:rsidRPr="005D4222">
                    <w:rPr>
                      <w:rFonts w:eastAsia="Arial Narrow"/>
                    </w:rPr>
                    <w:t>18-64</w:t>
                  </w:r>
                </w:p>
              </w:tc>
              <w:tc>
                <w:tcPr>
                  <w:tcW w:w="1980" w:type="dxa"/>
                  <w:tcBorders>
                    <w:top w:val="single" w:sz="4" w:space="0" w:color="auto"/>
                    <w:left w:val="single" w:sz="4" w:space="0" w:color="auto"/>
                    <w:bottom w:val="single" w:sz="4" w:space="0" w:color="auto"/>
                    <w:right w:val="single" w:sz="4" w:space="0" w:color="auto"/>
                  </w:tcBorders>
                </w:tcPr>
                <w:p w14:paraId="77063D01" w14:textId="77777777" w:rsidR="008B0B96" w:rsidRPr="005D4222" w:rsidRDefault="008B0B96" w:rsidP="000A193B">
                  <w:pPr>
                    <w:pStyle w:val="TableText"/>
                    <w:spacing w:before="40" w:after="40"/>
                  </w:pPr>
                  <w:r w:rsidRPr="005D4222">
                    <w:t>ExpectedCount</w:t>
                  </w:r>
                </w:p>
              </w:tc>
              <w:tc>
                <w:tcPr>
                  <w:tcW w:w="2249" w:type="dxa"/>
                  <w:tcBorders>
                    <w:top w:val="single" w:sz="4" w:space="0" w:color="auto"/>
                    <w:left w:val="single" w:sz="4" w:space="0" w:color="auto"/>
                    <w:bottom w:val="single" w:sz="4" w:space="0" w:color="auto"/>
                    <w:right w:val="single" w:sz="4" w:space="0" w:color="auto"/>
                  </w:tcBorders>
                </w:tcPr>
                <w:p w14:paraId="455F4AFF" w14:textId="77777777" w:rsidR="008B0B96" w:rsidRPr="005D4222" w:rsidRDefault="008B0B96" w:rsidP="000A193B">
                  <w:pPr>
                    <w:pStyle w:val="TableText"/>
                    <w:spacing w:before="40" w:after="40"/>
                    <w:rPr>
                      <w:rFonts w:eastAsia="Arial Narrow"/>
                    </w:rPr>
                  </w:pPr>
                  <w:r w:rsidRPr="005D4222">
                    <w:rPr>
                      <w:rFonts w:eastAsia="Arial Narrow"/>
                    </w:rPr>
                    <w:t>For each Stratification</w:t>
                  </w:r>
                </w:p>
              </w:tc>
            </w:tr>
            <w:tr w:rsidR="008B0B96" w:rsidRPr="005D4222" w14:paraId="0C3912EA" w14:textId="77777777" w:rsidTr="00A53E8C">
              <w:trPr>
                <w:cantSplit/>
              </w:trPr>
              <w:tc>
                <w:tcPr>
                  <w:tcW w:w="2066" w:type="dxa"/>
                  <w:tcBorders>
                    <w:top w:val="nil"/>
                    <w:left w:val="nil"/>
                    <w:bottom w:val="nil"/>
                    <w:right w:val="nil"/>
                  </w:tcBorders>
                  <w:vAlign w:val="bottom"/>
                </w:tcPr>
                <w:p w14:paraId="1A452F90" w14:textId="77777777" w:rsidR="008B0B96" w:rsidRPr="005D4222" w:rsidRDefault="008B0B96" w:rsidP="000A193B">
                  <w:pPr>
                    <w:pStyle w:val="TableText"/>
                    <w:spacing w:before="40" w:after="40"/>
                  </w:pPr>
                </w:p>
              </w:tc>
              <w:tc>
                <w:tcPr>
                  <w:tcW w:w="1080" w:type="dxa"/>
                  <w:tcBorders>
                    <w:top w:val="single" w:sz="4" w:space="0" w:color="auto"/>
                    <w:left w:val="nil"/>
                    <w:bottom w:val="nil"/>
                    <w:right w:val="nil"/>
                  </w:tcBorders>
                </w:tcPr>
                <w:p w14:paraId="6B3E5B63" w14:textId="77777777" w:rsidR="008B0B96" w:rsidRPr="005D4222" w:rsidRDefault="008B0B96" w:rsidP="000A193B">
                  <w:pPr>
                    <w:pStyle w:val="TableText"/>
                    <w:spacing w:before="40" w:after="40"/>
                  </w:pPr>
                </w:p>
              </w:tc>
              <w:tc>
                <w:tcPr>
                  <w:tcW w:w="198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244C805" w14:textId="77777777" w:rsidR="008B0B96" w:rsidRPr="005D4222" w:rsidRDefault="008B0B96" w:rsidP="000A193B">
                  <w:pPr>
                    <w:pStyle w:val="TableText"/>
                    <w:spacing w:before="40" w:after="40"/>
                  </w:pPr>
                  <w:r w:rsidRPr="005D4222">
                    <w:t>ExpectedRate</w:t>
                  </w:r>
                </w:p>
              </w:tc>
              <w:tc>
                <w:tcPr>
                  <w:tcW w:w="2249"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3BA46C0" w14:textId="77777777" w:rsidR="008B0B96" w:rsidRPr="005D4222" w:rsidRDefault="008B0B96" w:rsidP="000A193B">
                  <w:pPr>
                    <w:pStyle w:val="TableText"/>
                    <w:spacing w:before="40" w:after="40"/>
                    <w:rPr>
                      <w:rFonts w:eastAsia="Arial Narrow"/>
                    </w:rPr>
                  </w:pPr>
                  <w:r w:rsidRPr="005D4222">
                    <w:rPr>
                      <w:rFonts w:eastAsia="Arial Narrow"/>
                    </w:rPr>
                    <w:t>1000 * ExpectedCount / NonOutlierPersonCount</w:t>
                  </w:r>
                </w:p>
              </w:tc>
            </w:tr>
            <w:tr w:rsidR="008B0B96" w:rsidRPr="005D4222" w14:paraId="3C26FC28" w14:textId="77777777" w:rsidTr="007B5FC3">
              <w:trPr>
                <w:cantSplit/>
              </w:trPr>
              <w:tc>
                <w:tcPr>
                  <w:tcW w:w="2066" w:type="dxa"/>
                  <w:tcBorders>
                    <w:top w:val="nil"/>
                    <w:left w:val="nil"/>
                    <w:bottom w:val="nil"/>
                    <w:right w:val="nil"/>
                  </w:tcBorders>
                  <w:vAlign w:val="bottom"/>
                </w:tcPr>
                <w:p w14:paraId="04974259" w14:textId="77777777" w:rsidR="008B0B96" w:rsidRPr="005D4222" w:rsidRDefault="008B0B96" w:rsidP="000A193B">
                  <w:pPr>
                    <w:pStyle w:val="TableText"/>
                    <w:spacing w:before="40" w:after="40"/>
                  </w:pPr>
                </w:p>
              </w:tc>
              <w:tc>
                <w:tcPr>
                  <w:tcW w:w="1080" w:type="dxa"/>
                  <w:tcBorders>
                    <w:top w:val="nil"/>
                    <w:left w:val="nil"/>
                    <w:bottom w:val="nil"/>
                    <w:right w:val="nil"/>
                  </w:tcBorders>
                </w:tcPr>
                <w:p w14:paraId="39D911AC" w14:textId="77777777" w:rsidR="008B0B96" w:rsidRPr="005D4222" w:rsidRDefault="008B0B96" w:rsidP="000A193B">
                  <w:pPr>
                    <w:pStyle w:val="TableText"/>
                    <w:spacing w:before="40" w:after="40"/>
                  </w:pPr>
                </w:p>
              </w:tc>
              <w:tc>
                <w:tcPr>
                  <w:tcW w:w="1980" w:type="dxa"/>
                  <w:tcBorders>
                    <w:top w:val="single" w:sz="4" w:space="0" w:color="auto"/>
                    <w:left w:val="single" w:sz="4" w:space="0" w:color="auto"/>
                    <w:bottom w:val="single" w:sz="4" w:space="0" w:color="auto"/>
                    <w:right w:val="single" w:sz="4" w:space="0" w:color="auto"/>
                  </w:tcBorders>
                </w:tcPr>
                <w:p w14:paraId="5787B5F2" w14:textId="77777777" w:rsidR="008B0B96" w:rsidRPr="005D4222" w:rsidRDefault="008B0B96" w:rsidP="000A193B">
                  <w:pPr>
                    <w:pStyle w:val="TableText"/>
                    <w:spacing w:before="40" w:after="40"/>
                  </w:pPr>
                  <w:r w:rsidRPr="005D4222">
                    <w:t>CountVariance</w:t>
                  </w:r>
                </w:p>
              </w:tc>
              <w:tc>
                <w:tcPr>
                  <w:tcW w:w="2249" w:type="dxa"/>
                  <w:tcBorders>
                    <w:top w:val="single" w:sz="4" w:space="0" w:color="auto"/>
                    <w:left w:val="single" w:sz="4" w:space="0" w:color="auto"/>
                    <w:bottom w:val="single" w:sz="4" w:space="0" w:color="auto"/>
                    <w:right w:val="single" w:sz="4" w:space="0" w:color="auto"/>
                  </w:tcBorders>
                </w:tcPr>
                <w:p w14:paraId="0C5BE32D" w14:textId="77777777" w:rsidR="008B0B96" w:rsidRPr="005D4222" w:rsidRDefault="008B0B96" w:rsidP="000A193B">
                  <w:pPr>
                    <w:pStyle w:val="TableText"/>
                    <w:spacing w:before="40" w:after="40"/>
                    <w:rPr>
                      <w:rFonts w:eastAsia="Arial Narrow"/>
                    </w:rPr>
                  </w:pPr>
                  <w:r w:rsidRPr="005D4222">
                    <w:rPr>
                      <w:rFonts w:eastAsia="Arial Narrow"/>
                    </w:rPr>
                    <w:t>For each Stratification</w:t>
                  </w:r>
                </w:p>
              </w:tc>
            </w:tr>
            <w:tr w:rsidR="008B0B96" w:rsidRPr="005D4222" w14:paraId="69D5E234" w14:textId="77777777" w:rsidTr="00A53E8C">
              <w:trPr>
                <w:cantSplit/>
              </w:trPr>
              <w:tc>
                <w:tcPr>
                  <w:tcW w:w="2066" w:type="dxa"/>
                  <w:tcBorders>
                    <w:top w:val="nil"/>
                    <w:left w:val="nil"/>
                    <w:bottom w:val="nil"/>
                    <w:right w:val="nil"/>
                  </w:tcBorders>
                  <w:vAlign w:val="bottom"/>
                </w:tcPr>
                <w:p w14:paraId="3EA456F5" w14:textId="77777777" w:rsidR="008B0B96" w:rsidRPr="005D4222" w:rsidRDefault="008B0B96" w:rsidP="000A193B">
                  <w:pPr>
                    <w:pStyle w:val="TableText"/>
                    <w:spacing w:before="40" w:after="40"/>
                    <w:rPr>
                      <w:rFonts w:ascii="Calibri" w:hAnsi="Calibri" w:cs="Calibri"/>
                      <w:color w:val="000000"/>
                      <w:sz w:val="22"/>
                      <w:szCs w:val="22"/>
                    </w:rPr>
                  </w:pPr>
                </w:p>
              </w:tc>
              <w:tc>
                <w:tcPr>
                  <w:tcW w:w="1080" w:type="dxa"/>
                  <w:tcBorders>
                    <w:top w:val="nil"/>
                    <w:left w:val="nil"/>
                    <w:bottom w:val="nil"/>
                    <w:right w:val="nil"/>
                  </w:tcBorders>
                  <w:shd w:val="clear" w:color="auto" w:fill="FFFFFF" w:themeFill="background1"/>
                </w:tcPr>
                <w:p w14:paraId="41A8D955" w14:textId="77777777" w:rsidR="008B0B96" w:rsidRPr="005D4222" w:rsidRDefault="008B0B96" w:rsidP="000A193B">
                  <w:pPr>
                    <w:pStyle w:val="TableText"/>
                    <w:spacing w:before="40" w:after="40"/>
                  </w:pPr>
                </w:p>
              </w:tc>
              <w:tc>
                <w:tcPr>
                  <w:tcW w:w="198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5A6740A" w14:textId="77777777" w:rsidR="008B0B96" w:rsidRPr="005D4222" w:rsidRDefault="008B0B96" w:rsidP="000A193B">
                  <w:pPr>
                    <w:pStyle w:val="TableText"/>
                    <w:spacing w:before="40" w:after="40"/>
                  </w:pPr>
                  <w:r w:rsidRPr="005D4222">
                    <w:t>OE</w:t>
                  </w:r>
                </w:p>
              </w:tc>
              <w:tc>
                <w:tcPr>
                  <w:tcW w:w="2249"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DBE5529" w14:textId="77777777" w:rsidR="008B0B96" w:rsidRPr="005D4222" w:rsidRDefault="008B0B96" w:rsidP="000A193B">
                  <w:pPr>
                    <w:pStyle w:val="TableText"/>
                    <w:spacing w:before="40" w:after="40"/>
                    <w:rPr>
                      <w:rFonts w:eastAsia="Arial Narrow"/>
                    </w:rPr>
                  </w:pPr>
                  <w:r w:rsidRPr="005D4222">
                    <w:rPr>
                      <w:rFonts w:eastAsia="Arial Narrow"/>
                    </w:rPr>
                    <w:t>ObservedCount / ExpectedCount</w:t>
                  </w:r>
                </w:p>
              </w:tc>
            </w:tr>
          </w:tbl>
          <w:p w14:paraId="4D53DCB3" w14:textId="77777777" w:rsidR="008B0B96" w:rsidRPr="005D4222" w:rsidRDefault="008B0B96" w:rsidP="00A53E8C">
            <w:pPr>
              <w:pStyle w:val="Heading3"/>
              <w:rPr>
                <w:iCs/>
              </w:rPr>
            </w:pPr>
            <w:r w:rsidRPr="005D4222">
              <w:rPr>
                <w:iCs/>
              </w:rPr>
              <w:t xml:space="preserve">Table AHU-2/3: </w:t>
            </w:r>
            <w:r w:rsidRPr="005D4222">
              <w:t>Data Elements for Acute Hospital Utilization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4A0" w:firstRow="1" w:lastRow="0" w:firstColumn="1" w:lastColumn="0" w:noHBand="0" w:noVBand="1"/>
            </w:tblPr>
            <w:tblGrid>
              <w:gridCol w:w="2066"/>
              <w:gridCol w:w="1080"/>
              <w:gridCol w:w="1981"/>
              <w:gridCol w:w="2248"/>
            </w:tblGrid>
            <w:tr w:rsidR="008B0B96" w:rsidRPr="005D4222" w14:paraId="31D766B4" w14:textId="77777777" w:rsidTr="00A53E8C">
              <w:trPr>
                <w:cantSplit/>
              </w:trPr>
              <w:tc>
                <w:tcPr>
                  <w:tcW w:w="1401" w:type="pct"/>
                  <w:tcBorders>
                    <w:top w:val="single" w:sz="4" w:space="0" w:color="auto"/>
                    <w:left w:val="single" w:sz="4" w:space="0" w:color="auto"/>
                    <w:bottom w:val="single" w:sz="4" w:space="0" w:color="auto"/>
                    <w:right w:val="single" w:sz="4" w:space="0" w:color="FFFFFF"/>
                  </w:tcBorders>
                  <w:shd w:val="clear" w:color="auto" w:fill="000000" w:themeFill="text1"/>
                  <w:tcMar>
                    <w:left w:w="72" w:type="dxa"/>
                    <w:right w:w="72" w:type="dxa"/>
                  </w:tcMar>
                </w:tcPr>
                <w:p w14:paraId="2546A9E1" w14:textId="77777777" w:rsidR="008B0B96" w:rsidRPr="005D4222" w:rsidRDefault="008B0B96" w:rsidP="000A193B">
                  <w:pPr>
                    <w:pStyle w:val="TableHead"/>
                    <w:spacing w:before="40" w:after="40"/>
                    <w:rPr>
                      <w:rFonts w:eastAsia="Arial Narrow"/>
                    </w:rPr>
                  </w:pPr>
                  <w:r w:rsidRPr="005D4222">
                    <w:rPr>
                      <w:rFonts w:eastAsia="Arial Narrow"/>
                    </w:rPr>
                    <w:t>Metric</w:t>
                  </w:r>
                </w:p>
              </w:tc>
              <w:tc>
                <w:tcPr>
                  <w:tcW w:w="732" w:type="pct"/>
                  <w:tcBorders>
                    <w:top w:val="single" w:sz="4" w:space="0" w:color="auto"/>
                    <w:left w:val="single" w:sz="4" w:space="0" w:color="FFFFFF"/>
                    <w:bottom w:val="single" w:sz="4" w:space="0" w:color="auto"/>
                    <w:right w:val="single" w:sz="4" w:space="0" w:color="FFFFFF"/>
                  </w:tcBorders>
                  <w:shd w:val="clear" w:color="auto" w:fill="000000" w:themeFill="text1"/>
                  <w:tcMar>
                    <w:left w:w="72" w:type="dxa"/>
                    <w:right w:w="72" w:type="dxa"/>
                  </w:tcMar>
                </w:tcPr>
                <w:p w14:paraId="22EFD0F7" w14:textId="77777777" w:rsidR="008B0B96" w:rsidRPr="005D4222" w:rsidRDefault="008B0B96" w:rsidP="000A193B">
                  <w:pPr>
                    <w:pStyle w:val="TableHead"/>
                    <w:spacing w:before="40" w:after="40"/>
                    <w:rPr>
                      <w:rFonts w:eastAsia="Arial Narrow"/>
                    </w:rPr>
                  </w:pPr>
                  <w:r w:rsidRPr="005D4222">
                    <w:rPr>
                      <w:rFonts w:eastAsia="Arial Narrow"/>
                    </w:rPr>
                    <w:t>Age</w:t>
                  </w:r>
                </w:p>
              </w:tc>
              <w:tc>
                <w:tcPr>
                  <w:tcW w:w="1343" w:type="pct"/>
                  <w:tcBorders>
                    <w:top w:val="single" w:sz="4" w:space="0" w:color="auto"/>
                    <w:left w:val="single" w:sz="4" w:space="0" w:color="FFFFFF"/>
                    <w:right w:val="single" w:sz="6" w:space="0" w:color="FFFFFF"/>
                  </w:tcBorders>
                  <w:shd w:val="clear" w:color="auto" w:fill="000000" w:themeFill="text1"/>
                  <w:tcMar>
                    <w:left w:w="72" w:type="dxa"/>
                    <w:right w:w="72" w:type="dxa"/>
                  </w:tcMar>
                  <w:vAlign w:val="bottom"/>
                </w:tcPr>
                <w:p w14:paraId="65305E5B" w14:textId="77777777" w:rsidR="008B0B96" w:rsidRPr="005D4222" w:rsidRDefault="008B0B96" w:rsidP="000A193B">
                  <w:pPr>
                    <w:pStyle w:val="TableHead"/>
                    <w:spacing w:before="40" w:after="40"/>
                    <w:rPr>
                      <w:rFonts w:eastAsia="Arial Narrow"/>
                    </w:rPr>
                  </w:pPr>
                  <w:r w:rsidRPr="005D4222">
                    <w:rPr>
                      <w:rFonts w:eastAsia="Arial Narrow"/>
                    </w:rPr>
                    <w:t xml:space="preserve">Data Element </w:t>
                  </w:r>
                </w:p>
              </w:tc>
              <w:tc>
                <w:tcPr>
                  <w:tcW w:w="1524" w:type="pct"/>
                  <w:tcBorders>
                    <w:top w:val="single" w:sz="4" w:space="0" w:color="auto"/>
                    <w:left w:val="single" w:sz="6" w:space="0" w:color="FFFFFF"/>
                    <w:right w:val="single" w:sz="4" w:space="0" w:color="auto"/>
                  </w:tcBorders>
                  <w:shd w:val="clear" w:color="auto" w:fill="000000" w:themeFill="text1"/>
                  <w:tcMar>
                    <w:left w:w="72" w:type="dxa"/>
                    <w:right w:w="72" w:type="dxa"/>
                  </w:tcMar>
                  <w:vAlign w:val="bottom"/>
                </w:tcPr>
                <w:p w14:paraId="0BA0C5F8" w14:textId="77777777" w:rsidR="008B0B96" w:rsidRPr="005D4222" w:rsidRDefault="008B0B96" w:rsidP="000A193B">
                  <w:pPr>
                    <w:pStyle w:val="TableHead"/>
                    <w:spacing w:before="40" w:after="40"/>
                    <w:rPr>
                      <w:rFonts w:eastAsia="Arial Narrow"/>
                    </w:rPr>
                  </w:pPr>
                  <w:r w:rsidRPr="005D4222">
                    <w:rPr>
                      <w:rFonts w:eastAsia="Arial Narrow"/>
                    </w:rPr>
                    <w:t>Reporting Instructions</w:t>
                  </w:r>
                </w:p>
              </w:tc>
            </w:tr>
            <w:tr w:rsidR="008B0B96" w:rsidRPr="005D4222" w14:paraId="3E4B18FE" w14:textId="77777777" w:rsidTr="00A53E8C">
              <w:trPr>
                <w:cantSplit/>
              </w:trPr>
              <w:tc>
                <w:tcPr>
                  <w:tcW w:w="1401" w:type="pct"/>
                  <w:tcBorders>
                    <w:top w:val="single" w:sz="4" w:space="0" w:color="auto"/>
                    <w:bottom w:val="single" w:sz="4" w:space="0" w:color="auto"/>
                  </w:tcBorders>
                  <w:tcMar>
                    <w:left w:w="72" w:type="dxa"/>
                    <w:right w:w="72" w:type="dxa"/>
                  </w:tcMar>
                  <w:vAlign w:val="bottom"/>
                </w:tcPr>
                <w:p w14:paraId="2F8BD64B" w14:textId="77777777" w:rsidR="008B0B96" w:rsidRPr="005D4222" w:rsidRDefault="008B0B96" w:rsidP="000A193B">
                  <w:pPr>
                    <w:pStyle w:val="TableText"/>
                    <w:spacing w:before="40" w:after="40"/>
                    <w:rPr>
                      <w:rFonts w:eastAsia="Arial Narrow"/>
                    </w:rPr>
                  </w:pPr>
                  <w:r w:rsidRPr="005D4222">
                    <w:rPr>
                      <w:rFonts w:eastAsia="Arial Narrow"/>
                    </w:rPr>
                    <w:t>AcuteHospitalUtilization</w:t>
                  </w:r>
                </w:p>
              </w:tc>
              <w:tc>
                <w:tcPr>
                  <w:tcW w:w="732" w:type="pct"/>
                  <w:tcBorders>
                    <w:bottom w:val="single" w:sz="4" w:space="0" w:color="auto"/>
                  </w:tcBorders>
                  <w:tcMar>
                    <w:left w:w="72" w:type="dxa"/>
                    <w:right w:w="72" w:type="dxa"/>
                  </w:tcMar>
                </w:tcPr>
                <w:p w14:paraId="22A8B8FD" w14:textId="77777777" w:rsidR="008B0B96" w:rsidRPr="005D4222" w:rsidRDefault="008B0B96" w:rsidP="000A193B">
                  <w:pPr>
                    <w:pStyle w:val="TableText"/>
                    <w:spacing w:before="40" w:after="40"/>
                    <w:rPr>
                      <w:rFonts w:eastAsia="Arial Narrow"/>
                    </w:rPr>
                  </w:pPr>
                  <w:r w:rsidRPr="005D4222">
                    <w:rPr>
                      <w:rFonts w:eastAsia="Arial Narrow"/>
                    </w:rPr>
                    <w:t>18-44</w:t>
                  </w:r>
                </w:p>
              </w:tc>
              <w:tc>
                <w:tcPr>
                  <w:tcW w:w="1343" w:type="pct"/>
                  <w:tcBorders>
                    <w:bottom w:val="single" w:sz="4" w:space="0" w:color="auto"/>
                  </w:tcBorders>
                  <w:tcMar>
                    <w:left w:w="72" w:type="dxa"/>
                    <w:right w:w="72" w:type="dxa"/>
                  </w:tcMar>
                </w:tcPr>
                <w:p w14:paraId="3DCD8F29" w14:textId="77777777" w:rsidR="008B0B96" w:rsidRPr="005D4222" w:rsidRDefault="008B0B96" w:rsidP="000A193B">
                  <w:pPr>
                    <w:pStyle w:val="TableText"/>
                    <w:spacing w:before="40" w:after="40"/>
                    <w:rPr>
                      <w:rFonts w:eastAsia="Arial Narrow"/>
                    </w:rPr>
                  </w:pPr>
                  <w:r w:rsidRPr="005D4222">
                    <w:rPr>
                      <w:rFonts w:eastAsia="Arial Narrow"/>
                    </w:rPr>
                    <w:t>NonOutlierPersonCount</w:t>
                  </w:r>
                </w:p>
              </w:tc>
              <w:tc>
                <w:tcPr>
                  <w:tcW w:w="1524" w:type="pct"/>
                  <w:tcBorders>
                    <w:bottom w:val="single" w:sz="4" w:space="0" w:color="auto"/>
                  </w:tcBorders>
                  <w:tcMar>
                    <w:left w:w="72" w:type="dxa"/>
                    <w:right w:w="72" w:type="dxa"/>
                  </w:tcMar>
                </w:tcPr>
                <w:p w14:paraId="11F9FC27" w14:textId="77777777" w:rsidR="008B0B96" w:rsidRPr="005D4222" w:rsidRDefault="008B0B96" w:rsidP="000A193B">
                  <w:pPr>
                    <w:pStyle w:val="TableText"/>
                    <w:spacing w:before="40" w:after="40"/>
                    <w:rPr>
                      <w:rFonts w:eastAsia="Arial Narrow"/>
                    </w:rPr>
                  </w:pPr>
                  <w:r w:rsidRPr="005D4222">
                    <w:rPr>
                      <w:rFonts w:eastAsia="Arial Narrow"/>
                    </w:rPr>
                    <w:t>For each Stratification</w:t>
                  </w:r>
                </w:p>
              </w:tc>
            </w:tr>
            <w:tr w:rsidR="008B0B96" w:rsidRPr="005D4222" w14:paraId="3C94B913" w14:textId="77777777" w:rsidTr="00A53E8C">
              <w:trPr>
                <w:cantSplit/>
              </w:trPr>
              <w:tc>
                <w:tcPr>
                  <w:tcW w:w="1401" w:type="pct"/>
                  <w:tcBorders>
                    <w:top w:val="single" w:sz="4" w:space="0" w:color="auto"/>
                    <w:left w:val="nil"/>
                    <w:bottom w:val="nil"/>
                    <w:right w:val="single" w:sz="4" w:space="0" w:color="auto"/>
                  </w:tcBorders>
                  <w:tcMar>
                    <w:left w:w="72" w:type="dxa"/>
                    <w:right w:w="72" w:type="dxa"/>
                  </w:tcMar>
                  <w:vAlign w:val="bottom"/>
                </w:tcPr>
                <w:p w14:paraId="620AA449" w14:textId="77777777" w:rsidR="008B0B96" w:rsidRPr="005D4222" w:rsidRDefault="008B0B96" w:rsidP="000A193B">
                  <w:pPr>
                    <w:pStyle w:val="TableText"/>
                    <w:spacing w:before="40" w:after="40"/>
                    <w:rPr>
                      <w:rFonts w:eastAsia="Arial Narrow"/>
                    </w:rPr>
                  </w:pPr>
                </w:p>
              </w:tc>
              <w:tc>
                <w:tcPr>
                  <w:tcW w:w="732" w:type="pct"/>
                  <w:tcBorders>
                    <w:left w:val="single" w:sz="4" w:space="0" w:color="auto"/>
                    <w:bottom w:val="single" w:sz="4" w:space="0" w:color="auto"/>
                  </w:tcBorders>
                  <w:tcMar>
                    <w:left w:w="72" w:type="dxa"/>
                    <w:right w:w="72" w:type="dxa"/>
                  </w:tcMar>
                </w:tcPr>
                <w:p w14:paraId="4D4D6075" w14:textId="77777777" w:rsidR="008B0B96" w:rsidRPr="005D4222" w:rsidRDefault="008B0B96" w:rsidP="000A193B">
                  <w:pPr>
                    <w:pStyle w:val="TableText"/>
                    <w:spacing w:before="40" w:after="40"/>
                    <w:rPr>
                      <w:rFonts w:eastAsia="Arial Narrow"/>
                    </w:rPr>
                  </w:pPr>
                  <w:r w:rsidRPr="005D4222">
                    <w:rPr>
                      <w:rFonts w:eastAsia="Arial Narrow"/>
                    </w:rPr>
                    <w:t>45-54</w:t>
                  </w:r>
                </w:p>
              </w:tc>
              <w:tc>
                <w:tcPr>
                  <w:tcW w:w="1343" w:type="pct"/>
                  <w:tcBorders>
                    <w:bottom w:val="single" w:sz="4" w:space="0" w:color="auto"/>
                  </w:tcBorders>
                  <w:tcMar>
                    <w:left w:w="72" w:type="dxa"/>
                    <w:right w:w="72" w:type="dxa"/>
                  </w:tcMar>
                </w:tcPr>
                <w:p w14:paraId="2C7A3D79" w14:textId="77777777" w:rsidR="008B0B96" w:rsidRPr="005D4222" w:rsidRDefault="008B0B96" w:rsidP="000A193B">
                  <w:pPr>
                    <w:pStyle w:val="TableText"/>
                    <w:spacing w:before="40" w:after="40"/>
                    <w:rPr>
                      <w:rFonts w:eastAsia="Arial Narrow"/>
                    </w:rPr>
                  </w:pPr>
                  <w:r w:rsidRPr="005D4222">
                    <w:rPr>
                      <w:rFonts w:eastAsia="Arial Narrow"/>
                    </w:rPr>
                    <w:t>OutlierPersonCount</w:t>
                  </w:r>
                </w:p>
              </w:tc>
              <w:tc>
                <w:tcPr>
                  <w:tcW w:w="1524" w:type="pct"/>
                  <w:tcBorders>
                    <w:bottom w:val="single" w:sz="4" w:space="0" w:color="auto"/>
                  </w:tcBorders>
                  <w:tcMar>
                    <w:left w:w="72" w:type="dxa"/>
                    <w:right w:w="72" w:type="dxa"/>
                  </w:tcMar>
                </w:tcPr>
                <w:p w14:paraId="6895240B" w14:textId="77777777" w:rsidR="008B0B96" w:rsidRPr="005D4222" w:rsidRDefault="008B0B96" w:rsidP="000A193B">
                  <w:pPr>
                    <w:pStyle w:val="TableText"/>
                    <w:spacing w:before="40" w:after="40"/>
                    <w:rPr>
                      <w:rFonts w:eastAsia="Arial Narrow"/>
                    </w:rPr>
                  </w:pPr>
                  <w:r w:rsidRPr="005D4222">
                    <w:rPr>
                      <w:rFonts w:eastAsia="Arial Narrow"/>
                    </w:rPr>
                    <w:t>For each Stratification</w:t>
                  </w:r>
                </w:p>
              </w:tc>
            </w:tr>
            <w:tr w:rsidR="008B0B96" w:rsidRPr="005D4222" w14:paraId="6F75DE9F" w14:textId="77777777" w:rsidTr="00A53E8C">
              <w:trPr>
                <w:cantSplit/>
              </w:trPr>
              <w:tc>
                <w:tcPr>
                  <w:tcW w:w="1401" w:type="pct"/>
                  <w:tcBorders>
                    <w:top w:val="nil"/>
                    <w:left w:val="nil"/>
                    <w:bottom w:val="nil"/>
                    <w:right w:val="single" w:sz="4" w:space="0" w:color="auto"/>
                  </w:tcBorders>
                  <w:tcMar>
                    <w:left w:w="72" w:type="dxa"/>
                    <w:right w:w="72" w:type="dxa"/>
                  </w:tcMar>
                  <w:vAlign w:val="bottom"/>
                </w:tcPr>
                <w:p w14:paraId="308CEA24" w14:textId="77777777" w:rsidR="008B0B96" w:rsidRPr="005D4222" w:rsidRDefault="008B0B96" w:rsidP="000A193B">
                  <w:pPr>
                    <w:pStyle w:val="TableText"/>
                    <w:spacing w:before="40" w:after="40"/>
                    <w:rPr>
                      <w:rFonts w:eastAsia="Arial Narrow"/>
                    </w:rPr>
                  </w:pPr>
                </w:p>
              </w:tc>
              <w:tc>
                <w:tcPr>
                  <w:tcW w:w="732" w:type="pct"/>
                  <w:tcBorders>
                    <w:left w:val="single" w:sz="4" w:space="0" w:color="auto"/>
                    <w:bottom w:val="single" w:sz="4" w:space="0" w:color="auto"/>
                    <w:right w:val="single" w:sz="4" w:space="0" w:color="auto"/>
                  </w:tcBorders>
                  <w:tcMar>
                    <w:left w:w="72" w:type="dxa"/>
                    <w:right w:w="72" w:type="dxa"/>
                  </w:tcMar>
                </w:tcPr>
                <w:p w14:paraId="28FF318F" w14:textId="77777777" w:rsidR="008B0B96" w:rsidRPr="005D4222" w:rsidRDefault="008B0B96" w:rsidP="000A193B">
                  <w:pPr>
                    <w:pStyle w:val="TableText"/>
                    <w:spacing w:before="40" w:after="40"/>
                    <w:rPr>
                      <w:rFonts w:eastAsia="Arial Narrow"/>
                    </w:rPr>
                  </w:pPr>
                  <w:r w:rsidRPr="005D4222">
                    <w:t>55-64</w:t>
                  </w:r>
                </w:p>
              </w:tc>
              <w:tc>
                <w:tcPr>
                  <w:tcW w:w="1343" w:type="pct"/>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vAlign w:val="center"/>
                </w:tcPr>
                <w:p w14:paraId="611D038E" w14:textId="77777777" w:rsidR="008B0B96" w:rsidRPr="005D4222" w:rsidRDefault="008B0B96" w:rsidP="000A193B">
                  <w:pPr>
                    <w:pStyle w:val="TableText"/>
                    <w:spacing w:before="40" w:after="40"/>
                    <w:rPr>
                      <w:rFonts w:eastAsia="Arial Narrow"/>
                    </w:rPr>
                  </w:pPr>
                  <w:r w:rsidRPr="005D4222">
                    <w:rPr>
                      <w:rFonts w:eastAsia="Arial Narrow"/>
                    </w:rPr>
                    <w:t>PersonCount</w:t>
                  </w:r>
                </w:p>
              </w:tc>
              <w:tc>
                <w:tcPr>
                  <w:tcW w:w="1524" w:type="pct"/>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vAlign w:val="center"/>
                </w:tcPr>
                <w:p w14:paraId="311E38CD" w14:textId="77777777" w:rsidR="008B0B96" w:rsidRPr="005D4222" w:rsidRDefault="008B0B96" w:rsidP="000A193B">
                  <w:pPr>
                    <w:pStyle w:val="TableText"/>
                    <w:spacing w:before="40" w:after="40"/>
                    <w:rPr>
                      <w:rFonts w:eastAsia="Arial Narrow"/>
                    </w:rPr>
                  </w:pPr>
                  <w:r w:rsidRPr="005D4222">
                    <w:rPr>
                      <w:rFonts w:eastAsia="Arial Narrow"/>
                    </w:rPr>
                    <w:t>NonOutlierPersonCount + OutlierPersonCount</w:t>
                  </w:r>
                </w:p>
              </w:tc>
            </w:tr>
            <w:tr w:rsidR="008B0B96" w:rsidRPr="005D4222" w14:paraId="20407C25" w14:textId="77777777" w:rsidTr="00A53E8C">
              <w:trPr>
                <w:cantSplit/>
              </w:trPr>
              <w:tc>
                <w:tcPr>
                  <w:tcW w:w="1401" w:type="pct"/>
                  <w:tcBorders>
                    <w:top w:val="nil"/>
                    <w:left w:val="nil"/>
                    <w:bottom w:val="nil"/>
                    <w:right w:val="single" w:sz="4" w:space="0" w:color="auto"/>
                  </w:tcBorders>
                  <w:tcMar>
                    <w:left w:w="72" w:type="dxa"/>
                    <w:right w:w="72" w:type="dxa"/>
                  </w:tcMar>
                  <w:vAlign w:val="bottom"/>
                </w:tcPr>
                <w:p w14:paraId="17EA64E9" w14:textId="77777777" w:rsidR="008B0B96" w:rsidRPr="005D4222" w:rsidRDefault="008B0B96" w:rsidP="000A193B">
                  <w:pPr>
                    <w:pStyle w:val="TableText"/>
                    <w:spacing w:before="40" w:after="40"/>
                  </w:pPr>
                </w:p>
              </w:tc>
              <w:tc>
                <w:tcPr>
                  <w:tcW w:w="732" w:type="pct"/>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tcPr>
                <w:p w14:paraId="162E0EE5" w14:textId="77777777" w:rsidR="008B0B96" w:rsidRPr="005D4222" w:rsidRDefault="008B0B96" w:rsidP="000A193B">
                  <w:pPr>
                    <w:pStyle w:val="TableText"/>
                    <w:spacing w:before="40" w:after="40"/>
                    <w:rPr>
                      <w:rFonts w:eastAsia="Arial Narrow"/>
                    </w:rPr>
                  </w:pPr>
                  <w:r w:rsidRPr="005D4222">
                    <w:rPr>
                      <w:rFonts w:eastAsia="Arial Narrow"/>
                    </w:rPr>
                    <w:t>18-64</w:t>
                  </w:r>
                </w:p>
              </w:tc>
              <w:tc>
                <w:tcPr>
                  <w:tcW w:w="1343" w:type="pct"/>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tcPr>
                <w:p w14:paraId="7FFE2F45" w14:textId="77777777" w:rsidR="008B0B96" w:rsidRPr="005D4222" w:rsidRDefault="008B0B96" w:rsidP="000A193B">
                  <w:pPr>
                    <w:pStyle w:val="TableText"/>
                    <w:spacing w:before="40" w:after="40"/>
                    <w:rPr>
                      <w:rFonts w:eastAsia="Arial Narrow"/>
                    </w:rPr>
                  </w:pPr>
                  <w:r w:rsidRPr="005D4222">
                    <w:rPr>
                      <w:rFonts w:eastAsia="Arial Narrow"/>
                    </w:rPr>
                    <w:t>OutlierRate</w:t>
                  </w:r>
                </w:p>
              </w:tc>
              <w:tc>
                <w:tcPr>
                  <w:tcW w:w="1524" w:type="pct"/>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tcPr>
                <w:p w14:paraId="5568603A" w14:textId="77777777" w:rsidR="008B0B96" w:rsidRPr="005D4222" w:rsidRDefault="008B0B96" w:rsidP="000A193B">
                  <w:pPr>
                    <w:pStyle w:val="TableText"/>
                    <w:spacing w:before="40" w:after="40"/>
                    <w:rPr>
                      <w:rFonts w:eastAsia="Arial Narrow"/>
                    </w:rPr>
                  </w:pPr>
                  <w:r w:rsidRPr="005D4222">
                    <w:rPr>
                      <w:rFonts w:eastAsia="Arial Narrow"/>
                    </w:rPr>
                    <w:t>OutlierPersonCount / PersonCount (Permille)</w:t>
                  </w:r>
                </w:p>
              </w:tc>
            </w:tr>
            <w:tr w:rsidR="008B0B96" w:rsidRPr="005D4222" w14:paraId="66C02731" w14:textId="77777777" w:rsidTr="007B5FC3">
              <w:trPr>
                <w:cantSplit/>
              </w:trPr>
              <w:tc>
                <w:tcPr>
                  <w:tcW w:w="1401" w:type="pct"/>
                  <w:tcBorders>
                    <w:top w:val="nil"/>
                    <w:left w:val="nil"/>
                    <w:bottom w:val="nil"/>
                    <w:right w:val="single" w:sz="4" w:space="0" w:color="auto"/>
                  </w:tcBorders>
                  <w:tcMar>
                    <w:left w:w="72" w:type="dxa"/>
                    <w:right w:w="72" w:type="dxa"/>
                  </w:tcMar>
                  <w:vAlign w:val="bottom"/>
                </w:tcPr>
                <w:p w14:paraId="64E76092" w14:textId="77777777" w:rsidR="008B0B96" w:rsidRPr="005D4222" w:rsidRDefault="008B0B96" w:rsidP="000A193B">
                  <w:pPr>
                    <w:pStyle w:val="TableText"/>
                    <w:spacing w:before="40" w:after="40"/>
                  </w:pPr>
                </w:p>
              </w:tc>
              <w:tc>
                <w:tcPr>
                  <w:tcW w:w="732" w:type="pct"/>
                  <w:tcBorders>
                    <w:top w:val="single" w:sz="4" w:space="0" w:color="auto"/>
                    <w:left w:val="single" w:sz="4" w:space="0" w:color="auto"/>
                    <w:bottom w:val="single" w:sz="4" w:space="0" w:color="auto"/>
                    <w:right w:val="single" w:sz="4" w:space="0" w:color="auto"/>
                  </w:tcBorders>
                  <w:tcMar>
                    <w:left w:w="72" w:type="dxa"/>
                    <w:right w:w="72" w:type="dxa"/>
                  </w:tcMar>
                </w:tcPr>
                <w:p w14:paraId="1B70A5AC" w14:textId="77777777" w:rsidR="008B0B96" w:rsidRPr="005D4222" w:rsidRDefault="008B0B96" w:rsidP="000A193B">
                  <w:pPr>
                    <w:pStyle w:val="TableText"/>
                    <w:spacing w:before="40" w:after="40"/>
                  </w:pPr>
                  <w:r w:rsidRPr="005D4222">
                    <w:t>65-74</w:t>
                  </w:r>
                </w:p>
              </w:tc>
              <w:tc>
                <w:tcPr>
                  <w:tcW w:w="1343" w:type="pct"/>
                  <w:tcBorders>
                    <w:top w:val="single" w:sz="4" w:space="0" w:color="auto"/>
                    <w:left w:val="single" w:sz="4" w:space="0" w:color="auto"/>
                    <w:bottom w:val="single" w:sz="4" w:space="0" w:color="auto"/>
                    <w:right w:val="single" w:sz="4" w:space="0" w:color="auto"/>
                  </w:tcBorders>
                  <w:tcMar>
                    <w:left w:w="72" w:type="dxa"/>
                    <w:right w:w="72" w:type="dxa"/>
                  </w:tcMar>
                </w:tcPr>
                <w:p w14:paraId="4B9068C9" w14:textId="77777777" w:rsidR="008B0B96" w:rsidRPr="005D4222" w:rsidRDefault="008B0B96" w:rsidP="000A193B">
                  <w:pPr>
                    <w:pStyle w:val="TableText"/>
                    <w:spacing w:before="40" w:after="40"/>
                  </w:pPr>
                  <w:r w:rsidRPr="005D4222">
                    <w:t>ObservedCount</w:t>
                  </w:r>
                </w:p>
              </w:tc>
              <w:tc>
                <w:tcPr>
                  <w:tcW w:w="1524" w:type="pct"/>
                  <w:tcBorders>
                    <w:top w:val="single" w:sz="4" w:space="0" w:color="auto"/>
                    <w:left w:val="single" w:sz="4" w:space="0" w:color="auto"/>
                    <w:bottom w:val="single" w:sz="4" w:space="0" w:color="auto"/>
                    <w:right w:val="single" w:sz="4" w:space="0" w:color="auto"/>
                  </w:tcBorders>
                  <w:tcMar>
                    <w:left w:w="72" w:type="dxa"/>
                    <w:right w:w="72" w:type="dxa"/>
                  </w:tcMar>
                </w:tcPr>
                <w:p w14:paraId="7E10D4C9" w14:textId="77777777" w:rsidR="008B0B96" w:rsidRPr="005D4222" w:rsidRDefault="008B0B96" w:rsidP="000A193B">
                  <w:pPr>
                    <w:pStyle w:val="TableText"/>
                    <w:spacing w:before="40" w:after="40"/>
                    <w:rPr>
                      <w:rFonts w:eastAsia="Arial Narrow"/>
                    </w:rPr>
                  </w:pPr>
                  <w:r w:rsidRPr="005D4222">
                    <w:rPr>
                      <w:rFonts w:eastAsia="Arial Narrow"/>
                    </w:rPr>
                    <w:t>For each Stratification</w:t>
                  </w:r>
                </w:p>
              </w:tc>
            </w:tr>
            <w:tr w:rsidR="008B0B96" w:rsidRPr="005D4222" w14:paraId="5A911A98" w14:textId="77777777" w:rsidTr="00A53E8C">
              <w:trPr>
                <w:cantSplit/>
              </w:trPr>
              <w:tc>
                <w:tcPr>
                  <w:tcW w:w="1401" w:type="pct"/>
                  <w:tcBorders>
                    <w:top w:val="nil"/>
                    <w:left w:val="nil"/>
                    <w:bottom w:val="nil"/>
                    <w:right w:val="single" w:sz="4" w:space="0" w:color="auto"/>
                  </w:tcBorders>
                  <w:tcMar>
                    <w:left w:w="72" w:type="dxa"/>
                    <w:right w:w="72" w:type="dxa"/>
                  </w:tcMar>
                  <w:vAlign w:val="bottom"/>
                </w:tcPr>
                <w:p w14:paraId="74AC6C86" w14:textId="77777777" w:rsidR="008B0B96" w:rsidRPr="005D4222" w:rsidRDefault="008B0B96" w:rsidP="000A193B">
                  <w:pPr>
                    <w:pStyle w:val="TableText"/>
                    <w:spacing w:before="40" w:after="40"/>
                  </w:pPr>
                </w:p>
              </w:tc>
              <w:tc>
                <w:tcPr>
                  <w:tcW w:w="732" w:type="pct"/>
                  <w:tcBorders>
                    <w:top w:val="single" w:sz="4" w:space="0" w:color="auto"/>
                    <w:left w:val="single" w:sz="4" w:space="0" w:color="auto"/>
                    <w:bottom w:val="single" w:sz="4" w:space="0" w:color="auto"/>
                    <w:right w:val="single" w:sz="4" w:space="0" w:color="auto"/>
                  </w:tcBorders>
                  <w:tcMar>
                    <w:left w:w="72" w:type="dxa"/>
                    <w:right w:w="72" w:type="dxa"/>
                  </w:tcMar>
                </w:tcPr>
                <w:p w14:paraId="15CC35D6" w14:textId="77777777" w:rsidR="008B0B96" w:rsidRPr="005D4222" w:rsidRDefault="008B0B96" w:rsidP="000A193B">
                  <w:pPr>
                    <w:pStyle w:val="TableText"/>
                    <w:spacing w:before="40" w:after="40"/>
                  </w:pPr>
                  <w:r w:rsidRPr="005D4222">
                    <w:t>75-84</w:t>
                  </w:r>
                </w:p>
              </w:tc>
              <w:tc>
                <w:tcPr>
                  <w:tcW w:w="1343" w:type="pct"/>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tcPr>
                <w:p w14:paraId="563A0E9C" w14:textId="77777777" w:rsidR="008B0B96" w:rsidRPr="005D4222" w:rsidRDefault="008B0B96" w:rsidP="000A193B">
                  <w:pPr>
                    <w:pStyle w:val="TableText"/>
                    <w:spacing w:before="40" w:after="40"/>
                  </w:pPr>
                  <w:r w:rsidRPr="005D4222">
                    <w:t>ObservedRate</w:t>
                  </w:r>
                </w:p>
              </w:tc>
              <w:tc>
                <w:tcPr>
                  <w:tcW w:w="1524" w:type="pct"/>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tcPr>
                <w:p w14:paraId="0C4F5589" w14:textId="77777777" w:rsidR="008B0B96" w:rsidRPr="005D4222" w:rsidRDefault="008B0B96" w:rsidP="000A193B">
                  <w:pPr>
                    <w:pStyle w:val="TableText"/>
                    <w:spacing w:before="40" w:after="40"/>
                    <w:rPr>
                      <w:rFonts w:eastAsia="Arial Narrow"/>
                    </w:rPr>
                  </w:pPr>
                  <w:r w:rsidRPr="005D4222">
                    <w:rPr>
                      <w:rFonts w:eastAsia="Arial Narrow"/>
                    </w:rPr>
                    <w:t>1000 * ObservedCount / NonOutlierPersonCount</w:t>
                  </w:r>
                </w:p>
              </w:tc>
            </w:tr>
            <w:tr w:rsidR="008B0B96" w:rsidRPr="005D4222" w14:paraId="3F799F76" w14:textId="77777777" w:rsidTr="007B5FC3">
              <w:trPr>
                <w:cantSplit/>
              </w:trPr>
              <w:tc>
                <w:tcPr>
                  <w:tcW w:w="1401" w:type="pct"/>
                  <w:tcBorders>
                    <w:top w:val="nil"/>
                    <w:left w:val="nil"/>
                    <w:bottom w:val="nil"/>
                    <w:right w:val="single" w:sz="4" w:space="0" w:color="auto"/>
                  </w:tcBorders>
                  <w:tcMar>
                    <w:left w:w="72" w:type="dxa"/>
                    <w:right w:w="72" w:type="dxa"/>
                  </w:tcMar>
                  <w:vAlign w:val="bottom"/>
                </w:tcPr>
                <w:p w14:paraId="0BB63168" w14:textId="77777777" w:rsidR="008B0B96" w:rsidRPr="005D4222" w:rsidRDefault="008B0B96" w:rsidP="000A193B">
                  <w:pPr>
                    <w:pStyle w:val="TableText"/>
                    <w:spacing w:before="40" w:after="40"/>
                    <w:rPr>
                      <w:rFonts w:ascii="Calibri" w:hAnsi="Calibri" w:cs="Calibri"/>
                      <w:color w:val="000000"/>
                      <w:sz w:val="22"/>
                      <w:szCs w:val="22"/>
                    </w:rPr>
                  </w:pPr>
                </w:p>
              </w:tc>
              <w:tc>
                <w:tcPr>
                  <w:tcW w:w="732" w:type="pct"/>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tcPr>
                <w:p w14:paraId="679223BE" w14:textId="77777777" w:rsidR="008B0B96" w:rsidRPr="005D4222" w:rsidRDefault="008B0B96" w:rsidP="000A193B">
                  <w:pPr>
                    <w:pStyle w:val="TableText"/>
                    <w:spacing w:before="40" w:after="40"/>
                  </w:pPr>
                  <w:r w:rsidRPr="005D4222">
                    <w:t>85+</w:t>
                  </w:r>
                </w:p>
              </w:tc>
              <w:tc>
                <w:tcPr>
                  <w:tcW w:w="1343" w:type="pct"/>
                  <w:tcBorders>
                    <w:top w:val="single" w:sz="4" w:space="0" w:color="auto"/>
                    <w:left w:val="single" w:sz="4" w:space="0" w:color="auto"/>
                    <w:bottom w:val="single" w:sz="4" w:space="0" w:color="auto"/>
                    <w:right w:val="single" w:sz="4" w:space="0" w:color="auto"/>
                  </w:tcBorders>
                  <w:tcMar>
                    <w:left w:w="72" w:type="dxa"/>
                    <w:right w:w="72" w:type="dxa"/>
                  </w:tcMar>
                </w:tcPr>
                <w:p w14:paraId="6C721C5E" w14:textId="77777777" w:rsidR="008B0B96" w:rsidRPr="005D4222" w:rsidRDefault="008B0B96" w:rsidP="000A193B">
                  <w:pPr>
                    <w:pStyle w:val="TableText"/>
                    <w:spacing w:before="40" w:after="40"/>
                  </w:pPr>
                  <w:r w:rsidRPr="005D4222">
                    <w:t>ExpectedCount</w:t>
                  </w:r>
                </w:p>
              </w:tc>
              <w:tc>
                <w:tcPr>
                  <w:tcW w:w="1524" w:type="pct"/>
                  <w:tcBorders>
                    <w:top w:val="single" w:sz="4" w:space="0" w:color="auto"/>
                    <w:left w:val="single" w:sz="4" w:space="0" w:color="auto"/>
                    <w:bottom w:val="single" w:sz="4" w:space="0" w:color="auto"/>
                    <w:right w:val="single" w:sz="4" w:space="0" w:color="auto"/>
                  </w:tcBorders>
                  <w:tcMar>
                    <w:left w:w="72" w:type="dxa"/>
                    <w:right w:w="72" w:type="dxa"/>
                  </w:tcMar>
                </w:tcPr>
                <w:p w14:paraId="70B73503" w14:textId="77777777" w:rsidR="008B0B96" w:rsidRPr="005D4222" w:rsidRDefault="008B0B96" w:rsidP="000A193B">
                  <w:pPr>
                    <w:pStyle w:val="TableText"/>
                    <w:spacing w:before="40" w:after="40"/>
                    <w:rPr>
                      <w:rFonts w:eastAsia="Arial Narrow"/>
                    </w:rPr>
                  </w:pPr>
                  <w:r w:rsidRPr="005D4222">
                    <w:rPr>
                      <w:rFonts w:eastAsia="Arial Narrow"/>
                    </w:rPr>
                    <w:t>For each Stratification</w:t>
                  </w:r>
                </w:p>
              </w:tc>
            </w:tr>
            <w:tr w:rsidR="008B0B96" w:rsidRPr="005D4222" w14:paraId="7EFD21D0" w14:textId="77777777" w:rsidTr="00A53E8C">
              <w:trPr>
                <w:cantSplit/>
              </w:trPr>
              <w:tc>
                <w:tcPr>
                  <w:tcW w:w="1401" w:type="pct"/>
                  <w:tcBorders>
                    <w:top w:val="nil"/>
                    <w:left w:val="nil"/>
                    <w:bottom w:val="nil"/>
                    <w:right w:val="single" w:sz="4" w:space="0" w:color="auto"/>
                  </w:tcBorders>
                  <w:tcMar>
                    <w:left w:w="72" w:type="dxa"/>
                    <w:right w:w="72" w:type="dxa"/>
                  </w:tcMar>
                  <w:vAlign w:val="bottom"/>
                </w:tcPr>
                <w:p w14:paraId="37E756F2" w14:textId="77777777" w:rsidR="008B0B96" w:rsidRPr="005D4222" w:rsidRDefault="008B0B96" w:rsidP="000A193B">
                  <w:pPr>
                    <w:pStyle w:val="TableText"/>
                    <w:spacing w:before="40" w:after="40"/>
                    <w:rPr>
                      <w:rFonts w:ascii="Calibri" w:hAnsi="Calibri" w:cs="Calibri"/>
                      <w:color w:val="000000"/>
                      <w:sz w:val="22"/>
                      <w:szCs w:val="22"/>
                    </w:rPr>
                  </w:pPr>
                </w:p>
              </w:tc>
              <w:tc>
                <w:tcPr>
                  <w:tcW w:w="732" w:type="pct"/>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tcPr>
                <w:p w14:paraId="40FF5D07" w14:textId="77777777" w:rsidR="008B0B96" w:rsidRPr="005D4222" w:rsidRDefault="008B0B96" w:rsidP="000A193B">
                  <w:pPr>
                    <w:pStyle w:val="TableText"/>
                    <w:spacing w:before="40" w:after="40"/>
                  </w:pPr>
                  <w:r w:rsidRPr="005D4222">
                    <w:t>65+</w:t>
                  </w:r>
                </w:p>
              </w:tc>
              <w:tc>
                <w:tcPr>
                  <w:tcW w:w="1343" w:type="pct"/>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tcPr>
                <w:p w14:paraId="1FA0AA97" w14:textId="77777777" w:rsidR="008B0B96" w:rsidRPr="005D4222" w:rsidRDefault="008B0B96" w:rsidP="000A193B">
                  <w:pPr>
                    <w:pStyle w:val="TableText"/>
                    <w:spacing w:before="40" w:after="40"/>
                  </w:pPr>
                  <w:r w:rsidRPr="005D4222">
                    <w:t>ExpectedRate</w:t>
                  </w:r>
                </w:p>
              </w:tc>
              <w:tc>
                <w:tcPr>
                  <w:tcW w:w="1524" w:type="pct"/>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tcPr>
                <w:p w14:paraId="71BD1C8C" w14:textId="77777777" w:rsidR="008B0B96" w:rsidRPr="005D4222" w:rsidRDefault="008B0B96" w:rsidP="000A193B">
                  <w:pPr>
                    <w:pStyle w:val="TableText"/>
                    <w:spacing w:before="40" w:after="40"/>
                    <w:rPr>
                      <w:rFonts w:eastAsia="Arial Narrow"/>
                    </w:rPr>
                  </w:pPr>
                  <w:r w:rsidRPr="005D4222">
                    <w:rPr>
                      <w:rFonts w:eastAsia="Arial Narrow"/>
                    </w:rPr>
                    <w:t>1000 * ExpectedCount / NonOutlierPersonCount</w:t>
                  </w:r>
                </w:p>
              </w:tc>
            </w:tr>
            <w:tr w:rsidR="008B0B96" w:rsidRPr="005D4222" w14:paraId="313FBAF0" w14:textId="77777777" w:rsidTr="007B5FC3">
              <w:trPr>
                <w:cantSplit/>
              </w:trPr>
              <w:tc>
                <w:tcPr>
                  <w:tcW w:w="1401" w:type="pct"/>
                  <w:tcBorders>
                    <w:top w:val="nil"/>
                    <w:left w:val="nil"/>
                    <w:bottom w:val="nil"/>
                    <w:right w:val="single" w:sz="4" w:space="0" w:color="auto"/>
                  </w:tcBorders>
                  <w:tcMar>
                    <w:left w:w="72" w:type="dxa"/>
                    <w:right w:w="72" w:type="dxa"/>
                  </w:tcMar>
                  <w:vAlign w:val="bottom"/>
                </w:tcPr>
                <w:p w14:paraId="50072B9D" w14:textId="77777777" w:rsidR="008B0B96" w:rsidRPr="005D4222" w:rsidRDefault="008B0B96" w:rsidP="000A193B">
                  <w:pPr>
                    <w:pStyle w:val="TableText"/>
                    <w:spacing w:before="40" w:after="40"/>
                    <w:rPr>
                      <w:rFonts w:ascii="Calibri" w:hAnsi="Calibri" w:cs="Calibri"/>
                      <w:color w:val="000000"/>
                      <w:sz w:val="22"/>
                      <w:szCs w:val="22"/>
                    </w:rPr>
                  </w:pPr>
                </w:p>
              </w:tc>
              <w:tc>
                <w:tcPr>
                  <w:tcW w:w="732" w:type="pct"/>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tcPr>
                <w:p w14:paraId="3E20F409" w14:textId="77777777" w:rsidR="008B0B96" w:rsidRPr="005D4222" w:rsidRDefault="008B0B96" w:rsidP="000A193B">
                  <w:pPr>
                    <w:pStyle w:val="TableText"/>
                    <w:spacing w:before="40" w:after="40"/>
                  </w:pPr>
                  <w:r w:rsidRPr="005D4222">
                    <w:t>Total</w:t>
                  </w:r>
                </w:p>
              </w:tc>
              <w:tc>
                <w:tcPr>
                  <w:tcW w:w="1343" w:type="pct"/>
                  <w:tcBorders>
                    <w:top w:val="single" w:sz="4" w:space="0" w:color="auto"/>
                    <w:left w:val="single" w:sz="4" w:space="0" w:color="auto"/>
                    <w:bottom w:val="single" w:sz="4" w:space="0" w:color="auto"/>
                    <w:right w:val="single" w:sz="4" w:space="0" w:color="auto"/>
                  </w:tcBorders>
                  <w:tcMar>
                    <w:left w:w="72" w:type="dxa"/>
                    <w:right w:w="72" w:type="dxa"/>
                  </w:tcMar>
                </w:tcPr>
                <w:p w14:paraId="113EDA7C" w14:textId="77777777" w:rsidR="008B0B96" w:rsidRPr="005D4222" w:rsidRDefault="008B0B96" w:rsidP="000A193B">
                  <w:pPr>
                    <w:pStyle w:val="TableText"/>
                    <w:spacing w:before="40" w:after="40"/>
                  </w:pPr>
                  <w:r w:rsidRPr="005D4222">
                    <w:t>CountVariance</w:t>
                  </w:r>
                </w:p>
              </w:tc>
              <w:tc>
                <w:tcPr>
                  <w:tcW w:w="1524" w:type="pct"/>
                  <w:tcBorders>
                    <w:top w:val="single" w:sz="4" w:space="0" w:color="auto"/>
                    <w:left w:val="single" w:sz="4" w:space="0" w:color="auto"/>
                    <w:bottom w:val="single" w:sz="4" w:space="0" w:color="auto"/>
                    <w:right w:val="single" w:sz="4" w:space="0" w:color="auto"/>
                  </w:tcBorders>
                  <w:tcMar>
                    <w:left w:w="72" w:type="dxa"/>
                    <w:right w:w="72" w:type="dxa"/>
                  </w:tcMar>
                </w:tcPr>
                <w:p w14:paraId="33507906" w14:textId="77777777" w:rsidR="008B0B96" w:rsidRPr="005D4222" w:rsidRDefault="008B0B96" w:rsidP="000A193B">
                  <w:pPr>
                    <w:pStyle w:val="TableText"/>
                    <w:spacing w:before="40" w:after="40"/>
                    <w:rPr>
                      <w:rFonts w:eastAsia="Arial Narrow"/>
                    </w:rPr>
                  </w:pPr>
                  <w:r w:rsidRPr="005D4222">
                    <w:rPr>
                      <w:rFonts w:eastAsia="Arial Narrow"/>
                    </w:rPr>
                    <w:t>For each Stratification</w:t>
                  </w:r>
                </w:p>
              </w:tc>
            </w:tr>
            <w:tr w:rsidR="008B0B96" w:rsidRPr="005D4222" w14:paraId="643ADC3E" w14:textId="77777777" w:rsidTr="007B5FC3">
              <w:trPr>
                <w:cantSplit/>
              </w:trPr>
              <w:tc>
                <w:tcPr>
                  <w:tcW w:w="1401" w:type="pct"/>
                  <w:tcBorders>
                    <w:top w:val="nil"/>
                    <w:left w:val="nil"/>
                    <w:bottom w:val="nil"/>
                    <w:right w:val="nil"/>
                  </w:tcBorders>
                  <w:tcMar>
                    <w:left w:w="72" w:type="dxa"/>
                    <w:right w:w="72" w:type="dxa"/>
                  </w:tcMar>
                  <w:vAlign w:val="bottom"/>
                </w:tcPr>
                <w:p w14:paraId="74F36845" w14:textId="77777777" w:rsidR="008B0B96" w:rsidRPr="005D4222" w:rsidRDefault="008B0B96" w:rsidP="000A193B">
                  <w:pPr>
                    <w:pStyle w:val="TableText"/>
                    <w:spacing w:before="40" w:after="40"/>
                    <w:rPr>
                      <w:rFonts w:ascii="Calibri" w:hAnsi="Calibri" w:cs="Calibri"/>
                      <w:color w:val="000000"/>
                      <w:sz w:val="22"/>
                      <w:szCs w:val="22"/>
                    </w:rPr>
                  </w:pPr>
                </w:p>
              </w:tc>
              <w:tc>
                <w:tcPr>
                  <w:tcW w:w="732" w:type="pct"/>
                  <w:tcBorders>
                    <w:top w:val="single" w:sz="4" w:space="0" w:color="auto"/>
                    <w:left w:val="nil"/>
                    <w:bottom w:val="nil"/>
                    <w:right w:val="nil"/>
                  </w:tcBorders>
                  <w:tcMar>
                    <w:left w:w="72" w:type="dxa"/>
                    <w:right w:w="72" w:type="dxa"/>
                  </w:tcMar>
                </w:tcPr>
                <w:p w14:paraId="38F40C2A" w14:textId="77777777" w:rsidR="008B0B96" w:rsidRPr="005D4222" w:rsidRDefault="008B0B96" w:rsidP="000A193B">
                  <w:pPr>
                    <w:pStyle w:val="TableText"/>
                    <w:spacing w:before="40" w:after="40"/>
                  </w:pPr>
                </w:p>
              </w:tc>
              <w:tc>
                <w:tcPr>
                  <w:tcW w:w="1343" w:type="pct"/>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tcPr>
                <w:p w14:paraId="05836CB8" w14:textId="77777777" w:rsidR="008B0B96" w:rsidRPr="005D4222" w:rsidRDefault="008B0B96" w:rsidP="000A193B">
                  <w:pPr>
                    <w:pStyle w:val="TableText"/>
                    <w:spacing w:before="40" w:after="40"/>
                  </w:pPr>
                  <w:r w:rsidRPr="005D4222">
                    <w:t>OE</w:t>
                  </w:r>
                </w:p>
              </w:tc>
              <w:tc>
                <w:tcPr>
                  <w:tcW w:w="1524" w:type="pct"/>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tcPr>
                <w:p w14:paraId="1DEE90EF" w14:textId="77777777" w:rsidR="008B0B96" w:rsidRPr="005D4222" w:rsidRDefault="008B0B96" w:rsidP="000A193B">
                  <w:pPr>
                    <w:pStyle w:val="TableText"/>
                    <w:spacing w:before="40" w:after="40"/>
                    <w:rPr>
                      <w:rFonts w:eastAsia="Arial Narrow"/>
                    </w:rPr>
                  </w:pPr>
                  <w:r w:rsidRPr="005D4222">
                    <w:rPr>
                      <w:rFonts w:eastAsia="Arial Narrow"/>
                    </w:rPr>
                    <w:t>ObservedCount / ExpectedCount</w:t>
                  </w:r>
                </w:p>
              </w:tc>
            </w:tr>
          </w:tbl>
          <w:p w14:paraId="412011F0" w14:textId="77777777" w:rsidR="008B0B96" w:rsidRPr="005D4222" w:rsidRDefault="008B0B96" w:rsidP="00A53E8C">
            <w:pPr>
              <w:pStyle w:val="ECDSBody"/>
              <w:rPr>
                <w:b/>
                <w:bCs w:val="0"/>
              </w:rPr>
            </w:pPr>
          </w:p>
        </w:tc>
      </w:tr>
      <w:tr w:rsidR="000A193B" w:rsidRPr="005D4222" w14:paraId="2F68C060" w14:textId="77777777" w:rsidTr="000A193B">
        <w:tc>
          <w:tcPr>
            <w:tcW w:w="2157"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363FBE99" w14:textId="77777777" w:rsidR="000A193B" w:rsidRPr="005D4222" w:rsidRDefault="000A193B" w:rsidP="00A53E8C">
            <w:pPr>
              <w:pStyle w:val="ECDSMarginHead"/>
            </w:pPr>
            <w:r w:rsidRPr="005D4222">
              <w:lastRenderedPageBreak/>
              <w:t>Rules for Allowable Adjustments</w:t>
            </w: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tcPr>
          <w:p w14:paraId="75036ECE" w14:textId="77777777" w:rsidR="000A193B" w:rsidRPr="005D4222" w:rsidRDefault="000A193B" w:rsidP="00A53E8C">
            <w:pPr>
              <w:pStyle w:val="ECDSBody"/>
              <w:rPr>
                <w:i/>
              </w:rPr>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1FBEC382" w14:textId="77777777" w:rsidR="000A193B" w:rsidRPr="005D4222" w:rsidRDefault="000A193B" w:rsidP="00A53E8C">
            <w:pPr>
              <w:pStyle w:val="ECDSBody"/>
              <w:rPr>
                <w:b/>
              </w:rPr>
            </w:pPr>
            <w:r w:rsidRPr="005D4222">
              <w:rPr>
                <w:b/>
              </w:rPr>
              <w:t>Adjusted HEDIS measures may not be used for HEDIS health plan reporting.</w:t>
            </w:r>
          </w:p>
          <w:p w14:paraId="745F10A4" w14:textId="77777777" w:rsidR="000A193B" w:rsidRPr="005D4222" w:rsidRDefault="000A193B" w:rsidP="00A53E8C">
            <w:pPr>
              <w:pStyle w:val="ECDSBody"/>
            </w:pPr>
            <w:r w:rsidRPr="005D4222">
              <w:t xml:space="preserve">The measures under the Risk Adjusted Utilization domain allow two types of </w:t>
            </w:r>
            <w:r w:rsidRPr="005D4222">
              <w:rPr>
                <w:i/>
              </w:rPr>
              <w:t>Rules for Allowable Adjustments</w:t>
            </w:r>
            <w:r w:rsidRPr="005D4222">
              <w:t xml:space="preserve"> sections:</w:t>
            </w:r>
          </w:p>
          <w:p w14:paraId="7E0E492D" w14:textId="647DD97E" w:rsidR="000A193B" w:rsidRPr="005D4222" w:rsidRDefault="000A193B" w:rsidP="000A193B">
            <w:pPr>
              <w:pStyle w:val="Body"/>
              <w:spacing w:before="120"/>
              <w:ind w:left="648" w:hanging="288"/>
            </w:pPr>
            <w:r w:rsidRPr="005D4222">
              <w:t>1.</w:t>
            </w:r>
            <w:r w:rsidRPr="005D4222">
              <w:tab/>
            </w:r>
            <w:r w:rsidRPr="005D4222">
              <w:rPr>
                <w:i/>
              </w:rPr>
              <w:t xml:space="preserve">Rules for Allowable Adjustments for Risk-Adjusted Measurement. </w:t>
            </w:r>
            <w:r w:rsidRPr="005D4222">
              <w:t xml:space="preserve">This section must be followed for adjustments when calculating the full measure specifications, which includes all risk adjusted rates (expected rates, risk adjustment, O/E) and calculation components (count of index stays, observed events). </w:t>
            </w:r>
          </w:p>
          <w:p w14:paraId="051A4F3E" w14:textId="77777777" w:rsidR="000A193B" w:rsidRPr="005D4222" w:rsidRDefault="000A193B" w:rsidP="000A193B">
            <w:pPr>
              <w:pStyle w:val="Body"/>
              <w:spacing w:before="120"/>
              <w:ind w:left="648" w:hanging="288"/>
            </w:pPr>
            <w:r w:rsidRPr="005D4222">
              <w:t>2.</w:t>
            </w:r>
            <w:r w:rsidRPr="005D4222">
              <w:tab/>
            </w:r>
            <w:r w:rsidRPr="005D4222">
              <w:rPr>
                <w:i/>
              </w:rPr>
              <w:t>Rules for Allowable Adjustments for Observed Measurement (rates without risk adjustment).</w:t>
            </w:r>
            <w:r w:rsidRPr="005D4222">
              <w:t xml:space="preserve"> This section must be followed when adjusting the calculation of observed events only. When applying these adjustments, organizations must not include risk adjustment logic.</w:t>
            </w:r>
          </w:p>
          <w:p w14:paraId="5D5EB5CB" w14:textId="77777777" w:rsidR="000A193B" w:rsidRPr="005D4222" w:rsidRDefault="000A193B" w:rsidP="00A53E8C">
            <w:pPr>
              <w:pStyle w:val="ECDSBody"/>
            </w:pPr>
            <w:r w:rsidRPr="005D4222">
              <w:t>The intent of including the two different types of Rules is to allow organizations to adjust measures without compromising the measures’ validity. Risk adjustment is based on statistical prediction models that are specifically calibrated for each measure.</w:t>
            </w:r>
          </w:p>
          <w:p w14:paraId="15711666" w14:textId="618DA3A7" w:rsidR="000A193B" w:rsidRPr="005D4222" w:rsidRDefault="000A193B" w:rsidP="00A53E8C">
            <w:pPr>
              <w:pStyle w:val="ECDSBody"/>
              <w:rPr>
                <w:b/>
                <w:bCs w:val="0"/>
              </w:rPr>
            </w:pPr>
            <w:r w:rsidRPr="005D4222">
              <w:rPr>
                <w:b/>
                <w:bCs w:val="0"/>
              </w:rPr>
              <w:t xml:space="preserve">The following </w:t>
            </w:r>
            <w:r w:rsidR="00BB17B7" w:rsidRPr="005D4222">
              <w:rPr>
                <w:b/>
                <w:bCs w:val="0"/>
              </w:rPr>
              <w:t>are</w:t>
            </w:r>
            <w:r w:rsidRPr="005D4222">
              <w:rPr>
                <w:b/>
                <w:bCs w:val="0"/>
              </w:rPr>
              <w:t xml:space="preserve"> the Rules for Allowable Adjustments for</w:t>
            </w:r>
            <w:r w:rsidRPr="005D4222">
              <w:rPr>
                <w:b/>
                <w:bCs w:val="0"/>
                <w:u w:val="single"/>
              </w:rPr>
              <w:t xml:space="preserve"> Risk-Adjusted Measurement</w:t>
            </w:r>
            <w:r w:rsidRPr="005D4222">
              <w:rPr>
                <w:b/>
                <w:bCs w:val="0"/>
              </w:rPr>
              <w:t xml:space="preserve"> of the Acute Hospital Utilization measure (observed discharges, expected discharges, risk adjustment determination, risk adjustment weighting, O/E, variance).</w:t>
            </w:r>
          </w:p>
          <w:p w14:paraId="2E74FEE1" w14:textId="77777777" w:rsidR="000A193B" w:rsidRPr="005D4222" w:rsidRDefault="000A193B" w:rsidP="00A53E8C">
            <w:pPr>
              <w:pStyle w:val="Adjustments"/>
              <w:rPr>
                <w:b w:val="0"/>
              </w:rPr>
            </w:pPr>
            <w:r w:rsidRPr="005D4222">
              <w:t>Adjustments</w:t>
            </w:r>
            <w:r w:rsidRPr="005D4222">
              <w:rPr>
                <w:bCs/>
              </w:rPr>
              <w:t xml:space="preserve"> a</w:t>
            </w:r>
            <w:r w:rsidRPr="005D4222">
              <w:t>llowed</w:t>
            </w:r>
          </w:p>
          <w:p w14:paraId="5962BD93" w14:textId="11D246B3" w:rsidR="000A193B" w:rsidRPr="005D4222" w:rsidRDefault="00362E76" w:rsidP="005D6173">
            <w:pPr>
              <w:pStyle w:val="ProcessBullet"/>
              <w:numPr>
                <w:ilvl w:val="0"/>
                <w:numId w:val="77"/>
              </w:numPr>
              <w:tabs>
                <w:tab w:val="left" w:pos="216"/>
              </w:tabs>
              <w:ind w:left="216" w:hanging="216"/>
            </w:pPr>
            <w:r w:rsidRPr="005D4222">
              <w:rPr>
                <w:i/>
                <w:iCs/>
              </w:rPr>
              <w:t>Benefits.</w:t>
            </w:r>
            <w:r w:rsidR="000A193B" w:rsidRPr="005D4222">
              <w:t xml:space="preserve"> Organizations are not required to use a benefit.</w:t>
            </w:r>
          </w:p>
          <w:p w14:paraId="3C0FA750" w14:textId="40B7CF05" w:rsidR="000A193B" w:rsidRPr="005D4222" w:rsidRDefault="000A193B" w:rsidP="005D6173">
            <w:pPr>
              <w:pStyle w:val="ProcessBullet"/>
              <w:numPr>
                <w:ilvl w:val="0"/>
                <w:numId w:val="77"/>
              </w:numPr>
              <w:tabs>
                <w:tab w:val="left" w:pos="216"/>
              </w:tabs>
              <w:spacing w:after="80"/>
              <w:ind w:left="216" w:hanging="216"/>
              <w:rPr>
                <w:rFonts w:cs="Arial"/>
                <w:i/>
              </w:rPr>
            </w:pPr>
            <w:r w:rsidRPr="005D4222">
              <w:rPr>
                <w:i/>
                <w:iCs/>
              </w:rPr>
              <w:t>Telehealth.</w:t>
            </w:r>
            <w:r w:rsidRPr="005D4222">
              <w:t xml:space="preserve"> Services/events that allow the use of synchronous telehealth visits, telephone visits and asynchronous telehealth (e-visits, </w:t>
            </w:r>
            <w:r w:rsidRPr="005D4222">
              <w:rPr>
                <w:color w:val="000000" w:themeColor="text1"/>
              </w:rPr>
              <w:t xml:space="preserve">virtual check-ins) may be stratified to identify services performed via telehealth. </w:t>
            </w:r>
            <w:r w:rsidRPr="005D4222">
              <w:t xml:space="preserve">This adjustment is not allowed for </w:t>
            </w:r>
            <w:r w:rsidR="007D4B79" w:rsidRPr="005D4222">
              <w:t>events/diagnoses</w:t>
            </w:r>
            <w:r w:rsidRPr="005D4222">
              <w:t>, numerators and exclusions that do not allow the use of telehealth.</w:t>
            </w:r>
          </w:p>
          <w:p w14:paraId="3F928C04" w14:textId="77777777" w:rsidR="000A193B" w:rsidRPr="005D4222" w:rsidRDefault="000A193B" w:rsidP="00A53E8C">
            <w:pPr>
              <w:pStyle w:val="Adjustments"/>
            </w:pPr>
            <w:r w:rsidRPr="005D4222">
              <w:t xml:space="preserve">Adjustments </w:t>
            </w:r>
            <w:r w:rsidRPr="005D4222">
              <w:rPr>
                <w:bCs/>
              </w:rPr>
              <w:t>a</w:t>
            </w:r>
            <w:r w:rsidRPr="005D4222">
              <w:t xml:space="preserve">llowed with </w:t>
            </w:r>
            <w:r w:rsidRPr="005D4222">
              <w:rPr>
                <w:bCs/>
              </w:rPr>
              <w:t>l</w:t>
            </w:r>
            <w:r w:rsidRPr="005D4222">
              <w:t>imits</w:t>
            </w:r>
          </w:p>
          <w:p w14:paraId="74125B21" w14:textId="77777777" w:rsidR="000A193B" w:rsidRPr="005D4222" w:rsidRDefault="000A193B" w:rsidP="005D6173">
            <w:pPr>
              <w:pStyle w:val="ProcessBullet"/>
              <w:numPr>
                <w:ilvl w:val="0"/>
                <w:numId w:val="77"/>
              </w:numPr>
              <w:ind w:left="216" w:hanging="216"/>
            </w:pPr>
            <w:r w:rsidRPr="005D4222">
              <w:rPr>
                <w:i/>
                <w:iCs/>
              </w:rPr>
              <w:t xml:space="preserve">Other. </w:t>
            </w:r>
            <w:r w:rsidRPr="005D4222">
              <w:t>Organizations may only adjust the initial population criteria to focus on an area of interest defined by gender, sociodemographic characteristics or geographical region. NCQA recommends evaluating risk model performance and validity within adjusted populations. Organizations may not adjust for a clinical subpopulation (e.g., persons with a diabetes diagnosis).</w:t>
            </w:r>
          </w:p>
          <w:p w14:paraId="7F3EED7B" w14:textId="77777777" w:rsidR="000A193B" w:rsidRPr="005D4222" w:rsidRDefault="000A193B" w:rsidP="005D6173">
            <w:pPr>
              <w:pStyle w:val="ProcessBullet"/>
              <w:numPr>
                <w:ilvl w:val="0"/>
                <w:numId w:val="77"/>
              </w:numPr>
              <w:ind w:left="216" w:hanging="216"/>
            </w:pPr>
            <w:r w:rsidRPr="005D4222">
              <w:rPr>
                <w:i/>
                <w:iCs/>
              </w:rPr>
              <w:t>Measurement period adjustments.</w:t>
            </w:r>
            <w:r w:rsidRPr="005D4222">
              <w:t xml:space="preserve"> Organizations may only change the measurement period by 1 year.</w:t>
            </w:r>
          </w:p>
          <w:p w14:paraId="467FC9AD" w14:textId="674E0DD9" w:rsidR="000A193B" w:rsidRPr="005D4222" w:rsidRDefault="000A193B" w:rsidP="005D6173">
            <w:pPr>
              <w:pStyle w:val="ProcessBullet"/>
              <w:numPr>
                <w:ilvl w:val="0"/>
                <w:numId w:val="77"/>
              </w:numPr>
              <w:spacing w:after="80"/>
              <w:ind w:left="216" w:hanging="216"/>
              <w:rPr>
                <w:i/>
              </w:rPr>
            </w:pPr>
            <w:r w:rsidRPr="005D4222">
              <w:rPr>
                <w:i/>
                <w:iCs/>
              </w:rPr>
              <w:t>Initial population.</w:t>
            </w:r>
            <w:r w:rsidRPr="005D4222">
              <w:t xml:space="preserve"> Organizations may include denied claims to calculate the initial population. The logic may not be changed. </w:t>
            </w:r>
          </w:p>
        </w:tc>
      </w:tr>
    </w:tbl>
    <w:p w14:paraId="353E7DEB" w14:textId="77777777" w:rsidR="000A193B" w:rsidRPr="005D4222" w:rsidRDefault="000A193B"/>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15" w:type="dxa"/>
          <w:bottom w:w="40" w:type="dxa"/>
          <w:right w:w="15" w:type="dxa"/>
        </w:tblCellMar>
        <w:tblLook w:val="04A0" w:firstRow="1" w:lastRow="0" w:firstColumn="1" w:lastColumn="0" w:noHBand="0" w:noVBand="1"/>
      </w:tblPr>
      <w:tblGrid>
        <w:gridCol w:w="2157"/>
        <w:gridCol w:w="7557"/>
      </w:tblGrid>
      <w:tr w:rsidR="008B0B96" w:rsidRPr="005D4222" w14:paraId="31A33A0B" w14:textId="77777777" w:rsidTr="00363E17">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7354C5A" w14:textId="77777777" w:rsidR="008B0B96" w:rsidRPr="005D4222" w:rsidRDefault="008B0B96"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209652B" w14:textId="77777777" w:rsidR="000A193B" w:rsidRPr="005D4222" w:rsidRDefault="000A193B" w:rsidP="00EB66B4">
            <w:pPr>
              <w:pStyle w:val="ProcessBullet"/>
              <w:spacing w:before="120"/>
            </w:pPr>
            <w:r w:rsidRPr="005D4222">
              <w:rPr>
                <w:i/>
                <w:iCs/>
              </w:rPr>
              <w:t>Discharges.</w:t>
            </w:r>
            <w:r w:rsidRPr="005D4222">
              <w:t xml:space="preserve"> Organizations may include denied claims to calculate observed events</w:t>
            </w:r>
            <w:r w:rsidRPr="005D4222">
              <w:rPr>
                <w:rFonts w:eastAsia="Arial"/>
              </w:rPr>
              <w:t xml:space="preserve"> </w:t>
            </w:r>
            <w:r w:rsidRPr="005D4222">
              <w:t>Only events or diagnoses that contain (or map to) codes in value sets may be used to identify visits. The value sets and logic may not be changed.</w:t>
            </w:r>
          </w:p>
          <w:p w14:paraId="5D7AF1AB" w14:textId="77777777" w:rsidR="000A193B" w:rsidRPr="005D4222" w:rsidRDefault="000A193B" w:rsidP="000A193B">
            <w:pPr>
              <w:pStyle w:val="ProcessBullet"/>
            </w:pPr>
            <w:r w:rsidRPr="005D4222">
              <w:rPr>
                <w:i/>
                <w:iCs/>
              </w:rPr>
              <w:t>Outlier.</w:t>
            </w:r>
            <w:r w:rsidRPr="005D4222">
              <w:t xml:space="preserve"> Organizations may include denied claims to calculate these events. Organizations may not adjust the outlier logic.</w:t>
            </w:r>
          </w:p>
          <w:p w14:paraId="50961F29" w14:textId="77777777" w:rsidR="000A193B" w:rsidRPr="005D4222" w:rsidRDefault="000A193B" w:rsidP="000A193B">
            <w:pPr>
              <w:pStyle w:val="ProcessBullet"/>
            </w:pPr>
            <w:r w:rsidRPr="005D4222">
              <w:rPr>
                <w:i/>
                <w:iCs/>
              </w:rPr>
              <w:t>Risk adjustment determination, risk adjustment weighting, expected count of discharges, variance.</w:t>
            </w:r>
            <w:r w:rsidRPr="005D4222">
              <w:t xml:space="preserve"> Organizations may include denied claims to calculate these events. Risk adjustment determinations, weighting and calculations of expected events logic may not be changed.</w:t>
            </w:r>
          </w:p>
          <w:p w14:paraId="2A365345" w14:textId="77777777" w:rsidR="000A193B" w:rsidRPr="005D4222" w:rsidRDefault="000A193B" w:rsidP="000A193B">
            <w:pPr>
              <w:pStyle w:val="Adjustments"/>
            </w:pPr>
            <w:r w:rsidRPr="005D4222">
              <w:t xml:space="preserve">Adjustments </w:t>
            </w:r>
            <w:r w:rsidRPr="005D4222">
              <w:rPr>
                <w:bCs/>
              </w:rPr>
              <w:t>not allowed</w:t>
            </w:r>
          </w:p>
          <w:p w14:paraId="01253CB6" w14:textId="77777777" w:rsidR="000A193B" w:rsidRPr="005D4222" w:rsidRDefault="000A193B" w:rsidP="000A193B">
            <w:pPr>
              <w:pStyle w:val="ProcessBullet"/>
            </w:pPr>
            <w:r w:rsidRPr="005D4222">
              <w:rPr>
                <w:i/>
                <w:iCs/>
              </w:rPr>
              <w:t>Product lines.</w:t>
            </w:r>
            <w:r w:rsidRPr="005D4222">
              <w:t xml:space="preserve"> Organizations may not adjust product lines.</w:t>
            </w:r>
          </w:p>
          <w:p w14:paraId="0C96BFE7" w14:textId="77777777" w:rsidR="000A193B" w:rsidRPr="005D4222" w:rsidRDefault="000A193B" w:rsidP="000A193B">
            <w:pPr>
              <w:pStyle w:val="ProcessBullet"/>
            </w:pPr>
            <w:r w:rsidRPr="005D4222">
              <w:rPr>
                <w:i/>
                <w:iCs/>
              </w:rPr>
              <w:t xml:space="preserve">Attribution. </w:t>
            </w:r>
            <w:r w:rsidRPr="005D4222">
              <w:t>Organizations are required to use enrollment criteria. </w:t>
            </w:r>
          </w:p>
          <w:p w14:paraId="0E4CB3B9" w14:textId="77777777" w:rsidR="000A193B" w:rsidRPr="005D4222" w:rsidRDefault="000A193B" w:rsidP="000A193B">
            <w:pPr>
              <w:pStyle w:val="ProcessBullet"/>
            </w:pPr>
            <w:r w:rsidRPr="005D4222">
              <w:rPr>
                <w:i/>
                <w:iCs/>
              </w:rPr>
              <w:t>Ages.</w:t>
            </w:r>
            <w:r w:rsidRPr="005D4222">
              <w:t xml:space="preserve"> The age determination dates may not be changed.</w:t>
            </w:r>
          </w:p>
          <w:p w14:paraId="2F978508" w14:textId="77777777" w:rsidR="000A193B" w:rsidRPr="005D4222" w:rsidRDefault="000A193B" w:rsidP="000A193B">
            <w:pPr>
              <w:pStyle w:val="ProcessBullet"/>
            </w:pPr>
            <w:r w:rsidRPr="005D4222">
              <w:rPr>
                <w:i/>
                <w:iCs/>
              </w:rPr>
              <w:t xml:space="preserve">Supplemental data. </w:t>
            </w:r>
            <w:r w:rsidRPr="005D4222">
              <w:t>Supplemental data may not be used to identify initial population (with the exception of the hospice exclusion) or any events.</w:t>
            </w:r>
          </w:p>
          <w:p w14:paraId="62D7444E" w14:textId="77777777" w:rsidR="000A193B" w:rsidRPr="005D4222" w:rsidRDefault="000A193B" w:rsidP="000A193B">
            <w:pPr>
              <w:pStyle w:val="ProcessBullet"/>
            </w:pPr>
            <w:r w:rsidRPr="005D4222">
              <w:rPr>
                <w:i/>
                <w:iCs/>
              </w:rPr>
              <w:t>Exclusions.</w:t>
            </w:r>
            <w:r w:rsidRPr="005D4222">
              <w:t xml:space="preserve"> The hospice exclusion must be applied. Logic may not be changed.</w:t>
            </w:r>
          </w:p>
          <w:p w14:paraId="776455F6" w14:textId="5CE3F502" w:rsidR="000A193B" w:rsidRPr="005D4222" w:rsidRDefault="000A193B" w:rsidP="000A193B">
            <w:pPr>
              <w:pStyle w:val="ECDSBody"/>
              <w:rPr>
                <w:b/>
                <w:bCs w:val="0"/>
              </w:rPr>
            </w:pPr>
            <w:r w:rsidRPr="005D4222">
              <w:rPr>
                <w:b/>
                <w:bCs w:val="0"/>
              </w:rPr>
              <w:t xml:space="preserve">The following </w:t>
            </w:r>
            <w:r w:rsidR="00BB17B7" w:rsidRPr="005D4222">
              <w:rPr>
                <w:b/>
                <w:bCs w:val="0"/>
              </w:rPr>
              <w:t>are</w:t>
            </w:r>
            <w:r w:rsidRPr="005D4222">
              <w:rPr>
                <w:b/>
                <w:bCs w:val="0"/>
              </w:rPr>
              <w:t xml:space="preserve"> the Rules for Allowable Adjustments for </w:t>
            </w:r>
            <w:r w:rsidRPr="005D4222">
              <w:rPr>
                <w:b/>
                <w:bCs w:val="0"/>
                <w:u w:val="single"/>
              </w:rPr>
              <w:t>Observed Measurement</w:t>
            </w:r>
            <w:r w:rsidRPr="005D4222">
              <w:rPr>
                <w:b/>
              </w:rPr>
              <w:t xml:space="preserve"> </w:t>
            </w:r>
            <w:r w:rsidRPr="005D4222">
              <w:rPr>
                <w:b/>
                <w:bCs w:val="0"/>
              </w:rPr>
              <w:t>of the Acute Hospital Utilization measure observed events (observed discharges).</w:t>
            </w:r>
          </w:p>
          <w:p w14:paraId="5F42BCFF" w14:textId="77777777" w:rsidR="000A193B" w:rsidRPr="005D4222" w:rsidRDefault="000A193B" w:rsidP="000A193B">
            <w:pPr>
              <w:pStyle w:val="Adjustments"/>
            </w:pPr>
            <w:r w:rsidRPr="005D4222">
              <w:t>Adjustments</w:t>
            </w:r>
            <w:r w:rsidRPr="005D4222">
              <w:rPr>
                <w:bCs/>
              </w:rPr>
              <w:t xml:space="preserve"> a</w:t>
            </w:r>
            <w:r w:rsidRPr="005D4222">
              <w:t>llowed</w:t>
            </w:r>
          </w:p>
          <w:p w14:paraId="1E595B94" w14:textId="0081549A" w:rsidR="000A193B" w:rsidRPr="005D4222" w:rsidRDefault="000A193B" w:rsidP="000A193B">
            <w:pPr>
              <w:pStyle w:val="ProcessBullet"/>
              <w:rPr>
                <w:b/>
                <w:bCs/>
                <w:color w:val="000000" w:themeColor="text1"/>
              </w:rPr>
            </w:pPr>
            <w:r w:rsidRPr="005D4222">
              <w:rPr>
                <w:i/>
                <w:iCs/>
              </w:rPr>
              <w:t xml:space="preserve">Product lines. </w:t>
            </w:r>
            <w:r w:rsidRPr="005D4222">
              <w:t>When adjusting this measure to assess for observed events only, organizations are not required to use product line criteria; product lines may be combined</w:t>
            </w:r>
            <w:r w:rsidR="00E8671F" w:rsidRPr="005D4222">
              <w:t>,</w:t>
            </w:r>
            <w:r w:rsidRPr="005D4222">
              <w:t xml:space="preserve"> and all (or no) product line criteria may be used.</w:t>
            </w:r>
          </w:p>
          <w:p w14:paraId="651B078B" w14:textId="77777777" w:rsidR="000A193B" w:rsidRPr="005D4222" w:rsidRDefault="000A193B" w:rsidP="000A193B">
            <w:pPr>
              <w:pStyle w:val="ProcessBullet"/>
              <w:rPr>
                <w:sz w:val="24"/>
              </w:rPr>
            </w:pPr>
            <w:r w:rsidRPr="005D4222">
              <w:rPr>
                <w:i/>
                <w:iCs/>
              </w:rPr>
              <w:t>Ages.</w:t>
            </w:r>
            <w:r w:rsidRPr="005D4222">
              <w:t xml:space="preserve"> The observed event age range may be expanded. Age determination dates may be changed (e.g., select, “age as of June 30”).</w:t>
            </w:r>
          </w:p>
          <w:p w14:paraId="58FD43F9" w14:textId="77777777" w:rsidR="000A193B" w:rsidRPr="005D4222" w:rsidRDefault="000A193B" w:rsidP="000A193B">
            <w:pPr>
              <w:pStyle w:val="ProcessBullet"/>
              <w:rPr>
                <w:b/>
                <w:bCs/>
                <w:color w:val="000000" w:themeColor="text1"/>
              </w:rPr>
            </w:pPr>
            <w:r w:rsidRPr="005D4222">
              <w:rPr>
                <w:i/>
                <w:iCs/>
              </w:rPr>
              <w:t>Attribution.</w:t>
            </w:r>
            <w:r w:rsidRPr="005D4222">
              <w:t xml:space="preserve"> Organizations are not required to use enrollment criteria. </w:t>
            </w:r>
          </w:p>
          <w:p w14:paraId="0725978E" w14:textId="4C6047F3" w:rsidR="000A193B" w:rsidRPr="005D4222" w:rsidRDefault="00362E76" w:rsidP="000A193B">
            <w:pPr>
              <w:pStyle w:val="ProcessBullet"/>
              <w:rPr>
                <w:b/>
                <w:bCs/>
                <w:color w:val="000000" w:themeColor="text1"/>
              </w:rPr>
            </w:pPr>
            <w:r w:rsidRPr="005D4222">
              <w:rPr>
                <w:i/>
                <w:iCs/>
              </w:rPr>
              <w:t>Benefits.</w:t>
            </w:r>
            <w:r w:rsidR="000A193B" w:rsidRPr="005D4222">
              <w:t xml:space="preserve"> Organizations are not required to use a benefit.</w:t>
            </w:r>
          </w:p>
          <w:p w14:paraId="4833CBDF" w14:textId="1759E01B" w:rsidR="000A193B" w:rsidRPr="005D4222" w:rsidRDefault="000A193B" w:rsidP="000A193B">
            <w:pPr>
              <w:pStyle w:val="ProcessBullet"/>
              <w:rPr>
                <w:b/>
                <w:bCs/>
                <w:color w:val="000000" w:themeColor="text1"/>
              </w:rPr>
            </w:pPr>
            <w:r w:rsidRPr="005D4222">
              <w:rPr>
                <w:i/>
                <w:iCs/>
              </w:rPr>
              <w:t>Other.</w:t>
            </w:r>
            <w:r w:rsidRPr="005D4222">
              <w:t xml:space="preserve"> Organizations may use additional initial population criteria to focus on a population of interest such as gender, race and ethnicity, socioeconomic, sociodemographic </w:t>
            </w:r>
            <w:r w:rsidR="00F31C68" w:rsidRPr="005D4222">
              <w:t>characteristics</w:t>
            </w:r>
            <w:r w:rsidRPr="005D4222">
              <w:t>, geographic region or another characteristic.</w:t>
            </w:r>
          </w:p>
          <w:p w14:paraId="06210714" w14:textId="77777777" w:rsidR="000A193B" w:rsidRPr="005D4222" w:rsidRDefault="000A193B" w:rsidP="000A193B">
            <w:pPr>
              <w:pStyle w:val="ProcessBullet"/>
              <w:rPr>
                <w:b/>
                <w:i/>
              </w:rPr>
            </w:pPr>
            <w:r w:rsidRPr="005D4222">
              <w:rPr>
                <w:i/>
                <w:iCs/>
              </w:rPr>
              <w:t>Measurement period adjustments.</w:t>
            </w:r>
            <w:r w:rsidRPr="005D4222">
              <w:t xml:space="preserve"> Organizations may adjust the measurement period. </w:t>
            </w:r>
          </w:p>
          <w:p w14:paraId="3C192E4F" w14:textId="77777777" w:rsidR="000A193B" w:rsidRPr="005D4222" w:rsidRDefault="000A193B" w:rsidP="000A193B">
            <w:pPr>
              <w:pStyle w:val="ProcessBullet"/>
              <w:rPr>
                <w:b/>
                <w:i/>
              </w:rPr>
            </w:pPr>
            <w:r w:rsidRPr="005D4222">
              <w:rPr>
                <w:i/>
                <w:iCs/>
              </w:rPr>
              <w:t>Exclusions.</w:t>
            </w:r>
            <w:r w:rsidRPr="005D4222">
              <w:t xml:space="preserve"> Hospice exclusion is not required. </w:t>
            </w:r>
          </w:p>
          <w:p w14:paraId="2D124E56" w14:textId="77777777" w:rsidR="000A193B" w:rsidRPr="005D4222" w:rsidRDefault="000A193B" w:rsidP="000A193B">
            <w:pPr>
              <w:pStyle w:val="ProcessBullet"/>
            </w:pPr>
            <w:r w:rsidRPr="005D4222">
              <w:rPr>
                <w:i/>
                <w:iCs/>
              </w:rPr>
              <w:t>Outlier</w:t>
            </w:r>
            <w:r w:rsidRPr="005D4222">
              <w:t xml:space="preserve">. Organizations may adjust the outlier logic. The outlier logic is not required to be applied. The outlier thresholds may be expanded or reduced. Denied claims may be used to calculate these events. </w:t>
            </w:r>
          </w:p>
          <w:p w14:paraId="09C04EFF" w14:textId="6744CDF8" w:rsidR="00EB66B4" w:rsidRPr="005D4222" w:rsidRDefault="000A193B" w:rsidP="00EB66B4">
            <w:pPr>
              <w:pStyle w:val="ProcessBullet"/>
              <w:spacing w:after="80"/>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w:t>
            </w:r>
            <w:r w:rsidR="007D4B79" w:rsidRPr="005D4222">
              <w:t>events/diagnoses</w:t>
            </w:r>
            <w:r w:rsidRPr="005D4222">
              <w:t>, numerators and exclusions that do not allow the use of telehealth.</w:t>
            </w:r>
          </w:p>
        </w:tc>
      </w:tr>
    </w:tbl>
    <w:p w14:paraId="46ACC810" w14:textId="77777777" w:rsidR="00EB66B4" w:rsidRPr="005D4222" w:rsidRDefault="00EB66B4"/>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15" w:type="dxa"/>
          <w:bottom w:w="40" w:type="dxa"/>
          <w:right w:w="15" w:type="dxa"/>
        </w:tblCellMar>
        <w:tblLook w:val="04A0" w:firstRow="1" w:lastRow="0" w:firstColumn="1" w:lastColumn="0" w:noHBand="0" w:noVBand="1"/>
      </w:tblPr>
      <w:tblGrid>
        <w:gridCol w:w="2157"/>
        <w:gridCol w:w="7557"/>
      </w:tblGrid>
      <w:tr w:rsidR="000A193B" w:rsidRPr="005D4222" w14:paraId="60F615AC" w14:textId="77777777" w:rsidTr="00363E17">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01F3B82" w14:textId="77777777" w:rsidR="000A193B" w:rsidRPr="005D4222" w:rsidRDefault="000A193B"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586A7E7" w14:textId="77777777" w:rsidR="00EB66B4" w:rsidRPr="005D4222" w:rsidRDefault="00EB66B4" w:rsidP="00EB66B4">
            <w:pPr>
              <w:pStyle w:val="ProcessBullet"/>
              <w:spacing w:after="80"/>
            </w:pPr>
            <w:r w:rsidRPr="005D4222">
              <w:rPr>
                <w:i/>
                <w:iCs/>
              </w:rPr>
              <w:t>Supplemental data.</w:t>
            </w:r>
            <w:r w:rsidRPr="005D4222">
              <w:t xml:space="preserve"> Supplemental data may be used to identify initial population and all events.</w:t>
            </w:r>
          </w:p>
          <w:p w14:paraId="600A51C8" w14:textId="77777777" w:rsidR="000A193B" w:rsidRPr="005D4222" w:rsidRDefault="000A193B" w:rsidP="000A193B">
            <w:pPr>
              <w:pStyle w:val="Adjustments"/>
            </w:pPr>
            <w:r w:rsidRPr="005D4222">
              <w:t xml:space="preserve">Adjustments </w:t>
            </w:r>
            <w:r w:rsidRPr="005D4222">
              <w:rPr>
                <w:bCs/>
              </w:rPr>
              <w:t>a</w:t>
            </w:r>
            <w:r w:rsidRPr="005D4222">
              <w:t xml:space="preserve">llowed with </w:t>
            </w:r>
            <w:r w:rsidRPr="005D4222">
              <w:rPr>
                <w:bCs/>
              </w:rPr>
              <w:t>l</w:t>
            </w:r>
            <w:r w:rsidRPr="005D4222">
              <w:t>imits</w:t>
            </w:r>
          </w:p>
          <w:p w14:paraId="793AD479" w14:textId="49752C15" w:rsidR="000A193B" w:rsidRPr="005D4222" w:rsidRDefault="000A193B" w:rsidP="00EB66B4">
            <w:pPr>
              <w:pStyle w:val="ProcessBullet"/>
              <w:tabs>
                <w:tab w:val="left" w:pos="216"/>
              </w:tabs>
              <w:spacing w:after="80"/>
            </w:pPr>
            <w:r w:rsidRPr="005D4222">
              <w:rPr>
                <w:i/>
                <w:iCs/>
              </w:rPr>
              <w:t xml:space="preserve">Discharges. </w:t>
            </w:r>
            <w:r w:rsidRPr="005D4222">
              <w:t>Organizations may include denied claims to calculate observed events.</w:t>
            </w:r>
            <w:r w:rsidRPr="005D4222">
              <w:rPr>
                <w:i/>
                <w:iCs/>
              </w:rPr>
              <w:t xml:space="preserve"> </w:t>
            </w:r>
            <w:r w:rsidRPr="005D4222">
              <w:t>Only events or diagnoses that contain (or map to) codes in value sets may be used to identify visits. The value sets and logic may not be changed.</w:t>
            </w:r>
          </w:p>
        </w:tc>
      </w:tr>
    </w:tbl>
    <w:p w14:paraId="46AFAD66" w14:textId="77777777" w:rsidR="00EB66B4" w:rsidRPr="005D4222" w:rsidRDefault="00EB66B4" w:rsidP="00FE75BF">
      <w:pPr>
        <w:pStyle w:val="ECDSBody"/>
        <w:sectPr w:rsidR="00EB66B4" w:rsidRPr="005D4222" w:rsidSect="0074514A">
          <w:headerReference w:type="default" r:id="rId206"/>
          <w:type w:val="nextColumn"/>
          <w:pgSz w:w="12240" w:h="15840" w:code="1"/>
          <w:pgMar w:top="1080" w:right="1080" w:bottom="1080" w:left="1440" w:header="720" w:footer="720" w:gutter="0"/>
          <w:cols w:space="720"/>
          <w:docGrid w:linePitch="360"/>
        </w:sectPr>
      </w:pPr>
    </w:p>
    <w:p w14:paraId="4B0498CD" w14:textId="5E5FFD3B" w:rsidR="00FE75BF" w:rsidRPr="005D4222" w:rsidRDefault="00D52710" w:rsidP="00D52710">
      <w:pPr>
        <w:pStyle w:val="MeasureTitle"/>
      </w:pPr>
      <w:bookmarkStart w:id="405" w:name="_Toc201813460"/>
      <w:r w:rsidRPr="005D4222">
        <w:lastRenderedPageBreak/>
        <w:t>Emergency Department Utilization</w:t>
      </w:r>
      <w:r w:rsidR="006B0FDD" w:rsidRPr="005D4222">
        <w:t xml:space="preserve"> (EDU)</w:t>
      </w:r>
      <w:bookmarkEnd w:id="405"/>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4467"/>
        <w:gridCol w:w="1914"/>
        <w:gridCol w:w="1176"/>
      </w:tblGrid>
      <w:tr w:rsidR="00FA4C68" w:rsidRPr="005D4222" w14:paraId="6A47E86A" w14:textId="77777777" w:rsidTr="00A53E8C">
        <w:trPr>
          <w:trHeight w:val="300"/>
        </w:trPr>
        <w:tc>
          <w:tcPr>
            <w:tcW w:w="2157" w:type="dxa"/>
            <w:shd w:val="clear" w:color="auto" w:fill="BFBFBF" w:themeFill="background1" w:themeFillShade="BF"/>
            <w:tcMar>
              <w:top w:w="0" w:type="dxa"/>
              <w:left w:w="86" w:type="dxa"/>
              <w:bottom w:w="43" w:type="dxa"/>
              <w:right w:w="86" w:type="dxa"/>
            </w:tcMar>
            <w:hideMark/>
          </w:tcPr>
          <w:p w14:paraId="4716B132" w14:textId="77777777" w:rsidR="00FA4C68" w:rsidRPr="005D4222" w:rsidRDefault="00FA4C68" w:rsidP="00A53E8C">
            <w:pPr>
              <w:pStyle w:val="ECDSMarginHead"/>
            </w:pPr>
            <w:r w:rsidRPr="005D4222">
              <w:t>Measure title</w:t>
            </w:r>
          </w:p>
        </w:tc>
        <w:tc>
          <w:tcPr>
            <w:tcW w:w="4467" w:type="dxa"/>
            <w:tcMar>
              <w:top w:w="0" w:type="dxa"/>
              <w:left w:w="86" w:type="dxa"/>
              <w:bottom w:w="43" w:type="dxa"/>
              <w:right w:w="86" w:type="dxa"/>
            </w:tcMar>
          </w:tcPr>
          <w:p w14:paraId="4C98B530" w14:textId="77777777" w:rsidR="00FA4C68" w:rsidRPr="005D4222" w:rsidRDefault="00FA4C68" w:rsidP="00A53E8C">
            <w:pPr>
              <w:pStyle w:val="ECDSBody"/>
            </w:pPr>
            <w:r w:rsidRPr="005D4222">
              <w:t>Emergency Department Utilization</w:t>
            </w:r>
          </w:p>
        </w:tc>
        <w:tc>
          <w:tcPr>
            <w:tcW w:w="1914" w:type="dxa"/>
            <w:shd w:val="clear" w:color="auto" w:fill="BFBFBF" w:themeFill="background1" w:themeFillShade="BF"/>
            <w:tcMar>
              <w:top w:w="0" w:type="dxa"/>
              <w:left w:w="86" w:type="dxa"/>
              <w:bottom w:w="43" w:type="dxa"/>
              <w:right w:w="86" w:type="dxa"/>
            </w:tcMar>
          </w:tcPr>
          <w:p w14:paraId="196BCD1A" w14:textId="77777777" w:rsidR="00FA4C68" w:rsidRPr="005D4222" w:rsidRDefault="00FA4C68" w:rsidP="00A53E8C">
            <w:pPr>
              <w:pStyle w:val="ECDSMarginHead"/>
            </w:pPr>
            <w:r w:rsidRPr="005D4222">
              <w:t>Measure ID</w:t>
            </w:r>
          </w:p>
        </w:tc>
        <w:tc>
          <w:tcPr>
            <w:tcW w:w="1176" w:type="dxa"/>
            <w:tcMar>
              <w:top w:w="0" w:type="dxa"/>
              <w:left w:w="86" w:type="dxa"/>
              <w:bottom w:w="43" w:type="dxa"/>
              <w:right w:w="86" w:type="dxa"/>
            </w:tcMar>
          </w:tcPr>
          <w:p w14:paraId="57A8300B" w14:textId="77777777" w:rsidR="00FA4C68" w:rsidRPr="005D4222" w:rsidRDefault="00FA4C68" w:rsidP="00A53E8C">
            <w:pPr>
              <w:pStyle w:val="ECDSBody"/>
            </w:pPr>
            <w:r w:rsidRPr="005D4222">
              <w:t>EDU</w:t>
            </w:r>
          </w:p>
        </w:tc>
      </w:tr>
      <w:tr w:rsidR="00FA4C68" w:rsidRPr="005D4222" w14:paraId="0BD316B6" w14:textId="77777777" w:rsidTr="00A53E8C">
        <w:trPr>
          <w:trHeight w:val="300"/>
        </w:trPr>
        <w:tc>
          <w:tcPr>
            <w:tcW w:w="2157" w:type="dxa"/>
            <w:shd w:val="clear" w:color="auto" w:fill="BFBFBF" w:themeFill="background1" w:themeFillShade="BF"/>
            <w:tcMar>
              <w:top w:w="0" w:type="dxa"/>
              <w:left w:w="86" w:type="dxa"/>
              <w:bottom w:w="43" w:type="dxa"/>
              <w:right w:w="86" w:type="dxa"/>
            </w:tcMar>
            <w:hideMark/>
          </w:tcPr>
          <w:p w14:paraId="63AC2337" w14:textId="77777777" w:rsidR="00FA4C68" w:rsidRPr="005D4222" w:rsidRDefault="00FA4C68" w:rsidP="00A53E8C">
            <w:pPr>
              <w:pStyle w:val="ECDSMarginHead"/>
            </w:pPr>
            <w:r w:rsidRPr="005D4222">
              <w:t>Description</w:t>
            </w:r>
          </w:p>
        </w:tc>
        <w:tc>
          <w:tcPr>
            <w:tcW w:w="7557" w:type="dxa"/>
            <w:gridSpan w:val="3"/>
            <w:tcMar>
              <w:top w:w="0" w:type="dxa"/>
              <w:left w:w="86" w:type="dxa"/>
              <w:bottom w:w="43" w:type="dxa"/>
              <w:right w:w="86" w:type="dxa"/>
            </w:tcMar>
          </w:tcPr>
          <w:p w14:paraId="5DCFE6B8" w14:textId="77777777" w:rsidR="00FA4C68" w:rsidRPr="005D4222" w:rsidRDefault="00FA4C68" w:rsidP="00A53E8C">
            <w:pPr>
              <w:pStyle w:val="ECDSBody"/>
            </w:pPr>
            <w:r w:rsidRPr="005D4222">
              <w:t xml:space="preserve">For people 18 years of age and older, the risk-adjusted ratio of observed-to-expected emergency department (ED) visits during the measurement period. </w:t>
            </w:r>
          </w:p>
        </w:tc>
      </w:tr>
      <w:tr w:rsidR="00FA4C68" w:rsidRPr="005D4222" w14:paraId="08DF04DB" w14:textId="77777777" w:rsidTr="00A53E8C">
        <w:trPr>
          <w:trHeight w:val="300"/>
        </w:trPr>
        <w:tc>
          <w:tcPr>
            <w:tcW w:w="2157" w:type="dxa"/>
            <w:shd w:val="clear" w:color="auto" w:fill="BFBFBF" w:themeFill="background1" w:themeFillShade="BF"/>
            <w:tcMar>
              <w:top w:w="0" w:type="dxa"/>
              <w:left w:w="86" w:type="dxa"/>
              <w:bottom w:w="43" w:type="dxa"/>
              <w:right w:w="86" w:type="dxa"/>
            </w:tcMar>
          </w:tcPr>
          <w:p w14:paraId="3C1AECE1" w14:textId="77777777" w:rsidR="00FA4C68" w:rsidRPr="005D4222" w:rsidRDefault="00FA4C68" w:rsidP="00A53E8C">
            <w:pPr>
              <w:pStyle w:val="ECDSMarginHead"/>
            </w:pPr>
            <w:r w:rsidRPr="005D4222">
              <w:t>Measurement period</w:t>
            </w:r>
          </w:p>
        </w:tc>
        <w:tc>
          <w:tcPr>
            <w:tcW w:w="7557" w:type="dxa"/>
            <w:gridSpan w:val="3"/>
            <w:tcMar>
              <w:top w:w="0" w:type="dxa"/>
              <w:left w:w="86" w:type="dxa"/>
              <w:bottom w:w="43" w:type="dxa"/>
              <w:right w:w="86" w:type="dxa"/>
            </w:tcMar>
          </w:tcPr>
          <w:p w14:paraId="6FFE4662" w14:textId="77777777" w:rsidR="00FA4C68" w:rsidRPr="005D4222" w:rsidRDefault="00FA4C68" w:rsidP="00A53E8C">
            <w:pPr>
              <w:pStyle w:val="ECDSBody"/>
              <w:rPr>
                <w:szCs w:val="21"/>
              </w:rPr>
            </w:pPr>
            <w:r w:rsidRPr="005D4222">
              <w:rPr>
                <w:szCs w:val="21"/>
              </w:rPr>
              <w:t>January 1–December 31.</w:t>
            </w:r>
          </w:p>
        </w:tc>
      </w:tr>
      <w:tr w:rsidR="00FA4C68" w:rsidRPr="005D4222" w14:paraId="3A9B4F64" w14:textId="77777777" w:rsidTr="00A53E8C">
        <w:trPr>
          <w:trHeight w:val="300"/>
        </w:trPr>
        <w:tc>
          <w:tcPr>
            <w:tcW w:w="2157" w:type="dxa"/>
            <w:shd w:val="clear" w:color="auto" w:fill="BFBFBF" w:themeFill="background1" w:themeFillShade="BF"/>
            <w:tcMar>
              <w:top w:w="0" w:type="dxa"/>
              <w:left w:w="86" w:type="dxa"/>
              <w:bottom w:w="43" w:type="dxa"/>
              <w:right w:w="86" w:type="dxa"/>
            </w:tcMar>
            <w:hideMark/>
          </w:tcPr>
          <w:p w14:paraId="6ECA04B8" w14:textId="77777777" w:rsidR="00FA4C68" w:rsidRPr="005D4222" w:rsidRDefault="00FA4C68" w:rsidP="00A53E8C">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57240BC4" w14:textId="77777777" w:rsidR="00FA4C68" w:rsidRPr="005D4222" w:rsidRDefault="00FA4C68" w:rsidP="00A53E8C">
            <w:pPr>
              <w:pStyle w:val="ECDSBody"/>
            </w:pPr>
            <w:r w:rsidRPr="005D4222">
              <w:t xml:space="preserve">Refer to the complete copyright and disclaimer information at the front of the publication. </w:t>
            </w:r>
          </w:p>
          <w:p w14:paraId="1CE44109" w14:textId="77777777" w:rsidR="00FA4C68" w:rsidRPr="005D4222" w:rsidRDefault="00FA4C68" w:rsidP="00A53E8C">
            <w:pPr>
              <w:pStyle w:val="ECDSBody"/>
              <w:spacing w:before="80"/>
              <w:rPr>
                <w:rFonts w:eastAsia="Arial"/>
              </w:rPr>
            </w:pPr>
            <w:r w:rsidRPr="005D4222">
              <w:rPr>
                <w:rFonts w:eastAsia="Arial"/>
              </w:rPr>
              <w:t xml:space="preserve">NCQA website: </w:t>
            </w:r>
            <w:r w:rsidRPr="005D4222">
              <w:rPr>
                <w:rFonts w:eastAsia="Arial"/>
                <w:u w:val="single"/>
              </w:rPr>
              <w:t>www.ncqa.org</w:t>
            </w:r>
            <w:r w:rsidRPr="005D4222">
              <w:rPr>
                <w:rFonts w:eastAsia="Arial"/>
              </w:rPr>
              <w:t>.</w:t>
            </w:r>
          </w:p>
          <w:p w14:paraId="7B9FC025" w14:textId="77777777" w:rsidR="00FA4C68" w:rsidRPr="005D4222" w:rsidRDefault="00FA4C68" w:rsidP="00A53E8C">
            <w:pPr>
              <w:pStyle w:val="ECDSBody"/>
              <w:spacing w:before="80"/>
              <w:rPr>
                <w:sz w:val="18"/>
                <w:szCs w:val="18"/>
              </w:rPr>
            </w:pPr>
            <w:r w:rsidRPr="005D4222">
              <w:rPr>
                <w:rFonts w:eastAsia="Arial"/>
              </w:rPr>
              <w:t>Submit policy clarification support questions via My NCQA (</w:t>
            </w:r>
            <w:r w:rsidRPr="005D4222">
              <w:rPr>
                <w:rFonts w:eastAsia="Arial"/>
                <w:u w:val="single"/>
              </w:rPr>
              <w:t>https://my.ncqa.org</w:t>
            </w:r>
            <w:r w:rsidRPr="005D4222">
              <w:rPr>
                <w:rFonts w:eastAsia="Arial"/>
              </w:rPr>
              <w:t>).</w:t>
            </w:r>
          </w:p>
        </w:tc>
      </w:tr>
      <w:tr w:rsidR="00FA4C68" w:rsidRPr="005D4222" w14:paraId="767BB1D9" w14:textId="77777777" w:rsidTr="00A53E8C">
        <w:trPr>
          <w:trHeight w:val="655"/>
        </w:trPr>
        <w:tc>
          <w:tcPr>
            <w:tcW w:w="2157" w:type="dxa"/>
            <w:shd w:val="clear" w:color="auto" w:fill="BFBFBF" w:themeFill="background1" w:themeFillShade="BF"/>
            <w:tcMar>
              <w:top w:w="0" w:type="dxa"/>
              <w:left w:w="86" w:type="dxa"/>
              <w:bottom w:w="43" w:type="dxa"/>
              <w:right w:w="86" w:type="dxa"/>
            </w:tcMar>
            <w:hideMark/>
          </w:tcPr>
          <w:p w14:paraId="73418438" w14:textId="77777777" w:rsidR="00FA4C68" w:rsidRPr="005D4222" w:rsidRDefault="00FA4C68" w:rsidP="00A53E8C">
            <w:pPr>
              <w:pStyle w:val="ECDSMarginHead"/>
            </w:pPr>
            <w:r w:rsidRPr="005D4222">
              <w:t>Clinical recommendation statement/ rationale</w:t>
            </w:r>
          </w:p>
        </w:tc>
        <w:tc>
          <w:tcPr>
            <w:tcW w:w="7557" w:type="dxa"/>
            <w:gridSpan w:val="3"/>
            <w:tcMar>
              <w:top w:w="0" w:type="dxa"/>
              <w:left w:w="86" w:type="dxa"/>
              <w:bottom w:w="43" w:type="dxa"/>
              <w:right w:w="86" w:type="dxa"/>
            </w:tcMar>
          </w:tcPr>
          <w:p w14:paraId="337A50D4" w14:textId="77777777" w:rsidR="00FA4C68" w:rsidRPr="005D4222" w:rsidRDefault="00FA4C68" w:rsidP="00A53E8C">
            <w:pPr>
              <w:pStyle w:val="ECDSBody"/>
              <w:rPr>
                <w:szCs w:val="21"/>
                <w:vertAlign w:val="superscript"/>
              </w:rPr>
            </w:pPr>
            <w:r w:rsidRPr="005D4222">
              <w:t>Each year, approximately 1 out of 5 U.S. adults uses the ED for health care, and utilization rates have trended upward in recent years. Studies have estimated that up to 60% of all ED visits are potentially preventable or nonurgent, leading to overcrowding, increased wait times and reduction in the ability of hospital staff to provide efficient, quality care to patients with truly emergent conditions. To reduce avoidable ED visits, payers can provide appropriate disease management services, access to primary care clinics and care coordination.</w:t>
            </w:r>
          </w:p>
        </w:tc>
      </w:tr>
      <w:tr w:rsidR="00FA4C68" w:rsidRPr="005D4222" w14:paraId="1EB0BCFC" w14:textId="77777777" w:rsidTr="00A53E8C">
        <w:trPr>
          <w:trHeight w:val="300"/>
        </w:trPr>
        <w:tc>
          <w:tcPr>
            <w:tcW w:w="2157" w:type="dxa"/>
            <w:shd w:val="clear" w:color="auto" w:fill="BFBFBF" w:themeFill="background1" w:themeFillShade="BF"/>
            <w:tcMar>
              <w:top w:w="0" w:type="dxa"/>
              <w:left w:w="86" w:type="dxa"/>
              <w:bottom w:w="43" w:type="dxa"/>
              <w:right w:w="86" w:type="dxa"/>
            </w:tcMar>
          </w:tcPr>
          <w:p w14:paraId="0262D410" w14:textId="77777777" w:rsidR="00FA4C68" w:rsidRPr="005D4222" w:rsidRDefault="00FA4C68" w:rsidP="00A53E8C">
            <w:pPr>
              <w:pStyle w:val="ECDSMarginHead"/>
            </w:pPr>
            <w:r w:rsidRPr="005D4222">
              <w:t>Citations</w:t>
            </w:r>
          </w:p>
        </w:tc>
        <w:tc>
          <w:tcPr>
            <w:tcW w:w="7557" w:type="dxa"/>
            <w:gridSpan w:val="3"/>
            <w:tcMar>
              <w:top w:w="0" w:type="dxa"/>
              <w:left w:w="86" w:type="dxa"/>
              <w:bottom w:w="43" w:type="dxa"/>
              <w:right w:w="86" w:type="dxa"/>
            </w:tcMar>
          </w:tcPr>
          <w:p w14:paraId="246E119A" w14:textId="77777777" w:rsidR="00FA4C68" w:rsidRPr="005D4222" w:rsidRDefault="00FA4C68" w:rsidP="00A53E8C">
            <w:pPr>
              <w:pStyle w:val="ECDSBody"/>
            </w:pPr>
            <w:r w:rsidRPr="005D4222">
              <w:t>Gindi, R.M., L.I. Black, &amp; R.A. Cohen. 2016. “Reasons for Emergency Room Use among U.S. Adults Aged 18–64: National Health Interview Survey, 2013–2014.” National Health Statistics Reports; No 90. Hyattsville, MD: National Center for Health Statistics.</w:t>
            </w:r>
          </w:p>
          <w:p w14:paraId="2DA605BC" w14:textId="77777777" w:rsidR="00FA4C68" w:rsidRPr="005D4222" w:rsidRDefault="00FA4C68" w:rsidP="00A53E8C">
            <w:pPr>
              <w:pStyle w:val="ECDSBody"/>
            </w:pPr>
            <w:r w:rsidRPr="005D4222">
              <w:t xml:space="preserve">Sun, R., Z. Karaca, &amp; S. Wong. 2018. “Trends in Hospital Emergency Department Visits by Age and Payer, 2006–2015.” HCUP Statistical Brief #238. Agency for Healthcare Research and Quality: Rockville, MD. </w:t>
            </w:r>
            <w:r w:rsidRPr="005D4222">
              <w:br/>
            </w:r>
            <w:r w:rsidRPr="005D4222">
              <w:rPr>
                <w:rStyle w:val="Hyperlink"/>
                <w:color w:val="auto"/>
                <w:u w:val="none"/>
              </w:rPr>
              <w:t>https://www.hcup-us.ahrq.gov/reports/statbriefs/sb238-Emergency-Department-Age-Payer-2006-2015.pdf</w:t>
            </w:r>
            <w:r w:rsidRPr="005D4222">
              <w:t xml:space="preserve"> </w:t>
            </w:r>
          </w:p>
          <w:p w14:paraId="5536BE09" w14:textId="77777777" w:rsidR="00FA4C68" w:rsidRPr="005D4222" w:rsidRDefault="00FA4C68" w:rsidP="00A53E8C">
            <w:pPr>
              <w:pStyle w:val="ECDSBody"/>
            </w:pPr>
            <w:r w:rsidRPr="004771F6">
              <w:rPr>
                <w:lang w:val="fr-FR"/>
              </w:rPr>
              <w:t xml:space="preserve">Hu, T., K. Mortensen, &amp; J. Chen. 2018. </w:t>
            </w:r>
            <w:r w:rsidRPr="005D4222">
              <w:t xml:space="preserve">“Medicaid Managed Care in Florida and Racial and Ethnic Disparities in Preventable Emergency Department Visits.” </w:t>
            </w:r>
            <w:r w:rsidRPr="005D4222">
              <w:rPr>
                <w:i/>
                <w:iCs/>
              </w:rPr>
              <w:t>Medical Care</w:t>
            </w:r>
            <w:r w:rsidRPr="005D4222">
              <w:t xml:space="preserve"> 56: 477–83.</w:t>
            </w:r>
          </w:p>
          <w:p w14:paraId="302536B6" w14:textId="77777777" w:rsidR="00FA4C68" w:rsidRPr="005D4222" w:rsidRDefault="00FA4C68" w:rsidP="00A53E8C">
            <w:pPr>
              <w:pStyle w:val="ECDSBody"/>
            </w:pPr>
            <w:r w:rsidRPr="005D4222">
              <w:t xml:space="preserve">Johnson, P.J., N. Ghildayal, A.C. Ward, B.C. Westgard, L.L. Boland, &amp; J.S. Hokanson. 2012. “Disparities in Potentially Avoidable Emergency Department (ED) Care: ED Visits for Ambulatory Care Sensitive Conditions.” </w:t>
            </w:r>
            <w:r w:rsidRPr="005D4222">
              <w:rPr>
                <w:i/>
                <w:iCs/>
              </w:rPr>
              <w:t>Medical Care</w:t>
            </w:r>
            <w:r w:rsidRPr="005D4222">
              <w:t xml:space="preserve"> 50(12):1020–8.</w:t>
            </w:r>
          </w:p>
        </w:tc>
      </w:tr>
      <w:tr w:rsidR="00FA4C68" w:rsidRPr="005D4222" w14:paraId="540F32A8" w14:textId="77777777" w:rsidTr="00A53E8C">
        <w:trPr>
          <w:trHeight w:val="300"/>
        </w:trPr>
        <w:tc>
          <w:tcPr>
            <w:tcW w:w="9714"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7D4ED35B" w14:textId="77777777" w:rsidR="00FA4C68" w:rsidRPr="005D4222" w:rsidRDefault="00FA4C68" w:rsidP="00A53E8C">
            <w:pPr>
              <w:pStyle w:val="ECDSMarginHead"/>
            </w:pPr>
            <w:r w:rsidRPr="005D4222">
              <w:t>Characteristics</w:t>
            </w:r>
          </w:p>
        </w:tc>
      </w:tr>
      <w:tr w:rsidR="00FA4C68" w:rsidRPr="005D4222" w14:paraId="36D0570A" w14:textId="77777777" w:rsidTr="00A53E8C">
        <w:trPr>
          <w:trHeight w:val="300"/>
        </w:trPr>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661746BF" w14:textId="77777777" w:rsidR="00FA4C68" w:rsidRPr="005D4222" w:rsidRDefault="00FA4C68" w:rsidP="00D96BDE">
            <w:pPr>
              <w:pStyle w:val="ECDSSubhead"/>
            </w:pPr>
            <w:r w:rsidRPr="005D4222">
              <w:t>Scoring</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260206EC" w14:textId="77777777" w:rsidR="00FA4C68" w:rsidRPr="005D4222" w:rsidRDefault="00FA4C68" w:rsidP="00A53E8C">
            <w:pPr>
              <w:pStyle w:val="ECDSBody"/>
              <w:spacing w:after="0"/>
            </w:pPr>
            <w:r w:rsidRPr="005D4222">
              <w:t>Ratio.</w:t>
            </w:r>
          </w:p>
        </w:tc>
      </w:tr>
      <w:tr w:rsidR="00FA4C68" w:rsidRPr="005D4222" w14:paraId="77550AFE" w14:textId="77777777" w:rsidTr="00A53E8C">
        <w:trPr>
          <w:trHeight w:val="300"/>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71A7E329" w14:textId="70B55D6D" w:rsidR="00FA4C68" w:rsidRPr="005D4222" w:rsidRDefault="00B51CDC" w:rsidP="00D96BDE">
            <w:pPr>
              <w:pStyle w:val="ECDSSubhead"/>
            </w:pPr>
            <w:r w:rsidRPr="005D4222">
              <w:t>Product lines</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50C29581" w14:textId="77777777" w:rsidR="00FA4C68" w:rsidRPr="005D4222" w:rsidRDefault="00FA4C68" w:rsidP="00A53E8C">
            <w:pPr>
              <w:pStyle w:val="ProcessBullet"/>
              <w:spacing w:before="120"/>
            </w:pPr>
            <w:r w:rsidRPr="005D4222">
              <w:t xml:space="preserve">Commercial. </w:t>
            </w:r>
          </w:p>
          <w:p w14:paraId="53EE4835" w14:textId="77777777" w:rsidR="00FA4C68" w:rsidRPr="005D4222" w:rsidRDefault="00FA4C68" w:rsidP="00A53E8C">
            <w:pPr>
              <w:pStyle w:val="ProcessBullet"/>
              <w:spacing w:after="80"/>
            </w:pPr>
            <w:r w:rsidRPr="005D4222">
              <w:t>Medicare.</w:t>
            </w:r>
          </w:p>
        </w:tc>
      </w:tr>
    </w:tbl>
    <w:p w14:paraId="7FA615E9" w14:textId="77777777" w:rsidR="00FA4C68" w:rsidRPr="005D4222" w:rsidRDefault="00FA4C68" w:rsidP="00FA4C68">
      <w:pPr>
        <w:spacing w:after="160" w:line="259" w:lineRule="auto"/>
      </w:pPr>
      <w:r w:rsidRPr="005D4222">
        <w:br w:type="page"/>
      </w:r>
    </w:p>
    <w:tbl>
      <w:tblPr>
        <w:tblW w:w="9714" w:type="dxa"/>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2160"/>
        <w:gridCol w:w="5397"/>
      </w:tblGrid>
      <w:tr w:rsidR="006242AD" w:rsidRPr="005D4222" w14:paraId="46905195" w14:textId="77777777" w:rsidTr="00A53E8C">
        <w:trPr>
          <w:trHeight w:val="300"/>
        </w:trPr>
        <w:tc>
          <w:tcPr>
            <w:tcW w:w="2157" w:type="dxa"/>
            <w:vMerge w:val="restart"/>
            <w:tcBorders>
              <w:top w:val="single" w:sz="4" w:space="0" w:color="auto"/>
              <w:left w:val="single" w:sz="4" w:space="0" w:color="auto"/>
              <w:right w:val="single" w:sz="4" w:space="0" w:color="auto"/>
            </w:tcBorders>
            <w:tcMar>
              <w:top w:w="0" w:type="dxa"/>
              <w:left w:w="86" w:type="dxa"/>
              <w:bottom w:w="43" w:type="dxa"/>
              <w:right w:w="86" w:type="dxa"/>
            </w:tcMar>
          </w:tcPr>
          <w:p w14:paraId="21A38BA0" w14:textId="04815FDC" w:rsidR="006242AD" w:rsidRPr="005D4222" w:rsidRDefault="00B51CDC" w:rsidP="00A53E8C">
            <w:pPr>
              <w:pStyle w:val="ECDSMarginSubhead"/>
            </w:pPr>
            <w:r w:rsidRPr="005D4222">
              <w:lastRenderedPageBreak/>
              <w:t>Stratifications</w:t>
            </w:r>
            <w:r w:rsidR="006242AD" w:rsidRPr="005D4222">
              <w:t xml:space="preserve"> </w:t>
            </w:r>
          </w:p>
        </w:tc>
        <w:tc>
          <w:tcPr>
            <w:tcW w:w="7557" w:type="dxa"/>
            <w:gridSpan w:val="2"/>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1A3035E5" w14:textId="77777777" w:rsidR="006242AD" w:rsidRPr="005D4222" w:rsidRDefault="006242AD" w:rsidP="00A53E8C">
            <w:pPr>
              <w:pStyle w:val="ECDSBody"/>
              <w:spacing w:after="0"/>
            </w:pPr>
            <w:r w:rsidRPr="005D4222">
              <w:t xml:space="preserve">Ages </w:t>
            </w:r>
            <w:r w:rsidRPr="005D4222">
              <w:rPr>
                <w:rFonts w:eastAsia="Arial,Arial,Arial,Arial,Arial,A"/>
              </w:rPr>
              <w:t>as of the last day of the measurement period</w:t>
            </w:r>
            <w:r w:rsidRPr="005D4222">
              <w:t>.</w:t>
            </w:r>
          </w:p>
        </w:tc>
      </w:tr>
      <w:tr w:rsidR="006242AD" w:rsidRPr="005D4222" w14:paraId="39FE59D2" w14:textId="77777777" w:rsidTr="00A53E8C">
        <w:trPr>
          <w:trHeight w:val="300"/>
        </w:trPr>
        <w:tc>
          <w:tcPr>
            <w:tcW w:w="2157" w:type="dxa"/>
            <w:vMerge/>
            <w:tcBorders>
              <w:left w:val="single" w:sz="4" w:space="0" w:color="auto"/>
              <w:bottom w:val="nil"/>
              <w:right w:val="single" w:sz="4" w:space="0" w:color="auto"/>
            </w:tcBorders>
            <w:tcMar>
              <w:top w:w="0" w:type="dxa"/>
              <w:left w:w="86" w:type="dxa"/>
              <w:bottom w:w="43" w:type="dxa"/>
              <w:right w:w="86" w:type="dxa"/>
            </w:tcMar>
          </w:tcPr>
          <w:p w14:paraId="29968E3B" w14:textId="77777777" w:rsidR="006242AD" w:rsidRPr="005D4222" w:rsidRDefault="006242AD" w:rsidP="00A53E8C">
            <w:pPr>
              <w:pStyle w:val="ECDSMarginSubhead"/>
            </w:pPr>
          </w:p>
        </w:tc>
        <w:tc>
          <w:tcPr>
            <w:tcW w:w="2160" w:type="dxa"/>
            <w:tcBorders>
              <w:top w:val="nil"/>
              <w:left w:val="single" w:sz="4" w:space="0" w:color="auto"/>
              <w:bottom w:val="nil"/>
              <w:right w:val="nil"/>
            </w:tcBorders>
            <w:tcMar>
              <w:top w:w="0" w:type="dxa"/>
              <w:left w:w="86" w:type="dxa"/>
              <w:bottom w:w="43" w:type="dxa"/>
              <w:right w:w="86" w:type="dxa"/>
            </w:tcMar>
          </w:tcPr>
          <w:p w14:paraId="0FDB43C1" w14:textId="77777777" w:rsidR="006242AD" w:rsidRPr="005D4222" w:rsidRDefault="006242AD" w:rsidP="00FA4C68">
            <w:pPr>
              <w:pStyle w:val="Bullet"/>
              <w:numPr>
                <w:ilvl w:val="0"/>
                <w:numId w:val="4"/>
              </w:numPr>
              <w:tabs>
                <w:tab w:val="left" w:pos="360"/>
                <w:tab w:val="left" w:pos="576"/>
              </w:tabs>
              <w:spacing w:before="0"/>
              <w:ind w:left="576" w:hanging="216"/>
              <w:rPr>
                <w:rFonts w:eastAsia="Arial,Arial,Arial,Arial,Arial,A"/>
              </w:rPr>
            </w:pPr>
            <w:r w:rsidRPr="005D4222">
              <w:rPr>
                <w:rFonts w:eastAsia="Arial,Arial,Arial,Arial,Arial,A"/>
              </w:rPr>
              <w:t>18–44 years.</w:t>
            </w:r>
          </w:p>
          <w:p w14:paraId="69C3002D" w14:textId="77777777" w:rsidR="006242AD" w:rsidRPr="005D4222" w:rsidRDefault="006242AD" w:rsidP="00FA4C68">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45–54 years.</w:t>
            </w:r>
          </w:p>
          <w:p w14:paraId="78EABFF8" w14:textId="77777777" w:rsidR="006242AD" w:rsidRPr="005D4222" w:rsidRDefault="006242AD" w:rsidP="00FA4C68">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55–64 years.</w:t>
            </w:r>
          </w:p>
          <w:p w14:paraId="60D39670" w14:textId="77777777" w:rsidR="006242AD" w:rsidRPr="005D4222" w:rsidRDefault="006242AD" w:rsidP="00FA4C68">
            <w:pPr>
              <w:pStyle w:val="Bullet"/>
              <w:numPr>
                <w:ilvl w:val="0"/>
                <w:numId w:val="4"/>
              </w:numPr>
              <w:tabs>
                <w:tab w:val="left" w:pos="360"/>
                <w:tab w:val="left" w:pos="576"/>
              </w:tabs>
              <w:ind w:left="576" w:hanging="216"/>
            </w:pPr>
            <w:r w:rsidRPr="005D4222">
              <w:rPr>
                <w:rFonts w:eastAsia="Arial,Arial,Arial,Arial,Arial,A"/>
              </w:rPr>
              <w:t>65–74 years.</w:t>
            </w:r>
          </w:p>
        </w:tc>
        <w:tc>
          <w:tcPr>
            <w:tcW w:w="5397" w:type="dxa"/>
            <w:tcBorders>
              <w:top w:val="nil"/>
              <w:left w:val="nil"/>
              <w:bottom w:val="nil"/>
              <w:right w:val="single" w:sz="4" w:space="0" w:color="auto"/>
            </w:tcBorders>
          </w:tcPr>
          <w:p w14:paraId="303F1E94" w14:textId="77777777" w:rsidR="006242AD" w:rsidRPr="005D4222" w:rsidRDefault="006242AD" w:rsidP="00FA4C68">
            <w:pPr>
              <w:pStyle w:val="Bullet"/>
              <w:numPr>
                <w:ilvl w:val="0"/>
                <w:numId w:val="4"/>
              </w:numPr>
              <w:tabs>
                <w:tab w:val="left" w:pos="360"/>
                <w:tab w:val="left" w:pos="576"/>
              </w:tabs>
              <w:spacing w:before="0"/>
              <w:ind w:left="576" w:hanging="216"/>
              <w:rPr>
                <w:rFonts w:eastAsia="Arial,Arial,Arial,Arial,Arial,A"/>
              </w:rPr>
            </w:pPr>
            <w:r w:rsidRPr="005D4222">
              <w:rPr>
                <w:rFonts w:eastAsia="Arial,Arial,Arial,Arial,Arial,A"/>
              </w:rPr>
              <w:t>75–84 years.</w:t>
            </w:r>
          </w:p>
          <w:p w14:paraId="0084F015" w14:textId="77777777" w:rsidR="006242AD" w:rsidRPr="005D4222" w:rsidRDefault="006242AD" w:rsidP="00FA4C68">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18–64 years.</w:t>
            </w:r>
          </w:p>
          <w:p w14:paraId="06FB00B7" w14:textId="77777777" w:rsidR="006242AD" w:rsidRPr="005D4222" w:rsidRDefault="006242AD" w:rsidP="00FA4C68">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65+ years.</w:t>
            </w:r>
          </w:p>
          <w:p w14:paraId="665730F7" w14:textId="77777777" w:rsidR="006242AD" w:rsidRPr="005D4222" w:rsidRDefault="006242AD" w:rsidP="00FA4C68">
            <w:pPr>
              <w:pStyle w:val="Bullet"/>
              <w:numPr>
                <w:ilvl w:val="0"/>
                <w:numId w:val="4"/>
              </w:numPr>
              <w:tabs>
                <w:tab w:val="left" w:pos="360"/>
                <w:tab w:val="left" w:pos="576"/>
              </w:tabs>
              <w:ind w:left="576" w:hanging="216"/>
            </w:pPr>
            <w:r w:rsidRPr="005D4222">
              <w:rPr>
                <w:rFonts w:eastAsia="Arial,Arial,Arial,Arial,Arial,A"/>
              </w:rPr>
              <w:t>85+ years.</w:t>
            </w:r>
          </w:p>
        </w:tc>
      </w:tr>
      <w:tr w:rsidR="00FA4C68" w:rsidRPr="005D4222" w14:paraId="08094823" w14:textId="77777777" w:rsidTr="00A53E8C">
        <w:trPr>
          <w:trHeight w:val="633"/>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6DC8A69A" w14:textId="77777777" w:rsidR="00FA4C68" w:rsidRPr="005D4222" w:rsidRDefault="00FA4C68" w:rsidP="00A53E8C">
            <w:pPr>
              <w:pStyle w:val="ECDSMarginSubhead"/>
            </w:pPr>
            <w:r w:rsidRPr="005D4222">
              <w:t>Guidance</w:t>
            </w:r>
          </w:p>
        </w:tc>
        <w:tc>
          <w:tcPr>
            <w:tcW w:w="7557" w:type="dxa"/>
            <w:gridSpan w:val="2"/>
            <w:tcBorders>
              <w:top w:val="nil"/>
              <w:left w:val="single" w:sz="4" w:space="0" w:color="auto"/>
              <w:bottom w:val="single" w:sz="4" w:space="0" w:color="auto"/>
              <w:right w:val="single" w:sz="4" w:space="0" w:color="auto"/>
            </w:tcBorders>
            <w:tcMar>
              <w:top w:w="0" w:type="dxa"/>
              <w:left w:w="86" w:type="dxa"/>
              <w:bottom w:w="43" w:type="dxa"/>
              <w:right w:w="86" w:type="dxa"/>
            </w:tcMar>
          </w:tcPr>
          <w:p w14:paraId="45AC4F91" w14:textId="77777777" w:rsidR="00FA4C68" w:rsidRPr="005D4222" w:rsidRDefault="00FA4C68" w:rsidP="00A53E8C">
            <w:pPr>
              <w:pStyle w:val="ECDSBody"/>
              <w:rPr>
                <w:b/>
                <w:bCs w:val="0"/>
                <w:i/>
                <w:iCs/>
              </w:rPr>
            </w:pPr>
            <w:r w:rsidRPr="005D4222">
              <w:rPr>
                <w:b/>
                <w:bCs w:val="0"/>
                <w:i/>
                <w:iCs/>
              </w:rPr>
              <w:t>Risk Adjustment Measure Specific Guidance</w:t>
            </w:r>
          </w:p>
          <w:p w14:paraId="7E753D9F" w14:textId="77777777" w:rsidR="00FA4C68" w:rsidRPr="005D4222" w:rsidRDefault="00FA4C68" w:rsidP="00A53E8C">
            <w:pPr>
              <w:pStyle w:val="ECDSBody"/>
              <w:rPr>
                <w:rFonts w:ascii="Segoe UI" w:hAnsi="Segoe UI" w:cs="Segoe UI"/>
                <w:sz w:val="18"/>
                <w:szCs w:val="18"/>
              </w:rPr>
            </w:pPr>
            <w:r w:rsidRPr="005D4222">
              <w:rPr>
                <w:b/>
                <w:bCs w:val="0"/>
              </w:rPr>
              <w:t xml:space="preserve">Observation stays: </w:t>
            </w:r>
            <w:r w:rsidRPr="005D4222">
              <w:t>For observation stays (</w:t>
            </w:r>
            <w:r w:rsidRPr="005D4222">
              <w:rPr>
                <w:u w:val="single"/>
              </w:rPr>
              <w:t>Observation Stay Value Set</w:t>
            </w:r>
            <w:r w:rsidRPr="005D4222">
              <w:t>) that do not have a recorded admission or discharge date, set the admission date to the earliest date of service on the claim and set the discharge date to the last date of service on the claim. </w:t>
            </w:r>
          </w:p>
          <w:p w14:paraId="72C9F5B1" w14:textId="77777777" w:rsidR="00FA4C68" w:rsidRPr="005D4222" w:rsidRDefault="00FA4C68" w:rsidP="00A53E8C">
            <w:pPr>
              <w:pStyle w:val="ECDSBody"/>
              <w:rPr>
                <w:rFonts w:ascii="Segoe UI" w:hAnsi="Segoe UI" w:cs="Segoe UI"/>
                <w:b/>
                <w:bCs w:val="0"/>
                <w:sz w:val="18"/>
                <w:szCs w:val="18"/>
              </w:rPr>
            </w:pPr>
            <w:r w:rsidRPr="005D4222">
              <w:rPr>
                <w:b/>
                <w:bCs w:val="0"/>
              </w:rPr>
              <w:t xml:space="preserve">Which services count? </w:t>
            </w:r>
          </w:p>
          <w:p w14:paraId="48E38E19" w14:textId="77777777" w:rsidR="00FA4C68" w:rsidRPr="005D4222" w:rsidRDefault="00FA4C68" w:rsidP="00A53E8C">
            <w:pPr>
              <w:pStyle w:val="ProcessBullet"/>
            </w:pPr>
            <w:r w:rsidRPr="005D4222">
              <w:t>Use all paid, suspended, pending and denied claims when applying risk adjustment comorbidity category determination and the hospice exclusion. </w:t>
            </w:r>
          </w:p>
          <w:p w14:paraId="5CCF263A" w14:textId="77777777" w:rsidR="00FA4C68" w:rsidRPr="005D4222" w:rsidRDefault="00FA4C68" w:rsidP="00A53E8C">
            <w:pPr>
              <w:pStyle w:val="ProcessBullet"/>
            </w:pPr>
            <w:r w:rsidRPr="005D4222">
              <w:t>Do not include denied claims when identifying all other events (e.g., observed events); only report claims the organization paid for or expects to pay for (i.e., claims incurred but not paid), with the exception below. </w:t>
            </w:r>
          </w:p>
          <w:p w14:paraId="11FA7469" w14:textId="77777777" w:rsidR="00FA4C68" w:rsidRPr="005D4222" w:rsidRDefault="00FA4C68" w:rsidP="00A53E8C">
            <w:pPr>
              <w:pStyle w:val="ProcessBullet"/>
            </w:pPr>
            <w:r w:rsidRPr="005D4222">
              <w:t xml:space="preserve">When confirming that an ED visit does not result in an inpatient or observation stay, all inpatient and observation stays must be considered, regardless of payment status (paid, suspended, pending, denied). </w:t>
            </w:r>
          </w:p>
          <w:p w14:paraId="5050A4DA" w14:textId="77777777" w:rsidR="00FA4C68" w:rsidRPr="005D4222" w:rsidRDefault="00FA4C68" w:rsidP="00A53E8C">
            <w:pPr>
              <w:pStyle w:val="Bullet"/>
              <w:numPr>
                <w:ilvl w:val="0"/>
                <w:numId w:val="0"/>
              </w:numPr>
              <w:ind w:left="216"/>
              <w:rPr>
                <w:rFonts w:ascii="Segoe UI" w:hAnsi="Segoe UI" w:cs="Segoe UI"/>
                <w:sz w:val="18"/>
                <w:szCs w:val="18"/>
              </w:rPr>
            </w:pPr>
            <w:r w:rsidRPr="005D4222">
              <w:rPr>
                <w:i/>
                <w:iCs/>
              </w:rPr>
              <w:t>For example,</w:t>
            </w:r>
            <w:r w:rsidRPr="005D4222">
              <w:t xml:space="preserve"> if an ED visit is paid but an inpatient stay is denied, the ED visit resulted in an inpatient stay and is not included in the Emergency Department Utilization measure when identifying observed ED visits.</w:t>
            </w:r>
          </w:p>
          <w:p w14:paraId="40D12EB0" w14:textId="77777777" w:rsidR="00FA4C68" w:rsidRPr="005D4222" w:rsidRDefault="00FA4C68" w:rsidP="00A53E8C">
            <w:pPr>
              <w:pStyle w:val="ECDSBody"/>
              <w:rPr>
                <w:rFonts w:ascii="Segoe UI" w:hAnsi="Segoe UI" w:cs="Segoe UI"/>
                <w:sz w:val="18"/>
                <w:szCs w:val="18"/>
              </w:rPr>
            </w:pPr>
            <w:r w:rsidRPr="005D4222">
              <w:rPr>
                <w:b/>
                <w:bCs w:val="0"/>
              </w:rPr>
              <w:t>Supplemental data exceptions:</w:t>
            </w:r>
            <w:r w:rsidRPr="005D4222">
              <w:t xml:space="preserve"> Supplemental data may only be used for the hospice exclusion.</w:t>
            </w:r>
          </w:p>
          <w:p w14:paraId="33F8FA91" w14:textId="77777777" w:rsidR="00FA4C68" w:rsidRPr="005D4222" w:rsidRDefault="00FA4C68" w:rsidP="00A53E8C">
            <w:pPr>
              <w:pStyle w:val="ECDSBody"/>
            </w:pPr>
            <w:r w:rsidRPr="005D4222">
              <w:rPr>
                <w:b/>
                <w:bCs w:val="0"/>
              </w:rPr>
              <w:t>Transfers:</w:t>
            </w:r>
            <w:r w:rsidRPr="005D4222">
              <w:t xml:space="preserve"> </w:t>
            </w:r>
          </w:p>
          <w:p w14:paraId="71B16457" w14:textId="77777777" w:rsidR="00FA4C68" w:rsidRPr="005D4222" w:rsidRDefault="00FA4C68" w:rsidP="00A53E8C">
            <w:pPr>
              <w:pStyle w:val="ProcessBullet"/>
            </w:pPr>
            <w:r w:rsidRPr="005D4222">
              <w:t xml:space="preserve">Treat transfers </w:t>
            </w:r>
            <w:r w:rsidRPr="005D4222">
              <w:rPr>
                <w:i/>
                <w:iCs/>
              </w:rPr>
              <w:t xml:space="preserve">between </w:t>
            </w:r>
            <w:r w:rsidRPr="005D4222">
              <w:t xml:space="preserve">institutions as separate admissions. </w:t>
            </w:r>
          </w:p>
          <w:p w14:paraId="3D634B60" w14:textId="77777777" w:rsidR="00FA4C68" w:rsidRPr="005D4222" w:rsidRDefault="00FA4C68" w:rsidP="00A53E8C">
            <w:pPr>
              <w:pStyle w:val="ProcessBullet"/>
            </w:pPr>
            <w:r w:rsidRPr="005D4222">
              <w:t xml:space="preserve">Base transfer reports </w:t>
            </w:r>
            <w:r w:rsidRPr="005D4222">
              <w:rPr>
                <w:i/>
                <w:iCs/>
              </w:rPr>
              <w:t>within</w:t>
            </w:r>
            <w:r w:rsidRPr="005D4222">
              <w:t xml:space="preserve"> an institution on the type and level of services provided. </w:t>
            </w:r>
          </w:p>
          <w:p w14:paraId="254F7FC3" w14:textId="77777777" w:rsidR="00FA4C68" w:rsidRPr="005D4222" w:rsidRDefault="00FA4C68" w:rsidP="00A53E8C">
            <w:pPr>
              <w:pStyle w:val="ProcessBullet"/>
            </w:pPr>
            <w:r w:rsidRPr="005D4222">
              <w:t xml:space="preserve">Report separate admissions when the transfer is between acute and nonacute levels of service or between mental health/chemical dependency services and non-mental health/chemical dependency services. </w:t>
            </w:r>
          </w:p>
          <w:p w14:paraId="75E5262A" w14:textId="77777777" w:rsidR="00FA4C68" w:rsidRPr="005D4222" w:rsidRDefault="00FA4C68" w:rsidP="00A53E8C">
            <w:pPr>
              <w:pStyle w:val="ProcessBullet"/>
            </w:pPr>
            <w:r w:rsidRPr="005D4222">
              <w:t xml:space="preserve">Count only one admission when the transfer takes place within the same service category, but to a different level of care (e.g., from intensive care to a lesser level of care; from a lesser level of care to intensive care). </w:t>
            </w:r>
          </w:p>
          <w:p w14:paraId="72F620A7" w14:textId="77777777" w:rsidR="00FA4C68" w:rsidRPr="005D4222" w:rsidRDefault="00FA4C68" w:rsidP="00A53E8C">
            <w:pPr>
              <w:pStyle w:val="ECDSBody"/>
            </w:pPr>
            <w:r w:rsidRPr="005D4222">
              <w:rPr>
                <w:b/>
                <w:bCs w:val="0"/>
              </w:rPr>
              <w:t xml:space="preserve">Risk adjustment: </w:t>
            </w:r>
            <w:r w:rsidRPr="005D4222">
              <w:t>Organizations may not use risk assessment protocols to supplement diagnoses for calculation of the risk adjustment scores for these measures. The measurement model was developed and tested using only claims-based diagnoses; diagnoses from additional data sources would affect the validity of the models as they are currently implemented in the specification.</w:t>
            </w:r>
          </w:p>
          <w:p w14:paraId="674F8932" w14:textId="77777777" w:rsidR="00FA4C68" w:rsidRPr="005D4222" w:rsidRDefault="00FA4C68" w:rsidP="00A53E8C">
            <w:pPr>
              <w:pStyle w:val="ECDSBody"/>
              <w:rPr>
                <w:b/>
                <w:bCs w:val="0"/>
                <w:i/>
                <w:iCs/>
              </w:rPr>
            </w:pPr>
            <w:r w:rsidRPr="005D4222">
              <w:rPr>
                <w:b/>
                <w:bCs w:val="0"/>
                <w:i/>
                <w:iCs/>
              </w:rPr>
              <w:t>General Rules</w:t>
            </w:r>
          </w:p>
          <w:p w14:paraId="714F3DF8" w14:textId="04D06487" w:rsidR="00FA4C68" w:rsidRPr="005D4222" w:rsidRDefault="00FA4C68" w:rsidP="00A53E8C">
            <w:pPr>
              <w:pStyle w:val="ECDSBody"/>
            </w:pPr>
            <w:r w:rsidRPr="005D4222">
              <w:rPr>
                <w:b/>
                <w:bCs w:val="0"/>
              </w:rPr>
              <w:t xml:space="preserve">Data collection methodology: </w:t>
            </w:r>
            <w:r w:rsidRPr="005D4222">
              <w:t xml:space="preserve">Administrative. Refer to </w:t>
            </w:r>
            <w:hyperlink w:anchor="General_Guideline_Data_Collection_Method" w:history="1">
              <w:r w:rsidRPr="005D4222">
                <w:rPr>
                  <w:rStyle w:val="Hyperlink"/>
                  <w:i/>
                  <w:iCs/>
                </w:rPr>
                <w:t>General Guideline: Data Collection Methods</w:t>
              </w:r>
            </w:hyperlink>
            <w:r w:rsidRPr="005D4222">
              <w:t xml:space="preserve"> for additional information. </w:t>
            </w:r>
          </w:p>
        </w:tc>
      </w:tr>
      <w:tr w:rsidR="00FA4C68" w:rsidRPr="005D4222" w14:paraId="7A917FFC" w14:textId="77777777" w:rsidTr="00A53E8C">
        <w:trPr>
          <w:trHeight w:val="633"/>
        </w:trPr>
        <w:tc>
          <w:tcPr>
            <w:tcW w:w="21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7210FB3" w14:textId="77777777" w:rsidR="00FA4C68" w:rsidRPr="005D4222" w:rsidRDefault="00FA4C68" w:rsidP="00A53E8C">
            <w:pPr>
              <w:pStyle w:val="ECDSMarginSubhead"/>
            </w:pPr>
          </w:p>
        </w:tc>
        <w:tc>
          <w:tcPr>
            <w:tcW w:w="7557" w:type="dxa"/>
            <w:gridSpan w:val="2"/>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A642D93" w14:textId="77777777" w:rsidR="00FA4C68" w:rsidRPr="005D4222" w:rsidRDefault="00FA4C68" w:rsidP="00A53E8C">
            <w:pPr>
              <w:pStyle w:val="ECDSBody"/>
            </w:pPr>
            <w:r w:rsidRPr="005D4222">
              <w:rPr>
                <w:b/>
                <w:bCs w:val="0"/>
              </w:rPr>
              <w:t xml:space="preserve">Date specificity: </w:t>
            </w:r>
            <w:r w:rsidRPr="005D4222">
              <w:t>Dates must be specific enough to determine the event occurred in the period being measured. </w:t>
            </w:r>
          </w:p>
          <w:p w14:paraId="4AF02A3F" w14:textId="5E3B15DA" w:rsidR="00FA4C68" w:rsidRPr="005D4222" w:rsidRDefault="00FA4C68" w:rsidP="00D66A85">
            <w:pPr>
              <w:pStyle w:val="ECDSBody"/>
              <w:rPr>
                <w:b/>
                <w:bCs w:val="0"/>
                <w:i/>
                <w:iCs/>
              </w:rPr>
            </w:pPr>
            <w:r w:rsidRPr="005D4222">
              <w:rPr>
                <w:b/>
                <w:bCs w:val="0"/>
              </w:rPr>
              <w:t xml:space="preserve">Improvement </w:t>
            </w:r>
            <w:r w:rsidR="00D66A85" w:rsidRPr="005D4222">
              <w:rPr>
                <w:b/>
                <w:bCs w:val="0"/>
              </w:rPr>
              <w:t>n</w:t>
            </w:r>
            <w:r w:rsidRPr="005D4222">
              <w:rPr>
                <w:b/>
                <w:bCs w:val="0"/>
              </w:rPr>
              <w:t>otation</w:t>
            </w:r>
            <w:r w:rsidR="00D66A85" w:rsidRPr="005D4222">
              <w:rPr>
                <w:b/>
                <w:bCs w:val="0"/>
              </w:rPr>
              <w:t xml:space="preserve">: </w:t>
            </w:r>
            <w:r w:rsidRPr="005D4222">
              <w:t>To interpret the ratio as better or worse than expected, the ratio must be calibrated. Organizations can calibrate ratios by dividing individual organization ratios or national percentiles by the national average ratio. Organizations may be more successful at achieving fewer ED visits than expected, given the types of cases treated by the organization (calibrated ratio with a value &lt;1.0), or may be less successful (calibrated ratio with a value &gt;1.0).</w:t>
            </w:r>
          </w:p>
        </w:tc>
      </w:tr>
      <w:tr w:rsidR="00FA4C68" w:rsidRPr="005D4222" w14:paraId="6D050B7F" w14:textId="77777777" w:rsidTr="00A53E8C">
        <w:trPr>
          <w:trHeight w:val="300"/>
        </w:trPr>
        <w:tc>
          <w:tcPr>
            <w:tcW w:w="9714" w:type="dxa"/>
            <w:gridSpan w:val="3"/>
            <w:tcBorders>
              <w:top w:val="single" w:sz="4" w:space="0" w:color="auto"/>
              <w:bottom w:val="nil"/>
            </w:tcBorders>
            <w:shd w:val="clear" w:color="auto" w:fill="BFBFBF" w:themeFill="background1" w:themeFillShade="BF"/>
            <w:tcMar>
              <w:top w:w="0" w:type="dxa"/>
              <w:left w:w="86" w:type="dxa"/>
              <w:bottom w:w="43" w:type="dxa"/>
              <w:right w:w="86" w:type="dxa"/>
            </w:tcMar>
          </w:tcPr>
          <w:p w14:paraId="3AE7E33A" w14:textId="77777777" w:rsidR="00FA4C68" w:rsidRPr="005D4222" w:rsidRDefault="00FA4C68" w:rsidP="00A53E8C">
            <w:pPr>
              <w:pStyle w:val="ECDSMarginHead"/>
            </w:pPr>
            <w:r w:rsidRPr="005D4222">
              <w:t>Definitions</w:t>
            </w:r>
          </w:p>
        </w:tc>
      </w:tr>
      <w:tr w:rsidR="00FA4C68" w:rsidRPr="005D4222" w14:paraId="15C45409" w14:textId="77777777" w:rsidTr="00A53E8C">
        <w:trPr>
          <w:trHeight w:val="300"/>
        </w:trPr>
        <w:tc>
          <w:tcPr>
            <w:tcW w:w="2157" w:type="dxa"/>
            <w:tcBorders>
              <w:top w:val="single" w:sz="4" w:space="0" w:color="auto"/>
              <w:bottom w:val="nil"/>
              <w:right w:val="single" w:sz="4" w:space="0" w:color="auto"/>
            </w:tcBorders>
            <w:tcMar>
              <w:top w:w="0" w:type="dxa"/>
              <w:left w:w="86" w:type="dxa"/>
              <w:bottom w:w="43" w:type="dxa"/>
              <w:right w:w="86" w:type="dxa"/>
            </w:tcMar>
          </w:tcPr>
          <w:p w14:paraId="759708C2" w14:textId="77777777" w:rsidR="00FA4C68" w:rsidRPr="005D4222" w:rsidRDefault="00FA4C68" w:rsidP="006242AD">
            <w:pPr>
              <w:pStyle w:val="ECDSSubhead"/>
            </w:pPr>
            <w:r w:rsidRPr="005D4222">
              <w:t>Outlier</w:t>
            </w:r>
          </w:p>
        </w:tc>
        <w:tc>
          <w:tcPr>
            <w:tcW w:w="7557" w:type="dxa"/>
            <w:gridSpan w:val="2"/>
            <w:tcBorders>
              <w:top w:val="single" w:sz="4" w:space="0" w:color="auto"/>
              <w:left w:val="nil"/>
              <w:bottom w:val="nil"/>
            </w:tcBorders>
            <w:tcMar>
              <w:top w:w="0" w:type="dxa"/>
              <w:left w:w="86" w:type="dxa"/>
              <w:bottom w:w="43" w:type="dxa"/>
              <w:right w:w="86" w:type="dxa"/>
            </w:tcMar>
          </w:tcPr>
          <w:p w14:paraId="3E3803F8" w14:textId="77777777" w:rsidR="00FA4C68" w:rsidRPr="005D4222" w:rsidRDefault="00FA4C68" w:rsidP="00A53E8C">
            <w:pPr>
              <w:pStyle w:val="ECDSBody"/>
            </w:pPr>
            <w:r w:rsidRPr="005D4222">
              <w:t>Medicare enrollees 18–64 years of age with 6 or more ED visits in the measurement period.</w:t>
            </w:r>
          </w:p>
          <w:p w14:paraId="05FD26ED" w14:textId="77777777" w:rsidR="00FA4C68" w:rsidRPr="005D4222" w:rsidRDefault="00FA4C68" w:rsidP="00A53E8C">
            <w:pPr>
              <w:pStyle w:val="ECDSBody"/>
            </w:pPr>
            <w:r w:rsidRPr="005D4222">
              <w:t>Medicare enrollees 65 years of age and older with 4 or more ED visits in the measurement period.</w:t>
            </w:r>
          </w:p>
          <w:p w14:paraId="5BCAFFCD" w14:textId="77777777" w:rsidR="00FA4C68" w:rsidRPr="005D4222" w:rsidRDefault="00FA4C68" w:rsidP="00A53E8C">
            <w:pPr>
              <w:pStyle w:val="ECDSBody"/>
              <w:spacing w:after="0"/>
            </w:pPr>
            <w:r w:rsidRPr="005D4222">
              <w:t>Commercial enrollees 18 years of age and older with 4 or more ED visits in the measurement period.</w:t>
            </w:r>
          </w:p>
        </w:tc>
      </w:tr>
      <w:tr w:rsidR="00FA4C68" w:rsidRPr="005D4222" w14:paraId="1B4F37B6" w14:textId="77777777" w:rsidTr="00A53E8C">
        <w:trPr>
          <w:trHeight w:val="300"/>
        </w:trPr>
        <w:tc>
          <w:tcPr>
            <w:tcW w:w="2157" w:type="dxa"/>
            <w:tcBorders>
              <w:top w:val="nil"/>
              <w:bottom w:val="nil"/>
              <w:right w:val="single" w:sz="4" w:space="0" w:color="auto"/>
            </w:tcBorders>
            <w:tcMar>
              <w:top w:w="0" w:type="dxa"/>
              <w:left w:w="86" w:type="dxa"/>
              <w:bottom w:w="43" w:type="dxa"/>
              <w:right w:w="86" w:type="dxa"/>
            </w:tcMar>
          </w:tcPr>
          <w:p w14:paraId="27D89AB6" w14:textId="77777777" w:rsidR="00FA4C68" w:rsidRPr="005D4222" w:rsidRDefault="00FA4C68" w:rsidP="006242AD">
            <w:pPr>
              <w:pStyle w:val="ECDSSubhead"/>
            </w:pPr>
            <w:r w:rsidRPr="005D4222">
              <w:t>Nonoutlier</w:t>
            </w:r>
          </w:p>
        </w:tc>
        <w:tc>
          <w:tcPr>
            <w:tcW w:w="7557" w:type="dxa"/>
            <w:gridSpan w:val="2"/>
            <w:tcBorders>
              <w:top w:val="nil"/>
              <w:left w:val="nil"/>
              <w:bottom w:val="nil"/>
            </w:tcBorders>
            <w:tcMar>
              <w:top w:w="0" w:type="dxa"/>
              <w:left w:w="86" w:type="dxa"/>
              <w:bottom w:w="43" w:type="dxa"/>
              <w:right w:w="86" w:type="dxa"/>
            </w:tcMar>
          </w:tcPr>
          <w:p w14:paraId="3BB40FDC" w14:textId="77777777" w:rsidR="00FA4C68" w:rsidRPr="005D4222" w:rsidRDefault="00FA4C68" w:rsidP="00A53E8C">
            <w:pPr>
              <w:pStyle w:val="ECDSBody"/>
            </w:pPr>
            <w:r w:rsidRPr="005D4222">
              <w:t>Medicare enrollees 18–64 years of age with five or fewer ED visits during the measurement period.</w:t>
            </w:r>
          </w:p>
          <w:p w14:paraId="05D1394D" w14:textId="77777777" w:rsidR="00FA4C68" w:rsidRPr="005D4222" w:rsidRDefault="00FA4C68" w:rsidP="00A53E8C">
            <w:pPr>
              <w:pStyle w:val="ECDSBody"/>
            </w:pPr>
            <w:r w:rsidRPr="005D4222">
              <w:t>Medicare enrollees 65 years of age and older with three or fewer ED visits during the measurement period.</w:t>
            </w:r>
          </w:p>
          <w:p w14:paraId="468FF24C" w14:textId="77777777" w:rsidR="00FA4C68" w:rsidRPr="005D4222" w:rsidRDefault="00FA4C68" w:rsidP="00A53E8C">
            <w:pPr>
              <w:pStyle w:val="ECDSBody"/>
              <w:spacing w:after="0"/>
            </w:pPr>
            <w:r w:rsidRPr="005D4222">
              <w:t>Commercial enrollees 18 years of age and older with three or fewer ED visits during the measurement period.</w:t>
            </w:r>
          </w:p>
        </w:tc>
      </w:tr>
      <w:tr w:rsidR="00FA4C68" w:rsidRPr="005D4222" w14:paraId="6903D4D8" w14:textId="77777777" w:rsidTr="00A53E8C">
        <w:trPr>
          <w:trHeight w:val="300"/>
        </w:trPr>
        <w:tc>
          <w:tcPr>
            <w:tcW w:w="2157" w:type="dxa"/>
            <w:tcBorders>
              <w:top w:val="nil"/>
              <w:bottom w:val="nil"/>
              <w:right w:val="single" w:sz="4" w:space="0" w:color="auto"/>
            </w:tcBorders>
            <w:tcMar>
              <w:top w:w="0" w:type="dxa"/>
              <w:left w:w="86" w:type="dxa"/>
              <w:bottom w:w="43" w:type="dxa"/>
              <w:right w:w="86" w:type="dxa"/>
            </w:tcMar>
          </w:tcPr>
          <w:p w14:paraId="4918FC63" w14:textId="77777777" w:rsidR="00FA4C68" w:rsidRPr="005D4222" w:rsidRDefault="00FA4C68" w:rsidP="006242AD">
            <w:pPr>
              <w:pStyle w:val="ECDSSubhead"/>
            </w:pPr>
            <w:r w:rsidRPr="005D4222">
              <w:t>PPV</w:t>
            </w:r>
          </w:p>
        </w:tc>
        <w:tc>
          <w:tcPr>
            <w:tcW w:w="7557" w:type="dxa"/>
            <w:gridSpan w:val="2"/>
            <w:tcBorders>
              <w:top w:val="nil"/>
              <w:left w:val="nil"/>
              <w:bottom w:val="nil"/>
            </w:tcBorders>
            <w:tcMar>
              <w:top w:w="0" w:type="dxa"/>
              <w:left w:w="86" w:type="dxa"/>
              <w:bottom w:w="43" w:type="dxa"/>
              <w:right w:w="86" w:type="dxa"/>
            </w:tcMar>
          </w:tcPr>
          <w:p w14:paraId="5E972F70" w14:textId="77777777" w:rsidR="00FA4C68" w:rsidRPr="005D4222" w:rsidRDefault="00FA4C68" w:rsidP="00A53E8C">
            <w:pPr>
              <w:pStyle w:val="ECDSBody"/>
              <w:spacing w:after="0"/>
            </w:pPr>
            <w:r w:rsidRPr="005D4222">
              <w:t>Predicted probability of a visit. The predicted probability of a person having an ED visit in the measurement period.</w:t>
            </w:r>
          </w:p>
        </w:tc>
      </w:tr>
      <w:tr w:rsidR="00FA4C68" w:rsidRPr="005D4222" w14:paraId="1DF133FF" w14:textId="77777777" w:rsidTr="00A53E8C">
        <w:tc>
          <w:tcPr>
            <w:tcW w:w="2157" w:type="dxa"/>
            <w:tcBorders>
              <w:top w:val="nil"/>
              <w:bottom w:val="single" w:sz="4" w:space="0" w:color="auto"/>
              <w:right w:val="single" w:sz="4" w:space="0" w:color="auto"/>
            </w:tcBorders>
            <w:tcMar>
              <w:top w:w="0" w:type="dxa"/>
              <w:left w:w="86" w:type="dxa"/>
              <w:bottom w:w="43" w:type="dxa"/>
              <w:right w:w="86" w:type="dxa"/>
            </w:tcMar>
          </w:tcPr>
          <w:p w14:paraId="530957A8" w14:textId="77777777" w:rsidR="00FA4C68" w:rsidRPr="005D4222" w:rsidRDefault="00FA4C68" w:rsidP="006242AD">
            <w:pPr>
              <w:pStyle w:val="ECDSSubhead"/>
            </w:pPr>
            <w:r w:rsidRPr="005D4222">
              <w:t>PUCV</w:t>
            </w:r>
          </w:p>
        </w:tc>
        <w:tc>
          <w:tcPr>
            <w:tcW w:w="7557" w:type="dxa"/>
            <w:gridSpan w:val="2"/>
            <w:tcBorders>
              <w:top w:val="nil"/>
              <w:left w:val="nil"/>
              <w:bottom w:val="single" w:sz="4" w:space="0" w:color="auto"/>
            </w:tcBorders>
            <w:tcMar>
              <w:top w:w="0" w:type="dxa"/>
              <w:left w:w="86" w:type="dxa"/>
              <w:bottom w:w="43" w:type="dxa"/>
              <w:right w:w="86" w:type="dxa"/>
            </w:tcMar>
          </w:tcPr>
          <w:p w14:paraId="2874A52B" w14:textId="77777777" w:rsidR="00FA4C68" w:rsidRPr="005D4222" w:rsidRDefault="00FA4C68" w:rsidP="00A53E8C">
            <w:pPr>
              <w:pStyle w:val="ECDSBody"/>
            </w:pPr>
            <w:r w:rsidRPr="005D4222">
              <w:t>Predicted unconditional count of visits. The unconditional count of ED visits during the measurement period.</w:t>
            </w:r>
          </w:p>
        </w:tc>
      </w:tr>
      <w:tr w:rsidR="00FA4C68" w:rsidRPr="005D4222" w14:paraId="374CCD8E" w14:textId="77777777" w:rsidTr="00A53E8C">
        <w:trPr>
          <w:trHeight w:val="633"/>
        </w:trPr>
        <w:tc>
          <w:tcPr>
            <w:tcW w:w="215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49647B27" w14:textId="77777777" w:rsidR="00FA4C68" w:rsidRPr="005D4222" w:rsidRDefault="00FA4C68" w:rsidP="00A53E8C">
            <w:pPr>
              <w:pStyle w:val="ECDSMarginHead"/>
            </w:pPr>
            <w:r w:rsidRPr="005D4222">
              <w:t>Initial population</w:t>
            </w:r>
          </w:p>
        </w:tc>
        <w:tc>
          <w:tcPr>
            <w:tcW w:w="7557" w:type="dxa"/>
            <w:gridSpan w:val="2"/>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ED565E1" w14:textId="77777777" w:rsidR="00FA4C68" w:rsidRPr="005D4222" w:rsidRDefault="00FA4C68" w:rsidP="00A53E8C">
            <w:pPr>
              <w:pStyle w:val="ECDSBody"/>
            </w:pPr>
            <w:r w:rsidRPr="005D4222">
              <w:rPr>
                <w:i/>
                <w:iCs/>
              </w:rPr>
              <w:t>Measure item count:</w:t>
            </w:r>
            <w:r w:rsidRPr="005D4222">
              <w:t xml:space="preserve"> Person.</w:t>
            </w:r>
          </w:p>
          <w:p w14:paraId="4BB232FE" w14:textId="77777777" w:rsidR="00FA4C68" w:rsidRPr="005D4222" w:rsidRDefault="00FA4C68" w:rsidP="00A53E8C">
            <w:pPr>
              <w:pStyle w:val="ECDSBody"/>
            </w:pPr>
            <w:r w:rsidRPr="005D4222">
              <w:rPr>
                <w:i/>
                <w:iCs/>
              </w:rPr>
              <w:t>Attribution basis:</w:t>
            </w:r>
            <w:r w:rsidRPr="005D4222">
              <w:t xml:space="preserve"> Enrollment.</w:t>
            </w:r>
          </w:p>
          <w:p w14:paraId="0E5B1457" w14:textId="77777777" w:rsidR="00FA4C68" w:rsidRPr="005D4222" w:rsidRDefault="00FA4C68" w:rsidP="00FA4C68">
            <w:pPr>
              <w:pStyle w:val="Bullet"/>
              <w:numPr>
                <w:ilvl w:val="0"/>
                <w:numId w:val="4"/>
              </w:numPr>
              <w:tabs>
                <w:tab w:val="left" w:pos="360"/>
                <w:tab w:val="left" w:pos="576"/>
              </w:tabs>
              <w:ind w:left="576" w:hanging="216"/>
            </w:pPr>
            <w:r w:rsidRPr="005D4222">
              <w:rPr>
                <w:bCs/>
                <w:i/>
                <w:iCs/>
              </w:rPr>
              <w:t>Benefits:</w:t>
            </w:r>
            <w:r w:rsidRPr="005D4222">
              <w:t xml:space="preserve"> Medical.</w:t>
            </w:r>
          </w:p>
          <w:p w14:paraId="57280DD1" w14:textId="77777777" w:rsidR="00FA4C68" w:rsidRPr="005D4222" w:rsidRDefault="00FA4C68" w:rsidP="00FA4C68">
            <w:pPr>
              <w:pStyle w:val="Bullet"/>
              <w:numPr>
                <w:ilvl w:val="0"/>
                <w:numId w:val="4"/>
              </w:numPr>
              <w:tabs>
                <w:tab w:val="left" w:pos="360"/>
                <w:tab w:val="left" w:pos="576"/>
              </w:tabs>
              <w:ind w:left="576" w:hanging="216"/>
            </w:pPr>
            <w:r w:rsidRPr="005D4222">
              <w:rPr>
                <w:bCs/>
                <w:i/>
                <w:iCs/>
              </w:rPr>
              <w:t>Continuous enrollment:</w:t>
            </w:r>
            <w:r w:rsidRPr="005D4222">
              <w:rPr>
                <w:bCs/>
              </w:rPr>
              <w:t xml:space="preserve"> </w:t>
            </w:r>
            <w:r w:rsidRPr="005D4222">
              <w:t>The measurement period and the year prior to the measurement period.</w:t>
            </w:r>
          </w:p>
          <w:p w14:paraId="36A6FE51" w14:textId="77777777" w:rsidR="00FA4C68" w:rsidRPr="005D4222" w:rsidRDefault="00FA4C68" w:rsidP="00FA4C68">
            <w:pPr>
              <w:pStyle w:val="Bullet"/>
              <w:numPr>
                <w:ilvl w:val="0"/>
                <w:numId w:val="4"/>
              </w:numPr>
              <w:tabs>
                <w:tab w:val="left" w:pos="360"/>
                <w:tab w:val="left" w:pos="576"/>
              </w:tabs>
              <w:ind w:left="576" w:hanging="216"/>
              <w:rPr>
                <w:i/>
                <w:iCs/>
              </w:rPr>
            </w:pPr>
            <w:r w:rsidRPr="005D4222">
              <w:rPr>
                <w:i/>
                <w:iCs/>
              </w:rPr>
              <w:t xml:space="preserve">Allowable gap: </w:t>
            </w:r>
            <w:r w:rsidRPr="005D4222">
              <w:t>No more than one gap of ≤45 days during each year of continuous enrollment. No gaps on the last day of the measurement period.</w:t>
            </w:r>
          </w:p>
          <w:p w14:paraId="3F7738C6" w14:textId="77777777" w:rsidR="00FA4C68" w:rsidRPr="005D4222" w:rsidRDefault="00FA4C68" w:rsidP="00A53E8C">
            <w:pPr>
              <w:pStyle w:val="ECDSBody"/>
            </w:pPr>
            <w:r w:rsidRPr="005D4222">
              <w:rPr>
                <w:i/>
                <w:iCs/>
              </w:rPr>
              <w:t>Ages:</w:t>
            </w:r>
            <w:r w:rsidRPr="005D4222">
              <w:t xml:space="preserve"> 18 years of age and older as of the last day of the measurement period. </w:t>
            </w:r>
          </w:p>
          <w:p w14:paraId="5BC9EB7B" w14:textId="77777777" w:rsidR="00FA4C68" w:rsidRPr="005D4222" w:rsidRDefault="00FA4C68" w:rsidP="00A53E8C">
            <w:pPr>
              <w:pStyle w:val="ECDSBody"/>
              <w:rPr>
                <w:i/>
                <w:iCs/>
              </w:rPr>
            </w:pPr>
            <w:r w:rsidRPr="005D4222">
              <w:rPr>
                <w:i/>
                <w:iCs/>
              </w:rPr>
              <w:t>Gender/sex criteria:</w:t>
            </w:r>
          </w:p>
          <w:p w14:paraId="6C5BA892" w14:textId="77777777" w:rsidR="00FA4C68" w:rsidRPr="005D4222" w:rsidRDefault="00FA4C68" w:rsidP="00FA4C68">
            <w:pPr>
              <w:pStyle w:val="Bullet"/>
              <w:numPr>
                <w:ilvl w:val="0"/>
                <w:numId w:val="4"/>
              </w:numPr>
              <w:tabs>
                <w:tab w:val="left" w:pos="360"/>
                <w:tab w:val="left" w:pos="576"/>
              </w:tabs>
              <w:ind w:left="576" w:hanging="216"/>
              <w:rPr>
                <w:iCs/>
              </w:rPr>
            </w:pPr>
            <w:r w:rsidRPr="005D4222">
              <w:rPr>
                <w:iCs/>
              </w:rPr>
              <w:t>Administrative Gender of Female (AdministrativeGender code female).</w:t>
            </w:r>
          </w:p>
          <w:p w14:paraId="135ECF8B" w14:textId="77777777" w:rsidR="00FA4C68" w:rsidRPr="005D4222" w:rsidRDefault="00FA4C68" w:rsidP="00FA4C68">
            <w:pPr>
              <w:pStyle w:val="Bullet"/>
              <w:numPr>
                <w:ilvl w:val="0"/>
                <w:numId w:val="4"/>
              </w:numPr>
              <w:tabs>
                <w:tab w:val="left" w:pos="360"/>
                <w:tab w:val="left" w:pos="576"/>
              </w:tabs>
              <w:spacing w:after="80"/>
              <w:ind w:left="576" w:hanging="216"/>
            </w:pPr>
            <w:r w:rsidRPr="005D4222">
              <w:rPr>
                <w:iCs/>
              </w:rPr>
              <w:t xml:space="preserve">Administrative Gender of </w:t>
            </w:r>
            <w:r w:rsidRPr="005D4222">
              <w:t>Male (AdministrativeGender code male).</w:t>
            </w:r>
          </w:p>
        </w:tc>
      </w:tr>
    </w:tbl>
    <w:p w14:paraId="1876940F" w14:textId="77777777" w:rsidR="00FA4C68" w:rsidRPr="005D4222" w:rsidRDefault="00FA4C68" w:rsidP="00FA4C68"/>
    <w:tbl>
      <w:tblPr>
        <w:tblW w:w="9714" w:type="dxa"/>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FA4C68" w:rsidRPr="005D4222" w14:paraId="5A02BA52" w14:textId="77777777" w:rsidTr="00A53E8C">
        <w:trPr>
          <w:trHeight w:val="633"/>
        </w:trPr>
        <w:tc>
          <w:tcPr>
            <w:tcW w:w="215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181AC444" w14:textId="77777777" w:rsidR="00FA4C68" w:rsidRPr="005D4222" w:rsidRDefault="00FA4C68"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0CC2949" w14:textId="77777777" w:rsidR="00564D6E" w:rsidRPr="005D4222" w:rsidRDefault="00FA4C68" w:rsidP="00564D6E">
            <w:pPr>
              <w:pStyle w:val="ECDSBody"/>
              <w:rPr>
                <w:rFonts w:ascii="Arial Bold" w:hAnsi="Arial Bold" w:cs="Segoe UI"/>
                <w:b/>
              </w:rPr>
            </w:pPr>
            <w:r w:rsidRPr="005D4222">
              <w:rPr>
                <w:i/>
                <w:iCs/>
              </w:rPr>
              <w:t>Exclusion:</w:t>
            </w:r>
            <w:r w:rsidR="00564D6E" w:rsidRPr="005D4222">
              <w:rPr>
                <w:i/>
                <w:iCs/>
              </w:rPr>
              <w:t xml:space="preserve"> </w:t>
            </w:r>
            <w:r w:rsidRPr="005D4222">
              <w:rPr>
                <w:rFonts w:ascii="Arial Bold" w:hAnsi="Arial Bold" w:cs="Segoe UI"/>
                <w:b/>
              </w:rPr>
              <w:t>Episodes for persons in hospice or using hospice services.</w:t>
            </w:r>
          </w:p>
          <w:p w14:paraId="44A3C67E" w14:textId="1DFA9253" w:rsidR="00FA4C68" w:rsidRPr="005D4222" w:rsidRDefault="00FA4C68" w:rsidP="00564D6E">
            <w:pPr>
              <w:pStyle w:val="ECDSBody"/>
              <w:rPr>
                <w:i/>
                <w:iCs/>
              </w:rPr>
            </w:pP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6439AD" w:rsidRPr="005D4222" w14:paraId="77D46916" w14:textId="77777777" w:rsidTr="00A53E8C">
        <w:trPr>
          <w:trHeight w:val="300"/>
        </w:trPr>
        <w:tc>
          <w:tcPr>
            <w:tcW w:w="2157" w:type="dxa"/>
            <w:tcBorders>
              <w:top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35B2C0DE" w14:textId="77777777" w:rsidR="00FA4C68" w:rsidRPr="005D4222" w:rsidRDefault="00FA4C68" w:rsidP="00A53E8C">
            <w:pPr>
              <w:pStyle w:val="ECDSMarginHead"/>
            </w:pPr>
            <w:r w:rsidRPr="005D4222">
              <w:t>Measure observation</w:t>
            </w:r>
          </w:p>
        </w:tc>
        <w:tc>
          <w:tcPr>
            <w:tcW w:w="7557" w:type="dxa"/>
            <w:tcBorders>
              <w:top w:val="single" w:sz="4" w:space="0" w:color="auto"/>
              <w:left w:val="single" w:sz="4" w:space="0" w:color="auto"/>
              <w:bottom w:val="single" w:sz="4" w:space="0" w:color="auto"/>
            </w:tcBorders>
            <w:tcMar>
              <w:left w:w="86" w:type="dxa"/>
              <w:bottom w:w="43" w:type="dxa"/>
              <w:right w:w="86" w:type="dxa"/>
            </w:tcMar>
          </w:tcPr>
          <w:p w14:paraId="259DDFC3" w14:textId="77777777" w:rsidR="00FA4C68" w:rsidRPr="005D4222" w:rsidRDefault="00FA4C68" w:rsidP="00A53E8C">
            <w:pPr>
              <w:pStyle w:val="ECDSBody"/>
              <w:rPr>
                <w:b/>
              </w:rPr>
            </w:pPr>
            <w:r w:rsidRPr="005D4222">
              <w:rPr>
                <w:b/>
              </w:rPr>
              <w:t>Calculation of Observed Events</w:t>
            </w:r>
          </w:p>
          <w:p w14:paraId="349E10E2" w14:textId="77777777" w:rsidR="00FA4C68" w:rsidRPr="005D4222" w:rsidRDefault="00FA4C68" w:rsidP="00A53E8C">
            <w:pPr>
              <w:pStyle w:val="ECDSBody"/>
            </w:pPr>
            <w:r w:rsidRPr="005D4222">
              <w:rPr>
                <w:b/>
                <w:bCs w:val="0"/>
              </w:rPr>
              <w:t xml:space="preserve">Step 1. </w:t>
            </w:r>
            <w:r w:rsidRPr="005D4222">
              <w:t xml:space="preserve">Count each visit to an ED once, regardless of the intensity or duration of the visit. Count multiple ED visits on the same date of service as one visit. Identify all ED visits during the measurement period using either of the following: </w:t>
            </w:r>
          </w:p>
          <w:p w14:paraId="2EFA8E29" w14:textId="77777777" w:rsidR="00FA4C68" w:rsidRPr="005D4222" w:rsidRDefault="00FA4C68" w:rsidP="00FA4C68">
            <w:pPr>
              <w:pStyle w:val="Bullet"/>
              <w:numPr>
                <w:ilvl w:val="0"/>
                <w:numId w:val="4"/>
              </w:numPr>
              <w:tabs>
                <w:tab w:val="left" w:pos="360"/>
                <w:tab w:val="left" w:pos="576"/>
              </w:tabs>
              <w:spacing w:before="60"/>
              <w:ind w:left="576" w:hanging="216"/>
            </w:pPr>
            <w:r w:rsidRPr="005D4222">
              <w:t>An ED Visit (</w:t>
            </w:r>
            <w:r w:rsidRPr="005D4222">
              <w:rPr>
                <w:u w:val="single"/>
              </w:rPr>
              <w:t>ED Value Set</w:t>
            </w:r>
            <w:r w:rsidRPr="005D4222">
              <w:t>).</w:t>
            </w:r>
          </w:p>
          <w:p w14:paraId="5D2C8F7D" w14:textId="77777777" w:rsidR="00FA4C68" w:rsidRPr="005D4222" w:rsidRDefault="00FA4C68" w:rsidP="00FA4C68">
            <w:pPr>
              <w:pStyle w:val="Bullet"/>
              <w:numPr>
                <w:ilvl w:val="0"/>
                <w:numId w:val="4"/>
              </w:numPr>
              <w:tabs>
                <w:tab w:val="left" w:pos="360"/>
                <w:tab w:val="left" w:pos="576"/>
              </w:tabs>
              <w:spacing w:before="60"/>
              <w:ind w:left="576" w:hanging="216"/>
            </w:pPr>
            <w:r w:rsidRPr="005D4222">
              <w:t>A procedure code (</w:t>
            </w:r>
            <w:r w:rsidRPr="005D4222">
              <w:rPr>
                <w:u w:val="single"/>
              </w:rPr>
              <w:t>ED Procedure Code Value Set</w:t>
            </w:r>
            <w:r w:rsidRPr="005D4222">
              <w:t xml:space="preserve">) </w:t>
            </w:r>
            <w:r w:rsidRPr="005D4222">
              <w:rPr>
                <w:b/>
                <w:bCs/>
                <w:i/>
                <w:iCs/>
              </w:rPr>
              <w:t>with</w:t>
            </w:r>
            <w:r w:rsidRPr="005D4222">
              <w:t xml:space="preserve"> an ED place of service code (POS code 23).</w:t>
            </w:r>
          </w:p>
          <w:p w14:paraId="11898B06" w14:textId="77777777" w:rsidR="00FA4C68" w:rsidRPr="005D4222" w:rsidRDefault="00FA4C68" w:rsidP="00A53E8C">
            <w:pPr>
              <w:pStyle w:val="ECDSBody"/>
            </w:pPr>
            <w:r w:rsidRPr="005D4222">
              <w:t>Do not include ED visits that result in an inpatient stay (</w:t>
            </w:r>
            <w:r w:rsidRPr="005D4222">
              <w:rPr>
                <w:u w:val="single"/>
              </w:rPr>
              <w:t>Inpatient Stay Value Set</w:t>
            </w:r>
            <w:r w:rsidRPr="005D4222">
              <w:t>) or an observation stay (</w:t>
            </w:r>
            <w:r w:rsidRPr="005D4222">
              <w:rPr>
                <w:u w:val="single"/>
              </w:rPr>
              <w:t>Observation Stay Value Set</w:t>
            </w:r>
            <w:r w:rsidRPr="005D4222">
              <w:t>).</w:t>
            </w:r>
          </w:p>
          <w:p w14:paraId="64A72C23" w14:textId="77777777" w:rsidR="00FA4C68" w:rsidRPr="005D4222" w:rsidRDefault="00FA4C68" w:rsidP="00A53E8C">
            <w:pPr>
              <w:pStyle w:val="ECDSBody"/>
            </w:pPr>
            <w:r w:rsidRPr="005D4222">
              <w:rPr>
                <w:b/>
              </w:rPr>
              <w:t>Step 2.</w:t>
            </w:r>
            <w:r w:rsidRPr="005D4222">
              <w:t xml:space="preserve"> Exclude encounters with any of the following:</w:t>
            </w:r>
          </w:p>
          <w:p w14:paraId="7C551513" w14:textId="77777777" w:rsidR="00FA4C68" w:rsidRPr="005D4222" w:rsidRDefault="00FA4C68" w:rsidP="00FA4C68">
            <w:pPr>
              <w:pStyle w:val="Bullet"/>
              <w:numPr>
                <w:ilvl w:val="0"/>
                <w:numId w:val="4"/>
              </w:numPr>
              <w:tabs>
                <w:tab w:val="left" w:pos="360"/>
                <w:tab w:val="left" w:pos="576"/>
              </w:tabs>
              <w:spacing w:before="60"/>
              <w:ind w:left="576" w:hanging="216"/>
            </w:pPr>
            <w:r w:rsidRPr="005D4222">
              <w:t>A principal diagnosis of mental health or chemical dependency (</w:t>
            </w:r>
            <w:r w:rsidRPr="005D4222">
              <w:rPr>
                <w:u w:val="single"/>
              </w:rPr>
              <w:t>Mental and Behavioral Disorders Value Set</w:t>
            </w:r>
            <w:r w:rsidRPr="005D4222">
              <w:t>).</w:t>
            </w:r>
          </w:p>
          <w:p w14:paraId="67167C5A" w14:textId="77777777" w:rsidR="00FA4C68" w:rsidRPr="005D4222" w:rsidRDefault="00FA4C68" w:rsidP="00FA4C68">
            <w:pPr>
              <w:pStyle w:val="Bullet"/>
              <w:numPr>
                <w:ilvl w:val="0"/>
                <w:numId w:val="4"/>
              </w:numPr>
              <w:tabs>
                <w:tab w:val="left" w:pos="360"/>
                <w:tab w:val="left" w:pos="576"/>
              </w:tabs>
              <w:spacing w:before="60"/>
              <w:ind w:left="576" w:hanging="216"/>
            </w:pPr>
            <w:r w:rsidRPr="005D4222">
              <w:t>Psychiatry (</w:t>
            </w:r>
            <w:r w:rsidRPr="005D4222">
              <w:rPr>
                <w:u w:val="single"/>
              </w:rPr>
              <w:t>Psychiatry Value Set</w:t>
            </w:r>
            <w:r w:rsidRPr="005D4222">
              <w:t xml:space="preserve">). </w:t>
            </w:r>
          </w:p>
          <w:p w14:paraId="64AD6BAC" w14:textId="77777777" w:rsidR="00FA4C68" w:rsidRPr="005D4222" w:rsidRDefault="00FA4C68" w:rsidP="00FA4C68">
            <w:pPr>
              <w:pStyle w:val="Bullet"/>
              <w:numPr>
                <w:ilvl w:val="0"/>
                <w:numId w:val="4"/>
              </w:numPr>
              <w:tabs>
                <w:tab w:val="left" w:pos="360"/>
                <w:tab w:val="left" w:pos="576"/>
              </w:tabs>
              <w:spacing w:before="60"/>
              <w:ind w:left="576" w:hanging="216"/>
            </w:pPr>
            <w:r w:rsidRPr="005D4222">
              <w:t>Electroconvulsive therapy (</w:t>
            </w:r>
            <w:r w:rsidRPr="005D4222">
              <w:rPr>
                <w:u w:val="single"/>
              </w:rPr>
              <w:t>Electroconvulsive Therapy Value Set</w:t>
            </w:r>
            <w:r w:rsidRPr="005D4222">
              <w:t>).</w:t>
            </w:r>
          </w:p>
          <w:p w14:paraId="6C08A3A9" w14:textId="77777777" w:rsidR="00FA4C68" w:rsidRPr="005D4222" w:rsidRDefault="00FA4C68" w:rsidP="00A53E8C">
            <w:pPr>
              <w:pStyle w:val="ECDSBody"/>
              <w:rPr>
                <w:color w:val="000000"/>
              </w:rPr>
            </w:pPr>
            <w:r w:rsidRPr="005D4222">
              <w:rPr>
                <w:b/>
              </w:rPr>
              <w:t>Step 3.</w:t>
            </w:r>
            <w:r w:rsidRPr="005D4222">
              <w:t xml:space="preserve"> For the remaining ED visits, calculate the number of visits per person and remove visits for outlier persons. Report these persons as outliers.</w:t>
            </w:r>
          </w:p>
          <w:p w14:paraId="227B861A" w14:textId="77777777" w:rsidR="00FA4C68" w:rsidRPr="005D4222" w:rsidRDefault="00FA4C68" w:rsidP="00A53E8C">
            <w:pPr>
              <w:pStyle w:val="ECDSBody"/>
            </w:pPr>
            <w:r w:rsidRPr="005D4222">
              <w:rPr>
                <w:b/>
              </w:rPr>
              <w:t>Step 4.</w:t>
            </w:r>
            <w:r w:rsidRPr="005D4222">
              <w:t xml:space="preserve"> Calculate the total using all ED visits identified after completing steps 1–3. Assign each remaining ED visit to an age and stratification category using the reporting instructions below.</w:t>
            </w:r>
          </w:p>
        </w:tc>
      </w:tr>
      <w:tr w:rsidR="00FA4C68" w:rsidRPr="005D4222" w14:paraId="0F86A74F" w14:textId="77777777" w:rsidTr="001319A7">
        <w:tblPrEx>
          <w:tblBorders>
            <w:top w:val="single" w:sz="4" w:space="0" w:color="auto"/>
            <w:bottom w:val="single" w:sz="4" w:space="0" w:color="auto"/>
            <w:insideH w:val="single" w:sz="4" w:space="0" w:color="auto"/>
            <w:insideV w:val="single" w:sz="4" w:space="0" w:color="auto"/>
          </w:tblBorders>
          <w:tblCellMar>
            <w:top w:w="0" w:type="dxa"/>
          </w:tblCellMar>
        </w:tblPrEx>
        <w:tc>
          <w:tcPr>
            <w:tcW w:w="2157" w:type="dxa"/>
            <w:shd w:val="clear" w:color="auto" w:fill="BFBFBF" w:themeFill="background1" w:themeFillShade="BF"/>
            <w:tcMar>
              <w:top w:w="0" w:type="dxa"/>
              <w:left w:w="86" w:type="dxa"/>
              <w:bottom w:w="43" w:type="dxa"/>
              <w:right w:w="86" w:type="dxa"/>
            </w:tcMar>
          </w:tcPr>
          <w:p w14:paraId="2AD0626F" w14:textId="77777777" w:rsidR="00FA4C68" w:rsidRPr="005D4222" w:rsidRDefault="00FA4C68" w:rsidP="00A53E8C">
            <w:pPr>
              <w:pStyle w:val="MarginHead"/>
            </w:pPr>
            <w:r w:rsidRPr="005D4222">
              <w:rPr>
                <w:rFonts w:cs="Arial"/>
                <w:bCs/>
              </w:rPr>
              <w:t>Risk adjustment</w:t>
            </w:r>
            <w:r w:rsidRPr="005D4222" w:rsidDel="00121865">
              <w:t xml:space="preserve"> </w:t>
            </w:r>
            <w:r w:rsidRPr="005D4222">
              <w:t>factors</w:t>
            </w:r>
          </w:p>
        </w:tc>
        <w:tc>
          <w:tcPr>
            <w:tcW w:w="7557" w:type="dxa"/>
            <w:tcMar>
              <w:left w:w="86" w:type="dxa"/>
              <w:bottom w:w="43" w:type="dxa"/>
              <w:right w:w="86" w:type="dxa"/>
            </w:tcMar>
          </w:tcPr>
          <w:p w14:paraId="175D1677" w14:textId="77777777" w:rsidR="00FA4C68" w:rsidRPr="005D4222" w:rsidRDefault="00FA4C68" w:rsidP="00A53E8C">
            <w:pPr>
              <w:pStyle w:val="ECDSBody"/>
              <w:rPr>
                <w:b/>
                <w:bCs w:val="0"/>
                <w:i/>
                <w:iCs/>
              </w:rPr>
            </w:pPr>
            <w:r w:rsidRPr="005D4222">
              <w:rPr>
                <w:b/>
                <w:bCs w:val="0"/>
                <w:i/>
                <w:iCs/>
              </w:rPr>
              <w:t>Risk Adjustment Determination</w:t>
            </w:r>
          </w:p>
          <w:p w14:paraId="69339A69" w14:textId="77777777" w:rsidR="00FA4C68" w:rsidRPr="005D4222" w:rsidRDefault="00FA4C68" w:rsidP="00A53E8C">
            <w:pPr>
              <w:pStyle w:val="ECDSBody"/>
              <w:rPr>
                <w:b/>
                <w:i/>
                <w:iCs/>
              </w:rPr>
            </w:pPr>
            <w:r w:rsidRPr="005D4222">
              <w:t>For each person among nonoutliers, identify risk adjustment weights based on comorbidity, age and gender. Weights are specific to product line (Medicare Under 65, Medicare 65 Plus and commercial). Refer to the reporting indicator column in the risk adjustment tables to ensure that weights are linked appropriately.  </w:t>
            </w:r>
          </w:p>
          <w:p w14:paraId="7BB79D69" w14:textId="77777777" w:rsidR="00FA4C68" w:rsidRPr="005D4222" w:rsidRDefault="00FA4C68" w:rsidP="00A53E8C">
            <w:pPr>
              <w:pStyle w:val="ECDSBody"/>
              <w:rPr>
                <w:b/>
                <w:bCs w:val="0"/>
                <w:iCs/>
              </w:rPr>
            </w:pPr>
            <w:r w:rsidRPr="005D4222">
              <w:rPr>
                <w:b/>
                <w:bCs w:val="0"/>
              </w:rPr>
              <w:t>Comorbidities:</w:t>
            </w:r>
          </w:p>
          <w:p w14:paraId="4E1EBB3B" w14:textId="77777777" w:rsidR="00FA4C68" w:rsidRPr="005D4222" w:rsidRDefault="00FA4C68" w:rsidP="00A53E8C">
            <w:pPr>
              <w:pStyle w:val="ECDSBody"/>
            </w:pPr>
            <w:r w:rsidRPr="005D4222">
              <w:rPr>
                <w:b/>
              </w:rPr>
              <w:t xml:space="preserve">Step 1. </w:t>
            </w:r>
            <w:r w:rsidRPr="005D4222">
              <w:t>Identify all diagnoses for encounters during the year prior to the measurement period. Include the following when identifying encounters:</w:t>
            </w:r>
          </w:p>
          <w:p w14:paraId="0C01AA77" w14:textId="77777777" w:rsidR="00FA4C68" w:rsidRPr="005D4222" w:rsidRDefault="00FA4C68" w:rsidP="00FA4C68">
            <w:pPr>
              <w:pStyle w:val="Bullet"/>
              <w:numPr>
                <w:ilvl w:val="0"/>
                <w:numId w:val="4"/>
              </w:numPr>
              <w:tabs>
                <w:tab w:val="left" w:pos="360"/>
                <w:tab w:val="left" w:pos="576"/>
              </w:tabs>
              <w:spacing w:before="60" w:after="80"/>
              <w:ind w:left="576" w:hanging="216"/>
            </w:pPr>
            <w:r w:rsidRPr="005D4222">
              <w:t>Outpatient visits, ED visits, telephone visits, nonacute inpatient encounters and acute inpatient encounters (</w:t>
            </w:r>
            <w:r w:rsidRPr="005D4222">
              <w:rPr>
                <w:u w:val="single"/>
              </w:rPr>
              <w:t>Outpatient, ED, Telephone, Acute Inpatient and Nonacute Inpatient Value Set</w:t>
            </w:r>
            <w:r w:rsidRPr="005D4222">
              <w:t>) with a date of service during the year prior to the measurement period</w:t>
            </w:r>
            <w:r w:rsidRPr="005D4222">
              <w:rPr>
                <w:szCs w:val="21"/>
              </w:rPr>
              <w:t xml:space="preserve">. </w:t>
            </w:r>
          </w:p>
          <w:p w14:paraId="3193D607" w14:textId="2FADDB67" w:rsidR="00FA4C68" w:rsidRPr="005D4222" w:rsidRDefault="00FA4C68" w:rsidP="00564D6E">
            <w:pPr>
              <w:pStyle w:val="Bullet"/>
              <w:numPr>
                <w:ilvl w:val="0"/>
                <w:numId w:val="4"/>
              </w:numPr>
              <w:tabs>
                <w:tab w:val="left" w:pos="360"/>
                <w:tab w:val="left" w:pos="576"/>
              </w:tabs>
              <w:spacing w:after="80"/>
              <w:ind w:left="576" w:hanging="216"/>
              <w:rPr>
                <w:rFonts w:eastAsiaTheme="minorEastAsia"/>
                <w:lang w:eastAsia="zh-CN"/>
              </w:rPr>
            </w:pPr>
            <w:r w:rsidRPr="005D4222">
              <w:t>Acute and nonacute inpatient discharges (</w:t>
            </w:r>
            <w:r w:rsidRPr="005D4222">
              <w:rPr>
                <w:u w:val="single"/>
              </w:rPr>
              <w:t>Inpatient Stay Value Set</w:t>
            </w:r>
            <w:r w:rsidRPr="005D4222">
              <w:t>) with a discharge date during the year prior to the measurement period</w:t>
            </w:r>
            <w:r w:rsidRPr="005D4222">
              <w:rPr>
                <w:szCs w:val="21"/>
              </w:rPr>
              <w:t xml:space="preserve">. </w:t>
            </w:r>
          </w:p>
        </w:tc>
      </w:tr>
    </w:tbl>
    <w:p w14:paraId="3BC6B843" w14:textId="77777777" w:rsidR="00564D6E" w:rsidRPr="005D4222" w:rsidRDefault="00564D6E"/>
    <w:tbl>
      <w:tblPr>
        <w:tblW w:w="9714" w:type="dxa"/>
        <w:tblBorders>
          <w:top w:val="single" w:sz="4" w:space="0" w:color="auto"/>
          <w:left w:val="single" w:sz="2" w:space="0" w:color="auto"/>
          <w:bottom w:val="single" w:sz="4" w:space="0" w:color="auto"/>
          <w:right w:val="single" w:sz="2" w:space="0" w:color="auto"/>
          <w:insideH w:val="single" w:sz="4" w:space="0" w:color="auto"/>
          <w:insideV w:val="single" w:sz="4" w:space="0" w:color="auto"/>
        </w:tblBorders>
        <w:tblLayout w:type="fixed"/>
        <w:tblCellMar>
          <w:left w:w="15" w:type="dxa"/>
          <w:bottom w:w="40" w:type="dxa"/>
          <w:right w:w="15" w:type="dxa"/>
        </w:tblCellMar>
        <w:tblLook w:val="04A0" w:firstRow="1" w:lastRow="0" w:firstColumn="1" w:lastColumn="0" w:noHBand="0" w:noVBand="1"/>
      </w:tblPr>
      <w:tblGrid>
        <w:gridCol w:w="2157"/>
        <w:gridCol w:w="7557"/>
      </w:tblGrid>
      <w:tr w:rsidR="00564D6E" w:rsidRPr="005D4222" w14:paraId="7927467B" w14:textId="77777777" w:rsidTr="001319A7">
        <w:tc>
          <w:tcPr>
            <w:tcW w:w="2157" w:type="dxa"/>
            <w:shd w:val="clear" w:color="auto" w:fill="BFBFBF" w:themeFill="background1" w:themeFillShade="BF"/>
            <w:tcMar>
              <w:top w:w="0" w:type="dxa"/>
              <w:left w:w="86" w:type="dxa"/>
              <w:bottom w:w="43" w:type="dxa"/>
              <w:right w:w="86" w:type="dxa"/>
            </w:tcMar>
          </w:tcPr>
          <w:p w14:paraId="3638BBFC" w14:textId="77777777" w:rsidR="00564D6E" w:rsidRPr="005D4222" w:rsidRDefault="00564D6E" w:rsidP="00A53E8C">
            <w:pPr>
              <w:pStyle w:val="MarginHead"/>
              <w:rPr>
                <w:rFonts w:cs="Arial"/>
                <w:bCs/>
              </w:rPr>
            </w:pPr>
          </w:p>
        </w:tc>
        <w:tc>
          <w:tcPr>
            <w:tcW w:w="7557" w:type="dxa"/>
            <w:tcMar>
              <w:left w:w="86" w:type="dxa"/>
              <w:bottom w:w="43" w:type="dxa"/>
              <w:right w:w="86" w:type="dxa"/>
            </w:tcMar>
          </w:tcPr>
          <w:p w14:paraId="4F9658EE" w14:textId="77777777" w:rsidR="00564D6E" w:rsidRPr="005D4222" w:rsidRDefault="00564D6E" w:rsidP="00564D6E">
            <w:pPr>
              <w:pStyle w:val="ECDSBody"/>
              <w:rPr>
                <w:b/>
              </w:rPr>
            </w:pPr>
            <w:r w:rsidRPr="005D4222">
              <w:rPr>
                <w:b/>
              </w:rPr>
              <w:t xml:space="preserve">Step 2. </w:t>
            </w:r>
            <w:r w:rsidRPr="005D4222">
              <w:t>Assign each diagnosis to one or more comorbid Clinical Condition (CC) category using Table CC—Mapping in the Risk Adjustment Shared Tables. If the code appears more than once in Table CC—Mapping, it is assigned to multiple CCs.</w:t>
            </w:r>
          </w:p>
          <w:p w14:paraId="55DE928D" w14:textId="77777777" w:rsidR="00564D6E" w:rsidRPr="005D4222" w:rsidRDefault="00564D6E" w:rsidP="00564D6E">
            <w:pPr>
              <w:pStyle w:val="ECDSBody"/>
            </w:pPr>
            <w:r w:rsidRPr="005D4222">
              <w:t xml:space="preserve">Exclude all diagnoses that cannot be assigned to a comorbid CC category. For persons with no qualifying diagnoses from face-to-face encounters, skip to </w:t>
            </w:r>
            <w:r w:rsidRPr="005D4222">
              <w:rPr>
                <w:i/>
              </w:rPr>
              <w:t>Risk Adjustment Calculation</w:t>
            </w:r>
            <w:r w:rsidRPr="005D4222">
              <w:t>.</w:t>
            </w:r>
          </w:p>
          <w:p w14:paraId="56A9213C" w14:textId="77777777" w:rsidR="00564D6E" w:rsidRPr="005D4222" w:rsidRDefault="00564D6E" w:rsidP="00564D6E">
            <w:pPr>
              <w:pStyle w:val="ECDSBody"/>
            </w:pPr>
            <w:r w:rsidRPr="005D4222">
              <w:t>All digits must match exactly when mapping diagnosis codes to the comorbid CCs.</w:t>
            </w:r>
          </w:p>
          <w:p w14:paraId="316CD7DC" w14:textId="77777777" w:rsidR="00564D6E" w:rsidRPr="005D4222" w:rsidRDefault="00564D6E" w:rsidP="00564D6E">
            <w:pPr>
              <w:pStyle w:val="ECDSBody"/>
            </w:pPr>
            <w:r w:rsidRPr="005D4222">
              <w:rPr>
                <w:b/>
                <w:i/>
                <w:iCs/>
              </w:rPr>
              <w:t xml:space="preserve">Step 3. </w:t>
            </w:r>
            <w:r w:rsidRPr="005D4222">
              <w:t>Determine HCCs for each comorbid CC identified. Refer to Table HCC—Rank.</w:t>
            </w:r>
          </w:p>
          <w:p w14:paraId="37A1DD54" w14:textId="77777777" w:rsidR="00564D6E" w:rsidRPr="005D4222" w:rsidRDefault="00564D6E" w:rsidP="00564D6E">
            <w:pPr>
              <w:pStyle w:val="ECDSBody"/>
            </w:pPr>
            <w:r w:rsidRPr="005D4222">
              <w:t>For each person’s comorbid CC list, match the comorbid CC code to the comorbid CC code in the table, and assign:</w:t>
            </w:r>
          </w:p>
          <w:p w14:paraId="57B4A127" w14:textId="77777777" w:rsidR="00564D6E" w:rsidRPr="005D4222" w:rsidRDefault="00564D6E" w:rsidP="00564D6E">
            <w:pPr>
              <w:pStyle w:val="Bullet"/>
              <w:numPr>
                <w:ilvl w:val="0"/>
                <w:numId w:val="4"/>
              </w:numPr>
              <w:tabs>
                <w:tab w:val="left" w:pos="360"/>
                <w:tab w:val="left" w:pos="576"/>
              </w:tabs>
              <w:ind w:left="576" w:hanging="216"/>
            </w:pPr>
            <w:r w:rsidRPr="005D4222">
              <w:t>The ranking group.</w:t>
            </w:r>
          </w:p>
          <w:p w14:paraId="47973381" w14:textId="77777777" w:rsidR="00564D6E" w:rsidRPr="005D4222" w:rsidRDefault="00564D6E" w:rsidP="00564D6E">
            <w:pPr>
              <w:pStyle w:val="Bullet"/>
              <w:numPr>
                <w:ilvl w:val="0"/>
                <w:numId w:val="4"/>
              </w:numPr>
              <w:tabs>
                <w:tab w:val="left" w:pos="360"/>
                <w:tab w:val="left" w:pos="576"/>
              </w:tabs>
              <w:ind w:left="576" w:hanging="216"/>
            </w:pPr>
            <w:r w:rsidRPr="005D4222">
              <w:t>The rank.</w:t>
            </w:r>
          </w:p>
          <w:p w14:paraId="0E9FA9A4" w14:textId="77777777" w:rsidR="00564D6E" w:rsidRPr="005D4222" w:rsidRDefault="00564D6E" w:rsidP="00564D6E">
            <w:pPr>
              <w:pStyle w:val="Bullet"/>
              <w:numPr>
                <w:ilvl w:val="0"/>
                <w:numId w:val="4"/>
              </w:numPr>
              <w:tabs>
                <w:tab w:val="left" w:pos="360"/>
                <w:tab w:val="left" w:pos="576"/>
              </w:tabs>
              <w:ind w:left="576" w:hanging="216"/>
            </w:pPr>
            <w:r w:rsidRPr="005D4222">
              <w:t>The HCC.</w:t>
            </w:r>
          </w:p>
          <w:p w14:paraId="1E3BC0E3" w14:textId="77777777" w:rsidR="00564D6E" w:rsidRPr="005D4222" w:rsidRDefault="00564D6E" w:rsidP="00564D6E">
            <w:pPr>
              <w:pStyle w:val="ECDSBody"/>
            </w:pPr>
            <w:r w:rsidRPr="005D4222">
              <w:t>For comorbid CCs that do not match to Table HCC—Rank, use the comorbid CC as the HCC and assign a rank of 1. One comorbid CC can map to multiple HCCs; each HCC can have one or more comorbid CCs.</w:t>
            </w:r>
          </w:p>
          <w:p w14:paraId="756382CD" w14:textId="77777777" w:rsidR="00564D6E" w:rsidRPr="005D4222" w:rsidRDefault="00564D6E" w:rsidP="00564D6E">
            <w:pPr>
              <w:pStyle w:val="ECDSBody"/>
              <w:rPr>
                <w:b/>
              </w:rPr>
            </w:pPr>
            <w:r w:rsidRPr="005D4222">
              <w:rPr>
                <w:b/>
                <w:bCs w:val="0"/>
              </w:rPr>
              <w:t>Step 4.</w:t>
            </w:r>
            <w:r w:rsidRPr="005D4222">
              <w:t xml:space="preserve"> Assess each ranking group separately and select only the highest ranked HCC in each ranking group using the “Rank” column (1 is the highest rank possible). </w:t>
            </w:r>
          </w:p>
          <w:p w14:paraId="059DF779" w14:textId="77777777" w:rsidR="00564D6E" w:rsidRPr="005D4222" w:rsidRDefault="00564D6E" w:rsidP="00564D6E">
            <w:pPr>
              <w:pStyle w:val="ECDSBody"/>
              <w:rPr>
                <w:b/>
              </w:rPr>
            </w:pPr>
            <w:r w:rsidRPr="005D4222">
              <w:t>Drop all other HCCs in each ranking group, and de-duplicate the HCC list if necessary.</w:t>
            </w:r>
          </w:p>
          <w:p w14:paraId="182BA052" w14:textId="77777777" w:rsidR="00564D6E" w:rsidRPr="005D4222" w:rsidRDefault="00564D6E" w:rsidP="00564D6E">
            <w:pPr>
              <w:pStyle w:val="Bullet"/>
              <w:numPr>
                <w:ilvl w:val="0"/>
                <w:numId w:val="4"/>
              </w:numPr>
              <w:tabs>
                <w:tab w:val="left" w:pos="360"/>
                <w:tab w:val="left" w:pos="576"/>
              </w:tabs>
              <w:ind w:left="576" w:hanging="216"/>
            </w:pPr>
            <w:r w:rsidRPr="005D4222">
              <w:rPr>
                <w:bCs/>
                <w:i/>
                <w:iCs/>
              </w:rPr>
              <w:t>For e</w:t>
            </w:r>
            <w:r w:rsidRPr="005D4222">
              <w:rPr>
                <w:i/>
                <w:iCs/>
              </w:rPr>
              <w:t xml:space="preserve">xample, </w:t>
            </w:r>
            <w:r w:rsidRPr="005D4222">
              <w:t xml:space="preserve">assume a person with the following comorbid CCs: CC-85, CC-17 and CC-19 (assume no other CCs). </w:t>
            </w:r>
          </w:p>
          <w:p w14:paraId="5CB22894" w14:textId="77777777" w:rsidR="00564D6E" w:rsidRPr="005D4222" w:rsidRDefault="00564D6E" w:rsidP="00564D6E">
            <w:pPr>
              <w:pStyle w:val="Dash"/>
              <w:tabs>
                <w:tab w:val="left" w:pos="576"/>
                <w:tab w:val="left" w:pos="792"/>
              </w:tabs>
            </w:pPr>
            <w:r w:rsidRPr="005D4222">
              <w:t xml:space="preserve">CC-85 does not have a map to the ranking table and becomes </w:t>
            </w:r>
            <w:r w:rsidRPr="005D4222">
              <w:br/>
              <w:t>HCC-85.</w:t>
            </w:r>
          </w:p>
          <w:p w14:paraId="39CB97D9" w14:textId="77777777" w:rsidR="00564D6E" w:rsidRPr="005D4222" w:rsidRDefault="00564D6E" w:rsidP="00564D6E">
            <w:pPr>
              <w:pStyle w:val="Dash"/>
              <w:tabs>
                <w:tab w:val="left" w:pos="576"/>
                <w:tab w:val="left" w:pos="792"/>
              </w:tabs>
              <w:spacing w:after="80"/>
              <w:rPr>
                <w:rFonts w:eastAsiaTheme="minorEastAsia" w:cs="Arial"/>
                <w:color w:val="000000"/>
                <w:sz w:val="20"/>
                <w:lang w:eastAsia="zh-CN"/>
              </w:rPr>
            </w:pPr>
            <w:r w:rsidRPr="005D4222">
              <w:t xml:space="preserve">HCC-17 and HCC-19 are part of Diabetes Ranking Group 1. Because CC-17 is ranked higher than CC-19 in Ranking Group Diabetes 1, the comorbidity is assigned as HCC-17 for Ranking Group 1. </w:t>
            </w:r>
          </w:p>
          <w:p w14:paraId="528D30C1" w14:textId="77777777" w:rsidR="00564D6E" w:rsidRPr="005D4222" w:rsidRDefault="00564D6E" w:rsidP="00564D6E">
            <w:pPr>
              <w:pStyle w:val="ECDSBody"/>
              <w:ind w:left="576"/>
            </w:pPr>
            <w:r w:rsidRPr="005D4222">
              <w:t>The final comorbidities for this person are HCC-17 and HCC-85.</w:t>
            </w:r>
          </w:p>
          <w:p w14:paraId="0D943C8D" w14:textId="77777777" w:rsidR="00564D6E" w:rsidRPr="005D4222" w:rsidRDefault="00564D6E" w:rsidP="00564D6E">
            <w:pPr>
              <w:pStyle w:val="Heading3"/>
              <w:spacing w:before="120"/>
            </w:pPr>
            <w:r w:rsidRPr="005D4222">
              <w:t>Table HCC—Rank</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1"/>
              <w:gridCol w:w="862"/>
              <w:gridCol w:w="3233"/>
              <w:gridCol w:w="900"/>
              <w:gridCol w:w="1079"/>
            </w:tblGrid>
            <w:tr w:rsidR="00564D6E" w:rsidRPr="005D4222" w14:paraId="320B7A8A" w14:textId="77777777" w:rsidTr="00A53E8C">
              <w:trPr>
                <w:trHeight w:val="324"/>
              </w:trPr>
              <w:tc>
                <w:tcPr>
                  <w:tcW w:w="1301" w:type="dxa"/>
                  <w:tcBorders>
                    <w:right w:val="single" w:sz="6" w:space="0" w:color="FFFFFF" w:themeColor="background1"/>
                  </w:tcBorders>
                  <w:shd w:val="clear" w:color="auto" w:fill="000000" w:themeFill="text1"/>
                  <w:vAlign w:val="bottom"/>
                  <w:hideMark/>
                </w:tcPr>
                <w:p w14:paraId="0AE397EF" w14:textId="77777777" w:rsidR="00564D6E" w:rsidRPr="005D4222" w:rsidRDefault="00564D6E" w:rsidP="00564D6E">
                  <w:pPr>
                    <w:pStyle w:val="TableHead"/>
                    <w:rPr>
                      <w:color w:val="auto"/>
                    </w:rPr>
                  </w:pPr>
                  <w:r w:rsidRPr="005D4222">
                    <w:rPr>
                      <w:color w:val="auto"/>
                    </w:rPr>
                    <w:t>Ranking Group</w:t>
                  </w:r>
                </w:p>
              </w:tc>
              <w:tc>
                <w:tcPr>
                  <w:tcW w:w="862" w:type="dxa"/>
                  <w:tcBorders>
                    <w:left w:val="single" w:sz="6" w:space="0" w:color="FFFFFF" w:themeColor="background1"/>
                    <w:right w:val="single" w:sz="6" w:space="0" w:color="FFFFFF" w:themeColor="background1"/>
                  </w:tcBorders>
                  <w:shd w:val="clear" w:color="auto" w:fill="000000" w:themeFill="text1"/>
                  <w:vAlign w:val="bottom"/>
                  <w:hideMark/>
                </w:tcPr>
                <w:p w14:paraId="584873D4" w14:textId="77777777" w:rsidR="00564D6E" w:rsidRPr="005D4222" w:rsidRDefault="00564D6E" w:rsidP="00564D6E">
                  <w:pPr>
                    <w:pStyle w:val="TableHead"/>
                    <w:rPr>
                      <w:color w:val="auto"/>
                    </w:rPr>
                  </w:pPr>
                  <w:r w:rsidRPr="005D4222">
                    <w:rPr>
                      <w:color w:val="auto"/>
                    </w:rPr>
                    <w:t>CC</w:t>
                  </w:r>
                </w:p>
              </w:tc>
              <w:tc>
                <w:tcPr>
                  <w:tcW w:w="3233" w:type="dxa"/>
                  <w:tcBorders>
                    <w:left w:val="single" w:sz="6" w:space="0" w:color="FFFFFF" w:themeColor="background1"/>
                    <w:right w:val="single" w:sz="6" w:space="0" w:color="FFFFFF" w:themeColor="background1"/>
                  </w:tcBorders>
                  <w:shd w:val="clear" w:color="auto" w:fill="000000" w:themeFill="text1"/>
                  <w:vAlign w:val="bottom"/>
                  <w:hideMark/>
                </w:tcPr>
                <w:p w14:paraId="6E907B35" w14:textId="77777777" w:rsidR="00564D6E" w:rsidRPr="005D4222" w:rsidRDefault="00564D6E" w:rsidP="00564D6E">
                  <w:pPr>
                    <w:pStyle w:val="TableHead"/>
                    <w:rPr>
                      <w:color w:val="auto"/>
                    </w:rPr>
                  </w:pPr>
                  <w:r w:rsidRPr="005D4222">
                    <w:rPr>
                      <w:color w:val="auto"/>
                    </w:rPr>
                    <w:t>Description</w:t>
                  </w:r>
                </w:p>
              </w:tc>
              <w:tc>
                <w:tcPr>
                  <w:tcW w:w="900" w:type="dxa"/>
                  <w:tcBorders>
                    <w:left w:val="single" w:sz="6" w:space="0" w:color="FFFFFF" w:themeColor="background1"/>
                    <w:right w:val="single" w:sz="6" w:space="0" w:color="FFFFFF" w:themeColor="background1"/>
                  </w:tcBorders>
                  <w:shd w:val="clear" w:color="auto" w:fill="000000" w:themeFill="text1"/>
                  <w:vAlign w:val="bottom"/>
                  <w:hideMark/>
                </w:tcPr>
                <w:p w14:paraId="37D38F60" w14:textId="77777777" w:rsidR="00564D6E" w:rsidRPr="005D4222" w:rsidRDefault="00564D6E" w:rsidP="00564D6E">
                  <w:pPr>
                    <w:pStyle w:val="TableHead"/>
                    <w:rPr>
                      <w:color w:val="auto"/>
                    </w:rPr>
                  </w:pPr>
                  <w:r w:rsidRPr="005D4222">
                    <w:rPr>
                      <w:color w:val="auto"/>
                    </w:rPr>
                    <w:t>Rank</w:t>
                  </w:r>
                </w:p>
              </w:tc>
              <w:tc>
                <w:tcPr>
                  <w:tcW w:w="1079" w:type="dxa"/>
                  <w:tcBorders>
                    <w:left w:val="single" w:sz="6" w:space="0" w:color="FFFFFF" w:themeColor="background1"/>
                  </w:tcBorders>
                  <w:shd w:val="clear" w:color="auto" w:fill="000000" w:themeFill="text1"/>
                  <w:vAlign w:val="bottom"/>
                  <w:hideMark/>
                </w:tcPr>
                <w:p w14:paraId="4A3017BD" w14:textId="77777777" w:rsidR="00564D6E" w:rsidRPr="005D4222" w:rsidRDefault="00564D6E" w:rsidP="00564D6E">
                  <w:pPr>
                    <w:pStyle w:val="TableHead"/>
                    <w:rPr>
                      <w:color w:val="auto"/>
                    </w:rPr>
                  </w:pPr>
                  <w:r w:rsidRPr="005D4222">
                    <w:rPr>
                      <w:color w:val="auto"/>
                    </w:rPr>
                    <w:t>HCC</w:t>
                  </w:r>
                </w:p>
              </w:tc>
            </w:tr>
            <w:tr w:rsidR="00564D6E" w:rsidRPr="005D4222" w14:paraId="25856907" w14:textId="77777777" w:rsidTr="00A53E8C">
              <w:trPr>
                <w:trHeight w:val="336"/>
              </w:trPr>
              <w:tc>
                <w:tcPr>
                  <w:tcW w:w="1301" w:type="dxa"/>
                  <w:tcBorders>
                    <w:bottom w:val="single" w:sz="4" w:space="0" w:color="000000" w:themeColor="text1"/>
                  </w:tcBorders>
                  <w:hideMark/>
                </w:tcPr>
                <w:p w14:paraId="7D68C18B" w14:textId="77777777" w:rsidR="00564D6E" w:rsidRPr="005D4222" w:rsidRDefault="00564D6E" w:rsidP="00564D6E">
                  <w:pPr>
                    <w:pStyle w:val="TableText"/>
                  </w:pPr>
                  <w:r w:rsidRPr="005D4222">
                    <w:t>NA</w:t>
                  </w:r>
                </w:p>
              </w:tc>
              <w:tc>
                <w:tcPr>
                  <w:tcW w:w="862" w:type="dxa"/>
                  <w:tcBorders>
                    <w:bottom w:val="single" w:sz="4" w:space="0" w:color="000000" w:themeColor="text1"/>
                  </w:tcBorders>
                  <w:hideMark/>
                </w:tcPr>
                <w:p w14:paraId="36D5E14A" w14:textId="77777777" w:rsidR="00564D6E" w:rsidRPr="005D4222" w:rsidRDefault="00564D6E" w:rsidP="00564D6E">
                  <w:pPr>
                    <w:pStyle w:val="TableText"/>
                    <w:jc w:val="center"/>
                  </w:pPr>
                  <w:r w:rsidRPr="005D4222">
                    <w:t>CC-85</w:t>
                  </w:r>
                </w:p>
              </w:tc>
              <w:tc>
                <w:tcPr>
                  <w:tcW w:w="3233" w:type="dxa"/>
                  <w:tcBorders>
                    <w:bottom w:val="single" w:sz="4" w:space="0" w:color="000000" w:themeColor="text1"/>
                  </w:tcBorders>
                  <w:hideMark/>
                </w:tcPr>
                <w:p w14:paraId="4630AE06" w14:textId="77777777" w:rsidR="00564D6E" w:rsidRPr="005D4222" w:rsidRDefault="00564D6E" w:rsidP="00564D6E">
                  <w:pPr>
                    <w:pStyle w:val="TableText"/>
                  </w:pPr>
                  <w:r w:rsidRPr="005D4222">
                    <w:t>Congestive Heart Failure</w:t>
                  </w:r>
                </w:p>
              </w:tc>
              <w:tc>
                <w:tcPr>
                  <w:tcW w:w="900" w:type="dxa"/>
                  <w:tcBorders>
                    <w:bottom w:val="single" w:sz="4" w:space="0" w:color="000000" w:themeColor="text1"/>
                  </w:tcBorders>
                  <w:hideMark/>
                </w:tcPr>
                <w:p w14:paraId="5490E35C" w14:textId="77777777" w:rsidR="00564D6E" w:rsidRPr="005D4222" w:rsidRDefault="00564D6E" w:rsidP="00564D6E">
                  <w:pPr>
                    <w:pStyle w:val="TableText"/>
                    <w:jc w:val="center"/>
                  </w:pPr>
                  <w:r w:rsidRPr="005D4222">
                    <w:t>NA</w:t>
                  </w:r>
                </w:p>
              </w:tc>
              <w:tc>
                <w:tcPr>
                  <w:tcW w:w="1079" w:type="dxa"/>
                  <w:tcBorders>
                    <w:bottom w:val="single" w:sz="4" w:space="0" w:color="000000" w:themeColor="text1"/>
                  </w:tcBorders>
                  <w:hideMark/>
                </w:tcPr>
                <w:p w14:paraId="556F2FB0" w14:textId="77777777" w:rsidR="00564D6E" w:rsidRPr="005D4222" w:rsidRDefault="00564D6E" w:rsidP="00564D6E">
                  <w:pPr>
                    <w:pStyle w:val="TableText"/>
                    <w:jc w:val="center"/>
                  </w:pPr>
                  <w:r w:rsidRPr="005D4222">
                    <w:t>HCC-85</w:t>
                  </w:r>
                </w:p>
              </w:tc>
            </w:tr>
            <w:tr w:rsidR="00564D6E" w:rsidRPr="005D4222" w14:paraId="5D2B31E8" w14:textId="77777777" w:rsidTr="00A53E8C">
              <w:trPr>
                <w:trHeight w:val="324"/>
              </w:trPr>
              <w:tc>
                <w:tcPr>
                  <w:tcW w:w="1301" w:type="dxa"/>
                  <w:vMerge w:val="restart"/>
                  <w:shd w:val="clear" w:color="auto" w:fill="FFFFFF" w:themeFill="background1"/>
                  <w:vAlign w:val="center"/>
                  <w:hideMark/>
                </w:tcPr>
                <w:p w14:paraId="0A1AEF36" w14:textId="77777777" w:rsidR="00564D6E" w:rsidRPr="005D4222" w:rsidRDefault="00564D6E" w:rsidP="00564D6E">
                  <w:pPr>
                    <w:pStyle w:val="TableText"/>
                    <w:rPr>
                      <w:rFonts w:cs="Arial"/>
                    </w:rPr>
                  </w:pPr>
                  <w:r w:rsidRPr="005D4222">
                    <w:rPr>
                      <w:rFonts w:cs="Arial"/>
                    </w:rPr>
                    <w:t xml:space="preserve">Diabetes 1 </w:t>
                  </w:r>
                </w:p>
              </w:tc>
              <w:tc>
                <w:tcPr>
                  <w:tcW w:w="862" w:type="dxa"/>
                  <w:tcBorders>
                    <w:top w:val="single" w:sz="4" w:space="0" w:color="000000" w:themeColor="text1"/>
                    <w:bottom w:val="single" w:sz="4" w:space="0" w:color="808080" w:themeColor="background1" w:themeShade="80"/>
                  </w:tcBorders>
                  <w:shd w:val="clear" w:color="auto" w:fill="FFFFFF" w:themeFill="background1"/>
                  <w:hideMark/>
                </w:tcPr>
                <w:p w14:paraId="4657B0E6" w14:textId="77777777" w:rsidR="00564D6E" w:rsidRPr="005D4222" w:rsidRDefault="00564D6E" w:rsidP="00564D6E">
                  <w:pPr>
                    <w:pStyle w:val="TableText"/>
                    <w:jc w:val="center"/>
                    <w:rPr>
                      <w:rFonts w:cs="Arial"/>
                    </w:rPr>
                  </w:pPr>
                  <w:r w:rsidRPr="005D4222">
                    <w:rPr>
                      <w:rFonts w:cs="Arial"/>
                    </w:rPr>
                    <w:t>CC-17</w:t>
                  </w:r>
                </w:p>
              </w:tc>
              <w:tc>
                <w:tcPr>
                  <w:tcW w:w="3233" w:type="dxa"/>
                  <w:tcBorders>
                    <w:top w:val="single" w:sz="4" w:space="0" w:color="000000" w:themeColor="text1"/>
                    <w:bottom w:val="single" w:sz="4" w:space="0" w:color="808080" w:themeColor="background1" w:themeShade="80"/>
                  </w:tcBorders>
                  <w:shd w:val="clear" w:color="auto" w:fill="FFFFFF" w:themeFill="background1"/>
                  <w:hideMark/>
                </w:tcPr>
                <w:p w14:paraId="2D2A4FEE" w14:textId="77777777" w:rsidR="00564D6E" w:rsidRPr="005D4222" w:rsidRDefault="00564D6E" w:rsidP="00564D6E">
                  <w:pPr>
                    <w:pStyle w:val="TableText"/>
                    <w:rPr>
                      <w:rFonts w:cs="Arial"/>
                    </w:rPr>
                  </w:pPr>
                  <w:r w:rsidRPr="005D4222">
                    <w:rPr>
                      <w:rFonts w:cs="Arial"/>
                    </w:rPr>
                    <w:t xml:space="preserve">Diabetes With Acute Complications </w:t>
                  </w:r>
                </w:p>
              </w:tc>
              <w:tc>
                <w:tcPr>
                  <w:tcW w:w="900" w:type="dxa"/>
                  <w:tcBorders>
                    <w:top w:val="single" w:sz="4" w:space="0" w:color="000000" w:themeColor="text1"/>
                    <w:bottom w:val="single" w:sz="4" w:space="0" w:color="808080" w:themeColor="background1" w:themeShade="80"/>
                  </w:tcBorders>
                  <w:shd w:val="clear" w:color="auto" w:fill="FFFFFF" w:themeFill="background1"/>
                  <w:hideMark/>
                </w:tcPr>
                <w:p w14:paraId="4B493846" w14:textId="77777777" w:rsidR="00564D6E" w:rsidRPr="005D4222" w:rsidRDefault="00564D6E" w:rsidP="00564D6E">
                  <w:pPr>
                    <w:pStyle w:val="TableText"/>
                    <w:jc w:val="center"/>
                    <w:rPr>
                      <w:rFonts w:cs="Arial"/>
                    </w:rPr>
                  </w:pPr>
                  <w:r w:rsidRPr="005D4222">
                    <w:rPr>
                      <w:rFonts w:cs="Arial"/>
                    </w:rPr>
                    <w:t>1</w:t>
                  </w:r>
                </w:p>
              </w:tc>
              <w:tc>
                <w:tcPr>
                  <w:tcW w:w="1079" w:type="dxa"/>
                  <w:tcBorders>
                    <w:top w:val="single" w:sz="4" w:space="0" w:color="000000" w:themeColor="text1"/>
                    <w:bottom w:val="single" w:sz="4" w:space="0" w:color="808080" w:themeColor="background1" w:themeShade="80"/>
                  </w:tcBorders>
                  <w:shd w:val="clear" w:color="auto" w:fill="FFFFFF" w:themeFill="background1"/>
                  <w:hideMark/>
                </w:tcPr>
                <w:p w14:paraId="5300B4F6" w14:textId="77777777" w:rsidR="00564D6E" w:rsidRPr="005D4222" w:rsidRDefault="00564D6E" w:rsidP="00564D6E">
                  <w:pPr>
                    <w:pStyle w:val="TableText"/>
                    <w:jc w:val="center"/>
                    <w:rPr>
                      <w:rFonts w:cs="Arial"/>
                    </w:rPr>
                  </w:pPr>
                  <w:r w:rsidRPr="005D4222">
                    <w:rPr>
                      <w:rFonts w:cs="Arial"/>
                    </w:rPr>
                    <w:t>HCC-17</w:t>
                  </w:r>
                </w:p>
              </w:tc>
            </w:tr>
            <w:tr w:rsidR="00564D6E" w:rsidRPr="005D4222" w14:paraId="573C2F39" w14:textId="77777777" w:rsidTr="00A53E8C">
              <w:trPr>
                <w:trHeight w:val="346"/>
              </w:trPr>
              <w:tc>
                <w:tcPr>
                  <w:tcW w:w="1301" w:type="dxa"/>
                  <w:vMerge/>
                  <w:shd w:val="clear" w:color="auto" w:fill="FFFFFF" w:themeFill="background1"/>
                  <w:hideMark/>
                </w:tcPr>
                <w:p w14:paraId="5D268ABD" w14:textId="77777777" w:rsidR="00564D6E" w:rsidRPr="005D4222" w:rsidRDefault="00564D6E" w:rsidP="00564D6E">
                  <w:pPr>
                    <w:pStyle w:val="TableText"/>
                    <w:rPr>
                      <w:rFonts w:cs="Arial"/>
                    </w:rPr>
                  </w:pPr>
                </w:p>
              </w:tc>
              <w:tc>
                <w:tcPr>
                  <w:tcW w:w="862" w:type="dxa"/>
                  <w:tcBorders>
                    <w:top w:val="single" w:sz="4" w:space="0" w:color="808080" w:themeColor="background1" w:themeShade="80"/>
                    <w:bottom w:val="single" w:sz="4" w:space="0" w:color="808080" w:themeColor="background1" w:themeShade="80"/>
                  </w:tcBorders>
                  <w:shd w:val="clear" w:color="auto" w:fill="FFFFFF" w:themeFill="background1"/>
                  <w:hideMark/>
                </w:tcPr>
                <w:p w14:paraId="2AA55F5C" w14:textId="77777777" w:rsidR="00564D6E" w:rsidRPr="005D4222" w:rsidRDefault="00564D6E" w:rsidP="00564D6E">
                  <w:pPr>
                    <w:pStyle w:val="TableText"/>
                    <w:jc w:val="center"/>
                    <w:rPr>
                      <w:rFonts w:cs="Arial"/>
                    </w:rPr>
                  </w:pPr>
                  <w:r w:rsidRPr="005D4222">
                    <w:rPr>
                      <w:rFonts w:cs="Arial"/>
                    </w:rPr>
                    <w:t>CC-18</w:t>
                  </w:r>
                </w:p>
              </w:tc>
              <w:tc>
                <w:tcPr>
                  <w:tcW w:w="3233" w:type="dxa"/>
                  <w:tcBorders>
                    <w:top w:val="single" w:sz="4" w:space="0" w:color="808080" w:themeColor="background1" w:themeShade="80"/>
                    <w:bottom w:val="single" w:sz="4" w:space="0" w:color="808080" w:themeColor="background1" w:themeShade="80"/>
                  </w:tcBorders>
                  <w:shd w:val="clear" w:color="auto" w:fill="FFFFFF" w:themeFill="background1"/>
                  <w:hideMark/>
                </w:tcPr>
                <w:p w14:paraId="25481913" w14:textId="77777777" w:rsidR="00564D6E" w:rsidRPr="005D4222" w:rsidRDefault="00564D6E" w:rsidP="00564D6E">
                  <w:pPr>
                    <w:pStyle w:val="TableText"/>
                    <w:rPr>
                      <w:rFonts w:cs="Arial"/>
                    </w:rPr>
                  </w:pPr>
                  <w:r w:rsidRPr="005D4222">
                    <w:rPr>
                      <w:rFonts w:cs="Arial"/>
                    </w:rPr>
                    <w:t xml:space="preserve">Diabetes With Chronic Complications </w:t>
                  </w:r>
                </w:p>
              </w:tc>
              <w:tc>
                <w:tcPr>
                  <w:tcW w:w="900" w:type="dxa"/>
                  <w:tcBorders>
                    <w:top w:val="single" w:sz="4" w:space="0" w:color="808080" w:themeColor="background1" w:themeShade="80"/>
                    <w:bottom w:val="single" w:sz="4" w:space="0" w:color="808080" w:themeColor="background1" w:themeShade="80"/>
                  </w:tcBorders>
                  <w:shd w:val="clear" w:color="auto" w:fill="FFFFFF" w:themeFill="background1"/>
                  <w:hideMark/>
                </w:tcPr>
                <w:p w14:paraId="59F6C0C6" w14:textId="77777777" w:rsidR="00564D6E" w:rsidRPr="005D4222" w:rsidRDefault="00564D6E" w:rsidP="00564D6E">
                  <w:pPr>
                    <w:pStyle w:val="TableText"/>
                    <w:jc w:val="center"/>
                    <w:rPr>
                      <w:rFonts w:cs="Arial"/>
                    </w:rPr>
                  </w:pPr>
                  <w:r w:rsidRPr="005D4222">
                    <w:rPr>
                      <w:rFonts w:cs="Arial"/>
                    </w:rPr>
                    <w:t>2</w:t>
                  </w:r>
                </w:p>
              </w:tc>
              <w:tc>
                <w:tcPr>
                  <w:tcW w:w="1079" w:type="dxa"/>
                  <w:tcBorders>
                    <w:top w:val="single" w:sz="4" w:space="0" w:color="808080" w:themeColor="background1" w:themeShade="80"/>
                    <w:bottom w:val="single" w:sz="4" w:space="0" w:color="808080" w:themeColor="background1" w:themeShade="80"/>
                  </w:tcBorders>
                  <w:shd w:val="clear" w:color="auto" w:fill="FFFFFF" w:themeFill="background1"/>
                  <w:hideMark/>
                </w:tcPr>
                <w:p w14:paraId="6A4E41B8" w14:textId="77777777" w:rsidR="00564D6E" w:rsidRPr="005D4222" w:rsidRDefault="00564D6E" w:rsidP="00564D6E">
                  <w:pPr>
                    <w:pStyle w:val="TableText"/>
                    <w:jc w:val="center"/>
                    <w:rPr>
                      <w:rFonts w:cs="Arial"/>
                    </w:rPr>
                  </w:pPr>
                  <w:r w:rsidRPr="005D4222">
                    <w:rPr>
                      <w:rFonts w:cs="Arial"/>
                    </w:rPr>
                    <w:t>HCC-18</w:t>
                  </w:r>
                </w:p>
              </w:tc>
            </w:tr>
            <w:tr w:rsidR="00564D6E" w:rsidRPr="005D4222" w14:paraId="541537CB" w14:textId="77777777" w:rsidTr="00A53E8C">
              <w:trPr>
                <w:trHeight w:val="336"/>
              </w:trPr>
              <w:tc>
                <w:tcPr>
                  <w:tcW w:w="1301" w:type="dxa"/>
                  <w:vMerge/>
                  <w:shd w:val="clear" w:color="auto" w:fill="FFFFFF" w:themeFill="background1"/>
                  <w:hideMark/>
                </w:tcPr>
                <w:p w14:paraId="3AEC6F74" w14:textId="77777777" w:rsidR="00564D6E" w:rsidRPr="005D4222" w:rsidRDefault="00564D6E" w:rsidP="00564D6E">
                  <w:pPr>
                    <w:pStyle w:val="TableText"/>
                    <w:rPr>
                      <w:rFonts w:cs="Arial"/>
                    </w:rPr>
                  </w:pPr>
                </w:p>
              </w:tc>
              <w:tc>
                <w:tcPr>
                  <w:tcW w:w="862" w:type="dxa"/>
                  <w:tcBorders>
                    <w:top w:val="single" w:sz="4" w:space="0" w:color="808080" w:themeColor="background1" w:themeShade="80"/>
                    <w:bottom w:val="single" w:sz="4" w:space="0" w:color="auto"/>
                  </w:tcBorders>
                  <w:shd w:val="clear" w:color="auto" w:fill="FFFFFF" w:themeFill="background1"/>
                  <w:hideMark/>
                </w:tcPr>
                <w:p w14:paraId="1B7C9580" w14:textId="77777777" w:rsidR="00564D6E" w:rsidRPr="005D4222" w:rsidRDefault="00564D6E" w:rsidP="00564D6E">
                  <w:pPr>
                    <w:pStyle w:val="TableText"/>
                    <w:jc w:val="center"/>
                    <w:rPr>
                      <w:rFonts w:cs="Arial"/>
                    </w:rPr>
                  </w:pPr>
                  <w:r w:rsidRPr="005D4222">
                    <w:rPr>
                      <w:rFonts w:cs="Arial"/>
                    </w:rPr>
                    <w:t>CC-19</w:t>
                  </w:r>
                </w:p>
              </w:tc>
              <w:tc>
                <w:tcPr>
                  <w:tcW w:w="3233" w:type="dxa"/>
                  <w:tcBorders>
                    <w:top w:val="single" w:sz="4" w:space="0" w:color="808080" w:themeColor="background1" w:themeShade="80"/>
                    <w:bottom w:val="single" w:sz="4" w:space="0" w:color="auto"/>
                  </w:tcBorders>
                  <w:shd w:val="clear" w:color="auto" w:fill="FFFFFF" w:themeFill="background1"/>
                  <w:hideMark/>
                </w:tcPr>
                <w:p w14:paraId="1580199B" w14:textId="77777777" w:rsidR="00564D6E" w:rsidRPr="005D4222" w:rsidRDefault="00564D6E" w:rsidP="00564D6E">
                  <w:pPr>
                    <w:pStyle w:val="TableText"/>
                    <w:rPr>
                      <w:rFonts w:cs="Arial"/>
                    </w:rPr>
                  </w:pPr>
                  <w:r w:rsidRPr="005D4222">
                    <w:rPr>
                      <w:rFonts w:cs="Arial"/>
                    </w:rPr>
                    <w:t xml:space="preserve">Diabetes Without Complications </w:t>
                  </w:r>
                </w:p>
              </w:tc>
              <w:tc>
                <w:tcPr>
                  <w:tcW w:w="900" w:type="dxa"/>
                  <w:tcBorders>
                    <w:top w:val="single" w:sz="4" w:space="0" w:color="808080" w:themeColor="background1" w:themeShade="80"/>
                    <w:bottom w:val="single" w:sz="4" w:space="0" w:color="auto"/>
                  </w:tcBorders>
                  <w:shd w:val="clear" w:color="auto" w:fill="FFFFFF" w:themeFill="background1"/>
                  <w:hideMark/>
                </w:tcPr>
                <w:p w14:paraId="6E631B6F" w14:textId="77777777" w:rsidR="00564D6E" w:rsidRPr="005D4222" w:rsidRDefault="00564D6E" w:rsidP="00564D6E">
                  <w:pPr>
                    <w:pStyle w:val="TableText"/>
                    <w:jc w:val="center"/>
                    <w:rPr>
                      <w:rFonts w:cs="Arial"/>
                    </w:rPr>
                  </w:pPr>
                  <w:r w:rsidRPr="005D4222">
                    <w:rPr>
                      <w:rFonts w:cs="Arial"/>
                    </w:rPr>
                    <w:t>3</w:t>
                  </w:r>
                </w:p>
              </w:tc>
              <w:tc>
                <w:tcPr>
                  <w:tcW w:w="1079" w:type="dxa"/>
                  <w:tcBorders>
                    <w:top w:val="single" w:sz="4" w:space="0" w:color="808080" w:themeColor="background1" w:themeShade="80"/>
                    <w:bottom w:val="single" w:sz="4" w:space="0" w:color="auto"/>
                  </w:tcBorders>
                  <w:shd w:val="clear" w:color="auto" w:fill="FFFFFF" w:themeFill="background1"/>
                  <w:hideMark/>
                </w:tcPr>
                <w:p w14:paraId="6B206024" w14:textId="77777777" w:rsidR="00564D6E" w:rsidRPr="005D4222" w:rsidRDefault="00564D6E" w:rsidP="00564D6E">
                  <w:pPr>
                    <w:pStyle w:val="TableText"/>
                    <w:jc w:val="center"/>
                    <w:rPr>
                      <w:rFonts w:cs="Arial"/>
                    </w:rPr>
                  </w:pPr>
                  <w:r w:rsidRPr="005D4222">
                    <w:rPr>
                      <w:rFonts w:cs="Arial"/>
                    </w:rPr>
                    <w:t>HCC-19</w:t>
                  </w:r>
                </w:p>
              </w:tc>
            </w:tr>
          </w:tbl>
          <w:p w14:paraId="39908ABD" w14:textId="77777777" w:rsidR="00564D6E" w:rsidRPr="005D4222" w:rsidRDefault="00564D6E" w:rsidP="00A53E8C">
            <w:pPr>
              <w:pStyle w:val="ECDSBody"/>
              <w:rPr>
                <w:b/>
                <w:bCs w:val="0"/>
                <w:i/>
                <w:iCs/>
              </w:rPr>
            </w:pPr>
          </w:p>
        </w:tc>
      </w:tr>
    </w:tbl>
    <w:p w14:paraId="49C0198E" w14:textId="77777777" w:rsidR="00FA4C68" w:rsidRPr="005D4222" w:rsidRDefault="00FA4C68" w:rsidP="00FA4C68">
      <w:pPr>
        <w:spacing w:after="160" w:line="259" w:lineRule="auto"/>
      </w:pPr>
      <w:r w:rsidRPr="005D4222">
        <w:br w:type="page"/>
      </w:r>
    </w:p>
    <w:tbl>
      <w:tblPr>
        <w:tblW w:w="9714" w:type="dxa"/>
        <w:tblBorders>
          <w:top w:val="single" w:sz="4" w:space="0" w:color="auto"/>
          <w:left w:val="single" w:sz="2" w:space="0" w:color="auto"/>
          <w:bottom w:val="single" w:sz="4" w:space="0" w:color="auto"/>
          <w:right w:val="single" w:sz="2" w:space="0" w:color="auto"/>
          <w:insideH w:val="single" w:sz="4" w:space="0" w:color="auto"/>
          <w:insideV w:val="single" w:sz="4" w:space="0" w:color="auto"/>
        </w:tblBorders>
        <w:tblLayout w:type="fixed"/>
        <w:tblCellMar>
          <w:left w:w="15" w:type="dxa"/>
          <w:bottom w:w="40" w:type="dxa"/>
          <w:right w:w="15" w:type="dxa"/>
        </w:tblCellMar>
        <w:tblLook w:val="04A0" w:firstRow="1" w:lastRow="0" w:firstColumn="1" w:lastColumn="0" w:noHBand="0" w:noVBand="1"/>
      </w:tblPr>
      <w:tblGrid>
        <w:gridCol w:w="2157"/>
        <w:gridCol w:w="7557"/>
      </w:tblGrid>
      <w:tr w:rsidR="00FA4C68" w:rsidRPr="005D4222" w14:paraId="25C40482" w14:textId="77777777" w:rsidTr="00905B6F">
        <w:tc>
          <w:tcPr>
            <w:tcW w:w="2157" w:type="dxa"/>
            <w:tcBorders>
              <w:bottom w:val="single" w:sz="4" w:space="0" w:color="auto"/>
            </w:tcBorders>
            <w:shd w:val="clear" w:color="auto" w:fill="BFBFBF" w:themeFill="background1" w:themeFillShade="BF"/>
            <w:tcMar>
              <w:top w:w="0" w:type="dxa"/>
              <w:left w:w="86" w:type="dxa"/>
              <w:bottom w:w="43" w:type="dxa"/>
              <w:right w:w="86" w:type="dxa"/>
            </w:tcMar>
          </w:tcPr>
          <w:p w14:paraId="69A1396B" w14:textId="77777777" w:rsidR="00FA4C68" w:rsidRPr="005D4222" w:rsidRDefault="00FA4C68" w:rsidP="00D1746D">
            <w:pPr>
              <w:pStyle w:val="MarginHead"/>
              <w:spacing w:before="120"/>
              <w:rPr>
                <w:rFonts w:cs="Arial"/>
                <w:bCs/>
              </w:rPr>
            </w:pPr>
          </w:p>
        </w:tc>
        <w:tc>
          <w:tcPr>
            <w:tcW w:w="7557" w:type="dxa"/>
            <w:tcBorders>
              <w:bottom w:val="single" w:sz="4" w:space="0" w:color="auto"/>
            </w:tcBorders>
            <w:tcMar>
              <w:left w:w="86" w:type="dxa"/>
              <w:bottom w:w="43" w:type="dxa"/>
              <w:right w:w="86" w:type="dxa"/>
            </w:tcMar>
          </w:tcPr>
          <w:p w14:paraId="6924C018" w14:textId="77777777" w:rsidR="00FA4C68" w:rsidRPr="005D4222" w:rsidRDefault="00FA4C68" w:rsidP="00A53E8C">
            <w:pPr>
              <w:pStyle w:val="ECDSBody"/>
            </w:pPr>
            <w:r w:rsidRPr="005D4222">
              <w:rPr>
                <w:b/>
              </w:rPr>
              <w:t xml:space="preserve">Step 5. </w:t>
            </w:r>
            <w:r w:rsidRPr="005D4222">
              <w:t xml:space="preserve">Identify combination HCCs listed in Table HCC—Comb. </w:t>
            </w:r>
          </w:p>
          <w:p w14:paraId="41EA4D15" w14:textId="77777777" w:rsidR="00FA4C68" w:rsidRPr="005D4222" w:rsidRDefault="00FA4C68" w:rsidP="00A53E8C">
            <w:pPr>
              <w:pStyle w:val="ECDSBody"/>
            </w:pPr>
            <w:r w:rsidRPr="005D4222">
              <w:t xml:space="preserve">Some combinations suggest a greater amount of risk when observed together. For example, when diabetes </w:t>
            </w:r>
            <w:r w:rsidRPr="005D4222">
              <w:rPr>
                <w:i/>
                <w:iCs/>
              </w:rPr>
              <w:t xml:space="preserve">and </w:t>
            </w:r>
            <w:r w:rsidRPr="005D4222">
              <w:t xml:space="preserve">CHF are present, an increased amount of risk is evident. Additional HCCs are selected to account for these relationships. </w:t>
            </w:r>
          </w:p>
          <w:p w14:paraId="549BFBD7" w14:textId="77777777" w:rsidR="00FA4C68" w:rsidRPr="005D4222" w:rsidRDefault="00FA4C68" w:rsidP="00A53E8C">
            <w:pPr>
              <w:pStyle w:val="ECDSBody"/>
              <w:rPr>
                <w:i/>
              </w:rPr>
            </w:pPr>
            <w:r w:rsidRPr="005D4222">
              <w:t xml:space="preserve">Compare each person’s list of unique HCCs to those in the </w:t>
            </w:r>
            <w:r w:rsidRPr="005D4222">
              <w:rPr>
                <w:i/>
                <w:iCs/>
              </w:rPr>
              <w:t>Comorbid HCC</w:t>
            </w:r>
            <w:r w:rsidRPr="005D4222">
              <w:t xml:space="preserve"> columns in Table HCC—Comb and assign any additional HCC conditions.</w:t>
            </w:r>
          </w:p>
          <w:p w14:paraId="7F193F71" w14:textId="77777777" w:rsidR="00FA4C68" w:rsidRPr="005D4222" w:rsidRDefault="00FA4C68" w:rsidP="00A53E8C">
            <w:pPr>
              <w:pStyle w:val="ECDSBody"/>
              <w:rPr>
                <w:b/>
              </w:rPr>
            </w:pPr>
            <w:r w:rsidRPr="005D4222">
              <w:rPr>
                <w:i/>
              </w:rPr>
              <w:t xml:space="preserve">If there are overlapping combinations, use both sets of combinations. </w:t>
            </w:r>
            <w:r w:rsidRPr="005D4222">
              <w:t>Based on the combinations, a person can have none, one or more of these added HCCs.</w:t>
            </w:r>
          </w:p>
          <w:p w14:paraId="06A3D82D" w14:textId="217C3D95" w:rsidR="00FA4C68" w:rsidRPr="005D4222" w:rsidRDefault="00FA4C68" w:rsidP="00FA4C68">
            <w:pPr>
              <w:pStyle w:val="Bullet"/>
              <w:numPr>
                <w:ilvl w:val="0"/>
                <w:numId w:val="4"/>
              </w:numPr>
              <w:tabs>
                <w:tab w:val="left" w:pos="360"/>
                <w:tab w:val="left" w:pos="576"/>
              </w:tabs>
              <w:ind w:left="576" w:hanging="216"/>
            </w:pPr>
            <w:r w:rsidRPr="005D4222">
              <w:rPr>
                <w:i/>
                <w:iCs/>
              </w:rPr>
              <w:t>For example,</w:t>
            </w:r>
            <w:r w:rsidRPr="005D4222">
              <w:t xml:space="preserve"> for a person with comorbidities HCC-17 and HCC-85 (assume no other HCCs), assign HCC-901 in addition to HCC-17 and HCC-85. This </w:t>
            </w:r>
            <w:r w:rsidRPr="005D4222">
              <w:rPr>
                <w:i/>
                <w:iCs/>
              </w:rPr>
              <w:t>does not</w:t>
            </w:r>
            <w:r w:rsidRPr="005D4222">
              <w:t xml:space="preserve"> replace HCC-17 and HCC-85.</w:t>
            </w:r>
          </w:p>
          <w:p w14:paraId="56A8EF38" w14:textId="77777777" w:rsidR="00FA4C68" w:rsidRPr="005D4222" w:rsidRDefault="00FA4C68" w:rsidP="00A53E8C">
            <w:pPr>
              <w:pStyle w:val="Heading3"/>
              <w:spacing w:before="120"/>
            </w:pPr>
            <w:r w:rsidRPr="005D4222">
              <w:t>Table HCC—Comb</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26"/>
              <w:gridCol w:w="1327"/>
              <w:gridCol w:w="1326"/>
              <w:gridCol w:w="1327"/>
              <w:gridCol w:w="2069"/>
            </w:tblGrid>
            <w:tr w:rsidR="00FA4C68" w:rsidRPr="005D4222" w14:paraId="1CC258F9" w14:textId="77777777" w:rsidTr="00A53E8C">
              <w:trPr>
                <w:trHeight w:val="638"/>
              </w:trPr>
              <w:tc>
                <w:tcPr>
                  <w:tcW w:w="1326" w:type="dxa"/>
                  <w:tcBorders>
                    <w:right w:val="single" w:sz="4" w:space="0" w:color="FFFFFF" w:themeColor="background1"/>
                  </w:tcBorders>
                  <w:shd w:val="clear" w:color="auto" w:fill="000000" w:themeFill="text1"/>
                  <w:vAlign w:val="bottom"/>
                  <w:hideMark/>
                </w:tcPr>
                <w:p w14:paraId="29EE0C04" w14:textId="77777777" w:rsidR="00FA4C68" w:rsidRPr="005D4222" w:rsidRDefault="00FA4C68" w:rsidP="00A53E8C">
                  <w:pPr>
                    <w:pStyle w:val="TableHead"/>
                    <w:rPr>
                      <w:color w:val="auto"/>
                    </w:rPr>
                  </w:pPr>
                  <w:r w:rsidRPr="005D4222">
                    <w:rPr>
                      <w:color w:val="auto"/>
                    </w:rPr>
                    <w:t xml:space="preserve">Comorbid </w:t>
                  </w:r>
                  <w:r w:rsidRPr="005D4222">
                    <w:rPr>
                      <w:color w:val="auto"/>
                    </w:rPr>
                    <w:br/>
                    <w:t>HCC 1</w:t>
                  </w:r>
                </w:p>
              </w:tc>
              <w:tc>
                <w:tcPr>
                  <w:tcW w:w="1327" w:type="dxa"/>
                  <w:tcBorders>
                    <w:left w:val="single" w:sz="4" w:space="0" w:color="FFFFFF" w:themeColor="background1"/>
                    <w:right w:val="single" w:sz="4" w:space="0" w:color="FFFFFF" w:themeColor="background1"/>
                  </w:tcBorders>
                  <w:shd w:val="clear" w:color="auto" w:fill="000000" w:themeFill="text1"/>
                  <w:vAlign w:val="bottom"/>
                  <w:hideMark/>
                </w:tcPr>
                <w:p w14:paraId="2C4FB2AC" w14:textId="77777777" w:rsidR="00FA4C68" w:rsidRPr="005D4222" w:rsidRDefault="00FA4C68" w:rsidP="00A53E8C">
                  <w:pPr>
                    <w:pStyle w:val="TableHead"/>
                    <w:rPr>
                      <w:color w:val="auto"/>
                    </w:rPr>
                  </w:pPr>
                  <w:r w:rsidRPr="005D4222">
                    <w:rPr>
                      <w:color w:val="auto"/>
                    </w:rPr>
                    <w:t xml:space="preserve">Comorbid </w:t>
                  </w:r>
                  <w:r w:rsidRPr="005D4222">
                    <w:rPr>
                      <w:color w:val="auto"/>
                    </w:rPr>
                    <w:br/>
                    <w:t>HCC 2</w:t>
                  </w:r>
                </w:p>
              </w:tc>
              <w:tc>
                <w:tcPr>
                  <w:tcW w:w="1326" w:type="dxa"/>
                  <w:tcBorders>
                    <w:left w:val="single" w:sz="4" w:space="0" w:color="FFFFFF" w:themeColor="background1"/>
                    <w:right w:val="single" w:sz="4" w:space="0" w:color="FFFFFF" w:themeColor="background1"/>
                  </w:tcBorders>
                  <w:shd w:val="clear" w:color="auto" w:fill="000000" w:themeFill="text1"/>
                  <w:vAlign w:val="bottom"/>
                  <w:hideMark/>
                </w:tcPr>
                <w:p w14:paraId="08863353" w14:textId="77777777" w:rsidR="00FA4C68" w:rsidRPr="005D4222" w:rsidRDefault="00FA4C68" w:rsidP="00A53E8C">
                  <w:pPr>
                    <w:pStyle w:val="TableHead"/>
                    <w:rPr>
                      <w:color w:val="auto"/>
                    </w:rPr>
                  </w:pPr>
                  <w:r w:rsidRPr="005D4222">
                    <w:rPr>
                      <w:color w:val="auto"/>
                    </w:rPr>
                    <w:t xml:space="preserve">Comorbid </w:t>
                  </w:r>
                  <w:r w:rsidRPr="005D4222">
                    <w:rPr>
                      <w:color w:val="auto"/>
                    </w:rPr>
                    <w:br/>
                    <w:t>HCC 3</w:t>
                  </w:r>
                </w:p>
              </w:tc>
              <w:tc>
                <w:tcPr>
                  <w:tcW w:w="1327" w:type="dxa"/>
                  <w:tcBorders>
                    <w:left w:val="single" w:sz="4" w:space="0" w:color="FFFFFF" w:themeColor="background1"/>
                    <w:right w:val="single" w:sz="4" w:space="0" w:color="FFFFFF" w:themeColor="background1"/>
                  </w:tcBorders>
                  <w:shd w:val="clear" w:color="auto" w:fill="000000" w:themeFill="text1"/>
                  <w:vAlign w:val="bottom"/>
                  <w:hideMark/>
                </w:tcPr>
                <w:p w14:paraId="1F6BAB88" w14:textId="77777777" w:rsidR="00FA4C68" w:rsidRPr="005D4222" w:rsidRDefault="00FA4C68" w:rsidP="00A53E8C">
                  <w:pPr>
                    <w:pStyle w:val="TableHead"/>
                    <w:rPr>
                      <w:color w:val="auto"/>
                    </w:rPr>
                  </w:pPr>
                  <w:r w:rsidRPr="005D4222">
                    <w:rPr>
                      <w:color w:val="auto"/>
                    </w:rPr>
                    <w:t>HCC-</w:t>
                  </w:r>
                  <w:r w:rsidRPr="005D4222">
                    <w:rPr>
                      <w:color w:val="auto"/>
                    </w:rPr>
                    <w:br/>
                    <w:t xml:space="preserve">Combination </w:t>
                  </w:r>
                </w:p>
              </w:tc>
              <w:tc>
                <w:tcPr>
                  <w:tcW w:w="2069" w:type="dxa"/>
                  <w:tcBorders>
                    <w:left w:val="single" w:sz="4" w:space="0" w:color="FFFFFF" w:themeColor="background1"/>
                  </w:tcBorders>
                  <w:shd w:val="clear" w:color="auto" w:fill="000000" w:themeFill="text1"/>
                </w:tcPr>
                <w:p w14:paraId="00A0329D" w14:textId="77777777" w:rsidR="00FA4C68" w:rsidRPr="005D4222" w:rsidRDefault="00FA4C68" w:rsidP="00A53E8C">
                  <w:pPr>
                    <w:pStyle w:val="TableHead"/>
                    <w:rPr>
                      <w:color w:val="auto"/>
                    </w:rPr>
                  </w:pPr>
                  <w:r w:rsidRPr="005D4222">
                    <w:rPr>
                      <w:color w:val="auto"/>
                    </w:rPr>
                    <w:t xml:space="preserve">HCC-Comb </w:t>
                  </w:r>
                  <w:r w:rsidRPr="005D4222">
                    <w:rPr>
                      <w:color w:val="auto"/>
                    </w:rPr>
                    <w:br/>
                    <w:t>Description</w:t>
                  </w:r>
                </w:p>
              </w:tc>
            </w:tr>
            <w:tr w:rsidR="00FA4C68" w:rsidRPr="005D4222" w14:paraId="3923FC7F" w14:textId="77777777" w:rsidTr="00A53E8C">
              <w:tc>
                <w:tcPr>
                  <w:tcW w:w="1326" w:type="dxa"/>
                  <w:shd w:val="clear" w:color="auto" w:fill="FFFFFF" w:themeFill="background1"/>
                  <w:hideMark/>
                </w:tcPr>
                <w:p w14:paraId="66DC1B2D" w14:textId="77777777" w:rsidR="00FA4C68" w:rsidRPr="005D4222" w:rsidRDefault="00FA4C68" w:rsidP="00A53E8C">
                  <w:pPr>
                    <w:pStyle w:val="TableText"/>
                  </w:pPr>
                  <w:r w:rsidRPr="005D4222">
                    <w:t>HCC-17</w:t>
                  </w:r>
                </w:p>
              </w:tc>
              <w:tc>
                <w:tcPr>
                  <w:tcW w:w="1327" w:type="dxa"/>
                  <w:shd w:val="clear" w:color="auto" w:fill="FFFFFF" w:themeFill="background1"/>
                  <w:hideMark/>
                </w:tcPr>
                <w:p w14:paraId="250B8712" w14:textId="77777777" w:rsidR="00FA4C68" w:rsidRPr="005D4222" w:rsidRDefault="00FA4C68" w:rsidP="00A53E8C">
                  <w:pPr>
                    <w:pStyle w:val="TableText"/>
                  </w:pPr>
                  <w:r w:rsidRPr="005D4222">
                    <w:t>HCC-85</w:t>
                  </w:r>
                </w:p>
              </w:tc>
              <w:tc>
                <w:tcPr>
                  <w:tcW w:w="1326" w:type="dxa"/>
                  <w:shd w:val="clear" w:color="auto" w:fill="FFFFFF" w:themeFill="background1"/>
                  <w:hideMark/>
                </w:tcPr>
                <w:p w14:paraId="4649871E" w14:textId="77777777" w:rsidR="00FA4C68" w:rsidRPr="005D4222" w:rsidRDefault="00FA4C68" w:rsidP="00A53E8C">
                  <w:pPr>
                    <w:pStyle w:val="TableText"/>
                  </w:pPr>
                  <w:r w:rsidRPr="005D4222">
                    <w:t>NA</w:t>
                  </w:r>
                </w:p>
              </w:tc>
              <w:tc>
                <w:tcPr>
                  <w:tcW w:w="1327" w:type="dxa"/>
                  <w:shd w:val="clear" w:color="auto" w:fill="FFFFFF" w:themeFill="background1"/>
                  <w:hideMark/>
                </w:tcPr>
                <w:p w14:paraId="0DD171FA" w14:textId="77777777" w:rsidR="00FA4C68" w:rsidRPr="005D4222" w:rsidRDefault="00FA4C68" w:rsidP="00A53E8C">
                  <w:pPr>
                    <w:pStyle w:val="TableText"/>
                  </w:pPr>
                  <w:r w:rsidRPr="005D4222">
                    <w:t>HCC-901</w:t>
                  </w:r>
                </w:p>
              </w:tc>
              <w:tc>
                <w:tcPr>
                  <w:tcW w:w="2069" w:type="dxa"/>
                  <w:shd w:val="clear" w:color="auto" w:fill="FFFFFF" w:themeFill="background1"/>
                </w:tcPr>
                <w:p w14:paraId="370E42C3" w14:textId="77777777" w:rsidR="00FA4C68" w:rsidRPr="005D4222" w:rsidRDefault="00FA4C68" w:rsidP="00A53E8C">
                  <w:pPr>
                    <w:pStyle w:val="TableText"/>
                  </w:pPr>
                  <w:r w:rsidRPr="005D4222">
                    <w:t>Combination: Diabetes and CHF</w:t>
                  </w:r>
                </w:p>
              </w:tc>
            </w:tr>
            <w:tr w:rsidR="00FA4C68" w:rsidRPr="005D4222" w14:paraId="6F8C63D1" w14:textId="77777777" w:rsidTr="007B5FC3">
              <w:tc>
                <w:tcPr>
                  <w:tcW w:w="1326" w:type="dxa"/>
                  <w:hideMark/>
                </w:tcPr>
                <w:p w14:paraId="349A5CD1" w14:textId="77777777" w:rsidR="00FA4C68" w:rsidRPr="005D4222" w:rsidRDefault="00FA4C68" w:rsidP="00A53E8C">
                  <w:pPr>
                    <w:pStyle w:val="TableText"/>
                  </w:pPr>
                  <w:r w:rsidRPr="005D4222">
                    <w:t>HCC-18</w:t>
                  </w:r>
                </w:p>
              </w:tc>
              <w:tc>
                <w:tcPr>
                  <w:tcW w:w="1327" w:type="dxa"/>
                  <w:hideMark/>
                </w:tcPr>
                <w:p w14:paraId="20E79F1C" w14:textId="77777777" w:rsidR="00FA4C68" w:rsidRPr="005D4222" w:rsidRDefault="00FA4C68" w:rsidP="00A53E8C">
                  <w:pPr>
                    <w:pStyle w:val="TableText"/>
                  </w:pPr>
                  <w:r w:rsidRPr="005D4222">
                    <w:t>HCC-85</w:t>
                  </w:r>
                </w:p>
              </w:tc>
              <w:tc>
                <w:tcPr>
                  <w:tcW w:w="1326" w:type="dxa"/>
                  <w:hideMark/>
                </w:tcPr>
                <w:p w14:paraId="70CFBF33" w14:textId="77777777" w:rsidR="00FA4C68" w:rsidRPr="005D4222" w:rsidRDefault="00FA4C68" w:rsidP="00A53E8C">
                  <w:pPr>
                    <w:pStyle w:val="TableText"/>
                  </w:pPr>
                  <w:r w:rsidRPr="005D4222">
                    <w:t>NA</w:t>
                  </w:r>
                </w:p>
              </w:tc>
              <w:tc>
                <w:tcPr>
                  <w:tcW w:w="1327" w:type="dxa"/>
                  <w:hideMark/>
                </w:tcPr>
                <w:p w14:paraId="6CE6F30C" w14:textId="77777777" w:rsidR="00FA4C68" w:rsidRPr="005D4222" w:rsidRDefault="00FA4C68" w:rsidP="00A53E8C">
                  <w:pPr>
                    <w:pStyle w:val="TableText"/>
                  </w:pPr>
                  <w:r w:rsidRPr="005D4222">
                    <w:t>HCC-901</w:t>
                  </w:r>
                </w:p>
              </w:tc>
              <w:tc>
                <w:tcPr>
                  <w:tcW w:w="2069" w:type="dxa"/>
                </w:tcPr>
                <w:p w14:paraId="7307065F" w14:textId="77777777" w:rsidR="00FA4C68" w:rsidRPr="005D4222" w:rsidRDefault="00FA4C68" w:rsidP="00A53E8C">
                  <w:pPr>
                    <w:pStyle w:val="TableText"/>
                  </w:pPr>
                  <w:r w:rsidRPr="005D4222">
                    <w:t>Combination: Diabetes and CHF</w:t>
                  </w:r>
                </w:p>
              </w:tc>
            </w:tr>
            <w:tr w:rsidR="00FA4C68" w:rsidRPr="005D4222" w14:paraId="03354021" w14:textId="77777777" w:rsidTr="007B5FC3">
              <w:tc>
                <w:tcPr>
                  <w:tcW w:w="1326" w:type="dxa"/>
                  <w:hideMark/>
                </w:tcPr>
                <w:p w14:paraId="77DE4C1F" w14:textId="77777777" w:rsidR="00FA4C68" w:rsidRPr="005D4222" w:rsidRDefault="00FA4C68" w:rsidP="00A53E8C">
                  <w:pPr>
                    <w:pStyle w:val="TableText"/>
                  </w:pPr>
                  <w:r w:rsidRPr="005D4222">
                    <w:t>HCC-19</w:t>
                  </w:r>
                </w:p>
              </w:tc>
              <w:tc>
                <w:tcPr>
                  <w:tcW w:w="1327" w:type="dxa"/>
                  <w:hideMark/>
                </w:tcPr>
                <w:p w14:paraId="261B4390" w14:textId="77777777" w:rsidR="00FA4C68" w:rsidRPr="005D4222" w:rsidRDefault="00FA4C68" w:rsidP="00A53E8C">
                  <w:pPr>
                    <w:pStyle w:val="TableText"/>
                  </w:pPr>
                  <w:r w:rsidRPr="005D4222">
                    <w:t>HCC-85</w:t>
                  </w:r>
                </w:p>
              </w:tc>
              <w:tc>
                <w:tcPr>
                  <w:tcW w:w="1326" w:type="dxa"/>
                  <w:hideMark/>
                </w:tcPr>
                <w:p w14:paraId="7EFBC05A" w14:textId="77777777" w:rsidR="00FA4C68" w:rsidRPr="005D4222" w:rsidRDefault="00FA4C68" w:rsidP="00A53E8C">
                  <w:pPr>
                    <w:pStyle w:val="TableText"/>
                  </w:pPr>
                  <w:r w:rsidRPr="005D4222">
                    <w:t>NA</w:t>
                  </w:r>
                </w:p>
              </w:tc>
              <w:tc>
                <w:tcPr>
                  <w:tcW w:w="1327" w:type="dxa"/>
                  <w:hideMark/>
                </w:tcPr>
                <w:p w14:paraId="1B0F431F" w14:textId="77777777" w:rsidR="00FA4C68" w:rsidRPr="005D4222" w:rsidRDefault="00FA4C68" w:rsidP="00A53E8C">
                  <w:pPr>
                    <w:pStyle w:val="TableText"/>
                  </w:pPr>
                  <w:r w:rsidRPr="005D4222">
                    <w:t>HCC-901</w:t>
                  </w:r>
                </w:p>
              </w:tc>
              <w:tc>
                <w:tcPr>
                  <w:tcW w:w="2069" w:type="dxa"/>
                </w:tcPr>
                <w:p w14:paraId="338EAAA5" w14:textId="77777777" w:rsidR="00FA4C68" w:rsidRPr="005D4222" w:rsidRDefault="00FA4C68" w:rsidP="00A53E8C">
                  <w:pPr>
                    <w:pStyle w:val="TableText"/>
                  </w:pPr>
                  <w:r w:rsidRPr="005D4222">
                    <w:t>Combination: Diabetes and CHF</w:t>
                  </w:r>
                </w:p>
              </w:tc>
            </w:tr>
          </w:tbl>
          <w:p w14:paraId="2CE9F0B4" w14:textId="77777777" w:rsidR="00FA4C68" w:rsidRPr="005D4222" w:rsidRDefault="00FA4C68" w:rsidP="00A53E8C">
            <w:pPr>
              <w:pStyle w:val="ECDSBody"/>
              <w:rPr>
                <w:b/>
                <w:bCs w:val="0"/>
                <w:i/>
                <w:iCs/>
              </w:rPr>
            </w:pPr>
          </w:p>
        </w:tc>
      </w:tr>
      <w:tr w:rsidR="00FA4C68" w:rsidRPr="005D4222" w14:paraId="478644F4" w14:textId="77777777" w:rsidTr="00905B6F">
        <w:tblPrEx>
          <w:tblBorders>
            <w:top w:val="single" w:sz="2" w:space="0" w:color="auto"/>
            <w:bottom w:val="single" w:sz="2" w:space="0" w:color="auto"/>
            <w:insideH w:val="single" w:sz="2" w:space="0" w:color="auto"/>
            <w:insideV w:val="single" w:sz="2" w:space="0" w:color="auto"/>
          </w:tblBorders>
        </w:tblPrEx>
        <w:trPr>
          <w:trHeight w:val="777"/>
        </w:trPr>
        <w:tc>
          <w:tcPr>
            <w:tcW w:w="2157" w:type="dxa"/>
            <w:tcBorders>
              <w:top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6BEDB4E8" w14:textId="77777777" w:rsidR="00FA4C68" w:rsidRPr="005D4222" w:rsidRDefault="00FA4C68" w:rsidP="007705D6">
            <w:pPr>
              <w:pStyle w:val="ECDSMarginHead"/>
            </w:pPr>
            <w:r w:rsidRPr="005D4222">
              <w:t xml:space="preserve">Risk adjustment </w:t>
            </w:r>
          </w:p>
        </w:tc>
        <w:tc>
          <w:tcPr>
            <w:tcW w:w="7557" w:type="dxa"/>
            <w:tcBorders>
              <w:top w:val="single" w:sz="4" w:space="0" w:color="auto"/>
              <w:left w:val="single" w:sz="4" w:space="0" w:color="auto"/>
              <w:bottom w:val="single" w:sz="4" w:space="0" w:color="auto"/>
            </w:tcBorders>
            <w:tcMar>
              <w:left w:w="86" w:type="dxa"/>
              <w:bottom w:w="43" w:type="dxa"/>
              <w:right w:w="86" w:type="dxa"/>
            </w:tcMar>
          </w:tcPr>
          <w:p w14:paraId="194225A4" w14:textId="77777777" w:rsidR="00FA4C68" w:rsidRPr="005D4222" w:rsidRDefault="00FA4C68" w:rsidP="00A53E8C">
            <w:pPr>
              <w:pStyle w:val="ECDSBody"/>
              <w:rPr>
                <w:b/>
                <w:bCs w:val="0"/>
                <w:i/>
                <w:iCs/>
              </w:rPr>
            </w:pPr>
            <w:r w:rsidRPr="005D4222">
              <w:rPr>
                <w:b/>
                <w:bCs w:val="0"/>
                <w:i/>
                <w:iCs/>
              </w:rPr>
              <w:t>Risk Adjustment Calculation</w:t>
            </w:r>
          </w:p>
          <w:p w14:paraId="19AAB3B6" w14:textId="77777777" w:rsidR="00FA4C68" w:rsidRPr="005D4222" w:rsidRDefault="00FA4C68" w:rsidP="00A53E8C">
            <w:pPr>
              <w:pStyle w:val="ECDSBody"/>
              <w:spacing w:before="0"/>
            </w:pPr>
            <w:r w:rsidRPr="005D4222">
              <w:t>Calculation of risk-adjusted outcomes (counts of ED visits) uses predetermined risk weights generated by two separate regression models. Weights from each model are combined to predict how many visits each person might have during the measurement period.</w:t>
            </w:r>
          </w:p>
          <w:p w14:paraId="44BD0A42" w14:textId="77777777" w:rsidR="00FA4C68" w:rsidRPr="005D4222" w:rsidRDefault="00FA4C68" w:rsidP="00A53E8C">
            <w:pPr>
              <w:pStyle w:val="ECDSBody"/>
              <w:rPr>
                <w:b/>
              </w:rPr>
            </w:pPr>
            <w:r w:rsidRPr="005D4222">
              <w:rPr>
                <w:b/>
              </w:rPr>
              <w:t xml:space="preserve">For each nonoutlier person in the initial population, assign PPV risk weights. </w:t>
            </w:r>
          </w:p>
          <w:p w14:paraId="233F6836" w14:textId="77777777" w:rsidR="00FA4C68" w:rsidRPr="005D4222" w:rsidRDefault="00FA4C68" w:rsidP="00A53E8C">
            <w:pPr>
              <w:pStyle w:val="ECDSBody"/>
            </w:pPr>
            <w:r w:rsidRPr="005D4222">
              <w:rPr>
                <w:b/>
              </w:rPr>
              <w:t xml:space="preserve">Step 1. </w:t>
            </w:r>
            <w:r w:rsidRPr="005D4222">
              <w:t>For each person with a comorbidity HCC Category, link the PPV weights.</w:t>
            </w:r>
          </w:p>
          <w:p w14:paraId="528D981D" w14:textId="77777777" w:rsidR="00FA4C68" w:rsidRPr="005D4222" w:rsidRDefault="00FA4C68" w:rsidP="00A53E8C">
            <w:pPr>
              <w:pStyle w:val="ECDSBody"/>
            </w:pPr>
            <w:r w:rsidRPr="005D4222">
              <w:rPr>
                <w:b/>
              </w:rPr>
              <w:t xml:space="preserve">Step 2. </w:t>
            </w:r>
            <w:r w:rsidRPr="005D4222">
              <w:t>Link the age-gender PPV weights for each person.</w:t>
            </w:r>
          </w:p>
          <w:p w14:paraId="1D1168BA" w14:textId="77777777" w:rsidR="00FA4C68" w:rsidRPr="005D4222" w:rsidRDefault="00FA4C68" w:rsidP="00A53E8C">
            <w:pPr>
              <w:pStyle w:val="Body"/>
            </w:pPr>
            <w:r w:rsidRPr="005D4222">
              <w:rPr>
                <w:b/>
                <w:bCs/>
              </w:rPr>
              <w:t xml:space="preserve">Step 3. </w:t>
            </w:r>
            <w:r w:rsidRPr="005D4222">
              <w:t>Sum all PPV weights associated with the person (comorbidities, age and gender).</w:t>
            </w:r>
          </w:p>
          <w:p w14:paraId="3FEB7964" w14:textId="77777777" w:rsidR="00FA4C68" w:rsidRPr="005D4222" w:rsidRDefault="00FA4C68" w:rsidP="00A53E8C">
            <w:pPr>
              <w:pStyle w:val="ECDSBody"/>
            </w:pPr>
            <w:r w:rsidRPr="005D4222">
              <w:rPr>
                <w:b/>
              </w:rPr>
              <w:t xml:space="preserve">Step 4. </w:t>
            </w:r>
            <w:r w:rsidRPr="005D4222">
              <w:t>Calculate the predicted probability of each person having at least one visit based on the sum of the weights for each person using the formula below.</w:t>
            </w:r>
          </w:p>
          <w:p w14:paraId="479CD8A7" w14:textId="77777777" w:rsidR="00FA4C68" w:rsidRPr="005D4222" w:rsidRDefault="00FA4C68" w:rsidP="00A53E8C">
            <w:pPr>
              <w:pStyle w:val="Note"/>
              <w:spacing w:before="240" w:after="240"/>
              <w:jc w:val="center"/>
              <w:rPr>
                <w:i w:val="0"/>
                <w:sz w:val="24"/>
              </w:rPr>
            </w:pPr>
            <w:r w:rsidRPr="005D4222">
              <w:rPr>
                <w:i w:val="0"/>
              </w:rPr>
              <w:t xml:space="preserve">PPV = </w:t>
            </w:r>
            <m:oMath>
              <m:f>
                <m:fPr>
                  <m:ctrlPr>
                    <w:rPr>
                      <w:rFonts w:ascii="Cambria Math" w:hAnsi="Cambria Math" w:cs="Arial"/>
                      <w:i w:val="0"/>
                      <w:sz w:val="24"/>
                    </w:rPr>
                  </m:ctrlPr>
                </m:fPr>
                <m:num>
                  <m:sSup>
                    <m:sSupPr>
                      <m:ctrlPr>
                        <w:rPr>
                          <w:rFonts w:ascii="Cambria Math" w:hAnsi="Cambria Math" w:cs="Arial"/>
                          <w:i w:val="0"/>
                          <w:sz w:val="24"/>
                        </w:rPr>
                      </m:ctrlPr>
                    </m:sSupPr>
                    <m:e>
                      <m:r>
                        <w:rPr>
                          <w:rFonts w:ascii="Cambria Math" w:hAnsi="Cambria Math" w:cs="Arial"/>
                          <w:sz w:val="24"/>
                        </w:rPr>
                        <m:t>e</m:t>
                      </m:r>
                    </m:e>
                    <m:sup>
                      <m:r>
                        <w:rPr>
                          <w:rFonts w:ascii="Cambria Math" w:hAnsi="Cambria Math" w:cs="Arial"/>
                          <w:sz w:val="24"/>
                        </w:rPr>
                        <m:t>(</m:t>
                      </m:r>
                      <m:nary>
                        <m:naryPr>
                          <m:chr m:val="∑"/>
                          <m:limLoc m:val="undOvr"/>
                          <m:subHide m:val="1"/>
                          <m:supHide m:val="1"/>
                          <m:ctrlPr>
                            <w:rPr>
                              <w:rFonts w:ascii="Cambria Math" w:hAnsi="Cambria Math" w:cs="Arial"/>
                              <w:i w:val="0"/>
                              <w:sz w:val="24"/>
                            </w:rPr>
                          </m:ctrlPr>
                        </m:naryPr>
                        <m:sub/>
                        <m:sup/>
                        <m:e>
                          <m:r>
                            <m:rPr>
                              <m:nor/>
                            </m:rPr>
                            <w:rPr>
                              <w:rFonts w:cs="Arial"/>
                              <w:i w:val="0"/>
                              <w:sz w:val="24"/>
                            </w:rPr>
                            <m:t>PP</m:t>
                          </m:r>
                          <m:r>
                            <m:rPr>
                              <m:nor/>
                            </m:rPr>
                            <w:rPr>
                              <w:rFonts w:ascii="Cambria Math" w:cs="Arial"/>
                              <w:i w:val="0"/>
                              <w:sz w:val="24"/>
                            </w:rPr>
                            <m:t>V</m:t>
                          </m:r>
                          <m:r>
                            <m:rPr>
                              <m:nor/>
                            </m:rPr>
                            <w:rPr>
                              <w:rFonts w:cs="Arial"/>
                              <w:i w:val="0"/>
                              <w:sz w:val="24"/>
                            </w:rPr>
                            <m:t xml:space="preserve"> WeightsForEachPerson</m:t>
                          </m:r>
                        </m:e>
                      </m:nary>
                      <m:r>
                        <w:rPr>
                          <w:rFonts w:ascii="Cambria Math" w:hAnsi="Cambria Math" w:cs="Arial"/>
                          <w:sz w:val="24"/>
                        </w:rPr>
                        <m:t>)</m:t>
                      </m:r>
                    </m:sup>
                  </m:sSup>
                </m:num>
                <m:den>
                  <m:r>
                    <w:rPr>
                      <w:rFonts w:ascii="Cambria Math" w:hAnsi="Cambria Math" w:cs="Arial"/>
                      <w:sz w:val="24"/>
                    </w:rPr>
                    <m:t>1+</m:t>
                  </m:r>
                  <m:sSup>
                    <m:sSupPr>
                      <m:ctrlPr>
                        <w:rPr>
                          <w:rFonts w:ascii="Cambria Math" w:hAnsi="Cambria Math" w:cs="Arial"/>
                          <w:i w:val="0"/>
                          <w:sz w:val="24"/>
                        </w:rPr>
                      </m:ctrlPr>
                    </m:sSupPr>
                    <m:e>
                      <m:r>
                        <w:rPr>
                          <w:rFonts w:ascii="Cambria Math" w:hAnsi="Cambria Math" w:cs="Arial"/>
                          <w:sz w:val="24"/>
                        </w:rPr>
                        <m:t>e</m:t>
                      </m:r>
                    </m:e>
                    <m:sup>
                      <m:r>
                        <w:rPr>
                          <w:rFonts w:ascii="Cambria Math" w:hAnsi="Cambria Math" w:cs="Arial"/>
                          <w:sz w:val="24"/>
                        </w:rPr>
                        <m:t>(</m:t>
                      </m:r>
                      <m:nary>
                        <m:naryPr>
                          <m:chr m:val="∑"/>
                          <m:limLoc m:val="undOvr"/>
                          <m:subHide m:val="1"/>
                          <m:supHide m:val="1"/>
                          <m:ctrlPr>
                            <w:rPr>
                              <w:rFonts w:ascii="Cambria Math" w:hAnsi="Cambria Math" w:cs="Arial"/>
                              <w:i w:val="0"/>
                              <w:sz w:val="24"/>
                            </w:rPr>
                          </m:ctrlPr>
                        </m:naryPr>
                        <m:sub/>
                        <m:sup/>
                        <m:e>
                          <m:r>
                            <m:rPr>
                              <m:nor/>
                            </m:rPr>
                            <w:rPr>
                              <w:rFonts w:cs="Arial"/>
                              <w:i w:val="0"/>
                              <w:sz w:val="24"/>
                            </w:rPr>
                            <m:t>PPV WeightsForEachPerson</m:t>
                          </m:r>
                        </m:e>
                      </m:nary>
                      <m:r>
                        <w:rPr>
                          <w:rFonts w:ascii="Cambria Math" w:hAnsi="Cambria Math" w:cs="Arial"/>
                          <w:sz w:val="24"/>
                        </w:rPr>
                        <m:t>)</m:t>
                      </m:r>
                    </m:sup>
                  </m:sSup>
                </m:den>
              </m:f>
            </m:oMath>
          </w:p>
          <w:p w14:paraId="67306B03" w14:textId="77777777" w:rsidR="00FA4C68" w:rsidRPr="005D4222" w:rsidRDefault="00FA4C68" w:rsidP="00A53E8C">
            <w:pPr>
              <w:pStyle w:val="ECDSBody"/>
              <w:rPr>
                <w:rFonts w:eastAsiaTheme="minorEastAsia"/>
              </w:rPr>
            </w:pPr>
            <w:r w:rsidRPr="005D4222">
              <w:t>Truncate the final PPV for each person to 10 decimal places. Do not truncate or round in previous steps.</w:t>
            </w:r>
          </w:p>
        </w:tc>
      </w:tr>
    </w:tbl>
    <w:p w14:paraId="590BE839" w14:textId="77777777" w:rsidR="00FA4C68" w:rsidRPr="005D4222" w:rsidRDefault="00FA4C68" w:rsidP="00FA4C68">
      <w:pPr>
        <w:spacing w:after="160" w:line="259" w:lineRule="auto"/>
      </w:pPr>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15" w:type="dxa"/>
          <w:bottom w:w="40" w:type="dxa"/>
          <w:right w:w="15" w:type="dxa"/>
        </w:tblCellMar>
        <w:tblLook w:val="04A0" w:firstRow="1" w:lastRow="0" w:firstColumn="1" w:lastColumn="0" w:noHBand="0" w:noVBand="1"/>
      </w:tblPr>
      <w:tblGrid>
        <w:gridCol w:w="2157"/>
        <w:gridCol w:w="7557"/>
      </w:tblGrid>
      <w:tr w:rsidR="00FA4C68" w:rsidRPr="005D4222" w14:paraId="22456501" w14:textId="77777777" w:rsidTr="001319A7">
        <w:trPr>
          <w:trHeight w:val="777"/>
        </w:trPr>
        <w:tc>
          <w:tcPr>
            <w:tcW w:w="2157" w:type="dxa"/>
            <w:tcBorders>
              <w:top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38D8AAF9" w14:textId="77777777" w:rsidR="00FA4C68" w:rsidRPr="005D4222" w:rsidRDefault="00FA4C68" w:rsidP="00A53E8C">
            <w:pPr>
              <w:pStyle w:val="MarginHead"/>
            </w:pPr>
          </w:p>
        </w:tc>
        <w:tc>
          <w:tcPr>
            <w:tcW w:w="7557" w:type="dxa"/>
            <w:tcBorders>
              <w:top w:val="single" w:sz="4" w:space="0" w:color="auto"/>
              <w:left w:val="single" w:sz="4" w:space="0" w:color="auto"/>
              <w:bottom w:val="single" w:sz="4" w:space="0" w:color="auto"/>
            </w:tcBorders>
            <w:tcMar>
              <w:left w:w="86" w:type="dxa"/>
              <w:bottom w:w="43" w:type="dxa"/>
              <w:right w:w="86" w:type="dxa"/>
            </w:tcMar>
          </w:tcPr>
          <w:p w14:paraId="6B23EB3F" w14:textId="77777777" w:rsidR="00FA4C68" w:rsidRPr="005D4222" w:rsidRDefault="00FA4C68" w:rsidP="00A53E8C">
            <w:pPr>
              <w:pStyle w:val="ECDSBody"/>
              <w:rPr>
                <w:b/>
              </w:rPr>
            </w:pPr>
            <w:r w:rsidRPr="005D4222">
              <w:rPr>
                <w:b/>
              </w:rPr>
              <w:t>For each person in the initial population, assign PUCV risk weights.</w:t>
            </w:r>
          </w:p>
          <w:p w14:paraId="5C04B317" w14:textId="77777777" w:rsidR="00FA4C68" w:rsidRPr="005D4222" w:rsidRDefault="00FA4C68" w:rsidP="00A53E8C">
            <w:pPr>
              <w:pStyle w:val="ECDSBody"/>
            </w:pPr>
            <w:r w:rsidRPr="005D4222">
              <w:rPr>
                <w:b/>
              </w:rPr>
              <w:t>Step 1</w:t>
            </w:r>
            <w:r w:rsidRPr="005D4222">
              <w:t>. For each person with a comorbidity HCC Category, link the PUCV weights. If a person does not have any comorbidities to which weights can be linked, assign a weight of 1.</w:t>
            </w:r>
          </w:p>
          <w:p w14:paraId="3B576614" w14:textId="77777777" w:rsidR="00FA4C68" w:rsidRPr="005D4222" w:rsidRDefault="00FA4C68" w:rsidP="00A53E8C">
            <w:pPr>
              <w:pStyle w:val="ECDSBody"/>
            </w:pPr>
            <w:r w:rsidRPr="005D4222">
              <w:rPr>
                <w:b/>
              </w:rPr>
              <w:t>Step 2.</w:t>
            </w:r>
            <w:r w:rsidRPr="005D4222">
              <w:t xml:space="preserve"> Link the age-gender PUCV weights for each person.</w:t>
            </w:r>
          </w:p>
          <w:p w14:paraId="22F3D63F" w14:textId="77777777" w:rsidR="00FA4C68" w:rsidRPr="005D4222" w:rsidRDefault="00FA4C68" w:rsidP="00A53E8C">
            <w:pPr>
              <w:pStyle w:val="ECDSBody"/>
            </w:pPr>
            <w:r w:rsidRPr="005D4222">
              <w:rPr>
                <w:b/>
              </w:rPr>
              <w:t>Step 3.</w:t>
            </w:r>
            <w:r w:rsidRPr="005D4222">
              <w:t xml:space="preserve"> Calculate the predicted unconditional count of visits in the measurement period by multiplying all PUCV weights (comorbidities, age and gender). Use the following formula:</w:t>
            </w:r>
          </w:p>
          <w:p w14:paraId="7F6F0593" w14:textId="77777777" w:rsidR="00FA4C68" w:rsidRPr="005D4222" w:rsidRDefault="00FA4C68" w:rsidP="00A53E8C">
            <w:pPr>
              <w:pStyle w:val="ECDSBody"/>
              <w:jc w:val="center"/>
            </w:pPr>
            <w:r w:rsidRPr="005D4222">
              <w:t>PUCV = Age/Gender Weight * HCC Weight</w:t>
            </w:r>
          </w:p>
          <w:p w14:paraId="6135DEAC" w14:textId="77777777" w:rsidR="00FA4C68" w:rsidRPr="005D4222" w:rsidRDefault="00FA4C68" w:rsidP="00A53E8C">
            <w:pPr>
              <w:pStyle w:val="Note"/>
            </w:pPr>
            <w:r w:rsidRPr="005D4222">
              <w:rPr>
                <w:b/>
                <w:bCs/>
              </w:rPr>
              <w:t>Note:</w:t>
            </w:r>
            <w:r w:rsidRPr="005D4222">
              <w:t xml:space="preserve"> Multiply by each HCC associated with the person. For example, assume a person with HCC-2, HCC-10, HCC-47. The formula would be:</w:t>
            </w:r>
          </w:p>
          <w:p w14:paraId="6AAC5981" w14:textId="77777777" w:rsidR="00FA4C68" w:rsidRPr="005D4222" w:rsidRDefault="00FA4C68" w:rsidP="00A53E8C">
            <w:pPr>
              <w:pStyle w:val="Note"/>
              <w:spacing w:before="60"/>
              <w:jc w:val="center"/>
            </w:pPr>
            <w:r w:rsidRPr="005D4222">
              <w:t>PUCV = Age/gender Weight * HCC-2 * HCC-10 * HCC-47</w:t>
            </w:r>
          </w:p>
          <w:p w14:paraId="70F28EB7" w14:textId="77777777" w:rsidR="00FA4C68" w:rsidRPr="005D4222" w:rsidRDefault="00FA4C68" w:rsidP="00A53E8C">
            <w:pPr>
              <w:pStyle w:val="ECDSBody"/>
            </w:pPr>
            <w:r w:rsidRPr="005D4222">
              <w:t>Truncate the final PUCV for each person to 10 decimal places. Do not truncate or round in previous steps.</w:t>
            </w:r>
          </w:p>
          <w:p w14:paraId="2459EF0E" w14:textId="77777777" w:rsidR="00FA4C68" w:rsidRPr="005D4222" w:rsidRDefault="00FA4C68" w:rsidP="00A53E8C">
            <w:pPr>
              <w:pStyle w:val="ECDSBody"/>
            </w:pPr>
            <w:r w:rsidRPr="005D4222">
              <w:rPr>
                <w:i/>
              </w:rPr>
              <w:t>Expected count of ED visits.</w:t>
            </w:r>
            <w:r w:rsidRPr="005D4222">
              <w:rPr>
                <w:bCs w:val="0"/>
                <w:i/>
                <w:iCs/>
              </w:rPr>
              <w:t xml:space="preserve"> </w:t>
            </w:r>
            <w:r w:rsidRPr="005D4222">
              <w:t xml:space="preserve">Calculate the final person-level expected count of ED visits for each category using the formula below: </w:t>
            </w:r>
          </w:p>
          <w:p w14:paraId="2934A735" w14:textId="77777777" w:rsidR="00FA4C68" w:rsidRPr="005D4222" w:rsidRDefault="00FA4C68" w:rsidP="00A53E8C">
            <w:pPr>
              <w:pStyle w:val="ECDSBody"/>
              <w:jc w:val="center"/>
            </w:pPr>
            <w:r w:rsidRPr="005D4222">
              <w:t>Expected Count of ED Visits = PPV x PUCV</w:t>
            </w:r>
          </w:p>
          <w:p w14:paraId="63FF5BCB" w14:textId="77777777" w:rsidR="00FA4C68" w:rsidRPr="005D4222" w:rsidRDefault="00FA4C68" w:rsidP="00A53E8C">
            <w:pPr>
              <w:pStyle w:val="ECDSBody"/>
            </w:pPr>
            <w:r w:rsidRPr="005D4222">
              <w:t>Round the person-level results to 4 decimal places using the .5 rule and sum over all persons in the category.</w:t>
            </w:r>
          </w:p>
          <w:p w14:paraId="567155C8" w14:textId="77777777" w:rsidR="00FA4C68" w:rsidRPr="005D4222" w:rsidRDefault="00FA4C68" w:rsidP="00A53E8C">
            <w:pPr>
              <w:pStyle w:val="ECDSBody"/>
            </w:pPr>
            <w:r w:rsidRPr="005D4222">
              <w:rPr>
                <w:b/>
              </w:rPr>
              <w:t>Step 4.</w:t>
            </w:r>
            <w:r w:rsidRPr="005D4222">
              <w:t xml:space="preserve"> Use the formula below to calculate the covariance of the predicted outcomes for each category. For categories with a single person (</w:t>
            </w:r>
            <w:r w:rsidRPr="005D4222">
              <w:rPr>
                <w:rFonts w:ascii="Cambria Math" w:hAnsi="Cambria Math"/>
                <w:i/>
              </w:rPr>
              <w:t>n</w:t>
            </w:r>
            <w:r w:rsidRPr="005D4222">
              <w:rPr>
                <w:rFonts w:ascii="Cambria Math" w:hAnsi="Cambria Math"/>
                <w:vertAlign w:val="subscript"/>
              </w:rPr>
              <w:t>c</w:t>
            </w:r>
            <w:r w:rsidRPr="005D4222">
              <w:t>=1), set the covariance to zero. Do not round the covariance before using it in step 5.</w:t>
            </w:r>
          </w:p>
          <w:p w14:paraId="54F4CE18" w14:textId="77777777" w:rsidR="00FA4C68" w:rsidRPr="005D4222" w:rsidRDefault="00000000" w:rsidP="00A53E8C">
            <w:pPr>
              <w:pStyle w:val="Body"/>
              <w:rPr>
                <w:szCs w:val="21"/>
              </w:rPr>
            </w:pPr>
            <m:oMathPara>
              <m:oMath>
                <m:sSub>
                  <m:sSubPr>
                    <m:ctrlPr>
                      <w:rPr>
                        <w:rFonts w:ascii="Cambria Math" w:hAnsi="Cambria Math"/>
                        <w:i/>
                        <w:szCs w:val="21"/>
                      </w:rPr>
                    </m:ctrlPr>
                  </m:sSubPr>
                  <m:e>
                    <m:r>
                      <w:rPr>
                        <w:rFonts w:ascii="Cambria Math" w:hAnsi="Cambria Math"/>
                        <w:szCs w:val="21"/>
                      </w:rPr>
                      <m:t>COV</m:t>
                    </m:r>
                  </m:e>
                  <m:sub>
                    <m:r>
                      <w:rPr>
                        <w:rFonts w:ascii="Cambria Math" w:hAnsi="Cambria Math"/>
                        <w:szCs w:val="21"/>
                      </w:rPr>
                      <m:t>c</m:t>
                    </m:r>
                  </m:sub>
                </m:sSub>
                <m:r>
                  <w:rPr>
                    <w:rFonts w:ascii="Cambria Math" w:hAnsi="Cambria Math"/>
                    <w:szCs w:val="21"/>
                  </w:rPr>
                  <m:t>=</m:t>
                </m:r>
                <m:f>
                  <m:fPr>
                    <m:ctrlPr>
                      <w:rPr>
                        <w:rFonts w:ascii="Cambria Math" w:hAnsi="Cambria Math"/>
                        <w:i/>
                        <w:szCs w:val="21"/>
                      </w:rPr>
                    </m:ctrlPr>
                  </m:fPr>
                  <m:num>
                    <m:nary>
                      <m:naryPr>
                        <m:chr m:val="∑"/>
                        <m:limLoc m:val="undOvr"/>
                        <m:ctrlPr>
                          <w:rPr>
                            <w:rFonts w:ascii="Cambria Math" w:hAnsi="Cambria Math"/>
                            <w:i/>
                            <w:szCs w:val="21"/>
                          </w:rPr>
                        </m:ctrlPr>
                      </m:naryPr>
                      <m:sub>
                        <m:r>
                          <w:rPr>
                            <w:rFonts w:ascii="Cambria Math" w:hAnsi="Cambria Math"/>
                            <w:szCs w:val="21"/>
                          </w:rPr>
                          <m:t>m</m:t>
                        </m:r>
                        <m:r>
                          <w:rPr>
                            <w:rFonts w:ascii="Cambria Math" w:hAnsi="Cambria Math"/>
                            <w:szCs w:val="21"/>
                          </w:rPr>
                          <m:t>=1</m:t>
                        </m:r>
                      </m:sub>
                      <m:sup>
                        <m:sSub>
                          <m:sSubPr>
                            <m:ctrlPr>
                              <w:rPr>
                                <w:rFonts w:ascii="Cambria Math" w:hAnsi="Cambria Math"/>
                                <w:i/>
                                <w:szCs w:val="21"/>
                              </w:rPr>
                            </m:ctrlPr>
                          </m:sSubPr>
                          <m:e>
                            <m:r>
                              <w:rPr>
                                <w:rFonts w:ascii="Cambria Math" w:hAnsi="Cambria Math"/>
                                <w:szCs w:val="21"/>
                              </w:rPr>
                              <m:t>n</m:t>
                            </m:r>
                          </m:e>
                          <m:sub>
                            <m:r>
                              <w:rPr>
                                <w:rFonts w:ascii="Cambria Math" w:hAnsi="Cambria Math"/>
                                <w:szCs w:val="21"/>
                              </w:rPr>
                              <m:t>c</m:t>
                            </m:r>
                          </m:sub>
                        </m:sSub>
                      </m:sup>
                      <m:e>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PPV</m:t>
                                </m:r>
                              </m:e>
                              <m:sub>
                                <m:r>
                                  <w:rPr>
                                    <w:rFonts w:ascii="Cambria Math" w:hAnsi="Cambria Math"/>
                                    <w:szCs w:val="21"/>
                                  </w:rPr>
                                  <m:t>m</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mean</m:t>
                                </m:r>
                                <m:r>
                                  <w:rPr>
                                    <w:rFonts w:ascii="Cambria Math" w:hAnsi="Cambria Math"/>
                                    <w:szCs w:val="21"/>
                                  </w:rPr>
                                  <m:t>(</m:t>
                                </m:r>
                                <m:r>
                                  <w:rPr>
                                    <w:rFonts w:ascii="Cambria Math" w:hAnsi="Cambria Math"/>
                                    <w:szCs w:val="21"/>
                                  </w:rPr>
                                  <m:t>PPV</m:t>
                                </m:r>
                                <m:r>
                                  <w:rPr>
                                    <w:rFonts w:ascii="Cambria Math" w:hAnsi="Cambria Math"/>
                                    <w:szCs w:val="21"/>
                                  </w:rPr>
                                  <m:t>)</m:t>
                                </m:r>
                              </m:e>
                              <m:sub>
                                <m:r>
                                  <w:rPr>
                                    <w:rFonts w:ascii="Cambria Math" w:hAnsi="Cambria Math"/>
                                    <w:szCs w:val="21"/>
                                  </w:rPr>
                                  <m:t>c</m:t>
                                </m:r>
                              </m:sub>
                            </m:sSub>
                          </m:e>
                        </m:d>
                        <m:r>
                          <w:rPr>
                            <w:rFonts w:ascii="Cambria Math" w:hAnsi="Cambria Math"/>
                            <w:szCs w:val="21"/>
                          </w:rPr>
                          <m:t xml:space="preserve"> × </m:t>
                        </m:r>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PUCV</m:t>
                                </m:r>
                              </m:e>
                              <m:sub>
                                <m:r>
                                  <w:rPr>
                                    <w:rFonts w:ascii="Cambria Math" w:hAnsi="Cambria Math"/>
                                    <w:szCs w:val="21"/>
                                  </w:rPr>
                                  <m:t>m</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mean</m:t>
                                </m:r>
                                <m:r>
                                  <w:rPr>
                                    <w:rFonts w:ascii="Cambria Math" w:hAnsi="Cambria Math"/>
                                    <w:szCs w:val="21"/>
                                  </w:rPr>
                                  <m:t>(</m:t>
                                </m:r>
                                <m:r>
                                  <w:rPr>
                                    <w:rFonts w:ascii="Cambria Math" w:hAnsi="Cambria Math"/>
                                    <w:szCs w:val="21"/>
                                  </w:rPr>
                                  <m:t>PUCV</m:t>
                                </m:r>
                                <m:r>
                                  <w:rPr>
                                    <w:rFonts w:ascii="Cambria Math" w:hAnsi="Cambria Math"/>
                                    <w:szCs w:val="21"/>
                                  </w:rPr>
                                  <m:t>)</m:t>
                                </m:r>
                              </m:e>
                              <m:sub>
                                <m:r>
                                  <w:rPr>
                                    <w:rFonts w:ascii="Cambria Math" w:hAnsi="Cambria Math"/>
                                    <w:szCs w:val="21"/>
                                  </w:rPr>
                                  <m:t>c</m:t>
                                </m:r>
                              </m:sub>
                            </m:sSub>
                          </m:e>
                        </m:d>
                      </m:e>
                    </m:nary>
                  </m:num>
                  <m:den>
                    <m:sSub>
                      <m:sSubPr>
                        <m:ctrlPr>
                          <w:rPr>
                            <w:rFonts w:ascii="Cambria Math" w:hAnsi="Cambria Math"/>
                            <w:i/>
                            <w:szCs w:val="21"/>
                          </w:rPr>
                        </m:ctrlPr>
                      </m:sSubPr>
                      <m:e>
                        <m:r>
                          <w:rPr>
                            <w:rFonts w:ascii="Cambria Math" w:hAnsi="Cambria Math"/>
                            <w:szCs w:val="21"/>
                          </w:rPr>
                          <m:t>n</m:t>
                        </m:r>
                      </m:e>
                      <m:sub>
                        <m:r>
                          <w:rPr>
                            <w:rFonts w:ascii="Cambria Math" w:hAnsi="Cambria Math"/>
                            <w:szCs w:val="21"/>
                          </w:rPr>
                          <m:t>c</m:t>
                        </m:r>
                      </m:sub>
                    </m:sSub>
                    <m:r>
                      <w:rPr>
                        <w:rFonts w:ascii="Cambria Math" w:hAnsi="Cambria Math"/>
                        <w:szCs w:val="21"/>
                      </w:rPr>
                      <m:t>-1</m:t>
                    </m:r>
                  </m:den>
                </m:f>
              </m:oMath>
            </m:oMathPara>
          </w:p>
          <w:p w14:paraId="4E9352E6" w14:textId="77777777" w:rsidR="00FA4C68" w:rsidRPr="005D4222" w:rsidRDefault="00FA4C68" w:rsidP="00A53E8C">
            <w:pPr>
              <w:pStyle w:val="ECDSBody"/>
            </w:pPr>
            <w:r w:rsidRPr="005D4222">
              <w:t>Where:</w:t>
            </w:r>
          </w:p>
          <w:p w14:paraId="04E015C7" w14:textId="77777777" w:rsidR="00FA4C68" w:rsidRPr="005D4222" w:rsidRDefault="00010176" w:rsidP="00A53E8C">
            <w:pPr>
              <w:spacing w:before="60"/>
              <w:ind w:left="1416" w:hanging="1416"/>
              <w:rPr>
                <w:rFonts w:eastAsiaTheme="minorEastAsia"/>
              </w:rPr>
            </w:pPr>
            <m:oMath>
              <m:r>
                <w:rPr>
                  <w:rFonts w:ascii="Cambria Math" w:eastAsiaTheme="minorEastAsia" w:hAnsi="Cambria Math"/>
                </w:rPr>
                <m:t>c</m:t>
              </m:r>
            </m:oMath>
            <w:r w:rsidR="00FA4C68" w:rsidRPr="005D4222">
              <w:rPr>
                <w:rFonts w:eastAsiaTheme="minorEastAsia"/>
                <w:i/>
              </w:rPr>
              <w:t xml:space="preserve"> </w:t>
            </w:r>
            <w:r w:rsidR="00FA4C68" w:rsidRPr="005D4222">
              <w:rPr>
                <w:rFonts w:eastAsiaTheme="minorEastAsia"/>
                <w:i/>
              </w:rPr>
              <w:tab/>
            </w:r>
            <w:r w:rsidR="00FA4C68" w:rsidRPr="005D4222">
              <w:rPr>
                <w:rFonts w:eastAsiaTheme="minorEastAsia"/>
              </w:rPr>
              <w:t>denotes an individual category</w:t>
            </w:r>
          </w:p>
          <w:p w14:paraId="23B02D11" w14:textId="77777777" w:rsidR="00FA4C68" w:rsidRPr="005D4222" w:rsidRDefault="00000000" w:rsidP="00A53E8C">
            <w:pPr>
              <w:spacing w:before="60"/>
              <w:ind w:left="1416" w:hanging="1416"/>
              <w:rPr>
                <w:rFonts w:eastAsiaTheme="minorEastAsia"/>
              </w:rPr>
            </w:pPr>
            <m:oMath>
              <m:sSub>
                <m:sSubPr>
                  <m:ctrlPr>
                    <w:rPr>
                      <w:rFonts w:ascii="Cambria Math" w:hAnsi="Cambria Math"/>
                      <w:i/>
                    </w:rPr>
                  </m:ctrlPr>
                </m:sSubPr>
                <m:e>
                  <m:r>
                    <w:rPr>
                      <w:rFonts w:ascii="Cambria Math" w:hAnsi="Cambria Math"/>
                    </w:rPr>
                    <m:t>n</m:t>
                  </m:r>
                </m:e>
                <m:sub>
                  <m:r>
                    <w:rPr>
                      <w:rFonts w:ascii="Cambria Math" w:hAnsi="Cambria Math"/>
                    </w:rPr>
                    <m:t>c</m:t>
                  </m:r>
                </m:sub>
              </m:sSub>
            </m:oMath>
            <w:r w:rsidR="00FA4C68" w:rsidRPr="005D4222">
              <w:rPr>
                <w:rFonts w:eastAsiaTheme="minorEastAsia"/>
              </w:rPr>
              <w:t xml:space="preserve"> </w:t>
            </w:r>
            <w:r w:rsidR="00FA4C68" w:rsidRPr="005D4222">
              <w:rPr>
                <w:rFonts w:eastAsiaTheme="minorEastAsia"/>
              </w:rPr>
              <w:tab/>
              <w:t xml:space="preserve">is the number of persons in the category indicated by </w:t>
            </w:r>
            <m:oMath>
              <m:r>
                <w:rPr>
                  <w:rFonts w:ascii="Cambria Math" w:eastAsiaTheme="minorEastAsia" w:hAnsi="Cambria Math"/>
                </w:rPr>
                <m:t>c</m:t>
              </m:r>
            </m:oMath>
          </w:p>
          <w:p w14:paraId="38BD9A60" w14:textId="77777777" w:rsidR="00FA4C68" w:rsidRPr="005D4222" w:rsidRDefault="00010176" w:rsidP="00A53E8C">
            <w:pPr>
              <w:spacing w:before="60"/>
              <w:ind w:left="1416" w:hanging="1416"/>
              <w:rPr>
                <w:rFonts w:eastAsiaTheme="minorEastAsia"/>
              </w:rPr>
            </w:pPr>
            <m:oMath>
              <m:r>
                <w:rPr>
                  <w:rFonts w:ascii="Cambria Math" w:eastAsiaTheme="minorEastAsia" w:hAnsi="Cambria Math"/>
                </w:rPr>
                <m:t>m</m:t>
              </m:r>
            </m:oMath>
            <w:r w:rsidR="00FA4C68" w:rsidRPr="005D4222">
              <w:rPr>
                <w:rFonts w:eastAsiaTheme="minorEastAsia"/>
              </w:rPr>
              <w:t xml:space="preserve"> </w:t>
            </w:r>
            <w:r w:rsidR="00FA4C68" w:rsidRPr="005D4222">
              <w:rPr>
                <w:rFonts w:eastAsiaTheme="minorEastAsia"/>
              </w:rPr>
              <w:tab/>
              <w:t xml:space="preserve">is an individual person within the category indicated by </w:t>
            </w:r>
            <m:oMath>
              <m:r>
                <w:rPr>
                  <w:rFonts w:ascii="Cambria Math" w:eastAsiaTheme="minorEastAsia" w:hAnsi="Cambria Math"/>
                </w:rPr>
                <m:t>c</m:t>
              </m:r>
            </m:oMath>
          </w:p>
          <w:p w14:paraId="5CD82D5D" w14:textId="77777777" w:rsidR="00FA4C68" w:rsidRPr="005D4222" w:rsidRDefault="00000000" w:rsidP="00A53E8C">
            <w:pPr>
              <w:pStyle w:val="Body"/>
              <w:spacing w:before="60"/>
              <w:ind w:left="1416" w:hanging="1416"/>
              <w:rPr>
                <w:rFonts w:eastAsiaTheme="minorEastAsia"/>
                <w:szCs w:val="21"/>
              </w:rPr>
            </w:pPr>
            <m:oMath>
              <m:sSub>
                <m:sSubPr>
                  <m:ctrlPr>
                    <w:rPr>
                      <w:rFonts w:ascii="Cambria Math" w:eastAsiaTheme="minorEastAsia" w:hAnsi="Cambria Math"/>
                      <w:i/>
                      <w:szCs w:val="21"/>
                    </w:rPr>
                  </m:ctrlPr>
                </m:sSubPr>
                <m:e>
                  <m:r>
                    <w:rPr>
                      <w:rFonts w:ascii="Cambria Math" w:eastAsiaTheme="minorEastAsia" w:hAnsi="Cambria Math"/>
                      <w:szCs w:val="21"/>
                    </w:rPr>
                    <m:t>PPV</m:t>
                  </m:r>
                </m:e>
                <m:sub>
                  <m:r>
                    <w:rPr>
                      <w:rFonts w:ascii="Cambria Math" w:eastAsiaTheme="minorEastAsia" w:hAnsi="Cambria Math"/>
                      <w:szCs w:val="21"/>
                    </w:rPr>
                    <m:t>m</m:t>
                  </m:r>
                </m:sub>
              </m:sSub>
            </m:oMath>
            <w:r w:rsidR="00FA4C68" w:rsidRPr="005D4222">
              <w:rPr>
                <w:rFonts w:eastAsiaTheme="minorEastAsia"/>
                <w:szCs w:val="21"/>
              </w:rPr>
              <w:t xml:space="preserve"> </w:t>
            </w:r>
            <w:r w:rsidR="00FA4C68" w:rsidRPr="005D4222">
              <w:rPr>
                <w:rFonts w:eastAsiaTheme="minorEastAsia"/>
                <w:szCs w:val="21"/>
              </w:rPr>
              <w:tab/>
              <w:t xml:space="preserve">is the truncated PPV for the person denoted by </w:t>
            </w:r>
            <m:oMath>
              <m:r>
                <w:rPr>
                  <w:rFonts w:ascii="Cambria Math" w:eastAsiaTheme="minorEastAsia" w:hAnsi="Cambria Math"/>
                  <w:szCs w:val="21"/>
                </w:rPr>
                <m:t>m</m:t>
              </m:r>
            </m:oMath>
          </w:p>
          <w:p w14:paraId="6C51367A" w14:textId="77777777" w:rsidR="00FA4C68" w:rsidRPr="005D4222" w:rsidRDefault="00000000" w:rsidP="00A53E8C">
            <w:pPr>
              <w:spacing w:before="60" w:after="80"/>
              <w:ind w:left="1416" w:hanging="1416"/>
              <w:rPr>
                <w:rFonts w:eastAsiaTheme="minorEastAsia"/>
              </w:rPr>
            </w:pPr>
            <m:oMath>
              <m:sSub>
                <m:sSubPr>
                  <m:ctrlPr>
                    <w:rPr>
                      <w:rFonts w:ascii="Cambria Math" w:eastAsiaTheme="minorEastAsia" w:hAnsi="Cambria Math"/>
                      <w:i/>
                    </w:rPr>
                  </m:ctrlPr>
                </m:sSubPr>
                <m:e>
                  <m:r>
                    <w:rPr>
                      <w:rFonts w:ascii="Cambria Math" w:eastAsiaTheme="minorEastAsia" w:hAnsi="Cambria Math"/>
                    </w:rPr>
                    <m:t>mean</m:t>
                  </m:r>
                  <m:r>
                    <w:rPr>
                      <w:rFonts w:ascii="Cambria Math" w:eastAsiaTheme="minorEastAsia" w:hAnsi="Cambria Math"/>
                    </w:rPr>
                    <m:t>(</m:t>
                  </m:r>
                  <m:r>
                    <w:rPr>
                      <w:rFonts w:ascii="Cambria Math" w:eastAsiaTheme="minorEastAsia" w:hAnsi="Cambria Math"/>
                    </w:rPr>
                    <m:t>PPV</m:t>
                  </m:r>
                  <m:r>
                    <w:rPr>
                      <w:rFonts w:ascii="Cambria Math" w:eastAsiaTheme="minorEastAsia" w:hAnsi="Cambria Math"/>
                    </w:rPr>
                    <m:t>)</m:t>
                  </m:r>
                </m:e>
                <m:sub>
                  <m:r>
                    <w:rPr>
                      <w:rFonts w:ascii="Cambria Math" w:eastAsiaTheme="minorEastAsia" w:hAnsi="Cambria Math"/>
                    </w:rPr>
                    <m:t>c</m:t>
                  </m:r>
                </m:sub>
              </m:sSub>
            </m:oMath>
            <w:r w:rsidR="00FA4C68" w:rsidRPr="005D4222">
              <w:rPr>
                <w:rFonts w:eastAsiaTheme="minorEastAsia"/>
              </w:rPr>
              <w:t xml:space="preserve"> </w:t>
            </w:r>
            <w:r w:rsidR="00FA4C68" w:rsidRPr="005D4222">
              <w:rPr>
                <w:rFonts w:eastAsiaTheme="minorEastAsia"/>
              </w:rPr>
              <w:tab/>
              <w:t xml:space="preserve">is the unrounded and untruncated mean PPV in the category indicated by </w:t>
            </w:r>
            <m:oMath>
              <m:r>
                <w:rPr>
                  <w:rFonts w:ascii="Cambria Math" w:eastAsiaTheme="minorEastAsia" w:hAnsi="Cambria Math"/>
                </w:rPr>
                <m:t>c</m:t>
              </m:r>
            </m:oMath>
          </w:p>
          <w:p w14:paraId="02A3E388" w14:textId="77777777" w:rsidR="00FA4C68" w:rsidRPr="005D4222" w:rsidRDefault="00000000" w:rsidP="00A53E8C">
            <w:pPr>
              <w:pStyle w:val="Body"/>
              <w:spacing w:before="60"/>
              <w:ind w:left="1416" w:hanging="1416"/>
              <w:rPr>
                <w:rFonts w:eastAsiaTheme="minorEastAsia"/>
              </w:rPr>
            </w:pPr>
            <m:oMath>
              <m:sSub>
                <m:sSubPr>
                  <m:ctrlPr>
                    <w:rPr>
                      <w:rFonts w:ascii="Cambria Math" w:eastAsiaTheme="minorEastAsia" w:hAnsi="Cambria Math"/>
                      <w:i/>
                      <w:szCs w:val="21"/>
                    </w:rPr>
                  </m:ctrlPr>
                </m:sSubPr>
                <m:e>
                  <m:r>
                    <w:rPr>
                      <w:rFonts w:ascii="Cambria Math" w:eastAsiaTheme="minorEastAsia" w:hAnsi="Cambria Math"/>
                      <w:szCs w:val="21"/>
                    </w:rPr>
                    <m:t>mean</m:t>
                  </m:r>
                  <m:d>
                    <m:dPr>
                      <m:ctrlPr>
                        <w:rPr>
                          <w:rFonts w:ascii="Cambria Math" w:eastAsiaTheme="minorEastAsia" w:hAnsi="Cambria Math"/>
                          <w:i/>
                          <w:szCs w:val="21"/>
                        </w:rPr>
                      </m:ctrlPr>
                    </m:dPr>
                    <m:e>
                      <m:r>
                        <w:rPr>
                          <w:rFonts w:ascii="Cambria Math" w:eastAsiaTheme="minorEastAsia" w:hAnsi="Cambria Math"/>
                          <w:szCs w:val="21"/>
                        </w:rPr>
                        <m:t>PUCV</m:t>
                      </m:r>
                    </m:e>
                  </m:d>
                </m:e>
                <m:sub>
                  <m:r>
                    <w:rPr>
                      <w:rFonts w:ascii="Cambria Math" w:eastAsiaTheme="minorEastAsia" w:hAnsi="Cambria Math"/>
                      <w:szCs w:val="21"/>
                    </w:rPr>
                    <m:t>c</m:t>
                  </m:r>
                </m:sub>
              </m:sSub>
            </m:oMath>
            <w:r w:rsidR="00FA4C68" w:rsidRPr="005D4222">
              <w:rPr>
                <w:rFonts w:eastAsiaTheme="minorEastAsia"/>
              </w:rPr>
              <w:t xml:space="preserve"> </w:t>
            </w:r>
            <w:r w:rsidR="00FA4C68" w:rsidRPr="005D4222">
              <w:rPr>
                <w:rFonts w:eastAsiaTheme="minorEastAsia"/>
                <w:szCs w:val="21"/>
              </w:rPr>
              <w:tab/>
            </w:r>
            <w:r w:rsidR="00FA4C68" w:rsidRPr="005D4222">
              <w:rPr>
                <w:rFonts w:eastAsiaTheme="minorEastAsia"/>
              </w:rPr>
              <w:t>is the unrounded and untruncated mean PUCV</w:t>
            </w:r>
          </w:p>
          <w:p w14:paraId="645C7999" w14:textId="77777777" w:rsidR="00FA4C68" w:rsidRPr="005D4222" w:rsidRDefault="00000000" w:rsidP="00A53E8C">
            <w:pPr>
              <w:pStyle w:val="Body"/>
              <w:spacing w:before="60"/>
              <w:ind w:left="1416" w:hanging="1416"/>
              <w:rPr>
                <w:rFonts w:eastAsiaTheme="minorEastAsia"/>
                <w:szCs w:val="21"/>
              </w:rPr>
            </w:pPr>
            <m:oMath>
              <m:sSub>
                <m:sSubPr>
                  <m:ctrlPr>
                    <w:rPr>
                      <w:rFonts w:ascii="Cambria Math" w:eastAsiaTheme="minorEastAsia" w:hAnsi="Cambria Math"/>
                      <w:i/>
                      <w:szCs w:val="21"/>
                    </w:rPr>
                  </m:ctrlPr>
                </m:sSubPr>
                <m:e>
                  <m:r>
                    <w:rPr>
                      <w:rFonts w:ascii="Cambria Math" w:eastAsiaTheme="minorEastAsia" w:hAnsi="Cambria Math"/>
                      <w:szCs w:val="21"/>
                    </w:rPr>
                    <m:t>PUCV</m:t>
                  </m:r>
                </m:e>
                <m:sub>
                  <m:r>
                    <w:rPr>
                      <w:rFonts w:ascii="Cambria Math" w:eastAsiaTheme="minorEastAsia" w:hAnsi="Cambria Math"/>
                      <w:szCs w:val="21"/>
                    </w:rPr>
                    <m:t>m</m:t>
                  </m:r>
                </m:sub>
              </m:sSub>
            </m:oMath>
            <w:r w:rsidR="00FA4C68" w:rsidRPr="005D4222">
              <w:rPr>
                <w:rFonts w:eastAsiaTheme="minorEastAsia"/>
                <w:szCs w:val="21"/>
              </w:rPr>
              <w:t xml:space="preserve"> </w:t>
            </w:r>
            <w:r w:rsidR="00FA4C68" w:rsidRPr="005D4222">
              <w:rPr>
                <w:rFonts w:eastAsiaTheme="minorEastAsia"/>
                <w:szCs w:val="21"/>
              </w:rPr>
              <w:tab/>
              <w:t xml:space="preserve">is the truncated PUCV for the person denoted by </w:t>
            </w:r>
            <m:oMath>
              <m:r>
                <w:rPr>
                  <w:rFonts w:ascii="Cambria Math" w:eastAsiaTheme="minorEastAsia" w:hAnsi="Cambria Math"/>
                  <w:szCs w:val="21"/>
                </w:rPr>
                <m:t>m</m:t>
              </m:r>
            </m:oMath>
            <w:r w:rsidR="00FA4C68" w:rsidRPr="005D4222">
              <w:rPr>
                <w:rFonts w:eastAsiaTheme="minorEastAsia"/>
                <w:szCs w:val="21"/>
              </w:rPr>
              <w:t xml:space="preserve"> in the category indicated by </w:t>
            </w:r>
            <m:oMath>
              <m:r>
                <w:rPr>
                  <w:rFonts w:ascii="Cambria Math" w:eastAsiaTheme="minorEastAsia" w:hAnsi="Cambria Math"/>
                  <w:szCs w:val="21"/>
                </w:rPr>
                <m:t>c</m:t>
              </m:r>
            </m:oMath>
          </w:p>
          <w:p w14:paraId="4AB1CE55" w14:textId="77777777" w:rsidR="00FA4C68" w:rsidRPr="005D4222" w:rsidRDefault="00FA4C68" w:rsidP="00A53E8C">
            <w:pPr>
              <w:pStyle w:val="ECDSBody"/>
              <w:rPr>
                <w:b/>
                <w:bCs w:val="0"/>
              </w:rPr>
            </w:pPr>
            <w:r w:rsidRPr="005D4222">
              <w:rPr>
                <w:b/>
              </w:rPr>
              <w:t xml:space="preserve">Step 5. </w:t>
            </w:r>
            <w:r w:rsidRPr="005D4222">
              <w:t>Once the covariance between PPV and PUCV for a given category is calculated, it can be used as indicated in the formula below to calculate the variance for that category.</w:t>
            </w:r>
          </w:p>
        </w:tc>
      </w:tr>
    </w:tbl>
    <w:p w14:paraId="5B408DD6" w14:textId="77777777" w:rsidR="00FA4C68" w:rsidRPr="005D4222" w:rsidRDefault="00FA4C68" w:rsidP="00FA4C68"/>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FA4C68" w:rsidRPr="005D4222" w14:paraId="1C104C5E" w14:textId="77777777" w:rsidTr="007A4CB2">
        <w:trPr>
          <w:trHeight w:val="777"/>
        </w:trPr>
        <w:tc>
          <w:tcPr>
            <w:tcW w:w="2157" w:type="dxa"/>
            <w:tcBorders>
              <w:top w:val="single" w:sz="4" w:space="0" w:color="auto"/>
              <w:bottom w:val="nil"/>
              <w:right w:val="single" w:sz="4" w:space="0" w:color="auto"/>
            </w:tcBorders>
            <w:shd w:val="clear" w:color="auto" w:fill="BFBFBF" w:themeFill="background1" w:themeFillShade="BF"/>
            <w:tcMar>
              <w:top w:w="0" w:type="dxa"/>
              <w:left w:w="86" w:type="dxa"/>
              <w:bottom w:w="43" w:type="dxa"/>
              <w:right w:w="86" w:type="dxa"/>
            </w:tcMar>
          </w:tcPr>
          <w:p w14:paraId="568E269A" w14:textId="77777777" w:rsidR="00FA4C68" w:rsidRPr="005D4222" w:rsidRDefault="00FA4C68" w:rsidP="00A53E8C">
            <w:pPr>
              <w:pStyle w:val="MarginHead"/>
            </w:pPr>
          </w:p>
        </w:tc>
        <w:tc>
          <w:tcPr>
            <w:tcW w:w="7557" w:type="dxa"/>
            <w:tcBorders>
              <w:top w:val="single" w:sz="4" w:space="0" w:color="auto"/>
              <w:left w:val="single" w:sz="4" w:space="0" w:color="auto"/>
              <w:bottom w:val="nil"/>
            </w:tcBorders>
            <w:tcMar>
              <w:left w:w="86" w:type="dxa"/>
              <w:bottom w:w="43" w:type="dxa"/>
              <w:right w:w="86" w:type="dxa"/>
            </w:tcMar>
          </w:tcPr>
          <w:p w14:paraId="266BD650" w14:textId="77777777" w:rsidR="00FA4C68" w:rsidRPr="005D4222" w:rsidRDefault="00000000" w:rsidP="00A53E8C">
            <w:pPr>
              <w:pStyle w:val="Note"/>
              <w:spacing w:before="60"/>
              <w:rPr>
                <w:rFonts w:cs="Arial"/>
                <w:sz w:val="22"/>
                <w:szCs w:val="22"/>
              </w:rPr>
            </w:pPr>
            <m:oMathPara>
              <m:oMath>
                <m:sSub>
                  <m:sSubPr>
                    <m:ctrlPr>
                      <w:rPr>
                        <w:rFonts w:ascii="Cambria Math" w:eastAsiaTheme="minorHAnsi" w:hAnsi="Cambria Math" w:cs="Arial"/>
                        <w:sz w:val="22"/>
                        <w:szCs w:val="22"/>
                      </w:rPr>
                    </m:ctrlPr>
                  </m:sSubPr>
                  <m:e>
                    <m:r>
                      <w:rPr>
                        <w:rFonts w:ascii="Cambria Math" w:eastAsiaTheme="minorHAnsi" w:hAnsi="Cambria Math" w:cs="Arial"/>
                        <w:sz w:val="22"/>
                        <w:szCs w:val="22"/>
                      </w:rPr>
                      <m:t>Variance</m:t>
                    </m:r>
                  </m:e>
                  <m:sub>
                    <m:r>
                      <w:rPr>
                        <w:rFonts w:ascii="Cambria Math" w:eastAsiaTheme="minorHAnsi" w:hAnsi="Cambria Math" w:cs="Arial"/>
                        <w:sz w:val="22"/>
                        <w:szCs w:val="22"/>
                      </w:rPr>
                      <m:t>c</m:t>
                    </m:r>
                  </m:sub>
                </m:sSub>
                <m:r>
                  <w:rPr>
                    <w:rFonts w:ascii="Cambria Math" w:eastAsiaTheme="minorHAnsi" w:hAnsi="Cambria Math" w:cs="Arial"/>
                    <w:sz w:val="22"/>
                    <w:szCs w:val="22"/>
                  </w:rPr>
                  <m:t>=</m:t>
                </m:r>
                <m:nary>
                  <m:naryPr>
                    <m:chr m:val="∑"/>
                    <m:limLoc m:val="undOvr"/>
                    <m:ctrlPr>
                      <w:rPr>
                        <w:rFonts w:ascii="Cambria Math" w:eastAsiaTheme="minorHAnsi" w:hAnsi="Cambria Math" w:cs="Arial"/>
                        <w:i w:val="0"/>
                        <w:sz w:val="22"/>
                        <w:szCs w:val="22"/>
                      </w:rPr>
                    </m:ctrlPr>
                  </m:naryPr>
                  <m:sub>
                    <m:r>
                      <w:rPr>
                        <w:rFonts w:ascii="Cambria Math" w:eastAsiaTheme="minorHAnsi" w:hAnsi="Cambria Math" w:cs="Arial"/>
                        <w:sz w:val="22"/>
                        <w:szCs w:val="22"/>
                      </w:rPr>
                      <m:t>m</m:t>
                    </m:r>
                    <m:r>
                      <w:rPr>
                        <w:rFonts w:ascii="Cambria Math" w:eastAsiaTheme="minorHAnsi" w:hAnsi="Cambria Math" w:cs="Arial"/>
                        <w:sz w:val="22"/>
                        <w:szCs w:val="22"/>
                      </w:rPr>
                      <m:t>=1</m:t>
                    </m:r>
                  </m:sub>
                  <m:sup>
                    <m:sSub>
                      <m:sSubPr>
                        <m:ctrlPr>
                          <w:rPr>
                            <w:rFonts w:ascii="Cambria Math" w:eastAsiaTheme="minorHAnsi" w:hAnsi="Cambria Math" w:cs="Arial"/>
                            <w:sz w:val="22"/>
                            <w:szCs w:val="22"/>
                          </w:rPr>
                        </m:ctrlPr>
                      </m:sSubPr>
                      <m:e>
                        <m:r>
                          <w:rPr>
                            <w:rFonts w:ascii="Cambria Math" w:eastAsiaTheme="minorHAnsi" w:hAnsi="Cambria Math" w:cs="Arial"/>
                            <w:sz w:val="22"/>
                            <w:szCs w:val="22"/>
                          </w:rPr>
                          <m:t>n</m:t>
                        </m:r>
                      </m:e>
                      <m:sub>
                        <m:r>
                          <w:rPr>
                            <w:rFonts w:ascii="Cambria Math" w:eastAsiaTheme="minorHAnsi" w:hAnsi="Cambria Math" w:cs="Arial"/>
                            <w:sz w:val="22"/>
                            <w:szCs w:val="22"/>
                          </w:rPr>
                          <m:t>c</m:t>
                        </m:r>
                      </m:sub>
                    </m:sSub>
                  </m:sup>
                  <m:e>
                    <m:sSup>
                      <m:sSupPr>
                        <m:ctrlPr>
                          <w:rPr>
                            <w:rFonts w:ascii="Cambria Math" w:eastAsiaTheme="minorHAnsi" w:hAnsi="Cambria Math" w:cs="Arial"/>
                            <w:i w:val="0"/>
                            <w:sz w:val="22"/>
                            <w:szCs w:val="22"/>
                          </w:rPr>
                        </m:ctrlPr>
                      </m:sSupPr>
                      <m:e>
                        <m:d>
                          <m:dPr>
                            <m:ctrlPr>
                              <w:rPr>
                                <w:rFonts w:ascii="Cambria Math" w:eastAsiaTheme="minorHAnsi" w:hAnsi="Cambria Math" w:cs="Arial"/>
                                <w:i w:val="0"/>
                                <w:sz w:val="22"/>
                                <w:szCs w:val="22"/>
                              </w:rPr>
                            </m:ctrlPr>
                          </m:dPr>
                          <m:e>
                            <m:sSub>
                              <m:sSubPr>
                                <m:ctrlPr>
                                  <w:rPr>
                                    <w:rFonts w:ascii="Cambria Math" w:eastAsiaTheme="minorHAnsi" w:hAnsi="Cambria Math" w:cs="Arial"/>
                                    <w:sz w:val="22"/>
                                    <w:szCs w:val="22"/>
                                  </w:rPr>
                                </m:ctrlPr>
                              </m:sSubPr>
                              <m:e>
                                <m:r>
                                  <w:rPr>
                                    <w:rFonts w:ascii="Cambria Math" w:eastAsiaTheme="minorHAnsi" w:hAnsi="Cambria Math" w:cs="Arial"/>
                                    <w:sz w:val="22"/>
                                    <w:szCs w:val="22"/>
                                  </w:rPr>
                                  <m:t>PPV</m:t>
                                </m:r>
                              </m:e>
                              <m:sub>
                                <m:r>
                                  <w:rPr>
                                    <w:rFonts w:ascii="Cambria Math" w:eastAsiaTheme="minorHAnsi" w:hAnsi="Cambria Math" w:cs="Arial"/>
                                    <w:sz w:val="22"/>
                                    <w:szCs w:val="22"/>
                                  </w:rPr>
                                  <m:t>m</m:t>
                                </m:r>
                              </m:sub>
                            </m:sSub>
                            <m:r>
                              <w:rPr>
                                <w:rFonts w:ascii="Cambria Math" w:eastAsiaTheme="minorHAnsi" w:hAnsi="Cambria Math" w:cs="Arial"/>
                                <w:sz w:val="22"/>
                                <w:szCs w:val="22"/>
                              </w:rPr>
                              <m:t xml:space="preserve"> ×</m:t>
                            </m:r>
                            <m:sSub>
                              <m:sSubPr>
                                <m:ctrlPr>
                                  <w:rPr>
                                    <w:rFonts w:ascii="Cambria Math" w:eastAsiaTheme="minorHAnsi" w:hAnsi="Cambria Math" w:cs="Arial"/>
                                    <w:sz w:val="22"/>
                                    <w:szCs w:val="22"/>
                                  </w:rPr>
                                </m:ctrlPr>
                              </m:sSubPr>
                              <m:e>
                                <m:r>
                                  <w:rPr>
                                    <w:rFonts w:ascii="Cambria Math" w:eastAsiaTheme="minorHAnsi" w:hAnsi="Cambria Math" w:cs="Arial"/>
                                    <w:sz w:val="22"/>
                                    <w:szCs w:val="22"/>
                                  </w:rPr>
                                  <m:t>PUCV</m:t>
                                </m:r>
                              </m:e>
                              <m:sub>
                                <m:r>
                                  <w:rPr>
                                    <w:rFonts w:ascii="Cambria Math" w:eastAsiaTheme="minorHAnsi" w:hAnsi="Cambria Math" w:cs="Arial"/>
                                    <w:sz w:val="22"/>
                                    <w:szCs w:val="22"/>
                                  </w:rPr>
                                  <m:t>m</m:t>
                                </m:r>
                              </m:sub>
                            </m:sSub>
                          </m:e>
                        </m:d>
                      </m:e>
                      <m:sup>
                        <m:r>
                          <w:rPr>
                            <w:rFonts w:ascii="Cambria Math" w:eastAsiaTheme="minorHAnsi" w:hAnsi="Cambria Math" w:cs="Arial"/>
                            <w:sz w:val="22"/>
                            <w:szCs w:val="22"/>
                          </w:rPr>
                          <m:t>2</m:t>
                        </m:r>
                      </m:sup>
                    </m:sSup>
                    <m:r>
                      <w:rPr>
                        <w:rFonts w:ascii="Cambria Math" w:eastAsiaTheme="minorHAnsi" w:hAnsi="Cambria Math" w:cs="Arial"/>
                        <w:sz w:val="22"/>
                        <w:szCs w:val="22"/>
                      </w:rPr>
                      <m:t>×</m:t>
                    </m:r>
                    <m:d>
                      <m:dPr>
                        <m:ctrlPr>
                          <w:rPr>
                            <w:rFonts w:ascii="Cambria Math" w:eastAsiaTheme="minorHAnsi" w:hAnsi="Cambria Math" w:cs="Arial"/>
                            <w:i w:val="0"/>
                            <w:sz w:val="22"/>
                            <w:szCs w:val="22"/>
                          </w:rPr>
                        </m:ctrlPr>
                      </m:dPr>
                      <m:e>
                        <m:sSup>
                          <m:sSupPr>
                            <m:ctrlPr>
                              <w:rPr>
                                <w:rFonts w:ascii="Cambria Math" w:eastAsiaTheme="minorHAnsi" w:hAnsi="Cambria Math" w:cs="Arial"/>
                                <w:i w:val="0"/>
                                <w:sz w:val="22"/>
                                <w:szCs w:val="22"/>
                              </w:rPr>
                            </m:ctrlPr>
                          </m:sSupPr>
                          <m:e>
                            <m:r>
                              <w:rPr>
                                <w:rFonts w:ascii="Cambria Math" w:eastAsiaTheme="minorHAnsi" w:hAnsi="Cambria Math" w:cs="Arial"/>
                                <w:sz w:val="22"/>
                                <w:szCs w:val="22"/>
                              </w:rPr>
                              <m:t xml:space="preserve">1+ </m:t>
                            </m:r>
                            <m:d>
                              <m:dPr>
                                <m:ctrlPr>
                                  <w:rPr>
                                    <w:rFonts w:ascii="Cambria Math" w:eastAsiaTheme="minorHAnsi" w:hAnsi="Cambria Math" w:cs="Arial"/>
                                    <w:i w:val="0"/>
                                    <w:sz w:val="22"/>
                                    <w:szCs w:val="22"/>
                                  </w:rPr>
                                </m:ctrlPr>
                              </m:dPr>
                              <m:e>
                                <m:r>
                                  <w:rPr>
                                    <w:rFonts w:ascii="Cambria Math" w:eastAsiaTheme="minorHAnsi" w:hAnsi="Cambria Math" w:cs="Arial"/>
                                    <w:sz w:val="22"/>
                                    <w:szCs w:val="22"/>
                                  </w:rPr>
                                  <m:t>1-</m:t>
                                </m:r>
                                <m:sSub>
                                  <m:sSubPr>
                                    <m:ctrlPr>
                                      <w:rPr>
                                        <w:rFonts w:ascii="Cambria Math" w:eastAsiaTheme="minorHAnsi" w:hAnsi="Cambria Math" w:cs="Arial"/>
                                        <w:sz w:val="22"/>
                                        <w:szCs w:val="22"/>
                                      </w:rPr>
                                    </m:ctrlPr>
                                  </m:sSubPr>
                                  <m:e>
                                    <m:r>
                                      <w:rPr>
                                        <w:rFonts w:ascii="Cambria Math" w:eastAsiaTheme="minorHAnsi" w:hAnsi="Cambria Math" w:cs="Arial"/>
                                        <w:sz w:val="22"/>
                                        <w:szCs w:val="22"/>
                                      </w:rPr>
                                      <m:t>PPV</m:t>
                                    </m:r>
                                  </m:e>
                                  <m:sub>
                                    <m:r>
                                      <w:rPr>
                                        <w:rFonts w:ascii="Cambria Math" w:eastAsiaTheme="minorHAnsi" w:hAnsi="Cambria Math" w:cs="Arial"/>
                                        <w:sz w:val="22"/>
                                        <w:szCs w:val="22"/>
                                      </w:rPr>
                                      <m:t>m</m:t>
                                    </m:r>
                                  </m:sub>
                                </m:sSub>
                              </m:e>
                            </m:d>
                          </m:e>
                          <m:sup>
                            <m:r>
                              <w:rPr>
                                <w:rFonts w:ascii="Cambria Math" w:eastAsiaTheme="minorHAnsi" w:hAnsi="Cambria Math" w:cs="Arial"/>
                                <w:sz w:val="22"/>
                                <w:szCs w:val="22"/>
                              </w:rPr>
                              <m:t>2</m:t>
                            </m:r>
                          </m:sup>
                        </m:sSup>
                        <m:r>
                          <w:rPr>
                            <w:rFonts w:ascii="Cambria Math" w:eastAsiaTheme="minorHAnsi" w:hAnsi="Cambria Math" w:cs="Arial"/>
                            <w:sz w:val="22"/>
                            <w:szCs w:val="22"/>
                          </w:rPr>
                          <m:t>+</m:t>
                        </m:r>
                        <m:d>
                          <m:dPr>
                            <m:ctrlPr>
                              <w:rPr>
                                <w:rFonts w:ascii="Cambria Math" w:eastAsiaTheme="minorHAnsi" w:hAnsi="Cambria Math" w:cs="Arial"/>
                                <w:i w:val="0"/>
                                <w:sz w:val="22"/>
                                <w:szCs w:val="22"/>
                              </w:rPr>
                            </m:ctrlPr>
                          </m:dPr>
                          <m:e>
                            <m:f>
                              <m:fPr>
                                <m:ctrlPr>
                                  <w:rPr>
                                    <w:rFonts w:ascii="Cambria Math" w:eastAsiaTheme="minorHAnsi" w:hAnsi="Cambria Math" w:cs="Arial"/>
                                    <w:i w:val="0"/>
                                    <w:sz w:val="22"/>
                                    <w:szCs w:val="22"/>
                                  </w:rPr>
                                </m:ctrlPr>
                              </m:fPr>
                              <m:num>
                                <m:r>
                                  <w:rPr>
                                    <w:rFonts w:ascii="Cambria Math" w:eastAsiaTheme="minorHAnsi" w:hAnsi="Cambria Math" w:cs="Arial"/>
                                    <w:sz w:val="22"/>
                                    <w:szCs w:val="22"/>
                                  </w:rPr>
                                  <m:t>2 ×</m:t>
                                </m:r>
                                <m:sSub>
                                  <m:sSubPr>
                                    <m:ctrlPr>
                                      <w:rPr>
                                        <w:rFonts w:ascii="Cambria Math" w:eastAsiaTheme="minorHAnsi" w:hAnsi="Cambria Math" w:cs="Arial"/>
                                        <w:sz w:val="22"/>
                                        <w:szCs w:val="22"/>
                                      </w:rPr>
                                    </m:ctrlPr>
                                  </m:sSubPr>
                                  <m:e>
                                    <m:r>
                                      <w:rPr>
                                        <w:rFonts w:ascii="Cambria Math" w:eastAsiaTheme="minorHAnsi" w:hAnsi="Cambria Math" w:cs="Arial"/>
                                        <w:sz w:val="22"/>
                                        <w:szCs w:val="22"/>
                                      </w:rPr>
                                      <m:t>COV</m:t>
                                    </m:r>
                                  </m:e>
                                  <m:sub>
                                    <m:r>
                                      <w:rPr>
                                        <w:rFonts w:ascii="Cambria Math" w:eastAsiaTheme="minorHAnsi" w:hAnsi="Cambria Math" w:cs="Arial"/>
                                        <w:sz w:val="22"/>
                                        <w:szCs w:val="22"/>
                                      </w:rPr>
                                      <m:t>c</m:t>
                                    </m:r>
                                  </m:sub>
                                </m:sSub>
                              </m:num>
                              <m:den>
                                <m:sSub>
                                  <m:sSubPr>
                                    <m:ctrlPr>
                                      <w:rPr>
                                        <w:rFonts w:ascii="Cambria Math" w:eastAsiaTheme="minorHAnsi" w:hAnsi="Cambria Math" w:cs="Arial"/>
                                        <w:sz w:val="22"/>
                                        <w:szCs w:val="22"/>
                                      </w:rPr>
                                    </m:ctrlPr>
                                  </m:sSubPr>
                                  <m:e>
                                    <m:r>
                                      <w:rPr>
                                        <w:rFonts w:ascii="Cambria Math" w:eastAsiaTheme="minorHAnsi" w:hAnsi="Cambria Math" w:cs="Arial"/>
                                        <w:sz w:val="22"/>
                                        <w:szCs w:val="22"/>
                                      </w:rPr>
                                      <m:t>PPV</m:t>
                                    </m:r>
                                  </m:e>
                                  <m:sub>
                                    <m:r>
                                      <w:rPr>
                                        <w:rFonts w:ascii="Cambria Math" w:eastAsiaTheme="minorHAnsi" w:hAnsi="Cambria Math" w:cs="Arial"/>
                                        <w:sz w:val="22"/>
                                        <w:szCs w:val="22"/>
                                      </w:rPr>
                                      <m:t>m</m:t>
                                    </m:r>
                                  </m:sub>
                                </m:sSub>
                                <m:r>
                                  <w:rPr>
                                    <w:rFonts w:ascii="Cambria Math" w:eastAsiaTheme="minorHAnsi" w:hAnsi="Cambria Math" w:cs="Arial"/>
                                    <w:sz w:val="22"/>
                                    <w:szCs w:val="22"/>
                                  </w:rPr>
                                  <m:t xml:space="preserve"> ×</m:t>
                                </m:r>
                                <m:sSub>
                                  <m:sSubPr>
                                    <m:ctrlPr>
                                      <w:rPr>
                                        <w:rFonts w:ascii="Cambria Math" w:eastAsiaTheme="minorHAnsi" w:hAnsi="Cambria Math" w:cs="Arial"/>
                                        <w:sz w:val="22"/>
                                        <w:szCs w:val="22"/>
                                      </w:rPr>
                                    </m:ctrlPr>
                                  </m:sSubPr>
                                  <m:e>
                                    <m:r>
                                      <w:rPr>
                                        <w:rFonts w:ascii="Cambria Math" w:eastAsiaTheme="minorHAnsi" w:hAnsi="Cambria Math" w:cs="Arial"/>
                                        <w:sz w:val="22"/>
                                        <w:szCs w:val="22"/>
                                      </w:rPr>
                                      <m:t>PUCV</m:t>
                                    </m:r>
                                  </m:e>
                                  <m:sub>
                                    <m:r>
                                      <w:rPr>
                                        <w:rFonts w:ascii="Cambria Math" w:eastAsiaTheme="minorHAnsi" w:hAnsi="Cambria Math" w:cs="Arial"/>
                                        <w:sz w:val="22"/>
                                        <w:szCs w:val="22"/>
                                      </w:rPr>
                                      <m:t>m</m:t>
                                    </m:r>
                                  </m:sub>
                                </m:sSub>
                              </m:den>
                            </m:f>
                          </m:e>
                        </m:d>
                      </m:e>
                    </m:d>
                  </m:e>
                </m:nary>
              </m:oMath>
            </m:oMathPara>
          </w:p>
          <w:p w14:paraId="120971EA" w14:textId="77777777" w:rsidR="00FA4C68" w:rsidRPr="005D4222" w:rsidRDefault="00FA4C68" w:rsidP="00A53E8C">
            <w:r w:rsidRPr="005D4222">
              <w:t>Where:</w:t>
            </w:r>
          </w:p>
          <w:p w14:paraId="0F63CFFD" w14:textId="77777777" w:rsidR="00FA4C68" w:rsidRPr="005D4222" w:rsidRDefault="00010176" w:rsidP="00A53E8C">
            <w:pPr>
              <w:spacing w:before="60"/>
              <w:rPr>
                <w:rFonts w:eastAsiaTheme="minorEastAsia"/>
              </w:rPr>
            </w:pPr>
            <m:oMath>
              <m:r>
                <w:rPr>
                  <w:rFonts w:ascii="Cambria Math" w:eastAsiaTheme="minorEastAsia" w:hAnsi="Cambria Math"/>
                </w:rPr>
                <m:t>c</m:t>
              </m:r>
            </m:oMath>
            <w:r w:rsidR="00FA4C68" w:rsidRPr="005D4222">
              <w:rPr>
                <w:rFonts w:eastAsiaTheme="minorEastAsia"/>
                <w:i/>
              </w:rPr>
              <w:t xml:space="preserve"> </w:t>
            </w:r>
            <w:r w:rsidR="00FA4C68" w:rsidRPr="005D4222">
              <w:rPr>
                <w:rFonts w:eastAsiaTheme="minorEastAsia"/>
                <w:i/>
              </w:rPr>
              <w:tab/>
            </w:r>
            <w:r w:rsidR="00FA4C68" w:rsidRPr="005D4222">
              <w:rPr>
                <w:rFonts w:eastAsiaTheme="minorEastAsia"/>
              </w:rPr>
              <w:t>denotes an individual category</w:t>
            </w:r>
          </w:p>
          <w:p w14:paraId="032ED64F" w14:textId="77777777" w:rsidR="00FA4C68" w:rsidRPr="005D4222" w:rsidRDefault="00000000" w:rsidP="00A53E8C">
            <w:pPr>
              <w:spacing w:before="60"/>
              <w:rPr>
                <w:rFonts w:eastAsiaTheme="minorEastAsia"/>
              </w:rPr>
            </w:pPr>
            <m:oMath>
              <m:sSub>
                <m:sSubPr>
                  <m:ctrlPr>
                    <w:rPr>
                      <w:rFonts w:ascii="Cambria Math" w:hAnsi="Cambria Math"/>
                      <w:i/>
                    </w:rPr>
                  </m:ctrlPr>
                </m:sSubPr>
                <m:e>
                  <m:r>
                    <w:rPr>
                      <w:rFonts w:ascii="Cambria Math" w:hAnsi="Cambria Math"/>
                    </w:rPr>
                    <m:t>n</m:t>
                  </m:r>
                </m:e>
                <m:sub>
                  <m:r>
                    <w:rPr>
                      <w:rFonts w:ascii="Cambria Math" w:hAnsi="Cambria Math"/>
                    </w:rPr>
                    <m:t>c</m:t>
                  </m:r>
                </m:sub>
              </m:sSub>
            </m:oMath>
            <w:r w:rsidR="00FA4C68" w:rsidRPr="005D4222">
              <w:rPr>
                <w:rFonts w:eastAsiaTheme="minorEastAsia"/>
              </w:rPr>
              <w:t xml:space="preserve"> </w:t>
            </w:r>
            <w:r w:rsidR="00FA4C68" w:rsidRPr="005D4222">
              <w:rPr>
                <w:rFonts w:eastAsiaTheme="minorEastAsia"/>
              </w:rPr>
              <w:tab/>
              <w:t xml:space="preserve">is the number of persons in the category indicated by </w:t>
            </w:r>
            <m:oMath>
              <m:r>
                <w:rPr>
                  <w:rFonts w:ascii="Cambria Math" w:eastAsiaTheme="minorEastAsia" w:hAnsi="Cambria Math"/>
                </w:rPr>
                <m:t>c</m:t>
              </m:r>
            </m:oMath>
          </w:p>
          <w:p w14:paraId="36E04D6C" w14:textId="77777777" w:rsidR="00FA4C68" w:rsidRPr="005D4222" w:rsidRDefault="00010176" w:rsidP="00A53E8C">
            <w:pPr>
              <w:spacing w:before="60"/>
              <w:rPr>
                <w:rFonts w:eastAsiaTheme="minorEastAsia"/>
              </w:rPr>
            </w:pPr>
            <m:oMath>
              <m:r>
                <w:rPr>
                  <w:rFonts w:ascii="Cambria Math" w:eastAsiaTheme="minorEastAsia" w:hAnsi="Cambria Math"/>
                </w:rPr>
                <m:t>m</m:t>
              </m:r>
            </m:oMath>
            <w:r w:rsidR="00FA4C68" w:rsidRPr="005D4222">
              <w:rPr>
                <w:rFonts w:eastAsiaTheme="minorEastAsia"/>
              </w:rPr>
              <w:t xml:space="preserve"> </w:t>
            </w:r>
            <w:r w:rsidR="00FA4C68" w:rsidRPr="005D4222">
              <w:rPr>
                <w:rFonts w:eastAsiaTheme="minorEastAsia"/>
              </w:rPr>
              <w:tab/>
              <w:t xml:space="preserve">is an individual person within the category indicated by </w:t>
            </w:r>
            <m:oMath>
              <m:r>
                <w:rPr>
                  <w:rFonts w:ascii="Cambria Math" w:eastAsiaTheme="minorEastAsia" w:hAnsi="Cambria Math"/>
                </w:rPr>
                <m:t>c</m:t>
              </m:r>
            </m:oMath>
          </w:p>
          <w:p w14:paraId="5606EEF8" w14:textId="77777777" w:rsidR="00FA4C68" w:rsidRPr="005D4222" w:rsidRDefault="00000000" w:rsidP="00A53E8C">
            <w:pPr>
              <w:spacing w:before="60"/>
              <w:rPr>
                <w:rFonts w:eastAsiaTheme="minorEastAsia"/>
              </w:rPr>
            </w:pPr>
            <m:oMath>
              <m:sSub>
                <m:sSubPr>
                  <m:ctrlPr>
                    <w:rPr>
                      <w:rFonts w:ascii="Cambria Math" w:eastAsiaTheme="minorEastAsia" w:hAnsi="Cambria Math"/>
                      <w:i/>
                    </w:rPr>
                  </m:ctrlPr>
                </m:sSubPr>
                <m:e>
                  <m:r>
                    <w:rPr>
                      <w:rFonts w:ascii="Cambria Math" w:eastAsiaTheme="minorEastAsia" w:hAnsi="Cambria Math"/>
                    </w:rPr>
                    <m:t>PPV</m:t>
                  </m:r>
                </m:e>
                <m:sub>
                  <m:r>
                    <w:rPr>
                      <w:rFonts w:ascii="Cambria Math" w:eastAsiaTheme="minorEastAsia" w:hAnsi="Cambria Math"/>
                    </w:rPr>
                    <m:t>m</m:t>
                  </m:r>
                </m:sub>
              </m:sSub>
            </m:oMath>
            <w:r w:rsidR="00FA4C68" w:rsidRPr="005D4222">
              <w:rPr>
                <w:rFonts w:eastAsiaTheme="minorEastAsia"/>
              </w:rPr>
              <w:t xml:space="preserve"> </w:t>
            </w:r>
            <w:r w:rsidR="00FA4C68" w:rsidRPr="005D4222">
              <w:rPr>
                <w:rFonts w:eastAsiaTheme="minorEastAsia"/>
              </w:rPr>
              <w:tab/>
              <w:t xml:space="preserve">is the truncated PPV for the person denoted by </w:t>
            </w:r>
            <m:oMath>
              <m:r>
                <w:rPr>
                  <w:rFonts w:ascii="Cambria Math" w:eastAsiaTheme="minorEastAsia" w:hAnsi="Cambria Math"/>
                </w:rPr>
                <m:t>m</m:t>
              </m:r>
            </m:oMath>
          </w:p>
          <w:p w14:paraId="630A7C8E" w14:textId="77777777" w:rsidR="00FA4C68" w:rsidRPr="005D4222" w:rsidRDefault="00000000" w:rsidP="00A53E8C">
            <w:pPr>
              <w:spacing w:before="60"/>
              <w:rPr>
                <w:rFonts w:eastAsiaTheme="minorEastAsia"/>
              </w:rPr>
            </w:pPr>
            <m:oMath>
              <m:sSub>
                <m:sSubPr>
                  <m:ctrlPr>
                    <w:rPr>
                      <w:rFonts w:ascii="Cambria Math" w:eastAsiaTheme="minorEastAsia" w:hAnsi="Cambria Math"/>
                      <w:i/>
                    </w:rPr>
                  </m:ctrlPr>
                </m:sSubPr>
                <m:e>
                  <m:r>
                    <w:rPr>
                      <w:rFonts w:ascii="Cambria Math" w:eastAsiaTheme="minorEastAsia" w:hAnsi="Cambria Math"/>
                    </w:rPr>
                    <m:t>PUCV</m:t>
                  </m:r>
                </m:e>
                <m:sub>
                  <m:r>
                    <w:rPr>
                      <w:rFonts w:ascii="Cambria Math" w:eastAsiaTheme="minorEastAsia" w:hAnsi="Cambria Math"/>
                    </w:rPr>
                    <m:t>m</m:t>
                  </m:r>
                </m:sub>
              </m:sSub>
            </m:oMath>
            <w:r w:rsidR="00FA4C68" w:rsidRPr="005D4222">
              <w:rPr>
                <w:rFonts w:eastAsiaTheme="minorEastAsia"/>
              </w:rPr>
              <w:t xml:space="preserve"> </w:t>
            </w:r>
            <w:r w:rsidR="00FA4C68" w:rsidRPr="005D4222">
              <w:rPr>
                <w:rFonts w:eastAsiaTheme="minorEastAsia"/>
              </w:rPr>
              <w:tab/>
              <w:t xml:space="preserve">is the truncated PUCV for the person denoted by </w:t>
            </w:r>
            <m:oMath>
              <m:r>
                <w:rPr>
                  <w:rFonts w:ascii="Cambria Math" w:eastAsiaTheme="minorEastAsia" w:hAnsi="Cambria Math"/>
                </w:rPr>
                <m:t>m</m:t>
              </m:r>
            </m:oMath>
          </w:p>
          <w:p w14:paraId="245932F9" w14:textId="77777777" w:rsidR="00FA4C68" w:rsidRPr="005D4222" w:rsidRDefault="00000000" w:rsidP="00A53E8C">
            <w:pPr>
              <w:spacing w:before="60"/>
              <w:rPr>
                <w:rFonts w:eastAsiaTheme="minorEastAsia"/>
              </w:rPr>
            </w:pP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m:t>
                  </m:r>
                </m:sub>
              </m:sSub>
            </m:oMath>
            <w:r w:rsidR="00FA4C68" w:rsidRPr="005D4222">
              <w:rPr>
                <w:rFonts w:eastAsiaTheme="minorEastAsia"/>
              </w:rPr>
              <w:t xml:space="preserve"> </w:t>
            </w:r>
            <w:r w:rsidR="00FA4C68" w:rsidRPr="005D4222">
              <w:rPr>
                <w:rFonts w:eastAsiaTheme="minorEastAsia"/>
              </w:rPr>
              <w:tab/>
              <w:t xml:space="preserve">is the number of persons in the category indicated by </w:t>
            </w:r>
            <m:oMath>
              <m:r>
                <w:rPr>
                  <w:rFonts w:ascii="Cambria Math" w:eastAsiaTheme="minorEastAsia" w:hAnsi="Cambria Math"/>
                </w:rPr>
                <m:t>c</m:t>
              </m:r>
            </m:oMath>
          </w:p>
          <w:p w14:paraId="0D0536B4" w14:textId="77777777" w:rsidR="00FA4C68" w:rsidRPr="005D4222" w:rsidRDefault="00FA4C68" w:rsidP="00A53E8C">
            <w:pPr>
              <w:pStyle w:val="ECDSBody"/>
              <w:rPr>
                <w:b/>
                <w:i/>
                <w:iCs/>
              </w:rPr>
            </w:pPr>
            <w:r w:rsidRPr="005D4222">
              <w:t>Round the variance for reporting to 4 decimal places using the .5 rule</w:t>
            </w:r>
            <w:r w:rsidRPr="005D4222">
              <w:rPr>
                <w:szCs w:val="21"/>
              </w:rPr>
              <w:t>.</w:t>
            </w:r>
          </w:p>
        </w:tc>
      </w:tr>
      <w:tr w:rsidR="00FA4C68" w:rsidRPr="005D4222" w14:paraId="37119352"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84E75BC" w14:textId="77777777" w:rsidR="00FA4C68" w:rsidRPr="005D4222" w:rsidRDefault="00FA4C68" w:rsidP="00A53E8C">
            <w:pPr>
              <w:pStyle w:val="ECDSMarginHead"/>
            </w:pPr>
            <w:r w:rsidRPr="005D4222">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50780FE" w14:textId="77777777" w:rsidR="00FA4C68" w:rsidRPr="005D4222" w:rsidRDefault="00FA4C68" w:rsidP="00A53E8C">
            <w:pPr>
              <w:pStyle w:val="ProcessBullet"/>
              <w:spacing w:before="120"/>
              <w:rPr>
                <w:rFonts w:eastAsia="Arial"/>
              </w:rPr>
            </w:pPr>
            <w:r w:rsidRPr="005D4222">
              <w:rPr>
                <w:rFonts w:eastAsia="Arial"/>
              </w:rPr>
              <w:t xml:space="preserve">Integrated the Risk Adjustment General Guidelines into the </w:t>
            </w:r>
            <w:r w:rsidRPr="005D4222">
              <w:rPr>
                <w:rFonts w:eastAsia="Arial"/>
                <w:i/>
              </w:rPr>
              <w:t xml:space="preserve">Guidance </w:t>
            </w:r>
            <w:r w:rsidRPr="005D4222">
              <w:rPr>
                <w:rFonts w:eastAsia="Arial"/>
              </w:rPr>
              <w:t xml:space="preserve">section. </w:t>
            </w:r>
          </w:p>
          <w:p w14:paraId="437EFC78" w14:textId="77777777" w:rsidR="00FA4C68" w:rsidRPr="004771F6" w:rsidRDefault="00FA4C68" w:rsidP="00A53E8C">
            <w:pPr>
              <w:pStyle w:val="ProcessBullet"/>
              <w:spacing w:after="80"/>
            </w:pPr>
            <w:r w:rsidRPr="005D4222">
              <w:rPr>
                <w:rFonts w:eastAsia="Arial"/>
              </w:rPr>
              <w:t xml:space="preserve">Removed the definition of “classification period” and put the time frame in the </w:t>
            </w:r>
            <w:r w:rsidRPr="005D4222">
              <w:rPr>
                <w:rFonts w:eastAsia="Arial"/>
                <w:i/>
                <w:iCs/>
              </w:rPr>
              <w:t>Risk adjustment comorbidity category determination</w:t>
            </w:r>
            <w:r w:rsidRPr="005D4222">
              <w:rPr>
                <w:rFonts w:eastAsia="Arial"/>
              </w:rPr>
              <w:t xml:space="preserve"> section. </w:t>
            </w:r>
          </w:p>
          <w:p w14:paraId="7BEC65FD" w14:textId="79A86B9F" w:rsidR="004771F6" w:rsidRPr="005D4222" w:rsidRDefault="004771F6" w:rsidP="00A53E8C">
            <w:pPr>
              <w:pStyle w:val="ProcessBullet"/>
              <w:spacing w:after="80"/>
            </w:pPr>
            <w:r w:rsidRPr="00D81F5D">
              <w:t>Added administrative gender code</w:t>
            </w:r>
            <w:r>
              <w:t xml:space="preserve">s </w:t>
            </w:r>
            <w:r w:rsidRPr="00D81F5D">
              <w:t>to the initial population.</w:t>
            </w:r>
          </w:p>
        </w:tc>
      </w:tr>
      <w:tr w:rsidR="00FA4C68" w:rsidRPr="005D4222" w14:paraId="01E11E32"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84D86BC" w14:textId="77777777" w:rsidR="00FA4C68" w:rsidRPr="005D4222" w:rsidRDefault="00FA4C68" w:rsidP="00A53E8C">
            <w:pPr>
              <w:pStyle w:val="ECDS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1369AE3" w14:textId="77777777" w:rsidR="00FA4C68" w:rsidRPr="005D4222" w:rsidRDefault="00FA4C68" w:rsidP="00A53E8C">
            <w:pPr>
              <w:pStyle w:val="ECDSBody"/>
            </w:pPr>
            <w:r w:rsidRPr="005D4222">
              <w:rPr>
                <w:b/>
                <w:i/>
                <w:iCs/>
              </w:rPr>
              <w:t xml:space="preserve">Reporting: </w:t>
            </w:r>
            <w:r w:rsidRPr="005D4222">
              <w:rPr>
                <w:b/>
              </w:rPr>
              <w:t>Number of nonoutliers</w:t>
            </w:r>
            <w:r w:rsidRPr="005D4222">
              <w:rPr>
                <w:b/>
              </w:rPr>
              <w:br/>
            </w:r>
            <w:r w:rsidRPr="005D4222">
              <w:t>The number of nonoutlier persons for each age group, reported as the NonOutlierPersonCount.</w:t>
            </w:r>
          </w:p>
          <w:p w14:paraId="76E0BFF7" w14:textId="77777777" w:rsidR="00FA4C68" w:rsidRPr="005D4222" w:rsidRDefault="00FA4C68" w:rsidP="00A53E8C">
            <w:pPr>
              <w:pStyle w:val="ECDSBody"/>
            </w:pPr>
            <w:r w:rsidRPr="005D4222">
              <w:rPr>
                <w:b/>
                <w:i/>
                <w:iCs/>
              </w:rPr>
              <w:t xml:space="preserve">Reporting: </w:t>
            </w:r>
            <w:r w:rsidRPr="005D4222">
              <w:rPr>
                <w:b/>
              </w:rPr>
              <w:t>Number of outliers</w:t>
            </w:r>
            <w:r w:rsidRPr="005D4222">
              <w:rPr>
                <w:b/>
              </w:rPr>
              <w:br/>
            </w:r>
            <w:r w:rsidRPr="005D4222">
              <w:t>The number of outlier persons for each age group, reported as the OutlierPersonCount.</w:t>
            </w:r>
          </w:p>
          <w:p w14:paraId="27316E34" w14:textId="77777777" w:rsidR="00FA4C68" w:rsidRPr="005D4222" w:rsidRDefault="00FA4C68" w:rsidP="00A53E8C">
            <w:pPr>
              <w:pStyle w:val="ECDSBody"/>
            </w:pPr>
            <w:r w:rsidRPr="005D4222">
              <w:rPr>
                <w:b/>
                <w:i/>
                <w:iCs/>
              </w:rPr>
              <w:t xml:space="preserve">Calculated: </w:t>
            </w:r>
            <w:r w:rsidRPr="005D4222">
              <w:rPr>
                <w:b/>
              </w:rPr>
              <w:t>Number of persons in the initial population</w:t>
            </w:r>
            <w:r w:rsidRPr="005D4222">
              <w:rPr>
                <w:b/>
              </w:rPr>
              <w:br/>
            </w:r>
            <w:r w:rsidRPr="005D4222">
              <w:t>The number of persons in the initial population (including outliers) for each age group and totals. Calculated by IDSS as the PersonCount.</w:t>
            </w:r>
          </w:p>
          <w:p w14:paraId="2E5D83F4" w14:textId="77777777" w:rsidR="00FA4C68" w:rsidRPr="005D4222" w:rsidRDefault="00FA4C68" w:rsidP="00A53E8C">
            <w:pPr>
              <w:pStyle w:val="ECDSBody"/>
            </w:pPr>
            <w:r w:rsidRPr="005D4222">
              <w:rPr>
                <w:b/>
                <w:i/>
                <w:iCs/>
              </w:rPr>
              <w:t xml:space="preserve">Calculated: </w:t>
            </w:r>
            <w:r w:rsidRPr="005D4222">
              <w:rPr>
                <w:b/>
              </w:rPr>
              <w:t>Outlier rate</w:t>
            </w:r>
            <w:r w:rsidRPr="005D4222">
              <w:rPr>
                <w:b/>
              </w:rPr>
              <w:br/>
            </w:r>
            <w:r w:rsidRPr="005D4222">
              <w:t>The number of outlier persons (OutlierPersonCount) divided by the number of persons in the initial population (PersonCount), multiplied by 1,000 for each age group and totals. Calculated by IDSS as the OutlierRate.</w:t>
            </w:r>
          </w:p>
          <w:p w14:paraId="549BF0EB" w14:textId="77777777" w:rsidR="00FA4C68" w:rsidRPr="005D4222" w:rsidRDefault="00FA4C68" w:rsidP="00A53E8C">
            <w:pPr>
              <w:pStyle w:val="ECDSBody"/>
            </w:pPr>
            <w:r w:rsidRPr="005D4222">
              <w:rPr>
                <w:b/>
                <w:i/>
                <w:iCs/>
              </w:rPr>
              <w:t xml:space="preserve">Reporting: </w:t>
            </w:r>
            <w:r w:rsidRPr="005D4222">
              <w:rPr>
                <w:b/>
              </w:rPr>
              <w:t>Number of observed events among nonoutlier persons</w:t>
            </w:r>
            <w:r w:rsidRPr="005D4222">
              <w:rPr>
                <w:b/>
              </w:rPr>
              <w:br/>
            </w:r>
            <w:r w:rsidRPr="005D4222">
              <w:t>The number of observed ED visits for each age group, reported as the ObservedCount.</w:t>
            </w:r>
          </w:p>
          <w:p w14:paraId="7D7659EF" w14:textId="77777777" w:rsidR="00FA4C68" w:rsidRPr="005D4222" w:rsidRDefault="00FA4C68" w:rsidP="00A53E8C">
            <w:pPr>
              <w:pStyle w:val="ECDSBody"/>
            </w:pPr>
            <w:r w:rsidRPr="005D4222">
              <w:rPr>
                <w:b/>
                <w:i/>
                <w:iCs/>
              </w:rPr>
              <w:t>Calculated:</w:t>
            </w:r>
            <w:r w:rsidRPr="005D4222">
              <w:t xml:space="preserve"> </w:t>
            </w:r>
            <w:r w:rsidRPr="005D4222">
              <w:rPr>
                <w:b/>
              </w:rPr>
              <w:t>Observed visits per 1,000 nonoutlier persons</w:t>
            </w:r>
            <w:r w:rsidRPr="005D4222">
              <w:rPr>
                <w:b/>
              </w:rPr>
              <w:br/>
            </w:r>
            <w:r w:rsidRPr="005D4222">
              <w:t>The number of observed ED visits (ObservedCount) divided by the number of nonoutlier persons in the initial population (NonOutlierPersonCount), multiplied by 1,000 for each age group and totals. Calculated by IDSS as the ObservedRate.</w:t>
            </w:r>
          </w:p>
          <w:p w14:paraId="40651B9D" w14:textId="77777777" w:rsidR="00FA4C68" w:rsidRPr="005D4222" w:rsidRDefault="00FA4C68" w:rsidP="00A53E8C">
            <w:pPr>
              <w:pStyle w:val="ECDSBody"/>
            </w:pPr>
            <w:r w:rsidRPr="005D4222">
              <w:rPr>
                <w:b/>
                <w:i/>
                <w:iCs/>
              </w:rPr>
              <w:t>Reporting</w:t>
            </w:r>
            <w:r w:rsidRPr="005D4222">
              <w:rPr>
                <w:b/>
              </w:rPr>
              <w:t>: Number of expected events among nonoutlier persons</w:t>
            </w:r>
            <w:r w:rsidRPr="005D4222">
              <w:rPr>
                <w:b/>
              </w:rPr>
              <w:br/>
            </w:r>
            <w:r w:rsidRPr="005D4222">
              <w:t>The number of expected ED visits for each age group, reported as the ExpectedCount.</w:t>
            </w:r>
          </w:p>
        </w:tc>
      </w:tr>
    </w:tbl>
    <w:p w14:paraId="34501492" w14:textId="77777777" w:rsidR="00FA4C68" w:rsidRPr="005D4222" w:rsidRDefault="00FA4C68" w:rsidP="00FA4C68"/>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FA4C68" w:rsidRPr="005D4222" w14:paraId="297EB7E0"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F31E58D" w14:textId="77777777" w:rsidR="00FA4C68" w:rsidRPr="005D4222" w:rsidRDefault="00FA4C68"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8405220" w14:textId="77777777" w:rsidR="00FA4C68" w:rsidRPr="005D4222" w:rsidRDefault="00FA4C68" w:rsidP="00A53E8C">
            <w:pPr>
              <w:pStyle w:val="ECDSBody"/>
            </w:pPr>
            <w:r w:rsidRPr="005D4222">
              <w:rPr>
                <w:b/>
                <w:i/>
                <w:iCs/>
              </w:rPr>
              <w:t>Calculated</w:t>
            </w:r>
            <w:r w:rsidRPr="005D4222">
              <w:rPr>
                <w:b/>
              </w:rPr>
              <w:t>: Expected visits per 1,000 nonoutlier persons</w:t>
            </w:r>
            <w:r w:rsidRPr="005D4222">
              <w:rPr>
                <w:b/>
              </w:rPr>
              <w:br/>
            </w:r>
            <w:r w:rsidRPr="005D4222">
              <w:t>The number of expected ED visits (ExpectedCount) divided by the number of nonoutlier persons in the initial population (NonOutlierPersonCount), multiplied by 1,000 for each age group and totals. Calculated by IDSS as the ExpectedRate.</w:t>
            </w:r>
          </w:p>
          <w:p w14:paraId="169B71DD" w14:textId="77777777" w:rsidR="00FA4C68" w:rsidRPr="005D4222" w:rsidRDefault="00FA4C68" w:rsidP="00A53E8C">
            <w:pPr>
              <w:pStyle w:val="ECDSBody"/>
            </w:pPr>
            <w:r w:rsidRPr="005D4222">
              <w:rPr>
                <w:b/>
                <w:i/>
                <w:iCs/>
              </w:rPr>
              <w:t>Reporting</w:t>
            </w:r>
            <w:r w:rsidRPr="005D4222">
              <w:rPr>
                <w:b/>
              </w:rPr>
              <w:t>: Variance among nonoutlier persons</w:t>
            </w:r>
            <w:r w:rsidRPr="005D4222">
              <w:rPr>
                <w:b/>
              </w:rPr>
              <w:br/>
            </w:r>
            <w:r w:rsidRPr="005D4222">
              <w:t>The variance (</w:t>
            </w:r>
            <w:r w:rsidRPr="005D4222">
              <w:rPr>
                <w:i/>
                <w:iCs/>
              </w:rPr>
              <w:t>Risk Adjustment Calculation,</w:t>
            </w:r>
            <w:r w:rsidRPr="005D4222">
              <w:t xml:space="preserve"> PUCV, step 5) for each age group, reported as the CountVariance.</w:t>
            </w:r>
          </w:p>
          <w:p w14:paraId="646BF5C3" w14:textId="77777777" w:rsidR="00FA4C68" w:rsidRPr="005D4222" w:rsidRDefault="00FA4C68" w:rsidP="00A53E8C">
            <w:pPr>
              <w:pStyle w:val="ECDSBody"/>
            </w:pPr>
            <w:r w:rsidRPr="005D4222">
              <w:rPr>
                <w:b/>
                <w:i/>
                <w:iCs/>
              </w:rPr>
              <w:t xml:space="preserve">Calculated: </w:t>
            </w:r>
            <w:r w:rsidRPr="005D4222">
              <w:rPr>
                <w:b/>
              </w:rPr>
              <w:t>O/E ratio</w:t>
            </w:r>
            <w:r w:rsidRPr="005D4222">
              <w:rPr>
                <w:b/>
              </w:rPr>
              <w:br/>
            </w:r>
            <w:r w:rsidRPr="005D4222">
              <w:t>The number of observed events among nonoutlier persons (ObservedCount) divided by the number of expected events among nonoutlier persons (ExpectedCount) for each age group and totals. Calculated by IDSS as the OE</w:t>
            </w:r>
            <w:r w:rsidRPr="005D4222" w:rsidDel="00884465">
              <w:t>.</w:t>
            </w:r>
          </w:p>
          <w:p w14:paraId="1CC028D0" w14:textId="77777777" w:rsidR="00FA4C68" w:rsidRPr="005D4222" w:rsidRDefault="00FA4C68" w:rsidP="00A53E8C">
            <w:pPr>
              <w:pStyle w:val="Heading3"/>
              <w:spacing w:before="120"/>
              <w:rPr>
                <w:b w:val="0"/>
                <w:bCs w:val="0"/>
                <w:i w:val="0"/>
                <w:iCs/>
                <w:sz w:val="21"/>
                <w:szCs w:val="21"/>
              </w:rPr>
            </w:pPr>
            <w:r w:rsidRPr="005D4222">
              <w:rPr>
                <w:b w:val="0"/>
                <w:bCs w:val="0"/>
                <w:i w:val="0"/>
                <w:iCs/>
                <w:sz w:val="21"/>
                <w:szCs w:val="21"/>
              </w:rPr>
              <w:t xml:space="preserve">Organizations that submit HEDIS data to NCQA must provide the following data elements. </w:t>
            </w:r>
          </w:p>
          <w:p w14:paraId="12EA676A" w14:textId="77777777" w:rsidR="00FA4C68" w:rsidRPr="005D4222" w:rsidRDefault="00FA4C68" w:rsidP="00A53E8C">
            <w:pPr>
              <w:pStyle w:val="Heading3"/>
              <w:spacing w:before="120"/>
              <w:rPr>
                <w:b w:val="0"/>
                <w:szCs w:val="18"/>
              </w:rPr>
            </w:pPr>
            <w:r w:rsidRPr="005D4222">
              <w:t>Table EDU-2/3: Data Elements for Emergency Department Utilization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9" w:type="dxa"/>
                <w:right w:w="29" w:type="dxa"/>
              </w:tblCellMar>
              <w:tblLook w:val="04A0" w:firstRow="1" w:lastRow="0" w:firstColumn="1" w:lastColumn="0" w:noHBand="0" w:noVBand="1"/>
            </w:tblPr>
            <w:tblGrid>
              <w:gridCol w:w="2606"/>
              <w:gridCol w:w="720"/>
              <w:gridCol w:w="1980"/>
              <w:gridCol w:w="2069"/>
            </w:tblGrid>
            <w:tr w:rsidR="00FA4C68" w:rsidRPr="005D4222" w14:paraId="00D6DFAB" w14:textId="77777777" w:rsidTr="00A53E8C">
              <w:trPr>
                <w:cantSplit/>
              </w:trPr>
              <w:tc>
                <w:tcPr>
                  <w:tcW w:w="2606" w:type="dxa"/>
                  <w:tcBorders>
                    <w:top w:val="single" w:sz="4" w:space="0" w:color="auto"/>
                    <w:left w:val="single" w:sz="4" w:space="0" w:color="000000" w:themeColor="text1"/>
                    <w:bottom w:val="single" w:sz="4" w:space="0" w:color="000000" w:themeColor="text1"/>
                    <w:right w:val="single" w:sz="4" w:space="0" w:color="FFFFFF" w:themeColor="background1"/>
                  </w:tcBorders>
                  <w:shd w:val="clear" w:color="auto" w:fill="000000" w:themeFill="text1"/>
                  <w:tcMar>
                    <w:left w:w="43" w:type="dxa"/>
                    <w:right w:w="43" w:type="dxa"/>
                  </w:tcMar>
                  <w:vAlign w:val="bottom"/>
                </w:tcPr>
                <w:p w14:paraId="458E1BA8" w14:textId="77777777" w:rsidR="00FA4C68" w:rsidRPr="005D4222" w:rsidRDefault="00FA4C68" w:rsidP="00A53E8C">
                  <w:pPr>
                    <w:pStyle w:val="TableHead"/>
                    <w:rPr>
                      <w:rFonts w:eastAsia="Arial Narrow"/>
                    </w:rPr>
                  </w:pPr>
                  <w:r w:rsidRPr="005D4222">
                    <w:rPr>
                      <w:rFonts w:eastAsia="Arial Narrow"/>
                    </w:rPr>
                    <w:t>Metric</w:t>
                  </w:r>
                </w:p>
              </w:tc>
              <w:tc>
                <w:tcPr>
                  <w:tcW w:w="720" w:type="dxa"/>
                  <w:tcBorders>
                    <w:top w:val="single" w:sz="4" w:space="0" w:color="auto"/>
                    <w:left w:val="single" w:sz="4" w:space="0" w:color="FFFFFF" w:themeColor="background1"/>
                    <w:bottom w:val="single" w:sz="4" w:space="0" w:color="000000" w:themeColor="text1"/>
                    <w:right w:val="single" w:sz="4" w:space="0" w:color="FFFFFF" w:themeColor="background1"/>
                  </w:tcBorders>
                  <w:shd w:val="clear" w:color="auto" w:fill="000000" w:themeFill="text1"/>
                  <w:tcMar>
                    <w:left w:w="43" w:type="dxa"/>
                    <w:right w:w="43" w:type="dxa"/>
                  </w:tcMar>
                  <w:vAlign w:val="bottom"/>
                </w:tcPr>
                <w:p w14:paraId="77C7E72D" w14:textId="77777777" w:rsidR="00FA4C68" w:rsidRPr="005D4222" w:rsidRDefault="00FA4C68" w:rsidP="00A53E8C">
                  <w:pPr>
                    <w:pStyle w:val="TableHead"/>
                    <w:rPr>
                      <w:rFonts w:eastAsia="Arial Narrow"/>
                    </w:rPr>
                  </w:pPr>
                  <w:r w:rsidRPr="005D4222">
                    <w:rPr>
                      <w:rFonts w:eastAsia="Arial Narrow"/>
                    </w:rPr>
                    <w:t>Age</w:t>
                  </w:r>
                </w:p>
              </w:tc>
              <w:tc>
                <w:tcPr>
                  <w:tcW w:w="1980" w:type="dxa"/>
                  <w:tcBorders>
                    <w:top w:val="single" w:sz="4" w:space="0" w:color="auto"/>
                    <w:left w:val="single" w:sz="4" w:space="0" w:color="FFFFFF" w:themeColor="background1"/>
                    <w:right w:val="single" w:sz="6" w:space="0" w:color="FFFFFF" w:themeColor="background1"/>
                  </w:tcBorders>
                  <w:shd w:val="clear" w:color="auto" w:fill="000000" w:themeFill="text1"/>
                  <w:tcMar>
                    <w:left w:w="43" w:type="dxa"/>
                    <w:right w:w="43" w:type="dxa"/>
                  </w:tcMar>
                  <w:vAlign w:val="bottom"/>
                </w:tcPr>
                <w:p w14:paraId="4AFC9FCF" w14:textId="77777777" w:rsidR="00FA4C68" w:rsidRPr="005D4222" w:rsidRDefault="00FA4C68" w:rsidP="00A53E8C">
                  <w:pPr>
                    <w:pStyle w:val="TableHead"/>
                    <w:rPr>
                      <w:rFonts w:eastAsia="Arial Narrow"/>
                    </w:rPr>
                  </w:pPr>
                  <w:r w:rsidRPr="005D4222">
                    <w:rPr>
                      <w:rFonts w:eastAsia="Arial Narrow"/>
                    </w:rPr>
                    <w:t>Data Element</w:t>
                  </w:r>
                </w:p>
              </w:tc>
              <w:tc>
                <w:tcPr>
                  <w:tcW w:w="2069" w:type="dxa"/>
                  <w:tcBorders>
                    <w:top w:val="single" w:sz="4" w:space="0" w:color="auto"/>
                    <w:left w:val="single" w:sz="6" w:space="0" w:color="FFFFFF" w:themeColor="background1"/>
                    <w:right w:val="single" w:sz="4" w:space="0" w:color="auto"/>
                  </w:tcBorders>
                  <w:shd w:val="clear" w:color="auto" w:fill="000000" w:themeFill="text1"/>
                  <w:tcMar>
                    <w:left w:w="43" w:type="dxa"/>
                    <w:right w:w="43" w:type="dxa"/>
                  </w:tcMar>
                  <w:vAlign w:val="bottom"/>
                </w:tcPr>
                <w:p w14:paraId="588BA8C8" w14:textId="77777777" w:rsidR="00FA4C68" w:rsidRPr="005D4222" w:rsidRDefault="00FA4C68" w:rsidP="00A53E8C">
                  <w:pPr>
                    <w:pStyle w:val="TableHead"/>
                    <w:rPr>
                      <w:rFonts w:eastAsia="Arial Narrow"/>
                    </w:rPr>
                  </w:pPr>
                  <w:r w:rsidRPr="005D4222">
                    <w:rPr>
                      <w:rFonts w:eastAsia="Arial Narrow"/>
                    </w:rPr>
                    <w:t>Reporting Instructions</w:t>
                  </w:r>
                </w:p>
              </w:tc>
            </w:tr>
            <w:tr w:rsidR="00FA4C68" w:rsidRPr="005D4222" w14:paraId="19B0D266" w14:textId="77777777" w:rsidTr="00A53E8C">
              <w:trPr>
                <w:cantSplit/>
              </w:trPr>
              <w:tc>
                <w:tcPr>
                  <w:tcW w:w="26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43" w:type="dxa"/>
                    <w:right w:w="43" w:type="dxa"/>
                  </w:tcMar>
                </w:tcPr>
                <w:p w14:paraId="4E4F62E2" w14:textId="77777777" w:rsidR="00FA4C68" w:rsidRPr="005D4222" w:rsidRDefault="00FA4C68" w:rsidP="00A53E8C">
                  <w:pPr>
                    <w:pStyle w:val="TableText"/>
                    <w:rPr>
                      <w:rFonts w:eastAsia="Arial Narrow"/>
                    </w:rPr>
                  </w:pPr>
                  <w:r w:rsidRPr="005D4222">
                    <w:rPr>
                      <w:rFonts w:eastAsia="Arial Narrow"/>
                    </w:rPr>
                    <w:t>EmergencyDepartmentUtilization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43" w:type="dxa"/>
                    <w:right w:w="43" w:type="dxa"/>
                  </w:tcMar>
                </w:tcPr>
                <w:p w14:paraId="5691680B" w14:textId="77777777" w:rsidR="00FA4C68" w:rsidRPr="005D4222" w:rsidRDefault="00FA4C68" w:rsidP="00A53E8C">
                  <w:pPr>
                    <w:pStyle w:val="TableText"/>
                    <w:rPr>
                      <w:rFonts w:eastAsia="Arial Narrow"/>
                    </w:rPr>
                  </w:pPr>
                  <w:r w:rsidRPr="005D4222">
                    <w:rPr>
                      <w:rFonts w:eastAsia="Arial Narrow"/>
                    </w:rPr>
                    <w:t>18-44</w:t>
                  </w:r>
                </w:p>
              </w:tc>
              <w:tc>
                <w:tcPr>
                  <w:tcW w:w="1980" w:type="dxa"/>
                  <w:tcBorders>
                    <w:bottom w:val="single" w:sz="4" w:space="0" w:color="auto"/>
                  </w:tcBorders>
                  <w:tcMar>
                    <w:left w:w="43" w:type="dxa"/>
                    <w:right w:w="43" w:type="dxa"/>
                  </w:tcMar>
                </w:tcPr>
                <w:p w14:paraId="2351618A" w14:textId="77777777" w:rsidR="00FA4C68" w:rsidRPr="005D4222" w:rsidRDefault="00FA4C68" w:rsidP="00A53E8C">
                  <w:pPr>
                    <w:pStyle w:val="TableText"/>
                    <w:rPr>
                      <w:rFonts w:eastAsia="Arial Narrow"/>
                    </w:rPr>
                  </w:pPr>
                  <w:r w:rsidRPr="005D4222">
                    <w:rPr>
                      <w:rFonts w:eastAsia="Arial Narrow"/>
                    </w:rPr>
                    <w:t>NonOutlierPersonCount</w:t>
                  </w:r>
                </w:p>
              </w:tc>
              <w:tc>
                <w:tcPr>
                  <w:tcW w:w="2069" w:type="dxa"/>
                  <w:tcBorders>
                    <w:bottom w:val="single" w:sz="4" w:space="0" w:color="auto"/>
                  </w:tcBorders>
                  <w:tcMar>
                    <w:left w:w="43" w:type="dxa"/>
                    <w:right w:w="43" w:type="dxa"/>
                  </w:tcMar>
                </w:tcPr>
                <w:p w14:paraId="0417A20F" w14:textId="77777777" w:rsidR="00FA4C68" w:rsidRPr="005D4222" w:rsidRDefault="00FA4C68" w:rsidP="00A53E8C">
                  <w:pPr>
                    <w:pStyle w:val="TableText"/>
                    <w:rPr>
                      <w:rFonts w:eastAsia="Arial Narrow"/>
                    </w:rPr>
                  </w:pPr>
                  <w:r w:rsidRPr="005D4222">
                    <w:rPr>
                      <w:rFonts w:eastAsia="Arial Narrow"/>
                    </w:rPr>
                    <w:t>For each Stratification</w:t>
                  </w:r>
                </w:p>
              </w:tc>
            </w:tr>
            <w:tr w:rsidR="00FA4C68" w:rsidRPr="005D4222" w14:paraId="17C6D820" w14:textId="77777777" w:rsidTr="00A53E8C">
              <w:trPr>
                <w:cantSplit/>
              </w:trPr>
              <w:tc>
                <w:tcPr>
                  <w:tcW w:w="2606" w:type="dxa"/>
                  <w:tcBorders>
                    <w:top w:val="single" w:sz="4" w:space="0" w:color="000000" w:themeColor="text1"/>
                    <w:left w:val="nil"/>
                    <w:bottom w:val="nil"/>
                    <w:right w:val="single" w:sz="4" w:space="0" w:color="000000" w:themeColor="text1"/>
                  </w:tcBorders>
                  <w:tcMar>
                    <w:left w:w="43" w:type="dxa"/>
                    <w:right w:w="43" w:type="dxa"/>
                  </w:tcMar>
                </w:tcPr>
                <w:p w14:paraId="2F844854" w14:textId="77777777" w:rsidR="00FA4C68" w:rsidRPr="005D4222" w:rsidRDefault="00FA4C68" w:rsidP="00A53E8C">
                  <w:pPr>
                    <w:pStyle w:val="TableText"/>
                    <w:rPr>
                      <w:rFonts w:eastAsia="Arial Narrow"/>
                    </w:rPr>
                  </w:pP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43" w:type="dxa"/>
                    <w:right w:w="43" w:type="dxa"/>
                  </w:tcMar>
                </w:tcPr>
                <w:p w14:paraId="00D79DFA" w14:textId="77777777" w:rsidR="00FA4C68" w:rsidRPr="005D4222" w:rsidRDefault="00FA4C68" w:rsidP="00A53E8C">
                  <w:pPr>
                    <w:pStyle w:val="TableText"/>
                    <w:rPr>
                      <w:rFonts w:eastAsia="Arial Narrow"/>
                    </w:rPr>
                  </w:pPr>
                  <w:r w:rsidRPr="005D4222">
                    <w:rPr>
                      <w:rFonts w:eastAsia="Arial Narrow"/>
                    </w:rPr>
                    <w:t>45-54</w:t>
                  </w:r>
                </w:p>
              </w:tc>
              <w:tc>
                <w:tcPr>
                  <w:tcW w:w="1980" w:type="dxa"/>
                  <w:tcBorders>
                    <w:bottom w:val="single" w:sz="4" w:space="0" w:color="auto"/>
                  </w:tcBorders>
                  <w:tcMar>
                    <w:left w:w="43" w:type="dxa"/>
                    <w:right w:w="43" w:type="dxa"/>
                  </w:tcMar>
                </w:tcPr>
                <w:p w14:paraId="6AD44307" w14:textId="77777777" w:rsidR="00FA4C68" w:rsidRPr="005D4222" w:rsidRDefault="00FA4C68" w:rsidP="00A53E8C">
                  <w:pPr>
                    <w:pStyle w:val="TableText"/>
                    <w:rPr>
                      <w:rFonts w:eastAsia="Arial Narrow"/>
                    </w:rPr>
                  </w:pPr>
                  <w:r w:rsidRPr="005D4222">
                    <w:rPr>
                      <w:rFonts w:eastAsia="Arial Narrow"/>
                    </w:rPr>
                    <w:t>OutlierPersonCount</w:t>
                  </w:r>
                </w:p>
              </w:tc>
              <w:tc>
                <w:tcPr>
                  <w:tcW w:w="2069" w:type="dxa"/>
                  <w:tcBorders>
                    <w:bottom w:val="single" w:sz="4" w:space="0" w:color="auto"/>
                  </w:tcBorders>
                  <w:tcMar>
                    <w:left w:w="43" w:type="dxa"/>
                    <w:right w:w="43" w:type="dxa"/>
                  </w:tcMar>
                </w:tcPr>
                <w:p w14:paraId="6C1C611F" w14:textId="77777777" w:rsidR="00FA4C68" w:rsidRPr="005D4222" w:rsidRDefault="00FA4C68" w:rsidP="00A53E8C">
                  <w:pPr>
                    <w:pStyle w:val="TableText"/>
                    <w:rPr>
                      <w:rFonts w:eastAsia="Arial Narrow"/>
                    </w:rPr>
                  </w:pPr>
                  <w:r w:rsidRPr="005D4222">
                    <w:rPr>
                      <w:rFonts w:eastAsia="Arial Narrow"/>
                    </w:rPr>
                    <w:t>For each Stratification</w:t>
                  </w:r>
                </w:p>
              </w:tc>
            </w:tr>
            <w:tr w:rsidR="00FA4C68" w:rsidRPr="005D4222" w14:paraId="122DC775" w14:textId="77777777" w:rsidTr="00A53E8C">
              <w:trPr>
                <w:cantSplit/>
              </w:trPr>
              <w:tc>
                <w:tcPr>
                  <w:tcW w:w="2606" w:type="dxa"/>
                  <w:tcBorders>
                    <w:top w:val="nil"/>
                    <w:left w:val="nil"/>
                    <w:bottom w:val="nil"/>
                    <w:right w:val="single" w:sz="4" w:space="0" w:color="000000" w:themeColor="text1"/>
                  </w:tcBorders>
                  <w:tcMar>
                    <w:left w:w="43" w:type="dxa"/>
                    <w:right w:w="43" w:type="dxa"/>
                  </w:tcMar>
                </w:tcPr>
                <w:p w14:paraId="425E12D3" w14:textId="77777777" w:rsidR="00FA4C68" w:rsidRPr="005D4222" w:rsidRDefault="00FA4C68" w:rsidP="00A53E8C">
                  <w:pPr>
                    <w:pStyle w:val="TableText"/>
                  </w:pP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43" w:type="dxa"/>
                    <w:right w:w="43" w:type="dxa"/>
                  </w:tcMar>
                </w:tcPr>
                <w:p w14:paraId="2E050245" w14:textId="77777777" w:rsidR="00FA4C68" w:rsidRPr="005D4222" w:rsidRDefault="00FA4C68" w:rsidP="00A53E8C">
                  <w:pPr>
                    <w:pStyle w:val="TableText"/>
                    <w:rPr>
                      <w:rFonts w:eastAsia="Arial Narrow"/>
                    </w:rPr>
                  </w:pPr>
                  <w:r w:rsidRPr="005D4222">
                    <w:t>55-64</w:t>
                  </w:r>
                </w:p>
              </w:tc>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43" w:type="dxa"/>
                    <w:right w:w="43" w:type="dxa"/>
                  </w:tcMar>
                  <w:vAlign w:val="center"/>
                </w:tcPr>
                <w:p w14:paraId="1134CDD6" w14:textId="77777777" w:rsidR="00FA4C68" w:rsidRPr="005D4222" w:rsidRDefault="00FA4C68" w:rsidP="00A53E8C">
                  <w:pPr>
                    <w:pStyle w:val="TableText"/>
                    <w:rPr>
                      <w:rFonts w:eastAsia="Arial Narrow"/>
                    </w:rPr>
                  </w:pPr>
                  <w:r w:rsidRPr="005D4222">
                    <w:rPr>
                      <w:rFonts w:eastAsia="Arial Narrow"/>
                    </w:rPr>
                    <w:t>PersonCount</w:t>
                  </w:r>
                </w:p>
              </w:tc>
              <w:tc>
                <w:tcPr>
                  <w:tcW w:w="206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43" w:type="dxa"/>
                    <w:right w:w="43" w:type="dxa"/>
                  </w:tcMar>
                  <w:vAlign w:val="center"/>
                </w:tcPr>
                <w:p w14:paraId="31C94A22" w14:textId="77777777" w:rsidR="00FA4C68" w:rsidRPr="005D4222" w:rsidRDefault="00FA4C68" w:rsidP="00A53E8C">
                  <w:pPr>
                    <w:pStyle w:val="TableText"/>
                    <w:rPr>
                      <w:rFonts w:eastAsia="Arial Narrow"/>
                    </w:rPr>
                  </w:pPr>
                  <w:r w:rsidRPr="005D4222">
                    <w:rPr>
                      <w:rFonts w:eastAsia="Arial Narrow"/>
                    </w:rPr>
                    <w:t>NonOutlierPersonCount + OutlierPersonCount</w:t>
                  </w:r>
                </w:p>
              </w:tc>
            </w:tr>
            <w:tr w:rsidR="00FA4C68" w:rsidRPr="005D4222" w14:paraId="71BDA06E" w14:textId="77777777" w:rsidTr="007B5FC3">
              <w:trPr>
                <w:cantSplit/>
              </w:trPr>
              <w:tc>
                <w:tcPr>
                  <w:tcW w:w="2606" w:type="dxa"/>
                  <w:tcBorders>
                    <w:top w:val="nil"/>
                    <w:left w:val="nil"/>
                    <w:bottom w:val="nil"/>
                    <w:right w:val="single" w:sz="4" w:space="0" w:color="000000" w:themeColor="text1"/>
                  </w:tcBorders>
                  <w:tcMar>
                    <w:left w:w="43" w:type="dxa"/>
                    <w:right w:w="43" w:type="dxa"/>
                  </w:tcMar>
                </w:tcPr>
                <w:p w14:paraId="01498376" w14:textId="77777777" w:rsidR="00FA4C68" w:rsidRPr="005D4222" w:rsidRDefault="00FA4C68" w:rsidP="00A53E8C">
                  <w:pPr>
                    <w:pStyle w:val="TableText"/>
                    <w:rPr>
                      <w:rFonts w:eastAsia="Arial Narrow"/>
                    </w:rPr>
                  </w:pP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43" w:type="dxa"/>
                    <w:right w:w="43" w:type="dxa"/>
                  </w:tcMar>
                </w:tcPr>
                <w:p w14:paraId="7C4502EE" w14:textId="77777777" w:rsidR="00FA4C68" w:rsidRPr="005D4222" w:rsidRDefault="00FA4C68" w:rsidP="00A53E8C">
                  <w:pPr>
                    <w:pStyle w:val="TableText"/>
                    <w:rPr>
                      <w:rFonts w:eastAsia="Arial Narrow"/>
                    </w:rPr>
                  </w:pPr>
                  <w:r w:rsidRPr="005D4222">
                    <w:rPr>
                      <w:rFonts w:eastAsia="Arial Narrow"/>
                    </w:rPr>
                    <w:t>18-64</w:t>
                  </w:r>
                </w:p>
              </w:tc>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43" w:type="dxa"/>
                    <w:right w:w="43" w:type="dxa"/>
                  </w:tcMar>
                </w:tcPr>
                <w:p w14:paraId="7E8E6616" w14:textId="77777777" w:rsidR="00FA4C68" w:rsidRPr="005D4222" w:rsidRDefault="00FA4C68" w:rsidP="00A53E8C">
                  <w:pPr>
                    <w:pStyle w:val="TableText"/>
                    <w:rPr>
                      <w:rFonts w:eastAsia="Arial Narrow"/>
                    </w:rPr>
                  </w:pPr>
                  <w:r w:rsidRPr="005D4222">
                    <w:rPr>
                      <w:rFonts w:eastAsia="Arial Narrow"/>
                    </w:rPr>
                    <w:t>OutlierRate</w:t>
                  </w:r>
                </w:p>
              </w:tc>
              <w:tc>
                <w:tcPr>
                  <w:tcW w:w="206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43" w:type="dxa"/>
                    <w:right w:w="43" w:type="dxa"/>
                  </w:tcMar>
                </w:tcPr>
                <w:p w14:paraId="37EF4883" w14:textId="77777777" w:rsidR="00FA4C68" w:rsidRPr="005D4222" w:rsidRDefault="00FA4C68" w:rsidP="00A53E8C">
                  <w:pPr>
                    <w:pStyle w:val="TableText"/>
                    <w:rPr>
                      <w:rFonts w:eastAsia="Arial Narrow"/>
                    </w:rPr>
                  </w:pPr>
                  <w:r w:rsidRPr="005D4222">
                    <w:rPr>
                      <w:rFonts w:eastAsia="Arial Narrow"/>
                    </w:rPr>
                    <w:t>OutlierPersonCount / PersonCount (Permille)</w:t>
                  </w:r>
                </w:p>
              </w:tc>
            </w:tr>
            <w:tr w:rsidR="00FA4C68" w:rsidRPr="005D4222" w14:paraId="2758F5BB" w14:textId="77777777" w:rsidTr="007B5FC3">
              <w:trPr>
                <w:cantSplit/>
              </w:trPr>
              <w:tc>
                <w:tcPr>
                  <w:tcW w:w="2606" w:type="dxa"/>
                  <w:tcBorders>
                    <w:top w:val="nil"/>
                    <w:left w:val="nil"/>
                    <w:bottom w:val="nil"/>
                    <w:right w:val="single" w:sz="4" w:space="0" w:color="000000" w:themeColor="text1"/>
                  </w:tcBorders>
                  <w:tcMar>
                    <w:left w:w="43" w:type="dxa"/>
                    <w:right w:w="43" w:type="dxa"/>
                  </w:tcMar>
                </w:tcPr>
                <w:p w14:paraId="12C089CF" w14:textId="77777777" w:rsidR="00FA4C68" w:rsidRPr="005D4222" w:rsidRDefault="00FA4C68" w:rsidP="00A53E8C">
                  <w:pPr>
                    <w:pStyle w:val="TableText"/>
                  </w:pP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43" w:type="dxa"/>
                    <w:right w:w="43" w:type="dxa"/>
                  </w:tcMar>
                </w:tcPr>
                <w:p w14:paraId="7F7388C3" w14:textId="77777777" w:rsidR="00FA4C68" w:rsidRPr="005D4222" w:rsidRDefault="00FA4C68" w:rsidP="00A53E8C">
                  <w:pPr>
                    <w:pStyle w:val="TableText"/>
                  </w:pPr>
                  <w:r w:rsidRPr="005D4222">
                    <w:t>65-74</w:t>
                  </w:r>
                </w:p>
              </w:tc>
              <w:tc>
                <w:tcPr>
                  <w:tcW w:w="1980" w:type="dxa"/>
                  <w:tcBorders>
                    <w:top w:val="single" w:sz="4" w:space="0" w:color="auto"/>
                    <w:left w:val="single" w:sz="4" w:space="0" w:color="auto"/>
                    <w:bottom w:val="single" w:sz="4" w:space="0" w:color="auto"/>
                    <w:right w:val="single" w:sz="4" w:space="0" w:color="auto"/>
                  </w:tcBorders>
                  <w:tcMar>
                    <w:left w:w="43" w:type="dxa"/>
                    <w:right w:w="43" w:type="dxa"/>
                  </w:tcMar>
                </w:tcPr>
                <w:p w14:paraId="0E529462" w14:textId="77777777" w:rsidR="00FA4C68" w:rsidRPr="005D4222" w:rsidRDefault="00FA4C68" w:rsidP="00A53E8C">
                  <w:pPr>
                    <w:pStyle w:val="TableText"/>
                  </w:pPr>
                  <w:r w:rsidRPr="005D4222">
                    <w:t>ObservedCount</w:t>
                  </w:r>
                </w:p>
              </w:tc>
              <w:tc>
                <w:tcPr>
                  <w:tcW w:w="2069" w:type="dxa"/>
                  <w:tcBorders>
                    <w:top w:val="single" w:sz="4" w:space="0" w:color="auto"/>
                    <w:left w:val="single" w:sz="4" w:space="0" w:color="auto"/>
                    <w:bottom w:val="single" w:sz="4" w:space="0" w:color="auto"/>
                    <w:right w:val="single" w:sz="4" w:space="0" w:color="auto"/>
                  </w:tcBorders>
                  <w:tcMar>
                    <w:left w:w="43" w:type="dxa"/>
                    <w:right w:w="43" w:type="dxa"/>
                  </w:tcMar>
                </w:tcPr>
                <w:p w14:paraId="11132AAD" w14:textId="77777777" w:rsidR="00FA4C68" w:rsidRPr="005D4222" w:rsidRDefault="00FA4C68" w:rsidP="00A53E8C">
                  <w:pPr>
                    <w:pStyle w:val="TableText"/>
                    <w:rPr>
                      <w:rFonts w:eastAsia="Arial Narrow"/>
                    </w:rPr>
                  </w:pPr>
                  <w:r w:rsidRPr="005D4222">
                    <w:rPr>
                      <w:rFonts w:eastAsia="Arial Narrow"/>
                    </w:rPr>
                    <w:t>For each Stratification</w:t>
                  </w:r>
                </w:p>
              </w:tc>
            </w:tr>
            <w:tr w:rsidR="00FA4C68" w:rsidRPr="005D4222" w14:paraId="37BA209D" w14:textId="77777777" w:rsidTr="007B5FC3">
              <w:trPr>
                <w:cantSplit/>
              </w:trPr>
              <w:tc>
                <w:tcPr>
                  <w:tcW w:w="2606" w:type="dxa"/>
                  <w:tcBorders>
                    <w:top w:val="nil"/>
                    <w:left w:val="nil"/>
                    <w:bottom w:val="nil"/>
                    <w:right w:val="single" w:sz="4" w:space="0" w:color="000000" w:themeColor="text1"/>
                  </w:tcBorders>
                  <w:tcMar>
                    <w:left w:w="43" w:type="dxa"/>
                    <w:right w:w="43" w:type="dxa"/>
                  </w:tcMar>
                </w:tcPr>
                <w:p w14:paraId="1AD7DA55" w14:textId="77777777" w:rsidR="00FA4C68" w:rsidRPr="005D4222" w:rsidRDefault="00FA4C68" w:rsidP="00A53E8C">
                  <w:pPr>
                    <w:pStyle w:val="TableText"/>
                  </w:pP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43" w:type="dxa"/>
                    <w:right w:w="43" w:type="dxa"/>
                  </w:tcMar>
                </w:tcPr>
                <w:p w14:paraId="65DFA8B9" w14:textId="77777777" w:rsidR="00FA4C68" w:rsidRPr="005D4222" w:rsidRDefault="00FA4C68" w:rsidP="00A53E8C">
                  <w:pPr>
                    <w:pStyle w:val="TableText"/>
                  </w:pPr>
                  <w:r w:rsidRPr="005D4222">
                    <w:t>75-84</w:t>
                  </w:r>
                </w:p>
              </w:tc>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43" w:type="dxa"/>
                    <w:right w:w="43" w:type="dxa"/>
                  </w:tcMar>
                </w:tcPr>
                <w:p w14:paraId="5058A3BD" w14:textId="77777777" w:rsidR="00FA4C68" w:rsidRPr="005D4222" w:rsidRDefault="00FA4C68" w:rsidP="00A53E8C">
                  <w:pPr>
                    <w:pStyle w:val="TableText"/>
                  </w:pPr>
                  <w:r w:rsidRPr="005D4222">
                    <w:t>ObservedRate</w:t>
                  </w:r>
                </w:p>
              </w:tc>
              <w:tc>
                <w:tcPr>
                  <w:tcW w:w="206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43" w:type="dxa"/>
                    <w:right w:w="43" w:type="dxa"/>
                  </w:tcMar>
                </w:tcPr>
                <w:p w14:paraId="738E5E07" w14:textId="77777777" w:rsidR="00FA4C68" w:rsidRPr="005D4222" w:rsidRDefault="00FA4C68" w:rsidP="00A53E8C">
                  <w:pPr>
                    <w:pStyle w:val="TableText"/>
                    <w:rPr>
                      <w:rFonts w:eastAsia="Arial Narrow"/>
                    </w:rPr>
                  </w:pPr>
                  <w:r w:rsidRPr="005D4222">
                    <w:rPr>
                      <w:rFonts w:eastAsia="Arial Narrow"/>
                    </w:rPr>
                    <w:t>1000 * ObservedCount/ NonOutlierPersonCount</w:t>
                  </w:r>
                </w:p>
              </w:tc>
            </w:tr>
            <w:tr w:rsidR="00FA4C68" w:rsidRPr="005D4222" w14:paraId="44C8CBFD" w14:textId="77777777" w:rsidTr="007B5FC3">
              <w:trPr>
                <w:cantSplit/>
              </w:trPr>
              <w:tc>
                <w:tcPr>
                  <w:tcW w:w="2606" w:type="dxa"/>
                  <w:tcBorders>
                    <w:top w:val="nil"/>
                    <w:left w:val="nil"/>
                    <w:bottom w:val="nil"/>
                    <w:right w:val="single" w:sz="4" w:space="0" w:color="000000" w:themeColor="text1"/>
                  </w:tcBorders>
                  <w:tcMar>
                    <w:left w:w="43" w:type="dxa"/>
                    <w:right w:w="43" w:type="dxa"/>
                  </w:tcMar>
                </w:tcPr>
                <w:p w14:paraId="7A81FA6D" w14:textId="77777777" w:rsidR="00FA4C68" w:rsidRPr="005D4222" w:rsidRDefault="00FA4C68" w:rsidP="00A53E8C">
                  <w:pPr>
                    <w:pStyle w:val="TableText"/>
                  </w:pP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43" w:type="dxa"/>
                    <w:right w:w="43" w:type="dxa"/>
                  </w:tcMar>
                </w:tcPr>
                <w:p w14:paraId="67712E2B" w14:textId="77777777" w:rsidR="00FA4C68" w:rsidRPr="005D4222" w:rsidRDefault="00FA4C68" w:rsidP="00A53E8C">
                  <w:pPr>
                    <w:pStyle w:val="TableText"/>
                  </w:pPr>
                  <w:r w:rsidRPr="005D4222">
                    <w:t>85+</w:t>
                  </w:r>
                </w:p>
              </w:tc>
              <w:tc>
                <w:tcPr>
                  <w:tcW w:w="1980" w:type="dxa"/>
                  <w:tcBorders>
                    <w:top w:val="single" w:sz="4" w:space="0" w:color="auto"/>
                    <w:left w:val="single" w:sz="4" w:space="0" w:color="auto"/>
                    <w:bottom w:val="single" w:sz="4" w:space="0" w:color="auto"/>
                    <w:right w:val="single" w:sz="4" w:space="0" w:color="auto"/>
                  </w:tcBorders>
                  <w:tcMar>
                    <w:left w:w="43" w:type="dxa"/>
                    <w:right w:w="43" w:type="dxa"/>
                  </w:tcMar>
                </w:tcPr>
                <w:p w14:paraId="7C050A26" w14:textId="77777777" w:rsidR="00FA4C68" w:rsidRPr="005D4222" w:rsidRDefault="00FA4C68" w:rsidP="00A53E8C">
                  <w:pPr>
                    <w:pStyle w:val="TableText"/>
                  </w:pPr>
                  <w:r w:rsidRPr="005D4222">
                    <w:t>ExpectedCount</w:t>
                  </w:r>
                </w:p>
              </w:tc>
              <w:tc>
                <w:tcPr>
                  <w:tcW w:w="2069" w:type="dxa"/>
                  <w:tcBorders>
                    <w:top w:val="single" w:sz="4" w:space="0" w:color="auto"/>
                    <w:left w:val="single" w:sz="4" w:space="0" w:color="auto"/>
                    <w:bottom w:val="single" w:sz="4" w:space="0" w:color="auto"/>
                    <w:right w:val="single" w:sz="4" w:space="0" w:color="auto"/>
                  </w:tcBorders>
                  <w:tcMar>
                    <w:left w:w="43" w:type="dxa"/>
                    <w:right w:w="43" w:type="dxa"/>
                  </w:tcMar>
                </w:tcPr>
                <w:p w14:paraId="68634E89" w14:textId="77777777" w:rsidR="00FA4C68" w:rsidRPr="005D4222" w:rsidRDefault="00FA4C68" w:rsidP="00A53E8C">
                  <w:pPr>
                    <w:pStyle w:val="TableText"/>
                    <w:rPr>
                      <w:rFonts w:eastAsia="Arial Narrow"/>
                    </w:rPr>
                  </w:pPr>
                  <w:r w:rsidRPr="005D4222">
                    <w:rPr>
                      <w:rFonts w:eastAsia="Arial Narrow"/>
                    </w:rPr>
                    <w:t>For each Stratification</w:t>
                  </w:r>
                </w:p>
              </w:tc>
            </w:tr>
            <w:tr w:rsidR="00FA4C68" w:rsidRPr="005D4222" w14:paraId="46B396FA" w14:textId="77777777" w:rsidTr="007B5FC3">
              <w:trPr>
                <w:cantSplit/>
              </w:trPr>
              <w:tc>
                <w:tcPr>
                  <w:tcW w:w="2606" w:type="dxa"/>
                  <w:tcBorders>
                    <w:top w:val="nil"/>
                    <w:left w:val="nil"/>
                    <w:bottom w:val="nil"/>
                    <w:right w:val="single" w:sz="4" w:space="0" w:color="000000" w:themeColor="text1"/>
                  </w:tcBorders>
                  <w:tcMar>
                    <w:left w:w="43" w:type="dxa"/>
                    <w:right w:w="43" w:type="dxa"/>
                  </w:tcMar>
                </w:tcPr>
                <w:p w14:paraId="66468A2A" w14:textId="77777777" w:rsidR="00FA4C68" w:rsidRPr="005D4222" w:rsidRDefault="00FA4C68" w:rsidP="00A53E8C">
                  <w:pPr>
                    <w:pStyle w:val="TableText"/>
                  </w:pP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43" w:type="dxa"/>
                    <w:right w:w="43" w:type="dxa"/>
                  </w:tcMar>
                </w:tcPr>
                <w:p w14:paraId="3B2F649F" w14:textId="77777777" w:rsidR="00FA4C68" w:rsidRPr="005D4222" w:rsidRDefault="00FA4C68" w:rsidP="00A53E8C">
                  <w:pPr>
                    <w:pStyle w:val="TableText"/>
                  </w:pPr>
                  <w:r w:rsidRPr="005D4222">
                    <w:t>65+</w:t>
                  </w:r>
                </w:p>
              </w:tc>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43" w:type="dxa"/>
                    <w:right w:w="43" w:type="dxa"/>
                  </w:tcMar>
                </w:tcPr>
                <w:p w14:paraId="2433E8CD" w14:textId="77777777" w:rsidR="00FA4C68" w:rsidRPr="005D4222" w:rsidRDefault="00FA4C68" w:rsidP="00A53E8C">
                  <w:pPr>
                    <w:pStyle w:val="TableText"/>
                  </w:pPr>
                  <w:r w:rsidRPr="005D4222">
                    <w:t>ExpectedRate</w:t>
                  </w:r>
                </w:p>
              </w:tc>
              <w:tc>
                <w:tcPr>
                  <w:tcW w:w="206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43" w:type="dxa"/>
                    <w:right w:w="43" w:type="dxa"/>
                  </w:tcMar>
                </w:tcPr>
                <w:p w14:paraId="7676CD6C" w14:textId="77777777" w:rsidR="00FA4C68" w:rsidRPr="005D4222" w:rsidRDefault="00FA4C68" w:rsidP="00A53E8C">
                  <w:pPr>
                    <w:pStyle w:val="TableText"/>
                    <w:rPr>
                      <w:rFonts w:eastAsia="Arial Narrow"/>
                    </w:rPr>
                  </w:pPr>
                  <w:r w:rsidRPr="005D4222">
                    <w:rPr>
                      <w:rFonts w:eastAsia="Arial Narrow"/>
                    </w:rPr>
                    <w:t>1000 * ExpectedCount / NonOutlierPersonCount</w:t>
                  </w:r>
                </w:p>
              </w:tc>
            </w:tr>
            <w:tr w:rsidR="00FA4C68" w:rsidRPr="005D4222" w14:paraId="323FA1E2" w14:textId="77777777" w:rsidTr="007B5FC3">
              <w:trPr>
                <w:cantSplit/>
              </w:trPr>
              <w:tc>
                <w:tcPr>
                  <w:tcW w:w="2606" w:type="dxa"/>
                  <w:tcBorders>
                    <w:top w:val="nil"/>
                    <w:left w:val="nil"/>
                    <w:bottom w:val="nil"/>
                    <w:right w:val="single" w:sz="4" w:space="0" w:color="000000" w:themeColor="text1"/>
                  </w:tcBorders>
                  <w:tcMar>
                    <w:left w:w="43" w:type="dxa"/>
                    <w:right w:w="43" w:type="dxa"/>
                  </w:tcMar>
                </w:tcPr>
                <w:p w14:paraId="72B3E0A4" w14:textId="77777777" w:rsidR="00FA4C68" w:rsidRPr="005D4222" w:rsidRDefault="00FA4C68" w:rsidP="00A53E8C">
                  <w:pPr>
                    <w:pStyle w:val="TableText"/>
                  </w:pP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43" w:type="dxa"/>
                    <w:right w:w="43" w:type="dxa"/>
                  </w:tcMar>
                </w:tcPr>
                <w:p w14:paraId="79BDDC06" w14:textId="77777777" w:rsidR="00FA4C68" w:rsidRPr="005D4222" w:rsidRDefault="00FA4C68" w:rsidP="00A53E8C">
                  <w:pPr>
                    <w:pStyle w:val="TableText"/>
                  </w:pPr>
                  <w:r w:rsidRPr="005D4222">
                    <w:t>Total</w:t>
                  </w:r>
                </w:p>
              </w:tc>
              <w:tc>
                <w:tcPr>
                  <w:tcW w:w="1980" w:type="dxa"/>
                  <w:tcBorders>
                    <w:top w:val="single" w:sz="4" w:space="0" w:color="auto"/>
                    <w:left w:val="single" w:sz="4" w:space="0" w:color="auto"/>
                    <w:bottom w:val="single" w:sz="4" w:space="0" w:color="auto"/>
                    <w:right w:val="single" w:sz="4" w:space="0" w:color="auto"/>
                  </w:tcBorders>
                  <w:tcMar>
                    <w:left w:w="43" w:type="dxa"/>
                    <w:right w:w="43" w:type="dxa"/>
                  </w:tcMar>
                </w:tcPr>
                <w:p w14:paraId="03AEDA7A" w14:textId="77777777" w:rsidR="00FA4C68" w:rsidRPr="005D4222" w:rsidRDefault="00FA4C68" w:rsidP="00A53E8C">
                  <w:pPr>
                    <w:pStyle w:val="TableText"/>
                  </w:pPr>
                  <w:r w:rsidRPr="005D4222">
                    <w:t>CountVariance</w:t>
                  </w:r>
                </w:p>
              </w:tc>
              <w:tc>
                <w:tcPr>
                  <w:tcW w:w="2069" w:type="dxa"/>
                  <w:tcBorders>
                    <w:top w:val="single" w:sz="4" w:space="0" w:color="auto"/>
                    <w:left w:val="single" w:sz="4" w:space="0" w:color="auto"/>
                    <w:bottom w:val="single" w:sz="4" w:space="0" w:color="auto"/>
                    <w:right w:val="single" w:sz="4" w:space="0" w:color="auto"/>
                  </w:tcBorders>
                  <w:tcMar>
                    <w:left w:w="43" w:type="dxa"/>
                    <w:right w:w="43" w:type="dxa"/>
                  </w:tcMar>
                </w:tcPr>
                <w:p w14:paraId="66003D61" w14:textId="77777777" w:rsidR="00FA4C68" w:rsidRPr="005D4222" w:rsidRDefault="00FA4C68" w:rsidP="00A53E8C">
                  <w:pPr>
                    <w:pStyle w:val="TableText"/>
                    <w:rPr>
                      <w:rFonts w:eastAsia="Arial Narrow"/>
                    </w:rPr>
                  </w:pPr>
                  <w:r w:rsidRPr="005D4222">
                    <w:rPr>
                      <w:rFonts w:eastAsia="Arial Narrow"/>
                    </w:rPr>
                    <w:t>For each Stratification</w:t>
                  </w:r>
                </w:p>
              </w:tc>
            </w:tr>
            <w:tr w:rsidR="00FA4C68" w:rsidRPr="005D4222" w14:paraId="22E8412B" w14:textId="77777777" w:rsidTr="007B5FC3">
              <w:trPr>
                <w:cantSplit/>
              </w:trPr>
              <w:tc>
                <w:tcPr>
                  <w:tcW w:w="2606" w:type="dxa"/>
                  <w:tcBorders>
                    <w:top w:val="nil"/>
                    <w:left w:val="nil"/>
                    <w:bottom w:val="nil"/>
                    <w:right w:val="nil"/>
                  </w:tcBorders>
                  <w:tcMar>
                    <w:left w:w="43" w:type="dxa"/>
                    <w:right w:w="43" w:type="dxa"/>
                  </w:tcMar>
                </w:tcPr>
                <w:p w14:paraId="4E32274E" w14:textId="77777777" w:rsidR="00FA4C68" w:rsidRPr="005D4222" w:rsidRDefault="00FA4C68" w:rsidP="00A53E8C">
                  <w:pPr>
                    <w:pStyle w:val="TableText"/>
                  </w:pPr>
                </w:p>
              </w:tc>
              <w:tc>
                <w:tcPr>
                  <w:tcW w:w="720" w:type="dxa"/>
                  <w:tcBorders>
                    <w:top w:val="single" w:sz="4" w:space="0" w:color="000000" w:themeColor="text1"/>
                    <w:left w:val="nil"/>
                    <w:bottom w:val="nil"/>
                    <w:right w:val="nil"/>
                  </w:tcBorders>
                  <w:tcMar>
                    <w:left w:w="43" w:type="dxa"/>
                    <w:right w:w="43" w:type="dxa"/>
                  </w:tcMar>
                </w:tcPr>
                <w:p w14:paraId="751AAAC2" w14:textId="77777777" w:rsidR="00FA4C68" w:rsidRPr="005D4222" w:rsidRDefault="00FA4C68" w:rsidP="00A53E8C">
                  <w:pPr>
                    <w:pStyle w:val="TableText"/>
                  </w:pPr>
                </w:p>
              </w:tc>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43" w:type="dxa"/>
                    <w:right w:w="43" w:type="dxa"/>
                  </w:tcMar>
                </w:tcPr>
                <w:p w14:paraId="1B15C300" w14:textId="77777777" w:rsidR="00FA4C68" w:rsidRPr="005D4222" w:rsidRDefault="00FA4C68" w:rsidP="00A53E8C">
                  <w:pPr>
                    <w:pStyle w:val="TableText"/>
                  </w:pPr>
                  <w:r w:rsidRPr="005D4222">
                    <w:t>OE</w:t>
                  </w:r>
                </w:p>
              </w:tc>
              <w:tc>
                <w:tcPr>
                  <w:tcW w:w="206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43" w:type="dxa"/>
                    <w:right w:w="43" w:type="dxa"/>
                  </w:tcMar>
                </w:tcPr>
                <w:p w14:paraId="2CE6877B" w14:textId="77777777" w:rsidR="00FA4C68" w:rsidRPr="005D4222" w:rsidRDefault="00FA4C68" w:rsidP="00A53E8C">
                  <w:pPr>
                    <w:pStyle w:val="TableText"/>
                    <w:rPr>
                      <w:rFonts w:eastAsia="Arial Narrow"/>
                    </w:rPr>
                  </w:pPr>
                  <w:r w:rsidRPr="005D4222">
                    <w:rPr>
                      <w:rFonts w:eastAsia="Arial Narrow"/>
                    </w:rPr>
                    <w:t>ObservedCount / ExpectedCount</w:t>
                  </w:r>
                </w:p>
              </w:tc>
            </w:tr>
          </w:tbl>
          <w:p w14:paraId="4318CD09" w14:textId="77777777" w:rsidR="00FA4C68" w:rsidRPr="005D4222" w:rsidRDefault="00FA4C68" w:rsidP="00A53E8C">
            <w:pPr>
              <w:pStyle w:val="Heading3"/>
              <w:spacing w:before="120"/>
            </w:pPr>
          </w:p>
        </w:tc>
      </w:tr>
      <w:tr w:rsidR="00FA4C68" w:rsidRPr="005D4222" w14:paraId="2851B705"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D60CB89" w14:textId="77777777" w:rsidR="00FA4C68" w:rsidRPr="005D4222" w:rsidRDefault="00FA4C68" w:rsidP="00A53E8C">
            <w:pPr>
              <w:spacing w:before="120" w:after="80"/>
              <w:rPr>
                <w:b/>
                <w:sz w:val="22"/>
              </w:rPr>
            </w:pPr>
            <w:r w:rsidRPr="005D4222">
              <w:rPr>
                <w:b/>
                <w:sz w:val="22"/>
              </w:rPr>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56D4BB2" w14:textId="77777777" w:rsidR="00FA4C68" w:rsidRPr="005D4222" w:rsidRDefault="00FA4C68" w:rsidP="00A53E8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4CFDA821" w14:textId="77777777" w:rsidR="00FA4C68" w:rsidRPr="005D4222" w:rsidRDefault="00FA4C68" w:rsidP="00A53E8C">
            <w:pPr>
              <w:pStyle w:val="ECDSBody"/>
              <w:spacing w:before="180"/>
            </w:pPr>
            <w:r w:rsidRPr="005D4222">
              <w:rPr>
                <w:b/>
              </w:rPr>
              <w:t>Adjusted HEDIS measures may not be used for HEDIS health plan reporting.</w:t>
            </w:r>
          </w:p>
          <w:p w14:paraId="3A27EA3B" w14:textId="77777777" w:rsidR="00FA4C68" w:rsidRPr="005D4222" w:rsidRDefault="00FA4C68" w:rsidP="00A53E8C">
            <w:pPr>
              <w:pStyle w:val="ECDSBody"/>
              <w:rPr>
                <w:b/>
                <w:i/>
              </w:rPr>
            </w:pPr>
            <w:r w:rsidRPr="005D4222">
              <w:t xml:space="preserve">The measures under the Risk Adjusted Utilization domain allow two types of </w:t>
            </w:r>
            <w:r w:rsidRPr="005D4222">
              <w:rPr>
                <w:i/>
                <w:iCs/>
              </w:rPr>
              <w:t>Rules for Allowable Adjustments</w:t>
            </w:r>
            <w:r w:rsidRPr="005D4222">
              <w:t xml:space="preserve"> sections:</w:t>
            </w:r>
          </w:p>
        </w:tc>
      </w:tr>
    </w:tbl>
    <w:p w14:paraId="102FA3E4" w14:textId="77777777" w:rsidR="006242AD" w:rsidRPr="005D4222" w:rsidRDefault="006242AD">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FA4C68" w:rsidRPr="005D4222" w14:paraId="6F96ED65"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1E70FA2" w14:textId="77777777" w:rsidR="00FA4C68" w:rsidRPr="005D4222" w:rsidRDefault="00FA4C68" w:rsidP="00A53E8C">
            <w:pPr>
              <w:spacing w:before="120" w:after="80"/>
              <w:rPr>
                <w:b/>
                <w:sz w:val="22"/>
              </w:rPr>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84FAB5D" w14:textId="39A0F6FC" w:rsidR="00FA4C68" w:rsidRPr="005D4222" w:rsidRDefault="00FA4C68" w:rsidP="006242AD">
            <w:pPr>
              <w:pStyle w:val="Body"/>
              <w:spacing w:before="120"/>
              <w:ind w:left="648" w:hanging="288"/>
            </w:pPr>
            <w:r w:rsidRPr="005D4222">
              <w:t>1.</w:t>
            </w:r>
            <w:r w:rsidRPr="005D4222">
              <w:tab/>
            </w:r>
            <w:r w:rsidRPr="005D4222">
              <w:rPr>
                <w:i/>
                <w:iCs/>
              </w:rPr>
              <w:t>Rules for Allowable Adjustments for Risk-Adjusted Measurement.</w:t>
            </w:r>
            <w:r w:rsidRPr="005D4222">
              <w:t xml:space="preserve"> This section must be followed for adjustments when calculating the full measure specifications, which includes all risk adjusted rates (expected rates, risk adjustment, O/E) and calculation components (count of index stays, observed events). </w:t>
            </w:r>
          </w:p>
          <w:p w14:paraId="236E161C" w14:textId="77777777" w:rsidR="00FA4C68" w:rsidRPr="005D4222" w:rsidRDefault="00FA4C68" w:rsidP="006242AD">
            <w:pPr>
              <w:pStyle w:val="Body"/>
              <w:spacing w:before="120"/>
              <w:ind w:left="648" w:hanging="288"/>
            </w:pPr>
            <w:r w:rsidRPr="005D4222">
              <w:t>2.</w:t>
            </w:r>
            <w:r w:rsidRPr="005D4222">
              <w:tab/>
            </w:r>
            <w:r w:rsidRPr="005D4222">
              <w:rPr>
                <w:i/>
                <w:iCs/>
              </w:rPr>
              <w:t>Rules for Allowable Adjustments for Observed Measurement (rates without risk adjustment).</w:t>
            </w:r>
            <w:r w:rsidRPr="005D4222">
              <w:t xml:space="preserve"> This section must be followed when adjusting the calculation of observed events only. When applying these adjustments, organizations must not include risk adjustment logic.</w:t>
            </w:r>
          </w:p>
          <w:p w14:paraId="5152E572" w14:textId="77777777" w:rsidR="00FA4C68" w:rsidRPr="005D4222" w:rsidRDefault="00FA4C68" w:rsidP="00A53E8C">
            <w:pPr>
              <w:pStyle w:val="ECDSBody"/>
            </w:pPr>
            <w:r w:rsidRPr="005D4222">
              <w:t>The intent of including the two different types of Rules is to allow organizations to adjust measures without compromising the measures’ validity. Risk adjustment is based on statistical prediction models that are specifically calibrated for each measure.</w:t>
            </w:r>
          </w:p>
          <w:p w14:paraId="743925DF" w14:textId="63F108B8" w:rsidR="00FA4C68" w:rsidRPr="005D4222" w:rsidRDefault="00FA4C68" w:rsidP="00A53E8C">
            <w:pPr>
              <w:pStyle w:val="ECDSBody"/>
              <w:rPr>
                <w:rFonts w:cs="Segoe UI"/>
                <w:b/>
                <w:szCs w:val="18"/>
              </w:rPr>
            </w:pPr>
            <w:r w:rsidRPr="005D4222">
              <w:rPr>
                <w:b/>
              </w:rPr>
              <w:t xml:space="preserve">The following </w:t>
            </w:r>
            <w:r w:rsidR="007A4CB2" w:rsidRPr="005D4222">
              <w:rPr>
                <w:b/>
              </w:rPr>
              <w:t>are</w:t>
            </w:r>
            <w:r w:rsidRPr="005D4222">
              <w:rPr>
                <w:b/>
              </w:rPr>
              <w:t xml:space="preserve"> the Rules for Allowable Adjustments for </w:t>
            </w:r>
            <w:r w:rsidRPr="005D4222">
              <w:rPr>
                <w:b/>
                <w:u w:val="single"/>
              </w:rPr>
              <w:t xml:space="preserve">Risk-Adjusted Measurement </w:t>
            </w:r>
            <w:r w:rsidRPr="005D4222">
              <w:rPr>
                <w:b/>
              </w:rPr>
              <w:t xml:space="preserve">of the </w:t>
            </w:r>
            <w:r w:rsidRPr="005D4222" w:rsidDel="00576ACA">
              <w:rPr>
                <w:b/>
              </w:rPr>
              <w:t>Emergency Department Utilization</w:t>
            </w:r>
            <w:r w:rsidRPr="005D4222">
              <w:rPr>
                <w:b/>
              </w:rPr>
              <w:t xml:space="preserve"> measure (observed ED visits, risk adjustment determination, risk adjustment weighting, expected ED visits, O/E, variance). </w:t>
            </w:r>
          </w:p>
          <w:p w14:paraId="4F6EC596" w14:textId="77777777" w:rsidR="00FA4C68" w:rsidRPr="005D4222" w:rsidRDefault="00FA4C68" w:rsidP="00A53E8C">
            <w:pPr>
              <w:pStyle w:val="Adjustments"/>
            </w:pPr>
            <w:r w:rsidRPr="005D4222">
              <w:t>Adjustments</w:t>
            </w:r>
            <w:r w:rsidRPr="005D4222">
              <w:rPr>
                <w:bCs/>
              </w:rPr>
              <w:t xml:space="preserve"> a</w:t>
            </w:r>
            <w:r w:rsidRPr="005D4222">
              <w:t>llowed</w:t>
            </w:r>
          </w:p>
          <w:p w14:paraId="679EE2C8" w14:textId="50260E2D" w:rsidR="00FA4C68" w:rsidRPr="005D4222" w:rsidRDefault="00362E76" w:rsidP="005D6173">
            <w:pPr>
              <w:pStyle w:val="ProcessBullet"/>
              <w:numPr>
                <w:ilvl w:val="0"/>
                <w:numId w:val="77"/>
              </w:numPr>
              <w:ind w:left="216" w:hanging="216"/>
              <w:rPr>
                <w:b/>
                <w:bCs/>
                <w:color w:val="000000" w:themeColor="text1"/>
              </w:rPr>
            </w:pPr>
            <w:r w:rsidRPr="005D4222">
              <w:rPr>
                <w:i/>
                <w:iCs/>
              </w:rPr>
              <w:t>Benefits.</w:t>
            </w:r>
            <w:r w:rsidR="00FA4C68" w:rsidRPr="005D4222">
              <w:t xml:space="preserve"> Organizations are not required to use a benefit.</w:t>
            </w:r>
          </w:p>
          <w:p w14:paraId="556F03F2" w14:textId="77777777" w:rsidR="00FA4C68" w:rsidRPr="005D4222" w:rsidRDefault="00FA4C68" w:rsidP="005D6173">
            <w:pPr>
              <w:pStyle w:val="ProcessBullet"/>
              <w:numPr>
                <w:ilvl w:val="0"/>
                <w:numId w:val="77"/>
              </w:numPr>
              <w:ind w:left="216" w:hanging="216"/>
              <w:rPr>
                <w:color w:val="000000" w:themeColor="text1"/>
              </w:rPr>
            </w:pPr>
            <w:r w:rsidRPr="005D4222">
              <w:rPr>
                <w:i/>
                <w:iCs/>
                <w:color w:val="000000" w:themeColor="text1"/>
              </w:rPr>
              <w:t>Telehealth:</w:t>
            </w:r>
            <w:r w:rsidRPr="005D4222">
              <w:rPr>
                <w:color w:val="000000" w:themeColor="text1"/>
              </w:rPr>
              <w:t xml:space="preserve">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1EF74D55" w14:textId="77777777" w:rsidR="00FA4C68" w:rsidRPr="005D4222" w:rsidRDefault="00FA4C68" w:rsidP="00A53E8C">
            <w:pPr>
              <w:pStyle w:val="Adjustments"/>
            </w:pPr>
            <w:r w:rsidRPr="005D4222">
              <w:t xml:space="preserve">Adjustments </w:t>
            </w:r>
            <w:r w:rsidRPr="005D4222">
              <w:rPr>
                <w:bCs/>
              </w:rPr>
              <w:t>a</w:t>
            </w:r>
            <w:r w:rsidRPr="005D4222">
              <w:t xml:space="preserve">llowed with </w:t>
            </w:r>
            <w:r w:rsidRPr="005D4222">
              <w:rPr>
                <w:bCs/>
              </w:rPr>
              <w:t>l</w:t>
            </w:r>
            <w:r w:rsidRPr="005D4222">
              <w:t>imits</w:t>
            </w:r>
          </w:p>
          <w:p w14:paraId="105E775F" w14:textId="77777777" w:rsidR="00FA4C68" w:rsidRPr="005D4222" w:rsidRDefault="00FA4C68" w:rsidP="00564D6E">
            <w:pPr>
              <w:pStyle w:val="ProcessBullet"/>
              <w:rPr>
                <w:color w:val="000000" w:themeColor="text1"/>
              </w:rPr>
            </w:pPr>
            <w:r w:rsidRPr="005D4222">
              <w:rPr>
                <w:i/>
                <w:iCs/>
                <w:color w:val="000000" w:themeColor="text1"/>
              </w:rPr>
              <w:t xml:space="preserve">Other. </w:t>
            </w:r>
            <w:r w:rsidRPr="005D4222">
              <w:t>Organizations may only adjust the initial population criteria to focus on an area of interest defined by gender, sociodemographic characteristics or geographical region. NCQA recommends evaluating risk model performance and validity within adjusted populations. Organizations may not adjust for a clinical subpopulation (e.g., persons with a diabetes diagnosis).</w:t>
            </w:r>
          </w:p>
          <w:p w14:paraId="1316218D" w14:textId="77777777" w:rsidR="00FA4C68" w:rsidRPr="005D4222" w:rsidRDefault="00FA4C68" w:rsidP="00564D6E">
            <w:pPr>
              <w:pStyle w:val="ProcessBullet"/>
              <w:spacing w:after="80"/>
              <w:rPr>
                <w:rFonts w:cs="Arial"/>
              </w:rPr>
            </w:pPr>
            <w:r w:rsidRPr="005D4222">
              <w:rPr>
                <w:i/>
                <w:iCs/>
              </w:rPr>
              <w:t>Measurement period adjustments.</w:t>
            </w:r>
            <w:r w:rsidRPr="005D4222">
              <w:t xml:space="preserve"> Organizations may only change the measurement period by 1 year.</w:t>
            </w:r>
          </w:p>
          <w:p w14:paraId="5311CDE0" w14:textId="5BFEE97C" w:rsidR="00FA4C68" w:rsidRPr="005D4222" w:rsidRDefault="00FA4C68" w:rsidP="00564D6E">
            <w:pPr>
              <w:pStyle w:val="ProcessBullet"/>
              <w:spacing w:after="80"/>
              <w:rPr>
                <w:b/>
                <w:i/>
              </w:rPr>
            </w:pPr>
            <w:r w:rsidRPr="005D4222">
              <w:rPr>
                <w:i/>
              </w:rPr>
              <w:t>Observed event.</w:t>
            </w:r>
            <w:r w:rsidRPr="005D4222">
              <w:t xml:space="preserve"> </w:t>
            </w:r>
            <w:r w:rsidRPr="005D4222">
              <w:rPr>
                <w:color w:val="000000" w:themeColor="text1"/>
              </w:rPr>
              <w:t>Organizations may include denied claims to calculate the observed events</w:t>
            </w:r>
            <w:r w:rsidRPr="005D4222">
              <w:t>. The</w:t>
            </w:r>
            <w:r w:rsidR="00B609BE" w:rsidRPr="005D4222">
              <w:t xml:space="preserve"> value sets and</w:t>
            </w:r>
            <w:r w:rsidRPr="005D4222">
              <w:t xml:space="preserve"> logic may not be changed. </w:t>
            </w:r>
          </w:p>
          <w:p w14:paraId="6D13F84B" w14:textId="77777777" w:rsidR="00FA4C68" w:rsidRPr="005D4222" w:rsidRDefault="00FA4C68" w:rsidP="00564D6E">
            <w:pPr>
              <w:pStyle w:val="ProcessBullet"/>
              <w:rPr>
                <w:b/>
                <w:i/>
              </w:rPr>
            </w:pPr>
            <w:r w:rsidRPr="005D4222">
              <w:rPr>
                <w:rFonts w:cs="Arial"/>
                <w:i/>
                <w:iCs/>
              </w:rPr>
              <w:t>Outlier</w:t>
            </w:r>
            <w:r w:rsidRPr="005D4222">
              <w:rPr>
                <w:rFonts w:cs="Arial"/>
              </w:rPr>
              <w:t>. Organizations may include denied claims to calculate these events.</w:t>
            </w:r>
            <w:r w:rsidRPr="005D4222">
              <w:t xml:space="preserve"> </w:t>
            </w:r>
            <w:r w:rsidRPr="005D4222">
              <w:rPr>
                <w:rFonts w:cs="Arial"/>
              </w:rPr>
              <w:t>Organizations may not adjust the outlier logic.</w:t>
            </w:r>
          </w:p>
          <w:p w14:paraId="322940FF" w14:textId="60ADB9FD" w:rsidR="00FA4C68" w:rsidRPr="005D4222" w:rsidRDefault="00FA4C68" w:rsidP="00564D6E">
            <w:pPr>
              <w:pStyle w:val="ProcessBullet"/>
              <w:rPr>
                <w:rFonts w:cs="Arial"/>
              </w:rPr>
            </w:pPr>
            <w:r w:rsidRPr="005D4222">
              <w:rPr>
                <w:rFonts w:cs="Arial"/>
                <w:i/>
                <w:iCs/>
              </w:rPr>
              <w:t xml:space="preserve">Risk adjustment determination, risk adjustment weighting, expected count of ED visits, variance. </w:t>
            </w:r>
            <w:r w:rsidRPr="005D4222">
              <w:rPr>
                <w:rFonts w:cs="Arial"/>
              </w:rPr>
              <w:t>Organizations may include denied claims to calculate these events.</w:t>
            </w:r>
            <w:r w:rsidRPr="005D4222">
              <w:t xml:space="preserve"> </w:t>
            </w:r>
            <w:r w:rsidRPr="005D4222">
              <w:rPr>
                <w:rFonts w:cs="Arial"/>
              </w:rPr>
              <w:t>Risk adjustment determinations, weighting and calculations of expected events logic may not be changed.</w:t>
            </w:r>
          </w:p>
          <w:p w14:paraId="73AF31E7" w14:textId="77777777" w:rsidR="00FA4C68" w:rsidRPr="005D4222" w:rsidRDefault="00FA4C68" w:rsidP="00A53E8C">
            <w:pPr>
              <w:pStyle w:val="Adjustments"/>
            </w:pPr>
            <w:r w:rsidRPr="005D4222">
              <w:t xml:space="preserve">Adjustments </w:t>
            </w:r>
            <w:r w:rsidRPr="005D4222">
              <w:rPr>
                <w:bCs/>
              </w:rPr>
              <w:t>not allowed</w:t>
            </w:r>
          </w:p>
          <w:p w14:paraId="231A5EC2" w14:textId="77777777" w:rsidR="00FA4C68" w:rsidRPr="005D4222" w:rsidRDefault="00FA4C68" w:rsidP="00A53E8C">
            <w:pPr>
              <w:pStyle w:val="ProcessBullet"/>
              <w:rPr>
                <w:b/>
                <w:bCs/>
                <w:color w:val="000000" w:themeColor="text1"/>
              </w:rPr>
            </w:pPr>
            <w:r w:rsidRPr="005D4222">
              <w:rPr>
                <w:i/>
                <w:iCs/>
              </w:rPr>
              <w:t xml:space="preserve">Product lines. </w:t>
            </w:r>
            <w:r w:rsidRPr="005D4222">
              <w:t>Organizations may not adjust product lines.</w:t>
            </w:r>
          </w:p>
          <w:p w14:paraId="45B20B6C" w14:textId="77777777" w:rsidR="00FA4C68" w:rsidRPr="005D4222" w:rsidRDefault="00FA4C68" w:rsidP="00A53E8C">
            <w:pPr>
              <w:pStyle w:val="ProcessBullet"/>
              <w:spacing w:after="80"/>
              <w:rPr>
                <w:b/>
                <w:bCs/>
                <w:color w:val="000000" w:themeColor="text1"/>
              </w:rPr>
            </w:pPr>
            <w:r w:rsidRPr="005D4222">
              <w:rPr>
                <w:i/>
                <w:iCs/>
              </w:rPr>
              <w:t>Attribution.</w:t>
            </w:r>
            <w:r w:rsidRPr="005D4222">
              <w:t xml:space="preserve"> Organizations are required to use enrollment criteria. </w:t>
            </w:r>
          </w:p>
          <w:p w14:paraId="38715A03" w14:textId="4990B4BB" w:rsidR="006178DE" w:rsidRPr="005D4222" w:rsidRDefault="00FA4C68" w:rsidP="006178DE">
            <w:pPr>
              <w:pStyle w:val="ProcessBullet"/>
              <w:spacing w:after="80"/>
              <w:rPr>
                <w:b/>
                <w:i/>
              </w:rPr>
            </w:pPr>
            <w:r w:rsidRPr="005D4222">
              <w:rPr>
                <w:i/>
                <w:iCs/>
                <w:color w:val="000000" w:themeColor="text1"/>
              </w:rPr>
              <w:t>Ages</w:t>
            </w:r>
            <w:r w:rsidRPr="005D4222">
              <w:rPr>
                <w:color w:val="000000" w:themeColor="text1"/>
              </w:rPr>
              <w:t>. The age determination dates may not be changed.</w:t>
            </w:r>
          </w:p>
        </w:tc>
      </w:tr>
      <w:tr w:rsidR="006178DE" w:rsidRPr="005D4222" w14:paraId="1B2C451F"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A8B8165" w14:textId="77777777" w:rsidR="006178DE" w:rsidRPr="005D4222" w:rsidRDefault="006178DE" w:rsidP="00A53E8C">
            <w:pPr>
              <w:spacing w:before="120" w:after="80"/>
              <w:rPr>
                <w:b/>
                <w:sz w:val="22"/>
              </w:rPr>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8B0ED2B" w14:textId="77777777" w:rsidR="006178DE" w:rsidRPr="005D4222" w:rsidRDefault="006178DE" w:rsidP="006178DE">
            <w:pPr>
              <w:pStyle w:val="ProcessBullet"/>
              <w:rPr>
                <w:color w:val="000000" w:themeColor="text1"/>
              </w:rPr>
            </w:pPr>
            <w:r w:rsidRPr="005D4222">
              <w:rPr>
                <w:i/>
                <w:iCs/>
                <w:color w:val="000000" w:themeColor="text1"/>
              </w:rPr>
              <w:t>Supplemental data.</w:t>
            </w:r>
            <w:r w:rsidRPr="005D4222">
              <w:rPr>
                <w:color w:val="000000" w:themeColor="text1"/>
              </w:rPr>
              <w:t xml:space="preserve"> Supplemental data may not be used to identify initial population, denominator and numerator events.</w:t>
            </w:r>
          </w:p>
          <w:p w14:paraId="36877CAA" w14:textId="77777777" w:rsidR="006178DE" w:rsidRPr="005D4222" w:rsidRDefault="006178DE" w:rsidP="006178DE">
            <w:pPr>
              <w:pStyle w:val="ProcessBullet"/>
              <w:rPr>
                <w:b/>
                <w:bCs/>
                <w:color w:val="000000" w:themeColor="text1"/>
              </w:rPr>
            </w:pPr>
            <w:r w:rsidRPr="005D4222">
              <w:rPr>
                <w:i/>
              </w:rPr>
              <w:t>Exclusions.</w:t>
            </w:r>
            <w:r w:rsidRPr="005D4222">
              <w:t xml:space="preserve"> The hospice exclusion must be applied. Logic may not be changed.</w:t>
            </w:r>
          </w:p>
          <w:p w14:paraId="06C64AEC" w14:textId="77777777" w:rsidR="006178DE" w:rsidRPr="005D4222" w:rsidRDefault="006178DE" w:rsidP="006178DE">
            <w:pPr>
              <w:pStyle w:val="ECDSBody"/>
              <w:rPr>
                <w:b/>
              </w:rPr>
            </w:pPr>
            <w:r w:rsidRPr="005D4222">
              <w:rPr>
                <w:b/>
              </w:rPr>
              <w:t xml:space="preserve">The following are the Rules for Allowable Adjustments for </w:t>
            </w:r>
            <w:r w:rsidRPr="005D4222">
              <w:rPr>
                <w:b/>
                <w:u w:val="single"/>
              </w:rPr>
              <w:t>Observed Measurement</w:t>
            </w:r>
            <w:r w:rsidRPr="005D4222">
              <w:rPr>
                <w:b/>
              </w:rPr>
              <w:t xml:space="preserve"> of the Emergency Department Utilization measure observed events (observed ED visits).</w:t>
            </w:r>
          </w:p>
          <w:p w14:paraId="0034E5F4" w14:textId="77777777" w:rsidR="006178DE" w:rsidRPr="005D4222" w:rsidRDefault="006178DE" w:rsidP="006178DE">
            <w:pPr>
              <w:pStyle w:val="Adjustments"/>
            </w:pPr>
            <w:r w:rsidRPr="005D4222">
              <w:t>Adjustments</w:t>
            </w:r>
            <w:r w:rsidRPr="005D4222">
              <w:rPr>
                <w:bCs/>
              </w:rPr>
              <w:t xml:space="preserve"> a</w:t>
            </w:r>
            <w:r w:rsidRPr="005D4222">
              <w:t>llowed</w:t>
            </w:r>
          </w:p>
          <w:p w14:paraId="0866672F" w14:textId="77777777" w:rsidR="006178DE" w:rsidRPr="005D4222" w:rsidRDefault="006178DE" w:rsidP="006178DE">
            <w:pPr>
              <w:pStyle w:val="ProcessBullet"/>
              <w:numPr>
                <w:ilvl w:val="0"/>
                <w:numId w:val="77"/>
              </w:numPr>
              <w:ind w:left="216" w:hanging="216"/>
              <w:rPr>
                <w:b/>
                <w:bCs/>
                <w:color w:val="000000" w:themeColor="text1"/>
              </w:rPr>
            </w:pPr>
            <w:r w:rsidRPr="005D4222">
              <w:rPr>
                <w:i/>
                <w:iCs/>
              </w:rPr>
              <w:t xml:space="preserve">Product lines. </w:t>
            </w:r>
            <w:r w:rsidRPr="005D4222">
              <w:t>When adjusting this measure to assess for observed events only, organizations are not required to use product line criteria; product lines may be combined, and all (or no) product line criteria may be used.</w:t>
            </w:r>
          </w:p>
          <w:p w14:paraId="5B9129A0" w14:textId="77777777" w:rsidR="006178DE" w:rsidRPr="005D4222" w:rsidRDefault="006178DE" w:rsidP="006178DE">
            <w:pPr>
              <w:pStyle w:val="ProcessBullet"/>
              <w:numPr>
                <w:ilvl w:val="0"/>
                <w:numId w:val="77"/>
              </w:numPr>
              <w:ind w:left="185" w:hanging="185"/>
              <w:rPr>
                <w:rFonts w:cs="Arial"/>
                <w:sz w:val="24"/>
              </w:rPr>
            </w:pPr>
            <w:r w:rsidRPr="005D4222">
              <w:rPr>
                <w:i/>
                <w:iCs/>
              </w:rPr>
              <w:t>Ages.</w:t>
            </w:r>
            <w:r w:rsidRPr="005D4222">
              <w:t xml:space="preserve"> The observed event age range may be expanded.</w:t>
            </w:r>
            <w:r w:rsidRPr="005D4222">
              <w:rPr>
                <w:rFonts w:cs="Arial"/>
              </w:rPr>
              <w:t xml:space="preserve"> Age determination dates may be changed (e.g., select, “age as of June 30”).</w:t>
            </w:r>
          </w:p>
          <w:p w14:paraId="6AF6C624" w14:textId="77777777" w:rsidR="006178DE" w:rsidRPr="005D4222" w:rsidRDefault="006178DE" w:rsidP="006178DE">
            <w:pPr>
              <w:pStyle w:val="ProcessBullet"/>
              <w:numPr>
                <w:ilvl w:val="0"/>
                <w:numId w:val="77"/>
              </w:numPr>
              <w:ind w:left="216" w:hanging="216"/>
              <w:rPr>
                <w:b/>
                <w:bCs/>
                <w:color w:val="000000" w:themeColor="text1"/>
              </w:rPr>
            </w:pPr>
            <w:r w:rsidRPr="005D4222">
              <w:rPr>
                <w:i/>
                <w:iCs/>
              </w:rPr>
              <w:t>Attribution.</w:t>
            </w:r>
            <w:r w:rsidRPr="005D4222">
              <w:t xml:space="preserve"> Organizations are not required to use enrollment criteria. </w:t>
            </w:r>
          </w:p>
          <w:p w14:paraId="181C3AA2" w14:textId="77777777" w:rsidR="006178DE" w:rsidRPr="005D4222" w:rsidRDefault="006178DE" w:rsidP="006178DE">
            <w:pPr>
              <w:pStyle w:val="ProcessBullet"/>
              <w:numPr>
                <w:ilvl w:val="0"/>
                <w:numId w:val="77"/>
              </w:numPr>
              <w:ind w:left="216" w:hanging="216"/>
              <w:rPr>
                <w:b/>
                <w:bCs/>
                <w:color w:val="000000" w:themeColor="text1"/>
              </w:rPr>
            </w:pPr>
            <w:r w:rsidRPr="005D4222">
              <w:rPr>
                <w:i/>
                <w:iCs/>
              </w:rPr>
              <w:t>Benefits.</w:t>
            </w:r>
            <w:r w:rsidRPr="005D4222">
              <w:t xml:space="preserve"> Organizations are not required to use a benefit.</w:t>
            </w:r>
          </w:p>
          <w:p w14:paraId="0E020D88" w14:textId="77777777" w:rsidR="006178DE" w:rsidRPr="005D4222" w:rsidRDefault="006178DE" w:rsidP="006178DE">
            <w:pPr>
              <w:pStyle w:val="ProcessBullet"/>
              <w:numPr>
                <w:ilvl w:val="0"/>
                <w:numId w:val="77"/>
              </w:numPr>
              <w:ind w:left="216" w:hanging="216"/>
              <w:rPr>
                <w:b/>
                <w:bCs/>
                <w:color w:val="000000" w:themeColor="text1"/>
              </w:rPr>
            </w:pPr>
            <w:r w:rsidRPr="005D4222">
              <w:rPr>
                <w:i/>
                <w:iCs/>
              </w:rPr>
              <w:t>Other.</w:t>
            </w:r>
            <w:r w:rsidRPr="005D4222">
              <w:t xml:space="preserve"> Organizations may use additional initial population criteria to focus on a population of interest such as gender, race and ethnicity, socioeconomic, sociodemographic characteristics, geographic region or another characteristic.</w:t>
            </w:r>
          </w:p>
          <w:p w14:paraId="7FCDC21D" w14:textId="77777777" w:rsidR="006178DE" w:rsidRPr="005D4222" w:rsidRDefault="006178DE" w:rsidP="006178DE">
            <w:pPr>
              <w:pStyle w:val="ProcessBullet"/>
              <w:numPr>
                <w:ilvl w:val="0"/>
                <w:numId w:val="77"/>
              </w:numPr>
              <w:ind w:left="216" w:hanging="216"/>
              <w:rPr>
                <w:b/>
                <w:bCs/>
                <w:color w:val="000000" w:themeColor="text1"/>
              </w:rPr>
            </w:pPr>
            <w:r w:rsidRPr="005D4222">
              <w:rPr>
                <w:i/>
                <w:iCs/>
              </w:rPr>
              <w:t>Measurement period adjustments.</w:t>
            </w:r>
            <w:r w:rsidRPr="005D4222">
              <w:t xml:space="preserve"> Organizations may adjust the measurement period. </w:t>
            </w:r>
          </w:p>
          <w:p w14:paraId="139CDD15" w14:textId="77777777" w:rsidR="006178DE" w:rsidRPr="005D4222" w:rsidRDefault="006178DE" w:rsidP="006178DE">
            <w:pPr>
              <w:pStyle w:val="ProcessBullet"/>
              <w:numPr>
                <w:ilvl w:val="0"/>
                <w:numId w:val="77"/>
              </w:numPr>
              <w:ind w:left="216" w:hanging="216"/>
              <w:rPr>
                <w:b/>
                <w:bCs/>
                <w:color w:val="000000" w:themeColor="text1"/>
              </w:rPr>
            </w:pPr>
            <w:r w:rsidRPr="005D4222">
              <w:rPr>
                <w:i/>
                <w:iCs/>
              </w:rPr>
              <w:t>Exclusions.</w:t>
            </w:r>
            <w:r w:rsidRPr="005D4222">
              <w:t xml:space="preserve"> The hospice exclusion is not required. </w:t>
            </w:r>
          </w:p>
          <w:p w14:paraId="03DA1C90" w14:textId="77777777" w:rsidR="006178DE" w:rsidRDefault="006178DE" w:rsidP="006178DE">
            <w:pPr>
              <w:pStyle w:val="ProcessBullet"/>
              <w:numPr>
                <w:ilvl w:val="0"/>
                <w:numId w:val="77"/>
              </w:numPr>
              <w:ind w:left="185" w:hanging="180"/>
            </w:pPr>
            <w:r w:rsidRPr="005D4222">
              <w:rPr>
                <w:rFonts w:cs="Arial"/>
                <w:i/>
                <w:iCs/>
              </w:rPr>
              <w:t>Outlier</w:t>
            </w:r>
            <w:r w:rsidRPr="005D4222">
              <w:rPr>
                <w:rFonts w:cs="Arial"/>
              </w:rPr>
              <w:t>. Organizations may adjust the outlier logic. The outlier logic is not required to be applied. The outlier thresholds may be expanded or reduced. Denied claims may be used to calculate these events.</w:t>
            </w:r>
            <w:r w:rsidRPr="005D4222">
              <w:t xml:space="preserve"> </w:t>
            </w:r>
          </w:p>
          <w:p w14:paraId="3424576D" w14:textId="07030C8E" w:rsidR="001A3026" w:rsidRPr="005D4222" w:rsidRDefault="001A3026" w:rsidP="006178DE">
            <w:pPr>
              <w:pStyle w:val="ProcessBullet"/>
              <w:numPr>
                <w:ilvl w:val="0"/>
                <w:numId w:val="77"/>
              </w:numPr>
              <w:ind w:left="185" w:hanging="180"/>
            </w:pPr>
            <w:r w:rsidRPr="005D4222">
              <w:rPr>
                <w:i/>
                <w:iCs/>
                <w:color w:val="000000" w:themeColor="text1"/>
              </w:rPr>
              <w:t>Telehealth.</w:t>
            </w:r>
            <w:r w:rsidRPr="005D4222">
              <w:rPr>
                <w:color w:val="000000" w:themeColor="text1"/>
              </w:rPr>
              <w:t xml:space="preserve">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r>
              <w:rPr>
                <w:color w:val="000000" w:themeColor="text1"/>
              </w:rPr>
              <w:t>.</w:t>
            </w:r>
          </w:p>
          <w:p w14:paraId="0011A72B" w14:textId="77777777" w:rsidR="006178DE" w:rsidRPr="005D4222" w:rsidRDefault="006178DE" w:rsidP="006178DE">
            <w:pPr>
              <w:pStyle w:val="ProcessBullet"/>
              <w:spacing w:after="80"/>
              <w:rPr>
                <w:b/>
                <w:i/>
              </w:rPr>
            </w:pPr>
            <w:r w:rsidRPr="005D4222">
              <w:rPr>
                <w:i/>
                <w:iCs/>
              </w:rPr>
              <w:t>Supplemental data.</w:t>
            </w:r>
            <w:r w:rsidRPr="005D4222">
              <w:t xml:space="preserve"> Supplemental data may be used to identify initial population, observed event, exclusion and numerator events.</w:t>
            </w:r>
          </w:p>
          <w:p w14:paraId="4046CF20" w14:textId="77777777" w:rsidR="006178DE" w:rsidRPr="005D4222" w:rsidRDefault="006178DE" w:rsidP="006178DE">
            <w:pPr>
              <w:pStyle w:val="Adjustments"/>
              <w:spacing w:before="120"/>
            </w:pPr>
            <w:r w:rsidRPr="005D4222">
              <w:t xml:space="preserve">Adjustments </w:t>
            </w:r>
            <w:r w:rsidRPr="005D4222">
              <w:rPr>
                <w:bCs/>
              </w:rPr>
              <w:t>a</w:t>
            </w:r>
            <w:r w:rsidRPr="005D4222">
              <w:t xml:space="preserve">llowed with </w:t>
            </w:r>
            <w:r w:rsidRPr="005D4222">
              <w:rPr>
                <w:bCs/>
              </w:rPr>
              <w:t>l</w:t>
            </w:r>
            <w:r w:rsidRPr="005D4222">
              <w:t>imits</w:t>
            </w:r>
          </w:p>
          <w:p w14:paraId="24EFB62B" w14:textId="4D050553" w:rsidR="006178DE" w:rsidRPr="005D4222" w:rsidRDefault="006178DE" w:rsidP="006178DE">
            <w:pPr>
              <w:pStyle w:val="ProcessBullet"/>
              <w:spacing w:after="80"/>
            </w:pPr>
            <w:r w:rsidRPr="005D4222">
              <w:rPr>
                <w:i/>
              </w:rPr>
              <w:t>Observed events.</w:t>
            </w:r>
            <w:r w:rsidRPr="005D4222">
              <w:rPr>
                <w:rFonts w:cs="Arial"/>
              </w:rPr>
              <w:t xml:space="preserve"> </w:t>
            </w:r>
            <w:r w:rsidRPr="005D4222">
              <w:t>Organizations may include denied claims to calculate the observed events. The value sets and logic may not be changed.</w:t>
            </w:r>
          </w:p>
        </w:tc>
      </w:tr>
    </w:tbl>
    <w:p w14:paraId="3E9ED198" w14:textId="77777777" w:rsidR="006242AD" w:rsidRPr="005D4222" w:rsidRDefault="006242AD" w:rsidP="00D52710">
      <w:pPr>
        <w:pStyle w:val="ECDSBody"/>
        <w:sectPr w:rsidR="006242AD" w:rsidRPr="005D4222" w:rsidSect="0074514A">
          <w:headerReference w:type="default" r:id="rId207"/>
          <w:type w:val="nextColumn"/>
          <w:pgSz w:w="12240" w:h="15840" w:code="1"/>
          <w:pgMar w:top="1080" w:right="1080" w:bottom="1080" w:left="1440" w:header="720" w:footer="720" w:gutter="0"/>
          <w:cols w:space="720"/>
          <w:docGrid w:linePitch="360"/>
        </w:sectPr>
      </w:pPr>
    </w:p>
    <w:p w14:paraId="23955266" w14:textId="499BF4FB" w:rsidR="00D52710" w:rsidRPr="005D4222" w:rsidRDefault="0018044E" w:rsidP="0018044E">
      <w:pPr>
        <w:pStyle w:val="MeasureTitle"/>
      </w:pPr>
      <w:bookmarkStart w:id="406" w:name="_Toc201813461"/>
      <w:r w:rsidRPr="005D4222">
        <w:lastRenderedPageBreak/>
        <w:t>Hospitalization for Potentially Preventable Complications</w:t>
      </w:r>
      <w:r w:rsidR="006B0FDD" w:rsidRPr="005D4222">
        <w:t xml:space="preserve"> (HPC)</w:t>
      </w:r>
      <w:bookmarkEnd w:id="406"/>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15" w:type="dxa"/>
          <w:bottom w:w="40" w:type="dxa"/>
          <w:right w:w="15" w:type="dxa"/>
        </w:tblCellMar>
        <w:tblLook w:val="04A0" w:firstRow="1" w:lastRow="0" w:firstColumn="1" w:lastColumn="0" w:noHBand="0" w:noVBand="1"/>
      </w:tblPr>
      <w:tblGrid>
        <w:gridCol w:w="2157"/>
        <w:gridCol w:w="5041"/>
        <w:gridCol w:w="1549"/>
        <w:gridCol w:w="967"/>
      </w:tblGrid>
      <w:tr w:rsidR="008E6686" w:rsidRPr="005D4222" w14:paraId="53160C46" w14:textId="77777777" w:rsidTr="00A53E8C">
        <w:tc>
          <w:tcPr>
            <w:tcW w:w="2157" w:type="dxa"/>
            <w:shd w:val="clear" w:color="auto" w:fill="BFBFBF" w:themeFill="background1" w:themeFillShade="BF"/>
            <w:tcMar>
              <w:top w:w="0" w:type="dxa"/>
              <w:left w:w="86" w:type="dxa"/>
              <w:bottom w:w="43" w:type="dxa"/>
              <w:right w:w="86" w:type="dxa"/>
            </w:tcMar>
            <w:hideMark/>
          </w:tcPr>
          <w:p w14:paraId="777CAE57" w14:textId="77777777" w:rsidR="008E6686" w:rsidRPr="005D4222" w:rsidRDefault="008E6686" w:rsidP="00A53E8C">
            <w:pPr>
              <w:pStyle w:val="ECDSMarginHead"/>
            </w:pPr>
            <w:r w:rsidRPr="005D4222">
              <w:t>Measure title</w:t>
            </w:r>
          </w:p>
        </w:tc>
        <w:tc>
          <w:tcPr>
            <w:tcW w:w="5041" w:type="dxa"/>
            <w:tcMar>
              <w:top w:w="0" w:type="dxa"/>
              <w:left w:w="86" w:type="dxa"/>
              <w:bottom w:w="43" w:type="dxa"/>
              <w:right w:w="86" w:type="dxa"/>
            </w:tcMar>
          </w:tcPr>
          <w:p w14:paraId="05392DFB" w14:textId="77777777" w:rsidR="008E6686" w:rsidRPr="005D4222" w:rsidRDefault="008E6686" w:rsidP="00A53E8C">
            <w:pPr>
              <w:pStyle w:val="ECDSBody"/>
            </w:pPr>
            <w:r w:rsidRPr="005D4222">
              <w:t>Hospitalization for Potentially Preventable Complications</w:t>
            </w:r>
            <w:r w:rsidRPr="005D4222">
              <w:rPr>
                <w:b/>
              </w:rPr>
              <w:t>*</w:t>
            </w:r>
          </w:p>
        </w:tc>
        <w:tc>
          <w:tcPr>
            <w:tcW w:w="1549" w:type="dxa"/>
            <w:shd w:val="clear" w:color="auto" w:fill="BFBFBF" w:themeFill="background1" w:themeFillShade="BF"/>
            <w:tcMar>
              <w:top w:w="0" w:type="dxa"/>
              <w:left w:w="86" w:type="dxa"/>
              <w:bottom w:w="43" w:type="dxa"/>
              <w:right w:w="86" w:type="dxa"/>
            </w:tcMar>
          </w:tcPr>
          <w:p w14:paraId="7DA598B9" w14:textId="77777777" w:rsidR="008E6686" w:rsidRPr="005D4222" w:rsidRDefault="008E6686" w:rsidP="00A53E8C">
            <w:pPr>
              <w:pStyle w:val="ECDSMarginHead"/>
            </w:pPr>
            <w:r w:rsidRPr="005D4222">
              <w:t>Measure ID</w:t>
            </w:r>
          </w:p>
        </w:tc>
        <w:tc>
          <w:tcPr>
            <w:tcW w:w="967" w:type="dxa"/>
            <w:tcMar>
              <w:top w:w="0" w:type="dxa"/>
              <w:left w:w="86" w:type="dxa"/>
              <w:bottom w:w="43" w:type="dxa"/>
              <w:right w:w="86" w:type="dxa"/>
            </w:tcMar>
          </w:tcPr>
          <w:p w14:paraId="54E0E74B" w14:textId="77777777" w:rsidR="008E6686" w:rsidRPr="005D4222" w:rsidRDefault="008E6686" w:rsidP="00A53E8C">
            <w:pPr>
              <w:pStyle w:val="ECDSBody"/>
            </w:pPr>
            <w:r w:rsidRPr="005D4222">
              <w:t>HPC</w:t>
            </w:r>
          </w:p>
        </w:tc>
      </w:tr>
      <w:tr w:rsidR="008E6686" w:rsidRPr="005D4222" w14:paraId="27E9119C" w14:textId="77777777" w:rsidTr="00A53E8C">
        <w:tc>
          <w:tcPr>
            <w:tcW w:w="2157" w:type="dxa"/>
            <w:shd w:val="clear" w:color="auto" w:fill="BFBFBF" w:themeFill="background1" w:themeFillShade="BF"/>
            <w:tcMar>
              <w:top w:w="0" w:type="dxa"/>
              <w:left w:w="86" w:type="dxa"/>
              <w:bottom w:w="43" w:type="dxa"/>
              <w:right w:w="86" w:type="dxa"/>
            </w:tcMar>
            <w:hideMark/>
          </w:tcPr>
          <w:p w14:paraId="0FE1C614" w14:textId="77777777" w:rsidR="008E6686" w:rsidRPr="005D4222" w:rsidRDefault="008E6686" w:rsidP="00A53E8C">
            <w:pPr>
              <w:pStyle w:val="ECDSMarginHead"/>
            </w:pPr>
            <w:r w:rsidRPr="005D4222">
              <w:t>Description</w:t>
            </w:r>
          </w:p>
        </w:tc>
        <w:tc>
          <w:tcPr>
            <w:tcW w:w="7557" w:type="dxa"/>
            <w:gridSpan w:val="3"/>
            <w:tcMar>
              <w:top w:w="0" w:type="dxa"/>
              <w:left w:w="86" w:type="dxa"/>
              <w:bottom w:w="43" w:type="dxa"/>
              <w:right w:w="86" w:type="dxa"/>
            </w:tcMar>
          </w:tcPr>
          <w:p w14:paraId="6378AF47" w14:textId="77777777" w:rsidR="008E6686" w:rsidRPr="005D4222" w:rsidRDefault="008E6686" w:rsidP="00A53E8C">
            <w:pPr>
              <w:pStyle w:val="ECDSBody"/>
            </w:pPr>
            <w:r w:rsidRPr="005D4222">
              <w:t>For persons 67 years of age and older, the rate of discharges for ambulatory care sensitive conditions (ACSC) per 1,000 persons and the risk-adjusted ratio of observed-to-expected discharges for ACSC by chronic and acute conditions.</w:t>
            </w:r>
          </w:p>
        </w:tc>
      </w:tr>
      <w:tr w:rsidR="008E6686" w:rsidRPr="005D4222" w14:paraId="2B1F3167" w14:textId="77777777" w:rsidTr="00A53E8C">
        <w:tc>
          <w:tcPr>
            <w:tcW w:w="2157" w:type="dxa"/>
            <w:shd w:val="clear" w:color="auto" w:fill="BFBFBF" w:themeFill="background1" w:themeFillShade="BF"/>
            <w:tcMar>
              <w:top w:w="0" w:type="dxa"/>
              <w:left w:w="86" w:type="dxa"/>
              <w:bottom w:w="43" w:type="dxa"/>
              <w:right w:w="86" w:type="dxa"/>
            </w:tcMar>
          </w:tcPr>
          <w:p w14:paraId="335546D8" w14:textId="77777777" w:rsidR="008E6686" w:rsidRPr="005D4222" w:rsidRDefault="008E6686" w:rsidP="00A53E8C">
            <w:pPr>
              <w:pStyle w:val="ECDSMarginHead"/>
            </w:pPr>
            <w:r w:rsidRPr="005D4222">
              <w:t>Measurement period</w:t>
            </w:r>
          </w:p>
        </w:tc>
        <w:tc>
          <w:tcPr>
            <w:tcW w:w="7557" w:type="dxa"/>
            <w:gridSpan w:val="3"/>
            <w:tcMar>
              <w:top w:w="0" w:type="dxa"/>
              <w:left w:w="86" w:type="dxa"/>
              <w:bottom w:w="43" w:type="dxa"/>
              <w:right w:w="86" w:type="dxa"/>
            </w:tcMar>
          </w:tcPr>
          <w:p w14:paraId="698B96A5" w14:textId="77777777" w:rsidR="008E6686" w:rsidRPr="005D4222" w:rsidRDefault="008E6686" w:rsidP="00A53E8C">
            <w:pPr>
              <w:pStyle w:val="ECDSBody"/>
              <w:rPr>
                <w:szCs w:val="21"/>
              </w:rPr>
            </w:pPr>
            <w:r w:rsidRPr="005D4222">
              <w:rPr>
                <w:szCs w:val="21"/>
              </w:rPr>
              <w:t>January 1–December 31.</w:t>
            </w:r>
          </w:p>
        </w:tc>
      </w:tr>
      <w:tr w:rsidR="008E6686" w:rsidRPr="005D4222" w14:paraId="216DE5D5" w14:textId="77777777" w:rsidTr="00A53E8C">
        <w:tc>
          <w:tcPr>
            <w:tcW w:w="2157" w:type="dxa"/>
            <w:shd w:val="clear" w:color="auto" w:fill="BFBFBF" w:themeFill="background1" w:themeFillShade="BF"/>
            <w:tcMar>
              <w:top w:w="0" w:type="dxa"/>
              <w:left w:w="86" w:type="dxa"/>
              <w:bottom w:w="43" w:type="dxa"/>
              <w:right w:w="86" w:type="dxa"/>
            </w:tcMar>
            <w:hideMark/>
          </w:tcPr>
          <w:p w14:paraId="66B700C0" w14:textId="77777777" w:rsidR="008E6686" w:rsidRPr="005D4222" w:rsidRDefault="008E6686" w:rsidP="00A53E8C">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15A4B8C5" w14:textId="77777777" w:rsidR="008E6686" w:rsidRPr="005D4222" w:rsidRDefault="008E6686" w:rsidP="00A53E8C">
            <w:pPr>
              <w:pStyle w:val="ECDSBody"/>
              <w:ind w:left="92" w:hanging="92"/>
              <w:rPr>
                <w:i/>
                <w:iCs/>
              </w:rPr>
            </w:pPr>
            <w:r w:rsidRPr="005D4222">
              <w:rPr>
                <w:i/>
                <w:iCs/>
              </w:rPr>
              <w:t>*Adapted with financial support from CMS and with permission from the measure developer, the Agency for Healthcare Research and Quality (AHRQ).</w:t>
            </w:r>
          </w:p>
          <w:p w14:paraId="6B510A12" w14:textId="77777777" w:rsidR="008E6686" w:rsidRPr="005D4222" w:rsidRDefault="008E6686" w:rsidP="00A53E8C">
            <w:pPr>
              <w:pStyle w:val="ECDSBody"/>
            </w:pPr>
            <w:r w:rsidRPr="005D4222">
              <w:t xml:space="preserve">Refer to the complete copyright and disclaimer information in the front of the publication. </w:t>
            </w:r>
          </w:p>
          <w:p w14:paraId="1EFC50B3" w14:textId="77777777" w:rsidR="008E6686" w:rsidRPr="005D4222" w:rsidRDefault="008E6686" w:rsidP="00A53E8C">
            <w:pPr>
              <w:pStyle w:val="ECDSBody"/>
              <w:spacing w:before="80"/>
              <w:rPr>
                <w:rFonts w:eastAsia="Arial"/>
              </w:rPr>
            </w:pPr>
            <w:r w:rsidRPr="005D4222">
              <w:rPr>
                <w:rFonts w:eastAsia="Arial"/>
              </w:rPr>
              <w:t xml:space="preserve">NCQA website: </w:t>
            </w:r>
            <w:r w:rsidRPr="005D4222">
              <w:rPr>
                <w:rFonts w:eastAsia="Arial"/>
                <w:u w:val="single"/>
              </w:rPr>
              <w:t>www.ncqa.org</w:t>
            </w:r>
            <w:r w:rsidRPr="005D4222">
              <w:rPr>
                <w:rFonts w:eastAsia="Arial"/>
              </w:rPr>
              <w:t>.</w:t>
            </w:r>
          </w:p>
          <w:p w14:paraId="50B095C1" w14:textId="77777777" w:rsidR="008E6686" w:rsidRPr="005D4222" w:rsidRDefault="008E6686" w:rsidP="00A53E8C">
            <w:pPr>
              <w:pStyle w:val="ECDSBody"/>
              <w:spacing w:before="80"/>
            </w:pPr>
            <w:r w:rsidRPr="005D4222">
              <w:rPr>
                <w:rFonts w:eastAsia="Arial"/>
              </w:rPr>
              <w:t>Submit policy clarification support questions via My NCQA (</w:t>
            </w:r>
            <w:r w:rsidRPr="005D4222">
              <w:rPr>
                <w:rFonts w:eastAsia="Arial"/>
                <w:u w:val="single"/>
              </w:rPr>
              <w:t>https://my.ncqa.org</w:t>
            </w:r>
            <w:r w:rsidRPr="005D4222">
              <w:rPr>
                <w:rFonts w:eastAsia="Arial"/>
              </w:rPr>
              <w:t>).</w:t>
            </w:r>
          </w:p>
        </w:tc>
      </w:tr>
      <w:tr w:rsidR="008E6686" w:rsidRPr="005D4222" w14:paraId="780D695D" w14:textId="77777777" w:rsidTr="00A53E8C">
        <w:tc>
          <w:tcPr>
            <w:tcW w:w="2157" w:type="dxa"/>
            <w:shd w:val="clear" w:color="auto" w:fill="BFBFBF" w:themeFill="background1" w:themeFillShade="BF"/>
            <w:tcMar>
              <w:top w:w="0" w:type="dxa"/>
              <w:left w:w="86" w:type="dxa"/>
              <w:bottom w:w="43" w:type="dxa"/>
              <w:right w:w="86" w:type="dxa"/>
            </w:tcMar>
            <w:hideMark/>
          </w:tcPr>
          <w:p w14:paraId="1016D241" w14:textId="77777777" w:rsidR="008E6686" w:rsidRPr="005D4222" w:rsidRDefault="008E6686" w:rsidP="00A53E8C">
            <w:pPr>
              <w:pStyle w:val="ECDSMarginHead"/>
            </w:pPr>
            <w:r w:rsidRPr="005D4222">
              <w:t>Clinical recommendation statement/ rationale</w:t>
            </w:r>
          </w:p>
        </w:tc>
        <w:tc>
          <w:tcPr>
            <w:tcW w:w="7557" w:type="dxa"/>
            <w:gridSpan w:val="3"/>
            <w:tcMar>
              <w:top w:w="0" w:type="dxa"/>
              <w:left w:w="86" w:type="dxa"/>
              <w:bottom w:w="43" w:type="dxa"/>
              <w:right w:w="86" w:type="dxa"/>
            </w:tcMar>
          </w:tcPr>
          <w:p w14:paraId="568CD217" w14:textId="77777777" w:rsidR="008E6686" w:rsidRPr="005D4222" w:rsidRDefault="008E6686" w:rsidP="00A53E8C">
            <w:pPr>
              <w:pStyle w:val="ECDSBody"/>
              <w:rPr>
                <w:rFonts w:eastAsia="Calibri"/>
                <w:szCs w:val="21"/>
              </w:rPr>
            </w:pPr>
            <w:r w:rsidRPr="005D4222">
              <w:rPr>
                <w:rFonts w:eastAsia="Calibri"/>
                <w:szCs w:val="21"/>
              </w:rPr>
              <w:t>Hospital and inpatient care accounts for a large component of total health care costs for older adults (41% of Medicare spending, approximately $303 billion dollars in 2018). Hospitalization also poses several risks for older adults, who frequently develop serious conditions as a result of hospitalization such as delirium, infection and decline in functional ability.</w:t>
            </w:r>
          </w:p>
          <w:p w14:paraId="7364AB52" w14:textId="77777777" w:rsidR="008E6686" w:rsidRPr="005D4222" w:rsidRDefault="008E6686" w:rsidP="00A53E8C">
            <w:pPr>
              <w:pStyle w:val="ECDSBody"/>
              <w:rPr>
                <w:szCs w:val="21"/>
              </w:rPr>
            </w:pPr>
            <w:r w:rsidRPr="005D4222">
              <w:rPr>
                <w:rFonts w:eastAsia="Calibri"/>
                <w:szCs w:val="21"/>
              </w:rPr>
              <w:t xml:space="preserve">Reducing the rate of hospitalization for potentially preventable complications of acute and chronic conditions for older adults will improve patient health, reduce costs and improve quality of life. </w:t>
            </w:r>
            <w:r w:rsidRPr="005D4222">
              <w:rPr>
                <w:szCs w:val="21"/>
              </w:rPr>
              <w:t xml:space="preserve">It is important to note that some complications or exacerbations are unavoidable and therefore the appropriate rate of hospitalization is not “zero”; however, this measure will provide important information to health plans, providers and consumers and other stakeholders about how well a system of care helps older adults with chronic and acute conditions prevent hospitalization. </w:t>
            </w:r>
          </w:p>
        </w:tc>
      </w:tr>
      <w:tr w:rsidR="008E6686" w:rsidRPr="005D4222" w14:paraId="22D60EA2" w14:textId="77777777" w:rsidTr="00A53E8C">
        <w:tc>
          <w:tcPr>
            <w:tcW w:w="2157" w:type="dxa"/>
            <w:shd w:val="clear" w:color="auto" w:fill="BFBFBF" w:themeFill="background1" w:themeFillShade="BF"/>
            <w:tcMar>
              <w:top w:w="0" w:type="dxa"/>
              <w:left w:w="86" w:type="dxa"/>
              <w:bottom w:w="43" w:type="dxa"/>
              <w:right w:w="86" w:type="dxa"/>
            </w:tcMar>
          </w:tcPr>
          <w:p w14:paraId="3590094D" w14:textId="77777777" w:rsidR="008E6686" w:rsidRPr="005D4222" w:rsidRDefault="008E6686" w:rsidP="00A53E8C">
            <w:pPr>
              <w:pStyle w:val="ECDSMarginHead"/>
            </w:pPr>
            <w:r w:rsidRPr="005D4222">
              <w:t>Citations</w:t>
            </w:r>
          </w:p>
        </w:tc>
        <w:tc>
          <w:tcPr>
            <w:tcW w:w="7557" w:type="dxa"/>
            <w:gridSpan w:val="3"/>
            <w:tcMar>
              <w:top w:w="0" w:type="dxa"/>
              <w:left w:w="86" w:type="dxa"/>
              <w:bottom w:w="43" w:type="dxa"/>
              <w:right w:w="86" w:type="dxa"/>
            </w:tcMar>
          </w:tcPr>
          <w:p w14:paraId="71C193D4" w14:textId="77777777" w:rsidR="008E6686" w:rsidRPr="005D4222" w:rsidRDefault="008E6686" w:rsidP="00A53E8C">
            <w:pPr>
              <w:pStyle w:val="ECDSBody"/>
            </w:pPr>
            <w:r w:rsidRPr="005D4222">
              <w:t xml:space="preserve">Kaiser Family Foundation (KFF). </w:t>
            </w:r>
            <w:r w:rsidRPr="005D4222">
              <w:rPr>
                <w:i/>
                <w:iCs/>
              </w:rPr>
              <w:t>The Facts on Medicare Spending and Financing.</w:t>
            </w:r>
            <w:r w:rsidRPr="005D4222">
              <w:t xml:space="preserve"> https://www.kff.org/medicare/issue-brief/the-facts-on-medicare-spending-and-financing/ </w:t>
            </w:r>
          </w:p>
          <w:p w14:paraId="2A512972" w14:textId="77777777" w:rsidR="008E6686" w:rsidRPr="005D4222" w:rsidRDefault="008E6686" w:rsidP="00A53E8C">
            <w:pPr>
              <w:pStyle w:val="ECDSBody"/>
            </w:pPr>
            <w:r w:rsidRPr="005D4222">
              <w:t>Gillick, M.R., N.A. Serrell, &amp; L.S. Gillick. 1982. “Adverse Consequences of Hospitalization in the Elderly.” S</w:t>
            </w:r>
            <w:r w:rsidRPr="005D4222">
              <w:rPr>
                <w:i/>
                <w:iCs/>
              </w:rPr>
              <w:t xml:space="preserve">ocial Science &amp; Medicine </w:t>
            </w:r>
            <w:r w:rsidRPr="005D4222">
              <w:t>16(10), 1033–8.</w:t>
            </w:r>
          </w:p>
          <w:p w14:paraId="06AFD6F4" w14:textId="77777777" w:rsidR="008E6686" w:rsidRPr="005D4222" w:rsidRDefault="008E6686" w:rsidP="00A53E8C">
            <w:pPr>
              <w:pStyle w:val="ECDSBody"/>
            </w:pPr>
            <w:r w:rsidRPr="005D4222">
              <w:t>Covinsky, K.E., E. Pierluissi, &amp; C.B. Johnston. 2011. “Hospitalization-Associated Disability.” </w:t>
            </w:r>
            <w:r w:rsidRPr="005D4222">
              <w:rPr>
                <w:i/>
                <w:iCs/>
              </w:rPr>
              <w:t>JAMA: The Journal of the American Medical Association</w:t>
            </w:r>
            <w:r w:rsidRPr="005D4222">
              <w:t xml:space="preserve"> 306(16): 1782–93.</w:t>
            </w:r>
            <w:r w:rsidRPr="005D4222">
              <w:rPr>
                <w:sz w:val="18"/>
                <w:szCs w:val="18"/>
              </w:rPr>
              <w:t> </w:t>
            </w:r>
          </w:p>
        </w:tc>
      </w:tr>
      <w:tr w:rsidR="008E6686" w:rsidRPr="005D4222" w14:paraId="49BD702B" w14:textId="77777777" w:rsidTr="00A53E8C">
        <w:tblPrEx>
          <w:tblCellMar>
            <w:left w:w="86" w:type="dxa"/>
            <w:right w:w="86" w:type="dxa"/>
          </w:tblCellMar>
        </w:tblPrEx>
        <w:tc>
          <w:tcPr>
            <w:tcW w:w="9714"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08FC14FA" w14:textId="77777777" w:rsidR="008E6686" w:rsidRPr="005D4222" w:rsidRDefault="008E6686" w:rsidP="00A53E8C">
            <w:pPr>
              <w:pStyle w:val="ECDSMarginHead"/>
            </w:pPr>
            <w:r w:rsidRPr="005D4222">
              <w:t>Characteristics</w:t>
            </w:r>
          </w:p>
        </w:tc>
      </w:tr>
      <w:tr w:rsidR="008E6686" w:rsidRPr="005D4222" w14:paraId="10239828" w14:textId="77777777" w:rsidTr="00A53E8C">
        <w:tblPrEx>
          <w:tblCellMar>
            <w:left w:w="86" w:type="dxa"/>
            <w:right w:w="86" w:type="dxa"/>
          </w:tblCellMar>
        </w:tblPrEx>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0385080D" w14:textId="77777777" w:rsidR="008E6686" w:rsidRPr="005D4222" w:rsidRDefault="008E6686" w:rsidP="00DF6667">
            <w:pPr>
              <w:pStyle w:val="ECDSSubhead"/>
            </w:pPr>
            <w:r w:rsidRPr="005D4222">
              <w:t>Scoring</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219299D1" w14:textId="77777777" w:rsidR="008E6686" w:rsidRPr="005D4222" w:rsidRDefault="008E6686" w:rsidP="00A53E8C">
            <w:pPr>
              <w:pStyle w:val="ECDSBody"/>
              <w:spacing w:after="0"/>
            </w:pPr>
            <w:r w:rsidRPr="005D4222">
              <w:t>Ratio.</w:t>
            </w:r>
          </w:p>
        </w:tc>
      </w:tr>
      <w:tr w:rsidR="008E6686" w:rsidRPr="005D4222" w14:paraId="2B735188" w14:textId="77777777" w:rsidTr="00A53E8C">
        <w:tblPrEx>
          <w:tblCellMar>
            <w:left w:w="86" w:type="dxa"/>
            <w:right w:w="86" w:type="dxa"/>
          </w:tblCellMar>
        </w:tblPrEx>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4090F6F8" w14:textId="31920B4D" w:rsidR="008E6686" w:rsidRPr="005D4222" w:rsidRDefault="00B51CDC" w:rsidP="00DF6667">
            <w:pPr>
              <w:pStyle w:val="ECDSSubhead"/>
            </w:pPr>
            <w:r w:rsidRPr="005D4222">
              <w:t>Product lines</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145F6A07" w14:textId="77777777" w:rsidR="008E6686" w:rsidRPr="005D4222" w:rsidRDefault="008E6686" w:rsidP="00A53E8C">
            <w:pPr>
              <w:pStyle w:val="ECDSBody"/>
            </w:pPr>
            <w:r w:rsidRPr="005D4222">
              <w:t>Medicare.</w:t>
            </w:r>
          </w:p>
        </w:tc>
      </w:tr>
    </w:tbl>
    <w:p w14:paraId="020B90B9" w14:textId="77777777" w:rsidR="008E6686" w:rsidRPr="005D4222" w:rsidRDefault="008E6686" w:rsidP="008E6686"/>
    <w:tbl>
      <w:tblPr>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8E6686" w:rsidRPr="005D4222" w14:paraId="71752438" w14:textId="77777777" w:rsidTr="00A53E8C">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10BBB32C" w14:textId="428ABD97" w:rsidR="008E6686" w:rsidRPr="005D4222" w:rsidRDefault="00B51CDC" w:rsidP="00DF6667">
            <w:pPr>
              <w:pStyle w:val="ECDSSubhead"/>
            </w:pPr>
            <w:r w:rsidRPr="005D4222">
              <w:lastRenderedPageBreak/>
              <w:t>Stratifications</w:t>
            </w:r>
            <w:r w:rsidR="008E6686" w:rsidRPr="005D4222">
              <w:t xml:space="preserve"> </w:t>
            </w: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0BD547AD" w14:textId="77777777" w:rsidR="008E6686" w:rsidRPr="005D4222" w:rsidRDefault="008E6686" w:rsidP="00A53E8C">
            <w:pPr>
              <w:pStyle w:val="ECDSBody"/>
            </w:pPr>
            <w:r w:rsidRPr="005D4222">
              <w:t xml:space="preserve">Age as of the last day of the measurement period. </w:t>
            </w:r>
          </w:p>
          <w:p w14:paraId="102B742B" w14:textId="77777777" w:rsidR="008E6686" w:rsidRPr="005D4222" w:rsidRDefault="008E6686" w:rsidP="008E6686">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67–74 years.</w:t>
            </w:r>
          </w:p>
          <w:p w14:paraId="6E145190" w14:textId="77777777" w:rsidR="008E6686" w:rsidRPr="005D4222" w:rsidRDefault="008E6686" w:rsidP="008E6686">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75–84 years</w:t>
            </w:r>
            <w:r w:rsidRPr="005D4222">
              <w:rPr>
                <w:rStyle w:val="normaltextrun"/>
                <w:rFonts w:eastAsia="Arial,Arial,Arial,Arial,Arial,A"/>
              </w:rPr>
              <w:t>.</w:t>
            </w:r>
          </w:p>
          <w:p w14:paraId="1C89E724" w14:textId="77777777" w:rsidR="008E6686" w:rsidRPr="005D4222" w:rsidRDefault="008E6686" w:rsidP="008E6686">
            <w:pPr>
              <w:pStyle w:val="Bullet"/>
              <w:numPr>
                <w:ilvl w:val="0"/>
                <w:numId w:val="4"/>
              </w:numPr>
              <w:tabs>
                <w:tab w:val="left" w:pos="360"/>
                <w:tab w:val="left" w:pos="576"/>
              </w:tabs>
              <w:ind w:left="576" w:hanging="216"/>
            </w:pPr>
            <w:r w:rsidRPr="005D4222">
              <w:rPr>
                <w:rFonts w:eastAsia="Arial,Arial,Arial,Arial,Arial,A"/>
              </w:rPr>
              <w:t>85+ years.</w:t>
            </w:r>
          </w:p>
        </w:tc>
      </w:tr>
      <w:tr w:rsidR="008E6686" w:rsidRPr="005D4222" w14:paraId="51EC4FA0" w14:textId="77777777" w:rsidTr="00A53E8C">
        <w:trPr>
          <w:trHeight w:val="513"/>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35FB77DF" w14:textId="77777777" w:rsidR="008E6686" w:rsidRPr="005D4222" w:rsidRDefault="008E6686" w:rsidP="00DF6667">
            <w:pPr>
              <w:pStyle w:val="ECDSSubhead"/>
            </w:pPr>
            <w:r w:rsidRPr="005D4222">
              <w:t>Guidance</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0B3285D9" w14:textId="77777777" w:rsidR="008E6686" w:rsidRPr="005D4222" w:rsidRDefault="008E6686" w:rsidP="00A53E8C">
            <w:pPr>
              <w:pStyle w:val="ECDSBody"/>
              <w:rPr>
                <w:b/>
                <w:i/>
              </w:rPr>
            </w:pPr>
            <w:r w:rsidRPr="005D4222">
              <w:rPr>
                <w:b/>
                <w:i/>
              </w:rPr>
              <w:t>Risk Adjustment Measure</w:t>
            </w:r>
            <w:r w:rsidRPr="005D4222">
              <w:rPr>
                <w:b/>
                <w:bCs w:val="0"/>
                <w:i/>
                <w:iCs/>
              </w:rPr>
              <w:t>-</w:t>
            </w:r>
            <w:r w:rsidRPr="005D4222">
              <w:rPr>
                <w:b/>
                <w:i/>
              </w:rPr>
              <w:t>Specific Guidance</w:t>
            </w:r>
          </w:p>
          <w:p w14:paraId="2C459586" w14:textId="77777777" w:rsidR="008E6686" w:rsidRPr="005D4222" w:rsidRDefault="008E6686" w:rsidP="00A53E8C">
            <w:pPr>
              <w:pStyle w:val="ECDSBody"/>
              <w:rPr>
                <w:rFonts w:ascii="Segoe UI" w:hAnsi="Segoe UI" w:cs="Segoe UI"/>
                <w:sz w:val="18"/>
                <w:szCs w:val="18"/>
              </w:rPr>
            </w:pPr>
            <w:r w:rsidRPr="005D4222">
              <w:rPr>
                <w:b/>
              </w:rPr>
              <w:t>Observation stays:</w:t>
            </w:r>
            <w:r w:rsidRPr="005D4222">
              <w:t xml:space="preserve"> For observation stays (</w:t>
            </w:r>
            <w:r w:rsidRPr="005D4222">
              <w:rPr>
                <w:u w:val="single"/>
              </w:rPr>
              <w:t>Observation Stay Value Set</w:t>
            </w:r>
            <w:r w:rsidRPr="005D4222">
              <w:t>) that do not have a recorded admission or discharge date, set the admission date to the earliest date of service on the claim and set the discharge date to the last date of service on the claim. </w:t>
            </w:r>
          </w:p>
          <w:p w14:paraId="0485F84B" w14:textId="77777777" w:rsidR="008E6686" w:rsidRPr="005D4222" w:rsidRDefault="008E6686" w:rsidP="00A53E8C">
            <w:pPr>
              <w:pStyle w:val="ECDSBody"/>
              <w:rPr>
                <w:rFonts w:ascii="Segoe UI" w:hAnsi="Segoe UI" w:cs="Segoe UI"/>
                <w:b/>
                <w:sz w:val="18"/>
                <w:szCs w:val="18"/>
              </w:rPr>
            </w:pPr>
            <w:r w:rsidRPr="005D4222">
              <w:rPr>
                <w:b/>
              </w:rPr>
              <w:t xml:space="preserve">Which services count? </w:t>
            </w:r>
          </w:p>
          <w:p w14:paraId="22931B15" w14:textId="77777777" w:rsidR="008E6686" w:rsidRPr="005D4222" w:rsidRDefault="008E6686" w:rsidP="00A53E8C">
            <w:pPr>
              <w:pStyle w:val="ProcessBullet"/>
            </w:pPr>
            <w:r w:rsidRPr="005D4222">
              <w:t>Use all paid, suspended, pending, and denied claims when applying risk adjustment comorbidity category determination and the hospice exclusion. </w:t>
            </w:r>
          </w:p>
          <w:p w14:paraId="0082B333" w14:textId="77777777" w:rsidR="008E6686" w:rsidRPr="005D4222" w:rsidRDefault="008E6686" w:rsidP="00A53E8C">
            <w:pPr>
              <w:pStyle w:val="ProcessBullet"/>
              <w:rPr>
                <w:rFonts w:cs="Arial"/>
              </w:rPr>
            </w:pPr>
            <w:r w:rsidRPr="005D4222">
              <w:t>Do not include denied claims when identifying all other events (e.g., observed events); only report claims the organization paid for or expects to pay for (i.e., claims incurred but not paid).</w:t>
            </w:r>
          </w:p>
          <w:p w14:paraId="31215257" w14:textId="77777777" w:rsidR="008E6686" w:rsidRPr="005D4222" w:rsidRDefault="008E6686" w:rsidP="00A53E8C">
            <w:pPr>
              <w:pStyle w:val="ECDSBody"/>
              <w:rPr>
                <w:rFonts w:ascii="Segoe UI" w:hAnsi="Segoe UI" w:cs="Segoe UI"/>
                <w:sz w:val="18"/>
                <w:szCs w:val="18"/>
              </w:rPr>
            </w:pPr>
            <w:r w:rsidRPr="005D4222">
              <w:rPr>
                <w:b/>
              </w:rPr>
              <w:t xml:space="preserve">Supplemental data exceptions: </w:t>
            </w:r>
            <w:r w:rsidRPr="005D4222">
              <w:t>Supplemental data may only be used for the hospice exclusion.</w:t>
            </w:r>
          </w:p>
          <w:p w14:paraId="6660B0E4" w14:textId="77777777" w:rsidR="008E6686" w:rsidRPr="005D4222" w:rsidRDefault="008E6686" w:rsidP="00A53E8C">
            <w:pPr>
              <w:pStyle w:val="ECDSBody"/>
            </w:pPr>
            <w:r w:rsidRPr="005D4222">
              <w:rPr>
                <w:b/>
              </w:rPr>
              <w:t>Transfers:</w:t>
            </w:r>
            <w:r w:rsidRPr="005D4222">
              <w:t xml:space="preserve"> </w:t>
            </w:r>
          </w:p>
          <w:p w14:paraId="266F05A4" w14:textId="77777777" w:rsidR="008E6686" w:rsidRPr="005D4222" w:rsidRDefault="008E6686" w:rsidP="00A53E8C">
            <w:pPr>
              <w:pStyle w:val="ProcessBullet"/>
            </w:pPr>
            <w:r w:rsidRPr="005D4222">
              <w:t xml:space="preserve">Treat transfers </w:t>
            </w:r>
            <w:r w:rsidRPr="005D4222">
              <w:rPr>
                <w:i/>
              </w:rPr>
              <w:t xml:space="preserve">between </w:t>
            </w:r>
            <w:r w:rsidRPr="005D4222">
              <w:t xml:space="preserve">institutions as separate admissions. </w:t>
            </w:r>
          </w:p>
          <w:p w14:paraId="0C382877" w14:textId="77777777" w:rsidR="008E6686" w:rsidRPr="005D4222" w:rsidRDefault="008E6686" w:rsidP="00A53E8C">
            <w:pPr>
              <w:pStyle w:val="ProcessBullet"/>
            </w:pPr>
            <w:r w:rsidRPr="005D4222">
              <w:t xml:space="preserve">Base transfer reports </w:t>
            </w:r>
            <w:r w:rsidRPr="005D4222">
              <w:rPr>
                <w:i/>
              </w:rPr>
              <w:t>within</w:t>
            </w:r>
            <w:r w:rsidRPr="005D4222">
              <w:t xml:space="preserve"> an institution on the type and level of services provided. </w:t>
            </w:r>
          </w:p>
          <w:p w14:paraId="6175266F" w14:textId="77777777" w:rsidR="008E6686" w:rsidRPr="005D4222" w:rsidRDefault="008E6686" w:rsidP="00A53E8C">
            <w:pPr>
              <w:pStyle w:val="ProcessBullet"/>
            </w:pPr>
            <w:r w:rsidRPr="005D4222">
              <w:t xml:space="preserve">Report separate admissions when the transfer is between acute and nonacute levels of service or between mental health/chemical dependency services and non-mental health/chemical dependency services. </w:t>
            </w:r>
          </w:p>
          <w:p w14:paraId="66505BEB" w14:textId="77777777" w:rsidR="008E6686" w:rsidRPr="005D4222" w:rsidRDefault="008E6686" w:rsidP="00A53E8C">
            <w:pPr>
              <w:pStyle w:val="ProcessBullet"/>
            </w:pPr>
            <w:r w:rsidRPr="005D4222">
              <w:t>Count only one admission when the transfer takes place within the same service category, but to a different level of care (e.g., from intensive care to a lesser level of care; from a lesser level of care to intensive care).</w:t>
            </w:r>
          </w:p>
          <w:p w14:paraId="33E34048" w14:textId="77777777" w:rsidR="008E6686" w:rsidRPr="005D4222" w:rsidRDefault="008E6686" w:rsidP="00A53E8C">
            <w:pPr>
              <w:pStyle w:val="ECDSBody"/>
            </w:pPr>
            <w:r w:rsidRPr="005D4222">
              <w:rPr>
                <w:b/>
              </w:rPr>
              <w:t>Risk adjustment:</w:t>
            </w:r>
            <w:r w:rsidRPr="005D4222">
              <w:t xml:space="preserve"> Organizations may not use risk assessment protocols to supplement diagnoses for calculation of the risk adjustment scores for these measures. The measurement model was developed and tested using only claims-based diagnoses and diagnoses from additional data sources would affect the validity of the models as they are currently implemented in the specification. </w:t>
            </w:r>
          </w:p>
          <w:p w14:paraId="3025D1F0" w14:textId="77777777" w:rsidR="008E6686" w:rsidRPr="005D4222" w:rsidRDefault="008E6686" w:rsidP="00A53E8C">
            <w:pPr>
              <w:pStyle w:val="ECDSBody"/>
              <w:rPr>
                <w:b/>
                <w:i/>
              </w:rPr>
            </w:pPr>
            <w:r w:rsidRPr="005D4222">
              <w:rPr>
                <w:b/>
                <w:i/>
              </w:rPr>
              <w:t>General Rules</w:t>
            </w:r>
          </w:p>
          <w:p w14:paraId="35F3BE7A" w14:textId="5ED4CD3E" w:rsidR="008E6686" w:rsidRPr="005D4222" w:rsidRDefault="008E6686" w:rsidP="00A53E8C">
            <w:pPr>
              <w:pStyle w:val="ECDSBody"/>
            </w:pPr>
            <w:r w:rsidRPr="005D4222">
              <w:rPr>
                <w:b/>
              </w:rPr>
              <w:t xml:space="preserve">Data collection methodology: </w:t>
            </w:r>
            <w:r w:rsidRPr="005D4222">
              <w:t>Administrative</w:t>
            </w:r>
            <w:r w:rsidRPr="005D4222">
              <w:rPr>
                <w:bCs w:val="0"/>
              </w:rPr>
              <w:t>.</w:t>
            </w:r>
            <w:r w:rsidRPr="005D4222">
              <w:t xml:space="preserve"> Refer to </w:t>
            </w:r>
            <w:hyperlink w:anchor="General_Guideline_Data_Collection_Method" w:history="1">
              <w:r w:rsidRPr="005D4222">
                <w:rPr>
                  <w:rStyle w:val="Hyperlink"/>
                  <w:i/>
                </w:rPr>
                <w:t>General Guideline: Data Collection Methods</w:t>
              </w:r>
            </w:hyperlink>
            <w:r w:rsidRPr="005D4222">
              <w:t xml:space="preserve"> for additional information.  </w:t>
            </w:r>
          </w:p>
          <w:p w14:paraId="62DF2370" w14:textId="77777777" w:rsidR="008E6686" w:rsidRPr="005D4222" w:rsidRDefault="008E6686" w:rsidP="00A53E8C">
            <w:pPr>
              <w:pStyle w:val="ECDSBody"/>
            </w:pPr>
            <w:r w:rsidRPr="005D4222">
              <w:rPr>
                <w:b/>
              </w:rPr>
              <w:t>Date specificity:</w:t>
            </w:r>
            <w:r w:rsidRPr="005D4222">
              <w:t xml:space="preserve"> Dates must be specific enough to determine the event occurred in the period being measured. </w:t>
            </w:r>
          </w:p>
          <w:p w14:paraId="57F44AF4" w14:textId="0B3962EA" w:rsidR="008E6686" w:rsidRPr="005D4222" w:rsidRDefault="008E6686" w:rsidP="00D66A85">
            <w:pPr>
              <w:pStyle w:val="Body"/>
              <w:spacing w:before="120" w:after="80"/>
            </w:pPr>
            <w:r w:rsidRPr="005D4222">
              <w:rPr>
                <w:b/>
                <w:iCs/>
              </w:rPr>
              <w:t xml:space="preserve">Improvement </w:t>
            </w:r>
            <w:r w:rsidR="00D66A85" w:rsidRPr="005D4222">
              <w:rPr>
                <w:b/>
                <w:iCs/>
              </w:rPr>
              <w:t>n</w:t>
            </w:r>
            <w:r w:rsidRPr="005D4222">
              <w:rPr>
                <w:b/>
                <w:iCs/>
              </w:rPr>
              <w:t>otation</w:t>
            </w:r>
            <w:r w:rsidR="00D66A85" w:rsidRPr="005D4222">
              <w:rPr>
                <w:b/>
                <w:iCs/>
              </w:rPr>
              <w:t xml:space="preserve">: </w:t>
            </w:r>
            <w:r w:rsidRPr="005D4222">
              <w:t xml:space="preserve">To interpret the ratio as better or worse than expected, the ratio must be calibrated. Organizations can calibrate ratios themselves by dividing individual organization ratios or national percentiles by the national average ratio. </w:t>
            </w:r>
          </w:p>
        </w:tc>
      </w:tr>
      <w:tr w:rsidR="008E6686" w:rsidRPr="005D4222" w14:paraId="6370FA97" w14:textId="77777777" w:rsidTr="00A53E8C">
        <w:trPr>
          <w:trHeight w:val="513"/>
        </w:trPr>
        <w:tc>
          <w:tcPr>
            <w:tcW w:w="2157" w:type="dxa"/>
            <w:tcBorders>
              <w:top w:val="single" w:sz="4" w:space="0" w:color="auto"/>
              <w:left w:val="single" w:sz="4" w:space="0" w:color="auto"/>
              <w:right w:val="single" w:sz="4" w:space="0" w:color="auto"/>
            </w:tcBorders>
            <w:tcMar>
              <w:top w:w="0" w:type="dxa"/>
              <w:left w:w="86" w:type="dxa"/>
              <w:bottom w:w="43" w:type="dxa"/>
              <w:right w:w="86" w:type="dxa"/>
            </w:tcMar>
          </w:tcPr>
          <w:p w14:paraId="71B796EC" w14:textId="77777777" w:rsidR="008E6686" w:rsidRPr="005D4222" w:rsidRDefault="008E6686" w:rsidP="00A53E8C">
            <w:pPr>
              <w:pStyle w:val="MarginHead"/>
              <w:rPr>
                <w:szCs w:val="22"/>
              </w:rPr>
            </w:pP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tcPr>
          <w:p w14:paraId="2B25C7DC" w14:textId="77777777" w:rsidR="008E6686" w:rsidRPr="005D4222" w:rsidRDefault="008E6686" w:rsidP="00A53E8C">
            <w:pPr>
              <w:pStyle w:val="ECDSBody"/>
              <w:rPr>
                <w:b/>
                <w:i/>
              </w:rPr>
            </w:pPr>
            <w:r w:rsidRPr="005D4222">
              <w:t>Organizations may be more successful at achieving fewer hospitalizations than expected, given the types of cases treated by the organization (calibrated ratio with a value &lt;1.0) or may be less successful (calibrated ratio with a value &gt;1.0).</w:t>
            </w:r>
          </w:p>
        </w:tc>
      </w:tr>
      <w:tr w:rsidR="008E6686" w:rsidRPr="005D4222" w14:paraId="42F07AD6" w14:textId="77777777" w:rsidTr="00A53E8C">
        <w:tc>
          <w:tcPr>
            <w:tcW w:w="9714" w:type="dxa"/>
            <w:gridSpan w:val="2"/>
            <w:tcBorders>
              <w:top w:val="single" w:sz="4" w:space="0" w:color="auto"/>
              <w:bottom w:val="single" w:sz="4" w:space="0" w:color="auto"/>
            </w:tcBorders>
            <w:shd w:val="clear" w:color="auto" w:fill="BFBFBF" w:themeFill="background1" w:themeFillShade="BF"/>
            <w:tcMar>
              <w:top w:w="0" w:type="dxa"/>
              <w:left w:w="86" w:type="dxa"/>
              <w:bottom w:w="43" w:type="dxa"/>
              <w:right w:w="86" w:type="dxa"/>
            </w:tcMar>
          </w:tcPr>
          <w:p w14:paraId="004A717D" w14:textId="77777777" w:rsidR="008E6686" w:rsidRPr="005D4222" w:rsidRDefault="008E6686" w:rsidP="00A53E8C">
            <w:pPr>
              <w:pStyle w:val="ECDSMarginHead"/>
            </w:pPr>
            <w:r w:rsidRPr="005D4222">
              <w:t>Definitions</w:t>
            </w:r>
          </w:p>
        </w:tc>
      </w:tr>
      <w:tr w:rsidR="008E6686" w:rsidRPr="005D4222" w14:paraId="4BE7D866" w14:textId="77777777" w:rsidTr="00A53E8C">
        <w:tc>
          <w:tcPr>
            <w:tcW w:w="2157" w:type="dxa"/>
            <w:tcBorders>
              <w:top w:val="nil"/>
              <w:bottom w:val="nil"/>
              <w:right w:val="single" w:sz="4" w:space="0" w:color="auto"/>
            </w:tcBorders>
            <w:tcMar>
              <w:top w:w="0" w:type="dxa"/>
              <w:left w:w="86" w:type="dxa"/>
              <w:bottom w:w="43" w:type="dxa"/>
              <w:right w:w="86" w:type="dxa"/>
            </w:tcMar>
          </w:tcPr>
          <w:p w14:paraId="1EA546F3" w14:textId="77777777" w:rsidR="008E6686" w:rsidRPr="005D4222" w:rsidRDefault="008E6686" w:rsidP="00A53E8C">
            <w:pPr>
              <w:pStyle w:val="ECDSMarginSubhead"/>
            </w:pPr>
            <w:r w:rsidRPr="005D4222">
              <w:t>ACSC</w:t>
            </w:r>
          </w:p>
        </w:tc>
        <w:tc>
          <w:tcPr>
            <w:tcW w:w="7557" w:type="dxa"/>
            <w:tcBorders>
              <w:top w:val="nil"/>
              <w:left w:val="nil"/>
              <w:bottom w:val="nil"/>
            </w:tcBorders>
            <w:tcMar>
              <w:top w:w="0" w:type="dxa"/>
              <w:left w:w="86" w:type="dxa"/>
              <w:bottom w:w="43" w:type="dxa"/>
              <w:right w:w="86" w:type="dxa"/>
            </w:tcMar>
          </w:tcPr>
          <w:p w14:paraId="459FAD05" w14:textId="77777777" w:rsidR="008E6686" w:rsidRPr="005D4222" w:rsidRDefault="008E6686" w:rsidP="00A53E8C">
            <w:pPr>
              <w:pStyle w:val="ECDSBody"/>
            </w:pPr>
            <w:r w:rsidRPr="005D4222">
              <w:t>Ambulatory care sensitive condition. An acute or chronic health condition that can be managed or treated in an outpatient setting. The ambulatory care conditions included in this measure are:</w:t>
            </w:r>
          </w:p>
          <w:p w14:paraId="19BD835E" w14:textId="77777777" w:rsidR="008E6686" w:rsidRPr="005D4222" w:rsidRDefault="008E6686" w:rsidP="008E6686">
            <w:pPr>
              <w:pStyle w:val="Bullet"/>
              <w:numPr>
                <w:ilvl w:val="0"/>
                <w:numId w:val="4"/>
              </w:numPr>
              <w:tabs>
                <w:tab w:val="left" w:pos="360"/>
                <w:tab w:val="left" w:pos="576"/>
              </w:tabs>
              <w:ind w:left="576" w:hanging="216"/>
              <w:rPr>
                <w:i/>
                <w:iCs/>
              </w:rPr>
            </w:pPr>
            <w:r w:rsidRPr="005D4222">
              <w:rPr>
                <w:i/>
                <w:iCs/>
              </w:rPr>
              <w:t xml:space="preserve">Chronic ACSC: </w:t>
            </w:r>
            <w:r w:rsidRPr="005D4222">
              <w:t>diabetes short-term complications; diabetes long-term complications; uncontrolled diabetes; lower-extremity amputation among patients with diabetes; COPD; asthma; hypertension; heart failure.</w:t>
            </w:r>
          </w:p>
          <w:p w14:paraId="16656BDE" w14:textId="77777777" w:rsidR="008E6686" w:rsidRPr="005D4222" w:rsidRDefault="008E6686" w:rsidP="008E6686">
            <w:pPr>
              <w:pStyle w:val="Bullet"/>
              <w:numPr>
                <w:ilvl w:val="0"/>
                <w:numId w:val="4"/>
              </w:numPr>
              <w:tabs>
                <w:tab w:val="left" w:pos="360"/>
                <w:tab w:val="left" w:pos="576"/>
              </w:tabs>
              <w:ind w:left="576" w:hanging="216"/>
              <w:rPr>
                <w:i/>
                <w:iCs/>
              </w:rPr>
            </w:pPr>
            <w:r w:rsidRPr="005D4222">
              <w:rPr>
                <w:i/>
                <w:iCs/>
              </w:rPr>
              <w:t xml:space="preserve">Acute ACSC: </w:t>
            </w:r>
            <w:r w:rsidRPr="005D4222">
              <w:t>Bacterial pneumonia; urinary tract infection; cellulitis; severe pressure ulcers.</w:t>
            </w:r>
          </w:p>
        </w:tc>
      </w:tr>
      <w:tr w:rsidR="008E6686" w:rsidRPr="005D4222" w14:paraId="7936C2AB" w14:textId="77777777" w:rsidTr="00A53E8C">
        <w:tc>
          <w:tcPr>
            <w:tcW w:w="2157" w:type="dxa"/>
            <w:tcBorders>
              <w:top w:val="nil"/>
              <w:bottom w:val="nil"/>
              <w:right w:val="single" w:sz="4" w:space="0" w:color="auto"/>
            </w:tcBorders>
            <w:tcMar>
              <w:top w:w="0" w:type="dxa"/>
              <w:left w:w="86" w:type="dxa"/>
              <w:bottom w:w="43" w:type="dxa"/>
              <w:right w:w="86" w:type="dxa"/>
            </w:tcMar>
          </w:tcPr>
          <w:p w14:paraId="1865961A" w14:textId="77777777" w:rsidR="008E6686" w:rsidRPr="005D4222" w:rsidRDefault="008E6686" w:rsidP="00DF6667">
            <w:pPr>
              <w:pStyle w:val="ECDSMarginSubhead"/>
              <w:spacing w:after="0"/>
            </w:pPr>
            <w:r w:rsidRPr="005D4222">
              <w:t>Acute ACSC outlier</w:t>
            </w:r>
          </w:p>
        </w:tc>
        <w:tc>
          <w:tcPr>
            <w:tcW w:w="7557" w:type="dxa"/>
            <w:tcBorders>
              <w:top w:val="nil"/>
              <w:left w:val="nil"/>
              <w:bottom w:val="nil"/>
            </w:tcBorders>
            <w:tcMar>
              <w:top w:w="0" w:type="dxa"/>
              <w:left w:w="86" w:type="dxa"/>
              <w:bottom w:w="43" w:type="dxa"/>
              <w:right w:w="86" w:type="dxa"/>
            </w:tcMar>
          </w:tcPr>
          <w:p w14:paraId="0C3C1D25" w14:textId="77777777" w:rsidR="008E6686" w:rsidRPr="005D4222" w:rsidRDefault="008E6686" w:rsidP="00DF6667">
            <w:pPr>
              <w:pStyle w:val="ECDSBody"/>
              <w:spacing w:after="0"/>
            </w:pPr>
            <w:r w:rsidRPr="005D4222">
              <w:t>Persons with three or more inpatient or observation stay acute ACSCs during the measurement period.</w:t>
            </w:r>
          </w:p>
        </w:tc>
      </w:tr>
      <w:tr w:rsidR="008E6686" w:rsidRPr="005D4222" w14:paraId="6441CCFF" w14:textId="77777777" w:rsidTr="00A53E8C">
        <w:tc>
          <w:tcPr>
            <w:tcW w:w="2157" w:type="dxa"/>
            <w:tcBorders>
              <w:top w:val="nil"/>
              <w:bottom w:val="nil"/>
              <w:right w:val="single" w:sz="4" w:space="0" w:color="auto"/>
            </w:tcBorders>
            <w:tcMar>
              <w:top w:w="0" w:type="dxa"/>
              <w:left w:w="86" w:type="dxa"/>
              <w:bottom w:w="43" w:type="dxa"/>
              <w:right w:w="86" w:type="dxa"/>
            </w:tcMar>
          </w:tcPr>
          <w:p w14:paraId="44D71D19" w14:textId="77777777" w:rsidR="008E6686" w:rsidRPr="005D4222" w:rsidRDefault="008E6686" w:rsidP="00DF6667">
            <w:pPr>
              <w:pStyle w:val="ECDSMarginSubhead"/>
              <w:spacing w:after="0"/>
            </w:pPr>
            <w:r w:rsidRPr="005D4222">
              <w:t>Acute ACSC nonoutlier</w:t>
            </w:r>
          </w:p>
        </w:tc>
        <w:tc>
          <w:tcPr>
            <w:tcW w:w="7557" w:type="dxa"/>
            <w:tcBorders>
              <w:top w:val="nil"/>
              <w:left w:val="nil"/>
              <w:bottom w:val="nil"/>
            </w:tcBorders>
            <w:tcMar>
              <w:top w:w="0" w:type="dxa"/>
              <w:left w:w="86" w:type="dxa"/>
              <w:bottom w:w="43" w:type="dxa"/>
              <w:right w:w="86" w:type="dxa"/>
            </w:tcMar>
          </w:tcPr>
          <w:p w14:paraId="0B840F0B" w14:textId="77777777" w:rsidR="008E6686" w:rsidRPr="005D4222" w:rsidRDefault="008E6686" w:rsidP="00DF6667">
            <w:pPr>
              <w:pStyle w:val="ECDSBody"/>
              <w:spacing w:after="0"/>
            </w:pPr>
            <w:r w:rsidRPr="005D4222">
              <w:t>Persons with two or fewer inpatient or observation stay acute ACSCs during the measurement period.</w:t>
            </w:r>
          </w:p>
        </w:tc>
      </w:tr>
      <w:tr w:rsidR="008E6686" w:rsidRPr="005D4222" w14:paraId="7E05F361" w14:textId="77777777" w:rsidTr="00A53E8C">
        <w:tc>
          <w:tcPr>
            <w:tcW w:w="2157" w:type="dxa"/>
            <w:tcBorders>
              <w:top w:val="nil"/>
              <w:bottom w:val="nil"/>
              <w:right w:val="single" w:sz="4" w:space="0" w:color="auto"/>
            </w:tcBorders>
            <w:tcMar>
              <w:top w:w="0" w:type="dxa"/>
              <w:left w:w="86" w:type="dxa"/>
              <w:bottom w:w="43" w:type="dxa"/>
              <w:right w:w="86" w:type="dxa"/>
            </w:tcMar>
          </w:tcPr>
          <w:p w14:paraId="4B622EB9" w14:textId="77777777" w:rsidR="008E6686" w:rsidRPr="005D4222" w:rsidRDefault="008E6686" w:rsidP="00DF6667">
            <w:pPr>
              <w:pStyle w:val="ECDSMarginSubhead"/>
              <w:spacing w:after="0"/>
            </w:pPr>
            <w:r w:rsidRPr="005D4222">
              <w:t>Chronic ACSC outlier</w:t>
            </w:r>
          </w:p>
        </w:tc>
        <w:tc>
          <w:tcPr>
            <w:tcW w:w="7557" w:type="dxa"/>
            <w:tcBorders>
              <w:top w:val="nil"/>
              <w:left w:val="nil"/>
              <w:bottom w:val="nil"/>
            </w:tcBorders>
            <w:tcMar>
              <w:top w:w="0" w:type="dxa"/>
              <w:left w:w="86" w:type="dxa"/>
              <w:bottom w:w="43" w:type="dxa"/>
              <w:right w:w="86" w:type="dxa"/>
            </w:tcMar>
          </w:tcPr>
          <w:p w14:paraId="10A7521E" w14:textId="77777777" w:rsidR="008E6686" w:rsidRPr="005D4222" w:rsidRDefault="008E6686" w:rsidP="00DF6667">
            <w:pPr>
              <w:pStyle w:val="ECDSBody"/>
              <w:spacing w:after="0"/>
            </w:pPr>
            <w:r w:rsidRPr="005D4222">
              <w:t>Persons with three or more inpatient or observation stay chronic ACSCs during the measurement period.</w:t>
            </w:r>
          </w:p>
        </w:tc>
      </w:tr>
      <w:tr w:rsidR="008E6686" w:rsidRPr="005D4222" w14:paraId="70D650E2" w14:textId="77777777" w:rsidTr="00A53E8C">
        <w:tc>
          <w:tcPr>
            <w:tcW w:w="2157" w:type="dxa"/>
            <w:tcBorders>
              <w:top w:val="nil"/>
              <w:bottom w:val="nil"/>
              <w:right w:val="single" w:sz="4" w:space="0" w:color="auto"/>
            </w:tcBorders>
            <w:tcMar>
              <w:top w:w="0" w:type="dxa"/>
              <w:left w:w="86" w:type="dxa"/>
              <w:bottom w:w="43" w:type="dxa"/>
              <w:right w:w="86" w:type="dxa"/>
            </w:tcMar>
          </w:tcPr>
          <w:p w14:paraId="4556D011" w14:textId="77777777" w:rsidR="008E6686" w:rsidRPr="005D4222" w:rsidRDefault="008E6686" w:rsidP="00DF6667">
            <w:pPr>
              <w:pStyle w:val="ECDSMarginSubhead"/>
              <w:spacing w:after="0"/>
            </w:pPr>
            <w:r w:rsidRPr="005D4222">
              <w:t>Chronic ACSC nonoutlier</w:t>
            </w:r>
          </w:p>
        </w:tc>
        <w:tc>
          <w:tcPr>
            <w:tcW w:w="7557" w:type="dxa"/>
            <w:tcBorders>
              <w:top w:val="nil"/>
              <w:left w:val="nil"/>
              <w:bottom w:val="nil"/>
            </w:tcBorders>
            <w:tcMar>
              <w:top w:w="0" w:type="dxa"/>
              <w:left w:w="86" w:type="dxa"/>
              <w:bottom w:w="43" w:type="dxa"/>
              <w:right w:w="86" w:type="dxa"/>
            </w:tcMar>
          </w:tcPr>
          <w:p w14:paraId="2E78F185" w14:textId="77777777" w:rsidR="008E6686" w:rsidRPr="005D4222" w:rsidRDefault="008E6686" w:rsidP="00DF6667">
            <w:pPr>
              <w:pStyle w:val="ECDSBody"/>
              <w:spacing w:after="0"/>
            </w:pPr>
            <w:r w:rsidRPr="005D4222">
              <w:t>Persons with two or fewer inpatient or observation stay chronic ACSCs during the measurement period.</w:t>
            </w:r>
          </w:p>
        </w:tc>
      </w:tr>
      <w:tr w:rsidR="008E6686" w:rsidRPr="005D4222" w14:paraId="3DFDA842" w14:textId="77777777" w:rsidTr="00A53E8C">
        <w:tc>
          <w:tcPr>
            <w:tcW w:w="2157" w:type="dxa"/>
            <w:tcBorders>
              <w:top w:val="nil"/>
              <w:bottom w:val="nil"/>
              <w:right w:val="single" w:sz="4" w:space="0" w:color="auto"/>
            </w:tcBorders>
            <w:tcMar>
              <w:top w:w="0" w:type="dxa"/>
              <w:left w:w="86" w:type="dxa"/>
              <w:bottom w:w="43" w:type="dxa"/>
              <w:right w:w="86" w:type="dxa"/>
            </w:tcMar>
          </w:tcPr>
          <w:p w14:paraId="68E9D893" w14:textId="77777777" w:rsidR="008E6686" w:rsidRPr="005D4222" w:rsidRDefault="008E6686" w:rsidP="00A53E8C">
            <w:pPr>
              <w:pStyle w:val="ECDSMarginSubhead"/>
            </w:pPr>
            <w:r w:rsidRPr="005D4222">
              <w:t>Direct transfer</w:t>
            </w:r>
          </w:p>
        </w:tc>
        <w:tc>
          <w:tcPr>
            <w:tcW w:w="7557" w:type="dxa"/>
            <w:tcBorders>
              <w:top w:val="nil"/>
              <w:left w:val="nil"/>
              <w:bottom w:val="nil"/>
            </w:tcBorders>
            <w:tcMar>
              <w:top w:w="0" w:type="dxa"/>
              <w:left w:w="86" w:type="dxa"/>
              <w:bottom w:w="43" w:type="dxa"/>
              <w:right w:w="86" w:type="dxa"/>
            </w:tcMar>
          </w:tcPr>
          <w:p w14:paraId="6E265D96" w14:textId="77777777" w:rsidR="008E6686" w:rsidRPr="005D4222" w:rsidRDefault="008E6686" w:rsidP="00A53E8C">
            <w:pPr>
              <w:pStyle w:val="ECDSBody"/>
            </w:pPr>
            <w:r w:rsidRPr="005D4222">
              <w:t xml:space="preserve">When the discharge date from the initial stay precedes the admission date to a subsequent stay by one calendar day or less. </w:t>
            </w:r>
          </w:p>
          <w:p w14:paraId="50E129B2" w14:textId="77777777" w:rsidR="008E6686" w:rsidRPr="005D4222" w:rsidRDefault="008E6686" w:rsidP="008E6686">
            <w:pPr>
              <w:pStyle w:val="Bullet"/>
              <w:numPr>
                <w:ilvl w:val="0"/>
                <w:numId w:val="4"/>
              </w:numPr>
              <w:tabs>
                <w:tab w:val="left" w:pos="360"/>
                <w:tab w:val="left" w:pos="576"/>
              </w:tabs>
              <w:ind w:left="576" w:hanging="216"/>
              <w:rPr>
                <w:i/>
                <w:iCs/>
              </w:rPr>
            </w:pPr>
            <w:r w:rsidRPr="005D4222">
              <w:rPr>
                <w:i/>
                <w:iCs/>
              </w:rPr>
              <w:t>For example:</w:t>
            </w:r>
          </w:p>
          <w:p w14:paraId="69096236" w14:textId="77777777" w:rsidR="008E6686" w:rsidRPr="005D4222" w:rsidRDefault="008E6686" w:rsidP="008E6686">
            <w:pPr>
              <w:pStyle w:val="Dash"/>
              <w:tabs>
                <w:tab w:val="left" w:pos="576"/>
                <w:tab w:val="left" w:pos="792"/>
              </w:tabs>
            </w:pPr>
            <w:r w:rsidRPr="005D4222">
              <w:t xml:space="preserve">A discharge on June 1, followed by a subsequent admission on June 1 or June 2, </w:t>
            </w:r>
            <w:r w:rsidRPr="005D4222">
              <w:rPr>
                <w:i/>
              </w:rPr>
              <w:t>is a direct transfer</w:t>
            </w:r>
            <w:r w:rsidRPr="005D4222">
              <w:t>.</w:t>
            </w:r>
          </w:p>
          <w:p w14:paraId="28099593" w14:textId="77777777" w:rsidR="008E6686" w:rsidRPr="005D4222" w:rsidRDefault="008E6686" w:rsidP="008E6686">
            <w:pPr>
              <w:pStyle w:val="Dash"/>
              <w:tabs>
                <w:tab w:val="left" w:pos="576"/>
                <w:tab w:val="left" w:pos="792"/>
              </w:tabs>
            </w:pPr>
            <w:r w:rsidRPr="005D4222">
              <w:t xml:space="preserve">A discharge on June 1, followed by a subsequent admission on </w:t>
            </w:r>
            <w:r w:rsidRPr="005D4222">
              <w:br/>
              <w:t>June 3,</w:t>
            </w:r>
            <w:r w:rsidRPr="005D4222">
              <w:rPr>
                <w:i/>
              </w:rPr>
              <w:t xml:space="preserve"> is not a direct transfer;</w:t>
            </w:r>
            <w:r w:rsidRPr="005D4222">
              <w:t xml:space="preserve"> these are two distinct stays.</w:t>
            </w:r>
          </w:p>
          <w:p w14:paraId="12BBE7B8" w14:textId="77777777" w:rsidR="008E6686" w:rsidRPr="005D4222" w:rsidRDefault="008E6686" w:rsidP="008E6686">
            <w:pPr>
              <w:pStyle w:val="Dash"/>
              <w:tabs>
                <w:tab w:val="left" w:pos="576"/>
                <w:tab w:val="left" w:pos="792"/>
              </w:tabs>
            </w:pPr>
            <w:r w:rsidRPr="005D4222">
              <w:t>A discharge on June 1, followed by a subsequent admission on June 2 (with discharge on June 3), followed by a subsequent admission on June 4,</w:t>
            </w:r>
            <w:r w:rsidRPr="005D4222">
              <w:rPr>
                <w:i/>
              </w:rPr>
              <w:t xml:space="preserve"> is a direct transfer.</w:t>
            </w:r>
          </w:p>
          <w:p w14:paraId="4DB543FA" w14:textId="77777777" w:rsidR="008E6686" w:rsidRPr="005D4222" w:rsidRDefault="008E6686" w:rsidP="00A53E8C">
            <w:pPr>
              <w:pStyle w:val="ECDSBody"/>
              <w:spacing w:after="0"/>
            </w:pPr>
            <w:r w:rsidRPr="005D4222">
              <w:t>Direct transfers may occur between different facilities, and between acute inpatient and observation.</w:t>
            </w:r>
          </w:p>
        </w:tc>
      </w:tr>
      <w:tr w:rsidR="008E6686" w:rsidRPr="005D4222" w14:paraId="6DCB0B85"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472CCF08" w14:textId="77777777" w:rsidR="008E6686" w:rsidRPr="005D4222" w:rsidRDefault="008E6686" w:rsidP="00DF6667">
            <w:pPr>
              <w:pStyle w:val="ECDSMarginSubhead"/>
              <w:spacing w:after="0"/>
            </w:pPr>
            <w:r w:rsidRPr="005D4222">
              <w:rPr>
                <w:szCs w:val="22"/>
              </w:rPr>
              <w:t>PPD</w:t>
            </w:r>
          </w:p>
        </w:tc>
        <w:tc>
          <w:tcPr>
            <w:tcW w:w="7557" w:type="dxa"/>
            <w:tcBorders>
              <w:top w:val="nil"/>
              <w:left w:val="single" w:sz="4" w:space="0" w:color="auto"/>
              <w:bottom w:val="nil"/>
            </w:tcBorders>
            <w:tcMar>
              <w:top w:w="0" w:type="dxa"/>
              <w:left w:w="86" w:type="dxa"/>
              <w:bottom w:w="43" w:type="dxa"/>
              <w:right w:w="86" w:type="dxa"/>
            </w:tcMar>
          </w:tcPr>
          <w:p w14:paraId="1D0F44B1" w14:textId="77777777" w:rsidR="008E6686" w:rsidRPr="005D4222" w:rsidRDefault="008E6686" w:rsidP="00DF6667">
            <w:pPr>
              <w:pStyle w:val="ECDSBody"/>
              <w:spacing w:after="0"/>
            </w:pPr>
            <w:r w:rsidRPr="005D4222">
              <w:t>Predicted probability of discharge. The predicted probability of a person having any discharge in the measurement period.</w:t>
            </w:r>
          </w:p>
        </w:tc>
      </w:tr>
      <w:tr w:rsidR="008E6686" w:rsidRPr="005D4222" w14:paraId="714798DA"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2185E9A0" w14:textId="77777777" w:rsidR="008E6686" w:rsidRPr="005D4222" w:rsidRDefault="008E6686" w:rsidP="00DF6667">
            <w:pPr>
              <w:pStyle w:val="ECDSMarginSubhead"/>
              <w:spacing w:after="0"/>
            </w:pPr>
            <w:r w:rsidRPr="005D4222">
              <w:rPr>
                <w:szCs w:val="22"/>
              </w:rPr>
              <w:t>PUCD</w:t>
            </w:r>
          </w:p>
        </w:tc>
        <w:tc>
          <w:tcPr>
            <w:tcW w:w="7557" w:type="dxa"/>
            <w:tcBorders>
              <w:top w:val="nil"/>
              <w:left w:val="single" w:sz="4" w:space="0" w:color="auto"/>
              <w:bottom w:val="nil"/>
            </w:tcBorders>
            <w:tcMar>
              <w:top w:w="0" w:type="dxa"/>
              <w:left w:w="86" w:type="dxa"/>
              <w:bottom w:w="43" w:type="dxa"/>
              <w:right w:w="86" w:type="dxa"/>
            </w:tcMar>
          </w:tcPr>
          <w:p w14:paraId="29605FCA" w14:textId="77777777" w:rsidR="008E6686" w:rsidRPr="005D4222" w:rsidRDefault="008E6686" w:rsidP="00DF6667">
            <w:pPr>
              <w:pStyle w:val="ECDSBody"/>
              <w:spacing w:after="0"/>
            </w:pPr>
            <w:r w:rsidRPr="005D4222">
              <w:t>Predicted unconditional count of discharges. The predicted unconditional count of discharges for persons during the measurement period.</w:t>
            </w:r>
          </w:p>
        </w:tc>
      </w:tr>
      <w:tr w:rsidR="008E6686" w:rsidRPr="005D4222" w14:paraId="480AA53D"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62BFE68B" w14:textId="77777777" w:rsidR="008E6686" w:rsidRPr="005D4222" w:rsidRDefault="008E6686" w:rsidP="00DF6667">
            <w:pPr>
              <w:pStyle w:val="ECDSMarginSubhead"/>
              <w:spacing w:after="0"/>
            </w:pPr>
            <w:r w:rsidRPr="005D4222">
              <w:t>Total ACSC outlier</w:t>
            </w:r>
          </w:p>
        </w:tc>
        <w:tc>
          <w:tcPr>
            <w:tcW w:w="7557" w:type="dxa"/>
            <w:tcBorders>
              <w:top w:val="nil"/>
              <w:left w:val="single" w:sz="4" w:space="0" w:color="auto"/>
              <w:bottom w:val="nil"/>
            </w:tcBorders>
            <w:tcMar>
              <w:top w:w="0" w:type="dxa"/>
              <w:left w:w="86" w:type="dxa"/>
              <w:bottom w:w="43" w:type="dxa"/>
              <w:right w:w="86" w:type="dxa"/>
            </w:tcMar>
          </w:tcPr>
          <w:p w14:paraId="76FC4C5E" w14:textId="77777777" w:rsidR="008E6686" w:rsidRPr="005D4222" w:rsidRDefault="008E6686" w:rsidP="00DF6667">
            <w:pPr>
              <w:pStyle w:val="ECDSBody"/>
              <w:spacing w:after="0"/>
            </w:pPr>
            <w:r w:rsidRPr="005D4222">
              <w:t>Persons classified as either a chronic ACSC outlier or an acute ACSC outlier.</w:t>
            </w:r>
          </w:p>
        </w:tc>
      </w:tr>
      <w:tr w:rsidR="008E6686" w:rsidRPr="005D4222" w14:paraId="10BC33E1" w14:textId="77777777" w:rsidTr="00A53E8C">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5B71EEFF" w14:textId="77777777" w:rsidR="008E6686" w:rsidRPr="005D4222" w:rsidRDefault="008E6686" w:rsidP="00A53E8C">
            <w:pPr>
              <w:pStyle w:val="ECDSMarginSubhead"/>
            </w:pPr>
            <w:r w:rsidRPr="005D4222">
              <w:t>Total ACSC nonoutlier</w:t>
            </w:r>
          </w:p>
        </w:tc>
        <w:tc>
          <w:tcPr>
            <w:tcW w:w="7557" w:type="dxa"/>
            <w:tcBorders>
              <w:top w:val="nil"/>
              <w:left w:val="nil"/>
              <w:bottom w:val="single" w:sz="4" w:space="0" w:color="auto"/>
            </w:tcBorders>
            <w:tcMar>
              <w:top w:w="0" w:type="dxa"/>
              <w:left w:w="86" w:type="dxa"/>
              <w:bottom w:w="43" w:type="dxa"/>
              <w:right w:w="86" w:type="dxa"/>
            </w:tcMar>
          </w:tcPr>
          <w:p w14:paraId="3CEAA4AC" w14:textId="77777777" w:rsidR="008E6686" w:rsidRPr="005D4222" w:rsidRDefault="008E6686" w:rsidP="00A53E8C">
            <w:pPr>
              <w:pStyle w:val="ECDSBody"/>
            </w:pPr>
            <w:r w:rsidRPr="005D4222">
              <w:t>Persons who are not classified as a chronic ACSC outlier and an acute ACSC outlier.</w:t>
            </w:r>
          </w:p>
        </w:tc>
      </w:tr>
    </w:tbl>
    <w:p w14:paraId="1F1EE69A" w14:textId="77777777" w:rsidR="008E6686" w:rsidRPr="005D4222" w:rsidRDefault="008E6686" w:rsidP="008E6686"/>
    <w:tbl>
      <w:tblPr>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8E6686" w:rsidRPr="005D4222" w14:paraId="3B0C6B94" w14:textId="77777777" w:rsidTr="00A53E8C">
        <w:tc>
          <w:tcPr>
            <w:tcW w:w="215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7F816DB2" w14:textId="77777777" w:rsidR="008E6686" w:rsidRPr="005D4222" w:rsidRDefault="008E6686" w:rsidP="00A53E8C">
            <w:pPr>
              <w:pStyle w:val="ECDSMarginHead"/>
            </w:pPr>
            <w:r w:rsidRPr="005D4222">
              <w:lastRenderedPageBreak/>
              <w:t>Initial population</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35A3802" w14:textId="77777777" w:rsidR="008E6686" w:rsidRPr="005D4222" w:rsidRDefault="008E6686" w:rsidP="00A53E8C">
            <w:pPr>
              <w:pStyle w:val="ECDSBody"/>
            </w:pPr>
            <w:r w:rsidRPr="005D4222">
              <w:rPr>
                <w:i/>
                <w:iCs/>
              </w:rPr>
              <w:t xml:space="preserve">Measure item count: </w:t>
            </w:r>
            <w:r w:rsidRPr="005D4222">
              <w:t>Persons.</w:t>
            </w:r>
          </w:p>
          <w:p w14:paraId="57235F65" w14:textId="77777777" w:rsidR="008E6686" w:rsidRPr="005D4222" w:rsidRDefault="008E6686" w:rsidP="00A53E8C">
            <w:pPr>
              <w:pStyle w:val="ECDSBody"/>
            </w:pPr>
            <w:r w:rsidRPr="005D4222">
              <w:rPr>
                <w:i/>
                <w:iCs/>
              </w:rPr>
              <w:t>Attribution basis:</w:t>
            </w:r>
            <w:r w:rsidRPr="005D4222">
              <w:t xml:space="preserve"> Enrollment.</w:t>
            </w:r>
          </w:p>
          <w:p w14:paraId="030F8827" w14:textId="77777777" w:rsidR="008E6686" w:rsidRPr="005D4222" w:rsidRDefault="008E6686" w:rsidP="008E6686">
            <w:pPr>
              <w:pStyle w:val="Bullet"/>
              <w:numPr>
                <w:ilvl w:val="0"/>
                <w:numId w:val="4"/>
              </w:numPr>
              <w:tabs>
                <w:tab w:val="left" w:pos="360"/>
                <w:tab w:val="left" w:pos="576"/>
              </w:tabs>
              <w:ind w:left="576" w:hanging="216"/>
            </w:pPr>
            <w:r w:rsidRPr="005D4222">
              <w:rPr>
                <w:bCs/>
                <w:i/>
                <w:iCs/>
              </w:rPr>
              <w:t>Benefits:</w:t>
            </w:r>
            <w:r w:rsidRPr="005D4222">
              <w:t xml:space="preserve"> Medical.</w:t>
            </w:r>
          </w:p>
          <w:p w14:paraId="05E6E736" w14:textId="77777777" w:rsidR="008E6686" w:rsidRPr="005D4222" w:rsidRDefault="008E6686" w:rsidP="008E6686">
            <w:pPr>
              <w:pStyle w:val="Bullet"/>
              <w:numPr>
                <w:ilvl w:val="0"/>
                <w:numId w:val="4"/>
              </w:numPr>
              <w:tabs>
                <w:tab w:val="left" w:pos="360"/>
                <w:tab w:val="left" w:pos="576"/>
              </w:tabs>
              <w:ind w:left="576" w:hanging="216"/>
            </w:pPr>
            <w:r w:rsidRPr="005D4222">
              <w:rPr>
                <w:bCs/>
                <w:i/>
                <w:iCs/>
              </w:rPr>
              <w:t xml:space="preserve">Continuous enrollment: </w:t>
            </w:r>
            <w:r w:rsidRPr="005D4222">
              <w:t>The measurement period and the year prior to the measurement period.</w:t>
            </w:r>
          </w:p>
          <w:p w14:paraId="0640A816" w14:textId="77777777" w:rsidR="008E6686" w:rsidRPr="005D4222" w:rsidRDefault="008E6686" w:rsidP="008E6686">
            <w:pPr>
              <w:pStyle w:val="Bullet"/>
              <w:numPr>
                <w:ilvl w:val="0"/>
                <w:numId w:val="4"/>
              </w:numPr>
              <w:tabs>
                <w:tab w:val="left" w:pos="360"/>
                <w:tab w:val="left" w:pos="576"/>
              </w:tabs>
              <w:ind w:left="576" w:hanging="216"/>
              <w:rPr>
                <w:bCs/>
                <w:i/>
                <w:iCs/>
              </w:rPr>
            </w:pPr>
            <w:r w:rsidRPr="005D4222">
              <w:rPr>
                <w:bCs/>
                <w:i/>
                <w:iCs/>
              </w:rPr>
              <w:t>Allowable gap:</w:t>
            </w:r>
            <w:r w:rsidRPr="005D4222">
              <w:t xml:space="preserve"> </w:t>
            </w:r>
            <w:r w:rsidRPr="005D4222">
              <w:rPr>
                <w:bCs/>
              </w:rPr>
              <w:t>No more than one gap of ≤45 days during each year of continuous enrollment. No gaps on the last day of the measurement period. </w:t>
            </w:r>
          </w:p>
          <w:p w14:paraId="797D1791" w14:textId="77777777" w:rsidR="008E6686" w:rsidRPr="005D4222" w:rsidRDefault="008E6686" w:rsidP="00A53E8C">
            <w:pPr>
              <w:pStyle w:val="ECDSBody"/>
              <w:rPr>
                <w:bCs w:val="0"/>
              </w:rPr>
            </w:pPr>
            <w:r w:rsidRPr="005D4222">
              <w:rPr>
                <w:i/>
                <w:iCs/>
              </w:rPr>
              <w:t>Ages:</w:t>
            </w:r>
            <w:r w:rsidRPr="005D4222">
              <w:t xml:space="preserve"> 67 years of age and older as of the last day of the measurement period </w:t>
            </w:r>
          </w:p>
          <w:p w14:paraId="4EFE007A" w14:textId="77777777" w:rsidR="008E6686" w:rsidRPr="005D4222" w:rsidRDefault="008E6686" w:rsidP="00A53E8C">
            <w:pPr>
              <w:pStyle w:val="ECDSBody"/>
              <w:rPr>
                <w:i/>
                <w:iCs/>
              </w:rPr>
            </w:pPr>
            <w:r w:rsidRPr="005D4222">
              <w:rPr>
                <w:i/>
                <w:iCs/>
              </w:rPr>
              <w:t xml:space="preserve">Gender/sex criteria: </w:t>
            </w:r>
          </w:p>
          <w:p w14:paraId="0165235D" w14:textId="77777777" w:rsidR="008E6686" w:rsidRPr="005D4222" w:rsidRDefault="008E6686" w:rsidP="008E6686">
            <w:pPr>
              <w:pStyle w:val="Bullet"/>
              <w:numPr>
                <w:ilvl w:val="0"/>
                <w:numId w:val="4"/>
              </w:numPr>
              <w:tabs>
                <w:tab w:val="left" w:pos="360"/>
                <w:tab w:val="left" w:pos="576"/>
              </w:tabs>
              <w:ind w:left="576" w:hanging="216"/>
              <w:rPr>
                <w:iCs/>
              </w:rPr>
            </w:pPr>
            <w:r w:rsidRPr="005D4222">
              <w:rPr>
                <w:iCs/>
              </w:rPr>
              <w:t>Administrative Gender of Female (AdministrativeGender code female).</w:t>
            </w:r>
          </w:p>
          <w:p w14:paraId="200A4E80" w14:textId="77777777" w:rsidR="008E6686" w:rsidRPr="005D4222" w:rsidRDefault="008E6686" w:rsidP="008E6686">
            <w:pPr>
              <w:pStyle w:val="Bullet"/>
              <w:numPr>
                <w:ilvl w:val="0"/>
                <w:numId w:val="4"/>
              </w:numPr>
              <w:tabs>
                <w:tab w:val="left" w:pos="360"/>
                <w:tab w:val="left" w:pos="576"/>
              </w:tabs>
              <w:spacing w:after="80"/>
              <w:ind w:left="576" w:hanging="216"/>
            </w:pPr>
            <w:r w:rsidRPr="005D4222">
              <w:rPr>
                <w:iCs/>
              </w:rPr>
              <w:t xml:space="preserve">Administrative Gender of </w:t>
            </w:r>
            <w:r w:rsidRPr="005D4222">
              <w:t>Male (AdministrativeGender code male).</w:t>
            </w:r>
          </w:p>
          <w:p w14:paraId="4BA07B92" w14:textId="77777777" w:rsidR="00DD2AF7" w:rsidRPr="005D4222" w:rsidRDefault="008E6686" w:rsidP="00A53E8C">
            <w:pPr>
              <w:pStyle w:val="ECDSBody"/>
              <w:rPr>
                <w:rFonts w:eastAsia="Arial,Arial,Arial,Arial,Arial,A"/>
                <w:b/>
              </w:rPr>
            </w:pPr>
            <w:r w:rsidRPr="005D4222">
              <w:rPr>
                <w:i/>
              </w:rPr>
              <w:t xml:space="preserve">Exclusions: </w:t>
            </w:r>
            <w:r w:rsidRPr="005D4222" w:rsidDel="002D4AA7">
              <w:rPr>
                <w:rFonts w:eastAsia="Arial,Arial,Arial,Arial,Arial,A"/>
                <w:b/>
              </w:rPr>
              <w:t xml:space="preserve">Persons </w:t>
            </w:r>
            <w:r w:rsidRPr="005D4222">
              <w:rPr>
                <w:rFonts w:eastAsia="Arial,Arial,Arial,Arial,Arial,A"/>
                <w:b/>
              </w:rPr>
              <w:t>in hospice or using hospice services.</w:t>
            </w:r>
          </w:p>
          <w:p w14:paraId="2866FD26" w14:textId="42BC4499" w:rsidR="008E6686" w:rsidRPr="005D4222" w:rsidRDefault="008E6686" w:rsidP="00A53E8C">
            <w:pPr>
              <w:pStyle w:val="ECDSBody"/>
              <w:rPr>
                <w:bCs w:val="0"/>
                <w:i/>
                <w:iCs/>
                <w:kern w:val="24"/>
              </w:rPr>
            </w:pP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120A6330" w14:textId="77777777" w:rsidR="008E6686" w:rsidRPr="005D4222" w:rsidRDefault="008E6686" w:rsidP="00A53E8C">
            <w:pPr>
              <w:pStyle w:val="ECDSBody"/>
              <w:rPr>
                <w:b/>
                <w:bCs w:val="0"/>
              </w:rPr>
            </w:pPr>
            <w:r w:rsidRPr="005D4222">
              <w:rPr>
                <w:b/>
              </w:rPr>
              <w:t>Medicare enrollees in an institutional SNP (I-SNP) or living long-term in an institution (LTI).</w:t>
            </w:r>
          </w:p>
          <w:p w14:paraId="338BEDBF" w14:textId="77777777" w:rsidR="008E6686" w:rsidRPr="005D4222" w:rsidRDefault="008E6686" w:rsidP="00A53E8C">
            <w:pPr>
              <w:pStyle w:val="ProcessBullet"/>
            </w:pPr>
            <w:r w:rsidRPr="005D4222">
              <w:t>Enrolled in an I-SNP any time during the measurement period.</w:t>
            </w:r>
          </w:p>
          <w:p w14:paraId="1A2C92E7" w14:textId="77777777" w:rsidR="008E6686" w:rsidRPr="005D4222" w:rsidRDefault="008E6686" w:rsidP="00DD2AF7">
            <w:pPr>
              <w:pStyle w:val="ProcessBullet"/>
              <w:spacing w:after="80"/>
            </w:pPr>
            <w:r w:rsidRPr="005D4222">
              <w:t>Living long-term in an institution any time during the measurement period, as identified by the LTI flag in the Monthly Membership Detail Data File. Use the run date of the file to determine if a member had an LTI flag during the measurement period.</w:t>
            </w:r>
          </w:p>
        </w:tc>
      </w:tr>
      <w:tr w:rsidR="008E6686" w:rsidRPr="005D4222" w14:paraId="5123C839" w14:textId="77777777" w:rsidTr="007B5FC3">
        <w:tc>
          <w:tcPr>
            <w:tcW w:w="2157" w:type="dxa"/>
            <w:tcBorders>
              <w:top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6687E76D" w14:textId="77777777" w:rsidR="008E6686" w:rsidRPr="005D4222" w:rsidRDefault="008E6686" w:rsidP="00A53E8C">
            <w:pPr>
              <w:pStyle w:val="ECDSMarginHead"/>
            </w:pPr>
            <w:r w:rsidRPr="005D4222">
              <w:t>Measure observation</w:t>
            </w:r>
          </w:p>
        </w:tc>
        <w:tc>
          <w:tcPr>
            <w:tcW w:w="7557" w:type="dxa"/>
            <w:tcBorders>
              <w:top w:val="single" w:sz="4" w:space="0" w:color="auto"/>
              <w:left w:val="single" w:sz="4" w:space="0" w:color="auto"/>
              <w:bottom w:val="single" w:sz="4" w:space="0" w:color="auto"/>
            </w:tcBorders>
            <w:tcMar>
              <w:left w:w="86" w:type="dxa"/>
              <w:bottom w:w="43" w:type="dxa"/>
              <w:right w:w="86" w:type="dxa"/>
            </w:tcMar>
          </w:tcPr>
          <w:p w14:paraId="06C63890" w14:textId="77777777" w:rsidR="008E6686" w:rsidRPr="005D4222" w:rsidRDefault="008E6686" w:rsidP="00A53E8C">
            <w:pPr>
              <w:pStyle w:val="ECDSBody"/>
              <w:rPr>
                <w:b/>
                <w:i/>
              </w:rPr>
            </w:pPr>
            <w:r w:rsidRPr="005D4222">
              <w:rPr>
                <w:b/>
                <w:bCs w:val="0"/>
                <w:i/>
                <w:iCs/>
              </w:rPr>
              <w:t>C</w:t>
            </w:r>
            <w:r w:rsidRPr="005D4222">
              <w:rPr>
                <w:b/>
                <w:i/>
              </w:rPr>
              <w:t xml:space="preserve">alculation of </w:t>
            </w:r>
            <w:r w:rsidRPr="005D4222">
              <w:rPr>
                <w:b/>
                <w:bCs w:val="0"/>
                <w:i/>
                <w:iCs/>
              </w:rPr>
              <w:t>Observed E</w:t>
            </w:r>
            <w:r w:rsidRPr="005D4222">
              <w:rPr>
                <w:b/>
                <w:i/>
              </w:rPr>
              <w:t>vents</w:t>
            </w:r>
          </w:p>
          <w:p w14:paraId="7D74985E" w14:textId="77777777" w:rsidR="008E6686" w:rsidRPr="005D4222" w:rsidRDefault="008E6686" w:rsidP="00A53E8C">
            <w:pPr>
              <w:pStyle w:val="ECDSBody"/>
              <w:rPr>
                <w:b/>
                <w:bCs w:val="0"/>
              </w:rPr>
            </w:pPr>
            <w:r w:rsidRPr="005D4222">
              <w:rPr>
                <w:b/>
              </w:rPr>
              <w:t>Observed event 1: Chronic ACSC</w:t>
            </w:r>
            <w:r w:rsidRPr="005D4222">
              <w:rPr>
                <w:b/>
                <w:bCs w:val="0"/>
              </w:rPr>
              <w:t xml:space="preserve">. </w:t>
            </w:r>
          </w:p>
          <w:p w14:paraId="7D0646DB" w14:textId="77777777" w:rsidR="008E6686" w:rsidRPr="005D4222" w:rsidRDefault="008E6686" w:rsidP="00A53E8C">
            <w:pPr>
              <w:pStyle w:val="ECDSBody"/>
            </w:pPr>
            <w:r w:rsidRPr="005D4222">
              <w:t>Follow the steps below to identify the number of chronic ACSC acute inpatient and observation stay discharges.</w:t>
            </w:r>
          </w:p>
          <w:p w14:paraId="74D9315F" w14:textId="77777777" w:rsidR="008E6686" w:rsidRPr="005D4222" w:rsidRDefault="008E6686" w:rsidP="00A53E8C">
            <w:pPr>
              <w:pStyle w:val="ECDSBody"/>
            </w:pPr>
            <w:r w:rsidRPr="005D4222">
              <w:rPr>
                <w:b/>
              </w:rPr>
              <w:t>Step 1.</w:t>
            </w:r>
            <w:r w:rsidRPr="005D4222">
              <w:t xml:space="preserve"> Identify all acute inpatient and observation stay discharges during the measurement period. To identify acute inpatient and observation stay discharges:</w:t>
            </w:r>
          </w:p>
          <w:p w14:paraId="4B48066B" w14:textId="77777777" w:rsidR="008E6686" w:rsidRPr="005D4222" w:rsidDel="008B021F" w:rsidRDefault="008E6686" w:rsidP="00A53E8C">
            <w:pPr>
              <w:pStyle w:val="Body"/>
              <w:spacing w:before="80"/>
              <w:ind w:left="648" w:hanging="288"/>
            </w:pPr>
            <w:r w:rsidRPr="005D4222">
              <w:t>1.</w:t>
            </w:r>
            <w:r w:rsidRPr="005D4222">
              <w:tab/>
              <w:t>Identify all acute and nonacute inpatient stays (</w:t>
            </w:r>
            <w:r w:rsidRPr="005D4222">
              <w:rPr>
                <w:u w:val="single"/>
              </w:rPr>
              <w:t>Inpatient Stay Value Set</w:t>
            </w:r>
            <w:r w:rsidRPr="005D4222">
              <w:t>) and observation stays (</w:t>
            </w:r>
            <w:r w:rsidRPr="005D4222">
              <w:rPr>
                <w:u w:val="single"/>
              </w:rPr>
              <w:t>Observation Stay Value Set</w:t>
            </w:r>
            <w:r w:rsidRPr="005D4222">
              <w:t xml:space="preserve">). </w:t>
            </w:r>
          </w:p>
          <w:p w14:paraId="252B08EB" w14:textId="77777777" w:rsidR="008E6686" w:rsidRPr="005D4222" w:rsidRDefault="008E6686" w:rsidP="00A53E8C">
            <w:pPr>
              <w:pStyle w:val="Body"/>
              <w:spacing w:before="80"/>
              <w:ind w:left="648" w:hanging="288"/>
            </w:pPr>
            <w:r w:rsidRPr="005D4222">
              <w:t>2.</w:t>
            </w:r>
            <w:r w:rsidRPr="005D4222">
              <w:tab/>
              <w:t>Exclude nonacute inpatient stays (</w:t>
            </w:r>
            <w:r w:rsidRPr="005D4222">
              <w:rPr>
                <w:u w:val="single"/>
              </w:rPr>
              <w:t>Nonacute Inpatient Stay Value Set</w:t>
            </w:r>
            <w:r w:rsidRPr="005D4222">
              <w:t>).</w:t>
            </w:r>
          </w:p>
          <w:p w14:paraId="7F01F53C" w14:textId="77777777" w:rsidR="008E6686" w:rsidRPr="005D4222" w:rsidRDefault="008E6686" w:rsidP="00A53E8C">
            <w:pPr>
              <w:pStyle w:val="Body"/>
              <w:spacing w:before="80"/>
              <w:ind w:left="648" w:hanging="288"/>
            </w:pPr>
            <w:r w:rsidRPr="005D4222">
              <w:t>3.</w:t>
            </w:r>
            <w:r w:rsidRPr="005D4222">
              <w:tab/>
              <w:t>Identify the discharge date for the stay.</w:t>
            </w:r>
          </w:p>
          <w:p w14:paraId="092A0526" w14:textId="77777777" w:rsidR="008E6686" w:rsidRPr="005D4222" w:rsidRDefault="008E6686" w:rsidP="00330433">
            <w:pPr>
              <w:pStyle w:val="ECDSBody"/>
            </w:pPr>
            <w:r w:rsidRPr="005D4222">
              <w:rPr>
                <w:b/>
              </w:rPr>
              <w:t>Step 2.</w:t>
            </w:r>
            <w:r w:rsidRPr="005D4222">
              <w:rPr>
                <w:i/>
                <w:iCs/>
              </w:rPr>
              <w:t xml:space="preserve"> </w:t>
            </w:r>
            <w:r w:rsidRPr="005D4222">
              <w:t xml:space="preserve">For discharges with one or more direct transfers, use the last discharge. </w:t>
            </w:r>
          </w:p>
          <w:p w14:paraId="2C142A25" w14:textId="77777777" w:rsidR="008E6686" w:rsidRPr="005D4222" w:rsidRDefault="008E6686" w:rsidP="00A53E8C">
            <w:pPr>
              <w:pStyle w:val="ECDSBody"/>
            </w:pPr>
            <w:r w:rsidRPr="005D4222">
              <w:t>Using the discharges identified in step 1, identify direct transfers between acute inpatient and observation using the definition of direct transfer</w:t>
            </w:r>
            <w:r w:rsidRPr="005D4222">
              <w:rPr>
                <w:i/>
                <w:iCs/>
              </w:rPr>
              <w:t>.</w:t>
            </w:r>
            <w:r w:rsidRPr="005D4222">
              <w:t xml:space="preserve"> </w:t>
            </w:r>
          </w:p>
          <w:p w14:paraId="1CA18EC8" w14:textId="77777777" w:rsidR="008E6686" w:rsidRPr="005D4222" w:rsidRDefault="008E6686" w:rsidP="00A53E8C">
            <w:pPr>
              <w:spacing w:before="120" w:after="80"/>
            </w:pPr>
            <w:r w:rsidRPr="005D4222">
              <w:rPr>
                <w:b/>
                <w:bCs/>
              </w:rPr>
              <w:t>Step 3</w:t>
            </w:r>
            <w:r w:rsidRPr="005D4222">
              <w:rPr>
                <w:b/>
              </w:rPr>
              <w:t>.</w:t>
            </w:r>
            <w:r w:rsidRPr="005D4222">
              <w:rPr>
                <w:bCs/>
              </w:rPr>
              <w:t xml:space="preserve"> For the remaining acute inpatient and observation stay discharges, identify discharges with any of the following on the discharge claim:</w:t>
            </w:r>
          </w:p>
          <w:p w14:paraId="7CEF511D" w14:textId="77777777" w:rsidR="008E6686" w:rsidRPr="005D4222" w:rsidRDefault="008E6686" w:rsidP="005D6173">
            <w:pPr>
              <w:pStyle w:val="Bullet"/>
              <w:numPr>
                <w:ilvl w:val="0"/>
                <w:numId w:val="135"/>
              </w:numPr>
              <w:tabs>
                <w:tab w:val="left" w:pos="360"/>
                <w:tab w:val="left" w:pos="576"/>
              </w:tabs>
              <w:spacing w:before="180" w:after="80"/>
              <w:ind w:left="576" w:hanging="216"/>
            </w:pPr>
            <w:r w:rsidRPr="005D4222">
              <w:lastRenderedPageBreak/>
              <w:t xml:space="preserve">Principal diagnosis of diabetes short-term complications (ketoacidosis, hyperosmolarity or coma; </w:t>
            </w:r>
            <w:r w:rsidRPr="005D4222">
              <w:rPr>
                <w:u w:val="single"/>
              </w:rPr>
              <w:t>Diabetes Short Term Complications Value Set</w:t>
            </w:r>
            <w:r w:rsidRPr="005D4222">
              <w:t>).</w:t>
            </w:r>
          </w:p>
          <w:p w14:paraId="0407CA2A" w14:textId="77777777" w:rsidR="008E6686" w:rsidRPr="005D4222" w:rsidRDefault="008E6686" w:rsidP="005D6173">
            <w:pPr>
              <w:pStyle w:val="Bullet"/>
              <w:numPr>
                <w:ilvl w:val="0"/>
                <w:numId w:val="135"/>
              </w:numPr>
              <w:tabs>
                <w:tab w:val="left" w:pos="360"/>
                <w:tab w:val="left" w:pos="576"/>
              </w:tabs>
              <w:ind w:left="576" w:hanging="216"/>
            </w:pPr>
            <w:r w:rsidRPr="005D4222">
              <w:t xml:space="preserve">Principal diagnosis of diabetes with long-term complications (renal, eye, neurological, circulatory or unspecified complications; </w:t>
            </w:r>
            <w:r w:rsidRPr="005D4222">
              <w:rPr>
                <w:u w:val="single"/>
              </w:rPr>
              <w:t>Diabetes Long Term Complications Value Set</w:t>
            </w:r>
            <w:r w:rsidRPr="005D4222">
              <w:t>).</w:t>
            </w:r>
          </w:p>
          <w:p w14:paraId="39E34DDA" w14:textId="77777777" w:rsidR="008E6686" w:rsidRPr="005D4222" w:rsidRDefault="008E6686" w:rsidP="005D6173">
            <w:pPr>
              <w:pStyle w:val="Bullet"/>
              <w:numPr>
                <w:ilvl w:val="0"/>
                <w:numId w:val="135"/>
              </w:numPr>
              <w:tabs>
                <w:tab w:val="left" w:pos="360"/>
                <w:tab w:val="left" w:pos="576"/>
              </w:tabs>
              <w:ind w:left="576" w:hanging="216"/>
            </w:pPr>
            <w:r w:rsidRPr="005D4222">
              <w:t>Principal diagnosis of uncontrolled diabetes (</w:t>
            </w:r>
            <w:r w:rsidRPr="005D4222">
              <w:rPr>
                <w:u w:val="single"/>
              </w:rPr>
              <w:t>Uncontrolled Diabetes Value Set</w:t>
            </w:r>
            <w:r w:rsidRPr="005D4222">
              <w:t>).</w:t>
            </w:r>
          </w:p>
          <w:p w14:paraId="602E7E8F" w14:textId="77777777" w:rsidR="008E6686" w:rsidRPr="005D4222" w:rsidRDefault="008E6686" w:rsidP="005D6173">
            <w:pPr>
              <w:pStyle w:val="Bullet"/>
              <w:numPr>
                <w:ilvl w:val="0"/>
                <w:numId w:val="135"/>
              </w:numPr>
              <w:tabs>
                <w:tab w:val="left" w:pos="360"/>
                <w:tab w:val="left" w:pos="576"/>
              </w:tabs>
              <w:ind w:left="576" w:hanging="216"/>
              <w:rPr>
                <w:u w:val="single"/>
              </w:rPr>
            </w:pPr>
            <w:r w:rsidRPr="005D4222">
              <w:t>A procedure code for lower extremity amputation (</w:t>
            </w:r>
            <w:r w:rsidRPr="005D4222">
              <w:rPr>
                <w:u w:val="single"/>
              </w:rPr>
              <w:t>Lower Extremity Amputation Procedures Value Set</w:t>
            </w:r>
            <w:r w:rsidRPr="005D4222">
              <w:t xml:space="preserve">) </w:t>
            </w:r>
            <w:r w:rsidRPr="005D4222">
              <w:rPr>
                <w:b/>
                <w:bCs/>
                <w:i/>
                <w:iCs/>
              </w:rPr>
              <w:t>with</w:t>
            </w:r>
            <w:r w:rsidRPr="005D4222">
              <w:t xml:space="preserve"> any diagnosis of diabetes (</w:t>
            </w:r>
            <w:r w:rsidRPr="005D4222">
              <w:rPr>
                <w:u w:val="single"/>
              </w:rPr>
              <w:t>Diabetes Diagnosis Value Set</w:t>
            </w:r>
            <w:r w:rsidRPr="005D4222">
              <w:t>).</w:t>
            </w:r>
            <w:r w:rsidRPr="005D4222">
              <w:rPr>
                <w:u w:val="single"/>
              </w:rPr>
              <w:t xml:space="preserve"> </w:t>
            </w:r>
          </w:p>
          <w:p w14:paraId="72BA1009" w14:textId="77777777" w:rsidR="008E6686" w:rsidRPr="005D4222" w:rsidRDefault="008E6686" w:rsidP="008E6686">
            <w:pPr>
              <w:pStyle w:val="Dash"/>
              <w:tabs>
                <w:tab w:val="left" w:pos="576"/>
                <w:tab w:val="left" w:pos="792"/>
              </w:tabs>
              <w:spacing w:after="0"/>
              <w:rPr>
                <w:rFonts w:cs="Arial"/>
                <w:b/>
                <w:bCs/>
              </w:rPr>
            </w:pPr>
            <w:r w:rsidRPr="005D4222">
              <w:t>Exclude any discharge with a diagnosis of traumatic amputation of the lower extremity (</w:t>
            </w:r>
            <w:r w:rsidRPr="005D4222">
              <w:rPr>
                <w:u w:val="single"/>
              </w:rPr>
              <w:t>Traumatic Amputation of Lower Extremity Value Set</w:t>
            </w:r>
            <w:r w:rsidRPr="005D4222">
              <w:t xml:space="preserve">). </w:t>
            </w:r>
          </w:p>
          <w:p w14:paraId="67060C2C" w14:textId="77777777" w:rsidR="008E6686" w:rsidRPr="005D4222" w:rsidRDefault="008E6686" w:rsidP="005D6173">
            <w:pPr>
              <w:pStyle w:val="Bullet"/>
              <w:numPr>
                <w:ilvl w:val="0"/>
                <w:numId w:val="136"/>
              </w:numPr>
              <w:tabs>
                <w:tab w:val="left" w:pos="360"/>
                <w:tab w:val="left" w:pos="576"/>
              </w:tabs>
              <w:spacing w:before="60"/>
            </w:pPr>
            <w:r w:rsidRPr="005D4222">
              <w:t>Principal diagnosis of COPD (</w:t>
            </w:r>
            <w:r w:rsidRPr="005D4222">
              <w:rPr>
                <w:u w:val="single"/>
              </w:rPr>
              <w:t>COPD Diagnosis Value Set</w:t>
            </w:r>
            <w:r w:rsidRPr="005D4222">
              <w:t>).</w:t>
            </w:r>
          </w:p>
          <w:p w14:paraId="6E0DEB31" w14:textId="77777777" w:rsidR="008E6686" w:rsidRPr="005D4222" w:rsidRDefault="008E6686" w:rsidP="008E6686">
            <w:pPr>
              <w:pStyle w:val="Dash"/>
              <w:tabs>
                <w:tab w:val="left" w:pos="576"/>
                <w:tab w:val="left" w:pos="792"/>
              </w:tabs>
              <w:spacing w:after="0"/>
            </w:pPr>
            <w:r w:rsidRPr="005D4222">
              <w:t>Exclude any discharge with a diagnosis of cystic fibrosis or anomaly of the respiratory system (</w:t>
            </w:r>
            <w:r w:rsidRPr="005D4222">
              <w:rPr>
                <w:u w:val="single"/>
              </w:rPr>
              <w:t>Cystic Fibrosis and Respiratory System Anomalies Value Set</w:t>
            </w:r>
            <w:r w:rsidRPr="005D4222">
              <w:t>).</w:t>
            </w:r>
          </w:p>
          <w:p w14:paraId="2704B6A1" w14:textId="77777777" w:rsidR="008E6686" w:rsidRPr="005D4222" w:rsidRDefault="008E6686" w:rsidP="005D6173">
            <w:pPr>
              <w:pStyle w:val="Bullet"/>
              <w:numPr>
                <w:ilvl w:val="0"/>
                <w:numId w:val="137"/>
              </w:numPr>
              <w:tabs>
                <w:tab w:val="left" w:pos="360"/>
                <w:tab w:val="left" w:pos="576"/>
              </w:tabs>
              <w:ind w:left="576" w:hanging="216"/>
              <w:rPr>
                <w:rFonts w:cs="Arial"/>
              </w:rPr>
            </w:pPr>
            <w:r w:rsidRPr="005D4222">
              <w:t>Principal diagnosis of asthma (</w:t>
            </w:r>
            <w:r w:rsidRPr="005D4222">
              <w:rPr>
                <w:u w:val="single"/>
              </w:rPr>
              <w:t>Asthma Other Than Uncomplicated Value Set</w:t>
            </w:r>
            <w:r w:rsidRPr="005D4222">
              <w:t xml:space="preserve">). </w:t>
            </w:r>
          </w:p>
          <w:p w14:paraId="7ADF13D4" w14:textId="77777777" w:rsidR="008E6686" w:rsidRPr="005D4222" w:rsidRDefault="008E6686" w:rsidP="008E6686">
            <w:pPr>
              <w:pStyle w:val="Dash"/>
              <w:tabs>
                <w:tab w:val="left" w:pos="576"/>
                <w:tab w:val="left" w:pos="792"/>
              </w:tabs>
              <w:spacing w:after="0"/>
              <w:rPr>
                <w:rFonts w:cs="Arial"/>
              </w:rPr>
            </w:pPr>
            <w:r w:rsidRPr="005D4222">
              <w:t>Exclude any discharge with a diagnosis of cystic fibrosis or anomaly of the respiratory system (</w:t>
            </w:r>
            <w:r w:rsidRPr="005D4222">
              <w:rPr>
                <w:u w:val="single"/>
              </w:rPr>
              <w:t>Cystic Fibrosis and Respiratory System Anomalies Value Set</w:t>
            </w:r>
            <w:r w:rsidRPr="005D4222">
              <w:t>).</w:t>
            </w:r>
          </w:p>
          <w:p w14:paraId="5B08A7F2" w14:textId="77777777" w:rsidR="008E6686" w:rsidRPr="005D4222" w:rsidRDefault="008E6686" w:rsidP="005D6173">
            <w:pPr>
              <w:pStyle w:val="Bullet"/>
              <w:numPr>
                <w:ilvl w:val="0"/>
                <w:numId w:val="138"/>
              </w:numPr>
              <w:tabs>
                <w:tab w:val="left" w:pos="360"/>
                <w:tab w:val="left" w:pos="576"/>
              </w:tabs>
            </w:pPr>
            <w:r w:rsidRPr="005D4222">
              <w:t>Principal diagnosis of heart failure (</w:t>
            </w:r>
            <w:r w:rsidRPr="005D4222">
              <w:rPr>
                <w:u w:val="single"/>
              </w:rPr>
              <w:t>Heart Failure Diagnosis Value Set</w:t>
            </w:r>
            <w:r w:rsidRPr="005D4222">
              <w:t>).</w:t>
            </w:r>
          </w:p>
          <w:p w14:paraId="761FD989" w14:textId="77777777" w:rsidR="008E6686" w:rsidRPr="005D4222" w:rsidRDefault="008E6686" w:rsidP="008E6686">
            <w:pPr>
              <w:pStyle w:val="Dash"/>
              <w:tabs>
                <w:tab w:val="left" w:pos="576"/>
                <w:tab w:val="left" w:pos="792"/>
              </w:tabs>
              <w:spacing w:after="0"/>
            </w:pPr>
            <w:r w:rsidRPr="005D4222">
              <w:t>Exclude any discharge with a cardiac procedure (</w:t>
            </w:r>
            <w:r w:rsidRPr="005D4222">
              <w:rPr>
                <w:u w:val="single"/>
              </w:rPr>
              <w:t>Cardiac Procedure Value Set</w:t>
            </w:r>
            <w:r w:rsidRPr="005D4222">
              <w:t>).</w:t>
            </w:r>
          </w:p>
          <w:p w14:paraId="3EE948D1" w14:textId="77777777" w:rsidR="008E6686" w:rsidRPr="005D4222" w:rsidRDefault="008E6686" w:rsidP="005D6173">
            <w:pPr>
              <w:pStyle w:val="Bullet"/>
              <w:numPr>
                <w:ilvl w:val="0"/>
                <w:numId w:val="139"/>
              </w:numPr>
              <w:tabs>
                <w:tab w:val="left" w:pos="360"/>
                <w:tab w:val="left" w:pos="576"/>
              </w:tabs>
            </w:pPr>
            <w:r w:rsidRPr="005D4222">
              <w:t>Principal diagnosis of hypertension (</w:t>
            </w:r>
            <w:r w:rsidRPr="005D4222">
              <w:rPr>
                <w:u w:val="single"/>
              </w:rPr>
              <w:t>Hypertension Value Set</w:t>
            </w:r>
            <w:r w:rsidRPr="005D4222">
              <w:t>).</w:t>
            </w:r>
          </w:p>
          <w:p w14:paraId="169B5112" w14:textId="77777777" w:rsidR="008E6686" w:rsidRPr="005D4222" w:rsidRDefault="008E6686" w:rsidP="008E6686">
            <w:pPr>
              <w:pStyle w:val="Dash"/>
              <w:tabs>
                <w:tab w:val="left" w:pos="576"/>
                <w:tab w:val="left" w:pos="792"/>
              </w:tabs>
              <w:spacing w:after="0"/>
            </w:pPr>
            <w:r w:rsidRPr="005D4222">
              <w:t>Exclude any discharge with a cardiac procedure (</w:t>
            </w:r>
            <w:r w:rsidRPr="005D4222">
              <w:rPr>
                <w:u w:val="single"/>
              </w:rPr>
              <w:t>Cardiac Procedure Value Set</w:t>
            </w:r>
            <w:r w:rsidRPr="005D4222">
              <w:t>).</w:t>
            </w:r>
          </w:p>
          <w:p w14:paraId="5F81DC87" w14:textId="77777777" w:rsidR="008E6686" w:rsidRPr="005D4222" w:rsidRDefault="008E6686" w:rsidP="008E6686">
            <w:pPr>
              <w:pStyle w:val="Dash"/>
              <w:tabs>
                <w:tab w:val="left" w:pos="576"/>
                <w:tab w:val="left" w:pos="792"/>
              </w:tabs>
              <w:spacing w:before="0" w:after="0"/>
              <w:rPr>
                <w:rFonts w:cs="Arial"/>
                <w:b/>
                <w:bCs/>
              </w:rPr>
            </w:pPr>
            <w:r w:rsidRPr="005D4222">
              <w:t>Exclude any discharge with a diagnosis of Stage I-IV kidney disease (</w:t>
            </w:r>
            <w:r w:rsidRPr="005D4222">
              <w:rPr>
                <w:u w:val="single"/>
              </w:rPr>
              <w:t>Stage I Through IV Kidney Disease Value Set</w:t>
            </w:r>
            <w:r w:rsidRPr="005D4222">
              <w:t xml:space="preserve">) </w:t>
            </w:r>
            <w:r w:rsidRPr="005D4222">
              <w:rPr>
                <w:b/>
                <w:bCs/>
                <w:i/>
                <w:iCs/>
              </w:rPr>
              <w:t>with</w:t>
            </w:r>
            <w:r w:rsidRPr="005D4222">
              <w:t xml:space="preserve"> a dialysis procedure (</w:t>
            </w:r>
            <w:r w:rsidRPr="005D4222">
              <w:rPr>
                <w:u w:val="single"/>
              </w:rPr>
              <w:t>Dialysis Value Set</w:t>
            </w:r>
            <w:r w:rsidRPr="005D4222">
              <w:t>).</w:t>
            </w:r>
          </w:p>
          <w:p w14:paraId="13F621B4" w14:textId="77777777" w:rsidR="008E6686" w:rsidRPr="005D4222" w:rsidRDefault="008E6686" w:rsidP="00A53E8C">
            <w:pPr>
              <w:pStyle w:val="Note"/>
            </w:pPr>
            <w:r w:rsidRPr="005D4222">
              <w:rPr>
                <w:b/>
                <w:bCs/>
              </w:rPr>
              <w:t xml:space="preserve">Note: </w:t>
            </w:r>
            <w:r w:rsidRPr="005D4222">
              <w:t>For direct transfers, use all discharges to identify principal diagnoses and exclusions in this step.</w:t>
            </w:r>
          </w:p>
          <w:p w14:paraId="6477B720" w14:textId="77777777" w:rsidR="008E6686" w:rsidRPr="005D4222" w:rsidRDefault="008E6686" w:rsidP="00A53E8C">
            <w:pPr>
              <w:pStyle w:val="ECDSBody"/>
            </w:pPr>
            <w:r w:rsidRPr="005D4222">
              <w:rPr>
                <w:b/>
                <w:szCs w:val="22"/>
              </w:rPr>
              <w:t>Step 4.</w:t>
            </w:r>
            <w:r w:rsidRPr="005D4222">
              <w:rPr>
                <w:szCs w:val="22"/>
              </w:rPr>
              <w:t xml:space="preserve"> </w:t>
            </w:r>
            <w:r w:rsidRPr="005D4222">
              <w:t xml:space="preserve">Remove discharges for persons with any three or more chronic ACSC discharges during the measurement period and report these persons as chronic ACSC outliers. </w:t>
            </w:r>
          </w:p>
          <w:p w14:paraId="5FB9446E" w14:textId="77777777" w:rsidR="008E6686" w:rsidRPr="005D4222" w:rsidRDefault="008E6686" w:rsidP="00A53E8C">
            <w:pPr>
              <w:pStyle w:val="Note"/>
              <w:spacing w:after="80"/>
            </w:pPr>
            <w:r w:rsidRPr="005D4222">
              <w:rPr>
                <w:b/>
                <w:bCs/>
                <w:iCs/>
              </w:rPr>
              <w:t>Note</w:t>
            </w:r>
            <w:r w:rsidRPr="005D4222">
              <w:rPr>
                <w:b/>
                <w:bCs/>
              </w:rPr>
              <w:t>:</w:t>
            </w:r>
            <w:r w:rsidRPr="005D4222">
              <w:t xml:space="preserve"> Count discharges with one or more direct transfers as one discharge when identifying outliers.</w:t>
            </w:r>
          </w:p>
          <w:p w14:paraId="618308D3" w14:textId="77777777" w:rsidR="008E6686" w:rsidRPr="005D4222" w:rsidRDefault="008E6686" w:rsidP="00A53E8C">
            <w:pPr>
              <w:pStyle w:val="ECDSBody"/>
              <w:rPr>
                <w:b/>
                <w:bCs w:val="0"/>
              </w:rPr>
            </w:pPr>
            <w:r w:rsidRPr="005D4222">
              <w:rPr>
                <w:b/>
              </w:rPr>
              <w:t>Observed event 2: Acute ACSC</w:t>
            </w:r>
            <w:r w:rsidRPr="005D4222">
              <w:rPr>
                <w:b/>
                <w:bCs w:val="0"/>
              </w:rPr>
              <w:t xml:space="preserve">. </w:t>
            </w:r>
          </w:p>
          <w:p w14:paraId="7AF670D3" w14:textId="77777777" w:rsidR="008E6686" w:rsidRPr="005D4222" w:rsidRDefault="008E6686" w:rsidP="00A53E8C">
            <w:pPr>
              <w:pStyle w:val="ECDSBody"/>
              <w:rPr>
                <w:b/>
                <w:i/>
                <w:iCs/>
              </w:rPr>
            </w:pPr>
            <w:r w:rsidRPr="005D4222">
              <w:t>Follow the steps below to identify the number of acute ACSC acute inpatient and observation stay discharges.</w:t>
            </w:r>
          </w:p>
          <w:p w14:paraId="5B533740" w14:textId="77777777" w:rsidR="008E6686" w:rsidRPr="005D4222" w:rsidRDefault="008E6686" w:rsidP="00A53E8C">
            <w:pPr>
              <w:pStyle w:val="ECDSBody"/>
            </w:pPr>
            <w:r w:rsidRPr="005D4222">
              <w:rPr>
                <w:b/>
              </w:rPr>
              <w:t>Step 1.</w:t>
            </w:r>
            <w:r w:rsidRPr="005D4222">
              <w:t xml:space="preserve"> Identify all acute inpatient and observation stay discharges during the measurement period. To identify acute inpatient and observation stay discharges:</w:t>
            </w:r>
          </w:p>
          <w:p w14:paraId="227B81F8" w14:textId="77777777" w:rsidR="008E6686" w:rsidRPr="005D4222" w:rsidDel="008B021F" w:rsidRDefault="008E6686" w:rsidP="00A53E8C">
            <w:pPr>
              <w:pStyle w:val="Body"/>
              <w:ind w:left="648" w:hanging="288"/>
            </w:pPr>
            <w:r w:rsidRPr="005D4222">
              <w:lastRenderedPageBreak/>
              <w:t>1.</w:t>
            </w:r>
            <w:r w:rsidRPr="005D4222">
              <w:tab/>
              <w:t>Identify all acute and nonacute inpatient stays (</w:t>
            </w:r>
            <w:r w:rsidRPr="005D4222">
              <w:rPr>
                <w:u w:val="single"/>
              </w:rPr>
              <w:t>Inpatient Stay Value Set</w:t>
            </w:r>
            <w:r w:rsidRPr="005D4222">
              <w:t>) and observation stays (</w:t>
            </w:r>
            <w:r w:rsidRPr="005D4222">
              <w:rPr>
                <w:u w:val="single"/>
              </w:rPr>
              <w:t>Observation Stay Value Set</w:t>
            </w:r>
            <w:r w:rsidRPr="005D4222">
              <w:t xml:space="preserve">). </w:t>
            </w:r>
          </w:p>
          <w:p w14:paraId="7735DA43" w14:textId="77777777" w:rsidR="008E6686" w:rsidRPr="005D4222" w:rsidRDefault="008E6686" w:rsidP="00A53E8C">
            <w:pPr>
              <w:pStyle w:val="Body"/>
              <w:spacing w:before="80"/>
              <w:ind w:left="648" w:hanging="288"/>
            </w:pPr>
            <w:r w:rsidRPr="005D4222">
              <w:t>2.</w:t>
            </w:r>
            <w:r w:rsidRPr="005D4222">
              <w:tab/>
              <w:t>Exclude nonacute inpatient stays (</w:t>
            </w:r>
            <w:r w:rsidRPr="005D4222">
              <w:rPr>
                <w:u w:val="single"/>
              </w:rPr>
              <w:t>Nonacute Inpatient Stay Value Set</w:t>
            </w:r>
            <w:r w:rsidRPr="005D4222">
              <w:t>).</w:t>
            </w:r>
          </w:p>
          <w:p w14:paraId="68032E01" w14:textId="77777777" w:rsidR="008E6686" w:rsidRPr="005D4222" w:rsidRDefault="008E6686" w:rsidP="00A53E8C">
            <w:pPr>
              <w:pStyle w:val="Body"/>
              <w:spacing w:before="80"/>
              <w:ind w:left="648" w:hanging="288"/>
              <w:rPr>
                <w:b/>
                <w:bCs/>
                <w:i/>
                <w:iCs/>
              </w:rPr>
            </w:pPr>
            <w:r w:rsidRPr="005D4222">
              <w:t>3.</w:t>
            </w:r>
            <w:r w:rsidRPr="005D4222">
              <w:tab/>
              <w:t>Identify the discharge date for the stay.</w:t>
            </w:r>
          </w:p>
          <w:p w14:paraId="5D08CB55" w14:textId="77777777" w:rsidR="008E6686" w:rsidRPr="005D4222" w:rsidRDefault="008E6686" w:rsidP="00A53E8C">
            <w:pPr>
              <w:pStyle w:val="ECDSBody"/>
            </w:pPr>
            <w:r w:rsidRPr="005D4222">
              <w:rPr>
                <w:b/>
              </w:rPr>
              <w:t>Step 2.</w:t>
            </w:r>
            <w:r w:rsidRPr="005D4222">
              <w:t xml:space="preserve"> For discharges with one or more direct transfers, use the last discharge. </w:t>
            </w:r>
          </w:p>
          <w:p w14:paraId="356D5618" w14:textId="77777777" w:rsidR="008E6686" w:rsidRPr="005D4222" w:rsidRDefault="008E6686" w:rsidP="00A53E8C">
            <w:pPr>
              <w:pStyle w:val="ECDSBody"/>
            </w:pPr>
            <w:r w:rsidRPr="005D4222">
              <w:t xml:space="preserve">Using the discharges identified in step 1, identify direct transfers between acute inpatient and observation, or between observation and acute inpatient, using the definition of direct transfer. </w:t>
            </w:r>
          </w:p>
          <w:p w14:paraId="3E8CA4DF" w14:textId="77777777" w:rsidR="008E6686" w:rsidRPr="005D4222" w:rsidRDefault="008E6686" w:rsidP="00A53E8C">
            <w:pPr>
              <w:pStyle w:val="ECDSBody"/>
              <w:rPr>
                <w:bCs w:val="0"/>
              </w:rPr>
            </w:pPr>
            <w:r w:rsidRPr="005D4222">
              <w:rPr>
                <w:b/>
              </w:rPr>
              <w:t>Step 3.</w:t>
            </w:r>
            <w:r w:rsidRPr="005D4222">
              <w:t xml:space="preserve"> For the remaining acute inpatient and observation stay discharges, identify discharges with any of the following on the discharge claim:</w:t>
            </w:r>
          </w:p>
          <w:p w14:paraId="349DC3CC" w14:textId="77777777" w:rsidR="008E6686" w:rsidRPr="005D4222" w:rsidRDefault="008E6686" w:rsidP="008E6686">
            <w:pPr>
              <w:pStyle w:val="Bullet"/>
              <w:numPr>
                <w:ilvl w:val="0"/>
                <w:numId w:val="4"/>
              </w:numPr>
              <w:tabs>
                <w:tab w:val="left" w:pos="360"/>
                <w:tab w:val="left" w:pos="576"/>
              </w:tabs>
              <w:ind w:left="576" w:hanging="216"/>
            </w:pPr>
            <w:r w:rsidRPr="005D4222">
              <w:t>Principal diagnosis of bacterial pneumonia (</w:t>
            </w:r>
            <w:r w:rsidRPr="005D4222">
              <w:rPr>
                <w:u w:val="single"/>
              </w:rPr>
              <w:t>Bacterial Pneumonia Value Set</w:t>
            </w:r>
            <w:r w:rsidRPr="005D4222">
              <w:t>).</w:t>
            </w:r>
          </w:p>
          <w:p w14:paraId="236D3936" w14:textId="77777777" w:rsidR="008E6686" w:rsidRPr="005D4222" w:rsidRDefault="008E6686" w:rsidP="008E6686">
            <w:pPr>
              <w:pStyle w:val="Dash"/>
              <w:tabs>
                <w:tab w:val="left" w:pos="576"/>
                <w:tab w:val="left" w:pos="792"/>
              </w:tabs>
              <w:spacing w:after="0"/>
            </w:pPr>
            <w:r w:rsidRPr="005D4222">
              <w:t>Exclude any discharge with a diagnosis of sickle cell anemia HB S disease (</w:t>
            </w:r>
            <w:r w:rsidRPr="005D4222">
              <w:rPr>
                <w:u w:val="single"/>
              </w:rPr>
              <w:t>Sickle Cell Anemia and HB S Disease Value Set</w:t>
            </w:r>
            <w:r w:rsidRPr="005D4222">
              <w:t xml:space="preserve">). </w:t>
            </w:r>
          </w:p>
          <w:p w14:paraId="303886C3" w14:textId="77777777" w:rsidR="008E6686" w:rsidRPr="005D4222" w:rsidRDefault="008E6686" w:rsidP="008E6686">
            <w:pPr>
              <w:pStyle w:val="Dash"/>
              <w:tabs>
                <w:tab w:val="left" w:pos="576"/>
                <w:tab w:val="left" w:pos="792"/>
              </w:tabs>
              <w:spacing w:after="0"/>
            </w:pPr>
            <w:r w:rsidRPr="005D4222">
              <w:t>Exclude any discharge with a procedure or diagnosis for immunocompromised state (</w:t>
            </w:r>
            <w:r w:rsidRPr="005D4222">
              <w:rPr>
                <w:u w:val="single"/>
              </w:rPr>
              <w:t>Immunocompromised State Value Set</w:t>
            </w:r>
            <w:r w:rsidRPr="005D4222">
              <w:t>).</w:t>
            </w:r>
          </w:p>
          <w:p w14:paraId="0396BEE2" w14:textId="77777777" w:rsidR="008E6686" w:rsidRPr="005D4222" w:rsidRDefault="008E6686" w:rsidP="008E6686">
            <w:pPr>
              <w:pStyle w:val="Bullet"/>
              <w:numPr>
                <w:ilvl w:val="0"/>
                <w:numId w:val="4"/>
              </w:numPr>
              <w:tabs>
                <w:tab w:val="left" w:pos="360"/>
                <w:tab w:val="left" w:pos="576"/>
              </w:tabs>
              <w:ind w:left="576" w:hanging="216"/>
            </w:pPr>
            <w:r w:rsidRPr="005D4222">
              <w:t>Principal diagnosis of urinary tract infection (</w:t>
            </w:r>
            <w:r w:rsidRPr="005D4222">
              <w:rPr>
                <w:u w:val="single"/>
              </w:rPr>
              <w:t>Urinary Tract Infection Value Set</w:t>
            </w:r>
            <w:r w:rsidRPr="005D4222">
              <w:t>).</w:t>
            </w:r>
          </w:p>
          <w:p w14:paraId="4925A7FD" w14:textId="77777777" w:rsidR="008E6686" w:rsidRPr="005D4222" w:rsidRDefault="008E6686" w:rsidP="008E6686">
            <w:pPr>
              <w:pStyle w:val="Dash"/>
              <w:tabs>
                <w:tab w:val="left" w:pos="576"/>
                <w:tab w:val="left" w:pos="792"/>
              </w:tabs>
              <w:spacing w:after="0"/>
            </w:pPr>
            <w:r w:rsidRPr="005D4222">
              <w:t>Exclude any discharge with a diagnosis of kidney/urinary tract disorder (</w:t>
            </w:r>
            <w:r w:rsidRPr="005D4222">
              <w:rPr>
                <w:u w:val="single"/>
              </w:rPr>
              <w:t>Kidney and Urinary Tract Disorders Value Set</w:t>
            </w:r>
            <w:r w:rsidRPr="005D4222">
              <w:t xml:space="preserve">). </w:t>
            </w:r>
          </w:p>
          <w:p w14:paraId="44AA5E1D" w14:textId="77777777" w:rsidR="008E6686" w:rsidRPr="005D4222" w:rsidRDefault="008E6686" w:rsidP="008E6686">
            <w:pPr>
              <w:pStyle w:val="Dash"/>
              <w:tabs>
                <w:tab w:val="left" w:pos="576"/>
                <w:tab w:val="left" w:pos="792"/>
              </w:tabs>
              <w:spacing w:after="0"/>
              <w:rPr>
                <w:b/>
                <w:bCs/>
              </w:rPr>
            </w:pPr>
            <w:r w:rsidRPr="005D4222">
              <w:t>Exclude any discharge with a procedure or diagnosis for immunocompromised state (</w:t>
            </w:r>
            <w:r w:rsidRPr="005D4222">
              <w:rPr>
                <w:u w:val="single"/>
              </w:rPr>
              <w:t>Immunocompromised State Value Set</w:t>
            </w:r>
            <w:r w:rsidRPr="005D4222">
              <w:t xml:space="preserve">). </w:t>
            </w:r>
          </w:p>
          <w:p w14:paraId="56E96A22" w14:textId="77777777" w:rsidR="008E6686" w:rsidRPr="005D4222" w:rsidRDefault="008E6686" w:rsidP="008E6686">
            <w:pPr>
              <w:pStyle w:val="Bullet"/>
              <w:numPr>
                <w:ilvl w:val="0"/>
                <w:numId w:val="4"/>
              </w:numPr>
              <w:tabs>
                <w:tab w:val="left" w:pos="360"/>
                <w:tab w:val="left" w:pos="576"/>
              </w:tabs>
              <w:ind w:left="576" w:hanging="216"/>
            </w:pPr>
            <w:r w:rsidRPr="005D4222">
              <w:t>Principal diagnosis of cellulitis (</w:t>
            </w:r>
            <w:r w:rsidRPr="005D4222">
              <w:rPr>
                <w:u w:val="single"/>
              </w:rPr>
              <w:t>Cellulitis Value Set</w:t>
            </w:r>
            <w:r w:rsidRPr="005D4222">
              <w:t>).</w:t>
            </w:r>
          </w:p>
          <w:p w14:paraId="53996DE5" w14:textId="77777777" w:rsidR="008E6686" w:rsidRPr="005D4222" w:rsidRDefault="008E6686" w:rsidP="008E6686">
            <w:pPr>
              <w:pStyle w:val="Bullet"/>
              <w:numPr>
                <w:ilvl w:val="0"/>
                <w:numId w:val="4"/>
              </w:numPr>
              <w:tabs>
                <w:tab w:val="left" w:pos="360"/>
                <w:tab w:val="left" w:pos="576"/>
              </w:tabs>
              <w:ind w:left="576" w:hanging="216"/>
              <w:rPr>
                <w:b/>
                <w:bCs/>
              </w:rPr>
            </w:pPr>
            <w:r w:rsidRPr="005D4222">
              <w:t>Principal diagnosis of severe pressure ulcers (</w:t>
            </w:r>
            <w:r w:rsidRPr="005D4222">
              <w:rPr>
                <w:u w:val="single"/>
              </w:rPr>
              <w:t>Severe Pressure Ulcers Value Set</w:t>
            </w:r>
            <w:r w:rsidRPr="005D4222">
              <w:t>).</w:t>
            </w:r>
            <w:r w:rsidRPr="005D4222" w:rsidDel="00B15819">
              <w:t xml:space="preserve"> </w:t>
            </w:r>
          </w:p>
          <w:p w14:paraId="4019D856" w14:textId="77777777" w:rsidR="008E6686" w:rsidRPr="005D4222" w:rsidRDefault="008E6686" w:rsidP="00A53E8C">
            <w:pPr>
              <w:pStyle w:val="Note"/>
              <w:rPr>
                <w:b/>
                <w:bCs/>
                <w:i w:val="0"/>
                <w:iCs/>
              </w:rPr>
            </w:pPr>
            <w:r w:rsidRPr="005D4222">
              <w:rPr>
                <w:b/>
              </w:rPr>
              <w:t>Note:</w:t>
            </w:r>
            <w:r w:rsidRPr="005D4222">
              <w:rPr>
                <w:iCs/>
              </w:rPr>
              <w:t xml:space="preserve"> For direct transfers, use all discharges to identify principal diagnoses and exclusions in this step.</w:t>
            </w:r>
          </w:p>
          <w:p w14:paraId="3A8D3588" w14:textId="77777777" w:rsidR="008E6686" w:rsidRPr="005D4222" w:rsidRDefault="008E6686" w:rsidP="00A53E8C">
            <w:pPr>
              <w:pStyle w:val="ECDSBody"/>
            </w:pPr>
            <w:r w:rsidRPr="005D4222">
              <w:rPr>
                <w:b/>
                <w:i/>
              </w:rPr>
              <w:t>S</w:t>
            </w:r>
            <w:r w:rsidRPr="005D4222">
              <w:rPr>
                <w:b/>
              </w:rPr>
              <w:t>tep 4.</w:t>
            </w:r>
            <w:r w:rsidRPr="005D4222">
              <w:t xml:space="preserve"> Remove discharges for persons with any three or more acute ACSC discharges during the measurement period and report these persons as acute ACSC outliers. </w:t>
            </w:r>
          </w:p>
          <w:p w14:paraId="564B7786" w14:textId="77777777" w:rsidR="008E6686" w:rsidRPr="005D4222" w:rsidRDefault="008E6686" w:rsidP="00A53E8C">
            <w:pPr>
              <w:pStyle w:val="Note"/>
              <w:spacing w:after="80"/>
            </w:pPr>
            <w:r w:rsidRPr="005D4222">
              <w:rPr>
                <w:b/>
                <w:bCs/>
                <w:iCs/>
              </w:rPr>
              <w:t>Note</w:t>
            </w:r>
            <w:r w:rsidRPr="005D4222">
              <w:rPr>
                <w:b/>
                <w:bCs/>
              </w:rPr>
              <w:t>:</w:t>
            </w:r>
            <w:r w:rsidRPr="005D4222">
              <w:t xml:space="preserve"> Count discharges with one or more direct transfers as one discharge when identifying outliers.</w:t>
            </w:r>
          </w:p>
          <w:p w14:paraId="283536B5" w14:textId="77777777" w:rsidR="008E6686" w:rsidRPr="005D4222" w:rsidRDefault="008E6686" w:rsidP="00A53E8C">
            <w:pPr>
              <w:pStyle w:val="ECDSBody"/>
            </w:pPr>
            <w:r w:rsidRPr="005D4222">
              <w:rPr>
                <w:b/>
              </w:rPr>
              <w:t>Observed event 3: Total ACSC</w:t>
            </w:r>
            <w:r w:rsidRPr="005D4222">
              <w:rPr>
                <w:b/>
                <w:bCs w:val="0"/>
              </w:rPr>
              <w:t xml:space="preserve">. </w:t>
            </w:r>
            <w:r w:rsidRPr="005D4222">
              <w:br/>
              <w:t>Follow the steps below to identify the number of total ACSC acute inpatient and observation stay discharges.</w:t>
            </w:r>
          </w:p>
          <w:p w14:paraId="1C808E3B" w14:textId="77777777" w:rsidR="008E6686" w:rsidRPr="005D4222" w:rsidRDefault="008E6686" w:rsidP="00A53E8C">
            <w:pPr>
              <w:pStyle w:val="ECDSBody"/>
            </w:pPr>
            <w:r w:rsidRPr="005D4222">
              <w:rPr>
                <w:b/>
              </w:rPr>
              <w:t>Step 1.</w:t>
            </w:r>
            <w:r w:rsidRPr="005D4222">
              <w:t xml:space="preserve"> Sum the discharges from the Chronic ACSC and Acute ACSC categories.</w:t>
            </w:r>
          </w:p>
          <w:p w14:paraId="0ADD240F" w14:textId="77777777" w:rsidR="008E6686" w:rsidRPr="005D4222" w:rsidRDefault="008E6686" w:rsidP="00A53E8C">
            <w:pPr>
              <w:pStyle w:val="ECDSBody"/>
            </w:pPr>
            <w:r w:rsidRPr="005D4222">
              <w:rPr>
                <w:b/>
              </w:rPr>
              <w:t>Step 2.</w:t>
            </w:r>
            <w:r w:rsidRPr="005D4222">
              <w:t xml:space="preserve"> Remove discharges for acute ACSC outliers or chronic ACSC outliers. Report these persons as total ACSC outliers. </w:t>
            </w:r>
          </w:p>
          <w:p w14:paraId="60BD16E2" w14:textId="77777777" w:rsidR="008E6686" w:rsidRPr="005D4222" w:rsidRDefault="008E6686" w:rsidP="00A53E8C">
            <w:pPr>
              <w:pStyle w:val="Note"/>
              <w:spacing w:after="80"/>
              <w:rPr>
                <w:b/>
                <w:bCs/>
                <w:i w:val="0"/>
                <w:iCs/>
              </w:rPr>
            </w:pPr>
            <w:r w:rsidRPr="005D4222">
              <w:rPr>
                <w:b/>
                <w:bCs/>
              </w:rPr>
              <w:t>Note:</w:t>
            </w:r>
            <w:r w:rsidRPr="005D4222">
              <w:t xml:space="preserve"> Count discharges with one or more direct transfers (identified in step 2) as one discharge when identifying outliers.</w:t>
            </w:r>
          </w:p>
        </w:tc>
      </w:tr>
      <w:tr w:rsidR="008E6686" w:rsidRPr="005D4222" w14:paraId="02A871FC" w14:textId="77777777" w:rsidTr="007B5FC3">
        <w:tc>
          <w:tcPr>
            <w:tcW w:w="2157" w:type="dxa"/>
            <w:tcBorders>
              <w:top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64C510AA" w14:textId="77777777" w:rsidR="008E6686" w:rsidRPr="005D4222" w:rsidRDefault="008E6686" w:rsidP="00A53E8C">
            <w:pPr>
              <w:pStyle w:val="ECDSMarginHead"/>
            </w:pPr>
            <w:r w:rsidRPr="005D4222">
              <w:lastRenderedPageBreak/>
              <w:t>Risk adjustment factors</w:t>
            </w:r>
          </w:p>
        </w:tc>
        <w:tc>
          <w:tcPr>
            <w:tcW w:w="7557" w:type="dxa"/>
            <w:tcBorders>
              <w:top w:val="single" w:sz="4" w:space="0" w:color="auto"/>
              <w:left w:val="single" w:sz="4" w:space="0" w:color="auto"/>
              <w:bottom w:val="single" w:sz="4" w:space="0" w:color="auto"/>
            </w:tcBorders>
            <w:tcMar>
              <w:left w:w="86" w:type="dxa"/>
              <w:bottom w:w="43" w:type="dxa"/>
              <w:right w:w="86" w:type="dxa"/>
            </w:tcMar>
          </w:tcPr>
          <w:p w14:paraId="771D416A" w14:textId="77777777" w:rsidR="008E6686" w:rsidRPr="005D4222" w:rsidRDefault="008E6686" w:rsidP="00A53E8C">
            <w:pPr>
              <w:pStyle w:val="ECDSBody"/>
              <w:rPr>
                <w:b/>
                <w:bCs w:val="0"/>
                <w:i/>
                <w:iCs/>
              </w:rPr>
            </w:pPr>
            <w:r w:rsidRPr="005D4222">
              <w:rPr>
                <w:b/>
                <w:bCs w:val="0"/>
                <w:i/>
                <w:iCs/>
              </w:rPr>
              <w:t>Risk Adjustment Determination</w:t>
            </w:r>
          </w:p>
          <w:p w14:paraId="386382C8" w14:textId="77777777" w:rsidR="008E6686" w:rsidRPr="005D4222" w:rsidRDefault="008E6686" w:rsidP="00A53E8C">
            <w:pPr>
              <w:pStyle w:val="ECDSBody"/>
            </w:pPr>
            <w:r w:rsidRPr="005D4222">
              <w:rPr>
                <w:rFonts w:eastAsia="Arial"/>
                <w:color w:val="000000" w:themeColor="text1"/>
              </w:rPr>
              <w:t>For each nonoutlier in the Initial Population, identify risk adjustment weights based on comorbidity, age and gender.</w:t>
            </w:r>
            <w:r w:rsidRPr="005D4222">
              <w:t xml:space="preserve"> Weights are specific to reporting indicator (Chronic ACSC, Acute ACSC, Total ACSC). Refer to the reporting indicator in the risk adjustment tables to ensure that weights are linked appropriately.</w:t>
            </w:r>
          </w:p>
          <w:p w14:paraId="5C9D157C" w14:textId="77777777" w:rsidR="008E6686" w:rsidRPr="005D4222" w:rsidRDefault="008E6686" w:rsidP="00A53E8C">
            <w:pPr>
              <w:pStyle w:val="ECDSBody"/>
              <w:spacing w:before="180"/>
            </w:pPr>
            <w:r w:rsidRPr="005D4222">
              <w:rPr>
                <w:b/>
                <w:bCs w:val="0"/>
              </w:rPr>
              <w:t xml:space="preserve">Comorbidities: </w:t>
            </w:r>
          </w:p>
          <w:p w14:paraId="114E264B" w14:textId="77777777" w:rsidR="008E6686" w:rsidRPr="005D4222" w:rsidRDefault="008E6686" w:rsidP="00A53E8C">
            <w:pPr>
              <w:pStyle w:val="ECDSBody"/>
            </w:pPr>
            <w:r w:rsidRPr="005D4222">
              <w:rPr>
                <w:b/>
              </w:rPr>
              <w:t xml:space="preserve">Step 1. </w:t>
            </w:r>
            <w:r w:rsidRPr="005D4222">
              <w:t>Identify all diagnoses for encounters during the year prior to the measurement period. Include the following when identifying encounters:</w:t>
            </w:r>
          </w:p>
          <w:p w14:paraId="7E1FC277" w14:textId="77777777" w:rsidR="008E6686" w:rsidRPr="005D4222" w:rsidRDefault="008E6686" w:rsidP="008E6686">
            <w:pPr>
              <w:pStyle w:val="Bullet"/>
              <w:numPr>
                <w:ilvl w:val="0"/>
                <w:numId w:val="4"/>
              </w:numPr>
              <w:tabs>
                <w:tab w:val="left" w:pos="360"/>
                <w:tab w:val="left" w:pos="576"/>
              </w:tabs>
              <w:spacing w:before="60"/>
              <w:ind w:left="576" w:hanging="216"/>
            </w:pPr>
            <w:r w:rsidRPr="005D4222">
              <w:t>Outpatient visits, ED visits, telephone visits, nonacute inpatient encounters and acute inpatient encounters (</w:t>
            </w:r>
            <w:r w:rsidRPr="005D4222">
              <w:rPr>
                <w:u w:val="single"/>
              </w:rPr>
              <w:t>Outpatient, ED, Telephone, Acute Inpatient and Nonacute Inpatient Value Set</w:t>
            </w:r>
            <w:r w:rsidRPr="005D4222">
              <w:t>) with a date of service during the year prior to the measurement period</w:t>
            </w:r>
            <w:r w:rsidRPr="005D4222">
              <w:rPr>
                <w:szCs w:val="21"/>
              </w:rPr>
              <w:t xml:space="preserve">. </w:t>
            </w:r>
          </w:p>
          <w:p w14:paraId="23744A6A" w14:textId="77777777" w:rsidR="008E6686" w:rsidRPr="005D4222" w:rsidRDefault="008E6686" w:rsidP="008E6686">
            <w:pPr>
              <w:pStyle w:val="Bullet"/>
              <w:numPr>
                <w:ilvl w:val="0"/>
                <w:numId w:val="4"/>
              </w:numPr>
              <w:tabs>
                <w:tab w:val="left" w:pos="360"/>
                <w:tab w:val="left" w:pos="576"/>
              </w:tabs>
              <w:spacing w:before="60"/>
              <w:ind w:left="576" w:hanging="216"/>
            </w:pPr>
            <w:r w:rsidRPr="005D4222">
              <w:t>Acute and nonacute inpatient discharges (</w:t>
            </w:r>
            <w:r w:rsidRPr="005D4222">
              <w:rPr>
                <w:u w:val="single"/>
              </w:rPr>
              <w:t>Inpatient Stay Value Set</w:t>
            </w:r>
            <w:r w:rsidRPr="005D4222">
              <w:t>) with a discharge date during the year prior to the measurement period</w:t>
            </w:r>
            <w:r w:rsidRPr="005D4222">
              <w:rPr>
                <w:szCs w:val="21"/>
              </w:rPr>
              <w:t xml:space="preserve">. </w:t>
            </w:r>
          </w:p>
          <w:p w14:paraId="3F578FA9" w14:textId="77777777" w:rsidR="008E6686" w:rsidRPr="005D4222" w:rsidRDefault="008E6686" w:rsidP="00A53E8C">
            <w:pPr>
              <w:pStyle w:val="ECDSBody"/>
            </w:pPr>
            <w:r w:rsidRPr="005D4222">
              <w:rPr>
                <w:b/>
              </w:rPr>
              <w:t>Step 2.</w:t>
            </w:r>
            <w:r w:rsidRPr="005D4222">
              <w:t xml:space="preserve"> Assign each diagnosis to one or more comorbid Clinical Condition (CC) category using Table CC—Mapping in the Risk Adjustment Shared Tables. If the code appears more than once in Table CC—Mapping, it is assigned to multiple CCs.</w:t>
            </w:r>
          </w:p>
          <w:p w14:paraId="1D2F275B" w14:textId="77777777" w:rsidR="008E6686" w:rsidRPr="005D4222" w:rsidRDefault="008E6686" w:rsidP="00A53E8C">
            <w:pPr>
              <w:pStyle w:val="ECDSBody"/>
            </w:pPr>
            <w:r w:rsidRPr="005D4222">
              <w:t xml:space="preserve">Exclude all diagnoses that cannot be assigned to a comorbid CC category. For persons with no qualifying diagnoses from face-to-face encounters, skip to </w:t>
            </w:r>
            <w:r w:rsidRPr="005D4222">
              <w:rPr>
                <w:i/>
              </w:rPr>
              <w:t>Risk Adjustment Weighting</w:t>
            </w:r>
            <w:r w:rsidRPr="005D4222">
              <w:t>.</w:t>
            </w:r>
          </w:p>
          <w:p w14:paraId="3505832F" w14:textId="77777777" w:rsidR="008E6686" w:rsidRPr="005D4222" w:rsidRDefault="008E6686" w:rsidP="00A53E8C">
            <w:pPr>
              <w:pStyle w:val="ECDSBody"/>
            </w:pPr>
            <w:r w:rsidRPr="005D4222">
              <w:t>All digits must match exactly when mapping diagnosis codes to the comorbid CCs.</w:t>
            </w:r>
          </w:p>
          <w:p w14:paraId="2F867399" w14:textId="77777777" w:rsidR="008E6686" w:rsidRPr="005D4222" w:rsidRDefault="008E6686" w:rsidP="00A53E8C">
            <w:pPr>
              <w:pStyle w:val="ECDSBody"/>
            </w:pPr>
            <w:r w:rsidRPr="005D4222">
              <w:rPr>
                <w:b/>
              </w:rPr>
              <w:t>Step 3.</w:t>
            </w:r>
            <w:r w:rsidRPr="005D4222">
              <w:t xml:space="preserve"> Determine HCCs for each comorbid CC identified. Refer to Table HCC—Rank.</w:t>
            </w:r>
          </w:p>
          <w:p w14:paraId="540D8009" w14:textId="77777777" w:rsidR="008E6686" w:rsidRPr="005D4222" w:rsidRDefault="008E6686" w:rsidP="00A53E8C">
            <w:pPr>
              <w:pStyle w:val="ECDSBody"/>
            </w:pPr>
            <w:r w:rsidRPr="005D4222">
              <w:t>For each person’s comorbid CC list, match the comorbid CC code to the comorbid CC code in the table, and assign:</w:t>
            </w:r>
          </w:p>
          <w:p w14:paraId="24F5AFBD" w14:textId="77777777" w:rsidR="008E6686" w:rsidRPr="005D4222" w:rsidRDefault="008E6686" w:rsidP="008E6686">
            <w:pPr>
              <w:pStyle w:val="Bullet"/>
              <w:numPr>
                <w:ilvl w:val="0"/>
                <w:numId w:val="4"/>
              </w:numPr>
              <w:tabs>
                <w:tab w:val="left" w:pos="360"/>
                <w:tab w:val="left" w:pos="576"/>
              </w:tabs>
              <w:ind w:left="576" w:hanging="216"/>
            </w:pPr>
            <w:r w:rsidRPr="005D4222">
              <w:t>The ranking group.</w:t>
            </w:r>
          </w:p>
          <w:p w14:paraId="0063B0AB" w14:textId="77777777" w:rsidR="008E6686" w:rsidRPr="005D4222" w:rsidRDefault="008E6686" w:rsidP="008E6686">
            <w:pPr>
              <w:pStyle w:val="Bullet"/>
              <w:numPr>
                <w:ilvl w:val="0"/>
                <w:numId w:val="4"/>
              </w:numPr>
              <w:tabs>
                <w:tab w:val="left" w:pos="360"/>
                <w:tab w:val="left" w:pos="576"/>
              </w:tabs>
              <w:ind w:left="576" w:hanging="216"/>
            </w:pPr>
            <w:r w:rsidRPr="005D4222">
              <w:t>The rank.</w:t>
            </w:r>
          </w:p>
          <w:p w14:paraId="0B7D3CC8" w14:textId="77777777" w:rsidR="008E6686" w:rsidRPr="005D4222" w:rsidRDefault="008E6686" w:rsidP="008E6686">
            <w:pPr>
              <w:pStyle w:val="Bullet"/>
              <w:numPr>
                <w:ilvl w:val="0"/>
                <w:numId w:val="4"/>
              </w:numPr>
              <w:tabs>
                <w:tab w:val="left" w:pos="360"/>
                <w:tab w:val="left" w:pos="576"/>
              </w:tabs>
              <w:ind w:left="576" w:hanging="216"/>
            </w:pPr>
            <w:r w:rsidRPr="005D4222">
              <w:t>The HCC.</w:t>
            </w:r>
          </w:p>
          <w:p w14:paraId="5E918206" w14:textId="77777777" w:rsidR="008E6686" w:rsidRPr="005D4222" w:rsidRDefault="008E6686" w:rsidP="00A53E8C">
            <w:pPr>
              <w:pStyle w:val="ECDSBody"/>
            </w:pPr>
            <w:r w:rsidRPr="005D4222">
              <w:t>For comorbid CCs that do not match to Table HCC—Rank, use the comorbid CC as the HCC and assign a rank of 1. One comorbid CC can map to multiple HCCs; each HCC can have one or more comorbid CCs.</w:t>
            </w:r>
          </w:p>
          <w:p w14:paraId="0F35FF55" w14:textId="77777777" w:rsidR="008E6686" w:rsidRPr="005D4222" w:rsidRDefault="008E6686" w:rsidP="00A53E8C">
            <w:pPr>
              <w:pStyle w:val="ECDSBody"/>
            </w:pPr>
            <w:r w:rsidRPr="005D4222">
              <w:rPr>
                <w:b/>
              </w:rPr>
              <w:t>Step 4.</w:t>
            </w:r>
            <w:r w:rsidRPr="005D4222">
              <w:t xml:space="preserve"> Assess each ranking group separately and select only the highest ranked HCC in each ranking group using the “Rank” column (1 is the highest rank possible). </w:t>
            </w:r>
          </w:p>
          <w:p w14:paraId="25911E4C" w14:textId="77777777" w:rsidR="008E6686" w:rsidRPr="005D4222" w:rsidRDefault="008E6686" w:rsidP="00A53E8C">
            <w:pPr>
              <w:pStyle w:val="ECDSBody"/>
            </w:pPr>
            <w:r w:rsidRPr="005D4222">
              <w:t>Drop all other HCCs in each ranking group, and de-duplicate the HCC list if necessary.</w:t>
            </w:r>
          </w:p>
          <w:p w14:paraId="4B4408D9" w14:textId="77777777" w:rsidR="008E6686" w:rsidRPr="005D4222" w:rsidRDefault="008E6686" w:rsidP="008E6686">
            <w:pPr>
              <w:pStyle w:val="Bullet"/>
              <w:numPr>
                <w:ilvl w:val="0"/>
                <w:numId w:val="4"/>
              </w:numPr>
              <w:tabs>
                <w:tab w:val="left" w:pos="360"/>
                <w:tab w:val="left" w:pos="576"/>
              </w:tabs>
              <w:ind w:left="576" w:hanging="216"/>
            </w:pPr>
            <w:r w:rsidRPr="005D4222">
              <w:rPr>
                <w:bCs/>
                <w:i/>
                <w:iCs/>
              </w:rPr>
              <w:t xml:space="preserve">For example: </w:t>
            </w:r>
            <w:r w:rsidRPr="005D4222">
              <w:t xml:space="preserve">Assume a person with the following comorbid CCs: CC-85, CC-17 and CC-19 (assume no other CCs). </w:t>
            </w:r>
          </w:p>
          <w:p w14:paraId="0C14525D" w14:textId="77777777" w:rsidR="008E6686" w:rsidRPr="005D4222" w:rsidRDefault="008E6686" w:rsidP="008E6686">
            <w:pPr>
              <w:pStyle w:val="Dash"/>
              <w:tabs>
                <w:tab w:val="left" w:pos="576"/>
                <w:tab w:val="left" w:pos="792"/>
              </w:tabs>
              <w:rPr>
                <w:rFonts w:eastAsiaTheme="minorEastAsia"/>
                <w:color w:val="000000"/>
                <w:sz w:val="20"/>
                <w:lang w:eastAsia="zh-CN"/>
              </w:rPr>
            </w:pPr>
            <w:r w:rsidRPr="005D4222">
              <w:t xml:space="preserve">CC-85 does not have a map to the ranking table and becomes </w:t>
            </w:r>
            <w:r w:rsidRPr="005D4222">
              <w:br/>
              <w:t>HCC-85.</w:t>
            </w:r>
          </w:p>
        </w:tc>
      </w:tr>
      <w:tr w:rsidR="008E6686" w:rsidRPr="005D4222" w14:paraId="6C0FC61C" w14:textId="77777777" w:rsidTr="007B5FC3">
        <w:tc>
          <w:tcPr>
            <w:tcW w:w="2157" w:type="dxa"/>
            <w:tcBorders>
              <w:top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13298CDE" w14:textId="77777777" w:rsidR="008E6686" w:rsidRPr="005D4222" w:rsidRDefault="008E6686" w:rsidP="00A53E8C">
            <w:pPr>
              <w:pStyle w:val="ECDSMarginHead"/>
            </w:pPr>
          </w:p>
        </w:tc>
        <w:tc>
          <w:tcPr>
            <w:tcW w:w="7557" w:type="dxa"/>
            <w:tcBorders>
              <w:top w:val="single" w:sz="4" w:space="0" w:color="auto"/>
              <w:left w:val="single" w:sz="4" w:space="0" w:color="auto"/>
              <w:bottom w:val="single" w:sz="4" w:space="0" w:color="auto"/>
            </w:tcBorders>
            <w:tcMar>
              <w:left w:w="86" w:type="dxa"/>
              <w:bottom w:w="43" w:type="dxa"/>
              <w:right w:w="86" w:type="dxa"/>
            </w:tcMar>
          </w:tcPr>
          <w:p w14:paraId="3C0DDC98" w14:textId="77777777" w:rsidR="008E6686" w:rsidRPr="005D4222" w:rsidRDefault="008E6686" w:rsidP="008E6686">
            <w:pPr>
              <w:pStyle w:val="Dash"/>
              <w:tabs>
                <w:tab w:val="left" w:pos="576"/>
                <w:tab w:val="left" w:pos="792"/>
              </w:tabs>
              <w:spacing w:before="120"/>
            </w:pPr>
            <w:r w:rsidRPr="005D4222">
              <w:t xml:space="preserve">HCC-17 and HCC-19 are part of Diabetes Ranking Group 1. Because CC-17 is ranked higher than CC-19 in Ranking Group Diabetes 1, the comorbidity is assigned as HCC-17 for Ranking Group 1. </w:t>
            </w:r>
          </w:p>
          <w:p w14:paraId="7AD489AF" w14:textId="77777777" w:rsidR="008E6686" w:rsidRPr="005D4222" w:rsidRDefault="008E6686" w:rsidP="008E6686">
            <w:pPr>
              <w:pStyle w:val="Dash"/>
              <w:tabs>
                <w:tab w:val="left" w:pos="576"/>
                <w:tab w:val="left" w:pos="792"/>
              </w:tabs>
              <w:rPr>
                <w:rFonts w:eastAsiaTheme="minorEastAsia"/>
                <w:color w:val="000000"/>
                <w:sz w:val="20"/>
                <w:lang w:eastAsia="zh-CN"/>
              </w:rPr>
            </w:pPr>
            <w:r w:rsidRPr="005D4222">
              <w:rPr>
                <w:bCs/>
              </w:rPr>
              <w:t xml:space="preserve">The final comorbidities for this person are HCC-17 and </w:t>
            </w:r>
            <w:r w:rsidRPr="005D4222">
              <w:rPr>
                <w:bCs/>
              </w:rPr>
              <w:br/>
              <w:t>HCC-85.</w:t>
            </w:r>
          </w:p>
          <w:p w14:paraId="46B2EFF1" w14:textId="77777777" w:rsidR="008E6686" w:rsidRPr="005D4222" w:rsidRDefault="008E6686" w:rsidP="00A53E8C">
            <w:pPr>
              <w:pStyle w:val="Heading3"/>
              <w:spacing w:before="120"/>
            </w:pPr>
            <w:r w:rsidRPr="005D4222">
              <w:t>Table HCC—Rank</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99"/>
              <w:gridCol w:w="857"/>
              <w:gridCol w:w="3240"/>
              <w:gridCol w:w="900"/>
              <w:gridCol w:w="1079"/>
            </w:tblGrid>
            <w:tr w:rsidR="008E6686" w:rsidRPr="005D4222" w14:paraId="0A0C3E02" w14:textId="77777777" w:rsidTr="00A53E8C">
              <w:tc>
                <w:tcPr>
                  <w:tcW w:w="1299" w:type="dxa"/>
                  <w:tcBorders>
                    <w:right w:val="single" w:sz="6" w:space="0" w:color="FFFFFF" w:themeColor="background1"/>
                  </w:tcBorders>
                  <w:shd w:val="clear" w:color="auto" w:fill="000000" w:themeFill="text1"/>
                  <w:vAlign w:val="bottom"/>
                  <w:hideMark/>
                </w:tcPr>
                <w:p w14:paraId="59ABC3A5" w14:textId="77777777" w:rsidR="008E6686" w:rsidRPr="005D4222" w:rsidRDefault="008E6686" w:rsidP="00A53E8C">
                  <w:pPr>
                    <w:pStyle w:val="TableHead"/>
                  </w:pPr>
                  <w:r w:rsidRPr="005D4222">
                    <w:t>Ranking Group</w:t>
                  </w:r>
                </w:p>
              </w:tc>
              <w:tc>
                <w:tcPr>
                  <w:tcW w:w="857" w:type="dxa"/>
                  <w:tcBorders>
                    <w:left w:val="single" w:sz="6" w:space="0" w:color="FFFFFF" w:themeColor="background1"/>
                    <w:right w:val="single" w:sz="6" w:space="0" w:color="FFFFFF" w:themeColor="background1"/>
                  </w:tcBorders>
                  <w:shd w:val="clear" w:color="auto" w:fill="000000" w:themeFill="text1"/>
                  <w:vAlign w:val="bottom"/>
                  <w:hideMark/>
                </w:tcPr>
                <w:p w14:paraId="2D7D7BA4" w14:textId="77777777" w:rsidR="008E6686" w:rsidRPr="005D4222" w:rsidRDefault="008E6686" w:rsidP="00A53E8C">
                  <w:pPr>
                    <w:pStyle w:val="TableHead"/>
                  </w:pPr>
                  <w:r w:rsidRPr="005D4222">
                    <w:t>CC</w:t>
                  </w:r>
                </w:p>
              </w:tc>
              <w:tc>
                <w:tcPr>
                  <w:tcW w:w="3240" w:type="dxa"/>
                  <w:tcBorders>
                    <w:left w:val="single" w:sz="6" w:space="0" w:color="FFFFFF" w:themeColor="background1"/>
                    <w:right w:val="single" w:sz="6" w:space="0" w:color="FFFFFF" w:themeColor="background1"/>
                  </w:tcBorders>
                  <w:shd w:val="clear" w:color="auto" w:fill="000000" w:themeFill="text1"/>
                  <w:vAlign w:val="bottom"/>
                  <w:hideMark/>
                </w:tcPr>
                <w:p w14:paraId="41FD0F3B" w14:textId="77777777" w:rsidR="008E6686" w:rsidRPr="005D4222" w:rsidRDefault="008E6686" w:rsidP="00A53E8C">
                  <w:pPr>
                    <w:pStyle w:val="TableHead"/>
                  </w:pPr>
                  <w:r w:rsidRPr="005D4222">
                    <w:t>Description</w:t>
                  </w:r>
                </w:p>
              </w:tc>
              <w:tc>
                <w:tcPr>
                  <w:tcW w:w="900" w:type="dxa"/>
                  <w:tcBorders>
                    <w:left w:val="single" w:sz="6" w:space="0" w:color="FFFFFF" w:themeColor="background1"/>
                    <w:right w:val="single" w:sz="6" w:space="0" w:color="FFFFFF" w:themeColor="background1"/>
                  </w:tcBorders>
                  <w:shd w:val="clear" w:color="auto" w:fill="000000" w:themeFill="text1"/>
                  <w:vAlign w:val="bottom"/>
                  <w:hideMark/>
                </w:tcPr>
                <w:p w14:paraId="243E1D4E" w14:textId="77777777" w:rsidR="008E6686" w:rsidRPr="005D4222" w:rsidRDefault="008E6686" w:rsidP="00A53E8C">
                  <w:pPr>
                    <w:pStyle w:val="TableHead"/>
                  </w:pPr>
                  <w:r w:rsidRPr="005D4222">
                    <w:t>Rank</w:t>
                  </w:r>
                </w:p>
              </w:tc>
              <w:tc>
                <w:tcPr>
                  <w:tcW w:w="1079" w:type="dxa"/>
                  <w:tcBorders>
                    <w:left w:val="single" w:sz="6" w:space="0" w:color="FFFFFF" w:themeColor="background1"/>
                  </w:tcBorders>
                  <w:shd w:val="clear" w:color="auto" w:fill="000000" w:themeFill="text1"/>
                  <w:vAlign w:val="bottom"/>
                  <w:hideMark/>
                </w:tcPr>
                <w:p w14:paraId="7DF70F20" w14:textId="77777777" w:rsidR="008E6686" w:rsidRPr="005D4222" w:rsidRDefault="008E6686" w:rsidP="00A53E8C">
                  <w:pPr>
                    <w:pStyle w:val="TableHead"/>
                  </w:pPr>
                  <w:r w:rsidRPr="005D4222">
                    <w:t>HCC</w:t>
                  </w:r>
                </w:p>
              </w:tc>
            </w:tr>
            <w:tr w:rsidR="008E6686" w:rsidRPr="005D4222" w14:paraId="6451293F" w14:textId="77777777" w:rsidTr="00A53E8C">
              <w:tc>
                <w:tcPr>
                  <w:tcW w:w="1299" w:type="dxa"/>
                  <w:tcBorders>
                    <w:bottom w:val="single" w:sz="4" w:space="0" w:color="000000" w:themeColor="text1"/>
                  </w:tcBorders>
                  <w:hideMark/>
                </w:tcPr>
                <w:p w14:paraId="12B37E1D" w14:textId="77777777" w:rsidR="008E6686" w:rsidRPr="005D4222" w:rsidRDefault="008E6686" w:rsidP="00A53E8C">
                  <w:pPr>
                    <w:pStyle w:val="TableText"/>
                    <w:jc w:val="center"/>
                  </w:pPr>
                  <w:r w:rsidRPr="005D4222">
                    <w:t>NA</w:t>
                  </w:r>
                </w:p>
              </w:tc>
              <w:tc>
                <w:tcPr>
                  <w:tcW w:w="857" w:type="dxa"/>
                  <w:tcBorders>
                    <w:bottom w:val="single" w:sz="4" w:space="0" w:color="000000" w:themeColor="text1"/>
                  </w:tcBorders>
                  <w:hideMark/>
                </w:tcPr>
                <w:p w14:paraId="0AF9D889" w14:textId="77777777" w:rsidR="008E6686" w:rsidRPr="005D4222" w:rsidRDefault="008E6686" w:rsidP="00A53E8C">
                  <w:pPr>
                    <w:pStyle w:val="TableText"/>
                  </w:pPr>
                  <w:r w:rsidRPr="005D4222">
                    <w:t>CC-85</w:t>
                  </w:r>
                </w:p>
              </w:tc>
              <w:tc>
                <w:tcPr>
                  <w:tcW w:w="3240" w:type="dxa"/>
                  <w:tcBorders>
                    <w:bottom w:val="single" w:sz="4" w:space="0" w:color="000000" w:themeColor="text1"/>
                  </w:tcBorders>
                  <w:hideMark/>
                </w:tcPr>
                <w:p w14:paraId="2DF4A383" w14:textId="77777777" w:rsidR="008E6686" w:rsidRPr="005D4222" w:rsidRDefault="008E6686" w:rsidP="00A53E8C">
                  <w:pPr>
                    <w:pStyle w:val="TableText"/>
                  </w:pPr>
                  <w:r w:rsidRPr="005D4222">
                    <w:t>Congestive Heart Failure</w:t>
                  </w:r>
                </w:p>
              </w:tc>
              <w:tc>
                <w:tcPr>
                  <w:tcW w:w="900" w:type="dxa"/>
                  <w:tcBorders>
                    <w:bottom w:val="single" w:sz="4" w:space="0" w:color="000000" w:themeColor="text1"/>
                  </w:tcBorders>
                  <w:hideMark/>
                </w:tcPr>
                <w:p w14:paraId="1D31A4B8" w14:textId="77777777" w:rsidR="008E6686" w:rsidRPr="005D4222" w:rsidRDefault="008E6686" w:rsidP="00A53E8C">
                  <w:pPr>
                    <w:pStyle w:val="TableText"/>
                    <w:jc w:val="center"/>
                  </w:pPr>
                  <w:r w:rsidRPr="005D4222">
                    <w:t>NA</w:t>
                  </w:r>
                </w:p>
              </w:tc>
              <w:tc>
                <w:tcPr>
                  <w:tcW w:w="1079" w:type="dxa"/>
                  <w:tcBorders>
                    <w:bottom w:val="single" w:sz="4" w:space="0" w:color="000000" w:themeColor="text1"/>
                  </w:tcBorders>
                  <w:hideMark/>
                </w:tcPr>
                <w:p w14:paraId="1488EF4D" w14:textId="77777777" w:rsidR="008E6686" w:rsidRPr="005D4222" w:rsidRDefault="008E6686" w:rsidP="00A53E8C">
                  <w:pPr>
                    <w:pStyle w:val="TableText"/>
                  </w:pPr>
                  <w:r w:rsidRPr="005D4222">
                    <w:t>HCC-85</w:t>
                  </w:r>
                </w:p>
              </w:tc>
            </w:tr>
            <w:tr w:rsidR="008E6686" w:rsidRPr="005D4222" w14:paraId="28AE869A" w14:textId="77777777" w:rsidTr="00A53E8C">
              <w:tc>
                <w:tcPr>
                  <w:tcW w:w="1299" w:type="dxa"/>
                  <w:vMerge w:val="restart"/>
                  <w:shd w:val="clear" w:color="auto" w:fill="FFFFFF" w:themeFill="background1"/>
                  <w:vAlign w:val="center"/>
                  <w:hideMark/>
                </w:tcPr>
                <w:p w14:paraId="18A852A5" w14:textId="77777777" w:rsidR="008E6686" w:rsidRPr="005D4222" w:rsidRDefault="008E6686" w:rsidP="00A53E8C">
                  <w:pPr>
                    <w:pStyle w:val="TableText"/>
                  </w:pPr>
                  <w:r w:rsidRPr="005D4222">
                    <w:t xml:space="preserve">Diabetes 1 </w:t>
                  </w:r>
                </w:p>
              </w:tc>
              <w:tc>
                <w:tcPr>
                  <w:tcW w:w="857" w:type="dxa"/>
                  <w:tcBorders>
                    <w:top w:val="single" w:sz="4" w:space="0" w:color="000000" w:themeColor="text1"/>
                    <w:bottom w:val="single" w:sz="4" w:space="0" w:color="808080" w:themeColor="background1" w:themeShade="80"/>
                  </w:tcBorders>
                  <w:shd w:val="clear" w:color="auto" w:fill="FFFFFF" w:themeFill="background1"/>
                  <w:hideMark/>
                </w:tcPr>
                <w:p w14:paraId="0C7747FB" w14:textId="77777777" w:rsidR="008E6686" w:rsidRPr="005D4222" w:rsidRDefault="008E6686" w:rsidP="00A53E8C">
                  <w:pPr>
                    <w:pStyle w:val="TableText"/>
                  </w:pPr>
                  <w:r w:rsidRPr="005D4222">
                    <w:t>CC-17</w:t>
                  </w:r>
                </w:p>
              </w:tc>
              <w:tc>
                <w:tcPr>
                  <w:tcW w:w="3240" w:type="dxa"/>
                  <w:tcBorders>
                    <w:top w:val="single" w:sz="4" w:space="0" w:color="000000" w:themeColor="text1"/>
                    <w:bottom w:val="single" w:sz="4" w:space="0" w:color="808080" w:themeColor="background1" w:themeShade="80"/>
                  </w:tcBorders>
                  <w:shd w:val="clear" w:color="auto" w:fill="FFFFFF" w:themeFill="background1"/>
                  <w:hideMark/>
                </w:tcPr>
                <w:p w14:paraId="571118F6" w14:textId="77777777" w:rsidR="008E6686" w:rsidRPr="005D4222" w:rsidRDefault="008E6686" w:rsidP="00A53E8C">
                  <w:pPr>
                    <w:pStyle w:val="TableText"/>
                  </w:pPr>
                  <w:r w:rsidRPr="005D4222">
                    <w:t xml:space="preserve">Diabetes With Acute Complications </w:t>
                  </w:r>
                </w:p>
              </w:tc>
              <w:tc>
                <w:tcPr>
                  <w:tcW w:w="900" w:type="dxa"/>
                  <w:tcBorders>
                    <w:top w:val="single" w:sz="4" w:space="0" w:color="000000" w:themeColor="text1"/>
                    <w:bottom w:val="single" w:sz="4" w:space="0" w:color="808080" w:themeColor="background1" w:themeShade="80"/>
                  </w:tcBorders>
                  <w:shd w:val="clear" w:color="auto" w:fill="FFFFFF" w:themeFill="background1"/>
                  <w:hideMark/>
                </w:tcPr>
                <w:p w14:paraId="45F778B9" w14:textId="77777777" w:rsidR="008E6686" w:rsidRPr="005D4222" w:rsidRDefault="008E6686" w:rsidP="00A53E8C">
                  <w:pPr>
                    <w:pStyle w:val="TableText"/>
                    <w:jc w:val="center"/>
                  </w:pPr>
                  <w:r w:rsidRPr="005D4222">
                    <w:t>1</w:t>
                  </w:r>
                </w:p>
              </w:tc>
              <w:tc>
                <w:tcPr>
                  <w:tcW w:w="1079" w:type="dxa"/>
                  <w:tcBorders>
                    <w:top w:val="single" w:sz="4" w:space="0" w:color="000000" w:themeColor="text1"/>
                    <w:bottom w:val="single" w:sz="4" w:space="0" w:color="808080" w:themeColor="background1" w:themeShade="80"/>
                  </w:tcBorders>
                  <w:shd w:val="clear" w:color="auto" w:fill="FFFFFF" w:themeFill="background1"/>
                  <w:hideMark/>
                </w:tcPr>
                <w:p w14:paraId="41DF2580" w14:textId="77777777" w:rsidR="008E6686" w:rsidRPr="005D4222" w:rsidRDefault="008E6686" w:rsidP="00A53E8C">
                  <w:pPr>
                    <w:pStyle w:val="TableText"/>
                  </w:pPr>
                  <w:r w:rsidRPr="005D4222">
                    <w:t>HCC-17</w:t>
                  </w:r>
                </w:p>
              </w:tc>
            </w:tr>
            <w:tr w:rsidR="008E6686" w:rsidRPr="005D4222" w14:paraId="5EFF6D14" w14:textId="77777777" w:rsidTr="00A53E8C">
              <w:tc>
                <w:tcPr>
                  <w:tcW w:w="1299" w:type="dxa"/>
                  <w:vMerge/>
                  <w:shd w:val="clear" w:color="auto" w:fill="FFFFFF" w:themeFill="background1"/>
                  <w:hideMark/>
                </w:tcPr>
                <w:p w14:paraId="4A6E9963" w14:textId="77777777" w:rsidR="008E6686" w:rsidRPr="005D4222" w:rsidRDefault="008E6686" w:rsidP="00A53E8C">
                  <w:pPr>
                    <w:pStyle w:val="TableText"/>
                  </w:pPr>
                </w:p>
              </w:tc>
              <w:tc>
                <w:tcPr>
                  <w:tcW w:w="857" w:type="dxa"/>
                  <w:tcBorders>
                    <w:top w:val="single" w:sz="4" w:space="0" w:color="808080" w:themeColor="background1" w:themeShade="80"/>
                    <w:bottom w:val="single" w:sz="4" w:space="0" w:color="808080" w:themeColor="background1" w:themeShade="80"/>
                  </w:tcBorders>
                  <w:shd w:val="clear" w:color="auto" w:fill="FFFFFF" w:themeFill="background1"/>
                  <w:hideMark/>
                </w:tcPr>
                <w:p w14:paraId="0FFF43D5" w14:textId="77777777" w:rsidR="008E6686" w:rsidRPr="005D4222" w:rsidRDefault="008E6686" w:rsidP="00A53E8C">
                  <w:pPr>
                    <w:pStyle w:val="TableText"/>
                  </w:pPr>
                  <w:r w:rsidRPr="005D4222">
                    <w:t>CC-18</w:t>
                  </w:r>
                </w:p>
              </w:tc>
              <w:tc>
                <w:tcPr>
                  <w:tcW w:w="3240" w:type="dxa"/>
                  <w:tcBorders>
                    <w:top w:val="single" w:sz="4" w:space="0" w:color="808080" w:themeColor="background1" w:themeShade="80"/>
                    <w:bottom w:val="single" w:sz="4" w:space="0" w:color="808080" w:themeColor="background1" w:themeShade="80"/>
                  </w:tcBorders>
                  <w:shd w:val="clear" w:color="auto" w:fill="FFFFFF" w:themeFill="background1"/>
                  <w:hideMark/>
                </w:tcPr>
                <w:p w14:paraId="4EDA0630" w14:textId="77777777" w:rsidR="008E6686" w:rsidRPr="005D4222" w:rsidRDefault="008E6686" w:rsidP="00A53E8C">
                  <w:pPr>
                    <w:pStyle w:val="TableText"/>
                  </w:pPr>
                  <w:r w:rsidRPr="005D4222">
                    <w:t xml:space="preserve">Diabetes With Chronic Complications </w:t>
                  </w:r>
                </w:p>
              </w:tc>
              <w:tc>
                <w:tcPr>
                  <w:tcW w:w="900" w:type="dxa"/>
                  <w:tcBorders>
                    <w:top w:val="single" w:sz="4" w:space="0" w:color="808080" w:themeColor="background1" w:themeShade="80"/>
                    <w:bottom w:val="single" w:sz="4" w:space="0" w:color="808080" w:themeColor="background1" w:themeShade="80"/>
                  </w:tcBorders>
                  <w:shd w:val="clear" w:color="auto" w:fill="FFFFFF" w:themeFill="background1"/>
                  <w:hideMark/>
                </w:tcPr>
                <w:p w14:paraId="1D2C480A" w14:textId="77777777" w:rsidR="008E6686" w:rsidRPr="005D4222" w:rsidRDefault="008E6686" w:rsidP="00A53E8C">
                  <w:pPr>
                    <w:pStyle w:val="TableText"/>
                    <w:jc w:val="center"/>
                  </w:pPr>
                  <w:r w:rsidRPr="005D4222">
                    <w:t>2</w:t>
                  </w:r>
                </w:p>
              </w:tc>
              <w:tc>
                <w:tcPr>
                  <w:tcW w:w="1079" w:type="dxa"/>
                  <w:tcBorders>
                    <w:top w:val="single" w:sz="4" w:space="0" w:color="808080" w:themeColor="background1" w:themeShade="80"/>
                    <w:bottom w:val="single" w:sz="4" w:space="0" w:color="808080" w:themeColor="background1" w:themeShade="80"/>
                  </w:tcBorders>
                  <w:shd w:val="clear" w:color="auto" w:fill="FFFFFF" w:themeFill="background1"/>
                  <w:hideMark/>
                </w:tcPr>
                <w:p w14:paraId="46D470FD" w14:textId="77777777" w:rsidR="008E6686" w:rsidRPr="005D4222" w:rsidRDefault="008E6686" w:rsidP="00A53E8C">
                  <w:pPr>
                    <w:pStyle w:val="TableText"/>
                  </w:pPr>
                  <w:r w:rsidRPr="005D4222">
                    <w:t>HCC-18</w:t>
                  </w:r>
                </w:p>
              </w:tc>
            </w:tr>
            <w:tr w:rsidR="008E6686" w:rsidRPr="005D4222" w14:paraId="595A8840" w14:textId="77777777" w:rsidTr="00A53E8C">
              <w:tc>
                <w:tcPr>
                  <w:tcW w:w="1299" w:type="dxa"/>
                  <w:vMerge/>
                  <w:shd w:val="clear" w:color="auto" w:fill="FFFFFF" w:themeFill="background1"/>
                  <w:hideMark/>
                </w:tcPr>
                <w:p w14:paraId="080889F0" w14:textId="77777777" w:rsidR="008E6686" w:rsidRPr="005D4222" w:rsidRDefault="008E6686" w:rsidP="00A53E8C">
                  <w:pPr>
                    <w:pStyle w:val="TableText"/>
                  </w:pPr>
                </w:p>
              </w:tc>
              <w:tc>
                <w:tcPr>
                  <w:tcW w:w="857" w:type="dxa"/>
                  <w:tcBorders>
                    <w:top w:val="single" w:sz="4" w:space="0" w:color="808080" w:themeColor="background1" w:themeShade="80"/>
                    <w:bottom w:val="single" w:sz="4" w:space="0" w:color="auto"/>
                  </w:tcBorders>
                  <w:shd w:val="clear" w:color="auto" w:fill="FFFFFF" w:themeFill="background1"/>
                  <w:hideMark/>
                </w:tcPr>
                <w:p w14:paraId="4AA05E5B" w14:textId="77777777" w:rsidR="008E6686" w:rsidRPr="005D4222" w:rsidRDefault="008E6686" w:rsidP="00A53E8C">
                  <w:pPr>
                    <w:pStyle w:val="TableText"/>
                  </w:pPr>
                  <w:r w:rsidRPr="005D4222">
                    <w:t>CC-19</w:t>
                  </w:r>
                </w:p>
              </w:tc>
              <w:tc>
                <w:tcPr>
                  <w:tcW w:w="3240" w:type="dxa"/>
                  <w:tcBorders>
                    <w:top w:val="single" w:sz="4" w:space="0" w:color="808080" w:themeColor="background1" w:themeShade="80"/>
                    <w:bottom w:val="single" w:sz="4" w:space="0" w:color="auto"/>
                  </w:tcBorders>
                  <w:shd w:val="clear" w:color="auto" w:fill="FFFFFF" w:themeFill="background1"/>
                  <w:hideMark/>
                </w:tcPr>
                <w:p w14:paraId="05509C4F" w14:textId="77777777" w:rsidR="008E6686" w:rsidRPr="005D4222" w:rsidRDefault="008E6686" w:rsidP="00A53E8C">
                  <w:pPr>
                    <w:pStyle w:val="TableText"/>
                  </w:pPr>
                  <w:r w:rsidRPr="005D4222">
                    <w:t xml:space="preserve">Diabetes Without Complications </w:t>
                  </w:r>
                </w:p>
              </w:tc>
              <w:tc>
                <w:tcPr>
                  <w:tcW w:w="900" w:type="dxa"/>
                  <w:tcBorders>
                    <w:top w:val="single" w:sz="4" w:space="0" w:color="808080" w:themeColor="background1" w:themeShade="80"/>
                    <w:bottom w:val="single" w:sz="4" w:space="0" w:color="auto"/>
                  </w:tcBorders>
                  <w:shd w:val="clear" w:color="auto" w:fill="FFFFFF" w:themeFill="background1"/>
                  <w:hideMark/>
                </w:tcPr>
                <w:p w14:paraId="00892E9D" w14:textId="77777777" w:rsidR="008E6686" w:rsidRPr="005D4222" w:rsidRDefault="008E6686" w:rsidP="00A53E8C">
                  <w:pPr>
                    <w:pStyle w:val="TableText"/>
                    <w:jc w:val="center"/>
                  </w:pPr>
                  <w:r w:rsidRPr="005D4222">
                    <w:t>3</w:t>
                  </w:r>
                </w:p>
              </w:tc>
              <w:tc>
                <w:tcPr>
                  <w:tcW w:w="1079" w:type="dxa"/>
                  <w:tcBorders>
                    <w:top w:val="single" w:sz="4" w:space="0" w:color="808080" w:themeColor="background1" w:themeShade="80"/>
                    <w:bottom w:val="single" w:sz="4" w:space="0" w:color="auto"/>
                  </w:tcBorders>
                  <w:shd w:val="clear" w:color="auto" w:fill="FFFFFF" w:themeFill="background1"/>
                  <w:hideMark/>
                </w:tcPr>
                <w:p w14:paraId="29CDDB15" w14:textId="77777777" w:rsidR="008E6686" w:rsidRPr="005D4222" w:rsidRDefault="008E6686" w:rsidP="00A53E8C">
                  <w:pPr>
                    <w:pStyle w:val="TableText"/>
                  </w:pPr>
                  <w:r w:rsidRPr="005D4222">
                    <w:t>HCC-19</w:t>
                  </w:r>
                </w:p>
              </w:tc>
            </w:tr>
          </w:tbl>
          <w:p w14:paraId="0129D981" w14:textId="77777777" w:rsidR="008E6686" w:rsidRPr="005D4222" w:rsidRDefault="008E6686" w:rsidP="00A53E8C">
            <w:pPr>
              <w:spacing w:before="240"/>
            </w:pPr>
            <w:r w:rsidRPr="005D4222">
              <w:rPr>
                <w:b/>
                <w:bCs/>
              </w:rPr>
              <w:t>Step 5.</w:t>
            </w:r>
            <w:r w:rsidRPr="005D4222">
              <w:rPr>
                <w:bCs/>
              </w:rPr>
              <w:t xml:space="preserve"> </w:t>
            </w:r>
            <w:r w:rsidRPr="005D4222">
              <w:t xml:space="preserve">Identify combination HCCs listed in Table HCC—Comb. </w:t>
            </w:r>
          </w:p>
          <w:p w14:paraId="0A62083E" w14:textId="77777777" w:rsidR="006D57ED" w:rsidRPr="005D4222" w:rsidRDefault="008E6686" w:rsidP="00A53E8C">
            <w:pPr>
              <w:pStyle w:val="ECDSBody"/>
            </w:pPr>
            <w:r w:rsidRPr="005D4222">
              <w:t xml:space="preserve">Some combinations suggest a greater amount of risk when observed together. </w:t>
            </w:r>
          </w:p>
          <w:p w14:paraId="3D89E85B" w14:textId="6C3D653F" w:rsidR="008E6686" w:rsidRPr="005D4222" w:rsidRDefault="008E6686" w:rsidP="006D57ED">
            <w:pPr>
              <w:pStyle w:val="Bullet"/>
            </w:pPr>
            <w:r w:rsidRPr="005D4222">
              <w:rPr>
                <w:i/>
                <w:iCs/>
              </w:rPr>
              <w:t xml:space="preserve">For example, </w:t>
            </w:r>
            <w:r w:rsidRPr="005D4222">
              <w:t xml:space="preserve">when diabetes </w:t>
            </w:r>
            <w:r w:rsidRPr="005D4222">
              <w:rPr>
                <w:i/>
                <w:iCs/>
              </w:rPr>
              <w:t xml:space="preserve">and </w:t>
            </w:r>
            <w:r w:rsidRPr="005D4222">
              <w:t xml:space="preserve">CHF are present, an increased amount of risk is evident. Additional HCCs are selected to account for these relationships. </w:t>
            </w:r>
          </w:p>
          <w:p w14:paraId="6EA3B144" w14:textId="77777777" w:rsidR="008E6686" w:rsidRPr="005D4222" w:rsidRDefault="008E6686" w:rsidP="00A53E8C">
            <w:pPr>
              <w:pStyle w:val="ECDSBody"/>
              <w:rPr>
                <w:i/>
              </w:rPr>
            </w:pPr>
            <w:r w:rsidRPr="005D4222">
              <w:t xml:space="preserve">Compare each person’s list of unique HCCs to those in the </w:t>
            </w:r>
            <w:r w:rsidRPr="005D4222">
              <w:rPr>
                <w:i/>
                <w:iCs/>
              </w:rPr>
              <w:t>Comorbid HCC</w:t>
            </w:r>
            <w:r w:rsidRPr="005D4222">
              <w:t xml:space="preserve"> columns in Table HCC—Comb and assign any additional HCC conditions.</w:t>
            </w:r>
          </w:p>
          <w:p w14:paraId="18D46A94" w14:textId="77777777" w:rsidR="008E6686" w:rsidRPr="005D4222" w:rsidRDefault="008E6686" w:rsidP="00A53E8C">
            <w:pPr>
              <w:pStyle w:val="ECDSBody"/>
              <w:rPr>
                <w:b/>
              </w:rPr>
            </w:pPr>
            <w:r w:rsidRPr="005D4222">
              <w:rPr>
                <w:i/>
              </w:rPr>
              <w:t xml:space="preserve">If there are overlapping combinations, use both sets of combinations. </w:t>
            </w:r>
            <w:r w:rsidRPr="005D4222">
              <w:t>Based on the combinations, a person can have none, one or more of these added HCCs.</w:t>
            </w:r>
          </w:p>
          <w:p w14:paraId="28096065" w14:textId="77777777" w:rsidR="008E6686" w:rsidRPr="005D4222" w:rsidRDefault="008E6686" w:rsidP="008E6686">
            <w:pPr>
              <w:pStyle w:val="Bullet"/>
              <w:numPr>
                <w:ilvl w:val="0"/>
                <w:numId w:val="4"/>
              </w:numPr>
              <w:tabs>
                <w:tab w:val="left" w:pos="360"/>
                <w:tab w:val="left" w:pos="576"/>
              </w:tabs>
              <w:ind w:left="576" w:hanging="216"/>
            </w:pPr>
            <w:r w:rsidRPr="005D4222">
              <w:rPr>
                <w:i/>
                <w:iCs/>
              </w:rPr>
              <w:t xml:space="preserve">For example, </w:t>
            </w:r>
            <w:r w:rsidRPr="005D4222">
              <w:t xml:space="preserve">for a person with comorbidities HCC-17 and HCC-85 (assume no other HCCs), assign HCC-901 in addition to </w:t>
            </w:r>
            <w:r w:rsidRPr="005D4222">
              <w:br/>
              <w:t xml:space="preserve">HCC-17 and HCC-85. This </w:t>
            </w:r>
            <w:r w:rsidRPr="005D4222">
              <w:rPr>
                <w:i/>
                <w:iCs/>
              </w:rPr>
              <w:t>does not</w:t>
            </w:r>
            <w:r w:rsidRPr="005D4222">
              <w:t xml:space="preserve"> replace HCC-17 and HCC-85.</w:t>
            </w:r>
          </w:p>
          <w:p w14:paraId="0AC3D81D" w14:textId="77777777" w:rsidR="008E6686" w:rsidRPr="005D4222" w:rsidRDefault="008E6686" w:rsidP="00A53E8C">
            <w:pPr>
              <w:pStyle w:val="Heading3"/>
              <w:spacing w:before="120"/>
            </w:pPr>
            <w:r w:rsidRPr="005D4222">
              <w:t>Table HCC—Comb</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82"/>
              <w:gridCol w:w="1282"/>
              <w:gridCol w:w="1282"/>
              <w:gridCol w:w="1488"/>
              <w:gridCol w:w="2041"/>
            </w:tblGrid>
            <w:tr w:rsidR="008E6686" w:rsidRPr="005D4222" w14:paraId="7101C869" w14:textId="77777777" w:rsidTr="00A53E8C">
              <w:tc>
                <w:tcPr>
                  <w:tcW w:w="1282" w:type="dxa"/>
                  <w:tcBorders>
                    <w:right w:val="single" w:sz="4" w:space="0" w:color="FFFFFF" w:themeColor="background1"/>
                  </w:tcBorders>
                  <w:shd w:val="clear" w:color="auto" w:fill="000000" w:themeFill="text1"/>
                  <w:vAlign w:val="bottom"/>
                  <w:hideMark/>
                </w:tcPr>
                <w:p w14:paraId="164686B6" w14:textId="77777777" w:rsidR="008E6686" w:rsidRPr="005D4222" w:rsidRDefault="008E6686" w:rsidP="00A53E8C">
                  <w:pPr>
                    <w:pStyle w:val="TableHead"/>
                  </w:pPr>
                  <w:r w:rsidRPr="005D4222">
                    <w:t xml:space="preserve">Comorbid </w:t>
                  </w:r>
                  <w:r w:rsidRPr="005D4222">
                    <w:br/>
                    <w:t>HCC 1</w:t>
                  </w:r>
                </w:p>
              </w:tc>
              <w:tc>
                <w:tcPr>
                  <w:tcW w:w="1282" w:type="dxa"/>
                  <w:tcBorders>
                    <w:left w:val="single" w:sz="4" w:space="0" w:color="FFFFFF" w:themeColor="background1"/>
                    <w:right w:val="single" w:sz="4" w:space="0" w:color="FFFFFF" w:themeColor="background1"/>
                  </w:tcBorders>
                  <w:shd w:val="clear" w:color="auto" w:fill="000000" w:themeFill="text1"/>
                  <w:vAlign w:val="bottom"/>
                  <w:hideMark/>
                </w:tcPr>
                <w:p w14:paraId="2AAAB41C" w14:textId="77777777" w:rsidR="008E6686" w:rsidRPr="005D4222" w:rsidRDefault="008E6686" w:rsidP="00A53E8C">
                  <w:pPr>
                    <w:pStyle w:val="TableHead"/>
                  </w:pPr>
                  <w:r w:rsidRPr="005D4222">
                    <w:t xml:space="preserve">Comorbid </w:t>
                  </w:r>
                  <w:r w:rsidRPr="005D4222">
                    <w:br/>
                    <w:t>HCC 2</w:t>
                  </w:r>
                </w:p>
              </w:tc>
              <w:tc>
                <w:tcPr>
                  <w:tcW w:w="1282" w:type="dxa"/>
                  <w:tcBorders>
                    <w:left w:val="single" w:sz="4" w:space="0" w:color="FFFFFF" w:themeColor="background1"/>
                    <w:right w:val="single" w:sz="4" w:space="0" w:color="FFFFFF" w:themeColor="background1"/>
                  </w:tcBorders>
                  <w:shd w:val="clear" w:color="auto" w:fill="000000" w:themeFill="text1"/>
                  <w:vAlign w:val="bottom"/>
                  <w:hideMark/>
                </w:tcPr>
                <w:p w14:paraId="71CC4E4A" w14:textId="77777777" w:rsidR="008E6686" w:rsidRPr="005D4222" w:rsidRDefault="008E6686" w:rsidP="00A53E8C">
                  <w:pPr>
                    <w:pStyle w:val="TableHead"/>
                  </w:pPr>
                  <w:r w:rsidRPr="005D4222">
                    <w:t xml:space="preserve">Comorbid </w:t>
                  </w:r>
                  <w:r w:rsidRPr="005D4222">
                    <w:br/>
                    <w:t>HCC 3</w:t>
                  </w:r>
                </w:p>
              </w:tc>
              <w:tc>
                <w:tcPr>
                  <w:tcW w:w="1488" w:type="dxa"/>
                  <w:tcBorders>
                    <w:left w:val="single" w:sz="4" w:space="0" w:color="FFFFFF" w:themeColor="background1"/>
                    <w:right w:val="single" w:sz="4" w:space="0" w:color="FFFFFF" w:themeColor="background1"/>
                  </w:tcBorders>
                  <w:shd w:val="clear" w:color="auto" w:fill="000000" w:themeFill="text1"/>
                  <w:vAlign w:val="bottom"/>
                  <w:hideMark/>
                </w:tcPr>
                <w:p w14:paraId="45E46EF5" w14:textId="77777777" w:rsidR="008E6686" w:rsidRPr="005D4222" w:rsidRDefault="008E6686" w:rsidP="00A53E8C">
                  <w:pPr>
                    <w:pStyle w:val="TableHead"/>
                  </w:pPr>
                  <w:r w:rsidRPr="005D4222">
                    <w:t>HCC-</w:t>
                  </w:r>
                  <w:r w:rsidRPr="005D4222">
                    <w:br/>
                    <w:t>Combination</w:t>
                  </w:r>
                </w:p>
              </w:tc>
              <w:tc>
                <w:tcPr>
                  <w:tcW w:w="2041" w:type="dxa"/>
                  <w:tcBorders>
                    <w:left w:val="single" w:sz="4" w:space="0" w:color="FFFFFF" w:themeColor="background1"/>
                  </w:tcBorders>
                  <w:shd w:val="clear" w:color="auto" w:fill="000000" w:themeFill="text1"/>
                  <w:vAlign w:val="bottom"/>
                </w:tcPr>
                <w:p w14:paraId="6781936E" w14:textId="77777777" w:rsidR="008E6686" w:rsidRPr="005D4222" w:rsidRDefault="008E6686" w:rsidP="00A53E8C">
                  <w:pPr>
                    <w:pStyle w:val="TableHead"/>
                  </w:pPr>
                  <w:r w:rsidRPr="005D4222">
                    <w:t xml:space="preserve">HCC-Comb </w:t>
                  </w:r>
                  <w:r w:rsidRPr="005D4222">
                    <w:br/>
                    <w:t>Description</w:t>
                  </w:r>
                </w:p>
              </w:tc>
            </w:tr>
            <w:tr w:rsidR="008E6686" w:rsidRPr="005D4222" w14:paraId="0EA9F1AC" w14:textId="77777777" w:rsidTr="00A53E8C">
              <w:tc>
                <w:tcPr>
                  <w:tcW w:w="1282" w:type="dxa"/>
                  <w:shd w:val="clear" w:color="auto" w:fill="FFFFFF" w:themeFill="background1"/>
                  <w:hideMark/>
                </w:tcPr>
                <w:p w14:paraId="6C726219" w14:textId="77777777" w:rsidR="008E6686" w:rsidRPr="005D4222" w:rsidRDefault="008E6686" w:rsidP="00A53E8C">
                  <w:pPr>
                    <w:pStyle w:val="TableText"/>
                  </w:pPr>
                  <w:r w:rsidRPr="005D4222">
                    <w:t>HCC-17</w:t>
                  </w:r>
                </w:p>
              </w:tc>
              <w:tc>
                <w:tcPr>
                  <w:tcW w:w="1282" w:type="dxa"/>
                  <w:shd w:val="clear" w:color="auto" w:fill="FFFFFF" w:themeFill="background1"/>
                  <w:hideMark/>
                </w:tcPr>
                <w:p w14:paraId="7B2A3FF5" w14:textId="77777777" w:rsidR="008E6686" w:rsidRPr="005D4222" w:rsidRDefault="008E6686" w:rsidP="00A53E8C">
                  <w:pPr>
                    <w:pStyle w:val="TableText"/>
                  </w:pPr>
                  <w:r w:rsidRPr="005D4222">
                    <w:t>HCC-85</w:t>
                  </w:r>
                </w:p>
              </w:tc>
              <w:tc>
                <w:tcPr>
                  <w:tcW w:w="1282" w:type="dxa"/>
                  <w:shd w:val="clear" w:color="auto" w:fill="FFFFFF" w:themeFill="background1"/>
                  <w:hideMark/>
                </w:tcPr>
                <w:p w14:paraId="1EE482FB" w14:textId="77777777" w:rsidR="008E6686" w:rsidRPr="005D4222" w:rsidRDefault="008E6686" w:rsidP="00A53E8C">
                  <w:pPr>
                    <w:pStyle w:val="TableText"/>
                    <w:jc w:val="center"/>
                  </w:pPr>
                  <w:r w:rsidRPr="005D4222">
                    <w:t>NA</w:t>
                  </w:r>
                </w:p>
              </w:tc>
              <w:tc>
                <w:tcPr>
                  <w:tcW w:w="1488" w:type="dxa"/>
                  <w:shd w:val="clear" w:color="auto" w:fill="FFFFFF" w:themeFill="background1"/>
                  <w:hideMark/>
                </w:tcPr>
                <w:p w14:paraId="3F819D18" w14:textId="77777777" w:rsidR="008E6686" w:rsidRPr="005D4222" w:rsidRDefault="008E6686" w:rsidP="00A53E8C">
                  <w:pPr>
                    <w:pStyle w:val="TableText"/>
                  </w:pPr>
                  <w:r w:rsidRPr="005D4222">
                    <w:t>HCC-901</w:t>
                  </w:r>
                </w:p>
              </w:tc>
              <w:tc>
                <w:tcPr>
                  <w:tcW w:w="2041" w:type="dxa"/>
                  <w:shd w:val="clear" w:color="auto" w:fill="FFFFFF" w:themeFill="background1"/>
                  <w:vAlign w:val="center"/>
                </w:tcPr>
                <w:p w14:paraId="6A746740" w14:textId="77777777" w:rsidR="008E6686" w:rsidRPr="005D4222" w:rsidRDefault="008E6686" w:rsidP="00A53E8C">
                  <w:pPr>
                    <w:pStyle w:val="TableText"/>
                  </w:pPr>
                  <w:r w:rsidRPr="005D4222">
                    <w:t>Combination: Diabetes and CHF</w:t>
                  </w:r>
                </w:p>
              </w:tc>
            </w:tr>
            <w:tr w:rsidR="008E6686" w:rsidRPr="005D4222" w14:paraId="408762FA" w14:textId="77777777" w:rsidTr="007B5FC3">
              <w:tc>
                <w:tcPr>
                  <w:tcW w:w="1282" w:type="dxa"/>
                  <w:hideMark/>
                </w:tcPr>
                <w:p w14:paraId="28A90AC9" w14:textId="77777777" w:rsidR="008E6686" w:rsidRPr="005D4222" w:rsidRDefault="008E6686" w:rsidP="00A53E8C">
                  <w:pPr>
                    <w:pStyle w:val="TableText"/>
                  </w:pPr>
                  <w:r w:rsidRPr="005D4222">
                    <w:t>HCC-18</w:t>
                  </w:r>
                </w:p>
              </w:tc>
              <w:tc>
                <w:tcPr>
                  <w:tcW w:w="1282" w:type="dxa"/>
                  <w:hideMark/>
                </w:tcPr>
                <w:p w14:paraId="780F7671" w14:textId="77777777" w:rsidR="008E6686" w:rsidRPr="005D4222" w:rsidRDefault="008E6686" w:rsidP="00A53E8C">
                  <w:pPr>
                    <w:pStyle w:val="TableText"/>
                  </w:pPr>
                  <w:r w:rsidRPr="005D4222">
                    <w:t>HCC-85</w:t>
                  </w:r>
                </w:p>
              </w:tc>
              <w:tc>
                <w:tcPr>
                  <w:tcW w:w="1282" w:type="dxa"/>
                  <w:hideMark/>
                </w:tcPr>
                <w:p w14:paraId="043FBA73" w14:textId="77777777" w:rsidR="008E6686" w:rsidRPr="005D4222" w:rsidRDefault="008E6686" w:rsidP="00A53E8C">
                  <w:pPr>
                    <w:pStyle w:val="TableText"/>
                    <w:jc w:val="center"/>
                  </w:pPr>
                  <w:r w:rsidRPr="005D4222">
                    <w:t>NA</w:t>
                  </w:r>
                </w:p>
              </w:tc>
              <w:tc>
                <w:tcPr>
                  <w:tcW w:w="1488" w:type="dxa"/>
                  <w:hideMark/>
                </w:tcPr>
                <w:p w14:paraId="1BE088C0" w14:textId="77777777" w:rsidR="008E6686" w:rsidRPr="005D4222" w:rsidRDefault="008E6686" w:rsidP="00A53E8C">
                  <w:pPr>
                    <w:pStyle w:val="TableText"/>
                  </w:pPr>
                  <w:r w:rsidRPr="005D4222">
                    <w:t>HCC-901</w:t>
                  </w:r>
                </w:p>
              </w:tc>
              <w:tc>
                <w:tcPr>
                  <w:tcW w:w="2041" w:type="dxa"/>
                  <w:vAlign w:val="center"/>
                </w:tcPr>
                <w:p w14:paraId="0FEADF5B" w14:textId="77777777" w:rsidR="008E6686" w:rsidRPr="005D4222" w:rsidRDefault="008E6686" w:rsidP="00A53E8C">
                  <w:pPr>
                    <w:pStyle w:val="TableText"/>
                  </w:pPr>
                  <w:r w:rsidRPr="005D4222">
                    <w:t>Combination: Diabetes and CHF</w:t>
                  </w:r>
                </w:p>
              </w:tc>
            </w:tr>
            <w:tr w:rsidR="008E6686" w:rsidRPr="005D4222" w14:paraId="362DAA16" w14:textId="77777777" w:rsidTr="007B5FC3">
              <w:tc>
                <w:tcPr>
                  <w:tcW w:w="1282" w:type="dxa"/>
                  <w:hideMark/>
                </w:tcPr>
                <w:p w14:paraId="24ECDE26" w14:textId="77777777" w:rsidR="008E6686" w:rsidRPr="005D4222" w:rsidRDefault="008E6686" w:rsidP="00A53E8C">
                  <w:pPr>
                    <w:pStyle w:val="TableText"/>
                  </w:pPr>
                  <w:r w:rsidRPr="005D4222">
                    <w:t>HCC-19</w:t>
                  </w:r>
                </w:p>
              </w:tc>
              <w:tc>
                <w:tcPr>
                  <w:tcW w:w="1282" w:type="dxa"/>
                  <w:hideMark/>
                </w:tcPr>
                <w:p w14:paraId="2E131CAA" w14:textId="77777777" w:rsidR="008E6686" w:rsidRPr="005D4222" w:rsidRDefault="008E6686" w:rsidP="00A53E8C">
                  <w:pPr>
                    <w:pStyle w:val="TableText"/>
                  </w:pPr>
                  <w:r w:rsidRPr="005D4222">
                    <w:t>HCC-85</w:t>
                  </w:r>
                </w:p>
              </w:tc>
              <w:tc>
                <w:tcPr>
                  <w:tcW w:w="1282" w:type="dxa"/>
                  <w:hideMark/>
                </w:tcPr>
                <w:p w14:paraId="2E3F7CD3" w14:textId="77777777" w:rsidR="008E6686" w:rsidRPr="005D4222" w:rsidRDefault="008E6686" w:rsidP="00A53E8C">
                  <w:pPr>
                    <w:pStyle w:val="TableText"/>
                    <w:jc w:val="center"/>
                  </w:pPr>
                  <w:r w:rsidRPr="005D4222">
                    <w:t>NA</w:t>
                  </w:r>
                </w:p>
              </w:tc>
              <w:tc>
                <w:tcPr>
                  <w:tcW w:w="1488" w:type="dxa"/>
                  <w:hideMark/>
                </w:tcPr>
                <w:p w14:paraId="54A4870A" w14:textId="77777777" w:rsidR="008E6686" w:rsidRPr="005D4222" w:rsidRDefault="008E6686" w:rsidP="00A53E8C">
                  <w:pPr>
                    <w:pStyle w:val="TableText"/>
                  </w:pPr>
                  <w:r w:rsidRPr="005D4222">
                    <w:t>HCC-901</w:t>
                  </w:r>
                </w:p>
              </w:tc>
              <w:tc>
                <w:tcPr>
                  <w:tcW w:w="2041" w:type="dxa"/>
                  <w:vAlign w:val="center"/>
                </w:tcPr>
                <w:p w14:paraId="46DD630C" w14:textId="77777777" w:rsidR="008E6686" w:rsidRPr="005D4222" w:rsidRDefault="008E6686" w:rsidP="00A53E8C">
                  <w:pPr>
                    <w:pStyle w:val="TableText"/>
                  </w:pPr>
                  <w:r w:rsidRPr="005D4222">
                    <w:t>Combination: Diabetes and CHF</w:t>
                  </w:r>
                </w:p>
              </w:tc>
            </w:tr>
          </w:tbl>
          <w:p w14:paraId="10E2E8F5" w14:textId="77777777" w:rsidR="008E6686" w:rsidRPr="005D4222" w:rsidRDefault="008E6686" w:rsidP="00A53E8C">
            <w:pPr>
              <w:pStyle w:val="ECDSBody"/>
              <w:rPr>
                <w:b/>
                <w:bCs w:val="0"/>
                <w:i/>
                <w:iCs/>
              </w:rPr>
            </w:pPr>
          </w:p>
        </w:tc>
      </w:tr>
      <w:tr w:rsidR="008E6686" w:rsidRPr="005D4222" w14:paraId="7C0C7F1E" w14:textId="77777777" w:rsidTr="000215F6">
        <w:tc>
          <w:tcPr>
            <w:tcW w:w="2157" w:type="dxa"/>
            <w:tcBorders>
              <w:top w:val="single" w:sz="4" w:space="0" w:color="auto"/>
            </w:tcBorders>
            <w:shd w:val="clear" w:color="auto" w:fill="BFBFBF" w:themeFill="background1" w:themeFillShade="BF"/>
            <w:tcMar>
              <w:top w:w="86" w:type="dxa"/>
              <w:left w:w="86" w:type="dxa"/>
              <w:bottom w:w="43" w:type="dxa"/>
              <w:right w:w="86" w:type="dxa"/>
            </w:tcMar>
          </w:tcPr>
          <w:p w14:paraId="34300879" w14:textId="77777777" w:rsidR="008E6686" w:rsidRPr="005D4222" w:rsidRDefault="008E6686" w:rsidP="00A53E8C">
            <w:pPr>
              <w:pStyle w:val="ECDSMarginSubhead"/>
            </w:pPr>
            <w:r w:rsidRPr="005D4222">
              <w:t>Risk adjustment</w:t>
            </w:r>
          </w:p>
        </w:tc>
        <w:tc>
          <w:tcPr>
            <w:tcW w:w="7557" w:type="dxa"/>
            <w:tcBorders>
              <w:top w:val="single" w:sz="4" w:space="0" w:color="auto"/>
            </w:tcBorders>
            <w:tcMar>
              <w:left w:w="86" w:type="dxa"/>
              <w:bottom w:w="43" w:type="dxa"/>
              <w:right w:w="86" w:type="dxa"/>
            </w:tcMar>
          </w:tcPr>
          <w:p w14:paraId="31C1DDCE" w14:textId="77777777" w:rsidR="008E6686" w:rsidRPr="005D4222" w:rsidRDefault="008E6686" w:rsidP="00A53E8C">
            <w:pPr>
              <w:pStyle w:val="ECDSBody"/>
              <w:rPr>
                <w:b/>
                <w:i/>
              </w:rPr>
            </w:pPr>
            <w:r w:rsidRPr="005D4222">
              <w:rPr>
                <w:b/>
                <w:bCs w:val="0"/>
                <w:i/>
                <w:iCs/>
              </w:rPr>
              <w:t>Risk Adjustment Calculation</w:t>
            </w:r>
          </w:p>
          <w:p w14:paraId="7566E520" w14:textId="77777777" w:rsidR="008E6686" w:rsidRPr="005D4222" w:rsidRDefault="008E6686" w:rsidP="00A53E8C">
            <w:pPr>
              <w:pStyle w:val="ECDSBody"/>
              <w:spacing w:before="80"/>
            </w:pPr>
            <w:r w:rsidRPr="005D4222">
              <w:t xml:space="preserve">Calculation of risk-adjusted outcomes (counts of discharges) uses predetermined risk weights generated by two separate regression models. Weights from each model are combined to predict how many discharges each person might have during the measurement period. </w:t>
            </w:r>
          </w:p>
          <w:p w14:paraId="0770ECCC" w14:textId="77777777" w:rsidR="008E6686" w:rsidRPr="005D4222" w:rsidRDefault="008E6686" w:rsidP="00A53E8C">
            <w:pPr>
              <w:pStyle w:val="ECDSBody"/>
              <w:spacing w:before="80"/>
              <w:rPr>
                <w:b/>
                <w:bCs w:val="0"/>
              </w:rPr>
            </w:pPr>
            <w:r w:rsidRPr="005D4222">
              <w:t>For each nonoutlier person in the initial population, assign PPD risk weights. Calculate the PPD for each ACSC category (Chronic ACSC, Acute ACSC, Total ACSC).</w:t>
            </w:r>
          </w:p>
          <w:p w14:paraId="1238FE71" w14:textId="77777777" w:rsidR="008E6686" w:rsidRPr="005D4222" w:rsidRDefault="008E6686" w:rsidP="00A53E8C">
            <w:pPr>
              <w:pStyle w:val="ECDSBody"/>
            </w:pPr>
            <w:r w:rsidRPr="005D4222">
              <w:rPr>
                <w:b/>
              </w:rPr>
              <w:lastRenderedPageBreak/>
              <w:t xml:space="preserve">Step 1. </w:t>
            </w:r>
            <w:r w:rsidRPr="005D4222">
              <w:t>For each person with a comorbidity HCC Category, link the PPD weights.</w:t>
            </w:r>
          </w:p>
          <w:p w14:paraId="2F85EE99" w14:textId="77777777" w:rsidR="008E6686" w:rsidRPr="005D4222" w:rsidRDefault="008E6686" w:rsidP="00A53E8C">
            <w:pPr>
              <w:pStyle w:val="ECDSBody"/>
            </w:pPr>
            <w:r w:rsidRPr="005D4222">
              <w:rPr>
                <w:b/>
              </w:rPr>
              <w:t xml:space="preserve">Step 2. </w:t>
            </w:r>
            <w:r w:rsidRPr="005D4222">
              <w:t>Link the age and gender PPD weights for each person.</w:t>
            </w:r>
          </w:p>
          <w:p w14:paraId="401F2A3D" w14:textId="77777777" w:rsidR="008E6686" w:rsidRPr="005D4222" w:rsidRDefault="008E6686" w:rsidP="00A53E8C">
            <w:pPr>
              <w:pStyle w:val="ECDSBody"/>
            </w:pPr>
            <w:r w:rsidRPr="005D4222">
              <w:rPr>
                <w:b/>
              </w:rPr>
              <w:t xml:space="preserve">Step 3. </w:t>
            </w:r>
            <w:r w:rsidRPr="005D4222">
              <w:t>Sum all PPD weights associated with the person (comorbidities, age and gender) for each category (Chronic ACSC, Acute ACSC, Total ACSC).</w:t>
            </w:r>
          </w:p>
          <w:p w14:paraId="06A44B04" w14:textId="77777777" w:rsidR="008E6686" w:rsidRPr="005D4222" w:rsidRDefault="008E6686" w:rsidP="00A53E8C">
            <w:pPr>
              <w:pStyle w:val="ECDSBody"/>
            </w:pPr>
            <w:r w:rsidRPr="005D4222">
              <w:rPr>
                <w:b/>
              </w:rPr>
              <w:t xml:space="preserve">Step 4. </w:t>
            </w:r>
            <w:r w:rsidRPr="005D4222">
              <w:t>Calculate the predicted probability of having at least one discharge in the measurement period, based on the sum of the weights for each person, for each category (Chronic ACSC, Acute ACSC, Total ACSC), using the formula below.</w:t>
            </w:r>
          </w:p>
          <w:p w14:paraId="67DE9EA9" w14:textId="77777777" w:rsidR="008E6686" w:rsidRPr="005D4222" w:rsidRDefault="008E6686" w:rsidP="00A53E8C">
            <w:pPr>
              <w:pStyle w:val="Body"/>
              <w:spacing w:before="0"/>
              <w:jc w:val="center"/>
              <w:rPr>
                <w:sz w:val="24"/>
              </w:rPr>
            </w:pPr>
            <w:r w:rsidRPr="005D4222">
              <w:t xml:space="preserve">PPD = </w:t>
            </w:r>
            <m:oMath>
              <m:f>
                <m:fPr>
                  <m:ctrlPr>
                    <w:rPr>
                      <w:rFonts w:ascii="Cambria Math" w:hAnsi="Cambria Math" w:cs="Arial"/>
                      <w:sz w:val="24"/>
                    </w:rPr>
                  </m:ctrlPr>
                </m:fPr>
                <m:num>
                  <m:sSup>
                    <m:sSupPr>
                      <m:ctrlPr>
                        <w:rPr>
                          <w:rFonts w:ascii="Cambria Math" w:hAnsi="Cambria Math" w:cs="Arial"/>
                          <w:sz w:val="24"/>
                        </w:rPr>
                      </m:ctrlPr>
                    </m:sSupPr>
                    <m:e>
                      <m:r>
                        <m:rPr>
                          <m:sty m:val="p"/>
                        </m:rPr>
                        <w:rPr>
                          <w:rFonts w:ascii="Cambria Math" w:hAnsi="Cambria Math" w:cs="Arial"/>
                          <w:sz w:val="24"/>
                        </w:rPr>
                        <m:t>e</m:t>
                      </m:r>
                    </m:e>
                    <m:sup>
                      <m:r>
                        <m:rPr>
                          <m:sty m:val="p"/>
                        </m:rPr>
                        <w:rPr>
                          <w:rFonts w:ascii="Cambria Math" w:hAnsi="Cambria Math" w:cs="Arial"/>
                          <w:sz w:val="24"/>
                        </w:rPr>
                        <m:t>(</m:t>
                      </m:r>
                      <m:nary>
                        <m:naryPr>
                          <m:chr m:val="∑"/>
                          <m:limLoc m:val="undOvr"/>
                          <m:subHide m:val="1"/>
                          <m:supHide m:val="1"/>
                          <m:ctrlPr>
                            <w:rPr>
                              <w:rFonts w:ascii="Cambria Math" w:hAnsi="Cambria Math" w:cs="Arial"/>
                              <w:sz w:val="24"/>
                            </w:rPr>
                          </m:ctrlPr>
                        </m:naryPr>
                        <m:sub/>
                        <m:sup/>
                        <m:e>
                          <m:r>
                            <m:rPr>
                              <m:nor/>
                            </m:rPr>
                            <w:rPr>
                              <w:rFonts w:cs="Arial"/>
                              <w:sz w:val="24"/>
                            </w:rPr>
                            <m:t>PPDWeightsForEachPerson</m:t>
                          </m:r>
                        </m:e>
                      </m:nary>
                      <m:r>
                        <m:rPr>
                          <m:sty m:val="p"/>
                        </m:rPr>
                        <w:rPr>
                          <w:rFonts w:ascii="Cambria Math" w:hAnsi="Cambria Math" w:cs="Arial"/>
                          <w:sz w:val="24"/>
                        </w:rPr>
                        <m:t>)</m:t>
                      </m:r>
                    </m:sup>
                  </m:sSup>
                </m:num>
                <m:den>
                  <m:r>
                    <m:rPr>
                      <m:sty m:val="p"/>
                    </m:rPr>
                    <w:rPr>
                      <w:rFonts w:ascii="Cambria Math" w:hAnsi="Cambria Math" w:cs="Arial"/>
                      <w:sz w:val="24"/>
                    </w:rPr>
                    <m:t>1+</m:t>
                  </m:r>
                  <m:sSup>
                    <m:sSupPr>
                      <m:ctrlPr>
                        <w:rPr>
                          <w:rFonts w:ascii="Cambria Math" w:hAnsi="Cambria Math" w:cs="Arial"/>
                          <w:sz w:val="24"/>
                        </w:rPr>
                      </m:ctrlPr>
                    </m:sSupPr>
                    <m:e>
                      <m:r>
                        <m:rPr>
                          <m:sty m:val="p"/>
                        </m:rPr>
                        <w:rPr>
                          <w:rFonts w:ascii="Cambria Math" w:hAnsi="Cambria Math" w:cs="Arial"/>
                          <w:sz w:val="24"/>
                        </w:rPr>
                        <m:t>e</m:t>
                      </m:r>
                    </m:e>
                    <m:sup>
                      <m:r>
                        <m:rPr>
                          <m:sty m:val="p"/>
                        </m:rPr>
                        <w:rPr>
                          <w:rFonts w:ascii="Cambria Math" w:hAnsi="Cambria Math" w:cs="Arial"/>
                          <w:sz w:val="24"/>
                        </w:rPr>
                        <m:t>(</m:t>
                      </m:r>
                      <m:nary>
                        <m:naryPr>
                          <m:chr m:val="∑"/>
                          <m:limLoc m:val="undOvr"/>
                          <m:subHide m:val="1"/>
                          <m:supHide m:val="1"/>
                          <m:ctrlPr>
                            <w:rPr>
                              <w:rFonts w:ascii="Cambria Math" w:hAnsi="Cambria Math" w:cs="Arial"/>
                              <w:sz w:val="24"/>
                            </w:rPr>
                          </m:ctrlPr>
                        </m:naryPr>
                        <m:sub/>
                        <m:sup/>
                        <m:e>
                          <m:r>
                            <m:rPr>
                              <m:nor/>
                            </m:rPr>
                            <w:rPr>
                              <w:rFonts w:cs="Arial"/>
                              <w:sz w:val="24"/>
                            </w:rPr>
                            <m:t>PPD WeightsForEachPerson</m:t>
                          </m:r>
                        </m:e>
                      </m:nary>
                      <m:r>
                        <m:rPr>
                          <m:sty m:val="p"/>
                        </m:rPr>
                        <w:rPr>
                          <w:rFonts w:ascii="Cambria Math" w:hAnsi="Cambria Math" w:cs="Arial"/>
                          <w:sz w:val="24"/>
                        </w:rPr>
                        <m:t>)</m:t>
                      </m:r>
                    </m:sup>
                  </m:sSup>
                </m:den>
              </m:f>
            </m:oMath>
          </w:p>
          <w:p w14:paraId="62799ACD" w14:textId="77777777" w:rsidR="008E6686" w:rsidRPr="005D4222" w:rsidRDefault="008E6686" w:rsidP="00A53E8C">
            <w:pPr>
              <w:pStyle w:val="ECDSBody"/>
              <w:rPr>
                <w:b/>
                <w:i/>
                <w:iCs/>
              </w:rPr>
            </w:pPr>
            <w:r w:rsidRPr="005D4222">
              <w:t xml:space="preserve">Truncate the final PPD </w:t>
            </w:r>
            <w:r w:rsidRPr="005D4222">
              <w:rPr>
                <w:i/>
              </w:rPr>
              <w:t>for each person</w:t>
            </w:r>
            <w:r w:rsidRPr="005D4222">
              <w:t xml:space="preserve"> to 10 decimal places. Do not truncate or round in previous steps.</w:t>
            </w:r>
          </w:p>
          <w:p w14:paraId="6E348968" w14:textId="77777777" w:rsidR="008E6686" w:rsidRPr="005D4222" w:rsidRDefault="008E6686" w:rsidP="00A53E8C">
            <w:pPr>
              <w:pStyle w:val="ECDSBody"/>
              <w:rPr>
                <w:b/>
              </w:rPr>
            </w:pPr>
            <w:r w:rsidRPr="005D4222">
              <w:rPr>
                <w:b/>
              </w:rPr>
              <w:t>For each nonoutlier person in the initial population, assign PUCD risk weights. Calculate the PUCD for each ACSC category (Chronic ACSC, Acute ACSC, Total ACSC).</w:t>
            </w:r>
          </w:p>
          <w:p w14:paraId="708839F0" w14:textId="77777777" w:rsidR="008E6686" w:rsidRPr="005D4222" w:rsidRDefault="008E6686" w:rsidP="00A53E8C">
            <w:pPr>
              <w:pStyle w:val="ECDSBody"/>
            </w:pPr>
            <w:r w:rsidRPr="005D4222">
              <w:rPr>
                <w:b/>
              </w:rPr>
              <w:t>Step 1.</w:t>
            </w:r>
            <w:r w:rsidRPr="005D4222">
              <w:t xml:space="preserve"> For each person with a comorbidity HCC Category, link the PUCD weights. If a person does not have any comorbidities to which weights can be linked, assign a weight of 1.</w:t>
            </w:r>
          </w:p>
          <w:p w14:paraId="3523A067" w14:textId="77777777" w:rsidR="008E6686" w:rsidRPr="005D4222" w:rsidRDefault="008E6686" w:rsidP="00A53E8C">
            <w:pPr>
              <w:pStyle w:val="ECDSBody"/>
            </w:pPr>
            <w:r w:rsidRPr="005D4222">
              <w:rPr>
                <w:b/>
              </w:rPr>
              <w:t>Step 2.</w:t>
            </w:r>
            <w:r w:rsidRPr="005D4222">
              <w:t xml:space="preserve"> Link the age and gender PUCD weights for each person.</w:t>
            </w:r>
          </w:p>
          <w:p w14:paraId="32CD5EC5" w14:textId="77777777" w:rsidR="008E6686" w:rsidRPr="005D4222" w:rsidRDefault="008E6686" w:rsidP="00A53E8C">
            <w:pPr>
              <w:pStyle w:val="ECDSBody"/>
            </w:pPr>
            <w:r w:rsidRPr="005D4222">
              <w:rPr>
                <w:b/>
              </w:rPr>
              <w:t>Step 3.</w:t>
            </w:r>
            <w:r w:rsidRPr="005D4222">
              <w:rPr>
                <w:i/>
                <w:iCs/>
              </w:rPr>
              <w:t xml:space="preserve"> </w:t>
            </w:r>
            <w:r w:rsidRPr="005D4222">
              <w:t>Calculate the predicted unconditional count of discharges in the measurement period by multiplying all PUCD weights (comorbidities, age and gender) associated with the person for each ACSC category (Chronic ACSC, Acute ACSC, Total ACSC). Use the following formula:</w:t>
            </w:r>
          </w:p>
          <w:p w14:paraId="0BB96CC2" w14:textId="77777777" w:rsidR="008E6686" w:rsidRPr="005D4222" w:rsidRDefault="008E6686" w:rsidP="00A53E8C">
            <w:pPr>
              <w:pStyle w:val="ECDSBody"/>
              <w:spacing w:after="120"/>
              <w:jc w:val="center"/>
            </w:pPr>
            <w:r w:rsidRPr="005D4222">
              <w:t>PUCD = Age/Gender Weight * HCC Weight</w:t>
            </w:r>
          </w:p>
          <w:p w14:paraId="638E0300" w14:textId="77777777" w:rsidR="008E6686" w:rsidRPr="005D4222" w:rsidRDefault="008E6686" w:rsidP="00A53E8C">
            <w:pPr>
              <w:pStyle w:val="Note"/>
            </w:pPr>
            <w:r w:rsidRPr="005D4222">
              <w:rPr>
                <w:b/>
                <w:bCs/>
              </w:rPr>
              <w:t>Note:</w:t>
            </w:r>
            <w:r w:rsidRPr="005D4222">
              <w:t xml:space="preserve"> Multiply by each HCC associated with the person. For example, assume a person with HCC-2, HCC-10, HCC-47. The formula would be:</w:t>
            </w:r>
          </w:p>
          <w:p w14:paraId="5A15FD80" w14:textId="77777777" w:rsidR="008E6686" w:rsidRPr="005D4222" w:rsidRDefault="008E6686" w:rsidP="00A53E8C">
            <w:pPr>
              <w:pStyle w:val="Note"/>
              <w:jc w:val="center"/>
            </w:pPr>
            <w:r w:rsidRPr="005D4222">
              <w:t>PUCD = Age/Gender Weight * HCC-2 * HCC-10 * HCC-47</w:t>
            </w:r>
          </w:p>
          <w:p w14:paraId="18AB03ED" w14:textId="77777777" w:rsidR="008E6686" w:rsidRPr="005D4222" w:rsidRDefault="008E6686" w:rsidP="00A53E8C">
            <w:pPr>
              <w:pStyle w:val="ECDSBody"/>
            </w:pPr>
            <w:r w:rsidRPr="005D4222">
              <w:t xml:space="preserve">Truncate the final PUCD </w:t>
            </w:r>
            <w:r w:rsidRPr="005D4222">
              <w:rPr>
                <w:i/>
              </w:rPr>
              <w:t>for each person</w:t>
            </w:r>
            <w:r w:rsidRPr="005D4222">
              <w:t xml:space="preserve"> to 10 decimal places. Do not truncate or round in prior steps.</w:t>
            </w:r>
          </w:p>
          <w:p w14:paraId="7F58DA10" w14:textId="55BE60E7" w:rsidR="008E6686" w:rsidRPr="005D4222" w:rsidRDefault="008E6686" w:rsidP="00A53E8C">
            <w:pPr>
              <w:pStyle w:val="ECDSBody"/>
            </w:pPr>
            <w:r w:rsidRPr="005D4222">
              <w:rPr>
                <w:b/>
                <w:i/>
                <w:iCs/>
              </w:rPr>
              <w:t>Expected count of discharges</w:t>
            </w:r>
            <w:r w:rsidRPr="005D4222">
              <w:rPr>
                <w:b/>
                <w:bCs w:val="0"/>
                <w:i/>
              </w:rPr>
              <w:t>.</w:t>
            </w:r>
            <w:r w:rsidRPr="005D4222">
              <w:rPr>
                <w:bCs w:val="0"/>
              </w:rPr>
              <w:t xml:space="preserve"> </w:t>
            </w:r>
            <w:r w:rsidRPr="005D4222">
              <w:t>Calculate the final person-level expected count of discharges for each category using the formula below.</w:t>
            </w:r>
          </w:p>
          <w:p w14:paraId="0EB29CAA" w14:textId="77777777" w:rsidR="008E6686" w:rsidRPr="005D4222" w:rsidRDefault="008E6686" w:rsidP="00A53E8C">
            <w:pPr>
              <w:pStyle w:val="ECDSBody"/>
              <w:jc w:val="center"/>
            </w:pPr>
            <w:r w:rsidRPr="005D4222">
              <w:t>Expected Count of ACSC Discharges = PPD x PUCD</w:t>
            </w:r>
          </w:p>
          <w:p w14:paraId="7530DB2E" w14:textId="77777777" w:rsidR="008E6686" w:rsidRPr="005D4222" w:rsidRDefault="008E6686" w:rsidP="00A53E8C">
            <w:pPr>
              <w:pStyle w:val="ECDSBody"/>
            </w:pPr>
            <w:r w:rsidRPr="005D4222">
              <w:t>Round the person-level results to 4 decimal places using the .5 rule and sum over all persons in the category.</w:t>
            </w:r>
          </w:p>
          <w:p w14:paraId="6E55611B" w14:textId="77777777" w:rsidR="008E6686" w:rsidRPr="005D4222" w:rsidRDefault="008E6686" w:rsidP="00A53E8C">
            <w:pPr>
              <w:pStyle w:val="ECDSBody"/>
            </w:pPr>
            <w:r w:rsidRPr="005D4222">
              <w:rPr>
                <w:b/>
              </w:rPr>
              <w:t xml:space="preserve">Step 4. </w:t>
            </w:r>
            <w:r w:rsidRPr="005D4222">
              <w:t>Use the formula below to calculate to calculate the covariance of the predicted outcomes for each category (age group and type of ACSC). For categories with a single person (</w:t>
            </w:r>
            <w:r w:rsidRPr="005D4222">
              <w:rPr>
                <w:rFonts w:ascii="Cambria Math" w:hAnsi="Cambria Math"/>
                <w:i/>
                <w:iCs/>
              </w:rPr>
              <w:t>n</w:t>
            </w:r>
            <w:r w:rsidRPr="005D4222">
              <w:rPr>
                <w:rFonts w:ascii="Cambria Math" w:hAnsi="Cambria Math"/>
                <w:vertAlign w:val="subscript"/>
              </w:rPr>
              <w:t>c</w:t>
            </w:r>
            <w:r w:rsidRPr="005D4222">
              <w:t>=1), set the covariance to zero. Do not round the covariance before using it in step 5.</w:t>
            </w:r>
          </w:p>
          <w:p w14:paraId="5C7B2A24" w14:textId="77777777" w:rsidR="008E6686" w:rsidRPr="005D4222" w:rsidRDefault="00000000" w:rsidP="00A53E8C">
            <w:pPr>
              <w:spacing w:after="120"/>
              <w:rPr>
                <w:rFonts w:eastAsiaTheme="minorEastAsia"/>
              </w:rPr>
            </w:pPr>
            <m:oMathPara>
              <m:oMath>
                <m:sSub>
                  <m:sSubPr>
                    <m:ctrlPr>
                      <w:rPr>
                        <w:rFonts w:ascii="Cambria Math" w:hAnsi="Cambria Math"/>
                        <w:i/>
                      </w:rPr>
                    </m:ctrlPr>
                  </m:sSubPr>
                  <m:e>
                    <m:r>
                      <w:rPr>
                        <w:rFonts w:ascii="Cambria Math" w:hAnsi="Cambria Math"/>
                      </w:rPr>
                      <m:t>COV</m:t>
                    </m:r>
                  </m:e>
                  <m:sub>
                    <m:r>
                      <w:rPr>
                        <w:rFonts w:ascii="Cambria Math" w:hAnsi="Cambria Math"/>
                      </w:rPr>
                      <m:t>c</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m</m:t>
                        </m:r>
                        <m:r>
                          <w:rPr>
                            <w:rFonts w:ascii="Cambria Math" w:hAnsi="Cambria Math"/>
                          </w:rPr>
                          <m:t>=1</m:t>
                        </m:r>
                      </m:sub>
                      <m:sup>
                        <m:sSub>
                          <m:sSubPr>
                            <m:ctrlPr>
                              <w:rPr>
                                <w:rFonts w:ascii="Cambria Math" w:hAnsi="Cambria Math"/>
                                <w:i/>
                              </w:rPr>
                            </m:ctrlPr>
                          </m:sSubPr>
                          <m:e>
                            <m:r>
                              <w:rPr>
                                <w:rFonts w:ascii="Cambria Math" w:hAnsi="Cambria Math"/>
                              </w:rPr>
                              <m:t>n</m:t>
                            </m:r>
                          </m:e>
                          <m:sub>
                            <m:r>
                              <w:rPr>
                                <w:rFonts w:ascii="Cambria Math" w:hAnsi="Cambria Math"/>
                              </w:rPr>
                              <m:t>c</m:t>
                            </m:r>
                          </m:sub>
                        </m:sSub>
                      </m:sup>
                      <m:e>
                        <m:d>
                          <m:dPr>
                            <m:ctrlPr>
                              <w:rPr>
                                <w:rFonts w:ascii="Cambria Math" w:hAnsi="Cambria Math"/>
                                <w:i/>
                              </w:rPr>
                            </m:ctrlPr>
                          </m:dPr>
                          <m:e>
                            <m:sSub>
                              <m:sSubPr>
                                <m:ctrlPr>
                                  <w:rPr>
                                    <w:rFonts w:ascii="Cambria Math" w:hAnsi="Cambria Math"/>
                                    <w:i/>
                                  </w:rPr>
                                </m:ctrlPr>
                              </m:sSubPr>
                              <m:e>
                                <m:r>
                                  <w:rPr>
                                    <w:rFonts w:ascii="Cambria Math" w:hAnsi="Cambria Math"/>
                                  </w:rPr>
                                  <m:t>PPD</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mean</m:t>
                                </m:r>
                                <m:r>
                                  <w:rPr>
                                    <w:rFonts w:ascii="Cambria Math" w:hAnsi="Cambria Math"/>
                                  </w:rPr>
                                  <m:t>(</m:t>
                                </m:r>
                                <m:r>
                                  <w:rPr>
                                    <w:rFonts w:ascii="Cambria Math" w:hAnsi="Cambria Math"/>
                                  </w:rPr>
                                  <m:t>PPD</m:t>
                                </m:r>
                                <m:r>
                                  <w:rPr>
                                    <w:rFonts w:ascii="Cambria Math" w:hAnsi="Cambria Math"/>
                                  </w:rPr>
                                  <m:t>)</m:t>
                                </m:r>
                              </m:e>
                              <m:sub>
                                <m:r>
                                  <w:rPr>
                                    <w:rFonts w:ascii="Cambria Math" w:hAnsi="Cambria Math"/>
                                  </w:rPr>
                                  <m:t>c</m:t>
                                </m:r>
                              </m:sub>
                            </m:sSub>
                          </m:e>
                        </m:d>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PUCD</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mean</m:t>
                                </m:r>
                                <m:r>
                                  <w:rPr>
                                    <w:rFonts w:ascii="Cambria Math" w:hAnsi="Cambria Math"/>
                                  </w:rPr>
                                  <m:t>(</m:t>
                                </m:r>
                                <m:r>
                                  <w:rPr>
                                    <w:rFonts w:ascii="Cambria Math" w:hAnsi="Cambria Math"/>
                                  </w:rPr>
                                  <m:t>PUCD</m:t>
                                </m:r>
                                <m:r>
                                  <w:rPr>
                                    <w:rFonts w:ascii="Cambria Math" w:hAnsi="Cambria Math"/>
                                  </w:rPr>
                                  <m:t>)</m:t>
                                </m:r>
                              </m:e>
                              <m:sub>
                                <m:r>
                                  <w:rPr>
                                    <w:rFonts w:ascii="Cambria Math" w:hAnsi="Cambria Math"/>
                                  </w:rPr>
                                  <m:t>c</m:t>
                                </m:r>
                              </m:sub>
                            </m:sSub>
                          </m:e>
                        </m:d>
                      </m:e>
                    </m:nary>
                  </m:num>
                  <m:den>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-1</m:t>
                    </m:r>
                  </m:den>
                </m:f>
              </m:oMath>
            </m:oMathPara>
          </w:p>
        </w:tc>
      </w:tr>
    </w:tbl>
    <w:p w14:paraId="06758C27" w14:textId="77777777" w:rsidR="008E6686" w:rsidRPr="005D4222" w:rsidRDefault="008E6686" w:rsidP="008E6686">
      <w:pPr>
        <w:spacing w:after="160" w:line="259" w:lineRule="auto"/>
      </w:pPr>
      <w:r w:rsidRPr="005D4222">
        <w:lastRenderedPageBreak/>
        <w:br w:type="page"/>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8E6686" w:rsidRPr="005D4222" w14:paraId="5A313540" w14:textId="77777777" w:rsidTr="000215F6">
        <w:tc>
          <w:tcPr>
            <w:tcW w:w="2157" w:type="dxa"/>
            <w:tcBorders>
              <w:top w:val="single" w:sz="4" w:space="0" w:color="auto"/>
              <w:bottom w:val="nil"/>
            </w:tcBorders>
            <w:shd w:val="clear" w:color="auto" w:fill="BFBFBF" w:themeFill="background1" w:themeFillShade="BF"/>
            <w:tcMar>
              <w:top w:w="0" w:type="dxa"/>
              <w:left w:w="86" w:type="dxa"/>
              <w:bottom w:w="43" w:type="dxa"/>
              <w:right w:w="86" w:type="dxa"/>
            </w:tcMar>
          </w:tcPr>
          <w:p w14:paraId="668E5728" w14:textId="77777777" w:rsidR="008E6686" w:rsidRPr="005D4222" w:rsidRDefault="008E6686" w:rsidP="00A53E8C">
            <w:pPr>
              <w:pStyle w:val="ECDSMarginSubhead"/>
            </w:pPr>
          </w:p>
        </w:tc>
        <w:tc>
          <w:tcPr>
            <w:tcW w:w="7557" w:type="dxa"/>
            <w:tcBorders>
              <w:top w:val="single" w:sz="4" w:space="0" w:color="auto"/>
              <w:bottom w:val="nil"/>
            </w:tcBorders>
            <w:tcMar>
              <w:left w:w="86" w:type="dxa"/>
              <w:bottom w:w="43" w:type="dxa"/>
              <w:right w:w="86" w:type="dxa"/>
            </w:tcMar>
          </w:tcPr>
          <w:p w14:paraId="7DB29310" w14:textId="77777777" w:rsidR="008E6686" w:rsidRPr="005D4222" w:rsidRDefault="008E6686" w:rsidP="00A53E8C">
            <w:pPr>
              <w:pStyle w:val="ECDSBody"/>
            </w:pPr>
            <w:r w:rsidRPr="005D4222">
              <w:t>Where:</w:t>
            </w:r>
          </w:p>
          <w:p w14:paraId="46C0BE7B" w14:textId="77777777" w:rsidR="008E6686" w:rsidRPr="005D4222" w:rsidRDefault="00010176" w:rsidP="00A53E8C">
            <w:pPr>
              <w:spacing w:before="60"/>
              <w:ind w:left="1442" w:hanging="1442"/>
              <w:rPr>
                <w:rFonts w:eastAsiaTheme="minorEastAsia"/>
              </w:rPr>
            </w:pPr>
            <m:oMath>
              <m:r>
                <w:rPr>
                  <w:rFonts w:ascii="Cambria Math" w:eastAsiaTheme="minorEastAsia" w:hAnsi="Cambria Math"/>
                </w:rPr>
                <m:t>c</m:t>
              </m:r>
            </m:oMath>
            <w:r w:rsidR="008E6686" w:rsidRPr="005D4222">
              <w:rPr>
                <w:rFonts w:eastAsiaTheme="minorEastAsia"/>
                <w:i/>
              </w:rPr>
              <w:t xml:space="preserve"> </w:t>
            </w:r>
            <w:r w:rsidR="008E6686" w:rsidRPr="005D4222">
              <w:rPr>
                <w:rFonts w:eastAsiaTheme="minorEastAsia"/>
                <w:i/>
              </w:rPr>
              <w:tab/>
            </w:r>
            <w:r w:rsidR="008E6686" w:rsidRPr="005D4222">
              <w:rPr>
                <w:rFonts w:eastAsiaTheme="minorEastAsia"/>
              </w:rPr>
              <w:t>denotes an individual category</w:t>
            </w:r>
          </w:p>
          <w:p w14:paraId="6B583D49" w14:textId="77777777" w:rsidR="008E6686" w:rsidRPr="005D4222" w:rsidRDefault="00000000" w:rsidP="00A53E8C">
            <w:pPr>
              <w:spacing w:before="60"/>
              <w:ind w:left="1442" w:hanging="1442"/>
              <w:rPr>
                <w:rFonts w:eastAsiaTheme="minorEastAsia"/>
              </w:rPr>
            </w:pPr>
            <m:oMath>
              <m:sSub>
                <m:sSubPr>
                  <m:ctrlPr>
                    <w:rPr>
                      <w:rFonts w:ascii="Cambria Math" w:hAnsi="Cambria Math"/>
                      <w:i/>
                    </w:rPr>
                  </m:ctrlPr>
                </m:sSubPr>
                <m:e>
                  <m:r>
                    <w:rPr>
                      <w:rFonts w:ascii="Cambria Math" w:hAnsi="Cambria Math"/>
                    </w:rPr>
                    <m:t>n</m:t>
                  </m:r>
                </m:e>
                <m:sub>
                  <m:r>
                    <w:rPr>
                      <w:rFonts w:ascii="Cambria Math" w:hAnsi="Cambria Math"/>
                    </w:rPr>
                    <m:t>c</m:t>
                  </m:r>
                </m:sub>
              </m:sSub>
            </m:oMath>
            <w:r w:rsidR="008E6686" w:rsidRPr="005D4222">
              <w:rPr>
                <w:rFonts w:eastAsiaTheme="minorEastAsia"/>
              </w:rPr>
              <w:t xml:space="preserve"> </w:t>
            </w:r>
            <w:r w:rsidR="008E6686" w:rsidRPr="005D4222">
              <w:rPr>
                <w:rFonts w:eastAsiaTheme="minorEastAsia"/>
              </w:rPr>
              <w:tab/>
              <w:t xml:space="preserve">is the number of persons in the category indicated by </w:t>
            </w:r>
            <m:oMath>
              <m:r>
                <w:rPr>
                  <w:rFonts w:ascii="Cambria Math" w:eastAsiaTheme="minorEastAsia" w:hAnsi="Cambria Math"/>
                </w:rPr>
                <m:t>c</m:t>
              </m:r>
            </m:oMath>
          </w:p>
          <w:p w14:paraId="33341A19" w14:textId="77777777" w:rsidR="008E6686" w:rsidRPr="005D4222" w:rsidRDefault="00010176" w:rsidP="00A53E8C">
            <w:pPr>
              <w:spacing w:before="60"/>
              <w:ind w:left="1442" w:hanging="1442"/>
              <w:rPr>
                <w:rFonts w:eastAsiaTheme="minorEastAsia"/>
              </w:rPr>
            </w:pPr>
            <m:oMath>
              <m:r>
                <w:rPr>
                  <w:rFonts w:ascii="Cambria Math" w:eastAsiaTheme="minorEastAsia" w:hAnsi="Cambria Math"/>
                </w:rPr>
                <m:t>m</m:t>
              </m:r>
            </m:oMath>
            <w:r w:rsidR="008E6686" w:rsidRPr="005D4222">
              <w:rPr>
                <w:rFonts w:eastAsiaTheme="minorEastAsia"/>
              </w:rPr>
              <w:t xml:space="preserve"> </w:t>
            </w:r>
            <w:r w:rsidR="008E6686" w:rsidRPr="005D4222">
              <w:rPr>
                <w:rFonts w:eastAsiaTheme="minorEastAsia"/>
              </w:rPr>
              <w:tab/>
              <w:t xml:space="preserve">is an individual person within the category indicated by </w:t>
            </w:r>
            <m:oMath>
              <m:r>
                <w:rPr>
                  <w:rFonts w:ascii="Cambria Math" w:eastAsiaTheme="minorEastAsia" w:hAnsi="Cambria Math"/>
                </w:rPr>
                <m:t>c</m:t>
              </m:r>
            </m:oMath>
          </w:p>
          <w:p w14:paraId="70D9FF3B" w14:textId="77777777" w:rsidR="008E6686" w:rsidRPr="005D4222" w:rsidRDefault="00000000" w:rsidP="00A53E8C">
            <w:pPr>
              <w:spacing w:before="60"/>
              <w:ind w:left="1442" w:hanging="1442"/>
              <w:rPr>
                <w:rFonts w:eastAsiaTheme="minorEastAsia"/>
              </w:rPr>
            </w:pPr>
            <m:oMath>
              <m:sSub>
                <m:sSubPr>
                  <m:ctrlPr>
                    <w:rPr>
                      <w:rFonts w:ascii="Cambria Math" w:eastAsiaTheme="minorEastAsia" w:hAnsi="Cambria Math"/>
                      <w:i/>
                    </w:rPr>
                  </m:ctrlPr>
                </m:sSubPr>
                <m:e>
                  <m:r>
                    <w:rPr>
                      <w:rFonts w:ascii="Cambria Math" w:eastAsiaTheme="minorEastAsia" w:hAnsi="Cambria Math"/>
                    </w:rPr>
                    <m:t>PPD</m:t>
                  </m:r>
                </m:e>
                <m:sub>
                  <m:r>
                    <w:rPr>
                      <w:rFonts w:ascii="Cambria Math" w:eastAsiaTheme="minorEastAsia" w:hAnsi="Cambria Math"/>
                    </w:rPr>
                    <m:t>m</m:t>
                  </m:r>
                </m:sub>
              </m:sSub>
            </m:oMath>
            <w:r w:rsidR="008E6686" w:rsidRPr="005D4222">
              <w:rPr>
                <w:rFonts w:eastAsiaTheme="minorEastAsia"/>
              </w:rPr>
              <w:t xml:space="preserve"> </w:t>
            </w:r>
            <w:r w:rsidR="008E6686" w:rsidRPr="005D4222">
              <w:rPr>
                <w:rFonts w:eastAsiaTheme="minorEastAsia"/>
              </w:rPr>
              <w:tab/>
              <w:t xml:space="preserve">is the truncated PPD for the person denoted by </w:t>
            </w:r>
            <m:oMath>
              <m:r>
                <w:rPr>
                  <w:rFonts w:ascii="Cambria Math" w:eastAsiaTheme="minorEastAsia" w:hAnsi="Cambria Math"/>
                </w:rPr>
                <m:t>m</m:t>
              </m:r>
            </m:oMath>
          </w:p>
          <w:p w14:paraId="76216594" w14:textId="77777777" w:rsidR="008E6686" w:rsidRPr="005D4222" w:rsidRDefault="00000000" w:rsidP="00A53E8C">
            <w:pPr>
              <w:spacing w:before="60"/>
              <w:ind w:left="1442" w:hanging="1442"/>
              <w:rPr>
                <w:rFonts w:eastAsiaTheme="minorEastAsia"/>
              </w:rPr>
            </w:pPr>
            <m:oMath>
              <m:sSub>
                <m:sSubPr>
                  <m:ctrlPr>
                    <w:rPr>
                      <w:rFonts w:ascii="Cambria Math" w:eastAsiaTheme="minorEastAsia" w:hAnsi="Cambria Math"/>
                      <w:i/>
                    </w:rPr>
                  </m:ctrlPr>
                </m:sSubPr>
                <m:e>
                  <m:r>
                    <w:rPr>
                      <w:rFonts w:ascii="Cambria Math" w:eastAsiaTheme="minorEastAsia" w:hAnsi="Cambria Math"/>
                    </w:rPr>
                    <m:t>mean</m:t>
                  </m:r>
                  <m:r>
                    <w:rPr>
                      <w:rFonts w:ascii="Cambria Math" w:eastAsiaTheme="minorEastAsia" w:hAnsi="Cambria Math"/>
                    </w:rPr>
                    <m:t>(</m:t>
                  </m:r>
                  <m:r>
                    <w:rPr>
                      <w:rFonts w:ascii="Cambria Math" w:eastAsiaTheme="minorEastAsia" w:hAnsi="Cambria Math"/>
                    </w:rPr>
                    <m:t>PPD</m:t>
                  </m:r>
                  <m:r>
                    <w:rPr>
                      <w:rFonts w:ascii="Cambria Math" w:eastAsiaTheme="minorEastAsia" w:hAnsi="Cambria Math"/>
                    </w:rPr>
                    <m:t>)</m:t>
                  </m:r>
                </m:e>
                <m:sub>
                  <m:r>
                    <w:rPr>
                      <w:rFonts w:ascii="Cambria Math" w:eastAsiaTheme="minorEastAsia" w:hAnsi="Cambria Math"/>
                    </w:rPr>
                    <m:t>c</m:t>
                  </m:r>
                </m:sub>
              </m:sSub>
            </m:oMath>
            <w:r w:rsidR="008E6686" w:rsidRPr="005D4222">
              <w:rPr>
                <w:rFonts w:eastAsiaTheme="minorEastAsia"/>
              </w:rPr>
              <w:t xml:space="preserve"> </w:t>
            </w:r>
            <w:r w:rsidR="008E6686" w:rsidRPr="005D4222">
              <w:rPr>
                <w:rFonts w:eastAsiaTheme="minorEastAsia"/>
              </w:rPr>
              <w:tab/>
              <w:t xml:space="preserve">is the unrounded/untruncated mean PPD in the category indicated by </w:t>
            </w:r>
            <m:oMath>
              <m:r>
                <w:rPr>
                  <w:rFonts w:ascii="Cambria Math" w:eastAsiaTheme="minorEastAsia" w:hAnsi="Cambria Math"/>
                </w:rPr>
                <m:t>c</m:t>
              </m:r>
            </m:oMath>
          </w:p>
          <w:p w14:paraId="7A42D560" w14:textId="77777777" w:rsidR="008E6686" w:rsidRPr="005D4222" w:rsidRDefault="00000000" w:rsidP="00A53E8C">
            <w:pPr>
              <w:spacing w:before="60"/>
              <w:ind w:left="1442" w:hanging="1442"/>
              <w:rPr>
                <w:rFonts w:eastAsiaTheme="minorEastAsia"/>
              </w:rPr>
            </w:pPr>
            <m:oMath>
              <m:sSub>
                <m:sSubPr>
                  <m:ctrlPr>
                    <w:rPr>
                      <w:rFonts w:ascii="Cambria Math" w:eastAsiaTheme="minorEastAsia" w:hAnsi="Cambria Math"/>
                      <w:i/>
                    </w:rPr>
                  </m:ctrlPr>
                </m:sSubPr>
                <m:e>
                  <m:r>
                    <w:rPr>
                      <w:rFonts w:ascii="Cambria Math" w:eastAsiaTheme="minorEastAsia" w:hAnsi="Cambria Math"/>
                    </w:rPr>
                    <m:t>PUCD</m:t>
                  </m:r>
                </m:e>
                <m:sub>
                  <m:r>
                    <w:rPr>
                      <w:rFonts w:ascii="Cambria Math" w:eastAsiaTheme="minorEastAsia" w:hAnsi="Cambria Math"/>
                    </w:rPr>
                    <m:t>m</m:t>
                  </m:r>
                </m:sub>
              </m:sSub>
            </m:oMath>
            <w:r w:rsidR="008E6686" w:rsidRPr="005D4222">
              <w:rPr>
                <w:rFonts w:eastAsiaTheme="minorEastAsia"/>
              </w:rPr>
              <w:t xml:space="preserve"> </w:t>
            </w:r>
            <w:r w:rsidR="008E6686" w:rsidRPr="005D4222">
              <w:rPr>
                <w:rFonts w:eastAsiaTheme="minorEastAsia"/>
              </w:rPr>
              <w:tab/>
              <w:t xml:space="preserve">is the truncated PUCD for the person denoted by </w:t>
            </w:r>
            <m:oMath>
              <m:r>
                <w:rPr>
                  <w:rFonts w:ascii="Cambria Math" w:eastAsiaTheme="minorEastAsia" w:hAnsi="Cambria Math"/>
                </w:rPr>
                <m:t>m</m:t>
              </m:r>
            </m:oMath>
          </w:p>
          <w:p w14:paraId="7100B264" w14:textId="77777777" w:rsidR="008E6686" w:rsidRPr="005D4222" w:rsidRDefault="00000000" w:rsidP="00A53E8C">
            <w:pPr>
              <w:pStyle w:val="Body"/>
              <w:spacing w:before="60"/>
              <w:ind w:left="1442" w:hanging="1442"/>
              <w:rPr>
                <w:rFonts w:eastAsiaTheme="minorEastAsia"/>
                <w:szCs w:val="21"/>
              </w:rPr>
            </w:pPr>
            <m:oMath>
              <m:sSub>
                <m:sSubPr>
                  <m:ctrlPr>
                    <w:rPr>
                      <w:rFonts w:ascii="Cambria Math" w:eastAsiaTheme="minorEastAsia" w:hAnsi="Cambria Math"/>
                      <w:i/>
                      <w:szCs w:val="21"/>
                    </w:rPr>
                  </m:ctrlPr>
                </m:sSubPr>
                <m:e>
                  <m:r>
                    <w:rPr>
                      <w:rFonts w:ascii="Cambria Math" w:eastAsiaTheme="minorEastAsia" w:hAnsi="Cambria Math"/>
                      <w:szCs w:val="21"/>
                    </w:rPr>
                    <m:t>mean</m:t>
                  </m:r>
                  <m:r>
                    <w:rPr>
                      <w:rFonts w:ascii="Cambria Math" w:eastAsiaTheme="minorEastAsia" w:hAnsi="Cambria Math"/>
                      <w:szCs w:val="21"/>
                    </w:rPr>
                    <m:t>(</m:t>
                  </m:r>
                  <m:r>
                    <w:rPr>
                      <w:rFonts w:ascii="Cambria Math" w:eastAsiaTheme="minorEastAsia" w:hAnsi="Cambria Math"/>
                      <w:szCs w:val="21"/>
                    </w:rPr>
                    <m:t>PUCD</m:t>
                  </m:r>
                  <m:r>
                    <w:rPr>
                      <w:rFonts w:ascii="Cambria Math" w:eastAsiaTheme="minorEastAsia" w:hAnsi="Cambria Math"/>
                      <w:szCs w:val="21"/>
                    </w:rPr>
                    <m:t>)</m:t>
                  </m:r>
                </m:e>
                <m:sub>
                  <m:r>
                    <w:rPr>
                      <w:rFonts w:ascii="Cambria Math" w:eastAsiaTheme="minorEastAsia" w:hAnsi="Cambria Math"/>
                      <w:szCs w:val="21"/>
                    </w:rPr>
                    <m:t>c</m:t>
                  </m:r>
                </m:sub>
              </m:sSub>
            </m:oMath>
            <w:r w:rsidR="008E6686" w:rsidRPr="005D4222">
              <w:rPr>
                <w:rFonts w:eastAsiaTheme="minorEastAsia"/>
                <w:szCs w:val="21"/>
              </w:rPr>
              <w:t xml:space="preserve"> </w:t>
            </w:r>
            <w:r w:rsidR="008E6686" w:rsidRPr="005D4222">
              <w:rPr>
                <w:rFonts w:eastAsiaTheme="minorEastAsia"/>
                <w:szCs w:val="21"/>
              </w:rPr>
              <w:tab/>
              <w:t xml:space="preserve">is the unrounded and untruncated mean PUCD in the category indicated by </w:t>
            </w:r>
            <m:oMath>
              <m:r>
                <w:rPr>
                  <w:rFonts w:ascii="Cambria Math" w:eastAsiaTheme="minorEastAsia" w:hAnsi="Cambria Math"/>
                  <w:szCs w:val="21"/>
                </w:rPr>
                <m:t>c</m:t>
              </m:r>
            </m:oMath>
          </w:p>
          <w:p w14:paraId="42C8A389" w14:textId="77777777" w:rsidR="008E6686" w:rsidRPr="005D4222" w:rsidRDefault="008E6686" w:rsidP="00A53E8C">
            <w:pPr>
              <w:pStyle w:val="ECDSBody"/>
              <w:spacing w:before="80"/>
            </w:pPr>
            <w:r w:rsidRPr="005D4222">
              <w:rPr>
                <w:b/>
              </w:rPr>
              <w:t xml:space="preserve">Step 5. </w:t>
            </w:r>
            <w:r w:rsidRPr="005D4222">
              <w:t>Once the covariance between PPD and PUCD for a given category is calculated, it can be used as indicated in the formula below to calculate the variance for that category.</w:t>
            </w:r>
          </w:p>
          <w:p w14:paraId="26368654" w14:textId="77777777" w:rsidR="008E6686" w:rsidRPr="005D4222" w:rsidRDefault="00000000" w:rsidP="00A53E8C">
            <w:pPr>
              <w:pStyle w:val="Note"/>
              <w:spacing w:before="60"/>
              <w:rPr>
                <w:rFonts w:cs="Arial"/>
                <w:sz w:val="21"/>
                <w:szCs w:val="21"/>
              </w:rPr>
            </w:pPr>
            <m:oMathPara>
              <m:oMath>
                <m:sSub>
                  <m:sSubPr>
                    <m:ctrlPr>
                      <w:rPr>
                        <w:rFonts w:ascii="Cambria Math" w:eastAsiaTheme="minorHAnsi" w:hAnsi="Cambria Math" w:cs="Arial"/>
                        <w:sz w:val="21"/>
                        <w:szCs w:val="21"/>
                      </w:rPr>
                    </m:ctrlPr>
                  </m:sSubPr>
                  <m:e>
                    <m:r>
                      <w:rPr>
                        <w:rFonts w:ascii="Cambria Math" w:eastAsiaTheme="minorHAnsi" w:hAnsi="Cambria Math" w:cs="Arial"/>
                        <w:sz w:val="21"/>
                        <w:szCs w:val="21"/>
                      </w:rPr>
                      <m:t>Variance</m:t>
                    </m:r>
                  </m:e>
                  <m:sub>
                    <m:r>
                      <w:rPr>
                        <w:rFonts w:ascii="Cambria Math" w:eastAsiaTheme="minorHAnsi" w:hAnsi="Cambria Math" w:cs="Arial"/>
                        <w:sz w:val="21"/>
                        <w:szCs w:val="21"/>
                      </w:rPr>
                      <m:t>c</m:t>
                    </m:r>
                  </m:sub>
                </m:sSub>
                <m:r>
                  <w:rPr>
                    <w:rFonts w:ascii="Cambria Math" w:eastAsiaTheme="minorHAnsi" w:hAnsi="Cambria Math" w:cs="Arial"/>
                    <w:sz w:val="21"/>
                    <w:szCs w:val="21"/>
                  </w:rPr>
                  <m:t>=</m:t>
                </m:r>
                <m:nary>
                  <m:naryPr>
                    <m:chr m:val="∑"/>
                    <m:limLoc m:val="undOvr"/>
                    <m:ctrlPr>
                      <w:rPr>
                        <w:rFonts w:ascii="Cambria Math" w:eastAsiaTheme="minorHAnsi" w:hAnsi="Cambria Math" w:cs="Arial"/>
                        <w:i w:val="0"/>
                        <w:sz w:val="21"/>
                        <w:szCs w:val="21"/>
                      </w:rPr>
                    </m:ctrlPr>
                  </m:naryPr>
                  <m:sub>
                    <m:r>
                      <w:rPr>
                        <w:rFonts w:ascii="Cambria Math" w:eastAsiaTheme="minorHAnsi" w:hAnsi="Cambria Math" w:cs="Arial"/>
                        <w:sz w:val="21"/>
                        <w:szCs w:val="21"/>
                      </w:rPr>
                      <m:t>m</m:t>
                    </m:r>
                    <m:r>
                      <w:rPr>
                        <w:rFonts w:ascii="Cambria Math" w:eastAsiaTheme="minorHAnsi" w:hAnsi="Cambria Math" w:cs="Arial"/>
                        <w:sz w:val="21"/>
                        <w:szCs w:val="21"/>
                      </w:rPr>
                      <m:t>=1</m:t>
                    </m:r>
                  </m:sub>
                  <m:sup>
                    <m:sSub>
                      <m:sSubPr>
                        <m:ctrlPr>
                          <w:rPr>
                            <w:rFonts w:ascii="Cambria Math" w:eastAsiaTheme="minorHAnsi" w:hAnsi="Cambria Math" w:cs="Arial"/>
                            <w:sz w:val="21"/>
                            <w:szCs w:val="21"/>
                          </w:rPr>
                        </m:ctrlPr>
                      </m:sSubPr>
                      <m:e>
                        <m:r>
                          <w:rPr>
                            <w:rFonts w:ascii="Cambria Math" w:eastAsiaTheme="minorHAnsi" w:hAnsi="Cambria Math" w:cs="Arial"/>
                            <w:sz w:val="21"/>
                            <w:szCs w:val="21"/>
                          </w:rPr>
                          <m:t>n</m:t>
                        </m:r>
                      </m:e>
                      <m:sub>
                        <m:r>
                          <w:rPr>
                            <w:rFonts w:ascii="Cambria Math" w:eastAsiaTheme="minorHAnsi" w:hAnsi="Cambria Math" w:cs="Arial"/>
                            <w:sz w:val="21"/>
                            <w:szCs w:val="21"/>
                          </w:rPr>
                          <m:t>c</m:t>
                        </m:r>
                      </m:sub>
                    </m:sSub>
                  </m:sup>
                  <m:e>
                    <m:sSup>
                      <m:sSupPr>
                        <m:ctrlPr>
                          <w:rPr>
                            <w:rFonts w:ascii="Cambria Math" w:eastAsiaTheme="minorHAnsi" w:hAnsi="Cambria Math" w:cs="Arial"/>
                            <w:i w:val="0"/>
                            <w:sz w:val="21"/>
                            <w:szCs w:val="21"/>
                          </w:rPr>
                        </m:ctrlPr>
                      </m:sSupPr>
                      <m:e>
                        <m:d>
                          <m:dPr>
                            <m:ctrlPr>
                              <w:rPr>
                                <w:rFonts w:ascii="Cambria Math" w:eastAsiaTheme="minorHAnsi" w:hAnsi="Cambria Math" w:cs="Arial"/>
                                <w:i w:val="0"/>
                                <w:sz w:val="21"/>
                                <w:szCs w:val="21"/>
                              </w:rPr>
                            </m:ctrlPr>
                          </m:dPr>
                          <m:e>
                            <m:sSub>
                              <m:sSubPr>
                                <m:ctrlPr>
                                  <w:rPr>
                                    <w:rFonts w:ascii="Cambria Math" w:eastAsiaTheme="minorHAnsi" w:hAnsi="Cambria Math" w:cs="Arial"/>
                                    <w:sz w:val="21"/>
                                    <w:szCs w:val="21"/>
                                  </w:rPr>
                                </m:ctrlPr>
                              </m:sSubPr>
                              <m:e>
                                <m:r>
                                  <w:rPr>
                                    <w:rFonts w:ascii="Cambria Math" w:eastAsiaTheme="minorHAnsi" w:hAnsi="Cambria Math" w:cs="Arial"/>
                                    <w:sz w:val="21"/>
                                    <w:szCs w:val="21"/>
                                  </w:rPr>
                                  <m:t>PPD</m:t>
                                </m:r>
                              </m:e>
                              <m:sub>
                                <m:r>
                                  <w:rPr>
                                    <w:rFonts w:ascii="Cambria Math" w:eastAsiaTheme="minorHAnsi" w:hAnsi="Cambria Math" w:cs="Arial"/>
                                    <w:sz w:val="21"/>
                                    <w:szCs w:val="21"/>
                                  </w:rPr>
                                  <m:t>m</m:t>
                                </m:r>
                              </m:sub>
                            </m:sSub>
                            <m:r>
                              <w:rPr>
                                <w:rFonts w:ascii="Cambria Math" w:eastAsiaTheme="minorHAnsi" w:hAnsi="Cambria Math" w:cs="Arial"/>
                                <w:sz w:val="21"/>
                                <w:szCs w:val="21"/>
                              </w:rPr>
                              <m:t xml:space="preserve"> ×</m:t>
                            </m:r>
                            <m:sSub>
                              <m:sSubPr>
                                <m:ctrlPr>
                                  <w:rPr>
                                    <w:rFonts w:ascii="Cambria Math" w:eastAsiaTheme="minorHAnsi" w:hAnsi="Cambria Math" w:cs="Arial"/>
                                    <w:sz w:val="21"/>
                                    <w:szCs w:val="21"/>
                                  </w:rPr>
                                </m:ctrlPr>
                              </m:sSubPr>
                              <m:e>
                                <m:r>
                                  <w:rPr>
                                    <w:rFonts w:ascii="Cambria Math" w:eastAsiaTheme="minorHAnsi" w:hAnsi="Cambria Math" w:cs="Arial"/>
                                    <w:sz w:val="21"/>
                                    <w:szCs w:val="21"/>
                                  </w:rPr>
                                  <m:t>PUCD</m:t>
                                </m:r>
                              </m:e>
                              <m:sub>
                                <m:r>
                                  <w:rPr>
                                    <w:rFonts w:ascii="Cambria Math" w:eastAsiaTheme="minorHAnsi" w:hAnsi="Cambria Math" w:cs="Arial"/>
                                    <w:sz w:val="21"/>
                                    <w:szCs w:val="21"/>
                                  </w:rPr>
                                  <m:t>m</m:t>
                                </m:r>
                              </m:sub>
                            </m:sSub>
                          </m:e>
                        </m:d>
                      </m:e>
                      <m:sup>
                        <m:r>
                          <w:rPr>
                            <w:rFonts w:ascii="Cambria Math" w:eastAsiaTheme="minorHAnsi" w:hAnsi="Cambria Math" w:cs="Arial"/>
                            <w:sz w:val="21"/>
                            <w:szCs w:val="21"/>
                          </w:rPr>
                          <m:t>2</m:t>
                        </m:r>
                      </m:sup>
                    </m:sSup>
                    <m:r>
                      <w:rPr>
                        <w:rFonts w:ascii="Cambria Math" w:eastAsiaTheme="minorHAnsi" w:hAnsi="Cambria Math" w:cs="Arial"/>
                        <w:sz w:val="21"/>
                        <w:szCs w:val="21"/>
                      </w:rPr>
                      <m:t>×</m:t>
                    </m:r>
                    <m:d>
                      <m:dPr>
                        <m:ctrlPr>
                          <w:rPr>
                            <w:rFonts w:ascii="Cambria Math" w:eastAsiaTheme="minorHAnsi" w:hAnsi="Cambria Math" w:cs="Arial"/>
                            <w:i w:val="0"/>
                            <w:sz w:val="21"/>
                            <w:szCs w:val="21"/>
                          </w:rPr>
                        </m:ctrlPr>
                      </m:dPr>
                      <m:e>
                        <m:sSup>
                          <m:sSupPr>
                            <m:ctrlPr>
                              <w:rPr>
                                <w:rFonts w:ascii="Cambria Math" w:eastAsiaTheme="minorHAnsi" w:hAnsi="Cambria Math" w:cs="Arial"/>
                                <w:i w:val="0"/>
                                <w:sz w:val="21"/>
                                <w:szCs w:val="21"/>
                              </w:rPr>
                            </m:ctrlPr>
                          </m:sSupPr>
                          <m:e>
                            <m:r>
                              <w:rPr>
                                <w:rFonts w:ascii="Cambria Math" w:eastAsiaTheme="minorHAnsi" w:hAnsi="Cambria Math" w:cs="Arial"/>
                                <w:sz w:val="21"/>
                                <w:szCs w:val="21"/>
                              </w:rPr>
                              <m:t xml:space="preserve">1+ </m:t>
                            </m:r>
                            <m:d>
                              <m:dPr>
                                <m:ctrlPr>
                                  <w:rPr>
                                    <w:rFonts w:ascii="Cambria Math" w:eastAsiaTheme="minorHAnsi" w:hAnsi="Cambria Math" w:cs="Arial"/>
                                    <w:i w:val="0"/>
                                    <w:sz w:val="21"/>
                                    <w:szCs w:val="21"/>
                                  </w:rPr>
                                </m:ctrlPr>
                              </m:dPr>
                              <m:e>
                                <m:r>
                                  <w:rPr>
                                    <w:rFonts w:ascii="Cambria Math" w:eastAsiaTheme="minorHAnsi" w:hAnsi="Cambria Math" w:cs="Arial"/>
                                    <w:sz w:val="21"/>
                                    <w:szCs w:val="21"/>
                                  </w:rPr>
                                  <m:t>1-</m:t>
                                </m:r>
                                <m:sSub>
                                  <m:sSubPr>
                                    <m:ctrlPr>
                                      <w:rPr>
                                        <w:rFonts w:ascii="Cambria Math" w:eastAsiaTheme="minorHAnsi" w:hAnsi="Cambria Math" w:cs="Arial"/>
                                        <w:sz w:val="21"/>
                                        <w:szCs w:val="21"/>
                                      </w:rPr>
                                    </m:ctrlPr>
                                  </m:sSubPr>
                                  <m:e>
                                    <m:r>
                                      <w:rPr>
                                        <w:rFonts w:ascii="Cambria Math" w:eastAsiaTheme="minorHAnsi" w:hAnsi="Cambria Math" w:cs="Arial"/>
                                        <w:sz w:val="21"/>
                                        <w:szCs w:val="21"/>
                                      </w:rPr>
                                      <m:t>PPD</m:t>
                                    </m:r>
                                  </m:e>
                                  <m:sub>
                                    <m:r>
                                      <w:rPr>
                                        <w:rFonts w:ascii="Cambria Math" w:eastAsiaTheme="minorHAnsi" w:hAnsi="Cambria Math" w:cs="Arial"/>
                                        <w:sz w:val="21"/>
                                        <w:szCs w:val="21"/>
                                      </w:rPr>
                                      <m:t>m</m:t>
                                    </m:r>
                                  </m:sub>
                                </m:sSub>
                              </m:e>
                            </m:d>
                          </m:e>
                          <m:sup>
                            <m:r>
                              <w:rPr>
                                <w:rFonts w:ascii="Cambria Math" w:eastAsiaTheme="minorHAnsi" w:hAnsi="Cambria Math" w:cs="Arial"/>
                                <w:sz w:val="21"/>
                                <w:szCs w:val="21"/>
                              </w:rPr>
                              <m:t>2</m:t>
                            </m:r>
                          </m:sup>
                        </m:sSup>
                        <m:r>
                          <w:rPr>
                            <w:rFonts w:ascii="Cambria Math" w:eastAsiaTheme="minorHAnsi" w:hAnsi="Cambria Math" w:cs="Arial"/>
                            <w:sz w:val="21"/>
                            <w:szCs w:val="21"/>
                          </w:rPr>
                          <m:t>+</m:t>
                        </m:r>
                        <m:d>
                          <m:dPr>
                            <m:ctrlPr>
                              <w:rPr>
                                <w:rFonts w:ascii="Cambria Math" w:eastAsiaTheme="minorHAnsi" w:hAnsi="Cambria Math" w:cs="Arial"/>
                                <w:i w:val="0"/>
                                <w:sz w:val="21"/>
                                <w:szCs w:val="21"/>
                              </w:rPr>
                            </m:ctrlPr>
                          </m:dPr>
                          <m:e>
                            <m:f>
                              <m:fPr>
                                <m:ctrlPr>
                                  <w:rPr>
                                    <w:rFonts w:ascii="Cambria Math" w:eastAsiaTheme="minorHAnsi" w:hAnsi="Cambria Math" w:cs="Arial"/>
                                    <w:i w:val="0"/>
                                    <w:sz w:val="21"/>
                                    <w:szCs w:val="21"/>
                                  </w:rPr>
                                </m:ctrlPr>
                              </m:fPr>
                              <m:num>
                                <m:r>
                                  <w:rPr>
                                    <w:rFonts w:ascii="Cambria Math" w:eastAsiaTheme="minorHAnsi" w:hAnsi="Cambria Math" w:cs="Arial"/>
                                    <w:sz w:val="21"/>
                                    <w:szCs w:val="21"/>
                                  </w:rPr>
                                  <m:t>2 ×</m:t>
                                </m:r>
                                <m:sSub>
                                  <m:sSubPr>
                                    <m:ctrlPr>
                                      <w:rPr>
                                        <w:rFonts w:ascii="Cambria Math" w:eastAsiaTheme="minorHAnsi" w:hAnsi="Cambria Math" w:cs="Arial"/>
                                        <w:sz w:val="21"/>
                                        <w:szCs w:val="21"/>
                                      </w:rPr>
                                    </m:ctrlPr>
                                  </m:sSubPr>
                                  <m:e>
                                    <m:r>
                                      <w:rPr>
                                        <w:rFonts w:ascii="Cambria Math" w:eastAsiaTheme="minorHAnsi" w:hAnsi="Cambria Math" w:cs="Arial"/>
                                        <w:sz w:val="21"/>
                                        <w:szCs w:val="21"/>
                                      </w:rPr>
                                      <m:t>COV</m:t>
                                    </m:r>
                                  </m:e>
                                  <m:sub>
                                    <m:r>
                                      <w:rPr>
                                        <w:rFonts w:ascii="Cambria Math" w:eastAsiaTheme="minorHAnsi" w:hAnsi="Cambria Math" w:cs="Arial"/>
                                        <w:sz w:val="21"/>
                                        <w:szCs w:val="21"/>
                                      </w:rPr>
                                      <m:t>c</m:t>
                                    </m:r>
                                  </m:sub>
                                </m:sSub>
                              </m:num>
                              <m:den>
                                <m:sSub>
                                  <m:sSubPr>
                                    <m:ctrlPr>
                                      <w:rPr>
                                        <w:rFonts w:ascii="Cambria Math" w:eastAsiaTheme="minorHAnsi" w:hAnsi="Cambria Math" w:cs="Arial"/>
                                        <w:sz w:val="21"/>
                                        <w:szCs w:val="21"/>
                                      </w:rPr>
                                    </m:ctrlPr>
                                  </m:sSubPr>
                                  <m:e>
                                    <m:r>
                                      <w:rPr>
                                        <w:rFonts w:ascii="Cambria Math" w:eastAsiaTheme="minorHAnsi" w:hAnsi="Cambria Math" w:cs="Arial"/>
                                        <w:sz w:val="21"/>
                                        <w:szCs w:val="21"/>
                                      </w:rPr>
                                      <m:t>PPD</m:t>
                                    </m:r>
                                  </m:e>
                                  <m:sub>
                                    <m:r>
                                      <w:rPr>
                                        <w:rFonts w:ascii="Cambria Math" w:eastAsiaTheme="minorHAnsi" w:hAnsi="Cambria Math" w:cs="Arial"/>
                                        <w:sz w:val="21"/>
                                        <w:szCs w:val="21"/>
                                      </w:rPr>
                                      <m:t>m</m:t>
                                    </m:r>
                                  </m:sub>
                                </m:sSub>
                                <m:r>
                                  <w:rPr>
                                    <w:rFonts w:ascii="Cambria Math" w:eastAsiaTheme="minorHAnsi" w:hAnsi="Cambria Math" w:cs="Arial"/>
                                    <w:sz w:val="21"/>
                                    <w:szCs w:val="21"/>
                                  </w:rPr>
                                  <m:t xml:space="preserve"> ×</m:t>
                                </m:r>
                                <m:sSub>
                                  <m:sSubPr>
                                    <m:ctrlPr>
                                      <w:rPr>
                                        <w:rFonts w:ascii="Cambria Math" w:eastAsiaTheme="minorHAnsi" w:hAnsi="Cambria Math" w:cs="Arial"/>
                                        <w:sz w:val="21"/>
                                        <w:szCs w:val="21"/>
                                      </w:rPr>
                                    </m:ctrlPr>
                                  </m:sSubPr>
                                  <m:e>
                                    <m:r>
                                      <w:rPr>
                                        <w:rFonts w:ascii="Cambria Math" w:eastAsiaTheme="minorHAnsi" w:hAnsi="Cambria Math" w:cs="Arial"/>
                                        <w:sz w:val="21"/>
                                        <w:szCs w:val="21"/>
                                      </w:rPr>
                                      <m:t>PUCD</m:t>
                                    </m:r>
                                  </m:e>
                                  <m:sub>
                                    <m:r>
                                      <w:rPr>
                                        <w:rFonts w:ascii="Cambria Math" w:eastAsiaTheme="minorHAnsi" w:hAnsi="Cambria Math" w:cs="Arial"/>
                                        <w:sz w:val="21"/>
                                        <w:szCs w:val="21"/>
                                      </w:rPr>
                                      <m:t>m</m:t>
                                    </m:r>
                                  </m:sub>
                                </m:sSub>
                              </m:den>
                            </m:f>
                          </m:e>
                        </m:d>
                      </m:e>
                    </m:d>
                  </m:e>
                </m:nary>
              </m:oMath>
            </m:oMathPara>
          </w:p>
          <w:p w14:paraId="14CC09E7" w14:textId="77777777" w:rsidR="008E6686" w:rsidRPr="005D4222" w:rsidRDefault="008E6686" w:rsidP="00A53E8C">
            <w:pPr>
              <w:pStyle w:val="ECDSBody"/>
            </w:pPr>
            <w:r w:rsidRPr="005D4222">
              <w:t>Where:</w:t>
            </w:r>
          </w:p>
          <w:p w14:paraId="72A49E09" w14:textId="77777777" w:rsidR="008E6686" w:rsidRPr="005D4222" w:rsidRDefault="00010176" w:rsidP="00A53E8C">
            <w:pPr>
              <w:spacing w:before="60"/>
              <w:ind w:left="821" w:hanging="821"/>
              <w:rPr>
                <w:rFonts w:eastAsiaTheme="minorEastAsia"/>
              </w:rPr>
            </w:pPr>
            <m:oMath>
              <m:r>
                <w:rPr>
                  <w:rFonts w:ascii="Cambria Math" w:eastAsiaTheme="minorEastAsia" w:hAnsi="Cambria Math"/>
                </w:rPr>
                <m:t>c</m:t>
              </m:r>
            </m:oMath>
            <w:r w:rsidR="008E6686" w:rsidRPr="005D4222">
              <w:rPr>
                <w:rFonts w:eastAsiaTheme="minorEastAsia"/>
                <w:i/>
              </w:rPr>
              <w:t xml:space="preserve"> </w:t>
            </w:r>
            <w:r w:rsidR="008E6686" w:rsidRPr="005D4222">
              <w:rPr>
                <w:rFonts w:eastAsiaTheme="minorEastAsia"/>
                <w:i/>
              </w:rPr>
              <w:tab/>
            </w:r>
            <w:r w:rsidR="008E6686" w:rsidRPr="005D4222">
              <w:rPr>
                <w:rFonts w:eastAsiaTheme="minorEastAsia"/>
              </w:rPr>
              <w:t>denotes an individual category</w:t>
            </w:r>
          </w:p>
          <w:p w14:paraId="304FA52C" w14:textId="77777777" w:rsidR="008E6686" w:rsidRPr="005D4222" w:rsidRDefault="00000000" w:rsidP="00A53E8C">
            <w:pPr>
              <w:spacing w:before="60"/>
              <w:ind w:left="821" w:hanging="821"/>
              <w:rPr>
                <w:rFonts w:eastAsiaTheme="minorEastAsia"/>
              </w:rPr>
            </w:pPr>
            <m:oMath>
              <m:sSub>
                <m:sSubPr>
                  <m:ctrlPr>
                    <w:rPr>
                      <w:rFonts w:ascii="Cambria Math" w:hAnsi="Cambria Math"/>
                      <w:i/>
                    </w:rPr>
                  </m:ctrlPr>
                </m:sSubPr>
                <m:e>
                  <m:r>
                    <w:rPr>
                      <w:rFonts w:ascii="Cambria Math" w:hAnsi="Cambria Math"/>
                    </w:rPr>
                    <m:t>n</m:t>
                  </m:r>
                </m:e>
                <m:sub>
                  <m:r>
                    <w:rPr>
                      <w:rFonts w:ascii="Cambria Math" w:hAnsi="Cambria Math"/>
                    </w:rPr>
                    <m:t>c</m:t>
                  </m:r>
                </m:sub>
              </m:sSub>
            </m:oMath>
            <w:r w:rsidR="008E6686" w:rsidRPr="005D4222">
              <w:rPr>
                <w:rFonts w:eastAsiaTheme="minorEastAsia"/>
              </w:rPr>
              <w:t xml:space="preserve"> </w:t>
            </w:r>
            <w:r w:rsidR="008E6686" w:rsidRPr="005D4222">
              <w:rPr>
                <w:rFonts w:eastAsiaTheme="minorEastAsia"/>
              </w:rPr>
              <w:tab/>
              <w:t xml:space="preserve">is the number of persons in the category indicated by </w:t>
            </w:r>
            <m:oMath>
              <m:r>
                <w:rPr>
                  <w:rFonts w:ascii="Cambria Math" w:eastAsiaTheme="minorEastAsia" w:hAnsi="Cambria Math"/>
                </w:rPr>
                <m:t>c</m:t>
              </m:r>
            </m:oMath>
          </w:p>
          <w:p w14:paraId="7A806405" w14:textId="77777777" w:rsidR="008E6686" w:rsidRPr="005D4222" w:rsidRDefault="00010176" w:rsidP="00A53E8C">
            <w:pPr>
              <w:spacing w:before="60"/>
              <w:ind w:left="821" w:hanging="821"/>
              <w:rPr>
                <w:rFonts w:eastAsiaTheme="minorEastAsia"/>
              </w:rPr>
            </w:pPr>
            <m:oMath>
              <m:r>
                <w:rPr>
                  <w:rFonts w:ascii="Cambria Math" w:eastAsiaTheme="minorEastAsia" w:hAnsi="Cambria Math"/>
                </w:rPr>
                <m:t>m</m:t>
              </m:r>
            </m:oMath>
            <w:r w:rsidR="008E6686" w:rsidRPr="005D4222">
              <w:rPr>
                <w:rFonts w:eastAsiaTheme="minorEastAsia"/>
              </w:rPr>
              <w:t xml:space="preserve"> </w:t>
            </w:r>
            <w:r w:rsidR="008E6686" w:rsidRPr="005D4222">
              <w:rPr>
                <w:rFonts w:eastAsiaTheme="minorEastAsia"/>
              </w:rPr>
              <w:tab/>
              <w:t xml:space="preserve">is an individual person within the category indicated by </w:t>
            </w:r>
            <m:oMath>
              <m:r>
                <w:rPr>
                  <w:rFonts w:ascii="Cambria Math" w:eastAsiaTheme="minorEastAsia" w:hAnsi="Cambria Math"/>
                </w:rPr>
                <m:t>c</m:t>
              </m:r>
            </m:oMath>
          </w:p>
          <w:p w14:paraId="2A8A0842" w14:textId="77777777" w:rsidR="008E6686" w:rsidRPr="005D4222" w:rsidRDefault="00000000" w:rsidP="00A53E8C">
            <w:pPr>
              <w:spacing w:before="60"/>
              <w:ind w:left="821" w:hanging="821"/>
              <w:rPr>
                <w:rFonts w:eastAsiaTheme="minorEastAsia"/>
              </w:rPr>
            </w:pPr>
            <m:oMath>
              <m:sSub>
                <m:sSubPr>
                  <m:ctrlPr>
                    <w:rPr>
                      <w:rFonts w:ascii="Cambria Math" w:eastAsiaTheme="minorEastAsia" w:hAnsi="Cambria Math"/>
                      <w:i/>
                    </w:rPr>
                  </m:ctrlPr>
                </m:sSubPr>
                <m:e>
                  <m:r>
                    <w:rPr>
                      <w:rFonts w:ascii="Cambria Math" w:eastAsiaTheme="minorEastAsia" w:hAnsi="Cambria Math"/>
                    </w:rPr>
                    <m:t>PPD</m:t>
                  </m:r>
                </m:e>
                <m:sub>
                  <m:r>
                    <w:rPr>
                      <w:rFonts w:ascii="Cambria Math" w:eastAsiaTheme="minorEastAsia" w:hAnsi="Cambria Math"/>
                    </w:rPr>
                    <m:t>m</m:t>
                  </m:r>
                </m:sub>
              </m:sSub>
            </m:oMath>
            <w:r w:rsidR="008E6686" w:rsidRPr="005D4222">
              <w:rPr>
                <w:rFonts w:eastAsiaTheme="minorEastAsia"/>
              </w:rPr>
              <w:t xml:space="preserve"> </w:t>
            </w:r>
            <w:r w:rsidR="008E6686" w:rsidRPr="005D4222">
              <w:rPr>
                <w:rFonts w:eastAsiaTheme="minorEastAsia"/>
              </w:rPr>
              <w:tab/>
              <w:t xml:space="preserve">is the truncated PPD for the person denoted by </w:t>
            </w:r>
            <m:oMath>
              <m:r>
                <w:rPr>
                  <w:rFonts w:ascii="Cambria Math" w:eastAsiaTheme="minorEastAsia" w:hAnsi="Cambria Math"/>
                </w:rPr>
                <m:t>m</m:t>
              </m:r>
            </m:oMath>
          </w:p>
          <w:p w14:paraId="0C6B89F2" w14:textId="77777777" w:rsidR="008E6686" w:rsidRPr="005D4222" w:rsidRDefault="00000000" w:rsidP="00A53E8C">
            <w:pPr>
              <w:spacing w:before="60"/>
              <w:ind w:left="821" w:hanging="821"/>
              <w:rPr>
                <w:rFonts w:eastAsiaTheme="minorEastAsia"/>
              </w:rPr>
            </w:pPr>
            <m:oMath>
              <m:sSub>
                <m:sSubPr>
                  <m:ctrlPr>
                    <w:rPr>
                      <w:rFonts w:ascii="Cambria Math" w:eastAsiaTheme="minorEastAsia" w:hAnsi="Cambria Math"/>
                      <w:i/>
                    </w:rPr>
                  </m:ctrlPr>
                </m:sSubPr>
                <m:e>
                  <m:r>
                    <w:rPr>
                      <w:rFonts w:ascii="Cambria Math" w:eastAsiaTheme="minorEastAsia" w:hAnsi="Cambria Math"/>
                    </w:rPr>
                    <m:t>PUCD</m:t>
                  </m:r>
                </m:e>
                <m:sub>
                  <m:r>
                    <w:rPr>
                      <w:rFonts w:ascii="Cambria Math" w:eastAsiaTheme="minorEastAsia" w:hAnsi="Cambria Math"/>
                    </w:rPr>
                    <m:t>m</m:t>
                  </m:r>
                </m:sub>
              </m:sSub>
            </m:oMath>
            <w:r w:rsidR="008E6686" w:rsidRPr="005D4222">
              <w:rPr>
                <w:rFonts w:eastAsiaTheme="minorEastAsia"/>
              </w:rPr>
              <w:t xml:space="preserve"> </w:t>
            </w:r>
            <w:r w:rsidR="008E6686" w:rsidRPr="005D4222">
              <w:rPr>
                <w:rFonts w:eastAsiaTheme="minorEastAsia"/>
              </w:rPr>
              <w:tab/>
              <w:t xml:space="preserve">is the truncated PUCD for the person denoted by </w:t>
            </w:r>
            <m:oMath>
              <m:r>
                <w:rPr>
                  <w:rFonts w:ascii="Cambria Math" w:eastAsiaTheme="minorEastAsia" w:hAnsi="Cambria Math"/>
                </w:rPr>
                <m:t>m</m:t>
              </m:r>
            </m:oMath>
          </w:p>
          <w:p w14:paraId="1497C4B6" w14:textId="77777777" w:rsidR="008E6686" w:rsidRPr="005D4222" w:rsidRDefault="00000000" w:rsidP="00A53E8C">
            <w:pPr>
              <w:spacing w:before="60"/>
              <w:ind w:left="821" w:hanging="821"/>
              <w:rPr>
                <w:rFonts w:eastAsiaTheme="minorEastAsia"/>
              </w:rPr>
            </w:pP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m:t>
                  </m:r>
                </m:sub>
              </m:sSub>
            </m:oMath>
            <w:r w:rsidR="008E6686" w:rsidRPr="005D4222">
              <w:rPr>
                <w:rFonts w:eastAsiaTheme="minorEastAsia"/>
              </w:rPr>
              <w:t xml:space="preserve"> </w:t>
            </w:r>
            <w:r w:rsidR="008E6686" w:rsidRPr="005D4222">
              <w:rPr>
                <w:rFonts w:eastAsiaTheme="minorEastAsia"/>
              </w:rPr>
              <w:tab/>
              <w:t xml:space="preserve">is the number of persons in the category indicated by </w:t>
            </w:r>
            <m:oMath>
              <m:r>
                <w:rPr>
                  <w:rFonts w:ascii="Cambria Math" w:eastAsiaTheme="minorEastAsia" w:hAnsi="Cambria Math"/>
                </w:rPr>
                <m:t>c</m:t>
              </m:r>
            </m:oMath>
          </w:p>
          <w:p w14:paraId="1D622BA6" w14:textId="77777777" w:rsidR="008E6686" w:rsidRPr="005D4222" w:rsidRDefault="008E6686" w:rsidP="00A53E8C">
            <w:pPr>
              <w:pStyle w:val="ECDSBody"/>
            </w:pPr>
            <w:r w:rsidRPr="005D4222">
              <w:t>Round the variance for reporting to 4 decimal places using the .5 rule.</w:t>
            </w:r>
          </w:p>
        </w:tc>
      </w:tr>
      <w:tr w:rsidR="008E6686" w:rsidRPr="005D4222" w14:paraId="1F5457F2"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CD4D010" w14:textId="77777777" w:rsidR="008E6686" w:rsidRPr="005D4222" w:rsidRDefault="008E6686" w:rsidP="00A53E8C">
            <w:pPr>
              <w:pStyle w:val="ECDSMarginHead"/>
            </w:pPr>
            <w:r w:rsidRPr="005D4222">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B3EBA4B" w14:textId="77777777" w:rsidR="008E6686" w:rsidRPr="005D4222" w:rsidRDefault="008E6686" w:rsidP="00A53E8C">
            <w:pPr>
              <w:pStyle w:val="ProcessBullet"/>
              <w:spacing w:before="120"/>
              <w:rPr>
                <w:rFonts w:eastAsia="Arial"/>
              </w:rPr>
            </w:pPr>
            <w:r w:rsidRPr="005D4222">
              <w:rPr>
                <w:rFonts w:eastAsia="Arial"/>
              </w:rPr>
              <w:t xml:space="preserve">Integrated the Risk Adjustment General Guidelines into the </w:t>
            </w:r>
            <w:r w:rsidRPr="005D4222">
              <w:rPr>
                <w:rFonts w:eastAsia="Arial"/>
                <w:i/>
                <w:iCs/>
              </w:rPr>
              <w:t xml:space="preserve">Guidance </w:t>
            </w:r>
            <w:r w:rsidRPr="005D4222">
              <w:rPr>
                <w:rFonts w:eastAsia="Arial"/>
              </w:rPr>
              <w:t xml:space="preserve">section. </w:t>
            </w:r>
          </w:p>
          <w:p w14:paraId="307DD033" w14:textId="77777777" w:rsidR="008E6686" w:rsidRPr="005D4222" w:rsidRDefault="008E6686" w:rsidP="00A53E8C">
            <w:pPr>
              <w:pStyle w:val="ProcessBullet"/>
              <w:rPr>
                <w:rFonts w:eastAsia="Arial"/>
              </w:rPr>
            </w:pPr>
            <w:r w:rsidRPr="005D4222">
              <w:rPr>
                <w:rFonts w:eastAsia="Arial"/>
              </w:rPr>
              <w:t xml:space="preserve">Removed the definition of “classification period” and put this time frame in the </w:t>
            </w:r>
            <w:r w:rsidRPr="005D4222">
              <w:rPr>
                <w:rFonts w:eastAsia="Arial"/>
                <w:i/>
                <w:iCs/>
              </w:rPr>
              <w:t>Risk adjustment comorbidity category determination</w:t>
            </w:r>
            <w:r w:rsidRPr="005D4222">
              <w:rPr>
                <w:rFonts w:eastAsia="Arial"/>
              </w:rPr>
              <w:t xml:space="preserve"> section. </w:t>
            </w:r>
          </w:p>
          <w:p w14:paraId="29AC8186" w14:textId="77777777" w:rsidR="008E6686" w:rsidRDefault="008E6686" w:rsidP="00A53E8C">
            <w:pPr>
              <w:pStyle w:val="ProcessBullet"/>
              <w:spacing w:after="80"/>
              <w:rPr>
                <w:rFonts w:eastAsia="Arial"/>
              </w:rPr>
            </w:pPr>
            <w:r w:rsidRPr="005D4222">
              <w:rPr>
                <w:rFonts w:eastAsia="Arial"/>
              </w:rPr>
              <w:t xml:space="preserve">Added “direct transfer” to the </w:t>
            </w:r>
            <w:r w:rsidRPr="005D4222">
              <w:rPr>
                <w:rFonts w:eastAsia="Arial"/>
                <w:i/>
                <w:iCs/>
              </w:rPr>
              <w:t>Definitions</w:t>
            </w:r>
            <w:r w:rsidRPr="005D4222">
              <w:rPr>
                <w:rFonts w:eastAsia="Arial"/>
              </w:rPr>
              <w:t xml:space="preserve"> section.</w:t>
            </w:r>
          </w:p>
          <w:p w14:paraId="65A8FF3B" w14:textId="59F1B257" w:rsidR="00AD2A4D" w:rsidRPr="005D4222" w:rsidRDefault="00AD2A4D" w:rsidP="00A53E8C">
            <w:pPr>
              <w:pStyle w:val="ProcessBullet"/>
              <w:spacing w:after="80"/>
              <w:rPr>
                <w:rFonts w:eastAsia="Arial"/>
              </w:rPr>
            </w:pPr>
            <w:r w:rsidRPr="00D81F5D">
              <w:t>Added administrative gender code</w:t>
            </w:r>
            <w:r>
              <w:t xml:space="preserve">s </w:t>
            </w:r>
            <w:r w:rsidRPr="00D81F5D">
              <w:t>to the initial population.</w:t>
            </w:r>
          </w:p>
        </w:tc>
      </w:tr>
      <w:tr w:rsidR="008E6686" w:rsidRPr="005D4222" w14:paraId="229E95EC"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1BEACC5" w14:textId="77777777" w:rsidR="008E6686" w:rsidRPr="005D4222" w:rsidRDefault="008E6686" w:rsidP="00A53E8C">
            <w:pPr>
              <w:pStyle w:val="ECDS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AF6AA7B" w14:textId="77777777" w:rsidR="008E6686" w:rsidRPr="005D4222" w:rsidRDefault="008E6686" w:rsidP="00A53E8C">
            <w:pPr>
              <w:pStyle w:val="ECDSBody"/>
            </w:pPr>
            <w:r w:rsidRPr="005D4222">
              <w:rPr>
                <w:b/>
                <w:i/>
                <w:iCs/>
              </w:rPr>
              <w:t xml:space="preserve">Reporting: </w:t>
            </w:r>
            <w:r w:rsidRPr="005D4222">
              <w:rPr>
                <w:b/>
              </w:rPr>
              <w:t>Number of chronic ACSC nonoutliers, acute ACSC nonoutliers and total ACSC nonoutliers</w:t>
            </w:r>
            <w:r w:rsidRPr="005D4222">
              <w:rPr>
                <w:b/>
              </w:rPr>
              <w:br/>
            </w:r>
            <w:r w:rsidRPr="005D4222">
              <w:t>The number of chronic ACSC nonoutliers, acute ACSC nonoutliers and total ACSC nonoutliers for each group, reported as the NonOutlierPersonCount.</w:t>
            </w:r>
          </w:p>
          <w:p w14:paraId="33F6EAE8" w14:textId="77777777" w:rsidR="008E6686" w:rsidRPr="005D4222" w:rsidRDefault="008E6686" w:rsidP="00A53E8C">
            <w:pPr>
              <w:pStyle w:val="ECDSBody"/>
            </w:pPr>
            <w:r w:rsidRPr="005D4222">
              <w:rPr>
                <w:b/>
                <w:i/>
                <w:iCs/>
              </w:rPr>
              <w:t>Reporting:</w:t>
            </w:r>
            <w:r w:rsidRPr="005D4222">
              <w:rPr>
                <w:b/>
              </w:rPr>
              <w:t xml:space="preserve"> Number of chronic ACSC outliers, acute ACSC outliers and total ACSC outliers</w:t>
            </w:r>
            <w:r w:rsidRPr="005D4222">
              <w:rPr>
                <w:b/>
              </w:rPr>
              <w:br/>
            </w:r>
            <w:r w:rsidRPr="005D4222">
              <w:t>The number of chronic ACSC outliers, acute ACSC outliers and total ACSC outliers for each age group, reported as the OutlierPersonCount.</w:t>
            </w:r>
          </w:p>
        </w:tc>
      </w:tr>
    </w:tbl>
    <w:p w14:paraId="38EA4C8C" w14:textId="77777777" w:rsidR="008E6686" w:rsidRPr="005D4222" w:rsidRDefault="008E6686" w:rsidP="008E6686"/>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8E6686" w:rsidRPr="005D4222" w14:paraId="7BA8FF88" w14:textId="77777777" w:rsidTr="00A53E8C">
        <w:tc>
          <w:tcPr>
            <w:tcW w:w="2157"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0F8775D6" w14:textId="77777777" w:rsidR="008E6686" w:rsidRPr="005D4222" w:rsidRDefault="008E6686" w:rsidP="00A53E8C">
            <w:pPr>
              <w:pStyle w:val="ECDSMarginHead"/>
            </w:pP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tcPr>
          <w:p w14:paraId="5AC03BCD" w14:textId="77777777" w:rsidR="008E6686" w:rsidRPr="005D4222" w:rsidRDefault="008E6686" w:rsidP="00A53E8C">
            <w:pPr>
              <w:pStyle w:val="ECDSBody"/>
            </w:pPr>
            <w:r w:rsidRPr="005D4222">
              <w:rPr>
                <w:b/>
                <w:i/>
                <w:iCs/>
              </w:rPr>
              <w:t xml:space="preserve">Calculated: </w:t>
            </w:r>
            <w:r w:rsidRPr="005D4222">
              <w:rPr>
                <w:b/>
              </w:rPr>
              <w:t xml:space="preserve">Number of </w:t>
            </w:r>
            <w:r w:rsidRPr="005D4222">
              <w:rPr>
                <w:b/>
                <w:bCs w:val="0"/>
              </w:rPr>
              <w:t xml:space="preserve">persons </w:t>
            </w:r>
            <w:r w:rsidRPr="005D4222">
              <w:rPr>
                <w:b/>
              </w:rPr>
              <w:t xml:space="preserve">in the </w:t>
            </w:r>
            <w:r w:rsidRPr="005D4222">
              <w:rPr>
                <w:b/>
                <w:bCs w:val="0"/>
              </w:rPr>
              <w:t>initial population</w:t>
            </w:r>
            <w:r w:rsidRPr="005D4222">
              <w:rPr>
                <w:b/>
              </w:rPr>
              <w:br/>
            </w:r>
            <w:r w:rsidRPr="005D4222">
              <w:t>The number of persons in the initial population (including all outliers) for each age group and totals. Calculated by IDSS as the PersonCount.</w:t>
            </w:r>
          </w:p>
          <w:p w14:paraId="1BC315FF" w14:textId="77777777" w:rsidR="008E6686" w:rsidRPr="005D4222" w:rsidRDefault="008E6686" w:rsidP="00A53E8C">
            <w:pPr>
              <w:pStyle w:val="ECDSBody"/>
              <w:rPr>
                <w:b/>
                <w:bCs w:val="0"/>
              </w:rPr>
            </w:pPr>
            <w:r w:rsidRPr="005D4222">
              <w:rPr>
                <w:b/>
                <w:bCs w:val="0"/>
                <w:i/>
                <w:iCs/>
              </w:rPr>
              <w:t xml:space="preserve">Calculated: </w:t>
            </w:r>
            <w:r w:rsidRPr="005D4222">
              <w:rPr>
                <w:b/>
                <w:bCs w:val="0"/>
              </w:rPr>
              <w:t xml:space="preserve">Chronic ACSC outlier rate, acute ACSC outlier rate and total ACSC outlier rate </w:t>
            </w:r>
          </w:p>
          <w:p w14:paraId="262F880B" w14:textId="77777777" w:rsidR="008E6686" w:rsidRPr="005D4222" w:rsidRDefault="008E6686" w:rsidP="00A53E8C">
            <w:pPr>
              <w:pStyle w:val="MarginBullet"/>
            </w:pPr>
            <w:r w:rsidRPr="005D4222">
              <w:t>The number of chronic ACSC outlier persons (OutlierPersonCount) divided by the number of persons in the initial population (PersonCount), multiplied by 1,000 for each age group and totals. Calculated by IDSS as the OutlierRate.</w:t>
            </w:r>
          </w:p>
          <w:p w14:paraId="0882CE83" w14:textId="77777777" w:rsidR="008E6686" w:rsidRPr="005D4222" w:rsidRDefault="008E6686" w:rsidP="00A53E8C">
            <w:pPr>
              <w:pStyle w:val="MarginBullet"/>
            </w:pPr>
            <w:r w:rsidRPr="005D4222">
              <w:t>The number of acute ACSC outlier persons (OutlierPersonCount) divided by the number of persons in the initial population (PersonCount), multiplied by 1,000 for each age group and totals. Calculated by IDSS as the OutlierRate.</w:t>
            </w:r>
          </w:p>
          <w:p w14:paraId="1D393A21" w14:textId="77777777" w:rsidR="008E6686" w:rsidRPr="005D4222" w:rsidRDefault="008E6686" w:rsidP="00A53E8C">
            <w:pPr>
              <w:pStyle w:val="MarginBullet"/>
            </w:pPr>
            <w:r w:rsidRPr="005D4222">
              <w:t>The number of total ACSC outlier persons (OutlierPersonCount) divided by the number of persons in the initial population (PersonCount), multiplied by 1,000 for each age group and totals. Calculated by IDSS as the OutlierRate.</w:t>
            </w:r>
          </w:p>
          <w:p w14:paraId="3777C2DB" w14:textId="77777777" w:rsidR="008E6686" w:rsidRPr="005D4222" w:rsidRDefault="008E6686" w:rsidP="00A53E8C">
            <w:pPr>
              <w:pStyle w:val="Body"/>
            </w:pPr>
            <w:r w:rsidRPr="005D4222">
              <w:rPr>
                <w:b/>
                <w:bCs/>
                <w:i/>
                <w:iCs/>
              </w:rPr>
              <w:t>Reporting:</w:t>
            </w:r>
            <w:r w:rsidRPr="005D4222">
              <w:rPr>
                <w:b/>
                <w:bCs/>
              </w:rPr>
              <w:t xml:space="preserve"> Number of observed events among nonoutlier persons</w:t>
            </w:r>
            <w:r w:rsidRPr="005D4222">
              <w:rPr>
                <w:b/>
                <w:bCs/>
              </w:rPr>
              <w:br/>
            </w:r>
            <w:r w:rsidRPr="005D4222">
              <w:t>The number of observed discharges within each age group for each ACSC category and total ACSC, reported as the ObservedCount.</w:t>
            </w:r>
          </w:p>
          <w:p w14:paraId="087B0E40" w14:textId="77777777" w:rsidR="008E6686" w:rsidRPr="005D4222" w:rsidRDefault="008E6686" w:rsidP="00A53E8C">
            <w:pPr>
              <w:pStyle w:val="Body"/>
            </w:pPr>
            <w:r w:rsidRPr="005D4222">
              <w:rPr>
                <w:b/>
                <w:i/>
              </w:rPr>
              <w:t xml:space="preserve">Calculated: </w:t>
            </w:r>
            <w:r w:rsidRPr="005D4222">
              <w:rPr>
                <w:b/>
                <w:iCs/>
              </w:rPr>
              <w:t>Observed discharges per 1,000 nonoutlier persons</w:t>
            </w:r>
            <w:r w:rsidRPr="005D4222">
              <w:rPr>
                <w:b/>
                <w:iCs/>
              </w:rPr>
              <w:br/>
            </w:r>
            <w:r w:rsidRPr="005D4222">
              <w:t>The number of observed discharges (ObservedCount) divided by the number of nonoutlier persons in the initial population (NonOutlierPersonCount), multiplied by 1,000 for each age group and totals for each ACSC category and total ACSC. Calculated by IDSS as the ObservedRate.</w:t>
            </w:r>
          </w:p>
          <w:p w14:paraId="73DE53AF" w14:textId="77777777" w:rsidR="008E6686" w:rsidRPr="005D4222" w:rsidRDefault="008E6686" w:rsidP="00A53E8C">
            <w:pPr>
              <w:pStyle w:val="Body"/>
            </w:pPr>
            <w:r w:rsidRPr="005D4222">
              <w:rPr>
                <w:b/>
                <w:bCs/>
                <w:i/>
                <w:iCs/>
              </w:rPr>
              <w:t>Reporting:</w:t>
            </w:r>
            <w:r w:rsidRPr="005D4222">
              <w:rPr>
                <w:b/>
                <w:bCs/>
              </w:rPr>
              <w:t xml:space="preserve"> Number of expected events among nonoutlier persons</w:t>
            </w:r>
            <w:r w:rsidRPr="005D4222">
              <w:rPr>
                <w:b/>
                <w:bCs/>
              </w:rPr>
              <w:br/>
            </w:r>
            <w:r w:rsidRPr="005D4222">
              <w:t>The number of expected discharges for each age group for each ACSC category and total ACSC, reported as the ExpectedCount.</w:t>
            </w:r>
          </w:p>
          <w:p w14:paraId="333D67BF" w14:textId="77777777" w:rsidR="008E6686" w:rsidRPr="005D4222" w:rsidRDefault="008E6686" w:rsidP="00A53E8C">
            <w:pPr>
              <w:pStyle w:val="Body"/>
            </w:pPr>
            <w:r w:rsidRPr="005D4222">
              <w:rPr>
                <w:b/>
                <w:i/>
              </w:rPr>
              <w:t xml:space="preserve">Calculated: </w:t>
            </w:r>
            <w:r w:rsidRPr="005D4222">
              <w:rPr>
                <w:b/>
                <w:iCs/>
              </w:rPr>
              <w:t>Expected discharges per 1,000 nonoutlier persons</w:t>
            </w:r>
            <w:r w:rsidRPr="005D4222">
              <w:rPr>
                <w:b/>
                <w:iCs/>
              </w:rPr>
              <w:br/>
            </w:r>
            <w:r w:rsidRPr="005D4222">
              <w:t>The number of expected discharges (ExpectedCount) divided by the number of nonoutlier persons in the initial population (NonOutlierPersonCount), multiplied by 1,000 for each age group and totals for each ACSC category and total ACSC. Calculated by IDSS as the ExpectedRate.</w:t>
            </w:r>
          </w:p>
          <w:p w14:paraId="55C1D7F0" w14:textId="77777777" w:rsidR="008E6686" w:rsidRPr="005D4222" w:rsidRDefault="008E6686" w:rsidP="00A53E8C">
            <w:pPr>
              <w:pStyle w:val="Body"/>
              <w:rPr>
                <w:b/>
                <w:bCs/>
              </w:rPr>
            </w:pPr>
            <w:r w:rsidRPr="005D4222">
              <w:rPr>
                <w:b/>
                <w:bCs/>
                <w:i/>
                <w:iCs/>
              </w:rPr>
              <w:t xml:space="preserve">Reporting: </w:t>
            </w:r>
            <w:r w:rsidRPr="005D4222">
              <w:rPr>
                <w:b/>
                <w:bCs/>
              </w:rPr>
              <w:t>Variance among nonoutlier persons</w:t>
            </w:r>
            <w:r w:rsidRPr="005D4222">
              <w:rPr>
                <w:b/>
                <w:bCs/>
              </w:rPr>
              <w:br/>
            </w:r>
            <w:r w:rsidRPr="005D4222">
              <w:t xml:space="preserve">The variance (from </w:t>
            </w:r>
            <w:r w:rsidRPr="005D4222">
              <w:rPr>
                <w:i/>
                <w:iCs/>
              </w:rPr>
              <w:t>Risk Adjustment Calculation,</w:t>
            </w:r>
            <w:r w:rsidRPr="005D4222">
              <w:t xml:space="preserve"> PUCD, step 5) for each age group for each ACSC category and total ACSC, reported as the CountVariance.</w:t>
            </w:r>
          </w:p>
          <w:p w14:paraId="0885EBF5" w14:textId="77777777" w:rsidR="008E6686" w:rsidRPr="005D4222" w:rsidRDefault="008E6686" w:rsidP="00A53E8C">
            <w:pPr>
              <w:pStyle w:val="Body"/>
              <w:rPr>
                <w:b/>
                <w:bCs/>
              </w:rPr>
            </w:pPr>
            <w:r w:rsidRPr="005D4222">
              <w:rPr>
                <w:b/>
                <w:bCs/>
                <w:i/>
                <w:iCs/>
              </w:rPr>
              <w:t xml:space="preserve">Calculated: </w:t>
            </w:r>
            <w:r w:rsidRPr="005D4222">
              <w:rPr>
                <w:b/>
                <w:bCs/>
              </w:rPr>
              <w:t>O/E ratio</w:t>
            </w:r>
          </w:p>
          <w:p w14:paraId="14B9BA59" w14:textId="77777777" w:rsidR="008E6686" w:rsidRPr="005D4222" w:rsidRDefault="008E6686" w:rsidP="00A53E8C">
            <w:pPr>
              <w:pStyle w:val="Body"/>
              <w:spacing w:before="0"/>
            </w:pPr>
            <w:r w:rsidRPr="005D4222">
              <w:t>The number of observed discharges (ObservedCount) divided by the number of expected discharges (ExpectedCount) for each age group and totals for each ACSC category and total ACSC. Calculated by IDSS as the OE.</w:t>
            </w:r>
          </w:p>
          <w:p w14:paraId="342E9F7B" w14:textId="77777777" w:rsidR="008E6686" w:rsidRPr="005D4222" w:rsidRDefault="008E6686" w:rsidP="00A53E8C">
            <w:pPr>
              <w:pStyle w:val="ECDSBody"/>
              <w:rPr>
                <w:b/>
                <w:bCs w:val="0"/>
              </w:rPr>
            </w:pPr>
            <w:r w:rsidRPr="005D4222">
              <w:t>Organizations that submit HEDIS data to NCQA must provide the following data elements.</w:t>
            </w:r>
          </w:p>
        </w:tc>
      </w:tr>
    </w:tbl>
    <w:p w14:paraId="1D5FFA0C" w14:textId="77777777" w:rsidR="008E6686" w:rsidRPr="005D4222" w:rsidRDefault="008E6686" w:rsidP="008E6686">
      <w:pPr>
        <w:spacing w:after="160" w:line="259" w:lineRule="auto"/>
      </w:pPr>
      <w:r w:rsidRPr="005D4222">
        <w:br w:type="page"/>
      </w:r>
    </w:p>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8E6686" w:rsidRPr="005D4222" w14:paraId="674B97C2"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60858BB" w14:textId="77777777" w:rsidR="008E6686" w:rsidRPr="005D4222" w:rsidRDefault="008E6686"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940C485" w14:textId="77777777" w:rsidR="008E6686" w:rsidRPr="005D4222" w:rsidRDefault="008E6686" w:rsidP="00A53E8C">
            <w:pPr>
              <w:pStyle w:val="Heading3"/>
              <w:spacing w:before="120"/>
              <w:rPr>
                <w:b w:val="0"/>
                <w:bCs w:val="0"/>
                <w:iCs/>
                <w:szCs w:val="18"/>
              </w:rPr>
            </w:pPr>
            <w:r w:rsidRPr="005D4222">
              <w:t xml:space="preserve">Table HPC-3: Data Elements for Hospitalization for Potentially Preventable </w:t>
            </w:r>
            <w:r w:rsidRPr="005D4222">
              <w:rPr>
                <w:iCs/>
                <w:szCs w:val="18"/>
              </w:rPr>
              <w:t>Complications</w:t>
            </w:r>
          </w:p>
          <w:tbl>
            <w:tblPr>
              <w:tblW w:w="7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958"/>
              <w:gridCol w:w="928"/>
              <w:gridCol w:w="2407"/>
              <w:gridCol w:w="3083"/>
            </w:tblGrid>
            <w:tr w:rsidR="008E6686" w:rsidRPr="005D4222" w14:paraId="4CC3F481" w14:textId="77777777" w:rsidTr="00A53E8C">
              <w:trPr>
                <w:cantSplit/>
              </w:trPr>
              <w:tc>
                <w:tcPr>
                  <w:tcW w:w="957" w:type="dxa"/>
                  <w:tcBorders>
                    <w:top w:val="single" w:sz="4" w:space="0" w:color="auto"/>
                    <w:left w:val="single" w:sz="4" w:space="0" w:color="auto"/>
                    <w:bottom w:val="single" w:sz="4" w:space="0" w:color="auto"/>
                    <w:right w:val="single" w:sz="4" w:space="0" w:color="FFFFFF" w:themeColor="background1"/>
                  </w:tcBorders>
                  <w:shd w:val="clear" w:color="auto" w:fill="000000" w:themeFill="text1"/>
                </w:tcPr>
                <w:p w14:paraId="14BFD9D7" w14:textId="77777777" w:rsidR="008E6686" w:rsidRPr="005D4222" w:rsidRDefault="008E6686" w:rsidP="00A53E8C">
                  <w:pPr>
                    <w:pStyle w:val="TableHead"/>
                    <w:rPr>
                      <w:rFonts w:eastAsia="Arial Narrow"/>
                    </w:rPr>
                  </w:pPr>
                  <w:r w:rsidRPr="005D4222">
                    <w:rPr>
                      <w:rFonts w:eastAsia="Arial Narrow"/>
                    </w:rPr>
                    <w:t>Metric</w:t>
                  </w:r>
                </w:p>
              </w:tc>
              <w:tc>
                <w:tcPr>
                  <w:tcW w:w="928"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cPr>
                <w:p w14:paraId="1F14D770" w14:textId="77777777" w:rsidR="008E6686" w:rsidRPr="005D4222" w:rsidRDefault="008E6686" w:rsidP="00A53E8C">
                  <w:pPr>
                    <w:pStyle w:val="TableHead"/>
                    <w:rPr>
                      <w:rFonts w:eastAsia="Arial Narrow"/>
                    </w:rPr>
                  </w:pPr>
                  <w:r w:rsidRPr="005D4222">
                    <w:rPr>
                      <w:rFonts w:eastAsia="Arial Narrow"/>
                    </w:rPr>
                    <w:t>Age</w:t>
                  </w:r>
                </w:p>
              </w:tc>
              <w:tc>
                <w:tcPr>
                  <w:tcW w:w="2407" w:type="dxa"/>
                  <w:tcBorders>
                    <w:top w:val="single" w:sz="4" w:space="0" w:color="auto"/>
                    <w:left w:val="single" w:sz="4" w:space="0" w:color="FFFFFF" w:themeColor="background1"/>
                    <w:right w:val="single" w:sz="6" w:space="0" w:color="FFFFFF" w:themeColor="background1"/>
                  </w:tcBorders>
                  <w:shd w:val="clear" w:color="auto" w:fill="000000" w:themeFill="text1"/>
                  <w:vAlign w:val="bottom"/>
                </w:tcPr>
                <w:p w14:paraId="7D999E5A" w14:textId="77777777" w:rsidR="008E6686" w:rsidRPr="005D4222" w:rsidRDefault="008E6686" w:rsidP="00A53E8C">
                  <w:pPr>
                    <w:pStyle w:val="TableHead"/>
                    <w:rPr>
                      <w:rFonts w:eastAsia="Arial Narrow"/>
                    </w:rPr>
                  </w:pPr>
                  <w:r w:rsidRPr="005D4222">
                    <w:rPr>
                      <w:rFonts w:eastAsia="Arial Narrow"/>
                    </w:rPr>
                    <w:t xml:space="preserve">Data Element </w:t>
                  </w:r>
                </w:p>
              </w:tc>
              <w:tc>
                <w:tcPr>
                  <w:tcW w:w="3083" w:type="dxa"/>
                  <w:tcBorders>
                    <w:top w:val="single" w:sz="4" w:space="0" w:color="auto"/>
                    <w:left w:val="single" w:sz="6" w:space="0" w:color="FFFFFF" w:themeColor="background1"/>
                    <w:right w:val="single" w:sz="4" w:space="0" w:color="auto"/>
                  </w:tcBorders>
                  <w:shd w:val="clear" w:color="auto" w:fill="000000" w:themeFill="text1"/>
                  <w:vAlign w:val="bottom"/>
                </w:tcPr>
                <w:p w14:paraId="095CEB85" w14:textId="77777777" w:rsidR="008E6686" w:rsidRPr="005D4222" w:rsidRDefault="008E6686" w:rsidP="00A53E8C">
                  <w:pPr>
                    <w:pStyle w:val="TableHead"/>
                    <w:rPr>
                      <w:rFonts w:eastAsia="Arial Narrow"/>
                    </w:rPr>
                  </w:pPr>
                  <w:r w:rsidRPr="005D4222">
                    <w:rPr>
                      <w:rFonts w:eastAsia="Arial Narrow"/>
                    </w:rPr>
                    <w:t>Reporting Instructions</w:t>
                  </w:r>
                </w:p>
              </w:tc>
            </w:tr>
            <w:tr w:rsidR="008E6686" w:rsidRPr="005D4222" w14:paraId="12DCE849" w14:textId="77777777" w:rsidTr="00A53E8C">
              <w:trPr>
                <w:cantSplit/>
              </w:trPr>
              <w:tc>
                <w:tcPr>
                  <w:tcW w:w="957" w:type="dxa"/>
                  <w:tcBorders>
                    <w:top w:val="single" w:sz="4" w:space="0" w:color="auto"/>
                    <w:bottom w:val="single" w:sz="4" w:space="0" w:color="auto"/>
                  </w:tcBorders>
                  <w:vAlign w:val="bottom"/>
                </w:tcPr>
                <w:p w14:paraId="1487D2A1" w14:textId="77777777" w:rsidR="008E6686" w:rsidRPr="005D4222" w:rsidRDefault="008E6686" w:rsidP="00A53E8C">
                  <w:pPr>
                    <w:pStyle w:val="TableText"/>
                    <w:rPr>
                      <w:rFonts w:eastAsia="Arial Narrow"/>
                    </w:rPr>
                  </w:pPr>
                  <w:r w:rsidRPr="005D4222">
                    <w:t>Chronic</w:t>
                  </w:r>
                </w:p>
              </w:tc>
              <w:tc>
                <w:tcPr>
                  <w:tcW w:w="928" w:type="dxa"/>
                </w:tcPr>
                <w:p w14:paraId="39A83531" w14:textId="77777777" w:rsidR="008E6686" w:rsidRPr="005D4222" w:rsidRDefault="008E6686" w:rsidP="00A53E8C">
                  <w:pPr>
                    <w:pStyle w:val="TableText"/>
                    <w:rPr>
                      <w:rFonts w:eastAsia="Arial Narrow"/>
                    </w:rPr>
                  </w:pPr>
                  <w:r w:rsidRPr="005D4222">
                    <w:t>67-74</w:t>
                  </w:r>
                </w:p>
              </w:tc>
              <w:tc>
                <w:tcPr>
                  <w:tcW w:w="2407" w:type="dxa"/>
                  <w:tcBorders>
                    <w:bottom w:val="single" w:sz="4" w:space="0" w:color="auto"/>
                  </w:tcBorders>
                </w:tcPr>
                <w:p w14:paraId="050D7651" w14:textId="77777777" w:rsidR="008E6686" w:rsidRPr="005D4222" w:rsidRDefault="008E6686" w:rsidP="00A53E8C">
                  <w:pPr>
                    <w:pStyle w:val="TableText"/>
                    <w:rPr>
                      <w:rFonts w:eastAsia="Arial Narrow"/>
                    </w:rPr>
                  </w:pPr>
                  <w:r w:rsidRPr="005D4222">
                    <w:rPr>
                      <w:rFonts w:eastAsia="Arial Narrow"/>
                    </w:rPr>
                    <w:t>NonOutlierPersonCount</w:t>
                  </w:r>
                </w:p>
              </w:tc>
              <w:tc>
                <w:tcPr>
                  <w:tcW w:w="3083" w:type="dxa"/>
                  <w:tcBorders>
                    <w:bottom w:val="single" w:sz="4" w:space="0" w:color="auto"/>
                  </w:tcBorders>
                </w:tcPr>
                <w:p w14:paraId="7080A8E9" w14:textId="77777777" w:rsidR="008E6686" w:rsidRPr="005D4222" w:rsidRDefault="008E6686" w:rsidP="00A53E8C">
                  <w:pPr>
                    <w:pStyle w:val="TableText"/>
                    <w:rPr>
                      <w:rFonts w:eastAsia="Arial Narrow"/>
                    </w:rPr>
                  </w:pPr>
                  <w:r w:rsidRPr="005D4222">
                    <w:rPr>
                      <w:rFonts w:eastAsia="Arial Narrow"/>
                    </w:rPr>
                    <w:t>For each Metric and Stratification</w:t>
                  </w:r>
                </w:p>
              </w:tc>
            </w:tr>
            <w:tr w:rsidR="008E6686" w:rsidRPr="005D4222" w14:paraId="6BAFD8B3" w14:textId="77777777" w:rsidTr="00A53E8C">
              <w:trPr>
                <w:cantSplit/>
              </w:trPr>
              <w:tc>
                <w:tcPr>
                  <w:tcW w:w="957" w:type="dxa"/>
                  <w:tcBorders>
                    <w:bottom w:val="single" w:sz="4" w:space="0" w:color="auto"/>
                  </w:tcBorders>
                  <w:vAlign w:val="bottom"/>
                </w:tcPr>
                <w:p w14:paraId="3FC7F2E4" w14:textId="77777777" w:rsidR="008E6686" w:rsidRPr="005D4222" w:rsidRDefault="008E6686" w:rsidP="00A53E8C">
                  <w:pPr>
                    <w:pStyle w:val="TableText"/>
                    <w:rPr>
                      <w:rFonts w:eastAsia="Arial Narrow"/>
                    </w:rPr>
                  </w:pPr>
                  <w:r w:rsidRPr="005D4222">
                    <w:t>Acute</w:t>
                  </w:r>
                </w:p>
              </w:tc>
              <w:tc>
                <w:tcPr>
                  <w:tcW w:w="928" w:type="dxa"/>
                  <w:tcBorders>
                    <w:bottom w:val="single" w:sz="4" w:space="0" w:color="auto"/>
                  </w:tcBorders>
                </w:tcPr>
                <w:p w14:paraId="74BDDB68" w14:textId="77777777" w:rsidR="008E6686" w:rsidRPr="005D4222" w:rsidRDefault="008E6686" w:rsidP="00A53E8C">
                  <w:pPr>
                    <w:pStyle w:val="TableText"/>
                    <w:rPr>
                      <w:rFonts w:eastAsia="Arial Narrow"/>
                    </w:rPr>
                  </w:pPr>
                  <w:r w:rsidRPr="005D4222">
                    <w:t>75-84</w:t>
                  </w:r>
                </w:p>
              </w:tc>
              <w:tc>
                <w:tcPr>
                  <w:tcW w:w="2407" w:type="dxa"/>
                  <w:tcBorders>
                    <w:bottom w:val="single" w:sz="4" w:space="0" w:color="auto"/>
                  </w:tcBorders>
                </w:tcPr>
                <w:p w14:paraId="32972908" w14:textId="77777777" w:rsidR="008E6686" w:rsidRPr="005D4222" w:rsidRDefault="008E6686" w:rsidP="00A53E8C">
                  <w:pPr>
                    <w:pStyle w:val="TableText"/>
                    <w:rPr>
                      <w:rFonts w:eastAsia="Arial Narrow"/>
                    </w:rPr>
                  </w:pPr>
                  <w:r w:rsidRPr="005D4222">
                    <w:rPr>
                      <w:rFonts w:eastAsia="Arial Narrow"/>
                    </w:rPr>
                    <w:t>OutlierPersonCount</w:t>
                  </w:r>
                </w:p>
              </w:tc>
              <w:tc>
                <w:tcPr>
                  <w:tcW w:w="3083" w:type="dxa"/>
                  <w:tcBorders>
                    <w:bottom w:val="single" w:sz="4" w:space="0" w:color="auto"/>
                  </w:tcBorders>
                </w:tcPr>
                <w:p w14:paraId="6C0DE24F" w14:textId="77777777" w:rsidR="008E6686" w:rsidRPr="005D4222" w:rsidRDefault="008E6686" w:rsidP="00A53E8C">
                  <w:pPr>
                    <w:pStyle w:val="TableText"/>
                    <w:rPr>
                      <w:rFonts w:eastAsia="Arial Narrow"/>
                    </w:rPr>
                  </w:pPr>
                  <w:r w:rsidRPr="005D4222">
                    <w:rPr>
                      <w:rFonts w:eastAsia="Arial Narrow"/>
                    </w:rPr>
                    <w:t>For each Metric and Stratification</w:t>
                  </w:r>
                </w:p>
              </w:tc>
            </w:tr>
            <w:tr w:rsidR="008E6686" w:rsidRPr="005D4222" w14:paraId="526F8448" w14:textId="77777777" w:rsidTr="00A53E8C">
              <w:trPr>
                <w:cantSplit/>
              </w:trPr>
              <w:tc>
                <w:tcPr>
                  <w:tcW w:w="957" w:type="dxa"/>
                  <w:tcBorders>
                    <w:top w:val="single" w:sz="4" w:space="0" w:color="auto"/>
                    <w:left w:val="single" w:sz="4" w:space="0" w:color="auto"/>
                    <w:bottom w:val="single" w:sz="4" w:space="0" w:color="auto"/>
                    <w:right w:val="single" w:sz="4" w:space="0" w:color="auto"/>
                  </w:tcBorders>
                  <w:vAlign w:val="bottom"/>
                </w:tcPr>
                <w:p w14:paraId="5419295C" w14:textId="77777777" w:rsidR="008E6686" w:rsidRPr="005D4222" w:rsidRDefault="008E6686" w:rsidP="00A53E8C">
                  <w:pPr>
                    <w:pStyle w:val="TableText"/>
                    <w:rPr>
                      <w:rFonts w:eastAsia="Arial Narrow"/>
                    </w:rPr>
                  </w:pPr>
                  <w:r w:rsidRPr="005D4222">
                    <w:t>Total</w:t>
                  </w:r>
                </w:p>
              </w:tc>
              <w:tc>
                <w:tcPr>
                  <w:tcW w:w="928" w:type="dxa"/>
                  <w:tcBorders>
                    <w:left w:val="single" w:sz="4" w:space="0" w:color="auto"/>
                    <w:bottom w:val="single" w:sz="4" w:space="0" w:color="000000" w:themeColor="text1"/>
                    <w:right w:val="single" w:sz="4" w:space="0" w:color="auto"/>
                  </w:tcBorders>
                </w:tcPr>
                <w:p w14:paraId="6454A2A2" w14:textId="77777777" w:rsidR="008E6686" w:rsidRPr="005D4222" w:rsidRDefault="008E6686" w:rsidP="00A53E8C">
                  <w:pPr>
                    <w:pStyle w:val="TableText"/>
                    <w:rPr>
                      <w:rFonts w:eastAsia="Arial Narrow"/>
                    </w:rPr>
                  </w:pPr>
                  <w:r w:rsidRPr="005D4222">
                    <w:t>85+</w:t>
                  </w:r>
                </w:p>
              </w:tc>
              <w:tc>
                <w:tcPr>
                  <w:tcW w:w="24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DF0167E" w14:textId="77777777" w:rsidR="008E6686" w:rsidRPr="005D4222" w:rsidRDefault="008E6686" w:rsidP="00A53E8C">
                  <w:pPr>
                    <w:pStyle w:val="TableText"/>
                    <w:rPr>
                      <w:rFonts w:eastAsia="Arial Narrow"/>
                    </w:rPr>
                  </w:pPr>
                  <w:r w:rsidRPr="005D4222">
                    <w:rPr>
                      <w:rFonts w:eastAsia="Arial Narrow"/>
                    </w:rPr>
                    <w:t>PersonCount</w:t>
                  </w:r>
                </w:p>
              </w:tc>
              <w:tc>
                <w:tcPr>
                  <w:tcW w:w="308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E9B99FF" w14:textId="77777777" w:rsidR="008E6686" w:rsidRPr="005D4222" w:rsidRDefault="008E6686" w:rsidP="00A53E8C">
                  <w:pPr>
                    <w:pStyle w:val="TableText"/>
                    <w:rPr>
                      <w:rFonts w:eastAsia="Arial Narrow"/>
                    </w:rPr>
                  </w:pPr>
                  <w:r w:rsidRPr="005D4222">
                    <w:rPr>
                      <w:rFonts w:eastAsia="Arial Narrow"/>
                    </w:rPr>
                    <w:t>NonOutlierPersonCount + OutlierPersonCount</w:t>
                  </w:r>
                </w:p>
              </w:tc>
            </w:tr>
            <w:tr w:rsidR="008E6686" w:rsidRPr="005D4222" w14:paraId="563402E6" w14:textId="77777777" w:rsidTr="00A53E8C">
              <w:trPr>
                <w:cantSplit/>
              </w:trPr>
              <w:tc>
                <w:tcPr>
                  <w:tcW w:w="957" w:type="dxa"/>
                  <w:tcBorders>
                    <w:top w:val="single" w:sz="4" w:space="0" w:color="auto"/>
                    <w:left w:val="nil"/>
                    <w:bottom w:val="nil"/>
                    <w:right w:val="single" w:sz="4" w:space="0" w:color="000000" w:themeColor="text1"/>
                  </w:tcBorders>
                  <w:vAlign w:val="bottom"/>
                </w:tcPr>
                <w:p w14:paraId="1B32A449" w14:textId="77777777" w:rsidR="008E6686" w:rsidRPr="005D4222" w:rsidRDefault="008E6686" w:rsidP="00A53E8C">
                  <w:pPr>
                    <w:pStyle w:val="TableText"/>
                  </w:pPr>
                </w:p>
              </w:tc>
              <w:tc>
                <w:tcPr>
                  <w:tcW w:w="9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0D54E1A" w14:textId="77777777" w:rsidR="008E6686" w:rsidRPr="005D4222" w:rsidRDefault="008E6686" w:rsidP="00A53E8C">
                  <w:pPr>
                    <w:pStyle w:val="TableText"/>
                    <w:rPr>
                      <w:rFonts w:eastAsia="Arial Narrow"/>
                      <w:szCs w:val="21"/>
                    </w:rPr>
                  </w:pPr>
                  <w:r w:rsidRPr="005D4222">
                    <w:rPr>
                      <w:szCs w:val="21"/>
                    </w:rPr>
                    <w:t>Total</w:t>
                  </w:r>
                </w:p>
              </w:tc>
              <w:tc>
                <w:tcPr>
                  <w:tcW w:w="240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221FD29" w14:textId="77777777" w:rsidR="008E6686" w:rsidRPr="005D4222" w:rsidRDefault="008E6686" w:rsidP="00A53E8C">
                  <w:pPr>
                    <w:pStyle w:val="TableText"/>
                    <w:rPr>
                      <w:rFonts w:eastAsia="Arial Narrow"/>
                    </w:rPr>
                  </w:pPr>
                  <w:r w:rsidRPr="005D4222">
                    <w:rPr>
                      <w:rFonts w:eastAsia="Arial Narrow"/>
                    </w:rPr>
                    <w:t>OutlierRate</w:t>
                  </w:r>
                </w:p>
              </w:tc>
              <w:tc>
                <w:tcPr>
                  <w:tcW w:w="308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CF9CCD6" w14:textId="77777777" w:rsidR="008E6686" w:rsidRPr="005D4222" w:rsidRDefault="008E6686" w:rsidP="00A53E8C">
                  <w:pPr>
                    <w:pStyle w:val="TableText"/>
                    <w:rPr>
                      <w:rFonts w:eastAsia="Arial Narrow"/>
                    </w:rPr>
                  </w:pPr>
                  <w:r w:rsidRPr="005D4222">
                    <w:rPr>
                      <w:rFonts w:eastAsia="Arial Narrow"/>
                    </w:rPr>
                    <w:t>OutlierPersonCount / PersonCount (Permille)</w:t>
                  </w:r>
                </w:p>
              </w:tc>
            </w:tr>
            <w:tr w:rsidR="008E6686" w:rsidRPr="005D4222" w14:paraId="33B77BFB" w14:textId="77777777" w:rsidTr="007B5FC3">
              <w:trPr>
                <w:cantSplit/>
              </w:trPr>
              <w:tc>
                <w:tcPr>
                  <w:tcW w:w="957" w:type="dxa"/>
                  <w:tcBorders>
                    <w:top w:val="nil"/>
                    <w:left w:val="nil"/>
                    <w:bottom w:val="nil"/>
                    <w:right w:val="nil"/>
                  </w:tcBorders>
                  <w:vAlign w:val="bottom"/>
                </w:tcPr>
                <w:p w14:paraId="246008EC" w14:textId="77777777" w:rsidR="008E6686" w:rsidRPr="005D4222" w:rsidRDefault="008E6686" w:rsidP="00A53E8C">
                  <w:pPr>
                    <w:pStyle w:val="TableText"/>
                  </w:pPr>
                </w:p>
              </w:tc>
              <w:tc>
                <w:tcPr>
                  <w:tcW w:w="928" w:type="dxa"/>
                  <w:tcBorders>
                    <w:top w:val="single" w:sz="4" w:space="0" w:color="000000" w:themeColor="text1"/>
                    <w:left w:val="nil"/>
                    <w:bottom w:val="nil"/>
                    <w:right w:val="nil"/>
                  </w:tcBorders>
                  <w:shd w:val="clear" w:color="auto" w:fill="FFFFFF" w:themeFill="background1"/>
                </w:tcPr>
                <w:p w14:paraId="134317A2" w14:textId="77777777" w:rsidR="008E6686" w:rsidRPr="005D4222" w:rsidRDefault="008E6686" w:rsidP="00A53E8C">
                  <w:pPr>
                    <w:pStyle w:val="TableText"/>
                  </w:pPr>
                </w:p>
              </w:tc>
              <w:tc>
                <w:tcPr>
                  <w:tcW w:w="2407" w:type="dxa"/>
                  <w:tcBorders>
                    <w:top w:val="single" w:sz="4" w:space="0" w:color="auto"/>
                    <w:left w:val="single" w:sz="4" w:space="0" w:color="auto"/>
                    <w:bottom w:val="single" w:sz="4" w:space="0" w:color="auto"/>
                    <w:right w:val="single" w:sz="4" w:space="0" w:color="auto"/>
                  </w:tcBorders>
                </w:tcPr>
                <w:p w14:paraId="0FEE69C9" w14:textId="77777777" w:rsidR="008E6686" w:rsidRPr="005D4222" w:rsidRDefault="008E6686" w:rsidP="00A53E8C">
                  <w:pPr>
                    <w:pStyle w:val="TableText"/>
                  </w:pPr>
                  <w:r w:rsidRPr="005D4222">
                    <w:t>ObservedCount</w:t>
                  </w:r>
                </w:p>
              </w:tc>
              <w:tc>
                <w:tcPr>
                  <w:tcW w:w="3083" w:type="dxa"/>
                  <w:tcBorders>
                    <w:top w:val="single" w:sz="4" w:space="0" w:color="auto"/>
                    <w:left w:val="single" w:sz="4" w:space="0" w:color="auto"/>
                    <w:bottom w:val="single" w:sz="4" w:space="0" w:color="auto"/>
                    <w:right w:val="single" w:sz="4" w:space="0" w:color="auto"/>
                  </w:tcBorders>
                </w:tcPr>
                <w:p w14:paraId="485D05E2" w14:textId="77777777" w:rsidR="008E6686" w:rsidRPr="005D4222" w:rsidRDefault="008E6686" w:rsidP="00A53E8C">
                  <w:pPr>
                    <w:pStyle w:val="TableText"/>
                    <w:rPr>
                      <w:rFonts w:eastAsia="Arial Narrow"/>
                    </w:rPr>
                  </w:pPr>
                  <w:r w:rsidRPr="005D4222">
                    <w:rPr>
                      <w:rFonts w:eastAsia="Arial Narrow"/>
                    </w:rPr>
                    <w:t>For each Metric and Stratification</w:t>
                  </w:r>
                </w:p>
              </w:tc>
            </w:tr>
            <w:tr w:rsidR="008E6686" w:rsidRPr="005D4222" w14:paraId="5E89814D" w14:textId="77777777" w:rsidTr="00A53E8C">
              <w:trPr>
                <w:cantSplit/>
              </w:trPr>
              <w:tc>
                <w:tcPr>
                  <w:tcW w:w="957" w:type="dxa"/>
                  <w:tcBorders>
                    <w:top w:val="nil"/>
                    <w:left w:val="nil"/>
                    <w:bottom w:val="nil"/>
                    <w:right w:val="nil"/>
                  </w:tcBorders>
                  <w:vAlign w:val="bottom"/>
                </w:tcPr>
                <w:p w14:paraId="211C0D99" w14:textId="77777777" w:rsidR="008E6686" w:rsidRPr="005D4222" w:rsidRDefault="008E6686" w:rsidP="00A53E8C">
                  <w:pPr>
                    <w:pStyle w:val="TableText"/>
                  </w:pPr>
                </w:p>
              </w:tc>
              <w:tc>
                <w:tcPr>
                  <w:tcW w:w="928" w:type="dxa"/>
                  <w:tcBorders>
                    <w:top w:val="nil"/>
                    <w:left w:val="nil"/>
                    <w:bottom w:val="nil"/>
                    <w:right w:val="nil"/>
                  </w:tcBorders>
                  <w:shd w:val="clear" w:color="auto" w:fill="FFFFFF" w:themeFill="background1"/>
                </w:tcPr>
                <w:p w14:paraId="4C427003" w14:textId="77777777" w:rsidR="008E6686" w:rsidRPr="005D4222" w:rsidRDefault="008E6686" w:rsidP="00A53E8C">
                  <w:pPr>
                    <w:pStyle w:val="TableText"/>
                  </w:pPr>
                </w:p>
              </w:tc>
              <w:tc>
                <w:tcPr>
                  <w:tcW w:w="240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BCFFD3B" w14:textId="77777777" w:rsidR="008E6686" w:rsidRPr="005D4222" w:rsidRDefault="008E6686" w:rsidP="00A53E8C">
                  <w:pPr>
                    <w:pStyle w:val="TableText"/>
                  </w:pPr>
                  <w:r w:rsidRPr="005D4222">
                    <w:t>ObservedRate</w:t>
                  </w:r>
                </w:p>
              </w:tc>
              <w:tc>
                <w:tcPr>
                  <w:tcW w:w="308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532879D" w14:textId="77777777" w:rsidR="008E6686" w:rsidRPr="005D4222" w:rsidRDefault="008E6686" w:rsidP="00A53E8C">
                  <w:pPr>
                    <w:pStyle w:val="TableText"/>
                    <w:rPr>
                      <w:rFonts w:eastAsia="Arial Narrow"/>
                    </w:rPr>
                  </w:pPr>
                  <w:r w:rsidRPr="005D4222">
                    <w:rPr>
                      <w:rFonts w:eastAsia="Arial Narrow"/>
                    </w:rPr>
                    <w:t>1,000 * ObservedCount / NonOutlierPersonCount</w:t>
                  </w:r>
                </w:p>
              </w:tc>
            </w:tr>
            <w:tr w:rsidR="008E6686" w:rsidRPr="005D4222" w14:paraId="624C129F" w14:textId="77777777" w:rsidTr="007B5FC3">
              <w:trPr>
                <w:cantSplit/>
              </w:trPr>
              <w:tc>
                <w:tcPr>
                  <w:tcW w:w="957" w:type="dxa"/>
                  <w:tcBorders>
                    <w:top w:val="nil"/>
                    <w:left w:val="nil"/>
                    <w:bottom w:val="nil"/>
                    <w:right w:val="nil"/>
                  </w:tcBorders>
                  <w:vAlign w:val="bottom"/>
                </w:tcPr>
                <w:p w14:paraId="5C325D0F" w14:textId="77777777" w:rsidR="008E6686" w:rsidRPr="005D4222" w:rsidRDefault="008E6686" w:rsidP="00A53E8C">
                  <w:pPr>
                    <w:pStyle w:val="TableText"/>
                    <w:rPr>
                      <w:rFonts w:ascii="Calibri" w:hAnsi="Calibri" w:cs="Calibri"/>
                      <w:sz w:val="22"/>
                      <w:szCs w:val="22"/>
                    </w:rPr>
                  </w:pPr>
                </w:p>
              </w:tc>
              <w:tc>
                <w:tcPr>
                  <w:tcW w:w="928" w:type="dxa"/>
                  <w:tcBorders>
                    <w:top w:val="nil"/>
                    <w:left w:val="nil"/>
                    <w:bottom w:val="nil"/>
                    <w:right w:val="nil"/>
                  </w:tcBorders>
                  <w:shd w:val="clear" w:color="auto" w:fill="FFFFFF" w:themeFill="background1"/>
                </w:tcPr>
                <w:p w14:paraId="1328EC7B" w14:textId="77777777" w:rsidR="008E6686" w:rsidRPr="005D4222" w:rsidRDefault="008E6686" w:rsidP="00A53E8C">
                  <w:pPr>
                    <w:pStyle w:val="TableText"/>
                  </w:pPr>
                </w:p>
              </w:tc>
              <w:tc>
                <w:tcPr>
                  <w:tcW w:w="2407" w:type="dxa"/>
                  <w:tcBorders>
                    <w:top w:val="single" w:sz="4" w:space="0" w:color="auto"/>
                    <w:left w:val="single" w:sz="4" w:space="0" w:color="auto"/>
                    <w:bottom w:val="single" w:sz="4" w:space="0" w:color="auto"/>
                    <w:right w:val="single" w:sz="4" w:space="0" w:color="auto"/>
                  </w:tcBorders>
                </w:tcPr>
                <w:p w14:paraId="2404F0F8" w14:textId="77777777" w:rsidR="008E6686" w:rsidRPr="005D4222" w:rsidRDefault="008E6686" w:rsidP="00A53E8C">
                  <w:pPr>
                    <w:pStyle w:val="TableText"/>
                  </w:pPr>
                  <w:r w:rsidRPr="005D4222">
                    <w:t>ExpectedCount</w:t>
                  </w:r>
                </w:p>
              </w:tc>
              <w:tc>
                <w:tcPr>
                  <w:tcW w:w="3083" w:type="dxa"/>
                  <w:tcBorders>
                    <w:top w:val="single" w:sz="4" w:space="0" w:color="auto"/>
                    <w:left w:val="single" w:sz="4" w:space="0" w:color="auto"/>
                    <w:bottom w:val="single" w:sz="4" w:space="0" w:color="auto"/>
                    <w:right w:val="single" w:sz="4" w:space="0" w:color="auto"/>
                  </w:tcBorders>
                </w:tcPr>
                <w:p w14:paraId="6C9D1C1A" w14:textId="77777777" w:rsidR="008E6686" w:rsidRPr="005D4222" w:rsidRDefault="008E6686" w:rsidP="00A53E8C">
                  <w:pPr>
                    <w:pStyle w:val="TableText"/>
                    <w:rPr>
                      <w:rFonts w:eastAsia="Arial Narrow"/>
                    </w:rPr>
                  </w:pPr>
                  <w:r w:rsidRPr="005D4222">
                    <w:rPr>
                      <w:rFonts w:eastAsia="Arial Narrow"/>
                    </w:rPr>
                    <w:t>For each Metric and Stratification</w:t>
                  </w:r>
                </w:p>
              </w:tc>
            </w:tr>
            <w:tr w:rsidR="008E6686" w:rsidRPr="005D4222" w14:paraId="0CC39979" w14:textId="77777777" w:rsidTr="00A53E8C">
              <w:trPr>
                <w:cantSplit/>
              </w:trPr>
              <w:tc>
                <w:tcPr>
                  <w:tcW w:w="958" w:type="dxa"/>
                  <w:tcBorders>
                    <w:top w:val="nil"/>
                    <w:left w:val="nil"/>
                    <w:bottom w:val="nil"/>
                    <w:right w:val="nil"/>
                  </w:tcBorders>
                  <w:vAlign w:val="bottom"/>
                </w:tcPr>
                <w:p w14:paraId="1B733D4C" w14:textId="77777777" w:rsidR="008E6686" w:rsidRPr="005D4222" w:rsidRDefault="008E6686" w:rsidP="00A53E8C">
                  <w:pPr>
                    <w:spacing w:after="160" w:line="259" w:lineRule="auto"/>
                    <w:rPr>
                      <w:rFonts w:ascii="Calibri" w:hAnsi="Calibri" w:cs="Calibri"/>
                      <w:sz w:val="22"/>
                      <w:szCs w:val="22"/>
                    </w:rPr>
                  </w:pPr>
                </w:p>
              </w:tc>
              <w:tc>
                <w:tcPr>
                  <w:tcW w:w="928" w:type="dxa"/>
                  <w:tcBorders>
                    <w:top w:val="nil"/>
                    <w:left w:val="nil"/>
                    <w:bottom w:val="nil"/>
                    <w:right w:val="nil"/>
                  </w:tcBorders>
                  <w:shd w:val="clear" w:color="auto" w:fill="FFFFFF" w:themeFill="background1"/>
                </w:tcPr>
                <w:p w14:paraId="2F0356CA" w14:textId="77777777" w:rsidR="008E6686" w:rsidRPr="005D4222" w:rsidRDefault="008E6686" w:rsidP="00A53E8C">
                  <w:pPr>
                    <w:pStyle w:val="TableText"/>
                  </w:pPr>
                </w:p>
              </w:tc>
              <w:tc>
                <w:tcPr>
                  <w:tcW w:w="240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E25567B" w14:textId="77777777" w:rsidR="008E6686" w:rsidRPr="005D4222" w:rsidRDefault="008E6686" w:rsidP="00A53E8C">
                  <w:pPr>
                    <w:pStyle w:val="TableText"/>
                  </w:pPr>
                  <w:r w:rsidRPr="005D4222">
                    <w:t>ExpectedRate</w:t>
                  </w:r>
                </w:p>
              </w:tc>
              <w:tc>
                <w:tcPr>
                  <w:tcW w:w="308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9737104" w14:textId="77777777" w:rsidR="008E6686" w:rsidRPr="005D4222" w:rsidRDefault="008E6686" w:rsidP="00A53E8C">
                  <w:pPr>
                    <w:pStyle w:val="TableText"/>
                    <w:rPr>
                      <w:rFonts w:eastAsia="Arial Narrow"/>
                    </w:rPr>
                  </w:pPr>
                  <w:r w:rsidRPr="005D4222">
                    <w:rPr>
                      <w:rFonts w:eastAsia="Arial Narrow"/>
                    </w:rPr>
                    <w:t>1,000 * ExpectedCount / NonOutlierPersonCount</w:t>
                  </w:r>
                </w:p>
              </w:tc>
            </w:tr>
            <w:tr w:rsidR="008E6686" w:rsidRPr="005D4222" w14:paraId="04C29F02" w14:textId="77777777" w:rsidTr="007B5FC3">
              <w:trPr>
                <w:cantSplit/>
              </w:trPr>
              <w:tc>
                <w:tcPr>
                  <w:tcW w:w="958" w:type="dxa"/>
                  <w:tcBorders>
                    <w:top w:val="nil"/>
                    <w:left w:val="nil"/>
                    <w:bottom w:val="nil"/>
                    <w:right w:val="nil"/>
                  </w:tcBorders>
                  <w:vAlign w:val="bottom"/>
                </w:tcPr>
                <w:p w14:paraId="46E36377" w14:textId="77777777" w:rsidR="008E6686" w:rsidRPr="005D4222" w:rsidRDefault="008E6686" w:rsidP="00A53E8C">
                  <w:pPr>
                    <w:pStyle w:val="TableText"/>
                    <w:rPr>
                      <w:rFonts w:ascii="Calibri" w:hAnsi="Calibri" w:cs="Calibri"/>
                      <w:sz w:val="22"/>
                      <w:szCs w:val="22"/>
                    </w:rPr>
                  </w:pPr>
                </w:p>
              </w:tc>
              <w:tc>
                <w:tcPr>
                  <w:tcW w:w="928" w:type="dxa"/>
                  <w:tcBorders>
                    <w:top w:val="nil"/>
                    <w:left w:val="nil"/>
                    <w:bottom w:val="nil"/>
                    <w:right w:val="nil"/>
                  </w:tcBorders>
                  <w:shd w:val="clear" w:color="auto" w:fill="FFFFFF" w:themeFill="background1"/>
                </w:tcPr>
                <w:p w14:paraId="1C6BA207" w14:textId="77777777" w:rsidR="008E6686" w:rsidRPr="005D4222" w:rsidRDefault="008E6686" w:rsidP="00A53E8C">
                  <w:pPr>
                    <w:pStyle w:val="TableText"/>
                  </w:pPr>
                </w:p>
              </w:tc>
              <w:tc>
                <w:tcPr>
                  <w:tcW w:w="2407" w:type="dxa"/>
                  <w:tcBorders>
                    <w:top w:val="single" w:sz="4" w:space="0" w:color="auto"/>
                    <w:left w:val="single" w:sz="4" w:space="0" w:color="auto"/>
                    <w:bottom w:val="single" w:sz="4" w:space="0" w:color="auto"/>
                    <w:right w:val="single" w:sz="4" w:space="0" w:color="auto"/>
                  </w:tcBorders>
                </w:tcPr>
                <w:p w14:paraId="68339931" w14:textId="77777777" w:rsidR="008E6686" w:rsidRPr="005D4222" w:rsidRDefault="008E6686" w:rsidP="00A53E8C">
                  <w:pPr>
                    <w:pStyle w:val="TableText"/>
                  </w:pPr>
                  <w:r w:rsidRPr="005D4222">
                    <w:t>CountVariance</w:t>
                  </w:r>
                </w:p>
              </w:tc>
              <w:tc>
                <w:tcPr>
                  <w:tcW w:w="3083" w:type="dxa"/>
                  <w:tcBorders>
                    <w:top w:val="single" w:sz="4" w:space="0" w:color="auto"/>
                    <w:left w:val="single" w:sz="4" w:space="0" w:color="auto"/>
                    <w:bottom w:val="single" w:sz="4" w:space="0" w:color="auto"/>
                    <w:right w:val="single" w:sz="4" w:space="0" w:color="auto"/>
                  </w:tcBorders>
                </w:tcPr>
                <w:p w14:paraId="1E88E4EA" w14:textId="77777777" w:rsidR="008E6686" w:rsidRPr="005D4222" w:rsidRDefault="008E6686" w:rsidP="00A53E8C">
                  <w:pPr>
                    <w:pStyle w:val="TableText"/>
                    <w:rPr>
                      <w:rFonts w:eastAsia="Arial Narrow"/>
                    </w:rPr>
                  </w:pPr>
                  <w:r w:rsidRPr="005D4222">
                    <w:rPr>
                      <w:rFonts w:eastAsia="Arial Narrow"/>
                    </w:rPr>
                    <w:t>For each Metric and Stratification</w:t>
                  </w:r>
                </w:p>
              </w:tc>
            </w:tr>
            <w:tr w:rsidR="008E6686" w:rsidRPr="005D4222" w14:paraId="6886ECA9" w14:textId="77777777" w:rsidTr="007B5FC3">
              <w:trPr>
                <w:cantSplit/>
              </w:trPr>
              <w:tc>
                <w:tcPr>
                  <w:tcW w:w="958" w:type="dxa"/>
                  <w:tcBorders>
                    <w:top w:val="nil"/>
                    <w:left w:val="nil"/>
                    <w:bottom w:val="nil"/>
                    <w:right w:val="nil"/>
                  </w:tcBorders>
                  <w:vAlign w:val="bottom"/>
                </w:tcPr>
                <w:p w14:paraId="395AB378" w14:textId="77777777" w:rsidR="008E6686" w:rsidRPr="005D4222" w:rsidRDefault="008E6686" w:rsidP="00A53E8C">
                  <w:pPr>
                    <w:pStyle w:val="TableText"/>
                    <w:rPr>
                      <w:rFonts w:ascii="Calibri" w:hAnsi="Calibri" w:cs="Calibri"/>
                      <w:sz w:val="22"/>
                      <w:szCs w:val="22"/>
                    </w:rPr>
                  </w:pPr>
                </w:p>
              </w:tc>
              <w:tc>
                <w:tcPr>
                  <w:tcW w:w="928" w:type="dxa"/>
                  <w:tcBorders>
                    <w:top w:val="nil"/>
                    <w:left w:val="nil"/>
                    <w:bottom w:val="nil"/>
                    <w:right w:val="nil"/>
                  </w:tcBorders>
                </w:tcPr>
                <w:p w14:paraId="67A3CEB8" w14:textId="77777777" w:rsidR="008E6686" w:rsidRPr="005D4222" w:rsidRDefault="008E6686" w:rsidP="00A53E8C">
                  <w:pPr>
                    <w:pStyle w:val="TableText"/>
                  </w:pPr>
                </w:p>
              </w:tc>
              <w:tc>
                <w:tcPr>
                  <w:tcW w:w="240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23E57AA" w14:textId="77777777" w:rsidR="008E6686" w:rsidRPr="005D4222" w:rsidRDefault="008E6686" w:rsidP="00A53E8C">
                  <w:pPr>
                    <w:pStyle w:val="TableText"/>
                  </w:pPr>
                  <w:r w:rsidRPr="005D4222">
                    <w:t>OE</w:t>
                  </w:r>
                </w:p>
              </w:tc>
              <w:tc>
                <w:tcPr>
                  <w:tcW w:w="308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CB5E108" w14:textId="77777777" w:rsidR="008E6686" w:rsidRPr="005D4222" w:rsidRDefault="008E6686" w:rsidP="00A53E8C">
                  <w:pPr>
                    <w:pStyle w:val="TableText"/>
                    <w:rPr>
                      <w:rFonts w:eastAsia="Arial Narrow"/>
                    </w:rPr>
                  </w:pPr>
                  <w:r w:rsidRPr="005D4222">
                    <w:rPr>
                      <w:rFonts w:eastAsia="Arial Narrow"/>
                    </w:rPr>
                    <w:t>ObservedCount / ExpectedCount</w:t>
                  </w:r>
                </w:p>
              </w:tc>
            </w:tr>
          </w:tbl>
          <w:p w14:paraId="1B31F9DF" w14:textId="77777777" w:rsidR="008E6686" w:rsidRPr="005D4222" w:rsidRDefault="008E6686" w:rsidP="00A53E8C">
            <w:pPr>
              <w:pStyle w:val="ECDSBody"/>
              <w:rPr>
                <w:b/>
                <w:i/>
                <w:iCs/>
              </w:rPr>
            </w:pPr>
          </w:p>
        </w:tc>
      </w:tr>
      <w:tr w:rsidR="008E6686" w:rsidRPr="005D4222" w14:paraId="7F282883"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A09CCB6" w14:textId="77777777" w:rsidR="008E6686" w:rsidRPr="005D4222" w:rsidRDefault="008E6686" w:rsidP="00A53E8C">
            <w:pPr>
              <w:pStyle w:val="ECDSMarginHead"/>
            </w:pPr>
            <w:r w:rsidRPr="005D4222">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4FF36C9" w14:textId="77777777" w:rsidR="008E6686" w:rsidRPr="005D4222" w:rsidRDefault="008E6686" w:rsidP="00A53E8C">
            <w:pPr>
              <w:pStyle w:val="ECDSBody"/>
            </w:pPr>
            <w:r w:rsidRPr="005D4222">
              <w:rPr>
                <w:b/>
                <w:i/>
              </w:rPr>
              <w:t xml:space="preserve">Copyright and use: </w:t>
            </w:r>
            <w:r w:rsidRPr="005D4222">
              <w:t xml:space="preserve">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0DE5A09A" w14:textId="77777777" w:rsidR="008E6686" w:rsidRPr="005D4222" w:rsidRDefault="008E6686" w:rsidP="00A53E8C">
            <w:pPr>
              <w:pStyle w:val="ECDSBody"/>
            </w:pPr>
            <w:r w:rsidRPr="005D4222">
              <w:rPr>
                <w:b/>
              </w:rPr>
              <w:t xml:space="preserve">Adjusted HEDIS measures </w:t>
            </w:r>
            <w:r w:rsidRPr="005D4222">
              <w:rPr>
                <w:b/>
                <w:i/>
              </w:rPr>
              <w:t>may not</w:t>
            </w:r>
            <w:r w:rsidRPr="005D4222">
              <w:rPr>
                <w:b/>
              </w:rPr>
              <w:t xml:space="preserve"> be used for HEDIS health plan reporting. </w:t>
            </w:r>
          </w:p>
          <w:p w14:paraId="3D4EF6C8" w14:textId="77777777" w:rsidR="008E6686" w:rsidRPr="005D4222" w:rsidRDefault="008E6686" w:rsidP="00A53E8C">
            <w:pPr>
              <w:pStyle w:val="ECDSBody"/>
            </w:pPr>
            <w:r w:rsidRPr="005D4222">
              <w:t xml:space="preserve">The measures under the Risk Adjusted Utilization domain allow two types of </w:t>
            </w:r>
            <w:r w:rsidRPr="005D4222">
              <w:rPr>
                <w:i/>
              </w:rPr>
              <w:t>Rules for Allowable Adjustments</w:t>
            </w:r>
            <w:r w:rsidRPr="005D4222">
              <w:t xml:space="preserve"> sections:</w:t>
            </w:r>
          </w:p>
          <w:p w14:paraId="195E3166" w14:textId="4A236096" w:rsidR="008E6686" w:rsidRPr="005D4222" w:rsidRDefault="008E6686" w:rsidP="00BB312E">
            <w:pPr>
              <w:pStyle w:val="Body"/>
              <w:spacing w:before="120"/>
              <w:ind w:left="648" w:hanging="288"/>
            </w:pPr>
            <w:r w:rsidRPr="005D4222">
              <w:t>1.</w:t>
            </w:r>
            <w:r w:rsidRPr="005D4222">
              <w:tab/>
            </w:r>
            <w:r w:rsidRPr="005D4222">
              <w:rPr>
                <w:i/>
                <w:iCs/>
              </w:rPr>
              <w:t xml:space="preserve">Rules for Allowable Adjustments for Risk-Adjusted Measurement. </w:t>
            </w:r>
            <w:r w:rsidRPr="005D4222">
              <w:t xml:space="preserve">This section must be followed for adjustments when calculating the full measure specifications, which includes all risk adjusted rates (expected rates, risk adjustment, O/E) and calculation components (count of index stays, observed events). </w:t>
            </w:r>
          </w:p>
          <w:p w14:paraId="4D99C842" w14:textId="77777777" w:rsidR="008E6686" w:rsidRPr="005D4222" w:rsidRDefault="008E6686" w:rsidP="00BB312E">
            <w:pPr>
              <w:pStyle w:val="Body"/>
              <w:spacing w:before="120"/>
              <w:ind w:left="648" w:hanging="288"/>
            </w:pPr>
            <w:r w:rsidRPr="005D4222">
              <w:t>2.</w:t>
            </w:r>
            <w:r w:rsidRPr="005D4222">
              <w:tab/>
            </w:r>
            <w:r w:rsidRPr="005D4222">
              <w:rPr>
                <w:i/>
                <w:iCs/>
              </w:rPr>
              <w:t xml:space="preserve">Rules for Allowable Adjustments for Observed Measurement (rates without risk adjustment). </w:t>
            </w:r>
            <w:r w:rsidRPr="005D4222">
              <w:t>This section must be followed when adjusting the calculation of observed events only. When applying these adjustments, organizations must not include risk adjustment logic.</w:t>
            </w:r>
          </w:p>
          <w:p w14:paraId="1FA45A47" w14:textId="77777777" w:rsidR="008E6686" w:rsidRPr="005D4222" w:rsidRDefault="008E6686" w:rsidP="00A53E8C">
            <w:pPr>
              <w:pStyle w:val="ECDSBody"/>
            </w:pPr>
            <w:r w:rsidRPr="005D4222">
              <w:t xml:space="preserve">The intent of including two types of Rules is to allow organizations to adjust measures without compromising measure validity. Risk adjustment is based on statistical prediction models specifically calibrated to each measure. </w:t>
            </w:r>
          </w:p>
        </w:tc>
      </w:tr>
    </w:tbl>
    <w:p w14:paraId="42A717CF" w14:textId="77777777" w:rsidR="008E6686" w:rsidRPr="005D4222" w:rsidRDefault="008E6686" w:rsidP="008E6686">
      <w:pPr>
        <w:spacing w:after="160" w:line="259" w:lineRule="auto"/>
      </w:pPr>
      <w:r w:rsidRPr="005D4222">
        <w:br w:type="page"/>
      </w:r>
    </w:p>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8E6686" w:rsidRPr="005D4222" w14:paraId="15DE7C32"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F494189" w14:textId="77777777" w:rsidR="008E6686" w:rsidRPr="005D4222" w:rsidRDefault="008E6686"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863D65F" w14:textId="7C1A0825" w:rsidR="008E6686" w:rsidRPr="005D4222" w:rsidRDefault="008E6686" w:rsidP="00A53E8C">
            <w:pPr>
              <w:pStyle w:val="ECDSBody"/>
              <w:rPr>
                <w:rFonts w:ascii="Segoe UI" w:hAnsi="Segoe UI" w:cs="Segoe UI"/>
                <w:b/>
                <w:bCs w:val="0"/>
                <w:sz w:val="18"/>
                <w:szCs w:val="18"/>
              </w:rPr>
            </w:pPr>
            <w:r w:rsidRPr="005D4222">
              <w:rPr>
                <w:b/>
                <w:bCs w:val="0"/>
              </w:rPr>
              <w:t xml:space="preserve">The following </w:t>
            </w:r>
            <w:r w:rsidR="003C59BD" w:rsidRPr="005D4222">
              <w:rPr>
                <w:b/>
                <w:bCs w:val="0"/>
              </w:rPr>
              <w:t>are</w:t>
            </w:r>
            <w:r w:rsidRPr="005D4222">
              <w:rPr>
                <w:b/>
                <w:bCs w:val="0"/>
              </w:rPr>
              <w:t xml:space="preserve"> the Rules for Allowable Adjustments for </w:t>
            </w:r>
            <w:r w:rsidRPr="005D4222">
              <w:rPr>
                <w:b/>
                <w:bCs w:val="0"/>
                <w:u w:val="single"/>
              </w:rPr>
              <w:t>Risk-Adjusted Measurement</w:t>
            </w:r>
            <w:r w:rsidRPr="005D4222">
              <w:rPr>
                <w:b/>
                <w:bCs w:val="0"/>
              </w:rPr>
              <w:t xml:space="preserve"> of the Hospitalization for Potentially Preventable Complications measure (observed </w:t>
            </w:r>
            <w:r w:rsidRPr="005D4222">
              <w:rPr>
                <w:b/>
                <w:bCs w:val="0"/>
                <w:iCs/>
              </w:rPr>
              <w:t>discharges</w:t>
            </w:r>
            <w:r w:rsidRPr="005D4222">
              <w:rPr>
                <w:b/>
                <w:bCs w:val="0"/>
              </w:rPr>
              <w:t xml:space="preserve">, risk adjustment determination, risk adjustment weighting, count of expected </w:t>
            </w:r>
            <w:r w:rsidRPr="005D4222">
              <w:rPr>
                <w:b/>
                <w:bCs w:val="0"/>
                <w:iCs/>
              </w:rPr>
              <w:t>discharges, variance</w:t>
            </w:r>
            <w:r w:rsidRPr="005D4222">
              <w:rPr>
                <w:b/>
                <w:bCs w:val="0"/>
              </w:rPr>
              <w:t>, O/E).</w:t>
            </w:r>
          </w:p>
          <w:p w14:paraId="0923DDCC" w14:textId="77777777" w:rsidR="008E6686" w:rsidRPr="005D4222" w:rsidRDefault="008E6686" w:rsidP="00A53E8C">
            <w:pPr>
              <w:pStyle w:val="Adjustments"/>
            </w:pPr>
            <w:r w:rsidRPr="005D4222">
              <w:t>Adjustments</w:t>
            </w:r>
            <w:r w:rsidRPr="005D4222">
              <w:rPr>
                <w:bCs/>
              </w:rPr>
              <w:t xml:space="preserve"> a</w:t>
            </w:r>
            <w:r w:rsidRPr="005D4222">
              <w:t>llowed</w:t>
            </w:r>
          </w:p>
          <w:p w14:paraId="40008213" w14:textId="03B78D74" w:rsidR="008E6686" w:rsidRPr="005D4222" w:rsidRDefault="00362E76" w:rsidP="00A53E8C">
            <w:pPr>
              <w:pStyle w:val="MarginBullet"/>
              <w:rPr>
                <w:b/>
                <w:color w:val="000000" w:themeColor="text1"/>
              </w:rPr>
            </w:pPr>
            <w:r w:rsidRPr="005D4222">
              <w:rPr>
                <w:i/>
                <w:iCs/>
              </w:rPr>
              <w:t>Benefits.</w:t>
            </w:r>
            <w:r w:rsidR="008E6686" w:rsidRPr="005D4222">
              <w:t xml:space="preserve"> Organizations are not required to use a benefit.</w:t>
            </w:r>
          </w:p>
          <w:p w14:paraId="6E8AD7C2" w14:textId="77777777" w:rsidR="008E6686" w:rsidRPr="005D4222" w:rsidRDefault="008E6686" w:rsidP="00A53E8C">
            <w:pPr>
              <w:pStyle w:val="MarginBullet"/>
            </w:pPr>
            <w:r w:rsidRPr="005D4222">
              <w:rPr>
                <w:i/>
                <w:iCs/>
              </w:rPr>
              <w:t>Exclusions.</w:t>
            </w:r>
            <w:r w:rsidRPr="005D4222">
              <w:rPr>
                <w:b/>
                <w:bCs/>
              </w:rPr>
              <w:t xml:space="preserve"> </w:t>
            </w:r>
            <w:r w:rsidRPr="005D4222">
              <w:t xml:space="preserve">The I-SNP and LTI exclusions are not required. </w:t>
            </w:r>
          </w:p>
          <w:p w14:paraId="5F842AE8" w14:textId="77777777" w:rsidR="008E6686" w:rsidRPr="005D4222" w:rsidRDefault="008E6686" w:rsidP="00A53E8C">
            <w:pPr>
              <w:pStyle w:val="MarginBullet"/>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6C6EE2D1" w14:textId="77777777" w:rsidR="008E6686" w:rsidRPr="005D4222" w:rsidRDefault="008E6686" w:rsidP="00A53E8C">
            <w:pPr>
              <w:pStyle w:val="Adjustments"/>
            </w:pPr>
            <w:r w:rsidRPr="005D4222">
              <w:t xml:space="preserve">Adjustments </w:t>
            </w:r>
            <w:r w:rsidRPr="005D4222">
              <w:rPr>
                <w:bCs/>
              </w:rPr>
              <w:t>a</w:t>
            </w:r>
            <w:r w:rsidRPr="005D4222">
              <w:t xml:space="preserve">llowed with </w:t>
            </w:r>
            <w:r w:rsidRPr="005D4222">
              <w:rPr>
                <w:bCs/>
              </w:rPr>
              <w:t>l</w:t>
            </w:r>
            <w:r w:rsidRPr="005D4222">
              <w:t>imits</w:t>
            </w:r>
          </w:p>
          <w:p w14:paraId="75005246" w14:textId="2B15BB25" w:rsidR="008E6686" w:rsidRPr="005D4222" w:rsidRDefault="008E6686" w:rsidP="00A53E8C">
            <w:pPr>
              <w:pStyle w:val="MarginBullet"/>
            </w:pPr>
            <w:r w:rsidRPr="005D4222">
              <w:rPr>
                <w:i/>
                <w:iCs/>
              </w:rPr>
              <w:t>Other.</w:t>
            </w:r>
            <w:r w:rsidRPr="005D4222">
              <w:t xml:space="preserve"> Organizations may only adjust the </w:t>
            </w:r>
            <w:r w:rsidR="00933343" w:rsidRPr="005D4222">
              <w:t>initial</w:t>
            </w:r>
            <w:r w:rsidRPr="005D4222">
              <w:t xml:space="preserve"> population criteria to focus on an area of interest defined by gender, sociodemographic characteristics or geographical region. NCQA recommends evaluating risk model performance and validity within adjusted populations. Organizations may not adjust for a clinical subpopulation (e.g., persons with a diabetes diagnosis).</w:t>
            </w:r>
          </w:p>
          <w:p w14:paraId="28614C6E" w14:textId="77777777" w:rsidR="008E6686" w:rsidRPr="005D4222" w:rsidRDefault="008E6686" w:rsidP="00A53E8C">
            <w:pPr>
              <w:pStyle w:val="MarginBullet"/>
            </w:pPr>
            <w:r w:rsidRPr="005D4222">
              <w:rPr>
                <w:i/>
                <w:iCs/>
              </w:rPr>
              <w:t xml:space="preserve">Measurement period adjustments. </w:t>
            </w:r>
            <w:r w:rsidRPr="005D4222">
              <w:t>Organizations may only change the measurement period by 1 year.</w:t>
            </w:r>
          </w:p>
          <w:p w14:paraId="37BDDB53" w14:textId="77777777" w:rsidR="008E6686" w:rsidRPr="005D4222" w:rsidRDefault="008E6686" w:rsidP="00A53E8C">
            <w:pPr>
              <w:pStyle w:val="MarginBullet"/>
            </w:pPr>
            <w:r w:rsidRPr="005D4222">
              <w:rPr>
                <w:i/>
                <w:iCs/>
              </w:rPr>
              <w:t xml:space="preserve">SES stratification, skilled nursing care stratification. </w:t>
            </w:r>
            <w:r w:rsidRPr="005D4222">
              <w:t>Stratifications not required, but if they are used the value sets, logic and product lines may not be changed.</w:t>
            </w:r>
          </w:p>
          <w:p w14:paraId="0993BDF2" w14:textId="5B879048" w:rsidR="008E6686" w:rsidRPr="005D4222" w:rsidRDefault="008E6686" w:rsidP="00A53E8C">
            <w:pPr>
              <w:pStyle w:val="MarginBullet"/>
            </w:pPr>
            <w:r w:rsidRPr="005D4222">
              <w:rPr>
                <w:i/>
              </w:rPr>
              <w:t>Observed events.</w:t>
            </w:r>
            <w:r w:rsidRPr="005D4222">
              <w:t xml:space="preserve"> Organizations may include denied claims to calculate the observed events. The </w:t>
            </w:r>
            <w:r w:rsidR="00B609BE" w:rsidRPr="005D4222">
              <w:t>value sets and</w:t>
            </w:r>
            <w:r w:rsidRPr="005D4222">
              <w:t xml:space="preserve"> logic may not be changed. </w:t>
            </w:r>
          </w:p>
          <w:p w14:paraId="03EAA8A3" w14:textId="77777777" w:rsidR="008E6686" w:rsidRPr="005D4222" w:rsidRDefault="008E6686" w:rsidP="00A53E8C">
            <w:pPr>
              <w:pStyle w:val="MarginBullet"/>
            </w:pPr>
            <w:r w:rsidRPr="005D4222">
              <w:rPr>
                <w:i/>
                <w:iCs/>
              </w:rPr>
              <w:t>Outliers</w:t>
            </w:r>
            <w:r w:rsidRPr="005D4222">
              <w:t>. Organizations may include denied claims to calculate these events. Organizations may not adjust the outlier logic.</w:t>
            </w:r>
          </w:p>
          <w:p w14:paraId="5C541FC6" w14:textId="243955E2" w:rsidR="008E6686" w:rsidRPr="005D4222" w:rsidRDefault="008E6686" w:rsidP="00A53E8C">
            <w:pPr>
              <w:pStyle w:val="MarginBullet"/>
            </w:pPr>
            <w:r w:rsidRPr="005D4222">
              <w:rPr>
                <w:i/>
                <w:iCs/>
              </w:rPr>
              <w:t xml:space="preserve">Risk adjustment determination, risk adjustment weighting, expected count of </w:t>
            </w:r>
            <w:r w:rsidR="00401A8E" w:rsidRPr="005D4222">
              <w:rPr>
                <w:i/>
                <w:iCs/>
              </w:rPr>
              <w:t>dischar</w:t>
            </w:r>
            <w:r w:rsidR="006D1042" w:rsidRPr="005D4222">
              <w:rPr>
                <w:i/>
                <w:iCs/>
              </w:rPr>
              <w:t>ges</w:t>
            </w:r>
            <w:r w:rsidRPr="005D4222">
              <w:rPr>
                <w:i/>
                <w:iCs/>
              </w:rPr>
              <w:t xml:space="preserve">, variance. </w:t>
            </w:r>
            <w:r w:rsidRPr="005D4222">
              <w:t>Organizations may include denied claims to calculate these events. Risk adjustment determinations, weighting and calculations of expected events logic may not be changed.</w:t>
            </w:r>
          </w:p>
          <w:p w14:paraId="2253CF5D" w14:textId="77777777" w:rsidR="008E6686" w:rsidRPr="005D4222" w:rsidRDefault="008E6686" w:rsidP="00A53E8C">
            <w:pPr>
              <w:pStyle w:val="Adjustments"/>
            </w:pPr>
            <w:r w:rsidRPr="005D4222">
              <w:t xml:space="preserve">Adjustments </w:t>
            </w:r>
            <w:r w:rsidRPr="005D4222">
              <w:rPr>
                <w:bCs/>
              </w:rPr>
              <w:t>not allowed</w:t>
            </w:r>
            <w:r w:rsidRPr="005D4222">
              <w:t>:</w:t>
            </w:r>
          </w:p>
          <w:p w14:paraId="0446F3DD" w14:textId="77777777" w:rsidR="008E6686" w:rsidRPr="005D4222" w:rsidRDefault="008E6686" w:rsidP="00A53E8C">
            <w:pPr>
              <w:pStyle w:val="MarginBullet"/>
              <w:rPr>
                <w:b/>
                <w:bCs/>
                <w:color w:val="000000" w:themeColor="text1"/>
              </w:rPr>
            </w:pPr>
            <w:r w:rsidRPr="005D4222">
              <w:rPr>
                <w:i/>
                <w:iCs/>
              </w:rPr>
              <w:t xml:space="preserve">Product lines. </w:t>
            </w:r>
            <w:r w:rsidRPr="005D4222">
              <w:t>Organizations may not adjust product lines.</w:t>
            </w:r>
          </w:p>
          <w:p w14:paraId="310606EE" w14:textId="77777777" w:rsidR="008E6686" w:rsidRPr="005D4222" w:rsidRDefault="008E6686" w:rsidP="00A53E8C">
            <w:pPr>
              <w:pStyle w:val="MarginBullet"/>
              <w:rPr>
                <w:b/>
                <w:bCs/>
                <w:color w:val="000000" w:themeColor="text1"/>
              </w:rPr>
            </w:pPr>
            <w:r w:rsidRPr="005D4222">
              <w:rPr>
                <w:i/>
                <w:iCs/>
              </w:rPr>
              <w:t>Attribution.</w:t>
            </w:r>
            <w:r w:rsidRPr="005D4222">
              <w:t xml:space="preserve"> Organizations are required to use enrollment criteria. </w:t>
            </w:r>
          </w:p>
          <w:p w14:paraId="4F44A14A" w14:textId="77777777" w:rsidR="008E6686" w:rsidRPr="005D4222" w:rsidRDefault="008E6686" w:rsidP="00A53E8C">
            <w:pPr>
              <w:pStyle w:val="MarginBullet"/>
              <w:rPr>
                <w:b/>
                <w:bCs/>
              </w:rPr>
            </w:pPr>
            <w:r w:rsidRPr="005D4222">
              <w:rPr>
                <w:i/>
                <w:iCs/>
              </w:rPr>
              <w:t>Ages</w:t>
            </w:r>
            <w:r w:rsidRPr="005D4222">
              <w:t>. The age determination dates may not be changed.</w:t>
            </w:r>
          </w:p>
          <w:p w14:paraId="16EC8301" w14:textId="77777777" w:rsidR="008E6686" w:rsidRPr="005D4222" w:rsidRDefault="008E6686" w:rsidP="00A53E8C">
            <w:pPr>
              <w:pStyle w:val="MarginBullet"/>
            </w:pPr>
            <w:r w:rsidRPr="005D4222">
              <w:rPr>
                <w:i/>
                <w:iCs/>
              </w:rPr>
              <w:t>Supplemental data.</w:t>
            </w:r>
            <w:r w:rsidRPr="005D4222">
              <w:t xml:space="preserve"> Supplemental data may not be used to identify initial population, observed event, and numerator events.</w:t>
            </w:r>
          </w:p>
          <w:p w14:paraId="4ECFD300" w14:textId="1BD8B773" w:rsidR="002366AC" w:rsidRPr="005D4222" w:rsidRDefault="008E6686" w:rsidP="00EE3435">
            <w:pPr>
              <w:pStyle w:val="MarginBullet"/>
              <w:spacing w:after="80"/>
              <w:rPr>
                <w:b/>
                <w:i/>
                <w:iCs/>
              </w:rPr>
            </w:pPr>
            <w:r w:rsidRPr="005D4222">
              <w:rPr>
                <w:i/>
              </w:rPr>
              <w:t>Exclusions.</w:t>
            </w:r>
            <w:r w:rsidRPr="005D4222">
              <w:t xml:space="preserve"> The hospice exclusion must be applied. Logic may not be changed.</w:t>
            </w:r>
          </w:p>
        </w:tc>
      </w:tr>
    </w:tbl>
    <w:p w14:paraId="640264C8" w14:textId="5C0C3811" w:rsidR="002366AC" w:rsidRPr="005D4222" w:rsidRDefault="002366AC"/>
    <w:p w14:paraId="5BCFCAD3" w14:textId="77777777" w:rsidR="002366AC" w:rsidRPr="005D4222" w:rsidRDefault="002366AC">
      <w:r w:rsidRPr="005D4222">
        <w:br w:type="page"/>
      </w:r>
    </w:p>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2366AC" w:rsidRPr="005D4222" w14:paraId="7F25C886"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2BBD869" w14:textId="77777777" w:rsidR="002366AC" w:rsidRPr="005D4222" w:rsidRDefault="002366AC"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9FEF7E6" w14:textId="4B22926A" w:rsidR="002366AC" w:rsidRPr="005D4222" w:rsidRDefault="002366AC" w:rsidP="002366AC">
            <w:pPr>
              <w:pStyle w:val="ECDSBody"/>
              <w:rPr>
                <w:b/>
                <w:bCs w:val="0"/>
              </w:rPr>
            </w:pPr>
            <w:r w:rsidRPr="005D4222">
              <w:rPr>
                <w:b/>
                <w:bCs w:val="0"/>
              </w:rPr>
              <w:t xml:space="preserve">The following </w:t>
            </w:r>
            <w:r w:rsidR="003C59BD" w:rsidRPr="005D4222">
              <w:rPr>
                <w:b/>
                <w:bCs w:val="0"/>
              </w:rPr>
              <w:t>are</w:t>
            </w:r>
            <w:r w:rsidRPr="005D4222">
              <w:rPr>
                <w:b/>
                <w:bCs w:val="0"/>
              </w:rPr>
              <w:t xml:space="preserve"> the Rules for Allowable Adjustments for </w:t>
            </w:r>
            <w:r w:rsidRPr="005D4222">
              <w:rPr>
                <w:b/>
                <w:bCs w:val="0"/>
                <w:u w:val="single"/>
              </w:rPr>
              <w:t>Observed Measurement</w:t>
            </w:r>
            <w:r w:rsidRPr="005D4222">
              <w:rPr>
                <w:b/>
                <w:bCs w:val="0"/>
              </w:rPr>
              <w:t xml:space="preserve"> of the Hospitalization for Potentially Preventable Complications measure observed events </w:t>
            </w:r>
            <w:r w:rsidRPr="005D4222">
              <w:rPr>
                <w:b/>
                <w:bCs w:val="0"/>
                <w:iCs/>
              </w:rPr>
              <w:t>(</w:t>
            </w:r>
            <w:r w:rsidRPr="005D4222">
              <w:rPr>
                <w:b/>
                <w:bCs w:val="0"/>
              </w:rPr>
              <w:t xml:space="preserve">observed </w:t>
            </w:r>
            <w:r w:rsidRPr="005D4222">
              <w:rPr>
                <w:b/>
                <w:bCs w:val="0"/>
                <w:iCs/>
              </w:rPr>
              <w:t>discharges</w:t>
            </w:r>
            <w:r w:rsidRPr="005D4222">
              <w:rPr>
                <w:b/>
                <w:bCs w:val="0"/>
              </w:rPr>
              <w:t>).</w:t>
            </w:r>
          </w:p>
          <w:p w14:paraId="6578FDEE" w14:textId="77777777" w:rsidR="002366AC" w:rsidRPr="005D4222" w:rsidRDefault="002366AC" w:rsidP="002366AC">
            <w:pPr>
              <w:pStyle w:val="Adjustments"/>
            </w:pPr>
            <w:r w:rsidRPr="005D4222">
              <w:t>Adjustments</w:t>
            </w:r>
            <w:r w:rsidRPr="005D4222">
              <w:rPr>
                <w:bCs/>
              </w:rPr>
              <w:t xml:space="preserve"> a</w:t>
            </w:r>
            <w:r w:rsidRPr="005D4222">
              <w:t>llowed</w:t>
            </w:r>
          </w:p>
          <w:p w14:paraId="6DB28952" w14:textId="0AF535CA" w:rsidR="002366AC" w:rsidRPr="005D4222" w:rsidRDefault="002366AC" w:rsidP="005D6173">
            <w:pPr>
              <w:pStyle w:val="ProcessBullet"/>
              <w:numPr>
                <w:ilvl w:val="0"/>
                <w:numId w:val="77"/>
              </w:numPr>
              <w:ind w:left="216" w:hanging="216"/>
              <w:rPr>
                <w:b/>
                <w:bCs/>
                <w:color w:val="000000" w:themeColor="text1"/>
              </w:rPr>
            </w:pPr>
            <w:r w:rsidRPr="005D4222">
              <w:rPr>
                <w:i/>
                <w:iCs/>
              </w:rPr>
              <w:t xml:space="preserve">Product lines. </w:t>
            </w:r>
            <w:r w:rsidRPr="005D4222">
              <w:t>When adjusting this measure to assess for observed events only, organizations are not required to use product line criteria; product lines may be combined</w:t>
            </w:r>
            <w:r w:rsidR="00E8671F" w:rsidRPr="005D4222">
              <w:t>,</w:t>
            </w:r>
            <w:r w:rsidRPr="005D4222">
              <w:t xml:space="preserve"> and all (or no) product line criteria may be used.</w:t>
            </w:r>
          </w:p>
          <w:p w14:paraId="754B0446" w14:textId="77777777" w:rsidR="002366AC" w:rsidRPr="005D4222" w:rsidRDefault="002366AC" w:rsidP="005D6173">
            <w:pPr>
              <w:pStyle w:val="ProcessBullet"/>
              <w:numPr>
                <w:ilvl w:val="0"/>
                <w:numId w:val="77"/>
              </w:numPr>
              <w:ind w:left="216" w:hanging="216"/>
              <w:rPr>
                <w:b/>
                <w:bCs/>
                <w:color w:val="000000" w:themeColor="text1"/>
              </w:rPr>
            </w:pPr>
            <w:r w:rsidRPr="005D4222">
              <w:rPr>
                <w:i/>
                <w:iCs/>
              </w:rPr>
              <w:t>Ages.</w:t>
            </w:r>
            <w:r w:rsidRPr="005D4222">
              <w:t xml:space="preserve"> The observed event age range may be expanded.</w:t>
            </w:r>
            <w:r w:rsidRPr="005D4222">
              <w:rPr>
                <w:rFonts w:cs="Arial"/>
              </w:rPr>
              <w:t xml:space="preserve"> Age determination dates may be changed (e.g., select, “age as of June 30”).</w:t>
            </w:r>
          </w:p>
          <w:p w14:paraId="59EFEA70" w14:textId="77777777" w:rsidR="002366AC" w:rsidRPr="005D4222" w:rsidRDefault="002366AC" w:rsidP="005D6173">
            <w:pPr>
              <w:pStyle w:val="ProcessBullet"/>
              <w:numPr>
                <w:ilvl w:val="0"/>
                <w:numId w:val="77"/>
              </w:numPr>
              <w:ind w:left="216" w:hanging="216"/>
              <w:rPr>
                <w:b/>
                <w:bCs/>
                <w:color w:val="000000" w:themeColor="text1"/>
              </w:rPr>
            </w:pPr>
            <w:r w:rsidRPr="005D4222">
              <w:rPr>
                <w:i/>
                <w:iCs/>
              </w:rPr>
              <w:t>Attribution.</w:t>
            </w:r>
            <w:r w:rsidRPr="005D4222">
              <w:t xml:space="preserve"> Organizations are not required to use enrollment criteria. </w:t>
            </w:r>
          </w:p>
          <w:p w14:paraId="6401B203" w14:textId="0E6F492D" w:rsidR="002366AC" w:rsidRPr="005D4222" w:rsidRDefault="00362E76" w:rsidP="005D6173">
            <w:pPr>
              <w:pStyle w:val="ProcessBullet"/>
              <w:numPr>
                <w:ilvl w:val="0"/>
                <w:numId w:val="77"/>
              </w:numPr>
              <w:ind w:left="216" w:hanging="216"/>
              <w:rPr>
                <w:b/>
                <w:bCs/>
                <w:color w:val="000000" w:themeColor="text1"/>
              </w:rPr>
            </w:pPr>
            <w:r w:rsidRPr="005D4222">
              <w:rPr>
                <w:i/>
                <w:iCs/>
              </w:rPr>
              <w:t>Benefits.</w:t>
            </w:r>
            <w:r w:rsidR="002366AC" w:rsidRPr="005D4222">
              <w:t xml:space="preserve"> Organizations are not required to use a benefit.</w:t>
            </w:r>
          </w:p>
          <w:p w14:paraId="30170970" w14:textId="478B5A1A" w:rsidR="002366AC" w:rsidRPr="005D4222" w:rsidRDefault="002366AC" w:rsidP="005D6173">
            <w:pPr>
              <w:pStyle w:val="ProcessBullet"/>
              <w:numPr>
                <w:ilvl w:val="0"/>
                <w:numId w:val="77"/>
              </w:numPr>
              <w:ind w:left="216" w:hanging="216"/>
              <w:rPr>
                <w:b/>
                <w:bCs/>
                <w:color w:val="000000" w:themeColor="text1"/>
              </w:rPr>
            </w:pPr>
            <w:r w:rsidRPr="005D4222">
              <w:rPr>
                <w:i/>
                <w:iCs/>
              </w:rPr>
              <w:t>Other.</w:t>
            </w:r>
            <w:r w:rsidRPr="005D4222">
              <w:t xml:space="preserve"> Organizations may adjust the </w:t>
            </w:r>
            <w:r w:rsidR="00933343" w:rsidRPr="005D4222">
              <w:t>initial</w:t>
            </w:r>
            <w:r w:rsidRPr="005D4222">
              <w:t xml:space="preserve"> population criteria to focus on an area of interest defined by gender, race, ethnicity, socioeconomic or sociodemographic characteristics, geographic region or another characteristic.</w:t>
            </w:r>
          </w:p>
          <w:p w14:paraId="7ED1DA30" w14:textId="77777777" w:rsidR="002366AC" w:rsidRPr="005D4222" w:rsidRDefault="002366AC" w:rsidP="005D6173">
            <w:pPr>
              <w:pStyle w:val="ProcessBullet"/>
              <w:numPr>
                <w:ilvl w:val="0"/>
                <w:numId w:val="77"/>
              </w:numPr>
              <w:ind w:left="216" w:hanging="216"/>
              <w:rPr>
                <w:b/>
                <w:bCs/>
                <w:color w:val="000000" w:themeColor="text1"/>
              </w:rPr>
            </w:pPr>
            <w:r w:rsidRPr="005D4222">
              <w:rPr>
                <w:i/>
                <w:iCs/>
              </w:rPr>
              <w:t>Measurement period adjustments.</w:t>
            </w:r>
            <w:r w:rsidRPr="005D4222">
              <w:t xml:space="preserve"> Organizations may adjust the measurement period. </w:t>
            </w:r>
          </w:p>
          <w:p w14:paraId="53AC4EBC" w14:textId="136F2324" w:rsidR="002366AC" w:rsidRPr="005D4222" w:rsidRDefault="002366AC" w:rsidP="005D6173">
            <w:pPr>
              <w:pStyle w:val="ProcessBullet"/>
              <w:numPr>
                <w:ilvl w:val="0"/>
                <w:numId w:val="77"/>
              </w:numPr>
              <w:ind w:left="216" w:hanging="216"/>
              <w:rPr>
                <w:b/>
                <w:bCs/>
                <w:color w:val="000000" w:themeColor="text1"/>
              </w:rPr>
            </w:pPr>
            <w:r w:rsidRPr="005D4222">
              <w:rPr>
                <w:i/>
                <w:iCs/>
              </w:rPr>
              <w:t>Exclusions.</w:t>
            </w:r>
            <w:r w:rsidRPr="005D4222">
              <w:t xml:space="preserve"> </w:t>
            </w:r>
            <w:r w:rsidR="00E83615" w:rsidRPr="005D4222">
              <w:t>The h</w:t>
            </w:r>
            <w:r w:rsidRPr="005D4222">
              <w:t xml:space="preserve">ospice, I-SNP and LTI exclusions are not required. </w:t>
            </w:r>
          </w:p>
          <w:p w14:paraId="14556056" w14:textId="77777777" w:rsidR="002366AC" w:rsidRPr="005D4222" w:rsidRDefault="002366AC" w:rsidP="005D6173">
            <w:pPr>
              <w:pStyle w:val="ProcessBullet"/>
              <w:numPr>
                <w:ilvl w:val="0"/>
                <w:numId w:val="77"/>
              </w:numPr>
              <w:ind w:left="216" w:hanging="216"/>
              <w:rPr>
                <w:b/>
                <w:bCs/>
                <w:color w:val="000000" w:themeColor="text1"/>
              </w:rPr>
            </w:pPr>
            <w:r w:rsidRPr="005D4222">
              <w:rPr>
                <w:rFonts w:cs="Arial"/>
                <w:i/>
              </w:rPr>
              <w:t>Outlier</w:t>
            </w:r>
            <w:r w:rsidRPr="005D4222">
              <w:rPr>
                <w:rFonts w:cs="Arial"/>
              </w:rPr>
              <w:t>. Organizations may adjust the outlier logic. The outlier logic is not required to be applied. The outlier thresholds may be expanded or reduced. Denied claims may be used to calculate these events.</w:t>
            </w:r>
            <w:r w:rsidRPr="005D4222">
              <w:t xml:space="preserve"> </w:t>
            </w:r>
          </w:p>
          <w:p w14:paraId="2A5D7525" w14:textId="2D6BF5EC" w:rsidR="002366AC" w:rsidRPr="005D4222" w:rsidRDefault="002366AC" w:rsidP="005D6173">
            <w:pPr>
              <w:pStyle w:val="ProcessBullet"/>
              <w:numPr>
                <w:ilvl w:val="0"/>
                <w:numId w:val="77"/>
              </w:numPr>
              <w:ind w:left="216" w:hanging="216"/>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w:t>
            </w:r>
            <w:r w:rsidR="00F45777" w:rsidRPr="005D4222">
              <w:t>events</w:t>
            </w:r>
            <w:r w:rsidRPr="005D4222">
              <w:t>, numerators and exclusions that do not allow the use of telehealth.</w:t>
            </w:r>
          </w:p>
          <w:p w14:paraId="5E63E53B" w14:textId="77777777" w:rsidR="002366AC" w:rsidRPr="005D4222" w:rsidRDefault="002366AC" w:rsidP="005D6173">
            <w:pPr>
              <w:pStyle w:val="ProcessBullet"/>
              <w:numPr>
                <w:ilvl w:val="0"/>
                <w:numId w:val="77"/>
              </w:numPr>
              <w:ind w:left="216" w:hanging="216"/>
            </w:pPr>
            <w:r w:rsidRPr="005D4222">
              <w:rPr>
                <w:i/>
                <w:iCs/>
              </w:rPr>
              <w:t>Supplemental data.</w:t>
            </w:r>
            <w:r w:rsidRPr="005D4222">
              <w:t xml:space="preserve"> Supplemental data may be used to identify initial population, observed event, exclusion and numerator events.</w:t>
            </w:r>
          </w:p>
          <w:p w14:paraId="395DEBA4" w14:textId="77777777" w:rsidR="002366AC" w:rsidRPr="005D4222" w:rsidRDefault="002366AC" w:rsidP="002366AC">
            <w:pPr>
              <w:pStyle w:val="Adjustments"/>
            </w:pPr>
            <w:r w:rsidRPr="005D4222">
              <w:t xml:space="preserve">Adjustments </w:t>
            </w:r>
            <w:r w:rsidRPr="005D4222">
              <w:rPr>
                <w:bCs/>
              </w:rPr>
              <w:t>a</w:t>
            </w:r>
            <w:r w:rsidRPr="005D4222">
              <w:t xml:space="preserve">llowed with </w:t>
            </w:r>
            <w:r w:rsidRPr="005D4222">
              <w:rPr>
                <w:bCs/>
              </w:rPr>
              <w:t>l</w:t>
            </w:r>
            <w:r w:rsidRPr="005D4222">
              <w:t>imits</w:t>
            </w:r>
          </w:p>
          <w:p w14:paraId="0B6A1149" w14:textId="087E9CC2" w:rsidR="002366AC" w:rsidRPr="005D4222" w:rsidRDefault="002366AC" w:rsidP="00A53E8C">
            <w:pPr>
              <w:pStyle w:val="MarginBullet"/>
              <w:spacing w:after="80"/>
              <w:rPr>
                <w:b/>
                <w:i/>
                <w:iCs/>
              </w:rPr>
            </w:pPr>
            <w:r w:rsidRPr="005D4222">
              <w:rPr>
                <w:i/>
              </w:rPr>
              <w:t>Observed events.</w:t>
            </w:r>
            <w:r w:rsidRPr="005D4222">
              <w:t xml:space="preserve"> Organizations may include denied claims to calculate the observed events. The </w:t>
            </w:r>
            <w:r w:rsidR="00B609BE" w:rsidRPr="005D4222">
              <w:t>value sets and</w:t>
            </w:r>
            <w:r w:rsidRPr="005D4222">
              <w:t xml:space="preserve"> logic may not be changed.</w:t>
            </w:r>
          </w:p>
        </w:tc>
      </w:tr>
    </w:tbl>
    <w:p w14:paraId="333BB5AD" w14:textId="77777777" w:rsidR="00BB312E" w:rsidRPr="005D4222" w:rsidRDefault="00BB312E" w:rsidP="0018044E">
      <w:pPr>
        <w:pStyle w:val="ECDSBody"/>
        <w:sectPr w:rsidR="00BB312E" w:rsidRPr="005D4222" w:rsidSect="0074514A">
          <w:headerReference w:type="default" r:id="rId208"/>
          <w:type w:val="nextColumn"/>
          <w:pgSz w:w="12240" w:h="15840" w:code="1"/>
          <w:pgMar w:top="1080" w:right="1080" w:bottom="1080" w:left="1440" w:header="720" w:footer="720" w:gutter="0"/>
          <w:cols w:space="720"/>
          <w:docGrid w:linePitch="360"/>
        </w:sectPr>
      </w:pPr>
    </w:p>
    <w:p w14:paraId="6BA12117" w14:textId="5AB002FD" w:rsidR="0018044E" w:rsidRPr="005D4222" w:rsidRDefault="0061349C" w:rsidP="0061349C">
      <w:pPr>
        <w:pStyle w:val="MeasureTitle"/>
      </w:pPr>
      <w:bookmarkStart w:id="407" w:name="_Toc201813462"/>
      <w:r w:rsidRPr="005D4222">
        <w:lastRenderedPageBreak/>
        <w:t xml:space="preserve">Emergency Department Visits for Hypoglycemia in Older Adults </w:t>
      </w:r>
      <w:r w:rsidR="008468F6" w:rsidRPr="005D4222">
        <w:br/>
      </w:r>
      <w:r w:rsidRPr="005D4222">
        <w:t>With Diabetes</w:t>
      </w:r>
      <w:r w:rsidR="006B0FDD" w:rsidRPr="005D4222">
        <w:t xml:space="preserve"> (EDH)</w:t>
      </w:r>
      <w:bookmarkEnd w:id="407"/>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5274"/>
        <w:gridCol w:w="1358"/>
        <w:gridCol w:w="925"/>
      </w:tblGrid>
      <w:tr w:rsidR="008468F6" w:rsidRPr="005D4222" w14:paraId="2111D25F" w14:textId="77777777" w:rsidTr="00AC7CC9">
        <w:tc>
          <w:tcPr>
            <w:tcW w:w="2157" w:type="dxa"/>
            <w:shd w:val="clear" w:color="auto" w:fill="BFBFBF" w:themeFill="background1" w:themeFillShade="BF"/>
            <w:tcMar>
              <w:top w:w="0" w:type="dxa"/>
              <w:left w:w="86" w:type="dxa"/>
              <w:bottom w:w="43" w:type="dxa"/>
              <w:right w:w="86" w:type="dxa"/>
            </w:tcMar>
            <w:hideMark/>
          </w:tcPr>
          <w:p w14:paraId="68E26787" w14:textId="77777777" w:rsidR="008468F6" w:rsidRPr="005D4222" w:rsidRDefault="008468F6" w:rsidP="00A53E8C">
            <w:pPr>
              <w:pStyle w:val="ECDSMarginHead"/>
            </w:pPr>
            <w:r w:rsidRPr="005D4222">
              <w:t>Measure title</w:t>
            </w:r>
          </w:p>
        </w:tc>
        <w:tc>
          <w:tcPr>
            <w:tcW w:w="5274" w:type="dxa"/>
            <w:tcMar>
              <w:top w:w="0" w:type="dxa"/>
              <w:left w:w="86" w:type="dxa"/>
              <w:bottom w:w="43" w:type="dxa"/>
              <w:right w:w="86" w:type="dxa"/>
            </w:tcMar>
          </w:tcPr>
          <w:p w14:paraId="50AA9456" w14:textId="77777777" w:rsidR="008468F6" w:rsidRPr="005D4222" w:rsidRDefault="008468F6" w:rsidP="00A53E8C">
            <w:pPr>
              <w:pStyle w:val="ECDSBody"/>
            </w:pPr>
            <w:r w:rsidRPr="005D4222">
              <w:t>Emergency Department Visits for Hypoglycemia in Older Adults With Diabetes</w:t>
            </w:r>
          </w:p>
        </w:tc>
        <w:tc>
          <w:tcPr>
            <w:tcW w:w="1358" w:type="dxa"/>
            <w:shd w:val="clear" w:color="auto" w:fill="BFBFBF" w:themeFill="background1" w:themeFillShade="BF"/>
            <w:tcMar>
              <w:top w:w="0" w:type="dxa"/>
              <w:left w:w="86" w:type="dxa"/>
              <w:bottom w:w="43" w:type="dxa"/>
              <w:right w:w="86" w:type="dxa"/>
            </w:tcMar>
          </w:tcPr>
          <w:p w14:paraId="3B098F78" w14:textId="77777777" w:rsidR="008468F6" w:rsidRPr="005D4222" w:rsidRDefault="008468F6" w:rsidP="00AC7CC9">
            <w:pPr>
              <w:pStyle w:val="ECDSMarginHead"/>
            </w:pPr>
            <w:r w:rsidRPr="005D4222">
              <w:t>Measure ID</w:t>
            </w:r>
          </w:p>
        </w:tc>
        <w:tc>
          <w:tcPr>
            <w:tcW w:w="925" w:type="dxa"/>
            <w:tcMar>
              <w:top w:w="0" w:type="dxa"/>
              <w:left w:w="86" w:type="dxa"/>
              <w:bottom w:w="43" w:type="dxa"/>
              <w:right w:w="86" w:type="dxa"/>
            </w:tcMar>
          </w:tcPr>
          <w:p w14:paraId="78D1BB78" w14:textId="77777777" w:rsidR="008468F6" w:rsidRPr="005D4222" w:rsidRDefault="008468F6" w:rsidP="00A53E8C">
            <w:pPr>
              <w:pStyle w:val="ECDSBody"/>
            </w:pPr>
            <w:r w:rsidRPr="005D4222">
              <w:t>EDH</w:t>
            </w:r>
          </w:p>
        </w:tc>
      </w:tr>
      <w:tr w:rsidR="008468F6" w:rsidRPr="005D4222" w14:paraId="5A6FC7BB" w14:textId="77777777" w:rsidTr="00A53E8C">
        <w:tc>
          <w:tcPr>
            <w:tcW w:w="2157" w:type="dxa"/>
            <w:shd w:val="clear" w:color="auto" w:fill="BFBFBF" w:themeFill="background1" w:themeFillShade="BF"/>
            <w:tcMar>
              <w:top w:w="0" w:type="dxa"/>
              <w:left w:w="86" w:type="dxa"/>
              <w:bottom w:w="43" w:type="dxa"/>
              <w:right w:w="86" w:type="dxa"/>
            </w:tcMar>
            <w:hideMark/>
          </w:tcPr>
          <w:p w14:paraId="43C05004" w14:textId="77777777" w:rsidR="008468F6" w:rsidRPr="005D4222" w:rsidRDefault="008468F6" w:rsidP="00A53E8C">
            <w:pPr>
              <w:pStyle w:val="ECDSMarginHead"/>
            </w:pPr>
            <w:r w:rsidRPr="005D4222">
              <w:t>Description</w:t>
            </w:r>
          </w:p>
        </w:tc>
        <w:tc>
          <w:tcPr>
            <w:tcW w:w="7557" w:type="dxa"/>
            <w:gridSpan w:val="3"/>
            <w:tcMar>
              <w:top w:w="0" w:type="dxa"/>
              <w:left w:w="86" w:type="dxa"/>
              <w:bottom w:w="43" w:type="dxa"/>
              <w:right w:w="86" w:type="dxa"/>
            </w:tcMar>
          </w:tcPr>
          <w:p w14:paraId="43CA8A8F" w14:textId="77777777" w:rsidR="008468F6" w:rsidRPr="005D4222" w:rsidRDefault="008468F6" w:rsidP="00A53E8C">
            <w:pPr>
              <w:pStyle w:val="ECDSBody"/>
              <w:rPr>
                <w:rFonts w:eastAsia="PMingLiU"/>
              </w:rPr>
            </w:pPr>
            <w:r w:rsidRPr="005D4222">
              <w:rPr>
                <w:rFonts w:eastAsia="PMingLiU"/>
              </w:rPr>
              <w:t xml:space="preserve">For persons 67 years of age and older with diabetes </w:t>
            </w:r>
            <w:r w:rsidRPr="005D4222">
              <w:t>(types 1 and 2)</w:t>
            </w:r>
            <w:r w:rsidRPr="005D4222">
              <w:rPr>
                <w:rFonts w:eastAsia="PMingLiU"/>
              </w:rPr>
              <w:t xml:space="preserve">, the risk-adjusted ratio of observed to expected (O/E) emergency department (ED) visits for hypoglycemia during the measurement period. Two rates </w:t>
            </w:r>
            <w:r w:rsidRPr="005D4222" w:rsidDel="00BD7737">
              <w:rPr>
                <w:rFonts w:eastAsia="PMingLiU"/>
              </w:rPr>
              <w:t xml:space="preserve">are </w:t>
            </w:r>
            <w:r w:rsidRPr="005D4222">
              <w:rPr>
                <w:rFonts w:eastAsia="PMingLiU"/>
              </w:rPr>
              <w:t>reported:</w:t>
            </w:r>
          </w:p>
          <w:p w14:paraId="4C32795F" w14:textId="77777777" w:rsidR="008468F6" w:rsidRPr="005D4222" w:rsidRDefault="008468F6" w:rsidP="008468F6">
            <w:pPr>
              <w:pStyle w:val="Bullet"/>
              <w:numPr>
                <w:ilvl w:val="0"/>
                <w:numId w:val="4"/>
              </w:numPr>
              <w:tabs>
                <w:tab w:val="left" w:pos="360"/>
                <w:tab w:val="left" w:pos="576"/>
              </w:tabs>
              <w:ind w:left="576" w:hanging="216"/>
              <w:rPr>
                <w:rFonts w:eastAsia="PMingLiU"/>
              </w:rPr>
            </w:pPr>
            <w:r w:rsidRPr="005D4222">
              <w:rPr>
                <w:rFonts w:eastAsia="PMingLiU"/>
              </w:rPr>
              <w:t xml:space="preserve">For persons 67 years of age and older with diabetes (types 1 and 2), the risk-adjusted ratio of O/E ED visits for hypoglycemia during the measurement period, stratified by dual eligibility. </w:t>
            </w:r>
          </w:p>
          <w:p w14:paraId="47672128" w14:textId="77777777" w:rsidR="008468F6" w:rsidRPr="005D4222" w:rsidRDefault="008468F6" w:rsidP="008468F6">
            <w:pPr>
              <w:pStyle w:val="Bullet"/>
              <w:numPr>
                <w:ilvl w:val="0"/>
                <w:numId w:val="4"/>
              </w:numPr>
              <w:tabs>
                <w:tab w:val="left" w:pos="360"/>
                <w:tab w:val="left" w:pos="576"/>
              </w:tabs>
              <w:spacing w:after="80"/>
              <w:ind w:left="576" w:hanging="216"/>
              <w:rPr>
                <w:rFonts w:eastAsia="PMingLiU"/>
              </w:rPr>
            </w:pPr>
            <w:r w:rsidRPr="005D4222">
              <w:rPr>
                <w:rFonts w:eastAsia="PMingLiU"/>
              </w:rPr>
              <w:t>For persons 67 years of age and older with diabetes (types 1 and 2) who had at least one dispensing event of insulin within each 180-day (6-month) treatment period from July 1 of the year prior to the measurement period through December 31 of the measurement period, the risk-adjusted ratio of O/E ED visits for hypoglycemia, stratified by dual eligibility.</w:t>
            </w:r>
          </w:p>
        </w:tc>
      </w:tr>
      <w:tr w:rsidR="008468F6" w:rsidRPr="005D4222" w14:paraId="721A998D" w14:textId="77777777" w:rsidTr="00A53E8C">
        <w:tc>
          <w:tcPr>
            <w:tcW w:w="2157" w:type="dxa"/>
            <w:shd w:val="clear" w:color="auto" w:fill="BFBFBF" w:themeFill="background1" w:themeFillShade="BF"/>
            <w:tcMar>
              <w:top w:w="0" w:type="dxa"/>
              <w:left w:w="86" w:type="dxa"/>
              <w:bottom w:w="43" w:type="dxa"/>
              <w:right w:w="86" w:type="dxa"/>
            </w:tcMar>
          </w:tcPr>
          <w:p w14:paraId="0D4E46B9" w14:textId="77777777" w:rsidR="008468F6" w:rsidRPr="005D4222" w:rsidRDefault="008468F6" w:rsidP="00A53E8C">
            <w:pPr>
              <w:pStyle w:val="ECDSMarginHead"/>
            </w:pPr>
            <w:r w:rsidRPr="005D4222">
              <w:t>Measurement period</w:t>
            </w:r>
          </w:p>
        </w:tc>
        <w:tc>
          <w:tcPr>
            <w:tcW w:w="7557" w:type="dxa"/>
            <w:gridSpan w:val="3"/>
            <w:tcMar>
              <w:top w:w="0" w:type="dxa"/>
              <w:left w:w="86" w:type="dxa"/>
              <w:bottom w:w="43" w:type="dxa"/>
              <w:right w:w="86" w:type="dxa"/>
            </w:tcMar>
          </w:tcPr>
          <w:p w14:paraId="0EFBEF5E" w14:textId="77777777" w:rsidR="008468F6" w:rsidRPr="005D4222" w:rsidRDefault="008468F6" w:rsidP="00A53E8C">
            <w:pPr>
              <w:pStyle w:val="ECDSBody"/>
            </w:pPr>
            <w:r w:rsidRPr="005D4222">
              <w:t>January 1–December 31.</w:t>
            </w:r>
          </w:p>
        </w:tc>
      </w:tr>
      <w:tr w:rsidR="008468F6" w:rsidRPr="005D4222" w14:paraId="0C67DA63" w14:textId="77777777" w:rsidTr="00A53E8C">
        <w:tc>
          <w:tcPr>
            <w:tcW w:w="2157" w:type="dxa"/>
            <w:shd w:val="clear" w:color="auto" w:fill="BFBFBF" w:themeFill="background1" w:themeFillShade="BF"/>
            <w:tcMar>
              <w:top w:w="0" w:type="dxa"/>
              <w:left w:w="86" w:type="dxa"/>
              <w:bottom w:w="43" w:type="dxa"/>
              <w:right w:w="86" w:type="dxa"/>
            </w:tcMar>
            <w:hideMark/>
          </w:tcPr>
          <w:p w14:paraId="01819D1A" w14:textId="77777777" w:rsidR="008468F6" w:rsidRPr="005D4222" w:rsidRDefault="008468F6" w:rsidP="00A53E8C">
            <w:pPr>
              <w:pStyle w:val="ECDSMarginHead"/>
              <w:rPr>
                <w:rFonts w:eastAsia="Arial"/>
              </w:rPr>
            </w:pPr>
            <w:r w:rsidRPr="005D4222">
              <w:rPr>
                <w:rFonts w:eastAsia="Arial"/>
                <w:bCs/>
              </w:rPr>
              <w:t>Copyright and disclaimer notice</w:t>
            </w:r>
          </w:p>
        </w:tc>
        <w:tc>
          <w:tcPr>
            <w:tcW w:w="7557" w:type="dxa"/>
            <w:gridSpan w:val="3"/>
            <w:tcMar>
              <w:top w:w="0" w:type="dxa"/>
              <w:left w:w="86" w:type="dxa"/>
              <w:bottom w:w="43" w:type="dxa"/>
              <w:right w:w="86" w:type="dxa"/>
            </w:tcMar>
          </w:tcPr>
          <w:p w14:paraId="6474B10E" w14:textId="77777777" w:rsidR="008468F6" w:rsidRPr="005D4222" w:rsidRDefault="008468F6" w:rsidP="00A53E8C">
            <w:pPr>
              <w:pStyle w:val="ECDSBody"/>
            </w:pPr>
            <w:r w:rsidRPr="005D4222">
              <w:t xml:space="preserve">Refer to the complete copyright and disclaimer information at the front of this publication. </w:t>
            </w:r>
          </w:p>
          <w:p w14:paraId="6BB95248" w14:textId="77777777" w:rsidR="008468F6" w:rsidRPr="005D4222" w:rsidRDefault="008468F6" w:rsidP="00A53E8C">
            <w:pPr>
              <w:pStyle w:val="ECDSBody"/>
              <w:spacing w:before="80"/>
              <w:rPr>
                <w:rFonts w:eastAsia="Arial"/>
              </w:rPr>
            </w:pPr>
            <w:r w:rsidRPr="005D4222">
              <w:rPr>
                <w:rFonts w:eastAsia="Arial"/>
              </w:rPr>
              <w:t xml:space="preserve">NCQA website: </w:t>
            </w:r>
            <w:r w:rsidRPr="005D4222">
              <w:rPr>
                <w:rFonts w:eastAsia="Arial"/>
                <w:u w:val="single"/>
              </w:rPr>
              <w:t>www.ncqa.org</w:t>
            </w:r>
            <w:r w:rsidRPr="005D4222">
              <w:rPr>
                <w:rFonts w:eastAsia="Arial"/>
              </w:rPr>
              <w:t>.</w:t>
            </w:r>
          </w:p>
          <w:p w14:paraId="3F96848D" w14:textId="77777777" w:rsidR="008468F6" w:rsidRPr="005D4222" w:rsidRDefault="008468F6" w:rsidP="00A53E8C">
            <w:pPr>
              <w:pStyle w:val="ECDSBody"/>
              <w:spacing w:before="80"/>
            </w:pPr>
            <w:r w:rsidRPr="005D4222">
              <w:rPr>
                <w:rFonts w:eastAsia="Arial"/>
              </w:rPr>
              <w:t>Submit policy clarification support questions via My NCQA (</w:t>
            </w:r>
            <w:r w:rsidRPr="005D4222">
              <w:rPr>
                <w:rFonts w:eastAsia="Arial"/>
                <w:u w:val="single"/>
              </w:rPr>
              <w:t>https://my.ncqa.org</w:t>
            </w:r>
            <w:r w:rsidRPr="005D4222">
              <w:rPr>
                <w:rFonts w:eastAsia="Arial"/>
              </w:rPr>
              <w:t>).</w:t>
            </w:r>
          </w:p>
        </w:tc>
      </w:tr>
      <w:tr w:rsidR="008468F6" w:rsidRPr="005D4222" w14:paraId="56F5B8EB" w14:textId="77777777" w:rsidTr="00A53E8C">
        <w:trPr>
          <w:trHeight w:val="655"/>
        </w:trPr>
        <w:tc>
          <w:tcPr>
            <w:tcW w:w="2157" w:type="dxa"/>
            <w:shd w:val="clear" w:color="auto" w:fill="BFBFBF" w:themeFill="background1" w:themeFillShade="BF"/>
            <w:tcMar>
              <w:top w:w="0" w:type="dxa"/>
              <w:left w:w="86" w:type="dxa"/>
              <w:bottom w:w="43" w:type="dxa"/>
              <w:right w:w="86" w:type="dxa"/>
            </w:tcMar>
            <w:hideMark/>
          </w:tcPr>
          <w:p w14:paraId="0731AE2F" w14:textId="77777777" w:rsidR="008468F6" w:rsidRPr="005D4222" w:rsidRDefault="008468F6" w:rsidP="00A53E8C">
            <w:pPr>
              <w:pStyle w:val="ECDSMarginHead"/>
            </w:pPr>
            <w:r w:rsidRPr="005D4222">
              <w:t>Clinical recommendation statement/ rationale</w:t>
            </w:r>
          </w:p>
        </w:tc>
        <w:tc>
          <w:tcPr>
            <w:tcW w:w="7557" w:type="dxa"/>
            <w:gridSpan w:val="3"/>
            <w:tcMar>
              <w:top w:w="0" w:type="dxa"/>
              <w:left w:w="86" w:type="dxa"/>
              <w:bottom w:w="43" w:type="dxa"/>
              <w:right w:w="86" w:type="dxa"/>
            </w:tcMar>
          </w:tcPr>
          <w:p w14:paraId="17F3E69E" w14:textId="77777777" w:rsidR="008468F6" w:rsidRPr="005D4222" w:rsidRDefault="008468F6" w:rsidP="00A53E8C">
            <w:pPr>
              <w:pStyle w:val="ECDSBody"/>
            </w:pPr>
            <w:r w:rsidRPr="005D4222">
              <w:t xml:space="preserve">While the consequences of hypoglycemia can be devastating in older adults, it may be possible to reduce hypoglycemia risk through effective treatment management. Multiple clinical practice guidelines recommend adjusting treatment regimens in older adults to minimize hypoglycemia risk. For example, the American Diabetes Association (ADA) recommends routine monitoring of hypoglycemic episodes and adjusting glycemic targets and pharmacologic treatments to avoid hypoglycemia in older adults. </w:t>
            </w:r>
          </w:p>
          <w:p w14:paraId="02E2EEF4" w14:textId="77777777" w:rsidR="008468F6" w:rsidRPr="005D4222" w:rsidRDefault="008468F6" w:rsidP="00A53E8C">
            <w:pPr>
              <w:pStyle w:val="ECDSBody"/>
            </w:pPr>
            <w:r w:rsidRPr="005D4222">
              <w:t>The Endocrine Society recommends that clinicians design outpatient diabetes regimens specifically to minimize hypoglycemia. The American Association of Clinical Endocrinologists (AACE) and American College of Endocrinology</w:t>
            </w:r>
            <w:r w:rsidRPr="005D4222">
              <w:rPr>
                <w:sz w:val="18"/>
                <w:szCs w:val="18"/>
              </w:rPr>
              <w:t xml:space="preserve"> </w:t>
            </w:r>
            <w:r w:rsidRPr="005D4222">
              <w:t xml:space="preserve">(ACE) cites minimizing hypoglycemia as a guiding principle in its diabetes treatment algorithm and emphasizes that reducing risk of hypoglycemia should be a key consideration when selecting antihyperglycemic agents. </w:t>
            </w:r>
          </w:p>
        </w:tc>
      </w:tr>
      <w:tr w:rsidR="008468F6" w:rsidRPr="005D4222" w14:paraId="73F6D9B8" w14:textId="77777777" w:rsidTr="00A53E8C">
        <w:tc>
          <w:tcPr>
            <w:tcW w:w="2157" w:type="dxa"/>
            <w:shd w:val="clear" w:color="auto" w:fill="BFBFBF" w:themeFill="background1" w:themeFillShade="BF"/>
            <w:tcMar>
              <w:top w:w="0" w:type="dxa"/>
              <w:left w:w="86" w:type="dxa"/>
              <w:bottom w:w="43" w:type="dxa"/>
              <w:right w:w="86" w:type="dxa"/>
            </w:tcMar>
          </w:tcPr>
          <w:p w14:paraId="2BC3E4A5" w14:textId="081689A9" w:rsidR="008468F6" w:rsidRPr="005D4222" w:rsidRDefault="008468F6" w:rsidP="00A53E8C">
            <w:pPr>
              <w:pStyle w:val="ECDSMarginHead"/>
            </w:pPr>
            <w:r w:rsidRPr="005D4222">
              <w:t>Citations</w:t>
            </w:r>
          </w:p>
        </w:tc>
        <w:tc>
          <w:tcPr>
            <w:tcW w:w="7557" w:type="dxa"/>
            <w:gridSpan w:val="3"/>
            <w:tcMar>
              <w:top w:w="0" w:type="dxa"/>
              <w:left w:w="86" w:type="dxa"/>
              <w:bottom w:w="43" w:type="dxa"/>
              <w:right w:w="86" w:type="dxa"/>
            </w:tcMar>
          </w:tcPr>
          <w:p w14:paraId="15274D2F" w14:textId="77777777" w:rsidR="008468F6" w:rsidRPr="005D4222" w:rsidRDefault="008468F6" w:rsidP="00A53E8C">
            <w:pPr>
              <w:pStyle w:val="ECDSBody"/>
              <w:rPr>
                <w:sz w:val="18"/>
                <w:szCs w:val="18"/>
              </w:rPr>
            </w:pPr>
            <w:r w:rsidRPr="005D4222">
              <w:t xml:space="preserve">American Diabetes Association Professional Practice Committee. 2025. “13. Older Adults: Standards of Care in Diabetes—2025.” </w:t>
            </w:r>
            <w:r w:rsidRPr="005D4222">
              <w:rPr>
                <w:i/>
                <w:iCs/>
              </w:rPr>
              <w:t xml:space="preserve">Diabetes Care </w:t>
            </w:r>
            <w:r w:rsidRPr="005D4222">
              <w:t xml:space="preserve">48 (Suppl. 1):S266–82. </w:t>
            </w:r>
          </w:p>
          <w:p w14:paraId="1FC8C33E" w14:textId="39B1BE9F" w:rsidR="008468F6" w:rsidRPr="005D4222" w:rsidRDefault="008468F6" w:rsidP="00A53E8C">
            <w:pPr>
              <w:pStyle w:val="ECDSBody"/>
              <w:rPr>
                <w:sz w:val="18"/>
                <w:szCs w:val="18"/>
              </w:rPr>
            </w:pPr>
            <w:r w:rsidRPr="005D4222">
              <w:t xml:space="preserve">Endocrine Society. 2019. “Treatment of Diabetes in Older Adults: An Endocrine Society Clinical Practice Guideline.” </w:t>
            </w:r>
            <w:r w:rsidRPr="005D4222">
              <w:rPr>
                <w:i/>
                <w:iCs/>
              </w:rPr>
              <w:t>The Journal of Clinical Endocrinology &amp; Metabolism</w:t>
            </w:r>
            <w:r w:rsidRPr="005D4222">
              <w:t xml:space="preserve"> 104, no. 5: 1520. https://doi.org/10.1210/jc.2019-00198</w:t>
            </w:r>
          </w:p>
        </w:tc>
      </w:tr>
      <w:tr w:rsidR="008468F6" w:rsidRPr="005D4222" w14:paraId="17C1ED51" w14:textId="77777777" w:rsidTr="00A53E8C">
        <w:tc>
          <w:tcPr>
            <w:tcW w:w="2157" w:type="dxa"/>
            <w:shd w:val="clear" w:color="auto" w:fill="BFBFBF" w:themeFill="background1" w:themeFillShade="BF"/>
            <w:tcMar>
              <w:top w:w="0" w:type="dxa"/>
              <w:left w:w="86" w:type="dxa"/>
              <w:bottom w:w="43" w:type="dxa"/>
              <w:right w:w="86" w:type="dxa"/>
            </w:tcMar>
          </w:tcPr>
          <w:p w14:paraId="4F32013F" w14:textId="77777777" w:rsidR="008468F6" w:rsidRPr="005D4222" w:rsidRDefault="008468F6" w:rsidP="00A53E8C">
            <w:pPr>
              <w:pStyle w:val="ECDSMarginHead"/>
            </w:pPr>
          </w:p>
        </w:tc>
        <w:tc>
          <w:tcPr>
            <w:tcW w:w="7557" w:type="dxa"/>
            <w:gridSpan w:val="3"/>
            <w:tcMar>
              <w:top w:w="0" w:type="dxa"/>
              <w:left w:w="86" w:type="dxa"/>
              <w:bottom w:w="43" w:type="dxa"/>
              <w:right w:w="86" w:type="dxa"/>
            </w:tcMar>
          </w:tcPr>
          <w:p w14:paraId="4C669DD6" w14:textId="77777777" w:rsidR="008468F6" w:rsidRPr="005D4222" w:rsidRDefault="008468F6" w:rsidP="00A53E8C">
            <w:pPr>
              <w:pStyle w:val="ECDSBody"/>
            </w:pPr>
            <w:r w:rsidRPr="005D4222">
              <w:t xml:space="preserve">Garber, A.J., Y. Handelsman, G. Grunberger, D. Einhorn, M.J. Abrahamson, J.I. Barzilay, L. Blonde, et al. 2020. “Consensus Statement by the American Association of Clinical Endocrinologists and American College of Endocrinology on the Comprehensive Type 2 Diabetes Management Algorithm—2020 Executive Summary.” </w:t>
            </w:r>
            <w:r w:rsidRPr="005D4222">
              <w:rPr>
                <w:i/>
                <w:iCs/>
              </w:rPr>
              <w:t>Endocrine Practice</w:t>
            </w:r>
            <w:r w:rsidRPr="005D4222">
              <w:t xml:space="preserve"> 26, no. 1: 107. https://doi.org/10.4158/cs-2019-0472</w:t>
            </w:r>
          </w:p>
        </w:tc>
      </w:tr>
      <w:tr w:rsidR="008468F6" w:rsidRPr="005D4222" w14:paraId="4A2C7778" w14:textId="77777777" w:rsidTr="00A53E8C">
        <w:tc>
          <w:tcPr>
            <w:tcW w:w="9714"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05B9F659" w14:textId="77777777" w:rsidR="008468F6" w:rsidRPr="005D4222" w:rsidRDefault="008468F6" w:rsidP="00A53E8C">
            <w:pPr>
              <w:pStyle w:val="ECDSMarginHead"/>
            </w:pPr>
            <w:r w:rsidRPr="005D4222">
              <w:t>Characteristics</w:t>
            </w:r>
          </w:p>
        </w:tc>
      </w:tr>
      <w:tr w:rsidR="008468F6" w:rsidRPr="005D4222" w14:paraId="6F0F7505" w14:textId="77777777" w:rsidTr="00A53E8C">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26F006D8" w14:textId="77777777" w:rsidR="008468F6" w:rsidRPr="005D4222" w:rsidRDefault="008468F6" w:rsidP="00CF50D7">
            <w:pPr>
              <w:pStyle w:val="ECDSSubhead"/>
            </w:pPr>
            <w:r w:rsidRPr="005D4222">
              <w:t>Scoring</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6143548C" w14:textId="77777777" w:rsidR="008468F6" w:rsidRPr="005D4222" w:rsidRDefault="008468F6" w:rsidP="00A53E8C">
            <w:pPr>
              <w:pStyle w:val="ECDSBody"/>
              <w:spacing w:after="0"/>
            </w:pPr>
            <w:r w:rsidRPr="005D4222">
              <w:t>Ratio.</w:t>
            </w:r>
          </w:p>
        </w:tc>
      </w:tr>
      <w:tr w:rsidR="008468F6" w:rsidRPr="005D4222" w14:paraId="5CFD3BBE"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3F092BD0" w14:textId="4AFA7EA9" w:rsidR="008468F6" w:rsidRPr="005D4222" w:rsidRDefault="00B51CDC" w:rsidP="00CF50D7">
            <w:pPr>
              <w:pStyle w:val="ECDSSubhead"/>
            </w:pPr>
            <w:r w:rsidRPr="005D4222">
              <w:t>Product lines</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5DE2B316" w14:textId="77777777" w:rsidR="008468F6" w:rsidRPr="005D4222" w:rsidRDefault="008468F6" w:rsidP="00A53E8C">
            <w:pPr>
              <w:pStyle w:val="ECDSBody"/>
              <w:spacing w:after="0"/>
            </w:pPr>
            <w:r w:rsidRPr="005D4222">
              <w:t>Medicare.</w:t>
            </w:r>
          </w:p>
        </w:tc>
      </w:tr>
      <w:tr w:rsidR="008468F6" w:rsidRPr="005D4222" w14:paraId="75E57C59"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79E9BF50" w14:textId="2869EC33" w:rsidR="008468F6" w:rsidRPr="005D4222" w:rsidRDefault="00B51CDC" w:rsidP="00CF50D7">
            <w:pPr>
              <w:pStyle w:val="ECDSSubhead"/>
            </w:pPr>
            <w:r w:rsidRPr="005D4222">
              <w:t>Stratifications</w:t>
            </w:r>
            <w:r w:rsidR="008468F6" w:rsidRPr="005D4222">
              <w:t xml:space="preserve"> </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175D515B" w14:textId="77777777" w:rsidR="008468F6" w:rsidRPr="005D4222" w:rsidRDefault="008468F6" w:rsidP="00A53E8C">
            <w:pPr>
              <w:pStyle w:val="ECDSBody"/>
            </w:pPr>
            <w:r w:rsidRPr="005D4222">
              <w:t>Socioeconomic status (SES).</w:t>
            </w:r>
          </w:p>
          <w:p w14:paraId="7206DC1C" w14:textId="77777777" w:rsidR="008468F6" w:rsidRPr="005D4222" w:rsidRDefault="008468F6" w:rsidP="008468F6">
            <w:pPr>
              <w:pStyle w:val="Bullet"/>
              <w:numPr>
                <w:ilvl w:val="0"/>
                <w:numId w:val="4"/>
              </w:numPr>
              <w:tabs>
                <w:tab w:val="left" w:pos="360"/>
                <w:tab w:val="left" w:pos="576"/>
              </w:tabs>
              <w:ind w:left="576" w:hanging="216"/>
            </w:pPr>
            <w:r w:rsidRPr="005D4222">
              <w:t>Dual eligible:</w:t>
            </w:r>
          </w:p>
          <w:p w14:paraId="0C370607" w14:textId="77777777" w:rsidR="008468F6" w:rsidRPr="005D4222" w:rsidRDefault="008468F6" w:rsidP="00A53E8C">
            <w:pPr>
              <w:pStyle w:val="Dash"/>
            </w:pPr>
            <w:r w:rsidRPr="005D4222">
              <w:t>LIS/DE.</w:t>
            </w:r>
          </w:p>
          <w:p w14:paraId="35EEE4BB" w14:textId="77777777" w:rsidR="008468F6" w:rsidRPr="005D4222" w:rsidRDefault="008468F6" w:rsidP="00A53E8C">
            <w:pPr>
              <w:pStyle w:val="Dash"/>
            </w:pPr>
            <w:r w:rsidRPr="005D4222">
              <w:t>LIS/DE and disability.</w:t>
            </w:r>
          </w:p>
          <w:p w14:paraId="28C99787" w14:textId="77777777" w:rsidR="008468F6" w:rsidRPr="005D4222" w:rsidRDefault="008468F6" w:rsidP="008468F6">
            <w:pPr>
              <w:pStyle w:val="Bullet"/>
              <w:numPr>
                <w:ilvl w:val="0"/>
                <w:numId w:val="4"/>
              </w:numPr>
              <w:tabs>
                <w:tab w:val="left" w:pos="360"/>
                <w:tab w:val="left" w:pos="576"/>
              </w:tabs>
              <w:ind w:left="576" w:hanging="216"/>
            </w:pPr>
            <w:r w:rsidRPr="005D4222">
              <w:t>Not dual eligible:</w:t>
            </w:r>
          </w:p>
          <w:p w14:paraId="58C6D55B" w14:textId="77777777" w:rsidR="008468F6" w:rsidRPr="00424748" w:rsidRDefault="008468F6" w:rsidP="00A53E8C">
            <w:pPr>
              <w:pStyle w:val="Dash"/>
              <w:rPr>
                <w:lang w:val="fr-FR"/>
              </w:rPr>
            </w:pPr>
            <w:r w:rsidRPr="00424748">
              <w:rPr>
                <w:lang w:val="fr-FR"/>
              </w:rPr>
              <w:t>Non-LIS/DE, non-disability.</w:t>
            </w:r>
          </w:p>
          <w:p w14:paraId="5EF3F08E" w14:textId="77777777" w:rsidR="008468F6" w:rsidRPr="005D4222" w:rsidRDefault="008468F6" w:rsidP="00A53E8C">
            <w:pPr>
              <w:pStyle w:val="Dash"/>
            </w:pPr>
            <w:r w:rsidRPr="005D4222">
              <w:t>Disability.</w:t>
            </w:r>
          </w:p>
          <w:p w14:paraId="4F605206" w14:textId="77777777" w:rsidR="008468F6" w:rsidRPr="005D4222" w:rsidRDefault="008468F6" w:rsidP="00A53E8C">
            <w:pPr>
              <w:pStyle w:val="Dash"/>
            </w:pPr>
            <w:r w:rsidRPr="005D4222">
              <w:t>Other.</w:t>
            </w:r>
          </w:p>
          <w:p w14:paraId="3D37933C" w14:textId="77777777" w:rsidR="008468F6" w:rsidRPr="005D4222" w:rsidRDefault="008468F6" w:rsidP="00A53E8C">
            <w:pPr>
              <w:pStyle w:val="Dash"/>
            </w:pPr>
            <w:r w:rsidRPr="005D4222">
              <w:t>Unknown.</w:t>
            </w:r>
          </w:p>
          <w:p w14:paraId="18184395" w14:textId="04CF74F0" w:rsidR="008468F6" w:rsidRPr="005D4222" w:rsidRDefault="008468F6" w:rsidP="00A53E8C">
            <w:pPr>
              <w:pStyle w:val="ECDSBody"/>
            </w:pPr>
            <w:r w:rsidRPr="005D4222">
              <w:t xml:space="preserve">Follow the SES stratification instructions in </w:t>
            </w:r>
            <w:hyperlink w:anchor="GG_Medicare_Socioeconomic" w:history="1">
              <w:r w:rsidRPr="005D4222">
                <w:rPr>
                  <w:rStyle w:val="Hyperlink"/>
                  <w:i/>
                  <w:iCs/>
                </w:rPr>
                <w:t>General Guideline</w:t>
              </w:r>
              <w:r w:rsidR="00F80F26" w:rsidRPr="005D4222">
                <w:rPr>
                  <w:rStyle w:val="Hyperlink"/>
                  <w:i/>
                  <w:iCs/>
                </w:rPr>
                <w:t>:</w:t>
              </w:r>
              <w:r w:rsidRPr="005D4222">
                <w:rPr>
                  <w:rStyle w:val="Hyperlink"/>
                  <w:i/>
                  <w:iCs/>
                </w:rPr>
                <w:t xml:space="preserve"> Medicare Socioeconomic Status Stratification</w:t>
              </w:r>
            </w:hyperlink>
            <w:r w:rsidRPr="005D4222">
              <w:t xml:space="preserve"> to categorize persons into SES strata. Map persons from their SES strata to the corresponding dual eligible strata according to the categories above.</w:t>
            </w:r>
          </w:p>
        </w:tc>
      </w:tr>
      <w:tr w:rsidR="008468F6" w:rsidRPr="005D4222" w14:paraId="23604D23" w14:textId="77777777" w:rsidTr="00A53E8C">
        <w:trPr>
          <w:trHeight w:val="633"/>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7FE05EA2" w14:textId="63ABBD1C" w:rsidR="008468F6" w:rsidRPr="005D4222" w:rsidRDefault="008468F6" w:rsidP="00CF50D7">
            <w:pPr>
              <w:pStyle w:val="ECDSSubhead"/>
            </w:pPr>
            <w:r w:rsidRPr="005D4222">
              <w:t>Guidance</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5D9B7A3D" w14:textId="77777777" w:rsidR="008468F6" w:rsidRPr="005D4222" w:rsidRDefault="008468F6" w:rsidP="00A53E8C">
            <w:pPr>
              <w:pStyle w:val="ECDSBody"/>
              <w:rPr>
                <w:b/>
                <w:bCs w:val="0"/>
                <w:i/>
                <w:iCs/>
              </w:rPr>
            </w:pPr>
            <w:r w:rsidRPr="005D4222">
              <w:rPr>
                <w:b/>
                <w:bCs w:val="0"/>
                <w:i/>
                <w:iCs/>
              </w:rPr>
              <w:t>Risk Adjustment Measure Specific Guidance</w:t>
            </w:r>
          </w:p>
          <w:p w14:paraId="30AD6D13" w14:textId="77777777" w:rsidR="008468F6" w:rsidRPr="005D4222" w:rsidRDefault="008468F6" w:rsidP="00A53E8C">
            <w:pPr>
              <w:pStyle w:val="ECDSBody"/>
              <w:rPr>
                <w:b/>
                <w:bCs w:val="0"/>
              </w:rPr>
            </w:pPr>
            <w:r w:rsidRPr="005D4222">
              <w:rPr>
                <w:b/>
                <w:bCs w:val="0"/>
              </w:rPr>
              <w:t xml:space="preserve">Which services count? </w:t>
            </w:r>
          </w:p>
          <w:p w14:paraId="083E2F7F" w14:textId="77777777" w:rsidR="008468F6" w:rsidRPr="005D4222" w:rsidRDefault="008468F6" w:rsidP="008468F6">
            <w:pPr>
              <w:pStyle w:val="ProcessBullet"/>
              <w:tabs>
                <w:tab w:val="left" w:pos="216"/>
                <w:tab w:val="num" w:pos="720"/>
              </w:tabs>
            </w:pPr>
            <w:r w:rsidRPr="005D4222">
              <w:t>Use all paid, suspended, pending, and denied claims when applying risk adjustment comorbidity category determination and the hospice exclusion. </w:t>
            </w:r>
          </w:p>
          <w:p w14:paraId="54B0DA73" w14:textId="77777777" w:rsidR="008468F6" w:rsidRPr="005D4222" w:rsidRDefault="008468F6" w:rsidP="008468F6">
            <w:pPr>
              <w:pStyle w:val="ProcessBullet"/>
              <w:tabs>
                <w:tab w:val="left" w:pos="216"/>
                <w:tab w:val="num" w:pos="720"/>
              </w:tabs>
            </w:pPr>
            <w:r w:rsidRPr="005D4222">
              <w:t>Do not include denied claims when identifying all other events (e.g., observed events); only report claims the organization paid for or expects to pay for (i.e., claims incurred but not paid).</w:t>
            </w:r>
          </w:p>
          <w:p w14:paraId="1FB95A47" w14:textId="77777777" w:rsidR="008468F6" w:rsidRPr="005D4222" w:rsidRDefault="008468F6" w:rsidP="00A53E8C">
            <w:pPr>
              <w:pStyle w:val="ECDSBody"/>
              <w:rPr>
                <w:rFonts w:ascii="Segoe UI" w:hAnsi="Segoe UI" w:cs="Segoe UI"/>
                <w:sz w:val="18"/>
                <w:szCs w:val="18"/>
              </w:rPr>
            </w:pPr>
            <w:r w:rsidRPr="005D4222">
              <w:rPr>
                <w:b/>
              </w:rPr>
              <w:t xml:space="preserve">Supplemental data exceptions: </w:t>
            </w:r>
            <w:r w:rsidRPr="005D4222">
              <w:t>Supplemental data may only be used for the hospice exclusion.</w:t>
            </w:r>
          </w:p>
          <w:p w14:paraId="24C909DF" w14:textId="77777777" w:rsidR="008468F6" w:rsidRPr="005D4222" w:rsidRDefault="008468F6" w:rsidP="00A53E8C">
            <w:pPr>
              <w:pStyle w:val="ECDSBody"/>
            </w:pPr>
            <w:r w:rsidRPr="005D4222">
              <w:rPr>
                <w:b/>
              </w:rPr>
              <w:t>Transfers:</w:t>
            </w:r>
            <w:r w:rsidRPr="005D4222">
              <w:t xml:space="preserve"> </w:t>
            </w:r>
          </w:p>
          <w:p w14:paraId="4F8C6CB4" w14:textId="77777777" w:rsidR="008468F6" w:rsidRPr="005D4222" w:rsidRDefault="008468F6" w:rsidP="008468F6">
            <w:pPr>
              <w:pStyle w:val="ProcessBullet"/>
              <w:tabs>
                <w:tab w:val="left" w:pos="216"/>
                <w:tab w:val="num" w:pos="720"/>
              </w:tabs>
            </w:pPr>
            <w:r w:rsidRPr="005D4222">
              <w:t xml:space="preserve">Treat transfers </w:t>
            </w:r>
            <w:r w:rsidRPr="005D4222">
              <w:rPr>
                <w:i/>
                <w:iCs/>
              </w:rPr>
              <w:t xml:space="preserve">between </w:t>
            </w:r>
            <w:r w:rsidRPr="005D4222">
              <w:t xml:space="preserve">institutions as separate admissions. </w:t>
            </w:r>
          </w:p>
          <w:p w14:paraId="5933142C" w14:textId="77777777" w:rsidR="008468F6" w:rsidRPr="005D4222" w:rsidRDefault="008468F6" w:rsidP="008468F6">
            <w:pPr>
              <w:pStyle w:val="ProcessBullet"/>
              <w:tabs>
                <w:tab w:val="left" w:pos="216"/>
                <w:tab w:val="num" w:pos="720"/>
              </w:tabs>
            </w:pPr>
            <w:r w:rsidRPr="005D4222">
              <w:t xml:space="preserve">Base transfer reports </w:t>
            </w:r>
            <w:r w:rsidRPr="005D4222">
              <w:rPr>
                <w:i/>
                <w:iCs/>
              </w:rPr>
              <w:t>within</w:t>
            </w:r>
            <w:r w:rsidRPr="005D4222">
              <w:t xml:space="preserve"> an institution on the type and level of services provided. </w:t>
            </w:r>
          </w:p>
          <w:p w14:paraId="1799D393" w14:textId="77777777" w:rsidR="008468F6" w:rsidRPr="005D4222" w:rsidRDefault="008468F6" w:rsidP="008468F6">
            <w:pPr>
              <w:pStyle w:val="ProcessBullet"/>
              <w:tabs>
                <w:tab w:val="left" w:pos="216"/>
                <w:tab w:val="num" w:pos="720"/>
              </w:tabs>
            </w:pPr>
            <w:r w:rsidRPr="005D4222">
              <w:t xml:space="preserve">Report separate admissions when the transfer is between acute and nonacute levels of service or between mental health/chemical dependency services and non-mental health/chemical dependency services. </w:t>
            </w:r>
          </w:p>
          <w:p w14:paraId="03565DFC" w14:textId="77777777" w:rsidR="008468F6" w:rsidRPr="005D4222" w:rsidRDefault="008468F6" w:rsidP="008468F6">
            <w:pPr>
              <w:pStyle w:val="ProcessBullet"/>
              <w:tabs>
                <w:tab w:val="left" w:pos="216"/>
                <w:tab w:val="num" w:pos="720"/>
              </w:tabs>
              <w:spacing w:after="80"/>
            </w:pPr>
            <w:r w:rsidRPr="005D4222">
              <w:t>Count only one admission when the transfer takes place within the same service category, but to a different level of care (e.g., from intensive care to a lesser level of care; from a lesser level of care to intensive care).</w:t>
            </w:r>
          </w:p>
        </w:tc>
      </w:tr>
      <w:tr w:rsidR="008468F6" w:rsidRPr="005D4222" w14:paraId="0DD00631" w14:textId="77777777" w:rsidTr="00A53E8C">
        <w:trPr>
          <w:trHeight w:val="633"/>
        </w:trPr>
        <w:tc>
          <w:tcPr>
            <w:tcW w:w="21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07C0138" w14:textId="77777777" w:rsidR="008468F6" w:rsidRPr="005D4222" w:rsidRDefault="008468F6" w:rsidP="00A53E8C">
            <w:pPr>
              <w:pStyle w:val="MarginHead"/>
            </w:pPr>
          </w:p>
        </w:tc>
        <w:tc>
          <w:tcPr>
            <w:tcW w:w="7557"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047A273" w14:textId="77777777" w:rsidR="008468F6" w:rsidRPr="005D4222" w:rsidRDefault="008468F6" w:rsidP="00A53E8C">
            <w:pPr>
              <w:pStyle w:val="ECDSBody"/>
            </w:pPr>
            <w:r w:rsidRPr="005D4222">
              <w:rPr>
                <w:b/>
              </w:rPr>
              <w:t>Risk adjustment:</w:t>
            </w:r>
            <w:r w:rsidRPr="005D4222">
              <w:t xml:space="preserve"> Organizations may not use risk assessment protocols to supplement diagnoses for calculation of the risk adjustment scores for these measures. The measurement model was developed and tested using only claims-based diagnoses; diagnoses from additional data sources would affect the validity of the models as they are currently implemented in the specification. </w:t>
            </w:r>
          </w:p>
          <w:p w14:paraId="072FFF35" w14:textId="77777777" w:rsidR="008468F6" w:rsidRPr="005D4222" w:rsidRDefault="008468F6" w:rsidP="00A53E8C">
            <w:pPr>
              <w:pStyle w:val="ECDSBody"/>
              <w:rPr>
                <w:b/>
                <w:bCs w:val="0"/>
                <w:i/>
                <w:iCs/>
              </w:rPr>
            </w:pPr>
            <w:r w:rsidRPr="005D4222">
              <w:rPr>
                <w:b/>
                <w:bCs w:val="0"/>
                <w:i/>
                <w:iCs/>
              </w:rPr>
              <w:t>General Rules</w:t>
            </w:r>
          </w:p>
          <w:p w14:paraId="575E373F" w14:textId="4B1695F7" w:rsidR="008468F6" w:rsidRPr="005D4222" w:rsidRDefault="008468F6" w:rsidP="005D6173">
            <w:pPr>
              <w:pStyle w:val="ProcessBullet"/>
              <w:numPr>
                <w:ilvl w:val="0"/>
                <w:numId w:val="140"/>
              </w:numPr>
              <w:tabs>
                <w:tab w:val="left" w:pos="216"/>
              </w:tabs>
              <w:ind w:left="216" w:hanging="216"/>
            </w:pPr>
            <w:r w:rsidRPr="005D4222">
              <w:rPr>
                <w:b/>
                <w:bCs/>
              </w:rPr>
              <w:t xml:space="preserve">Data collection methodology: </w:t>
            </w:r>
            <w:r w:rsidRPr="005D4222">
              <w:t xml:space="preserve">Administrative. Refer to </w:t>
            </w:r>
            <w:hyperlink w:anchor="General_Guideline_Data_Collection_Method" w:history="1">
              <w:r w:rsidRPr="005D4222">
                <w:rPr>
                  <w:rStyle w:val="Hyperlink"/>
                  <w:i/>
                  <w:iCs/>
                </w:rPr>
                <w:t>General Guideline: Data Collection Methods</w:t>
              </w:r>
            </w:hyperlink>
            <w:r w:rsidRPr="005D4222">
              <w:rPr>
                <w:i/>
                <w:iCs/>
              </w:rPr>
              <w:t xml:space="preserve"> </w:t>
            </w:r>
            <w:r w:rsidRPr="005D4222">
              <w:t>for additional information.  </w:t>
            </w:r>
          </w:p>
          <w:p w14:paraId="547A3F0E" w14:textId="77777777" w:rsidR="008468F6" w:rsidRPr="005D4222" w:rsidRDefault="008468F6" w:rsidP="005D6173">
            <w:pPr>
              <w:pStyle w:val="ProcessBullet"/>
              <w:numPr>
                <w:ilvl w:val="0"/>
                <w:numId w:val="140"/>
              </w:numPr>
              <w:tabs>
                <w:tab w:val="left" w:pos="216"/>
              </w:tabs>
              <w:ind w:left="216" w:hanging="216"/>
            </w:pPr>
            <w:r w:rsidRPr="005D4222">
              <w:rPr>
                <w:b/>
                <w:bCs/>
              </w:rPr>
              <w:t>Date specificity:</w:t>
            </w:r>
            <w:r w:rsidRPr="005D4222">
              <w:t xml:space="preserve"> Dates must be specific enough to determine the event occurred in the period being measured. </w:t>
            </w:r>
          </w:p>
          <w:p w14:paraId="409ACDA5" w14:textId="01E79FB5" w:rsidR="008468F6" w:rsidRPr="005D4222" w:rsidRDefault="008468F6" w:rsidP="00D66A85">
            <w:pPr>
              <w:pStyle w:val="ECDSBody"/>
              <w:rPr>
                <w:b/>
                <w:i/>
                <w:iCs/>
              </w:rPr>
            </w:pPr>
            <w:r w:rsidRPr="005D4222">
              <w:rPr>
                <w:b/>
                <w:bCs w:val="0"/>
              </w:rPr>
              <w:t xml:space="preserve">Improvement </w:t>
            </w:r>
            <w:r w:rsidR="00D66A85" w:rsidRPr="005D4222">
              <w:rPr>
                <w:b/>
                <w:bCs w:val="0"/>
              </w:rPr>
              <w:t>n</w:t>
            </w:r>
            <w:r w:rsidRPr="005D4222">
              <w:rPr>
                <w:b/>
                <w:bCs w:val="0"/>
              </w:rPr>
              <w:t>otation</w:t>
            </w:r>
            <w:r w:rsidR="00D66A85" w:rsidRPr="005D4222">
              <w:rPr>
                <w:b/>
                <w:bCs w:val="0"/>
              </w:rPr>
              <w:t xml:space="preserve">: </w:t>
            </w:r>
            <w:r w:rsidRPr="005D4222">
              <w:t xml:space="preserve">To interpret the ratio as better or worse than expected, the ratio must be calibrated. Organizations can calibrate ratios by dividing individual organization ratios or national percentiles by the national average ratio. Organizations may be more successful at achieving fewer ED visits than expected, given the types of cases treated by the organization (calibrated </w:t>
            </w:r>
            <w:r w:rsidRPr="005D4222" w:rsidDel="00741FCA">
              <w:t xml:space="preserve">ratio </w:t>
            </w:r>
            <w:r w:rsidRPr="005D4222">
              <w:t>with a value &lt;1.0), or may be less successful (calibrated ratio with a value &gt;1.0).</w:t>
            </w:r>
          </w:p>
        </w:tc>
      </w:tr>
      <w:tr w:rsidR="008468F6" w:rsidRPr="005D4222" w14:paraId="50A1D787" w14:textId="77777777" w:rsidTr="00F06DCC">
        <w:tc>
          <w:tcPr>
            <w:tcW w:w="9714" w:type="dxa"/>
            <w:gridSpan w:val="4"/>
            <w:tcBorders>
              <w:top w:val="single" w:sz="4" w:space="0" w:color="auto"/>
              <w:bottom w:val="single" w:sz="4" w:space="0" w:color="auto"/>
            </w:tcBorders>
            <w:shd w:val="clear" w:color="auto" w:fill="BFBFBF" w:themeFill="background1" w:themeFillShade="BF"/>
            <w:tcMar>
              <w:top w:w="0" w:type="dxa"/>
              <w:left w:w="86" w:type="dxa"/>
              <w:bottom w:w="43" w:type="dxa"/>
              <w:right w:w="86" w:type="dxa"/>
            </w:tcMar>
          </w:tcPr>
          <w:p w14:paraId="008A31B7" w14:textId="77777777" w:rsidR="008468F6" w:rsidRPr="005D4222" w:rsidRDefault="008468F6" w:rsidP="00A53E8C">
            <w:pPr>
              <w:pStyle w:val="ECDSMarginHead"/>
            </w:pPr>
            <w:r w:rsidRPr="005D4222">
              <w:t>Definitions</w:t>
            </w:r>
          </w:p>
        </w:tc>
      </w:tr>
      <w:tr w:rsidR="008468F6" w:rsidRPr="005D4222" w14:paraId="06DB769C" w14:textId="77777777" w:rsidTr="00A53E8C">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6BD629A9" w14:textId="77777777" w:rsidR="008468F6" w:rsidRPr="005D4222" w:rsidRDefault="008468F6" w:rsidP="00CF50D7">
            <w:pPr>
              <w:pStyle w:val="ECDSSubhead"/>
            </w:pPr>
            <w:r w:rsidRPr="005D4222">
              <w:t>Basal insulin</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tcPr>
          <w:p w14:paraId="120938F9" w14:textId="77777777" w:rsidR="008468F6" w:rsidRPr="005D4222" w:rsidRDefault="008468F6" w:rsidP="00A53E8C">
            <w:pPr>
              <w:pStyle w:val="ECDSBody"/>
              <w:spacing w:after="0"/>
              <w:rPr>
                <w:shd w:val="clear" w:color="auto" w:fill="FFFFFF"/>
              </w:rPr>
            </w:pPr>
            <w:r w:rsidRPr="005D4222">
              <w:rPr>
                <w:shd w:val="clear" w:color="auto" w:fill="FFFFFF"/>
              </w:rPr>
              <w:t>Long-, intermediate-acting or mixed insulin types.</w:t>
            </w:r>
            <w:r w:rsidRPr="005D4222">
              <w:rPr>
                <w:color w:val="000000"/>
                <w:shd w:val="clear" w:color="auto" w:fill="FFFFFF"/>
              </w:rPr>
              <w:t> </w:t>
            </w:r>
          </w:p>
        </w:tc>
      </w:tr>
      <w:tr w:rsidR="008468F6" w:rsidRPr="005D4222" w14:paraId="68654773"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2C620375" w14:textId="77777777" w:rsidR="008468F6" w:rsidRPr="005D4222" w:rsidRDefault="008468F6" w:rsidP="00CF50D7">
            <w:pPr>
              <w:pStyle w:val="ECDSSubhead"/>
            </w:pPr>
            <w:r w:rsidRPr="005D4222">
              <w:t>Insulin</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472B6F9A" w14:textId="77777777" w:rsidR="008468F6" w:rsidRPr="005D4222" w:rsidRDefault="008468F6" w:rsidP="00A53E8C">
            <w:pPr>
              <w:pStyle w:val="ECDSBody"/>
              <w:spacing w:after="0"/>
              <w:rPr>
                <w:shd w:val="clear" w:color="auto" w:fill="FFFFFF"/>
              </w:rPr>
            </w:pPr>
            <w:r w:rsidRPr="005D4222">
              <w:rPr>
                <w:shd w:val="clear" w:color="auto" w:fill="FFFFFF"/>
              </w:rPr>
              <w:t>Any type of insulin, including basal insulin and short- or rapid-acting insulin types.</w:t>
            </w:r>
            <w:r w:rsidRPr="005D4222">
              <w:rPr>
                <w:color w:val="000000"/>
                <w:shd w:val="clear" w:color="auto" w:fill="FFFFFF"/>
              </w:rPr>
              <w:t> </w:t>
            </w:r>
          </w:p>
        </w:tc>
      </w:tr>
      <w:tr w:rsidR="008468F6" w:rsidRPr="005D4222" w14:paraId="71F76992"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1073052F" w14:textId="77777777" w:rsidR="008468F6" w:rsidRPr="005D4222" w:rsidRDefault="008468F6" w:rsidP="00CF50D7">
            <w:pPr>
              <w:pStyle w:val="ECDSSubhead"/>
            </w:pPr>
            <w:r w:rsidRPr="005D4222">
              <w:t>PPV</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279A9FF6" w14:textId="77777777" w:rsidR="008468F6" w:rsidRPr="005D4222" w:rsidRDefault="008468F6" w:rsidP="00A53E8C">
            <w:pPr>
              <w:pStyle w:val="ECDSBody"/>
              <w:spacing w:after="0"/>
            </w:pPr>
            <w:r w:rsidRPr="005D4222">
              <w:rPr>
                <w:shd w:val="clear" w:color="auto" w:fill="FFFFFF"/>
              </w:rPr>
              <w:t>Predicted probability of a visit. The predicted probability of an ED visit for hypoglycemia in the measurement period.</w:t>
            </w:r>
          </w:p>
        </w:tc>
      </w:tr>
      <w:tr w:rsidR="008468F6" w:rsidRPr="005D4222" w14:paraId="40FD799F"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3B99F1A3" w14:textId="77777777" w:rsidR="008468F6" w:rsidRPr="005D4222" w:rsidRDefault="008468F6" w:rsidP="00CF50D7">
            <w:pPr>
              <w:pStyle w:val="ECDSSubhead"/>
            </w:pPr>
            <w:r w:rsidRPr="005D4222">
              <w:t>PUCV</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1BD7CDC3" w14:textId="77777777" w:rsidR="008468F6" w:rsidRPr="005D4222" w:rsidRDefault="008468F6" w:rsidP="00A53E8C">
            <w:pPr>
              <w:pStyle w:val="ECDSBody"/>
              <w:spacing w:after="0"/>
              <w:rPr>
                <w:shd w:val="clear" w:color="auto" w:fill="FFFFFF"/>
              </w:rPr>
            </w:pPr>
            <w:r w:rsidRPr="005D4222">
              <w:rPr>
                <w:shd w:val="clear" w:color="auto" w:fill="FFFFFF"/>
              </w:rPr>
              <w:t>Predicted unconditional count of visits. The pr</w:t>
            </w:r>
            <w:r w:rsidRPr="005D4222">
              <w:rPr>
                <w:color w:val="000000" w:themeColor="text1"/>
              </w:rPr>
              <w:t>edicted</w:t>
            </w:r>
            <w:r w:rsidRPr="005D4222">
              <w:rPr>
                <w:shd w:val="clear" w:color="auto" w:fill="FFFFFF"/>
              </w:rPr>
              <w:t xml:space="preserve"> unconditional count of ED visits for hypoglycemia during the measurement period.</w:t>
            </w:r>
          </w:p>
        </w:tc>
      </w:tr>
      <w:tr w:rsidR="008468F6" w:rsidRPr="005D4222" w14:paraId="3FB8F3B1" w14:textId="77777777" w:rsidTr="00A53E8C">
        <w:tc>
          <w:tcPr>
            <w:tcW w:w="215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572FA30D" w14:textId="77777777" w:rsidR="008468F6" w:rsidRPr="005D4222" w:rsidRDefault="008468F6" w:rsidP="00A53E8C">
            <w:pPr>
              <w:pStyle w:val="ECDSMarginHead"/>
            </w:pPr>
            <w:r w:rsidRPr="005D4222">
              <w:t>Initial population</w:t>
            </w:r>
          </w:p>
        </w:tc>
        <w:tc>
          <w:tcPr>
            <w:tcW w:w="7557"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98EFED7" w14:textId="77777777" w:rsidR="008468F6" w:rsidRPr="005D4222" w:rsidRDefault="008468F6" w:rsidP="00A53E8C">
            <w:pPr>
              <w:pStyle w:val="ECDSBody"/>
            </w:pPr>
            <w:r w:rsidRPr="005D4222">
              <w:rPr>
                <w:i/>
                <w:iCs/>
              </w:rPr>
              <w:t xml:space="preserve">Measure item count: </w:t>
            </w:r>
            <w:r w:rsidRPr="005D4222">
              <w:t>Person.</w:t>
            </w:r>
          </w:p>
          <w:p w14:paraId="5DD36521" w14:textId="77777777" w:rsidR="008468F6" w:rsidRPr="005D4222" w:rsidRDefault="008468F6" w:rsidP="00A53E8C">
            <w:pPr>
              <w:pStyle w:val="ECDSBody"/>
            </w:pPr>
            <w:r w:rsidRPr="005D4222">
              <w:rPr>
                <w:i/>
                <w:iCs/>
              </w:rPr>
              <w:t>Attribution basis:</w:t>
            </w:r>
            <w:r w:rsidRPr="005D4222">
              <w:t xml:space="preserve"> Enrollment.</w:t>
            </w:r>
          </w:p>
          <w:p w14:paraId="11DB99D4" w14:textId="77777777" w:rsidR="008468F6" w:rsidRPr="005D4222" w:rsidRDefault="008468F6" w:rsidP="008468F6">
            <w:pPr>
              <w:pStyle w:val="Bullet"/>
              <w:numPr>
                <w:ilvl w:val="0"/>
                <w:numId w:val="4"/>
              </w:numPr>
              <w:tabs>
                <w:tab w:val="left" w:pos="360"/>
                <w:tab w:val="left" w:pos="576"/>
              </w:tabs>
              <w:ind w:left="576" w:hanging="216"/>
            </w:pPr>
            <w:r w:rsidRPr="005D4222">
              <w:rPr>
                <w:bCs/>
                <w:i/>
                <w:iCs/>
              </w:rPr>
              <w:t>Benefits:</w:t>
            </w:r>
            <w:r w:rsidRPr="005D4222">
              <w:t xml:space="preserve"> Medical and pharmacy.</w:t>
            </w:r>
          </w:p>
          <w:p w14:paraId="30A910A4" w14:textId="77777777" w:rsidR="008468F6" w:rsidRPr="005D4222" w:rsidRDefault="008468F6" w:rsidP="008468F6">
            <w:pPr>
              <w:pStyle w:val="Bullet"/>
              <w:numPr>
                <w:ilvl w:val="0"/>
                <w:numId w:val="4"/>
              </w:numPr>
              <w:tabs>
                <w:tab w:val="left" w:pos="360"/>
                <w:tab w:val="left" w:pos="576"/>
              </w:tabs>
              <w:ind w:left="576" w:hanging="216"/>
            </w:pPr>
            <w:r w:rsidRPr="005D4222">
              <w:rPr>
                <w:bCs/>
                <w:i/>
                <w:iCs/>
              </w:rPr>
              <w:t>Continuous enrollment:</w:t>
            </w:r>
            <w:r w:rsidRPr="005D4222">
              <w:rPr>
                <w:bCs/>
              </w:rPr>
              <w:t xml:space="preserve"> </w:t>
            </w:r>
            <w:r w:rsidRPr="005D4222">
              <w:rPr>
                <w:rFonts w:cs="Arial"/>
                <w:color w:val="000000"/>
                <w:shd w:val="clear" w:color="auto" w:fill="FFFFFF"/>
              </w:rPr>
              <w:t>The measurement period and the year prior to the measurement period.</w:t>
            </w:r>
            <w:r w:rsidRPr="005D4222">
              <w:rPr>
                <w:rFonts w:cs="Arial"/>
                <w:color w:val="000000"/>
                <w:szCs w:val="21"/>
                <w:shd w:val="clear" w:color="auto" w:fill="FFFFFF"/>
              </w:rPr>
              <w:t xml:space="preserve"> </w:t>
            </w:r>
          </w:p>
          <w:p w14:paraId="60F02703" w14:textId="77777777" w:rsidR="008468F6" w:rsidRPr="005D4222" w:rsidRDefault="008468F6" w:rsidP="008468F6">
            <w:pPr>
              <w:pStyle w:val="Bullet"/>
              <w:numPr>
                <w:ilvl w:val="0"/>
                <w:numId w:val="4"/>
              </w:numPr>
              <w:tabs>
                <w:tab w:val="left" w:pos="360"/>
                <w:tab w:val="left" w:pos="576"/>
              </w:tabs>
              <w:ind w:left="576" w:hanging="216"/>
              <w:rPr>
                <w:i/>
                <w:iCs/>
              </w:rPr>
            </w:pPr>
            <w:r w:rsidRPr="005D4222">
              <w:rPr>
                <w:i/>
                <w:iCs/>
              </w:rPr>
              <w:t xml:space="preserve">Allowable gap: </w:t>
            </w:r>
            <w:r w:rsidRPr="005D4222">
              <w:t>No more than one gap of ≤45 days during each year of continuous enrollment. No gaps on the last day of the measurement period.</w:t>
            </w:r>
          </w:p>
          <w:p w14:paraId="78158A35" w14:textId="77777777" w:rsidR="008468F6" w:rsidRPr="005D4222" w:rsidRDefault="008468F6" w:rsidP="00A53E8C">
            <w:pPr>
              <w:pStyle w:val="ECDSBody"/>
              <w:rPr>
                <w:color w:val="000000"/>
                <w:shd w:val="clear" w:color="auto" w:fill="FFFFFF"/>
              </w:rPr>
            </w:pPr>
            <w:r w:rsidRPr="005D4222">
              <w:rPr>
                <w:i/>
                <w:iCs/>
              </w:rPr>
              <w:t>Ages:</w:t>
            </w:r>
            <w:r w:rsidRPr="005D4222">
              <w:t xml:space="preserve"> 67 years of age and older as of the last day of the </w:t>
            </w:r>
            <w:r w:rsidRPr="005D4222">
              <w:rPr>
                <w:color w:val="000000"/>
                <w:shd w:val="clear" w:color="auto" w:fill="FFFFFF"/>
              </w:rPr>
              <w:t>measurement period.</w:t>
            </w:r>
          </w:p>
          <w:p w14:paraId="6D641793" w14:textId="77777777" w:rsidR="008468F6" w:rsidRPr="005D4222" w:rsidRDefault="008468F6" w:rsidP="00A53E8C">
            <w:pPr>
              <w:pStyle w:val="ECDSBody"/>
              <w:rPr>
                <w:i/>
                <w:iCs/>
              </w:rPr>
            </w:pPr>
            <w:r w:rsidRPr="005D4222">
              <w:rPr>
                <w:i/>
                <w:iCs/>
              </w:rPr>
              <w:t xml:space="preserve">Gender/Sex criteria: </w:t>
            </w:r>
          </w:p>
          <w:p w14:paraId="33E95A37" w14:textId="77777777" w:rsidR="008468F6" w:rsidRPr="005D4222" w:rsidRDefault="008468F6" w:rsidP="008468F6">
            <w:pPr>
              <w:pStyle w:val="Bullet"/>
              <w:numPr>
                <w:ilvl w:val="0"/>
                <w:numId w:val="4"/>
              </w:numPr>
              <w:tabs>
                <w:tab w:val="left" w:pos="360"/>
                <w:tab w:val="left" w:pos="576"/>
              </w:tabs>
              <w:ind w:left="576" w:hanging="216"/>
              <w:rPr>
                <w:iCs/>
              </w:rPr>
            </w:pPr>
            <w:r w:rsidRPr="005D4222">
              <w:rPr>
                <w:iCs/>
              </w:rPr>
              <w:t>Administrative Gender of Female (AdministrativeGender code female).</w:t>
            </w:r>
          </w:p>
          <w:p w14:paraId="1A36B48B" w14:textId="77777777" w:rsidR="008468F6" w:rsidRPr="005D4222" w:rsidRDefault="008468F6" w:rsidP="008468F6">
            <w:pPr>
              <w:pStyle w:val="Bullet"/>
              <w:numPr>
                <w:ilvl w:val="0"/>
                <w:numId w:val="4"/>
              </w:numPr>
              <w:tabs>
                <w:tab w:val="left" w:pos="360"/>
                <w:tab w:val="left" w:pos="576"/>
              </w:tabs>
              <w:spacing w:after="80"/>
              <w:ind w:left="576" w:hanging="216"/>
            </w:pPr>
            <w:r w:rsidRPr="005D4222">
              <w:t>Administrative Gender</w:t>
            </w:r>
            <w:r w:rsidRPr="005D4222">
              <w:rPr>
                <w:iCs/>
              </w:rPr>
              <w:t xml:space="preserve"> of</w:t>
            </w:r>
            <w:r w:rsidRPr="005D4222">
              <w:t xml:space="preserve"> Male (AdministrativeGender code male).</w:t>
            </w:r>
          </w:p>
        </w:tc>
      </w:tr>
    </w:tbl>
    <w:p w14:paraId="356993CF" w14:textId="77777777" w:rsidR="008468F6" w:rsidRPr="005D4222" w:rsidRDefault="008468F6" w:rsidP="008468F6"/>
    <w:tbl>
      <w:tblPr>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8468F6" w:rsidRPr="005D4222" w14:paraId="303E2885" w14:textId="77777777" w:rsidTr="00A53E8C">
        <w:trPr>
          <w:trHeight w:val="4202"/>
        </w:trPr>
        <w:tc>
          <w:tcPr>
            <w:tcW w:w="215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2E58431E" w14:textId="77777777" w:rsidR="008468F6" w:rsidRPr="005D4222" w:rsidRDefault="008468F6" w:rsidP="00A53E8C">
            <w:pPr>
              <w:pStyle w:val="ECDSMarginHead"/>
              <w:rPr>
                <w:sz w:val="21"/>
              </w:rPr>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B196E7F" w14:textId="77777777" w:rsidR="00550899" w:rsidRPr="005D4222" w:rsidRDefault="008468F6" w:rsidP="00CF50D7">
            <w:pPr>
              <w:pStyle w:val="Body"/>
              <w:spacing w:before="120"/>
              <w:rPr>
                <w:rFonts w:eastAsia="Arial,Arial,Arial,Arial,Arial,A"/>
                <w:b/>
                <w:bCs/>
              </w:rPr>
            </w:pPr>
            <w:r w:rsidRPr="005D4222">
              <w:rPr>
                <w:i/>
                <w:iCs/>
                <w:szCs w:val="21"/>
              </w:rPr>
              <w:t xml:space="preserve">Exclusions: </w:t>
            </w:r>
            <w:r w:rsidRPr="005D4222" w:rsidDel="002D4AA7">
              <w:rPr>
                <w:rFonts w:eastAsia="Arial,Arial,Arial,Arial,Arial,A"/>
                <w:b/>
                <w:bCs/>
              </w:rPr>
              <w:t xml:space="preserve">Persons </w:t>
            </w:r>
            <w:r w:rsidRPr="005D4222">
              <w:rPr>
                <w:rFonts w:eastAsia="Arial,Arial,Arial,Arial,Arial,A"/>
                <w:b/>
                <w:bCs/>
              </w:rPr>
              <w:t>in hospice or using hospice services.</w:t>
            </w:r>
          </w:p>
          <w:p w14:paraId="0B13A45A" w14:textId="3E5B2EA6" w:rsidR="008468F6" w:rsidRPr="005D4222" w:rsidRDefault="008468F6" w:rsidP="00CF50D7">
            <w:pPr>
              <w:pStyle w:val="Body"/>
              <w:spacing w:before="120"/>
              <w:rPr>
                <w:rFonts w:eastAsia="Arial,Arial,Arial,Arial,Arial,A"/>
              </w:rPr>
            </w:pP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0B94CAFE" w14:textId="77777777" w:rsidR="008468F6" w:rsidRPr="005D4222" w:rsidRDefault="008468F6" w:rsidP="00A53E8C">
            <w:pPr>
              <w:pStyle w:val="ECDSBody"/>
            </w:pPr>
            <w:r w:rsidRPr="005D4222">
              <w:rPr>
                <w:b/>
                <w:bCs w:val="0"/>
                <w:i/>
                <w:iCs/>
              </w:rPr>
              <w:t>Additional initial population criteria:</w:t>
            </w:r>
            <w:r w:rsidRPr="005D4222">
              <w:rPr>
                <w:b/>
                <w:bCs w:val="0"/>
              </w:rPr>
              <w:t xml:space="preserve"> Rate 1</w:t>
            </w:r>
            <w:r w:rsidRPr="005D4222">
              <w:rPr>
                <w:b/>
                <w:bCs w:val="0"/>
                <w:color w:val="000000" w:themeColor="text1"/>
              </w:rPr>
              <w:t>—All persons with diabetes.</w:t>
            </w:r>
            <w:r w:rsidRPr="005D4222">
              <w:rPr>
                <w:i/>
                <w:iCs/>
              </w:rPr>
              <w:t xml:space="preserve"> </w:t>
            </w:r>
            <w:r w:rsidRPr="005D4222">
              <w:t>Identify persons with a diagnosis of diabetes.</w:t>
            </w:r>
          </w:p>
          <w:p w14:paraId="663C31E3" w14:textId="77777777" w:rsidR="008468F6" w:rsidRPr="005D4222" w:rsidRDefault="008468F6" w:rsidP="00A53E8C">
            <w:pPr>
              <w:pStyle w:val="ECDSBody"/>
            </w:pPr>
            <w:r w:rsidRPr="005D4222">
              <w:t>Either of the following meets criteria:</w:t>
            </w:r>
          </w:p>
          <w:p w14:paraId="2E52B379" w14:textId="77777777" w:rsidR="008468F6" w:rsidRPr="005D4222" w:rsidRDefault="008468F6" w:rsidP="008468F6">
            <w:pPr>
              <w:pStyle w:val="Bullet"/>
              <w:numPr>
                <w:ilvl w:val="0"/>
                <w:numId w:val="4"/>
              </w:numPr>
              <w:tabs>
                <w:tab w:val="left" w:pos="360"/>
                <w:tab w:val="left" w:pos="576"/>
              </w:tabs>
              <w:ind w:left="576" w:hanging="216"/>
              <w:rPr>
                <w:szCs w:val="21"/>
              </w:rPr>
            </w:pPr>
            <w:r w:rsidRPr="005D4222">
              <w:rPr>
                <w:i/>
                <w:szCs w:val="21"/>
              </w:rPr>
              <w:t>Claim/encounter data.</w:t>
            </w:r>
            <w:r w:rsidRPr="005D4222">
              <w:rPr>
                <w:b/>
                <w:szCs w:val="21"/>
              </w:rPr>
              <w:t xml:space="preserve"> </w:t>
            </w:r>
            <w:r w:rsidRPr="005D4222">
              <w:rPr>
                <w:szCs w:val="21"/>
              </w:rPr>
              <w:t>At least two diagnoses of diabetes (</w:t>
            </w:r>
            <w:r w:rsidRPr="005D4222">
              <w:rPr>
                <w:szCs w:val="21"/>
                <w:u w:val="single"/>
              </w:rPr>
              <w:t>Diabetes Value Set</w:t>
            </w:r>
            <w:r w:rsidRPr="005D4222">
              <w:rPr>
                <w:szCs w:val="21"/>
              </w:rPr>
              <w:t xml:space="preserve">*) on different dates of service during the measurement period or the year prior to the measurement period.  </w:t>
            </w:r>
          </w:p>
          <w:p w14:paraId="35BBF2EA" w14:textId="77777777" w:rsidR="008468F6" w:rsidRPr="005D4222" w:rsidRDefault="008468F6" w:rsidP="008468F6">
            <w:pPr>
              <w:pStyle w:val="Bullet"/>
              <w:numPr>
                <w:ilvl w:val="0"/>
                <w:numId w:val="4"/>
              </w:numPr>
              <w:tabs>
                <w:tab w:val="left" w:pos="360"/>
                <w:tab w:val="left" w:pos="576"/>
              </w:tabs>
              <w:ind w:left="576" w:hanging="216"/>
              <w:rPr>
                <w:szCs w:val="21"/>
              </w:rPr>
            </w:pPr>
            <w:r w:rsidRPr="005D4222">
              <w:rPr>
                <w:i/>
                <w:szCs w:val="21"/>
              </w:rPr>
              <w:t>Pharmacy data.</w:t>
            </w:r>
            <w:r w:rsidRPr="005D4222">
              <w:rPr>
                <w:b/>
                <w:szCs w:val="21"/>
              </w:rPr>
              <w:t xml:space="preserve"> </w:t>
            </w:r>
            <w:r w:rsidRPr="005D4222">
              <w:rPr>
                <w:szCs w:val="21"/>
              </w:rPr>
              <w:t>At least one diagnosis of diabetes (</w:t>
            </w:r>
            <w:r w:rsidRPr="005D4222">
              <w:rPr>
                <w:szCs w:val="21"/>
                <w:u w:val="single"/>
              </w:rPr>
              <w:t>Diabetes Value Set</w:t>
            </w:r>
            <w:r w:rsidRPr="005D4222">
              <w:rPr>
                <w:szCs w:val="21"/>
              </w:rPr>
              <w:t xml:space="preserve">*) </w:t>
            </w:r>
            <w:r w:rsidRPr="005D4222">
              <w:rPr>
                <w:b/>
                <w:i/>
                <w:szCs w:val="21"/>
              </w:rPr>
              <w:t xml:space="preserve">and </w:t>
            </w:r>
            <w:r w:rsidRPr="005D4222">
              <w:rPr>
                <w:szCs w:val="21"/>
              </w:rPr>
              <w:t>at least one diabetes medication dispensing event of insulin or a hypoglycemic/antihyperglycemic medication (</w:t>
            </w:r>
            <w:r w:rsidRPr="005D4222">
              <w:rPr>
                <w:szCs w:val="21"/>
                <w:u w:val="single"/>
              </w:rPr>
              <w:t>Diabetes Medications List</w:t>
            </w:r>
            <w:r w:rsidRPr="005D4222">
              <w:rPr>
                <w:szCs w:val="21"/>
              </w:rPr>
              <w:t xml:space="preserve">) during the measurement period or the year prior to the measurement period.  </w:t>
            </w:r>
          </w:p>
          <w:p w14:paraId="0662B934" w14:textId="77777777" w:rsidR="008468F6" w:rsidRPr="005D4222" w:rsidRDefault="008468F6" w:rsidP="00A53E8C">
            <w:pPr>
              <w:pStyle w:val="ECDSBody"/>
            </w:pPr>
            <w:r w:rsidRPr="005D4222">
              <w:rPr>
                <w:b/>
                <w:bCs w:val="0"/>
                <w:i/>
                <w:iCs/>
              </w:rPr>
              <w:t>Additional initial population criteria:</w:t>
            </w:r>
            <w:r w:rsidRPr="005D4222">
              <w:rPr>
                <w:b/>
                <w:bCs w:val="0"/>
              </w:rPr>
              <w:t xml:space="preserve"> Rate 2—Persons receiving insulin.</w:t>
            </w:r>
            <w:r w:rsidRPr="005D4222">
              <w:rPr>
                <w:b/>
                <w:bCs w:val="0"/>
              </w:rPr>
              <w:br/>
            </w:r>
            <w:r w:rsidRPr="005D4222">
              <w:t>All persons meeting initial population criteria for rate 1 who received insulin. Identify persons in the initial population who received at least 1 dispensing event of insulin (</w:t>
            </w:r>
            <w:r w:rsidRPr="005D4222">
              <w:rPr>
                <w:u w:val="single"/>
              </w:rPr>
              <w:t>Insulin Medications List</w:t>
            </w:r>
            <w:r w:rsidRPr="005D4222">
              <w:t xml:space="preserve">) within each of the three treatment periods: </w:t>
            </w:r>
          </w:p>
          <w:p w14:paraId="1467AA3A" w14:textId="77777777" w:rsidR="008468F6" w:rsidRPr="005D4222" w:rsidRDefault="008468F6" w:rsidP="008468F6">
            <w:pPr>
              <w:pStyle w:val="Bullet"/>
              <w:numPr>
                <w:ilvl w:val="0"/>
                <w:numId w:val="4"/>
              </w:numPr>
              <w:tabs>
                <w:tab w:val="left" w:pos="360"/>
                <w:tab w:val="left" w:pos="576"/>
              </w:tabs>
              <w:ind w:left="576" w:hanging="216"/>
              <w:rPr>
                <w:szCs w:val="21"/>
              </w:rPr>
            </w:pPr>
            <w:r w:rsidRPr="005D4222">
              <w:rPr>
                <w:i/>
                <w:szCs w:val="21"/>
              </w:rPr>
              <w:t xml:space="preserve">Treatment period 1: </w:t>
            </w:r>
            <w:r w:rsidRPr="005D4222">
              <w:rPr>
                <w:szCs w:val="21"/>
              </w:rPr>
              <w:t xml:space="preserve">July 1–December 31 of the year prior to the measurement period. </w:t>
            </w:r>
          </w:p>
          <w:p w14:paraId="67FA3E99" w14:textId="77777777" w:rsidR="008468F6" w:rsidRPr="005D4222" w:rsidRDefault="008468F6" w:rsidP="008468F6">
            <w:pPr>
              <w:pStyle w:val="Bullet"/>
              <w:numPr>
                <w:ilvl w:val="0"/>
                <w:numId w:val="4"/>
              </w:numPr>
              <w:tabs>
                <w:tab w:val="left" w:pos="360"/>
                <w:tab w:val="left" w:pos="576"/>
              </w:tabs>
              <w:ind w:left="576" w:hanging="216"/>
              <w:rPr>
                <w:szCs w:val="21"/>
              </w:rPr>
            </w:pPr>
            <w:r w:rsidRPr="005D4222">
              <w:rPr>
                <w:i/>
                <w:szCs w:val="21"/>
              </w:rPr>
              <w:t xml:space="preserve">Treatment period 2: </w:t>
            </w:r>
            <w:r w:rsidRPr="005D4222">
              <w:rPr>
                <w:szCs w:val="21"/>
              </w:rPr>
              <w:t xml:space="preserve">January 1–June 30 of the measurement period. </w:t>
            </w:r>
          </w:p>
          <w:p w14:paraId="06405105" w14:textId="77777777" w:rsidR="008468F6" w:rsidRPr="005D4222" w:rsidRDefault="008468F6" w:rsidP="008468F6">
            <w:pPr>
              <w:pStyle w:val="Bullet"/>
              <w:numPr>
                <w:ilvl w:val="0"/>
                <w:numId w:val="4"/>
              </w:numPr>
              <w:tabs>
                <w:tab w:val="left" w:pos="360"/>
                <w:tab w:val="left" w:pos="576"/>
              </w:tabs>
              <w:ind w:left="576" w:hanging="216"/>
              <w:rPr>
                <w:i/>
                <w:szCs w:val="21"/>
              </w:rPr>
            </w:pPr>
            <w:r w:rsidRPr="005D4222">
              <w:rPr>
                <w:i/>
                <w:szCs w:val="21"/>
              </w:rPr>
              <w:t>Treatment period 3:</w:t>
            </w:r>
            <w:r w:rsidRPr="005D4222">
              <w:rPr>
                <w:szCs w:val="21"/>
              </w:rPr>
              <w:t xml:space="preserve"> July 1–December 31 of the measurement period.</w:t>
            </w:r>
          </w:p>
          <w:p w14:paraId="6C70F3B2" w14:textId="77777777" w:rsidR="008468F6" w:rsidRPr="005D4222" w:rsidRDefault="008468F6" w:rsidP="00A53E8C">
            <w:pPr>
              <w:pStyle w:val="ECDSBody"/>
              <w:spacing w:after="0"/>
              <w:rPr>
                <w:b/>
                <w:bCs w:val="0"/>
              </w:rPr>
            </w:pPr>
            <w:r w:rsidRPr="005D4222">
              <w:rPr>
                <w:b/>
                <w:bCs w:val="0"/>
              </w:rPr>
              <w:t>Coding Guidance</w:t>
            </w:r>
          </w:p>
          <w:p w14:paraId="4441ED6C" w14:textId="77777777" w:rsidR="008468F6" w:rsidRPr="005D4222" w:rsidRDefault="008468F6" w:rsidP="00A53E8C">
            <w:pPr>
              <w:pStyle w:val="ECDSBody"/>
              <w:spacing w:before="0"/>
              <w:rPr>
                <w:rFonts w:eastAsia="Arial,Arial,Arial,Arial,Arial,A"/>
              </w:rPr>
            </w:pPr>
            <w:r w:rsidRPr="005D4222">
              <w:rPr>
                <w:rFonts w:eastAsia="Arial,Arial,Arial,Arial,Arial,A"/>
              </w:rPr>
              <w:t>*Do not include laboratory claims (claims with POS code 81).</w:t>
            </w:r>
          </w:p>
        </w:tc>
      </w:tr>
      <w:tr w:rsidR="006439AD" w:rsidRPr="005D4222" w14:paraId="13F2FBAC" w14:textId="77777777" w:rsidTr="007B5FC3">
        <w:trPr>
          <w:trHeight w:val="4155"/>
        </w:trPr>
        <w:tc>
          <w:tcPr>
            <w:tcW w:w="2157" w:type="dxa"/>
            <w:tcBorders>
              <w:top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5BA53973" w14:textId="154D1111" w:rsidR="008468F6" w:rsidRPr="005D4222" w:rsidRDefault="008468F6" w:rsidP="00A53E8C">
            <w:pPr>
              <w:pStyle w:val="ECDSMarginHead"/>
            </w:pPr>
            <w:r w:rsidRPr="005D4222">
              <w:t>Measure observation</w:t>
            </w:r>
          </w:p>
        </w:tc>
        <w:tc>
          <w:tcPr>
            <w:tcW w:w="7557" w:type="dxa"/>
            <w:tcBorders>
              <w:top w:val="single" w:sz="4" w:space="0" w:color="auto"/>
              <w:left w:val="single" w:sz="4" w:space="0" w:color="auto"/>
            </w:tcBorders>
            <w:tcMar>
              <w:left w:w="86" w:type="dxa"/>
              <w:bottom w:w="43" w:type="dxa"/>
              <w:right w:w="86" w:type="dxa"/>
            </w:tcMar>
          </w:tcPr>
          <w:p w14:paraId="6C99E763" w14:textId="77777777" w:rsidR="008468F6" w:rsidRPr="005D4222" w:rsidRDefault="008468F6" w:rsidP="00A53E8C">
            <w:pPr>
              <w:pStyle w:val="ECDSBody"/>
              <w:rPr>
                <w:b/>
                <w:bCs w:val="0"/>
                <w:i/>
                <w:iCs/>
              </w:rPr>
            </w:pPr>
            <w:r w:rsidRPr="005D4222">
              <w:rPr>
                <w:b/>
                <w:bCs w:val="0"/>
                <w:i/>
                <w:iCs/>
              </w:rPr>
              <w:t>Calculation of Observed Events</w:t>
            </w:r>
          </w:p>
          <w:p w14:paraId="674EAF68" w14:textId="77777777" w:rsidR="008468F6" w:rsidRPr="005D4222" w:rsidRDefault="008468F6" w:rsidP="00A53E8C">
            <w:pPr>
              <w:pStyle w:val="ECDSBody"/>
              <w:rPr>
                <w:color w:val="000000"/>
                <w:shd w:val="clear" w:color="auto" w:fill="FFFFFF"/>
              </w:rPr>
            </w:pPr>
            <w:r w:rsidRPr="005D4222">
              <w:rPr>
                <w:rFonts w:eastAsia="Arial,Arial,Arial,Arial,Arial,A"/>
              </w:rPr>
              <w:t xml:space="preserve">Calculate observed events for persons in initial population 1 </w:t>
            </w:r>
            <w:r w:rsidRPr="005D4222">
              <w:rPr>
                <w:rFonts w:eastAsia="Arial,Arial,Arial,Arial,Arial,A"/>
                <w:b/>
                <w:i/>
              </w:rPr>
              <w:t>and</w:t>
            </w:r>
            <w:r w:rsidRPr="005D4222">
              <w:rPr>
                <w:rFonts w:eastAsia="Arial,Arial,Arial,Arial,Arial,A"/>
              </w:rPr>
              <w:t xml:space="preserve"> initial population 2.</w:t>
            </w:r>
            <w:r w:rsidRPr="005D4222">
              <w:rPr>
                <w:color w:val="000000"/>
                <w:shd w:val="clear" w:color="auto" w:fill="FFFFFF"/>
              </w:rPr>
              <w:t xml:space="preserve"> </w:t>
            </w:r>
          </w:p>
          <w:p w14:paraId="50AC1F18" w14:textId="77777777" w:rsidR="008468F6" w:rsidRPr="005D4222" w:rsidRDefault="008468F6" w:rsidP="00A53E8C">
            <w:pPr>
              <w:pStyle w:val="ECDSBody"/>
            </w:pPr>
            <w:r w:rsidRPr="005D4222">
              <w:rPr>
                <w:rFonts w:eastAsia="Arial,Arial,Arial,Arial,Arial,A"/>
                <w:b/>
              </w:rPr>
              <w:t>Step 1.</w:t>
            </w:r>
            <w:r w:rsidRPr="005D4222">
              <w:rPr>
                <w:rFonts w:eastAsia="Arial,Arial,Arial,Arial,Arial,A"/>
              </w:rPr>
              <w:t xml:space="preserve"> </w:t>
            </w:r>
            <w:r w:rsidRPr="005D4222">
              <w:t xml:space="preserve">Count each visit to an ED for hypoglycemia once, regardless of the intensity or duration of the visit. Count multiple ED visits for hypoglycemia on the same date of service as one visit. Identify all ED visits for hypoglycemia during the measurement period using: </w:t>
            </w:r>
          </w:p>
          <w:p w14:paraId="7631AE49" w14:textId="77777777" w:rsidR="008468F6" w:rsidRPr="005D4222" w:rsidRDefault="008468F6" w:rsidP="008468F6">
            <w:pPr>
              <w:pStyle w:val="Bullet"/>
              <w:numPr>
                <w:ilvl w:val="0"/>
                <w:numId w:val="4"/>
              </w:numPr>
              <w:tabs>
                <w:tab w:val="left" w:pos="360"/>
                <w:tab w:val="left" w:pos="576"/>
              </w:tabs>
              <w:spacing w:after="80"/>
              <w:ind w:left="576" w:hanging="216"/>
              <w:rPr>
                <w:rFonts w:cs="Arial"/>
                <w:szCs w:val="21"/>
              </w:rPr>
            </w:pPr>
            <w:r w:rsidRPr="005D4222">
              <w:t>An ED visit (</w:t>
            </w:r>
            <w:r w:rsidRPr="005D4222">
              <w:rPr>
                <w:u w:val="single"/>
              </w:rPr>
              <w:t>ED Value Set</w:t>
            </w:r>
            <w:r w:rsidRPr="005D4222">
              <w:t xml:space="preserve">) </w:t>
            </w:r>
            <w:r w:rsidRPr="005D4222">
              <w:rPr>
                <w:b/>
                <w:bCs/>
                <w:i/>
                <w:iCs/>
              </w:rPr>
              <w:t>with</w:t>
            </w:r>
            <w:r w:rsidRPr="005D4222">
              <w:t xml:space="preserve"> a diagnosis of hypoglycemia (</w:t>
            </w:r>
            <w:r w:rsidRPr="005D4222">
              <w:rPr>
                <w:u w:val="single"/>
              </w:rPr>
              <w:t>Hypoglycemia Value Set</w:t>
            </w:r>
            <w:r w:rsidRPr="005D4222">
              <w:t>).</w:t>
            </w:r>
          </w:p>
          <w:p w14:paraId="6AF82D2A" w14:textId="77777777" w:rsidR="008468F6" w:rsidRPr="005D4222" w:rsidRDefault="008468F6" w:rsidP="00A53E8C">
            <w:pPr>
              <w:pStyle w:val="ECDSBody"/>
              <w:rPr>
                <w:shd w:val="clear" w:color="auto" w:fill="FFFFFF"/>
              </w:rPr>
            </w:pPr>
            <w:r w:rsidRPr="005D4222">
              <w:rPr>
                <w:b/>
              </w:rPr>
              <w:t xml:space="preserve">Step 2. </w:t>
            </w:r>
            <w:r w:rsidRPr="005D4222">
              <w:t xml:space="preserve">Calculate the number of visits per person. </w:t>
            </w:r>
            <w:r w:rsidRPr="005D4222">
              <w:rPr>
                <w:shd w:val="clear" w:color="auto" w:fill="FFFFFF"/>
              </w:rPr>
              <w:t>For persons with more than one visit, retain only the first five. Do not report visits beyond the first five.</w:t>
            </w:r>
          </w:p>
          <w:p w14:paraId="4DE98DD5" w14:textId="77777777" w:rsidR="008468F6" w:rsidRPr="005D4222" w:rsidRDefault="008468F6" w:rsidP="00A53E8C">
            <w:pPr>
              <w:pStyle w:val="ECDSBody"/>
            </w:pPr>
            <w:r w:rsidRPr="005D4222">
              <w:rPr>
                <w:b/>
                <w:shd w:val="clear" w:color="auto" w:fill="FFFFFF"/>
              </w:rPr>
              <w:t>Step 3.</w:t>
            </w:r>
            <w:r w:rsidRPr="005D4222">
              <w:rPr>
                <w:shd w:val="clear" w:color="auto" w:fill="FFFFFF"/>
              </w:rPr>
              <w:t xml:space="preserve"> Calculate the total using all ED visits identified after completing steps 1–2. Assign each remaining ED visit to a stratification category using the reporting instructions.</w:t>
            </w:r>
          </w:p>
        </w:tc>
      </w:tr>
    </w:tbl>
    <w:p w14:paraId="03BB6E90" w14:textId="77777777" w:rsidR="008468F6" w:rsidRPr="005D4222" w:rsidRDefault="008468F6" w:rsidP="008468F6">
      <w:pPr>
        <w:spacing w:after="160" w:line="259" w:lineRule="auto"/>
      </w:pPr>
      <w:r w:rsidRPr="005D4222">
        <w:br w:type="page"/>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8468F6" w:rsidRPr="005D4222" w14:paraId="6C5B347D" w14:textId="77777777" w:rsidTr="007B5FC3">
        <w:tc>
          <w:tcPr>
            <w:tcW w:w="2157" w:type="dxa"/>
            <w:tcBorders>
              <w:top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488D4BE0" w14:textId="77777777" w:rsidR="008468F6" w:rsidRPr="005D4222" w:rsidRDefault="008468F6" w:rsidP="00A53E8C">
            <w:pPr>
              <w:pStyle w:val="ECDSMarginHead"/>
            </w:pPr>
            <w:r w:rsidRPr="005D4222">
              <w:lastRenderedPageBreak/>
              <w:t>Risk adjustment factors</w:t>
            </w:r>
          </w:p>
        </w:tc>
        <w:tc>
          <w:tcPr>
            <w:tcW w:w="7557" w:type="dxa"/>
            <w:tcBorders>
              <w:top w:val="single" w:sz="4" w:space="0" w:color="auto"/>
              <w:left w:val="single" w:sz="4" w:space="0" w:color="auto"/>
              <w:bottom w:val="single" w:sz="4" w:space="0" w:color="auto"/>
            </w:tcBorders>
            <w:tcMar>
              <w:left w:w="86" w:type="dxa"/>
              <w:bottom w:w="43" w:type="dxa"/>
              <w:right w:w="86" w:type="dxa"/>
            </w:tcMar>
          </w:tcPr>
          <w:p w14:paraId="6FA4A7BD" w14:textId="77777777" w:rsidR="008468F6" w:rsidRPr="005D4222" w:rsidRDefault="008468F6" w:rsidP="00A53E8C">
            <w:pPr>
              <w:pStyle w:val="ECDSBody"/>
              <w:rPr>
                <w:b/>
                <w:bCs w:val="0"/>
                <w:i/>
                <w:iCs/>
              </w:rPr>
            </w:pPr>
            <w:r w:rsidRPr="005D4222">
              <w:rPr>
                <w:b/>
                <w:bCs w:val="0"/>
                <w:i/>
                <w:iCs/>
              </w:rPr>
              <w:t>Risk Adjustment Determination</w:t>
            </w:r>
          </w:p>
          <w:p w14:paraId="1AC3F5EC" w14:textId="77777777" w:rsidR="008468F6" w:rsidRPr="005D4222" w:rsidRDefault="008468F6" w:rsidP="00A53E8C">
            <w:pPr>
              <w:pStyle w:val="ECDSBody"/>
            </w:pPr>
            <w:r w:rsidRPr="005D4222">
              <w:t>For each person, identify risk adjustment weights based on receipt of basal insulin, comorbidity, age and gender. Refer to the reporting indicator column in the risk adjustment tables to ensure that weights are linked appropriately.</w:t>
            </w:r>
          </w:p>
          <w:p w14:paraId="6ABE26BD" w14:textId="77777777" w:rsidR="008468F6" w:rsidRPr="005D4222" w:rsidRDefault="008468F6" w:rsidP="00A53E8C">
            <w:pPr>
              <w:pStyle w:val="ECDSBody"/>
              <w:spacing w:before="180"/>
              <w:rPr>
                <w:rFonts w:eastAsia="PMingLiU"/>
              </w:rPr>
            </w:pPr>
            <w:r w:rsidRPr="005D4222">
              <w:rPr>
                <w:b/>
              </w:rPr>
              <w:t xml:space="preserve">Basal insulin: </w:t>
            </w:r>
            <w:r w:rsidRPr="005D4222">
              <w:rPr>
                <w:b/>
              </w:rPr>
              <w:br/>
            </w:r>
            <w:r w:rsidRPr="005D4222">
              <w:t>Determine if the person received at least one dispensing event of basal insulin (</w:t>
            </w:r>
            <w:r w:rsidRPr="005D4222">
              <w:rPr>
                <w:u w:val="single"/>
              </w:rPr>
              <w:t>Basal Insulin Medications List</w:t>
            </w:r>
            <w:r w:rsidRPr="005D4222">
              <w:t>)</w:t>
            </w:r>
            <w:r w:rsidRPr="005D4222">
              <w:rPr>
                <w:rFonts w:eastAsia="PMingLiU"/>
              </w:rPr>
              <w:t xml:space="preserve"> within each of </w:t>
            </w:r>
            <w:r w:rsidRPr="005D4222">
              <w:rPr>
                <w:rStyle w:val="cf01"/>
                <w:szCs w:val="21"/>
              </w:rPr>
              <w:t>the three treatment periods:</w:t>
            </w:r>
          </w:p>
          <w:p w14:paraId="1BE10FDB" w14:textId="77777777" w:rsidR="008468F6" w:rsidRPr="005D4222" w:rsidRDefault="008468F6" w:rsidP="008468F6">
            <w:pPr>
              <w:pStyle w:val="Bullet"/>
              <w:numPr>
                <w:ilvl w:val="0"/>
                <w:numId w:val="4"/>
              </w:numPr>
              <w:tabs>
                <w:tab w:val="left" w:pos="360"/>
                <w:tab w:val="left" w:pos="576"/>
              </w:tabs>
              <w:ind w:left="576" w:hanging="216"/>
            </w:pPr>
            <w:r w:rsidRPr="005D4222">
              <w:rPr>
                <w:i/>
                <w:iCs/>
              </w:rPr>
              <w:t>Treatment period 1:</w:t>
            </w:r>
            <w:r w:rsidRPr="005D4222">
              <w:t xml:space="preserve"> July 1–December 31 of the year prior to the measurement period.</w:t>
            </w:r>
          </w:p>
          <w:p w14:paraId="242A0D51" w14:textId="77777777" w:rsidR="008468F6" w:rsidRPr="005D4222" w:rsidRDefault="008468F6" w:rsidP="008468F6">
            <w:pPr>
              <w:pStyle w:val="Bullet"/>
              <w:numPr>
                <w:ilvl w:val="0"/>
                <w:numId w:val="4"/>
              </w:numPr>
              <w:tabs>
                <w:tab w:val="left" w:pos="360"/>
                <w:tab w:val="left" w:pos="576"/>
              </w:tabs>
              <w:ind w:left="576" w:hanging="216"/>
            </w:pPr>
            <w:r w:rsidRPr="005D4222">
              <w:rPr>
                <w:i/>
                <w:iCs/>
              </w:rPr>
              <w:t>Treatment period 2:</w:t>
            </w:r>
            <w:r w:rsidRPr="005D4222">
              <w:t xml:space="preserve"> January 1–June 30 of the measurement period.</w:t>
            </w:r>
          </w:p>
          <w:p w14:paraId="7C4D9E36" w14:textId="77777777" w:rsidR="008468F6" w:rsidRPr="005D4222" w:rsidRDefault="008468F6" w:rsidP="008468F6">
            <w:pPr>
              <w:pStyle w:val="Bullet"/>
              <w:numPr>
                <w:ilvl w:val="0"/>
                <w:numId w:val="4"/>
              </w:numPr>
              <w:tabs>
                <w:tab w:val="left" w:pos="360"/>
                <w:tab w:val="left" w:pos="576"/>
              </w:tabs>
              <w:ind w:left="576" w:hanging="216"/>
            </w:pPr>
            <w:r w:rsidRPr="005D4222">
              <w:rPr>
                <w:i/>
                <w:iCs/>
              </w:rPr>
              <w:t>Treatment period 3:</w:t>
            </w:r>
            <w:r w:rsidRPr="005D4222">
              <w:t xml:space="preserve"> July 1–December 31 of the measurement period.</w:t>
            </w:r>
          </w:p>
          <w:p w14:paraId="48BB69E3" w14:textId="77777777" w:rsidR="008468F6" w:rsidRPr="005D4222" w:rsidRDefault="008468F6" w:rsidP="00A53E8C">
            <w:pPr>
              <w:pStyle w:val="ECDSBody"/>
              <w:rPr>
                <w:b/>
                <w:bCs w:val="0"/>
                <w:iCs/>
              </w:rPr>
            </w:pPr>
            <w:r w:rsidRPr="005D4222">
              <w:rPr>
                <w:b/>
              </w:rPr>
              <w:t>Comorbidities:</w:t>
            </w:r>
          </w:p>
          <w:p w14:paraId="58DA156F" w14:textId="77777777" w:rsidR="008468F6" w:rsidRPr="005D4222" w:rsidRDefault="008468F6" w:rsidP="00A53E8C">
            <w:pPr>
              <w:pStyle w:val="ECDSBody"/>
            </w:pPr>
            <w:r w:rsidRPr="005D4222">
              <w:rPr>
                <w:b/>
              </w:rPr>
              <w:t xml:space="preserve">Step 1. </w:t>
            </w:r>
            <w:r w:rsidRPr="005D4222">
              <w:t xml:space="preserve">Identify all diagnoses for encounters during the year prior to the measurement period. Include the following when identifying encounters: </w:t>
            </w:r>
            <w:r w:rsidRPr="005D4222">
              <w:rPr>
                <w:b/>
              </w:rPr>
              <w:t xml:space="preserve"> </w:t>
            </w:r>
          </w:p>
          <w:p w14:paraId="417539B6" w14:textId="77777777" w:rsidR="008468F6" w:rsidRPr="005D4222" w:rsidRDefault="008468F6" w:rsidP="008468F6">
            <w:pPr>
              <w:pStyle w:val="Bullet"/>
              <w:numPr>
                <w:ilvl w:val="0"/>
                <w:numId w:val="4"/>
              </w:numPr>
              <w:tabs>
                <w:tab w:val="left" w:pos="360"/>
                <w:tab w:val="left" w:pos="576"/>
              </w:tabs>
              <w:ind w:left="576" w:hanging="216"/>
            </w:pPr>
            <w:r w:rsidRPr="005D4222">
              <w:t>Outpatient visits, ED visits, telephone visits, nonacute inpatient encounters and acute inpatient encounters (</w:t>
            </w:r>
            <w:r w:rsidRPr="005D4222">
              <w:rPr>
                <w:u w:val="single"/>
              </w:rPr>
              <w:t>Outpatient, ED, Telephone, Acute Inpatient and Nonacute Inpatient Value Set</w:t>
            </w:r>
            <w:r w:rsidRPr="005D4222">
              <w:t>) with a date of service during the year prior to the measurement period</w:t>
            </w:r>
            <w:r w:rsidRPr="005D4222">
              <w:rPr>
                <w:szCs w:val="21"/>
              </w:rPr>
              <w:t xml:space="preserve">. </w:t>
            </w:r>
          </w:p>
          <w:p w14:paraId="4933D4A8" w14:textId="77777777" w:rsidR="008468F6" w:rsidRPr="005D4222" w:rsidRDefault="008468F6" w:rsidP="008468F6">
            <w:pPr>
              <w:pStyle w:val="Bullet"/>
              <w:numPr>
                <w:ilvl w:val="0"/>
                <w:numId w:val="4"/>
              </w:numPr>
              <w:tabs>
                <w:tab w:val="left" w:pos="360"/>
                <w:tab w:val="left" w:pos="576"/>
              </w:tabs>
              <w:ind w:left="576" w:hanging="216"/>
            </w:pPr>
            <w:r w:rsidRPr="005D4222">
              <w:t>Acute and nonacute inpatient discharges (</w:t>
            </w:r>
            <w:r w:rsidRPr="005D4222">
              <w:rPr>
                <w:u w:val="single"/>
              </w:rPr>
              <w:t>Inpatient Stay Value Set</w:t>
            </w:r>
            <w:r w:rsidRPr="005D4222">
              <w:t>) with a discharge date during the year prior to the measurement period</w:t>
            </w:r>
            <w:r w:rsidRPr="005D4222">
              <w:rPr>
                <w:szCs w:val="21"/>
              </w:rPr>
              <w:t xml:space="preserve">. </w:t>
            </w:r>
          </w:p>
          <w:p w14:paraId="64720D31" w14:textId="77777777" w:rsidR="008468F6" w:rsidRPr="005D4222" w:rsidRDefault="008468F6" w:rsidP="00A53E8C">
            <w:pPr>
              <w:pStyle w:val="ECDSBody"/>
            </w:pPr>
            <w:r w:rsidRPr="005D4222">
              <w:rPr>
                <w:b/>
              </w:rPr>
              <w:t>Step 2.</w:t>
            </w:r>
            <w:r w:rsidRPr="005D4222">
              <w:t xml:space="preserve"> Assign each diagnosis to one or more comorbid Clinical Condition (CC) category using Table CC—Mapping in the Risk Adjustment Shared Tables.  If the code appears more than once in Table CC—Mapping, it is assigned to multiple CCs.</w:t>
            </w:r>
          </w:p>
          <w:p w14:paraId="0670FAAE" w14:textId="77777777" w:rsidR="008468F6" w:rsidRPr="005D4222" w:rsidRDefault="008468F6" w:rsidP="00A53E8C">
            <w:pPr>
              <w:pStyle w:val="ECDSBody"/>
              <w:rPr>
                <w:rFonts w:ascii="Segoe UI" w:hAnsi="Segoe UI" w:cs="Segoe UI"/>
                <w:sz w:val="18"/>
                <w:szCs w:val="18"/>
              </w:rPr>
            </w:pPr>
            <w:r w:rsidRPr="005D4222">
              <w:t xml:space="preserve">Exclude all diagnoses that cannot be assigned to a comorbid CC category. For persons with no qualifying diagnoses from face-to-face encounters, skip to </w:t>
            </w:r>
            <w:r w:rsidRPr="005D4222">
              <w:rPr>
                <w:i/>
                <w:iCs/>
              </w:rPr>
              <w:t>Risk adjustment calculation</w:t>
            </w:r>
            <w:r w:rsidRPr="005D4222">
              <w:t xml:space="preserve">. </w:t>
            </w:r>
          </w:p>
          <w:p w14:paraId="374D8B93" w14:textId="77777777" w:rsidR="008468F6" w:rsidRPr="005D4222" w:rsidRDefault="008468F6" w:rsidP="00A53E8C">
            <w:pPr>
              <w:pStyle w:val="ECDSBody"/>
            </w:pPr>
            <w:r w:rsidRPr="005D4222">
              <w:t>All digits must match exactly when mapping diagnosis codes to the comorbid CCs.</w:t>
            </w:r>
          </w:p>
          <w:p w14:paraId="34F0603E" w14:textId="77777777" w:rsidR="008468F6" w:rsidRPr="005D4222" w:rsidRDefault="008468F6" w:rsidP="00A53E8C">
            <w:pPr>
              <w:pStyle w:val="ECDSBody"/>
            </w:pPr>
            <w:r w:rsidRPr="005D4222">
              <w:rPr>
                <w:b/>
              </w:rPr>
              <w:t xml:space="preserve">Step 3. </w:t>
            </w:r>
            <w:r w:rsidRPr="005D4222">
              <w:t xml:space="preserve">Determine HCCs for each comorbid CC identified. Refer to Table HCC—Rank. </w:t>
            </w:r>
          </w:p>
          <w:p w14:paraId="04A8FC33" w14:textId="77777777" w:rsidR="008468F6" w:rsidRPr="005D4222" w:rsidRDefault="008468F6" w:rsidP="00A53E8C">
            <w:pPr>
              <w:pStyle w:val="ECDSBody"/>
            </w:pPr>
            <w:r w:rsidRPr="005D4222">
              <w:t xml:space="preserve">For each person’s comorbid CC list, match the comorbid CC code to the comorbid CC code in the table, and assign: </w:t>
            </w:r>
          </w:p>
          <w:p w14:paraId="61DFE38D" w14:textId="77777777" w:rsidR="008468F6" w:rsidRPr="005D4222" w:rsidRDefault="008468F6" w:rsidP="008468F6">
            <w:pPr>
              <w:pStyle w:val="Bullet"/>
              <w:numPr>
                <w:ilvl w:val="0"/>
                <w:numId w:val="4"/>
              </w:numPr>
              <w:tabs>
                <w:tab w:val="left" w:pos="360"/>
                <w:tab w:val="left" w:pos="576"/>
              </w:tabs>
              <w:ind w:left="576" w:hanging="216"/>
            </w:pPr>
            <w:r w:rsidRPr="005D4222">
              <w:t xml:space="preserve">The ranking group. </w:t>
            </w:r>
          </w:p>
          <w:p w14:paraId="65298CCF" w14:textId="77777777" w:rsidR="008468F6" w:rsidRPr="005D4222" w:rsidRDefault="008468F6" w:rsidP="008468F6">
            <w:pPr>
              <w:pStyle w:val="Bullet"/>
              <w:numPr>
                <w:ilvl w:val="0"/>
                <w:numId w:val="4"/>
              </w:numPr>
              <w:tabs>
                <w:tab w:val="left" w:pos="360"/>
                <w:tab w:val="left" w:pos="576"/>
              </w:tabs>
              <w:ind w:left="576" w:hanging="216"/>
            </w:pPr>
            <w:r w:rsidRPr="005D4222">
              <w:t xml:space="preserve">The rank. </w:t>
            </w:r>
          </w:p>
          <w:p w14:paraId="060BD352" w14:textId="77777777" w:rsidR="008468F6" w:rsidRPr="005D4222" w:rsidRDefault="008468F6" w:rsidP="008468F6">
            <w:pPr>
              <w:pStyle w:val="Bullet"/>
              <w:numPr>
                <w:ilvl w:val="0"/>
                <w:numId w:val="4"/>
              </w:numPr>
              <w:tabs>
                <w:tab w:val="left" w:pos="360"/>
                <w:tab w:val="left" w:pos="576"/>
              </w:tabs>
              <w:ind w:left="576" w:hanging="216"/>
              <w:rPr>
                <w:rFonts w:eastAsiaTheme="minorEastAsia" w:cs="Arial"/>
                <w:color w:val="000000"/>
                <w:sz w:val="20"/>
                <w:lang w:eastAsia="zh-CN"/>
              </w:rPr>
            </w:pPr>
            <w:r w:rsidRPr="005D4222">
              <w:t xml:space="preserve">The HCC. </w:t>
            </w:r>
          </w:p>
          <w:p w14:paraId="0EB69668" w14:textId="77777777" w:rsidR="008468F6" w:rsidRPr="005D4222" w:rsidRDefault="008468F6" w:rsidP="00A53E8C">
            <w:pPr>
              <w:pStyle w:val="ECDSBody"/>
            </w:pPr>
            <w:r w:rsidRPr="005D4222">
              <w:t xml:space="preserve">For comorbid CCs that do not match to Table HCC—Rank, use the comorbid CC as the HCC and assign a rank of 1. One comorbid CC can map to multiple HCCs; each HCC can have one or more comorbid CCs. </w:t>
            </w:r>
          </w:p>
          <w:p w14:paraId="0DB4CE4E" w14:textId="77777777" w:rsidR="008468F6" w:rsidRPr="005D4222" w:rsidRDefault="008468F6" w:rsidP="00A53E8C">
            <w:pPr>
              <w:pStyle w:val="ECDSBody"/>
              <w:rPr>
                <w:rFonts w:eastAsiaTheme="minorEastAsia"/>
                <w:lang w:eastAsia="zh-CN"/>
              </w:rPr>
            </w:pPr>
            <w:r w:rsidRPr="005D4222">
              <w:rPr>
                <w:b/>
              </w:rPr>
              <w:t xml:space="preserve">Step 4. </w:t>
            </w:r>
            <w:r w:rsidRPr="005D4222">
              <w:t>Assess each ranking group separately and select only the highest ranked HCC in each ranking group using the “Rank” column (1 is the highest rank possible). Drop all other HCCs in each ranking group, and de-duplicate the HCC list if necessary.</w:t>
            </w:r>
          </w:p>
        </w:tc>
      </w:tr>
      <w:tr w:rsidR="008468F6" w:rsidRPr="005D4222" w14:paraId="7A215941" w14:textId="77777777" w:rsidTr="007B5FC3">
        <w:tc>
          <w:tcPr>
            <w:tcW w:w="2157" w:type="dxa"/>
            <w:tcBorders>
              <w:top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01F99B6C" w14:textId="77777777" w:rsidR="008468F6" w:rsidRPr="005D4222" w:rsidRDefault="008468F6" w:rsidP="00A53E8C">
            <w:pPr>
              <w:pStyle w:val="ECDSMarginHead"/>
            </w:pPr>
          </w:p>
        </w:tc>
        <w:tc>
          <w:tcPr>
            <w:tcW w:w="7557" w:type="dxa"/>
            <w:tcBorders>
              <w:top w:val="single" w:sz="4" w:space="0" w:color="auto"/>
              <w:left w:val="single" w:sz="4" w:space="0" w:color="auto"/>
              <w:bottom w:val="single" w:sz="4" w:space="0" w:color="auto"/>
            </w:tcBorders>
            <w:tcMar>
              <w:left w:w="86" w:type="dxa"/>
              <w:bottom w:w="43" w:type="dxa"/>
              <w:right w:w="86" w:type="dxa"/>
            </w:tcMar>
          </w:tcPr>
          <w:p w14:paraId="5FCC2306" w14:textId="77777777" w:rsidR="008468F6" w:rsidRPr="005D4222" w:rsidRDefault="008468F6" w:rsidP="008468F6">
            <w:pPr>
              <w:pStyle w:val="Bullet"/>
              <w:numPr>
                <w:ilvl w:val="0"/>
                <w:numId w:val="4"/>
              </w:numPr>
              <w:tabs>
                <w:tab w:val="left" w:pos="360"/>
                <w:tab w:val="left" w:pos="576"/>
              </w:tabs>
              <w:ind w:left="576" w:hanging="216"/>
            </w:pPr>
            <w:r w:rsidRPr="005D4222">
              <w:rPr>
                <w:bCs/>
                <w:i/>
                <w:iCs/>
              </w:rPr>
              <w:t xml:space="preserve">For example, </w:t>
            </w:r>
            <w:r w:rsidRPr="005D4222">
              <w:t xml:space="preserve">assume a person with the following comorbid CCs: CC-85, CC-17 and CC-19 (assume no other CCs). </w:t>
            </w:r>
          </w:p>
          <w:p w14:paraId="35687E24" w14:textId="77777777" w:rsidR="008468F6" w:rsidRPr="005D4222" w:rsidRDefault="008468F6" w:rsidP="00A53E8C">
            <w:pPr>
              <w:pStyle w:val="Dash"/>
              <w:rPr>
                <w:rFonts w:eastAsiaTheme="minorEastAsia"/>
                <w:lang w:eastAsia="zh-CN"/>
              </w:rPr>
            </w:pPr>
            <w:r w:rsidRPr="005D4222">
              <w:t xml:space="preserve">CC-85 does not have a map to the ranking table and becomes </w:t>
            </w:r>
            <w:r w:rsidRPr="005D4222">
              <w:br/>
              <w:t>HCC-85.</w:t>
            </w:r>
          </w:p>
          <w:p w14:paraId="04BBF736" w14:textId="77777777" w:rsidR="008468F6" w:rsidRPr="005D4222" w:rsidRDefault="008468F6" w:rsidP="00A53E8C">
            <w:pPr>
              <w:pStyle w:val="Dash"/>
            </w:pPr>
            <w:r w:rsidRPr="005D4222">
              <w:t xml:space="preserve">HCC-17 and HCC-19 are part of Diabetes Ranking Group 1. Because CC-17 is ranked higher than CC-19 in Ranking Group Diabetes 1, the comorbidity is assigned as HCC-17 for Ranking Group 1. </w:t>
            </w:r>
          </w:p>
          <w:p w14:paraId="3A0774B6" w14:textId="77777777" w:rsidR="008468F6" w:rsidRPr="005D4222" w:rsidRDefault="008468F6" w:rsidP="00A53E8C">
            <w:pPr>
              <w:pStyle w:val="Body"/>
              <w:ind w:left="576"/>
            </w:pPr>
            <w:r w:rsidRPr="005D4222">
              <w:t>The final comorbidities for this person are HCC-17 and HCC-85.</w:t>
            </w:r>
          </w:p>
          <w:p w14:paraId="4B153665" w14:textId="77777777" w:rsidR="008468F6" w:rsidRPr="005D4222" w:rsidRDefault="008468F6" w:rsidP="00A53E8C">
            <w:pPr>
              <w:pStyle w:val="Heading3"/>
              <w:spacing w:before="120"/>
            </w:pPr>
            <w:r w:rsidRPr="005D4222">
              <w:t>Table HCC—Rank</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6"/>
              <w:gridCol w:w="884"/>
              <w:gridCol w:w="3296"/>
              <w:gridCol w:w="900"/>
              <w:gridCol w:w="989"/>
            </w:tblGrid>
            <w:tr w:rsidR="008468F6" w:rsidRPr="005D4222" w14:paraId="502D5783" w14:textId="77777777" w:rsidTr="00A53E8C">
              <w:trPr>
                <w:trHeight w:val="339"/>
              </w:trPr>
              <w:tc>
                <w:tcPr>
                  <w:tcW w:w="1306" w:type="dxa"/>
                  <w:tcBorders>
                    <w:right w:val="single" w:sz="6" w:space="0" w:color="FFFFFF" w:themeColor="background1"/>
                  </w:tcBorders>
                  <w:shd w:val="clear" w:color="auto" w:fill="000000" w:themeFill="text1"/>
                  <w:vAlign w:val="bottom"/>
                  <w:hideMark/>
                </w:tcPr>
                <w:p w14:paraId="07D49716" w14:textId="77777777" w:rsidR="008468F6" w:rsidRPr="005D4222" w:rsidRDefault="008468F6" w:rsidP="00A53E8C">
                  <w:pPr>
                    <w:pStyle w:val="TableHead"/>
                    <w:spacing w:before="40" w:after="40"/>
                    <w:rPr>
                      <w:color w:val="auto"/>
                    </w:rPr>
                  </w:pPr>
                  <w:r w:rsidRPr="005D4222">
                    <w:rPr>
                      <w:color w:val="auto"/>
                    </w:rPr>
                    <w:t>Ranking Group</w:t>
                  </w:r>
                </w:p>
              </w:tc>
              <w:tc>
                <w:tcPr>
                  <w:tcW w:w="884" w:type="dxa"/>
                  <w:tcBorders>
                    <w:left w:val="single" w:sz="6" w:space="0" w:color="FFFFFF" w:themeColor="background1"/>
                    <w:right w:val="single" w:sz="6" w:space="0" w:color="FFFFFF" w:themeColor="background1"/>
                  </w:tcBorders>
                  <w:shd w:val="clear" w:color="auto" w:fill="000000" w:themeFill="text1"/>
                  <w:vAlign w:val="bottom"/>
                  <w:hideMark/>
                </w:tcPr>
                <w:p w14:paraId="01B4EB08" w14:textId="77777777" w:rsidR="008468F6" w:rsidRPr="005D4222" w:rsidRDefault="008468F6" w:rsidP="00A53E8C">
                  <w:pPr>
                    <w:pStyle w:val="TableHead"/>
                    <w:spacing w:before="40" w:after="40"/>
                    <w:rPr>
                      <w:color w:val="auto"/>
                    </w:rPr>
                  </w:pPr>
                  <w:r w:rsidRPr="005D4222">
                    <w:rPr>
                      <w:color w:val="auto"/>
                    </w:rPr>
                    <w:t>CC</w:t>
                  </w:r>
                </w:p>
              </w:tc>
              <w:tc>
                <w:tcPr>
                  <w:tcW w:w="3296" w:type="dxa"/>
                  <w:tcBorders>
                    <w:left w:val="single" w:sz="6" w:space="0" w:color="FFFFFF" w:themeColor="background1"/>
                    <w:right w:val="single" w:sz="6" w:space="0" w:color="FFFFFF" w:themeColor="background1"/>
                  </w:tcBorders>
                  <w:shd w:val="clear" w:color="auto" w:fill="000000" w:themeFill="text1"/>
                  <w:vAlign w:val="bottom"/>
                  <w:hideMark/>
                </w:tcPr>
                <w:p w14:paraId="14A942B0" w14:textId="77777777" w:rsidR="008468F6" w:rsidRPr="005D4222" w:rsidRDefault="008468F6" w:rsidP="00A53E8C">
                  <w:pPr>
                    <w:pStyle w:val="TableHead"/>
                    <w:spacing w:before="40" w:after="40"/>
                    <w:rPr>
                      <w:color w:val="auto"/>
                    </w:rPr>
                  </w:pPr>
                  <w:r w:rsidRPr="005D4222">
                    <w:rPr>
                      <w:color w:val="auto"/>
                    </w:rPr>
                    <w:t>Description</w:t>
                  </w:r>
                </w:p>
              </w:tc>
              <w:tc>
                <w:tcPr>
                  <w:tcW w:w="900" w:type="dxa"/>
                  <w:tcBorders>
                    <w:left w:val="single" w:sz="6" w:space="0" w:color="FFFFFF" w:themeColor="background1"/>
                    <w:right w:val="single" w:sz="6" w:space="0" w:color="FFFFFF" w:themeColor="background1"/>
                  </w:tcBorders>
                  <w:shd w:val="clear" w:color="auto" w:fill="000000" w:themeFill="text1"/>
                  <w:vAlign w:val="bottom"/>
                  <w:hideMark/>
                </w:tcPr>
                <w:p w14:paraId="3C7016EF" w14:textId="77777777" w:rsidR="008468F6" w:rsidRPr="005D4222" w:rsidRDefault="008468F6" w:rsidP="00A53E8C">
                  <w:pPr>
                    <w:pStyle w:val="TableHead"/>
                    <w:spacing w:before="40" w:after="40"/>
                    <w:rPr>
                      <w:color w:val="auto"/>
                    </w:rPr>
                  </w:pPr>
                  <w:r w:rsidRPr="005D4222">
                    <w:rPr>
                      <w:color w:val="auto"/>
                    </w:rPr>
                    <w:t>Rank</w:t>
                  </w:r>
                </w:p>
              </w:tc>
              <w:tc>
                <w:tcPr>
                  <w:tcW w:w="989" w:type="dxa"/>
                  <w:tcBorders>
                    <w:left w:val="single" w:sz="6" w:space="0" w:color="FFFFFF" w:themeColor="background1"/>
                  </w:tcBorders>
                  <w:shd w:val="clear" w:color="auto" w:fill="000000" w:themeFill="text1"/>
                  <w:vAlign w:val="bottom"/>
                  <w:hideMark/>
                </w:tcPr>
                <w:p w14:paraId="332C93C2" w14:textId="77777777" w:rsidR="008468F6" w:rsidRPr="005D4222" w:rsidRDefault="008468F6" w:rsidP="00A53E8C">
                  <w:pPr>
                    <w:pStyle w:val="TableHead"/>
                    <w:spacing w:before="40" w:after="40"/>
                    <w:rPr>
                      <w:color w:val="auto"/>
                    </w:rPr>
                  </w:pPr>
                  <w:r w:rsidRPr="005D4222">
                    <w:rPr>
                      <w:color w:val="auto"/>
                    </w:rPr>
                    <w:t>HCC</w:t>
                  </w:r>
                </w:p>
              </w:tc>
            </w:tr>
            <w:tr w:rsidR="008468F6" w:rsidRPr="005D4222" w14:paraId="18DD5FA0" w14:textId="77777777" w:rsidTr="00A53E8C">
              <w:tc>
                <w:tcPr>
                  <w:tcW w:w="1306" w:type="dxa"/>
                  <w:tcBorders>
                    <w:bottom w:val="single" w:sz="4" w:space="0" w:color="000000" w:themeColor="text1"/>
                  </w:tcBorders>
                  <w:hideMark/>
                </w:tcPr>
                <w:p w14:paraId="768314DA" w14:textId="77777777" w:rsidR="008468F6" w:rsidRPr="005D4222" w:rsidRDefault="008468F6" w:rsidP="00A53E8C">
                  <w:pPr>
                    <w:pStyle w:val="TableText"/>
                  </w:pPr>
                  <w:r w:rsidRPr="005D4222">
                    <w:t>NA</w:t>
                  </w:r>
                </w:p>
              </w:tc>
              <w:tc>
                <w:tcPr>
                  <w:tcW w:w="884" w:type="dxa"/>
                  <w:tcBorders>
                    <w:bottom w:val="single" w:sz="4" w:space="0" w:color="000000" w:themeColor="text1"/>
                  </w:tcBorders>
                  <w:hideMark/>
                </w:tcPr>
                <w:p w14:paraId="1DC3EE5A" w14:textId="77777777" w:rsidR="008468F6" w:rsidRPr="005D4222" w:rsidRDefault="008468F6" w:rsidP="00A53E8C">
                  <w:pPr>
                    <w:pStyle w:val="TableText"/>
                    <w:jc w:val="center"/>
                  </w:pPr>
                  <w:r w:rsidRPr="005D4222">
                    <w:t>CC-85</w:t>
                  </w:r>
                </w:p>
              </w:tc>
              <w:tc>
                <w:tcPr>
                  <w:tcW w:w="3296" w:type="dxa"/>
                  <w:tcBorders>
                    <w:bottom w:val="single" w:sz="4" w:space="0" w:color="000000" w:themeColor="text1"/>
                  </w:tcBorders>
                  <w:hideMark/>
                </w:tcPr>
                <w:p w14:paraId="009BAF9E" w14:textId="77777777" w:rsidR="008468F6" w:rsidRPr="005D4222" w:rsidRDefault="008468F6" w:rsidP="00A53E8C">
                  <w:pPr>
                    <w:pStyle w:val="TableText"/>
                  </w:pPr>
                  <w:r w:rsidRPr="005D4222">
                    <w:t>Congestive Heart Failure</w:t>
                  </w:r>
                </w:p>
              </w:tc>
              <w:tc>
                <w:tcPr>
                  <w:tcW w:w="900" w:type="dxa"/>
                  <w:tcBorders>
                    <w:bottom w:val="single" w:sz="4" w:space="0" w:color="000000" w:themeColor="text1"/>
                  </w:tcBorders>
                  <w:hideMark/>
                </w:tcPr>
                <w:p w14:paraId="6FACE75C" w14:textId="77777777" w:rsidR="008468F6" w:rsidRPr="005D4222" w:rsidRDefault="008468F6" w:rsidP="00A53E8C">
                  <w:pPr>
                    <w:pStyle w:val="TableText"/>
                    <w:jc w:val="center"/>
                  </w:pPr>
                  <w:r w:rsidRPr="005D4222">
                    <w:t>NA</w:t>
                  </w:r>
                </w:p>
              </w:tc>
              <w:tc>
                <w:tcPr>
                  <w:tcW w:w="989" w:type="dxa"/>
                  <w:tcBorders>
                    <w:bottom w:val="single" w:sz="4" w:space="0" w:color="000000" w:themeColor="text1"/>
                  </w:tcBorders>
                  <w:hideMark/>
                </w:tcPr>
                <w:p w14:paraId="57349FA5" w14:textId="77777777" w:rsidR="008468F6" w:rsidRPr="005D4222" w:rsidRDefault="008468F6" w:rsidP="00A53E8C">
                  <w:pPr>
                    <w:pStyle w:val="TableText"/>
                    <w:jc w:val="center"/>
                  </w:pPr>
                  <w:r w:rsidRPr="005D4222">
                    <w:t>HCC-85</w:t>
                  </w:r>
                </w:p>
              </w:tc>
            </w:tr>
            <w:tr w:rsidR="008468F6" w:rsidRPr="005D4222" w14:paraId="24B7E435" w14:textId="77777777" w:rsidTr="00A53E8C">
              <w:tc>
                <w:tcPr>
                  <w:tcW w:w="1306" w:type="dxa"/>
                  <w:vMerge w:val="restart"/>
                  <w:shd w:val="clear" w:color="auto" w:fill="FFFFFF" w:themeFill="background1"/>
                  <w:vAlign w:val="center"/>
                  <w:hideMark/>
                </w:tcPr>
                <w:p w14:paraId="7FAA3910" w14:textId="77777777" w:rsidR="008468F6" w:rsidRPr="005D4222" w:rsidRDefault="008468F6" w:rsidP="00A53E8C">
                  <w:pPr>
                    <w:pStyle w:val="TableText"/>
                    <w:rPr>
                      <w:rFonts w:cs="Arial"/>
                    </w:rPr>
                  </w:pPr>
                  <w:r w:rsidRPr="005D4222">
                    <w:rPr>
                      <w:rFonts w:cs="Arial"/>
                    </w:rPr>
                    <w:t xml:space="preserve">Diabetes 1 </w:t>
                  </w:r>
                </w:p>
              </w:tc>
              <w:tc>
                <w:tcPr>
                  <w:tcW w:w="884" w:type="dxa"/>
                  <w:tcBorders>
                    <w:top w:val="single" w:sz="4" w:space="0" w:color="000000" w:themeColor="text1"/>
                    <w:bottom w:val="single" w:sz="4" w:space="0" w:color="808080" w:themeColor="background1" w:themeShade="80"/>
                  </w:tcBorders>
                  <w:shd w:val="clear" w:color="auto" w:fill="FFFFFF" w:themeFill="background1"/>
                  <w:hideMark/>
                </w:tcPr>
                <w:p w14:paraId="405C2701" w14:textId="77777777" w:rsidR="008468F6" w:rsidRPr="005D4222" w:rsidRDefault="008468F6" w:rsidP="00A53E8C">
                  <w:pPr>
                    <w:pStyle w:val="TableText"/>
                    <w:jc w:val="center"/>
                    <w:rPr>
                      <w:rFonts w:cs="Arial"/>
                    </w:rPr>
                  </w:pPr>
                  <w:r w:rsidRPr="005D4222">
                    <w:rPr>
                      <w:rFonts w:cs="Arial"/>
                    </w:rPr>
                    <w:t>CC-17</w:t>
                  </w:r>
                </w:p>
              </w:tc>
              <w:tc>
                <w:tcPr>
                  <w:tcW w:w="3296" w:type="dxa"/>
                  <w:tcBorders>
                    <w:top w:val="single" w:sz="4" w:space="0" w:color="000000" w:themeColor="text1"/>
                    <w:bottom w:val="single" w:sz="4" w:space="0" w:color="808080" w:themeColor="background1" w:themeShade="80"/>
                  </w:tcBorders>
                  <w:shd w:val="clear" w:color="auto" w:fill="FFFFFF" w:themeFill="background1"/>
                  <w:hideMark/>
                </w:tcPr>
                <w:p w14:paraId="2A512582" w14:textId="77777777" w:rsidR="008468F6" w:rsidRPr="005D4222" w:rsidRDefault="008468F6" w:rsidP="00A53E8C">
                  <w:pPr>
                    <w:pStyle w:val="TableText"/>
                    <w:rPr>
                      <w:rFonts w:cs="Arial"/>
                    </w:rPr>
                  </w:pPr>
                  <w:r w:rsidRPr="005D4222">
                    <w:rPr>
                      <w:rFonts w:cs="Arial"/>
                    </w:rPr>
                    <w:t xml:space="preserve">Diabetes With Acute Complications </w:t>
                  </w:r>
                </w:p>
              </w:tc>
              <w:tc>
                <w:tcPr>
                  <w:tcW w:w="900" w:type="dxa"/>
                  <w:tcBorders>
                    <w:top w:val="single" w:sz="4" w:space="0" w:color="000000" w:themeColor="text1"/>
                    <w:bottom w:val="single" w:sz="4" w:space="0" w:color="808080" w:themeColor="background1" w:themeShade="80"/>
                  </w:tcBorders>
                  <w:shd w:val="clear" w:color="auto" w:fill="FFFFFF" w:themeFill="background1"/>
                  <w:hideMark/>
                </w:tcPr>
                <w:p w14:paraId="0618C565" w14:textId="77777777" w:rsidR="008468F6" w:rsidRPr="005D4222" w:rsidRDefault="008468F6" w:rsidP="00A53E8C">
                  <w:pPr>
                    <w:pStyle w:val="TableText"/>
                    <w:jc w:val="center"/>
                    <w:rPr>
                      <w:rFonts w:cs="Arial"/>
                    </w:rPr>
                  </w:pPr>
                  <w:r w:rsidRPr="005D4222">
                    <w:rPr>
                      <w:rFonts w:cs="Arial"/>
                    </w:rPr>
                    <w:t>1</w:t>
                  </w:r>
                </w:p>
              </w:tc>
              <w:tc>
                <w:tcPr>
                  <w:tcW w:w="989" w:type="dxa"/>
                  <w:tcBorders>
                    <w:top w:val="single" w:sz="4" w:space="0" w:color="000000" w:themeColor="text1"/>
                    <w:bottom w:val="single" w:sz="4" w:space="0" w:color="808080" w:themeColor="background1" w:themeShade="80"/>
                  </w:tcBorders>
                  <w:shd w:val="clear" w:color="auto" w:fill="FFFFFF" w:themeFill="background1"/>
                  <w:hideMark/>
                </w:tcPr>
                <w:p w14:paraId="7F596D02" w14:textId="77777777" w:rsidR="008468F6" w:rsidRPr="005D4222" w:rsidRDefault="008468F6" w:rsidP="00A53E8C">
                  <w:pPr>
                    <w:pStyle w:val="TableText"/>
                    <w:jc w:val="center"/>
                    <w:rPr>
                      <w:rFonts w:cs="Arial"/>
                    </w:rPr>
                  </w:pPr>
                  <w:r w:rsidRPr="005D4222">
                    <w:rPr>
                      <w:rFonts w:cs="Arial"/>
                    </w:rPr>
                    <w:t>HCC-17</w:t>
                  </w:r>
                </w:p>
              </w:tc>
            </w:tr>
            <w:tr w:rsidR="008468F6" w:rsidRPr="005D4222" w14:paraId="3A6298F0" w14:textId="77777777" w:rsidTr="00A53E8C">
              <w:tc>
                <w:tcPr>
                  <w:tcW w:w="1306" w:type="dxa"/>
                  <w:vMerge/>
                  <w:shd w:val="clear" w:color="auto" w:fill="FFFFFF" w:themeFill="background1"/>
                  <w:hideMark/>
                </w:tcPr>
                <w:p w14:paraId="3DBA901C" w14:textId="77777777" w:rsidR="008468F6" w:rsidRPr="005D4222" w:rsidRDefault="008468F6" w:rsidP="00A53E8C">
                  <w:pPr>
                    <w:pStyle w:val="TableText"/>
                    <w:rPr>
                      <w:rFonts w:cs="Arial"/>
                    </w:rPr>
                  </w:pPr>
                </w:p>
              </w:tc>
              <w:tc>
                <w:tcPr>
                  <w:tcW w:w="884" w:type="dxa"/>
                  <w:tcBorders>
                    <w:top w:val="single" w:sz="4" w:space="0" w:color="808080" w:themeColor="background1" w:themeShade="80"/>
                    <w:bottom w:val="single" w:sz="4" w:space="0" w:color="808080" w:themeColor="background1" w:themeShade="80"/>
                  </w:tcBorders>
                  <w:shd w:val="clear" w:color="auto" w:fill="FFFFFF" w:themeFill="background1"/>
                  <w:hideMark/>
                </w:tcPr>
                <w:p w14:paraId="39374742" w14:textId="77777777" w:rsidR="008468F6" w:rsidRPr="005D4222" w:rsidRDefault="008468F6" w:rsidP="00A53E8C">
                  <w:pPr>
                    <w:pStyle w:val="TableText"/>
                    <w:jc w:val="center"/>
                    <w:rPr>
                      <w:rFonts w:cs="Arial"/>
                    </w:rPr>
                  </w:pPr>
                  <w:r w:rsidRPr="005D4222">
                    <w:rPr>
                      <w:rFonts w:cs="Arial"/>
                    </w:rPr>
                    <w:t>CC-18</w:t>
                  </w:r>
                </w:p>
              </w:tc>
              <w:tc>
                <w:tcPr>
                  <w:tcW w:w="3296" w:type="dxa"/>
                  <w:tcBorders>
                    <w:top w:val="single" w:sz="4" w:space="0" w:color="808080" w:themeColor="background1" w:themeShade="80"/>
                    <w:bottom w:val="single" w:sz="4" w:space="0" w:color="808080" w:themeColor="background1" w:themeShade="80"/>
                  </w:tcBorders>
                  <w:shd w:val="clear" w:color="auto" w:fill="FFFFFF" w:themeFill="background1"/>
                  <w:hideMark/>
                </w:tcPr>
                <w:p w14:paraId="18B57496" w14:textId="77777777" w:rsidR="008468F6" w:rsidRPr="005D4222" w:rsidRDefault="008468F6" w:rsidP="00A53E8C">
                  <w:pPr>
                    <w:pStyle w:val="TableText"/>
                    <w:rPr>
                      <w:rFonts w:cs="Arial"/>
                    </w:rPr>
                  </w:pPr>
                  <w:r w:rsidRPr="005D4222">
                    <w:rPr>
                      <w:rFonts w:cs="Arial"/>
                    </w:rPr>
                    <w:t xml:space="preserve">Diabetes With Chronic Complications </w:t>
                  </w:r>
                </w:p>
              </w:tc>
              <w:tc>
                <w:tcPr>
                  <w:tcW w:w="900" w:type="dxa"/>
                  <w:tcBorders>
                    <w:top w:val="single" w:sz="4" w:space="0" w:color="808080" w:themeColor="background1" w:themeShade="80"/>
                    <w:bottom w:val="single" w:sz="4" w:space="0" w:color="808080" w:themeColor="background1" w:themeShade="80"/>
                  </w:tcBorders>
                  <w:shd w:val="clear" w:color="auto" w:fill="FFFFFF" w:themeFill="background1"/>
                  <w:hideMark/>
                </w:tcPr>
                <w:p w14:paraId="04466E85" w14:textId="77777777" w:rsidR="008468F6" w:rsidRPr="005D4222" w:rsidRDefault="008468F6" w:rsidP="00A53E8C">
                  <w:pPr>
                    <w:pStyle w:val="TableText"/>
                    <w:jc w:val="center"/>
                    <w:rPr>
                      <w:rFonts w:cs="Arial"/>
                    </w:rPr>
                  </w:pPr>
                  <w:r w:rsidRPr="005D4222">
                    <w:rPr>
                      <w:rFonts w:cs="Arial"/>
                    </w:rPr>
                    <w:t>2</w:t>
                  </w:r>
                </w:p>
              </w:tc>
              <w:tc>
                <w:tcPr>
                  <w:tcW w:w="989" w:type="dxa"/>
                  <w:tcBorders>
                    <w:top w:val="single" w:sz="4" w:space="0" w:color="808080" w:themeColor="background1" w:themeShade="80"/>
                    <w:bottom w:val="single" w:sz="4" w:space="0" w:color="808080" w:themeColor="background1" w:themeShade="80"/>
                  </w:tcBorders>
                  <w:shd w:val="clear" w:color="auto" w:fill="FFFFFF" w:themeFill="background1"/>
                  <w:hideMark/>
                </w:tcPr>
                <w:p w14:paraId="1D0A977F" w14:textId="77777777" w:rsidR="008468F6" w:rsidRPr="005D4222" w:rsidRDefault="008468F6" w:rsidP="00A53E8C">
                  <w:pPr>
                    <w:pStyle w:val="TableText"/>
                    <w:jc w:val="center"/>
                    <w:rPr>
                      <w:rFonts w:cs="Arial"/>
                    </w:rPr>
                  </w:pPr>
                  <w:r w:rsidRPr="005D4222">
                    <w:rPr>
                      <w:rFonts w:cs="Arial"/>
                    </w:rPr>
                    <w:t>HCC-18</w:t>
                  </w:r>
                </w:p>
              </w:tc>
            </w:tr>
            <w:tr w:rsidR="008468F6" w:rsidRPr="005D4222" w14:paraId="3CE7925E" w14:textId="77777777" w:rsidTr="00A53E8C">
              <w:tc>
                <w:tcPr>
                  <w:tcW w:w="1306" w:type="dxa"/>
                  <w:vMerge/>
                  <w:shd w:val="clear" w:color="auto" w:fill="FFFFFF" w:themeFill="background1"/>
                  <w:hideMark/>
                </w:tcPr>
                <w:p w14:paraId="7391F2B2" w14:textId="77777777" w:rsidR="008468F6" w:rsidRPr="005D4222" w:rsidRDefault="008468F6" w:rsidP="00A53E8C">
                  <w:pPr>
                    <w:pStyle w:val="TableText"/>
                    <w:rPr>
                      <w:rFonts w:cs="Arial"/>
                    </w:rPr>
                  </w:pPr>
                </w:p>
              </w:tc>
              <w:tc>
                <w:tcPr>
                  <w:tcW w:w="884" w:type="dxa"/>
                  <w:tcBorders>
                    <w:top w:val="single" w:sz="4" w:space="0" w:color="808080" w:themeColor="background1" w:themeShade="80"/>
                    <w:bottom w:val="single" w:sz="4" w:space="0" w:color="auto"/>
                  </w:tcBorders>
                  <w:shd w:val="clear" w:color="auto" w:fill="FFFFFF" w:themeFill="background1"/>
                  <w:hideMark/>
                </w:tcPr>
                <w:p w14:paraId="411889C1" w14:textId="77777777" w:rsidR="008468F6" w:rsidRPr="005D4222" w:rsidRDefault="008468F6" w:rsidP="00A53E8C">
                  <w:pPr>
                    <w:pStyle w:val="TableText"/>
                    <w:jc w:val="center"/>
                    <w:rPr>
                      <w:rFonts w:cs="Arial"/>
                    </w:rPr>
                  </w:pPr>
                  <w:r w:rsidRPr="005D4222">
                    <w:rPr>
                      <w:rFonts w:cs="Arial"/>
                    </w:rPr>
                    <w:t>CC-19</w:t>
                  </w:r>
                </w:p>
              </w:tc>
              <w:tc>
                <w:tcPr>
                  <w:tcW w:w="3296" w:type="dxa"/>
                  <w:tcBorders>
                    <w:top w:val="single" w:sz="4" w:space="0" w:color="808080" w:themeColor="background1" w:themeShade="80"/>
                    <w:bottom w:val="single" w:sz="4" w:space="0" w:color="auto"/>
                  </w:tcBorders>
                  <w:shd w:val="clear" w:color="auto" w:fill="FFFFFF" w:themeFill="background1"/>
                  <w:hideMark/>
                </w:tcPr>
                <w:p w14:paraId="65698AF3" w14:textId="77777777" w:rsidR="008468F6" w:rsidRPr="005D4222" w:rsidRDefault="008468F6" w:rsidP="00A53E8C">
                  <w:pPr>
                    <w:pStyle w:val="TableText"/>
                    <w:rPr>
                      <w:rFonts w:cs="Arial"/>
                    </w:rPr>
                  </w:pPr>
                  <w:r w:rsidRPr="005D4222">
                    <w:rPr>
                      <w:rFonts w:cs="Arial"/>
                    </w:rPr>
                    <w:t xml:space="preserve">Diabetes Without Complications </w:t>
                  </w:r>
                </w:p>
              </w:tc>
              <w:tc>
                <w:tcPr>
                  <w:tcW w:w="900" w:type="dxa"/>
                  <w:tcBorders>
                    <w:top w:val="single" w:sz="4" w:space="0" w:color="808080" w:themeColor="background1" w:themeShade="80"/>
                    <w:bottom w:val="single" w:sz="4" w:space="0" w:color="auto"/>
                  </w:tcBorders>
                  <w:shd w:val="clear" w:color="auto" w:fill="FFFFFF" w:themeFill="background1"/>
                  <w:hideMark/>
                </w:tcPr>
                <w:p w14:paraId="1D048451" w14:textId="77777777" w:rsidR="008468F6" w:rsidRPr="005D4222" w:rsidRDefault="008468F6" w:rsidP="00A53E8C">
                  <w:pPr>
                    <w:pStyle w:val="TableText"/>
                    <w:jc w:val="center"/>
                    <w:rPr>
                      <w:rFonts w:cs="Arial"/>
                    </w:rPr>
                  </w:pPr>
                  <w:r w:rsidRPr="005D4222">
                    <w:rPr>
                      <w:rFonts w:cs="Arial"/>
                    </w:rPr>
                    <w:t>3</w:t>
                  </w:r>
                </w:p>
              </w:tc>
              <w:tc>
                <w:tcPr>
                  <w:tcW w:w="989" w:type="dxa"/>
                  <w:tcBorders>
                    <w:top w:val="single" w:sz="4" w:space="0" w:color="808080" w:themeColor="background1" w:themeShade="80"/>
                    <w:bottom w:val="single" w:sz="4" w:space="0" w:color="auto"/>
                  </w:tcBorders>
                  <w:shd w:val="clear" w:color="auto" w:fill="FFFFFF" w:themeFill="background1"/>
                  <w:hideMark/>
                </w:tcPr>
                <w:p w14:paraId="5154CA74" w14:textId="77777777" w:rsidR="008468F6" w:rsidRPr="005D4222" w:rsidRDefault="008468F6" w:rsidP="00A53E8C">
                  <w:pPr>
                    <w:pStyle w:val="TableText"/>
                    <w:jc w:val="center"/>
                    <w:rPr>
                      <w:rFonts w:cs="Arial"/>
                    </w:rPr>
                  </w:pPr>
                  <w:r w:rsidRPr="005D4222">
                    <w:rPr>
                      <w:rFonts w:cs="Arial"/>
                    </w:rPr>
                    <w:t>HCC-19</w:t>
                  </w:r>
                </w:p>
              </w:tc>
            </w:tr>
          </w:tbl>
          <w:p w14:paraId="1AE6EBE7" w14:textId="77777777" w:rsidR="008468F6" w:rsidRPr="005D4222" w:rsidRDefault="008468F6" w:rsidP="00A53E8C">
            <w:pPr>
              <w:pStyle w:val="ECDSBody"/>
              <w:spacing w:before="240"/>
            </w:pPr>
            <w:r w:rsidRPr="005D4222">
              <w:rPr>
                <w:b/>
              </w:rPr>
              <w:t>Step 5.</w:t>
            </w:r>
            <w:r w:rsidRPr="005D4222">
              <w:t xml:space="preserve"> Identify combination HCCs listed in Table HCC—Comb. </w:t>
            </w:r>
          </w:p>
          <w:p w14:paraId="27F4C8E6" w14:textId="77777777" w:rsidR="008468F6" w:rsidRPr="005D4222" w:rsidRDefault="008468F6" w:rsidP="00A53E8C">
            <w:pPr>
              <w:pStyle w:val="ECDSBody"/>
            </w:pPr>
            <w:r w:rsidRPr="005D4222">
              <w:t>Some combinations suggest a greater amount of risk when observed together.</w:t>
            </w:r>
          </w:p>
          <w:p w14:paraId="74CBDA12" w14:textId="77777777" w:rsidR="008468F6" w:rsidRPr="005D4222" w:rsidRDefault="008468F6" w:rsidP="008468F6">
            <w:pPr>
              <w:pStyle w:val="Bullet"/>
              <w:numPr>
                <w:ilvl w:val="0"/>
                <w:numId w:val="4"/>
              </w:numPr>
              <w:tabs>
                <w:tab w:val="left" w:pos="360"/>
                <w:tab w:val="left" w:pos="576"/>
              </w:tabs>
              <w:ind w:left="576" w:hanging="216"/>
            </w:pPr>
            <w:r w:rsidRPr="005D4222">
              <w:rPr>
                <w:i/>
                <w:iCs/>
              </w:rPr>
              <w:t>For example,</w:t>
            </w:r>
            <w:r w:rsidRPr="005D4222">
              <w:t xml:space="preserve"> when diabetes </w:t>
            </w:r>
            <w:r w:rsidRPr="005D4222">
              <w:rPr>
                <w:i/>
                <w:iCs/>
              </w:rPr>
              <w:t xml:space="preserve">and </w:t>
            </w:r>
            <w:r w:rsidRPr="005D4222">
              <w:t xml:space="preserve">CHF are present, an increased amount of risk is evident. Additional HCCs are selected to account for these relationships. </w:t>
            </w:r>
          </w:p>
          <w:p w14:paraId="4B79DF6C" w14:textId="77777777" w:rsidR="008468F6" w:rsidRPr="005D4222" w:rsidRDefault="008468F6" w:rsidP="00A53E8C">
            <w:pPr>
              <w:pStyle w:val="ECDSBody"/>
              <w:rPr>
                <w:i/>
              </w:rPr>
            </w:pPr>
            <w:r w:rsidRPr="005D4222">
              <w:t xml:space="preserve">Compare each person’s list of unique HCCs to those in the </w:t>
            </w:r>
            <w:r w:rsidRPr="005D4222">
              <w:rPr>
                <w:i/>
                <w:iCs/>
              </w:rPr>
              <w:t>Comorbid HCC</w:t>
            </w:r>
            <w:r w:rsidRPr="005D4222">
              <w:t xml:space="preserve"> columns in Table HCC—Comb and assign any additional HCC conditions.</w:t>
            </w:r>
          </w:p>
          <w:p w14:paraId="1D7D07E1" w14:textId="77777777" w:rsidR="008468F6" w:rsidRPr="005D4222" w:rsidRDefault="008468F6" w:rsidP="00A53E8C">
            <w:pPr>
              <w:pStyle w:val="ECDSBody"/>
              <w:rPr>
                <w:b/>
              </w:rPr>
            </w:pPr>
            <w:r w:rsidRPr="005D4222">
              <w:rPr>
                <w:i/>
              </w:rPr>
              <w:t xml:space="preserve">If there are overlapping combinations, use both sets of combinations. </w:t>
            </w:r>
            <w:r w:rsidRPr="005D4222">
              <w:t>Based on the combinations, an observed event can have none, one or more of these added HCCs.</w:t>
            </w:r>
          </w:p>
          <w:p w14:paraId="60A40DD1" w14:textId="77777777" w:rsidR="008468F6" w:rsidRPr="005D4222" w:rsidRDefault="008468F6" w:rsidP="008468F6">
            <w:pPr>
              <w:pStyle w:val="Bullet"/>
              <w:numPr>
                <w:ilvl w:val="0"/>
                <w:numId w:val="4"/>
              </w:numPr>
              <w:tabs>
                <w:tab w:val="left" w:pos="360"/>
                <w:tab w:val="left" w:pos="576"/>
              </w:tabs>
              <w:ind w:left="576" w:hanging="216"/>
            </w:pPr>
            <w:r w:rsidRPr="005D4222">
              <w:rPr>
                <w:i/>
                <w:iCs/>
              </w:rPr>
              <w:t xml:space="preserve">For example, </w:t>
            </w:r>
            <w:r w:rsidRPr="005D4222">
              <w:t xml:space="preserve">for a person with comorbidities HCC-17 and HCC-85 (assume no other HCCs), assign HCC-901 in addition to </w:t>
            </w:r>
            <w:r w:rsidRPr="005D4222">
              <w:br/>
              <w:t xml:space="preserve">HCC-17 and HCC-85. This </w:t>
            </w:r>
            <w:r w:rsidRPr="005D4222">
              <w:rPr>
                <w:i/>
                <w:iCs/>
              </w:rPr>
              <w:t>does not</w:t>
            </w:r>
            <w:r w:rsidRPr="005D4222">
              <w:t xml:space="preserve"> replace HCC-17 and HCC-85.</w:t>
            </w:r>
          </w:p>
          <w:p w14:paraId="10B2E4EB" w14:textId="77777777" w:rsidR="008468F6" w:rsidRPr="005D4222" w:rsidRDefault="008468F6" w:rsidP="00A53E8C">
            <w:pPr>
              <w:pStyle w:val="TableHeadNotCondensed"/>
              <w:tabs>
                <w:tab w:val="left" w:pos="1450"/>
              </w:tabs>
              <w:spacing w:before="120"/>
              <w:rPr>
                <w:i/>
                <w:iCs/>
              </w:rPr>
            </w:pPr>
            <w:r w:rsidRPr="005D4222">
              <w:rPr>
                <w:iCs/>
              </w:rPr>
              <w:t>Table HCC—Comb</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3"/>
              <w:gridCol w:w="1240"/>
              <w:gridCol w:w="1175"/>
              <w:gridCol w:w="1305"/>
              <w:gridCol w:w="2352"/>
            </w:tblGrid>
            <w:tr w:rsidR="008468F6" w:rsidRPr="005D4222" w14:paraId="27281FB2" w14:textId="77777777" w:rsidTr="00A53E8C">
              <w:tc>
                <w:tcPr>
                  <w:tcW w:w="1707" w:type="dxa"/>
                  <w:tcBorders>
                    <w:right w:val="single" w:sz="4" w:space="0" w:color="FFFFFF" w:themeColor="background1"/>
                  </w:tcBorders>
                  <w:shd w:val="clear" w:color="auto" w:fill="000000" w:themeFill="text1"/>
                  <w:vAlign w:val="bottom"/>
                  <w:hideMark/>
                </w:tcPr>
                <w:p w14:paraId="3A04C49E" w14:textId="77777777" w:rsidR="008468F6" w:rsidRPr="005D4222" w:rsidRDefault="008468F6" w:rsidP="00A53E8C">
                  <w:pPr>
                    <w:pStyle w:val="TableHead"/>
                    <w:spacing w:before="40" w:after="40"/>
                    <w:rPr>
                      <w:color w:val="auto"/>
                    </w:rPr>
                  </w:pPr>
                  <w:r w:rsidRPr="005D4222">
                    <w:rPr>
                      <w:color w:val="auto"/>
                    </w:rPr>
                    <w:t xml:space="preserve">Comorbid </w:t>
                  </w:r>
                  <w:r w:rsidRPr="005D4222">
                    <w:rPr>
                      <w:color w:val="auto"/>
                    </w:rPr>
                    <w:br/>
                    <w:t>HCC 1</w:t>
                  </w:r>
                </w:p>
              </w:tc>
              <w:tc>
                <w:tcPr>
                  <w:tcW w:w="1620" w:type="dxa"/>
                  <w:tcBorders>
                    <w:left w:val="single" w:sz="4" w:space="0" w:color="FFFFFF" w:themeColor="background1"/>
                    <w:right w:val="single" w:sz="4" w:space="0" w:color="FFFFFF" w:themeColor="background1"/>
                  </w:tcBorders>
                  <w:shd w:val="clear" w:color="auto" w:fill="000000" w:themeFill="text1"/>
                  <w:vAlign w:val="bottom"/>
                  <w:hideMark/>
                </w:tcPr>
                <w:p w14:paraId="63F7B28B" w14:textId="77777777" w:rsidR="008468F6" w:rsidRPr="005D4222" w:rsidRDefault="008468F6" w:rsidP="00A53E8C">
                  <w:pPr>
                    <w:pStyle w:val="TableHead"/>
                    <w:spacing w:before="40" w:after="40"/>
                    <w:rPr>
                      <w:color w:val="auto"/>
                    </w:rPr>
                  </w:pPr>
                  <w:r w:rsidRPr="005D4222">
                    <w:rPr>
                      <w:color w:val="auto"/>
                    </w:rPr>
                    <w:t xml:space="preserve">Comorbid </w:t>
                  </w:r>
                  <w:r w:rsidRPr="005D4222">
                    <w:rPr>
                      <w:color w:val="auto"/>
                    </w:rPr>
                    <w:br/>
                    <w:t>HCC 2</w:t>
                  </w:r>
                </w:p>
              </w:tc>
              <w:tc>
                <w:tcPr>
                  <w:tcW w:w="1530" w:type="dxa"/>
                  <w:tcBorders>
                    <w:left w:val="single" w:sz="4" w:space="0" w:color="FFFFFF" w:themeColor="background1"/>
                    <w:right w:val="single" w:sz="4" w:space="0" w:color="FFFFFF" w:themeColor="background1"/>
                  </w:tcBorders>
                  <w:shd w:val="clear" w:color="auto" w:fill="000000" w:themeFill="text1"/>
                  <w:vAlign w:val="bottom"/>
                  <w:hideMark/>
                </w:tcPr>
                <w:p w14:paraId="308973D6" w14:textId="77777777" w:rsidR="008468F6" w:rsidRPr="005D4222" w:rsidRDefault="008468F6" w:rsidP="00A53E8C">
                  <w:pPr>
                    <w:pStyle w:val="TableHead"/>
                    <w:spacing w:before="40" w:after="40"/>
                    <w:rPr>
                      <w:color w:val="auto"/>
                    </w:rPr>
                  </w:pPr>
                  <w:r w:rsidRPr="005D4222">
                    <w:rPr>
                      <w:color w:val="auto"/>
                    </w:rPr>
                    <w:t xml:space="preserve">Comorbid </w:t>
                  </w:r>
                  <w:r w:rsidRPr="005D4222">
                    <w:rPr>
                      <w:color w:val="auto"/>
                    </w:rPr>
                    <w:br/>
                    <w:t>HCC 3</w:t>
                  </w:r>
                </w:p>
              </w:tc>
              <w:tc>
                <w:tcPr>
                  <w:tcW w:w="1710" w:type="dxa"/>
                  <w:tcBorders>
                    <w:left w:val="single" w:sz="4" w:space="0" w:color="FFFFFF" w:themeColor="background1"/>
                    <w:right w:val="single" w:sz="4" w:space="0" w:color="FFFFFF" w:themeColor="background1"/>
                  </w:tcBorders>
                  <w:shd w:val="clear" w:color="auto" w:fill="000000" w:themeFill="text1"/>
                  <w:vAlign w:val="bottom"/>
                  <w:hideMark/>
                </w:tcPr>
                <w:p w14:paraId="242D9D74" w14:textId="77777777" w:rsidR="008468F6" w:rsidRPr="005D4222" w:rsidRDefault="008468F6" w:rsidP="00A53E8C">
                  <w:pPr>
                    <w:pStyle w:val="TableHead"/>
                    <w:spacing w:before="40" w:after="40"/>
                    <w:rPr>
                      <w:color w:val="auto"/>
                    </w:rPr>
                  </w:pPr>
                  <w:r w:rsidRPr="005D4222">
                    <w:rPr>
                      <w:color w:val="auto"/>
                    </w:rPr>
                    <w:t>HCC-</w:t>
                  </w:r>
                  <w:r w:rsidRPr="005D4222">
                    <w:rPr>
                      <w:color w:val="auto"/>
                    </w:rPr>
                    <w:br/>
                    <w:t xml:space="preserve">Combination </w:t>
                  </w:r>
                </w:p>
              </w:tc>
              <w:tc>
                <w:tcPr>
                  <w:tcW w:w="3153" w:type="dxa"/>
                  <w:tcBorders>
                    <w:left w:val="single" w:sz="4" w:space="0" w:color="FFFFFF" w:themeColor="background1"/>
                  </w:tcBorders>
                  <w:shd w:val="clear" w:color="auto" w:fill="000000" w:themeFill="text1"/>
                </w:tcPr>
                <w:p w14:paraId="04FE3446" w14:textId="77777777" w:rsidR="008468F6" w:rsidRPr="005D4222" w:rsidRDefault="008468F6" w:rsidP="00A53E8C">
                  <w:pPr>
                    <w:pStyle w:val="TableHead"/>
                    <w:spacing w:before="40" w:after="40"/>
                    <w:rPr>
                      <w:color w:val="auto"/>
                    </w:rPr>
                  </w:pPr>
                  <w:r w:rsidRPr="005D4222">
                    <w:rPr>
                      <w:color w:val="auto"/>
                    </w:rPr>
                    <w:t xml:space="preserve">HCC-Comb </w:t>
                  </w:r>
                  <w:r w:rsidRPr="005D4222">
                    <w:rPr>
                      <w:color w:val="auto"/>
                    </w:rPr>
                    <w:br/>
                    <w:t>Description</w:t>
                  </w:r>
                </w:p>
              </w:tc>
            </w:tr>
            <w:tr w:rsidR="008468F6" w:rsidRPr="005D4222" w14:paraId="07EDA926" w14:textId="77777777" w:rsidTr="00A53E8C">
              <w:tc>
                <w:tcPr>
                  <w:tcW w:w="1707" w:type="dxa"/>
                  <w:shd w:val="clear" w:color="auto" w:fill="FFFFFF" w:themeFill="background1"/>
                  <w:hideMark/>
                </w:tcPr>
                <w:p w14:paraId="4954C754" w14:textId="77777777" w:rsidR="008468F6" w:rsidRPr="005D4222" w:rsidRDefault="008468F6" w:rsidP="00A53E8C">
                  <w:pPr>
                    <w:pStyle w:val="TableText"/>
                  </w:pPr>
                  <w:r w:rsidRPr="005D4222">
                    <w:t>HCC-17</w:t>
                  </w:r>
                </w:p>
              </w:tc>
              <w:tc>
                <w:tcPr>
                  <w:tcW w:w="1620" w:type="dxa"/>
                  <w:shd w:val="clear" w:color="auto" w:fill="FFFFFF" w:themeFill="background1"/>
                  <w:hideMark/>
                </w:tcPr>
                <w:p w14:paraId="546FCF49" w14:textId="77777777" w:rsidR="008468F6" w:rsidRPr="005D4222" w:rsidRDefault="008468F6" w:rsidP="00A53E8C">
                  <w:pPr>
                    <w:pStyle w:val="TableText"/>
                  </w:pPr>
                  <w:r w:rsidRPr="005D4222">
                    <w:t>HCC-85</w:t>
                  </w:r>
                </w:p>
              </w:tc>
              <w:tc>
                <w:tcPr>
                  <w:tcW w:w="1530" w:type="dxa"/>
                  <w:shd w:val="clear" w:color="auto" w:fill="FFFFFF" w:themeFill="background1"/>
                  <w:hideMark/>
                </w:tcPr>
                <w:p w14:paraId="60700154" w14:textId="77777777" w:rsidR="008468F6" w:rsidRPr="005D4222" w:rsidRDefault="008468F6" w:rsidP="00A53E8C">
                  <w:pPr>
                    <w:pStyle w:val="TableText"/>
                  </w:pPr>
                  <w:r w:rsidRPr="005D4222">
                    <w:t>NA</w:t>
                  </w:r>
                </w:p>
              </w:tc>
              <w:tc>
                <w:tcPr>
                  <w:tcW w:w="1710" w:type="dxa"/>
                  <w:shd w:val="clear" w:color="auto" w:fill="FFFFFF" w:themeFill="background1"/>
                  <w:hideMark/>
                </w:tcPr>
                <w:p w14:paraId="43EFDD3D" w14:textId="77777777" w:rsidR="008468F6" w:rsidRPr="005D4222" w:rsidRDefault="008468F6" w:rsidP="00A53E8C">
                  <w:pPr>
                    <w:pStyle w:val="TableText"/>
                  </w:pPr>
                  <w:r w:rsidRPr="005D4222">
                    <w:t>HCC-901</w:t>
                  </w:r>
                </w:p>
              </w:tc>
              <w:tc>
                <w:tcPr>
                  <w:tcW w:w="3153" w:type="dxa"/>
                  <w:shd w:val="clear" w:color="auto" w:fill="FFFFFF" w:themeFill="background1"/>
                </w:tcPr>
                <w:p w14:paraId="64075250" w14:textId="77777777" w:rsidR="008468F6" w:rsidRPr="005D4222" w:rsidRDefault="008468F6" w:rsidP="00A53E8C">
                  <w:pPr>
                    <w:pStyle w:val="TableText"/>
                  </w:pPr>
                  <w:r w:rsidRPr="005D4222">
                    <w:t>Combination: Diabetes and CHF</w:t>
                  </w:r>
                </w:p>
              </w:tc>
            </w:tr>
            <w:tr w:rsidR="008468F6" w:rsidRPr="005D4222" w14:paraId="703DDF0A" w14:textId="77777777" w:rsidTr="007B5FC3">
              <w:tc>
                <w:tcPr>
                  <w:tcW w:w="1707" w:type="dxa"/>
                  <w:hideMark/>
                </w:tcPr>
                <w:p w14:paraId="437EC15D" w14:textId="77777777" w:rsidR="008468F6" w:rsidRPr="005D4222" w:rsidRDefault="008468F6" w:rsidP="00A53E8C">
                  <w:pPr>
                    <w:pStyle w:val="TableText"/>
                  </w:pPr>
                  <w:r w:rsidRPr="005D4222">
                    <w:t>HCC-18</w:t>
                  </w:r>
                </w:p>
              </w:tc>
              <w:tc>
                <w:tcPr>
                  <w:tcW w:w="1620" w:type="dxa"/>
                  <w:hideMark/>
                </w:tcPr>
                <w:p w14:paraId="70CCED37" w14:textId="77777777" w:rsidR="008468F6" w:rsidRPr="005D4222" w:rsidRDefault="008468F6" w:rsidP="00A53E8C">
                  <w:pPr>
                    <w:pStyle w:val="TableText"/>
                  </w:pPr>
                  <w:r w:rsidRPr="005D4222">
                    <w:t>HCC-85</w:t>
                  </w:r>
                </w:p>
              </w:tc>
              <w:tc>
                <w:tcPr>
                  <w:tcW w:w="1530" w:type="dxa"/>
                  <w:hideMark/>
                </w:tcPr>
                <w:p w14:paraId="00B54E6C" w14:textId="77777777" w:rsidR="008468F6" w:rsidRPr="005D4222" w:rsidRDefault="008468F6" w:rsidP="00A53E8C">
                  <w:pPr>
                    <w:pStyle w:val="TableText"/>
                  </w:pPr>
                  <w:r w:rsidRPr="005D4222">
                    <w:t>NA</w:t>
                  </w:r>
                </w:p>
              </w:tc>
              <w:tc>
                <w:tcPr>
                  <w:tcW w:w="1710" w:type="dxa"/>
                  <w:hideMark/>
                </w:tcPr>
                <w:p w14:paraId="468E2707" w14:textId="77777777" w:rsidR="008468F6" w:rsidRPr="005D4222" w:rsidRDefault="008468F6" w:rsidP="00A53E8C">
                  <w:pPr>
                    <w:pStyle w:val="TableText"/>
                  </w:pPr>
                  <w:r w:rsidRPr="005D4222">
                    <w:t>HCC-901</w:t>
                  </w:r>
                </w:p>
              </w:tc>
              <w:tc>
                <w:tcPr>
                  <w:tcW w:w="3153" w:type="dxa"/>
                </w:tcPr>
                <w:p w14:paraId="567C0E4F" w14:textId="77777777" w:rsidR="008468F6" w:rsidRPr="005D4222" w:rsidRDefault="008468F6" w:rsidP="00A53E8C">
                  <w:pPr>
                    <w:pStyle w:val="TableText"/>
                  </w:pPr>
                  <w:r w:rsidRPr="005D4222">
                    <w:t>Combination: Diabetes and CHF</w:t>
                  </w:r>
                </w:p>
              </w:tc>
            </w:tr>
            <w:tr w:rsidR="008468F6" w:rsidRPr="005D4222" w14:paraId="2EFFD59A" w14:textId="77777777" w:rsidTr="007B5FC3">
              <w:tc>
                <w:tcPr>
                  <w:tcW w:w="1707" w:type="dxa"/>
                  <w:hideMark/>
                </w:tcPr>
                <w:p w14:paraId="10A26385" w14:textId="77777777" w:rsidR="008468F6" w:rsidRPr="005D4222" w:rsidRDefault="008468F6" w:rsidP="00A53E8C">
                  <w:pPr>
                    <w:pStyle w:val="TableText"/>
                  </w:pPr>
                  <w:r w:rsidRPr="005D4222">
                    <w:t>HCC-19</w:t>
                  </w:r>
                </w:p>
              </w:tc>
              <w:tc>
                <w:tcPr>
                  <w:tcW w:w="1620" w:type="dxa"/>
                  <w:hideMark/>
                </w:tcPr>
                <w:p w14:paraId="40D0938C" w14:textId="77777777" w:rsidR="008468F6" w:rsidRPr="005D4222" w:rsidRDefault="008468F6" w:rsidP="00A53E8C">
                  <w:pPr>
                    <w:pStyle w:val="TableText"/>
                  </w:pPr>
                  <w:r w:rsidRPr="005D4222">
                    <w:t>HCC-85</w:t>
                  </w:r>
                </w:p>
              </w:tc>
              <w:tc>
                <w:tcPr>
                  <w:tcW w:w="1530" w:type="dxa"/>
                  <w:hideMark/>
                </w:tcPr>
                <w:p w14:paraId="1CB93E79" w14:textId="77777777" w:rsidR="008468F6" w:rsidRPr="005D4222" w:rsidRDefault="008468F6" w:rsidP="00A53E8C">
                  <w:pPr>
                    <w:pStyle w:val="TableText"/>
                  </w:pPr>
                  <w:r w:rsidRPr="005D4222">
                    <w:t>NA</w:t>
                  </w:r>
                </w:p>
              </w:tc>
              <w:tc>
                <w:tcPr>
                  <w:tcW w:w="1710" w:type="dxa"/>
                  <w:hideMark/>
                </w:tcPr>
                <w:p w14:paraId="099E6EEB" w14:textId="77777777" w:rsidR="008468F6" w:rsidRPr="005D4222" w:rsidRDefault="008468F6" w:rsidP="00A53E8C">
                  <w:pPr>
                    <w:pStyle w:val="TableText"/>
                  </w:pPr>
                  <w:r w:rsidRPr="005D4222">
                    <w:t>HCC-901</w:t>
                  </w:r>
                </w:p>
              </w:tc>
              <w:tc>
                <w:tcPr>
                  <w:tcW w:w="3153" w:type="dxa"/>
                </w:tcPr>
                <w:p w14:paraId="1E11E160" w14:textId="77777777" w:rsidR="008468F6" w:rsidRPr="005D4222" w:rsidRDefault="008468F6" w:rsidP="00A53E8C">
                  <w:pPr>
                    <w:pStyle w:val="TableText"/>
                  </w:pPr>
                  <w:r w:rsidRPr="005D4222">
                    <w:t>Combination: Diabetes and CHF</w:t>
                  </w:r>
                </w:p>
              </w:tc>
            </w:tr>
          </w:tbl>
          <w:p w14:paraId="27B2317D" w14:textId="77777777" w:rsidR="008468F6" w:rsidRPr="005D4222" w:rsidRDefault="008468F6" w:rsidP="00A53E8C">
            <w:pPr>
              <w:pStyle w:val="ECDSBody"/>
            </w:pPr>
          </w:p>
        </w:tc>
      </w:tr>
      <w:tr w:rsidR="008468F6" w:rsidRPr="005D4222" w14:paraId="6D480451" w14:textId="77777777" w:rsidTr="00AC5728">
        <w:tc>
          <w:tcPr>
            <w:tcW w:w="2157" w:type="dxa"/>
            <w:tcBorders>
              <w:top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6C6A1270" w14:textId="77777777" w:rsidR="008468F6" w:rsidRPr="005D4222" w:rsidRDefault="008468F6" w:rsidP="00A53E8C">
            <w:pPr>
              <w:pStyle w:val="ECDSMarginHead"/>
            </w:pPr>
            <w:r w:rsidRPr="005D4222">
              <w:t xml:space="preserve">Risk adjustment </w:t>
            </w:r>
          </w:p>
        </w:tc>
        <w:tc>
          <w:tcPr>
            <w:tcW w:w="7557" w:type="dxa"/>
            <w:tcBorders>
              <w:top w:val="single" w:sz="4" w:space="0" w:color="auto"/>
              <w:left w:val="single" w:sz="4" w:space="0" w:color="auto"/>
              <w:bottom w:val="single" w:sz="4" w:space="0" w:color="auto"/>
            </w:tcBorders>
            <w:tcMar>
              <w:left w:w="86" w:type="dxa"/>
              <w:bottom w:w="43" w:type="dxa"/>
              <w:right w:w="86" w:type="dxa"/>
            </w:tcMar>
          </w:tcPr>
          <w:p w14:paraId="3C524E65" w14:textId="77777777" w:rsidR="008468F6" w:rsidRPr="005D4222" w:rsidRDefault="008468F6" w:rsidP="00A53E8C">
            <w:pPr>
              <w:pStyle w:val="ECDSBody"/>
              <w:rPr>
                <w:b/>
                <w:bCs w:val="0"/>
                <w:i/>
                <w:iCs/>
              </w:rPr>
            </w:pPr>
            <w:r w:rsidRPr="005D4222">
              <w:rPr>
                <w:b/>
                <w:bCs w:val="0"/>
                <w:i/>
                <w:iCs/>
              </w:rPr>
              <w:t>Risk Adjustment Calculation</w:t>
            </w:r>
          </w:p>
          <w:p w14:paraId="3C964E56" w14:textId="77777777" w:rsidR="008468F6" w:rsidRPr="005D4222" w:rsidRDefault="008468F6" w:rsidP="00A53E8C">
            <w:pPr>
              <w:pStyle w:val="ECDSBody"/>
              <w:rPr>
                <w:shd w:val="clear" w:color="auto" w:fill="FFFFFF"/>
              </w:rPr>
            </w:pPr>
            <w:r w:rsidRPr="005D4222">
              <w:rPr>
                <w:color w:val="000000"/>
                <w:shd w:val="clear" w:color="auto" w:fill="FFFFFF"/>
              </w:rPr>
              <w:t>Calculation of risk-adjusted outcomes (counts of ED visits for hypoglycemia) uses predetermined risk weights generated by two separate regression models. Weights from each model are combined to predict how many ED visits</w:t>
            </w:r>
          </w:p>
        </w:tc>
      </w:tr>
      <w:tr w:rsidR="008468F6" w:rsidRPr="005D4222" w14:paraId="3D19F3DF" w14:textId="77777777" w:rsidTr="00AC5728">
        <w:tblPrEx>
          <w:tblBorders>
            <w:top w:val="single" w:sz="4" w:space="0" w:color="auto"/>
            <w:bottom w:val="single" w:sz="4" w:space="0" w:color="auto"/>
            <w:insideH w:val="single" w:sz="4" w:space="0" w:color="auto"/>
            <w:insideV w:val="single" w:sz="4" w:space="0" w:color="auto"/>
          </w:tblBorders>
        </w:tblPrEx>
        <w:tc>
          <w:tcPr>
            <w:tcW w:w="2157" w:type="dxa"/>
            <w:tcBorders>
              <w:bottom w:val="single" w:sz="4" w:space="0" w:color="auto"/>
            </w:tcBorders>
            <w:shd w:val="clear" w:color="auto" w:fill="BFBFBF" w:themeFill="background1" w:themeFillShade="BF"/>
            <w:tcMar>
              <w:top w:w="0" w:type="dxa"/>
              <w:left w:w="86" w:type="dxa"/>
              <w:bottom w:w="43" w:type="dxa"/>
              <w:right w:w="86" w:type="dxa"/>
            </w:tcMar>
          </w:tcPr>
          <w:p w14:paraId="7EDA97C6" w14:textId="77777777" w:rsidR="008468F6" w:rsidRPr="005D4222" w:rsidRDefault="008468F6" w:rsidP="00A53E8C">
            <w:pPr>
              <w:pStyle w:val="ECDSMarginHead"/>
            </w:pPr>
          </w:p>
        </w:tc>
        <w:tc>
          <w:tcPr>
            <w:tcW w:w="7557" w:type="dxa"/>
            <w:tcBorders>
              <w:bottom w:val="single" w:sz="4" w:space="0" w:color="auto"/>
            </w:tcBorders>
            <w:tcMar>
              <w:left w:w="86" w:type="dxa"/>
              <w:bottom w:w="43" w:type="dxa"/>
              <w:right w:w="86" w:type="dxa"/>
            </w:tcMar>
          </w:tcPr>
          <w:p w14:paraId="22FD8CFA" w14:textId="77777777" w:rsidR="008468F6" w:rsidRPr="005D4222" w:rsidRDefault="008468F6" w:rsidP="00A53E8C">
            <w:pPr>
              <w:pStyle w:val="ECDSBody"/>
              <w:rPr>
                <w:color w:val="000000"/>
                <w:shd w:val="clear" w:color="auto" w:fill="FFFFFF"/>
              </w:rPr>
            </w:pPr>
            <w:r w:rsidRPr="005D4222">
              <w:rPr>
                <w:color w:val="000000"/>
                <w:shd w:val="clear" w:color="auto" w:fill="FFFFFF"/>
              </w:rPr>
              <w:t xml:space="preserve">for hypoglycemia each person might have during the measurement period. Weights are specific to measure rate (rate 1—all persons with diabetes, rate 2—persons receiving insulin). </w:t>
            </w:r>
          </w:p>
          <w:p w14:paraId="74162B02" w14:textId="77777777" w:rsidR="008468F6" w:rsidRPr="005D4222" w:rsidRDefault="008468F6" w:rsidP="00A53E8C">
            <w:pPr>
              <w:pStyle w:val="Note"/>
            </w:pPr>
            <w:r w:rsidRPr="005D4222">
              <w:rPr>
                <w:b/>
              </w:rPr>
              <w:t xml:space="preserve">Note: </w:t>
            </w:r>
            <w:r w:rsidRPr="005D4222">
              <w:t xml:space="preserve">Persons receiving insulin should be assigned two sets of risk adjustment weights; the standard set of risk weights for reporting in rate 1 (“Diabetes” metric in reporting table EDH-3) and the insulin set of risk weights for reporting in rate 2 (“Insulin” metric in reporting table EDH-3). For reporting persons receiving insulin, do not assign the insulin set of risk weights when reporting rate 1 and do not assign the standard set of risk weights when reporting rate 2. </w:t>
            </w:r>
          </w:p>
          <w:p w14:paraId="117CE3EA" w14:textId="77777777" w:rsidR="008468F6" w:rsidRPr="005D4222" w:rsidRDefault="008468F6" w:rsidP="00A53E8C">
            <w:pPr>
              <w:pStyle w:val="ECDSBody"/>
              <w:rPr>
                <w:i/>
                <w:color w:val="000000"/>
                <w:shd w:val="clear" w:color="auto" w:fill="FFFFFF"/>
              </w:rPr>
            </w:pPr>
            <w:r w:rsidRPr="005D4222">
              <w:rPr>
                <w:color w:val="000000"/>
                <w:shd w:val="clear" w:color="auto" w:fill="FFFFFF"/>
              </w:rPr>
              <w:t>For each person in the initial population, assign PPV risk weights. If no weight is specified for a variable, the variable is not included and should be omitted from the calculation of the predicted values for that model (e.g., basal insulin is not included as a variable in the set of risk weights for rate 2).</w:t>
            </w:r>
          </w:p>
          <w:p w14:paraId="7F4048F8" w14:textId="77777777" w:rsidR="008468F6" w:rsidRPr="005D4222" w:rsidRDefault="008468F6" w:rsidP="00A53E8C">
            <w:pPr>
              <w:pStyle w:val="ECDSBody"/>
            </w:pPr>
            <w:r w:rsidRPr="005D4222">
              <w:rPr>
                <w:b/>
                <w:color w:val="000000"/>
              </w:rPr>
              <w:t>Step 1.</w:t>
            </w:r>
            <w:r w:rsidRPr="005D4222">
              <w:rPr>
                <w:color w:val="000000"/>
              </w:rPr>
              <w:t xml:space="preserve"> </w:t>
            </w:r>
            <w:r w:rsidRPr="005D4222">
              <w:t>For each person receiving basal insulin, link the basal insulin PPV weight.</w:t>
            </w:r>
          </w:p>
          <w:p w14:paraId="603C3E70" w14:textId="77777777" w:rsidR="008468F6" w:rsidRPr="005D4222" w:rsidRDefault="008468F6" w:rsidP="00A53E8C">
            <w:pPr>
              <w:pStyle w:val="ECDSBody"/>
            </w:pPr>
            <w:r w:rsidRPr="005D4222">
              <w:rPr>
                <w:b/>
              </w:rPr>
              <w:t>Step 2.</w:t>
            </w:r>
            <w:r w:rsidRPr="005D4222">
              <w:t xml:space="preserve"> For each person with a comorbidity HCC category, link the PPV weights.</w:t>
            </w:r>
          </w:p>
          <w:p w14:paraId="023441B5" w14:textId="77777777" w:rsidR="008468F6" w:rsidRPr="005D4222" w:rsidRDefault="008468F6" w:rsidP="00A53E8C">
            <w:pPr>
              <w:pStyle w:val="ECDSBody"/>
            </w:pPr>
            <w:r w:rsidRPr="005D4222">
              <w:rPr>
                <w:b/>
              </w:rPr>
              <w:t>Step 3.</w:t>
            </w:r>
            <w:r w:rsidRPr="005D4222">
              <w:t xml:space="preserve"> Link the age-gender PPV weights for each person.</w:t>
            </w:r>
          </w:p>
          <w:p w14:paraId="29C96943" w14:textId="77777777" w:rsidR="008468F6" w:rsidRPr="005D4222" w:rsidRDefault="008468F6" w:rsidP="00A53E8C">
            <w:pPr>
              <w:pStyle w:val="ECDSBody"/>
            </w:pPr>
            <w:r w:rsidRPr="005D4222">
              <w:rPr>
                <w:b/>
              </w:rPr>
              <w:t>Step 4.</w:t>
            </w:r>
            <w:r w:rsidRPr="005D4222">
              <w:t xml:space="preserve"> Sum all PPV weights (basal insulin, comorbidities, age and gender) associated with the person.</w:t>
            </w:r>
          </w:p>
          <w:p w14:paraId="2ED80523" w14:textId="77777777" w:rsidR="008468F6" w:rsidRPr="005D4222" w:rsidRDefault="008468F6" w:rsidP="00A53E8C">
            <w:pPr>
              <w:pStyle w:val="ECDSBody"/>
            </w:pPr>
            <w:r w:rsidRPr="005D4222">
              <w:rPr>
                <w:b/>
              </w:rPr>
              <w:t>Step 5.</w:t>
            </w:r>
            <w:r w:rsidRPr="005D4222">
              <w:t xml:space="preserve"> Calculate the predicted probability of each person having at least one visit based on the sum of the weights for each person using the formula below.</w:t>
            </w:r>
          </w:p>
          <w:p w14:paraId="3049D95F" w14:textId="77777777" w:rsidR="008468F6" w:rsidRPr="005D4222" w:rsidRDefault="008468F6" w:rsidP="00A53E8C">
            <w:pPr>
              <w:pStyle w:val="Note"/>
              <w:spacing w:before="240" w:after="240"/>
              <w:jc w:val="center"/>
              <w:rPr>
                <w:i w:val="0"/>
                <w:sz w:val="24"/>
              </w:rPr>
            </w:pPr>
            <w:r w:rsidRPr="005D4222">
              <w:rPr>
                <w:i w:val="0"/>
              </w:rPr>
              <w:t xml:space="preserve">PPV = </w:t>
            </w:r>
            <m:oMath>
              <m:f>
                <m:fPr>
                  <m:ctrlPr>
                    <w:rPr>
                      <w:rFonts w:ascii="Cambria Math" w:hAnsi="Cambria Math" w:cs="Arial"/>
                      <w:i w:val="0"/>
                      <w:sz w:val="24"/>
                    </w:rPr>
                  </m:ctrlPr>
                </m:fPr>
                <m:num>
                  <m:sSup>
                    <m:sSupPr>
                      <m:ctrlPr>
                        <w:rPr>
                          <w:rFonts w:ascii="Cambria Math" w:hAnsi="Cambria Math" w:cs="Arial"/>
                          <w:i w:val="0"/>
                          <w:sz w:val="24"/>
                        </w:rPr>
                      </m:ctrlPr>
                    </m:sSupPr>
                    <m:e>
                      <m:r>
                        <w:rPr>
                          <w:rFonts w:ascii="Cambria Math" w:hAnsi="Cambria Math" w:cs="Arial"/>
                          <w:sz w:val="24"/>
                        </w:rPr>
                        <m:t>e</m:t>
                      </m:r>
                    </m:e>
                    <m:sup>
                      <m:r>
                        <w:rPr>
                          <w:rFonts w:ascii="Cambria Math" w:hAnsi="Cambria Math" w:cs="Arial"/>
                          <w:sz w:val="24"/>
                        </w:rPr>
                        <m:t>(</m:t>
                      </m:r>
                      <m:nary>
                        <m:naryPr>
                          <m:chr m:val="∑"/>
                          <m:limLoc m:val="undOvr"/>
                          <m:subHide m:val="1"/>
                          <m:supHide m:val="1"/>
                          <m:ctrlPr>
                            <w:rPr>
                              <w:rFonts w:ascii="Cambria Math" w:hAnsi="Cambria Math" w:cs="Arial"/>
                              <w:i w:val="0"/>
                              <w:sz w:val="24"/>
                            </w:rPr>
                          </m:ctrlPr>
                        </m:naryPr>
                        <m:sub/>
                        <m:sup/>
                        <m:e>
                          <m:r>
                            <m:rPr>
                              <m:nor/>
                            </m:rPr>
                            <w:rPr>
                              <w:rFonts w:cs="Arial"/>
                              <w:i w:val="0"/>
                              <w:sz w:val="24"/>
                            </w:rPr>
                            <m:t>PP</m:t>
                          </m:r>
                          <m:r>
                            <m:rPr>
                              <m:nor/>
                            </m:rPr>
                            <w:rPr>
                              <w:rFonts w:ascii="Cambria Math" w:cs="Arial"/>
                              <w:i w:val="0"/>
                              <w:sz w:val="24"/>
                            </w:rPr>
                            <m:t>V</m:t>
                          </m:r>
                          <m:r>
                            <m:rPr>
                              <m:nor/>
                            </m:rPr>
                            <w:rPr>
                              <w:rFonts w:cs="Arial"/>
                              <w:i w:val="0"/>
                              <w:sz w:val="24"/>
                            </w:rPr>
                            <m:t xml:space="preserve"> WeightsForEach</m:t>
                          </m:r>
                          <m:r>
                            <m:rPr>
                              <m:nor/>
                            </m:rPr>
                            <w:rPr>
                              <w:rFonts w:ascii="Cambria Math" w:cs="Arial"/>
                              <w:i w:val="0"/>
                              <w:sz w:val="24"/>
                            </w:rPr>
                            <m:t>Person</m:t>
                          </m:r>
                        </m:e>
                      </m:nary>
                      <m:r>
                        <w:rPr>
                          <w:rFonts w:ascii="Cambria Math" w:hAnsi="Cambria Math" w:cs="Arial"/>
                          <w:sz w:val="24"/>
                        </w:rPr>
                        <m:t>)</m:t>
                      </m:r>
                    </m:sup>
                  </m:sSup>
                </m:num>
                <m:den>
                  <m:r>
                    <w:rPr>
                      <w:rFonts w:ascii="Cambria Math" w:hAnsi="Cambria Math" w:cs="Arial"/>
                      <w:sz w:val="24"/>
                    </w:rPr>
                    <m:t>1+</m:t>
                  </m:r>
                  <m:sSup>
                    <m:sSupPr>
                      <m:ctrlPr>
                        <w:rPr>
                          <w:rFonts w:ascii="Cambria Math" w:hAnsi="Cambria Math" w:cs="Arial"/>
                          <w:i w:val="0"/>
                          <w:sz w:val="24"/>
                        </w:rPr>
                      </m:ctrlPr>
                    </m:sSupPr>
                    <m:e>
                      <m:r>
                        <w:rPr>
                          <w:rFonts w:ascii="Cambria Math" w:hAnsi="Cambria Math" w:cs="Arial"/>
                          <w:sz w:val="24"/>
                        </w:rPr>
                        <m:t>e</m:t>
                      </m:r>
                    </m:e>
                    <m:sup>
                      <m:r>
                        <w:rPr>
                          <w:rFonts w:ascii="Cambria Math" w:hAnsi="Cambria Math" w:cs="Arial"/>
                          <w:sz w:val="24"/>
                        </w:rPr>
                        <m:t>(</m:t>
                      </m:r>
                      <m:nary>
                        <m:naryPr>
                          <m:chr m:val="∑"/>
                          <m:limLoc m:val="undOvr"/>
                          <m:subHide m:val="1"/>
                          <m:supHide m:val="1"/>
                          <m:ctrlPr>
                            <w:rPr>
                              <w:rFonts w:ascii="Cambria Math" w:hAnsi="Cambria Math" w:cs="Arial"/>
                              <w:i w:val="0"/>
                              <w:sz w:val="24"/>
                            </w:rPr>
                          </m:ctrlPr>
                        </m:naryPr>
                        <m:sub/>
                        <m:sup/>
                        <m:e>
                          <m:r>
                            <m:rPr>
                              <m:nor/>
                            </m:rPr>
                            <w:rPr>
                              <w:rFonts w:cs="Arial"/>
                              <w:i w:val="0"/>
                              <w:sz w:val="24"/>
                            </w:rPr>
                            <m:t>PPV WeightsForEachPerson</m:t>
                          </m:r>
                        </m:e>
                      </m:nary>
                      <m:r>
                        <w:rPr>
                          <w:rFonts w:ascii="Cambria Math" w:hAnsi="Cambria Math" w:cs="Arial"/>
                          <w:sz w:val="24"/>
                        </w:rPr>
                        <m:t>)</m:t>
                      </m:r>
                    </m:sup>
                  </m:sSup>
                </m:den>
              </m:f>
            </m:oMath>
          </w:p>
          <w:p w14:paraId="1C24DA32" w14:textId="77777777" w:rsidR="008468F6" w:rsidRPr="005D4222" w:rsidRDefault="008468F6" w:rsidP="00A53E8C">
            <w:pPr>
              <w:pStyle w:val="ECDSBody"/>
            </w:pPr>
            <w:r w:rsidRPr="005D4222">
              <w:t>Truncate the final PPV for each person to 10 decimal places. Do not truncate or round in previous steps.</w:t>
            </w:r>
          </w:p>
          <w:p w14:paraId="4CD36AFB" w14:textId="77777777" w:rsidR="008468F6" w:rsidRPr="005D4222" w:rsidRDefault="008468F6" w:rsidP="00A53E8C">
            <w:pPr>
              <w:pStyle w:val="ECDSBody"/>
              <w:rPr>
                <w:b/>
              </w:rPr>
            </w:pPr>
            <w:r w:rsidRPr="005D4222">
              <w:rPr>
                <w:b/>
              </w:rPr>
              <w:t>For each person in the initial population, assign predicted unconditional count of visits (PUCV) risk weights.</w:t>
            </w:r>
          </w:p>
          <w:p w14:paraId="65BC0F93" w14:textId="77777777" w:rsidR="008468F6" w:rsidRPr="005D4222" w:rsidRDefault="008468F6" w:rsidP="00A53E8C">
            <w:pPr>
              <w:pStyle w:val="ECDSBody"/>
            </w:pPr>
            <w:r w:rsidRPr="005D4222">
              <w:rPr>
                <w:b/>
                <w:shd w:val="clear" w:color="auto" w:fill="FFFFFF"/>
              </w:rPr>
              <w:t>Step 1.</w:t>
            </w:r>
            <w:r w:rsidRPr="005D4222">
              <w:rPr>
                <w:shd w:val="clear" w:color="auto" w:fill="FFFFFF"/>
              </w:rPr>
              <w:t xml:space="preserve"> </w:t>
            </w:r>
            <w:r w:rsidRPr="005D4222">
              <w:t>For each person receiving basal insulin, link the PUCV weights. If a person is not receiving basal insulin, assign a weight of 1.</w:t>
            </w:r>
          </w:p>
          <w:p w14:paraId="7AAE65EC" w14:textId="77777777" w:rsidR="008468F6" w:rsidRPr="005D4222" w:rsidRDefault="008468F6" w:rsidP="00A53E8C">
            <w:pPr>
              <w:pStyle w:val="ECDSBody"/>
            </w:pPr>
            <w:r w:rsidRPr="005D4222">
              <w:rPr>
                <w:b/>
              </w:rPr>
              <w:t>Step 2.</w:t>
            </w:r>
            <w:r w:rsidRPr="005D4222">
              <w:t xml:space="preserve"> For each person with a comorbidity HCC category, link the PUCV weights. If a person does not have any comorbidities to which weights can be linked, assign a weight of 1.</w:t>
            </w:r>
          </w:p>
          <w:p w14:paraId="0F8901AD" w14:textId="77777777" w:rsidR="008468F6" w:rsidRPr="005D4222" w:rsidRDefault="008468F6" w:rsidP="00A53E8C">
            <w:pPr>
              <w:pStyle w:val="ECDSBody"/>
            </w:pPr>
            <w:r w:rsidRPr="005D4222">
              <w:rPr>
                <w:b/>
              </w:rPr>
              <w:t>Step 3.</w:t>
            </w:r>
            <w:r w:rsidRPr="005D4222">
              <w:t xml:space="preserve"> Link the age-gender PUCV weights for each person.</w:t>
            </w:r>
          </w:p>
          <w:p w14:paraId="161215E7" w14:textId="77777777" w:rsidR="008468F6" w:rsidRPr="005D4222" w:rsidRDefault="008468F6" w:rsidP="00A53E8C">
            <w:pPr>
              <w:pStyle w:val="ECDSBody"/>
              <w:rPr>
                <w:iCs/>
              </w:rPr>
            </w:pPr>
            <w:r w:rsidRPr="005D4222">
              <w:rPr>
                <w:b/>
              </w:rPr>
              <w:t>Step 4.</w:t>
            </w:r>
            <w:r w:rsidRPr="005D4222">
              <w:t xml:space="preserve"> Calcu</w:t>
            </w:r>
            <w:r w:rsidRPr="005D4222">
              <w:rPr>
                <w:iCs/>
              </w:rPr>
              <w:t>late the predicted unconditional count of visits in the measurement period, by multiplying all PUCV weights (basal insulin, comorbidities, age and gender). Use the following formula:</w:t>
            </w:r>
          </w:p>
          <w:p w14:paraId="4EDF0068" w14:textId="77777777" w:rsidR="008468F6" w:rsidRPr="005D4222" w:rsidRDefault="008468F6" w:rsidP="00A53E8C">
            <w:pPr>
              <w:pStyle w:val="Body"/>
              <w:spacing w:before="80"/>
              <w:ind w:left="720"/>
            </w:pPr>
            <w:r w:rsidRPr="005D4222">
              <w:t>PUCV = Age/Gender Weight * HCC Weight * Basal Insulin Weight</w:t>
            </w:r>
          </w:p>
          <w:p w14:paraId="5C1F662E" w14:textId="77777777" w:rsidR="008468F6" w:rsidRPr="005D4222" w:rsidRDefault="008468F6" w:rsidP="00A53E8C">
            <w:pPr>
              <w:pStyle w:val="Note"/>
            </w:pPr>
            <w:r w:rsidRPr="005D4222">
              <w:rPr>
                <w:b/>
                <w:bCs/>
              </w:rPr>
              <w:t>Note:</w:t>
            </w:r>
            <w:r w:rsidRPr="005D4222">
              <w:t xml:space="preserve"> Multiply by each HCC associated with the person. For example, assume a person with HCC-51, HCC-85, HCC-134. The formula would be:</w:t>
            </w:r>
          </w:p>
          <w:p w14:paraId="3B9FC8BB" w14:textId="77777777" w:rsidR="008468F6" w:rsidRPr="005D4222" w:rsidRDefault="008468F6" w:rsidP="00A53E8C">
            <w:pPr>
              <w:pStyle w:val="Note"/>
              <w:spacing w:before="60"/>
              <w:jc w:val="center"/>
            </w:pPr>
            <w:r w:rsidRPr="005D4222">
              <w:t>PUCV = Age/gender Weight * HCC-51 * HCC-85 * HCC-134</w:t>
            </w:r>
          </w:p>
          <w:p w14:paraId="7BE4757D" w14:textId="77777777" w:rsidR="008468F6" w:rsidRPr="005D4222" w:rsidRDefault="008468F6" w:rsidP="00A53E8C">
            <w:pPr>
              <w:pStyle w:val="ECDSBody"/>
            </w:pPr>
            <w:r w:rsidRPr="005D4222">
              <w:t>Truncate the final PUCV for each person to 10 decimal places. Do not truncate or round in previous steps.</w:t>
            </w:r>
          </w:p>
          <w:p w14:paraId="067C2829" w14:textId="77777777" w:rsidR="008468F6" w:rsidRPr="005D4222" w:rsidRDefault="008468F6" w:rsidP="00A53E8C">
            <w:pPr>
              <w:pStyle w:val="ECDSBody"/>
              <w:spacing w:before="180"/>
            </w:pPr>
            <w:r w:rsidRPr="005D4222">
              <w:rPr>
                <w:bCs w:val="0"/>
                <w:i/>
                <w:iCs/>
              </w:rPr>
              <w:lastRenderedPageBreak/>
              <w:t xml:space="preserve">Expected count of ED visits. </w:t>
            </w:r>
            <w:r w:rsidRPr="005D4222">
              <w:t>Calculate the final person-level expected count of ED visits for hypoglycemia for each category (i.e., rate and dual-eligibility stratification) using the formula below.</w:t>
            </w:r>
          </w:p>
          <w:p w14:paraId="641D6829" w14:textId="77777777" w:rsidR="008468F6" w:rsidRPr="005D4222" w:rsidRDefault="008468F6" w:rsidP="00A53E8C">
            <w:pPr>
              <w:pStyle w:val="Body"/>
              <w:jc w:val="center"/>
            </w:pPr>
            <w:r w:rsidRPr="005D4222">
              <w:t>Expected Count of ED Visits = PPV x PUCV</w:t>
            </w:r>
          </w:p>
          <w:p w14:paraId="5731E0BC" w14:textId="77777777" w:rsidR="008468F6" w:rsidRPr="005D4222" w:rsidRDefault="008468F6" w:rsidP="00A53E8C">
            <w:pPr>
              <w:pStyle w:val="ECDSBody"/>
            </w:pPr>
            <w:r w:rsidRPr="005D4222">
              <w:t>Round the person-level results to 4 decimal places using the .5 rule and sum over all persons in the category.</w:t>
            </w:r>
          </w:p>
          <w:p w14:paraId="2F875F18" w14:textId="77777777" w:rsidR="008468F6" w:rsidRPr="005D4222" w:rsidRDefault="008468F6" w:rsidP="00A53E8C">
            <w:pPr>
              <w:pStyle w:val="ECDSBody"/>
            </w:pPr>
            <w:r w:rsidRPr="005D4222">
              <w:rPr>
                <w:b/>
              </w:rPr>
              <w:t>Step 5.</w:t>
            </w:r>
            <w:r w:rsidRPr="005D4222">
              <w:t xml:space="preserve"> Use the formula below to calculate the covariance of the predicted outcomes for each category (i.e., rate and dual-eligibility stratification). For categories with a single person (</w:t>
            </w:r>
            <w:r w:rsidRPr="005D4222">
              <w:rPr>
                <w:rFonts w:ascii="Cambria Math" w:hAnsi="Cambria Math"/>
                <w:i/>
                <w:iCs/>
              </w:rPr>
              <w:t>n</w:t>
            </w:r>
            <w:r w:rsidRPr="005D4222">
              <w:rPr>
                <w:rFonts w:ascii="Cambria Math" w:hAnsi="Cambria Math"/>
                <w:vertAlign w:val="subscript"/>
              </w:rPr>
              <w:t>c</w:t>
            </w:r>
            <w:r w:rsidRPr="005D4222">
              <w:t>=1), set the covariance to zero. Do not round the covariance before using it in step 5.</w:t>
            </w:r>
          </w:p>
          <w:p w14:paraId="7757EA8A" w14:textId="77777777" w:rsidR="008468F6" w:rsidRPr="005D4222" w:rsidRDefault="00000000" w:rsidP="00A53E8C">
            <w:pPr>
              <w:pStyle w:val="Note"/>
              <w:spacing w:after="80"/>
              <w:rPr>
                <w:szCs w:val="21"/>
              </w:rPr>
            </w:pPr>
            <m:oMathPara>
              <m:oMath>
                <m:sSub>
                  <m:sSubPr>
                    <m:ctrlPr>
                      <w:rPr>
                        <w:rFonts w:ascii="Cambria Math" w:hAnsi="Cambria Math"/>
                        <w:szCs w:val="21"/>
                      </w:rPr>
                    </m:ctrlPr>
                  </m:sSubPr>
                  <m:e>
                    <m:r>
                      <w:rPr>
                        <w:rFonts w:ascii="Cambria Math" w:hAnsi="Cambria Math"/>
                        <w:szCs w:val="21"/>
                      </w:rPr>
                      <m:t>COV</m:t>
                    </m:r>
                  </m:e>
                  <m:sub>
                    <m:r>
                      <w:rPr>
                        <w:rFonts w:ascii="Cambria Math" w:hAnsi="Cambria Math"/>
                        <w:szCs w:val="21"/>
                      </w:rPr>
                      <m:t>c</m:t>
                    </m:r>
                  </m:sub>
                </m:sSub>
                <m:r>
                  <w:rPr>
                    <w:rFonts w:ascii="Cambria Math" w:hAnsi="Cambria Math"/>
                    <w:szCs w:val="21"/>
                  </w:rPr>
                  <m:t>=</m:t>
                </m:r>
                <m:f>
                  <m:fPr>
                    <m:ctrlPr>
                      <w:rPr>
                        <w:rFonts w:ascii="Cambria Math" w:hAnsi="Cambria Math"/>
                        <w:szCs w:val="21"/>
                      </w:rPr>
                    </m:ctrlPr>
                  </m:fPr>
                  <m:num>
                    <m:nary>
                      <m:naryPr>
                        <m:chr m:val="∑"/>
                        <m:limLoc m:val="undOvr"/>
                        <m:ctrlPr>
                          <w:rPr>
                            <w:rFonts w:ascii="Cambria Math" w:hAnsi="Cambria Math"/>
                            <w:szCs w:val="21"/>
                          </w:rPr>
                        </m:ctrlPr>
                      </m:naryPr>
                      <m:sub>
                        <m:r>
                          <w:rPr>
                            <w:rFonts w:ascii="Cambria Math" w:hAnsi="Cambria Math"/>
                            <w:szCs w:val="21"/>
                          </w:rPr>
                          <m:t>m</m:t>
                        </m:r>
                        <m:r>
                          <w:rPr>
                            <w:rFonts w:ascii="Cambria Math" w:hAnsi="Cambria Math"/>
                            <w:szCs w:val="21"/>
                          </w:rPr>
                          <m:t>=1</m:t>
                        </m:r>
                      </m:sub>
                      <m:sup>
                        <m:sSub>
                          <m:sSubPr>
                            <m:ctrlPr>
                              <w:rPr>
                                <w:rFonts w:ascii="Cambria Math" w:hAnsi="Cambria Math"/>
                                <w:szCs w:val="21"/>
                              </w:rPr>
                            </m:ctrlPr>
                          </m:sSubPr>
                          <m:e>
                            <m:r>
                              <w:rPr>
                                <w:rFonts w:ascii="Cambria Math" w:hAnsi="Cambria Math"/>
                                <w:szCs w:val="21"/>
                              </w:rPr>
                              <m:t>n</m:t>
                            </m:r>
                          </m:e>
                          <m:sub>
                            <m:r>
                              <w:rPr>
                                <w:rFonts w:ascii="Cambria Math" w:hAnsi="Cambria Math"/>
                                <w:szCs w:val="21"/>
                              </w:rPr>
                              <m:t>c</m:t>
                            </m:r>
                          </m:sub>
                        </m:sSub>
                      </m:sup>
                      <m:e>
                        <m:d>
                          <m:dPr>
                            <m:ctrlPr>
                              <w:rPr>
                                <w:rFonts w:ascii="Cambria Math" w:hAnsi="Cambria Math"/>
                                <w:szCs w:val="21"/>
                              </w:rPr>
                            </m:ctrlPr>
                          </m:dPr>
                          <m:e>
                            <m:sSub>
                              <m:sSubPr>
                                <m:ctrlPr>
                                  <w:rPr>
                                    <w:rFonts w:ascii="Cambria Math" w:hAnsi="Cambria Math"/>
                                    <w:szCs w:val="21"/>
                                  </w:rPr>
                                </m:ctrlPr>
                              </m:sSubPr>
                              <m:e>
                                <m:r>
                                  <w:rPr>
                                    <w:rFonts w:ascii="Cambria Math" w:hAnsi="Cambria Math"/>
                                    <w:szCs w:val="21"/>
                                  </w:rPr>
                                  <m:t>PPV</m:t>
                                </m:r>
                              </m:e>
                              <m:sub>
                                <m:r>
                                  <w:rPr>
                                    <w:rFonts w:ascii="Cambria Math" w:hAnsi="Cambria Math"/>
                                    <w:szCs w:val="21"/>
                                  </w:rPr>
                                  <m:t>m</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mean</m:t>
                                </m:r>
                                <m:r>
                                  <w:rPr>
                                    <w:rFonts w:ascii="Cambria Math" w:hAnsi="Cambria Math"/>
                                    <w:szCs w:val="21"/>
                                  </w:rPr>
                                  <m:t>(</m:t>
                                </m:r>
                                <m:r>
                                  <w:rPr>
                                    <w:rFonts w:ascii="Cambria Math" w:hAnsi="Cambria Math"/>
                                    <w:szCs w:val="21"/>
                                  </w:rPr>
                                  <m:t>PPV</m:t>
                                </m:r>
                                <m:r>
                                  <w:rPr>
                                    <w:rFonts w:ascii="Cambria Math" w:hAnsi="Cambria Math"/>
                                    <w:szCs w:val="21"/>
                                  </w:rPr>
                                  <m:t>)</m:t>
                                </m:r>
                              </m:e>
                              <m:sub>
                                <m:r>
                                  <w:rPr>
                                    <w:rFonts w:ascii="Cambria Math" w:hAnsi="Cambria Math"/>
                                    <w:szCs w:val="21"/>
                                  </w:rPr>
                                  <m:t>c</m:t>
                                </m:r>
                              </m:sub>
                            </m:sSub>
                          </m:e>
                        </m:d>
                        <m:r>
                          <w:rPr>
                            <w:rFonts w:ascii="Cambria Math" w:hAnsi="Cambria Math"/>
                            <w:szCs w:val="21"/>
                          </w:rPr>
                          <m:t xml:space="preserve"> × </m:t>
                        </m:r>
                        <m:d>
                          <m:dPr>
                            <m:ctrlPr>
                              <w:rPr>
                                <w:rFonts w:ascii="Cambria Math" w:hAnsi="Cambria Math"/>
                                <w:szCs w:val="21"/>
                              </w:rPr>
                            </m:ctrlPr>
                          </m:dPr>
                          <m:e>
                            <m:sSub>
                              <m:sSubPr>
                                <m:ctrlPr>
                                  <w:rPr>
                                    <w:rFonts w:ascii="Cambria Math" w:hAnsi="Cambria Math"/>
                                    <w:szCs w:val="21"/>
                                  </w:rPr>
                                </m:ctrlPr>
                              </m:sSubPr>
                              <m:e>
                                <m:r>
                                  <w:rPr>
                                    <w:rFonts w:ascii="Cambria Math" w:hAnsi="Cambria Math"/>
                                    <w:szCs w:val="21"/>
                                  </w:rPr>
                                  <m:t>PUCV</m:t>
                                </m:r>
                              </m:e>
                              <m:sub>
                                <m:r>
                                  <w:rPr>
                                    <w:rFonts w:ascii="Cambria Math" w:hAnsi="Cambria Math"/>
                                    <w:szCs w:val="21"/>
                                  </w:rPr>
                                  <m:t>m</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mean</m:t>
                                </m:r>
                                <m:r>
                                  <w:rPr>
                                    <w:rFonts w:ascii="Cambria Math" w:hAnsi="Cambria Math"/>
                                    <w:szCs w:val="21"/>
                                  </w:rPr>
                                  <m:t>(</m:t>
                                </m:r>
                                <m:r>
                                  <w:rPr>
                                    <w:rFonts w:ascii="Cambria Math" w:hAnsi="Cambria Math"/>
                                    <w:szCs w:val="21"/>
                                  </w:rPr>
                                  <m:t>PUCV</m:t>
                                </m:r>
                                <m:r>
                                  <w:rPr>
                                    <w:rFonts w:ascii="Cambria Math" w:hAnsi="Cambria Math"/>
                                    <w:szCs w:val="21"/>
                                  </w:rPr>
                                  <m:t>)</m:t>
                                </m:r>
                              </m:e>
                              <m:sub>
                                <m:r>
                                  <w:rPr>
                                    <w:rFonts w:ascii="Cambria Math" w:hAnsi="Cambria Math"/>
                                    <w:szCs w:val="21"/>
                                  </w:rPr>
                                  <m:t>c</m:t>
                                </m:r>
                              </m:sub>
                            </m:sSub>
                          </m:e>
                        </m:d>
                      </m:e>
                    </m:nary>
                  </m:num>
                  <m:den>
                    <m:sSub>
                      <m:sSubPr>
                        <m:ctrlPr>
                          <w:rPr>
                            <w:rFonts w:ascii="Cambria Math" w:hAnsi="Cambria Math"/>
                            <w:szCs w:val="21"/>
                          </w:rPr>
                        </m:ctrlPr>
                      </m:sSubPr>
                      <m:e>
                        <m:r>
                          <w:rPr>
                            <w:rFonts w:ascii="Cambria Math" w:hAnsi="Cambria Math"/>
                            <w:szCs w:val="21"/>
                          </w:rPr>
                          <m:t>n</m:t>
                        </m:r>
                      </m:e>
                      <m:sub>
                        <m:r>
                          <w:rPr>
                            <w:rFonts w:ascii="Cambria Math" w:hAnsi="Cambria Math"/>
                            <w:szCs w:val="21"/>
                          </w:rPr>
                          <m:t>c</m:t>
                        </m:r>
                      </m:sub>
                    </m:sSub>
                    <m:r>
                      <w:rPr>
                        <w:rFonts w:ascii="Cambria Math" w:hAnsi="Cambria Math"/>
                        <w:szCs w:val="21"/>
                      </w:rPr>
                      <m:t>-1</m:t>
                    </m:r>
                  </m:den>
                </m:f>
              </m:oMath>
            </m:oMathPara>
          </w:p>
          <w:p w14:paraId="02CDB3A3" w14:textId="77777777" w:rsidR="008468F6" w:rsidRPr="005D4222" w:rsidRDefault="008468F6" w:rsidP="00A53E8C">
            <w:r w:rsidRPr="005D4222">
              <w:t>Where:</w:t>
            </w:r>
          </w:p>
          <w:p w14:paraId="28711F4D" w14:textId="77777777" w:rsidR="008468F6" w:rsidRPr="005D4222" w:rsidRDefault="00010176" w:rsidP="00A53E8C">
            <w:pPr>
              <w:spacing w:before="60"/>
              <w:ind w:left="1416" w:hanging="1416"/>
              <w:rPr>
                <w:rFonts w:eastAsiaTheme="minorEastAsia"/>
              </w:rPr>
            </w:pPr>
            <m:oMath>
              <m:r>
                <w:rPr>
                  <w:rFonts w:ascii="Cambria Math" w:eastAsiaTheme="minorEastAsia" w:hAnsi="Cambria Math"/>
                </w:rPr>
                <m:t>c</m:t>
              </m:r>
            </m:oMath>
            <w:r w:rsidR="008468F6" w:rsidRPr="005D4222">
              <w:rPr>
                <w:rFonts w:eastAsiaTheme="minorEastAsia"/>
                <w:i/>
              </w:rPr>
              <w:t xml:space="preserve"> </w:t>
            </w:r>
            <w:r w:rsidR="008468F6" w:rsidRPr="005D4222">
              <w:rPr>
                <w:rFonts w:eastAsiaTheme="minorEastAsia"/>
                <w:i/>
              </w:rPr>
              <w:tab/>
            </w:r>
            <w:r w:rsidR="008468F6" w:rsidRPr="005D4222">
              <w:rPr>
                <w:rFonts w:eastAsiaTheme="minorEastAsia"/>
              </w:rPr>
              <w:t>denotes an individual category</w:t>
            </w:r>
          </w:p>
          <w:p w14:paraId="16CA9176" w14:textId="77777777" w:rsidR="008468F6" w:rsidRPr="005D4222" w:rsidRDefault="00000000" w:rsidP="00A53E8C">
            <w:pPr>
              <w:spacing w:before="60"/>
              <w:ind w:left="1416" w:hanging="1416"/>
              <w:rPr>
                <w:rFonts w:eastAsiaTheme="minorEastAsia"/>
              </w:rPr>
            </w:pPr>
            <m:oMath>
              <m:sSub>
                <m:sSubPr>
                  <m:ctrlPr>
                    <w:rPr>
                      <w:rFonts w:ascii="Cambria Math" w:hAnsi="Cambria Math"/>
                      <w:i/>
                    </w:rPr>
                  </m:ctrlPr>
                </m:sSubPr>
                <m:e>
                  <m:r>
                    <w:rPr>
                      <w:rFonts w:ascii="Cambria Math" w:hAnsi="Cambria Math"/>
                    </w:rPr>
                    <m:t>n</m:t>
                  </m:r>
                </m:e>
                <m:sub>
                  <m:r>
                    <w:rPr>
                      <w:rFonts w:ascii="Cambria Math" w:hAnsi="Cambria Math"/>
                    </w:rPr>
                    <m:t>c</m:t>
                  </m:r>
                </m:sub>
              </m:sSub>
            </m:oMath>
            <w:r w:rsidR="008468F6" w:rsidRPr="005D4222">
              <w:rPr>
                <w:rFonts w:eastAsiaTheme="minorEastAsia"/>
              </w:rPr>
              <w:t xml:space="preserve"> </w:t>
            </w:r>
            <w:r w:rsidR="008468F6" w:rsidRPr="005D4222">
              <w:rPr>
                <w:rFonts w:eastAsiaTheme="minorEastAsia"/>
              </w:rPr>
              <w:tab/>
              <w:t xml:space="preserve">is the number of persons in the category indicated by </w:t>
            </w:r>
            <m:oMath>
              <m:r>
                <w:rPr>
                  <w:rFonts w:ascii="Cambria Math" w:eastAsiaTheme="minorEastAsia" w:hAnsi="Cambria Math"/>
                </w:rPr>
                <m:t>c</m:t>
              </m:r>
            </m:oMath>
          </w:p>
          <w:p w14:paraId="743B2718" w14:textId="77777777" w:rsidR="008468F6" w:rsidRPr="005D4222" w:rsidRDefault="00010176" w:rsidP="00A53E8C">
            <w:pPr>
              <w:spacing w:before="60"/>
              <w:ind w:left="1416" w:hanging="1416"/>
              <w:rPr>
                <w:rFonts w:eastAsiaTheme="minorEastAsia"/>
              </w:rPr>
            </w:pPr>
            <m:oMath>
              <m:r>
                <w:rPr>
                  <w:rFonts w:ascii="Cambria Math" w:eastAsiaTheme="minorEastAsia" w:hAnsi="Cambria Math"/>
                </w:rPr>
                <m:t>m</m:t>
              </m:r>
            </m:oMath>
            <w:r w:rsidR="008468F6" w:rsidRPr="005D4222">
              <w:rPr>
                <w:rFonts w:eastAsiaTheme="minorEastAsia"/>
              </w:rPr>
              <w:t xml:space="preserve"> </w:t>
            </w:r>
            <w:r w:rsidR="008468F6" w:rsidRPr="005D4222">
              <w:rPr>
                <w:rFonts w:eastAsiaTheme="minorEastAsia"/>
              </w:rPr>
              <w:tab/>
              <w:t xml:space="preserve">is an individual person within the category indicated by </w:t>
            </w:r>
            <m:oMath>
              <m:r>
                <w:rPr>
                  <w:rFonts w:ascii="Cambria Math" w:eastAsiaTheme="minorEastAsia" w:hAnsi="Cambria Math"/>
                </w:rPr>
                <m:t>c</m:t>
              </m:r>
            </m:oMath>
          </w:p>
          <w:p w14:paraId="1C57ABA6" w14:textId="77777777" w:rsidR="008468F6" w:rsidRPr="005D4222" w:rsidRDefault="00000000" w:rsidP="00A53E8C">
            <w:pPr>
              <w:spacing w:before="60"/>
              <w:ind w:left="1416" w:hanging="1416"/>
              <w:rPr>
                <w:rFonts w:eastAsiaTheme="minorEastAsia"/>
              </w:rPr>
            </w:pPr>
            <m:oMath>
              <m:sSub>
                <m:sSubPr>
                  <m:ctrlPr>
                    <w:rPr>
                      <w:rFonts w:ascii="Cambria Math" w:eastAsiaTheme="minorEastAsia" w:hAnsi="Cambria Math"/>
                      <w:i/>
                    </w:rPr>
                  </m:ctrlPr>
                </m:sSubPr>
                <m:e>
                  <m:r>
                    <w:rPr>
                      <w:rFonts w:ascii="Cambria Math" w:eastAsiaTheme="minorEastAsia" w:hAnsi="Cambria Math"/>
                    </w:rPr>
                    <m:t>PPV</m:t>
                  </m:r>
                </m:e>
                <m:sub>
                  <m:r>
                    <w:rPr>
                      <w:rFonts w:ascii="Cambria Math" w:eastAsiaTheme="minorEastAsia" w:hAnsi="Cambria Math"/>
                    </w:rPr>
                    <m:t>m</m:t>
                  </m:r>
                </m:sub>
              </m:sSub>
            </m:oMath>
            <w:r w:rsidR="008468F6" w:rsidRPr="005D4222">
              <w:rPr>
                <w:rFonts w:eastAsiaTheme="minorEastAsia"/>
              </w:rPr>
              <w:t xml:space="preserve"> </w:t>
            </w:r>
            <w:r w:rsidR="008468F6" w:rsidRPr="005D4222">
              <w:rPr>
                <w:rFonts w:eastAsiaTheme="minorEastAsia"/>
              </w:rPr>
              <w:tab/>
              <w:t xml:space="preserve">is the truncated PPV for the person denoted by </w:t>
            </w:r>
            <m:oMath>
              <m:r>
                <w:rPr>
                  <w:rFonts w:ascii="Cambria Math" w:eastAsiaTheme="minorEastAsia" w:hAnsi="Cambria Math"/>
                </w:rPr>
                <m:t>m</m:t>
              </m:r>
            </m:oMath>
          </w:p>
          <w:p w14:paraId="6A60B061" w14:textId="77777777" w:rsidR="008468F6" w:rsidRPr="005D4222" w:rsidRDefault="00000000" w:rsidP="00A53E8C">
            <w:pPr>
              <w:spacing w:before="60"/>
              <w:ind w:left="1416" w:hanging="1416"/>
              <w:rPr>
                <w:rFonts w:eastAsiaTheme="minorEastAsia"/>
              </w:rPr>
            </w:pPr>
            <m:oMath>
              <m:sSub>
                <m:sSubPr>
                  <m:ctrlPr>
                    <w:rPr>
                      <w:rFonts w:ascii="Cambria Math" w:eastAsiaTheme="minorEastAsia" w:hAnsi="Cambria Math"/>
                      <w:i/>
                    </w:rPr>
                  </m:ctrlPr>
                </m:sSubPr>
                <m:e>
                  <m:r>
                    <w:rPr>
                      <w:rFonts w:ascii="Cambria Math" w:eastAsiaTheme="minorEastAsia" w:hAnsi="Cambria Math"/>
                    </w:rPr>
                    <m:t>mean</m:t>
                  </m:r>
                  <m:r>
                    <w:rPr>
                      <w:rFonts w:ascii="Cambria Math" w:eastAsiaTheme="minorEastAsia" w:hAnsi="Cambria Math"/>
                    </w:rPr>
                    <m:t>(</m:t>
                  </m:r>
                  <m:r>
                    <w:rPr>
                      <w:rFonts w:ascii="Cambria Math" w:eastAsiaTheme="minorEastAsia" w:hAnsi="Cambria Math"/>
                    </w:rPr>
                    <m:t>PPV</m:t>
                  </m:r>
                  <m:r>
                    <w:rPr>
                      <w:rFonts w:ascii="Cambria Math" w:eastAsiaTheme="minorEastAsia" w:hAnsi="Cambria Math"/>
                    </w:rPr>
                    <m:t>)</m:t>
                  </m:r>
                </m:e>
                <m:sub>
                  <m:r>
                    <w:rPr>
                      <w:rFonts w:ascii="Cambria Math" w:eastAsiaTheme="minorEastAsia" w:hAnsi="Cambria Math"/>
                    </w:rPr>
                    <m:t>c</m:t>
                  </m:r>
                </m:sub>
              </m:sSub>
            </m:oMath>
            <w:r w:rsidR="008468F6" w:rsidRPr="005D4222">
              <w:rPr>
                <w:rFonts w:eastAsiaTheme="minorEastAsia"/>
              </w:rPr>
              <w:t xml:space="preserve"> </w:t>
            </w:r>
            <w:r w:rsidR="008468F6" w:rsidRPr="005D4222">
              <w:rPr>
                <w:rFonts w:eastAsiaTheme="minorEastAsia"/>
              </w:rPr>
              <w:tab/>
              <w:t xml:space="preserve">is the unrounded and untruncated mean PPV in the category indicated by </w:t>
            </w:r>
            <m:oMath>
              <m:r>
                <w:rPr>
                  <w:rFonts w:ascii="Cambria Math" w:eastAsiaTheme="minorEastAsia" w:hAnsi="Cambria Math"/>
                </w:rPr>
                <m:t>c</m:t>
              </m:r>
            </m:oMath>
          </w:p>
          <w:p w14:paraId="1A5B7878" w14:textId="77777777" w:rsidR="008468F6" w:rsidRPr="005D4222" w:rsidRDefault="00000000" w:rsidP="00A53E8C">
            <w:pPr>
              <w:spacing w:before="60"/>
              <w:ind w:left="1416" w:hanging="1416"/>
              <w:rPr>
                <w:rFonts w:eastAsiaTheme="minorEastAsia"/>
              </w:rPr>
            </w:pPr>
            <m:oMath>
              <m:sSub>
                <m:sSubPr>
                  <m:ctrlPr>
                    <w:rPr>
                      <w:rFonts w:ascii="Cambria Math" w:eastAsiaTheme="minorEastAsia" w:hAnsi="Cambria Math"/>
                      <w:i/>
                    </w:rPr>
                  </m:ctrlPr>
                </m:sSubPr>
                <m:e>
                  <m:r>
                    <w:rPr>
                      <w:rFonts w:ascii="Cambria Math" w:eastAsiaTheme="minorEastAsia" w:hAnsi="Cambria Math"/>
                    </w:rPr>
                    <m:t>PUCV</m:t>
                  </m:r>
                </m:e>
                <m:sub>
                  <m:r>
                    <w:rPr>
                      <w:rFonts w:ascii="Cambria Math" w:eastAsiaTheme="minorEastAsia" w:hAnsi="Cambria Math"/>
                    </w:rPr>
                    <m:t>m</m:t>
                  </m:r>
                </m:sub>
              </m:sSub>
            </m:oMath>
            <w:r w:rsidR="008468F6" w:rsidRPr="005D4222">
              <w:rPr>
                <w:rFonts w:eastAsiaTheme="minorEastAsia"/>
              </w:rPr>
              <w:t xml:space="preserve"> </w:t>
            </w:r>
            <w:r w:rsidR="008468F6" w:rsidRPr="005D4222">
              <w:rPr>
                <w:rFonts w:eastAsiaTheme="minorEastAsia"/>
              </w:rPr>
              <w:tab/>
              <w:t xml:space="preserve">is the truncated PUCV for the person denoted by </w:t>
            </w:r>
            <m:oMath>
              <m:r>
                <w:rPr>
                  <w:rFonts w:ascii="Cambria Math" w:eastAsiaTheme="minorEastAsia" w:hAnsi="Cambria Math"/>
                </w:rPr>
                <m:t>m</m:t>
              </m:r>
            </m:oMath>
          </w:p>
          <w:p w14:paraId="42295767" w14:textId="77777777" w:rsidR="008468F6" w:rsidRPr="005D4222" w:rsidRDefault="00000000" w:rsidP="00A53E8C">
            <w:pPr>
              <w:pStyle w:val="Note"/>
              <w:spacing w:before="60"/>
              <w:ind w:left="1416" w:hanging="1416"/>
              <w:rPr>
                <w:rFonts w:eastAsiaTheme="minorEastAsia"/>
              </w:rPr>
            </w:pPr>
            <m:oMath>
              <m:sSub>
                <m:sSubPr>
                  <m:ctrlPr>
                    <w:rPr>
                      <w:rFonts w:ascii="Cambria Math" w:eastAsiaTheme="minorEastAsia" w:hAnsi="Cambria Math"/>
                      <w:szCs w:val="21"/>
                    </w:rPr>
                  </m:ctrlPr>
                </m:sSubPr>
                <m:e>
                  <m:r>
                    <w:rPr>
                      <w:rFonts w:ascii="Cambria Math" w:eastAsiaTheme="minorEastAsia" w:hAnsi="Cambria Math"/>
                      <w:szCs w:val="21"/>
                    </w:rPr>
                    <m:t>mean</m:t>
                  </m:r>
                  <m:d>
                    <m:dPr>
                      <m:ctrlPr>
                        <w:rPr>
                          <w:rFonts w:ascii="Cambria Math" w:eastAsiaTheme="minorEastAsia" w:hAnsi="Cambria Math"/>
                          <w:szCs w:val="21"/>
                        </w:rPr>
                      </m:ctrlPr>
                    </m:dPr>
                    <m:e>
                      <m:r>
                        <w:rPr>
                          <w:rFonts w:ascii="Cambria Math" w:eastAsiaTheme="minorEastAsia" w:hAnsi="Cambria Math"/>
                          <w:szCs w:val="21"/>
                        </w:rPr>
                        <m:t>PUCV</m:t>
                      </m:r>
                    </m:e>
                  </m:d>
                </m:e>
                <m:sub>
                  <m:r>
                    <w:rPr>
                      <w:rFonts w:ascii="Cambria Math" w:eastAsiaTheme="minorEastAsia" w:hAnsi="Cambria Math"/>
                      <w:szCs w:val="21"/>
                    </w:rPr>
                    <m:t>c</m:t>
                  </m:r>
                </m:sub>
              </m:sSub>
            </m:oMath>
            <w:r w:rsidR="008468F6" w:rsidRPr="005D4222">
              <w:rPr>
                <w:rFonts w:eastAsiaTheme="minorEastAsia"/>
              </w:rPr>
              <w:t xml:space="preserve"> </w:t>
            </w:r>
            <w:r w:rsidR="008468F6" w:rsidRPr="005D4222">
              <w:rPr>
                <w:rFonts w:eastAsiaTheme="minorEastAsia"/>
                <w:szCs w:val="21"/>
              </w:rPr>
              <w:tab/>
            </w:r>
            <w:r w:rsidR="008468F6" w:rsidRPr="005D4222">
              <w:rPr>
                <w:rFonts w:eastAsiaTheme="minorEastAsia"/>
                <w:i w:val="0"/>
              </w:rPr>
              <w:t>is the unrounded and untruncated mean PUCV in the category indicated by</w:t>
            </w:r>
            <w:r w:rsidR="008468F6" w:rsidRPr="005D4222">
              <w:rPr>
                <w:rFonts w:eastAsiaTheme="minorEastAsia"/>
              </w:rPr>
              <w:t xml:space="preserve"> </w:t>
            </w:r>
            <m:oMath>
              <m:r>
                <w:rPr>
                  <w:rFonts w:ascii="Cambria Math" w:eastAsiaTheme="minorEastAsia" w:hAnsi="Cambria Math"/>
                  <w:szCs w:val="21"/>
                </w:rPr>
                <m:t>c</m:t>
              </m:r>
            </m:oMath>
          </w:p>
          <w:p w14:paraId="470AF305" w14:textId="77777777" w:rsidR="008468F6" w:rsidRPr="005D4222" w:rsidRDefault="008468F6" w:rsidP="00A53E8C">
            <w:pPr>
              <w:pStyle w:val="ECDSBody"/>
            </w:pPr>
            <w:r w:rsidRPr="005D4222">
              <w:rPr>
                <w:rFonts w:eastAsiaTheme="minorEastAsia"/>
                <w:b/>
              </w:rPr>
              <w:t>Step 6.</w:t>
            </w:r>
            <w:r w:rsidRPr="005D4222">
              <w:rPr>
                <w:rFonts w:eastAsiaTheme="minorEastAsia"/>
              </w:rPr>
              <w:t xml:space="preserve"> </w:t>
            </w:r>
            <w:r w:rsidRPr="005D4222">
              <w:t>Once the covariance between PPV and PUCV for a given category is calculated, it can be used as indicated in the formula below to calculate the variance for that category.</w:t>
            </w:r>
          </w:p>
          <w:p w14:paraId="0A19D02D" w14:textId="77777777" w:rsidR="008468F6" w:rsidRPr="005D4222" w:rsidRDefault="00000000" w:rsidP="00A53E8C">
            <w:pPr>
              <w:pStyle w:val="Note"/>
              <w:spacing w:before="60"/>
              <w:rPr>
                <w:rFonts w:cs="Arial"/>
                <w:sz w:val="22"/>
                <w:szCs w:val="22"/>
              </w:rPr>
            </w:pPr>
            <m:oMathPara>
              <m:oMath>
                <m:sSub>
                  <m:sSubPr>
                    <m:ctrlPr>
                      <w:rPr>
                        <w:rFonts w:ascii="Cambria Math" w:eastAsiaTheme="minorHAnsi" w:hAnsi="Cambria Math" w:cs="Arial"/>
                        <w:sz w:val="22"/>
                        <w:szCs w:val="22"/>
                      </w:rPr>
                    </m:ctrlPr>
                  </m:sSubPr>
                  <m:e>
                    <m:r>
                      <w:rPr>
                        <w:rFonts w:ascii="Cambria Math" w:eastAsiaTheme="minorHAnsi" w:hAnsi="Cambria Math" w:cs="Arial"/>
                        <w:sz w:val="22"/>
                        <w:szCs w:val="22"/>
                      </w:rPr>
                      <m:t>Variance</m:t>
                    </m:r>
                  </m:e>
                  <m:sub>
                    <m:r>
                      <w:rPr>
                        <w:rFonts w:ascii="Cambria Math" w:eastAsiaTheme="minorHAnsi" w:hAnsi="Cambria Math" w:cs="Arial"/>
                        <w:sz w:val="22"/>
                        <w:szCs w:val="22"/>
                      </w:rPr>
                      <m:t>c</m:t>
                    </m:r>
                  </m:sub>
                </m:sSub>
                <m:r>
                  <w:rPr>
                    <w:rFonts w:ascii="Cambria Math" w:eastAsiaTheme="minorHAnsi" w:hAnsi="Cambria Math" w:cs="Arial"/>
                    <w:sz w:val="22"/>
                    <w:szCs w:val="22"/>
                  </w:rPr>
                  <m:t>=</m:t>
                </m:r>
                <m:nary>
                  <m:naryPr>
                    <m:chr m:val="∑"/>
                    <m:limLoc m:val="undOvr"/>
                    <m:ctrlPr>
                      <w:rPr>
                        <w:rFonts w:ascii="Cambria Math" w:eastAsiaTheme="minorHAnsi" w:hAnsi="Cambria Math" w:cs="Arial"/>
                        <w:i w:val="0"/>
                        <w:sz w:val="22"/>
                        <w:szCs w:val="22"/>
                      </w:rPr>
                    </m:ctrlPr>
                  </m:naryPr>
                  <m:sub>
                    <m:r>
                      <w:rPr>
                        <w:rFonts w:ascii="Cambria Math" w:eastAsiaTheme="minorHAnsi" w:hAnsi="Cambria Math" w:cs="Arial"/>
                        <w:sz w:val="22"/>
                        <w:szCs w:val="22"/>
                      </w:rPr>
                      <m:t>m</m:t>
                    </m:r>
                    <m:r>
                      <w:rPr>
                        <w:rFonts w:ascii="Cambria Math" w:eastAsiaTheme="minorHAnsi" w:hAnsi="Cambria Math" w:cs="Arial"/>
                        <w:sz w:val="22"/>
                        <w:szCs w:val="22"/>
                      </w:rPr>
                      <m:t>=1</m:t>
                    </m:r>
                  </m:sub>
                  <m:sup>
                    <m:sSub>
                      <m:sSubPr>
                        <m:ctrlPr>
                          <w:rPr>
                            <w:rFonts w:ascii="Cambria Math" w:eastAsiaTheme="minorHAnsi" w:hAnsi="Cambria Math" w:cs="Arial"/>
                            <w:sz w:val="22"/>
                            <w:szCs w:val="22"/>
                          </w:rPr>
                        </m:ctrlPr>
                      </m:sSubPr>
                      <m:e>
                        <m:r>
                          <w:rPr>
                            <w:rFonts w:ascii="Cambria Math" w:eastAsiaTheme="minorHAnsi" w:hAnsi="Cambria Math" w:cs="Arial"/>
                            <w:sz w:val="22"/>
                            <w:szCs w:val="22"/>
                          </w:rPr>
                          <m:t>n</m:t>
                        </m:r>
                      </m:e>
                      <m:sub>
                        <m:r>
                          <w:rPr>
                            <w:rFonts w:ascii="Cambria Math" w:eastAsiaTheme="minorHAnsi" w:hAnsi="Cambria Math" w:cs="Arial"/>
                            <w:sz w:val="22"/>
                            <w:szCs w:val="22"/>
                          </w:rPr>
                          <m:t>c</m:t>
                        </m:r>
                      </m:sub>
                    </m:sSub>
                  </m:sup>
                  <m:e>
                    <m:sSup>
                      <m:sSupPr>
                        <m:ctrlPr>
                          <w:rPr>
                            <w:rFonts w:ascii="Cambria Math" w:eastAsiaTheme="minorHAnsi" w:hAnsi="Cambria Math" w:cs="Arial"/>
                            <w:i w:val="0"/>
                            <w:sz w:val="22"/>
                            <w:szCs w:val="22"/>
                          </w:rPr>
                        </m:ctrlPr>
                      </m:sSupPr>
                      <m:e>
                        <m:d>
                          <m:dPr>
                            <m:ctrlPr>
                              <w:rPr>
                                <w:rFonts w:ascii="Cambria Math" w:eastAsiaTheme="minorHAnsi" w:hAnsi="Cambria Math" w:cs="Arial"/>
                                <w:i w:val="0"/>
                                <w:sz w:val="22"/>
                                <w:szCs w:val="22"/>
                              </w:rPr>
                            </m:ctrlPr>
                          </m:dPr>
                          <m:e>
                            <m:sSub>
                              <m:sSubPr>
                                <m:ctrlPr>
                                  <w:rPr>
                                    <w:rFonts w:ascii="Cambria Math" w:eastAsiaTheme="minorHAnsi" w:hAnsi="Cambria Math" w:cs="Arial"/>
                                    <w:sz w:val="22"/>
                                    <w:szCs w:val="22"/>
                                  </w:rPr>
                                </m:ctrlPr>
                              </m:sSubPr>
                              <m:e>
                                <m:r>
                                  <w:rPr>
                                    <w:rFonts w:ascii="Cambria Math" w:eastAsiaTheme="minorHAnsi" w:hAnsi="Cambria Math" w:cs="Arial"/>
                                    <w:sz w:val="22"/>
                                    <w:szCs w:val="22"/>
                                  </w:rPr>
                                  <m:t>PPV</m:t>
                                </m:r>
                              </m:e>
                              <m:sub>
                                <m:r>
                                  <w:rPr>
                                    <w:rFonts w:ascii="Cambria Math" w:eastAsiaTheme="minorHAnsi" w:hAnsi="Cambria Math" w:cs="Arial"/>
                                    <w:sz w:val="22"/>
                                    <w:szCs w:val="22"/>
                                  </w:rPr>
                                  <m:t>m</m:t>
                                </m:r>
                              </m:sub>
                            </m:sSub>
                            <m:r>
                              <w:rPr>
                                <w:rFonts w:ascii="Cambria Math" w:eastAsiaTheme="minorHAnsi" w:hAnsi="Cambria Math" w:cs="Arial"/>
                                <w:sz w:val="22"/>
                                <w:szCs w:val="22"/>
                              </w:rPr>
                              <m:t xml:space="preserve"> ×</m:t>
                            </m:r>
                            <m:sSub>
                              <m:sSubPr>
                                <m:ctrlPr>
                                  <w:rPr>
                                    <w:rFonts w:ascii="Cambria Math" w:eastAsiaTheme="minorHAnsi" w:hAnsi="Cambria Math" w:cs="Arial"/>
                                    <w:sz w:val="22"/>
                                    <w:szCs w:val="22"/>
                                  </w:rPr>
                                </m:ctrlPr>
                              </m:sSubPr>
                              <m:e>
                                <m:r>
                                  <w:rPr>
                                    <w:rFonts w:ascii="Cambria Math" w:eastAsiaTheme="minorHAnsi" w:hAnsi="Cambria Math" w:cs="Arial"/>
                                    <w:sz w:val="22"/>
                                    <w:szCs w:val="22"/>
                                  </w:rPr>
                                  <m:t>PUCV</m:t>
                                </m:r>
                              </m:e>
                              <m:sub>
                                <m:r>
                                  <w:rPr>
                                    <w:rFonts w:ascii="Cambria Math" w:eastAsiaTheme="minorHAnsi" w:hAnsi="Cambria Math" w:cs="Arial"/>
                                    <w:sz w:val="22"/>
                                    <w:szCs w:val="22"/>
                                  </w:rPr>
                                  <m:t>m</m:t>
                                </m:r>
                              </m:sub>
                            </m:sSub>
                          </m:e>
                        </m:d>
                      </m:e>
                      <m:sup>
                        <m:r>
                          <w:rPr>
                            <w:rFonts w:ascii="Cambria Math" w:eastAsiaTheme="minorHAnsi" w:hAnsi="Cambria Math" w:cs="Arial"/>
                            <w:sz w:val="22"/>
                            <w:szCs w:val="22"/>
                          </w:rPr>
                          <m:t>2</m:t>
                        </m:r>
                      </m:sup>
                    </m:sSup>
                    <m:r>
                      <w:rPr>
                        <w:rFonts w:ascii="Cambria Math" w:eastAsiaTheme="minorHAnsi" w:hAnsi="Cambria Math" w:cs="Arial"/>
                        <w:sz w:val="22"/>
                        <w:szCs w:val="22"/>
                      </w:rPr>
                      <m:t>×</m:t>
                    </m:r>
                    <m:d>
                      <m:dPr>
                        <m:ctrlPr>
                          <w:rPr>
                            <w:rFonts w:ascii="Cambria Math" w:eastAsiaTheme="minorHAnsi" w:hAnsi="Cambria Math" w:cs="Arial"/>
                            <w:i w:val="0"/>
                            <w:sz w:val="22"/>
                            <w:szCs w:val="22"/>
                          </w:rPr>
                        </m:ctrlPr>
                      </m:dPr>
                      <m:e>
                        <m:sSup>
                          <m:sSupPr>
                            <m:ctrlPr>
                              <w:rPr>
                                <w:rFonts w:ascii="Cambria Math" w:eastAsiaTheme="minorHAnsi" w:hAnsi="Cambria Math" w:cs="Arial"/>
                                <w:i w:val="0"/>
                                <w:sz w:val="22"/>
                                <w:szCs w:val="22"/>
                              </w:rPr>
                            </m:ctrlPr>
                          </m:sSupPr>
                          <m:e>
                            <m:r>
                              <w:rPr>
                                <w:rFonts w:ascii="Cambria Math" w:eastAsiaTheme="minorHAnsi" w:hAnsi="Cambria Math" w:cs="Arial"/>
                                <w:sz w:val="22"/>
                                <w:szCs w:val="22"/>
                              </w:rPr>
                              <m:t xml:space="preserve">1+ </m:t>
                            </m:r>
                            <m:d>
                              <m:dPr>
                                <m:ctrlPr>
                                  <w:rPr>
                                    <w:rFonts w:ascii="Cambria Math" w:eastAsiaTheme="minorHAnsi" w:hAnsi="Cambria Math" w:cs="Arial"/>
                                    <w:i w:val="0"/>
                                    <w:sz w:val="22"/>
                                    <w:szCs w:val="22"/>
                                  </w:rPr>
                                </m:ctrlPr>
                              </m:dPr>
                              <m:e>
                                <m:r>
                                  <w:rPr>
                                    <w:rFonts w:ascii="Cambria Math" w:eastAsiaTheme="minorHAnsi" w:hAnsi="Cambria Math" w:cs="Arial"/>
                                    <w:sz w:val="22"/>
                                    <w:szCs w:val="22"/>
                                  </w:rPr>
                                  <m:t>1-</m:t>
                                </m:r>
                                <m:sSub>
                                  <m:sSubPr>
                                    <m:ctrlPr>
                                      <w:rPr>
                                        <w:rFonts w:ascii="Cambria Math" w:eastAsiaTheme="minorHAnsi" w:hAnsi="Cambria Math" w:cs="Arial"/>
                                        <w:sz w:val="22"/>
                                        <w:szCs w:val="22"/>
                                      </w:rPr>
                                    </m:ctrlPr>
                                  </m:sSubPr>
                                  <m:e>
                                    <m:r>
                                      <w:rPr>
                                        <w:rFonts w:ascii="Cambria Math" w:eastAsiaTheme="minorHAnsi" w:hAnsi="Cambria Math" w:cs="Arial"/>
                                        <w:sz w:val="22"/>
                                        <w:szCs w:val="22"/>
                                      </w:rPr>
                                      <m:t>PPV</m:t>
                                    </m:r>
                                  </m:e>
                                  <m:sub>
                                    <m:r>
                                      <w:rPr>
                                        <w:rFonts w:ascii="Cambria Math" w:eastAsiaTheme="minorHAnsi" w:hAnsi="Cambria Math" w:cs="Arial"/>
                                        <w:sz w:val="22"/>
                                        <w:szCs w:val="22"/>
                                      </w:rPr>
                                      <m:t>m</m:t>
                                    </m:r>
                                  </m:sub>
                                </m:sSub>
                              </m:e>
                            </m:d>
                          </m:e>
                          <m:sup>
                            <m:r>
                              <w:rPr>
                                <w:rFonts w:ascii="Cambria Math" w:eastAsiaTheme="minorHAnsi" w:hAnsi="Cambria Math" w:cs="Arial"/>
                                <w:sz w:val="22"/>
                                <w:szCs w:val="22"/>
                              </w:rPr>
                              <m:t>2</m:t>
                            </m:r>
                          </m:sup>
                        </m:sSup>
                        <m:r>
                          <w:rPr>
                            <w:rFonts w:ascii="Cambria Math" w:eastAsiaTheme="minorHAnsi" w:hAnsi="Cambria Math" w:cs="Arial"/>
                            <w:sz w:val="22"/>
                            <w:szCs w:val="22"/>
                          </w:rPr>
                          <m:t>+</m:t>
                        </m:r>
                        <m:d>
                          <m:dPr>
                            <m:ctrlPr>
                              <w:rPr>
                                <w:rFonts w:ascii="Cambria Math" w:eastAsiaTheme="minorHAnsi" w:hAnsi="Cambria Math" w:cs="Arial"/>
                                <w:i w:val="0"/>
                                <w:sz w:val="22"/>
                                <w:szCs w:val="22"/>
                              </w:rPr>
                            </m:ctrlPr>
                          </m:dPr>
                          <m:e>
                            <m:f>
                              <m:fPr>
                                <m:ctrlPr>
                                  <w:rPr>
                                    <w:rFonts w:ascii="Cambria Math" w:eastAsiaTheme="minorHAnsi" w:hAnsi="Cambria Math" w:cs="Arial"/>
                                    <w:i w:val="0"/>
                                    <w:sz w:val="22"/>
                                    <w:szCs w:val="22"/>
                                  </w:rPr>
                                </m:ctrlPr>
                              </m:fPr>
                              <m:num>
                                <m:r>
                                  <w:rPr>
                                    <w:rFonts w:ascii="Cambria Math" w:eastAsiaTheme="minorHAnsi" w:hAnsi="Cambria Math" w:cs="Arial"/>
                                    <w:sz w:val="22"/>
                                    <w:szCs w:val="22"/>
                                  </w:rPr>
                                  <m:t>2 ×</m:t>
                                </m:r>
                                <m:sSub>
                                  <m:sSubPr>
                                    <m:ctrlPr>
                                      <w:rPr>
                                        <w:rFonts w:ascii="Cambria Math" w:eastAsiaTheme="minorHAnsi" w:hAnsi="Cambria Math" w:cs="Arial"/>
                                        <w:sz w:val="22"/>
                                        <w:szCs w:val="22"/>
                                      </w:rPr>
                                    </m:ctrlPr>
                                  </m:sSubPr>
                                  <m:e>
                                    <m:r>
                                      <w:rPr>
                                        <w:rFonts w:ascii="Cambria Math" w:eastAsiaTheme="minorHAnsi" w:hAnsi="Cambria Math" w:cs="Arial"/>
                                        <w:sz w:val="22"/>
                                        <w:szCs w:val="22"/>
                                      </w:rPr>
                                      <m:t>COV</m:t>
                                    </m:r>
                                  </m:e>
                                  <m:sub>
                                    <m:r>
                                      <w:rPr>
                                        <w:rFonts w:ascii="Cambria Math" w:eastAsiaTheme="minorHAnsi" w:hAnsi="Cambria Math" w:cs="Arial"/>
                                        <w:sz w:val="22"/>
                                        <w:szCs w:val="22"/>
                                      </w:rPr>
                                      <m:t>c</m:t>
                                    </m:r>
                                  </m:sub>
                                </m:sSub>
                              </m:num>
                              <m:den>
                                <m:sSub>
                                  <m:sSubPr>
                                    <m:ctrlPr>
                                      <w:rPr>
                                        <w:rFonts w:ascii="Cambria Math" w:eastAsiaTheme="minorHAnsi" w:hAnsi="Cambria Math" w:cs="Arial"/>
                                        <w:sz w:val="22"/>
                                        <w:szCs w:val="22"/>
                                      </w:rPr>
                                    </m:ctrlPr>
                                  </m:sSubPr>
                                  <m:e>
                                    <m:r>
                                      <w:rPr>
                                        <w:rFonts w:ascii="Cambria Math" w:eastAsiaTheme="minorHAnsi" w:hAnsi="Cambria Math" w:cs="Arial"/>
                                        <w:sz w:val="22"/>
                                        <w:szCs w:val="22"/>
                                      </w:rPr>
                                      <m:t>PPV</m:t>
                                    </m:r>
                                  </m:e>
                                  <m:sub>
                                    <m:r>
                                      <w:rPr>
                                        <w:rFonts w:ascii="Cambria Math" w:eastAsiaTheme="minorHAnsi" w:hAnsi="Cambria Math" w:cs="Arial"/>
                                        <w:sz w:val="22"/>
                                        <w:szCs w:val="22"/>
                                      </w:rPr>
                                      <m:t>m</m:t>
                                    </m:r>
                                  </m:sub>
                                </m:sSub>
                                <m:r>
                                  <w:rPr>
                                    <w:rFonts w:ascii="Cambria Math" w:eastAsiaTheme="minorHAnsi" w:hAnsi="Cambria Math" w:cs="Arial"/>
                                    <w:sz w:val="22"/>
                                    <w:szCs w:val="22"/>
                                  </w:rPr>
                                  <m:t xml:space="preserve"> ×</m:t>
                                </m:r>
                                <m:sSub>
                                  <m:sSubPr>
                                    <m:ctrlPr>
                                      <w:rPr>
                                        <w:rFonts w:ascii="Cambria Math" w:eastAsiaTheme="minorHAnsi" w:hAnsi="Cambria Math" w:cs="Arial"/>
                                        <w:sz w:val="22"/>
                                        <w:szCs w:val="22"/>
                                      </w:rPr>
                                    </m:ctrlPr>
                                  </m:sSubPr>
                                  <m:e>
                                    <m:r>
                                      <w:rPr>
                                        <w:rFonts w:ascii="Cambria Math" w:eastAsiaTheme="minorHAnsi" w:hAnsi="Cambria Math" w:cs="Arial"/>
                                        <w:sz w:val="22"/>
                                        <w:szCs w:val="22"/>
                                      </w:rPr>
                                      <m:t>PUCV</m:t>
                                    </m:r>
                                  </m:e>
                                  <m:sub>
                                    <m:r>
                                      <w:rPr>
                                        <w:rFonts w:ascii="Cambria Math" w:eastAsiaTheme="minorHAnsi" w:hAnsi="Cambria Math" w:cs="Arial"/>
                                        <w:sz w:val="22"/>
                                        <w:szCs w:val="22"/>
                                      </w:rPr>
                                      <m:t>m</m:t>
                                    </m:r>
                                  </m:sub>
                                </m:sSub>
                              </m:den>
                            </m:f>
                          </m:e>
                        </m:d>
                      </m:e>
                    </m:d>
                  </m:e>
                </m:nary>
              </m:oMath>
            </m:oMathPara>
          </w:p>
          <w:p w14:paraId="1B53FB28" w14:textId="77777777" w:rsidR="008468F6" w:rsidRPr="005D4222" w:rsidRDefault="008468F6" w:rsidP="00A53E8C">
            <w:r w:rsidRPr="005D4222">
              <w:t>Where:</w:t>
            </w:r>
          </w:p>
          <w:p w14:paraId="7FD6F8D5" w14:textId="77777777" w:rsidR="008468F6" w:rsidRPr="005D4222" w:rsidRDefault="00010176" w:rsidP="00A53E8C">
            <w:pPr>
              <w:spacing w:before="60"/>
              <w:ind w:left="792" w:hanging="792"/>
              <w:rPr>
                <w:rFonts w:eastAsiaTheme="minorEastAsia"/>
              </w:rPr>
            </w:pPr>
            <m:oMath>
              <m:r>
                <w:rPr>
                  <w:rFonts w:ascii="Cambria Math" w:eastAsiaTheme="minorEastAsia" w:hAnsi="Cambria Math"/>
                </w:rPr>
                <m:t>c</m:t>
              </m:r>
            </m:oMath>
            <w:r w:rsidR="008468F6" w:rsidRPr="005D4222">
              <w:rPr>
                <w:rFonts w:eastAsiaTheme="minorEastAsia"/>
                <w:i/>
              </w:rPr>
              <w:t xml:space="preserve"> </w:t>
            </w:r>
            <w:r w:rsidR="008468F6" w:rsidRPr="005D4222">
              <w:rPr>
                <w:rFonts w:eastAsiaTheme="minorEastAsia"/>
                <w:i/>
              </w:rPr>
              <w:tab/>
            </w:r>
            <w:r w:rsidR="008468F6" w:rsidRPr="005D4222">
              <w:rPr>
                <w:rFonts w:eastAsiaTheme="minorEastAsia"/>
              </w:rPr>
              <w:t>denotes an individual category</w:t>
            </w:r>
          </w:p>
          <w:p w14:paraId="7514F245" w14:textId="77777777" w:rsidR="008468F6" w:rsidRPr="005D4222" w:rsidRDefault="00000000" w:rsidP="00A53E8C">
            <w:pPr>
              <w:spacing w:before="60"/>
              <w:ind w:left="792" w:hanging="792"/>
              <w:rPr>
                <w:rFonts w:eastAsiaTheme="minorEastAsia"/>
              </w:rPr>
            </w:pPr>
            <m:oMath>
              <m:sSub>
                <m:sSubPr>
                  <m:ctrlPr>
                    <w:rPr>
                      <w:rFonts w:ascii="Cambria Math" w:hAnsi="Cambria Math"/>
                      <w:i/>
                    </w:rPr>
                  </m:ctrlPr>
                </m:sSubPr>
                <m:e>
                  <m:r>
                    <w:rPr>
                      <w:rFonts w:ascii="Cambria Math" w:hAnsi="Cambria Math"/>
                    </w:rPr>
                    <m:t>n</m:t>
                  </m:r>
                </m:e>
                <m:sub>
                  <m:r>
                    <w:rPr>
                      <w:rFonts w:ascii="Cambria Math" w:hAnsi="Cambria Math"/>
                    </w:rPr>
                    <m:t>c</m:t>
                  </m:r>
                </m:sub>
              </m:sSub>
            </m:oMath>
            <w:r w:rsidR="008468F6" w:rsidRPr="005D4222">
              <w:rPr>
                <w:rFonts w:eastAsiaTheme="minorEastAsia"/>
              </w:rPr>
              <w:t xml:space="preserve"> </w:t>
            </w:r>
            <w:r w:rsidR="008468F6" w:rsidRPr="005D4222">
              <w:rPr>
                <w:rFonts w:eastAsiaTheme="minorEastAsia"/>
              </w:rPr>
              <w:tab/>
              <w:t xml:space="preserve">is the number of persons in the category indicated by </w:t>
            </w:r>
            <m:oMath>
              <m:r>
                <w:rPr>
                  <w:rFonts w:ascii="Cambria Math" w:eastAsiaTheme="minorEastAsia" w:hAnsi="Cambria Math"/>
                </w:rPr>
                <m:t>c</m:t>
              </m:r>
            </m:oMath>
          </w:p>
          <w:p w14:paraId="3F9F3AAD" w14:textId="77777777" w:rsidR="008468F6" w:rsidRPr="005D4222" w:rsidRDefault="00010176" w:rsidP="00A53E8C">
            <w:pPr>
              <w:spacing w:before="60"/>
              <w:ind w:left="792" w:hanging="792"/>
              <w:rPr>
                <w:rFonts w:eastAsiaTheme="minorEastAsia"/>
              </w:rPr>
            </w:pPr>
            <m:oMath>
              <m:r>
                <w:rPr>
                  <w:rFonts w:ascii="Cambria Math" w:eastAsiaTheme="minorEastAsia" w:hAnsi="Cambria Math"/>
                </w:rPr>
                <m:t>m</m:t>
              </m:r>
            </m:oMath>
            <w:r w:rsidR="008468F6" w:rsidRPr="005D4222">
              <w:rPr>
                <w:rFonts w:eastAsiaTheme="minorEastAsia"/>
              </w:rPr>
              <w:t xml:space="preserve"> </w:t>
            </w:r>
            <w:r w:rsidR="008468F6" w:rsidRPr="005D4222">
              <w:rPr>
                <w:rFonts w:eastAsiaTheme="minorEastAsia"/>
              </w:rPr>
              <w:tab/>
              <w:t xml:space="preserve">is an individual person within the category indicated by </w:t>
            </w:r>
            <m:oMath>
              <m:r>
                <w:rPr>
                  <w:rFonts w:ascii="Cambria Math" w:eastAsiaTheme="minorEastAsia" w:hAnsi="Cambria Math"/>
                </w:rPr>
                <m:t>c</m:t>
              </m:r>
            </m:oMath>
          </w:p>
          <w:p w14:paraId="5A9AD131" w14:textId="77777777" w:rsidR="008468F6" w:rsidRPr="005D4222" w:rsidRDefault="00000000" w:rsidP="00A53E8C">
            <w:pPr>
              <w:spacing w:before="60"/>
              <w:ind w:left="792" w:hanging="792"/>
              <w:rPr>
                <w:rFonts w:eastAsiaTheme="minorEastAsia"/>
              </w:rPr>
            </w:pPr>
            <m:oMath>
              <m:sSub>
                <m:sSubPr>
                  <m:ctrlPr>
                    <w:rPr>
                      <w:rFonts w:ascii="Cambria Math" w:eastAsiaTheme="minorEastAsia" w:hAnsi="Cambria Math"/>
                      <w:i/>
                    </w:rPr>
                  </m:ctrlPr>
                </m:sSubPr>
                <m:e>
                  <m:r>
                    <w:rPr>
                      <w:rFonts w:ascii="Cambria Math" w:eastAsiaTheme="minorEastAsia" w:hAnsi="Cambria Math"/>
                    </w:rPr>
                    <m:t>PPV</m:t>
                  </m:r>
                </m:e>
                <m:sub>
                  <m:r>
                    <w:rPr>
                      <w:rFonts w:ascii="Cambria Math" w:eastAsiaTheme="minorEastAsia" w:hAnsi="Cambria Math"/>
                    </w:rPr>
                    <m:t>m</m:t>
                  </m:r>
                </m:sub>
              </m:sSub>
            </m:oMath>
            <w:r w:rsidR="008468F6" w:rsidRPr="005D4222">
              <w:rPr>
                <w:rFonts w:eastAsiaTheme="minorEastAsia"/>
              </w:rPr>
              <w:t xml:space="preserve"> </w:t>
            </w:r>
            <w:r w:rsidR="008468F6" w:rsidRPr="005D4222">
              <w:rPr>
                <w:rFonts w:eastAsiaTheme="minorEastAsia"/>
              </w:rPr>
              <w:tab/>
              <w:t xml:space="preserve">is the truncated PPV for the person denoted by </w:t>
            </w:r>
            <m:oMath>
              <m:r>
                <w:rPr>
                  <w:rFonts w:ascii="Cambria Math" w:eastAsiaTheme="minorEastAsia" w:hAnsi="Cambria Math"/>
                </w:rPr>
                <m:t>m</m:t>
              </m:r>
            </m:oMath>
          </w:p>
          <w:p w14:paraId="0058368C" w14:textId="77777777" w:rsidR="008468F6" w:rsidRPr="005D4222" w:rsidRDefault="00000000" w:rsidP="00A53E8C">
            <w:pPr>
              <w:spacing w:before="60"/>
              <w:ind w:left="792" w:hanging="792"/>
              <w:rPr>
                <w:rFonts w:eastAsiaTheme="minorEastAsia"/>
              </w:rPr>
            </w:pPr>
            <m:oMath>
              <m:sSub>
                <m:sSubPr>
                  <m:ctrlPr>
                    <w:rPr>
                      <w:rFonts w:ascii="Cambria Math" w:eastAsiaTheme="minorEastAsia" w:hAnsi="Cambria Math"/>
                      <w:i/>
                    </w:rPr>
                  </m:ctrlPr>
                </m:sSubPr>
                <m:e>
                  <m:r>
                    <w:rPr>
                      <w:rFonts w:ascii="Cambria Math" w:eastAsiaTheme="minorEastAsia" w:hAnsi="Cambria Math"/>
                    </w:rPr>
                    <m:t>PUCV</m:t>
                  </m:r>
                </m:e>
                <m:sub>
                  <m:r>
                    <w:rPr>
                      <w:rFonts w:ascii="Cambria Math" w:eastAsiaTheme="minorEastAsia" w:hAnsi="Cambria Math"/>
                    </w:rPr>
                    <m:t>m</m:t>
                  </m:r>
                </m:sub>
              </m:sSub>
            </m:oMath>
            <w:r w:rsidR="008468F6" w:rsidRPr="005D4222">
              <w:rPr>
                <w:rFonts w:eastAsiaTheme="minorEastAsia"/>
              </w:rPr>
              <w:t xml:space="preserve"> </w:t>
            </w:r>
            <w:r w:rsidR="008468F6" w:rsidRPr="005D4222">
              <w:rPr>
                <w:rFonts w:eastAsiaTheme="minorEastAsia"/>
              </w:rPr>
              <w:tab/>
              <w:t xml:space="preserve">is the truncated PUCV for the person denoted by </w:t>
            </w:r>
            <m:oMath>
              <m:r>
                <w:rPr>
                  <w:rFonts w:ascii="Cambria Math" w:eastAsiaTheme="minorEastAsia" w:hAnsi="Cambria Math"/>
                </w:rPr>
                <m:t>m</m:t>
              </m:r>
            </m:oMath>
          </w:p>
          <w:p w14:paraId="533141FF" w14:textId="77777777" w:rsidR="008468F6" w:rsidRPr="005D4222" w:rsidRDefault="00000000" w:rsidP="00A53E8C">
            <w:pPr>
              <w:spacing w:before="60" w:after="80"/>
              <w:ind w:left="792" w:hanging="792"/>
              <w:rPr>
                <w:rFonts w:eastAsiaTheme="minorEastAsia"/>
              </w:rPr>
            </w:pP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m:t>
                  </m:r>
                </m:sub>
              </m:sSub>
            </m:oMath>
            <w:r w:rsidR="008468F6" w:rsidRPr="005D4222">
              <w:rPr>
                <w:rFonts w:eastAsiaTheme="minorEastAsia"/>
              </w:rPr>
              <w:t xml:space="preserve"> </w:t>
            </w:r>
            <w:r w:rsidR="008468F6" w:rsidRPr="005D4222">
              <w:rPr>
                <w:rFonts w:eastAsiaTheme="minorEastAsia"/>
              </w:rPr>
              <w:tab/>
              <w:t xml:space="preserve">is the number of persons in the category indicated by </w:t>
            </w:r>
            <m:oMath>
              <m:r>
                <w:rPr>
                  <w:rFonts w:ascii="Cambria Math" w:eastAsiaTheme="minorEastAsia" w:hAnsi="Cambria Math"/>
                </w:rPr>
                <m:t>c</m:t>
              </m:r>
              <m:r>
                <w:rPr>
                  <w:rFonts w:ascii="Cambria Math" w:eastAsiaTheme="minorEastAsia" w:hAnsi="Cambria Math"/>
                </w:rPr>
                <m:t xml:space="preserve"> </m:t>
              </m:r>
            </m:oMath>
          </w:p>
          <w:p w14:paraId="23BDA2C4" w14:textId="77777777" w:rsidR="008468F6" w:rsidRPr="005D4222" w:rsidRDefault="008468F6" w:rsidP="00A53E8C">
            <w:pPr>
              <w:pStyle w:val="ECDSBody"/>
              <w:rPr>
                <w:rFonts w:eastAsiaTheme="minorEastAsia"/>
                <w:b/>
              </w:rPr>
            </w:pPr>
            <w:r w:rsidRPr="005D4222">
              <w:t>Round the variance for reporting to 4 decimal places using the .5 rule.</w:t>
            </w:r>
          </w:p>
        </w:tc>
      </w:tr>
      <w:tr w:rsidR="008468F6" w:rsidRPr="005D4222" w14:paraId="2AC8F11C"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7AD9478" w14:textId="77777777" w:rsidR="008468F6" w:rsidRPr="005D4222" w:rsidRDefault="008468F6" w:rsidP="00A53E8C">
            <w:pPr>
              <w:pStyle w:val="ECDSMarginHead"/>
            </w:pPr>
            <w:r w:rsidRPr="005D4222">
              <w:lastRenderedPageBreak/>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9258CFF" w14:textId="77777777" w:rsidR="008468F6" w:rsidRPr="005D4222" w:rsidRDefault="008468F6" w:rsidP="008468F6">
            <w:pPr>
              <w:pStyle w:val="ProcessBullet"/>
              <w:tabs>
                <w:tab w:val="left" w:pos="216"/>
              </w:tabs>
              <w:spacing w:before="120"/>
            </w:pPr>
            <w:r w:rsidRPr="005D4222">
              <w:t>Updated the measure description.</w:t>
            </w:r>
          </w:p>
          <w:p w14:paraId="29C94E2E" w14:textId="65DBE965" w:rsidR="00550899" w:rsidRPr="005D4222" w:rsidRDefault="008468F6" w:rsidP="00550899">
            <w:pPr>
              <w:pStyle w:val="ProcessBullet"/>
              <w:tabs>
                <w:tab w:val="left" w:pos="216"/>
              </w:tabs>
              <w:spacing w:after="80"/>
            </w:pPr>
            <w:r w:rsidRPr="005D4222">
              <w:t xml:space="preserve">Integrated the Risk Adjustment General Guidelines into the </w:t>
            </w:r>
            <w:r w:rsidRPr="005D4222">
              <w:rPr>
                <w:i/>
              </w:rPr>
              <w:t xml:space="preserve">Guidance </w:t>
            </w:r>
            <w:r w:rsidRPr="005D4222">
              <w:t>section.</w:t>
            </w:r>
          </w:p>
        </w:tc>
      </w:tr>
      <w:tr w:rsidR="00550899" w:rsidRPr="005D4222" w14:paraId="6F618F9C"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7A5F30E" w14:textId="77777777" w:rsidR="00550899" w:rsidRPr="005D4222" w:rsidRDefault="00550899"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CBE8E0A" w14:textId="77777777" w:rsidR="00550899" w:rsidRDefault="00550899" w:rsidP="00550899">
            <w:pPr>
              <w:pStyle w:val="ProcessBullet"/>
              <w:tabs>
                <w:tab w:val="left" w:pos="216"/>
              </w:tabs>
              <w:spacing w:after="80"/>
            </w:pPr>
            <w:r w:rsidRPr="005D4222">
              <w:t xml:space="preserve">Moved the definition of “classification period” to the risk adjustment calculation. </w:t>
            </w:r>
          </w:p>
          <w:p w14:paraId="346A5C3E" w14:textId="255BD912" w:rsidR="00AD2A4D" w:rsidRPr="005D4222" w:rsidRDefault="00AD2A4D" w:rsidP="00550899">
            <w:pPr>
              <w:pStyle w:val="ProcessBullet"/>
              <w:tabs>
                <w:tab w:val="left" w:pos="216"/>
              </w:tabs>
              <w:spacing w:after="80"/>
            </w:pPr>
            <w:r w:rsidRPr="00D81F5D">
              <w:t>Added administrative gender code</w:t>
            </w:r>
            <w:r>
              <w:t xml:space="preserve">s </w:t>
            </w:r>
            <w:r w:rsidRPr="00D81F5D">
              <w:t>to the initial population.</w:t>
            </w:r>
          </w:p>
        </w:tc>
      </w:tr>
      <w:tr w:rsidR="008468F6" w:rsidRPr="005D4222" w14:paraId="772655AC"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9D69410" w14:textId="77777777" w:rsidR="008468F6" w:rsidRPr="005D4222" w:rsidRDefault="008468F6" w:rsidP="00A53E8C">
            <w:pPr>
              <w:pStyle w:val="ECDS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7FB224C" w14:textId="77777777" w:rsidR="008468F6" w:rsidRPr="005D4222" w:rsidRDefault="008468F6" w:rsidP="00A53E8C">
            <w:pPr>
              <w:pStyle w:val="ECDSBody"/>
            </w:pPr>
            <w:r w:rsidRPr="005D4222" w:rsidDel="004B03CD">
              <w:rPr>
                <w:b/>
                <w:i/>
              </w:rPr>
              <w:t>Reporting</w:t>
            </w:r>
            <w:r w:rsidRPr="005D4222">
              <w:rPr>
                <w:b/>
                <w:i/>
                <w:iCs/>
              </w:rPr>
              <w:t>:</w:t>
            </w:r>
            <w:r w:rsidRPr="005D4222">
              <w:rPr>
                <w:b/>
              </w:rPr>
              <w:t xml:space="preserve"> Number of persons in the initial population</w:t>
            </w:r>
            <w:r w:rsidRPr="005D4222">
              <w:br/>
              <w:t>The number of persons in the initial population for each rate and dual-eligibility stratification, reported as the PersonCount.</w:t>
            </w:r>
          </w:p>
          <w:p w14:paraId="385F9A72" w14:textId="77777777" w:rsidR="008468F6" w:rsidRPr="005D4222" w:rsidRDefault="008468F6" w:rsidP="00A53E8C">
            <w:pPr>
              <w:pStyle w:val="ECDSBody"/>
            </w:pPr>
            <w:r w:rsidRPr="005D4222">
              <w:rPr>
                <w:b/>
                <w:i/>
                <w:iCs/>
              </w:rPr>
              <w:t>Reporting:</w:t>
            </w:r>
            <w:r w:rsidRPr="005D4222">
              <w:rPr>
                <w:b/>
              </w:rPr>
              <w:t xml:space="preserve"> Number of observed events among persons in the initial population</w:t>
            </w:r>
            <w:r w:rsidRPr="005D4222">
              <w:rPr>
                <w:b/>
              </w:rPr>
              <w:br/>
            </w:r>
            <w:r w:rsidRPr="005D4222">
              <w:t>The number of observed ED visits with a diagnosis of hypoglycemia for each rate and dual-eligibility stratification, reported as the ObservedCount.</w:t>
            </w:r>
          </w:p>
          <w:p w14:paraId="46B4E347" w14:textId="77777777" w:rsidR="008468F6" w:rsidRPr="005D4222" w:rsidRDefault="008468F6" w:rsidP="00A53E8C">
            <w:pPr>
              <w:pStyle w:val="ECDSBody"/>
            </w:pPr>
            <w:r w:rsidRPr="005D4222">
              <w:rPr>
                <w:b/>
                <w:i/>
                <w:iCs/>
              </w:rPr>
              <w:t>Calculated:</w:t>
            </w:r>
            <w:r w:rsidRPr="005D4222">
              <w:rPr>
                <w:b/>
              </w:rPr>
              <w:t xml:space="preserve"> Observed events per 1,000 persons in the initial population</w:t>
            </w:r>
            <w:r w:rsidRPr="005D4222">
              <w:rPr>
                <w:b/>
              </w:rPr>
              <w:br/>
            </w:r>
            <w:r w:rsidRPr="005D4222">
              <w:t xml:space="preserve">The number of observed ED visits (ObservedCount) divided by the number of persons in the initial population (PersonCount), multiplied by 1,000 within each rate and dual-eligibility stratification. Calculated by IDSS as the ObservedRate. </w:t>
            </w:r>
          </w:p>
          <w:p w14:paraId="247FE8CC" w14:textId="77777777" w:rsidR="008468F6" w:rsidRPr="005D4222" w:rsidRDefault="008468F6" w:rsidP="00A53E8C">
            <w:pPr>
              <w:pStyle w:val="ECDSBody"/>
            </w:pPr>
            <w:r w:rsidRPr="005D4222">
              <w:rPr>
                <w:b/>
                <w:i/>
                <w:iCs/>
              </w:rPr>
              <w:t>Reporting:</w:t>
            </w:r>
            <w:r w:rsidRPr="005D4222">
              <w:rPr>
                <w:b/>
              </w:rPr>
              <w:t xml:space="preserve"> Number of expected events among persons in the initial population</w:t>
            </w:r>
            <w:r w:rsidRPr="005D4222">
              <w:rPr>
                <w:b/>
              </w:rPr>
              <w:br/>
            </w:r>
            <w:r w:rsidRPr="005D4222">
              <w:rPr>
                <w:bCs w:val="0"/>
              </w:rPr>
              <w:t>T</w:t>
            </w:r>
            <w:r w:rsidRPr="005D4222">
              <w:t xml:space="preserve">he number of expected ED visits with a diagnosis of hypoglycemia within each rate and dual-eligibility stratification, reported as the ExpectedCount. </w:t>
            </w:r>
          </w:p>
          <w:p w14:paraId="5A1290F5" w14:textId="77777777" w:rsidR="008468F6" w:rsidRPr="005D4222" w:rsidRDefault="008468F6" w:rsidP="00A53E8C">
            <w:pPr>
              <w:pStyle w:val="ECDSBody"/>
            </w:pPr>
            <w:r w:rsidRPr="005D4222">
              <w:rPr>
                <w:b/>
                <w:i/>
                <w:iCs/>
              </w:rPr>
              <w:t>Calculated:</w:t>
            </w:r>
            <w:r w:rsidRPr="005D4222">
              <w:rPr>
                <w:b/>
              </w:rPr>
              <w:t xml:space="preserve"> Expected visits per 1,000 persons in the initial population</w:t>
            </w:r>
            <w:r w:rsidRPr="005D4222">
              <w:rPr>
                <w:b/>
              </w:rPr>
              <w:br/>
            </w:r>
            <w:r w:rsidRPr="005D4222">
              <w:t xml:space="preserve">The number of expected ED visits (ExpectedCount) divided by the number of persons in the initial population (PersonCount), multiplied by 1,000 within each rate and dual-eligibility stratification. Calculated by IDSS as the ExpectedRate. </w:t>
            </w:r>
          </w:p>
          <w:p w14:paraId="154FDF59" w14:textId="77777777" w:rsidR="008468F6" w:rsidRPr="005D4222" w:rsidRDefault="008468F6" w:rsidP="00A53E8C">
            <w:pPr>
              <w:pStyle w:val="ECDSBody"/>
              <w:rPr>
                <w:color w:val="000000"/>
                <w:shd w:val="clear" w:color="auto" w:fill="FFFFFF"/>
              </w:rPr>
            </w:pPr>
            <w:r w:rsidRPr="005D4222">
              <w:rPr>
                <w:b/>
                <w:i/>
                <w:iCs/>
              </w:rPr>
              <w:t>Reporting:</w:t>
            </w:r>
            <w:r w:rsidRPr="005D4222">
              <w:rPr>
                <w:b/>
              </w:rPr>
              <w:t xml:space="preserve"> Variance among persons in the initial population </w:t>
            </w:r>
            <w:r w:rsidRPr="005D4222">
              <w:rPr>
                <w:b/>
              </w:rPr>
              <w:br/>
            </w:r>
            <w:r w:rsidRPr="005D4222" w:rsidDel="00E131E6">
              <w:rPr>
                <w:color w:val="000000"/>
                <w:shd w:val="clear" w:color="auto" w:fill="FFFFFF"/>
              </w:rPr>
              <w:t>T</w:t>
            </w:r>
            <w:r w:rsidRPr="005D4222">
              <w:rPr>
                <w:color w:val="000000"/>
                <w:shd w:val="clear" w:color="auto" w:fill="FFFFFF"/>
              </w:rPr>
              <w:t xml:space="preserve">he variance (Risk Adjustment Calculation, PUCV, step 3) within each rate and dual-eligibility stratification, reported as the CountVariance. </w:t>
            </w:r>
          </w:p>
          <w:p w14:paraId="343812BA" w14:textId="77777777" w:rsidR="008468F6" w:rsidRPr="005D4222" w:rsidRDefault="008468F6" w:rsidP="00A53E8C">
            <w:pPr>
              <w:pStyle w:val="ECDSBody"/>
            </w:pPr>
            <w:r w:rsidRPr="005D4222">
              <w:rPr>
                <w:b/>
                <w:i/>
                <w:iCs/>
              </w:rPr>
              <w:t>Calculated:</w:t>
            </w:r>
            <w:r w:rsidRPr="005D4222">
              <w:rPr>
                <w:b/>
              </w:rPr>
              <w:t xml:space="preserve"> O/E ratio</w:t>
            </w:r>
            <w:r w:rsidRPr="005D4222">
              <w:rPr>
                <w:b/>
              </w:rPr>
              <w:br/>
            </w:r>
            <w:r w:rsidRPr="005D4222">
              <w:rPr>
                <w:shd w:val="clear" w:color="auto" w:fill="FFFFFF"/>
              </w:rPr>
              <w:t>The number of observed events among persons in the initial population (ObservedCount) divided by the number of expected events among persons in the initial population (ExpectedCount) within each rate and dual-eligibility stratification. Calculated by IDSS as the OE.</w:t>
            </w:r>
          </w:p>
          <w:p w14:paraId="1E5843D8" w14:textId="77777777" w:rsidR="00D02DBA" w:rsidRPr="005D4222" w:rsidRDefault="008468F6" w:rsidP="00D02DBA">
            <w:pPr>
              <w:pStyle w:val="ECDSBody"/>
            </w:pPr>
            <w:r w:rsidRPr="005D4222">
              <w:t xml:space="preserve">Organizations that submit HEDIS data to NCQA must provide the following data elements. </w:t>
            </w:r>
          </w:p>
          <w:p w14:paraId="663348A7" w14:textId="752B6F43" w:rsidR="008468F6" w:rsidRPr="005D4222" w:rsidRDefault="008468F6" w:rsidP="00A53E8C">
            <w:pPr>
              <w:pStyle w:val="Heading3"/>
              <w:spacing w:before="120"/>
            </w:pPr>
            <w:r w:rsidRPr="005D4222">
              <w:t xml:space="preserve">Table EDH-3: Data Elements for ED Visits for Hypoglycemia in Older Adults With Diabetes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9" w:type="dxa"/>
                <w:right w:w="29" w:type="dxa"/>
              </w:tblCellMar>
              <w:tblLook w:val="04A0" w:firstRow="1" w:lastRow="0" w:firstColumn="1" w:lastColumn="0" w:noHBand="0" w:noVBand="1"/>
            </w:tblPr>
            <w:tblGrid>
              <w:gridCol w:w="1120"/>
              <w:gridCol w:w="1481"/>
              <w:gridCol w:w="1401"/>
              <w:gridCol w:w="3373"/>
            </w:tblGrid>
            <w:tr w:rsidR="008468F6" w:rsidRPr="005D4222" w14:paraId="66AC8467" w14:textId="77777777" w:rsidTr="00A53E8C">
              <w:trPr>
                <w:cantSplit/>
              </w:trPr>
              <w:tc>
                <w:tcPr>
                  <w:tcW w:w="1120" w:type="dxa"/>
                  <w:tcBorders>
                    <w:top w:val="single" w:sz="4" w:space="0" w:color="auto"/>
                    <w:left w:val="single" w:sz="4" w:space="0" w:color="000000" w:themeColor="text1"/>
                    <w:bottom w:val="single" w:sz="4" w:space="0" w:color="auto"/>
                    <w:right w:val="single" w:sz="4" w:space="0" w:color="FFFFFF" w:themeColor="background1"/>
                  </w:tcBorders>
                  <w:shd w:val="clear" w:color="auto" w:fill="000000" w:themeFill="text1"/>
                  <w:tcMar>
                    <w:left w:w="86" w:type="dxa"/>
                    <w:right w:w="86" w:type="dxa"/>
                  </w:tcMar>
                </w:tcPr>
                <w:p w14:paraId="58771BC3" w14:textId="77777777" w:rsidR="008468F6" w:rsidRPr="005D4222" w:rsidRDefault="008468F6" w:rsidP="00A53E8C">
                  <w:pPr>
                    <w:pStyle w:val="TableHead"/>
                    <w:rPr>
                      <w:rFonts w:eastAsia="Arial Narrow"/>
                    </w:rPr>
                  </w:pPr>
                  <w:r w:rsidRPr="005D4222">
                    <w:rPr>
                      <w:rFonts w:eastAsia="Arial Narrow"/>
                    </w:rPr>
                    <w:t>Metric</w:t>
                  </w:r>
                </w:p>
              </w:tc>
              <w:tc>
                <w:tcPr>
                  <w:tcW w:w="1481" w:type="dxa"/>
                  <w:tcBorders>
                    <w:top w:val="single" w:sz="4" w:space="0" w:color="auto"/>
                    <w:left w:val="single" w:sz="4" w:space="0" w:color="FFFFFF" w:themeColor="background1"/>
                    <w:bottom w:val="single" w:sz="4" w:space="0" w:color="000000" w:themeColor="text1"/>
                    <w:right w:val="single" w:sz="4" w:space="0" w:color="FFFFFF" w:themeColor="background1"/>
                  </w:tcBorders>
                  <w:shd w:val="clear" w:color="auto" w:fill="000000" w:themeFill="text1"/>
                  <w:tcMar>
                    <w:left w:w="86" w:type="dxa"/>
                    <w:right w:w="86" w:type="dxa"/>
                  </w:tcMar>
                </w:tcPr>
                <w:p w14:paraId="6C70F3A9" w14:textId="77777777" w:rsidR="008468F6" w:rsidRPr="005D4222" w:rsidRDefault="008468F6" w:rsidP="00A53E8C">
                  <w:pPr>
                    <w:pStyle w:val="TableHead"/>
                    <w:rPr>
                      <w:rFonts w:eastAsia="Arial Narrow"/>
                    </w:rPr>
                  </w:pPr>
                  <w:r w:rsidRPr="005D4222">
                    <w:rPr>
                      <w:rFonts w:eastAsia="Arial Narrow"/>
                    </w:rPr>
                    <w:t>Dual Eligibility</w:t>
                  </w:r>
                </w:p>
              </w:tc>
              <w:tc>
                <w:tcPr>
                  <w:tcW w:w="1401" w:type="dxa"/>
                  <w:tcBorders>
                    <w:top w:val="single" w:sz="4" w:space="0" w:color="auto"/>
                    <w:left w:val="single" w:sz="4" w:space="0" w:color="FFFFFF" w:themeColor="background1"/>
                    <w:right w:val="single" w:sz="6" w:space="0" w:color="FFFFFF" w:themeColor="background1"/>
                  </w:tcBorders>
                  <w:shd w:val="clear" w:color="auto" w:fill="000000" w:themeFill="text1"/>
                  <w:tcMar>
                    <w:left w:w="86" w:type="dxa"/>
                    <w:right w:w="86" w:type="dxa"/>
                  </w:tcMar>
                  <w:vAlign w:val="bottom"/>
                </w:tcPr>
                <w:p w14:paraId="444082D8" w14:textId="77777777" w:rsidR="008468F6" w:rsidRPr="005D4222" w:rsidRDefault="008468F6" w:rsidP="00A53E8C">
                  <w:pPr>
                    <w:pStyle w:val="TableHead"/>
                    <w:rPr>
                      <w:rFonts w:eastAsia="Arial Narrow"/>
                    </w:rPr>
                  </w:pPr>
                  <w:r w:rsidRPr="005D4222">
                    <w:rPr>
                      <w:rFonts w:eastAsia="Arial Narrow"/>
                    </w:rPr>
                    <w:t xml:space="preserve">Data Element </w:t>
                  </w:r>
                </w:p>
              </w:tc>
              <w:tc>
                <w:tcPr>
                  <w:tcW w:w="3373" w:type="dxa"/>
                  <w:tcBorders>
                    <w:top w:val="single" w:sz="4" w:space="0" w:color="auto"/>
                    <w:left w:val="single" w:sz="6" w:space="0" w:color="FFFFFF" w:themeColor="background1"/>
                    <w:right w:val="single" w:sz="4" w:space="0" w:color="auto"/>
                  </w:tcBorders>
                  <w:shd w:val="clear" w:color="auto" w:fill="000000" w:themeFill="text1"/>
                  <w:tcMar>
                    <w:left w:w="86" w:type="dxa"/>
                    <w:right w:w="86" w:type="dxa"/>
                  </w:tcMar>
                  <w:vAlign w:val="bottom"/>
                </w:tcPr>
                <w:p w14:paraId="79E87A66" w14:textId="77777777" w:rsidR="008468F6" w:rsidRPr="005D4222" w:rsidRDefault="008468F6" w:rsidP="00A53E8C">
                  <w:pPr>
                    <w:pStyle w:val="TableHead"/>
                    <w:rPr>
                      <w:rFonts w:eastAsia="Arial Narrow"/>
                    </w:rPr>
                  </w:pPr>
                  <w:r w:rsidRPr="005D4222">
                    <w:rPr>
                      <w:rFonts w:eastAsia="Arial Narrow"/>
                    </w:rPr>
                    <w:t>Reporting Instructions</w:t>
                  </w:r>
                </w:p>
              </w:tc>
            </w:tr>
            <w:tr w:rsidR="008468F6" w:rsidRPr="005D4222" w14:paraId="41742161" w14:textId="77777777" w:rsidTr="00A53E8C">
              <w:trPr>
                <w:cantSplit/>
              </w:trPr>
              <w:tc>
                <w:tcPr>
                  <w:tcW w:w="1120" w:type="dxa"/>
                  <w:tcBorders>
                    <w:top w:val="single" w:sz="4" w:space="0" w:color="auto"/>
                    <w:left w:val="single" w:sz="4" w:space="0" w:color="auto"/>
                    <w:bottom w:val="single" w:sz="4" w:space="0" w:color="auto"/>
                    <w:right w:val="single" w:sz="4" w:space="0" w:color="auto"/>
                  </w:tcBorders>
                  <w:tcMar>
                    <w:left w:w="86" w:type="dxa"/>
                    <w:right w:w="86" w:type="dxa"/>
                  </w:tcMar>
                </w:tcPr>
                <w:p w14:paraId="03604C3F" w14:textId="77777777" w:rsidR="008468F6" w:rsidRPr="005D4222" w:rsidRDefault="008468F6" w:rsidP="00A53E8C">
                  <w:pPr>
                    <w:pStyle w:val="TableText"/>
                    <w:rPr>
                      <w:rFonts w:eastAsia="Arial Narrow"/>
                    </w:rPr>
                  </w:pPr>
                  <w:r w:rsidRPr="005D4222">
                    <w:rPr>
                      <w:rFonts w:eastAsia="Arial Narrow"/>
                    </w:rPr>
                    <w:t>Diabetes</w:t>
                  </w:r>
                </w:p>
              </w:tc>
              <w:tc>
                <w:tcPr>
                  <w:tcW w:w="1481" w:type="dxa"/>
                  <w:tcBorders>
                    <w:top w:val="single" w:sz="4" w:space="0" w:color="000000" w:themeColor="text1"/>
                    <w:left w:val="single" w:sz="4" w:space="0" w:color="auto"/>
                    <w:bottom w:val="single" w:sz="4" w:space="0" w:color="auto"/>
                    <w:right w:val="single" w:sz="4" w:space="0" w:color="000000" w:themeColor="text1"/>
                  </w:tcBorders>
                  <w:tcMar>
                    <w:left w:w="86" w:type="dxa"/>
                    <w:right w:w="86" w:type="dxa"/>
                  </w:tcMar>
                </w:tcPr>
                <w:p w14:paraId="2059C4C9" w14:textId="77777777" w:rsidR="008468F6" w:rsidRPr="005D4222" w:rsidRDefault="008468F6" w:rsidP="00A53E8C">
                  <w:pPr>
                    <w:pStyle w:val="TableText"/>
                    <w:rPr>
                      <w:rFonts w:eastAsia="Arial Narrow"/>
                    </w:rPr>
                  </w:pPr>
                  <w:r w:rsidRPr="005D4222">
                    <w:rPr>
                      <w:rFonts w:eastAsia="Arial Narrow"/>
                    </w:rPr>
                    <w:t>DualEligible</w:t>
                  </w:r>
                </w:p>
              </w:tc>
              <w:tc>
                <w:tcPr>
                  <w:tcW w:w="1401" w:type="dxa"/>
                  <w:tcBorders>
                    <w:bottom w:val="single" w:sz="4" w:space="0" w:color="auto"/>
                  </w:tcBorders>
                  <w:tcMar>
                    <w:left w:w="86" w:type="dxa"/>
                    <w:right w:w="86" w:type="dxa"/>
                  </w:tcMar>
                  <w:vAlign w:val="center"/>
                </w:tcPr>
                <w:p w14:paraId="2EDF19D4" w14:textId="77777777" w:rsidR="008468F6" w:rsidRPr="005D4222" w:rsidRDefault="008468F6" w:rsidP="00A53E8C">
                  <w:pPr>
                    <w:pStyle w:val="TableText"/>
                    <w:rPr>
                      <w:rFonts w:eastAsia="Arial Narrow"/>
                    </w:rPr>
                  </w:pPr>
                  <w:r w:rsidRPr="005D4222">
                    <w:rPr>
                      <w:rFonts w:eastAsia="Arial Narrow"/>
                    </w:rPr>
                    <w:t>Benefit</w:t>
                  </w:r>
                </w:p>
              </w:tc>
              <w:tc>
                <w:tcPr>
                  <w:tcW w:w="3373" w:type="dxa"/>
                  <w:tcBorders>
                    <w:bottom w:val="single" w:sz="4" w:space="0" w:color="auto"/>
                  </w:tcBorders>
                  <w:tcMar>
                    <w:left w:w="86" w:type="dxa"/>
                    <w:right w:w="86" w:type="dxa"/>
                  </w:tcMar>
                  <w:vAlign w:val="center"/>
                </w:tcPr>
                <w:p w14:paraId="3FEEA671" w14:textId="77777777" w:rsidR="008468F6" w:rsidRPr="005D4222" w:rsidRDefault="008468F6" w:rsidP="00A53E8C">
                  <w:pPr>
                    <w:pStyle w:val="TableText"/>
                    <w:rPr>
                      <w:rFonts w:eastAsia="Arial Narrow"/>
                    </w:rPr>
                  </w:pPr>
                  <w:r w:rsidRPr="005D4222">
                    <w:rPr>
                      <w:rFonts w:eastAsia="Arial Narrow"/>
                    </w:rPr>
                    <w:t>Metadata</w:t>
                  </w:r>
                </w:p>
              </w:tc>
            </w:tr>
            <w:tr w:rsidR="008468F6" w:rsidRPr="005D4222" w14:paraId="41892CFC" w14:textId="77777777" w:rsidTr="00A53E8C">
              <w:trPr>
                <w:cantSplit/>
                <w:trHeight w:val="458"/>
              </w:trPr>
              <w:tc>
                <w:tcPr>
                  <w:tcW w:w="1120" w:type="dxa"/>
                  <w:tcBorders>
                    <w:top w:val="single" w:sz="4" w:space="0" w:color="auto"/>
                    <w:left w:val="single" w:sz="4" w:space="0" w:color="auto"/>
                    <w:bottom w:val="single" w:sz="4" w:space="0" w:color="auto"/>
                    <w:right w:val="single" w:sz="4" w:space="0" w:color="auto"/>
                  </w:tcBorders>
                  <w:tcMar>
                    <w:left w:w="86" w:type="dxa"/>
                    <w:right w:w="86" w:type="dxa"/>
                  </w:tcMar>
                </w:tcPr>
                <w:p w14:paraId="1F316866" w14:textId="77777777" w:rsidR="008468F6" w:rsidRPr="005D4222" w:rsidRDefault="008468F6" w:rsidP="00A53E8C">
                  <w:pPr>
                    <w:pStyle w:val="TableText"/>
                    <w:rPr>
                      <w:rFonts w:eastAsia="Arial Narrow"/>
                    </w:rPr>
                  </w:pPr>
                  <w:r w:rsidRPr="005D4222">
                    <w:rPr>
                      <w:rFonts w:eastAsia="Arial Narrow"/>
                    </w:rPr>
                    <w:t>Insulin</w:t>
                  </w:r>
                </w:p>
              </w:tc>
              <w:tc>
                <w:tcPr>
                  <w:tcW w:w="1481" w:type="dxa"/>
                  <w:tcBorders>
                    <w:top w:val="single" w:sz="4" w:space="0" w:color="auto"/>
                    <w:left w:val="single" w:sz="4" w:space="0" w:color="auto"/>
                    <w:bottom w:val="single" w:sz="4" w:space="0" w:color="auto"/>
                    <w:right w:val="single" w:sz="4" w:space="0" w:color="auto"/>
                  </w:tcBorders>
                  <w:tcMar>
                    <w:left w:w="86" w:type="dxa"/>
                    <w:right w:w="86" w:type="dxa"/>
                  </w:tcMar>
                </w:tcPr>
                <w:p w14:paraId="457EC295" w14:textId="77777777" w:rsidR="008468F6" w:rsidRPr="005D4222" w:rsidRDefault="008468F6" w:rsidP="00A53E8C">
                  <w:pPr>
                    <w:pStyle w:val="TableText"/>
                    <w:rPr>
                      <w:rFonts w:eastAsia="Arial Narrow"/>
                    </w:rPr>
                  </w:pPr>
                  <w:r w:rsidRPr="005D4222">
                    <w:rPr>
                      <w:rFonts w:eastAsia="Arial Narrow"/>
                    </w:rPr>
                    <w:t>NotDualEligible</w:t>
                  </w:r>
                </w:p>
              </w:tc>
              <w:tc>
                <w:tcPr>
                  <w:tcW w:w="1401" w:type="dxa"/>
                  <w:tcBorders>
                    <w:left w:val="single" w:sz="4" w:space="0" w:color="auto"/>
                    <w:bottom w:val="single" w:sz="4" w:space="0" w:color="auto"/>
                  </w:tcBorders>
                  <w:tcMar>
                    <w:left w:w="86" w:type="dxa"/>
                    <w:right w:w="86" w:type="dxa"/>
                  </w:tcMar>
                  <w:vAlign w:val="center"/>
                </w:tcPr>
                <w:p w14:paraId="2AFBAA71" w14:textId="77777777" w:rsidR="008468F6" w:rsidRPr="005D4222" w:rsidRDefault="008468F6" w:rsidP="00A53E8C">
                  <w:pPr>
                    <w:pStyle w:val="TableText"/>
                    <w:rPr>
                      <w:rFonts w:eastAsia="Arial Narrow"/>
                    </w:rPr>
                  </w:pPr>
                  <w:r w:rsidRPr="005D4222">
                    <w:rPr>
                      <w:rFonts w:eastAsia="Arial Narrow"/>
                    </w:rPr>
                    <w:t>PersonCount</w:t>
                  </w:r>
                </w:p>
              </w:tc>
              <w:tc>
                <w:tcPr>
                  <w:tcW w:w="3373" w:type="dxa"/>
                  <w:tcBorders>
                    <w:bottom w:val="single" w:sz="4" w:space="0" w:color="auto"/>
                  </w:tcBorders>
                  <w:tcMar>
                    <w:left w:w="86" w:type="dxa"/>
                    <w:right w:w="86" w:type="dxa"/>
                  </w:tcMar>
                  <w:vAlign w:val="center"/>
                </w:tcPr>
                <w:p w14:paraId="13C68280" w14:textId="77777777" w:rsidR="008468F6" w:rsidRPr="005D4222" w:rsidRDefault="008468F6" w:rsidP="00A53E8C">
                  <w:pPr>
                    <w:pStyle w:val="TableText"/>
                    <w:rPr>
                      <w:rFonts w:eastAsia="Arial Narrow"/>
                    </w:rPr>
                  </w:pPr>
                  <w:r w:rsidRPr="005D4222">
                    <w:rPr>
                      <w:rFonts w:eastAsia="Arial Narrow"/>
                    </w:rPr>
                    <w:t xml:space="preserve">For each Metric and Stratification </w:t>
                  </w:r>
                </w:p>
              </w:tc>
            </w:tr>
            <w:tr w:rsidR="008468F6" w:rsidRPr="005D4222" w14:paraId="6A6FC75C" w14:textId="77777777" w:rsidTr="007B5FC3">
              <w:trPr>
                <w:cantSplit/>
              </w:trPr>
              <w:tc>
                <w:tcPr>
                  <w:tcW w:w="1120" w:type="dxa"/>
                  <w:tcBorders>
                    <w:top w:val="single" w:sz="4" w:space="0" w:color="auto"/>
                    <w:left w:val="nil"/>
                    <w:bottom w:val="nil"/>
                    <w:right w:val="nil"/>
                  </w:tcBorders>
                  <w:tcMar>
                    <w:left w:w="86" w:type="dxa"/>
                    <w:right w:w="86" w:type="dxa"/>
                  </w:tcMar>
                </w:tcPr>
                <w:p w14:paraId="468F9A23" w14:textId="77777777" w:rsidR="008468F6" w:rsidRPr="005D4222" w:rsidRDefault="008468F6" w:rsidP="00A53E8C">
                  <w:pPr>
                    <w:pStyle w:val="TableText"/>
                  </w:pPr>
                </w:p>
              </w:tc>
              <w:tc>
                <w:tcPr>
                  <w:tcW w:w="1481" w:type="dxa"/>
                  <w:tcBorders>
                    <w:top w:val="single" w:sz="4" w:space="0" w:color="auto"/>
                    <w:left w:val="nil"/>
                    <w:bottom w:val="nil"/>
                    <w:right w:val="single" w:sz="4" w:space="0" w:color="auto"/>
                  </w:tcBorders>
                  <w:tcMar>
                    <w:left w:w="86" w:type="dxa"/>
                    <w:right w:w="86" w:type="dxa"/>
                  </w:tcMar>
                </w:tcPr>
                <w:p w14:paraId="0E18FB59" w14:textId="77777777" w:rsidR="008468F6" w:rsidRPr="005D4222" w:rsidRDefault="008468F6" w:rsidP="00A53E8C">
                  <w:pPr>
                    <w:pStyle w:val="TableText"/>
                  </w:pPr>
                </w:p>
              </w:tc>
              <w:tc>
                <w:tcPr>
                  <w:tcW w:w="1401" w:type="dxa"/>
                  <w:tcBorders>
                    <w:top w:val="single" w:sz="4" w:space="0" w:color="auto"/>
                    <w:left w:val="single" w:sz="4" w:space="0" w:color="auto"/>
                    <w:bottom w:val="single" w:sz="4" w:space="0" w:color="auto"/>
                    <w:right w:val="single" w:sz="4" w:space="0" w:color="auto"/>
                  </w:tcBorders>
                  <w:tcMar>
                    <w:left w:w="86" w:type="dxa"/>
                    <w:right w:w="86" w:type="dxa"/>
                  </w:tcMar>
                </w:tcPr>
                <w:p w14:paraId="6F6F3582" w14:textId="77777777" w:rsidR="008468F6" w:rsidRPr="005D4222" w:rsidRDefault="008468F6" w:rsidP="00A53E8C">
                  <w:pPr>
                    <w:pStyle w:val="TableText"/>
                    <w:rPr>
                      <w:rFonts w:eastAsia="Arial Narrow"/>
                    </w:rPr>
                  </w:pPr>
                  <w:r w:rsidRPr="005D4222">
                    <w:t>ObservedCount</w:t>
                  </w:r>
                </w:p>
              </w:tc>
              <w:tc>
                <w:tcPr>
                  <w:tcW w:w="3373" w:type="dxa"/>
                  <w:tcBorders>
                    <w:top w:val="single" w:sz="4" w:space="0" w:color="auto"/>
                    <w:left w:val="single" w:sz="4" w:space="0" w:color="auto"/>
                    <w:bottom w:val="single" w:sz="4" w:space="0" w:color="auto"/>
                    <w:right w:val="single" w:sz="4" w:space="0" w:color="auto"/>
                  </w:tcBorders>
                  <w:tcMar>
                    <w:left w:w="86" w:type="dxa"/>
                    <w:right w:w="86" w:type="dxa"/>
                  </w:tcMar>
                </w:tcPr>
                <w:p w14:paraId="1864B490" w14:textId="77777777" w:rsidR="008468F6" w:rsidRPr="005D4222" w:rsidRDefault="008468F6" w:rsidP="00A53E8C">
                  <w:pPr>
                    <w:pStyle w:val="TableText"/>
                    <w:rPr>
                      <w:rFonts w:eastAsia="Arial Narrow"/>
                    </w:rPr>
                  </w:pPr>
                  <w:r w:rsidRPr="005D4222">
                    <w:rPr>
                      <w:rFonts w:eastAsia="Arial Narrow"/>
                    </w:rPr>
                    <w:t>For each Metric and Stratification</w:t>
                  </w:r>
                </w:p>
              </w:tc>
            </w:tr>
            <w:tr w:rsidR="008468F6" w:rsidRPr="005D4222" w14:paraId="093284A9" w14:textId="77777777" w:rsidTr="007B5FC3">
              <w:trPr>
                <w:cantSplit/>
              </w:trPr>
              <w:tc>
                <w:tcPr>
                  <w:tcW w:w="1120" w:type="dxa"/>
                  <w:tcBorders>
                    <w:top w:val="nil"/>
                    <w:left w:val="nil"/>
                    <w:bottom w:val="nil"/>
                    <w:right w:val="nil"/>
                  </w:tcBorders>
                  <w:tcMar>
                    <w:left w:w="86" w:type="dxa"/>
                    <w:right w:w="86" w:type="dxa"/>
                  </w:tcMar>
                </w:tcPr>
                <w:p w14:paraId="5D400676" w14:textId="77777777" w:rsidR="008468F6" w:rsidRPr="005D4222" w:rsidRDefault="008468F6" w:rsidP="00A53E8C">
                  <w:pPr>
                    <w:pStyle w:val="TableText"/>
                  </w:pPr>
                </w:p>
              </w:tc>
              <w:tc>
                <w:tcPr>
                  <w:tcW w:w="1481" w:type="dxa"/>
                  <w:tcBorders>
                    <w:top w:val="nil"/>
                    <w:left w:val="nil"/>
                    <w:bottom w:val="nil"/>
                    <w:right w:val="single" w:sz="4" w:space="0" w:color="auto"/>
                  </w:tcBorders>
                  <w:tcMar>
                    <w:left w:w="86" w:type="dxa"/>
                    <w:right w:w="86" w:type="dxa"/>
                  </w:tcMar>
                </w:tcPr>
                <w:p w14:paraId="7C44C83C" w14:textId="77777777" w:rsidR="008468F6" w:rsidRPr="005D4222" w:rsidRDefault="008468F6" w:rsidP="00A53E8C">
                  <w:pPr>
                    <w:pStyle w:val="TableText"/>
                  </w:pPr>
                </w:p>
              </w:tc>
              <w:tc>
                <w:tcPr>
                  <w:tcW w:w="14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86" w:type="dxa"/>
                    <w:right w:w="86" w:type="dxa"/>
                  </w:tcMar>
                </w:tcPr>
                <w:p w14:paraId="75C2B129" w14:textId="77777777" w:rsidR="008468F6" w:rsidRPr="005D4222" w:rsidRDefault="008468F6" w:rsidP="00A53E8C">
                  <w:pPr>
                    <w:pStyle w:val="TableText"/>
                  </w:pPr>
                  <w:r w:rsidRPr="005D4222">
                    <w:t>ObservedRate</w:t>
                  </w:r>
                </w:p>
              </w:tc>
              <w:tc>
                <w:tcPr>
                  <w:tcW w:w="33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86" w:type="dxa"/>
                    <w:right w:w="86" w:type="dxa"/>
                  </w:tcMar>
                </w:tcPr>
                <w:p w14:paraId="49136C67" w14:textId="77777777" w:rsidR="008468F6" w:rsidRPr="005D4222" w:rsidRDefault="008468F6" w:rsidP="00A53E8C">
                  <w:pPr>
                    <w:pStyle w:val="TableText"/>
                    <w:rPr>
                      <w:rFonts w:eastAsia="Arial Narrow"/>
                    </w:rPr>
                  </w:pPr>
                  <w:r w:rsidRPr="005D4222">
                    <w:rPr>
                      <w:rFonts w:eastAsia="Arial Narrow"/>
                    </w:rPr>
                    <w:t>1000 * ObservedCount / PersonCount</w:t>
                  </w:r>
                </w:p>
              </w:tc>
            </w:tr>
            <w:tr w:rsidR="008468F6" w:rsidRPr="005D4222" w14:paraId="7AEE1DBE" w14:textId="77777777" w:rsidTr="007B5FC3">
              <w:trPr>
                <w:cantSplit/>
              </w:trPr>
              <w:tc>
                <w:tcPr>
                  <w:tcW w:w="1120" w:type="dxa"/>
                  <w:tcBorders>
                    <w:top w:val="nil"/>
                    <w:left w:val="nil"/>
                    <w:bottom w:val="nil"/>
                    <w:right w:val="nil"/>
                  </w:tcBorders>
                  <w:tcMar>
                    <w:left w:w="86" w:type="dxa"/>
                    <w:right w:w="86" w:type="dxa"/>
                  </w:tcMar>
                </w:tcPr>
                <w:p w14:paraId="721807AE" w14:textId="77777777" w:rsidR="008468F6" w:rsidRPr="005D4222" w:rsidRDefault="008468F6" w:rsidP="00A53E8C">
                  <w:pPr>
                    <w:pStyle w:val="TableText"/>
                  </w:pPr>
                </w:p>
              </w:tc>
              <w:tc>
                <w:tcPr>
                  <w:tcW w:w="1481" w:type="dxa"/>
                  <w:tcBorders>
                    <w:top w:val="nil"/>
                    <w:left w:val="nil"/>
                    <w:bottom w:val="nil"/>
                    <w:right w:val="single" w:sz="4" w:space="0" w:color="auto"/>
                  </w:tcBorders>
                  <w:tcMar>
                    <w:left w:w="86" w:type="dxa"/>
                    <w:right w:w="86" w:type="dxa"/>
                  </w:tcMar>
                </w:tcPr>
                <w:p w14:paraId="1EEB9892" w14:textId="77777777" w:rsidR="008468F6" w:rsidRPr="005D4222" w:rsidRDefault="008468F6" w:rsidP="00A53E8C">
                  <w:pPr>
                    <w:pStyle w:val="TableText"/>
                  </w:pPr>
                </w:p>
              </w:tc>
              <w:tc>
                <w:tcPr>
                  <w:tcW w:w="1401" w:type="dxa"/>
                  <w:tcBorders>
                    <w:top w:val="single" w:sz="4" w:space="0" w:color="auto"/>
                    <w:left w:val="single" w:sz="4" w:space="0" w:color="auto"/>
                    <w:bottom w:val="single" w:sz="4" w:space="0" w:color="auto"/>
                    <w:right w:val="single" w:sz="4" w:space="0" w:color="auto"/>
                  </w:tcBorders>
                  <w:tcMar>
                    <w:left w:w="86" w:type="dxa"/>
                    <w:right w:w="86" w:type="dxa"/>
                  </w:tcMar>
                </w:tcPr>
                <w:p w14:paraId="4F48E457" w14:textId="77777777" w:rsidR="008468F6" w:rsidRPr="005D4222" w:rsidRDefault="008468F6" w:rsidP="00A53E8C">
                  <w:pPr>
                    <w:pStyle w:val="TableText"/>
                  </w:pPr>
                  <w:r w:rsidRPr="005D4222">
                    <w:t>ExpectedCount</w:t>
                  </w:r>
                </w:p>
              </w:tc>
              <w:tc>
                <w:tcPr>
                  <w:tcW w:w="3373" w:type="dxa"/>
                  <w:tcBorders>
                    <w:top w:val="single" w:sz="4" w:space="0" w:color="auto"/>
                    <w:left w:val="single" w:sz="4" w:space="0" w:color="auto"/>
                    <w:bottom w:val="single" w:sz="4" w:space="0" w:color="auto"/>
                    <w:right w:val="single" w:sz="4" w:space="0" w:color="auto"/>
                  </w:tcBorders>
                  <w:tcMar>
                    <w:left w:w="86" w:type="dxa"/>
                    <w:right w:w="86" w:type="dxa"/>
                  </w:tcMar>
                </w:tcPr>
                <w:p w14:paraId="3A6CCC80" w14:textId="77777777" w:rsidR="008468F6" w:rsidRPr="005D4222" w:rsidRDefault="008468F6" w:rsidP="00A53E8C">
                  <w:pPr>
                    <w:pStyle w:val="TableText"/>
                    <w:rPr>
                      <w:rFonts w:eastAsia="Arial Narrow"/>
                    </w:rPr>
                  </w:pPr>
                  <w:r w:rsidRPr="005D4222">
                    <w:rPr>
                      <w:rFonts w:eastAsia="Arial Narrow"/>
                    </w:rPr>
                    <w:t>For each Metric and Stratification</w:t>
                  </w:r>
                </w:p>
              </w:tc>
            </w:tr>
            <w:tr w:rsidR="008468F6" w:rsidRPr="005D4222" w14:paraId="7C171E2F" w14:textId="77777777" w:rsidTr="007B5FC3">
              <w:trPr>
                <w:cantSplit/>
              </w:trPr>
              <w:tc>
                <w:tcPr>
                  <w:tcW w:w="1120" w:type="dxa"/>
                  <w:tcBorders>
                    <w:top w:val="nil"/>
                    <w:left w:val="nil"/>
                    <w:bottom w:val="nil"/>
                    <w:right w:val="nil"/>
                  </w:tcBorders>
                  <w:tcMar>
                    <w:left w:w="86" w:type="dxa"/>
                    <w:right w:w="86" w:type="dxa"/>
                  </w:tcMar>
                </w:tcPr>
                <w:p w14:paraId="1BF7FAA9" w14:textId="77777777" w:rsidR="008468F6" w:rsidRPr="005D4222" w:rsidRDefault="008468F6" w:rsidP="00A53E8C">
                  <w:pPr>
                    <w:pStyle w:val="TableText"/>
                  </w:pPr>
                </w:p>
              </w:tc>
              <w:tc>
                <w:tcPr>
                  <w:tcW w:w="1481" w:type="dxa"/>
                  <w:tcBorders>
                    <w:top w:val="nil"/>
                    <w:left w:val="nil"/>
                    <w:bottom w:val="nil"/>
                    <w:right w:val="single" w:sz="4" w:space="0" w:color="auto"/>
                  </w:tcBorders>
                  <w:tcMar>
                    <w:left w:w="86" w:type="dxa"/>
                    <w:right w:w="86" w:type="dxa"/>
                  </w:tcMar>
                </w:tcPr>
                <w:p w14:paraId="1357E9F5" w14:textId="77777777" w:rsidR="008468F6" w:rsidRPr="005D4222" w:rsidRDefault="008468F6" w:rsidP="00A53E8C">
                  <w:pPr>
                    <w:pStyle w:val="TableText"/>
                  </w:pPr>
                </w:p>
              </w:tc>
              <w:tc>
                <w:tcPr>
                  <w:tcW w:w="14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86" w:type="dxa"/>
                    <w:right w:w="86" w:type="dxa"/>
                  </w:tcMar>
                </w:tcPr>
                <w:p w14:paraId="2EB71733" w14:textId="77777777" w:rsidR="008468F6" w:rsidRPr="005D4222" w:rsidRDefault="008468F6" w:rsidP="00A53E8C">
                  <w:pPr>
                    <w:pStyle w:val="TableText"/>
                  </w:pPr>
                  <w:r w:rsidRPr="005D4222">
                    <w:t>ExpectedRate</w:t>
                  </w:r>
                </w:p>
              </w:tc>
              <w:tc>
                <w:tcPr>
                  <w:tcW w:w="33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86" w:type="dxa"/>
                    <w:right w:w="86" w:type="dxa"/>
                  </w:tcMar>
                </w:tcPr>
                <w:p w14:paraId="4101C609" w14:textId="77777777" w:rsidR="008468F6" w:rsidRPr="005D4222" w:rsidRDefault="008468F6" w:rsidP="00A53E8C">
                  <w:pPr>
                    <w:pStyle w:val="TableText"/>
                    <w:rPr>
                      <w:rFonts w:eastAsia="Arial Narrow"/>
                    </w:rPr>
                  </w:pPr>
                  <w:r w:rsidRPr="005D4222">
                    <w:rPr>
                      <w:rFonts w:eastAsia="Arial Narrow"/>
                    </w:rPr>
                    <w:t>1000 * ExpectedCount /PersonCount</w:t>
                  </w:r>
                </w:p>
              </w:tc>
            </w:tr>
            <w:tr w:rsidR="008468F6" w:rsidRPr="005D4222" w14:paraId="53D64ADA" w14:textId="77777777" w:rsidTr="007B5FC3">
              <w:trPr>
                <w:cantSplit/>
              </w:trPr>
              <w:tc>
                <w:tcPr>
                  <w:tcW w:w="1120" w:type="dxa"/>
                  <w:tcBorders>
                    <w:top w:val="nil"/>
                    <w:left w:val="nil"/>
                    <w:bottom w:val="nil"/>
                    <w:right w:val="nil"/>
                  </w:tcBorders>
                  <w:tcMar>
                    <w:left w:w="86" w:type="dxa"/>
                    <w:right w:w="86" w:type="dxa"/>
                  </w:tcMar>
                </w:tcPr>
                <w:p w14:paraId="1DEDE5E4" w14:textId="77777777" w:rsidR="008468F6" w:rsidRPr="005D4222" w:rsidRDefault="008468F6" w:rsidP="00A53E8C">
                  <w:pPr>
                    <w:pStyle w:val="TableText"/>
                  </w:pPr>
                </w:p>
              </w:tc>
              <w:tc>
                <w:tcPr>
                  <w:tcW w:w="1481" w:type="dxa"/>
                  <w:tcBorders>
                    <w:top w:val="nil"/>
                    <w:left w:val="nil"/>
                    <w:bottom w:val="nil"/>
                    <w:right w:val="single" w:sz="4" w:space="0" w:color="auto"/>
                  </w:tcBorders>
                  <w:tcMar>
                    <w:left w:w="86" w:type="dxa"/>
                    <w:right w:w="86" w:type="dxa"/>
                  </w:tcMar>
                </w:tcPr>
                <w:p w14:paraId="4A991632" w14:textId="77777777" w:rsidR="008468F6" w:rsidRPr="005D4222" w:rsidRDefault="008468F6" w:rsidP="00A53E8C">
                  <w:pPr>
                    <w:pStyle w:val="TableText"/>
                  </w:pPr>
                </w:p>
              </w:tc>
              <w:tc>
                <w:tcPr>
                  <w:tcW w:w="1401" w:type="dxa"/>
                  <w:tcBorders>
                    <w:top w:val="single" w:sz="4" w:space="0" w:color="auto"/>
                    <w:left w:val="single" w:sz="4" w:space="0" w:color="auto"/>
                    <w:bottom w:val="single" w:sz="4" w:space="0" w:color="auto"/>
                    <w:right w:val="single" w:sz="4" w:space="0" w:color="auto"/>
                  </w:tcBorders>
                  <w:tcMar>
                    <w:left w:w="86" w:type="dxa"/>
                    <w:right w:w="86" w:type="dxa"/>
                  </w:tcMar>
                </w:tcPr>
                <w:p w14:paraId="6DF5691B" w14:textId="77777777" w:rsidR="008468F6" w:rsidRPr="005D4222" w:rsidRDefault="008468F6" w:rsidP="00A53E8C">
                  <w:pPr>
                    <w:pStyle w:val="TableText"/>
                  </w:pPr>
                  <w:r w:rsidRPr="005D4222">
                    <w:t>CountVariance</w:t>
                  </w:r>
                </w:p>
              </w:tc>
              <w:tc>
                <w:tcPr>
                  <w:tcW w:w="3373" w:type="dxa"/>
                  <w:tcBorders>
                    <w:top w:val="single" w:sz="4" w:space="0" w:color="auto"/>
                    <w:left w:val="single" w:sz="4" w:space="0" w:color="auto"/>
                    <w:bottom w:val="single" w:sz="4" w:space="0" w:color="auto"/>
                    <w:right w:val="single" w:sz="4" w:space="0" w:color="auto"/>
                  </w:tcBorders>
                  <w:tcMar>
                    <w:left w:w="86" w:type="dxa"/>
                    <w:right w:w="86" w:type="dxa"/>
                  </w:tcMar>
                </w:tcPr>
                <w:p w14:paraId="7ACE350E" w14:textId="77777777" w:rsidR="008468F6" w:rsidRPr="005D4222" w:rsidRDefault="008468F6" w:rsidP="00A53E8C">
                  <w:pPr>
                    <w:pStyle w:val="TableText"/>
                    <w:rPr>
                      <w:rFonts w:eastAsia="Arial Narrow"/>
                    </w:rPr>
                  </w:pPr>
                  <w:r w:rsidRPr="005D4222">
                    <w:rPr>
                      <w:rFonts w:eastAsia="Arial Narrow"/>
                    </w:rPr>
                    <w:t>For each Metric and Stratification</w:t>
                  </w:r>
                </w:p>
              </w:tc>
            </w:tr>
            <w:tr w:rsidR="008468F6" w:rsidRPr="005D4222" w14:paraId="51C1C406" w14:textId="77777777" w:rsidTr="007B5FC3">
              <w:trPr>
                <w:cantSplit/>
              </w:trPr>
              <w:tc>
                <w:tcPr>
                  <w:tcW w:w="1120" w:type="dxa"/>
                  <w:tcBorders>
                    <w:top w:val="nil"/>
                    <w:left w:val="nil"/>
                    <w:bottom w:val="nil"/>
                    <w:right w:val="nil"/>
                  </w:tcBorders>
                  <w:tcMar>
                    <w:left w:w="86" w:type="dxa"/>
                    <w:right w:w="86" w:type="dxa"/>
                  </w:tcMar>
                </w:tcPr>
                <w:p w14:paraId="5F027545" w14:textId="77777777" w:rsidR="008468F6" w:rsidRPr="005D4222" w:rsidRDefault="008468F6" w:rsidP="00A53E8C">
                  <w:pPr>
                    <w:pStyle w:val="TableText"/>
                  </w:pPr>
                </w:p>
              </w:tc>
              <w:tc>
                <w:tcPr>
                  <w:tcW w:w="1481" w:type="dxa"/>
                  <w:tcBorders>
                    <w:top w:val="nil"/>
                    <w:left w:val="nil"/>
                    <w:bottom w:val="nil"/>
                    <w:right w:val="single" w:sz="4" w:space="0" w:color="auto"/>
                  </w:tcBorders>
                  <w:tcMar>
                    <w:left w:w="86" w:type="dxa"/>
                    <w:right w:w="86" w:type="dxa"/>
                  </w:tcMar>
                </w:tcPr>
                <w:p w14:paraId="7C59BD5E" w14:textId="77777777" w:rsidR="008468F6" w:rsidRPr="005D4222" w:rsidRDefault="008468F6" w:rsidP="00A53E8C">
                  <w:pPr>
                    <w:pStyle w:val="TableText"/>
                  </w:pPr>
                </w:p>
              </w:tc>
              <w:tc>
                <w:tcPr>
                  <w:tcW w:w="14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86" w:type="dxa"/>
                    <w:right w:w="86" w:type="dxa"/>
                  </w:tcMar>
                </w:tcPr>
                <w:p w14:paraId="19C2AF2B" w14:textId="77777777" w:rsidR="008468F6" w:rsidRPr="005D4222" w:rsidRDefault="008468F6" w:rsidP="00A53E8C">
                  <w:pPr>
                    <w:pStyle w:val="TableText"/>
                  </w:pPr>
                  <w:r w:rsidRPr="005D4222">
                    <w:t>OE</w:t>
                  </w:r>
                </w:p>
              </w:tc>
              <w:tc>
                <w:tcPr>
                  <w:tcW w:w="33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86" w:type="dxa"/>
                    <w:right w:w="86" w:type="dxa"/>
                  </w:tcMar>
                </w:tcPr>
                <w:p w14:paraId="5CC6CD60" w14:textId="77777777" w:rsidR="008468F6" w:rsidRPr="005D4222" w:rsidRDefault="008468F6" w:rsidP="00A53E8C">
                  <w:pPr>
                    <w:pStyle w:val="TableText"/>
                    <w:rPr>
                      <w:rFonts w:eastAsia="Arial Narrow"/>
                    </w:rPr>
                  </w:pPr>
                  <w:r w:rsidRPr="005D4222">
                    <w:rPr>
                      <w:rFonts w:eastAsia="Arial Narrow"/>
                    </w:rPr>
                    <w:t>ObservedCount / ExpectedCount</w:t>
                  </w:r>
                </w:p>
              </w:tc>
            </w:tr>
          </w:tbl>
          <w:p w14:paraId="118A0674" w14:textId="77777777" w:rsidR="008468F6" w:rsidRPr="005D4222" w:rsidRDefault="008468F6" w:rsidP="00A53E8C">
            <w:pPr>
              <w:pStyle w:val="ECDSBody"/>
              <w:rPr>
                <w:color w:val="000000" w:themeColor="text1"/>
              </w:rPr>
            </w:pPr>
          </w:p>
        </w:tc>
      </w:tr>
      <w:tr w:rsidR="008468F6" w:rsidRPr="005D4222" w14:paraId="66DEC375"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4B196E8" w14:textId="77777777" w:rsidR="008468F6" w:rsidRPr="005D4222" w:rsidRDefault="008468F6" w:rsidP="00A53E8C">
            <w:pPr>
              <w:pStyle w:val="ECDSMarginHead"/>
            </w:pPr>
            <w:r w:rsidRPr="005D4222">
              <w:lastRenderedPageBreak/>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BF6F9A6" w14:textId="77777777" w:rsidR="008468F6" w:rsidRPr="005D4222" w:rsidRDefault="008468F6" w:rsidP="00A53E8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4CD45E6C" w14:textId="77777777" w:rsidR="008468F6" w:rsidRPr="005D4222" w:rsidRDefault="008468F6" w:rsidP="00A53E8C">
            <w:pPr>
              <w:pStyle w:val="ECDSBody"/>
              <w:rPr>
                <w:b/>
              </w:rPr>
            </w:pPr>
            <w:r w:rsidRPr="005D4222">
              <w:rPr>
                <w:b/>
              </w:rPr>
              <w:t>Adjusted HEDIS measures may not be used for HEDIS health plan reporting.</w:t>
            </w:r>
          </w:p>
          <w:p w14:paraId="0A373EA9" w14:textId="77777777" w:rsidR="008468F6" w:rsidRPr="005D4222" w:rsidRDefault="008468F6" w:rsidP="00A53E8C">
            <w:pPr>
              <w:pStyle w:val="ECDSBody"/>
            </w:pPr>
            <w:r w:rsidRPr="005D4222">
              <w:t xml:space="preserve">The measures under the Risk Adjusted Utilization domain allow two types of </w:t>
            </w:r>
            <w:r w:rsidRPr="005D4222">
              <w:rPr>
                <w:i/>
                <w:iCs/>
              </w:rPr>
              <w:t>Rules for Allowable Adjustments</w:t>
            </w:r>
            <w:r w:rsidRPr="005D4222">
              <w:t xml:space="preserve"> sections:</w:t>
            </w:r>
          </w:p>
          <w:p w14:paraId="046BA2AE" w14:textId="29A3E0F0" w:rsidR="008468F6" w:rsidRPr="005D4222" w:rsidRDefault="008468F6" w:rsidP="00C95C0A">
            <w:pPr>
              <w:pStyle w:val="Body"/>
              <w:spacing w:before="120"/>
              <w:ind w:left="648" w:hanging="288"/>
            </w:pPr>
            <w:r w:rsidRPr="005D4222">
              <w:t>1.</w:t>
            </w:r>
            <w:r w:rsidRPr="005D4222">
              <w:tab/>
            </w:r>
            <w:r w:rsidRPr="005D4222">
              <w:rPr>
                <w:i/>
                <w:iCs/>
              </w:rPr>
              <w:t xml:space="preserve">Rules for Allowable Adjustments for Risk-Adjusted Measurement. </w:t>
            </w:r>
            <w:r w:rsidRPr="005D4222">
              <w:t xml:space="preserve">This section must be followed for adjustments when calculating the full measure specifications, which includes all risk adjusted rates (expected rates, risk adjustment, O/E) and calculation components (count of index stays, observed events). </w:t>
            </w:r>
          </w:p>
          <w:p w14:paraId="304C930D" w14:textId="77777777" w:rsidR="008468F6" w:rsidRPr="005D4222" w:rsidRDefault="008468F6" w:rsidP="00C95C0A">
            <w:pPr>
              <w:pStyle w:val="Body"/>
              <w:spacing w:before="120"/>
              <w:ind w:left="648" w:hanging="288"/>
            </w:pPr>
            <w:r w:rsidRPr="005D4222">
              <w:t>2.</w:t>
            </w:r>
            <w:r w:rsidRPr="005D4222">
              <w:tab/>
            </w:r>
            <w:r w:rsidRPr="005D4222">
              <w:rPr>
                <w:i/>
                <w:iCs/>
              </w:rPr>
              <w:t xml:space="preserve">Rules for Allowable Adjustments for Observed Measurement (rates without risk adjustment). </w:t>
            </w:r>
            <w:r w:rsidRPr="005D4222">
              <w:t>This section must be followed when adjusting the calculation of Observed Events only. When applying these adjustments, organizations must not include risk adjustment logic.</w:t>
            </w:r>
          </w:p>
          <w:p w14:paraId="04B22927" w14:textId="77777777" w:rsidR="008468F6" w:rsidRPr="005D4222" w:rsidRDefault="008468F6" w:rsidP="00A53E8C">
            <w:pPr>
              <w:pStyle w:val="ECDSBody"/>
            </w:pPr>
            <w:r w:rsidRPr="005D4222">
              <w:t>The intent of including the two different types of Rules</w:t>
            </w:r>
            <w:r w:rsidRPr="005D4222" w:rsidDel="00BE599F">
              <w:t xml:space="preserve"> </w:t>
            </w:r>
            <w:r w:rsidRPr="005D4222">
              <w:t>is to allow organizations to adjust measures without compromising the measures’ validity. Risk adjustment is based on statistical prediction models that are specifically calibrated for each measure.</w:t>
            </w:r>
          </w:p>
          <w:p w14:paraId="41E15EF6" w14:textId="7189E52B" w:rsidR="008468F6" w:rsidRPr="005D4222" w:rsidRDefault="008468F6" w:rsidP="00A53E8C">
            <w:pPr>
              <w:pStyle w:val="ECDSBody"/>
              <w:rPr>
                <w:b/>
              </w:rPr>
            </w:pPr>
            <w:r w:rsidRPr="005D4222">
              <w:rPr>
                <w:b/>
              </w:rPr>
              <w:t xml:space="preserve">The following </w:t>
            </w:r>
            <w:r w:rsidR="009A4646" w:rsidRPr="005D4222">
              <w:rPr>
                <w:b/>
              </w:rPr>
              <w:t>are</w:t>
            </w:r>
            <w:r w:rsidRPr="005D4222">
              <w:rPr>
                <w:b/>
              </w:rPr>
              <w:t xml:space="preserve"> the Rules for Allowable Adjustments for </w:t>
            </w:r>
            <w:r w:rsidRPr="005D4222">
              <w:rPr>
                <w:b/>
                <w:u w:val="single"/>
              </w:rPr>
              <w:t xml:space="preserve">Risk-Adjusted Measurement </w:t>
            </w:r>
            <w:r w:rsidRPr="005D4222">
              <w:rPr>
                <w:b/>
              </w:rPr>
              <w:t xml:space="preserve">of the </w:t>
            </w:r>
            <w:r w:rsidRPr="005D4222" w:rsidDel="00414AAA">
              <w:rPr>
                <w:b/>
              </w:rPr>
              <w:t>Emergency Department Visits for Hypoglycemia in Older Adults With Diabetes</w:t>
            </w:r>
            <w:r w:rsidRPr="005D4222">
              <w:rPr>
                <w:b/>
              </w:rPr>
              <w:t xml:space="preserve"> measure (count of observed events, count of expected events, variance, risk adjustment determination, risk adjustment weighting, </w:t>
            </w:r>
            <w:r w:rsidRPr="005D4222">
              <w:rPr>
                <w:b/>
                <w:bCs w:val="0"/>
              </w:rPr>
              <w:t>O</w:t>
            </w:r>
            <w:r w:rsidRPr="005D4222">
              <w:rPr>
                <w:b/>
              </w:rPr>
              <w:t>/E).</w:t>
            </w:r>
          </w:p>
          <w:p w14:paraId="7E04DA21" w14:textId="77777777" w:rsidR="008468F6" w:rsidRPr="005D4222" w:rsidRDefault="008468F6" w:rsidP="00A53E8C">
            <w:pPr>
              <w:pStyle w:val="Adjustments"/>
              <w:rPr>
                <w:b w:val="0"/>
              </w:rPr>
            </w:pPr>
            <w:r w:rsidRPr="005D4222">
              <w:t>Adjustments</w:t>
            </w:r>
            <w:r w:rsidRPr="005D4222">
              <w:rPr>
                <w:bCs/>
              </w:rPr>
              <w:t xml:space="preserve"> a</w:t>
            </w:r>
            <w:r w:rsidRPr="005D4222">
              <w:t>llowed</w:t>
            </w:r>
          </w:p>
          <w:p w14:paraId="1B31313B" w14:textId="77777777" w:rsidR="008468F6" w:rsidRPr="005D4222" w:rsidRDefault="008468F6" w:rsidP="008468F6">
            <w:pPr>
              <w:pStyle w:val="ProcessBullet"/>
              <w:tabs>
                <w:tab w:val="left" w:pos="216"/>
                <w:tab w:val="num" w:pos="720"/>
              </w:tabs>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493A670B" w14:textId="77777777" w:rsidR="008468F6" w:rsidRPr="005D4222" w:rsidRDefault="008468F6" w:rsidP="00A53E8C">
            <w:pPr>
              <w:pStyle w:val="Adjustments"/>
              <w:rPr>
                <w:b w:val="0"/>
              </w:rPr>
            </w:pPr>
            <w:r w:rsidRPr="005D4222">
              <w:t xml:space="preserve">Adjustments </w:t>
            </w:r>
            <w:r w:rsidRPr="005D4222">
              <w:rPr>
                <w:bCs/>
              </w:rPr>
              <w:t>a</w:t>
            </w:r>
            <w:r w:rsidRPr="005D4222">
              <w:t xml:space="preserve">llowed with </w:t>
            </w:r>
            <w:r w:rsidRPr="005D4222">
              <w:rPr>
                <w:bCs/>
              </w:rPr>
              <w:t>l</w:t>
            </w:r>
            <w:r w:rsidRPr="005D4222">
              <w:t>imits</w:t>
            </w:r>
          </w:p>
          <w:p w14:paraId="608FFD31" w14:textId="08705001" w:rsidR="008468F6" w:rsidRPr="005D4222" w:rsidRDefault="008468F6" w:rsidP="008468F6">
            <w:pPr>
              <w:pStyle w:val="ProcessBullet"/>
              <w:tabs>
                <w:tab w:val="left" w:pos="216"/>
                <w:tab w:val="num" w:pos="720"/>
              </w:tabs>
            </w:pPr>
            <w:r w:rsidRPr="005D4222">
              <w:rPr>
                <w:i/>
                <w:iCs/>
              </w:rPr>
              <w:t xml:space="preserve">Other. </w:t>
            </w:r>
            <w:r w:rsidRPr="005D4222">
              <w:t xml:space="preserve">Organizations may only adjust the </w:t>
            </w:r>
            <w:r w:rsidR="00E83615" w:rsidRPr="005D4222">
              <w:t>initial</w:t>
            </w:r>
            <w:r w:rsidRPr="005D4222">
              <w:t xml:space="preserve"> population criteria to focus on an area of interest defined by gender, sociodemographic characteristics or geographical region. NCQA recommends evaluating risk model performance and validity within adjusted populations. Organizations may not adjust for a clinical subpopulation (e.g., persons with a diabetes diagnosis).</w:t>
            </w:r>
          </w:p>
          <w:p w14:paraId="0EF125BC" w14:textId="77777777" w:rsidR="008468F6" w:rsidRPr="005D4222" w:rsidRDefault="008468F6" w:rsidP="008468F6">
            <w:pPr>
              <w:pStyle w:val="ProcessBullet"/>
              <w:tabs>
                <w:tab w:val="left" w:pos="216"/>
                <w:tab w:val="num" w:pos="720"/>
              </w:tabs>
              <w:rPr>
                <w:b/>
                <w:bCs/>
              </w:rPr>
            </w:pPr>
            <w:r w:rsidRPr="005D4222">
              <w:rPr>
                <w:i/>
                <w:iCs/>
              </w:rPr>
              <w:t>Measurement period adjustments.</w:t>
            </w:r>
            <w:r w:rsidRPr="005D4222">
              <w:t xml:space="preserve"> Organizations may only change the measurement period by 1 year.</w:t>
            </w:r>
          </w:p>
          <w:p w14:paraId="5441441C" w14:textId="77777777" w:rsidR="008468F6" w:rsidRPr="005D4222" w:rsidRDefault="008468F6" w:rsidP="008468F6">
            <w:pPr>
              <w:pStyle w:val="ProcessBullet"/>
              <w:tabs>
                <w:tab w:val="left" w:pos="216"/>
                <w:tab w:val="num" w:pos="720"/>
              </w:tabs>
              <w:spacing w:after="80"/>
            </w:pPr>
            <w:r w:rsidRPr="005D4222">
              <w:rPr>
                <w:i/>
                <w:iCs/>
              </w:rPr>
              <w:t xml:space="preserve">Calculations of observed events. </w:t>
            </w:r>
            <w:r w:rsidRPr="005D4222">
              <w:t>Organizations may include denied claims to calculate observed events. Medication lists, value sets and logic may not be changed.</w:t>
            </w:r>
          </w:p>
        </w:tc>
      </w:tr>
      <w:tr w:rsidR="008468F6" w:rsidRPr="005D4222" w14:paraId="010DD79C"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AFD3ED1" w14:textId="77777777" w:rsidR="008468F6" w:rsidRPr="005D4222" w:rsidRDefault="008468F6"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05F8D33" w14:textId="77777777" w:rsidR="008468F6" w:rsidRPr="005D4222" w:rsidRDefault="008468F6" w:rsidP="008468F6">
            <w:pPr>
              <w:pStyle w:val="ProcessBullet"/>
              <w:tabs>
                <w:tab w:val="left" w:pos="216"/>
                <w:tab w:val="num" w:pos="720"/>
              </w:tabs>
              <w:spacing w:before="120"/>
            </w:pPr>
            <w:r w:rsidRPr="005D4222">
              <w:rPr>
                <w:i/>
                <w:iCs/>
              </w:rPr>
              <w:t xml:space="preserve">Risk adjustment determination, risk adjustment weighting, expected ED visits, variance. </w:t>
            </w:r>
            <w:r w:rsidRPr="005D4222">
              <w:t>Organizations may include denied claims to calculate these events. Risk adjustment determinations, weighting and calculations of expected events logic may not be changed.</w:t>
            </w:r>
          </w:p>
          <w:p w14:paraId="5CB8BCFC" w14:textId="77777777" w:rsidR="008468F6" w:rsidRPr="005D4222" w:rsidRDefault="008468F6" w:rsidP="00A53E8C">
            <w:pPr>
              <w:pStyle w:val="Adjustments"/>
              <w:rPr>
                <w:b w:val="0"/>
              </w:rPr>
            </w:pPr>
            <w:r w:rsidRPr="005D4222">
              <w:t xml:space="preserve">Adjustments </w:t>
            </w:r>
            <w:r w:rsidRPr="005D4222">
              <w:rPr>
                <w:bCs/>
              </w:rPr>
              <w:t>not allowed</w:t>
            </w:r>
          </w:p>
          <w:p w14:paraId="3636F91F" w14:textId="77777777" w:rsidR="008468F6" w:rsidRPr="005D4222" w:rsidRDefault="008468F6" w:rsidP="008468F6">
            <w:pPr>
              <w:pStyle w:val="ProcessBullet"/>
              <w:tabs>
                <w:tab w:val="left" w:pos="216"/>
                <w:tab w:val="num" w:pos="720"/>
              </w:tabs>
              <w:rPr>
                <w:b/>
                <w:bCs/>
                <w:color w:val="000000" w:themeColor="text1"/>
              </w:rPr>
            </w:pPr>
            <w:r w:rsidRPr="005D4222">
              <w:rPr>
                <w:i/>
                <w:iCs/>
              </w:rPr>
              <w:t xml:space="preserve">Product lines. </w:t>
            </w:r>
            <w:r w:rsidRPr="005D4222">
              <w:t>Organizations may not adjust product lines.</w:t>
            </w:r>
          </w:p>
          <w:p w14:paraId="75FFF17A" w14:textId="77777777" w:rsidR="008468F6" w:rsidRPr="005D4222" w:rsidRDefault="008468F6" w:rsidP="008468F6">
            <w:pPr>
              <w:pStyle w:val="ProcessBullet"/>
              <w:tabs>
                <w:tab w:val="left" w:pos="216"/>
                <w:tab w:val="num" w:pos="720"/>
              </w:tabs>
              <w:rPr>
                <w:b/>
                <w:bCs/>
                <w:color w:val="000000" w:themeColor="text1"/>
              </w:rPr>
            </w:pPr>
            <w:r w:rsidRPr="005D4222">
              <w:rPr>
                <w:i/>
                <w:iCs/>
              </w:rPr>
              <w:t>Attribution.</w:t>
            </w:r>
            <w:r w:rsidRPr="005D4222">
              <w:t xml:space="preserve"> Organizations are required to use enrollment criteria. </w:t>
            </w:r>
          </w:p>
          <w:p w14:paraId="76DFBFA4" w14:textId="77777777" w:rsidR="008468F6" w:rsidRPr="005D4222" w:rsidRDefault="008468F6" w:rsidP="008468F6">
            <w:pPr>
              <w:pStyle w:val="ProcessBullet"/>
              <w:tabs>
                <w:tab w:val="left" w:pos="216"/>
                <w:tab w:val="num" w:pos="720"/>
              </w:tabs>
              <w:rPr>
                <w:b/>
                <w:bCs/>
                <w:color w:val="000000" w:themeColor="text1"/>
              </w:rPr>
            </w:pPr>
            <w:r w:rsidRPr="005D4222">
              <w:rPr>
                <w:i/>
                <w:iCs/>
                <w:color w:val="000000" w:themeColor="text1"/>
              </w:rPr>
              <w:t>Ages</w:t>
            </w:r>
            <w:r w:rsidRPr="005D4222">
              <w:rPr>
                <w:color w:val="000000" w:themeColor="text1"/>
              </w:rPr>
              <w:t>. The age determination dates may not be changed.</w:t>
            </w:r>
          </w:p>
          <w:p w14:paraId="00C7ED32" w14:textId="49E30757" w:rsidR="008468F6" w:rsidRPr="005D4222" w:rsidRDefault="00362E76" w:rsidP="008468F6">
            <w:pPr>
              <w:pStyle w:val="ProcessBullet"/>
              <w:tabs>
                <w:tab w:val="left" w:pos="216"/>
                <w:tab w:val="num" w:pos="720"/>
              </w:tabs>
              <w:rPr>
                <w:b/>
                <w:bCs/>
                <w:color w:val="000000" w:themeColor="text1"/>
              </w:rPr>
            </w:pPr>
            <w:r w:rsidRPr="005D4222">
              <w:rPr>
                <w:i/>
                <w:iCs/>
              </w:rPr>
              <w:t>Benefits.</w:t>
            </w:r>
            <w:r w:rsidR="008468F6" w:rsidRPr="005D4222">
              <w:t xml:space="preserve"> Organizations are required to use the benefits as defined.</w:t>
            </w:r>
          </w:p>
          <w:p w14:paraId="10E338F6" w14:textId="77777777" w:rsidR="008468F6" w:rsidRPr="005D4222" w:rsidRDefault="008468F6" w:rsidP="008468F6">
            <w:pPr>
              <w:pStyle w:val="ProcessBullet"/>
              <w:tabs>
                <w:tab w:val="left" w:pos="216"/>
                <w:tab w:val="num" w:pos="720"/>
              </w:tabs>
              <w:rPr>
                <w:color w:val="000000" w:themeColor="text1"/>
              </w:rPr>
            </w:pPr>
            <w:r w:rsidRPr="005D4222">
              <w:rPr>
                <w:i/>
                <w:iCs/>
                <w:color w:val="000000" w:themeColor="text1"/>
              </w:rPr>
              <w:t>Supplemental data.</w:t>
            </w:r>
            <w:r w:rsidRPr="005D4222">
              <w:rPr>
                <w:color w:val="000000" w:themeColor="text1"/>
              </w:rPr>
              <w:t xml:space="preserve"> Supplemental data may not be used to identify initial population, observed event, observed or expected events.</w:t>
            </w:r>
          </w:p>
          <w:p w14:paraId="780CE5C5" w14:textId="77777777" w:rsidR="008468F6" w:rsidRPr="005D4222" w:rsidRDefault="008468F6" w:rsidP="008468F6">
            <w:pPr>
              <w:pStyle w:val="ProcessBullet"/>
              <w:tabs>
                <w:tab w:val="left" w:pos="216"/>
                <w:tab w:val="num" w:pos="720"/>
              </w:tabs>
              <w:spacing w:after="80"/>
            </w:pPr>
            <w:r w:rsidRPr="005D4222">
              <w:rPr>
                <w:i/>
              </w:rPr>
              <w:t>Exclusions.</w:t>
            </w:r>
            <w:r w:rsidRPr="005D4222">
              <w:t xml:space="preserve"> The hospice exclusion must be applied. Logic may not be changed.</w:t>
            </w:r>
          </w:p>
          <w:p w14:paraId="21D7A8F2" w14:textId="77777777" w:rsidR="008468F6" w:rsidRPr="005D4222" w:rsidRDefault="008468F6" w:rsidP="00A53E8C">
            <w:pPr>
              <w:pStyle w:val="ProcessBullet"/>
              <w:spacing w:after="80"/>
            </w:pPr>
            <w:r w:rsidRPr="005D4222">
              <w:rPr>
                <w:i/>
                <w:iCs/>
                <w:color w:val="000000" w:themeColor="text1"/>
              </w:rPr>
              <w:t>Stratifications (dual eligible and not dual eligible)</w:t>
            </w:r>
            <w:r w:rsidRPr="005D4222">
              <w:rPr>
                <w:color w:val="000000" w:themeColor="text1"/>
              </w:rPr>
              <w:t>. Stratifications are required. The logic may not be changed.</w:t>
            </w:r>
          </w:p>
          <w:p w14:paraId="69791D36" w14:textId="3C6FD247" w:rsidR="008468F6" w:rsidRPr="005D4222" w:rsidRDefault="008468F6" w:rsidP="00A53E8C">
            <w:pPr>
              <w:pStyle w:val="ECDSBody"/>
            </w:pPr>
            <w:r w:rsidRPr="005D4222">
              <w:rPr>
                <w:b/>
              </w:rPr>
              <w:t xml:space="preserve">The following </w:t>
            </w:r>
            <w:r w:rsidR="009A4646" w:rsidRPr="005D4222">
              <w:rPr>
                <w:b/>
              </w:rPr>
              <w:t>are</w:t>
            </w:r>
            <w:r w:rsidRPr="005D4222">
              <w:rPr>
                <w:b/>
              </w:rPr>
              <w:t xml:space="preserve"> the Rules for Allowable Adjustments for </w:t>
            </w:r>
            <w:r w:rsidRPr="005D4222">
              <w:rPr>
                <w:b/>
                <w:u w:val="single"/>
              </w:rPr>
              <w:t>Observed Measurement</w:t>
            </w:r>
            <w:r w:rsidRPr="005D4222">
              <w:rPr>
                <w:b/>
              </w:rPr>
              <w:t xml:space="preserve"> of the </w:t>
            </w:r>
            <w:r w:rsidRPr="005D4222" w:rsidDel="00971D0F">
              <w:rPr>
                <w:b/>
              </w:rPr>
              <w:t>Emergency Department Visits for Hypoglycemia in Older Adults With Diabetes</w:t>
            </w:r>
            <w:r w:rsidRPr="005D4222">
              <w:rPr>
                <w:b/>
              </w:rPr>
              <w:t xml:space="preserve"> measure </w:t>
            </w:r>
            <w:r w:rsidRPr="005D4222">
              <w:rPr>
                <w:b/>
                <w:bCs w:val="0"/>
              </w:rPr>
              <w:t>observed events</w:t>
            </w:r>
            <w:r w:rsidRPr="005D4222">
              <w:rPr>
                <w:b/>
              </w:rPr>
              <w:t xml:space="preserve"> (number of persons receiving insulin, number of observed events among persons in the initial population, number of observed events among persons receiving insulin)</w:t>
            </w:r>
            <w:r w:rsidRPr="005D4222">
              <w:t>.</w:t>
            </w:r>
          </w:p>
          <w:p w14:paraId="66627D87" w14:textId="77777777" w:rsidR="008468F6" w:rsidRPr="005D4222" w:rsidRDefault="008468F6" w:rsidP="00A53E8C">
            <w:pPr>
              <w:pStyle w:val="Adjustments"/>
              <w:spacing w:before="120"/>
            </w:pPr>
            <w:r w:rsidRPr="005D4222">
              <w:t>Adjustments</w:t>
            </w:r>
            <w:r w:rsidRPr="005D4222">
              <w:rPr>
                <w:bCs/>
              </w:rPr>
              <w:t xml:space="preserve"> a</w:t>
            </w:r>
            <w:r w:rsidRPr="005D4222">
              <w:t>llowed</w:t>
            </w:r>
          </w:p>
          <w:p w14:paraId="6B7686DF" w14:textId="0F2DBCDD" w:rsidR="008468F6" w:rsidRPr="005D4222" w:rsidRDefault="008468F6" w:rsidP="008468F6">
            <w:pPr>
              <w:pStyle w:val="ProcessBullet"/>
              <w:tabs>
                <w:tab w:val="left" w:pos="216"/>
                <w:tab w:val="num" w:pos="720"/>
              </w:tabs>
              <w:rPr>
                <w:b/>
                <w:bCs/>
                <w:color w:val="000000" w:themeColor="text1"/>
              </w:rPr>
            </w:pPr>
            <w:r w:rsidRPr="005D4222">
              <w:rPr>
                <w:i/>
                <w:iCs/>
              </w:rPr>
              <w:t xml:space="preserve">Product lines. </w:t>
            </w:r>
            <w:r w:rsidRPr="005D4222">
              <w:t>When adjusting this measure to assess for observed events only, organizations are not required to use product line criteria; product lines may be combined</w:t>
            </w:r>
            <w:r w:rsidR="00E8671F" w:rsidRPr="005D4222">
              <w:t>,</w:t>
            </w:r>
            <w:r w:rsidRPr="005D4222">
              <w:t xml:space="preserve"> and all (or no) product line criteria may be used.</w:t>
            </w:r>
          </w:p>
          <w:p w14:paraId="3D210941" w14:textId="77777777" w:rsidR="008468F6" w:rsidRPr="005D4222" w:rsidRDefault="008468F6" w:rsidP="008468F6">
            <w:pPr>
              <w:pStyle w:val="ProcessBullet"/>
              <w:tabs>
                <w:tab w:val="left" w:pos="216"/>
                <w:tab w:val="num" w:pos="720"/>
              </w:tabs>
              <w:rPr>
                <w:b/>
                <w:bCs/>
                <w:color w:val="000000" w:themeColor="text1"/>
              </w:rPr>
            </w:pPr>
            <w:r w:rsidRPr="005D4222">
              <w:rPr>
                <w:i/>
                <w:iCs/>
              </w:rPr>
              <w:t>Attribution.</w:t>
            </w:r>
            <w:r w:rsidRPr="005D4222">
              <w:t xml:space="preserve"> Organizations are not required to use enrollment criteria. </w:t>
            </w:r>
          </w:p>
          <w:p w14:paraId="376CE059" w14:textId="24B6D0AC" w:rsidR="008468F6" w:rsidRPr="005D4222" w:rsidRDefault="00362E76" w:rsidP="008468F6">
            <w:pPr>
              <w:pStyle w:val="ProcessBullet"/>
              <w:tabs>
                <w:tab w:val="left" w:pos="216"/>
                <w:tab w:val="num" w:pos="720"/>
              </w:tabs>
              <w:spacing w:after="80"/>
              <w:rPr>
                <w:b/>
                <w:bCs/>
                <w:color w:val="000000" w:themeColor="text1"/>
              </w:rPr>
            </w:pPr>
            <w:r w:rsidRPr="005D4222">
              <w:rPr>
                <w:i/>
                <w:iCs/>
              </w:rPr>
              <w:t>Benefits.</w:t>
            </w:r>
            <w:r w:rsidR="008468F6" w:rsidRPr="005D4222">
              <w:t xml:space="preserve"> Organizations are not required to use a benefit.</w:t>
            </w:r>
          </w:p>
          <w:p w14:paraId="66E79916" w14:textId="4AB1C70E" w:rsidR="008468F6" w:rsidRPr="005D4222" w:rsidRDefault="008468F6" w:rsidP="008468F6">
            <w:pPr>
              <w:pStyle w:val="ProcessBullet"/>
              <w:tabs>
                <w:tab w:val="left" w:pos="216"/>
                <w:tab w:val="num" w:pos="720"/>
              </w:tabs>
            </w:pPr>
            <w:r w:rsidRPr="005D4222">
              <w:rPr>
                <w:i/>
                <w:iCs/>
              </w:rPr>
              <w:t>Other.</w:t>
            </w:r>
            <w:r w:rsidRPr="005D4222">
              <w:t xml:space="preserve"> Organizations may adjust the </w:t>
            </w:r>
            <w:r w:rsidR="00EE7051" w:rsidRPr="005D4222">
              <w:t>initial</w:t>
            </w:r>
            <w:r w:rsidRPr="005D4222">
              <w:t xml:space="preserve"> population criteria to focus on an area of interest defined by gender, race, ethnicity, socioeconomic or sociodemographic characteristics, geographic region or another characteristic.</w:t>
            </w:r>
          </w:p>
          <w:p w14:paraId="5DE8CA44" w14:textId="77777777" w:rsidR="008468F6" w:rsidRPr="005D4222" w:rsidRDefault="008468F6" w:rsidP="008468F6">
            <w:pPr>
              <w:pStyle w:val="ProcessBullet"/>
              <w:tabs>
                <w:tab w:val="left" w:pos="216"/>
                <w:tab w:val="num" w:pos="720"/>
              </w:tabs>
              <w:rPr>
                <w:b/>
                <w:bCs/>
                <w:color w:val="000000" w:themeColor="text1"/>
              </w:rPr>
            </w:pPr>
            <w:r w:rsidRPr="005D4222">
              <w:rPr>
                <w:i/>
                <w:iCs/>
              </w:rPr>
              <w:t>Measurement period adjustments.</w:t>
            </w:r>
            <w:r w:rsidRPr="005D4222">
              <w:t xml:space="preserve"> Organizations may adjust the measurement period. </w:t>
            </w:r>
          </w:p>
          <w:p w14:paraId="46A47469" w14:textId="4E6C795A" w:rsidR="008468F6" w:rsidRPr="005D4222" w:rsidRDefault="008468F6" w:rsidP="008468F6">
            <w:pPr>
              <w:pStyle w:val="ProcessBullet"/>
              <w:tabs>
                <w:tab w:val="left" w:pos="216"/>
                <w:tab w:val="num" w:pos="720"/>
              </w:tabs>
              <w:rPr>
                <w:b/>
                <w:bCs/>
                <w:color w:val="000000" w:themeColor="text1"/>
              </w:rPr>
            </w:pPr>
            <w:r w:rsidRPr="005D4222">
              <w:rPr>
                <w:i/>
                <w:iCs/>
              </w:rPr>
              <w:t>Exclusions.</w:t>
            </w:r>
            <w:r w:rsidRPr="005D4222">
              <w:t xml:space="preserve"> </w:t>
            </w:r>
            <w:r w:rsidR="00EE7051" w:rsidRPr="005D4222">
              <w:t>The h</w:t>
            </w:r>
            <w:r w:rsidRPr="005D4222">
              <w:t xml:space="preserve">ospice exclusion is not required. </w:t>
            </w:r>
          </w:p>
          <w:p w14:paraId="2E12B497" w14:textId="66B7084B" w:rsidR="008468F6" w:rsidRPr="005D4222" w:rsidRDefault="008468F6" w:rsidP="008468F6">
            <w:pPr>
              <w:pStyle w:val="ProcessBullet"/>
              <w:tabs>
                <w:tab w:val="left" w:pos="216"/>
                <w:tab w:val="num" w:pos="720"/>
              </w:tabs>
              <w:rPr>
                <w:color w:val="000000" w:themeColor="text1"/>
              </w:rPr>
            </w:pPr>
            <w:r w:rsidRPr="005D4222">
              <w:rPr>
                <w:i/>
                <w:iCs/>
                <w:color w:val="000000" w:themeColor="text1"/>
              </w:rPr>
              <w:t>Telehealth.</w:t>
            </w:r>
            <w:r w:rsidRPr="005D4222">
              <w:rPr>
                <w:color w:val="000000" w:themeColor="text1"/>
              </w:rPr>
              <w:t xml:space="preserve"> Services/events that allow the use of synchronous telehealth visits, telephone visits and asynchronous telehealth (e-visits, virtual check-ins) may be stratified to identify services performed via telehealth. This adjustment is not allowed for </w:t>
            </w:r>
            <w:r w:rsidR="00F45777" w:rsidRPr="005D4222">
              <w:rPr>
                <w:color w:val="000000" w:themeColor="text1"/>
              </w:rPr>
              <w:t>events</w:t>
            </w:r>
            <w:r w:rsidRPr="005D4222">
              <w:rPr>
                <w:color w:val="000000" w:themeColor="text1"/>
              </w:rPr>
              <w:t>, numerators and exclusions that do not allow the use of telehealth.</w:t>
            </w:r>
          </w:p>
          <w:p w14:paraId="1EA6D388" w14:textId="77777777" w:rsidR="008468F6" w:rsidRPr="005D4222" w:rsidRDefault="008468F6" w:rsidP="00C95C0A">
            <w:pPr>
              <w:pStyle w:val="ProcessBullet"/>
              <w:tabs>
                <w:tab w:val="left" w:pos="216"/>
                <w:tab w:val="num" w:pos="720"/>
              </w:tabs>
              <w:spacing w:after="80"/>
              <w:rPr>
                <w:color w:val="000000" w:themeColor="text1"/>
              </w:rPr>
            </w:pPr>
            <w:r w:rsidRPr="005D4222">
              <w:rPr>
                <w:i/>
                <w:iCs/>
                <w:color w:val="000000" w:themeColor="text1"/>
              </w:rPr>
              <w:t>Supplemental data.</w:t>
            </w:r>
            <w:r w:rsidRPr="005D4222">
              <w:rPr>
                <w:color w:val="000000" w:themeColor="text1"/>
              </w:rPr>
              <w:t xml:space="preserve"> Supplemental data may be used to identify initial population and all events.</w:t>
            </w:r>
          </w:p>
        </w:tc>
      </w:tr>
    </w:tbl>
    <w:p w14:paraId="46B5F6DE" w14:textId="77777777" w:rsidR="008468F6" w:rsidRPr="005D4222" w:rsidRDefault="008468F6" w:rsidP="008468F6">
      <w:pPr>
        <w:spacing w:after="160" w:line="259" w:lineRule="auto"/>
      </w:pPr>
      <w:r w:rsidRPr="005D4222">
        <w:br w:type="page"/>
      </w:r>
    </w:p>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8468F6" w:rsidRPr="005D4222" w14:paraId="2402E030"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DCC6D8A" w14:textId="77777777" w:rsidR="008468F6" w:rsidRPr="005D4222" w:rsidRDefault="008468F6"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69322D9" w14:textId="77777777" w:rsidR="008468F6" w:rsidRPr="005D4222" w:rsidRDefault="008468F6" w:rsidP="00A53E8C">
            <w:pPr>
              <w:pStyle w:val="Adjustments"/>
              <w:spacing w:before="120"/>
            </w:pPr>
            <w:r w:rsidRPr="005D4222">
              <w:t xml:space="preserve">Adjustments </w:t>
            </w:r>
            <w:r w:rsidRPr="005D4222">
              <w:rPr>
                <w:bCs/>
              </w:rPr>
              <w:t>a</w:t>
            </w:r>
            <w:r w:rsidRPr="005D4222">
              <w:t xml:space="preserve">llowed with </w:t>
            </w:r>
            <w:r w:rsidRPr="005D4222">
              <w:rPr>
                <w:bCs/>
              </w:rPr>
              <w:t>l</w:t>
            </w:r>
            <w:r w:rsidRPr="005D4222">
              <w:t>imits</w:t>
            </w:r>
          </w:p>
          <w:p w14:paraId="45AC9EE5" w14:textId="77777777" w:rsidR="008468F6" w:rsidRPr="005D4222" w:rsidRDefault="008468F6" w:rsidP="008468F6">
            <w:pPr>
              <w:pStyle w:val="ProcessBullet"/>
              <w:tabs>
                <w:tab w:val="left" w:pos="216"/>
                <w:tab w:val="num" w:pos="720"/>
              </w:tabs>
            </w:pPr>
            <w:r w:rsidRPr="005D4222">
              <w:rPr>
                <w:i/>
              </w:rPr>
              <w:t>Ages.</w:t>
            </w:r>
            <w:r w:rsidRPr="005D4222">
              <w:t xml:space="preserve"> Age determination dates may be changed (e.g., select, “age as of June 30”). The observed event age range may not be expanded. </w:t>
            </w:r>
          </w:p>
          <w:p w14:paraId="0A589CA6" w14:textId="77777777" w:rsidR="008468F6" w:rsidRPr="005D4222" w:rsidRDefault="008468F6" w:rsidP="008468F6">
            <w:pPr>
              <w:pStyle w:val="ProcessBullet"/>
              <w:tabs>
                <w:tab w:val="left" w:pos="216"/>
                <w:tab w:val="num" w:pos="720"/>
              </w:tabs>
            </w:pPr>
            <w:r w:rsidRPr="005D4222">
              <w:rPr>
                <w:i/>
                <w:iCs/>
              </w:rPr>
              <w:t xml:space="preserve">Calculations of observed events. </w:t>
            </w:r>
            <w:r w:rsidRPr="005D4222">
              <w:t>Organizations may include denied claims to calculate observed events. Medication lists, value sets and logic may not be changed.</w:t>
            </w:r>
          </w:p>
          <w:p w14:paraId="047E3D89" w14:textId="77777777" w:rsidR="008468F6" w:rsidRPr="005D4222" w:rsidRDefault="008468F6" w:rsidP="00A53E8C">
            <w:pPr>
              <w:pStyle w:val="Adjustments"/>
            </w:pPr>
            <w:r w:rsidRPr="005D4222">
              <w:t xml:space="preserve">Adjustments </w:t>
            </w:r>
            <w:r w:rsidRPr="005D4222">
              <w:rPr>
                <w:bCs/>
              </w:rPr>
              <w:t>not allowed</w:t>
            </w:r>
          </w:p>
          <w:p w14:paraId="7A0B7134" w14:textId="77777777" w:rsidR="008468F6" w:rsidRPr="005D4222" w:rsidRDefault="008468F6" w:rsidP="008468F6">
            <w:pPr>
              <w:pStyle w:val="ProcessBullet"/>
              <w:tabs>
                <w:tab w:val="left" w:pos="216"/>
                <w:tab w:val="num" w:pos="720"/>
              </w:tabs>
              <w:spacing w:after="80"/>
              <w:rPr>
                <w:b/>
                <w:i/>
              </w:rPr>
            </w:pPr>
            <w:r w:rsidRPr="005D4222">
              <w:rPr>
                <w:i/>
              </w:rPr>
              <w:t xml:space="preserve">Stratifications (dual eligible and not dual eligible). </w:t>
            </w:r>
            <w:r w:rsidRPr="005D4222">
              <w:t>Stratifications are required. The logic may not be changed.</w:t>
            </w:r>
          </w:p>
        </w:tc>
      </w:tr>
    </w:tbl>
    <w:p w14:paraId="1D1BB7BD" w14:textId="77777777" w:rsidR="00C95C0A" w:rsidRPr="005D4222" w:rsidRDefault="00C95C0A" w:rsidP="0061349C">
      <w:pPr>
        <w:pStyle w:val="ECDSBody"/>
        <w:sectPr w:rsidR="00C95C0A" w:rsidRPr="005D4222" w:rsidSect="0074514A">
          <w:headerReference w:type="default" r:id="rId209"/>
          <w:type w:val="nextColumn"/>
          <w:pgSz w:w="12240" w:h="15840" w:code="1"/>
          <w:pgMar w:top="1080" w:right="1080" w:bottom="1080" w:left="1440" w:header="720" w:footer="720" w:gutter="0"/>
          <w:cols w:space="720"/>
          <w:docGrid w:linePitch="360"/>
        </w:sectPr>
      </w:pPr>
    </w:p>
    <w:p w14:paraId="4CA44EAE" w14:textId="77777777" w:rsidR="00AE1706" w:rsidRPr="005D4222" w:rsidRDefault="00AE1706" w:rsidP="00AE1706">
      <w:pPr>
        <w:pStyle w:val="Breakpage"/>
        <w:sectPr w:rsidR="00AE1706" w:rsidRPr="005D4222" w:rsidSect="0074514A">
          <w:headerReference w:type="default" r:id="rId210"/>
          <w:footerReference w:type="default" r:id="rId211"/>
          <w:type w:val="nextColumn"/>
          <w:pgSz w:w="12240" w:h="15840" w:code="1"/>
          <w:pgMar w:top="1080" w:right="1080" w:bottom="1080" w:left="1440" w:header="720" w:footer="720" w:gutter="0"/>
          <w:cols w:space="720"/>
          <w:docGrid w:linePitch="360"/>
        </w:sectPr>
      </w:pPr>
      <w:bookmarkStart w:id="408" w:name="_Toc201813463"/>
      <w:r w:rsidRPr="005D4222">
        <w:lastRenderedPageBreak/>
        <w:t xml:space="preserve">Measures Reported Using </w:t>
      </w:r>
      <w:r w:rsidRPr="005D4222">
        <w:br/>
        <w:t>Electronic Clinical Data Systems</w:t>
      </w:r>
      <w:bookmarkEnd w:id="408"/>
    </w:p>
    <w:p w14:paraId="6D54B768" w14:textId="0364DDD4" w:rsidR="0061349C" w:rsidRPr="005D4222" w:rsidRDefault="0076480E" w:rsidP="0076480E">
      <w:pPr>
        <w:pStyle w:val="MeasureTitle"/>
      </w:pPr>
      <w:bookmarkStart w:id="409" w:name="_Toc201813464"/>
      <w:r w:rsidRPr="005D4222">
        <w:lastRenderedPageBreak/>
        <w:t>Childhood Immunization Status</w:t>
      </w:r>
      <w:r w:rsidR="006B0FDD" w:rsidRPr="005D4222">
        <w:t xml:space="preserve"> (CIS-E)</w:t>
      </w:r>
      <w:bookmarkEnd w:id="409"/>
    </w:p>
    <w:tbl>
      <w:tblPr>
        <w:tblW w:w="5002"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37"/>
        <w:gridCol w:w="20"/>
        <w:gridCol w:w="4882"/>
        <w:gridCol w:w="1427"/>
        <w:gridCol w:w="1252"/>
      </w:tblGrid>
      <w:tr w:rsidR="0089171C" w:rsidRPr="005D4222" w14:paraId="0060519C" w14:textId="77777777" w:rsidTr="00A53E8C">
        <w:tc>
          <w:tcPr>
            <w:tcW w:w="2137" w:type="dxa"/>
            <w:shd w:val="clear" w:color="auto" w:fill="BFBFBF" w:themeFill="background1" w:themeFillShade="BF"/>
            <w:tcMar>
              <w:top w:w="0" w:type="dxa"/>
              <w:left w:w="86" w:type="dxa"/>
              <w:bottom w:w="43" w:type="dxa"/>
              <w:right w:w="86" w:type="dxa"/>
            </w:tcMar>
            <w:hideMark/>
          </w:tcPr>
          <w:p w14:paraId="5A127163" w14:textId="4894775E" w:rsidR="0089171C" w:rsidRPr="005D4222" w:rsidRDefault="0089171C" w:rsidP="00A53E8C">
            <w:pPr>
              <w:pStyle w:val="ECDSMarginHead"/>
            </w:pPr>
            <w:r w:rsidRPr="005D4222">
              <w:t>Measure title</w:t>
            </w:r>
          </w:p>
        </w:tc>
        <w:tc>
          <w:tcPr>
            <w:tcW w:w="4902" w:type="dxa"/>
            <w:gridSpan w:val="2"/>
            <w:tcMar>
              <w:top w:w="0" w:type="dxa"/>
              <w:left w:w="86" w:type="dxa"/>
              <w:bottom w:w="43" w:type="dxa"/>
              <w:right w:w="86" w:type="dxa"/>
            </w:tcMar>
          </w:tcPr>
          <w:p w14:paraId="1094C640" w14:textId="77777777" w:rsidR="0089171C" w:rsidRPr="005D4222" w:rsidRDefault="0089171C" w:rsidP="00A53E8C">
            <w:pPr>
              <w:pStyle w:val="ECDSBody"/>
            </w:pPr>
            <w:r w:rsidRPr="005D4222">
              <w:t>Childhood Immunization Status</w:t>
            </w:r>
          </w:p>
        </w:tc>
        <w:tc>
          <w:tcPr>
            <w:tcW w:w="1427" w:type="dxa"/>
            <w:shd w:val="clear" w:color="auto" w:fill="BFBFBF" w:themeFill="background1" w:themeFillShade="BF"/>
            <w:tcMar>
              <w:top w:w="0" w:type="dxa"/>
              <w:left w:w="86" w:type="dxa"/>
              <w:bottom w:w="43" w:type="dxa"/>
              <w:right w:w="86" w:type="dxa"/>
            </w:tcMar>
          </w:tcPr>
          <w:p w14:paraId="36864337" w14:textId="77777777" w:rsidR="0089171C" w:rsidRPr="005D4222" w:rsidRDefault="0089171C" w:rsidP="007D545B">
            <w:pPr>
              <w:pStyle w:val="ECDSMarginHead"/>
            </w:pPr>
            <w:r w:rsidRPr="005D4222">
              <w:t>Measure ID</w:t>
            </w:r>
          </w:p>
        </w:tc>
        <w:tc>
          <w:tcPr>
            <w:tcW w:w="1252" w:type="dxa"/>
            <w:tcMar>
              <w:top w:w="0" w:type="dxa"/>
              <w:left w:w="86" w:type="dxa"/>
              <w:bottom w:w="43" w:type="dxa"/>
              <w:right w:w="86" w:type="dxa"/>
            </w:tcMar>
          </w:tcPr>
          <w:p w14:paraId="57CD7723" w14:textId="77777777" w:rsidR="0089171C" w:rsidRPr="005D4222" w:rsidRDefault="0089171C" w:rsidP="00A53E8C">
            <w:pPr>
              <w:pStyle w:val="ECDSBody"/>
            </w:pPr>
            <w:r w:rsidRPr="005D4222">
              <w:t>CIS-E</w:t>
            </w:r>
          </w:p>
        </w:tc>
      </w:tr>
      <w:tr w:rsidR="0089171C" w:rsidRPr="005D4222" w14:paraId="0F28533B" w14:textId="77777777" w:rsidTr="00A53E8C">
        <w:tc>
          <w:tcPr>
            <w:tcW w:w="2137" w:type="dxa"/>
            <w:shd w:val="clear" w:color="auto" w:fill="BFBFBF" w:themeFill="background1" w:themeFillShade="BF"/>
            <w:tcMar>
              <w:top w:w="0" w:type="dxa"/>
              <w:left w:w="86" w:type="dxa"/>
              <w:bottom w:w="43" w:type="dxa"/>
              <w:right w:w="86" w:type="dxa"/>
            </w:tcMar>
            <w:hideMark/>
          </w:tcPr>
          <w:p w14:paraId="0A2783A0" w14:textId="77777777" w:rsidR="0089171C" w:rsidRPr="005D4222" w:rsidRDefault="0089171C" w:rsidP="00A53E8C">
            <w:pPr>
              <w:pStyle w:val="ECDSMarginHead"/>
            </w:pPr>
            <w:r w:rsidRPr="005D4222">
              <w:t>Description</w:t>
            </w:r>
          </w:p>
        </w:tc>
        <w:tc>
          <w:tcPr>
            <w:tcW w:w="7581" w:type="dxa"/>
            <w:gridSpan w:val="4"/>
            <w:tcMar>
              <w:top w:w="0" w:type="dxa"/>
              <w:left w:w="86" w:type="dxa"/>
              <w:bottom w:w="43" w:type="dxa"/>
              <w:right w:w="86" w:type="dxa"/>
            </w:tcMar>
          </w:tcPr>
          <w:p w14:paraId="28F13C36" w14:textId="77777777" w:rsidR="0089171C" w:rsidRPr="005D4222" w:rsidRDefault="0089171C" w:rsidP="00A53E8C">
            <w:pPr>
              <w:pStyle w:val="ECDSBody"/>
            </w:pPr>
            <w:r w:rsidRPr="005D4222">
              <w:t xml:space="preserve">The percentage of persons 2 years of age who had four diphtheria, tetanus and acellular pertussis (DTaP); three polio (IPV); one measles, mumps and rubella (MMR); three haemophilus influenza type B (HiB); three hepatitis B (HepB), one chicken pox (VZV); four pneumococcal conjugate (PCV); one hepatitis A (HepA); two or three rotavirus (RV); and two influenza (flu) vaccines by their second birthday. </w:t>
            </w:r>
          </w:p>
          <w:p w14:paraId="499FB67A" w14:textId="77777777" w:rsidR="0089171C" w:rsidRPr="005D4222" w:rsidRDefault="0089171C" w:rsidP="00A53E8C">
            <w:pPr>
              <w:pStyle w:val="ECDSBody"/>
            </w:pPr>
            <w:r w:rsidRPr="005D4222">
              <w:rPr>
                <w:kern w:val="20"/>
              </w:rPr>
              <w:t>The measure calculates a rate for each vaccine and three combination rates.</w:t>
            </w:r>
          </w:p>
        </w:tc>
      </w:tr>
      <w:tr w:rsidR="0089171C" w:rsidRPr="005D4222" w14:paraId="321C0B10" w14:textId="77777777" w:rsidTr="00A53E8C">
        <w:tc>
          <w:tcPr>
            <w:tcW w:w="2137" w:type="dxa"/>
            <w:shd w:val="clear" w:color="auto" w:fill="BFBFBF" w:themeFill="background1" w:themeFillShade="BF"/>
            <w:tcMar>
              <w:top w:w="0" w:type="dxa"/>
              <w:left w:w="86" w:type="dxa"/>
              <w:bottom w:w="43" w:type="dxa"/>
              <w:right w:w="86" w:type="dxa"/>
            </w:tcMar>
          </w:tcPr>
          <w:p w14:paraId="190DC59E" w14:textId="77777777" w:rsidR="0089171C" w:rsidRPr="005D4222" w:rsidRDefault="0089171C" w:rsidP="00A53E8C">
            <w:pPr>
              <w:pStyle w:val="ECDSMarginHead"/>
            </w:pPr>
            <w:r w:rsidRPr="005D4222">
              <w:t>Measurement period</w:t>
            </w:r>
          </w:p>
        </w:tc>
        <w:tc>
          <w:tcPr>
            <w:tcW w:w="7581" w:type="dxa"/>
            <w:gridSpan w:val="4"/>
            <w:tcMar>
              <w:top w:w="0" w:type="dxa"/>
              <w:left w:w="86" w:type="dxa"/>
              <w:bottom w:w="43" w:type="dxa"/>
              <w:right w:w="86" w:type="dxa"/>
            </w:tcMar>
          </w:tcPr>
          <w:p w14:paraId="4063074E" w14:textId="77777777" w:rsidR="0089171C" w:rsidRPr="005D4222" w:rsidRDefault="0089171C" w:rsidP="00A53E8C">
            <w:pPr>
              <w:pStyle w:val="ECDSBody"/>
            </w:pPr>
            <w:r w:rsidRPr="005D4222">
              <w:t>January 1–December 31.</w:t>
            </w:r>
          </w:p>
        </w:tc>
      </w:tr>
      <w:tr w:rsidR="0089171C" w:rsidRPr="005D4222" w14:paraId="612106F2" w14:textId="77777777" w:rsidTr="00A53E8C">
        <w:tc>
          <w:tcPr>
            <w:tcW w:w="2137" w:type="dxa"/>
            <w:shd w:val="clear" w:color="auto" w:fill="BFBFBF" w:themeFill="background1" w:themeFillShade="BF"/>
            <w:tcMar>
              <w:top w:w="0" w:type="dxa"/>
              <w:left w:w="86" w:type="dxa"/>
              <w:bottom w:w="43" w:type="dxa"/>
              <w:right w:w="86" w:type="dxa"/>
            </w:tcMar>
            <w:hideMark/>
          </w:tcPr>
          <w:p w14:paraId="78E1227A" w14:textId="77777777" w:rsidR="0089171C" w:rsidRPr="005D4222" w:rsidRDefault="0089171C" w:rsidP="00A53E8C">
            <w:pPr>
              <w:pStyle w:val="ECDSMarginHead"/>
              <w:rPr>
                <w:rFonts w:eastAsia="Arial"/>
              </w:rPr>
            </w:pPr>
            <w:r w:rsidRPr="005D4222">
              <w:rPr>
                <w:rFonts w:eastAsia="Arial"/>
              </w:rPr>
              <w:t>Copyright and disclaimer notice</w:t>
            </w:r>
          </w:p>
        </w:tc>
        <w:tc>
          <w:tcPr>
            <w:tcW w:w="7581" w:type="dxa"/>
            <w:gridSpan w:val="4"/>
            <w:tcMar>
              <w:top w:w="0" w:type="dxa"/>
              <w:left w:w="86" w:type="dxa"/>
              <w:bottom w:w="43" w:type="dxa"/>
              <w:right w:w="86" w:type="dxa"/>
            </w:tcMar>
          </w:tcPr>
          <w:p w14:paraId="6FF48EF7" w14:textId="77777777" w:rsidR="0089171C" w:rsidRPr="005D4222" w:rsidRDefault="0089171C" w:rsidP="00A53E8C">
            <w:pPr>
              <w:pStyle w:val="ECDSBody"/>
            </w:pPr>
            <w:r w:rsidRPr="005D4222">
              <w:t xml:space="preserve">Refer to the complete copyright and disclaimer information at the front of this publication. </w:t>
            </w:r>
          </w:p>
          <w:p w14:paraId="141D8242" w14:textId="77777777" w:rsidR="0089171C" w:rsidRPr="005D4222" w:rsidRDefault="0089171C" w:rsidP="00A53E8C">
            <w:pPr>
              <w:pStyle w:val="ECDSBody"/>
              <w:spacing w:before="80"/>
              <w:rPr>
                <w:rFonts w:eastAsia="Arial"/>
              </w:rPr>
            </w:pPr>
            <w:r w:rsidRPr="005D4222">
              <w:rPr>
                <w:rFonts w:eastAsia="Arial"/>
              </w:rPr>
              <w:t xml:space="preserve">NCQA website: </w:t>
            </w:r>
            <w:r w:rsidRPr="005D4222">
              <w:rPr>
                <w:rFonts w:eastAsia="Arial"/>
                <w:u w:val="single"/>
              </w:rPr>
              <w:t>www.ncqa.org</w:t>
            </w:r>
            <w:r w:rsidRPr="005D4222">
              <w:rPr>
                <w:rFonts w:eastAsia="Arial"/>
              </w:rPr>
              <w:t>.</w:t>
            </w:r>
          </w:p>
          <w:p w14:paraId="4B1AE070" w14:textId="77777777" w:rsidR="0089171C" w:rsidRPr="005D4222" w:rsidRDefault="0089171C" w:rsidP="00A53E8C">
            <w:pPr>
              <w:pStyle w:val="ECDSBody"/>
              <w:spacing w:before="80"/>
              <w:rPr>
                <w:sz w:val="18"/>
                <w:szCs w:val="18"/>
              </w:rPr>
            </w:pPr>
            <w:r w:rsidRPr="005D4222">
              <w:rPr>
                <w:rFonts w:eastAsia="Arial"/>
              </w:rPr>
              <w:t>Submit policy clarification support questions via My NCQA (</w:t>
            </w:r>
            <w:r w:rsidRPr="005D4222">
              <w:rPr>
                <w:rFonts w:eastAsia="Arial"/>
                <w:u w:val="single"/>
              </w:rPr>
              <w:t>https://my.ncqa.org</w:t>
            </w:r>
            <w:r w:rsidRPr="005D4222">
              <w:rPr>
                <w:rFonts w:eastAsia="Arial"/>
              </w:rPr>
              <w:t>).</w:t>
            </w:r>
          </w:p>
        </w:tc>
      </w:tr>
      <w:tr w:rsidR="0089171C" w:rsidRPr="005D4222" w14:paraId="31A73C34" w14:textId="77777777" w:rsidTr="00A53E8C">
        <w:trPr>
          <w:trHeight w:val="655"/>
        </w:trPr>
        <w:tc>
          <w:tcPr>
            <w:tcW w:w="2137" w:type="dxa"/>
            <w:shd w:val="clear" w:color="auto" w:fill="BFBFBF" w:themeFill="background1" w:themeFillShade="BF"/>
            <w:tcMar>
              <w:top w:w="0" w:type="dxa"/>
              <w:left w:w="86" w:type="dxa"/>
              <w:bottom w:w="43" w:type="dxa"/>
              <w:right w:w="86" w:type="dxa"/>
            </w:tcMar>
            <w:hideMark/>
          </w:tcPr>
          <w:p w14:paraId="4B145F16" w14:textId="77777777" w:rsidR="0089171C" w:rsidRPr="005D4222" w:rsidRDefault="0089171C" w:rsidP="00A53E8C">
            <w:pPr>
              <w:pStyle w:val="ECDSMarginHead"/>
            </w:pPr>
            <w:r w:rsidRPr="005D4222">
              <w:t>Clinical recommendation statement/ rationale</w:t>
            </w:r>
          </w:p>
        </w:tc>
        <w:tc>
          <w:tcPr>
            <w:tcW w:w="7581" w:type="dxa"/>
            <w:gridSpan w:val="4"/>
            <w:tcMar>
              <w:top w:w="0" w:type="dxa"/>
              <w:left w:w="86" w:type="dxa"/>
              <w:bottom w:w="43" w:type="dxa"/>
              <w:right w:w="86" w:type="dxa"/>
            </w:tcMar>
          </w:tcPr>
          <w:p w14:paraId="67909B6B" w14:textId="77777777" w:rsidR="0089171C" w:rsidRPr="005D4222" w:rsidRDefault="0089171C" w:rsidP="00A53E8C">
            <w:pPr>
              <w:pStyle w:val="ECDSBody"/>
            </w:pPr>
            <w:r w:rsidRPr="005D4222">
              <w:t xml:space="preserve">This measure looks for childhood vaccinations that should be completed by </w:t>
            </w:r>
            <w:r w:rsidRPr="005D4222">
              <w:br/>
              <w:t>age 2, in accordance with the Centers for Disease Control and Prevention Advisory Committee on Immunization Practices (ACIP) recommended child and adolescent immunization schedule.</w:t>
            </w:r>
          </w:p>
        </w:tc>
      </w:tr>
      <w:tr w:rsidR="0089171C" w:rsidRPr="005D4222" w14:paraId="3C05409E" w14:textId="77777777" w:rsidTr="00A53E8C">
        <w:tc>
          <w:tcPr>
            <w:tcW w:w="2137" w:type="dxa"/>
            <w:shd w:val="clear" w:color="auto" w:fill="BFBFBF" w:themeFill="background1" w:themeFillShade="BF"/>
            <w:tcMar>
              <w:top w:w="0" w:type="dxa"/>
              <w:left w:w="86" w:type="dxa"/>
              <w:bottom w:w="43" w:type="dxa"/>
              <w:right w:w="86" w:type="dxa"/>
            </w:tcMar>
          </w:tcPr>
          <w:p w14:paraId="77BD52AE" w14:textId="77777777" w:rsidR="0089171C" w:rsidRPr="005D4222" w:rsidRDefault="0089171C" w:rsidP="00A53E8C">
            <w:pPr>
              <w:pStyle w:val="ECDSMarginHead"/>
            </w:pPr>
            <w:r w:rsidRPr="005D4222">
              <w:t>Citations</w:t>
            </w:r>
          </w:p>
        </w:tc>
        <w:tc>
          <w:tcPr>
            <w:tcW w:w="7581" w:type="dxa"/>
            <w:gridSpan w:val="4"/>
            <w:tcMar>
              <w:top w:w="0" w:type="dxa"/>
              <w:left w:w="86" w:type="dxa"/>
              <w:bottom w:w="43" w:type="dxa"/>
              <w:right w:w="86" w:type="dxa"/>
            </w:tcMar>
          </w:tcPr>
          <w:p w14:paraId="3519DB77" w14:textId="77777777" w:rsidR="0089171C" w:rsidRPr="005D4222" w:rsidRDefault="0089171C" w:rsidP="00A53E8C">
            <w:pPr>
              <w:pStyle w:val="ECDSBody"/>
              <w:rPr>
                <w:szCs w:val="21"/>
              </w:rPr>
            </w:pPr>
            <w:r w:rsidRPr="005D4222">
              <w:rPr>
                <w:rFonts w:eastAsia="Arial,Arial,Arial,Arial,Arial,T"/>
              </w:rPr>
              <w:t xml:space="preserve">Issa, A.N., A.P. Wodi, C.A. Moser, S. Cineas, S. 2025. “Advisory Committee on Immunization Practices Recommended Immunization Schedule for Children and Adolescents Aged 18 Years or Younger—United States, 2025.” </w:t>
            </w:r>
            <w:r w:rsidRPr="005D4222">
              <w:rPr>
                <w:rFonts w:eastAsia="Arial,Arial,Arial,Arial,Arial,T"/>
                <w:i/>
                <w:iCs/>
              </w:rPr>
              <w:t>MMWR Morb Mortal Wkly Rep</w:t>
            </w:r>
            <w:r w:rsidRPr="005D4222">
              <w:rPr>
                <w:rFonts w:eastAsia="Arial,Arial,Arial,Arial,Arial,T"/>
              </w:rPr>
              <w:t xml:space="preserve"> 74:26-29. </w:t>
            </w:r>
            <w:r w:rsidRPr="005D4222">
              <w:rPr>
                <w:rFonts w:eastAsia="Arial,Arial,Arial,Arial,Arial,T"/>
              </w:rPr>
              <w:br/>
              <w:t>doi: http://dx.doi.org/10.15585/mmwr.mm7402a2.</w:t>
            </w:r>
          </w:p>
        </w:tc>
      </w:tr>
      <w:tr w:rsidR="0089171C" w:rsidRPr="005D4222" w14:paraId="238DA34B" w14:textId="77777777" w:rsidTr="00A53E8C">
        <w:tc>
          <w:tcPr>
            <w:tcW w:w="9718" w:type="dxa"/>
            <w:gridSpan w:val="5"/>
            <w:tcBorders>
              <w:bottom w:val="single" w:sz="4" w:space="0" w:color="auto"/>
            </w:tcBorders>
            <w:shd w:val="clear" w:color="auto" w:fill="BFBFBF" w:themeFill="background1" w:themeFillShade="BF"/>
            <w:tcMar>
              <w:top w:w="0" w:type="dxa"/>
              <w:left w:w="86" w:type="dxa"/>
              <w:bottom w:w="43" w:type="dxa"/>
              <w:right w:w="86" w:type="dxa"/>
            </w:tcMar>
          </w:tcPr>
          <w:p w14:paraId="308CC5D1" w14:textId="77777777" w:rsidR="0089171C" w:rsidRPr="005D4222" w:rsidRDefault="0089171C" w:rsidP="00A53E8C">
            <w:pPr>
              <w:pStyle w:val="ECDSMarginHead"/>
            </w:pPr>
            <w:r w:rsidRPr="005D4222">
              <w:t>Characteristics</w:t>
            </w:r>
          </w:p>
        </w:tc>
      </w:tr>
      <w:tr w:rsidR="0089171C" w:rsidRPr="005D4222" w14:paraId="279C867D" w14:textId="77777777" w:rsidTr="00A53E8C">
        <w:tc>
          <w:tcPr>
            <w:tcW w:w="213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0BBE28D9" w14:textId="77777777" w:rsidR="0089171C" w:rsidRPr="005D4222" w:rsidRDefault="0089171C" w:rsidP="00A53E8C">
            <w:pPr>
              <w:pStyle w:val="MarginHead"/>
            </w:pPr>
            <w:r w:rsidRPr="005D4222">
              <w:t>Scoring</w:t>
            </w:r>
          </w:p>
        </w:tc>
        <w:tc>
          <w:tcPr>
            <w:tcW w:w="7581" w:type="dxa"/>
            <w:gridSpan w:val="4"/>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1931D3F1" w14:textId="77777777" w:rsidR="0089171C" w:rsidRPr="005D4222" w:rsidRDefault="0089171C" w:rsidP="00A53E8C">
            <w:pPr>
              <w:pStyle w:val="ECDSBody"/>
              <w:spacing w:after="0"/>
            </w:pPr>
            <w:r w:rsidRPr="005D4222">
              <w:t>Proportion.</w:t>
            </w:r>
          </w:p>
        </w:tc>
      </w:tr>
      <w:tr w:rsidR="0089171C" w:rsidRPr="005D4222" w14:paraId="184E82E0" w14:textId="77777777" w:rsidTr="00A53E8C">
        <w:tc>
          <w:tcPr>
            <w:tcW w:w="2137" w:type="dxa"/>
            <w:tcBorders>
              <w:top w:val="nil"/>
              <w:left w:val="single" w:sz="4" w:space="0" w:color="auto"/>
              <w:bottom w:val="nil"/>
              <w:right w:val="single" w:sz="4" w:space="0" w:color="auto"/>
            </w:tcBorders>
            <w:tcMar>
              <w:top w:w="0" w:type="dxa"/>
              <w:left w:w="86" w:type="dxa"/>
              <w:bottom w:w="43" w:type="dxa"/>
              <w:right w:w="86" w:type="dxa"/>
            </w:tcMar>
          </w:tcPr>
          <w:p w14:paraId="3AE03D41" w14:textId="77777777" w:rsidR="0089171C" w:rsidRPr="005D4222" w:rsidRDefault="0089171C" w:rsidP="00A53E8C">
            <w:pPr>
              <w:pStyle w:val="MarginHead"/>
            </w:pPr>
            <w:r w:rsidRPr="005D4222">
              <w:t>Type</w:t>
            </w:r>
          </w:p>
        </w:tc>
        <w:tc>
          <w:tcPr>
            <w:tcW w:w="7581" w:type="dxa"/>
            <w:gridSpan w:val="4"/>
            <w:tcBorders>
              <w:top w:val="nil"/>
              <w:left w:val="single" w:sz="4" w:space="0" w:color="auto"/>
              <w:bottom w:val="nil"/>
              <w:right w:val="single" w:sz="4" w:space="0" w:color="auto"/>
            </w:tcBorders>
            <w:tcMar>
              <w:top w:w="0" w:type="dxa"/>
              <w:left w:w="86" w:type="dxa"/>
              <w:bottom w:w="43" w:type="dxa"/>
              <w:right w:w="86" w:type="dxa"/>
            </w:tcMar>
          </w:tcPr>
          <w:p w14:paraId="479ACA45" w14:textId="77777777" w:rsidR="0089171C" w:rsidRPr="005D4222" w:rsidRDefault="0089171C" w:rsidP="00A53E8C">
            <w:pPr>
              <w:pStyle w:val="ECDSBody"/>
              <w:spacing w:after="0"/>
              <w:rPr>
                <w:szCs w:val="21"/>
              </w:rPr>
            </w:pPr>
            <w:r w:rsidRPr="005D4222">
              <w:rPr>
                <w:szCs w:val="21"/>
              </w:rPr>
              <w:t>Process.</w:t>
            </w:r>
          </w:p>
        </w:tc>
      </w:tr>
      <w:tr w:rsidR="0089171C" w:rsidRPr="005D4222" w14:paraId="1C218D24" w14:textId="77777777" w:rsidTr="00A53E8C">
        <w:tc>
          <w:tcPr>
            <w:tcW w:w="2137" w:type="dxa"/>
            <w:tcBorders>
              <w:top w:val="nil"/>
              <w:left w:val="single" w:sz="4" w:space="0" w:color="auto"/>
              <w:bottom w:val="nil"/>
              <w:right w:val="single" w:sz="4" w:space="0" w:color="auto"/>
            </w:tcBorders>
            <w:tcMar>
              <w:top w:w="0" w:type="dxa"/>
              <w:left w:w="86" w:type="dxa"/>
              <w:bottom w:w="43" w:type="dxa"/>
              <w:right w:w="86" w:type="dxa"/>
            </w:tcMar>
          </w:tcPr>
          <w:p w14:paraId="16FF7BA2" w14:textId="3741775A" w:rsidR="0089171C" w:rsidRPr="005D4222" w:rsidRDefault="00B51CDC" w:rsidP="00A53E8C">
            <w:pPr>
              <w:pStyle w:val="MarginHead"/>
            </w:pPr>
            <w:r w:rsidRPr="005D4222">
              <w:t>Product lines</w:t>
            </w:r>
          </w:p>
        </w:tc>
        <w:tc>
          <w:tcPr>
            <w:tcW w:w="7581" w:type="dxa"/>
            <w:gridSpan w:val="4"/>
            <w:tcBorders>
              <w:top w:val="nil"/>
              <w:left w:val="single" w:sz="4" w:space="0" w:color="auto"/>
              <w:bottom w:val="nil"/>
              <w:right w:val="single" w:sz="4" w:space="0" w:color="auto"/>
            </w:tcBorders>
            <w:tcMar>
              <w:top w:w="0" w:type="dxa"/>
              <w:left w:w="86" w:type="dxa"/>
              <w:bottom w:w="43" w:type="dxa"/>
              <w:right w:w="86" w:type="dxa"/>
            </w:tcMar>
          </w:tcPr>
          <w:p w14:paraId="6236A86D" w14:textId="77777777" w:rsidR="0089171C" w:rsidRPr="005D4222" w:rsidRDefault="0089171C" w:rsidP="0089171C">
            <w:pPr>
              <w:pStyle w:val="ProcessBullet"/>
              <w:tabs>
                <w:tab w:val="left" w:pos="216"/>
              </w:tabs>
              <w:spacing w:before="120"/>
            </w:pPr>
            <w:r w:rsidRPr="005D4222">
              <w:t>Commercial.</w:t>
            </w:r>
          </w:p>
          <w:p w14:paraId="65E84EBD" w14:textId="77777777" w:rsidR="0089171C" w:rsidRPr="005D4222" w:rsidRDefault="0089171C" w:rsidP="0089171C">
            <w:pPr>
              <w:pStyle w:val="ProcessBullet"/>
              <w:tabs>
                <w:tab w:val="left" w:pos="216"/>
              </w:tabs>
            </w:pPr>
            <w:r w:rsidRPr="005D4222">
              <w:t>Medicaid.</w:t>
            </w:r>
          </w:p>
        </w:tc>
      </w:tr>
      <w:tr w:rsidR="0089171C" w:rsidRPr="005D4222" w14:paraId="3822F31E" w14:textId="77777777" w:rsidTr="00A53E8C">
        <w:tc>
          <w:tcPr>
            <w:tcW w:w="213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4E3067CF" w14:textId="5E5EF4ED" w:rsidR="0089171C" w:rsidRPr="005D4222" w:rsidRDefault="00B51CDC" w:rsidP="00A53E8C">
            <w:pPr>
              <w:pStyle w:val="MarginHead"/>
            </w:pPr>
            <w:r w:rsidRPr="005D4222">
              <w:t>Stratifications</w:t>
            </w:r>
            <w:r w:rsidR="0089171C" w:rsidRPr="005D4222">
              <w:t xml:space="preserve"> </w:t>
            </w:r>
          </w:p>
        </w:tc>
        <w:tc>
          <w:tcPr>
            <w:tcW w:w="7581" w:type="dxa"/>
            <w:gridSpan w:val="4"/>
            <w:tcBorders>
              <w:top w:val="nil"/>
              <w:left w:val="single" w:sz="4" w:space="0" w:color="auto"/>
              <w:bottom w:val="single" w:sz="4" w:space="0" w:color="auto"/>
              <w:right w:val="single" w:sz="4" w:space="0" w:color="auto"/>
            </w:tcBorders>
            <w:tcMar>
              <w:top w:w="0" w:type="dxa"/>
              <w:left w:w="86" w:type="dxa"/>
              <w:bottom w:w="43" w:type="dxa"/>
              <w:right w:w="86" w:type="dxa"/>
            </w:tcMar>
            <w:hideMark/>
          </w:tcPr>
          <w:p w14:paraId="320B3FD9" w14:textId="756E593C" w:rsidR="0089171C" w:rsidRPr="005D4222" w:rsidRDefault="0089171C" w:rsidP="00A53E8C">
            <w:pPr>
              <w:pStyle w:val="ECDSBody"/>
            </w:pPr>
            <w:r w:rsidRPr="005D4222">
              <w:t xml:space="preserve">Combination 10: Race. (Refer to </w:t>
            </w:r>
            <w:hyperlink w:anchor="GG_Race_and_Ethnicity" w:history="1">
              <w:r w:rsidRPr="005D4222">
                <w:rPr>
                  <w:rStyle w:val="Hyperlink"/>
                  <w:i/>
                  <w:iCs/>
                </w:rPr>
                <w:t>General Guideline: Race and Ethnicity Stratification</w:t>
              </w:r>
            </w:hyperlink>
            <w:r w:rsidRPr="005D4222">
              <w:t xml:space="preserve">.) </w:t>
            </w:r>
          </w:p>
          <w:p w14:paraId="749D44E4" w14:textId="77777777" w:rsidR="0089171C" w:rsidRPr="005D4222" w:rsidRDefault="0089171C" w:rsidP="0089171C">
            <w:pPr>
              <w:pStyle w:val="Bullet"/>
              <w:numPr>
                <w:ilvl w:val="0"/>
                <w:numId w:val="4"/>
              </w:numPr>
              <w:tabs>
                <w:tab w:val="left" w:pos="360"/>
                <w:tab w:val="left" w:pos="576"/>
              </w:tabs>
              <w:ind w:left="576" w:hanging="216"/>
            </w:pPr>
            <w:r w:rsidRPr="005D4222">
              <w:t>American Indian or Alaska Native.</w:t>
            </w:r>
          </w:p>
          <w:p w14:paraId="5068CF98" w14:textId="77777777" w:rsidR="0089171C" w:rsidRPr="005D4222" w:rsidRDefault="0089171C" w:rsidP="0089171C">
            <w:pPr>
              <w:pStyle w:val="Bullet"/>
              <w:numPr>
                <w:ilvl w:val="0"/>
                <w:numId w:val="4"/>
              </w:numPr>
              <w:tabs>
                <w:tab w:val="left" w:pos="360"/>
                <w:tab w:val="left" w:pos="576"/>
              </w:tabs>
              <w:ind w:left="576" w:hanging="216"/>
            </w:pPr>
            <w:r w:rsidRPr="005D4222">
              <w:t>Asian.</w:t>
            </w:r>
          </w:p>
          <w:p w14:paraId="5FF0E24B" w14:textId="77777777" w:rsidR="0089171C" w:rsidRPr="005D4222" w:rsidRDefault="0089171C" w:rsidP="0089171C">
            <w:pPr>
              <w:pStyle w:val="Bullet"/>
              <w:numPr>
                <w:ilvl w:val="0"/>
                <w:numId w:val="4"/>
              </w:numPr>
              <w:tabs>
                <w:tab w:val="left" w:pos="360"/>
                <w:tab w:val="left" w:pos="576"/>
              </w:tabs>
              <w:ind w:left="576" w:hanging="216"/>
            </w:pPr>
            <w:r w:rsidRPr="005D4222">
              <w:t>Black or African American.</w:t>
            </w:r>
          </w:p>
          <w:p w14:paraId="37263C8D" w14:textId="77777777" w:rsidR="0089171C" w:rsidRPr="005D4222" w:rsidRDefault="0089171C" w:rsidP="0089171C">
            <w:pPr>
              <w:pStyle w:val="Bullet"/>
              <w:numPr>
                <w:ilvl w:val="0"/>
                <w:numId w:val="4"/>
              </w:numPr>
              <w:tabs>
                <w:tab w:val="left" w:pos="360"/>
                <w:tab w:val="left" w:pos="576"/>
              </w:tabs>
              <w:ind w:left="576" w:hanging="216"/>
            </w:pPr>
            <w:r w:rsidRPr="005D4222">
              <w:t>Middle Eastern or North African.</w:t>
            </w:r>
          </w:p>
          <w:p w14:paraId="3603500E" w14:textId="31B45EFE" w:rsidR="007D545B" w:rsidRPr="005D4222" w:rsidRDefault="0089171C" w:rsidP="007D545B">
            <w:pPr>
              <w:pStyle w:val="Bullet"/>
              <w:numPr>
                <w:ilvl w:val="0"/>
                <w:numId w:val="4"/>
              </w:numPr>
              <w:tabs>
                <w:tab w:val="left" w:pos="360"/>
                <w:tab w:val="left" w:pos="576"/>
              </w:tabs>
              <w:spacing w:after="80"/>
              <w:ind w:left="576" w:hanging="216"/>
            </w:pPr>
            <w:r w:rsidRPr="005D4222">
              <w:t>Native Hawaiian or Pacific Islander.</w:t>
            </w:r>
          </w:p>
        </w:tc>
      </w:tr>
      <w:tr w:rsidR="0089171C" w:rsidRPr="005D4222" w14:paraId="772C18BF" w14:textId="77777777" w:rsidTr="00A53E8C">
        <w:tc>
          <w:tcPr>
            <w:tcW w:w="2157" w:type="dxa"/>
            <w:gridSpan w:val="2"/>
            <w:tcBorders>
              <w:top w:val="single" w:sz="4" w:space="0" w:color="auto"/>
              <w:left w:val="single" w:sz="4" w:space="0" w:color="auto"/>
              <w:bottom w:val="nil"/>
              <w:right w:val="single" w:sz="4" w:space="0" w:color="auto"/>
            </w:tcBorders>
            <w:tcMar>
              <w:top w:w="0" w:type="dxa"/>
              <w:left w:w="86" w:type="dxa"/>
              <w:bottom w:w="43" w:type="dxa"/>
              <w:right w:w="86" w:type="dxa"/>
            </w:tcMar>
          </w:tcPr>
          <w:p w14:paraId="2FD58B0F" w14:textId="77777777" w:rsidR="0089171C" w:rsidRPr="005D4222" w:rsidRDefault="0089171C" w:rsidP="00A53E8C">
            <w:pPr>
              <w:pStyle w:val="MarginHead"/>
            </w:pPr>
          </w:p>
        </w:tc>
        <w:tc>
          <w:tcPr>
            <w:tcW w:w="7561"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tcPr>
          <w:p w14:paraId="53900DC0" w14:textId="77777777" w:rsidR="007D545B" w:rsidRPr="005D4222" w:rsidRDefault="007D545B" w:rsidP="007D545B">
            <w:pPr>
              <w:pStyle w:val="Bullet"/>
              <w:numPr>
                <w:ilvl w:val="0"/>
                <w:numId w:val="4"/>
              </w:numPr>
              <w:tabs>
                <w:tab w:val="left" w:pos="360"/>
                <w:tab w:val="left" w:pos="576"/>
              </w:tabs>
              <w:ind w:left="576" w:hanging="216"/>
            </w:pPr>
            <w:r w:rsidRPr="005D4222">
              <w:t>White.</w:t>
            </w:r>
          </w:p>
          <w:p w14:paraId="586C682C" w14:textId="77777777" w:rsidR="007D545B" w:rsidRPr="005D4222" w:rsidRDefault="007D545B" w:rsidP="007D545B">
            <w:pPr>
              <w:pStyle w:val="Bullet"/>
              <w:numPr>
                <w:ilvl w:val="0"/>
                <w:numId w:val="4"/>
              </w:numPr>
              <w:tabs>
                <w:tab w:val="left" w:pos="360"/>
                <w:tab w:val="left" w:pos="576"/>
              </w:tabs>
              <w:spacing w:after="80"/>
              <w:ind w:left="576" w:hanging="216"/>
            </w:pPr>
            <w:r w:rsidRPr="005D4222">
              <w:t>Some Other Race.</w:t>
            </w:r>
          </w:p>
          <w:p w14:paraId="2E448B07" w14:textId="77777777" w:rsidR="0089171C" w:rsidRPr="005D4222" w:rsidRDefault="0089171C" w:rsidP="0089171C">
            <w:pPr>
              <w:pStyle w:val="Bullet"/>
              <w:numPr>
                <w:ilvl w:val="0"/>
                <w:numId w:val="4"/>
              </w:numPr>
              <w:tabs>
                <w:tab w:val="left" w:pos="360"/>
                <w:tab w:val="left" w:pos="576"/>
              </w:tabs>
              <w:ind w:left="576" w:hanging="216"/>
            </w:pPr>
            <w:r w:rsidRPr="005D4222">
              <w:t>Two or More Races.</w:t>
            </w:r>
          </w:p>
          <w:p w14:paraId="16965773" w14:textId="77777777" w:rsidR="0089171C" w:rsidRPr="005D4222" w:rsidRDefault="0089171C" w:rsidP="0089171C">
            <w:pPr>
              <w:pStyle w:val="Bullet"/>
              <w:numPr>
                <w:ilvl w:val="0"/>
                <w:numId w:val="4"/>
              </w:numPr>
              <w:tabs>
                <w:tab w:val="left" w:pos="360"/>
                <w:tab w:val="left" w:pos="576"/>
              </w:tabs>
              <w:ind w:left="576" w:hanging="216"/>
            </w:pPr>
            <w:r w:rsidRPr="005D4222">
              <w:t>Asked But No Answer.</w:t>
            </w:r>
          </w:p>
          <w:p w14:paraId="20A58A55" w14:textId="77777777" w:rsidR="0089171C" w:rsidRPr="005D4222" w:rsidRDefault="0089171C" w:rsidP="0089171C">
            <w:pPr>
              <w:pStyle w:val="Bullet"/>
              <w:numPr>
                <w:ilvl w:val="0"/>
                <w:numId w:val="4"/>
              </w:numPr>
              <w:tabs>
                <w:tab w:val="left" w:pos="360"/>
                <w:tab w:val="left" w:pos="576"/>
              </w:tabs>
              <w:ind w:left="576" w:hanging="216"/>
            </w:pPr>
            <w:r w:rsidRPr="005D4222">
              <w:t>Unknown.</w:t>
            </w:r>
          </w:p>
          <w:p w14:paraId="09B89129" w14:textId="77BED4A7" w:rsidR="0089171C" w:rsidRPr="005D4222" w:rsidRDefault="0089171C" w:rsidP="00A53E8C">
            <w:pPr>
              <w:pStyle w:val="ECDSBody"/>
            </w:pPr>
            <w:r w:rsidRPr="005D4222">
              <w:t>Combination 10: Ethnicity. (Refer to</w:t>
            </w:r>
            <w:r w:rsidRPr="005D4222">
              <w:rPr>
                <w:i/>
              </w:rPr>
              <w:t xml:space="preserve"> </w:t>
            </w:r>
            <w:hyperlink w:anchor="GG_Race_and_Ethnicity" w:history="1">
              <w:r w:rsidRPr="005D4222">
                <w:rPr>
                  <w:rStyle w:val="Hyperlink"/>
                  <w:i/>
                </w:rPr>
                <w:t>General Guideline: Race and Ethnicity Stratification</w:t>
              </w:r>
            </w:hyperlink>
            <w:r w:rsidRPr="005D4222">
              <w:rPr>
                <w:i/>
              </w:rPr>
              <w:t>.</w:t>
            </w:r>
            <w:r w:rsidRPr="005D4222">
              <w:t xml:space="preserve">) </w:t>
            </w:r>
          </w:p>
          <w:p w14:paraId="08A580CE" w14:textId="77777777" w:rsidR="0089171C" w:rsidRPr="005D4222" w:rsidRDefault="0089171C" w:rsidP="0089171C">
            <w:pPr>
              <w:pStyle w:val="Bullet"/>
              <w:numPr>
                <w:ilvl w:val="0"/>
                <w:numId w:val="4"/>
              </w:numPr>
              <w:tabs>
                <w:tab w:val="left" w:pos="360"/>
                <w:tab w:val="left" w:pos="576"/>
              </w:tabs>
              <w:ind w:left="576" w:hanging="216"/>
            </w:pPr>
            <w:r w:rsidRPr="005D4222">
              <w:t>Hispanic or Latino.</w:t>
            </w:r>
          </w:p>
          <w:p w14:paraId="504B0712" w14:textId="77777777" w:rsidR="0089171C" w:rsidRPr="005D4222" w:rsidRDefault="0089171C" w:rsidP="0089171C">
            <w:pPr>
              <w:pStyle w:val="Bullet"/>
              <w:numPr>
                <w:ilvl w:val="0"/>
                <w:numId w:val="4"/>
              </w:numPr>
              <w:tabs>
                <w:tab w:val="left" w:pos="360"/>
                <w:tab w:val="left" w:pos="576"/>
              </w:tabs>
              <w:ind w:left="576" w:hanging="216"/>
            </w:pPr>
            <w:r w:rsidRPr="005D4222">
              <w:t>Not Hispanic or Latino.</w:t>
            </w:r>
          </w:p>
          <w:p w14:paraId="695B2C22" w14:textId="77777777" w:rsidR="0089171C" w:rsidRPr="005D4222" w:rsidRDefault="0089171C" w:rsidP="0089171C">
            <w:pPr>
              <w:pStyle w:val="Bullet"/>
              <w:numPr>
                <w:ilvl w:val="0"/>
                <w:numId w:val="4"/>
              </w:numPr>
              <w:tabs>
                <w:tab w:val="left" w:pos="360"/>
                <w:tab w:val="left" w:pos="576"/>
              </w:tabs>
              <w:ind w:left="576" w:hanging="216"/>
            </w:pPr>
            <w:r w:rsidRPr="005D4222">
              <w:t>Asked But No Answer.</w:t>
            </w:r>
          </w:p>
          <w:p w14:paraId="69B8F216" w14:textId="77777777" w:rsidR="0089171C" w:rsidRPr="005D4222" w:rsidRDefault="0089171C" w:rsidP="0089171C">
            <w:pPr>
              <w:pStyle w:val="Bullet"/>
              <w:numPr>
                <w:ilvl w:val="0"/>
                <w:numId w:val="4"/>
              </w:numPr>
              <w:tabs>
                <w:tab w:val="left" w:pos="360"/>
                <w:tab w:val="left" w:pos="576"/>
              </w:tabs>
              <w:ind w:left="576" w:hanging="216"/>
            </w:pPr>
            <w:r w:rsidRPr="005D4222">
              <w:t>Unknown.</w:t>
            </w:r>
          </w:p>
        </w:tc>
      </w:tr>
      <w:tr w:rsidR="0089171C" w:rsidRPr="005D4222" w14:paraId="27731AD6" w14:textId="77777777" w:rsidTr="00A53E8C">
        <w:tc>
          <w:tcPr>
            <w:tcW w:w="2157" w:type="dxa"/>
            <w:gridSpan w:val="2"/>
            <w:tcBorders>
              <w:top w:val="nil"/>
              <w:left w:val="single" w:sz="4" w:space="0" w:color="auto"/>
              <w:bottom w:val="nil"/>
              <w:right w:val="single" w:sz="4" w:space="0" w:color="auto"/>
            </w:tcBorders>
            <w:tcMar>
              <w:top w:w="0" w:type="dxa"/>
              <w:left w:w="86" w:type="dxa"/>
              <w:bottom w:w="43" w:type="dxa"/>
              <w:right w:w="86" w:type="dxa"/>
            </w:tcMar>
          </w:tcPr>
          <w:p w14:paraId="71BE40A9" w14:textId="77777777" w:rsidR="0089171C" w:rsidRPr="005D4222" w:rsidRDefault="0089171C" w:rsidP="00A53E8C">
            <w:pPr>
              <w:pStyle w:val="ECDSMarginHead"/>
              <w:spacing w:after="0"/>
            </w:pPr>
            <w:r w:rsidRPr="005D4222">
              <w:t>Risk adjustment</w:t>
            </w:r>
          </w:p>
        </w:tc>
        <w:tc>
          <w:tcPr>
            <w:tcW w:w="7561"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2AC3752D" w14:textId="77777777" w:rsidR="0089171C" w:rsidRPr="005D4222" w:rsidRDefault="0089171C" w:rsidP="00A53E8C">
            <w:pPr>
              <w:pStyle w:val="ECDSBody"/>
              <w:spacing w:after="0"/>
            </w:pPr>
            <w:r w:rsidRPr="005D4222">
              <w:t>None.</w:t>
            </w:r>
          </w:p>
        </w:tc>
      </w:tr>
      <w:tr w:rsidR="0089171C" w:rsidRPr="005D4222" w14:paraId="52391DFF" w14:textId="77777777" w:rsidTr="00A53E8C">
        <w:tc>
          <w:tcPr>
            <w:tcW w:w="2157" w:type="dxa"/>
            <w:gridSpan w:val="2"/>
            <w:tcBorders>
              <w:top w:val="nil"/>
              <w:left w:val="single" w:sz="4" w:space="0" w:color="auto"/>
              <w:bottom w:val="nil"/>
              <w:right w:val="single" w:sz="4" w:space="0" w:color="auto"/>
            </w:tcBorders>
            <w:tcMar>
              <w:top w:w="0" w:type="dxa"/>
              <w:left w:w="86" w:type="dxa"/>
              <w:bottom w:w="43" w:type="dxa"/>
              <w:right w:w="86" w:type="dxa"/>
            </w:tcMar>
          </w:tcPr>
          <w:p w14:paraId="05D95545" w14:textId="77777777" w:rsidR="0089171C" w:rsidRPr="005D4222" w:rsidRDefault="0089171C" w:rsidP="00A53E8C">
            <w:pPr>
              <w:pStyle w:val="ECDSMarginHead"/>
              <w:spacing w:after="0"/>
            </w:pPr>
            <w:r w:rsidRPr="005D4222">
              <w:t>Improvement notation</w:t>
            </w:r>
          </w:p>
        </w:tc>
        <w:tc>
          <w:tcPr>
            <w:tcW w:w="7561"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7DA8DD27" w14:textId="77777777" w:rsidR="0089171C" w:rsidRPr="005D4222" w:rsidRDefault="0089171C" w:rsidP="00A53E8C">
            <w:pPr>
              <w:pStyle w:val="ECDSBody"/>
              <w:spacing w:after="0"/>
            </w:pPr>
            <w:r w:rsidRPr="005D4222">
              <w:t>Increased score indicates improvement.</w:t>
            </w:r>
          </w:p>
        </w:tc>
      </w:tr>
      <w:tr w:rsidR="0089171C" w:rsidRPr="005D4222" w14:paraId="7A6FF485" w14:textId="77777777" w:rsidTr="00A53E8C">
        <w:trPr>
          <w:trHeight w:val="633"/>
        </w:trPr>
        <w:tc>
          <w:tcPr>
            <w:tcW w:w="2157" w:type="dxa"/>
            <w:gridSpan w:val="2"/>
            <w:tcBorders>
              <w:top w:val="nil"/>
              <w:left w:val="single" w:sz="4" w:space="0" w:color="auto"/>
              <w:bottom w:val="single" w:sz="4" w:space="0" w:color="auto"/>
              <w:right w:val="single" w:sz="4" w:space="0" w:color="auto"/>
            </w:tcBorders>
            <w:tcMar>
              <w:top w:w="0" w:type="dxa"/>
              <w:left w:w="86" w:type="dxa"/>
              <w:bottom w:w="43" w:type="dxa"/>
              <w:right w:w="86" w:type="dxa"/>
            </w:tcMar>
          </w:tcPr>
          <w:p w14:paraId="7440B126" w14:textId="77777777" w:rsidR="0089171C" w:rsidRPr="005D4222" w:rsidRDefault="0089171C" w:rsidP="00A53E8C">
            <w:pPr>
              <w:pStyle w:val="ECDSMarginHead"/>
              <w:spacing w:after="0"/>
            </w:pPr>
            <w:r w:rsidRPr="005D4222">
              <w:t>Guidance</w:t>
            </w:r>
          </w:p>
        </w:tc>
        <w:tc>
          <w:tcPr>
            <w:tcW w:w="7561"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70D9061F" w14:textId="7AE8795A" w:rsidR="0089171C" w:rsidRPr="005D4222" w:rsidRDefault="0089171C" w:rsidP="007D545B">
            <w:pPr>
              <w:pStyle w:val="ECDSBody"/>
            </w:pPr>
            <w:r w:rsidRPr="005D4222">
              <w:rPr>
                <w:b/>
              </w:rPr>
              <w:t>Data collection methodology:</w:t>
            </w:r>
            <w:r w:rsidRPr="005D4222">
              <w:t xml:space="preserve"> ECDS. Refer to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50CCD543" w14:textId="77777777" w:rsidR="0089171C" w:rsidRPr="005D4222" w:rsidRDefault="0089171C" w:rsidP="007D545B">
            <w:pPr>
              <w:pStyle w:val="ECDSBody"/>
            </w:pPr>
            <w:r w:rsidRPr="005D4222">
              <w:rPr>
                <w:b/>
              </w:rPr>
              <w:t xml:space="preserve">Date specificity: </w:t>
            </w:r>
            <w:r w:rsidRPr="005D4222">
              <w:t>Dates must be specific enough to determine the event occurred in the period being measured.</w:t>
            </w:r>
          </w:p>
          <w:p w14:paraId="5D1E4ADF" w14:textId="77777777" w:rsidR="0089171C" w:rsidRPr="005D4222" w:rsidRDefault="0089171C" w:rsidP="007D545B">
            <w:pPr>
              <w:pStyle w:val="ECDSBody"/>
            </w:pPr>
            <w:r w:rsidRPr="005D4222">
              <w:rPr>
                <w:b/>
              </w:rPr>
              <w:t xml:space="preserve">What services count? </w:t>
            </w:r>
            <w:r w:rsidRPr="005D4222">
              <w:t>Use all paid, suspended, pending and denied claims.</w:t>
            </w:r>
          </w:p>
          <w:p w14:paraId="6E2B3D8D" w14:textId="77777777" w:rsidR="0089171C" w:rsidRPr="005D4222" w:rsidRDefault="0089171C" w:rsidP="007D545B">
            <w:pPr>
              <w:pStyle w:val="ECDSBody"/>
            </w:pPr>
            <w:r w:rsidRPr="005D4222">
              <w:rPr>
                <w:b/>
              </w:rPr>
              <w:t xml:space="preserve">Other guidance: </w:t>
            </w:r>
            <w:r w:rsidRPr="005D4222">
              <w:t>Report rates for each vaccine and three combination rates.</w:t>
            </w:r>
          </w:p>
          <w:p w14:paraId="0BE543AF" w14:textId="115B76F2" w:rsidR="0089171C" w:rsidRPr="005D4222" w:rsidRDefault="0089171C" w:rsidP="002C0046">
            <w:pPr>
              <w:pStyle w:val="ECDSBody"/>
              <w:spacing w:after="120"/>
            </w:pPr>
            <w:r w:rsidRPr="005D4222">
              <w:rPr>
                <w:i/>
              </w:rPr>
              <w:t xml:space="preserve">Combination rates: </w:t>
            </w:r>
            <w:r w:rsidRPr="005D4222">
              <w:t xml:space="preserve">Calculate the following rates for Combinations 3, 7 </w:t>
            </w:r>
            <w:r w:rsidR="0091715B" w:rsidRPr="005D4222">
              <w:br/>
            </w:r>
            <w:r w:rsidRPr="005D4222">
              <w:t>and 10.</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91"/>
              <w:gridCol w:w="711"/>
              <w:gridCol w:w="445"/>
              <w:gridCol w:w="534"/>
              <w:gridCol w:w="445"/>
              <w:gridCol w:w="623"/>
              <w:gridCol w:w="534"/>
              <w:gridCol w:w="534"/>
              <w:gridCol w:w="623"/>
              <w:gridCol w:w="445"/>
              <w:gridCol w:w="888"/>
            </w:tblGrid>
            <w:tr w:rsidR="0089171C" w:rsidRPr="005D4222" w14:paraId="00E0B00F" w14:textId="77777777" w:rsidTr="00A53E8C">
              <w:trPr>
                <w:trHeight w:val="321"/>
              </w:trPr>
              <w:tc>
                <w:tcPr>
                  <w:tcW w:w="1613" w:type="dxa"/>
                  <w:tcBorders>
                    <w:bottom w:val="single" w:sz="6" w:space="0" w:color="auto"/>
                    <w:right w:val="single" w:sz="4" w:space="0" w:color="FFFFFF" w:themeColor="background1"/>
                  </w:tcBorders>
                  <w:shd w:val="clear" w:color="auto" w:fill="000000" w:themeFill="text1"/>
                  <w:tcMar>
                    <w:left w:w="58" w:type="dxa"/>
                    <w:right w:w="58" w:type="dxa"/>
                  </w:tcMar>
                  <w:vAlign w:val="center"/>
                </w:tcPr>
                <w:p w14:paraId="756254FB" w14:textId="77777777" w:rsidR="0089171C" w:rsidRPr="005D4222" w:rsidRDefault="0089171C" w:rsidP="00A53E8C">
                  <w:pPr>
                    <w:pStyle w:val="TableHead"/>
                    <w:rPr>
                      <w:highlight w:val="black"/>
                    </w:rPr>
                  </w:pPr>
                  <w:r w:rsidRPr="005D4222">
                    <w:rPr>
                      <w:highlight w:val="black"/>
                    </w:rPr>
                    <w:t>Combination</w:t>
                  </w:r>
                </w:p>
              </w:tc>
              <w:tc>
                <w:tcPr>
                  <w:tcW w:w="720" w:type="dxa"/>
                  <w:tcBorders>
                    <w:left w:val="single" w:sz="4" w:space="0" w:color="FFFFFF" w:themeColor="background1"/>
                    <w:bottom w:val="single" w:sz="6" w:space="0" w:color="auto"/>
                    <w:right w:val="single" w:sz="4" w:space="0" w:color="FFFFFF" w:themeColor="background1"/>
                  </w:tcBorders>
                  <w:shd w:val="clear" w:color="auto" w:fill="000000" w:themeFill="text1"/>
                  <w:tcMar>
                    <w:left w:w="58" w:type="dxa"/>
                    <w:right w:w="58" w:type="dxa"/>
                  </w:tcMar>
                  <w:vAlign w:val="center"/>
                </w:tcPr>
                <w:p w14:paraId="58631B2A" w14:textId="77777777" w:rsidR="0089171C" w:rsidRPr="005D4222" w:rsidRDefault="0089171C" w:rsidP="00A53E8C">
                  <w:pPr>
                    <w:pStyle w:val="TableHead"/>
                    <w:rPr>
                      <w:highlight w:val="black"/>
                    </w:rPr>
                  </w:pPr>
                  <w:r w:rsidRPr="005D4222">
                    <w:rPr>
                      <w:highlight w:val="black"/>
                    </w:rPr>
                    <w:t>DTaP</w:t>
                  </w:r>
                </w:p>
              </w:tc>
              <w:tc>
                <w:tcPr>
                  <w:tcW w:w="450" w:type="dxa"/>
                  <w:tcBorders>
                    <w:left w:val="single" w:sz="4" w:space="0" w:color="FFFFFF" w:themeColor="background1"/>
                    <w:bottom w:val="single" w:sz="6" w:space="0" w:color="auto"/>
                    <w:right w:val="single" w:sz="4" w:space="0" w:color="FFFFFF" w:themeColor="background1"/>
                  </w:tcBorders>
                  <w:shd w:val="clear" w:color="auto" w:fill="000000" w:themeFill="text1"/>
                  <w:tcMar>
                    <w:left w:w="58" w:type="dxa"/>
                    <w:right w:w="58" w:type="dxa"/>
                  </w:tcMar>
                  <w:vAlign w:val="center"/>
                </w:tcPr>
                <w:p w14:paraId="6D160F5E" w14:textId="77777777" w:rsidR="0089171C" w:rsidRPr="005D4222" w:rsidRDefault="0089171C" w:rsidP="00A53E8C">
                  <w:pPr>
                    <w:pStyle w:val="TableHead"/>
                    <w:rPr>
                      <w:highlight w:val="black"/>
                    </w:rPr>
                  </w:pPr>
                  <w:r w:rsidRPr="005D4222">
                    <w:rPr>
                      <w:highlight w:val="black"/>
                    </w:rPr>
                    <w:t>IPV</w:t>
                  </w:r>
                </w:p>
              </w:tc>
              <w:tc>
                <w:tcPr>
                  <w:tcW w:w="540" w:type="dxa"/>
                  <w:tcBorders>
                    <w:left w:val="single" w:sz="4" w:space="0" w:color="FFFFFF" w:themeColor="background1"/>
                    <w:bottom w:val="single" w:sz="6" w:space="0" w:color="auto"/>
                    <w:right w:val="single" w:sz="4" w:space="0" w:color="FFFFFF" w:themeColor="background1"/>
                  </w:tcBorders>
                  <w:shd w:val="clear" w:color="auto" w:fill="000000" w:themeFill="text1"/>
                  <w:tcMar>
                    <w:left w:w="58" w:type="dxa"/>
                    <w:right w:w="58" w:type="dxa"/>
                  </w:tcMar>
                  <w:vAlign w:val="center"/>
                </w:tcPr>
                <w:p w14:paraId="025885AF" w14:textId="77777777" w:rsidR="0089171C" w:rsidRPr="005D4222" w:rsidRDefault="0089171C" w:rsidP="00A53E8C">
                  <w:pPr>
                    <w:pStyle w:val="TableHead"/>
                    <w:rPr>
                      <w:highlight w:val="black"/>
                    </w:rPr>
                  </w:pPr>
                  <w:r w:rsidRPr="005D4222">
                    <w:rPr>
                      <w:highlight w:val="black"/>
                    </w:rPr>
                    <w:t>MMR</w:t>
                  </w:r>
                </w:p>
              </w:tc>
              <w:tc>
                <w:tcPr>
                  <w:tcW w:w="450" w:type="dxa"/>
                  <w:tcBorders>
                    <w:left w:val="single" w:sz="4" w:space="0" w:color="FFFFFF" w:themeColor="background1"/>
                    <w:bottom w:val="single" w:sz="6" w:space="0" w:color="auto"/>
                    <w:right w:val="single" w:sz="4" w:space="0" w:color="FFFFFF" w:themeColor="background1"/>
                  </w:tcBorders>
                  <w:shd w:val="clear" w:color="auto" w:fill="000000" w:themeFill="text1"/>
                  <w:tcMar>
                    <w:left w:w="58" w:type="dxa"/>
                    <w:right w:w="58" w:type="dxa"/>
                  </w:tcMar>
                  <w:vAlign w:val="center"/>
                </w:tcPr>
                <w:p w14:paraId="190D39DB" w14:textId="77777777" w:rsidR="0089171C" w:rsidRPr="005D4222" w:rsidRDefault="0089171C" w:rsidP="00A53E8C">
                  <w:pPr>
                    <w:pStyle w:val="TableHead"/>
                    <w:rPr>
                      <w:highlight w:val="black"/>
                    </w:rPr>
                  </w:pPr>
                  <w:r w:rsidRPr="005D4222">
                    <w:rPr>
                      <w:highlight w:val="black"/>
                    </w:rPr>
                    <w:t>HiB</w:t>
                  </w:r>
                </w:p>
              </w:tc>
              <w:tc>
                <w:tcPr>
                  <w:tcW w:w="630" w:type="dxa"/>
                  <w:tcBorders>
                    <w:left w:val="single" w:sz="4" w:space="0" w:color="FFFFFF" w:themeColor="background1"/>
                    <w:bottom w:val="single" w:sz="6" w:space="0" w:color="auto"/>
                    <w:right w:val="single" w:sz="4" w:space="0" w:color="FFFFFF" w:themeColor="background1"/>
                  </w:tcBorders>
                  <w:shd w:val="clear" w:color="auto" w:fill="000000" w:themeFill="text1"/>
                  <w:tcMar>
                    <w:left w:w="58" w:type="dxa"/>
                    <w:right w:w="58" w:type="dxa"/>
                  </w:tcMar>
                  <w:vAlign w:val="center"/>
                </w:tcPr>
                <w:p w14:paraId="2B7151A4" w14:textId="77777777" w:rsidR="0089171C" w:rsidRPr="005D4222" w:rsidRDefault="0089171C" w:rsidP="00A53E8C">
                  <w:pPr>
                    <w:pStyle w:val="TableHead"/>
                    <w:rPr>
                      <w:highlight w:val="black"/>
                    </w:rPr>
                  </w:pPr>
                  <w:r w:rsidRPr="005D4222">
                    <w:rPr>
                      <w:highlight w:val="black"/>
                    </w:rPr>
                    <w:t>HepB</w:t>
                  </w:r>
                </w:p>
              </w:tc>
              <w:tc>
                <w:tcPr>
                  <w:tcW w:w="540" w:type="dxa"/>
                  <w:tcBorders>
                    <w:left w:val="single" w:sz="4" w:space="0" w:color="FFFFFF" w:themeColor="background1"/>
                    <w:bottom w:val="single" w:sz="6" w:space="0" w:color="auto"/>
                    <w:right w:val="single" w:sz="6" w:space="0" w:color="FFFFFF" w:themeColor="background1"/>
                  </w:tcBorders>
                  <w:shd w:val="clear" w:color="auto" w:fill="000000" w:themeFill="text1"/>
                  <w:tcMar>
                    <w:left w:w="58" w:type="dxa"/>
                    <w:right w:w="58" w:type="dxa"/>
                  </w:tcMar>
                  <w:vAlign w:val="center"/>
                </w:tcPr>
                <w:p w14:paraId="3555CB35" w14:textId="77777777" w:rsidR="0089171C" w:rsidRPr="005D4222" w:rsidRDefault="0089171C" w:rsidP="00A53E8C">
                  <w:pPr>
                    <w:pStyle w:val="TableHead"/>
                    <w:rPr>
                      <w:highlight w:val="black"/>
                    </w:rPr>
                  </w:pPr>
                  <w:r w:rsidRPr="005D4222">
                    <w:rPr>
                      <w:highlight w:val="black"/>
                    </w:rPr>
                    <w:t>VZV</w:t>
                  </w:r>
                </w:p>
              </w:tc>
              <w:tc>
                <w:tcPr>
                  <w:tcW w:w="540" w:type="dxa"/>
                  <w:tcBorders>
                    <w:left w:val="single" w:sz="6" w:space="0" w:color="FFFFFF" w:themeColor="background1"/>
                    <w:bottom w:val="single" w:sz="6" w:space="0" w:color="auto"/>
                    <w:right w:val="single" w:sz="6" w:space="0" w:color="FFFFFF" w:themeColor="background1"/>
                  </w:tcBorders>
                  <w:shd w:val="clear" w:color="auto" w:fill="000000" w:themeFill="text1"/>
                  <w:tcMar>
                    <w:left w:w="58" w:type="dxa"/>
                    <w:right w:w="58" w:type="dxa"/>
                  </w:tcMar>
                  <w:vAlign w:val="center"/>
                </w:tcPr>
                <w:p w14:paraId="376186CC" w14:textId="77777777" w:rsidR="0089171C" w:rsidRPr="005D4222" w:rsidRDefault="0089171C" w:rsidP="00A53E8C">
                  <w:pPr>
                    <w:pStyle w:val="TableHead"/>
                    <w:rPr>
                      <w:highlight w:val="black"/>
                    </w:rPr>
                  </w:pPr>
                  <w:r w:rsidRPr="005D4222">
                    <w:rPr>
                      <w:highlight w:val="black"/>
                    </w:rPr>
                    <w:t>PCV</w:t>
                  </w:r>
                </w:p>
              </w:tc>
              <w:tc>
                <w:tcPr>
                  <w:tcW w:w="630" w:type="dxa"/>
                  <w:tcBorders>
                    <w:left w:val="single" w:sz="6" w:space="0" w:color="FFFFFF" w:themeColor="background1"/>
                    <w:bottom w:val="single" w:sz="6" w:space="0" w:color="auto"/>
                    <w:right w:val="single" w:sz="4" w:space="0" w:color="FFFFFF" w:themeColor="background1"/>
                  </w:tcBorders>
                  <w:shd w:val="clear" w:color="auto" w:fill="000000" w:themeFill="text1"/>
                  <w:tcMar>
                    <w:left w:w="58" w:type="dxa"/>
                    <w:right w:w="58" w:type="dxa"/>
                  </w:tcMar>
                  <w:vAlign w:val="center"/>
                </w:tcPr>
                <w:p w14:paraId="337D1215" w14:textId="77777777" w:rsidR="0089171C" w:rsidRPr="005D4222" w:rsidRDefault="0089171C" w:rsidP="00A53E8C">
                  <w:pPr>
                    <w:pStyle w:val="TableHead"/>
                    <w:rPr>
                      <w:highlight w:val="black"/>
                    </w:rPr>
                  </w:pPr>
                  <w:r w:rsidRPr="005D4222">
                    <w:rPr>
                      <w:highlight w:val="black"/>
                    </w:rPr>
                    <w:t>HepA</w:t>
                  </w:r>
                </w:p>
              </w:tc>
              <w:tc>
                <w:tcPr>
                  <w:tcW w:w="450" w:type="dxa"/>
                  <w:tcBorders>
                    <w:left w:val="single" w:sz="4" w:space="0" w:color="FFFFFF" w:themeColor="background1"/>
                    <w:bottom w:val="single" w:sz="6" w:space="0" w:color="auto"/>
                    <w:right w:val="single" w:sz="4" w:space="0" w:color="FFFFFF" w:themeColor="background1"/>
                  </w:tcBorders>
                  <w:shd w:val="clear" w:color="auto" w:fill="000000" w:themeFill="text1"/>
                  <w:tcMar>
                    <w:left w:w="58" w:type="dxa"/>
                    <w:right w:w="58" w:type="dxa"/>
                  </w:tcMar>
                  <w:vAlign w:val="center"/>
                </w:tcPr>
                <w:p w14:paraId="602B7E87" w14:textId="77777777" w:rsidR="0089171C" w:rsidRPr="005D4222" w:rsidRDefault="0089171C" w:rsidP="00A53E8C">
                  <w:pPr>
                    <w:pStyle w:val="TableHead"/>
                    <w:rPr>
                      <w:highlight w:val="black"/>
                    </w:rPr>
                  </w:pPr>
                  <w:r w:rsidRPr="005D4222">
                    <w:rPr>
                      <w:highlight w:val="black"/>
                    </w:rPr>
                    <w:t>RV</w:t>
                  </w:r>
                </w:p>
              </w:tc>
              <w:tc>
                <w:tcPr>
                  <w:tcW w:w="899" w:type="dxa"/>
                  <w:tcBorders>
                    <w:left w:val="single" w:sz="4" w:space="0" w:color="FFFFFF" w:themeColor="background1"/>
                    <w:bottom w:val="single" w:sz="6" w:space="0" w:color="auto"/>
                  </w:tcBorders>
                  <w:shd w:val="clear" w:color="auto" w:fill="000000" w:themeFill="text1"/>
                  <w:tcMar>
                    <w:left w:w="58" w:type="dxa"/>
                    <w:right w:w="58" w:type="dxa"/>
                  </w:tcMar>
                  <w:vAlign w:val="center"/>
                </w:tcPr>
                <w:p w14:paraId="7FA1E525" w14:textId="77777777" w:rsidR="0089171C" w:rsidRPr="005D4222" w:rsidRDefault="0089171C" w:rsidP="00A53E8C">
                  <w:pPr>
                    <w:pStyle w:val="TableHead"/>
                    <w:rPr>
                      <w:highlight w:val="black"/>
                    </w:rPr>
                  </w:pPr>
                  <w:r w:rsidRPr="005D4222">
                    <w:rPr>
                      <w:highlight w:val="black"/>
                    </w:rPr>
                    <w:t>Influenza</w:t>
                  </w:r>
                </w:p>
              </w:tc>
            </w:tr>
            <w:tr w:rsidR="0089171C" w:rsidRPr="005D4222" w14:paraId="165FF3A2" w14:textId="77777777" w:rsidTr="00A53E8C">
              <w:trPr>
                <w:trHeight w:val="362"/>
              </w:trPr>
              <w:tc>
                <w:tcPr>
                  <w:tcW w:w="1613" w:type="dxa"/>
                  <w:tcBorders>
                    <w:bottom w:val="single" w:sz="6" w:space="0" w:color="auto"/>
                  </w:tcBorders>
                  <w:tcMar>
                    <w:left w:w="58" w:type="dxa"/>
                    <w:right w:w="58" w:type="dxa"/>
                  </w:tcMar>
                  <w:vAlign w:val="center"/>
                </w:tcPr>
                <w:p w14:paraId="46CEED6A" w14:textId="77777777" w:rsidR="0089171C" w:rsidRPr="005D4222" w:rsidRDefault="0089171C" w:rsidP="00A53E8C">
                  <w:pPr>
                    <w:pStyle w:val="TableText"/>
                  </w:pPr>
                  <w:r w:rsidRPr="005D4222">
                    <w:t>Combination 3</w:t>
                  </w:r>
                </w:p>
              </w:tc>
              <w:tc>
                <w:tcPr>
                  <w:tcW w:w="720" w:type="dxa"/>
                  <w:tcBorders>
                    <w:bottom w:val="single" w:sz="6" w:space="0" w:color="auto"/>
                  </w:tcBorders>
                  <w:tcMar>
                    <w:left w:w="58" w:type="dxa"/>
                    <w:right w:w="58" w:type="dxa"/>
                  </w:tcMar>
                  <w:vAlign w:val="center"/>
                </w:tcPr>
                <w:p w14:paraId="0B76DDAB" w14:textId="77777777" w:rsidR="0089171C" w:rsidRPr="005D4222" w:rsidRDefault="0089171C" w:rsidP="00A53E8C">
                  <w:pPr>
                    <w:pStyle w:val="TableText"/>
                    <w:spacing w:before="40" w:after="40"/>
                    <w:jc w:val="center"/>
                    <w:rPr>
                      <w:sz w:val="24"/>
                      <w:szCs w:val="24"/>
                    </w:rPr>
                  </w:pPr>
                  <w:r w:rsidRPr="005D4222">
                    <w:rPr>
                      <w:rFonts w:ascii="Wingdings" w:eastAsia="Wingdings" w:hAnsi="Wingdings" w:cs="Wingdings"/>
                      <w:sz w:val="24"/>
                      <w:szCs w:val="24"/>
                    </w:rPr>
                    <w:t></w:t>
                  </w:r>
                </w:p>
              </w:tc>
              <w:tc>
                <w:tcPr>
                  <w:tcW w:w="450" w:type="dxa"/>
                  <w:tcBorders>
                    <w:bottom w:val="single" w:sz="6" w:space="0" w:color="auto"/>
                  </w:tcBorders>
                  <w:tcMar>
                    <w:left w:w="58" w:type="dxa"/>
                    <w:right w:w="58" w:type="dxa"/>
                  </w:tcMar>
                  <w:vAlign w:val="center"/>
                </w:tcPr>
                <w:p w14:paraId="6A22A61C" w14:textId="77777777" w:rsidR="0089171C" w:rsidRPr="005D4222" w:rsidRDefault="0089171C" w:rsidP="00A53E8C">
                  <w:pPr>
                    <w:pStyle w:val="TableText"/>
                    <w:spacing w:before="40" w:after="40"/>
                    <w:jc w:val="center"/>
                    <w:rPr>
                      <w:sz w:val="24"/>
                      <w:szCs w:val="24"/>
                    </w:rPr>
                  </w:pPr>
                  <w:r w:rsidRPr="005D4222">
                    <w:rPr>
                      <w:rFonts w:ascii="Wingdings" w:eastAsia="Wingdings" w:hAnsi="Wingdings" w:cs="Wingdings"/>
                      <w:sz w:val="24"/>
                      <w:szCs w:val="24"/>
                    </w:rPr>
                    <w:t></w:t>
                  </w:r>
                </w:p>
              </w:tc>
              <w:tc>
                <w:tcPr>
                  <w:tcW w:w="540" w:type="dxa"/>
                  <w:tcBorders>
                    <w:bottom w:val="single" w:sz="6" w:space="0" w:color="auto"/>
                  </w:tcBorders>
                  <w:tcMar>
                    <w:left w:w="58" w:type="dxa"/>
                    <w:right w:w="58" w:type="dxa"/>
                  </w:tcMar>
                  <w:vAlign w:val="center"/>
                </w:tcPr>
                <w:p w14:paraId="4E4B7AD4" w14:textId="77777777" w:rsidR="0089171C" w:rsidRPr="005D4222" w:rsidRDefault="0089171C" w:rsidP="00A53E8C">
                  <w:pPr>
                    <w:pStyle w:val="TableText"/>
                    <w:spacing w:before="40" w:after="40"/>
                    <w:jc w:val="center"/>
                    <w:rPr>
                      <w:sz w:val="24"/>
                      <w:szCs w:val="24"/>
                    </w:rPr>
                  </w:pPr>
                  <w:r w:rsidRPr="005D4222">
                    <w:rPr>
                      <w:rFonts w:ascii="Wingdings" w:eastAsia="Wingdings" w:hAnsi="Wingdings" w:cs="Wingdings"/>
                      <w:sz w:val="24"/>
                      <w:szCs w:val="24"/>
                    </w:rPr>
                    <w:t></w:t>
                  </w:r>
                </w:p>
              </w:tc>
              <w:tc>
                <w:tcPr>
                  <w:tcW w:w="450" w:type="dxa"/>
                  <w:tcBorders>
                    <w:bottom w:val="single" w:sz="6" w:space="0" w:color="auto"/>
                  </w:tcBorders>
                  <w:tcMar>
                    <w:left w:w="58" w:type="dxa"/>
                    <w:right w:w="58" w:type="dxa"/>
                  </w:tcMar>
                  <w:vAlign w:val="center"/>
                </w:tcPr>
                <w:p w14:paraId="40B3FE1E" w14:textId="77777777" w:rsidR="0089171C" w:rsidRPr="005D4222" w:rsidRDefault="0089171C" w:rsidP="00A53E8C">
                  <w:pPr>
                    <w:pStyle w:val="TableText"/>
                    <w:spacing w:before="40" w:after="40"/>
                    <w:jc w:val="center"/>
                    <w:rPr>
                      <w:sz w:val="24"/>
                      <w:szCs w:val="24"/>
                    </w:rPr>
                  </w:pPr>
                  <w:r w:rsidRPr="005D4222">
                    <w:rPr>
                      <w:rFonts w:ascii="Wingdings" w:eastAsia="Wingdings" w:hAnsi="Wingdings" w:cs="Wingdings"/>
                      <w:sz w:val="24"/>
                      <w:szCs w:val="24"/>
                    </w:rPr>
                    <w:t></w:t>
                  </w:r>
                </w:p>
              </w:tc>
              <w:tc>
                <w:tcPr>
                  <w:tcW w:w="630" w:type="dxa"/>
                  <w:tcBorders>
                    <w:bottom w:val="single" w:sz="6" w:space="0" w:color="auto"/>
                  </w:tcBorders>
                  <w:tcMar>
                    <w:left w:w="58" w:type="dxa"/>
                    <w:right w:w="58" w:type="dxa"/>
                  </w:tcMar>
                  <w:vAlign w:val="center"/>
                </w:tcPr>
                <w:p w14:paraId="54289C57" w14:textId="77777777" w:rsidR="0089171C" w:rsidRPr="005D4222" w:rsidRDefault="0089171C" w:rsidP="00A53E8C">
                  <w:pPr>
                    <w:pStyle w:val="TableText"/>
                    <w:spacing w:before="40" w:after="40"/>
                    <w:jc w:val="center"/>
                    <w:rPr>
                      <w:sz w:val="24"/>
                      <w:szCs w:val="24"/>
                    </w:rPr>
                  </w:pPr>
                  <w:r w:rsidRPr="005D4222">
                    <w:rPr>
                      <w:rFonts w:ascii="Wingdings" w:eastAsia="Wingdings" w:hAnsi="Wingdings" w:cs="Wingdings"/>
                      <w:sz w:val="24"/>
                      <w:szCs w:val="24"/>
                    </w:rPr>
                    <w:t></w:t>
                  </w:r>
                </w:p>
              </w:tc>
              <w:tc>
                <w:tcPr>
                  <w:tcW w:w="540" w:type="dxa"/>
                  <w:tcBorders>
                    <w:bottom w:val="single" w:sz="6" w:space="0" w:color="auto"/>
                  </w:tcBorders>
                  <w:tcMar>
                    <w:left w:w="58" w:type="dxa"/>
                    <w:right w:w="58" w:type="dxa"/>
                  </w:tcMar>
                  <w:vAlign w:val="center"/>
                </w:tcPr>
                <w:p w14:paraId="35028E79" w14:textId="77777777" w:rsidR="0089171C" w:rsidRPr="005D4222" w:rsidRDefault="0089171C" w:rsidP="00A53E8C">
                  <w:pPr>
                    <w:pStyle w:val="TableText"/>
                    <w:spacing w:before="40" w:after="40"/>
                    <w:jc w:val="center"/>
                    <w:rPr>
                      <w:sz w:val="24"/>
                      <w:szCs w:val="24"/>
                    </w:rPr>
                  </w:pPr>
                  <w:r w:rsidRPr="005D4222">
                    <w:rPr>
                      <w:rFonts w:ascii="Wingdings" w:eastAsia="Wingdings" w:hAnsi="Wingdings" w:cs="Wingdings"/>
                      <w:sz w:val="24"/>
                      <w:szCs w:val="24"/>
                    </w:rPr>
                    <w:t></w:t>
                  </w:r>
                </w:p>
              </w:tc>
              <w:tc>
                <w:tcPr>
                  <w:tcW w:w="540" w:type="dxa"/>
                  <w:tcBorders>
                    <w:bottom w:val="single" w:sz="6" w:space="0" w:color="auto"/>
                  </w:tcBorders>
                  <w:tcMar>
                    <w:left w:w="58" w:type="dxa"/>
                    <w:right w:w="58" w:type="dxa"/>
                  </w:tcMar>
                  <w:vAlign w:val="center"/>
                </w:tcPr>
                <w:p w14:paraId="3E207BC4" w14:textId="77777777" w:rsidR="0089171C" w:rsidRPr="005D4222" w:rsidRDefault="0089171C" w:rsidP="00A53E8C">
                  <w:pPr>
                    <w:pStyle w:val="TableText"/>
                    <w:spacing w:before="40" w:after="40"/>
                    <w:jc w:val="center"/>
                    <w:rPr>
                      <w:sz w:val="24"/>
                      <w:szCs w:val="24"/>
                    </w:rPr>
                  </w:pPr>
                  <w:r w:rsidRPr="005D4222">
                    <w:rPr>
                      <w:rFonts w:ascii="Wingdings" w:eastAsia="Wingdings" w:hAnsi="Wingdings" w:cs="Wingdings"/>
                      <w:sz w:val="24"/>
                      <w:szCs w:val="24"/>
                    </w:rPr>
                    <w:t></w:t>
                  </w:r>
                </w:p>
              </w:tc>
              <w:tc>
                <w:tcPr>
                  <w:tcW w:w="630" w:type="dxa"/>
                  <w:tcBorders>
                    <w:bottom w:val="single" w:sz="6" w:space="0" w:color="auto"/>
                  </w:tcBorders>
                  <w:tcMar>
                    <w:left w:w="58" w:type="dxa"/>
                    <w:right w:w="58" w:type="dxa"/>
                  </w:tcMar>
                  <w:vAlign w:val="center"/>
                </w:tcPr>
                <w:p w14:paraId="7F38F6CD" w14:textId="77777777" w:rsidR="0089171C" w:rsidRPr="005D4222" w:rsidRDefault="0089171C" w:rsidP="00A53E8C">
                  <w:pPr>
                    <w:spacing w:before="40" w:after="40" w:line="216" w:lineRule="auto"/>
                    <w:jc w:val="center"/>
                    <w:rPr>
                      <w:rFonts w:ascii="Arial Narrow" w:hAnsi="Arial Narrow"/>
                      <w:sz w:val="24"/>
                    </w:rPr>
                  </w:pPr>
                </w:p>
              </w:tc>
              <w:tc>
                <w:tcPr>
                  <w:tcW w:w="450" w:type="dxa"/>
                  <w:tcBorders>
                    <w:bottom w:val="single" w:sz="6" w:space="0" w:color="auto"/>
                  </w:tcBorders>
                  <w:tcMar>
                    <w:left w:w="58" w:type="dxa"/>
                    <w:right w:w="58" w:type="dxa"/>
                  </w:tcMar>
                  <w:vAlign w:val="center"/>
                </w:tcPr>
                <w:p w14:paraId="47610631" w14:textId="77777777" w:rsidR="0089171C" w:rsidRPr="005D4222" w:rsidRDefault="0089171C" w:rsidP="00A53E8C">
                  <w:pPr>
                    <w:spacing w:before="40" w:after="40" w:line="216" w:lineRule="auto"/>
                    <w:jc w:val="center"/>
                    <w:rPr>
                      <w:rFonts w:ascii="Arial Narrow" w:hAnsi="Arial Narrow"/>
                      <w:sz w:val="24"/>
                    </w:rPr>
                  </w:pPr>
                </w:p>
              </w:tc>
              <w:tc>
                <w:tcPr>
                  <w:tcW w:w="899" w:type="dxa"/>
                  <w:tcBorders>
                    <w:bottom w:val="single" w:sz="6" w:space="0" w:color="auto"/>
                  </w:tcBorders>
                  <w:tcMar>
                    <w:left w:w="58" w:type="dxa"/>
                    <w:right w:w="58" w:type="dxa"/>
                  </w:tcMar>
                  <w:vAlign w:val="center"/>
                </w:tcPr>
                <w:p w14:paraId="7037590B" w14:textId="77777777" w:rsidR="0089171C" w:rsidRPr="005D4222" w:rsidRDefault="0089171C" w:rsidP="00A53E8C">
                  <w:pPr>
                    <w:spacing w:before="40" w:after="40" w:line="216" w:lineRule="auto"/>
                    <w:jc w:val="center"/>
                    <w:rPr>
                      <w:rFonts w:ascii="Arial Narrow" w:hAnsi="Arial Narrow"/>
                    </w:rPr>
                  </w:pPr>
                </w:p>
              </w:tc>
            </w:tr>
            <w:tr w:rsidR="0089171C" w:rsidRPr="005D4222" w14:paraId="42EFE62F" w14:textId="77777777" w:rsidTr="00A53E8C">
              <w:trPr>
                <w:trHeight w:val="362"/>
              </w:trPr>
              <w:tc>
                <w:tcPr>
                  <w:tcW w:w="1613" w:type="dxa"/>
                  <w:tcBorders>
                    <w:bottom w:val="single" w:sz="6" w:space="0" w:color="auto"/>
                  </w:tcBorders>
                  <w:tcMar>
                    <w:left w:w="58" w:type="dxa"/>
                    <w:right w:w="58" w:type="dxa"/>
                  </w:tcMar>
                  <w:vAlign w:val="center"/>
                </w:tcPr>
                <w:p w14:paraId="7A125268" w14:textId="77777777" w:rsidR="0089171C" w:rsidRPr="005D4222" w:rsidRDefault="0089171C" w:rsidP="00A53E8C">
                  <w:pPr>
                    <w:pStyle w:val="TableText"/>
                  </w:pPr>
                  <w:r w:rsidRPr="005D4222">
                    <w:t>Combination 7</w:t>
                  </w:r>
                </w:p>
              </w:tc>
              <w:tc>
                <w:tcPr>
                  <w:tcW w:w="720" w:type="dxa"/>
                  <w:tcBorders>
                    <w:bottom w:val="single" w:sz="6" w:space="0" w:color="auto"/>
                  </w:tcBorders>
                  <w:tcMar>
                    <w:left w:w="58" w:type="dxa"/>
                    <w:right w:w="58" w:type="dxa"/>
                  </w:tcMar>
                  <w:vAlign w:val="center"/>
                </w:tcPr>
                <w:p w14:paraId="2BF067B4" w14:textId="77777777" w:rsidR="0089171C" w:rsidRPr="005D4222" w:rsidRDefault="0089171C" w:rsidP="00A53E8C">
                  <w:pPr>
                    <w:pStyle w:val="TableText"/>
                    <w:spacing w:before="40" w:after="40"/>
                    <w:jc w:val="center"/>
                    <w:rPr>
                      <w:sz w:val="24"/>
                      <w:szCs w:val="24"/>
                    </w:rPr>
                  </w:pPr>
                  <w:r w:rsidRPr="005D4222">
                    <w:rPr>
                      <w:rFonts w:ascii="Wingdings" w:eastAsia="Wingdings" w:hAnsi="Wingdings" w:cs="Wingdings"/>
                      <w:sz w:val="24"/>
                      <w:szCs w:val="24"/>
                    </w:rPr>
                    <w:t></w:t>
                  </w:r>
                </w:p>
              </w:tc>
              <w:tc>
                <w:tcPr>
                  <w:tcW w:w="450" w:type="dxa"/>
                  <w:tcBorders>
                    <w:bottom w:val="single" w:sz="6" w:space="0" w:color="auto"/>
                  </w:tcBorders>
                  <w:tcMar>
                    <w:left w:w="58" w:type="dxa"/>
                    <w:right w:w="58" w:type="dxa"/>
                  </w:tcMar>
                  <w:vAlign w:val="center"/>
                </w:tcPr>
                <w:p w14:paraId="40C72B0C" w14:textId="77777777" w:rsidR="0089171C" w:rsidRPr="005D4222" w:rsidRDefault="0089171C" w:rsidP="00A53E8C">
                  <w:pPr>
                    <w:pStyle w:val="TableText"/>
                    <w:spacing w:before="40" w:after="40"/>
                    <w:jc w:val="center"/>
                    <w:rPr>
                      <w:sz w:val="24"/>
                      <w:szCs w:val="24"/>
                    </w:rPr>
                  </w:pPr>
                  <w:r w:rsidRPr="005D4222">
                    <w:rPr>
                      <w:rFonts w:ascii="Wingdings" w:eastAsia="Wingdings" w:hAnsi="Wingdings" w:cs="Wingdings"/>
                      <w:sz w:val="24"/>
                      <w:szCs w:val="24"/>
                    </w:rPr>
                    <w:t></w:t>
                  </w:r>
                </w:p>
              </w:tc>
              <w:tc>
                <w:tcPr>
                  <w:tcW w:w="540" w:type="dxa"/>
                  <w:tcBorders>
                    <w:bottom w:val="single" w:sz="6" w:space="0" w:color="auto"/>
                  </w:tcBorders>
                  <w:tcMar>
                    <w:left w:w="58" w:type="dxa"/>
                    <w:right w:w="58" w:type="dxa"/>
                  </w:tcMar>
                  <w:vAlign w:val="center"/>
                </w:tcPr>
                <w:p w14:paraId="33CB5037" w14:textId="77777777" w:rsidR="0089171C" w:rsidRPr="005D4222" w:rsidRDefault="0089171C" w:rsidP="00A53E8C">
                  <w:pPr>
                    <w:pStyle w:val="TableText"/>
                    <w:spacing w:before="40" w:after="40"/>
                    <w:jc w:val="center"/>
                    <w:rPr>
                      <w:sz w:val="24"/>
                      <w:szCs w:val="24"/>
                    </w:rPr>
                  </w:pPr>
                  <w:r w:rsidRPr="005D4222">
                    <w:rPr>
                      <w:rFonts w:ascii="Wingdings" w:eastAsia="Wingdings" w:hAnsi="Wingdings" w:cs="Wingdings"/>
                      <w:sz w:val="24"/>
                      <w:szCs w:val="24"/>
                    </w:rPr>
                    <w:t></w:t>
                  </w:r>
                </w:p>
              </w:tc>
              <w:tc>
                <w:tcPr>
                  <w:tcW w:w="450" w:type="dxa"/>
                  <w:tcBorders>
                    <w:bottom w:val="single" w:sz="6" w:space="0" w:color="auto"/>
                  </w:tcBorders>
                  <w:tcMar>
                    <w:left w:w="58" w:type="dxa"/>
                    <w:right w:w="58" w:type="dxa"/>
                  </w:tcMar>
                  <w:vAlign w:val="center"/>
                </w:tcPr>
                <w:p w14:paraId="19D11431" w14:textId="77777777" w:rsidR="0089171C" w:rsidRPr="005D4222" w:rsidRDefault="0089171C" w:rsidP="00A53E8C">
                  <w:pPr>
                    <w:pStyle w:val="TableText"/>
                    <w:spacing w:before="40" w:after="40"/>
                    <w:jc w:val="center"/>
                    <w:rPr>
                      <w:sz w:val="24"/>
                      <w:szCs w:val="24"/>
                    </w:rPr>
                  </w:pPr>
                  <w:r w:rsidRPr="005D4222">
                    <w:rPr>
                      <w:rFonts w:ascii="Wingdings" w:eastAsia="Wingdings" w:hAnsi="Wingdings" w:cs="Wingdings"/>
                      <w:sz w:val="24"/>
                      <w:szCs w:val="24"/>
                    </w:rPr>
                    <w:t></w:t>
                  </w:r>
                </w:p>
              </w:tc>
              <w:tc>
                <w:tcPr>
                  <w:tcW w:w="630" w:type="dxa"/>
                  <w:tcBorders>
                    <w:bottom w:val="single" w:sz="6" w:space="0" w:color="auto"/>
                  </w:tcBorders>
                  <w:tcMar>
                    <w:left w:w="58" w:type="dxa"/>
                    <w:right w:w="58" w:type="dxa"/>
                  </w:tcMar>
                  <w:vAlign w:val="center"/>
                </w:tcPr>
                <w:p w14:paraId="050056D9" w14:textId="77777777" w:rsidR="0089171C" w:rsidRPr="005D4222" w:rsidRDefault="0089171C" w:rsidP="00A53E8C">
                  <w:pPr>
                    <w:pStyle w:val="TableText"/>
                    <w:spacing w:before="40" w:after="40"/>
                    <w:jc w:val="center"/>
                    <w:rPr>
                      <w:sz w:val="24"/>
                      <w:szCs w:val="24"/>
                    </w:rPr>
                  </w:pPr>
                  <w:r w:rsidRPr="005D4222">
                    <w:rPr>
                      <w:rFonts w:ascii="Wingdings" w:eastAsia="Wingdings" w:hAnsi="Wingdings" w:cs="Wingdings"/>
                      <w:sz w:val="24"/>
                      <w:szCs w:val="24"/>
                    </w:rPr>
                    <w:t></w:t>
                  </w:r>
                </w:p>
              </w:tc>
              <w:tc>
                <w:tcPr>
                  <w:tcW w:w="540" w:type="dxa"/>
                  <w:tcBorders>
                    <w:bottom w:val="single" w:sz="6" w:space="0" w:color="auto"/>
                  </w:tcBorders>
                  <w:tcMar>
                    <w:left w:w="58" w:type="dxa"/>
                    <w:right w:w="58" w:type="dxa"/>
                  </w:tcMar>
                  <w:vAlign w:val="center"/>
                </w:tcPr>
                <w:p w14:paraId="79107B66" w14:textId="77777777" w:rsidR="0089171C" w:rsidRPr="005D4222" w:rsidRDefault="0089171C" w:rsidP="00A53E8C">
                  <w:pPr>
                    <w:pStyle w:val="TableText"/>
                    <w:spacing w:before="40" w:after="40"/>
                    <w:jc w:val="center"/>
                    <w:rPr>
                      <w:sz w:val="24"/>
                      <w:szCs w:val="24"/>
                    </w:rPr>
                  </w:pPr>
                  <w:r w:rsidRPr="005D4222">
                    <w:rPr>
                      <w:rFonts w:ascii="Wingdings" w:eastAsia="Wingdings" w:hAnsi="Wingdings" w:cs="Wingdings"/>
                      <w:sz w:val="24"/>
                      <w:szCs w:val="24"/>
                    </w:rPr>
                    <w:t></w:t>
                  </w:r>
                </w:p>
              </w:tc>
              <w:tc>
                <w:tcPr>
                  <w:tcW w:w="540" w:type="dxa"/>
                  <w:tcBorders>
                    <w:bottom w:val="single" w:sz="6" w:space="0" w:color="auto"/>
                  </w:tcBorders>
                  <w:tcMar>
                    <w:left w:w="58" w:type="dxa"/>
                    <w:right w:w="58" w:type="dxa"/>
                  </w:tcMar>
                  <w:vAlign w:val="center"/>
                </w:tcPr>
                <w:p w14:paraId="085AFD95" w14:textId="77777777" w:rsidR="0089171C" w:rsidRPr="005D4222" w:rsidRDefault="0089171C" w:rsidP="00A53E8C">
                  <w:pPr>
                    <w:pStyle w:val="TableText"/>
                    <w:spacing w:before="40" w:after="40"/>
                    <w:jc w:val="center"/>
                    <w:rPr>
                      <w:sz w:val="24"/>
                      <w:szCs w:val="24"/>
                    </w:rPr>
                  </w:pPr>
                  <w:r w:rsidRPr="005D4222">
                    <w:rPr>
                      <w:rFonts w:ascii="Wingdings" w:eastAsia="Wingdings" w:hAnsi="Wingdings" w:cs="Wingdings"/>
                      <w:sz w:val="24"/>
                      <w:szCs w:val="24"/>
                    </w:rPr>
                    <w:t></w:t>
                  </w:r>
                </w:p>
              </w:tc>
              <w:tc>
                <w:tcPr>
                  <w:tcW w:w="630" w:type="dxa"/>
                  <w:tcBorders>
                    <w:bottom w:val="single" w:sz="6" w:space="0" w:color="auto"/>
                  </w:tcBorders>
                  <w:tcMar>
                    <w:left w:w="58" w:type="dxa"/>
                    <w:right w:w="58" w:type="dxa"/>
                  </w:tcMar>
                  <w:vAlign w:val="center"/>
                </w:tcPr>
                <w:p w14:paraId="25BEE49E" w14:textId="77777777" w:rsidR="0089171C" w:rsidRPr="005D4222" w:rsidRDefault="0089171C" w:rsidP="00A53E8C">
                  <w:pPr>
                    <w:spacing w:before="40" w:after="40" w:line="216" w:lineRule="auto"/>
                    <w:jc w:val="center"/>
                    <w:rPr>
                      <w:rFonts w:ascii="Arial Narrow" w:hAnsi="Arial Narrow"/>
                      <w:sz w:val="24"/>
                    </w:rPr>
                  </w:pPr>
                  <w:r w:rsidRPr="005D4222">
                    <w:rPr>
                      <w:rFonts w:ascii="Wingdings" w:eastAsia="Wingdings" w:hAnsi="Wingdings" w:cs="Wingdings"/>
                      <w:sz w:val="24"/>
                    </w:rPr>
                    <w:t></w:t>
                  </w:r>
                </w:p>
              </w:tc>
              <w:tc>
                <w:tcPr>
                  <w:tcW w:w="450" w:type="dxa"/>
                  <w:tcBorders>
                    <w:bottom w:val="single" w:sz="6" w:space="0" w:color="auto"/>
                  </w:tcBorders>
                  <w:tcMar>
                    <w:left w:w="58" w:type="dxa"/>
                    <w:right w:w="58" w:type="dxa"/>
                  </w:tcMar>
                  <w:vAlign w:val="center"/>
                </w:tcPr>
                <w:p w14:paraId="275550AD" w14:textId="77777777" w:rsidR="0089171C" w:rsidRPr="005D4222" w:rsidRDefault="0089171C" w:rsidP="00A53E8C">
                  <w:pPr>
                    <w:spacing w:before="40" w:after="40" w:line="216" w:lineRule="auto"/>
                    <w:jc w:val="center"/>
                    <w:rPr>
                      <w:rFonts w:ascii="Arial Narrow" w:hAnsi="Arial Narrow"/>
                      <w:sz w:val="24"/>
                    </w:rPr>
                  </w:pPr>
                  <w:r w:rsidRPr="005D4222">
                    <w:rPr>
                      <w:rFonts w:ascii="Wingdings" w:eastAsia="Wingdings" w:hAnsi="Wingdings" w:cs="Wingdings"/>
                      <w:sz w:val="24"/>
                    </w:rPr>
                    <w:t></w:t>
                  </w:r>
                </w:p>
              </w:tc>
              <w:tc>
                <w:tcPr>
                  <w:tcW w:w="899" w:type="dxa"/>
                  <w:tcBorders>
                    <w:bottom w:val="single" w:sz="6" w:space="0" w:color="auto"/>
                  </w:tcBorders>
                  <w:tcMar>
                    <w:left w:w="58" w:type="dxa"/>
                    <w:right w:w="58" w:type="dxa"/>
                  </w:tcMar>
                  <w:vAlign w:val="center"/>
                </w:tcPr>
                <w:p w14:paraId="0F04B712" w14:textId="77777777" w:rsidR="0089171C" w:rsidRPr="005D4222" w:rsidRDefault="0089171C" w:rsidP="00A53E8C">
                  <w:pPr>
                    <w:spacing w:before="40" w:after="40" w:line="216" w:lineRule="auto"/>
                    <w:jc w:val="center"/>
                    <w:rPr>
                      <w:rFonts w:ascii="Arial Narrow" w:hAnsi="Arial Narrow"/>
                      <w:sz w:val="24"/>
                    </w:rPr>
                  </w:pPr>
                </w:p>
              </w:tc>
            </w:tr>
            <w:tr w:rsidR="0089171C" w:rsidRPr="005D4222" w14:paraId="01EBCB05" w14:textId="77777777" w:rsidTr="00A53E8C">
              <w:trPr>
                <w:trHeight w:val="362"/>
              </w:trPr>
              <w:tc>
                <w:tcPr>
                  <w:tcW w:w="1613" w:type="dxa"/>
                  <w:tcMar>
                    <w:left w:w="58" w:type="dxa"/>
                    <w:right w:w="58" w:type="dxa"/>
                  </w:tcMar>
                  <w:vAlign w:val="center"/>
                </w:tcPr>
                <w:p w14:paraId="085E7F35" w14:textId="77777777" w:rsidR="0089171C" w:rsidRPr="005D4222" w:rsidRDefault="0089171C" w:rsidP="00A53E8C">
                  <w:pPr>
                    <w:pStyle w:val="TableText"/>
                  </w:pPr>
                  <w:r w:rsidRPr="005D4222">
                    <w:t>Combination 10</w:t>
                  </w:r>
                </w:p>
              </w:tc>
              <w:tc>
                <w:tcPr>
                  <w:tcW w:w="720" w:type="dxa"/>
                  <w:tcMar>
                    <w:left w:w="58" w:type="dxa"/>
                    <w:right w:w="58" w:type="dxa"/>
                  </w:tcMar>
                  <w:vAlign w:val="center"/>
                </w:tcPr>
                <w:p w14:paraId="2C42B779" w14:textId="77777777" w:rsidR="0089171C" w:rsidRPr="005D4222" w:rsidRDefault="0089171C" w:rsidP="00A53E8C">
                  <w:pPr>
                    <w:pStyle w:val="TableText"/>
                    <w:spacing w:before="40" w:after="40"/>
                    <w:jc w:val="center"/>
                    <w:rPr>
                      <w:sz w:val="24"/>
                      <w:szCs w:val="24"/>
                    </w:rPr>
                  </w:pPr>
                  <w:r w:rsidRPr="005D4222">
                    <w:rPr>
                      <w:rFonts w:ascii="Wingdings" w:eastAsia="Wingdings" w:hAnsi="Wingdings" w:cs="Wingdings"/>
                      <w:sz w:val="24"/>
                      <w:szCs w:val="24"/>
                    </w:rPr>
                    <w:t></w:t>
                  </w:r>
                </w:p>
              </w:tc>
              <w:tc>
                <w:tcPr>
                  <w:tcW w:w="450" w:type="dxa"/>
                  <w:tcMar>
                    <w:left w:w="58" w:type="dxa"/>
                    <w:right w:w="58" w:type="dxa"/>
                  </w:tcMar>
                  <w:vAlign w:val="center"/>
                </w:tcPr>
                <w:p w14:paraId="16855EAC" w14:textId="77777777" w:rsidR="0089171C" w:rsidRPr="005D4222" w:rsidRDefault="0089171C" w:rsidP="00A53E8C">
                  <w:pPr>
                    <w:pStyle w:val="TableText"/>
                    <w:spacing w:before="40" w:after="40"/>
                    <w:jc w:val="center"/>
                    <w:rPr>
                      <w:sz w:val="24"/>
                      <w:szCs w:val="24"/>
                    </w:rPr>
                  </w:pPr>
                  <w:r w:rsidRPr="005D4222">
                    <w:rPr>
                      <w:rFonts w:ascii="Wingdings" w:eastAsia="Wingdings" w:hAnsi="Wingdings" w:cs="Wingdings"/>
                      <w:sz w:val="24"/>
                      <w:szCs w:val="24"/>
                    </w:rPr>
                    <w:t></w:t>
                  </w:r>
                </w:p>
              </w:tc>
              <w:tc>
                <w:tcPr>
                  <w:tcW w:w="540" w:type="dxa"/>
                  <w:tcMar>
                    <w:left w:w="58" w:type="dxa"/>
                    <w:right w:w="58" w:type="dxa"/>
                  </w:tcMar>
                  <w:vAlign w:val="center"/>
                </w:tcPr>
                <w:p w14:paraId="158DAB6D" w14:textId="77777777" w:rsidR="0089171C" w:rsidRPr="005D4222" w:rsidRDefault="0089171C" w:rsidP="00A53E8C">
                  <w:pPr>
                    <w:pStyle w:val="TableText"/>
                    <w:spacing w:before="40" w:after="40"/>
                    <w:jc w:val="center"/>
                    <w:rPr>
                      <w:sz w:val="24"/>
                      <w:szCs w:val="24"/>
                    </w:rPr>
                  </w:pPr>
                  <w:r w:rsidRPr="005D4222">
                    <w:rPr>
                      <w:rFonts w:ascii="Wingdings" w:eastAsia="Wingdings" w:hAnsi="Wingdings" w:cs="Wingdings"/>
                      <w:sz w:val="24"/>
                      <w:szCs w:val="24"/>
                    </w:rPr>
                    <w:t></w:t>
                  </w:r>
                </w:p>
              </w:tc>
              <w:tc>
                <w:tcPr>
                  <w:tcW w:w="450" w:type="dxa"/>
                  <w:tcMar>
                    <w:left w:w="58" w:type="dxa"/>
                    <w:right w:w="58" w:type="dxa"/>
                  </w:tcMar>
                  <w:vAlign w:val="center"/>
                </w:tcPr>
                <w:p w14:paraId="76F63E40" w14:textId="77777777" w:rsidR="0089171C" w:rsidRPr="005D4222" w:rsidRDefault="0089171C" w:rsidP="00A53E8C">
                  <w:pPr>
                    <w:pStyle w:val="TableText"/>
                    <w:spacing w:before="40" w:after="40"/>
                    <w:jc w:val="center"/>
                    <w:rPr>
                      <w:sz w:val="24"/>
                      <w:szCs w:val="24"/>
                    </w:rPr>
                  </w:pPr>
                  <w:r w:rsidRPr="005D4222">
                    <w:rPr>
                      <w:rFonts w:ascii="Wingdings" w:eastAsia="Wingdings" w:hAnsi="Wingdings" w:cs="Wingdings"/>
                      <w:sz w:val="24"/>
                      <w:szCs w:val="24"/>
                    </w:rPr>
                    <w:t></w:t>
                  </w:r>
                </w:p>
              </w:tc>
              <w:tc>
                <w:tcPr>
                  <w:tcW w:w="630" w:type="dxa"/>
                  <w:tcMar>
                    <w:left w:w="58" w:type="dxa"/>
                    <w:right w:w="58" w:type="dxa"/>
                  </w:tcMar>
                  <w:vAlign w:val="center"/>
                </w:tcPr>
                <w:p w14:paraId="5FBF0C4B" w14:textId="77777777" w:rsidR="0089171C" w:rsidRPr="005D4222" w:rsidRDefault="0089171C" w:rsidP="00A53E8C">
                  <w:pPr>
                    <w:pStyle w:val="TableText"/>
                    <w:spacing w:before="40" w:after="40"/>
                    <w:jc w:val="center"/>
                    <w:rPr>
                      <w:sz w:val="24"/>
                      <w:szCs w:val="24"/>
                    </w:rPr>
                  </w:pPr>
                  <w:r w:rsidRPr="005D4222">
                    <w:rPr>
                      <w:rFonts w:ascii="Wingdings" w:eastAsia="Wingdings" w:hAnsi="Wingdings" w:cs="Wingdings"/>
                      <w:sz w:val="24"/>
                      <w:szCs w:val="24"/>
                    </w:rPr>
                    <w:t></w:t>
                  </w:r>
                </w:p>
              </w:tc>
              <w:tc>
                <w:tcPr>
                  <w:tcW w:w="540" w:type="dxa"/>
                  <w:tcMar>
                    <w:left w:w="58" w:type="dxa"/>
                    <w:right w:w="58" w:type="dxa"/>
                  </w:tcMar>
                  <w:vAlign w:val="center"/>
                </w:tcPr>
                <w:p w14:paraId="3F477A94" w14:textId="77777777" w:rsidR="0089171C" w:rsidRPr="005D4222" w:rsidRDefault="0089171C" w:rsidP="00A53E8C">
                  <w:pPr>
                    <w:pStyle w:val="TableText"/>
                    <w:spacing w:before="40" w:after="40"/>
                    <w:jc w:val="center"/>
                    <w:rPr>
                      <w:sz w:val="24"/>
                      <w:szCs w:val="24"/>
                    </w:rPr>
                  </w:pPr>
                  <w:r w:rsidRPr="005D4222">
                    <w:rPr>
                      <w:rFonts w:ascii="Wingdings" w:eastAsia="Wingdings" w:hAnsi="Wingdings" w:cs="Wingdings"/>
                      <w:sz w:val="24"/>
                      <w:szCs w:val="24"/>
                    </w:rPr>
                    <w:t></w:t>
                  </w:r>
                </w:p>
              </w:tc>
              <w:tc>
                <w:tcPr>
                  <w:tcW w:w="540" w:type="dxa"/>
                  <w:tcMar>
                    <w:left w:w="58" w:type="dxa"/>
                    <w:right w:w="58" w:type="dxa"/>
                  </w:tcMar>
                  <w:vAlign w:val="center"/>
                </w:tcPr>
                <w:p w14:paraId="343657BC" w14:textId="77777777" w:rsidR="0089171C" w:rsidRPr="005D4222" w:rsidRDefault="0089171C" w:rsidP="00A53E8C">
                  <w:pPr>
                    <w:pStyle w:val="TableText"/>
                    <w:spacing w:before="40" w:after="40"/>
                    <w:jc w:val="center"/>
                    <w:rPr>
                      <w:sz w:val="24"/>
                      <w:szCs w:val="24"/>
                    </w:rPr>
                  </w:pPr>
                  <w:r w:rsidRPr="005D4222">
                    <w:rPr>
                      <w:rFonts w:ascii="Wingdings" w:eastAsia="Wingdings" w:hAnsi="Wingdings" w:cs="Wingdings"/>
                      <w:sz w:val="24"/>
                      <w:szCs w:val="24"/>
                    </w:rPr>
                    <w:t></w:t>
                  </w:r>
                </w:p>
              </w:tc>
              <w:tc>
                <w:tcPr>
                  <w:tcW w:w="630" w:type="dxa"/>
                  <w:tcMar>
                    <w:left w:w="58" w:type="dxa"/>
                    <w:right w:w="58" w:type="dxa"/>
                  </w:tcMar>
                  <w:vAlign w:val="center"/>
                </w:tcPr>
                <w:p w14:paraId="23D08437" w14:textId="77777777" w:rsidR="0089171C" w:rsidRPr="005D4222" w:rsidRDefault="0089171C" w:rsidP="00A53E8C">
                  <w:pPr>
                    <w:spacing w:before="40" w:after="40" w:line="216" w:lineRule="auto"/>
                    <w:jc w:val="center"/>
                    <w:rPr>
                      <w:rFonts w:ascii="Arial Narrow" w:hAnsi="Arial Narrow"/>
                      <w:sz w:val="24"/>
                    </w:rPr>
                  </w:pPr>
                  <w:r w:rsidRPr="005D4222">
                    <w:rPr>
                      <w:rFonts w:ascii="Wingdings" w:eastAsia="Wingdings" w:hAnsi="Wingdings" w:cs="Wingdings"/>
                      <w:sz w:val="24"/>
                    </w:rPr>
                    <w:t></w:t>
                  </w:r>
                </w:p>
              </w:tc>
              <w:tc>
                <w:tcPr>
                  <w:tcW w:w="450" w:type="dxa"/>
                  <w:tcMar>
                    <w:left w:w="58" w:type="dxa"/>
                    <w:right w:w="58" w:type="dxa"/>
                  </w:tcMar>
                  <w:vAlign w:val="center"/>
                </w:tcPr>
                <w:p w14:paraId="116CFF4F" w14:textId="77777777" w:rsidR="0089171C" w:rsidRPr="005D4222" w:rsidRDefault="0089171C" w:rsidP="00A53E8C">
                  <w:pPr>
                    <w:spacing w:before="40" w:after="40" w:line="216" w:lineRule="auto"/>
                    <w:jc w:val="center"/>
                    <w:rPr>
                      <w:rFonts w:ascii="Arial Narrow" w:hAnsi="Arial Narrow"/>
                      <w:sz w:val="24"/>
                    </w:rPr>
                  </w:pPr>
                  <w:r w:rsidRPr="005D4222">
                    <w:rPr>
                      <w:rFonts w:ascii="Wingdings" w:eastAsia="Wingdings" w:hAnsi="Wingdings" w:cs="Wingdings"/>
                      <w:sz w:val="24"/>
                    </w:rPr>
                    <w:t></w:t>
                  </w:r>
                </w:p>
              </w:tc>
              <w:tc>
                <w:tcPr>
                  <w:tcW w:w="899" w:type="dxa"/>
                  <w:tcMar>
                    <w:left w:w="58" w:type="dxa"/>
                    <w:right w:w="58" w:type="dxa"/>
                  </w:tcMar>
                  <w:vAlign w:val="center"/>
                </w:tcPr>
                <w:p w14:paraId="1D8B3E90" w14:textId="77777777" w:rsidR="0089171C" w:rsidRPr="005D4222" w:rsidRDefault="0089171C" w:rsidP="00A53E8C">
                  <w:pPr>
                    <w:spacing w:before="40" w:after="40" w:line="216" w:lineRule="auto"/>
                    <w:jc w:val="center"/>
                    <w:rPr>
                      <w:rFonts w:ascii="Arial Narrow" w:hAnsi="Arial Narrow"/>
                      <w:sz w:val="24"/>
                    </w:rPr>
                  </w:pPr>
                  <w:r w:rsidRPr="005D4222">
                    <w:rPr>
                      <w:rFonts w:ascii="Wingdings" w:eastAsia="Wingdings" w:hAnsi="Wingdings" w:cs="Wingdings"/>
                      <w:sz w:val="24"/>
                    </w:rPr>
                    <w:t></w:t>
                  </w:r>
                </w:p>
              </w:tc>
            </w:tr>
          </w:tbl>
          <w:p w14:paraId="4DD834D7" w14:textId="77777777" w:rsidR="0089171C" w:rsidRPr="005D4222" w:rsidRDefault="0089171C" w:rsidP="00A53E8C">
            <w:pPr>
              <w:pStyle w:val="Body"/>
              <w:rPr>
                <w:rFonts w:cs="Arial"/>
              </w:rPr>
            </w:pPr>
          </w:p>
        </w:tc>
      </w:tr>
      <w:tr w:rsidR="0089171C" w:rsidRPr="005D4222" w14:paraId="7DF39C53" w14:textId="77777777" w:rsidTr="00A53E8C">
        <w:trPr>
          <w:trHeight w:val="320"/>
        </w:trPr>
        <w:tc>
          <w:tcPr>
            <w:tcW w:w="2157" w:type="dxa"/>
            <w:gridSpan w:val="2"/>
            <w:shd w:val="clear" w:color="auto" w:fill="BFBFBF" w:themeFill="background1" w:themeFillShade="BF"/>
            <w:tcMar>
              <w:top w:w="0" w:type="dxa"/>
              <w:left w:w="86" w:type="dxa"/>
              <w:bottom w:w="43" w:type="dxa"/>
              <w:right w:w="86" w:type="dxa"/>
            </w:tcMar>
          </w:tcPr>
          <w:p w14:paraId="3404900C" w14:textId="77777777" w:rsidR="0089171C" w:rsidRPr="005D4222" w:rsidRDefault="0089171C" w:rsidP="00A53E8C">
            <w:pPr>
              <w:pStyle w:val="ECDSMarginHead"/>
            </w:pPr>
            <w:r w:rsidRPr="005D4222">
              <w:t>Initial population</w:t>
            </w:r>
          </w:p>
        </w:tc>
        <w:tc>
          <w:tcPr>
            <w:tcW w:w="7561"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E16EE68" w14:textId="77777777" w:rsidR="0089171C" w:rsidRPr="005D4222" w:rsidRDefault="0089171C" w:rsidP="00A53E8C">
            <w:pPr>
              <w:pStyle w:val="ECDSBody"/>
            </w:pPr>
            <w:r w:rsidRPr="005D4222">
              <w:rPr>
                <w:i/>
                <w:iCs/>
              </w:rPr>
              <w:t>Measure item count:</w:t>
            </w:r>
            <w:r w:rsidRPr="005D4222">
              <w:t xml:space="preserve"> Person.</w:t>
            </w:r>
          </w:p>
          <w:p w14:paraId="40C4E1A6" w14:textId="77777777" w:rsidR="0089171C" w:rsidRPr="005D4222" w:rsidRDefault="0089171C" w:rsidP="00A53E8C">
            <w:pPr>
              <w:pStyle w:val="ECDSBody"/>
            </w:pPr>
            <w:r w:rsidRPr="005D4222">
              <w:rPr>
                <w:i/>
                <w:iCs/>
              </w:rPr>
              <w:t>Attribution basis:</w:t>
            </w:r>
            <w:r w:rsidRPr="005D4222">
              <w:t xml:space="preserve"> Enrollment.</w:t>
            </w:r>
          </w:p>
          <w:p w14:paraId="5C117D49" w14:textId="77777777" w:rsidR="0089171C" w:rsidRPr="005D4222" w:rsidRDefault="0089171C" w:rsidP="0089171C">
            <w:pPr>
              <w:pStyle w:val="Bullet"/>
              <w:numPr>
                <w:ilvl w:val="0"/>
                <w:numId w:val="4"/>
              </w:numPr>
              <w:tabs>
                <w:tab w:val="left" w:pos="360"/>
                <w:tab w:val="left" w:pos="576"/>
              </w:tabs>
              <w:ind w:left="576" w:hanging="216"/>
            </w:pPr>
            <w:r w:rsidRPr="005D4222">
              <w:rPr>
                <w:i/>
              </w:rPr>
              <w:t>Benefits:</w:t>
            </w:r>
            <w:r w:rsidRPr="005D4222">
              <w:t xml:space="preserve"> Medical.</w:t>
            </w:r>
          </w:p>
          <w:p w14:paraId="26004D83" w14:textId="74C65879" w:rsidR="0089171C" w:rsidRPr="005D4222" w:rsidRDefault="0089171C" w:rsidP="0089171C">
            <w:pPr>
              <w:pStyle w:val="Bullet"/>
              <w:numPr>
                <w:ilvl w:val="0"/>
                <w:numId w:val="4"/>
              </w:numPr>
              <w:tabs>
                <w:tab w:val="left" w:pos="360"/>
                <w:tab w:val="left" w:pos="576"/>
              </w:tabs>
              <w:ind w:left="576" w:hanging="216"/>
              <w:rPr>
                <w:rFonts w:cs="Arial"/>
              </w:rPr>
            </w:pPr>
            <w:r w:rsidRPr="005D4222">
              <w:rPr>
                <w:rFonts w:cs="Arial"/>
                <w:i/>
              </w:rPr>
              <w:t>Continuous enrollment:</w:t>
            </w:r>
            <w:r w:rsidRPr="005D4222">
              <w:rPr>
                <w:rFonts w:cs="Arial"/>
              </w:rPr>
              <w:t xml:space="preserve"> </w:t>
            </w:r>
            <w:r w:rsidRPr="005D4222">
              <w:t xml:space="preserve">365 days prior to the </w:t>
            </w:r>
            <w:r w:rsidR="0006480C" w:rsidRPr="005D4222">
              <w:t xml:space="preserve">person’s </w:t>
            </w:r>
            <w:r w:rsidRPr="005D4222">
              <w:t>second birthday and the second birthday.</w:t>
            </w:r>
          </w:p>
          <w:p w14:paraId="74AA54F5" w14:textId="77777777" w:rsidR="0089171C" w:rsidRPr="005D4222" w:rsidRDefault="0089171C" w:rsidP="0089171C">
            <w:pPr>
              <w:pStyle w:val="Bullet"/>
              <w:numPr>
                <w:ilvl w:val="0"/>
                <w:numId w:val="4"/>
              </w:numPr>
              <w:tabs>
                <w:tab w:val="left" w:pos="360"/>
                <w:tab w:val="left" w:pos="576"/>
              </w:tabs>
              <w:ind w:left="576" w:hanging="216"/>
              <w:rPr>
                <w:i/>
              </w:rPr>
            </w:pPr>
            <w:r w:rsidRPr="005D4222">
              <w:rPr>
                <w:i/>
              </w:rPr>
              <w:t xml:space="preserve">Allowable gap: </w:t>
            </w:r>
            <w:r w:rsidRPr="005D4222">
              <w:t>No more than one gap of ≤45 days during the continuous enrollment period. No gap on the second birthday.</w:t>
            </w:r>
          </w:p>
          <w:p w14:paraId="458A27F3" w14:textId="77777777" w:rsidR="0089171C" w:rsidRPr="005D4222" w:rsidRDefault="0089171C" w:rsidP="00A53E8C">
            <w:pPr>
              <w:pStyle w:val="ECDSBody"/>
            </w:pPr>
            <w:r w:rsidRPr="005D4222">
              <w:rPr>
                <w:i/>
              </w:rPr>
              <w:t>Ages:</w:t>
            </w:r>
            <w:r w:rsidRPr="005D4222">
              <w:t xml:space="preserve"> Persons who turn 2 years of age during the measurement period.</w:t>
            </w:r>
          </w:p>
          <w:p w14:paraId="602B7350" w14:textId="77777777" w:rsidR="0089171C" w:rsidRPr="005D4222" w:rsidRDefault="0089171C" w:rsidP="00A53E8C">
            <w:pPr>
              <w:pStyle w:val="ECDSBody"/>
            </w:pPr>
            <w:r w:rsidRPr="005D4222">
              <w:rPr>
                <w:i/>
              </w:rPr>
              <w:t>Event:</w:t>
            </w:r>
            <w:r w:rsidRPr="005D4222">
              <w:t xml:space="preserve"> None.</w:t>
            </w:r>
          </w:p>
        </w:tc>
      </w:tr>
    </w:tbl>
    <w:p w14:paraId="48B40BD7" w14:textId="77777777" w:rsidR="0091715B" w:rsidRPr="005D4222" w:rsidRDefault="0091715B">
      <w:r w:rsidRPr="005D4222">
        <w:br w:type="page"/>
      </w:r>
    </w:p>
    <w:tbl>
      <w:tblPr>
        <w:tblW w:w="5003"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61"/>
      </w:tblGrid>
      <w:tr w:rsidR="0091715B" w:rsidRPr="005D4222" w14:paraId="537114B9" w14:textId="77777777" w:rsidTr="0091715B">
        <w:tc>
          <w:tcPr>
            <w:tcW w:w="2157" w:type="dxa"/>
            <w:tcBorders>
              <w:top w:val="single" w:sz="2"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05C11B4F" w14:textId="77777777" w:rsidR="0091715B" w:rsidRPr="005D4222" w:rsidRDefault="0091715B" w:rsidP="00A53E8C">
            <w:pPr>
              <w:pStyle w:val="ECDSMarginHead"/>
              <w:rPr>
                <w:iCs/>
              </w:rPr>
            </w:pPr>
            <w:r w:rsidRPr="005D4222">
              <w:rPr>
                <w:iCs/>
              </w:rPr>
              <w:lastRenderedPageBreak/>
              <w:t xml:space="preserve">Denominator exclusions </w:t>
            </w:r>
          </w:p>
        </w:tc>
        <w:tc>
          <w:tcPr>
            <w:tcW w:w="7561" w:type="dxa"/>
            <w:tcBorders>
              <w:top w:val="single" w:sz="4" w:space="0" w:color="auto"/>
              <w:left w:val="single" w:sz="4" w:space="0" w:color="auto"/>
              <w:right w:val="single" w:sz="4" w:space="0" w:color="auto"/>
            </w:tcBorders>
            <w:tcMar>
              <w:top w:w="0" w:type="dxa"/>
              <w:left w:w="86" w:type="dxa"/>
              <w:bottom w:w="43" w:type="dxa"/>
              <w:right w:w="86" w:type="dxa"/>
            </w:tcMar>
          </w:tcPr>
          <w:p w14:paraId="2E6BF8D5" w14:textId="77777777" w:rsidR="0091715B" w:rsidRPr="005D4222" w:rsidRDefault="0091715B" w:rsidP="00A53E8C">
            <w:pPr>
              <w:pStyle w:val="ECDSBody"/>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w:t>
            </w:r>
          </w:p>
          <w:p w14:paraId="7F35C038" w14:textId="77777777" w:rsidR="0091715B" w:rsidRPr="005D4222" w:rsidRDefault="0091715B" w:rsidP="00A53E8C">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4C1C1110" w14:textId="77777777" w:rsidR="0091715B" w:rsidRPr="005D4222" w:rsidRDefault="0091715B" w:rsidP="00A53E8C">
            <w:pPr>
              <w:pStyle w:val="ECDSBody"/>
            </w:pPr>
            <w:r w:rsidRPr="005D4222">
              <w:rPr>
                <w:rFonts w:eastAsia="Arial,Arial,Arial,Arial,Arial,A"/>
                <w:b/>
              </w:rPr>
              <w:t xml:space="preserve">Contraindication to a childhood vaccine. </w:t>
            </w:r>
            <w:r w:rsidRPr="005D4222">
              <w:rPr>
                <w:b/>
              </w:rPr>
              <w:br/>
            </w:r>
            <w:r w:rsidRPr="005D4222">
              <w:t>Persons who had a contraindication to a childhood vaccine (</w:t>
            </w:r>
            <w:r w:rsidRPr="005D4222">
              <w:rPr>
                <w:u w:val="single"/>
              </w:rPr>
              <w:t>Contraindications to Childhood Vaccines Value Set</w:t>
            </w:r>
            <w:r w:rsidRPr="005D4222">
              <w:t xml:space="preserve">*; </w:t>
            </w:r>
            <w:r w:rsidRPr="005D4222">
              <w:rPr>
                <w:u w:val="single"/>
              </w:rPr>
              <w:t>Organ and Bone Marrow Transplants Value Set</w:t>
            </w:r>
            <w:r w:rsidRPr="005D4222">
              <w:t xml:space="preserve">) on or before their second birthday. </w:t>
            </w:r>
          </w:p>
          <w:p w14:paraId="6BC7823B" w14:textId="77777777" w:rsidR="0091715B" w:rsidRPr="005D4222" w:rsidRDefault="0091715B" w:rsidP="00A53E8C">
            <w:pPr>
              <w:pStyle w:val="ECDSBody"/>
              <w:spacing w:after="0"/>
              <w:rPr>
                <w:rFonts w:eastAsia="Arial,Arial,Arial,Arial,Arial,A"/>
                <w:b/>
              </w:rPr>
            </w:pPr>
            <w:r w:rsidRPr="005D4222">
              <w:rPr>
                <w:rFonts w:eastAsia="Arial,Arial,Arial,Arial,Arial,A"/>
                <w:b/>
              </w:rPr>
              <w:t>Coding Guidance</w:t>
            </w:r>
          </w:p>
          <w:p w14:paraId="5C41629D" w14:textId="5FDBEF18" w:rsidR="0091715B" w:rsidRPr="005D4222" w:rsidRDefault="0091715B" w:rsidP="00A53E8C">
            <w:pPr>
              <w:pStyle w:val="ECDSBody"/>
              <w:spacing w:before="0"/>
            </w:pPr>
            <w:r w:rsidRPr="005D4222">
              <w:rPr>
                <w:rFonts w:eastAsia="Arial,Arial,Arial,Arial,Arial,A"/>
              </w:rPr>
              <w:t>*Do not include laboratory claims (claims with POS code 81).</w:t>
            </w:r>
          </w:p>
        </w:tc>
      </w:tr>
      <w:tr w:rsidR="0089171C" w:rsidRPr="005D4222" w14:paraId="076E7E23" w14:textId="77777777" w:rsidTr="0091715B">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10ACD03" w14:textId="77777777" w:rsidR="0089171C" w:rsidRPr="005D4222" w:rsidRDefault="0089171C" w:rsidP="00A53E8C">
            <w:pPr>
              <w:pStyle w:val="ECDSMarginHead"/>
              <w:rPr>
                <w:i/>
              </w:rPr>
            </w:pPr>
            <w:r w:rsidRPr="005D4222">
              <w:t>Denominator</w:t>
            </w:r>
          </w:p>
        </w:tc>
        <w:tc>
          <w:tcPr>
            <w:tcW w:w="7561"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667CE9E" w14:textId="77777777" w:rsidR="0089171C" w:rsidRPr="005D4222" w:rsidRDefault="0089171C" w:rsidP="00A53E8C">
            <w:pPr>
              <w:pStyle w:val="ECDSBody"/>
              <w:rPr>
                <w:b/>
                <w:i/>
                <w:iCs/>
              </w:rPr>
            </w:pPr>
            <w:r w:rsidRPr="005D4222">
              <w:rPr>
                <w:rFonts w:eastAsia="Arial,Arial,Arial,Arial,Arial,A"/>
              </w:rPr>
              <w:t>The initial population minus denominator exclusions.</w:t>
            </w:r>
          </w:p>
        </w:tc>
      </w:tr>
      <w:tr w:rsidR="0089171C" w:rsidRPr="005D4222" w14:paraId="38FABADD" w14:textId="77777777" w:rsidTr="0091715B">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4E9A635" w14:textId="77777777" w:rsidR="0089171C" w:rsidRPr="005D4222" w:rsidRDefault="0089171C" w:rsidP="00A53E8C">
            <w:pPr>
              <w:pStyle w:val="ECDSMarginHead"/>
              <w:rPr>
                <w:iCs/>
              </w:rPr>
            </w:pPr>
            <w:r w:rsidRPr="005D4222">
              <w:rPr>
                <w:iCs/>
              </w:rPr>
              <w:t>Numerator</w:t>
            </w:r>
          </w:p>
        </w:tc>
        <w:tc>
          <w:tcPr>
            <w:tcW w:w="7561"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29A2084" w14:textId="77777777" w:rsidR="0089171C" w:rsidRPr="005D4222" w:rsidRDefault="0089171C" w:rsidP="00A53E8C">
            <w:pPr>
              <w:pStyle w:val="ECDSBody"/>
            </w:pPr>
            <w:r w:rsidRPr="005D4222">
              <w:rPr>
                <w:b/>
                <w:bCs w:val="0"/>
              </w:rPr>
              <w:t xml:space="preserve">Numerator 1: </w:t>
            </w:r>
            <w:r w:rsidRPr="005D4222">
              <w:rPr>
                <w:b/>
              </w:rPr>
              <w:t>Immunization status—</w:t>
            </w:r>
            <w:r w:rsidRPr="005D4222">
              <w:rPr>
                <w:b/>
                <w:bCs w:val="0"/>
              </w:rPr>
              <w:t xml:space="preserve">DTaP. </w:t>
            </w:r>
            <w:r w:rsidRPr="005D4222">
              <w:rPr>
                <w:b/>
                <w:bCs w:val="0"/>
              </w:rPr>
              <w:br/>
            </w:r>
            <w:r w:rsidRPr="005D4222">
              <w:t>Persons who meet any of the following criteria on or before the second birthday:</w:t>
            </w:r>
          </w:p>
          <w:p w14:paraId="6DDE1296" w14:textId="77777777" w:rsidR="0089171C" w:rsidRPr="005D4222" w:rsidRDefault="0089171C" w:rsidP="0089171C">
            <w:pPr>
              <w:pStyle w:val="Bullet"/>
              <w:numPr>
                <w:ilvl w:val="0"/>
                <w:numId w:val="4"/>
              </w:numPr>
              <w:tabs>
                <w:tab w:val="left" w:pos="360"/>
                <w:tab w:val="left" w:pos="576"/>
              </w:tabs>
              <w:ind w:left="576" w:hanging="216"/>
              <w:rPr>
                <w:kern w:val="20"/>
              </w:rPr>
            </w:pPr>
            <w:r w:rsidRPr="005D4222">
              <w:rPr>
                <w:kern w:val="20"/>
              </w:rPr>
              <w:t>At least four DTaP vaccinations (</w:t>
            </w:r>
            <w:r w:rsidRPr="005D4222">
              <w:rPr>
                <w:kern w:val="20"/>
                <w:u w:val="single"/>
              </w:rPr>
              <w:t>DTaP Immunization Value Set</w:t>
            </w:r>
            <w:r w:rsidRPr="005D4222">
              <w:rPr>
                <w:kern w:val="20"/>
              </w:rPr>
              <w:t xml:space="preserve">; </w:t>
            </w:r>
            <w:r w:rsidRPr="005D4222">
              <w:rPr>
                <w:kern w:val="20"/>
                <w:u w:val="single"/>
              </w:rPr>
              <w:t>DTaP Vaccine Procedure Value Set</w:t>
            </w:r>
            <w:r w:rsidRPr="005D4222">
              <w:rPr>
                <w:kern w:val="20"/>
              </w:rPr>
              <w:t>), with different dates of service. Do not count a vaccination administered prior to 42 days after birth.</w:t>
            </w:r>
          </w:p>
          <w:p w14:paraId="7B7BEBE4" w14:textId="77777777" w:rsidR="0089171C" w:rsidRPr="005D4222" w:rsidRDefault="0089171C" w:rsidP="0089171C">
            <w:pPr>
              <w:pStyle w:val="Bullet"/>
              <w:numPr>
                <w:ilvl w:val="0"/>
                <w:numId w:val="4"/>
              </w:numPr>
              <w:tabs>
                <w:tab w:val="left" w:pos="360"/>
                <w:tab w:val="left" w:pos="576"/>
              </w:tabs>
              <w:ind w:left="576" w:hanging="216"/>
              <w:rPr>
                <w:kern w:val="20"/>
              </w:rPr>
            </w:pPr>
            <w:r w:rsidRPr="005D4222">
              <w:rPr>
                <w:kern w:val="20"/>
              </w:rPr>
              <w:t>Anaphylaxis due to the diphtheria, tetanus or pertussis vaccine (</w:t>
            </w:r>
            <w:r w:rsidRPr="005D4222">
              <w:rPr>
                <w:kern w:val="20"/>
                <w:u w:val="single"/>
              </w:rPr>
              <w:t>Anaphylaxis Due to Diphtheria, Tetanus or Pertussis Vaccine Value Set</w:t>
            </w:r>
            <w:r w:rsidRPr="005D4222">
              <w:rPr>
                <w:kern w:val="20"/>
              </w:rPr>
              <w:t>).</w:t>
            </w:r>
          </w:p>
          <w:p w14:paraId="5C159438" w14:textId="77777777" w:rsidR="0089171C" w:rsidRPr="005D4222" w:rsidRDefault="0089171C" w:rsidP="0089171C">
            <w:pPr>
              <w:pStyle w:val="Bullet"/>
              <w:numPr>
                <w:ilvl w:val="0"/>
                <w:numId w:val="4"/>
              </w:numPr>
              <w:tabs>
                <w:tab w:val="left" w:pos="360"/>
                <w:tab w:val="left" w:pos="576"/>
              </w:tabs>
              <w:spacing w:after="240"/>
              <w:ind w:left="576" w:hanging="216"/>
              <w:rPr>
                <w:kern w:val="20"/>
              </w:rPr>
            </w:pPr>
            <w:r w:rsidRPr="005D4222">
              <w:rPr>
                <w:kern w:val="20"/>
              </w:rPr>
              <w:t>Encephalitis due to the diphtheria, tetanus or pertussis vaccine (</w:t>
            </w:r>
            <w:r w:rsidRPr="005D4222">
              <w:rPr>
                <w:kern w:val="20"/>
                <w:u w:val="single"/>
              </w:rPr>
              <w:t>Encephalitis Due to Diphtheria, Tetanus or Pertussis Vaccine Value Set</w:t>
            </w:r>
            <w:r w:rsidRPr="005D4222">
              <w:rPr>
                <w:kern w:val="20"/>
              </w:rPr>
              <w:t>).</w:t>
            </w:r>
          </w:p>
          <w:p w14:paraId="42E41511" w14:textId="77777777" w:rsidR="0089171C" w:rsidRPr="005D4222" w:rsidRDefault="0089171C" w:rsidP="00A53E8C">
            <w:pPr>
              <w:pStyle w:val="ECDSBody"/>
              <w:spacing w:before="0" w:after="0"/>
            </w:pPr>
            <w:r w:rsidRPr="005D4222">
              <w:rPr>
                <w:b/>
                <w:kern w:val="20"/>
              </w:rPr>
              <w:t xml:space="preserve">Numerator 2: </w:t>
            </w:r>
            <w:r w:rsidRPr="005D4222">
              <w:rPr>
                <w:b/>
              </w:rPr>
              <w:t>Immunization status—</w:t>
            </w:r>
            <w:r w:rsidRPr="005D4222">
              <w:rPr>
                <w:b/>
                <w:kern w:val="20"/>
              </w:rPr>
              <w:t xml:space="preserve">IPV. </w:t>
            </w:r>
            <w:r w:rsidRPr="005D4222">
              <w:rPr>
                <w:b/>
                <w:kern w:val="20"/>
              </w:rPr>
              <w:br/>
            </w:r>
            <w:r w:rsidRPr="005D4222">
              <w:t>Persons who meet either of the following criteria on or before the second birthday:</w:t>
            </w:r>
          </w:p>
          <w:p w14:paraId="4308F628" w14:textId="77777777" w:rsidR="0089171C" w:rsidRPr="005D4222" w:rsidRDefault="0089171C" w:rsidP="0089171C">
            <w:pPr>
              <w:pStyle w:val="Bullet"/>
              <w:numPr>
                <w:ilvl w:val="0"/>
                <w:numId w:val="4"/>
              </w:numPr>
              <w:tabs>
                <w:tab w:val="left" w:pos="360"/>
                <w:tab w:val="left" w:pos="576"/>
              </w:tabs>
              <w:ind w:left="576" w:hanging="216"/>
              <w:rPr>
                <w:kern w:val="20"/>
              </w:rPr>
            </w:pPr>
            <w:r w:rsidRPr="005D4222">
              <w:rPr>
                <w:kern w:val="20"/>
              </w:rPr>
              <w:t>At least three IPV vaccinations (</w:t>
            </w:r>
            <w:r w:rsidRPr="005D4222">
              <w:rPr>
                <w:kern w:val="20"/>
                <w:u w:val="single"/>
              </w:rPr>
              <w:t>Inactivated Polio Vaccine (IPV) Immunization Value Set</w:t>
            </w:r>
            <w:r w:rsidRPr="005D4222">
              <w:rPr>
                <w:kern w:val="20"/>
              </w:rPr>
              <w:t>; </w:t>
            </w:r>
            <w:r w:rsidRPr="005D4222">
              <w:rPr>
                <w:kern w:val="20"/>
                <w:u w:val="single"/>
              </w:rPr>
              <w:t>Inactivated Polio Vaccine (IPV) Procedure Value Set</w:t>
            </w:r>
            <w:r w:rsidRPr="005D4222">
              <w:rPr>
                <w:kern w:val="20"/>
              </w:rPr>
              <w:t>) with different dates of service. Do not count a vaccination administered prior to 42 days after birth.</w:t>
            </w:r>
          </w:p>
          <w:p w14:paraId="49D83339" w14:textId="77777777" w:rsidR="0089171C" w:rsidRPr="005D4222" w:rsidRDefault="0089171C" w:rsidP="0089171C">
            <w:pPr>
              <w:pStyle w:val="Bullet"/>
              <w:numPr>
                <w:ilvl w:val="0"/>
                <w:numId w:val="4"/>
              </w:numPr>
              <w:tabs>
                <w:tab w:val="left" w:pos="360"/>
                <w:tab w:val="left" w:pos="576"/>
              </w:tabs>
              <w:ind w:left="576" w:hanging="216"/>
              <w:rPr>
                <w:kern w:val="20"/>
              </w:rPr>
            </w:pPr>
            <w:r w:rsidRPr="005D4222">
              <w:rPr>
                <w:kern w:val="20"/>
              </w:rPr>
              <w:t>Anaphylaxis due to the IPV vaccine (SNOMED CT code 471321000124106).</w:t>
            </w:r>
          </w:p>
          <w:p w14:paraId="0631F19E" w14:textId="77777777" w:rsidR="0089171C" w:rsidRPr="005D4222" w:rsidRDefault="0089171C" w:rsidP="00A53E8C">
            <w:pPr>
              <w:pStyle w:val="ECDSBody"/>
              <w:spacing w:before="180" w:after="0"/>
            </w:pPr>
            <w:r w:rsidRPr="005D4222">
              <w:rPr>
                <w:b/>
                <w:bCs w:val="0"/>
              </w:rPr>
              <w:t xml:space="preserve">Numerator 3: </w:t>
            </w:r>
            <w:r w:rsidRPr="005D4222">
              <w:rPr>
                <w:b/>
              </w:rPr>
              <w:t>Immunization status—</w:t>
            </w:r>
            <w:r w:rsidRPr="005D4222">
              <w:rPr>
                <w:b/>
                <w:bCs w:val="0"/>
              </w:rPr>
              <w:t xml:space="preserve">MMR. </w:t>
            </w:r>
            <w:r w:rsidRPr="005D4222">
              <w:rPr>
                <w:b/>
                <w:bCs w:val="0"/>
              </w:rPr>
              <w:br/>
            </w:r>
            <w:r w:rsidRPr="005D4222">
              <w:t>Persons who meet any of the following criteria:</w:t>
            </w:r>
          </w:p>
          <w:p w14:paraId="450F010E" w14:textId="77777777" w:rsidR="0089171C" w:rsidRPr="005D4222" w:rsidRDefault="0089171C" w:rsidP="0089171C">
            <w:pPr>
              <w:pStyle w:val="Bullet"/>
              <w:numPr>
                <w:ilvl w:val="0"/>
                <w:numId w:val="4"/>
              </w:numPr>
              <w:tabs>
                <w:tab w:val="left" w:pos="360"/>
                <w:tab w:val="left" w:pos="576"/>
              </w:tabs>
              <w:ind w:left="576" w:hanging="216"/>
            </w:pPr>
            <w:r w:rsidRPr="005D4222">
              <w:t>At least one MMR vaccination (</w:t>
            </w:r>
            <w:r w:rsidRPr="005D4222">
              <w:rPr>
                <w:u w:val="single"/>
              </w:rPr>
              <w:t>Measles, Mumps and Rubella (MMR) Immunization Value Set</w:t>
            </w:r>
            <w:r w:rsidRPr="005D4222">
              <w:t xml:space="preserve">; </w:t>
            </w:r>
            <w:r w:rsidRPr="005D4222">
              <w:rPr>
                <w:u w:val="single"/>
              </w:rPr>
              <w:t>Measles, Mumps and Rubella (MMR) Vaccine Procedure Value Set</w:t>
            </w:r>
            <w:r w:rsidRPr="005D4222">
              <w:t>) on or between the first and second birthdays.</w:t>
            </w:r>
          </w:p>
          <w:p w14:paraId="6BA85AF0" w14:textId="77777777" w:rsidR="0089171C" w:rsidRPr="005D4222" w:rsidRDefault="0089171C" w:rsidP="0089171C">
            <w:pPr>
              <w:pStyle w:val="Bullet"/>
              <w:numPr>
                <w:ilvl w:val="0"/>
                <w:numId w:val="4"/>
              </w:numPr>
              <w:tabs>
                <w:tab w:val="left" w:pos="360"/>
                <w:tab w:val="left" w:pos="576"/>
              </w:tabs>
              <w:ind w:left="576" w:hanging="216"/>
            </w:pPr>
            <w:r w:rsidRPr="005D4222">
              <w:rPr>
                <w:kern w:val="20"/>
              </w:rPr>
              <w:t xml:space="preserve">All of the following any time on or before the second birthday (on the same or different date of service). </w:t>
            </w:r>
          </w:p>
          <w:p w14:paraId="25A7FF52" w14:textId="2A6DFEB1" w:rsidR="0091715B" w:rsidRPr="005D4222" w:rsidRDefault="0089171C" w:rsidP="009E7921">
            <w:pPr>
              <w:pStyle w:val="Dash"/>
              <w:tabs>
                <w:tab w:val="left" w:pos="576"/>
                <w:tab w:val="left" w:pos="792"/>
              </w:tabs>
              <w:spacing w:after="80"/>
              <w:rPr>
                <w:bCs/>
              </w:rPr>
            </w:pPr>
            <w:r w:rsidRPr="005D4222">
              <w:rPr>
                <w:kern w:val="20"/>
              </w:rPr>
              <w:t>History of measles illness (</w:t>
            </w:r>
            <w:r w:rsidRPr="005D4222">
              <w:rPr>
                <w:kern w:val="20"/>
                <w:u w:val="single"/>
              </w:rPr>
              <w:t xml:space="preserve">Measles </w:t>
            </w:r>
            <w:r w:rsidRPr="005D4222">
              <w:rPr>
                <w:u w:val="single"/>
              </w:rPr>
              <w:t xml:space="preserve">and History of Measles </w:t>
            </w:r>
            <w:r w:rsidRPr="005D4222">
              <w:rPr>
                <w:kern w:val="20"/>
                <w:u w:val="single"/>
              </w:rPr>
              <w:t>Value Set</w:t>
            </w:r>
            <w:r w:rsidRPr="005D4222">
              <w:rPr>
                <w:kern w:val="20"/>
              </w:rPr>
              <w:t>*).</w:t>
            </w:r>
          </w:p>
        </w:tc>
      </w:tr>
      <w:tr w:rsidR="0089171C" w:rsidRPr="005D4222" w14:paraId="03009E10" w14:textId="77777777" w:rsidTr="0091715B">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5DF9478" w14:textId="77777777" w:rsidR="0089171C" w:rsidRPr="005D4222" w:rsidRDefault="0089171C" w:rsidP="00A53E8C">
            <w:pPr>
              <w:pStyle w:val="ECDSMarginHead"/>
              <w:rPr>
                <w:iCs/>
              </w:rPr>
            </w:pP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34968E2" w14:textId="77777777" w:rsidR="0091715B" w:rsidRPr="005D4222" w:rsidRDefault="0091715B" w:rsidP="009E7921">
            <w:pPr>
              <w:pStyle w:val="Dash"/>
              <w:tabs>
                <w:tab w:val="left" w:pos="576"/>
                <w:tab w:val="left" w:pos="792"/>
              </w:tabs>
              <w:spacing w:before="120"/>
              <w:rPr>
                <w:kern w:val="20"/>
              </w:rPr>
            </w:pPr>
            <w:r w:rsidRPr="005D4222">
              <w:rPr>
                <w:kern w:val="20"/>
              </w:rPr>
              <w:t>History of mumps illness (</w:t>
            </w:r>
            <w:r w:rsidRPr="005D4222">
              <w:rPr>
                <w:kern w:val="20"/>
                <w:u w:val="single"/>
              </w:rPr>
              <w:t>Mumps and History of Mumps Value Set</w:t>
            </w:r>
            <w:r w:rsidRPr="005D4222">
              <w:rPr>
                <w:kern w:val="20"/>
              </w:rPr>
              <w:t>*).</w:t>
            </w:r>
          </w:p>
          <w:p w14:paraId="12498E54" w14:textId="77777777" w:rsidR="0091715B" w:rsidRPr="005D4222" w:rsidRDefault="0091715B" w:rsidP="0091715B">
            <w:pPr>
              <w:pStyle w:val="Dash"/>
              <w:tabs>
                <w:tab w:val="left" w:pos="576"/>
                <w:tab w:val="left" w:pos="792"/>
              </w:tabs>
              <w:rPr>
                <w:kern w:val="20"/>
              </w:rPr>
            </w:pPr>
            <w:r w:rsidRPr="005D4222">
              <w:rPr>
                <w:kern w:val="20"/>
              </w:rPr>
              <w:t>History of rubella illness (</w:t>
            </w:r>
            <w:r w:rsidRPr="005D4222">
              <w:rPr>
                <w:kern w:val="20"/>
                <w:u w:val="single"/>
              </w:rPr>
              <w:t>Rubella and History of Rubella Value Set</w:t>
            </w:r>
            <w:r w:rsidRPr="005D4222">
              <w:rPr>
                <w:kern w:val="20"/>
              </w:rPr>
              <w:t>*).</w:t>
            </w:r>
          </w:p>
          <w:p w14:paraId="2AE5F965" w14:textId="77777777" w:rsidR="0091715B" w:rsidRPr="005D4222" w:rsidRDefault="0091715B" w:rsidP="0091715B">
            <w:pPr>
              <w:pStyle w:val="Bullet"/>
              <w:numPr>
                <w:ilvl w:val="0"/>
                <w:numId w:val="4"/>
              </w:numPr>
              <w:tabs>
                <w:tab w:val="left" w:pos="360"/>
                <w:tab w:val="left" w:pos="576"/>
              </w:tabs>
              <w:spacing w:after="80"/>
              <w:ind w:left="576" w:hanging="216"/>
              <w:rPr>
                <w:bCs/>
              </w:rPr>
            </w:pPr>
            <w:r w:rsidRPr="005D4222">
              <w:rPr>
                <w:kern w:val="20"/>
              </w:rPr>
              <w:t>Anaphylaxis due to the MMR vaccine (SNOMED CT code 471331000124109) on or before the second birthday.</w:t>
            </w:r>
          </w:p>
          <w:p w14:paraId="6D4F6D73" w14:textId="77777777" w:rsidR="0089171C" w:rsidRPr="005D4222" w:rsidRDefault="0089171C" w:rsidP="00A53E8C">
            <w:pPr>
              <w:pStyle w:val="ECDSBody"/>
              <w:spacing w:after="0"/>
              <w:rPr>
                <w:b/>
                <w:bCs w:val="0"/>
              </w:rPr>
            </w:pPr>
            <w:r w:rsidRPr="005D4222">
              <w:rPr>
                <w:b/>
                <w:bCs w:val="0"/>
              </w:rPr>
              <w:t xml:space="preserve">Numerator 4: </w:t>
            </w:r>
            <w:r w:rsidRPr="005D4222">
              <w:rPr>
                <w:b/>
              </w:rPr>
              <w:t>Immunization status—</w:t>
            </w:r>
            <w:r w:rsidRPr="005D4222">
              <w:rPr>
                <w:b/>
                <w:bCs w:val="0"/>
              </w:rPr>
              <w:t xml:space="preserve">HiB. </w:t>
            </w:r>
          </w:p>
          <w:p w14:paraId="1B26B4EA" w14:textId="77777777" w:rsidR="0089171C" w:rsidRPr="005D4222" w:rsidRDefault="0089171C" w:rsidP="00A53E8C">
            <w:pPr>
              <w:pStyle w:val="ECDSBody"/>
              <w:spacing w:before="0"/>
              <w:rPr>
                <w:rFonts w:eastAsia="Arial,Arial,Arial,Arial,Arial,A"/>
              </w:rPr>
            </w:pPr>
            <w:r w:rsidRPr="005D4222">
              <w:rPr>
                <w:rFonts w:eastAsia="Arial,Arial,Arial,Arial,Arial,A"/>
              </w:rPr>
              <w:t xml:space="preserve">Persons who meet either of the following criteria on or before the second birthday: </w:t>
            </w:r>
          </w:p>
          <w:p w14:paraId="36F72A48" w14:textId="77777777" w:rsidR="0089171C" w:rsidRPr="005D4222" w:rsidRDefault="0089171C" w:rsidP="0089171C">
            <w:pPr>
              <w:pStyle w:val="Bullet"/>
              <w:numPr>
                <w:ilvl w:val="0"/>
                <w:numId w:val="4"/>
              </w:numPr>
              <w:tabs>
                <w:tab w:val="left" w:pos="360"/>
                <w:tab w:val="left" w:pos="576"/>
              </w:tabs>
              <w:spacing w:after="80"/>
              <w:ind w:left="576" w:hanging="216"/>
              <w:rPr>
                <w:bCs/>
              </w:rPr>
            </w:pPr>
            <w:r w:rsidRPr="005D4222">
              <w:rPr>
                <w:kern w:val="20"/>
              </w:rPr>
              <w:t>At least three HiB vaccinations (</w:t>
            </w:r>
            <w:r w:rsidRPr="005D4222">
              <w:rPr>
                <w:kern w:val="20"/>
                <w:u w:val="single"/>
              </w:rPr>
              <w:t>Haemophilus Influenzae Type B (HiB) Immunization Value Set</w:t>
            </w:r>
            <w:r w:rsidRPr="005D4222">
              <w:rPr>
                <w:kern w:val="20"/>
              </w:rPr>
              <w:t xml:space="preserve">; </w:t>
            </w:r>
            <w:r w:rsidRPr="005D4222">
              <w:rPr>
                <w:kern w:val="20"/>
                <w:u w:val="single"/>
              </w:rPr>
              <w:t>Haemophilus Influenzae Type B (HiB) Vaccine Procedure Value Set</w:t>
            </w:r>
            <w:r w:rsidRPr="005D4222">
              <w:rPr>
                <w:kern w:val="20"/>
              </w:rPr>
              <w:t>), with different dates of service. Do not count a vaccination administered prior to 42 days after birth.</w:t>
            </w:r>
          </w:p>
          <w:p w14:paraId="431DEB9D" w14:textId="77777777" w:rsidR="0089171C" w:rsidRPr="005D4222" w:rsidRDefault="0089171C" w:rsidP="0089171C">
            <w:pPr>
              <w:pStyle w:val="Bullet"/>
              <w:numPr>
                <w:ilvl w:val="0"/>
                <w:numId w:val="4"/>
              </w:numPr>
              <w:tabs>
                <w:tab w:val="left" w:pos="360"/>
                <w:tab w:val="left" w:pos="576"/>
              </w:tabs>
              <w:spacing w:after="80"/>
              <w:ind w:left="576" w:hanging="216"/>
              <w:rPr>
                <w:bCs/>
              </w:rPr>
            </w:pPr>
            <w:r w:rsidRPr="005D4222">
              <w:rPr>
                <w:kern w:val="20"/>
              </w:rPr>
              <w:t>Anaphylaxis due to the HiB vaccine (SNOMED CT code 433621000124101).</w:t>
            </w:r>
          </w:p>
          <w:p w14:paraId="6DE4CF9B" w14:textId="77777777" w:rsidR="0089171C" w:rsidRPr="005D4222" w:rsidRDefault="0089171C" w:rsidP="00A53E8C">
            <w:pPr>
              <w:pStyle w:val="ECDSBody"/>
              <w:spacing w:after="0"/>
            </w:pPr>
            <w:r w:rsidRPr="005D4222">
              <w:rPr>
                <w:b/>
                <w:bCs w:val="0"/>
              </w:rPr>
              <w:t xml:space="preserve">Numerator 5: </w:t>
            </w:r>
            <w:r w:rsidRPr="005D4222">
              <w:rPr>
                <w:b/>
              </w:rPr>
              <w:t>Immunization status—</w:t>
            </w:r>
            <w:r w:rsidRPr="005D4222">
              <w:rPr>
                <w:b/>
                <w:bCs w:val="0"/>
              </w:rPr>
              <w:t xml:space="preserve">Hepatitis B. </w:t>
            </w:r>
            <w:r w:rsidRPr="005D4222">
              <w:rPr>
                <w:b/>
                <w:bCs w:val="0"/>
              </w:rPr>
              <w:br/>
            </w:r>
            <w:r w:rsidRPr="005D4222">
              <w:t>Persons who meet any of the following criteria on or before the second birthday:</w:t>
            </w:r>
          </w:p>
          <w:p w14:paraId="7DFD6AE3" w14:textId="77777777" w:rsidR="0089171C" w:rsidRPr="005D4222" w:rsidRDefault="0089171C" w:rsidP="0089171C">
            <w:pPr>
              <w:pStyle w:val="Bullet"/>
              <w:numPr>
                <w:ilvl w:val="0"/>
                <w:numId w:val="4"/>
              </w:numPr>
              <w:tabs>
                <w:tab w:val="left" w:pos="360"/>
                <w:tab w:val="left" w:pos="576"/>
              </w:tabs>
              <w:ind w:left="576" w:hanging="216"/>
              <w:rPr>
                <w:kern w:val="20"/>
              </w:rPr>
            </w:pPr>
            <w:r w:rsidRPr="005D4222">
              <w:rPr>
                <w:kern w:val="20"/>
              </w:rPr>
              <w:t>At least three hepatitis B vaccinations (</w:t>
            </w:r>
            <w:r w:rsidRPr="005D4222">
              <w:rPr>
                <w:kern w:val="20"/>
                <w:u w:val="single"/>
              </w:rPr>
              <w:t>Hepatitis B Immunization Value Set</w:t>
            </w:r>
            <w:r w:rsidRPr="005D4222">
              <w:rPr>
                <w:kern w:val="20"/>
              </w:rPr>
              <w:t xml:space="preserve">; </w:t>
            </w:r>
            <w:r w:rsidRPr="005D4222">
              <w:rPr>
                <w:kern w:val="20"/>
                <w:u w:val="single"/>
              </w:rPr>
              <w:t>Hepatitis B Vaccine Procedure Value Set</w:t>
            </w:r>
            <w:r w:rsidRPr="005D4222">
              <w:rPr>
                <w:kern w:val="20"/>
              </w:rPr>
              <w:t>), with different dates of service.</w:t>
            </w:r>
          </w:p>
          <w:p w14:paraId="7DFA70C9" w14:textId="77777777" w:rsidR="0089171C" w:rsidRPr="005D4222" w:rsidRDefault="0089171C" w:rsidP="0089171C">
            <w:pPr>
              <w:pStyle w:val="Dash"/>
              <w:tabs>
                <w:tab w:val="left" w:pos="576"/>
                <w:tab w:val="left" w:pos="792"/>
              </w:tabs>
              <w:rPr>
                <w:kern w:val="20"/>
              </w:rPr>
            </w:pPr>
            <w:r w:rsidRPr="005D4222">
              <w:rPr>
                <w:kern w:val="20"/>
              </w:rPr>
              <w:t>One of the three vaccinations may be a newborn hepatitis B vaccination (</w:t>
            </w:r>
            <w:r w:rsidRPr="005D4222">
              <w:t>ICD-10-PCS code 3E0234Z</w:t>
            </w:r>
            <w:r w:rsidRPr="005D4222">
              <w:rPr>
                <w:kern w:val="20"/>
              </w:rPr>
              <w:t xml:space="preserve">) during the 8-day period that begins on the date of birth and ends 7 days after the date of birth. </w:t>
            </w:r>
          </w:p>
          <w:p w14:paraId="0BC5C5A2" w14:textId="77777777" w:rsidR="0089171C" w:rsidRPr="005D4222" w:rsidRDefault="0089171C" w:rsidP="005D6173">
            <w:pPr>
              <w:pStyle w:val="Dash"/>
              <w:numPr>
                <w:ilvl w:val="0"/>
                <w:numId w:val="141"/>
              </w:numPr>
              <w:tabs>
                <w:tab w:val="left" w:pos="576"/>
                <w:tab w:val="left" w:pos="792"/>
              </w:tabs>
            </w:pPr>
            <w:r w:rsidRPr="005D4222">
              <w:rPr>
                <w:kern w:val="20"/>
              </w:rPr>
              <w:t>History of hepatitis B illness (</w:t>
            </w:r>
            <w:r w:rsidRPr="005D4222">
              <w:rPr>
                <w:kern w:val="20"/>
                <w:u w:val="single"/>
              </w:rPr>
              <w:t>Hepatitis B and History of Hepatitis B Value Set</w:t>
            </w:r>
            <w:r w:rsidRPr="005D4222">
              <w:rPr>
                <w:kern w:val="20"/>
              </w:rPr>
              <w:t>*).</w:t>
            </w:r>
          </w:p>
          <w:p w14:paraId="3D3BA002" w14:textId="77777777" w:rsidR="0089171C" w:rsidRPr="005D4222" w:rsidRDefault="0089171C" w:rsidP="0089171C">
            <w:pPr>
              <w:pStyle w:val="Bullet"/>
              <w:numPr>
                <w:ilvl w:val="0"/>
                <w:numId w:val="4"/>
              </w:numPr>
              <w:tabs>
                <w:tab w:val="left" w:pos="360"/>
                <w:tab w:val="left" w:pos="576"/>
              </w:tabs>
              <w:ind w:left="576" w:hanging="216"/>
              <w:rPr>
                <w:kern w:val="20"/>
              </w:rPr>
            </w:pPr>
            <w:r w:rsidRPr="005D4222">
              <w:rPr>
                <w:kern w:val="20"/>
              </w:rPr>
              <w:t>Anaphylaxis due to the hepatitis B vaccine (SNOMED CT code 428321000124101).</w:t>
            </w:r>
          </w:p>
          <w:p w14:paraId="3376437F" w14:textId="77777777" w:rsidR="0089171C" w:rsidRPr="005D4222" w:rsidRDefault="0089171C" w:rsidP="00A53E8C">
            <w:pPr>
              <w:pStyle w:val="ECDSBody"/>
              <w:spacing w:before="180" w:after="0"/>
              <w:rPr>
                <w:rFonts w:eastAsia="Arial,Arial,Arial,Arial,Arial,A"/>
              </w:rPr>
            </w:pPr>
            <w:r w:rsidRPr="005D4222">
              <w:rPr>
                <w:b/>
                <w:bCs w:val="0"/>
              </w:rPr>
              <w:t xml:space="preserve">Numerator 6: </w:t>
            </w:r>
            <w:r w:rsidRPr="005D4222">
              <w:rPr>
                <w:b/>
              </w:rPr>
              <w:t>Immunization status—</w:t>
            </w:r>
            <w:r w:rsidRPr="005D4222">
              <w:rPr>
                <w:b/>
                <w:bCs w:val="0"/>
              </w:rPr>
              <w:t xml:space="preserve">VZV. </w:t>
            </w:r>
            <w:r w:rsidRPr="005D4222">
              <w:rPr>
                <w:b/>
                <w:bCs w:val="0"/>
              </w:rPr>
              <w:br/>
            </w:r>
            <w:r w:rsidRPr="005D4222">
              <w:rPr>
                <w:rFonts w:eastAsia="Arial,Arial,Arial,Arial,Arial,A"/>
              </w:rPr>
              <w:t>Persons who meet any of the following criteria:</w:t>
            </w:r>
          </w:p>
          <w:p w14:paraId="5B081FA6" w14:textId="77777777" w:rsidR="0089171C" w:rsidRPr="005D4222" w:rsidRDefault="0089171C" w:rsidP="0089171C">
            <w:pPr>
              <w:pStyle w:val="Bullet"/>
              <w:numPr>
                <w:ilvl w:val="0"/>
                <w:numId w:val="4"/>
              </w:numPr>
              <w:tabs>
                <w:tab w:val="left" w:pos="360"/>
                <w:tab w:val="left" w:pos="576"/>
              </w:tabs>
              <w:ind w:left="576" w:hanging="216"/>
              <w:rPr>
                <w:kern w:val="20"/>
              </w:rPr>
            </w:pPr>
            <w:r w:rsidRPr="005D4222">
              <w:rPr>
                <w:kern w:val="20"/>
              </w:rPr>
              <w:t>At least one VZV vaccination (</w:t>
            </w:r>
            <w:r w:rsidRPr="005D4222">
              <w:rPr>
                <w:kern w:val="20"/>
                <w:u w:val="single"/>
              </w:rPr>
              <w:t>Varicella Zoster (VZV) Immunization Value Set</w:t>
            </w:r>
            <w:r w:rsidRPr="005D4222">
              <w:rPr>
                <w:kern w:val="20"/>
              </w:rPr>
              <w:t xml:space="preserve">; </w:t>
            </w:r>
            <w:r w:rsidRPr="005D4222">
              <w:rPr>
                <w:kern w:val="20"/>
                <w:u w:val="single"/>
              </w:rPr>
              <w:t>Varicella Zoster (VZV) Vaccine Procedure Value Set</w:t>
            </w:r>
            <w:r w:rsidRPr="005D4222">
              <w:rPr>
                <w:kern w:val="20"/>
              </w:rPr>
              <w:t>) with a date of service on or between the first and second birthdays.</w:t>
            </w:r>
          </w:p>
          <w:p w14:paraId="61B30C34" w14:textId="77777777" w:rsidR="0089171C" w:rsidRPr="005D4222" w:rsidRDefault="0089171C" w:rsidP="0089171C">
            <w:pPr>
              <w:pStyle w:val="Bullet"/>
              <w:numPr>
                <w:ilvl w:val="0"/>
                <w:numId w:val="4"/>
              </w:numPr>
              <w:tabs>
                <w:tab w:val="left" w:pos="360"/>
                <w:tab w:val="left" w:pos="576"/>
              </w:tabs>
              <w:ind w:left="576" w:hanging="216"/>
              <w:rPr>
                <w:kern w:val="20"/>
              </w:rPr>
            </w:pPr>
            <w:r w:rsidRPr="005D4222">
              <w:rPr>
                <w:kern w:val="20"/>
              </w:rPr>
              <w:t>History of varicella zoster (e.g., chicken pox) illness (</w:t>
            </w:r>
            <w:r w:rsidRPr="005D4222">
              <w:rPr>
                <w:kern w:val="20"/>
                <w:u w:val="single"/>
              </w:rPr>
              <w:t>Varicella Zoster and History of Varicella Zoster Value Set</w:t>
            </w:r>
            <w:r w:rsidRPr="005D4222">
              <w:rPr>
                <w:kern w:val="20"/>
              </w:rPr>
              <w:t xml:space="preserve">*) on or before the second birthday. </w:t>
            </w:r>
          </w:p>
          <w:p w14:paraId="2CE80C1F" w14:textId="77777777" w:rsidR="0089171C" w:rsidRPr="005D4222" w:rsidRDefault="0089171C" w:rsidP="0089171C">
            <w:pPr>
              <w:pStyle w:val="Bullet"/>
              <w:numPr>
                <w:ilvl w:val="0"/>
                <w:numId w:val="4"/>
              </w:numPr>
              <w:tabs>
                <w:tab w:val="left" w:pos="360"/>
                <w:tab w:val="left" w:pos="576"/>
              </w:tabs>
              <w:ind w:left="576" w:hanging="216"/>
              <w:rPr>
                <w:kern w:val="20"/>
              </w:rPr>
            </w:pPr>
            <w:r w:rsidRPr="005D4222">
              <w:rPr>
                <w:kern w:val="20"/>
              </w:rPr>
              <w:t>Anaphylaxis due to the VZV vaccine (SNOMED CT code 471341000124104) on or before the second birthday.</w:t>
            </w:r>
          </w:p>
          <w:p w14:paraId="5D25C3F2" w14:textId="77777777" w:rsidR="0089171C" w:rsidRPr="005D4222" w:rsidRDefault="0089171C" w:rsidP="00A53E8C">
            <w:pPr>
              <w:pStyle w:val="ECDSBody"/>
              <w:spacing w:before="180"/>
              <w:rPr>
                <w:rFonts w:eastAsia="Arial,Arial,Arial,Arial,Arial,A"/>
                <w:color w:val="000000" w:themeColor="text1"/>
              </w:rPr>
            </w:pPr>
            <w:r w:rsidRPr="005D4222">
              <w:rPr>
                <w:b/>
                <w:bCs w:val="0"/>
              </w:rPr>
              <w:t xml:space="preserve">Numerator 7: </w:t>
            </w:r>
            <w:r w:rsidRPr="005D4222">
              <w:rPr>
                <w:b/>
              </w:rPr>
              <w:t>Immunization status—</w:t>
            </w:r>
            <w:r w:rsidRPr="005D4222">
              <w:rPr>
                <w:b/>
                <w:bCs w:val="0"/>
              </w:rPr>
              <w:t xml:space="preserve">Pneumococcal conjugate. </w:t>
            </w:r>
            <w:r w:rsidRPr="005D4222">
              <w:rPr>
                <w:b/>
                <w:bCs w:val="0"/>
              </w:rPr>
              <w:br/>
            </w:r>
            <w:r w:rsidRPr="005D4222">
              <w:rPr>
                <w:rFonts w:eastAsia="Arial,Arial,Arial,Arial,Arial,A"/>
                <w:color w:val="000000" w:themeColor="text1"/>
              </w:rPr>
              <w:t xml:space="preserve">Persons who meet either of the following criteria on or before the second birthday: </w:t>
            </w:r>
          </w:p>
          <w:p w14:paraId="0CDB0E15" w14:textId="77777777" w:rsidR="0089171C" w:rsidRPr="005D4222" w:rsidRDefault="0089171C" w:rsidP="0089171C">
            <w:pPr>
              <w:pStyle w:val="Bullet"/>
              <w:numPr>
                <w:ilvl w:val="0"/>
                <w:numId w:val="4"/>
              </w:numPr>
              <w:tabs>
                <w:tab w:val="left" w:pos="360"/>
                <w:tab w:val="left" w:pos="576"/>
              </w:tabs>
              <w:spacing w:after="80"/>
              <w:ind w:left="576" w:hanging="216"/>
              <w:rPr>
                <w:kern w:val="20"/>
              </w:rPr>
            </w:pPr>
            <w:r w:rsidRPr="005D4222">
              <w:rPr>
                <w:kern w:val="20"/>
              </w:rPr>
              <w:t>At least four pneumococcal conjugate vaccinations (</w:t>
            </w:r>
            <w:r w:rsidRPr="005D4222">
              <w:rPr>
                <w:kern w:val="20"/>
                <w:u w:val="single"/>
              </w:rPr>
              <w:t>Pneumococcal Conjugate Immunization Value Set</w:t>
            </w:r>
            <w:r w:rsidRPr="005D4222">
              <w:rPr>
                <w:kern w:val="20"/>
              </w:rPr>
              <w:t xml:space="preserve">; </w:t>
            </w:r>
            <w:r w:rsidRPr="005D4222">
              <w:rPr>
                <w:kern w:val="20"/>
                <w:u w:val="single"/>
              </w:rPr>
              <w:t>Pneumococcal Conjugate Vaccine Procedure Value Set</w:t>
            </w:r>
            <w:r w:rsidRPr="005D4222">
              <w:rPr>
                <w:kern w:val="20"/>
              </w:rPr>
              <w:t>) with different dates of service. Do not count a vaccination administered prior to 42 days after birth.</w:t>
            </w:r>
          </w:p>
          <w:p w14:paraId="088C21FD" w14:textId="3C787C9A" w:rsidR="009E7921" w:rsidRPr="005D4222" w:rsidRDefault="0089171C" w:rsidP="009E7921">
            <w:pPr>
              <w:pStyle w:val="Bullet"/>
              <w:numPr>
                <w:ilvl w:val="0"/>
                <w:numId w:val="4"/>
              </w:numPr>
              <w:tabs>
                <w:tab w:val="left" w:pos="360"/>
                <w:tab w:val="left" w:pos="576"/>
              </w:tabs>
              <w:spacing w:after="80"/>
              <w:ind w:left="576" w:hanging="216"/>
            </w:pPr>
            <w:r w:rsidRPr="005D4222">
              <w:rPr>
                <w:kern w:val="20"/>
              </w:rPr>
              <w:t>Anaphylaxis due to the pneumococcal vaccine (SNOMED CT code 471141000124102).</w:t>
            </w:r>
          </w:p>
        </w:tc>
      </w:tr>
      <w:tr w:rsidR="0089171C" w:rsidRPr="005D4222" w14:paraId="0B947DCC" w14:textId="77777777" w:rsidTr="0091715B">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9BC734D" w14:textId="77777777" w:rsidR="0089171C" w:rsidRPr="005D4222" w:rsidRDefault="0089171C" w:rsidP="00A53E8C">
            <w:pPr>
              <w:pStyle w:val="ECDSMarginHead"/>
              <w:rPr>
                <w:iCs/>
              </w:rPr>
            </w:pP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50B255E" w14:textId="77777777" w:rsidR="009E7921" w:rsidRPr="005D4222" w:rsidRDefault="009E7921" w:rsidP="009E7921">
            <w:pPr>
              <w:pStyle w:val="ECDSBody"/>
              <w:rPr>
                <w:rFonts w:eastAsia="Arial,Arial,Arial,Arial,Arial,A"/>
              </w:rPr>
            </w:pPr>
            <w:r w:rsidRPr="005D4222">
              <w:rPr>
                <w:b/>
                <w:bCs w:val="0"/>
              </w:rPr>
              <w:t xml:space="preserve">Numerator 8: </w:t>
            </w:r>
            <w:r w:rsidRPr="005D4222">
              <w:rPr>
                <w:b/>
              </w:rPr>
              <w:t>Immunization status—</w:t>
            </w:r>
            <w:r w:rsidRPr="005D4222">
              <w:rPr>
                <w:b/>
                <w:bCs w:val="0"/>
              </w:rPr>
              <w:t xml:space="preserve">Hepatitis A. </w:t>
            </w:r>
            <w:r w:rsidRPr="005D4222">
              <w:rPr>
                <w:b/>
                <w:bCs w:val="0"/>
              </w:rPr>
              <w:br/>
            </w:r>
            <w:r w:rsidRPr="005D4222">
              <w:rPr>
                <w:rFonts w:eastAsia="Arial,Arial,Arial,Arial,Arial,A"/>
              </w:rPr>
              <w:t>Persons who meet any of the following criteria:</w:t>
            </w:r>
          </w:p>
          <w:p w14:paraId="27A557EC" w14:textId="77777777" w:rsidR="009E7921" w:rsidRPr="005D4222" w:rsidRDefault="009E7921" w:rsidP="009E7921">
            <w:pPr>
              <w:pStyle w:val="Bullet"/>
              <w:numPr>
                <w:ilvl w:val="0"/>
                <w:numId w:val="4"/>
              </w:numPr>
              <w:tabs>
                <w:tab w:val="left" w:pos="360"/>
                <w:tab w:val="left" w:pos="576"/>
              </w:tabs>
              <w:spacing w:after="80"/>
              <w:ind w:left="576" w:hanging="216"/>
            </w:pPr>
            <w:r w:rsidRPr="005D4222">
              <w:rPr>
                <w:kern w:val="20"/>
              </w:rPr>
              <w:t>At least one hepatitis A vaccination (</w:t>
            </w:r>
            <w:r w:rsidRPr="005D4222">
              <w:rPr>
                <w:kern w:val="20"/>
                <w:u w:val="single"/>
              </w:rPr>
              <w:t>Hepatitis A Immunization Value Set</w:t>
            </w:r>
            <w:r w:rsidRPr="005D4222">
              <w:rPr>
                <w:kern w:val="20"/>
              </w:rPr>
              <w:t>; CPT code 90633), with a date of service on or between the first and second birthdays.</w:t>
            </w:r>
          </w:p>
          <w:p w14:paraId="0D2ACB3C" w14:textId="77777777" w:rsidR="009E7921" w:rsidRPr="005D4222" w:rsidRDefault="009E7921" w:rsidP="009E7921">
            <w:pPr>
              <w:pStyle w:val="Bullet"/>
              <w:numPr>
                <w:ilvl w:val="0"/>
                <w:numId w:val="4"/>
              </w:numPr>
              <w:tabs>
                <w:tab w:val="left" w:pos="360"/>
                <w:tab w:val="left" w:pos="576"/>
              </w:tabs>
              <w:spacing w:after="80"/>
              <w:ind w:left="576" w:hanging="216"/>
            </w:pPr>
            <w:r w:rsidRPr="005D4222">
              <w:rPr>
                <w:kern w:val="20"/>
              </w:rPr>
              <w:t>History of hepatitis A illness (</w:t>
            </w:r>
            <w:r w:rsidRPr="005D4222">
              <w:rPr>
                <w:kern w:val="20"/>
                <w:u w:val="single"/>
              </w:rPr>
              <w:t>Hepatitis A and History of Hepatitis A Value Set</w:t>
            </w:r>
            <w:r w:rsidRPr="005D4222">
              <w:rPr>
                <w:kern w:val="20"/>
              </w:rPr>
              <w:t xml:space="preserve">*) on or before the second birthday. </w:t>
            </w:r>
          </w:p>
          <w:p w14:paraId="5DA0203F" w14:textId="77777777" w:rsidR="0089171C" w:rsidRPr="005D4222" w:rsidRDefault="0089171C" w:rsidP="0089171C">
            <w:pPr>
              <w:pStyle w:val="Bullet"/>
              <w:numPr>
                <w:ilvl w:val="0"/>
                <w:numId w:val="4"/>
              </w:numPr>
              <w:tabs>
                <w:tab w:val="left" w:pos="360"/>
                <w:tab w:val="left" w:pos="576"/>
              </w:tabs>
              <w:spacing w:after="80"/>
              <w:ind w:left="576" w:hanging="216"/>
            </w:pPr>
            <w:r w:rsidRPr="005D4222">
              <w:rPr>
                <w:kern w:val="20"/>
              </w:rPr>
              <w:t>Anaphylaxis due to the hepatitis A vaccine (SNOMED CT code 471311000124103) on or before the second birthday.</w:t>
            </w:r>
          </w:p>
          <w:p w14:paraId="63020878" w14:textId="77777777" w:rsidR="0089171C" w:rsidRPr="005D4222" w:rsidRDefault="0089171C" w:rsidP="00A53E8C">
            <w:pPr>
              <w:pStyle w:val="ECDSBody"/>
              <w:rPr>
                <w:rFonts w:eastAsia="Arial,Arial,Arial,Arial,Arial,A"/>
              </w:rPr>
            </w:pPr>
            <w:r w:rsidRPr="005D4222">
              <w:rPr>
                <w:b/>
                <w:bCs w:val="0"/>
              </w:rPr>
              <w:t xml:space="preserve">Numerator 9: </w:t>
            </w:r>
            <w:r w:rsidRPr="005D4222">
              <w:rPr>
                <w:b/>
              </w:rPr>
              <w:t>Immunization status—</w:t>
            </w:r>
            <w:r w:rsidRPr="005D4222">
              <w:rPr>
                <w:b/>
                <w:bCs w:val="0"/>
              </w:rPr>
              <w:t xml:space="preserve">Rotavirus. </w:t>
            </w:r>
            <w:r w:rsidRPr="005D4222">
              <w:rPr>
                <w:b/>
                <w:bCs w:val="0"/>
              </w:rPr>
              <w:br/>
            </w:r>
            <w:r w:rsidRPr="005D4222">
              <w:rPr>
                <w:rFonts w:eastAsia="Arial,Arial,Arial,Arial,Arial,A"/>
              </w:rPr>
              <w:t xml:space="preserve">Persons who meet any of the following criteria: </w:t>
            </w:r>
          </w:p>
          <w:p w14:paraId="600BDFE6" w14:textId="77777777" w:rsidR="0089171C" w:rsidRPr="005D4222" w:rsidRDefault="0089171C" w:rsidP="0089171C">
            <w:pPr>
              <w:pStyle w:val="Bullet"/>
              <w:numPr>
                <w:ilvl w:val="0"/>
                <w:numId w:val="4"/>
              </w:numPr>
              <w:tabs>
                <w:tab w:val="left" w:pos="360"/>
                <w:tab w:val="left" w:pos="576"/>
              </w:tabs>
              <w:spacing w:after="80"/>
              <w:ind w:left="576" w:hanging="216"/>
            </w:pPr>
            <w:r w:rsidRPr="005D4222">
              <w:rPr>
                <w:kern w:val="20"/>
              </w:rPr>
              <w:t>At least two doses of the two-dose rotavirus vaccine (CVX code 119; CPT code 90681) on different dates of service on or before the second birthday. Do not count a vaccination administered prior to 42 days after birth.</w:t>
            </w:r>
          </w:p>
          <w:p w14:paraId="42996182" w14:textId="77777777" w:rsidR="0089171C" w:rsidRPr="005D4222" w:rsidRDefault="0089171C" w:rsidP="0089171C">
            <w:pPr>
              <w:pStyle w:val="Bullet"/>
              <w:numPr>
                <w:ilvl w:val="0"/>
                <w:numId w:val="4"/>
              </w:numPr>
              <w:tabs>
                <w:tab w:val="left" w:pos="360"/>
                <w:tab w:val="left" w:pos="576"/>
              </w:tabs>
              <w:ind w:left="576" w:hanging="216"/>
              <w:rPr>
                <w:kern w:val="20"/>
              </w:rPr>
            </w:pPr>
            <w:r w:rsidRPr="005D4222">
              <w:rPr>
                <w:kern w:val="20"/>
              </w:rPr>
              <w:t>At least three doses of the three-dose rotavirus vaccine (</w:t>
            </w:r>
            <w:r w:rsidRPr="005D4222">
              <w:rPr>
                <w:kern w:val="20"/>
                <w:u w:val="single"/>
              </w:rPr>
              <w:t>Rotavirus (3 Dose Schedule) Immunization Value Set</w:t>
            </w:r>
            <w:r w:rsidRPr="005D4222">
              <w:rPr>
                <w:kern w:val="20"/>
              </w:rPr>
              <w:t>; CPT code 90680) on different dates of service on or before the second birthday. Do not count a vaccination administered prior to 42 days after birth.</w:t>
            </w:r>
          </w:p>
          <w:p w14:paraId="113E81BC" w14:textId="77777777" w:rsidR="0089171C" w:rsidRPr="005D4222" w:rsidRDefault="0089171C" w:rsidP="0089171C">
            <w:pPr>
              <w:pStyle w:val="Bullet"/>
              <w:numPr>
                <w:ilvl w:val="0"/>
                <w:numId w:val="4"/>
              </w:numPr>
              <w:tabs>
                <w:tab w:val="left" w:pos="360"/>
                <w:tab w:val="left" w:pos="576"/>
              </w:tabs>
              <w:ind w:left="576" w:hanging="216"/>
            </w:pPr>
            <w:r w:rsidRPr="005D4222">
              <w:t>At least one dose of the two-dose rotavirus vaccine (CVX code 119; CPT code 90681) and at least two doses of the three-dose rotavirus vaccine (</w:t>
            </w:r>
            <w:r w:rsidRPr="005D4222">
              <w:rPr>
                <w:u w:val="single"/>
              </w:rPr>
              <w:t>Rotavirus (3 Dose Schedule) Immunization Value Set</w:t>
            </w:r>
            <w:r w:rsidRPr="005D4222">
              <w:t>; CPT code 90680), all on different dates of service, on or before the second birthday. Do not count a vaccination administered prior to 42 days after birth.</w:t>
            </w:r>
          </w:p>
          <w:p w14:paraId="2603C40B" w14:textId="77777777" w:rsidR="0089171C" w:rsidRPr="005D4222" w:rsidRDefault="0089171C" w:rsidP="0089171C">
            <w:pPr>
              <w:pStyle w:val="Bullet"/>
              <w:numPr>
                <w:ilvl w:val="0"/>
                <w:numId w:val="4"/>
              </w:numPr>
              <w:tabs>
                <w:tab w:val="left" w:pos="360"/>
                <w:tab w:val="left" w:pos="576"/>
              </w:tabs>
              <w:ind w:left="576" w:hanging="216"/>
              <w:rPr>
                <w:kern w:val="20"/>
              </w:rPr>
            </w:pPr>
            <w:r w:rsidRPr="005D4222">
              <w:rPr>
                <w:kern w:val="20"/>
              </w:rPr>
              <w:t>Anaphylaxis due to the rotavirus vaccine (SNOMED CT code 428331000124103) on or before the second birthday.</w:t>
            </w:r>
          </w:p>
          <w:p w14:paraId="79849D0E" w14:textId="77777777" w:rsidR="0089171C" w:rsidRPr="005D4222" w:rsidRDefault="0089171C" w:rsidP="00A53E8C">
            <w:pPr>
              <w:pStyle w:val="ECDSBody"/>
              <w:spacing w:before="180" w:after="0"/>
              <w:rPr>
                <w:rFonts w:eastAsia="Arial,Arial,Arial,Arial,Arial,A"/>
              </w:rPr>
            </w:pPr>
            <w:r w:rsidRPr="005D4222">
              <w:rPr>
                <w:b/>
                <w:bCs w:val="0"/>
              </w:rPr>
              <w:t xml:space="preserve">Numerator 10: </w:t>
            </w:r>
            <w:r w:rsidRPr="005D4222">
              <w:rPr>
                <w:b/>
              </w:rPr>
              <w:t>Immunization status—</w:t>
            </w:r>
            <w:r w:rsidRPr="005D4222">
              <w:rPr>
                <w:b/>
                <w:bCs w:val="0"/>
              </w:rPr>
              <w:t xml:space="preserve">Influenza. </w:t>
            </w:r>
            <w:r w:rsidRPr="005D4222">
              <w:rPr>
                <w:b/>
                <w:bCs w:val="0"/>
              </w:rPr>
              <w:br/>
            </w:r>
            <w:r w:rsidRPr="005D4222">
              <w:rPr>
                <w:rFonts w:eastAsia="Arial,Arial,Arial,Arial,Arial,A"/>
              </w:rPr>
              <w:t xml:space="preserve">Persons who meet either of the following criteria on or before the second birthday: </w:t>
            </w:r>
          </w:p>
          <w:p w14:paraId="6F8A11BA" w14:textId="77777777" w:rsidR="0089171C" w:rsidRPr="005D4222" w:rsidRDefault="0089171C" w:rsidP="0089171C">
            <w:pPr>
              <w:pStyle w:val="Bullet"/>
              <w:numPr>
                <w:ilvl w:val="0"/>
                <w:numId w:val="4"/>
              </w:numPr>
              <w:tabs>
                <w:tab w:val="left" w:pos="360"/>
                <w:tab w:val="left" w:pos="576"/>
              </w:tabs>
              <w:spacing w:after="80"/>
              <w:ind w:left="576" w:hanging="216"/>
              <w:rPr>
                <w:kern w:val="20"/>
              </w:rPr>
            </w:pPr>
            <w:r w:rsidRPr="005D4222">
              <w:rPr>
                <w:kern w:val="20"/>
              </w:rPr>
              <w:t>At least two influenza vaccinations (</w:t>
            </w:r>
            <w:r w:rsidRPr="005D4222">
              <w:rPr>
                <w:kern w:val="20"/>
                <w:u w:val="single"/>
              </w:rPr>
              <w:t>Influenza Immunization Value Set</w:t>
            </w:r>
            <w:r w:rsidRPr="005D4222">
              <w:rPr>
                <w:kern w:val="20"/>
              </w:rPr>
              <w:t xml:space="preserve">; </w:t>
            </w:r>
            <w:r w:rsidRPr="005D4222">
              <w:rPr>
                <w:kern w:val="20"/>
                <w:u w:val="single"/>
              </w:rPr>
              <w:t>Influenza Vaccine Procedure Value Set</w:t>
            </w:r>
            <w:r w:rsidRPr="005D4222">
              <w:rPr>
                <w:kern w:val="20"/>
              </w:rPr>
              <w:t>) with different dates of service. Do not count a vaccination administered prior to 180 days after birth.</w:t>
            </w:r>
          </w:p>
          <w:p w14:paraId="1ED6FF4A" w14:textId="77777777" w:rsidR="0089171C" w:rsidRPr="005D4222" w:rsidRDefault="0089171C" w:rsidP="0089171C">
            <w:pPr>
              <w:pStyle w:val="Dash"/>
              <w:tabs>
                <w:tab w:val="left" w:pos="576"/>
                <w:tab w:val="left" w:pos="792"/>
              </w:tabs>
              <w:spacing w:after="0"/>
              <w:rPr>
                <w:kern w:val="20"/>
              </w:rPr>
            </w:pPr>
            <w:r w:rsidRPr="005D4222">
              <w:rPr>
                <w:kern w:val="20"/>
              </w:rPr>
              <w:t>An influenza vaccination recommended for children 2 years and older (e.g., LAIV) (</w:t>
            </w:r>
            <w:r w:rsidRPr="005D4222">
              <w:rPr>
                <w:kern w:val="20"/>
                <w:u w:val="single"/>
              </w:rPr>
              <w:t>Influenza Virus LAIV Immunization Value Set</w:t>
            </w:r>
            <w:r w:rsidRPr="005D4222">
              <w:rPr>
                <w:kern w:val="20"/>
              </w:rPr>
              <w:t xml:space="preserve">; </w:t>
            </w:r>
            <w:r w:rsidRPr="005D4222">
              <w:rPr>
                <w:kern w:val="20"/>
                <w:u w:val="single"/>
              </w:rPr>
              <w:t>Influenza Virus LAIV Vaccine Procedure Value Set</w:t>
            </w:r>
            <w:r w:rsidRPr="005D4222">
              <w:rPr>
                <w:kern w:val="20"/>
              </w:rPr>
              <w:t>) administered on the second birthday meets criteria for one of the two required vaccinations.</w:t>
            </w:r>
          </w:p>
          <w:p w14:paraId="390C70F5" w14:textId="77777777" w:rsidR="0089171C" w:rsidRPr="005D4222" w:rsidRDefault="0089171C" w:rsidP="0089171C">
            <w:pPr>
              <w:pStyle w:val="Bullet"/>
              <w:numPr>
                <w:ilvl w:val="0"/>
                <w:numId w:val="4"/>
              </w:numPr>
              <w:tabs>
                <w:tab w:val="left" w:pos="360"/>
                <w:tab w:val="left" w:pos="576"/>
              </w:tabs>
              <w:spacing w:after="80"/>
              <w:ind w:left="576" w:hanging="216"/>
              <w:rPr>
                <w:kern w:val="20"/>
              </w:rPr>
            </w:pPr>
            <w:r w:rsidRPr="005D4222">
              <w:rPr>
                <w:kern w:val="20"/>
              </w:rPr>
              <w:t>Anaphylaxis due to the influenza vaccine (SNOMED CT code 471361000124100).</w:t>
            </w:r>
          </w:p>
          <w:p w14:paraId="2D562DE3" w14:textId="77777777" w:rsidR="0089171C" w:rsidRPr="005D4222" w:rsidRDefault="0089171C" w:rsidP="00A53E8C">
            <w:pPr>
              <w:pStyle w:val="ECDSBody"/>
              <w:spacing w:before="180" w:after="0"/>
            </w:pPr>
            <w:r w:rsidRPr="005D4222">
              <w:rPr>
                <w:b/>
                <w:bCs w:val="0"/>
              </w:rPr>
              <w:t xml:space="preserve">Numerator 11: </w:t>
            </w:r>
            <w:r w:rsidRPr="005D4222">
              <w:rPr>
                <w:b/>
              </w:rPr>
              <w:t>Immunization status—</w:t>
            </w:r>
            <w:r w:rsidRPr="005D4222">
              <w:rPr>
                <w:b/>
                <w:bCs w:val="0"/>
              </w:rPr>
              <w:t xml:space="preserve">Combination 3. </w:t>
            </w:r>
            <w:r w:rsidRPr="005D4222">
              <w:rPr>
                <w:b/>
                <w:bCs w:val="0"/>
              </w:rPr>
              <w:br/>
            </w:r>
            <w:r w:rsidRPr="005D4222">
              <w:t>Persons who are numerator compliant for DTaP, IPV, MMR, HiB, hepatitis B, VZV and pneumococcal indicators.</w:t>
            </w:r>
          </w:p>
          <w:p w14:paraId="5E2B30DC" w14:textId="77777777" w:rsidR="0089171C" w:rsidRPr="005D4222" w:rsidRDefault="0089171C" w:rsidP="00010176">
            <w:pPr>
              <w:pStyle w:val="ECDSBody"/>
              <w:spacing w:before="180"/>
            </w:pPr>
            <w:r w:rsidRPr="005D4222">
              <w:rPr>
                <w:b/>
                <w:bCs w:val="0"/>
              </w:rPr>
              <w:t xml:space="preserve">Numerator 12: </w:t>
            </w:r>
            <w:r w:rsidRPr="005D4222">
              <w:rPr>
                <w:b/>
              </w:rPr>
              <w:t>Immunization status—</w:t>
            </w:r>
            <w:r w:rsidRPr="005D4222">
              <w:rPr>
                <w:b/>
                <w:bCs w:val="0"/>
              </w:rPr>
              <w:t xml:space="preserve">Combination 7. </w:t>
            </w:r>
            <w:r w:rsidRPr="005D4222">
              <w:rPr>
                <w:b/>
                <w:bCs w:val="0"/>
              </w:rPr>
              <w:br/>
            </w:r>
            <w:r w:rsidRPr="005D4222">
              <w:t>Persons who are numerator compliant for DTaP, IPV, MMR, HiB, hepatitis B, VZV, pneumococcal, hepatitis A and rotavirus indicators.</w:t>
            </w:r>
          </w:p>
          <w:p w14:paraId="39FE4821" w14:textId="77777777" w:rsidR="0089171C" w:rsidRPr="005D4222" w:rsidRDefault="0089171C" w:rsidP="00A53E8C">
            <w:pPr>
              <w:pStyle w:val="ECDSBody"/>
              <w:spacing w:before="180"/>
            </w:pPr>
            <w:r w:rsidRPr="005D4222">
              <w:rPr>
                <w:b/>
                <w:bCs w:val="0"/>
              </w:rPr>
              <w:lastRenderedPageBreak/>
              <w:t xml:space="preserve">Numerator 13: </w:t>
            </w:r>
            <w:r w:rsidRPr="005D4222">
              <w:rPr>
                <w:b/>
              </w:rPr>
              <w:t>Immunization status—</w:t>
            </w:r>
            <w:r w:rsidRPr="005D4222">
              <w:rPr>
                <w:b/>
                <w:bCs w:val="0"/>
              </w:rPr>
              <w:t xml:space="preserve">Combination 10. </w:t>
            </w:r>
            <w:r w:rsidRPr="005D4222">
              <w:rPr>
                <w:b/>
                <w:bCs w:val="0"/>
              </w:rPr>
              <w:br/>
            </w:r>
            <w:r w:rsidRPr="005D4222">
              <w:t>Persons who are numerator compliant for DTaP, IPV, MMR, HiB, hepatitis B, VZV, pneumococcal, hepatitis A, rotavirus and influenza indicators.</w:t>
            </w:r>
          </w:p>
          <w:p w14:paraId="6B21FC84" w14:textId="77777777" w:rsidR="0089171C" w:rsidRPr="005D4222" w:rsidRDefault="0089171C" w:rsidP="00A53E8C">
            <w:pPr>
              <w:pStyle w:val="ECDSBody"/>
              <w:spacing w:after="0"/>
              <w:rPr>
                <w:rFonts w:eastAsia="Arial,Arial,Arial,Arial,Arial,A"/>
                <w:b/>
                <w:bCs w:val="0"/>
              </w:rPr>
            </w:pPr>
            <w:r w:rsidRPr="005D4222">
              <w:rPr>
                <w:rFonts w:eastAsia="Arial,Arial,Arial,Arial,Arial,A"/>
                <w:b/>
                <w:bCs w:val="0"/>
              </w:rPr>
              <w:t>Coding Guidance</w:t>
            </w:r>
          </w:p>
          <w:p w14:paraId="11E14EB0" w14:textId="77777777" w:rsidR="0089171C" w:rsidRPr="005D4222" w:rsidRDefault="0089171C" w:rsidP="00A53E8C">
            <w:pPr>
              <w:pStyle w:val="ECDSBody"/>
              <w:spacing w:before="0"/>
              <w:rPr>
                <w:kern w:val="20"/>
              </w:rPr>
            </w:pPr>
            <w:r w:rsidRPr="005D4222">
              <w:rPr>
                <w:rFonts w:eastAsia="Arial,Arial,Arial,Arial,Arial,A"/>
              </w:rPr>
              <w:t>*Do not include laboratory claims (claims with POS code 81).</w:t>
            </w:r>
          </w:p>
        </w:tc>
      </w:tr>
      <w:tr w:rsidR="0089171C" w:rsidRPr="005D4222" w14:paraId="094C4430" w14:textId="77777777" w:rsidTr="0091715B">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AAAB600" w14:textId="77777777" w:rsidR="0089171C" w:rsidRPr="005D4222" w:rsidRDefault="0089171C" w:rsidP="00A53E8C">
            <w:pPr>
              <w:pStyle w:val="ECDSMarginHead"/>
            </w:pPr>
            <w:r w:rsidRPr="005D4222">
              <w:lastRenderedPageBreak/>
              <w:t>Summary of changes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215155C" w14:textId="77777777" w:rsidR="0089171C" w:rsidRPr="005D4222" w:rsidRDefault="0089171C" w:rsidP="00A53E8C">
            <w:pPr>
              <w:pStyle w:val="ProcessBullet"/>
              <w:spacing w:before="120"/>
            </w:pPr>
            <w:r w:rsidRPr="005D4222">
              <w:t>Updated the citation for clinical recommendation statement and rationale.</w:t>
            </w:r>
          </w:p>
          <w:p w14:paraId="5DE151D2" w14:textId="77777777" w:rsidR="0089171C" w:rsidRPr="005D4222" w:rsidRDefault="0089171C" w:rsidP="00010176">
            <w:pPr>
              <w:pStyle w:val="ProcessBullet"/>
              <w:spacing w:before="60"/>
            </w:pPr>
            <w:r w:rsidRPr="005D4222">
              <w:t>Updated the race and ethnicity stratification categories to align with OMB SPD 15 2024.</w:t>
            </w:r>
          </w:p>
          <w:p w14:paraId="280CD89B" w14:textId="77777777" w:rsidR="0089171C" w:rsidRPr="005D4222" w:rsidRDefault="0089171C" w:rsidP="00010176">
            <w:pPr>
              <w:pStyle w:val="ProcessBullet"/>
              <w:tabs>
                <w:tab w:val="left" w:pos="216"/>
              </w:tabs>
              <w:spacing w:before="60"/>
            </w:pPr>
            <w:r w:rsidRPr="005D4222">
              <w:t xml:space="preserve">Removed the definitions of “participation” and “participation period.” </w:t>
            </w:r>
          </w:p>
          <w:p w14:paraId="0FDE7AB1" w14:textId="77777777" w:rsidR="0089171C" w:rsidRPr="005D4222" w:rsidRDefault="0089171C" w:rsidP="00010176">
            <w:pPr>
              <w:pStyle w:val="ProcessBullet"/>
              <w:tabs>
                <w:tab w:val="left" w:pos="216"/>
              </w:tabs>
              <w:spacing w:before="60"/>
            </w:pPr>
            <w:r w:rsidRPr="005D4222">
              <w:t>Removed the SSoR data elements from the data element tables.</w:t>
            </w:r>
          </w:p>
          <w:p w14:paraId="65159D9C" w14:textId="77777777" w:rsidR="0089171C" w:rsidRPr="005D4222" w:rsidRDefault="0089171C" w:rsidP="00010176">
            <w:pPr>
              <w:pStyle w:val="ProcessBullet"/>
              <w:tabs>
                <w:tab w:val="left" w:pos="216"/>
              </w:tabs>
              <w:spacing w:before="60"/>
            </w:pPr>
            <w:r w:rsidRPr="005D4222">
              <w:t>Added instructions on allowable adjustments to the race and ethnicity stratification.</w:t>
            </w:r>
          </w:p>
        </w:tc>
      </w:tr>
      <w:tr w:rsidR="0089171C" w:rsidRPr="005D4222" w14:paraId="678992CA" w14:textId="77777777" w:rsidTr="0091715B">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DE0A919" w14:textId="77777777" w:rsidR="0089171C" w:rsidRPr="005D4222" w:rsidRDefault="0089171C" w:rsidP="00A53E8C">
            <w:pPr>
              <w:pStyle w:val="ECDSMarginHead"/>
            </w:pPr>
            <w:r w:rsidRPr="005D4222">
              <w:t>Data element tables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EC3FEBF" w14:textId="77777777" w:rsidR="0089171C" w:rsidRPr="005D4222" w:rsidRDefault="0089171C" w:rsidP="00A53E8C">
            <w:pPr>
              <w:pStyle w:val="ECDSBody"/>
            </w:pPr>
            <w:r w:rsidRPr="005D4222">
              <w:t xml:space="preserve">Organizations that submit HEDIS data to NCQA must provide the following data elements. </w:t>
            </w:r>
          </w:p>
          <w:p w14:paraId="0010B6FD" w14:textId="77777777" w:rsidR="0089171C" w:rsidRPr="005D4222" w:rsidRDefault="0089171C" w:rsidP="00A53E8C">
            <w:pPr>
              <w:pStyle w:val="Heading3"/>
              <w:spacing w:before="120"/>
              <w:rPr>
                <w:rFonts w:eastAsia="Arial"/>
              </w:rPr>
            </w:pPr>
            <w:r w:rsidRPr="005D4222">
              <w:rPr>
                <w:rFonts w:eastAsia="Arial"/>
              </w:rPr>
              <w:t>Table CIS-E-A-1/2: Data Elements for Childhood Immunization Status</w:t>
            </w:r>
          </w:p>
          <w:tbl>
            <w:tblPr>
              <w:tblW w:w="5000" w:type="pct"/>
              <w:tblLook w:val="04A0" w:firstRow="1" w:lastRow="0" w:firstColumn="1" w:lastColumn="0" w:noHBand="0" w:noVBand="1"/>
            </w:tblPr>
            <w:tblGrid>
              <w:gridCol w:w="2190"/>
              <w:gridCol w:w="2606"/>
              <w:gridCol w:w="2573"/>
            </w:tblGrid>
            <w:tr w:rsidR="0089171C" w:rsidRPr="005D4222" w14:paraId="081F60ED" w14:textId="77777777" w:rsidTr="00A53E8C">
              <w:tc>
                <w:tcPr>
                  <w:tcW w:w="2348" w:type="dxa"/>
                  <w:tcBorders>
                    <w:top w:val="single" w:sz="8" w:space="0" w:color="auto"/>
                    <w:left w:val="single" w:sz="8" w:space="0" w:color="auto"/>
                    <w:bottom w:val="single" w:sz="4" w:space="0" w:color="auto"/>
                    <w:right w:val="single" w:sz="6" w:space="0" w:color="FFFFFF" w:themeColor="background1"/>
                  </w:tcBorders>
                  <w:shd w:val="clear" w:color="auto" w:fill="000000" w:themeFill="text1"/>
                  <w:noWrap/>
                  <w:tcMar>
                    <w:top w:w="0" w:type="dxa"/>
                    <w:left w:w="108" w:type="dxa"/>
                    <w:bottom w:w="0" w:type="dxa"/>
                    <w:right w:w="108" w:type="dxa"/>
                  </w:tcMar>
                  <w:vAlign w:val="center"/>
                  <w:hideMark/>
                </w:tcPr>
                <w:p w14:paraId="1C48B3F8" w14:textId="77777777" w:rsidR="0089171C" w:rsidRPr="005D4222" w:rsidRDefault="0089171C" w:rsidP="00C609BF">
                  <w:pPr>
                    <w:pStyle w:val="TableHead"/>
                    <w:spacing w:before="20" w:after="20"/>
                    <w:rPr>
                      <w:color w:val="auto"/>
                      <w:kern w:val="20"/>
                    </w:rPr>
                  </w:pPr>
                  <w:r w:rsidRPr="005D4222">
                    <w:rPr>
                      <w:color w:val="auto"/>
                      <w:kern w:val="20"/>
                    </w:rPr>
                    <w:t>Metric</w:t>
                  </w:r>
                </w:p>
              </w:tc>
              <w:tc>
                <w:tcPr>
                  <w:tcW w:w="2798" w:type="dxa"/>
                  <w:tcBorders>
                    <w:top w:val="single" w:sz="8" w:space="0" w:color="auto"/>
                    <w:left w:val="single" w:sz="6" w:space="0" w:color="FFFFFF" w:themeColor="background1"/>
                    <w:bottom w:val="single" w:sz="8" w:space="0" w:color="auto"/>
                    <w:right w:val="single" w:sz="4" w:space="0" w:color="FFFFFF" w:themeColor="background1"/>
                  </w:tcBorders>
                  <w:shd w:val="clear" w:color="auto" w:fill="000000" w:themeFill="text1"/>
                  <w:noWrap/>
                  <w:tcMar>
                    <w:top w:w="0" w:type="dxa"/>
                    <w:left w:w="108" w:type="dxa"/>
                    <w:bottom w:w="0" w:type="dxa"/>
                    <w:right w:w="108" w:type="dxa"/>
                  </w:tcMar>
                  <w:vAlign w:val="center"/>
                  <w:hideMark/>
                </w:tcPr>
                <w:p w14:paraId="2C2D0371" w14:textId="77777777" w:rsidR="0089171C" w:rsidRPr="005D4222" w:rsidRDefault="0089171C" w:rsidP="00C609BF">
                  <w:pPr>
                    <w:pStyle w:val="TableHead"/>
                    <w:spacing w:before="20" w:after="20"/>
                    <w:rPr>
                      <w:color w:val="auto"/>
                      <w:kern w:val="20"/>
                    </w:rPr>
                  </w:pPr>
                  <w:r w:rsidRPr="005D4222">
                    <w:rPr>
                      <w:color w:val="auto"/>
                      <w:kern w:val="20"/>
                    </w:rPr>
                    <w:t>Data Element</w:t>
                  </w:r>
                </w:p>
              </w:tc>
              <w:tc>
                <w:tcPr>
                  <w:tcW w:w="2762" w:type="dxa"/>
                  <w:tcBorders>
                    <w:top w:val="single" w:sz="8" w:space="0" w:color="auto"/>
                    <w:left w:val="single" w:sz="4" w:space="0" w:color="FFFFFF" w:themeColor="background1"/>
                    <w:bottom w:val="single" w:sz="8" w:space="0" w:color="auto"/>
                    <w:right w:val="single" w:sz="8" w:space="0" w:color="auto"/>
                  </w:tcBorders>
                  <w:shd w:val="clear" w:color="auto" w:fill="000000" w:themeFill="text1"/>
                  <w:vAlign w:val="center"/>
                </w:tcPr>
                <w:p w14:paraId="55E9DF11" w14:textId="77777777" w:rsidR="0089171C" w:rsidRPr="005D4222" w:rsidRDefault="0089171C" w:rsidP="00C609BF">
                  <w:pPr>
                    <w:pStyle w:val="TableHead"/>
                    <w:spacing w:before="20" w:after="20"/>
                    <w:rPr>
                      <w:color w:val="auto"/>
                      <w:kern w:val="20"/>
                    </w:rPr>
                  </w:pPr>
                  <w:r w:rsidRPr="005D4222">
                    <w:rPr>
                      <w:color w:val="auto"/>
                      <w:kern w:val="20"/>
                    </w:rPr>
                    <w:t>Reporting Instructions</w:t>
                  </w:r>
                </w:p>
              </w:tc>
            </w:tr>
            <w:tr w:rsidR="0089171C" w:rsidRPr="005D4222" w14:paraId="1BDECB1D" w14:textId="77777777" w:rsidTr="00E2519D">
              <w:tc>
                <w:tcPr>
                  <w:tcW w:w="2348"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hideMark/>
                </w:tcPr>
                <w:p w14:paraId="36D61E18" w14:textId="77777777" w:rsidR="0089171C" w:rsidRPr="005D4222" w:rsidRDefault="0089171C" w:rsidP="00C609BF">
                  <w:pPr>
                    <w:pStyle w:val="TableText"/>
                    <w:spacing w:before="20" w:after="20"/>
                  </w:pPr>
                  <w:r w:rsidRPr="005D4222">
                    <w:t>DTaP</w:t>
                  </w:r>
                </w:p>
              </w:tc>
              <w:tc>
                <w:tcPr>
                  <w:tcW w:w="2798" w:type="dxa"/>
                  <w:tcBorders>
                    <w:top w:val="nil"/>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vAlign w:val="center"/>
                  <w:hideMark/>
                </w:tcPr>
                <w:p w14:paraId="4F4D48D2" w14:textId="77777777" w:rsidR="0089171C" w:rsidRPr="005D4222" w:rsidRDefault="0089171C" w:rsidP="00C609BF">
                  <w:pPr>
                    <w:pStyle w:val="TableText"/>
                    <w:spacing w:before="20" w:after="20"/>
                  </w:pPr>
                  <w:r w:rsidRPr="005D4222">
                    <w:t>InitialPopulation</w:t>
                  </w:r>
                </w:p>
              </w:tc>
              <w:tc>
                <w:tcPr>
                  <w:tcW w:w="2762" w:type="dxa"/>
                  <w:tcBorders>
                    <w:top w:val="nil"/>
                    <w:left w:val="single" w:sz="4" w:space="0" w:color="auto"/>
                    <w:bottom w:val="single" w:sz="4" w:space="0" w:color="auto"/>
                    <w:right w:val="single" w:sz="4" w:space="0" w:color="auto"/>
                  </w:tcBorders>
                  <w:shd w:val="clear" w:color="auto" w:fill="FFFFFF" w:themeFill="background1"/>
                  <w:vAlign w:val="center"/>
                </w:tcPr>
                <w:p w14:paraId="62EF92C7" w14:textId="77777777" w:rsidR="0089171C" w:rsidRPr="005D4222" w:rsidRDefault="0089171C" w:rsidP="00C609BF">
                  <w:pPr>
                    <w:pStyle w:val="TableText"/>
                    <w:spacing w:before="20" w:after="20"/>
                  </w:pPr>
                  <w:r w:rsidRPr="005D4222">
                    <w:t>Repeat per Metric</w:t>
                  </w:r>
                </w:p>
              </w:tc>
            </w:tr>
            <w:tr w:rsidR="0089171C" w:rsidRPr="005D4222" w14:paraId="419A3DC6" w14:textId="77777777" w:rsidTr="00E2519D">
              <w:tc>
                <w:tcPr>
                  <w:tcW w:w="2348"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hideMark/>
                </w:tcPr>
                <w:p w14:paraId="4D22E3D0" w14:textId="77777777" w:rsidR="0089171C" w:rsidRPr="005D4222" w:rsidRDefault="0089171C" w:rsidP="00C609BF">
                  <w:pPr>
                    <w:pStyle w:val="TableText"/>
                    <w:spacing w:before="20" w:after="20"/>
                  </w:pPr>
                  <w:r w:rsidRPr="005D4222">
                    <w:rPr>
                      <w:rFonts w:eastAsia="Arial Narrow"/>
                    </w:rPr>
                    <w:t>IPV</w:t>
                  </w:r>
                </w:p>
              </w:tc>
              <w:tc>
                <w:tcPr>
                  <w:tcW w:w="279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4E8A78F4" w14:textId="77777777" w:rsidR="0089171C" w:rsidRPr="005D4222" w:rsidRDefault="0089171C" w:rsidP="00C609BF">
                  <w:pPr>
                    <w:pStyle w:val="TableText"/>
                    <w:spacing w:before="20" w:after="20"/>
                  </w:pPr>
                  <w:r w:rsidRPr="005D4222">
                    <w:t>Exclusions</w:t>
                  </w:r>
                </w:p>
              </w:tc>
              <w:tc>
                <w:tcPr>
                  <w:tcW w:w="2762" w:type="dxa"/>
                  <w:tcBorders>
                    <w:top w:val="single" w:sz="4" w:space="0" w:color="auto"/>
                    <w:left w:val="single" w:sz="4" w:space="0" w:color="auto"/>
                    <w:bottom w:val="single" w:sz="4" w:space="0" w:color="auto"/>
                    <w:right w:val="single" w:sz="4" w:space="0" w:color="auto"/>
                  </w:tcBorders>
                  <w:vAlign w:val="center"/>
                </w:tcPr>
                <w:p w14:paraId="314F130A" w14:textId="77777777" w:rsidR="0089171C" w:rsidRPr="005D4222" w:rsidRDefault="0089171C" w:rsidP="00C609BF">
                  <w:pPr>
                    <w:pStyle w:val="TableText"/>
                    <w:spacing w:before="20" w:after="20"/>
                  </w:pPr>
                  <w:r w:rsidRPr="005D4222">
                    <w:t>Repeat per Metric</w:t>
                  </w:r>
                </w:p>
              </w:tc>
            </w:tr>
            <w:tr w:rsidR="0089171C" w:rsidRPr="005D4222" w14:paraId="74355732" w14:textId="77777777" w:rsidTr="00E2519D">
              <w:tc>
                <w:tcPr>
                  <w:tcW w:w="2348"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hideMark/>
                </w:tcPr>
                <w:p w14:paraId="5540B849" w14:textId="77777777" w:rsidR="0089171C" w:rsidRPr="005D4222" w:rsidRDefault="0089171C" w:rsidP="00C609BF">
                  <w:pPr>
                    <w:pStyle w:val="TableText"/>
                    <w:spacing w:before="20" w:after="20"/>
                  </w:pPr>
                  <w:r w:rsidRPr="005D4222">
                    <w:rPr>
                      <w:rFonts w:eastAsia="Arial Narrow"/>
                    </w:rPr>
                    <w:t>MMR</w:t>
                  </w:r>
                </w:p>
              </w:tc>
              <w:tc>
                <w:tcPr>
                  <w:tcW w:w="279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2EEA9CD1" w14:textId="77777777" w:rsidR="0089171C" w:rsidRPr="005D4222" w:rsidRDefault="0089171C" w:rsidP="00C609BF">
                  <w:pPr>
                    <w:pStyle w:val="TableText"/>
                    <w:spacing w:before="20" w:after="20"/>
                  </w:pPr>
                  <w:r w:rsidRPr="005D4222">
                    <w:t>Denominator</w:t>
                  </w:r>
                </w:p>
              </w:tc>
              <w:tc>
                <w:tcPr>
                  <w:tcW w:w="2762" w:type="dxa"/>
                  <w:tcBorders>
                    <w:top w:val="single" w:sz="4" w:space="0" w:color="auto"/>
                    <w:left w:val="single" w:sz="4" w:space="0" w:color="auto"/>
                    <w:bottom w:val="single" w:sz="4" w:space="0" w:color="auto"/>
                    <w:right w:val="single" w:sz="4" w:space="0" w:color="auto"/>
                  </w:tcBorders>
                  <w:vAlign w:val="center"/>
                </w:tcPr>
                <w:p w14:paraId="798EBEA9" w14:textId="77777777" w:rsidR="0089171C" w:rsidRPr="005D4222" w:rsidRDefault="0089171C" w:rsidP="00C609BF">
                  <w:pPr>
                    <w:pStyle w:val="TableText"/>
                    <w:spacing w:before="20" w:after="20"/>
                  </w:pPr>
                  <w:r w:rsidRPr="005D4222">
                    <w:t>Repeat per Metric</w:t>
                  </w:r>
                </w:p>
              </w:tc>
            </w:tr>
            <w:tr w:rsidR="0089171C" w:rsidRPr="005D4222" w14:paraId="6C06D1E4" w14:textId="77777777" w:rsidTr="00E2519D">
              <w:tc>
                <w:tcPr>
                  <w:tcW w:w="2348"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hideMark/>
                </w:tcPr>
                <w:p w14:paraId="3D5F1878" w14:textId="77777777" w:rsidR="0089171C" w:rsidRPr="005D4222" w:rsidRDefault="0089171C" w:rsidP="00C609BF">
                  <w:pPr>
                    <w:pStyle w:val="TableText"/>
                    <w:spacing w:before="20" w:after="20"/>
                  </w:pPr>
                  <w:r w:rsidRPr="005D4222">
                    <w:t>HiB</w:t>
                  </w:r>
                </w:p>
              </w:tc>
              <w:tc>
                <w:tcPr>
                  <w:tcW w:w="279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043A7E73" w14:textId="77777777" w:rsidR="0089171C" w:rsidRPr="005D4222" w:rsidRDefault="0089171C" w:rsidP="00C609BF">
                  <w:pPr>
                    <w:pStyle w:val="TableText"/>
                    <w:spacing w:before="20" w:after="20"/>
                  </w:pPr>
                  <w:r w:rsidRPr="005D4222">
                    <w:t>Numerator</w:t>
                  </w:r>
                </w:p>
              </w:tc>
              <w:tc>
                <w:tcPr>
                  <w:tcW w:w="2762" w:type="dxa"/>
                  <w:tcBorders>
                    <w:top w:val="single" w:sz="4" w:space="0" w:color="auto"/>
                    <w:left w:val="single" w:sz="4" w:space="0" w:color="auto"/>
                    <w:bottom w:val="single" w:sz="4" w:space="0" w:color="auto"/>
                    <w:right w:val="single" w:sz="4" w:space="0" w:color="auto"/>
                  </w:tcBorders>
                  <w:vAlign w:val="center"/>
                </w:tcPr>
                <w:p w14:paraId="5311C6DC" w14:textId="77777777" w:rsidR="0089171C" w:rsidRPr="005D4222" w:rsidRDefault="0089171C" w:rsidP="00C609BF">
                  <w:pPr>
                    <w:pStyle w:val="TableText"/>
                    <w:spacing w:before="20" w:after="20"/>
                  </w:pPr>
                  <w:r w:rsidRPr="005D4222">
                    <w:t>For each Metric</w:t>
                  </w:r>
                </w:p>
              </w:tc>
            </w:tr>
            <w:tr w:rsidR="0089171C" w:rsidRPr="005D4222" w14:paraId="6EE9E931" w14:textId="77777777" w:rsidTr="00E2519D">
              <w:tc>
                <w:tcPr>
                  <w:tcW w:w="2348"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hideMark/>
                </w:tcPr>
                <w:p w14:paraId="5CAF0E37" w14:textId="77777777" w:rsidR="0089171C" w:rsidRPr="005D4222" w:rsidRDefault="0089171C" w:rsidP="00C609BF">
                  <w:pPr>
                    <w:pStyle w:val="TableText"/>
                    <w:spacing w:before="20" w:after="20"/>
                  </w:pPr>
                  <w:r w:rsidRPr="005D4222">
                    <w:t>HepatitisB</w:t>
                  </w:r>
                </w:p>
              </w:tc>
              <w:tc>
                <w:tcPr>
                  <w:tcW w:w="279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0" w:type="dxa"/>
                    <w:left w:w="108" w:type="dxa"/>
                    <w:bottom w:w="0" w:type="dxa"/>
                    <w:right w:w="108" w:type="dxa"/>
                  </w:tcMar>
                  <w:vAlign w:val="center"/>
                  <w:hideMark/>
                </w:tcPr>
                <w:p w14:paraId="42C12D85" w14:textId="77777777" w:rsidR="0089171C" w:rsidRPr="005D4222" w:rsidRDefault="0089171C" w:rsidP="00C609BF">
                  <w:pPr>
                    <w:pStyle w:val="TableText"/>
                    <w:spacing w:before="20" w:after="20"/>
                  </w:pPr>
                  <w:r w:rsidRPr="005D4222">
                    <w:t>Rate</w:t>
                  </w:r>
                </w:p>
              </w:tc>
              <w:tc>
                <w:tcPr>
                  <w:tcW w:w="276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7FC237B" w14:textId="77777777" w:rsidR="0089171C" w:rsidRPr="005D4222" w:rsidRDefault="0089171C" w:rsidP="00C609BF">
                  <w:pPr>
                    <w:pStyle w:val="TableText"/>
                    <w:spacing w:before="20" w:after="20"/>
                  </w:pPr>
                  <w:r w:rsidRPr="005D4222">
                    <w:t>(Percent)</w:t>
                  </w:r>
                </w:p>
              </w:tc>
            </w:tr>
            <w:tr w:rsidR="0089171C" w:rsidRPr="005D4222" w14:paraId="1236D7AC" w14:textId="77777777" w:rsidTr="00E2519D">
              <w:trPr>
                <w:gridAfter w:val="2"/>
                <w:wAfter w:w="5560" w:type="dxa"/>
              </w:trPr>
              <w:tc>
                <w:tcPr>
                  <w:tcW w:w="2348"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tcPr>
                <w:p w14:paraId="1EA3EFE5" w14:textId="77777777" w:rsidR="0089171C" w:rsidRPr="005D4222" w:rsidRDefault="0089171C" w:rsidP="00C609BF">
                  <w:pPr>
                    <w:pStyle w:val="TableText"/>
                    <w:spacing w:before="20" w:after="20"/>
                  </w:pPr>
                  <w:r w:rsidRPr="005D4222">
                    <w:t>VZV</w:t>
                  </w:r>
                </w:p>
              </w:tc>
            </w:tr>
            <w:tr w:rsidR="0089171C" w:rsidRPr="005D4222" w14:paraId="5FB22122" w14:textId="77777777" w:rsidTr="00E2519D">
              <w:trPr>
                <w:gridAfter w:val="2"/>
                <w:wAfter w:w="5560" w:type="dxa"/>
              </w:trPr>
              <w:tc>
                <w:tcPr>
                  <w:tcW w:w="2348"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hideMark/>
                </w:tcPr>
                <w:p w14:paraId="5CFC8CCB" w14:textId="77777777" w:rsidR="0089171C" w:rsidRPr="005D4222" w:rsidRDefault="0089171C" w:rsidP="00C609BF">
                  <w:pPr>
                    <w:pStyle w:val="TableText"/>
                    <w:spacing w:before="20" w:after="20"/>
                  </w:pPr>
                  <w:r w:rsidRPr="005D4222">
                    <w:t>PneumococcalConjugate</w:t>
                  </w:r>
                </w:p>
              </w:tc>
            </w:tr>
            <w:tr w:rsidR="0089171C" w:rsidRPr="005D4222" w14:paraId="62C02E4D" w14:textId="77777777" w:rsidTr="00E2519D">
              <w:trPr>
                <w:gridAfter w:val="2"/>
                <w:wAfter w:w="5560" w:type="dxa"/>
              </w:trPr>
              <w:tc>
                <w:tcPr>
                  <w:tcW w:w="2348"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hideMark/>
                </w:tcPr>
                <w:p w14:paraId="4FAE09F0" w14:textId="77777777" w:rsidR="0089171C" w:rsidRPr="005D4222" w:rsidRDefault="0089171C" w:rsidP="00C609BF">
                  <w:pPr>
                    <w:pStyle w:val="TableText"/>
                    <w:spacing w:before="20" w:after="20"/>
                  </w:pPr>
                  <w:r w:rsidRPr="005D4222">
                    <w:t>HepatitisA</w:t>
                  </w:r>
                </w:p>
              </w:tc>
            </w:tr>
            <w:tr w:rsidR="0089171C" w:rsidRPr="005D4222" w14:paraId="524007F2" w14:textId="77777777" w:rsidTr="00E2519D">
              <w:trPr>
                <w:gridAfter w:val="2"/>
                <w:wAfter w:w="5560" w:type="dxa"/>
              </w:trPr>
              <w:tc>
                <w:tcPr>
                  <w:tcW w:w="2348"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hideMark/>
                </w:tcPr>
                <w:p w14:paraId="01BD3251" w14:textId="77777777" w:rsidR="0089171C" w:rsidRPr="005D4222" w:rsidRDefault="0089171C" w:rsidP="00C609BF">
                  <w:pPr>
                    <w:pStyle w:val="TableText"/>
                    <w:spacing w:before="20" w:after="20"/>
                  </w:pPr>
                  <w:r w:rsidRPr="005D4222">
                    <w:t>Rotavirus</w:t>
                  </w:r>
                </w:p>
              </w:tc>
            </w:tr>
            <w:tr w:rsidR="0089171C" w:rsidRPr="005D4222" w14:paraId="57F3C5F8" w14:textId="77777777" w:rsidTr="00E2519D">
              <w:trPr>
                <w:gridAfter w:val="2"/>
                <w:wAfter w:w="5560" w:type="dxa"/>
              </w:trPr>
              <w:tc>
                <w:tcPr>
                  <w:tcW w:w="2348"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hideMark/>
                </w:tcPr>
                <w:p w14:paraId="7D7DA36F" w14:textId="77777777" w:rsidR="0089171C" w:rsidRPr="005D4222" w:rsidRDefault="0089171C" w:rsidP="00C609BF">
                  <w:pPr>
                    <w:pStyle w:val="TableText"/>
                    <w:spacing w:before="20" w:after="20"/>
                  </w:pPr>
                  <w:r w:rsidRPr="005D4222">
                    <w:t>Influenza</w:t>
                  </w:r>
                </w:p>
              </w:tc>
            </w:tr>
            <w:tr w:rsidR="0089171C" w:rsidRPr="005D4222" w14:paraId="6CD7CD25" w14:textId="77777777" w:rsidTr="00E2519D">
              <w:trPr>
                <w:gridAfter w:val="2"/>
                <w:wAfter w:w="5560" w:type="dxa"/>
              </w:trPr>
              <w:tc>
                <w:tcPr>
                  <w:tcW w:w="2348"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hideMark/>
                </w:tcPr>
                <w:p w14:paraId="3DFEA39F" w14:textId="77777777" w:rsidR="0089171C" w:rsidRPr="005D4222" w:rsidRDefault="0089171C" w:rsidP="00C609BF">
                  <w:pPr>
                    <w:pStyle w:val="TableText"/>
                    <w:spacing w:before="20" w:after="20"/>
                  </w:pPr>
                  <w:r w:rsidRPr="005D4222">
                    <w:t>Combo3</w:t>
                  </w:r>
                </w:p>
              </w:tc>
            </w:tr>
            <w:tr w:rsidR="0089171C" w:rsidRPr="005D4222" w14:paraId="6BEB4415" w14:textId="77777777" w:rsidTr="00E2519D">
              <w:trPr>
                <w:gridAfter w:val="2"/>
                <w:wAfter w:w="5560" w:type="dxa"/>
              </w:trPr>
              <w:tc>
                <w:tcPr>
                  <w:tcW w:w="2348"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tcPr>
                <w:p w14:paraId="2DE60219" w14:textId="77777777" w:rsidR="0089171C" w:rsidRPr="005D4222" w:rsidRDefault="0089171C" w:rsidP="00C609BF">
                  <w:pPr>
                    <w:pStyle w:val="TableText"/>
                    <w:spacing w:before="20" w:after="20"/>
                  </w:pPr>
                  <w:r w:rsidRPr="005D4222">
                    <w:t>Combo7</w:t>
                  </w:r>
                </w:p>
              </w:tc>
            </w:tr>
            <w:tr w:rsidR="0089171C" w:rsidRPr="005D4222" w14:paraId="7D6EFDD1" w14:textId="77777777" w:rsidTr="00E2519D">
              <w:trPr>
                <w:gridAfter w:val="2"/>
                <w:wAfter w:w="5560" w:type="dxa"/>
              </w:trPr>
              <w:tc>
                <w:tcPr>
                  <w:tcW w:w="2348"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tcPr>
                <w:p w14:paraId="3B9FD303" w14:textId="77777777" w:rsidR="0089171C" w:rsidRPr="005D4222" w:rsidRDefault="0089171C" w:rsidP="00C609BF">
                  <w:pPr>
                    <w:pStyle w:val="TableText"/>
                    <w:spacing w:before="20" w:after="20"/>
                  </w:pPr>
                  <w:r w:rsidRPr="005D4222">
                    <w:rPr>
                      <w:rFonts w:eastAsia="Arial Narrow"/>
                    </w:rPr>
                    <w:t>C</w:t>
                  </w:r>
                  <w:r w:rsidRPr="005D4222">
                    <w:t>ombo10</w:t>
                  </w:r>
                </w:p>
              </w:tc>
            </w:tr>
          </w:tbl>
          <w:p w14:paraId="260C3210" w14:textId="69F9F212" w:rsidR="0089171C" w:rsidRPr="005D4222" w:rsidRDefault="0089171C" w:rsidP="00A53E8C">
            <w:pPr>
              <w:pStyle w:val="Heading3"/>
              <w:rPr>
                <w:kern w:val="20"/>
              </w:rPr>
            </w:pPr>
            <w:r w:rsidRPr="005D4222">
              <w:rPr>
                <w:kern w:val="20"/>
              </w:rPr>
              <w:t xml:space="preserve">Table CIS-E-B-1/2: Data Elements for Childhood Immunization Status: </w:t>
            </w:r>
            <w:r w:rsidR="00B51CDC" w:rsidRPr="005D4222">
              <w:rPr>
                <w:kern w:val="20"/>
              </w:rPr>
              <w:t>Stratifications</w:t>
            </w:r>
            <w:r w:rsidRPr="005D4222">
              <w:rPr>
                <w:kern w:val="20"/>
              </w:rPr>
              <w:t xml:space="preserve"> by Race </w:t>
            </w:r>
          </w:p>
          <w:tbl>
            <w:tblPr>
              <w:tblW w:w="5000" w:type="pct"/>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973"/>
              <w:gridCol w:w="3111"/>
              <w:gridCol w:w="1423"/>
              <w:gridCol w:w="1866"/>
            </w:tblGrid>
            <w:tr w:rsidR="0089171C" w:rsidRPr="005D4222" w14:paraId="7874FD9C" w14:textId="77777777" w:rsidTr="00A53E8C">
              <w:tc>
                <w:tcPr>
                  <w:tcW w:w="983" w:type="dxa"/>
                  <w:tcBorders>
                    <w:top w:val="single" w:sz="6" w:space="0" w:color="auto"/>
                    <w:left w:val="single" w:sz="6" w:space="0" w:color="auto"/>
                    <w:bottom w:val="single" w:sz="6" w:space="0" w:color="auto"/>
                    <w:right w:val="single" w:sz="4" w:space="0" w:color="FFFFFF" w:themeColor="background1"/>
                  </w:tcBorders>
                  <w:shd w:val="clear" w:color="auto" w:fill="000000" w:themeFill="text1"/>
                  <w:tcMar>
                    <w:left w:w="86" w:type="dxa"/>
                    <w:right w:w="86" w:type="dxa"/>
                  </w:tcMar>
                  <w:vAlign w:val="bottom"/>
                  <w:hideMark/>
                </w:tcPr>
                <w:p w14:paraId="3CE96275" w14:textId="77777777" w:rsidR="0089171C" w:rsidRPr="005D4222" w:rsidRDefault="0089171C" w:rsidP="00C609BF">
                  <w:pPr>
                    <w:pStyle w:val="TableHead"/>
                    <w:spacing w:before="20" w:after="20"/>
                  </w:pPr>
                  <w:r w:rsidRPr="005D4222">
                    <w:t>Metric</w:t>
                  </w:r>
                </w:p>
              </w:tc>
              <w:tc>
                <w:tcPr>
                  <w:tcW w:w="3150" w:type="dxa"/>
                  <w:tcBorders>
                    <w:top w:val="single" w:sz="6" w:space="0" w:color="auto"/>
                    <w:left w:val="single" w:sz="4" w:space="0" w:color="FFFFFF" w:themeColor="background1"/>
                    <w:bottom w:val="single" w:sz="6" w:space="0" w:color="auto"/>
                    <w:right w:val="single" w:sz="6" w:space="0" w:color="FFFFFF" w:themeColor="background1"/>
                  </w:tcBorders>
                  <w:shd w:val="clear" w:color="auto" w:fill="000000" w:themeFill="text1"/>
                  <w:tcMar>
                    <w:left w:w="86" w:type="dxa"/>
                    <w:right w:w="86" w:type="dxa"/>
                  </w:tcMar>
                  <w:vAlign w:val="bottom"/>
                  <w:hideMark/>
                </w:tcPr>
                <w:p w14:paraId="607309C1" w14:textId="77777777" w:rsidR="0089171C" w:rsidRPr="005D4222" w:rsidRDefault="0089171C" w:rsidP="00C609BF">
                  <w:pPr>
                    <w:pStyle w:val="TableHead"/>
                    <w:spacing w:before="20" w:after="20"/>
                  </w:pPr>
                  <w:r w:rsidRPr="005D4222">
                    <w:t>Race</w:t>
                  </w:r>
                </w:p>
              </w:tc>
              <w:tc>
                <w:tcPr>
                  <w:tcW w:w="1440" w:type="dxa"/>
                  <w:tcBorders>
                    <w:top w:val="single" w:sz="6" w:space="0" w:color="auto"/>
                    <w:left w:val="single" w:sz="6" w:space="0" w:color="FFFFFF" w:themeColor="background1"/>
                    <w:bottom w:val="single" w:sz="6" w:space="0" w:color="auto"/>
                    <w:right w:val="single" w:sz="6" w:space="0" w:color="FFFFFF" w:themeColor="background1"/>
                  </w:tcBorders>
                  <w:shd w:val="clear" w:color="auto" w:fill="000000" w:themeFill="text1"/>
                  <w:tcMar>
                    <w:left w:w="86" w:type="dxa"/>
                    <w:right w:w="86" w:type="dxa"/>
                  </w:tcMar>
                  <w:vAlign w:val="bottom"/>
                  <w:hideMark/>
                </w:tcPr>
                <w:p w14:paraId="384A167E" w14:textId="77777777" w:rsidR="0089171C" w:rsidRPr="005D4222" w:rsidRDefault="0089171C" w:rsidP="00C609BF">
                  <w:pPr>
                    <w:pStyle w:val="TableHead"/>
                    <w:spacing w:before="20" w:after="20"/>
                  </w:pPr>
                  <w:r w:rsidRPr="005D4222">
                    <w:t>Data Element</w:t>
                  </w:r>
                </w:p>
              </w:tc>
              <w:tc>
                <w:tcPr>
                  <w:tcW w:w="1889" w:type="dxa"/>
                  <w:tcBorders>
                    <w:top w:val="single" w:sz="6" w:space="0" w:color="auto"/>
                    <w:left w:val="single" w:sz="6" w:space="0" w:color="FFFFFF" w:themeColor="background1"/>
                    <w:bottom w:val="single" w:sz="6" w:space="0" w:color="auto"/>
                    <w:right w:val="single" w:sz="6" w:space="0" w:color="auto"/>
                  </w:tcBorders>
                  <w:shd w:val="clear" w:color="auto" w:fill="000000" w:themeFill="text1"/>
                  <w:tcMar>
                    <w:left w:w="86" w:type="dxa"/>
                    <w:right w:w="86" w:type="dxa"/>
                  </w:tcMar>
                  <w:vAlign w:val="bottom"/>
                  <w:hideMark/>
                </w:tcPr>
                <w:p w14:paraId="0D4DB066" w14:textId="77777777" w:rsidR="0089171C" w:rsidRPr="005D4222" w:rsidRDefault="0089171C" w:rsidP="00C609BF">
                  <w:pPr>
                    <w:pStyle w:val="TableHead"/>
                    <w:spacing w:before="20" w:after="20"/>
                  </w:pPr>
                  <w:r w:rsidRPr="005D4222">
                    <w:t>Reporting Instructions</w:t>
                  </w:r>
                </w:p>
              </w:tc>
            </w:tr>
            <w:tr w:rsidR="0089171C" w:rsidRPr="005D4222" w14:paraId="0D6B05FD" w14:textId="77777777" w:rsidTr="00A53E8C">
              <w:tc>
                <w:tcPr>
                  <w:tcW w:w="983"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vAlign w:val="center"/>
                  <w:hideMark/>
                </w:tcPr>
                <w:p w14:paraId="3B325198" w14:textId="77777777" w:rsidR="0089171C" w:rsidRPr="005D4222" w:rsidRDefault="0089171C" w:rsidP="00C609BF">
                  <w:pPr>
                    <w:pStyle w:val="TableText"/>
                    <w:spacing w:before="20" w:after="20"/>
                  </w:pPr>
                  <w:r w:rsidRPr="005D4222">
                    <w:t xml:space="preserve">Combo10 </w:t>
                  </w:r>
                </w:p>
              </w:tc>
              <w:tc>
                <w:tcPr>
                  <w:tcW w:w="3150"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1470FAE1" w14:textId="77777777" w:rsidR="0089171C" w:rsidRPr="005D4222" w:rsidRDefault="0089171C" w:rsidP="00C609BF">
                  <w:pPr>
                    <w:pStyle w:val="TableText"/>
                    <w:spacing w:before="20" w:after="20"/>
                  </w:pPr>
                  <w:r w:rsidRPr="005D4222">
                    <w:t xml:space="preserve">AmericanIndianOrAlaskaNative </w:t>
                  </w:r>
                </w:p>
              </w:tc>
              <w:tc>
                <w:tcPr>
                  <w:tcW w:w="1440"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vAlign w:val="center"/>
                  <w:hideMark/>
                </w:tcPr>
                <w:p w14:paraId="4D55483A" w14:textId="77777777" w:rsidR="0089171C" w:rsidRPr="005D4222" w:rsidRDefault="0089171C" w:rsidP="00C609BF">
                  <w:pPr>
                    <w:pStyle w:val="TableText"/>
                    <w:spacing w:before="20" w:after="20"/>
                  </w:pPr>
                  <w:r w:rsidRPr="005D4222">
                    <w:t xml:space="preserve">InitialPopulation </w:t>
                  </w:r>
                </w:p>
              </w:tc>
              <w:tc>
                <w:tcPr>
                  <w:tcW w:w="1889" w:type="dxa"/>
                  <w:tcBorders>
                    <w:top w:val="nil"/>
                    <w:left w:val="single" w:sz="6" w:space="0" w:color="auto"/>
                    <w:bottom w:val="single" w:sz="6" w:space="0" w:color="auto"/>
                    <w:right w:val="single" w:sz="6" w:space="0" w:color="auto"/>
                  </w:tcBorders>
                  <w:shd w:val="clear" w:color="auto" w:fill="FFFFFF" w:themeFill="background1"/>
                  <w:tcMar>
                    <w:left w:w="86" w:type="dxa"/>
                    <w:right w:w="86" w:type="dxa"/>
                  </w:tcMar>
                  <w:vAlign w:val="center"/>
                  <w:hideMark/>
                </w:tcPr>
                <w:p w14:paraId="5BC0C5A4" w14:textId="77777777" w:rsidR="0089171C" w:rsidRPr="005D4222" w:rsidRDefault="0089171C" w:rsidP="00C609BF">
                  <w:pPr>
                    <w:pStyle w:val="TableText"/>
                    <w:spacing w:before="20" w:after="20"/>
                  </w:pPr>
                  <w:r w:rsidRPr="005D4222">
                    <w:t xml:space="preserve">For each Stratification </w:t>
                  </w:r>
                </w:p>
              </w:tc>
            </w:tr>
            <w:tr w:rsidR="0089171C" w:rsidRPr="005D4222" w14:paraId="0452779E" w14:textId="77777777" w:rsidTr="00A53E8C">
              <w:tc>
                <w:tcPr>
                  <w:tcW w:w="983" w:type="dxa"/>
                  <w:tcBorders>
                    <w:top w:val="single" w:sz="6" w:space="0" w:color="auto"/>
                    <w:left w:val="nil"/>
                    <w:bottom w:val="nil"/>
                    <w:right w:val="single" w:sz="6" w:space="0" w:color="auto"/>
                  </w:tcBorders>
                  <w:shd w:val="clear" w:color="auto" w:fill="FFFFFF" w:themeFill="background1"/>
                  <w:tcMar>
                    <w:left w:w="86" w:type="dxa"/>
                    <w:right w:w="86" w:type="dxa"/>
                  </w:tcMar>
                  <w:hideMark/>
                </w:tcPr>
                <w:p w14:paraId="5DD1737B" w14:textId="77777777" w:rsidR="0089171C" w:rsidRPr="005D4222" w:rsidRDefault="0089171C" w:rsidP="00C609BF">
                  <w:pPr>
                    <w:pStyle w:val="TableText"/>
                    <w:spacing w:before="20" w:after="20"/>
                  </w:pPr>
                  <w:r w:rsidRPr="005D4222">
                    <w:t xml:space="preserve"> </w:t>
                  </w:r>
                </w:p>
              </w:tc>
              <w:tc>
                <w:tcPr>
                  <w:tcW w:w="3150"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474814D8" w14:textId="77777777" w:rsidR="0089171C" w:rsidRPr="005D4222" w:rsidRDefault="0089171C" w:rsidP="00C609BF">
                  <w:pPr>
                    <w:pStyle w:val="TableText"/>
                    <w:spacing w:before="20" w:after="20"/>
                  </w:pPr>
                  <w:r w:rsidRPr="005D4222">
                    <w:t xml:space="preserve">Asian </w:t>
                  </w:r>
                </w:p>
              </w:tc>
              <w:tc>
                <w:tcPr>
                  <w:tcW w:w="1440"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vAlign w:val="center"/>
                  <w:hideMark/>
                </w:tcPr>
                <w:p w14:paraId="3354702C" w14:textId="77777777" w:rsidR="0089171C" w:rsidRPr="005D4222" w:rsidRDefault="0089171C" w:rsidP="00C609BF">
                  <w:pPr>
                    <w:pStyle w:val="TableText"/>
                    <w:spacing w:before="20" w:after="20"/>
                  </w:pPr>
                  <w:r w:rsidRPr="005D4222">
                    <w:t xml:space="preserve">Exclusions </w:t>
                  </w:r>
                </w:p>
              </w:tc>
              <w:tc>
                <w:tcPr>
                  <w:tcW w:w="1889" w:type="dxa"/>
                  <w:tcBorders>
                    <w:top w:val="nil"/>
                    <w:left w:val="single" w:sz="6" w:space="0" w:color="auto"/>
                    <w:bottom w:val="single" w:sz="6" w:space="0" w:color="auto"/>
                    <w:right w:val="single" w:sz="6" w:space="0" w:color="auto"/>
                  </w:tcBorders>
                  <w:shd w:val="clear" w:color="auto" w:fill="FFFFFF" w:themeFill="background1"/>
                  <w:tcMar>
                    <w:left w:w="86" w:type="dxa"/>
                    <w:right w:w="86" w:type="dxa"/>
                  </w:tcMar>
                  <w:vAlign w:val="center"/>
                  <w:hideMark/>
                </w:tcPr>
                <w:p w14:paraId="49600952" w14:textId="77777777" w:rsidR="0089171C" w:rsidRPr="005D4222" w:rsidRDefault="0089171C" w:rsidP="00C609BF">
                  <w:pPr>
                    <w:pStyle w:val="TableText"/>
                    <w:spacing w:before="20" w:after="20"/>
                  </w:pPr>
                  <w:r w:rsidRPr="005D4222">
                    <w:t xml:space="preserve">For each Stratification </w:t>
                  </w:r>
                </w:p>
              </w:tc>
            </w:tr>
            <w:tr w:rsidR="0089171C" w:rsidRPr="005D4222" w14:paraId="70CF5357" w14:textId="77777777" w:rsidTr="00A53E8C">
              <w:tc>
                <w:tcPr>
                  <w:tcW w:w="983" w:type="dxa"/>
                  <w:tcBorders>
                    <w:top w:val="nil"/>
                    <w:left w:val="nil"/>
                    <w:bottom w:val="nil"/>
                    <w:right w:val="single" w:sz="6" w:space="0" w:color="auto"/>
                  </w:tcBorders>
                  <w:shd w:val="clear" w:color="auto" w:fill="FFFFFF" w:themeFill="background1"/>
                  <w:tcMar>
                    <w:left w:w="86" w:type="dxa"/>
                    <w:right w:w="86" w:type="dxa"/>
                  </w:tcMar>
                  <w:hideMark/>
                </w:tcPr>
                <w:p w14:paraId="6AC3A04B" w14:textId="77777777" w:rsidR="0089171C" w:rsidRPr="005D4222" w:rsidRDefault="0089171C" w:rsidP="00C609BF">
                  <w:pPr>
                    <w:pStyle w:val="TableText"/>
                    <w:spacing w:before="20" w:after="20"/>
                  </w:pPr>
                  <w:r w:rsidRPr="005D4222">
                    <w:t xml:space="preserve"> </w:t>
                  </w:r>
                </w:p>
              </w:tc>
              <w:tc>
                <w:tcPr>
                  <w:tcW w:w="3150"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6DE94A6A" w14:textId="77777777" w:rsidR="0089171C" w:rsidRPr="005D4222" w:rsidRDefault="0089171C" w:rsidP="00C609BF">
                  <w:pPr>
                    <w:pStyle w:val="TableText"/>
                    <w:spacing w:before="20" w:after="20"/>
                  </w:pPr>
                  <w:r w:rsidRPr="005D4222">
                    <w:t xml:space="preserve">BlackOrAfricanAmerican </w:t>
                  </w:r>
                </w:p>
              </w:tc>
              <w:tc>
                <w:tcPr>
                  <w:tcW w:w="1440" w:type="dxa"/>
                  <w:tcBorders>
                    <w:top w:val="nil"/>
                    <w:left w:val="single" w:sz="6" w:space="0" w:color="auto"/>
                    <w:bottom w:val="single" w:sz="6" w:space="0" w:color="auto"/>
                    <w:right w:val="single" w:sz="6" w:space="0" w:color="auto"/>
                  </w:tcBorders>
                  <w:shd w:val="clear" w:color="auto" w:fill="FFFFFF" w:themeFill="background1"/>
                  <w:tcMar>
                    <w:left w:w="86" w:type="dxa"/>
                    <w:right w:w="86" w:type="dxa"/>
                  </w:tcMar>
                  <w:vAlign w:val="center"/>
                  <w:hideMark/>
                </w:tcPr>
                <w:p w14:paraId="29D8B74D" w14:textId="77777777" w:rsidR="0089171C" w:rsidRPr="005D4222" w:rsidRDefault="0089171C" w:rsidP="00C609BF">
                  <w:pPr>
                    <w:pStyle w:val="TableText"/>
                    <w:spacing w:before="20" w:after="20"/>
                  </w:pPr>
                  <w:r w:rsidRPr="005D4222">
                    <w:t xml:space="preserve">Denominator </w:t>
                  </w:r>
                </w:p>
              </w:tc>
              <w:tc>
                <w:tcPr>
                  <w:tcW w:w="1889" w:type="dxa"/>
                  <w:tcBorders>
                    <w:top w:val="nil"/>
                    <w:left w:val="single" w:sz="6" w:space="0" w:color="auto"/>
                    <w:bottom w:val="single" w:sz="6" w:space="0" w:color="auto"/>
                    <w:right w:val="single" w:sz="6" w:space="0" w:color="auto"/>
                  </w:tcBorders>
                  <w:shd w:val="clear" w:color="auto" w:fill="FFFFFF" w:themeFill="background1"/>
                  <w:tcMar>
                    <w:left w:w="86" w:type="dxa"/>
                    <w:right w:w="86" w:type="dxa"/>
                  </w:tcMar>
                  <w:vAlign w:val="center"/>
                  <w:hideMark/>
                </w:tcPr>
                <w:p w14:paraId="79FCC2EF" w14:textId="77777777" w:rsidR="0089171C" w:rsidRPr="005D4222" w:rsidRDefault="0089171C" w:rsidP="00C609BF">
                  <w:pPr>
                    <w:pStyle w:val="TableText"/>
                    <w:spacing w:before="20" w:after="20"/>
                  </w:pPr>
                  <w:r w:rsidRPr="005D4222">
                    <w:t xml:space="preserve">For each Stratification </w:t>
                  </w:r>
                </w:p>
              </w:tc>
            </w:tr>
            <w:tr w:rsidR="0089171C" w:rsidRPr="005D4222" w14:paraId="4304901E" w14:textId="77777777" w:rsidTr="00A53E8C">
              <w:tc>
                <w:tcPr>
                  <w:tcW w:w="983" w:type="dxa"/>
                  <w:tcBorders>
                    <w:top w:val="nil"/>
                    <w:left w:val="nil"/>
                    <w:bottom w:val="nil"/>
                    <w:right w:val="single" w:sz="6" w:space="0" w:color="auto"/>
                  </w:tcBorders>
                  <w:shd w:val="clear" w:color="auto" w:fill="FFFFFF" w:themeFill="background1"/>
                  <w:tcMar>
                    <w:left w:w="86" w:type="dxa"/>
                    <w:right w:w="86" w:type="dxa"/>
                  </w:tcMar>
                  <w:hideMark/>
                </w:tcPr>
                <w:p w14:paraId="5CBD2F02" w14:textId="77777777" w:rsidR="0089171C" w:rsidRPr="005D4222" w:rsidRDefault="0089171C" w:rsidP="00C609BF">
                  <w:pPr>
                    <w:pStyle w:val="TableText"/>
                    <w:spacing w:before="20" w:after="20"/>
                  </w:pPr>
                  <w:r w:rsidRPr="005D4222">
                    <w:t xml:space="preserve"> </w:t>
                  </w:r>
                </w:p>
              </w:tc>
              <w:tc>
                <w:tcPr>
                  <w:tcW w:w="3150"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tcPr>
                <w:p w14:paraId="60C14A0C" w14:textId="77777777" w:rsidR="0089171C" w:rsidRPr="005D4222" w:rsidRDefault="0089171C" w:rsidP="00C609BF">
                  <w:pPr>
                    <w:pStyle w:val="TableText"/>
                    <w:spacing w:before="20" w:after="20"/>
                  </w:pPr>
                  <w:r w:rsidRPr="005D4222">
                    <w:t>MiddleEasternOrNorthAfrican</w:t>
                  </w:r>
                </w:p>
              </w:tc>
              <w:tc>
                <w:tcPr>
                  <w:tcW w:w="1440"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vAlign w:val="center"/>
                  <w:hideMark/>
                </w:tcPr>
                <w:p w14:paraId="7242A4E5" w14:textId="77777777" w:rsidR="0089171C" w:rsidRPr="005D4222" w:rsidRDefault="0089171C" w:rsidP="00C609BF">
                  <w:pPr>
                    <w:pStyle w:val="TableText"/>
                    <w:spacing w:before="20" w:after="20"/>
                  </w:pPr>
                  <w:r w:rsidRPr="005D4222">
                    <w:t xml:space="preserve">Numerator </w:t>
                  </w:r>
                </w:p>
              </w:tc>
              <w:tc>
                <w:tcPr>
                  <w:tcW w:w="1889" w:type="dxa"/>
                  <w:tcBorders>
                    <w:top w:val="nil"/>
                    <w:left w:val="single" w:sz="6" w:space="0" w:color="auto"/>
                    <w:bottom w:val="single" w:sz="6" w:space="0" w:color="auto"/>
                    <w:right w:val="single" w:sz="6" w:space="0" w:color="auto"/>
                  </w:tcBorders>
                  <w:shd w:val="clear" w:color="auto" w:fill="FFFFFF" w:themeFill="background1"/>
                  <w:tcMar>
                    <w:left w:w="86" w:type="dxa"/>
                    <w:right w:w="86" w:type="dxa"/>
                  </w:tcMar>
                  <w:vAlign w:val="center"/>
                  <w:hideMark/>
                </w:tcPr>
                <w:p w14:paraId="01BCCCAC" w14:textId="77777777" w:rsidR="0089171C" w:rsidRPr="005D4222" w:rsidRDefault="0089171C" w:rsidP="00C609BF">
                  <w:pPr>
                    <w:pStyle w:val="TableText"/>
                    <w:spacing w:before="20" w:after="20"/>
                  </w:pPr>
                  <w:r w:rsidRPr="005D4222">
                    <w:t xml:space="preserve">For each Stratification </w:t>
                  </w:r>
                </w:p>
              </w:tc>
            </w:tr>
            <w:tr w:rsidR="0089171C" w:rsidRPr="005D4222" w14:paraId="0F4E1D2B" w14:textId="77777777" w:rsidTr="00A53E8C">
              <w:tc>
                <w:tcPr>
                  <w:tcW w:w="983" w:type="dxa"/>
                  <w:tcBorders>
                    <w:top w:val="nil"/>
                    <w:left w:val="nil"/>
                    <w:bottom w:val="nil"/>
                    <w:right w:val="single" w:sz="6" w:space="0" w:color="auto"/>
                  </w:tcBorders>
                  <w:shd w:val="clear" w:color="auto" w:fill="FFFFFF" w:themeFill="background1"/>
                  <w:tcMar>
                    <w:left w:w="86" w:type="dxa"/>
                    <w:right w:w="86" w:type="dxa"/>
                  </w:tcMar>
                  <w:hideMark/>
                </w:tcPr>
                <w:p w14:paraId="21199A22" w14:textId="77777777" w:rsidR="0089171C" w:rsidRPr="005D4222" w:rsidRDefault="0089171C" w:rsidP="00C609BF">
                  <w:pPr>
                    <w:pStyle w:val="TableText"/>
                    <w:spacing w:before="20" w:after="20"/>
                  </w:pPr>
                  <w:r w:rsidRPr="005D4222">
                    <w:t xml:space="preserve"> </w:t>
                  </w:r>
                </w:p>
              </w:tc>
              <w:tc>
                <w:tcPr>
                  <w:tcW w:w="3150"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6E3ABC8D" w14:textId="77777777" w:rsidR="0089171C" w:rsidRPr="005D4222" w:rsidRDefault="0089171C" w:rsidP="00C609BF">
                  <w:pPr>
                    <w:pStyle w:val="TableText"/>
                    <w:spacing w:before="20" w:after="20"/>
                  </w:pPr>
                  <w:r w:rsidRPr="005D4222">
                    <w:t xml:space="preserve">NativeHawaiianOrPacificIslander </w:t>
                  </w:r>
                </w:p>
              </w:tc>
              <w:tc>
                <w:tcPr>
                  <w:tcW w:w="144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86" w:type="dxa"/>
                    <w:right w:w="86" w:type="dxa"/>
                  </w:tcMar>
                  <w:vAlign w:val="center"/>
                  <w:hideMark/>
                </w:tcPr>
                <w:p w14:paraId="5E6061E2" w14:textId="77777777" w:rsidR="0089171C" w:rsidRPr="005D4222" w:rsidRDefault="0089171C" w:rsidP="00C609BF">
                  <w:pPr>
                    <w:pStyle w:val="TableText"/>
                    <w:spacing w:before="20" w:after="20"/>
                  </w:pPr>
                  <w:r w:rsidRPr="005D4222">
                    <w:t xml:space="preserve">Rate </w:t>
                  </w:r>
                </w:p>
              </w:tc>
              <w:tc>
                <w:tcPr>
                  <w:tcW w:w="188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86" w:type="dxa"/>
                    <w:right w:w="86" w:type="dxa"/>
                  </w:tcMar>
                  <w:vAlign w:val="center"/>
                  <w:hideMark/>
                </w:tcPr>
                <w:p w14:paraId="32981443" w14:textId="77777777" w:rsidR="0089171C" w:rsidRPr="005D4222" w:rsidRDefault="0089171C" w:rsidP="00C609BF">
                  <w:pPr>
                    <w:pStyle w:val="TableText"/>
                    <w:spacing w:before="20" w:after="20"/>
                  </w:pPr>
                  <w:r w:rsidRPr="005D4222">
                    <w:t xml:space="preserve">(Percent) </w:t>
                  </w:r>
                </w:p>
              </w:tc>
            </w:tr>
            <w:tr w:rsidR="0089171C" w:rsidRPr="005D4222" w14:paraId="58C48458" w14:textId="77777777" w:rsidTr="00A53E8C">
              <w:tc>
                <w:tcPr>
                  <w:tcW w:w="983" w:type="dxa"/>
                  <w:tcBorders>
                    <w:top w:val="nil"/>
                    <w:left w:val="nil"/>
                    <w:bottom w:val="nil"/>
                    <w:right w:val="single" w:sz="6" w:space="0" w:color="auto"/>
                  </w:tcBorders>
                  <w:shd w:val="clear" w:color="auto" w:fill="FFFFFF" w:themeFill="background1"/>
                  <w:tcMar>
                    <w:left w:w="86" w:type="dxa"/>
                    <w:right w:w="86" w:type="dxa"/>
                  </w:tcMar>
                  <w:hideMark/>
                </w:tcPr>
                <w:p w14:paraId="42C1B165" w14:textId="77777777" w:rsidR="0089171C" w:rsidRPr="005D4222" w:rsidRDefault="0089171C" w:rsidP="00C609BF">
                  <w:pPr>
                    <w:pStyle w:val="TableText"/>
                    <w:spacing w:before="20" w:after="20"/>
                  </w:pPr>
                  <w:r w:rsidRPr="005D4222">
                    <w:t xml:space="preserve"> </w:t>
                  </w:r>
                </w:p>
              </w:tc>
              <w:tc>
                <w:tcPr>
                  <w:tcW w:w="3150"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1BBF4111" w14:textId="77777777" w:rsidR="0089171C" w:rsidRPr="005D4222" w:rsidRDefault="0089171C" w:rsidP="00C609BF">
                  <w:pPr>
                    <w:pStyle w:val="TableText"/>
                    <w:spacing w:before="20" w:after="20"/>
                  </w:pPr>
                  <w:r w:rsidRPr="005D4222">
                    <w:t>White</w:t>
                  </w:r>
                </w:p>
              </w:tc>
              <w:tc>
                <w:tcPr>
                  <w:tcW w:w="1440" w:type="dxa"/>
                  <w:tcBorders>
                    <w:top w:val="single" w:sz="6" w:space="0" w:color="auto"/>
                    <w:left w:val="nil"/>
                    <w:bottom w:val="nil"/>
                    <w:right w:val="nil"/>
                  </w:tcBorders>
                  <w:tcMar>
                    <w:left w:w="86" w:type="dxa"/>
                    <w:right w:w="86" w:type="dxa"/>
                  </w:tcMar>
                  <w:vAlign w:val="center"/>
                  <w:hideMark/>
                </w:tcPr>
                <w:p w14:paraId="132FE6B2" w14:textId="77777777" w:rsidR="0089171C" w:rsidRPr="005D4222" w:rsidRDefault="0089171C" w:rsidP="00C609BF">
                  <w:pPr>
                    <w:pStyle w:val="TableText"/>
                    <w:spacing w:before="20" w:after="20"/>
                  </w:pPr>
                  <w:r w:rsidRPr="005D4222">
                    <w:t xml:space="preserve"> </w:t>
                  </w:r>
                </w:p>
              </w:tc>
              <w:tc>
                <w:tcPr>
                  <w:tcW w:w="1889" w:type="dxa"/>
                  <w:tcBorders>
                    <w:top w:val="single" w:sz="6" w:space="0" w:color="auto"/>
                    <w:left w:val="nil"/>
                    <w:bottom w:val="nil"/>
                    <w:right w:val="nil"/>
                  </w:tcBorders>
                  <w:tcMar>
                    <w:left w:w="86" w:type="dxa"/>
                    <w:right w:w="86" w:type="dxa"/>
                  </w:tcMar>
                  <w:vAlign w:val="center"/>
                  <w:hideMark/>
                </w:tcPr>
                <w:p w14:paraId="2FB1F303" w14:textId="77777777" w:rsidR="0089171C" w:rsidRPr="005D4222" w:rsidRDefault="0089171C" w:rsidP="00C609BF">
                  <w:pPr>
                    <w:pStyle w:val="TableText"/>
                    <w:spacing w:before="20" w:after="20"/>
                  </w:pPr>
                  <w:r w:rsidRPr="005D4222">
                    <w:t xml:space="preserve"> </w:t>
                  </w:r>
                </w:p>
              </w:tc>
            </w:tr>
            <w:tr w:rsidR="0089171C" w:rsidRPr="005D4222" w14:paraId="0EA953CE" w14:textId="77777777" w:rsidTr="00A53E8C">
              <w:tc>
                <w:tcPr>
                  <w:tcW w:w="983" w:type="dxa"/>
                  <w:tcBorders>
                    <w:top w:val="nil"/>
                    <w:left w:val="nil"/>
                    <w:bottom w:val="nil"/>
                    <w:right w:val="single" w:sz="6" w:space="0" w:color="auto"/>
                  </w:tcBorders>
                  <w:tcMar>
                    <w:left w:w="86" w:type="dxa"/>
                    <w:right w:w="86" w:type="dxa"/>
                  </w:tcMar>
                  <w:hideMark/>
                </w:tcPr>
                <w:p w14:paraId="0615FE09" w14:textId="77777777" w:rsidR="0089171C" w:rsidRPr="005D4222" w:rsidRDefault="0089171C" w:rsidP="00C609BF">
                  <w:pPr>
                    <w:pStyle w:val="TableText"/>
                    <w:spacing w:before="20" w:after="20"/>
                  </w:pPr>
                  <w:r w:rsidRPr="005D4222">
                    <w:t xml:space="preserve"> </w:t>
                  </w:r>
                </w:p>
              </w:tc>
              <w:tc>
                <w:tcPr>
                  <w:tcW w:w="3150"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14BF5F7C" w14:textId="77777777" w:rsidR="0089171C" w:rsidRPr="005D4222" w:rsidRDefault="0089171C" w:rsidP="00C609BF">
                  <w:pPr>
                    <w:pStyle w:val="TableText"/>
                    <w:spacing w:before="20" w:after="20"/>
                  </w:pPr>
                  <w:r w:rsidRPr="005D4222">
                    <w:t xml:space="preserve">SomeOtherRace </w:t>
                  </w:r>
                </w:p>
              </w:tc>
              <w:tc>
                <w:tcPr>
                  <w:tcW w:w="1440" w:type="dxa"/>
                  <w:tcBorders>
                    <w:top w:val="nil"/>
                    <w:left w:val="nil"/>
                    <w:bottom w:val="nil"/>
                    <w:right w:val="nil"/>
                  </w:tcBorders>
                  <w:tcMar>
                    <w:left w:w="86" w:type="dxa"/>
                    <w:right w:w="86" w:type="dxa"/>
                  </w:tcMar>
                  <w:vAlign w:val="center"/>
                  <w:hideMark/>
                </w:tcPr>
                <w:p w14:paraId="0CBEE514" w14:textId="77777777" w:rsidR="0089171C" w:rsidRPr="005D4222" w:rsidRDefault="0089171C" w:rsidP="00C609BF">
                  <w:pPr>
                    <w:pStyle w:val="TableText"/>
                    <w:spacing w:before="20" w:after="20"/>
                  </w:pPr>
                  <w:r w:rsidRPr="005D4222">
                    <w:t xml:space="preserve"> </w:t>
                  </w:r>
                </w:p>
              </w:tc>
              <w:tc>
                <w:tcPr>
                  <w:tcW w:w="1889" w:type="dxa"/>
                  <w:tcBorders>
                    <w:top w:val="nil"/>
                    <w:left w:val="nil"/>
                    <w:bottom w:val="nil"/>
                    <w:right w:val="nil"/>
                  </w:tcBorders>
                  <w:tcMar>
                    <w:left w:w="86" w:type="dxa"/>
                    <w:right w:w="86" w:type="dxa"/>
                  </w:tcMar>
                  <w:vAlign w:val="center"/>
                  <w:hideMark/>
                </w:tcPr>
                <w:p w14:paraId="1266D941" w14:textId="77777777" w:rsidR="0089171C" w:rsidRPr="005D4222" w:rsidRDefault="0089171C" w:rsidP="00C609BF">
                  <w:pPr>
                    <w:pStyle w:val="TableText"/>
                    <w:spacing w:before="20" w:after="20"/>
                  </w:pPr>
                  <w:r w:rsidRPr="005D4222">
                    <w:t xml:space="preserve"> </w:t>
                  </w:r>
                </w:p>
              </w:tc>
            </w:tr>
            <w:tr w:rsidR="0089171C" w:rsidRPr="005D4222" w14:paraId="7B46902C" w14:textId="77777777" w:rsidTr="00A53E8C">
              <w:tc>
                <w:tcPr>
                  <w:tcW w:w="983" w:type="dxa"/>
                  <w:tcBorders>
                    <w:top w:val="nil"/>
                    <w:left w:val="nil"/>
                    <w:bottom w:val="nil"/>
                    <w:right w:val="single" w:sz="6" w:space="0" w:color="auto"/>
                  </w:tcBorders>
                  <w:shd w:val="clear" w:color="auto" w:fill="FFFFFF" w:themeFill="background1"/>
                  <w:tcMar>
                    <w:left w:w="86" w:type="dxa"/>
                    <w:right w:w="86" w:type="dxa"/>
                  </w:tcMar>
                  <w:hideMark/>
                </w:tcPr>
                <w:p w14:paraId="1100BA5D" w14:textId="77777777" w:rsidR="0089171C" w:rsidRPr="005D4222" w:rsidRDefault="0089171C" w:rsidP="00C609BF">
                  <w:pPr>
                    <w:pStyle w:val="TableText"/>
                    <w:spacing w:before="20" w:after="20"/>
                  </w:pPr>
                  <w:r w:rsidRPr="005D4222">
                    <w:t xml:space="preserve"> </w:t>
                  </w:r>
                </w:p>
              </w:tc>
              <w:tc>
                <w:tcPr>
                  <w:tcW w:w="3150" w:type="dxa"/>
                  <w:tcBorders>
                    <w:top w:val="single" w:sz="6" w:space="0" w:color="auto"/>
                    <w:left w:val="single" w:sz="6" w:space="0" w:color="auto"/>
                    <w:bottom w:val="single" w:sz="6" w:space="0" w:color="auto"/>
                    <w:right w:val="single" w:sz="6" w:space="0" w:color="auto"/>
                  </w:tcBorders>
                  <w:tcMar>
                    <w:left w:w="86" w:type="dxa"/>
                    <w:right w:w="86" w:type="dxa"/>
                  </w:tcMar>
                  <w:hideMark/>
                </w:tcPr>
                <w:p w14:paraId="63FA41EC" w14:textId="77777777" w:rsidR="0089171C" w:rsidRPr="005D4222" w:rsidRDefault="0089171C" w:rsidP="00C609BF">
                  <w:pPr>
                    <w:pStyle w:val="TableText"/>
                    <w:spacing w:before="20" w:after="20"/>
                  </w:pPr>
                  <w:r w:rsidRPr="005D4222">
                    <w:t xml:space="preserve">TwoOrMoreRaces </w:t>
                  </w:r>
                </w:p>
              </w:tc>
              <w:tc>
                <w:tcPr>
                  <w:tcW w:w="1440" w:type="dxa"/>
                  <w:tcBorders>
                    <w:top w:val="nil"/>
                    <w:left w:val="nil"/>
                    <w:bottom w:val="nil"/>
                    <w:right w:val="nil"/>
                  </w:tcBorders>
                  <w:shd w:val="clear" w:color="auto" w:fill="FFFFFF" w:themeFill="background1"/>
                  <w:tcMar>
                    <w:left w:w="86" w:type="dxa"/>
                    <w:right w:w="86" w:type="dxa"/>
                  </w:tcMar>
                  <w:vAlign w:val="center"/>
                  <w:hideMark/>
                </w:tcPr>
                <w:p w14:paraId="12BFE729" w14:textId="77777777" w:rsidR="0089171C" w:rsidRPr="005D4222" w:rsidRDefault="0089171C" w:rsidP="00C609BF">
                  <w:pPr>
                    <w:pStyle w:val="TableText"/>
                    <w:spacing w:before="20" w:after="20"/>
                  </w:pPr>
                  <w:r w:rsidRPr="005D4222">
                    <w:t xml:space="preserve"> </w:t>
                  </w:r>
                </w:p>
              </w:tc>
              <w:tc>
                <w:tcPr>
                  <w:tcW w:w="1889" w:type="dxa"/>
                  <w:tcBorders>
                    <w:top w:val="nil"/>
                    <w:left w:val="nil"/>
                    <w:bottom w:val="nil"/>
                    <w:right w:val="nil"/>
                  </w:tcBorders>
                  <w:shd w:val="clear" w:color="auto" w:fill="FFFFFF" w:themeFill="background1"/>
                  <w:tcMar>
                    <w:left w:w="86" w:type="dxa"/>
                    <w:right w:w="86" w:type="dxa"/>
                  </w:tcMar>
                  <w:vAlign w:val="center"/>
                  <w:hideMark/>
                </w:tcPr>
                <w:p w14:paraId="6713BD00" w14:textId="77777777" w:rsidR="0089171C" w:rsidRPr="005D4222" w:rsidRDefault="0089171C" w:rsidP="00C609BF">
                  <w:pPr>
                    <w:pStyle w:val="TableText"/>
                    <w:spacing w:before="20" w:after="20"/>
                  </w:pPr>
                  <w:r w:rsidRPr="005D4222">
                    <w:t xml:space="preserve"> </w:t>
                  </w:r>
                </w:p>
              </w:tc>
            </w:tr>
            <w:tr w:rsidR="0089171C" w:rsidRPr="005D4222" w14:paraId="21F57F65" w14:textId="77777777" w:rsidTr="00A53E8C">
              <w:tc>
                <w:tcPr>
                  <w:tcW w:w="983" w:type="dxa"/>
                  <w:tcBorders>
                    <w:top w:val="nil"/>
                    <w:left w:val="nil"/>
                    <w:bottom w:val="nil"/>
                    <w:right w:val="single" w:sz="6" w:space="0" w:color="auto"/>
                  </w:tcBorders>
                  <w:shd w:val="clear" w:color="auto" w:fill="FFFFFF" w:themeFill="background1"/>
                  <w:tcMar>
                    <w:left w:w="86" w:type="dxa"/>
                    <w:right w:w="86" w:type="dxa"/>
                  </w:tcMar>
                  <w:hideMark/>
                </w:tcPr>
                <w:p w14:paraId="5D15ECC1" w14:textId="77777777" w:rsidR="0089171C" w:rsidRPr="005D4222" w:rsidRDefault="0089171C" w:rsidP="00C609BF">
                  <w:pPr>
                    <w:pStyle w:val="TableText"/>
                    <w:spacing w:before="20" w:after="20"/>
                    <w:rPr>
                      <w:rFonts w:ascii="Times New Roman" w:hAnsi="Times New Roman"/>
                      <w:sz w:val="24"/>
                      <w:szCs w:val="24"/>
                    </w:rPr>
                  </w:pPr>
                  <w:r w:rsidRPr="005D4222">
                    <w:t xml:space="preserve"> </w:t>
                  </w:r>
                </w:p>
              </w:tc>
              <w:tc>
                <w:tcPr>
                  <w:tcW w:w="3150"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2D28A339" w14:textId="77777777" w:rsidR="0089171C" w:rsidRPr="005D4222" w:rsidRDefault="0089171C" w:rsidP="00C609BF">
                  <w:pPr>
                    <w:pStyle w:val="TableText"/>
                    <w:spacing w:before="20" w:after="20"/>
                    <w:rPr>
                      <w:rFonts w:ascii="Times New Roman" w:hAnsi="Times New Roman"/>
                      <w:sz w:val="24"/>
                      <w:szCs w:val="24"/>
                    </w:rPr>
                  </w:pPr>
                  <w:r w:rsidRPr="005D4222">
                    <w:t>AskedButNoAnswer</w:t>
                  </w:r>
                </w:p>
              </w:tc>
              <w:tc>
                <w:tcPr>
                  <w:tcW w:w="1440" w:type="dxa"/>
                  <w:tcBorders>
                    <w:top w:val="nil"/>
                    <w:left w:val="nil"/>
                    <w:bottom w:val="nil"/>
                    <w:right w:val="nil"/>
                  </w:tcBorders>
                  <w:shd w:val="clear" w:color="auto" w:fill="FFFFFF" w:themeFill="background1"/>
                  <w:tcMar>
                    <w:left w:w="86" w:type="dxa"/>
                    <w:right w:w="86" w:type="dxa"/>
                  </w:tcMar>
                  <w:vAlign w:val="center"/>
                  <w:hideMark/>
                </w:tcPr>
                <w:p w14:paraId="0B0A85E5" w14:textId="77777777" w:rsidR="0089171C" w:rsidRPr="005D4222" w:rsidRDefault="0089171C" w:rsidP="00C609BF">
                  <w:pPr>
                    <w:pStyle w:val="TableText"/>
                    <w:spacing w:before="20" w:after="20"/>
                    <w:rPr>
                      <w:rFonts w:ascii="Times New Roman" w:hAnsi="Times New Roman"/>
                      <w:sz w:val="24"/>
                      <w:szCs w:val="24"/>
                    </w:rPr>
                  </w:pPr>
                  <w:r w:rsidRPr="005D4222">
                    <w:t xml:space="preserve"> </w:t>
                  </w:r>
                </w:p>
              </w:tc>
              <w:tc>
                <w:tcPr>
                  <w:tcW w:w="1889" w:type="dxa"/>
                  <w:tcBorders>
                    <w:top w:val="nil"/>
                    <w:left w:val="nil"/>
                    <w:bottom w:val="nil"/>
                    <w:right w:val="nil"/>
                  </w:tcBorders>
                  <w:shd w:val="clear" w:color="auto" w:fill="FFFFFF" w:themeFill="background1"/>
                  <w:tcMar>
                    <w:left w:w="86" w:type="dxa"/>
                    <w:right w:w="86" w:type="dxa"/>
                  </w:tcMar>
                  <w:vAlign w:val="center"/>
                  <w:hideMark/>
                </w:tcPr>
                <w:p w14:paraId="2DBF60E8" w14:textId="77777777" w:rsidR="0089171C" w:rsidRPr="005D4222" w:rsidRDefault="0089171C" w:rsidP="00C609BF">
                  <w:pPr>
                    <w:pStyle w:val="TableText"/>
                    <w:spacing w:before="20" w:after="20"/>
                    <w:rPr>
                      <w:rFonts w:ascii="Times New Roman" w:hAnsi="Times New Roman"/>
                      <w:sz w:val="24"/>
                      <w:szCs w:val="24"/>
                    </w:rPr>
                  </w:pPr>
                  <w:r w:rsidRPr="005D4222">
                    <w:t xml:space="preserve"> </w:t>
                  </w:r>
                </w:p>
              </w:tc>
            </w:tr>
            <w:tr w:rsidR="0089171C" w:rsidRPr="005D4222" w14:paraId="7D1CED1C" w14:textId="77777777" w:rsidTr="00A53E8C">
              <w:tc>
                <w:tcPr>
                  <w:tcW w:w="983" w:type="dxa"/>
                  <w:tcBorders>
                    <w:top w:val="nil"/>
                    <w:left w:val="nil"/>
                    <w:bottom w:val="nil"/>
                    <w:right w:val="single" w:sz="6" w:space="0" w:color="auto"/>
                  </w:tcBorders>
                  <w:shd w:val="clear" w:color="auto" w:fill="FFFFFF" w:themeFill="background1"/>
                  <w:tcMar>
                    <w:left w:w="86" w:type="dxa"/>
                    <w:right w:w="86" w:type="dxa"/>
                  </w:tcMar>
                </w:tcPr>
                <w:p w14:paraId="62251ABC" w14:textId="77777777" w:rsidR="0089171C" w:rsidRPr="005D4222" w:rsidRDefault="0089171C" w:rsidP="00C609BF">
                  <w:pPr>
                    <w:pStyle w:val="TableText"/>
                    <w:spacing w:before="20" w:after="20"/>
                  </w:pPr>
                </w:p>
              </w:tc>
              <w:tc>
                <w:tcPr>
                  <w:tcW w:w="3150"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tcPr>
                <w:p w14:paraId="447F7E5B" w14:textId="77777777" w:rsidR="0089171C" w:rsidRPr="005D4222" w:rsidRDefault="0089171C" w:rsidP="00C609BF">
                  <w:pPr>
                    <w:pStyle w:val="TableText"/>
                    <w:spacing w:before="20" w:after="20"/>
                  </w:pPr>
                  <w:r w:rsidRPr="005D4222">
                    <w:t>Unknown</w:t>
                  </w:r>
                </w:p>
              </w:tc>
              <w:tc>
                <w:tcPr>
                  <w:tcW w:w="1440" w:type="dxa"/>
                  <w:tcBorders>
                    <w:top w:val="nil"/>
                    <w:left w:val="nil"/>
                    <w:bottom w:val="nil"/>
                    <w:right w:val="nil"/>
                  </w:tcBorders>
                  <w:shd w:val="clear" w:color="auto" w:fill="FFFFFF" w:themeFill="background1"/>
                  <w:tcMar>
                    <w:left w:w="86" w:type="dxa"/>
                    <w:right w:w="86" w:type="dxa"/>
                  </w:tcMar>
                  <w:vAlign w:val="center"/>
                </w:tcPr>
                <w:p w14:paraId="6A1F3DA7" w14:textId="77777777" w:rsidR="0089171C" w:rsidRPr="005D4222" w:rsidRDefault="0089171C" w:rsidP="00C609BF">
                  <w:pPr>
                    <w:pStyle w:val="TableText"/>
                    <w:spacing w:before="20" w:after="20"/>
                  </w:pPr>
                </w:p>
              </w:tc>
              <w:tc>
                <w:tcPr>
                  <w:tcW w:w="1889" w:type="dxa"/>
                  <w:tcBorders>
                    <w:top w:val="nil"/>
                    <w:left w:val="nil"/>
                    <w:bottom w:val="nil"/>
                    <w:right w:val="nil"/>
                  </w:tcBorders>
                  <w:shd w:val="clear" w:color="auto" w:fill="FFFFFF" w:themeFill="background1"/>
                  <w:tcMar>
                    <w:left w:w="86" w:type="dxa"/>
                    <w:right w:w="86" w:type="dxa"/>
                  </w:tcMar>
                  <w:vAlign w:val="center"/>
                </w:tcPr>
                <w:p w14:paraId="4B8D0C47" w14:textId="77777777" w:rsidR="0089171C" w:rsidRPr="005D4222" w:rsidRDefault="0089171C" w:rsidP="00C609BF">
                  <w:pPr>
                    <w:pStyle w:val="TableText"/>
                    <w:spacing w:before="20" w:after="20"/>
                  </w:pPr>
                </w:p>
              </w:tc>
            </w:tr>
          </w:tbl>
          <w:p w14:paraId="59C14BE6" w14:textId="77777777" w:rsidR="0089171C" w:rsidRPr="005D4222" w:rsidRDefault="0089171C" w:rsidP="00A53E8C">
            <w:pPr>
              <w:spacing w:before="40" w:after="80"/>
              <w:textAlignment w:val="baseline"/>
              <w:rPr>
                <w:rFonts w:ascii="Arial Narrow" w:hAnsi="Arial Narrow" w:cs="Segoe UI"/>
                <w:kern w:val="20"/>
              </w:rPr>
            </w:pPr>
          </w:p>
        </w:tc>
      </w:tr>
      <w:tr w:rsidR="0089171C" w:rsidRPr="005D4222" w14:paraId="5F893F70" w14:textId="77777777" w:rsidTr="0091715B">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3D1403A" w14:textId="77777777" w:rsidR="0089171C" w:rsidRPr="005D4222" w:rsidRDefault="0089171C" w:rsidP="00A53E8C">
            <w:pPr>
              <w:pStyle w:val="ECDSMarginHead"/>
            </w:pP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D99B9AD" w14:textId="0CA2942F" w:rsidR="0089171C" w:rsidRPr="005D4222" w:rsidRDefault="0089171C" w:rsidP="00A53E8C">
            <w:pPr>
              <w:pStyle w:val="Heading3"/>
              <w:spacing w:before="120"/>
              <w:rPr>
                <w:kern w:val="20"/>
              </w:rPr>
            </w:pPr>
            <w:r w:rsidRPr="005D4222">
              <w:rPr>
                <w:kern w:val="20"/>
              </w:rPr>
              <w:t xml:space="preserve">Table CIS-E-C-1/2: Data Elements for Childhood Immunization Status: </w:t>
            </w:r>
            <w:r w:rsidR="00B51CDC" w:rsidRPr="005D4222">
              <w:rPr>
                <w:kern w:val="20"/>
              </w:rPr>
              <w:t>Stratifications</w:t>
            </w:r>
            <w:r w:rsidRPr="005D4222">
              <w:rPr>
                <w:kern w:val="20"/>
              </w:rPr>
              <w:t xml:space="preserve"> by Ethnicity </w:t>
            </w:r>
          </w:p>
          <w:tbl>
            <w:tblPr>
              <w:tblW w:w="5000" w:type="pct"/>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239"/>
              <w:gridCol w:w="2223"/>
              <w:gridCol w:w="1572"/>
              <w:gridCol w:w="2339"/>
            </w:tblGrid>
            <w:tr w:rsidR="0089171C" w:rsidRPr="005D4222" w14:paraId="7B84381E" w14:textId="77777777" w:rsidTr="00A53E8C">
              <w:tc>
                <w:tcPr>
                  <w:tcW w:w="1253" w:type="dxa"/>
                  <w:tcBorders>
                    <w:top w:val="single" w:sz="6" w:space="0" w:color="auto"/>
                    <w:left w:val="single" w:sz="6" w:space="0" w:color="auto"/>
                    <w:bottom w:val="single" w:sz="6" w:space="0" w:color="auto"/>
                    <w:right w:val="single" w:sz="4" w:space="0" w:color="FFFFFF" w:themeColor="background1"/>
                  </w:tcBorders>
                  <w:shd w:val="clear" w:color="auto" w:fill="000000" w:themeFill="text1"/>
                  <w:tcMar>
                    <w:left w:w="86" w:type="dxa"/>
                    <w:right w:w="86" w:type="dxa"/>
                  </w:tcMar>
                  <w:vAlign w:val="center"/>
                  <w:hideMark/>
                </w:tcPr>
                <w:p w14:paraId="7D74FC0F" w14:textId="77777777" w:rsidR="0089171C" w:rsidRPr="005D4222" w:rsidRDefault="0089171C" w:rsidP="00A53E8C">
                  <w:pPr>
                    <w:pStyle w:val="TableHead"/>
                    <w:spacing w:before="40" w:after="40"/>
                  </w:pPr>
                  <w:r w:rsidRPr="005D4222">
                    <w:t xml:space="preserve">Metric </w:t>
                  </w:r>
                </w:p>
              </w:tc>
              <w:tc>
                <w:tcPr>
                  <w:tcW w:w="2250" w:type="dxa"/>
                  <w:tcBorders>
                    <w:top w:val="single" w:sz="6" w:space="0" w:color="auto"/>
                    <w:left w:val="single" w:sz="4" w:space="0" w:color="FFFFFF" w:themeColor="background1"/>
                    <w:bottom w:val="single" w:sz="6" w:space="0" w:color="auto"/>
                    <w:right w:val="single" w:sz="6" w:space="0" w:color="FFFFFF" w:themeColor="background1"/>
                  </w:tcBorders>
                  <w:shd w:val="clear" w:color="auto" w:fill="000000" w:themeFill="text1"/>
                  <w:tcMar>
                    <w:left w:w="86" w:type="dxa"/>
                    <w:right w:w="86" w:type="dxa"/>
                  </w:tcMar>
                  <w:vAlign w:val="center"/>
                  <w:hideMark/>
                </w:tcPr>
                <w:p w14:paraId="0BF6BFF7" w14:textId="77777777" w:rsidR="0089171C" w:rsidRPr="005D4222" w:rsidRDefault="0089171C" w:rsidP="00A53E8C">
                  <w:pPr>
                    <w:pStyle w:val="TableHead"/>
                    <w:spacing w:before="40" w:after="40"/>
                  </w:pPr>
                  <w:r w:rsidRPr="005D4222">
                    <w:t xml:space="preserve">Ethnicity </w:t>
                  </w:r>
                </w:p>
              </w:tc>
              <w:tc>
                <w:tcPr>
                  <w:tcW w:w="1591" w:type="dxa"/>
                  <w:tcBorders>
                    <w:top w:val="single" w:sz="6" w:space="0" w:color="auto"/>
                    <w:left w:val="single" w:sz="6" w:space="0" w:color="FFFFFF" w:themeColor="background1"/>
                    <w:bottom w:val="single" w:sz="6" w:space="0" w:color="auto"/>
                    <w:right w:val="single" w:sz="6" w:space="0" w:color="FFFFFF" w:themeColor="background1"/>
                  </w:tcBorders>
                  <w:shd w:val="clear" w:color="auto" w:fill="000000" w:themeFill="text1"/>
                  <w:tcMar>
                    <w:left w:w="86" w:type="dxa"/>
                    <w:right w:w="86" w:type="dxa"/>
                  </w:tcMar>
                  <w:vAlign w:val="center"/>
                  <w:hideMark/>
                </w:tcPr>
                <w:p w14:paraId="142F2B98" w14:textId="77777777" w:rsidR="0089171C" w:rsidRPr="005D4222" w:rsidRDefault="0089171C" w:rsidP="00A53E8C">
                  <w:pPr>
                    <w:pStyle w:val="TableHead"/>
                    <w:spacing w:before="40" w:after="40"/>
                  </w:pPr>
                  <w:r w:rsidRPr="005D4222">
                    <w:t xml:space="preserve">Data Element </w:t>
                  </w:r>
                </w:p>
              </w:tc>
              <w:tc>
                <w:tcPr>
                  <w:tcW w:w="2368" w:type="dxa"/>
                  <w:tcBorders>
                    <w:top w:val="single" w:sz="6" w:space="0" w:color="auto"/>
                    <w:left w:val="single" w:sz="6" w:space="0" w:color="FFFFFF" w:themeColor="background1"/>
                    <w:bottom w:val="single" w:sz="6" w:space="0" w:color="auto"/>
                    <w:right w:val="single" w:sz="6" w:space="0" w:color="auto"/>
                  </w:tcBorders>
                  <w:shd w:val="clear" w:color="auto" w:fill="000000" w:themeFill="text1"/>
                  <w:tcMar>
                    <w:left w:w="86" w:type="dxa"/>
                    <w:right w:w="86" w:type="dxa"/>
                  </w:tcMar>
                  <w:vAlign w:val="center"/>
                  <w:hideMark/>
                </w:tcPr>
                <w:p w14:paraId="70A816EB" w14:textId="77777777" w:rsidR="0089171C" w:rsidRPr="005D4222" w:rsidRDefault="0089171C" w:rsidP="00A53E8C">
                  <w:pPr>
                    <w:pStyle w:val="TableHead"/>
                    <w:spacing w:before="40" w:after="40"/>
                  </w:pPr>
                  <w:r w:rsidRPr="005D4222">
                    <w:t xml:space="preserve">Reporting Instructions </w:t>
                  </w:r>
                </w:p>
              </w:tc>
            </w:tr>
            <w:tr w:rsidR="0089171C" w:rsidRPr="005D4222" w14:paraId="32858C90" w14:textId="77777777" w:rsidTr="00A53E8C">
              <w:tc>
                <w:tcPr>
                  <w:tcW w:w="1253"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vAlign w:val="center"/>
                  <w:hideMark/>
                </w:tcPr>
                <w:p w14:paraId="1A69D5C1" w14:textId="77777777" w:rsidR="0089171C" w:rsidRPr="005D4222" w:rsidRDefault="0089171C" w:rsidP="00A53E8C">
                  <w:pPr>
                    <w:pStyle w:val="TableText"/>
                    <w:spacing w:before="40" w:after="40"/>
                    <w:rPr>
                      <w:rFonts w:ascii="Times New Roman" w:hAnsi="Times New Roman"/>
                      <w:sz w:val="24"/>
                      <w:szCs w:val="24"/>
                    </w:rPr>
                  </w:pPr>
                  <w:r w:rsidRPr="005D4222">
                    <w:t xml:space="preserve">Combo10 </w:t>
                  </w:r>
                </w:p>
              </w:tc>
              <w:tc>
                <w:tcPr>
                  <w:tcW w:w="2250"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693A1485" w14:textId="77777777" w:rsidR="0089171C" w:rsidRPr="005D4222" w:rsidRDefault="0089171C" w:rsidP="00A53E8C">
                  <w:pPr>
                    <w:pStyle w:val="TableText"/>
                    <w:spacing w:before="40" w:after="40"/>
                    <w:rPr>
                      <w:rFonts w:ascii="Times New Roman" w:hAnsi="Times New Roman"/>
                      <w:sz w:val="24"/>
                      <w:szCs w:val="24"/>
                    </w:rPr>
                  </w:pPr>
                  <w:r w:rsidRPr="005D4222">
                    <w:t xml:space="preserve">HispanicOrLatino </w:t>
                  </w:r>
                </w:p>
              </w:tc>
              <w:tc>
                <w:tcPr>
                  <w:tcW w:w="1591"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vAlign w:val="center"/>
                  <w:hideMark/>
                </w:tcPr>
                <w:p w14:paraId="74321020" w14:textId="77777777" w:rsidR="0089171C" w:rsidRPr="005D4222" w:rsidRDefault="0089171C" w:rsidP="00A53E8C">
                  <w:pPr>
                    <w:pStyle w:val="TableText"/>
                    <w:spacing w:before="40" w:after="40"/>
                    <w:rPr>
                      <w:rFonts w:ascii="Times New Roman" w:hAnsi="Times New Roman"/>
                      <w:sz w:val="24"/>
                      <w:szCs w:val="24"/>
                    </w:rPr>
                  </w:pPr>
                  <w:r w:rsidRPr="005D4222">
                    <w:t xml:space="preserve">InitialPopulation </w:t>
                  </w:r>
                </w:p>
              </w:tc>
              <w:tc>
                <w:tcPr>
                  <w:tcW w:w="2368" w:type="dxa"/>
                  <w:tcBorders>
                    <w:top w:val="nil"/>
                    <w:left w:val="single" w:sz="6" w:space="0" w:color="auto"/>
                    <w:bottom w:val="single" w:sz="6" w:space="0" w:color="auto"/>
                    <w:right w:val="single" w:sz="6" w:space="0" w:color="auto"/>
                  </w:tcBorders>
                  <w:shd w:val="clear" w:color="auto" w:fill="FFFFFF" w:themeFill="background1"/>
                  <w:tcMar>
                    <w:left w:w="86" w:type="dxa"/>
                    <w:right w:w="86" w:type="dxa"/>
                  </w:tcMar>
                  <w:vAlign w:val="center"/>
                  <w:hideMark/>
                </w:tcPr>
                <w:p w14:paraId="3FA18559" w14:textId="77777777" w:rsidR="0089171C" w:rsidRPr="005D4222" w:rsidRDefault="0089171C" w:rsidP="00A53E8C">
                  <w:pPr>
                    <w:pStyle w:val="TableText"/>
                    <w:spacing w:before="40" w:after="40"/>
                    <w:rPr>
                      <w:rFonts w:ascii="Times New Roman" w:hAnsi="Times New Roman"/>
                      <w:sz w:val="24"/>
                      <w:szCs w:val="24"/>
                    </w:rPr>
                  </w:pPr>
                  <w:r w:rsidRPr="005D4222">
                    <w:t xml:space="preserve">For each Stratification </w:t>
                  </w:r>
                </w:p>
              </w:tc>
            </w:tr>
            <w:tr w:rsidR="0089171C" w:rsidRPr="005D4222" w14:paraId="22709485" w14:textId="77777777" w:rsidTr="00A53E8C">
              <w:tc>
                <w:tcPr>
                  <w:tcW w:w="1253" w:type="dxa"/>
                  <w:tcBorders>
                    <w:top w:val="single" w:sz="6" w:space="0" w:color="auto"/>
                    <w:left w:val="nil"/>
                    <w:bottom w:val="nil"/>
                    <w:right w:val="single" w:sz="6" w:space="0" w:color="auto"/>
                  </w:tcBorders>
                  <w:shd w:val="clear" w:color="auto" w:fill="FFFFFF" w:themeFill="background1"/>
                  <w:tcMar>
                    <w:left w:w="86" w:type="dxa"/>
                    <w:right w:w="86" w:type="dxa"/>
                  </w:tcMar>
                  <w:hideMark/>
                </w:tcPr>
                <w:p w14:paraId="486E3300" w14:textId="77777777" w:rsidR="0089171C" w:rsidRPr="005D4222" w:rsidRDefault="0089171C" w:rsidP="00A53E8C">
                  <w:pPr>
                    <w:pStyle w:val="TableText"/>
                    <w:spacing w:before="40" w:after="40"/>
                    <w:rPr>
                      <w:rFonts w:ascii="Times New Roman" w:hAnsi="Times New Roman"/>
                      <w:sz w:val="24"/>
                      <w:szCs w:val="24"/>
                    </w:rPr>
                  </w:pPr>
                  <w:r w:rsidRPr="005D4222">
                    <w:t xml:space="preserve"> </w:t>
                  </w:r>
                </w:p>
              </w:tc>
              <w:tc>
                <w:tcPr>
                  <w:tcW w:w="2250"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46A753CD" w14:textId="77777777" w:rsidR="0089171C" w:rsidRPr="005D4222" w:rsidRDefault="0089171C" w:rsidP="00A53E8C">
                  <w:pPr>
                    <w:pStyle w:val="TableText"/>
                    <w:spacing w:before="40" w:after="40"/>
                    <w:rPr>
                      <w:rFonts w:ascii="Times New Roman" w:hAnsi="Times New Roman"/>
                      <w:sz w:val="24"/>
                      <w:szCs w:val="24"/>
                    </w:rPr>
                  </w:pPr>
                  <w:r w:rsidRPr="005D4222">
                    <w:t xml:space="preserve">NotHispanicOrLatino </w:t>
                  </w:r>
                </w:p>
              </w:tc>
              <w:tc>
                <w:tcPr>
                  <w:tcW w:w="1591"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vAlign w:val="center"/>
                  <w:hideMark/>
                </w:tcPr>
                <w:p w14:paraId="1C46C048" w14:textId="77777777" w:rsidR="0089171C" w:rsidRPr="005D4222" w:rsidRDefault="0089171C" w:rsidP="00A53E8C">
                  <w:pPr>
                    <w:pStyle w:val="TableText"/>
                    <w:spacing w:before="40" w:after="40"/>
                    <w:rPr>
                      <w:rFonts w:ascii="Times New Roman" w:hAnsi="Times New Roman"/>
                      <w:sz w:val="24"/>
                      <w:szCs w:val="24"/>
                    </w:rPr>
                  </w:pPr>
                  <w:r w:rsidRPr="005D4222">
                    <w:t xml:space="preserve">Exclusions </w:t>
                  </w:r>
                </w:p>
              </w:tc>
              <w:tc>
                <w:tcPr>
                  <w:tcW w:w="2368" w:type="dxa"/>
                  <w:tcBorders>
                    <w:top w:val="nil"/>
                    <w:left w:val="single" w:sz="6" w:space="0" w:color="auto"/>
                    <w:bottom w:val="single" w:sz="6" w:space="0" w:color="auto"/>
                    <w:right w:val="single" w:sz="6" w:space="0" w:color="auto"/>
                  </w:tcBorders>
                  <w:shd w:val="clear" w:color="auto" w:fill="FFFFFF" w:themeFill="background1"/>
                  <w:tcMar>
                    <w:left w:w="86" w:type="dxa"/>
                    <w:right w:w="86" w:type="dxa"/>
                  </w:tcMar>
                  <w:vAlign w:val="center"/>
                  <w:hideMark/>
                </w:tcPr>
                <w:p w14:paraId="614B57B5" w14:textId="77777777" w:rsidR="0089171C" w:rsidRPr="005D4222" w:rsidRDefault="0089171C" w:rsidP="00A53E8C">
                  <w:pPr>
                    <w:pStyle w:val="TableText"/>
                    <w:spacing w:before="40" w:after="40"/>
                    <w:rPr>
                      <w:rFonts w:ascii="Times New Roman" w:hAnsi="Times New Roman"/>
                      <w:sz w:val="24"/>
                      <w:szCs w:val="24"/>
                    </w:rPr>
                  </w:pPr>
                  <w:r w:rsidRPr="005D4222">
                    <w:t xml:space="preserve">For each Stratification </w:t>
                  </w:r>
                </w:p>
              </w:tc>
            </w:tr>
            <w:tr w:rsidR="0089171C" w:rsidRPr="005D4222" w14:paraId="3B9EE2D1" w14:textId="77777777" w:rsidTr="00A53E8C">
              <w:tc>
                <w:tcPr>
                  <w:tcW w:w="1253" w:type="dxa"/>
                  <w:tcBorders>
                    <w:top w:val="nil"/>
                    <w:left w:val="nil"/>
                    <w:bottom w:val="nil"/>
                    <w:right w:val="single" w:sz="6" w:space="0" w:color="auto"/>
                  </w:tcBorders>
                  <w:shd w:val="clear" w:color="auto" w:fill="FFFFFF" w:themeFill="background1"/>
                  <w:tcMar>
                    <w:left w:w="86" w:type="dxa"/>
                    <w:right w:w="86" w:type="dxa"/>
                  </w:tcMar>
                  <w:hideMark/>
                </w:tcPr>
                <w:p w14:paraId="53FE7D05" w14:textId="77777777" w:rsidR="0089171C" w:rsidRPr="005D4222" w:rsidRDefault="0089171C" w:rsidP="00A53E8C">
                  <w:pPr>
                    <w:pStyle w:val="TableText"/>
                    <w:spacing w:before="40" w:after="40"/>
                    <w:rPr>
                      <w:rFonts w:ascii="Times New Roman" w:hAnsi="Times New Roman"/>
                      <w:sz w:val="24"/>
                      <w:szCs w:val="24"/>
                    </w:rPr>
                  </w:pPr>
                  <w:r w:rsidRPr="005D4222">
                    <w:t xml:space="preserve"> </w:t>
                  </w:r>
                </w:p>
              </w:tc>
              <w:tc>
                <w:tcPr>
                  <w:tcW w:w="2250"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650F0653" w14:textId="77777777" w:rsidR="0089171C" w:rsidRPr="005D4222" w:rsidRDefault="0089171C" w:rsidP="00A53E8C">
                  <w:pPr>
                    <w:pStyle w:val="TableText"/>
                    <w:spacing w:before="40" w:after="40"/>
                  </w:pPr>
                  <w:r w:rsidRPr="005D4222">
                    <w:t>AskedButNoAnswer</w:t>
                  </w:r>
                </w:p>
              </w:tc>
              <w:tc>
                <w:tcPr>
                  <w:tcW w:w="1591" w:type="dxa"/>
                  <w:tcBorders>
                    <w:top w:val="nil"/>
                    <w:left w:val="single" w:sz="6" w:space="0" w:color="auto"/>
                    <w:bottom w:val="single" w:sz="6" w:space="0" w:color="auto"/>
                    <w:right w:val="single" w:sz="6" w:space="0" w:color="auto"/>
                  </w:tcBorders>
                  <w:shd w:val="clear" w:color="auto" w:fill="FFFFFF" w:themeFill="background1"/>
                  <w:tcMar>
                    <w:left w:w="86" w:type="dxa"/>
                    <w:right w:w="86" w:type="dxa"/>
                  </w:tcMar>
                  <w:vAlign w:val="center"/>
                  <w:hideMark/>
                </w:tcPr>
                <w:p w14:paraId="0C72925F" w14:textId="77777777" w:rsidR="0089171C" w:rsidRPr="005D4222" w:rsidRDefault="0089171C" w:rsidP="00A53E8C">
                  <w:pPr>
                    <w:pStyle w:val="TableText"/>
                    <w:spacing w:before="40" w:after="40"/>
                    <w:rPr>
                      <w:rFonts w:ascii="Times New Roman" w:hAnsi="Times New Roman"/>
                      <w:sz w:val="24"/>
                      <w:szCs w:val="24"/>
                    </w:rPr>
                  </w:pPr>
                  <w:r w:rsidRPr="005D4222">
                    <w:t xml:space="preserve">Denominator </w:t>
                  </w:r>
                </w:p>
              </w:tc>
              <w:tc>
                <w:tcPr>
                  <w:tcW w:w="2368" w:type="dxa"/>
                  <w:tcBorders>
                    <w:top w:val="nil"/>
                    <w:left w:val="single" w:sz="6" w:space="0" w:color="auto"/>
                    <w:bottom w:val="single" w:sz="6" w:space="0" w:color="auto"/>
                    <w:right w:val="single" w:sz="6" w:space="0" w:color="auto"/>
                  </w:tcBorders>
                  <w:shd w:val="clear" w:color="auto" w:fill="FFFFFF" w:themeFill="background1"/>
                  <w:tcMar>
                    <w:left w:w="86" w:type="dxa"/>
                    <w:right w:w="86" w:type="dxa"/>
                  </w:tcMar>
                  <w:vAlign w:val="center"/>
                  <w:hideMark/>
                </w:tcPr>
                <w:p w14:paraId="2265EF6D" w14:textId="77777777" w:rsidR="0089171C" w:rsidRPr="005D4222" w:rsidRDefault="0089171C" w:rsidP="00A53E8C">
                  <w:pPr>
                    <w:pStyle w:val="TableText"/>
                    <w:spacing w:before="40" w:after="40"/>
                    <w:rPr>
                      <w:rFonts w:ascii="Times New Roman" w:hAnsi="Times New Roman"/>
                      <w:sz w:val="24"/>
                      <w:szCs w:val="24"/>
                    </w:rPr>
                  </w:pPr>
                  <w:r w:rsidRPr="005D4222">
                    <w:t xml:space="preserve">For each Stratification </w:t>
                  </w:r>
                </w:p>
              </w:tc>
            </w:tr>
            <w:tr w:rsidR="0089171C" w:rsidRPr="005D4222" w14:paraId="14E92C2D" w14:textId="77777777" w:rsidTr="00A53E8C">
              <w:tc>
                <w:tcPr>
                  <w:tcW w:w="1253" w:type="dxa"/>
                  <w:tcBorders>
                    <w:top w:val="nil"/>
                    <w:left w:val="nil"/>
                    <w:bottom w:val="nil"/>
                    <w:right w:val="single" w:sz="6" w:space="0" w:color="auto"/>
                  </w:tcBorders>
                  <w:shd w:val="clear" w:color="auto" w:fill="FFFFFF" w:themeFill="background1"/>
                  <w:tcMar>
                    <w:left w:w="86" w:type="dxa"/>
                    <w:right w:w="86" w:type="dxa"/>
                  </w:tcMar>
                  <w:hideMark/>
                </w:tcPr>
                <w:p w14:paraId="59704AEF" w14:textId="77777777" w:rsidR="0089171C" w:rsidRPr="005D4222" w:rsidRDefault="0089171C" w:rsidP="00A53E8C">
                  <w:pPr>
                    <w:pStyle w:val="TableText"/>
                    <w:spacing w:before="40" w:after="40"/>
                    <w:rPr>
                      <w:rFonts w:ascii="Times New Roman" w:hAnsi="Times New Roman"/>
                      <w:sz w:val="24"/>
                      <w:szCs w:val="24"/>
                    </w:rPr>
                  </w:pPr>
                  <w:r w:rsidRPr="005D4222">
                    <w:t xml:space="preserve"> </w:t>
                  </w:r>
                </w:p>
              </w:tc>
              <w:tc>
                <w:tcPr>
                  <w:tcW w:w="2250"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43F798F4" w14:textId="77777777" w:rsidR="0089171C" w:rsidRPr="005D4222" w:rsidRDefault="0089171C" w:rsidP="00A53E8C">
                  <w:pPr>
                    <w:pStyle w:val="TableText"/>
                    <w:spacing w:before="40" w:after="40"/>
                    <w:rPr>
                      <w:rFonts w:ascii="Times New Roman" w:hAnsi="Times New Roman"/>
                      <w:sz w:val="24"/>
                      <w:szCs w:val="24"/>
                    </w:rPr>
                  </w:pPr>
                  <w:r w:rsidRPr="005D4222">
                    <w:t>Unknown</w:t>
                  </w:r>
                </w:p>
              </w:tc>
              <w:tc>
                <w:tcPr>
                  <w:tcW w:w="1591"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vAlign w:val="center"/>
                  <w:hideMark/>
                </w:tcPr>
                <w:p w14:paraId="0CB39239" w14:textId="77777777" w:rsidR="0089171C" w:rsidRPr="005D4222" w:rsidRDefault="0089171C" w:rsidP="00A53E8C">
                  <w:pPr>
                    <w:pStyle w:val="TableText"/>
                    <w:spacing w:before="40" w:after="40"/>
                    <w:rPr>
                      <w:rFonts w:ascii="Times New Roman" w:hAnsi="Times New Roman"/>
                      <w:sz w:val="24"/>
                      <w:szCs w:val="24"/>
                    </w:rPr>
                  </w:pPr>
                  <w:r w:rsidRPr="005D4222">
                    <w:t xml:space="preserve">Numerator </w:t>
                  </w:r>
                </w:p>
              </w:tc>
              <w:tc>
                <w:tcPr>
                  <w:tcW w:w="2368" w:type="dxa"/>
                  <w:tcBorders>
                    <w:top w:val="nil"/>
                    <w:left w:val="single" w:sz="6" w:space="0" w:color="auto"/>
                    <w:bottom w:val="single" w:sz="6" w:space="0" w:color="auto"/>
                    <w:right w:val="single" w:sz="6" w:space="0" w:color="auto"/>
                  </w:tcBorders>
                  <w:shd w:val="clear" w:color="auto" w:fill="FFFFFF" w:themeFill="background1"/>
                  <w:tcMar>
                    <w:left w:w="86" w:type="dxa"/>
                    <w:right w:w="86" w:type="dxa"/>
                  </w:tcMar>
                  <w:vAlign w:val="center"/>
                  <w:hideMark/>
                </w:tcPr>
                <w:p w14:paraId="5FFD566B" w14:textId="77777777" w:rsidR="0089171C" w:rsidRPr="005D4222" w:rsidRDefault="0089171C" w:rsidP="00A53E8C">
                  <w:pPr>
                    <w:pStyle w:val="TableText"/>
                    <w:spacing w:before="40" w:after="40"/>
                    <w:rPr>
                      <w:rFonts w:ascii="Times New Roman" w:hAnsi="Times New Roman"/>
                      <w:sz w:val="24"/>
                      <w:szCs w:val="24"/>
                    </w:rPr>
                  </w:pPr>
                  <w:r w:rsidRPr="005D4222">
                    <w:t xml:space="preserve">For each Stratification </w:t>
                  </w:r>
                </w:p>
              </w:tc>
            </w:tr>
            <w:tr w:rsidR="0089171C" w:rsidRPr="005D4222" w14:paraId="2406E22F" w14:textId="77777777" w:rsidTr="00A53E8C">
              <w:tc>
                <w:tcPr>
                  <w:tcW w:w="1253" w:type="dxa"/>
                  <w:tcBorders>
                    <w:top w:val="nil"/>
                    <w:left w:val="nil"/>
                    <w:bottom w:val="nil"/>
                    <w:right w:val="nil"/>
                  </w:tcBorders>
                  <w:shd w:val="clear" w:color="auto" w:fill="FFFFFF" w:themeFill="background1"/>
                  <w:tcMar>
                    <w:left w:w="86" w:type="dxa"/>
                    <w:right w:w="86" w:type="dxa"/>
                  </w:tcMar>
                  <w:hideMark/>
                </w:tcPr>
                <w:p w14:paraId="50508400" w14:textId="77777777" w:rsidR="0089171C" w:rsidRPr="005D4222" w:rsidRDefault="0089171C" w:rsidP="00A53E8C">
                  <w:pPr>
                    <w:pStyle w:val="TableText"/>
                    <w:spacing w:before="40" w:after="40"/>
                    <w:rPr>
                      <w:rFonts w:ascii="Times New Roman" w:hAnsi="Times New Roman"/>
                      <w:sz w:val="24"/>
                      <w:szCs w:val="24"/>
                    </w:rPr>
                  </w:pPr>
                  <w:r w:rsidRPr="005D4222">
                    <w:t xml:space="preserve"> </w:t>
                  </w:r>
                </w:p>
              </w:tc>
              <w:tc>
                <w:tcPr>
                  <w:tcW w:w="2250" w:type="dxa"/>
                  <w:tcBorders>
                    <w:top w:val="single" w:sz="6" w:space="0" w:color="auto"/>
                    <w:left w:val="nil"/>
                    <w:bottom w:val="nil"/>
                    <w:right w:val="nil"/>
                  </w:tcBorders>
                  <w:shd w:val="clear" w:color="auto" w:fill="FFFFFF" w:themeFill="background1"/>
                  <w:tcMar>
                    <w:left w:w="86" w:type="dxa"/>
                    <w:right w:w="86" w:type="dxa"/>
                  </w:tcMar>
                  <w:hideMark/>
                </w:tcPr>
                <w:p w14:paraId="3BE4E30B" w14:textId="77777777" w:rsidR="0089171C" w:rsidRPr="005D4222" w:rsidRDefault="0089171C" w:rsidP="00A53E8C">
                  <w:pPr>
                    <w:pStyle w:val="TableText"/>
                    <w:spacing w:before="40" w:after="40"/>
                    <w:rPr>
                      <w:rFonts w:ascii="Times New Roman" w:hAnsi="Times New Roman"/>
                      <w:sz w:val="24"/>
                      <w:szCs w:val="24"/>
                    </w:rPr>
                  </w:pPr>
                  <w:r w:rsidRPr="005D4222">
                    <w:t xml:space="preserve"> </w:t>
                  </w:r>
                </w:p>
              </w:tc>
              <w:tc>
                <w:tcPr>
                  <w:tcW w:w="159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86" w:type="dxa"/>
                    <w:right w:w="86" w:type="dxa"/>
                  </w:tcMar>
                  <w:vAlign w:val="center"/>
                  <w:hideMark/>
                </w:tcPr>
                <w:p w14:paraId="56E6FE2D" w14:textId="77777777" w:rsidR="0089171C" w:rsidRPr="005D4222" w:rsidRDefault="0089171C" w:rsidP="00A53E8C">
                  <w:pPr>
                    <w:pStyle w:val="TableText"/>
                    <w:spacing w:before="40" w:after="40"/>
                    <w:rPr>
                      <w:rFonts w:ascii="Times New Roman" w:hAnsi="Times New Roman"/>
                      <w:sz w:val="24"/>
                      <w:szCs w:val="24"/>
                    </w:rPr>
                  </w:pPr>
                  <w:r w:rsidRPr="005D4222">
                    <w:t xml:space="preserve">Rate </w:t>
                  </w:r>
                </w:p>
              </w:tc>
              <w:tc>
                <w:tcPr>
                  <w:tcW w:w="2368" w:type="dxa"/>
                  <w:tcBorders>
                    <w:top w:val="nil"/>
                    <w:left w:val="single" w:sz="6" w:space="0" w:color="auto"/>
                    <w:bottom w:val="single" w:sz="6" w:space="0" w:color="auto"/>
                    <w:right w:val="single" w:sz="6" w:space="0" w:color="auto"/>
                  </w:tcBorders>
                  <w:shd w:val="clear" w:color="auto" w:fill="D9D9D9" w:themeFill="background1" w:themeFillShade="D9"/>
                  <w:tcMar>
                    <w:left w:w="86" w:type="dxa"/>
                    <w:right w:w="86" w:type="dxa"/>
                  </w:tcMar>
                  <w:vAlign w:val="center"/>
                  <w:hideMark/>
                </w:tcPr>
                <w:p w14:paraId="76B1F4BD" w14:textId="77777777" w:rsidR="0089171C" w:rsidRPr="005D4222" w:rsidRDefault="0089171C" w:rsidP="00A53E8C">
                  <w:pPr>
                    <w:pStyle w:val="TableText"/>
                    <w:spacing w:before="40" w:after="40"/>
                    <w:rPr>
                      <w:rFonts w:ascii="Times New Roman" w:hAnsi="Times New Roman"/>
                      <w:sz w:val="24"/>
                      <w:szCs w:val="24"/>
                    </w:rPr>
                  </w:pPr>
                  <w:r w:rsidRPr="005D4222">
                    <w:t xml:space="preserve">(Percent) </w:t>
                  </w:r>
                </w:p>
              </w:tc>
            </w:tr>
          </w:tbl>
          <w:p w14:paraId="371FF1BA" w14:textId="77777777" w:rsidR="0089171C" w:rsidRPr="005D4222" w:rsidRDefault="0089171C" w:rsidP="00A53E8C">
            <w:pPr>
              <w:pStyle w:val="ECDSBody"/>
              <w:rPr>
                <w:b/>
                <w:i/>
              </w:rPr>
            </w:pPr>
          </w:p>
        </w:tc>
      </w:tr>
      <w:tr w:rsidR="0089171C" w:rsidRPr="005D4222" w14:paraId="3DD2F54A" w14:textId="77777777" w:rsidTr="0091715B">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F53A7D8" w14:textId="77777777" w:rsidR="0089171C" w:rsidRPr="005D4222" w:rsidRDefault="0089171C" w:rsidP="00A53E8C">
            <w:pPr>
              <w:pStyle w:val="ECDSMarginHead"/>
            </w:pPr>
            <w:r w:rsidRPr="005D4222">
              <w:t>Rules for Allowable Adjustments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75AE27C" w14:textId="77777777" w:rsidR="0089171C" w:rsidRPr="005D4222" w:rsidRDefault="0089171C" w:rsidP="00A53E8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34AF80CB" w14:textId="77777777" w:rsidR="0089171C" w:rsidRPr="005D4222" w:rsidRDefault="0089171C" w:rsidP="00A53E8C">
            <w:pPr>
              <w:pStyle w:val="ECDSBody"/>
              <w:rPr>
                <w:b/>
              </w:rPr>
            </w:pPr>
            <w:r w:rsidRPr="005D4222">
              <w:rPr>
                <w:b/>
              </w:rPr>
              <w:t>Adjusted HEDIS measures may not be used for HEDIS health plan reporting.</w:t>
            </w:r>
          </w:p>
          <w:p w14:paraId="4BECCC1A" w14:textId="77777777" w:rsidR="0089171C" w:rsidRPr="005D4222" w:rsidRDefault="0089171C" w:rsidP="00A53E8C">
            <w:pPr>
              <w:pStyle w:val="Adjustments"/>
              <w:rPr>
                <w:b w:val="0"/>
              </w:rPr>
            </w:pPr>
            <w:r w:rsidRPr="005D4222">
              <w:t>Adjustments allowed</w:t>
            </w:r>
          </w:p>
          <w:p w14:paraId="565EF1E9" w14:textId="6384169A" w:rsidR="0089171C" w:rsidRPr="005D4222" w:rsidRDefault="0089171C" w:rsidP="0089171C">
            <w:pPr>
              <w:pStyle w:val="ProcessBullet"/>
              <w:tabs>
                <w:tab w:val="left" w:pos="216"/>
              </w:tabs>
              <w:rPr>
                <w:b/>
              </w:rPr>
            </w:pPr>
            <w:r w:rsidRPr="005D4222">
              <w:rPr>
                <w:i/>
              </w:rPr>
              <w:t>Product lines</w:t>
            </w:r>
            <w:r w:rsidRPr="005D4222">
              <w:t xml:space="preserve">. </w:t>
            </w:r>
            <w:r w:rsidRPr="005D4222">
              <w:rPr>
                <w:rFonts w:eastAsia="Arial"/>
              </w:rPr>
              <w:t>Organizations are not required to use product line criteria; product lines may be combined</w:t>
            </w:r>
            <w:r w:rsidR="00E8671F" w:rsidRPr="005D4222">
              <w:rPr>
                <w:rFonts w:eastAsia="Arial"/>
              </w:rPr>
              <w:t>,</w:t>
            </w:r>
            <w:r w:rsidRPr="005D4222">
              <w:rPr>
                <w:rFonts w:eastAsia="Arial"/>
              </w:rPr>
              <w:t xml:space="preserve"> and all (or no) product line criteria may be used.</w:t>
            </w:r>
          </w:p>
          <w:p w14:paraId="13736A23" w14:textId="77777777" w:rsidR="0089171C" w:rsidRPr="005D4222" w:rsidRDefault="0089171C" w:rsidP="0089171C">
            <w:pPr>
              <w:pStyle w:val="ProcessBullet"/>
              <w:tabs>
                <w:tab w:val="left" w:pos="216"/>
              </w:tabs>
              <w:rPr>
                <w:b/>
                <w:bCs/>
                <w:color w:val="000000" w:themeColor="text1"/>
              </w:rPr>
            </w:pPr>
            <w:r w:rsidRPr="005D4222">
              <w:rPr>
                <w:i/>
                <w:iCs/>
              </w:rPr>
              <w:t>Attribution.</w:t>
            </w:r>
            <w:r w:rsidRPr="005D4222">
              <w:t xml:space="preserve"> Organizations are not required to use enrollment criteria. </w:t>
            </w:r>
          </w:p>
          <w:p w14:paraId="4DBB892C" w14:textId="2D1D874B" w:rsidR="0089171C" w:rsidRPr="005D4222" w:rsidRDefault="00362E76" w:rsidP="0089171C">
            <w:pPr>
              <w:pStyle w:val="ProcessBullet"/>
              <w:tabs>
                <w:tab w:val="left" w:pos="216"/>
              </w:tabs>
              <w:rPr>
                <w:b/>
                <w:bCs/>
                <w:color w:val="000000" w:themeColor="text1"/>
              </w:rPr>
            </w:pPr>
            <w:r w:rsidRPr="005D4222">
              <w:rPr>
                <w:i/>
                <w:iCs/>
              </w:rPr>
              <w:t>Benefits.</w:t>
            </w:r>
            <w:r w:rsidR="0089171C" w:rsidRPr="005D4222">
              <w:t xml:space="preserve"> Organizations are not required to use a benefit.</w:t>
            </w:r>
          </w:p>
          <w:p w14:paraId="2E8A2943" w14:textId="77777777" w:rsidR="0089171C" w:rsidRPr="005D4222" w:rsidRDefault="0089171C" w:rsidP="0089171C">
            <w:pPr>
              <w:pStyle w:val="ProcessBullet"/>
              <w:tabs>
                <w:tab w:val="left" w:pos="216"/>
              </w:tabs>
              <w:rPr>
                <w:b/>
                <w:bCs/>
                <w:color w:val="000000" w:themeColor="text1"/>
              </w:rPr>
            </w:pPr>
            <w:r w:rsidRPr="005D4222">
              <w:rPr>
                <w:i/>
                <w:iCs/>
              </w:rPr>
              <w:t>Other.</w:t>
            </w:r>
            <w:r w:rsidRPr="005D4222">
              <w:t xml:space="preserve"> Organizations may use additional initial population criteria to focus on an area of interest defined by gender, race, ethnicity, socioeconomic or sociodemographic characteristics, geographic region or another characteristic.</w:t>
            </w:r>
          </w:p>
          <w:p w14:paraId="055DC5BC" w14:textId="77777777" w:rsidR="0089171C" w:rsidRPr="005D4222" w:rsidRDefault="0089171C" w:rsidP="0089171C">
            <w:pPr>
              <w:pStyle w:val="ProcessBullet"/>
              <w:tabs>
                <w:tab w:val="left" w:pos="216"/>
              </w:tabs>
              <w:rPr>
                <w:b/>
                <w:bCs/>
                <w:color w:val="000000" w:themeColor="text1"/>
              </w:rPr>
            </w:pPr>
            <w:r w:rsidRPr="005D4222">
              <w:rPr>
                <w:i/>
                <w:iCs/>
              </w:rPr>
              <w:t>Measurement period adjustments.</w:t>
            </w:r>
            <w:r w:rsidRPr="005D4222">
              <w:t xml:space="preserve"> Organizations may adjust the measurement period. </w:t>
            </w:r>
          </w:p>
          <w:p w14:paraId="79778154" w14:textId="77777777" w:rsidR="0089171C" w:rsidRPr="005D4222" w:rsidRDefault="0089171C" w:rsidP="0089171C">
            <w:pPr>
              <w:pStyle w:val="ProcessBullet"/>
              <w:tabs>
                <w:tab w:val="left" w:pos="216"/>
              </w:tabs>
              <w:rPr>
                <w:color w:val="000000" w:themeColor="text1"/>
              </w:rPr>
            </w:pPr>
            <w:r w:rsidRPr="005D4222">
              <w:rPr>
                <w:i/>
                <w:iCs/>
                <w:color w:val="000000" w:themeColor="text1"/>
              </w:rPr>
              <w:t xml:space="preserve">Stratifications: </w:t>
            </w:r>
            <w:r w:rsidRPr="005D4222">
              <w:rPr>
                <w:color w:val="000000" w:themeColor="text1"/>
              </w:rPr>
              <w:t>Race and ethnicity stratification. The race and ethnicity stratification is</w:t>
            </w:r>
            <w:r w:rsidRPr="005D4222" w:rsidDel="0066753D">
              <w:rPr>
                <w:color w:val="000000" w:themeColor="text1"/>
              </w:rPr>
              <w:t xml:space="preserve"> </w:t>
            </w:r>
            <w:r w:rsidRPr="005D4222">
              <w:rPr>
                <w:color w:val="000000" w:themeColor="text1"/>
              </w:rPr>
              <w:t>not required. Organizations may adjust this stratification as needed.</w:t>
            </w:r>
          </w:p>
          <w:p w14:paraId="78A97104" w14:textId="77777777" w:rsidR="0089171C" w:rsidRPr="005D4222" w:rsidRDefault="0089171C" w:rsidP="0089171C">
            <w:pPr>
              <w:pStyle w:val="ProcessBullet"/>
              <w:tabs>
                <w:tab w:val="left" w:pos="216"/>
              </w:tabs>
              <w:rPr>
                <w:b/>
                <w:bCs/>
                <w:color w:val="000000" w:themeColor="text1"/>
              </w:rPr>
            </w:pPr>
            <w:r w:rsidRPr="005D4222">
              <w:rPr>
                <w:i/>
                <w:iCs/>
              </w:rPr>
              <w:t>Exclusions.</w:t>
            </w:r>
            <w:r w:rsidRPr="005D4222">
              <w:t xml:space="preserve"> Hospice and deceased persons exclusions are not required. </w:t>
            </w:r>
          </w:p>
          <w:p w14:paraId="1761B040" w14:textId="77777777" w:rsidR="0089171C" w:rsidRPr="005D4222" w:rsidRDefault="0089171C" w:rsidP="0089171C">
            <w:pPr>
              <w:pStyle w:val="ProcessBullet"/>
              <w:tabs>
                <w:tab w:val="left" w:pos="216"/>
              </w:tabs>
              <w:rPr>
                <w:color w:val="000000" w:themeColor="text1"/>
              </w:rPr>
            </w:pPr>
            <w:r w:rsidRPr="005D4222">
              <w:rPr>
                <w:i/>
                <w:iCs/>
                <w:color w:val="000000" w:themeColor="text1"/>
              </w:rPr>
              <w:t>Telehealth.</w:t>
            </w:r>
            <w:r w:rsidRPr="005D4222">
              <w:rPr>
                <w:color w:val="000000" w:themeColor="text1"/>
              </w:rPr>
              <w:t xml:space="preserve"> Services/events that allow the use of synchronous telehealth visits, telephone visits and asynchronous telehealth (e-visits, virtual check-ins) may be stratified to identify services performed via telehealth. </w:t>
            </w:r>
            <w:r w:rsidRPr="005D4222">
              <w:t>This adjustment is not allowed for events, numerators and exclusions that do not allow the use of telehealth.</w:t>
            </w:r>
          </w:p>
          <w:p w14:paraId="19B33C3A" w14:textId="77777777" w:rsidR="0089171C" w:rsidRPr="005D4222" w:rsidRDefault="0089171C" w:rsidP="00A53E8C">
            <w:pPr>
              <w:pStyle w:val="Adjustments"/>
              <w:rPr>
                <w:b w:val="0"/>
              </w:rPr>
            </w:pPr>
            <w:r w:rsidRPr="005D4222">
              <w:t>Adjustments allowed with limits</w:t>
            </w:r>
          </w:p>
          <w:p w14:paraId="0C1A40A9" w14:textId="77777777" w:rsidR="0089171C" w:rsidRPr="005D4222" w:rsidRDefault="0089171C" w:rsidP="0089171C">
            <w:pPr>
              <w:pStyle w:val="ProcessBullet"/>
              <w:tabs>
                <w:tab w:val="left" w:pos="216"/>
              </w:tabs>
            </w:pPr>
            <w:r w:rsidRPr="005D4222">
              <w:rPr>
                <w:i/>
              </w:rPr>
              <w:t>Ages</w:t>
            </w:r>
            <w:r w:rsidRPr="005D4222">
              <w:t xml:space="preserve">. Age determination dates may be changed (e.g., select, “age 2 as of June 30”). Organizations may expand the age ranges for each immunization to align with the </w:t>
            </w:r>
            <w:hyperlink r:id="rId212">
              <w:r w:rsidRPr="005D4222">
                <w:rPr>
                  <w:rStyle w:val="Hyperlink"/>
                </w:rPr>
                <w:t>CDC’s Catch-Up Immunization Schedule</w:t>
              </w:r>
            </w:hyperlink>
            <w:r w:rsidRPr="005D4222">
              <w:t xml:space="preserve">.  </w:t>
            </w:r>
          </w:p>
          <w:p w14:paraId="662F40B9" w14:textId="77777777" w:rsidR="0089171C" w:rsidRPr="005D4222" w:rsidRDefault="0089171C" w:rsidP="0089171C">
            <w:pPr>
              <w:pStyle w:val="ProcessBullet"/>
              <w:tabs>
                <w:tab w:val="left" w:pos="216"/>
              </w:tabs>
              <w:spacing w:after="80"/>
            </w:pPr>
            <w:r w:rsidRPr="005D4222">
              <w:rPr>
                <w:i/>
                <w:iCs/>
              </w:rPr>
              <w:t xml:space="preserve">Combination rates. </w:t>
            </w:r>
            <w:r w:rsidRPr="005D4222">
              <w:rPr>
                <w:rFonts w:eastAsia="Arial"/>
              </w:rPr>
              <w:t>Organizations are not required to calculate combination rates; alternate combinations of specified immunizations are allowed.</w:t>
            </w:r>
          </w:p>
        </w:tc>
      </w:tr>
    </w:tbl>
    <w:p w14:paraId="6118E9ED" w14:textId="77777777" w:rsidR="0089171C" w:rsidRPr="005D4222" w:rsidRDefault="0089171C" w:rsidP="0089171C"/>
    <w:tbl>
      <w:tblPr>
        <w:tblW w:w="5049"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650"/>
      </w:tblGrid>
      <w:tr w:rsidR="0089171C" w:rsidRPr="005D4222" w14:paraId="6E2A6B00"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3D32555" w14:textId="77777777" w:rsidR="0089171C" w:rsidRPr="005D4222" w:rsidRDefault="0089171C" w:rsidP="00A53E8C">
            <w:pPr>
              <w:pStyle w:val="ECDSMarginHead"/>
            </w:pPr>
          </w:p>
        </w:tc>
        <w:tc>
          <w:tcPr>
            <w:tcW w:w="765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64BE780" w14:textId="77777777" w:rsidR="0089171C" w:rsidRPr="005D4222" w:rsidRDefault="0089171C" w:rsidP="00A53E8C">
            <w:pPr>
              <w:pStyle w:val="Adjustments"/>
              <w:spacing w:before="120"/>
              <w:rPr>
                <w:b w:val="0"/>
              </w:rPr>
            </w:pPr>
            <w:r w:rsidRPr="005D4222">
              <w:t>Adjustments not allowed</w:t>
            </w:r>
          </w:p>
          <w:p w14:paraId="48FCE720" w14:textId="240D2E4E" w:rsidR="0089171C" w:rsidRPr="005D4222" w:rsidRDefault="0089171C" w:rsidP="0089171C">
            <w:pPr>
              <w:pStyle w:val="ProcessBullet"/>
              <w:tabs>
                <w:tab w:val="left" w:pos="216"/>
              </w:tabs>
              <w:rPr>
                <w:b/>
                <w:bCs/>
                <w:color w:val="000000" w:themeColor="text1"/>
              </w:rPr>
            </w:pPr>
            <w:r w:rsidRPr="005D4222">
              <w:rPr>
                <w:i/>
              </w:rPr>
              <w:t>Exclusions.</w:t>
            </w:r>
            <w:r w:rsidRPr="005D4222">
              <w:t xml:space="preserve"> The contraindication to a childhood vaccine exclusion must be applied. Value sets </w:t>
            </w:r>
            <w:r w:rsidR="00B82529" w:rsidRPr="005D4222">
              <w:t xml:space="preserve">and logic </w:t>
            </w:r>
            <w:r w:rsidRPr="005D4222">
              <w:t>may not be changed.</w:t>
            </w:r>
          </w:p>
          <w:p w14:paraId="293B975C" w14:textId="77777777" w:rsidR="0089171C" w:rsidRPr="005D4222" w:rsidRDefault="0089171C" w:rsidP="0089171C">
            <w:pPr>
              <w:pStyle w:val="ProcessBullet"/>
              <w:tabs>
                <w:tab w:val="left" w:pos="216"/>
              </w:tabs>
              <w:spacing w:after="80"/>
            </w:pPr>
            <w:r w:rsidRPr="005D4222">
              <w:rPr>
                <w:i/>
              </w:rPr>
              <w:t>Numerator:</w:t>
            </w:r>
            <w:r w:rsidRPr="005D4222">
              <w:rPr>
                <w:b/>
                <w:i/>
              </w:rPr>
              <w:t xml:space="preserve"> </w:t>
            </w:r>
            <w:r w:rsidRPr="005D4222">
              <w:t>Value sets and logic may not be changed. Vaccine dose requirements may not be changed for the following indicators: DTAP, IPV, MMR, HiB, hepatitis B, VZV, pneumococcal conjugate, hepatitis A, rotavirus, influenza.</w:t>
            </w:r>
          </w:p>
        </w:tc>
      </w:tr>
    </w:tbl>
    <w:p w14:paraId="3991D7ED" w14:textId="77777777" w:rsidR="00C609BF" w:rsidRPr="005D4222" w:rsidRDefault="00C609BF" w:rsidP="0076480E">
      <w:pPr>
        <w:pStyle w:val="ECDSBody"/>
        <w:sectPr w:rsidR="00C609BF" w:rsidRPr="005D4222" w:rsidSect="0074514A">
          <w:headerReference w:type="default" r:id="rId213"/>
          <w:footerReference w:type="default" r:id="rId214"/>
          <w:type w:val="nextColumn"/>
          <w:pgSz w:w="12240" w:h="15840" w:code="1"/>
          <w:pgMar w:top="1080" w:right="1080" w:bottom="1080" w:left="1440" w:header="720" w:footer="720" w:gutter="0"/>
          <w:cols w:space="720"/>
          <w:docGrid w:linePitch="360"/>
        </w:sectPr>
      </w:pPr>
    </w:p>
    <w:p w14:paraId="189C3389" w14:textId="1C63244A" w:rsidR="00B7116E" w:rsidRPr="005D4222" w:rsidRDefault="00B7116E" w:rsidP="00B7116E">
      <w:pPr>
        <w:pStyle w:val="MeasureTitle"/>
      </w:pPr>
      <w:bookmarkStart w:id="410" w:name="_Toc201813465"/>
      <w:r w:rsidRPr="005D4222">
        <w:lastRenderedPageBreak/>
        <w:t>Immunizations for Adolescents</w:t>
      </w:r>
      <w:r w:rsidR="006B0FDD" w:rsidRPr="005D4222">
        <w:t xml:space="preserve"> (IMA-E)</w:t>
      </w:r>
      <w:bookmarkEnd w:id="410"/>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5130"/>
        <w:gridCol w:w="1440"/>
        <w:gridCol w:w="990"/>
      </w:tblGrid>
      <w:tr w:rsidR="00B7116E" w:rsidRPr="005D4222" w14:paraId="6BD42599" w14:textId="77777777" w:rsidTr="00A53E8C">
        <w:tc>
          <w:tcPr>
            <w:tcW w:w="2157" w:type="dxa"/>
            <w:shd w:val="clear" w:color="auto" w:fill="BFBFBF" w:themeFill="background1" w:themeFillShade="BF"/>
            <w:tcMar>
              <w:top w:w="0" w:type="dxa"/>
              <w:left w:w="86" w:type="dxa"/>
              <w:bottom w:w="43" w:type="dxa"/>
              <w:right w:w="86" w:type="dxa"/>
            </w:tcMar>
            <w:hideMark/>
          </w:tcPr>
          <w:p w14:paraId="2CFEA3F2" w14:textId="77777777" w:rsidR="00B7116E" w:rsidRPr="005D4222" w:rsidRDefault="00B7116E" w:rsidP="00610AD7">
            <w:pPr>
              <w:pStyle w:val="ECDSMarginHead"/>
            </w:pPr>
            <w:r w:rsidRPr="005D4222">
              <w:t>Measure title</w:t>
            </w:r>
          </w:p>
        </w:tc>
        <w:tc>
          <w:tcPr>
            <w:tcW w:w="5130" w:type="dxa"/>
            <w:tcMar>
              <w:top w:w="0" w:type="dxa"/>
              <w:left w:w="86" w:type="dxa"/>
              <w:bottom w:w="43" w:type="dxa"/>
              <w:right w:w="86" w:type="dxa"/>
            </w:tcMar>
          </w:tcPr>
          <w:p w14:paraId="3FE4350F" w14:textId="77777777" w:rsidR="00B7116E" w:rsidRPr="005D4222" w:rsidRDefault="00B7116E" w:rsidP="00A53E8C">
            <w:pPr>
              <w:pStyle w:val="ECDSBody"/>
            </w:pPr>
            <w:r w:rsidRPr="005D4222">
              <w:t>Immunizations for Adolescents</w:t>
            </w:r>
            <w:r w:rsidRPr="005D4222">
              <w:rPr>
                <w:b/>
              </w:rPr>
              <w:t>*</w:t>
            </w:r>
          </w:p>
        </w:tc>
        <w:tc>
          <w:tcPr>
            <w:tcW w:w="1440" w:type="dxa"/>
            <w:shd w:val="clear" w:color="auto" w:fill="BFBFBF" w:themeFill="background1" w:themeFillShade="BF"/>
            <w:tcMar>
              <w:top w:w="0" w:type="dxa"/>
              <w:left w:w="86" w:type="dxa"/>
              <w:bottom w:w="43" w:type="dxa"/>
              <w:right w:w="86" w:type="dxa"/>
            </w:tcMar>
          </w:tcPr>
          <w:p w14:paraId="30D4587E" w14:textId="77777777" w:rsidR="00B7116E" w:rsidRPr="005D4222" w:rsidRDefault="00B7116E" w:rsidP="00A53E8C">
            <w:pPr>
              <w:pStyle w:val="ECDSMarginHead"/>
            </w:pPr>
            <w:r w:rsidRPr="005D4222">
              <w:t>Measure ID</w:t>
            </w:r>
          </w:p>
        </w:tc>
        <w:tc>
          <w:tcPr>
            <w:tcW w:w="990" w:type="dxa"/>
            <w:tcMar>
              <w:top w:w="0" w:type="dxa"/>
              <w:left w:w="86" w:type="dxa"/>
              <w:bottom w:w="43" w:type="dxa"/>
              <w:right w:w="86" w:type="dxa"/>
            </w:tcMar>
          </w:tcPr>
          <w:p w14:paraId="5D539DA8" w14:textId="77777777" w:rsidR="00B7116E" w:rsidRPr="005D4222" w:rsidRDefault="00B7116E" w:rsidP="006B0FDD">
            <w:pPr>
              <w:pStyle w:val="ECDSBody"/>
            </w:pPr>
            <w:r w:rsidRPr="005D4222">
              <w:t>IMA-E</w:t>
            </w:r>
          </w:p>
        </w:tc>
      </w:tr>
      <w:tr w:rsidR="00B7116E" w:rsidRPr="005D4222" w14:paraId="506BF5C4" w14:textId="77777777" w:rsidTr="00A53E8C">
        <w:tc>
          <w:tcPr>
            <w:tcW w:w="2157" w:type="dxa"/>
            <w:shd w:val="clear" w:color="auto" w:fill="BFBFBF" w:themeFill="background1" w:themeFillShade="BF"/>
            <w:tcMar>
              <w:top w:w="0" w:type="dxa"/>
              <w:left w:w="86" w:type="dxa"/>
              <w:bottom w:w="43" w:type="dxa"/>
              <w:right w:w="86" w:type="dxa"/>
            </w:tcMar>
            <w:hideMark/>
          </w:tcPr>
          <w:p w14:paraId="44B34A2E" w14:textId="77777777" w:rsidR="00B7116E" w:rsidRPr="005D4222" w:rsidRDefault="00B7116E" w:rsidP="00610AD7">
            <w:pPr>
              <w:pStyle w:val="ECDSMarginHead"/>
            </w:pPr>
            <w:r w:rsidRPr="005D4222">
              <w:t>Description</w:t>
            </w:r>
          </w:p>
        </w:tc>
        <w:tc>
          <w:tcPr>
            <w:tcW w:w="7560" w:type="dxa"/>
            <w:gridSpan w:val="3"/>
            <w:tcMar>
              <w:top w:w="0" w:type="dxa"/>
              <w:left w:w="86" w:type="dxa"/>
              <w:bottom w:w="43" w:type="dxa"/>
              <w:right w:w="86" w:type="dxa"/>
            </w:tcMar>
          </w:tcPr>
          <w:p w14:paraId="2D319A42" w14:textId="77777777" w:rsidR="00B7116E" w:rsidRPr="005D4222" w:rsidRDefault="00B7116E" w:rsidP="00A53E8C">
            <w:pPr>
              <w:pStyle w:val="ECDSBody"/>
            </w:pPr>
            <w:r w:rsidRPr="005D4222">
              <w:t xml:space="preserve">The percentage of persons 13 years of age who had one dose of meningococcal vaccine, one tetanus, diphtheria toxoids and acellular pertussis (Tdap) vaccine, and have completed the human papillomavirus (HPV) vaccine series by their 13th birthday. </w:t>
            </w:r>
          </w:p>
          <w:p w14:paraId="62F79DC2" w14:textId="77777777" w:rsidR="00B7116E" w:rsidRPr="005D4222" w:rsidRDefault="00B7116E" w:rsidP="00A53E8C">
            <w:pPr>
              <w:pStyle w:val="ECDSBody"/>
            </w:pPr>
            <w:r w:rsidRPr="005D4222">
              <w:rPr>
                <w:kern w:val="20"/>
              </w:rPr>
              <w:t>The measure calculates a rate for each vaccine and two combination rates.</w:t>
            </w:r>
          </w:p>
        </w:tc>
      </w:tr>
      <w:tr w:rsidR="00B7116E" w:rsidRPr="005D4222" w14:paraId="517D2F66" w14:textId="77777777" w:rsidTr="00A53E8C">
        <w:tc>
          <w:tcPr>
            <w:tcW w:w="2157" w:type="dxa"/>
            <w:shd w:val="clear" w:color="auto" w:fill="BFBFBF" w:themeFill="background1" w:themeFillShade="BF"/>
            <w:tcMar>
              <w:top w:w="0" w:type="dxa"/>
              <w:left w:w="86" w:type="dxa"/>
              <w:bottom w:w="43" w:type="dxa"/>
              <w:right w:w="86" w:type="dxa"/>
            </w:tcMar>
          </w:tcPr>
          <w:p w14:paraId="58C03552" w14:textId="77777777" w:rsidR="00B7116E" w:rsidRPr="005D4222" w:rsidRDefault="00B7116E" w:rsidP="00610AD7">
            <w:pPr>
              <w:pStyle w:val="ECDSMarginHead"/>
            </w:pPr>
            <w:r w:rsidRPr="005D4222">
              <w:t>Measurement period</w:t>
            </w:r>
          </w:p>
        </w:tc>
        <w:tc>
          <w:tcPr>
            <w:tcW w:w="7560" w:type="dxa"/>
            <w:gridSpan w:val="3"/>
            <w:tcMar>
              <w:top w:w="0" w:type="dxa"/>
              <w:left w:w="86" w:type="dxa"/>
              <w:bottom w:w="43" w:type="dxa"/>
              <w:right w:w="86" w:type="dxa"/>
            </w:tcMar>
          </w:tcPr>
          <w:p w14:paraId="60CA71D0" w14:textId="77777777" w:rsidR="00B7116E" w:rsidRPr="005D4222" w:rsidRDefault="00B7116E" w:rsidP="00A53E8C">
            <w:pPr>
              <w:pStyle w:val="ECDSBody"/>
            </w:pPr>
            <w:r w:rsidRPr="005D4222">
              <w:t>January 1–December 31.</w:t>
            </w:r>
          </w:p>
        </w:tc>
      </w:tr>
      <w:tr w:rsidR="00B7116E" w:rsidRPr="005D4222" w14:paraId="73DF0014" w14:textId="77777777" w:rsidTr="00A53E8C">
        <w:tc>
          <w:tcPr>
            <w:tcW w:w="2157" w:type="dxa"/>
            <w:shd w:val="clear" w:color="auto" w:fill="BFBFBF" w:themeFill="background1" w:themeFillShade="BF"/>
            <w:tcMar>
              <w:top w:w="0" w:type="dxa"/>
              <w:left w:w="86" w:type="dxa"/>
              <w:bottom w:w="43" w:type="dxa"/>
              <w:right w:w="86" w:type="dxa"/>
            </w:tcMar>
            <w:hideMark/>
          </w:tcPr>
          <w:p w14:paraId="4A90390A" w14:textId="77777777" w:rsidR="00B7116E" w:rsidRPr="005D4222" w:rsidRDefault="00B7116E" w:rsidP="00610AD7">
            <w:pPr>
              <w:pStyle w:val="ECDSMarginHead"/>
              <w:rPr>
                <w:rFonts w:eastAsia="Arial"/>
              </w:rPr>
            </w:pPr>
            <w:r w:rsidRPr="005D4222">
              <w:rPr>
                <w:rFonts w:eastAsia="Arial"/>
              </w:rPr>
              <w:t>Copyright and disclaimer notice</w:t>
            </w:r>
          </w:p>
        </w:tc>
        <w:tc>
          <w:tcPr>
            <w:tcW w:w="7560" w:type="dxa"/>
            <w:gridSpan w:val="3"/>
            <w:tcMar>
              <w:top w:w="0" w:type="dxa"/>
              <w:left w:w="86" w:type="dxa"/>
              <w:bottom w:w="43" w:type="dxa"/>
              <w:right w:w="86" w:type="dxa"/>
            </w:tcMar>
          </w:tcPr>
          <w:p w14:paraId="19E91E6F" w14:textId="77777777" w:rsidR="00B7116E" w:rsidRPr="005D4222" w:rsidRDefault="00B7116E" w:rsidP="00A53E8C">
            <w:pPr>
              <w:pStyle w:val="ECDSBody"/>
              <w:ind w:left="92" w:hanging="92"/>
              <w:rPr>
                <w:i/>
                <w:iCs/>
              </w:rPr>
            </w:pPr>
            <w:r w:rsidRPr="005D4222">
              <w:rPr>
                <w:b/>
              </w:rPr>
              <w:t>*</w:t>
            </w:r>
            <w:r w:rsidRPr="005D4222">
              <w:rPr>
                <w:i/>
                <w:iCs/>
              </w:rPr>
              <w:t>Adapted with financial support from the Centers for Disease Control &amp; Prevention (CDC).</w:t>
            </w:r>
          </w:p>
          <w:p w14:paraId="1F414E16" w14:textId="77777777" w:rsidR="00B7116E" w:rsidRPr="005D4222" w:rsidRDefault="00B7116E" w:rsidP="00A53E8C">
            <w:pPr>
              <w:pStyle w:val="ECDSBody"/>
            </w:pPr>
            <w:r w:rsidRPr="005D4222">
              <w:t xml:space="preserve">Refer to the complete copyright and disclaimer information at the front of this publication. </w:t>
            </w:r>
          </w:p>
          <w:p w14:paraId="275D5997" w14:textId="77777777" w:rsidR="00B7116E" w:rsidRPr="005D4222" w:rsidRDefault="00B7116E" w:rsidP="00A53E8C">
            <w:pPr>
              <w:pStyle w:val="ECDSBody"/>
              <w:spacing w:before="80"/>
              <w:rPr>
                <w:rFonts w:eastAsia="Arial"/>
              </w:rPr>
            </w:pPr>
            <w:r w:rsidRPr="005D4222">
              <w:rPr>
                <w:rFonts w:eastAsia="Arial"/>
              </w:rPr>
              <w:t xml:space="preserve">NCQA website: </w:t>
            </w:r>
            <w:r w:rsidRPr="005D4222">
              <w:rPr>
                <w:rFonts w:eastAsia="Arial"/>
                <w:u w:val="single"/>
              </w:rPr>
              <w:t>www.ncqa.org</w:t>
            </w:r>
            <w:r w:rsidRPr="005D4222">
              <w:rPr>
                <w:rFonts w:eastAsia="Arial"/>
              </w:rPr>
              <w:t>.</w:t>
            </w:r>
          </w:p>
          <w:p w14:paraId="4342C727" w14:textId="77777777" w:rsidR="00B7116E" w:rsidRPr="005D4222" w:rsidRDefault="00B7116E" w:rsidP="00A53E8C">
            <w:pPr>
              <w:pStyle w:val="ECDSBody"/>
              <w:spacing w:before="80"/>
              <w:rPr>
                <w:sz w:val="18"/>
                <w:szCs w:val="18"/>
              </w:rPr>
            </w:pPr>
            <w:r w:rsidRPr="005D4222">
              <w:rPr>
                <w:rFonts w:eastAsia="Arial"/>
              </w:rPr>
              <w:t>Submit policy clarification support questions via My NCQA (</w:t>
            </w:r>
            <w:r w:rsidRPr="005D4222">
              <w:rPr>
                <w:rFonts w:eastAsia="Arial"/>
                <w:u w:val="single"/>
              </w:rPr>
              <w:t>https://my.ncqa.org</w:t>
            </w:r>
            <w:r w:rsidRPr="005D4222">
              <w:rPr>
                <w:rFonts w:eastAsia="Arial"/>
              </w:rPr>
              <w:t>).</w:t>
            </w:r>
          </w:p>
        </w:tc>
      </w:tr>
      <w:tr w:rsidR="00B7116E" w:rsidRPr="005D4222" w14:paraId="79A2AF4B" w14:textId="77777777" w:rsidTr="00A53E8C">
        <w:trPr>
          <w:trHeight w:val="655"/>
        </w:trPr>
        <w:tc>
          <w:tcPr>
            <w:tcW w:w="2157" w:type="dxa"/>
            <w:shd w:val="clear" w:color="auto" w:fill="BFBFBF" w:themeFill="background1" w:themeFillShade="BF"/>
            <w:tcMar>
              <w:top w:w="0" w:type="dxa"/>
              <w:left w:w="86" w:type="dxa"/>
              <w:bottom w:w="43" w:type="dxa"/>
              <w:right w:w="86" w:type="dxa"/>
            </w:tcMar>
            <w:hideMark/>
          </w:tcPr>
          <w:p w14:paraId="4D12E218" w14:textId="77777777" w:rsidR="00B7116E" w:rsidRPr="005D4222" w:rsidRDefault="00B7116E" w:rsidP="00610AD7">
            <w:pPr>
              <w:pStyle w:val="ECDSMarginHead"/>
            </w:pPr>
            <w:r w:rsidRPr="005D4222">
              <w:t>Clinical recommendation statement/</w:t>
            </w:r>
            <w:r w:rsidRPr="005D4222" w:rsidDel="00AB0103">
              <w:t xml:space="preserve"> </w:t>
            </w:r>
            <w:r w:rsidRPr="005D4222">
              <w:t>rationale</w:t>
            </w:r>
          </w:p>
        </w:tc>
        <w:tc>
          <w:tcPr>
            <w:tcW w:w="7560" w:type="dxa"/>
            <w:gridSpan w:val="3"/>
            <w:tcMar>
              <w:top w:w="0" w:type="dxa"/>
              <w:left w:w="86" w:type="dxa"/>
              <w:bottom w:w="43" w:type="dxa"/>
              <w:right w:w="86" w:type="dxa"/>
            </w:tcMar>
          </w:tcPr>
          <w:p w14:paraId="6878A309" w14:textId="77777777" w:rsidR="00B7116E" w:rsidRPr="005D4222" w:rsidRDefault="00B7116E" w:rsidP="00A53E8C">
            <w:pPr>
              <w:pStyle w:val="ECDSBody"/>
            </w:pPr>
            <w:r w:rsidRPr="005D4222">
              <w:rPr>
                <w:i/>
                <w:iCs/>
              </w:rPr>
              <w:t>HPV</w:t>
            </w:r>
            <w:r w:rsidRPr="005D4222">
              <w:t>: The Advisory Committee on Immunization Practices (ACIP) recommends routine HPV vaccination for adolescents at age 11 or 12 years; vaccination may be given starting at age 9 years. In a two-dose schedule of HPV vaccine, the minimum interval between the first and second doses is 5 months. Persons who initiated vaccination with 9vHPV, 4vHPV or 2vHPV before their 15th birthday and received 2 doses of any HPV vaccine at the recommended dosing schedule (0, 6–12 months), or received three doses of any HPV vaccine at the recommended dosing schedule (0, 1–2, 6 months), are considered adequately vaccinated.</w:t>
            </w:r>
          </w:p>
          <w:p w14:paraId="771374D2" w14:textId="77777777" w:rsidR="00B7116E" w:rsidRPr="005D4222" w:rsidRDefault="00B7116E" w:rsidP="00A53E8C">
            <w:pPr>
              <w:pStyle w:val="ECDSBody"/>
            </w:pPr>
            <w:r w:rsidRPr="005D4222">
              <w:rPr>
                <w:i/>
                <w:iCs/>
              </w:rPr>
              <w:t>Tdap</w:t>
            </w:r>
            <w:r w:rsidRPr="005D4222">
              <w:t>: ACIP recommends a single dose of vaccine be administered at age 11 or 12 years.</w:t>
            </w:r>
          </w:p>
          <w:p w14:paraId="4075935A" w14:textId="77777777" w:rsidR="00B7116E" w:rsidRPr="005D4222" w:rsidRDefault="00B7116E" w:rsidP="00A53E8C">
            <w:pPr>
              <w:pStyle w:val="ECDSBody"/>
              <w:rPr>
                <w:rFonts w:ascii="Segoe UI" w:hAnsi="Segoe UI" w:cs="Segoe UI"/>
                <w:sz w:val="18"/>
                <w:szCs w:val="18"/>
              </w:rPr>
            </w:pPr>
            <w:r w:rsidRPr="005D4222">
              <w:rPr>
                <w:i/>
                <w:iCs/>
              </w:rPr>
              <w:t>Meningococcal</w:t>
            </w:r>
            <w:r w:rsidRPr="005D4222">
              <w:t>: ACIP recommends routine vaccination with a quadrivalent meningococcal conjugate vaccine (MenACWY) for adolescents aged 11 or 12 years, with a booster dose at age 16 years, or vaccination with a pentavalent vaccine for adolescents ages 10 years and older when both meningococcal B and meningococcal A, C, W and Y are indicated.</w:t>
            </w:r>
          </w:p>
        </w:tc>
      </w:tr>
      <w:tr w:rsidR="00B7116E" w:rsidRPr="005D4222" w14:paraId="4AB6324F" w14:textId="77777777" w:rsidTr="00A53E8C">
        <w:tc>
          <w:tcPr>
            <w:tcW w:w="2157" w:type="dxa"/>
            <w:shd w:val="clear" w:color="auto" w:fill="BFBFBF" w:themeFill="background1" w:themeFillShade="BF"/>
            <w:tcMar>
              <w:top w:w="0" w:type="dxa"/>
              <w:left w:w="86" w:type="dxa"/>
              <w:bottom w:w="43" w:type="dxa"/>
              <w:right w:w="86" w:type="dxa"/>
            </w:tcMar>
          </w:tcPr>
          <w:p w14:paraId="712BDB03" w14:textId="77777777" w:rsidR="00B7116E" w:rsidRPr="005D4222" w:rsidRDefault="00B7116E" w:rsidP="00610AD7">
            <w:pPr>
              <w:pStyle w:val="ECDSMarginHead"/>
            </w:pPr>
            <w:r w:rsidRPr="005D4222">
              <w:t>Citations</w:t>
            </w:r>
          </w:p>
        </w:tc>
        <w:tc>
          <w:tcPr>
            <w:tcW w:w="7560" w:type="dxa"/>
            <w:gridSpan w:val="3"/>
            <w:tcMar>
              <w:top w:w="0" w:type="dxa"/>
              <w:left w:w="86" w:type="dxa"/>
              <w:bottom w:w="43" w:type="dxa"/>
              <w:right w:w="86" w:type="dxa"/>
            </w:tcMar>
          </w:tcPr>
          <w:p w14:paraId="3A7DEB37" w14:textId="77777777" w:rsidR="00B7116E" w:rsidRPr="005D4222" w:rsidRDefault="00B7116E" w:rsidP="00A53E8C">
            <w:pPr>
              <w:pStyle w:val="ECDSBody"/>
            </w:pPr>
            <w:r w:rsidRPr="005D4222">
              <w:t xml:space="preserve">Centers for Disease Control and Prevention (CDC). 2024. “Recommended Vaccines for Preteens and Teens.” https://www.cdc.gov/meningococcal/vaccines/preteens-teens.html </w:t>
            </w:r>
          </w:p>
          <w:p w14:paraId="0BB570D4" w14:textId="77777777" w:rsidR="00B7116E" w:rsidRPr="005D4222" w:rsidRDefault="00B7116E" w:rsidP="00A53E8C">
            <w:pPr>
              <w:pStyle w:val="ECDSBody"/>
              <w:rPr>
                <w:rFonts w:ascii="Segoe UI" w:hAnsi="Segoe UI" w:cs="Segoe UI"/>
                <w:sz w:val="18"/>
                <w:szCs w:val="18"/>
              </w:rPr>
            </w:pPr>
            <w:r w:rsidRPr="005D4222">
              <w:t xml:space="preserve">Liang, J.L., T. Tiwari, P. Moro, N.E. Messonnier, A. Reingold, M. Sawyer, T.A. Clark. 2018. “Prevention of Pertussis, Tetanus, and Diphtheria with Vaccines in the United States: Recommendations of the Advisory Committee on Immunization Practices (ACIP).” </w:t>
            </w:r>
            <w:r w:rsidRPr="005D4222">
              <w:rPr>
                <w:i/>
                <w:iCs/>
              </w:rPr>
              <w:t>MMWR Morb Mortal Wkly Rep</w:t>
            </w:r>
            <w:r w:rsidRPr="005D4222">
              <w:t xml:space="preserve"> 67(2):1–44. doi: http://dx.doi.org/10.15585/mmwr.rr6702a1.</w:t>
            </w:r>
          </w:p>
        </w:tc>
      </w:tr>
      <w:tr w:rsidR="00AB51AE" w:rsidRPr="005D4222" w14:paraId="39430132" w14:textId="77777777" w:rsidTr="00AB51AE">
        <w:tc>
          <w:tcPr>
            <w:tcW w:w="2157" w:type="dxa"/>
            <w:tcBorders>
              <w:top w:val="single" w:sz="2" w:space="0" w:color="auto"/>
              <w:left w:val="single" w:sz="2" w:space="0" w:color="auto"/>
              <w:bottom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3BB2A72C" w14:textId="77777777" w:rsidR="00AB51AE" w:rsidRPr="005D4222" w:rsidRDefault="00AB51AE" w:rsidP="00A53E8C">
            <w:pPr>
              <w:pStyle w:val="MarginHead"/>
              <w:rPr>
                <w:rFonts w:cs="Arial"/>
                <w:szCs w:val="22"/>
              </w:rPr>
            </w:pPr>
          </w:p>
        </w:tc>
        <w:tc>
          <w:tcPr>
            <w:tcW w:w="7560" w:type="dxa"/>
            <w:gridSpan w:val="3"/>
            <w:tcBorders>
              <w:top w:val="single" w:sz="2" w:space="0" w:color="auto"/>
              <w:left w:val="single" w:sz="2" w:space="0" w:color="auto"/>
              <w:bottom w:val="single" w:sz="2" w:space="0" w:color="auto"/>
              <w:right w:val="single" w:sz="2" w:space="0" w:color="auto"/>
            </w:tcBorders>
            <w:tcMar>
              <w:top w:w="0" w:type="dxa"/>
              <w:left w:w="86" w:type="dxa"/>
              <w:bottom w:w="43" w:type="dxa"/>
              <w:right w:w="86" w:type="dxa"/>
            </w:tcMar>
          </w:tcPr>
          <w:p w14:paraId="4FC41794" w14:textId="77777777" w:rsidR="00AB51AE" w:rsidRPr="005D4222" w:rsidRDefault="00AB51AE" w:rsidP="00A53E8C">
            <w:pPr>
              <w:pStyle w:val="ECDSBody"/>
            </w:pPr>
            <w:r w:rsidRPr="005D4222">
              <w:t>Mbaeyi, S.A., C.H. Bozio, J. Duffy, et al. 2020. “Meningococcal Vaccination: Recommendations of the Advisory Committee on Immunization Practices, United States, 2020.” MMWR Recomm Rep 69(No. RR-9):1–41. doi: http://dx.doi.org/10.15585/mmwr.rr6909a1.</w:t>
            </w:r>
          </w:p>
          <w:p w14:paraId="30C96561" w14:textId="77777777" w:rsidR="00AB51AE" w:rsidRPr="005D4222" w:rsidRDefault="00AB51AE" w:rsidP="00A53E8C">
            <w:pPr>
              <w:pStyle w:val="ECDSBody"/>
            </w:pPr>
            <w:r w:rsidRPr="005D4222">
              <w:t>Meites, E., A. Kempe, L.E. Markowitz. 2016. “Use of a 2-Dose Schedule for Human Papillomavirus Vaccination—Updated Recommendations of the Advisory Committee on Immunization Practices.” MMWR Morb Mortal Wkly Rep 65:1405–08. doi: http://dx.doi.org/10.15585/mmwr.mm6549a5.</w:t>
            </w:r>
          </w:p>
        </w:tc>
      </w:tr>
      <w:tr w:rsidR="00AB51AE" w:rsidRPr="005D4222" w14:paraId="22EDD822" w14:textId="77777777" w:rsidTr="00A53E8C">
        <w:tc>
          <w:tcPr>
            <w:tcW w:w="9717"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5A91B587" w14:textId="77777777" w:rsidR="00AB51AE" w:rsidRPr="005D4222" w:rsidRDefault="00AB51AE" w:rsidP="00A53E8C">
            <w:pPr>
              <w:pStyle w:val="ECDSMarginHead"/>
            </w:pPr>
            <w:r w:rsidRPr="005D4222">
              <w:t>Characteristics</w:t>
            </w:r>
          </w:p>
        </w:tc>
      </w:tr>
      <w:tr w:rsidR="00AB51AE" w:rsidRPr="005D4222" w14:paraId="18225F1A" w14:textId="77777777" w:rsidTr="00A53E8C">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19894CE5" w14:textId="77777777" w:rsidR="00AB51AE" w:rsidRPr="005D4222" w:rsidRDefault="00AB51AE" w:rsidP="00300802">
            <w:pPr>
              <w:pStyle w:val="ECDSMarginSubhead"/>
              <w:spacing w:after="0"/>
            </w:pPr>
            <w:r w:rsidRPr="005D4222">
              <w:t>Scoring</w:t>
            </w:r>
          </w:p>
        </w:tc>
        <w:tc>
          <w:tcPr>
            <w:tcW w:w="7560"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4357BE0A" w14:textId="77777777" w:rsidR="00AB51AE" w:rsidRPr="005D4222" w:rsidRDefault="00AB51AE" w:rsidP="00610AD7">
            <w:pPr>
              <w:pStyle w:val="ECDSBody"/>
            </w:pPr>
            <w:r w:rsidRPr="005D4222">
              <w:t>Proportion.</w:t>
            </w:r>
          </w:p>
        </w:tc>
      </w:tr>
      <w:tr w:rsidR="00AB51AE" w:rsidRPr="005D4222" w14:paraId="75AD0FF2"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79A71746" w14:textId="77777777" w:rsidR="00AB51AE" w:rsidRPr="005D4222" w:rsidRDefault="00AB51AE" w:rsidP="00300802">
            <w:pPr>
              <w:pStyle w:val="ECDSMarginSubhead"/>
              <w:spacing w:after="0"/>
            </w:pPr>
            <w:r w:rsidRPr="005D4222">
              <w:t>Type</w:t>
            </w:r>
          </w:p>
        </w:tc>
        <w:tc>
          <w:tcPr>
            <w:tcW w:w="7560" w:type="dxa"/>
            <w:gridSpan w:val="3"/>
            <w:tcBorders>
              <w:top w:val="nil"/>
              <w:left w:val="single" w:sz="4" w:space="0" w:color="auto"/>
              <w:bottom w:val="nil"/>
              <w:right w:val="single" w:sz="4" w:space="0" w:color="auto"/>
            </w:tcBorders>
            <w:tcMar>
              <w:top w:w="0" w:type="dxa"/>
              <w:left w:w="86" w:type="dxa"/>
              <w:bottom w:w="43" w:type="dxa"/>
              <w:right w:w="86" w:type="dxa"/>
            </w:tcMar>
          </w:tcPr>
          <w:p w14:paraId="1A34C66D" w14:textId="77777777" w:rsidR="00AB51AE" w:rsidRPr="005D4222" w:rsidRDefault="00AB51AE" w:rsidP="00610AD7">
            <w:pPr>
              <w:pStyle w:val="ECDSBody"/>
            </w:pPr>
            <w:r w:rsidRPr="005D4222">
              <w:t>Process.</w:t>
            </w:r>
          </w:p>
        </w:tc>
      </w:tr>
      <w:tr w:rsidR="00AB51AE" w:rsidRPr="005D4222" w14:paraId="72F6CC7F"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0B49BAA4" w14:textId="257BE68A" w:rsidR="00AB51AE" w:rsidRPr="005D4222" w:rsidRDefault="00B51CDC" w:rsidP="00300802">
            <w:pPr>
              <w:pStyle w:val="ECDSMarginSubhead"/>
              <w:spacing w:after="0"/>
            </w:pPr>
            <w:r w:rsidRPr="005D4222">
              <w:t>Product lines</w:t>
            </w:r>
          </w:p>
        </w:tc>
        <w:tc>
          <w:tcPr>
            <w:tcW w:w="7560" w:type="dxa"/>
            <w:gridSpan w:val="3"/>
            <w:tcBorders>
              <w:top w:val="nil"/>
              <w:left w:val="single" w:sz="4" w:space="0" w:color="auto"/>
              <w:bottom w:val="nil"/>
              <w:right w:val="single" w:sz="4" w:space="0" w:color="auto"/>
            </w:tcBorders>
            <w:tcMar>
              <w:top w:w="0" w:type="dxa"/>
              <w:left w:w="86" w:type="dxa"/>
              <w:bottom w:w="43" w:type="dxa"/>
              <w:right w:w="86" w:type="dxa"/>
            </w:tcMar>
          </w:tcPr>
          <w:p w14:paraId="2689E5A5" w14:textId="77777777" w:rsidR="00AB51AE" w:rsidRPr="005D4222" w:rsidRDefault="00AB51AE" w:rsidP="00AB51AE">
            <w:pPr>
              <w:pStyle w:val="ProcessBullet"/>
              <w:tabs>
                <w:tab w:val="left" w:pos="216"/>
              </w:tabs>
            </w:pPr>
            <w:r w:rsidRPr="005D4222">
              <w:t>Commercial.</w:t>
            </w:r>
          </w:p>
          <w:p w14:paraId="133BAA09" w14:textId="77777777" w:rsidR="00AB51AE" w:rsidRPr="005D4222" w:rsidRDefault="00AB51AE" w:rsidP="00AB51AE">
            <w:pPr>
              <w:pStyle w:val="ProcessBullet"/>
              <w:tabs>
                <w:tab w:val="left" w:pos="216"/>
              </w:tabs>
            </w:pPr>
            <w:r w:rsidRPr="005D4222">
              <w:t>Medicaid.</w:t>
            </w:r>
          </w:p>
        </w:tc>
      </w:tr>
      <w:tr w:rsidR="00AB51AE" w:rsidRPr="005D4222" w14:paraId="654D5E17"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01100AF1" w14:textId="5A41023C" w:rsidR="00AB51AE" w:rsidRPr="005D4222" w:rsidRDefault="00B51CDC" w:rsidP="00300802">
            <w:pPr>
              <w:pStyle w:val="ECDSMarginSubhead"/>
              <w:spacing w:after="0"/>
            </w:pPr>
            <w:r w:rsidRPr="005D4222">
              <w:t>Stratifications</w:t>
            </w:r>
            <w:r w:rsidR="00AB51AE" w:rsidRPr="005D4222">
              <w:t xml:space="preserve"> </w:t>
            </w:r>
          </w:p>
        </w:tc>
        <w:tc>
          <w:tcPr>
            <w:tcW w:w="7560"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5F807B1E" w14:textId="48A3DC05" w:rsidR="00AB51AE" w:rsidRPr="005D4222" w:rsidRDefault="00AB51AE" w:rsidP="00A53E8C">
            <w:pPr>
              <w:pStyle w:val="ProcessBullet"/>
              <w:numPr>
                <w:ilvl w:val="0"/>
                <w:numId w:val="0"/>
              </w:numPr>
              <w:spacing w:before="120"/>
              <w:ind w:left="216" w:hanging="216"/>
            </w:pPr>
            <w:r w:rsidRPr="005D4222">
              <w:t xml:space="preserve">Race. (Refer to </w:t>
            </w:r>
            <w:hyperlink w:anchor="GG_Race_and_Ethnicity" w:history="1">
              <w:r w:rsidRPr="005D4222">
                <w:rPr>
                  <w:rStyle w:val="Hyperlink"/>
                  <w:i/>
                  <w:iCs/>
                </w:rPr>
                <w:t>General Guideline: Race and Ethnicity Stratification</w:t>
              </w:r>
            </w:hyperlink>
            <w:r w:rsidRPr="005D4222">
              <w:t>.)</w:t>
            </w:r>
          </w:p>
          <w:p w14:paraId="5F00173F" w14:textId="77777777" w:rsidR="00AB51AE" w:rsidRPr="005D4222" w:rsidRDefault="00AB51AE" w:rsidP="00AB51AE">
            <w:pPr>
              <w:pStyle w:val="Bullet"/>
              <w:numPr>
                <w:ilvl w:val="0"/>
                <w:numId w:val="4"/>
              </w:numPr>
              <w:tabs>
                <w:tab w:val="left" w:pos="360"/>
                <w:tab w:val="left" w:pos="576"/>
              </w:tabs>
              <w:ind w:left="576" w:hanging="216"/>
            </w:pPr>
            <w:r w:rsidRPr="005D4222">
              <w:t>American Indian or Alaska Native.</w:t>
            </w:r>
          </w:p>
          <w:p w14:paraId="2188C007" w14:textId="77777777" w:rsidR="00AB51AE" w:rsidRPr="005D4222" w:rsidRDefault="00AB51AE" w:rsidP="00AB51AE">
            <w:pPr>
              <w:pStyle w:val="Bullet"/>
              <w:numPr>
                <w:ilvl w:val="0"/>
                <w:numId w:val="4"/>
              </w:numPr>
              <w:tabs>
                <w:tab w:val="left" w:pos="360"/>
                <w:tab w:val="left" w:pos="576"/>
              </w:tabs>
              <w:ind w:left="576" w:hanging="216"/>
            </w:pPr>
            <w:r w:rsidRPr="005D4222">
              <w:t>Asian.</w:t>
            </w:r>
          </w:p>
          <w:p w14:paraId="163B94DA" w14:textId="77777777" w:rsidR="00AB51AE" w:rsidRPr="005D4222" w:rsidRDefault="00AB51AE" w:rsidP="00AB51AE">
            <w:pPr>
              <w:pStyle w:val="Bullet"/>
              <w:numPr>
                <w:ilvl w:val="0"/>
                <w:numId w:val="4"/>
              </w:numPr>
              <w:tabs>
                <w:tab w:val="left" w:pos="360"/>
                <w:tab w:val="left" w:pos="576"/>
              </w:tabs>
              <w:ind w:left="576" w:hanging="216"/>
            </w:pPr>
            <w:r w:rsidRPr="005D4222">
              <w:t>Black or African American.</w:t>
            </w:r>
          </w:p>
          <w:p w14:paraId="06CA2D8A" w14:textId="77777777" w:rsidR="00AB51AE" w:rsidRPr="005D4222" w:rsidRDefault="00AB51AE" w:rsidP="00AB51AE">
            <w:pPr>
              <w:pStyle w:val="Bullet"/>
              <w:numPr>
                <w:ilvl w:val="0"/>
                <w:numId w:val="4"/>
              </w:numPr>
              <w:tabs>
                <w:tab w:val="left" w:pos="360"/>
                <w:tab w:val="left" w:pos="576"/>
              </w:tabs>
              <w:ind w:left="576" w:hanging="216"/>
            </w:pPr>
            <w:r w:rsidRPr="005D4222">
              <w:t>Middle Eastern or North African.</w:t>
            </w:r>
          </w:p>
          <w:p w14:paraId="1541BF68" w14:textId="77777777" w:rsidR="00AB51AE" w:rsidRPr="005D4222" w:rsidRDefault="00AB51AE" w:rsidP="00AB51AE">
            <w:pPr>
              <w:pStyle w:val="Bullet"/>
              <w:numPr>
                <w:ilvl w:val="0"/>
                <w:numId w:val="4"/>
              </w:numPr>
              <w:tabs>
                <w:tab w:val="left" w:pos="360"/>
                <w:tab w:val="left" w:pos="576"/>
              </w:tabs>
              <w:ind w:left="576" w:hanging="216"/>
            </w:pPr>
            <w:r w:rsidRPr="005D4222">
              <w:t>Native Hawaiian or Pacific Islander.</w:t>
            </w:r>
          </w:p>
          <w:p w14:paraId="1658BC12" w14:textId="77777777" w:rsidR="00AB51AE" w:rsidRPr="005D4222" w:rsidRDefault="00AB51AE" w:rsidP="00AB51AE">
            <w:pPr>
              <w:pStyle w:val="Bullet"/>
              <w:numPr>
                <w:ilvl w:val="0"/>
                <w:numId w:val="4"/>
              </w:numPr>
              <w:tabs>
                <w:tab w:val="left" w:pos="360"/>
                <w:tab w:val="left" w:pos="576"/>
              </w:tabs>
              <w:ind w:left="576" w:hanging="216"/>
            </w:pPr>
            <w:r w:rsidRPr="005D4222">
              <w:t>White.</w:t>
            </w:r>
          </w:p>
          <w:p w14:paraId="6533B65C" w14:textId="77777777" w:rsidR="00AB51AE" w:rsidRPr="005D4222" w:rsidRDefault="00AB51AE" w:rsidP="00AB51AE">
            <w:pPr>
              <w:pStyle w:val="Bullet"/>
              <w:numPr>
                <w:ilvl w:val="0"/>
                <w:numId w:val="4"/>
              </w:numPr>
              <w:tabs>
                <w:tab w:val="left" w:pos="360"/>
                <w:tab w:val="left" w:pos="576"/>
              </w:tabs>
              <w:ind w:left="576" w:hanging="216"/>
            </w:pPr>
            <w:r w:rsidRPr="005D4222">
              <w:t>Some Other Race.</w:t>
            </w:r>
          </w:p>
          <w:p w14:paraId="0BE7CDA1" w14:textId="77777777" w:rsidR="00AB51AE" w:rsidRPr="005D4222" w:rsidRDefault="00AB51AE" w:rsidP="00AB51AE">
            <w:pPr>
              <w:pStyle w:val="Bullet"/>
              <w:numPr>
                <w:ilvl w:val="0"/>
                <w:numId w:val="4"/>
              </w:numPr>
              <w:tabs>
                <w:tab w:val="left" w:pos="360"/>
                <w:tab w:val="left" w:pos="576"/>
              </w:tabs>
              <w:ind w:left="576" w:hanging="216"/>
            </w:pPr>
            <w:r w:rsidRPr="005D4222">
              <w:t>Two or More Races.</w:t>
            </w:r>
          </w:p>
          <w:p w14:paraId="56C843AC" w14:textId="77777777" w:rsidR="00AB51AE" w:rsidRPr="005D4222" w:rsidRDefault="00AB51AE" w:rsidP="00AB51AE">
            <w:pPr>
              <w:pStyle w:val="Bullet"/>
              <w:numPr>
                <w:ilvl w:val="0"/>
                <w:numId w:val="4"/>
              </w:numPr>
              <w:tabs>
                <w:tab w:val="left" w:pos="360"/>
                <w:tab w:val="left" w:pos="576"/>
              </w:tabs>
              <w:ind w:left="576" w:hanging="216"/>
            </w:pPr>
            <w:r w:rsidRPr="005D4222">
              <w:t>Asked But No Answer.</w:t>
            </w:r>
          </w:p>
          <w:p w14:paraId="5BD90170" w14:textId="77777777" w:rsidR="00AB51AE" w:rsidRPr="005D4222" w:rsidRDefault="00AB51AE" w:rsidP="00AB51AE">
            <w:pPr>
              <w:pStyle w:val="Bullet"/>
              <w:numPr>
                <w:ilvl w:val="0"/>
                <w:numId w:val="4"/>
              </w:numPr>
              <w:tabs>
                <w:tab w:val="left" w:pos="360"/>
                <w:tab w:val="left" w:pos="576"/>
              </w:tabs>
              <w:ind w:left="576" w:hanging="216"/>
            </w:pPr>
            <w:r w:rsidRPr="005D4222">
              <w:t>Unknown.</w:t>
            </w:r>
          </w:p>
          <w:p w14:paraId="2F190B5E" w14:textId="3C60028F" w:rsidR="00AB51AE" w:rsidRPr="005D4222" w:rsidRDefault="00AB51AE" w:rsidP="00A53E8C">
            <w:pPr>
              <w:pStyle w:val="ProcessBullet"/>
              <w:numPr>
                <w:ilvl w:val="0"/>
                <w:numId w:val="0"/>
              </w:numPr>
              <w:ind w:left="216" w:hanging="216"/>
            </w:pPr>
            <w:r w:rsidRPr="005D4222">
              <w:t xml:space="preserve">Ethnicity. (Refer to </w:t>
            </w:r>
            <w:hyperlink w:anchor="GG_Race_and_Ethnicity" w:history="1">
              <w:r w:rsidRPr="005D4222">
                <w:rPr>
                  <w:rStyle w:val="Hyperlink"/>
                  <w:i/>
                  <w:iCs/>
                </w:rPr>
                <w:t>General Guideline: Race and Ethnicity Stratification</w:t>
              </w:r>
            </w:hyperlink>
            <w:r w:rsidRPr="005D4222">
              <w:rPr>
                <w:i/>
                <w:iCs/>
              </w:rPr>
              <w:t>.</w:t>
            </w:r>
            <w:r w:rsidRPr="005D4222">
              <w:t>)</w:t>
            </w:r>
          </w:p>
          <w:p w14:paraId="6ED5DB47" w14:textId="77777777" w:rsidR="00AB51AE" w:rsidRPr="005D4222" w:rsidRDefault="00AB51AE" w:rsidP="00AB51AE">
            <w:pPr>
              <w:pStyle w:val="Bullet"/>
              <w:numPr>
                <w:ilvl w:val="0"/>
                <w:numId w:val="4"/>
              </w:numPr>
              <w:tabs>
                <w:tab w:val="left" w:pos="360"/>
                <w:tab w:val="left" w:pos="576"/>
              </w:tabs>
              <w:ind w:left="576" w:hanging="216"/>
            </w:pPr>
            <w:r w:rsidRPr="005D4222">
              <w:t>Hispanic or Latino.</w:t>
            </w:r>
          </w:p>
          <w:p w14:paraId="1D4A3399" w14:textId="77777777" w:rsidR="00AB51AE" w:rsidRPr="005D4222" w:rsidRDefault="00AB51AE" w:rsidP="00AB51AE">
            <w:pPr>
              <w:pStyle w:val="Bullet"/>
              <w:numPr>
                <w:ilvl w:val="0"/>
                <w:numId w:val="4"/>
              </w:numPr>
              <w:tabs>
                <w:tab w:val="left" w:pos="360"/>
                <w:tab w:val="left" w:pos="576"/>
              </w:tabs>
              <w:ind w:left="576" w:hanging="216"/>
            </w:pPr>
            <w:r w:rsidRPr="005D4222">
              <w:t>Not Hispanic or Latino.</w:t>
            </w:r>
          </w:p>
          <w:p w14:paraId="42AA3159" w14:textId="77777777" w:rsidR="00AB51AE" w:rsidRPr="005D4222" w:rsidRDefault="00AB51AE" w:rsidP="00AB51AE">
            <w:pPr>
              <w:pStyle w:val="Bullet"/>
              <w:numPr>
                <w:ilvl w:val="0"/>
                <w:numId w:val="4"/>
              </w:numPr>
              <w:tabs>
                <w:tab w:val="left" w:pos="360"/>
                <w:tab w:val="left" w:pos="576"/>
              </w:tabs>
              <w:ind w:left="576" w:hanging="216"/>
            </w:pPr>
            <w:r w:rsidRPr="005D4222">
              <w:t>Asked But No Answer.</w:t>
            </w:r>
          </w:p>
          <w:p w14:paraId="16340916" w14:textId="77777777" w:rsidR="00AB51AE" w:rsidRPr="005D4222" w:rsidRDefault="00AB51AE" w:rsidP="00AB51AE">
            <w:pPr>
              <w:pStyle w:val="Bullet"/>
              <w:numPr>
                <w:ilvl w:val="0"/>
                <w:numId w:val="4"/>
              </w:numPr>
              <w:tabs>
                <w:tab w:val="left" w:pos="360"/>
                <w:tab w:val="left" w:pos="576"/>
              </w:tabs>
              <w:ind w:left="576" w:hanging="216"/>
            </w:pPr>
            <w:r w:rsidRPr="005D4222">
              <w:t>Unknown.</w:t>
            </w:r>
          </w:p>
        </w:tc>
      </w:tr>
      <w:tr w:rsidR="00AB51AE" w:rsidRPr="005D4222" w14:paraId="2508774B"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641F9509" w14:textId="77777777" w:rsidR="00AB51AE" w:rsidRPr="005D4222" w:rsidRDefault="00AB51AE" w:rsidP="00300802">
            <w:pPr>
              <w:pStyle w:val="ECDSMarginSubhead"/>
              <w:spacing w:after="0"/>
            </w:pPr>
            <w:r w:rsidRPr="005D4222">
              <w:t>Risk adjustment</w:t>
            </w:r>
          </w:p>
        </w:tc>
        <w:tc>
          <w:tcPr>
            <w:tcW w:w="7560"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2AA55DB3" w14:textId="77777777" w:rsidR="00AB51AE" w:rsidRPr="005D4222" w:rsidRDefault="00AB51AE" w:rsidP="00300802">
            <w:pPr>
              <w:pStyle w:val="ECDSBody"/>
              <w:spacing w:after="0"/>
            </w:pPr>
            <w:r w:rsidRPr="005D4222">
              <w:t>None.</w:t>
            </w:r>
          </w:p>
        </w:tc>
      </w:tr>
      <w:tr w:rsidR="00AB51AE" w:rsidRPr="005D4222" w14:paraId="7810ECC9"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50D534DD" w14:textId="77777777" w:rsidR="00AB51AE" w:rsidRPr="005D4222" w:rsidRDefault="00AB51AE" w:rsidP="00300802">
            <w:pPr>
              <w:pStyle w:val="ECDSMarginSubhead"/>
              <w:spacing w:after="0"/>
            </w:pPr>
            <w:r w:rsidRPr="005D4222">
              <w:t>Improvement notation</w:t>
            </w:r>
          </w:p>
        </w:tc>
        <w:tc>
          <w:tcPr>
            <w:tcW w:w="7560"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1E59DA1A" w14:textId="77777777" w:rsidR="00AB51AE" w:rsidRPr="005D4222" w:rsidRDefault="00AB51AE" w:rsidP="00300802">
            <w:pPr>
              <w:pStyle w:val="ECDSBody"/>
              <w:spacing w:after="0"/>
              <w:rPr>
                <w:iCs/>
              </w:rPr>
            </w:pPr>
            <w:r w:rsidRPr="005D4222">
              <w:rPr>
                <w:iCs/>
              </w:rPr>
              <w:t>Increased score indicates improvement.</w:t>
            </w:r>
          </w:p>
        </w:tc>
      </w:tr>
      <w:tr w:rsidR="00AB51AE" w:rsidRPr="005D4222" w14:paraId="0D7BE3AF" w14:textId="77777777" w:rsidTr="00A53E8C">
        <w:trPr>
          <w:trHeight w:val="633"/>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3C58D6F4" w14:textId="77777777" w:rsidR="00AB51AE" w:rsidRPr="005D4222" w:rsidRDefault="00AB51AE" w:rsidP="00A53E8C">
            <w:pPr>
              <w:pStyle w:val="ECDSMarginSubhead"/>
            </w:pPr>
            <w:r w:rsidRPr="005D4222">
              <w:t>Guidance</w:t>
            </w:r>
          </w:p>
        </w:tc>
        <w:tc>
          <w:tcPr>
            <w:tcW w:w="7560"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373B12E7" w14:textId="6E19EB7E" w:rsidR="00AB51AE" w:rsidRPr="005D4222" w:rsidRDefault="00AB51AE" w:rsidP="00A53E8C">
            <w:pPr>
              <w:pStyle w:val="ECDSBody"/>
            </w:pPr>
            <w:r w:rsidRPr="005D4222">
              <w:rPr>
                <w:b/>
              </w:rPr>
              <w:t xml:space="preserve">Data collection methodology: </w:t>
            </w:r>
            <w:r w:rsidRPr="005D4222">
              <w:t xml:space="preserve">ECDS. Refer to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7050ED99" w14:textId="77777777" w:rsidR="00AB51AE" w:rsidRPr="005D4222" w:rsidRDefault="00AB51AE" w:rsidP="00A53E8C">
            <w:pPr>
              <w:pStyle w:val="ECDSBody"/>
            </w:pPr>
            <w:r w:rsidRPr="005D4222">
              <w:rPr>
                <w:b/>
              </w:rPr>
              <w:t xml:space="preserve">Date specificity: </w:t>
            </w:r>
            <w:r w:rsidRPr="005D4222">
              <w:t>Dates must be specific enough to determine the event occurred in the period being measured.</w:t>
            </w:r>
          </w:p>
          <w:p w14:paraId="6BB803EF" w14:textId="77777777" w:rsidR="00AB51AE" w:rsidRPr="005D4222" w:rsidRDefault="00AB51AE" w:rsidP="00A53E8C">
            <w:pPr>
              <w:pStyle w:val="ECDSBody"/>
            </w:pPr>
            <w:r w:rsidRPr="005D4222">
              <w:rPr>
                <w:b/>
              </w:rPr>
              <w:t xml:space="preserve">Which services count? </w:t>
            </w:r>
            <w:r w:rsidRPr="005D4222">
              <w:t>When using claims, include all paid, suspended, pending and denied claims.</w:t>
            </w:r>
          </w:p>
        </w:tc>
      </w:tr>
      <w:tr w:rsidR="00AB51AE" w:rsidRPr="005D4222" w14:paraId="221A08A4" w14:textId="77777777" w:rsidTr="00A53E8C">
        <w:trPr>
          <w:trHeight w:val="2042"/>
        </w:trPr>
        <w:tc>
          <w:tcPr>
            <w:tcW w:w="21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4DA6DCA" w14:textId="77777777" w:rsidR="00AB51AE" w:rsidRPr="005D4222" w:rsidRDefault="00AB51AE" w:rsidP="00A53E8C">
            <w:pPr>
              <w:pStyle w:val="ECDSMarginSubhead"/>
            </w:pPr>
          </w:p>
        </w:tc>
        <w:tc>
          <w:tcPr>
            <w:tcW w:w="7560"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AB2C795" w14:textId="77777777" w:rsidR="00AB51AE" w:rsidRPr="005D4222" w:rsidRDefault="00AB51AE" w:rsidP="00A53E8C">
            <w:pPr>
              <w:pStyle w:val="ECDSBody"/>
            </w:pPr>
            <w:r w:rsidRPr="005D4222">
              <w:rPr>
                <w:b/>
              </w:rPr>
              <w:t xml:space="preserve">Other guidance: </w:t>
            </w:r>
            <w:r w:rsidRPr="005D4222">
              <w:t>To align with ACIP recommendations:</w:t>
            </w:r>
          </w:p>
          <w:p w14:paraId="279F79DE" w14:textId="77777777" w:rsidR="00AB51AE" w:rsidRPr="005D4222" w:rsidRDefault="00AB51AE" w:rsidP="00AB51AE">
            <w:pPr>
              <w:pStyle w:val="Bullet"/>
              <w:numPr>
                <w:ilvl w:val="0"/>
                <w:numId w:val="4"/>
              </w:numPr>
              <w:tabs>
                <w:tab w:val="left" w:pos="360"/>
                <w:tab w:val="left" w:pos="576"/>
              </w:tabs>
              <w:ind w:left="576" w:hanging="216"/>
            </w:pPr>
            <w:r w:rsidRPr="005D4222">
              <w:t>Only the quadrivalent meningococcal vaccine (serogroups A, C, W, Y) is included in the measure.</w:t>
            </w:r>
          </w:p>
          <w:p w14:paraId="2C131237" w14:textId="77777777" w:rsidR="00AB51AE" w:rsidRPr="005D4222" w:rsidRDefault="00AB51AE" w:rsidP="00AB51AE">
            <w:pPr>
              <w:pStyle w:val="Bullet"/>
              <w:numPr>
                <w:ilvl w:val="0"/>
                <w:numId w:val="4"/>
              </w:numPr>
              <w:tabs>
                <w:tab w:val="left" w:pos="360"/>
                <w:tab w:val="left" w:pos="576"/>
              </w:tabs>
              <w:spacing w:after="80"/>
              <w:ind w:left="576" w:hanging="216"/>
            </w:pPr>
            <w:r w:rsidRPr="005D4222">
              <w:t>The minimum interval for the two-dose HPV vaccination schedule is 150 days, with a 4-day grace period (146 days).</w:t>
            </w:r>
          </w:p>
          <w:p w14:paraId="72AE9647" w14:textId="77777777" w:rsidR="00AB51AE" w:rsidRPr="005D4222" w:rsidRDefault="00AB51AE" w:rsidP="00A53E8C">
            <w:pPr>
              <w:pStyle w:val="ECDSBody"/>
            </w:pPr>
            <w:r w:rsidRPr="005D4222">
              <w:t>Report rates for each vaccine and two combination rates.</w:t>
            </w:r>
          </w:p>
          <w:p w14:paraId="2EC81AE1" w14:textId="77777777" w:rsidR="00AB51AE" w:rsidRPr="005D4222" w:rsidRDefault="00AB51AE" w:rsidP="00300802">
            <w:pPr>
              <w:pStyle w:val="ECDSBody"/>
              <w:spacing w:after="120"/>
              <w:rPr>
                <w:rFonts w:ascii="Segoe UI" w:hAnsi="Segoe UI" w:cs="Segoe UI"/>
                <w:sz w:val="18"/>
                <w:szCs w:val="18"/>
              </w:rPr>
            </w:pPr>
            <w:r w:rsidRPr="005D4222">
              <w:rPr>
                <w:i/>
                <w:iCs/>
                <w:szCs w:val="21"/>
              </w:rPr>
              <w:t xml:space="preserve">Combination rates: </w:t>
            </w:r>
            <w:r w:rsidRPr="005D4222">
              <w:rPr>
                <w:szCs w:val="21"/>
              </w:rPr>
              <w:t>Calculate the following rates for Combinations 1 and 2.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84"/>
              <w:gridCol w:w="2121"/>
              <w:gridCol w:w="1187"/>
              <w:gridCol w:w="1583"/>
            </w:tblGrid>
            <w:tr w:rsidR="00AB51AE" w:rsidRPr="005D4222" w14:paraId="21F9DDF8" w14:textId="77777777" w:rsidTr="00A53E8C">
              <w:trPr>
                <w:trHeight w:val="300"/>
              </w:trPr>
              <w:tc>
                <w:tcPr>
                  <w:tcW w:w="1695" w:type="dxa"/>
                  <w:tcBorders>
                    <w:top w:val="single" w:sz="6" w:space="0" w:color="auto"/>
                    <w:left w:val="single" w:sz="6" w:space="0" w:color="auto"/>
                    <w:bottom w:val="single" w:sz="6" w:space="0" w:color="auto"/>
                    <w:right w:val="single" w:sz="6" w:space="0" w:color="FFFFFF"/>
                  </w:tcBorders>
                  <w:shd w:val="clear" w:color="auto" w:fill="000000"/>
                  <w:tcMar>
                    <w:left w:w="86" w:type="dxa"/>
                    <w:right w:w="86" w:type="dxa"/>
                  </w:tcMar>
                  <w:vAlign w:val="center"/>
                  <w:hideMark/>
                </w:tcPr>
                <w:p w14:paraId="4DBBF198" w14:textId="77777777" w:rsidR="00AB51AE" w:rsidRPr="005D4222" w:rsidRDefault="00AB51AE" w:rsidP="00A53E8C">
                  <w:pPr>
                    <w:pStyle w:val="TableHead"/>
                    <w:rPr>
                      <w:rFonts w:ascii="Times New Roman" w:hAnsi="Times New Roman"/>
                      <w:sz w:val="24"/>
                      <w:szCs w:val="24"/>
                    </w:rPr>
                  </w:pPr>
                  <w:r w:rsidRPr="005D4222">
                    <w:rPr>
                      <w:shd w:val="clear" w:color="auto" w:fill="000000"/>
                    </w:rPr>
                    <w:t>Combination</w:t>
                  </w:r>
                </w:p>
              </w:tc>
              <w:tc>
                <w:tcPr>
                  <w:tcW w:w="1447" w:type="dxa"/>
                  <w:tcBorders>
                    <w:top w:val="single" w:sz="6" w:space="0" w:color="auto"/>
                    <w:left w:val="single" w:sz="6" w:space="0" w:color="FFFFFF"/>
                    <w:bottom w:val="single" w:sz="6" w:space="0" w:color="auto"/>
                    <w:right w:val="single" w:sz="6" w:space="0" w:color="FFFFFF"/>
                  </w:tcBorders>
                  <w:shd w:val="clear" w:color="auto" w:fill="000000"/>
                  <w:tcMar>
                    <w:left w:w="86" w:type="dxa"/>
                    <w:right w:w="86" w:type="dxa"/>
                  </w:tcMar>
                  <w:vAlign w:val="center"/>
                  <w:hideMark/>
                </w:tcPr>
                <w:p w14:paraId="3E30357A" w14:textId="77777777" w:rsidR="00AB51AE" w:rsidRPr="005D4222" w:rsidRDefault="00AB51AE" w:rsidP="00A53E8C">
                  <w:pPr>
                    <w:pStyle w:val="TableHead"/>
                    <w:rPr>
                      <w:rFonts w:ascii="Times New Roman" w:hAnsi="Times New Roman"/>
                      <w:sz w:val="24"/>
                      <w:szCs w:val="24"/>
                    </w:rPr>
                  </w:pPr>
                  <w:r w:rsidRPr="005D4222">
                    <w:rPr>
                      <w:shd w:val="clear" w:color="auto" w:fill="000000"/>
                    </w:rPr>
                    <w:t>Meningococcal</w:t>
                  </w:r>
                </w:p>
              </w:tc>
              <w:tc>
                <w:tcPr>
                  <w:tcW w:w="810" w:type="dxa"/>
                  <w:tcBorders>
                    <w:top w:val="single" w:sz="6" w:space="0" w:color="auto"/>
                    <w:left w:val="single" w:sz="6" w:space="0" w:color="FFFFFF"/>
                    <w:bottom w:val="single" w:sz="6" w:space="0" w:color="auto"/>
                    <w:right w:val="single" w:sz="6" w:space="0" w:color="FFFFFF"/>
                  </w:tcBorders>
                  <w:shd w:val="clear" w:color="auto" w:fill="000000"/>
                  <w:tcMar>
                    <w:left w:w="86" w:type="dxa"/>
                    <w:right w:w="86" w:type="dxa"/>
                  </w:tcMar>
                  <w:vAlign w:val="center"/>
                  <w:hideMark/>
                </w:tcPr>
                <w:p w14:paraId="5A805A51" w14:textId="77777777" w:rsidR="00AB51AE" w:rsidRPr="005D4222" w:rsidRDefault="00AB51AE" w:rsidP="00A53E8C">
                  <w:pPr>
                    <w:pStyle w:val="TableHead"/>
                    <w:rPr>
                      <w:rFonts w:ascii="Times New Roman" w:hAnsi="Times New Roman"/>
                      <w:sz w:val="24"/>
                      <w:szCs w:val="24"/>
                    </w:rPr>
                  </w:pPr>
                  <w:r w:rsidRPr="005D4222">
                    <w:rPr>
                      <w:shd w:val="clear" w:color="auto" w:fill="000000"/>
                    </w:rPr>
                    <w:t>Tdap</w:t>
                  </w:r>
                </w:p>
              </w:tc>
              <w:tc>
                <w:tcPr>
                  <w:tcW w:w="1080" w:type="dxa"/>
                  <w:tcBorders>
                    <w:top w:val="single" w:sz="6" w:space="0" w:color="auto"/>
                    <w:left w:val="single" w:sz="6" w:space="0" w:color="FFFFFF"/>
                    <w:bottom w:val="single" w:sz="6" w:space="0" w:color="auto"/>
                    <w:right w:val="single" w:sz="4" w:space="0" w:color="auto"/>
                  </w:tcBorders>
                  <w:shd w:val="clear" w:color="auto" w:fill="000000"/>
                  <w:tcMar>
                    <w:left w:w="86" w:type="dxa"/>
                    <w:right w:w="86" w:type="dxa"/>
                  </w:tcMar>
                  <w:vAlign w:val="center"/>
                  <w:hideMark/>
                </w:tcPr>
                <w:p w14:paraId="0915BCD5" w14:textId="77777777" w:rsidR="00AB51AE" w:rsidRPr="005D4222" w:rsidRDefault="00AB51AE" w:rsidP="00A53E8C">
                  <w:pPr>
                    <w:pStyle w:val="TableHead"/>
                    <w:rPr>
                      <w:rFonts w:ascii="Times New Roman" w:hAnsi="Times New Roman"/>
                      <w:sz w:val="24"/>
                      <w:szCs w:val="24"/>
                    </w:rPr>
                  </w:pPr>
                  <w:r w:rsidRPr="005D4222">
                    <w:rPr>
                      <w:shd w:val="clear" w:color="auto" w:fill="000000"/>
                    </w:rPr>
                    <w:t>HPV</w:t>
                  </w:r>
                </w:p>
              </w:tc>
            </w:tr>
            <w:tr w:rsidR="00AB51AE" w:rsidRPr="005D4222" w14:paraId="715841D7" w14:textId="77777777" w:rsidTr="007B5FC3">
              <w:trPr>
                <w:trHeight w:val="300"/>
              </w:trPr>
              <w:tc>
                <w:tcPr>
                  <w:tcW w:w="1695" w:type="dxa"/>
                  <w:tcBorders>
                    <w:top w:val="single" w:sz="6" w:space="0" w:color="auto"/>
                    <w:left w:val="single" w:sz="6" w:space="0" w:color="auto"/>
                    <w:bottom w:val="single" w:sz="6" w:space="0" w:color="auto"/>
                    <w:right w:val="single" w:sz="6" w:space="0" w:color="auto"/>
                  </w:tcBorders>
                  <w:tcMar>
                    <w:left w:w="86" w:type="dxa"/>
                    <w:right w:w="86" w:type="dxa"/>
                  </w:tcMar>
                  <w:vAlign w:val="center"/>
                  <w:hideMark/>
                </w:tcPr>
                <w:p w14:paraId="09C53B7A" w14:textId="77777777" w:rsidR="00AB51AE" w:rsidRPr="005D4222" w:rsidRDefault="00AB51AE" w:rsidP="00A53E8C">
                  <w:pPr>
                    <w:pStyle w:val="TableText"/>
                    <w:rPr>
                      <w:rFonts w:ascii="Times New Roman" w:hAnsi="Times New Roman"/>
                      <w:sz w:val="24"/>
                      <w:szCs w:val="24"/>
                    </w:rPr>
                  </w:pPr>
                  <w:r w:rsidRPr="005D4222">
                    <w:t>Combination 1</w:t>
                  </w:r>
                </w:p>
              </w:tc>
              <w:tc>
                <w:tcPr>
                  <w:tcW w:w="1447" w:type="dxa"/>
                  <w:tcBorders>
                    <w:top w:val="single" w:sz="6" w:space="0" w:color="auto"/>
                    <w:left w:val="single" w:sz="6" w:space="0" w:color="auto"/>
                    <w:bottom w:val="single" w:sz="6" w:space="0" w:color="auto"/>
                    <w:right w:val="single" w:sz="6" w:space="0" w:color="auto"/>
                  </w:tcBorders>
                  <w:tcMar>
                    <w:left w:w="86" w:type="dxa"/>
                    <w:right w:w="86" w:type="dxa"/>
                  </w:tcMar>
                  <w:vAlign w:val="center"/>
                  <w:hideMark/>
                </w:tcPr>
                <w:p w14:paraId="6E877CA0" w14:textId="77777777" w:rsidR="00AB51AE" w:rsidRPr="005D4222" w:rsidRDefault="00AB51AE" w:rsidP="00A53E8C">
                  <w:pPr>
                    <w:jc w:val="center"/>
                    <w:textAlignment w:val="baseline"/>
                    <w:rPr>
                      <w:rFonts w:ascii="Times New Roman" w:hAnsi="Times New Roman"/>
                      <w:sz w:val="24"/>
                      <w:szCs w:val="24"/>
                    </w:rPr>
                  </w:pPr>
                  <w:r w:rsidRPr="005D4222">
                    <w:rPr>
                      <w:rFonts w:ascii="Wingdings" w:eastAsia="Wingdings" w:hAnsi="Wingdings" w:cs="Wingdings"/>
                      <w:sz w:val="24"/>
                      <w:szCs w:val="24"/>
                    </w:rPr>
                    <w:t>ü</w:t>
                  </w:r>
                </w:p>
              </w:tc>
              <w:tc>
                <w:tcPr>
                  <w:tcW w:w="810" w:type="dxa"/>
                  <w:tcBorders>
                    <w:top w:val="single" w:sz="6" w:space="0" w:color="auto"/>
                    <w:left w:val="single" w:sz="6" w:space="0" w:color="auto"/>
                    <w:bottom w:val="single" w:sz="6" w:space="0" w:color="auto"/>
                    <w:right w:val="single" w:sz="6" w:space="0" w:color="auto"/>
                  </w:tcBorders>
                  <w:tcMar>
                    <w:left w:w="86" w:type="dxa"/>
                    <w:right w:w="86" w:type="dxa"/>
                  </w:tcMar>
                  <w:vAlign w:val="center"/>
                  <w:hideMark/>
                </w:tcPr>
                <w:p w14:paraId="5EC50700" w14:textId="77777777" w:rsidR="00AB51AE" w:rsidRPr="005D4222" w:rsidRDefault="00AB51AE" w:rsidP="00A53E8C">
                  <w:pPr>
                    <w:jc w:val="center"/>
                    <w:textAlignment w:val="baseline"/>
                    <w:rPr>
                      <w:rFonts w:ascii="Times New Roman" w:hAnsi="Times New Roman"/>
                      <w:sz w:val="24"/>
                      <w:szCs w:val="24"/>
                    </w:rPr>
                  </w:pPr>
                  <w:r w:rsidRPr="005D4222">
                    <w:rPr>
                      <w:rFonts w:ascii="Wingdings" w:eastAsia="Wingdings" w:hAnsi="Wingdings" w:cs="Wingdings"/>
                      <w:sz w:val="24"/>
                      <w:szCs w:val="24"/>
                    </w:rPr>
                    <w:t>ü</w:t>
                  </w:r>
                </w:p>
              </w:tc>
              <w:tc>
                <w:tcPr>
                  <w:tcW w:w="1080" w:type="dxa"/>
                  <w:tcBorders>
                    <w:top w:val="single" w:sz="6" w:space="0" w:color="auto"/>
                    <w:left w:val="single" w:sz="6" w:space="0" w:color="auto"/>
                    <w:bottom w:val="single" w:sz="6" w:space="0" w:color="auto"/>
                    <w:right w:val="single" w:sz="6" w:space="0" w:color="auto"/>
                  </w:tcBorders>
                  <w:tcMar>
                    <w:left w:w="86" w:type="dxa"/>
                    <w:right w:w="86" w:type="dxa"/>
                  </w:tcMar>
                  <w:vAlign w:val="center"/>
                  <w:hideMark/>
                </w:tcPr>
                <w:p w14:paraId="47AA7506" w14:textId="77777777" w:rsidR="00AB51AE" w:rsidRPr="005D4222" w:rsidRDefault="00AB51AE" w:rsidP="00A53E8C">
                  <w:pPr>
                    <w:jc w:val="center"/>
                    <w:textAlignment w:val="baseline"/>
                    <w:rPr>
                      <w:rFonts w:ascii="Times New Roman" w:hAnsi="Times New Roman"/>
                      <w:sz w:val="24"/>
                      <w:szCs w:val="24"/>
                    </w:rPr>
                  </w:pPr>
                </w:p>
              </w:tc>
            </w:tr>
            <w:tr w:rsidR="00AB51AE" w:rsidRPr="005D4222" w14:paraId="31E702E2" w14:textId="77777777" w:rsidTr="007B5FC3">
              <w:trPr>
                <w:trHeight w:val="300"/>
              </w:trPr>
              <w:tc>
                <w:tcPr>
                  <w:tcW w:w="1695" w:type="dxa"/>
                  <w:tcBorders>
                    <w:top w:val="single" w:sz="6" w:space="0" w:color="auto"/>
                    <w:left w:val="single" w:sz="6" w:space="0" w:color="auto"/>
                    <w:bottom w:val="single" w:sz="6" w:space="0" w:color="auto"/>
                    <w:right w:val="single" w:sz="6" w:space="0" w:color="auto"/>
                  </w:tcBorders>
                  <w:tcMar>
                    <w:left w:w="86" w:type="dxa"/>
                    <w:right w:w="86" w:type="dxa"/>
                  </w:tcMar>
                  <w:vAlign w:val="center"/>
                  <w:hideMark/>
                </w:tcPr>
                <w:p w14:paraId="61E2CD10" w14:textId="77777777" w:rsidR="00AB51AE" w:rsidRPr="005D4222" w:rsidRDefault="00AB51AE" w:rsidP="00A53E8C">
                  <w:pPr>
                    <w:pStyle w:val="TableText"/>
                    <w:rPr>
                      <w:rFonts w:ascii="Times New Roman" w:hAnsi="Times New Roman"/>
                      <w:sz w:val="24"/>
                      <w:szCs w:val="24"/>
                    </w:rPr>
                  </w:pPr>
                  <w:r w:rsidRPr="005D4222">
                    <w:t>Combination 2</w:t>
                  </w:r>
                </w:p>
              </w:tc>
              <w:tc>
                <w:tcPr>
                  <w:tcW w:w="1447" w:type="dxa"/>
                  <w:tcBorders>
                    <w:top w:val="single" w:sz="6" w:space="0" w:color="auto"/>
                    <w:left w:val="single" w:sz="6" w:space="0" w:color="auto"/>
                    <w:bottom w:val="single" w:sz="6" w:space="0" w:color="auto"/>
                    <w:right w:val="single" w:sz="6" w:space="0" w:color="auto"/>
                  </w:tcBorders>
                  <w:tcMar>
                    <w:left w:w="86" w:type="dxa"/>
                    <w:right w:w="86" w:type="dxa"/>
                  </w:tcMar>
                  <w:vAlign w:val="center"/>
                  <w:hideMark/>
                </w:tcPr>
                <w:p w14:paraId="54E1D7AC" w14:textId="77777777" w:rsidR="00AB51AE" w:rsidRPr="005D4222" w:rsidRDefault="00AB51AE" w:rsidP="00A53E8C">
                  <w:pPr>
                    <w:jc w:val="center"/>
                    <w:textAlignment w:val="baseline"/>
                    <w:rPr>
                      <w:rFonts w:ascii="Times New Roman" w:hAnsi="Times New Roman"/>
                      <w:sz w:val="24"/>
                      <w:szCs w:val="24"/>
                    </w:rPr>
                  </w:pPr>
                  <w:r w:rsidRPr="005D4222">
                    <w:rPr>
                      <w:rFonts w:ascii="Wingdings" w:eastAsia="Wingdings" w:hAnsi="Wingdings" w:cs="Wingdings"/>
                      <w:sz w:val="24"/>
                      <w:szCs w:val="24"/>
                    </w:rPr>
                    <w:t>ü</w:t>
                  </w:r>
                </w:p>
              </w:tc>
              <w:tc>
                <w:tcPr>
                  <w:tcW w:w="810" w:type="dxa"/>
                  <w:tcBorders>
                    <w:top w:val="single" w:sz="6" w:space="0" w:color="auto"/>
                    <w:left w:val="single" w:sz="6" w:space="0" w:color="auto"/>
                    <w:bottom w:val="single" w:sz="6" w:space="0" w:color="auto"/>
                    <w:right w:val="single" w:sz="6" w:space="0" w:color="auto"/>
                  </w:tcBorders>
                  <w:tcMar>
                    <w:left w:w="86" w:type="dxa"/>
                    <w:right w:w="86" w:type="dxa"/>
                  </w:tcMar>
                  <w:vAlign w:val="center"/>
                  <w:hideMark/>
                </w:tcPr>
                <w:p w14:paraId="771BBACC" w14:textId="77777777" w:rsidR="00AB51AE" w:rsidRPr="005D4222" w:rsidRDefault="00AB51AE" w:rsidP="00A53E8C">
                  <w:pPr>
                    <w:jc w:val="center"/>
                    <w:textAlignment w:val="baseline"/>
                    <w:rPr>
                      <w:rFonts w:ascii="Times New Roman" w:hAnsi="Times New Roman"/>
                      <w:sz w:val="24"/>
                      <w:szCs w:val="24"/>
                    </w:rPr>
                  </w:pPr>
                  <w:r w:rsidRPr="005D4222">
                    <w:rPr>
                      <w:rFonts w:ascii="Wingdings" w:eastAsia="Wingdings" w:hAnsi="Wingdings" w:cs="Wingdings"/>
                      <w:sz w:val="24"/>
                      <w:szCs w:val="24"/>
                    </w:rPr>
                    <w:t>ü</w:t>
                  </w:r>
                </w:p>
              </w:tc>
              <w:tc>
                <w:tcPr>
                  <w:tcW w:w="1080" w:type="dxa"/>
                  <w:tcBorders>
                    <w:top w:val="single" w:sz="6" w:space="0" w:color="auto"/>
                    <w:left w:val="single" w:sz="6" w:space="0" w:color="auto"/>
                    <w:bottom w:val="single" w:sz="6" w:space="0" w:color="auto"/>
                    <w:right w:val="single" w:sz="6" w:space="0" w:color="auto"/>
                  </w:tcBorders>
                  <w:tcMar>
                    <w:left w:w="86" w:type="dxa"/>
                    <w:right w:w="86" w:type="dxa"/>
                  </w:tcMar>
                  <w:vAlign w:val="center"/>
                  <w:hideMark/>
                </w:tcPr>
                <w:p w14:paraId="7DDA11BA" w14:textId="77777777" w:rsidR="00AB51AE" w:rsidRPr="005D4222" w:rsidRDefault="00AB51AE" w:rsidP="00A53E8C">
                  <w:pPr>
                    <w:jc w:val="center"/>
                    <w:textAlignment w:val="baseline"/>
                    <w:rPr>
                      <w:rFonts w:ascii="Times New Roman" w:hAnsi="Times New Roman"/>
                      <w:sz w:val="24"/>
                      <w:szCs w:val="24"/>
                    </w:rPr>
                  </w:pPr>
                  <w:r w:rsidRPr="005D4222">
                    <w:rPr>
                      <w:rFonts w:ascii="Wingdings" w:eastAsia="Wingdings" w:hAnsi="Wingdings" w:cs="Wingdings"/>
                      <w:sz w:val="24"/>
                      <w:szCs w:val="24"/>
                    </w:rPr>
                    <w:t>ü</w:t>
                  </w:r>
                </w:p>
              </w:tc>
            </w:tr>
          </w:tbl>
          <w:p w14:paraId="06666AC0" w14:textId="77777777" w:rsidR="00AB51AE" w:rsidRPr="005D4222" w:rsidRDefault="00AB51AE" w:rsidP="00A53E8C">
            <w:pPr>
              <w:pStyle w:val="ECDSBody"/>
              <w:rPr>
                <w:b/>
              </w:rPr>
            </w:pPr>
          </w:p>
        </w:tc>
      </w:tr>
      <w:tr w:rsidR="00AB51AE" w:rsidRPr="005D4222" w14:paraId="7C7DA86E" w14:textId="77777777" w:rsidTr="00A53E8C">
        <w:trPr>
          <w:trHeight w:val="320"/>
        </w:trPr>
        <w:tc>
          <w:tcPr>
            <w:tcW w:w="2157" w:type="dxa"/>
            <w:shd w:val="clear" w:color="auto" w:fill="BFBFBF" w:themeFill="background1" w:themeFillShade="BF"/>
            <w:tcMar>
              <w:top w:w="0" w:type="dxa"/>
              <w:left w:w="86" w:type="dxa"/>
              <w:bottom w:w="43" w:type="dxa"/>
              <w:right w:w="86" w:type="dxa"/>
            </w:tcMar>
          </w:tcPr>
          <w:p w14:paraId="5BCA3A97" w14:textId="77777777" w:rsidR="00AB51AE" w:rsidRPr="005D4222" w:rsidRDefault="00AB51AE" w:rsidP="00A53E8C">
            <w:pPr>
              <w:pStyle w:val="ECDSMarginHead"/>
            </w:pPr>
            <w:r w:rsidRPr="005D4222">
              <w:t>Initial population</w:t>
            </w:r>
          </w:p>
        </w:tc>
        <w:tc>
          <w:tcPr>
            <w:tcW w:w="7560"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836A9D7" w14:textId="77777777" w:rsidR="00AB51AE" w:rsidRPr="005D4222" w:rsidRDefault="00AB51AE" w:rsidP="00A53E8C">
            <w:pPr>
              <w:pStyle w:val="ECDSBody"/>
            </w:pPr>
            <w:r w:rsidRPr="005D4222">
              <w:rPr>
                <w:i/>
                <w:iCs/>
              </w:rPr>
              <w:t>Measure item count:</w:t>
            </w:r>
            <w:r w:rsidRPr="005D4222">
              <w:t xml:space="preserve"> Person.</w:t>
            </w:r>
          </w:p>
          <w:p w14:paraId="641E8807" w14:textId="77777777" w:rsidR="00AB51AE" w:rsidRPr="005D4222" w:rsidRDefault="00AB51AE" w:rsidP="00A53E8C">
            <w:pPr>
              <w:pStyle w:val="ECDSBody"/>
            </w:pPr>
            <w:r w:rsidRPr="005D4222">
              <w:rPr>
                <w:i/>
                <w:iCs/>
              </w:rPr>
              <w:t>Attribution basis:</w:t>
            </w:r>
            <w:r w:rsidRPr="005D4222">
              <w:t xml:space="preserve"> Enrollment.</w:t>
            </w:r>
          </w:p>
          <w:p w14:paraId="0255562E" w14:textId="77777777" w:rsidR="00AB51AE" w:rsidRPr="005D4222" w:rsidRDefault="00AB51AE" w:rsidP="00AB51AE">
            <w:pPr>
              <w:pStyle w:val="Bullet"/>
              <w:numPr>
                <w:ilvl w:val="0"/>
                <w:numId w:val="4"/>
              </w:numPr>
              <w:tabs>
                <w:tab w:val="left" w:pos="360"/>
                <w:tab w:val="left" w:pos="576"/>
              </w:tabs>
              <w:ind w:left="576" w:hanging="216"/>
            </w:pPr>
            <w:r w:rsidRPr="005D4222">
              <w:rPr>
                <w:i/>
              </w:rPr>
              <w:t>Benefits:</w:t>
            </w:r>
            <w:r w:rsidRPr="005D4222">
              <w:t xml:space="preserve"> Medical.</w:t>
            </w:r>
          </w:p>
          <w:p w14:paraId="1ED7C9D3" w14:textId="56198351" w:rsidR="00AB51AE" w:rsidRPr="005D4222" w:rsidRDefault="00AB51AE" w:rsidP="00AB51AE">
            <w:pPr>
              <w:pStyle w:val="Bullet"/>
              <w:numPr>
                <w:ilvl w:val="0"/>
                <w:numId w:val="4"/>
              </w:numPr>
              <w:tabs>
                <w:tab w:val="left" w:pos="360"/>
                <w:tab w:val="left" w:pos="576"/>
              </w:tabs>
              <w:ind w:left="576" w:hanging="216"/>
            </w:pPr>
            <w:r w:rsidRPr="005D4222">
              <w:rPr>
                <w:i/>
              </w:rPr>
              <w:t xml:space="preserve">Continuous enrollment: </w:t>
            </w:r>
            <w:r w:rsidRPr="005D4222">
              <w:t>365 days prior to the person’s 13th birthday and the 13th birthday.</w:t>
            </w:r>
          </w:p>
          <w:p w14:paraId="57667673" w14:textId="77777777" w:rsidR="00AB51AE" w:rsidRPr="005D4222" w:rsidRDefault="00AB51AE" w:rsidP="00AB51AE">
            <w:pPr>
              <w:pStyle w:val="Bullet"/>
              <w:numPr>
                <w:ilvl w:val="0"/>
                <w:numId w:val="4"/>
              </w:numPr>
              <w:tabs>
                <w:tab w:val="left" w:pos="360"/>
                <w:tab w:val="left" w:pos="576"/>
              </w:tabs>
              <w:ind w:left="576" w:hanging="216"/>
            </w:pPr>
            <w:r w:rsidRPr="005D4222">
              <w:rPr>
                <w:i/>
                <w:iCs/>
              </w:rPr>
              <w:t xml:space="preserve">Allowable gap: </w:t>
            </w:r>
            <w:r w:rsidRPr="005D4222">
              <w:t>No more than one gap of ≤45 days during the measurement period. No gap on 13th birthday.</w:t>
            </w:r>
          </w:p>
          <w:p w14:paraId="10DAFF9C" w14:textId="46852422" w:rsidR="00AB51AE" w:rsidRPr="005D4222" w:rsidRDefault="00AB51AE" w:rsidP="00A53E8C">
            <w:pPr>
              <w:pStyle w:val="ECDSBody"/>
            </w:pPr>
            <w:r w:rsidRPr="005D4222">
              <w:rPr>
                <w:i/>
              </w:rPr>
              <w:t>Ages:</w:t>
            </w:r>
            <w:r w:rsidRPr="005D4222">
              <w:t xml:space="preserve"> </w:t>
            </w:r>
            <w:r w:rsidR="004C5433" w:rsidRPr="005D4222">
              <w:t xml:space="preserve">Persons who turn </w:t>
            </w:r>
            <w:r w:rsidRPr="005D4222">
              <w:t>13 years of age during the measurement period.</w:t>
            </w:r>
          </w:p>
          <w:p w14:paraId="3C8CB161" w14:textId="77777777" w:rsidR="00AB51AE" w:rsidRPr="005D4222" w:rsidRDefault="00AB51AE" w:rsidP="00A53E8C">
            <w:pPr>
              <w:pStyle w:val="ECDSBody"/>
            </w:pPr>
            <w:r w:rsidRPr="005D4222">
              <w:rPr>
                <w:i/>
              </w:rPr>
              <w:t>Event</w:t>
            </w:r>
            <w:r w:rsidRPr="005D4222">
              <w:t>: None.</w:t>
            </w:r>
          </w:p>
        </w:tc>
      </w:tr>
      <w:tr w:rsidR="00AB51AE" w:rsidRPr="005D4222" w14:paraId="1D362B43" w14:textId="77777777" w:rsidTr="00A53E8C">
        <w:trPr>
          <w:trHeight w:val="610"/>
        </w:trPr>
        <w:tc>
          <w:tcPr>
            <w:tcW w:w="2157" w:type="dxa"/>
            <w:shd w:val="clear" w:color="auto" w:fill="BFBFBF" w:themeFill="background1" w:themeFillShade="BF"/>
            <w:tcMar>
              <w:top w:w="0" w:type="dxa"/>
              <w:left w:w="86" w:type="dxa"/>
              <w:bottom w:w="43" w:type="dxa"/>
              <w:right w:w="86" w:type="dxa"/>
            </w:tcMar>
          </w:tcPr>
          <w:p w14:paraId="7BB38E20" w14:textId="77777777" w:rsidR="00AB51AE" w:rsidRPr="005D4222" w:rsidRDefault="00AB51AE" w:rsidP="00A53E8C">
            <w:pPr>
              <w:pStyle w:val="ECDSMarginHead"/>
              <w:rPr>
                <w:iCs/>
              </w:rPr>
            </w:pPr>
            <w:r w:rsidRPr="005D4222">
              <w:rPr>
                <w:iCs/>
              </w:rPr>
              <w:t xml:space="preserve">Denominator exclusions </w:t>
            </w:r>
          </w:p>
        </w:tc>
        <w:tc>
          <w:tcPr>
            <w:tcW w:w="7560" w:type="dxa"/>
            <w:gridSpan w:val="3"/>
            <w:tcMar>
              <w:top w:w="0" w:type="dxa"/>
              <w:left w:w="86" w:type="dxa"/>
              <w:bottom w:w="43" w:type="dxa"/>
              <w:right w:w="86" w:type="dxa"/>
            </w:tcMar>
            <w:vAlign w:val="center"/>
          </w:tcPr>
          <w:p w14:paraId="32605FBB" w14:textId="77777777" w:rsidR="00AB51AE" w:rsidRPr="005D4222" w:rsidRDefault="00AB51AE" w:rsidP="00A53E8C">
            <w:pPr>
              <w:pStyle w:val="ECDSBody"/>
              <w:rPr>
                <w:rFonts w:cs="Segoe UI"/>
                <w:szCs w:val="18"/>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p w14:paraId="36455762" w14:textId="77777777" w:rsidR="00AB51AE" w:rsidRPr="005D4222" w:rsidRDefault="00AB51AE" w:rsidP="00A53E8C">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AB51AE" w:rsidRPr="005D4222" w14:paraId="35F7BC43" w14:textId="77777777" w:rsidTr="00A53E8C">
        <w:tc>
          <w:tcPr>
            <w:tcW w:w="2157" w:type="dxa"/>
            <w:shd w:val="clear" w:color="auto" w:fill="BFBFBF" w:themeFill="background1" w:themeFillShade="BF"/>
            <w:tcMar>
              <w:top w:w="0" w:type="dxa"/>
              <w:left w:w="86" w:type="dxa"/>
              <w:bottom w:w="43" w:type="dxa"/>
              <w:right w:w="86" w:type="dxa"/>
            </w:tcMar>
          </w:tcPr>
          <w:p w14:paraId="422668F4" w14:textId="77777777" w:rsidR="00AB51AE" w:rsidRPr="005D4222" w:rsidRDefault="00AB51AE" w:rsidP="00A53E8C">
            <w:pPr>
              <w:pStyle w:val="ECDSMarginHead"/>
            </w:pPr>
            <w:r w:rsidRPr="005D4222">
              <w:t>Denominator</w:t>
            </w:r>
          </w:p>
        </w:tc>
        <w:tc>
          <w:tcPr>
            <w:tcW w:w="7560" w:type="dxa"/>
            <w:gridSpan w:val="3"/>
            <w:tcMar>
              <w:top w:w="0" w:type="dxa"/>
              <w:left w:w="86" w:type="dxa"/>
              <w:bottom w:w="43" w:type="dxa"/>
              <w:right w:w="86" w:type="dxa"/>
            </w:tcMar>
          </w:tcPr>
          <w:p w14:paraId="56953AA5" w14:textId="77777777" w:rsidR="00AB51AE" w:rsidRPr="005D4222" w:rsidRDefault="00AB51AE" w:rsidP="00A53E8C">
            <w:pPr>
              <w:pStyle w:val="ECDSBody"/>
              <w:rPr>
                <w:rFonts w:eastAsia="Arial,Arial,Arial,Arial,Arial,A"/>
              </w:rPr>
            </w:pPr>
            <w:r w:rsidRPr="005D4222">
              <w:rPr>
                <w:rFonts w:eastAsia="Arial,Arial,Arial,Arial,Arial,A"/>
              </w:rPr>
              <w:t>The initial population minus denominator exclusions.</w:t>
            </w:r>
          </w:p>
        </w:tc>
      </w:tr>
      <w:tr w:rsidR="00AB51AE" w:rsidRPr="005D4222" w14:paraId="001986F1" w14:textId="77777777" w:rsidTr="00A53E8C">
        <w:trPr>
          <w:trHeight w:val="1052"/>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BFE1487" w14:textId="77777777" w:rsidR="00AB51AE" w:rsidRPr="005D4222" w:rsidRDefault="00AB51AE" w:rsidP="00A53E8C">
            <w:pPr>
              <w:pStyle w:val="ECDSMarginHead"/>
              <w:rPr>
                <w:iCs/>
              </w:rPr>
            </w:pPr>
            <w:r w:rsidRPr="005D4222">
              <w:rPr>
                <w:iCs/>
              </w:rPr>
              <w:t>Numerator</w:t>
            </w:r>
          </w:p>
        </w:tc>
        <w:tc>
          <w:tcPr>
            <w:tcW w:w="7560"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5D66761A" w14:textId="77777777" w:rsidR="00AB51AE" w:rsidRPr="005D4222" w:rsidRDefault="00AB51AE" w:rsidP="00A53E8C">
            <w:pPr>
              <w:pStyle w:val="ECDSBody"/>
            </w:pPr>
            <w:r w:rsidRPr="005D4222">
              <w:rPr>
                <w:b/>
                <w:bCs w:val="0"/>
              </w:rPr>
              <w:t xml:space="preserve">Numerator 1: </w:t>
            </w:r>
            <w:r w:rsidRPr="005D4222">
              <w:rPr>
                <w:b/>
              </w:rPr>
              <w:t>Immunization status—</w:t>
            </w:r>
            <w:r w:rsidRPr="005D4222">
              <w:rPr>
                <w:b/>
                <w:bCs w:val="0"/>
              </w:rPr>
              <w:t xml:space="preserve"> Meningococcal serogroups A, C, </w:t>
            </w:r>
            <w:r w:rsidRPr="005D4222">
              <w:br/>
            </w:r>
            <w:r w:rsidRPr="005D4222">
              <w:rPr>
                <w:b/>
                <w:bCs w:val="0"/>
              </w:rPr>
              <w:t xml:space="preserve">W, Y. </w:t>
            </w:r>
            <w:r w:rsidRPr="005D4222">
              <w:br/>
              <w:t>Persons who meet either of the following criteria:</w:t>
            </w:r>
          </w:p>
          <w:p w14:paraId="3ECDB569" w14:textId="77777777" w:rsidR="00AB51AE" w:rsidRPr="005D4222" w:rsidRDefault="00AB51AE" w:rsidP="00AB51AE">
            <w:pPr>
              <w:pStyle w:val="Bullet"/>
              <w:numPr>
                <w:ilvl w:val="0"/>
                <w:numId w:val="4"/>
              </w:numPr>
              <w:tabs>
                <w:tab w:val="left" w:pos="360"/>
                <w:tab w:val="left" w:pos="576"/>
              </w:tabs>
              <w:ind w:left="576" w:hanging="216"/>
            </w:pPr>
            <w:r w:rsidRPr="005D4222">
              <w:t>At least one meningococcal vaccine (serogroups A, C, W, Y or A, C, W, Y, B) (</w:t>
            </w:r>
            <w:r w:rsidRPr="005D4222">
              <w:rPr>
                <w:u w:val="single"/>
              </w:rPr>
              <w:t>Meningococcal Immunization Value Set</w:t>
            </w:r>
            <w:r w:rsidRPr="005D4222">
              <w:t xml:space="preserve">; </w:t>
            </w:r>
            <w:r w:rsidRPr="005D4222">
              <w:rPr>
                <w:u w:val="single"/>
              </w:rPr>
              <w:t>Meningococcal Vaccine Procedure Value Set</w:t>
            </w:r>
            <w:r w:rsidRPr="005D4222">
              <w:t>) with a date of service on or between the 10th and 13th birthdays.</w:t>
            </w:r>
          </w:p>
          <w:p w14:paraId="65FB9895" w14:textId="33B04763" w:rsidR="00AB51AE" w:rsidRPr="005D4222" w:rsidRDefault="00AB51AE" w:rsidP="00551317">
            <w:pPr>
              <w:pStyle w:val="Bullet"/>
              <w:numPr>
                <w:ilvl w:val="0"/>
                <w:numId w:val="4"/>
              </w:numPr>
              <w:tabs>
                <w:tab w:val="left" w:pos="360"/>
                <w:tab w:val="left" w:pos="576"/>
              </w:tabs>
              <w:spacing w:after="80"/>
              <w:ind w:left="576" w:hanging="216"/>
              <w:rPr>
                <w:rFonts w:eastAsia="Arial,Arial,Arial,Arial,Arial,A"/>
              </w:rPr>
            </w:pPr>
            <w:r w:rsidRPr="005D4222">
              <w:t>Anaphylaxis due to the meningococcal vaccine (SNOMED CT code 428301000124106) any time on or before the 13th birthday.</w:t>
            </w:r>
          </w:p>
        </w:tc>
      </w:tr>
    </w:tbl>
    <w:p w14:paraId="401DCFF1" w14:textId="77777777" w:rsidR="002C0046" w:rsidRPr="005D4222" w:rsidRDefault="002C0046"/>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60"/>
      </w:tblGrid>
      <w:tr w:rsidR="002C0046" w:rsidRPr="005D4222" w14:paraId="2879B641" w14:textId="77777777" w:rsidTr="00A53E8C">
        <w:trPr>
          <w:trHeight w:val="1052"/>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51EB83E" w14:textId="77777777" w:rsidR="002C0046" w:rsidRPr="005D4222" w:rsidRDefault="002C0046" w:rsidP="00A53E8C">
            <w:pPr>
              <w:pStyle w:val="ECDSMarginHead"/>
              <w:rPr>
                <w:iCs/>
              </w:rPr>
            </w:pP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17BC5BAC" w14:textId="77777777" w:rsidR="002C0046" w:rsidRPr="005D4222" w:rsidRDefault="002C0046" w:rsidP="00551317">
            <w:pPr>
              <w:pStyle w:val="ECDSBody"/>
            </w:pPr>
            <w:r w:rsidRPr="005D4222">
              <w:rPr>
                <w:b/>
                <w:bCs w:val="0"/>
              </w:rPr>
              <w:t>Numerator</w:t>
            </w:r>
            <w:r w:rsidRPr="005D4222">
              <w:rPr>
                <w:b/>
                <w:bCs w:val="0"/>
                <w:szCs w:val="21"/>
              </w:rPr>
              <w:t xml:space="preserve"> 2: </w:t>
            </w:r>
            <w:r w:rsidRPr="005D4222">
              <w:rPr>
                <w:b/>
              </w:rPr>
              <w:t>Immunization status—</w:t>
            </w:r>
            <w:r w:rsidRPr="005D4222">
              <w:rPr>
                <w:b/>
                <w:bCs w:val="0"/>
                <w:szCs w:val="21"/>
              </w:rPr>
              <w:t xml:space="preserve">Tdap. </w:t>
            </w:r>
            <w:r w:rsidRPr="005D4222">
              <w:rPr>
                <w:b/>
                <w:bCs w:val="0"/>
                <w:szCs w:val="21"/>
              </w:rPr>
              <w:br/>
            </w:r>
            <w:r w:rsidRPr="005D4222">
              <w:t xml:space="preserve">Persons who meet any of the following criteria: </w:t>
            </w:r>
          </w:p>
          <w:p w14:paraId="3015A3F0" w14:textId="77777777" w:rsidR="002C0046" w:rsidRPr="005D4222" w:rsidRDefault="002C0046" w:rsidP="002C0046">
            <w:pPr>
              <w:pStyle w:val="Bullet"/>
              <w:numPr>
                <w:ilvl w:val="0"/>
                <w:numId w:val="4"/>
              </w:numPr>
              <w:tabs>
                <w:tab w:val="left" w:pos="360"/>
                <w:tab w:val="left" w:pos="576"/>
              </w:tabs>
              <w:ind w:left="576" w:hanging="216"/>
            </w:pPr>
            <w:r w:rsidRPr="005D4222">
              <w:t>At least one tetanus, diphtheria toxoids and acellular pertussis (Tdap) vaccine (CVX code 115; CPT code 90715) with a date of service on or between the 10th and 13th birthdays.</w:t>
            </w:r>
          </w:p>
          <w:p w14:paraId="493EE87B" w14:textId="77777777" w:rsidR="002C0046" w:rsidRPr="005D4222" w:rsidRDefault="002C0046" w:rsidP="002C0046">
            <w:pPr>
              <w:pStyle w:val="Bullet"/>
              <w:numPr>
                <w:ilvl w:val="0"/>
                <w:numId w:val="4"/>
              </w:numPr>
              <w:tabs>
                <w:tab w:val="left" w:pos="360"/>
                <w:tab w:val="left" w:pos="576"/>
              </w:tabs>
              <w:spacing w:after="80"/>
              <w:ind w:left="576" w:hanging="216"/>
            </w:pPr>
            <w:r w:rsidRPr="005D4222">
              <w:t>Anaphylaxis due to the tetanus, diphtheria or pertussis vaccine (</w:t>
            </w:r>
            <w:r w:rsidRPr="005D4222">
              <w:rPr>
                <w:u w:val="single"/>
              </w:rPr>
              <w:t>Anaphylaxis Due to Diphtheria, Tetanus or Pertussis Vaccine Value Set</w:t>
            </w:r>
            <w:r w:rsidRPr="005D4222">
              <w:t>) any time on or before the 13th birthday.</w:t>
            </w:r>
          </w:p>
          <w:p w14:paraId="0D699CAA" w14:textId="77777777" w:rsidR="002C0046" w:rsidRPr="005D4222" w:rsidRDefault="002C0046" w:rsidP="002C0046">
            <w:pPr>
              <w:pStyle w:val="Bullet"/>
              <w:numPr>
                <w:ilvl w:val="0"/>
                <w:numId w:val="4"/>
              </w:numPr>
              <w:tabs>
                <w:tab w:val="left" w:pos="360"/>
                <w:tab w:val="left" w:pos="576"/>
              </w:tabs>
              <w:ind w:left="576" w:hanging="216"/>
            </w:pPr>
            <w:r w:rsidRPr="005D4222">
              <w:t>Encephalitis due to the tetanus, diphtheria or pertussis vaccine (</w:t>
            </w:r>
            <w:r w:rsidRPr="005D4222">
              <w:rPr>
                <w:u w:val="single"/>
              </w:rPr>
              <w:t>Encephalitis Due to Diphtheria, Tetanus or Pertussis Vaccine Value Set</w:t>
            </w:r>
            <w:r w:rsidRPr="005D4222">
              <w:t>) any time on or before the 13th birthday.</w:t>
            </w:r>
          </w:p>
          <w:p w14:paraId="27ABE167" w14:textId="77777777" w:rsidR="002C0046" w:rsidRPr="005D4222" w:rsidRDefault="002C0046" w:rsidP="002C0046">
            <w:pPr>
              <w:pStyle w:val="ECDSBody"/>
              <w:spacing w:before="180"/>
            </w:pPr>
            <w:r w:rsidRPr="005D4222">
              <w:rPr>
                <w:b/>
                <w:bCs w:val="0"/>
              </w:rPr>
              <w:t xml:space="preserve">Numerator 3: </w:t>
            </w:r>
            <w:r w:rsidRPr="005D4222">
              <w:rPr>
                <w:b/>
              </w:rPr>
              <w:t>Immunization status—</w:t>
            </w:r>
            <w:r w:rsidRPr="005D4222">
              <w:rPr>
                <w:b/>
                <w:bCs w:val="0"/>
              </w:rPr>
              <w:t xml:space="preserve">HPV. </w:t>
            </w:r>
            <w:r w:rsidRPr="005D4222">
              <w:rPr>
                <w:b/>
                <w:bCs w:val="0"/>
              </w:rPr>
              <w:br/>
            </w:r>
            <w:r w:rsidRPr="005D4222">
              <w:t>Persons who meet any of the following criteria:</w:t>
            </w:r>
          </w:p>
          <w:p w14:paraId="07F2F660" w14:textId="77777777" w:rsidR="002C0046" w:rsidRPr="005D4222" w:rsidRDefault="002C0046" w:rsidP="002C0046">
            <w:pPr>
              <w:pStyle w:val="Bullet"/>
              <w:numPr>
                <w:ilvl w:val="0"/>
                <w:numId w:val="4"/>
              </w:numPr>
              <w:tabs>
                <w:tab w:val="left" w:pos="360"/>
                <w:tab w:val="left" w:pos="576"/>
              </w:tabs>
              <w:spacing w:after="80"/>
              <w:ind w:left="576" w:hanging="216"/>
            </w:pPr>
            <w:r w:rsidRPr="005D4222">
              <w:t>At least two HPV vaccines (</w:t>
            </w:r>
            <w:r w:rsidRPr="005D4222">
              <w:rPr>
                <w:u w:val="single"/>
              </w:rPr>
              <w:t>HPV Immunization Value Set</w:t>
            </w:r>
            <w:r w:rsidRPr="005D4222">
              <w:t xml:space="preserve">; </w:t>
            </w:r>
            <w:r w:rsidRPr="005D4222">
              <w:rPr>
                <w:u w:val="single"/>
              </w:rPr>
              <w:t>HPV Vaccine Procedure Value Set</w:t>
            </w:r>
            <w:r w:rsidRPr="005D4222">
              <w:t>) on or between the 9th and 13th birthdays and with dates of service at least 146 days apart.</w:t>
            </w:r>
          </w:p>
          <w:p w14:paraId="0EE27F12" w14:textId="77777777" w:rsidR="002C0046" w:rsidRPr="005D4222" w:rsidRDefault="002C0046" w:rsidP="002C0046">
            <w:pPr>
              <w:pStyle w:val="Bullet"/>
              <w:numPr>
                <w:ilvl w:val="0"/>
                <w:numId w:val="4"/>
              </w:numPr>
              <w:tabs>
                <w:tab w:val="left" w:pos="360"/>
                <w:tab w:val="left" w:pos="576"/>
              </w:tabs>
              <w:spacing w:after="80"/>
              <w:ind w:left="576" w:hanging="216"/>
            </w:pPr>
            <w:r w:rsidRPr="005D4222">
              <w:t>At least three HPV vaccines (</w:t>
            </w:r>
            <w:r w:rsidRPr="005D4222">
              <w:rPr>
                <w:u w:val="single"/>
              </w:rPr>
              <w:t>HPV Immunization Value Set</w:t>
            </w:r>
            <w:r w:rsidRPr="005D4222">
              <w:t xml:space="preserve">; </w:t>
            </w:r>
            <w:r w:rsidRPr="005D4222">
              <w:rPr>
                <w:u w:val="single"/>
              </w:rPr>
              <w:t>HPV Vaccine Procedure Value Set</w:t>
            </w:r>
            <w:r w:rsidRPr="005D4222">
              <w:t>) with different dates of service on or between the 9th and 13th birthdays.</w:t>
            </w:r>
          </w:p>
          <w:p w14:paraId="22317FE0" w14:textId="77777777" w:rsidR="002C0046" w:rsidRPr="005D4222" w:rsidRDefault="002C0046" w:rsidP="002C0046">
            <w:pPr>
              <w:pStyle w:val="Bullet"/>
              <w:numPr>
                <w:ilvl w:val="0"/>
                <w:numId w:val="4"/>
              </w:numPr>
              <w:tabs>
                <w:tab w:val="left" w:pos="360"/>
                <w:tab w:val="left" w:pos="576"/>
              </w:tabs>
              <w:spacing w:after="80"/>
              <w:ind w:left="576" w:hanging="216"/>
            </w:pPr>
            <w:r w:rsidRPr="005D4222">
              <w:t>Anaphylaxis due to the HPV vaccine (SNOMED CT code 428241000124101) any time on or before the 13th birthday.</w:t>
            </w:r>
          </w:p>
          <w:p w14:paraId="60037FE7" w14:textId="77777777" w:rsidR="002C0046" w:rsidRPr="005D4222" w:rsidRDefault="002C0046" w:rsidP="002C0046">
            <w:pPr>
              <w:pStyle w:val="ECDSBody"/>
              <w:spacing w:before="180"/>
              <w:rPr>
                <w:rFonts w:eastAsia="Arial,Arial,Arial,Arial,Arial,A"/>
              </w:rPr>
            </w:pPr>
            <w:r w:rsidRPr="005D4222">
              <w:rPr>
                <w:rFonts w:eastAsia="Arial,Arial,Arial,Arial,Arial,A"/>
                <w:b/>
                <w:bCs w:val="0"/>
              </w:rPr>
              <w:t xml:space="preserve">Numerator 4: </w:t>
            </w:r>
            <w:r w:rsidRPr="005D4222">
              <w:rPr>
                <w:b/>
              </w:rPr>
              <w:t>Immunization status—</w:t>
            </w:r>
            <w:r w:rsidRPr="005D4222">
              <w:rPr>
                <w:rFonts w:eastAsia="Arial,Arial,Arial,Arial,Arial,A"/>
                <w:b/>
                <w:bCs w:val="0"/>
              </w:rPr>
              <w:t xml:space="preserve">Combination 1. </w:t>
            </w:r>
            <w:r w:rsidRPr="005D4222">
              <w:rPr>
                <w:rFonts w:eastAsia="Arial,Arial,Arial,Arial,Arial,A"/>
                <w:b/>
                <w:bCs w:val="0"/>
              </w:rPr>
              <w:br/>
            </w:r>
            <w:r w:rsidRPr="005D4222">
              <w:rPr>
                <w:rFonts w:eastAsia="Arial,Arial,Arial,Arial,Arial,A"/>
              </w:rPr>
              <w:t>Persons who are numerator compliant for both the meningococcal and Tdap indicators.</w:t>
            </w:r>
          </w:p>
          <w:p w14:paraId="368F09DA" w14:textId="014E9E5C" w:rsidR="002C0046" w:rsidRPr="005D4222" w:rsidRDefault="002C0046" w:rsidP="002C0046">
            <w:pPr>
              <w:pStyle w:val="ECDSBody"/>
              <w:rPr>
                <w:b/>
                <w:bCs w:val="0"/>
              </w:rPr>
            </w:pPr>
            <w:r w:rsidRPr="005D4222">
              <w:rPr>
                <w:rFonts w:eastAsia="Arial,Arial,Arial,Arial,Arial,A"/>
                <w:b/>
                <w:bCs w:val="0"/>
              </w:rPr>
              <w:t>Numerator 5:</w:t>
            </w:r>
            <w:r w:rsidRPr="005D4222">
              <w:rPr>
                <w:rFonts w:eastAsia="Arial,Arial,Arial,Arial,Arial,A"/>
                <w:b/>
              </w:rPr>
              <w:t xml:space="preserve"> </w:t>
            </w:r>
            <w:r w:rsidRPr="005D4222">
              <w:rPr>
                <w:b/>
              </w:rPr>
              <w:t>Immunization status—</w:t>
            </w:r>
            <w:r w:rsidRPr="005D4222">
              <w:rPr>
                <w:rFonts w:eastAsia="Arial,Arial,Arial,Arial,Arial,A"/>
                <w:b/>
                <w:bCs w:val="0"/>
              </w:rPr>
              <w:t xml:space="preserve">Combination 2. </w:t>
            </w:r>
            <w:r w:rsidRPr="005D4222">
              <w:rPr>
                <w:rFonts w:eastAsia="Arial,Arial,Arial,Arial,Arial,A"/>
                <w:b/>
                <w:bCs w:val="0"/>
              </w:rPr>
              <w:br/>
            </w:r>
            <w:r w:rsidRPr="005D4222">
              <w:rPr>
                <w:rFonts w:eastAsia="Arial,Arial,Arial,Arial,Arial,A"/>
              </w:rPr>
              <w:t>Persons</w:t>
            </w:r>
            <w:r w:rsidRPr="005D4222">
              <w:rPr>
                <w:rFonts w:eastAsia="Arial,Arial,Arial,Arial,Arial,A"/>
                <w:i/>
              </w:rPr>
              <w:t xml:space="preserve"> </w:t>
            </w:r>
            <w:r w:rsidRPr="005D4222">
              <w:rPr>
                <w:rFonts w:eastAsia="Arial,Arial,Arial,Arial,Arial,A"/>
              </w:rPr>
              <w:t>who</w:t>
            </w:r>
            <w:r w:rsidRPr="005D4222">
              <w:rPr>
                <w:rFonts w:eastAsia="Arial,Arial,Arial,Arial,Arial,A"/>
                <w:i/>
              </w:rPr>
              <w:t xml:space="preserve"> </w:t>
            </w:r>
            <w:r w:rsidRPr="005D4222">
              <w:rPr>
                <w:rFonts w:eastAsia="Arial,Arial,Arial,Arial,Arial,A"/>
              </w:rPr>
              <w:t>are numerator compliant for all three indicators (meningococcal, Tdap, HPV).</w:t>
            </w:r>
          </w:p>
        </w:tc>
      </w:tr>
      <w:tr w:rsidR="00AB51AE" w:rsidRPr="005D4222" w14:paraId="26683D71" w14:textId="77777777" w:rsidTr="00A53E8C">
        <w:trPr>
          <w:trHeight w:val="773"/>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E5A73DC" w14:textId="77777777" w:rsidR="00AB51AE" w:rsidRPr="005D4222" w:rsidRDefault="00AB51AE" w:rsidP="00A53E8C">
            <w:pPr>
              <w:pStyle w:val="ECDSMarginHead"/>
            </w:pPr>
            <w:r w:rsidRPr="005D4222">
              <w:t>Summary of changes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F1BB47D" w14:textId="77777777" w:rsidR="00AB51AE" w:rsidRPr="005D4222" w:rsidRDefault="00AB51AE" w:rsidP="00A53E8C">
            <w:pPr>
              <w:pStyle w:val="ProcessBullet"/>
              <w:spacing w:before="120"/>
              <w:rPr>
                <w:color w:val="000000" w:themeColor="text1"/>
              </w:rPr>
            </w:pPr>
            <w:r w:rsidRPr="005D4222">
              <w:t>Updated citations for clinical recommendation statement and rationale.</w:t>
            </w:r>
          </w:p>
          <w:p w14:paraId="04E7E060" w14:textId="77777777" w:rsidR="00AB51AE" w:rsidRPr="005D4222" w:rsidRDefault="00AB51AE" w:rsidP="00AB51AE">
            <w:pPr>
              <w:pStyle w:val="ProcessBullet"/>
              <w:tabs>
                <w:tab w:val="left" w:pos="216"/>
              </w:tabs>
              <w:rPr>
                <w:color w:val="000000" w:themeColor="text1"/>
              </w:rPr>
            </w:pPr>
            <w:r w:rsidRPr="005D4222">
              <w:t>Updated the race and ethnicity stratification categories to align with OMB SPD 15 2024.</w:t>
            </w:r>
          </w:p>
          <w:p w14:paraId="4E9788DC" w14:textId="77777777" w:rsidR="00AB51AE" w:rsidRPr="005D4222" w:rsidRDefault="00AB51AE" w:rsidP="00AB51AE">
            <w:pPr>
              <w:pStyle w:val="ProcessBullet"/>
              <w:tabs>
                <w:tab w:val="left" w:pos="216"/>
              </w:tabs>
              <w:rPr>
                <w:color w:val="000000" w:themeColor="text1"/>
              </w:rPr>
            </w:pPr>
            <w:r w:rsidRPr="005D4222">
              <w:t xml:space="preserve">Removed the definitions of “participation” and “participation period.” </w:t>
            </w:r>
          </w:p>
          <w:p w14:paraId="266A2C6D" w14:textId="77777777" w:rsidR="00AB51AE" w:rsidRPr="005D4222" w:rsidRDefault="00AB51AE" w:rsidP="00AB51AE">
            <w:pPr>
              <w:pStyle w:val="ProcessBullet"/>
              <w:tabs>
                <w:tab w:val="left" w:pos="216"/>
              </w:tabs>
              <w:rPr>
                <w:color w:val="000000" w:themeColor="text1"/>
              </w:rPr>
            </w:pPr>
            <w:r w:rsidRPr="005D4222">
              <w:rPr>
                <w:color w:val="000000" w:themeColor="text1"/>
              </w:rPr>
              <w:t>Removed the SSoR data elements from the data elements tables.</w:t>
            </w:r>
          </w:p>
          <w:p w14:paraId="52371688" w14:textId="77777777" w:rsidR="00AB51AE" w:rsidRPr="005D4222" w:rsidRDefault="00AB51AE" w:rsidP="00551317">
            <w:pPr>
              <w:pStyle w:val="ProcessBullet"/>
              <w:tabs>
                <w:tab w:val="left" w:pos="216"/>
              </w:tabs>
              <w:spacing w:after="80"/>
              <w:rPr>
                <w:color w:val="000000" w:themeColor="text1"/>
              </w:rPr>
            </w:pPr>
            <w:r w:rsidRPr="005D4222">
              <w:t>Added instructions on allowable adjustments to the race and ethnicity stratifications.</w:t>
            </w:r>
          </w:p>
        </w:tc>
      </w:tr>
      <w:tr w:rsidR="00AB51AE" w:rsidRPr="005D4222" w14:paraId="5B2A3AAA"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809F052" w14:textId="77777777" w:rsidR="00AB51AE" w:rsidRPr="005D4222" w:rsidRDefault="00AB51AE" w:rsidP="00A53E8C">
            <w:pPr>
              <w:pStyle w:val="ECDSMarginHead"/>
            </w:pPr>
            <w:r w:rsidRPr="005D4222">
              <w:t>Data element tables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FCA5D17" w14:textId="77777777" w:rsidR="00DC3950" w:rsidRPr="005D4222" w:rsidRDefault="00DC3950" w:rsidP="00DC3950">
            <w:pPr>
              <w:pStyle w:val="Heading3"/>
              <w:spacing w:before="120"/>
              <w:rPr>
                <w:rFonts w:eastAsia="Arial" w:cs="Times New Roman"/>
                <w:b w:val="0"/>
                <w:i w:val="0"/>
                <w:sz w:val="21"/>
                <w:szCs w:val="21"/>
              </w:rPr>
            </w:pPr>
            <w:r w:rsidRPr="005D4222">
              <w:rPr>
                <w:rFonts w:eastAsia="Arial" w:cs="Times New Roman"/>
                <w:b w:val="0"/>
                <w:i w:val="0"/>
                <w:sz w:val="21"/>
                <w:szCs w:val="21"/>
              </w:rPr>
              <w:t xml:space="preserve">Organizations that submit HEDIS data to NCQA must provide the following data elements. </w:t>
            </w:r>
          </w:p>
          <w:p w14:paraId="5E8E1D2F" w14:textId="77777777" w:rsidR="00AB51AE" w:rsidRPr="005D4222" w:rsidRDefault="00AB51AE" w:rsidP="00A53E8C">
            <w:pPr>
              <w:pStyle w:val="Heading3"/>
              <w:spacing w:before="120"/>
              <w:rPr>
                <w:rFonts w:eastAsia="Arial"/>
              </w:rPr>
            </w:pPr>
            <w:r w:rsidRPr="005D4222">
              <w:rPr>
                <w:rFonts w:eastAsia="Arial"/>
              </w:rPr>
              <w:t>Table IMA-E-A-1/2: Data Elements for Immunizations for Adolescents</w:t>
            </w:r>
          </w:p>
          <w:tbl>
            <w:tblPr>
              <w:tblpPr w:leftFromText="180" w:rightFromText="180" w:vertAnchor="page" w:horzAnchor="margin" w:tblpY="1034"/>
              <w:tblOverlap w:val="never"/>
              <w:tblW w:w="5000" w:type="pct"/>
              <w:tblLayout w:type="fixed"/>
              <w:tblLook w:val="04A0" w:firstRow="1" w:lastRow="0" w:firstColumn="1" w:lastColumn="0" w:noHBand="0" w:noVBand="1"/>
            </w:tblPr>
            <w:tblGrid>
              <w:gridCol w:w="2292"/>
              <w:gridCol w:w="2782"/>
              <w:gridCol w:w="2294"/>
            </w:tblGrid>
            <w:tr w:rsidR="00AB51AE" w:rsidRPr="005D4222" w14:paraId="00E48F47" w14:textId="77777777" w:rsidTr="00A53E8C">
              <w:tc>
                <w:tcPr>
                  <w:tcW w:w="2518" w:type="dxa"/>
                  <w:tcBorders>
                    <w:top w:val="single" w:sz="4" w:space="0" w:color="auto"/>
                    <w:left w:val="single" w:sz="8" w:space="0" w:color="auto"/>
                    <w:bottom w:val="single" w:sz="4" w:space="0" w:color="auto"/>
                    <w:right w:val="single" w:sz="6" w:space="0" w:color="FFFFFF" w:themeColor="background1"/>
                  </w:tcBorders>
                  <w:shd w:val="clear" w:color="auto" w:fill="000000" w:themeFill="text1"/>
                  <w:noWrap/>
                  <w:tcMar>
                    <w:top w:w="0" w:type="dxa"/>
                    <w:left w:w="72" w:type="dxa"/>
                    <w:bottom w:w="0" w:type="dxa"/>
                    <w:right w:w="72" w:type="dxa"/>
                  </w:tcMar>
                  <w:vAlign w:val="center"/>
                  <w:hideMark/>
                </w:tcPr>
                <w:p w14:paraId="0D0280CD" w14:textId="77777777" w:rsidR="00AB51AE" w:rsidRPr="005D4222" w:rsidRDefault="00AB51AE" w:rsidP="002C0046">
                  <w:pPr>
                    <w:pStyle w:val="TableHead"/>
                    <w:spacing w:before="20" w:after="20"/>
                    <w:rPr>
                      <w:color w:val="auto"/>
                      <w:kern w:val="20"/>
                    </w:rPr>
                  </w:pPr>
                  <w:r w:rsidRPr="005D4222">
                    <w:rPr>
                      <w:color w:val="auto"/>
                      <w:kern w:val="20"/>
                    </w:rPr>
                    <w:t>Metric</w:t>
                  </w:r>
                </w:p>
              </w:tc>
              <w:tc>
                <w:tcPr>
                  <w:tcW w:w="3060" w:type="dxa"/>
                  <w:tcBorders>
                    <w:top w:val="single" w:sz="4" w:space="0" w:color="auto"/>
                    <w:left w:val="single" w:sz="6" w:space="0" w:color="FFFFFF" w:themeColor="background1"/>
                    <w:bottom w:val="single" w:sz="8" w:space="0" w:color="auto"/>
                    <w:right w:val="single" w:sz="4" w:space="0" w:color="FFFFFF" w:themeColor="background1"/>
                  </w:tcBorders>
                  <w:shd w:val="clear" w:color="auto" w:fill="000000" w:themeFill="text1"/>
                  <w:noWrap/>
                  <w:tcMar>
                    <w:top w:w="0" w:type="dxa"/>
                    <w:left w:w="72" w:type="dxa"/>
                    <w:bottom w:w="0" w:type="dxa"/>
                    <w:right w:w="72" w:type="dxa"/>
                  </w:tcMar>
                  <w:vAlign w:val="center"/>
                  <w:hideMark/>
                </w:tcPr>
                <w:p w14:paraId="3413E97A" w14:textId="77777777" w:rsidR="00AB51AE" w:rsidRPr="005D4222" w:rsidRDefault="00AB51AE" w:rsidP="002C0046">
                  <w:pPr>
                    <w:pStyle w:val="TableHead"/>
                    <w:spacing w:before="20" w:after="20"/>
                    <w:rPr>
                      <w:color w:val="auto"/>
                      <w:kern w:val="20"/>
                    </w:rPr>
                  </w:pPr>
                  <w:r w:rsidRPr="005D4222">
                    <w:rPr>
                      <w:color w:val="auto"/>
                      <w:kern w:val="20"/>
                    </w:rPr>
                    <w:t>Data Element</w:t>
                  </w:r>
                </w:p>
              </w:tc>
              <w:tc>
                <w:tcPr>
                  <w:tcW w:w="2520" w:type="dxa"/>
                  <w:tcBorders>
                    <w:top w:val="single" w:sz="4" w:space="0" w:color="auto"/>
                    <w:left w:val="single" w:sz="4" w:space="0" w:color="FFFFFF" w:themeColor="background1"/>
                    <w:bottom w:val="single" w:sz="8" w:space="0" w:color="auto"/>
                    <w:right w:val="single" w:sz="8" w:space="0" w:color="auto"/>
                  </w:tcBorders>
                  <w:shd w:val="clear" w:color="auto" w:fill="000000" w:themeFill="text1"/>
                  <w:tcMar>
                    <w:left w:w="72" w:type="dxa"/>
                    <w:right w:w="72" w:type="dxa"/>
                  </w:tcMar>
                  <w:vAlign w:val="center"/>
                </w:tcPr>
                <w:p w14:paraId="7AF0BF37" w14:textId="77777777" w:rsidR="00AB51AE" w:rsidRPr="005D4222" w:rsidRDefault="00AB51AE" w:rsidP="002C0046">
                  <w:pPr>
                    <w:pStyle w:val="TableHead"/>
                    <w:spacing w:before="20" w:after="20"/>
                    <w:rPr>
                      <w:color w:val="auto"/>
                      <w:kern w:val="20"/>
                    </w:rPr>
                  </w:pPr>
                  <w:r w:rsidRPr="005D4222">
                    <w:rPr>
                      <w:color w:val="auto"/>
                      <w:kern w:val="20"/>
                    </w:rPr>
                    <w:t>Reporting Instructions</w:t>
                  </w:r>
                </w:p>
              </w:tc>
            </w:tr>
            <w:tr w:rsidR="00AB51AE" w:rsidRPr="005D4222" w14:paraId="4EC48A17" w14:textId="77777777" w:rsidTr="00E5464F">
              <w:tc>
                <w:tcPr>
                  <w:tcW w:w="2518"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72" w:type="dxa"/>
                    <w:bottom w:w="0" w:type="dxa"/>
                    <w:right w:w="72" w:type="dxa"/>
                  </w:tcMar>
                  <w:hideMark/>
                </w:tcPr>
                <w:p w14:paraId="5B5958A7" w14:textId="77777777" w:rsidR="00AB51AE" w:rsidRPr="005D4222" w:rsidRDefault="00AB51AE" w:rsidP="002C0046">
                  <w:pPr>
                    <w:pStyle w:val="TableText"/>
                    <w:spacing w:before="20" w:after="20"/>
                  </w:pPr>
                  <w:r w:rsidRPr="005D4222">
                    <w:t>Meningococcal</w:t>
                  </w:r>
                </w:p>
              </w:tc>
              <w:tc>
                <w:tcPr>
                  <w:tcW w:w="3060" w:type="dxa"/>
                  <w:tcBorders>
                    <w:top w:val="nil"/>
                    <w:left w:val="single" w:sz="4" w:space="0" w:color="auto"/>
                    <w:bottom w:val="single" w:sz="4" w:space="0" w:color="auto"/>
                    <w:right w:val="single" w:sz="4" w:space="0" w:color="auto"/>
                  </w:tcBorders>
                  <w:shd w:val="clear" w:color="auto" w:fill="FFFFFF" w:themeFill="background1"/>
                  <w:noWrap/>
                  <w:tcMar>
                    <w:top w:w="0" w:type="dxa"/>
                    <w:left w:w="72" w:type="dxa"/>
                    <w:bottom w:w="0" w:type="dxa"/>
                    <w:right w:w="72" w:type="dxa"/>
                  </w:tcMar>
                  <w:vAlign w:val="center"/>
                  <w:hideMark/>
                </w:tcPr>
                <w:p w14:paraId="0DAAF1EA" w14:textId="77777777" w:rsidR="00AB51AE" w:rsidRPr="005D4222" w:rsidRDefault="00AB51AE" w:rsidP="002C0046">
                  <w:pPr>
                    <w:pStyle w:val="TableText"/>
                    <w:spacing w:before="20" w:after="20"/>
                  </w:pPr>
                  <w:r w:rsidRPr="005D4222">
                    <w:t>InitialPopulation</w:t>
                  </w:r>
                </w:p>
              </w:tc>
              <w:tc>
                <w:tcPr>
                  <w:tcW w:w="2520" w:type="dxa"/>
                  <w:tcBorders>
                    <w:top w:val="nil"/>
                    <w:left w:val="single" w:sz="4" w:space="0" w:color="auto"/>
                    <w:bottom w:val="single" w:sz="4" w:space="0" w:color="auto"/>
                    <w:right w:val="single" w:sz="4" w:space="0" w:color="auto"/>
                  </w:tcBorders>
                  <w:shd w:val="clear" w:color="auto" w:fill="FFFFFF" w:themeFill="background1"/>
                  <w:tcMar>
                    <w:left w:w="72" w:type="dxa"/>
                    <w:right w:w="72" w:type="dxa"/>
                  </w:tcMar>
                  <w:vAlign w:val="center"/>
                </w:tcPr>
                <w:p w14:paraId="720F4485" w14:textId="77777777" w:rsidR="00AB51AE" w:rsidRPr="005D4222" w:rsidRDefault="00AB51AE" w:rsidP="002C0046">
                  <w:pPr>
                    <w:pStyle w:val="TableText"/>
                    <w:spacing w:before="20" w:after="20"/>
                  </w:pPr>
                  <w:r w:rsidRPr="005D4222">
                    <w:t>Repeat per Metric</w:t>
                  </w:r>
                </w:p>
              </w:tc>
            </w:tr>
            <w:tr w:rsidR="00AB51AE" w:rsidRPr="005D4222" w14:paraId="29DA8E31" w14:textId="77777777" w:rsidTr="00E5464F">
              <w:tc>
                <w:tcPr>
                  <w:tcW w:w="2518"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72" w:type="dxa"/>
                    <w:bottom w:w="0" w:type="dxa"/>
                    <w:right w:w="72" w:type="dxa"/>
                  </w:tcMar>
                  <w:hideMark/>
                </w:tcPr>
                <w:p w14:paraId="64F28439" w14:textId="77777777" w:rsidR="00AB51AE" w:rsidRPr="005D4222" w:rsidRDefault="00AB51AE" w:rsidP="002C0046">
                  <w:pPr>
                    <w:pStyle w:val="TableText"/>
                    <w:spacing w:before="20" w:after="20"/>
                  </w:pPr>
                  <w:r w:rsidRPr="005D4222">
                    <w:t>Tdap</w:t>
                  </w:r>
                </w:p>
              </w:tc>
              <w:tc>
                <w:tcPr>
                  <w:tcW w:w="3060"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72" w:type="dxa"/>
                    <w:bottom w:w="0" w:type="dxa"/>
                    <w:right w:w="72" w:type="dxa"/>
                  </w:tcMar>
                  <w:vAlign w:val="center"/>
                </w:tcPr>
                <w:p w14:paraId="46C75FD0" w14:textId="77777777" w:rsidR="00AB51AE" w:rsidRPr="005D4222" w:rsidRDefault="00AB51AE" w:rsidP="002C0046">
                  <w:pPr>
                    <w:pStyle w:val="TableText"/>
                    <w:spacing w:before="20" w:after="20"/>
                  </w:pPr>
                  <w:r w:rsidRPr="005D4222">
                    <w:t>Exclusions</w:t>
                  </w:r>
                </w:p>
              </w:tc>
              <w:tc>
                <w:tcPr>
                  <w:tcW w:w="252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vAlign w:val="center"/>
                </w:tcPr>
                <w:p w14:paraId="69B397FC" w14:textId="77777777" w:rsidR="00AB51AE" w:rsidRPr="005D4222" w:rsidRDefault="00AB51AE" w:rsidP="002C0046">
                  <w:pPr>
                    <w:pStyle w:val="TableText"/>
                    <w:spacing w:before="20" w:after="20"/>
                  </w:pPr>
                  <w:r w:rsidRPr="005D4222">
                    <w:t>Repeat per Metric</w:t>
                  </w:r>
                </w:p>
              </w:tc>
            </w:tr>
            <w:tr w:rsidR="00AB51AE" w:rsidRPr="005D4222" w14:paraId="40D53CE6" w14:textId="77777777" w:rsidTr="00E5464F">
              <w:tc>
                <w:tcPr>
                  <w:tcW w:w="2518"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72" w:type="dxa"/>
                    <w:bottom w:w="0" w:type="dxa"/>
                    <w:right w:w="72" w:type="dxa"/>
                  </w:tcMar>
                  <w:hideMark/>
                </w:tcPr>
                <w:p w14:paraId="408DBA01" w14:textId="77777777" w:rsidR="00AB51AE" w:rsidRPr="005D4222" w:rsidRDefault="00AB51AE" w:rsidP="002C0046">
                  <w:pPr>
                    <w:pStyle w:val="TableText"/>
                    <w:spacing w:before="20" w:after="20"/>
                  </w:pPr>
                  <w:r w:rsidRPr="005D4222">
                    <w:rPr>
                      <w:rFonts w:eastAsia="Arial Narrow"/>
                    </w:rPr>
                    <w:t>HPV</w:t>
                  </w:r>
                </w:p>
              </w:tc>
              <w:tc>
                <w:tcPr>
                  <w:tcW w:w="3060"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72" w:type="dxa"/>
                    <w:bottom w:w="0" w:type="dxa"/>
                    <w:right w:w="72" w:type="dxa"/>
                  </w:tcMar>
                  <w:vAlign w:val="center"/>
                </w:tcPr>
                <w:p w14:paraId="182587CA" w14:textId="77777777" w:rsidR="00AB51AE" w:rsidRPr="005D4222" w:rsidRDefault="00AB51AE" w:rsidP="002C0046">
                  <w:pPr>
                    <w:pStyle w:val="TableText"/>
                    <w:spacing w:before="20" w:after="20"/>
                  </w:pPr>
                  <w:r w:rsidRPr="005D4222">
                    <w:t>Denominator</w:t>
                  </w:r>
                </w:p>
              </w:tc>
              <w:tc>
                <w:tcPr>
                  <w:tcW w:w="252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vAlign w:val="center"/>
                </w:tcPr>
                <w:p w14:paraId="72D71889" w14:textId="77777777" w:rsidR="00AB51AE" w:rsidRPr="005D4222" w:rsidRDefault="00AB51AE" w:rsidP="002C0046">
                  <w:pPr>
                    <w:pStyle w:val="TableText"/>
                    <w:spacing w:before="20" w:after="20"/>
                  </w:pPr>
                  <w:r w:rsidRPr="005D4222">
                    <w:t>Repeat per Metric</w:t>
                  </w:r>
                </w:p>
              </w:tc>
            </w:tr>
            <w:tr w:rsidR="00AB51AE" w:rsidRPr="005D4222" w14:paraId="25A0DA43" w14:textId="77777777" w:rsidTr="00E5464F">
              <w:tc>
                <w:tcPr>
                  <w:tcW w:w="2518"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72" w:type="dxa"/>
                    <w:bottom w:w="0" w:type="dxa"/>
                    <w:right w:w="72" w:type="dxa"/>
                  </w:tcMar>
                  <w:hideMark/>
                </w:tcPr>
                <w:p w14:paraId="4F8E2A95" w14:textId="77777777" w:rsidR="00AB51AE" w:rsidRPr="005D4222" w:rsidRDefault="00AB51AE" w:rsidP="002C0046">
                  <w:pPr>
                    <w:pStyle w:val="TableText"/>
                    <w:spacing w:before="20" w:after="20"/>
                  </w:pPr>
                  <w:r w:rsidRPr="005D4222">
                    <w:t>Combo1</w:t>
                  </w:r>
                </w:p>
              </w:tc>
              <w:tc>
                <w:tcPr>
                  <w:tcW w:w="3060" w:type="dxa"/>
                  <w:tcBorders>
                    <w:top w:val="single" w:sz="4" w:space="0" w:color="auto"/>
                    <w:left w:val="single" w:sz="4" w:space="0" w:color="auto"/>
                    <w:bottom w:val="single" w:sz="4" w:space="0" w:color="auto"/>
                    <w:right w:val="single" w:sz="4" w:space="0" w:color="auto"/>
                  </w:tcBorders>
                  <w:noWrap/>
                  <w:tcMar>
                    <w:top w:w="0" w:type="dxa"/>
                    <w:left w:w="72" w:type="dxa"/>
                    <w:bottom w:w="0" w:type="dxa"/>
                    <w:right w:w="72" w:type="dxa"/>
                  </w:tcMar>
                  <w:vAlign w:val="center"/>
                </w:tcPr>
                <w:p w14:paraId="1C04669B" w14:textId="77777777" w:rsidR="00AB51AE" w:rsidRPr="005D4222" w:rsidRDefault="00AB51AE" w:rsidP="002C0046">
                  <w:pPr>
                    <w:pStyle w:val="TableText"/>
                    <w:spacing w:before="20" w:after="20"/>
                  </w:pPr>
                  <w:r w:rsidRPr="005D4222">
                    <w:t>Numerator</w:t>
                  </w:r>
                </w:p>
              </w:tc>
              <w:tc>
                <w:tcPr>
                  <w:tcW w:w="2520" w:type="dxa"/>
                  <w:tcBorders>
                    <w:top w:val="single" w:sz="4" w:space="0" w:color="auto"/>
                    <w:left w:val="single" w:sz="4" w:space="0" w:color="auto"/>
                    <w:bottom w:val="single" w:sz="4" w:space="0" w:color="auto"/>
                    <w:right w:val="single" w:sz="4" w:space="0" w:color="auto"/>
                  </w:tcBorders>
                  <w:tcMar>
                    <w:left w:w="72" w:type="dxa"/>
                    <w:right w:w="72" w:type="dxa"/>
                  </w:tcMar>
                  <w:vAlign w:val="center"/>
                </w:tcPr>
                <w:p w14:paraId="6FE0FEEE" w14:textId="77777777" w:rsidR="00AB51AE" w:rsidRPr="005D4222" w:rsidRDefault="00AB51AE" w:rsidP="002C0046">
                  <w:pPr>
                    <w:pStyle w:val="TableText"/>
                    <w:spacing w:before="20" w:after="20"/>
                  </w:pPr>
                  <w:r w:rsidRPr="005D4222">
                    <w:t>For each Metric</w:t>
                  </w:r>
                </w:p>
              </w:tc>
            </w:tr>
            <w:tr w:rsidR="00AB51AE" w:rsidRPr="005D4222" w14:paraId="35F1A428" w14:textId="77777777" w:rsidTr="00E5464F">
              <w:tc>
                <w:tcPr>
                  <w:tcW w:w="2518"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72" w:type="dxa"/>
                    <w:bottom w:w="0" w:type="dxa"/>
                    <w:right w:w="72" w:type="dxa"/>
                  </w:tcMar>
                  <w:hideMark/>
                </w:tcPr>
                <w:p w14:paraId="26E2021A" w14:textId="77777777" w:rsidR="00AB51AE" w:rsidRPr="005D4222" w:rsidRDefault="00AB51AE" w:rsidP="002C0046">
                  <w:pPr>
                    <w:pStyle w:val="TableText"/>
                    <w:spacing w:before="20" w:after="20"/>
                  </w:pPr>
                  <w:r w:rsidRPr="005D4222">
                    <w:t>Combo2</w:t>
                  </w:r>
                </w:p>
              </w:tc>
              <w:tc>
                <w:tcPr>
                  <w:tcW w:w="3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0" w:type="dxa"/>
                    <w:left w:w="72" w:type="dxa"/>
                    <w:bottom w:w="0" w:type="dxa"/>
                    <w:right w:w="72" w:type="dxa"/>
                  </w:tcMar>
                  <w:vAlign w:val="center"/>
                </w:tcPr>
                <w:p w14:paraId="4777570B" w14:textId="77777777" w:rsidR="00AB51AE" w:rsidRPr="005D4222" w:rsidRDefault="00AB51AE" w:rsidP="002C0046">
                  <w:pPr>
                    <w:pStyle w:val="TableText"/>
                    <w:spacing w:before="20" w:after="20"/>
                  </w:pPr>
                  <w:r w:rsidRPr="005D4222">
                    <w:t>Rate</w:t>
                  </w:r>
                </w:p>
              </w:tc>
              <w:tc>
                <w:tcPr>
                  <w:tcW w:w="25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vAlign w:val="center"/>
                </w:tcPr>
                <w:p w14:paraId="4853124B" w14:textId="77777777" w:rsidR="00AB51AE" w:rsidRPr="005D4222" w:rsidRDefault="00AB51AE" w:rsidP="002C0046">
                  <w:pPr>
                    <w:pStyle w:val="TableText"/>
                    <w:spacing w:before="20" w:after="20"/>
                  </w:pPr>
                  <w:r w:rsidRPr="005D4222">
                    <w:t>(Percent)</w:t>
                  </w:r>
                </w:p>
              </w:tc>
            </w:tr>
          </w:tbl>
          <w:p w14:paraId="1233755D" w14:textId="77777777" w:rsidR="00AB51AE" w:rsidRPr="005D4222" w:rsidRDefault="00AB51AE" w:rsidP="00A53E8C">
            <w:pPr>
              <w:pStyle w:val="TableText"/>
              <w:spacing w:before="40" w:after="120"/>
              <w:rPr>
                <w:rFonts w:eastAsia="Calibri"/>
              </w:rPr>
            </w:pPr>
          </w:p>
        </w:tc>
      </w:tr>
      <w:tr w:rsidR="00AB51AE" w:rsidRPr="005D4222" w14:paraId="2E2BD2D6"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E196957" w14:textId="77777777" w:rsidR="00AB51AE" w:rsidRPr="005D4222" w:rsidRDefault="00AB51AE" w:rsidP="00A53E8C">
            <w:pPr>
              <w:pStyle w:val="ECDSMarginHead"/>
            </w:pP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FEB29CA" w14:textId="09CDA887" w:rsidR="00AB51AE" w:rsidRPr="005D4222" w:rsidRDefault="00AB51AE" w:rsidP="00A53E8C">
            <w:pPr>
              <w:keepNext/>
              <w:spacing w:before="120" w:after="60"/>
              <w:outlineLvl w:val="2"/>
              <w:rPr>
                <w:rFonts w:eastAsia="Arial" w:cs="Arial"/>
                <w:b/>
                <w:bCs/>
                <w:i/>
                <w:kern w:val="20"/>
                <w:sz w:val="18"/>
                <w:szCs w:val="26"/>
              </w:rPr>
            </w:pPr>
            <w:r w:rsidRPr="005D4222">
              <w:rPr>
                <w:rFonts w:eastAsia="Arial" w:cs="Arial"/>
                <w:b/>
                <w:bCs/>
                <w:i/>
                <w:kern w:val="20"/>
                <w:sz w:val="18"/>
                <w:szCs w:val="26"/>
              </w:rPr>
              <w:t xml:space="preserve">Table IMA-E-B-1/2: Data Elements for Immunizations for Adolescents: </w:t>
            </w:r>
            <w:r w:rsidR="00B51CDC" w:rsidRPr="005D4222">
              <w:rPr>
                <w:rFonts w:eastAsia="Arial" w:cs="Arial"/>
                <w:b/>
                <w:bCs/>
                <w:i/>
                <w:kern w:val="20"/>
                <w:sz w:val="18"/>
                <w:szCs w:val="26"/>
              </w:rPr>
              <w:t>Stratifications</w:t>
            </w:r>
            <w:r w:rsidRPr="005D4222">
              <w:rPr>
                <w:rFonts w:eastAsia="Arial" w:cs="Arial"/>
                <w:b/>
                <w:bCs/>
                <w:i/>
                <w:kern w:val="20"/>
                <w:sz w:val="18"/>
                <w:szCs w:val="26"/>
              </w:rPr>
              <w:t xml:space="preserve"> by Race</w:t>
            </w:r>
          </w:p>
          <w:tbl>
            <w:tblPr>
              <w:tblW w:w="5000" w:type="pct"/>
              <w:tblLayout w:type="fixed"/>
              <w:tblLook w:val="04A0" w:firstRow="1" w:lastRow="0" w:firstColumn="1" w:lastColumn="0" w:noHBand="0" w:noVBand="1"/>
            </w:tblPr>
            <w:tblGrid>
              <w:gridCol w:w="1373"/>
              <w:gridCol w:w="2942"/>
              <w:gridCol w:w="1350"/>
              <w:gridCol w:w="1708"/>
            </w:tblGrid>
            <w:tr w:rsidR="00AB51AE" w:rsidRPr="005D4222" w14:paraId="39F19FD7" w14:textId="77777777" w:rsidTr="00A53E8C">
              <w:trPr>
                <w:tblHeader/>
              </w:trPr>
              <w:tc>
                <w:tcPr>
                  <w:tcW w:w="1373" w:type="dxa"/>
                  <w:tcBorders>
                    <w:top w:val="single" w:sz="8" w:space="0" w:color="auto"/>
                    <w:left w:val="single" w:sz="4" w:space="0" w:color="auto"/>
                    <w:bottom w:val="single" w:sz="4" w:space="0" w:color="auto"/>
                    <w:right w:val="single" w:sz="6" w:space="0" w:color="FFFFFF" w:themeColor="background1"/>
                  </w:tcBorders>
                  <w:shd w:val="clear" w:color="auto" w:fill="000000" w:themeFill="text1"/>
                  <w:tcMar>
                    <w:left w:w="58" w:type="dxa"/>
                    <w:right w:w="58" w:type="dxa"/>
                  </w:tcMar>
                  <w:vAlign w:val="bottom"/>
                </w:tcPr>
                <w:p w14:paraId="6BAEF589" w14:textId="77777777" w:rsidR="00AB51AE" w:rsidRPr="005D4222" w:rsidRDefault="00AB51AE" w:rsidP="00A53E8C">
                  <w:pPr>
                    <w:pStyle w:val="TableHead"/>
                    <w:rPr>
                      <w:color w:val="auto"/>
                      <w:kern w:val="20"/>
                    </w:rPr>
                  </w:pPr>
                  <w:r w:rsidRPr="005D4222">
                    <w:rPr>
                      <w:color w:val="auto"/>
                      <w:kern w:val="20"/>
                    </w:rPr>
                    <w:t>Metric</w:t>
                  </w:r>
                </w:p>
              </w:tc>
              <w:tc>
                <w:tcPr>
                  <w:tcW w:w="2942" w:type="dxa"/>
                  <w:tcBorders>
                    <w:top w:val="single" w:sz="8" w:space="0" w:color="auto"/>
                    <w:left w:val="single" w:sz="4" w:space="0" w:color="auto"/>
                    <w:bottom w:val="single" w:sz="4" w:space="0" w:color="auto"/>
                    <w:right w:val="single" w:sz="6" w:space="0" w:color="FFFFFF" w:themeColor="background1"/>
                  </w:tcBorders>
                  <w:shd w:val="clear" w:color="auto" w:fill="000000" w:themeFill="text1"/>
                  <w:tcMar>
                    <w:left w:w="58" w:type="dxa"/>
                    <w:right w:w="58" w:type="dxa"/>
                  </w:tcMar>
                  <w:vAlign w:val="bottom"/>
                </w:tcPr>
                <w:p w14:paraId="320E69BA" w14:textId="77777777" w:rsidR="00AB51AE" w:rsidRPr="005D4222" w:rsidRDefault="00AB51AE" w:rsidP="00A53E8C">
                  <w:pPr>
                    <w:pStyle w:val="TableHead"/>
                    <w:rPr>
                      <w:color w:val="auto"/>
                      <w:kern w:val="20"/>
                    </w:rPr>
                  </w:pPr>
                  <w:r w:rsidRPr="005D4222">
                    <w:rPr>
                      <w:color w:val="auto"/>
                      <w:kern w:val="20"/>
                    </w:rPr>
                    <w:t>Race</w:t>
                  </w:r>
                </w:p>
              </w:tc>
              <w:tc>
                <w:tcPr>
                  <w:tcW w:w="1350" w:type="dxa"/>
                  <w:tcBorders>
                    <w:top w:val="single" w:sz="8" w:space="0" w:color="auto"/>
                    <w:left w:val="single" w:sz="6" w:space="0" w:color="FFFFFF" w:themeColor="background1"/>
                    <w:bottom w:val="single" w:sz="4" w:space="0" w:color="auto"/>
                    <w:right w:val="single" w:sz="4" w:space="0" w:color="FFFFFF" w:themeColor="background1"/>
                  </w:tcBorders>
                  <w:shd w:val="clear" w:color="auto" w:fill="000000" w:themeFill="text1"/>
                  <w:noWrap/>
                  <w:tcMar>
                    <w:top w:w="0" w:type="dxa"/>
                    <w:left w:w="58" w:type="dxa"/>
                    <w:bottom w:w="0" w:type="dxa"/>
                    <w:right w:w="58" w:type="dxa"/>
                  </w:tcMar>
                  <w:vAlign w:val="bottom"/>
                  <w:hideMark/>
                </w:tcPr>
                <w:p w14:paraId="6DFAE035" w14:textId="77777777" w:rsidR="00AB51AE" w:rsidRPr="005D4222" w:rsidRDefault="00AB51AE" w:rsidP="00A53E8C">
                  <w:pPr>
                    <w:pStyle w:val="TableHead"/>
                    <w:rPr>
                      <w:color w:val="auto"/>
                      <w:kern w:val="20"/>
                    </w:rPr>
                  </w:pPr>
                  <w:r w:rsidRPr="005D4222">
                    <w:rPr>
                      <w:color w:val="auto"/>
                      <w:kern w:val="20"/>
                    </w:rPr>
                    <w:t>Data Element</w:t>
                  </w:r>
                </w:p>
              </w:tc>
              <w:tc>
                <w:tcPr>
                  <w:tcW w:w="1708" w:type="dxa"/>
                  <w:tcBorders>
                    <w:top w:val="single" w:sz="8" w:space="0" w:color="auto"/>
                    <w:left w:val="single" w:sz="4" w:space="0" w:color="FFFFFF" w:themeColor="background1"/>
                    <w:bottom w:val="single" w:sz="8" w:space="0" w:color="auto"/>
                    <w:right w:val="single" w:sz="8" w:space="0" w:color="auto"/>
                  </w:tcBorders>
                  <w:shd w:val="clear" w:color="auto" w:fill="000000" w:themeFill="text1"/>
                  <w:tcMar>
                    <w:left w:w="58" w:type="dxa"/>
                    <w:right w:w="58" w:type="dxa"/>
                  </w:tcMar>
                  <w:vAlign w:val="bottom"/>
                </w:tcPr>
                <w:p w14:paraId="4C7830B6" w14:textId="77777777" w:rsidR="00AB51AE" w:rsidRPr="005D4222" w:rsidRDefault="00AB51AE" w:rsidP="00A53E8C">
                  <w:pPr>
                    <w:pStyle w:val="TableHead"/>
                    <w:rPr>
                      <w:color w:val="auto"/>
                      <w:kern w:val="20"/>
                    </w:rPr>
                  </w:pPr>
                  <w:r w:rsidRPr="005D4222">
                    <w:rPr>
                      <w:color w:val="auto"/>
                      <w:kern w:val="20"/>
                    </w:rPr>
                    <w:t>Reporting Instructions</w:t>
                  </w:r>
                </w:p>
              </w:tc>
            </w:tr>
            <w:tr w:rsidR="00AB51AE" w:rsidRPr="005D4222" w14:paraId="69EB8EFC" w14:textId="77777777" w:rsidTr="00E5464F">
              <w:tc>
                <w:tcPr>
                  <w:tcW w:w="1373"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058DE043" w14:textId="77777777" w:rsidR="00AB51AE" w:rsidRPr="005D4222" w:rsidRDefault="00AB51AE" w:rsidP="00A53E8C">
                  <w:pPr>
                    <w:pStyle w:val="TableText"/>
                    <w:rPr>
                      <w:kern w:val="20"/>
                    </w:rPr>
                  </w:pPr>
                  <w:r w:rsidRPr="005D4222">
                    <w:rPr>
                      <w:kern w:val="20"/>
                    </w:rPr>
                    <w:t>Meningococcal</w:t>
                  </w:r>
                </w:p>
              </w:tc>
              <w:tc>
                <w:tcPr>
                  <w:tcW w:w="2942"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2EE1260F" w14:textId="77777777" w:rsidR="00AB51AE" w:rsidRPr="005D4222" w:rsidRDefault="00AB51AE" w:rsidP="00A53E8C">
                  <w:pPr>
                    <w:pStyle w:val="TableText"/>
                    <w:rPr>
                      <w:kern w:val="20"/>
                    </w:rPr>
                  </w:pPr>
                  <w:r w:rsidRPr="005D4222">
                    <w:rPr>
                      <w:kern w:val="20"/>
                    </w:rPr>
                    <w:t>AmericanIndianOrAlaskaNative</w:t>
                  </w:r>
                  <w:r w:rsidRPr="005D4222" w:rsidDel="006452AC">
                    <w:rPr>
                      <w:kern w:val="20"/>
                    </w:rPr>
                    <w:t xml:space="preserve"> </w:t>
                  </w:r>
                </w:p>
              </w:tc>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58" w:type="dxa"/>
                    <w:bottom w:w="0" w:type="dxa"/>
                    <w:right w:w="58" w:type="dxa"/>
                  </w:tcMar>
                  <w:hideMark/>
                </w:tcPr>
                <w:p w14:paraId="0E7DDE60" w14:textId="77777777" w:rsidR="00AB51AE" w:rsidRPr="005D4222" w:rsidRDefault="00AB51AE" w:rsidP="00A53E8C">
                  <w:pPr>
                    <w:pStyle w:val="TableText"/>
                    <w:rPr>
                      <w:kern w:val="20"/>
                    </w:rPr>
                  </w:pPr>
                  <w:r w:rsidRPr="005D4222">
                    <w:rPr>
                      <w:kern w:val="20"/>
                    </w:rPr>
                    <w:t>InitialPopulation</w:t>
                  </w:r>
                </w:p>
              </w:tc>
              <w:tc>
                <w:tcPr>
                  <w:tcW w:w="1708" w:type="dxa"/>
                  <w:tcBorders>
                    <w:top w:val="nil"/>
                    <w:left w:val="single" w:sz="4" w:space="0" w:color="auto"/>
                    <w:bottom w:val="single" w:sz="4" w:space="0" w:color="auto"/>
                    <w:right w:val="single" w:sz="4" w:space="0" w:color="auto"/>
                  </w:tcBorders>
                  <w:shd w:val="clear" w:color="auto" w:fill="FFFFFF" w:themeFill="background1"/>
                  <w:tcMar>
                    <w:left w:w="58" w:type="dxa"/>
                    <w:right w:w="58" w:type="dxa"/>
                  </w:tcMar>
                </w:tcPr>
                <w:p w14:paraId="0DC8C2F3" w14:textId="77777777" w:rsidR="00AB51AE" w:rsidRPr="005D4222" w:rsidRDefault="00AB51AE" w:rsidP="00A53E8C">
                  <w:pPr>
                    <w:pStyle w:val="TableText"/>
                    <w:rPr>
                      <w:kern w:val="20"/>
                    </w:rPr>
                  </w:pPr>
                  <w:r w:rsidRPr="005D4222">
                    <w:rPr>
                      <w:kern w:val="20"/>
                    </w:rPr>
                    <w:t>For each Stratification, repeat per Metric</w:t>
                  </w:r>
                </w:p>
              </w:tc>
            </w:tr>
            <w:tr w:rsidR="00AB51AE" w:rsidRPr="005D4222" w14:paraId="7F5A9AA0" w14:textId="77777777" w:rsidTr="00E5464F">
              <w:tc>
                <w:tcPr>
                  <w:tcW w:w="1373"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0CD947EB" w14:textId="77777777" w:rsidR="00AB51AE" w:rsidRPr="005D4222" w:rsidRDefault="00AB51AE" w:rsidP="00A53E8C">
                  <w:pPr>
                    <w:pStyle w:val="TableText"/>
                    <w:rPr>
                      <w:kern w:val="20"/>
                    </w:rPr>
                  </w:pPr>
                  <w:r w:rsidRPr="005D4222">
                    <w:rPr>
                      <w:kern w:val="20"/>
                    </w:rPr>
                    <w:t>Tdap</w:t>
                  </w:r>
                </w:p>
              </w:tc>
              <w:tc>
                <w:tcPr>
                  <w:tcW w:w="2942"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06A8CB35" w14:textId="77777777" w:rsidR="00AB51AE" w:rsidRPr="005D4222" w:rsidRDefault="00AB51AE" w:rsidP="00A53E8C">
                  <w:pPr>
                    <w:pStyle w:val="TableText"/>
                    <w:rPr>
                      <w:kern w:val="20"/>
                    </w:rPr>
                  </w:pPr>
                  <w:r w:rsidRPr="005D4222">
                    <w:rPr>
                      <w:kern w:val="20"/>
                    </w:rPr>
                    <w:t>Asian</w:t>
                  </w:r>
                </w:p>
              </w:tc>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58" w:type="dxa"/>
                    <w:bottom w:w="0" w:type="dxa"/>
                    <w:right w:w="58" w:type="dxa"/>
                  </w:tcMar>
                </w:tcPr>
                <w:p w14:paraId="148852A6" w14:textId="77777777" w:rsidR="00AB51AE" w:rsidRPr="005D4222" w:rsidRDefault="00AB51AE" w:rsidP="00A53E8C">
                  <w:pPr>
                    <w:pStyle w:val="TableText"/>
                    <w:rPr>
                      <w:kern w:val="20"/>
                    </w:rPr>
                  </w:pPr>
                  <w:r w:rsidRPr="005D4222">
                    <w:rPr>
                      <w:kern w:val="20"/>
                    </w:rPr>
                    <w:t>Exclusions</w:t>
                  </w:r>
                </w:p>
              </w:tc>
              <w:tc>
                <w:tcPr>
                  <w:tcW w:w="1708"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4CD76C17" w14:textId="77777777" w:rsidR="00AB51AE" w:rsidRPr="005D4222" w:rsidRDefault="00AB51AE" w:rsidP="00A53E8C">
                  <w:pPr>
                    <w:pStyle w:val="TableText"/>
                    <w:rPr>
                      <w:kern w:val="20"/>
                    </w:rPr>
                  </w:pPr>
                  <w:r w:rsidRPr="005D4222">
                    <w:rPr>
                      <w:kern w:val="20"/>
                    </w:rPr>
                    <w:t>For each Stratification, repeat per Metric</w:t>
                  </w:r>
                </w:p>
              </w:tc>
            </w:tr>
            <w:tr w:rsidR="00AB51AE" w:rsidRPr="005D4222" w14:paraId="16710E48" w14:textId="77777777" w:rsidTr="00E5464F">
              <w:tc>
                <w:tcPr>
                  <w:tcW w:w="1373"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51EAD805" w14:textId="77777777" w:rsidR="00AB51AE" w:rsidRPr="005D4222" w:rsidRDefault="00AB51AE" w:rsidP="00A53E8C">
                  <w:pPr>
                    <w:pStyle w:val="TableText"/>
                    <w:rPr>
                      <w:rFonts w:eastAsia="Arial Narrow"/>
                      <w:kern w:val="20"/>
                    </w:rPr>
                  </w:pPr>
                  <w:r w:rsidRPr="005D4222">
                    <w:rPr>
                      <w:rFonts w:eastAsia="Arial Narrow"/>
                      <w:kern w:val="20"/>
                    </w:rPr>
                    <w:t>HPV</w:t>
                  </w:r>
                </w:p>
              </w:tc>
              <w:tc>
                <w:tcPr>
                  <w:tcW w:w="2942"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396E273C" w14:textId="77777777" w:rsidR="00AB51AE" w:rsidRPr="005D4222" w:rsidRDefault="00AB51AE" w:rsidP="00A53E8C">
                  <w:pPr>
                    <w:pStyle w:val="TableText"/>
                    <w:rPr>
                      <w:kern w:val="20"/>
                    </w:rPr>
                  </w:pPr>
                  <w:r w:rsidRPr="005D4222">
                    <w:rPr>
                      <w:kern w:val="20"/>
                    </w:rPr>
                    <w:t>BlackOrAfricanAmerican</w:t>
                  </w:r>
                  <w:r w:rsidRPr="005D4222" w:rsidDel="006452AC">
                    <w:rPr>
                      <w:kern w:val="20"/>
                    </w:rPr>
                    <w:t xml:space="preserve"> </w:t>
                  </w:r>
                </w:p>
              </w:tc>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58" w:type="dxa"/>
                    <w:bottom w:w="0" w:type="dxa"/>
                    <w:right w:w="58" w:type="dxa"/>
                  </w:tcMar>
                </w:tcPr>
                <w:p w14:paraId="51E40675" w14:textId="77777777" w:rsidR="00AB51AE" w:rsidRPr="005D4222" w:rsidRDefault="00AB51AE" w:rsidP="00A53E8C">
                  <w:pPr>
                    <w:pStyle w:val="TableText"/>
                    <w:rPr>
                      <w:kern w:val="20"/>
                    </w:rPr>
                  </w:pPr>
                  <w:r w:rsidRPr="005D4222">
                    <w:rPr>
                      <w:kern w:val="20"/>
                    </w:rPr>
                    <w:t>Denominator</w:t>
                  </w:r>
                </w:p>
              </w:tc>
              <w:tc>
                <w:tcPr>
                  <w:tcW w:w="1708"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33D8924B" w14:textId="77777777" w:rsidR="00AB51AE" w:rsidRPr="005D4222" w:rsidRDefault="00AB51AE" w:rsidP="00A53E8C">
                  <w:pPr>
                    <w:pStyle w:val="TableText"/>
                    <w:rPr>
                      <w:kern w:val="20"/>
                    </w:rPr>
                  </w:pPr>
                  <w:r w:rsidRPr="005D4222">
                    <w:rPr>
                      <w:kern w:val="20"/>
                    </w:rPr>
                    <w:t>For each Stratification, repeat per Metric</w:t>
                  </w:r>
                </w:p>
              </w:tc>
            </w:tr>
            <w:tr w:rsidR="00AB51AE" w:rsidRPr="005D4222" w14:paraId="4F1704BA" w14:textId="77777777" w:rsidTr="00E5464F">
              <w:tc>
                <w:tcPr>
                  <w:tcW w:w="1373"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0A3D9B21" w14:textId="77777777" w:rsidR="00AB51AE" w:rsidRPr="005D4222" w:rsidRDefault="00AB51AE" w:rsidP="00A53E8C">
                  <w:pPr>
                    <w:pStyle w:val="TableText"/>
                    <w:rPr>
                      <w:kern w:val="20"/>
                    </w:rPr>
                  </w:pPr>
                  <w:r w:rsidRPr="005D4222">
                    <w:rPr>
                      <w:kern w:val="20"/>
                    </w:rPr>
                    <w:t>Combo1</w:t>
                  </w:r>
                </w:p>
              </w:tc>
              <w:tc>
                <w:tcPr>
                  <w:tcW w:w="2942"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7874F296" w14:textId="77777777" w:rsidR="00AB51AE" w:rsidRPr="005D4222" w:rsidRDefault="00AB51AE" w:rsidP="00A53E8C">
                  <w:pPr>
                    <w:pStyle w:val="TableText"/>
                    <w:rPr>
                      <w:kern w:val="20"/>
                    </w:rPr>
                  </w:pPr>
                  <w:r w:rsidRPr="005D4222">
                    <w:rPr>
                      <w:kern w:val="20"/>
                    </w:rPr>
                    <w:t>MiddleEasternOrNorthAfrican</w:t>
                  </w:r>
                </w:p>
              </w:tc>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58" w:type="dxa"/>
                    <w:bottom w:w="0" w:type="dxa"/>
                    <w:right w:w="58" w:type="dxa"/>
                  </w:tcMar>
                </w:tcPr>
                <w:p w14:paraId="398B6E23" w14:textId="77777777" w:rsidR="00AB51AE" w:rsidRPr="005D4222" w:rsidRDefault="00AB51AE" w:rsidP="00A53E8C">
                  <w:pPr>
                    <w:pStyle w:val="TableText"/>
                    <w:rPr>
                      <w:kern w:val="20"/>
                    </w:rPr>
                  </w:pPr>
                  <w:r w:rsidRPr="005D4222">
                    <w:rPr>
                      <w:kern w:val="20"/>
                    </w:rPr>
                    <w:t>Numerator</w:t>
                  </w:r>
                </w:p>
              </w:tc>
              <w:tc>
                <w:tcPr>
                  <w:tcW w:w="1708"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350D021E" w14:textId="77777777" w:rsidR="00AB51AE" w:rsidRPr="005D4222" w:rsidRDefault="00AB51AE" w:rsidP="00A53E8C">
                  <w:pPr>
                    <w:pStyle w:val="TableText"/>
                    <w:rPr>
                      <w:kern w:val="20"/>
                    </w:rPr>
                  </w:pPr>
                  <w:r w:rsidRPr="005D4222">
                    <w:rPr>
                      <w:kern w:val="20"/>
                    </w:rPr>
                    <w:t>For each Metric and Stratification</w:t>
                  </w:r>
                </w:p>
              </w:tc>
            </w:tr>
            <w:tr w:rsidR="00AB51AE" w:rsidRPr="005D4222" w14:paraId="5E3E3A79" w14:textId="77777777" w:rsidTr="00A53E8C">
              <w:tc>
                <w:tcPr>
                  <w:tcW w:w="1373"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411D2684" w14:textId="77777777" w:rsidR="00AB51AE" w:rsidRPr="005D4222" w:rsidRDefault="00AB51AE" w:rsidP="00A53E8C">
                  <w:pPr>
                    <w:pStyle w:val="TableText"/>
                    <w:rPr>
                      <w:kern w:val="20"/>
                    </w:rPr>
                  </w:pPr>
                  <w:r w:rsidRPr="005D4222">
                    <w:rPr>
                      <w:kern w:val="20"/>
                    </w:rPr>
                    <w:t>Combo2</w:t>
                  </w:r>
                </w:p>
              </w:tc>
              <w:tc>
                <w:tcPr>
                  <w:tcW w:w="2942"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165B72B8" w14:textId="77777777" w:rsidR="00AB51AE" w:rsidRPr="005D4222" w:rsidRDefault="00AB51AE" w:rsidP="00A53E8C">
                  <w:pPr>
                    <w:pStyle w:val="TableText"/>
                    <w:rPr>
                      <w:kern w:val="20"/>
                    </w:rPr>
                  </w:pPr>
                  <w:r w:rsidRPr="005D4222">
                    <w:rPr>
                      <w:kern w:val="20"/>
                    </w:rPr>
                    <w:t>NativeHawaiianOrPacificIslander</w:t>
                  </w:r>
                  <w:r w:rsidRPr="005D4222" w:rsidDel="006452AC">
                    <w:rPr>
                      <w:kern w:val="20"/>
                    </w:rPr>
                    <w:t xml:space="preserve"> </w:t>
                  </w: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0" w:type="dxa"/>
                    <w:left w:w="58" w:type="dxa"/>
                    <w:bottom w:w="0" w:type="dxa"/>
                    <w:right w:w="58" w:type="dxa"/>
                  </w:tcMar>
                </w:tcPr>
                <w:p w14:paraId="4D4CAB60" w14:textId="77777777" w:rsidR="00AB51AE" w:rsidRPr="005D4222" w:rsidRDefault="00AB51AE" w:rsidP="00A53E8C">
                  <w:pPr>
                    <w:pStyle w:val="TableText"/>
                    <w:rPr>
                      <w:kern w:val="20"/>
                    </w:rPr>
                  </w:pPr>
                  <w:r w:rsidRPr="005D4222">
                    <w:rPr>
                      <w:kern w:val="20"/>
                    </w:rPr>
                    <w:t>Rate</w:t>
                  </w:r>
                </w:p>
              </w:tc>
              <w:tc>
                <w:tcPr>
                  <w:tcW w:w="170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58" w:type="dxa"/>
                    <w:right w:w="58" w:type="dxa"/>
                  </w:tcMar>
                </w:tcPr>
                <w:p w14:paraId="11575400" w14:textId="77777777" w:rsidR="00AB51AE" w:rsidRPr="005D4222" w:rsidRDefault="00AB51AE" w:rsidP="00A53E8C">
                  <w:pPr>
                    <w:pStyle w:val="TableText"/>
                    <w:rPr>
                      <w:kern w:val="20"/>
                    </w:rPr>
                  </w:pPr>
                  <w:r w:rsidRPr="005D4222">
                    <w:rPr>
                      <w:kern w:val="20"/>
                    </w:rPr>
                    <w:t>(Percent)</w:t>
                  </w:r>
                </w:p>
              </w:tc>
            </w:tr>
            <w:tr w:rsidR="00AB51AE" w:rsidRPr="005D4222" w14:paraId="4C995D35" w14:textId="77777777" w:rsidTr="007B5FC3">
              <w:tc>
                <w:tcPr>
                  <w:tcW w:w="1373" w:type="dxa"/>
                  <w:tcBorders>
                    <w:top w:val="single" w:sz="4" w:space="0" w:color="auto"/>
                    <w:right w:val="single" w:sz="4" w:space="0" w:color="auto"/>
                  </w:tcBorders>
                  <w:shd w:val="clear" w:color="auto" w:fill="FFFFFF" w:themeFill="background1"/>
                  <w:tcMar>
                    <w:left w:w="58" w:type="dxa"/>
                    <w:right w:w="58" w:type="dxa"/>
                  </w:tcMar>
                </w:tcPr>
                <w:p w14:paraId="14560FD2" w14:textId="77777777" w:rsidR="00AB51AE" w:rsidRPr="005D4222" w:rsidRDefault="00AB51AE" w:rsidP="00A53E8C">
                  <w:pPr>
                    <w:pStyle w:val="TableText"/>
                    <w:rPr>
                      <w:kern w:val="20"/>
                    </w:rPr>
                  </w:pPr>
                </w:p>
              </w:tc>
              <w:tc>
                <w:tcPr>
                  <w:tcW w:w="2942"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44A9B94A" w14:textId="77777777" w:rsidR="00AB51AE" w:rsidRPr="005D4222" w:rsidRDefault="00AB51AE" w:rsidP="00A53E8C">
                  <w:pPr>
                    <w:pStyle w:val="TableText"/>
                    <w:rPr>
                      <w:kern w:val="20"/>
                    </w:rPr>
                  </w:pPr>
                  <w:r w:rsidRPr="005D4222">
                    <w:rPr>
                      <w:kern w:val="20"/>
                    </w:rPr>
                    <w:t>White</w:t>
                  </w:r>
                </w:p>
              </w:tc>
              <w:tc>
                <w:tcPr>
                  <w:tcW w:w="1350" w:type="dxa"/>
                  <w:tcBorders>
                    <w:top w:val="single" w:sz="4" w:space="0" w:color="auto"/>
                  </w:tcBorders>
                  <w:noWrap/>
                  <w:tcMar>
                    <w:top w:w="0" w:type="dxa"/>
                    <w:left w:w="58" w:type="dxa"/>
                    <w:bottom w:w="0" w:type="dxa"/>
                    <w:right w:w="58" w:type="dxa"/>
                  </w:tcMar>
                </w:tcPr>
                <w:p w14:paraId="3E362918" w14:textId="77777777" w:rsidR="00AB51AE" w:rsidRPr="005D4222" w:rsidRDefault="00AB51AE" w:rsidP="00A53E8C">
                  <w:pPr>
                    <w:pStyle w:val="TableText"/>
                    <w:rPr>
                      <w:kern w:val="20"/>
                    </w:rPr>
                  </w:pPr>
                </w:p>
              </w:tc>
              <w:tc>
                <w:tcPr>
                  <w:tcW w:w="1708" w:type="dxa"/>
                  <w:tcBorders>
                    <w:top w:val="single" w:sz="4" w:space="0" w:color="auto"/>
                  </w:tcBorders>
                  <w:tcMar>
                    <w:left w:w="58" w:type="dxa"/>
                    <w:right w:w="58" w:type="dxa"/>
                  </w:tcMar>
                </w:tcPr>
                <w:p w14:paraId="3ED3560F" w14:textId="77777777" w:rsidR="00AB51AE" w:rsidRPr="005D4222" w:rsidRDefault="00AB51AE" w:rsidP="00A53E8C">
                  <w:pPr>
                    <w:pStyle w:val="TableText"/>
                    <w:rPr>
                      <w:kern w:val="20"/>
                    </w:rPr>
                  </w:pPr>
                </w:p>
              </w:tc>
            </w:tr>
            <w:tr w:rsidR="00AB51AE" w:rsidRPr="005D4222" w14:paraId="5946C21F" w14:textId="77777777" w:rsidTr="007B5FC3">
              <w:tc>
                <w:tcPr>
                  <w:tcW w:w="1373" w:type="dxa"/>
                  <w:tcBorders>
                    <w:right w:val="single" w:sz="4" w:space="0" w:color="auto"/>
                  </w:tcBorders>
                  <w:tcMar>
                    <w:left w:w="58" w:type="dxa"/>
                    <w:right w:w="58" w:type="dxa"/>
                  </w:tcMar>
                </w:tcPr>
                <w:p w14:paraId="32999957" w14:textId="77777777" w:rsidR="00AB51AE" w:rsidRPr="005D4222" w:rsidRDefault="00AB51AE" w:rsidP="00A53E8C">
                  <w:pPr>
                    <w:pStyle w:val="TableText"/>
                    <w:rPr>
                      <w:kern w:val="20"/>
                    </w:rPr>
                  </w:pPr>
                </w:p>
              </w:tc>
              <w:tc>
                <w:tcPr>
                  <w:tcW w:w="2942"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499C6556" w14:textId="77777777" w:rsidR="00AB51AE" w:rsidRPr="005D4222" w:rsidRDefault="00AB51AE" w:rsidP="00A53E8C">
                  <w:pPr>
                    <w:pStyle w:val="TableText"/>
                    <w:rPr>
                      <w:kern w:val="20"/>
                    </w:rPr>
                  </w:pPr>
                  <w:r w:rsidRPr="005D4222">
                    <w:rPr>
                      <w:kern w:val="20"/>
                    </w:rPr>
                    <w:t>SomeOtherRace</w:t>
                  </w:r>
                </w:p>
              </w:tc>
              <w:tc>
                <w:tcPr>
                  <w:tcW w:w="1350" w:type="dxa"/>
                  <w:noWrap/>
                  <w:tcMar>
                    <w:top w:w="0" w:type="dxa"/>
                    <w:left w:w="58" w:type="dxa"/>
                    <w:bottom w:w="0" w:type="dxa"/>
                    <w:right w:w="58" w:type="dxa"/>
                  </w:tcMar>
                </w:tcPr>
                <w:p w14:paraId="0FE88011" w14:textId="77777777" w:rsidR="00AB51AE" w:rsidRPr="005D4222" w:rsidRDefault="00AB51AE" w:rsidP="00A53E8C">
                  <w:pPr>
                    <w:pStyle w:val="TableText"/>
                    <w:rPr>
                      <w:kern w:val="20"/>
                    </w:rPr>
                  </w:pPr>
                </w:p>
              </w:tc>
              <w:tc>
                <w:tcPr>
                  <w:tcW w:w="1708" w:type="dxa"/>
                  <w:tcMar>
                    <w:left w:w="58" w:type="dxa"/>
                    <w:right w:w="58" w:type="dxa"/>
                  </w:tcMar>
                </w:tcPr>
                <w:p w14:paraId="6585CE43" w14:textId="77777777" w:rsidR="00AB51AE" w:rsidRPr="005D4222" w:rsidRDefault="00AB51AE" w:rsidP="00A53E8C">
                  <w:pPr>
                    <w:pStyle w:val="TableText"/>
                    <w:rPr>
                      <w:kern w:val="20"/>
                    </w:rPr>
                  </w:pPr>
                </w:p>
              </w:tc>
            </w:tr>
            <w:tr w:rsidR="00AB51AE" w:rsidRPr="005D4222" w14:paraId="282BCDAD" w14:textId="77777777" w:rsidTr="007B5FC3">
              <w:tc>
                <w:tcPr>
                  <w:tcW w:w="1373" w:type="dxa"/>
                  <w:tcBorders>
                    <w:right w:val="single" w:sz="4" w:space="0" w:color="auto"/>
                  </w:tcBorders>
                  <w:shd w:val="clear" w:color="auto" w:fill="FFFFFF" w:themeFill="background1"/>
                  <w:tcMar>
                    <w:left w:w="58" w:type="dxa"/>
                    <w:right w:w="58" w:type="dxa"/>
                  </w:tcMar>
                </w:tcPr>
                <w:p w14:paraId="0A91FAAE" w14:textId="77777777" w:rsidR="00AB51AE" w:rsidRPr="005D4222" w:rsidRDefault="00AB51AE" w:rsidP="00A53E8C">
                  <w:pPr>
                    <w:pStyle w:val="TableText"/>
                    <w:rPr>
                      <w:kern w:val="20"/>
                    </w:rPr>
                  </w:pPr>
                </w:p>
              </w:tc>
              <w:tc>
                <w:tcPr>
                  <w:tcW w:w="2942" w:type="dxa"/>
                  <w:tcBorders>
                    <w:top w:val="single" w:sz="4" w:space="0" w:color="auto"/>
                    <w:left w:val="single" w:sz="4" w:space="0" w:color="auto"/>
                    <w:bottom w:val="single" w:sz="4" w:space="0" w:color="auto"/>
                    <w:right w:val="single" w:sz="4" w:space="0" w:color="auto"/>
                  </w:tcBorders>
                  <w:tcMar>
                    <w:left w:w="58" w:type="dxa"/>
                    <w:right w:w="58" w:type="dxa"/>
                  </w:tcMar>
                </w:tcPr>
                <w:p w14:paraId="1D4A8967" w14:textId="77777777" w:rsidR="00AB51AE" w:rsidRPr="005D4222" w:rsidRDefault="00AB51AE" w:rsidP="00A53E8C">
                  <w:pPr>
                    <w:pStyle w:val="TableText"/>
                    <w:rPr>
                      <w:kern w:val="20"/>
                    </w:rPr>
                  </w:pPr>
                  <w:r w:rsidRPr="005D4222">
                    <w:rPr>
                      <w:kern w:val="20"/>
                    </w:rPr>
                    <w:t>TwoOrMoreRaces</w:t>
                  </w:r>
                </w:p>
              </w:tc>
              <w:tc>
                <w:tcPr>
                  <w:tcW w:w="1350" w:type="dxa"/>
                  <w:shd w:val="clear" w:color="auto" w:fill="FFFFFF" w:themeFill="background1"/>
                  <w:noWrap/>
                  <w:tcMar>
                    <w:top w:w="0" w:type="dxa"/>
                    <w:left w:w="58" w:type="dxa"/>
                    <w:bottom w:w="0" w:type="dxa"/>
                    <w:right w:w="58" w:type="dxa"/>
                  </w:tcMar>
                </w:tcPr>
                <w:p w14:paraId="4F8603FE" w14:textId="77777777" w:rsidR="00AB51AE" w:rsidRPr="005D4222" w:rsidRDefault="00AB51AE" w:rsidP="00A53E8C">
                  <w:pPr>
                    <w:pStyle w:val="TableText"/>
                    <w:rPr>
                      <w:kern w:val="20"/>
                    </w:rPr>
                  </w:pPr>
                </w:p>
              </w:tc>
              <w:tc>
                <w:tcPr>
                  <w:tcW w:w="1708" w:type="dxa"/>
                  <w:shd w:val="clear" w:color="auto" w:fill="FFFFFF" w:themeFill="background1"/>
                  <w:tcMar>
                    <w:left w:w="58" w:type="dxa"/>
                    <w:right w:w="58" w:type="dxa"/>
                  </w:tcMar>
                </w:tcPr>
                <w:p w14:paraId="6353FD5D" w14:textId="77777777" w:rsidR="00AB51AE" w:rsidRPr="005D4222" w:rsidRDefault="00AB51AE" w:rsidP="00A53E8C">
                  <w:pPr>
                    <w:pStyle w:val="TableText"/>
                    <w:rPr>
                      <w:kern w:val="20"/>
                    </w:rPr>
                  </w:pPr>
                </w:p>
              </w:tc>
            </w:tr>
            <w:tr w:rsidR="00AB51AE" w:rsidRPr="005D4222" w14:paraId="45F22C5B" w14:textId="77777777" w:rsidTr="00A53E8C">
              <w:tc>
                <w:tcPr>
                  <w:tcW w:w="1373" w:type="dxa"/>
                  <w:tcBorders>
                    <w:right w:val="single" w:sz="4" w:space="0" w:color="auto"/>
                  </w:tcBorders>
                  <w:shd w:val="clear" w:color="auto" w:fill="FFFFFF" w:themeFill="background1"/>
                  <w:tcMar>
                    <w:left w:w="58" w:type="dxa"/>
                    <w:right w:w="58" w:type="dxa"/>
                  </w:tcMar>
                </w:tcPr>
                <w:p w14:paraId="337E271C" w14:textId="77777777" w:rsidR="00AB51AE" w:rsidRPr="005D4222" w:rsidRDefault="00AB51AE" w:rsidP="00A53E8C">
                  <w:pPr>
                    <w:pStyle w:val="TableText"/>
                    <w:rPr>
                      <w:kern w:val="20"/>
                    </w:rPr>
                  </w:pPr>
                </w:p>
              </w:tc>
              <w:tc>
                <w:tcPr>
                  <w:tcW w:w="2942"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09AF3F08" w14:textId="77777777" w:rsidR="00AB51AE" w:rsidRPr="005D4222" w:rsidRDefault="00AB51AE" w:rsidP="00A53E8C">
                  <w:pPr>
                    <w:pStyle w:val="TableText"/>
                    <w:rPr>
                      <w:kern w:val="20"/>
                    </w:rPr>
                  </w:pPr>
                  <w:r w:rsidRPr="005D4222">
                    <w:rPr>
                      <w:kern w:val="20"/>
                    </w:rPr>
                    <w:t>AskedButNoAnswer</w:t>
                  </w:r>
                </w:p>
              </w:tc>
              <w:tc>
                <w:tcPr>
                  <w:tcW w:w="1350" w:type="dxa"/>
                  <w:shd w:val="clear" w:color="auto" w:fill="FFFFFF" w:themeFill="background1"/>
                  <w:noWrap/>
                  <w:tcMar>
                    <w:top w:w="0" w:type="dxa"/>
                    <w:left w:w="58" w:type="dxa"/>
                    <w:bottom w:w="0" w:type="dxa"/>
                    <w:right w:w="58" w:type="dxa"/>
                  </w:tcMar>
                </w:tcPr>
                <w:p w14:paraId="2311D1ED" w14:textId="77777777" w:rsidR="00AB51AE" w:rsidRPr="005D4222" w:rsidRDefault="00AB51AE" w:rsidP="00A53E8C">
                  <w:pPr>
                    <w:pStyle w:val="TableText"/>
                    <w:rPr>
                      <w:kern w:val="20"/>
                    </w:rPr>
                  </w:pPr>
                </w:p>
              </w:tc>
              <w:tc>
                <w:tcPr>
                  <w:tcW w:w="1708" w:type="dxa"/>
                  <w:shd w:val="clear" w:color="auto" w:fill="FFFFFF" w:themeFill="background1"/>
                  <w:tcMar>
                    <w:left w:w="58" w:type="dxa"/>
                    <w:right w:w="58" w:type="dxa"/>
                  </w:tcMar>
                </w:tcPr>
                <w:p w14:paraId="7DAF3787" w14:textId="77777777" w:rsidR="00AB51AE" w:rsidRPr="005D4222" w:rsidRDefault="00AB51AE" w:rsidP="00A53E8C">
                  <w:pPr>
                    <w:pStyle w:val="TableText"/>
                    <w:rPr>
                      <w:kern w:val="20"/>
                    </w:rPr>
                  </w:pPr>
                </w:p>
              </w:tc>
            </w:tr>
            <w:tr w:rsidR="00AB51AE" w:rsidRPr="005D4222" w14:paraId="6AB39CD4" w14:textId="77777777" w:rsidTr="00A53E8C">
              <w:tc>
                <w:tcPr>
                  <w:tcW w:w="1373" w:type="dxa"/>
                  <w:tcBorders>
                    <w:right w:val="single" w:sz="4" w:space="0" w:color="auto"/>
                  </w:tcBorders>
                  <w:shd w:val="clear" w:color="auto" w:fill="FFFFFF" w:themeFill="background1"/>
                  <w:tcMar>
                    <w:left w:w="58" w:type="dxa"/>
                    <w:right w:w="58" w:type="dxa"/>
                  </w:tcMar>
                </w:tcPr>
                <w:p w14:paraId="769C71B4" w14:textId="77777777" w:rsidR="00AB51AE" w:rsidRPr="005D4222" w:rsidRDefault="00AB51AE" w:rsidP="00A53E8C">
                  <w:pPr>
                    <w:pStyle w:val="TableText"/>
                    <w:rPr>
                      <w:kern w:val="20"/>
                    </w:rPr>
                  </w:pPr>
                </w:p>
              </w:tc>
              <w:tc>
                <w:tcPr>
                  <w:tcW w:w="2942"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6AC2EDA4" w14:textId="77777777" w:rsidR="00AB51AE" w:rsidRPr="005D4222" w:rsidRDefault="00AB51AE" w:rsidP="00A53E8C">
                  <w:pPr>
                    <w:pStyle w:val="TableText"/>
                    <w:rPr>
                      <w:kern w:val="20"/>
                    </w:rPr>
                  </w:pPr>
                  <w:r w:rsidRPr="005D4222">
                    <w:rPr>
                      <w:kern w:val="20"/>
                    </w:rPr>
                    <w:t>Unknown</w:t>
                  </w:r>
                </w:p>
              </w:tc>
              <w:tc>
                <w:tcPr>
                  <w:tcW w:w="1350" w:type="dxa"/>
                  <w:shd w:val="clear" w:color="auto" w:fill="FFFFFF" w:themeFill="background1"/>
                  <w:noWrap/>
                  <w:tcMar>
                    <w:top w:w="0" w:type="dxa"/>
                    <w:left w:w="58" w:type="dxa"/>
                    <w:bottom w:w="0" w:type="dxa"/>
                    <w:right w:w="58" w:type="dxa"/>
                  </w:tcMar>
                </w:tcPr>
                <w:p w14:paraId="5323921B" w14:textId="77777777" w:rsidR="00AB51AE" w:rsidRPr="005D4222" w:rsidRDefault="00AB51AE" w:rsidP="00A53E8C">
                  <w:pPr>
                    <w:pStyle w:val="TableText"/>
                    <w:rPr>
                      <w:kern w:val="20"/>
                    </w:rPr>
                  </w:pPr>
                </w:p>
              </w:tc>
              <w:tc>
                <w:tcPr>
                  <w:tcW w:w="1708" w:type="dxa"/>
                  <w:shd w:val="clear" w:color="auto" w:fill="FFFFFF" w:themeFill="background1"/>
                  <w:tcMar>
                    <w:left w:w="58" w:type="dxa"/>
                    <w:right w:w="58" w:type="dxa"/>
                  </w:tcMar>
                </w:tcPr>
                <w:p w14:paraId="16A8F45F" w14:textId="77777777" w:rsidR="00AB51AE" w:rsidRPr="005D4222" w:rsidRDefault="00AB51AE" w:rsidP="00A53E8C">
                  <w:pPr>
                    <w:pStyle w:val="TableText"/>
                    <w:rPr>
                      <w:kern w:val="20"/>
                    </w:rPr>
                  </w:pPr>
                </w:p>
              </w:tc>
            </w:tr>
          </w:tbl>
          <w:p w14:paraId="07945353" w14:textId="3A0B910E" w:rsidR="00AB51AE" w:rsidRPr="005D4222" w:rsidRDefault="00AB51AE" w:rsidP="00A53E8C">
            <w:pPr>
              <w:keepNext/>
              <w:spacing w:before="240" w:after="60"/>
              <w:outlineLvl w:val="2"/>
              <w:rPr>
                <w:rFonts w:eastAsia="Arial" w:cs="Arial"/>
                <w:b/>
                <w:bCs/>
                <w:i/>
                <w:kern w:val="20"/>
                <w:sz w:val="18"/>
                <w:szCs w:val="26"/>
              </w:rPr>
            </w:pPr>
            <w:r w:rsidRPr="005D4222">
              <w:rPr>
                <w:rFonts w:eastAsia="Arial" w:cs="Arial"/>
                <w:b/>
                <w:bCs/>
                <w:i/>
                <w:kern w:val="20"/>
                <w:sz w:val="18"/>
                <w:szCs w:val="26"/>
              </w:rPr>
              <w:br w:type="page"/>
              <w:t xml:space="preserve">Table IMA-E-C-1/2: Data Elements for Immunizations for Adolescents: </w:t>
            </w:r>
            <w:r w:rsidR="00B51CDC" w:rsidRPr="005D4222">
              <w:rPr>
                <w:rFonts w:eastAsia="Arial" w:cs="Arial"/>
                <w:b/>
                <w:bCs/>
                <w:i/>
                <w:kern w:val="20"/>
                <w:sz w:val="18"/>
                <w:szCs w:val="26"/>
              </w:rPr>
              <w:t>Stratifications</w:t>
            </w:r>
            <w:r w:rsidRPr="005D4222">
              <w:rPr>
                <w:rFonts w:eastAsia="Arial" w:cs="Arial"/>
                <w:b/>
                <w:bCs/>
                <w:i/>
                <w:kern w:val="20"/>
                <w:sz w:val="18"/>
                <w:szCs w:val="26"/>
              </w:rPr>
              <w:t xml:space="preserve"> by Ethnicity</w:t>
            </w:r>
          </w:p>
          <w:tbl>
            <w:tblPr>
              <w:tblW w:w="5000" w:type="pct"/>
              <w:tblLook w:val="04A0" w:firstRow="1" w:lastRow="0" w:firstColumn="1" w:lastColumn="0" w:noHBand="0" w:noVBand="1"/>
            </w:tblPr>
            <w:tblGrid>
              <w:gridCol w:w="1374"/>
              <w:gridCol w:w="1952"/>
              <w:gridCol w:w="1486"/>
              <w:gridCol w:w="2561"/>
            </w:tblGrid>
            <w:tr w:rsidR="00AB51AE" w:rsidRPr="005D4222" w14:paraId="399B9E2E" w14:textId="77777777" w:rsidTr="00A53E8C">
              <w:trPr>
                <w:trHeight w:val="343"/>
              </w:trPr>
              <w:tc>
                <w:tcPr>
                  <w:tcW w:w="1374" w:type="dxa"/>
                  <w:tcBorders>
                    <w:top w:val="single" w:sz="8" w:space="0" w:color="auto"/>
                    <w:left w:val="single" w:sz="4" w:space="0" w:color="auto"/>
                    <w:bottom w:val="single" w:sz="4" w:space="0" w:color="auto"/>
                    <w:right w:val="single" w:sz="6" w:space="0" w:color="FFFFFF" w:themeColor="background1"/>
                  </w:tcBorders>
                  <w:shd w:val="clear" w:color="auto" w:fill="000000" w:themeFill="text1"/>
                  <w:vAlign w:val="center"/>
                </w:tcPr>
                <w:p w14:paraId="604D569D" w14:textId="77777777" w:rsidR="00AB51AE" w:rsidRPr="005D4222" w:rsidRDefault="00AB51AE" w:rsidP="00A53E8C">
                  <w:pPr>
                    <w:pStyle w:val="TableHead"/>
                    <w:rPr>
                      <w:kern w:val="20"/>
                    </w:rPr>
                  </w:pPr>
                  <w:r w:rsidRPr="005D4222">
                    <w:rPr>
                      <w:kern w:val="20"/>
                    </w:rPr>
                    <w:t>Metric</w:t>
                  </w:r>
                </w:p>
              </w:tc>
              <w:tc>
                <w:tcPr>
                  <w:tcW w:w="1952" w:type="dxa"/>
                  <w:tcBorders>
                    <w:top w:val="single" w:sz="8" w:space="0" w:color="auto"/>
                    <w:left w:val="single" w:sz="4" w:space="0" w:color="auto"/>
                    <w:bottom w:val="single" w:sz="4" w:space="0" w:color="auto"/>
                    <w:right w:val="single" w:sz="6" w:space="0" w:color="FFFFFF" w:themeColor="background1"/>
                  </w:tcBorders>
                  <w:shd w:val="clear" w:color="auto" w:fill="000000" w:themeFill="text1"/>
                  <w:vAlign w:val="center"/>
                </w:tcPr>
                <w:p w14:paraId="1200BF79" w14:textId="77777777" w:rsidR="00AB51AE" w:rsidRPr="005D4222" w:rsidRDefault="00AB51AE" w:rsidP="00A53E8C">
                  <w:pPr>
                    <w:pStyle w:val="TableHead"/>
                    <w:rPr>
                      <w:kern w:val="20"/>
                    </w:rPr>
                  </w:pPr>
                  <w:r w:rsidRPr="005D4222">
                    <w:rPr>
                      <w:kern w:val="20"/>
                    </w:rPr>
                    <w:t>Ethnicity</w:t>
                  </w:r>
                </w:p>
              </w:tc>
              <w:tc>
                <w:tcPr>
                  <w:tcW w:w="1486" w:type="dxa"/>
                  <w:tcBorders>
                    <w:top w:val="single" w:sz="8" w:space="0" w:color="auto"/>
                    <w:left w:val="single" w:sz="6" w:space="0" w:color="FFFFFF" w:themeColor="background1"/>
                    <w:bottom w:val="single" w:sz="4" w:space="0" w:color="auto"/>
                    <w:right w:val="single" w:sz="4" w:space="0" w:color="FFFFFF" w:themeColor="background1"/>
                  </w:tcBorders>
                  <w:shd w:val="clear" w:color="auto" w:fill="000000" w:themeFill="text1"/>
                  <w:noWrap/>
                  <w:tcMar>
                    <w:top w:w="0" w:type="dxa"/>
                    <w:left w:w="108" w:type="dxa"/>
                    <w:bottom w:w="0" w:type="dxa"/>
                    <w:right w:w="108" w:type="dxa"/>
                  </w:tcMar>
                  <w:vAlign w:val="center"/>
                  <w:hideMark/>
                </w:tcPr>
                <w:p w14:paraId="41BE30CA" w14:textId="77777777" w:rsidR="00AB51AE" w:rsidRPr="005D4222" w:rsidRDefault="00AB51AE" w:rsidP="00A53E8C">
                  <w:pPr>
                    <w:pStyle w:val="TableHead"/>
                    <w:rPr>
                      <w:kern w:val="20"/>
                    </w:rPr>
                  </w:pPr>
                  <w:r w:rsidRPr="005D4222">
                    <w:rPr>
                      <w:kern w:val="20"/>
                    </w:rPr>
                    <w:t>Data Element</w:t>
                  </w:r>
                </w:p>
              </w:tc>
              <w:tc>
                <w:tcPr>
                  <w:tcW w:w="2561" w:type="dxa"/>
                  <w:tcBorders>
                    <w:top w:val="single" w:sz="8" w:space="0" w:color="auto"/>
                    <w:left w:val="single" w:sz="4" w:space="0" w:color="FFFFFF" w:themeColor="background1"/>
                    <w:bottom w:val="single" w:sz="8" w:space="0" w:color="auto"/>
                    <w:right w:val="single" w:sz="8" w:space="0" w:color="auto"/>
                  </w:tcBorders>
                  <w:shd w:val="clear" w:color="auto" w:fill="000000" w:themeFill="text1"/>
                  <w:vAlign w:val="center"/>
                </w:tcPr>
                <w:p w14:paraId="38629930" w14:textId="77777777" w:rsidR="00AB51AE" w:rsidRPr="005D4222" w:rsidRDefault="00AB51AE" w:rsidP="00A53E8C">
                  <w:pPr>
                    <w:pStyle w:val="TableHead"/>
                    <w:rPr>
                      <w:kern w:val="20"/>
                    </w:rPr>
                  </w:pPr>
                  <w:r w:rsidRPr="005D4222">
                    <w:rPr>
                      <w:kern w:val="20"/>
                    </w:rPr>
                    <w:t>Reporting Instructions</w:t>
                  </w:r>
                </w:p>
              </w:tc>
            </w:tr>
            <w:tr w:rsidR="00AB51AE" w:rsidRPr="005D4222" w14:paraId="0836295C" w14:textId="77777777" w:rsidTr="00E5464F">
              <w:trPr>
                <w:trHeight w:val="343"/>
              </w:trPr>
              <w:tc>
                <w:tcPr>
                  <w:tcW w:w="1374" w:type="dxa"/>
                  <w:tcBorders>
                    <w:top w:val="single" w:sz="4" w:space="0" w:color="auto"/>
                    <w:left w:val="single" w:sz="4" w:space="0" w:color="auto"/>
                    <w:bottom w:val="single" w:sz="4" w:space="0" w:color="auto"/>
                    <w:right w:val="single" w:sz="4" w:space="0" w:color="auto"/>
                  </w:tcBorders>
                  <w:shd w:val="clear" w:color="auto" w:fill="FFFFFF" w:themeFill="background1"/>
                </w:tcPr>
                <w:p w14:paraId="22101917" w14:textId="77777777" w:rsidR="00AB51AE" w:rsidRPr="005D4222" w:rsidRDefault="00AB51AE" w:rsidP="00A53E8C">
                  <w:pPr>
                    <w:spacing w:before="60" w:after="60" w:line="216" w:lineRule="auto"/>
                    <w:rPr>
                      <w:rFonts w:ascii="Arial Narrow" w:hAnsi="Arial Narrow"/>
                      <w:kern w:val="20"/>
                    </w:rPr>
                  </w:pPr>
                  <w:r w:rsidRPr="005D4222">
                    <w:rPr>
                      <w:rFonts w:ascii="Arial Narrow" w:hAnsi="Arial Narrow"/>
                      <w:kern w:val="20"/>
                    </w:rPr>
                    <w:t>Meningococcal</w:t>
                  </w:r>
                </w:p>
              </w:tc>
              <w:tc>
                <w:tcPr>
                  <w:tcW w:w="1952" w:type="dxa"/>
                  <w:tcBorders>
                    <w:top w:val="single" w:sz="4" w:space="0" w:color="auto"/>
                    <w:left w:val="single" w:sz="4" w:space="0" w:color="auto"/>
                    <w:bottom w:val="single" w:sz="4" w:space="0" w:color="auto"/>
                    <w:right w:val="single" w:sz="4" w:space="0" w:color="auto"/>
                  </w:tcBorders>
                  <w:shd w:val="clear" w:color="auto" w:fill="FFFFFF" w:themeFill="background1"/>
                </w:tcPr>
                <w:p w14:paraId="5E9F3AAE" w14:textId="77777777" w:rsidR="00AB51AE" w:rsidRPr="005D4222" w:rsidRDefault="00AB51AE" w:rsidP="00A53E8C">
                  <w:pPr>
                    <w:spacing w:before="60" w:after="60" w:line="216" w:lineRule="auto"/>
                    <w:rPr>
                      <w:rFonts w:ascii="Arial Narrow" w:hAnsi="Arial Narrow"/>
                      <w:kern w:val="20"/>
                      <w:szCs w:val="19"/>
                    </w:rPr>
                  </w:pPr>
                  <w:r w:rsidRPr="005D4222">
                    <w:rPr>
                      <w:rFonts w:ascii="Arial Narrow" w:hAnsi="Arial Narrow"/>
                      <w:kern w:val="20"/>
                      <w:szCs w:val="19"/>
                    </w:rPr>
                    <w:t>HispanicOrLatino</w:t>
                  </w:r>
                </w:p>
              </w:tc>
              <w:tc>
                <w:tcPr>
                  <w:tcW w:w="1486"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hideMark/>
                </w:tcPr>
                <w:p w14:paraId="1D9B0F50" w14:textId="77777777" w:rsidR="00AB51AE" w:rsidRPr="005D4222" w:rsidRDefault="00AB51AE" w:rsidP="00A53E8C">
                  <w:pPr>
                    <w:spacing w:before="60" w:after="60" w:line="216" w:lineRule="auto"/>
                    <w:rPr>
                      <w:rFonts w:ascii="Arial Narrow" w:hAnsi="Arial Narrow"/>
                      <w:kern w:val="20"/>
                      <w:szCs w:val="19"/>
                    </w:rPr>
                  </w:pPr>
                  <w:r w:rsidRPr="005D4222">
                    <w:rPr>
                      <w:rFonts w:ascii="Arial Narrow" w:hAnsi="Arial Narrow"/>
                      <w:kern w:val="20"/>
                      <w:szCs w:val="19"/>
                    </w:rPr>
                    <w:t>InitialPopulation</w:t>
                  </w:r>
                </w:p>
              </w:tc>
              <w:tc>
                <w:tcPr>
                  <w:tcW w:w="2561" w:type="dxa"/>
                  <w:tcBorders>
                    <w:top w:val="nil"/>
                    <w:left w:val="single" w:sz="4" w:space="0" w:color="auto"/>
                    <w:bottom w:val="single" w:sz="4" w:space="0" w:color="auto"/>
                    <w:right w:val="single" w:sz="4" w:space="0" w:color="auto"/>
                  </w:tcBorders>
                  <w:shd w:val="clear" w:color="auto" w:fill="FFFFFF" w:themeFill="background1"/>
                </w:tcPr>
                <w:p w14:paraId="60A72B54" w14:textId="77777777" w:rsidR="00AB51AE" w:rsidRPr="005D4222" w:rsidRDefault="00AB51AE" w:rsidP="00A53E8C">
                  <w:pPr>
                    <w:spacing w:before="60" w:after="60" w:line="216" w:lineRule="auto"/>
                    <w:rPr>
                      <w:rFonts w:ascii="Arial Narrow" w:hAnsi="Arial Narrow"/>
                      <w:kern w:val="20"/>
                    </w:rPr>
                  </w:pPr>
                  <w:r w:rsidRPr="005D4222">
                    <w:rPr>
                      <w:rFonts w:ascii="Arial Narrow" w:hAnsi="Arial Narrow"/>
                      <w:kern w:val="20"/>
                    </w:rPr>
                    <w:t>For each Stratification, repeat per Metric</w:t>
                  </w:r>
                </w:p>
              </w:tc>
            </w:tr>
            <w:tr w:rsidR="00AB51AE" w:rsidRPr="005D4222" w14:paraId="5825B0C9" w14:textId="77777777" w:rsidTr="00E5464F">
              <w:trPr>
                <w:trHeight w:val="343"/>
              </w:trPr>
              <w:tc>
                <w:tcPr>
                  <w:tcW w:w="1374" w:type="dxa"/>
                  <w:tcBorders>
                    <w:top w:val="single" w:sz="4" w:space="0" w:color="auto"/>
                    <w:left w:val="single" w:sz="4" w:space="0" w:color="auto"/>
                    <w:bottom w:val="single" w:sz="4" w:space="0" w:color="auto"/>
                    <w:right w:val="single" w:sz="4" w:space="0" w:color="auto"/>
                  </w:tcBorders>
                  <w:shd w:val="clear" w:color="auto" w:fill="FFFFFF" w:themeFill="background1"/>
                </w:tcPr>
                <w:p w14:paraId="20DD5ADB" w14:textId="77777777" w:rsidR="00AB51AE" w:rsidRPr="005D4222" w:rsidRDefault="00AB51AE" w:rsidP="00A53E8C">
                  <w:pPr>
                    <w:spacing w:before="60" w:after="60" w:line="216" w:lineRule="auto"/>
                    <w:rPr>
                      <w:rFonts w:ascii="Arial Narrow" w:hAnsi="Arial Narrow"/>
                      <w:kern w:val="20"/>
                    </w:rPr>
                  </w:pPr>
                  <w:r w:rsidRPr="005D4222">
                    <w:rPr>
                      <w:rFonts w:ascii="Arial Narrow" w:hAnsi="Arial Narrow"/>
                      <w:kern w:val="20"/>
                    </w:rPr>
                    <w:t>Tdap</w:t>
                  </w:r>
                </w:p>
              </w:tc>
              <w:tc>
                <w:tcPr>
                  <w:tcW w:w="1952" w:type="dxa"/>
                  <w:tcBorders>
                    <w:top w:val="single" w:sz="4" w:space="0" w:color="auto"/>
                    <w:left w:val="single" w:sz="4" w:space="0" w:color="auto"/>
                    <w:bottom w:val="single" w:sz="4" w:space="0" w:color="auto"/>
                    <w:right w:val="single" w:sz="4" w:space="0" w:color="auto"/>
                  </w:tcBorders>
                  <w:shd w:val="clear" w:color="auto" w:fill="FFFFFF" w:themeFill="background1"/>
                </w:tcPr>
                <w:p w14:paraId="66F35262" w14:textId="77777777" w:rsidR="00AB51AE" w:rsidRPr="005D4222" w:rsidRDefault="00AB51AE" w:rsidP="00A53E8C">
                  <w:pPr>
                    <w:spacing w:before="60" w:after="60" w:line="216" w:lineRule="auto"/>
                    <w:rPr>
                      <w:rFonts w:ascii="Arial Narrow" w:hAnsi="Arial Narrow"/>
                      <w:kern w:val="20"/>
                      <w:szCs w:val="19"/>
                    </w:rPr>
                  </w:pPr>
                  <w:r w:rsidRPr="005D4222">
                    <w:rPr>
                      <w:rFonts w:ascii="Arial Narrow" w:hAnsi="Arial Narrow"/>
                      <w:kern w:val="20"/>
                      <w:szCs w:val="19"/>
                    </w:rPr>
                    <w:t>NotHispanicOrLatino</w:t>
                  </w:r>
                </w:p>
              </w:tc>
              <w:tc>
                <w:tcPr>
                  <w:tcW w:w="1486"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tcPr>
                <w:p w14:paraId="1FAC56BD" w14:textId="77777777" w:rsidR="00AB51AE" w:rsidRPr="005D4222" w:rsidRDefault="00AB51AE" w:rsidP="00A53E8C">
                  <w:pPr>
                    <w:spacing w:before="60" w:after="60" w:line="216" w:lineRule="auto"/>
                    <w:rPr>
                      <w:rFonts w:ascii="Arial Narrow" w:hAnsi="Arial Narrow"/>
                      <w:kern w:val="20"/>
                      <w:szCs w:val="19"/>
                    </w:rPr>
                  </w:pPr>
                  <w:r w:rsidRPr="005D4222">
                    <w:rPr>
                      <w:rFonts w:ascii="Arial Narrow" w:hAnsi="Arial Narrow"/>
                      <w:kern w:val="20"/>
                      <w:szCs w:val="19"/>
                    </w:rPr>
                    <w:t>Exclusions</w:t>
                  </w:r>
                </w:p>
              </w:tc>
              <w:tc>
                <w:tcPr>
                  <w:tcW w:w="2561" w:type="dxa"/>
                  <w:tcBorders>
                    <w:top w:val="single" w:sz="4" w:space="0" w:color="auto"/>
                    <w:left w:val="single" w:sz="4" w:space="0" w:color="auto"/>
                    <w:bottom w:val="single" w:sz="4" w:space="0" w:color="auto"/>
                    <w:right w:val="single" w:sz="4" w:space="0" w:color="auto"/>
                  </w:tcBorders>
                  <w:shd w:val="clear" w:color="auto" w:fill="FFFFFF" w:themeFill="background1"/>
                </w:tcPr>
                <w:p w14:paraId="31886209" w14:textId="77777777" w:rsidR="00AB51AE" w:rsidRPr="005D4222" w:rsidRDefault="00AB51AE" w:rsidP="00A53E8C">
                  <w:pPr>
                    <w:spacing w:before="60" w:after="60" w:line="216" w:lineRule="auto"/>
                    <w:rPr>
                      <w:rFonts w:ascii="Arial Narrow" w:hAnsi="Arial Narrow"/>
                      <w:kern w:val="20"/>
                    </w:rPr>
                  </w:pPr>
                  <w:r w:rsidRPr="005D4222">
                    <w:rPr>
                      <w:rFonts w:ascii="Arial Narrow" w:hAnsi="Arial Narrow"/>
                      <w:kern w:val="20"/>
                    </w:rPr>
                    <w:t>For each Stratification, repeat per Metric</w:t>
                  </w:r>
                </w:p>
              </w:tc>
            </w:tr>
            <w:tr w:rsidR="00AB51AE" w:rsidRPr="005D4222" w14:paraId="59049D4A" w14:textId="77777777" w:rsidTr="00E5464F">
              <w:trPr>
                <w:trHeight w:val="343"/>
              </w:trPr>
              <w:tc>
                <w:tcPr>
                  <w:tcW w:w="1374" w:type="dxa"/>
                  <w:tcBorders>
                    <w:top w:val="single" w:sz="4" w:space="0" w:color="auto"/>
                    <w:left w:val="single" w:sz="4" w:space="0" w:color="auto"/>
                    <w:bottom w:val="single" w:sz="4" w:space="0" w:color="auto"/>
                    <w:right w:val="single" w:sz="4" w:space="0" w:color="auto"/>
                  </w:tcBorders>
                  <w:shd w:val="clear" w:color="auto" w:fill="FFFFFF" w:themeFill="background1"/>
                </w:tcPr>
                <w:p w14:paraId="38FBEDBB" w14:textId="77777777" w:rsidR="00AB51AE" w:rsidRPr="005D4222" w:rsidRDefault="00AB51AE" w:rsidP="00A53E8C">
                  <w:pPr>
                    <w:spacing w:before="60" w:after="60" w:line="216" w:lineRule="auto"/>
                    <w:rPr>
                      <w:rFonts w:ascii="Arial Narrow" w:hAnsi="Arial Narrow"/>
                      <w:kern w:val="20"/>
                    </w:rPr>
                  </w:pPr>
                  <w:r w:rsidRPr="005D4222">
                    <w:rPr>
                      <w:rFonts w:ascii="Arial Narrow" w:hAnsi="Arial Narrow"/>
                      <w:kern w:val="20"/>
                    </w:rPr>
                    <w:t>HPV</w:t>
                  </w:r>
                </w:p>
              </w:tc>
              <w:tc>
                <w:tcPr>
                  <w:tcW w:w="1952" w:type="dxa"/>
                  <w:tcBorders>
                    <w:top w:val="single" w:sz="4" w:space="0" w:color="auto"/>
                    <w:left w:val="single" w:sz="4" w:space="0" w:color="auto"/>
                    <w:bottom w:val="single" w:sz="4" w:space="0" w:color="auto"/>
                    <w:right w:val="single" w:sz="4" w:space="0" w:color="auto"/>
                  </w:tcBorders>
                  <w:shd w:val="clear" w:color="auto" w:fill="FFFFFF" w:themeFill="background1"/>
                </w:tcPr>
                <w:p w14:paraId="33DBE930" w14:textId="77777777" w:rsidR="00AB51AE" w:rsidRPr="005D4222" w:rsidRDefault="00AB51AE" w:rsidP="00A53E8C">
                  <w:pPr>
                    <w:spacing w:before="60" w:after="60" w:line="216" w:lineRule="auto"/>
                    <w:rPr>
                      <w:rFonts w:ascii="Arial Narrow" w:hAnsi="Arial Narrow"/>
                      <w:kern w:val="20"/>
                      <w:szCs w:val="19"/>
                    </w:rPr>
                  </w:pPr>
                  <w:r w:rsidRPr="005D4222">
                    <w:rPr>
                      <w:rFonts w:ascii="Arial Narrow" w:hAnsi="Arial Narrow"/>
                      <w:kern w:val="20"/>
                      <w:szCs w:val="19"/>
                    </w:rPr>
                    <w:t>AskedButNoAnswer</w:t>
                  </w:r>
                </w:p>
              </w:tc>
              <w:tc>
                <w:tcPr>
                  <w:tcW w:w="1486"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tcPr>
                <w:p w14:paraId="168DB081" w14:textId="77777777" w:rsidR="00AB51AE" w:rsidRPr="005D4222" w:rsidRDefault="00AB51AE" w:rsidP="00A53E8C">
                  <w:pPr>
                    <w:spacing w:before="60" w:after="60" w:line="216" w:lineRule="auto"/>
                    <w:rPr>
                      <w:rFonts w:ascii="Arial Narrow" w:hAnsi="Arial Narrow"/>
                      <w:kern w:val="20"/>
                      <w:szCs w:val="19"/>
                    </w:rPr>
                  </w:pPr>
                  <w:r w:rsidRPr="005D4222">
                    <w:rPr>
                      <w:rFonts w:ascii="Arial Narrow" w:hAnsi="Arial Narrow"/>
                      <w:kern w:val="20"/>
                      <w:szCs w:val="19"/>
                    </w:rPr>
                    <w:t>Denominator</w:t>
                  </w:r>
                </w:p>
              </w:tc>
              <w:tc>
                <w:tcPr>
                  <w:tcW w:w="2561" w:type="dxa"/>
                  <w:tcBorders>
                    <w:top w:val="single" w:sz="4" w:space="0" w:color="auto"/>
                    <w:left w:val="single" w:sz="4" w:space="0" w:color="auto"/>
                    <w:bottom w:val="single" w:sz="4" w:space="0" w:color="auto"/>
                    <w:right w:val="single" w:sz="4" w:space="0" w:color="auto"/>
                  </w:tcBorders>
                  <w:shd w:val="clear" w:color="auto" w:fill="FFFFFF" w:themeFill="background1"/>
                </w:tcPr>
                <w:p w14:paraId="54B90513" w14:textId="77777777" w:rsidR="00AB51AE" w:rsidRPr="005D4222" w:rsidRDefault="00AB51AE" w:rsidP="00A53E8C">
                  <w:pPr>
                    <w:spacing w:before="60" w:after="60" w:line="216" w:lineRule="auto"/>
                    <w:rPr>
                      <w:rFonts w:ascii="Arial Narrow" w:hAnsi="Arial Narrow"/>
                      <w:kern w:val="20"/>
                    </w:rPr>
                  </w:pPr>
                  <w:r w:rsidRPr="005D4222">
                    <w:rPr>
                      <w:rFonts w:ascii="Arial Narrow" w:hAnsi="Arial Narrow"/>
                      <w:kern w:val="20"/>
                    </w:rPr>
                    <w:t>For each Stratification, repeat per Metric</w:t>
                  </w:r>
                </w:p>
              </w:tc>
            </w:tr>
            <w:tr w:rsidR="00AB51AE" w:rsidRPr="005D4222" w14:paraId="50A772F2" w14:textId="77777777" w:rsidTr="00E5464F">
              <w:trPr>
                <w:trHeight w:val="343"/>
              </w:trPr>
              <w:tc>
                <w:tcPr>
                  <w:tcW w:w="1374" w:type="dxa"/>
                  <w:tcBorders>
                    <w:top w:val="single" w:sz="4" w:space="0" w:color="auto"/>
                    <w:left w:val="single" w:sz="4" w:space="0" w:color="auto"/>
                    <w:bottom w:val="single" w:sz="4" w:space="0" w:color="auto"/>
                    <w:right w:val="single" w:sz="4" w:space="0" w:color="auto"/>
                  </w:tcBorders>
                  <w:shd w:val="clear" w:color="auto" w:fill="FFFFFF" w:themeFill="background1"/>
                </w:tcPr>
                <w:p w14:paraId="21131599" w14:textId="77777777" w:rsidR="00AB51AE" w:rsidRPr="005D4222" w:rsidRDefault="00AB51AE" w:rsidP="00A53E8C">
                  <w:pPr>
                    <w:spacing w:before="60" w:after="60" w:line="216" w:lineRule="auto"/>
                    <w:rPr>
                      <w:rFonts w:ascii="Arial Narrow" w:hAnsi="Arial Narrow"/>
                      <w:kern w:val="20"/>
                    </w:rPr>
                  </w:pPr>
                  <w:r w:rsidRPr="005D4222">
                    <w:rPr>
                      <w:rFonts w:ascii="Arial Narrow" w:hAnsi="Arial Narrow"/>
                      <w:kern w:val="20"/>
                    </w:rPr>
                    <w:t>Combo1</w:t>
                  </w:r>
                </w:p>
              </w:tc>
              <w:tc>
                <w:tcPr>
                  <w:tcW w:w="1952" w:type="dxa"/>
                  <w:tcBorders>
                    <w:top w:val="single" w:sz="4" w:space="0" w:color="auto"/>
                    <w:left w:val="single" w:sz="4" w:space="0" w:color="auto"/>
                    <w:bottom w:val="single" w:sz="4" w:space="0" w:color="auto"/>
                    <w:right w:val="single" w:sz="4" w:space="0" w:color="auto"/>
                  </w:tcBorders>
                  <w:shd w:val="clear" w:color="auto" w:fill="FFFFFF" w:themeFill="background1"/>
                </w:tcPr>
                <w:p w14:paraId="74304FC4" w14:textId="77777777" w:rsidR="00AB51AE" w:rsidRPr="005D4222" w:rsidRDefault="00AB51AE" w:rsidP="00A53E8C">
                  <w:pPr>
                    <w:spacing w:before="60" w:after="60" w:line="216" w:lineRule="auto"/>
                    <w:rPr>
                      <w:rFonts w:ascii="Arial Narrow" w:hAnsi="Arial Narrow"/>
                      <w:kern w:val="20"/>
                      <w:szCs w:val="19"/>
                    </w:rPr>
                  </w:pPr>
                  <w:r w:rsidRPr="005D4222">
                    <w:rPr>
                      <w:rFonts w:ascii="Arial Narrow" w:hAnsi="Arial Narrow"/>
                      <w:kern w:val="20"/>
                      <w:szCs w:val="19"/>
                    </w:rPr>
                    <w:t>Unknown</w:t>
                  </w:r>
                </w:p>
              </w:tc>
              <w:tc>
                <w:tcPr>
                  <w:tcW w:w="1486"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tcPr>
                <w:p w14:paraId="7C711373" w14:textId="77777777" w:rsidR="00AB51AE" w:rsidRPr="005D4222" w:rsidRDefault="00AB51AE" w:rsidP="00A53E8C">
                  <w:pPr>
                    <w:spacing w:before="60" w:after="60" w:line="216" w:lineRule="auto"/>
                    <w:rPr>
                      <w:rFonts w:ascii="Arial Narrow" w:hAnsi="Arial Narrow"/>
                      <w:kern w:val="20"/>
                      <w:szCs w:val="19"/>
                    </w:rPr>
                  </w:pPr>
                  <w:r w:rsidRPr="005D4222">
                    <w:rPr>
                      <w:rFonts w:ascii="Arial Narrow" w:hAnsi="Arial Narrow"/>
                      <w:kern w:val="20"/>
                      <w:szCs w:val="19"/>
                    </w:rPr>
                    <w:t>Numerator</w:t>
                  </w:r>
                </w:p>
              </w:tc>
              <w:tc>
                <w:tcPr>
                  <w:tcW w:w="2561" w:type="dxa"/>
                  <w:tcBorders>
                    <w:top w:val="single" w:sz="4" w:space="0" w:color="auto"/>
                    <w:left w:val="single" w:sz="4" w:space="0" w:color="auto"/>
                    <w:bottom w:val="single" w:sz="4" w:space="0" w:color="auto"/>
                    <w:right w:val="single" w:sz="4" w:space="0" w:color="auto"/>
                  </w:tcBorders>
                  <w:shd w:val="clear" w:color="auto" w:fill="FFFFFF" w:themeFill="background1"/>
                </w:tcPr>
                <w:p w14:paraId="19042FB8" w14:textId="77777777" w:rsidR="00AB51AE" w:rsidRPr="005D4222" w:rsidRDefault="00AB51AE" w:rsidP="00A53E8C">
                  <w:pPr>
                    <w:spacing w:before="60" w:after="60" w:line="216" w:lineRule="auto"/>
                    <w:rPr>
                      <w:rFonts w:ascii="Arial Narrow" w:hAnsi="Arial Narrow"/>
                      <w:kern w:val="20"/>
                    </w:rPr>
                  </w:pPr>
                  <w:r w:rsidRPr="005D4222">
                    <w:rPr>
                      <w:rFonts w:ascii="Arial Narrow" w:hAnsi="Arial Narrow"/>
                      <w:kern w:val="20"/>
                    </w:rPr>
                    <w:t>For each Metric and Stratification</w:t>
                  </w:r>
                </w:p>
              </w:tc>
            </w:tr>
            <w:tr w:rsidR="00AB51AE" w:rsidRPr="005D4222" w14:paraId="2E3B3FEC" w14:textId="77777777" w:rsidTr="00E5464F">
              <w:trPr>
                <w:trHeight w:val="343"/>
              </w:trPr>
              <w:tc>
                <w:tcPr>
                  <w:tcW w:w="1374" w:type="dxa"/>
                  <w:tcBorders>
                    <w:top w:val="single" w:sz="4" w:space="0" w:color="auto"/>
                    <w:left w:val="single" w:sz="4" w:space="0" w:color="auto"/>
                    <w:bottom w:val="single" w:sz="4" w:space="0" w:color="auto"/>
                    <w:right w:val="single" w:sz="4" w:space="0" w:color="auto"/>
                  </w:tcBorders>
                  <w:shd w:val="clear" w:color="auto" w:fill="FFFFFF" w:themeFill="background1"/>
                </w:tcPr>
                <w:p w14:paraId="42F1843B" w14:textId="77777777" w:rsidR="00AB51AE" w:rsidRPr="005D4222" w:rsidRDefault="00AB51AE" w:rsidP="00A53E8C">
                  <w:pPr>
                    <w:spacing w:before="60" w:after="60" w:line="216" w:lineRule="auto"/>
                    <w:rPr>
                      <w:rFonts w:ascii="Arial Narrow" w:hAnsi="Arial Narrow"/>
                      <w:kern w:val="20"/>
                    </w:rPr>
                  </w:pPr>
                  <w:r w:rsidRPr="005D4222">
                    <w:rPr>
                      <w:rFonts w:ascii="Arial Narrow" w:hAnsi="Arial Narrow"/>
                      <w:kern w:val="20"/>
                    </w:rPr>
                    <w:t>Combo2</w:t>
                  </w:r>
                </w:p>
              </w:tc>
              <w:tc>
                <w:tcPr>
                  <w:tcW w:w="1952" w:type="dxa"/>
                  <w:tcBorders>
                    <w:top w:val="single" w:sz="4" w:space="0" w:color="auto"/>
                    <w:left w:val="single" w:sz="4" w:space="0" w:color="auto"/>
                  </w:tcBorders>
                  <w:shd w:val="clear" w:color="auto" w:fill="FFFFFF" w:themeFill="background1"/>
                </w:tcPr>
                <w:p w14:paraId="466AAEDD" w14:textId="77777777" w:rsidR="00AB51AE" w:rsidRPr="005D4222" w:rsidRDefault="00AB51AE" w:rsidP="00A53E8C">
                  <w:pPr>
                    <w:spacing w:before="60" w:after="60" w:line="216" w:lineRule="auto"/>
                    <w:rPr>
                      <w:rFonts w:ascii="Arial Narrow" w:hAnsi="Arial Narrow"/>
                      <w:kern w:val="20"/>
                      <w:szCs w:val="19"/>
                    </w:rPr>
                  </w:pPr>
                </w:p>
              </w:tc>
              <w:tc>
                <w:tcPr>
                  <w:tcW w:w="148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0" w:type="dxa"/>
                    <w:left w:w="108" w:type="dxa"/>
                    <w:bottom w:w="0" w:type="dxa"/>
                    <w:right w:w="108" w:type="dxa"/>
                  </w:tcMar>
                </w:tcPr>
                <w:p w14:paraId="05C32F8D" w14:textId="77777777" w:rsidR="00AB51AE" w:rsidRPr="005D4222" w:rsidRDefault="00AB51AE" w:rsidP="00A53E8C">
                  <w:pPr>
                    <w:spacing w:before="60" w:after="60" w:line="216" w:lineRule="auto"/>
                    <w:rPr>
                      <w:rFonts w:ascii="Arial Narrow" w:hAnsi="Arial Narrow"/>
                      <w:kern w:val="20"/>
                      <w:szCs w:val="19"/>
                    </w:rPr>
                  </w:pPr>
                  <w:r w:rsidRPr="005D4222">
                    <w:rPr>
                      <w:rFonts w:ascii="Arial Narrow" w:hAnsi="Arial Narrow"/>
                      <w:kern w:val="20"/>
                      <w:szCs w:val="19"/>
                    </w:rPr>
                    <w:t>Rate</w:t>
                  </w:r>
                </w:p>
              </w:tc>
              <w:tc>
                <w:tcPr>
                  <w:tcW w:w="256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03F0D7" w14:textId="77777777" w:rsidR="00AB51AE" w:rsidRPr="005D4222" w:rsidRDefault="00AB51AE" w:rsidP="00A53E8C">
                  <w:pPr>
                    <w:spacing w:before="60" w:after="60" w:line="216" w:lineRule="auto"/>
                    <w:rPr>
                      <w:rFonts w:ascii="Arial Narrow" w:hAnsi="Arial Narrow"/>
                      <w:kern w:val="20"/>
                      <w:szCs w:val="19"/>
                    </w:rPr>
                  </w:pPr>
                  <w:r w:rsidRPr="005D4222">
                    <w:rPr>
                      <w:rFonts w:ascii="Arial Narrow" w:hAnsi="Arial Narrow"/>
                      <w:kern w:val="20"/>
                      <w:szCs w:val="19"/>
                    </w:rPr>
                    <w:t>(Percent)</w:t>
                  </w:r>
                </w:p>
              </w:tc>
            </w:tr>
          </w:tbl>
          <w:p w14:paraId="32101614" w14:textId="77777777" w:rsidR="00AB51AE" w:rsidRPr="005D4222" w:rsidRDefault="00AB51AE" w:rsidP="00A53E8C">
            <w:pPr>
              <w:pStyle w:val="ECDSBody"/>
            </w:pPr>
          </w:p>
        </w:tc>
      </w:tr>
      <w:tr w:rsidR="00AB51AE" w:rsidRPr="005D4222" w14:paraId="46D9CEF4"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2441FDA" w14:textId="77777777" w:rsidR="00AB51AE" w:rsidRPr="005D4222" w:rsidRDefault="00AB51AE" w:rsidP="00A53E8C">
            <w:pPr>
              <w:pStyle w:val="ECDSMarginHead"/>
            </w:pPr>
            <w:r w:rsidRPr="005D4222">
              <w:t>Rules for Allowable Adjustments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A86CC4E" w14:textId="77777777" w:rsidR="00AB51AE" w:rsidRPr="005D4222" w:rsidRDefault="00AB51AE" w:rsidP="00A53E8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73ACCA4D" w14:textId="42A36020" w:rsidR="00547BD3" w:rsidRPr="005D4222" w:rsidRDefault="00AB51AE" w:rsidP="006A2E0E">
            <w:pPr>
              <w:pStyle w:val="ECDSBody"/>
              <w:spacing w:before="180"/>
              <w:rPr>
                <w:i/>
              </w:rPr>
            </w:pPr>
            <w:r w:rsidRPr="005D4222">
              <w:rPr>
                <w:b/>
              </w:rPr>
              <w:t>Adjusted HEDIS measures may not be used for HEDIS health plan reporting.</w:t>
            </w:r>
          </w:p>
        </w:tc>
      </w:tr>
    </w:tbl>
    <w:p w14:paraId="7E35D0D8" w14:textId="77777777" w:rsidR="006A2E0E" w:rsidRPr="005D4222" w:rsidRDefault="006A2E0E">
      <w:r w:rsidRPr="005D4222">
        <w:br w:type="page"/>
      </w:r>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60"/>
      </w:tblGrid>
      <w:tr w:rsidR="00547BD3" w:rsidRPr="005D4222" w14:paraId="10A86962"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B20AAB9" w14:textId="77777777" w:rsidR="00547BD3" w:rsidRPr="005D4222" w:rsidRDefault="00547BD3" w:rsidP="00A53E8C">
            <w:pPr>
              <w:pStyle w:val="ECDSMarginHead"/>
            </w:pP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BEF688E" w14:textId="77777777" w:rsidR="00547BD3" w:rsidRPr="005D4222" w:rsidRDefault="00547BD3" w:rsidP="00807678">
            <w:pPr>
              <w:pStyle w:val="Adjustments"/>
              <w:spacing w:before="120"/>
              <w:rPr>
                <w:b w:val="0"/>
              </w:rPr>
            </w:pPr>
            <w:r w:rsidRPr="005D4222">
              <w:t>Adjustments allowed</w:t>
            </w:r>
          </w:p>
          <w:p w14:paraId="2A8B0A78" w14:textId="6032B46C" w:rsidR="00547BD3" w:rsidRPr="005D4222" w:rsidRDefault="00547BD3" w:rsidP="00547BD3">
            <w:pPr>
              <w:pStyle w:val="ProcessBullet"/>
              <w:tabs>
                <w:tab w:val="left" w:pos="216"/>
              </w:tabs>
              <w:spacing w:after="80"/>
              <w:rPr>
                <w:b/>
              </w:rPr>
            </w:pPr>
            <w:r w:rsidRPr="005D4222">
              <w:rPr>
                <w:i/>
              </w:rPr>
              <w:t>Product lines</w:t>
            </w:r>
            <w:r w:rsidRPr="005D4222">
              <w:t xml:space="preserve">. </w:t>
            </w:r>
            <w:r w:rsidRPr="005D4222">
              <w:rPr>
                <w:rFonts w:eastAsia="Arial"/>
              </w:rPr>
              <w:t>Organizations are not required to use product line criteria; product lines may be combined</w:t>
            </w:r>
            <w:r w:rsidR="00E8671F" w:rsidRPr="005D4222">
              <w:rPr>
                <w:rFonts w:eastAsia="Arial"/>
              </w:rPr>
              <w:t>,</w:t>
            </w:r>
            <w:r w:rsidRPr="005D4222">
              <w:rPr>
                <w:rFonts w:eastAsia="Arial"/>
              </w:rPr>
              <w:t xml:space="preserve"> and all (or no) product line criteria may be used.</w:t>
            </w:r>
          </w:p>
          <w:p w14:paraId="331D733D" w14:textId="77777777" w:rsidR="00547BD3" w:rsidRPr="005D4222" w:rsidRDefault="00547BD3" w:rsidP="00547BD3">
            <w:pPr>
              <w:pStyle w:val="ProcessBullet"/>
              <w:tabs>
                <w:tab w:val="left" w:pos="216"/>
              </w:tabs>
              <w:rPr>
                <w:b/>
                <w:bCs/>
                <w:color w:val="000000" w:themeColor="text1"/>
              </w:rPr>
            </w:pPr>
            <w:r w:rsidRPr="005D4222">
              <w:rPr>
                <w:i/>
                <w:iCs/>
              </w:rPr>
              <w:t>Attribution.</w:t>
            </w:r>
            <w:r w:rsidRPr="005D4222">
              <w:t xml:space="preserve"> Organizations are not required to use enrollment criteria. </w:t>
            </w:r>
          </w:p>
          <w:p w14:paraId="0BDAB63E" w14:textId="770C038F" w:rsidR="00547BD3" w:rsidRPr="005D4222" w:rsidRDefault="00362E76" w:rsidP="00547BD3">
            <w:pPr>
              <w:pStyle w:val="ProcessBullet"/>
              <w:tabs>
                <w:tab w:val="left" w:pos="216"/>
              </w:tabs>
              <w:rPr>
                <w:b/>
                <w:bCs/>
                <w:color w:val="000000" w:themeColor="text1"/>
              </w:rPr>
            </w:pPr>
            <w:r w:rsidRPr="005D4222">
              <w:rPr>
                <w:i/>
                <w:iCs/>
              </w:rPr>
              <w:t>Benefits.</w:t>
            </w:r>
            <w:r w:rsidR="00547BD3" w:rsidRPr="005D4222">
              <w:t xml:space="preserve"> Organizations are not required to use a benefit.</w:t>
            </w:r>
          </w:p>
          <w:p w14:paraId="608E1C26" w14:textId="77777777" w:rsidR="00547BD3" w:rsidRPr="005D4222" w:rsidRDefault="00547BD3" w:rsidP="00547BD3">
            <w:pPr>
              <w:pStyle w:val="ProcessBullet"/>
              <w:tabs>
                <w:tab w:val="left" w:pos="216"/>
              </w:tabs>
              <w:rPr>
                <w:b/>
                <w:bCs/>
                <w:color w:val="000000" w:themeColor="text1"/>
              </w:rPr>
            </w:pPr>
            <w:r w:rsidRPr="005D4222">
              <w:rPr>
                <w:i/>
                <w:iCs/>
              </w:rPr>
              <w:t>Other.</w:t>
            </w:r>
            <w:r w:rsidRPr="005D4222">
              <w:t xml:space="preserve"> Organizations may use additional initial population criteria to focus on an area of interest defined by gender, race, ethnicity, socioeconomic or sociodemographic characteristics, geographic region or another characteristic.</w:t>
            </w:r>
          </w:p>
          <w:p w14:paraId="46DABD6A" w14:textId="77777777" w:rsidR="00547BD3" w:rsidRPr="005D4222" w:rsidRDefault="00547BD3" w:rsidP="00547BD3">
            <w:pPr>
              <w:pStyle w:val="ProcessBullet"/>
              <w:tabs>
                <w:tab w:val="left" w:pos="216"/>
              </w:tabs>
              <w:rPr>
                <w:b/>
                <w:bCs/>
                <w:color w:val="000000" w:themeColor="text1"/>
              </w:rPr>
            </w:pPr>
            <w:r w:rsidRPr="005D4222">
              <w:rPr>
                <w:i/>
                <w:iCs/>
              </w:rPr>
              <w:t>Measurement period adjustments.</w:t>
            </w:r>
            <w:r w:rsidRPr="005D4222">
              <w:t xml:space="preserve"> Organizations may adjust the measurement period. </w:t>
            </w:r>
          </w:p>
          <w:p w14:paraId="50A15CA8" w14:textId="77777777" w:rsidR="00547BD3" w:rsidRPr="005D4222" w:rsidRDefault="00547BD3" w:rsidP="00547BD3">
            <w:pPr>
              <w:pStyle w:val="ProcessBullet"/>
              <w:tabs>
                <w:tab w:val="left" w:pos="216"/>
              </w:tabs>
            </w:pPr>
            <w:r w:rsidRPr="005D4222">
              <w:rPr>
                <w:i/>
                <w:iCs/>
              </w:rPr>
              <w:t xml:space="preserve">Stratifications: </w:t>
            </w:r>
            <w:r w:rsidRPr="005D4222">
              <w:t>Race and ethnicity stratification. The race and ethnicity stratification is</w:t>
            </w:r>
            <w:r w:rsidRPr="005D4222" w:rsidDel="00431862">
              <w:t xml:space="preserve"> </w:t>
            </w:r>
            <w:r w:rsidRPr="005D4222">
              <w:t>not required. Organizations may adjust this stratification as needed.</w:t>
            </w:r>
          </w:p>
          <w:p w14:paraId="596C6801" w14:textId="77777777" w:rsidR="00547BD3" w:rsidRPr="005D4222" w:rsidRDefault="00547BD3" w:rsidP="00547BD3">
            <w:pPr>
              <w:pStyle w:val="ProcessBullet"/>
              <w:tabs>
                <w:tab w:val="left" w:pos="216"/>
              </w:tabs>
              <w:rPr>
                <w:b/>
                <w:bCs/>
                <w:color w:val="000000" w:themeColor="text1"/>
              </w:rPr>
            </w:pPr>
            <w:r w:rsidRPr="005D4222">
              <w:rPr>
                <w:i/>
                <w:iCs/>
              </w:rPr>
              <w:t>Exclusions.</w:t>
            </w:r>
            <w:r w:rsidRPr="005D4222">
              <w:t xml:space="preserve"> Hospice and deceased persons exclusions are not required. </w:t>
            </w:r>
          </w:p>
          <w:p w14:paraId="2EDED970" w14:textId="6D29C667" w:rsidR="00547BD3" w:rsidRPr="005D4222" w:rsidRDefault="00547BD3" w:rsidP="00547BD3">
            <w:pPr>
              <w:pStyle w:val="ProcessBullet"/>
              <w:tabs>
                <w:tab w:val="left" w:pos="216"/>
              </w:tabs>
            </w:pPr>
            <w:r w:rsidRPr="005D4222">
              <w:rPr>
                <w:i/>
              </w:rPr>
              <w:t>Telehealth</w:t>
            </w:r>
            <w:r w:rsidRPr="005D4222">
              <w:rPr>
                <w:i/>
                <w:iCs/>
              </w:rPr>
              <w:t>.</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w:t>
            </w:r>
            <w:r w:rsidR="00F45777" w:rsidRPr="005D4222">
              <w:t>events</w:t>
            </w:r>
            <w:r w:rsidRPr="005D4222">
              <w:t>, numerators and exclusions that do not allow the use of telehealth.</w:t>
            </w:r>
          </w:p>
          <w:p w14:paraId="364866D2" w14:textId="77777777" w:rsidR="00547BD3" w:rsidRPr="005D4222" w:rsidRDefault="00547BD3" w:rsidP="00547BD3">
            <w:pPr>
              <w:pStyle w:val="Adjustments"/>
              <w:rPr>
                <w:b w:val="0"/>
              </w:rPr>
            </w:pPr>
            <w:r w:rsidRPr="005D4222">
              <w:t>Adjustments allowed with limits</w:t>
            </w:r>
          </w:p>
          <w:p w14:paraId="129D448F" w14:textId="77777777" w:rsidR="00547BD3" w:rsidRPr="005D4222" w:rsidRDefault="00547BD3" w:rsidP="00547BD3">
            <w:pPr>
              <w:pStyle w:val="ProcessBullet"/>
              <w:tabs>
                <w:tab w:val="left" w:pos="216"/>
              </w:tabs>
            </w:pPr>
            <w:r w:rsidRPr="005D4222">
              <w:rPr>
                <w:i/>
              </w:rPr>
              <w:t>Ages</w:t>
            </w:r>
            <w:r w:rsidRPr="005D4222">
              <w:t xml:space="preserve">. Age determination dates may be changed (e.g., select, “age 13 as of June 30”). Organizations may expand the age ranges for each immunization to align with the </w:t>
            </w:r>
            <w:hyperlink r:id="rId215" w:history="1">
              <w:r w:rsidRPr="005D4222">
                <w:rPr>
                  <w:rStyle w:val="Hyperlink"/>
                  <w:rFonts w:eastAsia="Arial"/>
                  <w:kern w:val="20"/>
                </w:rPr>
                <w:t>CDC’s Catch-Up Immunization Schedule</w:t>
              </w:r>
            </w:hyperlink>
            <w:r w:rsidRPr="005D4222">
              <w:t xml:space="preserve">. </w:t>
            </w:r>
          </w:p>
          <w:p w14:paraId="365BD341" w14:textId="77777777" w:rsidR="00547BD3" w:rsidRPr="005D4222" w:rsidRDefault="00547BD3" w:rsidP="00547BD3">
            <w:pPr>
              <w:pStyle w:val="ProcessBullet"/>
              <w:tabs>
                <w:tab w:val="left" w:pos="216"/>
              </w:tabs>
            </w:pPr>
            <w:r w:rsidRPr="005D4222">
              <w:rPr>
                <w:i/>
              </w:rPr>
              <w:t>Combination rates</w:t>
            </w:r>
            <w:r w:rsidRPr="005D4222">
              <w:t>. Organizations are not required to calculate combination rates; alternate combinations of specified immunizations are allowed.</w:t>
            </w:r>
          </w:p>
          <w:p w14:paraId="7BC42C04" w14:textId="77777777" w:rsidR="00547BD3" w:rsidRPr="005D4222" w:rsidRDefault="00547BD3" w:rsidP="00547BD3">
            <w:pPr>
              <w:pStyle w:val="Adjustments"/>
              <w:rPr>
                <w:b w:val="0"/>
              </w:rPr>
            </w:pPr>
            <w:r w:rsidRPr="005D4222">
              <w:t>Adjustments not allowed</w:t>
            </w:r>
          </w:p>
          <w:p w14:paraId="5F4261A2" w14:textId="099AC7DC" w:rsidR="00547BD3" w:rsidRPr="005D4222" w:rsidRDefault="00547BD3" w:rsidP="006A2E0E">
            <w:pPr>
              <w:pStyle w:val="ProcessBullet"/>
              <w:tabs>
                <w:tab w:val="left" w:pos="216"/>
              </w:tabs>
              <w:spacing w:after="80"/>
              <w:rPr>
                <w:b/>
                <w:i/>
              </w:rPr>
            </w:pPr>
            <w:r w:rsidRPr="005D4222">
              <w:rPr>
                <w:i/>
              </w:rPr>
              <w:t>Numerator</w:t>
            </w:r>
            <w:r w:rsidRPr="005D4222">
              <w:rPr>
                <w:i/>
                <w:iCs/>
              </w:rPr>
              <w:t>.</w:t>
            </w:r>
            <w:r w:rsidRPr="005D4222">
              <w:t xml:space="preserve"> Value sets and logic may not be changed. Vaccine dose requirements may not be changed. </w:t>
            </w:r>
          </w:p>
        </w:tc>
      </w:tr>
    </w:tbl>
    <w:p w14:paraId="36784A03" w14:textId="77777777" w:rsidR="006A2E0E" w:rsidRPr="005D4222" w:rsidRDefault="006A2E0E" w:rsidP="0076480E">
      <w:pPr>
        <w:pStyle w:val="ECDSBody"/>
        <w:sectPr w:rsidR="006A2E0E" w:rsidRPr="005D4222" w:rsidSect="0074514A">
          <w:headerReference w:type="default" r:id="rId216"/>
          <w:type w:val="nextColumn"/>
          <w:pgSz w:w="12240" w:h="15840" w:code="1"/>
          <w:pgMar w:top="1080" w:right="1080" w:bottom="1080" w:left="1440" w:header="720" w:footer="720" w:gutter="0"/>
          <w:cols w:space="720"/>
          <w:docGrid w:linePitch="360"/>
        </w:sectPr>
      </w:pPr>
    </w:p>
    <w:p w14:paraId="21213583" w14:textId="276A4F7A" w:rsidR="0076480E" w:rsidRPr="005D4222" w:rsidRDefault="00542E75" w:rsidP="00542E75">
      <w:pPr>
        <w:pStyle w:val="MeasureTitle"/>
      </w:pPr>
      <w:bookmarkStart w:id="411" w:name="_Toc201813466"/>
      <w:r w:rsidRPr="005D4222">
        <w:lastRenderedPageBreak/>
        <w:t>Lead Screening in Children</w:t>
      </w:r>
      <w:r w:rsidR="006B0FDD" w:rsidRPr="005D4222">
        <w:t xml:space="preserve"> (LSC-E)</w:t>
      </w:r>
      <w:bookmarkEnd w:id="411"/>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1977"/>
        <w:gridCol w:w="4968"/>
        <w:gridCol w:w="1514"/>
        <w:gridCol w:w="1258"/>
      </w:tblGrid>
      <w:tr w:rsidR="00E94944" w:rsidRPr="005D4222" w14:paraId="1B9606D2" w14:textId="77777777" w:rsidTr="00C06E9F">
        <w:tc>
          <w:tcPr>
            <w:tcW w:w="1977" w:type="dxa"/>
            <w:shd w:val="clear" w:color="auto" w:fill="BFBFBF" w:themeFill="background1" w:themeFillShade="BF"/>
            <w:tcMar>
              <w:top w:w="0" w:type="dxa"/>
              <w:left w:w="86" w:type="dxa"/>
              <w:bottom w:w="43" w:type="dxa"/>
              <w:right w:w="86" w:type="dxa"/>
            </w:tcMar>
            <w:hideMark/>
          </w:tcPr>
          <w:p w14:paraId="674924A1" w14:textId="77777777" w:rsidR="00E94944" w:rsidRPr="005D4222" w:rsidRDefault="00E94944" w:rsidP="00E94944">
            <w:pPr>
              <w:pStyle w:val="ECDSMarginHead"/>
            </w:pPr>
            <w:r w:rsidRPr="005D4222">
              <w:t>Measure title</w:t>
            </w:r>
          </w:p>
        </w:tc>
        <w:tc>
          <w:tcPr>
            <w:tcW w:w="4968" w:type="dxa"/>
            <w:tcMar>
              <w:top w:w="0" w:type="dxa"/>
              <w:left w:w="86" w:type="dxa"/>
              <w:bottom w:w="43" w:type="dxa"/>
              <w:right w:w="86" w:type="dxa"/>
            </w:tcMar>
          </w:tcPr>
          <w:p w14:paraId="7C0F3330" w14:textId="77777777" w:rsidR="00E94944" w:rsidRPr="005D4222" w:rsidRDefault="00E94944" w:rsidP="00A53E8C">
            <w:pPr>
              <w:pStyle w:val="ECDSBody"/>
            </w:pPr>
            <w:r w:rsidRPr="005D4222">
              <w:t xml:space="preserve">Lead Screening in Children </w:t>
            </w:r>
          </w:p>
        </w:tc>
        <w:tc>
          <w:tcPr>
            <w:tcW w:w="1514" w:type="dxa"/>
            <w:shd w:val="clear" w:color="auto" w:fill="BFBFBF" w:themeFill="background1" w:themeFillShade="BF"/>
            <w:tcMar>
              <w:top w:w="0" w:type="dxa"/>
              <w:left w:w="86" w:type="dxa"/>
              <w:bottom w:w="43" w:type="dxa"/>
              <w:right w:w="86" w:type="dxa"/>
            </w:tcMar>
          </w:tcPr>
          <w:p w14:paraId="6E2BBE8F" w14:textId="77777777" w:rsidR="00E94944" w:rsidRPr="005D4222" w:rsidRDefault="00E94944" w:rsidP="00E94944">
            <w:pPr>
              <w:pStyle w:val="ECDSMarginHead"/>
            </w:pPr>
            <w:r w:rsidRPr="005D4222">
              <w:t>Measure ID</w:t>
            </w:r>
          </w:p>
        </w:tc>
        <w:tc>
          <w:tcPr>
            <w:tcW w:w="1258" w:type="dxa"/>
            <w:tcMar>
              <w:top w:w="0" w:type="dxa"/>
              <w:left w:w="86" w:type="dxa"/>
              <w:bottom w:w="43" w:type="dxa"/>
              <w:right w:w="86" w:type="dxa"/>
            </w:tcMar>
          </w:tcPr>
          <w:p w14:paraId="1F3A532F" w14:textId="77777777" w:rsidR="00E94944" w:rsidRPr="005D4222" w:rsidRDefault="00E94944" w:rsidP="00A53E8C">
            <w:pPr>
              <w:pStyle w:val="ECDSBody"/>
            </w:pPr>
            <w:r w:rsidRPr="005D4222">
              <w:t>LSC-E</w:t>
            </w:r>
          </w:p>
        </w:tc>
      </w:tr>
      <w:tr w:rsidR="00E94944" w:rsidRPr="005D4222" w14:paraId="0302F963" w14:textId="77777777" w:rsidTr="00C06E9F">
        <w:tc>
          <w:tcPr>
            <w:tcW w:w="1977" w:type="dxa"/>
            <w:shd w:val="clear" w:color="auto" w:fill="BFBFBF" w:themeFill="background1" w:themeFillShade="BF"/>
            <w:tcMar>
              <w:top w:w="0" w:type="dxa"/>
              <w:left w:w="86" w:type="dxa"/>
              <w:bottom w:w="43" w:type="dxa"/>
              <w:right w:w="86" w:type="dxa"/>
            </w:tcMar>
            <w:hideMark/>
          </w:tcPr>
          <w:p w14:paraId="65906A79" w14:textId="77777777" w:rsidR="00E94944" w:rsidRPr="005D4222" w:rsidRDefault="00E94944" w:rsidP="00E94944">
            <w:pPr>
              <w:pStyle w:val="ECDSMarginHead"/>
            </w:pPr>
            <w:r w:rsidRPr="005D4222">
              <w:t>Description</w:t>
            </w:r>
          </w:p>
        </w:tc>
        <w:tc>
          <w:tcPr>
            <w:tcW w:w="7740" w:type="dxa"/>
            <w:gridSpan w:val="3"/>
            <w:tcMar>
              <w:top w:w="0" w:type="dxa"/>
              <w:left w:w="86" w:type="dxa"/>
              <w:bottom w:w="43" w:type="dxa"/>
              <w:right w:w="86" w:type="dxa"/>
            </w:tcMar>
          </w:tcPr>
          <w:p w14:paraId="70518908" w14:textId="77777777" w:rsidR="00E94944" w:rsidRPr="005D4222" w:rsidRDefault="00E94944" w:rsidP="00A53E8C">
            <w:pPr>
              <w:pStyle w:val="ECDSBody"/>
            </w:pPr>
            <w:r w:rsidRPr="005D4222">
              <w:t>The percentage of persons 2 years of age who had one or more capillary or venous lead blood test for lead poisoning by their second birthday.</w:t>
            </w:r>
          </w:p>
        </w:tc>
      </w:tr>
      <w:tr w:rsidR="00E94944" w:rsidRPr="005D4222" w14:paraId="3E375E99" w14:textId="77777777" w:rsidTr="00C06E9F">
        <w:tc>
          <w:tcPr>
            <w:tcW w:w="1977" w:type="dxa"/>
            <w:shd w:val="clear" w:color="auto" w:fill="BFBFBF" w:themeFill="background1" w:themeFillShade="BF"/>
            <w:tcMar>
              <w:top w:w="0" w:type="dxa"/>
              <w:left w:w="86" w:type="dxa"/>
              <w:bottom w:w="43" w:type="dxa"/>
              <w:right w:w="86" w:type="dxa"/>
            </w:tcMar>
          </w:tcPr>
          <w:p w14:paraId="2425F9A6" w14:textId="77777777" w:rsidR="00E94944" w:rsidRPr="005D4222" w:rsidRDefault="00E94944" w:rsidP="00E94944">
            <w:pPr>
              <w:pStyle w:val="ECDSMarginHead"/>
            </w:pPr>
            <w:r w:rsidRPr="005D4222">
              <w:t>Measurement period</w:t>
            </w:r>
          </w:p>
        </w:tc>
        <w:tc>
          <w:tcPr>
            <w:tcW w:w="7740" w:type="dxa"/>
            <w:gridSpan w:val="3"/>
            <w:tcMar>
              <w:top w:w="0" w:type="dxa"/>
              <w:left w:w="86" w:type="dxa"/>
              <w:bottom w:w="43" w:type="dxa"/>
              <w:right w:w="86" w:type="dxa"/>
            </w:tcMar>
          </w:tcPr>
          <w:p w14:paraId="5FE70F00" w14:textId="77777777" w:rsidR="00E94944" w:rsidRPr="005D4222" w:rsidRDefault="00E94944" w:rsidP="00A53E8C">
            <w:pPr>
              <w:pStyle w:val="ECDSBody"/>
            </w:pPr>
            <w:r w:rsidRPr="005D4222">
              <w:t>January 1–December 31.</w:t>
            </w:r>
          </w:p>
        </w:tc>
      </w:tr>
      <w:tr w:rsidR="00E94944" w:rsidRPr="005D4222" w14:paraId="4756C0A8" w14:textId="77777777" w:rsidTr="00C06E9F">
        <w:tc>
          <w:tcPr>
            <w:tcW w:w="1977" w:type="dxa"/>
            <w:shd w:val="clear" w:color="auto" w:fill="BFBFBF" w:themeFill="background1" w:themeFillShade="BF"/>
            <w:tcMar>
              <w:top w:w="0" w:type="dxa"/>
              <w:left w:w="86" w:type="dxa"/>
              <w:bottom w:w="43" w:type="dxa"/>
              <w:right w:w="86" w:type="dxa"/>
            </w:tcMar>
            <w:hideMark/>
          </w:tcPr>
          <w:p w14:paraId="6D34E720" w14:textId="77777777" w:rsidR="00E94944" w:rsidRPr="005D4222" w:rsidRDefault="00E94944" w:rsidP="00E94944">
            <w:pPr>
              <w:pStyle w:val="ECDSMarginHead"/>
              <w:rPr>
                <w:rFonts w:eastAsia="Arial"/>
              </w:rPr>
            </w:pPr>
            <w:r w:rsidRPr="005D4222">
              <w:rPr>
                <w:rFonts w:eastAsia="Arial"/>
              </w:rPr>
              <w:t>Copyright and disclaimer notice</w:t>
            </w:r>
          </w:p>
        </w:tc>
        <w:tc>
          <w:tcPr>
            <w:tcW w:w="7740" w:type="dxa"/>
            <w:gridSpan w:val="3"/>
            <w:tcMar>
              <w:top w:w="0" w:type="dxa"/>
              <w:left w:w="86" w:type="dxa"/>
              <w:bottom w:w="43" w:type="dxa"/>
              <w:right w:w="86" w:type="dxa"/>
            </w:tcMar>
          </w:tcPr>
          <w:p w14:paraId="2193A4C6" w14:textId="77777777" w:rsidR="00E94944" w:rsidRPr="005D4222" w:rsidRDefault="00E94944" w:rsidP="00A53E8C">
            <w:pPr>
              <w:pStyle w:val="ECDSBody"/>
            </w:pPr>
            <w:r w:rsidRPr="005D4222">
              <w:t xml:space="preserve">Refer to the complete copyright and disclaimer information at the front of this publication. </w:t>
            </w:r>
          </w:p>
          <w:p w14:paraId="3824F401" w14:textId="77777777" w:rsidR="00E94944" w:rsidRPr="005D4222" w:rsidRDefault="00E94944" w:rsidP="00A53E8C">
            <w:pPr>
              <w:pStyle w:val="ECDSBody"/>
            </w:pPr>
            <w:r w:rsidRPr="005D4222">
              <w:t xml:space="preserve">NCQA website: </w:t>
            </w:r>
            <w:r w:rsidRPr="005D4222">
              <w:rPr>
                <w:u w:val="single"/>
              </w:rPr>
              <w:t>www.ncqa.org</w:t>
            </w:r>
            <w:r w:rsidRPr="005D4222">
              <w:t xml:space="preserve">. </w:t>
            </w:r>
          </w:p>
          <w:p w14:paraId="7CB1AD6A" w14:textId="77777777" w:rsidR="00E94944" w:rsidRPr="005D4222" w:rsidRDefault="00E94944" w:rsidP="00A53E8C">
            <w:pPr>
              <w:pStyle w:val="ECDSBody"/>
            </w:pPr>
            <w:r w:rsidRPr="005D4222">
              <w:t>Submit policy clarification support questions via My NCQA (</w:t>
            </w:r>
            <w:r w:rsidRPr="005D4222">
              <w:rPr>
                <w:u w:val="single"/>
              </w:rPr>
              <w:t>https://my.ncqa.org</w:t>
            </w:r>
            <w:r w:rsidRPr="005D4222">
              <w:t>).</w:t>
            </w:r>
          </w:p>
        </w:tc>
      </w:tr>
      <w:tr w:rsidR="00E94944" w:rsidRPr="005D4222" w14:paraId="047A2D6F" w14:textId="77777777" w:rsidTr="00C06E9F">
        <w:tc>
          <w:tcPr>
            <w:tcW w:w="1977" w:type="dxa"/>
            <w:shd w:val="clear" w:color="auto" w:fill="BFBFBF" w:themeFill="background1" w:themeFillShade="BF"/>
            <w:tcMar>
              <w:top w:w="0" w:type="dxa"/>
              <w:left w:w="86" w:type="dxa"/>
              <w:bottom w:w="43" w:type="dxa"/>
              <w:right w:w="86" w:type="dxa"/>
            </w:tcMar>
            <w:hideMark/>
          </w:tcPr>
          <w:p w14:paraId="6629BE54" w14:textId="77777777" w:rsidR="00E94944" w:rsidRPr="005D4222" w:rsidRDefault="00E94944" w:rsidP="00E94944">
            <w:pPr>
              <w:pStyle w:val="ECDSMarginHead"/>
            </w:pPr>
            <w:r w:rsidRPr="005D4222">
              <w:t>Clinical recommendation statement/ rationale</w:t>
            </w:r>
          </w:p>
        </w:tc>
        <w:tc>
          <w:tcPr>
            <w:tcW w:w="7740" w:type="dxa"/>
            <w:gridSpan w:val="3"/>
            <w:tcMar>
              <w:top w:w="0" w:type="dxa"/>
              <w:left w:w="86" w:type="dxa"/>
              <w:bottom w:w="43" w:type="dxa"/>
              <w:right w:w="86" w:type="dxa"/>
            </w:tcMar>
          </w:tcPr>
          <w:p w14:paraId="6A77796D" w14:textId="77777777" w:rsidR="00E94944" w:rsidRPr="005D4222" w:rsidRDefault="00E94944" w:rsidP="00A53E8C">
            <w:pPr>
              <w:pStyle w:val="ECDSBody"/>
              <w:rPr>
                <w:rFonts w:eastAsia="Arial"/>
              </w:rPr>
            </w:pPr>
            <w:r w:rsidRPr="005D4222">
              <w:rPr>
                <w:rFonts w:eastAsia="Arial"/>
              </w:rPr>
              <w:t>The Centers for Disease Control and Prevention recommends testing blood for lead exposure. Health care providers may use a capillary or venous sample for initial blood lead level screening.</w:t>
            </w:r>
          </w:p>
        </w:tc>
      </w:tr>
      <w:tr w:rsidR="00E94944" w:rsidRPr="005D4222" w14:paraId="4E1A126A" w14:textId="77777777" w:rsidTr="00C06E9F">
        <w:tc>
          <w:tcPr>
            <w:tcW w:w="1977" w:type="dxa"/>
            <w:shd w:val="clear" w:color="auto" w:fill="BFBFBF" w:themeFill="background1" w:themeFillShade="BF"/>
            <w:tcMar>
              <w:top w:w="0" w:type="dxa"/>
              <w:left w:w="86" w:type="dxa"/>
              <w:bottom w:w="43" w:type="dxa"/>
              <w:right w:w="86" w:type="dxa"/>
            </w:tcMar>
          </w:tcPr>
          <w:p w14:paraId="5E2D9ED7" w14:textId="77777777" w:rsidR="00E94944" w:rsidRPr="005D4222" w:rsidRDefault="00E94944" w:rsidP="00E94944">
            <w:pPr>
              <w:pStyle w:val="ECDSMarginHead"/>
            </w:pPr>
            <w:r w:rsidRPr="005D4222">
              <w:t>Citations</w:t>
            </w:r>
          </w:p>
        </w:tc>
        <w:tc>
          <w:tcPr>
            <w:tcW w:w="7740" w:type="dxa"/>
            <w:gridSpan w:val="3"/>
            <w:tcMar>
              <w:top w:w="0" w:type="dxa"/>
              <w:left w:w="86" w:type="dxa"/>
              <w:bottom w:w="43" w:type="dxa"/>
              <w:right w:w="86" w:type="dxa"/>
            </w:tcMar>
          </w:tcPr>
          <w:p w14:paraId="17337BB2" w14:textId="77777777" w:rsidR="00E94944" w:rsidRPr="005D4222" w:rsidRDefault="00E94944" w:rsidP="00A53E8C">
            <w:pPr>
              <w:pStyle w:val="ECDSBody"/>
            </w:pPr>
            <w:r w:rsidRPr="005D4222">
              <w:t>Centers for Medicare &amp; Medicaid Services (CMS). (n/d) “Lead Screening.”</w:t>
            </w:r>
            <w:r w:rsidRPr="005D4222">
              <w:rPr>
                <w:i/>
                <w:iCs/>
              </w:rPr>
              <w:t xml:space="preserve"> </w:t>
            </w:r>
            <w:r w:rsidRPr="005D4222">
              <w:t>https://www.medicaid.gov/medicaid/benefits/early-and-periodic-screening-diagnostic-and-treatment/lead-screening/index.html</w:t>
            </w:r>
          </w:p>
          <w:p w14:paraId="2D1D0A1F" w14:textId="77777777" w:rsidR="00E94944" w:rsidRPr="005D4222" w:rsidRDefault="00E94944" w:rsidP="00A53E8C">
            <w:pPr>
              <w:pStyle w:val="ECDSBody"/>
            </w:pPr>
            <w:r w:rsidRPr="005D4222">
              <w:t xml:space="preserve">Centers for Disease Control and Prevention (CDC). (n/d) “Recommended Actions Based on Blood Lead Level.” </w:t>
            </w:r>
            <w:r w:rsidRPr="005D4222">
              <w:br/>
              <w:t>https://www.cdc.gov/lead-prevention/hcp/clinical-guidance/?CDC_AAref_Val=https://www.cdc.gov/nceh/lead/advisory/acclpp/actions-blls.htm</w:t>
            </w:r>
          </w:p>
        </w:tc>
      </w:tr>
      <w:tr w:rsidR="00E94944" w:rsidRPr="005D4222" w14:paraId="3945A9B8" w14:textId="77777777" w:rsidTr="00C06E9F">
        <w:tc>
          <w:tcPr>
            <w:tcW w:w="9717"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59414D77" w14:textId="77777777" w:rsidR="00E94944" w:rsidRPr="005D4222" w:rsidRDefault="00E94944" w:rsidP="00E94944">
            <w:pPr>
              <w:pStyle w:val="ECDSMarginHead"/>
            </w:pPr>
            <w:r w:rsidRPr="005D4222">
              <w:t>Characteristics</w:t>
            </w:r>
          </w:p>
        </w:tc>
      </w:tr>
      <w:tr w:rsidR="00E94944" w:rsidRPr="005D4222" w14:paraId="073C786B" w14:textId="77777777" w:rsidTr="00C06E9F">
        <w:tc>
          <w:tcPr>
            <w:tcW w:w="197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408CC95E" w14:textId="77777777" w:rsidR="00E94944" w:rsidRPr="005D4222" w:rsidRDefault="00E94944" w:rsidP="00E94944">
            <w:pPr>
              <w:pStyle w:val="ECDSSubhead"/>
            </w:pPr>
            <w:r w:rsidRPr="005D4222">
              <w:t>Scoring</w:t>
            </w:r>
          </w:p>
        </w:tc>
        <w:tc>
          <w:tcPr>
            <w:tcW w:w="7740"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7415E699" w14:textId="77777777" w:rsidR="00E94944" w:rsidRPr="005D4222" w:rsidRDefault="00E94944" w:rsidP="00A53E8C">
            <w:pPr>
              <w:pStyle w:val="ECDSBody"/>
              <w:spacing w:after="0"/>
            </w:pPr>
            <w:r w:rsidRPr="005D4222">
              <w:t>Proportion.</w:t>
            </w:r>
          </w:p>
        </w:tc>
      </w:tr>
      <w:tr w:rsidR="00E94944" w:rsidRPr="005D4222" w14:paraId="75DE692E" w14:textId="77777777" w:rsidTr="00C06E9F">
        <w:tc>
          <w:tcPr>
            <w:tcW w:w="1977" w:type="dxa"/>
            <w:tcBorders>
              <w:top w:val="nil"/>
              <w:left w:val="single" w:sz="4" w:space="0" w:color="auto"/>
              <w:bottom w:val="nil"/>
              <w:right w:val="single" w:sz="4" w:space="0" w:color="auto"/>
            </w:tcBorders>
            <w:tcMar>
              <w:top w:w="0" w:type="dxa"/>
              <w:left w:w="86" w:type="dxa"/>
              <w:bottom w:w="43" w:type="dxa"/>
              <w:right w:w="86" w:type="dxa"/>
            </w:tcMar>
          </w:tcPr>
          <w:p w14:paraId="35E445A9" w14:textId="77777777" w:rsidR="00E94944" w:rsidRPr="005D4222" w:rsidRDefault="00E94944" w:rsidP="00E94944">
            <w:pPr>
              <w:pStyle w:val="ECDSSubhead"/>
            </w:pPr>
            <w:r w:rsidRPr="005D4222">
              <w:t>Type</w:t>
            </w:r>
          </w:p>
        </w:tc>
        <w:tc>
          <w:tcPr>
            <w:tcW w:w="7740" w:type="dxa"/>
            <w:gridSpan w:val="3"/>
            <w:tcBorders>
              <w:top w:val="nil"/>
              <w:left w:val="single" w:sz="4" w:space="0" w:color="auto"/>
              <w:bottom w:val="nil"/>
              <w:right w:val="single" w:sz="4" w:space="0" w:color="auto"/>
            </w:tcBorders>
            <w:tcMar>
              <w:top w:w="0" w:type="dxa"/>
              <w:left w:w="86" w:type="dxa"/>
              <w:bottom w:w="43" w:type="dxa"/>
              <w:right w:w="86" w:type="dxa"/>
            </w:tcMar>
          </w:tcPr>
          <w:p w14:paraId="1151455B" w14:textId="77777777" w:rsidR="00E94944" w:rsidRPr="005D4222" w:rsidRDefault="00E94944" w:rsidP="00A53E8C">
            <w:pPr>
              <w:pStyle w:val="ECDSBody"/>
              <w:spacing w:after="0"/>
            </w:pPr>
            <w:r w:rsidRPr="005D4222">
              <w:t>Process.</w:t>
            </w:r>
          </w:p>
        </w:tc>
      </w:tr>
      <w:tr w:rsidR="00E94944" w:rsidRPr="005D4222" w14:paraId="6EE22DCF" w14:textId="77777777" w:rsidTr="00C06E9F">
        <w:tc>
          <w:tcPr>
            <w:tcW w:w="1977" w:type="dxa"/>
            <w:tcBorders>
              <w:top w:val="nil"/>
              <w:left w:val="single" w:sz="4" w:space="0" w:color="auto"/>
              <w:bottom w:val="nil"/>
              <w:right w:val="single" w:sz="4" w:space="0" w:color="auto"/>
            </w:tcBorders>
            <w:tcMar>
              <w:top w:w="0" w:type="dxa"/>
              <w:left w:w="86" w:type="dxa"/>
              <w:bottom w:w="43" w:type="dxa"/>
              <w:right w:w="86" w:type="dxa"/>
            </w:tcMar>
          </w:tcPr>
          <w:p w14:paraId="70760198" w14:textId="5F1F67DC" w:rsidR="00E94944" w:rsidRPr="005D4222" w:rsidRDefault="00B51CDC" w:rsidP="00E94944">
            <w:pPr>
              <w:pStyle w:val="ECDSSubhead"/>
            </w:pPr>
            <w:r w:rsidRPr="005D4222">
              <w:t>Product lines</w:t>
            </w:r>
          </w:p>
        </w:tc>
        <w:tc>
          <w:tcPr>
            <w:tcW w:w="7740" w:type="dxa"/>
            <w:gridSpan w:val="3"/>
            <w:tcBorders>
              <w:top w:val="nil"/>
              <w:left w:val="single" w:sz="4" w:space="0" w:color="auto"/>
              <w:bottom w:val="nil"/>
              <w:right w:val="single" w:sz="4" w:space="0" w:color="auto"/>
            </w:tcBorders>
            <w:tcMar>
              <w:top w:w="0" w:type="dxa"/>
              <w:left w:w="86" w:type="dxa"/>
              <w:bottom w:w="43" w:type="dxa"/>
              <w:right w:w="86" w:type="dxa"/>
            </w:tcMar>
          </w:tcPr>
          <w:p w14:paraId="7A281608" w14:textId="77777777" w:rsidR="00E94944" w:rsidRPr="005D4222" w:rsidRDefault="00E94944" w:rsidP="00A53E8C">
            <w:pPr>
              <w:pStyle w:val="ECDSBody"/>
              <w:spacing w:after="0"/>
            </w:pPr>
            <w:r w:rsidRPr="005D4222">
              <w:t>Medicaid.</w:t>
            </w:r>
          </w:p>
        </w:tc>
      </w:tr>
      <w:tr w:rsidR="00E94944" w:rsidRPr="005D4222" w14:paraId="5E35920F" w14:textId="77777777" w:rsidTr="00C06E9F">
        <w:tc>
          <w:tcPr>
            <w:tcW w:w="1977" w:type="dxa"/>
            <w:tcBorders>
              <w:top w:val="nil"/>
              <w:left w:val="single" w:sz="4" w:space="0" w:color="auto"/>
              <w:bottom w:val="nil"/>
              <w:right w:val="single" w:sz="4" w:space="0" w:color="auto"/>
            </w:tcBorders>
            <w:tcMar>
              <w:top w:w="0" w:type="dxa"/>
              <w:left w:w="86" w:type="dxa"/>
              <w:bottom w:w="43" w:type="dxa"/>
              <w:right w:w="86" w:type="dxa"/>
            </w:tcMar>
          </w:tcPr>
          <w:p w14:paraId="7604569B" w14:textId="2AEFFCDB" w:rsidR="00E94944" w:rsidRPr="005D4222" w:rsidRDefault="00B51CDC" w:rsidP="00E94944">
            <w:pPr>
              <w:pStyle w:val="ECDSSubhead"/>
            </w:pPr>
            <w:r w:rsidRPr="005D4222">
              <w:t>Stratifications</w:t>
            </w:r>
            <w:r w:rsidR="00E94944" w:rsidRPr="005D4222">
              <w:t xml:space="preserve"> </w:t>
            </w:r>
          </w:p>
        </w:tc>
        <w:tc>
          <w:tcPr>
            <w:tcW w:w="7740"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1F7B749E" w14:textId="77777777" w:rsidR="00E94944" w:rsidRPr="005D4222" w:rsidRDefault="00E94944" w:rsidP="00A53E8C">
            <w:pPr>
              <w:pStyle w:val="ECDSBody"/>
              <w:spacing w:after="0"/>
            </w:pPr>
            <w:r w:rsidRPr="005D4222">
              <w:t>None.</w:t>
            </w:r>
          </w:p>
        </w:tc>
      </w:tr>
      <w:tr w:rsidR="00E94944" w:rsidRPr="005D4222" w14:paraId="461EF7A9" w14:textId="77777777" w:rsidTr="00C06E9F">
        <w:tc>
          <w:tcPr>
            <w:tcW w:w="1977" w:type="dxa"/>
            <w:tcBorders>
              <w:top w:val="nil"/>
              <w:left w:val="single" w:sz="4" w:space="0" w:color="auto"/>
              <w:bottom w:val="nil"/>
              <w:right w:val="single" w:sz="4" w:space="0" w:color="auto"/>
            </w:tcBorders>
            <w:tcMar>
              <w:top w:w="0" w:type="dxa"/>
              <w:left w:w="86" w:type="dxa"/>
              <w:bottom w:w="43" w:type="dxa"/>
              <w:right w:w="86" w:type="dxa"/>
            </w:tcMar>
          </w:tcPr>
          <w:p w14:paraId="48314049" w14:textId="77777777" w:rsidR="00E94944" w:rsidRPr="005D4222" w:rsidRDefault="00E94944" w:rsidP="00E94944">
            <w:pPr>
              <w:pStyle w:val="ECDSSubhead"/>
            </w:pPr>
            <w:r w:rsidRPr="005D4222">
              <w:t>Risk adjustment</w:t>
            </w:r>
          </w:p>
        </w:tc>
        <w:tc>
          <w:tcPr>
            <w:tcW w:w="7740"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247C0D82" w14:textId="77777777" w:rsidR="00E94944" w:rsidRPr="005D4222" w:rsidRDefault="00E94944" w:rsidP="00A53E8C">
            <w:pPr>
              <w:pStyle w:val="ECDSBody"/>
              <w:spacing w:after="0"/>
            </w:pPr>
            <w:r w:rsidRPr="005D4222">
              <w:t>None.</w:t>
            </w:r>
          </w:p>
        </w:tc>
      </w:tr>
      <w:tr w:rsidR="00E94944" w:rsidRPr="005D4222" w14:paraId="01A71D4F" w14:textId="77777777" w:rsidTr="00C06E9F">
        <w:tc>
          <w:tcPr>
            <w:tcW w:w="1977" w:type="dxa"/>
            <w:tcBorders>
              <w:top w:val="nil"/>
              <w:left w:val="single" w:sz="4" w:space="0" w:color="auto"/>
              <w:bottom w:val="nil"/>
              <w:right w:val="single" w:sz="4" w:space="0" w:color="auto"/>
            </w:tcBorders>
            <w:tcMar>
              <w:top w:w="0" w:type="dxa"/>
              <w:left w:w="86" w:type="dxa"/>
              <w:bottom w:w="43" w:type="dxa"/>
              <w:right w:w="86" w:type="dxa"/>
            </w:tcMar>
          </w:tcPr>
          <w:p w14:paraId="2D0FFA84" w14:textId="77777777" w:rsidR="00E94944" w:rsidRPr="005D4222" w:rsidRDefault="00E94944" w:rsidP="00E94944">
            <w:pPr>
              <w:pStyle w:val="ECDSSubhead"/>
            </w:pPr>
            <w:r w:rsidRPr="005D4222">
              <w:t>Improvement notation</w:t>
            </w:r>
          </w:p>
        </w:tc>
        <w:tc>
          <w:tcPr>
            <w:tcW w:w="7740" w:type="dxa"/>
            <w:gridSpan w:val="3"/>
            <w:tcBorders>
              <w:top w:val="nil"/>
              <w:left w:val="single" w:sz="4" w:space="0" w:color="auto"/>
              <w:bottom w:val="nil"/>
              <w:right w:val="single" w:sz="4" w:space="0" w:color="auto"/>
            </w:tcBorders>
            <w:tcMar>
              <w:top w:w="0" w:type="dxa"/>
              <w:left w:w="86" w:type="dxa"/>
              <w:bottom w:w="43" w:type="dxa"/>
              <w:right w:w="86" w:type="dxa"/>
            </w:tcMar>
          </w:tcPr>
          <w:p w14:paraId="590A77E9" w14:textId="77777777" w:rsidR="00E94944" w:rsidRPr="005D4222" w:rsidRDefault="00E94944" w:rsidP="00A53E8C">
            <w:pPr>
              <w:pStyle w:val="ECDSBody"/>
              <w:spacing w:after="0"/>
            </w:pPr>
            <w:r w:rsidRPr="005D4222">
              <w:t>Increased score indicates improvement.</w:t>
            </w:r>
          </w:p>
        </w:tc>
      </w:tr>
      <w:tr w:rsidR="00E94944" w:rsidRPr="005D4222" w14:paraId="55A1056B" w14:textId="77777777" w:rsidTr="00C06E9F">
        <w:tc>
          <w:tcPr>
            <w:tcW w:w="197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031C1640" w14:textId="77777777" w:rsidR="00E94944" w:rsidRPr="005D4222" w:rsidRDefault="00E94944" w:rsidP="00E94944">
            <w:pPr>
              <w:pStyle w:val="ECDSSubhead"/>
            </w:pPr>
            <w:r w:rsidRPr="005D4222">
              <w:rPr>
                <w:rFonts w:cs="Arial"/>
                <w:szCs w:val="22"/>
              </w:rPr>
              <w:t>Guidance</w:t>
            </w:r>
          </w:p>
        </w:tc>
        <w:tc>
          <w:tcPr>
            <w:tcW w:w="7740"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678E51B7" w14:textId="13367418" w:rsidR="00E94944" w:rsidRPr="005D4222" w:rsidRDefault="00E94944" w:rsidP="00A53E8C">
            <w:pPr>
              <w:pStyle w:val="ECDSBody"/>
            </w:pPr>
            <w:r w:rsidRPr="005D4222">
              <w:rPr>
                <w:b/>
              </w:rPr>
              <w:t>Data collection methodology:</w:t>
            </w:r>
            <w:r w:rsidRPr="005D4222">
              <w:t xml:space="preserve"> ECDS. Refer to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59E1D539" w14:textId="77777777" w:rsidR="00E94944" w:rsidRPr="005D4222" w:rsidRDefault="00E94944" w:rsidP="00A53E8C">
            <w:pPr>
              <w:pStyle w:val="ECDSBody"/>
            </w:pPr>
            <w:r w:rsidRPr="005D4222">
              <w:rPr>
                <w:b/>
              </w:rPr>
              <w:t xml:space="preserve">Date specificity: </w:t>
            </w:r>
            <w:r w:rsidRPr="005D4222">
              <w:t xml:space="preserve">Dates must be specific enough to determine the event occurred in the period being measured. </w:t>
            </w:r>
          </w:p>
          <w:p w14:paraId="47BDC0FA" w14:textId="77777777" w:rsidR="00E94944" w:rsidRPr="005D4222" w:rsidRDefault="00E94944" w:rsidP="00A53E8C">
            <w:pPr>
              <w:pStyle w:val="ECDSBody"/>
            </w:pPr>
            <w:r w:rsidRPr="005D4222">
              <w:rPr>
                <w:b/>
              </w:rPr>
              <w:t xml:space="preserve">Which services count? </w:t>
            </w:r>
            <w:r w:rsidRPr="005D4222">
              <w:t>When using claims, include all paid, suspended, pending and denied claims.</w:t>
            </w:r>
          </w:p>
        </w:tc>
      </w:tr>
      <w:tr w:rsidR="00E94944" w:rsidRPr="005D4222" w14:paraId="73E0FFF5" w14:textId="77777777" w:rsidTr="00C06E9F">
        <w:tc>
          <w:tcPr>
            <w:tcW w:w="1977" w:type="dxa"/>
            <w:tcBorders>
              <w:top w:val="single" w:sz="4" w:space="0" w:color="auto"/>
            </w:tcBorders>
            <w:shd w:val="clear" w:color="auto" w:fill="BFBFBF" w:themeFill="background1" w:themeFillShade="BF"/>
            <w:tcMar>
              <w:top w:w="0" w:type="dxa"/>
              <w:left w:w="86" w:type="dxa"/>
              <w:bottom w:w="43" w:type="dxa"/>
              <w:right w:w="86" w:type="dxa"/>
            </w:tcMar>
          </w:tcPr>
          <w:p w14:paraId="1D59C878" w14:textId="77777777" w:rsidR="00E94944" w:rsidRPr="005D4222" w:rsidRDefault="00E94944" w:rsidP="00E94944">
            <w:pPr>
              <w:pStyle w:val="ECDSMarginHead"/>
            </w:pPr>
            <w:r w:rsidRPr="005D4222">
              <w:lastRenderedPageBreak/>
              <w:t>Initial population</w:t>
            </w:r>
          </w:p>
        </w:tc>
        <w:tc>
          <w:tcPr>
            <w:tcW w:w="7740"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86C5AF8" w14:textId="77777777" w:rsidR="00E94944" w:rsidRPr="005D4222" w:rsidRDefault="00E94944" w:rsidP="00A53E8C">
            <w:pPr>
              <w:pStyle w:val="ECDSBody"/>
            </w:pPr>
            <w:r w:rsidRPr="005D4222">
              <w:rPr>
                <w:i/>
                <w:iCs/>
              </w:rPr>
              <w:t>Measure item count:</w:t>
            </w:r>
            <w:r w:rsidRPr="005D4222">
              <w:t xml:space="preserve"> Person.</w:t>
            </w:r>
          </w:p>
          <w:p w14:paraId="0FEA987D" w14:textId="77777777" w:rsidR="00E94944" w:rsidRPr="005D4222" w:rsidRDefault="00E94944" w:rsidP="00A53E8C">
            <w:pPr>
              <w:pStyle w:val="ECDSBody"/>
            </w:pPr>
            <w:r w:rsidRPr="005D4222">
              <w:rPr>
                <w:i/>
                <w:iCs/>
              </w:rPr>
              <w:t>Attribution basis:</w:t>
            </w:r>
            <w:r w:rsidRPr="005D4222">
              <w:t xml:space="preserve"> Enrollment.</w:t>
            </w:r>
          </w:p>
          <w:p w14:paraId="35E8B652" w14:textId="77777777" w:rsidR="00E94944" w:rsidRPr="005D4222" w:rsidRDefault="00E94944" w:rsidP="00E94944">
            <w:pPr>
              <w:pStyle w:val="Bullet"/>
            </w:pPr>
            <w:r w:rsidRPr="005D4222">
              <w:rPr>
                <w:i/>
                <w:iCs/>
              </w:rPr>
              <w:t>Benefits:</w:t>
            </w:r>
            <w:r w:rsidRPr="005D4222">
              <w:t xml:space="preserve"> Medical.</w:t>
            </w:r>
          </w:p>
          <w:p w14:paraId="3BA7497F" w14:textId="276B197A" w:rsidR="00E94944" w:rsidRPr="005D4222" w:rsidRDefault="00E94944" w:rsidP="00E94944">
            <w:pPr>
              <w:pStyle w:val="Bullet"/>
            </w:pPr>
            <w:r w:rsidRPr="005D4222">
              <w:rPr>
                <w:i/>
                <w:iCs/>
              </w:rPr>
              <w:t>Continuous enrollment:</w:t>
            </w:r>
            <w:r w:rsidRPr="005D4222">
              <w:t xml:space="preserve"> 365 days prior to the </w:t>
            </w:r>
            <w:r w:rsidR="002A7D78" w:rsidRPr="005D4222">
              <w:t xml:space="preserve">person’s </w:t>
            </w:r>
            <w:r w:rsidRPr="005D4222">
              <w:t xml:space="preserve">second birthday and the second birthday. </w:t>
            </w:r>
          </w:p>
          <w:p w14:paraId="1BBB6195" w14:textId="77777777" w:rsidR="00E94944" w:rsidRPr="005D4222" w:rsidRDefault="00E94944" w:rsidP="00E94944">
            <w:pPr>
              <w:pStyle w:val="Bullet"/>
            </w:pPr>
            <w:r w:rsidRPr="005D4222">
              <w:rPr>
                <w:i/>
                <w:iCs/>
              </w:rPr>
              <w:t>Allowable gap:</w:t>
            </w:r>
            <w:r w:rsidRPr="005D4222">
              <w:t xml:space="preserve"> No more than one gap of ≤45 days during the continuous period. No gaps on the </w:t>
            </w:r>
            <w:r w:rsidRPr="005D4222">
              <w:rPr>
                <w:rStyle w:val="normaltextrun"/>
              </w:rPr>
              <w:t>second birthday.</w:t>
            </w:r>
            <w:r w:rsidRPr="005D4222">
              <w:t xml:space="preserve"> </w:t>
            </w:r>
          </w:p>
          <w:p w14:paraId="7E9B5FCD" w14:textId="588D1CF0" w:rsidR="00E94944" w:rsidRPr="005D4222" w:rsidRDefault="00E94944" w:rsidP="00A53E8C">
            <w:pPr>
              <w:pStyle w:val="ECDSBody"/>
            </w:pPr>
            <w:r w:rsidRPr="005D4222">
              <w:rPr>
                <w:i/>
              </w:rPr>
              <w:t>Ages:</w:t>
            </w:r>
            <w:r w:rsidRPr="005D4222">
              <w:t xml:space="preserve"> </w:t>
            </w:r>
            <w:r w:rsidR="001933D7" w:rsidRPr="005D4222">
              <w:t xml:space="preserve">Persons who turn </w:t>
            </w:r>
            <w:r w:rsidRPr="005D4222">
              <w:t>2 years of age during the measurement period.</w:t>
            </w:r>
          </w:p>
          <w:p w14:paraId="29B73109" w14:textId="77777777" w:rsidR="00E94944" w:rsidRPr="005D4222" w:rsidRDefault="00E94944" w:rsidP="00A53E8C">
            <w:pPr>
              <w:pStyle w:val="ECDSBody"/>
            </w:pPr>
            <w:r w:rsidRPr="005D4222">
              <w:rPr>
                <w:i/>
              </w:rPr>
              <w:t>Event:</w:t>
            </w:r>
            <w:r w:rsidRPr="005D4222">
              <w:t xml:space="preserve"> None.</w:t>
            </w:r>
          </w:p>
        </w:tc>
      </w:tr>
      <w:tr w:rsidR="00E94944" w:rsidRPr="005D4222" w14:paraId="664EFAD1" w14:textId="77777777" w:rsidTr="00C06E9F">
        <w:tc>
          <w:tcPr>
            <w:tcW w:w="1977" w:type="dxa"/>
            <w:shd w:val="clear" w:color="auto" w:fill="BFBFBF" w:themeFill="background1" w:themeFillShade="BF"/>
            <w:tcMar>
              <w:top w:w="0" w:type="dxa"/>
              <w:left w:w="86" w:type="dxa"/>
              <w:bottom w:w="43" w:type="dxa"/>
              <w:right w:w="86" w:type="dxa"/>
            </w:tcMar>
          </w:tcPr>
          <w:p w14:paraId="19C8441B" w14:textId="77777777" w:rsidR="00E94944" w:rsidRPr="005D4222" w:rsidRDefault="00E94944" w:rsidP="00E94944">
            <w:pPr>
              <w:pStyle w:val="ECDSMarginHead"/>
            </w:pPr>
            <w:r w:rsidRPr="005D4222">
              <w:t>Denominator exclusions</w:t>
            </w:r>
          </w:p>
        </w:tc>
        <w:tc>
          <w:tcPr>
            <w:tcW w:w="7740"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2E97B14" w14:textId="77777777" w:rsidR="00E94944" w:rsidRPr="005D4222" w:rsidRDefault="00E94944" w:rsidP="00A53E8C">
            <w:pPr>
              <w:pStyle w:val="ECDSBody"/>
              <w:rPr>
                <w:rFonts w:cs="Segoe UI"/>
                <w:szCs w:val="18"/>
              </w:rPr>
            </w:pPr>
            <w:r w:rsidRPr="005D4222">
              <w:rPr>
                <w:b/>
              </w:rPr>
              <w:t>Persons with a date of death. </w:t>
            </w:r>
            <w:r w:rsidRPr="005D4222">
              <w:rPr>
                <w:b/>
              </w:rPr>
              <w:br/>
            </w:r>
            <w:r w:rsidRPr="005D4222">
              <w:t>Death in the measurement period, identified using data sources determined by the organization. Method and data sources are subject to review during the HEDIS audit. </w:t>
            </w:r>
          </w:p>
          <w:p w14:paraId="42237BBE" w14:textId="77777777" w:rsidR="00E94944" w:rsidRPr="005D4222" w:rsidRDefault="00E94944" w:rsidP="00A53E8C">
            <w:pPr>
              <w:pStyle w:val="ECDSBody"/>
              <w:rPr>
                <w:i/>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E94944" w:rsidRPr="005D4222" w14:paraId="3E4E79EF" w14:textId="77777777" w:rsidTr="00C06E9F">
        <w:tc>
          <w:tcPr>
            <w:tcW w:w="197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EF9191C" w14:textId="77777777" w:rsidR="00E94944" w:rsidRPr="005D4222" w:rsidRDefault="00E94944" w:rsidP="00E94944">
            <w:pPr>
              <w:pStyle w:val="ECDSMarginHead"/>
            </w:pPr>
            <w:r w:rsidRPr="005D4222">
              <w:t>Denominator</w:t>
            </w:r>
          </w:p>
        </w:tc>
        <w:tc>
          <w:tcPr>
            <w:tcW w:w="7740"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5454AAC" w14:textId="77777777" w:rsidR="00E94944" w:rsidRPr="005D4222" w:rsidRDefault="00E94944" w:rsidP="00A53E8C">
            <w:pPr>
              <w:pStyle w:val="ProcessBullet"/>
              <w:numPr>
                <w:ilvl w:val="0"/>
                <w:numId w:val="0"/>
              </w:numPr>
              <w:spacing w:before="120"/>
              <w:ind w:left="216" w:hanging="216"/>
              <w:rPr>
                <w:rFonts w:eastAsia="Arial,Arial,Arial,Arial,Arial,A"/>
                <w:szCs w:val="21"/>
              </w:rPr>
            </w:pPr>
            <w:r w:rsidRPr="005D4222">
              <w:rPr>
                <w:rFonts w:eastAsia="Arial,Arial,Arial,Arial,Arial,A"/>
                <w:iCs/>
              </w:rPr>
              <w:t>The i</w:t>
            </w:r>
            <w:r w:rsidRPr="005D4222">
              <w:rPr>
                <w:rFonts w:eastAsia="Arial,Arial,Arial,Arial,Arial,A"/>
              </w:rPr>
              <w:t xml:space="preserve">nitial population minus </w:t>
            </w:r>
            <w:r w:rsidRPr="005D4222">
              <w:rPr>
                <w:rFonts w:eastAsia="Arial,Arial,Arial,Arial,Arial,A"/>
                <w:iCs/>
              </w:rPr>
              <w:t>d</w:t>
            </w:r>
            <w:r w:rsidRPr="005D4222">
              <w:rPr>
                <w:rFonts w:eastAsia="Arial,Arial,Arial,Arial,Arial,A"/>
              </w:rPr>
              <w:t>enominator exclusions.</w:t>
            </w:r>
          </w:p>
        </w:tc>
      </w:tr>
      <w:tr w:rsidR="00E94944" w:rsidRPr="005D4222" w14:paraId="408C8883" w14:textId="77777777" w:rsidTr="00C06E9F">
        <w:tc>
          <w:tcPr>
            <w:tcW w:w="197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3A88A4F" w14:textId="77777777" w:rsidR="00E94944" w:rsidRPr="005D4222" w:rsidRDefault="00E94944" w:rsidP="00E94944">
            <w:pPr>
              <w:pStyle w:val="ECDSMarginHead"/>
              <w:rPr>
                <w:highlight w:val="yellow"/>
              </w:rPr>
            </w:pPr>
            <w:r w:rsidRPr="005D4222">
              <w:t>Numerator</w:t>
            </w:r>
          </w:p>
        </w:tc>
        <w:tc>
          <w:tcPr>
            <w:tcW w:w="7740"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3CED349" w14:textId="77777777" w:rsidR="00E94944" w:rsidRPr="005D4222" w:rsidRDefault="00E94944" w:rsidP="00A53E8C">
            <w:pPr>
              <w:pStyle w:val="ECDSBody"/>
            </w:pPr>
            <w:r w:rsidRPr="005D4222">
              <w:rPr>
                <w:b/>
              </w:rPr>
              <w:t xml:space="preserve">Lead capillary or venous blood test. </w:t>
            </w:r>
            <w:r w:rsidRPr="005D4222">
              <w:rPr>
                <w:b/>
              </w:rPr>
              <w:br/>
            </w:r>
            <w:r w:rsidRPr="005D4222">
              <w:rPr>
                <w:rFonts w:eastAsia="Arial,Arial,Arial,Arial,Arial,A"/>
              </w:rPr>
              <w:t>Persons with at least one lead capillary or venous blood test (</w:t>
            </w:r>
            <w:r w:rsidRPr="005D4222">
              <w:rPr>
                <w:rFonts w:eastAsia="Arial,Arial,Arial,Arial,Arial,A"/>
                <w:u w:val="single"/>
              </w:rPr>
              <w:t>Lead Tests Value Set</w:t>
            </w:r>
            <w:r w:rsidRPr="005D4222">
              <w:rPr>
                <w:rFonts w:eastAsia="Arial,Arial,Arial,Arial,Arial,A"/>
              </w:rPr>
              <w:t xml:space="preserve">) on or before the person’s second birthday. </w:t>
            </w:r>
          </w:p>
        </w:tc>
      </w:tr>
      <w:tr w:rsidR="00E94944" w:rsidRPr="005D4222" w14:paraId="4E3CD3D4" w14:textId="77777777" w:rsidTr="00C06E9F">
        <w:trPr>
          <w:trHeight w:val="45"/>
        </w:trPr>
        <w:tc>
          <w:tcPr>
            <w:tcW w:w="197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A5DE021" w14:textId="77777777" w:rsidR="00E94944" w:rsidRPr="005D4222" w:rsidRDefault="00E94944" w:rsidP="00E94944">
            <w:pPr>
              <w:pStyle w:val="ECDSMarginHead"/>
            </w:pPr>
            <w:r w:rsidRPr="005D4222">
              <w:t>Summary of changes</w:t>
            </w:r>
          </w:p>
        </w:tc>
        <w:tc>
          <w:tcPr>
            <w:tcW w:w="7740"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E6C4A53" w14:textId="77777777" w:rsidR="00E94944" w:rsidRPr="005D4222" w:rsidRDefault="00E94944" w:rsidP="002235A6">
            <w:pPr>
              <w:pStyle w:val="ProcessBullet"/>
              <w:spacing w:before="120"/>
            </w:pPr>
            <w:r w:rsidRPr="005D4222">
              <w:t>This is the first year this measure is reported using ECDS. </w:t>
            </w:r>
          </w:p>
          <w:p w14:paraId="0B6C210E" w14:textId="77777777" w:rsidR="00E94944" w:rsidRPr="005D4222" w:rsidRDefault="00E94944" w:rsidP="002235A6">
            <w:pPr>
              <w:pStyle w:val="ProcessBullet"/>
              <w:spacing w:after="80"/>
            </w:pPr>
            <w:r w:rsidRPr="005D4222">
              <w:t>Removed the Administrative and Hybrid Data Collection Methods.</w:t>
            </w:r>
          </w:p>
        </w:tc>
      </w:tr>
      <w:tr w:rsidR="00E94944" w:rsidRPr="005D4222" w14:paraId="01AD6955" w14:textId="77777777" w:rsidTr="00C06E9F">
        <w:trPr>
          <w:trHeight w:val="45"/>
        </w:trPr>
        <w:tc>
          <w:tcPr>
            <w:tcW w:w="197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E973945" w14:textId="77777777" w:rsidR="00E94944" w:rsidRPr="005D4222" w:rsidRDefault="00E94944" w:rsidP="00E94944">
            <w:pPr>
              <w:pStyle w:val="ECDSMarginHead"/>
            </w:pPr>
            <w:r w:rsidRPr="005D4222">
              <w:t>Data element tables</w:t>
            </w:r>
          </w:p>
        </w:tc>
        <w:tc>
          <w:tcPr>
            <w:tcW w:w="7740"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A7CC9F5" w14:textId="77777777" w:rsidR="00E94944" w:rsidRPr="005D4222" w:rsidRDefault="00E94944" w:rsidP="00A53E8C">
            <w:pPr>
              <w:pStyle w:val="ECDSBody"/>
              <w:spacing w:after="0"/>
              <w:rPr>
                <w:b/>
                <w:i/>
                <w:sz w:val="18"/>
              </w:rPr>
            </w:pPr>
            <w:r w:rsidRPr="005D4222">
              <w:t>Organizations that submit HEDIS data to NCQA must provide the following data elements.</w:t>
            </w:r>
          </w:p>
          <w:p w14:paraId="005C9732" w14:textId="77777777" w:rsidR="00E94944" w:rsidRPr="005D4222" w:rsidRDefault="00E94944" w:rsidP="00A53E8C">
            <w:pPr>
              <w:pStyle w:val="Heading3"/>
              <w:spacing w:before="120"/>
            </w:pPr>
            <w:r w:rsidRPr="005D4222">
              <w:br w:type="page"/>
              <w:t>Table LSC-E-1: Data Elements for Lead Screening in Children</w:t>
            </w:r>
          </w:p>
          <w:tbl>
            <w:tblPr>
              <w:tblW w:w="7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2766"/>
              <w:gridCol w:w="2315"/>
            </w:tblGrid>
            <w:tr w:rsidR="00E94944" w:rsidRPr="005D4222" w14:paraId="0CAE77BA" w14:textId="77777777" w:rsidTr="00A53E8C">
              <w:trPr>
                <w:cantSplit/>
              </w:trPr>
              <w:tc>
                <w:tcPr>
                  <w:tcW w:w="2263" w:type="dxa"/>
                  <w:tcBorders>
                    <w:top w:val="single" w:sz="4" w:space="0" w:color="auto"/>
                    <w:left w:val="single" w:sz="4" w:space="0" w:color="auto"/>
                    <w:bottom w:val="single" w:sz="4" w:space="0" w:color="auto"/>
                    <w:right w:val="single" w:sz="4" w:space="0" w:color="FFFFFF" w:themeColor="background1"/>
                  </w:tcBorders>
                  <w:shd w:val="clear" w:color="auto" w:fill="000000" w:themeFill="text1"/>
                </w:tcPr>
                <w:p w14:paraId="7B210ECF" w14:textId="77777777" w:rsidR="00E94944" w:rsidRPr="005D4222" w:rsidRDefault="00E94944" w:rsidP="00A53E8C">
                  <w:pPr>
                    <w:pStyle w:val="TableHead"/>
                    <w:rPr>
                      <w:rFonts w:eastAsia="Arial Narrow"/>
                    </w:rPr>
                  </w:pPr>
                  <w:r w:rsidRPr="005D4222">
                    <w:rPr>
                      <w:rFonts w:eastAsia="Arial Narrow"/>
                    </w:rPr>
                    <w:t>Metric</w:t>
                  </w:r>
                </w:p>
              </w:tc>
              <w:tc>
                <w:tcPr>
                  <w:tcW w:w="2766"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vAlign w:val="bottom"/>
                </w:tcPr>
                <w:p w14:paraId="3E421D80" w14:textId="77777777" w:rsidR="00E94944" w:rsidRPr="005D4222" w:rsidRDefault="00E94944" w:rsidP="00A53E8C">
                  <w:pPr>
                    <w:pStyle w:val="TableHead"/>
                    <w:rPr>
                      <w:rFonts w:eastAsia="Arial Narrow"/>
                    </w:rPr>
                  </w:pPr>
                  <w:r w:rsidRPr="005D4222">
                    <w:rPr>
                      <w:rFonts w:eastAsia="Arial Narrow"/>
                    </w:rPr>
                    <w:t xml:space="preserve">Data Element </w:t>
                  </w:r>
                </w:p>
              </w:tc>
              <w:tc>
                <w:tcPr>
                  <w:tcW w:w="2315"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cPr>
                <w:p w14:paraId="09729AEF" w14:textId="77777777" w:rsidR="00E94944" w:rsidRPr="005D4222" w:rsidRDefault="00E94944" w:rsidP="00A53E8C">
                  <w:pPr>
                    <w:pStyle w:val="TableHead"/>
                    <w:rPr>
                      <w:rFonts w:eastAsia="Arial Narrow"/>
                    </w:rPr>
                  </w:pPr>
                  <w:r w:rsidRPr="005D4222">
                    <w:rPr>
                      <w:rFonts w:eastAsia="Arial Narrow"/>
                    </w:rPr>
                    <w:t>Reporting Instructions</w:t>
                  </w:r>
                </w:p>
              </w:tc>
            </w:tr>
            <w:tr w:rsidR="00E94944" w:rsidRPr="005D4222" w14:paraId="526BDA92" w14:textId="77777777" w:rsidTr="00A53E8C">
              <w:trPr>
                <w:cantSplit/>
              </w:trPr>
              <w:tc>
                <w:tcPr>
                  <w:tcW w:w="2263" w:type="dxa"/>
                  <w:tcBorders>
                    <w:top w:val="single" w:sz="4" w:space="0" w:color="auto"/>
                    <w:left w:val="single" w:sz="4" w:space="0" w:color="auto"/>
                    <w:bottom w:val="single" w:sz="4" w:space="0" w:color="auto"/>
                    <w:right w:val="single" w:sz="4" w:space="0" w:color="auto"/>
                  </w:tcBorders>
                </w:tcPr>
                <w:p w14:paraId="1C33D731" w14:textId="77777777" w:rsidR="00E94944" w:rsidRPr="005D4222" w:rsidRDefault="00E94944" w:rsidP="00A53E8C">
                  <w:pPr>
                    <w:pStyle w:val="TableText"/>
                    <w:rPr>
                      <w:rFonts w:eastAsia="Arial Narrow"/>
                    </w:rPr>
                  </w:pPr>
                  <w:r w:rsidRPr="005D4222">
                    <w:t>LeadScreeningChildren</w:t>
                  </w:r>
                </w:p>
              </w:tc>
              <w:tc>
                <w:tcPr>
                  <w:tcW w:w="2766" w:type="dxa"/>
                  <w:tcBorders>
                    <w:top w:val="single" w:sz="4" w:space="0" w:color="auto"/>
                    <w:left w:val="single" w:sz="4" w:space="0" w:color="auto"/>
                    <w:bottom w:val="single" w:sz="4" w:space="0" w:color="auto"/>
                    <w:right w:val="single" w:sz="4" w:space="0" w:color="auto"/>
                  </w:tcBorders>
                </w:tcPr>
                <w:p w14:paraId="0BD32442" w14:textId="77777777" w:rsidR="00E94944" w:rsidRPr="005D4222" w:rsidRDefault="00E94944" w:rsidP="00A53E8C">
                  <w:pPr>
                    <w:pStyle w:val="TableText"/>
                    <w:rPr>
                      <w:rFonts w:eastAsia="Arial Narrow"/>
                    </w:rPr>
                  </w:pPr>
                  <w:r w:rsidRPr="005D4222">
                    <w:rPr>
                      <w:rFonts w:eastAsia="Arial Narrow"/>
                    </w:rPr>
                    <w:t>InitialPopulation</w:t>
                  </w:r>
                </w:p>
              </w:tc>
              <w:tc>
                <w:tcPr>
                  <w:tcW w:w="2315" w:type="dxa"/>
                  <w:tcBorders>
                    <w:top w:val="single" w:sz="4" w:space="0" w:color="auto"/>
                    <w:left w:val="single" w:sz="4" w:space="0" w:color="auto"/>
                    <w:bottom w:val="single" w:sz="4" w:space="0" w:color="auto"/>
                    <w:right w:val="single" w:sz="4" w:space="0" w:color="auto"/>
                  </w:tcBorders>
                </w:tcPr>
                <w:p w14:paraId="3E22A6F5" w14:textId="77777777" w:rsidR="00E94944" w:rsidRPr="005D4222" w:rsidRDefault="00E94944" w:rsidP="00A53E8C">
                  <w:pPr>
                    <w:pStyle w:val="TableText"/>
                    <w:rPr>
                      <w:rFonts w:eastAsia="Wingdings"/>
                    </w:rPr>
                  </w:pPr>
                  <w:r w:rsidRPr="005D4222">
                    <w:rPr>
                      <w:rFonts w:eastAsia="Wingdings"/>
                    </w:rPr>
                    <w:t>Report once</w:t>
                  </w:r>
                </w:p>
              </w:tc>
            </w:tr>
            <w:tr w:rsidR="00E94944" w:rsidRPr="005D4222" w14:paraId="5E3E3102" w14:textId="77777777" w:rsidTr="00A53E8C">
              <w:trPr>
                <w:cantSplit/>
              </w:trPr>
              <w:tc>
                <w:tcPr>
                  <w:tcW w:w="2263" w:type="dxa"/>
                  <w:tcBorders>
                    <w:top w:val="single" w:sz="4" w:space="0" w:color="auto"/>
                    <w:left w:val="nil"/>
                    <w:bottom w:val="nil"/>
                    <w:right w:val="single" w:sz="4" w:space="0" w:color="auto"/>
                  </w:tcBorders>
                </w:tcPr>
                <w:p w14:paraId="0EACFD84" w14:textId="77777777" w:rsidR="00E94944" w:rsidRPr="005D4222" w:rsidRDefault="00E94944" w:rsidP="00A53E8C">
                  <w:pPr>
                    <w:pStyle w:val="TableText"/>
                    <w:rPr>
                      <w:rFonts w:eastAsia="Arial Narrow"/>
                    </w:rPr>
                  </w:pPr>
                </w:p>
              </w:tc>
              <w:tc>
                <w:tcPr>
                  <w:tcW w:w="2766" w:type="dxa"/>
                  <w:tcBorders>
                    <w:top w:val="single" w:sz="4" w:space="0" w:color="auto"/>
                    <w:left w:val="single" w:sz="4" w:space="0" w:color="auto"/>
                    <w:bottom w:val="single" w:sz="4" w:space="0" w:color="auto"/>
                    <w:right w:val="single" w:sz="4" w:space="0" w:color="auto"/>
                  </w:tcBorders>
                  <w:vAlign w:val="center"/>
                </w:tcPr>
                <w:p w14:paraId="1D8668B4" w14:textId="77777777" w:rsidR="00E94944" w:rsidRPr="005D4222" w:rsidRDefault="00E94944" w:rsidP="00A53E8C">
                  <w:pPr>
                    <w:pStyle w:val="TableText"/>
                    <w:rPr>
                      <w:rFonts w:eastAsia="Arial Narrow"/>
                    </w:rPr>
                  </w:pPr>
                  <w:r w:rsidRPr="005D4222">
                    <w:t>Exclusions</w:t>
                  </w:r>
                </w:p>
              </w:tc>
              <w:tc>
                <w:tcPr>
                  <w:tcW w:w="2315" w:type="dxa"/>
                  <w:tcBorders>
                    <w:top w:val="single" w:sz="4" w:space="0" w:color="auto"/>
                    <w:left w:val="single" w:sz="4" w:space="0" w:color="auto"/>
                    <w:bottom w:val="single" w:sz="4" w:space="0" w:color="auto"/>
                    <w:right w:val="single" w:sz="4" w:space="0" w:color="auto"/>
                  </w:tcBorders>
                </w:tcPr>
                <w:p w14:paraId="486B7A43" w14:textId="77777777" w:rsidR="00E94944" w:rsidRPr="005D4222" w:rsidRDefault="00E94944" w:rsidP="00A53E8C">
                  <w:pPr>
                    <w:pStyle w:val="TableText"/>
                    <w:rPr>
                      <w:rFonts w:eastAsia="Wingdings"/>
                    </w:rPr>
                  </w:pPr>
                  <w:r w:rsidRPr="005D4222">
                    <w:rPr>
                      <w:rFonts w:eastAsia="Wingdings"/>
                    </w:rPr>
                    <w:t>Report once</w:t>
                  </w:r>
                </w:p>
              </w:tc>
            </w:tr>
            <w:tr w:rsidR="00E94944" w:rsidRPr="005D4222" w14:paraId="7C50FFCA" w14:textId="77777777" w:rsidTr="00A53E8C">
              <w:trPr>
                <w:cantSplit/>
              </w:trPr>
              <w:tc>
                <w:tcPr>
                  <w:tcW w:w="2263" w:type="dxa"/>
                  <w:tcBorders>
                    <w:top w:val="nil"/>
                    <w:left w:val="nil"/>
                    <w:bottom w:val="nil"/>
                    <w:right w:val="single" w:sz="4" w:space="0" w:color="auto"/>
                  </w:tcBorders>
                </w:tcPr>
                <w:p w14:paraId="12EAFD4F" w14:textId="77777777" w:rsidR="00E94944" w:rsidRPr="005D4222" w:rsidRDefault="00E94944" w:rsidP="00A53E8C">
                  <w:pPr>
                    <w:pStyle w:val="TableText"/>
                    <w:rPr>
                      <w:rFonts w:eastAsia="Arial Narrow"/>
                    </w:rPr>
                  </w:pPr>
                </w:p>
              </w:tc>
              <w:tc>
                <w:tcPr>
                  <w:tcW w:w="2766" w:type="dxa"/>
                  <w:tcBorders>
                    <w:top w:val="single" w:sz="4" w:space="0" w:color="auto"/>
                    <w:left w:val="single" w:sz="4" w:space="0" w:color="auto"/>
                    <w:bottom w:val="single" w:sz="4" w:space="0" w:color="auto"/>
                  </w:tcBorders>
                  <w:vAlign w:val="center"/>
                </w:tcPr>
                <w:p w14:paraId="5C048289" w14:textId="77777777" w:rsidR="00E94944" w:rsidRPr="005D4222" w:rsidRDefault="00E94944" w:rsidP="00A53E8C">
                  <w:pPr>
                    <w:pStyle w:val="TableText"/>
                  </w:pPr>
                  <w:r w:rsidRPr="005D4222">
                    <w:t>Denominator</w:t>
                  </w:r>
                </w:p>
              </w:tc>
              <w:tc>
                <w:tcPr>
                  <w:tcW w:w="2315" w:type="dxa"/>
                </w:tcPr>
                <w:p w14:paraId="34109C82" w14:textId="77777777" w:rsidR="00E94944" w:rsidRPr="005D4222" w:rsidRDefault="00E94944" w:rsidP="00A53E8C">
                  <w:pPr>
                    <w:pStyle w:val="TableText"/>
                    <w:rPr>
                      <w:rFonts w:eastAsia="Wingdings"/>
                    </w:rPr>
                  </w:pPr>
                  <w:r w:rsidRPr="005D4222">
                    <w:rPr>
                      <w:rFonts w:eastAsia="Wingdings"/>
                    </w:rPr>
                    <w:t>Report once</w:t>
                  </w:r>
                </w:p>
              </w:tc>
            </w:tr>
            <w:tr w:rsidR="00E94944" w:rsidRPr="005D4222" w14:paraId="761C2131" w14:textId="77777777" w:rsidTr="00A53E8C">
              <w:trPr>
                <w:cantSplit/>
              </w:trPr>
              <w:tc>
                <w:tcPr>
                  <w:tcW w:w="2263" w:type="dxa"/>
                  <w:tcBorders>
                    <w:top w:val="nil"/>
                    <w:left w:val="nil"/>
                    <w:bottom w:val="nil"/>
                    <w:right w:val="single" w:sz="4" w:space="0" w:color="auto"/>
                  </w:tcBorders>
                </w:tcPr>
                <w:p w14:paraId="4A71DD0C" w14:textId="77777777" w:rsidR="00E94944" w:rsidRPr="005D4222" w:rsidRDefault="00E94944" w:rsidP="00A53E8C">
                  <w:pPr>
                    <w:pStyle w:val="TableText"/>
                    <w:rPr>
                      <w:rFonts w:eastAsia="Arial Narrow"/>
                    </w:rPr>
                  </w:pPr>
                </w:p>
              </w:tc>
              <w:tc>
                <w:tcPr>
                  <w:tcW w:w="2766" w:type="dxa"/>
                  <w:tcBorders>
                    <w:top w:val="single" w:sz="4" w:space="0" w:color="auto"/>
                    <w:left w:val="single" w:sz="4" w:space="0" w:color="auto"/>
                    <w:bottom w:val="single" w:sz="4" w:space="0" w:color="auto"/>
                    <w:right w:val="single" w:sz="4" w:space="0" w:color="auto"/>
                  </w:tcBorders>
                </w:tcPr>
                <w:p w14:paraId="0D39E829" w14:textId="77777777" w:rsidR="00E94944" w:rsidRPr="005D4222" w:rsidRDefault="00E94944" w:rsidP="00A53E8C">
                  <w:pPr>
                    <w:pStyle w:val="TableText"/>
                  </w:pPr>
                  <w:r w:rsidRPr="005D4222">
                    <w:t>Numerator</w:t>
                  </w:r>
                </w:p>
              </w:tc>
              <w:tc>
                <w:tcPr>
                  <w:tcW w:w="2315" w:type="dxa"/>
                  <w:tcBorders>
                    <w:top w:val="single" w:sz="4" w:space="0" w:color="auto"/>
                    <w:left w:val="single" w:sz="4" w:space="0" w:color="auto"/>
                    <w:bottom w:val="single" w:sz="4" w:space="0" w:color="auto"/>
                    <w:right w:val="single" w:sz="4" w:space="0" w:color="auto"/>
                  </w:tcBorders>
                </w:tcPr>
                <w:p w14:paraId="018C155C" w14:textId="77777777" w:rsidR="00E94944" w:rsidRPr="005D4222" w:rsidRDefault="00E94944" w:rsidP="00A53E8C">
                  <w:pPr>
                    <w:pStyle w:val="TableText"/>
                    <w:rPr>
                      <w:rFonts w:eastAsia="Wingdings"/>
                    </w:rPr>
                  </w:pPr>
                  <w:r w:rsidRPr="005D4222">
                    <w:rPr>
                      <w:rFonts w:eastAsia="Wingdings"/>
                    </w:rPr>
                    <w:t>Report once</w:t>
                  </w:r>
                </w:p>
              </w:tc>
            </w:tr>
            <w:tr w:rsidR="00E94944" w:rsidRPr="005D4222" w14:paraId="1710F8DF" w14:textId="77777777" w:rsidTr="00A53E8C">
              <w:trPr>
                <w:cantSplit/>
              </w:trPr>
              <w:tc>
                <w:tcPr>
                  <w:tcW w:w="2263" w:type="dxa"/>
                  <w:tcBorders>
                    <w:top w:val="nil"/>
                    <w:left w:val="nil"/>
                    <w:bottom w:val="nil"/>
                    <w:right w:val="single" w:sz="4" w:space="0" w:color="auto"/>
                  </w:tcBorders>
                </w:tcPr>
                <w:p w14:paraId="30324C8A" w14:textId="77777777" w:rsidR="00E94944" w:rsidRPr="005D4222" w:rsidRDefault="00E94944" w:rsidP="00A53E8C">
                  <w:pPr>
                    <w:pStyle w:val="TableText"/>
                    <w:rPr>
                      <w:rFonts w:eastAsia="Arial Narrow"/>
                    </w:rPr>
                  </w:pPr>
                </w:p>
              </w:tc>
              <w:tc>
                <w:tcPr>
                  <w:tcW w:w="276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4AF1331" w14:textId="77777777" w:rsidR="00E94944" w:rsidRPr="005D4222" w:rsidRDefault="00E94944" w:rsidP="00A53E8C">
                  <w:pPr>
                    <w:pStyle w:val="TableText"/>
                  </w:pPr>
                  <w:r w:rsidRPr="005D4222">
                    <w:t>Rate</w:t>
                  </w:r>
                </w:p>
              </w:tc>
              <w:tc>
                <w:tcPr>
                  <w:tcW w:w="23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7FF61A" w14:textId="77777777" w:rsidR="00E94944" w:rsidRPr="005D4222" w:rsidRDefault="00E94944" w:rsidP="00A53E8C">
                  <w:pPr>
                    <w:pStyle w:val="TableText"/>
                    <w:rPr>
                      <w:rFonts w:eastAsia="Wingdings"/>
                    </w:rPr>
                  </w:pPr>
                  <w:r w:rsidRPr="005D4222">
                    <w:rPr>
                      <w:rFonts w:eastAsia="Wingdings"/>
                    </w:rPr>
                    <w:t>(Percent)</w:t>
                  </w:r>
                </w:p>
              </w:tc>
            </w:tr>
          </w:tbl>
          <w:p w14:paraId="01284A0C" w14:textId="77777777" w:rsidR="00E94944" w:rsidRPr="005D4222" w:rsidRDefault="00E94944" w:rsidP="00A53E8C">
            <w:pPr>
              <w:rPr>
                <w:color w:val="000000" w:themeColor="text1"/>
                <w:highlight w:val="yellow"/>
              </w:rPr>
            </w:pPr>
          </w:p>
        </w:tc>
      </w:tr>
      <w:tr w:rsidR="00E94944" w:rsidRPr="005D4222" w14:paraId="2999DF2A" w14:textId="77777777" w:rsidTr="00C06E9F">
        <w:tc>
          <w:tcPr>
            <w:tcW w:w="197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86" w:type="dxa"/>
              <w:left w:w="86" w:type="dxa"/>
              <w:bottom w:w="43" w:type="dxa"/>
              <w:right w:w="86" w:type="dxa"/>
            </w:tcMar>
          </w:tcPr>
          <w:p w14:paraId="74AE937B" w14:textId="77777777" w:rsidR="00E94944" w:rsidRPr="005D4222" w:rsidRDefault="00E94944" w:rsidP="00A53E8C">
            <w:pPr>
              <w:pStyle w:val="MarginHead"/>
              <w:rPr>
                <w:rFonts w:cs="Arial"/>
                <w:szCs w:val="22"/>
              </w:rPr>
            </w:pPr>
            <w:r w:rsidRPr="005D4222">
              <w:rPr>
                <w:rFonts w:cs="Arial"/>
                <w:szCs w:val="22"/>
              </w:rPr>
              <w:t>Rules for Allowable Adjustments</w:t>
            </w:r>
          </w:p>
        </w:tc>
        <w:tc>
          <w:tcPr>
            <w:tcW w:w="7740" w:type="dxa"/>
            <w:gridSpan w:val="3"/>
            <w:tcBorders>
              <w:top w:val="single" w:sz="4" w:space="0" w:color="auto"/>
              <w:left w:val="single" w:sz="4" w:space="0" w:color="auto"/>
              <w:bottom w:val="single" w:sz="4" w:space="0" w:color="auto"/>
              <w:right w:val="single" w:sz="4" w:space="0" w:color="auto"/>
            </w:tcBorders>
            <w:tcMar>
              <w:top w:w="86" w:type="dxa"/>
              <w:left w:w="86" w:type="dxa"/>
              <w:bottom w:w="43" w:type="dxa"/>
              <w:right w:w="86" w:type="dxa"/>
            </w:tcMar>
          </w:tcPr>
          <w:p w14:paraId="49E9CE3D" w14:textId="537A224F" w:rsidR="00E94944" w:rsidRPr="005D4222" w:rsidRDefault="00E94944" w:rsidP="00E94944">
            <w:pPr>
              <w:pStyle w:val="ECDSBody"/>
              <w:rPr>
                <w:b/>
                <w:color w:val="000000" w:themeColor="text1"/>
              </w:rPr>
            </w:pPr>
            <w:r w:rsidRPr="005D4222">
              <w:rPr>
                <w:b/>
                <w:i/>
              </w:rPr>
              <w:t>Copyrigh</w:t>
            </w:r>
            <w:r w:rsidRPr="005D4222">
              <w:rPr>
                <w:b/>
                <w:i/>
                <w:iCs/>
              </w:rPr>
              <w:t>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tc>
      </w:tr>
    </w:tbl>
    <w:p w14:paraId="0F132268" w14:textId="77777777" w:rsidR="00E94944" w:rsidRPr="005D4222" w:rsidRDefault="00E94944" w:rsidP="00E94944"/>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1977"/>
        <w:gridCol w:w="7740"/>
      </w:tblGrid>
      <w:tr w:rsidR="00E94944" w:rsidRPr="005D4222" w14:paraId="65E70E93" w14:textId="77777777" w:rsidTr="00C06E9F">
        <w:tc>
          <w:tcPr>
            <w:tcW w:w="1977"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6C1BA295" w14:textId="77777777" w:rsidR="00E94944" w:rsidRPr="005D4222" w:rsidRDefault="00E94944" w:rsidP="00A53E8C">
            <w:pPr>
              <w:pStyle w:val="MarginHead"/>
              <w:rPr>
                <w:rFonts w:cs="Arial"/>
                <w:szCs w:val="22"/>
              </w:rPr>
            </w:pPr>
          </w:p>
        </w:tc>
        <w:tc>
          <w:tcPr>
            <w:tcW w:w="7740" w:type="dxa"/>
            <w:tcBorders>
              <w:top w:val="single" w:sz="4" w:space="0" w:color="auto"/>
              <w:left w:val="single" w:sz="4" w:space="0" w:color="auto"/>
              <w:right w:val="single" w:sz="4" w:space="0" w:color="auto"/>
            </w:tcBorders>
            <w:tcMar>
              <w:top w:w="0" w:type="dxa"/>
              <w:left w:w="86" w:type="dxa"/>
              <w:bottom w:w="43" w:type="dxa"/>
              <w:right w:w="86" w:type="dxa"/>
            </w:tcMar>
          </w:tcPr>
          <w:p w14:paraId="446A2542" w14:textId="77777777" w:rsidR="00E94944" w:rsidRPr="005D4222" w:rsidRDefault="00E94944" w:rsidP="00E94944">
            <w:pPr>
              <w:pStyle w:val="ECDSBody"/>
              <w:rPr>
                <w:b/>
                <w:bCs w:val="0"/>
              </w:rPr>
            </w:pPr>
            <w:r w:rsidRPr="005D4222">
              <w:rPr>
                <w:b/>
                <w:bCs w:val="0"/>
              </w:rPr>
              <w:t>Adjusted HEDIS measures may not be used for HEDIS health plan reporting.</w:t>
            </w:r>
          </w:p>
          <w:p w14:paraId="7B390DCF" w14:textId="77777777" w:rsidR="00E94944" w:rsidRPr="005D4222" w:rsidRDefault="00E94944" w:rsidP="00551317">
            <w:pPr>
              <w:pStyle w:val="Adjustments"/>
              <w:spacing w:before="120"/>
            </w:pPr>
            <w:r w:rsidRPr="005D4222">
              <w:t>Adjustments</w:t>
            </w:r>
            <w:r w:rsidRPr="005D4222">
              <w:rPr>
                <w:bCs/>
              </w:rPr>
              <w:t xml:space="preserve"> a</w:t>
            </w:r>
            <w:r w:rsidRPr="005D4222">
              <w:t>llowed</w:t>
            </w:r>
          </w:p>
          <w:p w14:paraId="56D3BCC1" w14:textId="19027F98" w:rsidR="00E94944" w:rsidRPr="005D4222" w:rsidRDefault="00E94944" w:rsidP="00E94944">
            <w:pPr>
              <w:pStyle w:val="ProcessBullet"/>
              <w:tabs>
                <w:tab w:val="left" w:pos="216"/>
              </w:tabs>
              <w:rPr>
                <w:b/>
                <w:bCs/>
                <w:color w:val="000000" w:themeColor="text1"/>
              </w:rPr>
            </w:pPr>
            <w:r w:rsidRPr="005D4222">
              <w:rPr>
                <w:i/>
                <w:iCs/>
              </w:rPr>
              <w:t xml:space="preserve">Product lines. </w:t>
            </w:r>
            <w:r w:rsidRPr="005D4222">
              <w:t>Organizations are not required to use product line criteria; product lines may be combined</w:t>
            </w:r>
            <w:r w:rsidR="00E8671F" w:rsidRPr="005D4222">
              <w:t>,</w:t>
            </w:r>
            <w:r w:rsidRPr="005D4222">
              <w:t xml:space="preserve"> and all (or no) product line criteria may be used.</w:t>
            </w:r>
          </w:p>
          <w:p w14:paraId="13FD0A03" w14:textId="77777777" w:rsidR="00E94944" w:rsidRPr="005D4222" w:rsidRDefault="00E94944" w:rsidP="00E94944">
            <w:pPr>
              <w:pStyle w:val="ProcessBullet"/>
              <w:tabs>
                <w:tab w:val="left" w:pos="216"/>
              </w:tabs>
              <w:rPr>
                <w:b/>
                <w:bCs/>
                <w:color w:val="000000" w:themeColor="text1"/>
              </w:rPr>
            </w:pPr>
            <w:r w:rsidRPr="005D4222">
              <w:rPr>
                <w:i/>
                <w:iCs/>
              </w:rPr>
              <w:t>Attribution.</w:t>
            </w:r>
            <w:r w:rsidRPr="005D4222">
              <w:t xml:space="preserve"> Organizations are not required to use enrollment criteria. </w:t>
            </w:r>
          </w:p>
          <w:p w14:paraId="6D75DD05" w14:textId="25D04374" w:rsidR="00E94944" w:rsidRPr="005D4222" w:rsidRDefault="00362E76" w:rsidP="00E94944">
            <w:pPr>
              <w:pStyle w:val="ProcessBullet"/>
              <w:tabs>
                <w:tab w:val="left" w:pos="216"/>
              </w:tabs>
              <w:rPr>
                <w:b/>
                <w:bCs/>
                <w:color w:val="000000" w:themeColor="text1"/>
              </w:rPr>
            </w:pPr>
            <w:r w:rsidRPr="005D4222">
              <w:rPr>
                <w:i/>
                <w:iCs/>
              </w:rPr>
              <w:t>Benefits.</w:t>
            </w:r>
            <w:r w:rsidR="00E94944" w:rsidRPr="005D4222">
              <w:t xml:space="preserve"> Organizations are not required to use a benefit.</w:t>
            </w:r>
          </w:p>
          <w:p w14:paraId="5DACF10A" w14:textId="036A20CA" w:rsidR="00E94944" w:rsidRPr="005D4222" w:rsidRDefault="00E94944" w:rsidP="00E94944">
            <w:pPr>
              <w:pStyle w:val="ProcessBullet"/>
              <w:tabs>
                <w:tab w:val="left" w:pos="216"/>
              </w:tabs>
            </w:pPr>
            <w:r w:rsidRPr="005D4222">
              <w:rPr>
                <w:i/>
                <w:iCs/>
              </w:rPr>
              <w:t>Ages.</w:t>
            </w:r>
            <w:r w:rsidRPr="005D4222">
              <w:t xml:space="preserve"> </w:t>
            </w:r>
            <w:r w:rsidR="00387D22" w:rsidRPr="005D4222">
              <w:t>The denominator age range may be expanded. The age determination dates may be changed (e.g., select, “age as of June 30”).</w:t>
            </w:r>
          </w:p>
          <w:p w14:paraId="4EA7FFF2" w14:textId="77777777" w:rsidR="00E94944" w:rsidRPr="005D4222" w:rsidRDefault="00E94944" w:rsidP="00E94944">
            <w:pPr>
              <w:pStyle w:val="ProcessBullet"/>
              <w:tabs>
                <w:tab w:val="left" w:pos="216"/>
              </w:tabs>
              <w:rPr>
                <w:b/>
                <w:bCs/>
                <w:color w:val="000000" w:themeColor="text1"/>
              </w:rPr>
            </w:pPr>
            <w:r w:rsidRPr="005D4222">
              <w:rPr>
                <w:i/>
                <w:iCs/>
              </w:rPr>
              <w:t>Other.</w:t>
            </w:r>
            <w:r w:rsidRPr="005D4222">
              <w:t xml:space="preserve"> Organizations may use additional initial population criteria to focus on an area of interest defined by gender, race, ethnicity, socioeconomic or sociodemographic characteristics, geographic region or another characteristic.</w:t>
            </w:r>
          </w:p>
          <w:p w14:paraId="1E12D5A9" w14:textId="77777777" w:rsidR="00E94944" w:rsidRPr="005D4222" w:rsidRDefault="00E94944" w:rsidP="00E94944">
            <w:pPr>
              <w:pStyle w:val="ProcessBullet"/>
              <w:tabs>
                <w:tab w:val="left" w:pos="216"/>
              </w:tabs>
              <w:rPr>
                <w:b/>
                <w:bCs/>
                <w:color w:val="000000" w:themeColor="text1"/>
              </w:rPr>
            </w:pPr>
            <w:r w:rsidRPr="005D4222">
              <w:rPr>
                <w:i/>
                <w:iCs/>
              </w:rPr>
              <w:t>Measurement period adjustments.</w:t>
            </w:r>
            <w:r w:rsidRPr="005D4222">
              <w:t xml:space="preserve"> Organizations may adjust the measurement period. </w:t>
            </w:r>
          </w:p>
          <w:p w14:paraId="539B79B4" w14:textId="77777777" w:rsidR="00E94944" w:rsidRPr="005D4222" w:rsidRDefault="00E94944" w:rsidP="00E94944">
            <w:pPr>
              <w:pStyle w:val="ProcessBullet"/>
              <w:tabs>
                <w:tab w:val="left" w:pos="216"/>
              </w:tabs>
              <w:rPr>
                <w:b/>
                <w:bCs/>
                <w:color w:val="000000" w:themeColor="text1"/>
              </w:rPr>
            </w:pPr>
            <w:r w:rsidRPr="005D4222">
              <w:rPr>
                <w:i/>
                <w:iCs/>
              </w:rPr>
              <w:t>Exclusions.</w:t>
            </w:r>
            <w:r w:rsidRPr="005D4222">
              <w:t xml:space="preserve"> Hospice and deceased person exclusions are not required. </w:t>
            </w:r>
          </w:p>
          <w:p w14:paraId="0E98C8E8" w14:textId="48B1CBDD" w:rsidR="00E94944" w:rsidRPr="005D4222" w:rsidRDefault="00E94944" w:rsidP="00E94944">
            <w:pPr>
              <w:pStyle w:val="ProcessBullet"/>
              <w:tabs>
                <w:tab w:val="left" w:pos="216"/>
              </w:tabs>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w:t>
            </w:r>
            <w:r w:rsidR="00F45777" w:rsidRPr="005D4222">
              <w:t>events</w:t>
            </w:r>
            <w:r w:rsidRPr="005D4222">
              <w:t>, numerators and exclusions that do not allow the use of telehealth.</w:t>
            </w:r>
          </w:p>
          <w:p w14:paraId="16602FF2" w14:textId="77777777" w:rsidR="00E94944" w:rsidRPr="005D4222" w:rsidRDefault="00E94944" w:rsidP="00A53E8C">
            <w:pPr>
              <w:pStyle w:val="Adjustments"/>
            </w:pPr>
            <w:r w:rsidRPr="005D4222">
              <w:t>Adjustments not allowed</w:t>
            </w:r>
          </w:p>
          <w:p w14:paraId="031C0B38" w14:textId="77777777" w:rsidR="00E94944" w:rsidRPr="005D4222" w:rsidRDefault="00E94944" w:rsidP="00E94944">
            <w:pPr>
              <w:pStyle w:val="ProcessBullet"/>
              <w:tabs>
                <w:tab w:val="left" w:pos="216"/>
              </w:tabs>
              <w:spacing w:after="80"/>
              <w:rPr>
                <w:b/>
                <w:i/>
              </w:rPr>
            </w:pPr>
            <w:r w:rsidRPr="005D4222">
              <w:rPr>
                <w:i/>
                <w:iCs/>
              </w:rPr>
              <w:t xml:space="preserve">Numerator. </w:t>
            </w:r>
            <w:r w:rsidRPr="005D4222">
              <w:t>The value sets and logic may not be changed.</w:t>
            </w:r>
          </w:p>
        </w:tc>
      </w:tr>
    </w:tbl>
    <w:p w14:paraId="5C73E461" w14:textId="77777777" w:rsidR="002235A6" w:rsidRPr="005D4222" w:rsidRDefault="002235A6" w:rsidP="00542E75">
      <w:pPr>
        <w:pStyle w:val="ECDSBody"/>
        <w:sectPr w:rsidR="002235A6" w:rsidRPr="005D4222" w:rsidSect="0074514A">
          <w:headerReference w:type="default" r:id="rId217"/>
          <w:type w:val="nextColumn"/>
          <w:pgSz w:w="12240" w:h="15840" w:code="1"/>
          <w:pgMar w:top="1080" w:right="1080" w:bottom="1080" w:left="1440" w:header="720" w:footer="720" w:gutter="0"/>
          <w:cols w:space="720"/>
          <w:docGrid w:linePitch="360"/>
        </w:sectPr>
      </w:pPr>
    </w:p>
    <w:p w14:paraId="7DA3684F" w14:textId="1F717C09" w:rsidR="00542E75" w:rsidRPr="005D4222" w:rsidRDefault="00B81F0D" w:rsidP="00B81F0D">
      <w:pPr>
        <w:pStyle w:val="MeasureTitle"/>
      </w:pPr>
      <w:bookmarkStart w:id="412" w:name="_Toc201813467"/>
      <w:r w:rsidRPr="005D4222">
        <w:lastRenderedPageBreak/>
        <w:t>Breast Cancer Screening</w:t>
      </w:r>
      <w:r w:rsidR="006B0FDD" w:rsidRPr="005D4222">
        <w:t xml:space="preserve"> (BCS-E)</w:t>
      </w:r>
      <w:bookmarkEnd w:id="412"/>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3" w:type="dxa"/>
          <w:right w:w="86" w:type="dxa"/>
        </w:tblCellMar>
        <w:tblLook w:val="04A0" w:firstRow="1" w:lastRow="0" w:firstColumn="1" w:lastColumn="0" w:noHBand="0" w:noVBand="1"/>
      </w:tblPr>
      <w:tblGrid>
        <w:gridCol w:w="2157"/>
        <w:gridCol w:w="4602"/>
        <w:gridCol w:w="1453"/>
        <w:gridCol w:w="1477"/>
      </w:tblGrid>
      <w:tr w:rsidR="004C2601" w:rsidRPr="005D4222" w14:paraId="2FAE14CD" w14:textId="77777777" w:rsidTr="00A53E8C">
        <w:tc>
          <w:tcPr>
            <w:tcW w:w="2157" w:type="dxa"/>
            <w:shd w:val="clear" w:color="auto" w:fill="BFBFBF" w:themeFill="background1" w:themeFillShade="BF"/>
            <w:tcMar>
              <w:top w:w="0" w:type="dxa"/>
              <w:left w:w="86" w:type="dxa"/>
              <w:bottom w:w="43" w:type="dxa"/>
              <w:right w:w="86" w:type="dxa"/>
            </w:tcMar>
            <w:hideMark/>
          </w:tcPr>
          <w:p w14:paraId="45C906D5" w14:textId="77777777" w:rsidR="004C2601" w:rsidRPr="005D4222" w:rsidRDefault="004C2601" w:rsidP="00A53E8C">
            <w:pPr>
              <w:pStyle w:val="ECDSMarginHead"/>
            </w:pPr>
            <w:r w:rsidRPr="005D4222">
              <w:t>Measure title</w:t>
            </w:r>
          </w:p>
        </w:tc>
        <w:tc>
          <w:tcPr>
            <w:tcW w:w="4602" w:type="dxa"/>
            <w:tcMar>
              <w:top w:w="0" w:type="dxa"/>
              <w:left w:w="86" w:type="dxa"/>
              <w:bottom w:w="43" w:type="dxa"/>
              <w:right w:w="86" w:type="dxa"/>
            </w:tcMar>
          </w:tcPr>
          <w:p w14:paraId="4C17F0AC" w14:textId="77777777" w:rsidR="004C2601" w:rsidRPr="005D4222" w:rsidRDefault="004C2601" w:rsidP="00A53E8C">
            <w:pPr>
              <w:pStyle w:val="ECDSBody"/>
            </w:pPr>
            <w:r w:rsidRPr="005D4222">
              <w:t>Breast Cancer Screening</w:t>
            </w:r>
          </w:p>
        </w:tc>
        <w:tc>
          <w:tcPr>
            <w:tcW w:w="1453" w:type="dxa"/>
            <w:shd w:val="clear" w:color="auto" w:fill="BFBFBF" w:themeFill="background1" w:themeFillShade="BF"/>
            <w:tcMar>
              <w:top w:w="0" w:type="dxa"/>
              <w:left w:w="86" w:type="dxa"/>
              <w:bottom w:w="43" w:type="dxa"/>
              <w:right w:w="86" w:type="dxa"/>
            </w:tcMar>
          </w:tcPr>
          <w:p w14:paraId="4D78C16A" w14:textId="77777777" w:rsidR="004C2601" w:rsidRPr="005D4222" w:rsidRDefault="004C2601" w:rsidP="00A53E8C">
            <w:pPr>
              <w:pStyle w:val="ECDSMarginHead"/>
            </w:pPr>
            <w:r w:rsidRPr="005D4222">
              <w:t>Measure ID</w:t>
            </w:r>
          </w:p>
        </w:tc>
        <w:tc>
          <w:tcPr>
            <w:tcW w:w="1477" w:type="dxa"/>
            <w:tcMar>
              <w:top w:w="0" w:type="dxa"/>
              <w:left w:w="86" w:type="dxa"/>
              <w:bottom w:w="43" w:type="dxa"/>
              <w:right w:w="86" w:type="dxa"/>
            </w:tcMar>
          </w:tcPr>
          <w:p w14:paraId="2CA0CB90" w14:textId="77777777" w:rsidR="004C2601" w:rsidRPr="005D4222" w:rsidRDefault="004C2601" w:rsidP="00A53E8C">
            <w:pPr>
              <w:pStyle w:val="ECDSBody"/>
            </w:pPr>
            <w:r w:rsidRPr="005D4222">
              <w:t>BCS-E</w:t>
            </w:r>
          </w:p>
        </w:tc>
      </w:tr>
      <w:tr w:rsidR="004C2601" w:rsidRPr="005D4222" w14:paraId="331DC377" w14:textId="77777777" w:rsidTr="00A53E8C">
        <w:tc>
          <w:tcPr>
            <w:tcW w:w="2157" w:type="dxa"/>
            <w:shd w:val="clear" w:color="auto" w:fill="BFBFBF" w:themeFill="background1" w:themeFillShade="BF"/>
            <w:tcMar>
              <w:top w:w="0" w:type="dxa"/>
              <w:left w:w="86" w:type="dxa"/>
              <w:bottom w:w="43" w:type="dxa"/>
              <w:right w:w="86" w:type="dxa"/>
            </w:tcMar>
            <w:hideMark/>
          </w:tcPr>
          <w:p w14:paraId="4460CCDF" w14:textId="77777777" w:rsidR="004C2601" w:rsidRPr="005D4222" w:rsidRDefault="004C2601" w:rsidP="00A53E8C">
            <w:pPr>
              <w:pStyle w:val="ECDSMarginHead"/>
            </w:pPr>
            <w:r w:rsidRPr="005D4222">
              <w:t>Description</w:t>
            </w:r>
          </w:p>
        </w:tc>
        <w:tc>
          <w:tcPr>
            <w:tcW w:w="7532" w:type="dxa"/>
            <w:gridSpan w:val="3"/>
            <w:tcMar>
              <w:top w:w="0" w:type="dxa"/>
              <w:left w:w="86" w:type="dxa"/>
              <w:bottom w:w="43" w:type="dxa"/>
              <w:right w:w="86" w:type="dxa"/>
            </w:tcMar>
          </w:tcPr>
          <w:p w14:paraId="50A05D07" w14:textId="77777777" w:rsidR="004C2601" w:rsidRPr="005D4222" w:rsidRDefault="004C2601" w:rsidP="00A53E8C">
            <w:pPr>
              <w:pStyle w:val="ECDSBody"/>
            </w:pPr>
            <w:r w:rsidRPr="005D4222">
              <w:t>The percentage of persons 40–74 years of age who were recommended for routine breast cancer screening and had a mammogram to screen for breast cancer.</w:t>
            </w:r>
          </w:p>
        </w:tc>
      </w:tr>
      <w:tr w:rsidR="004C2601" w:rsidRPr="005D4222" w14:paraId="20702EDC" w14:textId="77777777" w:rsidTr="00A53E8C">
        <w:tc>
          <w:tcPr>
            <w:tcW w:w="2157" w:type="dxa"/>
            <w:shd w:val="clear" w:color="auto" w:fill="BFBFBF" w:themeFill="background1" w:themeFillShade="BF"/>
            <w:tcMar>
              <w:top w:w="0" w:type="dxa"/>
              <w:left w:w="86" w:type="dxa"/>
              <w:bottom w:w="43" w:type="dxa"/>
              <w:right w:w="86" w:type="dxa"/>
            </w:tcMar>
          </w:tcPr>
          <w:p w14:paraId="17E0719E" w14:textId="77777777" w:rsidR="004C2601" w:rsidRPr="005D4222" w:rsidRDefault="004C2601" w:rsidP="00A53E8C">
            <w:pPr>
              <w:pStyle w:val="ECDSMarginHead"/>
            </w:pPr>
            <w:r w:rsidRPr="005D4222">
              <w:t>Measurement period</w:t>
            </w:r>
          </w:p>
        </w:tc>
        <w:tc>
          <w:tcPr>
            <w:tcW w:w="7532" w:type="dxa"/>
            <w:gridSpan w:val="3"/>
            <w:tcMar>
              <w:top w:w="0" w:type="dxa"/>
              <w:left w:w="86" w:type="dxa"/>
              <w:bottom w:w="43" w:type="dxa"/>
              <w:right w:w="86" w:type="dxa"/>
            </w:tcMar>
          </w:tcPr>
          <w:p w14:paraId="18737585" w14:textId="77777777" w:rsidR="004C2601" w:rsidRPr="005D4222" w:rsidRDefault="004C2601" w:rsidP="00A53E8C">
            <w:pPr>
              <w:pStyle w:val="ECDSBody"/>
            </w:pPr>
            <w:r w:rsidRPr="005D4222">
              <w:t>January 1–December 31.</w:t>
            </w:r>
          </w:p>
        </w:tc>
      </w:tr>
      <w:tr w:rsidR="004C2601" w:rsidRPr="005D4222" w14:paraId="780352DF" w14:textId="77777777" w:rsidTr="00A53E8C">
        <w:tc>
          <w:tcPr>
            <w:tcW w:w="2157" w:type="dxa"/>
            <w:shd w:val="clear" w:color="auto" w:fill="BFBFBF" w:themeFill="background1" w:themeFillShade="BF"/>
            <w:tcMar>
              <w:top w:w="0" w:type="dxa"/>
              <w:left w:w="86" w:type="dxa"/>
              <w:bottom w:w="43" w:type="dxa"/>
              <w:right w:w="86" w:type="dxa"/>
            </w:tcMar>
            <w:hideMark/>
          </w:tcPr>
          <w:p w14:paraId="0AC2629A" w14:textId="77777777" w:rsidR="004C2601" w:rsidRPr="005D4222" w:rsidRDefault="004C2601" w:rsidP="00A53E8C">
            <w:pPr>
              <w:pStyle w:val="ECDSMarginHead"/>
              <w:rPr>
                <w:rFonts w:eastAsia="Arial"/>
              </w:rPr>
            </w:pPr>
            <w:r w:rsidRPr="005D4222">
              <w:rPr>
                <w:rFonts w:eastAsia="Arial"/>
              </w:rPr>
              <w:t>Copyright and disclaimer notice</w:t>
            </w:r>
          </w:p>
        </w:tc>
        <w:tc>
          <w:tcPr>
            <w:tcW w:w="7532" w:type="dxa"/>
            <w:gridSpan w:val="3"/>
            <w:tcMar>
              <w:top w:w="0" w:type="dxa"/>
              <w:left w:w="86" w:type="dxa"/>
              <w:bottom w:w="43" w:type="dxa"/>
              <w:right w:w="86" w:type="dxa"/>
            </w:tcMar>
          </w:tcPr>
          <w:p w14:paraId="5E4D55A8" w14:textId="77777777" w:rsidR="004C2601" w:rsidRPr="005D4222" w:rsidRDefault="004C2601" w:rsidP="00A53E8C">
            <w:pPr>
              <w:pStyle w:val="ECDSBody"/>
            </w:pPr>
            <w:r w:rsidRPr="005D4222">
              <w:t xml:space="preserve">Refer to the complete copyright and disclaimer information at the front of this publication. </w:t>
            </w:r>
          </w:p>
          <w:p w14:paraId="57DBF236" w14:textId="77777777" w:rsidR="004C2601" w:rsidRPr="005D4222" w:rsidRDefault="004C2601" w:rsidP="00A53E8C">
            <w:pPr>
              <w:pStyle w:val="ECDSBody"/>
              <w:rPr>
                <w:rFonts w:eastAsia="Arial"/>
              </w:rPr>
            </w:pPr>
            <w:r w:rsidRPr="005D4222">
              <w:rPr>
                <w:rFonts w:eastAsia="Arial"/>
              </w:rPr>
              <w:t xml:space="preserve">NCQA website: </w:t>
            </w:r>
            <w:r w:rsidRPr="005D4222">
              <w:rPr>
                <w:rFonts w:eastAsia="Arial"/>
                <w:u w:val="single"/>
              </w:rPr>
              <w:t>www.ncqa.org</w:t>
            </w:r>
            <w:r w:rsidRPr="005D4222">
              <w:rPr>
                <w:rFonts w:eastAsia="Arial"/>
              </w:rPr>
              <w:t>.</w:t>
            </w:r>
          </w:p>
          <w:p w14:paraId="2BE7D5D7" w14:textId="77777777" w:rsidR="004C2601" w:rsidRPr="005D4222" w:rsidRDefault="004C2601" w:rsidP="00A53E8C">
            <w:pPr>
              <w:pStyle w:val="ECDSBody"/>
            </w:pPr>
            <w:r w:rsidRPr="005D4222">
              <w:rPr>
                <w:rFonts w:eastAsia="Arial"/>
              </w:rPr>
              <w:t>Submit policy clarification support questions via My NCQA (</w:t>
            </w:r>
            <w:r w:rsidRPr="005D4222">
              <w:rPr>
                <w:rFonts w:eastAsia="Arial"/>
                <w:u w:val="single"/>
              </w:rPr>
              <w:t>https://my.ncqa.org</w:t>
            </w:r>
            <w:r w:rsidRPr="005D4222">
              <w:rPr>
                <w:rFonts w:eastAsia="Arial"/>
              </w:rPr>
              <w:t>).</w:t>
            </w:r>
          </w:p>
        </w:tc>
      </w:tr>
      <w:tr w:rsidR="004C2601" w:rsidRPr="005D4222" w14:paraId="07DB2E62" w14:textId="77777777" w:rsidTr="00A53E8C">
        <w:tc>
          <w:tcPr>
            <w:tcW w:w="2157" w:type="dxa"/>
            <w:shd w:val="clear" w:color="auto" w:fill="BFBFBF" w:themeFill="background1" w:themeFillShade="BF"/>
            <w:tcMar>
              <w:top w:w="0" w:type="dxa"/>
              <w:left w:w="86" w:type="dxa"/>
              <w:bottom w:w="43" w:type="dxa"/>
              <w:right w:w="86" w:type="dxa"/>
            </w:tcMar>
            <w:hideMark/>
          </w:tcPr>
          <w:p w14:paraId="328F36F0" w14:textId="77777777" w:rsidR="004C2601" w:rsidRPr="005D4222" w:rsidRDefault="004C2601" w:rsidP="00A53E8C">
            <w:pPr>
              <w:pStyle w:val="ECDSMarginHead"/>
            </w:pPr>
            <w:r w:rsidRPr="005D4222">
              <w:t>Clinical recommendation statement/ rationale</w:t>
            </w:r>
          </w:p>
        </w:tc>
        <w:tc>
          <w:tcPr>
            <w:tcW w:w="7532" w:type="dxa"/>
            <w:gridSpan w:val="3"/>
            <w:tcMar>
              <w:top w:w="0" w:type="dxa"/>
              <w:left w:w="86" w:type="dxa"/>
              <w:bottom w:w="43" w:type="dxa"/>
              <w:right w:w="86" w:type="dxa"/>
            </w:tcMar>
          </w:tcPr>
          <w:p w14:paraId="3B3B6DD4" w14:textId="77777777" w:rsidR="004C2601" w:rsidRPr="005D4222" w:rsidDel="00405859" w:rsidRDefault="004C2601" w:rsidP="00A53E8C">
            <w:pPr>
              <w:pStyle w:val="ECDSBody"/>
              <w:rPr>
                <w:kern w:val="20"/>
              </w:rPr>
            </w:pPr>
            <w:r w:rsidRPr="005D4222">
              <w:rPr>
                <w:kern w:val="20"/>
              </w:rPr>
              <w:t xml:space="preserve">The U.S. Preventive Services Task Force (USPSTF) recommends biennial </w:t>
            </w:r>
            <w:r w:rsidRPr="005D4222" w:rsidDel="00011C17">
              <w:rPr>
                <w:kern w:val="20"/>
              </w:rPr>
              <w:t>screening</w:t>
            </w:r>
            <w:r w:rsidRPr="005D4222">
              <w:rPr>
                <w:kern w:val="20"/>
              </w:rPr>
              <w:t xml:space="preserve"> mammography for</w:t>
            </w:r>
            <w:r w:rsidRPr="005D4222" w:rsidDel="00011C17">
              <w:rPr>
                <w:kern w:val="20"/>
              </w:rPr>
              <w:t xml:space="preserve"> women </w:t>
            </w:r>
            <w:r w:rsidRPr="005D4222">
              <w:rPr>
                <w:kern w:val="20"/>
              </w:rPr>
              <w:t>aged 4</w:t>
            </w:r>
            <w:r w:rsidRPr="005D4222" w:rsidDel="00011C17">
              <w:rPr>
                <w:kern w:val="20"/>
              </w:rPr>
              <w:t>0–74 years.</w:t>
            </w:r>
            <w:r w:rsidRPr="005D4222">
              <w:rPr>
                <w:kern w:val="20"/>
              </w:rPr>
              <w:t xml:space="preserve"> (B recommendation)</w:t>
            </w:r>
          </w:p>
          <w:p w14:paraId="71F13348" w14:textId="77777777" w:rsidR="004C2601" w:rsidRPr="005D4222" w:rsidRDefault="004C2601" w:rsidP="00A53E8C">
            <w:pPr>
              <w:pStyle w:val="ECDSBody"/>
              <w:rPr>
                <w:kern w:val="20"/>
              </w:rPr>
            </w:pPr>
            <w:r w:rsidRPr="005D4222">
              <w:rPr>
                <w:kern w:val="20"/>
              </w:rPr>
              <w:t>The Fenway Institute recommends that for patients assigned female at birth who have not undergone chest reconstruction (including those who have had breast reduction), breast/chest screening recommendations are the same as for cisgender women of a similar age and medical history.</w:t>
            </w:r>
          </w:p>
          <w:p w14:paraId="4D49461E" w14:textId="77777777" w:rsidR="004C2601" w:rsidRPr="005D4222" w:rsidRDefault="004C2601" w:rsidP="00A53E8C">
            <w:pPr>
              <w:pStyle w:val="ECDSBody"/>
              <w:rPr>
                <w:kern w:val="20"/>
              </w:rPr>
            </w:pPr>
            <w:r w:rsidRPr="005D4222">
              <w:rPr>
                <w:kern w:val="20"/>
              </w:rPr>
              <w:t>The University of California San Francisco Center of Excellence for Transgender Health recommends that transgender men who have not undergone bilateral mastectomy, or who have only undergone breast reduction, undergo screening according to current guidelines for non-transgender women.</w:t>
            </w:r>
          </w:p>
          <w:p w14:paraId="0F13DB92" w14:textId="77777777" w:rsidR="004C2601" w:rsidRPr="005D4222" w:rsidRDefault="004C2601" w:rsidP="00A53E8C">
            <w:pPr>
              <w:pStyle w:val="ECDSBody"/>
              <w:rPr>
                <w:highlight w:val="yellow"/>
              </w:rPr>
            </w:pPr>
            <w:r w:rsidRPr="005D4222">
              <w:rPr>
                <w:kern w:val="20"/>
              </w:rPr>
              <w:t>The World Professional Association for Transgender Health recommends health care professionals follow local breast cancer screening guidelines developed for cisgender women in their care of transgender and gender diverse people with breasts from natal puberty who have not had gender-affirming chest surgery.</w:t>
            </w:r>
          </w:p>
        </w:tc>
      </w:tr>
      <w:tr w:rsidR="004C2601" w:rsidRPr="005D4222" w14:paraId="5E0236F0" w14:textId="77777777" w:rsidTr="00A53E8C">
        <w:tc>
          <w:tcPr>
            <w:tcW w:w="2157" w:type="dxa"/>
            <w:shd w:val="clear" w:color="auto" w:fill="BFBFBF" w:themeFill="background1" w:themeFillShade="BF"/>
            <w:tcMar>
              <w:top w:w="0" w:type="dxa"/>
              <w:left w:w="86" w:type="dxa"/>
              <w:bottom w:w="43" w:type="dxa"/>
              <w:right w:w="86" w:type="dxa"/>
            </w:tcMar>
          </w:tcPr>
          <w:p w14:paraId="7E8F1DDF" w14:textId="77777777" w:rsidR="004C2601" w:rsidRPr="005D4222" w:rsidRDefault="004C2601" w:rsidP="00A53E8C">
            <w:pPr>
              <w:pStyle w:val="ECDSMarginHead"/>
            </w:pPr>
            <w:r w:rsidRPr="005D4222">
              <w:t>Citations</w:t>
            </w:r>
          </w:p>
        </w:tc>
        <w:tc>
          <w:tcPr>
            <w:tcW w:w="7532" w:type="dxa"/>
            <w:gridSpan w:val="3"/>
            <w:tcMar>
              <w:top w:w="0" w:type="dxa"/>
              <w:left w:w="86" w:type="dxa"/>
              <w:bottom w:w="43" w:type="dxa"/>
              <w:right w:w="86" w:type="dxa"/>
            </w:tcMar>
          </w:tcPr>
          <w:p w14:paraId="5379DDA9" w14:textId="77777777" w:rsidR="004C2601" w:rsidRPr="005D4222" w:rsidRDefault="004C2601" w:rsidP="00A53E8C">
            <w:pPr>
              <w:pStyle w:val="ECDSBody"/>
            </w:pPr>
            <w:r w:rsidRPr="005D4222">
              <w:t xml:space="preserve">U.S. Preventive Services Task Force. Nicholson, W.K., M. Silverstein, J.B. Wong, M.J. Barry, D. Chelmow, T. Rucker Coker, et al. June 11, 2024. “Screening for Breast Cancer: U.S. Preventive Services Task Force Recommendation Statement.” </w:t>
            </w:r>
            <w:r w:rsidRPr="005D4222">
              <w:rPr>
                <w:i/>
                <w:iCs/>
              </w:rPr>
              <w:t>JAMA</w:t>
            </w:r>
            <w:r w:rsidRPr="005D4222">
              <w:t xml:space="preserve"> 331, no. 22: 1918. https://doi.org/10.1001/jama.2024.5534</w:t>
            </w:r>
          </w:p>
          <w:p w14:paraId="05397ABC" w14:textId="77777777" w:rsidR="004C2601" w:rsidRPr="005D4222" w:rsidRDefault="004C2601" w:rsidP="00A53E8C">
            <w:pPr>
              <w:pStyle w:val="ECDSBody"/>
              <w:rPr>
                <w:kern w:val="20"/>
              </w:rPr>
            </w:pPr>
            <w:r w:rsidRPr="005D4222">
              <w:rPr>
                <w:kern w:val="20"/>
              </w:rPr>
              <w:t xml:space="preserve">Fenway Health. 2021. </w:t>
            </w:r>
            <w:r w:rsidRPr="005D4222">
              <w:rPr>
                <w:i/>
                <w:kern w:val="20"/>
              </w:rPr>
              <w:t>Medical Care of Trans and Gender Diverse Adults</w:t>
            </w:r>
            <w:r w:rsidRPr="005D4222">
              <w:rPr>
                <w:kern w:val="20"/>
              </w:rPr>
              <w:t>. https://fenwayhealth.org/wp-content/uploads/Medical-Care-of-Trans-and-Gender-Diverse-Adults-Spring-2021-1.pdf</w:t>
            </w:r>
          </w:p>
          <w:p w14:paraId="17817F6D" w14:textId="0BE2C134" w:rsidR="004C2601" w:rsidRPr="005D4222" w:rsidRDefault="004C2601" w:rsidP="00123799">
            <w:pPr>
              <w:pStyle w:val="ECDSBody"/>
              <w:rPr>
                <w:highlight w:val="yellow"/>
              </w:rPr>
            </w:pPr>
            <w:r w:rsidRPr="005D4222">
              <w:rPr>
                <w:kern w:val="20"/>
              </w:rPr>
              <w:t xml:space="preserve">University of California San Francisco Center of Excellence for Transgender Health. 2016. </w:t>
            </w:r>
            <w:r w:rsidRPr="005D4222">
              <w:rPr>
                <w:i/>
                <w:kern w:val="20"/>
              </w:rPr>
              <w:t>Guidelines for the Primary and Gender-Affirming Care of Transgender and Gender Nonbinary People</w:t>
            </w:r>
            <w:r w:rsidRPr="005D4222">
              <w:rPr>
                <w:kern w:val="20"/>
              </w:rPr>
              <w:t>. https://transcare.ucsf.edu/sites/transcare.ucsf.edu/files/Transgender-PGACG-6-17-16.pdf</w:t>
            </w:r>
          </w:p>
        </w:tc>
      </w:tr>
      <w:tr w:rsidR="00123799" w:rsidRPr="005D4222" w14:paraId="7FE7F3A1" w14:textId="77777777" w:rsidTr="00A53E8C">
        <w:tc>
          <w:tcPr>
            <w:tcW w:w="2157" w:type="dxa"/>
            <w:shd w:val="clear" w:color="auto" w:fill="BFBFBF" w:themeFill="background1" w:themeFillShade="BF"/>
            <w:tcMar>
              <w:top w:w="0" w:type="dxa"/>
              <w:left w:w="86" w:type="dxa"/>
              <w:bottom w:w="43" w:type="dxa"/>
              <w:right w:w="86" w:type="dxa"/>
            </w:tcMar>
          </w:tcPr>
          <w:p w14:paraId="0A28767C" w14:textId="77777777" w:rsidR="00123799" w:rsidRPr="005D4222" w:rsidRDefault="00123799" w:rsidP="00A53E8C">
            <w:pPr>
              <w:pStyle w:val="ECDSMarginHead"/>
            </w:pPr>
          </w:p>
        </w:tc>
        <w:tc>
          <w:tcPr>
            <w:tcW w:w="7532" w:type="dxa"/>
            <w:gridSpan w:val="3"/>
            <w:tcMar>
              <w:top w:w="0" w:type="dxa"/>
              <w:left w:w="86" w:type="dxa"/>
              <w:bottom w:w="43" w:type="dxa"/>
              <w:right w:w="86" w:type="dxa"/>
            </w:tcMar>
          </w:tcPr>
          <w:p w14:paraId="4D56397B" w14:textId="1F2DAD31" w:rsidR="00123799" w:rsidRPr="005D4222" w:rsidRDefault="00123799" w:rsidP="00A53E8C">
            <w:pPr>
              <w:pStyle w:val="ECDSBody"/>
            </w:pPr>
            <w:r w:rsidRPr="005D4222">
              <w:rPr>
                <w:kern w:val="20"/>
              </w:rPr>
              <w:t xml:space="preserve">World Professional Association for Transgender Health. 2022. </w:t>
            </w:r>
            <w:r w:rsidRPr="005D4222">
              <w:rPr>
                <w:i/>
                <w:kern w:val="20"/>
              </w:rPr>
              <w:t>Standards of Care for the Health of Transgender and Gender Diverse People, Version 8.</w:t>
            </w:r>
            <w:r w:rsidRPr="005D4222">
              <w:rPr>
                <w:kern w:val="20"/>
              </w:rPr>
              <w:t xml:space="preserve"> https://www.tandfonline.com/doi/pdf/10.1080/26895269.2022.2100644</w:t>
            </w:r>
          </w:p>
        </w:tc>
      </w:tr>
      <w:tr w:rsidR="004C2601" w:rsidRPr="005D4222" w14:paraId="772228EF" w14:textId="77777777" w:rsidTr="00A53E8C">
        <w:tc>
          <w:tcPr>
            <w:tcW w:w="9689" w:type="dxa"/>
            <w:gridSpan w:val="4"/>
            <w:shd w:val="clear" w:color="auto" w:fill="BFBFBF" w:themeFill="background1" w:themeFillShade="BF"/>
            <w:tcMar>
              <w:top w:w="0" w:type="dxa"/>
              <w:left w:w="86" w:type="dxa"/>
              <w:bottom w:w="43" w:type="dxa"/>
              <w:right w:w="86" w:type="dxa"/>
            </w:tcMar>
          </w:tcPr>
          <w:p w14:paraId="160273D3" w14:textId="77777777" w:rsidR="004C2601" w:rsidRPr="005D4222" w:rsidRDefault="004C2601" w:rsidP="00A53E8C">
            <w:pPr>
              <w:pStyle w:val="ECDSMarginHead"/>
            </w:pPr>
            <w:r w:rsidRPr="005D4222">
              <w:t>Characteristics</w:t>
            </w:r>
          </w:p>
        </w:tc>
      </w:tr>
      <w:tr w:rsidR="004C2601" w:rsidRPr="005D4222" w14:paraId="47957BF9" w14:textId="77777777" w:rsidTr="00A53E8C">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74895D5F" w14:textId="77777777" w:rsidR="004C2601" w:rsidRPr="005D4222" w:rsidRDefault="004C2601" w:rsidP="00123799">
            <w:pPr>
              <w:pStyle w:val="ECDSMarginSubhead"/>
              <w:spacing w:after="0"/>
            </w:pPr>
            <w:r w:rsidRPr="005D4222">
              <w:t>Scoring</w:t>
            </w:r>
          </w:p>
        </w:tc>
        <w:tc>
          <w:tcPr>
            <w:tcW w:w="7532"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54CFEBCA" w14:textId="77777777" w:rsidR="004C2601" w:rsidRPr="005D4222" w:rsidRDefault="004C2601" w:rsidP="00123799">
            <w:pPr>
              <w:pStyle w:val="ECDSBody"/>
              <w:spacing w:after="0"/>
            </w:pPr>
            <w:r w:rsidRPr="005D4222">
              <w:t>Proportion.</w:t>
            </w:r>
          </w:p>
        </w:tc>
      </w:tr>
      <w:tr w:rsidR="004C2601" w:rsidRPr="005D4222" w14:paraId="58BED4A1"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4CC1E642" w14:textId="77777777" w:rsidR="004C2601" w:rsidRPr="005D4222" w:rsidRDefault="004C2601" w:rsidP="00123799">
            <w:pPr>
              <w:pStyle w:val="ECDSMarginSubhead"/>
              <w:spacing w:after="0"/>
            </w:pPr>
            <w:r w:rsidRPr="005D4222">
              <w:t>Type</w:t>
            </w:r>
          </w:p>
        </w:tc>
        <w:tc>
          <w:tcPr>
            <w:tcW w:w="7532" w:type="dxa"/>
            <w:gridSpan w:val="3"/>
            <w:tcBorders>
              <w:top w:val="nil"/>
              <w:left w:val="single" w:sz="4" w:space="0" w:color="auto"/>
              <w:bottom w:val="nil"/>
              <w:right w:val="single" w:sz="4" w:space="0" w:color="auto"/>
            </w:tcBorders>
            <w:tcMar>
              <w:top w:w="0" w:type="dxa"/>
              <w:left w:w="86" w:type="dxa"/>
              <w:bottom w:w="43" w:type="dxa"/>
              <w:right w:w="86" w:type="dxa"/>
            </w:tcMar>
          </w:tcPr>
          <w:p w14:paraId="45AB53E8" w14:textId="77777777" w:rsidR="004C2601" w:rsidRPr="005D4222" w:rsidRDefault="004C2601" w:rsidP="00123799">
            <w:pPr>
              <w:pStyle w:val="ECDSBody"/>
              <w:spacing w:after="0"/>
            </w:pPr>
            <w:r w:rsidRPr="005D4222">
              <w:t>Process.</w:t>
            </w:r>
          </w:p>
        </w:tc>
      </w:tr>
      <w:tr w:rsidR="004C2601" w:rsidRPr="005D4222" w14:paraId="037D5057" w14:textId="77777777" w:rsidTr="004C2601">
        <w:tc>
          <w:tcPr>
            <w:tcW w:w="2157" w:type="dxa"/>
            <w:tcBorders>
              <w:top w:val="nil"/>
              <w:left w:val="single" w:sz="4" w:space="0" w:color="auto"/>
              <w:bottom w:val="nil"/>
              <w:right w:val="single" w:sz="4" w:space="0" w:color="auto"/>
            </w:tcBorders>
            <w:tcMar>
              <w:top w:w="0" w:type="dxa"/>
              <w:left w:w="86" w:type="dxa"/>
              <w:bottom w:w="43" w:type="dxa"/>
              <w:right w:w="86" w:type="dxa"/>
            </w:tcMar>
          </w:tcPr>
          <w:p w14:paraId="2BF00D2A" w14:textId="2D9CB757" w:rsidR="004C2601" w:rsidRPr="005D4222" w:rsidRDefault="00B51CDC" w:rsidP="00A53E8C">
            <w:pPr>
              <w:pStyle w:val="ECDSMarginSubhead"/>
            </w:pPr>
            <w:r w:rsidRPr="005D4222">
              <w:t>Product lines</w:t>
            </w:r>
          </w:p>
        </w:tc>
        <w:tc>
          <w:tcPr>
            <w:tcW w:w="7532" w:type="dxa"/>
            <w:gridSpan w:val="3"/>
            <w:tcBorders>
              <w:top w:val="nil"/>
              <w:left w:val="single" w:sz="4" w:space="0" w:color="auto"/>
              <w:bottom w:val="nil"/>
              <w:right w:val="single" w:sz="4" w:space="0" w:color="auto"/>
            </w:tcBorders>
            <w:tcMar>
              <w:top w:w="0" w:type="dxa"/>
              <w:left w:w="86" w:type="dxa"/>
              <w:bottom w:w="43" w:type="dxa"/>
              <w:right w:w="86" w:type="dxa"/>
            </w:tcMar>
          </w:tcPr>
          <w:p w14:paraId="3335D495" w14:textId="77777777" w:rsidR="004C2601" w:rsidRPr="005D4222" w:rsidRDefault="004C2601" w:rsidP="005D6173">
            <w:pPr>
              <w:pStyle w:val="ProcessBullet"/>
              <w:numPr>
                <w:ilvl w:val="0"/>
                <w:numId w:val="134"/>
              </w:numPr>
              <w:tabs>
                <w:tab w:val="left" w:pos="216"/>
              </w:tabs>
              <w:ind w:left="216" w:hanging="216"/>
              <w:rPr>
                <w:rFonts w:eastAsia="Arial,Arial,Arial,Arial,Arial,A"/>
              </w:rPr>
            </w:pPr>
            <w:r w:rsidRPr="005D4222">
              <w:rPr>
                <w:rFonts w:eastAsia="Arial,Arial,Arial,Arial,Arial,A"/>
              </w:rPr>
              <w:t>Commercial.</w:t>
            </w:r>
          </w:p>
          <w:p w14:paraId="3329272E" w14:textId="77777777" w:rsidR="004C2601" w:rsidRPr="005D4222" w:rsidRDefault="004C2601" w:rsidP="005D6173">
            <w:pPr>
              <w:pStyle w:val="ProcessBullet"/>
              <w:numPr>
                <w:ilvl w:val="0"/>
                <w:numId w:val="134"/>
              </w:numPr>
              <w:tabs>
                <w:tab w:val="left" w:pos="216"/>
              </w:tabs>
              <w:ind w:left="216" w:hanging="216"/>
              <w:rPr>
                <w:rFonts w:eastAsia="Arial,Arial,Arial,Arial,Arial,A"/>
              </w:rPr>
            </w:pPr>
            <w:r w:rsidRPr="005D4222">
              <w:rPr>
                <w:rFonts w:eastAsia="Arial,Arial,Arial,Arial,Arial,A"/>
              </w:rPr>
              <w:t>Medicaid.</w:t>
            </w:r>
          </w:p>
          <w:p w14:paraId="4CD0DB63" w14:textId="77777777" w:rsidR="004C2601" w:rsidRPr="005D4222" w:rsidRDefault="004C2601" w:rsidP="005D6173">
            <w:pPr>
              <w:pStyle w:val="ProcessBullet"/>
              <w:numPr>
                <w:ilvl w:val="0"/>
                <w:numId w:val="134"/>
              </w:numPr>
              <w:tabs>
                <w:tab w:val="left" w:pos="216"/>
              </w:tabs>
              <w:ind w:left="216" w:hanging="216"/>
              <w:rPr>
                <w:rFonts w:eastAsia="Arial,Arial,Arial,Arial,Arial,A"/>
              </w:rPr>
            </w:pPr>
            <w:r w:rsidRPr="005D4222">
              <w:rPr>
                <w:rFonts w:eastAsia="Arial,Arial,Arial,Arial,Arial,A"/>
              </w:rPr>
              <w:t>Medicare.</w:t>
            </w:r>
          </w:p>
        </w:tc>
      </w:tr>
      <w:tr w:rsidR="004C2601" w:rsidRPr="005D4222" w14:paraId="063609EF" w14:textId="77777777" w:rsidTr="004C2601">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797FD83E" w14:textId="42E3B2BB" w:rsidR="004C2601" w:rsidRPr="005D4222" w:rsidRDefault="00B51CDC" w:rsidP="00A53E8C">
            <w:pPr>
              <w:pStyle w:val="ECDSMarginSubhead"/>
            </w:pPr>
            <w:r w:rsidRPr="005D4222">
              <w:t>Stratifications</w:t>
            </w:r>
            <w:r w:rsidR="004C2601" w:rsidRPr="005D4222">
              <w:t xml:space="preserve"> </w:t>
            </w:r>
          </w:p>
        </w:tc>
        <w:tc>
          <w:tcPr>
            <w:tcW w:w="7532"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hideMark/>
          </w:tcPr>
          <w:p w14:paraId="3897BD08" w14:textId="77777777" w:rsidR="004C2601" w:rsidRPr="005D4222" w:rsidRDefault="004C2601" w:rsidP="00A53E8C">
            <w:pPr>
              <w:pStyle w:val="ECDSBody"/>
            </w:pPr>
            <w:r w:rsidRPr="005D4222">
              <w:t>Age as of the last day of the measurement period.</w:t>
            </w:r>
          </w:p>
          <w:p w14:paraId="303BB526" w14:textId="77777777" w:rsidR="004C2601" w:rsidRPr="005D4222" w:rsidRDefault="004C2601" w:rsidP="004C2601">
            <w:pPr>
              <w:pStyle w:val="Bullet"/>
              <w:numPr>
                <w:ilvl w:val="0"/>
                <w:numId w:val="4"/>
              </w:numPr>
              <w:tabs>
                <w:tab w:val="left" w:pos="360"/>
                <w:tab w:val="left" w:pos="576"/>
              </w:tabs>
              <w:ind w:left="576" w:hanging="216"/>
            </w:pPr>
            <w:r w:rsidRPr="005D4222">
              <w:t>42–51 years.</w:t>
            </w:r>
          </w:p>
          <w:p w14:paraId="7DA13317" w14:textId="77777777" w:rsidR="004C2601" w:rsidRPr="005D4222" w:rsidRDefault="004C2601" w:rsidP="004C2601">
            <w:pPr>
              <w:pStyle w:val="Bullet"/>
              <w:numPr>
                <w:ilvl w:val="0"/>
                <w:numId w:val="4"/>
              </w:numPr>
              <w:tabs>
                <w:tab w:val="left" w:pos="360"/>
                <w:tab w:val="left" w:pos="576"/>
              </w:tabs>
              <w:ind w:left="576" w:hanging="216"/>
            </w:pPr>
            <w:r w:rsidRPr="005D4222">
              <w:t>52–74 years.</w:t>
            </w:r>
          </w:p>
          <w:p w14:paraId="2C31F3B7" w14:textId="41C4E592" w:rsidR="004C2601" w:rsidRPr="005D4222" w:rsidRDefault="004C2601" w:rsidP="00A53E8C">
            <w:pPr>
              <w:pStyle w:val="ECDSBody"/>
            </w:pPr>
            <w:r w:rsidRPr="005D4222">
              <w:t xml:space="preserve">Race. (Refer to </w:t>
            </w:r>
            <w:hyperlink w:anchor="GG_Race_and_Ethnicity" w:history="1">
              <w:r w:rsidRPr="005D4222">
                <w:rPr>
                  <w:rStyle w:val="Hyperlink"/>
                  <w:i/>
                  <w:iCs/>
                </w:rPr>
                <w:t>General Guideline: Race and Ethnicity Stratification</w:t>
              </w:r>
            </w:hyperlink>
            <w:r w:rsidRPr="005D4222">
              <w:t>.)</w:t>
            </w:r>
          </w:p>
          <w:p w14:paraId="135F7EC9" w14:textId="77777777" w:rsidR="004C2601" w:rsidRPr="005D4222" w:rsidRDefault="004C2601" w:rsidP="004C2601">
            <w:pPr>
              <w:pStyle w:val="Bullet"/>
              <w:numPr>
                <w:ilvl w:val="0"/>
                <w:numId w:val="4"/>
              </w:numPr>
              <w:tabs>
                <w:tab w:val="left" w:pos="360"/>
                <w:tab w:val="left" w:pos="576"/>
              </w:tabs>
              <w:ind w:left="576" w:hanging="216"/>
            </w:pPr>
            <w:r w:rsidRPr="005D4222">
              <w:t xml:space="preserve">American Indian or Alaska Native. </w:t>
            </w:r>
          </w:p>
          <w:p w14:paraId="518FAD8D" w14:textId="77777777" w:rsidR="004C2601" w:rsidRPr="005D4222" w:rsidRDefault="004C2601" w:rsidP="004C2601">
            <w:pPr>
              <w:pStyle w:val="Bullet"/>
              <w:numPr>
                <w:ilvl w:val="0"/>
                <w:numId w:val="4"/>
              </w:numPr>
              <w:tabs>
                <w:tab w:val="left" w:pos="360"/>
                <w:tab w:val="left" w:pos="576"/>
              </w:tabs>
              <w:ind w:left="576" w:hanging="216"/>
            </w:pPr>
            <w:r w:rsidRPr="005D4222">
              <w:t xml:space="preserve">Asian. </w:t>
            </w:r>
          </w:p>
          <w:p w14:paraId="1001CD79" w14:textId="77777777" w:rsidR="004C2601" w:rsidRPr="005D4222" w:rsidRDefault="004C2601" w:rsidP="004C2601">
            <w:pPr>
              <w:pStyle w:val="Bullet"/>
              <w:numPr>
                <w:ilvl w:val="0"/>
                <w:numId w:val="4"/>
              </w:numPr>
              <w:tabs>
                <w:tab w:val="left" w:pos="360"/>
                <w:tab w:val="left" w:pos="576"/>
              </w:tabs>
              <w:ind w:left="576" w:hanging="216"/>
            </w:pPr>
            <w:r w:rsidRPr="005D4222">
              <w:t>Black or African American.</w:t>
            </w:r>
          </w:p>
          <w:p w14:paraId="303446DE" w14:textId="77777777" w:rsidR="004C2601" w:rsidRPr="005D4222" w:rsidRDefault="004C2601" w:rsidP="004C2601">
            <w:pPr>
              <w:pStyle w:val="Bullet"/>
              <w:numPr>
                <w:ilvl w:val="0"/>
                <w:numId w:val="4"/>
              </w:numPr>
              <w:tabs>
                <w:tab w:val="left" w:pos="360"/>
                <w:tab w:val="left" w:pos="576"/>
              </w:tabs>
              <w:ind w:left="576" w:hanging="216"/>
            </w:pPr>
            <w:r w:rsidRPr="005D4222">
              <w:t>Middle Eastern or North African.</w:t>
            </w:r>
          </w:p>
          <w:p w14:paraId="608F770E" w14:textId="77777777" w:rsidR="004C2601" w:rsidRPr="005D4222" w:rsidRDefault="004C2601" w:rsidP="004C2601">
            <w:pPr>
              <w:pStyle w:val="Bullet"/>
              <w:numPr>
                <w:ilvl w:val="0"/>
                <w:numId w:val="4"/>
              </w:numPr>
              <w:tabs>
                <w:tab w:val="left" w:pos="360"/>
                <w:tab w:val="left" w:pos="576"/>
              </w:tabs>
              <w:ind w:left="576" w:hanging="216"/>
            </w:pPr>
            <w:r w:rsidRPr="005D4222">
              <w:t>Native Hawaiian or Pacific Islander.</w:t>
            </w:r>
          </w:p>
          <w:p w14:paraId="7AD74E11" w14:textId="77777777" w:rsidR="004C2601" w:rsidRPr="005D4222" w:rsidRDefault="004C2601" w:rsidP="004C2601">
            <w:pPr>
              <w:pStyle w:val="Bullet"/>
              <w:numPr>
                <w:ilvl w:val="0"/>
                <w:numId w:val="4"/>
              </w:numPr>
              <w:tabs>
                <w:tab w:val="left" w:pos="360"/>
                <w:tab w:val="left" w:pos="576"/>
              </w:tabs>
              <w:ind w:left="576" w:hanging="216"/>
            </w:pPr>
            <w:r w:rsidRPr="005D4222">
              <w:t xml:space="preserve">White. </w:t>
            </w:r>
          </w:p>
          <w:p w14:paraId="30DAD74A" w14:textId="77777777" w:rsidR="004C2601" w:rsidRPr="005D4222" w:rsidRDefault="004C2601" w:rsidP="004C2601">
            <w:pPr>
              <w:pStyle w:val="Bullet"/>
              <w:numPr>
                <w:ilvl w:val="0"/>
                <w:numId w:val="4"/>
              </w:numPr>
              <w:tabs>
                <w:tab w:val="left" w:pos="360"/>
                <w:tab w:val="left" w:pos="576"/>
              </w:tabs>
              <w:ind w:left="576" w:hanging="216"/>
            </w:pPr>
            <w:r w:rsidRPr="005D4222">
              <w:t xml:space="preserve">Some Other Race. </w:t>
            </w:r>
          </w:p>
          <w:p w14:paraId="56820820" w14:textId="77777777" w:rsidR="004C2601" w:rsidRPr="005D4222" w:rsidRDefault="004C2601" w:rsidP="004C2601">
            <w:pPr>
              <w:pStyle w:val="Bullet"/>
              <w:numPr>
                <w:ilvl w:val="0"/>
                <w:numId w:val="4"/>
              </w:numPr>
              <w:tabs>
                <w:tab w:val="left" w:pos="360"/>
                <w:tab w:val="left" w:pos="576"/>
              </w:tabs>
              <w:ind w:left="576" w:hanging="216"/>
            </w:pPr>
            <w:r w:rsidRPr="005D4222">
              <w:t xml:space="preserve">Two or More Races. </w:t>
            </w:r>
          </w:p>
          <w:p w14:paraId="557E9016" w14:textId="77777777" w:rsidR="004C2601" w:rsidRPr="005D4222" w:rsidRDefault="004C2601" w:rsidP="004C2601">
            <w:pPr>
              <w:pStyle w:val="Bullet"/>
              <w:numPr>
                <w:ilvl w:val="0"/>
                <w:numId w:val="4"/>
              </w:numPr>
              <w:tabs>
                <w:tab w:val="left" w:pos="360"/>
                <w:tab w:val="left" w:pos="576"/>
              </w:tabs>
              <w:ind w:left="576" w:hanging="216"/>
            </w:pPr>
            <w:r w:rsidRPr="005D4222">
              <w:t xml:space="preserve">Asked But No Answer. </w:t>
            </w:r>
          </w:p>
          <w:p w14:paraId="736A7B60" w14:textId="77777777" w:rsidR="004C2601" w:rsidRPr="005D4222" w:rsidRDefault="004C2601" w:rsidP="004C2601">
            <w:pPr>
              <w:pStyle w:val="Bullet"/>
              <w:numPr>
                <w:ilvl w:val="0"/>
                <w:numId w:val="4"/>
              </w:numPr>
              <w:tabs>
                <w:tab w:val="left" w:pos="360"/>
                <w:tab w:val="left" w:pos="576"/>
              </w:tabs>
              <w:ind w:left="576" w:hanging="216"/>
            </w:pPr>
            <w:r w:rsidRPr="005D4222">
              <w:t xml:space="preserve">Unknown. </w:t>
            </w:r>
          </w:p>
          <w:p w14:paraId="570BF47B" w14:textId="6645D749" w:rsidR="004C2601" w:rsidRPr="005D4222" w:rsidRDefault="004C2601" w:rsidP="00A53E8C">
            <w:pPr>
              <w:pStyle w:val="ECDSBody"/>
            </w:pPr>
            <w:r w:rsidRPr="005D4222">
              <w:t xml:space="preserve">Ethnicity. (Refer to </w:t>
            </w:r>
            <w:hyperlink w:anchor="GG_Race_and_Ethnicity" w:history="1">
              <w:r w:rsidRPr="005D4222">
                <w:rPr>
                  <w:rStyle w:val="Hyperlink"/>
                  <w:i/>
                  <w:iCs/>
                </w:rPr>
                <w:t>General Guideline: Race and Ethnicity Stratification</w:t>
              </w:r>
            </w:hyperlink>
            <w:r w:rsidRPr="005D4222">
              <w:t>.)</w:t>
            </w:r>
          </w:p>
          <w:p w14:paraId="00AEEE06" w14:textId="77777777" w:rsidR="004C2601" w:rsidRPr="005D4222" w:rsidRDefault="004C2601" w:rsidP="004C2601">
            <w:pPr>
              <w:pStyle w:val="Bullet"/>
              <w:numPr>
                <w:ilvl w:val="0"/>
                <w:numId w:val="4"/>
              </w:numPr>
              <w:tabs>
                <w:tab w:val="left" w:pos="360"/>
                <w:tab w:val="left" w:pos="576"/>
              </w:tabs>
              <w:ind w:left="576" w:hanging="216"/>
            </w:pPr>
            <w:r w:rsidRPr="005D4222">
              <w:t xml:space="preserve">Hispanic or Latino. </w:t>
            </w:r>
          </w:p>
          <w:p w14:paraId="51EE1FC4" w14:textId="77777777" w:rsidR="004C2601" w:rsidRPr="005D4222" w:rsidRDefault="004C2601" w:rsidP="004C2601">
            <w:pPr>
              <w:pStyle w:val="Bullet"/>
              <w:numPr>
                <w:ilvl w:val="0"/>
                <w:numId w:val="4"/>
              </w:numPr>
              <w:tabs>
                <w:tab w:val="left" w:pos="360"/>
                <w:tab w:val="left" w:pos="576"/>
              </w:tabs>
              <w:ind w:left="576" w:hanging="216"/>
            </w:pPr>
            <w:r w:rsidRPr="005D4222">
              <w:t xml:space="preserve">Not Hispanic or Latino. </w:t>
            </w:r>
          </w:p>
          <w:p w14:paraId="374575E6" w14:textId="77777777" w:rsidR="004C2601" w:rsidRPr="005D4222" w:rsidRDefault="004C2601" w:rsidP="004C2601">
            <w:pPr>
              <w:pStyle w:val="Bullet"/>
              <w:numPr>
                <w:ilvl w:val="0"/>
                <w:numId w:val="4"/>
              </w:numPr>
              <w:tabs>
                <w:tab w:val="left" w:pos="360"/>
                <w:tab w:val="left" w:pos="576"/>
              </w:tabs>
              <w:ind w:left="576" w:hanging="216"/>
            </w:pPr>
            <w:r w:rsidRPr="005D4222">
              <w:t xml:space="preserve">Asked But No Answer. </w:t>
            </w:r>
          </w:p>
          <w:p w14:paraId="7EC8D9BC" w14:textId="77777777" w:rsidR="004C2601" w:rsidRPr="005D4222" w:rsidRDefault="004C2601" w:rsidP="004C2601">
            <w:pPr>
              <w:pStyle w:val="Bullet"/>
              <w:numPr>
                <w:ilvl w:val="0"/>
                <w:numId w:val="4"/>
              </w:numPr>
              <w:tabs>
                <w:tab w:val="left" w:pos="360"/>
                <w:tab w:val="left" w:pos="576"/>
              </w:tabs>
              <w:ind w:left="576" w:hanging="216"/>
            </w:pPr>
            <w:r w:rsidRPr="005D4222">
              <w:t xml:space="preserve">Unknown. </w:t>
            </w:r>
          </w:p>
          <w:p w14:paraId="7A55F1B0" w14:textId="23C0C4A2" w:rsidR="004C2601" w:rsidRPr="005D4222" w:rsidRDefault="004C2601" w:rsidP="00A53E8C">
            <w:pPr>
              <w:pStyle w:val="ECDSBody"/>
            </w:pPr>
            <w:r w:rsidRPr="005D4222">
              <w:t xml:space="preserve">SES (Medicare only). (Refer to </w:t>
            </w:r>
            <w:hyperlink w:anchor="GG_Medicare_Socioeconomic" w:history="1">
              <w:r w:rsidRPr="005D4222">
                <w:rPr>
                  <w:rStyle w:val="Hyperlink"/>
                  <w:i/>
                </w:rPr>
                <w:t>General Guideline: Medicare Socioeconomic Status Stratification</w:t>
              </w:r>
            </w:hyperlink>
            <w:r w:rsidRPr="005D4222">
              <w:t>.)</w:t>
            </w:r>
          </w:p>
          <w:p w14:paraId="4E25D876" w14:textId="77777777" w:rsidR="004C2601" w:rsidRPr="005D4222" w:rsidRDefault="004C2601" w:rsidP="004C2601">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Non-LIS/DE, Nondisability.</w:t>
            </w:r>
          </w:p>
          <w:p w14:paraId="1CEDF385" w14:textId="77777777" w:rsidR="004C2601" w:rsidRPr="005D4222" w:rsidRDefault="004C2601" w:rsidP="004C2601">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LIS/DE.</w:t>
            </w:r>
          </w:p>
          <w:p w14:paraId="6FA4082F" w14:textId="77777777" w:rsidR="004C2601" w:rsidRPr="005D4222" w:rsidRDefault="004C2601" w:rsidP="004C2601">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Disability.</w:t>
            </w:r>
          </w:p>
          <w:p w14:paraId="02DAEF3C" w14:textId="77777777" w:rsidR="004C2601" w:rsidRPr="005D4222" w:rsidRDefault="004C2601" w:rsidP="004C2601">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 xml:space="preserve">LIS/DE and Disability. </w:t>
            </w:r>
          </w:p>
          <w:p w14:paraId="24188386" w14:textId="77777777" w:rsidR="004C2601" w:rsidRPr="005D4222" w:rsidRDefault="004C2601" w:rsidP="004C2601">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Other.</w:t>
            </w:r>
          </w:p>
          <w:p w14:paraId="5B7A8465" w14:textId="77777777" w:rsidR="004C2601" w:rsidRPr="005D4222" w:rsidRDefault="004C2601" w:rsidP="004C2601">
            <w:pPr>
              <w:pStyle w:val="Bullet"/>
              <w:numPr>
                <w:ilvl w:val="0"/>
                <w:numId w:val="4"/>
              </w:numPr>
              <w:tabs>
                <w:tab w:val="left" w:pos="360"/>
                <w:tab w:val="left" w:pos="576"/>
              </w:tabs>
              <w:spacing w:after="80"/>
              <w:ind w:left="576" w:hanging="216"/>
              <w:rPr>
                <w:rFonts w:cs="Arial"/>
              </w:rPr>
            </w:pPr>
            <w:r w:rsidRPr="005D4222">
              <w:rPr>
                <w:rFonts w:eastAsia="Arial,Arial,Arial,Arial,Arial,A"/>
              </w:rPr>
              <w:t>Unknown.</w:t>
            </w:r>
          </w:p>
        </w:tc>
      </w:tr>
      <w:tr w:rsidR="004C2601" w:rsidRPr="005D4222" w14:paraId="174B62FF" w14:textId="77777777" w:rsidTr="004C2601">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6227D73C" w14:textId="77777777" w:rsidR="004C2601" w:rsidRPr="005D4222" w:rsidRDefault="004C2601" w:rsidP="004C2601">
            <w:pPr>
              <w:pStyle w:val="ECDSMarginSubhead"/>
              <w:spacing w:after="0"/>
            </w:pPr>
            <w:r w:rsidRPr="005D4222">
              <w:lastRenderedPageBreak/>
              <w:t>Risk adjustment</w:t>
            </w:r>
          </w:p>
        </w:tc>
        <w:tc>
          <w:tcPr>
            <w:tcW w:w="7532"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2D790897" w14:textId="77777777" w:rsidR="004C2601" w:rsidRPr="005D4222" w:rsidRDefault="004C2601" w:rsidP="004C2601">
            <w:pPr>
              <w:pStyle w:val="ECDSBody"/>
              <w:spacing w:after="0"/>
            </w:pPr>
            <w:r w:rsidRPr="005D4222">
              <w:t>None.</w:t>
            </w:r>
          </w:p>
        </w:tc>
      </w:tr>
      <w:tr w:rsidR="004C2601" w:rsidRPr="005D4222" w14:paraId="6DA879E3" w14:textId="77777777" w:rsidTr="004C2601">
        <w:tc>
          <w:tcPr>
            <w:tcW w:w="2157" w:type="dxa"/>
            <w:tcBorders>
              <w:top w:val="nil"/>
              <w:left w:val="single" w:sz="4" w:space="0" w:color="auto"/>
              <w:bottom w:val="nil"/>
              <w:right w:val="single" w:sz="4" w:space="0" w:color="auto"/>
            </w:tcBorders>
            <w:tcMar>
              <w:top w:w="0" w:type="dxa"/>
              <w:left w:w="86" w:type="dxa"/>
              <w:bottom w:w="43" w:type="dxa"/>
              <w:right w:w="86" w:type="dxa"/>
            </w:tcMar>
          </w:tcPr>
          <w:p w14:paraId="422197D2" w14:textId="77777777" w:rsidR="004C2601" w:rsidRPr="005D4222" w:rsidRDefault="004C2601" w:rsidP="004C2601">
            <w:pPr>
              <w:pStyle w:val="ECDSMarginSubhead"/>
              <w:spacing w:after="0"/>
            </w:pPr>
            <w:r w:rsidRPr="005D4222">
              <w:t>Improvement notation</w:t>
            </w:r>
          </w:p>
        </w:tc>
        <w:tc>
          <w:tcPr>
            <w:tcW w:w="7532"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1DCA1C32" w14:textId="77777777" w:rsidR="004C2601" w:rsidRPr="005D4222" w:rsidRDefault="004C2601" w:rsidP="004C2601">
            <w:pPr>
              <w:pStyle w:val="ECDSBody"/>
              <w:spacing w:after="0"/>
            </w:pPr>
            <w:r w:rsidRPr="005D4222">
              <w:t>Increased score indicates improvement.</w:t>
            </w:r>
          </w:p>
        </w:tc>
      </w:tr>
      <w:tr w:rsidR="004C2601" w:rsidRPr="005D4222" w14:paraId="60A257A7" w14:textId="77777777" w:rsidTr="004C2601">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7358DD7E" w14:textId="77777777" w:rsidR="004C2601" w:rsidRPr="005D4222" w:rsidRDefault="004C2601" w:rsidP="00A53E8C">
            <w:pPr>
              <w:pStyle w:val="ECDSMarginSubhead"/>
            </w:pPr>
            <w:r w:rsidRPr="005D4222">
              <w:t>Guidance</w:t>
            </w:r>
          </w:p>
        </w:tc>
        <w:tc>
          <w:tcPr>
            <w:tcW w:w="7532"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3336177F" w14:textId="0C66588F" w:rsidR="004C2601" w:rsidRPr="005D4222" w:rsidRDefault="004C2601" w:rsidP="00A53E8C">
            <w:pPr>
              <w:pStyle w:val="ECDSBody"/>
            </w:pPr>
            <w:r w:rsidRPr="005D4222">
              <w:rPr>
                <w:b/>
              </w:rPr>
              <w:t>Data collection methodology</w:t>
            </w:r>
            <w:r w:rsidRPr="005D4222">
              <w:rPr>
                <w:b/>
                <w:bCs w:val="0"/>
              </w:rPr>
              <w:t>:</w:t>
            </w:r>
            <w:r w:rsidRPr="005D4222">
              <w:t xml:space="preserve"> ECDS. Refer to </w:t>
            </w:r>
            <w:hyperlink w:anchor="General_Guideline_Data_Collection_Method" w:history="1">
              <w:r w:rsidRPr="005D4222">
                <w:rPr>
                  <w:rStyle w:val="Hyperlink"/>
                  <w:i/>
                  <w:iCs/>
                </w:rPr>
                <w:t>General Guideline: Data Collection Methods</w:t>
              </w:r>
            </w:hyperlink>
            <w:r w:rsidRPr="005D4222">
              <w:rPr>
                <w:i/>
                <w:iCs/>
              </w:rPr>
              <w:t xml:space="preserve"> </w:t>
            </w:r>
            <w:r w:rsidRPr="005D4222">
              <w:t>for additional information. </w:t>
            </w:r>
          </w:p>
          <w:p w14:paraId="3D302C31" w14:textId="77777777" w:rsidR="004C2601" w:rsidRPr="005D4222" w:rsidRDefault="004C2601" w:rsidP="00A53E8C">
            <w:pPr>
              <w:pStyle w:val="ECDSBody"/>
              <w:rPr>
                <w:b/>
              </w:rPr>
            </w:pPr>
            <w:r w:rsidRPr="005D4222">
              <w:rPr>
                <w:b/>
              </w:rPr>
              <w:t xml:space="preserve">Date specificity: </w:t>
            </w:r>
            <w:r w:rsidRPr="005D4222">
              <w:t>Dates must be specific enough to determine the event occurred in the period being measured. </w:t>
            </w:r>
          </w:p>
          <w:p w14:paraId="7C1C3175" w14:textId="77777777" w:rsidR="004C2601" w:rsidRPr="005D4222" w:rsidRDefault="004C2601" w:rsidP="00A53E8C">
            <w:pPr>
              <w:pStyle w:val="ECDSBody"/>
              <w:rPr>
                <w:b/>
              </w:rPr>
            </w:pPr>
            <w:r w:rsidRPr="005D4222">
              <w:rPr>
                <w:b/>
              </w:rPr>
              <w:t xml:space="preserve">Which services count? </w:t>
            </w:r>
            <w:r w:rsidRPr="005D4222">
              <w:t>When using claims, include all paid, suspended, pending and denied claims.</w:t>
            </w:r>
          </w:p>
        </w:tc>
      </w:tr>
      <w:tr w:rsidR="004C2601" w:rsidRPr="005D4222" w14:paraId="2E874D2E" w14:textId="77777777" w:rsidTr="00A53E8C">
        <w:tc>
          <w:tcPr>
            <w:tcW w:w="2157" w:type="dxa"/>
            <w:shd w:val="clear" w:color="auto" w:fill="BFBFBF" w:themeFill="background1" w:themeFillShade="BF"/>
            <w:tcMar>
              <w:top w:w="0" w:type="dxa"/>
              <w:left w:w="86" w:type="dxa"/>
              <w:bottom w:w="43" w:type="dxa"/>
              <w:right w:w="86" w:type="dxa"/>
            </w:tcMar>
          </w:tcPr>
          <w:p w14:paraId="4F098F23" w14:textId="77777777" w:rsidR="004C2601" w:rsidRPr="005D4222" w:rsidRDefault="004C2601" w:rsidP="00A53E8C">
            <w:pPr>
              <w:pStyle w:val="ECDSMarginHead"/>
            </w:pPr>
            <w:r w:rsidRPr="005D4222">
              <w:t>Initial population</w:t>
            </w:r>
          </w:p>
        </w:tc>
        <w:tc>
          <w:tcPr>
            <w:tcW w:w="7532"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CC51A04" w14:textId="77777777" w:rsidR="004C2601" w:rsidRPr="005D4222" w:rsidRDefault="004C2601" w:rsidP="00A53E8C">
            <w:pPr>
              <w:pStyle w:val="ECDSBody"/>
            </w:pPr>
            <w:r w:rsidRPr="005D4222">
              <w:rPr>
                <w:i/>
                <w:iCs/>
              </w:rPr>
              <w:t xml:space="preserve">Measure item count: </w:t>
            </w:r>
            <w:r w:rsidRPr="005D4222">
              <w:t>Person.</w:t>
            </w:r>
          </w:p>
          <w:p w14:paraId="7083DF4C" w14:textId="77777777" w:rsidR="004C2601" w:rsidRPr="005D4222" w:rsidRDefault="004C2601" w:rsidP="00A53E8C">
            <w:pPr>
              <w:pStyle w:val="ECDSBody"/>
            </w:pPr>
            <w:r w:rsidRPr="005D4222">
              <w:rPr>
                <w:i/>
                <w:iCs/>
              </w:rPr>
              <w:t xml:space="preserve">Attribution basis: </w:t>
            </w:r>
            <w:r w:rsidRPr="005D4222">
              <w:t>Enrollment.</w:t>
            </w:r>
          </w:p>
          <w:p w14:paraId="0E1A4A44" w14:textId="77777777" w:rsidR="004C2601" w:rsidRPr="005D4222" w:rsidRDefault="004C2601" w:rsidP="004C2601">
            <w:pPr>
              <w:pStyle w:val="Bullet"/>
              <w:numPr>
                <w:ilvl w:val="0"/>
                <w:numId w:val="4"/>
              </w:numPr>
              <w:tabs>
                <w:tab w:val="left" w:pos="360"/>
                <w:tab w:val="left" w:pos="576"/>
              </w:tabs>
              <w:ind w:left="576" w:hanging="216"/>
            </w:pPr>
            <w:r w:rsidRPr="005D4222">
              <w:rPr>
                <w:i/>
                <w:iCs/>
              </w:rPr>
              <w:t>Benefits:</w:t>
            </w:r>
            <w:r w:rsidRPr="005D4222">
              <w:t xml:space="preserve"> Medical.</w:t>
            </w:r>
          </w:p>
          <w:p w14:paraId="219FDCA9" w14:textId="74B9EB7B" w:rsidR="004C2601" w:rsidRPr="005D4222" w:rsidRDefault="004C2601" w:rsidP="004C2601">
            <w:pPr>
              <w:pStyle w:val="Bullet"/>
              <w:numPr>
                <w:ilvl w:val="0"/>
                <w:numId w:val="4"/>
              </w:numPr>
              <w:tabs>
                <w:tab w:val="left" w:pos="360"/>
                <w:tab w:val="left" w:pos="576"/>
              </w:tabs>
              <w:ind w:left="576" w:hanging="216"/>
            </w:pPr>
            <w:r w:rsidRPr="005D4222">
              <w:rPr>
                <w:i/>
                <w:iCs/>
              </w:rPr>
              <w:t>Continuous enrollment:</w:t>
            </w:r>
            <w:r w:rsidRPr="005D4222">
              <w:t xml:space="preserve"> October 1 two years prior to the measurement period through </w:t>
            </w:r>
            <w:r w:rsidR="00CB1860" w:rsidRPr="005D4222">
              <w:t>the last day</w:t>
            </w:r>
            <w:r w:rsidRPr="005D4222">
              <w:t xml:space="preserve"> of the measurement period.</w:t>
            </w:r>
          </w:p>
          <w:p w14:paraId="0CE0FD97" w14:textId="3C8D27D5" w:rsidR="004C2601" w:rsidRPr="005D4222" w:rsidRDefault="004C2601" w:rsidP="004C2601">
            <w:pPr>
              <w:pStyle w:val="Bullet"/>
              <w:numPr>
                <w:ilvl w:val="0"/>
                <w:numId w:val="4"/>
              </w:numPr>
              <w:tabs>
                <w:tab w:val="left" w:pos="360"/>
                <w:tab w:val="left" w:pos="576"/>
              </w:tabs>
              <w:ind w:left="576" w:hanging="216"/>
              <w:rPr>
                <w:i/>
                <w:iCs/>
              </w:rPr>
            </w:pPr>
            <w:r w:rsidRPr="005D4222">
              <w:rPr>
                <w:i/>
                <w:iCs/>
              </w:rPr>
              <w:t xml:space="preserve">Allowable gap: </w:t>
            </w:r>
          </w:p>
          <w:p w14:paraId="2E6D3431" w14:textId="77777777" w:rsidR="004C2601" w:rsidRPr="005D4222" w:rsidRDefault="004C2601" w:rsidP="004C2601">
            <w:pPr>
              <w:pStyle w:val="Dash"/>
              <w:tabs>
                <w:tab w:val="left" w:pos="576"/>
                <w:tab w:val="left" w:pos="792"/>
              </w:tabs>
            </w:pPr>
            <w:r w:rsidRPr="005D4222">
              <w:rPr>
                <w:i/>
                <w:iCs/>
              </w:rPr>
              <w:t>Measurement period</w:t>
            </w:r>
            <w:r w:rsidRPr="005D4222">
              <w:t>: No more than one gap of ≤45 days. No gaps on the last day of the measurement period.</w:t>
            </w:r>
          </w:p>
          <w:p w14:paraId="2E780754" w14:textId="77777777" w:rsidR="004C2601" w:rsidRPr="005D4222" w:rsidRDefault="004C2601" w:rsidP="004C2601">
            <w:pPr>
              <w:pStyle w:val="Dash"/>
              <w:tabs>
                <w:tab w:val="left" w:pos="576"/>
                <w:tab w:val="left" w:pos="792"/>
              </w:tabs>
            </w:pPr>
            <w:r w:rsidRPr="005D4222">
              <w:rPr>
                <w:i/>
                <w:iCs/>
              </w:rPr>
              <w:t>Year prior to the measurement period:</w:t>
            </w:r>
            <w:r w:rsidRPr="005D4222">
              <w:t xml:space="preserve"> No more than one gap of ≤45 days. </w:t>
            </w:r>
          </w:p>
          <w:p w14:paraId="4DBDFEF3" w14:textId="77777777" w:rsidR="004C2601" w:rsidRPr="005D4222" w:rsidRDefault="004C2601" w:rsidP="004C2601">
            <w:pPr>
              <w:pStyle w:val="Dash"/>
              <w:tabs>
                <w:tab w:val="left" w:pos="576"/>
                <w:tab w:val="left" w:pos="792"/>
              </w:tabs>
            </w:pPr>
            <w:r w:rsidRPr="005D4222">
              <w:rPr>
                <w:i/>
                <w:iCs/>
              </w:rPr>
              <w:t>October 1 two years prior to the measurement period through December 31 two years prior to the measurement period</w:t>
            </w:r>
            <w:r w:rsidRPr="005D4222" w:rsidDel="00352C19">
              <w:t>: None</w:t>
            </w:r>
            <w:r w:rsidRPr="005D4222">
              <w:t xml:space="preserve">. </w:t>
            </w:r>
          </w:p>
          <w:p w14:paraId="0CEA9D87" w14:textId="77777777" w:rsidR="004C2601" w:rsidRPr="005D4222" w:rsidRDefault="004C2601" w:rsidP="00A53E8C">
            <w:pPr>
              <w:pStyle w:val="ECDSBody"/>
            </w:pPr>
            <w:r w:rsidRPr="005D4222">
              <w:rPr>
                <w:i/>
                <w:iCs/>
              </w:rPr>
              <w:t xml:space="preserve">Ages: </w:t>
            </w:r>
            <w:r w:rsidRPr="005D4222">
              <w:t>42–74 years of age as of the last day of the measurement period.</w:t>
            </w:r>
          </w:p>
          <w:p w14:paraId="1FA9F114" w14:textId="77777777" w:rsidR="004C2601" w:rsidRPr="005D4222" w:rsidRDefault="004C2601" w:rsidP="00A53E8C">
            <w:pPr>
              <w:pStyle w:val="ECDSBody"/>
              <w:rPr>
                <w:i/>
                <w:iCs/>
              </w:rPr>
            </w:pPr>
            <w:r w:rsidRPr="005D4222">
              <w:rPr>
                <w:i/>
                <w:iCs/>
              </w:rPr>
              <w:t>Gender/sex criteria (persons recommended for routine breast cancer screening):</w:t>
            </w:r>
          </w:p>
          <w:p w14:paraId="5592461C" w14:textId="77777777" w:rsidR="004C2601" w:rsidRPr="005D4222" w:rsidRDefault="004C2601" w:rsidP="004C2601">
            <w:pPr>
              <w:pStyle w:val="Bullet"/>
              <w:numPr>
                <w:ilvl w:val="0"/>
                <w:numId w:val="4"/>
              </w:numPr>
              <w:tabs>
                <w:tab w:val="left" w:pos="360"/>
                <w:tab w:val="left" w:pos="576"/>
              </w:tabs>
              <w:ind w:left="576" w:hanging="216"/>
            </w:pPr>
            <w:r w:rsidRPr="005D4222">
              <w:rPr>
                <w:iCs/>
              </w:rPr>
              <w:t xml:space="preserve">Administrative Gender of </w:t>
            </w:r>
            <w:r w:rsidRPr="005D4222">
              <w:t>Female (AdministrativeGender code female) any time in the person’s history.</w:t>
            </w:r>
          </w:p>
          <w:p w14:paraId="679882B3" w14:textId="77777777" w:rsidR="004C2601" w:rsidRPr="005D4222" w:rsidRDefault="004C2601" w:rsidP="004C2601">
            <w:pPr>
              <w:pStyle w:val="Bullet"/>
              <w:numPr>
                <w:ilvl w:val="0"/>
                <w:numId w:val="4"/>
              </w:numPr>
              <w:tabs>
                <w:tab w:val="left" w:pos="360"/>
                <w:tab w:val="left" w:pos="576"/>
              </w:tabs>
              <w:ind w:left="576" w:hanging="216"/>
            </w:pPr>
            <w:r w:rsidRPr="005D4222">
              <w:rPr>
                <w:iCs/>
              </w:rPr>
              <w:t xml:space="preserve">Sex assigned at birth </w:t>
            </w:r>
            <w:r w:rsidRPr="005D4222">
              <w:t>(LOINC code 76689-9) of Female (</w:t>
            </w:r>
            <w:r w:rsidRPr="005D4222">
              <w:rPr>
                <w:u w:val="single"/>
              </w:rPr>
              <w:t>Female Value Set</w:t>
            </w:r>
            <w:r w:rsidRPr="005D4222">
              <w:t>) any time in the person’s history.</w:t>
            </w:r>
          </w:p>
          <w:p w14:paraId="60DB07C2" w14:textId="77777777" w:rsidR="004C2601" w:rsidRPr="005D4222" w:rsidRDefault="004C2601" w:rsidP="004C2601">
            <w:pPr>
              <w:pStyle w:val="Bullet"/>
              <w:numPr>
                <w:ilvl w:val="0"/>
                <w:numId w:val="4"/>
              </w:numPr>
              <w:tabs>
                <w:tab w:val="left" w:pos="360"/>
                <w:tab w:val="left" w:pos="576"/>
              </w:tabs>
              <w:ind w:left="576" w:hanging="216"/>
            </w:pPr>
            <w:r w:rsidRPr="005D4222">
              <w:rPr>
                <w:iCs/>
              </w:rPr>
              <w:t xml:space="preserve">Sex Parameter for Clinical Use of Female </w:t>
            </w:r>
            <w:r w:rsidRPr="005D4222">
              <w:t xml:space="preserve">(SexParameterForClinicalUse code female-typical) during the measurement period. </w:t>
            </w:r>
          </w:p>
          <w:p w14:paraId="4DC58B8C" w14:textId="77777777" w:rsidR="004C2601" w:rsidRPr="005D4222" w:rsidRDefault="004C2601" w:rsidP="00A53E8C">
            <w:pPr>
              <w:pStyle w:val="ECDSBody"/>
            </w:pPr>
            <w:r w:rsidRPr="005D4222">
              <w:rPr>
                <w:i/>
                <w:iCs/>
              </w:rPr>
              <w:t>Event:</w:t>
            </w:r>
            <w:r w:rsidRPr="005D4222">
              <w:t xml:space="preserve"> None.</w:t>
            </w:r>
          </w:p>
        </w:tc>
      </w:tr>
      <w:tr w:rsidR="004C2601" w:rsidRPr="005D4222" w14:paraId="0E0528DD" w14:textId="77777777" w:rsidTr="00A53E8C">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7A8B6F4" w14:textId="77777777" w:rsidR="004C2601" w:rsidRPr="005D4222" w:rsidRDefault="004C2601" w:rsidP="00A53E8C">
            <w:pPr>
              <w:pStyle w:val="ECDSMarginHead"/>
            </w:pPr>
            <w:r w:rsidRPr="005D4222">
              <w:t xml:space="preserve">Denominator exclusions </w:t>
            </w:r>
          </w:p>
        </w:tc>
        <w:tc>
          <w:tcPr>
            <w:tcW w:w="7532"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E7F6EEE" w14:textId="77777777" w:rsidR="004C2601" w:rsidRPr="005D4222" w:rsidRDefault="004C2601" w:rsidP="00A53E8C">
            <w:pPr>
              <w:pStyle w:val="ECDSBody"/>
              <w:rPr>
                <w:rFonts w:cs="Segoe UI"/>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p w14:paraId="66B377BB" w14:textId="2C0EF247" w:rsidR="004C2601" w:rsidRPr="005D4222" w:rsidRDefault="004C2601" w:rsidP="004C2601">
            <w:pPr>
              <w:pStyle w:val="ECDSBody"/>
              <w:rPr>
                <w:rFonts w:ascii="Arial Narrow" w:eastAsia="Arial,Arial,Arial,Arial,Arial,A" w:hAnsi="Arial Narrow"/>
                <w:szCs w:val="19"/>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bl>
    <w:p w14:paraId="54715952" w14:textId="77777777" w:rsidR="004C2601" w:rsidRPr="005D4222" w:rsidRDefault="004C2601"/>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3" w:type="dxa"/>
          <w:right w:w="86" w:type="dxa"/>
        </w:tblCellMar>
        <w:tblLook w:val="04A0" w:firstRow="1" w:lastRow="0" w:firstColumn="1" w:lastColumn="0" w:noHBand="0" w:noVBand="1"/>
      </w:tblPr>
      <w:tblGrid>
        <w:gridCol w:w="2157"/>
        <w:gridCol w:w="7532"/>
      </w:tblGrid>
      <w:tr w:rsidR="004C2601" w:rsidRPr="005D4222" w14:paraId="1C4F0DD8" w14:textId="77777777" w:rsidTr="00A53E8C">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6FD5749" w14:textId="77777777" w:rsidR="004C2601" w:rsidRPr="005D4222" w:rsidRDefault="004C2601" w:rsidP="00A53E8C">
            <w:pPr>
              <w:pStyle w:val="ECDSMarginHead"/>
            </w:pPr>
          </w:p>
        </w:tc>
        <w:tc>
          <w:tcPr>
            <w:tcW w:w="7532"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9BE59E2" w14:textId="77777777" w:rsidR="004C2601" w:rsidRPr="005D4222" w:rsidRDefault="004C2601" w:rsidP="004C2601">
            <w:pPr>
              <w:pStyle w:val="ECDSBody"/>
            </w:pPr>
            <w:r w:rsidRPr="005D4222" w:rsidDel="00AA4A01">
              <w:rPr>
                <w:b/>
              </w:rPr>
              <w:t xml:space="preserve">Persons </w:t>
            </w:r>
            <w:r w:rsidRPr="005D4222">
              <w:rPr>
                <w:b/>
              </w:rPr>
              <w:t>receiving palliative care.</w:t>
            </w:r>
            <w:r w:rsidRPr="005D4222">
              <w:rPr>
                <w:b/>
              </w:rPr>
              <w:br/>
            </w:r>
            <w:r w:rsidRPr="005D4222">
              <w:t>Persons receiving palliative care (</w:t>
            </w:r>
            <w:r w:rsidRPr="005D4222">
              <w:rPr>
                <w:u w:val="single"/>
              </w:rPr>
              <w:t>Palliative Care Assessment Value Set</w:t>
            </w:r>
            <w:r w:rsidRPr="005D4222">
              <w:t xml:space="preserve">; </w:t>
            </w:r>
            <w:r w:rsidRPr="005D4222">
              <w:rPr>
                <w:u w:val="single"/>
              </w:rPr>
              <w:t>Palliative Care Encounter Value Set</w:t>
            </w:r>
            <w:r w:rsidRPr="005D4222">
              <w:t xml:space="preserve">; </w:t>
            </w:r>
            <w:r w:rsidRPr="005D4222">
              <w:rPr>
                <w:u w:val="single"/>
              </w:rPr>
              <w:t>Palliative Care Intervention Value Set</w:t>
            </w:r>
            <w:r w:rsidRPr="005D4222">
              <w:t xml:space="preserve">) or who had an encounter for palliative care (ICD-10-CM code Z51.5*) any time during the measurement period. </w:t>
            </w:r>
          </w:p>
          <w:p w14:paraId="700A83C7" w14:textId="5A1F42C0" w:rsidR="004C2601" w:rsidRPr="005D4222" w:rsidRDefault="004C2601" w:rsidP="00A53E8C">
            <w:pPr>
              <w:pStyle w:val="ECDSBody"/>
            </w:pPr>
            <w:r w:rsidRPr="005D4222">
              <w:rPr>
                <w:rStyle w:val="normaltextrun"/>
                <w:b/>
                <w:bCs w:val="0"/>
                <w:color w:val="000000"/>
                <w:szCs w:val="21"/>
                <w:shd w:val="clear" w:color="auto" w:fill="FFFFFF"/>
              </w:rPr>
              <w:t xml:space="preserve">Medicare enrollees, 66 years of age and older by the </w:t>
            </w:r>
            <w:r w:rsidR="00075EFF" w:rsidRPr="005D4222">
              <w:rPr>
                <w:rStyle w:val="normaltextrun"/>
                <w:b/>
                <w:bCs w:val="0"/>
                <w:color w:val="000000"/>
                <w:szCs w:val="21"/>
                <w:shd w:val="clear" w:color="auto" w:fill="FFFFFF"/>
              </w:rPr>
              <w:t>last day</w:t>
            </w:r>
            <w:r w:rsidRPr="005D4222">
              <w:rPr>
                <w:rStyle w:val="normaltextrun"/>
                <w:b/>
                <w:bCs w:val="0"/>
                <w:color w:val="000000"/>
                <w:szCs w:val="21"/>
                <w:shd w:val="clear" w:color="auto" w:fill="FFFFFF"/>
              </w:rPr>
              <w:t xml:space="preserve"> of the measurement period, in an institutional SNP (I-SNP) or living long-term in an institution (LTI).</w:t>
            </w:r>
          </w:p>
          <w:p w14:paraId="5E6E57A9" w14:textId="77777777" w:rsidR="004C2601" w:rsidRPr="005D4222" w:rsidRDefault="004C2601" w:rsidP="005D6173">
            <w:pPr>
              <w:pStyle w:val="ProcessBullet"/>
              <w:numPr>
                <w:ilvl w:val="0"/>
                <w:numId w:val="134"/>
              </w:numPr>
              <w:tabs>
                <w:tab w:val="left" w:pos="216"/>
              </w:tabs>
              <w:ind w:left="216" w:hanging="216"/>
            </w:pPr>
            <w:r w:rsidRPr="005D4222">
              <w:t>Enrolled in an Institutional SNP (I-SNP) any time during the measurement period.</w:t>
            </w:r>
          </w:p>
          <w:p w14:paraId="4A25DDAA" w14:textId="77777777" w:rsidR="004C2601" w:rsidRPr="005D4222" w:rsidRDefault="004C2601" w:rsidP="005D6173">
            <w:pPr>
              <w:pStyle w:val="ProcessBullet"/>
              <w:numPr>
                <w:ilvl w:val="0"/>
                <w:numId w:val="134"/>
              </w:numPr>
              <w:tabs>
                <w:tab w:val="left" w:pos="216"/>
              </w:tabs>
              <w:ind w:left="216" w:hanging="216"/>
              <w:rPr>
                <w:rStyle w:val="BulletChar"/>
              </w:rPr>
            </w:pPr>
            <w:r w:rsidRPr="005D4222">
              <w:t xml:space="preserve">Living long-term in an institution any time during the measurement period, </w:t>
            </w:r>
            <w:r w:rsidRPr="005D4222">
              <w:rPr>
                <w:rStyle w:val="BulletChar"/>
              </w:rPr>
              <w:t>as identified by the LTI flag in the Monthly Membership Detail Data File. Use the run date of the file to determine an LTI flag during the measurement period.</w:t>
            </w:r>
          </w:p>
          <w:p w14:paraId="29B5927C" w14:textId="1D9F5A33" w:rsidR="004C2601" w:rsidRPr="005D4222" w:rsidRDefault="004C2601" w:rsidP="00A53E8C">
            <w:pPr>
              <w:pStyle w:val="ECDSBody"/>
              <w:rPr>
                <w:b/>
                <w:bCs w:val="0"/>
              </w:rPr>
            </w:pPr>
            <w:r w:rsidRPr="005D4222">
              <w:rPr>
                <w:b/>
                <w:bCs w:val="0"/>
              </w:rPr>
              <w:t xml:space="preserve">Persons 66 years </w:t>
            </w:r>
            <w:r w:rsidRPr="005D4222">
              <w:rPr>
                <w:b/>
              </w:rPr>
              <w:t xml:space="preserve">of age </w:t>
            </w:r>
            <w:r w:rsidRPr="005D4222">
              <w:rPr>
                <w:b/>
                <w:bCs w:val="0"/>
              </w:rPr>
              <w:t xml:space="preserve">or older by the </w:t>
            </w:r>
            <w:r w:rsidR="00075EFF" w:rsidRPr="005D4222">
              <w:rPr>
                <w:b/>
                <w:bCs w:val="0"/>
              </w:rPr>
              <w:t>last day</w:t>
            </w:r>
            <w:r w:rsidRPr="005D4222">
              <w:rPr>
                <w:b/>
                <w:bCs w:val="0"/>
              </w:rPr>
              <w:t xml:space="preserve"> of the measurement period, with both frailty and advanced illness.</w:t>
            </w:r>
          </w:p>
          <w:p w14:paraId="35C15CB7" w14:textId="77777777" w:rsidR="004C2601" w:rsidRPr="005D4222" w:rsidRDefault="004C2601" w:rsidP="005D6173">
            <w:pPr>
              <w:pStyle w:val="ProcessBullet"/>
              <w:numPr>
                <w:ilvl w:val="0"/>
                <w:numId w:val="142"/>
              </w:numPr>
              <w:ind w:left="288" w:hanging="288"/>
              <w:rPr>
                <w:rFonts w:cs="Arial"/>
                <w:u w:val="single"/>
              </w:rPr>
            </w:pPr>
            <w:r w:rsidRPr="005D4222">
              <w:rPr>
                <w:b/>
                <w:bCs/>
              </w:rPr>
              <w:t>Frailty.</w:t>
            </w:r>
            <w:r w:rsidRPr="005D4222">
              <w:t xml:space="preserve"> </w:t>
            </w:r>
            <w:r w:rsidRPr="005D4222">
              <w:rPr>
                <w:rFonts w:cs="Arial"/>
              </w:rPr>
              <w:t>At least two indications of frailty (</w:t>
            </w:r>
            <w:r w:rsidRPr="005D4222">
              <w:rPr>
                <w:rFonts w:cs="Arial"/>
                <w:u w:val="single"/>
              </w:rPr>
              <w:t>Frailty Device Value Set</w:t>
            </w:r>
            <w:r w:rsidRPr="005D4222">
              <w:rPr>
                <w:rFonts w:cs="Arial"/>
              </w:rPr>
              <w:t xml:space="preserve">; </w:t>
            </w:r>
            <w:r w:rsidRPr="005D4222">
              <w:rPr>
                <w:rFonts w:cs="Arial"/>
                <w:u w:val="single"/>
              </w:rPr>
              <w:t>Frailty Diagnosis Value Set</w:t>
            </w:r>
            <w:r w:rsidRPr="005D4222">
              <w:rPr>
                <w:rFonts w:cs="Arial"/>
              </w:rPr>
              <w:t xml:space="preserve">*; </w:t>
            </w:r>
            <w:r w:rsidRPr="005D4222">
              <w:rPr>
                <w:rFonts w:cs="Arial"/>
                <w:u w:val="single"/>
              </w:rPr>
              <w:t>Frailty Encounter Value Set</w:t>
            </w:r>
            <w:r w:rsidRPr="005D4222">
              <w:rPr>
                <w:rFonts w:cs="Arial"/>
              </w:rPr>
              <w:t xml:space="preserve">; </w:t>
            </w:r>
            <w:r w:rsidRPr="005D4222">
              <w:rPr>
                <w:rFonts w:cs="Arial"/>
                <w:u w:val="single"/>
              </w:rPr>
              <w:t>Frailty Symptom Value Set</w:t>
            </w:r>
            <w:r w:rsidRPr="005D4222">
              <w:rPr>
                <w:rFonts w:cs="Arial"/>
              </w:rPr>
              <w:t>*) with different dates of service during the measurement period.</w:t>
            </w:r>
          </w:p>
          <w:p w14:paraId="560E9EC3" w14:textId="77777777" w:rsidR="004C2601" w:rsidRPr="005D4222" w:rsidRDefault="004C2601" w:rsidP="005D6173">
            <w:pPr>
              <w:pStyle w:val="ProcessBullet"/>
              <w:numPr>
                <w:ilvl w:val="0"/>
                <w:numId w:val="142"/>
              </w:numPr>
              <w:ind w:left="288" w:hanging="288"/>
              <w:rPr>
                <w:rFonts w:cs="Arial"/>
              </w:rPr>
            </w:pPr>
            <w:r w:rsidRPr="005D4222">
              <w:rPr>
                <w:b/>
                <w:bCs/>
              </w:rPr>
              <w:t>Advanced illness.</w:t>
            </w:r>
            <w:r w:rsidRPr="005D4222">
              <w:t xml:space="preserve"> Either</w:t>
            </w:r>
            <w:r w:rsidRPr="005D4222">
              <w:rPr>
                <w:rFonts w:cs="Arial"/>
              </w:rPr>
              <w:t xml:space="preserve"> of the following during the measurement period or the year prior to the measurement period: </w:t>
            </w:r>
          </w:p>
          <w:p w14:paraId="09ED8738" w14:textId="77777777" w:rsidR="004C2601" w:rsidRPr="005D4222" w:rsidRDefault="004C2601" w:rsidP="004C2601">
            <w:pPr>
              <w:pStyle w:val="ProcessDash"/>
              <w:spacing w:after="40"/>
              <w:ind w:left="576"/>
            </w:pPr>
            <w:r w:rsidRPr="005D4222">
              <w:t>Advanced illness (</w:t>
            </w:r>
            <w:r w:rsidRPr="005D4222">
              <w:rPr>
                <w:u w:val="single"/>
              </w:rPr>
              <w:t>Advanced Illness Value Set</w:t>
            </w:r>
            <w:r w:rsidRPr="005D4222">
              <w:t>*) on at least two different dates of service.</w:t>
            </w:r>
          </w:p>
          <w:p w14:paraId="786923CA" w14:textId="77777777" w:rsidR="004C2601" w:rsidRPr="005D4222" w:rsidRDefault="004C2601" w:rsidP="004C2601">
            <w:pPr>
              <w:pStyle w:val="ProcessDash"/>
              <w:spacing w:after="40"/>
              <w:ind w:left="576"/>
            </w:pPr>
            <w:r w:rsidRPr="005D4222">
              <w:t>Dispensed dementia medication (</w:t>
            </w:r>
            <w:r w:rsidRPr="005D4222">
              <w:rPr>
                <w:u w:val="single"/>
              </w:rPr>
              <w:t>Dementia Medications List</w:t>
            </w:r>
            <w:r w:rsidRPr="005D4222">
              <w:t>).</w:t>
            </w:r>
          </w:p>
          <w:p w14:paraId="748F0247" w14:textId="5EA174A4" w:rsidR="004C2601" w:rsidRPr="005D4222" w:rsidRDefault="004C2601" w:rsidP="00A53E8C">
            <w:pPr>
              <w:pStyle w:val="ECDSBody"/>
            </w:pPr>
            <w:r w:rsidRPr="005D4222">
              <w:rPr>
                <w:b/>
                <w:bCs w:val="0"/>
              </w:rPr>
              <w:t xml:space="preserve">Persons who had a bilateral mastectomy or both right and left unilateral mastectomies any time during their history through the </w:t>
            </w:r>
            <w:r w:rsidR="00075EFF" w:rsidRPr="005D4222">
              <w:rPr>
                <w:b/>
                <w:bCs w:val="0"/>
              </w:rPr>
              <w:t>last day</w:t>
            </w:r>
            <w:r w:rsidRPr="005D4222">
              <w:rPr>
                <w:b/>
                <w:bCs w:val="0"/>
              </w:rPr>
              <w:t xml:space="preserve"> of the measurement period. </w:t>
            </w:r>
            <w:r w:rsidRPr="005D4222">
              <w:br/>
              <w:t>Any of the following meet the criteria for bilateral mastectomy.</w:t>
            </w:r>
          </w:p>
          <w:p w14:paraId="2D574E69" w14:textId="77777777" w:rsidR="004C2601" w:rsidRPr="005D4222" w:rsidRDefault="004C2601" w:rsidP="004C2601">
            <w:pPr>
              <w:pStyle w:val="Bullet"/>
              <w:numPr>
                <w:ilvl w:val="0"/>
                <w:numId w:val="4"/>
              </w:numPr>
              <w:tabs>
                <w:tab w:val="left" w:pos="360"/>
                <w:tab w:val="left" w:pos="576"/>
              </w:tabs>
              <w:ind w:left="576" w:hanging="216"/>
            </w:pPr>
            <w:r w:rsidRPr="005D4222">
              <w:t>Bilateral mastectomy (</w:t>
            </w:r>
            <w:r w:rsidRPr="005D4222">
              <w:rPr>
                <w:u w:val="single"/>
              </w:rPr>
              <w:t>Bilateral Mastectomy Value Set</w:t>
            </w:r>
            <w:r w:rsidRPr="005D4222">
              <w:t>).</w:t>
            </w:r>
          </w:p>
          <w:p w14:paraId="0967EC49" w14:textId="77777777" w:rsidR="004C2601" w:rsidRPr="005D4222" w:rsidRDefault="004C2601" w:rsidP="004C2601">
            <w:pPr>
              <w:pStyle w:val="Bullet"/>
              <w:numPr>
                <w:ilvl w:val="0"/>
                <w:numId w:val="4"/>
              </w:numPr>
              <w:tabs>
                <w:tab w:val="left" w:pos="360"/>
                <w:tab w:val="left" w:pos="576"/>
              </w:tabs>
              <w:ind w:left="576" w:hanging="216"/>
            </w:pPr>
            <w:r w:rsidRPr="005D4222">
              <w:t>Unilateral mastectomy (</w:t>
            </w:r>
            <w:r w:rsidRPr="005D4222">
              <w:rPr>
                <w:u w:val="single"/>
              </w:rPr>
              <w:t>Unilateral Mastectomy Value Set</w:t>
            </w:r>
            <w:r w:rsidRPr="005D4222">
              <w:t>) with a bilateral modifier (CPT Modifier code 50) (same procedure).</w:t>
            </w:r>
          </w:p>
          <w:p w14:paraId="72E073B3" w14:textId="77777777" w:rsidR="004C2601" w:rsidRPr="005D4222" w:rsidRDefault="004C2601" w:rsidP="004C2601">
            <w:pPr>
              <w:pStyle w:val="Bullet"/>
              <w:numPr>
                <w:ilvl w:val="0"/>
                <w:numId w:val="4"/>
              </w:numPr>
              <w:tabs>
                <w:tab w:val="left" w:pos="360"/>
                <w:tab w:val="left" w:pos="576"/>
              </w:tabs>
              <w:ind w:left="576" w:hanging="216"/>
            </w:pPr>
            <w:r w:rsidRPr="005D4222">
              <w:t>History of bilateral mastectomy (</w:t>
            </w:r>
            <w:r w:rsidRPr="005D4222">
              <w:rPr>
                <w:u w:val="single"/>
              </w:rPr>
              <w:t>History of Bilateral Mastectomy Value Set</w:t>
            </w:r>
            <w:r w:rsidRPr="005D4222">
              <w:t>).</w:t>
            </w:r>
          </w:p>
          <w:p w14:paraId="27C3894C" w14:textId="77777777" w:rsidR="004C2601" w:rsidRPr="005D4222" w:rsidRDefault="004C2601" w:rsidP="004C2601">
            <w:pPr>
              <w:pStyle w:val="Bullet"/>
              <w:numPr>
                <w:ilvl w:val="0"/>
                <w:numId w:val="4"/>
              </w:numPr>
              <w:tabs>
                <w:tab w:val="left" w:pos="360"/>
                <w:tab w:val="left" w:pos="576"/>
              </w:tabs>
              <w:ind w:left="576" w:hanging="216"/>
            </w:pPr>
            <w:r w:rsidRPr="005D4222">
              <w:t xml:space="preserve">Any combination that indicates a mastectomy of </w:t>
            </w:r>
            <w:r w:rsidRPr="005D4222">
              <w:rPr>
                <w:b/>
                <w:bCs/>
              </w:rPr>
              <w:t>both</w:t>
            </w:r>
            <w:r w:rsidRPr="005D4222">
              <w:t xml:space="preserve"> the </w:t>
            </w:r>
            <w:r w:rsidRPr="005D4222">
              <w:rPr>
                <w:b/>
                <w:bCs/>
              </w:rPr>
              <w:t>left</w:t>
            </w:r>
            <w:r w:rsidRPr="005D4222">
              <w:t xml:space="preserve"> and </w:t>
            </w:r>
            <w:r w:rsidRPr="005D4222">
              <w:rPr>
                <w:b/>
                <w:bCs/>
              </w:rPr>
              <w:t>right</w:t>
            </w:r>
            <w:r w:rsidRPr="005D4222">
              <w:t xml:space="preserve"> side on the same date of service or different dates of service: </w:t>
            </w:r>
          </w:p>
          <w:p w14:paraId="1376F869" w14:textId="77777777" w:rsidR="004C2601" w:rsidRPr="005D4222" w:rsidRDefault="004C2601" w:rsidP="004C2601">
            <w:pPr>
              <w:pStyle w:val="Dash"/>
              <w:tabs>
                <w:tab w:val="left" w:pos="576"/>
                <w:tab w:val="left" w:pos="792"/>
              </w:tabs>
              <w:rPr>
                <w:b/>
                <w:bCs/>
              </w:rPr>
            </w:pPr>
            <w:r w:rsidRPr="005D4222">
              <w:rPr>
                <w:b/>
                <w:bCs/>
              </w:rPr>
              <w:t>Left mastectomy:</w:t>
            </w:r>
          </w:p>
          <w:p w14:paraId="562498C7" w14:textId="77777777" w:rsidR="004C2601" w:rsidRPr="005D4222" w:rsidRDefault="004C2601" w:rsidP="004C2601">
            <w:pPr>
              <w:pStyle w:val="Box"/>
              <w:tabs>
                <w:tab w:val="left" w:pos="792"/>
              </w:tabs>
              <w:ind w:left="1008" w:hanging="216"/>
            </w:pPr>
            <w:r w:rsidRPr="005D4222">
              <w:t>Unilateral mastectomy (</w:t>
            </w:r>
            <w:r w:rsidRPr="005D4222">
              <w:rPr>
                <w:u w:val="single"/>
              </w:rPr>
              <w:t>Unilateral Mastectomy Value Set</w:t>
            </w:r>
            <w:r w:rsidRPr="005D4222">
              <w:t>) with a left-side modifier (CPT Modifier code LT) (same procedure).</w:t>
            </w:r>
          </w:p>
          <w:p w14:paraId="5505F2D1" w14:textId="77777777" w:rsidR="004C2601" w:rsidRPr="005D4222" w:rsidRDefault="004C2601" w:rsidP="004C2601">
            <w:pPr>
              <w:pStyle w:val="Box"/>
              <w:tabs>
                <w:tab w:val="left" w:pos="792"/>
              </w:tabs>
              <w:ind w:left="1008" w:hanging="216"/>
            </w:pPr>
            <w:r w:rsidRPr="005D4222">
              <w:t>Unilateral mastectomy of the left breast found in clinical data (</w:t>
            </w:r>
            <w:r w:rsidRPr="005D4222">
              <w:rPr>
                <w:u w:val="single"/>
              </w:rPr>
              <w:t>Clinical Unilateral Mastectomy Value Set</w:t>
            </w:r>
            <w:r w:rsidRPr="005D4222">
              <w:t xml:space="preserve"> </w:t>
            </w:r>
            <w:r w:rsidRPr="005D4222">
              <w:rPr>
                <w:rFonts w:cs="Arial"/>
                <w:i/>
                <w:iCs/>
                <w:kern w:val="20"/>
                <w:szCs w:val="21"/>
              </w:rPr>
              <w:t>with</w:t>
            </w:r>
            <w:r w:rsidRPr="005D4222">
              <w:t xml:space="preserve"> SNOMED CT code 361716006).</w:t>
            </w:r>
          </w:p>
          <w:p w14:paraId="604124AD" w14:textId="77777777" w:rsidR="004C2601" w:rsidRPr="005D4222" w:rsidRDefault="004C2601" w:rsidP="00A53E8C">
            <w:pPr>
              <w:pStyle w:val="Note"/>
              <w:ind w:left="792"/>
            </w:pPr>
            <w:r w:rsidRPr="005D4222">
              <w:rPr>
                <w:b/>
                <w:bCs/>
              </w:rPr>
              <w:t xml:space="preserve">Note: </w:t>
            </w:r>
            <w:r w:rsidRPr="005D4222">
              <w:t>The “clinical” mastectomy value sets identify mastectomy; the word “clinical” refers to the data source, not to the type of mastectomy.</w:t>
            </w:r>
          </w:p>
          <w:p w14:paraId="3E28D824" w14:textId="77777777" w:rsidR="004C2601" w:rsidRPr="005D4222" w:rsidRDefault="004C2601" w:rsidP="004C2601">
            <w:pPr>
              <w:pStyle w:val="Box"/>
              <w:tabs>
                <w:tab w:val="left" w:pos="792"/>
              </w:tabs>
              <w:ind w:left="1008" w:hanging="216"/>
            </w:pPr>
            <w:r w:rsidRPr="005D4222">
              <w:t>Absence of the left breast (</w:t>
            </w:r>
            <w:r w:rsidRPr="005D4222">
              <w:rPr>
                <w:u w:val="single"/>
              </w:rPr>
              <w:t>Absence of Left Breast Value Set</w:t>
            </w:r>
            <w:r w:rsidRPr="005D4222">
              <w:t>*).</w:t>
            </w:r>
          </w:p>
          <w:p w14:paraId="06C05A26" w14:textId="754C5873" w:rsidR="004C2601" w:rsidRPr="005D4222" w:rsidRDefault="004C2601" w:rsidP="00123799">
            <w:pPr>
              <w:pStyle w:val="Box"/>
              <w:tabs>
                <w:tab w:val="left" w:pos="792"/>
              </w:tabs>
              <w:spacing w:after="80"/>
              <w:ind w:left="1008" w:hanging="216"/>
              <w:rPr>
                <w:bCs/>
              </w:rPr>
            </w:pPr>
            <w:r w:rsidRPr="005D4222">
              <w:rPr>
                <w:szCs w:val="21"/>
              </w:rPr>
              <w:t>Left unilateral mastectomy (</w:t>
            </w:r>
            <w:r w:rsidRPr="005D4222">
              <w:rPr>
                <w:szCs w:val="21"/>
                <w:u w:val="single"/>
              </w:rPr>
              <w:t>Unilateral Mastectomy Left Value Set</w:t>
            </w:r>
            <w:r w:rsidRPr="005D4222">
              <w:rPr>
                <w:szCs w:val="21"/>
              </w:rPr>
              <w:t>).</w:t>
            </w:r>
          </w:p>
        </w:tc>
      </w:tr>
    </w:tbl>
    <w:p w14:paraId="1FD2C720" w14:textId="77777777" w:rsidR="004C2601" w:rsidRPr="005D4222" w:rsidRDefault="004C2601" w:rsidP="004C2601"/>
    <w:tbl>
      <w:tblPr>
        <w:tblW w:w="0" w:type="auto"/>
        <w:tblInd w:w="-9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3" w:type="dxa"/>
          <w:right w:w="86" w:type="dxa"/>
        </w:tblCellMar>
        <w:tblLook w:val="04A0" w:firstRow="1" w:lastRow="0" w:firstColumn="1" w:lastColumn="0" w:noHBand="0" w:noVBand="1"/>
      </w:tblPr>
      <w:tblGrid>
        <w:gridCol w:w="2250"/>
        <w:gridCol w:w="7532"/>
      </w:tblGrid>
      <w:tr w:rsidR="004C2601" w:rsidRPr="005D4222" w14:paraId="01D0E0E8" w14:textId="77777777" w:rsidTr="00A53E8C">
        <w:tc>
          <w:tcPr>
            <w:tcW w:w="2250"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42DDE2E" w14:textId="77777777" w:rsidR="004C2601" w:rsidRPr="005D4222" w:rsidRDefault="004C2601" w:rsidP="00A53E8C">
            <w:pPr>
              <w:pStyle w:val="ECDSMarginHead"/>
            </w:pPr>
          </w:p>
        </w:tc>
        <w:tc>
          <w:tcPr>
            <w:tcW w:w="7532"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F0A6DDB" w14:textId="77777777" w:rsidR="004C2601" w:rsidRPr="005D4222" w:rsidRDefault="004C2601" w:rsidP="00123799">
            <w:pPr>
              <w:pStyle w:val="Dash"/>
              <w:tabs>
                <w:tab w:val="left" w:pos="576"/>
                <w:tab w:val="left" w:pos="792"/>
              </w:tabs>
              <w:spacing w:before="120"/>
              <w:rPr>
                <w:b/>
                <w:bCs/>
              </w:rPr>
            </w:pPr>
            <w:r w:rsidRPr="005D4222">
              <w:rPr>
                <w:b/>
                <w:bCs/>
              </w:rPr>
              <w:t>Right mastectomy:</w:t>
            </w:r>
          </w:p>
          <w:p w14:paraId="5E2540BA" w14:textId="77777777" w:rsidR="004C2601" w:rsidRPr="005D4222" w:rsidRDefault="004C2601" w:rsidP="004C2601">
            <w:pPr>
              <w:pStyle w:val="Box"/>
              <w:tabs>
                <w:tab w:val="left" w:pos="792"/>
              </w:tabs>
              <w:ind w:left="1008" w:hanging="216"/>
              <w:rPr>
                <w:bCs/>
              </w:rPr>
            </w:pPr>
            <w:r w:rsidRPr="005D4222">
              <w:t>Unilateral mastectomy (</w:t>
            </w:r>
            <w:r w:rsidRPr="005D4222">
              <w:rPr>
                <w:u w:val="single"/>
              </w:rPr>
              <w:t>Unilateral Mastectomy Value Set</w:t>
            </w:r>
            <w:r w:rsidRPr="005D4222">
              <w:t xml:space="preserve">) </w:t>
            </w:r>
            <w:r w:rsidRPr="005D4222">
              <w:rPr>
                <w:b/>
                <w:bCs/>
                <w:i/>
                <w:iCs/>
              </w:rPr>
              <w:t>with</w:t>
            </w:r>
            <w:r w:rsidRPr="005D4222">
              <w:rPr>
                <w:i/>
                <w:iCs/>
              </w:rPr>
              <w:t xml:space="preserve"> </w:t>
            </w:r>
            <w:r w:rsidRPr="005D4222">
              <w:t>a right-side modifier (CPT Modifier code RT) (same procedure).</w:t>
            </w:r>
          </w:p>
          <w:p w14:paraId="1EB17676" w14:textId="0ADC3EA5" w:rsidR="004C2601" w:rsidRPr="005D4222" w:rsidRDefault="004C2601" w:rsidP="004C2601">
            <w:pPr>
              <w:pStyle w:val="Box"/>
              <w:tabs>
                <w:tab w:val="left" w:pos="792"/>
              </w:tabs>
              <w:ind w:left="1008" w:hanging="216"/>
            </w:pPr>
            <w:r w:rsidRPr="005D4222">
              <w:t>Unilateral mastectomy of the right breast found in clinical data (</w:t>
            </w:r>
            <w:r w:rsidRPr="005D4222">
              <w:rPr>
                <w:u w:val="single"/>
              </w:rPr>
              <w:t>Clinical Unilateral Mastectomy Value Set</w:t>
            </w:r>
            <w:r w:rsidRPr="005D4222">
              <w:t xml:space="preserve"> </w:t>
            </w:r>
            <w:r w:rsidRPr="005D4222">
              <w:rPr>
                <w:i/>
                <w:iCs/>
              </w:rPr>
              <w:t xml:space="preserve">with </w:t>
            </w:r>
            <w:r w:rsidRPr="005D4222">
              <w:t>SNOMED CT code</w:t>
            </w:r>
            <w:r w:rsidRPr="005D4222">
              <w:rPr>
                <w:i/>
                <w:iCs/>
              </w:rPr>
              <w:t xml:space="preserve"> </w:t>
            </w:r>
            <w:r w:rsidRPr="005D4222">
              <w:t>361715005).</w:t>
            </w:r>
          </w:p>
          <w:p w14:paraId="191A4823" w14:textId="77777777" w:rsidR="004C2601" w:rsidRPr="005D4222" w:rsidRDefault="004C2601" w:rsidP="004C2601">
            <w:pPr>
              <w:pStyle w:val="Box"/>
              <w:tabs>
                <w:tab w:val="left" w:pos="792"/>
              </w:tabs>
              <w:ind w:left="1008" w:hanging="216"/>
            </w:pPr>
            <w:r w:rsidRPr="005D4222">
              <w:t>Absence of the right breast (</w:t>
            </w:r>
            <w:r w:rsidRPr="005D4222">
              <w:rPr>
                <w:u w:val="single"/>
              </w:rPr>
              <w:t>Absence of Right Breast Value Set</w:t>
            </w:r>
            <w:r w:rsidRPr="005D4222">
              <w:t>*).</w:t>
            </w:r>
          </w:p>
          <w:p w14:paraId="204E3431" w14:textId="77777777" w:rsidR="004C2601" w:rsidRPr="005D4222" w:rsidRDefault="004C2601" w:rsidP="004C2601">
            <w:pPr>
              <w:pStyle w:val="Box"/>
              <w:tabs>
                <w:tab w:val="left" w:pos="792"/>
              </w:tabs>
              <w:ind w:left="1008" w:hanging="216"/>
            </w:pPr>
            <w:r w:rsidRPr="005D4222">
              <w:t>Right unilateral mastectomy (</w:t>
            </w:r>
            <w:r w:rsidRPr="005D4222">
              <w:rPr>
                <w:u w:val="single"/>
              </w:rPr>
              <w:t>Unilateral Mastectomy Right Value Set</w:t>
            </w:r>
            <w:r w:rsidRPr="005D4222">
              <w:t>).</w:t>
            </w:r>
          </w:p>
          <w:p w14:paraId="73350E98" w14:textId="77777777" w:rsidR="004C2601" w:rsidRPr="005D4222" w:rsidRDefault="004C2601" w:rsidP="00A53E8C">
            <w:pPr>
              <w:pStyle w:val="ECDSBody"/>
              <w:spacing w:after="0"/>
              <w:rPr>
                <w:b/>
              </w:rPr>
            </w:pPr>
            <w:r w:rsidRPr="005D4222">
              <w:rPr>
                <w:b/>
              </w:rPr>
              <w:t>Gender-affirming chest surgery</w:t>
            </w:r>
          </w:p>
          <w:p w14:paraId="557DD268" w14:textId="35413236" w:rsidR="004C2601" w:rsidRPr="005D4222" w:rsidRDefault="004C2601" w:rsidP="00A53E8C">
            <w:pPr>
              <w:pStyle w:val="ECDSBody"/>
              <w:spacing w:before="0"/>
            </w:pPr>
            <w:r w:rsidRPr="005D4222">
              <w:t>Persons who had gender-affirming chest surgery (CPT code 19318) with a diagnosis of gender dysphoria (</w:t>
            </w:r>
            <w:r w:rsidRPr="005D4222">
              <w:rPr>
                <w:u w:val="single"/>
              </w:rPr>
              <w:t>Gender Dysphoria Value Set</w:t>
            </w:r>
            <w:r w:rsidRPr="005D4222">
              <w:t xml:space="preserve">) any time during their history through the </w:t>
            </w:r>
            <w:r w:rsidR="00075EFF" w:rsidRPr="005D4222">
              <w:t>last day</w:t>
            </w:r>
            <w:r w:rsidRPr="005D4222">
              <w:t xml:space="preserve"> of the measurement period.</w:t>
            </w:r>
          </w:p>
          <w:p w14:paraId="56FDBCEB" w14:textId="77777777" w:rsidR="004C2601" w:rsidRPr="005D4222" w:rsidRDefault="004C2601" w:rsidP="00A53E8C">
            <w:pPr>
              <w:pStyle w:val="ECDSBody"/>
              <w:spacing w:after="0"/>
              <w:rPr>
                <w:rFonts w:eastAsia="Arial,Arial,Arial,Arial,Arial,A"/>
                <w:b/>
                <w:bCs w:val="0"/>
              </w:rPr>
            </w:pPr>
            <w:r w:rsidRPr="005D4222">
              <w:rPr>
                <w:rFonts w:eastAsia="Arial,Arial,Arial,Arial,Arial,A"/>
                <w:b/>
                <w:bCs w:val="0"/>
              </w:rPr>
              <w:t>Coding Guidance</w:t>
            </w:r>
          </w:p>
          <w:p w14:paraId="5F4554BE" w14:textId="77777777" w:rsidR="004C2601" w:rsidRPr="005D4222" w:rsidRDefault="004C2601" w:rsidP="00A53E8C">
            <w:pPr>
              <w:pStyle w:val="ECDSBody"/>
              <w:spacing w:before="0"/>
              <w:rPr>
                <w:rStyle w:val="normaltextrun"/>
                <w:b/>
                <w:bCs w:val="0"/>
                <w:color w:val="000000"/>
                <w:szCs w:val="21"/>
                <w:shd w:val="clear" w:color="auto" w:fill="FFFFFF"/>
              </w:rPr>
            </w:pPr>
            <w:r w:rsidRPr="005D4222">
              <w:rPr>
                <w:rFonts w:eastAsia="Arial,Arial,Arial,Arial,Arial,A"/>
              </w:rPr>
              <w:t>*</w:t>
            </w:r>
            <w:r w:rsidRPr="005D4222">
              <w:rPr>
                <w:rStyle w:val="BodyChar1"/>
                <w:rFonts w:eastAsia="Arial,Arial,Arial,Arial,Arial,A"/>
              </w:rPr>
              <w:t>Do not include laboratory claims (claims with POS code 81).</w:t>
            </w:r>
          </w:p>
        </w:tc>
      </w:tr>
      <w:tr w:rsidR="006439AD" w:rsidRPr="005D4222" w14:paraId="35372817" w14:textId="77777777" w:rsidTr="00A53E8C">
        <w:tc>
          <w:tcPr>
            <w:tcW w:w="2250"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550DCA1" w14:textId="77777777" w:rsidR="004C2601" w:rsidRPr="005D4222" w:rsidRDefault="004C2601" w:rsidP="00A53E8C">
            <w:pPr>
              <w:pStyle w:val="ECDSMarginHead"/>
            </w:pPr>
            <w:r w:rsidRPr="005D4222">
              <w:t>Denominator</w:t>
            </w:r>
          </w:p>
        </w:tc>
        <w:tc>
          <w:tcPr>
            <w:tcW w:w="7532"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A2CD6BF" w14:textId="77777777" w:rsidR="004C2601" w:rsidRPr="005D4222" w:rsidRDefault="004C2601" w:rsidP="00A53E8C">
            <w:pPr>
              <w:pStyle w:val="ECDSBody"/>
              <w:rPr>
                <w:b/>
              </w:rPr>
            </w:pPr>
            <w:r w:rsidRPr="005D4222">
              <w:rPr>
                <w:rFonts w:eastAsia="Arial,Arial,Arial,Arial,Arial,A"/>
              </w:rPr>
              <w:t>The initial population minus denominator exclusions.</w:t>
            </w:r>
          </w:p>
        </w:tc>
      </w:tr>
      <w:tr w:rsidR="006439AD" w:rsidRPr="005D4222" w14:paraId="25FD56C7" w14:textId="77777777" w:rsidTr="00A53E8C">
        <w:tc>
          <w:tcPr>
            <w:tcW w:w="2250"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009D7DE" w14:textId="77777777" w:rsidR="004C2601" w:rsidRPr="005D4222" w:rsidRDefault="004C2601" w:rsidP="00A53E8C">
            <w:pPr>
              <w:pStyle w:val="ECDSMarginHead"/>
            </w:pPr>
            <w:r w:rsidRPr="005D4222">
              <w:t>Numerator</w:t>
            </w:r>
          </w:p>
        </w:tc>
        <w:tc>
          <w:tcPr>
            <w:tcW w:w="7532"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4AB2D80" w14:textId="0EA7A768" w:rsidR="004C2601" w:rsidRPr="005D4222" w:rsidRDefault="004C2601" w:rsidP="00A53E8C">
            <w:pPr>
              <w:pStyle w:val="ECDSBody"/>
              <w:rPr>
                <w:rFonts w:eastAsia="Arial,Arial,Arial,Arial,Arial,A"/>
                <w:color w:val="000000" w:themeColor="text1"/>
                <w:highlight w:val="yellow"/>
              </w:rPr>
            </w:pPr>
            <w:r w:rsidRPr="005D4222">
              <w:rPr>
                <w:b/>
              </w:rPr>
              <w:t>At least one mammogram.</w:t>
            </w:r>
            <w:r w:rsidRPr="005D4222">
              <w:rPr>
                <w:b/>
              </w:rPr>
              <w:br/>
            </w:r>
            <w:r w:rsidRPr="005D4222">
              <w:rPr>
                <w:kern w:val="20"/>
              </w:rPr>
              <w:t>One or more mammograms (</w:t>
            </w:r>
            <w:r w:rsidRPr="005D4222">
              <w:rPr>
                <w:kern w:val="20"/>
                <w:u w:val="single"/>
              </w:rPr>
              <w:t>Mammography Value Set</w:t>
            </w:r>
            <w:r w:rsidRPr="005D4222">
              <w:rPr>
                <w:kern w:val="20"/>
              </w:rPr>
              <w:t xml:space="preserve">) any time on or between October 1 two years prior to the measurement period and the </w:t>
            </w:r>
            <w:r w:rsidR="00075EFF" w:rsidRPr="005D4222">
              <w:rPr>
                <w:kern w:val="20"/>
              </w:rPr>
              <w:t>last day</w:t>
            </w:r>
            <w:r w:rsidRPr="005D4222">
              <w:rPr>
                <w:kern w:val="20"/>
              </w:rPr>
              <w:t xml:space="preserve"> of the measurement period.</w:t>
            </w:r>
          </w:p>
        </w:tc>
      </w:tr>
      <w:tr w:rsidR="006439AD" w:rsidRPr="005D4222" w14:paraId="1ADE6066" w14:textId="77777777" w:rsidTr="00A53E8C">
        <w:tc>
          <w:tcPr>
            <w:tcW w:w="2250"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2F6CA84" w14:textId="77777777" w:rsidR="004C2601" w:rsidRPr="005D4222" w:rsidRDefault="004C2601" w:rsidP="00A53E8C">
            <w:pPr>
              <w:pStyle w:val="ECDSMarginHead"/>
            </w:pPr>
            <w:r w:rsidRPr="005D4222">
              <w:t>Summary of changes</w:t>
            </w:r>
          </w:p>
        </w:tc>
        <w:tc>
          <w:tcPr>
            <w:tcW w:w="7532"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0C3E299" w14:textId="77777777" w:rsidR="004C2601" w:rsidRPr="005D4222" w:rsidRDefault="004C2601" w:rsidP="005D6173">
            <w:pPr>
              <w:pStyle w:val="ProcessBullet"/>
              <w:numPr>
                <w:ilvl w:val="0"/>
                <w:numId w:val="134"/>
              </w:numPr>
              <w:tabs>
                <w:tab w:val="left" w:pos="216"/>
              </w:tabs>
              <w:spacing w:after="80"/>
              <w:ind w:left="216" w:hanging="216"/>
            </w:pPr>
            <w:r w:rsidRPr="005D4222">
              <w:t>Updated the race and ethnicity stratification categories to align with OMB SPD 15 2024.</w:t>
            </w:r>
          </w:p>
          <w:p w14:paraId="05D8EDB7" w14:textId="77777777" w:rsidR="004C2601" w:rsidRPr="005D4222" w:rsidRDefault="004C2601" w:rsidP="005D6173">
            <w:pPr>
              <w:pStyle w:val="ProcessBullet"/>
              <w:numPr>
                <w:ilvl w:val="0"/>
                <w:numId w:val="134"/>
              </w:numPr>
              <w:tabs>
                <w:tab w:val="left" w:pos="216"/>
              </w:tabs>
              <w:ind w:left="216" w:hanging="216"/>
              <w:rPr>
                <w:b/>
              </w:rPr>
            </w:pPr>
            <w:r w:rsidRPr="005D4222">
              <w:t xml:space="preserve">Removed the definitions of “participation” and “participation period.” </w:t>
            </w:r>
          </w:p>
          <w:p w14:paraId="6E243FB2" w14:textId="77777777" w:rsidR="004C2601" w:rsidRDefault="004C2601" w:rsidP="005D6173">
            <w:pPr>
              <w:pStyle w:val="ProcessBullet"/>
              <w:numPr>
                <w:ilvl w:val="0"/>
                <w:numId w:val="134"/>
              </w:numPr>
              <w:tabs>
                <w:tab w:val="left" w:pos="216"/>
              </w:tabs>
              <w:spacing w:after="80"/>
              <w:ind w:left="216" w:hanging="216"/>
            </w:pPr>
            <w:r w:rsidRPr="005D4222">
              <w:t xml:space="preserve">Removed the SSoR data elements from the data element tables. </w:t>
            </w:r>
          </w:p>
          <w:p w14:paraId="766D489B" w14:textId="0B008EFC" w:rsidR="00003B91" w:rsidRPr="005D4222" w:rsidRDefault="00003B91" w:rsidP="005D6173">
            <w:pPr>
              <w:pStyle w:val="ProcessBullet"/>
              <w:numPr>
                <w:ilvl w:val="0"/>
                <w:numId w:val="134"/>
              </w:numPr>
              <w:tabs>
                <w:tab w:val="left" w:pos="216"/>
              </w:tabs>
              <w:spacing w:after="80"/>
              <w:ind w:left="216" w:hanging="216"/>
            </w:pPr>
            <w:r w:rsidRPr="00003B91">
              <w:t>The combination of unilateral mastectomy with a bilateral modifier was removed.</w:t>
            </w:r>
          </w:p>
          <w:p w14:paraId="7FAC9508" w14:textId="77777777" w:rsidR="004C2601" w:rsidRPr="005D4222" w:rsidRDefault="004C2601" w:rsidP="005D6173">
            <w:pPr>
              <w:pStyle w:val="ProcessBullet"/>
              <w:numPr>
                <w:ilvl w:val="0"/>
                <w:numId w:val="134"/>
              </w:numPr>
              <w:tabs>
                <w:tab w:val="left" w:pos="216"/>
              </w:tabs>
              <w:spacing w:after="80"/>
              <w:ind w:left="216" w:hanging="216"/>
              <w:rPr>
                <w:b/>
              </w:rPr>
            </w:pPr>
            <w:r w:rsidRPr="005D4222">
              <w:t>Added instructions on allowable adjustments to the race and ethnicity and SES stratifications.</w:t>
            </w:r>
          </w:p>
        </w:tc>
      </w:tr>
      <w:tr w:rsidR="006439AD" w:rsidRPr="005D4222" w14:paraId="29DD4F10" w14:textId="77777777" w:rsidTr="00A53E8C">
        <w:tc>
          <w:tcPr>
            <w:tcW w:w="2250"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024F2B5" w14:textId="77777777" w:rsidR="004C2601" w:rsidRPr="005D4222" w:rsidRDefault="004C2601" w:rsidP="00A53E8C">
            <w:pPr>
              <w:pStyle w:val="ECDSMarginHead"/>
            </w:pPr>
            <w:r w:rsidRPr="005D4222">
              <w:t>Data element tables</w:t>
            </w:r>
          </w:p>
        </w:tc>
        <w:tc>
          <w:tcPr>
            <w:tcW w:w="7532"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47FF8CD" w14:textId="77777777" w:rsidR="004C2601" w:rsidRPr="005D4222" w:rsidRDefault="004C2601" w:rsidP="00A53E8C">
            <w:pPr>
              <w:pStyle w:val="ECDSBody"/>
            </w:pPr>
            <w:r w:rsidRPr="005D4222">
              <w:t xml:space="preserve">Organizations that submit HEDIS data to NCQA must provide the following data elements. </w:t>
            </w:r>
          </w:p>
          <w:p w14:paraId="3C788B4B" w14:textId="77777777" w:rsidR="004C2601" w:rsidRPr="005D4222" w:rsidRDefault="004C2601" w:rsidP="00A53E8C">
            <w:pPr>
              <w:pStyle w:val="Heading3"/>
              <w:spacing w:before="120"/>
              <w:rPr>
                <w:rFonts w:eastAsia="Arial"/>
              </w:rPr>
            </w:pPr>
            <w:r w:rsidRPr="005D4222">
              <w:rPr>
                <w:rFonts w:eastAsia="Arial"/>
              </w:rPr>
              <w:t>Table BCS-E-A-1/2/3: Data Elements for Breast Cancer Screening</w:t>
            </w:r>
          </w:p>
          <w:tbl>
            <w:tblPr>
              <w:tblW w:w="5000" w:type="pct"/>
              <w:tblLayout w:type="fixed"/>
              <w:tblLook w:val="04A0" w:firstRow="1" w:lastRow="0" w:firstColumn="1" w:lastColumn="0" w:noHBand="0" w:noVBand="1"/>
            </w:tblPr>
            <w:tblGrid>
              <w:gridCol w:w="2151"/>
              <w:gridCol w:w="810"/>
              <w:gridCol w:w="2304"/>
              <w:gridCol w:w="2075"/>
            </w:tblGrid>
            <w:tr w:rsidR="004C2601" w:rsidRPr="005D4222" w14:paraId="616A97B1" w14:textId="77777777" w:rsidTr="00A53E8C">
              <w:trPr>
                <w:trHeight w:val="300"/>
              </w:trPr>
              <w:tc>
                <w:tcPr>
                  <w:tcW w:w="2151" w:type="dxa"/>
                  <w:tcBorders>
                    <w:top w:val="single" w:sz="8" w:space="0" w:color="auto"/>
                    <w:left w:val="single" w:sz="8" w:space="0" w:color="auto"/>
                    <w:bottom w:val="single" w:sz="8" w:space="0" w:color="auto"/>
                    <w:right w:val="single" w:sz="6" w:space="0" w:color="FFFFFF" w:themeColor="background1"/>
                  </w:tcBorders>
                  <w:shd w:val="clear" w:color="auto" w:fill="000000" w:themeFill="text1"/>
                  <w:noWrap/>
                  <w:tcMar>
                    <w:top w:w="0" w:type="dxa"/>
                    <w:left w:w="72" w:type="dxa"/>
                    <w:bottom w:w="0" w:type="dxa"/>
                    <w:right w:w="72" w:type="dxa"/>
                  </w:tcMar>
                  <w:vAlign w:val="center"/>
                  <w:hideMark/>
                </w:tcPr>
                <w:p w14:paraId="77848646" w14:textId="77777777" w:rsidR="004C2601" w:rsidRPr="005D4222" w:rsidRDefault="004C2601" w:rsidP="00A53E8C">
                  <w:pPr>
                    <w:pStyle w:val="TableHead"/>
                    <w:rPr>
                      <w:color w:val="auto"/>
                      <w:kern w:val="20"/>
                    </w:rPr>
                  </w:pPr>
                  <w:r w:rsidRPr="005D4222">
                    <w:rPr>
                      <w:color w:val="auto"/>
                      <w:kern w:val="20"/>
                    </w:rPr>
                    <w:t>Metric</w:t>
                  </w:r>
                </w:p>
              </w:tc>
              <w:tc>
                <w:tcPr>
                  <w:tcW w:w="810" w:type="dxa"/>
                  <w:tcBorders>
                    <w:top w:val="single" w:sz="8" w:space="0" w:color="auto"/>
                    <w:left w:val="single" w:sz="6" w:space="0" w:color="FFFFFF" w:themeColor="background1"/>
                    <w:bottom w:val="single" w:sz="8" w:space="0" w:color="auto"/>
                    <w:right w:val="single" w:sz="6" w:space="0" w:color="FFFFFF" w:themeColor="background1"/>
                  </w:tcBorders>
                  <w:shd w:val="clear" w:color="auto" w:fill="000000" w:themeFill="text1"/>
                </w:tcPr>
                <w:p w14:paraId="322016F4" w14:textId="77777777" w:rsidR="004C2601" w:rsidRPr="005D4222" w:rsidRDefault="004C2601" w:rsidP="00A53E8C">
                  <w:pPr>
                    <w:pStyle w:val="TableHead"/>
                    <w:rPr>
                      <w:color w:val="auto"/>
                      <w:kern w:val="20"/>
                    </w:rPr>
                  </w:pPr>
                  <w:r w:rsidRPr="005D4222">
                    <w:rPr>
                      <w:color w:val="auto"/>
                      <w:kern w:val="20"/>
                    </w:rPr>
                    <w:t>Age</w:t>
                  </w:r>
                </w:p>
              </w:tc>
              <w:tc>
                <w:tcPr>
                  <w:tcW w:w="2304" w:type="dxa"/>
                  <w:tcBorders>
                    <w:top w:val="single" w:sz="8" w:space="0" w:color="auto"/>
                    <w:left w:val="single" w:sz="6" w:space="0" w:color="FFFFFF" w:themeColor="background1"/>
                    <w:bottom w:val="single" w:sz="8" w:space="0" w:color="auto"/>
                    <w:right w:val="single" w:sz="4" w:space="0" w:color="FFFFFF" w:themeColor="background1"/>
                  </w:tcBorders>
                  <w:shd w:val="clear" w:color="auto" w:fill="000000" w:themeFill="text1"/>
                  <w:noWrap/>
                  <w:tcMar>
                    <w:top w:w="0" w:type="dxa"/>
                    <w:left w:w="72" w:type="dxa"/>
                    <w:bottom w:w="0" w:type="dxa"/>
                    <w:right w:w="72" w:type="dxa"/>
                  </w:tcMar>
                  <w:vAlign w:val="center"/>
                  <w:hideMark/>
                </w:tcPr>
                <w:p w14:paraId="141D5B4C" w14:textId="77777777" w:rsidR="004C2601" w:rsidRPr="005D4222" w:rsidRDefault="004C2601" w:rsidP="00A53E8C">
                  <w:pPr>
                    <w:pStyle w:val="TableHead"/>
                    <w:rPr>
                      <w:color w:val="auto"/>
                      <w:kern w:val="20"/>
                    </w:rPr>
                  </w:pPr>
                  <w:r w:rsidRPr="005D4222">
                    <w:rPr>
                      <w:color w:val="auto"/>
                      <w:kern w:val="20"/>
                    </w:rPr>
                    <w:t>Data Element</w:t>
                  </w:r>
                </w:p>
              </w:tc>
              <w:tc>
                <w:tcPr>
                  <w:tcW w:w="2075" w:type="dxa"/>
                  <w:tcBorders>
                    <w:top w:val="single" w:sz="8" w:space="0" w:color="auto"/>
                    <w:left w:val="single" w:sz="4" w:space="0" w:color="FFFFFF" w:themeColor="background1"/>
                    <w:bottom w:val="single" w:sz="8" w:space="0" w:color="auto"/>
                    <w:right w:val="single" w:sz="8" w:space="0" w:color="auto"/>
                  </w:tcBorders>
                  <w:shd w:val="clear" w:color="auto" w:fill="000000" w:themeFill="text1"/>
                  <w:tcMar>
                    <w:left w:w="72" w:type="dxa"/>
                    <w:right w:w="72" w:type="dxa"/>
                  </w:tcMar>
                  <w:vAlign w:val="center"/>
                </w:tcPr>
                <w:p w14:paraId="45441F1E" w14:textId="77777777" w:rsidR="004C2601" w:rsidRPr="005D4222" w:rsidRDefault="004C2601" w:rsidP="00A53E8C">
                  <w:pPr>
                    <w:pStyle w:val="TableHead"/>
                    <w:rPr>
                      <w:color w:val="auto"/>
                      <w:kern w:val="20"/>
                    </w:rPr>
                  </w:pPr>
                  <w:r w:rsidRPr="005D4222">
                    <w:rPr>
                      <w:color w:val="auto"/>
                      <w:kern w:val="20"/>
                    </w:rPr>
                    <w:t>Reporting Instructions</w:t>
                  </w:r>
                </w:p>
              </w:tc>
            </w:tr>
            <w:tr w:rsidR="004C2601" w:rsidRPr="005D4222" w14:paraId="6950D207" w14:textId="77777777" w:rsidTr="005D4236">
              <w:trPr>
                <w:trHeight w:val="300"/>
              </w:trPr>
              <w:tc>
                <w:tcPr>
                  <w:tcW w:w="2151" w:type="dxa"/>
                  <w:tcBorders>
                    <w:top w:val="nil"/>
                    <w:left w:val="single" w:sz="4" w:space="0" w:color="auto"/>
                    <w:bottom w:val="single" w:sz="4" w:space="0" w:color="auto"/>
                    <w:right w:val="single" w:sz="4" w:space="0" w:color="auto"/>
                  </w:tcBorders>
                  <w:shd w:val="clear" w:color="auto" w:fill="FFFFFF" w:themeFill="background1"/>
                  <w:noWrap/>
                  <w:tcMar>
                    <w:top w:w="0" w:type="dxa"/>
                    <w:left w:w="72" w:type="dxa"/>
                    <w:bottom w:w="0" w:type="dxa"/>
                    <w:right w:w="72" w:type="dxa"/>
                  </w:tcMar>
                  <w:vAlign w:val="center"/>
                  <w:hideMark/>
                </w:tcPr>
                <w:p w14:paraId="514A3A51" w14:textId="77777777" w:rsidR="004C2601" w:rsidRPr="005D4222" w:rsidRDefault="004C2601" w:rsidP="00A53E8C">
                  <w:pPr>
                    <w:pStyle w:val="TableText"/>
                    <w:rPr>
                      <w:kern w:val="20"/>
                    </w:rPr>
                  </w:pPr>
                  <w:r w:rsidRPr="005D4222">
                    <w:rPr>
                      <w:kern w:val="20"/>
                    </w:rPr>
                    <w:t>BreastCancerScreening</w:t>
                  </w:r>
                </w:p>
              </w:tc>
              <w:tc>
                <w:tcPr>
                  <w:tcW w:w="810" w:type="dxa"/>
                  <w:tcBorders>
                    <w:top w:val="single" w:sz="8" w:space="0" w:color="auto"/>
                    <w:left w:val="single" w:sz="4" w:space="0" w:color="auto"/>
                    <w:bottom w:val="single" w:sz="4" w:space="0" w:color="auto"/>
                    <w:right w:val="single" w:sz="4" w:space="0" w:color="auto"/>
                  </w:tcBorders>
                  <w:shd w:val="clear" w:color="auto" w:fill="FFFFFF" w:themeFill="background1"/>
                </w:tcPr>
                <w:p w14:paraId="27AC072D" w14:textId="77777777" w:rsidR="004C2601" w:rsidRPr="005D4222" w:rsidRDefault="004C2601" w:rsidP="00A53E8C">
                  <w:pPr>
                    <w:pStyle w:val="TableText"/>
                    <w:rPr>
                      <w:kern w:val="20"/>
                    </w:rPr>
                  </w:pPr>
                  <w:r w:rsidRPr="005D4222">
                    <w:rPr>
                      <w:kern w:val="20"/>
                    </w:rPr>
                    <w:t>42-51</w:t>
                  </w:r>
                </w:p>
              </w:tc>
              <w:tc>
                <w:tcPr>
                  <w:tcW w:w="2304" w:type="dxa"/>
                  <w:tcBorders>
                    <w:top w:val="nil"/>
                    <w:left w:val="single" w:sz="4" w:space="0" w:color="auto"/>
                    <w:bottom w:val="single" w:sz="4" w:space="0" w:color="auto"/>
                    <w:right w:val="single" w:sz="4" w:space="0" w:color="auto"/>
                  </w:tcBorders>
                  <w:shd w:val="clear" w:color="auto" w:fill="FFFFFF" w:themeFill="background1"/>
                  <w:noWrap/>
                  <w:tcMar>
                    <w:top w:w="0" w:type="dxa"/>
                    <w:left w:w="72" w:type="dxa"/>
                    <w:bottom w:w="0" w:type="dxa"/>
                    <w:right w:w="72" w:type="dxa"/>
                  </w:tcMar>
                  <w:vAlign w:val="center"/>
                  <w:hideMark/>
                </w:tcPr>
                <w:p w14:paraId="0D9C0358" w14:textId="77777777" w:rsidR="004C2601" w:rsidRPr="005D4222" w:rsidRDefault="004C2601" w:rsidP="00A53E8C">
                  <w:pPr>
                    <w:pStyle w:val="TableText"/>
                  </w:pPr>
                  <w:r w:rsidRPr="005D4222">
                    <w:rPr>
                      <w:kern w:val="20"/>
                    </w:rPr>
                    <w:t>InitialPopulation</w:t>
                  </w:r>
                </w:p>
              </w:tc>
              <w:tc>
                <w:tcPr>
                  <w:tcW w:w="2075" w:type="dxa"/>
                  <w:tcBorders>
                    <w:top w:val="nil"/>
                    <w:left w:val="single" w:sz="4" w:space="0" w:color="auto"/>
                    <w:bottom w:val="single" w:sz="4" w:space="0" w:color="auto"/>
                    <w:right w:val="single" w:sz="4" w:space="0" w:color="auto"/>
                  </w:tcBorders>
                  <w:shd w:val="clear" w:color="auto" w:fill="FFFFFF" w:themeFill="background1"/>
                  <w:tcMar>
                    <w:left w:w="72" w:type="dxa"/>
                    <w:right w:w="72" w:type="dxa"/>
                  </w:tcMar>
                  <w:vAlign w:val="center"/>
                </w:tcPr>
                <w:p w14:paraId="35391113" w14:textId="77777777" w:rsidR="004C2601" w:rsidRPr="005D4222" w:rsidRDefault="004C2601" w:rsidP="00A53E8C">
                  <w:pPr>
                    <w:pStyle w:val="TableText"/>
                  </w:pPr>
                  <w:r w:rsidRPr="005D4222">
                    <w:t>For each Stratification</w:t>
                  </w:r>
                </w:p>
              </w:tc>
            </w:tr>
            <w:tr w:rsidR="004C2601" w:rsidRPr="005D4222" w14:paraId="5194CC06" w14:textId="77777777" w:rsidTr="005D4236">
              <w:trPr>
                <w:trHeight w:val="300"/>
              </w:trPr>
              <w:tc>
                <w:tcPr>
                  <w:tcW w:w="2151" w:type="dxa"/>
                  <w:tcBorders>
                    <w:top w:val="single" w:sz="4" w:space="0" w:color="auto"/>
                    <w:right w:val="single" w:sz="4" w:space="0" w:color="auto"/>
                  </w:tcBorders>
                  <w:shd w:val="clear" w:color="auto" w:fill="FFFFFF" w:themeFill="background1"/>
                  <w:noWrap/>
                  <w:tcMar>
                    <w:top w:w="0" w:type="dxa"/>
                    <w:left w:w="72" w:type="dxa"/>
                    <w:bottom w:w="0" w:type="dxa"/>
                    <w:right w:w="72" w:type="dxa"/>
                  </w:tcMar>
                  <w:vAlign w:val="center"/>
                  <w:hideMark/>
                </w:tcPr>
                <w:p w14:paraId="5C96455C" w14:textId="77777777" w:rsidR="004C2601" w:rsidRPr="005D4222" w:rsidRDefault="004C2601" w:rsidP="00A53E8C">
                  <w:pPr>
                    <w:pStyle w:val="TableText"/>
                    <w:rPr>
                      <w:kern w:val="20"/>
                    </w:rPr>
                  </w:pPr>
                  <w:r w:rsidRPr="005D4222">
                    <w:rPr>
                      <w:kern w:val="20"/>
                    </w:rPr>
                    <w:t xml:space="preserve"> </w:t>
                  </w:r>
                </w:p>
              </w:tc>
              <w:tc>
                <w:tcPr>
                  <w:tcW w:w="810" w:type="dxa"/>
                  <w:tcBorders>
                    <w:top w:val="single" w:sz="4" w:space="0" w:color="auto"/>
                    <w:bottom w:val="single" w:sz="4" w:space="0" w:color="auto"/>
                    <w:right w:val="single" w:sz="4" w:space="0" w:color="auto"/>
                  </w:tcBorders>
                  <w:shd w:val="clear" w:color="auto" w:fill="FFFFFF" w:themeFill="background1"/>
                </w:tcPr>
                <w:p w14:paraId="0BEFCD11" w14:textId="77777777" w:rsidR="004C2601" w:rsidRPr="005D4222" w:rsidRDefault="004C2601" w:rsidP="00A53E8C">
                  <w:pPr>
                    <w:pStyle w:val="TableText"/>
                    <w:rPr>
                      <w:kern w:val="20"/>
                    </w:rPr>
                  </w:pPr>
                  <w:r w:rsidRPr="005D4222">
                    <w:rPr>
                      <w:kern w:val="20"/>
                    </w:rPr>
                    <w:t>52-74</w:t>
                  </w:r>
                </w:p>
              </w:tc>
              <w:tc>
                <w:tcPr>
                  <w:tcW w:w="2304" w:type="dxa"/>
                  <w:tcBorders>
                    <w:top w:val="single" w:sz="4" w:space="0" w:color="auto"/>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099AB535" w14:textId="77777777" w:rsidR="004C2601" w:rsidRPr="005D4222" w:rsidRDefault="004C2601" w:rsidP="00A53E8C">
                  <w:pPr>
                    <w:pStyle w:val="TableText"/>
                  </w:pPr>
                  <w:r w:rsidRPr="005D4222">
                    <w:rPr>
                      <w:kern w:val="20"/>
                    </w:rPr>
                    <w:t>Exclusions</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vAlign w:val="center"/>
                </w:tcPr>
                <w:p w14:paraId="0F26764B" w14:textId="77777777" w:rsidR="004C2601" w:rsidRPr="005D4222" w:rsidRDefault="004C2601" w:rsidP="00A53E8C">
                  <w:pPr>
                    <w:pStyle w:val="TableText"/>
                  </w:pPr>
                  <w:r w:rsidRPr="005D4222">
                    <w:t>For each Stratification</w:t>
                  </w:r>
                </w:p>
              </w:tc>
            </w:tr>
            <w:tr w:rsidR="004C2601" w:rsidRPr="005D4222" w14:paraId="784BC9A4" w14:textId="77777777" w:rsidTr="005D4236">
              <w:trPr>
                <w:trHeight w:val="300"/>
              </w:trPr>
              <w:tc>
                <w:tcPr>
                  <w:tcW w:w="2151" w:type="dxa"/>
                  <w:tcBorders>
                    <w:top w:val="nil"/>
                    <w:left w:val="nil"/>
                    <w:bottom w:val="nil"/>
                    <w:right w:val="single" w:sz="4" w:space="0" w:color="auto"/>
                  </w:tcBorders>
                  <w:shd w:val="clear" w:color="auto" w:fill="FFFFFF" w:themeFill="background1"/>
                  <w:noWrap/>
                  <w:tcMar>
                    <w:top w:w="0" w:type="dxa"/>
                    <w:left w:w="72" w:type="dxa"/>
                    <w:bottom w:w="0" w:type="dxa"/>
                    <w:right w:w="72" w:type="dxa"/>
                  </w:tcMar>
                  <w:vAlign w:val="center"/>
                  <w:hideMark/>
                </w:tcPr>
                <w:p w14:paraId="5463E589" w14:textId="77777777" w:rsidR="004C2601" w:rsidRPr="005D4222" w:rsidRDefault="004C2601" w:rsidP="00A53E8C">
                  <w:pPr>
                    <w:pStyle w:val="TableText"/>
                    <w:rPr>
                      <w:kern w:val="20"/>
                    </w:rPr>
                  </w:pPr>
                  <w:r w:rsidRPr="005D4222">
                    <w:rPr>
                      <w:kern w:val="20"/>
                    </w:rPr>
                    <w:t xml:space="preserve"> </w:t>
                  </w:r>
                </w:p>
              </w:tc>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7698D11" w14:textId="77777777" w:rsidR="004C2601" w:rsidRPr="005D4222" w:rsidRDefault="004C2601" w:rsidP="00A53E8C">
                  <w:pPr>
                    <w:pStyle w:val="TableText"/>
                    <w:rPr>
                      <w:kern w:val="20"/>
                    </w:rPr>
                  </w:pPr>
                  <w:r w:rsidRPr="005D4222">
                    <w:rPr>
                      <w:kern w:val="20"/>
                    </w:rPr>
                    <w:t>Total</w:t>
                  </w:r>
                </w:p>
              </w:tc>
              <w:tc>
                <w:tcPr>
                  <w:tcW w:w="2304" w:type="dxa"/>
                  <w:tcBorders>
                    <w:top w:val="single" w:sz="4" w:space="0" w:color="auto"/>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475585EA" w14:textId="77777777" w:rsidR="004C2601" w:rsidRPr="005D4222" w:rsidRDefault="004C2601" w:rsidP="00A53E8C">
                  <w:pPr>
                    <w:pStyle w:val="TableText"/>
                  </w:pPr>
                  <w:r w:rsidRPr="005D4222">
                    <w:rPr>
                      <w:kern w:val="20"/>
                    </w:rPr>
                    <w:t>Denominator</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vAlign w:val="center"/>
                </w:tcPr>
                <w:p w14:paraId="36FF3973" w14:textId="77777777" w:rsidR="004C2601" w:rsidRPr="005D4222" w:rsidRDefault="004C2601" w:rsidP="00A53E8C">
                  <w:pPr>
                    <w:pStyle w:val="TableText"/>
                  </w:pPr>
                  <w:r w:rsidRPr="005D4222">
                    <w:t>For each Stratification</w:t>
                  </w:r>
                </w:p>
              </w:tc>
            </w:tr>
            <w:tr w:rsidR="004C2601" w:rsidRPr="005D4222" w14:paraId="0FD17BB3" w14:textId="77777777" w:rsidTr="005D4236">
              <w:trPr>
                <w:trHeight w:val="300"/>
              </w:trPr>
              <w:tc>
                <w:tcPr>
                  <w:tcW w:w="2151" w:type="dxa"/>
                  <w:shd w:val="clear" w:color="auto" w:fill="FFFFFF" w:themeFill="background1"/>
                  <w:noWrap/>
                  <w:tcMar>
                    <w:top w:w="0" w:type="dxa"/>
                    <w:left w:w="72" w:type="dxa"/>
                    <w:bottom w:w="0" w:type="dxa"/>
                    <w:right w:w="72" w:type="dxa"/>
                  </w:tcMar>
                  <w:vAlign w:val="center"/>
                  <w:hideMark/>
                </w:tcPr>
                <w:p w14:paraId="0E8382C1" w14:textId="77777777" w:rsidR="004C2601" w:rsidRPr="005D4222" w:rsidRDefault="004C2601" w:rsidP="00A53E8C">
                  <w:pPr>
                    <w:pStyle w:val="TableText"/>
                    <w:rPr>
                      <w:kern w:val="20"/>
                    </w:rPr>
                  </w:pPr>
                  <w:r w:rsidRPr="005D4222">
                    <w:rPr>
                      <w:kern w:val="20"/>
                    </w:rPr>
                    <w:t xml:space="preserve"> </w:t>
                  </w:r>
                </w:p>
              </w:tc>
              <w:tc>
                <w:tcPr>
                  <w:tcW w:w="810" w:type="dxa"/>
                  <w:tcBorders>
                    <w:top w:val="single" w:sz="4" w:space="0" w:color="auto"/>
                    <w:right w:val="single" w:sz="4" w:space="0" w:color="auto"/>
                  </w:tcBorders>
                  <w:shd w:val="clear" w:color="auto" w:fill="FFFFFF" w:themeFill="background1"/>
                </w:tcPr>
                <w:p w14:paraId="663BE86C" w14:textId="77777777" w:rsidR="004C2601" w:rsidRPr="005D4222" w:rsidRDefault="004C2601" w:rsidP="00A53E8C">
                  <w:pPr>
                    <w:pStyle w:val="TableText"/>
                    <w:rPr>
                      <w:kern w:val="20"/>
                    </w:rPr>
                  </w:pPr>
                </w:p>
              </w:tc>
              <w:tc>
                <w:tcPr>
                  <w:tcW w:w="2304" w:type="dxa"/>
                  <w:tcBorders>
                    <w:top w:val="single" w:sz="4" w:space="0" w:color="auto"/>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23506DEC" w14:textId="77777777" w:rsidR="004C2601" w:rsidRPr="005D4222" w:rsidRDefault="004C2601" w:rsidP="00A53E8C">
                  <w:pPr>
                    <w:pStyle w:val="TableText"/>
                  </w:pPr>
                  <w:r w:rsidRPr="005D4222">
                    <w:rPr>
                      <w:kern w:val="20"/>
                    </w:rPr>
                    <w:t>Numerator</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vAlign w:val="center"/>
                </w:tcPr>
                <w:p w14:paraId="5F95C5C8" w14:textId="77777777" w:rsidR="004C2601" w:rsidRPr="005D4222" w:rsidRDefault="004C2601" w:rsidP="00A53E8C">
                  <w:pPr>
                    <w:pStyle w:val="TableText"/>
                  </w:pPr>
                  <w:r w:rsidRPr="005D4222">
                    <w:t>For each Stratification</w:t>
                  </w:r>
                </w:p>
              </w:tc>
            </w:tr>
            <w:tr w:rsidR="004C2601" w:rsidRPr="005D4222" w14:paraId="7F9EC05B" w14:textId="77777777" w:rsidTr="005D4236">
              <w:trPr>
                <w:trHeight w:val="300"/>
              </w:trPr>
              <w:tc>
                <w:tcPr>
                  <w:tcW w:w="2151" w:type="dxa"/>
                  <w:shd w:val="clear" w:color="auto" w:fill="FFFFFF" w:themeFill="background1"/>
                  <w:noWrap/>
                  <w:tcMar>
                    <w:top w:w="0" w:type="dxa"/>
                    <w:left w:w="72" w:type="dxa"/>
                    <w:bottom w:w="0" w:type="dxa"/>
                    <w:right w:w="72" w:type="dxa"/>
                  </w:tcMar>
                  <w:vAlign w:val="center"/>
                  <w:hideMark/>
                </w:tcPr>
                <w:p w14:paraId="72834709" w14:textId="77777777" w:rsidR="004C2601" w:rsidRPr="005D4222" w:rsidRDefault="004C2601" w:rsidP="00A53E8C">
                  <w:pPr>
                    <w:pStyle w:val="TableText"/>
                    <w:rPr>
                      <w:kern w:val="20"/>
                    </w:rPr>
                  </w:pPr>
                  <w:r w:rsidRPr="005D4222">
                    <w:rPr>
                      <w:kern w:val="20"/>
                    </w:rPr>
                    <w:t xml:space="preserve"> </w:t>
                  </w:r>
                </w:p>
              </w:tc>
              <w:tc>
                <w:tcPr>
                  <w:tcW w:w="810" w:type="dxa"/>
                  <w:tcBorders>
                    <w:right w:val="single" w:sz="4" w:space="0" w:color="auto"/>
                  </w:tcBorders>
                  <w:shd w:val="clear" w:color="auto" w:fill="FFFFFF" w:themeFill="background1"/>
                </w:tcPr>
                <w:p w14:paraId="31490946" w14:textId="77777777" w:rsidR="004C2601" w:rsidRPr="005D4222" w:rsidRDefault="004C2601" w:rsidP="00A53E8C">
                  <w:pPr>
                    <w:pStyle w:val="TableText"/>
                    <w:rPr>
                      <w:kern w:val="20"/>
                    </w:rPr>
                  </w:pPr>
                </w:p>
              </w:tc>
              <w:tc>
                <w:tcPr>
                  <w:tcW w:w="230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0" w:type="dxa"/>
                    <w:left w:w="72" w:type="dxa"/>
                    <w:bottom w:w="0" w:type="dxa"/>
                    <w:right w:w="72" w:type="dxa"/>
                  </w:tcMar>
                  <w:vAlign w:val="center"/>
                  <w:hideMark/>
                </w:tcPr>
                <w:p w14:paraId="59F59693" w14:textId="77777777" w:rsidR="004C2601" w:rsidRPr="005D4222" w:rsidRDefault="004C2601" w:rsidP="00A53E8C">
                  <w:pPr>
                    <w:pStyle w:val="TableText"/>
                  </w:pPr>
                  <w:r w:rsidRPr="005D4222">
                    <w:rPr>
                      <w:kern w:val="20"/>
                    </w:rPr>
                    <w:t>Rate</w:t>
                  </w:r>
                </w:p>
              </w:tc>
              <w:tc>
                <w:tcPr>
                  <w:tcW w:w="20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vAlign w:val="center"/>
                </w:tcPr>
                <w:p w14:paraId="3D9E5E91" w14:textId="77777777" w:rsidR="004C2601" w:rsidRPr="005D4222" w:rsidRDefault="004C2601" w:rsidP="00A53E8C">
                  <w:pPr>
                    <w:pStyle w:val="TableText"/>
                  </w:pPr>
                  <w:r w:rsidRPr="005D4222">
                    <w:t>(Percent)</w:t>
                  </w:r>
                </w:p>
              </w:tc>
            </w:tr>
          </w:tbl>
          <w:p w14:paraId="4556B151" w14:textId="77777777" w:rsidR="004C2601" w:rsidRPr="005D4222" w:rsidRDefault="004C2601" w:rsidP="00A53E8C">
            <w:pPr>
              <w:pStyle w:val="TableText"/>
              <w:spacing w:before="40"/>
              <w:rPr>
                <w:rFonts w:eastAsia="Calibri"/>
                <w:kern w:val="20"/>
              </w:rPr>
            </w:pPr>
          </w:p>
        </w:tc>
      </w:tr>
    </w:tbl>
    <w:p w14:paraId="48CD87DE" w14:textId="77777777" w:rsidR="00E660AA" w:rsidRPr="005D4222" w:rsidRDefault="00E660AA">
      <w:r w:rsidRPr="005D4222">
        <w:br w:type="page"/>
      </w:r>
    </w:p>
    <w:tbl>
      <w:tblPr>
        <w:tblW w:w="0" w:type="auto"/>
        <w:tblInd w:w="-9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3" w:type="dxa"/>
          <w:right w:w="86" w:type="dxa"/>
        </w:tblCellMar>
        <w:tblLook w:val="04A0" w:firstRow="1" w:lastRow="0" w:firstColumn="1" w:lastColumn="0" w:noHBand="0" w:noVBand="1"/>
      </w:tblPr>
      <w:tblGrid>
        <w:gridCol w:w="2250"/>
        <w:gridCol w:w="7532"/>
      </w:tblGrid>
      <w:tr w:rsidR="006439AD" w:rsidRPr="005D4222" w14:paraId="36BAB29F" w14:textId="77777777" w:rsidTr="00A53E8C">
        <w:tc>
          <w:tcPr>
            <w:tcW w:w="2250"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A2EDC1A" w14:textId="77777777" w:rsidR="004C2601" w:rsidRPr="005D4222" w:rsidRDefault="004C2601" w:rsidP="00A53E8C">
            <w:pPr>
              <w:pStyle w:val="ECDSMarginHead"/>
            </w:pPr>
          </w:p>
        </w:tc>
        <w:tc>
          <w:tcPr>
            <w:tcW w:w="7532"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AACD836" w14:textId="77777777" w:rsidR="00E660AA" w:rsidRPr="005D4222" w:rsidRDefault="00E660AA" w:rsidP="00E660AA">
            <w:pPr>
              <w:pStyle w:val="Heading3"/>
              <w:spacing w:before="120"/>
            </w:pPr>
            <w:r w:rsidRPr="005D4222">
              <w:rPr>
                <w:rFonts w:eastAsia="Arial"/>
              </w:rPr>
              <w:t>Table BCS-E-B-3: Data Elements for Breast Cancer Screening</w:t>
            </w:r>
          </w:p>
          <w:tbl>
            <w:tblPr>
              <w:tblW w:w="5000" w:type="pct"/>
              <w:tblLayout w:type="fixed"/>
              <w:tblLook w:val="04A0" w:firstRow="1" w:lastRow="0" w:firstColumn="1" w:lastColumn="0" w:noHBand="0" w:noVBand="1"/>
            </w:tblPr>
            <w:tblGrid>
              <w:gridCol w:w="2061"/>
              <w:gridCol w:w="1980"/>
              <w:gridCol w:w="1379"/>
              <w:gridCol w:w="1920"/>
            </w:tblGrid>
            <w:tr w:rsidR="00E660AA" w:rsidRPr="005D4222" w14:paraId="563AD92D" w14:textId="77777777" w:rsidTr="00A53E8C">
              <w:trPr>
                <w:trHeight w:val="300"/>
              </w:trPr>
              <w:tc>
                <w:tcPr>
                  <w:tcW w:w="2061" w:type="dxa"/>
                  <w:tcBorders>
                    <w:top w:val="single" w:sz="8" w:space="0" w:color="auto"/>
                    <w:left w:val="single" w:sz="8" w:space="0" w:color="auto"/>
                    <w:bottom w:val="single" w:sz="8" w:space="0" w:color="auto"/>
                    <w:right w:val="single" w:sz="6" w:space="0" w:color="FFFFFF" w:themeColor="background1"/>
                  </w:tcBorders>
                  <w:shd w:val="clear" w:color="auto" w:fill="000000" w:themeFill="text1"/>
                  <w:noWrap/>
                  <w:tcMar>
                    <w:top w:w="0" w:type="dxa"/>
                    <w:left w:w="72" w:type="dxa"/>
                    <w:bottom w:w="0" w:type="dxa"/>
                    <w:right w:w="72" w:type="dxa"/>
                  </w:tcMar>
                  <w:vAlign w:val="bottom"/>
                  <w:hideMark/>
                </w:tcPr>
                <w:p w14:paraId="53EF991C" w14:textId="77777777" w:rsidR="00E660AA" w:rsidRPr="005D4222" w:rsidRDefault="00E660AA" w:rsidP="00E660AA">
                  <w:pPr>
                    <w:pStyle w:val="TableHead"/>
                    <w:spacing w:before="40" w:after="40"/>
                    <w:rPr>
                      <w:color w:val="auto"/>
                      <w:kern w:val="20"/>
                    </w:rPr>
                  </w:pPr>
                  <w:r w:rsidRPr="005D4222">
                    <w:rPr>
                      <w:color w:val="auto"/>
                      <w:kern w:val="20"/>
                    </w:rPr>
                    <w:t>Metric</w:t>
                  </w:r>
                </w:p>
              </w:tc>
              <w:tc>
                <w:tcPr>
                  <w:tcW w:w="1980" w:type="dxa"/>
                  <w:tcBorders>
                    <w:top w:val="single" w:sz="8" w:space="0" w:color="auto"/>
                    <w:left w:val="single" w:sz="6" w:space="0" w:color="FFFFFF" w:themeColor="background1"/>
                    <w:bottom w:val="single" w:sz="4" w:space="0" w:color="auto"/>
                    <w:right w:val="single" w:sz="6" w:space="0" w:color="FFFFFF" w:themeColor="background1"/>
                  </w:tcBorders>
                  <w:shd w:val="clear" w:color="auto" w:fill="000000" w:themeFill="text1"/>
                  <w:tcMar>
                    <w:left w:w="72" w:type="dxa"/>
                    <w:right w:w="72" w:type="dxa"/>
                  </w:tcMar>
                  <w:vAlign w:val="bottom"/>
                </w:tcPr>
                <w:p w14:paraId="29D1AD00" w14:textId="32793142" w:rsidR="00E660AA" w:rsidRPr="005D4222" w:rsidRDefault="00E660AA" w:rsidP="00E660AA">
                  <w:pPr>
                    <w:pStyle w:val="TableHead"/>
                    <w:spacing w:before="40" w:after="40"/>
                    <w:rPr>
                      <w:color w:val="auto"/>
                      <w:kern w:val="20"/>
                    </w:rPr>
                  </w:pPr>
                  <w:r w:rsidRPr="005D4222">
                    <w:rPr>
                      <w:color w:val="auto"/>
                      <w:kern w:val="20"/>
                    </w:rPr>
                    <w:t xml:space="preserve">SES </w:t>
                  </w:r>
                  <w:r w:rsidR="00B51CDC" w:rsidRPr="005D4222">
                    <w:rPr>
                      <w:color w:val="auto"/>
                      <w:kern w:val="20"/>
                    </w:rPr>
                    <w:t>Stratifications</w:t>
                  </w:r>
                </w:p>
              </w:tc>
              <w:tc>
                <w:tcPr>
                  <w:tcW w:w="1379" w:type="dxa"/>
                  <w:tcBorders>
                    <w:top w:val="single" w:sz="8" w:space="0" w:color="auto"/>
                    <w:left w:val="single" w:sz="6" w:space="0" w:color="FFFFFF" w:themeColor="background1"/>
                    <w:bottom w:val="single" w:sz="4" w:space="0" w:color="auto"/>
                    <w:right w:val="single" w:sz="4" w:space="0" w:color="FFFFFF" w:themeColor="background1"/>
                  </w:tcBorders>
                  <w:shd w:val="clear" w:color="auto" w:fill="000000" w:themeFill="text1"/>
                  <w:noWrap/>
                  <w:tcMar>
                    <w:top w:w="0" w:type="dxa"/>
                    <w:left w:w="72" w:type="dxa"/>
                    <w:bottom w:w="0" w:type="dxa"/>
                    <w:right w:w="72" w:type="dxa"/>
                  </w:tcMar>
                  <w:vAlign w:val="bottom"/>
                  <w:hideMark/>
                </w:tcPr>
                <w:p w14:paraId="6BE6AD11" w14:textId="77777777" w:rsidR="00E660AA" w:rsidRPr="005D4222" w:rsidRDefault="00E660AA" w:rsidP="00E660AA">
                  <w:pPr>
                    <w:pStyle w:val="TableHead"/>
                    <w:spacing w:before="40" w:after="40"/>
                    <w:rPr>
                      <w:color w:val="auto"/>
                      <w:kern w:val="20"/>
                    </w:rPr>
                  </w:pPr>
                  <w:r w:rsidRPr="005D4222">
                    <w:rPr>
                      <w:color w:val="auto"/>
                      <w:kern w:val="20"/>
                    </w:rPr>
                    <w:t>Data Element</w:t>
                  </w:r>
                </w:p>
              </w:tc>
              <w:tc>
                <w:tcPr>
                  <w:tcW w:w="1920" w:type="dxa"/>
                  <w:tcBorders>
                    <w:top w:val="single" w:sz="8" w:space="0" w:color="auto"/>
                    <w:left w:val="single" w:sz="4" w:space="0" w:color="FFFFFF" w:themeColor="background1"/>
                    <w:bottom w:val="single" w:sz="8" w:space="0" w:color="auto"/>
                    <w:right w:val="single" w:sz="8" w:space="0" w:color="auto"/>
                  </w:tcBorders>
                  <w:shd w:val="clear" w:color="auto" w:fill="000000" w:themeFill="text1"/>
                  <w:tcMar>
                    <w:left w:w="72" w:type="dxa"/>
                    <w:right w:w="72" w:type="dxa"/>
                  </w:tcMar>
                  <w:vAlign w:val="bottom"/>
                </w:tcPr>
                <w:p w14:paraId="0B8A5DBD" w14:textId="77777777" w:rsidR="00E660AA" w:rsidRPr="005D4222" w:rsidRDefault="00E660AA" w:rsidP="00E660AA">
                  <w:pPr>
                    <w:pStyle w:val="TableHead"/>
                    <w:spacing w:before="40" w:after="40"/>
                    <w:rPr>
                      <w:color w:val="auto"/>
                      <w:kern w:val="20"/>
                    </w:rPr>
                  </w:pPr>
                  <w:r w:rsidRPr="005D4222">
                    <w:rPr>
                      <w:color w:val="auto"/>
                      <w:kern w:val="20"/>
                    </w:rPr>
                    <w:t>Reporting Instructions</w:t>
                  </w:r>
                </w:p>
              </w:tc>
            </w:tr>
            <w:tr w:rsidR="00E660AA" w:rsidRPr="005D4222" w14:paraId="743C71DE" w14:textId="77777777" w:rsidTr="005D4236">
              <w:tc>
                <w:tcPr>
                  <w:tcW w:w="2061" w:type="dxa"/>
                  <w:tcBorders>
                    <w:top w:val="nil"/>
                    <w:left w:val="single" w:sz="4" w:space="0" w:color="auto"/>
                    <w:bottom w:val="single" w:sz="4" w:space="0" w:color="auto"/>
                    <w:right w:val="single" w:sz="4" w:space="0" w:color="auto"/>
                  </w:tcBorders>
                  <w:shd w:val="clear" w:color="auto" w:fill="FFFFFF" w:themeFill="background1"/>
                  <w:noWrap/>
                  <w:tcMar>
                    <w:top w:w="0" w:type="dxa"/>
                    <w:left w:w="72" w:type="dxa"/>
                    <w:bottom w:w="0" w:type="dxa"/>
                    <w:right w:w="72" w:type="dxa"/>
                  </w:tcMar>
                  <w:vAlign w:val="center"/>
                  <w:hideMark/>
                </w:tcPr>
                <w:p w14:paraId="2AAA720F" w14:textId="77777777" w:rsidR="00E660AA" w:rsidRPr="005D4222" w:rsidRDefault="00E660AA" w:rsidP="00E660AA">
                  <w:pPr>
                    <w:pStyle w:val="TableText"/>
                  </w:pPr>
                  <w:r w:rsidRPr="005D4222">
                    <w:t>BreastCancerScreening</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vAlign w:val="center"/>
                </w:tcPr>
                <w:p w14:paraId="67E673B3" w14:textId="77777777" w:rsidR="00E660AA" w:rsidRPr="005D4222" w:rsidRDefault="00E660AA" w:rsidP="00E660AA">
                  <w:pPr>
                    <w:pStyle w:val="TableText"/>
                  </w:pPr>
                  <w:r w:rsidRPr="005D4222">
                    <w:t>NonLisDeNondisability</w:t>
                  </w:r>
                </w:p>
              </w:tc>
              <w:tc>
                <w:tcPr>
                  <w:tcW w:w="1379"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72" w:type="dxa"/>
                    <w:bottom w:w="0" w:type="dxa"/>
                    <w:right w:w="72" w:type="dxa"/>
                  </w:tcMar>
                  <w:vAlign w:val="center"/>
                  <w:hideMark/>
                </w:tcPr>
                <w:p w14:paraId="0EF19A75" w14:textId="77777777" w:rsidR="00E660AA" w:rsidRPr="005D4222" w:rsidRDefault="00E660AA" w:rsidP="00E660AA">
                  <w:pPr>
                    <w:pStyle w:val="TableText"/>
                  </w:pPr>
                  <w:r w:rsidRPr="005D4222">
                    <w:t>InitialPopulation</w:t>
                  </w:r>
                </w:p>
              </w:tc>
              <w:tc>
                <w:tcPr>
                  <w:tcW w:w="1920" w:type="dxa"/>
                  <w:tcBorders>
                    <w:top w:val="nil"/>
                    <w:left w:val="single" w:sz="4" w:space="0" w:color="auto"/>
                    <w:bottom w:val="single" w:sz="4" w:space="0" w:color="auto"/>
                    <w:right w:val="single" w:sz="4" w:space="0" w:color="auto"/>
                  </w:tcBorders>
                  <w:shd w:val="clear" w:color="auto" w:fill="FFFFFF" w:themeFill="background1"/>
                  <w:tcMar>
                    <w:left w:w="72" w:type="dxa"/>
                    <w:right w:w="72" w:type="dxa"/>
                  </w:tcMar>
                  <w:vAlign w:val="center"/>
                </w:tcPr>
                <w:p w14:paraId="65BF3AB7" w14:textId="77777777" w:rsidR="00E660AA" w:rsidRPr="005D4222" w:rsidRDefault="00E660AA" w:rsidP="00E660AA">
                  <w:pPr>
                    <w:pStyle w:val="TableText"/>
                  </w:pPr>
                  <w:r w:rsidRPr="005D4222">
                    <w:t>For each Stratification</w:t>
                  </w:r>
                </w:p>
              </w:tc>
            </w:tr>
            <w:tr w:rsidR="00E660AA" w:rsidRPr="005D4222" w14:paraId="17556038" w14:textId="77777777" w:rsidTr="005D4236">
              <w:tc>
                <w:tcPr>
                  <w:tcW w:w="2061" w:type="dxa"/>
                  <w:tcBorders>
                    <w:top w:val="single" w:sz="4" w:space="0" w:color="auto"/>
                    <w:right w:val="single" w:sz="4" w:space="0" w:color="auto"/>
                  </w:tcBorders>
                  <w:shd w:val="clear" w:color="auto" w:fill="FFFFFF" w:themeFill="background1"/>
                  <w:noWrap/>
                  <w:tcMar>
                    <w:top w:w="0" w:type="dxa"/>
                    <w:left w:w="72" w:type="dxa"/>
                    <w:bottom w:w="0" w:type="dxa"/>
                    <w:right w:w="72" w:type="dxa"/>
                  </w:tcMar>
                  <w:vAlign w:val="center"/>
                  <w:hideMark/>
                </w:tcPr>
                <w:p w14:paraId="4DE9475C" w14:textId="77777777" w:rsidR="00E660AA" w:rsidRPr="005D4222" w:rsidRDefault="00E660AA" w:rsidP="00E660AA">
                  <w:pPr>
                    <w:pStyle w:val="TableText"/>
                  </w:pPr>
                  <w:r w:rsidRPr="005D4222">
                    <w:t xml:space="preserve"> </w:t>
                  </w:r>
                </w:p>
              </w:tc>
              <w:tc>
                <w:tcPr>
                  <w:tcW w:w="1980" w:type="dxa"/>
                  <w:tcBorders>
                    <w:top w:val="single" w:sz="4" w:space="0" w:color="auto"/>
                    <w:bottom w:val="single" w:sz="4" w:space="0" w:color="auto"/>
                    <w:right w:val="single" w:sz="4" w:space="0" w:color="auto"/>
                  </w:tcBorders>
                  <w:shd w:val="clear" w:color="auto" w:fill="FFFFFF" w:themeFill="background1"/>
                  <w:tcMar>
                    <w:left w:w="72" w:type="dxa"/>
                    <w:right w:w="72" w:type="dxa"/>
                  </w:tcMar>
                  <w:vAlign w:val="center"/>
                </w:tcPr>
                <w:p w14:paraId="09637C0D" w14:textId="77777777" w:rsidR="00E660AA" w:rsidRPr="005D4222" w:rsidRDefault="00E660AA" w:rsidP="00E660AA">
                  <w:pPr>
                    <w:pStyle w:val="TableText"/>
                  </w:pPr>
                  <w:r w:rsidRPr="005D4222">
                    <w:t>LisDe</w:t>
                  </w:r>
                </w:p>
              </w:tc>
              <w:tc>
                <w:tcPr>
                  <w:tcW w:w="1379"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489ABA37" w14:textId="77777777" w:rsidR="00E660AA" w:rsidRPr="005D4222" w:rsidRDefault="00E660AA" w:rsidP="00E660AA">
                  <w:pPr>
                    <w:pStyle w:val="TableText"/>
                  </w:pPr>
                  <w:r w:rsidRPr="005D4222">
                    <w:t>Exclusions</w:t>
                  </w:r>
                </w:p>
              </w:tc>
              <w:tc>
                <w:tcPr>
                  <w:tcW w:w="1920" w:type="dxa"/>
                  <w:tcBorders>
                    <w:top w:val="single" w:sz="4" w:space="0" w:color="auto"/>
                    <w:left w:val="single" w:sz="4" w:space="0" w:color="auto"/>
                    <w:bottom w:val="single" w:sz="4" w:space="0" w:color="auto"/>
                    <w:right w:val="single" w:sz="4" w:space="0" w:color="auto"/>
                  </w:tcBorders>
                  <w:tcMar>
                    <w:left w:w="72" w:type="dxa"/>
                    <w:right w:w="72" w:type="dxa"/>
                  </w:tcMar>
                  <w:vAlign w:val="center"/>
                </w:tcPr>
                <w:p w14:paraId="72E6B25C" w14:textId="77777777" w:rsidR="00E660AA" w:rsidRPr="005D4222" w:rsidRDefault="00E660AA" w:rsidP="00E660AA">
                  <w:pPr>
                    <w:pStyle w:val="TableText"/>
                  </w:pPr>
                  <w:r w:rsidRPr="005D4222">
                    <w:t>For each Stratification</w:t>
                  </w:r>
                </w:p>
              </w:tc>
            </w:tr>
            <w:tr w:rsidR="00E660AA" w:rsidRPr="005D4222" w14:paraId="2FABCF5D" w14:textId="77777777" w:rsidTr="005D4236">
              <w:tc>
                <w:tcPr>
                  <w:tcW w:w="2061" w:type="dxa"/>
                  <w:tcBorders>
                    <w:top w:val="nil"/>
                    <w:left w:val="nil"/>
                    <w:bottom w:val="nil"/>
                    <w:right w:val="single" w:sz="4" w:space="0" w:color="auto"/>
                  </w:tcBorders>
                  <w:shd w:val="clear" w:color="auto" w:fill="FFFFFF" w:themeFill="background1"/>
                  <w:noWrap/>
                  <w:tcMar>
                    <w:top w:w="0" w:type="dxa"/>
                    <w:left w:w="72" w:type="dxa"/>
                    <w:bottom w:w="0" w:type="dxa"/>
                    <w:right w:w="72" w:type="dxa"/>
                  </w:tcMar>
                  <w:vAlign w:val="center"/>
                  <w:hideMark/>
                </w:tcPr>
                <w:p w14:paraId="4159144B" w14:textId="77777777" w:rsidR="00E660AA" w:rsidRPr="005D4222" w:rsidRDefault="00E660AA" w:rsidP="00E660AA">
                  <w:pPr>
                    <w:pStyle w:val="TableText"/>
                  </w:pPr>
                  <w:r w:rsidRPr="005D4222">
                    <w:t xml:space="preserve"> </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vAlign w:val="center"/>
                </w:tcPr>
                <w:p w14:paraId="116C53D2" w14:textId="77777777" w:rsidR="00E660AA" w:rsidRPr="005D4222" w:rsidRDefault="00E660AA" w:rsidP="00E660AA">
                  <w:pPr>
                    <w:pStyle w:val="TableText"/>
                  </w:pPr>
                  <w:r w:rsidRPr="005D4222">
                    <w:t>Disability</w:t>
                  </w:r>
                </w:p>
              </w:tc>
              <w:tc>
                <w:tcPr>
                  <w:tcW w:w="1379" w:type="dxa"/>
                  <w:tcBorders>
                    <w:top w:val="single" w:sz="4" w:space="0" w:color="auto"/>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03D85936" w14:textId="77777777" w:rsidR="00E660AA" w:rsidRPr="005D4222" w:rsidRDefault="00E660AA" w:rsidP="00E660AA">
                  <w:pPr>
                    <w:pStyle w:val="TableText"/>
                  </w:pPr>
                  <w:r w:rsidRPr="005D4222">
                    <w:t>Denominator</w:t>
                  </w:r>
                </w:p>
              </w:tc>
              <w:tc>
                <w:tcPr>
                  <w:tcW w:w="1920" w:type="dxa"/>
                  <w:tcBorders>
                    <w:top w:val="single" w:sz="4" w:space="0" w:color="auto"/>
                    <w:left w:val="single" w:sz="4" w:space="0" w:color="auto"/>
                    <w:bottom w:val="single" w:sz="4" w:space="0" w:color="auto"/>
                    <w:right w:val="single" w:sz="4" w:space="0" w:color="auto"/>
                  </w:tcBorders>
                  <w:tcMar>
                    <w:left w:w="72" w:type="dxa"/>
                    <w:right w:w="72" w:type="dxa"/>
                  </w:tcMar>
                  <w:vAlign w:val="center"/>
                </w:tcPr>
                <w:p w14:paraId="1DE32FC1" w14:textId="77777777" w:rsidR="00E660AA" w:rsidRPr="005D4222" w:rsidRDefault="00E660AA" w:rsidP="00E660AA">
                  <w:pPr>
                    <w:pStyle w:val="TableText"/>
                  </w:pPr>
                  <w:r w:rsidRPr="005D4222">
                    <w:t>For each Stratification</w:t>
                  </w:r>
                </w:p>
              </w:tc>
            </w:tr>
            <w:tr w:rsidR="00E660AA" w:rsidRPr="005D4222" w14:paraId="57C3F4C3" w14:textId="77777777" w:rsidTr="005D4236">
              <w:tc>
                <w:tcPr>
                  <w:tcW w:w="2061" w:type="dxa"/>
                  <w:tcBorders>
                    <w:right w:val="single" w:sz="4" w:space="0" w:color="auto"/>
                  </w:tcBorders>
                  <w:shd w:val="clear" w:color="auto" w:fill="FFFFFF" w:themeFill="background1"/>
                  <w:noWrap/>
                  <w:tcMar>
                    <w:top w:w="0" w:type="dxa"/>
                    <w:left w:w="72" w:type="dxa"/>
                    <w:bottom w:w="0" w:type="dxa"/>
                    <w:right w:w="72" w:type="dxa"/>
                  </w:tcMar>
                  <w:vAlign w:val="center"/>
                  <w:hideMark/>
                </w:tcPr>
                <w:p w14:paraId="6D3EEADD" w14:textId="77777777" w:rsidR="00E660AA" w:rsidRPr="005D4222" w:rsidRDefault="00E660AA" w:rsidP="00E660AA">
                  <w:pPr>
                    <w:pStyle w:val="TableText"/>
                  </w:pPr>
                  <w:r w:rsidRPr="005D4222">
                    <w:t xml:space="preserve"> </w:t>
                  </w:r>
                </w:p>
              </w:tc>
              <w:tc>
                <w:tcPr>
                  <w:tcW w:w="1980" w:type="dxa"/>
                  <w:tcBorders>
                    <w:top w:val="single" w:sz="4" w:space="0" w:color="auto"/>
                    <w:bottom w:val="single" w:sz="4" w:space="0" w:color="auto"/>
                    <w:right w:val="single" w:sz="4" w:space="0" w:color="auto"/>
                  </w:tcBorders>
                  <w:shd w:val="clear" w:color="auto" w:fill="FFFFFF" w:themeFill="background1"/>
                  <w:tcMar>
                    <w:left w:w="72" w:type="dxa"/>
                    <w:right w:w="72" w:type="dxa"/>
                  </w:tcMar>
                  <w:vAlign w:val="center"/>
                </w:tcPr>
                <w:p w14:paraId="21C51673" w14:textId="77777777" w:rsidR="00E660AA" w:rsidRPr="005D4222" w:rsidRDefault="00E660AA" w:rsidP="00E660AA">
                  <w:pPr>
                    <w:pStyle w:val="TableText"/>
                  </w:pPr>
                  <w:r w:rsidRPr="005D4222">
                    <w:t>LisDeAndDisability</w:t>
                  </w:r>
                </w:p>
              </w:tc>
              <w:tc>
                <w:tcPr>
                  <w:tcW w:w="1379" w:type="dxa"/>
                  <w:tcBorders>
                    <w:top w:val="single" w:sz="4" w:space="0" w:color="auto"/>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20FAFE7D" w14:textId="77777777" w:rsidR="00E660AA" w:rsidRPr="005D4222" w:rsidRDefault="00E660AA" w:rsidP="00E660AA">
                  <w:pPr>
                    <w:pStyle w:val="TableText"/>
                  </w:pPr>
                  <w:r w:rsidRPr="005D4222">
                    <w:t>Numerator</w:t>
                  </w:r>
                </w:p>
              </w:tc>
              <w:tc>
                <w:tcPr>
                  <w:tcW w:w="1920" w:type="dxa"/>
                  <w:tcBorders>
                    <w:top w:val="single" w:sz="4" w:space="0" w:color="auto"/>
                    <w:left w:val="single" w:sz="4" w:space="0" w:color="auto"/>
                    <w:bottom w:val="single" w:sz="4" w:space="0" w:color="auto"/>
                    <w:right w:val="single" w:sz="4" w:space="0" w:color="auto"/>
                  </w:tcBorders>
                  <w:tcMar>
                    <w:left w:w="72" w:type="dxa"/>
                    <w:right w:w="72" w:type="dxa"/>
                  </w:tcMar>
                  <w:vAlign w:val="center"/>
                </w:tcPr>
                <w:p w14:paraId="5801CA8A" w14:textId="77777777" w:rsidR="00E660AA" w:rsidRPr="005D4222" w:rsidRDefault="00E660AA" w:rsidP="00E660AA">
                  <w:pPr>
                    <w:pStyle w:val="TableText"/>
                  </w:pPr>
                  <w:r w:rsidRPr="005D4222">
                    <w:t>For each Stratification</w:t>
                  </w:r>
                </w:p>
              </w:tc>
            </w:tr>
            <w:tr w:rsidR="00E660AA" w:rsidRPr="005D4222" w14:paraId="77520F20" w14:textId="77777777" w:rsidTr="005D4236">
              <w:tc>
                <w:tcPr>
                  <w:tcW w:w="2061" w:type="dxa"/>
                  <w:tcBorders>
                    <w:right w:val="single" w:sz="4" w:space="0" w:color="auto"/>
                  </w:tcBorders>
                  <w:shd w:val="clear" w:color="auto" w:fill="FFFFFF" w:themeFill="background1"/>
                  <w:noWrap/>
                  <w:tcMar>
                    <w:top w:w="0" w:type="dxa"/>
                    <w:left w:w="72" w:type="dxa"/>
                    <w:bottom w:w="0" w:type="dxa"/>
                    <w:right w:w="72" w:type="dxa"/>
                  </w:tcMar>
                  <w:vAlign w:val="center"/>
                  <w:hideMark/>
                </w:tcPr>
                <w:p w14:paraId="1391B482" w14:textId="77777777" w:rsidR="00E660AA" w:rsidRPr="005D4222" w:rsidRDefault="00E660AA" w:rsidP="00E660AA">
                  <w:pPr>
                    <w:pStyle w:val="TableText"/>
                  </w:pPr>
                </w:p>
              </w:tc>
              <w:tc>
                <w:tcPr>
                  <w:tcW w:w="1980" w:type="dxa"/>
                  <w:tcBorders>
                    <w:top w:val="single" w:sz="4" w:space="0" w:color="auto"/>
                    <w:bottom w:val="single" w:sz="4" w:space="0" w:color="auto"/>
                    <w:right w:val="single" w:sz="4" w:space="0" w:color="auto"/>
                  </w:tcBorders>
                  <w:shd w:val="clear" w:color="auto" w:fill="FFFFFF" w:themeFill="background1"/>
                  <w:tcMar>
                    <w:left w:w="72" w:type="dxa"/>
                    <w:right w:w="72" w:type="dxa"/>
                  </w:tcMar>
                  <w:vAlign w:val="center"/>
                </w:tcPr>
                <w:p w14:paraId="57C6A6A2" w14:textId="77777777" w:rsidR="00E660AA" w:rsidRPr="005D4222" w:rsidRDefault="00E660AA" w:rsidP="00E660AA">
                  <w:pPr>
                    <w:pStyle w:val="TableText"/>
                  </w:pPr>
                  <w:r w:rsidRPr="005D4222">
                    <w:t>Other</w:t>
                  </w:r>
                </w:p>
              </w:tc>
              <w:tc>
                <w:tcPr>
                  <w:tcW w:w="137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0" w:type="dxa"/>
                    <w:left w:w="72" w:type="dxa"/>
                    <w:bottom w:w="0" w:type="dxa"/>
                    <w:right w:w="72" w:type="dxa"/>
                  </w:tcMar>
                  <w:vAlign w:val="center"/>
                  <w:hideMark/>
                </w:tcPr>
                <w:p w14:paraId="7AF372A9" w14:textId="77777777" w:rsidR="00E660AA" w:rsidRPr="005D4222" w:rsidRDefault="00E660AA" w:rsidP="00E660AA">
                  <w:pPr>
                    <w:pStyle w:val="TableText"/>
                  </w:pPr>
                  <w:r w:rsidRPr="005D4222">
                    <w:t>Rate</w:t>
                  </w:r>
                </w:p>
              </w:tc>
              <w:tc>
                <w:tcPr>
                  <w:tcW w:w="19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vAlign w:val="center"/>
                </w:tcPr>
                <w:p w14:paraId="6882A71E" w14:textId="77777777" w:rsidR="00E660AA" w:rsidRPr="005D4222" w:rsidRDefault="00E660AA" w:rsidP="00E660AA">
                  <w:pPr>
                    <w:pStyle w:val="TableText"/>
                  </w:pPr>
                  <w:r w:rsidRPr="005D4222">
                    <w:t>(Percent)</w:t>
                  </w:r>
                </w:p>
              </w:tc>
            </w:tr>
            <w:tr w:rsidR="00E660AA" w:rsidRPr="005D4222" w14:paraId="23CF54DB" w14:textId="77777777" w:rsidTr="005D4236">
              <w:trPr>
                <w:gridAfter w:val="2"/>
                <w:wAfter w:w="3299" w:type="dxa"/>
              </w:trPr>
              <w:tc>
                <w:tcPr>
                  <w:tcW w:w="2061" w:type="dxa"/>
                  <w:tcBorders>
                    <w:right w:val="single" w:sz="4" w:space="0" w:color="auto"/>
                  </w:tcBorders>
                  <w:shd w:val="clear" w:color="auto" w:fill="FFFFFF" w:themeFill="background1"/>
                  <w:noWrap/>
                  <w:tcMar>
                    <w:top w:w="0" w:type="dxa"/>
                    <w:left w:w="72" w:type="dxa"/>
                    <w:bottom w:w="0" w:type="dxa"/>
                    <w:right w:w="72" w:type="dxa"/>
                  </w:tcMar>
                  <w:vAlign w:val="center"/>
                </w:tcPr>
                <w:p w14:paraId="221B27AD" w14:textId="77777777" w:rsidR="00E660AA" w:rsidRPr="005D4222" w:rsidRDefault="00E660AA" w:rsidP="00E660AA">
                  <w:pPr>
                    <w:pStyle w:val="TableText"/>
                  </w:pPr>
                  <w:r w:rsidRPr="005D4222">
                    <w:t xml:space="preserve"> </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vAlign w:val="center"/>
                </w:tcPr>
                <w:p w14:paraId="06CDE4CE" w14:textId="77777777" w:rsidR="00E660AA" w:rsidRPr="005D4222" w:rsidRDefault="00E660AA" w:rsidP="00E660AA">
                  <w:pPr>
                    <w:pStyle w:val="TableText"/>
                  </w:pPr>
                  <w:r w:rsidRPr="005D4222">
                    <w:t>Unknown</w:t>
                  </w:r>
                </w:p>
              </w:tc>
            </w:tr>
          </w:tbl>
          <w:p w14:paraId="62BE8944" w14:textId="76A1CA5C" w:rsidR="004C2601" w:rsidRPr="005D4222" w:rsidRDefault="004C2601" w:rsidP="00E660AA">
            <w:pPr>
              <w:pStyle w:val="Heading3"/>
              <w:rPr>
                <w:rFonts w:eastAsia="Arial"/>
              </w:rPr>
            </w:pPr>
            <w:r w:rsidRPr="005D4222">
              <w:rPr>
                <w:rFonts w:eastAsia="Arial"/>
              </w:rPr>
              <w:t xml:space="preserve">Table BCS-E-C-1/2/3: Data Elements for Breast Cancer Screening: </w:t>
            </w:r>
            <w:r w:rsidR="00B51CDC" w:rsidRPr="005D4222">
              <w:rPr>
                <w:rFonts w:eastAsia="Arial"/>
              </w:rPr>
              <w:t>Stratifications</w:t>
            </w:r>
            <w:r w:rsidRPr="005D4222">
              <w:rPr>
                <w:rFonts w:eastAsia="Arial"/>
              </w:rPr>
              <w:t xml:space="preserve"> by Race</w:t>
            </w:r>
          </w:p>
          <w:tbl>
            <w:tblPr>
              <w:tblW w:w="5000" w:type="pct"/>
              <w:tblLayout w:type="fixed"/>
              <w:tblLook w:val="04A0" w:firstRow="1" w:lastRow="0" w:firstColumn="1" w:lastColumn="0" w:noHBand="0" w:noVBand="1"/>
            </w:tblPr>
            <w:tblGrid>
              <w:gridCol w:w="2066"/>
              <w:gridCol w:w="2790"/>
              <w:gridCol w:w="1350"/>
              <w:gridCol w:w="1139"/>
            </w:tblGrid>
            <w:tr w:rsidR="004C2601" w:rsidRPr="005D4222" w14:paraId="5CED7C23" w14:textId="77777777" w:rsidTr="00A53E8C">
              <w:tc>
                <w:tcPr>
                  <w:tcW w:w="2066" w:type="dxa"/>
                  <w:tcBorders>
                    <w:top w:val="single" w:sz="8" w:space="0" w:color="auto"/>
                    <w:left w:val="single" w:sz="4" w:space="0" w:color="auto"/>
                    <w:bottom w:val="single" w:sz="4" w:space="0" w:color="auto"/>
                    <w:right w:val="single" w:sz="6" w:space="0" w:color="FFFFFF" w:themeColor="background1"/>
                  </w:tcBorders>
                  <w:shd w:val="clear" w:color="auto" w:fill="000000" w:themeFill="text1"/>
                  <w:tcMar>
                    <w:left w:w="58" w:type="dxa"/>
                    <w:right w:w="58" w:type="dxa"/>
                  </w:tcMar>
                  <w:vAlign w:val="bottom"/>
                </w:tcPr>
                <w:p w14:paraId="42A4DBE8" w14:textId="77777777" w:rsidR="004C2601" w:rsidRPr="005D4222" w:rsidRDefault="004C2601" w:rsidP="00A53E8C">
                  <w:pPr>
                    <w:pStyle w:val="TableHead"/>
                    <w:spacing w:before="40" w:after="40"/>
                    <w:rPr>
                      <w:color w:val="auto"/>
                      <w:kern w:val="20"/>
                      <w:szCs w:val="21"/>
                    </w:rPr>
                  </w:pPr>
                  <w:r w:rsidRPr="005D4222">
                    <w:rPr>
                      <w:color w:val="auto"/>
                      <w:kern w:val="20"/>
                      <w:szCs w:val="21"/>
                    </w:rPr>
                    <w:t>Metric</w:t>
                  </w:r>
                </w:p>
              </w:tc>
              <w:tc>
                <w:tcPr>
                  <w:tcW w:w="2790" w:type="dxa"/>
                  <w:tcBorders>
                    <w:top w:val="single" w:sz="8" w:space="0" w:color="auto"/>
                    <w:left w:val="single" w:sz="4" w:space="0" w:color="auto"/>
                    <w:bottom w:val="single" w:sz="4" w:space="0" w:color="auto"/>
                    <w:right w:val="single" w:sz="6" w:space="0" w:color="FFFFFF" w:themeColor="background1"/>
                  </w:tcBorders>
                  <w:shd w:val="clear" w:color="auto" w:fill="000000" w:themeFill="text1"/>
                  <w:tcMar>
                    <w:left w:w="58" w:type="dxa"/>
                    <w:right w:w="58" w:type="dxa"/>
                  </w:tcMar>
                  <w:vAlign w:val="bottom"/>
                </w:tcPr>
                <w:p w14:paraId="499523D4" w14:textId="77777777" w:rsidR="004C2601" w:rsidRPr="005D4222" w:rsidRDefault="004C2601" w:rsidP="00A53E8C">
                  <w:pPr>
                    <w:pStyle w:val="TableHead"/>
                    <w:spacing w:before="40" w:after="40"/>
                    <w:rPr>
                      <w:color w:val="auto"/>
                      <w:kern w:val="20"/>
                      <w:szCs w:val="21"/>
                    </w:rPr>
                  </w:pPr>
                  <w:r w:rsidRPr="005D4222">
                    <w:rPr>
                      <w:color w:val="auto"/>
                      <w:kern w:val="20"/>
                      <w:szCs w:val="21"/>
                    </w:rPr>
                    <w:t>Race</w:t>
                  </w:r>
                </w:p>
              </w:tc>
              <w:tc>
                <w:tcPr>
                  <w:tcW w:w="1350" w:type="dxa"/>
                  <w:tcBorders>
                    <w:top w:val="single" w:sz="8" w:space="0" w:color="auto"/>
                    <w:left w:val="single" w:sz="6" w:space="0" w:color="FFFFFF" w:themeColor="background1"/>
                    <w:bottom w:val="single" w:sz="4" w:space="0" w:color="auto"/>
                    <w:right w:val="single" w:sz="4" w:space="0" w:color="FFFFFF" w:themeColor="background1"/>
                  </w:tcBorders>
                  <w:shd w:val="clear" w:color="auto" w:fill="000000" w:themeFill="text1"/>
                  <w:noWrap/>
                  <w:tcMar>
                    <w:top w:w="0" w:type="dxa"/>
                    <w:left w:w="58" w:type="dxa"/>
                    <w:bottom w:w="0" w:type="dxa"/>
                    <w:right w:w="58" w:type="dxa"/>
                  </w:tcMar>
                  <w:vAlign w:val="bottom"/>
                  <w:hideMark/>
                </w:tcPr>
                <w:p w14:paraId="798C5FF7" w14:textId="77777777" w:rsidR="004C2601" w:rsidRPr="005D4222" w:rsidRDefault="004C2601" w:rsidP="00A53E8C">
                  <w:pPr>
                    <w:pStyle w:val="TableHead"/>
                    <w:spacing w:before="40" w:after="40"/>
                    <w:rPr>
                      <w:color w:val="auto"/>
                      <w:kern w:val="20"/>
                      <w:szCs w:val="21"/>
                    </w:rPr>
                  </w:pPr>
                  <w:r w:rsidRPr="005D4222">
                    <w:rPr>
                      <w:color w:val="auto"/>
                      <w:kern w:val="20"/>
                      <w:szCs w:val="21"/>
                    </w:rPr>
                    <w:t>Data Element</w:t>
                  </w:r>
                </w:p>
              </w:tc>
              <w:tc>
                <w:tcPr>
                  <w:tcW w:w="1139" w:type="dxa"/>
                  <w:tcBorders>
                    <w:top w:val="single" w:sz="8" w:space="0" w:color="auto"/>
                    <w:left w:val="single" w:sz="4" w:space="0" w:color="FFFFFF" w:themeColor="background1"/>
                    <w:bottom w:val="single" w:sz="8" w:space="0" w:color="auto"/>
                    <w:right w:val="single" w:sz="8" w:space="0" w:color="auto"/>
                  </w:tcBorders>
                  <w:shd w:val="clear" w:color="auto" w:fill="000000" w:themeFill="text1"/>
                  <w:tcMar>
                    <w:left w:w="58" w:type="dxa"/>
                    <w:right w:w="58" w:type="dxa"/>
                  </w:tcMar>
                  <w:vAlign w:val="bottom"/>
                </w:tcPr>
                <w:p w14:paraId="194A92C6" w14:textId="77777777" w:rsidR="004C2601" w:rsidRPr="005D4222" w:rsidRDefault="004C2601" w:rsidP="00A53E8C">
                  <w:pPr>
                    <w:pStyle w:val="TableHead"/>
                    <w:spacing w:before="40" w:after="40"/>
                    <w:rPr>
                      <w:color w:val="auto"/>
                      <w:kern w:val="20"/>
                      <w:szCs w:val="21"/>
                    </w:rPr>
                  </w:pPr>
                  <w:r w:rsidRPr="005D4222">
                    <w:rPr>
                      <w:color w:val="auto"/>
                      <w:kern w:val="20"/>
                      <w:szCs w:val="21"/>
                    </w:rPr>
                    <w:t>Reporting Instructions</w:t>
                  </w:r>
                </w:p>
              </w:tc>
            </w:tr>
            <w:tr w:rsidR="004C2601" w:rsidRPr="005D4222" w14:paraId="7F2200A2" w14:textId="77777777" w:rsidTr="005D4236">
              <w:tc>
                <w:tcPr>
                  <w:tcW w:w="2066"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1DC02C20" w14:textId="77777777" w:rsidR="004C2601" w:rsidRPr="005D4222" w:rsidRDefault="004C2601" w:rsidP="00A53E8C">
                  <w:pPr>
                    <w:pStyle w:val="TableText"/>
                  </w:pPr>
                  <w:r w:rsidRPr="005D4222">
                    <w:t>BreastCancerScreening</w:t>
                  </w:r>
                </w:p>
              </w:tc>
              <w:tc>
                <w:tcPr>
                  <w:tcW w:w="279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70698031" w14:textId="77777777" w:rsidR="004C2601" w:rsidRPr="005D4222" w:rsidRDefault="004C2601" w:rsidP="00A53E8C">
                  <w:pPr>
                    <w:pStyle w:val="TableText"/>
                  </w:pPr>
                  <w:r w:rsidRPr="005D4222">
                    <w:t>AmericanIndianOrAlaskaNative</w:t>
                  </w:r>
                </w:p>
              </w:tc>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58" w:type="dxa"/>
                    <w:bottom w:w="0" w:type="dxa"/>
                    <w:right w:w="58" w:type="dxa"/>
                  </w:tcMar>
                  <w:hideMark/>
                </w:tcPr>
                <w:p w14:paraId="1A67DD53" w14:textId="77777777" w:rsidR="004C2601" w:rsidRPr="005D4222" w:rsidRDefault="004C2601" w:rsidP="00A53E8C">
                  <w:pPr>
                    <w:pStyle w:val="TableText"/>
                  </w:pPr>
                  <w:r w:rsidRPr="005D4222">
                    <w:t>InitialPopulation</w:t>
                  </w:r>
                </w:p>
              </w:tc>
              <w:tc>
                <w:tcPr>
                  <w:tcW w:w="1139" w:type="dxa"/>
                  <w:tcBorders>
                    <w:top w:val="nil"/>
                    <w:left w:val="single" w:sz="4" w:space="0" w:color="auto"/>
                    <w:bottom w:val="single" w:sz="4" w:space="0" w:color="auto"/>
                    <w:right w:val="single" w:sz="4" w:space="0" w:color="auto"/>
                  </w:tcBorders>
                  <w:shd w:val="clear" w:color="auto" w:fill="FFFFFF" w:themeFill="background1"/>
                  <w:tcMar>
                    <w:left w:w="58" w:type="dxa"/>
                    <w:right w:w="58" w:type="dxa"/>
                  </w:tcMar>
                </w:tcPr>
                <w:p w14:paraId="1DA28701" w14:textId="77777777" w:rsidR="004C2601" w:rsidRPr="005D4222" w:rsidRDefault="004C2601" w:rsidP="00A53E8C">
                  <w:pPr>
                    <w:pStyle w:val="TableText"/>
                  </w:pPr>
                  <w:r w:rsidRPr="005D4222">
                    <w:t>For each Stratification</w:t>
                  </w:r>
                </w:p>
              </w:tc>
            </w:tr>
            <w:tr w:rsidR="004C2601" w:rsidRPr="005D4222" w14:paraId="046BFA8B" w14:textId="77777777" w:rsidTr="005D4236">
              <w:tc>
                <w:tcPr>
                  <w:tcW w:w="2066" w:type="dxa"/>
                  <w:tcBorders>
                    <w:top w:val="single" w:sz="4" w:space="0" w:color="auto"/>
                    <w:right w:val="single" w:sz="4" w:space="0" w:color="auto"/>
                  </w:tcBorders>
                  <w:shd w:val="clear" w:color="auto" w:fill="FFFFFF" w:themeFill="background1"/>
                  <w:tcMar>
                    <w:left w:w="58" w:type="dxa"/>
                    <w:right w:w="58" w:type="dxa"/>
                  </w:tcMar>
                </w:tcPr>
                <w:p w14:paraId="567F4DCC" w14:textId="77777777" w:rsidR="004C2601" w:rsidRPr="005D4222" w:rsidRDefault="004C2601" w:rsidP="00A53E8C">
                  <w:pPr>
                    <w:pStyle w:val="TableText"/>
                  </w:pPr>
                </w:p>
              </w:tc>
              <w:tc>
                <w:tcPr>
                  <w:tcW w:w="279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6CD86A31" w14:textId="77777777" w:rsidR="004C2601" w:rsidRPr="005D4222" w:rsidRDefault="004C2601" w:rsidP="00A53E8C">
                  <w:pPr>
                    <w:pStyle w:val="TableText"/>
                  </w:pPr>
                  <w:r w:rsidRPr="005D4222">
                    <w:t>Asian</w:t>
                  </w:r>
                </w:p>
              </w:tc>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58" w:type="dxa"/>
                    <w:bottom w:w="0" w:type="dxa"/>
                    <w:right w:w="58" w:type="dxa"/>
                  </w:tcMar>
                </w:tcPr>
                <w:p w14:paraId="456EC6E5" w14:textId="77777777" w:rsidR="004C2601" w:rsidRPr="005D4222" w:rsidRDefault="004C2601" w:rsidP="00A53E8C">
                  <w:pPr>
                    <w:pStyle w:val="TableText"/>
                  </w:pPr>
                  <w:r w:rsidRPr="005D4222">
                    <w:t>Exclusions</w:t>
                  </w:r>
                </w:p>
              </w:tc>
              <w:tc>
                <w:tcPr>
                  <w:tcW w:w="1139"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45D12B03" w14:textId="77777777" w:rsidR="004C2601" w:rsidRPr="005D4222" w:rsidRDefault="004C2601" w:rsidP="00A53E8C">
                  <w:pPr>
                    <w:pStyle w:val="TableText"/>
                  </w:pPr>
                  <w:r w:rsidRPr="005D4222">
                    <w:t>For each Stratification</w:t>
                  </w:r>
                </w:p>
              </w:tc>
            </w:tr>
            <w:tr w:rsidR="004C2601" w:rsidRPr="005D4222" w14:paraId="26311F19" w14:textId="77777777" w:rsidTr="005D4236">
              <w:tc>
                <w:tcPr>
                  <w:tcW w:w="2066" w:type="dxa"/>
                  <w:tcBorders>
                    <w:right w:val="single" w:sz="4" w:space="0" w:color="auto"/>
                  </w:tcBorders>
                  <w:shd w:val="clear" w:color="auto" w:fill="FFFFFF" w:themeFill="background1"/>
                  <w:tcMar>
                    <w:left w:w="58" w:type="dxa"/>
                    <w:right w:w="58" w:type="dxa"/>
                  </w:tcMar>
                </w:tcPr>
                <w:p w14:paraId="3D7761EA" w14:textId="77777777" w:rsidR="004C2601" w:rsidRPr="005D4222" w:rsidRDefault="004C2601" w:rsidP="00A53E8C">
                  <w:pPr>
                    <w:pStyle w:val="TableText"/>
                  </w:pPr>
                </w:p>
              </w:tc>
              <w:tc>
                <w:tcPr>
                  <w:tcW w:w="279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27F4296C" w14:textId="77777777" w:rsidR="004C2601" w:rsidRPr="005D4222" w:rsidRDefault="004C2601" w:rsidP="00A53E8C">
                  <w:pPr>
                    <w:pStyle w:val="TableText"/>
                  </w:pPr>
                  <w:r w:rsidRPr="005D4222">
                    <w:t>BlackOrAfricanAmerican</w:t>
                  </w:r>
                  <w:r w:rsidRPr="005D4222" w:rsidDel="006452AC">
                    <w:t xml:space="preserve"> </w:t>
                  </w:r>
                </w:p>
              </w:tc>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58" w:type="dxa"/>
                    <w:bottom w:w="0" w:type="dxa"/>
                    <w:right w:w="58" w:type="dxa"/>
                  </w:tcMar>
                </w:tcPr>
                <w:p w14:paraId="5CE5DEC9" w14:textId="77777777" w:rsidR="004C2601" w:rsidRPr="005D4222" w:rsidRDefault="004C2601" w:rsidP="00A53E8C">
                  <w:pPr>
                    <w:pStyle w:val="TableText"/>
                  </w:pPr>
                  <w:r w:rsidRPr="005D4222">
                    <w:t>Denominator</w:t>
                  </w:r>
                </w:p>
              </w:tc>
              <w:tc>
                <w:tcPr>
                  <w:tcW w:w="1139"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79A0BAF4" w14:textId="77777777" w:rsidR="004C2601" w:rsidRPr="005D4222" w:rsidRDefault="004C2601" w:rsidP="00A53E8C">
                  <w:pPr>
                    <w:pStyle w:val="TableText"/>
                  </w:pPr>
                  <w:r w:rsidRPr="005D4222">
                    <w:t>For each Stratification</w:t>
                  </w:r>
                </w:p>
              </w:tc>
            </w:tr>
            <w:tr w:rsidR="004C2601" w:rsidRPr="005D4222" w14:paraId="37E79D05" w14:textId="77777777" w:rsidTr="005D4236">
              <w:tc>
                <w:tcPr>
                  <w:tcW w:w="2066" w:type="dxa"/>
                  <w:tcBorders>
                    <w:right w:val="single" w:sz="4" w:space="0" w:color="auto"/>
                  </w:tcBorders>
                  <w:shd w:val="clear" w:color="auto" w:fill="FFFFFF" w:themeFill="background1"/>
                  <w:tcMar>
                    <w:left w:w="58" w:type="dxa"/>
                    <w:right w:w="58" w:type="dxa"/>
                  </w:tcMar>
                </w:tcPr>
                <w:p w14:paraId="4582D0AF" w14:textId="77777777" w:rsidR="004C2601" w:rsidRPr="005D4222" w:rsidRDefault="004C2601" w:rsidP="00A53E8C">
                  <w:pPr>
                    <w:pStyle w:val="TableText"/>
                  </w:pPr>
                </w:p>
              </w:tc>
              <w:tc>
                <w:tcPr>
                  <w:tcW w:w="279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468C91CE" w14:textId="77777777" w:rsidR="004C2601" w:rsidRPr="005D4222" w:rsidRDefault="004C2601" w:rsidP="00A53E8C">
                  <w:pPr>
                    <w:pStyle w:val="TableText"/>
                  </w:pPr>
                  <w:r w:rsidRPr="005D4222">
                    <w:t>MiddleEasternOrNorthAfrican</w:t>
                  </w:r>
                </w:p>
              </w:tc>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58" w:type="dxa"/>
                    <w:bottom w:w="0" w:type="dxa"/>
                    <w:right w:w="58" w:type="dxa"/>
                  </w:tcMar>
                </w:tcPr>
                <w:p w14:paraId="19C26993" w14:textId="77777777" w:rsidR="004C2601" w:rsidRPr="005D4222" w:rsidRDefault="004C2601" w:rsidP="00A53E8C">
                  <w:pPr>
                    <w:pStyle w:val="TableText"/>
                  </w:pPr>
                  <w:r w:rsidRPr="005D4222">
                    <w:t>Numerator</w:t>
                  </w:r>
                </w:p>
              </w:tc>
              <w:tc>
                <w:tcPr>
                  <w:tcW w:w="1139"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5258E8CB" w14:textId="77777777" w:rsidR="004C2601" w:rsidRPr="005D4222" w:rsidRDefault="004C2601" w:rsidP="00A53E8C">
                  <w:pPr>
                    <w:pStyle w:val="TableText"/>
                  </w:pPr>
                  <w:r w:rsidRPr="005D4222">
                    <w:t>For each Stratification</w:t>
                  </w:r>
                </w:p>
              </w:tc>
            </w:tr>
            <w:tr w:rsidR="004C2601" w:rsidRPr="005D4222" w14:paraId="3EF7C757" w14:textId="77777777" w:rsidTr="00A53E8C">
              <w:tc>
                <w:tcPr>
                  <w:tcW w:w="2066" w:type="dxa"/>
                  <w:tcBorders>
                    <w:right w:val="single" w:sz="4" w:space="0" w:color="auto"/>
                  </w:tcBorders>
                  <w:shd w:val="clear" w:color="auto" w:fill="FFFFFF" w:themeFill="background1"/>
                  <w:tcMar>
                    <w:left w:w="58" w:type="dxa"/>
                    <w:right w:w="58" w:type="dxa"/>
                  </w:tcMar>
                </w:tcPr>
                <w:p w14:paraId="4B7FAA86" w14:textId="77777777" w:rsidR="004C2601" w:rsidRPr="005D4222" w:rsidRDefault="004C2601" w:rsidP="00A53E8C">
                  <w:pPr>
                    <w:pStyle w:val="TableText"/>
                  </w:pPr>
                </w:p>
              </w:tc>
              <w:tc>
                <w:tcPr>
                  <w:tcW w:w="279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7BBDAB1F" w14:textId="77777777" w:rsidR="004C2601" w:rsidRPr="005D4222" w:rsidRDefault="004C2601" w:rsidP="00A53E8C">
                  <w:pPr>
                    <w:pStyle w:val="TableText"/>
                  </w:pPr>
                  <w:r w:rsidRPr="005D4222">
                    <w:t>NativeHawaiianOrPacificIslander</w:t>
                  </w:r>
                  <w:r w:rsidRPr="005D4222" w:rsidDel="006452AC">
                    <w:t xml:space="preserve"> </w:t>
                  </w: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0" w:type="dxa"/>
                    <w:left w:w="58" w:type="dxa"/>
                    <w:bottom w:w="0" w:type="dxa"/>
                    <w:right w:w="58" w:type="dxa"/>
                  </w:tcMar>
                </w:tcPr>
                <w:p w14:paraId="365AB94D" w14:textId="77777777" w:rsidR="004C2601" w:rsidRPr="005D4222" w:rsidRDefault="004C2601" w:rsidP="00A53E8C">
                  <w:pPr>
                    <w:pStyle w:val="TableText"/>
                  </w:pPr>
                  <w:r w:rsidRPr="005D4222">
                    <w:t>Rate</w:t>
                  </w:r>
                </w:p>
              </w:tc>
              <w:tc>
                <w:tcPr>
                  <w:tcW w:w="11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58" w:type="dxa"/>
                    <w:right w:w="58" w:type="dxa"/>
                  </w:tcMar>
                </w:tcPr>
                <w:p w14:paraId="51838E52" w14:textId="77777777" w:rsidR="004C2601" w:rsidRPr="005D4222" w:rsidRDefault="004C2601" w:rsidP="00A53E8C">
                  <w:pPr>
                    <w:pStyle w:val="TableText"/>
                  </w:pPr>
                  <w:r w:rsidRPr="005D4222">
                    <w:t>(Percent)</w:t>
                  </w:r>
                </w:p>
              </w:tc>
            </w:tr>
            <w:tr w:rsidR="004C2601" w:rsidRPr="005D4222" w14:paraId="628CDEEF" w14:textId="77777777" w:rsidTr="00A53E8C">
              <w:tc>
                <w:tcPr>
                  <w:tcW w:w="2066" w:type="dxa"/>
                  <w:tcBorders>
                    <w:right w:val="single" w:sz="4" w:space="0" w:color="auto"/>
                  </w:tcBorders>
                  <w:shd w:val="clear" w:color="auto" w:fill="FFFFFF" w:themeFill="background1"/>
                  <w:tcMar>
                    <w:left w:w="58" w:type="dxa"/>
                    <w:right w:w="58" w:type="dxa"/>
                  </w:tcMar>
                </w:tcPr>
                <w:p w14:paraId="42A72F7E" w14:textId="77777777" w:rsidR="004C2601" w:rsidRPr="005D4222" w:rsidRDefault="004C2601" w:rsidP="00A53E8C">
                  <w:pPr>
                    <w:pStyle w:val="TableText"/>
                  </w:pPr>
                </w:p>
              </w:tc>
              <w:tc>
                <w:tcPr>
                  <w:tcW w:w="279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22D5DB47" w14:textId="77777777" w:rsidR="004C2601" w:rsidRPr="005D4222" w:rsidRDefault="004C2601" w:rsidP="00A53E8C">
                  <w:pPr>
                    <w:pStyle w:val="TableText"/>
                  </w:pPr>
                  <w:r w:rsidRPr="005D4222">
                    <w:t>White</w:t>
                  </w:r>
                </w:p>
              </w:tc>
              <w:tc>
                <w:tcPr>
                  <w:tcW w:w="1350" w:type="dxa"/>
                  <w:tcBorders>
                    <w:top w:val="single" w:sz="4" w:space="0" w:color="auto"/>
                  </w:tcBorders>
                  <w:noWrap/>
                  <w:tcMar>
                    <w:top w:w="0" w:type="dxa"/>
                    <w:left w:w="58" w:type="dxa"/>
                    <w:bottom w:w="0" w:type="dxa"/>
                    <w:right w:w="58" w:type="dxa"/>
                  </w:tcMar>
                </w:tcPr>
                <w:p w14:paraId="0149F8DB" w14:textId="77777777" w:rsidR="004C2601" w:rsidRPr="005D4222" w:rsidRDefault="004C2601" w:rsidP="00A53E8C">
                  <w:pPr>
                    <w:pStyle w:val="TableText"/>
                  </w:pPr>
                </w:p>
              </w:tc>
              <w:tc>
                <w:tcPr>
                  <w:tcW w:w="1139" w:type="dxa"/>
                  <w:tcBorders>
                    <w:top w:val="single" w:sz="4" w:space="0" w:color="auto"/>
                  </w:tcBorders>
                  <w:tcMar>
                    <w:left w:w="58" w:type="dxa"/>
                    <w:right w:w="58" w:type="dxa"/>
                  </w:tcMar>
                </w:tcPr>
                <w:p w14:paraId="0DDC96AB" w14:textId="77777777" w:rsidR="004C2601" w:rsidRPr="005D4222" w:rsidRDefault="004C2601" w:rsidP="00A53E8C">
                  <w:pPr>
                    <w:pStyle w:val="TableText"/>
                  </w:pPr>
                </w:p>
              </w:tc>
            </w:tr>
            <w:tr w:rsidR="004C2601" w:rsidRPr="005D4222" w14:paraId="6189DC09" w14:textId="77777777" w:rsidTr="00A53E8C">
              <w:tc>
                <w:tcPr>
                  <w:tcW w:w="2066" w:type="dxa"/>
                  <w:tcBorders>
                    <w:right w:val="single" w:sz="4" w:space="0" w:color="auto"/>
                  </w:tcBorders>
                  <w:tcMar>
                    <w:left w:w="58" w:type="dxa"/>
                    <w:right w:w="58" w:type="dxa"/>
                  </w:tcMar>
                </w:tcPr>
                <w:p w14:paraId="515160BC" w14:textId="77777777" w:rsidR="004C2601" w:rsidRPr="005D4222" w:rsidRDefault="004C2601" w:rsidP="00A53E8C">
                  <w:pPr>
                    <w:pStyle w:val="TableText"/>
                  </w:pPr>
                </w:p>
              </w:tc>
              <w:tc>
                <w:tcPr>
                  <w:tcW w:w="279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39F8EFA7" w14:textId="77777777" w:rsidR="004C2601" w:rsidRPr="005D4222" w:rsidRDefault="004C2601" w:rsidP="00A53E8C">
                  <w:pPr>
                    <w:pStyle w:val="TableText"/>
                  </w:pPr>
                  <w:r w:rsidRPr="005D4222">
                    <w:t>SomeOtherRace</w:t>
                  </w:r>
                </w:p>
              </w:tc>
              <w:tc>
                <w:tcPr>
                  <w:tcW w:w="1350" w:type="dxa"/>
                  <w:noWrap/>
                  <w:tcMar>
                    <w:top w:w="0" w:type="dxa"/>
                    <w:left w:w="58" w:type="dxa"/>
                    <w:bottom w:w="0" w:type="dxa"/>
                    <w:right w:w="58" w:type="dxa"/>
                  </w:tcMar>
                </w:tcPr>
                <w:p w14:paraId="1E0EADF7" w14:textId="77777777" w:rsidR="004C2601" w:rsidRPr="005D4222" w:rsidRDefault="004C2601" w:rsidP="00A53E8C">
                  <w:pPr>
                    <w:pStyle w:val="TableText"/>
                  </w:pPr>
                </w:p>
              </w:tc>
              <w:tc>
                <w:tcPr>
                  <w:tcW w:w="1139" w:type="dxa"/>
                  <w:tcMar>
                    <w:left w:w="58" w:type="dxa"/>
                    <w:right w:w="58" w:type="dxa"/>
                  </w:tcMar>
                </w:tcPr>
                <w:p w14:paraId="34349D78" w14:textId="77777777" w:rsidR="004C2601" w:rsidRPr="005D4222" w:rsidRDefault="004C2601" w:rsidP="00A53E8C">
                  <w:pPr>
                    <w:pStyle w:val="TableText"/>
                  </w:pPr>
                </w:p>
              </w:tc>
            </w:tr>
            <w:tr w:rsidR="004C2601" w:rsidRPr="005D4222" w14:paraId="3CBB44E9" w14:textId="77777777" w:rsidTr="00A53E8C">
              <w:tc>
                <w:tcPr>
                  <w:tcW w:w="2066" w:type="dxa"/>
                  <w:tcBorders>
                    <w:right w:val="single" w:sz="4" w:space="0" w:color="auto"/>
                  </w:tcBorders>
                  <w:shd w:val="clear" w:color="auto" w:fill="FFFFFF" w:themeFill="background1"/>
                  <w:tcMar>
                    <w:left w:w="58" w:type="dxa"/>
                    <w:right w:w="58" w:type="dxa"/>
                  </w:tcMar>
                </w:tcPr>
                <w:p w14:paraId="00CB1E23" w14:textId="77777777" w:rsidR="004C2601" w:rsidRPr="005D4222" w:rsidRDefault="004C2601" w:rsidP="00A53E8C">
                  <w:pPr>
                    <w:pStyle w:val="TableText"/>
                  </w:pPr>
                </w:p>
              </w:tc>
              <w:tc>
                <w:tcPr>
                  <w:tcW w:w="2790" w:type="dxa"/>
                  <w:tcBorders>
                    <w:top w:val="single" w:sz="4" w:space="0" w:color="auto"/>
                    <w:left w:val="single" w:sz="4" w:space="0" w:color="auto"/>
                    <w:bottom w:val="single" w:sz="4" w:space="0" w:color="auto"/>
                    <w:right w:val="single" w:sz="4" w:space="0" w:color="auto"/>
                  </w:tcBorders>
                  <w:tcMar>
                    <w:left w:w="58" w:type="dxa"/>
                    <w:right w:w="58" w:type="dxa"/>
                  </w:tcMar>
                </w:tcPr>
                <w:p w14:paraId="0B4FE887" w14:textId="77777777" w:rsidR="004C2601" w:rsidRPr="005D4222" w:rsidRDefault="004C2601" w:rsidP="00A53E8C">
                  <w:pPr>
                    <w:pStyle w:val="TableText"/>
                  </w:pPr>
                  <w:r w:rsidRPr="005D4222">
                    <w:t>TwoOrMoreRaces</w:t>
                  </w:r>
                </w:p>
              </w:tc>
              <w:tc>
                <w:tcPr>
                  <w:tcW w:w="1350" w:type="dxa"/>
                  <w:shd w:val="clear" w:color="auto" w:fill="FFFFFF" w:themeFill="background1"/>
                  <w:noWrap/>
                  <w:tcMar>
                    <w:top w:w="0" w:type="dxa"/>
                    <w:left w:w="58" w:type="dxa"/>
                    <w:bottom w:w="0" w:type="dxa"/>
                    <w:right w:w="58" w:type="dxa"/>
                  </w:tcMar>
                </w:tcPr>
                <w:p w14:paraId="13984549" w14:textId="77777777" w:rsidR="004C2601" w:rsidRPr="005D4222" w:rsidRDefault="004C2601" w:rsidP="00A53E8C">
                  <w:pPr>
                    <w:pStyle w:val="TableText"/>
                  </w:pPr>
                </w:p>
              </w:tc>
              <w:tc>
                <w:tcPr>
                  <w:tcW w:w="1139" w:type="dxa"/>
                  <w:shd w:val="clear" w:color="auto" w:fill="FFFFFF" w:themeFill="background1"/>
                  <w:tcMar>
                    <w:left w:w="58" w:type="dxa"/>
                    <w:right w:w="58" w:type="dxa"/>
                  </w:tcMar>
                </w:tcPr>
                <w:p w14:paraId="53A6B003" w14:textId="77777777" w:rsidR="004C2601" w:rsidRPr="005D4222" w:rsidRDefault="004C2601" w:rsidP="00A53E8C">
                  <w:pPr>
                    <w:pStyle w:val="TableText"/>
                  </w:pPr>
                </w:p>
              </w:tc>
            </w:tr>
            <w:tr w:rsidR="004C2601" w:rsidRPr="005D4222" w14:paraId="78B6F914" w14:textId="77777777" w:rsidTr="00A53E8C">
              <w:tc>
                <w:tcPr>
                  <w:tcW w:w="2066" w:type="dxa"/>
                  <w:tcBorders>
                    <w:right w:val="single" w:sz="4" w:space="0" w:color="auto"/>
                  </w:tcBorders>
                  <w:shd w:val="clear" w:color="auto" w:fill="FFFFFF" w:themeFill="background1"/>
                  <w:tcMar>
                    <w:left w:w="58" w:type="dxa"/>
                    <w:right w:w="58" w:type="dxa"/>
                  </w:tcMar>
                </w:tcPr>
                <w:p w14:paraId="774F6A52" w14:textId="77777777" w:rsidR="004C2601" w:rsidRPr="005D4222" w:rsidRDefault="004C2601" w:rsidP="00A53E8C">
                  <w:pPr>
                    <w:pStyle w:val="TableText"/>
                  </w:pPr>
                </w:p>
              </w:tc>
              <w:tc>
                <w:tcPr>
                  <w:tcW w:w="279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3CAEB729" w14:textId="77777777" w:rsidR="004C2601" w:rsidRPr="005D4222" w:rsidRDefault="004C2601" w:rsidP="00A53E8C">
                  <w:pPr>
                    <w:pStyle w:val="TableText"/>
                  </w:pPr>
                  <w:r w:rsidRPr="005D4222">
                    <w:t>AskedButNoAnswer</w:t>
                  </w:r>
                </w:p>
              </w:tc>
              <w:tc>
                <w:tcPr>
                  <w:tcW w:w="1350" w:type="dxa"/>
                  <w:shd w:val="clear" w:color="auto" w:fill="FFFFFF" w:themeFill="background1"/>
                  <w:noWrap/>
                  <w:tcMar>
                    <w:top w:w="0" w:type="dxa"/>
                    <w:left w:w="58" w:type="dxa"/>
                    <w:bottom w:w="0" w:type="dxa"/>
                    <w:right w:w="58" w:type="dxa"/>
                  </w:tcMar>
                </w:tcPr>
                <w:p w14:paraId="15B584FA" w14:textId="77777777" w:rsidR="004C2601" w:rsidRPr="005D4222" w:rsidRDefault="004C2601" w:rsidP="00A53E8C">
                  <w:pPr>
                    <w:pStyle w:val="TableText"/>
                  </w:pPr>
                </w:p>
              </w:tc>
              <w:tc>
                <w:tcPr>
                  <w:tcW w:w="1139" w:type="dxa"/>
                  <w:shd w:val="clear" w:color="auto" w:fill="FFFFFF" w:themeFill="background1"/>
                  <w:tcMar>
                    <w:left w:w="58" w:type="dxa"/>
                    <w:right w:w="58" w:type="dxa"/>
                  </w:tcMar>
                </w:tcPr>
                <w:p w14:paraId="6FBB1F91" w14:textId="77777777" w:rsidR="004C2601" w:rsidRPr="005D4222" w:rsidRDefault="004C2601" w:rsidP="00A53E8C">
                  <w:pPr>
                    <w:pStyle w:val="TableText"/>
                  </w:pPr>
                </w:p>
              </w:tc>
            </w:tr>
            <w:tr w:rsidR="004C2601" w:rsidRPr="005D4222" w14:paraId="2186679C" w14:textId="77777777" w:rsidTr="00A53E8C">
              <w:tc>
                <w:tcPr>
                  <w:tcW w:w="2066" w:type="dxa"/>
                  <w:tcBorders>
                    <w:right w:val="single" w:sz="4" w:space="0" w:color="auto"/>
                  </w:tcBorders>
                  <w:shd w:val="clear" w:color="auto" w:fill="FFFFFF" w:themeFill="background1"/>
                  <w:tcMar>
                    <w:left w:w="58" w:type="dxa"/>
                    <w:right w:w="58" w:type="dxa"/>
                  </w:tcMar>
                </w:tcPr>
                <w:p w14:paraId="1E7E7AC4" w14:textId="77777777" w:rsidR="004C2601" w:rsidRPr="005D4222" w:rsidRDefault="004C2601" w:rsidP="00A53E8C">
                  <w:pPr>
                    <w:pStyle w:val="TableText"/>
                  </w:pPr>
                </w:p>
              </w:tc>
              <w:tc>
                <w:tcPr>
                  <w:tcW w:w="279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75386679" w14:textId="77777777" w:rsidR="004C2601" w:rsidRPr="005D4222" w:rsidRDefault="004C2601" w:rsidP="00A53E8C">
                  <w:pPr>
                    <w:pStyle w:val="TableText"/>
                  </w:pPr>
                  <w:r w:rsidRPr="005D4222">
                    <w:t>Unknown</w:t>
                  </w:r>
                </w:p>
              </w:tc>
              <w:tc>
                <w:tcPr>
                  <w:tcW w:w="1350" w:type="dxa"/>
                  <w:shd w:val="clear" w:color="auto" w:fill="FFFFFF" w:themeFill="background1"/>
                  <w:noWrap/>
                  <w:tcMar>
                    <w:top w:w="0" w:type="dxa"/>
                    <w:left w:w="58" w:type="dxa"/>
                    <w:bottom w:w="0" w:type="dxa"/>
                    <w:right w:w="58" w:type="dxa"/>
                  </w:tcMar>
                </w:tcPr>
                <w:p w14:paraId="0FC035C8" w14:textId="77777777" w:rsidR="004C2601" w:rsidRPr="005D4222" w:rsidRDefault="004C2601" w:rsidP="00A53E8C">
                  <w:pPr>
                    <w:pStyle w:val="TableText"/>
                  </w:pPr>
                </w:p>
              </w:tc>
              <w:tc>
                <w:tcPr>
                  <w:tcW w:w="1139" w:type="dxa"/>
                  <w:shd w:val="clear" w:color="auto" w:fill="FFFFFF" w:themeFill="background1"/>
                  <w:tcMar>
                    <w:left w:w="58" w:type="dxa"/>
                    <w:right w:w="58" w:type="dxa"/>
                  </w:tcMar>
                </w:tcPr>
                <w:p w14:paraId="5BDBFD04" w14:textId="77777777" w:rsidR="004C2601" w:rsidRPr="005D4222" w:rsidRDefault="004C2601" w:rsidP="00A53E8C">
                  <w:pPr>
                    <w:pStyle w:val="TableText"/>
                  </w:pPr>
                </w:p>
              </w:tc>
            </w:tr>
          </w:tbl>
          <w:p w14:paraId="3C418764" w14:textId="379DD061" w:rsidR="004C2601" w:rsidRPr="005D4222" w:rsidRDefault="004C2601" w:rsidP="00A53E8C">
            <w:pPr>
              <w:pStyle w:val="Heading3"/>
              <w:rPr>
                <w:rFonts w:eastAsia="Arial"/>
              </w:rPr>
            </w:pPr>
            <w:r w:rsidRPr="005D4222">
              <w:rPr>
                <w:rFonts w:eastAsia="Arial"/>
              </w:rPr>
              <w:t xml:space="preserve">Table BCS-E-D-1/2/3: Data Elements for Breast Cancer Screening: </w:t>
            </w:r>
            <w:r w:rsidR="00B51CDC" w:rsidRPr="005D4222">
              <w:rPr>
                <w:rFonts w:eastAsia="Arial"/>
              </w:rPr>
              <w:t>Stratifications</w:t>
            </w:r>
            <w:r w:rsidRPr="005D4222">
              <w:rPr>
                <w:rFonts w:eastAsia="Arial"/>
              </w:rPr>
              <w:t xml:space="preserve"> by Ethnicity</w:t>
            </w:r>
          </w:p>
          <w:tbl>
            <w:tblPr>
              <w:tblW w:w="5000" w:type="pct"/>
              <w:tblLook w:val="04A0" w:firstRow="1" w:lastRow="0" w:firstColumn="1" w:lastColumn="0" w:noHBand="0" w:noVBand="1"/>
            </w:tblPr>
            <w:tblGrid>
              <w:gridCol w:w="2156"/>
              <w:gridCol w:w="1890"/>
              <w:gridCol w:w="1440"/>
              <w:gridCol w:w="1859"/>
            </w:tblGrid>
            <w:tr w:rsidR="004C2601" w:rsidRPr="005D4222" w14:paraId="6D2912A2" w14:textId="77777777" w:rsidTr="00A53E8C">
              <w:trPr>
                <w:trHeight w:val="358"/>
              </w:trPr>
              <w:tc>
                <w:tcPr>
                  <w:tcW w:w="2156" w:type="dxa"/>
                  <w:tcBorders>
                    <w:top w:val="single" w:sz="8" w:space="0" w:color="auto"/>
                    <w:left w:val="single" w:sz="4" w:space="0" w:color="auto"/>
                    <w:bottom w:val="single" w:sz="4" w:space="0" w:color="auto"/>
                    <w:right w:val="single" w:sz="6" w:space="0" w:color="FFFFFF" w:themeColor="background1"/>
                  </w:tcBorders>
                  <w:shd w:val="clear" w:color="auto" w:fill="000000" w:themeFill="text1"/>
                  <w:tcMar>
                    <w:left w:w="58" w:type="dxa"/>
                    <w:right w:w="58" w:type="dxa"/>
                  </w:tcMar>
                  <w:vAlign w:val="center"/>
                </w:tcPr>
                <w:p w14:paraId="38F3D840" w14:textId="77777777" w:rsidR="004C2601" w:rsidRPr="005D4222" w:rsidRDefault="004C2601" w:rsidP="00A53E8C">
                  <w:pPr>
                    <w:spacing w:before="40" w:after="40" w:line="216" w:lineRule="auto"/>
                    <w:jc w:val="center"/>
                    <w:rPr>
                      <w:rFonts w:ascii="Arial Narrow" w:hAnsi="Arial Narrow"/>
                      <w:b/>
                      <w:kern w:val="20"/>
                    </w:rPr>
                  </w:pPr>
                  <w:r w:rsidRPr="005D4222">
                    <w:rPr>
                      <w:rFonts w:ascii="Arial Narrow" w:hAnsi="Arial Narrow"/>
                      <w:b/>
                      <w:kern w:val="20"/>
                    </w:rPr>
                    <w:t>Metric</w:t>
                  </w:r>
                </w:p>
              </w:tc>
              <w:tc>
                <w:tcPr>
                  <w:tcW w:w="1890" w:type="dxa"/>
                  <w:tcBorders>
                    <w:top w:val="single" w:sz="8" w:space="0" w:color="auto"/>
                    <w:left w:val="single" w:sz="4" w:space="0" w:color="auto"/>
                    <w:bottom w:val="single" w:sz="4" w:space="0" w:color="auto"/>
                    <w:right w:val="single" w:sz="6" w:space="0" w:color="FFFFFF" w:themeColor="background1"/>
                  </w:tcBorders>
                  <w:shd w:val="clear" w:color="auto" w:fill="000000" w:themeFill="text1"/>
                  <w:tcMar>
                    <w:left w:w="58" w:type="dxa"/>
                    <w:right w:w="58" w:type="dxa"/>
                  </w:tcMar>
                  <w:vAlign w:val="center"/>
                </w:tcPr>
                <w:p w14:paraId="7DBBEFAE" w14:textId="77777777" w:rsidR="004C2601" w:rsidRPr="005D4222" w:rsidRDefault="004C2601" w:rsidP="00A53E8C">
                  <w:pPr>
                    <w:spacing w:before="40" w:after="40" w:line="216" w:lineRule="auto"/>
                    <w:jc w:val="center"/>
                    <w:rPr>
                      <w:rFonts w:ascii="Arial Narrow" w:hAnsi="Arial Narrow"/>
                      <w:b/>
                      <w:kern w:val="20"/>
                    </w:rPr>
                  </w:pPr>
                  <w:r w:rsidRPr="005D4222">
                    <w:rPr>
                      <w:rFonts w:ascii="Arial Narrow" w:hAnsi="Arial Narrow"/>
                      <w:b/>
                      <w:kern w:val="20"/>
                    </w:rPr>
                    <w:t>Ethnicity</w:t>
                  </w:r>
                </w:p>
              </w:tc>
              <w:tc>
                <w:tcPr>
                  <w:tcW w:w="1440" w:type="dxa"/>
                  <w:tcBorders>
                    <w:top w:val="single" w:sz="8" w:space="0" w:color="auto"/>
                    <w:left w:val="single" w:sz="6" w:space="0" w:color="FFFFFF" w:themeColor="background1"/>
                    <w:bottom w:val="single" w:sz="4" w:space="0" w:color="auto"/>
                    <w:right w:val="single" w:sz="4" w:space="0" w:color="FFFFFF" w:themeColor="background1"/>
                  </w:tcBorders>
                  <w:shd w:val="clear" w:color="auto" w:fill="000000" w:themeFill="text1"/>
                  <w:noWrap/>
                  <w:tcMar>
                    <w:top w:w="0" w:type="dxa"/>
                    <w:left w:w="58" w:type="dxa"/>
                    <w:bottom w:w="0" w:type="dxa"/>
                    <w:right w:w="58" w:type="dxa"/>
                  </w:tcMar>
                  <w:vAlign w:val="center"/>
                  <w:hideMark/>
                </w:tcPr>
                <w:p w14:paraId="2DE6DDA6" w14:textId="77777777" w:rsidR="004C2601" w:rsidRPr="005D4222" w:rsidRDefault="004C2601" w:rsidP="00A53E8C">
                  <w:pPr>
                    <w:spacing w:before="40" w:after="40" w:line="216" w:lineRule="auto"/>
                    <w:jc w:val="center"/>
                    <w:rPr>
                      <w:rFonts w:ascii="Arial Narrow" w:hAnsi="Arial Narrow"/>
                      <w:b/>
                      <w:kern w:val="20"/>
                    </w:rPr>
                  </w:pPr>
                  <w:r w:rsidRPr="005D4222">
                    <w:rPr>
                      <w:rFonts w:ascii="Arial Narrow" w:hAnsi="Arial Narrow"/>
                      <w:b/>
                      <w:kern w:val="20"/>
                    </w:rPr>
                    <w:t>Data Element</w:t>
                  </w:r>
                </w:p>
              </w:tc>
              <w:tc>
                <w:tcPr>
                  <w:tcW w:w="1859" w:type="dxa"/>
                  <w:tcBorders>
                    <w:top w:val="single" w:sz="8" w:space="0" w:color="auto"/>
                    <w:left w:val="single" w:sz="4" w:space="0" w:color="FFFFFF" w:themeColor="background1"/>
                    <w:bottom w:val="single" w:sz="8" w:space="0" w:color="auto"/>
                    <w:right w:val="single" w:sz="8" w:space="0" w:color="auto"/>
                  </w:tcBorders>
                  <w:shd w:val="clear" w:color="auto" w:fill="000000" w:themeFill="text1"/>
                  <w:tcMar>
                    <w:left w:w="58" w:type="dxa"/>
                    <w:right w:w="58" w:type="dxa"/>
                  </w:tcMar>
                  <w:vAlign w:val="center"/>
                </w:tcPr>
                <w:p w14:paraId="0CD1F177" w14:textId="77777777" w:rsidR="004C2601" w:rsidRPr="005D4222" w:rsidRDefault="004C2601" w:rsidP="00A53E8C">
                  <w:pPr>
                    <w:spacing w:before="40" w:after="40" w:line="216" w:lineRule="auto"/>
                    <w:jc w:val="center"/>
                    <w:rPr>
                      <w:rFonts w:ascii="Arial Narrow" w:hAnsi="Arial Narrow"/>
                      <w:b/>
                      <w:kern w:val="20"/>
                    </w:rPr>
                  </w:pPr>
                  <w:r w:rsidRPr="005D4222">
                    <w:rPr>
                      <w:rFonts w:ascii="Arial Narrow" w:hAnsi="Arial Narrow"/>
                      <w:b/>
                      <w:kern w:val="20"/>
                    </w:rPr>
                    <w:t>Reporting Instructions</w:t>
                  </w:r>
                </w:p>
              </w:tc>
            </w:tr>
            <w:tr w:rsidR="004C2601" w:rsidRPr="005D4222" w14:paraId="3947929C" w14:textId="77777777" w:rsidTr="005D4236">
              <w:trPr>
                <w:trHeight w:val="358"/>
              </w:trPr>
              <w:tc>
                <w:tcPr>
                  <w:tcW w:w="2156"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vAlign w:val="center"/>
                </w:tcPr>
                <w:p w14:paraId="5BBCB7BA" w14:textId="77777777" w:rsidR="004C2601" w:rsidRPr="005D4222" w:rsidRDefault="004C2601" w:rsidP="00A53E8C">
                  <w:pPr>
                    <w:pStyle w:val="TableText"/>
                  </w:pPr>
                  <w:r w:rsidRPr="005D4222">
                    <w:t>BreastCancerScreening</w:t>
                  </w:r>
                </w:p>
              </w:tc>
              <w:tc>
                <w:tcPr>
                  <w:tcW w:w="189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71E1438B" w14:textId="77777777" w:rsidR="004C2601" w:rsidRPr="005D4222" w:rsidRDefault="004C2601" w:rsidP="00A53E8C">
                  <w:pPr>
                    <w:pStyle w:val="TableText"/>
                  </w:pPr>
                  <w:r w:rsidRPr="005D4222">
                    <w:t>HispanicOrLatino</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58" w:type="dxa"/>
                    <w:bottom w:w="0" w:type="dxa"/>
                    <w:right w:w="58" w:type="dxa"/>
                  </w:tcMar>
                  <w:vAlign w:val="center"/>
                  <w:hideMark/>
                </w:tcPr>
                <w:p w14:paraId="69E917B1" w14:textId="77777777" w:rsidR="004C2601" w:rsidRPr="005D4222" w:rsidRDefault="004C2601" w:rsidP="00A53E8C">
                  <w:pPr>
                    <w:pStyle w:val="TableText"/>
                  </w:pPr>
                  <w:r w:rsidRPr="005D4222">
                    <w:t>InitialPopulation</w:t>
                  </w:r>
                </w:p>
              </w:tc>
              <w:tc>
                <w:tcPr>
                  <w:tcW w:w="1859" w:type="dxa"/>
                  <w:tcBorders>
                    <w:top w:val="nil"/>
                    <w:left w:val="single" w:sz="4" w:space="0" w:color="auto"/>
                    <w:bottom w:val="single" w:sz="4" w:space="0" w:color="auto"/>
                    <w:right w:val="single" w:sz="4" w:space="0" w:color="auto"/>
                  </w:tcBorders>
                  <w:shd w:val="clear" w:color="auto" w:fill="FFFFFF" w:themeFill="background1"/>
                  <w:tcMar>
                    <w:left w:w="58" w:type="dxa"/>
                    <w:right w:w="58" w:type="dxa"/>
                  </w:tcMar>
                  <w:vAlign w:val="center"/>
                </w:tcPr>
                <w:p w14:paraId="2E3EC63B" w14:textId="77777777" w:rsidR="004C2601" w:rsidRPr="005D4222" w:rsidRDefault="004C2601" w:rsidP="00A53E8C">
                  <w:pPr>
                    <w:pStyle w:val="TableText"/>
                  </w:pPr>
                  <w:r w:rsidRPr="005D4222">
                    <w:t>For each Stratification</w:t>
                  </w:r>
                </w:p>
              </w:tc>
            </w:tr>
            <w:tr w:rsidR="004C2601" w:rsidRPr="005D4222" w14:paraId="39B3A59F" w14:textId="77777777" w:rsidTr="005D4236">
              <w:trPr>
                <w:trHeight w:val="358"/>
              </w:trPr>
              <w:tc>
                <w:tcPr>
                  <w:tcW w:w="2156" w:type="dxa"/>
                  <w:tcBorders>
                    <w:top w:val="single" w:sz="4" w:space="0" w:color="auto"/>
                    <w:right w:val="single" w:sz="4" w:space="0" w:color="auto"/>
                  </w:tcBorders>
                  <w:shd w:val="clear" w:color="auto" w:fill="FFFFFF" w:themeFill="background1"/>
                  <w:tcMar>
                    <w:left w:w="58" w:type="dxa"/>
                    <w:right w:w="58" w:type="dxa"/>
                  </w:tcMar>
                </w:tcPr>
                <w:p w14:paraId="09D047F6" w14:textId="77777777" w:rsidR="004C2601" w:rsidRPr="005D4222" w:rsidRDefault="004C2601" w:rsidP="00A53E8C">
                  <w:pPr>
                    <w:pStyle w:val="TableText"/>
                  </w:pPr>
                </w:p>
              </w:tc>
              <w:tc>
                <w:tcPr>
                  <w:tcW w:w="189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16656151" w14:textId="77777777" w:rsidR="004C2601" w:rsidRPr="005D4222" w:rsidRDefault="004C2601" w:rsidP="00A53E8C">
                  <w:pPr>
                    <w:pStyle w:val="TableText"/>
                  </w:pPr>
                  <w:r w:rsidRPr="005D4222">
                    <w:t>NotHispanicOrLatino</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58" w:type="dxa"/>
                    <w:bottom w:w="0" w:type="dxa"/>
                    <w:right w:w="58" w:type="dxa"/>
                  </w:tcMar>
                  <w:vAlign w:val="center"/>
                </w:tcPr>
                <w:p w14:paraId="4A5315B3" w14:textId="77777777" w:rsidR="004C2601" w:rsidRPr="005D4222" w:rsidRDefault="004C2601" w:rsidP="00A53E8C">
                  <w:pPr>
                    <w:pStyle w:val="TableText"/>
                  </w:pPr>
                  <w:r w:rsidRPr="005D4222">
                    <w:t>Exclusions</w:t>
                  </w:r>
                </w:p>
              </w:tc>
              <w:tc>
                <w:tcPr>
                  <w:tcW w:w="1859"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vAlign w:val="center"/>
                </w:tcPr>
                <w:p w14:paraId="7074537C" w14:textId="77777777" w:rsidR="004C2601" w:rsidRPr="005D4222" w:rsidRDefault="004C2601" w:rsidP="00A53E8C">
                  <w:pPr>
                    <w:pStyle w:val="TableText"/>
                  </w:pPr>
                  <w:r w:rsidRPr="005D4222">
                    <w:t>For each Stratification</w:t>
                  </w:r>
                </w:p>
              </w:tc>
            </w:tr>
            <w:tr w:rsidR="004C2601" w:rsidRPr="005D4222" w14:paraId="188105C0" w14:textId="77777777" w:rsidTr="005D4236">
              <w:trPr>
                <w:trHeight w:val="358"/>
              </w:trPr>
              <w:tc>
                <w:tcPr>
                  <w:tcW w:w="2156" w:type="dxa"/>
                  <w:tcBorders>
                    <w:right w:val="single" w:sz="4" w:space="0" w:color="auto"/>
                  </w:tcBorders>
                  <w:shd w:val="clear" w:color="auto" w:fill="FFFFFF" w:themeFill="background1"/>
                  <w:tcMar>
                    <w:left w:w="58" w:type="dxa"/>
                    <w:right w:w="58" w:type="dxa"/>
                  </w:tcMar>
                </w:tcPr>
                <w:p w14:paraId="3BE59C0E" w14:textId="77777777" w:rsidR="004C2601" w:rsidRPr="005D4222" w:rsidRDefault="004C2601" w:rsidP="00A53E8C">
                  <w:pPr>
                    <w:pStyle w:val="TableText"/>
                  </w:pPr>
                </w:p>
              </w:tc>
              <w:tc>
                <w:tcPr>
                  <w:tcW w:w="189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72A09003" w14:textId="77777777" w:rsidR="004C2601" w:rsidRPr="005D4222" w:rsidRDefault="004C2601" w:rsidP="00A53E8C">
                  <w:pPr>
                    <w:pStyle w:val="TableText"/>
                  </w:pPr>
                  <w:r w:rsidRPr="005D4222">
                    <w:t>AskedButNoAnswer</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58" w:type="dxa"/>
                    <w:bottom w:w="0" w:type="dxa"/>
                    <w:right w:w="58" w:type="dxa"/>
                  </w:tcMar>
                  <w:vAlign w:val="center"/>
                </w:tcPr>
                <w:p w14:paraId="14C1B582" w14:textId="77777777" w:rsidR="004C2601" w:rsidRPr="005D4222" w:rsidRDefault="004C2601" w:rsidP="00A53E8C">
                  <w:pPr>
                    <w:pStyle w:val="TableText"/>
                  </w:pPr>
                  <w:r w:rsidRPr="005D4222">
                    <w:t>Denominator</w:t>
                  </w:r>
                </w:p>
              </w:tc>
              <w:tc>
                <w:tcPr>
                  <w:tcW w:w="1859"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vAlign w:val="center"/>
                </w:tcPr>
                <w:p w14:paraId="665CFDC9" w14:textId="77777777" w:rsidR="004C2601" w:rsidRPr="005D4222" w:rsidRDefault="004C2601" w:rsidP="00A53E8C">
                  <w:pPr>
                    <w:pStyle w:val="TableText"/>
                  </w:pPr>
                  <w:r w:rsidRPr="005D4222">
                    <w:t>For each Stratification</w:t>
                  </w:r>
                </w:p>
              </w:tc>
            </w:tr>
            <w:tr w:rsidR="004C2601" w:rsidRPr="005D4222" w14:paraId="0969CDDE" w14:textId="77777777" w:rsidTr="005D4236">
              <w:trPr>
                <w:trHeight w:val="358"/>
              </w:trPr>
              <w:tc>
                <w:tcPr>
                  <w:tcW w:w="2156" w:type="dxa"/>
                  <w:tcBorders>
                    <w:right w:val="single" w:sz="4" w:space="0" w:color="auto"/>
                  </w:tcBorders>
                  <w:shd w:val="clear" w:color="auto" w:fill="FFFFFF" w:themeFill="background1"/>
                  <w:tcMar>
                    <w:left w:w="58" w:type="dxa"/>
                    <w:right w:w="58" w:type="dxa"/>
                  </w:tcMar>
                </w:tcPr>
                <w:p w14:paraId="28C668A6" w14:textId="77777777" w:rsidR="004C2601" w:rsidRPr="005D4222" w:rsidRDefault="004C2601" w:rsidP="00A53E8C">
                  <w:pPr>
                    <w:pStyle w:val="TableText"/>
                  </w:pPr>
                </w:p>
              </w:tc>
              <w:tc>
                <w:tcPr>
                  <w:tcW w:w="189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5EA9703C" w14:textId="77777777" w:rsidR="004C2601" w:rsidRPr="005D4222" w:rsidRDefault="004C2601" w:rsidP="00A53E8C">
                  <w:pPr>
                    <w:pStyle w:val="TableText"/>
                  </w:pPr>
                  <w:r w:rsidRPr="005D4222">
                    <w:t>Unknown</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58" w:type="dxa"/>
                    <w:bottom w:w="0" w:type="dxa"/>
                    <w:right w:w="58" w:type="dxa"/>
                  </w:tcMar>
                  <w:vAlign w:val="center"/>
                </w:tcPr>
                <w:p w14:paraId="25439606" w14:textId="77777777" w:rsidR="004C2601" w:rsidRPr="005D4222" w:rsidRDefault="004C2601" w:rsidP="00A53E8C">
                  <w:pPr>
                    <w:pStyle w:val="TableText"/>
                  </w:pPr>
                  <w:r w:rsidRPr="005D4222">
                    <w:t>Numerator</w:t>
                  </w:r>
                </w:p>
              </w:tc>
              <w:tc>
                <w:tcPr>
                  <w:tcW w:w="1859"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vAlign w:val="center"/>
                </w:tcPr>
                <w:p w14:paraId="2CDF310F" w14:textId="77777777" w:rsidR="004C2601" w:rsidRPr="005D4222" w:rsidRDefault="004C2601" w:rsidP="00A53E8C">
                  <w:pPr>
                    <w:pStyle w:val="TableText"/>
                  </w:pPr>
                  <w:r w:rsidRPr="005D4222">
                    <w:t>For each Stratification</w:t>
                  </w:r>
                </w:p>
              </w:tc>
            </w:tr>
            <w:tr w:rsidR="004C2601" w:rsidRPr="005D4222" w14:paraId="77974C02" w14:textId="77777777" w:rsidTr="005D4236">
              <w:trPr>
                <w:trHeight w:val="358"/>
              </w:trPr>
              <w:tc>
                <w:tcPr>
                  <w:tcW w:w="2156" w:type="dxa"/>
                  <w:shd w:val="clear" w:color="auto" w:fill="FFFFFF" w:themeFill="background1"/>
                  <w:tcMar>
                    <w:left w:w="58" w:type="dxa"/>
                    <w:right w:w="58" w:type="dxa"/>
                  </w:tcMar>
                </w:tcPr>
                <w:p w14:paraId="3B0B60B7" w14:textId="77777777" w:rsidR="004C2601" w:rsidRPr="005D4222" w:rsidRDefault="004C2601" w:rsidP="00A53E8C">
                  <w:pPr>
                    <w:pStyle w:val="TableText"/>
                  </w:pPr>
                </w:p>
              </w:tc>
              <w:tc>
                <w:tcPr>
                  <w:tcW w:w="1890" w:type="dxa"/>
                  <w:tcBorders>
                    <w:top w:val="single" w:sz="4" w:space="0" w:color="auto"/>
                  </w:tcBorders>
                  <w:shd w:val="clear" w:color="auto" w:fill="FFFFFF" w:themeFill="background1"/>
                  <w:tcMar>
                    <w:left w:w="58" w:type="dxa"/>
                    <w:right w:w="58" w:type="dxa"/>
                  </w:tcMar>
                </w:tcPr>
                <w:p w14:paraId="3E8A269F" w14:textId="77777777" w:rsidR="004C2601" w:rsidRPr="005D4222" w:rsidRDefault="004C2601" w:rsidP="00A53E8C">
                  <w:pPr>
                    <w:pStyle w:val="TableText"/>
                  </w:pP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0" w:type="dxa"/>
                    <w:left w:w="58" w:type="dxa"/>
                    <w:bottom w:w="0" w:type="dxa"/>
                    <w:right w:w="58" w:type="dxa"/>
                  </w:tcMar>
                  <w:vAlign w:val="center"/>
                </w:tcPr>
                <w:p w14:paraId="54F868F1" w14:textId="77777777" w:rsidR="004C2601" w:rsidRPr="005D4222" w:rsidRDefault="004C2601" w:rsidP="00A53E8C">
                  <w:pPr>
                    <w:pStyle w:val="TableText"/>
                  </w:pPr>
                  <w:r w:rsidRPr="005D4222">
                    <w:t>Rate</w:t>
                  </w:r>
                </w:p>
              </w:tc>
              <w:tc>
                <w:tcPr>
                  <w:tcW w:w="18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58" w:type="dxa"/>
                    <w:right w:w="58" w:type="dxa"/>
                  </w:tcMar>
                  <w:vAlign w:val="center"/>
                </w:tcPr>
                <w:p w14:paraId="58DED4D1" w14:textId="77777777" w:rsidR="004C2601" w:rsidRPr="005D4222" w:rsidRDefault="004C2601" w:rsidP="00A53E8C">
                  <w:pPr>
                    <w:pStyle w:val="TableText"/>
                  </w:pPr>
                  <w:r w:rsidRPr="005D4222">
                    <w:t>(Percent)</w:t>
                  </w:r>
                </w:p>
              </w:tc>
            </w:tr>
          </w:tbl>
          <w:p w14:paraId="024BF320" w14:textId="77777777" w:rsidR="004C2601" w:rsidRPr="005D4222" w:rsidRDefault="004C2601" w:rsidP="00A53E8C">
            <w:pPr>
              <w:pStyle w:val="ECDSBody"/>
            </w:pPr>
          </w:p>
        </w:tc>
      </w:tr>
    </w:tbl>
    <w:p w14:paraId="6897817C" w14:textId="77777777" w:rsidR="00E660AA" w:rsidRPr="005D4222" w:rsidRDefault="00E660AA">
      <w:r w:rsidRPr="005D4222">
        <w:br w:type="page"/>
      </w:r>
    </w:p>
    <w:tbl>
      <w:tblPr>
        <w:tblW w:w="0" w:type="auto"/>
        <w:tblInd w:w="-9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3" w:type="dxa"/>
          <w:right w:w="86" w:type="dxa"/>
        </w:tblCellMar>
        <w:tblLook w:val="04A0" w:firstRow="1" w:lastRow="0" w:firstColumn="1" w:lastColumn="0" w:noHBand="0" w:noVBand="1"/>
      </w:tblPr>
      <w:tblGrid>
        <w:gridCol w:w="2250"/>
        <w:gridCol w:w="7532"/>
      </w:tblGrid>
      <w:tr w:rsidR="006439AD" w:rsidRPr="005D4222" w14:paraId="12F137B4" w14:textId="77777777" w:rsidTr="00E660AA">
        <w:tc>
          <w:tcPr>
            <w:tcW w:w="2250"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36346BF" w14:textId="77777777" w:rsidR="004C2601" w:rsidRPr="005D4222" w:rsidRDefault="004C2601" w:rsidP="00A53E8C">
            <w:pPr>
              <w:pStyle w:val="ECDSMarginHead"/>
            </w:pPr>
            <w:r w:rsidRPr="005D4222">
              <w:lastRenderedPageBreak/>
              <w:t>Rules for Allowable Adjustments</w:t>
            </w:r>
          </w:p>
        </w:tc>
        <w:tc>
          <w:tcPr>
            <w:tcW w:w="7532"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29DD4B9" w14:textId="77777777" w:rsidR="004C2601" w:rsidRPr="005D4222" w:rsidRDefault="004C2601" w:rsidP="00A53E8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7BF66DAF" w14:textId="77777777" w:rsidR="004C2601" w:rsidRPr="005D4222" w:rsidRDefault="004C2601" w:rsidP="00A53E8C">
            <w:pPr>
              <w:pStyle w:val="ECDSBody"/>
              <w:rPr>
                <w:b/>
              </w:rPr>
            </w:pPr>
            <w:r w:rsidRPr="005D4222">
              <w:rPr>
                <w:b/>
              </w:rPr>
              <w:t>Adjusted HEDIS measures may not be used for HEDIS health plan reporting.</w:t>
            </w:r>
          </w:p>
          <w:p w14:paraId="37DAC06C" w14:textId="77777777" w:rsidR="004C2601" w:rsidRPr="005D4222" w:rsidRDefault="004C2601" w:rsidP="00A53E8C">
            <w:pPr>
              <w:pStyle w:val="Adjustments"/>
            </w:pPr>
            <w:r w:rsidRPr="005D4222">
              <w:t>ADJUSTMENTS ALLOWED</w:t>
            </w:r>
          </w:p>
          <w:p w14:paraId="5E14C4BA" w14:textId="5FEA90BD" w:rsidR="004C2601" w:rsidRPr="005D4222" w:rsidRDefault="004C2601" w:rsidP="005D6173">
            <w:pPr>
              <w:pStyle w:val="ProcessBullet"/>
              <w:numPr>
                <w:ilvl w:val="0"/>
                <w:numId w:val="134"/>
              </w:numPr>
              <w:tabs>
                <w:tab w:val="left" w:pos="216"/>
              </w:tabs>
              <w:ind w:left="216" w:hanging="216"/>
            </w:pPr>
            <w:r w:rsidRPr="005D4222">
              <w:rPr>
                <w:i/>
                <w:iCs/>
              </w:rPr>
              <w:t xml:space="preserve">Product lines. </w:t>
            </w:r>
            <w:r w:rsidRPr="005D4222">
              <w:t>Organizations are not required to use product line criteria; product lines may be combined</w:t>
            </w:r>
            <w:r w:rsidR="00E8671F" w:rsidRPr="005D4222">
              <w:t>,</w:t>
            </w:r>
            <w:r w:rsidRPr="005D4222">
              <w:t xml:space="preserve"> and all (or no) product line criteria may be used.</w:t>
            </w:r>
          </w:p>
          <w:p w14:paraId="5DCBF713" w14:textId="77777777" w:rsidR="004C2601" w:rsidRPr="005D4222" w:rsidRDefault="004C2601" w:rsidP="005D6173">
            <w:pPr>
              <w:pStyle w:val="ProcessBullet"/>
              <w:numPr>
                <w:ilvl w:val="0"/>
                <w:numId w:val="134"/>
              </w:numPr>
              <w:tabs>
                <w:tab w:val="left" w:pos="216"/>
              </w:tabs>
              <w:ind w:left="216" w:hanging="216"/>
            </w:pPr>
            <w:r w:rsidRPr="005D4222">
              <w:rPr>
                <w:i/>
                <w:iCs/>
              </w:rPr>
              <w:t>Attribution.</w:t>
            </w:r>
            <w:r w:rsidRPr="005D4222">
              <w:t xml:space="preserve"> Organizations are not required to use enrollment criteria. </w:t>
            </w:r>
          </w:p>
          <w:p w14:paraId="74D27621" w14:textId="5CAA09DE" w:rsidR="004C2601" w:rsidRPr="005D4222" w:rsidRDefault="00362E76" w:rsidP="005D6173">
            <w:pPr>
              <w:pStyle w:val="ProcessBullet"/>
              <w:numPr>
                <w:ilvl w:val="0"/>
                <w:numId w:val="134"/>
              </w:numPr>
              <w:tabs>
                <w:tab w:val="left" w:pos="216"/>
              </w:tabs>
              <w:ind w:left="216" w:hanging="216"/>
            </w:pPr>
            <w:r w:rsidRPr="005D4222">
              <w:rPr>
                <w:i/>
                <w:iCs/>
              </w:rPr>
              <w:t>Benefits.</w:t>
            </w:r>
            <w:r w:rsidR="004C2601" w:rsidRPr="005D4222">
              <w:t xml:space="preserve"> Organizations are not required to use a benefit.</w:t>
            </w:r>
          </w:p>
          <w:p w14:paraId="490AD536" w14:textId="77777777" w:rsidR="004C2601" w:rsidRPr="005D4222" w:rsidRDefault="004C2601" w:rsidP="005D6173">
            <w:pPr>
              <w:pStyle w:val="ProcessBullet"/>
              <w:numPr>
                <w:ilvl w:val="0"/>
                <w:numId w:val="134"/>
              </w:numPr>
              <w:tabs>
                <w:tab w:val="left" w:pos="216"/>
              </w:tabs>
              <w:ind w:left="216" w:hanging="216"/>
            </w:pPr>
            <w:r w:rsidRPr="005D4222">
              <w:rPr>
                <w:i/>
                <w:iCs/>
              </w:rPr>
              <w:t>Other.</w:t>
            </w:r>
            <w:r w:rsidRPr="005D4222">
              <w:t xml:space="preserve"> Organizations may use additional initial population criteria to focus on an area of interest defined by gender, race, ethnicity, socioeconomic or sociodemographic characteristics, geographic region or another characteristic.</w:t>
            </w:r>
          </w:p>
          <w:p w14:paraId="3FA250F5" w14:textId="77777777" w:rsidR="004C2601" w:rsidRPr="005D4222" w:rsidRDefault="004C2601" w:rsidP="005D6173">
            <w:pPr>
              <w:pStyle w:val="ProcessBullet"/>
              <w:numPr>
                <w:ilvl w:val="0"/>
                <w:numId w:val="134"/>
              </w:numPr>
              <w:tabs>
                <w:tab w:val="left" w:pos="216"/>
              </w:tabs>
              <w:ind w:left="216" w:hanging="216"/>
            </w:pPr>
            <w:r w:rsidRPr="005D4222">
              <w:rPr>
                <w:i/>
                <w:iCs/>
              </w:rPr>
              <w:t>Measurement period adjustments.</w:t>
            </w:r>
            <w:r w:rsidRPr="005D4222">
              <w:t xml:space="preserve"> Organizations may adjust the measurement period. </w:t>
            </w:r>
          </w:p>
          <w:p w14:paraId="5108A6C3" w14:textId="77777777" w:rsidR="004C2601" w:rsidRPr="005D4222" w:rsidRDefault="004C2601" w:rsidP="005D6173">
            <w:pPr>
              <w:pStyle w:val="ProcessBullet"/>
              <w:numPr>
                <w:ilvl w:val="0"/>
                <w:numId w:val="134"/>
              </w:numPr>
              <w:tabs>
                <w:tab w:val="left" w:pos="216"/>
              </w:tabs>
              <w:ind w:left="216" w:hanging="216"/>
            </w:pPr>
            <w:r w:rsidRPr="005D4222" w:rsidDel="00AA0FF0">
              <w:rPr>
                <w:i/>
                <w:iCs/>
              </w:rPr>
              <w:t xml:space="preserve">Stratifications: </w:t>
            </w:r>
            <w:r w:rsidRPr="005D4222">
              <w:t>Race and ethnicity stratification.</w:t>
            </w:r>
            <w:r w:rsidRPr="005D4222">
              <w:rPr>
                <w:i/>
                <w:iCs/>
              </w:rPr>
              <w:t xml:space="preserve"> </w:t>
            </w:r>
            <w:r w:rsidRPr="005D4222">
              <w:t>The race and ethnicity stratification is not required. Organizations may adjust this stratification as needed.</w:t>
            </w:r>
          </w:p>
          <w:p w14:paraId="53F265EC" w14:textId="77777777" w:rsidR="004C2601" w:rsidRPr="005D4222" w:rsidRDefault="004C2601" w:rsidP="005D6173">
            <w:pPr>
              <w:pStyle w:val="ProcessBullet"/>
              <w:numPr>
                <w:ilvl w:val="0"/>
                <w:numId w:val="134"/>
              </w:numPr>
              <w:tabs>
                <w:tab w:val="left" w:pos="216"/>
              </w:tabs>
              <w:ind w:left="216" w:hanging="216"/>
            </w:pPr>
            <w:r w:rsidRPr="005D4222">
              <w:rPr>
                <w:i/>
                <w:iCs/>
              </w:rPr>
              <w:t xml:space="preserve">Exclusions. </w:t>
            </w:r>
            <w:r w:rsidRPr="005D4222">
              <w:t xml:space="preserve">Hospice, deceased persons, palliative care, I-SNP, LTI, frailty or advanced illness exclusions are not required. </w:t>
            </w:r>
          </w:p>
          <w:p w14:paraId="153CFBD5" w14:textId="77777777" w:rsidR="004C2601" w:rsidRPr="005D4222" w:rsidRDefault="004C2601" w:rsidP="005D6173">
            <w:pPr>
              <w:pStyle w:val="ProcessBullet"/>
              <w:numPr>
                <w:ilvl w:val="0"/>
                <w:numId w:val="134"/>
              </w:numPr>
              <w:tabs>
                <w:tab w:val="left" w:pos="216"/>
              </w:tabs>
              <w:ind w:left="216" w:hanging="216"/>
            </w:pPr>
            <w:r w:rsidRPr="005D4222">
              <w:rPr>
                <w:i/>
                <w:iCs/>
              </w:rPr>
              <w:t xml:space="preserve">Telehealth. </w:t>
            </w:r>
            <w:r w:rsidRPr="005D4222">
              <w:t>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5F95DFD6" w14:textId="77777777" w:rsidR="004C2601" w:rsidRPr="005D4222" w:rsidRDefault="004C2601" w:rsidP="00A53E8C">
            <w:pPr>
              <w:pStyle w:val="Adjustments"/>
              <w:rPr>
                <w:b w:val="0"/>
              </w:rPr>
            </w:pPr>
            <w:r w:rsidRPr="005D4222">
              <w:t xml:space="preserve">Adjustments </w:t>
            </w:r>
            <w:r w:rsidRPr="005D4222">
              <w:rPr>
                <w:b w:val="0"/>
              </w:rPr>
              <w:t>allowed with limits</w:t>
            </w:r>
          </w:p>
          <w:p w14:paraId="13B8FD32" w14:textId="77777777" w:rsidR="004C2601" w:rsidRPr="005D4222" w:rsidRDefault="004C2601" w:rsidP="005D6173">
            <w:pPr>
              <w:pStyle w:val="ProcessBullet"/>
              <w:numPr>
                <w:ilvl w:val="0"/>
                <w:numId w:val="134"/>
              </w:numPr>
              <w:tabs>
                <w:tab w:val="left" w:pos="216"/>
              </w:tabs>
              <w:ind w:left="216" w:hanging="216"/>
              <w:rPr>
                <w:sz w:val="24"/>
              </w:rPr>
            </w:pPr>
            <w:r w:rsidRPr="005D4222">
              <w:rPr>
                <w:i/>
                <w:iCs/>
              </w:rPr>
              <w:t>Ages.</w:t>
            </w:r>
            <w:r w:rsidRPr="005D4222">
              <w:t xml:space="preserve"> Age determination dates may be changed (e.g., select, “age as of June 30”). </w:t>
            </w:r>
          </w:p>
          <w:p w14:paraId="3AD62295" w14:textId="77777777" w:rsidR="004C2601" w:rsidRPr="005D4222" w:rsidRDefault="004C2601" w:rsidP="005D6173">
            <w:pPr>
              <w:pStyle w:val="ProcessBullet"/>
              <w:numPr>
                <w:ilvl w:val="0"/>
                <w:numId w:val="134"/>
              </w:numPr>
              <w:tabs>
                <w:tab w:val="left" w:pos="216"/>
              </w:tabs>
              <w:ind w:left="216" w:hanging="216"/>
              <w:rPr>
                <w:bCs/>
              </w:rPr>
            </w:pPr>
            <w:r w:rsidRPr="005D4222">
              <w:rPr>
                <w:bCs/>
                <w:i/>
                <w:iCs/>
              </w:rPr>
              <w:t xml:space="preserve">Stratifications: </w:t>
            </w:r>
            <w:r w:rsidRPr="005D4222">
              <w:t>SES stratification.</w:t>
            </w:r>
            <w:r w:rsidRPr="005D4222" w:rsidDel="00826465">
              <w:rPr>
                <w:bCs/>
              </w:rPr>
              <w:t xml:space="preserve"> </w:t>
            </w:r>
            <w:r w:rsidRPr="005D4222">
              <w:rPr>
                <w:bCs/>
              </w:rPr>
              <w:t>SES stratification is</w:t>
            </w:r>
            <w:r w:rsidRPr="005D4222" w:rsidDel="00826465">
              <w:rPr>
                <w:bCs/>
              </w:rPr>
              <w:t xml:space="preserve"> </w:t>
            </w:r>
            <w:r w:rsidRPr="005D4222">
              <w:rPr>
                <w:bCs/>
              </w:rPr>
              <w:t>not required, but if it is applied, no adjustments may be made. </w:t>
            </w:r>
          </w:p>
          <w:p w14:paraId="43F9898B" w14:textId="77777777" w:rsidR="004C2601" w:rsidRPr="005D4222" w:rsidRDefault="004C2601" w:rsidP="00A53E8C">
            <w:pPr>
              <w:pStyle w:val="Adjustments"/>
              <w:rPr>
                <w:b w:val="0"/>
              </w:rPr>
            </w:pPr>
            <w:r w:rsidRPr="005D4222">
              <w:t xml:space="preserve">Adjustments </w:t>
            </w:r>
            <w:r w:rsidRPr="005D4222">
              <w:rPr>
                <w:b w:val="0"/>
              </w:rPr>
              <w:t>not allowed</w:t>
            </w:r>
          </w:p>
          <w:p w14:paraId="571E640C" w14:textId="16162F6C" w:rsidR="004C2601" w:rsidRPr="005D4222" w:rsidRDefault="004C2601" w:rsidP="005D6173">
            <w:pPr>
              <w:pStyle w:val="ProcessBullet"/>
              <w:numPr>
                <w:ilvl w:val="0"/>
                <w:numId w:val="134"/>
              </w:numPr>
              <w:tabs>
                <w:tab w:val="left" w:pos="216"/>
              </w:tabs>
              <w:ind w:left="216" w:hanging="216"/>
            </w:pPr>
            <w:r w:rsidRPr="005D4222">
              <w:rPr>
                <w:i/>
                <w:iCs/>
              </w:rPr>
              <w:t>Exclusions.</w:t>
            </w:r>
            <w:r w:rsidRPr="005D4222">
              <w:t xml:space="preserve"> The mastectomy exclusions must be applied. Value sets </w:t>
            </w:r>
            <w:r w:rsidR="0075493D" w:rsidRPr="005D4222">
              <w:t>and logic</w:t>
            </w:r>
            <w:r w:rsidRPr="005D4222">
              <w:t xml:space="preserve"> may not be changed.</w:t>
            </w:r>
          </w:p>
          <w:p w14:paraId="43F1164C" w14:textId="77777777" w:rsidR="004C2601" w:rsidRPr="005D4222" w:rsidRDefault="004C2601" w:rsidP="005D6173">
            <w:pPr>
              <w:pStyle w:val="ProcessBullet"/>
              <w:numPr>
                <w:ilvl w:val="0"/>
                <w:numId w:val="134"/>
              </w:numPr>
              <w:tabs>
                <w:tab w:val="left" w:pos="216"/>
              </w:tabs>
              <w:spacing w:after="80"/>
              <w:ind w:left="216" w:hanging="216"/>
              <w:rPr>
                <w:rFonts w:ascii="Arial Narrow" w:hAnsi="Arial Narrow"/>
                <w:b/>
                <w:kern w:val="20"/>
              </w:rPr>
            </w:pPr>
            <w:r w:rsidRPr="005D4222">
              <w:rPr>
                <w:i/>
                <w:iCs/>
              </w:rPr>
              <w:t>Numerator.</w:t>
            </w:r>
            <w:r w:rsidRPr="005D4222">
              <w:t xml:space="preserve"> Value sets and logic may not be changed.</w:t>
            </w:r>
          </w:p>
        </w:tc>
      </w:tr>
    </w:tbl>
    <w:p w14:paraId="4780F350" w14:textId="77777777" w:rsidR="006A1582" w:rsidRPr="005D4222" w:rsidRDefault="006A1582" w:rsidP="00B81F0D">
      <w:pPr>
        <w:pStyle w:val="ECDSBody"/>
        <w:sectPr w:rsidR="006A1582" w:rsidRPr="005D4222" w:rsidSect="0074514A">
          <w:headerReference w:type="default" r:id="rId218"/>
          <w:type w:val="nextColumn"/>
          <w:pgSz w:w="12240" w:h="15840" w:code="1"/>
          <w:pgMar w:top="1080" w:right="1080" w:bottom="1080" w:left="1440" w:header="720" w:footer="720" w:gutter="0"/>
          <w:cols w:space="720"/>
          <w:docGrid w:linePitch="360"/>
        </w:sectPr>
      </w:pPr>
    </w:p>
    <w:p w14:paraId="1AAC724E" w14:textId="512EB1AE" w:rsidR="00B81F0D" w:rsidRPr="005D4222" w:rsidRDefault="00D155A7" w:rsidP="006B0FDD">
      <w:pPr>
        <w:pStyle w:val="MeasureTitle"/>
        <w:rPr>
          <w:lang w:eastAsia="zh-CN"/>
        </w:rPr>
      </w:pPr>
      <w:bookmarkStart w:id="413" w:name="_Toc201813468"/>
      <w:r w:rsidRPr="005D4222">
        <w:rPr>
          <w:lang w:eastAsia="zh-CN"/>
        </w:rPr>
        <w:lastRenderedPageBreak/>
        <w:t>Documented Assessment After Mammogram</w:t>
      </w:r>
      <w:r w:rsidR="006B0FDD" w:rsidRPr="005D4222">
        <w:rPr>
          <w:lang w:eastAsia="zh-CN"/>
        </w:rPr>
        <w:t xml:space="preserve"> (DBM-E)</w:t>
      </w:r>
      <w:bookmarkEnd w:id="413"/>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3" w:type="dxa"/>
          <w:right w:w="86" w:type="dxa"/>
        </w:tblCellMar>
        <w:tblLook w:val="04A0" w:firstRow="1" w:lastRow="0" w:firstColumn="1" w:lastColumn="0" w:noHBand="0" w:noVBand="1"/>
      </w:tblPr>
      <w:tblGrid>
        <w:gridCol w:w="2034"/>
        <w:gridCol w:w="123"/>
        <w:gridCol w:w="4705"/>
        <w:gridCol w:w="1757"/>
        <w:gridCol w:w="1095"/>
      </w:tblGrid>
      <w:tr w:rsidR="006457D8" w:rsidRPr="005D4222" w14:paraId="5928D377" w14:textId="77777777" w:rsidTr="005654E4">
        <w:tc>
          <w:tcPr>
            <w:tcW w:w="2157" w:type="dxa"/>
            <w:gridSpan w:val="2"/>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2974FB93" w14:textId="77777777" w:rsidR="006457D8" w:rsidRPr="005D4222" w:rsidRDefault="006457D8" w:rsidP="00A53E8C">
            <w:pPr>
              <w:pStyle w:val="ECDSMarginHead"/>
              <w:rPr>
                <w:lang w:eastAsia="zh-CN"/>
              </w:rPr>
            </w:pPr>
            <w:r w:rsidRPr="005D4222">
              <w:rPr>
                <w:lang w:eastAsia="zh-CN"/>
              </w:rPr>
              <w:t>Measure title</w:t>
            </w:r>
          </w:p>
        </w:tc>
        <w:tc>
          <w:tcPr>
            <w:tcW w:w="4705" w:type="dxa"/>
            <w:tcBorders>
              <w:top w:val="single" w:sz="2" w:space="0" w:color="auto"/>
              <w:left w:val="single" w:sz="2" w:space="0" w:color="auto"/>
              <w:bottom w:val="single" w:sz="2" w:space="0" w:color="auto"/>
              <w:right w:val="single" w:sz="2" w:space="0" w:color="auto"/>
            </w:tcBorders>
            <w:hideMark/>
          </w:tcPr>
          <w:p w14:paraId="07E406E1" w14:textId="77777777" w:rsidR="006457D8" w:rsidRPr="005D4222" w:rsidRDefault="006457D8" w:rsidP="00A53E8C">
            <w:pPr>
              <w:pStyle w:val="ECDSBody"/>
              <w:rPr>
                <w:lang w:eastAsia="zh-CN"/>
              </w:rPr>
            </w:pPr>
            <w:r w:rsidRPr="005D4222">
              <w:rPr>
                <w:lang w:eastAsia="zh-CN"/>
              </w:rPr>
              <w:t>Documented Assessment After Mammogram*</w:t>
            </w:r>
          </w:p>
        </w:tc>
        <w:tc>
          <w:tcPr>
            <w:tcW w:w="1757" w:type="dxa"/>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51E89C5C" w14:textId="77777777" w:rsidR="006457D8" w:rsidRPr="005D4222" w:rsidRDefault="006457D8" w:rsidP="005654E4">
            <w:pPr>
              <w:pStyle w:val="ECDSMarginHead"/>
              <w:rPr>
                <w:lang w:eastAsia="zh-CN"/>
              </w:rPr>
            </w:pPr>
            <w:r w:rsidRPr="005D4222">
              <w:rPr>
                <w:lang w:eastAsia="zh-CN"/>
              </w:rPr>
              <w:t>Measure ID</w:t>
            </w:r>
          </w:p>
        </w:tc>
        <w:tc>
          <w:tcPr>
            <w:tcW w:w="1095" w:type="dxa"/>
            <w:tcBorders>
              <w:top w:val="single" w:sz="2" w:space="0" w:color="auto"/>
              <w:left w:val="single" w:sz="2" w:space="0" w:color="auto"/>
              <w:bottom w:val="single" w:sz="2" w:space="0" w:color="auto"/>
              <w:right w:val="single" w:sz="2" w:space="0" w:color="auto"/>
            </w:tcBorders>
            <w:hideMark/>
          </w:tcPr>
          <w:p w14:paraId="63C35F38" w14:textId="77777777" w:rsidR="006457D8" w:rsidRPr="005D4222" w:rsidRDefault="006457D8" w:rsidP="00A53E8C">
            <w:pPr>
              <w:pStyle w:val="ECDSBody"/>
              <w:rPr>
                <w:lang w:eastAsia="zh-CN"/>
              </w:rPr>
            </w:pPr>
            <w:r w:rsidRPr="005D4222">
              <w:rPr>
                <w:lang w:eastAsia="zh-CN"/>
              </w:rPr>
              <w:t>DBM-E</w:t>
            </w:r>
          </w:p>
        </w:tc>
      </w:tr>
      <w:tr w:rsidR="006457D8" w:rsidRPr="005D4222" w14:paraId="7D5F2AFD" w14:textId="77777777" w:rsidTr="005654E4">
        <w:tc>
          <w:tcPr>
            <w:tcW w:w="2157" w:type="dxa"/>
            <w:gridSpan w:val="2"/>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0E455A32" w14:textId="77777777" w:rsidR="006457D8" w:rsidRPr="005D4222" w:rsidRDefault="006457D8" w:rsidP="00A53E8C">
            <w:pPr>
              <w:pStyle w:val="ECDSMarginHead"/>
              <w:rPr>
                <w:lang w:eastAsia="zh-CN"/>
              </w:rPr>
            </w:pPr>
            <w:r w:rsidRPr="005D4222">
              <w:rPr>
                <w:lang w:eastAsia="zh-CN"/>
              </w:rPr>
              <w:t>Description</w:t>
            </w:r>
          </w:p>
        </w:tc>
        <w:tc>
          <w:tcPr>
            <w:tcW w:w="7557" w:type="dxa"/>
            <w:gridSpan w:val="3"/>
            <w:tcBorders>
              <w:top w:val="single" w:sz="2" w:space="0" w:color="auto"/>
              <w:left w:val="single" w:sz="2" w:space="0" w:color="auto"/>
              <w:bottom w:val="single" w:sz="2" w:space="0" w:color="auto"/>
              <w:right w:val="single" w:sz="2" w:space="0" w:color="auto"/>
            </w:tcBorders>
            <w:hideMark/>
          </w:tcPr>
          <w:p w14:paraId="15A1DB1A" w14:textId="77777777" w:rsidR="006457D8" w:rsidRPr="005D4222" w:rsidRDefault="006457D8" w:rsidP="00A53E8C">
            <w:pPr>
              <w:pStyle w:val="ECDSBody"/>
            </w:pPr>
            <w:r w:rsidRPr="005D4222">
              <w:rPr>
                <w:color w:val="000000" w:themeColor="text1"/>
                <w:spacing w:val="3"/>
                <w:szCs w:val="21"/>
              </w:rPr>
              <w:t>The percentage of episodes of mammograms documented in the form of a BI-RADS assessment within 14 days of the mammogram for persons 40–74 years of age.</w:t>
            </w:r>
          </w:p>
        </w:tc>
      </w:tr>
      <w:tr w:rsidR="006457D8" w:rsidRPr="005D4222" w14:paraId="1EF91B65" w14:textId="77777777" w:rsidTr="005654E4">
        <w:trPr>
          <w:trHeight w:val="877"/>
        </w:trPr>
        <w:tc>
          <w:tcPr>
            <w:tcW w:w="2157" w:type="dxa"/>
            <w:gridSpan w:val="2"/>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4701351B" w14:textId="77777777" w:rsidR="006457D8" w:rsidRPr="005D4222" w:rsidRDefault="006457D8" w:rsidP="00A53E8C">
            <w:pPr>
              <w:pStyle w:val="ECDSMarginHead"/>
              <w:rPr>
                <w:lang w:eastAsia="zh-CN"/>
              </w:rPr>
            </w:pPr>
            <w:r w:rsidRPr="005D4222">
              <w:rPr>
                <w:lang w:eastAsia="zh-CN"/>
              </w:rPr>
              <w:t>Measurement period</w:t>
            </w:r>
          </w:p>
        </w:tc>
        <w:tc>
          <w:tcPr>
            <w:tcW w:w="7557" w:type="dxa"/>
            <w:gridSpan w:val="3"/>
            <w:tcBorders>
              <w:top w:val="single" w:sz="2" w:space="0" w:color="auto"/>
              <w:left w:val="single" w:sz="2" w:space="0" w:color="auto"/>
              <w:bottom w:val="single" w:sz="2" w:space="0" w:color="auto"/>
              <w:right w:val="single" w:sz="2" w:space="0" w:color="auto"/>
            </w:tcBorders>
            <w:hideMark/>
          </w:tcPr>
          <w:p w14:paraId="145F16C4" w14:textId="77777777" w:rsidR="006457D8" w:rsidRPr="005D4222" w:rsidRDefault="006457D8" w:rsidP="00A53E8C">
            <w:pPr>
              <w:pStyle w:val="ECDSBody"/>
              <w:rPr>
                <w:szCs w:val="21"/>
                <w:lang w:eastAsia="zh-CN"/>
              </w:rPr>
            </w:pPr>
            <w:r w:rsidRPr="005D4222">
              <w:rPr>
                <w:szCs w:val="21"/>
                <w:lang w:eastAsia="zh-CN"/>
              </w:rPr>
              <w:t>January 1–December 31.</w:t>
            </w:r>
          </w:p>
        </w:tc>
      </w:tr>
      <w:tr w:rsidR="006457D8" w:rsidRPr="005D4222" w14:paraId="10F6C938" w14:textId="77777777" w:rsidTr="005654E4">
        <w:tc>
          <w:tcPr>
            <w:tcW w:w="2157" w:type="dxa"/>
            <w:gridSpan w:val="2"/>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559CC263" w14:textId="77777777" w:rsidR="006457D8" w:rsidRPr="005D4222" w:rsidRDefault="006457D8" w:rsidP="00A53E8C">
            <w:pPr>
              <w:pStyle w:val="ECDSMarginHead"/>
              <w:rPr>
                <w:rFonts w:eastAsia="Arial"/>
                <w:lang w:eastAsia="zh-CN"/>
              </w:rPr>
            </w:pPr>
            <w:r w:rsidRPr="005D4222">
              <w:rPr>
                <w:rFonts w:eastAsia="Arial"/>
                <w:lang w:eastAsia="zh-CN"/>
              </w:rPr>
              <w:t>Copyright and disclaimer notice</w:t>
            </w:r>
          </w:p>
        </w:tc>
        <w:tc>
          <w:tcPr>
            <w:tcW w:w="7557" w:type="dxa"/>
            <w:gridSpan w:val="3"/>
            <w:tcBorders>
              <w:top w:val="single" w:sz="2" w:space="0" w:color="auto"/>
              <w:left w:val="single" w:sz="2" w:space="0" w:color="auto"/>
              <w:bottom w:val="single" w:sz="2" w:space="0" w:color="auto"/>
              <w:right w:val="single" w:sz="2" w:space="0" w:color="auto"/>
            </w:tcBorders>
            <w:hideMark/>
          </w:tcPr>
          <w:p w14:paraId="79DA41DA" w14:textId="77777777" w:rsidR="006457D8" w:rsidRPr="005D4222" w:rsidRDefault="006457D8" w:rsidP="00A53E8C">
            <w:pPr>
              <w:pStyle w:val="ECDSBody"/>
              <w:ind w:left="92" w:hanging="92"/>
              <w:rPr>
                <w:i/>
                <w:iCs/>
                <w:color w:val="000000" w:themeColor="text1"/>
                <w:szCs w:val="21"/>
                <w:lang w:eastAsia="zh-CN"/>
              </w:rPr>
            </w:pPr>
            <w:r w:rsidRPr="005D4222">
              <w:rPr>
                <w:i/>
                <w:iCs/>
                <w:color w:val="000000" w:themeColor="text1"/>
                <w:szCs w:val="21"/>
                <w:lang w:eastAsia="zh-CN"/>
              </w:rPr>
              <w:t>*This measure was supported by Cooperative Award NU380T000303 from the Centers for Disease Control and Prevention and the National Network of Public Health Institutes (NNPHI). Its contents are the sole responsibility of the authors (NCQA) and do not necessarily represent the official position of the Centers for Disease Control and Prevention, the US Department of Health and Human Services, the US government, or the NNPHI.</w:t>
            </w:r>
          </w:p>
          <w:p w14:paraId="451D4BFF" w14:textId="77777777" w:rsidR="006457D8" w:rsidRPr="005D4222" w:rsidRDefault="006457D8" w:rsidP="00A53E8C">
            <w:pPr>
              <w:pStyle w:val="ECDSBody"/>
              <w:rPr>
                <w:szCs w:val="21"/>
              </w:rPr>
            </w:pPr>
            <w:r w:rsidRPr="005D4222">
              <w:rPr>
                <w:szCs w:val="21"/>
              </w:rPr>
              <w:t xml:space="preserve">Refer to the complete copyright and disclaimer information at the front of this publication. </w:t>
            </w:r>
          </w:p>
          <w:p w14:paraId="0FF93C99" w14:textId="77777777" w:rsidR="006457D8" w:rsidRPr="005D4222" w:rsidRDefault="006457D8" w:rsidP="00A53E8C">
            <w:pPr>
              <w:pStyle w:val="ECDSBody"/>
              <w:spacing w:before="80"/>
              <w:rPr>
                <w:rFonts w:eastAsia="Arial"/>
              </w:rPr>
            </w:pPr>
            <w:r w:rsidRPr="005D4222">
              <w:rPr>
                <w:rFonts w:eastAsia="Arial"/>
              </w:rPr>
              <w:t xml:space="preserve">NCQA website: </w:t>
            </w:r>
            <w:r w:rsidRPr="005D4222">
              <w:rPr>
                <w:rFonts w:eastAsia="Arial"/>
                <w:u w:val="single"/>
              </w:rPr>
              <w:t>www.ncqa.org</w:t>
            </w:r>
            <w:r w:rsidRPr="005D4222">
              <w:rPr>
                <w:rFonts w:eastAsia="Arial"/>
              </w:rPr>
              <w:t>.</w:t>
            </w:r>
          </w:p>
          <w:p w14:paraId="67966D95" w14:textId="77777777" w:rsidR="006457D8" w:rsidRPr="005D4222" w:rsidRDefault="006457D8" w:rsidP="00A53E8C">
            <w:pPr>
              <w:pStyle w:val="ECDSBody"/>
              <w:spacing w:before="80"/>
              <w:rPr>
                <w:i/>
                <w:iCs/>
                <w:color w:val="4472C4" w:themeColor="accent1"/>
                <w:szCs w:val="21"/>
              </w:rPr>
            </w:pPr>
            <w:r w:rsidRPr="005D4222">
              <w:rPr>
                <w:rFonts w:eastAsia="Arial"/>
              </w:rPr>
              <w:t>Submit policy clarification support questions via My NCQA (</w:t>
            </w:r>
            <w:r w:rsidRPr="005D4222">
              <w:rPr>
                <w:rFonts w:eastAsia="Arial"/>
                <w:u w:val="single"/>
              </w:rPr>
              <w:t>https://my.ncqa.org</w:t>
            </w:r>
            <w:r w:rsidRPr="005D4222">
              <w:rPr>
                <w:rFonts w:eastAsia="Arial"/>
              </w:rPr>
              <w:t>).</w:t>
            </w:r>
          </w:p>
        </w:tc>
      </w:tr>
      <w:tr w:rsidR="006457D8" w:rsidRPr="005D4222" w14:paraId="35CB8967" w14:textId="77777777" w:rsidTr="005654E4">
        <w:tc>
          <w:tcPr>
            <w:tcW w:w="2157" w:type="dxa"/>
            <w:gridSpan w:val="2"/>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669225E2" w14:textId="77777777" w:rsidR="006457D8" w:rsidRPr="005D4222" w:rsidRDefault="006457D8" w:rsidP="00A53E8C">
            <w:pPr>
              <w:pStyle w:val="ECDSMarginHead"/>
              <w:rPr>
                <w:lang w:eastAsia="zh-CN"/>
              </w:rPr>
            </w:pPr>
            <w:r w:rsidRPr="005D4222">
              <w:rPr>
                <w:lang w:eastAsia="zh-CN"/>
              </w:rPr>
              <w:t>Clinical recommendation statement/ rationale</w:t>
            </w:r>
          </w:p>
        </w:tc>
        <w:tc>
          <w:tcPr>
            <w:tcW w:w="7557" w:type="dxa"/>
            <w:gridSpan w:val="3"/>
            <w:tcBorders>
              <w:top w:val="single" w:sz="2" w:space="0" w:color="auto"/>
              <w:left w:val="single" w:sz="2" w:space="0" w:color="auto"/>
              <w:bottom w:val="single" w:sz="2" w:space="0" w:color="auto"/>
              <w:right w:val="single" w:sz="2" w:space="0" w:color="auto"/>
            </w:tcBorders>
            <w:hideMark/>
          </w:tcPr>
          <w:p w14:paraId="0FC44651" w14:textId="77777777" w:rsidR="006457D8" w:rsidRPr="005D4222" w:rsidRDefault="006457D8" w:rsidP="00A53E8C">
            <w:pPr>
              <w:pStyle w:val="ECDSBody"/>
              <w:rPr>
                <w:rFonts w:eastAsia="Arial"/>
                <w:szCs w:val="21"/>
              </w:rPr>
            </w:pPr>
            <w:r w:rsidRPr="005D4222">
              <w:rPr>
                <w:rFonts w:eastAsia="Arial"/>
                <w:szCs w:val="21"/>
              </w:rPr>
              <w:t>The National Comprehensive Cancer Network (NCCN) recommends breast cancer screening follow-up actions in alignment with the Breast Imaging Reporting and Data System (BI-RADS) scoring categories. The BI-RADS categorization offers specific recommendations for different findings.</w:t>
            </w:r>
          </w:p>
          <w:p w14:paraId="77CA4486" w14:textId="77777777" w:rsidR="006457D8" w:rsidRPr="005D4222" w:rsidRDefault="006457D8" w:rsidP="006457D8">
            <w:pPr>
              <w:pStyle w:val="Bullet"/>
              <w:numPr>
                <w:ilvl w:val="0"/>
                <w:numId w:val="4"/>
              </w:numPr>
              <w:tabs>
                <w:tab w:val="left" w:pos="360"/>
                <w:tab w:val="left" w:pos="576"/>
              </w:tabs>
              <w:ind w:left="576" w:hanging="216"/>
            </w:pPr>
            <w:r w:rsidRPr="005D4222">
              <w:rPr>
                <w:rFonts w:eastAsia="Arial"/>
                <w:szCs w:val="21"/>
              </w:rPr>
              <w:t xml:space="preserve">Category 0: </w:t>
            </w:r>
            <w:r w:rsidRPr="005D4222">
              <w:t xml:space="preserve">Incomplete—Need Additional Imaging Evaluation and/or Prior Mammograms for Comparison, advises additional imaging. </w:t>
            </w:r>
          </w:p>
          <w:p w14:paraId="25B3C43D" w14:textId="77777777" w:rsidR="006457D8" w:rsidRPr="005D4222" w:rsidRDefault="006457D8" w:rsidP="006457D8">
            <w:pPr>
              <w:pStyle w:val="Bullet"/>
              <w:numPr>
                <w:ilvl w:val="0"/>
                <w:numId w:val="4"/>
              </w:numPr>
              <w:tabs>
                <w:tab w:val="left" w:pos="360"/>
                <w:tab w:val="left" w:pos="576"/>
              </w:tabs>
              <w:ind w:left="576" w:hanging="216"/>
              <w:rPr>
                <w:rFonts w:eastAsia="Arial"/>
                <w:szCs w:val="21"/>
              </w:rPr>
            </w:pPr>
            <w:r w:rsidRPr="005D4222">
              <w:rPr>
                <w:rFonts w:eastAsia="Arial"/>
                <w:szCs w:val="21"/>
              </w:rPr>
              <w:t xml:space="preserve">Category 1: Negative or Category 2: Benign advises resuming routine screening. </w:t>
            </w:r>
          </w:p>
          <w:p w14:paraId="7C7C1FDD" w14:textId="77777777" w:rsidR="006457D8" w:rsidRPr="005D4222" w:rsidRDefault="006457D8" w:rsidP="006457D8">
            <w:pPr>
              <w:pStyle w:val="Bullet"/>
              <w:numPr>
                <w:ilvl w:val="0"/>
                <w:numId w:val="4"/>
              </w:numPr>
              <w:tabs>
                <w:tab w:val="left" w:pos="360"/>
                <w:tab w:val="left" w:pos="576"/>
              </w:tabs>
              <w:ind w:left="576" w:hanging="216"/>
              <w:rPr>
                <w:rFonts w:eastAsia="Arial"/>
                <w:szCs w:val="21"/>
              </w:rPr>
            </w:pPr>
            <w:r w:rsidRPr="005D4222">
              <w:rPr>
                <w:rFonts w:eastAsia="Arial"/>
                <w:szCs w:val="21"/>
              </w:rPr>
              <w:t xml:space="preserve">Category 3: Probably Benign, recommends diagnostic mammograms at </w:t>
            </w:r>
            <w:r w:rsidRPr="005D4222">
              <w:rPr>
                <w:rFonts w:eastAsia="Arial"/>
                <w:szCs w:val="21"/>
              </w:rPr>
              <w:br/>
              <w:t xml:space="preserve">6 months, followed by repeat screenings every 6–12 months for 1–2 years, if appropriate. </w:t>
            </w:r>
          </w:p>
          <w:p w14:paraId="40DF5AF8" w14:textId="77777777" w:rsidR="006457D8" w:rsidRPr="005D4222" w:rsidRDefault="006457D8" w:rsidP="006457D8">
            <w:pPr>
              <w:pStyle w:val="Bullet"/>
              <w:numPr>
                <w:ilvl w:val="0"/>
                <w:numId w:val="4"/>
              </w:numPr>
              <w:tabs>
                <w:tab w:val="left" w:pos="360"/>
                <w:tab w:val="left" w:pos="576"/>
              </w:tabs>
              <w:ind w:left="576" w:hanging="216"/>
              <w:rPr>
                <w:rFonts w:eastAsia="Arial"/>
                <w:szCs w:val="21"/>
              </w:rPr>
            </w:pPr>
            <w:r w:rsidRPr="005D4222">
              <w:rPr>
                <w:rFonts w:eastAsia="Arial"/>
                <w:szCs w:val="21"/>
              </w:rPr>
              <w:t xml:space="preserve">Category 4: Suspicious and Category 5: Highly Suggestive of Malignancy, the recommendation is for tissue diagnosis using core needle biopsy (preferred) or needle localization excisional biopsy with specimen </w:t>
            </w:r>
            <w:r w:rsidRPr="005D4222">
              <w:rPr>
                <w:rFonts w:eastAsia="Arial"/>
              </w:rPr>
              <w:t>radiograph.</w:t>
            </w:r>
            <w:r w:rsidRPr="005D4222">
              <w:rPr>
                <w:rFonts w:eastAsia="Arial"/>
                <w:szCs w:val="21"/>
              </w:rPr>
              <w:t xml:space="preserve"> When a needle biopsy (aspiration or core needle biopsy) is performed, obtaining concordance between the pathology report and the imaging finding is crucial.</w:t>
            </w:r>
          </w:p>
          <w:p w14:paraId="53B1B555" w14:textId="77777777" w:rsidR="006457D8" w:rsidRPr="005D4222" w:rsidRDefault="006457D8" w:rsidP="006457D8">
            <w:pPr>
              <w:pStyle w:val="Bullet"/>
              <w:numPr>
                <w:ilvl w:val="0"/>
                <w:numId w:val="4"/>
              </w:numPr>
              <w:tabs>
                <w:tab w:val="left" w:pos="360"/>
                <w:tab w:val="left" w:pos="576"/>
              </w:tabs>
              <w:ind w:left="576" w:hanging="216"/>
              <w:rPr>
                <w:rFonts w:eastAsia="Arial"/>
                <w:szCs w:val="21"/>
              </w:rPr>
            </w:pPr>
            <w:r w:rsidRPr="005D4222">
              <w:rPr>
                <w:rFonts w:eastAsia="Arial"/>
                <w:szCs w:val="21"/>
              </w:rPr>
              <w:t>For Category 6: Known Biopsy-Proven Malignancy, the recommendation depends on the primary tumor, size of the invasive component, estimated disease volume, histological grade and other relevant characteristics.</w:t>
            </w:r>
          </w:p>
          <w:p w14:paraId="63866487" w14:textId="77777777" w:rsidR="006457D8" w:rsidRPr="005D4222" w:rsidRDefault="006457D8" w:rsidP="00A53E8C">
            <w:pPr>
              <w:pStyle w:val="ECDSBody"/>
              <w:rPr>
                <w:szCs w:val="21"/>
                <w:lang w:eastAsia="zh-CN"/>
              </w:rPr>
            </w:pPr>
            <w:r w:rsidRPr="005D4222">
              <w:rPr>
                <w:rFonts w:eastAsia="Arial"/>
                <w:szCs w:val="21"/>
              </w:rPr>
              <w:t>All recommendations are Category 2A recommendations. Based on lower-level evidence, there is uniform NCCN consensus that the intervention is appropriate.</w:t>
            </w:r>
          </w:p>
        </w:tc>
      </w:tr>
      <w:tr w:rsidR="006457D8" w:rsidRPr="005D4222" w14:paraId="74AB73B3" w14:textId="77777777" w:rsidTr="005654E4">
        <w:tc>
          <w:tcPr>
            <w:tcW w:w="2034" w:type="dxa"/>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5CF644DE" w14:textId="77777777" w:rsidR="006457D8" w:rsidRPr="005D4222" w:rsidRDefault="006457D8" w:rsidP="00A53E8C">
            <w:pPr>
              <w:pStyle w:val="ECDSMarginHead"/>
              <w:rPr>
                <w:lang w:eastAsia="zh-CN"/>
              </w:rPr>
            </w:pPr>
            <w:r w:rsidRPr="005D4222">
              <w:rPr>
                <w:lang w:eastAsia="zh-CN"/>
              </w:rPr>
              <w:lastRenderedPageBreak/>
              <w:t>Citations</w:t>
            </w:r>
          </w:p>
        </w:tc>
        <w:tc>
          <w:tcPr>
            <w:tcW w:w="7680" w:type="dxa"/>
            <w:gridSpan w:val="4"/>
            <w:tcBorders>
              <w:top w:val="single" w:sz="2" w:space="0" w:color="auto"/>
              <w:left w:val="single" w:sz="2" w:space="0" w:color="auto"/>
              <w:bottom w:val="single" w:sz="2" w:space="0" w:color="auto"/>
              <w:right w:val="single" w:sz="2" w:space="0" w:color="auto"/>
            </w:tcBorders>
            <w:hideMark/>
          </w:tcPr>
          <w:p w14:paraId="6EBCD003" w14:textId="77777777" w:rsidR="006457D8" w:rsidRPr="005D4222" w:rsidRDefault="006457D8" w:rsidP="00A53E8C">
            <w:pPr>
              <w:pStyle w:val="ECDSBody"/>
              <w:rPr>
                <w:rFonts w:eastAsia="Arial"/>
              </w:rPr>
            </w:pPr>
            <w:r w:rsidRPr="005D4222">
              <w:rPr>
                <w:rFonts w:eastAsia="Arial"/>
              </w:rPr>
              <w:t>Sickles, E.A., C.J. D’Orsi, L.W. Bassett, C.M. Appleton, W.A. Berg, and E.S. Burnside. “ACR Bi-Rads</w:t>
            </w:r>
            <w:r w:rsidRPr="005D4222">
              <w:rPr>
                <w:rFonts w:eastAsia="Arial"/>
                <w:vertAlign w:val="superscript"/>
              </w:rPr>
              <w:t>®</w:t>
            </w:r>
            <w:r w:rsidRPr="005D4222">
              <w:rPr>
                <w:rFonts w:eastAsia="Arial"/>
              </w:rPr>
              <w:t xml:space="preserve"> Mammography.” ACR BI-RADS</w:t>
            </w:r>
            <w:r w:rsidRPr="005D4222">
              <w:rPr>
                <w:rFonts w:eastAsia="Arial"/>
                <w:vertAlign w:val="superscript"/>
              </w:rPr>
              <w:t>®</w:t>
            </w:r>
            <w:r w:rsidRPr="005D4222">
              <w:rPr>
                <w:rFonts w:eastAsia="Arial"/>
              </w:rPr>
              <w:t xml:space="preserve"> Atlas, Breast Imaging Reporting and Data System 5 (2013): 2013.</w:t>
            </w:r>
          </w:p>
          <w:p w14:paraId="5C84FB59" w14:textId="77777777" w:rsidR="006457D8" w:rsidRPr="005D4222" w:rsidRDefault="006457D8" w:rsidP="00A53E8C">
            <w:pPr>
              <w:pStyle w:val="ECDSBody"/>
              <w:rPr>
                <w:lang w:eastAsia="zh-CN"/>
              </w:rPr>
            </w:pPr>
            <w:r w:rsidRPr="005D4222">
              <w:rPr>
                <w:rFonts w:eastAsia="Arial"/>
              </w:rPr>
              <w:t xml:space="preserve">Gradishar, W.J., M.S. Moran, J. Abraham, et al. 2022. “Breast Cancer, Version 3.2022, NCCN Clinical Practice Guidelines in Oncology.” </w:t>
            </w:r>
            <w:r w:rsidRPr="005D4222">
              <w:rPr>
                <w:rFonts w:eastAsia="Arial"/>
                <w:i/>
              </w:rPr>
              <w:t>J Natl Compr Canc Netw</w:t>
            </w:r>
            <w:r w:rsidRPr="005D4222">
              <w:rPr>
                <w:rFonts w:eastAsia="Arial"/>
              </w:rPr>
              <w:t xml:space="preserve"> 20(6):691–722. doi:10.6004/jnccn.2022.0030.</w:t>
            </w:r>
          </w:p>
        </w:tc>
      </w:tr>
      <w:tr w:rsidR="006457D8" w:rsidRPr="005D4222" w14:paraId="5AD71876" w14:textId="77777777" w:rsidTr="005654E4">
        <w:tc>
          <w:tcPr>
            <w:tcW w:w="9714" w:type="dxa"/>
            <w:gridSpan w:val="5"/>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70828938" w14:textId="77777777" w:rsidR="006457D8" w:rsidRPr="005D4222" w:rsidRDefault="006457D8" w:rsidP="00A53E8C">
            <w:pPr>
              <w:pStyle w:val="ECDSMarginHead"/>
              <w:rPr>
                <w:lang w:eastAsia="zh-CN"/>
              </w:rPr>
            </w:pPr>
            <w:r w:rsidRPr="005D4222">
              <w:rPr>
                <w:lang w:eastAsia="zh-CN"/>
              </w:rPr>
              <w:t>Characteristics</w:t>
            </w:r>
          </w:p>
        </w:tc>
      </w:tr>
      <w:tr w:rsidR="006457D8" w:rsidRPr="005D4222" w14:paraId="01896700" w14:textId="77777777" w:rsidTr="005654E4">
        <w:tc>
          <w:tcPr>
            <w:tcW w:w="2034" w:type="dxa"/>
            <w:tcBorders>
              <w:top w:val="single" w:sz="4" w:space="0" w:color="auto"/>
              <w:left w:val="single" w:sz="4" w:space="0" w:color="auto"/>
              <w:bottom w:val="nil"/>
              <w:right w:val="single" w:sz="4" w:space="0" w:color="auto"/>
            </w:tcBorders>
            <w:hideMark/>
          </w:tcPr>
          <w:p w14:paraId="08D24F19" w14:textId="77777777" w:rsidR="006457D8" w:rsidRPr="005D4222" w:rsidRDefault="006457D8" w:rsidP="005654E4">
            <w:pPr>
              <w:pStyle w:val="ECDSMarginSubhead"/>
              <w:spacing w:after="0"/>
              <w:rPr>
                <w:lang w:eastAsia="zh-CN"/>
              </w:rPr>
            </w:pPr>
            <w:r w:rsidRPr="005D4222">
              <w:rPr>
                <w:lang w:eastAsia="zh-CN"/>
              </w:rPr>
              <w:t>Scoring</w:t>
            </w:r>
          </w:p>
        </w:tc>
        <w:tc>
          <w:tcPr>
            <w:tcW w:w="7680" w:type="dxa"/>
            <w:gridSpan w:val="4"/>
            <w:tcBorders>
              <w:top w:val="single" w:sz="4" w:space="0" w:color="auto"/>
              <w:left w:val="single" w:sz="4" w:space="0" w:color="auto"/>
              <w:bottom w:val="nil"/>
              <w:right w:val="single" w:sz="4" w:space="0" w:color="auto"/>
            </w:tcBorders>
          </w:tcPr>
          <w:p w14:paraId="07311899" w14:textId="77777777" w:rsidR="006457D8" w:rsidRPr="005D4222" w:rsidRDefault="006457D8" w:rsidP="005654E4">
            <w:pPr>
              <w:pStyle w:val="ECDSBody"/>
              <w:spacing w:after="0"/>
              <w:rPr>
                <w:lang w:eastAsia="zh-CN"/>
              </w:rPr>
            </w:pPr>
            <w:r w:rsidRPr="005D4222">
              <w:rPr>
                <w:lang w:eastAsia="zh-CN"/>
              </w:rPr>
              <w:t>Proportion.</w:t>
            </w:r>
          </w:p>
        </w:tc>
      </w:tr>
      <w:tr w:rsidR="006457D8" w:rsidRPr="005D4222" w14:paraId="2C3F021C" w14:textId="77777777" w:rsidTr="005654E4">
        <w:tc>
          <w:tcPr>
            <w:tcW w:w="2034" w:type="dxa"/>
            <w:tcBorders>
              <w:top w:val="nil"/>
              <w:left w:val="single" w:sz="4" w:space="0" w:color="auto"/>
              <w:bottom w:val="nil"/>
              <w:right w:val="single" w:sz="4" w:space="0" w:color="auto"/>
            </w:tcBorders>
            <w:hideMark/>
          </w:tcPr>
          <w:p w14:paraId="0F410E12" w14:textId="77777777" w:rsidR="006457D8" w:rsidRPr="005D4222" w:rsidRDefault="006457D8" w:rsidP="005654E4">
            <w:pPr>
              <w:pStyle w:val="ECDSMarginSubhead"/>
              <w:spacing w:after="0"/>
              <w:rPr>
                <w:lang w:eastAsia="zh-CN"/>
              </w:rPr>
            </w:pPr>
            <w:r w:rsidRPr="005D4222">
              <w:rPr>
                <w:lang w:eastAsia="zh-CN"/>
              </w:rPr>
              <w:t>Type</w:t>
            </w:r>
          </w:p>
        </w:tc>
        <w:tc>
          <w:tcPr>
            <w:tcW w:w="7680" w:type="dxa"/>
            <w:gridSpan w:val="4"/>
            <w:tcBorders>
              <w:top w:val="nil"/>
              <w:left w:val="single" w:sz="4" w:space="0" w:color="auto"/>
              <w:bottom w:val="nil"/>
              <w:right w:val="single" w:sz="4" w:space="0" w:color="auto"/>
            </w:tcBorders>
          </w:tcPr>
          <w:p w14:paraId="4DC57C51" w14:textId="77777777" w:rsidR="006457D8" w:rsidRPr="005D4222" w:rsidRDefault="006457D8" w:rsidP="005654E4">
            <w:pPr>
              <w:pStyle w:val="ECDSBody"/>
              <w:spacing w:after="0"/>
              <w:rPr>
                <w:lang w:eastAsia="zh-CN"/>
              </w:rPr>
            </w:pPr>
            <w:r w:rsidRPr="005D4222">
              <w:rPr>
                <w:lang w:eastAsia="zh-CN"/>
              </w:rPr>
              <w:t>Process.</w:t>
            </w:r>
          </w:p>
        </w:tc>
      </w:tr>
      <w:tr w:rsidR="006457D8" w:rsidRPr="005D4222" w14:paraId="294717B6" w14:textId="77777777" w:rsidTr="005654E4">
        <w:tc>
          <w:tcPr>
            <w:tcW w:w="2034" w:type="dxa"/>
            <w:tcBorders>
              <w:top w:val="nil"/>
              <w:left w:val="single" w:sz="4" w:space="0" w:color="auto"/>
              <w:bottom w:val="nil"/>
              <w:right w:val="single" w:sz="4" w:space="0" w:color="auto"/>
            </w:tcBorders>
            <w:hideMark/>
          </w:tcPr>
          <w:p w14:paraId="0840C3B1" w14:textId="239CCDE5" w:rsidR="006457D8" w:rsidRPr="005D4222" w:rsidRDefault="00B51CDC" w:rsidP="005654E4">
            <w:pPr>
              <w:pStyle w:val="ECDSMarginSubhead"/>
              <w:spacing w:after="0"/>
              <w:rPr>
                <w:lang w:eastAsia="zh-CN"/>
              </w:rPr>
            </w:pPr>
            <w:r w:rsidRPr="005D4222">
              <w:rPr>
                <w:lang w:eastAsia="zh-CN"/>
              </w:rPr>
              <w:t>Product lines</w:t>
            </w:r>
          </w:p>
        </w:tc>
        <w:tc>
          <w:tcPr>
            <w:tcW w:w="7680" w:type="dxa"/>
            <w:gridSpan w:val="4"/>
            <w:tcBorders>
              <w:top w:val="nil"/>
              <w:left w:val="single" w:sz="4" w:space="0" w:color="auto"/>
              <w:bottom w:val="nil"/>
              <w:right w:val="single" w:sz="4" w:space="0" w:color="auto"/>
            </w:tcBorders>
          </w:tcPr>
          <w:p w14:paraId="37A016C6" w14:textId="77777777" w:rsidR="006457D8" w:rsidRPr="005D4222" w:rsidRDefault="006457D8" w:rsidP="005D6173">
            <w:pPr>
              <w:pStyle w:val="ProcessBullet"/>
              <w:numPr>
                <w:ilvl w:val="0"/>
                <w:numId w:val="143"/>
              </w:numPr>
              <w:tabs>
                <w:tab w:val="left" w:pos="216"/>
              </w:tabs>
              <w:spacing w:line="256" w:lineRule="auto"/>
              <w:ind w:left="293" w:hanging="270"/>
              <w:jc w:val="both"/>
              <w:rPr>
                <w:rFonts w:eastAsia="Arial,Arial,Arial,Arial,Arial,A" w:cs="Arial"/>
                <w:color w:val="000000" w:themeColor="text1"/>
                <w:lang w:eastAsia="zh-CN"/>
              </w:rPr>
            </w:pPr>
            <w:r w:rsidRPr="005D4222">
              <w:rPr>
                <w:rFonts w:eastAsia="Arial,Arial,Arial,Arial,Arial,A" w:cs="Arial"/>
                <w:color w:val="000000" w:themeColor="text1"/>
                <w:lang w:eastAsia="zh-CN"/>
              </w:rPr>
              <w:t>Commercial.</w:t>
            </w:r>
          </w:p>
          <w:p w14:paraId="1396699F" w14:textId="77777777" w:rsidR="006457D8" w:rsidRPr="005D4222" w:rsidRDefault="006457D8" w:rsidP="005D6173">
            <w:pPr>
              <w:pStyle w:val="ProcessBullet"/>
              <w:numPr>
                <w:ilvl w:val="0"/>
                <w:numId w:val="143"/>
              </w:numPr>
              <w:tabs>
                <w:tab w:val="left" w:pos="216"/>
              </w:tabs>
              <w:spacing w:line="256" w:lineRule="auto"/>
              <w:ind w:left="293" w:hanging="270"/>
              <w:jc w:val="both"/>
              <w:rPr>
                <w:rFonts w:eastAsia="Arial,Arial,Arial,Arial,Arial,A" w:cs="Arial"/>
                <w:color w:val="000000" w:themeColor="text1"/>
                <w:lang w:eastAsia="zh-CN"/>
              </w:rPr>
            </w:pPr>
            <w:r w:rsidRPr="005D4222">
              <w:rPr>
                <w:rFonts w:eastAsia="Arial,Arial,Arial,Arial,Arial,A" w:cs="Arial"/>
                <w:color w:val="000000" w:themeColor="text1"/>
                <w:lang w:eastAsia="zh-CN"/>
              </w:rPr>
              <w:t>Medicaid.</w:t>
            </w:r>
          </w:p>
          <w:p w14:paraId="0C5EBB60" w14:textId="77777777" w:rsidR="006457D8" w:rsidRPr="005D4222" w:rsidRDefault="006457D8" w:rsidP="005D6173">
            <w:pPr>
              <w:pStyle w:val="ProcessBullet"/>
              <w:numPr>
                <w:ilvl w:val="0"/>
                <w:numId w:val="143"/>
              </w:numPr>
              <w:tabs>
                <w:tab w:val="left" w:pos="216"/>
              </w:tabs>
              <w:spacing w:line="256" w:lineRule="auto"/>
              <w:ind w:left="293" w:hanging="270"/>
              <w:jc w:val="both"/>
              <w:rPr>
                <w:rFonts w:eastAsia="Arial,Arial,Arial,Arial,Arial,A" w:cs="Arial"/>
                <w:color w:val="000000" w:themeColor="text1"/>
                <w:lang w:eastAsia="zh-CN"/>
              </w:rPr>
            </w:pPr>
            <w:r w:rsidRPr="005D4222">
              <w:rPr>
                <w:rFonts w:eastAsia="Arial,Arial,Arial,Arial,Arial,A" w:cs="Arial"/>
                <w:color w:val="000000" w:themeColor="text1"/>
                <w:lang w:eastAsia="zh-CN"/>
              </w:rPr>
              <w:t>Medicare.</w:t>
            </w:r>
          </w:p>
        </w:tc>
      </w:tr>
      <w:tr w:rsidR="006457D8" w:rsidRPr="005D4222" w14:paraId="69F56809" w14:textId="77777777" w:rsidTr="005654E4">
        <w:tc>
          <w:tcPr>
            <w:tcW w:w="2034" w:type="dxa"/>
            <w:tcBorders>
              <w:top w:val="nil"/>
              <w:left w:val="single" w:sz="4" w:space="0" w:color="auto"/>
              <w:bottom w:val="nil"/>
              <w:right w:val="single" w:sz="4" w:space="0" w:color="auto"/>
            </w:tcBorders>
            <w:hideMark/>
          </w:tcPr>
          <w:p w14:paraId="27655FAF" w14:textId="4AAFE4A1" w:rsidR="006457D8" w:rsidRPr="005D4222" w:rsidRDefault="00B51CDC" w:rsidP="005654E4">
            <w:pPr>
              <w:pStyle w:val="ECDSMarginSubhead"/>
              <w:spacing w:after="0"/>
              <w:rPr>
                <w:lang w:eastAsia="zh-CN"/>
              </w:rPr>
            </w:pPr>
            <w:r w:rsidRPr="005D4222">
              <w:rPr>
                <w:lang w:eastAsia="zh-CN"/>
              </w:rPr>
              <w:t>Stratifications</w:t>
            </w:r>
            <w:r w:rsidR="006457D8" w:rsidRPr="005D4222">
              <w:rPr>
                <w:lang w:eastAsia="zh-CN"/>
              </w:rPr>
              <w:t xml:space="preserve"> </w:t>
            </w:r>
          </w:p>
        </w:tc>
        <w:tc>
          <w:tcPr>
            <w:tcW w:w="7680" w:type="dxa"/>
            <w:gridSpan w:val="4"/>
            <w:tcBorders>
              <w:top w:val="nil"/>
              <w:left w:val="single" w:sz="4" w:space="0" w:color="auto"/>
              <w:bottom w:val="nil"/>
              <w:right w:val="single" w:sz="4" w:space="0" w:color="auto"/>
            </w:tcBorders>
          </w:tcPr>
          <w:p w14:paraId="771489BF" w14:textId="77777777" w:rsidR="006457D8" w:rsidRPr="005D4222" w:rsidRDefault="006457D8" w:rsidP="005654E4">
            <w:pPr>
              <w:pStyle w:val="ECDSBody"/>
              <w:spacing w:after="0"/>
              <w:rPr>
                <w:lang w:eastAsia="zh-CN"/>
              </w:rPr>
            </w:pPr>
            <w:r w:rsidRPr="005D4222">
              <w:rPr>
                <w:lang w:eastAsia="zh-CN"/>
              </w:rPr>
              <w:t>None.</w:t>
            </w:r>
          </w:p>
        </w:tc>
      </w:tr>
      <w:tr w:rsidR="006457D8" w:rsidRPr="005D4222" w14:paraId="20FFFDC5" w14:textId="77777777" w:rsidTr="005654E4">
        <w:tc>
          <w:tcPr>
            <w:tcW w:w="2034" w:type="dxa"/>
            <w:tcBorders>
              <w:top w:val="nil"/>
              <w:left w:val="single" w:sz="4" w:space="0" w:color="auto"/>
              <w:bottom w:val="nil"/>
              <w:right w:val="single" w:sz="4" w:space="0" w:color="auto"/>
            </w:tcBorders>
            <w:hideMark/>
          </w:tcPr>
          <w:p w14:paraId="06A500A8" w14:textId="77777777" w:rsidR="006457D8" w:rsidRPr="005D4222" w:rsidRDefault="006457D8" w:rsidP="005654E4">
            <w:pPr>
              <w:pStyle w:val="ECDSMarginSubhead"/>
              <w:spacing w:after="0"/>
              <w:rPr>
                <w:lang w:eastAsia="zh-CN"/>
              </w:rPr>
            </w:pPr>
            <w:r w:rsidRPr="005D4222">
              <w:rPr>
                <w:lang w:eastAsia="zh-CN"/>
              </w:rPr>
              <w:t>Risk adjustment</w:t>
            </w:r>
          </w:p>
        </w:tc>
        <w:tc>
          <w:tcPr>
            <w:tcW w:w="7680" w:type="dxa"/>
            <w:gridSpan w:val="4"/>
            <w:tcBorders>
              <w:top w:val="nil"/>
              <w:left w:val="single" w:sz="4" w:space="0" w:color="auto"/>
              <w:bottom w:val="nil"/>
              <w:right w:val="single" w:sz="4" w:space="0" w:color="auto"/>
            </w:tcBorders>
          </w:tcPr>
          <w:p w14:paraId="0316E947" w14:textId="77777777" w:rsidR="006457D8" w:rsidRPr="005D4222" w:rsidRDefault="006457D8" w:rsidP="005654E4">
            <w:pPr>
              <w:pStyle w:val="ECDSBody"/>
              <w:spacing w:after="0"/>
              <w:rPr>
                <w:szCs w:val="21"/>
                <w:lang w:eastAsia="zh-CN"/>
              </w:rPr>
            </w:pPr>
            <w:r w:rsidRPr="005D4222">
              <w:rPr>
                <w:szCs w:val="21"/>
                <w:lang w:eastAsia="zh-CN"/>
              </w:rPr>
              <w:t>None.</w:t>
            </w:r>
          </w:p>
        </w:tc>
      </w:tr>
      <w:tr w:rsidR="006457D8" w:rsidRPr="005D4222" w14:paraId="668ACD4C" w14:textId="77777777" w:rsidTr="005654E4">
        <w:tc>
          <w:tcPr>
            <w:tcW w:w="2034" w:type="dxa"/>
            <w:tcBorders>
              <w:top w:val="nil"/>
              <w:left w:val="single" w:sz="4" w:space="0" w:color="auto"/>
              <w:bottom w:val="nil"/>
              <w:right w:val="single" w:sz="4" w:space="0" w:color="auto"/>
            </w:tcBorders>
            <w:hideMark/>
          </w:tcPr>
          <w:p w14:paraId="17B73228" w14:textId="77777777" w:rsidR="006457D8" w:rsidRPr="005D4222" w:rsidRDefault="006457D8" w:rsidP="005654E4">
            <w:pPr>
              <w:pStyle w:val="ECDSMarginSubhead"/>
              <w:spacing w:after="0"/>
              <w:rPr>
                <w:lang w:eastAsia="zh-CN"/>
              </w:rPr>
            </w:pPr>
            <w:r w:rsidRPr="005D4222">
              <w:rPr>
                <w:lang w:eastAsia="zh-CN"/>
              </w:rPr>
              <w:t>Improvement notation</w:t>
            </w:r>
          </w:p>
        </w:tc>
        <w:tc>
          <w:tcPr>
            <w:tcW w:w="7680" w:type="dxa"/>
            <w:gridSpan w:val="4"/>
            <w:tcBorders>
              <w:top w:val="nil"/>
              <w:left w:val="single" w:sz="4" w:space="0" w:color="auto"/>
              <w:bottom w:val="nil"/>
              <w:right w:val="single" w:sz="4" w:space="0" w:color="auto"/>
            </w:tcBorders>
          </w:tcPr>
          <w:p w14:paraId="6A0BECDD" w14:textId="77777777" w:rsidR="006457D8" w:rsidRPr="005D4222" w:rsidRDefault="006457D8" w:rsidP="005654E4">
            <w:pPr>
              <w:pStyle w:val="ECDSBody"/>
              <w:spacing w:after="0"/>
              <w:rPr>
                <w:lang w:eastAsia="zh-CN"/>
              </w:rPr>
            </w:pPr>
            <w:r w:rsidRPr="005D4222">
              <w:rPr>
                <w:lang w:eastAsia="zh-CN"/>
              </w:rPr>
              <w:t>Increased score indicates improvement.</w:t>
            </w:r>
          </w:p>
        </w:tc>
      </w:tr>
      <w:tr w:rsidR="006457D8" w:rsidRPr="005D4222" w14:paraId="06F7CB7F" w14:textId="77777777" w:rsidTr="005654E4">
        <w:tc>
          <w:tcPr>
            <w:tcW w:w="2034" w:type="dxa"/>
            <w:tcBorders>
              <w:top w:val="nil"/>
              <w:left w:val="single" w:sz="4" w:space="0" w:color="auto"/>
              <w:bottom w:val="single" w:sz="4" w:space="0" w:color="auto"/>
              <w:right w:val="single" w:sz="4" w:space="0" w:color="auto"/>
            </w:tcBorders>
            <w:hideMark/>
          </w:tcPr>
          <w:p w14:paraId="75F2D5D7" w14:textId="77777777" w:rsidR="006457D8" w:rsidRPr="005D4222" w:rsidRDefault="006457D8" w:rsidP="00A53E8C">
            <w:pPr>
              <w:pStyle w:val="ECDSMarginSubhead"/>
              <w:rPr>
                <w:lang w:eastAsia="zh-CN"/>
              </w:rPr>
            </w:pPr>
            <w:r w:rsidRPr="005D4222">
              <w:rPr>
                <w:lang w:eastAsia="zh-CN"/>
              </w:rPr>
              <w:t>Guidance</w:t>
            </w:r>
          </w:p>
        </w:tc>
        <w:tc>
          <w:tcPr>
            <w:tcW w:w="7680" w:type="dxa"/>
            <w:gridSpan w:val="4"/>
            <w:tcBorders>
              <w:top w:val="nil"/>
              <w:left w:val="single" w:sz="4" w:space="0" w:color="auto"/>
              <w:bottom w:val="single" w:sz="4" w:space="0" w:color="auto"/>
              <w:right w:val="single" w:sz="4" w:space="0" w:color="auto"/>
            </w:tcBorders>
          </w:tcPr>
          <w:p w14:paraId="00029544" w14:textId="7CD01E2C" w:rsidR="006457D8" w:rsidRPr="005D4222" w:rsidRDefault="006457D8" w:rsidP="00A53E8C">
            <w:pPr>
              <w:pStyle w:val="ECDSBody"/>
              <w:rPr>
                <w:szCs w:val="21"/>
              </w:rPr>
            </w:pPr>
            <w:r w:rsidRPr="005D4222">
              <w:rPr>
                <w:b/>
                <w:szCs w:val="21"/>
              </w:rPr>
              <w:t>Data collection methodology</w:t>
            </w:r>
            <w:r w:rsidRPr="005D4222">
              <w:rPr>
                <w:b/>
                <w:bCs w:val="0"/>
                <w:szCs w:val="21"/>
              </w:rPr>
              <w:t>:</w:t>
            </w:r>
            <w:r w:rsidRPr="005D4222">
              <w:rPr>
                <w:szCs w:val="21"/>
              </w:rPr>
              <w:t xml:space="preserve"> ECDS. Refer to </w:t>
            </w:r>
            <w:hyperlink w:anchor="General_Guideline_Data_Collection_Method" w:history="1">
              <w:r w:rsidRPr="005D4222">
                <w:rPr>
                  <w:rStyle w:val="Hyperlink"/>
                  <w:i/>
                  <w:iCs/>
                  <w:szCs w:val="21"/>
                </w:rPr>
                <w:t>General Guideline: Data Collection Methods</w:t>
              </w:r>
            </w:hyperlink>
            <w:r w:rsidRPr="005D4222">
              <w:rPr>
                <w:szCs w:val="21"/>
              </w:rPr>
              <w:t xml:space="preserve"> for additional information. </w:t>
            </w:r>
          </w:p>
          <w:p w14:paraId="7E25046D" w14:textId="77777777" w:rsidR="006457D8" w:rsidRPr="005D4222" w:rsidRDefault="006457D8" w:rsidP="00A53E8C">
            <w:pPr>
              <w:pStyle w:val="ECDSBody"/>
            </w:pPr>
            <w:r w:rsidRPr="005D4222">
              <w:rPr>
                <w:b/>
              </w:rPr>
              <w:t xml:space="preserve">Date specificity: </w:t>
            </w:r>
            <w:r w:rsidRPr="005D4222">
              <w:t>Dates must be specific enough to determine the event occurred in the period being measured.</w:t>
            </w:r>
          </w:p>
          <w:p w14:paraId="6D27C8AD" w14:textId="77777777" w:rsidR="006457D8" w:rsidRPr="005D4222" w:rsidRDefault="006457D8" w:rsidP="00A53E8C">
            <w:pPr>
              <w:pStyle w:val="ECDSBody"/>
            </w:pPr>
            <w:r w:rsidRPr="005D4222">
              <w:rPr>
                <w:b/>
              </w:rPr>
              <w:t xml:space="preserve">What services count? </w:t>
            </w:r>
            <w:r w:rsidRPr="005D4222">
              <w:t xml:space="preserve">When using claims, include all paid, suspended, pending and denied claims. </w:t>
            </w:r>
          </w:p>
          <w:p w14:paraId="2A4A7F06" w14:textId="77777777" w:rsidR="006457D8" w:rsidRPr="005D4222" w:rsidRDefault="006457D8" w:rsidP="00A53E8C">
            <w:pPr>
              <w:pStyle w:val="ECDSBody"/>
            </w:pPr>
            <w:r w:rsidRPr="005D4222">
              <w:rPr>
                <w:b/>
              </w:rPr>
              <w:t xml:space="preserve">Other guidance: </w:t>
            </w:r>
            <w:r w:rsidRPr="005D4222">
              <w:t>The measure is based on episodes; therefore, it is possible for the denominator to include multiple events for the same person.</w:t>
            </w:r>
          </w:p>
        </w:tc>
      </w:tr>
      <w:tr w:rsidR="006457D8" w:rsidRPr="005D4222" w14:paraId="086D9B23" w14:textId="77777777" w:rsidTr="005654E4">
        <w:tc>
          <w:tcPr>
            <w:tcW w:w="9714" w:type="dxa"/>
            <w:gridSpan w:val="5"/>
            <w:tcBorders>
              <w:top w:val="single" w:sz="2" w:space="0" w:color="auto"/>
              <w:left w:val="single" w:sz="2" w:space="0" w:color="auto"/>
              <w:bottom w:val="single" w:sz="2" w:space="0" w:color="auto"/>
              <w:right w:val="single" w:sz="4" w:space="0" w:color="auto"/>
            </w:tcBorders>
            <w:shd w:val="clear" w:color="auto" w:fill="BFBFBF" w:themeFill="background1" w:themeFillShade="BF"/>
          </w:tcPr>
          <w:p w14:paraId="6B467118" w14:textId="77777777" w:rsidR="006457D8" w:rsidRPr="005D4222" w:rsidRDefault="006457D8" w:rsidP="00A53E8C">
            <w:pPr>
              <w:pStyle w:val="ECDSMarginHead"/>
              <w:rPr>
                <w:sz w:val="28"/>
                <w:szCs w:val="28"/>
              </w:rPr>
            </w:pPr>
            <w:r w:rsidRPr="005D4222">
              <w:rPr>
                <w:lang w:eastAsia="zh-CN"/>
              </w:rPr>
              <w:t>Definitions</w:t>
            </w:r>
          </w:p>
        </w:tc>
      </w:tr>
      <w:tr w:rsidR="006457D8" w:rsidRPr="005D4222" w14:paraId="0ECF260E" w14:textId="77777777" w:rsidTr="005654E4">
        <w:tc>
          <w:tcPr>
            <w:tcW w:w="2034" w:type="dxa"/>
            <w:tcBorders>
              <w:top w:val="single" w:sz="2" w:space="0" w:color="auto"/>
              <w:left w:val="single" w:sz="2" w:space="0" w:color="auto"/>
              <w:bottom w:val="nil"/>
              <w:right w:val="single" w:sz="2" w:space="0" w:color="auto"/>
            </w:tcBorders>
          </w:tcPr>
          <w:p w14:paraId="6FE5331A" w14:textId="77777777" w:rsidR="006457D8" w:rsidRPr="005D4222" w:rsidRDefault="006457D8" w:rsidP="005654E4">
            <w:pPr>
              <w:pStyle w:val="ECDSSubhead"/>
              <w:rPr>
                <w:rFonts w:cs="Arial"/>
                <w:lang w:eastAsia="zh-CN"/>
              </w:rPr>
            </w:pPr>
            <w:r w:rsidRPr="005D4222">
              <w:t>BI-RADS assessment</w:t>
            </w:r>
          </w:p>
        </w:tc>
        <w:tc>
          <w:tcPr>
            <w:tcW w:w="7680" w:type="dxa"/>
            <w:gridSpan w:val="4"/>
            <w:tcBorders>
              <w:top w:val="single" w:sz="4" w:space="0" w:color="auto"/>
              <w:left w:val="single" w:sz="4" w:space="0" w:color="auto"/>
              <w:bottom w:val="nil"/>
              <w:right w:val="single" w:sz="4" w:space="0" w:color="auto"/>
            </w:tcBorders>
          </w:tcPr>
          <w:p w14:paraId="46E65EC9" w14:textId="77777777" w:rsidR="006457D8" w:rsidRPr="005D4222" w:rsidRDefault="006457D8" w:rsidP="00A53E8C">
            <w:pPr>
              <w:pStyle w:val="ECDSBody"/>
              <w:spacing w:after="0"/>
              <w:rPr>
                <w:lang w:eastAsia="zh-CN"/>
              </w:rPr>
            </w:pPr>
            <w:r w:rsidRPr="005D4222">
              <w:t>Clinically documented BI-RADS score. BI-RADS is a standardized classification system proposed by the American College of Radiology, used for imaging of mammography, ultrasound and MRI of the breast.</w:t>
            </w:r>
          </w:p>
        </w:tc>
      </w:tr>
      <w:tr w:rsidR="006457D8" w:rsidRPr="005D4222" w14:paraId="6C46C95C" w14:textId="77777777" w:rsidTr="005654E4">
        <w:tc>
          <w:tcPr>
            <w:tcW w:w="2034" w:type="dxa"/>
            <w:tcBorders>
              <w:top w:val="nil"/>
              <w:left w:val="single" w:sz="2" w:space="0" w:color="auto"/>
              <w:bottom w:val="nil"/>
              <w:right w:val="single" w:sz="2" w:space="0" w:color="auto"/>
            </w:tcBorders>
          </w:tcPr>
          <w:p w14:paraId="3BF3A32E" w14:textId="77777777" w:rsidR="006457D8" w:rsidRPr="005D4222" w:rsidRDefault="006457D8" w:rsidP="005654E4">
            <w:pPr>
              <w:pStyle w:val="ECDSSubhead"/>
            </w:pPr>
            <w:r w:rsidRPr="005D4222">
              <w:t>Episode date</w:t>
            </w:r>
          </w:p>
        </w:tc>
        <w:tc>
          <w:tcPr>
            <w:tcW w:w="7680" w:type="dxa"/>
            <w:gridSpan w:val="4"/>
            <w:tcBorders>
              <w:top w:val="nil"/>
              <w:left w:val="single" w:sz="4" w:space="0" w:color="auto"/>
              <w:bottom w:val="nil"/>
              <w:right w:val="single" w:sz="4" w:space="0" w:color="auto"/>
            </w:tcBorders>
          </w:tcPr>
          <w:p w14:paraId="0CC7E91E" w14:textId="77777777" w:rsidR="006457D8" w:rsidRPr="005D4222" w:rsidRDefault="006457D8" w:rsidP="00A53E8C">
            <w:pPr>
              <w:pStyle w:val="ECDSBody"/>
              <w:spacing w:after="0"/>
            </w:pPr>
            <w:r w:rsidRPr="005D4222">
              <w:t>The date of service for an eligible encounter during the intake period with a mammogram procedure.</w:t>
            </w:r>
          </w:p>
        </w:tc>
      </w:tr>
      <w:tr w:rsidR="006457D8" w:rsidRPr="005D4222" w14:paraId="6736BA80" w14:textId="77777777" w:rsidTr="005654E4">
        <w:tc>
          <w:tcPr>
            <w:tcW w:w="2034" w:type="dxa"/>
            <w:tcBorders>
              <w:top w:val="nil"/>
              <w:left w:val="single" w:sz="2" w:space="0" w:color="auto"/>
              <w:bottom w:val="nil"/>
              <w:right w:val="single" w:sz="2" w:space="0" w:color="auto"/>
            </w:tcBorders>
          </w:tcPr>
          <w:p w14:paraId="72A7C7BA" w14:textId="77777777" w:rsidR="006457D8" w:rsidRPr="005D4222" w:rsidRDefault="006457D8" w:rsidP="005654E4">
            <w:pPr>
              <w:pStyle w:val="ECDSSubhead"/>
              <w:rPr>
                <w:rFonts w:cs="Arial"/>
                <w:lang w:eastAsia="zh-CN"/>
              </w:rPr>
            </w:pPr>
            <w:r w:rsidRPr="005D4222">
              <w:rPr>
                <w:rFonts w:cs="Arial"/>
                <w:lang w:eastAsia="zh-CN"/>
              </w:rPr>
              <w:t>Intake period</w:t>
            </w:r>
          </w:p>
        </w:tc>
        <w:tc>
          <w:tcPr>
            <w:tcW w:w="7680" w:type="dxa"/>
            <w:gridSpan w:val="4"/>
            <w:tcBorders>
              <w:top w:val="nil"/>
              <w:left w:val="single" w:sz="4" w:space="0" w:color="auto"/>
              <w:bottom w:val="nil"/>
              <w:right w:val="single" w:sz="4" w:space="0" w:color="auto"/>
            </w:tcBorders>
          </w:tcPr>
          <w:p w14:paraId="29A62DC5" w14:textId="77777777" w:rsidR="006457D8" w:rsidRPr="005D4222" w:rsidRDefault="006457D8" w:rsidP="005654E4">
            <w:pPr>
              <w:pStyle w:val="ECDSBody"/>
              <w:rPr>
                <w:color w:val="4472C4" w:themeColor="accent1"/>
                <w:lang w:eastAsia="zh-CN"/>
              </w:rPr>
            </w:pPr>
            <w:r w:rsidRPr="005D4222">
              <w:rPr>
                <w:lang w:eastAsia="zh-CN"/>
              </w:rPr>
              <w:t>December 18 of the prior measurement period to December 17 of the measurement period. The intake period is used to capture the episode date.</w:t>
            </w:r>
          </w:p>
        </w:tc>
      </w:tr>
      <w:tr w:rsidR="006457D8" w:rsidRPr="005D4222" w14:paraId="615DA02B" w14:textId="77777777" w:rsidTr="005654E4">
        <w:trPr>
          <w:trHeight w:val="503"/>
        </w:trPr>
        <w:tc>
          <w:tcPr>
            <w:tcW w:w="2034" w:type="dxa"/>
            <w:tcBorders>
              <w:top w:val="single" w:sz="2" w:space="0" w:color="auto"/>
              <w:left w:val="single" w:sz="2" w:space="0" w:color="auto"/>
              <w:bottom w:val="single" w:sz="4" w:space="0" w:color="auto"/>
              <w:right w:val="single" w:sz="2" w:space="0" w:color="auto"/>
            </w:tcBorders>
            <w:shd w:val="clear" w:color="auto" w:fill="BFBFBF" w:themeFill="background1" w:themeFillShade="BF"/>
            <w:hideMark/>
          </w:tcPr>
          <w:p w14:paraId="399DBBD5" w14:textId="77777777" w:rsidR="006457D8" w:rsidRPr="005D4222" w:rsidRDefault="006457D8" w:rsidP="00A53E8C">
            <w:pPr>
              <w:pStyle w:val="ECDSMarginHead"/>
              <w:rPr>
                <w:lang w:eastAsia="zh-CN"/>
              </w:rPr>
            </w:pPr>
            <w:r w:rsidRPr="005D4222">
              <w:rPr>
                <w:lang w:eastAsia="zh-CN"/>
              </w:rPr>
              <w:t>Initial population</w:t>
            </w:r>
          </w:p>
        </w:tc>
        <w:tc>
          <w:tcPr>
            <w:tcW w:w="7680" w:type="dxa"/>
            <w:gridSpan w:val="4"/>
            <w:tcBorders>
              <w:top w:val="single" w:sz="4" w:space="0" w:color="auto"/>
              <w:left w:val="single" w:sz="4" w:space="0" w:color="auto"/>
              <w:bottom w:val="single" w:sz="4" w:space="0" w:color="auto"/>
              <w:right w:val="single" w:sz="4" w:space="0" w:color="auto"/>
            </w:tcBorders>
            <w:hideMark/>
          </w:tcPr>
          <w:p w14:paraId="733BB377" w14:textId="77777777" w:rsidR="006457D8" w:rsidRPr="005D4222" w:rsidRDefault="006457D8" w:rsidP="00A53E8C">
            <w:pPr>
              <w:pStyle w:val="ECDSBody"/>
              <w:rPr>
                <w:lang w:eastAsia="zh-CN"/>
              </w:rPr>
            </w:pPr>
            <w:r w:rsidRPr="005D4222">
              <w:rPr>
                <w:i/>
                <w:iCs/>
                <w:lang w:eastAsia="zh-CN"/>
              </w:rPr>
              <w:t>Measure item count:</w:t>
            </w:r>
            <w:r w:rsidRPr="005D4222">
              <w:rPr>
                <w:lang w:eastAsia="zh-CN"/>
              </w:rPr>
              <w:t xml:space="preserve"> Episode.</w:t>
            </w:r>
          </w:p>
          <w:p w14:paraId="5460DB4F" w14:textId="77777777" w:rsidR="006457D8" w:rsidRPr="005D4222" w:rsidRDefault="006457D8" w:rsidP="00A53E8C">
            <w:pPr>
              <w:pStyle w:val="ECDSBody"/>
              <w:rPr>
                <w:lang w:eastAsia="zh-CN"/>
              </w:rPr>
            </w:pPr>
            <w:r w:rsidRPr="005D4222">
              <w:rPr>
                <w:i/>
                <w:iCs/>
                <w:lang w:eastAsia="zh-CN"/>
              </w:rPr>
              <w:t>Attribution basis:</w:t>
            </w:r>
            <w:r w:rsidRPr="005D4222">
              <w:rPr>
                <w:lang w:eastAsia="zh-CN"/>
              </w:rPr>
              <w:t xml:space="preserve"> Enrollment.</w:t>
            </w:r>
          </w:p>
          <w:p w14:paraId="22CA41F0" w14:textId="77777777" w:rsidR="006457D8" w:rsidRPr="005D4222" w:rsidRDefault="006457D8" w:rsidP="006457D8">
            <w:pPr>
              <w:pStyle w:val="Bullet"/>
              <w:numPr>
                <w:ilvl w:val="0"/>
                <w:numId w:val="4"/>
              </w:numPr>
              <w:tabs>
                <w:tab w:val="left" w:pos="360"/>
                <w:tab w:val="left" w:pos="576"/>
              </w:tabs>
              <w:ind w:left="576" w:hanging="216"/>
              <w:rPr>
                <w:lang w:eastAsia="zh-CN"/>
              </w:rPr>
            </w:pPr>
            <w:r w:rsidRPr="005D4222">
              <w:rPr>
                <w:i/>
                <w:iCs/>
                <w:lang w:eastAsia="zh-CN"/>
              </w:rPr>
              <w:t>Benefits:</w:t>
            </w:r>
            <w:r w:rsidRPr="005D4222">
              <w:rPr>
                <w:lang w:eastAsia="zh-CN"/>
              </w:rPr>
              <w:t xml:space="preserve"> Medical.</w:t>
            </w:r>
          </w:p>
          <w:p w14:paraId="44505EAB" w14:textId="77777777" w:rsidR="006457D8" w:rsidRPr="005D4222" w:rsidRDefault="006457D8" w:rsidP="006457D8">
            <w:pPr>
              <w:pStyle w:val="Bullet"/>
              <w:numPr>
                <w:ilvl w:val="0"/>
                <w:numId w:val="4"/>
              </w:numPr>
              <w:tabs>
                <w:tab w:val="left" w:pos="360"/>
                <w:tab w:val="left" w:pos="576"/>
              </w:tabs>
              <w:ind w:left="576" w:hanging="216"/>
              <w:rPr>
                <w:lang w:eastAsia="zh-CN"/>
              </w:rPr>
            </w:pPr>
            <w:r w:rsidRPr="005D4222">
              <w:rPr>
                <w:i/>
                <w:iCs/>
                <w:lang w:eastAsia="zh-CN"/>
              </w:rPr>
              <w:t>Continuous enrollment:</w:t>
            </w:r>
            <w:r w:rsidRPr="005D4222">
              <w:rPr>
                <w:lang w:eastAsia="zh-CN"/>
              </w:rPr>
              <w:t xml:space="preserve"> Date of episode through 14 days after episode.</w:t>
            </w:r>
          </w:p>
          <w:p w14:paraId="460C4FC9" w14:textId="6771CB75" w:rsidR="005654E4" w:rsidRPr="005D4222" w:rsidRDefault="006457D8" w:rsidP="005654E4">
            <w:pPr>
              <w:pStyle w:val="Bullet"/>
              <w:numPr>
                <w:ilvl w:val="0"/>
                <w:numId w:val="4"/>
              </w:numPr>
              <w:tabs>
                <w:tab w:val="left" w:pos="360"/>
                <w:tab w:val="left" w:pos="576"/>
              </w:tabs>
              <w:spacing w:after="80"/>
              <w:ind w:left="576" w:hanging="216"/>
              <w:rPr>
                <w:color w:val="000000" w:themeColor="text1"/>
                <w:szCs w:val="21"/>
                <w:lang w:eastAsia="zh-CN"/>
              </w:rPr>
            </w:pPr>
            <w:r w:rsidRPr="005D4222">
              <w:rPr>
                <w:i/>
                <w:iCs/>
                <w:lang w:eastAsia="zh-CN"/>
              </w:rPr>
              <w:t xml:space="preserve">Allowable gap: </w:t>
            </w:r>
            <w:r w:rsidRPr="005D4222">
              <w:rPr>
                <w:lang w:eastAsia="zh-CN"/>
              </w:rPr>
              <w:t>None.</w:t>
            </w:r>
          </w:p>
        </w:tc>
      </w:tr>
      <w:tr w:rsidR="006457D8" w:rsidRPr="005D4222" w14:paraId="5F189744" w14:textId="77777777" w:rsidTr="005654E4">
        <w:tc>
          <w:tcPr>
            <w:tcW w:w="2034" w:type="dxa"/>
            <w:tcBorders>
              <w:top w:val="single" w:sz="4" w:space="0" w:color="auto"/>
              <w:left w:val="single" w:sz="2" w:space="0" w:color="auto"/>
              <w:bottom w:val="single" w:sz="2" w:space="0" w:color="auto"/>
              <w:right w:val="single" w:sz="2" w:space="0" w:color="auto"/>
            </w:tcBorders>
            <w:shd w:val="clear" w:color="auto" w:fill="BFBFBF" w:themeFill="background1" w:themeFillShade="BF"/>
          </w:tcPr>
          <w:p w14:paraId="5FD67CC4" w14:textId="77777777" w:rsidR="006457D8" w:rsidRPr="005D4222" w:rsidRDefault="006457D8" w:rsidP="00A53E8C">
            <w:pPr>
              <w:pStyle w:val="ECDSMarginHead"/>
              <w:rPr>
                <w:lang w:eastAsia="zh-CN"/>
              </w:rPr>
            </w:pPr>
          </w:p>
        </w:tc>
        <w:tc>
          <w:tcPr>
            <w:tcW w:w="7680" w:type="dxa"/>
            <w:gridSpan w:val="4"/>
            <w:tcBorders>
              <w:top w:val="single" w:sz="4" w:space="0" w:color="auto"/>
              <w:left w:val="single" w:sz="4" w:space="0" w:color="auto"/>
              <w:bottom w:val="single" w:sz="4" w:space="0" w:color="auto"/>
              <w:right w:val="single" w:sz="4" w:space="0" w:color="auto"/>
            </w:tcBorders>
          </w:tcPr>
          <w:p w14:paraId="64C1A7E1" w14:textId="77777777" w:rsidR="005654E4" w:rsidRPr="005D4222" w:rsidRDefault="005654E4" w:rsidP="005654E4">
            <w:pPr>
              <w:pStyle w:val="ECDSBody"/>
              <w:rPr>
                <w:lang w:eastAsia="zh-CN"/>
              </w:rPr>
            </w:pPr>
            <w:r w:rsidRPr="005D4222">
              <w:rPr>
                <w:i/>
                <w:iCs/>
                <w:lang w:eastAsia="zh-CN"/>
              </w:rPr>
              <w:t xml:space="preserve">Ages: </w:t>
            </w:r>
            <w:r w:rsidRPr="005D4222">
              <w:rPr>
                <w:lang w:eastAsia="zh-CN"/>
              </w:rPr>
              <w:t>40–74 years of age as of the episode date.</w:t>
            </w:r>
          </w:p>
          <w:p w14:paraId="140AE76F" w14:textId="77777777" w:rsidR="005654E4" w:rsidRPr="005D4222" w:rsidRDefault="006457D8" w:rsidP="00A53E8C">
            <w:pPr>
              <w:pStyle w:val="ECDSBody"/>
              <w:rPr>
                <w:i/>
                <w:iCs/>
                <w:lang w:eastAsia="zh-CN"/>
              </w:rPr>
            </w:pPr>
            <w:r w:rsidRPr="005D4222">
              <w:rPr>
                <w:i/>
                <w:iCs/>
                <w:lang w:eastAsia="zh-CN"/>
              </w:rPr>
              <w:t xml:space="preserve">Event: </w:t>
            </w:r>
            <w:r w:rsidRPr="005D4222">
              <w:rPr>
                <w:b/>
                <w:bCs w:val="0"/>
                <w:lang w:eastAsia="zh-CN"/>
              </w:rPr>
              <w:t>Mammogram</w:t>
            </w:r>
            <w:r w:rsidRPr="005D4222">
              <w:rPr>
                <w:b/>
                <w:i/>
                <w:lang w:eastAsia="zh-CN"/>
              </w:rPr>
              <w:t>.</w:t>
            </w:r>
            <w:r w:rsidRPr="005D4222">
              <w:rPr>
                <w:i/>
                <w:iCs/>
                <w:lang w:eastAsia="zh-CN"/>
              </w:rPr>
              <w:t xml:space="preserve">  </w:t>
            </w:r>
          </w:p>
          <w:p w14:paraId="427D61AA" w14:textId="7F26F17B" w:rsidR="006457D8" w:rsidRPr="005D4222" w:rsidRDefault="006457D8" w:rsidP="00A53E8C">
            <w:pPr>
              <w:pStyle w:val="ECDSBody"/>
              <w:rPr>
                <w:rFonts w:eastAsia="Arial"/>
              </w:rPr>
            </w:pPr>
            <w:r w:rsidRPr="005D4222">
              <w:t>Episodes of mammograms (</w:t>
            </w:r>
            <w:r w:rsidRPr="005D4222">
              <w:rPr>
                <w:u w:val="single"/>
              </w:rPr>
              <w:t>Mammography Value Set</w:t>
            </w:r>
            <w:r w:rsidRPr="005D4222">
              <w:t>) during the intake period.</w:t>
            </w:r>
          </w:p>
        </w:tc>
      </w:tr>
      <w:tr w:rsidR="006457D8" w:rsidRPr="005D4222" w14:paraId="2B1ACA73" w14:textId="77777777" w:rsidTr="005654E4">
        <w:tc>
          <w:tcPr>
            <w:tcW w:w="2034" w:type="dxa"/>
            <w:tcBorders>
              <w:top w:val="single" w:sz="2" w:space="0" w:color="auto"/>
              <w:left w:val="single" w:sz="2" w:space="0" w:color="auto"/>
              <w:bottom w:val="single" w:sz="4" w:space="0" w:color="auto"/>
              <w:right w:val="single" w:sz="2" w:space="0" w:color="auto"/>
            </w:tcBorders>
            <w:shd w:val="clear" w:color="auto" w:fill="BFBFBF" w:themeFill="background1" w:themeFillShade="BF"/>
            <w:hideMark/>
          </w:tcPr>
          <w:p w14:paraId="4D6FE3BE" w14:textId="77777777" w:rsidR="006457D8" w:rsidRPr="005D4222" w:rsidRDefault="006457D8" w:rsidP="00A53E8C">
            <w:pPr>
              <w:pStyle w:val="ECDSMarginHead"/>
              <w:rPr>
                <w:lang w:eastAsia="zh-CN"/>
              </w:rPr>
            </w:pPr>
            <w:r w:rsidRPr="005D4222">
              <w:rPr>
                <w:lang w:eastAsia="zh-CN"/>
              </w:rPr>
              <w:t xml:space="preserve">Denominator exclusions </w:t>
            </w:r>
          </w:p>
        </w:tc>
        <w:tc>
          <w:tcPr>
            <w:tcW w:w="7680" w:type="dxa"/>
            <w:gridSpan w:val="4"/>
            <w:tcBorders>
              <w:top w:val="single" w:sz="4" w:space="0" w:color="auto"/>
              <w:left w:val="single" w:sz="4" w:space="0" w:color="auto"/>
              <w:bottom w:val="single" w:sz="4" w:space="0" w:color="auto"/>
              <w:right w:val="single" w:sz="4" w:space="0" w:color="auto"/>
            </w:tcBorders>
            <w:hideMark/>
          </w:tcPr>
          <w:p w14:paraId="5880DA45" w14:textId="77777777" w:rsidR="006457D8" w:rsidRPr="005D4222" w:rsidRDefault="006457D8" w:rsidP="00A53E8C">
            <w:pPr>
              <w:pStyle w:val="ECDSBody"/>
              <w:rPr>
                <w:rFonts w:cs="Segoe UI"/>
                <w:szCs w:val="18"/>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p w14:paraId="624278A2" w14:textId="77777777" w:rsidR="006457D8" w:rsidRPr="005D4222" w:rsidRDefault="006457D8" w:rsidP="00A53E8C">
            <w:pPr>
              <w:pStyle w:val="ECDSBody"/>
              <w:rPr>
                <w:rFonts w:eastAsia="Arial,Arial,Arial,Arial,Arial,A"/>
                <w:color w:val="000000" w:themeColor="text1"/>
                <w:szCs w:val="19"/>
                <w:lang w:eastAsia="zh-CN"/>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6457D8" w:rsidRPr="005D4222" w14:paraId="21865F1D" w14:textId="77777777" w:rsidTr="005654E4">
        <w:tc>
          <w:tcPr>
            <w:tcW w:w="2034" w:type="dxa"/>
            <w:tcBorders>
              <w:top w:val="single" w:sz="4" w:space="0" w:color="auto"/>
              <w:left w:val="single" w:sz="2" w:space="0" w:color="auto"/>
              <w:bottom w:val="single" w:sz="4" w:space="0" w:color="auto"/>
              <w:right w:val="single" w:sz="2" w:space="0" w:color="auto"/>
            </w:tcBorders>
            <w:shd w:val="clear" w:color="auto" w:fill="BFBFBF" w:themeFill="background1" w:themeFillShade="BF"/>
            <w:hideMark/>
          </w:tcPr>
          <w:p w14:paraId="3DD57153" w14:textId="77777777" w:rsidR="006457D8" w:rsidRPr="005D4222" w:rsidRDefault="006457D8" w:rsidP="00A53E8C">
            <w:pPr>
              <w:pStyle w:val="ECDSMarginHead"/>
              <w:rPr>
                <w:lang w:eastAsia="zh-CN"/>
              </w:rPr>
            </w:pPr>
            <w:r w:rsidRPr="005D4222">
              <w:rPr>
                <w:lang w:eastAsia="zh-CN"/>
              </w:rPr>
              <w:t>Denominator</w:t>
            </w:r>
          </w:p>
        </w:tc>
        <w:tc>
          <w:tcPr>
            <w:tcW w:w="7680" w:type="dxa"/>
            <w:gridSpan w:val="4"/>
            <w:tcBorders>
              <w:top w:val="single" w:sz="4" w:space="0" w:color="auto"/>
              <w:left w:val="single" w:sz="4" w:space="0" w:color="auto"/>
              <w:bottom w:val="single" w:sz="4" w:space="0" w:color="auto"/>
              <w:right w:val="single" w:sz="4" w:space="0" w:color="auto"/>
            </w:tcBorders>
            <w:hideMark/>
          </w:tcPr>
          <w:p w14:paraId="406944EF" w14:textId="77777777" w:rsidR="006457D8" w:rsidRPr="005D4222" w:rsidRDefault="006457D8" w:rsidP="005654E4">
            <w:pPr>
              <w:pStyle w:val="ECDSBody"/>
              <w:rPr>
                <w:b/>
                <w:lang w:eastAsia="zh-CN"/>
              </w:rPr>
            </w:pPr>
            <w:r w:rsidRPr="005D4222">
              <w:rPr>
                <w:rFonts w:eastAsia="Arial,Arial,Arial,Arial,Arial,A"/>
              </w:rPr>
              <w:t>The initial population minus denominator exclusions.</w:t>
            </w:r>
          </w:p>
        </w:tc>
      </w:tr>
      <w:tr w:rsidR="006457D8" w:rsidRPr="005D4222" w14:paraId="09A9C624" w14:textId="77777777" w:rsidTr="005654E4">
        <w:tc>
          <w:tcPr>
            <w:tcW w:w="2034" w:type="dxa"/>
            <w:tcBorders>
              <w:top w:val="single" w:sz="4" w:space="0" w:color="auto"/>
              <w:left w:val="single" w:sz="2" w:space="0" w:color="auto"/>
              <w:bottom w:val="single" w:sz="4" w:space="0" w:color="auto"/>
              <w:right w:val="single" w:sz="2" w:space="0" w:color="auto"/>
            </w:tcBorders>
            <w:shd w:val="clear" w:color="auto" w:fill="BFBFBF" w:themeFill="background1" w:themeFillShade="BF"/>
            <w:hideMark/>
          </w:tcPr>
          <w:p w14:paraId="3AFBB0A8" w14:textId="77777777" w:rsidR="006457D8" w:rsidRPr="005D4222" w:rsidRDefault="006457D8" w:rsidP="00A53E8C">
            <w:pPr>
              <w:pStyle w:val="ECDSMarginHead"/>
              <w:rPr>
                <w:lang w:eastAsia="zh-CN"/>
              </w:rPr>
            </w:pPr>
            <w:r w:rsidRPr="005D4222">
              <w:rPr>
                <w:lang w:eastAsia="zh-CN"/>
              </w:rPr>
              <w:t>Numerator</w:t>
            </w:r>
          </w:p>
        </w:tc>
        <w:tc>
          <w:tcPr>
            <w:tcW w:w="7680" w:type="dxa"/>
            <w:gridSpan w:val="4"/>
            <w:tcBorders>
              <w:top w:val="single" w:sz="4" w:space="0" w:color="auto"/>
              <w:left w:val="single" w:sz="4" w:space="0" w:color="auto"/>
              <w:bottom w:val="single" w:sz="4" w:space="0" w:color="auto"/>
              <w:right w:val="single" w:sz="4" w:space="0" w:color="auto"/>
            </w:tcBorders>
            <w:hideMark/>
          </w:tcPr>
          <w:p w14:paraId="64B4DDB1" w14:textId="77777777" w:rsidR="006457D8" w:rsidRPr="005D4222" w:rsidRDefault="006457D8" w:rsidP="00A53E8C">
            <w:pPr>
              <w:pStyle w:val="ECDSBody"/>
              <w:rPr>
                <w:rFonts w:eastAsia="Arial,Arial,Arial,Arial,Arial,A"/>
                <w:color w:val="000000" w:themeColor="text1"/>
                <w:highlight w:val="yellow"/>
                <w:lang w:eastAsia="zh-CN"/>
              </w:rPr>
            </w:pPr>
            <w:r w:rsidRPr="005D4222">
              <w:rPr>
                <w:b/>
                <w:bCs w:val="0"/>
                <w:shd w:val="clear" w:color="auto" w:fill="FFFFFF"/>
              </w:rPr>
              <w:t>BI-RADS score.</w:t>
            </w:r>
            <w:r w:rsidRPr="005D4222">
              <w:rPr>
                <w:b/>
                <w:bCs w:val="0"/>
                <w:shd w:val="clear" w:color="auto" w:fill="FFFFFF"/>
              </w:rPr>
              <w:br/>
            </w:r>
            <w:r w:rsidRPr="005D4222">
              <w:rPr>
                <w:rFonts w:eastAsia="Arial,Arial,Arial,Arial,Arial,A"/>
              </w:rPr>
              <w:t>Episodes of mammograms that</w:t>
            </w:r>
            <w:r w:rsidRPr="005D4222">
              <w:rPr>
                <w:shd w:val="clear" w:color="auto" w:fill="FFFFFF"/>
              </w:rPr>
              <w:t xml:space="preserve"> receive a BI-RADS score (</w:t>
            </w:r>
            <w:r w:rsidRPr="005D4222">
              <w:rPr>
                <w:u w:val="single"/>
                <w:shd w:val="clear" w:color="auto" w:fill="FFFFFF"/>
              </w:rPr>
              <w:t>BIRADS Assessment Value Set</w:t>
            </w:r>
            <w:r w:rsidRPr="005D4222">
              <w:rPr>
                <w:shd w:val="clear" w:color="auto" w:fill="FFFFFF"/>
              </w:rPr>
              <w:t xml:space="preserve">) on or </w:t>
            </w:r>
            <w:r w:rsidRPr="005D4222" w:rsidDel="31E10C88">
              <w:rPr>
                <w:color w:val="000000" w:themeColor="text1"/>
              </w:rPr>
              <w:t xml:space="preserve">within </w:t>
            </w:r>
            <w:r w:rsidRPr="005D4222">
              <w:rPr>
                <w:shd w:val="clear" w:color="auto" w:fill="FFFFFF"/>
              </w:rPr>
              <w:t xml:space="preserve">14 days </w:t>
            </w:r>
            <w:r w:rsidRPr="005D4222">
              <w:rPr>
                <w:color w:val="000000" w:themeColor="text1"/>
              </w:rPr>
              <w:t>after the</w:t>
            </w:r>
            <w:r w:rsidRPr="005D4222">
              <w:rPr>
                <w:shd w:val="clear" w:color="auto" w:fill="FFFFFF"/>
              </w:rPr>
              <w:t xml:space="preserve"> episode date (15 total days).</w:t>
            </w:r>
            <w:r w:rsidRPr="005D4222">
              <w:t xml:space="preserve"> </w:t>
            </w:r>
          </w:p>
        </w:tc>
      </w:tr>
      <w:tr w:rsidR="006457D8" w:rsidRPr="005D4222" w14:paraId="628A74E3" w14:textId="77777777" w:rsidTr="005654E4">
        <w:tc>
          <w:tcPr>
            <w:tcW w:w="2034" w:type="dxa"/>
            <w:tcBorders>
              <w:top w:val="single" w:sz="4" w:space="0" w:color="auto"/>
              <w:left w:val="single" w:sz="2" w:space="0" w:color="auto"/>
              <w:bottom w:val="single" w:sz="4" w:space="0" w:color="auto"/>
              <w:right w:val="single" w:sz="2" w:space="0" w:color="auto"/>
            </w:tcBorders>
            <w:shd w:val="clear" w:color="auto" w:fill="BFBFBF" w:themeFill="background1" w:themeFillShade="BF"/>
            <w:hideMark/>
          </w:tcPr>
          <w:p w14:paraId="512309B3" w14:textId="77777777" w:rsidR="006457D8" w:rsidRPr="005D4222" w:rsidRDefault="006457D8" w:rsidP="00A53E8C">
            <w:pPr>
              <w:pStyle w:val="ECDSMarginHead"/>
              <w:rPr>
                <w:lang w:eastAsia="zh-CN"/>
              </w:rPr>
            </w:pPr>
            <w:r w:rsidRPr="005D4222">
              <w:rPr>
                <w:lang w:eastAsia="zh-CN"/>
              </w:rPr>
              <w:t>Summary of changes</w:t>
            </w:r>
          </w:p>
        </w:tc>
        <w:tc>
          <w:tcPr>
            <w:tcW w:w="7680" w:type="dxa"/>
            <w:gridSpan w:val="4"/>
            <w:tcBorders>
              <w:top w:val="single" w:sz="4" w:space="0" w:color="auto"/>
              <w:left w:val="single" w:sz="4" w:space="0" w:color="auto"/>
              <w:bottom w:val="single" w:sz="4" w:space="0" w:color="auto"/>
              <w:right w:val="single" w:sz="4" w:space="0" w:color="auto"/>
            </w:tcBorders>
          </w:tcPr>
          <w:p w14:paraId="483801D3" w14:textId="77777777" w:rsidR="006457D8" w:rsidRPr="005D4222" w:rsidRDefault="006457D8" w:rsidP="005D6173">
            <w:pPr>
              <w:pStyle w:val="ProcessBullet"/>
              <w:numPr>
                <w:ilvl w:val="0"/>
                <w:numId w:val="98"/>
              </w:numPr>
              <w:spacing w:before="120"/>
              <w:ind w:left="216" w:hanging="216"/>
              <w:rPr>
                <w:rFonts w:cs="Arial"/>
                <w:lang w:eastAsia="zh-CN"/>
              </w:rPr>
            </w:pPr>
            <w:r w:rsidRPr="005D4222">
              <w:t xml:space="preserve">Removed the definitions of “participation” and “participation period.” </w:t>
            </w:r>
          </w:p>
          <w:p w14:paraId="27AAE7C7" w14:textId="77777777" w:rsidR="006457D8" w:rsidRPr="005D4222" w:rsidRDefault="006457D8" w:rsidP="005D6173">
            <w:pPr>
              <w:pStyle w:val="ProcessBullet"/>
              <w:numPr>
                <w:ilvl w:val="0"/>
                <w:numId w:val="98"/>
              </w:numPr>
              <w:spacing w:after="80"/>
              <w:ind w:left="216" w:hanging="216"/>
              <w:rPr>
                <w:rFonts w:cs="Arial"/>
                <w:lang w:eastAsia="zh-CN"/>
              </w:rPr>
            </w:pPr>
            <w:r w:rsidRPr="005D4222">
              <w:rPr>
                <w:rFonts w:cs="Arial"/>
                <w:lang w:eastAsia="zh-CN"/>
              </w:rPr>
              <w:t xml:space="preserve">Removed the SSoR data elements from the data elements tables. </w:t>
            </w:r>
          </w:p>
        </w:tc>
      </w:tr>
      <w:tr w:rsidR="006457D8" w:rsidRPr="005D4222" w14:paraId="3DAA8687" w14:textId="77777777" w:rsidTr="005654E4">
        <w:tc>
          <w:tcPr>
            <w:tcW w:w="2034" w:type="dxa"/>
            <w:tcBorders>
              <w:top w:val="single" w:sz="4" w:space="0" w:color="auto"/>
              <w:left w:val="single" w:sz="2" w:space="0" w:color="auto"/>
              <w:bottom w:val="single" w:sz="4" w:space="0" w:color="auto"/>
              <w:right w:val="single" w:sz="2" w:space="0" w:color="auto"/>
            </w:tcBorders>
            <w:shd w:val="clear" w:color="auto" w:fill="BFBFBF" w:themeFill="background1" w:themeFillShade="BF"/>
            <w:hideMark/>
          </w:tcPr>
          <w:p w14:paraId="74B3201F" w14:textId="77777777" w:rsidR="006457D8" w:rsidRPr="005D4222" w:rsidRDefault="006457D8" w:rsidP="00A53E8C">
            <w:pPr>
              <w:pStyle w:val="ECDSMarginHead"/>
              <w:rPr>
                <w:lang w:eastAsia="zh-CN"/>
              </w:rPr>
            </w:pPr>
            <w:r w:rsidRPr="005D4222">
              <w:rPr>
                <w:lang w:eastAsia="zh-CN"/>
              </w:rPr>
              <w:t>Data element tables</w:t>
            </w:r>
          </w:p>
        </w:tc>
        <w:tc>
          <w:tcPr>
            <w:tcW w:w="7680" w:type="dxa"/>
            <w:gridSpan w:val="4"/>
            <w:tcBorders>
              <w:top w:val="single" w:sz="4" w:space="0" w:color="auto"/>
              <w:left w:val="single" w:sz="4" w:space="0" w:color="auto"/>
              <w:bottom w:val="single" w:sz="4" w:space="0" w:color="auto"/>
              <w:right w:val="single" w:sz="4" w:space="0" w:color="auto"/>
            </w:tcBorders>
          </w:tcPr>
          <w:p w14:paraId="16E4488A" w14:textId="77777777" w:rsidR="006457D8" w:rsidRPr="005D4222" w:rsidRDefault="006457D8" w:rsidP="00A53E8C">
            <w:pPr>
              <w:pStyle w:val="Heading3"/>
              <w:spacing w:before="120"/>
              <w:rPr>
                <w:b w:val="0"/>
                <w:i w:val="0"/>
                <w:sz w:val="21"/>
              </w:rPr>
            </w:pPr>
            <w:r w:rsidRPr="005D4222">
              <w:rPr>
                <w:b w:val="0"/>
                <w:i w:val="0"/>
                <w:sz w:val="21"/>
              </w:rPr>
              <w:t>Organizations that submit HEDIS data to NCQA must provide the following data elements.  </w:t>
            </w:r>
          </w:p>
          <w:p w14:paraId="4EBF9299" w14:textId="77777777" w:rsidR="006457D8" w:rsidRPr="005D4222" w:rsidRDefault="006457D8" w:rsidP="00A53E8C">
            <w:pPr>
              <w:pStyle w:val="Heading3"/>
              <w:spacing w:before="120"/>
              <w:rPr>
                <w:rFonts w:eastAsia="Arial"/>
                <w:color w:val="000000" w:themeColor="text1"/>
              </w:rPr>
            </w:pPr>
            <w:r w:rsidRPr="005D4222">
              <w:br w:type="page"/>
            </w:r>
            <w:r w:rsidRPr="005D4222" w:rsidDel="00AA2787">
              <w:rPr>
                <w:rFonts w:eastAsia="Arial"/>
                <w:shd w:val="clear" w:color="auto" w:fill="FFFFFF"/>
              </w:rPr>
              <w:t>Table DBM-E-A-1/2/3: Data Elements for Documented Assessment After Mammogram</w:t>
            </w:r>
          </w:p>
          <w:tbl>
            <w:tblPr>
              <w:tblW w:w="5000" w:type="pct"/>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378"/>
              <w:gridCol w:w="2490"/>
              <w:gridCol w:w="1624"/>
            </w:tblGrid>
            <w:tr w:rsidR="006457D8" w:rsidRPr="005D4222" w14:paraId="37F65F56" w14:textId="77777777" w:rsidTr="00A53E8C">
              <w:trPr>
                <w:trHeight w:val="330"/>
              </w:trPr>
              <w:tc>
                <w:tcPr>
                  <w:tcW w:w="3323" w:type="dxa"/>
                  <w:tcBorders>
                    <w:top w:val="single" w:sz="6" w:space="0" w:color="auto"/>
                    <w:left w:val="single" w:sz="6" w:space="0" w:color="auto"/>
                    <w:bottom w:val="single" w:sz="4" w:space="0" w:color="auto"/>
                    <w:right w:val="single" w:sz="6" w:space="0" w:color="FFFFFF" w:themeColor="background1"/>
                  </w:tcBorders>
                  <w:shd w:val="clear" w:color="auto" w:fill="000000" w:themeFill="text1"/>
                  <w:tcMar>
                    <w:left w:w="60" w:type="dxa"/>
                    <w:right w:w="60" w:type="dxa"/>
                  </w:tcMar>
                  <w:vAlign w:val="bottom"/>
                </w:tcPr>
                <w:p w14:paraId="2667E7D4" w14:textId="77777777" w:rsidR="006457D8" w:rsidRPr="005D4222" w:rsidRDefault="006457D8" w:rsidP="00A53E8C">
                  <w:pPr>
                    <w:pStyle w:val="TableHead"/>
                    <w:rPr>
                      <w:rFonts w:eastAsia="Arial Narrow" w:cs="Arial Narrow"/>
                    </w:rPr>
                  </w:pPr>
                  <w:r w:rsidRPr="005D4222">
                    <w:t>Metric</w:t>
                  </w:r>
                </w:p>
              </w:tc>
              <w:tc>
                <w:tcPr>
                  <w:tcW w:w="2449" w:type="dxa"/>
                  <w:tcBorders>
                    <w:top w:val="single" w:sz="6" w:space="0" w:color="auto"/>
                    <w:left w:val="single" w:sz="6" w:space="0" w:color="FFFFFF" w:themeColor="background1"/>
                    <w:bottom w:val="single" w:sz="6" w:space="0" w:color="auto"/>
                    <w:right w:val="single" w:sz="6" w:space="0" w:color="FFFFFF" w:themeColor="background1"/>
                  </w:tcBorders>
                  <w:shd w:val="clear" w:color="auto" w:fill="000000" w:themeFill="text1"/>
                  <w:tcMar>
                    <w:left w:w="60" w:type="dxa"/>
                    <w:right w:w="60" w:type="dxa"/>
                  </w:tcMar>
                  <w:vAlign w:val="bottom"/>
                </w:tcPr>
                <w:p w14:paraId="7B35673C" w14:textId="77777777" w:rsidR="006457D8" w:rsidRPr="005D4222" w:rsidRDefault="006457D8" w:rsidP="00A53E8C">
                  <w:pPr>
                    <w:pStyle w:val="TableHead"/>
                    <w:rPr>
                      <w:rFonts w:eastAsia="Arial Narrow" w:cs="Arial Narrow"/>
                    </w:rPr>
                  </w:pPr>
                  <w:r w:rsidRPr="005D4222">
                    <w:t>Data Element</w:t>
                  </w:r>
                </w:p>
              </w:tc>
              <w:tc>
                <w:tcPr>
                  <w:tcW w:w="1597" w:type="dxa"/>
                  <w:tcBorders>
                    <w:top w:val="single" w:sz="6" w:space="0" w:color="auto"/>
                    <w:left w:val="single" w:sz="6" w:space="0" w:color="FFFFFF" w:themeColor="background1"/>
                    <w:bottom w:val="single" w:sz="6" w:space="0" w:color="auto"/>
                    <w:right w:val="single" w:sz="6" w:space="0" w:color="auto"/>
                  </w:tcBorders>
                  <w:shd w:val="clear" w:color="auto" w:fill="000000" w:themeFill="text1"/>
                  <w:tcMar>
                    <w:left w:w="60" w:type="dxa"/>
                    <w:right w:w="60" w:type="dxa"/>
                  </w:tcMar>
                  <w:vAlign w:val="bottom"/>
                </w:tcPr>
                <w:p w14:paraId="4AC663FB" w14:textId="77777777" w:rsidR="006457D8" w:rsidRPr="005D4222" w:rsidRDefault="006457D8" w:rsidP="00A53E8C">
                  <w:pPr>
                    <w:pStyle w:val="TableHead"/>
                    <w:rPr>
                      <w:rFonts w:eastAsia="Arial Narrow" w:cs="Arial Narrow"/>
                    </w:rPr>
                  </w:pPr>
                  <w:r w:rsidRPr="005D4222">
                    <w:t>Reporting Instructions</w:t>
                  </w:r>
                </w:p>
              </w:tc>
            </w:tr>
            <w:tr w:rsidR="006457D8" w:rsidRPr="005D4222" w14:paraId="3763BE5A" w14:textId="77777777" w:rsidTr="007B5FC3">
              <w:trPr>
                <w:trHeight w:val="330"/>
              </w:trPr>
              <w:tc>
                <w:tcPr>
                  <w:tcW w:w="3323" w:type="dxa"/>
                  <w:tcBorders>
                    <w:top w:val="single" w:sz="4" w:space="0" w:color="auto"/>
                    <w:left w:val="single" w:sz="4" w:space="0" w:color="auto"/>
                    <w:bottom w:val="single" w:sz="4" w:space="0" w:color="auto"/>
                    <w:right w:val="single" w:sz="4" w:space="0" w:color="auto"/>
                  </w:tcBorders>
                  <w:shd w:val="clear" w:color="auto" w:fill="FFFFFF" w:themeFill="background1"/>
                  <w:tcMar>
                    <w:left w:w="60" w:type="dxa"/>
                    <w:right w:w="60" w:type="dxa"/>
                  </w:tcMar>
                  <w:vAlign w:val="center"/>
                </w:tcPr>
                <w:p w14:paraId="01B44734" w14:textId="77777777" w:rsidR="006457D8" w:rsidRPr="005D4222" w:rsidRDefault="006457D8" w:rsidP="00A53E8C">
                  <w:pPr>
                    <w:pStyle w:val="TableText"/>
                    <w:rPr>
                      <w:rFonts w:eastAsia="Arial Narrow"/>
                    </w:rPr>
                  </w:pPr>
                  <w:r w:rsidRPr="005D4222">
                    <w:t>DocumentedMammogramAssessment</w:t>
                  </w:r>
                </w:p>
              </w:tc>
              <w:tc>
                <w:tcPr>
                  <w:tcW w:w="2449" w:type="dxa"/>
                  <w:tcBorders>
                    <w:top w:val="single" w:sz="6" w:space="0" w:color="auto"/>
                    <w:left w:val="single" w:sz="4" w:space="0" w:color="auto"/>
                    <w:bottom w:val="single" w:sz="4" w:space="0" w:color="auto"/>
                    <w:right w:val="single" w:sz="6" w:space="0" w:color="auto"/>
                  </w:tcBorders>
                  <w:tcMar>
                    <w:left w:w="60" w:type="dxa"/>
                    <w:right w:w="60" w:type="dxa"/>
                  </w:tcMar>
                  <w:vAlign w:val="center"/>
                </w:tcPr>
                <w:p w14:paraId="7C1C4B03" w14:textId="77777777" w:rsidR="006457D8" w:rsidRPr="005D4222" w:rsidRDefault="006457D8" w:rsidP="00A53E8C">
                  <w:pPr>
                    <w:pStyle w:val="TableText"/>
                    <w:rPr>
                      <w:rFonts w:eastAsia="Arial Narrow"/>
                    </w:rPr>
                  </w:pPr>
                  <w:r w:rsidRPr="005D4222">
                    <w:t>InitialPopulation</w:t>
                  </w:r>
                </w:p>
              </w:tc>
              <w:tc>
                <w:tcPr>
                  <w:tcW w:w="1597"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6476A9FA" w14:textId="77777777" w:rsidR="006457D8" w:rsidRPr="005D4222" w:rsidRDefault="006457D8" w:rsidP="00A53E8C">
                  <w:pPr>
                    <w:pStyle w:val="TableText"/>
                    <w:rPr>
                      <w:rFonts w:eastAsia="Arial Narrow"/>
                    </w:rPr>
                  </w:pPr>
                  <w:r w:rsidRPr="005D4222">
                    <w:t>Report once</w:t>
                  </w:r>
                </w:p>
              </w:tc>
            </w:tr>
            <w:tr w:rsidR="006457D8" w:rsidRPr="005D4222" w14:paraId="59543379" w14:textId="77777777" w:rsidTr="007B5FC3">
              <w:trPr>
                <w:trHeight w:val="330"/>
              </w:trPr>
              <w:tc>
                <w:tcPr>
                  <w:tcW w:w="3323" w:type="dxa"/>
                  <w:tcBorders>
                    <w:top w:val="single" w:sz="4" w:space="0" w:color="auto"/>
                    <w:left w:val="nil"/>
                    <w:bottom w:val="nil"/>
                    <w:right w:val="single" w:sz="4" w:space="0" w:color="auto"/>
                  </w:tcBorders>
                  <w:shd w:val="clear" w:color="auto" w:fill="FFFFFF" w:themeFill="background1"/>
                  <w:tcMar>
                    <w:left w:w="60" w:type="dxa"/>
                    <w:right w:w="60" w:type="dxa"/>
                  </w:tcMar>
                  <w:vAlign w:val="center"/>
                </w:tcPr>
                <w:p w14:paraId="088A5711" w14:textId="77777777" w:rsidR="006457D8" w:rsidRPr="005D4222" w:rsidRDefault="006457D8" w:rsidP="00A53E8C">
                  <w:pPr>
                    <w:pStyle w:val="TableText"/>
                  </w:pPr>
                  <w:r w:rsidRPr="005D4222">
                    <w:t xml:space="preserve"> </w:t>
                  </w:r>
                </w:p>
              </w:tc>
              <w:tc>
                <w:tcPr>
                  <w:tcW w:w="2449" w:type="dxa"/>
                  <w:tcBorders>
                    <w:top w:val="single" w:sz="4" w:space="0" w:color="auto"/>
                    <w:left w:val="single" w:sz="4" w:space="0" w:color="auto"/>
                    <w:bottom w:val="single" w:sz="4" w:space="0" w:color="auto"/>
                    <w:right w:val="single" w:sz="4" w:space="0" w:color="auto"/>
                  </w:tcBorders>
                  <w:tcMar>
                    <w:left w:w="60" w:type="dxa"/>
                    <w:right w:w="60" w:type="dxa"/>
                  </w:tcMar>
                  <w:vAlign w:val="center"/>
                </w:tcPr>
                <w:p w14:paraId="3E3AEEE2" w14:textId="77777777" w:rsidR="006457D8" w:rsidRPr="005D4222" w:rsidRDefault="006457D8" w:rsidP="00A53E8C">
                  <w:pPr>
                    <w:pStyle w:val="TableText"/>
                  </w:pPr>
                  <w:r w:rsidRPr="005D4222">
                    <w:t>Exclusions</w:t>
                  </w:r>
                </w:p>
              </w:tc>
              <w:tc>
                <w:tcPr>
                  <w:tcW w:w="1597" w:type="dxa"/>
                  <w:tcBorders>
                    <w:top w:val="single" w:sz="6" w:space="0" w:color="auto"/>
                    <w:left w:val="single" w:sz="4" w:space="0" w:color="auto"/>
                    <w:bottom w:val="single" w:sz="6" w:space="0" w:color="auto"/>
                    <w:right w:val="single" w:sz="6" w:space="0" w:color="auto"/>
                  </w:tcBorders>
                  <w:tcMar>
                    <w:left w:w="60" w:type="dxa"/>
                    <w:right w:w="60" w:type="dxa"/>
                  </w:tcMar>
                  <w:vAlign w:val="center"/>
                </w:tcPr>
                <w:p w14:paraId="75EB276B" w14:textId="77777777" w:rsidR="006457D8" w:rsidRPr="005D4222" w:rsidRDefault="006457D8" w:rsidP="00A53E8C">
                  <w:pPr>
                    <w:pStyle w:val="TableText"/>
                  </w:pPr>
                  <w:r w:rsidRPr="005D4222">
                    <w:t>Report once</w:t>
                  </w:r>
                </w:p>
              </w:tc>
            </w:tr>
            <w:tr w:rsidR="006457D8" w:rsidRPr="005D4222" w14:paraId="112C0C77" w14:textId="77777777" w:rsidTr="007B5FC3">
              <w:trPr>
                <w:trHeight w:val="330"/>
              </w:trPr>
              <w:tc>
                <w:tcPr>
                  <w:tcW w:w="3323" w:type="dxa"/>
                  <w:tcBorders>
                    <w:top w:val="nil"/>
                    <w:left w:val="nil"/>
                    <w:bottom w:val="nil"/>
                    <w:right w:val="single" w:sz="4" w:space="0" w:color="auto"/>
                  </w:tcBorders>
                  <w:shd w:val="clear" w:color="auto" w:fill="FFFFFF" w:themeFill="background1"/>
                  <w:tcMar>
                    <w:left w:w="60" w:type="dxa"/>
                    <w:right w:w="60" w:type="dxa"/>
                  </w:tcMar>
                  <w:vAlign w:val="center"/>
                </w:tcPr>
                <w:p w14:paraId="0E478FB0" w14:textId="77777777" w:rsidR="006457D8" w:rsidRPr="005D4222" w:rsidRDefault="006457D8" w:rsidP="00A53E8C">
                  <w:pPr>
                    <w:pStyle w:val="TableText"/>
                  </w:pPr>
                  <w:r w:rsidRPr="005D4222">
                    <w:t xml:space="preserve"> </w:t>
                  </w:r>
                </w:p>
              </w:tc>
              <w:tc>
                <w:tcPr>
                  <w:tcW w:w="2449" w:type="dxa"/>
                  <w:tcBorders>
                    <w:top w:val="single" w:sz="4" w:space="0" w:color="auto"/>
                    <w:left w:val="single" w:sz="4" w:space="0" w:color="auto"/>
                    <w:bottom w:val="single" w:sz="4" w:space="0" w:color="auto"/>
                    <w:right w:val="single" w:sz="4" w:space="0" w:color="auto"/>
                  </w:tcBorders>
                  <w:tcMar>
                    <w:left w:w="60" w:type="dxa"/>
                    <w:right w:w="60" w:type="dxa"/>
                  </w:tcMar>
                  <w:vAlign w:val="center"/>
                </w:tcPr>
                <w:p w14:paraId="6A600789" w14:textId="77777777" w:rsidR="006457D8" w:rsidRPr="005D4222" w:rsidRDefault="006457D8" w:rsidP="00A53E8C">
                  <w:pPr>
                    <w:pStyle w:val="TableText"/>
                  </w:pPr>
                  <w:r w:rsidRPr="005D4222">
                    <w:t>Denominator</w:t>
                  </w:r>
                </w:p>
              </w:tc>
              <w:tc>
                <w:tcPr>
                  <w:tcW w:w="1597" w:type="dxa"/>
                  <w:tcBorders>
                    <w:top w:val="single" w:sz="6" w:space="0" w:color="auto"/>
                    <w:left w:val="single" w:sz="4" w:space="0" w:color="auto"/>
                    <w:bottom w:val="single" w:sz="6" w:space="0" w:color="auto"/>
                    <w:right w:val="single" w:sz="6" w:space="0" w:color="auto"/>
                  </w:tcBorders>
                  <w:tcMar>
                    <w:left w:w="60" w:type="dxa"/>
                    <w:right w:w="60" w:type="dxa"/>
                  </w:tcMar>
                  <w:vAlign w:val="center"/>
                </w:tcPr>
                <w:p w14:paraId="010E003E" w14:textId="77777777" w:rsidR="006457D8" w:rsidRPr="005D4222" w:rsidRDefault="006457D8" w:rsidP="00A53E8C">
                  <w:pPr>
                    <w:pStyle w:val="TableText"/>
                  </w:pPr>
                  <w:r w:rsidRPr="005D4222">
                    <w:t>Report once</w:t>
                  </w:r>
                </w:p>
              </w:tc>
            </w:tr>
            <w:tr w:rsidR="006457D8" w:rsidRPr="005D4222" w14:paraId="36EA1932" w14:textId="77777777" w:rsidTr="007B5FC3">
              <w:trPr>
                <w:trHeight w:val="330"/>
              </w:trPr>
              <w:tc>
                <w:tcPr>
                  <w:tcW w:w="3323" w:type="dxa"/>
                  <w:tcBorders>
                    <w:top w:val="nil"/>
                    <w:left w:val="nil"/>
                    <w:bottom w:val="nil"/>
                    <w:right w:val="single" w:sz="4" w:space="0" w:color="auto"/>
                  </w:tcBorders>
                  <w:shd w:val="clear" w:color="auto" w:fill="FFFFFF" w:themeFill="background1"/>
                  <w:tcMar>
                    <w:left w:w="60" w:type="dxa"/>
                    <w:right w:w="60" w:type="dxa"/>
                  </w:tcMar>
                  <w:vAlign w:val="center"/>
                </w:tcPr>
                <w:p w14:paraId="61E6DEB6" w14:textId="77777777" w:rsidR="006457D8" w:rsidRPr="005D4222" w:rsidRDefault="006457D8" w:rsidP="00A53E8C">
                  <w:pPr>
                    <w:pStyle w:val="TableText"/>
                  </w:pPr>
                </w:p>
              </w:tc>
              <w:tc>
                <w:tcPr>
                  <w:tcW w:w="2449" w:type="dxa"/>
                  <w:tcBorders>
                    <w:top w:val="single" w:sz="4" w:space="0" w:color="auto"/>
                    <w:left w:val="single" w:sz="4" w:space="0" w:color="auto"/>
                    <w:bottom w:val="single" w:sz="4" w:space="0" w:color="auto"/>
                    <w:right w:val="single" w:sz="4" w:space="0" w:color="auto"/>
                  </w:tcBorders>
                  <w:tcMar>
                    <w:left w:w="60" w:type="dxa"/>
                    <w:right w:w="60" w:type="dxa"/>
                  </w:tcMar>
                  <w:vAlign w:val="center"/>
                </w:tcPr>
                <w:p w14:paraId="70FADB45" w14:textId="77777777" w:rsidR="006457D8" w:rsidRPr="005D4222" w:rsidRDefault="006457D8" w:rsidP="00A53E8C">
                  <w:pPr>
                    <w:pStyle w:val="TableText"/>
                  </w:pPr>
                  <w:r w:rsidRPr="005D4222">
                    <w:t>Numerator</w:t>
                  </w:r>
                </w:p>
              </w:tc>
              <w:tc>
                <w:tcPr>
                  <w:tcW w:w="1597" w:type="dxa"/>
                  <w:tcBorders>
                    <w:top w:val="single" w:sz="6" w:space="0" w:color="auto"/>
                    <w:left w:val="single" w:sz="4" w:space="0" w:color="auto"/>
                    <w:bottom w:val="single" w:sz="6" w:space="0" w:color="auto"/>
                    <w:right w:val="single" w:sz="6" w:space="0" w:color="auto"/>
                  </w:tcBorders>
                  <w:tcMar>
                    <w:left w:w="60" w:type="dxa"/>
                    <w:right w:w="60" w:type="dxa"/>
                  </w:tcMar>
                  <w:vAlign w:val="center"/>
                </w:tcPr>
                <w:p w14:paraId="62BAE4D8" w14:textId="77777777" w:rsidR="006457D8" w:rsidRPr="005D4222" w:rsidRDefault="006457D8" w:rsidP="00A53E8C">
                  <w:pPr>
                    <w:pStyle w:val="TableText"/>
                  </w:pPr>
                  <w:r w:rsidRPr="005D4222">
                    <w:t>Report once</w:t>
                  </w:r>
                </w:p>
              </w:tc>
            </w:tr>
            <w:tr w:rsidR="006457D8" w:rsidRPr="005D4222" w14:paraId="2DCCD7AA" w14:textId="77777777" w:rsidTr="00A53E8C">
              <w:trPr>
                <w:trHeight w:val="330"/>
              </w:trPr>
              <w:tc>
                <w:tcPr>
                  <w:tcW w:w="3323" w:type="dxa"/>
                  <w:tcBorders>
                    <w:top w:val="nil"/>
                    <w:left w:val="nil"/>
                    <w:bottom w:val="nil"/>
                    <w:right w:val="single" w:sz="4" w:space="0" w:color="auto"/>
                  </w:tcBorders>
                  <w:shd w:val="clear" w:color="auto" w:fill="FFFFFF" w:themeFill="background1"/>
                  <w:tcMar>
                    <w:left w:w="60" w:type="dxa"/>
                    <w:right w:w="60" w:type="dxa"/>
                  </w:tcMar>
                  <w:vAlign w:val="center"/>
                </w:tcPr>
                <w:p w14:paraId="4DD56E20" w14:textId="77777777" w:rsidR="006457D8" w:rsidRPr="005D4222" w:rsidRDefault="006457D8" w:rsidP="00A53E8C">
                  <w:pPr>
                    <w:pStyle w:val="TableText"/>
                  </w:pPr>
                </w:p>
              </w:tc>
              <w:tc>
                <w:tcPr>
                  <w:tcW w:w="244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60" w:type="dxa"/>
                    <w:right w:w="60" w:type="dxa"/>
                  </w:tcMar>
                  <w:vAlign w:val="center"/>
                </w:tcPr>
                <w:p w14:paraId="0FEEAF19" w14:textId="77777777" w:rsidR="006457D8" w:rsidRPr="005D4222" w:rsidRDefault="006457D8" w:rsidP="00A53E8C">
                  <w:pPr>
                    <w:pStyle w:val="TableText"/>
                  </w:pPr>
                  <w:r w:rsidRPr="005D4222">
                    <w:t>Rate</w:t>
                  </w:r>
                </w:p>
              </w:tc>
              <w:tc>
                <w:tcPr>
                  <w:tcW w:w="1597" w:type="dxa"/>
                  <w:tcBorders>
                    <w:top w:val="single" w:sz="6" w:space="0" w:color="auto"/>
                    <w:left w:val="single" w:sz="4" w:space="0" w:color="auto"/>
                    <w:bottom w:val="single" w:sz="6" w:space="0" w:color="auto"/>
                    <w:right w:val="single" w:sz="6" w:space="0" w:color="auto"/>
                  </w:tcBorders>
                  <w:shd w:val="clear" w:color="auto" w:fill="D9D9D9" w:themeFill="background1" w:themeFillShade="D9"/>
                  <w:tcMar>
                    <w:left w:w="60" w:type="dxa"/>
                    <w:right w:w="60" w:type="dxa"/>
                  </w:tcMar>
                  <w:vAlign w:val="center"/>
                </w:tcPr>
                <w:p w14:paraId="52C01405" w14:textId="77777777" w:rsidR="006457D8" w:rsidRPr="005D4222" w:rsidRDefault="006457D8" w:rsidP="00A53E8C">
                  <w:pPr>
                    <w:pStyle w:val="TableText"/>
                  </w:pPr>
                  <w:r w:rsidRPr="005D4222">
                    <w:t>(Percent)</w:t>
                  </w:r>
                </w:p>
              </w:tc>
            </w:tr>
          </w:tbl>
          <w:p w14:paraId="267A520D" w14:textId="77777777" w:rsidR="006457D8" w:rsidRPr="005D4222" w:rsidRDefault="006457D8" w:rsidP="00A53E8C">
            <w:pPr>
              <w:pStyle w:val="TableText"/>
              <w:spacing w:before="40"/>
              <w:rPr>
                <w:rFonts w:ascii="Arial" w:eastAsia="Calibri" w:hAnsi="Arial" w:cs="Arial"/>
                <w:kern w:val="20"/>
                <w:lang w:eastAsia="zh-CN"/>
              </w:rPr>
            </w:pPr>
          </w:p>
        </w:tc>
      </w:tr>
      <w:tr w:rsidR="006457D8" w:rsidRPr="005D4222" w14:paraId="252E93C3" w14:textId="77777777" w:rsidTr="005654E4">
        <w:tc>
          <w:tcPr>
            <w:tcW w:w="2034" w:type="dxa"/>
            <w:tcBorders>
              <w:top w:val="single" w:sz="4" w:space="0" w:color="auto"/>
              <w:left w:val="single" w:sz="2" w:space="0" w:color="auto"/>
              <w:bottom w:val="single" w:sz="4" w:space="0" w:color="auto"/>
              <w:right w:val="single" w:sz="2" w:space="0" w:color="auto"/>
            </w:tcBorders>
            <w:shd w:val="clear" w:color="auto" w:fill="BFBFBF" w:themeFill="background1" w:themeFillShade="BF"/>
            <w:hideMark/>
          </w:tcPr>
          <w:p w14:paraId="51F7BFA9" w14:textId="77777777" w:rsidR="006457D8" w:rsidRPr="005D4222" w:rsidRDefault="006457D8" w:rsidP="00A53E8C">
            <w:pPr>
              <w:pStyle w:val="ECDSMarginHead"/>
              <w:rPr>
                <w:lang w:eastAsia="zh-CN"/>
              </w:rPr>
            </w:pPr>
            <w:r w:rsidRPr="005D4222">
              <w:rPr>
                <w:lang w:eastAsia="zh-CN"/>
              </w:rPr>
              <w:t xml:space="preserve">Rules for Allowable Adjustments </w:t>
            </w:r>
          </w:p>
        </w:tc>
        <w:tc>
          <w:tcPr>
            <w:tcW w:w="7680" w:type="dxa"/>
            <w:gridSpan w:val="4"/>
            <w:tcBorders>
              <w:top w:val="single" w:sz="4" w:space="0" w:color="auto"/>
              <w:left w:val="single" w:sz="4" w:space="0" w:color="auto"/>
              <w:bottom w:val="single" w:sz="4" w:space="0" w:color="auto"/>
              <w:right w:val="single" w:sz="4" w:space="0" w:color="auto"/>
            </w:tcBorders>
            <w:hideMark/>
          </w:tcPr>
          <w:p w14:paraId="28808F56" w14:textId="77777777" w:rsidR="006457D8" w:rsidRPr="005D4222" w:rsidRDefault="006457D8" w:rsidP="00A53E8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6707A105" w14:textId="77777777" w:rsidR="006457D8" w:rsidRPr="005D4222" w:rsidRDefault="006457D8" w:rsidP="00A53E8C">
            <w:pPr>
              <w:pStyle w:val="ECDSBody"/>
              <w:rPr>
                <w:b/>
              </w:rPr>
            </w:pPr>
            <w:r w:rsidRPr="005D4222">
              <w:rPr>
                <w:b/>
              </w:rPr>
              <w:t>Adjusted HEDIS measures may not be used for HEDIS health plan reporting.</w:t>
            </w:r>
          </w:p>
          <w:p w14:paraId="2AB9214C" w14:textId="77777777" w:rsidR="006457D8" w:rsidRPr="005D4222" w:rsidRDefault="006457D8" w:rsidP="00A53E8C">
            <w:pPr>
              <w:pStyle w:val="Adjustments"/>
            </w:pPr>
            <w:r w:rsidRPr="005D4222">
              <w:t>Adjustments</w:t>
            </w:r>
            <w:r w:rsidRPr="005D4222">
              <w:rPr>
                <w:bCs/>
              </w:rPr>
              <w:t xml:space="preserve"> a</w:t>
            </w:r>
            <w:r w:rsidRPr="005D4222">
              <w:t>llowed</w:t>
            </w:r>
          </w:p>
          <w:p w14:paraId="0B35ACB0" w14:textId="1C698C39" w:rsidR="005654E4" w:rsidRPr="005D4222" w:rsidRDefault="006457D8" w:rsidP="005D6173">
            <w:pPr>
              <w:pStyle w:val="ProcessBullet"/>
              <w:numPr>
                <w:ilvl w:val="0"/>
                <w:numId w:val="98"/>
              </w:numPr>
              <w:tabs>
                <w:tab w:val="left" w:pos="216"/>
              </w:tabs>
              <w:spacing w:after="80"/>
              <w:ind w:left="216" w:hanging="216"/>
            </w:pPr>
            <w:r w:rsidRPr="005D4222">
              <w:rPr>
                <w:i/>
                <w:iCs/>
              </w:rPr>
              <w:t xml:space="preserve">Product lines. </w:t>
            </w:r>
            <w:r w:rsidRPr="005D4222">
              <w:t>Organizations are not required to use product line criteria; product lines may be combined</w:t>
            </w:r>
            <w:r w:rsidR="00E8671F" w:rsidRPr="005D4222">
              <w:t>,</w:t>
            </w:r>
            <w:r w:rsidRPr="005D4222">
              <w:t xml:space="preserve"> and all (or no) product line criteria may be used.</w:t>
            </w:r>
          </w:p>
        </w:tc>
      </w:tr>
      <w:tr w:rsidR="005654E4" w:rsidRPr="005D4222" w14:paraId="3455C6A4" w14:textId="77777777" w:rsidTr="005654E4">
        <w:tc>
          <w:tcPr>
            <w:tcW w:w="2034" w:type="dxa"/>
            <w:tcBorders>
              <w:top w:val="single" w:sz="4" w:space="0" w:color="auto"/>
              <w:left w:val="single" w:sz="2" w:space="0" w:color="auto"/>
              <w:bottom w:val="single" w:sz="4" w:space="0" w:color="auto"/>
              <w:right w:val="single" w:sz="2" w:space="0" w:color="auto"/>
            </w:tcBorders>
            <w:shd w:val="clear" w:color="auto" w:fill="BFBFBF" w:themeFill="background1" w:themeFillShade="BF"/>
          </w:tcPr>
          <w:p w14:paraId="388388DB" w14:textId="77777777" w:rsidR="005654E4" w:rsidRPr="005D4222" w:rsidRDefault="005654E4" w:rsidP="00A53E8C">
            <w:pPr>
              <w:pStyle w:val="ECDSMarginHead"/>
              <w:rPr>
                <w:lang w:eastAsia="zh-CN"/>
              </w:rPr>
            </w:pPr>
          </w:p>
        </w:tc>
        <w:tc>
          <w:tcPr>
            <w:tcW w:w="7680" w:type="dxa"/>
            <w:gridSpan w:val="4"/>
            <w:tcBorders>
              <w:top w:val="single" w:sz="4" w:space="0" w:color="auto"/>
              <w:left w:val="single" w:sz="4" w:space="0" w:color="auto"/>
              <w:bottom w:val="single" w:sz="4" w:space="0" w:color="auto"/>
              <w:right w:val="single" w:sz="4" w:space="0" w:color="auto"/>
            </w:tcBorders>
          </w:tcPr>
          <w:p w14:paraId="7CB8B504" w14:textId="77777777" w:rsidR="005654E4" w:rsidRPr="005D4222" w:rsidRDefault="005654E4" w:rsidP="005D6173">
            <w:pPr>
              <w:pStyle w:val="ProcessBullet"/>
              <w:numPr>
                <w:ilvl w:val="0"/>
                <w:numId w:val="98"/>
              </w:numPr>
              <w:tabs>
                <w:tab w:val="left" w:pos="216"/>
              </w:tabs>
              <w:spacing w:before="120" w:after="80"/>
              <w:ind w:left="216" w:hanging="216"/>
              <w:rPr>
                <w:sz w:val="24"/>
              </w:rPr>
            </w:pPr>
            <w:r w:rsidRPr="005D4222">
              <w:rPr>
                <w:i/>
                <w:iCs/>
              </w:rPr>
              <w:t>Ages.</w:t>
            </w:r>
            <w:r w:rsidRPr="005D4222">
              <w:t xml:space="preserve"> The denominator age may be expanded. Age determination dates may be changed (e.g., select, “age as of June 30”). </w:t>
            </w:r>
          </w:p>
          <w:p w14:paraId="55054E84" w14:textId="77777777" w:rsidR="005654E4" w:rsidRPr="005D4222" w:rsidRDefault="005654E4" w:rsidP="005D6173">
            <w:pPr>
              <w:pStyle w:val="ProcessBullet"/>
              <w:numPr>
                <w:ilvl w:val="0"/>
                <w:numId w:val="98"/>
              </w:numPr>
              <w:tabs>
                <w:tab w:val="left" w:pos="216"/>
              </w:tabs>
              <w:ind w:left="216" w:hanging="216"/>
            </w:pPr>
            <w:r w:rsidRPr="005D4222">
              <w:rPr>
                <w:i/>
                <w:iCs/>
              </w:rPr>
              <w:t>Attribution.</w:t>
            </w:r>
            <w:r w:rsidRPr="005D4222">
              <w:t xml:space="preserve"> Organizations are not required to use enrollment criteria. </w:t>
            </w:r>
          </w:p>
          <w:p w14:paraId="47A205BB" w14:textId="588275A7" w:rsidR="005654E4" w:rsidRPr="005D4222" w:rsidRDefault="00362E76" w:rsidP="005D6173">
            <w:pPr>
              <w:pStyle w:val="ProcessBullet"/>
              <w:numPr>
                <w:ilvl w:val="0"/>
                <w:numId w:val="98"/>
              </w:numPr>
              <w:tabs>
                <w:tab w:val="left" w:pos="216"/>
              </w:tabs>
              <w:ind w:left="216" w:hanging="216"/>
            </w:pPr>
            <w:r w:rsidRPr="005D4222">
              <w:rPr>
                <w:i/>
                <w:iCs/>
              </w:rPr>
              <w:t>Benefits.</w:t>
            </w:r>
            <w:r w:rsidR="005654E4" w:rsidRPr="005D4222">
              <w:t xml:space="preserve"> Organizations are not required to use a benefit.</w:t>
            </w:r>
          </w:p>
          <w:p w14:paraId="2DC2A05D" w14:textId="77777777" w:rsidR="005654E4" w:rsidRPr="005D4222" w:rsidRDefault="005654E4" w:rsidP="005D6173">
            <w:pPr>
              <w:pStyle w:val="ProcessBullet"/>
              <w:numPr>
                <w:ilvl w:val="0"/>
                <w:numId w:val="98"/>
              </w:numPr>
              <w:ind w:left="216" w:hanging="216"/>
            </w:pPr>
            <w:r w:rsidRPr="005D4222">
              <w:rPr>
                <w:i/>
                <w:iCs/>
              </w:rPr>
              <w:t>Other.</w:t>
            </w:r>
            <w:r w:rsidRPr="005D4222">
              <w:t xml:space="preserve"> Organizations may use additional initial population criteria to focus on an area of interest defined by gender, race, ethnicity, socioeconomic or sociodemographic characteristics, geographic region or another characteristic.</w:t>
            </w:r>
          </w:p>
          <w:p w14:paraId="1E8EE9ED" w14:textId="77777777" w:rsidR="005654E4" w:rsidRPr="005D4222" w:rsidRDefault="005654E4" w:rsidP="005D6173">
            <w:pPr>
              <w:pStyle w:val="ProcessBullet"/>
              <w:numPr>
                <w:ilvl w:val="0"/>
                <w:numId w:val="98"/>
              </w:numPr>
              <w:tabs>
                <w:tab w:val="left" w:pos="216"/>
              </w:tabs>
              <w:ind w:left="216" w:hanging="216"/>
            </w:pPr>
            <w:r w:rsidRPr="005D4222">
              <w:rPr>
                <w:i/>
                <w:iCs/>
              </w:rPr>
              <w:t>Measurement period adjustments.</w:t>
            </w:r>
            <w:r w:rsidRPr="005D4222">
              <w:t xml:space="preserve"> Organizations may adjust the measurement period. </w:t>
            </w:r>
          </w:p>
          <w:p w14:paraId="6BB0F047" w14:textId="77777777" w:rsidR="005654E4" w:rsidRPr="005D4222" w:rsidRDefault="005654E4" w:rsidP="005D6173">
            <w:pPr>
              <w:pStyle w:val="ProcessBullet"/>
              <w:numPr>
                <w:ilvl w:val="0"/>
                <w:numId w:val="98"/>
              </w:numPr>
              <w:tabs>
                <w:tab w:val="left" w:pos="216"/>
              </w:tabs>
              <w:ind w:left="216" w:hanging="216"/>
            </w:pPr>
            <w:r w:rsidRPr="005D4222">
              <w:rPr>
                <w:i/>
                <w:iCs/>
              </w:rPr>
              <w:t xml:space="preserve">Exclusions. </w:t>
            </w:r>
            <w:r w:rsidRPr="005D4222">
              <w:t xml:space="preserve">Hospice and deceased persons exclusions are not required. </w:t>
            </w:r>
          </w:p>
          <w:p w14:paraId="7DFEC30F" w14:textId="77777777" w:rsidR="005654E4" w:rsidRPr="005D4222" w:rsidRDefault="005654E4" w:rsidP="005D6173">
            <w:pPr>
              <w:pStyle w:val="ProcessBullet"/>
              <w:numPr>
                <w:ilvl w:val="0"/>
                <w:numId w:val="98"/>
              </w:numPr>
              <w:tabs>
                <w:tab w:val="left" w:pos="216"/>
              </w:tabs>
              <w:ind w:left="216" w:hanging="216"/>
            </w:pPr>
            <w:r w:rsidRPr="005D4222">
              <w:rPr>
                <w:i/>
                <w:iCs/>
              </w:rPr>
              <w:t xml:space="preserve">Telehealth. </w:t>
            </w:r>
            <w:r w:rsidRPr="005D4222">
              <w:t>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318E0C9D" w14:textId="77777777" w:rsidR="005654E4" w:rsidRPr="005D4222" w:rsidRDefault="005654E4" w:rsidP="005654E4">
            <w:pPr>
              <w:pStyle w:val="Adjustments"/>
            </w:pPr>
            <w:r w:rsidRPr="005D4222">
              <w:t>Adjustments not allowed</w:t>
            </w:r>
          </w:p>
          <w:p w14:paraId="3186A7BF" w14:textId="77777777" w:rsidR="005654E4" w:rsidRPr="005D4222" w:rsidRDefault="005654E4" w:rsidP="005D6173">
            <w:pPr>
              <w:pStyle w:val="ProcessBullet"/>
              <w:numPr>
                <w:ilvl w:val="0"/>
                <w:numId w:val="98"/>
              </w:numPr>
              <w:tabs>
                <w:tab w:val="left" w:pos="216"/>
              </w:tabs>
              <w:ind w:left="216" w:hanging="216"/>
            </w:pPr>
            <w:r w:rsidRPr="005D4222">
              <w:rPr>
                <w:i/>
                <w:iCs/>
              </w:rPr>
              <w:t>Initial population:</w:t>
            </w:r>
            <w:r w:rsidRPr="005D4222">
              <w:t xml:space="preserve"> Event. Value sets and logic may not be changed.</w:t>
            </w:r>
          </w:p>
          <w:p w14:paraId="2926108D" w14:textId="6AD14F54" w:rsidR="005654E4" w:rsidRPr="005D4222" w:rsidRDefault="005654E4" w:rsidP="005D6173">
            <w:pPr>
              <w:pStyle w:val="ProcessBullet"/>
              <w:numPr>
                <w:ilvl w:val="0"/>
                <w:numId w:val="98"/>
              </w:numPr>
              <w:spacing w:after="80"/>
              <w:ind w:left="216" w:hanging="216"/>
            </w:pPr>
            <w:r w:rsidRPr="005D4222">
              <w:rPr>
                <w:i/>
                <w:iCs/>
              </w:rPr>
              <w:t>Numerator.</w:t>
            </w:r>
            <w:r w:rsidRPr="005D4222">
              <w:t xml:space="preserve"> Value sets and logic may not be changed.</w:t>
            </w:r>
          </w:p>
        </w:tc>
      </w:tr>
    </w:tbl>
    <w:p w14:paraId="6CC313E7" w14:textId="77777777" w:rsidR="005654E4" w:rsidRPr="005D4222" w:rsidRDefault="005654E4" w:rsidP="00D155A7">
      <w:pPr>
        <w:pStyle w:val="ECDSBody"/>
        <w:sectPr w:rsidR="005654E4" w:rsidRPr="005D4222" w:rsidSect="0074514A">
          <w:headerReference w:type="default" r:id="rId219"/>
          <w:type w:val="nextColumn"/>
          <w:pgSz w:w="12240" w:h="15840" w:code="1"/>
          <w:pgMar w:top="1080" w:right="1080" w:bottom="1080" w:left="1440" w:header="720" w:footer="720" w:gutter="0"/>
          <w:cols w:space="720"/>
          <w:docGrid w:linePitch="360"/>
        </w:sectPr>
      </w:pPr>
    </w:p>
    <w:p w14:paraId="2A844240" w14:textId="5F501208" w:rsidR="00D155A7" w:rsidRPr="005D4222" w:rsidRDefault="00F45A52" w:rsidP="00F45A52">
      <w:pPr>
        <w:pStyle w:val="MeasureTitle"/>
        <w:rPr>
          <w:lang w:eastAsia="zh-CN"/>
        </w:rPr>
      </w:pPr>
      <w:bookmarkStart w:id="414" w:name="_Toc201813469"/>
      <w:r w:rsidRPr="005D4222">
        <w:rPr>
          <w:lang w:eastAsia="zh-CN"/>
        </w:rPr>
        <w:lastRenderedPageBreak/>
        <w:t>Follow-Up After Abnormal Mammogram Assessment</w:t>
      </w:r>
      <w:r w:rsidR="006B0FDD" w:rsidRPr="005D4222">
        <w:rPr>
          <w:lang w:eastAsia="zh-CN"/>
        </w:rPr>
        <w:t xml:space="preserve"> (FMA-E)</w:t>
      </w:r>
      <w:bookmarkEnd w:id="414"/>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3" w:type="dxa"/>
          <w:right w:w="86" w:type="dxa"/>
        </w:tblCellMar>
        <w:tblLook w:val="04A0" w:firstRow="1" w:lastRow="0" w:firstColumn="1" w:lastColumn="0" w:noHBand="0" w:noVBand="1"/>
      </w:tblPr>
      <w:tblGrid>
        <w:gridCol w:w="2157"/>
        <w:gridCol w:w="4950"/>
        <w:gridCol w:w="1440"/>
        <w:gridCol w:w="1167"/>
      </w:tblGrid>
      <w:tr w:rsidR="00E665DC" w:rsidRPr="005D4222" w14:paraId="7A4DC8C8" w14:textId="77777777" w:rsidTr="00A53E8C">
        <w:tc>
          <w:tcPr>
            <w:tcW w:w="2157" w:type="dxa"/>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5628E674" w14:textId="77777777" w:rsidR="00E665DC" w:rsidRPr="005D4222" w:rsidRDefault="00E665DC" w:rsidP="00A53E8C">
            <w:pPr>
              <w:pStyle w:val="ECDSMarginHead"/>
              <w:rPr>
                <w:lang w:eastAsia="zh-CN"/>
              </w:rPr>
            </w:pPr>
            <w:r w:rsidRPr="005D4222">
              <w:rPr>
                <w:lang w:eastAsia="zh-CN"/>
              </w:rPr>
              <w:t>Measure title</w:t>
            </w:r>
          </w:p>
        </w:tc>
        <w:tc>
          <w:tcPr>
            <w:tcW w:w="4950" w:type="dxa"/>
            <w:tcBorders>
              <w:top w:val="single" w:sz="2" w:space="0" w:color="auto"/>
              <w:left w:val="single" w:sz="2" w:space="0" w:color="auto"/>
              <w:bottom w:val="single" w:sz="2" w:space="0" w:color="auto"/>
              <w:right w:val="single" w:sz="2" w:space="0" w:color="auto"/>
            </w:tcBorders>
            <w:hideMark/>
          </w:tcPr>
          <w:p w14:paraId="7A1DD704" w14:textId="77777777" w:rsidR="00E665DC" w:rsidRPr="005D4222" w:rsidRDefault="00E665DC" w:rsidP="00A53E8C">
            <w:pPr>
              <w:pStyle w:val="ECDSBody"/>
              <w:rPr>
                <w:lang w:eastAsia="zh-CN"/>
              </w:rPr>
            </w:pPr>
            <w:r w:rsidRPr="005D4222">
              <w:rPr>
                <w:lang w:eastAsia="zh-CN"/>
              </w:rPr>
              <w:t>Follow-Up After Abnormal Mammogram Assessment*</w:t>
            </w:r>
          </w:p>
        </w:tc>
        <w:tc>
          <w:tcPr>
            <w:tcW w:w="1440" w:type="dxa"/>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65CE9D5A" w14:textId="77777777" w:rsidR="00E665DC" w:rsidRPr="005D4222" w:rsidRDefault="00E665DC" w:rsidP="00A53E8C">
            <w:pPr>
              <w:pStyle w:val="ECDSMarginHead"/>
              <w:rPr>
                <w:lang w:eastAsia="zh-CN"/>
              </w:rPr>
            </w:pPr>
            <w:r w:rsidRPr="005D4222">
              <w:rPr>
                <w:lang w:eastAsia="zh-CN"/>
              </w:rPr>
              <w:t>Measure ID</w:t>
            </w:r>
          </w:p>
        </w:tc>
        <w:tc>
          <w:tcPr>
            <w:tcW w:w="1167" w:type="dxa"/>
            <w:tcBorders>
              <w:top w:val="single" w:sz="2" w:space="0" w:color="auto"/>
              <w:left w:val="single" w:sz="2" w:space="0" w:color="auto"/>
              <w:bottom w:val="single" w:sz="2" w:space="0" w:color="auto"/>
              <w:right w:val="single" w:sz="2" w:space="0" w:color="auto"/>
            </w:tcBorders>
            <w:hideMark/>
          </w:tcPr>
          <w:p w14:paraId="42776AEC" w14:textId="77777777" w:rsidR="00E665DC" w:rsidRPr="005D4222" w:rsidRDefault="00E665DC" w:rsidP="00A53E8C">
            <w:pPr>
              <w:pStyle w:val="ECDSBody"/>
              <w:rPr>
                <w:lang w:eastAsia="zh-CN"/>
              </w:rPr>
            </w:pPr>
            <w:r w:rsidRPr="005D4222">
              <w:rPr>
                <w:lang w:eastAsia="zh-CN"/>
              </w:rPr>
              <w:t>FMA-E</w:t>
            </w:r>
          </w:p>
        </w:tc>
      </w:tr>
      <w:tr w:rsidR="00E665DC" w:rsidRPr="005D4222" w14:paraId="685C2C80" w14:textId="77777777" w:rsidTr="00A53E8C">
        <w:tc>
          <w:tcPr>
            <w:tcW w:w="2157" w:type="dxa"/>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151C93D3" w14:textId="77777777" w:rsidR="00E665DC" w:rsidRPr="005D4222" w:rsidRDefault="00E665DC" w:rsidP="00A53E8C">
            <w:pPr>
              <w:pStyle w:val="ECDSMarginHead"/>
              <w:rPr>
                <w:lang w:eastAsia="zh-CN"/>
              </w:rPr>
            </w:pPr>
            <w:r w:rsidRPr="005D4222">
              <w:rPr>
                <w:lang w:eastAsia="zh-CN"/>
              </w:rPr>
              <w:t>Description</w:t>
            </w:r>
          </w:p>
        </w:tc>
        <w:tc>
          <w:tcPr>
            <w:tcW w:w="7557" w:type="dxa"/>
            <w:gridSpan w:val="3"/>
            <w:tcBorders>
              <w:top w:val="single" w:sz="2" w:space="0" w:color="auto"/>
              <w:left w:val="single" w:sz="2" w:space="0" w:color="auto"/>
              <w:bottom w:val="single" w:sz="2" w:space="0" w:color="auto"/>
              <w:right w:val="single" w:sz="2" w:space="0" w:color="auto"/>
            </w:tcBorders>
            <w:hideMark/>
          </w:tcPr>
          <w:p w14:paraId="045FC02D" w14:textId="77777777" w:rsidR="00E665DC" w:rsidRPr="005D4222" w:rsidRDefault="00E665DC" w:rsidP="00A53E8C">
            <w:pPr>
              <w:pStyle w:val="ECDSBody"/>
            </w:pPr>
            <w:r w:rsidRPr="005D4222">
              <w:t>The percentage of episodes for persons 40-74 years of age with inconclusive or high-risk BI-RADS assessments that received appropriate follow-up within 90 days of the assessment.</w:t>
            </w:r>
          </w:p>
        </w:tc>
      </w:tr>
      <w:tr w:rsidR="00E665DC" w:rsidRPr="005D4222" w14:paraId="71A5CE52" w14:textId="77777777" w:rsidTr="00A53E8C">
        <w:trPr>
          <w:trHeight w:val="877"/>
        </w:trPr>
        <w:tc>
          <w:tcPr>
            <w:tcW w:w="2157" w:type="dxa"/>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33242682" w14:textId="77777777" w:rsidR="00E665DC" w:rsidRPr="005D4222" w:rsidRDefault="00E665DC" w:rsidP="00A53E8C">
            <w:pPr>
              <w:pStyle w:val="ECDSMarginHead"/>
              <w:rPr>
                <w:lang w:eastAsia="zh-CN"/>
              </w:rPr>
            </w:pPr>
            <w:r w:rsidRPr="005D4222">
              <w:rPr>
                <w:lang w:eastAsia="zh-CN"/>
              </w:rPr>
              <w:t>Measurement period</w:t>
            </w:r>
          </w:p>
        </w:tc>
        <w:tc>
          <w:tcPr>
            <w:tcW w:w="7557" w:type="dxa"/>
            <w:gridSpan w:val="3"/>
            <w:tcBorders>
              <w:top w:val="single" w:sz="2" w:space="0" w:color="auto"/>
              <w:left w:val="single" w:sz="2" w:space="0" w:color="auto"/>
              <w:bottom w:val="single" w:sz="2" w:space="0" w:color="auto"/>
              <w:right w:val="single" w:sz="2" w:space="0" w:color="auto"/>
            </w:tcBorders>
            <w:hideMark/>
          </w:tcPr>
          <w:p w14:paraId="0CE6144F" w14:textId="77777777" w:rsidR="00E665DC" w:rsidRPr="005D4222" w:rsidRDefault="00E665DC" w:rsidP="00A53E8C">
            <w:pPr>
              <w:pStyle w:val="ECDSBody"/>
              <w:rPr>
                <w:lang w:eastAsia="zh-CN"/>
              </w:rPr>
            </w:pPr>
            <w:r w:rsidRPr="005D4222">
              <w:rPr>
                <w:lang w:eastAsia="zh-CN"/>
              </w:rPr>
              <w:t>January 1–December 31.</w:t>
            </w:r>
          </w:p>
        </w:tc>
      </w:tr>
      <w:tr w:rsidR="00E665DC" w:rsidRPr="005D4222" w14:paraId="0B4BB922" w14:textId="77777777" w:rsidTr="00A53E8C">
        <w:tc>
          <w:tcPr>
            <w:tcW w:w="2157" w:type="dxa"/>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00E925C4" w14:textId="77777777" w:rsidR="00E665DC" w:rsidRPr="005D4222" w:rsidRDefault="00E665DC" w:rsidP="00A53E8C">
            <w:pPr>
              <w:pStyle w:val="ECDSMarginHead"/>
              <w:rPr>
                <w:rFonts w:eastAsia="Arial"/>
                <w:lang w:eastAsia="zh-CN"/>
              </w:rPr>
            </w:pPr>
            <w:r w:rsidRPr="005D4222">
              <w:rPr>
                <w:rFonts w:eastAsia="Arial"/>
                <w:lang w:eastAsia="zh-CN"/>
              </w:rPr>
              <w:t>Copyright and disclaimer notice</w:t>
            </w:r>
          </w:p>
        </w:tc>
        <w:tc>
          <w:tcPr>
            <w:tcW w:w="7557" w:type="dxa"/>
            <w:gridSpan w:val="3"/>
            <w:tcBorders>
              <w:top w:val="single" w:sz="2" w:space="0" w:color="auto"/>
              <w:left w:val="single" w:sz="2" w:space="0" w:color="auto"/>
              <w:bottom w:val="single" w:sz="2" w:space="0" w:color="auto"/>
              <w:right w:val="single" w:sz="2" w:space="0" w:color="auto"/>
            </w:tcBorders>
            <w:hideMark/>
          </w:tcPr>
          <w:p w14:paraId="0B5A7AFE" w14:textId="77777777" w:rsidR="00E665DC" w:rsidRPr="005D4222" w:rsidRDefault="00E665DC" w:rsidP="00A53E8C">
            <w:pPr>
              <w:pStyle w:val="ECDSBody"/>
              <w:ind w:left="92" w:hanging="92"/>
              <w:rPr>
                <w:i/>
                <w:iCs/>
                <w:color w:val="000000" w:themeColor="text1"/>
                <w:lang w:eastAsia="zh-CN"/>
              </w:rPr>
            </w:pPr>
            <w:r w:rsidRPr="005D4222">
              <w:rPr>
                <w:i/>
                <w:iCs/>
                <w:color w:val="000000" w:themeColor="text1"/>
                <w:lang w:eastAsia="zh-CN"/>
              </w:rPr>
              <w:t>*This measure was supported by Cooperative Award NU380T000303 from the Centers for Disease Control and Prevention and the National Network of Public Health Institutes (NNPHI). Its contents are the sole responsibility of the authors (NCQA) and do not necessarily represent the official position of the Centers for Disease Control and Prevention, the US Department of Health and Human Services, the US government, or the NNPHI.</w:t>
            </w:r>
          </w:p>
          <w:p w14:paraId="292D0AE3" w14:textId="77777777" w:rsidR="00E665DC" w:rsidRPr="005D4222" w:rsidRDefault="00E665DC" w:rsidP="00A53E8C">
            <w:pPr>
              <w:pStyle w:val="ECDSBody"/>
            </w:pPr>
            <w:r w:rsidRPr="005D4222">
              <w:t xml:space="preserve">Refer to the complete copyright and disclaimer information at the front of this publication. </w:t>
            </w:r>
          </w:p>
          <w:p w14:paraId="400776AD" w14:textId="77777777" w:rsidR="00E665DC" w:rsidRPr="005D4222" w:rsidRDefault="00E665DC" w:rsidP="00A53E8C">
            <w:pPr>
              <w:pStyle w:val="ECDSBody"/>
              <w:spacing w:before="80"/>
            </w:pPr>
            <w:r w:rsidRPr="005D4222">
              <w:t xml:space="preserve">NCQA website: </w:t>
            </w:r>
            <w:r w:rsidRPr="005D4222">
              <w:rPr>
                <w:u w:val="single"/>
              </w:rPr>
              <w:t>www.ncqa.org</w:t>
            </w:r>
            <w:r w:rsidRPr="005D4222">
              <w:rPr>
                <w:rStyle w:val="Hyperlink"/>
              </w:rPr>
              <w:t>.</w:t>
            </w:r>
            <w:r w:rsidRPr="005D4222">
              <w:t xml:space="preserve"> </w:t>
            </w:r>
          </w:p>
          <w:p w14:paraId="7960A29F" w14:textId="77777777" w:rsidR="00E665DC" w:rsidRPr="005D4222" w:rsidRDefault="00E665DC" w:rsidP="00A53E8C">
            <w:pPr>
              <w:pStyle w:val="ECDSBody"/>
              <w:spacing w:before="80"/>
              <w:rPr>
                <w:i/>
                <w:iCs/>
                <w:color w:val="4472C4" w:themeColor="accent1"/>
              </w:rPr>
            </w:pPr>
            <w:r w:rsidRPr="005D4222">
              <w:t>Submit policy clarification support questions via My NCQA (</w:t>
            </w:r>
            <w:r w:rsidRPr="005D4222">
              <w:rPr>
                <w:u w:val="single"/>
              </w:rPr>
              <w:t>https://my.ncqa.org</w:t>
            </w:r>
            <w:r w:rsidRPr="005D4222">
              <w:t>).</w:t>
            </w:r>
          </w:p>
        </w:tc>
      </w:tr>
      <w:tr w:rsidR="00E665DC" w:rsidRPr="005D4222" w14:paraId="6851716D" w14:textId="77777777" w:rsidTr="00A53E8C">
        <w:tc>
          <w:tcPr>
            <w:tcW w:w="2157" w:type="dxa"/>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7309FB21" w14:textId="77777777" w:rsidR="00E665DC" w:rsidRPr="005D4222" w:rsidRDefault="00E665DC" w:rsidP="00A53E8C">
            <w:pPr>
              <w:pStyle w:val="ECDSMarginHead"/>
              <w:rPr>
                <w:lang w:eastAsia="zh-CN"/>
              </w:rPr>
            </w:pPr>
            <w:r w:rsidRPr="005D4222">
              <w:rPr>
                <w:lang w:eastAsia="zh-CN"/>
              </w:rPr>
              <w:t>Clinical recommendation statement/ rationale</w:t>
            </w:r>
          </w:p>
        </w:tc>
        <w:tc>
          <w:tcPr>
            <w:tcW w:w="7557" w:type="dxa"/>
            <w:gridSpan w:val="3"/>
            <w:tcBorders>
              <w:top w:val="single" w:sz="2" w:space="0" w:color="auto"/>
              <w:left w:val="single" w:sz="2" w:space="0" w:color="auto"/>
              <w:bottom w:val="single" w:sz="2" w:space="0" w:color="auto"/>
              <w:right w:val="single" w:sz="2" w:space="0" w:color="auto"/>
            </w:tcBorders>
            <w:hideMark/>
          </w:tcPr>
          <w:p w14:paraId="60F42084" w14:textId="77777777" w:rsidR="00E665DC" w:rsidRPr="005D4222" w:rsidRDefault="00E665DC" w:rsidP="00A53E8C">
            <w:pPr>
              <w:pStyle w:val="ECDSBody"/>
              <w:rPr>
                <w:rFonts w:eastAsia="Arial"/>
              </w:rPr>
            </w:pPr>
            <w:r w:rsidRPr="005D4222">
              <w:rPr>
                <w:rFonts w:eastAsia="Arial"/>
              </w:rPr>
              <w:t xml:space="preserve">The National Comprehensive Cancer Network (NCCN) recommends breast cancer screening follow-up, in alignment with the Breast Imaging Reporting and Data System (BI-RADS) scoring categories, which offer recommendations for different findings: </w:t>
            </w:r>
          </w:p>
          <w:p w14:paraId="109047CA" w14:textId="77777777" w:rsidR="00E665DC" w:rsidRPr="005D4222" w:rsidRDefault="00E665DC" w:rsidP="00E665DC">
            <w:pPr>
              <w:pStyle w:val="Bullet"/>
              <w:numPr>
                <w:ilvl w:val="0"/>
                <w:numId w:val="4"/>
              </w:numPr>
              <w:tabs>
                <w:tab w:val="left" w:pos="360"/>
                <w:tab w:val="left" w:pos="576"/>
              </w:tabs>
              <w:ind w:left="576" w:hanging="216"/>
              <w:rPr>
                <w:rFonts w:eastAsia="Arial"/>
              </w:rPr>
            </w:pPr>
            <w:r w:rsidRPr="005D4222">
              <w:rPr>
                <w:rFonts w:eastAsia="Arial"/>
              </w:rPr>
              <w:t xml:space="preserve">Category 0: Incomplete—Need Additional Imaging Evaluation and/or Prior Mammograms for Comparison, advises additional imaging. </w:t>
            </w:r>
          </w:p>
          <w:p w14:paraId="0A1ED013" w14:textId="77777777" w:rsidR="00E665DC" w:rsidRPr="005D4222" w:rsidRDefault="00E665DC" w:rsidP="00E665DC">
            <w:pPr>
              <w:pStyle w:val="Bullet"/>
              <w:numPr>
                <w:ilvl w:val="0"/>
                <w:numId w:val="4"/>
              </w:numPr>
              <w:tabs>
                <w:tab w:val="left" w:pos="360"/>
                <w:tab w:val="left" w:pos="576"/>
              </w:tabs>
              <w:ind w:left="576" w:hanging="216"/>
              <w:rPr>
                <w:rFonts w:eastAsia="Arial"/>
              </w:rPr>
            </w:pPr>
            <w:r w:rsidRPr="005D4222">
              <w:rPr>
                <w:rFonts w:eastAsia="Arial"/>
              </w:rPr>
              <w:t>Category 1: Negative Finding or Category 2: Benign, advises resuming routine screening.</w:t>
            </w:r>
          </w:p>
          <w:p w14:paraId="5B212B83" w14:textId="77777777" w:rsidR="00E665DC" w:rsidRPr="005D4222" w:rsidRDefault="00E665DC" w:rsidP="00E665DC">
            <w:pPr>
              <w:pStyle w:val="Bullet"/>
              <w:numPr>
                <w:ilvl w:val="0"/>
                <w:numId w:val="4"/>
              </w:numPr>
              <w:tabs>
                <w:tab w:val="left" w:pos="360"/>
                <w:tab w:val="left" w:pos="576"/>
              </w:tabs>
              <w:ind w:left="576" w:hanging="216"/>
              <w:rPr>
                <w:rFonts w:eastAsia="Arial"/>
              </w:rPr>
            </w:pPr>
            <w:r w:rsidRPr="005D4222">
              <w:rPr>
                <w:rFonts w:eastAsia="Arial"/>
              </w:rPr>
              <w:t>Category 3: Probably Benign, the recommendation is for diagnostic mammograms at 6 months, followed by repeat screenings every 6–12 months for 1–2 years, if appropriate.</w:t>
            </w:r>
          </w:p>
          <w:p w14:paraId="228F2CCA" w14:textId="77777777" w:rsidR="00E665DC" w:rsidRPr="005D4222" w:rsidRDefault="00E665DC" w:rsidP="00E665DC">
            <w:pPr>
              <w:pStyle w:val="Bullet"/>
              <w:numPr>
                <w:ilvl w:val="0"/>
                <w:numId w:val="4"/>
              </w:numPr>
              <w:tabs>
                <w:tab w:val="left" w:pos="360"/>
                <w:tab w:val="left" w:pos="576"/>
              </w:tabs>
              <w:ind w:left="576" w:hanging="216"/>
              <w:rPr>
                <w:rFonts w:eastAsia="Arial"/>
              </w:rPr>
            </w:pPr>
            <w:r w:rsidRPr="005D4222">
              <w:rPr>
                <w:rFonts w:eastAsia="Arial"/>
              </w:rPr>
              <w:t xml:space="preserve">Category 4: Suspicious and Category 5: Highly Suggestive of Malignancy, the recommendation is for tissue diagnosis using core needle biopsy (preferred) or needle localization excisional biopsy with specimen radiograph. When a needle biopsy (aspiration or core needle biopsy) is performed, obtaining concordance between the pathology report and the imaging finding is crucial. </w:t>
            </w:r>
          </w:p>
          <w:p w14:paraId="0628DA75" w14:textId="6EDE63DC" w:rsidR="00E665DC" w:rsidRPr="005D4222" w:rsidRDefault="00E665DC" w:rsidP="00E665DC">
            <w:pPr>
              <w:pStyle w:val="Bullet"/>
              <w:numPr>
                <w:ilvl w:val="0"/>
                <w:numId w:val="4"/>
              </w:numPr>
              <w:tabs>
                <w:tab w:val="left" w:pos="360"/>
                <w:tab w:val="left" w:pos="576"/>
              </w:tabs>
              <w:spacing w:after="80"/>
              <w:ind w:left="576" w:hanging="216"/>
              <w:rPr>
                <w:lang w:eastAsia="zh-CN"/>
              </w:rPr>
            </w:pPr>
            <w:r w:rsidRPr="005D4222">
              <w:rPr>
                <w:rFonts w:eastAsia="Arial"/>
              </w:rPr>
              <w:t>For Category 6: Known Biopsy-Proven Malignancy, the recommendation depends on the primary tumor, size of the invasive component, estimated disease volume, histological grade and other relevant characteristics.</w:t>
            </w:r>
          </w:p>
        </w:tc>
      </w:tr>
    </w:tbl>
    <w:p w14:paraId="64A9E1A3" w14:textId="77777777" w:rsidR="00E665DC" w:rsidRPr="005D4222" w:rsidRDefault="00E665DC"/>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3" w:type="dxa"/>
          <w:right w:w="86" w:type="dxa"/>
        </w:tblCellMar>
        <w:tblLook w:val="04A0" w:firstRow="1" w:lastRow="0" w:firstColumn="1" w:lastColumn="0" w:noHBand="0" w:noVBand="1"/>
      </w:tblPr>
      <w:tblGrid>
        <w:gridCol w:w="2157"/>
        <w:gridCol w:w="7557"/>
      </w:tblGrid>
      <w:tr w:rsidR="00E665DC" w:rsidRPr="005D4222" w14:paraId="3066431B" w14:textId="77777777" w:rsidTr="00A53E8C">
        <w:tc>
          <w:tcPr>
            <w:tcW w:w="2157" w:type="dxa"/>
            <w:tcBorders>
              <w:top w:val="single" w:sz="2" w:space="0" w:color="auto"/>
              <w:left w:val="single" w:sz="2" w:space="0" w:color="auto"/>
              <w:bottom w:val="single" w:sz="2" w:space="0" w:color="auto"/>
              <w:right w:val="single" w:sz="2" w:space="0" w:color="auto"/>
            </w:tcBorders>
            <w:shd w:val="clear" w:color="auto" w:fill="BFBFBF" w:themeFill="background1" w:themeFillShade="BF"/>
          </w:tcPr>
          <w:p w14:paraId="781602EC" w14:textId="77777777" w:rsidR="00E665DC" w:rsidRPr="005D4222" w:rsidRDefault="00E665DC" w:rsidP="00A53E8C">
            <w:pPr>
              <w:pStyle w:val="ECDSMarginHead"/>
              <w:rPr>
                <w:lang w:eastAsia="zh-CN"/>
              </w:rPr>
            </w:pPr>
          </w:p>
        </w:tc>
        <w:tc>
          <w:tcPr>
            <w:tcW w:w="7557" w:type="dxa"/>
            <w:tcBorders>
              <w:top w:val="single" w:sz="2" w:space="0" w:color="auto"/>
              <w:left w:val="single" w:sz="2" w:space="0" w:color="auto"/>
              <w:bottom w:val="single" w:sz="2" w:space="0" w:color="auto"/>
              <w:right w:val="single" w:sz="2" w:space="0" w:color="auto"/>
            </w:tcBorders>
          </w:tcPr>
          <w:p w14:paraId="7F7B1875" w14:textId="444DEC9E" w:rsidR="00E665DC" w:rsidRPr="005D4222" w:rsidRDefault="00E665DC" w:rsidP="00E665DC">
            <w:pPr>
              <w:pStyle w:val="ECDSBody"/>
              <w:rPr>
                <w:rFonts w:eastAsia="Arial"/>
              </w:rPr>
            </w:pPr>
            <w:r w:rsidRPr="005D4222">
              <w:rPr>
                <w:rFonts w:eastAsia="Arial"/>
              </w:rPr>
              <w:t>All recommendations are Category 2A recommendations—based on lower-level evidence, there is uniform NCCN consensus that the intervention is appropriate.</w:t>
            </w:r>
          </w:p>
        </w:tc>
      </w:tr>
      <w:tr w:rsidR="00E665DC" w:rsidRPr="005D4222" w14:paraId="3B7D2026" w14:textId="77777777" w:rsidTr="00A53E8C">
        <w:tc>
          <w:tcPr>
            <w:tcW w:w="2157" w:type="dxa"/>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21E23CEC" w14:textId="77777777" w:rsidR="00E665DC" w:rsidRPr="005D4222" w:rsidRDefault="00E665DC" w:rsidP="00A53E8C">
            <w:pPr>
              <w:pStyle w:val="ECDSMarginHead"/>
              <w:rPr>
                <w:lang w:eastAsia="zh-CN"/>
              </w:rPr>
            </w:pPr>
            <w:r w:rsidRPr="005D4222">
              <w:rPr>
                <w:lang w:eastAsia="zh-CN"/>
              </w:rPr>
              <w:t>Citations</w:t>
            </w:r>
          </w:p>
        </w:tc>
        <w:tc>
          <w:tcPr>
            <w:tcW w:w="7557" w:type="dxa"/>
            <w:tcBorders>
              <w:top w:val="single" w:sz="2" w:space="0" w:color="auto"/>
              <w:left w:val="single" w:sz="2" w:space="0" w:color="auto"/>
              <w:bottom w:val="single" w:sz="2" w:space="0" w:color="auto"/>
              <w:right w:val="single" w:sz="2" w:space="0" w:color="auto"/>
            </w:tcBorders>
            <w:hideMark/>
          </w:tcPr>
          <w:p w14:paraId="7F47E2D4" w14:textId="77777777" w:rsidR="00E665DC" w:rsidRPr="005D4222" w:rsidRDefault="00E665DC" w:rsidP="00A53E8C">
            <w:pPr>
              <w:pStyle w:val="ECDSBody"/>
              <w:rPr>
                <w:rFonts w:eastAsia="Arial"/>
              </w:rPr>
            </w:pPr>
            <w:r w:rsidRPr="005D4222">
              <w:rPr>
                <w:rFonts w:eastAsia="Arial"/>
              </w:rPr>
              <w:t>Sickles, E.A., C.J. D’Orsi, L.W. Bassett, C.M. Appleton, W.A. Berg, and E.S. Burnside. “ACR BI-RADS</w:t>
            </w:r>
            <w:r w:rsidRPr="005D4222">
              <w:rPr>
                <w:rFonts w:eastAsia="Arial"/>
                <w:vertAlign w:val="superscript"/>
              </w:rPr>
              <w:t>®</w:t>
            </w:r>
            <w:r w:rsidRPr="005D4222">
              <w:rPr>
                <w:rFonts w:eastAsia="Arial"/>
              </w:rPr>
              <w:t xml:space="preserve"> Mammography.” 2013. ACR BI-RADS® Atlas, Breast Imaging Reporting and Data System 5.</w:t>
            </w:r>
          </w:p>
          <w:p w14:paraId="03D5C898" w14:textId="77777777" w:rsidR="00E665DC" w:rsidRPr="005D4222" w:rsidRDefault="00E665DC" w:rsidP="00A53E8C">
            <w:pPr>
              <w:pStyle w:val="ECDSBody"/>
              <w:rPr>
                <w:lang w:eastAsia="zh-CN"/>
              </w:rPr>
            </w:pPr>
            <w:r w:rsidRPr="005D4222">
              <w:rPr>
                <w:rFonts w:eastAsia="Arial"/>
              </w:rPr>
              <w:t xml:space="preserve">Gradishar, W.J., M.S. Moran, J. Abraham, et al. 2022. “Breast Cancer, Version 3. NCCN Clinical Practice Guidelines in Oncology.” </w:t>
            </w:r>
            <w:r w:rsidRPr="005D4222">
              <w:rPr>
                <w:rFonts w:eastAsia="Arial"/>
                <w:i/>
                <w:iCs/>
              </w:rPr>
              <w:t>J Natl Compr Canc Netw</w:t>
            </w:r>
            <w:r w:rsidRPr="005D4222">
              <w:rPr>
                <w:rFonts w:eastAsia="Arial"/>
              </w:rPr>
              <w:t xml:space="preserve"> 20(6):691–722. doi:10.6004/jnccn.2022.0030.</w:t>
            </w:r>
          </w:p>
        </w:tc>
      </w:tr>
      <w:tr w:rsidR="00E665DC" w:rsidRPr="005D4222" w14:paraId="2526245A" w14:textId="77777777" w:rsidTr="00A53E8C">
        <w:tc>
          <w:tcPr>
            <w:tcW w:w="9714" w:type="dxa"/>
            <w:gridSpan w:val="2"/>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4A471CBC" w14:textId="77777777" w:rsidR="00E665DC" w:rsidRPr="005D4222" w:rsidRDefault="00E665DC" w:rsidP="00A53E8C">
            <w:pPr>
              <w:pStyle w:val="ECDSMarginHead"/>
              <w:rPr>
                <w:lang w:eastAsia="zh-CN"/>
              </w:rPr>
            </w:pPr>
            <w:r w:rsidRPr="005D4222">
              <w:rPr>
                <w:lang w:eastAsia="zh-CN"/>
              </w:rPr>
              <w:t>Characteristics</w:t>
            </w:r>
          </w:p>
        </w:tc>
      </w:tr>
      <w:tr w:rsidR="00E665DC" w:rsidRPr="005D4222" w14:paraId="7F16E8F9" w14:textId="77777777" w:rsidTr="00D94315">
        <w:tc>
          <w:tcPr>
            <w:tcW w:w="2157" w:type="dxa"/>
            <w:tcBorders>
              <w:top w:val="single" w:sz="4" w:space="0" w:color="auto"/>
              <w:left w:val="single" w:sz="4" w:space="0" w:color="auto"/>
              <w:bottom w:val="nil"/>
              <w:right w:val="single" w:sz="4" w:space="0" w:color="auto"/>
            </w:tcBorders>
            <w:hideMark/>
          </w:tcPr>
          <w:p w14:paraId="434D522F" w14:textId="77777777" w:rsidR="00E665DC" w:rsidRPr="005D4222" w:rsidRDefault="00E665DC" w:rsidP="00E665DC">
            <w:pPr>
              <w:pStyle w:val="ECDSSubhead"/>
              <w:rPr>
                <w:lang w:eastAsia="zh-CN"/>
              </w:rPr>
            </w:pPr>
            <w:r w:rsidRPr="005D4222">
              <w:rPr>
                <w:lang w:eastAsia="zh-CN"/>
              </w:rPr>
              <w:t>Scoring</w:t>
            </w:r>
          </w:p>
        </w:tc>
        <w:tc>
          <w:tcPr>
            <w:tcW w:w="7557" w:type="dxa"/>
            <w:tcBorders>
              <w:top w:val="single" w:sz="4" w:space="0" w:color="auto"/>
              <w:left w:val="single" w:sz="4" w:space="0" w:color="auto"/>
              <w:bottom w:val="nil"/>
              <w:right w:val="single" w:sz="4" w:space="0" w:color="auto"/>
            </w:tcBorders>
          </w:tcPr>
          <w:p w14:paraId="0856A57A" w14:textId="77777777" w:rsidR="00E665DC" w:rsidRPr="005D4222" w:rsidRDefault="00E665DC" w:rsidP="00E665DC">
            <w:pPr>
              <w:pStyle w:val="ECDSBody"/>
              <w:spacing w:after="0"/>
              <w:rPr>
                <w:lang w:eastAsia="zh-CN"/>
              </w:rPr>
            </w:pPr>
            <w:r w:rsidRPr="005D4222">
              <w:rPr>
                <w:lang w:eastAsia="zh-CN"/>
              </w:rPr>
              <w:t>Proportion.</w:t>
            </w:r>
          </w:p>
        </w:tc>
      </w:tr>
      <w:tr w:rsidR="00E665DC" w:rsidRPr="005D4222" w14:paraId="4E92211D" w14:textId="77777777" w:rsidTr="00D94315">
        <w:tc>
          <w:tcPr>
            <w:tcW w:w="2157" w:type="dxa"/>
            <w:tcBorders>
              <w:top w:val="nil"/>
              <w:left w:val="single" w:sz="4" w:space="0" w:color="auto"/>
              <w:bottom w:val="nil"/>
              <w:right w:val="single" w:sz="4" w:space="0" w:color="auto"/>
            </w:tcBorders>
            <w:hideMark/>
          </w:tcPr>
          <w:p w14:paraId="2CF48661" w14:textId="77777777" w:rsidR="00E665DC" w:rsidRPr="005D4222" w:rsidRDefault="00E665DC" w:rsidP="00E665DC">
            <w:pPr>
              <w:pStyle w:val="ECDSSubhead"/>
              <w:rPr>
                <w:lang w:eastAsia="zh-CN"/>
              </w:rPr>
            </w:pPr>
            <w:r w:rsidRPr="005D4222">
              <w:rPr>
                <w:lang w:eastAsia="zh-CN"/>
              </w:rPr>
              <w:t>Type</w:t>
            </w:r>
          </w:p>
        </w:tc>
        <w:tc>
          <w:tcPr>
            <w:tcW w:w="7557" w:type="dxa"/>
            <w:tcBorders>
              <w:top w:val="nil"/>
              <w:left w:val="single" w:sz="4" w:space="0" w:color="auto"/>
              <w:bottom w:val="nil"/>
              <w:right w:val="single" w:sz="4" w:space="0" w:color="auto"/>
            </w:tcBorders>
          </w:tcPr>
          <w:p w14:paraId="3BD3FCB3" w14:textId="77777777" w:rsidR="00E665DC" w:rsidRPr="005D4222" w:rsidRDefault="00E665DC" w:rsidP="00E665DC">
            <w:pPr>
              <w:pStyle w:val="ECDSBody"/>
              <w:spacing w:after="0"/>
              <w:rPr>
                <w:lang w:eastAsia="zh-CN"/>
              </w:rPr>
            </w:pPr>
            <w:r w:rsidRPr="005D4222">
              <w:rPr>
                <w:lang w:eastAsia="zh-CN"/>
              </w:rPr>
              <w:t>Process.</w:t>
            </w:r>
          </w:p>
        </w:tc>
      </w:tr>
      <w:tr w:rsidR="00E665DC" w:rsidRPr="005D4222" w14:paraId="5AC0C92F" w14:textId="77777777" w:rsidTr="00D94315">
        <w:tc>
          <w:tcPr>
            <w:tcW w:w="2157" w:type="dxa"/>
            <w:tcBorders>
              <w:top w:val="nil"/>
              <w:left w:val="single" w:sz="4" w:space="0" w:color="auto"/>
              <w:bottom w:val="nil"/>
              <w:right w:val="single" w:sz="4" w:space="0" w:color="auto"/>
            </w:tcBorders>
            <w:hideMark/>
          </w:tcPr>
          <w:p w14:paraId="570D3751" w14:textId="15ED6D37" w:rsidR="00E665DC" w:rsidRPr="005D4222" w:rsidRDefault="00B51CDC" w:rsidP="00E665DC">
            <w:pPr>
              <w:pStyle w:val="ECDSSubhead"/>
              <w:rPr>
                <w:lang w:eastAsia="zh-CN"/>
              </w:rPr>
            </w:pPr>
            <w:r w:rsidRPr="005D4222">
              <w:rPr>
                <w:lang w:eastAsia="zh-CN"/>
              </w:rPr>
              <w:t>Product lines</w:t>
            </w:r>
          </w:p>
        </w:tc>
        <w:tc>
          <w:tcPr>
            <w:tcW w:w="7557" w:type="dxa"/>
            <w:tcBorders>
              <w:top w:val="nil"/>
              <w:left w:val="single" w:sz="4" w:space="0" w:color="auto"/>
              <w:bottom w:val="nil"/>
              <w:right w:val="single" w:sz="4" w:space="0" w:color="auto"/>
            </w:tcBorders>
          </w:tcPr>
          <w:p w14:paraId="310FF9D7" w14:textId="77777777" w:rsidR="00E665DC" w:rsidRPr="005D4222" w:rsidRDefault="00E665DC" w:rsidP="005D6173">
            <w:pPr>
              <w:pStyle w:val="ProcessBullet"/>
              <w:numPr>
                <w:ilvl w:val="0"/>
                <w:numId w:val="143"/>
              </w:numPr>
              <w:tabs>
                <w:tab w:val="left" w:pos="216"/>
              </w:tabs>
              <w:spacing w:line="256" w:lineRule="auto"/>
              <w:ind w:left="293" w:hanging="270"/>
              <w:jc w:val="both"/>
              <w:rPr>
                <w:rFonts w:eastAsia="Arial,Arial,Arial,Arial,Arial,A" w:cs="Arial"/>
                <w:color w:val="000000" w:themeColor="text1"/>
                <w:lang w:eastAsia="zh-CN"/>
              </w:rPr>
            </w:pPr>
            <w:r w:rsidRPr="005D4222">
              <w:rPr>
                <w:rFonts w:eastAsia="Arial,Arial,Arial,Arial,Arial,A" w:cs="Arial"/>
                <w:color w:val="000000" w:themeColor="text1"/>
                <w:lang w:eastAsia="zh-CN"/>
              </w:rPr>
              <w:t>Commercial.</w:t>
            </w:r>
          </w:p>
          <w:p w14:paraId="4CF077A9" w14:textId="77777777" w:rsidR="00E665DC" w:rsidRPr="005D4222" w:rsidRDefault="00E665DC" w:rsidP="005D6173">
            <w:pPr>
              <w:pStyle w:val="ProcessBullet"/>
              <w:numPr>
                <w:ilvl w:val="0"/>
                <w:numId w:val="143"/>
              </w:numPr>
              <w:tabs>
                <w:tab w:val="left" w:pos="216"/>
              </w:tabs>
              <w:spacing w:line="256" w:lineRule="auto"/>
              <w:ind w:left="293" w:hanging="270"/>
              <w:jc w:val="both"/>
              <w:rPr>
                <w:rFonts w:eastAsia="Arial,Arial,Arial,Arial,Arial,A" w:cs="Arial"/>
                <w:color w:val="000000" w:themeColor="text1"/>
                <w:lang w:eastAsia="zh-CN"/>
              </w:rPr>
            </w:pPr>
            <w:r w:rsidRPr="005D4222">
              <w:rPr>
                <w:rFonts w:eastAsia="Arial,Arial,Arial,Arial,Arial,A" w:cs="Arial"/>
                <w:color w:val="000000" w:themeColor="text1"/>
                <w:lang w:eastAsia="zh-CN"/>
              </w:rPr>
              <w:t>Medicaid.</w:t>
            </w:r>
          </w:p>
          <w:p w14:paraId="402B5DF8" w14:textId="77777777" w:rsidR="00E665DC" w:rsidRPr="005D4222" w:rsidRDefault="00E665DC" w:rsidP="005D6173">
            <w:pPr>
              <w:pStyle w:val="ProcessBullet"/>
              <w:numPr>
                <w:ilvl w:val="0"/>
                <w:numId w:val="143"/>
              </w:numPr>
              <w:tabs>
                <w:tab w:val="left" w:pos="216"/>
              </w:tabs>
              <w:spacing w:line="256" w:lineRule="auto"/>
              <w:ind w:left="293" w:hanging="270"/>
              <w:jc w:val="both"/>
              <w:rPr>
                <w:rFonts w:eastAsia="Arial,Arial,Arial,Arial,Arial,A" w:cs="Arial"/>
                <w:lang w:eastAsia="zh-CN"/>
              </w:rPr>
            </w:pPr>
            <w:r w:rsidRPr="005D4222">
              <w:rPr>
                <w:rFonts w:eastAsia="Arial,Arial,Arial,Arial,Arial,A" w:cs="Arial"/>
                <w:color w:val="000000" w:themeColor="text1"/>
                <w:lang w:eastAsia="zh-CN"/>
              </w:rPr>
              <w:t>Medicare.</w:t>
            </w:r>
          </w:p>
        </w:tc>
      </w:tr>
      <w:tr w:rsidR="00E665DC" w:rsidRPr="005D4222" w14:paraId="34214A21" w14:textId="77777777" w:rsidTr="00D94315">
        <w:tc>
          <w:tcPr>
            <w:tcW w:w="2157" w:type="dxa"/>
            <w:tcBorders>
              <w:top w:val="nil"/>
              <w:left w:val="single" w:sz="4" w:space="0" w:color="auto"/>
              <w:bottom w:val="nil"/>
              <w:right w:val="single" w:sz="4" w:space="0" w:color="auto"/>
            </w:tcBorders>
            <w:hideMark/>
          </w:tcPr>
          <w:p w14:paraId="30F304F7" w14:textId="7B8F35EE" w:rsidR="00E665DC" w:rsidRPr="005D4222" w:rsidRDefault="00B51CDC" w:rsidP="00E665DC">
            <w:pPr>
              <w:pStyle w:val="ECDSSubhead"/>
              <w:rPr>
                <w:lang w:eastAsia="zh-CN"/>
              </w:rPr>
            </w:pPr>
            <w:r w:rsidRPr="005D4222">
              <w:rPr>
                <w:lang w:eastAsia="zh-CN"/>
              </w:rPr>
              <w:t>Stratifications</w:t>
            </w:r>
            <w:r w:rsidR="00E665DC" w:rsidRPr="005D4222">
              <w:rPr>
                <w:lang w:eastAsia="zh-CN"/>
              </w:rPr>
              <w:t xml:space="preserve"> </w:t>
            </w:r>
          </w:p>
        </w:tc>
        <w:tc>
          <w:tcPr>
            <w:tcW w:w="7557" w:type="dxa"/>
            <w:tcBorders>
              <w:top w:val="nil"/>
              <w:left w:val="single" w:sz="4" w:space="0" w:color="auto"/>
              <w:bottom w:val="nil"/>
              <w:right w:val="single" w:sz="4" w:space="0" w:color="auto"/>
            </w:tcBorders>
          </w:tcPr>
          <w:p w14:paraId="761238FD" w14:textId="77777777" w:rsidR="00E665DC" w:rsidRPr="005D4222" w:rsidRDefault="00E665DC" w:rsidP="00E665DC">
            <w:pPr>
              <w:pStyle w:val="ECDSBody"/>
              <w:spacing w:after="0"/>
              <w:rPr>
                <w:lang w:eastAsia="zh-CN"/>
              </w:rPr>
            </w:pPr>
            <w:r w:rsidRPr="005D4222">
              <w:rPr>
                <w:lang w:eastAsia="zh-CN"/>
              </w:rPr>
              <w:t>None.</w:t>
            </w:r>
          </w:p>
        </w:tc>
      </w:tr>
      <w:tr w:rsidR="00E665DC" w:rsidRPr="005D4222" w14:paraId="6DD387CB" w14:textId="77777777" w:rsidTr="00D94315">
        <w:tc>
          <w:tcPr>
            <w:tcW w:w="2157" w:type="dxa"/>
            <w:tcBorders>
              <w:top w:val="nil"/>
              <w:left w:val="single" w:sz="4" w:space="0" w:color="auto"/>
              <w:bottom w:val="nil"/>
              <w:right w:val="single" w:sz="4" w:space="0" w:color="auto"/>
            </w:tcBorders>
            <w:hideMark/>
          </w:tcPr>
          <w:p w14:paraId="7C25B684" w14:textId="77777777" w:rsidR="00E665DC" w:rsidRPr="005D4222" w:rsidRDefault="00E665DC" w:rsidP="00E665DC">
            <w:pPr>
              <w:pStyle w:val="ECDSSubhead"/>
              <w:rPr>
                <w:lang w:eastAsia="zh-CN"/>
              </w:rPr>
            </w:pPr>
            <w:r w:rsidRPr="005D4222">
              <w:rPr>
                <w:lang w:eastAsia="zh-CN"/>
              </w:rPr>
              <w:t>Risk adjustment</w:t>
            </w:r>
          </w:p>
        </w:tc>
        <w:tc>
          <w:tcPr>
            <w:tcW w:w="7557" w:type="dxa"/>
            <w:tcBorders>
              <w:top w:val="nil"/>
              <w:left w:val="single" w:sz="4" w:space="0" w:color="auto"/>
              <w:bottom w:val="nil"/>
              <w:right w:val="single" w:sz="4" w:space="0" w:color="auto"/>
            </w:tcBorders>
          </w:tcPr>
          <w:p w14:paraId="4DD7E0AF" w14:textId="77777777" w:rsidR="00E665DC" w:rsidRPr="005D4222" w:rsidRDefault="00E665DC" w:rsidP="00E665DC">
            <w:pPr>
              <w:pStyle w:val="ECDSBody"/>
              <w:spacing w:after="0"/>
              <w:rPr>
                <w:b/>
                <w:i/>
                <w:iCs/>
                <w:lang w:eastAsia="zh-CN"/>
              </w:rPr>
            </w:pPr>
            <w:r w:rsidRPr="005D4222">
              <w:rPr>
                <w:lang w:eastAsia="zh-CN"/>
              </w:rPr>
              <w:t>None.</w:t>
            </w:r>
          </w:p>
        </w:tc>
      </w:tr>
      <w:tr w:rsidR="00E665DC" w:rsidRPr="005D4222" w14:paraId="46F24390" w14:textId="77777777" w:rsidTr="00D94315">
        <w:tc>
          <w:tcPr>
            <w:tcW w:w="2157" w:type="dxa"/>
            <w:tcBorders>
              <w:top w:val="nil"/>
              <w:left w:val="single" w:sz="4" w:space="0" w:color="auto"/>
              <w:bottom w:val="nil"/>
              <w:right w:val="single" w:sz="4" w:space="0" w:color="auto"/>
            </w:tcBorders>
            <w:hideMark/>
          </w:tcPr>
          <w:p w14:paraId="670D5800" w14:textId="77777777" w:rsidR="00E665DC" w:rsidRPr="005D4222" w:rsidRDefault="00E665DC" w:rsidP="00E665DC">
            <w:pPr>
              <w:pStyle w:val="ECDSSubhead"/>
              <w:rPr>
                <w:lang w:eastAsia="zh-CN"/>
              </w:rPr>
            </w:pPr>
            <w:r w:rsidRPr="005D4222">
              <w:rPr>
                <w:lang w:eastAsia="zh-CN"/>
              </w:rPr>
              <w:t>Improvement notation</w:t>
            </w:r>
          </w:p>
        </w:tc>
        <w:tc>
          <w:tcPr>
            <w:tcW w:w="7557" w:type="dxa"/>
            <w:tcBorders>
              <w:top w:val="nil"/>
              <w:left w:val="single" w:sz="4" w:space="0" w:color="auto"/>
              <w:bottom w:val="nil"/>
              <w:right w:val="single" w:sz="4" w:space="0" w:color="auto"/>
            </w:tcBorders>
          </w:tcPr>
          <w:p w14:paraId="05F5EF84" w14:textId="77777777" w:rsidR="00E665DC" w:rsidRPr="005D4222" w:rsidRDefault="00E665DC" w:rsidP="00E665DC">
            <w:pPr>
              <w:pStyle w:val="ECDSBody"/>
              <w:spacing w:after="0"/>
              <w:rPr>
                <w:lang w:eastAsia="zh-CN"/>
              </w:rPr>
            </w:pPr>
            <w:r w:rsidRPr="005D4222">
              <w:rPr>
                <w:lang w:eastAsia="zh-CN"/>
              </w:rPr>
              <w:t>Increased score indicates improvement.</w:t>
            </w:r>
          </w:p>
        </w:tc>
      </w:tr>
      <w:tr w:rsidR="00E665DC" w:rsidRPr="005D4222" w14:paraId="29A0FA56" w14:textId="77777777" w:rsidTr="00A53E8C">
        <w:tc>
          <w:tcPr>
            <w:tcW w:w="2157" w:type="dxa"/>
            <w:tcBorders>
              <w:top w:val="nil"/>
              <w:left w:val="single" w:sz="4" w:space="0" w:color="auto"/>
              <w:bottom w:val="single" w:sz="4" w:space="0" w:color="auto"/>
              <w:right w:val="single" w:sz="4" w:space="0" w:color="auto"/>
            </w:tcBorders>
            <w:hideMark/>
          </w:tcPr>
          <w:p w14:paraId="5716D662" w14:textId="77777777" w:rsidR="00E665DC" w:rsidRPr="005D4222" w:rsidRDefault="00E665DC" w:rsidP="00E665DC">
            <w:pPr>
              <w:pStyle w:val="ECDSSubhead"/>
              <w:rPr>
                <w:lang w:eastAsia="zh-CN"/>
              </w:rPr>
            </w:pPr>
            <w:r w:rsidRPr="005D4222">
              <w:rPr>
                <w:lang w:eastAsia="zh-CN"/>
              </w:rPr>
              <w:t>Guidance</w:t>
            </w:r>
          </w:p>
        </w:tc>
        <w:tc>
          <w:tcPr>
            <w:tcW w:w="7557" w:type="dxa"/>
            <w:tcBorders>
              <w:top w:val="nil"/>
              <w:left w:val="single" w:sz="4" w:space="0" w:color="auto"/>
              <w:bottom w:val="single" w:sz="4" w:space="0" w:color="auto"/>
              <w:right w:val="single" w:sz="4" w:space="0" w:color="auto"/>
            </w:tcBorders>
          </w:tcPr>
          <w:p w14:paraId="222B5D19" w14:textId="4D65D1C6" w:rsidR="00E665DC" w:rsidRPr="005D4222" w:rsidRDefault="00E665DC" w:rsidP="00A53E8C">
            <w:pPr>
              <w:pStyle w:val="ECDSBody"/>
            </w:pPr>
            <w:r w:rsidRPr="005D4222">
              <w:rPr>
                <w:b/>
              </w:rPr>
              <w:t>Data collection methodology</w:t>
            </w:r>
            <w:r w:rsidRPr="005D4222">
              <w:rPr>
                <w:b/>
                <w:bCs w:val="0"/>
              </w:rPr>
              <w:t>:</w:t>
            </w:r>
            <w:r w:rsidRPr="005D4222">
              <w:t xml:space="preserve"> ECDS. Refer to </w:t>
            </w:r>
            <w:hyperlink w:anchor="General_Guideline_Data_Collection_Method" w:history="1">
              <w:r w:rsidRPr="005D4222">
                <w:rPr>
                  <w:rStyle w:val="Hyperlink"/>
                  <w:i/>
                  <w:iCs/>
                </w:rPr>
                <w:t>General Guideline: Data Collection Methods</w:t>
              </w:r>
            </w:hyperlink>
            <w:r w:rsidRPr="005D4222">
              <w:t xml:space="preserve"> for additional information. </w:t>
            </w:r>
          </w:p>
          <w:p w14:paraId="749F4658" w14:textId="77777777" w:rsidR="00E665DC" w:rsidRPr="005D4222" w:rsidRDefault="00E665DC" w:rsidP="00A53E8C">
            <w:pPr>
              <w:pStyle w:val="ECDSBody"/>
            </w:pPr>
            <w:r w:rsidRPr="005D4222">
              <w:rPr>
                <w:b/>
              </w:rPr>
              <w:t xml:space="preserve">Date specificity: </w:t>
            </w:r>
            <w:r w:rsidRPr="005D4222">
              <w:t>Dates must be specific enough to determine the event occurred in the period being measured.</w:t>
            </w:r>
          </w:p>
          <w:p w14:paraId="1D5A9C00" w14:textId="77777777" w:rsidR="00E665DC" w:rsidRPr="005D4222" w:rsidRDefault="00E665DC" w:rsidP="00A53E8C">
            <w:pPr>
              <w:pStyle w:val="ECDSBody"/>
            </w:pPr>
            <w:r w:rsidRPr="005D4222">
              <w:rPr>
                <w:b/>
              </w:rPr>
              <w:t xml:space="preserve">Which services count? </w:t>
            </w:r>
            <w:r w:rsidRPr="005D4222">
              <w:t>When using claims, include all paid, suspended, pending and denied claims.</w:t>
            </w:r>
          </w:p>
          <w:p w14:paraId="381F738F" w14:textId="77777777" w:rsidR="00E665DC" w:rsidRPr="005D4222" w:rsidRDefault="00E665DC" w:rsidP="00A53E8C">
            <w:pPr>
              <w:pStyle w:val="ECDSBody"/>
              <w:rPr>
                <w:color w:val="4472C4" w:themeColor="accent1"/>
              </w:rPr>
            </w:pPr>
            <w:r w:rsidRPr="005D4222">
              <w:rPr>
                <w:b/>
                <w:bCs w:val="0"/>
                <w:szCs w:val="21"/>
              </w:rPr>
              <w:t>Other guidance:</w:t>
            </w:r>
            <w:r w:rsidRPr="005D4222">
              <w:t xml:space="preserve"> </w:t>
            </w:r>
            <w:r w:rsidRPr="005D4222">
              <w:rPr>
                <w:szCs w:val="21"/>
              </w:rPr>
              <w:t>The measure is based on episodes; therefore, it is possible for the denominator to include multiple events for the same person.</w:t>
            </w:r>
            <w:r w:rsidRPr="005D4222" w:rsidDel="008A5220">
              <w:t xml:space="preserve"> </w:t>
            </w:r>
          </w:p>
        </w:tc>
      </w:tr>
      <w:tr w:rsidR="00E665DC" w:rsidRPr="005D4222" w14:paraId="4ED35F53" w14:textId="77777777" w:rsidTr="00A53E8C">
        <w:tc>
          <w:tcPr>
            <w:tcW w:w="9714" w:type="dxa"/>
            <w:gridSpan w:val="2"/>
            <w:tcBorders>
              <w:top w:val="single" w:sz="2" w:space="0" w:color="auto"/>
              <w:left w:val="single" w:sz="2" w:space="0" w:color="auto"/>
              <w:bottom w:val="single" w:sz="2" w:space="0" w:color="auto"/>
              <w:right w:val="single" w:sz="4" w:space="0" w:color="auto"/>
            </w:tcBorders>
            <w:shd w:val="clear" w:color="auto" w:fill="BFBFBF" w:themeFill="background1" w:themeFillShade="BF"/>
          </w:tcPr>
          <w:p w14:paraId="1FB0705D" w14:textId="77777777" w:rsidR="00E665DC" w:rsidRPr="005D4222" w:rsidRDefault="00E665DC" w:rsidP="00A53E8C">
            <w:pPr>
              <w:pStyle w:val="ECDSMarginHead"/>
            </w:pPr>
            <w:r w:rsidRPr="005D4222">
              <w:rPr>
                <w:lang w:eastAsia="zh-CN"/>
              </w:rPr>
              <w:t>Definitions</w:t>
            </w:r>
          </w:p>
        </w:tc>
      </w:tr>
      <w:tr w:rsidR="00E665DC" w:rsidRPr="005D4222" w14:paraId="5091A48E" w14:textId="77777777" w:rsidTr="007B5FC3">
        <w:tc>
          <w:tcPr>
            <w:tcW w:w="2157" w:type="dxa"/>
            <w:tcBorders>
              <w:top w:val="single" w:sz="2" w:space="0" w:color="auto"/>
              <w:left w:val="single" w:sz="2" w:space="0" w:color="auto"/>
              <w:bottom w:val="nil"/>
              <w:right w:val="single" w:sz="2" w:space="0" w:color="auto"/>
            </w:tcBorders>
          </w:tcPr>
          <w:p w14:paraId="1DFCCE31" w14:textId="77777777" w:rsidR="00E665DC" w:rsidRPr="005D4222" w:rsidRDefault="00E665DC" w:rsidP="00E665DC">
            <w:pPr>
              <w:pStyle w:val="ECDSSubhead"/>
              <w:rPr>
                <w:rFonts w:cs="Arial"/>
                <w:sz w:val="21"/>
                <w:lang w:eastAsia="zh-CN"/>
              </w:rPr>
            </w:pPr>
            <w:r w:rsidRPr="005D4222">
              <w:t>BI-RADS assessment</w:t>
            </w:r>
          </w:p>
        </w:tc>
        <w:tc>
          <w:tcPr>
            <w:tcW w:w="7557" w:type="dxa"/>
            <w:tcBorders>
              <w:top w:val="single" w:sz="4" w:space="0" w:color="auto"/>
              <w:left w:val="single" w:sz="4" w:space="0" w:color="auto"/>
              <w:bottom w:val="nil"/>
              <w:right w:val="single" w:sz="4" w:space="0" w:color="auto"/>
            </w:tcBorders>
          </w:tcPr>
          <w:p w14:paraId="067EFBE1" w14:textId="77777777" w:rsidR="00E665DC" w:rsidRPr="005D4222" w:rsidRDefault="00E665DC" w:rsidP="00A53E8C">
            <w:pPr>
              <w:pStyle w:val="ECDSBody"/>
              <w:spacing w:after="0"/>
              <w:rPr>
                <w:szCs w:val="21"/>
              </w:rPr>
            </w:pPr>
            <w:r w:rsidRPr="005D4222">
              <w:rPr>
                <w:shd w:val="clear" w:color="auto" w:fill="FFFFFF"/>
              </w:rPr>
              <w:t>Clinically documented BI-RADS score. BI-RADS is a standardized classification system proposed by the American College of Radiology, used for the imaging of mammography, ultrasound and MRI of the breast.</w:t>
            </w:r>
          </w:p>
        </w:tc>
      </w:tr>
      <w:tr w:rsidR="00E665DC" w:rsidRPr="005D4222" w14:paraId="1FF872BC" w14:textId="77777777" w:rsidTr="007B5FC3">
        <w:tc>
          <w:tcPr>
            <w:tcW w:w="2157" w:type="dxa"/>
            <w:tcBorders>
              <w:top w:val="nil"/>
              <w:left w:val="single" w:sz="2" w:space="0" w:color="auto"/>
              <w:bottom w:val="nil"/>
              <w:right w:val="single" w:sz="2" w:space="0" w:color="auto"/>
            </w:tcBorders>
          </w:tcPr>
          <w:p w14:paraId="7E62AFCD" w14:textId="77777777" w:rsidR="00E665DC" w:rsidRPr="005D4222" w:rsidRDefault="00E665DC" w:rsidP="00E665DC">
            <w:pPr>
              <w:pStyle w:val="ECDSSubhead"/>
            </w:pPr>
            <w:r w:rsidRPr="005D4222">
              <w:t>Episode date</w:t>
            </w:r>
          </w:p>
        </w:tc>
        <w:tc>
          <w:tcPr>
            <w:tcW w:w="7557" w:type="dxa"/>
            <w:tcBorders>
              <w:top w:val="nil"/>
              <w:left w:val="single" w:sz="4" w:space="0" w:color="auto"/>
              <w:bottom w:val="nil"/>
              <w:right w:val="single" w:sz="4" w:space="0" w:color="auto"/>
            </w:tcBorders>
          </w:tcPr>
          <w:p w14:paraId="2AFF51F8" w14:textId="77777777" w:rsidR="00E665DC" w:rsidRPr="005D4222" w:rsidRDefault="00E665DC" w:rsidP="00A53E8C">
            <w:pPr>
              <w:pStyle w:val="ECDSBody"/>
              <w:spacing w:after="0"/>
              <w:rPr>
                <w:shd w:val="clear" w:color="auto" w:fill="FFFFFF"/>
              </w:rPr>
            </w:pPr>
            <w:r w:rsidRPr="005D4222">
              <w:t>The dates of service during the intake period when a high-risk or</w:t>
            </w:r>
            <w:r w:rsidRPr="005D4222" w:rsidDel="7093BD5B">
              <w:t xml:space="preserve"> </w:t>
            </w:r>
            <w:r w:rsidRPr="005D4222">
              <w:t xml:space="preserve">inconclusive BI-RADS </w:t>
            </w:r>
            <w:r w:rsidRPr="005D4222" w:rsidDel="5EDD4738">
              <w:t xml:space="preserve">score </w:t>
            </w:r>
            <w:r w:rsidRPr="005D4222" w:rsidDel="7093BD5B">
              <w:t xml:space="preserve">was </w:t>
            </w:r>
            <w:r w:rsidRPr="005D4222">
              <w:t>documented.</w:t>
            </w:r>
          </w:p>
        </w:tc>
      </w:tr>
      <w:tr w:rsidR="00E665DC" w:rsidRPr="005D4222" w14:paraId="2666AD23" w14:textId="77777777" w:rsidTr="007B5FC3">
        <w:tc>
          <w:tcPr>
            <w:tcW w:w="2157" w:type="dxa"/>
            <w:tcBorders>
              <w:top w:val="nil"/>
              <w:left w:val="single" w:sz="2" w:space="0" w:color="auto"/>
              <w:bottom w:val="single" w:sz="2" w:space="0" w:color="auto"/>
              <w:right w:val="single" w:sz="2" w:space="0" w:color="auto"/>
            </w:tcBorders>
          </w:tcPr>
          <w:p w14:paraId="19564F65" w14:textId="77777777" w:rsidR="00E665DC" w:rsidRPr="005D4222" w:rsidRDefault="00E665DC" w:rsidP="00E665DC">
            <w:pPr>
              <w:pStyle w:val="ECDSSubhead"/>
            </w:pPr>
            <w:r w:rsidRPr="005D4222">
              <w:rPr>
                <w:rFonts w:cs="Arial"/>
                <w:lang w:eastAsia="zh-CN"/>
              </w:rPr>
              <w:t>Intake period</w:t>
            </w:r>
          </w:p>
        </w:tc>
        <w:tc>
          <w:tcPr>
            <w:tcW w:w="7557" w:type="dxa"/>
            <w:tcBorders>
              <w:top w:val="nil"/>
              <w:left w:val="single" w:sz="4" w:space="0" w:color="auto"/>
              <w:bottom w:val="single" w:sz="4" w:space="0" w:color="auto"/>
              <w:right w:val="single" w:sz="4" w:space="0" w:color="auto"/>
            </w:tcBorders>
          </w:tcPr>
          <w:p w14:paraId="1F3098E8" w14:textId="77777777" w:rsidR="00E665DC" w:rsidRPr="005D4222" w:rsidRDefault="00E665DC" w:rsidP="00A53E8C">
            <w:pPr>
              <w:pStyle w:val="ECDSBody"/>
              <w:rPr>
                <w:shd w:val="clear" w:color="auto" w:fill="FFFFFF"/>
              </w:rPr>
            </w:pPr>
            <w:r w:rsidRPr="005D4222">
              <w:t>October 3 of the year prior to the measurement period to October 2 of the measurement period. The intake period is used to capture the episode date.</w:t>
            </w:r>
          </w:p>
        </w:tc>
      </w:tr>
    </w:tbl>
    <w:p w14:paraId="368063D3" w14:textId="77777777" w:rsidR="00E665DC" w:rsidRPr="005D4222" w:rsidRDefault="00E665DC">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3" w:type="dxa"/>
          <w:right w:w="86" w:type="dxa"/>
        </w:tblCellMar>
        <w:tblLook w:val="04A0" w:firstRow="1" w:lastRow="0" w:firstColumn="1" w:lastColumn="0" w:noHBand="0" w:noVBand="1"/>
      </w:tblPr>
      <w:tblGrid>
        <w:gridCol w:w="2157"/>
        <w:gridCol w:w="7557"/>
      </w:tblGrid>
      <w:tr w:rsidR="00E665DC" w:rsidRPr="005D4222" w14:paraId="6077B1E1" w14:textId="77777777" w:rsidTr="00E665DC">
        <w:tc>
          <w:tcPr>
            <w:tcW w:w="2157" w:type="dxa"/>
            <w:tcBorders>
              <w:top w:val="single" w:sz="2" w:space="0" w:color="auto"/>
              <w:left w:val="single" w:sz="2" w:space="0" w:color="auto"/>
              <w:right w:val="single" w:sz="2" w:space="0" w:color="auto"/>
            </w:tcBorders>
            <w:shd w:val="clear" w:color="auto" w:fill="BFBFBF" w:themeFill="background1" w:themeFillShade="BF"/>
            <w:hideMark/>
          </w:tcPr>
          <w:p w14:paraId="4C0CDBAD" w14:textId="77777777" w:rsidR="00E665DC" w:rsidRPr="005D4222" w:rsidRDefault="00E665DC" w:rsidP="00A53E8C">
            <w:pPr>
              <w:pStyle w:val="ECDSMarginHead"/>
              <w:rPr>
                <w:lang w:eastAsia="zh-CN"/>
              </w:rPr>
            </w:pPr>
            <w:r w:rsidRPr="005D4222">
              <w:rPr>
                <w:lang w:eastAsia="zh-CN"/>
              </w:rPr>
              <w:lastRenderedPageBreak/>
              <w:t>Initial population</w:t>
            </w:r>
          </w:p>
        </w:tc>
        <w:tc>
          <w:tcPr>
            <w:tcW w:w="7557" w:type="dxa"/>
            <w:tcBorders>
              <w:top w:val="single" w:sz="4" w:space="0" w:color="auto"/>
              <w:left w:val="single" w:sz="4" w:space="0" w:color="auto"/>
              <w:right w:val="single" w:sz="4" w:space="0" w:color="auto"/>
            </w:tcBorders>
            <w:hideMark/>
          </w:tcPr>
          <w:p w14:paraId="24544C06" w14:textId="77777777" w:rsidR="00E665DC" w:rsidRPr="005D4222" w:rsidRDefault="00E665DC" w:rsidP="00A53E8C">
            <w:pPr>
              <w:pStyle w:val="ECDSBody"/>
              <w:rPr>
                <w:lang w:eastAsia="zh-CN"/>
              </w:rPr>
            </w:pPr>
            <w:r w:rsidRPr="005D4222">
              <w:rPr>
                <w:i/>
                <w:iCs/>
                <w:lang w:eastAsia="zh-CN"/>
              </w:rPr>
              <w:t>Measure item count:</w:t>
            </w:r>
            <w:r w:rsidRPr="005D4222">
              <w:rPr>
                <w:lang w:eastAsia="zh-CN"/>
              </w:rPr>
              <w:t xml:space="preserve"> </w:t>
            </w:r>
            <w:r w:rsidRPr="005D4222">
              <w:rPr>
                <w:color w:val="000000" w:themeColor="text1"/>
                <w:lang w:eastAsia="zh-CN"/>
              </w:rPr>
              <w:t>Episode.</w:t>
            </w:r>
          </w:p>
          <w:p w14:paraId="50F5434B" w14:textId="77777777" w:rsidR="00E665DC" w:rsidRPr="005D4222" w:rsidRDefault="00E665DC" w:rsidP="00A53E8C">
            <w:pPr>
              <w:pStyle w:val="ECDSBody"/>
              <w:rPr>
                <w:lang w:eastAsia="zh-CN"/>
              </w:rPr>
            </w:pPr>
            <w:r w:rsidRPr="005D4222">
              <w:rPr>
                <w:i/>
                <w:iCs/>
                <w:lang w:eastAsia="zh-CN"/>
              </w:rPr>
              <w:t>Attribution basis:</w:t>
            </w:r>
            <w:r w:rsidRPr="005D4222">
              <w:rPr>
                <w:lang w:eastAsia="zh-CN"/>
              </w:rPr>
              <w:t xml:space="preserve"> </w:t>
            </w:r>
            <w:r w:rsidRPr="005D4222">
              <w:rPr>
                <w:color w:val="000000" w:themeColor="text1"/>
                <w:lang w:eastAsia="zh-CN"/>
              </w:rPr>
              <w:t>Enrollment.</w:t>
            </w:r>
          </w:p>
          <w:p w14:paraId="6C23682A" w14:textId="77777777" w:rsidR="00E665DC" w:rsidRPr="005D4222" w:rsidRDefault="00E665DC" w:rsidP="00E665DC">
            <w:pPr>
              <w:pStyle w:val="Bullet"/>
              <w:numPr>
                <w:ilvl w:val="0"/>
                <w:numId w:val="4"/>
              </w:numPr>
              <w:tabs>
                <w:tab w:val="left" w:pos="360"/>
                <w:tab w:val="left" w:pos="576"/>
              </w:tabs>
              <w:ind w:left="576" w:hanging="216"/>
              <w:rPr>
                <w:lang w:eastAsia="zh-CN"/>
              </w:rPr>
            </w:pPr>
            <w:r w:rsidRPr="005D4222">
              <w:rPr>
                <w:i/>
                <w:iCs/>
                <w:lang w:eastAsia="zh-CN"/>
              </w:rPr>
              <w:t>Benefits:</w:t>
            </w:r>
            <w:r w:rsidRPr="005D4222">
              <w:rPr>
                <w:lang w:eastAsia="zh-CN"/>
              </w:rPr>
              <w:t xml:space="preserve"> </w:t>
            </w:r>
            <w:r w:rsidRPr="005D4222">
              <w:rPr>
                <w:color w:val="000000" w:themeColor="text1"/>
                <w:lang w:eastAsia="zh-CN"/>
              </w:rPr>
              <w:t>Medical.</w:t>
            </w:r>
          </w:p>
          <w:p w14:paraId="255FFDE2" w14:textId="77777777" w:rsidR="00E665DC" w:rsidRPr="005D4222" w:rsidRDefault="00E665DC" w:rsidP="00E665DC">
            <w:pPr>
              <w:pStyle w:val="Bullet"/>
              <w:numPr>
                <w:ilvl w:val="0"/>
                <w:numId w:val="4"/>
              </w:numPr>
              <w:tabs>
                <w:tab w:val="left" w:pos="360"/>
                <w:tab w:val="left" w:pos="576"/>
              </w:tabs>
              <w:spacing w:after="80"/>
              <w:ind w:left="576" w:hanging="216"/>
              <w:rPr>
                <w:rFonts w:cs="Arial"/>
                <w:szCs w:val="21"/>
                <w:lang w:eastAsia="zh-CN"/>
              </w:rPr>
            </w:pPr>
            <w:r w:rsidRPr="005D4222">
              <w:rPr>
                <w:i/>
                <w:iCs/>
                <w:lang w:eastAsia="zh-CN"/>
              </w:rPr>
              <w:t>Continuous enrollment:</w:t>
            </w:r>
            <w:r w:rsidRPr="005D4222">
              <w:rPr>
                <w:lang w:eastAsia="zh-CN"/>
              </w:rPr>
              <w:t xml:space="preserve"> </w:t>
            </w:r>
            <w:r w:rsidRPr="005D4222">
              <w:rPr>
                <w:color w:val="000000" w:themeColor="text1"/>
                <w:lang w:eastAsia="zh-CN"/>
              </w:rPr>
              <w:t>Date of episode through 90 days after episode.</w:t>
            </w:r>
          </w:p>
          <w:p w14:paraId="03492FF1" w14:textId="77777777" w:rsidR="00E665DC" w:rsidRPr="005D4222" w:rsidRDefault="00E665DC" w:rsidP="00E665DC">
            <w:pPr>
              <w:pStyle w:val="Bullet"/>
              <w:numPr>
                <w:ilvl w:val="0"/>
                <w:numId w:val="4"/>
              </w:numPr>
              <w:tabs>
                <w:tab w:val="left" w:pos="360"/>
                <w:tab w:val="left" w:pos="576"/>
              </w:tabs>
              <w:spacing w:after="80"/>
              <w:rPr>
                <w:rFonts w:cs="Arial"/>
                <w:szCs w:val="21"/>
                <w:lang w:eastAsia="zh-CN"/>
              </w:rPr>
            </w:pPr>
            <w:r w:rsidRPr="005D4222">
              <w:rPr>
                <w:i/>
                <w:iCs/>
                <w:lang w:eastAsia="zh-CN"/>
              </w:rPr>
              <w:t xml:space="preserve">Allowable gap: </w:t>
            </w:r>
            <w:r w:rsidRPr="005D4222">
              <w:rPr>
                <w:lang w:eastAsia="zh-CN"/>
              </w:rPr>
              <w:t>None.</w:t>
            </w:r>
          </w:p>
          <w:p w14:paraId="29C0EC45" w14:textId="77777777" w:rsidR="00E665DC" w:rsidRPr="005D4222" w:rsidRDefault="00E665DC" w:rsidP="00A53E8C">
            <w:pPr>
              <w:pStyle w:val="ECDSBody"/>
              <w:rPr>
                <w:lang w:eastAsia="zh-CN"/>
              </w:rPr>
            </w:pPr>
            <w:r w:rsidRPr="005D4222">
              <w:rPr>
                <w:i/>
                <w:iCs/>
                <w:lang w:eastAsia="zh-CN"/>
              </w:rPr>
              <w:t xml:space="preserve">Ages: </w:t>
            </w:r>
            <w:r w:rsidRPr="005D4222">
              <w:rPr>
                <w:lang w:eastAsia="zh-CN"/>
              </w:rPr>
              <w:t>40-74 years of age as of the episode date.</w:t>
            </w:r>
          </w:p>
          <w:p w14:paraId="6E9B8CDB" w14:textId="6934E3FD" w:rsidR="00E665DC" w:rsidRPr="005D4222" w:rsidRDefault="00E665DC" w:rsidP="00A53E8C">
            <w:pPr>
              <w:pStyle w:val="ECDSBody"/>
              <w:rPr>
                <w:szCs w:val="21"/>
                <w:lang w:eastAsia="zh-CN"/>
              </w:rPr>
            </w:pPr>
            <w:r w:rsidRPr="005D4222">
              <w:rPr>
                <w:i/>
                <w:iCs/>
                <w:lang w:eastAsia="zh-CN"/>
              </w:rPr>
              <w:t>Event:</w:t>
            </w:r>
            <w:r w:rsidRPr="005D4222">
              <w:rPr>
                <w:lang w:eastAsia="zh-CN"/>
              </w:rPr>
              <w:t xml:space="preserve"> </w:t>
            </w:r>
            <w:r w:rsidRPr="005D4222">
              <w:rPr>
                <w:b/>
                <w:color w:val="000000" w:themeColor="text1"/>
              </w:rPr>
              <w:t xml:space="preserve">Episodes of high-risk or inconclusive BI-RADS assessment. </w:t>
            </w:r>
            <w:r w:rsidRPr="005D4222">
              <w:rPr>
                <w:b/>
                <w:color w:val="000000" w:themeColor="text1"/>
              </w:rPr>
              <w:br/>
            </w:r>
            <w:r w:rsidRPr="005D4222">
              <w:t>Episodes with a high-risk (</w:t>
            </w:r>
            <w:r w:rsidRPr="005D4222">
              <w:rPr>
                <w:u w:val="single"/>
              </w:rPr>
              <w:t>High Risk BIRADS Value Set</w:t>
            </w:r>
            <w:r w:rsidRPr="005D4222">
              <w:t>) or inconclusive (</w:t>
            </w:r>
            <w:r w:rsidRPr="005D4222">
              <w:rPr>
                <w:u w:val="single"/>
              </w:rPr>
              <w:t>Inconclusive BIRADS Value Set</w:t>
            </w:r>
            <w:r w:rsidRPr="005D4222">
              <w:t>) BI-RADS assessment during the intake period.</w:t>
            </w:r>
          </w:p>
        </w:tc>
      </w:tr>
      <w:tr w:rsidR="00E665DC" w:rsidRPr="005D4222" w14:paraId="7C97D299" w14:textId="77777777" w:rsidTr="00E665DC">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hideMark/>
          </w:tcPr>
          <w:p w14:paraId="2513E8E8" w14:textId="77777777" w:rsidR="00E665DC" w:rsidRPr="005D4222" w:rsidRDefault="00E665DC" w:rsidP="00A53E8C">
            <w:pPr>
              <w:pStyle w:val="ECDSMarginHead"/>
              <w:rPr>
                <w:lang w:eastAsia="zh-CN"/>
              </w:rPr>
            </w:pPr>
            <w:r w:rsidRPr="005D4222">
              <w:rPr>
                <w:lang w:eastAsia="zh-CN"/>
              </w:rPr>
              <w:t xml:space="preserve">Denominator exclusions </w:t>
            </w:r>
          </w:p>
        </w:tc>
        <w:tc>
          <w:tcPr>
            <w:tcW w:w="7557" w:type="dxa"/>
            <w:tcBorders>
              <w:top w:val="single" w:sz="4" w:space="0" w:color="auto"/>
              <w:left w:val="single" w:sz="4" w:space="0" w:color="auto"/>
              <w:bottom w:val="single" w:sz="4" w:space="0" w:color="auto"/>
              <w:right w:val="single" w:sz="4" w:space="0" w:color="auto"/>
            </w:tcBorders>
            <w:hideMark/>
          </w:tcPr>
          <w:p w14:paraId="07DADF01" w14:textId="77777777" w:rsidR="00E665DC" w:rsidRPr="005D4222" w:rsidRDefault="00E665DC" w:rsidP="00A53E8C">
            <w:pPr>
              <w:pStyle w:val="ECDSBody"/>
              <w:rPr>
                <w:rFonts w:cs="Segoe UI"/>
                <w:szCs w:val="18"/>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p w14:paraId="72A9F137" w14:textId="77777777" w:rsidR="00E665DC" w:rsidRPr="005D4222" w:rsidRDefault="00E665DC" w:rsidP="00A53E8C">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E665DC" w:rsidRPr="005D4222" w14:paraId="2AB0A33F" w14:textId="77777777" w:rsidTr="00E665D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hideMark/>
          </w:tcPr>
          <w:p w14:paraId="67772F17" w14:textId="77777777" w:rsidR="00E665DC" w:rsidRPr="005D4222" w:rsidRDefault="00E665DC" w:rsidP="00A53E8C">
            <w:pPr>
              <w:pStyle w:val="ECDSMarginHead"/>
              <w:rPr>
                <w:lang w:eastAsia="zh-CN"/>
              </w:rPr>
            </w:pPr>
            <w:r w:rsidRPr="005D4222">
              <w:rPr>
                <w:lang w:eastAsia="zh-CN"/>
              </w:rPr>
              <w:t>Denominator</w:t>
            </w:r>
          </w:p>
        </w:tc>
        <w:tc>
          <w:tcPr>
            <w:tcW w:w="7557" w:type="dxa"/>
            <w:tcBorders>
              <w:top w:val="single" w:sz="4" w:space="0" w:color="auto"/>
              <w:left w:val="single" w:sz="4" w:space="0" w:color="auto"/>
              <w:bottom w:val="single" w:sz="4" w:space="0" w:color="auto"/>
              <w:right w:val="single" w:sz="4" w:space="0" w:color="auto"/>
            </w:tcBorders>
            <w:hideMark/>
          </w:tcPr>
          <w:p w14:paraId="62567AC4" w14:textId="77777777" w:rsidR="00E665DC" w:rsidRPr="005D4222" w:rsidRDefault="00E665DC" w:rsidP="00A53E8C">
            <w:pPr>
              <w:pStyle w:val="ECDSBody"/>
              <w:rPr>
                <w:b/>
                <w:szCs w:val="21"/>
                <w:lang w:eastAsia="zh-CN"/>
              </w:rPr>
            </w:pPr>
            <w:r w:rsidRPr="005D4222">
              <w:rPr>
                <w:rFonts w:eastAsia="Arial,Arial,Arial,Arial,Arial,A"/>
              </w:rPr>
              <w:t>The initial population minus denominator exclusions.</w:t>
            </w:r>
          </w:p>
        </w:tc>
      </w:tr>
      <w:tr w:rsidR="00E665DC" w:rsidRPr="005D4222" w14:paraId="2E692CF8" w14:textId="77777777" w:rsidTr="00E665D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hideMark/>
          </w:tcPr>
          <w:p w14:paraId="55736CE5" w14:textId="77777777" w:rsidR="00E665DC" w:rsidRPr="005D4222" w:rsidRDefault="00E665DC" w:rsidP="00A53E8C">
            <w:pPr>
              <w:pStyle w:val="ECDSMarginHead"/>
              <w:rPr>
                <w:lang w:eastAsia="zh-CN"/>
              </w:rPr>
            </w:pPr>
            <w:r w:rsidRPr="005D4222">
              <w:rPr>
                <w:lang w:eastAsia="zh-CN"/>
              </w:rPr>
              <w:t>Numerator</w:t>
            </w:r>
          </w:p>
        </w:tc>
        <w:tc>
          <w:tcPr>
            <w:tcW w:w="7557" w:type="dxa"/>
            <w:tcBorders>
              <w:top w:val="single" w:sz="4" w:space="0" w:color="auto"/>
              <w:left w:val="single" w:sz="4" w:space="0" w:color="auto"/>
              <w:bottom w:val="single" w:sz="4" w:space="0" w:color="auto"/>
              <w:right w:val="single" w:sz="4" w:space="0" w:color="auto"/>
            </w:tcBorders>
            <w:hideMark/>
          </w:tcPr>
          <w:p w14:paraId="48257232" w14:textId="77777777" w:rsidR="00E665DC" w:rsidRPr="005D4222" w:rsidRDefault="00E665DC" w:rsidP="00A53E8C">
            <w:pPr>
              <w:pStyle w:val="ECDSBody"/>
            </w:pPr>
            <w:r w:rsidRPr="005D4222">
              <w:rPr>
                <w:b/>
                <w:bCs w:val="0"/>
              </w:rPr>
              <w:t>Appropriate follow-up for high-risk or inconclusive BI-RADS assessment.</w:t>
            </w:r>
            <w:r w:rsidRPr="005D4222">
              <w:rPr>
                <w:b/>
                <w:bCs w:val="0"/>
              </w:rPr>
              <w:br/>
            </w:r>
            <w:r w:rsidRPr="005D4222">
              <w:rPr>
                <w:szCs w:val="21"/>
              </w:rPr>
              <w:t xml:space="preserve">High-risk and inconclusive BI-RADS assessment during the intake period that received appropriate follow-up. Appropriate follow-up is defined as either of the following: </w:t>
            </w:r>
          </w:p>
          <w:p w14:paraId="5F9ABC4F" w14:textId="77777777" w:rsidR="00E665DC" w:rsidRPr="005D4222" w:rsidRDefault="00E665DC" w:rsidP="00E665DC">
            <w:pPr>
              <w:pStyle w:val="Bullet"/>
              <w:numPr>
                <w:ilvl w:val="0"/>
                <w:numId w:val="4"/>
              </w:numPr>
              <w:tabs>
                <w:tab w:val="left" w:pos="360"/>
                <w:tab w:val="left" w:pos="576"/>
              </w:tabs>
              <w:ind w:left="576" w:hanging="216"/>
            </w:pPr>
            <w:r w:rsidRPr="005D4222">
              <w:t>A high-risk BI-RADS assessment (</w:t>
            </w:r>
            <w:r w:rsidRPr="005D4222">
              <w:rPr>
                <w:u w:val="single"/>
              </w:rPr>
              <w:t>High Risk BIRADS Value Set</w:t>
            </w:r>
            <w:r w:rsidRPr="005D4222">
              <w:t>) result (Category 4: Suspicious—Category 5: Highly Suggestive of Malignancy), that received a breast biopsy (</w:t>
            </w:r>
            <w:r w:rsidRPr="005D4222">
              <w:rPr>
                <w:u w:val="single"/>
              </w:rPr>
              <w:t>Breast Biopsy Value Set</w:t>
            </w:r>
            <w:r w:rsidRPr="005D4222">
              <w:t xml:space="preserve">) on or within 90 days after the episode date (91 days total). </w:t>
            </w:r>
          </w:p>
          <w:p w14:paraId="4E36FBDD" w14:textId="77777777" w:rsidR="00E665DC" w:rsidRPr="005D4222" w:rsidRDefault="00E665DC" w:rsidP="00E665DC">
            <w:pPr>
              <w:pStyle w:val="Bullet"/>
              <w:numPr>
                <w:ilvl w:val="0"/>
                <w:numId w:val="4"/>
              </w:numPr>
              <w:tabs>
                <w:tab w:val="left" w:pos="360"/>
                <w:tab w:val="left" w:pos="576"/>
              </w:tabs>
              <w:spacing w:after="80"/>
              <w:ind w:left="576" w:hanging="216"/>
              <w:rPr>
                <w:rFonts w:eastAsia="Arial,Arial,Arial,Arial,Arial,A"/>
              </w:rPr>
            </w:pPr>
            <w:r w:rsidRPr="005D4222">
              <w:t>An inconclusive BI-RADS assessment (BI-RADS 0: Incomplete—Need Additional Imaging Evaluation and/or Prior Mammograms for Comparison), (</w:t>
            </w:r>
            <w:r w:rsidRPr="005D4222">
              <w:rPr>
                <w:u w:val="single"/>
              </w:rPr>
              <w:t>Inconclusive BIRADS Value Set</w:t>
            </w:r>
            <w:r w:rsidRPr="005D4222">
              <w:t>) that received a mammogram (</w:t>
            </w:r>
            <w:r w:rsidRPr="005D4222">
              <w:rPr>
                <w:u w:val="single"/>
              </w:rPr>
              <w:t>Mammography Value Set</w:t>
            </w:r>
            <w:r w:rsidRPr="005D4222">
              <w:t>) or ultrasound (</w:t>
            </w:r>
            <w:r w:rsidRPr="005D4222">
              <w:rPr>
                <w:u w:val="single"/>
              </w:rPr>
              <w:t>Breast Ultrasound Value Set</w:t>
            </w:r>
            <w:r w:rsidRPr="005D4222">
              <w:t xml:space="preserve">) on or within 90 days after the episode date (91 days total). </w:t>
            </w:r>
          </w:p>
        </w:tc>
      </w:tr>
      <w:tr w:rsidR="00E665DC" w:rsidRPr="005D4222" w14:paraId="4BECBE9B" w14:textId="77777777" w:rsidTr="00E665D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hideMark/>
          </w:tcPr>
          <w:p w14:paraId="13EEFE36" w14:textId="77777777" w:rsidR="00E665DC" w:rsidRPr="005D4222" w:rsidRDefault="00E665DC" w:rsidP="00A53E8C">
            <w:pPr>
              <w:pStyle w:val="ECDSMarginHead"/>
              <w:rPr>
                <w:lang w:eastAsia="zh-CN"/>
              </w:rPr>
            </w:pPr>
            <w:r w:rsidRPr="005D4222">
              <w:rPr>
                <w:lang w:eastAsia="zh-CN"/>
              </w:rPr>
              <w:t>Summary of changes</w:t>
            </w:r>
          </w:p>
        </w:tc>
        <w:tc>
          <w:tcPr>
            <w:tcW w:w="7557" w:type="dxa"/>
            <w:tcBorders>
              <w:top w:val="single" w:sz="4" w:space="0" w:color="auto"/>
              <w:left w:val="single" w:sz="4" w:space="0" w:color="auto"/>
              <w:bottom w:val="single" w:sz="4" w:space="0" w:color="auto"/>
              <w:right w:val="single" w:sz="4" w:space="0" w:color="auto"/>
            </w:tcBorders>
          </w:tcPr>
          <w:p w14:paraId="529B2878" w14:textId="77777777" w:rsidR="00E665DC" w:rsidRPr="005D4222" w:rsidRDefault="00E665DC" w:rsidP="005D6173">
            <w:pPr>
              <w:pStyle w:val="ProcessBullet"/>
              <w:numPr>
                <w:ilvl w:val="0"/>
                <w:numId w:val="98"/>
              </w:numPr>
              <w:spacing w:before="120"/>
              <w:ind w:left="216" w:hanging="216"/>
              <w:rPr>
                <w:rFonts w:cs="Arial"/>
                <w:b/>
                <w:bCs/>
                <w:lang w:eastAsia="zh-CN"/>
              </w:rPr>
            </w:pPr>
            <w:r w:rsidRPr="005D4222">
              <w:t xml:space="preserve">Removed the definitions of “participation” and “participation period.” </w:t>
            </w:r>
          </w:p>
          <w:p w14:paraId="256C6F0B" w14:textId="77777777" w:rsidR="00E665DC" w:rsidRPr="005D4222" w:rsidRDefault="00E665DC" w:rsidP="005D6173">
            <w:pPr>
              <w:pStyle w:val="ProcessBullet"/>
              <w:numPr>
                <w:ilvl w:val="0"/>
                <w:numId w:val="98"/>
              </w:numPr>
              <w:spacing w:after="80"/>
              <w:ind w:left="216" w:hanging="216"/>
              <w:rPr>
                <w:rFonts w:cs="Arial"/>
                <w:szCs w:val="20"/>
                <w:lang w:eastAsia="zh-CN"/>
              </w:rPr>
            </w:pPr>
            <w:r w:rsidRPr="005D4222">
              <w:rPr>
                <w:rFonts w:cs="Arial"/>
                <w:lang w:eastAsia="zh-CN"/>
              </w:rPr>
              <w:t xml:space="preserve">Removed the SSoR data elements from the data elements tables. </w:t>
            </w:r>
          </w:p>
        </w:tc>
      </w:tr>
    </w:tbl>
    <w:p w14:paraId="36FAC986" w14:textId="77777777" w:rsidR="00E665DC" w:rsidRPr="005D4222" w:rsidRDefault="00E665DC">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3" w:type="dxa"/>
          <w:right w:w="86" w:type="dxa"/>
        </w:tblCellMar>
        <w:tblLook w:val="04A0" w:firstRow="1" w:lastRow="0" w:firstColumn="1" w:lastColumn="0" w:noHBand="0" w:noVBand="1"/>
      </w:tblPr>
      <w:tblGrid>
        <w:gridCol w:w="2157"/>
        <w:gridCol w:w="7557"/>
      </w:tblGrid>
      <w:tr w:rsidR="00E665DC" w:rsidRPr="005D4222" w14:paraId="445A01E5" w14:textId="77777777" w:rsidTr="00E665DC">
        <w:trPr>
          <w:trHeight w:val="3468"/>
        </w:trPr>
        <w:tc>
          <w:tcPr>
            <w:tcW w:w="2157" w:type="dxa"/>
            <w:tcBorders>
              <w:top w:val="single" w:sz="4" w:space="0" w:color="auto"/>
              <w:left w:val="single" w:sz="2" w:space="0" w:color="auto"/>
              <w:right w:val="single" w:sz="2" w:space="0" w:color="auto"/>
            </w:tcBorders>
            <w:shd w:val="clear" w:color="auto" w:fill="BFBFBF" w:themeFill="background1" w:themeFillShade="BF"/>
          </w:tcPr>
          <w:p w14:paraId="54591055" w14:textId="77777777" w:rsidR="00E665DC" w:rsidRPr="005D4222" w:rsidRDefault="00E665DC" w:rsidP="00A53E8C">
            <w:pPr>
              <w:pStyle w:val="ECDSMarginHead"/>
              <w:rPr>
                <w:lang w:eastAsia="zh-CN"/>
              </w:rPr>
            </w:pPr>
            <w:r w:rsidRPr="005D4222">
              <w:rPr>
                <w:lang w:eastAsia="zh-CN"/>
              </w:rPr>
              <w:lastRenderedPageBreak/>
              <w:t>Data element tables</w:t>
            </w:r>
          </w:p>
        </w:tc>
        <w:tc>
          <w:tcPr>
            <w:tcW w:w="7557" w:type="dxa"/>
            <w:tcBorders>
              <w:top w:val="single" w:sz="4" w:space="0" w:color="auto"/>
              <w:left w:val="single" w:sz="4" w:space="0" w:color="auto"/>
              <w:right w:val="single" w:sz="4" w:space="0" w:color="auto"/>
            </w:tcBorders>
          </w:tcPr>
          <w:p w14:paraId="77D4666A" w14:textId="77777777" w:rsidR="00E665DC" w:rsidRPr="005D4222" w:rsidRDefault="00E665DC" w:rsidP="00A53E8C">
            <w:pPr>
              <w:pStyle w:val="Heading3"/>
              <w:spacing w:before="120"/>
              <w:rPr>
                <w:b w:val="0"/>
                <w:i w:val="0"/>
                <w:sz w:val="21"/>
              </w:rPr>
            </w:pPr>
            <w:r w:rsidRPr="005D4222">
              <w:rPr>
                <w:b w:val="0"/>
                <w:i w:val="0"/>
                <w:sz w:val="21"/>
              </w:rPr>
              <w:t>Organizations that submit HEDIS data to NCQA must provide the following data elements.  </w:t>
            </w:r>
          </w:p>
          <w:p w14:paraId="2A69F309" w14:textId="77777777" w:rsidR="00E665DC" w:rsidRPr="005D4222" w:rsidRDefault="00E665DC" w:rsidP="00A53E8C">
            <w:pPr>
              <w:pStyle w:val="Heading3"/>
              <w:spacing w:before="120"/>
              <w:rPr>
                <w:rFonts w:eastAsia="Arial"/>
              </w:rPr>
            </w:pPr>
            <w:r w:rsidRPr="005D4222">
              <w:rPr>
                <w:rFonts w:eastAsia="Arial"/>
              </w:rPr>
              <w:t>Table FMA-E-A-1/2/3: Data Elements for Follow-Up after Abnormal Mammogram Assessment</w:t>
            </w:r>
          </w:p>
          <w:tbl>
            <w:tblPr>
              <w:tblW w:w="5000" w:type="pct"/>
              <w:tblLook w:val="04A0" w:firstRow="1" w:lastRow="0" w:firstColumn="1" w:lastColumn="0" w:noHBand="0" w:noVBand="1"/>
            </w:tblPr>
            <w:tblGrid>
              <w:gridCol w:w="3141"/>
              <w:gridCol w:w="2336"/>
              <w:gridCol w:w="1888"/>
            </w:tblGrid>
            <w:tr w:rsidR="00E665DC" w:rsidRPr="005D4222" w14:paraId="367DC221" w14:textId="77777777" w:rsidTr="00A53E8C">
              <w:tc>
                <w:tcPr>
                  <w:tcW w:w="3141" w:type="dxa"/>
                  <w:tcBorders>
                    <w:top w:val="single" w:sz="8" w:space="0" w:color="auto"/>
                    <w:left w:val="single" w:sz="8" w:space="0" w:color="auto"/>
                    <w:bottom w:val="single" w:sz="8" w:space="0" w:color="auto"/>
                    <w:right w:val="single" w:sz="6" w:space="0" w:color="FFFFFF" w:themeColor="background1"/>
                  </w:tcBorders>
                  <w:shd w:val="clear" w:color="auto" w:fill="000000" w:themeFill="text1"/>
                  <w:noWrap/>
                  <w:tcMar>
                    <w:top w:w="0" w:type="dxa"/>
                    <w:left w:w="72" w:type="dxa"/>
                    <w:bottom w:w="0" w:type="dxa"/>
                    <w:right w:w="72" w:type="dxa"/>
                  </w:tcMar>
                  <w:vAlign w:val="center"/>
                  <w:hideMark/>
                </w:tcPr>
                <w:p w14:paraId="3D9D63EE" w14:textId="77777777" w:rsidR="00E665DC" w:rsidRPr="005D4222" w:rsidRDefault="00E665DC" w:rsidP="00A53E8C">
                  <w:pPr>
                    <w:pStyle w:val="TableHead"/>
                    <w:spacing w:before="40" w:after="40"/>
                    <w:rPr>
                      <w:color w:val="auto"/>
                      <w:kern w:val="20"/>
                    </w:rPr>
                  </w:pPr>
                  <w:r w:rsidRPr="005D4222">
                    <w:rPr>
                      <w:color w:val="auto"/>
                      <w:kern w:val="20"/>
                    </w:rPr>
                    <w:t>Metric</w:t>
                  </w:r>
                </w:p>
              </w:tc>
              <w:tc>
                <w:tcPr>
                  <w:tcW w:w="2336" w:type="dxa"/>
                  <w:tcBorders>
                    <w:top w:val="single" w:sz="8" w:space="0" w:color="auto"/>
                    <w:left w:val="single" w:sz="6" w:space="0" w:color="FFFFFF" w:themeColor="background1"/>
                    <w:bottom w:val="single" w:sz="8" w:space="0" w:color="auto"/>
                    <w:right w:val="single" w:sz="4" w:space="0" w:color="FFFFFF" w:themeColor="background1"/>
                  </w:tcBorders>
                  <w:shd w:val="clear" w:color="auto" w:fill="000000" w:themeFill="text1"/>
                  <w:noWrap/>
                  <w:tcMar>
                    <w:top w:w="0" w:type="dxa"/>
                    <w:left w:w="72" w:type="dxa"/>
                    <w:bottom w:w="0" w:type="dxa"/>
                    <w:right w:w="72" w:type="dxa"/>
                  </w:tcMar>
                  <w:vAlign w:val="center"/>
                  <w:hideMark/>
                </w:tcPr>
                <w:p w14:paraId="5A0F7C1F" w14:textId="77777777" w:rsidR="00E665DC" w:rsidRPr="005D4222" w:rsidRDefault="00E665DC" w:rsidP="00A53E8C">
                  <w:pPr>
                    <w:pStyle w:val="TableHead"/>
                    <w:spacing w:before="40" w:after="40"/>
                    <w:rPr>
                      <w:color w:val="auto"/>
                      <w:kern w:val="20"/>
                    </w:rPr>
                  </w:pPr>
                  <w:r w:rsidRPr="005D4222">
                    <w:rPr>
                      <w:color w:val="auto"/>
                      <w:kern w:val="20"/>
                    </w:rPr>
                    <w:t>Data Element</w:t>
                  </w:r>
                </w:p>
              </w:tc>
              <w:tc>
                <w:tcPr>
                  <w:tcW w:w="1888" w:type="dxa"/>
                  <w:tcBorders>
                    <w:top w:val="single" w:sz="8" w:space="0" w:color="auto"/>
                    <w:left w:val="single" w:sz="4" w:space="0" w:color="FFFFFF" w:themeColor="background1"/>
                    <w:bottom w:val="single" w:sz="8" w:space="0" w:color="auto"/>
                    <w:right w:val="single" w:sz="8" w:space="0" w:color="auto"/>
                  </w:tcBorders>
                  <w:shd w:val="clear" w:color="auto" w:fill="000000" w:themeFill="text1"/>
                  <w:tcMar>
                    <w:left w:w="72" w:type="dxa"/>
                    <w:right w:w="72" w:type="dxa"/>
                  </w:tcMar>
                  <w:vAlign w:val="center"/>
                </w:tcPr>
                <w:p w14:paraId="1F19A939" w14:textId="77777777" w:rsidR="00E665DC" w:rsidRPr="005D4222" w:rsidRDefault="00E665DC" w:rsidP="00A53E8C">
                  <w:pPr>
                    <w:pStyle w:val="TableHead"/>
                    <w:spacing w:before="40" w:after="40"/>
                    <w:rPr>
                      <w:color w:val="auto"/>
                      <w:kern w:val="20"/>
                    </w:rPr>
                  </w:pPr>
                  <w:r w:rsidRPr="005D4222">
                    <w:rPr>
                      <w:color w:val="auto"/>
                      <w:kern w:val="20"/>
                    </w:rPr>
                    <w:t>Reporting Instructions</w:t>
                  </w:r>
                </w:p>
              </w:tc>
            </w:tr>
            <w:tr w:rsidR="00E665DC" w:rsidRPr="005D4222" w14:paraId="4069E48A" w14:textId="77777777" w:rsidTr="005D4236">
              <w:tc>
                <w:tcPr>
                  <w:tcW w:w="3141" w:type="dxa"/>
                  <w:tcBorders>
                    <w:top w:val="nil"/>
                    <w:left w:val="single" w:sz="4" w:space="0" w:color="auto"/>
                    <w:bottom w:val="single" w:sz="4" w:space="0" w:color="auto"/>
                    <w:right w:val="single" w:sz="4" w:space="0" w:color="auto"/>
                  </w:tcBorders>
                  <w:shd w:val="clear" w:color="auto" w:fill="FFFFFF" w:themeFill="background1"/>
                  <w:noWrap/>
                  <w:tcMar>
                    <w:top w:w="0" w:type="dxa"/>
                    <w:left w:w="72" w:type="dxa"/>
                    <w:bottom w:w="0" w:type="dxa"/>
                    <w:right w:w="72" w:type="dxa"/>
                  </w:tcMar>
                  <w:vAlign w:val="center"/>
                  <w:hideMark/>
                </w:tcPr>
                <w:p w14:paraId="118D3E56" w14:textId="77777777" w:rsidR="00E665DC" w:rsidRPr="005D4222" w:rsidRDefault="00E665DC" w:rsidP="00A53E8C">
                  <w:pPr>
                    <w:pStyle w:val="TableText"/>
                    <w:spacing w:before="40" w:after="40"/>
                    <w:rPr>
                      <w:kern w:val="20"/>
                    </w:rPr>
                  </w:pPr>
                  <w:r w:rsidRPr="005D4222">
                    <w:rPr>
                      <w:kern w:val="20"/>
                    </w:rPr>
                    <w:t>FollowUpMammogramAssessment</w:t>
                  </w:r>
                </w:p>
              </w:tc>
              <w:tc>
                <w:tcPr>
                  <w:tcW w:w="2336"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729D349E" w14:textId="77777777" w:rsidR="00E665DC" w:rsidRPr="005D4222" w:rsidRDefault="00E665DC" w:rsidP="00A53E8C">
                  <w:pPr>
                    <w:pStyle w:val="TableText"/>
                    <w:spacing w:before="40" w:after="40"/>
                    <w:rPr>
                      <w:kern w:val="20"/>
                    </w:rPr>
                  </w:pPr>
                  <w:r w:rsidRPr="005D4222">
                    <w:rPr>
                      <w:kern w:val="20"/>
                    </w:rPr>
                    <w:t>InitialPopulation</w:t>
                  </w:r>
                </w:p>
              </w:tc>
              <w:tc>
                <w:tcPr>
                  <w:tcW w:w="1888" w:type="dxa"/>
                  <w:tcBorders>
                    <w:top w:val="nil"/>
                    <w:left w:val="single" w:sz="4" w:space="0" w:color="auto"/>
                    <w:bottom w:val="single" w:sz="4" w:space="0" w:color="auto"/>
                    <w:right w:val="single" w:sz="4" w:space="0" w:color="auto"/>
                  </w:tcBorders>
                  <w:tcMar>
                    <w:left w:w="72" w:type="dxa"/>
                    <w:right w:w="72" w:type="dxa"/>
                  </w:tcMar>
                  <w:vAlign w:val="center"/>
                </w:tcPr>
                <w:p w14:paraId="13F88743" w14:textId="77777777" w:rsidR="00E665DC" w:rsidRPr="005D4222" w:rsidRDefault="00E665DC" w:rsidP="00A53E8C">
                  <w:pPr>
                    <w:pStyle w:val="TableText"/>
                    <w:spacing w:before="40" w:after="40"/>
                    <w:rPr>
                      <w:kern w:val="20"/>
                    </w:rPr>
                  </w:pPr>
                  <w:r w:rsidRPr="005D4222">
                    <w:rPr>
                      <w:kern w:val="20"/>
                    </w:rPr>
                    <w:t>Report once</w:t>
                  </w:r>
                </w:p>
              </w:tc>
            </w:tr>
            <w:tr w:rsidR="00E665DC" w:rsidRPr="005D4222" w14:paraId="75949EDA" w14:textId="77777777" w:rsidTr="005D4236">
              <w:tc>
                <w:tcPr>
                  <w:tcW w:w="3141" w:type="dxa"/>
                  <w:tcBorders>
                    <w:top w:val="single" w:sz="4" w:space="0" w:color="auto"/>
                    <w:right w:val="single" w:sz="4" w:space="0" w:color="auto"/>
                  </w:tcBorders>
                  <w:shd w:val="clear" w:color="auto" w:fill="FFFFFF" w:themeFill="background1"/>
                  <w:noWrap/>
                  <w:tcMar>
                    <w:top w:w="0" w:type="dxa"/>
                    <w:left w:w="72" w:type="dxa"/>
                    <w:bottom w:w="0" w:type="dxa"/>
                    <w:right w:w="72" w:type="dxa"/>
                  </w:tcMar>
                  <w:vAlign w:val="center"/>
                </w:tcPr>
                <w:p w14:paraId="39715BBF" w14:textId="77777777" w:rsidR="00E665DC" w:rsidRPr="005D4222" w:rsidRDefault="00E665DC" w:rsidP="00A53E8C">
                  <w:pPr>
                    <w:pStyle w:val="TableText"/>
                    <w:spacing w:before="40" w:after="40"/>
                    <w:rPr>
                      <w:kern w:val="20"/>
                    </w:rPr>
                  </w:pPr>
                  <w:r w:rsidRPr="005D4222">
                    <w:rPr>
                      <w:kern w:val="20"/>
                    </w:rPr>
                    <w:t xml:space="preserve"> </w:t>
                  </w:r>
                </w:p>
              </w:tc>
              <w:tc>
                <w:tcPr>
                  <w:tcW w:w="2336" w:type="dxa"/>
                  <w:tcBorders>
                    <w:top w:val="single" w:sz="4" w:space="0" w:color="auto"/>
                    <w:left w:val="single" w:sz="4" w:space="0" w:color="auto"/>
                    <w:bottom w:val="single" w:sz="4" w:space="0" w:color="auto"/>
                    <w:right w:val="single" w:sz="4" w:space="0" w:color="auto"/>
                  </w:tcBorders>
                  <w:noWrap/>
                  <w:tcMar>
                    <w:top w:w="0" w:type="dxa"/>
                    <w:left w:w="72" w:type="dxa"/>
                    <w:bottom w:w="0" w:type="dxa"/>
                    <w:right w:w="72" w:type="dxa"/>
                  </w:tcMar>
                  <w:vAlign w:val="center"/>
                </w:tcPr>
                <w:p w14:paraId="4CD99184" w14:textId="77777777" w:rsidR="00E665DC" w:rsidRPr="005D4222" w:rsidRDefault="00E665DC" w:rsidP="00A53E8C">
                  <w:pPr>
                    <w:pStyle w:val="TableText"/>
                    <w:spacing w:before="40" w:after="40"/>
                    <w:rPr>
                      <w:kern w:val="20"/>
                    </w:rPr>
                  </w:pPr>
                  <w:r w:rsidRPr="005D4222">
                    <w:rPr>
                      <w:kern w:val="20"/>
                    </w:rPr>
                    <w:t>Exclusions</w:t>
                  </w:r>
                </w:p>
              </w:tc>
              <w:tc>
                <w:tcPr>
                  <w:tcW w:w="1888" w:type="dxa"/>
                  <w:tcBorders>
                    <w:top w:val="single" w:sz="4" w:space="0" w:color="auto"/>
                    <w:left w:val="single" w:sz="4" w:space="0" w:color="auto"/>
                    <w:bottom w:val="single" w:sz="4" w:space="0" w:color="auto"/>
                    <w:right w:val="single" w:sz="4" w:space="0" w:color="auto"/>
                  </w:tcBorders>
                  <w:tcMar>
                    <w:left w:w="72" w:type="dxa"/>
                    <w:right w:w="72" w:type="dxa"/>
                  </w:tcMar>
                  <w:vAlign w:val="center"/>
                </w:tcPr>
                <w:p w14:paraId="51B05AB4" w14:textId="77777777" w:rsidR="00E665DC" w:rsidRPr="005D4222" w:rsidRDefault="00E665DC" w:rsidP="00A53E8C">
                  <w:pPr>
                    <w:pStyle w:val="TableText"/>
                    <w:spacing w:before="40" w:after="40"/>
                    <w:rPr>
                      <w:kern w:val="20"/>
                    </w:rPr>
                  </w:pPr>
                  <w:r w:rsidRPr="005D4222">
                    <w:rPr>
                      <w:kern w:val="20"/>
                    </w:rPr>
                    <w:t>Report once</w:t>
                  </w:r>
                </w:p>
              </w:tc>
            </w:tr>
            <w:tr w:rsidR="00E665DC" w:rsidRPr="005D4222" w14:paraId="07EF8911" w14:textId="77777777" w:rsidTr="005D4236">
              <w:tc>
                <w:tcPr>
                  <w:tcW w:w="3141" w:type="dxa"/>
                  <w:tcBorders>
                    <w:top w:val="nil"/>
                    <w:left w:val="nil"/>
                    <w:bottom w:val="nil"/>
                    <w:right w:val="single" w:sz="4" w:space="0" w:color="auto"/>
                  </w:tcBorders>
                  <w:shd w:val="clear" w:color="auto" w:fill="FFFFFF" w:themeFill="background1"/>
                  <w:noWrap/>
                  <w:tcMar>
                    <w:top w:w="0" w:type="dxa"/>
                    <w:left w:w="72" w:type="dxa"/>
                    <w:bottom w:w="0" w:type="dxa"/>
                    <w:right w:w="72" w:type="dxa"/>
                  </w:tcMar>
                  <w:vAlign w:val="center"/>
                </w:tcPr>
                <w:p w14:paraId="619F0DE0" w14:textId="77777777" w:rsidR="00E665DC" w:rsidRPr="005D4222" w:rsidRDefault="00E665DC" w:rsidP="00A53E8C">
                  <w:pPr>
                    <w:pStyle w:val="TableText"/>
                    <w:spacing w:before="40" w:after="40"/>
                    <w:rPr>
                      <w:kern w:val="20"/>
                    </w:rPr>
                  </w:pPr>
                  <w:r w:rsidRPr="005D4222">
                    <w:rPr>
                      <w:kern w:val="20"/>
                    </w:rPr>
                    <w:t xml:space="preserve"> </w:t>
                  </w:r>
                </w:p>
              </w:tc>
              <w:tc>
                <w:tcPr>
                  <w:tcW w:w="2336" w:type="dxa"/>
                  <w:tcBorders>
                    <w:top w:val="single" w:sz="4" w:space="0" w:color="auto"/>
                    <w:left w:val="single" w:sz="4" w:space="0" w:color="auto"/>
                    <w:bottom w:val="single" w:sz="4" w:space="0" w:color="auto"/>
                    <w:right w:val="single" w:sz="4" w:space="0" w:color="auto"/>
                  </w:tcBorders>
                  <w:noWrap/>
                  <w:tcMar>
                    <w:top w:w="0" w:type="dxa"/>
                    <w:left w:w="72" w:type="dxa"/>
                    <w:bottom w:w="0" w:type="dxa"/>
                    <w:right w:w="72" w:type="dxa"/>
                  </w:tcMar>
                  <w:vAlign w:val="center"/>
                </w:tcPr>
                <w:p w14:paraId="2DE42DCE" w14:textId="77777777" w:rsidR="00E665DC" w:rsidRPr="005D4222" w:rsidRDefault="00E665DC" w:rsidP="00A53E8C">
                  <w:pPr>
                    <w:pStyle w:val="TableText"/>
                    <w:spacing w:before="40" w:after="40"/>
                    <w:rPr>
                      <w:kern w:val="20"/>
                    </w:rPr>
                  </w:pPr>
                  <w:r w:rsidRPr="005D4222">
                    <w:rPr>
                      <w:kern w:val="20"/>
                    </w:rPr>
                    <w:t>Denominator</w:t>
                  </w:r>
                </w:p>
              </w:tc>
              <w:tc>
                <w:tcPr>
                  <w:tcW w:w="1888" w:type="dxa"/>
                  <w:tcBorders>
                    <w:top w:val="single" w:sz="4" w:space="0" w:color="auto"/>
                    <w:left w:val="single" w:sz="4" w:space="0" w:color="auto"/>
                    <w:bottom w:val="single" w:sz="4" w:space="0" w:color="auto"/>
                    <w:right w:val="single" w:sz="4" w:space="0" w:color="auto"/>
                  </w:tcBorders>
                  <w:tcMar>
                    <w:left w:w="72" w:type="dxa"/>
                    <w:right w:w="72" w:type="dxa"/>
                  </w:tcMar>
                  <w:vAlign w:val="center"/>
                </w:tcPr>
                <w:p w14:paraId="25BE131A" w14:textId="77777777" w:rsidR="00E665DC" w:rsidRPr="005D4222" w:rsidRDefault="00E665DC" w:rsidP="00A53E8C">
                  <w:pPr>
                    <w:pStyle w:val="TableText"/>
                    <w:spacing w:before="40" w:after="40"/>
                    <w:rPr>
                      <w:kern w:val="20"/>
                    </w:rPr>
                  </w:pPr>
                  <w:r w:rsidRPr="005D4222">
                    <w:rPr>
                      <w:kern w:val="20"/>
                    </w:rPr>
                    <w:t>Report once</w:t>
                  </w:r>
                </w:p>
              </w:tc>
            </w:tr>
            <w:tr w:rsidR="00E665DC" w:rsidRPr="005D4222" w14:paraId="337A558A" w14:textId="77777777" w:rsidTr="005D4236">
              <w:tc>
                <w:tcPr>
                  <w:tcW w:w="3141" w:type="dxa"/>
                  <w:tcBorders>
                    <w:right w:val="single" w:sz="4" w:space="0" w:color="auto"/>
                  </w:tcBorders>
                  <w:shd w:val="clear" w:color="auto" w:fill="FFFFFF" w:themeFill="background1"/>
                  <w:noWrap/>
                  <w:tcMar>
                    <w:top w:w="0" w:type="dxa"/>
                    <w:left w:w="72" w:type="dxa"/>
                    <w:bottom w:w="0" w:type="dxa"/>
                    <w:right w:w="72" w:type="dxa"/>
                  </w:tcMar>
                  <w:vAlign w:val="center"/>
                </w:tcPr>
                <w:p w14:paraId="0B6A02A2" w14:textId="77777777" w:rsidR="00E665DC" w:rsidRPr="005D4222" w:rsidRDefault="00E665DC" w:rsidP="00A53E8C">
                  <w:pPr>
                    <w:pStyle w:val="TableText"/>
                    <w:spacing w:before="40" w:after="40"/>
                    <w:rPr>
                      <w:kern w:val="20"/>
                    </w:rPr>
                  </w:pPr>
                  <w:r w:rsidRPr="005D4222">
                    <w:rPr>
                      <w:kern w:val="20"/>
                    </w:rPr>
                    <w:t xml:space="preserve"> </w:t>
                  </w:r>
                </w:p>
              </w:tc>
              <w:tc>
                <w:tcPr>
                  <w:tcW w:w="2336" w:type="dxa"/>
                  <w:tcBorders>
                    <w:top w:val="single" w:sz="4" w:space="0" w:color="auto"/>
                    <w:left w:val="single" w:sz="4" w:space="0" w:color="auto"/>
                    <w:bottom w:val="single" w:sz="4" w:space="0" w:color="auto"/>
                    <w:right w:val="single" w:sz="4" w:space="0" w:color="auto"/>
                  </w:tcBorders>
                  <w:noWrap/>
                  <w:tcMar>
                    <w:top w:w="0" w:type="dxa"/>
                    <w:left w:w="72" w:type="dxa"/>
                    <w:bottom w:w="0" w:type="dxa"/>
                    <w:right w:w="72" w:type="dxa"/>
                  </w:tcMar>
                  <w:vAlign w:val="center"/>
                </w:tcPr>
                <w:p w14:paraId="7CF3AFD4" w14:textId="77777777" w:rsidR="00E665DC" w:rsidRPr="005D4222" w:rsidRDefault="00E665DC" w:rsidP="00A53E8C">
                  <w:pPr>
                    <w:pStyle w:val="TableText"/>
                    <w:spacing w:before="40" w:after="40"/>
                    <w:rPr>
                      <w:kern w:val="20"/>
                    </w:rPr>
                  </w:pPr>
                  <w:r w:rsidRPr="005D4222">
                    <w:rPr>
                      <w:kern w:val="20"/>
                    </w:rPr>
                    <w:t>Numerator</w:t>
                  </w:r>
                </w:p>
              </w:tc>
              <w:tc>
                <w:tcPr>
                  <w:tcW w:w="1888" w:type="dxa"/>
                  <w:tcBorders>
                    <w:top w:val="single" w:sz="4" w:space="0" w:color="auto"/>
                    <w:left w:val="single" w:sz="4" w:space="0" w:color="auto"/>
                    <w:bottom w:val="single" w:sz="4" w:space="0" w:color="auto"/>
                    <w:right w:val="single" w:sz="4" w:space="0" w:color="auto"/>
                  </w:tcBorders>
                  <w:tcMar>
                    <w:left w:w="72" w:type="dxa"/>
                    <w:right w:w="72" w:type="dxa"/>
                  </w:tcMar>
                  <w:vAlign w:val="center"/>
                </w:tcPr>
                <w:p w14:paraId="2BAD53F3" w14:textId="77777777" w:rsidR="00E665DC" w:rsidRPr="005D4222" w:rsidRDefault="00E665DC" w:rsidP="00A53E8C">
                  <w:pPr>
                    <w:pStyle w:val="TableText"/>
                    <w:spacing w:before="40" w:after="40"/>
                    <w:rPr>
                      <w:kern w:val="20"/>
                    </w:rPr>
                  </w:pPr>
                  <w:r w:rsidRPr="005D4222">
                    <w:rPr>
                      <w:kern w:val="20"/>
                    </w:rPr>
                    <w:t>Report once</w:t>
                  </w:r>
                </w:p>
              </w:tc>
            </w:tr>
            <w:tr w:rsidR="00E665DC" w:rsidRPr="005D4222" w14:paraId="362F69CA" w14:textId="77777777" w:rsidTr="005D4236">
              <w:tc>
                <w:tcPr>
                  <w:tcW w:w="3141" w:type="dxa"/>
                  <w:tcBorders>
                    <w:right w:val="single" w:sz="4" w:space="0" w:color="auto"/>
                  </w:tcBorders>
                  <w:shd w:val="clear" w:color="auto" w:fill="FFFFFF" w:themeFill="background1"/>
                  <w:noWrap/>
                  <w:tcMar>
                    <w:top w:w="0" w:type="dxa"/>
                    <w:left w:w="72" w:type="dxa"/>
                    <w:bottom w:w="0" w:type="dxa"/>
                    <w:right w:w="72" w:type="dxa"/>
                  </w:tcMar>
                  <w:vAlign w:val="center"/>
                </w:tcPr>
                <w:p w14:paraId="773054D0" w14:textId="77777777" w:rsidR="00E665DC" w:rsidRPr="005D4222" w:rsidRDefault="00E665DC" w:rsidP="00A53E8C">
                  <w:pPr>
                    <w:pStyle w:val="TableText"/>
                    <w:spacing w:before="40" w:after="40"/>
                    <w:rPr>
                      <w:kern w:val="20"/>
                    </w:rPr>
                  </w:pPr>
                </w:p>
              </w:tc>
              <w:tc>
                <w:tcPr>
                  <w:tcW w:w="233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0" w:type="dxa"/>
                    <w:left w:w="72" w:type="dxa"/>
                    <w:bottom w:w="0" w:type="dxa"/>
                    <w:right w:w="72" w:type="dxa"/>
                  </w:tcMar>
                  <w:vAlign w:val="center"/>
                </w:tcPr>
                <w:p w14:paraId="1432ACEC" w14:textId="77777777" w:rsidR="00E665DC" w:rsidRPr="005D4222" w:rsidRDefault="00E665DC" w:rsidP="00A53E8C">
                  <w:pPr>
                    <w:pStyle w:val="TableText"/>
                    <w:spacing w:before="40" w:after="40"/>
                    <w:rPr>
                      <w:kern w:val="20"/>
                    </w:rPr>
                  </w:pPr>
                  <w:r w:rsidRPr="005D4222">
                    <w:rPr>
                      <w:kern w:val="20"/>
                    </w:rPr>
                    <w:t>Rate</w:t>
                  </w:r>
                </w:p>
              </w:tc>
              <w:tc>
                <w:tcPr>
                  <w:tcW w:w="188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vAlign w:val="center"/>
                </w:tcPr>
                <w:p w14:paraId="772088DC" w14:textId="77777777" w:rsidR="00E665DC" w:rsidRPr="005D4222" w:rsidRDefault="00E665DC" w:rsidP="00A53E8C">
                  <w:pPr>
                    <w:pStyle w:val="TableText"/>
                    <w:spacing w:before="40" w:after="40"/>
                    <w:rPr>
                      <w:kern w:val="20"/>
                    </w:rPr>
                  </w:pPr>
                  <w:r w:rsidRPr="005D4222">
                    <w:rPr>
                      <w:kern w:val="20"/>
                    </w:rPr>
                    <w:t>(Percent)</w:t>
                  </w:r>
                </w:p>
              </w:tc>
            </w:tr>
          </w:tbl>
          <w:p w14:paraId="53FA4C9D" w14:textId="77777777" w:rsidR="00E665DC" w:rsidRPr="005D4222" w:rsidRDefault="00E665DC" w:rsidP="00A53E8C">
            <w:pPr>
              <w:pStyle w:val="TableText"/>
              <w:spacing w:before="40"/>
            </w:pPr>
          </w:p>
        </w:tc>
      </w:tr>
      <w:tr w:rsidR="00E665DC" w:rsidRPr="005D4222" w14:paraId="4816D27F" w14:textId="77777777" w:rsidTr="00E665D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hideMark/>
          </w:tcPr>
          <w:p w14:paraId="4C078662" w14:textId="77777777" w:rsidR="00E665DC" w:rsidRPr="005D4222" w:rsidRDefault="00E665DC" w:rsidP="00A53E8C">
            <w:pPr>
              <w:pStyle w:val="ECDSMarginHead"/>
              <w:rPr>
                <w:lang w:eastAsia="zh-CN"/>
              </w:rPr>
            </w:pPr>
            <w:r w:rsidRPr="005D4222">
              <w:rPr>
                <w:lang w:eastAsia="zh-CN"/>
              </w:rPr>
              <w:t>Rules for Allowable Adjustments</w:t>
            </w:r>
          </w:p>
        </w:tc>
        <w:tc>
          <w:tcPr>
            <w:tcW w:w="7557" w:type="dxa"/>
            <w:tcBorders>
              <w:top w:val="single" w:sz="4" w:space="0" w:color="auto"/>
              <w:left w:val="single" w:sz="4" w:space="0" w:color="auto"/>
              <w:bottom w:val="single" w:sz="4" w:space="0" w:color="auto"/>
              <w:right w:val="single" w:sz="4" w:space="0" w:color="auto"/>
            </w:tcBorders>
            <w:hideMark/>
          </w:tcPr>
          <w:p w14:paraId="57BB2F6C" w14:textId="77777777" w:rsidR="00E665DC" w:rsidRPr="005D4222" w:rsidRDefault="00E665DC" w:rsidP="00A53E8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43172990" w14:textId="77777777" w:rsidR="00E665DC" w:rsidRPr="005D4222" w:rsidRDefault="00E665DC" w:rsidP="00A53E8C">
            <w:pPr>
              <w:pStyle w:val="ECDSBody"/>
              <w:rPr>
                <w:b/>
              </w:rPr>
            </w:pPr>
            <w:r w:rsidRPr="005D4222">
              <w:rPr>
                <w:b/>
              </w:rPr>
              <w:t>Adjusted HEDIS measures may not be used for HEDIS health plan reporting.</w:t>
            </w:r>
          </w:p>
          <w:p w14:paraId="6AA23F4B" w14:textId="77777777" w:rsidR="00E665DC" w:rsidRPr="005D4222" w:rsidRDefault="00E665DC" w:rsidP="00A53E8C">
            <w:pPr>
              <w:pStyle w:val="Adjustments"/>
            </w:pPr>
            <w:r w:rsidRPr="005D4222">
              <w:t>Adjustments</w:t>
            </w:r>
            <w:r w:rsidRPr="005D4222">
              <w:rPr>
                <w:bCs/>
              </w:rPr>
              <w:t xml:space="preserve"> a</w:t>
            </w:r>
            <w:r w:rsidRPr="005D4222">
              <w:t>llowed</w:t>
            </w:r>
          </w:p>
          <w:p w14:paraId="6D63131C" w14:textId="14DD75C4" w:rsidR="00E665DC" w:rsidRPr="005D4222" w:rsidRDefault="00E665DC" w:rsidP="005D6173">
            <w:pPr>
              <w:pStyle w:val="ProcessBullet"/>
              <w:numPr>
                <w:ilvl w:val="0"/>
                <w:numId w:val="98"/>
              </w:numPr>
              <w:tabs>
                <w:tab w:val="left" w:pos="216"/>
              </w:tabs>
              <w:ind w:left="216" w:hanging="216"/>
            </w:pPr>
            <w:r w:rsidRPr="005D4222">
              <w:rPr>
                <w:i/>
                <w:iCs/>
              </w:rPr>
              <w:t xml:space="preserve">Product lines. </w:t>
            </w:r>
            <w:r w:rsidRPr="005D4222">
              <w:t>Organizations are not required to use product line criteria; product lines may be combined</w:t>
            </w:r>
            <w:r w:rsidR="00E8671F" w:rsidRPr="005D4222">
              <w:t>,</w:t>
            </w:r>
            <w:r w:rsidRPr="005D4222">
              <w:t xml:space="preserve"> and all (or no) product line criteria may be used.</w:t>
            </w:r>
          </w:p>
          <w:p w14:paraId="0CE10479" w14:textId="77777777" w:rsidR="00E665DC" w:rsidRPr="005D4222" w:rsidRDefault="00E665DC" w:rsidP="005D6173">
            <w:pPr>
              <w:pStyle w:val="ProcessBullet"/>
              <w:numPr>
                <w:ilvl w:val="0"/>
                <w:numId w:val="98"/>
              </w:numPr>
              <w:tabs>
                <w:tab w:val="left" w:pos="216"/>
              </w:tabs>
              <w:ind w:left="216" w:hanging="216"/>
              <w:rPr>
                <w:sz w:val="24"/>
              </w:rPr>
            </w:pPr>
            <w:r w:rsidRPr="005D4222">
              <w:rPr>
                <w:i/>
                <w:iCs/>
              </w:rPr>
              <w:t>Ages.</w:t>
            </w:r>
            <w:r w:rsidRPr="005D4222">
              <w:t xml:space="preserve"> The denominator age may be expanded. Age determination dates may be changed (e.g., select, “age as of June 30”). </w:t>
            </w:r>
          </w:p>
          <w:p w14:paraId="2F754DA1" w14:textId="77777777" w:rsidR="00E665DC" w:rsidRPr="005D4222" w:rsidRDefault="00E665DC" w:rsidP="005D6173">
            <w:pPr>
              <w:pStyle w:val="ProcessBullet"/>
              <w:numPr>
                <w:ilvl w:val="0"/>
                <w:numId w:val="98"/>
              </w:numPr>
              <w:tabs>
                <w:tab w:val="left" w:pos="216"/>
              </w:tabs>
              <w:ind w:left="216" w:hanging="216"/>
            </w:pPr>
            <w:r w:rsidRPr="005D4222">
              <w:rPr>
                <w:i/>
                <w:iCs/>
              </w:rPr>
              <w:t>Attribution.</w:t>
            </w:r>
            <w:r w:rsidRPr="005D4222">
              <w:t xml:space="preserve"> Organizations are not required to use enrollment criteria. </w:t>
            </w:r>
          </w:p>
          <w:p w14:paraId="422FF1C1" w14:textId="336164D7" w:rsidR="00E665DC" w:rsidRPr="005D4222" w:rsidRDefault="00362E76" w:rsidP="005D6173">
            <w:pPr>
              <w:pStyle w:val="ProcessBullet"/>
              <w:numPr>
                <w:ilvl w:val="0"/>
                <w:numId w:val="98"/>
              </w:numPr>
              <w:tabs>
                <w:tab w:val="left" w:pos="216"/>
              </w:tabs>
              <w:ind w:left="216" w:hanging="216"/>
            </w:pPr>
            <w:r w:rsidRPr="005D4222">
              <w:rPr>
                <w:i/>
                <w:iCs/>
              </w:rPr>
              <w:t>Benefits.</w:t>
            </w:r>
            <w:r w:rsidR="00E665DC" w:rsidRPr="005D4222">
              <w:t xml:space="preserve"> Organizations are not required to use a benefit.</w:t>
            </w:r>
          </w:p>
          <w:p w14:paraId="445A51E7" w14:textId="77777777" w:rsidR="00E665DC" w:rsidRPr="005D4222" w:rsidRDefault="00E665DC" w:rsidP="005D6173">
            <w:pPr>
              <w:pStyle w:val="ProcessBullet"/>
              <w:numPr>
                <w:ilvl w:val="0"/>
                <w:numId w:val="98"/>
              </w:numPr>
              <w:tabs>
                <w:tab w:val="left" w:pos="216"/>
              </w:tabs>
              <w:ind w:left="216" w:hanging="216"/>
            </w:pPr>
            <w:r w:rsidRPr="005D4222">
              <w:rPr>
                <w:i/>
                <w:iCs/>
              </w:rPr>
              <w:t>Other.</w:t>
            </w:r>
            <w:r w:rsidRPr="005D4222">
              <w:t xml:space="preserve"> Organizations may use additional initial population criteria to focus on an area of interest defined by gender, race, ethnicity, socioeconomic or sociodemographic characteristics, geographic region or another characteristic.</w:t>
            </w:r>
          </w:p>
          <w:p w14:paraId="5804EE1F" w14:textId="77777777" w:rsidR="00E665DC" w:rsidRPr="005D4222" w:rsidRDefault="00E665DC" w:rsidP="005D6173">
            <w:pPr>
              <w:pStyle w:val="ProcessBullet"/>
              <w:numPr>
                <w:ilvl w:val="0"/>
                <w:numId w:val="98"/>
              </w:numPr>
              <w:tabs>
                <w:tab w:val="left" w:pos="216"/>
              </w:tabs>
              <w:ind w:left="216" w:hanging="216"/>
            </w:pPr>
            <w:r w:rsidRPr="005D4222">
              <w:rPr>
                <w:i/>
                <w:iCs/>
              </w:rPr>
              <w:t>Measurement period adjustments.</w:t>
            </w:r>
            <w:r w:rsidRPr="005D4222">
              <w:t xml:space="preserve"> Organizations may adjust the measurement period. </w:t>
            </w:r>
          </w:p>
          <w:p w14:paraId="503007FB" w14:textId="77777777" w:rsidR="00E665DC" w:rsidRPr="005D4222" w:rsidRDefault="00E665DC" w:rsidP="005D6173">
            <w:pPr>
              <w:pStyle w:val="ProcessBullet"/>
              <w:numPr>
                <w:ilvl w:val="0"/>
                <w:numId w:val="98"/>
              </w:numPr>
              <w:tabs>
                <w:tab w:val="left" w:pos="216"/>
              </w:tabs>
              <w:spacing w:after="80"/>
              <w:ind w:left="216" w:hanging="216"/>
            </w:pPr>
            <w:r w:rsidRPr="005D4222">
              <w:rPr>
                <w:i/>
                <w:iCs/>
              </w:rPr>
              <w:t xml:space="preserve">Exclusions. </w:t>
            </w:r>
            <w:r w:rsidRPr="005D4222">
              <w:t xml:space="preserve">Hospice and deceased persons exclusions are not required. </w:t>
            </w:r>
          </w:p>
          <w:p w14:paraId="5DAF1787" w14:textId="77777777" w:rsidR="00E665DC" w:rsidRPr="005D4222" w:rsidRDefault="00E665DC" w:rsidP="005D6173">
            <w:pPr>
              <w:pStyle w:val="ProcessBullet"/>
              <w:numPr>
                <w:ilvl w:val="0"/>
                <w:numId w:val="98"/>
              </w:numPr>
              <w:tabs>
                <w:tab w:val="left" w:pos="216"/>
              </w:tabs>
              <w:ind w:left="216" w:hanging="216"/>
            </w:pPr>
            <w:r w:rsidRPr="005D4222">
              <w:rPr>
                <w:i/>
                <w:iCs/>
              </w:rPr>
              <w:t xml:space="preserve">Telehealth. </w:t>
            </w:r>
            <w:r w:rsidRPr="005D4222">
              <w:t>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21266CBD" w14:textId="77777777" w:rsidR="00E665DC" w:rsidRPr="005D4222" w:rsidRDefault="00E665DC" w:rsidP="00A53E8C">
            <w:pPr>
              <w:pStyle w:val="Adjustments"/>
            </w:pPr>
            <w:r w:rsidRPr="005D4222">
              <w:t>Adjustments not allowed</w:t>
            </w:r>
          </w:p>
          <w:p w14:paraId="5A264834" w14:textId="77777777" w:rsidR="00E665DC" w:rsidRPr="005D4222" w:rsidRDefault="00E665DC" w:rsidP="005D6173">
            <w:pPr>
              <w:pStyle w:val="ProcessBullet"/>
              <w:numPr>
                <w:ilvl w:val="0"/>
                <w:numId w:val="98"/>
              </w:numPr>
              <w:tabs>
                <w:tab w:val="left" w:pos="216"/>
              </w:tabs>
              <w:ind w:left="216" w:hanging="216"/>
            </w:pPr>
            <w:r w:rsidRPr="005D4222">
              <w:rPr>
                <w:i/>
                <w:iCs/>
              </w:rPr>
              <w:t>Initial population:</w:t>
            </w:r>
            <w:r w:rsidRPr="005D4222">
              <w:t xml:space="preserve"> Event. Value sets and logic may not be changed.</w:t>
            </w:r>
          </w:p>
          <w:p w14:paraId="09ACDFEA" w14:textId="77777777" w:rsidR="00E665DC" w:rsidRPr="005D4222" w:rsidRDefault="00E665DC" w:rsidP="005D6173">
            <w:pPr>
              <w:pStyle w:val="ProcessBullet"/>
              <w:numPr>
                <w:ilvl w:val="0"/>
                <w:numId w:val="98"/>
              </w:numPr>
              <w:tabs>
                <w:tab w:val="left" w:pos="216"/>
              </w:tabs>
              <w:spacing w:after="80"/>
              <w:ind w:left="216" w:hanging="216"/>
            </w:pPr>
            <w:r w:rsidRPr="005D4222">
              <w:rPr>
                <w:i/>
                <w:iCs/>
              </w:rPr>
              <w:t>Numerator.</w:t>
            </w:r>
            <w:r w:rsidRPr="005D4222">
              <w:t xml:space="preserve"> Value sets and logic may not be changed.</w:t>
            </w:r>
          </w:p>
        </w:tc>
      </w:tr>
    </w:tbl>
    <w:p w14:paraId="1F426AF2" w14:textId="77777777" w:rsidR="00E665DC" w:rsidRPr="005D4222" w:rsidRDefault="00E665DC" w:rsidP="00F45A52">
      <w:pPr>
        <w:pStyle w:val="ECDSBody"/>
        <w:sectPr w:rsidR="00E665DC" w:rsidRPr="005D4222" w:rsidSect="0074514A">
          <w:headerReference w:type="default" r:id="rId220"/>
          <w:type w:val="nextColumn"/>
          <w:pgSz w:w="12240" w:h="15840" w:code="1"/>
          <w:pgMar w:top="1080" w:right="1080" w:bottom="1080" w:left="1440" w:header="720" w:footer="720" w:gutter="0"/>
          <w:cols w:space="720"/>
          <w:docGrid w:linePitch="360"/>
        </w:sectPr>
      </w:pPr>
    </w:p>
    <w:p w14:paraId="020F8D90" w14:textId="179E9B8E" w:rsidR="00F45A52" w:rsidRPr="005D4222" w:rsidRDefault="00367C65" w:rsidP="00367C65">
      <w:pPr>
        <w:pStyle w:val="MeasureTitle"/>
      </w:pPr>
      <w:bookmarkStart w:id="415" w:name="_Toc201813470"/>
      <w:r w:rsidRPr="005D4222">
        <w:lastRenderedPageBreak/>
        <w:t>Cervical Cancer Screening</w:t>
      </w:r>
      <w:r w:rsidR="006B0FDD" w:rsidRPr="005D4222">
        <w:t xml:space="preserve"> (CCS-E)</w:t>
      </w:r>
      <w:bookmarkEnd w:id="415"/>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3996"/>
        <w:gridCol w:w="2148"/>
        <w:gridCol w:w="1413"/>
      </w:tblGrid>
      <w:tr w:rsidR="001537B1" w:rsidRPr="005D4222" w14:paraId="2EE8C383" w14:textId="77777777" w:rsidTr="00A53E8C">
        <w:tc>
          <w:tcPr>
            <w:tcW w:w="2157" w:type="dxa"/>
            <w:shd w:val="clear" w:color="auto" w:fill="BFBFBF" w:themeFill="background1" w:themeFillShade="BF"/>
            <w:tcMar>
              <w:top w:w="0" w:type="dxa"/>
              <w:left w:w="86" w:type="dxa"/>
              <w:bottom w:w="43" w:type="dxa"/>
              <w:right w:w="86" w:type="dxa"/>
            </w:tcMar>
            <w:hideMark/>
          </w:tcPr>
          <w:p w14:paraId="6BB3FD51" w14:textId="77777777" w:rsidR="001537B1" w:rsidRPr="005D4222" w:rsidRDefault="001537B1" w:rsidP="00A53E8C">
            <w:pPr>
              <w:pStyle w:val="ECDSMarginHead"/>
            </w:pPr>
            <w:r w:rsidRPr="005D4222">
              <w:t>Measure title</w:t>
            </w:r>
          </w:p>
        </w:tc>
        <w:tc>
          <w:tcPr>
            <w:tcW w:w="3996" w:type="dxa"/>
            <w:tcMar>
              <w:top w:w="0" w:type="dxa"/>
              <w:left w:w="86" w:type="dxa"/>
              <w:bottom w:w="43" w:type="dxa"/>
              <w:right w:w="86" w:type="dxa"/>
            </w:tcMar>
          </w:tcPr>
          <w:p w14:paraId="7309F1A7" w14:textId="77777777" w:rsidR="001537B1" w:rsidRPr="005D4222" w:rsidRDefault="001537B1" w:rsidP="00A53E8C">
            <w:pPr>
              <w:pStyle w:val="ECDSBody"/>
            </w:pPr>
            <w:r w:rsidRPr="005D4222">
              <w:t>Cervical Cancer Screening</w:t>
            </w:r>
          </w:p>
        </w:tc>
        <w:tc>
          <w:tcPr>
            <w:tcW w:w="2148" w:type="dxa"/>
            <w:shd w:val="clear" w:color="auto" w:fill="BFBFBF" w:themeFill="background1" w:themeFillShade="BF"/>
            <w:tcMar>
              <w:top w:w="0" w:type="dxa"/>
              <w:left w:w="86" w:type="dxa"/>
              <w:bottom w:w="43" w:type="dxa"/>
              <w:right w:w="86" w:type="dxa"/>
            </w:tcMar>
          </w:tcPr>
          <w:p w14:paraId="5F887CCA" w14:textId="77777777" w:rsidR="001537B1" w:rsidRPr="005D4222" w:rsidRDefault="001537B1" w:rsidP="00A53E8C">
            <w:pPr>
              <w:pStyle w:val="ECDSMarginHead"/>
            </w:pPr>
            <w:r w:rsidRPr="005D4222">
              <w:t>Measure ID</w:t>
            </w:r>
          </w:p>
        </w:tc>
        <w:tc>
          <w:tcPr>
            <w:tcW w:w="1413" w:type="dxa"/>
            <w:tcMar>
              <w:top w:w="0" w:type="dxa"/>
              <w:left w:w="86" w:type="dxa"/>
              <w:bottom w:w="43" w:type="dxa"/>
              <w:right w:w="86" w:type="dxa"/>
            </w:tcMar>
          </w:tcPr>
          <w:p w14:paraId="12284B98" w14:textId="77777777" w:rsidR="001537B1" w:rsidRPr="005D4222" w:rsidRDefault="001537B1" w:rsidP="00A53E8C">
            <w:pPr>
              <w:pStyle w:val="ECDSBody"/>
            </w:pPr>
            <w:r w:rsidRPr="005D4222">
              <w:t>CCS-E</w:t>
            </w:r>
          </w:p>
        </w:tc>
      </w:tr>
      <w:tr w:rsidR="001537B1" w:rsidRPr="005D4222" w14:paraId="12CC88C2" w14:textId="77777777" w:rsidTr="00A53E8C">
        <w:tc>
          <w:tcPr>
            <w:tcW w:w="2157" w:type="dxa"/>
            <w:shd w:val="clear" w:color="auto" w:fill="BFBFBF" w:themeFill="background1" w:themeFillShade="BF"/>
            <w:tcMar>
              <w:top w:w="0" w:type="dxa"/>
              <w:left w:w="86" w:type="dxa"/>
              <w:bottom w:w="43" w:type="dxa"/>
              <w:right w:w="86" w:type="dxa"/>
            </w:tcMar>
            <w:hideMark/>
          </w:tcPr>
          <w:p w14:paraId="32A14265" w14:textId="77777777" w:rsidR="001537B1" w:rsidRPr="005D4222" w:rsidRDefault="001537B1" w:rsidP="00A53E8C">
            <w:pPr>
              <w:pStyle w:val="ECDSMarginHead"/>
            </w:pPr>
            <w:r w:rsidRPr="005D4222">
              <w:t>Description</w:t>
            </w:r>
          </w:p>
        </w:tc>
        <w:tc>
          <w:tcPr>
            <w:tcW w:w="7557" w:type="dxa"/>
            <w:gridSpan w:val="3"/>
            <w:tcMar>
              <w:top w:w="0" w:type="dxa"/>
              <w:left w:w="86" w:type="dxa"/>
              <w:bottom w:w="43" w:type="dxa"/>
              <w:right w:w="86" w:type="dxa"/>
            </w:tcMar>
          </w:tcPr>
          <w:p w14:paraId="6F7CF34E" w14:textId="77777777" w:rsidR="001537B1" w:rsidRPr="005D4222" w:rsidRDefault="001537B1" w:rsidP="00A53E8C">
            <w:pPr>
              <w:pStyle w:val="ECDSBody"/>
            </w:pPr>
            <w:r w:rsidRPr="005D4222">
              <w:t>The percentage of persons 21–64 years of age who were recommended for routine cervical cancer screening and were screened for cervical cancer using any of the following criteria:</w:t>
            </w:r>
          </w:p>
          <w:p w14:paraId="278EF6A4" w14:textId="77777777" w:rsidR="001537B1" w:rsidRPr="005D4222" w:rsidRDefault="001537B1" w:rsidP="001537B1">
            <w:pPr>
              <w:pStyle w:val="Bullet"/>
              <w:widowControl w:val="0"/>
              <w:numPr>
                <w:ilvl w:val="0"/>
                <w:numId w:val="4"/>
              </w:numPr>
              <w:tabs>
                <w:tab w:val="left" w:pos="360"/>
                <w:tab w:val="left" w:pos="576"/>
              </w:tabs>
              <w:ind w:left="576" w:hanging="216"/>
            </w:pPr>
            <w:r w:rsidRPr="005D4222">
              <w:t>Persons 21–64 years of age who were recommended for routine cervical cancer screening and had cervical cytology performed within the last 3 years.</w:t>
            </w:r>
          </w:p>
          <w:p w14:paraId="3298BC6F" w14:textId="77777777" w:rsidR="001537B1" w:rsidRPr="005D4222" w:rsidRDefault="001537B1" w:rsidP="001537B1">
            <w:pPr>
              <w:pStyle w:val="Bullet"/>
              <w:widowControl w:val="0"/>
              <w:numPr>
                <w:ilvl w:val="0"/>
                <w:numId w:val="4"/>
              </w:numPr>
              <w:tabs>
                <w:tab w:val="left" w:pos="360"/>
                <w:tab w:val="left" w:pos="576"/>
              </w:tabs>
              <w:ind w:left="576" w:hanging="216"/>
            </w:pPr>
            <w:r w:rsidRPr="005D4222">
              <w:t>Persons 30–64 years of age who were recommended for routine cervical cancer screening and had cervical high-risk human papillomavirus (hrHPV) testing performed within the last 5 years.</w:t>
            </w:r>
          </w:p>
          <w:p w14:paraId="2881B369" w14:textId="77777777" w:rsidR="001537B1" w:rsidRPr="005D4222" w:rsidRDefault="001537B1" w:rsidP="001537B1">
            <w:pPr>
              <w:pStyle w:val="Bullet"/>
              <w:widowControl w:val="0"/>
              <w:numPr>
                <w:ilvl w:val="0"/>
                <w:numId w:val="4"/>
              </w:numPr>
              <w:tabs>
                <w:tab w:val="left" w:pos="360"/>
                <w:tab w:val="left" w:pos="576"/>
              </w:tabs>
              <w:spacing w:after="80"/>
              <w:ind w:left="576" w:hanging="216"/>
            </w:pPr>
            <w:r w:rsidRPr="005D4222">
              <w:t>Persons 30–64 years of age who were recommended for routine cervical cancer screening and had cervical cytology/high-risk human papillomavirus (hrHPV) cotesting within the last 5 years.</w:t>
            </w:r>
          </w:p>
        </w:tc>
      </w:tr>
      <w:tr w:rsidR="001537B1" w:rsidRPr="005D4222" w14:paraId="480895C6" w14:textId="77777777" w:rsidTr="00A53E8C">
        <w:tc>
          <w:tcPr>
            <w:tcW w:w="2157" w:type="dxa"/>
            <w:shd w:val="clear" w:color="auto" w:fill="BFBFBF" w:themeFill="background1" w:themeFillShade="BF"/>
            <w:tcMar>
              <w:top w:w="0" w:type="dxa"/>
              <w:left w:w="86" w:type="dxa"/>
              <w:bottom w:w="43" w:type="dxa"/>
              <w:right w:w="86" w:type="dxa"/>
            </w:tcMar>
          </w:tcPr>
          <w:p w14:paraId="4BA72423" w14:textId="77777777" w:rsidR="001537B1" w:rsidRPr="005D4222" w:rsidRDefault="001537B1" w:rsidP="00A53E8C">
            <w:pPr>
              <w:pStyle w:val="ECDSMarginHead"/>
            </w:pPr>
            <w:r w:rsidRPr="005D4222">
              <w:t>Measurement period</w:t>
            </w:r>
          </w:p>
        </w:tc>
        <w:tc>
          <w:tcPr>
            <w:tcW w:w="7557" w:type="dxa"/>
            <w:gridSpan w:val="3"/>
            <w:tcMar>
              <w:top w:w="0" w:type="dxa"/>
              <w:left w:w="86" w:type="dxa"/>
              <w:bottom w:w="43" w:type="dxa"/>
              <w:right w:w="86" w:type="dxa"/>
            </w:tcMar>
          </w:tcPr>
          <w:p w14:paraId="66222C41" w14:textId="77777777" w:rsidR="001537B1" w:rsidRPr="005D4222" w:rsidRDefault="001537B1" w:rsidP="00A53E8C">
            <w:pPr>
              <w:pStyle w:val="ECDSBody"/>
            </w:pPr>
            <w:r w:rsidRPr="005D4222">
              <w:t>January 1–December 31.</w:t>
            </w:r>
          </w:p>
        </w:tc>
      </w:tr>
      <w:tr w:rsidR="001537B1" w:rsidRPr="005D4222" w14:paraId="4ACFC17F" w14:textId="77777777" w:rsidTr="00A53E8C">
        <w:tc>
          <w:tcPr>
            <w:tcW w:w="2157" w:type="dxa"/>
            <w:shd w:val="clear" w:color="auto" w:fill="BFBFBF" w:themeFill="background1" w:themeFillShade="BF"/>
            <w:tcMar>
              <w:top w:w="0" w:type="dxa"/>
              <w:left w:w="86" w:type="dxa"/>
              <w:bottom w:w="43" w:type="dxa"/>
              <w:right w:w="86" w:type="dxa"/>
            </w:tcMar>
            <w:hideMark/>
          </w:tcPr>
          <w:p w14:paraId="0C66B6CF" w14:textId="77777777" w:rsidR="001537B1" w:rsidRPr="005D4222" w:rsidRDefault="001537B1" w:rsidP="00A53E8C">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5B7FC990" w14:textId="77777777" w:rsidR="001537B1" w:rsidRPr="005D4222" w:rsidRDefault="001537B1" w:rsidP="00A53E8C">
            <w:pPr>
              <w:pStyle w:val="ECDSBody"/>
              <w:rPr>
                <w:szCs w:val="21"/>
              </w:rPr>
            </w:pPr>
            <w:r w:rsidRPr="005D4222">
              <w:rPr>
                <w:szCs w:val="21"/>
              </w:rPr>
              <w:t xml:space="preserve">Refer to the complete copyright and disclaimer information at the front of this publication. </w:t>
            </w:r>
          </w:p>
          <w:p w14:paraId="50647327" w14:textId="77777777" w:rsidR="001537B1" w:rsidRPr="005D4222" w:rsidRDefault="001537B1" w:rsidP="00A53E8C">
            <w:pPr>
              <w:pStyle w:val="ECDSBody"/>
              <w:spacing w:before="80"/>
            </w:pPr>
            <w:r w:rsidRPr="005D4222">
              <w:t xml:space="preserve">NCQA website: </w:t>
            </w:r>
            <w:r w:rsidRPr="005D4222">
              <w:rPr>
                <w:u w:val="single"/>
              </w:rPr>
              <w:t>www.ncqa.org</w:t>
            </w:r>
            <w:r w:rsidRPr="005D4222">
              <w:rPr>
                <w:rStyle w:val="Hyperlink"/>
              </w:rPr>
              <w:t>.</w:t>
            </w:r>
            <w:r w:rsidRPr="005D4222">
              <w:t xml:space="preserve"> </w:t>
            </w:r>
          </w:p>
          <w:p w14:paraId="38A270D7" w14:textId="77777777" w:rsidR="001537B1" w:rsidRPr="005D4222" w:rsidRDefault="001537B1" w:rsidP="00A53E8C">
            <w:pPr>
              <w:pStyle w:val="ECDSBody"/>
              <w:spacing w:before="80"/>
              <w:rPr>
                <w:szCs w:val="21"/>
              </w:rPr>
            </w:pPr>
            <w:r w:rsidRPr="005D4222">
              <w:t>Submit policy clarification support questions via My NCQA (</w:t>
            </w:r>
            <w:r w:rsidRPr="005D4222">
              <w:rPr>
                <w:u w:val="single"/>
              </w:rPr>
              <w:t>https://my.ncqa.org</w:t>
            </w:r>
            <w:r w:rsidRPr="005D4222">
              <w:t>).</w:t>
            </w:r>
          </w:p>
        </w:tc>
      </w:tr>
      <w:tr w:rsidR="001537B1" w:rsidRPr="005D4222" w14:paraId="6F4C8AFB" w14:textId="77777777" w:rsidTr="00A53E8C">
        <w:tc>
          <w:tcPr>
            <w:tcW w:w="2157" w:type="dxa"/>
            <w:shd w:val="clear" w:color="auto" w:fill="BFBFBF" w:themeFill="background1" w:themeFillShade="BF"/>
            <w:tcMar>
              <w:top w:w="0" w:type="dxa"/>
              <w:left w:w="86" w:type="dxa"/>
              <w:bottom w:w="43" w:type="dxa"/>
              <w:right w:w="86" w:type="dxa"/>
            </w:tcMar>
            <w:hideMark/>
          </w:tcPr>
          <w:p w14:paraId="1F3EF35D" w14:textId="77777777" w:rsidR="001537B1" w:rsidRPr="005D4222" w:rsidRDefault="001537B1" w:rsidP="00A53E8C">
            <w:pPr>
              <w:pStyle w:val="ECDSMarginHead"/>
            </w:pPr>
            <w:r w:rsidRPr="005D4222">
              <w:t>Clinical recommendation statement/ rationale</w:t>
            </w:r>
          </w:p>
        </w:tc>
        <w:tc>
          <w:tcPr>
            <w:tcW w:w="7557" w:type="dxa"/>
            <w:gridSpan w:val="3"/>
            <w:tcMar>
              <w:top w:w="0" w:type="dxa"/>
              <w:left w:w="86" w:type="dxa"/>
              <w:bottom w:w="43" w:type="dxa"/>
              <w:right w:w="86" w:type="dxa"/>
            </w:tcMar>
          </w:tcPr>
          <w:p w14:paraId="4D0B028A" w14:textId="77777777" w:rsidR="001537B1" w:rsidRPr="005D4222" w:rsidRDefault="001537B1" w:rsidP="00A53E8C">
            <w:pPr>
              <w:pStyle w:val="ECDSBody"/>
            </w:pPr>
            <w:r w:rsidRPr="005D4222">
              <w:t>The U.S. Preventive Services Task Force (USPSTF) recommends screening for cervical cancer every 3 years with cervical cytology alone in women aged 21–29 years. This recommendation statement applies to all asymptomatic individuals with a cervix. (A recommendation)</w:t>
            </w:r>
          </w:p>
          <w:p w14:paraId="3A6D341C" w14:textId="77777777" w:rsidR="001537B1" w:rsidRPr="005D4222" w:rsidRDefault="001537B1" w:rsidP="00A53E8C">
            <w:pPr>
              <w:pStyle w:val="ECDSBody"/>
            </w:pPr>
            <w:r w:rsidRPr="005D4222">
              <w:t>The USPSTF recommends screening every 3 years with cervical cytology alone, every 5 years with hrHPV testing alone or every 5 years with hrHPV testing in combination with cytology (cotesting) in women aged 30–65 years. This recommendation statement applies to all asymptomatic individuals with a cervix. (A recommendation)</w:t>
            </w:r>
          </w:p>
          <w:p w14:paraId="0A74F70F" w14:textId="77777777" w:rsidR="001537B1" w:rsidRPr="005D4222" w:rsidRDefault="001537B1" w:rsidP="00A53E8C">
            <w:pPr>
              <w:pStyle w:val="ECDSBody"/>
            </w:pPr>
            <w:r w:rsidRPr="005D4222">
              <w:t>The USPSTF recommends against screening for cervical cancer in women younger than 21 years. This recommendation statement applies to all asymptomatic individuals with a cervix. (D recommendation)</w:t>
            </w:r>
          </w:p>
          <w:p w14:paraId="4436A89B" w14:textId="77777777" w:rsidR="001537B1" w:rsidRPr="005D4222" w:rsidRDefault="001537B1" w:rsidP="00A53E8C">
            <w:pPr>
              <w:pStyle w:val="ECDSBody"/>
            </w:pPr>
            <w:r w:rsidRPr="005D4222">
              <w:t>The USPSTF recommends against screening for cervical cancer in women older than 65 years who have had adequate prior screening and are not otherwise at high risk for cervical cancer. This recommendation statement applies to all asymptomatic individuals with a cervix. (D recommendation).</w:t>
            </w:r>
          </w:p>
          <w:p w14:paraId="1276B6B9" w14:textId="1EE4C18F" w:rsidR="001537B1" w:rsidRPr="005D4222" w:rsidRDefault="001537B1" w:rsidP="001537B1">
            <w:pPr>
              <w:pStyle w:val="ECDSBody"/>
            </w:pPr>
            <w:r w:rsidRPr="005D4222">
              <w:t xml:space="preserve">The USPSTF recommends against screening for cervical cancer in women who have had a hysterectomy with removal of the cervix, and do not have a history of a high-grade precancerous lesion or cervical cancer. </w:t>
            </w:r>
            <w:r w:rsidRPr="005D4222">
              <w:br/>
              <w:t>(D recommendation)</w:t>
            </w:r>
          </w:p>
        </w:tc>
      </w:tr>
    </w:tbl>
    <w:p w14:paraId="48E25487" w14:textId="77777777" w:rsidR="001537B1" w:rsidRPr="005D4222" w:rsidRDefault="001537B1"/>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1537B1" w:rsidRPr="005D4222" w14:paraId="357A72B1" w14:textId="77777777" w:rsidTr="00770B8B">
        <w:tc>
          <w:tcPr>
            <w:tcW w:w="2157" w:type="dxa"/>
            <w:shd w:val="clear" w:color="auto" w:fill="BFBFBF" w:themeFill="background1" w:themeFillShade="BF"/>
            <w:tcMar>
              <w:top w:w="0" w:type="dxa"/>
              <w:left w:w="86" w:type="dxa"/>
              <w:bottom w:w="43" w:type="dxa"/>
              <w:right w:w="86" w:type="dxa"/>
            </w:tcMar>
          </w:tcPr>
          <w:p w14:paraId="667CACBA" w14:textId="77777777" w:rsidR="001537B1" w:rsidRPr="005D4222" w:rsidRDefault="001537B1" w:rsidP="00A53E8C">
            <w:pPr>
              <w:pStyle w:val="ECDSMarginHead"/>
            </w:pPr>
          </w:p>
        </w:tc>
        <w:tc>
          <w:tcPr>
            <w:tcW w:w="7557" w:type="dxa"/>
            <w:tcMar>
              <w:top w:w="0" w:type="dxa"/>
              <w:left w:w="86" w:type="dxa"/>
              <w:bottom w:w="43" w:type="dxa"/>
              <w:right w:w="86" w:type="dxa"/>
            </w:tcMar>
          </w:tcPr>
          <w:p w14:paraId="57FB4AFD" w14:textId="08C11F8C" w:rsidR="001537B1" w:rsidRPr="005D4222" w:rsidRDefault="001537B1" w:rsidP="00A53E8C">
            <w:pPr>
              <w:pStyle w:val="ECDSBody"/>
            </w:pPr>
            <w:r w:rsidRPr="005D4222">
              <w:t>The American Cancer Society recommends that individuals with a cervix initiate cervical cancer screening at age 25 years, and undergo primary HPV testing every 5 years through age 65 years (preferred). If primary HPV testing is not available, individuals aged 25–65 years should be screened with cotesting (HPV testing in combination with cytology) every 5 years, or cytology alone every 3 years (acceptable). The recommendations apply to all asymptomatic individuals with a cervix, regardless of their sexual history or HPV vaccination status, including those who have undergone supracervical hysterectomy and transgender men who retain their cervix. (Strong Recommendation)</w:t>
            </w:r>
          </w:p>
          <w:p w14:paraId="5E78A992" w14:textId="77777777" w:rsidR="001537B1" w:rsidRPr="005D4222" w:rsidRDefault="001537B1" w:rsidP="00A53E8C">
            <w:pPr>
              <w:pStyle w:val="ECDSBody"/>
            </w:pPr>
            <w:r w:rsidRPr="005D4222">
              <w:t>The Fenway Institute recommends that transgender and gender diverse patients who have a cervix have regular cervical pap tests, as per the published guidelines for cisgender women.</w:t>
            </w:r>
          </w:p>
          <w:p w14:paraId="560E21D3" w14:textId="77777777" w:rsidR="001537B1" w:rsidRPr="005D4222" w:rsidRDefault="001537B1" w:rsidP="00A53E8C">
            <w:pPr>
              <w:pStyle w:val="ECDSBody"/>
            </w:pPr>
            <w:r w:rsidRPr="005D4222">
              <w:t>The University of California San Francisco Center of Excellence for Transgender Health recommends that cervical cancer screening for transgender men, including intervals of screening and age to begin and end screening, follows recommendations for non-transgender women as endorsed by the American Cancer Society, the American Society of Colposcopy and Cervical Pathology, the American Society of Clinical Pathologists, the U.S. Preventive Services Task Force and the World Health Organization.</w:t>
            </w:r>
          </w:p>
          <w:p w14:paraId="7734890B" w14:textId="77777777" w:rsidR="001537B1" w:rsidRPr="005D4222" w:rsidRDefault="001537B1" w:rsidP="00A53E8C">
            <w:pPr>
              <w:pStyle w:val="ECDSBody"/>
            </w:pPr>
            <w:r w:rsidRPr="005D4222">
              <w:t>The World Professional Association for Transgender Health recommends that health care professionals offer cervical cancer screening to transgender and gender diverse people who currently have or previously had a cervix, following local guidelines for cisgender women.</w:t>
            </w:r>
          </w:p>
        </w:tc>
      </w:tr>
      <w:tr w:rsidR="001537B1" w:rsidRPr="005D4222" w14:paraId="15C6E1EE" w14:textId="77777777" w:rsidTr="00770B8B">
        <w:tc>
          <w:tcPr>
            <w:tcW w:w="2157" w:type="dxa"/>
            <w:shd w:val="clear" w:color="auto" w:fill="BFBFBF" w:themeFill="background1" w:themeFillShade="BF"/>
            <w:tcMar>
              <w:top w:w="0" w:type="dxa"/>
              <w:left w:w="86" w:type="dxa"/>
              <w:bottom w:w="43" w:type="dxa"/>
              <w:right w:w="86" w:type="dxa"/>
            </w:tcMar>
          </w:tcPr>
          <w:p w14:paraId="358EC858" w14:textId="77777777" w:rsidR="001537B1" w:rsidRPr="005D4222" w:rsidRDefault="001537B1" w:rsidP="00A53E8C">
            <w:pPr>
              <w:pStyle w:val="ECDSMarginHead"/>
            </w:pPr>
            <w:r w:rsidRPr="005D4222">
              <w:t>Citations</w:t>
            </w:r>
          </w:p>
        </w:tc>
        <w:tc>
          <w:tcPr>
            <w:tcW w:w="7557" w:type="dxa"/>
            <w:tcMar>
              <w:top w:w="0" w:type="dxa"/>
              <w:left w:w="86" w:type="dxa"/>
              <w:bottom w:w="43" w:type="dxa"/>
              <w:right w:w="86" w:type="dxa"/>
            </w:tcMar>
          </w:tcPr>
          <w:p w14:paraId="41A89BDB" w14:textId="77777777" w:rsidR="001537B1" w:rsidRPr="005D4222" w:rsidRDefault="001537B1" w:rsidP="00A53E8C">
            <w:pPr>
              <w:pStyle w:val="ECDSBody"/>
            </w:pPr>
            <w:r w:rsidRPr="005D4222">
              <w:t xml:space="preserve">American Cancer Society. 2020. </w:t>
            </w:r>
            <w:r w:rsidRPr="005D4222">
              <w:rPr>
                <w:i/>
                <w:iCs/>
              </w:rPr>
              <w:t xml:space="preserve">Cervical Cancer Screening for Individuals at Average Risk: 2020 Guideline Update From the American Cancer Society. </w:t>
            </w:r>
            <w:r w:rsidRPr="005D4222">
              <w:t>https://acsjournals.onlinelibrary.wiley.com/doi/full/10.3322/caac.21628</w:t>
            </w:r>
          </w:p>
          <w:p w14:paraId="7C6FE9C3" w14:textId="77777777" w:rsidR="001537B1" w:rsidRPr="005D4222" w:rsidRDefault="001537B1" w:rsidP="00A53E8C">
            <w:pPr>
              <w:pStyle w:val="ECDSBody"/>
            </w:pPr>
            <w:r w:rsidRPr="005D4222">
              <w:t xml:space="preserve">Fenway Health. 2021. </w:t>
            </w:r>
            <w:r w:rsidRPr="005D4222">
              <w:rPr>
                <w:i/>
                <w:iCs/>
              </w:rPr>
              <w:t>Medical Care of Trans and Gender Diverse Adults.</w:t>
            </w:r>
            <w:r w:rsidRPr="005D4222">
              <w:t xml:space="preserve"> https://fenwayhealth.org/wp-content/uploads/Medical-Care-of-Trans-and-Gender-Diverse-Adults-Spring-2021-1.pdf</w:t>
            </w:r>
          </w:p>
          <w:p w14:paraId="6C67C96F" w14:textId="77777777" w:rsidR="001537B1" w:rsidRPr="005D4222" w:rsidRDefault="001537B1" w:rsidP="00A53E8C">
            <w:pPr>
              <w:pStyle w:val="ECDSBody"/>
            </w:pPr>
            <w:r w:rsidRPr="005D4222">
              <w:t xml:space="preserve">University of California San Francisco Center of Excellence for Transgender Health. 2016. </w:t>
            </w:r>
            <w:r w:rsidRPr="005D4222">
              <w:rPr>
                <w:i/>
                <w:iCs/>
              </w:rPr>
              <w:t xml:space="preserve">Guidelines for the Primary and Gender-Affirming Care of Transgender and Gender Nonbinary People. </w:t>
            </w:r>
            <w:r w:rsidRPr="005D4222">
              <w:t>https://transcare.ucsf.edu/sites/transcare.ucsf.edu/files/Transgender-PGACG-6-17-16.pdf</w:t>
            </w:r>
          </w:p>
          <w:p w14:paraId="64A7A13B" w14:textId="77777777" w:rsidR="001537B1" w:rsidRPr="005D4222" w:rsidRDefault="001537B1" w:rsidP="00A53E8C">
            <w:pPr>
              <w:pStyle w:val="ECDSBody"/>
            </w:pPr>
            <w:r w:rsidRPr="005D4222">
              <w:t xml:space="preserve">U.S. Preventive Services Task Force. 2018. “Screening for Cervical Cancer: U.S. Preventive Services Task Force Recommendation Statement.” </w:t>
            </w:r>
            <w:r w:rsidRPr="005D4222">
              <w:rPr>
                <w:i/>
                <w:iCs/>
              </w:rPr>
              <w:t xml:space="preserve">JAMA </w:t>
            </w:r>
            <w:r w:rsidRPr="005D4222">
              <w:t>320(7): 674–86.</w:t>
            </w:r>
          </w:p>
          <w:p w14:paraId="0DE142A8" w14:textId="77777777" w:rsidR="001537B1" w:rsidRPr="005D4222" w:rsidRDefault="001537B1" w:rsidP="00A53E8C">
            <w:pPr>
              <w:pStyle w:val="ECDSBody"/>
              <w:rPr>
                <w:highlight w:val="yellow"/>
              </w:rPr>
            </w:pPr>
            <w:r w:rsidRPr="005D4222">
              <w:t xml:space="preserve">World Professional Association for Transgender Health. 2022. </w:t>
            </w:r>
            <w:r w:rsidRPr="005D4222">
              <w:rPr>
                <w:i/>
                <w:iCs/>
              </w:rPr>
              <w:t xml:space="preserve">Standards of Care for the Health of Transgender and Gender Diverse People, Version 8. </w:t>
            </w:r>
            <w:r w:rsidRPr="005D4222">
              <w:t>https://www.tandfonline.com/doi/pdf/10.1080/26895269.2022.2100644</w:t>
            </w:r>
          </w:p>
        </w:tc>
      </w:tr>
      <w:tr w:rsidR="001537B1" w:rsidRPr="005D4222" w14:paraId="74810A1E" w14:textId="77777777" w:rsidTr="00770B8B">
        <w:tc>
          <w:tcPr>
            <w:tcW w:w="9714" w:type="dxa"/>
            <w:gridSpan w:val="2"/>
            <w:tcBorders>
              <w:bottom w:val="single" w:sz="4" w:space="0" w:color="auto"/>
            </w:tcBorders>
            <w:shd w:val="clear" w:color="auto" w:fill="BFBFBF" w:themeFill="background1" w:themeFillShade="BF"/>
            <w:tcMar>
              <w:top w:w="0" w:type="dxa"/>
              <w:left w:w="86" w:type="dxa"/>
              <w:bottom w:w="43" w:type="dxa"/>
              <w:right w:w="86" w:type="dxa"/>
            </w:tcMar>
          </w:tcPr>
          <w:p w14:paraId="09D61219" w14:textId="77777777" w:rsidR="001537B1" w:rsidRPr="005D4222" w:rsidRDefault="001537B1" w:rsidP="00A53E8C">
            <w:pPr>
              <w:pStyle w:val="ECDSMarginHead"/>
            </w:pPr>
            <w:r w:rsidRPr="005D4222">
              <w:t>Characteristics</w:t>
            </w:r>
          </w:p>
        </w:tc>
      </w:tr>
      <w:tr w:rsidR="001537B1" w:rsidRPr="005D4222" w14:paraId="14D676F8" w14:textId="77777777" w:rsidTr="00770B8B">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156E1437" w14:textId="77777777" w:rsidR="001537B1" w:rsidRPr="005D4222" w:rsidRDefault="001537B1" w:rsidP="001C2521">
            <w:pPr>
              <w:pStyle w:val="ECDSMarginHead"/>
              <w:spacing w:after="0"/>
            </w:pPr>
            <w:r w:rsidRPr="005D4222">
              <w:t>Scoring</w:t>
            </w: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3B0A4A70" w14:textId="77777777" w:rsidR="001537B1" w:rsidRPr="005D4222" w:rsidRDefault="001537B1" w:rsidP="001C2521">
            <w:pPr>
              <w:pStyle w:val="ECDSBody"/>
              <w:spacing w:after="0"/>
            </w:pPr>
            <w:r w:rsidRPr="005D4222">
              <w:t xml:space="preserve">Proportion. </w:t>
            </w:r>
          </w:p>
        </w:tc>
      </w:tr>
      <w:tr w:rsidR="001537B1" w:rsidRPr="005D4222" w14:paraId="1037958B" w14:textId="77777777" w:rsidTr="00770B8B">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029EB820" w14:textId="77777777" w:rsidR="001537B1" w:rsidRPr="005D4222" w:rsidRDefault="001537B1" w:rsidP="001537B1">
            <w:pPr>
              <w:pStyle w:val="ECDSMarginHead"/>
            </w:pPr>
            <w:r w:rsidRPr="005D4222">
              <w:t>Type</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1E0A67AA" w14:textId="77777777" w:rsidR="001537B1" w:rsidRPr="005D4222" w:rsidRDefault="001537B1" w:rsidP="00A53E8C">
            <w:pPr>
              <w:pStyle w:val="ECDSBody"/>
              <w:spacing w:after="0"/>
            </w:pPr>
            <w:r w:rsidRPr="005D4222">
              <w:t>Process.</w:t>
            </w:r>
          </w:p>
        </w:tc>
      </w:tr>
      <w:tr w:rsidR="001537B1" w:rsidRPr="005D4222" w14:paraId="075DA0A7" w14:textId="77777777" w:rsidTr="00770B8B">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3F70A321" w14:textId="66E8D16F" w:rsidR="001537B1" w:rsidRPr="005D4222" w:rsidRDefault="00B51CDC" w:rsidP="001C2521">
            <w:pPr>
              <w:pStyle w:val="ECDSSubhead"/>
            </w:pPr>
            <w:r w:rsidRPr="005D4222">
              <w:lastRenderedPageBreak/>
              <w:t>Product lines</w:t>
            </w: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5F2EF437" w14:textId="77777777" w:rsidR="001537B1" w:rsidRPr="005D4222" w:rsidRDefault="001537B1" w:rsidP="005D6173">
            <w:pPr>
              <w:pStyle w:val="ProcessBullet"/>
              <w:numPr>
                <w:ilvl w:val="0"/>
                <w:numId w:val="98"/>
              </w:numPr>
              <w:ind w:left="216" w:hanging="216"/>
            </w:pPr>
            <w:r w:rsidRPr="005D4222">
              <w:t>Commercial.</w:t>
            </w:r>
          </w:p>
          <w:p w14:paraId="275BC9E8" w14:textId="77777777" w:rsidR="001537B1" w:rsidRPr="005D4222" w:rsidRDefault="001537B1" w:rsidP="005D6173">
            <w:pPr>
              <w:pStyle w:val="ProcessBullet"/>
              <w:numPr>
                <w:ilvl w:val="0"/>
                <w:numId w:val="98"/>
              </w:numPr>
              <w:ind w:left="216" w:hanging="216"/>
            </w:pPr>
            <w:r w:rsidRPr="005D4222">
              <w:t>Medicaid.</w:t>
            </w:r>
          </w:p>
        </w:tc>
      </w:tr>
      <w:tr w:rsidR="001537B1" w:rsidRPr="005D4222" w14:paraId="59A69D8A" w14:textId="77777777" w:rsidTr="00770B8B">
        <w:tc>
          <w:tcPr>
            <w:tcW w:w="2157" w:type="dxa"/>
            <w:tcBorders>
              <w:top w:val="nil"/>
              <w:left w:val="single" w:sz="4" w:space="0" w:color="auto"/>
              <w:bottom w:val="nil"/>
              <w:right w:val="single" w:sz="4" w:space="0" w:color="auto"/>
            </w:tcBorders>
            <w:tcMar>
              <w:top w:w="0" w:type="dxa"/>
              <w:left w:w="86" w:type="dxa"/>
              <w:bottom w:w="43" w:type="dxa"/>
              <w:right w:w="86" w:type="dxa"/>
            </w:tcMar>
          </w:tcPr>
          <w:p w14:paraId="2DE8D234" w14:textId="7BCC4EF6" w:rsidR="001537B1" w:rsidRPr="005D4222" w:rsidRDefault="00B51CDC" w:rsidP="001C2521">
            <w:pPr>
              <w:pStyle w:val="ECDSSubhead"/>
            </w:pPr>
            <w:r w:rsidRPr="005D4222">
              <w:t>Stratifications</w:t>
            </w:r>
            <w:r w:rsidR="001537B1" w:rsidRPr="005D4222">
              <w:t xml:space="preserve"> </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57D4DCD2" w14:textId="1C0ED0B9" w:rsidR="001537B1" w:rsidRPr="005D4222" w:rsidRDefault="001537B1" w:rsidP="00A53E8C">
            <w:pPr>
              <w:pStyle w:val="ProcessBullet"/>
              <w:widowControl w:val="0"/>
              <w:numPr>
                <w:ilvl w:val="0"/>
                <w:numId w:val="0"/>
              </w:numPr>
              <w:rPr>
                <w:rFonts w:cs="Arial"/>
                <w:color w:val="000000"/>
                <w:kern w:val="20"/>
              </w:rPr>
            </w:pPr>
            <w:r w:rsidRPr="005D4222">
              <w:t xml:space="preserve">Race. (Refer to </w:t>
            </w:r>
            <w:hyperlink w:anchor="GG_Race_and_Ethnicity" w:history="1">
              <w:r w:rsidRPr="005D4222">
                <w:rPr>
                  <w:rStyle w:val="Hyperlink"/>
                  <w:i/>
                  <w:iCs/>
                </w:rPr>
                <w:t>General Guideline: Race and Ethnicity Stratification</w:t>
              </w:r>
            </w:hyperlink>
            <w:r w:rsidRPr="005D4222">
              <w:t>.)</w:t>
            </w:r>
          </w:p>
          <w:p w14:paraId="1C284C84" w14:textId="77777777" w:rsidR="001537B1" w:rsidRPr="005D4222" w:rsidRDefault="001537B1" w:rsidP="001537B1">
            <w:pPr>
              <w:pStyle w:val="Bullet"/>
              <w:numPr>
                <w:ilvl w:val="0"/>
                <w:numId w:val="4"/>
              </w:numPr>
              <w:tabs>
                <w:tab w:val="left" w:pos="360"/>
                <w:tab w:val="left" w:pos="576"/>
              </w:tabs>
              <w:ind w:left="576" w:hanging="216"/>
            </w:pPr>
            <w:r w:rsidRPr="005D4222">
              <w:t>American Indian or Alaska Native.</w:t>
            </w:r>
          </w:p>
          <w:p w14:paraId="510C30D4" w14:textId="77777777" w:rsidR="001537B1" w:rsidRPr="005D4222" w:rsidRDefault="001537B1" w:rsidP="001537B1">
            <w:pPr>
              <w:pStyle w:val="Bullet"/>
              <w:numPr>
                <w:ilvl w:val="0"/>
                <w:numId w:val="4"/>
              </w:numPr>
              <w:tabs>
                <w:tab w:val="left" w:pos="360"/>
                <w:tab w:val="left" w:pos="576"/>
              </w:tabs>
              <w:ind w:left="576" w:hanging="216"/>
            </w:pPr>
            <w:r w:rsidRPr="005D4222">
              <w:t>Asian.</w:t>
            </w:r>
          </w:p>
          <w:p w14:paraId="5BBA1CCA" w14:textId="77777777" w:rsidR="001537B1" w:rsidRPr="005D4222" w:rsidRDefault="001537B1" w:rsidP="001537B1">
            <w:pPr>
              <w:pStyle w:val="Bullet"/>
              <w:numPr>
                <w:ilvl w:val="0"/>
                <w:numId w:val="4"/>
              </w:numPr>
              <w:tabs>
                <w:tab w:val="left" w:pos="360"/>
                <w:tab w:val="left" w:pos="576"/>
              </w:tabs>
              <w:ind w:left="576" w:hanging="216"/>
            </w:pPr>
            <w:r w:rsidRPr="005D4222">
              <w:t>Black or African American.</w:t>
            </w:r>
          </w:p>
          <w:p w14:paraId="0DEF612E" w14:textId="77777777" w:rsidR="001537B1" w:rsidRPr="005D4222" w:rsidRDefault="001537B1" w:rsidP="001537B1">
            <w:pPr>
              <w:pStyle w:val="Bullet"/>
              <w:numPr>
                <w:ilvl w:val="0"/>
                <w:numId w:val="4"/>
              </w:numPr>
              <w:tabs>
                <w:tab w:val="left" w:pos="360"/>
                <w:tab w:val="left" w:pos="576"/>
              </w:tabs>
              <w:ind w:left="576" w:hanging="216"/>
            </w:pPr>
            <w:r w:rsidRPr="005D4222">
              <w:t>Middle Eastern or North African.</w:t>
            </w:r>
          </w:p>
          <w:p w14:paraId="336FD57D" w14:textId="77777777" w:rsidR="001537B1" w:rsidRPr="005D4222" w:rsidRDefault="001537B1" w:rsidP="001537B1">
            <w:pPr>
              <w:pStyle w:val="Bullet"/>
              <w:numPr>
                <w:ilvl w:val="0"/>
                <w:numId w:val="4"/>
              </w:numPr>
              <w:tabs>
                <w:tab w:val="left" w:pos="360"/>
                <w:tab w:val="left" w:pos="576"/>
              </w:tabs>
              <w:ind w:left="576" w:hanging="216"/>
            </w:pPr>
            <w:r w:rsidRPr="005D4222">
              <w:t>Native Hawaiian or Pacific Islander.</w:t>
            </w:r>
          </w:p>
          <w:p w14:paraId="645DE397" w14:textId="77777777" w:rsidR="001537B1" w:rsidRPr="005D4222" w:rsidRDefault="001537B1" w:rsidP="001537B1">
            <w:pPr>
              <w:pStyle w:val="Bullet"/>
              <w:numPr>
                <w:ilvl w:val="0"/>
                <w:numId w:val="4"/>
              </w:numPr>
              <w:tabs>
                <w:tab w:val="left" w:pos="360"/>
                <w:tab w:val="left" w:pos="576"/>
              </w:tabs>
              <w:ind w:left="576" w:hanging="216"/>
            </w:pPr>
            <w:r w:rsidRPr="005D4222">
              <w:t>White.</w:t>
            </w:r>
          </w:p>
          <w:p w14:paraId="00F10721" w14:textId="77777777" w:rsidR="001537B1" w:rsidRPr="005D4222" w:rsidRDefault="001537B1" w:rsidP="001537B1">
            <w:pPr>
              <w:pStyle w:val="Bullet"/>
              <w:numPr>
                <w:ilvl w:val="0"/>
                <w:numId w:val="4"/>
              </w:numPr>
              <w:tabs>
                <w:tab w:val="left" w:pos="360"/>
                <w:tab w:val="left" w:pos="576"/>
              </w:tabs>
              <w:ind w:left="576" w:hanging="216"/>
            </w:pPr>
            <w:r w:rsidRPr="005D4222">
              <w:t>Some Other Race.</w:t>
            </w:r>
          </w:p>
          <w:p w14:paraId="39AB2659" w14:textId="77777777" w:rsidR="001537B1" w:rsidRPr="005D4222" w:rsidRDefault="001537B1" w:rsidP="001537B1">
            <w:pPr>
              <w:pStyle w:val="Bullet"/>
              <w:numPr>
                <w:ilvl w:val="0"/>
                <w:numId w:val="4"/>
              </w:numPr>
              <w:tabs>
                <w:tab w:val="left" w:pos="360"/>
                <w:tab w:val="left" w:pos="576"/>
              </w:tabs>
              <w:ind w:left="576" w:hanging="216"/>
            </w:pPr>
            <w:r w:rsidRPr="005D4222">
              <w:t>Two or More Races.</w:t>
            </w:r>
          </w:p>
          <w:p w14:paraId="75EB085C" w14:textId="77777777" w:rsidR="001537B1" w:rsidRPr="005D4222" w:rsidRDefault="001537B1" w:rsidP="001537B1">
            <w:pPr>
              <w:pStyle w:val="Bullet"/>
              <w:numPr>
                <w:ilvl w:val="0"/>
                <w:numId w:val="4"/>
              </w:numPr>
              <w:tabs>
                <w:tab w:val="left" w:pos="360"/>
                <w:tab w:val="left" w:pos="576"/>
              </w:tabs>
              <w:ind w:left="576" w:hanging="216"/>
            </w:pPr>
            <w:r w:rsidRPr="005D4222">
              <w:t>Asked But No Answer.</w:t>
            </w:r>
          </w:p>
          <w:p w14:paraId="54ACA988" w14:textId="77777777" w:rsidR="001537B1" w:rsidRPr="005D4222" w:rsidRDefault="001537B1" w:rsidP="001537B1">
            <w:pPr>
              <w:pStyle w:val="Bullet"/>
              <w:numPr>
                <w:ilvl w:val="0"/>
                <w:numId w:val="4"/>
              </w:numPr>
              <w:tabs>
                <w:tab w:val="left" w:pos="360"/>
                <w:tab w:val="left" w:pos="576"/>
              </w:tabs>
              <w:ind w:left="576" w:hanging="216"/>
            </w:pPr>
            <w:r w:rsidRPr="005D4222">
              <w:t>Unknown.</w:t>
            </w:r>
          </w:p>
          <w:p w14:paraId="7EF0A6D6" w14:textId="4D5009BB" w:rsidR="001537B1" w:rsidRPr="005D4222" w:rsidRDefault="001537B1" w:rsidP="00A53E8C">
            <w:pPr>
              <w:pStyle w:val="ProcessBullet"/>
              <w:widowControl w:val="0"/>
              <w:numPr>
                <w:ilvl w:val="0"/>
                <w:numId w:val="0"/>
              </w:numPr>
            </w:pPr>
            <w:r w:rsidRPr="005D4222">
              <w:t xml:space="preserve">Ethnicity. (Refer to </w:t>
            </w:r>
            <w:hyperlink w:anchor="GG_Race_and_Ethnicity" w:history="1">
              <w:r w:rsidRPr="005D4222">
                <w:rPr>
                  <w:rStyle w:val="Hyperlink"/>
                  <w:i/>
                  <w:iCs/>
                </w:rPr>
                <w:t>General Guideline: Race and Ethnicity Stratification</w:t>
              </w:r>
            </w:hyperlink>
            <w:r w:rsidRPr="005D4222">
              <w:t>.)</w:t>
            </w:r>
          </w:p>
          <w:p w14:paraId="713D572D" w14:textId="77777777" w:rsidR="001537B1" w:rsidRPr="005D4222" w:rsidRDefault="001537B1" w:rsidP="001537B1">
            <w:pPr>
              <w:pStyle w:val="Bullet"/>
              <w:numPr>
                <w:ilvl w:val="0"/>
                <w:numId w:val="4"/>
              </w:numPr>
              <w:tabs>
                <w:tab w:val="left" w:pos="360"/>
                <w:tab w:val="left" w:pos="576"/>
              </w:tabs>
              <w:ind w:left="576" w:hanging="216"/>
            </w:pPr>
            <w:r w:rsidRPr="005D4222">
              <w:t>Hispanic or Latino.</w:t>
            </w:r>
          </w:p>
          <w:p w14:paraId="594647DE" w14:textId="77777777" w:rsidR="001537B1" w:rsidRPr="005D4222" w:rsidRDefault="001537B1" w:rsidP="001537B1">
            <w:pPr>
              <w:pStyle w:val="Bullet"/>
              <w:numPr>
                <w:ilvl w:val="0"/>
                <w:numId w:val="4"/>
              </w:numPr>
              <w:tabs>
                <w:tab w:val="left" w:pos="360"/>
                <w:tab w:val="left" w:pos="576"/>
              </w:tabs>
              <w:ind w:left="576" w:hanging="216"/>
            </w:pPr>
            <w:r w:rsidRPr="005D4222">
              <w:t>Not Hispanic or Latino.</w:t>
            </w:r>
          </w:p>
          <w:p w14:paraId="783FE67D" w14:textId="77777777" w:rsidR="001537B1" w:rsidRPr="005D4222" w:rsidRDefault="001537B1" w:rsidP="001537B1">
            <w:pPr>
              <w:pStyle w:val="Bullet"/>
              <w:numPr>
                <w:ilvl w:val="0"/>
                <w:numId w:val="4"/>
              </w:numPr>
              <w:tabs>
                <w:tab w:val="left" w:pos="360"/>
                <w:tab w:val="left" w:pos="576"/>
              </w:tabs>
              <w:ind w:left="576" w:hanging="216"/>
            </w:pPr>
            <w:r w:rsidRPr="005D4222">
              <w:t>Asked But No Answer.</w:t>
            </w:r>
          </w:p>
          <w:p w14:paraId="467A3741" w14:textId="77777777" w:rsidR="001537B1" w:rsidRPr="005D4222" w:rsidRDefault="001537B1" w:rsidP="001537B1">
            <w:pPr>
              <w:pStyle w:val="Bullet"/>
              <w:numPr>
                <w:ilvl w:val="0"/>
                <w:numId w:val="4"/>
              </w:numPr>
              <w:tabs>
                <w:tab w:val="left" w:pos="360"/>
                <w:tab w:val="left" w:pos="576"/>
              </w:tabs>
              <w:ind w:left="576" w:hanging="216"/>
              <w:rPr>
                <w:rFonts w:eastAsia="Arial,Arial,Arial,Arial,Arial,A"/>
              </w:rPr>
            </w:pPr>
            <w:r w:rsidRPr="005D4222">
              <w:t>Unknown.</w:t>
            </w:r>
          </w:p>
        </w:tc>
      </w:tr>
      <w:tr w:rsidR="001537B1" w:rsidRPr="005D4222" w14:paraId="469315E0" w14:textId="77777777" w:rsidTr="00770B8B">
        <w:tc>
          <w:tcPr>
            <w:tcW w:w="2157" w:type="dxa"/>
            <w:tcBorders>
              <w:top w:val="nil"/>
              <w:left w:val="single" w:sz="4" w:space="0" w:color="auto"/>
              <w:bottom w:val="nil"/>
              <w:right w:val="single" w:sz="4" w:space="0" w:color="auto"/>
            </w:tcBorders>
            <w:tcMar>
              <w:top w:w="0" w:type="dxa"/>
              <w:left w:w="86" w:type="dxa"/>
              <w:bottom w:w="43" w:type="dxa"/>
              <w:right w:w="86" w:type="dxa"/>
            </w:tcMar>
          </w:tcPr>
          <w:p w14:paraId="67F6AAAC" w14:textId="77777777" w:rsidR="001537B1" w:rsidRPr="005D4222" w:rsidRDefault="001537B1" w:rsidP="001C2521">
            <w:pPr>
              <w:pStyle w:val="ECDSSubhead"/>
            </w:pPr>
            <w:r w:rsidRPr="005D4222">
              <w:t>Risk adjustment</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7CFE65C4" w14:textId="77777777" w:rsidR="001537B1" w:rsidRPr="005D4222" w:rsidRDefault="001537B1" w:rsidP="001537B1">
            <w:pPr>
              <w:pStyle w:val="ECDSBody"/>
              <w:spacing w:after="0"/>
            </w:pPr>
            <w:r w:rsidRPr="005D4222">
              <w:t xml:space="preserve">None. </w:t>
            </w:r>
          </w:p>
        </w:tc>
      </w:tr>
      <w:tr w:rsidR="001537B1" w:rsidRPr="005D4222" w14:paraId="7258AC6E" w14:textId="77777777" w:rsidTr="00770B8B">
        <w:tc>
          <w:tcPr>
            <w:tcW w:w="2157" w:type="dxa"/>
            <w:tcBorders>
              <w:top w:val="nil"/>
              <w:left w:val="single" w:sz="4" w:space="0" w:color="auto"/>
              <w:bottom w:val="nil"/>
              <w:right w:val="single" w:sz="4" w:space="0" w:color="auto"/>
            </w:tcBorders>
            <w:tcMar>
              <w:top w:w="0" w:type="dxa"/>
              <w:left w:w="86" w:type="dxa"/>
              <w:bottom w:w="43" w:type="dxa"/>
              <w:right w:w="86" w:type="dxa"/>
            </w:tcMar>
          </w:tcPr>
          <w:p w14:paraId="13BB0E04" w14:textId="77777777" w:rsidR="001537B1" w:rsidRPr="005D4222" w:rsidRDefault="001537B1" w:rsidP="001C2521">
            <w:pPr>
              <w:pStyle w:val="ECDSSubhead"/>
            </w:pPr>
            <w:r w:rsidRPr="005D4222">
              <w:t>Improvement notation</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0A15688D" w14:textId="77777777" w:rsidR="001537B1" w:rsidRPr="005D4222" w:rsidRDefault="001537B1" w:rsidP="001537B1">
            <w:pPr>
              <w:pStyle w:val="ECDSBody"/>
              <w:spacing w:after="0"/>
              <w:rPr>
                <w:iCs/>
              </w:rPr>
            </w:pPr>
            <w:r w:rsidRPr="005D4222">
              <w:rPr>
                <w:iCs/>
              </w:rPr>
              <w:t>Increased score indicates improvement.</w:t>
            </w:r>
          </w:p>
        </w:tc>
      </w:tr>
      <w:tr w:rsidR="001537B1" w:rsidRPr="005D4222" w14:paraId="25055D13" w14:textId="77777777" w:rsidTr="00770B8B">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4EDBF58A" w14:textId="77777777" w:rsidR="001537B1" w:rsidRPr="005D4222" w:rsidRDefault="001537B1" w:rsidP="001C2521">
            <w:pPr>
              <w:pStyle w:val="ECDSSubhead"/>
            </w:pPr>
            <w:r w:rsidRPr="005D4222">
              <w:t>Guidance</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67679974" w14:textId="1DEE3A5E" w:rsidR="001537B1" w:rsidRPr="005D4222" w:rsidRDefault="001537B1" w:rsidP="00A53E8C">
            <w:pPr>
              <w:pStyle w:val="ECDSBody"/>
            </w:pPr>
            <w:r w:rsidRPr="005D4222">
              <w:rPr>
                <w:b/>
              </w:rPr>
              <w:t>Data collection methodology</w:t>
            </w:r>
            <w:r w:rsidRPr="005D4222">
              <w:rPr>
                <w:b/>
                <w:bCs w:val="0"/>
              </w:rPr>
              <w:t>:</w:t>
            </w:r>
            <w:r w:rsidRPr="005D4222">
              <w:t xml:space="preserve"> ECDS. Refer to </w:t>
            </w:r>
            <w:hyperlink w:anchor="General_Guideline_Data_Collection_Method" w:history="1">
              <w:r w:rsidRPr="005D4222">
                <w:rPr>
                  <w:rStyle w:val="Hyperlink"/>
                  <w:i/>
                  <w:iCs/>
                </w:rPr>
                <w:t>General Guideline: Data Collection Methods</w:t>
              </w:r>
            </w:hyperlink>
            <w:r w:rsidRPr="005D4222">
              <w:rPr>
                <w:i/>
                <w:iCs/>
              </w:rPr>
              <w:t xml:space="preserve"> </w:t>
            </w:r>
            <w:r w:rsidRPr="005D4222">
              <w:t>for additional information. </w:t>
            </w:r>
          </w:p>
          <w:p w14:paraId="0C76EDAE" w14:textId="77777777" w:rsidR="001537B1" w:rsidRPr="005D4222" w:rsidRDefault="001537B1" w:rsidP="00A53E8C">
            <w:pPr>
              <w:pStyle w:val="ECDSBody"/>
            </w:pPr>
            <w:r w:rsidRPr="005D4222">
              <w:rPr>
                <w:b/>
              </w:rPr>
              <w:t xml:space="preserve">Date specificity: </w:t>
            </w:r>
            <w:r w:rsidRPr="005D4222">
              <w:t>Dates must be specific enough to determine the event occurred in the period being measured.</w:t>
            </w:r>
          </w:p>
          <w:p w14:paraId="4988ED53" w14:textId="77777777" w:rsidR="001537B1" w:rsidRPr="005D4222" w:rsidRDefault="001537B1" w:rsidP="00A53E8C">
            <w:pPr>
              <w:pStyle w:val="ECDSBody"/>
            </w:pPr>
            <w:r w:rsidRPr="005D4222">
              <w:rPr>
                <w:b/>
              </w:rPr>
              <w:t xml:space="preserve">What services count? </w:t>
            </w:r>
            <w:r w:rsidRPr="005D4222">
              <w:t>When using claims, include all paid, suspended, pending and denied claims.</w:t>
            </w:r>
          </w:p>
        </w:tc>
      </w:tr>
      <w:tr w:rsidR="001537B1" w:rsidRPr="005D4222" w14:paraId="24F072CD" w14:textId="77777777" w:rsidTr="00770B8B">
        <w:tc>
          <w:tcPr>
            <w:tcW w:w="2157" w:type="dxa"/>
            <w:shd w:val="clear" w:color="auto" w:fill="BFBFBF" w:themeFill="background1" w:themeFillShade="BF"/>
            <w:tcMar>
              <w:top w:w="0" w:type="dxa"/>
              <w:left w:w="86" w:type="dxa"/>
              <w:bottom w:w="43" w:type="dxa"/>
              <w:right w:w="86" w:type="dxa"/>
            </w:tcMar>
          </w:tcPr>
          <w:p w14:paraId="59D06629" w14:textId="77777777" w:rsidR="001537B1" w:rsidRPr="005D4222" w:rsidRDefault="001537B1" w:rsidP="00A53E8C">
            <w:pPr>
              <w:pStyle w:val="ECDSMarginHead"/>
            </w:pPr>
            <w:r w:rsidRPr="005D4222">
              <w:t>Initial population</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AEC1EF1" w14:textId="77777777" w:rsidR="001537B1" w:rsidRPr="005D4222" w:rsidRDefault="001537B1" w:rsidP="00A53E8C">
            <w:pPr>
              <w:pStyle w:val="ECDSBody"/>
            </w:pPr>
            <w:r w:rsidRPr="005D4222">
              <w:rPr>
                <w:i/>
                <w:iCs/>
              </w:rPr>
              <w:t>Measure item count:</w:t>
            </w:r>
            <w:r w:rsidRPr="005D4222">
              <w:t xml:space="preserve"> Person.</w:t>
            </w:r>
          </w:p>
          <w:p w14:paraId="3F6BDA8B" w14:textId="77777777" w:rsidR="001537B1" w:rsidRPr="005D4222" w:rsidRDefault="001537B1" w:rsidP="00A53E8C">
            <w:pPr>
              <w:pStyle w:val="ECDSBody"/>
            </w:pPr>
            <w:r w:rsidRPr="005D4222">
              <w:rPr>
                <w:i/>
                <w:iCs/>
              </w:rPr>
              <w:t>Attribution basis:</w:t>
            </w:r>
            <w:r w:rsidRPr="005D4222">
              <w:t xml:space="preserve"> Enrollment.</w:t>
            </w:r>
          </w:p>
          <w:p w14:paraId="27ABDBEB" w14:textId="77777777" w:rsidR="001537B1" w:rsidRPr="005D4222" w:rsidRDefault="001537B1" w:rsidP="001537B1">
            <w:pPr>
              <w:pStyle w:val="Bullet"/>
              <w:numPr>
                <w:ilvl w:val="0"/>
                <w:numId w:val="4"/>
              </w:numPr>
              <w:tabs>
                <w:tab w:val="left" w:pos="360"/>
                <w:tab w:val="left" w:pos="576"/>
              </w:tabs>
              <w:ind w:left="576" w:hanging="216"/>
            </w:pPr>
            <w:r w:rsidRPr="005D4222">
              <w:rPr>
                <w:i/>
              </w:rPr>
              <w:t>Benefits:</w:t>
            </w:r>
            <w:r w:rsidRPr="005D4222">
              <w:t xml:space="preserve"> Medical.</w:t>
            </w:r>
          </w:p>
          <w:p w14:paraId="07207C8C" w14:textId="77777777" w:rsidR="001537B1" w:rsidRPr="005D4222" w:rsidRDefault="001537B1" w:rsidP="001537B1">
            <w:pPr>
              <w:pStyle w:val="Bullet"/>
              <w:numPr>
                <w:ilvl w:val="0"/>
                <w:numId w:val="4"/>
              </w:numPr>
              <w:tabs>
                <w:tab w:val="left" w:pos="360"/>
                <w:tab w:val="left" w:pos="576"/>
              </w:tabs>
              <w:ind w:left="576" w:hanging="216"/>
              <w:rPr>
                <w:i/>
              </w:rPr>
            </w:pPr>
            <w:r w:rsidRPr="005D4222">
              <w:rPr>
                <w:i/>
              </w:rPr>
              <w:t>Continuous enrollment:</w:t>
            </w:r>
          </w:p>
          <w:p w14:paraId="0456C6DA" w14:textId="77777777" w:rsidR="001537B1" w:rsidRPr="005D4222" w:rsidRDefault="001537B1" w:rsidP="001537B1">
            <w:pPr>
              <w:pStyle w:val="Dash"/>
              <w:tabs>
                <w:tab w:val="left" w:pos="576"/>
                <w:tab w:val="left" w:pos="792"/>
              </w:tabs>
            </w:pPr>
            <w:r w:rsidRPr="005D4222">
              <w:rPr>
                <w:i/>
              </w:rPr>
              <w:t xml:space="preserve">Commercial: </w:t>
            </w:r>
            <w:r w:rsidRPr="005D4222">
              <w:t>The measurement period and the 730 days prior to the measurement period.</w:t>
            </w:r>
          </w:p>
          <w:p w14:paraId="10175152" w14:textId="77777777" w:rsidR="001537B1" w:rsidRPr="005D4222" w:rsidRDefault="001537B1" w:rsidP="001537B1">
            <w:pPr>
              <w:pStyle w:val="Dash"/>
              <w:tabs>
                <w:tab w:val="left" w:pos="576"/>
                <w:tab w:val="left" w:pos="792"/>
              </w:tabs>
            </w:pPr>
            <w:r w:rsidRPr="005D4222">
              <w:rPr>
                <w:i/>
              </w:rPr>
              <w:t>Medicaid:</w:t>
            </w:r>
            <w:r w:rsidRPr="005D4222">
              <w:t xml:space="preserve"> The measurement period.</w:t>
            </w:r>
          </w:p>
          <w:p w14:paraId="69976C23" w14:textId="6B7F0621" w:rsidR="001537B1" w:rsidRPr="005D4222" w:rsidRDefault="001537B1" w:rsidP="001537B1">
            <w:pPr>
              <w:pStyle w:val="Bullet"/>
              <w:numPr>
                <w:ilvl w:val="0"/>
                <w:numId w:val="4"/>
              </w:numPr>
              <w:tabs>
                <w:tab w:val="left" w:pos="360"/>
                <w:tab w:val="left" w:pos="576"/>
              </w:tabs>
              <w:ind w:left="576" w:hanging="216"/>
              <w:rPr>
                <w:rFonts w:cs="Arial"/>
              </w:rPr>
            </w:pPr>
            <w:r w:rsidRPr="005D4222">
              <w:rPr>
                <w:i/>
              </w:rPr>
              <w:t xml:space="preserve">Allowable gap: </w:t>
            </w:r>
            <w:r w:rsidRPr="005D4222">
              <w:t xml:space="preserve">No more than one gap of ≤45 days </w:t>
            </w:r>
            <w:r w:rsidRPr="005D4222">
              <w:rPr>
                <w:rFonts w:cs="Arial"/>
              </w:rPr>
              <w:t>each year of continuous enrollment</w:t>
            </w:r>
            <w:r w:rsidRPr="005D4222">
              <w:t>. No gaps on the last day of the measurement period.</w:t>
            </w:r>
          </w:p>
          <w:p w14:paraId="72E70D26" w14:textId="1D1990AC" w:rsidR="001537B1" w:rsidRPr="005D4222" w:rsidRDefault="001537B1" w:rsidP="001537B1">
            <w:pPr>
              <w:pStyle w:val="ECDSBody"/>
            </w:pPr>
            <w:r w:rsidRPr="005D4222">
              <w:rPr>
                <w:i/>
                <w:iCs/>
              </w:rPr>
              <w:t xml:space="preserve">Ages: </w:t>
            </w:r>
            <w:r w:rsidRPr="005D4222">
              <w:t>24–64 years of age as of the last day of the measurement period.</w:t>
            </w:r>
          </w:p>
        </w:tc>
      </w:tr>
      <w:tr w:rsidR="001537B1" w:rsidRPr="005D4222" w14:paraId="1762ABA9" w14:textId="77777777" w:rsidTr="00770B8B">
        <w:tc>
          <w:tcPr>
            <w:tcW w:w="2157" w:type="dxa"/>
            <w:shd w:val="clear" w:color="auto" w:fill="BFBFBF" w:themeFill="background1" w:themeFillShade="BF"/>
            <w:tcMar>
              <w:top w:w="0" w:type="dxa"/>
              <w:left w:w="86" w:type="dxa"/>
              <w:bottom w:w="43" w:type="dxa"/>
              <w:right w:w="86" w:type="dxa"/>
            </w:tcMar>
          </w:tcPr>
          <w:p w14:paraId="4B2377BF" w14:textId="77777777" w:rsidR="001537B1" w:rsidRPr="005D4222" w:rsidRDefault="001537B1"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F26D6D7" w14:textId="77777777" w:rsidR="001537B1" w:rsidRPr="005D4222" w:rsidRDefault="001537B1" w:rsidP="001537B1">
            <w:pPr>
              <w:pStyle w:val="ECDSBody"/>
              <w:rPr>
                <w:i/>
              </w:rPr>
            </w:pPr>
            <w:r w:rsidRPr="005D4222">
              <w:rPr>
                <w:i/>
              </w:rPr>
              <w:t>Gender/sex criteria (persons recommended for routine cervical cancer screening):</w:t>
            </w:r>
          </w:p>
          <w:p w14:paraId="000CD0A0" w14:textId="77777777" w:rsidR="001537B1" w:rsidRPr="005D4222" w:rsidRDefault="001537B1" w:rsidP="001537B1">
            <w:pPr>
              <w:pStyle w:val="Bullet"/>
              <w:numPr>
                <w:ilvl w:val="0"/>
                <w:numId w:val="4"/>
              </w:numPr>
              <w:tabs>
                <w:tab w:val="left" w:pos="360"/>
                <w:tab w:val="left" w:pos="576"/>
              </w:tabs>
              <w:spacing w:after="80"/>
              <w:ind w:left="576" w:hanging="216"/>
            </w:pPr>
            <w:r w:rsidRPr="005D4222">
              <w:rPr>
                <w:iCs/>
              </w:rPr>
              <w:t>Administrative Gender of F</w:t>
            </w:r>
            <w:r w:rsidRPr="005D4222">
              <w:t>emale (AdministrativeGender code female) any time in the person’s history.</w:t>
            </w:r>
          </w:p>
          <w:p w14:paraId="06AC276D" w14:textId="77777777" w:rsidR="001537B1" w:rsidRPr="005D4222" w:rsidRDefault="001537B1" w:rsidP="001537B1">
            <w:pPr>
              <w:pStyle w:val="Bullet"/>
              <w:numPr>
                <w:ilvl w:val="0"/>
                <w:numId w:val="4"/>
              </w:numPr>
              <w:tabs>
                <w:tab w:val="left" w:pos="360"/>
                <w:tab w:val="left" w:pos="576"/>
              </w:tabs>
              <w:ind w:left="576" w:hanging="216"/>
            </w:pPr>
            <w:r w:rsidRPr="005D4222">
              <w:rPr>
                <w:iCs/>
              </w:rPr>
              <w:t>Sex Assigned at Birth</w:t>
            </w:r>
            <w:r w:rsidRPr="005D4222">
              <w:t xml:space="preserve"> (LOINC code 76689-9) of Female (</w:t>
            </w:r>
            <w:r w:rsidRPr="005D4222">
              <w:rPr>
                <w:u w:val="single"/>
              </w:rPr>
              <w:t>Female Value Set</w:t>
            </w:r>
            <w:r w:rsidRPr="005D4222">
              <w:t>) any time in the person’s history.</w:t>
            </w:r>
          </w:p>
          <w:p w14:paraId="157134E7" w14:textId="77777777" w:rsidR="001537B1" w:rsidRPr="005D4222" w:rsidRDefault="001537B1" w:rsidP="001537B1">
            <w:pPr>
              <w:pStyle w:val="Bullet"/>
              <w:numPr>
                <w:ilvl w:val="0"/>
                <w:numId w:val="4"/>
              </w:numPr>
              <w:tabs>
                <w:tab w:val="left" w:pos="360"/>
                <w:tab w:val="left" w:pos="576"/>
              </w:tabs>
              <w:ind w:left="576" w:hanging="216"/>
              <w:rPr>
                <w:i/>
              </w:rPr>
            </w:pPr>
            <w:r w:rsidRPr="005D4222" w:rsidDel="00A50A9E">
              <w:rPr>
                <w:iCs/>
              </w:rPr>
              <w:t xml:space="preserve">Sex </w:t>
            </w:r>
            <w:r w:rsidRPr="005D4222">
              <w:rPr>
                <w:iCs/>
              </w:rPr>
              <w:t>P</w:t>
            </w:r>
            <w:r w:rsidRPr="005D4222" w:rsidDel="00A50A9E">
              <w:rPr>
                <w:iCs/>
              </w:rPr>
              <w:t xml:space="preserve">arameter for </w:t>
            </w:r>
            <w:r w:rsidRPr="005D4222">
              <w:rPr>
                <w:iCs/>
              </w:rPr>
              <w:t>C</w:t>
            </w:r>
            <w:r w:rsidRPr="005D4222" w:rsidDel="00A50A9E">
              <w:rPr>
                <w:iCs/>
              </w:rPr>
              <w:t xml:space="preserve">linical </w:t>
            </w:r>
            <w:r w:rsidRPr="005D4222">
              <w:rPr>
                <w:iCs/>
              </w:rPr>
              <w:t>U</w:t>
            </w:r>
            <w:r w:rsidRPr="005D4222" w:rsidDel="00A50A9E">
              <w:rPr>
                <w:iCs/>
              </w:rPr>
              <w:t>se</w:t>
            </w:r>
            <w:r w:rsidRPr="005D4222">
              <w:rPr>
                <w:iCs/>
              </w:rPr>
              <w:t xml:space="preserve"> of Female</w:t>
            </w:r>
            <w:r w:rsidRPr="005D4222" w:rsidDel="00A50A9E">
              <w:t xml:space="preserve"> </w:t>
            </w:r>
            <w:r w:rsidRPr="005D4222">
              <w:t xml:space="preserve">(SexParameterForClinicalUse code female-typical) </w:t>
            </w:r>
            <w:r w:rsidRPr="005D4222" w:rsidDel="00A50A9E">
              <w:t xml:space="preserve">during the measurement </w:t>
            </w:r>
            <w:r w:rsidRPr="005D4222">
              <w:t>period</w:t>
            </w:r>
            <w:r w:rsidRPr="005D4222" w:rsidDel="00A50A9E">
              <w:t>.</w:t>
            </w:r>
          </w:p>
          <w:p w14:paraId="2AB5B161" w14:textId="0B80B73F" w:rsidR="001537B1" w:rsidRPr="005D4222" w:rsidRDefault="001537B1" w:rsidP="001537B1">
            <w:pPr>
              <w:pStyle w:val="ECDSBody"/>
              <w:rPr>
                <w:i/>
                <w:iCs/>
              </w:rPr>
            </w:pPr>
            <w:r w:rsidRPr="005D4222">
              <w:rPr>
                <w:i/>
              </w:rPr>
              <w:t>Event:</w:t>
            </w:r>
            <w:r w:rsidRPr="005D4222">
              <w:t xml:space="preserve"> None.</w:t>
            </w:r>
          </w:p>
        </w:tc>
      </w:tr>
      <w:tr w:rsidR="001537B1" w:rsidRPr="005D4222" w14:paraId="66CCD98B" w14:textId="77777777" w:rsidTr="00770B8B">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770F006" w14:textId="77777777" w:rsidR="001537B1" w:rsidRPr="005D4222" w:rsidRDefault="001537B1" w:rsidP="00A53E8C">
            <w:pPr>
              <w:pStyle w:val="ECDSMarginHead"/>
            </w:pPr>
            <w:r w:rsidRPr="005D4222">
              <w:t xml:space="preserve">Denominator exclusions </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02B4EFF3" w14:textId="77777777" w:rsidR="001537B1" w:rsidRPr="005D4222" w:rsidRDefault="001537B1" w:rsidP="00A53E8C">
            <w:pPr>
              <w:pStyle w:val="ECDSBody"/>
              <w:rPr>
                <w:rFonts w:cs="Segoe UI"/>
                <w:szCs w:val="18"/>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p w14:paraId="7265E19D" w14:textId="77777777" w:rsidR="001537B1" w:rsidRPr="005D4222" w:rsidRDefault="001537B1" w:rsidP="00A53E8C">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498D47E9" w14:textId="77777777" w:rsidR="001537B1" w:rsidRPr="005D4222" w:rsidRDefault="001537B1" w:rsidP="00A53E8C">
            <w:pPr>
              <w:pStyle w:val="ECDSBody"/>
            </w:pPr>
            <w:r w:rsidRPr="005D4222" w:rsidDel="00AA4A01">
              <w:rPr>
                <w:b/>
              </w:rPr>
              <w:t xml:space="preserve">Persons </w:t>
            </w:r>
            <w:r w:rsidRPr="005D4222">
              <w:rPr>
                <w:b/>
              </w:rPr>
              <w:t>receiving palliative care.</w:t>
            </w:r>
            <w:r w:rsidRPr="005D4222">
              <w:rPr>
                <w:b/>
              </w:rPr>
              <w:br/>
            </w:r>
            <w:r w:rsidRPr="005D4222">
              <w:t>Persons receiving palliative care (</w:t>
            </w:r>
            <w:r w:rsidRPr="005D4222">
              <w:rPr>
                <w:u w:val="single"/>
              </w:rPr>
              <w:t>Palliative Care Assessment Value Set</w:t>
            </w:r>
            <w:r w:rsidRPr="005D4222">
              <w:t xml:space="preserve">; </w:t>
            </w:r>
            <w:r w:rsidRPr="005D4222">
              <w:rPr>
                <w:u w:val="single"/>
              </w:rPr>
              <w:t>Palliative Care Encounter Value Set</w:t>
            </w:r>
            <w:r w:rsidRPr="005D4222">
              <w:t xml:space="preserve">; </w:t>
            </w:r>
            <w:r w:rsidRPr="005D4222">
              <w:rPr>
                <w:u w:val="single"/>
              </w:rPr>
              <w:t>Palliative Care Intervention Value Set</w:t>
            </w:r>
            <w:r w:rsidRPr="005D4222">
              <w:t xml:space="preserve">) or who had an encounter for palliative care (ICD-10-CM code Z51.5*) any time during the measurement period. </w:t>
            </w:r>
          </w:p>
          <w:p w14:paraId="4C0C9A93" w14:textId="77777777" w:rsidR="001537B1" w:rsidRPr="005D4222" w:rsidRDefault="001537B1" w:rsidP="00A53E8C">
            <w:pPr>
              <w:pStyle w:val="ECDSBody"/>
            </w:pPr>
            <w:r w:rsidRPr="005D4222">
              <w:rPr>
                <w:rFonts w:eastAsia="Arial,Arial,Arial,Arial,Arial,A"/>
                <w:b/>
              </w:rPr>
              <w:t xml:space="preserve">Persons with a hysterectomy with no residual cervix, </w:t>
            </w:r>
            <w:r w:rsidRPr="005D4222">
              <w:rPr>
                <w:b/>
              </w:rPr>
              <w:t>cervical agenesis, or acquired absence of cervix</w:t>
            </w:r>
            <w:r w:rsidRPr="005D4222">
              <w:rPr>
                <w:rFonts w:eastAsia="Arial,Arial,Arial,Arial,Arial,A"/>
                <w:b/>
              </w:rPr>
              <w:t>.</w:t>
            </w:r>
            <w:r w:rsidRPr="005D4222">
              <w:rPr>
                <w:rFonts w:eastAsia="Arial,Arial,Arial,Arial,Arial,A"/>
                <w:b/>
              </w:rPr>
              <w:br/>
            </w:r>
            <w:r w:rsidRPr="005D4222">
              <w:t>Hysterectomy with no residual cervix (</w:t>
            </w:r>
            <w:r w:rsidRPr="005D4222">
              <w:rPr>
                <w:u w:val="single"/>
              </w:rPr>
              <w:t>Hysterectomy With No Residual Cervix Value Set</w:t>
            </w:r>
            <w:r w:rsidRPr="005D4222">
              <w:t>) or cervical agenesis or acquired absence of cervix (</w:t>
            </w:r>
            <w:r w:rsidRPr="005D4222">
              <w:rPr>
                <w:u w:val="single"/>
              </w:rPr>
              <w:t>Absence of Cervix Diagnosis Value Set</w:t>
            </w:r>
            <w:r w:rsidRPr="005D4222">
              <w:t>*) any time during the person’s history through the last day of the measurement period.</w:t>
            </w:r>
          </w:p>
          <w:p w14:paraId="1A92C695" w14:textId="77777777" w:rsidR="001537B1" w:rsidRPr="005D4222" w:rsidRDefault="001537B1" w:rsidP="00A53E8C">
            <w:pPr>
              <w:pStyle w:val="ECDSBody"/>
            </w:pPr>
            <w:r w:rsidRPr="005D4222">
              <w:rPr>
                <w:b/>
              </w:rPr>
              <w:t>Persons with sex assigned at birth of male.</w:t>
            </w:r>
            <w:r w:rsidRPr="005D4222">
              <w:rPr>
                <w:b/>
              </w:rPr>
              <w:br/>
            </w:r>
            <w:r w:rsidRPr="005D4222">
              <w:t>Sex Assigned at Birth (LOINC code 76689-9) of Male (</w:t>
            </w:r>
            <w:r w:rsidRPr="005D4222">
              <w:rPr>
                <w:u w:val="single"/>
              </w:rPr>
              <w:t>Male Value Set</w:t>
            </w:r>
            <w:r w:rsidRPr="005D4222">
              <w:t>) any time during the person’s history through the last day of the measurement period.</w:t>
            </w:r>
          </w:p>
          <w:p w14:paraId="0BD8F90E" w14:textId="77777777" w:rsidR="001537B1" w:rsidRPr="005D4222" w:rsidRDefault="001537B1" w:rsidP="00A53E8C">
            <w:pPr>
              <w:pStyle w:val="ECDSBody"/>
              <w:spacing w:after="0"/>
              <w:rPr>
                <w:rFonts w:eastAsia="Arial,Arial,Arial,Arial,Arial,A"/>
                <w:b/>
                <w:bCs w:val="0"/>
              </w:rPr>
            </w:pPr>
            <w:r w:rsidRPr="005D4222">
              <w:rPr>
                <w:rFonts w:eastAsia="Arial,Arial,Arial,Arial,Arial,A"/>
                <w:b/>
                <w:bCs w:val="0"/>
              </w:rPr>
              <w:t>Coding Guidance</w:t>
            </w:r>
          </w:p>
          <w:p w14:paraId="1DD74709" w14:textId="77777777" w:rsidR="001537B1" w:rsidRPr="005D4222" w:rsidRDefault="001537B1" w:rsidP="00A53E8C">
            <w:pPr>
              <w:pStyle w:val="ECDSBody"/>
              <w:spacing w:before="0"/>
              <w:rPr>
                <w:rFonts w:asciiTheme="majorHAnsi" w:eastAsiaTheme="majorEastAsia" w:hAnsiTheme="majorHAnsi"/>
                <w:color w:val="2F5496" w:themeColor="accent1" w:themeShade="BF"/>
              </w:rPr>
            </w:pPr>
            <w:r w:rsidRPr="005D4222">
              <w:rPr>
                <w:rFonts w:eastAsia="Arial,Arial,Arial,Arial,Arial,A"/>
                <w:i/>
              </w:rPr>
              <w:t>*</w:t>
            </w:r>
            <w:r w:rsidRPr="005D4222">
              <w:rPr>
                <w:rFonts w:eastAsia="Arial,Arial,Arial,Arial,Arial,A"/>
              </w:rPr>
              <w:t>Do not include laboratory claims (claims with POS code 81).</w:t>
            </w:r>
          </w:p>
        </w:tc>
      </w:tr>
      <w:tr w:rsidR="001537B1" w:rsidRPr="005D4222" w14:paraId="764F2F32" w14:textId="77777777" w:rsidTr="00770B8B">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BC288F4" w14:textId="77777777" w:rsidR="001537B1" w:rsidRPr="005D4222" w:rsidRDefault="001537B1" w:rsidP="00A53E8C">
            <w:pPr>
              <w:pStyle w:val="ECDSMarginHead"/>
            </w:pPr>
            <w:r w:rsidRPr="005D4222">
              <w:t>Denominator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10CE237" w14:textId="77777777" w:rsidR="001537B1" w:rsidRPr="005D4222" w:rsidRDefault="001537B1" w:rsidP="00A53E8C">
            <w:pPr>
              <w:pStyle w:val="ECDSBody"/>
              <w:rPr>
                <w:rFonts w:eastAsia="Arial,Arial,Arial,Arial,Arial,A"/>
                <w:b/>
              </w:rPr>
            </w:pPr>
            <w:r w:rsidRPr="005D4222">
              <w:rPr>
                <w:rFonts w:eastAsia="Arial,Arial,Arial,Arial,Arial,A"/>
              </w:rPr>
              <w:t>The initial population minus denominator exclusions.</w:t>
            </w:r>
          </w:p>
        </w:tc>
      </w:tr>
      <w:tr w:rsidR="001537B1" w:rsidRPr="005D4222" w14:paraId="595076F8" w14:textId="77777777" w:rsidTr="00770B8B">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6D27B7C" w14:textId="77777777" w:rsidR="001537B1" w:rsidRPr="005D4222" w:rsidRDefault="001537B1" w:rsidP="00A53E8C">
            <w:pPr>
              <w:pStyle w:val="ECDSMarginHead"/>
            </w:pPr>
            <w:r w:rsidRPr="005D4222">
              <w:t>Numerator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63D83AA8" w14:textId="77777777" w:rsidR="001537B1" w:rsidRPr="005D4222" w:rsidRDefault="001537B1" w:rsidP="00A53E8C">
            <w:pPr>
              <w:pStyle w:val="ECDSBody"/>
              <w:rPr>
                <w:i/>
                <w:color w:val="000000" w:themeColor="text1"/>
                <w:szCs w:val="21"/>
              </w:rPr>
            </w:pPr>
            <w:r w:rsidRPr="005D4222">
              <w:rPr>
                <w:rFonts w:eastAsia="Arial,Arial,Arial,Arial,Arial,A"/>
                <w:b/>
                <w:bCs w:val="0"/>
              </w:rPr>
              <w:t xml:space="preserve">Persons recommended for routine cervical cancer screening who were screened for cervical cancer. </w:t>
            </w:r>
            <w:r w:rsidRPr="005D4222">
              <w:rPr>
                <w:rFonts w:eastAsia="Arial,Arial,Arial,Arial,Arial,A"/>
                <w:b/>
                <w:bCs w:val="0"/>
              </w:rPr>
              <w:br/>
            </w:r>
            <w:r w:rsidRPr="005D4222">
              <w:rPr>
                <w:color w:val="000000" w:themeColor="text1"/>
                <w:szCs w:val="21"/>
              </w:rPr>
              <w:t>Either of the following meets criteria:</w:t>
            </w:r>
          </w:p>
          <w:p w14:paraId="6D90711E" w14:textId="63225B5B" w:rsidR="001537B1" w:rsidRPr="005D4222" w:rsidRDefault="001537B1" w:rsidP="005D6173">
            <w:pPr>
              <w:pStyle w:val="Bullet"/>
              <w:numPr>
                <w:ilvl w:val="0"/>
                <w:numId w:val="144"/>
              </w:numPr>
              <w:tabs>
                <w:tab w:val="left" w:pos="360"/>
                <w:tab w:val="left" w:pos="576"/>
              </w:tabs>
              <w:spacing w:after="80"/>
              <w:ind w:left="547" w:hanging="180"/>
              <w:rPr>
                <w:rFonts w:eastAsia="Arial,Arial,Arial,Arial,Arial,A"/>
                <w:color w:val="000000" w:themeColor="text1"/>
              </w:rPr>
            </w:pPr>
            <w:r w:rsidRPr="005D4222">
              <w:t xml:space="preserve">Persons 24–64 years of age by the </w:t>
            </w:r>
            <w:r w:rsidR="00CD0BBA" w:rsidRPr="005D4222">
              <w:t>last day</w:t>
            </w:r>
            <w:r w:rsidRPr="005D4222">
              <w:t xml:space="preserve"> of the measurement period who were recommended for routine cervical cancer screening and had cervical cytology (</w:t>
            </w:r>
            <w:r w:rsidRPr="005D4222">
              <w:rPr>
                <w:u w:val="single"/>
              </w:rPr>
              <w:t>Cervical Cytology Lab Test Value Set</w:t>
            </w:r>
            <w:r w:rsidRPr="005D4222">
              <w:t xml:space="preserve">; </w:t>
            </w:r>
            <w:r w:rsidRPr="005D4222">
              <w:rPr>
                <w:u w:val="single"/>
              </w:rPr>
              <w:t>Cervical Cytology Result or Finding Value Set</w:t>
            </w:r>
            <w:r w:rsidRPr="005D4222">
              <w:t>) during the measurement period or the 2 years prior to the measurement period.</w:t>
            </w:r>
          </w:p>
        </w:tc>
      </w:tr>
      <w:tr w:rsidR="001537B1" w:rsidRPr="005D4222" w14:paraId="29D43826" w14:textId="77777777" w:rsidTr="00770B8B">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EF0F7A9" w14:textId="77777777" w:rsidR="001537B1" w:rsidRPr="005D4222" w:rsidRDefault="001537B1"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7D59F9FD" w14:textId="04C8E611" w:rsidR="001537B1" w:rsidRPr="005D4222" w:rsidRDefault="001537B1" w:rsidP="001537B1">
            <w:pPr>
              <w:pStyle w:val="Bullet"/>
            </w:pPr>
            <w:r w:rsidRPr="005D4222">
              <w:t xml:space="preserve">Persons 30–64 years of age by the </w:t>
            </w:r>
            <w:r w:rsidR="00CD0BBA" w:rsidRPr="005D4222">
              <w:t>last day</w:t>
            </w:r>
            <w:r w:rsidRPr="005D4222">
              <w:t xml:space="preserve"> of the measurement period who were recommended for routine cervical cancer screening and had cervical high-risk human papillomavirus (hrHPV) testing (</w:t>
            </w:r>
            <w:r w:rsidRPr="005D4222">
              <w:rPr>
                <w:u w:val="single"/>
              </w:rPr>
              <w:t>High Risk HPV Lab Test Value Set</w:t>
            </w:r>
            <w:r w:rsidRPr="005D4222">
              <w:t>; SNOMED CT code 718591004) during the measurement period or the 4 years prior to the measurement period, and who were 30 years of age or older on the test date.</w:t>
            </w:r>
          </w:p>
          <w:p w14:paraId="7FD858D1" w14:textId="77777777" w:rsidR="001537B1" w:rsidRPr="005D4222" w:rsidRDefault="001537B1" w:rsidP="00A53E8C">
            <w:pPr>
              <w:pStyle w:val="Note"/>
              <w:spacing w:after="80"/>
              <w:rPr>
                <w:rFonts w:eastAsia="Arial,Arial,Arial,Arial,Arial,A"/>
                <w:b/>
                <w:bCs/>
              </w:rPr>
            </w:pPr>
            <w:r w:rsidRPr="005D4222">
              <w:rPr>
                <w:b/>
                <w:bCs/>
              </w:rPr>
              <w:t xml:space="preserve">Note: </w:t>
            </w:r>
            <w:r w:rsidRPr="005D4222">
              <w:t>Evidence of hrHPV testing within the last 5 years also captures patients who had cotesting; therefore, additional methods to identify cotesting are not necessary.</w:t>
            </w:r>
          </w:p>
        </w:tc>
      </w:tr>
      <w:tr w:rsidR="001537B1" w:rsidRPr="005D4222" w14:paraId="60297D11" w14:textId="77777777" w:rsidTr="00770B8B">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D7AC4C6" w14:textId="77777777" w:rsidR="001537B1" w:rsidRPr="005D4222" w:rsidRDefault="001537B1" w:rsidP="00A53E8C">
            <w:pPr>
              <w:pStyle w:val="ECDSMarginHead"/>
            </w:pPr>
            <w:r w:rsidRPr="005D4222">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9DBB7E4" w14:textId="77777777" w:rsidR="001537B1" w:rsidRPr="005D4222" w:rsidRDefault="001537B1" w:rsidP="005D6173">
            <w:pPr>
              <w:pStyle w:val="ProcessBullet"/>
              <w:numPr>
                <w:ilvl w:val="0"/>
                <w:numId w:val="98"/>
              </w:numPr>
              <w:spacing w:before="120"/>
              <w:ind w:left="216" w:hanging="216"/>
              <w:rPr>
                <w:color w:val="000000" w:themeColor="text1"/>
              </w:rPr>
            </w:pPr>
            <w:r w:rsidRPr="005D4222">
              <w:rPr>
                <w:color w:val="000000" w:themeColor="text1"/>
              </w:rPr>
              <w:t>Updated the race and ethnicity stratification categories to align with OMB SPD 15 2024.</w:t>
            </w:r>
          </w:p>
          <w:p w14:paraId="7D2AAF78" w14:textId="77777777" w:rsidR="001537B1" w:rsidRPr="005D4222" w:rsidRDefault="001537B1" w:rsidP="005D6173">
            <w:pPr>
              <w:pStyle w:val="ProcessBullet"/>
              <w:numPr>
                <w:ilvl w:val="0"/>
                <w:numId w:val="98"/>
              </w:numPr>
              <w:ind w:left="216" w:hanging="216"/>
              <w:rPr>
                <w:color w:val="000000" w:themeColor="text1"/>
              </w:rPr>
            </w:pPr>
            <w:r w:rsidRPr="005D4222">
              <w:t xml:space="preserve">Removed the definitions of “participation” and “participation period.” </w:t>
            </w:r>
          </w:p>
          <w:p w14:paraId="699A825B" w14:textId="77777777" w:rsidR="001537B1" w:rsidRPr="005D4222" w:rsidRDefault="001537B1" w:rsidP="005D6173">
            <w:pPr>
              <w:pStyle w:val="ProcessBullet"/>
              <w:numPr>
                <w:ilvl w:val="0"/>
                <w:numId w:val="98"/>
              </w:numPr>
              <w:spacing w:after="80"/>
              <w:ind w:left="216" w:hanging="216"/>
              <w:rPr>
                <w:color w:val="000000" w:themeColor="text1"/>
              </w:rPr>
            </w:pPr>
            <w:r w:rsidRPr="005D4222">
              <w:rPr>
                <w:color w:val="000000" w:themeColor="text1"/>
              </w:rPr>
              <w:t xml:space="preserve">Removed the SSoR data elements from the data element tables. </w:t>
            </w:r>
          </w:p>
          <w:p w14:paraId="6787CF52" w14:textId="77777777" w:rsidR="001537B1" w:rsidRPr="005D4222" w:rsidRDefault="001537B1" w:rsidP="005D6173">
            <w:pPr>
              <w:pStyle w:val="ProcessBullet"/>
              <w:numPr>
                <w:ilvl w:val="0"/>
                <w:numId w:val="98"/>
              </w:numPr>
              <w:spacing w:after="80"/>
              <w:ind w:left="216" w:hanging="216"/>
              <w:rPr>
                <w:color w:val="000000" w:themeColor="text1"/>
              </w:rPr>
            </w:pPr>
            <w:r w:rsidRPr="005D4222">
              <w:t>Added instructions on allowable adjustments to the race and ethnicity stratifications.</w:t>
            </w:r>
          </w:p>
        </w:tc>
      </w:tr>
      <w:tr w:rsidR="001537B1" w:rsidRPr="005D4222" w14:paraId="2C8D1302" w14:textId="77777777" w:rsidTr="00770B8B">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2AFCDD1" w14:textId="77777777" w:rsidR="001537B1" w:rsidRPr="005D4222" w:rsidRDefault="001537B1" w:rsidP="00A53E8C">
            <w:pPr>
              <w:pStyle w:val="ECDS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D77A032" w14:textId="39F9542F" w:rsidR="001537B1" w:rsidRPr="005D4222" w:rsidRDefault="00DC3950" w:rsidP="00DC3950">
            <w:pPr>
              <w:pStyle w:val="Heading3"/>
              <w:spacing w:before="120"/>
              <w:rPr>
                <w:rFonts w:eastAsia="Arial" w:cs="Times New Roman"/>
                <w:b w:val="0"/>
                <w:i w:val="0"/>
                <w:sz w:val="21"/>
                <w:szCs w:val="21"/>
              </w:rPr>
            </w:pPr>
            <w:r w:rsidRPr="005D4222">
              <w:rPr>
                <w:rFonts w:eastAsia="Arial" w:cs="Times New Roman"/>
                <w:b w:val="0"/>
                <w:i w:val="0"/>
                <w:sz w:val="21"/>
                <w:szCs w:val="21"/>
              </w:rPr>
              <w:t xml:space="preserve">Organizations that submit HEDIS data to NCQA must provide the following data elements. </w:t>
            </w:r>
            <w:r w:rsidR="001537B1" w:rsidRPr="005D4222">
              <w:t xml:space="preserve"> </w:t>
            </w:r>
          </w:p>
          <w:p w14:paraId="11496CC4" w14:textId="77777777" w:rsidR="001537B1" w:rsidRPr="005D4222" w:rsidRDefault="001537B1" w:rsidP="00A53E8C">
            <w:pPr>
              <w:pStyle w:val="Heading3"/>
              <w:spacing w:before="120"/>
            </w:pPr>
            <w:r w:rsidRPr="005D4222">
              <w:t>Table CCS-E-A-1/2: Metadata Elements for Cervical Cancer Screening</w:t>
            </w:r>
          </w:p>
          <w:tbl>
            <w:tblPr>
              <w:tblW w:w="5000" w:type="pct"/>
              <w:tblLayout w:type="fixed"/>
              <w:tblCellMar>
                <w:left w:w="72" w:type="dxa"/>
                <w:right w:w="72" w:type="dxa"/>
              </w:tblCellMar>
              <w:tblLook w:val="04A0" w:firstRow="1" w:lastRow="0" w:firstColumn="1" w:lastColumn="0" w:noHBand="0" w:noVBand="1"/>
            </w:tblPr>
            <w:tblGrid>
              <w:gridCol w:w="2151"/>
              <w:gridCol w:w="3107"/>
              <w:gridCol w:w="2107"/>
            </w:tblGrid>
            <w:tr w:rsidR="001537B1" w:rsidRPr="005D4222" w14:paraId="02F97D2B" w14:textId="77777777" w:rsidTr="00E568DE">
              <w:tc>
                <w:tcPr>
                  <w:tcW w:w="2151" w:type="dxa"/>
                  <w:tcBorders>
                    <w:top w:val="single" w:sz="4" w:space="0" w:color="auto"/>
                    <w:left w:val="single" w:sz="8" w:space="0" w:color="auto"/>
                    <w:bottom w:val="single" w:sz="4" w:space="0" w:color="auto"/>
                    <w:right w:val="single" w:sz="6" w:space="0" w:color="FFFFFF"/>
                  </w:tcBorders>
                  <w:shd w:val="clear" w:color="auto" w:fill="000000"/>
                  <w:noWrap/>
                  <w:tcMar>
                    <w:top w:w="0" w:type="dxa"/>
                    <w:left w:w="29" w:type="dxa"/>
                    <w:bottom w:w="0" w:type="dxa"/>
                    <w:right w:w="29" w:type="dxa"/>
                  </w:tcMar>
                  <w:vAlign w:val="center"/>
                  <w:hideMark/>
                </w:tcPr>
                <w:p w14:paraId="48DE636F" w14:textId="77777777" w:rsidR="001537B1" w:rsidRPr="005D4222" w:rsidRDefault="001537B1" w:rsidP="001537B1">
                  <w:pPr>
                    <w:pStyle w:val="TableHead"/>
                    <w:widowControl w:val="0"/>
                    <w:spacing w:before="50" w:after="50"/>
                    <w:rPr>
                      <w:color w:val="auto"/>
                      <w:kern w:val="20"/>
                    </w:rPr>
                  </w:pPr>
                  <w:r w:rsidRPr="005D4222">
                    <w:rPr>
                      <w:color w:val="auto"/>
                      <w:kern w:val="20"/>
                    </w:rPr>
                    <w:t>Metric</w:t>
                  </w:r>
                </w:p>
              </w:tc>
              <w:tc>
                <w:tcPr>
                  <w:tcW w:w="3107" w:type="dxa"/>
                  <w:tcBorders>
                    <w:top w:val="single" w:sz="4" w:space="0" w:color="auto"/>
                    <w:left w:val="single" w:sz="6" w:space="0" w:color="FFFFFF"/>
                    <w:bottom w:val="single" w:sz="4" w:space="0" w:color="auto"/>
                    <w:right w:val="single" w:sz="4" w:space="0" w:color="FFFFFF"/>
                  </w:tcBorders>
                  <w:shd w:val="clear" w:color="auto" w:fill="000000"/>
                  <w:noWrap/>
                  <w:tcMar>
                    <w:top w:w="0" w:type="dxa"/>
                    <w:left w:w="29" w:type="dxa"/>
                    <w:bottom w:w="0" w:type="dxa"/>
                    <w:right w:w="29" w:type="dxa"/>
                  </w:tcMar>
                  <w:vAlign w:val="center"/>
                  <w:hideMark/>
                </w:tcPr>
                <w:p w14:paraId="16997710" w14:textId="77777777" w:rsidR="001537B1" w:rsidRPr="005D4222" w:rsidRDefault="001537B1" w:rsidP="001537B1">
                  <w:pPr>
                    <w:pStyle w:val="TableHead"/>
                    <w:widowControl w:val="0"/>
                    <w:spacing w:before="50" w:after="50"/>
                    <w:rPr>
                      <w:color w:val="auto"/>
                      <w:kern w:val="20"/>
                    </w:rPr>
                  </w:pPr>
                  <w:r w:rsidRPr="005D4222">
                    <w:rPr>
                      <w:color w:val="auto"/>
                      <w:kern w:val="20"/>
                    </w:rPr>
                    <w:t>Data Element</w:t>
                  </w:r>
                </w:p>
              </w:tc>
              <w:tc>
                <w:tcPr>
                  <w:tcW w:w="2107" w:type="dxa"/>
                  <w:tcBorders>
                    <w:top w:val="single" w:sz="4" w:space="0" w:color="auto"/>
                    <w:left w:val="single" w:sz="4" w:space="0" w:color="FFFFFF"/>
                    <w:bottom w:val="single" w:sz="4" w:space="0" w:color="auto"/>
                    <w:right w:val="single" w:sz="8" w:space="0" w:color="auto"/>
                  </w:tcBorders>
                  <w:shd w:val="clear" w:color="auto" w:fill="000000"/>
                  <w:tcMar>
                    <w:left w:w="29" w:type="dxa"/>
                    <w:right w:w="29" w:type="dxa"/>
                  </w:tcMar>
                  <w:vAlign w:val="center"/>
                </w:tcPr>
                <w:p w14:paraId="18795D35" w14:textId="77777777" w:rsidR="001537B1" w:rsidRPr="005D4222" w:rsidRDefault="001537B1" w:rsidP="001537B1">
                  <w:pPr>
                    <w:pStyle w:val="TableHead"/>
                    <w:widowControl w:val="0"/>
                    <w:spacing w:before="50" w:after="50"/>
                    <w:rPr>
                      <w:color w:val="auto"/>
                      <w:kern w:val="20"/>
                    </w:rPr>
                  </w:pPr>
                  <w:r w:rsidRPr="005D4222">
                    <w:rPr>
                      <w:color w:val="auto"/>
                      <w:kern w:val="20"/>
                    </w:rPr>
                    <w:t>Reporting Instructions</w:t>
                  </w:r>
                </w:p>
              </w:tc>
            </w:tr>
            <w:tr w:rsidR="001537B1" w:rsidRPr="005D4222" w14:paraId="5EDCE7AD" w14:textId="77777777" w:rsidTr="00E568DE">
              <w:tc>
                <w:tcPr>
                  <w:tcW w:w="2151" w:type="dxa"/>
                  <w:tcBorders>
                    <w:top w:val="single" w:sz="4" w:space="0" w:color="auto"/>
                    <w:left w:val="single" w:sz="4" w:space="0" w:color="auto"/>
                    <w:bottom w:val="single" w:sz="4" w:space="0" w:color="auto"/>
                    <w:right w:val="single" w:sz="4" w:space="0" w:color="auto"/>
                  </w:tcBorders>
                  <w:shd w:val="clear" w:color="auto" w:fill="FFFFFF"/>
                  <w:noWrap/>
                  <w:tcMar>
                    <w:top w:w="0" w:type="dxa"/>
                    <w:left w:w="29" w:type="dxa"/>
                    <w:bottom w:w="0" w:type="dxa"/>
                    <w:right w:w="29" w:type="dxa"/>
                  </w:tcMar>
                  <w:vAlign w:val="center"/>
                  <w:hideMark/>
                </w:tcPr>
                <w:p w14:paraId="384395F7" w14:textId="77777777" w:rsidR="001537B1" w:rsidRPr="005D4222" w:rsidRDefault="001537B1" w:rsidP="001537B1">
                  <w:pPr>
                    <w:pStyle w:val="TableText"/>
                    <w:widowControl w:val="0"/>
                    <w:spacing w:before="50" w:after="50"/>
                    <w:rPr>
                      <w:kern w:val="20"/>
                    </w:rPr>
                  </w:pPr>
                  <w:r w:rsidRPr="005D4222">
                    <w:rPr>
                      <w:kern w:val="20"/>
                    </w:rPr>
                    <w:t>CervicalCancerScreening</w:t>
                  </w:r>
                </w:p>
              </w:tc>
              <w:tc>
                <w:tcPr>
                  <w:tcW w:w="3107" w:type="dxa"/>
                  <w:tcBorders>
                    <w:top w:val="single" w:sz="4" w:space="0" w:color="auto"/>
                    <w:left w:val="single" w:sz="4" w:space="0" w:color="auto"/>
                    <w:bottom w:val="single" w:sz="4" w:space="0" w:color="auto"/>
                    <w:right w:val="single" w:sz="4" w:space="0" w:color="auto"/>
                  </w:tcBorders>
                  <w:shd w:val="clear" w:color="auto" w:fill="FFFFFF"/>
                  <w:noWrap/>
                  <w:tcMar>
                    <w:top w:w="0" w:type="dxa"/>
                    <w:left w:w="29" w:type="dxa"/>
                    <w:bottom w:w="0" w:type="dxa"/>
                    <w:right w:w="29" w:type="dxa"/>
                  </w:tcMar>
                  <w:vAlign w:val="center"/>
                  <w:hideMark/>
                </w:tcPr>
                <w:p w14:paraId="13DCF92E" w14:textId="77777777" w:rsidR="001537B1" w:rsidRPr="005D4222" w:rsidRDefault="001537B1" w:rsidP="001537B1">
                  <w:pPr>
                    <w:pStyle w:val="TableText"/>
                    <w:widowControl w:val="0"/>
                    <w:spacing w:before="50" w:after="50"/>
                    <w:rPr>
                      <w:kern w:val="20"/>
                    </w:rPr>
                  </w:pPr>
                  <w:r w:rsidRPr="005D4222">
                    <w:rPr>
                      <w:kern w:val="20"/>
                    </w:rPr>
                    <w:t>InitialPopulation</w:t>
                  </w:r>
                </w:p>
              </w:tc>
              <w:tc>
                <w:tcPr>
                  <w:tcW w:w="2107" w:type="dxa"/>
                  <w:tcBorders>
                    <w:top w:val="single" w:sz="4" w:space="0" w:color="auto"/>
                    <w:left w:val="single" w:sz="4" w:space="0" w:color="auto"/>
                    <w:bottom w:val="single" w:sz="4" w:space="0" w:color="auto"/>
                    <w:right w:val="single" w:sz="4" w:space="0" w:color="auto"/>
                  </w:tcBorders>
                  <w:shd w:val="clear" w:color="auto" w:fill="FFFFFF"/>
                  <w:tcMar>
                    <w:left w:w="29" w:type="dxa"/>
                    <w:right w:w="29" w:type="dxa"/>
                  </w:tcMar>
                  <w:vAlign w:val="center"/>
                </w:tcPr>
                <w:p w14:paraId="1F501907" w14:textId="77777777" w:rsidR="001537B1" w:rsidRPr="005D4222" w:rsidRDefault="001537B1" w:rsidP="001537B1">
                  <w:pPr>
                    <w:pStyle w:val="TableText"/>
                    <w:widowControl w:val="0"/>
                    <w:spacing w:before="50" w:after="50"/>
                    <w:rPr>
                      <w:kern w:val="20"/>
                    </w:rPr>
                  </w:pPr>
                  <w:r w:rsidRPr="005D4222">
                    <w:rPr>
                      <w:kern w:val="20"/>
                    </w:rPr>
                    <w:t>Report once</w:t>
                  </w:r>
                </w:p>
              </w:tc>
            </w:tr>
            <w:tr w:rsidR="001537B1" w:rsidRPr="005D4222" w14:paraId="79E4B5A8" w14:textId="77777777" w:rsidTr="00E568DE">
              <w:tc>
                <w:tcPr>
                  <w:tcW w:w="2151" w:type="dxa"/>
                  <w:tcBorders>
                    <w:top w:val="single" w:sz="4" w:space="0" w:color="auto"/>
                    <w:right w:val="single" w:sz="4" w:space="0" w:color="auto"/>
                  </w:tcBorders>
                  <w:shd w:val="clear" w:color="auto" w:fill="FFFFFF"/>
                  <w:noWrap/>
                  <w:tcMar>
                    <w:top w:w="0" w:type="dxa"/>
                    <w:left w:w="29" w:type="dxa"/>
                    <w:bottom w:w="0" w:type="dxa"/>
                    <w:right w:w="29" w:type="dxa"/>
                  </w:tcMar>
                  <w:vAlign w:val="center"/>
                  <w:hideMark/>
                </w:tcPr>
                <w:p w14:paraId="5BB0B249" w14:textId="77777777" w:rsidR="001537B1" w:rsidRPr="005D4222" w:rsidRDefault="001537B1" w:rsidP="001537B1">
                  <w:pPr>
                    <w:pStyle w:val="TableText"/>
                    <w:widowControl w:val="0"/>
                    <w:spacing w:before="50" w:after="50"/>
                    <w:rPr>
                      <w:kern w:val="20"/>
                    </w:rPr>
                  </w:pPr>
                  <w:r w:rsidRPr="005D4222">
                    <w:rPr>
                      <w:kern w:val="20"/>
                    </w:rPr>
                    <w:t xml:space="preserve"> </w:t>
                  </w:r>
                </w:p>
              </w:tc>
              <w:tc>
                <w:tcPr>
                  <w:tcW w:w="3107" w:type="dxa"/>
                  <w:tcBorders>
                    <w:top w:val="single" w:sz="4" w:space="0" w:color="auto"/>
                    <w:left w:val="single" w:sz="4" w:space="0" w:color="auto"/>
                    <w:bottom w:val="single" w:sz="4" w:space="0" w:color="auto"/>
                    <w:right w:val="single" w:sz="4" w:space="0" w:color="auto"/>
                  </w:tcBorders>
                  <w:noWrap/>
                  <w:tcMar>
                    <w:top w:w="0" w:type="dxa"/>
                    <w:left w:w="29" w:type="dxa"/>
                    <w:bottom w:w="0" w:type="dxa"/>
                    <w:right w:w="29" w:type="dxa"/>
                  </w:tcMar>
                  <w:vAlign w:val="center"/>
                  <w:hideMark/>
                </w:tcPr>
                <w:p w14:paraId="24B47D94" w14:textId="77777777" w:rsidR="001537B1" w:rsidRPr="005D4222" w:rsidRDefault="001537B1" w:rsidP="001537B1">
                  <w:pPr>
                    <w:pStyle w:val="TableText"/>
                    <w:widowControl w:val="0"/>
                    <w:spacing w:before="50" w:after="50"/>
                    <w:rPr>
                      <w:kern w:val="20"/>
                    </w:rPr>
                  </w:pPr>
                  <w:r w:rsidRPr="005D4222">
                    <w:rPr>
                      <w:kern w:val="20"/>
                    </w:rPr>
                    <w:t>Exclusions</w:t>
                  </w:r>
                </w:p>
              </w:tc>
              <w:tc>
                <w:tcPr>
                  <w:tcW w:w="2107" w:type="dxa"/>
                  <w:tcBorders>
                    <w:top w:val="single" w:sz="4" w:space="0" w:color="auto"/>
                    <w:left w:val="single" w:sz="4" w:space="0" w:color="auto"/>
                    <w:bottom w:val="single" w:sz="4" w:space="0" w:color="auto"/>
                    <w:right w:val="single" w:sz="4" w:space="0" w:color="auto"/>
                  </w:tcBorders>
                  <w:tcMar>
                    <w:left w:w="29" w:type="dxa"/>
                    <w:right w:w="29" w:type="dxa"/>
                  </w:tcMar>
                  <w:vAlign w:val="center"/>
                </w:tcPr>
                <w:p w14:paraId="3B424F30" w14:textId="77777777" w:rsidR="001537B1" w:rsidRPr="005D4222" w:rsidRDefault="001537B1" w:rsidP="001537B1">
                  <w:pPr>
                    <w:pStyle w:val="TableText"/>
                    <w:widowControl w:val="0"/>
                    <w:spacing w:before="50" w:after="50"/>
                    <w:rPr>
                      <w:kern w:val="20"/>
                    </w:rPr>
                  </w:pPr>
                  <w:r w:rsidRPr="005D4222">
                    <w:rPr>
                      <w:kern w:val="20"/>
                    </w:rPr>
                    <w:t>Report once</w:t>
                  </w:r>
                </w:p>
              </w:tc>
            </w:tr>
            <w:tr w:rsidR="001537B1" w:rsidRPr="005D4222" w14:paraId="3507E21F" w14:textId="77777777" w:rsidTr="00E568DE">
              <w:tc>
                <w:tcPr>
                  <w:tcW w:w="2151" w:type="dxa"/>
                  <w:tcBorders>
                    <w:top w:val="nil"/>
                    <w:left w:val="nil"/>
                    <w:bottom w:val="nil"/>
                    <w:right w:val="single" w:sz="4" w:space="0" w:color="auto"/>
                  </w:tcBorders>
                  <w:shd w:val="clear" w:color="auto" w:fill="FFFFFF"/>
                  <w:noWrap/>
                  <w:tcMar>
                    <w:top w:w="0" w:type="dxa"/>
                    <w:left w:w="29" w:type="dxa"/>
                    <w:bottom w:w="0" w:type="dxa"/>
                    <w:right w:w="29" w:type="dxa"/>
                  </w:tcMar>
                  <w:vAlign w:val="center"/>
                  <w:hideMark/>
                </w:tcPr>
                <w:p w14:paraId="5619EA56" w14:textId="77777777" w:rsidR="001537B1" w:rsidRPr="005D4222" w:rsidRDefault="001537B1" w:rsidP="001537B1">
                  <w:pPr>
                    <w:pStyle w:val="TableText"/>
                    <w:widowControl w:val="0"/>
                    <w:spacing w:before="50" w:after="50"/>
                    <w:rPr>
                      <w:kern w:val="20"/>
                    </w:rPr>
                  </w:pPr>
                  <w:r w:rsidRPr="005D4222">
                    <w:rPr>
                      <w:kern w:val="20"/>
                    </w:rPr>
                    <w:t xml:space="preserve"> </w:t>
                  </w:r>
                </w:p>
              </w:tc>
              <w:tc>
                <w:tcPr>
                  <w:tcW w:w="3107" w:type="dxa"/>
                  <w:tcBorders>
                    <w:top w:val="single" w:sz="4" w:space="0" w:color="auto"/>
                    <w:left w:val="single" w:sz="4" w:space="0" w:color="auto"/>
                    <w:bottom w:val="single" w:sz="4" w:space="0" w:color="auto"/>
                    <w:right w:val="single" w:sz="4" w:space="0" w:color="auto"/>
                  </w:tcBorders>
                  <w:noWrap/>
                  <w:tcMar>
                    <w:top w:w="0" w:type="dxa"/>
                    <w:left w:w="29" w:type="dxa"/>
                    <w:bottom w:w="0" w:type="dxa"/>
                    <w:right w:w="29" w:type="dxa"/>
                  </w:tcMar>
                  <w:vAlign w:val="center"/>
                  <w:hideMark/>
                </w:tcPr>
                <w:p w14:paraId="3B3FCC45" w14:textId="77777777" w:rsidR="001537B1" w:rsidRPr="005D4222" w:rsidRDefault="001537B1" w:rsidP="001537B1">
                  <w:pPr>
                    <w:pStyle w:val="TableText"/>
                    <w:widowControl w:val="0"/>
                    <w:spacing w:before="50" w:after="50"/>
                    <w:rPr>
                      <w:kern w:val="20"/>
                    </w:rPr>
                  </w:pPr>
                  <w:r w:rsidRPr="005D4222">
                    <w:rPr>
                      <w:kern w:val="20"/>
                    </w:rPr>
                    <w:t>Denominator</w:t>
                  </w:r>
                </w:p>
              </w:tc>
              <w:tc>
                <w:tcPr>
                  <w:tcW w:w="2107" w:type="dxa"/>
                  <w:tcBorders>
                    <w:top w:val="single" w:sz="4" w:space="0" w:color="auto"/>
                    <w:left w:val="single" w:sz="4" w:space="0" w:color="auto"/>
                    <w:bottom w:val="single" w:sz="4" w:space="0" w:color="auto"/>
                    <w:right w:val="single" w:sz="4" w:space="0" w:color="auto"/>
                  </w:tcBorders>
                  <w:tcMar>
                    <w:left w:w="29" w:type="dxa"/>
                    <w:right w:w="29" w:type="dxa"/>
                  </w:tcMar>
                  <w:vAlign w:val="center"/>
                </w:tcPr>
                <w:p w14:paraId="198C438B" w14:textId="77777777" w:rsidR="001537B1" w:rsidRPr="005D4222" w:rsidRDefault="001537B1" w:rsidP="001537B1">
                  <w:pPr>
                    <w:pStyle w:val="TableText"/>
                    <w:widowControl w:val="0"/>
                    <w:spacing w:before="50" w:after="50"/>
                    <w:rPr>
                      <w:kern w:val="20"/>
                    </w:rPr>
                  </w:pPr>
                  <w:r w:rsidRPr="005D4222">
                    <w:rPr>
                      <w:kern w:val="20"/>
                    </w:rPr>
                    <w:t>Report once</w:t>
                  </w:r>
                </w:p>
              </w:tc>
            </w:tr>
            <w:tr w:rsidR="001537B1" w:rsidRPr="005D4222" w14:paraId="607ADC7B" w14:textId="77777777" w:rsidTr="00E568DE">
              <w:tc>
                <w:tcPr>
                  <w:tcW w:w="2151" w:type="dxa"/>
                  <w:tcBorders>
                    <w:right w:val="single" w:sz="4" w:space="0" w:color="auto"/>
                  </w:tcBorders>
                  <w:shd w:val="clear" w:color="auto" w:fill="FFFFFF"/>
                  <w:noWrap/>
                  <w:tcMar>
                    <w:top w:w="0" w:type="dxa"/>
                    <w:left w:w="29" w:type="dxa"/>
                    <w:bottom w:w="0" w:type="dxa"/>
                    <w:right w:w="29" w:type="dxa"/>
                  </w:tcMar>
                  <w:vAlign w:val="center"/>
                  <w:hideMark/>
                </w:tcPr>
                <w:p w14:paraId="0A7A82B3" w14:textId="77777777" w:rsidR="001537B1" w:rsidRPr="005D4222" w:rsidRDefault="001537B1" w:rsidP="001537B1">
                  <w:pPr>
                    <w:pStyle w:val="TableText"/>
                    <w:widowControl w:val="0"/>
                    <w:spacing w:before="50" w:after="50"/>
                    <w:rPr>
                      <w:kern w:val="20"/>
                    </w:rPr>
                  </w:pPr>
                  <w:r w:rsidRPr="005D4222">
                    <w:rPr>
                      <w:kern w:val="20"/>
                    </w:rPr>
                    <w:t xml:space="preserve"> </w:t>
                  </w:r>
                </w:p>
              </w:tc>
              <w:tc>
                <w:tcPr>
                  <w:tcW w:w="3107" w:type="dxa"/>
                  <w:tcBorders>
                    <w:top w:val="single" w:sz="4" w:space="0" w:color="auto"/>
                    <w:left w:val="single" w:sz="4" w:space="0" w:color="auto"/>
                    <w:bottom w:val="single" w:sz="4" w:space="0" w:color="auto"/>
                    <w:right w:val="single" w:sz="4" w:space="0" w:color="auto"/>
                  </w:tcBorders>
                  <w:noWrap/>
                  <w:tcMar>
                    <w:top w:w="0" w:type="dxa"/>
                    <w:left w:w="29" w:type="dxa"/>
                    <w:bottom w:w="0" w:type="dxa"/>
                    <w:right w:w="29" w:type="dxa"/>
                  </w:tcMar>
                  <w:vAlign w:val="center"/>
                  <w:hideMark/>
                </w:tcPr>
                <w:p w14:paraId="18F4D2CA" w14:textId="77777777" w:rsidR="001537B1" w:rsidRPr="005D4222" w:rsidRDefault="001537B1" w:rsidP="001537B1">
                  <w:pPr>
                    <w:pStyle w:val="TableText"/>
                    <w:widowControl w:val="0"/>
                    <w:spacing w:before="50" w:after="50"/>
                    <w:rPr>
                      <w:kern w:val="20"/>
                    </w:rPr>
                  </w:pPr>
                  <w:r w:rsidRPr="005D4222">
                    <w:rPr>
                      <w:kern w:val="20"/>
                    </w:rPr>
                    <w:t>Numerator</w:t>
                  </w:r>
                </w:p>
              </w:tc>
              <w:tc>
                <w:tcPr>
                  <w:tcW w:w="2107" w:type="dxa"/>
                  <w:tcBorders>
                    <w:top w:val="single" w:sz="4" w:space="0" w:color="auto"/>
                    <w:left w:val="single" w:sz="4" w:space="0" w:color="auto"/>
                    <w:bottom w:val="single" w:sz="4" w:space="0" w:color="auto"/>
                    <w:right w:val="single" w:sz="4" w:space="0" w:color="auto"/>
                  </w:tcBorders>
                  <w:tcMar>
                    <w:left w:w="29" w:type="dxa"/>
                    <w:right w:w="29" w:type="dxa"/>
                  </w:tcMar>
                  <w:vAlign w:val="center"/>
                </w:tcPr>
                <w:p w14:paraId="034746FC" w14:textId="77777777" w:rsidR="001537B1" w:rsidRPr="005D4222" w:rsidRDefault="001537B1" w:rsidP="001537B1">
                  <w:pPr>
                    <w:pStyle w:val="TableText"/>
                    <w:widowControl w:val="0"/>
                    <w:spacing w:before="50" w:after="50"/>
                    <w:rPr>
                      <w:kern w:val="20"/>
                    </w:rPr>
                  </w:pPr>
                  <w:r w:rsidRPr="005D4222">
                    <w:rPr>
                      <w:kern w:val="20"/>
                    </w:rPr>
                    <w:t>Report once</w:t>
                  </w:r>
                </w:p>
              </w:tc>
            </w:tr>
            <w:tr w:rsidR="001537B1" w:rsidRPr="005D4222" w14:paraId="555FC6F7" w14:textId="77777777" w:rsidTr="00E568DE">
              <w:tc>
                <w:tcPr>
                  <w:tcW w:w="2151" w:type="dxa"/>
                  <w:tcBorders>
                    <w:right w:val="single" w:sz="4" w:space="0" w:color="auto"/>
                  </w:tcBorders>
                  <w:shd w:val="clear" w:color="auto" w:fill="FFFFFF"/>
                  <w:noWrap/>
                  <w:tcMar>
                    <w:top w:w="0" w:type="dxa"/>
                    <w:left w:w="29" w:type="dxa"/>
                    <w:bottom w:w="0" w:type="dxa"/>
                    <w:right w:w="29" w:type="dxa"/>
                  </w:tcMar>
                  <w:vAlign w:val="center"/>
                  <w:hideMark/>
                </w:tcPr>
                <w:p w14:paraId="64693798" w14:textId="77777777" w:rsidR="001537B1" w:rsidRPr="005D4222" w:rsidRDefault="001537B1" w:rsidP="001537B1">
                  <w:pPr>
                    <w:pStyle w:val="TableText"/>
                    <w:widowControl w:val="0"/>
                    <w:spacing w:before="50" w:after="50"/>
                    <w:rPr>
                      <w:kern w:val="20"/>
                    </w:rPr>
                  </w:pPr>
                </w:p>
              </w:tc>
              <w:tc>
                <w:tcPr>
                  <w:tcW w:w="3107" w:type="dxa"/>
                  <w:tcBorders>
                    <w:top w:val="single" w:sz="4" w:space="0" w:color="auto"/>
                    <w:left w:val="single" w:sz="4" w:space="0" w:color="auto"/>
                    <w:bottom w:val="single" w:sz="4" w:space="0" w:color="auto"/>
                    <w:right w:val="single" w:sz="4" w:space="0" w:color="auto"/>
                  </w:tcBorders>
                  <w:shd w:val="clear" w:color="auto" w:fill="D9D9D9"/>
                  <w:noWrap/>
                  <w:tcMar>
                    <w:top w:w="0" w:type="dxa"/>
                    <w:left w:w="29" w:type="dxa"/>
                    <w:bottom w:w="0" w:type="dxa"/>
                    <w:right w:w="29" w:type="dxa"/>
                  </w:tcMar>
                  <w:vAlign w:val="center"/>
                  <w:hideMark/>
                </w:tcPr>
                <w:p w14:paraId="3386BC0E" w14:textId="77777777" w:rsidR="001537B1" w:rsidRPr="005D4222" w:rsidRDefault="001537B1" w:rsidP="001537B1">
                  <w:pPr>
                    <w:pStyle w:val="TableText"/>
                    <w:widowControl w:val="0"/>
                    <w:spacing w:before="50" w:after="50"/>
                    <w:rPr>
                      <w:kern w:val="20"/>
                    </w:rPr>
                  </w:pPr>
                  <w:r w:rsidRPr="005D4222">
                    <w:rPr>
                      <w:kern w:val="20"/>
                    </w:rPr>
                    <w:t>Rate</w:t>
                  </w:r>
                </w:p>
              </w:tc>
              <w:tc>
                <w:tcPr>
                  <w:tcW w:w="2107" w:type="dxa"/>
                  <w:tcBorders>
                    <w:top w:val="single" w:sz="4" w:space="0" w:color="auto"/>
                    <w:left w:val="single" w:sz="4" w:space="0" w:color="auto"/>
                    <w:bottom w:val="single" w:sz="4" w:space="0" w:color="auto"/>
                    <w:right w:val="single" w:sz="4" w:space="0" w:color="auto"/>
                  </w:tcBorders>
                  <w:shd w:val="clear" w:color="auto" w:fill="D9D9D9"/>
                  <w:tcMar>
                    <w:left w:w="29" w:type="dxa"/>
                    <w:right w:w="29" w:type="dxa"/>
                  </w:tcMar>
                  <w:vAlign w:val="center"/>
                </w:tcPr>
                <w:p w14:paraId="52E925E6" w14:textId="77777777" w:rsidR="001537B1" w:rsidRPr="005D4222" w:rsidRDefault="001537B1" w:rsidP="001537B1">
                  <w:pPr>
                    <w:pStyle w:val="TableText"/>
                    <w:widowControl w:val="0"/>
                    <w:spacing w:before="50" w:after="50"/>
                    <w:rPr>
                      <w:kern w:val="20"/>
                    </w:rPr>
                  </w:pPr>
                  <w:r w:rsidRPr="005D4222">
                    <w:rPr>
                      <w:kern w:val="20"/>
                    </w:rPr>
                    <w:t>(Percent)</w:t>
                  </w:r>
                </w:p>
              </w:tc>
            </w:tr>
          </w:tbl>
          <w:p w14:paraId="5660C679" w14:textId="1B4459DC" w:rsidR="001537B1" w:rsidRPr="005D4222" w:rsidRDefault="001537B1" w:rsidP="00A53E8C">
            <w:pPr>
              <w:pStyle w:val="Heading3"/>
              <w:keepNext w:val="0"/>
              <w:widowControl w:val="0"/>
            </w:pPr>
            <w:r w:rsidRPr="005D4222">
              <w:br w:type="page"/>
              <w:t xml:space="preserve">Table CCS-E-B-1/2: Data Elements for Cervical Cancer Screening: </w:t>
            </w:r>
            <w:r w:rsidR="00B51CDC" w:rsidRPr="005D4222">
              <w:t>Stratifications</w:t>
            </w:r>
            <w:r w:rsidRPr="005D4222">
              <w:t xml:space="preserve"> by Race</w:t>
            </w:r>
          </w:p>
          <w:tbl>
            <w:tblPr>
              <w:tblW w:w="5000" w:type="pct"/>
              <w:tblBorders>
                <w:top w:val="outset" w:sz="6" w:space="0" w:color="auto"/>
                <w:left w:val="outset" w:sz="6" w:space="0" w:color="auto"/>
                <w:bottom w:val="outset" w:sz="6" w:space="0" w:color="auto"/>
                <w:right w:val="outset" w:sz="6" w:space="0" w:color="auto"/>
              </w:tblBorders>
              <w:tblLayout w:type="fixed"/>
              <w:tblCellMar>
                <w:left w:w="72" w:type="dxa"/>
                <w:right w:w="72" w:type="dxa"/>
              </w:tblCellMar>
              <w:tblLook w:val="04A0" w:firstRow="1" w:lastRow="0" w:firstColumn="1" w:lastColumn="0" w:noHBand="0" w:noVBand="1"/>
            </w:tblPr>
            <w:tblGrid>
              <w:gridCol w:w="2153"/>
              <w:gridCol w:w="2700"/>
              <w:gridCol w:w="1350"/>
              <w:gridCol w:w="1166"/>
            </w:tblGrid>
            <w:tr w:rsidR="001537B1" w:rsidRPr="005D4222" w14:paraId="1E89DD88" w14:textId="77777777" w:rsidTr="00A53E8C">
              <w:tc>
                <w:tcPr>
                  <w:tcW w:w="2153" w:type="dxa"/>
                  <w:tcBorders>
                    <w:top w:val="single" w:sz="6" w:space="0" w:color="auto"/>
                    <w:left w:val="single" w:sz="6" w:space="0" w:color="auto"/>
                    <w:bottom w:val="single" w:sz="6" w:space="0" w:color="auto"/>
                    <w:right w:val="single" w:sz="4" w:space="0" w:color="FFFFFF" w:themeColor="background1"/>
                  </w:tcBorders>
                  <w:shd w:val="clear" w:color="auto" w:fill="000000" w:themeFill="text1"/>
                  <w:tcMar>
                    <w:left w:w="29" w:type="dxa"/>
                    <w:right w:w="29" w:type="dxa"/>
                  </w:tcMar>
                  <w:vAlign w:val="bottom"/>
                  <w:hideMark/>
                </w:tcPr>
                <w:p w14:paraId="59AAFA81" w14:textId="77777777" w:rsidR="001537B1" w:rsidRPr="005D4222" w:rsidRDefault="001537B1" w:rsidP="001537B1">
                  <w:pPr>
                    <w:pStyle w:val="TableHead"/>
                    <w:widowControl w:val="0"/>
                    <w:spacing w:before="50" w:after="50"/>
                    <w:rPr>
                      <w:rFonts w:ascii="Times New Roman" w:hAnsi="Times New Roman"/>
                      <w:color w:val="FFFFFF"/>
                      <w:kern w:val="20"/>
                    </w:rPr>
                  </w:pPr>
                  <w:r w:rsidRPr="005D4222">
                    <w:rPr>
                      <w:kern w:val="20"/>
                    </w:rPr>
                    <w:t>Metric</w:t>
                  </w:r>
                </w:p>
              </w:tc>
              <w:tc>
                <w:tcPr>
                  <w:tcW w:w="2700" w:type="dxa"/>
                  <w:tcBorders>
                    <w:top w:val="single" w:sz="6" w:space="0" w:color="auto"/>
                    <w:left w:val="single" w:sz="4" w:space="0" w:color="FFFFFF" w:themeColor="background1"/>
                    <w:bottom w:val="single" w:sz="6" w:space="0" w:color="auto"/>
                    <w:right w:val="single" w:sz="6" w:space="0" w:color="FFFFFF" w:themeColor="background1"/>
                  </w:tcBorders>
                  <w:shd w:val="clear" w:color="auto" w:fill="000000" w:themeFill="text1"/>
                  <w:tcMar>
                    <w:left w:w="29" w:type="dxa"/>
                    <w:right w:w="29" w:type="dxa"/>
                  </w:tcMar>
                  <w:vAlign w:val="bottom"/>
                  <w:hideMark/>
                </w:tcPr>
                <w:p w14:paraId="0F590BF2" w14:textId="77777777" w:rsidR="001537B1" w:rsidRPr="005D4222" w:rsidRDefault="001537B1" w:rsidP="001537B1">
                  <w:pPr>
                    <w:pStyle w:val="TableHead"/>
                    <w:widowControl w:val="0"/>
                    <w:spacing w:before="50" w:after="50"/>
                    <w:rPr>
                      <w:rFonts w:ascii="Times New Roman" w:hAnsi="Times New Roman"/>
                      <w:color w:val="FFFFFF"/>
                      <w:kern w:val="20"/>
                    </w:rPr>
                  </w:pPr>
                  <w:r w:rsidRPr="005D4222">
                    <w:rPr>
                      <w:kern w:val="20"/>
                    </w:rPr>
                    <w:t>Race</w:t>
                  </w:r>
                </w:p>
              </w:tc>
              <w:tc>
                <w:tcPr>
                  <w:tcW w:w="1350" w:type="dxa"/>
                  <w:tcBorders>
                    <w:top w:val="single" w:sz="6" w:space="0" w:color="auto"/>
                    <w:left w:val="single" w:sz="6" w:space="0" w:color="FFFFFF" w:themeColor="background1"/>
                    <w:bottom w:val="single" w:sz="6" w:space="0" w:color="auto"/>
                    <w:right w:val="single" w:sz="6" w:space="0" w:color="FFFFFF" w:themeColor="background1"/>
                  </w:tcBorders>
                  <w:shd w:val="clear" w:color="auto" w:fill="000000" w:themeFill="text1"/>
                  <w:tcMar>
                    <w:left w:w="29" w:type="dxa"/>
                    <w:right w:w="29" w:type="dxa"/>
                  </w:tcMar>
                  <w:vAlign w:val="bottom"/>
                  <w:hideMark/>
                </w:tcPr>
                <w:p w14:paraId="662BF7A9" w14:textId="77777777" w:rsidR="001537B1" w:rsidRPr="005D4222" w:rsidRDefault="001537B1" w:rsidP="001537B1">
                  <w:pPr>
                    <w:pStyle w:val="TableHead"/>
                    <w:widowControl w:val="0"/>
                    <w:spacing w:before="50" w:after="50"/>
                    <w:rPr>
                      <w:rFonts w:ascii="Times New Roman" w:hAnsi="Times New Roman"/>
                      <w:color w:val="FFFFFF"/>
                      <w:kern w:val="20"/>
                    </w:rPr>
                  </w:pPr>
                  <w:r w:rsidRPr="005D4222">
                    <w:rPr>
                      <w:kern w:val="20"/>
                    </w:rPr>
                    <w:t>Data Element</w:t>
                  </w:r>
                </w:p>
              </w:tc>
              <w:tc>
                <w:tcPr>
                  <w:tcW w:w="1166" w:type="dxa"/>
                  <w:tcBorders>
                    <w:top w:val="single" w:sz="6" w:space="0" w:color="auto"/>
                    <w:left w:val="single" w:sz="6" w:space="0" w:color="FFFFFF" w:themeColor="background1"/>
                    <w:bottom w:val="single" w:sz="6" w:space="0" w:color="auto"/>
                    <w:right w:val="single" w:sz="6" w:space="0" w:color="auto"/>
                  </w:tcBorders>
                  <w:shd w:val="clear" w:color="auto" w:fill="000000" w:themeFill="text1"/>
                  <w:tcMar>
                    <w:left w:w="29" w:type="dxa"/>
                    <w:right w:w="29" w:type="dxa"/>
                  </w:tcMar>
                  <w:vAlign w:val="bottom"/>
                  <w:hideMark/>
                </w:tcPr>
                <w:p w14:paraId="3FC909CD" w14:textId="77777777" w:rsidR="001537B1" w:rsidRPr="005D4222" w:rsidRDefault="001537B1" w:rsidP="001537B1">
                  <w:pPr>
                    <w:pStyle w:val="TableHead"/>
                    <w:widowControl w:val="0"/>
                    <w:spacing w:before="50" w:after="50"/>
                    <w:rPr>
                      <w:rFonts w:ascii="Times New Roman" w:hAnsi="Times New Roman"/>
                      <w:color w:val="FFFFFF"/>
                      <w:kern w:val="20"/>
                    </w:rPr>
                  </w:pPr>
                  <w:r w:rsidRPr="005D4222">
                    <w:rPr>
                      <w:kern w:val="20"/>
                    </w:rPr>
                    <w:t>Reporting Instructions</w:t>
                  </w:r>
                </w:p>
              </w:tc>
            </w:tr>
            <w:tr w:rsidR="001537B1" w:rsidRPr="005D4222" w14:paraId="7E9EBB4C" w14:textId="77777777" w:rsidTr="00A53E8C">
              <w:tc>
                <w:tcPr>
                  <w:tcW w:w="2153" w:type="dxa"/>
                  <w:tcBorders>
                    <w:top w:val="single" w:sz="6" w:space="0" w:color="auto"/>
                    <w:left w:val="single" w:sz="6" w:space="0" w:color="auto"/>
                    <w:bottom w:val="single" w:sz="6" w:space="0" w:color="auto"/>
                    <w:right w:val="single" w:sz="6" w:space="0" w:color="auto"/>
                  </w:tcBorders>
                  <w:shd w:val="clear" w:color="auto" w:fill="FFFFFF" w:themeFill="background1"/>
                  <w:tcMar>
                    <w:left w:w="29" w:type="dxa"/>
                    <w:right w:w="29" w:type="dxa"/>
                  </w:tcMar>
                  <w:hideMark/>
                </w:tcPr>
                <w:p w14:paraId="2A047F01"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 xml:space="preserve">CervicalCancerScreening </w:t>
                  </w:r>
                </w:p>
              </w:tc>
              <w:tc>
                <w:tcPr>
                  <w:tcW w:w="2700" w:type="dxa"/>
                  <w:tcBorders>
                    <w:top w:val="single" w:sz="6" w:space="0" w:color="auto"/>
                    <w:left w:val="single" w:sz="6" w:space="0" w:color="auto"/>
                    <w:bottom w:val="single" w:sz="6" w:space="0" w:color="auto"/>
                    <w:right w:val="single" w:sz="6" w:space="0" w:color="auto"/>
                  </w:tcBorders>
                  <w:shd w:val="clear" w:color="auto" w:fill="FFFFFF" w:themeFill="background1"/>
                  <w:tcMar>
                    <w:left w:w="29" w:type="dxa"/>
                    <w:right w:w="29" w:type="dxa"/>
                  </w:tcMar>
                  <w:hideMark/>
                </w:tcPr>
                <w:p w14:paraId="0988FF9D"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AmericanIndianOrAlaskaNative</w:t>
                  </w:r>
                </w:p>
              </w:tc>
              <w:tc>
                <w:tcPr>
                  <w:tcW w:w="1350" w:type="dxa"/>
                  <w:tcBorders>
                    <w:top w:val="nil"/>
                    <w:left w:val="single" w:sz="6" w:space="0" w:color="auto"/>
                    <w:bottom w:val="single" w:sz="6" w:space="0" w:color="auto"/>
                    <w:right w:val="single" w:sz="6" w:space="0" w:color="auto"/>
                  </w:tcBorders>
                  <w:shd w:val="clear" w:color="auto" w:fill="FFFFFF" w:themeFill="background1"/>
                  <w:tcMar>
                    <w:left w:w="29" w:type="dxa"/>
                    <w:right w:w="29" w:type="dxa"/>
                  </w:tcMar>
                </w:tcPr>
                <w:p w14:paraId="67C2F0FD"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rPr>
                    <w:t>InitialPopulation</w:t>
                  </w:r>
                </w:p>
              </w:tc>
              <w:tc>
                <w:tcPr>
                  <w:tcW w:w="1166" w:type="dxa"/>
                  <w:tcBorders>
                    <w:top w:val="nil"/>
                    <w:left w:val="single" w:sz="6" w:space="0" w:color="auto"/>
                    <w:bottom w:val="single" w:sz="6" w:space="0" w:color="auto"/>
                    <w:right w:val="single" w:sz="6" w:space="0" w:color="auto"/>
                  </w:tcBorders>
                  <w:shd w:val="clear" w:color="auto" w:fill="FFFFFF" w:themeFill="background1"/>
                  <w:tcMar>
                    <w:left w:w="29" w:type="dxa"/>
                    <w:right w:w="29" w:type="dxa"/>
                  </w:tcMar>
                </w:tcPr>
                <w:p w14:paraId="3CA41AA3"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For each Stratification</w:t>
                  </w:r>
                </w:p>
              </w:tc>
            </w:tr>
            <w:tr w:rsidR="001537B1" w:rsidRPr="005D4222" w14:paraId="77B36628" w14:textId="77777777" w:rsidTr="00A53E8C">
              <w:tc>
                <w:tcPr>
                  <w:tcW w:w="2153" w:type="dxa"/>
                  <w:tcBorders>
                    <w:top w:val="single" w:sz="6" w:space="0" w:color="auto"/>
                    <w:left w:val="nil"/>
                    <w:bottom w:val="nil"/>
                    <w:right w:val="single" w:sz="6" w:space="0" w:color="auto"/>
                  </w:tcBorders>
                  <w:shd w:val="clear" w:color="auto" w:fill="FFFFFF" w:themeFill="background1"/>
                  <w:tcMar>
                    <w:left w:w="29" w:type="dxa"/>
                    <w:right w:w="29" w:type="dxa"/>
                  </w:tcMar>
                  <w:hideMark/>
                </w:tcPr>
                <w:p w14:paraId="2A845BE1"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 xml:space="preserve"> </w:t>
                  </w:r>
                </w:p>
              </w:tc>
              <w:tc>
                <w:tcPr>
                  <w:tcW w:w="2700" w:type="dxa"/>
                  <w:tcBorders>
                    <w:top w:val="single" w:sz="6" w:space="0" w:color="auto"/>
                    <w:left w:val="single" w:sz="6" w:space="0" w:color="auto"/>
                    <w:bottom w:val="single" w:sz="6" w:space="0" w:color="auto"/>
                    <w:right w:val="single" w:sz="6" w:space="0" w:color="auto"/>
                  </w:tcBorders>
                  <w:shd w:val="clear" w:color="auto" w:fill="FFFFFF" w:themeFill="background1"/>
                  <w:tcMar>
                    <w:left w:w="29" w:type="dxa"/>
                    <w:right w:w="29" w:type="dxa"/>
                  </w:tcMar>
                  <w:hideMark/>
                </w:tcPr>
                <w:p w14:paraId="32C59796"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Asian</w:t>
                  </w:r>
                </w:p>
              </w:tc>
              <w:tc>
                <w:tcPr>
                  <w:tcW w:w="1350" w:type="dxa"/>
                  <w:tcBorders>
                    <w:top w:val="nil"/>
                    <w:left w:val="single" w:sz="6" w:space="0" w:color="auto"/>
                    <w:bottom w:val="single" w:sz="6" w:space="0" w:color="auto"/>
                    <w:right w:val="single" w:sz="6" w:space="0" w:color="auto"/>
                  </w:tcBorders>
                  <w:shd w:val="clear" w:color="auto" w:fill="FFFFFF" w:themeFill="background1"/>
                  <w:tcMar>
                    <w:left w:w="29" w:type="dxa"/>
                    <w:right w:w="29" w:type="dxa"/>
                  </w:tcMar>
                </w:tcPr>
                <w:p w14:paraId="61552EF4"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rPr>
                    <w:t>Exclusions</w:t>
                  </w:r>
                </w:p>
              </w:tc>
              <w:tc>
                <w:tcPr>
                  <w:tcW w:w="1166" w:type="dxa"/>
                  <w:tcBorders>
                    <w:top w:val="nil"/>
                    <w:left w:val="single" w:sz="6" w:space="0" w:color="auto"/>
                    <w:bottom w:val="single" w:sz="6" w:space="0" w:color="auto"/>
                    <w:right w:val="single" w:sz="6" w:space="0" w:color="auto"/>
                  </w:tcBorders>
                  <w:shd w:val="clear" w:color="auto" w:fill="FFFFFF" w:themeFill="background1"/>
                  <w:tcMar>
                    <w:left w:w="29" w:type="dxa"/>
                    <w:right w:w="29" w:type="dxa"/>
                  </w:tcMar>
                </w:tcPr>
                <w:p w14:paraId="1BF74233"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For each Stratification</w:t>
                  </w:r>
                </w:p>
              </w:tc>
            </w:tr>
            <w:tr w:rsidR="001537B1" w:rsidRPr="005D4222" w14:paraId="730639F7" w14:textId="77777777" w:rsidTr="00A53E8C">
              <w:tc>
                <w:tcPr>
                  <w:tcW w:w="2153" w:type="dxa"/>
                  <w:tcBorders>
                    <w:top w:val="nil"/>
                    <w:left w:val="nil"/>
                    <w:bottom w:val="nil"/>
                    <w:right w:val="single" w:sz="6" w:space="0" w:color="auto"/>
                  </w:tcBorders>
                  <w:shd w:val="clear" w:color="auto" w:fill="FFFFFF" w:themeFill="background1"/>
                  <w:tcMar>
                    <w:left w:w="29" w:type="dxa"/>
                    <w:right w:w="29" w:type="dxa"/>
                  </w:tcMar>
                  <w:hideMark/>
                </w:tcPr>
                <w:p w14:paraId="3862FF3F"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 xml:space="preserve"> </w:t>
                  </w:r>
                </w:p>
              </w:tc>
              <w:tc>
                <w:tcPr>
                  <w:tcW w:w="2700" w:type="dxa"/>
                  <w:tcBorders>
                    <w:top w:val="single" w:sz="6" w:space="0" w:color="auto"/>
                    <w:left w:val="single" w:sz="6" w:space="0" w:color="auto"/>
                    <w:bottom w:val="single" w:sz="6" w:space="0" w:color="auto"/>
                    <w:right w:val="single" w:sz="6" w:space="0" w:color="auto"/>
                  </w:tcBorders>
                  <w:shd w:val="clear" w:color="auto" w:fill="FFFFFF" w:themeFill="background1"/>
                  <w:tcMar>
                    <w:left w:w="29" w:type="dxa"/>
                    <w:right w:w="29" w:type="dxa"/>
                  </w:tcMar>
                  <w:hideMark/>
                </w:tcPr>
                <w:p w14:paraId="48E6F152"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 xml:space="preserve">BlackOrAfricanAmerican   </w:t>
                  </w:r>
                </w:p>
              </w:tc>
              <w:tc>
                <w:tcPr>
                  <w:tcW w:w="1350" w:type="dxa"/>
                  <w:tcBorders>
                    <w:top w:val="nil"/>
                    <w:left w:val="single" w:sz="6" w:space="0" w:color="auto"/>
                    <w:bottom w:val="single" w:sz="6" w:space="0" w:color="auto"/>
                    <w:right w:val="single" w:sz="6" w:space="0" w:color="auto"/>
                  </w:tcBorders>
                  <w:shd w:val="clear" w:color="auto" w:fill="FFFFFF" w:themeFill="background1"/>
                  <w:tcMar>
                    <w:left w:w="29" w:type="dxa"/>
                    <w:right w:w="29" w:type="dxa"/>
                  </w:tcMar>
                  <w:hideMark/>
                </w:tcPr>
                <w:p w14:paraId="5EC4C408" w14:textId="02B421DA"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 xml:space="preserve">Denominator </w:t>
                  </w:r>
                </w:p>
              </w:tc>
              <w:tc>
                <w:tcPr>
                  <w:tcW w:w="1166" w:type="dxa"/>
                  <w:tcBorders>
                    <w:top w:val="nil"/>
                    <w:left w:val="single" w:sz="6" w:space="0" w:color="auto"/>
                    <w:bottom w:val="single" w:sz="6" w:space="0" w:color="auto"/>
                    <w:right w:val="single" w:sz="6" w:space="0" w:color="auto"/>
                  </w:tcBorders>
                  <w:shd w:val="clear" w:color="auto" w:fill="FFFFFF" w:themeFill="background1"/>
                  <w:tcMar>
                    <w:left w:w="29" w:type="dxa"/>
                    <w:right w:w="29" w:type="dxa"/>
                  </w:tcMar>
                  <w:hideMark/>
                </w:tcPr>
                <w:p w14:paraId="3DA160AA"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 xml:space="preserve">For each Stratification </w:t>
                  </w:r>
                </w:p>
              </w:tc>
            </w:tr>
            <w:tr w:rsidR="001537B1" w:rsidRPr="005D4222" w14:paraId="603C9CE6" w14:textId="77777777" w:rsidTr="00A53E8C">
              <w:tc>
                <w:tcPr>
                  <w:tcW w:w="2153" w:type="dxa"/>
                  <w:tcBorders>
                    <w:top w:val="nil"/>
                    <w:left w:val="nil"/>
                    <w:bottom w:val="nil"/>
                    <w:right w:val="single" w:sz="6" w:space="0" w:color="auto"/>
                  </w:tcBorders>
                  <w:shd w:val="clear" w:color="auto" w:fill="FFFFFF" w:themeFill="background1"/>
                  <w:tcMar>
                    <w:left w:w="29" w:type="dxa"/>
                    <w:right w:w="29" w:type="dxa"/>
                  </w:tcMar>
                  <w:hideMark/>
                </w:tcPr>
                <w:p w14:paraId="50EA9B43"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 xml:space="preserve"> </w:t>
                  </w:r>
                </w:p>
              </w:tc>
              <w:tc>
                <w:tcPr>
                  <w:tcW w:w="2700" w:type="dxa"/>
                  <w:tcBorders>
                    <w:top w:val="single" w:sz="6" w:space="0" w:color="auto"/>
                    <w:left w:val="single" w:sz="6" w:space="0" w:color="auto"/>
                    <w:bottom w:val="single" w:sz="6" w:space="0" w:color="auto"/>
                    <w:right w:val="single" w:sz="6" w:space="0" w:color="auto"/>
                  </w:tcBorders>
                  <w:shd w:val="clear" w:color="auto" w:fill="FFFFFF" w:themeFill="background1"/>
                  <w:tcMar>
                    <w:left w:w="29" w:type="dxa"/>
                    <w:right w:w="29" w:type="dxa"/>
                  </w:tcMar>
                </w:tcPr>
                <w:p w14:paraId="53532DC8"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MiddleEasternOrNorthAfrican</w:t>
                  </w:r>
                </w:p>
              </w:tc>
              <w:tc>
                <w:tcPr>
                  <w:tcW w:w="1350" w:type="dxa"/>
                  <w:tcBorders>
                    <w:top w:val="single" w:sz="6" w:space="0" w:color="auto"/>
                    <w:left w:val="single" w:sz="6" w:space="0" w:color="auto"/>
                    <w:bottom w:val="single" w:sz="6" w:space="0" w:color="auto"/>
                    <w:right w:val="single" w:sz="6" w:space="0" w:color="auto"/>
                  </w:tcBorders>
                  <w:shd w:val="clear" w:color="auto" w:fill="FFFFFF" w:themeFill="background1"/>
                  <w:tcMar>
                    <w:left w:w="29" w:type="dxa"/>
                    <w:right w:w="29" w:type="dxa"/>
                  </w:tcMar>
                  <w:hideMark/>
                </w:tcPr>
                <w:p w14:paraId="391046B2"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 xml:space="preserve">Numerator </w:t>
                  </w:r>
                </w:p>
              </w:tc>
              <w:tc>
                <w:tcPr>
                  <w:tcW w:w="1166" w:type="dxa"/>
                  <w:tcBorders>
                    <w:top w:val="nil"/>
                    <w:left w:val="single" w:sz="6" w:space="0" w:color="auto"/>
                    <w:bottom w:val="single" w:sz="6" w:space="0" w:color="auto"/>
                    <w:right w:val="single" w:sz="6" w:space="0" w:color="auto"/>
                  </w:tcBorders>
                  <w:shd w:val="clear" w:color="auto" w:fill="FFFFFF" w:themeFill="background1"/>
                  <w:tcMar>
                    <w:left w:w="29" w:type="dxa"/>
                    <w:right w:w="29" w:type="dxa"/>
                  </w:tcMar>
                  <w:hideMark/>
                </w:tcPr>
                <w:p w14:paraId="4074E9DD"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 xml:space="preserve">For each Stratification </w:t>
                  </w:r>
                </w:p>
              </w:tc>
            </w:tr>
            <w:tr w:rsidR="001537B1" w:rsidRPr="005D4222" w14:paraId="0B6A22EA" w14:textId="77777777" w:rsidTr="00A53E8C">
              <w:tc>
                <w:tcPr>
                  <w:tcW w:w="2153" w:type="dxa"/>
                  <w:tcBorders>
                    <w:top w:val="nil"/>
                    <w:left w:val="nil"/>
                    <w:bottom w:val="nil"/>
                    <w:right w:val="single" w:sz="6" w:space="0" w:color="auto"/>
                  </w:tcBorders>
                  <w:shd w:val="clear" w:color="auto" w:fill="FFFFFF" w:themeFill="background1"/>
                  <w:tcMar>
                    <w:left w:w="29" w:type="dxa"/>
                    <w:right w:w="29" w:type="dxa"/>
                  </w:tcMar>
                  <w:hideMark/>
                </w:tcPr>
                <w:p w14:paraId="105C06B0"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 xml:space="preserve"> </w:t>
                  </w:r>
                </w:p>
              </w:tc>
              <w:tc>
                <w:tcPr>
                  <w:tcW w:w="2700" w:type="dxa"/>
                  <w:tcBorders>
                    <w:top w:val="single" w:sz="6" w:space="0" w:color="auto"/>
                    <w:left w:val="single" w:sz="6" w:space="0" w:color="auto"/>
                    <w:bottom w:val="single" w:sz="6" w:space="0" w:color="auto"/>
                    <w:right w:val="single" w:sz="6" w:space="0" w:color="auto"/>
                  </w:tcBorders>
                  <w:shd w:val="clear" w:color="auto" w:fill="FFFFFF" w:themeFill="background1"/>
                  <w:tcMar>
                    <w:left w:w="29" w:type="dxa"/>
                    <w:right w:w="29" w:type="dxa"/>
                  </w:tcMar>
                  <w:hideMark/>
                </w:tcPr>
                <w:p w14:paraId="35794D54"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 xml:space="preserve">NativeHawaiianOrPacificIslander </w:t>
                  </w:r>
                </w:p>
              </w:tc>
              <w:tc>
                <w:tcPr>
                  <w:tcW w:w="135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29" w:type="dxa"/>
                    <w:right w:w="29" w:type="dxa"/>
                  </w:tcMar>
                  <w:hideMark/>
                </w:tcPr>
                <w:p w14:paraId="09985C9F"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 xml:space="preserve">Rate </w:t>
                  </w:r>
                </w:p>
              </w:tc>
              <w:tc>
                <w:tcPr>
                  <w:tcW w:w="116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29" w:type="dxa"/>
                    <w:right w:w="29" w:type="dxa"/>
                  </w:tcMar>
                  <w:hideMark/>
                </w:tcPr>
                <w:p w14:paraId="3525EFB8"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 xml:space="preserve">(Percent) </w:t>
                  </w:r>
                </w:p>
              </w:tc>
            </w:tr>
            <w:tr w:rsidR="001537B1" w:rsidRPr="005D4222" w14:paraId="177D8A3E" w14:textId="77777777" w:rsidTr="00A53E8C">
              <w:tc>
                <w:tcPr>
                  <w:tcW w:w="2153" w:type="dxa"/>
                  <w:tcBorders>
                    <w:top w:val="nil"/>
                    <w:left w:val="nil"/>
                    <w:bottom w:val="nil"/>
                    <w:right w:val="single" w:sz="6" w:space="0" w:color="auto"/>
                  </w:tcBorders>
                  <w:shd w:val="clear" w:color="auto" w:fill="FFFFFF" w:themeFill="background1"/>
                  <w:tcMar>
                    <w:left w:w="29" w:type="dxa"/>
                    <w:right w:w="29" w:type="dxa"/>
                  </w:tcMar>
                  <w:hideMark/>
                </w:tcPr>
                <w:p w14:paraId="01CA1FE9"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 xml:space="preserve"> </w:t>
                  </w:r>
                </w:p>
              </w:tc>
              <w:tc>
                <w:tcPr>
                  <w:tcW w:w="2700" w:type="dxa"/>
                  <w:tcBorders>
                    <w:top w:val="single" w:sz="6" w:space="0" w:color="auto"/>
                    <w:left w:val="single" w:sz="6" w:space="0" w:color="auto"/>
                    <w:bottom w:val="single" w:sz="6" w:space="0" w:color="auto"/>
                    <w:right w:val="single" w:sz="6" w:space="0" w:color="auto"/>
                  </w:tcBorders>
                  <w:shd w:val="clear" w:color="auto" w:fill="FFFFFF" w:themeFill="background1"/>
                  <w:tcMar>
                    <w:left w:w="29" w:type="dxa"/>
                    <w:right w:w="29" w:type="dxa"/>
                  </w:tcMar>
                  <w:hideMark/>
                </w:tcPr>
                <w:p w14:paraId="4236EA43"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White</w:t>
                  </w:r>
                </w:p>
              </w:tc>
              <w:tc>
                <w:tcPr>
                  <w:tcW w:w="1350" w:type="dxa"/>
                  <w:tcBorders>
                    <w:top w:val="single" w:sz="6" w:space="0" w:color="auto"/>
                    <w:left w:val="nil"/>
                    <w:bottom w:val="nil"/>
                    <w:right w:val="nil"/>
                  </w:tcBorders>
                  <w:tcMar>
                    <w:left w:w="29" w:type="dxa"/>
                    <w:right w:w="29" w:type="dxa"/>
                  </w:tcMar>
                  <w:hideMark/>
                </w:tcPr>
                <w:p w14:paraId="4FC5E428"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 xml:space="preserve"> </w:t>
                  </w:r>
                </w:p>
              </w:tc>
              <w:tc>
                <w:tcPr>
                  <w:tcW w:w="1166" w:type="dxa"/>
                  <w:tcBorders>
                    <w:top w:val="single" w:sz="6" w:space="0" w:color="auto"/>
                    <w:left w:val="nil"/>
                    <w:bottom w:val="nil"/>
                    <w:right w:val="nil"/>
                  </w:tcBorders>
                  <w:tcMar>
                    <w:left w:w="29" w:type="dxa"/>
                    <w:right w:w="29" w:type="dxa"/>
                  </w:tcMar>
                  <w:hideMark/>
                </w:tcPr>
                <w:p w14:paraId="75CEBEE0"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 xml:space="preserve"> </w:t>
                  </w:r>
                </w:p>
              </w:tc>
            </w:tr>
            <w:tr w:rsidR="001537B1" w:rsidRPr="005D4222" w14:paraId="22104B32" w14:textId="77777777" w:rsidTr="00A53E8C">
              <w:tc>
                <w:tcPr>
                  <w:tcW w:w="2153" w:type="dxa"/>
                  <w:tcBorders>
                    <w:top w:val="nil"/>
                    <w:left w:val="nil"/>
                    <w:bottom w:val="nil"/>
                    <w:right w:val="single" w:sz="6" w:space="0" w:color="auto"/>
                  </w:tcBorders>
                  <w:tcMar>
                    <w:left w:w="29" w:type="dxa"/>
                    <w:right w:w="29" w:type="dxa"/>
                  </w:tcMar>
                  <w:hideMark/>
                </w:tcPr>
                <w:p w14:paraId="462D3188"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 xml:space="preserve"> </w:t>
                  </w:r>
                </w:p>
              </w:tc>
              <w:tc>
                <w:tcPr>
                  <w:tcW w:w="2700" w:type="dxa"/>
                  <w:tcBorders>
                    <w:top w:val="single" w:sz="6" w:space="0" w:color="auto"/>
                    <w:left w:val="single" w:sz="6" w:space="0" w:color="auto"/>
                    <w:bottom w:val="single" w:sz="6" w:space="0" w:color="auto"/>
                    <w:right w:val="single" w:sz="6" w:space="0" w:color="auto"/>
                  </w:tcBorders>
                  <w:shd w:val="clear" w:color="auto" w:fill="FFFFFF" w:themeFill="background1"/>
                  <w:tcMar>
                    <w:left w:w="29" w:type="dxa"/>
                    <w:right w:w="29" w:type="dxa"/>
                  </w:tcMar>
                  <w:hideMark/>
                </w:tcPr>
                <w:p w14:paraId="4ED21369"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 xml:space="preserve">SomeOtherRace </w:t>
                  </w:r>
                </w:p>
              </w:tc>
              <w:tc>
                <w:tcPr>
                  <w:tcW w:w="1350" w:type="dxa"/>
                  <w:tcBorders>
                    <w:top w:val="nil"/>
                    <w:left w:val="nil"/>
                    <w:bottom w:val="nil"/>
                    <w:right w:val="nil"/>
                  </w:tcBorders>
                  <w:tcMar>
                    <w:left w:w="29" w:type="dxa"/>
                    <w:right w:w="29" w:type="dxa"/>
                  </w:tcMar>
                  <w:hideMark/>
                </w:tcPr>
                <w:p w14:paraId="6C3F7749"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 xml:space="preserve"> </w:t>
                  </w:r>
                </w:p>
              </w:tc>
              <w:tc>
                <w:tcPr>
                  <w:tcW w:w="1166" w:type="dxa"/>
                  <w:tcBorders>
                    <w:top w:val="nil"/>
                    <w:left w:val="nil"/>
                    <w:bottom w:val="nil"/>
                    <w:right w:val="nil"/>
                  </w:tcBorders>
                  <w:tcMar>
                    <w:left w:w="29" w:type="dxa"/>
                    <w:right w:w="29" w:type="dxa"/>
                  </w:tcMar>
                  <w:hideMark/>
                </w:tcPr>
                <w:p w14:paraId="59D02B0C"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 xml:space="preserve"> </w:t>
                  </w:r>
                </w:p>
              </w:tc>
            </w:tr>
            <w:tr w:rsidR="001537B1" w:rsidRPr="005D4222" w14:paraId="74DC61BB" w14:textId="77777777" w:rsidTr="00A53E8C">
              <w:tc>
                <w:tcPr>
                  <w:tcW w:w="2153" w:type="dxa"/>
                  <w:tcBorders>
                    <w:top w:val="nil"/>
                    <w:left w:val="nil"/>
                    <w:bottom w:val="nil"/>
                    <w:right w:val="single" w:sz="6" w:space="0" w:color="auto"/>
                  </w:tcBorders>
                  <w:shd w:val="clear" w:color="auto" w:fill="FFFFFF" w:themeFill="background1"/>
                  <w:tcMar>
                    <w:left w:w="29" w:type="dxa"/>
                    <w:right w:w="29" w:type="dxa"/>
                  </w:tcMar>
                  <w:hideMark/>
                </w:tcPr>
                <w:p w14:paraId="66217CDA"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 xml:space="preserve"> </w:t>
                  </w:r>
                </w:p>
              </w:tc>
              <w:tc>
                <w:tcPr>
                  <w:tcW w:w="2700" w:type="dxa"/>
                  <w:tcBorders>
                    <w:top w:val="single" w:sz="6" w:space="0" w:color="auto"/>
                    <w:left w:val="single" w:sz="6" w:space="0" w:color="auto"/>
                    <w:bottom w:val="single" w:sz="6" w:space="0" w:color="auto"/>
                    <w:right w:val="single" w:sz="6" w:space="0" w:color="auto"/>
                  </w:tcBorders>
                  <w:tcMar>
                    <w:left w:w="29" w:type="dxa"/>
                    <w:right w:w="29" w:type="dxa"/>
                  </w:tcMar>
                  <w:hideMark/>
                </w:tcPr>
                <w:p w14:paraId="2DBFA02C" w14:textId="77777777" w:rsidR="001537B1" w:rsidRPr="005D4222" w:rsidRDefault="001537B1" w:rsidP="001537B1">
                  <w:pPr>
                    <w:pStyle w:val="TableText"/>
                    <w:widowControl w:val="0"/>
                    <w:spacing w:before="50" w:after="50"/>
                    <w:rPr>
                      <w:szCs w:val="21"/>
                    </w:rPr>
                  </w:pPr>
                  <w:r w:rsidRPr="005D4222">
                    <w:rPr>
                      <w:kern w:val="20"/>
                      <w:szCs w:val="21"/>
                    </w:rPr>
                    <w:t xml:space="preserve">TwoOrMoreRaces </w:t>
                  </w:r>
                </w:p>
              </w:tc>
              <w:tc>
                <w:tcPr>
                  <w:tcW w:w="1350" w:type="dxa"/>
                  <w:tcBorders>
                    <w:top w:val="nil"/>
                    <w:left w:val="nil"/>
                    <w:bottom w:val="nil"/>
                    <w:right w:val="nil"/>
                  </w:tcBorders>
                  <w:shd w:val="clear" w:color="auto" w:fill="FFFFFF" w:themeFill="background1"/>
                  <w:tcMar>
                    <w:left w:w="29" w:type="dxa"/>
                    <w:right w:w="29" w:type="dxa"/>
                  </w:tcMar>
                  <w:hideMark/>
                </w:tcPr>
                <w:p w14:paraId="2B707DD2"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 xml:space="preserve"> </w:t>
                  </w:r>
                </w:p>
              </w:tc>
              <w:tc>
                <w:tcPr>
                  <w:tcW w:w="1166" w:type="dxa"/>
                  <w:tcBorders>
                    <w:top w:val="nil"/>
                    <w:left w:val="nil"/>
                    <w:bottom w:val="nil"/>
                    <w:right w:val="nil"/>
                  </w:tcBorders>
                  <w:shd w:val="clear" w:color="auto" w:fill="FFFFFF" w:themeFill="background1"/>
                  <w:tcMar>
                    <w:left w:w="29" w:type="dxa"/>
                    <w:right w:w="29" w:type="dxa"/>
                  </w:tcMar>
                  <w:hideMark/>
                </w:tcPr>
                <w:p w14:paraId="15979FDB"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 xml:space="preserve"> </w:t>
                  </w:r>
                </w:p>
              </w:tc>
            </w:tr>
            <w:tr w:rsidR="001537B1" w:rsidRPr="005D4222" w14:paraId="159F3687" w14:textId="77777777" w:rsidTr="00A53E8C">
              <w:tc>
                <w:tcPr>
                  <w:tcW w:w="2153" w:type="dxa"/>
                  <w:tcBorders>
                    <w:top w:val="nil"/>
                    <w:left w:val="nil"/>
                    <w:bottom w:val="nil"/>
                    <w:right w:val="single" w:sz="6" w:space="0" w:color="auto"/>
                  </w:tcBorders>
                  <w:shd w:val="clear" w:color="auto" w:fill="FFFFFF" w:themeFill="background1"/>
                  <w:tcMar>
                    <w:left w:w="29" w:type="dxa"/>
                    <w:right w:w="29" w:type="dxa"/>
                  </w:tcMar>
                  <w:hideMark/>
                </w:tcPr>
                <w:p w14:paraId="459E4695"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 xml:space="preserve"> </w:t>
                  </w:r>
                </w:p>
              </w:tc>
              <w:tc>
                <w:tcPr>
                  <w:tcW w:w="2700" w:type="dxa"/>
                  <w:tcBorders>
                    <w:top w:val="single" w:sz="6" w:space="0" w:color="auto"/>
                    <w:left w:val="single" w:sz="6" w:space="0" w:color="auto"/>
                    <w:bottom w:val="single" w:sz="6" w:space="0" w:color="auto"/>
                    <w:right w:val="single" w:sz="6" w:space="0" w:color="auto"/>
                  </w:tcBorders>
                  <w:shd w:val="clear" w:color="auto" w:fill="FFFFFF" w:themeFill="background1"/>
                  <w:tcMar>
                    <w:left w:w="29" w:type="dxa"/>
                    <w:right w:w="29" w:type="dxa"/>
                  </w:tcMar>
                  <w:hideMark/>
                </w:tcPr>
                <w:p w14:paraId="6406A183" w14:textId="77777777" w:rsidR="001537B1" w:rsidRPr="005D4222" w:rsidRDefault="001537B1" w:rsidP="001537B1">
                  <w:pPr>
                    <w:pStyle w:val="TableText"/>
                    <w:widowControl w:val="0"/>
                    <w:spacing w:before="50" w:after="50"/>
                    <w:rPr>
                      <w:szCs w:val="21"/>
                    </w:rPr>
                  </w:pPr>
                  <w:r w:rsidRPr="005D4222">
                    <w:rPr>
                      <w:kern w:val="20"/>
                      <w:szCs w:val="21"/>
                    </w:rPr>
                    <w:t>AskedButNoAnswer</w:t>
                  </w:r>
                </w:p>
              </w:tc>
              <w:tc>
                <w:tcPr>
                  <w:tcW w:w="1350" w:type="dxa"/>
                  <w:tcBorders>
                    <w:top w:val="nil"/>
                    <w:left w:val="nil"/>
                    <w:bottom w:val="nil"/>
                    <w:right w:val="nil"/>
                  </w:tcBorders>
                  <w:shd w:val="clear" w:color="auto" w:fill="FFFFFF" w:themeFill="background1"/>
                  <w:tcMar>
                    <w:left w:w="29" w:type="dxa"/>
                    <w:right w:w="29" w:type="dxa"/>
                  </w:tcMar>
                  <w:hideMark/>
                </w:tcPr>
                <w:p w14:paraId="6D6F0131"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 xml:space="preserve"> </w:t>
                  </w:r>
                </w:p>
              </w:tc>
              <w:tc>
                <w:tcPr>
                  <w:tcW w:w="1166" w:type="dxa"/>
                  <w:tcBorders>
                    <w:top w:val="nil"/>
                    <w:left w:val="nil"/>
                    <w:bottom w:val="nil"/>
                    <w:right w:val="nil"/>
                  </w:tcBorders>
                  <w:shd w:val="clear" w:color="auto" w:fill="FFFFFF" w:themeFill="background1"/>
                  <w:tcMar>
                    <w:left w:w="29" w:type="dxa"/>
                    <w:right w:w="29" w:type="dxa"/>
                  </w:tcMar>
                  <w:hideMark/>
                </w:tcPr>
                <w:p w14:paraId="568DB680" w14:textId="77777777" w:rsidR="001537B1" w:rsidRPr="005D4222" w:rsidRDefault="001537B1" w:rsidP="001537B1">
                  <w:pPr>
                    <w:pStyle w:val="TableText"/>
                    <w:widowControl w:val="0"/>
                    <w:spacing w:before="50" w:after="50"/>
                    <w:rPr>
                      <w:rFonts w:ascii="Times New Roman" w:hAnsi="Times New Roman"/>
                      <w:kern w:val="20"/>
                      <w:szCs w:val="21"/>
                    </w:rPr>
                  </w:pPr>
                  <w:r w:rsidRPr="005D4222">
                    <w:rPr>
                      <w:kern w:val="20"/>
                      <w:szCs w:val="21"/>
                    </w:rPr>
                    <w:t xml:space="preserve"> </w:t>
                  </w:r>
                </w:p>
              </w:tc>
            </w:tr>
            <w:tr w:rsidR="001537B1" w:rsidRPr="005D4222" w14:paraId="7E44CB56" w14:textId="77777777" w:rsidTr="00A53E8C">
              <w:tc>
                <w:tcPr>
                  <w:tcW w:w="2153" w:type="dxa"/>
                  <w:tcBorders>
                    <w:top w:val="nil"/>
                    <w:left w:val="nil"/>
                    <w:bottom w:val="nil"/>
                    <w:right w:val="single" w:sz="6" w:space="0" w:color="auto"/>
                  </w:tcBorders>
                  <w:shd w:val="clear" w:color="auto" w:fill="FFFFFF" w:themeFill="background1"/>
                  <w:tcMar>
                    <w:left w:w="29" w:type="dxa"/>
                    <w:right w:w="29" w:type="dxa"/>
                  </w:tcMar>
                </w:tcPr>
                <w:p w14:paraId="17FB8D58" w14:textId="77777777" w:rsidR="001537B1" w:rsidRPr="005D4222" w:rsidRDefault="001537B1" w:rsidP="001537B1">
                  <w:pPr>
                    <w:pStyle w:val="TableText"/>
                    <w:widowControl w:val="0"/>
                    <w:spacing w:before="50" w:after="50"/>
                    <w:rPr>
                      <w:kern w:val="20"/>
                      <w:szCs w:val="21"/>
                    </w:rPr>
                  </w:pPr>
                </w:p>
              </w:tc>
              <w:tc>
                <w:tcPr>
                  <w:tcW w:w="2700" w:type="dxa"/>
                  <w:tcBorders>
                    <w:top w:val="single" w:sz="6" w:space="0" w:color="auto"/>
                    <w:left w:val="single" w:sz="6" w:space="0" w:color="auto"/>
                    <w:bottom w:val="single" w:sz="6" w:space="0" w:color="auto"/>
                    <w:right w:val="single" w:sz="6" w:space="0" w:color="auto"/>
                  </w:tcBorders>
                  <w:shd w:val="clear" w:color="auto" w:fill="FFFFFF" w:themeFill="background1"/>
                  <w:tcMar>
                    <w:left w:w="29" w:type="dxa"/>
                    <w:right w:w="29" w:type="dxa"/>
                  </w:tcMar>
                </w:tcPr>
                <w:p w14:paraId="286A3A91" w14:textId="77777777" w:rsidR="001537B1" w:rsidRPr="005D4222" w:rsidRDefault="001537B1" w:rsidP="001537B1">
                  <w:pPr>
                    <w:pStyle w:val="TableText"/>
                    <w:widowControl w:val="0"/>
                    <w:spacing w:before="50" w:after="50"/>
                    <w:rPr>
                      <w:kern w:val="20"/>
                      <w:szCs w:val="21"/>
                    </w:rPr>
                  </w:pPr>
                  <w:r w:rsidRPr="005D4222">
                    <w:rPr>
                      <w:kern w:val="20"/>
                      <w:szCs w:val="21"/>
                    </w:rPr>
                    <w:t>Unknown</w:t>
                  </w:r>
                </w:p>
              </w:tc>
              <w:tc>
                <w:tcPr>
                  <w:tcW w:w="1350" w:type="dxa"/>
                  <w:tcBorders>
                    <w:top w:val="nil"/>
                    <w:left w:val="nil"/>
                    <w:bottom w:val="nil"/>
                    <w:right w:val="nil"/>
                  </w:tcBorders>
                  <w:shd w:val="clear" w:color="auto" w:fill="FFFFFF" w:themeFill="background1"/>
                  <w:tcMar>
                    <w:left w:w="29" w:type="dxa"/>
                    <w:right w:w="29" w:type="dxa"/>
                  </w:tcMar>
                </w:tcPr>
                <w:p w14:paraId="0E559F1A" w14:textId="77777777" w:rsidR="001537B1" w:rsidRPr="005D4222" w:rsidRDefault="001537B1" w:rsidP="001537B1">
                  <w:pPr>
                    <w:pStyle w:val="TableText"/>
                    <w:widowControl w:val="0"/>
                    <w:spacing w:before="50" w:after="50"/>
                    <w:rPr>
                      <w:kern w:val="20"/>
                      <w:szCs w:val="21"/>
                    </w:rPr>
                  </w:pPr>
                </w:p>
              </w:tc>
              <w:tc>
                <w:tcPr>
                  <w:tcW w:w="1166" w:type="dxa"/>
                  <w:tcBorders>
                    <w:top w:val="nil"/>
                    <w:left w:val="nil"/>
                    <w:bottom w:val="nil"/>
                    <w:right w:val="nil"/>
                  </w:tcBorders>
                  <w:shd w:val="clear" w:color="auto" w:fill="FFFFFF" w:themeFill="background1"/>
                  <w:tcMar>
                    <w:left w:w="29" w:type="dxa"/>
                    <w:right w:w="29" w:type="dxa"/>
                  </w:tcMar>
                </w:tcPr>
                <w:p w14:paraId="05C5546F" w14:textId="77777777" w:rsidR="001537B1" w:rsidRPr="005D4222" w:rsidRDefault="001537B1" w:rsidP="001537B1">
                  <w:pPr>
                    <w:pStyle w:val="TableText"/>
                    <w:widowControl w:val="0"/>
                    <w:spacing w:before="50" w:after="50"/>
                    <w:rPr>
                      <w:kern w:val="20"/>
                      <w:szCs w:val="21"/>
                    </w:rPr>
                  </w:pPr>
                </w:p>
              </w:tc>
            </w:tr>
          </w:tbl>
          <w:p w14:paraId="3039981B" w14:textId="77777777" w:rsidR="001537B1" w:rsidRPr="005D4222" w:rsidRDefault="001537B1" w:rsidP="00A53E8C">
            <w:pPr>
              <w:pStyle w:val="TableText"/>
              <w:widowControl w:val="0"/>
              <w:spacing w:before="40"/>
              <w:rPr>
                <w:rFonts w:ascii="Arial" w:hAnsi="Arial"/>
              </w:rPr>
            </w:pPr>
          </w:p>
        </w:tc>
      </w:tr>
      <w:tr w:rsidR="001537B1" w:rsidRPr="005D4222" w14:paraId="527CCEA5" w14:textId="77777777" w:rsidTr="00770B8B">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B1F0D57" w14:textId="77777777" w:rsidR="001537B1" w:rsidRPr="005D4222" w:rsidRDefault="001537B1"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796030C" w14:textId="0C1D050F" w:rsidR="001537B1" w:rsidRPr="005D4222" w:rsidRDefault="001537B1" w:rsidP="00A53E8C">
            <w:pPr>
              <w:pStyle w:val="Heading3"/>
              <w:keepNext w:val="0"/>
              <w:widowControl w:val="0"/>
              <w:spacing w:before="120"/>
              <w:rPr>
                <w:kern w:val="20"/>
              </w:rPr>
            </w:pPr>
            <w:r w:rsidRPr="005D4222">
              <w:rPr>
                <w:kern w:val="20"/>
              </w:rPr>
              <w:t xml:space="preserve">Table CCS-E-C-1/2: Data Elements for Cervical Cancer Screening: </w:t>
            </w:r>
            <w:r w:rsidR="00B51CDC" w:rsidRPr="005D4222">
              <w:rPr>
                <w:kern w:val="20"/>
              </w:rPr>
              <w:t>Stratifications</w:t>
            </w:r>
            <w:r w:rsidRPr="005D4222">
              <w:rPr>
                <w:kern w:val="20"/>
              </w:rPr>
              <w:t xml:space="preserve"> by Ethnicity</w:t>
            </w:r>
          </w:p>
          <w:tbl>
            <w:tblPr>
              <w:tblW w:w="5000" w:type="pct"/>
              <w:tblBorders>
                <w:top w:val="outset" w:sz="6" w:space="0" w:color="auto"/>
                <w:left w:val="outset" w:sz="6" w:space="0" w:color="auto"/>
                <w:bottom w:val="outset" w:sz="6" w:space="0" w:color="auto"/>
                <w:right w:val="outset" w:sz="6" w:space="0" w:color="auto"/>
              </w:tblBorders>
              <w:tblLayout w:type="fixed"/>
              <w:tblCellMar>
                <w:left w:w="72" w:type="dxa"/>
                <w:right w:w="72" w:type="dxa"/>
              </w:tblCellMar>
              <w:tblLook w:val="04A0" w:firstRow="1" w:lastRow="0" w:firstColumn="1" w:lastColumn="0" w:noHBand="0" w:noVBand="1"/>
            </w:tblPr>
            <w:tblGrid>
              <w:gridCol w:w="2153"/>
              <w:gridCol w:w="1800"/>
              <w:gridCol w:w="1440"/>
              <w:gridCol w:w="1976"/>
            </w:tblGrid>
            <w:tr w:rsidR="001537B1" w:rsidRPr="005D4222" w14:paraId="68FD0287" w14:textId="77777777" w:rsidTr="00A53E8C">
              <w:tc>
                <w:tcPr>
                  <w:tcW w:w="2153" w:type="dxa"/>
                  <w:tcBorders>
                    <w:top w:val="single" w:sz="6" w:space="0" w:color="auto"/>
                    <w:left w:val="single" w:sz="6" w:space="0" w:color="auto"/>
                    <w:bottom w:val="single" w:sz="6" w:space="0" w:color="auto"/>
                    <w:right w:val="single" w:sz="4" w:space="0" w:color="FFFFFF" w:themeColor="background1"/>
                  </w:tcBorders>
                  <w:shd w:val="clear" w:color="auto" w:fill="000000" w:themeFill="text1"/>
                  <w:tcMar>
                    <w:left w:w="72" w:type="dxa"/>
                    <w:right w:w="72" w:type="dxa"/>
                  </w:tcMar>
                  <w:vAlign w:val="bottom"/>
                  <w:hideMark/>
                </w:tcPr>
                <w:p w14:paraId="30FFD6D3" w14:textId="77777777" w:rsidR="001537B1" w:rsidRPr="005D4222" w:rsidRDefault="001537B1" w:rsidP="00A53E8C">
                  <w:pPr>
                    <w:pStyle w:val="TableHead"/>
                    <w:widowControl w:val="0"/>
                    <w:spacing w:before="80" w:after="80"/>
                    <w:rPr>
                      <w:rFonts w:ascii="Times New Roman" w:hAnsi="Times New Roman"/>
                      <w:kern w:val="20"/>
                      <w:sz w:val="24"/>
                      <w:szCs w:val="24"/>
                    </w:rPr>
                  </w:pPr>
                  <w:r w:rsidRPr="005D4222">
                    <w:rPr>
                      <w:kern w:val="20"/>
                    </w:rPr>
                    <w:t>Metric</w:t>
                  </w:r>
                </w:p>
              </w:tc>
              <w:tc>
                <w:tcPr>
                  <w:tcW w:w="1800" w:type="dxa"/>
                  <w:tcBorders>
                    <w:top w:val="single" w:sz="6" w:space="0" w:color="auto"/>
                    <w:left w:val="single" w:sz="4" w:space="0" w:color="FFFFFF" w:themeColor="background1"/>
                    <w:bottom w:val="single" w:sz="6" w:space="0" w:color="auto"/>
                    <w:right w:val="single" w:sz="6" w:space="0" w:color="FFFFFF" w:themeColor="background1"/>
                  </w:tcBorders>
                  <w:shd w:val="clear" w:color="auto" w:fill="000000" w:themeFill="text1"/>
                  <w:tcMar>
                    <w:left w:w="72" w:type="dxa"/>
                    <w:right w:w="72" w:type="dxa"/>
                  </w:tcMar>
                  <w:vAlign w:val="bottom"/>
                  <w:hideMark/>
                </w:tcPr>
                <w:p w14:paraId="61E132F8" w14:textId="77777777" w:rsidR="001537B1" w:rsidRPr="005D4222" w:rsidRDefault="001537B1" w:rsidP="00A53E8C">
                  <w:pPr>
                    <w:pStyle w:val="TableHead"/>
                    <w:widowControl w:val="0"/>
                    <w:spacing w:before="80" w:after="80"/>
                    <w:rPr>
                      <w:rFonts w:ascii="Times New Roman" w:hAnsi="Times New Roman"/>
                      <w:kern w:val="20"/>
                      <w:sz w:val="24"/>
                      <w:szCs w:val="24"/>
                    </w:rPr>
                  </w:pPr>
                  <w:r w:rsidRPr="005D4222">
                    <w:rPr>
                      <w:kern w:val="20"/>
                    </w:rPr>
                    <w:t>Ethnicity</w:t>
                  </w:r>
                </w:p>
              </w:tc>
              <w:tc>
                <w:tcPr>
                  <w:tcW w:w="1440" w:type="dxa"/>
                  <w:tcBorders>
                    <w:top w:val="single" w:sz="6" w:space="0" w:color="auto"/>
                    <w:left w:val="single" w:sz="6" w:space="0" w:color="FFFFFF" w:themeColor="background1"/>
                    <w:bottom w:val="single" w:sz="6" w:space="0" w:color="auto"/>
                    <w:right w:val="single" w:sz="6" w:space="0" w:color="FFFFFF" w:themeColor="background1"/>
                  </w:tcBorders>
                  <w:shd w:val="clear" w:color="auto" w:fill="000000" w:themeFill="text1"/>
                  <w:tcMar>
                    <w:left w:w="72" w:type="dxa"/>
                    <w:right w:w="72" w:type="dxa"/>
                  </w:tcMar>
                  <w:vAlign w:val="bottom"/>
                  <w:hideMark/>
                </w:tcPr>
                <w:p w14:paraId="176D3787" w14:textId="77777777" w:rsidR="001537B1" w:rsidRPr="005D4222" w:rsidRDefault="001537B1" w:rsidP="00A53E8C">
                  <w:pPr>
                    <w:pStyle w:val="TableHead"/>
                    <w:widowControl w:val="0"/>
                    <w:spacing w:before="80" w:after="80"/>
                    <w:rPr>
                      <w:rFonts w:ascii="Times New Roman" w:hAnsi="Times New Roman"/>
                      <w:kern w:val="20"/>
                      <w:sz w:val="24"/>
                      <w:szCs w:val="24"/>
                    </w:rPr>
                  </w:pPr>
                  <w:r w:rsidRPr="005D4222">
                    <w:rPr>
                      <w:kern w:val="20"/>
                    </w:rPr>
                    <w:t>Data Element</w:t>
                  </w:r>
                </w:p>
              </w:tc>
              <w:tc>
                <w:tcPr>
                  <w:tcW w:w="1976" w:type="dxa"/>
                  <w:tcBorders>
                    <w:top w:val="single" w:sz="6" w:space="0" w:color="auto"/>
                    <w:left w:val="single" w:sz="6" w:space="0" w:color="FFFFFF" w:themeColor="background1"/>
                    <w:bottom w:val="single" w:sz="6" w:space="0" w:color="auto"/>
                    <w:right w:val="single" w:sz="6" w:space="0" w:color="auto"/>
                  </w:tcBorders>
                  <w:shd w:val="clear" w:color="auto" w:fill="000000" w:themeFill="text1"/>
                  <w:tcMar>
                    <w:left w:w="72" w:type="dxa"/>
                    <w:right w:w="72" w:type="dxa"/>
                  </w:tcMar>
                  <w:vAlign w:val="bottom"/>
                  <w:hideMark/>
                </w:tcPr>
                <w:p w14:paraId="53F7EAF1" w14:textId="77777777" w:rsidR="001537B1" w:rsidRPr="005D4222" w:rsidRDefault="001537B1" w:rsidP="00A53E8C">
                  <w:pPr>
                    <w:pStyle w:val="TableHead"/>
                    <w:widowControl w:val="0"/>
                    <w:spacing w:before="80" w:after="80"/>
                    <w:rPr>
                      <w:rFonts w:ascii="Times New Roman" w:hAnsi="Times New Roman"/>
                      <w:kern w:val="20"/>
                      <w:sz w:val="24"/>
                      <w:szCs w:val="24"/>
                    </w:rPr>
                  </w:pPr>
                  <w:r w:rsidRPr="005D4222">
                    <w:rPr>
                      <w:kern w:val="20"/>
                    </w:rPr>
                    <w:t>Reporting Instructions</w:t>
                  </w:r>
                </w:p>
              </w:tc>
            </w:tr>
            <w:tr w:rsidR="001537B1" w:rsidRPr="005D4222" w14:paraId="3D68292B" w14:textId="77777777" w:rsidTr="00A53E8C">
              <w:tc>
                <w:tcPr>
                  <w:tcW w:w="2153" w:type="dxa"/>
                  <w:tcBorders>
                    <w:top w:val="single" w:sz="6" w:space="0" w:color="auto"/>
                    <w:left w:val="single" w:sz="6" w:space="0" w:color="auto"/>
                    <w:bottom w:val="single" w:sz="6" w:space="0" w:color="auto"/>
                    <w:right w:val="single" w:sz="6" w:space="0" w:color="auto"/>
                  </w:tcBorders>
                  <w:shd w:val="clear" w:color="auto" w:fill="FFFFFF" w:themeFill="background1"/>
                  <w:tcMar>
                    <w:left w:w="72" w:type="dxa"/>
                    <w:right w:w="72" w:type="dxa"/>
                  </w:tcMar>
                  <w:hideMark/>
                </w:tcPr>
                <w:p w14:paraId="4D56F339" w14:textId="77777777" w:rsidR="001537B1" w:rsidRPr="005D4222" w:rsidRDefault="001537B1" w:rsidP="00A53E8C">
                  <w:pPr>
                    <w:widowControl w:val="0"/>
                    <w:spacing w:before="80" w:after="80"/>
                    <w:textAlignment w:val="baseline"/>
                    <w:rPr>
                      <w:rFonts w:ascii="Times New Roman" w:hAnsi="Times New Roman"/>
                      <w:kern w:val="20"/>
                      <w:sz w:val="24"/>
                      <w:szCs w:val="24"/>
                    </w:rPr>
                  </w:pPr>
                  <w:r w:rsidRPr="005D4222">
                    <w:rPr>
                      <w:rFonts w:ascii="Arial Narrow" w:hAnsi="Arial Narrow"/>
                      <w:kern w:val="20"/>
                    </w:rPr>
                    <w:t xml:space="preserve">CervicalCancerScreening </w:t>
                  </w:r>
                </w:p>
              </w:tc>
              <w:tc>
                <w:tcPr>
                  <w:tcW w:w="1800" w:type="dxa"/>
                  <w:tcBorders>
                    <w:top w:val="single" w:sz="6" w:space="0" w:color="auto"/>
                    <w:left w:val="single" w:sz="6" w:space="0" w:color="auto"/>
                    <w:bottom w:val="single" w:sz="6" w:space="0" w:color="auto"/>
                    <w:right w:val="single" w:sz="6" w:space="0" w:color="auto"/>
                  </w:tcBorders>
                  <w:shd w:val="clear" w:color="auto" w:fill="FFFFFF" w:themeFill="background1"/>
                  <w:tcMar>
                    <w:left w:w="72" w:type="dxa"/>
                    <w:right w:w="72" w:type="dxa"/>
                  </w:tcMar>
                  <w:hideMark/>
                </w:tcPr>
                <w:p w14:paraId="1BBDA70E" w14:textId="77777777" w:rsidR="001537B1" w:rsidRPr="005D4222" w:rsidRDefault="001537B1" w:rsidP="00A53E8C">
                  <w:pPr>
                    <w:widowControl w:val="0"/>
                    <w:spacing w:before="80" w:after="80"/>
                    <w:textAlignment w:val="baseline"/>
                    <w:rPr>
                      <w:rFonts w:ascii="Times New Roman" w:hAnsi="Times New Roman"/>
                      <w:kern w:val="20"/>
                      <w:sz w:val="24"/>
                      <w:szCs w:val="24"/>
                    </w:rPr>
                  </w:pPr>
                  <w:r w:rsidRPr="005D4222">
                    <w:rPr>
                      <w:rFonts w:ascii="Arial Narrow" w:hAnsi="Arial Narrow"/>
                      <w:kern w:val="20"/>
                    </w:rPr>
                    <w:t xml:space="preserve">HispanicOrLatino </w:t>
                  </w:r>
                </w:p>
              </w:tc>
              <w:tc>
                <w:tcPr>
                  <w:tcW w:w="1440" w:type="dxa"/>
                  <w:tcBorders>
                    <w:top w:val="nil"/>
                    <w:left w:val="single" w:sz="6" w:space="0" w:color="auto"/>
                    <w:bottom w:val="single" w:sz="6" w:space="0" w:color="auto"/>
                    <w:right w:val="single" w:sz="6" w:space="0" w:color="auto"/>
                  </w:tcBorders>
                  <w:shd w:val="clear" w:color="auto" w:fill="FFFFFF" w:themeFill="background1"/>
                  <w:tcMar>
                    <w:left w:w="72" w:type="dxa"/>
                    <w:right w:w="72" w:type="dxa"/>
                  </w:tcMar>
                </w:tcPr>
                <w:p w14:paraId="55BE734A" w14:textId="77777777" w:rsidR="001537B1" w:rsidRPr="005D4222" w:rsidRDefault="001537B1" w:rsidP="00A53E8C">
                  <w:pPr>
                    <w:widowControl w:val="0"/>
                    <w:spacing w:before="80" w:after="80"/>
                    <w:textAlignment w:val="baseline"/>
                    <w:rPr>
                      <w:rFonts w:ascii="Arial Narrow" w:hAnsi="Arial Narrow"/>
                      <w:kern w:val="20"/>
                      <w:sz w:val="24"/>
                      <w:szCs w:val="24"/>
                    </w:rPr>
                  </w:pPr>
                  <w:r w:rsidRPr="005D4222">
                    <w:rPr>
                      <w:rFonts w:ascii="Arial Narrow" w:hAnsi="Arial Narrow"/>
                      <w:kern w:val="20"/>
                    </w:rPr>
                    <w:t>InitialPopulation</w:t>
                  </w:r>
                </w:p>
              </w:tc>
              <w:tc>
                <w:tcPr>
                  <w:tcW w:w="1976" w:type="dxa"/>
                  <w:tcBorders>
                    <w:top w:val="nil"/>
                    <w:left w:val="single" w:sz="6" w:space="0" w:color="auto"/>
                    <w:bottom w:val="single" w:sz="6" w:space="0" w:color="auto"/>
                    <w:right w:val="single" w:sz="6" w:space="0" w:color="auto"/>
                  </w:tcBorders>
                  <w:shd w:val="clear" w:color="auto" w:fill="FFFFFF" w:themeFill="background1"/>
                  <w:tcMar>
                    <w:left w:w="72" w:type="dxa"/>
                    <w:right w:w="72" w:type="dxa"/>
                  </w:tcMar>
                </w:tcPr>
                <w:p w14:paraId="0659C85C" w14:textId="77777777" w:rsidR="001537B1" w:rsidRPr="005D4222" w:rsidRDefault="001537B1" w:rsidP="00A53E8C">
                  <w:pPr>
                    <w:widowControl w:val="0"/>
                    <w:spacing w:before="80" w:after="80"/>
                    <w:textAlignment w:val="baseline"/>
                    <w:rPr>
                      <w:rFonts w:ascii="Arial Narrow" w:hAnsi="Arial Narrow"/>
                      <w:kern w:val="20"/>
                      <w:sz w:val="24"/>
                      <w:szCs w:val="24"/>
                    </w:rPr>
                  </w:pPr>
                  <w:r w:rsidRPr="005D4222">
                    <w:rPr>
                      <w:rFonts w:ascii="Arial Narrow" w:hAnsi="Arial Narrow"/>
                      <w:kern w:val="20"/>
                    </w:rPr>
                    <w:t>For each Stratification</w:t>
                  </w:r>
                </w:p>
              </w:tc>
            </w:tr>
            <w:tr w:rsidR="001537B1" w:rsidRPr="005D4222" w14:paraId="4AF8029B" w14:textId="77777777" w:rsidTr="00A53E8C">
              <w:tc>
                <w:tcPr>
                  <w:tcW w:w="2153" w:type="dxa"/>
                  <w:tcBorders>
                    <w:top w:val="single" w:sz="6" w:space="0" w:color="auto"/>
                    <w:left w:val="nil"/>
                    <w:bottom w:val="nil"/>
                    <w:right w:val="single" w:sz="6" w:space="0" w:color="auto"/>
                  </w:tcBorders>
                  <w:shd w:val="clear" w:color="auto" w:fill="FFFFFF" w:themeFill="background1"/>
                  <w:tcMar>
                    <w:left w:w="72" w:type="dxa"/>
                    <w:right w:w="72" w:type="dxa"/>
                  </w:tcMar>
                  <w:hideMark/>
                </w:tcPr>
                <w:p w14:paraId="600035DA" w14:textId="77777777" w:rsidR="001537B1" w:rsidRPr="005D4222" w:rsidRDefault="001537B1" w:rsidP="00A53E8C">
                  <w:pPr>
                    <w:widowControl w:val="0"/>
                    <w:spacing w:before="80" w:after="80"/>
                    <w:textAlignment w:val="baseline"/>
                    <w:rPr>
                      <w:rFonts w:ascii="Times New Roman" w:hAnsi="Times New Roman"/>
                      <w:kern w:val="20"/>
                      <w:sz w:val="24"/>
                      <w:szCs w:val="24"/>
                    </w:rPr>
                  </w:pPr>
                  <w:r w:rsidRPr="005D4222">
                    <w:rPr>
                      <w:rFonts w:ascii="Arial Narrow" w:hAnsi="Arial Narrow"/>
                      <w:kern w:val="20"/>
                    </w:rPr>
                    <w:t xml:space="preserve"> </w:t>
                  </w:r>
                </w:p>
              </w:tc>
              <w:tc>
                <w:tcPr>
                  <w:tcW w:w="1800" w:type="dxa"/>
                  <w:tcBorders>
                    <w:top w:val="single" w:sz="6" w:space="0" w:color="auto"/>
                    <w:left w:val="single" w:sz="6" w:space="0" w:color="auto"/>
                    <w:bottom w:val="single" w:sz="6" w:space="0" w:color="auto"/>
                    <w:right w:val="single" w:sz="6" w:space="0" w:color="auto"/>
                  </w:tcBorders>
                  <w:shd w:val="clear" w:color="auto" w:fill="FFFFFF" w:themeFill="background1"/>
                  <w:tcMar>
                    <w:left w:w="72" w:type="dxa"/>
                    <w:right w:w="72" w:type="dxa"/>
                  </w:tcMar>
                  <w:hideMark/>
                </w:tcPr>
                <w:p w14:paraId="031EE73B" w14:textId="77777777" w:rsidR="001537B1" w:rsidRPr="005D4222" w:rsidRDefault="001537B1" w:rsidP="00A53E8C">
                  <w:pPr>
                    <w:widowControl w:val="0"/>
                    <w:spacing w:before="80" w:after="80"/>
                    <w:textAlignment w:val="baseline"/>
                    <w:rPr>
                      <w:rFonts w:ascii="Times New Roman" w:hAnsi="Times New Roman"/>
                      <w:kern w:val="20"/>
                      <w:sz w:val="24"/>
                      <w:szCs w:val="24"/>
                    </w:rPr>
                  </w:pPr>
                  <w:r w:rsidRPr="005D4222">
                    <w:rPr>
                      <w:rFonts w:ascii="Arial Narrow" w:hAnsi="Arial Narrow"/>
                      <w:kern w:val="20"/>
                    </w:rPr>
                    <w:t xml:space="preserve">NotHispanicOrLatino </w:t>
                  </w:r>
                </w:p>
              </w:tc>
              <w:tc>
                <w:tcPr>
                  <w:tcW w:w="1440" w:type="dxa"/>
                  <w:tcBorders>
                    <w:top w:val="nil"/>
                    <w:left w:val="single" w:sz="6" w:space="0" w:color="auto"/>
                    <w:bottom w:val="single" w:sz="6" w:space="0" w:color="auto"/>
                    <w:right w:val="single" w:sz="6" w:space="0" w:color="auto"/>
                  </w:tcBorders>
                  <w:shd w:val="clear" w:color="auto" w:fill="FFFFFF" w:themeFill="background1"/>
                  <w:tcMar>
                    <w:left w:w="72" w:type="dxa"/>
                    <w:right w:w="72" w:type="dxa"/>
                  </w:tcMar>
                </w:tcPr>
                <w:p w14:paraId="53997FA6" w14:textId="77777777" w:rsidR="001537B1" w:rsidRPr="005D4222" w:rsidRDefault="001537B1" w:rsidP="00A53E8C">
                  <w:pPr>
                    <w:widowControl w:val="0"/>
                    <w:spacing w:before="80" w:after="80"/>
                    <w:textAlignment w:val="baseline"/>
                    <w:rPr>
                      <w:rFonts w:ascii="Arial Narrow" w:hAnsi="Arial Narrow"/>
                      <w:kern w:val="20"/>
                      <w:sz w:val="24"/>
                      <w:szCs w:val="24"/>
                    </w:rPr>
                  </w:pPr>
                  <w:r w:rsidRPr="005D4222">
                    <w:rPr>
                      <w:rFonts w:ascii="Arial Narrow" w:hAnsi="Arial Narrow"/>
                      <w:kern w:val="20"/>
                    </w:rPr>
                    <w:t>Exclusions</w:t>
                  </w:r>
                </w:p>
              </w:tc>
              <w:tc>
                <w:tcPr>
                  <w:tcW w:w="1976" w:type="dxa"/>
                  <w:tcBorders>
                    <w:top w:val="nil"/>
                    <w:left w:val="single" w:sz="6" w:space="0" w:color="auto"/>
                    <w:bottom w:val="single" w:sz="6" w:space="0" w:color="auto"/>
                    <w:right w:val="single" w:sz="6" w:space="0" w:color="auto"/>
                  </w:tcBorders>
                  <w:shd w:val="clear" w:color="auto" w:fill="FFFFFF" w:themeFill="background1"/>
                  <w:tcMar>
                    <w:left w:w="72" w:type="dxa"/>
                    <w:right w:w="72" w:type="dxa"/>
                  </w:tcMar>
                </w:tcPr>
                <w:p w14:paraId="42C2EC82" w14:textId="77777777" w:rsidR="001537B1" w:rsidRPr="005D4222" w:rsidRDefault="001537B1" w:rsidP="00A53E8C">
                  <w:pPr>
                    <w:widowControl w:val="0"/>
                    <w:spacing w:before="80" w:after="80"/>
                    <w:textAlignment w:val="baseline"/>
                    <w:rPr>
                      <w:rFonts w:ascii="Arial Narrow" w:hAnsi="Arial Narrow"/>
                      <w:kern w:val="20"/>
                      <w:sz w:val="24"/>
                      <w:szCs w:val="24"/>
                    </w:rPr>
                  </w:pPr>
                  <w:r w:rsidRPr="005D4222">
                    <w:rPr>
                      <w:rFonts w:ascii="Arial Narrow" w:hAnsi="Arial Narrow"/>
                      <w:kern w:val="20"/>
                    </w:rPr>
                    <w:t>For each Stratification</w:t>
                  </w:r>
                </w:p>
              </w:tc>
            </w:tr>
            <w:tr w:rsidR="001537B1" w:rsidRPr="005D4222" w14:paraId="4701CCF3" w14:textId="77777777" w:rsidTr="00A53E8C">
              <w:tc>
                <w:tcPr>
                  <w:tcW w:w="2153" w:type="dxa"/>
                  <w:tcBorders>
                    <w:top w:val="nil"/>
                    <w:left w:val="nil"/>
                    <w:bottom w:val="nil"/>
                    <w:right w:val="single" w:sz="6" w:space="0" w:color="auto"/>
                  </w:tcBorders>
                  <w:shd w:val="clear" w:color="auto" w:fill="FFFFFF" w:themeFill="background1"/>
                  <w:tcMar>
                    <w:left w:w="72" w:type="dxa"/>
                    <w:right w:w="72" w:type="dxa"/>
                  </w:tcMar>
                  <w:hideMark/>
                </w:tcPr>
                <w:p w14:paraId="2788C3CF" w14:textId="77777777" w:rsidR="001537B1" w:rsidRPr="005D4222" w:rsidRDefault="001537B1" w:rsidP="00A53E8C">
                  <w:pPr>
                    <w:widowControl w:val="0"/>
                    <w:spacing w:before="80" w:after="80"/>
                    <w:textAlignment w:val="baseline"/>
                    <w:rPr>
                      <w:rFonts w:ascii="Times New Roman" w:hAnsi="Times New Roman"/>
                      <w:kern w:val="20"/>
                      <w:sz w:val="24"/>
                      <w:szCs w:val="24"/>
                    </w:rPr>
                  </w:pPr>
                  <w:r w:rsidRPr="005D4222">
                    <w:rPr>
                      <w:rFonts w:ascii="Arial Narrow" w:hAnsi="Arial Narrow"/>
                      <w:kern w:val="20"/>
                    </w:rPr>
                    <w:t xml:space="preserve"> </w:t>
                  </w:r>
                </w:p>
              </w:tc>
              <w:tc>
                <w:tcPr>
                  <w:tcW w:w="1800" w:type="dxa"/>
                  <w:tcBorders>
                    <w:top w:val="single" w:sz="6" w:space="0" w:color="auto"/>
                    <w:left w:val="single" w:sz="6" w:space="0" w:color="auto"/>
                    <w:bottom w:val="single" w:sz="6" w:space="0" w:color="auto"/>
                    <w:right w:val="single" w:sz="6" w:space="0" w:color="auto"/>
                  </w:tcBorders>
                  <w:shd w:val="clear" w:color="auto" w:fill="FFFFFF" w:themeFill="background1"/>
                  <w:tcMar>
                    <w:left w:w="72" w:type="dxa"/>
                    <w:right w:w="72" w:type="dxa"/>
                  </w:tcMar>
                  <w:hideMark/>
                </w:tcPr>
                <w:p w14:paraId="44CCAB53" w14:textId="77777777" w:rsidR="001537B1" w:rsidRPr="005D4222" w:rsidRDefault="001537B1" w:rsidP="00A53E8C">
                  <w:pPr>
                    <w:widowControl w:val="0"/>
                    <w:spacing w:before="80" w:after="80"/>
                    <w:textAlignment w:val="baseline"/>
                    <w:rPr>
                      <w:rFonts w:ascii="Arial Narrow" w:hAnsi="Arial Narrow"/>
                      <w:kern w:val="20"/>
                    </w:rPr>
                  </w:pPr>
                  <w:r w:rsidRPr="005D4222">
                    <w:rPr>
                      <w:rFonts w:ascii="Arial Narrow" w:hAnsi="Arial Narrow"/>
                      <w:kern w:val="20"/>
                    </w:rPr>
                    <w:t>AskedButNoAnswer</w:t>
                  </w:r>
                </w:p>
              </w:tc>
              <w:tc>
                <w:tcPr>
                  <w:tcW w:w="1440" w:type="dxa"/>
                  <w:tcBorders>
                    <w:top w:val="nil"/>
                    <w:left w:val="single" w:sz="6" w:space="0" w:color="auto"/>
                    <w:bottom w:val="single" w:sz="6" w:space="0" w:color="auto"/>
                    <w:right w:val="single" w:sz="6" w:space="0" w:color="auto"/>
                  </w:tcBorders>
                  <w:shd w:val="clear" w:color="auto" w:fill="FFFFFF" w:themeFill="background1"/>
                  <w:tcMar>
                    <w:left w:w="72" w:type="dxa"/>
                    <w:right w:w="72" w:type="dxa"/>
                  </w:tcMar>
                  <w:hideMark/>
                </w:tcPr>
                <w:p w14:paraId="7AD561CC" w14:textId="53834D5C" w:rsidR="001537B1" w:rsidRPr="005D4222" w:rsidRDefault="001537B1" w:rsidP="00A53E8C">
                  <w:pPr>
                    <w:widowControl w:val="0"/>
                    <w:spacing w:before="80" w:after="80"/>
                    <w:textAlignment w:val="baseline"/>
                    <w:rPr>
                      <w:rFonts w:ascii="Times New Roman" w:hAnsi="Times New Roman"/>
                      <w:kern w:val="20"/>
                      <w:sz w:val="24"/>
                      <w:szCs w:val="24"/>
                    </w:rPr>
                  </w:pPr>
                  <w:r w:rsidRPr="005D4222">
                    <w:rPr>
                      <w:rFonts w:ascii="Arial Narrow" w:hAnsi="Arial Narrow"/>
                      <w:kern w:val="20"/>
                    </w:rPr>
                    <w:t xml:space="preserve">Denominator </w:t>
                  </w:r>
                </w:p>
              </w:tc>
              <w:tc>
                <w:tcPr>
                  <w:tcW w:w="1976" w:type="dxa"/>
                  <w:tcBorders>
                    <w:top w:val="nil"/>
                    <w:left w:val="single" w:sz="6" w:space="0" w:color="auto"/>
                    <w:bottom w:val="single" w:sz="6" w:space="0" w:color="auto"/>
                    <w:right w:val="single" w:sz="6" w:space="0" w:color="auto"/>
                  </w:tcBorders>
                  <w:shd w:val="clear" w:color="auto" w:fill="FFFFFF" w:themeFill="background1"/>
                  <w:tcMar>
                    <w:left w:w="72" w:type="dxa"/>
                    <w:right w:w="72" w:type="dxa"/>
                  </w:tcMar>
                  <w:hideMark/>
                </w:tcPr>
                <w:p w14:paraId="6715B65C" w14:textId="77777777" w:rsidR="001537B1" w:rsidRPr="005D4222" w:rsidRDefault="001537B1" w:rsidP="00A53E8C">
                  <w:pPr>
                    <w:widowControl w:val="0"/>
                    <w:spacing w:before="80" w:after="80"/>
                    <w:textAlignment w:val="baseline"/>
                    <w:rPr>
                      <w:rFonts w:ascii="Times New Roman" w:hAnsi="Times New Roman"/>
                      <w:kern w:val="20"/>
                      <w:sz w:val="24"/>
                      <w:szCs w:val="24"/>
                    </w:rPr>
                  </w:pPr>
                  <w:r w:rsidRPr="005D4222">
                    <w:rPr>
                      <w:rFonts w:ascii="Arial Narrow" w:hAnsi="Arial Narrow"/>
                      <w:kern w:val="20"/>
                    </w:rPr>
                    <w:t xml:space="preserve">For each Stratification </w:t>
                  </w:r>
                </w:p>
              </w:tc>
            </w:tr>
            <w:tr w:rsidR="001537B1" w:rsidRPr="005D4222" w14:paraId="60C3D96F" w14:textId="77777777" w:rsidTr="00A53E8C">
              <w:tc>
                <w:tcPr>
                  <w:tcW w:w="2153" w:type="dxa"/>
                  <w:tcBorders>
                    <w:top w:val="nil"/>
                    <w:left w:val="nil"/>
                    <w:bottom w:val="nil"/>
                    <w:right w:val="single" w:sz="6" w:space="0" w:color="auto"/>
                  </w:tcBorders>
                  <w:shd w:val="clear" w:color="auto" w:fill="FFFFFF" w:themeFill="background1"/>
                  <w:tcMar>
                    <w:left w:w="72" w:type="dxa"/>
                    <w:right w:w="72" w:type="dxa"/>
                  </w:tcMar>
                  <w:hideMark/>
                </w:tcPr>
                <w:p w14:paraId="2B2064D7" w14:textId="77777777" w:rsidR="001537B1" w:rsidRPr="005D4222" w:rsidRDefault="001537B1" w:rsidP="00A53E8C">
                  <w:pPr>
                    <w:widowControl w:val="0"/>
                    <w:spacing w:before="80" w:after="80"/>
                    <w:textAlignment w:val="baseline"/>
                    <w:rPr>
                      <w:rFonts w:ascii="Times New Roman" w:hAnsi="Times New Roman"/>
                      <w:kern w:val="20"/>
                      <w:sz w:val="24"/>
                      <w:szCs w:val="24"/>
                    </w:rPr>
                  </w:pPr>
                  <w:r w:rsidRPr="005D4222">
                    <w:rPr>
                      <w:rFonts w:ascii="Arial Narrow" w:hAnsi="Arial Narrow"/>
                      <w:kern w:val="20"/>
                    </w:rPr>
                    <w:t xml:space="preserve"> </w:t>
                  </w:r>
                </w:p>
              </w:tc>
              <w:tc>
                <w:tcPr>
                  <w:tcW w:w="1800" w:type="dxa"/>
                  <w:tcBorders>
                    <w:top w:val="single" w:sz="6" w:space="0" w:color="auto"/>
                    <w:left w:val="single" w:sz="6" w:space="0" w:color="auto"/>
                    <w:bottom w:val="single" w:sz="4" w:space="0" w:color="auto"/>
                    <w:right w:val="single" w:sz="4" w:space="0" w:color="auto"/>
                  </w:tcBorders>
                  <w:shd w:val="clear" w:color="auto" w:fill="FFFFFF" w:themeFill="background1"/>
                  <w:tcMar>
                    <w:left w:w="72" w:type="dxa"/>
                    <w:right w:w="72" w:type="dxa"/>
                  </w:tcMar>
                  <w:hideMark/>
                </w:tcPr>
                <w:p w14:paraId="14C9486D" w14:textId="77777777" w:rsidR="001537B1" w:rsidRPr="005D4222" w:rsidRDefault="001537B1" w:rsidP="00A53E8C">
                  <w:pPr>
                    <w:widowControl w:val="0"/>
                    <w:spacing w:before="80" w:after="80"/>
                    <w:textAlignment w:val="baseline"/>
                    <w:rPr>
                      <w:rFonts w:ascii="Arial Narrow" w:hAnsi="Arial Narrow"/>
                      <w:kern w:val="20"/>
                    </w:rPr>
                  </w:pPr>
                  <w:r w:rsidRPr="005D4222">
                    <w:rPr>
                      <w:rFonts w:ascii="Arial Narrow" w:hAnsi="Arial Narrow"/>
                      <w:kern w:val="20"/>
                    </w:rPr>
                    <w:t>Unknown</w:t>
                  </w:r>
                </w:p>
              </w:tc>
              <w:tc>
                <w:tcPr>
                  <w:tcW w:w="1440" w:type="dxa"/>
                  <w:tcBorders>
                    <w:top w:val="single" w:sz="6" w:space="0" w:color="auto"/>
                    <w:left w:val="single" w:sz="6" w:space="0" w:color="auto"/>
                    <w:bottom w:val="single" w:sz="6" w:space="0" w:color="auto"/>
                    <w:right w:val="single" w:sz="6" w:space="0" w:color="auto"/>
                  </w:tcBorders>
                  <w:shd w:val="clear" w:color="auto" w:fill="FFFFFF" w:themeFill="background1"/>
                  <w:tcMar>
                    <w:left w:w="72" w:type="dxa"/>
                    <w:right w:w="72" w:type="dxa"/>
                  </w:tcMar>
                </w:tcPr>
                <w:p w14:paraId="08EC398B" w14:textId="77777777" w:rsidR="001537B1" w:rsidRPr="005D4222" w:rsidRDefault="001537B1" w:rsidP="00A53E8C">
                  <w:pPr>
                    <w:widowControl w:val="0"/>
                    <w:spacing w:before="80" w:after="80"/>
                    <w:textAlignment w:val="baseline"/>
                    <w:rPr>
                      <w:rFonts w:ascii="Times New Roman" w:hAnsi="Times New Roman"/>
                      <w:kern w:val="20"/>
                      <w:sz w:val="24"/>
                      <w:szCs w:val="24"/>
                    </w:rPr>
                  </w:pPr>
                  <w:r w:rsidRPr="005D4222">
                    <w:rPr>
                      <w:rFonts w:ascii="Arial Narrow" w:hAnsi="Arial Narrow"/>
                      <w:kern w:val="20"/>
                    </w:rPr>
                    <w:t xml:space="preserve">Numerator </w:t>
                  </w:r>
                </w:p>
              </w:tc>
              <w:tc>
                <w:tcPr>
                  <w:tcW w:w="1976" w:type="dxa"/>
                  <w:tcBorders>
                    <w:top w:val="nil"/>
                    <w:left w:val="single" w:sz="6" w:space="0" w:color="auto"/>
                    <w:bottom w:val="single" w:sz="6" w:space="0" w:color="auto"/>
                    <w:right w:val="single" w:sz="6" w:space="0" w:color="auto"/>
                  </w:tcBorders>
                  <w:shd w:val="clear" w:color="auto" w:fill="FFFFFF" w:themeFill="background1"/>
                  <w:tcMar>
                    <w:left w:w="72" w:type="dxa"/>
                    <w:right w:w="72" w:type="dxa"/>
                  </w:tcMar>
                </w:tcPr>
                <w:p w14:paraId="696848F5" w14:textId="77777777" w:rsidR="001537B1" w:rsidRPr="005D4222" w:rsidRDefault="001537B1" w:rsidP="00A53E8C">
                  <w:pPr>
                    <w:widowControl w:val="0"/>
                    <w:spacing w:before="80" w:after="80"/>
                    <w:textAlignment w:val="baseline"/>
                    <w:rPr>
                      <w:rFonts w:ascii="Times New Roman" w:hAnsi="Times New Roman"/>
                      <w:kern w:val="20"/>
                      <w:sz w:val="24"/>
                      <w:szCs w:val="24"/>
                    </w:rPr>
                  </w:pPr>
                  <w:r w:rsidRPr="005D4222">
                    <w:rPr>
                      <w:rFonts w:ascii="Arial Narrow" w:hAnsi="Arial Narrow"/>
                      <w:kern w:val="20"/>
                    </w:rPr>
                    <w:t xml:space="preserve">For each Stratification </w:t>
                  </w:r>
                </w:p>
              </w:tc>
            </w:tr>
            <w:tr w:rsidR="001537B1" w:rsidRPr="005D4222" w14:paraId="2EE06547" w14:textId="77777777" w:rsidTr="00A53E8C">
              <w:tc>
                <w:tcPr>
                  <w:tcW w:w="2153" w:type="dxa"/>
                  <w:tcBorders>
                    <w:top w:val="nil"/>
                    <w:left w:val="nil"/>
                    <w:bottom w:val="nil"/>
                    <w:right w:val="nil"/>
                  </w:tcBorders>
                  <w:shd w:val="clear" w:color="auto" w:fill="FFFFFF" w:themeFill="background1"/>
                  <w:tcMar>
                    <w:left w:w="72" w:type="dxa"/>
                    <w:right w:w="72" w:type="dxa"/>
                  </w:tcMar>
                  <w:hideMark/>
                </w:tcPr>
                <w:p w14:paraId="54796FE2" w14:textId="77777777" w:rsidR="001537B1" w:rsidRPr="005D4222" w:rsidRDefault="001537B1" w:rsidP="00A53E8C">
                  <w:pPr>
                    <w:widowControl w:val="0"/>
                    <w:spacing w:before="80" w:after="80"/>
                    <w:textAlignment w:val="baseline"/>
                    <w:rPr>
                      <w:rFonts w:ascii="Times New Roman" w:hAnsi="Times New Roman"/>
                      <w:kern w:val="20"/>
                      <w:sz w:val="24"/>
                      <w:szCs w:val="24"/>
                    </w:rPr>
                  </w:pPr>
                  <w:r w:rsidRPr="005D4222">
                    <w:rPr>
                      <w:rFonts w:ascii="Arial Narrow" w:hAnsi="Arial Narrow"/>
                      <w:kern w:val="20"/>
                    </w:rPr>
                    <w:t xml:space="preserve"> </w:t>
                  </w:r>
                </w:p>
              </w:tc>
              <w:tc>
                <w:tcPr>
                  <w:tcW w:w="1800" w:type="dxa"/>
                  <w:tcBorders>
                    <w:top w:val="single" w:sz="4" w:space="0" w:color="auto"/>
                    <w:left w:val="nil"/>
                    <w:bottom w:val="nil"/>
                    <w:right w:val="single" w:sz="4" w:space="0" w:color="auto"/>
                  </w:tcBorders>
                  <w:shd w:val="clear" w:color="auto" w:fill="FFFFFF" w:themeFill="background1"/>
                  <w:tcMar>
                    <w:left w:w="72" w:type="dxa"/>
                    <w:right w:w="72" w:type="dxa"/>
                  </w:tcMar>
                  <w:hideMark/>
                </w:tcPr>
                <w:p w14:paraId="51C614E8" w14:textId="77777777" w:rsidR="001537B1" w:rsidRPr="005D4222" w:rsidRDefault="001537B1" w:rsidP="00A53E8C">
                  <w:pPr>
                    <w:widowControl w:val="0"/>
                    <w:spacing w:before="80" w:after="80"/>
                    <w:textAlignment w:val="baseline"/>
                    <w:rPr>
                      <w:rFonts w:ascii="Times New Roman" w:hAnsi="Times New Roman"/>
                      <w:kern w:val="20"/>
                      <w:sz w:val="24"/>
                      <w:szCs w:val="24"/>
                    </w:rPr>
                  </w:pPr>
                  <w:r w:rsidRPr="005D4222">
                    <w:rPr>
                      <w:rFonts w:ascii="Arial Narrow" w:hAnsi="Arial Narrow"/>
                      <w:kern w:val="20"/>
                    </w:rPr>
                    <w:t xml:space="preserve"> </w:t>
                  </w:r>
                </w:p>
              </w:tc>
              <w:tc>
                <w:tcPr>
                  <w:tcW w:w="1440" w:type="dxa"/>
                  <w:tcBorders>
                    <w:top w:val="single" w:sz="6" w:space="0" w:color="auto"/>
                    <w:left w:val="single" w:sz="4" w:space="0" w:color="auto"/>
                    <w:bottom w:val="single" w:sz="4" w:space="0" w:color="auto"/>
                    <w:right w:val="single" w:sz="6" w:space="0" w:color="auto"/>
                  </w:tcBorders>
                  <w:shd w:val="clear" w:color="auto" w:fill="D9D9D9" w:themeFill="background1" w:themeFillShade="D9"/>
                  <w:tcMar>
                    <w:left w:w="72" w:type="dxa"/>
                    <w:right w:w="72" w:type="dxa"/>
                  </w:tcMar>
                </w:tcPr>
                <w:p w14:paraId="371CE006" w14:textId="77777777" w:rsidR="001537B1" w:rsidRPr="005D4222" w:rsidRDefault="001537B1" w:rsidP="00A53E8C">
                  <w:pPr>
                    <w:widowControl w:val="0"/>
                    <w:spacing w:before="80" w:after="80"/>
                    <w:textAlignment w:val="baseline"/>
                    <w:rPr>
                      <w:rFonts w:ascii="Times New Roman" w:hAnsi="Times New Roman"/>
                      <w:kern w:val="20"/>
                      <w:sz w:val="24"/>
                      <w:szCs w:val="24"/>
                    </w:rPr>
                  </w:pPr>
                  <w:r w:rsidRPr="005D4222">
                    <w:rPr>
                      <w:rFonts w:ascii="Arial Narrow" w:hAnsi="Arial Narrow"/>
                      <w:kern w:val="20"/>
                    </w:rPr>
                    <w:t xml:space="preserve">Rate </w:t>
                  </w:r>
                </w:p>
              </w:tc>
              <w:tc>
                <w:tcPr>
                  <w:tcW w:w="1976" w:type="dxa"/>
                  <w:tcBorders>
                    <w:top w:val="single" w:sz="6" w:space="0" w:color="auto"/>
                    <w:left w:val="single" w:sz="6" w:space="0" w:color="auto"/>
                    <w:bottom w:val="single" w:sz="4" w:space="0" w:color="auto"/>
                    <w:right w:val="single" w:sz="6" w:space="0" w:color="auto"/>
                  </w:tcBorders>
                  <w:shd w:val="clear" w:color="auto" w:fill="D9D9D9" w:themeFill="background1" w:themeFillShade="D9"/>
                  <w:tcMar>
                    <w:left w:w="72" w:type="dxa"/>
                    <w:right w:w="72" w:type="dxa"/>
                  </w:tcMar>
                </w:tcPr>
                <w:p w14:paraId="69CB148D" w14:textId="77777777" w:rsidR="001537B1" w:rsidRPr="005D4222" w:rsidRDefault="001537B1" w:rsidP="00A53E8C">
                  <w:pPr>
                    <w:widowControl w:val="0"/>
                    <w:spacing w:before="80" w:after="80"/>
                    <w:textAlignment w:val="baseline"/>
                    <w:rPr>
                      <w:rFonts w:ascii="Times New Roman" w:hAnsi="Times New Roman"/>
                      <w:kern w:val="20"/>
                      <w:sz w:val="24"/>
                      <w:szCs w:val="24"/>
                    </w:rPr>
                  </w:pPr>
                  <w:r w:rsidRPr="005D4222">
                    <w:rPr>
                      <w:rFonts w:ascii="Arial Narrow" w:hAnsi="Arial Narrow"/>
                      <w:kern w:val="20"/>
                    </w:rPr>
                    <w:t xml:space="preserve">(Percent) </w:t>
                  </w:r>
                </w:p>
              </w:tc>
            </w:tr>
          </w:tbl>
          <w:p w14:paraId="39858645" w14:textId="77777777" w:rsidR="001537B1" w:rsidRPr="005D4222" w:rsidRDefault="001537B1" w:rsidP="00A53E8C">
            <w:pPr>
              <w:pStyle w:val="ECDSBody"/>
            </w:pPr>
          </w:p>
        </w:tc>
      </w:tr>
      <w:tr w:rsidR="001537B1" w:rsidRPr="005D4222" w14:paraId="098D2FBC" w14:textId="77777777" w:rsidTr="00770B8B">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9107805" w14:textId="77777777" w:rsidR="001537B1" w:rsidRPr="005D4222" w:rsidRDefault="001537B1" w:rsidP="00A53E8C">
            <w:pPr>
              <w:pStyle w:val="ECDSMarginHead"/>
            </w:pPr>
            <w:r w:rsidRPr="005D4222">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7D916C2" w14:textId="77777777" w:rsidR="001537B1" w:rsidRPr="005D4222" w:rsidRDefault="001537B1" w:rsidP="00A53E8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4E4ADA21" w14:textId="77777777" w:rsidR="001537B1" w:rsidRPr="005D4222" w:rsidRDefault="001537B1" w:rsidP="00A53E8C">
            <w:pPr>
              <w:pStyle w:val="ECDSBody"/>
              <w:rPr>
                <w:b/>
              </w:rPr>
            </w:pPr>
            <w:r w:rsidRPr="005D4222">
              <w:rPr>
                <w:rFonts w:eastAsia="Arial,Arial,Arial,Arial,Arial,A"/>
                <w:b/>
              </w:rPr>
              <w:t>Adjusted HEDIS measures m</w:t>
            </w:r>
            <w:r w:rsidRPr="005D4222">
              <w:rPr>
                <w:b/>
              </w:rPr>
              <w:t>ay not be used for HEDIS health plan reporting.</w:t>
            </w:r>
          </w:p>
          <w:p w14:paraId="289F1309" w14:textId="77777777" w:rsidR="001537B1" w:rsidRPr="005D4222" w:rsidRDefault="001537B1" w:rsidP="00A53E8C">
            <w:pPr>
              <w:pStyle w:val="Adjustments"/>
              <w:rPr>
                <w:rFonts w:eastAsia="Arial,Arial,Arial,Arial,Arial,A"/>
              </w:rPr>
            </w:pPr>
            <w:r w:rsidRPr="005D4222">
              <w:rPr>
                <w:rFonts w:eastAsia="Arial,Arial,Arial,Arial,Arial,A"/>
              </w:rPr>
              <w:t>Adjustments allowed</w:t>
            </w:r>
          </w:p>
          <w:p w14:paraId="79A9FB16" w14:textId="29243759" w:rsidR="001537B1" w:rsidRPr="005D4222" w:rsidRDefault="001537B1" w:rsidP="005D6173">
            <w:pPr>
              <w:pStyle w:val="ProcessBullet"/>
              <w:numPr>
                <w:ilvl w:val="0"/>
                <w:numId w:val="98"/>
              </w:numPr>
              <w:ind w:left="216" w:hanging="216"/>
              <w:rPr>
                <w:b/>
              </w:rPr>
            </w:pPr>
            <w:r w:rsidRPr="005D4222">
              <w:rPr>
                <w:i/>
              </w:rPr>
              <w:t>Product lines</w:t>
            </w:r>
            <w:r w:rsidRPr="005D4222">
              <w:t>. Organizations are not required to use product line criteria; product lines may be combined</w:t>
            </w:r>
            <w:r w:rsidR="00E8671F" w:rsidRPr="005D4222">
              <w:t>,</w:t>
            </w:r>
            <w:r w:rsidRPr="005D4222">
              <w:t xml:space="preserve"> and all (or no) product line criteria may be used.</w:t>
            </w:r>
          </w:p>
          <w:p w14:paraId="09126B63" w14:textId="77777777" w:rsidR="001537B1" w:rsidRPr="005D4222" w:rsidRDefault="001537B1" w:rsidP="005D6173">
            <w:pPr>
              <w:pStyle w:val="ProcessBullet"/>
              <w:numPr>
                <w:ilvl w:val="0"/>
                <w:numId w:val="98"/>
              </w:numPr>
              <w:ind w:left="216" w:hanging="216"/>
            </w:pPr>
            <w:r w:rsidRPr="005D4222">
              <w:rPr>
                <w:i/>
              </w:rPr>
              <w:t>Attribution.</w:t>
            </w:r>
            <w:r w:rsidRPr="005D4222">
              <w:rPr>
                <w:b/>
              </w:rPr>
              <w:t xml:space="preserve"> </w:t>
            </w:r>
            <w:r w:rsidRPr="005D4222">
              <w:t>Organizations are not required to use enrollment criteria.</w:t>
            </w:r>
          </w:p>
          <w:p w14:paraId="22AE7A20" w14:textId="022BAB94" w:rsidR="001537B1" w:rsidRPr="005D4222" w:rsidRDefault="00362E76" w:rsidP="005D6173">
            <w:pPr>
              <w:pStyle w:val="ProcessBullet"/>
              <w:numPr>
                <w:ilvl w:val="0"/>
                <w:numId w:val="98"/>
              </w:numPr>
              <w:ind w:left="216" w:hanging="216"/>
            </w:pPr>
            <w:r w:rsidRPr="005D4222">
              <w:rPr>
                <w:i/>
              </w:rPr>
              <w:t>Benefits.</w:t>
            </w:r>
            <w:r w:rsidR="001537B1" w:rsidRPr="005D4222">
              <w:t xml:space="preserve"> Organizations are not required to use a benefit.</w:t>
            </w:r>
          </w:p>
          <w:p w14:paraId="1A8FEA34" w14:textId="77777777" w:rsidR="001537B1" w:rsidRPr="005D4222" w:rsidRDefault="001537B1" w:rsidP="005D6173">
            <w:pPr>
              <w:pStyle w:val="ProcessBullet"/>
              <w:numPr>
                <w:ilvl w:val="0"/>
                <w:numId w:val="98"/>
              </w:numPr>
              <w:ind w:left="216" w:hanging="216"/>
              <w:rPr>
                <w:b/>
              </w:rPr>
            </w:pPr>
            <w:r w:rsidRPr="005D4222">
              <w:rPr>
                <w:i/>
              </w:rPr>
              <w:t>Other.</w:t>
            </w:r>
            <w:r w:rsidRPr="005D4222">
              <w:rPr>
                <w:bCs/>
              </w:rPr>
              <w:t xml:space="preserve"> </w:t>
            </w:r>
            <w:r w:rsidRPr="005D4222">
              <w:t>Organizations may use additional eligible population criteria to focus on an area of interest defined by gender, race, ethnicity, socioeconomic or sociodemographic characteristics, geographic region or another characteristic.</w:t>
            </w:r>
          </w:p>
          <w:p w14:paraId="1E1898CC" w14:textId="77777777" w:rsidR="001537B1" w:rsidRPr="005D4222" w:rsidRDefault="001537B1" w:rsidP="005D6173">
            <w:pPr>
              <w:pStyle w:val="ProcessBullet"/>
              <w:numPr>
                <w:ilvl w:val="0"/>
                <w:numId w:val="98"/>
              </w:numPr>
              <w:ind w:left="216" w:hanging="216"/>
            </w:pPr>
            <w:r w:rsidRPr="005D4222">
              <w:rPr>
                <w:i/>
              </w:rPr>
              <w:t>Me</w:t>
            </w:r>
            <w:r w:rsidRPr="005D4222">
              <w:rPr>
                <w:i/>
                <w:iCs/>
              </w:rPr>
              <w:t>asurement period adjustments</w:t>
            </w:r>
            <w:r w:rsidRPr="005D4222">
              <w:t xml:space="preserve">. Organizations may adjust the measurement period. </w:t>
            </w:r>
          </w:p>
          <w:p w14:paraId="30AA7DA9" w14:textId="77777777" w:rsidR="001537B1" w:rsidRPr="005D4222" w:rsidRDefault="001537B1" w:rsidP="005D6173">
            <w:pPr>
              <w:pStyle w:val="ProcessBullet"/>
              <w:numPr>
                <w:ilvl w:val="0"/>
                <w:numId w:val="98"/>
              </w:numPr>
              <w:ind w:left="216" w:hanging="216"/>
            </w:pPr>
            <w:r w:rsidRPr="005D4222" w:rsidDel="00A92BB2">
              <w:rPr>
                <w:i/>
                <w:iCs/>
              </w:rPr>
              <w:t xml:space="preserve">Stratifications: </w:t>
            </w:r>
            <w:r w:rsidRPr="005D4222">
              <w:t>Race and ethnicity stratification.</w:t>
            </w:r>
            <w:r w:rsidRPr="005D4222">
              <w:rPr>
                <w:i/>
                <w:iCs/>
              </w:rPr>
              <w:t xml:space="preserve"> </w:t>
            </w:r>
            <w:r w:rsidRPr="005D4222">
              <w:t>The race and ethnicity stratification is not required. Organizations may adjust this stratification as needed.</w:t>
            </w:r>
          </w:p>
          <w:p w14:paraId="17A3950A" w14:textId="77777777" w:rsidR="001537B1" w:rsidRPr="005D4222" w:rsidRDefault="001537B1" w:rsidP="005D6173">
            <w:pPr>
              <w:pStyle w:val="ProcessBullet"/>
              <w:numPr>
                <w:ilvl w:val="0"/>
                <w:numId w:val="98"/>
              </w:numPr>
              <w:ind w:left="216" w:hanging="216"/>
            </w:pPr>
            <w:r w:rsidRPr="005D4222">
              <w:rPr>
                <w:i/>
              </w:rPr>
              <w:t>Exclusions</w:t>
            </w:r>
            <w:r w:rsidRPr="005D4222">
              <w:rPr>
                <w:i/>
                <w:iCs/>
              </w:rPr>
              <w:t>.</w:t>
            </w:r>
            <w:r w:rsidRPr="005D4222">
              <w:t xml:space="preserve"> Hospice, deceased persons and palliative care exclusions are not required. </w:t>
            </w:r>
          </w:p>
          <w:p w14:paraId="79994F89" w14:textId="77777777" w:rsidR="001537B1" w:rsidRPr="005D4222" w:rsidRDefault="001537B1" w:rsidP="005D6173">
            <w:pPr>
              <w:pStyle w:val="ProcessBullet"/>
              <w:numPr>
                <w:ilvl w:val="0"/>
                <w:numId w:val="98"/>
              </w:numPr>
              <w:spacing w:after="80"/>
              <w:ind w:left="216" w:hanging="216"/>
            </w:pPr>
            <w:r w:rsidRPr="005D4222">
              <w:rPr>
                <w:i/>
                <w:iCs/>
              </w:rPr>
              <w:t>Telehealth</w:t>
            </w:r>
            <w:r w:rsidRPr="005D4222">
              <w:t>.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tc>
      </w:tr>
    </w:tbl>
    <w:p w14:paraId="1CC815DA" w14:textId="77777777" w:rsidR="00DC3363" w:rsidRPr="005D4222" w:rsidRDefault="00DC3363">
      <w:r w:rsidRPr="005D4222">
        <w:br w:type="page"/>
      </w:r>
    </w:p>
    <w:tbl>
      <w:tblPr>
        <w:tblW w:w="9714" w:type="dxa"/>
        <w:tblBorders>
          <w:top w:val="single" w:sz="4" w:space="0" w:color="auto"/>
          <w:left w:val="single" w:sz="2" w:space="0" w:color="auto"/>
          <w:bottom w:val="single" w:sz="4" w:space="0" w:color="auto"/>
          <w:right w:val="single" w:sz="4" w:space="0" w:color="auto"/>
          <w:insideH w:val="single" w:sz="4" w:space="0" w:color="auto"/>
          <w:insideV w:val="single" w:sz="4"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1537B1" w:rsidRPr="005D4222" w14:paraId="7D1E0EBE" w14:textId="77777777" w:rsidTr="00DC3363">
        <w:tc>
          <w:tcPr>
            <w:tcW w:w="2157" w:type="dxa"/>
            <w:shd w:val="clear" w:color="auto" w:fill="BFBFBF" w:themeFill="background1" w:themeFillShade="BF"/>
            <w:tcMar>
              <w:top w:w="0" w:type="dxa"/>
              <w:left w:w="86" w:type="dxa"/>
              <w:bottom w:w="43" w:type="dxa"/>
              <w:right w:w="86" w:type="dxa"/>
            </w:tcMar>
          </w:tcPr>
          <w:p w14:paraId="22CC55F1" w14:textId="77777777" w:rsidR="001537B1" w:rsidRPr="005D4222" w:rsidRDefault="001537B1" w:rsidP="00A53E8C">
            <w:pPr>
              <w:pStyle w:val="ECDSMarginHead"/>
            </w:pPr>
          </w:p>
        </w:tc>
        <w:tc>
          <w:tcPr>
            <w:tcW w:w="7557" w:type="dxa"/>
            <w:tcMar>
              <w:top w:w="0" w:type="dxa"/>
              <w:left w:w="86" w:type="dxa"/>
              <w:bottom w:w="43" w:type="dxa"/>
              <w:right w:w="86" w:type="dxa"/>
            </w:tcMar>
          </w:tcPr>
          <w:p w14:paraId="1409C1D7" w14:textId="77777777" w:rsidR="001537B1" w:rsidRPr="005D4222" w:rsidRDefault="001537B1" w:rsidP="00770B8B">
            <w:pPr>
              <w:pStyle w:val="Adjustments"/>
              <w:spacing w:before="120"/>
              <w:rPr>
                <w:rFonts w:eastAsia="Arial,Arial,Arial,Arial,Arial,A"/>
              </w:rPr>
            </w:pPr>
            <w:r w:rsidRPr="005D4222">
              <w:rPr>
                <w:rFonts w:eastAsia="Arial,Arial,Arial,Arial,Arial,A"/>
              </w:rPr>
              <w:t>Adjustments allowed with limits</w:t>
            </w:r>
          </w:p>
          <w:p w14:paraId="555E0CED" w14:textId="77777777" w:rsidR="001537B1" w:rsidRPr="005D4222" w:rsidRDefault="001537B1" w:rsidP="005D6173">
            <w:pPr>
              <w:pStyle w:val="ProcessBullet"/>
              <w:numPr>
                <w:ilvl w:val="0"/>
                <w:numId w:val="98"/>
              </w:numPr>
              <w:ind w:left="216" w:hanging="216"/>
              <w:rPr>
                <w:i/>
                <w:iCs/>
              </w:rPr>
            </w:pPr>
            <w:r w:rsidRPr="005D4222">
              <w:rPr>
                <w:i/>
              </w:rPr>
              <w:t xml:space="preserve">Ages. </w:t>
            </w:r>
            <w:r w:rsidRPr="005D4222">
              <w:t>Age determination dates may be changed (e.g., select, “age as of June 30”). The denominator age may not be expanded.</w:t>
            </w:r>
          </w:p>
          <w:p w14:paraId="1422C64E" w14:textId="77777777" w:rsidR="001537B1" w:rsidRPr="005D4222" w:rsidRDefault="001537B1" w:rsidP="00A53E8C">
            <w:pPr>
              <w:pStyle w:val="Adjustments"/>
              <w:rPr>
                <w:rFonts w:eastAsia="Arial,Arial,Arial,Arial,Arial,A"/>
              </w:rPr>
            </w:pPr>
            <w:r w:rsidRPr="005D4222">
              <w:rPr>
                <w:rFonts w:eastAsia="Arial,Arial,Arial,Arial,Arial,A"/>
              </w:rPr>
              <w:t>Adjustments not allowed</w:t>
            </w:r>
          </w:p>
          <w:p w14:paraId="151E4886" w14:textId="77777777" w:rsidR="001537B1" w:rsidRPr="005D4222" w:rsidRDefault="001537B1" w:rsidP="005D6173">
            <w:pPr>
              <w:pStyle w:val="ProcessBullet"/>
              <w:numPr>
                <w:ilvl w:val="0"/>
                <w:numId w:val="98"/>
              </w:numPr>
              <w:ind w:left="216" w:hanging="216"/>
            </w:pPr>
            <w:r w:rsidRPr="005D4222">
              <w:rPr>
                <w:i/>
                <w:iCs/>
              </w:rPr>
              <w:t>Exclusions.</w:t>
            </w:r>
            <w:r w:rsidRPr="005D4222">
              <w:t xml:space="preserve"> Hysterectomy, cervical agenesis or acquired absence of cervix and male sex assigned at birth exclusions must be applied. Value sets may not be changed.</w:t>
            </w:r>
          </w:p>
          <w:p w14:paraId="45D0FA45" w14:textId="77777777" w:rsidR="001537B1" w:rsidRPr="005D4222" w:rsidRDefault="001537B1" w:rsidP="005D6173">
            <w:pPr>
              <w:pStyle w:val="ProcessBullet"/>
              <w:numPr>
                <w:ilvl w:val="0"/>
                <w:numId w:val="98"/>
              </w:numPr>
              <w:spacing w:after="80"/>
              <w:ind w:left="216" w:hanging="216"/>
              <w:rPr>
                <w:b/>
                <w:i/>
              </w:rPr>
            </w:pPr>
            <w:r w:rsidRPr="005D4222">
              <w:rPr>
                <w:i/>
                <w:iCs/>
              </w:rPr>
              <w:t>Numerator.</w:t>
            </w:r>
            <w:r w:rsidRPr="005D4222">
              <w:t xml:space="preserve"> Value sets and logic may not be changed.</w:t>
            </w:r>
          </w:p>
        </w:tc>
      </w:tr>
    </w:tbl>
    <w:p w14:paraId="1DEA7756" w14:textId="77777777" w:rsidR="00770B8B" w:rsidRPr="005D4222" w:rsidRDefault="00770B8B" w:rsidP="00367C65">
      <w:pPr>
        <w:pStyle w:val="ECDSBody"/>
        <w:sectPr w:rsidR="00770B8B" w:rsidRPr="005D4222" w:rsidSect="0074514A">
          <w:headerReference w:type="default" r:id="rId221"/>
          <w:type w:val="nextColumn"/>
          <w:pgSz w:w="12240" w:h="15840" w:code="1"/>
          <w:pgMar w:top="1080" w:right="1080" w:bottom="1080" w:left="1440" w:header="720" w:footer="720" w:gutter="0"/>
          <w:cols w:space="720"/>
          <w:docGrid w:linePitch="360"/>
        </w:sectPr>
      </w:pPr>
    </w:p>
    <w:p w14:paraId="1B1A1430" w14:textId="2FE41B4B" w:rsidR="00367C65" w:rsidRPr="005D4222" w:rsidRDefault="001271BA" w:rsidP="001271BA">
      <w:pPr>
        <w:pStyle w:val="MeasureTitle"/>
      </w:pPr>
      <w:bookmarkStart w:id="416" w:name="_Toc201813471"/>
      <w:r w:rsidRPr="005D4222">
        <w:lastRenderedPageBreak/>
        <w:t>Colorectal Cancer Screening</w:t>
      </w:r>
      <w:r w:rsidR="006B0FDD" w:rsidRPr="005D4222">
        <w:t xml:space="preserve"> (COL-E)</w:t>
      </w:r>
      <w:bookmarkEnd w:id="416"/>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4590"/>
        <w:gridCol w:w="1421"/>
        <w:gridCol w:w="1546"/>
      </w:tblGrid>
      <w:tr w:rsidR="00E43260" w:rsidRPr="005D4222" w14:paraId="54D0BC78" w14:textId="77777777" w:rsidTr="00E43260">
        <w:tc>
          <w:tcPr>
            <w:tcW w:w="2157" w:type="dxa"/>
            <w:shd w:val="clear" w:color="auto" w:fill="BFBFBF" w:themeFill="background1" w:themeFillShade="BF"/>
            <w:tcMar>
              <w:top w:w="0" w:type="dxa"/>
              <w:left w:w="86" w:type="dxa"/>
              <w:bottom w:w="43" w:type="dxa"/>
              <w:right w:w="86" w:type="dxa"/>
            </w:tcMar>
            <w:hideMark/>
          </w:tcPr>
          <w:p w14:paraId="02841EA6" w14:textId="77777777" w:rsidR="00E43260" w:rsidRPr="005D4222" w:rsidRDefault="00E43260" w:rsidP="00A53E8C">
            <w:pPr>
              <w:pStyle w:val="ECDSMarginHead"/>
            </w:pPr>
            <w:r w:rsidRPr="005D4222">
              <w:t>Measure title</w:t>
            </w:r>
          </w:p>
        </w:tc>
        <w:tc>
          <w:tcPr>
            <w:tcW w:w="4590" w:type="dxa"/>
            <w:tcMar>
              <w:top w:w="0" w:type="dxa"/>
              <w:left w:w="86" w:type="dxa"/>
              <w:bottom w:w="43" w:type="dxa"/>
              <w:right w:w="86" w:type="dxa"/>
            </w:tcMar>
          </w:tcPr>
          <w:p w14:paraId="219870CB" w14:textId="77777777" w:rsidR="00E43260" w:rsidRPr="005D4222" w:rsidRDefault="00E43260" w:rsidP="00A53E8C">
            <w:pPr>
              <w:pStyle w:val="ECDSBody"/>
            </w:pPr>
            <w:r w:rsidRPr="005D4222">
              <w:t>Colorectal Cancer Screening</w:t>
            </w:r>
          </w:p>
        </w:tc>
        <w:tc>
          <w:tcPr>
            <w:tcW w:w="1421" w:type="dxa"/>
            <w:shd w:val="clear" w:color="auto" w:fill="BFBFBF" w:themeFill="background1" w:themeFillShade="BF"/>
            <w:tcMar>
              <w:top w:w="0" w:type="dxa"/>
              <w:left w:w="86" w:type="dxa"/>
              <w:bottom w:w="43" w:type="dxa"/>
              <w:right w:w="86" w:type="dxa"/>
            </w:tcMar>
          </w:tcPr>
          <w:p w14:paraId="702BCED9" w14:textId="77777777" w:rsidR="00E43260" w:rsidRPr="005D4222" w:rsidRDefault="00E43260" w:rsidP="00A53E8C">
            <w:pPr>
              <w:pStyle w:val="ECDSMarginHead"/>
            </w:pPr>
            <w:r w:rsidRPr="005D4222">
              <w:t>Measure ID</w:t>
            </w:r>
          </w:p>
        </w:tc>
        <w:tc>
          <w:tcPr>
            <w:tcW w:w="1546" w:type="dxa"/>
            <w:tcMar>
              <w:top w:w="0" w:type="dxa"/>
              <w:left w:w="86" w:type="dxa"/>
              <w:bottom w:w="43" w:type="dxa"/>
              <w:right w:w="86" w:type="dxa"/>
            </w:tcMar>
          </w:tcPr>
          <w:p w14:paraId="5BAB4707" w14:textId="77777777" w:rsidR="00E43260" w:rsidRPr="005D4222" w:rsidRDefault="00E43260" w:rsidP="00A53E8C">
            <w:pPr>
              <w:pStyle w:val="ECDSBody"/>
            </w:pPr>
            <w:r w:rsidRPr="005D4222">
              <w:t>COL-E</w:t>
            </w:r>
          </w:p>
        </w:tc>
      </w:tr>
      <w:tr w:rsidR="00E43260" w:rsidRPr="005D4222" w14:paraId="3CB9A086" w14:textId="77777777" w:rsidTr="00E43260">
        <w:tc>
          <w:tcPr>
            <w:tcW w:w="2157" w:type="dxa"/>
            <w:shd w:val="clear" w:color="auto" w:fill="BFBFBF" w:themeFill="background1" w:themeFillShade="BF"/>
            <w:tcMar>
              <w:top w:w="0" w:type="dxa"/>
              <w:left w:w="86" w:type="dxa"/>
              <w:bottom w:w="43" w:type="dxa"/>
              <w:right w:w="86" w:type="dxa"/>
            </w:tcMar>
            <w:hideMark/>
          </w:tcPr>
          <w:p w14:paraId="66DB3B22" w14:textId="77777777" w:rsidR="00E43260" w:rsidRPr="005D4222" w:rsidRDefault="00E43260" w:rsidP="00A53E8C">
            <w:pPr>
              <w:pStyle w:val="ECDSMarginHead"/>
            </w:pPr>
            <w:r w:rsidRPr="005D4222">
              <w:t>Description</w:t>
            </w:r>
          </w:p>
        </w:tc>
        <w:tc>
          <w:tcPr>
            <w:tcW w:w="7557" w:type="dxa"/>
            <w:gridSpan w:val="3"/>
            <w:tcMar>
              <w:top w:w="0" w:type="dxa"/>
              <w:left w:w="86" w:type="dxa"/>
              <w:bottom w:w="43" w:type="dxa"/>
              <w:right w:w="86" w:type="dxa"/>
            </w:tcMar>
          </w:tcPr>
          <w:p w14:paraId="037864A4" w14:textId="77777777" w:rsidR="00E43260" w:rsidRPr="005D4222" w:rsidRDefault="00E43260" w:rsidP="00A53E8C">
            <w:pPr>
              <w:pStyle w:val="ECDSBody"/>
            </w:pPr>
            <w:r w:rsidRPr="005D4222">
              <w:t>The percentage of persons 45–75 years of age who had appropriate screening for colorectal cancer.</w:t>
            </w:r>
          </w:p>
        </w:tc>
      </w:tr>
      <w:tr w:rsidR="00E43260" w:rsidRPr="005D4222" w14:paraId="6C3D11AC" w14:textId="77777777" w:rsidTr="00E43260">
        <w:tc>
          <w:tcPr>
            <w:tcW w:w="2157" w:type="dxa"/>
            <w:shd w:val="clear" w:color="auto" w:fill="BFBFBF" w:themeFill="background1" w:themeFillShade="BF"/>
            <w:tcMar>
              <w:top w:w="0" w:type="dxa"/>
              <w:left w:w="86" w:type="dxa"/>
              <w:bottom w:w="43" w:type="dxa"/>
              <w:right w:w="86" w:type="dxa"/>
            </w:tcMar>
          </w:tcPr>
          <w:p w14:paraId="38501051" w14:textId="77777777" w:rsidR="00E43260" w:rsidRPr="005D4222" w:rsidRDefault="00E43260" w:rsidP="00A53E8C">
            <w:pPr>
              <w:pStyle w:val="ECDSMarginHead"/>
            </w:pPr>
            <w:r w:rsidRPr="005D4222">
              <w:t>Measurement period</w:t>
            </w:r>
          </w:p>
        </w:tc>
        <w:tc>
          <w:tcPr>
            <w:tcW w:w="7557" w:type="dxa"/>
            <w:gridSpan w:val="3"/>
            <w:tcMar>
              <w:top w:w="0" w:type="dxa"/>
              <w:left w:w="86" w:type="dxa"/>
              <w:bottom w:w="43" w:type="dxa"/>
              <w:right w:w="86" w:type="dxa"/>
            </w:tcMar>
          </w:tcPr>
          <w:p w14:paraId="728ED2E2" w14:textId="77777777" w:rsidR="00E43260" w:rsidRPr="005D4222" w:rsidRDefault="00E43260" w:rsidP="00A53E8C">
            <w:pPr>
              <w:pStyle w:val="ECDSBody"/>
            </w:pPr>
            <w:r w:rsidRPr="005D4222">
              <w:t>January 1–December 31.</w:t>
            </w:r>
          </w:p>
        </w:tc>
      </w:tr>
      <w:tr w:rsidR="00E43260" w:rsidRPr="005D4222" w14:paraId="3E2B10CE" w14:textId="77777777" w:rsidTr="00E43260">
        <w:tc>
          <w:tcPr>
            <w:tcW w:w="2157" w:type="dxa"/>
            <w:shd w:val="clear" w:color="auto" w:fill="BFBFBF" w:themeFill="background1" w:themeFillShade="BF"/>
            <w:tcMar>
              <w:top w:w="0" w:type="dxa"/>
              <w:left w:w="86" w:type="dxa"/>
              <w:bottom w:w="43" w:type="dxa"/>
              <w:right w:w="86" w:type="dxa"/>
            </w:tcMar>
            <w:hideMark/>
          </w:tcPr>
          <w:p w14:paraId="7DDBF123" w14:textId="77777777" w:rsidR="00E43260" w:rsidRPr="005D4222" w:rsidRDefault="00E43260" w:rsidP="00A53E8C">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79BEBD14" w14:textId="77777777" w:rsidR="00E43260" w:rsidRPr="005D4222" w:rsidRDefault="00E43260" w:rsidP="00A53E8C">
            <w:pPr>
              <w:pStyle w:val="ECDSBody"/>
            </w:pPr>
            <w:r w:rsidRPr="005D4222">
              <w:t xml:space="preserve">Refer to the complete copyright and disclaimer information at the front of this publication. </w:t>
            </w:r>
          </w:p>
          <w:p w14:paraId="2568A1BA" w14:textId="77777777" w:rsidR="00E43260" w:rsidRPr="005D4222" w:rsidRDefault="00E43260" w:rsidP="00A53E8C">
            <w:pPr>
              <w:pStyle w:val="ECDSBody"/>
              <w:spacing w:before="80"/>
            </w:pPr>
            <w:r w:rsidRPr="005D4222">
              <w:t xml:space="preserve">NCQA website: </w:t>
            </w:r>
            <w:r w:rsidRPr="005D4222">
              <w:rPr>
                <w:u w:val="single"/>
              </w:rPr>
              <w:t>www.ncqa.org</w:t>
            </w:r>
            <w:r w:rsidRPr="005D4222">
              <w:rPr>
                <w:rStyle w:val="Hyperlink"/>
              </w:rPr>
              <w:t>.</w:t>
            </w:r>
            <w:r w:rsidRPr="005D4222">
              <w:t xml:space="preserve"> </w:t>
            </w:r>
          </w:p>
          <w:p w14:paraId="3A1120FB" w14:textId="77777777" w:rsidR="00E43260" w:rsidRPr="005D4222" w:rsidRDefault="00E43260" w:rsidP="00A53E8C">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E43260" w:rsidRPr="005D4222" w14:paraId="67355DE3" w14:textId="77777777" w:rsidTr="00E43260">
        <w:trPr>
          <w:trHeight w:val="655"/>
        </w:trPr>
        <w:tc>
          <w:tcPr>
            <w:tcW w:w="2157" w:type="dxa"/>
            <w:shd w:val="clear" w:color="auto" w:fill="BFBFBF" w:themeFill="background1" w:themeFillShade="BF"/>
            <w:tcMar>
              <w:top w:w="0" w:type="dxa"/>
              <w:left w:w="86" w:type="dxa"/>
              <w:bottom w:w="43" w:type="dxa"/>
              <w:right w:w="86" w:type="dxa"/>
            </w:tcMar>
            <w:hideMark/>
          </w:tcPr>
          <w:p w14:paraId="15307D97" w14:textId="77777777" w:rsidR="00E43260" w:rsidRPr="005D4222" w:rsidRDefault="00E43260" w:rsidP="00A53E8C">
            <w:pPr>
              <w:pStyle w:val="ECDSMarginHead"/>
            </w:pPr>
            <w:r w:rsidRPr="005D4222">
              <w:t>Clinical recommendation statement/ rationale</w:t>
            </w:r>
          </w:p>
        </w:tc>
        <w:tc>
          <w:tcPr>
            <w:tcW w:w="7557" w:type="dxa"/>
            <w:gridSpan w:val="3"/>
            <w:tcMar>
              <w:top w:w="0" w:type="dxa"/>
              <w:left w:w="86" w:type="dxa"/>
              <w:bottom w:w="43" w:type="dxa"/>
              <w:right w:w="86" w:type="dxa"/>
            </w:tcMar>
          </w:tcPr>
          <w:p w14:paraId="004EB9AA" w14:textId="77777777" w:rsidR="00E43260" w:rsidRPr="005D4222" w:rsidRDefault="00E43260" w:rsidP="00A53E8C">
            <w:pPr>
              <w:pStyle w:val="ECDSBody"/>
              <w:rPr>
                <w:szCs w:val="21"/>
              </w:rPr>
            </w:pPr>
            <w:r w:rsidRPr="005D4222">
              <w:t>The U.S. Preventive Services Task Force “recommends screening for colorectal cancer in all adults aged 50 to 75 years (A recommendation) and all adults aged 45 to 49 years (B recommendation).” Potential screening methods include an annual guaiac-based fecal occult blood test (gFOBT), annual fecal immunochemical test (FIT), multitargeted stool DNA with FIT test (sDNA FIT) every 3 years, colonoscopy every 10 years, CT colonography every 5 years, flexible sigmoidoscopy every 5 years or flexible sigmoidoscopy every 10 years, with FIT every year.</w:t>
            </w:r>
          </w:p>
        </w:tc>
      </w:tr>
      <w:tr w:rsidR="00E43260" w:rsidRPr="005D4222" w14:paraId="1948C22F" w14:textId="77777777" w:rsidTr="00E43260">
        <w:tc>
          <w:tcPr>
            <w:tcW w:w="2157" w:type="dxa"/>
            <w:shd w:val="clear" w:color="auto" w:fill="BFBFBF" w:themeFill="background1" w:themeFillShade="BF"/>
            <w:tcMar>
              <w:top w:w="0" w:type="dxa"/>
              <w:left w:w="86" w:type="dxa"/>
              <w:bottom w:w="43" w:type="dxa"/>
              <w:right w:w="86" w:type="dxa"/>
            </w:tcMar>
          </w:tcPr>
          <w:p w14:paraId="055FB0FA" w14:textId="77777777" w:rsidR="00E43260" w:rsidRPr="005D4222" w:rsidRDefault="00E43260" w:rsidP="00A53E8C">
            <w:pPr>
              <w:pStyle w:val="ECDSMarginHead"/>
            </w:pPr>
            <w:r w:rsidRPr="005D4222">
              <w:t>Citations</w:t>
            </w:r>
          </w:p>
        </w:tc>
        <w:tc>
          <w:tcPr>
            <w:tcW w:w="7557" w:type="dxa"/>
            <w:gridSpan w:val="3"/>
            <w:tcMar>
              <w:top w:w="0" w:type="dxa"/>
              <w:left w:w="86" w:type="dxa"/>
              <w:bottom w:w="43" w:type="dxa"/>
              <w:right w:w="86" w:type="dxa"/>
            </w:tcMar>
          </w:tcPr>
          <w:p w14:paraId="43150AB6" w14:textId="77777777" w:rsidR="00E43260" w:rsidRPr="005D4222" w:rsidRDefault="00E43260" w:rsidP="00A53E8C">
            <w:pPr>
              <w:pStyle w:val="ECDSBody"/>
              <w:rPr>
                <w:szCs w:val="21"/>
              </w:rPr>
            </w:pPr>
            <w:r w:rsidRPr="005D4222">
              <w:rPr>
                <w:szCs w:val="21"/>
              </w:rPr>
              <w:t xml:space="preserve">USPSTF. 2021. “Screening for Colorectal Cancer: US Preventive Services Task Force Recommendation Statement.” </w:t>
            </w:r>
            <w:r w:rsidRPr="005D4222">
              <w:rPr>
                <w:i/>
                <w:szCs w:val="21"/>
              </w:rPr>
              <w:t xml:space="preserve">JAMA </w:t>
            </w:r>
            <w:r w:rsidRPr="005D4222">
              <w:rPr>
                <w:szCs w:val="21"/>
              </w:rPr>
              <w:t>325(19): 1965–77. doi:10.1001/jama.2021.6238.</w:t>
            </w:r>
          </w:p>
        </w:tc>
      </w:tr>
      <w:tr w:rsidR="00E43260" w:rsidRPr="005D4222" w14:paraId="30C4F4E9" w14:textId="77777777" w:rsidTr="00E43260">
        <w:tc>
          <w:tcPr>
            <w:tcW w:w="9714"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174E454A" w14:textId="77777777" w:rsidR="00E43260" w:rsidRPr="005D4222" w:rsidRDefault="00E43260" w:rsidP="00A53E8C">
            <w:pPr>
              <w:pStyle w:val="ECDSMarginHead"/>
            </w:pPr>
            <w:r w:rsidRPr="005D4222">
              <w:t>Characteristics</w:t>
            </w:r>
          </w:p>
        </w:tc>
      </w:tr>
      <w:tr w:rsidR="00E43260" w:rsidRPr="005D4222" w14:paraId="16E0398B" w14:textId="77777777" w:rsidTr="00E43260">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0EF45DFF" w14:textId="77777777" w:rsidR="00E43260" w:rsidRPr="005D4222" w:rsidRDefault="00E43260" w:rsidP="00E43260">
            <w:pPr>
              <w:pStyle w:val="ECDSSubhead"/>
            </w:pPr>
            <w:r w:rsidRPr="005D4222">
              <w:t>Scoring</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4FC6C0D3" w14:textId="77777777" w:rsidR="00E43260" w:rsidRPr="005D4222" w:rsidRDefault="00E43260" w:rsidP="00A53E8C">
            <w:pPr>
              <w:pStyle w:val="ECDSBody"/>
              <w:spacing w:after="0"/>
            </w:pPr>
            <w:r w:rsidRPr="005D4222">
              <w:t>Proportion.</w:t>
            </w:r>
          </w:p>
        </w:tc>
      </w:tr>
      <w:tr w:rsidR="00E43260" w:rsidRPr="005D4222" w14:paraId="1AB728E7" w14:textId="77777777" w:rsidTr="00E43260">
        <w:tc>
          <w:tcPr>
            <w:tcW w:w="2157" w:type="dxa"/>
            <w:tcBorders>
              <w:top w:val="nil"/>
              <w:left w:val="single" w:sz="4" w:space="0" w:color="auto"/>
              <w:bottom w:val="nil"/>
              <w:right w:val="single" w:sz="4" w:space="0" w:color="auto"/>
            </w:tcBorders>
            <w:tcMar>
              <w:top w:w="0" w:type="dxa"/>
              <w:left w:w="86" w:type="dxa"/>
              <w:bottom w:w="43" w:type="dxa"/>
              <w:right w:w="86" w:type="dxa"/>
            </w:tcMar>
          </w:tcPr>
          <w:p w14:paraId="330C49A3" w14:textId="77777777" w:rsidR="00E43260" w:rsidRPr="005D4222" w:rsidRDefault="00E43260" w:rsidP="00E43260">
            <w:pPr>
              <w:pStyle w:val="ECDSSubhead"/>
            </w:pPr>
            <w:r w:rsidRPr="005D4222">
              <w:t>Type</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7971B845" w14:textId="77777777" w:rsidR="00E43260" w:rsidRPr="005D4222" w:rsidRDefault="00E43260" w:rsidP="00A53E8C">
            <w:pPr>
              <w:pStyle w:val="ECDSBody"/>
              <w:spacing w:after="0"/>
            </w:pPr>
            <w:r w:rsidRPr="005D4222">
              <w:t>Process.</w:t>
            </w:r>
          </w:p>
        </w:tc>
      </w:tr>
      <w:tr w:rsidR="00E43260" w:rsidRPr="005D4222" w14:paraId="2569AF82" w14:textId="77777777" w:rsidTr="00E43260">
        <w:tc>
          <w:tcPr>
            <w:tcW w:w="2157" w:type="dxa"/>
            <w:tcBorders>
              <w:top w:val="nil"/>
              <w:left w:val="single" w:sz="4" w:space="0" w:color="auto"/>
              <w:bottom w:val="nil"/>
              <w:right w:val="single" w:sz="4" w:space="0" w:color="auto"/>
            </w:tcBorders>
            <w:tcMar>
              <w:top w:w="0" w:type="dxa"/>
              <w:left w:w="86" w:type="dxa"/>
              <w:bottom w:w="43" w:type="dxa"/>
              <w:right w:w="86" w:type="dxa"/>
            </w:tcMar>
          </w:tcPr>
          <w:p w14:paraId="7FA8E6E1" w14:textId="75ABC063" w:rsidR="00E43260" w:rsidRPr="005D4222" w:rsidRDefault="00B51CDC" w:rsidP="00E43260">
            <w:pPr>
              <w:pStyle w:val="ECDSSubhead"/>
            </w:pPr>
            <w:r w:rsidRPr="005D4222">
              <w:t>Product lines</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0DAE3217" w14:textId="77777777" w:rsidR="00E43260" w:rsidRPr="005D4222" w:rsidRDefault="00E43260" w:rsidP="00B55342">
            <w:pPr>
              <w:pStyle w:val="ProcessBullet"/>
            </w:pPr>
            <w:r w:rsidRPr="005D4222">
              <w:t>Commercial.</w:t>
            </w:r>
          </w:p>
          <w:p w14:paraId="6EC442A4" w14:textId="77777777" w:rsidR="00E43260" w:rsidRPr="005D4222" w:rsidRDefault="00E43260" w:rsidP="00B55342">
            <w:pPr>
              <w:pStyle w:val="ProcessBullet"/>
            </w:pPr>
            <w:r w:rsidRPr="005D4222">
              <w:t>Medicaid.</w:t>
            </w:r>
          </w:p>
          <w:p w14:paraId="7A3D86CF" w14:textId="77777777" w:rsidR="00E43260" w:rsidRPr="005D4222" w:rsidRDefault="00E43260" w:rsidP="00B55342">
            <w:pPr>
              <w:pStyle w:val="ProcessBullet"/>
            </w:pPr>
            <w:r w:rsidRPr="005D4222">
              <w:t>Medicare.</w:t>
            </w:r>
          </w:p>
        </w:tc>
      </w:tr>
      <w:tr w:rsidR="00E43260" w:rsidRPr="005D4222" w14:paraId="778DD634" w14:textId="77777777" w:rsidTr="00E43260">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627ECEE3" w14:textId="4299B19B" w:rsidR="00E43260" w:rsidRPr="005D4222" w:rsidRDefault="00B51CDC" w:rsidP="00E43260">
            <w:pPr>
              <w:pStyle w:val="ECDSSubhead"/>
            </w:pPr>
            <w:r w:rsidRPr="005D4222">
              <w:t>Stratifications</w:t>
            </w:r>
            <w:r w:rsidR="00E43260" w:rsidRPr="005D4222">
              <w:t xml:space="preserve"> </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hideMark/>
          </w:tcPr>
          <w:p w14:paraId="35D3D14D" w14:textId="77777777" w:rsidR="00E43260" w:rsidRPr="005D4222" w:rsidRDefault="00E43260" w:rsidP="00A53E8C">
            <w:pPr>
              <w:pStyle w:val="ECDSBody"/>
              <w:rPr>
                <w:rFonts w:eastAsia="Arial,Arial,Arial,Arial,Arial,A"/>
              </w:rPr>
            </w:pPr>
            <w:r w:rsidRPr="005D4222">
              <w:rPr>
                <w:rFonts w:eastAsia="Arial,Arial,Arial,Arial,Arial,A"/>
              </w:rPr>
              <w:t>Age as of the last day of the measurement period.</w:t>
            </w:r>
          </w:p>
          <w:p w14:paraId="1A1153F6" w14:textId="77777777" w:rsidR="00E43260" w:rsidRPr="005D4222" w:rsidRDefault="00E43260" w:rsidP="00E43260">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46–50 years.</w:t>
            </w:r>
          </w:p>
          <w:p w14:paraId="25CEC7CE" w14:textId="77777777" w:rsidR="00E43260" w:rsidRPr="005D4222" w:rsidRDefault="00E43260" w:rsidP="00E43260">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51–75 years.</w:t>
            </w:r>
          </w:p>
          <w:p w14:paraId="08D3EF99" w14:textId="7728B23A" w:rsidR="00E43260" w:rsidRPr="005D4222" w:rsidRDefault="00E43260" w:rsidP="00A53E8C">
            <w:pPr>
              <w:pStyle w:val="ECDSBody"/>
            </w:pPr>
            <w:r w:rsidRPr="005D4222">
              <w:t xml:space="preserve">Race. (Refer to </w:t>
            </w:r>
            <w:hyperlink w:anchor="GG_Race_and_Ethnicity" w:history="1">
              <w:r w:rsidRPr="005D4222">
                <w:rPr>
                  <w:rStyle w:val="Hyperlink"/>
                  <w:i/>
                </w:rPr>
                <w:t>General Guideline: Race and Ethnicity Stratification</w:t>
              </w:r>
            </w:hyperlink>
            <w:r w:rsidRPr="005D4222">
              <w:t>.)</w:t>
            </w:r>
          </w:p>
          <w:p w14:paraId="459B782E" w14:textId="77777777" w:rsidR="00E43260" w:rsidRPr="005D4222" w:rsidRDefault="00E43260" w:rsidP="00E43260">
            <w:pPr>
              <w:pStyle w:val="Bullet"/>
              <w:numPr>
                <w:ilvl w:val="0"/>
                <w:numId w:val="4"/>
              </w:numPr>
              <w:tabs>
                <w:tab w:val="left" w:pos="360"/>
                <w:tab w:val="left" w:pos="576"/>
              </w:tabs>
              <w:ind w:left="576" w:hanging="216"/>
            </w:pPr>
            <w:r w:rsidRPr="005D4222">
              <w:t>American Indian or Alaska Native.</w:t>
            </w:r>
          </w:p>
          <w:p w14:paraId="785E4E01" w14:textId="77777777" w:rsidR="00E43260" w:rsidRPr="005D4222" w:rsidRDefault="00E43260" w:rsidP="00E43260">
            <w:pPr>
              <w:pStyle w:val="Bullet"/>
              <w:numPr>
                <w:ilvl w:val="0"/>
                <w:numId w:val="4"/>
              </w:numPr>
              <w:tabs>
                <w:tab w:val="left" w:pos="360"/>
                <w:tab w:val="left" w:pos="576"/>
              </w:tabs>
              <w:ind w:left="576" w:hanging="216"/>
            </w:pPr>
            <w:r w:rsidRPr="005D4222">
              <w:t>Asian.</w:t>
            </w:r>
          </w:p>
          <w:p w14:paraId="54E37FA3" w14:textId="77777777" w:rsidR="00E43260" w:rsidRPr="005D4222" w:rsidRDefault="00E43260" w:rsidP="00E43260">
            <w:pPr>
              <w:pStyle w:val="Bullet"/>
              <w:numPr>
                <w:ilvl w:val="0"/>
                <w:numId w:val="4"/>
              </w:numPr>
              <w:tabs>
                <w:tab w:val="left" w:pos="360"/>
                <w:tab w:val="left" w:pos="576"/>
              </w:tabs>
              <w:ind w:left="576" w:hanging="216"/>
            </w:pPr>
            <w:r w:rsidRPr="005D4222">
              <w:t>Black or African American.</w:t>
            </w:r>
          </w:p>
          <w:p w14:paraId="36ABCABF" w14:textId="731BFE25" w:rsidR="00E43260" w:rsidRPr="005D4222" w:rsidRDefault="00E43260" w:rsidP="00E43260">
            <w:pPr>
              <w:pStyle w:val="Bullet"/>
              <w:numPr>
                <w:ilvl w:val="0"/>
                <w:numId w:val="4"/>
              </w:numPr>
              <w:tabs>
                <w:tab w:val="left" w:pos="360"/>
                <w:tab w:val="left" w:pos="576"/>
              </w:tabs>
              <w:spacing w:after="80"/>
              <w:ind w:left="576" w:hanging="216"/>
              <w:rPr>
                <w:rFonts w:eastAsia="Arial,Arial,Arial,Arial,Arial,A"/>
              </w:rPr>
            </w:pPr>
            <w:r w:rsidRPr="005D4222">
              <w:t>Middle Eastern or North African.</w:t>
            </w:r>
          </w:p>
        </w:tc>
      </w:tr>
      <w:tr w:rsidR="00E43260" w:rsidRPr="005D4222" w14:paraId="13E11BE1" w14:textId="77777777" w:rsidTr="00E43260">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175F7A69" w14:textId="77777777" w:rsidR="00E43260" w:rsidRPr="005D4222" w:rsidRDefault="00E43260" w:rsidP="00A53E8C">
            <w:pPr>
              <w:pStyle w:val="MarginHead"/>
            </w:pP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tcPr>
          <w:p w14:paraId="695281C7" w14:textId="77777777" w:rsidR="00E43260" w:rsidRPr="005D4222" w:rsidRDefault="00E43260" w:rsidP="00E43260">
            <w:pPr>
              <w:pStyle w:val="Bullet"/>
              <w:numPr>
                <w:ilvl w:val="0"/>
                <w:numId w:val="4"/>
              </w:numPr>
              <w:tabs>
                <w:tab w:val="left" w:pos="360"/>
                <w:tab w:val="left" w:pos="576"/>
              </w:tabs>
              <w:ind w:left="576" w:hanging="216"/>
            </w:pPr>
            <w:r w:rsidRPr="005D4222">
              <w:t>Native Hawaiian or Pacific Islander.</w:t>
            </w:r>
          </w:p>
          <w:p w14:paraId="1D49A130" w14:textId="77777777" w:rsidR="00E43260" w:rsidRPr="005D4222" w:rsidRDefault="00E43260" w:rsidP="00E43260">
            <w:pPr>
              <w:pStyle w:val="Bullet"/>
              <w:numPr>
                <w:ilvl w:val="0"/>
                <w:numId w:val="4"/>
              </w:numPr>
              <w:tabs>
                <w:tab w:val="left" w:pos="360"/>
                <w:tab w:val="left" w:pos="576"/>
              </w:tabs>
              <w:spacing w:after="80"/>
              <w:ind w:left="576" w:hanging="216"/>
              <w:rPr>
                <w:rFonts w:eastAsia="Arial,Arial,Arial,Arial,Arial,A"/>
              </w:rPr>
            </w:pPr>
            <w:r w:rsidRPr="005D4222">
              <w:t>White.</w:t>
            </w:r>
          </w:p>
          <w:p w14:paraId="44E7C8D0" w14:textId="77777777" w:rsidR="00E43260" w:rsidRPr="005D4222" w:rsidRDefault="00E43260" w:rsidP="00E43260">
            <w:pPr>
              <w:pStyle w:val="Bullet"/>
              <w:numPr>
                <w:ilvl w:val="0"/>
                <w:numId w:val="4"/>
              </w:numPr>
              <w:tabs>
                <w:tab w:val="left" w:pos="360"/>
                <w:tab w:val="left" w:pos="576"/>
              </w:tabs>
              <w:ind w:left="576" w:hanging="216"/>
            </w:pPr>
            <w:r w:rsidRPr="005D4222">
              <w:t>Some Other Race.</w:t>
            </w:r>
          </w:p>
          <w:p w14:paraId="0B0FB606" w14:textId="77777777" w:rsidR="00E43260" w:rsidRPr="005D4222" w:rsidRDefault="00E43260" w:rsidP="00E43260">
            <w:pPr>
              <w:pStyle w:val="Bullet"/>
              <w:numPr>
                <w:ilvl w:val="0"/>
                <w:numId w:val="4"/>
              </w:numPr>
              <w:tabs>
                <w:tab w:val="left" w:pos="360"/>
                <w:tab w:val="left" w:pos="576"/>
              </w:tabs>
              <w:ind w:left="576" w:hanging="216"/>
            </w:pPr>
            <w:r w:rsidRPr="005D4222">
              <w:t>Two or More Races.</w:t>
            </w:r>
          </w:p>
          <w:p w14:paraId="74C6AB37" w14:textId="77777777" w:rsidR="00E43260" w:rsidRPr="005D4222" w:rsidRDefault="00E43260" w:rsidP="00E43260">
            <w:pPr>
              <w:pStyle w:val="Bullet"/>
              <w:numPr>
                <w:ilvl w:val="0"/>
                <w:numId w:val="4"/>
              </w:numPr>
              <w:tabs>
                <w:tab w:val="left" w:pos="360"/>
                <w:tab w:val="left" w:pos="576"/>
              </w:tabs>
              <w:ind w:left="576" w:hanging="216"/>
            </w:pPr>
            <w:r w:rsidRPr="005D4222">
              <w:t>Asked But No Answer.</w:t>
            </w:r>
          </w:p>
          <w:p w14:paraId="04A34F2D" w14:textId="77777777" w:rsidR="00E43260" w:rsidRPr="005D4222" w:rsidRDefault="00E43260" w:rsidP="00E43260">
            <w:pPr>
              <w:pStyle w:val="Bullet"/>
              <w:numPr>
                <w:ilvl w:val="0"/>
                <w:numId w:val="4"/>
              </w:numPr>
              <w:tabs>
                <w:tab w:val="left" w:pos="360"/>
                <w:tab w:val="left" w:pos="576"/>
              </w:tabs>
              <w:ind w:left="576" w:hanging="216"/>
            </w:pPr>
            <w:r w:rsidRPr="005D4222">
              <w:t>Unknown.</w:t>
            </w:r>
          </w:p>
          <w:p w14:paraId="08211DEF" w14:textId="1AD1D882" w:rsidR="00E43260" w:rsidRPr="005D4222" w:rsidRDefault="00E43260" w:rsidP="00A53E8C">
            <w:pPr>
              <w:pStyle w:val="ECDSBody"/>
            </w:pPr>
            <w:r w:rsidRPr="005D4222">
              <w:t xml:space="preserve">Ethnicity. (Refer to </w:t>
            </w:r>
            <w:hyperlink w:anchor="GG_Race_and_Ethnicity" w:history="1">
              <w:r w:rsidRPr="005D4222">
                <w:rPr>
                  <w:rStyle w:val="Hyperlink"/>
                  <w:i/>
                  <w:iCs/>
                </w:rPr>
                <w:t>General Guideline: Race and Ethnicity Stratification</w:t>
              </w:r>
            </w:hyperlink>
            <w:r w:rsidRPr="005D4222">
              <w:t>.)</w:t>
            </w:r>
          </w:p>
          <w:p w14:paraId="79861038" w14:textId="77777777" w:rsidR="00E43260" w:rsidRPr="005D4222" w:rsidRDefault="00E43260" w:rsidP="00E43260">
            <w:pPr>
              <w:pStyle w:val="Bullet"/>
              <w:numPr>
                <w:ilvl w:val="0"/>
                <w:numId w:val="4"/>
              </w:numPr>
              <w:tabs>
                <w:tab w:val="left" w:pos="360"/>
                <w:tab w:val="left" w:pos="576"/>
              </w:tabs>
              <w:ind w:left="576" w:hanging="216"/>
            </w:pPr>
            <w:r w:rsidRPr="005D4222">
              <w:t>Hispanic or Latino.</w:t>
            </w:r>
          </w:p>
          <w:p w14:paraId="27292F9A" w14:textId="77777777" w:rsidR="00E43260" w:rsidRPr="005D4222" w:rsidRDefault="00E43260" w:rsidP="00E43260">
            <w:pPr>
              <w:pStyle w:val="Bullet"/>
              <w:numPr>
                <w:ilvl w:val="0"/>
                <w:numId w:val="4"/>
              </w:numPr>
              <w:tabs>
                <w:tab w:val="left" w:pos="360"/>
                <w:tab w:val="left" w:pos="576"/>
              </w:tabs>
              <w:ind w:left="576" w:hanging="216"/>
            </w:pPr>
            <w:r w:rsidRPr="005D4222">
              <w:t>Not Hispanic or Latino.</w:t>
            </w:r>
          </w:p>
          <w:p w14:paraId="7213F924" w14:textId="77777777" w:rsidR="00E43260" w:rsidRPr="005D4222" w:rsidRDefault="00E43260" w:rsidP="00E43260">
            <w:pPr>
              <w:pStyle w:val="Bullet"/>
              <w:numPr>
                <w:ilvl w:val="0"/>
                <w:numId w:val="4"/>
              </w:numPr>
              <w:tabs>
                <w:tab w:val="left" w:pos="360"/>
                <w:tab w:val="left" w:pos="576"/>
              </w:tabs>
              <w:ind w:left="576" w:hanging="216"/>
            </w:pPr>
            <w:r w:rsidRPr="005D4222">
              <w:t>Asked But No Answer.</w:t>
            </w:r>
          </w:p>
          <w:p w14:paraId="0349BDE3" w14:textId="77777777" w:rsidR="00E43260" w:rsidRPr="005D4222" w:rsidRDefault="00E43260" w:rsidP="00E43260">
            <w:pPr>
              <w:pStyle w:val="Bullet"/>
              <w:numPr>
                <w:ilvl w:val="0"/>
                <w:numId w:val="4"/>
              </w:numPr>
              <w:tabs>
                <w:tab w:val="left" w:pos="360"/>
                <w:tab w:val="left" w:pos="576"/>
              </w:tabs>
              <w:ind w:left="576" w:hanging="216"/>
            </w:pPr>
            <w:r w:rsidRPr="005D4222">
              <w:t>Unknown.</w:t>
            </w:r>
          </w:p>
          <w:p w14:paraId="3F065ED8" w14:textId="43872200" w:rsidR="00E43260" w:rsidRPr="005D4222" w:rsidRDefault="00E43260" w:rsidP="00A53E8C">
            <w:pPr>
              <w:pStyle w:val="ECDSBody"/>
            </w:pPr>
            <w:r w:rsidRPr="005D4222">
              <w:t xml:space="preserve">SES (Medicare only). (Refer to </w:t>
            </w:r>
            <w:hyperlink w:anchor="GG_Medicare_Socioeconomic" w:history="1">
              <w:r w:rsidRPr="005D4222">
                <w:rPr>
                  <w:rStyle w:val="Hyperlink"/>
                  <w:i/>
                  <w:iCs/>
                </w:rPr>
                <w:t>General Guideline: Medicare Socioeconomic Status Stratification</w:t>
              </w:r>
            </w:hyperlink>
            <w:r w:rsidRPr="005D4222">
              <w:rPr>
                <w:i/>
                <w:iCs/>
              </w:rPr>
              <w:t>.</w:t>
            </w:r>
            <w:r w:rsidRPr="005D4222">
              <w:t xml:space="preserve">)  </w:t>
            </w:r>
          </w:p>
          <w:p w14:paraId="727152D8" w14:textId="77777777" w:rsidR="00E43260" w:rsidRPr="005D4222" w:rsidRDefault="00E43260" w:rsidP="00E43260">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Non-LIS/DE, Nondisability.</w:t>
            </w:r>
          </w:p>
          <w:p w14:paraId="0084192A" w14:textId="77777777" w:rsidR="00E43260" w:rsidRPr="005D4222" w:rsidRDefault="00E43260" w:rsidP="00E43260">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LIS/DE.</w:t>
            </w:r>
          </w:p>
          <w:p w14:paraId="66C61AED" w14:textId="77777777" w:rsidR="00E43260" w:rsidRPr="005D4222" w:rsidRDefault="00E43260" w:rsidP="00E43260">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Disability.</w:t>
            </w:r>
          </w:p>
          <w:p w14:paraId="5903D88E" w14:textId="77777777" w:rsidR="00E43260" w:rsidRPr="005D4222" w:rsidRDefault="00E43260" w:rsidP="00E43260">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 xml:space="preserve">LIS/DE and Disability. </w:t>
            </w:r>
          </w:p>
          <w:p w14:paraId="03979874" w14:textId="77777777" w:rsidR="00E43260" w:rsidRPr="005D4222" w:rsidRDefault="00E43260" w:rsidP="00E43260">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Other.</w:t>
            </w:r>
          </w:p>
          <w:p w14:paraId="69C05DF3" w14:textId="77777777" w:rsidR="00E43260" w:rsidRPr="005D4222" w:rsidRDefault="00E43260" w:rsidP="00E43260">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Unknown.</w:t>
            </w:r>
          </w:p>
        </w:tc>
      </w:tr>
      <w:tr w:rsidR="00E43260" w:rsidRPr="005D4222" w14:paraId="4D45A521" w14:textId="77777777" w:rsidTr="00E43260">
        <w:tc>
          <w:tcPr>
            <w:tcW w:w="2157" w:type="dxa"/>
            <w:tcBorders>
              <w:top w:val="nil"/>
              <w:left w:val="single" w:sz="4" w:space="0" w:color="auto"/>
              <w:bottom w:val="nil"/>
              <w:right w:val="single" w:sz="4" w:space="0" w:color="auto"/>
            </w:tcBorders>
            <w:tcMar>
              <w:top w:w="0" w:type="dxa"/>
              <w:left w:w="86" w:type="dxa"/>
              <w:bottom w:w="43" w:type="dxa"/>
              <w:right w:w="86" w:type="dxa"/>
            </w:tcMar>
          </w:tcPr>
          <w:p w14:paraId="3DF75018" w14:textId="77777777" w:rsidR="00E43260" w:rsidRPr="005D4222" w:rsidRDefault="00E43260" w:rsidP="00E43260">
            <w:pPr>
              <w:pStyle w:val="ECDSSubhead"/>
            </w:pPr>
            <w:r w:rsidRPr="005D4222">
              <w:t>Risk adjustment</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53C87BE3" w14:textId="77777777" w:rsidR="00E43260" w:rsidRPr="005D4222" w:rsidRDefault="00E43260" w:rsidP="00E43260">
            <w:pPr>
              <w:pStyle w:val="ECDSBody"/>
              <w:spacing w:after="0"/>
            </w:pPr>
            <w:r w:rsidRPr="005D4222">
              <w:t>None.</w:t>
            </w:r>
          </w:p>
        </w:tc>
      </w:tr>
      <w:tr w:rsidR="00E43260" w:rsidRPr="005D4222" w14:paraId="67038E9A" w14:textId="77777777" w:rsidTr="00E43260">
        <w:tc>
          <w:tcPr>
            <w:tcW w:w="2157" w:type="dxa"/>
            <w:tcBorders>
              <w:top w:val="nil"/>
              <w:left w:val="single" w:sz="4" w:space="0" w:color="auto"/>
              <w:bottom w:val="nil"/>
              <w:right w:val="single" w:sz="4" w:space="0" w:color="auto"/>
            </w:tcBorders>
            <w:tcMar>
              <w:top w:w="0" w:type="dxa"/>
              <w:left w:w="86" w:type="dxa"/>
              <w:bottom w:w="43" w:type="dxa"/>
              <w:right w:w="86" w:type="dxa"/>
            </w:tcMar>
          </w:tcPr>
          <w:p w14:paraId="03DCD1E3" w14:textId="77777777" w:rsidR="00E43260" w:rsidRPr="005D4222" w:rsidRDefault="00E43260" w:rsidP="00E43260">
            <w:pPr>
              <w:pStyle w:val="ECDSSubhead"/>
            </w:pPr>
            <w:r w:rsidRPr="005D4222">
              <w:t>Improvement notation</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496C9E59" w14:textId="77777777" w:rsidR="00E43260" w:rsidRPr="005D4222" w:rsidRDefault="00E43260" w:rsidP="00E43260">
            <w:pPr>
              <w:pStyle w:val="ECDSBody"/>
              <w:spacing w:after="0"/>
            </w:pPr>
            <w:r w:rsidRPr="005D4222">
              <w:t>Increased score indicates improvement.</w:t>
            </w:r>
          </w:p>
        </w:tc>
      </w:tr>
      <w:tr w:rsidR="00E43260" w:rsidRPr="005D4222" w14:paraId="0B85E631" w14:textId="77777777" w:rsidTr="00E43260">
        <w:trPr>
          <w:trHeight w:val="633"/>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0E8294B9" w14:textId="77777777" w:rsidR="00E43260" w:rsidRPr="005D4222" w:rsidRDefault="00E43260" w:rsidP="00E43260">
            <w:pPr>
              <w:pStyle w:val="ECDSSubhead"/>
            </w:pPr>
            <w:r w:rsidRPr="005D4222">
              <w:t>Guidance</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42902A77" w14:textId="760A1E79" w:rsidR="00E43260" w:rsidRPr="005D4222" w:rsidRDefault="00E43260" w:rsidP="00A53E8C">
            <w:pPr>
              <w:pStyle w:val="ECDSBody"/>
            </w:pPr>
            <w:r w:rsidRPr="005D4222">
              <w:rPr>
                <w:b/>
                <w:bCs w:val="0"/>
              </w:rPr>
              <w:t>Data collection methodology</w:t>
            </w:r>
            <w:r w:rsidRPr="005D4222">
              <w:rPr>
                <w:b/>
              </w:rPr>
              <w:t>:</w:t>
            </w:r>
            <w:r w:rsidRPr="005D4222">
              <w:t xml:space="preserve"> ECDS. Refer to </w:t>
            </w:r>
            <w:hyperlink w:anchor="General_Guideline_Data_Collection_Method" w:history="1">
              <w:r w:rsidRPr="005D4222">
                <w:rPr>
                  <w:rStyle w:val="Hyperlink"/>
                  <w:i/>
                </w:rPr>
                <w:t>General Guideline: Data Collection Methods</w:t>
              </w:r>
            </w:hyperlink>
            <w:r w:rsidRPr="005D4222">
              <w:t xml:space="preserve"> for additional information.</w:t>
            </w:r>
          </w:p>
          <w:p w14:paraId="2FB9E5FB" w14:textId="77777777" w:rsidR="00E43260" w:rsidRPr="005D4222" w:rsidRDefault="00E43260" w:rsidP="00A53E8C">
            <w:pPr>
              <w:pStyle w:val="ECDSBody"/>
            </w:pPr>
            <w:r w:rsidRPr="005D4222">
              <w:rPr>
                <w:b/>
                <w:bCs w:val="0"/>
              </w:rPr>
              <w:t xml:space="preserve">Date specificity: </w:t>
            </w:r>
            <w:r w:rsidRPr="005D4222">
              <w:t xml:space="preserve">Dates must be specific enough to determine the event occurred in the period being measured. </w:t>
            </w:r>
          </w:p>
          <w:p w14:paraId="09B8A45B" w14:textId="77777777" w:rsidR="00E43260" w:rsidRPr="005D4222" w:rsidRDefault="00E43260" w:rsidP="00A53E8C">
            <w:pPr>
              <w:pStyle w:val="ECDSBody"/>
            </w:pPr>
            <w:r w:rsidRPr="005D4222">
              <w:rPr>
                <w:b/>
              </w:rPr>
              <w:t xml:space="preserve">Which services count? </w:t>
            </w:r>
            <w:r w:rsidRPr="005D4222">
              <w:t>When using claims, include all paid, suspended, pending and denied claims.</w:t>
            </w:r>
          </w:p>
        </w:tc>
      </w:tr>
      <w:tr w:rsidR="00E43260" w:rsidRPr="005D4222" w14:paraId="3E6663CF" w14:textId="77777777" w:rsidTr="00E43260">
        <w:trPr>
          <w:trHeight w:val="320"/>
        </w:trPr>
        <w:tc>
          <w:tcPr>
            <w:tcW w:w="2157" w:type="dxa"/>
            <w:shd w:val="clear" w:color="auto" w:fill="BFBFBF" w:themeFill="background1" w:themeFillShade="BF"/>
            <w:tcMar>
              <w:top w:w="0" w:type="dxa"/>
              <w:left w:w="86" w:type="dxa"/>
              <w:bottom w:w="43" w:type="dxa"/>
              <w:right w:w="86" w:type="dxa"/>
            </w:tcMar>
          </w:tcPr>
          <w:p w14:paraId="2ADCA2F2" w14:textId="77777777" w:rsidR="00E43260" w:rsidRPr="005D4222" w:rsidRDefault="00E43260" w:rsidP="00A53E8C">
            <w:pPr>
              <w:pStyle w:val="ECDSMarginHead"/>
            </w:pPr>
            <w:r w:rsidRPr="005D4222">
              <w:t>Initial population</w:t>
            </w:r>
          </w:p>
        </w:tc>
        <w:tc>
          <w:tcPr>
            <w:tcW w:w="7557"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D63D9C8" w14:textId="77777777" w:rsidR="00E43260" w:rsidRPr="005D4222" w:rsidRDefault="00E43260" w:rsidP="00A53E8C">
            <w:pPr>
              <w:pStyle w:val="ECDSBody"/>
            </w:pPr>
            <w:r w:rsidRPr="005D4222">
              <w:rPr>
                <w:i/>
              </w:rPr>
              <w:t xml:space="preserve">Measure item count: </w:t>
            </w:r>
            <w:r w:rsidRPr="005D4222">
              <w:t>Person.</w:t>
            </w:r>
          </w:p>
          <w:p w14:paraId="2AA6AC84" w14:textId="5BE23EBC" w:rsidR="00E43260" w:rsidRPr="005D4222" w:rsidRDefault="00F10378" w:rsidP="00A53E8C">
            <w:pPr>
              <w:pStyle w:val="ECDSBody"/>
            </w:pPr>
            <w:r w:rsidRPr="005D4222">
              <w:rPr>
                <w:i/>
                <w:iCs/>
              </w:rPr>
              <w:t>Attribution basis:</w:t>
            </w:r>
            <w:r w:rsidR="00E43260" w:rsidRPr="005D4222">
              <w:t xml:space="preserve"> Enrollment.</w:t>
            </w:r>
          </w:p>
          <w:p w14:paraId="57351C4B" w14:textId="77777777" w:rsidR="00E43260" w:rsidRPr="005D4222" w:rsidRDefault="00E43260" w:rsidP="00E43260">
            <w:pPr>
              <w:pStyle w:val="Bullet"/>
              <w:numPr>
                <w:ilvl w:val="0"/>
                <w:numId w:val="4"/>
              </w:numPr>
              <w:tabs>
                <w:tab w:val="left" w:pos="360"/>
                <w:tab w:val="left" w:pos="576"/>
              </w:tabs>
              <w:ind w:left="576" w:hanging="216"/>
            </w:pPr>
            <w:r w:rsidRPr="005D4222">
              <w:rPr>
                <w:i/>
              </w:rPr>
              <w:t xml:space="preserve">Benefits: </w:t>
            </w:r>
            <w:r w:rsidRPr="005D4222">
              <w:t>Medical.</w:t>
            </w:r>
          </w:p>
          <w:p w14:paraId="2B8B4902" w14:textId="77777777" w:rsidR="00E43260" w:rsidRPr="005D4222" w:rsidRDefault="00E43260" w:rsidP="00E43260">
            <w:pPr>
              <w:pStyle w:val="Bullet"/>
              <w:numPr>
                <w:ilvl w:val="0"/>
                <w:numId w:val="4"/>
              </w:numPr>
              <w:tabs>
                <w:tab w:val="left" w:pos="360"/>
                <w:tab w:val="left" w:pos="576"/>
              </w:tabs>
              <w:ind w:left="576" w:hanging="216"/>
            </w:pPr>
            <w:r w:rsidRPr="005D4222">
              <w:rPr>
                <w:i/>
              </w:rPr>
              <w:t xml:space="preserve">Continuous enrollment: </w:t>
            </w:r>
            <w:r w:rsidRPr="005D4222">
              <w:rPr>
                <w:kern w:val="20"/>
              </w:rPr>
              <w:t>The measurement period and the year prior to the measurement period.</w:t>
            </w:r>
          </w:p>
          <w:p w14:paraId="197C8A73" w14:textId="77777777" w:rsidR="00E43260" w:rsidRPr="005D4222" w:rsidRDefault="00E43260" w:rsidP="00E43260">
            <w:pPr>
              <w:pStyle w:val="Bullet"/>
              <w:numPr>
                <w:ilvl w:val="0"/>
                <w:numId w:val="4"/>
              </w:numPr>
              <w:tabs>
                <w:tab w:val="left" w:pos="360"/>
                <w:tab w:val="left" w:pos="576"/>
              </w:tabs>
              <w:ind w:left="576" w:hanging="216"/>
            </w:pPr>
            <w:r w:rsidRPr="005D4222">
              <w:rPr>
                <w:i/>
              </w:rPr>
              <w:t xml:space="preserve">Allowable gap: </w:t>
            </w:r>
            <w:r w:rsidRPr="005D4222">
              <w:t>No more than one gap of ≤45 days during each year of the continuous enrollment period. No gaps on the last day of the measurement period.</w:t>
            </w:r>
          </w:p>
          <w:p w14:paraId="59D82482" w14:textId="77777777" w:rsidR="00E43260" w:rsidRPr="005D4222" w:rsidRDefault="00E43260" w:rsidP="00A53E8C">
            <w:pPr>
              <w:pStyle w:val="ECDSBody"/>
            </w:pPr>
            <w:r w:rsidRPr="005D4222">
              <w:rPr>
                <w:i/>
                <w:iCs/>
              </w:rPr>
              <w:t>Ages:</w:t>
            </w:r>
            <w:r w:rsidRPr="005D4222">
              <w:t xml:space="preserve"> 46–75 years of age as of the last day of the measurement period.</w:t>
            </w:r>
          </w:p>
          <w:p w14:paraId="53FD7B0C" w14:textId="77777777" w:rsidR="00E43260" w:rsidRPr="005D4222" w:rsidRDefault="00E43260" w:rsidP="00A53E8C">
            <w:pPr>
              <w:pStyle w:val="ECDSBody"/>
            </w:pPr>
            <w:r w:rsidRPr="005D4222">
              <w:rPr>
                <w:i/>
              </w:rPr>
              <w:t>Event:</w:t>
            </w:r>
            <w:r w:rsidRPr="005D4222">
              <w:t xml:space="preserve"> None.</w:t>
            </w:r>
          </w:p>
        </w:tc>
      </w:tr>
      <w:tr w:rsidR="00E43260" w:rsidRPr="005D4222" w14:paraId="262102B6" w14:textId="77777777" w:rsidTr="00E43260">
        <w:tc>
          <w:tcPr>
            <w:tcW w:w="2157" w:type="dxa"/>
            <w:tcBorders>
              <w:top w:val="single" w:sz="2"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70C3C198" w14:textId="77777777" w:rsidR="00E43260" w:rsidRPr="005D4222" w:rsidRDefault="00E43260" w:rsidP="00A53E8C">
            <w:pPr>
              <w:pStyle w:val="ECDSMarginHead"/>
              <w:rPr>
                <w:iCs/>
              </w:rPr>
            </w:pPr>
            <w:r w:rsidRPr="005D4222">
              <w:rPr>
                <w:iCs/>
              </w:rPr>
              <w:lastRenderedPageBreak/>
              <w:t>Denominator exclusions</w:t>
            </w:r>
          </w:p>
        </w:tc>
        <w:tc>
          <w:tcPr>
            <w:tcW w:w="7557" w:type="dxa"/>
            <w:gridSpan w:val="3"/>
            <w:tcBorders>
              <w:top w:val="single" w:sz="4" w:space="0" w:color="auto"/>
              <w:left w:val="single" w:sz="4" w:space="0" w:color="auto"/>
              <w:right w:val="single" w:sz="4" w:space="0" w:color="auto"/>
            </w:tcBorders>
            <w:tcMar>
              <w:top w:w="0" w:type="dxa"/>
              <w:left w:w="86" w:type="dxa"/>
              <w:bottom w:w="43" w:type="dxa"/>
              <w:right w:w="86" w:type="dxa"/>
            </w:tcMar>
          </w:tcPr>
          <w:p w14:paraId="20E6D523" w14:textId="77777777" w:rsidR="00E43260" w:rsidRPr="005D4222" w:rsidRDefault="00E43260" w:rsidP="00A53E8C">
            <w:pPr>
              <w:pStyle w:val="ECDSBody"/>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w:t>
            </w:r>
          </w:p>
          <w:p w14:paraId="528B6F5D" w14:textId="77777777" w:rsidR="00E43260" w:rsidRPr="005D4222" w:rsidRDefault="00E43260" w:rsidP="00A53E8C">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4A3C1FD9" w14:textId="77777777" w:rsidR="00E43260" w:rsidRPr="005D4222" w:rsidRDefault="00E43260" w:rsidP="00A53E8C">
            <w:pPr>
              <w:pStyle w:val="ECDSBody"/>
            </w:pPr>
            <w:r w:rsidRPr="005D4222" w:rsidDel="00AA4A01">
              <w:rPr>
                <w:b/>
              </w:rPr>
              <w:t xml:space="preserve">Persons </w:t>
            </w:r>
            <w:r w:rsidRPr="005D4222">
              <w:rPr>
                <w:b/>
              </w:rPr>
              <w:t>receiving palliative care.</w:t>
            </w:r>
            <w:r w:rsidRPr="005D4222">
              <w:rPr>
                <w:b/>
              </w:rPr>
              <w:br/>
            </w:r>
            <w:r w:rsidRPr="005D4222">
              <w:t>Persons receiving palliative care (</w:t>
            </w:r>
            <w:r w:rsidRPr="005D4222">
              <w:rPr>
                <w:u w:val="single"/>
              </w:rPr>
              <w:t>Palliative Care Assessment Value Set</w:t>
            </w:r>
            <w:r w:rsidRPr="005D4222">
              <w:t xml:space="preserve">; </w:t>
            </w:r>
            <w:r w:rsidRPr="005D4222">
              <w:rPr>
                <w:u w:val="single"/>
              </w:rPr>
              <w:t>Palliative Care Encounter Value Set</w:t>
            </w:r>
            <w:r w:rsidRPr="005D4222">
              <w:t xml:space="preserve">; </w:t>
            </w:r>
            <w:r w:rsidRPr="005D4222">
              <w:rPr>
                <w:u w:val="single"/>
              </w:rPr>
              <w:t>Palliative Care Intervention Value Set</w:t>
            </w:r>
            <w:r w:rsidRPr="005D4222">
              <w:t xml:space="preserve">) or who had an encounter for palliative care (ICD-10-CM code Z51.5*) any time during the measurement period. </w:t>
            </w:r>
          </w:p>
          <w:p w14:paraId="7F9E923B" w14:textId="77777777" w:rsidR="00E43260" w:rsidRPr="005D4222" w:rsidRDefault="00E43260" w:rsidP="00A53E8C">
            <w:pPr>
              <w:pStyle w:val="ECDSBody"/>
            </w:pPr>
            <w:r w:rsidRPr="005D4222">
              <w:rPr>
                <w:b/>
                <w:shd w:val="clear" w:color="auto" w:fill="FFFFFF"/>
              </w:rPr>
              <w:t>Medicare enrollees, 66 years of age and older by the last day of the measurement period, in an institutional SNP (I-SNP) or living long-term in an institution (LTI).</w:t>
            </w:r>
          </w:p>
          <w:p w14:paraId="015CEFCD" w14:textId="77777777" w:rsidR="00E43260" w:rsidRPr="005D4222" w:rsidRDefault="00E43260" w:rsidP="00E43260">
            <w:pPr>
              <w:pStyle w:val="ProcessBullet"/>
            </w:pPr>
            <w:r w:rsidRPr="005D4222">
              <w:t>Enrolled in an Institutional SNP (I-SNP) any time during the measurement period.</w:t>
            </w:r>
          </w:p>
          <w:p w14:paraId="65684371" w14:textId="77777777" w:rsidR="00E43260" w:rsidRPr="005D4222" w:rsidRDefault="00E43260" w:rsidP="00E43260">
            <w:pPr>
              <w:pStyle w:val="ProcessBullet"/>
            </w:pPr>
            <w:r w:rsidRPr="005D4222">
              <w:t>Living long-term in an institution any time during the measurement period as identified by the LTI flag in the Monthly Membership Detail Data File. Use the run date of the file to determine if a member had an LTI flag during the measurement period.</w:t>
            </w:r>
          </w:p>
          <w:p w14:paraId="6BF03A30" w14:textId="77777777" w:rsidR="00E43260" w:rsidRPr="005D4222" w:rsidRDefault="00E43260" w:rsidP="00A53E8C">
            <w:pPr>
              <w:pStyle w:val="ECDSBody"/>
              <w:rPr>
                <w:b/>
                <w:bCs w:val="0"/>
              </w:rPr>
            </w:pPr>
            <w:r w:rsidRPr="005D4222">
              <w:rPr>
                <w:b/>
              </w:rPr>
              <w:t>Persons 66 years of age or older by the last day of the measurement period, with both frailty and advanced illness.</w:t>
            </w:r>
          </w:p>
          <w:p w14:paraId="79F53D91" w14:textId="77777777" w:rsidR="00E43260" w:rsidRPr="005D4222" w:rsidRDefault="00E43260" w:rsidP="00A53E8C">
            <w:pPr>
              <w:pStyle w:val="Body"/>
              <w:spacing w:before="60" w:after="60"/>
              <w:ind w:left="288" w:hanging="288"/>
              <w:rPr>
                <w:rFonts w:cs="Arial"/>
                <w:u w:val="single"/>
              </w:rPr>
            </w:pPr>
            <w:r w:rsidRPr="005D4222">
              <w:t>1.</w:t>
            </w:r>
            <w:r w:rsidRPr="005D4222">
              <w:tab/>
            </w:r>
            <w:r w:rsidRPr="005D4222">
              <w:rPr>
                <w:b/>
              </w:rPr>
              <w:t>Frailty.</w:t>
            </w:r>
            <w:r w:rsidRPr="005D4222">
              <w:t xml:space="preserve"> </w:t>
            </w:r>
            <w:r w:rsidRPr="005D4222">
              <w:rPr>
                <w:rFonts w:cs="Arial"/>
              </w:rPr>
              <w:t>At least two indications of frailty (</w:t>
            </w:r>
            <w:r w:rsidRPr="005D4222">
              <w:rPr>
                <w:rFonts w:cs="Arial"/>
                <w:u w:val="single"/>
              </w:rPr>
              <w:t>Frailty Device Value Set</w:t>
            </w:r>
            <w:r w:rsidRPr="005D4222">
              <w:rPr>
                <w:rFonts w:cs="Arial"/>
              </w:rPr>
              <w:t xml:space="preserve">; </w:t>
            </w:r>
            <w:r w:rsidRPr="005D4222">
              <w:rPr>
                <w:rFonts w:cs="Arial"/>
                <w:u w:val="single"/>
              </w:rPr>
              <w:t>Frailty Diagnosis Value Set</w:t>
            </w:r>
            <w:r w:rsidRPr="005D4222">
              <w:rPr>
                <w:rFonts w:cs="Arial"/>
              </w:rPr>
              <w:t xml:space="preserve">*; </w:t>
            </w:r>
            <w:r w:rsidRPr="005D4222">
              <w:rPr>
                <w:rFonts w:cs="Arial"/>
                <w:u w:val="single"/>
              </w:rPr>
              <w:t>Frailty Encounter Value Set</w:t>
            </w:r>
            <w:r w:rsidRPr="005D4222">
              <w:rPr>
                <w:rFonts w:cs="Arial"/>
              </w:rPr>
              <w:t xml:space="preserve">; </w:t>
            </w:r>
            <w:r w:rsidRPr="005D4222">
              <w:rPr>
                <w:rFonts w:cs="Arial"/>
                <w:u w:val="single"/>
              </w:rPr>
              <w:t>Frailty Symptom Value Set</w:t>
            </w:r>
            <w:r w:rsidR="00E254AA" w:rsidRPr="005D4222">
              <w:rPr>
                <w:rFonts w:cs="Arial"/>
              </w:rPr>
              <w:t>*</w:t>
            </w:r>
            <w:r w:rsidRPr="005D4222">
              <w:rPr>
                <w:rFonts w:cs="Arial"/>
              </w:rPr>
              <w:t>) with different dates of service during the measurement period.</w:t>
            </w:r>
          </w:p>
          <w:p w14:paraId="5047E6E0" w14:textId="77777777" w:rsidR="00E43260" w:rsidRPr="005D4222" w:rsidRDefault="00E43260" w:rsidP="00A53E8C">
            <w:pPr>
              <w:pStyle w:val="Body"/>
              <w:spacing w:before="60" w:after="60"/>
              <w:ind w:left="288" w:hanging="288"/>
              <w:rPr>
                <w:rFonts w:cs="Arial"/>
              </w:rPr>
            </w:pPr>
            <w:r w:rsidRPr="005D4222">
              <w:t>2.</w:t>
            </w:r>
            <w:r w:rsidRPr="005D4222">
              <w:tab/>
            </w:r>
            <w:r w:rsidRPr="005D4222">
              <w:rPr>
                <w:b/>
              </w:rPr>
              <w:t>Advanced illness.</w:t>
            </w:r>
            <w:r w:rsidRPr="005D4222">
              <w:t xml:space="preserve"> Either</w:t>
            </w:r>
            <w:r w:rsidRPr="005D4222">
              <w:rPr>
                <w:rFonts w:cs="Arial"/>
              </w:rPr>
              <w:t xml:space="preserve"> of the following during the measurement period or the year prior to the measurement period: </w:t>
            </w:r>
          </w:p>
          <w:p w14:paraId="7170FB4F" w14:textId="77777777" w:rsidR="00E43260" w:rsidRPr="005D4222" w:rsidRDefault="00E43260" w:rsidP="00E43260">
            <w:pPr>
              <w:pStyle w:val="ProcessDash"/>
              <w:tabs>
                <w:tab w:val="clear" w:pos="432"/>
              </w:tabs>
              <w:spacing w:after="40"/>
              <w:ind w:left="504"/>
            </w:pPr>
            <w:r w:rsidRPr="005D4222">
              <w:t>Advanced illness (</w:t>
            </w:r>
            <w:r w:rsidRPr="005D4222">
              <w:rPr>
                <w:u w:val="single"/>
              </w:rPr>
              <w:t>Advanced Illness Value Set</w:t>
            </w:r>
            <w:r w:rsidRPr="005D4222">
              <w:t>*) on at least two different dates of service.</w:t>
            </w:r>
          </w:p>
          <w:p w14:paraId="16660109" w14:textId="77777777" w:rsidR="00E43260" w:rsidRPr="005D4222" w:rsidRDefault="00E43260" w:rsidP="00E43260">
            <w:pPr>
              <w:pStyle w:val="ProcessDash"/>
              <w:tabs>
                <w:tab w:val="clear" w:pos="432"/>
              </w:tabs>
              <w:spacing w:after="40"/>
              <w:ind w:left="504"/>
            </w:pPr>
            <w:r w:rsidRPr="005D4222">
              <w:t>Dispensed dementia medication (</w:t>
            </w:r>
            <w:r w:rsidRPr="005D4222">
              <w:rPr>
                <w:u w:val="single"/>
              </w:rPr>
              <w:t>Dementia Medications List</w:t>
            </w:r>
            <w:r w:rsidRPr="005D4222">
              <w:t>).</w:t>
            </w:r>
          </w:p>
          <w:p w14:paraId="62426925" w14:textId="1A94AB19" w:rsidR="00E43260" w:rsidRPr="005D4222" w:rsidRDefault="00E43260" w:rsidP="00A53E8C">
            <w:pPr>
              <w:pStyle w:val="ECDSBody"/>
              <w:rPr>
                <w:rFonts w:eastAsia="Arial,Arial,Arial,Arial,Arial,A"/>
                <w:b/>
                <w:bCs w:val="0"/>
              </w:rPr>
            </w:pPr>
            <w:r w:rsidRPr="005D4222">
              <w:rPr>
                <w:rFonts w:eastAsia="Arial,Arial,Arial,Arial,Arial,A"/>
                <w:b/>
              </w:rPr>
              <w:t>History of colorectal cancer and/or total colectomy.</w:t>
            </w:r>
            <w:r w:rsidRPr="005D4222">
              <w:rPr>
                <w:rFonts w:eastAsia="Arial,Arial,Arial,Arial,Arial,A"/>
                <w:b/>
              </w:rPr>
              <w:br/>
            </w:r>
            <w:r w:rsidRPr="005D4222">
              <w:rPr>
                <w:szCs w:val="21"/>
              </w:rPr>
              <w:t>Colorectal cancer (</w:t>
            </w:r>
            <w:r w:rsidRPr="005D4222">
              <w:rPr>
                <w:szCs w:val="21"/>
                <w:u w:val="single"/>
              </w:rPr>
              <w:t>Colorectal Cancer and History of Colorectal Cancer Value Set</w:t>
            </w:r>
            <w:r w:rsidRPr="005D4222">
              <w:rPr>
                <w:szCs w:val="21"/>
              </w:rPr>
              <w:t>*) or a total colectomy (</w:t>
            </w:r>
            <w:r w:rsidRPr="005D4222">
              <w:rPr>
                <w:szCs w:val="21"/>
                <w:u w:val="single"/>
              </w:rPr>
              <w:t>Total Colectomy Value Set</w:t>
            </w:r>
            <w:r w:rsidRPr="005D4222">
              <w:rPr>
                <w:szCs w:val="21"/>
              </w:rPr>
              <w:t xml:space="preserve">; </w:t>
            </w:r>
            <w:r w:rsidR="00A4179C" w:rsidRPr="005D4222">
              <w:rPr>
                <w:szCs w:val="21"/>
              </w:rPr>
              <w:t>SNOMED CT</w:t>
            </w:r>
            <w:r w:rsidRPr="005D4222">
              <w:rPr>
                <w:szCs w:val="21"/>
              </w:rPr>
              <w:t xml:space="preserve"> code 119771000119101) </w:t>
            </w:r>
            <w:r w:rsidRPr="005D4222">
              <w:rPr>
                <w:rFonts w:eastAsia="Arial,Arial,Arial,Arial,Arial,A"/>
                <w:szCs w:val="21"/>
              </w:rPr>
              <w:t xml:space="preserve">any time during the person’s history through the last day of the measurement period. </w:t>
            </w:r>
          </w:p>
          <w:p w14:paraId="28C89718" w14:textId="77777777" w:rsidR="00E43260" w:rsidRPr="005D4222" w:rsidRDefault="00E43260" w:rsidP="00A53E8C">
            <w:pPr>
              <w:pStyle w:val="ECDSBody"/>
              <w:spacing w:after="0"/>
              <w:rPr>
                <w:rFonts w:eastAsia="Arial,Arial,Arial,Arial,Arial,A"/>
                <w:b/>
                <w:bCs w:val="0"/>
              </w:rPr>
            </w:pPr>
            <w:r w:rsidRPr="005D4222">
              <w:rPr>
                <w:rFonts w:eastAsia="Arial,Arial,Arial,Arial,Arial,A"/>
                <w:b/>
                <w:bCs w:val="0"/>
              </w:rPr>
              <w:t>Coding Guidance</w:t>
            </w:r>
          </w:p>
          <w:p w14:paraId="325947B7" w14:textId="77777777" w:rsidR="00E43260" w:rsidRPr="005D4222" w:rsidRDefault="00E43260" w:rsidP="00A53E8C">
            <w:pPr>
              <w:pStyle w:val="ECDSBody"/>
              <w:spacing w:before="0"/>
            </w:pPr>
            <w:r w:rsidRPr="005D4222">
              <w:rPr>
                <w:rFonts w:eastAsia="Arial,Arial,Arial,Arial,Arial,A"/>
                <w:i/>
              </w:rPr>
              <w:t>*</w:t>
            </w:r>
            <w:r w:rsidRPr="005D4222">
              <w:rPr>
                <w:rFonts w:eastAsia="Arial,Arial,Arial,Arial,Arial,A"/>
              </w:rPr>
              <w:t>Do not include laboratory claims (claims with POS code 81).</w:t>
            </w:r>
          </w:p>
        </w:tc>
      </w:tr>
      <w:tr w:rsidR="00E43260" w:rsidRPr="005D4222" w14:paraId="05CF8AAB" w14:textId="77777777" w:rsidTr="00E43260">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B71C1AE" w14:textId="77777777" w:rsidR="00E43260" w:rsidRPr="005D4222" w:rsidRDefault="00E43260" w:rsidP="00A53E8C">
            <w:pPr>
              <w:pStyle w:val="ECDSMarginHead"/>
              <w:rPr>
                <w:i/>
              </w:rPr>
            </w:pPr>
            <w:r w:rsidRPr="005D4222">
              <w:t>Denominator</w:t>
            </w:r>
          </w:p>
        </w:tc>
        <w:tc>
          <w:tcPr>
            <w:tcW w:w="7557"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6200794" w14:textId="77777777" w:rsidR="00E43260" w:rsidRPr="005D4222" w:rsidRDefault="00E43260" w:rsidP="00A53E8C">
            <w:pPr>
              <w:pStyle w:val="ECDSBody"/>
              <w:rPr>
                <w:b/>
              </w:rPr>
            </w:pPr>
            <w:r w:rsidRPr="005D4222">
              <w:rPr>
                <w:rFonts w:eastAsia="Arial,Arial,Arial,Arial,Arial,A"/>
              </w:rPr>
              <w:t>The initial population minus denominator exclusions.</w:t>
            </w:r>
          </w:p>
        </w:tc>
      </w:tr>
    </w:tbl>
    <w:p w14:paraId="060763B1" w14:textId="77777777" w:rsidR="00E43260" w:rsidRPr="005D4222" w:rsidRDefault="00E43260" w:rsidP="00E43260">
      <w:pPr>
        <w:spacing w:after="160" w:line="259" w:lineRule="auto"/>
      </w:pPr>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E43260" w:rsidRPr="005D4222" w14:paraId="2E6B480B" w14:textId="77777777" w:rsidTr="00A53E8C">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4883F29" w14:textId="77777777" w:rsidR="00E43260" w:rsidRPr="005D4222" w:rsidRDefault="00E43260" w:rsidP="00A53E8C">
            <w:pPr>
              <w:pStyle w:val="ECDSMarginHead"/>
            </w:pPr>
            <w:r w:rsidRPr="005D4222">
              <w:lastRenderedPageBreak/>
              <w:t>Numerator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59EBFB22" w14:textId="77777777" w:rsidR="00E43260" w:rsidRPr="005D4222" w:rsidRDefault="00E43260" w:rsidP="00A53E8C">
            <w:pPr>
              <w:pStyle w:val="ECDSBody"/>
              <w:rPr>
                <w:b/>
              </w:rPr>
            </w:pPr>
            <w:r w:rsidRPr="005D4222">
              <w:rPr>
                <w:b/>
              </w:rPr>
              <w:t>Persons with one or more screenings for colorectal cancer.</w:t>
            </w:r>
            <w:r w:rsidRPr="005D4222">
              <w:rPr>
                <w:b/>
                <w:bCs w:val="0"/>
              </w:rPr>
              <w:br/>
            </w:r>
            <w:r w:rsidRPr="005D4222">
              <w:t>Any of the following meet criteria:</w:t>
            </w:r>
          </w:p>
          <w:p w14:paraId="4D0E2F20" w14:textId="77777777" w:rsidR="00E43260" w:rsidRPr="005D4222" w:rsidRDefault="00E43260" w:rsidP="00E43260">
            <w:pPr>
              <w:pStyle w:val="Bullet"/>
              <w:numPr>
                <w:ilvl w:val="0"/>
                <w:numId w:val="4"/>
              </w:numPr>
              <w:tabs>
                <w:tab w:val="left" w:pos="360"/>
                <w:tab w:val="left" w:pos="576"/>
              </w:tabs>
              <w:ind w:left="576" w:hanging="216"/>
            </w:pPr>
            <w:r w:rsidRPr="005D4222">
              <w:t>Fecal occult blood test (</w:t>
            </w:r>
            <w:r w:rsidRPr="005D4222">
              <w:rPr>
                <w:u w:val="single"/>
              </w:rPr>
              <w:t>FOBT Lab Test Value Set</w:t>
            </w:r>
            <w:r w:rsidRPr="005D4222">
              <w:t xml:space="preserve">; </w:t>
            </w:r>
            <w:r w:rsidRPr="005D4222">
              <w:rPr>
                <w:u w:val="single"/>
              </w:rPr>
              <w:t>FOBT Test Result or Finding Value Set</w:t>
            </w:r>
            <w:r w:rsidRPr="005D4222">
              <w:t>) during the measurement period. For administrative data, assume the required number of samples were returned, regardless of FOBT type.</w:t>
            </w:r>
          </w:p>
          <w:p w14:paraId="3432CE6B" w14:textId="18EC7682" w:rsidR="00E43260" w:rsidRPr="005D4222" w:rsidRDefault="00E43260" w:rsidP="00E43260">
            <w:pPr>
              <w:pStyle w:val="Bullet"/>
              <w:numPr>
                <w:ilvl w:val="0"/>
                <w:numId w:val="4"/>
              </w:numPr>
              <w:tabs>
                <w:tab w:val="left" w:pos="360"/>
                <w:tab w:val="left" w:pos="576"/>
              </w:tabs>
              <w:ind w:left="576" w:hanging="216"/>
            </w:pPr>
            <w:r w:rsidRPr="005D4222">
              <w:t>Stool DNA (sDNA) with FIT test (</w:t>
            </w:r>
            <w:r w:rsidRPr="005D4222">
              <w:rPr>
                <w:u w:val="single"/>
              </w:rPr>
              <w:t>sDNA FIT Lab Test Value Set</w:t>
            </w:r>
            <w:r w:rsidRPr="005D4222">
              <w:t xml:space="preserve">; </w:t>
            </w:r>
            <w:r w:rsidR="00A4179C" w:rsidRPr="005D4222">
              <w:t>SNOMED CT</w:t>
            </w:r>
            <w:r w:rsidRPr="005D4222">
              <w:t xml:space="preserve"> code 708699002) during the measurement period or the </w:t>
            </w:r>
            <w:r w:rsidRPr="005D4222">
              <w:br/>
              <w:t>2 years prior to the measurement period.</w:t>
            </w:r>
          </w:p>
          <w:p w14:paraId="1C25B903" w14:textId="6F025E10" w:rsidR="00E43260" w:rsidRPr="005D4222" w:rsidRDefault="00E43260" w:rsidP="00E43260">
            <w:pPr>
              <w:pStyle w:val="Bullet"/>
              <w:numPr>
                <w:ilvl w:val="0"/>
                <w:numId w:val="4"/>
              </w:numPr>
              <w:tabs>
                <w:tab w:val="left" w:pos="360"/>
                <w:tab w:val="left" w:pos="576"/>
              </w:tabs>
              <w:ind w:left="576" w:hanging="216"/>
            </w:pPr>
            <w:r w:rsidRPr="005D4222">
              <w:t>Flexible sigmoidoscopy (</w:t>
            </w:r>
            <w:r w:rsidRPr="005D4222">
              <w:rPr>
                <w:u w:val="single"/>
              </w:rPr>
              <w:t>Flexible Sigmoidoscopy Value Set</w:t>
            </w:r>
            <w:r w:rsidRPr="005D4222">
              <w:t xml:space="preserve">; </w:t>
            </w:r>
            <w:r w:rsidR="00A4179C" w:rsidRPr="005D4222">
              <w:t>SNOMED CT</w:t>
            </w:r>
            <w:r w:rsidRPr="005D4222">
              <w:t xml:space="preserve"> code 841000119107) during the measurement period or the 4 years prior to the measurement period.</w:t>
            </w:r>
          </w:p>
          <w:p w14:paraId="6E376F45" w14:textId="77777777" w:rsidR="00E43260" w:rsidRPr="005D4222" w:rsidRDefault="00E43260" w:rsidP="00E43260">
            <w:pPr>
              <w:pStyle w:val="Bullet"/>
              <w:numPr>
                <w:ilvl w:val="0"/>
                <w:numId w:val="4"/>
              </w:numPr>
              <w:tabs>
                <w:tab w:val="left" w:pos="360"/>
                <w:tab w:val="left" w:pos="576"/>
              </w:tabs>
              <w:ind w:left="576" w:hanging="216"/>
            </w:pPr>
            <w:r w:rsidRPr="005D4222">
              <w:t>CT colonography (</w:t>
            </w:r>
            <w:r w:rsidRPr="005D4222">
              <w:rPr>
                <w:u w:val="single"/>
              </w:rPr>
              <w:t>CT Colonography Value Set</w:t>
            </w:r>
            <w:r w:rsidRPr="005D4222">
              <w:t>) during the measurement period or the 4 years prior to the measurement period.</w:t>
            </w:r>
          </w:p>
          <w:p w14:paraId="5FB49955" w14:textId="42AC6B8B" w:rsidR="00E43260" w:rsidRPr="005D4222" w:rsidRDefault="00E43260" w:rsidP="00E43260">
            <w:pPr>
              <w:pStyle w:val="Bullet"/>
              <w:numPr>
                <w:ilvl w:val="0"/>
                <w:numId w:val="4"/>
              </w:numPr>
              <w:tabs>
                <w:tab w:val="left" w:pos="360"/>
                <w:tab w:val="left" w:pos="576"/>
              </w:tabs>
              <w:spacing w:after="80"/>
              <w:ind w:left="576" w:hanging="216"/>
            </w:pPr>
            <w:r w:rsidRPr="005D4222">
              <w:t>Colonoscopy (</w:t>
            </w:r>
            <w:r w:rsidRPr="005D4222">
              <w:rPr>
                <w:u w:val="single"/>
              </w:rPr>
              <w:t>Colonoscopy Value Set</w:t>
            </w:r>
            <w:r w:rsidRPr="005D4222">
              <w:t xml:space="preserve">; </w:t>
            </w:r>
            <w:r w:rsidR="00A4179C" w:rsidRPr="005D4222">
              <w:t>SNOMED CT</w:t>
            </w:r>
            <w:r w:rsidRPr="005D4222">
              <w:t xml:space="preserve"> code 851000119109) during the measurement period or the 9 years prior to the measurement period.</w:t>
            </w:r>
          </w:p>
        </w:tc>
      </w:tr>
      <w:tr w:rsidR="00E43260" w:rsidRPr="005D4222" w14:paraId="379B3B41" w14:textId="77777777" w:rsidTr="00A53E8C">
        <w:trPr>
          <w:trHeight w:val="68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4B792A1" w14:textId="77777777" w:rsidR="00E43260" w:rsidRPr="005D4222" w:rsidRDefault="00E43260" w:rsidP="00A53E8C">
            <w:pPr>
              <w:pStyle w:val="ECDSMarginHead"/>
            </w:pPr>
            <w:r w:rsidRPr="005D4222">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1811303" w14:textId="77777777" w:rsidR="00E43260" w:rsidRPr="005D4222" w:rsidRDefault="00E43260" w:rsidP="005D6173">
            <w:pPr>
              <w:pStyle w:val="ProcessBullet"/>
              <w:numPr>
                <w:ilvl w:val="0"/>
                <w:numId w:val="145"/>
              </w:numPr>
              <w:tabs>
                <w:tab w:val="left" w:pos="216"/>
              </w:tabs>
              <w:ind w:left="216" w:hanging="216"/>
              <w:rPr>
                <w:color w:val="000000" w:themeColor="text1"/>
              </w:rPr>
            </w:pPr>
            <w:r w:rsidRPr="005D4222">
              <w:rPr>
                <w:color w:val="000000" w:themeColor="text1"/>
              </w:rPr>
              <w:t>Updated the race and ethnicity stratification categories to align with OMB SPD 15 2024.</w:t>
            </w:r>
          </w:p>
          <w:p w14:paraId="7FC342D6" w14:textId="77777777" w:rsidR="00E43260" w:rsidRPr="005D4222" w:rsidRDefault="00E43260" w:rsidP="005D6173">
            <w:pPr>
              <w:pStyle w:val="ProcessBullet"/>
              <w:numPr>
                <w:ilvl w:val="0"/>
                <w:numId w:val="145"/>
              </w:numPr>
              <w:ind w:left="216" w:hanging="216"/>
            </w:pPr>
            <w:r w:rsidRPr="005D4222">
              <w:t xml:space="preserve">Removed the definitions of “participation” and “participation period.” </w:t>
            </w:r>
          </w:p>
          <w:p w14:paraId="00E8098D" w14:textId="77777777" w:rsidR="00E43260" w:rsidRPr="005D4222" w:rsidRDefault="00E43260" w:rsidP="005D6173">
            <w:pPr>
              <w:pStyle w:val="ProcessBullet"/>
              <w:numPr>
                <w:ilvl w:val="0"/>
                <w:numId w:val="145"/>
              </w:numPr>
              <w:tabs>
                <w:tab w:val="left" w:pos="216"/>
              </w:tabs>
              <w:ind w:left="216" w:hanging="216"/>
              <w:rPr>
                <w:color w:val="000000" w:themeColor="text1"/>
              </w:rPr>
            </w:pPr>
            <w:r w:rsidRPr="005D4222">
              <w:rPr>
                <w:color w:val="000000" w:themeColor="text1"/>
              </w:rPr>
              <w:t xml:space="preserve">Removed the SSoR data elements from the data elements tables. </w:t>
            </w:r>
          </w:p>
          <w:p w14:paraId="60C318CC" w14:textId="77777777" w:rsidR="00E43260" w:rsidRPr="005D4222" w:rsidRDefault="00E43260" w:rsidP="005D6173">
            <w:pPr>
              <w:pStyle w:val="ProcessBullet"/>
              <w:numPr>
                <w:ilvl w:val="0"/>
                <w:numId w:val="145"/>
              </w:numPr>
              <w:tabs>
                <w:tab w:val="left" w:pos="216"/>
              </w:tabs>
              <w:spacing w:after="80"/>
              <w:ind w:left="216" w:hanging="216"/>
            </w:pPr>
            <w:r w:rsidRPr="005D4222">
              <w:t>Added instructions on allowable adjustments to the race and ethnicity and SES stratifications.</w:t>
            </w:r>
          </w:p>
        </w:tc>
      </w:tr>
      <w:tr w:rsidR="00E43260" w:rsidRPr="005D4222" w14:paraId="755E0777" w14:textId="77777777" w:rsidTr="00A53E8C">
        <w:trPr>
          <w:trHeight w:val="68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93CF631" w14:textId="77777777" w:rsidR="00E43260" w:rsidRPr="005D4222" w:rsidRDefault="00E43260" w:rsidP="00A53E8C">
            <w:pPr>
              <w:pStyle w:val="ECDS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2BD9DE1" w14:textId="77777777" w:rsidR="00E43260" w:rsidRPr="005D4222" w:rsidRDefault="00E43260" w:rsidP="00A53E8C">
            <w:pPr>
              <w:pStyle w:val="ECDSBody"/>
            </w:pPr>
            <w:r w:rsidRPr="005D4222">
              <w:t xml:space="preserve">Organizations that submit HEDIS data to NCQA must provide the following data elements. </w:t>
            </w:r>
          </w:p>
          <w:p w14:paraId="0F5E7FAE" w14:textId="77777777" w:rsidR="00E43260" w:rsidRPr="005D4222" w:rsidRDefault="00E43260" w:rsidP="00A53E8C">
            <w:pPr>
              <w:pStyle w:val="Heading3"/>
              <w:spacing w:before="120"/>
            </w:pPr>
            <w:r w:rsidRPr="005D4222">
              <w:t>Table COL-E-A-1/2/3: Metadata Elements for Colorectal Cancer Screening</w:t>
            </w:r>
          </w:p>
          <w:tbl>
            <w:tblPr>
              <w:tblW w:w="7371" w:type="dxa"/>
              <w:tblLayout w:type="fixed"/>
              <w:tblLook w:val="04A0" w:firstRow="1" w:lastRow="0" w:firstColumn="1" w:lastColumn="0" w:noHBand="0" w:noVBand="1"/>
            </w:tblPr>
            <w:tblGrid>
              <w:gridCol w:w="2353"/>
              <w:gridCol w:w="857"/>
              <w:gridCol w:w="1858"/>
              <w:gridCol w:w="2303"/>
            </w:tblGrid>
            <w:tr w:rsidR="00E43260" w:rsidRPr="005D4222" w14:paraId="2EA5EC9C" w14:textId="77777777" w:rsidTr="006C4B4E">
              <w:trPr>
                <w:trHeight w:val="294"/>
              </w:trPr>
              <w:tc>
                <w:tcPr>
                  <w:tcW w:w="2353" w:type="dxa"/>
                  <w:tcBorders>
                    <w:top w:val="single" w:sz="4" w:space="0" w:color="auto"/>
                    <w:left w:val="single" w:sz="8" w:space="0" w:color="auto"/>
                    <w:bottom w:val="single" w:sz="4" w:space="0" w:color="auto"/>
                    <w:right w:val="single" w:sz="6" w:space="0" w:color="FFFFFF"/>
                  </w:tcBorders>
                  <w:shd w:val="clear" w:color="auto" w:fill="000000"/>
                  <w:noWrap/>
                  <w:vAlign w:val="center"/>
                  <w:hideMark/>
                </w:tcPr>
                <w:p w14:paraId="3754FFDE" w14:textId="77777777" w:rsidR="00E43260" w:rsidRPr="005D4222" w:rsidRDefault="00E43260" w:rsidP="00A53E8C">
                  <w:pPr>
                    <w:pStyle w:val="TableHead"/>
                  </w:pPr>
                  <w:r w:rsidRPr="005D4222">
                    <w:t>Metric</w:t>
                  </w:r>
                </w:p>
              </w:tc>
              <w:tc>
                <w:tcPr>
                  <w:tcW w:w="857" w:type="dxa"/>
                  <w:tcBorders>
                    <w:top w:val="single" w:sz="4" w:space="0" w:color="auto"/>
                    <w:left w:val="single" w:sz="6" w:space="0" w:color="FFFFFF"/>
                    <w:bottom w:val="single" w:sz="4" w:space="0" w:color="auto"/>
                    <w:right w:val="single" w:sz="6" w:space="0" w:color="FFFFFF"/>
                  </w:tcBorders>
                  <w:shd w:val="clear" w:color="auto" w:fill="000000"/>
                  <w:hideMark/>
                </w:tcPr>
                <w:p w14:paraId="52E8B054" w14:textId="77777777" w:rsidR="00E43260" w:rsidRPr="005D4222" w:rsidRDefault="00E43260" w:rsidP="00A53E8C">
                  <w:pPr>
                    <w:pStyle w:val="TableHead"/>
                  </w:pPr>
                  <w:r w:rsidRPr="005D4222">
                    <w:t xml:space="preserve">Age </w:t>
                  </w:r>
                </w:p>
              </w:tc>
              <w:tc>
                <w:tcPr>
                  <w:tcW w:w="1858" w:type="dxa"/>
                  <w:tcBorders>
                    <w:top w:val="single" w:sz="4" w:space="0" w:color="auto"/>
                    <w:left w:val="single" w:sz="6" w:space="0" w:color="FFFFFF"/>
                    <w:bottom w:val="single" w:sz="4" w:space="0" w:color="auto"/>
                    <w:right w:val="single" w:sz="4" w:space="0" w:color="FFFFFF"/>
                  </w:tcBorders>
                  <w:shd w:val="clear" w:color="auto" w:fill="000000"/>
                  <w:noWrap/>
                  <w:vAlign w:val="center"/>
                  <w:hideMark/>
                </w:tcPr>
                <w:p w14:paraId="43C167B3" w14:textId="77777777" w:rsidR="00E43260" w:rsidRPr="005D4222" w:rsidRDefault="00E43260" w:rsidP="00A53E8C">
                  <w:pPr>
                    <w:pStyle w:val="TableHead"/>
                  </w:pPr>
                  <w:r w:rsidRPr="005D4222">
                    <w:t>Data Element</w:t>
                  </w:r>
                </w:p>
              </w:tc>
              <w:tc>
                <w:tcPr>
                  <w:tcW w:w="2303" w:type="dxa"/>
                  <w:tcBorders>
                    <w:top w:val="single" w:sz="4" w:space="0" w:color="auto"/>
                    <w:left w:val="single" w:sz="4" w:space="0" w:color="FFFFFF"/>
                    <w:bottom w:val="single" w:sz="4" w:space="0" w:color="auto"/>
                    <w:right w:val="single" w:sz="8" w:space="0" w:color="auto"/>
                  </w:tcBorders>
                  <w:shd w:val="clear" w:color="auto" w:fill="000000"/>
                  <w:vAlign w:val="center"/>
                  <w:hideMark/>
                </w:tcPr>
                <w:p w14:paraId="6DB4080E" w14:textId="77777777" w:rsidR="00E43260" w:rsidRPr="005D4222" w:rsidRDefault="00E43260" w:rsidP="00A53E8C">
                  <w:pPr>
                    <w:pStyle w:val="TableHead"/>
                  </w:pPr>
                  <w:r w:rsidRPr="005D4222">
                    <w:t>Reporting Instructions</w:t>
                  </w:r>
                </w:p>
              </w:tc>
            </w:tr>
            <w:tr w:rsidR="00E43260" w:rsidRPr="005D4222" w14:paraId="18AA33B5" w14:textId="77777777" w:rsidTr="006C4B4E">
              <w:trPr>
                <w:trHeight w:val="307"/>
              </w:trPr>
              <w:tc>
                <w:tcPr>
                  <w:tcW w:w="2353" w:type="dxa"/>
                  <w:tcBorders>
                    <w:top w:val="single" w:sz="4" w:space="0" w:color="auto"/>
                    <w:left w:val="single" w:sz="4" w:space="0" w:color="auto"/>
                    <w:bottom w:val="single" w:sz="4" w:space="0" w:color="auto"/>
                    <w:right w:val="single" w:sz="4" w:space="0" w:color="auto"/>
                  </w:tcBorders>
                  <w:shd w:val="clear" w:color="auto" w:fill="FFFFFF"/>
                  <w:noWrap/>
                  <w:hideMark/>
                </w:tcPr>
                <w:p w14:paraId="2E72E953" w14:textId="77777777" w:rsidR="00E43260" w:rsidRPr="005D4222" w:rsidRDefault="00E43260" w:rsidP="00A53E8C">
                  <w:pPr>
                    <w:pStyle w:val="TableText"/>
                    <w:spacing w:before="40" w:after="40"/>
                  </w:pPr>
                  <w:r w:rsidRPr="005D4222">
                    <w:t>ColorectalCancerScreening</w:t>
                  </w:r>
                </w:p>
              </w:tc>
              <w:tc>
                <w:tcPr>
                  <w:tcW w:w="857" w:type="dxa"/>
                  <w:tcBorders>
                    <w:top w:val="single" w:sz="4" w:space="0" w:color="auto"/>
                    <w:left w:val="single" w:sz="4" w:space="0" w:color="auto"/>
                    <w:bottom w:val="single" w:sz="4" w:space="0" w:color="auto"/>
                    <w:right w:val="single" w:sz="4" w:space="0" w:color="auto"/>
                  </w:tcBorders>
                  <w:shd w:val="clear" w:color="auto" w:fill="FFFFFF"/>
                  <w:hideMark/>
                </w:tcPr>
                <w:p w14:paraId="096DE807" w14:textId="77777777" w:rsidR="00E43260" w:rsidRPr="005D4222" w:rsidRDefault="00E43260" w:rsidP="00A53E8C">
                  <w:pPr>
                    <w:pStyle w:val="TableText"/>
                    <w:spacing w:before="40" w:after="40"/>
                  </w:pPr>
                  <w:r w:rsidRPr="005D4222">
                    <w:t>46-50</w:t>
                  </w:r>
                </w:p>
              </w:tc>
              <w:tc>
                <w:tcPr>
                  <w:tcW w:w="1858" w:type="dxa"/>
                  <w:tcBorders>
                    <w:top w:val="single" w:sz="4" w:space="0" w:color="auto"/>
                    <w:left w:val="single" w:sz="4" w:space="0" w:color="auto"/>
                    <w:bottom w:val="single" w:sz="4" w:space="0" w:color="auto"/>
                    <w:right w:val="single" w:sz="4" w:space="0" w:color="auto"/>
                  </w:tcBorders>
                  <w:shd w:val="clear" w:color="auto" w:fill="FFFFFF"/>
                  <w:noWrap/>
                  <w:hideMark/>
                </w:tcPr>
                <w:p w14:paraId="586B03F9" w14:textId="77777777" w:rsidR="00E43260" w:rsidRPr="005D4222" w:rsidRDefault="00E43260" w:rsidP="00A53E8C">
                  <w:pPr>
                    <w:pStyle w:val="TableText"/>
                    <w:spacing w:before="40" w:after="40"/>
                  </w:pPr>
                  <w:r w:rsidRPr="005D4222">
                    <w:t>InitialPopulation</w:t>
                  </w:r>
                </w:p>
              </w:tc>
              <w:tc>
                <w:tcPr>
                  <w:tcW w:w="2303" w:type="dxa"/>
                  <w:tcBorders>
                    <w:top w:val="single" w:sz="4" w:space="0" w:color="auto"/>
                    <w:left w:val="single" w:sz="4" w:space="0" w:color="auto"/>
                    <w:bottom w:val="single" w:sz="4" w:space="0" w:color="auto"/>
                    <w:right w:val="single" w:sz="4" w:space="0" w:color="auto"/>
                  </w:tcBorders>
                  <w:shd w:val="clear" w:color="auto" w:fill="FFFFFF"/>
                  <w:hideMark/>
                </w:tcPr>
                <w:p w14:paraId="1C844079" w14:textId="77777777" w:rsidR="00E43260" w:rsidRPr="005D4222" w:rsidRDefault="00E43260" w:rsidP="00A53E8C">
                  <w:pPr>
                    <w:pStyle w:val="TableText"/>
                    <w:spacing w:before="40" w:after="40"/>
                  </w:pPr>
                  <w:r w:rsidRPr="005D4222">
                    <w:t>For each Stratification</w:t>
                  </w:r>
                </w:p>
              </w:tc>
            </w:tr>
            <w:tr w:rsidR="00E43260" w:rsidRPr="005D4222" w14:paraId="1C62E6F9" w14:textId="77777777" w:rsidTr="006C4B4E">
              <w:trPr>
                <w:trHeight w:val="294"/>
              </w:trPr>
              <w:tc>
                <w:tcPr>
                  <w:tcW w:w="2353" w:type="dxa"/>
                  <w:tcBorders>
                    <w:top w:val="single" w:sz="4" w:space="0" w:color="auto"/>
                    <w:left w:val="nil"/>
                    <w:bottom w:val="nil"/>
                    <w:right w:val="single" w:sz="4" w:space="0" w:color="auto"/>
                  </w:tcBorders>
                  <w:shd w:val="clear" w:color="auto" w:fill="FFFFFF"/>
                  <w:noWrap/>
                  <w:hideMark/>
                </w:tcPr>
                <w:p w14:paraId="548E60BF" w14:textId="77777777" w:rsidR="00E43260" w:rsidRPr="005D4222" w:rsidRDefault="00E43260" w:rsidP="00A53E8C">
                  <w:pPr>
                    <w:pStyle w:val="TableText"/>
                    <w:spacing w:before="40" w:after="40"/>
                  </w:pPr>
                  <w:r w:rsidRPr="005D4222">
                    <w:t xml:space="preserve"> </w:t>
                  </w:r>
                </w:p>
              </w:tc>
              <w:tc>
                <w:tcPr>
                  <w:tcW w:w="857" w:type="dxa"/>
                  <w:tcBorders>
                    <w:top w:val="single" w:sz="4" w:space="0" w:color="auto"/>
                    <w:left w:val="single" w:sz="4" w:space="0" w:color="auto"/>
                    <w:bottom w:val="single" w:sz="4" w:space="0" w:color="auto"/>
                    <w:right w:val="single" w:sz="4" w:space="0" w:color="auto"/>
                  </w:tcBorders>
                  <w:shd w:val="clear" w:color="auto" w:fill="FFFFFF"/>
                  <w:hideMark/>
                </w:tcPr>
                <w:p w14:paraId="75226FDA" w14:textId="77777777" w:rsidR="00E43260" w:rsidRPr="005D4222" w:rsidRDefault="00E43260" w:rsidP="00A53E8C">
                  <w:pPr>
                    <w:pStyle w:val="TableText"/>
                    <w:spacing w:before="40" w:after="40"/>
                  </w:pPr>
                  <w:r w:rsidRPr="005D4222">
                    <w:t>51-75</w:t>
                  </w:r>
                </w:p>
              </w:tc>
              <w:tc>
                <w:tcPr>
                  <w:tcW w:w="1858" w:type="dxa"/>
                  <w:tcBorders>
                    <w:top w:val="single" w:sz="4" w:space="0" w:color="auto"/>
                    <w:left w:val="single" w:sz="4" w:space="0" w:color="auto"/>
                    <w:bottom w:val="single" w:sz="4" w:space="0" w:color="auto"/>
                    <w:right w:val="single" w:sz="4" w:space="0" w:color="auto"/>
                  </w:tcBorders>
                  <w:noWrap/>
                  <w:hideMark/>
                </w:tcPr>
                <w:p w14:paraId="4529F0B0" w14:textId="77777777" w:rsidR="00E43260" w:rsidRPr="005D4222" w:rsidRDefault="00E43260" w:rsidP="00A53E8C">
                  <w:pPr>
                    <w:pStyle w:val="TableText"/>
                    <w:spacing w:before="40" w:after="40"/>
                  </w:pPr>
                  <w:r w:rsidRPr="005D4222">
                    <w:t>Exclusions</w:t>
                  </w:r>
                </w:p>
              </w:tc>
              <w:tc>
                <w:tcPr>
                  <w:tcW w:w="2303" w:type="dxa"/>
                  <w:tcBorders>
                    <w:top w:val="single" w:sz="4" w:space="0" w:color="auto"/>
                    <w:left w:val="single" w:sz="4" w:space="0" w:color="auto"/>
                    <w:bottom w:val="single" w:sz="4" w:space="0" w:color="auto"/>
                    <w:right w:val="single" w:sz="4" w:space="0" w:color="auto"/>
                  </w:tcBorders>
                  <w:hideMark/>
                </w:tcPr>
                <w:p w14:paraId="75035864" w14:textId="77777777" w:rsidR="00E43260" w:rsidRPr="005D4222" w:rsidRDefault="00E43260" w:rsidP="00A53E8C">
                  <w:pPr>
                    <w:pStyle w:val="TableText"/>
                    <w:spacing w:before="40" w:after="40"/>
                  </w:pPr>
                  <w:r w:rsidRPr="005D4222">
                    <w:t>For each Stratification</w:t>
                  </w:r>
                </w:p>
              </w:tc>
            </w:tr>
            <w:tr w:rsidR="00E43260" w:rsidRPr="005D4222" w14:paraId="69F09795" w14:textId="77777777" w:rsidTr="006C4B4E">
              <w:trPr>
                <w:trHeight w:val="294"/>
              </w:trPr>
              <w:tc>
                <w:tcPr>
                  <w:tcW w:w="2353" w:type="dxa"/>
                  <w:tcBorders>
                    <w:top w:val="nil"/>
                    <w:left w:val="nil"/>
                    <w:bottom w:val="nil"/>
                    <w:right w:val="single" w:sz="4" w:space="0" w:color="auto"/>
                  </w:tcBorders>
                  <w:shd w:val="clear" w:color="auto" w:fill="FFFFFF"/>
                  <w:noWrap/>
                  <w:hideMark/>
                </w:tcPr>
                <w:p w14:paraId="19438EA3" w14:textId="77777777" w:rsidR="00E43260" w:rsidRPr="005D4222" w:rsidRDefault="00E43260" w:rsidP="00A53E8C">
                  <w:pPr>
                    <w:pStyle w:val="TableText"/>
                    <w:spacing w:before="40" w:after="40"/>
                  </w:pPr>
                  <w:r w:rsidRPr="005D4222">
                    <w:t xml:space="preserve"> </w:t>
                  </w:r>
                </w:p>
              </w:tc>
              <w:tc>
                <w:tcPr>
                  <w:tcW w:w="85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FC3D530" w14:textId="77777777" w:rsidR="00E43260" w:rsidRPr="005D4222" w:rsidRDefault="00E43260" w:rsidP="00A53E8C">
                  <w:pPr>
                    <w:pStyle w:val="TableText"/>
                    <w:spacing w:before="40" w:after="40"/>
                  </w:pPr>
                  <w:r w:rsidRPr="005D4222">
                    <w:t>Total</w:t>
                  </w:r>
                </w:p>
              </w:tc>
              <w:tc>
                <w:tcPr>
                  <w:tcW w:w="1858" w:type="dxa"/>
                  <w:tcBorders>
                    <w:top w:val="single" w:sz="4" w:space="0" w:color="auto"/>
                    <w:left w:val="single" w:sz="4" w:space="0" w:color="auto"/>
                    <w:bottom w:val="single" w:sz="4" w:space="0" w:color="auto"/>
                    <w:right w:val="single" w:sz="4" w:space="0" w:color="auto"/>
                  </w:tcBorders>
                  <w:noWrap/>
                  <w:hideMark/>
                </w:tcPr>
                <w:p w14:paraId="26D66157" w14:textId="77777777" w:rsidR="00E43260" w:rsidRPr="005D4222" w:rsidRDefault="00E43260" w:rsidP="00A53E8C">
                  <w:pPr>
                    <w:pStyle w:val="TableText"/>
                    <w:spacing w:before="40" w:after="40"/>
                  </w:pPr>
                  <w:r w:rsidRPr="005D4222">
                    <w:t>Denominator</w:t>
                  </w:r>
                </w:p>
              </w:tc>
              <w:tc>
                <w:tcPr>
                  <w:tcW w:w="2303" w:type="dxa"/>
                  <w:tcBorders>
                    <w:top w:val="single" w:sz="4" w:space="0" w:color="auto"/>
                    <w:left w:val="single" w:sz="4" w:space="0" w:color="auto"/>
                    <w:bottom w:val="single" w:sz="4" w:space="0" w:color="auto"/>
                    <w:right w:val="single" w:sz="4" w:space="0" w:color="auto"/>
                  </w:tcBorders>
                  <w:hideMark/>
                </w:tcPr>
                <w:p w14:paraId="0961045A" w14:textId="77777777" w:rsidR="00E43260" w:rsidRPr="005D4222" w:rsidRDefault="00E43260" w:rsidP="00A53E8C">
                  <w:pPr>
                    <w:pStyle w:val="TableText"/>
                    <w:spacing w:before="40" w:after="40"/>
                  </w:pPr>
                  <w:r w:rsidRPr="005D4222">
                    <w:t>For each Stratification</w:t>
                  </w:r>
                </w:p>
              </w:tc>
            </w:tr>
            <w:tr w:rsidR="00E43260" w:rsidRPr="005D4222" w14:paraId="68805974" w14:textId="77777777" w:rsidTr="006C4B4E">
              <w:trPr>
                <w:trHeight w:val="307"/>
              </w:trPr>
              <w:tc>
                <w:tcPr>
                  <w:tcW w:w="2353" w:type="dxa"/>
                  <w:shd w:val="clear" w:color="auto" w:fill="FFFFFF"/>
                  <w:noWrap/>
                  <w:hideMark/>
                </w:tcPr>
                <w:p w14:paraId="4DF41362" w14:textId="77777777" w:rsidR="00E43260" w:rsidRPr="005D4222" w:rsidRDefault="00E43260" w:rsidP="00A53E8C">
                  <w:pPr>
                    <w:pStyle w:val="TableText"/>
                    <w:spacing w:before="40" w:after="40"/>
                  </w:pPr>
                  <w:r w:rsidRPr="005D4222">
                    <w:t xml:space="preserve"> </w:t>
                  </w:r>
                </w:p>
              </w:tc>
              <w:tc>
                <w:tcPr>
                  <w:tcW w:w="857" w:type="dxa"/>
                  <w:tcBorders>
                    <w:top w:val="single" w:sz="4" w:space="0" w:color="auto"/>
                    <w:left w:val="nil"/>
                    <w:bottom w:val="nil"/>
                    <w:right w:val="single" w:sz="4" w:space="0" w:color="auto"/>
                  </w:tcBorders>
                  <w:shd w:val="clear" w:color="auto" w:fill="FFFFFF" w:themeFill="background1"/>
                </w:tcPr>
                <w:p w14:paraId="279871CB" w14:textId="77777777" w:rsidR="00E43260" w:rsidRPr="005D4222" w:rsidRDefault="00E43260" w:rsidP="00A53E8C">
                  <w:pPr>
                    <w:pStyle w:val="TableText"/>
                    <w:spacing w:before="40" w:after="40"/>
                  </w:pPr>
                </w:p>
              </w:tc>
              <w:tc>
                <w:tcPr>
                  <w:tcW w:w="1858" w:type="dxa"/>
                  <w:tcBorders>
                    <w:top w:val="single" w:sz="4" w:space="0" w:color="auto"/>
                    <w:left w:val="single" w:sz="4" w:space="0" w:color="auto"/>
                    <w:bottom w:val="single" w:sz="4" w:space="0" w:color="auto"/>
                    <w:right w:val="single" w:sz="4" w:space="0" w:color="auto"/>
                  </w:tcBorders>
                  <w:noWrap/>
                  <w:hideMark/>
                </w:tcPr>
                <w:p w14:paraId="1E522E66" w14:textId="77777777" w:rsidR="00E43260" w:rsidRPr="005D4222" w:rsidRDefault="00E43260" w:rsidP="00A53E8C">
                  <w:pPr>
                    <w:pStyle w:val="TableText"/>
                    <w:spacing w:before="40" w:after="40"/>
                  </w:pPr>
                  <w:r w:rsidRPr="005D4222">
                    <w:t>Numerator</w:t>
                  </w:r>
                </w:p>
              </w:tc>
              <w:tc>
                <w:tcPr>
                  <w:tcW w:w="2303" w:type="dxa"/>
                  <w:tcBorders>
                    <w:top w:val="single" w:sz="4" w:space="0" w:color="auto"/>
                    <w:left w:val="single" w:sz="4" w:space="0" w:color="auto"/>
                    <w:bottom w:val="single" w:sz="4" w:space="0" w:color="auto"/>
                    <w:right w:val="single" w:sz="4" w:space="0" w:color="auto"/>
                  </w:tcBorders>
                  <w:hideMark/>
                </w:tcPr>
                <w:p w14:paraId="51CAB4A1" w14:textId="77777777" w:rsidR="00E43260" w:rsidRPr="005D4222" w:rsidRDefault="00E43260" w:rsidP="00A53E8C">
                  <w:pPr>
                    <w:pStyle w:val="TableText"/>
                    <w:spacing w:before="40" w:after="40"/>
                  </w:pPr>
                  <w:r w:rsidRPr="005D4222">
                    <w:t>For each Stratification</w:t>
                  </w:r>
                </w:p>
              </w:tc>
            </w:tr>
            <w:tr w:rsidR="00E43260" w:rsidRPr="005D4222" w14:paraId="7099FBDA" w14:textId="77777777" w:rsidTr="006C4B4E">
              <w:trPr>
                <w:trHeight w:val="321"/>
              </w:trPr>
              <w:tc>
                <w:tcPr>
                  <w:tcW w:w="2353" w:type="dxa"/>
                  <w:shd w:val="clear" w:color="auto" w:fill="FFFFFF"/>
                  <w:noWrap/>
                  <w:hideMark/>
                </w:tcPr>
                <w:p w14:paraId="1EF4B699" w14:textId="77777777" w:rsidR="00E43260" w:rsidRPr="005D4222" w:rsidRDefault="00E43260" w:rsidP="00A53E8C">
                  <w:pPr>
                    <w:pStyle w:val="TableText"/>
                    <w:spacing w:before="40" w:after="40"/>
                  </w:pPr>
                </w:p>
              </w:tc>
              <w:tc>
                <w:tcPr>
                  <w:tcW w:w="857" w:type="dxa"/>
                  <w:tcBorders>
                    <w:top w:val="nil"/>
                    <w:left w:val="nil"/>
                    <w:bottom w:val="nil"/>
                    <w:right w:val="single" w:sz="4" w:space="0" w:color="auto"/>
                  </w:tcBorders>
                  <w:shd w:val="clear" w:color="auto" w:fill="FFFFFF" w:themeFill="background1"/>
                </w:tcPr>
                <w:p w14:paraId="2D0DBDEF" w14:textId="77777777" w:rsidR="00E43260" w:rsidRPr="005D4222" w:rsidRDefault="00E43260" w:rsidP="00A53E8C">
                  <w:pPr>
                    <w:pStyle w:val="TableText"/>
                    <w:spacing w:before="40" w:after="40"/>
                  </w:pPr>
                </w:p>
              </w:tc>
              <w:tc>
                <w:tcPr>
                  <w:tcW w:w="1858" w:type="dxa"/>
                  <w:tcBorders>
                    <w:top w:val="single" w:sz="4" w:space="0" w:color="auto"/>
                    <w:left w:val="single" w:sz="4" w:space="0" w:color="auto"/>
                    <w:bottom w:val="single" w:sz="4" w:space="0" w:color="auto"/>
                    <w:right w:val="single" w:sz="4" w:space="0" w:color="auto"/>
                  </w:tcBorders>
                  <w:shd w:val="clear" w:color="auto" w:fill="D9D9D9"/>
                  <w:noWrap/>
                  <w:hideMark/>
                </w:tcPr>
                <w:p w14:paraId="033C5611" w14:textId="77777777" w:rsidR="00E43260" w:rsidRPr="005D4222" w:rsidRDefault="00E43260" w:rsidP="00A53E8C">
                  <w:pPr>
                    <w:pStyle w:val="TableText"/>
                    <w:spacing w:before="40" w:after="40"/>
                  </w:pPr>
                  <w:r w:rsidRPr="005D4222">
                    <w:t>Rate</w:t>
                  </w:r>
                </w:p>
              </w:tc>
              <w:tc>
                <w:tcPr>
                  <w:tcW w:w="2303" w:type="dxa"/>
                  <w:tcBorders>
                    <w:top w:val="single" w:sz="4" w:space="0" w:color="auto"/>
                    <w:left w:val="single" w:sz="4" w:space="0" w:color="auto"/>
                    <w:bottom w:val="single" w:sz="4" w:space="0" w:color="auto"/>
                    <w:right w:val="single" w:sz="4" w:space="0" w:color="auto"/>
                  </w:tcBorders>
                  <w:shd w:val="clear" w:color="auto" w:fill="D9D9D9"/>
                  <w:hideMark/>
                </w:tcPr>
                <w:p w14:paraId="3CBE6E4B" w14:textId="77777777" w:rsidR="00E43260" w:rsidRPr="005D4222" w:rsidRDefault="00E43260" w:rsidP="00A53E8C">
                  <w:pPr>
                    <w:pStyle w:val="TableText"/>
                    <w:spacing w:before="40" w:after="40"/>
                  </w:pPr>
                  <w:r w:rsidRPr="005D4222">
                    <w:t>(Percent)</w:t>
                  </w:r>
                </w:p>
              </w:tc>
            </w:tr>
          </w:tbl>
          <w:p w14:paraId="5E5FCB69" w14:textId="261102DD" w:rsidR="00E43260" w:rsidRPr="005D4222" w:rsidRDefault="00E43260" w:rsidP="00A53E8C">
            <w:pPr>
              <w:pStyle w:val="Heading3"/>
              <w:rPr>
                <w:rFonts w:eastAsia="Arial"/>
              </w:rPr>
            </w:pPr>
            <w:r w:rsidRPr="005D4222">
              <w:rPr>
                <w:rFonts w:eastAsia="Arial"/>
              </w:rPr>
              <w:t xml:space="preserve">Table COL-E-B-3: Data Elements for Colorectal Cancer Screening: SES </w:t>
            </w:r>
            <w:r w:rsidR="00B51CDC" w:rsidRPr="005D4222">
              <w:rPr>
                <w:rFonts w:eastAsia="Arial"/>
              </w:rPr>
              <w:t>Stratifications</w:t>
            </w:r>
          </w:p>
          <w:tbl>
            <w:tblPr>
              <w:tblW w:w="5000" w:type="pct"/>
              <w:tblLayout w:type="fixed"/>
              <w:tblLook w:val="04A0" w:firstRow="1" w:lastRow="0" w:firstColumn="1" w:lastColumn="0" w:noHBand="0" w:noVBand="1"/>
            </w:tblPr>
            <w:tblGrid>
              <w:gridCol w:w="2331"/>
              <w:gridCol w:w="2070"/>
              <w:gridCol w:w="1710"/>
              <w:gridCol w:w="1254"/>
            </w:tblGrid>
            <w:tr w:rsidR="00E43260" w:rsidRPr="005D4222" w14:paraId="6E8F7F62" w14:textId="77777777" w:rsidTr="00773A49">
              <w:trPr>
                <w:tblHeader/>
              </w:trPr>
              <w:tc>
                <w:tcPr>
                  <w:tcW w:w="2331" w:type="dxa"/>
                  <w:tcBorders>
                    <w:top w:val="single" w:sz="4" w:space="0" w:color="auto"/>
                    <w:left w:val="single" w:sz="8" w:space="0" w:color="auto"/>
                    <w:bottom w:val="single" w:sz="4" w:space="0" w:color="auto"/>
                    <w:right w:val="single" w:sz="6" w:space="0" w:color="FFFFFF" w:themeColor="background1"/>
                  </w:tcBorders>
                  <w:shd w:val="clear" w:color="auto" w:fill="000000" w:themeFill="text1"/>
                  <w:noWrap/>
                  <w:vAlign w:val="bottom"/>
                  <w:hideMark/>
                </w:tcPr>
                <w:p w14:paraId="1C0B66AB" w14:textId="77777777" w:rsidR="00E43260" w:rsidRPr="005D4222" w:rsidRDefault="00E43260" w:rsidP="00A53E8C">
                  <w:pPr>
                    <w:pStyle w:val="TableHead"/>
                    <w:spacing w:before="40" w:after="40"/>
                    <w:rPr>
                      <w:b w:val="0"/>
                      <w:kern w:val="20"/>
                    </w:rPr>
                  </w:pPr>
                  <w:r w:rsidRPr="005D4222">
                    <w:t>Metric</w:t>
                  </w:r>
                </w:p>
              </w:tc>
              <w:tc>
                <w:tcPr>
                  <w:tcW w:w="2070" w:type="dxa"/>
                  <w:tcBorders>
                    <w:top w:val="single" w:sz="4" w:space="0" w:color="auto"/>
                    <w:left w:val="single" w:sz="6" w:space="0" w:color="FFFFFF" w:themeColor="background1"/>
                    <w:bottom w:val="single" w:sz="4" w:space="0" w:color="auto"/>
                    <w:right w:val="single" w:sz="6" w:space="0" w:color="FFFFFF" w:themeColor="background1"/>
                  </w:tcBorders>
                  <w:shd w:val="clear" w:color="auto" w:fill="000000" w:themeFill="text1"/>
                  <w:vAlign w:val="bottom"/>
                  <w:hideMark/>
                </w:tcPr>
                <w:p w14:paraId="7C6E7AB2" w14:textId="0966F9CD" w:rsidR="00E43260" w:rsidRPr="005D4222" w:rsidRDefault="00E43260" w:rsidP="00A53E8C">
                  <w:pPr>
                    <w:pStyle w:val="TableHead"/>
                    <w:spacing w:before="40" w:after="40"/>
                    <w:rPr>
                      <w:b w:val="0"/>
                      <w:kern w:val="20"/>
                    </w:rPr>
                  </w:pPr>
                  <w:r w:rsidRPr="005D4222">
                    <w:t xml:space="preserve">SES </w:t>
                  </w:r>
                  <w:r w:rsidR="00B51CDC" w:rsidRPr="005D4222">
                    <w:t>Stratifications</w:t>
                  </w:r>
                </w:p>
              </w:tc>
              <w:tc>
                <w:tcPr>
                  <w:tcW w:w="1710" w:type="dxa"/>
                  <w:tcBorders>
                    <w:top w:val="single" w:sz="4" w:space="0" w:color="auto"/>
                    <w:left w:val="single" w:sz="6" w:space="0" w:color="FFFFFF" w:themeColor="background1"/>
                    <w:bottom w:val="single" w:sz="4" w:space="0" w:color="auto"/>
                    <w:right w:val="single" w:sz="4" w:space="0" w:color="FFFFFF" w:themeColor="background1"/>
                  </w:tcBorders>
                  <w:shd w:val="clear" w:color="auto" w:fill="000000" w:themeFill="text1"/>
                  <w:noWrap/>
                  <w:vAlign w:val="bottom"/>
                  <w:hideMark/>
                </w:tcPr>
                <w:p w14:paraId="3565F0EE" w14:textId="77777777" w:rsidR="00E43260" w:rsidRPr="005D4222" w:rsidRDefault="00E43260" w:rsidP="00A53E8C">
                  <w:pPr>
                    <w:pStyle w:val="TableHead"/>
                    <w:spacing w:before="40" w:after="40"/>
                    <w:rPr>
                      <w:b w:val="0"/>
                      <w:kern w:val="20"/>
                    </w:rPr>
                  </w:pPr>
                  <w:r w:rsidRPr="005D4222">
                    <w:t>Data Element</w:t>
                  </w:r>
                </w:p>
              </w:tc>
              <w:tc>
                <w:tcPr>
                  <w:tcW w:w="1254" w:type="dxa"/>
                  <w:tcBorders>
                    <w:top w:val="single" w:sz="4" w:space="0" w:color="auto"/>
                    <w:left w:val="single" w:sz="4" w:space="0" w:color="FFFFFF" w:themeColor="background1"/>
                    <w:bottom w:val="single" w:sz="4" w:space="0" w:color="auto"/>
                    <w:right w:val="single" w:sz="8" w:space="0" w:color="auto"/>
                  </w:tcBorders>
                  <w:shd w:val="clear" w:color="auto" w:fill="000000" w:themeFill="text1"/>
                  <w:vAlign w:val="bottom"/>
                  <w:hideMark/>
                </w:tcPr>
                <w:p w14:paraId="22D8B474" w14:textId="77777777" w:rsidR="00E43260" w:rsidRPr="005D4222" w:rsidRDefault="00E43260" w:rsidP="00A53E8C">
                  <w:pPr>
                    <w:pStyle w:val="TableHead"/>
                    <w:spacing w:before="40" w:after="40"/>
                    <w:rPr>
                      <w:b w:val="0"/>
                      <w:kern w:val="20"/>
                    </w:rPr>
                  </w:pPr>
                  <w:r w:rsidRPr="005D4222">
                    <w:t>Reporting Instructions</w:t>
                  </w:r>
                </w:p>
              </w:tc>
            </w:tr>
            <w:tr w:rsidR="00E43260" w:rsidRPr="005D4222" w14:paraId="26F20447" w14:textId="77777777" w:rsidTr="00773A49">
              <w:tc>
                <w:tcPr>
                  <w:tcW w:w="2331"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1216CA1E" w14:textId="77777777" w:rsidR="00E43260" w:rsidRPr="005D4222" w:rsidRDefault="00E43260" w:rsidP="00A53E8C">
                  <w:pPr>
                    <w:pStyle w:val="TableText"/>
                    <w:spacing w:before="40" w:after="40"/>
                  </w:pPr>
                  <w:r w:rsidRPr="005D4222">
                    <w:t>ColorectalCancerScreening</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F548996" w14:textId="77777777" w:rsidR="00E43260" w:rsidRPr="005D4222" w:rsidRDefault="00E43260" w:rsidP="00A53E8C">
                  <w:pPr>
                    <w:pStyle w:val="TableText"/>
                    <w:spacing w:before="40" w:after="40"/>
                  </w:pPr>
                  <w:r w:rsidRPr="005D4222">
                    <w:t>NonLisDeNondisability</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392F0B2C" w14:textId="77777777" w:rsidR="00E43260" w:rsidRPr="005D4222" w:rsidRDefault="00E43260" w:rsidP="00A53E8C">
                  <w:pPr>
                    <w:pStyle w:val="TableText"/>
                    <w:spacing w:before="40" w:after="40"/>
                  </w:pPr>
                  <w:r w:rsidRPr="005D4222">
                    <w:t>InitialPopulation</w:t>
                  </w:r>
                </w:p>
              </w:tc>
              <w:tc>
                <w:tcPr>
                  <w:tcW w:w="125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CCC5BFE" w14:textId="77777777" w:rsidR="00E43260" w:rsidRPr="005D4222" w:rsidRDefault="00E43260" w:rsidP="00A53E8C">
                  <w:pPr>
                    <w:pStyle w:val="TableText"/>
                    <w:spacing w:before="40" w:after="40"/>
                  </w:pPr>
                  <w:r w:rsidRPr="005D4222">
                    <w:t>For each Stratification</w:t>
                  </w:r>
                </w:p>
              </w:tc>
            </w:tr>
            <w:tr w:rsidR="00E43260" w:rsidRPr="005D4222" w14:paraId="708BD1E9" w14:textId="77777777" w:rsidTr="00773A49">
              <w:tc>
                <w:tcPr>
                  <w:tcW w:w="2331" w:type="dxa"/>
                  <w:tcBorders>
                    <w:top w:val="single" w:sz="4" w:space="0" w:color="auto"/>
                    <w:left w:val="nil"/>
                    <w:bottom w:val="nil"/>
                    <w:right w:val="single" w:sz="4" w:space="0" w:color="auto"/>
                  </w:tcBorders>
                  <w:shd w:val="clear" w:color="auto" w:fill="FFFFFF" w:themeFill="background1"/>
                  <w:noWrap/>
                  <w:hideMark/>
                </w:tcPr>
                <w:p w14:paraId="2D9AEBF0" w14:textId="77777777" w:rsidR="00E43260" w:rsidRPr="005D4222" w:rsidRDefault="00E43260" w:rsidP="00A53E8C">
                  <w:pPr>
                    <w:pStyle w:val="TableText"/>
                    <w:spacing w:before="40" w:after="40"/>
                  </w:pPr>
                  <w:r w:rsidRPr="005D4222">
                    <w:t xml:space="preserve"> </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B5A2F5B" w14:textId="77777777" w:rsidR="00E43260" w:rsidRPr="005D4222" w:rsidRDefault="00E43260" w:rsidP="00A53E8C">
                  <w:pPr>
                    <w:pStyle w:val="TableText"/>
                    <w:spacing w:before="40" w:after="40"/>
                  </w:pPr>
                  <w:r w:rsidRPr="005D4222">
                    <w:t>LisDe</w:t>
                  </w:r>
                </w:p>
              </w:tc>
              <w:tc>
                <w:tcPr>
                  <w:tcW w:w="1710" w:type="dxa"/>
                  <w:tcBorders>
                    <w:top w:val="single" w:sz="4" w:space="0" w:color="auto"/>
                    <w:left w:val="single" w:sz="4" w:space="0" w:color="000000" w:themeColor="text1"/>
                    <w:bottom w:val="single" w:sz="4" w:space="0" w:color="auto"/>
                    <w:right w:val="single" w:sz="4" w:space="0" w:color="auto"/>
                  </w:tcBorders>
                  <w:noWrap/>
                  <w:hideMark/>
                </w:tcPr>
                <w:p w14:paraId="3DD76F61" w14:textId="77777777" w:rsidR="00E43260" w:rsidRPr="005D4222" w:rsidRDefault="00E43260" w:rsidP="00A53E8C">
                  <w:pPr>
                    <w:pStyle w:val="TableText"/>
                    <w:spacing w:before="40" w:after="40"/>
                  </w:pPr>
                  <w:r w:rsidRPr="005D4222">
                    <w:t>Exclusions</w:t>
                  </w:r>
                </w:p>
              </w:tc>
              <w:tc>
                <w:tcPr>
                  <w:tcW w:w="1254" w:type="dxa"/>
                  <w:tcBorders>
                    <w:top w:val="single" w:sz="4" w:space="0" w:color="auto"/>
                    <w:left w:val="single" w:sz="4" w:space="0" w:color="auto"/>
                    <w:bottom w:val="single" w:sz="4" w:space="0" w:color="auto"/>
                    <w:right w:val="single" w:sz="4" w:space="0" w:color="auto"/>
                  </w:tcBorders>
                  <w:hideMark/>
                </w:tcPr>
                <w:p w14:paraId="0CD8B45B" w14:textId="77777777" w:rsidR="00E43260" w:rsidRPr="005D4222" w:rsidRDefault="00E43260" w:rsidP="00A53E8C">
                  <w:pPr>
                    <w:pStyle w:val="TableText"/>
                    <w:spacing w:before="40" w:after="40"/>
                  </w:pPr>
                  <w:r w:rsidRPr="005D4222">
                    <w:t>For each Stratification</w:t>
                  </w:r>
                </w:p>
              </w:tc>
            </w:tr>
            <w:tr w:rsidR="00E43260" w:rsidRPr="005D4222" w14:paraId="010C6D0E" w14:textId="77777777" w:rsidTr="00773A49">
              <w:tc>
                <w:tcPr>
                  <w:tcW w:w="2331" w:type="dxa"/>
                  <w:tcBorders>
                    <w:top w:val="nil"/>
                    <w:left w:val="nil"/>
                    <w:bottom w:val="nil"/>
                    <w:right w:val="single" w:sz="4" w:space="0" w:color="auto"/>
                  </w:tcBorders>
                  <w:shd w:val="clear" w:color="auto" w:fill="FFFFFF" w:themeFill="background1"/>
                  <w:noWrap/>
                  <w:hideMark/>
                </w:tcPr>
                <w:p w14:paraId="3F00C318" w14:textId="77777777" w:rsidR="00E43260" w:rsidRPr="005D4222" w:rsidRDefault="00E43260" w:rsidP="00A53E8C">
                  <w:pPr>
                    <w:pStyle w:val="TableText"/>
                    <w:spacing w:before="40" w:after="40"/>
                  </w:pPr>
                  <w:r w:rsidRPr="005D4222">
                    <w:t xml:space="preserve"> </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B49357B" w14:textId="77777777" w:rsidR="00E43260" w:rsidRPr="005D4222" w:rsidRDefault="00E43260" w:rsidP="00A53E8C">
                  <w:pPr>
                    <w:pStyle w:val="TableText"/>
                    <w:spacing w:before="40" w:after="40"/>
                  </w:pPr>
                  <w:r w:rsidRPr="005D4222">
                    <w:t>Disability</w:t>
                  </w:r>
                </w:p>
              </w:tc>
              <w:tc>
                <w:tcPr>
                  <w:tcW w:w="1710" w:type="dxa"/>
                  <w:tcBorders>
                    <w:top w:val="single" w:sz="4" w:space="0" w:color="auto"/>
                    <w:left w:val="single" w:sz="4" w:space="0" w:color="000000" w:themeColor="text1"/>
                    <w:bottom w:val="single" w:sz="4" w:space="0" w:color="auto"/>
                    <w:right w:val="single" w:sz="4" w:space="0" w:color="auto"/>
                  </w:tcBorders>
                  <w:noWrap/>
                  <w:hideMark/>
                </w:tcPr>
                <w:p w14:paraId="62956747" w14:textId="77777777" w:rsidR="00E43260" w:rsidRPr="005D4222" w:rsidRDefault="00E43260" w:rsidP="00A53E8C">
                  <w:pPr>
                    <w:pStyle w:val="TableText"/>
                    <w:spacing w:before="40" w:after="40"/>
                  </w:pPr>
                  <w:r w:rsidRPr="005D4222">
                    <w:t>Denominator</w:t>
                  </w:r>
                </w:p>
              </w:tc>
              <w:tc>
                <w:tcPr>
                  <w:tcW w:w="1254" w:type="dxa"/>
                  <w:tcBorders>
                    <w:top w:val="single" w:sz="4" w:space="0" w:color="auto"/>
                    <w:left w:val="single" w:sz="4" w:space="0" w:color="auto"/>
                    <w:bottom w:val="single" w:sz="4" w:space="0" w:color="auto"/>
                    <w:right w:val="single" w:sz="4" w:space="0" w:color="auto"/>
                  </w:tcBorders>
                  <w:hideMark/>
                </w:tcPr>
                <w:p w14:paraId="18A80675" w14:textId="77777777" w:rsidR="00E43260" w:rsidRPr="005D4222" w:rsidRDefault="00E43260" w:rsidP="00A53E8C">
                  <w:pPr>
                    <w:pStyle w:val="TableText"/>
                    <w:spacing w:before="40" w:after="40"/>
                  </w:pPr>
                  <w:r w:rsidRPr="005D4222">
                    <w:t>For each Stratification</w:t>
                  </w:r>
                </w:p>
              </w:tc>
            </w:tr>
          </w:tbl>
          <w:p w14:paraId="54C06E8D" w14:textId="77777777" w:rsidR="00E43260" w:rsidRPr="005D4222" w:rsidRDefault="00E43260" w:rsidP="00A53E8C">
            <w:pPr>
              <w:pStyle w:val="ProcessBullet"/>
              <w:numPr>
                <w:ilvl w:val="0"/>
                <w:numId w:val="0"/>
              </w:numPr>
              <w:spacing w:before="120"/>
              <w:ind w:left="216"/>
            </w:pPr>
          </w:p>
        </w:tc>
      </w:tr>
    </w:tbl>
    <w:p w14:paraId="33514948" w14:textId="77777777" w:rsidR="00E43260" w:rsidRPr="005D4222" w:rsidRDefault="00E43260" w:rsidP="00E43260"/>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E43260" w:rsidRPr="005D4222" w14:paraId="7D6281C1" w14:textId="77777777" w:rsidTr="00A53E8C">
        <w:tc>
          <w:tcPr>
            <w:tcW w:w="2157"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50751C1B" w14:textId="77777777" w:rsidR="00E43260" w:rsidRPr="005D4222" w:rsidRDefault="00E43260" w:rsidP="00A53E8C">
            <w:pPr>
              <w:pStyle w:val="ECDSMarginHead"/>
            </w:pP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tcPr>
          <w:p w14:paraId="37C4268E" w14:textId="77777777" w:rsidR="00E43260" w:rsidRPr="005D4222" w:rsidRDefault="00E43260" w:rsidP="00A53E8C">
            <w:pPr>
              <w:keepNext/>
              <w:spacing w:after="60"/>
              <w:outlineLvl w:val="2"/>
              <w:rPr>
                <w:rFonts w:eastAsia="Arial"/>
                <w:b/>
                <w:i/>
                <w:kern w:val="20"/>
                <w:sz w:val="10"/>
                <w:szCs w:val="10"/>
              </w:rPr>
            </w:pPr>
          </w:p>
          <w:tbl>
            <w:tblPr>
              <w:tblW w:w="7483" w:type="dxa"/>
              <w:tblLayout w:type="fixed"/>
              <w:tblLook w:val="04A0" w:firstRow="1" w:lastRow="0" w:firstColumn="1" w:lastColumn="0" w:noHBand="0" w:noVBand="1"/>
            </w:tblPr>
            <w:tblGrid>
              <w:gridCol w:w="2241"/>
              <w:gridCol w:w="1980"/>
              <w:gridCol w:w="1800"/>
              <w:gridCol w:w="1344"/>
              <w:gridCol w:w="118"/>
            </w:tblGrid>
            <w:tr w:rsidR="00E43260" w:rsidRPr="005D4222" w14:paraId="071FFE75" w14:textId="77777777" w:rsidTr="00250D6E">
              <w:trPr>
                <w:gridAfter w:val="1"/>
                <w:wAfter w:w="118" w:type="dxa"/>
                <w:tblHeader/>
              </w:trPr>
              <w:tc>
                <w:tcPr>
                  <w:tcW w:w="2241" w:type="dxa"/>
                  <w:tcBorders>
                    <w:top w:val="single" w:sz="8" w:space="0" w:color="auto"/>
                    <w:left w:val="single" w:sz="8" w:space="0" w:color="auto"/>
                    <w:bottom w:val="single" w:sz="8" w:space="0" w:color="auto"/>
                    <w:right w:val="single" w:sz="6" w:space="0" w:color="FFFFFF" w:themeColor="background1"/>
                  </w:tcBorders>
                  <w:shd w:val="clear" w:color="auto" w:fill="000000" w:themeFill="text1"/>
                  <w:noWrap/>
                  <w:vAlign w:val="bottom"/>
                  <w:hideMark/>
                </w:tcPr>
                <w:p w14:paraId="7B07DAE4" w14:textId="77777777" w:rsidR="00E43260" w:rsidRPr="005D4222" w:rsidRDefault="00E43260" w:rsidP="00A53E8C">
                  <w:pPr>
                    <w:pStyle w:val="TableHead"/>
                    <w:spacing w:before="40" w:after="40"/>
                    <w:rPr>
                      <w:b w:val="0"/>
                      <w:kern w:val="20"/>
                    </w:rPr>
                  </w:pPr>
                  <w:r w:rsidRPr="005D4222">
                    <w:t>Metric</w:t>
                  </w:r>
                </w:p>
              </w:tc>
              <w:tc>
                <w:tcPr>
                  <w:tcW w:w="1980" w:type="dxa"/>
                  <w:tcBorders>
                    <w:top w:val="single" w:sz="8" w:space="0" w:color="auto"/>
                    <w:left w:val="single" w:sz="6" w:space="0" w:color="FFFFFF" w:themeColor="background1"/>
                    <w:bottom w:val="single" w:sz="4" w:space="0" w:color="auto"/>
                    <w:right w:val="single" w:sz="6" w:space="0" w:color="FFFFFF" w:themeColor="background1"/>
                  </w:tcBorders>
                  <w:shd w:val="clear" w:color="auto" w:fill="000000" w:themeFill="text1"/>
                  <w:vAlign w:val="bottom"/>
                  <w:hideMark/>
                </w:tcPr>
                <w:p w14:paraId="77655DB4" w14:textId="1A8D5BB1" w:rsidR="00E43260" w:rsidRPr="005D4222" w:rsidRDefault="00E43260" w:rsidP="00A53E8C">
                  <w:pPr>
                    <w:pStyle w:val="TableHead"/>
                    <w:spacing w:before="40" w:after="40"/>
                    <w:rPr>
                      <w:b w:val="0"/>
                      <w:kern w:val="20"/>
                    </w:rPr>
                  </w:pPr>
                  <w:r w:rsidRPr="005D4222">
                    <w:t xml:space="preserve">SES </w:t>
                  </w:r>
                  <w:r w:rsidR="00B51CDC" w:rsidRPr="005D4222">
                    <w:t>Stratifications</w:t>
                  </w:r>
                </w:p>
              </w:tc>
              <w:tc>
                <w:tcPr>
                  <w:tcW w:w="1800" w:type="dxa"/>
                  <w:tcBorders>
                    <w:top w:val="single" w:sz="8" w:space="0" w:color="auto"/>
                    <w:left w:val="single" w:sz="6" w:space="0" w:color="FFFFFF" w:themeColor="background1"/>
                    <w:bottom w:val="single" w:sz="4" w:space="0" w:color="auto"/>
                    <w:right w:val="single" w:sz="4" w:space="0" w:color="FFFFFF" w:themeColor="background1"/>
                  </w:tcBorders>
                  <w:shd w:val="clear" w:color="auto" w:fill="000000" w:themeFill="text1"/>
                  <w:noWrap/>
                  <w:vAlign w:val="bottom"/>
                  <w:hideMark/>
                </w:tcPr>
                <w:p w14:paraId="06C8AC6B" w14:textId="77777777" w:rsidR="00E43260" w:rsidRPr="005D4222" w:rsidRDefault="00E43260" w:rsidP="00A53E8C">
                  <w:pPr>
                    <w:pStyle w:val="TableHead"/>
                    <w:spacing w:before="40" w:after="40"/>
                    <w:rPr>
                      <w:b w:val="0"/>
                      <w:kern w:val="20"/>
                    </w:rPr>
                  </w:pPr>
                  <w:r w:rsidRPr="005D4222">
                    <w:t>Data Element</w:t>
                  </w:r>
                </w:p>
              </w:tc>
              <w:tc>
                <w:tcPr>
                  <w:tcW w:w="1344" w:type="dxa"/>
                  <w:tcBorders>
                    <w:top w:val="single" w:sz="8" w:space="0" w:color="auto"/>
                    <w:left w:val="single" w:sz="4" w:space="0" w:color="FFFFFF" w:themeColor="background1"/>
                    <w:bottom w:val="single" w:sz="8" w:space="0" w:color="auto"/>
                    <w:right w:val="single" w:sz="8" w:space="0" w:color="auto"/>
                  </w:tcBorders>
                  <w:shd w:val="clear" w:color="auto" w:fill="000000" w:themeFill="text1"/>
                  <w:vAlign w:val="bottom"/>
                  <w:hideMark/>
                </w:tcPr>
                <w:p w14:paraId="5B8B393F" w14:textId="77777777" w:rsidR="00E43260" w:rsidRPr="005D4222" w:rsidRDefault="00E43260" w:rsidP="00A53E8C">
                  <w:pPr>
                    <w:pStyle w:val="TableHead"/>
                    <w:spacing w:before="40" w:after="40"/>
                    <w:rPr>
                      <w:b w:val="0"/>
                      <w:kern w:val="20"/>
                    </w:rPr>
                  </w:pPr>
                  <w:r w:rsidRPr="005D4222">
                    <w:t>Reporting Instructions</w:t>
                  </w:r>
                </w:p>
              </w:tc>
            </w:tr>
            <w:tr w:rsidR="00E43260" w:rsidRPr="005D4222" w14:paraId="3169DACB" w14:textId="77777777" w:rsidTr="006C4B4E">
              <w:tc>
                <w:tcPr>
                  <w:tcW w:w="2241" w:type="dxa"/>
                  <w:shd w:val="clear" w:color="auto" w:fill="FFFFFF" w:themeFill="background1"/>
                  <w:noWrap/>
                  <w:hideMark/>
                </w:tcPr>
                <w:p w14:paraId="71717670" w14:textId="77777777" w:rsidR="00E43260" w:rsidRPr="005D4222" w:rsidRDefault="00E43260" w:rsidP="00A53E8C">
                  <w:pPr>
                    <w:pStyle w:val="TableText"/>
                    <w:spacing w:before="40" w:after="40"/>
                  </w:pP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8D99FC6" w14:textId="77777777" w:rsidR="00E43260" w:rsidRPr="005D4222" w:rsidRDefault="00E43260" w:rsidP="00A53E8C">
                  <w:pPr>
                    <w:pStyle w:val="TableText"/>
                    <w:spacing w:before="40" w:after="40"/>
                  </w:pPr>
                  <w:r w:rsidRPr="005D4222">
                    <w:t>LisDeAndDisability</w:t>
                  </w:r>
                </w:p>
              </w:tc>
              <w:tc>
                <w:tcPr>
                  <w:tcW w:w="1800" w:type="dxa"/>
                  <w:tcBorders>
                    <w:top w:val="single" w:sz="8" w:space="0" w:color="auto"/>
                    <w:left w:val="single" w:sz="4" w:space="0" w:color="auto"/>
                    <w:bottom w:val="single" w:sz="4" w:space="0" w:color="auto"/>
                    <w:right w:val="single" w:sz="4" w:space="0" w:color="auto"/>
                  </w:tcBorders>
                  <w:noWrap/>
                  <w:hideMark/>
                </w:tcPr>
                <w:p w14:paraId="3FD336C9" w14:textId="77777777" w:rsidR="00E43260" w:rsidRPr="005D4222" w:rsidRDefault="00E43260" w:rsidP="00A53E8C">
                  <w:pPr>
                    <w:pStyle w:val="TableText"/>
                    <w:spacing w:before="40" w:after="40"/>
                  </w:pPr>
                  <w:r w:rsidRPr="005D4222">
                    <w:t>Numerator</w:t>
                  </w:r>
                </w:p>
              </w:tc>
              <w:tc>
                <w:tcPr>
                  <w:tcW w:w="1462" w:type="dxa"/>
                  <w:gridSpan w:val="2"/>
                  <w:tcBorders>
                    <w:top w:val="single" w:sz="4" w:space="0" w:color="auto"/>
                    <w:left w:val="single" w:sz="4" w:space="0" w:color="auto"/>
                    <w:bottom w:val="single" w:sz="4" w:space="0" w:color="auto"/>
                    <w:right w:val="single" w:sz="4" w:space="0" w:color="auto"/>
                  </w:tcBorders>
                  <w:hideMark/>
                </w:tcPr>
                <w:p w14:paraId="24E99E47" w14:textId="77777777" w:rsidR="00E43260" w:rsidRPr="005D4222" w:rsidRDefault="00E43260" w:rsidP="00A53E8C">
                  <w:pPr>
                    <w:pStyle w:val="TableText"/>
                    <w:spacing w:before="40" w:after="40"/>
                  </w:pPr>
                  <w:r w:rsidRPr="005D4222">
                    <w:t>For each stratification</w:t>
                  </w:r>
                </w:p>
              </w:tc>
            </w:tr>
            <w:tr w:rsidR="00E43260" w:rsidRPr="005D4222" w14:paraId="5A8D92C3" w14:textId="77777777" w:rsidTr="006C4B4E">
              <w:tc>
                <w:tcPr>
                  <w:tcW w:w="2241" w:type="dxa"/>
                  <w:shd w:val="clear" w:color="auto" w:fill="FFFFFF" w:themeFill="background1"/>
                  <w:noWrap/>
                  <w:hideMark/>
                </w:tcPr>
                <w:p w14:paraId="44FB5EC9" w14:textId="77777777" w:rsidR="00E43260" w:rsidRPr="005D4222" w:rsidRDefault="00E43260" w:rsidP="00A53E8C">
                  <w:pPr>
                    <w:pStyle w:val="TableText"/>
                    <w:spacing w:before="40" w:after="40"/>
                  </w:pPr>
                </w:p>
              </w:tc>
              <w:tc>
                <w:tcPr>
                  <w:tcW w:w="1980" w:type="dxa"/>
                  <w:tcBorders>
                    <w:top w:val="single" w:sz="4" w:space="0" w:color="auto"/>
                    <w:left w:val="single" w:sz="4" w:space="0" w:color="auto"/>
                    <w:bottom w:val="single" w:sz="4" w:space="0" w:color="000000" w:themeColor="text1"/>
                    <w:right w:val="single" w:sz="4" w:space="0" w:color="auto"/>
                  </w:tcBorders>
                  <w:shd w:val="clear" w:color="auto" w:fill="FFFFFF" w:themeFill="background1"/>
                  <w:hideMark/>
                </w:tcPr>
                <w:p w14:paraId="7A7011F8" w14:textId="77777777" w:rsidR="00E43260" w:rsidRPr="005D4222" w:rsidRDefault="00E43260" w:rsidP="00A53E8C">
                  <w:pPr>
                    <w:pStyle w:val="TableText"/>
                    <w:spacing w:before="40" w:after="40"/>
                  </w:pPr>
                  <w:r w:rsidRPr="005D4222">
                    <w:t>Other</w:t>
                  </w:r>
                </w:p>
              </w:tc>
              <w:tc>
                <w:tcPr>
                  <w:tcW w:w="1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86E45D7" w14:textId="77777777" w:rsidR="00E43260" w:rsidRPr="005D4222" w:rsidRDefault="00E43260" w:rsidP="00A53E8C">
                  <w:pPr>
                    <w:pStyle w:val="TableText"/>
                    <w:spacing w:before="40" w:after="40"/>
                  </w:pPr>
                  <w:r w:rsidRPr="005D4222">
                    <w:t>Rate</w:t>
                  </w:r>
                </w:p>
              </w:tc>
              <w:tc>
                <w:tcPr>
                  <w:tcW w:w="146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97A0E90" w14:textId="77777777" w:rsidR="00E43260" w:rsidRPr="005D4222" w:rsidRDefault="00E43260" w:rsidP="00A53E8C">
                  <w:pPr>
                    <w:pStyle w:val="TableText"/>
                    <w:spacing w:before="40" w:after="40"/>
                  </w:pPr>
                  <w:r w:rsidRPr="005D4222">
                    <w:t>(Percent)</w:t>
                  </w:r>
                </w:p>
              </w:tc>
            </w:tr>
            <w:tr w:rsidR="00E43260" w:rsidRPr="005D4222" w14:paraId="4A0233AF" w14:textId="77777777" w:rsidTr="00250D6E">
              <w:trPr>
                <w:gridAfter w:val="3"/>
                <w:wAfter w:w="3262" w:type="dxa"/>
              </w:trPr>
              <w:tc>
                <w:tcPr>
                  <w:tcW w:w="2241" w:type="dxa"/>
                  <w:tcBorders>
                    <w:right w:val="single" w:sz="4" w:space="0" w:color="000000" w:themeColor="text1"/>
                  </w:tcBorders>
                  <w:shd w:val="clear" w:color="auto" w:fill="FFFFFF" w:themeFill="background1"/>
                  <w:noWrap/>
                  <w:hideMark/>
                </w:tcPr>
                <w:p w14:paraId="044424C6" w14:textId="77777777" w:rsidR="00E43260" w:rsidRPr="005D4222" w:rsidRDefault="00E43260" w:rsidP="00A53E8C">
                  <w:pPr>
                    <w:pStyle w:val="TableText"/>
                    <w:spacing w:before="40" w:after="40"/>
                  </w:pPr>
                  <w:r w:rsidRPr="005D4222">
                    <w:t xml:space="preserve"> </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454382EA" w14:textId="77777777" w:rsidR="00E43260" w:rsidRPr="005D4222" w:rsidRDefault="00E43260" w:rsidP="00A53E8C">
                  <w:pPr>
                    <w:pStyle w:val="TableText"/>
                    <w:spacing w:before="40" w:after="40"/>
                  </w:pPr>
                  <w:r w:rsidRPr="005D4222">
                    <w:t>Unknown</w:t>
                  </w:r>
                </w:p>
              </w:tc>
            </w:tr>
          </w:tbl>
          <w:p w14:paraId="518590E6" w14:textId="39E58FC7" w:rsidR="00E43260" w:rsidRPr="005D4222" w:rsidRDefault="00E43260" w:rsidP="00A53E8C">
            <w:pPr>
              <w:pStyle w:val="Heading3"/>
              <w:rPr>
                <w:rFonts w:eastAsia="Arial"/>
              </w:rPr>
            </w:pPr>
            <w:r w:rsidRPr="005D4222">
              <w:rPr>
                <w:rFonts w:eastAsia="Arial"/>
              </w:rPr>
              <w:br w:type="page"/>
              <w:t xml:space="preserve">Table COL-E-C 1/2/3: Data Elements for Colorectal Cancer Screening: </w:t>
            </w:r>
            <w:r w:rsidR="00B51CDC" w:rsidRPr="005D4222">
              <w:rPr>
                <w:rFonts w:eastAsia="Arial"/>
              </w:rPr>
              <w:t>Stratifications</w:t>
            </w:r>
            <w:r w:rsidRPr="005D4222">
              <w:rPr>
                <w:rFonts w:eastAsia="Arial"/>
              </w:rPr>
              <w:t xml:space="preserve"> by Race</w:t>
            </w:r>
          </w:p>
          <w:tbl>
            <w:tblPr>
              <w:tblStyle w:val="TableGrid"/>
              <w:tblW w:w="0" w:type="auto"/>
              <w:tblLook w:val="04A0" w:firstRow="1" w:lastRow="0" w:firstColumn="1" w:lastColumn="0" w:noHBand="0" w:noVBand="1"/>
            </w:tblPr>
            <w:tblGrid>
              <w:gridCol w:w="2246"/>
              <w:gridCol w:w="2610"/>
              <w:gridCol w:w="1350"/>
              <w:gridCol w:w="1169"/>
            </w:tblGrid>
            <w:tr w:rsidR="00E43260" w:rsidRPr="005D4222" w14:paraId="66C29004" w14:textId="77777777" w:rsidTr="00A53E8C">
              <w:tc>
                <w:tcPr>
                  <w:tcW w:w="2246" w:type="dxa"/>
                  <w:tcBorders>
                    <w:right w:val="single" w:sz="4" w:space="0" w:color="FFFFFF" w:themeColor="background1"/>
                  </w:tcBorders>
                  <w:shd w:val="clear" w:color="auto" w:fill="000000" w:themeFill="text1"/>
                  <w:tcMar>
                    <w:left w:w="43" w:type="dxa"/>
                    <w:right w:w="43" w:type="dxa"/>
                  </w:tcMar>
                  <w:vAlign w:val="bottom"/>
                </w:tcPr>
                <w:p w14:paraId="0C14969C" w14:textId="77777777" w:rsidR="00E43260" w:rsidRPr="005D4222" w:rsidRDefault="00E43260" w:rsidP="00A53E8C">
                  <w:pPr>
                    <w:pStyle w:val="TableHead"/>
                    <w:rPr>
                      <w:rFonts w:eastAsia="Arial"/>
                      <w:i/>
                      <w:kern w:val="20"/>
                      <w:sz w:val="18"/>
                      <w:szCs w:val="18"/>
                    </w:rPr>
                  </w:pPr>
                  <w:r w:rsidRPr="005D4222">
                    <w:t>Metric</w:t>
                  </w:r>
                </w:p>
              </w:tc>
              <w:tc>
                <w:tcPr>
                  <w:tcW w:w="2610" w:type="dxa"/>
                  <w:tcBorders>
                    <w:left w:val="single" w:sz="4" w:space="0" w:color="FFFFFF" w:themeColor="background1"/>
                    <w:right w:val="single" w:sz="4" w:space="0" w:color="FFFFFF" w:themeColor="background1"/>
                  </w:tcBorders>
                  <w:shd w:val="clear" w:color="auto" w:fill="000000" w:themeFill="text1"/>
                  <w:tcMar>
                    <w:left w:w="43" w:type="dxa"/>
                    <w:right w:w="43" w:type="dxa"/>
                  </w:tcMar>
                  <w:vAlign w:val="bottom"/>
                </w:tcPr>
                <w:p w14:paraId="0CE283FD" w14:textId="77777777" w:rsidR="00E43260" w:rsidRPr="005D4222" w:rsidRDefault="00E43260" w:rsidP="00A53E8C">
                  <w:pPr>
                    <w:pStyle w:val="TableHead"/>
                    <w:rPr>
                      <w:rFonts w:eastAsia="Arial"/>
                      <w:i/>
                      <w:kern w:val="20"/>
                      <w:sz w:val="18"/>
                      <w:szCs w:val="18"/>
                    </w:rPr>
                  </w:pPr>
                  <w:r w:rsidRPr="005D4222">
                    <w:t>Race</w:t>
                  </w:r>
                </w:p>
              </w:tc>
              <w:tc>
                <w:tcPr>
                  <w:tcW w:w="1350" w:type="dxa"/>
                  <w:tcBorders>
                    <w:left w:val="single" w:sz="4" w:space="0" w:color="FFFFFF" w:themeColor="background1"/>
                    <w:right w:val="single" w:sz="4" w:space="0" w:color="FFFFFF" w:themeColor="background1"/>
                  </w:tcBorders>
                  <w:shd w:val="clear" w:color="auto" w:fill="000000" w:themeFill="text1"/>
                  <w:tcMar>
                    <w:left w:w="43" w:type="dxa"/>
                    <w:right w:w="43" w:type="dxa"/>
                  </w:tcMar>
                  <w:vAlign w:val="bottom"/>
                </w:tcPr>
                <w:p w14:paraId="68EE45EB" w14:textId="77777777" w:rsidR="00E43260" w:rsidRPr="005D4222" w:rsidRDefault="00E43260" w:rsidP="00A53E8C">
                  <w:pPr>
                    <w:pStyle w:val="TableHead"/>
                    <w:rPr>
                      <w:rFonts w:eastAsia="Arial"/>
                      <w:i/>
                      <w:kern w:val="20"/>
                      <w:sz w:val="18"/>
                      <w:szCs w:val="18"/>
                    </w:rPr>
                  </w:pPr>
                  <w:r w:rsidRPr="005D4222">
                    <w:t>Data Element</w:t>
                  </w:r>
                </w:p>
              </w:tc>
              <w:tc>
                <w:tcPr>
                  <w:tcW w:w="1169" w:type="dxa"/>
                  <w:tcBorders>
                    <w:left w:val="single" w:sz="4" w:space="0" w:color="FFFFFF" w:themeColor="background1"/>
                  </w:tcBorders>
                  <w:shd w:val="clear" w:color="auto" w:fill="000000" w:themeFill="text1"/>
                  <w:tcMar>
                    <w:left w:w="43" w:type="dxa"/>
                    <w:right w:w="43" w:type="dxa"/>
                  </w:tcMar>
                  <w:vAlign w:val="bottom"/>
                </w:tcPr>
                <w:p w14:paraId="17FD2D61" w14:textId="77777777" w:rsidR="00E43260" w:rsidRPr="005D4222" w:rsidRDefault="00E43260" w:rsidP="00A53E8C">
                  <w:pPr>
                    <w:pStyle w:val="TableHead"/>
                    <w:rPr>
                      <w:rFonts w:eastAsia="Arial"/>
                      <w:i/>
                      <w:kern w:val="20"/>
                      <w:sz w:val="18"/>
                      <w:szCs w:val="18"/>
                    </w:rPr>
                  </w:pPr>
                  <w:r w:rsidRPr="005D4222">
                    <w:t>Reporting Instructions</w:t>
                  </w:r>
                </w:p>
              </w:tc>
            </w:tr>
            <w:tr w:rsidR="00E43260" w:rsidRPr="005D4222" w14:paraId="20791689" w14:textId="77777777" w:rsidTr="00A53E8C">
              <w:tc>
                <w:tcPr>
                  <w:tcW w:w="2246" w:type="dxa"/>
                  <w:tcMar>
                    <w:left w:w="43" w:type="dxa"/>
                    <w:right w:w="43" w:type="dxa"/>
                  </w:tcMar>
                </w:tcPr>
                <w:p w14:paraId="511BE8FB" w14:textId="77777777" w:rsidR="00E43260" w:rsidRPr="005D4222" w:rsidRDefault="00E43260" w:rsidP="00A53E8C">
                  <w:pPr>
                    <w:pStyle w:val="TableText"/>
                  </w:pPr>
                  <w:r w:rsidRPr="005D4222">
                    <w:t>ColorectalCancerScreening</w:t>
                  </w:r>
                </w:p>
              </w:tc>
              <w:tc>
                <w:tcPr>
                  <w:tcW w:w="2610" w:type="dxa"/>
                  <w:tcMar>
                    <w:left w:w="43" w:type="dxa"/>
                    <w:right w:w="43" w:type="dxa"/>
                  </w:tcMar>
                </w:tcPr>
                <w:p w14:paraId="36C5C4DE" w14:textId="77777777" w:rsidR="00E43260" w:rsidRPr="005D4222" w:rsidRDefault="00E43260" w:rsidP="00A53E8C">
                  <w:pPr>
                    <w:pStyle w:val="TableText"/>
                  </w:pPr>
                  <w:r w:rsidRPr="005D4222">
                    <w:t>AmericanIndianOrAlaskaNative</w:t>
                  </w:r>
                </w:p>
              </w:tc>
              <w:tc>
                <w:tcPr>
                  <w:tcW w:w="1350" w:type="dxa"/>
                  <w:tcMar>
                    <w:left w:w="43" w:type="dxa"/>
                    <w:right w:w="43" w:type="dxa"/>
                  </w:tcMar>
                </w:tcPr>
                <w:p w14:paraId="5C1E50C3" w14:textId="77777777" w:rsidR="00E43260" w:rsidRPr="005D4222" w:rsidRDefault="00E43260" w:rsidP="00A53E8C">
                  <w:pPr>
                    <w:pStyle w:val="TableText"/>
                  </w:pPr>
                  <w:r w:rsidRPr="005D4222">
                    <w:t>InitialPopulation</w:t>
                  </w:r>
                </w:p>
              </w:tc>
              <w:tc>
                <w:tcPr>
                  <w:tcW w:w="1169" w:type="dxa"/>
                  <w:tcMar>
                    <w:left w:w="43" w:type="dxa"/>
                    <w:right w:w="43" w:type="dxa"/>
                  </w:tcMar>
                </w:tcPr>
                <w:p w14:paraId="120D3A0F" w14:textId="77777777" w:rsidR="00E43260" w:rsidRPr="005D4222" w:rsidRDefault="00E43260" w:rsidP="00A53E8C">
                  <w:pPr>
                    <w:pStyle w:val="TableText"/>
                  </w:pPr>
                  <w:r w:rsidRPr="005D4222">
                    <w:t>For each Stratification</w:t>
                  </w:r>
                </w:p>
              </w:tc>
            </w:tr>
            <w:tr w:rsidR="00E43260" w:rsidRPr="005D4222" w14:paraId="48F8FB6E" w14:textId="77777777" w:rsidTr="00A53E8C">
              <w:tc>
                <w:tcPr>
                  <w:tcW w:w="2246" w:type="dxa"/>
                  <w:tcBorders>
                    <w:left w:val="nil"/>
                    <w:bottom w:val="nil"/>
                  </w:tcBorders>
                  <w:tcMar>
                    <w:left w:w="43" w:type="dxa"/>
                    <w:right w:w="43" w:type="dxa"/>
                  </w:tcMar>
                </w:tcPr>
                <w:p w14:paraId="60624B60" w14:textId="77777777" w:rsidR="00E43260" w:rsidRPr="005D4222" w:rsidRDefault="00E43260" w:rsidP="00A53E8C">
                  <w:pPr>
                    <w:pStyle w:val="TableText"/>
                  </w:pPr>
                </w:p>
              </w:tc>
              <w:tc>
                <w:tcPr>
                  <w:tcW w:w="2610" w:type="dxa"/>
                  <w:tcMar>
                    <w:left w:w="43" w:type="dxa"/>
                    <w:right w:w="43" w:type="dxa"/>
                  </w:tcMar>
                </w:tcPr>
                <w:p w14:paraId="35F29843" w14:textId="77777777" w:rsidR="00E43260" w:rsidRPr="005D4222" w:rsidRDefault="00E43260" w:rsidP="00A53E8C">
                  <w:pPr>
                    <w:pStyle w:val="TableText"/>
                  </w:pPr>
                  <w:r w:rsidRPr="005D4222">
                    <w:t>Asian</w:t>
                  </w:r>
                </w:p>
              </w:tc>
              <w:tc>
                <w:tcPr>
                  <w:tcW w:w="1350" w:type="dxa"/>
                  <w:tcMar>
                    <w:left w:w="43" w:type="dxa"/>
                    <w:right w:w="43" w:type="dxa"/>
                  </w:tcMar>
                </w:tcPr>
                <w:p w14:paraId="36C81BE1" w14:textId="77777777" w:rsidR="00E43260" w:rsidRPr="005D4222" w:rsidRDefault="00E43260" w:rsidP="00A53E8C">
                  <w:pPr>
                    <w:pStyle w:val="TableText"/>
                  </w:pPr>
                  <w:r w:rsidRPr="005D4222">
                    <w:t>Exclusions</w:t>
                  </w:r>
                </w:p>
              </w:tc>
              <w:tc>
                <w:tcPr>
                  <w:tcW w:w="1169" w:type="dxa"/>
                  <w:tcMar>
                    <w:left w:w="43" w:type="dxa"/>
                    <w:right w:w="43" w:type="dxa"/>
                  </w:tcMar>
                </w:tcPr>
                <w:p w14:paraId="35E262E7" w14:textId="77777777" w:rsidR="00E43260" w:rsidRPr="005D4222" w:rsidRDefault="00E43260" w:rsidP="00A53E8C">
                  <w:pPr>
                    <w:pStyle w:val="TableText"/>
                  </w:pPr>
                  <w:r w:rsidRPr="005D4222">
                    <w:t>For each Stratification</w:t>
                  </w:r>
                </w:p>
              </w:tc>
            </w:tr>
            <w:tr w:rsidR="00E43260" w:rsidRPr="005D4222" w14:paraId="61CDFB7C" w14:textId="77777777" w:rsidTr="00A53E8C">
              <w:tc>
                <w:tcPr>
                  <w:tcW w:w="2246" w:type="dxa"/>
                  <w:tcBorders>
                    <w:top w:val="nil"/>
                    <w:left w:val="nil"/>
                    <w:bottom w:val="nil"/>
                  </w:tcBorders>
                  <w:tcMar>
                    <w:left w:w="43" w:type="dxa"/>
                    <w:right w:w="43" w:type="dxa"/>
                  </w:tcMar>
                </w:tcPr>
                <w:p w14:paraId="12D277B1" w14:textId="77777777" w:rsidR="00E43260" w:rsidRPr="005D4222" w:rsidRDefault="00E43260" w:rsidP="00A53E8C">
                  <w:pPr>
                    <w:pStyle w:val="TableText"/>
                  </w:pPr>
                </w:p>
              </w:tc>
              <w:tc>
                <w:tcPr>
                  <w:tcW w:w="2610" w:type="dxa"/>
                  <w:tcMar>
                    <w:left w:w="43" w:type="dxa"/>
                    <w:right w:w="43" w:type="dxa"/>
                  </w:tcMar>
                </w:tcPr>
                <w:p w14:paraId="2F4674C7" w14:textId="77777777" w:rsidR="00E43260" w:rsidRPr="005D4222" w:rsidRDefault="00E43260" w:rsidP="00A53E8C">
                  <w:pPr>
                    <w:pStyle w:val="TableText"/>
                  </w:pPr>
                  <w:r w:rsidRPr="005D4222">
                    <w:t>BlackOrAfricanAmerican</w:t>
                  </w:r>
                  <w:r w:rsidRPr="005D4222" w:rsidDel="007233DE">
                    <w:t xml:space="preserve"> </w:t>
                  </w:r>
                </w:p>
              </w:tc>
              <w:tc>
                <w:tcPr>
                  <w:tcW w:w="1350" w:type="dxa"/>
                  <w:tcMar>
                    <w:left w:w="43" w:type="dxa"/>
                    <w:right w:w="43" w:type="dxa"/>
                  </w:tcMar>
                </w:tcPr>
                <w:p w14:paraId="3CFAC7F7" w14:textId="77777777" w:rsidR="00E43260" w:rsidRPr="005D4222" w:rsidRDefault="00E43260" w:rsidP="00A53E8C">
                  <w:pPr>
                    <w:pStyle w:val="TableText"/>
                  </w:pPr>
                  <w:r w:rsidRPr="005D4222">
                    <w:t>Denominator</w:t>
                  </w:r>
                </w:p>
              </w:tc>
              <w:tc>
                <w:tcPr>
                  <w:tcW w:w="1169" w:type="dxa"/>
                  <w:tcMar>
                    <w:left w:w="43" w:type="dxa"/>
                    <w:right w:w="43" w:type="dxa"/>
                  </w:tcMar>
                </w:tcPr>
                <w:p w14:paraId="7BD6281E" w14:textId="77777777" w:rsidR="00E43260" w:rsidRPr="005D4222" w:rsidRDefault="00E43260" w:rsidP="00A53E8C">
                  <w:pPr>
                    <w:pStyle w:val="TableText"/>
                  </w:pPr>
                  <w:r w:rsidRPr="005D4222">
                    <w:t>For each Stratification</w:t>
                  </w:r>
                </w:p>
              </w:tc>
            </w:tr>
            <w:tr w:rsidR="00E43260" w:rsidRPr="005D4222" w14:paraId="4E111D93" w14:textId="77777777" w:rsidTr="00A53E8C">
              <w:tc>
                <w:tcPr>
                  <w:tcW w:w="2246" w:type="dxa"/>
                  <w:tcBorders>
                    <w:top w:val="nil"/>
                    <w:left w:val="nil"/>
                    <w:bottom w:val="nil"/>
                  </w:tcBorders>
                  <w:tcMar>
                    <w:left w:w="43" w:type="dxa"/>
                    <w:right w:w="43" w:type="dxa"/>
                  </w:tcMar>
                </w:tcPr>
                <w:p w14:paraId="3635B62A" w14:textId="77777777" w:rsidR="00E43260" w:rsidRPr="005D4222" w:rsidRDefault="00E43260" w:rsidP="00A53E8C">
                  <w:pPr>
                    <w:pStyle w:val="TableText"/>
                  </w:pPr>
                </w:p>
              </w:tc>
              <w:tc>
                <w:tcPr>
                  <w:tcW w:w="2610" w:type="dxa"/>
                  <w:tcMar>
                    <w:left w:w="43" w:type="dxa"/>
                    <w:right w:w="43" w:type="dxa"/>
                  </w:tcMar>
                </w:tcPr>
                <w:p w14:paraId="459A353C" w14:textId="77777777" w:rsidR="00E43260" w:rsidRPr="005D4222" w:rsidRDefault="00E43260" w:rsidP="00A53E8C">
                  <w:pPr>
                    <w:pStyle w:val="TableText"/>
                  </w:pPr>
                  <w:r w:rsidRPr="005D4222">
                    <w:t>MiddleEasternOrNorthAfrican</w:t>
                  </w:r>
                </w:p>
              </w:tc>
              <w:tc>
                <w:tcPr>
                  <w:tcW w:w="1350" w:type="dxa"/>
                  <w:tcMar>
                    <w:left w:w="43" w:type="dxa"/>
                    <w:right w:w="43" w:type="dxa"/>
                  </w:tcMar>
                </w:tcPr>
                <w:p w14:paraId="47F91FAE" w14:textId="77777777" w:rsidR="00E43260" w:rsidRPr="005D4222" w:rsidRDefault="00E43260" w:rsidP="00A53E8C">
                  <w:pPr>
                    <w:pStyle w:val="TableText"/>
                  </w:pPr>
                  <w:r w:rsidRPr="005D4222">
                    <w:t>Numerator</w:t>
                  </w:r>
                </w:p>
              </w:tc>
              <w:tc>
                <w:tcPr>
                  <w:tcW w:w="1169" w:type="dxa"/>
                  <w:tcMar>
                    <w:left w:w="43" w:type="dxa"/>
                    <w:right w:w="43" w:type="dxa"/>
                  </w:tcMar>
                </w:tcPr>
                <w:p w14:paraId="3B412ABB" w14:textId="77777777" w:rsidR="00E43260" w:rsidRPr="005D4222" w:rsidRDefault="00E43260" w:rsidP="00A53E8C">
                  <w:pPr>
                    <w:pStyle w:val="TableText"/>
                  </w:pPr>
                  <w:r w:rsidRPr="005D4222">
                    <w:t>For each Stratification</w:t>
                  </w:r>
                </w:p>
              </w:tc>
            </w:tr>
            <w:tr w:rsidR="00E43260" w:rsidRPr="005D4222" w14:paraId="1DF2CAC4" w14:textId="77777777" w:rsidTr="00A53E8C">
              <w:tc>
                <w:tcPr>
                  <w:tcW w:w="2246" w:type="dxa"/>
                  <w:tcBorders>
                    <w:top w:val="nil"/>
                    <w:left w:val="nil"/>
                    <w:bottom w:val="nil"/>
                  </w:tcBorders>
                  <w:tcMar>
                    <w:left w:w="43" w:type="dxa"/>
                    <w:right w:w="43" w:type="dxa"/>
                  </w:tcMar>
                </w:tcPr>
                <w:p w14:paraId="01A881D9" w14:textId="77777777" w:rsidR="00E43260" w:rsidRPr="005D4222" w:rsidRDefault="00E43260" w:rsidP="00A53E8C">
                  <w:pPr>
                    <w:pStyle w:val="TableText"/>
                  </w:pPr>
                </w:p>
              </w:tc>
              <w:tc>
                <w:tcPr>
                  <w:tcW w:w="2610" w:type="dxa"/>
                  <w:tcMar>
                    <w:left w:w="43" w:type="dxa"/>
                    <w:right w:w="43" w:type="dxa"/>
                  </w:tcMar>
                </w:tcPr>
                <w:p w14:paraId="388A1575" w14:textId="77777777" w:rsidR="00E43260" w:rsidRPr="005D4222" w:rsidRDefault="00E43260" w:rsidP="00A53E8C">
                  <w:pPr>
                    <w:pStyle w:val="TableText"/>
                  </w:pPr>
                  <w:r w:rsidRPr="005D4222">
                    <w:t>NativeHawaiianOrPacificIslander</w:t>
                  </w:r>
                  <w:r w:rsidRPr="005D4222" w:rsidDel="007233DE">
                    <w:t xml:space="preserve"> </w:t>
                  </w:r>
                </w:p>
              </w:tc>
              <w:tc>
                <w:tcPr>
                  <w:tcW w:w="1350" w:type="dxa"/>
                  <w:shd w:val="clear" w:color="auto" w:fill="D9D9D9" w:themeFill="background1" w:themeFillShade="D9"/>
                  <w:tcMar>
                    <w:left w:w="43" w:type="dxa"/>
                    <w:right w:w="43" w:type="dxa"/>
                  </w:tcMar>
                </w:tcPr>
                <w:p w14:paraId="2466091E" w14:textId="77777777" w:rsidR="00E43260" w:rsidRPr="005D4222" w:rsidRDefault="00E43260" w:rsidP="00A53E8C">
                  <w:pPr>
                    <w:pStyle w:val="TableText"/>
                  </w:pPr>
                  <w:r w:rsidRPr="005D4222">
                    <w:t>Rate</w:t>
                  </w:r>
                </w:p>
              </w:tc>
              <w:tc>
                <w:tcPr>
                  <w:tcW w:w="1169" w:type="dxa"/>
                  <w:shd w:val="clear" w:color="auto" w:fill="D9D9D9" w:themeFill="background1" w:themeFillShade="D9"/>
                  <w:tcMar>
                    <w:left w:w="43" w:type="dxa"/>
                    <w:right w:w="43" w:type="dxa"/>
                  </w:tcMar>
                </w:tcPr>
                <w:p w14:paraId="79787A25" w14:textId="77777777" w:rsidR="00E43260" w:rsidRPr="005D4222" w:rsidRDefault="00E43260" w:rsidP="00A53E8C">
                  <w:pPr>
                    <w:pStyle w:val="TableText"/>
                  </w:pPr>
                  <w:r w:rsidRPr="005D4222">
                    <w:t>(Percent)</w:t>
                  </w:r>
                </w:p>
              </w:tc>
            </w:tr>
            <w:tr w:rsidR="00E43260" w:rsidRPr="005D4222" w14:paraId="3F154DB4" w14:textId="77777777" w:rsidTr="00A53E8C">
              <w:tc>
                <w:tcPr>
                  <w:tcW w:w="2246" w:type="dxa"/>
                  <w:tcBorders>
                    <w:top w:val="nil"/>
                    <w:left w:val="nil"/>
                    <w:bottom w:val="nil"/>
                  </w:tcBorders>
                  <w:tcMar>
                    <w:left w:w="43" w:type="dxa"/>
                    <w:right w:w="43" w:type="dxa"/>
                  </w:tcMar>
                </w:tcPr>
                <w:p w14:paraId="06597548" w14:textId="77777777" w:rsidR="00E43260" w:rsidRPr="005D4222" w:rsidRDefault="00E43260" w:rsidP="00A53E8C">
                  <w:pPr>
                    <w:pStyle w:val="TableText"/>
                  </w:pPr>
                </w:p>
              </w:tc>
              <w:tc>
                <w:tcPr>
                  <w:tcW w:w="2610" w:type="dxa"/>
                  <w:tcMar>
                    <w:left w:w="43" w:type="dxa"/>
                    <w:right w:w="43" w:type="dxa"/>
                  </w:tcMar>
                </w:tcPr>
                <w:p w14:paraId="30F507D9" w14:textId="77777777" w:rsidR="00E43260" w:rsidRPr="005D4222" w:rsidRDefault="00E43260" w:rsidP="00A53E8C">
                  <w:pPr>
                    <w:pStyle w:val="TableText"/>
                  </w:pPr>
                  <w:r w:rsidRPr="005D4222">
                    <w:t>White</w:t>
                  </w:r>
                </w:p>
              </w:tc>
              <w:tc>
                <w:tcPr>
                  <w:tcW w:w="1350" w:type="dxa"/>
                  <w:tcBorders>
                    <w:bottom w:val="nil"/>
                    <w:right w:val="nil"/>
                  </w:tcBorders>
                  <w:tcMar>
                    <w:left w:w="43" w:type="dxa"/>
                    <w:right w:w="43" w:type="dxa"/>
                  </w:tcMar>
                </w:tcPr>
                <w:p w14:paraId="433AEE9E" w14:textId="77777777" w:rsidR="00E43260" w:rsidRPr="005D4222" w:rsidRDefault="00E43260" w:rsidP="00A53E8C">
                  <w:pPr>
                    <w:pStyle w:val="TableText"/>
                  </w:pPr>
                </w:p>
              </w:tc>
              <w:tc>
                <w:tcPr>
                  <w:tcW w:w="1169" w:type="dxa"/>
                  <w:tcBorders>
                    <w:left w:val="nil"/>
                    <w:bottom w:val="nil"/>
                    <w:right w:val="nil"/>
                  </w:tcBorders>
                  <w:tcMar>
                    <w:left w:w="43" w:type="dxa"/>
                    <w:right w:w="43" w:type="dxa"/>
                  </w:tcMar>
                </w:tcPr>
                <w:p w14:paraId="46E0F49F" w14:textId="77777777" w:rsidR="00E43260" w:rsidRPr="005D4222" w:rsidRDefault="00E43260" w:rsidP="00A53E8C">
                  <w:pPr>
                    <w:pStyle w:val="TableText"/>
                  </w:pPr>
                </w:p>
              </w:tc>
            </w:tr>
            <w:tr w:rsidR="00E43260" w:rsidRPr="005D4222" w14:paraId="47EC0171" w14:textId="77777777" w:rsidTr="00A53E8C">
              <w:tc>
                <w:tcPr>
                  <w:tcW w:w="2246" w:type="dxa"/>
                  <w:tcBorders>
                    <w:top w:val="nil"/>
                    <w:left w:val="nil"/>
                    <w:bottom w:val="nil"/>
                  </w:tcBorders>
                  <w:tcMar>
                    <w:left w:w="43" w:type="dxa"/>
                    <w:right w:w="43" w:type="dxa"/>
                  </w:tcMar>
                </w:tcPr>
                <w:p w14:paraId="2F52D958" w14:textId="77777777" w:rsidR="00E43260" w:rsidRPr="005D4222" w:rsidRDefault="00E43260" w:rsidP="00A53E8C">
                  <w:pPr>
                    <w:pStyle w:val="TableText"/>
                  </w:pPr>
                </w:p>
              </w:tc>
              <w:tc>
                <w:tcPr>
                  <w:tcW w:w="2610" w:type="dxa"/>
                  <w:tcMar>
                    <w:left w:w="43" w:type="dxa"/>
                    <w:right w:w="43" w:type="dxa"/>
                  </w:tcMar>
                </w:tcPr>
                <w:p w14:paraId="1868CE7A" w14:textId="77777777" w:rsidR="00E43260" w:rsidRPr="005D4222" w:rsidRDefault="00E43260" w:rsidP="00A53E8C">
                  <w:pPr>
                    <w:pStyle w:val="TableText"/>
                  </w:pPr>
                  <w:r w:rsidRPr="005D4222">
                    <w:t>SomeOtherRace</w:t>
                  </w:r>
                </w:p>
              </w:tc>
              <w:tc>
                <w:tcPr>
                  <w:tcW w:w="1350" w:type="dxa"/>
                  <w:tcBorders>
                    <w:top w:val="nil"/>
                    <w:bottom w:val="nil"/>
                    <w:right w:val="nil"/>
                  </w:tcBorders>
                  <w:tcMar>
                    <w:left w:w="43" w:type="dxa"/>
                    <w:right w:w="43" w:type="dxa"/>
                  </w:tcMar>
                </w:tcPr>
                <w:p w14:paraId="07C5D911" w14:textId="77777777" w:rsidR="00E43260" w:rsidRPr="005D4222" w:rsidRDefault="00E43260" w:rsidP="00A53E8C">
                  <w:pPr>
                    <w:pStyle w:val="TableText"/>
                  </w:pPr>
                </w:p>
              </w:tc>
              <w:tc>
                <w:tcPr>
                  <w:tcW w:w="1169" w:type="dxa"/>
                  <w:tcBorders>
                    <w:top w:val="nil"/>
                    <w:left w:val="nil"/>
                    <w:bottom w:val="nil"/>
                    <w:right w:val="nil"/>
                  </w:tcBorders>
                  <w:tcMar>
                    <w:left w:w="43" w:type="dxa"/>
                    <w:right w:w="43" w:type="dxa"/>
                  </w:tcMar>
                </w:tcPr>
                <w:p w14:paraId="4C25243C" w14:textId="77777777" w:rsidR="00E43260" w:rsidRPr="005D4222" w:rsidRDefault="00E43260" w:rsidP="00A53E8C">
                  <w:pPr>
                    <w:pStyle w:val="TableText"/>
                  </w:pPr>
                </w:p>
              </w:tc>
            </w:tr>
            <w:tr w:rsidR="00E43260" w:rsidRPr="005D4222" w14:paraId="0BD8DCAF" w14:textId="77777777" w:rsidTr="00A53E8C">
              <w:tc>
                <w:tcPr>
                  <w:tcW w:w="2246" w:type="dxa"/>
                  <w:tcBorders>
                    <w:top w:val="nil"/>
                    <w:left w:val="nil"/>
                    <w:bottom w:val="nil"/>
                  </w:tcBorders>
                  <w:tcMar>
                    <w:left w:w="43" w:type="dxa"/>
                    <w:right w:w="43" w:type="dxa"/>
                  </w:tcMar>
                </w:tcPr>
                <w:p w14:paraId="44001841" w14:textId="77777777" w:rsidR="00E43260" w:rsidRPr="005D4222" w:rsidRDefault="00E43260" w:rsidP="00A53E8C">
                  <w:pPr>
                    <w:pStyle w:val="TableText"/>
                  </w:pPr>
                </w:p>
              </w:tc>
              <w:tc>
                <w:tcPr>
                  <w:tcW w:w="2610" w:type="dxa"/>
                  <w:tcMar>
                    <w:left w:w="43" w:type="dxa"/>
                    <w:right w:w="43" w:type="dxa"/>
                  </w:tcMar>
                </w:tcPr>
                <w:p w14:paraId="52AF4509" w14:textId="77777777" w:rsidR="00E43260" w:rsidRPr="005D4222" w:rsidRDefault="00E43260" w:rsidP="00A53E8C">
                  <w:pPr>
                    <w:pStyle w:val="TableText"/>
                  </w:pPr>
                  <w:r w:rsidRPr="005D4222" w:rsidDel="00343709">
                    <w:t>TwoOrMoreRaces</w:t>
                  </w:r>
                </w:p>
              </w:tc>
              <w:tc>
                <w:tcPr>
                  <w:tcW w:w="1350" w:type="dxa"/>
                  <w:tcBorders>
                    <w:top w:val="nil"/>
                    <w:bottom w:val="nil"/>
                    <w:right w:val="nil"/>
                  </w:tcBorders>
                  <w:tcMar>
                    <w:left w:w="43" w:type="dxa"/>
                    <w:right w:w="43" w:type="dxa"/>
                  </w:tcMar>
                </w:tcPr>
                <w:p w14:paraId="28F858CA" w14:textId="77777777" w:rsidR="00E43260" w:rsidRPr="005D4222" w:rsidRDefault="00E43260" w:rsidP="00A53E8C">
                  <w:pPr>
                    <w:pStyle w:val="TableText"/>
                  </w:pPr>
                </w:p>
              </w:tc>
              <w:tc>
                <w:tcPr>
                  <w:tcW w:w="1169" w:type="dxa"/>
                  <w:tcBorders>
                    <w:top w:val="nil"/>
                    <w:left w:val="nil"/>
                    <w:bottom w:val="nil"/>
                    <w:right w:val="nil"/>
                  </w:tcBorders>
                  <w:tcMar>
                    <w:left w:w="43" w:type="dxa"/>
                    <w:right w:w="43" w:type="dxa"/>
                  </w:tcMar>
                </w:tcPr>
                <w:p w14:paraId="5A731426" w14:textId="77777777" w:rsidR="00E43260" w:rsidRPr="005D4222" w:rsidRDefault="00E43260" w:rsidP="00A53E8C">
                  <w:pPr>
                    <w:pStyle w:val="TableText"/>
                  </w:pPr>
                </w:p>
              </w:tc>
            </w:tr>
            <w:tr w:rsidR="00E43260" w:rsidRPr="005D4222" w14:paraId="4A38D67B" w14:textId="77777777" w:rsidTr="00A53E8C">
              <w:tc>
                <w:tcPr>
                  <w:tcW w:w="2246" w:type="dxa"/>
                  <w:tcBorders>
                    <w:top w:val="nil"/>
                    <w:left w:val="nil"/>
                    <w:bottom w:val="nil"/>
                  </w:tcBorders>
                  <w:tcMar>
                    <w:left w:w="43" w:type="dxa"/>
                    <w:right w:w="43" w:type="dxa"/>
                  </w:tcMar>
                </w:tcPr>
                <w:p w14:paraId="1996E81D" w14:textId="77777777" w:rsidR="00E43260" w:rsidRPr="005D4222" w:rsidRDefault="00E43260" w:rsidP="00A53E8C">
                  <w:pPr>
                    <w:pStyle w:val="TableText"/>
                  </w:pPr>
                </w:p>
              </w:tc>
              <w:tc>
                <w:tcPr>
                  <w:tcW w:w="2610" w:type="dxa"/>
                  <w:tcMar>
                    <w:left w:w="43" w:type="dxa"/>
                    <w:right w:w="43" w:type="dxa"/>
                  </w:tcMar>
                </w:tcPr>
                <w:p w14:paraId="4D535F66" w14:textId="77777777" w:rsidR="00E43260" w:rsidRPr="005D4222" w:rsidRDefault="00E43260" w:rsidP="00A53E8C">
                  <w:pPr>
                    <w:pStyle w:val="TableText"/>
                  </w:pPr>
                  <w:r w:rsidRPr="005D4222">
                    <w:t>AskedButNoAnswer</w:t>
                  </w:r>
                </w:p>
              </w:tc>
              <w:tc>
                <w:tcPr>
                  <w:tcW w:w="1350" w:type="dxa"/>
                  <w:tcBorders>
                    <w:top w:val="nil"/>
                    <w:bottom w:val="nil"/>
                    <w:right w:val="nil"/>
                  </w:tcBorders>
                  <w:tcMar>
                    <w:left w:w="43" w:type="dxa"/>
                    <w:right w:w="43" w:type="dxa"/>
                  </w:tcMar>
                </w:tcPr>
                <w:p w14:paraId="127FB51B" w14:textId="77777777" w:rsidR="00E43260" w:rsidRPr="005D4222" w:rsidRDefault="00E43260" w:rsidP="00A53E8C">
                  <w:pPr>
                    <w:pStyle w:val="TableText"/>
                  </w:pPr>
                </w:p>
              </w:tc>
              <w:tc>
                <w:tcPr>
                  <w:tcW w:w="1169" w:type="dxa"/>
                  <w:tcBorders>
                    <w:top w:val="nil"/>
                    <w:left w:val="nil"/>
                    <w:bottom w:val="nil"/>
                    <w:right w:val="nil"/>
                  </w:tcBorders>
                  <w:tcMar>
                    <w:left w:w="43" w:type="dxa"/>
                    <w:right w:w="43" w:type="dxa"/>
                  </w:tcMar>
                </w:tcPr>
                <w:p w14:paraId="4853999C" w14:textId="77777777" w:rsidR="00E43260" w:rsidRPr="005D4222" w:rsidRDefault="00E43260" w:rsidP="00A53E8C">
                  <w:pPr>
                    <w:pStyle w:val="TableText"/>
                  </w:pPr>
                </w:p>
              </w:tc>
            </w:tr>
            <w:tr w:rsidR="00E43260" w:rsidRPr="005D4222" w14:paraId="69461F89" w14:textId="77777777" w:rsidTr="00A53E8C">
              <w:tc>
                <w:tcPr>
                  <w:tcW w:w="2246" w:type="dxa"/>
                  <w:tcBorders>
                    <w:top w:val="nil"/>
                    <w:left w:val="nil"/>
                    <w:bottom w:val="nil"/>
                  </w:tcBorders>
                  <w:tcMar>
                    <w:left w:w="43" w:type="dxa"/>
                    <w:right w:w="43" w:type="dxa"/>
                  </w:tcMar>
                </w:tcPr>
                <w:p w14:paraId="0188FA3D" w14:textId="77777777" w:rsidR="00E43260" w:rsidRPr="005D4222" w:rsidRDefault="00E43260" w:rsidP="00A53E8C">
                  <w:pPr>
                    <w:pStyle w:val="TableText"/>
                  </w:pPr>
                </w:p>
              </w:tc>
              <w:tc>
                <w:tcPr>
                  <w:tcW w:w="2610" w:type="dxa"/>
                  <w:tcMar>
                    <w:left w:w="43" w:type="dxa"/>
                    <w:right w:w="43" w:type="dxa"/>
                  </w:tcMar>
                </w:tcPr>
                <w:p w14:paraId="7EF4A98F" w14:textId="77777777" w:rsidR="00E43260" w:rsidRPr="005D4222" w:rsidRDefault="00E43260" w:rsidP="00A53E8C">
                  <w:pPr>
                    <w:pStyle w:val="TableText"/>
                  </w:pPr>
                  <w:r w:rsidRPr="005D4222">
                    <w:t>Unknown</w:t>
                  </w:r>
                </w:p>
              </w:tc>
              <w:tc>
                <w:tcPr>
                  <w:tcW w:w="1350" w:type="dxa"/>
                  <w:tcBorders>
                    <w:top w:val="nil"/>
                    <w:bottom w:val="nil"/>
                    <w:right w:val="nil"/>
                  </w:tcBorders>
                  <w:tcMar>
                    <w:left w:w="43" w:type="dxa"/>
                    <w:right w:w="43" w:type="dxa"/>
                  </w:tcMar>
                </w:tcPr>
                <w:p w14:paraId="0B19C405" w14:textId="77777777" w:rsidR="00E43260" w:rsidRPr="005D4222" w:rsidRDefault="00E43260" w:rsidP="00A53E8C">
                  <w:pPr>
                    <w:pStyle w:val="TableText"/>
                  </w:pPr>
                </w:p>
              </w:tc>
              <w:tc>
                <w:tcPr>
                  <w:tcW w:w="1169" w:type="dxa"/>
                  <w:tcBorders>
                    <w:top w:val="nil"/>
                    <w:left w:val="nil"/>
                    <w:bottom w:val="nil"/>
                    <w:right w:val="nil"/>
                  </w:tcBorders>
                  <w:tcMar>
                    <w:left w:w="43" w:type="dxa"/>
                    <w:right w:w="43" w:type="dxa"/>
                  </w:tcMar>
                </w:tcPr>
                <w:p w14:paraId="7681B693" w14:textId="77777777" w:rsidR="00E43260" w:rsidRPr="005D4222" w:rsidRDefault="00E43260" w:rsidP="00A53E8C">
                  <w:pPr>
                    <w:pStyle w:val="TableText"/>
                  </w:pPr>
                </w:p>
              </w:tc>
            </w:tr>
          </w:tbl>
          <w:p w14:paraId="4234A79B" w14:textId="6DB186A1" w:rsidR="00E43260" w:rsidRPr="005D4222" w:rsidRDefault="00E43260" w:rsidP="00A53E8C">
            <w:pPr>
              <w:pStyle w:val="Heading3"/>
              <w:rPr>
                <w:rFonts w:eastAsia="Arial"/>
              </w:rPr>
            </w:pPr>
            <w:r w:rsidRPr="005D4222">
              <w:rPr>
                <w:rFonts w:eastAsia="Arial"/>
              </w:rPr>
              <w:t xml:space="preserve">Table COL-E-D-1/2/3: Data Elements for Colorectal Cancer Screening: </w:t>
            </w:r>
            <w:r w:rsidR="00B51CDC" w:rsidRPr="005D4222">
              <w:rPr>
                <w:rFonts w:eastAsia="Arial"/>
              </w:rPr>
              <w:t>Stratifications</w:t>
            </w:r>
            <w:r w:rsidRPr="005D4222">
              <w:rPr>
                <w:rFonts w:eastAsia="Arial"/>
              </w:rPr>
              <w:t xml:space="preserve"> by Ethnicity</w:t>
            </w:r>
          </w:p>
          <w:tbl>
            <w:tblPr>
              <w:tblW w:w="5000" w:type="pct"/>
              <w:tblLayout w:type="fixed"/>
              <w:tblLook w:val="04A0" w:firstRow="1" w:lastRow="0" w:firstColumn="1" w:lastColumn="0" w:noHBand="0" w:noVBand="1"/>
            </w:tblPr>
            <w:tblGrid>
              <w:gridCol w:w="2246"/>
              <w:gridCol w:w="2070"/>
              <w:gridCol w:w="1710"/>
              <w:gridCol w:w="1344"/>
            </w:tblGrid>
            <w:tr w:rsidR="00E43260" w:rsidRPr="005D4222" w14:paraId="0D43C794" w14:textId="77777777" w:rsidTr="00356604">
              <w:trPr>
                <w:trHeight w:val="343"/>
              </w:trPr>
              <w:tc>
                <w:tcPr>
                  <w:tcW w:w="2246" w:type="dxa"/>
                  <w:tcBorders>
                    <w:top w:val="single" w:sz="4" w:space="0" w:color="auto"/>
                    <w:left w:val="single" w:sz="4" w:space="0" w:color="auto"/>
                    <w:bottom w:val="single" w:sz="4" w:space="0" w:color="auto"/>
                    <w:right w:val="single" w:sz="6" w:space="0" w:color="FFFFFF" w:themeColor="background1"/>
                  </w:tcBorders>
                  <w:shd w:val="clear" w:color="auto" w:fill="000000" w:themeFill="text1"/>
                  <w:tcMar>
                    <w:left w:w="58" w:type="dxa"/>
                    <w:right w:w="58" w:type="dxa"/>
                  </w:tcMar>
                  <w:vAlign w:val="bottom"/>
                </w:tcPr>
                <w:p w14:paraId="790EC12B" w14:textId="77777777" w:rsidR="00E43260" w:rsidRPr="005D4222" w:rsidRDefault="00E43260" w:rsidP="00A53E8C">
                  <w:pPr>
                    <w:pStyle w:val="TableHead"/>
                  </w:pPr>
                  <w:r w:rsidRPr="005D4222">
                    <w:t>Metric</w:t>
                  </w:r>
                </w:p>
              </w:tc>
              <w:tc>
                <w:tcPr>
                  <w:tcW w:w="2070" w:type="dxa"/>
                  <w:tcBorders>
                    <w:top w:val="single" w:sz="4" w:space="0" w:color="auto"/>
                    <w:left w:val="single" w:sz="4" w:space="0" w:color="auto"/>
                    <w:bottom w:val="single" w:sz="4" w:space="0" w:color="auto"/>
                    <w:right w:val="single" w:sz="6" w:space="0" w:color="FFFFFF" w:themeColor="background1"/>
                  </w:tcBorders>
                  <w:shd w:val="clear" w:color="auto" w:fill="000000" w:themeFill="text1"/>
                  <w:tcMar>
                    <w:left w:w="58" w:type="dxa"/>
                    <w:right w:w="58" w:type="dxa"/>
                  </w:tcMar>
                  <w:vAlign w:val="bottom"/>
                  <w:hideMark/>
                </w:tcPr>
                <w:p w14:paraId="461582FC" w14:textId="77777777" w:rsidR="00E43260" w:rsidRPr="005D4222" w:rsidRDefault="00E43260" w:rsidP="00A53E8C">
                  <w:pPr>
                    <w:pStyle w:val="TableHead"/>
                  </w:pPr>
                  <w:r w:rsidRPr="005D4222">
                    <w:t>Ethnicity</w:t>
                  </w:r>
                </w:p>
              </w:tc>
              <w:tc>
                <w:tcPr>
                  <w:tcW w:w="1710" w:type="dxa"/>
                  <w:tcBorders>
                    <w:top w:val="single" w:sz="4" w:space="0" w:color="auto"/>
                    <w:left w:val="single" w:sz="6" w:space="0" w:color="FFFFFF" w:themeColor="background1"/>
                    <w:bottom w:val="single" w:sz="4" w:space="0" w:color="auto"/>
                    <w:right w:val="single" w:sz="4" w:space="0" w:color="FFFFFF" w:themeColor="background1"/>
                  </w:tcBorders>
                  <w:shd w:val="clear" w:color="auto" w:fill="000000" w:themeFill="text1"/>
                  <w:noWrap/>
                  <w:tcMar>
                    <w:left w:w="58" w:type="dxa"/>
                    <w:right w:w="58" w:type="dxa"/>
                  </w:tcMar>
                  <w:vAlign w:val="bottom"/>
                  <w:hideMark/>
                </w:tcPr>
                <w:p w14:paraId="424EDAD5" w14:textId="77777777" w:rsidR="00E43260" w:rsidRPr="005D4222" w:rsidRDefault="00E43260" w:rsidP="00A53E8C">
                  <w:pPr>
                    <w:pStyle w:val="TableHead"/>
                  </w:pPr>
                  <w:r w:rsidRPr="005D4222">
                    <w:t>Data Element</w:t>
                  </w:r>
                </w:p>
              </w:tc>
              <w:tc>
                <w:tcPr>
                  <w:tcW w:w="1344" w:type="dxa"/>
                  <w:tcBorders>
                    <w:top w:val="single" w:sz="4" w:space="0" w:color="auto"/>
                    <w:left w:val="single" w:sz="4" w:space="0" w:color="FFFFFF" w:themeColor="background1"/>
                    <w:bottom w:val="single" w:sz="8" w:space="0" w:color="auto"/>
                    <w:right w:val="single" w:sz="8" w:space="0" w:color="auto"/>
                  </w:tcBorders>
                  <w:shd w:val="clear" w:color="auto" w:fill="000000" w:themeFill="text1"/>
                  <w:tcMar>
                    <w:left w:w="58" w:type="dxa"/>
                    <w:right w:w="58" w:type="dxa"/>
                  </w:tcMar>
                  <w:vAlign w:val="bottom"/>
                  <w:hideMark/>
                </w:tcPr>
                <w:p w14:paraId="662DFCB0" w14:textId="77777777" w:rsidR="00E43260" w:rsidRPr="005D4222" w:rsidRDefault="00E43260" w:rsidP="00A53E8C">
                  <w:pPr>
                    <w:pStyle w:val="TableHead"/>
                  </w:pPr>
                  <w:r w:rsidRPr="005D4222">
                    <w:t>Reporting Instructions</w:t>
                  </w:r>
                </w:p>
              </w:tc>
            </w:tr>
            <w:tr w:rsidR="00E43260" w:rsidRPr="005D4222" w14:paraId="1676E1E2" w14:textId="77777777" w:rsidTr="00356604">
              <w:tc>
                <w:tcPr>
                  <w:tcW w:w="2246"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tcPr>
                <w:p w14:paraId="7C4C31DC" w14:textId="77777777" w:rsidR="00E43260" w:rsidRPr="005D4222" w:rsidRDefault="00E43260" w:rsidP="00A53E8C">
                  <w:pPr>
                    <w:pStyle w:val="TableText"/>
                  </w:pPr>
                  <w:r w:rsidRPr="005D4222">
                    <w:t>ColorectalCancerScreening</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hideMark/>
                </w:tcPr>
                <w:p w14:paraId="1221AE80" w14:textId="77777777" w:rsidR="00E43260" w:rsidRPr="005D4222" w:rsidRDefault="00E43260" w:rsidP="00A53E8C">
                  <w:pPr>
                    <w:pStyle w:val="TableText"/>
                  </w:pPr>
                  <w:r w:rsidRPr="005D4222">
                    <w:t>HispanicOrLatino</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58" w:type="dxa"/>
                    <w:right w:w="58" w:type="dxa"/>
                  </w:tcMar>
                  <w:hideMark/>
                </w:tcPr>
                <w:p w14:paraId="3130156E" w14:textId="77777777" w:rsidR="00E43260" w:rsidRPr="005D4222" w:rsidRDefault="00E43260" w:rsidP="00A53E8C">
                  <w:pPr>
                    <w:pStyle w:val="TableText"/>
                  </w:pPr>
                  <w:r w:rsidRPr="005D4222">
                    <w:t>InitialPopulation</w:t>
                  </w:r>
                </w:p>
              </w:tc>
              <w:tc>
                <w:tcPr>
                  <w:tcW w:w="1344" w:type="dxa"/>
                  <w:tcBorders>
                    <w:top w:val="nil"/>
                    <w:left w:val="single" w:sz="4" w:space="0" w:color="auto"/>
                    <w:bottom w:val="single" w:sz="4" w:space="0" w:color="auto"/>
                    <w:right w:val="single" w:sz="8" w:space="0" w:color="auto"/>
                  </w:tcBorders>
                  <w:shd w:val="clear" w:color="auto" w:fill="FFFFFF" w:themeFill="background1"/>
                  <w:tcMar>
                    <w:left w:w="58" w:type="dxa"/>
                    <w:right w:w="58" w:type="dxa"/>
                  </w:tcMar>
                  <w:hideMark/>
                </w:tcPr>
                <w:p w14:paraId="1CB2E7E4" w14:textId="77777777" w:rsidR="00E43260" w:rsidRPr="005D4222" w:rsidRDefault="00E43260" w:rsidP="00A53E8C">
                  <w:pPr>
                    <w:pStyle w:val="TableText"/>
                  </w:pPr>
                  <w:r w:rsidRPr="005D4222">
                    <w:t>For each Stratification</w:t>
                  </w:r>
                </w:p>
              </w:tc>
            </w:tr>
            <w:tr w:rsidR="00E43260" w:rsidRPr="005D4222" w14:paraId="49335387" w14:textId="77777777" w:rsidTr="00356604">
              <w:tc>
                <w:tcPr>
                  <w:tcW w:w="2246" w:type="dxa"/>
                  <w:tcBorders>
                    <w:top w:val="single" w:sz="4" w:space="0" w:color="auto"/>
                    <w:right w:val="single" w:sz="4" w:space="0" w:color="auto"/>
                  </w:tcBorders>
                  <w:shd w:val="clear" w:color="auto" w:fill="FFFFFF" w:themeFill="background1"/>
                  <w:tcMar>
                    <w:left w:w="58" w:type="dxa"/>
                    <w:right w:w="58" w:type="dxa"/>
                  </w:tcMar>
                </w:tcPr>
                <w:p w14:paraId="69C45C96" w14:textId="77777777" w:rsidR="00E43260" w:rsidRPr="005D4222" w:rsidRDefault="00E43260" w:rsidP="00A53E8C">
                  <w:pPr>
                    <w:pStyle w:val="TableText"/>
                  </w:pP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hideMark/>
                </w:tcPr>
                <w:p w14:paraId="2D20DD41" w14:textId="77777777" w:rsidR="00E43260" w:rsidRPr="005D4222" w:rsidRDefault="00E43260" w:rsidP="00A53E8C">
                  <w:pPr>
                    <w:pStyle w:val="TableText"/>
                  </w:pPr>
                  <w:r w:rsidRPr="005D4222">
                    <w:t>NotHispanicOrLatino</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58" w:type="dxa"/>
                    <w:right w:w="58" w:type="dxa"/>
                  </w:tcMar>
                  <w:hideMark/>
                </w:tcPr>
                <w:p w14:paraId="60D4DCA1" w14:textId="77777777" w:rsidR="00E43260" w:rsidRPr="005D4222" w:rsidRDefault="00E43260" w:rsidP="00A53E8C">
                  <w:pPr>
                    <w:pStyle w:val="TableText"/>
                  </w:pPr>
                  <w:r w:rsidRPr="005D4222">
                    <w:t>Exclusions</w:t>
                  </w:r>
                </w:p>
              </w:tc>
              <w:tc>
                <w:tcPr>
                  <w:tcW w:w="1344"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hideMark/>
                </w:tcPr>
                <w:p w14:paraId="6120FA68" w14:textId="77777777" w:rsidR="00E43260" w:rsidRPr="005D4222" w:rsidRDefault="00E43260" w:rsidP="00A53E8C">
                  <w:pPr>
                    <w:pStyle w:val="TableText"/>
                  </w:pPr>
                  <w:r w:rsidRPr="005D4222">
                    <w:t>For each Stratification</w:t>
                  </w:r>
                </w:p>
              </w:tc>
            </w:tr>
            <w:tr w:rsidR="00E43260" w:rsidRPr="005D4222" w14:paraId="568AEFFE" w14:textId="77777777" w:rsidTr="00356604">
              <w:tc>
                <w:tcPr>
                  <w:tcW w:w="2246" w:type="dxa"/>
                  <w:tcBorders>
                    <w:right w:val="single" w:sz="4" w:space="0" w:color="auto"/>
                  </w:tcBorders>
                  <w:shd w:val="clear" w:color="auto" w:fill="FFFFFF" w:themeFill="background1"/>
                  <w:tcMar>
                    <w:left w:w="58" w:type="dxa"/>
                    <w:right w:w="58" w:type="dxa"/>
                  </w:tcMar>
                </w:tcPr>
                <w:p w14:paraId="51184386" w14:textId="77777777" w:rsidR="00E43260" w:rsidRPr="005D4222" w:rsidRDefault="00E43260" w:rsidP="00A53E8C">
                  <w:pPr>
                    <w:pStyle w:val="TableText"/>
                  </w:pP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hideMark/>
                </w:tcPr>
                <w:p w14:paraId="2AE35195" w14:textId="77777777" w:rsidR="00E43260" w:rsidRPr="005D4222" w:rsidRDefault="00E43260" w:rsidP="00A53E8C">
                  <w:pPr>
                    <w:pStyle w:val="TableText"/>
                  </w:pPr>
                  <w:r w:rsidRPr="005D4222">
                    <w:t>AskedButNoAnswer</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58" w:type="dxa"/>
                    <w:right w:w="58" w:type="dxa"/>
                  </w:tcMar>
                  <w:hideMark/>
                </w:tcPr>
                <w:p w14:paraId="6DBD9C2A" w14:textId="77777777" w:rsidR="00E43260" w:rsidRPr="005D4222" w:rsidRDefault="00E43260" w:rsidP="00A53E8C">
                  <w:pPr>
                    <w:pStyle w:val="TableText"/>
                  </w:pPr>
                  <w:r w:rsidRPr="005D4222">
                    <w:t>Denominator</w:t>
                  </w:r>
                </w:p>
              </w:tc>
              <w:tc>
                <w:tcPr>
                  <w:tcW w:w="1344"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hideMark/>
                </w:tcPr>
                <w:p w14:paraId="1E1CEBB3" w14:textId="77777777" w:rsidR="00E43260" w:rsidRPr="005D4222" w:rsidRDefault="00E43260" w:rsidP="00A53E8C">
                  <w:pPr>
                    <w:pStyle w:val="TableText"/>
                  </w:pPr>
                  <w:r w:rsidRPr="005D4222">
                    <w:t>For each Stratification</w:t>
                  </w:r>
                </w:p>
              </w:tc>
            </w:tr>
            <w:tr w:rsidR="00E43260" w:rsidRPr="005D4222" w14:paraId="5317C055" w14:textId="77777777" w:rsidTr="00356604">
              <w:tc>
                <w:tcPr>
                  <w:tcW w:w="2246" w:type="dxa"/>
                  <w:tcBorders>
                    <w:right w:val="single" w:sz="4" w:space="0" w:color="auto"/>
                  </w:tcBorders>
                  <w:shd w:val="clear" w:color="auto" w:fill="FFFFFF" w:themeFill="background1"/>
                  <w:tcMar>
                    <w:left w:w="58" w:type="dxa"/>
                    <w:right w:w="58" w:type="dxa"/>
                  </w:tcMar>
                </w:tcPr>
                <w:p w14:paraId="2B25C56E" w14:textId="77777777" w:rsidR="00E43260" w:rsidRPr="005D4222" w:rsidRDefault="00E43260" w:rsidP="00A53E8C">
                  <w:pPr>
                    <w:pStyle w:val="TableText"/>
                  </w:pP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hideMark/>
                </w:tcPr>
                <w:p w14:paraId="6313E4DA" w14:textId="77777777" w:rsidR="00E43260" w:rsidRPr="005D4222" w:rsidRDefault="00E43260" w:rsidP="00A53E8C">
                  <w:pPr>
                    <w:pStyle w:val="TableText"/>
                  </w:pPr>
                  <w:r w:rsidRPr="005D4222">
                    <w:t>Unknown</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58" w:type="dxa"/>
                    <w:right w:w="58" w:type="dxa"/>
                  </w:tcMar>
                  <w:hideMark/>
                </w:tcPr>
                <w:p w14:paraId="0D3F5B83" w14:textId="77777777" w:rsidR="00E43260" w:rsidRPr="005D4222" w:rsidRDefault="00E43260" w:rsidP="00A53E8C">
                  <w:pPr>
                    <w:pStyle w:val="TableText"/>
                  </w:pPr>
                  <w:r w:rsidRPr="005D4222">
                    <w:t>Numerator</w:t>
                  </w:r>
                </w:p>
              </w:tc>
              <w:tc>
                <w:tcPr>
                  <w:tcW w:w="1344" w:type="dxa"/>
                  <w:tcBorders>
                    <w:top w:val="single" w:sz="4" w:space="0" w:color="auto"/>
                    <w:left w:val="single" w:sz="4" w:space="0" w:color="auto"/>
                    <w:bottom w:val="single" w:sz="4" w:space="0" w:color="auto"/>
                    <w:right w:val="single" w:sz="4" w:space="0" w:color="auto"/>
                  </w:tcBorders>
                  <w:shd w:val="clear" w:color="auto" w:fill="FFFFFF" w:themeFill="background1"/>
                  <w:tcMar>
                    <w:left w:w="58" w:type="dxa"/>
                    <w:right w:w="58" w:type="dxa"/>
                  </w:tcMar>
                  <w:hideMark/>
                </w:tcPr>
                <w:p w14:paraId="52A65BAC" w14:textId="77777777" w:rsidR="00E43260" w:rsidRPr="005D4222" w:rsidRDefault="00E43260" w:rsidP="00A53E8C">
                  <w:pPr>
                    <w:pStyle w:val="TableText"/>
                  </w:pPr>
                  <w:r w:rsidRPr="005D4222">
                    <w:t>For each Stratification</w:t>
                  </w:r>
                </w:p>
              </w:tc>
            </w:tr>
            <w:tr w:rsidR="00E43260" w:rsidRPr="005D4222" w14:paraId="1F218C9C" w14:textId="77777777" w:rsidTr="00356604">
              <w:tc>
                <w:tcPr>
                  <w:tcW w:w="2246" w:type="dxa"/>
                  <w:tcBorders>
                    <w:left w:val="nil"/>
                    <w:bottom w:val="nil"/>
                    <w:right w:val="nil"/>
                  </w:tcBorders>
                  <w:shd w:val="clear" w:color="auto" w:fill="FFFFFF" w:themeFill="background1"/>
                  <w:tcMar>
                    <w:left w:w="58" w:type="dxa"/>
                    <w:right w:w="58" w:type="dxa"/>
                  </w:tcMar>
                </w:tcPr>
                <w:p w14:paraId="513A5777" w14:textId="77777777" w:rsidR="00E43260" w:rsidRPr="005D4222" w:rsidRDefault="00E43260" w:rsidP="00A53E8C">
                  <w:pPr>
                    <w:pStyle w:val="TableText"/>
                  </w:pPr>
                </w:p>
              </w:tc>
              <w:tc>
                <w:tcPr>
                  <w:tcW w:w="2070" w:type="dxa"/>
                  <w:tcBorders>
                    <w:top w:val="single" w:sz="4" w:space="0" w:color="auto"/>
                    <w:left w:val="nil"/>
                    <w:bottom w:val="nil"/>
                    <w:right w:val="nil"/>
                  </w:tcBorders>
                  <w:shd w:val="clear" w:color="auto" w:fill="FFFFFF" w:themeFill="background1"/>
                  <w:tcMar>
                    <w:left w:w="58" w:type="dxa"/>
                    <w:right w:w="58" w:type="dxa"/>
                  </w:tcMar>
                </w:tcPr>
                <w:p w14:paraId="463A6139" w14:textId="77777777" w:rsidR="00E43260" w:rsidRPr="005D4222" w:rsidRDefault="00E43260" w:rsidP="00A53E8C">
                  <w:pPr>
                    <w:pStyle w:val="TableText"/>
                  </w:pPr>
                </w:p>
              </w:tc>
              <w:tc>
                <w:tcPr>
                  <w:tcW w:w="171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left w:w="58" w:type="dxa"/>
                    <w:right w:w="58" w:type="dxa"/>
                  </w:tcMar>
                  <w:hideMark/>
                </w:tcPr>
                <w:p w14:paraId="48B09E40" w14:textId="77777777" w:rsidR="00E43260" w:rsidRPr="005D4222" w:rsidRDefault="00E43260" w:rsidP="00A53E8C">
                  <w:pPr>
                    <w:pStyle w:val="TableText"/>
                  </w:pPr>
                  <w:r w:rsidRPr="005D4222">
                    <w:t>Rate</w:t>
                  </w:r>
                </w:p>
              </w:tc>
              <w:tc>
                <w:tcPr>
                  <w:tcW w:w="134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58" w:type="dxa"/>
                    <w:right w:w="58" w:type="dxa"/>
                  </w:tcMar>
                  <w:hideMark/>
                </w:tcPr>
                <w:p w14:paraId="3AB3CF39" w14:textId="77777777" w:rsidR="00E43260" w:rsidRPr="005D4222" w:rsidRDefault="00E43260" w:rsidP="00A53E8C">
                  <w:pPr>
                    <w:pStyle w:val="TableText"/>
                  </w:pPr>
                  <w:r w:rsidRPr="005D4222">
                    <w:t>(Percent)</w:t>
                  </w:r>
                </w:p>
              </w:tc>
            </w:tr>
          </w:tbl>
          <w:p w14:paraId="651BFA69" w14:textId="77777777" w:rsidR="00E43260" w:rsidRPr="005D4222" w:rsidRDefault="00E43260" w:rsidP="00A53E8C">
            <w:pPr>
              <w:pStyle w:val="ECDSBody"/>
              <w:spacing w:before="0" w:after="0"/>
              <w:rPr>
                <w:rFonts w:eastAsia="Calibri"/>
                <w:kern w:val="20"/>
              </w:rPr>
            </w:pPr>
          </w:p>
        </w:tc>
      </w:tr>
    </w:tbl>
    <w:p w14:paraId="3B52D392" w14:textId="77777777" w:rsidR="00E43260" w:rsidRPr="005D4222" w:rsidRDefault="00E43260">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E43260" w:rsidRPr="005D4222" w14:paraId="4673113A"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E7F8846" w14:textId="77777777" w:rsidR="00E43260" w:rsidRPr="005D4222" w:rsidRDefault="00E43260" w:rsidP="00A53E8C">
            <w:pPr>
              <w:pStyle w:val="ECDSMarginHead"/>
            </w:pPr>
            <w:r w:rsidRPr="005D4222">
              <w:lastRenderedPageBreak/>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D9BA904" w14:textId="77777777" w:rsidR="00E43260" w:rsidRPr="005D4222" w:rsidRDefault="00E43260" w:rsidP="00A53E8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77AFD225" w14:textId="77777777" w:rsidR="00E43260" w:rsidRPr="005D4222" w:rsidRDefault="00E43260" w:rsidP="00A53E8C">
            <w:pPr>
              <w:pStyle w:val="ECDSBody"/>
              <w:rPr>
                <w:b/>
              </w:rPr>
            </w:pPr>
            <w:r w:rsidRPr="005D4222">
              <w:rPr>
                <w:b/>
              </w:rPr>
              <w:t>Adjusted HEDIS measures may not be used for HEDIS health plan reporting.</w:t>
            </w:r>
          </w:p>
          <w:p w14:paraId="2F1DD186" w14:textId="77777777" w:rsidR="00E43260" w:rsidRPr="005D4222" w:rsidRDefault="00E43260" w:rsidP="00A53E8C">
            <w:pPr>
              <w:pStyle w:val="Adjustments"/>
            </w:pPr>
            <w:r w:rsidRPr="005D4222">
              <w:t>Adjustments allowed</w:t>
            </w:r>
          </w:p>
          <w:p w14:paraId="25FBD3BA" w14:textId="12D04BF1" w:rsidR="00E43260" w:rsidRPr="005D4222" w:rsidRDefault="00E43260" w:rsidP="005D6173">
            <w:pPr>
              <w:pStyle w:val="ProcessBullet"/>
              <w:numPr>
                <w:ilvl w:val="0"/>
                <w:numId w:val="146"/>
              </w:numPr>
              <w:tabs>
                <w:tab w:val="left" w:pos="216"/>
              </w:tabs>
              <w:ind w:left="216" w:hanging="216"/>
            </w:pPr>
            <w:r w:rsidRPr="005D4222">
              <w:rPr>
                <w:i/>
                <w:iCs/>
              </w:rPr>
              <w:t xml:space="preserve">Product lines. </w:t>
            </w:r>
            <w:r w:rsidRPr="005D4222">
              <w:rPr>
                <w:rFonts w:eastAsia="Arial"/>
              </w:rPr>
              <w:t>Organizations are not required to use product line criteria; product lines may be combined</w:t>
            </w:r>
            <w:r w:rsidR="00E8671F" w:rsidRPr="005D4222">
              <w:rPr>
                <w:rFonts w:eastAsia="Arial"/>
              </w:rPr>
              <w:t>,</w:t>
            </w:r>
            <w:r w:rsidRPr="005D4222">
              <w:rPr>
                <w:rFonts w:eastAsia="Arial"/>
              </w:rPr>
              <w:t xml:space="preserve"> and all (or no) product line criteria may be used.</w:t>
            </w:r>
          </w:p>
          <w:p w14:paraId="48F65C70" w14:textId="77777777" w:rsidR="00E43260" w:rsidRPr="005D4222" w:rsidRDefault="00E43260" w:rsidP="005D6173">
            <w:pPr>
              <w:pStyle w:val="ProcessBullet"/>
              <w:numPr>
                <w:ilvl w:val="0"/>
                <w:numId w:val="146"/>
              </w:numPr>
              <w:tabs>
                <w:tab w:val="left" w:pos="216"/>
              </w:tabs>
              <w:ind w:left="216" w:hanging="216"/>
            </w:pPr>
            <w:r w:rsidRPr="005D4222">
              <w:rPr>
                <w:i/>
                <w:iCs/>
              </w:rPr>
              <w:t>Attribution.</w:t>
            </w:r>
            <w:r w:rsidRPr="005D4222">
              <w:t xml:space="preserve"> Organizations are not required to use enrollment criteria.</w:t>
            </w:r>
          </w:p>
          <w:p w14:paraId="2E4514AC" w14:textId="2906AF57" w:rsidR="00E43260" w:rsidRPr="005D4222" w:rsidRDefault="00362E76" w:rsidP="005D6173">
            <w:pPr>
              <w:pStyle w:val="ProcessBullet"/>
              <w:numPr>
                <w:ilvl w:val="0"/>
                <w:numId w:val="146"/>
              </w:numPr>
              <w:tabs>
                <w:tab w:val="left" w:pos="216"/>
              </w:tabs>
              <w:ind w:left="216" w:hanging="216"/>
            </w:pPr>
            <w:r w:rsidRPr="005D4222">
              <w:rPr>
                <w:i/>
                <w:iCs/>
              </w:rPr>
              <w:t>Benefits.</w:t>
            </w:r>
            <w:r w:rsidR="00E43260" w:rsidRPr="005D4222">
              <w:t xml:space="preserve"> Organizations are not required to use a benefit.</w:t>
            </w:r>
          </w:p>
          <w:p w14:paraId="2B36D81D" w14:textId="77777777" w:rsidR="00E43260" w:rsidRPr="005D4222" w:rsidRDefault="00E43260" w:rsidP="00E43260">
            <w:pPr>
              <w:pStyle w:val="ProcessBullet"/>
              <w:tabs>
                <w:tab w:val="left" w:pos="216"/>
              </w:tabs>
              <w:rPr>
                <w:b/>
                <w:bCs/>
                <w:color w:val="000000" w:themeColor="text1"/>
              </w:rPr>
            </w:pPr>
            <w:r w:rsidRPr="005D4222">
              <w:rPr>
                <w:i/>
                <w:iCs/>
              </w:rPr>
              <w:t>Other.</w:t>
            </w:r>
            <w:r w:rsidRPr="005D4222">
              <w:t xml:space="preserve"> Organizations may use additional initial population criteria to focus on an area of interest defined by gender, race, ethnicity, socioeconomic or sociodemographic characteristics, geographic region or another characteristic.</w:t>
            </w:r>
          </w:p>
          <w:p w14:paraId="720D8AE7" w14:textId="77777777" w:rsidR="00E43260" w:rsidRPr="005D4222" w:rsidRDefault="00E43260" w:rsidP="005D6173">
            <w:pPr>
              <w:pStyle w:val="ProcessBullet"/>
              <w:numPr>
                <w:ilvl w:val="0"/>
                <w:numId w:val="146"/>
              </w:numPr>
              <w:tabs>
                <w:tab w:val="left" w:pos="216"/>
              </w:tabs>
              <w:ind w:left="216" w:hanging="216"/>
            </w:pPr>
            <w:r w:rsidRPr="005D4222">
              <w:rPr>
                <w:i/>
                <w:iCs/>
              </w:rPr>
              <w:t>Measurement period adjustments.</w:t>
            </w:r>
            <w:r w:rsidRPr="005D4222">
              <w:t xml:space="preserve"> Organizations may adjust the measurement period. </w:t>
            </w:r>
          </w:p>
          <w:p w14:paraId="0C96ACDE" w14:textId="77777777" w:rsidR="00E43260" w:rsidRPr="005D4222" w:rsidRDefault="00E43260" w:rsidP="005D6173">
            <w:pPr>
              <w:pStyle w:val="ProcessBullet"/>
              <w:numPr>
                <w:ilvl w:val="0"/>
                <w:numId w:val="146"/>
              </w:numPr>
              <w:tabs>
                <w:tab w:val="left" w:pos="216"/>
              </w:tabs>
              <w:spacing w:after="80"/>
              <w:ind w:left="216" w:hanging="216"/>
            </w:pPr>
            <w:r w:rsidRPr="005D4222">
              <w:rPr>
                <w:i/>
                <w:iCs/>
              </w:rPr>
              <w:t xml:space="preserve">Stratifications: </w:t>
            </w:r>
            <w:r w:rsidRPr="005D4222">
              <w:rPr>
                <w:iCs/>
              </w:rPr>
              <w:t>Race and ethnicity stratification.</w:t>
            </w:r>
            <w:r w:rsidRPr="005D4222">
              <w:rPr>
                <w:i/>
                <w:iCs/>
              </w:rPr>
              <w:t xml:space="preserve"> </w:t>
            </w:r>
            <w:r w:rsidRPr="005D4222">
              <w:t>The race and ethnicity stratification is not required. Organizations may adjust this stratification as needed.</w:t>
            </w:r>
          </w:p>
          <w:p w14:paraId="0B727853" w14:textId="77777777" w:rsidR="00E43260" w:rsidRPr="005D4222" w:rsidRDefault="00E43260" w:rsidP="005D6173">
            <w:pPr>
              <w:pStyle w:val="ProcessBullet"/>
              <w:numPr>
                <w:ilvl w:val="0"/>
                <w:numId w:val="146"/>
              </w:numPr>
              <w:tabs>
                <w:tab w:val="left" w:pos="216"/>
              </w:tabs>
              <w:ind w:left="216" w:hanging="216"/>
            </w:pPr>
            <w:r w:rsidRPr="005D4222">
              <w:rPr>
                <w:i/>
                <w:iCs/>
              </w:rPr>
              <w:t xml:space="preserve">Exclusions. </w:t>
            </w:r>
            <w:r w:rsidRPr="005D4222">
              <w:t xml:space="preserve">Hospice, deceased persons, palliative care, I-SNP, LTI, frailty or advanced illness exclusions are not required. </w:t>
            </w:r>
          </w:p>
          <w:p w14:paraId="417EBA0E" w14:textId="77777777" w:rsidR="00E43260" w:rsidRPr="005D4222" w:rsidRDefault="00E43260" w:rsidP="005D6173">
            <w:pPr>
              <w:pStyle w:val="ProcessBullet"/>
              <w:numPr>
                <w:ilvl w:val="0"/>
                <w:numId w:val="146"/>
              </w:numPr>
              <w:tabs>
                <w:tab w:val="left" w:pos="216"/>
              </w:tabs>
              <w:ind w:left="216" w:hanging="216"/>
            </w:pPr>
            <w:r w:rsidRPr="005D4222">
              <w:rPr>
                <w:i/>
                <w:iCs/>
              </w:rPr>
              <w:t xml:space="preserve">Telehealth. </w:t>
            </w:r>
            <w:r w:rsidRPr="005D4222">
              <w:t>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35B483E0" w14:textId="77777777" w:rsidR="00E43260" w:rsidRPr="005D4222" w:rsidRDefault="00E43260" w:rsidP="00A53E8C">
            <w:pPr>
              <w:pStyle w:val="Adjustments"/>
            </w:pPr>
            <w:r w:rsidRPr="005D4222">
              <w:t>Adjustments allowed with limits</w:t>
            </w:r>
          </w:p>
          <w:p w14:paraId="69340B94" w14:textId="77777777" w:rsidR="00E43260" w:rsidRPr="005D4222" w:rsidRDefault="00E43260" w:rsidP="005D6173">
            <w:pPr>
              <w:pStyle w:val="ProcessBullet"/>
              <w:numPr>
                <w:ilvl w:val="0"/>
                <w:numId w:val="147"/>
              </w:numPr>
              <w:tabs>
                <w:tab w:val="left" w:pos="216"/>
              </w:tabs>
              <w:ind w:left="216" w:hanging="216"/>
            </w:pPr>
            <w:r w:rsidRPr="005D4222">
              <w:rPr>
                <w:i/>
              </w:rPr>
              <w:t>Ages.</w:t>
            </w:r>
            <w:r w:rsidRPr="005D4222">
              <w:t xml:space="preserve"> </w:t>
            </w:r>
            <w:r w:rsidRPr="005D4222">
              <w:rPr>
                <w:rFonts w:eastAsia="Arial"/>
              </w:rPr>
              <w:t xml:space="preserve">The age determination dates may be changed (e.g., select, “age as of June 30”). The initial population age may be expanded to 45–85 years of age. </w:t>
            </w:r>
          </w:p>
          <w:p w14:paraId="0CAD197D" w14:textId="77777777" w:rsidR="00E43260" w:rsidRPr="005D4222" w:rsidRDefault="00E43260" w:rsidP="005D6173">
            <w:pPr>
              <w:pStyle w:val="ProcessBullet"/>
              <w:numPr>
                <w:ilvl w:val="0"/>
                <w:numId w:val="147"/>
              </w:numPr>
              <w:tabs>
                <w:tab w:val="left" w:pos="216"/>
              </w:tabs>
              <w:ind w:left="216" w:hanging="216"/>
              <w:rPr>
                <w:bCs/>
              </w:rPr>
            </w:pPr>
            <w:r w:rsidRPr="005D4222">
              <w:rPr>
                <w:bCs/>
                <w:i/>
                <w:iCs/>
              </w:rPr>
              <w:t xml:space="preserve">Socioeconomic stratification. </w:t>
            </w:r>
            <w:r w:rsidRPr="005D4222">
              <w:rPr>
                <w:bCs/>
              </w:rPr>
              <w:t>The socioeconomic stratification is not required, but if it is applied, no adjustments may be made. </w:t>
            </w:r>
          </w:p>
          <w:p w14:paraId="67B79963" w14:textId="77777777" w:rsidR="00E43260" w:rsidRPr="005D4222" w:rsidRDefault="00E43260" w:rsidP="00A53E8C">
            <w:pPr>
              <w:pStyle w:val="Adjustments"/>
            </w:pPr>
            <w:r w:rsidRPr="005D4222">
              <w:t>Adjustments not allowed</w:t>
            </w:r>
          </w:p>
          <w:p w14:paraId="09846806" w14:textId="77777777" w:rsidR="00E43260" w:rsidRPr="005D4222" w:rsidRDefault="00E43260" w:rsidP="005D6173">
            <w:pPr>
              <w:pStyle w:val="ProcessBullet"/>
              <w:numPr>
                <w:ilvl w:val="0"/>
                <w:numId w:val="148"/>
              </w:numPr>
              <w:tabs>
                <w:tab w:val="left" w:pos="216"/>
              </w:tabs>
              <w:ind w:left="216" w:hanging="216"/>
              <w:rPr>
                <w:i/>
                <w:iCs/>
              </w:rPr>
            </w:pPr>
            <w:r w:rsidRPr="005D4222">
              <w:rPr>
                <w:i/>
                <w:iCs/>
              </w:rPr>
              <w:t xml:space="preserve">Exclusions. </w:t>
            </w:r>
            <w:r w:rsidRPr="005D4222">
              <w:t>The colorectal cancer and colectomy</w:t>
            </w:r>
            <w:r w:rsidRPr="005D4222">
              <w:rPr>
                <w:rFonts w:eastAsia="Arial"/>
              </w:rPr>
              <w:t xml:space="preserve"> exclusions </w:t>
            </w:r>
            <w:r w:rsidRPr="005D4222">
              <w:t>must</w:t>
            </w:r>
            <w:r w:rsidRPr="005D4222">
              <w:rPr>
                <w:rFonts w:eastAsia="Arial"/>
              </w:rPr>
              <w:t xml:space="preserve"> be applied</w:t>
            </w:r>
            <w:r w:rsidRPr="005D4222">
              <w:rPr>
                <w:rFonts w:eastAsia="Arial"/>
                <w:kern w:val="20"/>
              </w:rPr>
              <w:t>. Value sets may not be changed.</w:t>
            </w:r>
          </w:p>
          <w:p w14:paraId="379767BA" w14:textId="77777777" w:rsidR="00E43260" w:rsidRPr="005D4222" w:rsidRDefault="00E43260" w:rsidP="005D6173">
            <w:pPr>
              <w:pStyle w:val="ProcessBullet"/>
              <w:numPr>
                <w:ilvl w:val="0"/>
                <w:numId w:val="148"/>
              </w:numPr>
              <w:tabs>
                <w:tab w:val="left" w:pos="216"/>
              </w:tabs>
              <w:spacing w:after="80"/>
              <w:ind w:left="216" w:hanging="216"/>
              <w:rPr>
                <w:i/>
              </w:rPr>
            </w:pPr>
            <w:r w:rsidRPr="005D4222">
              <w:rPr>
                <w:rFonts w:eastAsia="Arial"/>
                <w:i/>
                <w:iCs/>
              </w:rPr>
              <w:t>Numerator</w:t>
            </w:r>
            <w:r w:rsidRPr="005D4222">
              <w:rPr>
                <w:rFonts w:eastAsia="Arial"/>
              </w:rPr>
              <w:t>. The value sets, direct reference codes and logic may not be changed.</w:t>
            </w:r>
          </w:p>
        </w:tc>
      </w:tr>
    </w:tbl>
    <w:p w14:paraId="0492A474" w14:textId="77777777" w:rsidR="00E43260" w:rsidRPr="005D4222" w:rsidRDefault="00E43260" w:rsidP="001271BA">
      <w:pPr>
        <w:pStyle w:val="ECDSBody"/>
        <w:sectPr w:rsidR="00E43260" w:rsidRPr="005D4222" w:rsidSect="0074514A">
          <w:headerReference w:type="default" r:id="rId222"/>
          <w:type w:val="nextColumn"/>
          <w:pgSz w:w="12240" w:h="15840" w:code="1"/>
          <w:pgMar w:top="1080" w:right="1080" w:bottom="1080" w:left="1440" w:header="720" w:footer="720" w:gutter="0"/>
          <w:cols w:space="720"/>
          <w:docGrid w:linePitch="360"/>
        </w:sectPr>
      </w:pPr>
    </w:p>
    <w:p w14:paraId="134BD077" w14:textId="257047D3" w:rsidR="001271BA" w:rsidRPr="005D4222" w:rsidRDefault="00801714" w:rsidP="00801714">
      <w:pPr>
        <w:pStyle w:val="MeasureTitle"/>
      </w:pPr>
      <w:bookmarkStart w:id="417" w:name="_Toc201813472"/>
      <w:r w:rsidRPr="005D4222">
        <w:lastRenderedPageBreak/>
        <w:t>Follow-Up After Acute and Urgent Care Visits for Asthma</w:t>
      </w:r>
      <w:r w:rsidR="006B0FDD" w:rsidRPr="005D4222">
        <w:t xml:space="preserve"> (AAF-E)</w:t>
      </w:r>
      <w:bookmarkEnd w:id="417"/>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247"/>
        <w:gridCol w:w="5130"/>
        <w:gridCol w:w="1350"/>
        <w:gridCol w:w="990"/>
      </w:tblGrid>
      <w:tr w:rsidR="00B55342" w:rsidRPr="005D4222" w14:paraId="61EA8FCF" w14:textId="77777777" w:rsidTr="005A4B5D">
        <w:tc>
          <w:tcPr>
            <w:tcW w:w="2247" w:type="dxa"/>
            <w:shd w:val="clear" w:color="auto" w:fill="BFBFBF" w:themeFill="background1" w:themeFillShade="BF"/>
            <w:tcMar>
              <w:top w:w="0" w:type="dxa"/>
              <w:left w:w="86" w:type="dxa"/>
              <w:bottom w:w="43" w:type="dxa"/>
              <w:right w:w="86" w:type="dxa"/>
            </w:tcMar>
            <w:hideMark/>
          </w:tcPr>
          <w:p w14:paraId="1885EAA9" w14:textId="77777777" w:rsidR="00B55342" w:rsidRPr="005D4222" w:rsidRDefault="00B55342" w:rsidP="002D212D">
            <w:pPr>
              <w:pStyle w:val="ECDSMarginHead"/>
            </w:pPr>
            <w:r w:rsidRPr="005D4222">
              <w:t>Measure title</w:t>
            </w:r>
          </w:p>
        </w:tc>
        <w:tc>
          <w:tcPr>
            <w:tcW w:w="5130" w:type="dxa"/>
            <w:tcMar>
              <w:top w:w="0" w:type="dxa"/>
              <w:left w:w="86" w:type="dxa"/>
              <w:bottom w:w="43" w:type="dxa"/>
              <w:right w:w="86" w:type="dxa"/>
            </w:tcMar>
          </w:tcPr>
          <w:p w14:paraId="64881A8D" w14:textId="77777777" w:rsidR="00B55342" w:rsidRPr="005D4222" w:rsidRDefault="00B55342" w:rsidP="00A53E8C">
            <w:pPr>
              <w:pStyle w:val="ECDSBody"/>
            </w:pPr>
            <w:r w:rsidRPr="005D4222">
              <w:t>Follow-Up After Acute and Urgent Care Visits for Asthma</w:t>
            </w:r>
          </w:p>
        </w:tc>
        <w:tc>
          <w:tcPr>
            <w:tcW w:w="1350" w:type="dxa"/>
            <w:shd w:val="clear" w:color="auto" w:fill="BFBFBF" w:themeFill="background1" w:themeFillShade="BF"/>
            <w:tcMar>
              <w:top w:w="0" w:type="dxa"/>
              <w:left w:w="86" w:type="dxa"/>
              <w:bottom w:w="43" w:type="dxa"/>
              <w:right w:w="86" w:type="dxa"/>
            </w:tcMar>
          </w:tcPr>
          <w:p w14:paraId="546F8629" w14:textId="77777777" w:rsidR="00B55342" w:rsidRPr="005D4222" w:rsidRDefault="00B55342" w:rsidP="002D212D">
            <w:pPr>
              <w:pStyle w:val="ECDSMarginHead"/>
            </w:pPr>
            <w:r w:rsidRPr="005D4222">
              <w:t>Measure ID</w:t>
            </w:r>
          </w:p>
        </w:tc>
        <w:tc>
          <w:tcPr>
            <w:tcW w:w="990" w:type="dxa"/>
            <w:tcMar>
              <w:top w:w="0" w:type="dxa"/>
              <w:left w:w="86" w:type="dxa"/>
              <w:bottom w:w="43" w:type="dxa"/>
              <w:right w:w="86" w:type="dxa"/>
            </w:tcMar>
          </w:tcPr>
          <w:p w14:paraId="557AC529" w14:textId="77777777" w:rsidR="00B55342" w:rsidRPr="005D4222" w:rsidRDefault="00B55342" w:rsidP="00A53E8C">
            <w:pPr>
              <w:pStyle w:val="ECDSBody"/>
            </w:pPr>
            <w:r w:rsidRPr="005D4222">
              <w:t>AAF-E</w:t>
            </w:r>
          </w:p>
        </w:tc>
      </w:tr>
      <w:tr w:rsidR="00B55342" w:rsidRPr="005D4222" w14:paraId="4B4D3AA0" w14:textId="77777777" w:rsidTr="007D2DB5">
        <w:tc>
          <w:tcPr>
            <w:tcW w:w="2247" w:type="dxa"/>
            <w:shd w:val="clear" w:color="auto" w:fill="BFBFBF" w:themeFill="background1" w:themeFillShade="BF"/>
            <w:tcMar>
              <w:top w:w="0" w:type="dxa"/>
              <w:left w:w="86" w:type="dxa"/>
              <w:bottom w:w="43" w:type="dxa"/>
              <w:right w:w="86" w:type="dxa"/>
            </w:tcMar>
            <w:hideMark/>
          </w:tcPr>
          <w:p w14:paraId="7E9BD0D6" w14:textId="77777777" w:rsidR="00B55342" w:rsidRPr="005D4222" w:rsidRDefault="00B55342" w:rsidP="002D212D">
            <w:pPr>
              <w:pStyle w:val="ECDSMarginHead"/>
            </w:pPr>
            <w:r w:rsidRPr="005D4222">
              <w:t>Description</w:t>
            </w:r>
          </w:p>
        </w:tc>
        <w:tc>
          <w:tcPr>
            <w:tcW w:w="7470" w:type="dxa"/>
            <w:gridSpan w:val="3"/>
            <w:tcMar>
              <w:top w:w="0" w:type="dxa"/>
              <w:left w:w="86" w:type="dxa"/>
              <w:bottom w:w="43" w:type="dxa"/>
              <w:right w:w="86" w:type="dxa"/>
            </w:tcMar>
          </w:tcPr>
          <w:p w14:paraId="3AA79D60" w14:textId="77777777" w:rsidR="00B55342" w:rsidRPr="005D4222" w:rsidRDefault="00B55342" w:rsidP="00A53E8C">
            <w:pPr>
              <w:pStyle w:val="ECDSBody"/>
            </w:pPr>
            <w:r w:rsidRPr="005D4222">
              <w:t>The percentage of persons 5-64 years of age with an urgent care visit, acute inpatient discharge, observation stay discharge or ED visit with a diagnosis of asthma that had a corresponding outpatient follow-up visit with a diagnosis of asthma within 30 days.</w:t>
            </w:r>
          </w:p>
        </w:tc>
      </w:tr>
      <w:tr w:rsidR="00B55342" w:rsidRPr="005D4222" w14:paraId="4EDD323D" w14:textId="77777777" w:rsidTr="007D2DB5">
        <w:tc>
          <w:tcPr>
            <w:tcW w:w="2247" w:type="dxa"/>
            <w:shd w:val="clear" w:color="auto" w:fill="BFBFBF" w:themeFill="background1" w:themeFillShade="BF"/>
            <w:tcMar>
              <w:top w:w="0" w:type="dxa"/>
              <w:left w:w="86" w:type="dxa"/>
              <w:bottom w:w="43" w:type="dxa"/>
              <w:right w:w="86" w:type="dxa"/>
            </w:tcMar>
          </w:tcPr>
          <w:p w14:paraId="6CCEE24A" w14:textId="77777777" w:rsidR="00B55342" w:rsidRPr="005D4222" w:rsidRDefault="00B55342" w:rsidP="002D212D">
            <w:pPr>
              <w:pStyle w:val="ECDSMarginHead"/>
            </w:pPr>
            <w:r w:rsidRPr="005D4222">
              <w:t>Measurement period</w:t>
            </w:r>
          </w:p>
        </w:tc>
        <w:tc>
          <w:tcPr>
            <w:tcW w:w="7470" w:type="dxa"/>
            <w:gridSpan w:val="3"/>
            <w:tcMar>
              <w:top w:w="0" w:type="dxa"/>
              <w:left w:w="86" w:type="dxa"/>
              <w:bottom w:w="43" w:type="dxa"/>
              <w:right w:w="86" w:type="dxa"/>
            </w:tcMar>
          </w:tcPr>
          <w:p w14:paraId="57CC2CBD" w14:textId="77777777" w:rsidR="00B55342" w:rsidRPr="005D4222" w:rsidRDefault="00B55342" w:rsidP="00A53E8C">
            <w:pPr>
              <w:pStyle w:val="ECDSBody"/>
            </w:pPr>
            <w:r w:rsidRPr="005D4222">
              <w:t>January 1–December 31.</w:t>
            </w:r>
          </w:p>
        </w:tc>
      </w:tr>
      <w:tr w:rsidR="00B55342" w:rsidRPr="005D4222" w14:paraId="14C66D58" w14:textId="77777777" w:rsidTr="007D2DB5">
        <w:tc>
          <w:tcPr>
            <w:tcW w:w="2247" w:type="dxa"/>
            <w:shd w:val="clear" w:color="auto" w:fill="BFBFBF" w:themeFill="background1" w:themeFillShade="BF"/>
            <w:tcMar>
              <w:top w:w="0" w:type="dxa"/>
              <w:left w:w="86" w:type="dxa"/>
              <w:bottom w:w="43" w:type="dxa"/>
              <w:right w:w="86" w:type="dxa"/>
            </w:tcMar>
            <w:hideMark/>
          </w:tcPr>
          <w:p w14:paraId="16DD375D" w14:textId="77777777" w:rsidR="00B55342" w:rsidRPr="005D4222" w:rsidRDefault="00B55342" w:rsidP="002D212D">
            <w:pPr>
              <w:pStyle w:val="ECDSMarginHead"/>
              <w:rPr>
                <w:rFonts w:eastAsia="Arial"/>
              </w:rPr>
            </w:pPr>
            <w:r w:rsidRPr="005D4222">
              <w:rPr>
                <w:rFonts w:eastAsia="Arial"/>
              </w:rPr>
              <w:t>Copyright and disclaimer notice</w:t>
            </w:r>
          </w:p>
        </w:tc>
        <w:tc>
          <w:tcPr>
            <w:tcW w:w="7470" w:type="dxa"/>
            <w:gridSpan w:val="3"/>
            <w:tcMar>
              <w:top w:w="0" w:type="dxa"/>
              <w:left w:w="86" w:type="dxa"/>
              <w:bottom w:w="43" w:type="dxa"/>
              <w:right w:w="86" w:type="dxa"/>
            </w:tcMar>
          </w:tcPr>
          <w:p w14:paraId="3FA19F29" w14:textId="77777777" w:rsidR="00B55342" w:rsidRPr="005D4222" w:rsidRDefault="00B55342" w:rsidP="00A53E8C">
            <w:pPr>
              <w:pStyle w:val="ECDSBody"/>
            </w:pPr>
            <w:r w:rsidRPr="005D4222">
              <w:t>Refer to the complete copyright and disclaimer information at the front of this publication.</w:t>
            </w:r>
          </w:p>
          <w:p w14:paraId="3663C076" w14:textId="77777777" w:rsidR="00B55342" w:rsidRPr="005D4222" w:rsidRDefault="00B55342" w:rsidP="00A53E8C">
            <w:pPr>
              <w:pStyle w:val="ECDSBody"/>
              <w:spacing w:before="80"/>
            </w:pPr>
            <w:r w:rsidRPr="005D4222">
              <w:t xml:space="preserve">NCQA website: </w:t>
            </w:r>
            <w:r w:rsidRPr="005D4222">
              <w:rPr>
                <w:u w:val="single"/>
              </w:rPr>
              <w:t>www.ncqa.org</w:t>
            </w:r>
            <w:r w:rsidRPr="005D4222">
              <w:t>.</w:t>
            </w:r>
          </w:p>
          <w:p w14:paraId="2BDB3D2B" w14:textId="77777777" w:rsidR="00B55342" w:rsidRPr="005D4222" w:rsidRDefault="00B55342" w:rsidP="00A53E8C">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B55342" w:rsidRPr="005D4222" w14:paraId="14F9EEA5" w14:textId="77777777" w:rsidTr="007D2DB5">
        <w:trPr>
          <w:trHeight w:val="655"/>
        </w:trPr>
        <w:tc>
          <w:tcPr>
            <w:tcW w:w="2247" w:type="dxa"/>
            <w:shd w:val="clear" w:color="auto" w:fill="BFBFBF" w:themeFill="background1" w:themeFillShade="BF"/>
            <w:tcMar>
              <w:top w:w="0" w:type="dxa"/>
              <w:left w:w="86" w:type="dxa"/>
              <w:bottom w:w="43" w:type="dxa"/>
              <w:right w:w="86" w:type="dxa"/>
            </w:tcMar>
            <w:hideMark/>
          </w:tcPr>
          <w:p w14:paraId="1B5D90D4" w14:textId="77777777" w:rsidR="00B55342" w:rsidRPr="005D4222" w:rsidRDefault="00B55342" w:rsidP="002D212D">
            <w:pPr>
              <w:pStyle w:val="ECDSMarginHead"/>
            </w:pPr>
            <w:r w:rsidRPr="005D4222">
              <w:t>Clinical recommendation statement/ rationale</w:t>
            </w:r>
          </w:p>
        </w:tc>
        <w:tc>
          <w:tcPr>
            <w:tcW w:w="7470" w:type="dxa"/>
            <w:gridSpan w:val="3"/>
            <w:tcMar>
              <w:top w:w="0" w:type="dxa"/>
              <w:left w:w="86" w:type="dxa"/>
              <w:bottom w:w="43" w:type="dxa"/>
              <w:right w:w="86" w:type="dxa"/>
            </w:tcMar>
          </w:tcPr>
          <w:p w14:paraId="6F89CFE8" w14:textId="77777777" w:rsidR="00B55342" w:rsidRPr="005D4222" w:rsidRDefault="00B55342" w:rsidP="00A53E8C">
            <w:pPr>
              <w:pStyle w:val="ECDSBody"/>
            </w:pPr>
            <w:r w:rsidRPr="005D4222">
              <w:t>Non-clinical factors (e.g., socioeconomic status, environmental exposures, access to care) can limit individual efficacy in managing chronic conditions such as asthma, leading to higher use of urgent care, emergency departments, and hospitalizations</w:t>
            </w:r>
            <w:r w:rsidRPr="005D4222" w:rsidDel="00705CE1">
              <w:t xml:space="preserve"> instead of preventive care</w:t>
            </w:r>
            <w:r w:rsidRPr="005D4222">
              <w:t>.  An accountability mechanism that drives individuals towards non-acute care may help to improve poor and disparate asthma outcomes.</w:t>
            </w:r>
          </w:p>
        </w:tc>
      </w:tr>
      <w:tr w:rsidR="00B55342" w:rsidRPr="005D4222" w14:paraId="344B2336" w14:textId="77777777" w:rsidTr="007D2DB5">
        <w:tc>
          <w:tcPr>
            <w:tcW w:w="2247" w:type="dxa"/>
            <w:shd w:val="clear" w:color="auto" w:fill="BFBFBF" w:themeFill="background1" w:themeFillShade="BF"/>
            <w:tcMar>
              <w:top w:w="0" w:type="dxa"/>
              <w:left w:w="86" w:type="dxa"/>
              <w:bottom w:w="43" w:type="dxa"/>
              <w:right w:w="86" w:type="dxa"/>
            </w:tcMar>
          </w:tcPr>
          <w:p w14:paraId="5344F10E" w14:textId="77777777" w:rsidR="00B55342" w:rsidRPr="005D4222" w:rsidRDefault="00B55342" w:rsidP="002D212D">
            <w:pPr>
              <w:pStyle w:val="ECDSMarginHead"/>
            </w:pPr>
            <w:r w:rsidRPr="005D4222">
              <w:t>Citations</w:t>
            </w:r>
          </w:p>
        </w:tc>
        <w:tc>
          <w:tcPr>
            <w:tcW w:w="7470" w:type="dxa"/>
            <w:gridSpan w:val="3"/>
            <w:tcMar>
              <w:top w:w="0" w:type="dxa"/>
              <w:left w:w="86" w:type="dxa"/>
              <w:bottom w:w="43" w:type="dxa"/>
              <w:right w:w="86" w:type="dxa"/>
            </w:tcMar>
          </w:tcPr>
          <w:p w14:paraId="16E07A02" w14:textId="77777777" w:rsidR="00B55342" w:rsidRPr="005D4222" w:rsidRDefault="00B55342" w:rsidP="00A53E8C">
            <w:pPr>
              <w:pStyle w:val="ECDSBody"/>
            </w:pPr>
            <w:r w:rsidRPr="005D4222">
              <w:t>McIvor A., Kaplan A. 2020. “A Call to Action for Improving Clinical Outcomes in Patients with Asthma.” Primary Care Respiratory Medicine 30(54).</w:t>
            </w:r>
          </w:p>
          <w:p w14:paraId="3CB562FD" w14:textId="77777777" w:rsidR="00B55342" w:rsidRPr="005D4222" w:rsidRDefault="00B55342" w:rsidP="00A53E8C">
            <w:pPr>
              <w:pStyle w:val="ECDSBody"/>
            </w:pPr>
            <w:r w:rsidRPr="005D4222">
              <w:t>National Asthma Education and Prevention Program (NAEPP) Coordinating Committee Expert Working Group. 2020. 2020 Focused Updates to the Asthma Management Guidelines. https://www.nhlbi.nih.gov/resources/2020-focused-updatesasthma-management-guidelines</w:t>
            </w:r>
          </w:p>
          <w:p w14:paraId="15A34999" w14:textId="77777777" w:rsidR="00B55342" w:rsidRPr="005D4222" w:rsidRDefault="00B55342" w:rsidP="00A53E8C">
            <w:pPr>
              <w:pStyle w:val="ECDSBody"/>
            </w:pPr>
            <w:r w:rsidRPr="005D4222">
              <w:t>Global Initiative for Asthma (GINA). 2024. Global Strategy for Asthma Management and Prevention. https://ginasthma.org/wp-content/uploads/2024/05/GINA-2024- Strategy-Report-24_05_22_WMS.pdf</w:t>
            </w:r>
          </w:p>
        </w:tc>
      </w:tr>
      <w:tr w:rsidR="00B55342" w:rsidRPr="005D4222" w14:paraId="31ABC9CF" w14:textId="77777777" w:rsidTr="007D2DB5">
        <w:tc>
          <w:tcPr>
            <w:tcW w:w="9717"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4192A409" w14:textId="77777777" w:rsidR="00B55342" w:rsidRPr="005D4222" w:rsidRDefault="00B55342" w:rsidP="002D212D">
            <w:pPr>
              <w:pStyle w:val="ECDSMarginHead"/>
            </w:pPr>
            <w:r w:rsidRPr="005D4222">
              <w:t>Characteristics</w:t>
            </w:r>
          </w:p>
        </w:tc>
      </w:tr>
      <w:tr w:rsidR="00B55342" w:rsidRPr="005D4222" w14:paraId="64E54672" w14:textId="77777777" w:rsidTr="005A4B5D">
        <w:tc>
          <w:tcPr>
            <w:tcW w:w="224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2669CA31" w14:textId="77777777" w:rsidR="00B55342" w:rsidRPr="005D4222" w:rsidRDefault="00B55342" w:rsidP="00BE0F2E">
            <w:pPr>
              <w:pStyle w:val="ECDSSubhead"/>
            </w:pPr>
            <w:r w:rsidRPr="005D4222">
              <w:t>Scoring</w:t>
            </w:r>
          </w:p>
        </w:tc>
        <w:tc>
          <w:tcPr>
            <w:tcW w:w="7470"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437E71EC" w14:textId="77777777" w:rsidR="00B55342" w:rsidRPr="005D4222" w:rsidRDefault="00B55342" w:rsidP="00A53E8C">
            <w:pPr>
              <w:pStyle w:val="ECDSBody"/>
              <w:spacing w:after="0"/>
            </w:pPr>
            <w:r w:rsidRPr="005D4222">
              <w:t>Proportion.</w:t>
            </w:r>
          </w:p>
        </w:tc>
      </w:tr>
      <w:tr w:rsidR="00B55342" w:rsidRPr="005D4222" w14:paraId="27D73F8B" w14:textId="77777777" w:rsidTr="005A4B5D">
        <w:tc>
          <w:tcPr>
            <w:tcW w:w="2247" w:type="dxa"/>
            <w:tcBorders>
              <w:top w:val="nil"/>
              <w:left w:val="single" w:sz="4" w:space="0" w:color="auto"/>
              <w:bottom w:val="nil"/>
              <w:right w:val="single" w:sz="4" w:space="0" w:color="auto"/>
            </w:tcBorders>
            <w:tcMar>
              <w:top w:w="0" w:type="dxa"/>
              <w:left w:w="86" w:type="dxa"/>
              <w:bottom w:w="43" w:type="dxa"/>
              <w:right w:w="86" w:type="dxa"/>
            </w:tcMar>
          </w:tcPr>
          <w:p w14:paraId="4ACC69D7" w14:textId="77777777" w:rsidR="00B55342" w:rsidRPr="005D4222" w:rsidRDefault="00B55342" w:rsidP="00BE0F2E">
            <w:pPr>
              <w:pStyle w:val="ECDSSubhead"/>
            </w:pPr>
            <w:r w:rsidRPr="005D4222">
              <w:t>Type</w:t>
            </w:r>
          </w:p>
        </w:tc>
        <w:tc>
          <w:tcPr>
            <w:tcW w:w="7470" w:type="dxa"/>
            <w:gridSpan w:val="3"/>
            <w:tcBorders>
              <w:top w:val="nil"/>
              <w:left w:val="single" w:sz="4" w:space="0" w:color="auto"/>
              <w:bottom w:val="nil"/>
              <w:right w:val="single" w:sz="4" w:space="0" w:color="auto"/>
            </w:tcBorders>
            <w:tcMar>
              <w:top w:w="0" w:type="dxa"/>
              <w:left w:w="86" w:type="dxa"/>
              <w:bottom w:w="43" w:type="dxa"/>
              <w:right w:w="86" w:type="dxa"/>
            </w:tcMar>
          </w:tcPr>
          <w:p w14:paraId="1F054290" w14:textId="77777777" w:rsidR="00B55342" w:rsidRPr="005D4222" w:rsidRDefault="00B55342" w:rsidP="00A53E8C">
            <w:pPr>
              <w:pStyle w:val="ECDSBody"/>
              <w:spacing w:after="0"/>
            </w:pPr>
            <w:r w:rsidRPr="005D4222">
              <w:t>Process.</w:t>
            </w:r>
          </w:p>
        </w:tc>
      </w:tr>
      <w:tr w:rsidR="00B55342" w:rsidRPr="005D4222" w14:paraId="09F00D8C" w14:textId="77777777" w:rsidTr="005A4B5D">
        <w:tc>
          <w:tcPr>
            <w:tcW w:w="224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07AD77F0" w14:textId="28B26664" w:rsidR="00B55342" w:rsidRPr="005D4222" w:rsidRDefault="00B51CDC" w:rsidP="00BE0F2E">
            <w:pPr>
              <w:pStyle w:val="ECDSSubhead"/>
            </w:pPr>
            <w:r w:rsidRPr="005D4222">
              <w:t>Product lines</w:t>
            </w:r>
          </w:p>
        </w:tc>
        <w:tc>
          <w:tcPr>
            <w:tcW w:w="7470"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24DEEDC2" w14:textId="77777777" w:rsidR="00B55342" w:rsidRPr="005D4222" w:rsidRDefault="00B55342" w:rsidP="005D6173">
            <w:pPr>
              <w:pStyle w:val="ProcessBullet"/>
              <w:numPr>
                <w:ilvl w:val="0"/>
                <w:numId w:val="98"/>
              </w:numPr>
              <w:tabs>
                <w:tab w:val="left" w:pos="216"/>
              </w:tabs>
              <w:spacing w:before="120"/>
              <w:ind w:left="216" w:hanging="216"/>
            </w:pPr>
            <w:r w:rsidRPr="005D4222">
              <w:t>Commercial.</w:t>
            </w:r>
          </w:p>
          <w:p w14:paraId="1753EE77" w14:textId="77777777" w:rsidR="00B55342" w:rsidRPr="005D4222" w:rsidRDefault="00B55342" w:rsidP="005D6173">
            <w:pPr>
              <w:pStyle w:val="ProcessBullet"/>
              <w:numPr>
                <w:ilvl w:val="0"/>
                <w:numId w:val="98"/>
              </w:numPr>
              <w:tabs>
                <w:tab w:val="left" w:pos="216"/>
              </w:tabs>
              <w:spacing w:after="80"/>
              <w:ind w:left="216" w:hanging="216"/>
            </w:pPr>
            <w:r w:rsidRPr="005D4222">
              <w:t>Medicaid.</w:t>
            </w:r>
          </w:p>
        </w:tc>
      </w:tr>
    </w:tbl>
    <w:p w14:paraId="4109FE8F" w14:textId="77777777" w:rsidR="00BE0F2E" w:rsidRPr="005D4222" w:rsidRDefault="00BE0F2E">
      <w:r w:rsidRPr="005D4222">
        <w:br w:type="page"/>
      </w:r>
    </w:p>
    <w:tbl>
      <w:tblPr>
        <w:tblW w:w="9717"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15" w:type="dxa"/>
          <w:bottom w:w="40" w:type="dxa"/>
          <w:right w:w="15" w:type="dxa"/>
        </w:tblCellMar>
        <w:tblLook w:val="04A0" w:firstRow="1" w:lastRow="0" w:firstColumn="1" w:lastColumn="0" w:noHBand="0" w:noVBand="1"/>
      </w:tblPr>
      <w:tblGrid>
        <w:gridCol w:w="2247"/>
        <w:gridCol w:w="7470"/>
      </w:tblGrid>
      <w:tr w:rsidR="00D361A4" w:rsidRPr="005D4222" w14:paraId="1644A688" w14:textId="77777777" w:rsidTr="005A4B5D">
        <w:tc>
          <w:tcPr>
            <w:tcW w:w="2247" w:type="dxa"/>
            <w:tcBorders>
              <w:bottom w:val="nil"/>
            </w:tcBorders>
            <w:tcMar>
              <w:top w:w="0" w:type="dxa"/>
              <w:left w:w="86" w:type="dxa"/>
              <w:bottom w:w="43" w:type="dxa"/>
              <w:right w:w="86" w:type="dxa"/>
            </w:tcMar>
          </w:tcPr>
          <w:p w14:paraId="59445DD1" w14:textId="612BE9E5" w:rsidR="00D361A4" w:rsidRPr="005D4222" w:rsidRDefault="00B51CDC" w:rsidP="00BE0F2E">
            <w:pPr>
              <w:pStyle w:val="ECDSSubhead"/>
            </w:pPr>
            <w:r w:rsidRPr="005D4222">
              <w:lastRenderedPageBreak/>
              <w:t>Stratifications</w:t>
            </w:r>
          </w:p>
        </w:tc>
        <w:tc>
          <w:tcPr>
            <w:tcW w:w="7470" w:type="dxa"/>
            <w:tcBorders>
              <w:bottom w:val="nil"/>
            </w:tcBorders>
            <w:tcMar>
              <w:top w:w="0" w:type="dxa"/>
              <w:left w:w="86" w:type="dxa"/>
              <w:bottom w:w="43" w:type="dxa"/>
              <w:right w:w="86" w:type="dxa"/>
            </w:tcMar>
            <w:hideMark/>
          </w:tcPr>
          <w:p w14:paraId="3591E46B" w14:textId="77777777" w:rsidR="005B0B00" w:rsidRPr="005D4222" w:rsidRDefault="005B0B00" w:rsidP="005B0B00">
            <w:pPr>
              <w:pStyle w:val="ECDSBody"/>
              <w:rPr>
                <w:rFonts w:eastAsia="Arial,Arial,Arial,Arial,Arial,A"/>
              </w:rPr>
            </w:pPr>
            <w:r w:rsidRPr="005D4222">
              <w:rPr>
                <w:rFonts w:eastAsia="Arial,Arial,Arial,Arial,Arial,A"/>
              </w:rPr>
              <w:t>Age as of the episode date.</w:t>
            </w:r>
          </w:p>
          <w:p w14:paraId="38F49AFD" w14:textId="77777777" w:rsidR="005B0B00" w:rsidRPr="005D4222" w:rsidRDefault="005B0B00" w:rsidP="005B0B00">
            <w:pPr>
              <w:pStyle w:val="Bullet"/>
              <w:rPr>
                <w:rFonts w:eastAsia="Arial,Arial,Arial,Arial,Arial,A"/>
              </w:rPr>
            </w:pPr>
            <w:r w:rsidRPr="005D4222">
              <w:rPr>
                <w:rFonts w:eastAsia="Arial,Arial,Arial,Arial,Arial,A"/>
              </w:rPr>
              <w:t>5–11 years.</w:t>
            </w:r>
          </w:p>
          <w:p w14:paraId="1AEAA5A4" w14:textId="77777777" w:rsidR="005B0B00" w:rsidRPr="005D4222" w:rsidRDefault="005B0B00" w:rsidP="005B0B00">
            <w:pPr>
              <w:pStyle w:val="Bullet"/>
              <w:rPr>
                <w:rFonts w:eastAsia="Arial,Arial,Arial,Arial,Arial,A"/>
              </w:rPr>
            </w:pPr>
            <w:r w:rsidRPr="005D4222">
              <w:rPr>
                <w:rFonts w:eastAsia="Arial,Arial,Arial,Arial,Arial,A"/>
              </w:rPr>
              <w:t>12–17 years.</w:t>
            </w:r>
          </w:p>
          <w:p w14:paraId="089F3C13" w14:textId="77777777" w:rsidR="005B0B00" w:rsidRDefault="005B0B00" w:rsidP="005B0B00">
            <w:pPr>
              <w:pStyle w:val="Bullet"/>
              <w:rPr>
                <w:rFonts w:eastAsia="Arial,Arial,Arial,Arial,Arial,A"/>
              </w:rPr>
            </w:pPr>
            <w:r w:rsidRPr="005D4222">
              <w:rPr>
                <w:rFonts w:eastAsia="Arial,Arial,Arial,Arial,Arial,A"/>
              </w:rPr>
              <w:t>18–50 years.</w:t>
            </w:r>
          </w:p>
          <w:p w14:paraId="1A7B9C7A" w14:textId="4349FDED" w:rsidR="005B0B00" w:rsidRPr="005B0B00" w:rsidRDefault="005B0B00" w:rsidP="005B0B00">
            <w:pPr>
              <w:pStyle w:val="Bullet"/>
              <w:rPr>
                <w:rFonts w:eastAsia="Arial,Arial,Arial,Arial,Arial,A"/>
              </w:rPr>
            </w:pPr>
            <w:r w:rsidRPr="005B0B00">
              <w:rPr>
                <w:rFonts w:eastAsia="Arial,Arial,Arial,Arial,Arial,A"/>
              </w:rPr>
              <w:t>51–64 years.</w:t>
            </w:r>
          </w:p>
          <w:p w14:paraId="2ED01057" w14:textId="170E4BB8" w:rsidR="00D361A4" w:rsidRPr="005D4222" w:rsidRDefault="00D361A4" w:rsidP="00A53E8C">
            <w:pPr>
              <w:pStyle w:val="ECDSBody"/>
              <w:rPr>
                <w:lang w:eastAsia="zh-CN"/>
              </w:rPr>
            </w:pPr>
            <w:r w:rsidRPr="005D4222">
              <w:rPr>
                <w:bCs w:val="0"/>
                <w:lang w:eastAsia="zh-CN"/>
              </w:rPr>
              <w:t>COPD diagnosis.</w:t>
            </w:r>
          </w:p>
          <w:p w14:paraId="1E8BBB17" w14:textId="2DB60E2C" w:rsidR="00D361A4" w:rsidRPr="005D4222" w:rsidRDefault="00D361A4" w:rsidP="00D361A4">
            <w:pPr>
              <w:pStyle w:val="ProcessBullet"/>
              <w:rPr>
                <w:rFonts w:eastAsia="Arial,Arial,Arial,Arial,Arial,A"/>
              </w:rPr>
            </w:pPr>
            <w:r w:rsidRPr="005D4222">
              <w:rPr>
                <w:lang w:eastAsia="zh-CN"/>
              </w:rPr>
              <w:t>Persons diagnosed with COPD (</w:t>
            </w:r>
            <w:r w:rsidRPr="005D4222">
              <w:rPr>
                <w:u w:val="single"/>
                <w:lang w:eastAsia="zh-CN"/>
              </w:rPr>
              <w:t>COPD Value Set</w:t>
            </w:r>
            <w:r w:rsidRPr="005D4222">
              <w:rPr>
                <w:lang w:eastAsia="zh-CN"/>
              </w:rPr>
              <w:t xml:space="preserve">*) any time during the person’s history through the </w:t>
            </w:r>
            <w:r w:rsidR="00CD0BBA" w:rsidRPr="005D4222">
              <w:rPr>
                <w:lang w:eastAsia="zh-CN"/>
              </w:rPr>
              <w:t>last day</w:t>
            </w:r>
            <w:r w:rsidRPr="005D4222">
              <w:rPr>
                <w:lang w:eastAsia="zh-CN"/>
              </w:rPr>
              <w:t xml:space="preserve"> of the measurement period.</w:t>
            </w:r>
          </w:p>
          <w:p w14:paraId="7195258A" w14:textId="598B0FD9" w:rsidR="00D361A4" w:rsidRPr="005D4222" w:rsidRDefault="00D361A4" w:rsidP="005D6173">
            <w:pPr>
              <w:pStyle w:val="ProcessBullet"/>
              <w:numPr>
                <w:ilvl w:val="0"/>
                <w:numId w:val="98"/>
              </w:numPr>
              <w:tabs>
                <w:tab w:val="left" w:pos="216"/>
              </w:tabs>
              <w:ind w:left="216" w:hanging="216"/>
              <w:rPr>
                <w:lang w:eastAsia="zh-CN"/>
              </w:rPr>
            </w:pPr>
            <w:r w:rsidRPr="005D4222">
              <w:rPr>
                <w:lang w:eastAsia="zh-CN"/>
              </w:rPr>
              <w:t xml:space="preserve">Persons who did not meet criteria for the stratification above (i.e., did not have a diagnosis of COPD any time during the person’s history through the </w:t>
            </w:r>
            <w:r w:rsidR="00CD0BBA" w:rsidRPr="005D4222">
              <w:t>last day</w:t>
            </w:r>
            <w:r w:rsidR="00CD0BBA" w:rsidRPr="005D4222">
              <w:rPr>
                <w:lang w:eastAsia="zh-CN"/>
              </w:rPr>
              <w:t xml:space="preserve"> </w:t>
            </w:r>
            <w:r w:rsidRPr="005D4222">
              <w:rPr>
                <w:lang w:eastAsia="zh-CN"/>
              </w:rPr>
              <w:t>of the measurement period).</w:t>
            </w:r>
          </w:p>
          <w:p w14:paraId="01CE0437" w14:textId="77777777" w:rsidR="00D361A4" w:rsidRPr="005D4222" w:rsidRDefault="00D361A4" w:rsidP="00A53E8C">
            <w:pPr>
              <w:pStyle w:val="ECDSBody"/>
              <w:spacing w:after="0"/>
              <w:rPr>
                <w:rFonts w:eastAsia="Arial,Arial,Arial,Arial,Arial,A"/>
                <w:b/>
                <w:bCs w:val="0"/>
              </w:rPr>
            </w:pPr>
            <w:r w:rsidRPr="005D4222">
              <w:rPr>
                <w:rFonts w:eastAsia="Arial,Arial,Arial,Arial,Arial,A"/>
                <w:b/>
                <w:bCs w:val="0"/>
              </w:rPr>
              <w:t>Coding Guidance</w:t>
            </w:r>
          </w:p>
          <w:p w14:paraId="7F0FA548" w14:textId="20BFE6BE" w:rsidR="00D361A4" w:rsidRPr="005B0B00" w:rsidRDefault="00D361A4" w:rsidP="005B0B00">
            <w:pPr>
              <w:pStyle w:val="ProcessBullet"/>
              <w:numPr>
                <w:ilvl w:val="0"/>
                <w:numId w:val="0"/>
              </w:numPr>
              <w:spacing w:before="0"/>
              <w:rPr>
                <w:rFonts w:eastAsia="Arial,Arial,Arial,Arial,Arial,A"/>
                <w:lang w:eastAsia="zh-CN"/>
              </w:rPr>
            </w:pPr>
            <w:r w:rsidRPr="005D4222">
              <w:rPr>
                <w:rFonts w:eastAsia="Arial,Arial,Arial,Arial,Arial,A"/>
              </w:rPr>
              <w:t>*Do not include laboratory claims (claims with POS code 81).</w:t>
            </w:r>
          </w:p>
        </w:tc>
      </w:tr>
      <w:tr w:rsidR="00B55342" w:rsidRPr="005D4222" w14:paraId="55E71508" w14:textId="77777777" w:rsidTr="005A4B5D">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c>
          <w:tcPr>
            <w:tcW w:w="2247" w:type="dxa"/>
            <w:tcBorders>
              <w:top w:val="nil"/>
              <w:left w:val="single" w:sz="4" w:space="0" w:color="auto"/>
              <w:bottom w:val="nil"/>
              <w:right w:val="single" w:sz="4" w:space="0" w:color="auto"/>
            </w:tcBorders>
            <w:tcMar>
              <w:top w:w="0" w:type="dxa"/>
              <w:left w:w="86" w:type="dxa"/>
              <w:bottom w:w="43" w:type="dxa"/>
              <w:right w:w="86" w:type="dxa"/>
            </w:tcMar>
          </w:tcPr>
          <w:p w14:paraId="72737D8A" w14:textId="77777777" w:rsidR="00B55342" w:rsidRPr="005D4222" w:rsidRDefault="00B55342" w:rsidP="003513DD">
            <w:pPr>
              <w:pStyle w:val="ECDSSubhead"/>
            </w:pPr>
            <w:r w:rsidRPr="005D4222">
              <w:t>Risk adjustment</w:t>
            </w:r>
          </w:p>
        </w:tc>
        <w:tc>
          <w:tcPr>
            <w:tcW w:w="7470" w:type="dxa"/>
            <w:tcBorders>
              <w:top w:val="nil"/>
              <w:left w:val="single" w:sz="4" w:space="0" w:color="auto"/>
              <w:bottom w:val="nil"/>
              <w:right w:val="single" w:sz="4" w:space="0" w:color="auto"/>
            </w:tcBorders>
            <w:tcMar>
              <w:top w:w="0" w:type="dxa"/>
              <w:left w:w="86" w:type="dxa"/>
              <w:bottom w:w="43" w:type="dxa"/>
              <w:right w:w="86" w:type="dxa"/>
            </w:tcMar>
            <w:hideMark/>
          </w:tcPr>
          <w:p w14:paraId="53A401D4" w14:textId="77777777" w:rsidR="00B55342" w:rsidRPr="005D4222" w:rsidRDefault="00B55342" w:rsidP="00A53E8C">
            <w:pPr>
              <w:pStyle w:val="ECDSBody"/>
              <w:spacing w:after="0"/>
            </w:pPr>
            <w:r w:rsidRPr="005D4222">
              <w:t>None.</w:t>
            </w:r>
          </w:p>
        </w:tc>
      </w:tr>
      <w:tr w:rsidR="00B55342" w:rsidRPr="005D4222" w14:paraId="261D8302" w14:textId="77777777" w:rsidTr="005A4B5D">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c>
          <w:tcPr>
            <w:tcW w:w="2247" w:type="dxa"/>
            <w:tcBorders>
              <w:top w:val="nil"/>
              <w:left w:val="single" w:sz="4" w:space="0" w:color="auto"/>
              <w:bottom w:val="nil"/>
              <w:right w:val="single" w:sz="4" w:space="0" w:color="auto"/>
            </w:tcBorders>
            <w:tcMar>
              <w:top w:w="0" w:type="dxa"/>
              <w:left w:w="86" w:type="dxa"/>
              <w:bottom w:w="43" w:type="dxa"/>
              <w:right w:w="86" w:type="dxa"/>
            </w:tcMar>
          </w:tcPr>
          <w:p w14:paraId="1D1EA6C8" w14:textId="77777777" w:rsidR="00B55342" w:rsidRPr="005D4222" w:rsidRDefault="00B55342" w:rsidP="003513DD">
            <w:pPr>
              <w:pStyle w:val="ECDSSubhead"/>
            </w:pPr>
            <w:r w:rsidRPr="005D4222">
              <w:t>Improvement notation</w:t>
            </w:r>
          </w:p>
        </w:tc>
        <w:tc>
          <w:tcPr>
            <w:tcW w:w="7470" w:type="dxa"/>
            <w:tcBorders>
              <w:top w:val="nil"/>
              <w:left w:val="single" w:sz="4" w:space="0" w:color="auto"/>
              <w:bottom w:val="nil"/>
              <w:right w:val="single" w:sz="4" w:space="0" w:color="auto"/>
            </w:tcBorders>
            <w:tcMar>
              <w:top w:w="0" w:type="dxa"/>
              <w:left w:w="86" w:type="dxa"/>
              <w:bottom w:w="43" w:type="dxa"/>
              <w:right w:w="86" w:type="dxa"/>
            </w:tcMar>
            <w:hideMark/>
          </w:tcPr>
          <w:p w14:paraId="3BF0F616" w14:textId="77777777" w:rsidR="00B55342" w:rsidRPr="005D4222" w:rsidRDefault="00B55342" w:rsidP="00A53E8C">
            <w:pPr>
              <w:pStyle w:val="ECDSBody"/>
              <w:spacing w:after="0"/>
            </w:pPr>
            <w:r w:rsidRPr="005D4222">
              <w:t>Increased score indicates improvement.</w:t>
            </w:r>
          </w:p>
        </w:tc>
      </w:tr>
      <w:tr w:rsidR="00B55342" w:rsidRPr="005D4222" w14:paraId="63DE4AB9" w14:textId="77777777" w:rsidTr="005A4B5D">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633"/>
        </w:trPr>
        <w:tc>
          <w:tcPr>
            <w:tcW w:w="224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5537B579" w14:textId="77777777" w:rsidR="00B55342" w:rsidRPr="005D4222" w:rsidRDefault="00B55342" w:rsidP="003513DD">
            <w:pPr>
              <w:pStyle w:val="ECDSSubhead"/>
            </w:pPr>
            <w:r w:rsidRPr="005D4222">
              <w:t>Guidance</w:t>
            </w:r>
          </w:p>
        </w:tc>
        <w:tc>
          <w:tcPr>
            <w:tcW w:w="7470"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5539C350" w14:textId="537CC17F" w:rsidR="00B55342" w:rsidRPr="005D4222" w:rsidRDefault="00B55342" w:rsidP="00A53E8C">
            <w:pPr>
              <w:pStyle w:val="ECDSBody"/>
              <w:rPr>
                <w:rStyle w:val="eop"/>
                <w:rFonts w:eastAsiaTheme="majorEastAsia"/>
                <w:color w:val="000000"/>
                <w:shd w:val="clear" w:color="auto" w:fill="FFFFFF"/>
              </w:rPr>
            </w:pPr>
            <w:r w:rsidRPr="005D4222">
              <w:rPr>
                <w:rStyle w:val="normaltextrun"/>
                <w:b/>
                <w:color w:val="000000"/>
                <w:shd w:val="clear" w:color="auto" w:fill="FFFFFF"/>
              </w:rPr>
              <w:t>Data collection methodology</w:t>
            </w:r>
            <w:r w:rsidRPr="005D4222">
              <w:rPr>
                <w:rStyle w:val="normaltextrun"/>
                <w:b/>
                <w:bCs w:val="0"/>
                <w:color w:val="000000"/>
                <w:shd w:val="clear" w:color="auto" w:fill="FFFFFF"/>
              </w:rPr>
              <w:t xml:space="preserve">: </w:t>
            </w:r>
            <w:r w:rsidRPr="005D4222">
              <w:rPr>
                <w:rStyle w:val="normaltextrun"/>
                <w:color w:val="000000"/>
                <w:shd w:val="clear" w:color="auto" w:fill="FFFFFF"/>
              </w:rPr>
              <w:t xml:space="preserve">ECDS. Refer to </w:t>
            </w:r>
            <w:hyperlink w:anchor="General_Guideline_Data_Collection_Method" w:history="1">
              <w:r w:rsidRPr="005D4222">
                <w:rPr>
                  <w:rStyle w:val="Hyperlink"/>
                  <w:i/>
                  <w:iCs/>
                  <w:shd w:val="clear" w:color="auto" w:fill="FFFFFF"/>
                </w:rPr>
                <w:t>General Guideline: Data Collection Methods</w:t>
              </w:r>
            </w:hyperlink>
            <w:r w:rsidRPr="005D4222">
              <w:rPr>
                <w:rStyle w:val="normaltextrun"/>
                <w:color w:val="000000"/>
                <w:shd w:val="clear" w:color="auto" w:fill="FFFFFF"/>
              </w:rPr>
              <w:t xml:space="preserve"> for additional information.</w:t>
            </w:r>
            <w:r w:rsidRPr="005D4222">
              <w:rPr>
                <w:rStyle w:val="eop"/>
                <w:rFonts w:eastAsiaTheme="majorEastAsia"/>
                <w:color w:val="000000"/>
                <w:shd w:val="clear" w:color="auto" w:fill="FFFFFF"/>
              </w:rPr>
              <w:t> </w:t>
            </w:r>
          </w:p>
          <w:p w14:paraId="2406C488" w14:textId="77777777" w:rsidR="00B55342" w:rsidRPr="005D4222" w:rsidRDefault="00B55342" w:rsidP="00A53E8C">
            <w:pPr>
              <w:pStyle w:val="ECDSBody"/>
            </w:pPr>
            <w:r w:rsidRPr="005D4222">
              <w:rPr>
                <w:b/>
              </w:rPr>
              <w:t xml:space="preserve">Date specificity: </w:t>
            </w:r>
            <w:r w:rsidRPr="005D4222">
              <w:t>Dates must be specific enough to determine the episode occurred in the period being measured.</w:t>
            </w:r>
          </w:p>
          <w:p w14:paraId="32AE6189" w14:textId="77777777" w:rsidR="00B55342" w:rsidRPr="005D4222" w:rsidRDefault="00B55342" w:rsidP="00A53E8C">
            <w:pPr>
              <w:pStyle w:val="ECDSBody"/>
            </w:pPr>
            <w:r w:rsidRPr="005D4222">
              <w:rPr>
                <w:b/>
              </w:rPr>
              <w:t xml:space="preserve">Observation stays: </w:t>
            </w:r>
            <w:r w:rsidRPr="005D4222">
              <w:t>For observation stays (</w:t>
            </w:r>
            <w:r w:rsidRPr="005D4222">
              <w:rPr>
                <w:u w:val="single"/>
              </w:rPr>
              <w:t>Observation Stay Value Set</w:t>
            </w:r>
            <w:r w:rsidRPr="005D4222">
              <w:t>) that do not have a recorded admission or discharge date, set the admission date to the earliest date of service on the claim and set the discharge date to the last date of service on the claim.</w:t>
            </w:r>
          </w:p>
          <w:p w14:paraId="66E08D39" w14:textId="77777777" w:rsidR="00B55342" w:rsidRPr="005D4222" w:rsidRDefault="00B55342" w:rsidP="00A53E8C">
            <w:pPr>
              <w:pStyle w:val="ECDSBody"/>
            </w:pPr>
            <w:r w:rsidRPr="005D4222">
              <w:rPr>
                <w:b/>
              </w:rPr>
              <w:t xml:space="preserve">Which services count? </w:t>
            </w:r>
            <w:r w:rsidRPr="005D4222">
              <w:t xml:space="preserve">When using claims, include all paid, suspended, pending and denied claims. </w:t>
            </w:r>
          </w:p>
          <w:p w14:paraId="4F96B659" w14:textId="77777777" w:rsidR="00B55342" w:rsidRPr="005D4222" w:rsidRDefault="00B55342" w:rsidP="00A53E8C">
            <w:pPr>
              <w:pStyle w:val="ECDSBody"/>
            </w:pPr>
            <w:r w:rsidRPr="005D4222">
              <w:rPr>
                <w:b/>
              </w:rPr>
              <w:t xml:space="preserve">Other guidance: </w:t>
            </w:r>
            <w:r w:rsidRPr="005D4222">
              <w:t>The measure is based on episodes; therefore, it is possible for the denominator to include multiple events for the same person.</w:t>
            </w:r>
          </w:p>
        </w:tc>
      </w:tr>
      <w:tr w:rsidR="00B55342" w:rsidRPr="005D4222" w14:paraId="3D436273" w14:textId="77777777" w:rsidTr="005A4B5D">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c>
          <w:tcPr>
            <w:tcW w:w="9717" w:type="dxa"/>
            <w:gridSpan w:val="2"/>
            <w:tcBorders>
              <w:top w:val="single" w:sz="4" w:space="0" w:color="auto"/>
              <w:bottom w:val="single" w:sz="4" w:space="0" w:color="auto"/>
            </w:tcBorders>
            <w:shd w:val="clear" w:color="auto" w:fill="BFBFBF" w:themeFill="background1" w:themeFillShade="BF"/>
            <w:tcMar>
              <w:top w:w="0" w:type="dxa"/>
              <w:left w:w="86" w:type="dxa"/>
              <w:bottom w:w="43" w:type="dxa"/>
              <w:right w:w="86" w:type="dxa"/>
            </w:tcMar>
          </w:tcPr>
          <w:p w14:paraId="61E5859A" w14:textId="77777777" w:rsidR="00B55342" w:rsidRPr="005D4222" w:rsidRDefault="00B55342" w:rsidP="003513DD">
            <w:pPr>
              <w:pStyle w:val="ECDSMarginHead"/>
            </w:pPr>
            <w:r w:rsidRPr="005D4222">
              <w:t xml:space="preserve">Definitions </w:t>
            </w:r>
          </w:p>
        </w:tc>
      </w:tr>
      <w:tr w:rsidR="00B55342" w:rsidRPr="005D4222" w14:paraId="6F69C365" w14:textId="77777777" w:rsidTr="005A4B5D">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c>
          <w:tcPr>
            <w:tcW w:w="2247" w:type="dxa"/>
            <w:tcBorders>
              <w:top w:val="single" w:sz="4" w:space="0" w:color="auto"/>
              <w:bottom w:val="nil"/>
            </w:tcBorders>
            <w:tcMar>
              <w:top w:w="0" w:type="dxa"/>
              <w:left w:w="86" w:type="dxa"/>
              <w:bottom w:w="43" w:type="dxa"/>
              <w:right w:w="86" w:type="dxa"/>
            </w:tcMar>
          </w:tcPr>
          <w:p w14:paraId="5D24B921" w14:textId="77777777" w:rsidR="00B55342" w:rsidRPr="005D4222" w:rsidRDefault="00B55342" w:rsidP="003513DD">
            <w:pPr>
              <w:pStyle w:val="ECDSSubhead"/>
            </w:pPr>
            <w:r w:rsidRPr="005D4222">
              <w:t>Asthma episode</w:t>
            </w:r>
          </w:p>
        </w:tc>
        <w:tc>
          <w:tcPr>
            <w:tcW w:w="7470" w:type="dxa"/>
            <w:tcBorders>
              <w:top w:val="single" w:sz="4" w:space="0" w:color="auto"/>
              <w:bottom w:val="nil"/>
            </w:tcBorders>
            <w:tcMar>
              <w:left w:w="86" w:type="dxa"/>
              <w:bottom w:w="43" w:type="dxa"/>
              <w:right w:w="86" w:type="dxa"/>
            </w:tcMar>
          </w:tcPr>
          <w:p w14:paraId="64DF21A5" w14:textId="77777777" w:rsidR="00B55342" w:rsidRPr="005D4222" w:rsidRDefault="00B55342" w:rsidP="003513DD">
            <w:pPr>
              <w:pStyle w:val="ECDSBody"/>
              <w:spacing w:after="0"/>
            </w:pPr>
            <w:r w:rsidRPr="005D4222">
              <w:t>An encounter between January 1 and December 1 with a diagnosis of asthma.</w:t>
            </w:r>
          </w:p>
          <w:p w14:paraId="5F1A9E0B" w14:textId="77777777" w:rsidR="00B55342" w:rsidRPr="005D4222" w:rsidRDefault="00B55342" w:rsidP="003513DD">
            <w:pPr>
              <w:pStyle w:val="ECDSBody"/>
              <w:spacing w:after="0"/>
            </w:pPr>
            <w:r w:rsidRPr="005D4222">
              <w:rPr>
                <w:i/>
                <w:iCs/>
              </w:rPr>
              <w:t>For urgent care visits that result in an ED visit</w:t>
            </w:r>
            <w:r w:rsidRPr="005D4222">
              <w:t>, the ED visit is the episode.</w:t>
            </w:r>
          </w:p>
          <w:p w14:paraId="1B2DE371" w14:textId="77777777" w:rsidR="00B55342" w:rsidRPr="005D4222" w:rsidRDefault="00B55342" w:rsidP="003513DD">
            <w:pPr>
              <w:pStyle w:val="ECDSBody"/>
              <w:spacing w:after="0"/>
            </w:pPr>
            <w:r w:rsidRPr="005D4222">
              <w:rPr>
                <w:i/>
                <w:iCs/>
              </w:rPr>
              <w:t>For urgent care or ED visits that result in a nonacute inpatient stay</w:t>
            </w:r>
            <w:r w:rsidRPr="005D4222">
              <w:t>, the urgent care or ED visit is the episode.</w:t>
            </w:r>
          </w:p>
          <w:p w14:paraId="4A7B188D" w14:textId="77777777" w:rsidR="00B55342" w:rsidRPr="005D4222" w:rsidRDefault="00B55342" w:rsidP="003513DD">
            <w:pPr>
              <w:pStyle w:val="ECDSBody"/>
              <w:spacing w:after="0"/>
            </w:pPr>
            <w:r w:rsidRPr="005D4222">
              <w:rPr>
                <w:i/>
                <w:iCs/>
              </w:rPr>
              <w:t>For acute inpatient or observation stays that result in a nonacute inpatient stay</w:t>
            </w:r>
            <w:r w:rsidRPr="005D4222">
              <w:t>, the acute inpatient or observation stay discharge is the episode.</w:t>
            </w:r>
          </w:p>
        </w:tc>
      </w:tr>
      <w:tr w:rsidR="00B55342" w:rsidRPr="005D4222" w14:paraId="059E267C" w14:textId="77777777" w:rsidTr="005A4B5D">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c>
          <w:tcPr>
            <w:tcW w:w="2247" w:type="dxa"/>
            <w:tcBorders>
              <w:top w:val="nil"/>
              <w:bottom w:val="single" w:sz="4" w:space="0" w:color="auto"/>
            </w:tcBorders>
            <w:tcMar>
              <w:top w:w="0" w:type="dxa"/>
              <w:left w:w="86" w:type="dxa"/>
              <w:bottom w:w="43" w:type="dxa"/>
              <w:right w:w="86" w:type="dxa"/>
            </w:tcMar>
          </w:tcPr>
          <w:p w14:paraId="4779E24B" w14:textId="77777777" w:rsidR="00B55342" w:rsidRPr="005D4222" w:rsidRDefault="00B55342" w:rsidP="003513DD">
            <w:pPr>
              <w:pStyle w:val="ECDSSubhead"/>
            </w:pPr>
            <w:r w:rsidRPr="005D4222">
              <w:t>Asthma episode date</w:t>
            </w:r>
          </w:p>
        </w:tc>
        <w:tc>
          <w:tcPr>
            <w:tcW w:w="7470" w:type="dxa"/>
            <w:tcBorders>
              <w:top w:val="nil"/>
              <w:bottom w:val="single" w:sz="4" w:space="0" w:color="auto"/>
            </w:tcBorders>
            <w:tcMar>
              <w:top w:w="0" w:type="dxa"/>
              <w:left w:w="86" w:type="dxa"/>
              <w:bottom w:w="43" w:type="dxa"/>
              <w:right w:w="86" w:type="dxa"/>
            </w:tcMar>
          </w:tcPr>
          <w:p w14:paraId="29EB209A" w14:textId="77777777" w:rsidR="00B55342" w:rsidRPr="005D4222" w:rsidRDefault="00B55342" w:rsidP="00A53E8C">
            <w:pPr>
              <w:pStyle w:val="ECDSBody"/>
            </w:pPr>
            <w:r w:rsidRPr="005D4222">
              <w:t>The date of service for the asthma episode.  </w:t>
            </w:r>
          </w:p>
          <w:p w14:paraId="0DAB746D" w14:textId="29028386" w:rsidR="00B55342" w:rsidRPr="005D4222" w:rsidRDefault="00B55342" w:rsidP="00F904F9">
            <w:pPr>
              <w:pStyle w:val="ECDSBody"/>
            </w:pPr>
            <w:r w:rsidRPr="005D4222">
              <w:rPr>
                <w:i/>
                <w:iCs/>
              </w:rPr>
              <w:t>For acute inpatient or observation stay discharges,</w:t>
            </w:r>
            <w:r w:rsidRPr="005D4222">
              <w:t xml:space="preserve"> the episode date is the date of discharge.  </w:t>
            </w:r>
          </w:p>
        </w:tc>
      </w:tr>
    </w:tbl>
    <w:p w14:paraId="51DA2901" w14:textId="77777777" w:rsidR="00F904F9" w:rsidRPr="005D4222" w:rsidRDefault="00F904F9"/>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247"/>
        <w:gridCol w:w="7470"/>
      </w:tblGrid>
      <w:tr w:rsidR="00F904F9" w:rsidRPr="005D4222" w14:paraId="50AE1E19" w14:textId="77777777" w:rsidTr="005A4B5D">
        <w:tc>
          <w:tcPr>
            <w:tcW w:w="2247" w:type="dxa"/>
            <w:tcBorders>
              <w:top w:val="single" w:sz="4" w:space="0" w:color="auto"/>
              <w:bottom w:val="nil"/>
            </w:tcBorders>
            <w:tcMar>
              <w:top w:w="0" w:type="dxa"/>
              <w:left w:w="86" w:type="dxa"/>
              <w:bottom w:w="43" w:type="dxa"/>
              <w:right w:w="86" w:type="dxa"/>
            </w:tcMar>
          </w:tcPr>
          <w:p w14:paraId="730F3074" w14:textId="77777777" w:rsidR="00F904F9" w:rsidRPr="005D4222" w:rsidRDefault="00F904F9" w:rsidP="003513DD">
            <w:pPr>
              <w:pStyle w:val="ECDSSubhead"/>
            </w:pPr>
          </w:p>
        </w:tc>
        <w:tc>
          <w:tcPr>
            <w:tcW w:w="7470" w:type="dxa"/>
            <w:tcBorders>
              <w:top w:val="single" w:sz="4" w:space="0" w:color="auto"/>
              <w:bottom w:val="nil"/>
            </w:tcBorders>
            <w:tcMar>
              <w:top w:w="0" w:type="dxa"/>
              <w:left w:w="86" w:type="dxa"/>
              <w:bottom w:w="43" w:type="dxa"/>
              <w:right w:w="86" w:type="dxa"/>
            </w:tcMar>
          </w:tcPr>
          <w:p w14:paraId="479B7157" w14:textId="77777777" w:rsidR="00F904F9" w:rsidRPr="005D4222" w:rsidRDefault="00F904F9" w:rsidP="00F904F9">
            <w:pPr>
              <w:pStyle w:val="ECDSBody"/>
            </w:pPr>
            <w:r w:rsidRPr="005D4222">
              <w:rPr>
                <w:i/>
                <w:iCs/>
              </w:rPr>
              <w:t xml:space="preserve">For direct transfers, </w:t>
            </w:r>
            <w:r w:rsidRPr="005D4222">
              <w:t>the episode date is the discharge date from the last transfer admission.</w:t>
            </w:r>
          </w:p>
          <w:p w14:paraId="28C2B533" w14:textId="3157F3AB" w:rsidR="00F904F9" w:rsidRPr="005D4222" w:rsidRDefault="00F904F9" w:rsidP="00F904F9">
            <w:pPr>
              <w:pStyle w:val="ECDSBody"/>
              <w:spacing w:after="0"/>
            </w:pPr>
            <w:r w:rsidRPr="005D4222">
              <w:rPr>
                <w:i/>
                <w:iCs/>
              </w:rPr>
              <w:t>For ED or urgent care visits,</w:t>
            </w:r>
            <w:r w:rsidRPr="005D4222">
              <w:t xml:space="preserve"> the episode date is the date of service.</w:t>
            </w:r>
          </w:p>
        </w:tc>
      </w:tr>
      <w:tr w:rsidR="00B55342" w:rsidRPr="005D4222" w14:paraId="08857772" w14:textId="77777777" w:rsidTr="005A4B5D">
        <w:tc>
          <w:tcPr>
            <w:tcW w:w="2247" w:type="dxa"/>
            <w:tcBorders>
              <w:top w:val="nil"/>
              <w:bottom w:val="nil"/>
            </w:tcBorders>
            <w:tcMar>
              <w:top w:w="0" w:type="dxa"/>
              <w:left w:w="86" w:type="dxa"/>
              <w:bottom w:w="43" w:type="dxa"/>
              <w:right w:w="86" w:type="dxa"/>
            </w:tcMar>
          </w:tcPr>
          <w:p w14:paraId="1F370EF5" w14:textId="77777777" w:rsidR="00B55342" w:rsidRPr="005D4222" w:rsidRDefault="00B55342" w:rsidP="003513DD">
            <w:pPr>
              <w:pStyle w:val="ECDSSubhead"/>
            </w:pPr>
            <w:r w:rsidRPr="005D4222">
              <w:t>Direct transfer</w:t>
            </w:r>
          </w:p>
        </w:tc>
        <w:tc>
          <w:tcPr>
            <w:tcW w:w="7470" w:type="dxa"/>
            <w:tcBorders>
              <w:top w:val="nil"/>
              <w:bottom w:val="nil"/>
            </w:tcBorders>
            <w:tcMar>
              <w:top w:w="0" w:type="dxa"/>
              <w:left w:w="86" w:type="dxa"/>
              <w:bottom w:w="43" w:type="dxa"/>
              <w:right w:w="86" w:type="dxa"/>
            </w:tcMar>
          </w:tcPr>
          <w:p w14:paraId="1E45916A" w14:textId="77777777" w:rsidR="00B55342" w:rsidRPr="005D4222" w:rsidRDefault="00B55342" w:rsidP="00A53E8C">
            <w:pPr>
              <w:pStyle w:val="ECDSBody"/>
            </w:pPr>
            <w:r w:rsidRPr="005D4222">
              <w:t xml:space="preserve">When the discharge date from the initial stay precedes the admission date to a subsequent stay by one calendar day or less. </w:t>
            </w:r>
          </w:p>
          <w:p w14:paraId="6DE86320" w14:textId="77777777" w:rsidR="00B55342" w:rsidRPr="005D4222" w:rsidRDefault="00B55342" w:rsidP="00A53E8C">
            <w:pPr>
              <w:pStyle w:val="Bullet"/>
              <w:rPr>
                <w:i/>
                <w:iCs/>
              </w:rPr>
            </w:pPr>
            <w:r w:rsidRPr="005D4222">
              <w:rPr>
                <w:i/>
                <w:iCs/>
              </w:rPr>
              <w:t>For example:</w:t>
            </w:r>
          </w:p>
          <w:p w14:paraId="072FB7BE" w14:textId="77777777" w:rsidR="00B55342" w:rsidRPr="005D4222" w:rsidRDefault="00B55342" w:rsidP="003513DD">
            <w:pPr>
              <w:pStyle w:val="Dash"/>
            </w:pPr>
            <w:r w:rsidRPr="005D4222">
              <w:t>An inpatient discharge on June 1, followed by an admission to another inpatient setting on June 1, is a direct transfer.</w:t>
            </w:r>
          </w:p>
          <w:p w14:paraId="4CA8A3E7" w14:textId="77777777" w:rsidR="00B55342" w:rsidRPr="005D4222" w:rsidRDefault="00B55342" w:rsidP="003513DD">
            <w:pPr>
              <w:pStyle w:val="Dash"/>
            </w:pPr>
            <w:r w:rsidRPr="005D4222">
              <w:t>An inpatient discharge on June 1, followed by an admission to an inpatient setting on June 2, is a direct transfer.</w:t>
            </w:r>
          </w:p>
          <w:p w14:paraId="7CA4B160" w14:textId="77777777" w:rsidR="00B55342" w:rsidRPr="005D4222" w:rsidRDefault="00B55342" w:rsidP="003513DD">
            <w:pPr>
              <w:pStyle w:val="Dash"/>
            </w:pPr>
            <w:r w:rsidRPr="005D4222">
              <w:t>An inpatient discharge on June 1, followed by an admission to another inpatient setting on June 3, is not a direct transfer; these are two distinct inpatient stays.</w:t>
            </w:r>
          </w:p>
          <w:p w14:paraId="5535B59F" w14:textId="77777777" w:rsidR="00B55342" w:rsidRPr="005D4222" w:rsidRDefault="00B55342" w:rsidP="00A53E8C">
            <w:pPr>
              <w:pStyle w:val="ECDSBody"/>
            </w:pPr>
            <w:r w:rsidRPr="005D4222">
              <w:t>Direct transfers may occur between different facilities and between inpatient and observation stays.</w:t>
            </w:r>
          </w:p>
        </w:tc>
      </w:tr>
      <w:tr w:rsidR="00B55342" w:rsidRPr="005D4222" w14:paraId="6ED08849" w14:textId="77777777" w:rsidTr="005A4B5D">
        <w:trPr>
          <w:trHeight w:val="1047"/>
        </w:trPr>
        <w:tc>
          <w:tcPr>
            <w:tcW w:w="2247" w:type="dxa"/>
            <w:shd w:val="clear" w:color="auto" w:fill="BFBFBF" w:themeFill="background1" w:themeFillShade="BF"/>
            <w:tcMar>
              <w:top w:w="0" w:type="dxa"/>
              <w:left w:w="86" w:type="dxa"/>
              <w:bottom w:w="43" w:type="dxa"/>
              <w:right w:w="86" w:type="dxa"/>
            </w:tcMar>
          </w:tcPr>
          <w:p w14:paraId="03440C5C" w14:textId="77777777" w:rsidR="00B55342" w:rsidRPr="005D4222" w:rsidRDefault="00B55342" w:rsidP="00F904F9">
            <w:pPr>
              <w:pStyle w:val="ECDSMarginHead"/>
            </w:pPr>
            <w:r w:rsidRPr="005D4222">
              <w:t>Initial population</w:t>
            </w:r>
          </w:p>
        </w:tc>
        <w:tc>
          <w:tcPr>
            <w:tcW w:w="7470" w:type="dxa"/>
            <w:tcBorders>
              <w:top w:val="single" w:sz="4" w:space="0" w:color="auto"/>
              <w:left w:val="single" w:sz="4" w:space="0" w:color="auto"/>
              <w:bottom w:val="single" w:sz="4" w:space="0" w:color="auto"/>
              <w:right w:val="single" w:sz="4" w:space="0" w:color="auto"/>
            </w:tcBorders>
            <w:tcMar>
              <w:top w:w="86" w:type="dxa"/>
              <w:left w:w="86" w:type="dxa"/>
              <w:bottom w:w="43" w:type="dxa"/>
              <w:right w:w="86" w:type="dxa"/>
            </w:tcMar>
          </w:tcPr>
          <w:p w14:paraId="649AE4E2" w14:textId="77777777" w:rsidR="00B55342" w:rsidRPr="005D4222" w:rsidRDefault="00B55342" w:rsidP="00A53E8C">
            <w:pPr>
              <w:pStyle w:val="ECDSBody"/>
            </w:pPr>
            <w:r w:rsidRPr="005D4222">
              <w:rPr>
                <w:i/>
                <w:iCs/>
              </w:rPr>
              <w:t>Measure item count:</w:t>
            </w:r>
            <w:r w:rsidRPr="005D4222">
              <w:t xml:space="preserve"> Episode.</w:t>
            </w:r>
          </w:p>
          <w:p w14:paraId="254BAC8A" w14:textId="77777777" w:rsidR="00B55342" w:rsidRPr="005D4222" w:rsidRDefault="00B55342" w:rsidP="00A53E8C">
            <w:pPr>
              <w:pStyle w:val="ECDSBody"/>
            </w:pPr>
            <w:r w:rsidRPr="005D4222">
              <w:rPr>
                <w:i/>
                <w:iCs/>
              </w:rPr>
              <w:t>Attribution basis:</w:t>
            </w:r>
            <w:r w:rsidRPr="005D4222">
              <w:t xml:space="preserve"> Enrollment.</w:t>
            </w:r>
          </w:p>
          <w:p w14:paraId="6326ECF8" w14:textId="77777777" w:rsidR="00B55342" w:rsidRPr="005D4222" w:rsidRDefault="00B55342" w:rsidP="00A53E8C">
            <w:pPr>
              <w:pStyle w:val="Bullet"/>
            </w:pPr>
            <w:r w:rsidRPr="005D4222">
              <w:rPr>
                <w:i/>
                <w:iCs/>
              </w:rPr>
              <w:t>Benefits:</w:t>
            </w:r>
            <w:r w:rsidRPr="005D4222">
              <w:t xml:space="preserve"> Medical.</w:t>
            </w:r>
          </w:p>
          <w:p w14:paraId="675DC0D4" w14:textId="77777777" w:rsidR="00B55342" w:rsidRPr="005D4222" w:rsidRDefault="00B55342" w:rsidP="00A53E8C">
            <w:pPr>
              <w:pStyle w:val="Bullet"/>
            </w:pPr>
            <w:r w:rsidRPr="005D4222">
              <w:rPr>
                <w:i/>
                <w:iCs/>
              </w:rPr>
              <w:t>Continuous enrollment:</w:t>
            </w:r>
            <w:r w:rsidRPr="005D4222">
              <w:t xml:space="preserve"> Episode date through 30 days after episode date (31 total days).</w:t>
            </w:r>
          </w:p>
          <w:p w14:paraId="12BB83F2" w14:textId="77777777" w:rsidR="00B55342" w:rsidRPr="005D4222" w:rsidRDefault="00B55342" w:rsidP="00A53E8C">
            <w:pPr>
              <w:pStyle w:val="Bullet"/>
            </w:pPr>
            <w:r w:rsidRPr="005D4222">
              <w:rPr>
                <w:i/>
                <w:iCs/>
              </w:rPr>
              <w:t xml:space="preserve">Allowable gap: </w:t>
            </w:r>
            <w:r w:rsidRPr="005D4222">
              <w:t>None.</w:t>
            </w:r>
          </w:p>
          <w:p w14:paraId="3EC1A937" w14:textId="77777777" w:rsidR="00B55342" w:rsidRPr="005D4222" w:rsidRDefault="00B55342" w:rsidP="00A53E8C">
            <w:pPr>
              <w:pStyle w:val="ECDSBody"/>
            </w:pPr>
            <w:r w:rsidRPr="005D4222">
              <w:rPr>
                <w:i/>
                <w:iCs/>
              </w:rPr>
              <w:t>Ages:</w:t>
            </w:r>
            <w:r w:rsidRPr="005D4222">
              <w:t xml:space="preserve"> 5–64 years of age as of the episode date.</w:t>
            </w:r>
          </w:p>
          <w:p w14:paraId="268575B4" w14:textId="77777777" w:rsidR="00B55342" w:rsidRPr="005D4222" w:rsidRDefault="00B55342" w:rsidP="00A53E8C">
            <w:pPr>
              <w:pStyle w:val="ECDSBody"/>
              <w:rPr>
                <w:i/>
                <w:iCs/>
              </w:rPr>
            </w:pPr>
            <w:r w:rsidRPr="005D4222">
              <w:rPr>
                <w:i/>
                <w:iCs/>
              </w:rPr>
              <w:t xml:space="preserve">Event: </w:t>
            </w:r>
            <w:r w:rsidRPr="005D4222">
              <w:rPr>
                <w:b/>
              </w:rPr>
              <w:t xml:space="preserve">Acute visits for asthma on or between January 1 and December 1 of the measurement period. </w:t>
            </w:r>
          </w:p>
          <w:p w14:paraId="6901423F" w14:textId="77777777" w:rsidR="00B55342" w:rsidRPr="005D4222" w:rsidRDefault="00B55342" w:rsidP="00A53E8C">
            <w:pPr>
              <w:pStyle w:val="ProcessBullet"/>
              <w:numPr>
                <w:ilvl w:val="0"/>
                <w:numId w:val="0"/>
              </w:numPr>
              <w:rPr>
                <w:b/>
                <w:bCs/>
                <w:i/>
                <w:iCs/>
              </w:rPr>
            </w:pPr>
            <w:r w:rsidRPr="005D4222">
              <w:rPr>
                <w:b/>
              </w:rPr>
              <w:t>Step 1</w:t>
            </w:r>
            <w:r w:rsidRPr="005D4222">
              <w:rPr>
                <w:b/>
                <w:bCs/>
              </w:rPr>
              <w:t xml:space="preserve">. </w:t>
            </w:r>
            <w:r w:rsidRPr="005D4222">
              <w:t>Identify all urgent care visits, ED visits, acute inpatient discharges and observation stay discharges on or between January 1 and December 1 of the measurement period:</w:t>
            </w:r>
          </w:p>
          <w:p w14:paraId="70574C24" w14:textId="77777777" w:rsidR="00B55342" w:rsidRPr="005D4222" w:rsidRDefault="00B55342" w:rsidP="00A53E8C">
            <w:pPr>
              <w:pStyle w:val="Bullet"/>
            </w:pPr>
            <w:r w:rsidRPr="005D4222">
              <w:t>An urgent care visit (</w:t>
            </w:r>
            <w:r w:rsidRPr="005D4222">
              <w:rPr>
                <w:u w:val="single"/>
              </w:rPr>
              <w:t>Outpatient and Telehealth Value Set</w:t>
            </w:r>
            <w:r w:rsidRPr="005D4222">
              <w:t xml:space="preserve"> </w:t>
            </w:r>
            <w:r w:rsidRPr="005D4222">
              <w:rPr>
                <w:b/>
                <w:bCs/>
                <w:i/>
                <w:iCs/>
              </w:rPr>
              <w:t>with</w:t>
            </w:r>
            <w:r w:rsidRPr="005D4222">
              <w:t xml:space="preserve"> POS code 20)</w:t>
            </w:r>
            <w:r w:rsidRPr="005D4222">
              <w:rPr>
                <w:b/>
                <w:i/>
              </w:rPr>
              <w:t xml:space="preserve"> </w:t>
            </w:r>
            <w:r w:rsidRPr="005D4222">
              <w:rPr>
                <w:b/>
                <w:bCs/>
                <w:i/>
                <w:iCs/>
              </w:rPr>
              <w:t>with</w:t>
            </w:r>
            <w:r w:rsidRPr="005D4222">
              <w:t xml:space="preserve"> a diagnosis of asthma (</w:t>
            </w:r>
            <w:r w:rsidRPr="005D4222">
              <w:rPr>
                <w:u w:val="single"/>
              </w:rPr>
              <w:t>Asthma Value Set</w:t>
            </w:r>
            <w:r w:rsidRPr="005D4222">
              <w:t>).</w:t>
            </w:r>
          </w:p>
          <w:p w14:paraId="6010F870" w14:textId="77777777" w:rsidR="00B55342" w:rsidRPr="005D4222" w:rsidRDefault="00B55342" w:rsidP="00A53E8C">
            <w:pPr>
              <w:pStyle w:val="Bullet"/>
            </w:pPr>
            <w:r w:rsidRPr="005D4222">
              <w:t>An ED visit (</w:t>
            </w:r>
            <w:r w:rsidRPr="005D4222">
              <w:rPr>
                <w:u w:val="single"/>
              </w:rPr>
              <w:t>ED Value Set</w:t>
            </w:r>
            <w:r w:rsidRPr="005D4222">
              <w:t>)</w:t>
            </w:r>
            <w:r w:rsidRPr="005D4222">
              <w:rPr>
                <w:b/>
                <w:bCs/>
                <w:i/>
                <w:iCs/>
              </w:rPr>
              <w:t xml:space="preserve"> with</w:t>
            </w:r>
            <w:r w:rsidRPr="005D4222">
              <w:t xml:space="preserve"> a diagnosis of asthma (</w:t>
            </w:r>
            <w:r w:rsidRPr="005D4222">
              <w:rPr>
                <w:u w:val="single"/>
              </w:rPr>
              <w:t>Asthma Value Set</w:t>
            </w:r>
            <w:r w:rsidRPr="005D4222">
              <w:t>).</w:t>
            </w:r>
          </w:p>
          <w:p w14:paraId="0617C82B" w14:textId="77777777" w:rsidR="00B55342" w:rsidRPr="005D4222" w:rsidRDefault="00B55342" w:rsidP="00A53E8C">
            <w:pPr>
              <w:pStyle w:val="Bullet"/>
            </w:pPr>
            <w:r w:rsidRPr="005D4222">
              <w:t>Acute inpatient or observation discharges with a diagnosis of asthma (</w:t>
            </w:r>
            <w:r w:rsidRPr="005D4222">
              <w:rPr>
                <w:u w:val="single"/>
              </w:rPr>
              <w:t>Asthma Value Set</w:t>
            </w:r>
            <w:r w:rsidRPr="005D4222">
              <w:t>) on the discharge claim. To identify an acute inpatient or observation discharge:</w:t>
            </w:r>
          </w:p>
          <w:p w14:paraId="5966C72D" w14:textId="77777777" w:rsidR="00B55342" w:rsidRPr="005D4222" w:rsidRDefault="00B55342" w:rsidP="005D6173">
            <w:pPr>
              <w:pStyle w:val="Dash"/>
              <w:numPr>
                <w:ilvl w:val="0"/>
                <w:numId w:val="150"/>
              </w:numPr>
              <w:ind w:left="864" w:hanging="288"/>
              <w:rPr>
                <w:rFonts w:cs="Arial"/>
              </w:rPr>
            </w:pPr>
            <w:r w:rsidRPr="005D4222">
              <w:rPr>
                <w:rFonts w:cs="Arial"/>
              </w:rPr>
              <w:t xml:space="preserve">Identify all acute and nonacute inpatient stays </w:t>
            </w:r>
            <w:r w:rsidRPr="005D4222">
              <w:rPr>
                <w:rFonts w:cs="Arial"/>
                <w:u w:val="single"/>
              </w:rPr>
              <w:t>(Inpatient Stay Value Set</w:t>
            </w:r>
            <w:r w:rsidRPr="005D4222">
              <w:rPr>
                <w:rFonts w:cs="Arial"/>
              </w:rPr>
              <w:t>) and observation stays (</w:t>
            </w:r>
            <w:r w:rsidRPr="005D4222">
              <w:rPr>
                <w:rFonts w:cs="Arial"/>
                <w:u w:val="single"/>
              </w:rPr>
              <w:t>Observation Stay Value Set</w:t>
            </w:r>
            <w:r w:rsidRPr="005D4222">
              <w:rPr>
                <w:rFonts w:cs="Arial"/>
              </w:rPr>
              <w:t>).</w:t>
            </w:r>
          </w:p>
          <w:p w14:paraId="56F3F3F8" w14:textId="77777777" w:rsidR="00B55342" w:rsidRPr="005D4222" w:rsidRDefault="00B55342" w:rsidP="005D6173">
            <w:pPr>
              <w:pStyle w:val="Dash"/>
              <w:numPr>
                <w:ilvl w:val="0"/>
                <w:numId w:val="150"/>
              </w:numPr>
              <w:ind w:left="864" w:hanging="288"/>
              <w:rPr>
                <w:rFonts w:cs="Arial"/>
              </w:rPr>
            </w:pPr>
            <w:r w:rsidRPr="005D4222">
              <w:rPr>
                <w:rFonts w:cs="Arial"/>
              </w:rPr>
              <w:t>Exclude nonacute inpatient stays (</w:t>
            </w:r>
            <w:r w:rsidRPr="005D4222">
              <w:rPr>
                <w:rFonts w:cs="Arial"/>
                <w:u w:val="single"/>
              </w:rPr>
              <w:t>Nonacute Inpatient Stay Value Set</w:t>
            </w:r>
            <w:r w:rsidRPr="005D4222">
              <w:rPr>
                <w:rFonts w:cs="Arial"/>
              </w:rPr>
              <w:t>).</w:t>
            </w:r>
          </w:p>
          <w:p w14:paraId="67E35D23" w14:textId="77777777" w:rsidR="00B55342" w:rsidRPr="005D4222" w:rsidRDefault="00B55342" w:rsidP="005D6173">
            <w:pPr>
              <w:pStyle w:val="Dash"/>
              <w:numPr>
                <w:ilvl w:val="0"/>
                <w:numId w:val="150"/>
              </w:numPr>
              <w:ind w:left="864" w:hanging="288"/>
              <w:rPr>
                <w:rFonts w:cs="Arial"/>
              </w:rPr>
            </w:pPr>
            <w:r w:rsidRPr="005D4222">
              <w:rPr>
                <w:rFonts w:cs="Arial"/>
              </w:rPr>
              <w:t>Identify the discharge date for the stay.</w:t>
            </w:r>
          </w:p>
          <w:p w14:paraId="18790513" w14:textId="77777777" w:rsidR="00B55342" w:rsidRPr="005D4222" w:rsidRDefault="00B55342" w:rsidP="00A53E8C">
            <w:pPr>
              <w:pStyle w:val="ECDSBody"/>
            </w:pPr>
            <w:r w:rsidRPr="005D4222">
              <w:rPr>
                <w:b/>
                <w:bCs w:val="0"/>
              </w:rPr>
              <w:t>Step 2.</w:t>
            </w:r>
            <w:r w:rsidRPr="005D4222">
              <w:rPr>
                <w:i/>
              </w:rPr>
              <w:t xml:space="preserve"> </w:t>
            </w:r>
            <w:r w:rsidRPr="005D4222">
              <w:t>Exclude ED and urgent care visits followed by admission to an acute inpatient or observation stay care setting on the date of the ED or urgent care visit, or within 30 days after the ED or urgent care visit (31 total days), regardless of diagnosis for the admission.</w:t>
            </w:r>
          </w:p>
          <w:p w14:paraId="75C458F4" w14:textId="77777777" w:rsidR="00B55342" w:rsidRPr="005D4222" w:rsidRDefault="00B55342" w:rsidP="00A53E8C">
            <w:pPr>
              <w:pStyle w:val="ECDSBody"/>
            </w:pPr>
            <w:r w:rsidRPr="005D4222">
              <w:lastRenderedPageBreak/>
              <w:t>To identify admissions to an acute inpatient or observation stay care setting:</w:t>
            </w:r>
          </w:p>
          <w:p w14:paraId="08958B8B" w14:textId="77777777" w:rsidR="00B55342" w:rsidRPr="005D4222" w:rsidRDefault="00B55342" w:rsidP="005D6173">
            <w:pPr>
              <w:pStyle w:val="Dash"/>
              <w:numPr>
                <w:ilvl w:val="0"/>
                <w:numId w:val="151"/>
              </w:numPr>
              <w:ind w:left="648" w:hanging="288"/>
              <w:rPr>
                <w:rFonts w:cs="Arial"/>
              </w:rPr>
            </w:pPr>
            <w:r w:rsidRPr="005D4222">
              <w:rPr>
                <w:rFonts w:cs="Arial"/>
              </w:rPr>
              <w:t xml:space="preserve">Identify all acute and nonacute inpatient stays </w:t>
            </w:r>
            <w:r w:rsidRPr="005D4222">
              <w:rPr>
                <w:rFonts w:cs="Arial"/>
                <w:u w:val="single"/>
              </w:rPr>
              <w:t>(Inpatient Stay Value Set</w:t>
            </w:r>
            <w:r w:rsidRPr="005D4222">
              <w:rPr>
                <w:rFonts w:cs="Arial"/>
              </w:rPr>
              <w:t>) and observation stays (</w:t>
            </w:r>
            <w:r w:rsidRPr="005D4222">
              <w:rPr>
                <w:rFonts w:cs="Arial"/>
                <w:u w:val="single"/>
              </w:rPr>
              <w:t>Observation Stay Value Set</w:t>
            </w:r>
            <w:r w:rsidRPr="005D4222">
              <w:rPr>
                <w:rFonts w:cs="Arial"/>
              </w:rPr>
              <w:t>).</w:t>
            </w:r>
          </w:p>
          <w:p w14:paraId="6C17138F" w14:textId="77777777" w:rsidR="00B55342" w:rsidRPr="005D4222" w:rsidRDefault="00B55342" w:rsidP="005D6173">
            <w:pPr>
              <w:pStyle w:val="Dash"/>
              <w:numPr>
                <w:ilvl w:val="0"/>
                <w:numId w:val="151"/>
              </w:numPr>
              <w:ind w:left="648" w:hanging="288"/>
              <w:rPr>
                <w:rFonts w:cs="Arial"/>
              </w:rPr>
            </w:pPr>
            <w:r w:rsidRPr="005D4222">
              <w:rPr>
                <w:rFonts w:cs="Arial"/>
              </w:rPr>
              <w:t>Exclude nonacute inpatient stays (</w:t>
            </w:r>
            <w:r w:rsidRPr="005D4222">
              <w:rPr>
                <w:rFonts w:cs="Arial"/>
                <w:u w:val="single"/>
              </w:rPr>
              <w:t>Nonacute Inpatient Stay Value Set</w:t>
            </w:r>
            <w:r w:rsidRPr="005D4222">
              <w:rPr>
                <w:rFonts w:cs="Arial"/>
              </w:rPr>
              <w:t>).</w:t>
            </w:r>
          </w:p>
          <w:p w14:paraId="4C563A67" w14:textId="77777777" w:rsidR="00B55342" w:rsidRPr="005D4222" w:rsidRDefault="00B55342" w:rsidP="005D6173">
            <w:pPr>
              <w:pStyle w:val="Dash"/>
              <w:numPr>
                <w:ilvl w:val="0"/>
                <w:numId w:val="151"/>
              </w:numPr>
              <w:ind w:left="648" w:hanging="288"/>
              <w:rPr>
                <w:rFonts w:cs="Arial"/>
              </w:rPr>
            </w:pPr>
            <w:r w:rsidRPr="005D4222">
              <w:rPr>
                <w:rFonts w:cs="Arial"/>
              </w:rPr>
              <w:t>Identify the admission date for the stay.</w:t>
            </w:r>
          </w:p>
          <w:p w14:paraId="230B5929" w14:textId="77777777" w:rsidR="00B55342" w:rsidRPr="005D4222" w:rsidRDefault="00B55342" w:rsidP="00A53E8C">
            <w:pPr>
              <w:pStyle w:val="ECDSBody"/>
            </w:pPr>
            <w:r w:rsidRPr="005D4222">
              <w:rPr>
                <w:b/>
                <w:iCs/>
              </w:rPr>
              <w:t>Step 3.</w:t>
            </w:r>
            <w:r w:rsidRPr="005D4222">
              <w:rPr>
                <w:i/>
              </w:rPr>
              <w:t xml:space="preserve"> </w:t>
            </w:r>
            <w:r w:rsidRPr="005D4222">
              <w:t>Determine all asthma episode dates. Multiple visits/discharges that occur on the same date count as one episode.</w:t>
            </w:r>
          </w:p>
          <w:p w14:paraId="05684846" w14:textId="77777777" w:rsidR="00B55342" w:rsidRPr="005D4222" w:rsidRDefault="00B55342" w:rsidP="00A53E8C">
            <w:pPr>
              <w:pStyle w:val="ECDSBody"/>
              <w:rPr>
                <w:b/>
              </w:rPr>
            </w:pPr>
            <w:r w:rsidRPr="005D4222">
              <w:rPr>
                <w:b/>
              </w:rPr>
              <w:t xml:space="preserve">Step 4. </w:t>
            </w:r>
            <w:r w:rsidRPr="005D4222">
              <w:t>Test for direct transfers.</w:t>
            </w:r>
            <w:r w:rsidRPr="005D4222">
              <w:rPr>
                <w:b/>
              </w:rPr>
              <w:t xml:space="preserve"> </w:t>
            </w:r>
          </w:p>
          <w:p w14:paraId="0CA958C2" w14:textId="77777777" w:rsidR="00B55342" w:rsidRPr="005D4222" w:rsidRDefault="00B55342" w:rsidP="00A53E8C">
            <w:pPr>
              <w:pStyle w:val="ECDSBody"/>
            </w:pPr>
            <w:r w:rsidRPr="005D4222">
              <w:t>For discharges with one or more direct transfers, use the last discharge. Exclude the episode if the direct transfer’s discharge date occurs after December 1 of the measurement period.</w:t>
            </w:r>
          </w:p>
          <w:p w14:paraId="57BECE36" w14:textId="77777777" w:rsidR="00B55342" w:rsidRPr="005D4222" w:rsidRDefault="00B55342" w:rsidP="00A53E8C">
            <w:pPr>
              <w:pStyle w:val="ECDSBody"/>
            </w:pPr>
            <w:r w:rsidRPr="005D4222">
              <w:t xml:space="preserve">For episodes with a direct transfer to an acute setting for any diagnosis, the episode date is the discharge date from the last admission. </w:t>
            </w:r>
          </w:p>
          <w:p w14:paraId="4DF9CF40" w14:textId="77777777" w:rsidR="00B55342" w:rsidRPr="005D4222" w:rsidRDefault="00B55342" w:rsidP="00A53E8C">
            <w:pPr>
              <w:pStyle w:val="ECDSBody"/>
            </w:pPr>
            <w:r w:rsidRPr="005D4222">
              <w:t>To identify admissions to and discharges from acute inpatient settings:</w:t>
            </w:r>
          </w:p>
          <w:p w14:paraId="039097BB" w14:textId="77777777" w:rsidR="00B55342" w:rsidRPr="005D4222" w:rsidRDefault="00B55342" w:rsidP="005D6173">
            <w:pPr>
              <w:pStyle w:val="Dash"/>
              <w:numPr>
                <w:ilvl w:val="0"/>
                <w:numId w:val="149"/>
              </w:numPr>
              <w:spacing w:before="80"/>
              <w:ind w:left="648" w:hanging="288"/>
              <w:rPr>
                <w:rFonts w:cs="Arial"/>
              </w:rPr>
            </w:pPr>
            <w:r w:rsidRPr="005D4222">
              <w:rPr>
                <w:rFonts w:cs="Arial"/>
              </w:rPr>
              <w:t xml:space="preserve">Identify all acute and nonacute inpatient stays </w:t>
            </w:r>
            <w:r w:rsidRPr="005D4222">
              <w:rPr>
                <w:rFonts w:cs="Arial"/>
                <w:u w:val="single"/>
              </w:rPr>
              <w:t>(Inpatient Stay Value Set</w:t>
            </w:r>
            <w:r w:rsidRPr="005D4222">
              <w:rPr>
                <w:rFonts w:cs="Arial"/>
              </w:rPr>
              <w:t>) and observation stays (</w:t>
            </w:r>
            <w:r w:rsidRPr="005D4222">
              <w:rPr>
                <w:rFonts w:cs="Arial"/>
                <w:u w:val="single"/>
              </w:rPr>
              <w:t>Observation Stay Value Set</w:t>
            </w:r>
            <w:r w:rsidRPr="005D4222">
              <w:rPr>
                <w:rFonts w:cs="Arial"/>
              </w:rPr>
              <w:t>).</w:t>
            </w:r>
          </w:p>
          <w:p w14:paraId="5D198D5D" w14:textId="77777777" w:rsidR="00B55342" w:rsidRPr="005D4222" w:rsidRDefault="00B55342" w:rsidP="005D6173">
            <w:pPr>
              <w:pStyle w:val="Dash"/>
              <w:numPr>
                <w:ilvl w:val="0"/>
                <w:numId w:val="149"/>
              </w:numPr>
              <w:spacing w:before="80"/>
              <w:ind w:left="648" w:hanging="288"/>
              <w:rPr>
                <w:rFonts w:cs="Arial"/>
              </w:rPr>
            </w:pPr>
            <w:r w:rsidRPr="005D4222">
              <w:rPr>
                <w:rFonts w:cs="Arial"/>
              </w:rPr>
              <w:t>Exclude nonacute inpatient stays (</w:t>
            </w:r>
            <w:r w:rsidRPr="005D4222">
              <w:rPr>
                <w:rFonts w:cs="Arial"/>
                <w:u w:val="single"/>
              </w:rPr>
              <w:t>Nonacute Inpatient Stay Value Set</w:t>
            </w:r>
            <w:r w:rsidRPr="005D4222">
              <w:rPr>
                <w:rFonts w:cs="Arial"/>
              </w:rPr>
              <w:t>).</w:t>
            </w:r>
          </w:p>
          <w:p w14:paraId="38511DF9" w14:textId="77777777" w:rsidR="00B55342" w:rsidRPr="005D4222" w:rsidRDefault="00B55342" w:rsidP="005D6173">
            <w:pPr>
              <w:pStyle w:val="Dash"/>
              <w:numPr>
                <w:ilvl w:val="0"/>
                <w:numId w:val="149"/>
              </w:numPr>
              <w:spacing w:before="80"/>
              <w:ind w:left="648" w:hanging="288"/>
              <w:rPr>
                <w:rFonts w:cs="Arial"/>
              </w:rPr>
            </w:pPr>
            <w:r w:rsidRPr="005D4222">
              <w:rPr>
                <w:rFonts w:cs="Arial"/>
              </w:rPr>
              <w:t>Identify the discharge date for the stay.</w:t>
            </w:r>
          </w:p>
          <w:p w14:paraId="1AF7B698" w14:textId="77777777" w:rsidR="00B55342" w:rsidRPr="005D4222" w:rsidRDefault="00B55342" w:rsidP="00A53E8C">
            <w:pPr>
              <w:pStyle w:val="Note"/>
            </w:pPr>
            <w:r w:rsidRPr="005D4222">
              <w:rPr>
                <w:b/>
              </w:rPr>
              <w:t>Note:</w:t>
            </w:r>
            <w:r w:rsidRPr="005D4222">
              <w:t xml:space="preserve"> For acute inpatient </w:t>
            </w:r>
            <w:r w:rsidRPr="005D4222">
              <w:rPr>
                <w:iCs/>
              </w:rPr>
              <w:t xml:space="preserve">or observation </w:t>
            </w:r>
            <w:r w:rsidRPr="005D4222">
              <w:t>stays where there was a direct transfer, use the original stay and any direct transfer stays to identify eligible episode dates in this step.</w:t>
            </w:r>
          </w:p>
          <w:p w14:paraId="2C24B698" w14:textId="77777777" w:rsidR="00B55342" w:rsidRPr="005D4222" w:rsidRDefault="00B55342" w:rsidP="00A53E8C">
            <w:pPr>
              <w:pStyle w:val="ECDSBody"/>
              <w:rPr>
                <w:i/>
                <w:iCs/>
              </w:rPr>
            </w:pPr>
            <w:r w:rsidRPr="005D4222">
              <w:rPr>
                <w:b/>
              </w:rPr>
              <w:t>Step 5</w:t>
            </w:r>
            <w:r w:rsidRPr="005D4222">
              <w:rPr>
                <w:b/>
                <w:i/>
                <w:iCs/>
              </w:rPr>
              <w:t>.</w:t>
            </w:r>
            <w:r w:rsidRPr="005D4222">
              <w:rPr>
                <w:i/>
                <w:iCs/>
              </w:rPr>
              <w:t xml:space="preserve"> </w:t>
            </w:r>
            <w:r w:rsidRPr="005D4222">
              <w:t>Calculate continuous enrollment.</w:t>
            </w:r>
          </w:p>
          <w:p w14:paraId="177DA2BD" w14:textId="77777777" w:rsidR="00B55342" w:rsidRPr="005D4222" w:rsidRDefault="00B55342" w:rsidP="00A53E8C">
            <w:pPr>
              <w:pStyle w:val="ECDSBody"/>
            </w:pPr>
            <w:r w:rsidRPr="005D4222">
              <w:rPr>
                <w:b/>
              </w:rPr>
              <w:t xml:space="preserve">Step 6. </w:t>
            </w:r>
            <w:r w:rsidRPr="005D4222">
              <w:t xml:space="preserve">Multiple episodes within a 31-day period. </w:t>
            </w:r>
          </w:p>
          <w:p w14:paraId="49D8E502" w14:textId="77777777" w:rsidR="00B55342" w:rsidRPr="005D4222" w:rsidRDefault="00B55342" w:rsidP="00A53E8C">
            <w:pPr>
              <w:pStyle w:val="ECDSBody"/>
            </w:pPr>
            <w:r w:rsidRPr="005D4222">
              <w:t xml:space="preserve">Identify ED or urgent care visits chronologically, including only the first episode in each 31-day period. </w:t>
            </w:r>
          </w:p>
          <w:p w14:paraId="20D647FC" w14:textId="77777777" w:rsidR="00B55342" w:rsidRPr="005D4222" w:rsidRDefault="00B55342" w:rsidP="00A53E8C">
            <w:pPr>
              <w:pStyle w:val="Bullet"/>
            </w:pPr>
            <w:r w:rsidRPr="005D4222">
              <w:rPr>
                <w:i/>
                <w:iCs/>
              </w:rPr>
              <w:t>For example,</w:t>
            </w:r>
            <w:r w:rsidRPr="005D4222">
              <w:t xml:space="preserve"> consider the following events:</w:t>
            </w:r>
          </w:p>
          <w:p w14:paraId="5794423F" w14:textId="77777777" w:rsidR="00B55342" w:rsidRPr="005D4222" w:rsidRDefault="00B55342" w:rsidP="00507F99">
            <w:pPr>
              <w:pStyle w:val="Dash"/>
            </w:pPr>
            <w:r w:rsidRPr="005D4222">
              <w:t>ED visit: January 1.</w:t>
            </w:r>
          </w:p>
          <w:p w14:paraId="6DBE5176" w14:textId="77777777" w:rsidR="00B55342" w:rsidRPr="005D4222" w:rsidRDefault="00B55342" w:rsidP="00507F99">
            <w:pPr>
              <w:pStyle w:val="Dash"/>
            </w:pPr>
            <w:r w:rsidRPr="005D4222">
              <w:t>Urgent care visit: January 15.</w:t>
            </w:r>
          </w:p>
          <w:p w14:paraId="39480F42" w14:textId="77777777" w:rsidR="00B55342" w:rsidRPr="005D4222" w:rsidRDefault="00B55342" w:rsidP="00507F99">
            <w:pPr>
              <w:pStyle w:val="Dash"/>
            </w:pPr>
            <w:r w:rsidRPr="005D4222">
              <w:t>ED visit: January 20.</w:t>
            </w:r>
          </w:p>
          <w:p w14:paraId="1C7E2654" w14:textId="77777777" w:rsidR="00B55342" w:rsidRPr="005D4222" w:rsidRDefault="00B55342" w:rsidP="00A53E8C">
            <w:pPr>
              <w:pStyle w:val="ECDSBody"/>
              <w:spacing w:before="80"/>
              <w:ind w:left="576"/>
            </w:pPr>
            <w:r w:rsidRPr="005D4222">
              <w:t>Include the ED visit on January 1</w:t>
            </w:r>
            <w:r w:rsidRPr="005D4222" w:rsidDel="00E3128A">
              <w:t xml:space="preserve"> </w:t>
            </w:r>
            <w:r w:rsidRPr="005D4222">
              <w:t>as a denominator event. Exclude the urgent care visit on January 15 and the ED visit on January 20.</w:t>
            </w:r>
            <w:r w:rsidRPr="005D4222" w:rsidDel="00E3128A">
              <w:t xml:space="preserve"> </w:t>
            </w:r>
          </w:p>
          <w:p w14:paraId="2E9125B4" w14:textId="77777777" w:rsidR="00B55342" w:rsidRPr="005D4222" w:rsidRDefault="00B55342" w:rsidP="00A53E8C">
            <w:pPr>
              <w:pStyle w:val="ECDSBody"/>
            </w:pPr>
            <w:r w:rsidRPr="005D4222">
              <w:t xml:space="preserve">Identify acute inpatient or observation stay discharges chronologically, including only the last discharge in each 31-day period. </w:t>
            </w:r>
          </w:p>
          <w:p w14:paraId="11604548" w14:textId="77777777" w:rsidR="00B55342" w:rsidRPr="005D4222" w:rsidRDefault="00B55342" w:rsidP="00A53E8C">
            <w:pPr>
              <w:pStyle w:val="Bullet"/>
            </w:pPr>
            <w:r w:rsidRPr="005D4222">
              <w:rPr>
                <w:i/>
                <w:iCs/>
              </w:rPr>
              <w:t>For example,</w:t>
            </w:r>
            <w:r w:rsidRPr="005D4222">
              <w:t xml:space="preserve"> consider the following events:</w:t>
            </w:r>
          </w:p>
          <w:p w14:paraId="354E9B4C" w14:textId="77777777" w:rsidR="00B55342" w:rsidRPr="005D4222" w:rsidRDefault="00B55342" w:rsidP="00507F99">
            <w:pPr>
              <w:pStyle w:val="Dash"/>
            </w:pPr>
            <w:r w:rsidRPr="005D4222">
              <w:t>Acute inpatient discharge: March 5.</w:t>
            </w:r>
          </w:p>
          <w:p w14:paraId="23A878AB" w14:textId="77777777" w:rsidR="00B55342" w:rsidRPr="005D4222" w:rsidRDefault="00B55342" w:rsidP="00507F99">
            <w:pPr>
              <w:pStyle w:val="Dash"/>
            </w:pPr>
            <w:r w:rsidRPr="005D4222">
              <w:t>Observation stay discharge: March 9.</w:t>
            </w:r>
          </w:p>
          <w:p w14:paraId="112A0B98" w14:textId="77777777" w:rsidR="00B55342" w:rsidRPr="005D4222" w:rsidRDefault="00B55342" w:rsidP="00507F99">
            <w:pPr>
              <w:pStyle w:val="Dash"/>
            </w:pPr>
            <w:r w:rsidRPr="005D4222">
              <w:t>Acute inpatient discharge: March 22.</w:t>
            </w:r>
          </w:p>
          <w:p w14:paraId="150B8709" w14:textId="77777777" w:rsidR="00B55342" w:rsidRPr="005D4222" w:rsidRDefault="00B55342" w:rsidP="00A53E8C">
            <w:pPr>
              <w:pStyle w:val="ECDSBody"/>
              <w:spacing w:before="80"/>
              <w:ind w:left="576"/>
            </w:pPr>
            <w:r w:rsidRPr="005D4222">
              <w:t>Include the acute inpatient discharge on March 22 as a denominator event. Exclude the discharges on March 5 and March 9.</w:t>
            </w:r>
          </w:p>
          <w:p w14:paraId="76481C50" w14:textId="77777777" w:rsidR="00B55342" w:rsidRPr="005D4222" w:rsidRDefault="00B55342" w:rsidP="00A53E8C">
            <w:pPr>
              <w:pStyle w:val="ECDSBody"/>
            </w:pPr>
            <w:r w:rsidRPr="005D4222">
              <w:t xml:space="preserve">For 31-day periods that include an eligible acute inpatient or observation stay discharge followed by an ED or urgent care visit, include only the acute inpatient or observation stay discharge. </w:t>
            </w:r>
          </w:p>
          <w:p w14:paraId="4773242B" w14:textId="77777777" w:rsidR="00B55342" w:rsidRPr="005D4222" w:rsidRDefault="00B55342" w:rsidP="00A53E8C">
            <w:pPr>
              <w:pStyle w:val="Bullet"/>
            </w:pPr>
            <w:r w:rsidRPr="005D4222">
              <w:rPr>
                <w:i/>
                <w:iCs/>
              </w:rPr>
              <w:lastRenderedPageBreak/>
              <w:t xml:space="preserve">For example, </w:t>
            </w:r>
            <w:r w:rsidRPr="005D4222">
              <w:t>consider the following events:</w:t>
            </w:r>
          </w:p>
          <w:p w14:paraId="273F703F" w14:textId="77777777" w:rsidR="00B55342" w:rsidRPr="005D4222" w:rsidRDefault="00B55342" w:rsidP="00F904F9">
            <w:pPr>
              <w:pStyle w:val="Dash"/>
            </w:pPr>
            <w:r w:rsidRPr="005D4222">
              <w:t>Acute inpatient discharge: March 5.</w:t>
            </w:r>
          </w:p>
          <w:p w14:paraId="47C1E692" w14:textId="77777777" w:rsidR="00B55342" w:rsidRPr="005D4222" w:rsidRDefault="00B55342" w:rsidP="00F904F9">
            <w:pPr>
              <w:pStyle w:val="Dash"/>
            </w:pPr>
            <w:r w:rsidRPr="005D4222">
              <w:t>ED visit: March 12.</w:t>
            </w:r>
          </w:p>
          <w:p w14:paraId="74B74607" w14:textId="77777777" w:rsidR="00B55342" w:rsidRPr="005D4222" w:rsidRDefault="00B55342" w:rsidP="00F904F9">
            <w:pPr>
              <w:pStyle w:val="Dash"/>
            </w:pPr>
            <w:r w:rsidRPr="005D4222">
              <w:t>Urgent care visit: March 20.</w:t>
            </w:r>
          </w:p>
          <w:p w14:paraId="36067653" w14:textId="77777777" w:rsidR="00B55342" w:rsidRPr="005D4222" w:rsidRDefault="00B55342" w:rsidP="00A53E8C">
            <w:pPr>
              <w:pStyle w:val="ECDSBody"/>
              <w:spacing w:before="80"/>
              <w:ind w:left="576"/>
            </w:pPr>
            <w:r w:rsidRPr="005D4222">
              <w:t>Include the acute inpatient discharge on March 5 as a denominator event. Exclude the ED visit on March 12 and urgent care visit on March 20.</w:t>
            </w:r>
          </w:p>
          <w:p w14:paraId="30F62AB1" w14:textId="77777777" w:rsidR="00B55342" w:rsidRPr="005D4222" w:rsidRDefault="00B55342" w:rsidP="00A53E8C">
            <w:pPr>
              <w:pStyle w:val="Note"/>
              <w:spacing w:after="80"/>
              <w:rPr>
                <w:rFonts w:cs="Arial"/>
                <w:i w:val="0"/>
              </w:rPr>
            </w:pPr>
            <w:r w:rsidRPr="005D4222">
              <w:rPr>
                <w:b/>
              </w:rPr>
              <w:t>Note:</w:t>
            </w:r>
            <w:r w:rsidRPr="005D4222">
              <w:t xml:space="preserve"> Removal of multiple episodes in a </w:t>
            </w:r>
            <w:r w:rsidRPr="005D4222">
              <w:rPr>
                <w:bCs/>
              </w:rPr>
              <w:t>31</w:t>
            </w:r>
            <w:r w:rsidRPr="005D4222">
              <w:t xml:space="preserve">-day period is based on eligible episode dates. Assess each episode for eligibility before removing multiple episodes in a </w:t>
            </w:r>
            <w:r w:rsidRPr="005D4222">
              <w:rPr>
                <w:bCs/>
              </w:rPr>
              <w:t>31</w:t>
            </w:r>
            <w:r w:rsidRPr="005D4222">
              <w:t>-day period.</w:t>
            </w:r>
          </w:p>
        </w:tc>
      </w:tr>
      <w:tr w:rsidR="00B55342" w:rsidRPr="005D4222" w14:paraId="164DFFD8" w14:textId="77777777" w:rsidTr="005A4B5D">
        <w:tc>
          <w:tcPr>
            <w:tcW w:w="224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1095D5E" w14:textId="77777777" w:rsidR="00B55342" w:rsidRPr="005D4222" w:rsidRDefault="00B55342" w:rsidP="00F904F9">
            <w:pPr>
              <w:pStyle w:val="ECDSMarginHead"/>
            </w:pPr>
            <w:r w:rsidRPr="005D4222">
              <w:lastRenderedPageBreak/>
              <w:t>Denominator exclusions</w:t>
            </w:r>
          </w:p>
        </w:tc>
        <w:tc>
          <w:tcPr>
            <w:tcW w:w="747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6F4FBAEF" w14:textId="77777777" w:rsidR="00B55342" w:rsidRPr="005D4222" w:rsidRDefault="00B55342" w:rsidP="00A53E8C">
            <w:pPr>
              <w:pStyle w:val="ECDSBody"/>
              <w:rPr>
                <w:rFonts w:cs="Segoe UI"/>
                <w:szCs w:val="18"/>
              </w:rPr>
            </w:pPr>
            <w:r w:rsidRPr="005D4222">
              <w:rPr>
                <w:b/>
                <w:bCs w:val="0"/>
              </w:rPr>
              <w:t>Persons with a date of death. </w:t>
            </w:r>
            <w:r w:rsidRPr="005D4222">
              <w:rPr>
                <w:b/>
                <w:bCs w:val="0"/>
              </w:rPr>
              <w:br/>
            </w:r>
            <w:r w:rsidRPr="005D4222">
              <w:t>Death in the measurement period, identified using data sources determined by the organization. Method and data sources are subject to review during the HEDIS audit. </w:t>
            </w:r>
          </w:p>
          <w:p w14:paraId="60C35038" w14:textId="77777777" w:rsidR="00B55342" w:rsidRPr="005D4222" w:rsidRDefault="00B55342" w:rsidP="00A53E8C">
            <w:pPr>
              <w:pStyle w:val="ECDSBody"/>
              <w:rPr>
                <w:rFonts w:eastAsia="Arial,Arial,Arial,Arial,Arial,A"/>
              </w:rPr>
            </w:pPr>
            <w:r w:rsidRPr="005D4222">
              <w:rPr>
                <w:rFonts w:eastAsia="Arial,Arial,Arial,Arial,Arial,A"/>
                <w:b/>
                <w:bCs w:val="0"/>
              </w:rPr>
              <w:t>Persons in hospice or using hospice services.</w:t>
            </w:r>
            <w:r w:rsidRPr="005D4222">
              <w:rPr>
                <w:rFonts w:eastAsia="Arial,Arial,Arial,Arial,Arial,A"/>
                <w:b/>
                <w:bCs w:val="0"/>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3FE955AD" w14:textId="77777777" w:rsidR="00B55342" w:rsidRPr="005D4222" w:rsidRDefault="00B55342" w:rsidP="00A53E8C">
            <w:pPr>
              <w:pStyle w:val="ECDSBody"/>
              <w:rPr>
                <w:color w:val="000000" w:themeColor="text1"/>
                <w:lang w:eastAsia="zh-CN"/>
              </w:rPr>
            </w:pPr>
            <w:r w:rsidRPr="005D4222">
              <w:rPr>
                <w:b/>
                <w:bCs w:val="0"/>
              </w:rPr>
              <w:t>Persons with a diagnosis of cystic fibrosis.</w:t>
            </w:r>
            <w:r w:rsidRPr="005D4222">
              <w:rPr>
                <w:b/>
                <w:bCs w:val="0"/>
              </w:rPr>
              <w:br/>
            </w:r>
            <w:r w:rsidRPr="005D4222">
              <w:t>Persons with a diagnosis of cystic fibrosis (</w:t>
            </w:r>
            <w:r w:rsidRPr="005D4222">
              <w:rPr>
                <w:u w:val="single"/>
              </w:rPr>
              <w:t>Cystic Fibrosis Value Set</w:t>
            </w:r>
            <w:r w:rsidRPr="005D4222">
              <w:t>*) at any time in the person’s history through the last day of the measurement period.</w:t>
            </w:r>
          </w:p>
          <w:p w14:paraId="7588A5CF" w14:textId="77777777" w:rsidR="00B55342" w:rsidRPr="005D4222" w:rsidRDefault="00B55342" w:rsidP="00A53E8C">
            <w:pPr>
              <w:pStyle w:val="ECDSBody"/>
            </w:pPr>
            <w:r w:rsidRPr="005D4222">
              <w:rPr>
                <w:b/>
                <w:bCs w:val="0"/>
              </w:rPr>
              <w:t xml:space="preserve">Coding Guidance </w:t>
            </w:r>
            <w:r w:rsidRPr="005D4222">
              <w:rPr>
                <w:b/>
                <w:bCs w:val="0"/>
              </w:rPr>
              <w:br/>
            </w:r>
            <w:r w:rsidRPr="005D4222">
              <w:t>*Do not include laboratory claims (claims with POS code 81).</w:t>
            </w:r>
          </w:p>
        </w:tc>
      </w:tr>
      <w:tr w:rsidR="00B55342" w:rsidRPr="005D4222" w14:paraId="26EE670E" w14:textId="77777777" w:rsidTr="005A4B5D">
        <w:trPr>
          <w:trHeight w:val="417"/>
        </w:trPr>
        <w:tc>
          <w:tcPr>
            <w:tcW w:w="224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95CCEDF" w14:textId="77777777" w:rsidR="00B55342" w:rsidRPr="005D4222" w:rsidRDefault="00B55342" w:rsidP="00F904F9">
            <w:pPr>
              <w:pStyle w:val="ECDSMarginHead"/>
            </w:pPr>
            <w:r w:rsidRPr="005D4222">
              <w:t>Denominator</w:t>
            </w:r>
          </w:p>
        </w:tc>
        <w:tc>
          <w:tcPr>
            <w:tcW w:w="747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8790CD8" w14:textId="77777777" w:rsidR="00B55342" w:rsidRPr="005D4222" w:rsidRDefault="00B55342" w:rsidP="00A53E8C">
            <w:pPr>
              <w:pStyle w:val="ECDSBody"/>
              <w:rPr>
                <w:b/>
              </w:rPr>
            </w:pPr>
            <w:r w:rsidRPr="005D4222">
              <w:rPr>
                <w:rFonts w:eastAsia="Arial,Arial,Arial,Arial,Arial,A"/>
              </w:rPr>
              <w:t>The initial population minus denominator exclusions.</w:t>
            </w:r>
          </w:p>
        </w:tc>
      </w:tr>
      <w:tr w:rsidR="00B55342" w:rsidRPr="005D4222" w14:paraId="25C39EAD" w14:textId="77777777" w:rsidTr="005A4B5D">
        <w:trPr>
          <w:trHeight w:val="417"/>
        </w:trPr>
        <w:tc>
          <w:tcPr>
            <w:tcW w:w="224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2F43A7C" w14:textId="77777777" w:rsidR="00B55342" w:rsidRPr="005D4222" w:rsidRDefault="00B55342" w:rsidP="00F904F9">
            <w:pPr>
              <w:pStyle w:val="ECDSMarginHead"/>
            </w:pPr>
            <w:r w:rsidRPr="005D4222">
              <w:t>Numerator</w:t>
            </w:r>
          </w:p>
        </w:tc>
        <w:tc>
          <w:tcPr>
            <w:tcW w:w="747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0E747BF2" w14:textId="77777777" w:rsidR="00B55342" w:rsidRPr="005D4222" w:rsidRDefault="00B55342" w:rsidP="00A53E8C">
            <w:pPr>
              <w:pStyle w:val="ECDSBody"/>
            </w:pPr>
            <w:r w:rsidRPr="005D4222">
              <w:rPr>
                <w:b/>
                <w:bCs w:val="0"/>
              </w:rPr>
              <w:t>30-day follow-up.</w:t>
            </w:r>
            <w:r w:rsidRPr="005D4222">
              <w:rPr>
                <w:b/>
                <w:bCs w:val="0"/>
              </w:rPr>
              <w:br/>
            </w:r>
            <w:r w:rsidRPr="005D4222">
              <w:t>An outpatient visit, telephone visit, e-visit or virtual check-in (</w:t>
            </w:r>
            <w:r w:rsidRPr="005D4222">
              <w:rPr>
                <w:u w:val="single"/>
              </w:rPr>
              <w:t>Outpatient and Telehealth Value Set</w:t>
            </w:r>
            <w:r w:rsidRPr="005D4222">
              <w:t>) with a diagnosis of asthma (</w:t>
            </w:r>
            <w:r w:rsidRPr="005D4222">
              <w:rPr>
                <w:u w:val="single"/>
              </w:rPr>
              <w:t>Asthma Value Set</w:t>
            </w:r>
            <w:r w:rsidRPr="005D4222">
              <w:t>) within 30 days after the asthma episode. Do not include visits that occur on the same day as the asthma episode. Do not include services provided in an urgent care setting (POS code 20).</w:t>
            </w:r>
          </w:p>
        </w:tc>
      </w:tr>
      <w:tr w:rsidR="00B55342" w:rsidRPr="005D4222" w14:paraId="6DB556AA" w14:textId="77777777" w:rsidTr="005A4B5D">
        <w:tc>
          <w:tcPr>
            <w:tcW w:w="224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CAB0952" w14:textId="77777777" w:rsidR="00B55342" w:rsidRPr="005D4222" w:rsidRDefault="00B55342" w:rsidP="00F904F9">
            <w:pPr>
              <w:pStyle w:val="ECDSMarginHead"/>
            </w:pPr>
            <w:r w:rsidRPr="005D4222">
              <w:t>Summary of changes</w:t>
            </w:r>
          </w:p>
        </w:tc>
        <w:tc>
          <w:tcPr>
            <w:tcW w:w="747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8916AA7" w14:textId="77777777" w:rsidR="00B55342" w:rsidRPr="005D4222" w:rsidRDefault="00B55342" w:rsidP="005D6173">
            <w:pPr>
              <w:pStyle w:val="ProcessBullet"/>
              <w:numPr>
                <w:ilvl w:val="0"/>
                <w:numId w:val="98"/>
              </w:numPr>
              <w:tabs>
                <w:tab w:val="left" w:pos="216"/>
              </w:tabs>
              <w:spacing w:before="120"/>
              <w:ind w:left="216" w:hanging="216"/>
            </w:pPr>
            <w:r w:rsidRPr="005D4222">
              <w:t xml:space="preserve">This is a first-year measure. </w:t>
            </w:r>
          </w:p>
        </w:tc>
      </w:tr>
      <w:tr w:rsidR="00B55342" w:rsidRPr="005D4222" w14:paraId="4CA62049" w14:textId="77777777" w:rsidTr="005A4B5D">
        <w:trPr>
          <w:trHeight w:val="45"/>
        </w:trPr>
        <w:tc>
          <w:tcPr>
            <w:tcW w:w="224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0CABB55" w14:textId="77777777" w:rsidR="00B55342" w:rsidRPr="005D4222" w:rsidRDefault="00B55342" w:rsidP="00F904F9">
            <w:pPr>
              <w:pStyle w:val="ECDSMarginHead"/>
            </w:pPr>
            <w:r w:rsidRPr="005D4222">
              <w:t>Data element tables</w:t>
            </w:r>
          </w:p>
        </w:tc>
        <w:tc>
          <w:tcPr>
            <w:tcW w:w="747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96CC3F4" w14:textId="0F0FCBA4" w:rsidR="00B55342" w:rsidRPr="005D4222" w:rsidRDefault="00B55342" w:rsidP="005A4B5D">
            <w:pPr>
              <w:pStyle w:val="ECDSBody"/>
            </w:pPr>
            <w:r w:rsidRPr="005D4222">
              <w:t xml:space="preserve">Organizations that submit HEDIS data to NCQA must provide the following data elements. </w:t>
            </w:r>
          </w:p>
        </w:tc>
      </w:tr>
    </w:tbl>
    <w:p w14:paraId="6C0419E8" w14:textId="26882F8E" w:rsidR="005A4B5D" w:rsidRPr="005D4222" w:rsidRDefault="005A4B5D"/>
    <w:p w14:paraId="51951CAC" w14:textId="77777777" w:rsidR="005A4B5D" w:rsidRPr="005D4222" w:rsidRDefault="005A4B5D">
      <w:r w:rsidRPr="005D4222">
        <w:br w:type="page"/>
      </w:r>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247"/>
        <w:gridCol w:w="7470"/>
      </w:tblGrid>
      <w:tr w:rsidR="005A4B5D" w:rsidRPr="005D4222" w14:paraId="15B02208" w14:textId="77777777" w:rsidTr="005A4B5D">
        <w:trPr>
          <w:trHeight w:val="45"/>
        </w:trPr>
        <w:tc>
          <w:tcPr>
            <w:tcW w:w="224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3AFA2FE" w14:textId="77777777" w:rsidR="005A4B5D" w:rsidRPr="005D4222" w:rsidRDefault="005A4B5D" w:rsidP="00F8224A">
            <w:pPr>
              <w:pStyle w:val="ECDSMarginHead"/>
            </w:pPr>
          </w:p>
        </w:tc>
        <w:tc>
          <w:tcPr>
            <w:tcW w:w="747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4F8AE64" w14:textId="4393902C" w:rsidR="005A4B5D" w:rsidRPr="005D4222" w:rsidRDefault="005A4B5D" w:rsidP="005A4B5D">
            <w:pPr>
              <w:pStyle w:val="Heading3"/>
              <w:spacing w:before="120"/>
            </w:pPr>
            <w:r w:rsidRPr="005D4222">
              <w:t>Table AAF-E-1/2: Data Elements for Follow-Up After Acute</w:t>
            </w:r>
            <w:r w:rsidR="003535DF" w:rsidRPr="005D4222">
              <w:t xml:space="preserve"> and Urgent</w:t>
            </w:r>
            <w:r w:rsidRPr="005D4222">
              <w:t xml:space="preserve"> Care Visits for Asthma</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84"/>
              <w:gridCol w:w="860"/>
              <w:gridCol w:w="1800"/>
              <w:gridCol w:w="1458"/>
              <w:gridCol w:w="1886"/>
            </w:tblGrid>
            <w:tr w:rsidR="005A4B5D" w:rsidRPr="005D4222" w14:paraId="7E28CD88" w14:textId="77777777" w:rsidTr="005A4B5D">
              <w:tc>
                <w:tcPr>
                  <w:tcW w:w="1348"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tcMar>
                    <w:left w:w="43" w:type="dxa"/>
                    <w:right w:w="43" w:type="dxa"/>
                  </w:tcMar>
                  <w:vAlign w:val="bottom"/>
                </w:tcPr>
                <w:p w14:paraId="2346DF1A" w14:textId="77777777" w:rsidR="005A4B5D" w:rsidRPr="005D4222" w:rsidRDefault="005A4B5D" w:rsidP="005A4B5D">
                  <w:pPr>
                    <w:pStyle w:val="TableHead"/>
                  </w:pPr>
                  <w:r w:rsidRPr="005D4222">
                    <w:t>Metric</w:t>
                  </w:r>
                </w:p>
              </w:tc>
              <w:tc>
                <w:tcPr>
                  <w:tcW w:w="90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43" w:type="dxa"/>
                    <w:right w:w="43" w:type="dxa"/>
                  </w:tcMar>
                  <w:vAlign w:val="bottom"/>
                </w:tcPr>
                <w:p w14:paraId="70E99D14" w14:textId="77777777" w:rsidR="005A4B5D" w:rsidRPr="005D4222" w:rsidRDefault="005A4B5D" w:rsidP="005A4B5D">
                  <w:pPr>
                    <w:pStyle w:val="TableHead"/>
                  </w:pPr>
                  <w:r w:rsidRPr="005D4222">
                    <w:t>Age</w:t>
                  </w:r>
                </w:p>
              </w:tc>
              <w:tc>
                <w:tcPr>
                  <w:tcW w:w="189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43" w:type="dxa"/>
                    <w:right w:w="43" w:type="dxa"/>
                  </w:tcMar>
                  <w:vAlign w:val="bottom"/>
                </w:tcPr>
                <w:p w14:paraId="4D3C0C67" w14:textId="77777777" w:rsidR="005A4B5D" w:rsidRPr="005D4222" w:rsidRDefault="005A4B5D" w:rsidP="005A4B5D">
                  <w:pPr>
                    <w:pStyle w:val="TableHead"/>
                  </w:pPr>
                  <w:r w:rsidRPr="005D4222">
                    <w:t>Diagnosis</w:t>
                  </w:r>
                </w:p>
              </w:tc>
              <w:tc>
                <w:tcPr>
                  <w:tcW w:w="153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43" w:type="dxa"/>
                    <w:right w:w="43" w:type="dxa"/>
                  </w:tcMar>
                  <w:vAlign w:val="bottom"/>
                </w:tcPr>
                <w:p w14:paraId="13B49E84" w14:textId="77777777" w:rsidR="005A4B5D" w:rsidRPr="005D4222" w:rsidRDefault="005A4B5D" w:rsidP="005A4B5D">
                  <w:pPr>
                    <w:pStyle w:val="TableHead"/>
                  </w:pPr>
                  <w:r w:rsidRPr="005D4222">
                    <w:t>Data Element</w:t>
                  </w:r>
                </w:p>
              </w:tc>
              <w:tc>
                <w:tcPr>
                  <w:tcW w:w="1981"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tcMar>
                    <w:left w:w="43" w:type="dxa"/>
                    <w:right w:w="43" w:type="dxa"/>
                  </w:tcMar>
                  <w:vAlign w:val="bottom"/>
                </w:tcPr>
                <w:p w14:paraId="1331F24A" w14:textId="77777777" w:rsidR="005A4B5D" w:rsidRPr="005D4222" w:rsidRDefault="005A4B5D" w:rsidP="005A4B5D">
                  <w:pPr>
                    <w:pStyle w:val="TableHead"/>
                  </w:pPr>
                  <w:r w:rsidRPr="005D4222">
                    <w:t>Reporting Instructions</w:t>
                  </w:r>
                </w:p>
              </w:tc>
            </w:tr>
            <w:tr w:rsidR="005A4B5D" w:rsidRPr="005D4222" w14:paraId="2FED9812" w14:textId="77777777" w:rsidTr="005A4B5D">
              <w:tc>
                <w:tcPr>
                  <w:tcW w:w="1348" w:type="dxa"/>
                  <w:tcBorders>
                    <w:top w:val="single" w:sz="4" w:space="0" w:color="000000" w:themeColor="text1"/>
                    <w:left w:val="single" w:sz="4" w:space="0" w:color="auto"/>
                    <w:bottom w:val="single" w:sz="4" w:space="0" w:color="auto"/>
                    <w:right w:val="single" w:sz="4" w:space="0" w:color="auto"/>
                  </w:tcBorders>
                  <w:tcMar>
                    <w:left w:w="43" w:type="dxa"/>
                    <w:right w:w="43" w:type="dxa"/>
                  </w:tcMar>
                </w:tcPr>
                <w:p w14:paraId="7E61D3A3" w14:textId="77777777" w:rsidR="005A4B5D" w:rsidRPr="005D4222" w:rsidRDefault="005A4B5D" w:rsidP="005A4B5D">
                  <w:pPr>
                    <w:pStyle w:val="TableText"/>
                  </w:pPr>
                  <w:r w:rsidRPr="005D4222">
                    <w:t>FollowUpVisit</w:t>
                  </w:r>
                </w:p>
              </w:tc>
              <w:tc>
                <w:tcPr>
                  <w:tcW w:w="900" w:type="dxa"/>
                  <w:tcBorders>
                    <w:top w:val="single" w:sz="4" w:space="0" w:color="000000" w:themeColor="text1"/>
                    <w:left w:val="single" w:sz="4" w:space="0" w:color="auto"/>
                    <w:bottom w:val="single" w:sz="4" w:space="0" w:color="auto"/>
                    <w:right w:val="single" w:sz="4" w:space="0" w:color="auto"/>
                  </w:tcBorders>
                  <w:tcMar>
                    <w:left w:w="43" w:type="dxa"/>
                    <w:right w:w="43" w:type="dxa"/>
                  </w:tcMar>
                </w:tcPr>
                <w:p w14:paraId="0A011086" w14:textId="77777777" w:rsidR="005A4B5D" w:rsidRPr="005D4222" w:rsidRDefault="005A4B5D" w:rsidP="005A4B5D">
                  <w:pPr>
                    <w:pStyle w:val="TableText"/>
                  </w:pPr>
                  <w:r w:rsidRPr="005D4222">
                    <w:t>5-11</w:t>
                  </w:r>
                </w:p>
              </w:tc>
              <w:tc>
                <w:tcPr>
                  <w:tcW w:w="1890" w:type="dxa"/>
                  <w:tcBorders>
                    <w:top w:val="single" w:sz="4" w:space="0" w:color="auto"/>
                    <w:left w:val="single" w:sz="4" w:space="0" w:color="auto"/>
                    <w:bottom w:val="single" w:sz="4" w:space="0" w:color="auto"/>
                    <w:right w:val="single" w:sz="4" w:space="0" w:color="auto"/>
                  </w:tcBorders>
                  <w:shd w:val="clear" w:color="auto" w:fill="FFFFFF" w:themeFill="background1"/>
                  <w:tcMar>
                    <w:left w:w="43" w:type="dxa"/>
                    <w:right w:w="43" w:type="dxa"/>
                  </w:tcMar>
                </w:tcPr>
                <w:p w14:paraId="65E3A557" w14:textId="77777777" w:rsidR="005A4B5D" w:rsidRPr="005D4222" w:rsidRDefault="005A4B5D" w:rsidP="005A4B5D">
                  <w:pPr>
                    <w:pStyle w:val="TableText"/>
                  </w:pPr>
                  <w:r w:rsidRPr="005D4222">
                    <w:t>COPDDiagnosed</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Mar>
                    <w:left w:w="43" w:type="dxa"/>
                    <w:right w:w="43" w:type="dxa"/>
                  </w:tcMar>
                </w:tcPr>
                <w:p w14:paraId="694AF171" w14:textId="77777777" w:rsidR="005A4B5D" w:rsidRPr="005D4222" w:rsidRDefault="005A4B5D" w:rsidP="005A4B5D">
                  <w:pPr>
                    <w:pStyle w:val="TableText"/>
                  </w:pPr>
                  <w:r w:rsidRPr="005D4222">
                    <w:t>InitialPopulation</w:t>
                  </w:r>
                </w:p>
              </w:tc>
              <w:tc>
                <w:tcPr>
                  <w:tcW w:w="1981" w:type="dxa"/>
                  <w:tcBorders>
                    <w:top w:val="single" w:sz="4" w:space="0" w:color="000000" w:themeColor="text1"/>
                    <w:left w:val="single" w:sz="4" w:space="0" w:color="auto"/>
                    <w:bottom w:val="single" w:sz="6" w:space="0" w:color="auto"/>
                    <w:right w:val="single" w:sz="4" w:space="0" w:color="auto"/>
                  </w:tcBorders>
                  <w:tcMar>
                    <w:left w:w="43" w:type="dxa"/>
                    <w:right w:w="43" w:type="dxa"/>
                  </w:tcMar>
                </w:tcPr>
                <w:p w14:paraId="7B1D5909" w14:textId="77777777" w:rsidR="005A4B5D" w:rsidRPr="005D4222" w:rsidRDefault="005A4B5D" w:rsidP="005A4B5D">
                  <w:pPr>
                    <w:pStyle w:val="TableText"/>
                    <w:rPr>
                      <w:rFonts w:eastAsia="Wingdings"/>
                    </w:rPr>
                  </w:pPr>
                  <w:r w:rsidRPr="005D4222">
                    <w:rPr>
                      <w:rFonts w:eastAsia="Wingdings"/>
                    </w:rPr>
                    <w:t>For each Stratification</w:t>
                  </w:r>
                </w:p>
              </w:tc>
            </w:tr>
            <w:tr w:rsidR="005A4B5D" w:rsidRPr="005D4222" w14:paraId="476BF3E1" w14:textId="77777777" w:rsidTr="005A4B5D">
              <w:tc>
                <w:tcPr>
                  <w:tcW w:w="1348" w:type="dxa"/>
                  <w:tcBorders>
                    <w:top w:val="single" w:sz="4" w:space="0" w:color="auto"/>
                    <w:left w:val="nil"/>
                    <w:bottom w:val="nil"/>
                    <w:right w:val="single" w:sz="4" w:space="0" w:color="auto"/>
                  </w:tcBorders>
                  <w:shd w:val="clear" w:color="auto" w:fill="FFFFFF" w:themeFill="background1"/>
                  <w:tcMar>
                    <w:left w:w="43" w:type="dxa"/>
                    <w:right w:w="43" w:type="dxa"/>
                  </w:tcMar>
                </w:tcPr>
                <w:p w14:paraId="48EFB04C" w14:textId="77777777" w:rsidR="005A4B5D" w:rsidRPr="005D4222" w:rsidRDefault="005A4B5D" w:rsidP="005A4B5D">
                  <w:pPr>
                    <w:pStyle w:val="TableText"/>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left w:w="43" w:type="dxa"/>
                    <w:right w:w="43" w:type="dxa"/>
                  </w:tcMar>
                </w:tcPr>
                <w:p w14:paraId="2E4B3192" w14:textId="77777777" w:rsidR="005A4B5D" w:rsidRPr="005D4222" w:rsidRDefault="005A4B5D" w:rsidP="005A4B5D">
                  <w:pPr>
                    <w:pStyle w:val="TableText"/>
                  </w:pPr>
                  <w:r w:rsidRPr="005D4222">
                    <w:t>12-17</w:t>
                  </w:r>
                </w:p>
              </w:tc>
              <w:tc>
                <w:tcPr>
                  <w:tcW w:w="1890" w:type="dxa"/>
                  <w:tcBorders>
                    <w:top w:val="single" w:sz="4" w:space="0" w:color="auto"/>
                    <w:left w:val="single" w:sz="4" w:space="0" w:color="auto"/>
                    <w:bottom w:val="single" w:sz="4" w:space="0" w:color="auto"/>
                    <w:right w:val="single" w:sz="4" w:space="0" w:color="auto"/>
                  </w:tcBorders>
                  <w:shd w:val="clear" w:color="auto" w:fill="FFFFFF" w:themeFill="background1"/>
                  <w:tcMar>
                    <w:left w:w="43" w:type="dxa"/>
                    <w:right w:w="43" w:type="dxa"/>
                  </w:tcMar>
                </w:tcPr>
                <w:p w14:paraId="15B97F57" w14:textId="77777777" w:rsidR="005A4B5D" w:rsidRPr="005D4222" w:rsidDel="00477051" w:rsidRDefault="005A4B5D" w:rsidP="005A4B5D">
                  <w:pPr>
                    <w:pStyle w:val="TableText"/>
                  </w:pPr>
                  <w:r w:rsidRPr="005D4222">
                    <w:t>COPDNotDiagnosed</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Mar>
                    <w:left w:w="43" w:type="dxa"/>
                    <w:right w:w="43" w:type="dxa"/>
                  </w:tcMar>
                </w:tcPr>
                <w:p w14:paraId="0856E328" w14:textId="77777777" w:rsidR="005A4B5D" w:rsidRPr="005D4222" w:rsidRDefault="005A4B5D" w:rsidP="005A4B5D">
                  <w:pPr>
                    <w:pStyle w:val="TableText"/>
                  </w:pPr>
                  <w:r w:rsidRPr="005D4222">
                    <w:t>Exclusions</w:t>
                  </w:r>
                </w:p>
              </w:tc>
              <w:tc>
                <w:tcPr>
                  <w:tcW w:w="1981" w:type="dxa"/>
                  <w:tcBorders>
                    <w:left w:val="single" w:sz="4" w:space="0" w:color="auto"/>
                    <w:right w:val="single" w:sz="4" w:space="0" w:color="auto"/>
                  </w:tcBorders>
                  <w:shd w:val="clear" w:color="auto" w:fill="FFFFFF" w:themeFill="background1"/>
                  <w:tcMar>
                    <w:left w:w="43" w:type="dxa"/>
                    <w:right w:w="43" w:type="dxa"/>
                  </w:tcMar>
                </w:tcPr>
                <w:p w14:paraId="08553201" w14:textId="77777777" w:rsidR="005A4B5D" w:rsidRPr="005D4222" w:rsidRDefault="005A4B5D" w:rsidP="005A4B5D">
                  <w:pPr>
                    <w:pStyle w:val="TableText"/>
                    <w:rPr>
                      <w:rFonts w:eastAsia="Wingdings"/>
                    </w:rPr>
                  </w:pPr>
                  <w:r w:rsidRPr="005D4222">
                    <w:rPr>
                      <w:rFonts w:eastAsia="Wingdings"/>
                    </w:rPr>
                    <w:t>For each Stratification</w:t>
                  </w:r>
                </w:p>
              </w:tc>
            </w:tr>
            <w:tr w:rsidR="005A4B5D" w:rsidRPr="005D4222" w14:paraId="4133A162" w14:textId="77777777" w:rsidTr="005A4B5D">
              <w:tc>
                <w:tcPr>
                  <w:tcW w:w="1348" w:type="dxa"/>
                  <w:tcBorders>
                    <w:top w:val="nil"/>
                    <w:left w:val="nil"/>
                    <w:bottom w:val="nil"/>
                    <w:right w:val="single" w:sz="4" w:space="0" w:color="auto"/>
                  </w:tcBorders>
                  <w:shd w:val="clear" w:color="auto" w:fill="FFFFFF" w:themeFill="background1"/>
                  <w:tcMar>
                    <w:left w:w="43" w:type="dxa"/>
                    <w:right w:w="43" w:type="dxa"/>
                  </w:tcMar>
                </w:tcPr>
                <w:p w14:paraId="1377DC54" w14:textId="77777777" w:rsidR="005A4B5D" w:rsidRPr="005D4222" w:rsidRDefault="005A4B5D" w:rsidP="005A4B5D">
                  <w:pPr>
                    <w:pStyle w:val="TableText"/>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left w:w="43" w:type="dxa"/>
                    <w:right w:w="43" w:type="dxa"/>
                  </w:tcMar>
                </w:tcPr>
                <w:p w14:paraId="784C30F8" w14:textId="77777777" w:rsidR="005A4B5D" w:rsidRPr="005D4222" w:rsidRDefault="005A4B5D" w:rsidP="005A4B5D">
                  <w:pPr>
                    <w:pStyle w:val="TableText"/>
                  </w:pPr>
                  <w:r w:rsidRPr="005D4222">
                    <w:t>18-50</w:t>
                  </w:r>
                </w:p>
              </w:tc>
              <w:tc>
                <w:tcPr>
                  <w:tcW w:w="1890" w:type="dxa"/>
                  <w:tcBorders>
                    <w:top w:val="single" w:sz="4" w:space="0" w:color="auto"/>
                    <w:left w:val="single" w:sz="4" w:space="0" w:color="auto"/>
                    <w:bottom w:val="nil"/>
                    <w:right w:val="single" w:sz="4" w:space="0" w:color="auto"/>
                  </w:tcBorders>
                  <w:tcMar>
                    <w:left w:w="43" w:type="dxa"/>
                    <w:right w:w="43" w:type="dxa"/>
                  </w:tcMar>
                </w:tcPr>
                <w:p w14:paraId="1DFF8B9D" w14:textId="77777777" w:rsidR="005A4B5D" w:rsidRPr="005D4222" w:rsidRDefault="005A4B5D" w:rsidP="005A4B5D">
                  <w:pPr>
                    <w:pStyle w:val="TableText"/>
                  </w:pP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Mar>
                    <w:left w:w="43" w:type="dxa"/>
                    <w:right w:w="43" w:type="dxa"/>
                  </w:tcMar>
                </w:tcPr>
                <w:p w14:paraId="6F9BC0B4" w14:textId="77777777" w:rsidR="005A4B5D" w:rsidRPr="005D4222" w:rsidRDefault="005A4B5D" w:rsidP="005A4B5D">
                  <w:pPr>
                    <w:pStyle w:val="TableText"/>
                  </w:pPr>
                  <w:r w:rsidRPr="005D4222">
                    <w:t>Denominator</w:t>
                  </w:r>
                </w:p>
              </w:tc>
              <w:tc>
                <w:tcPr>
                  <w:tcW w:w="1981" w:type="dxa"/>
                  <w:tcBorders>
                    <w:left w:val="single" w:sz="4" w:space="0" w:color="auto"/>
                    <w:right w:val="single" w:sz="4" w:space="0" w:color="auto"/>
                  </w:tcBorders>
                  <w:shd w:val="clear" w:color="auto" w:fill="FFFFFF" w:themeFill="background1"/>
                  <w:tcMar>
                    <w:left w:w="43" w:type="dxa"/>
                    <w:right w:w="43" w:type="dxa"/>
                  </w:tcMar>
                </w:tcPr>
                <w:p w14:paraId="453C9BD9" w14:textId="77777777" w:rsidR="005A4B5D" w:rsidRPr="005D4222" w:rsidRDefault="005A4B5D" w:rsidP="005A4B5D">
                  <w:pPr>
                    <w:pStyle w:val="TableText"/>
                    <w:rPr>
                      <w:rFonts w:eastAsia="Wingdings"/>
                    </w:rPr>
                  </w:pPr>
                  <w:r w:rsidRPr="005D4222">
                    <w:rPr>
                      <w:rFonts w:eastAsia="Wingdings"/>
                    </w:rPr>
                    <w:t>For each Stratification</w:t>
                  </w:r>
                </w:p>
              </w:tc>
            </w:tr>
            <w:tr w:rsidR="005A4B5D" w:rsidRPr="005D4222" w14:paraId="699E5ECD" w14:textId="77777777" w:rsidTr="005A4B5D">
              <w:tc>
                <w:tcPr>
                  <w:tcW w:w="1348" w:type="dxa"/>
                  <w:tcBorders>
                    <w:top w:val="nil"/>
                    <w:left w:val="nil"/>
                    <w:bottom w:val="nil"/>
                    <w:right w:val="single" w:sz="4" w:space="0" w:color="auto"/>
                  </w:tcBorders>
                  <w:shd w:val="clear" w:color="auto" w:fill="FFFFFF" w:themeFill="background1"/>
                  <w:tcMar>
                    <w:left w:w="43" w:type="dxa"/>
                    <w:right w:w="43" w:type="dxa"/>
                  </w:tcMar>
                </w:tcPr>
                <w:p w14:paraId="74C3065D" w14:textId="77777777" w:rsidR="005A4B5D" w:rsidRPr="005D4222" w:rsidRDefault="005A4B5D" w:rsidP="005A4B5D">
                  <w:pPr>
                    <w:pStyle w:val="TableText"/>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left w:w="43" w:type="dxa"/>
                    <w:right w:w="43" w:type="dxa"/>
                  </w:tcMar>
                </w:tcPr>
                <w:p w14:paraId="78D80ED9" w14:textId="77777777" w:rsidR="005A4B5D" w:rsidRPr="005D4222" w:rsidRDefault="005A4B5D" w:rsidP="005A4B5D">
                  <w:pPr>
                    <w:pStyle w:val="TableText"/>
                  </w:pPr>
                  <w:r w:rsidRPr="005D4222">
                    <w:t>51-64</w:t>
                  </w:r>
                </w:p>
              </w:tc>
              <w:tc>
                <w:tcPr>
                  <w:tcW w:w="1890" w:type="dxa"/>
                  <w:tcBorders>
                    <w:top w:val="nil"/>
                    <w:left w:val="single" w:sz="4" w:space="0" w:color="auto"/>
                    <w:bottom w:val="nil"/>
                    <w:right w:val="single" w:sz="4" w:space="0" w:color="auto"/>
                  </w:tcBorders>
                  <w:tcMar>
                    <w:left w:w="43" w:type="dxa"/>
                    <w:right w:w="43" w:type="dxa"/>
                  </w:tcMar>
                </w:tcPr>
                <w:p w14:paraId="13BE9EC9" w14:textId="77777777" w:rsidR="005A4B5D" w:rsidRPr="005D4222" w:rsidRDefault="005A4B5D" w:rsidP="005A4B5D">
                  <w:pPr>
                    <w:pStyle w:val="TableText"/>
                  </w:pP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Mar>
                    <w:left w:w="43" w:type="dxa"/>
                    <w:right w:w="43" w:type="dxa"/>
                  </w:tcMar>
                </w:tcPr>
                <w:p w14:paraId="12DE338E" w14:textId="77777777" w:rsidR="005A4B5D" w:rsidRPr="005D4222" w:rsidRDefault="005A4B5D" w:rsidP="005A4B5D">
                  <w:pPr>
                    <w:pStyle w:val="TableText"/>
                  </w:pPr>
                  <w:r w:rsidRPr="005D4222">
                    <w:t>Numerator</w:t>
                  </w:r>
                </w:p>
              </w:tc>
              <w:tc>
                <w:tcPr>
                  <w:tcW w:w="1981" w:type="dxa"/>
                  <w:tcBorders>
                    <w:left w:val="single" w:sz="4" w:space="0" w:color="auto"/>
                    <w:bottom w:val="single" w:sz="6" w:space="0" w:color="auto"/>
                    <w:right w:val="single" w:sz="4" w:space="0" w:color="auto"/>
                  </w:tcBorders>
                  <w:shd w:val="clear" w:color="auto" w:fill="FFFFFF" w:themeFill="background1"/>
                  <w:tcMar>
                    <w:left w:w="43" w:type="dxa"/>
                    <w:right w:w="43" w:type="dxa"/>
                  </w:tcMar>
                </w:tcPr>
                <w:p w14:paraId="716C7A57" w14:textId="77777777" w:rsidR="005A4B5D" w:rsidRPr="005D4222" w:rsidRDefault="005A4B5D" w:rsidP="005A4B5D">
                  <w:pPr>
                    <w:pStyle w:val="TableText"/>
                    <w:rPr>
                      <w:rFonts w:eastAsia="Wingdings"/>
                    </w:rPr>
                  </w:pPr>
                  <w:r w:rsidRPr="005D4222">
                    <w:rPr>
                      <w:rFonts w:eastAsia="Wingdings"/>
                    </w:rPr>
                    <w:t>For each Stratification</w:t>
                  </w:r>
                </w:p>
              </w:tc>
            </w:tr>
            <w:tr w:rsidR="005A4B5D" w:rsidRPr="005D4222" w14:paraId="45F362B6" w14:textId="77777777" w:rsidTr="005A4B5D">
              <w:tc>
                <w:tcPr>
                  <w:tcW w:w="1348" w:type="dxa"/>
                  <w:tcBorders>
                    <w:top w:val="nil"/>
                    <w:left w:val="nil"/>
                    <w:bottom w:val="nil"/>
                    <w:right w:val="nil"/>
                  </w:tcBorders>
                  <w:shd w:val="clear" w:color="auto" w:fill="FFFFFF" w:themeFill="background1"/>
                  <w:tcMar>
                    <w:left w:w="43" w:type="dxa"/>
                    <w:right w:w="43" w:type="dxa"/>
                  </w:tcMar>
                </w:tcPr>
                <w:p w14:paraId="7BA7E0C5" w14:textId="77777777" w:rsidR="005A4B5D" w:rsidRPr="005D4222" w:rsidRDefault="005A4B5D" w:rsidP="005A4B5D">
                  <w:pPr>
                    <w:pStyle w:val="TableText"/>
                  </w:pPr>
                </w:p>
              </w:tc>
              <w:tc>
                <w:tcPr>
                  <w:tcW w:w="9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43" w:type="dxa"/>
                    <w:right w:w="43" w:type="dxa"/>
                  </w:tcMar>
                </w:tcPr>
                <w:p w14:paraId="7266E0E5" w14:textId="77777777" w:rsidR="005A4B5D" w:rsidRPr="005D4222" w:rsidRDefault="005A4B5D" w:rsidP="005A4B5D">
                  <w:pPr>
                    <w:pStyle w:val="TableText"/>
                  </w:pPr>
                  <w:r w:rsidRPr="005D4222">
                    <w:t>Total</w:t>
                  </w:r>
                </w:p>
              </w:tc>
              <w:tc>
                <w:tcPr>
                  <w:tcW w:w="1890" w:type="dxa"/>
                  <w:tcBorders>
                    <w:top w:val="nil"/>
                    <w:left w:val="single" w:sz="4" w:space="0" w:color="auto"/>
                    <w:bottom w:val="nil"/>
                    <w:right w:val="single" w:sz="4" w:space="0" w:color="auto"/>
                  </w:tcBorders>
                  <w:tcMar>
                    <w:left w:w="43" w:type="dxa"/>
                    <w:right w:w="43" w:type="dxa"/>
                  </w:tcMar>
                </w:tcPr>
                <w:p w14:paraId="6FCEB0CB" w14:textId="77777777" w:rsidR="005A4B5D" w:rsidRPr="005D4222" w:rsidRDefault="005A4B5D" w:rsidP="005A4B5D">
                  <w:pPr>
                    <w:pStyle w:val="TableText"/>
                  </w:pP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43" w:type="dxa"/>
                    <w:right w:w="43" w:type="dxa"/>
                  </w:tcMar>
                </w:tcPr>
                <w:p w14:paraId="67614279" w14:textId="77777777" w:rsidR="005A4B5D" w:rsidRPr="005D4222" w:rsidRDefault="005A4B5D" w:rsidP="005A4B5D">
                  <w:pPr>
                    <w:pStyle w:val="TableText"/>
                    <w:rPr>
                      <w:highlight w:val="yellow"/>
                    </w:rPr>
                  </w:pPr>
                  <w:r w:rsidRPr="005D4222">
                    <w:t>Rate</w:t>
                  </w:r>
                </w:p>
              </w:tc>
              <w:tc>
                <w:tcPr>
                  <w:tcW w:w="1981" w:type="dxa"/>
                  <w:tcBorders>
                    <w:left w:val="single" w:sz="4" w:space="0" w:color="auto"/>
                    <w:bottom w:val="single" w:sz="6" w:space="0" w:color="auto"/>
                    <w:right w:val="single" w:sz="4" w:space="0" w:color="auto"/>
                  </w:tcBorders>
                  <w:shd w:val="clear" w:color="auto" w:fill="D9D9D9" w:themeFill="background1" w:themeFillShade="D9"/>
                  <w:tcMar>
                    <w:left w:w="43" w:type="dxa"/>
                    <w:right w:w="43" w:type="dxa"/>
                  </w:tcMar>
                </w:tcPr>
                <w:p w14:paraId="193FF6FF" w14:textId="77777777" w:rsidR="005A4B5D" w:rsidRPr="005D4222" w:rsidRDefault="005A4B5D" w:rsidP="005A4B5D">
                  <w:pPr>
                    <w:pStyle w:val="TableText"/>
                    <w:rPr>
                      <w:rFonts w:eastAsia="Wingdings"/>
                    </w:rPr>
                  </w:pPr>
                  <w:r w:rsidRPr="005D4222">
                    <w:rPr>
                      <w:rFonts w:eastAsia="Wingdings"/>
                    </w:rPr>
                    <w:t>(Percent)</w:t>
                  </w:r>
                </w:p>
              </w:tc>
            </w:tr>
          </w:tbl>
          <w:p w14:paraId="240CAF5C" w14:textId="77777777" w:rsidR="005A4B5D" w:rsidRPr="005D4222" w:rsidRDefault="005A4B5D" w:rsidP="00F8224A">
            <w:pPr>
              <w:pStyle w:val="Body"/>
              <w:spacing w:before="120"/>
              <w:rPr>
                <w:b/>
                <w:i/>
              </w:rPr>
            </w:pPr>
          </w:p>
        </w:tc>
      </w:tr>
      <w:tr w:rsidR="00B55342" w:rsidRPr="005D4222" w14:paraId="100B5F6E" w14:textId="77777777" w:rsidTr="005A4B5D">
        <w:trPr>
          <w:trHeight w:val="45"/>
        </w:trPr>
        <w:tc>
          <w:tcPr>
            <w:tcW w:w="224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C3176A6" w14:textId="77777777" w:rsidR="00B55342" w:rsidRPr="005D4222" w:rsidRDefault="00B55342" w:rsidP="00F8224A">
            <w:pPr>
              <w:pStyle w:val="ECDSMarginHead"/>
            </w:pPr>
            <w:r w:rsidRPr="005D4222">
              <w:t>Rules for Allowable Adjustments</w:t>
            </w:r>
          </w:p>
        </w:tc>
        <w:tc>
          <w:tcPr>
            <w:tcW w:w="747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0A187E3" w14:textId="77777777" w:rsidR="00B55342" w:rsidRPr="005D4222" w:rsidRDefault="00B55342" w:rsidP="00F8224A">
            <w:pPr>
              <w:pStyle w:val="Body"/>
              <w:spacing w:before="120"/>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3FE6D12D" w14:textId="77777777" w:rsidR="00B55342" w:rsidRPr="005D4222" w:rsidRDefault="00B55342" w:rsidP="00A53E8C">
            <w:pPr>
              <w:pStyle w:val="Body"/>
              <w:rPr>
                <w:b/>
              </w:rPr>
            </w:pPr>
            <w:r w:rsidRPr="005D4222">
              <w:rPr>
                <w:b/>
              </w:rPr>
              <w:t>Adjusted HEDIS measures may not be used for HEDIS health plan reporting.</w:t>
            </w:r>
          </w:p>
          <w:p w14:paraId="14F390A7" w14:textId="77777777" w:rsidR="00B55342" w:rsidRPr="005D4222" w:rsidRDefault="00B55342" w:rsidP="00A53E8C">
            <w:pPr>
              <w:pStyle w:val="Adjustments"/>
            </w:pPr>
            <w:r w:rsidRPr="005D4222">
              <w:t>Adjustments</w:t>
            </w:r>
            <w:r w:rsidRPr="005D4222">
              <w:rPr>
                <w:bCs/>
              </w:rPr>
              <w:t xml:space="preserve"> a</w:t>
            </w:r>
            <w:r w:rsidRPr="005D4222">
              <w:t>llowed</w:t>
            </w:r>
          </w:p>
          <w:p w14:paraId="5F012052" w14:textId="40246D10" w:rsidR="00B55342" w:rsidRPr="005D4222" w:rsidRDefault="00B55342" w:rsidP="005D6173">
            <w:pPr>
              <w:pStyle w:val="ProcessBullet"/>
              <w:numPr>
                <w:ilvl w:val="0"/>
                <w:numId w:val="98"/>
              </w:numPr>
              <w:tabs>
                <w:tab w:val="left" w:pos="216"/>
              </w:tabs>
              <w:ind w:left="216" w:hanging="216"/>
              <w:rPr>
                <w:b/>
              </w:rPr>
            </w:pPr>
            <w:r w:rsidRPr="005D4222">
              <w:rPr>
                <w:i/>
              </w:rPr>
              <w:t>Product lines</w:t>
            </w:r>
            <w:r w:rsidRPr="005D4222">
              <w:t xml:space="preserve">. </w:t>
            </w:r>
            <w:r w:rsidRPr="005D4222">
              <w:rPr>
                <w:rFonts w:eastAsia="Arial"/>
              </w:rPr>
              <w:t>Organizations are not required to use product line criteria; product lines may be combined</w:t>
            </w:r>
            <w:r w:rsidR="00E8671F" w:rsidRPr="005D4222">
              <w:rPr>
                <w:rFonts w:eastAsia="Arial"/>
              </w:rPr>
              <w:t>,</w:t>
            </w:r>
            <w:r w:rsidRPr="005D4222">
              <w:rPr>
                <w:rFonts w:eastAsia="Arial"/>
              </w:rPr>
              <w:t xml:space="preserve"> and all (or no) product line criteria may be used.</w:t>
            </w:r>
          </w:p>
          <w:p w14:paraId="4941D8D5" w14:textId="77777777" w:rsidR="00B55342" w:rsidRPr="005D4222" w:rsidRDefault="00B55342" w:rsidP="005D6173">
            <w:pPr>
              <w:pStyle w:val="ProcessBullet"/>
              <w:numPr>
                <w:ilvl w:val="0"/>
                <w:numId w:val="98"/>
              </w:numPr>
              <w:tabs>
                <w:tab w:val="left" w:pos="216"/>
              </w:tabs>
              <w:ind w:left="216" w:hanging="216"/>
              <w:rPr>
                <w:rFonts w:eastAsia="Arial"/>
                <w:i/>
              </w:rPr>
            </w:pPr>
            <w:r w:rsidRPr="005D4222">
              <w:rPr>
                <w:rFonts w:eastAsia="Arial"/>
                <w:i/>
              </w:rPr>
              <w:t xml:space="preserve">Attribution. </w:t>
            </w:r>
            <w:r w:rsidRPr="005D4222">
              <w:rPr>
                <w:rFonts w:eastAsia="Arial"/>
              </w:rPr>
              <w:t>Organizations are not required to use enrollment criteria.</w:t>
            </w:r>
          </w:p>
          <w:p w14:paraId="7E28448F" w14:textId="7EB5C718" w:rsidR="00B55342" w:rsidRPr="005D4222" w:rsidRDefault="00362E76" w:rsidP="005D6173">
            <w:pPr>
              <w:pStyle w:val="ProcessBullet"/>
              <w:numPr>
                <w:ilvl w:val="0"/>
                <w:numId w:val="98"/>
              </w:numPr>
              <w:tabs>
                <w:tab w:val="left" w:pos="216"/>
              </w:tabs>
              <w:ind w:left="216" w:hanging="216"/>
              <w:rPr>
                <w:b/>
                <w:bCs/>
                <w:color w:val="000000" w:themeColor="text1"/>
              </w:rPr>
            </w:pPr>
            <w:r w:rsidRPr="005D4222">
              <w:rPr>
                <w:i/>
              </w:rPr>
              <w:t>Benefits.</w:t>
            </w:r>
            <w:r w:rsidR="00B55342" w:rsidRPr="005D4222">
              <w:t xml:space="preserve"> Organizations are not required to use a benefit.</w:t>
            </w:r>
          </w:p>
          <w:p w14:paraId="69DB1257" w14:textId="694BAE40" w:rsidR="00B55342" w:rsidRPr="005D4222" w:rsidRDefault="00B55342" w:rsidP="005D6173">
            <w:pPr>
              <w:pStyle w:val="ProcessBullet"/>
              <w:numPr>
                <w:ilvl w:val="0"/>
                <w:numId w:val="98"/>
              </w:numPr>
              <w:tabs>
                <w:tab w:val="left" w:pos="216"/>
              </w:tabs>
              <w:ind w:left="216" w:hanging="216"/>
              <w:rPr>
                <w:rFonts w:eastAsia="Arial"/>
              </w:rPr>
            </w:pPr>
            <w:r w:rsidRPr="005D4222">
              <w:rPr>
                <w:rFonts w:eastAsia="Arial"/>
                <w:i/>
                <w:iCs/>
              </w:rPr>
              <w:t>Ages.</w:t>
            </w:r>
            <w:r w:rsidRPr="005D4222">
              <w:t xml:space="preserve"> </w:t>
            </w:r>
            <w:r w:rsidR="007419F9" w:rsidRPr="005D4222">
              <w:t>The denominator age range may be expanded. The age</w:t>
            </w:r>
            <w:r w:rsidR="007419F9" w:rsidRPr="005D4222">
              <w:rPr>
                <w:rFonts w:eastAsia="Arial"/>
              </w:rPr>
              <w:t xml:space="preserve"> determination dates may be changed (e.g., select</w:t>
            </w:r>
            <w:r w:rsidR="007419F9" w:rsidRPr="005D4222">
              <w:t>,</w:t>
            </w:r>
            <w:r w:rsidR="007419F9" w:rsidRPr="005D4222">
              <w:rPr>
                <w:rFonts w:eastAsia="Arial"/>
              </w:rPr>
              <w:t xml:space="preserve"> “age as of June 30”).</w:t>
            </w:r>
          </w:p>
          <w:p w14:paraId="145B7F21" w14:textId="1EF883D2" w:rsidR="00B55342" w:rsidRPr="005D4222" w:rsidRDefault="00B55342" w:rsidP="005D6173">
            <w:pPr>
              <w:pStyle w:val="ProcessBullet"/>
              <w:numPr>
                <w:ilvl w:val="0"/>
                <w:numId w:val="98"/>
              </w:numPr>
              <w:tabs>
                <w:tab w:val="left" w:pos="216"/>
              </w:tabs>
              <w:ind w:left="216" w:hanging="216"/>
              <w:rPr>
                <w:b/>
                <w:bCs/>
                <w:color w:val="000000" w:themeColor="text1"/>
              </w:rPr>
            </w:pPr>
            <w:r w:rsidRPr="005D4222">
              <w:rPr>
                <w:i/>
              </w:rPr>
              <w:t>Other.</w:t>
            </w:r>
            <w:r w:rsidRPr="005D4222">
              <w:t xml:space="preserve"> Organizations may use additional initial population criteria to focus on a population of interest such as gender, race, ethnicity, socioeconomic or sociodemographic </w:t>
            </w:r>
            <w:r w:rsidR="00F31C68" w:rsidRPr="005D4222">
              <w:t>characteristics</w:t>
            </w:r>
            <w:r w:rsidRPr="005D4222">
              <w:t>, geographic region or another characteristic.</w:t>
            </w:r>
          </w:p>
          <w:p w14:paraId="1528E191" w14:textId="77777777" w:rsidR="00B55342" w:rsidRPr="005D4222" w:rsidRDefault="00B55342" w:rsidP="005D6173">
            <w:pPr>
              <w:pStyle w:val="ProcessBullet"/>
              <w:numPr>
                <w:ilvl w:val="0"/>
                <w:numId w:val="98"/>
              </w:numPr>
              <w:tabs>
                <w:tab w:val="left" w:pos="216"/>
              </w:tabs>
              <w:ind w:left="216" w:hanging="216"/>
              <w:rPr>
                <w:b/>
                <w:bCs/>
                <w:color w:val="000000" w:themeColor="text1"/>
              </w:rPr>
            </w:pPr>
            <w:r w:rsidRPr="005D4222">
              <w:rPr>
                <w:i/>
              </w:rPr>
              <w:t>Measurement period adjustments.</w:t>
            </w:r>
            <w:r w:rsidRPr="005D4222">
              <w:t xml:space="preserve"> Organizations may adjust the measurement period. </w:t>
            </w:r>
          </w:p>
          <w:p w14:paraId="5C624394" w14:textId="77777777" w:rsidR="00B55342" w:rsidRPr="005D4222" w:rsidRDefault="00B55342" w:rsidP="005D6173">
            <w:pPr>
              <w:pStyle w:val="ProcessBullet"/>
              <w:numPr>
                <w:ilvl w:val="0"/>
                <w:numId w:val="98"/>
              </w:numPr>
              <w:tabs>
                <w:tab w:val="left" w:pos="216"/>
              </w:tabs>
              <w:ind w:left="216" w:hanging="216"/>
              <w:rPr>
                <w:color w:val="000000" w:themeColor="text1"/>
              </w:rPr>
            </w:pPr>
            <w:r w:rsidRPr="005D4222">
              <w:rPr>
                <w:i/>
                <w:color w:val="000000" w:themeColor="text1"/>
              </w:rPr>
              <w:t>Exclusions</w:t>
            </w:r>
            <w:r w:rsidRPr="005D4222">
              <w:rPr>
                <w:color w:val="000000" w:themeColor="text1"/>
              </w:rPr>
              <w:t xml:space="preserve">. Hospice and deceased persons exclusions are not required. </w:t>
            </w:r>
          </w:p>
          <w:p w14:paraId="40C75EAE" w14:textId="77777777" w:rsidR="00B55342" w:rsidRPr="005D4222" w:rsidRDefault="00B55342" w:rsidP="005D6173">
            <w:pPr>
              <w:pStyle w:val="ProcessBullet"/>
              <w:numPr>
                <w:ilvl w:val="0"/>
                <w:numId w:val="98"/>
              </w:numPr>
              <w:tabs>
                <w:tab w:val="left" w:pos="216"/>
              </w:tabs>
              <w:ind w:left="216" w:hanging="216"/>
              <w:rPr>
                <w:rFonts w:eastAsia="Arial"/>
              </w:rPr>
            </w:pPr>
            <w:r w:rsidRPr="005D4222">
              <w:rPr>
                <w:rFonts w:eastAsia="Arial"/>
                <w:i/>
                <w:iCs/>
              </w:rPr>
              <w:t xml:space="preserve">Telehealth. </w:t>
            </w:r>
            <w:r w:rsidRPr="005D4222">
              <w:rPr>
                <w:rFonts w:eastAsia="Arial"/>
              </w:rPr>
              <w:t>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3B8811DA" w14:textId="77777777" w:rsidR="00B55342" w:rsidRPr="005D4222" w:rsidRDefault="00B55342" w:rsidP="00A53E8C">
            <w:pPr>
              <w:pStyle w:val="Adjustments"/>
            </w:pPr>
            <w:r w:rsidRPr="005D4222">
              <w:t>Adjustments allowed with limits</w:t>
            </w:r>
          </w:p>
          <w:p w14:paraId="302B8147" w14:textId="3417AB62" w:rsidR="005A4B5D" w:rsidRPr="005D4222" w:rsidRDefault="00B55342" w:rsidP="005D6173">
            <w:pPr>
              <w:pStyle w:val="ProcessBullet"/>
              <w:numPr>
                <w:ilvl w:val="0"/>
                <w:numId w:val="98"/>
              </w:numPr>
              <w:tabs>
                <w:tab w:val="left" w:pos="216"/>
              </w:tabs>
              <w:spacing w:after="80"/>
              <w:ind w:left="216" w:hanging="216"/>
            </w:pPr>
            <w:r w:rsidRPr="005D4222">
              <w:rPr>
                <w:i/>
                <w:iCs/>
              </w:rPr>
              <w:t xml:space="preserve">Numerator. </w:t>
            </w:r>
            <w:r w:rsidRPr="005D4222">
              <w:t>The timing of the follow-up period can be shortened (e.g., assessing for follow-up visits that occur within 7 days or within 14 days). Value sets and logic may not be changed.</w:t>
            </w:r>
          </w:p>
        </w:tc>
      </w:tr>
    </w:tbl>
    <w:p w14:paraId="0B16AF6A" w14:textId="1512F0AB" w:rsidR="005A4B5D" w:rsidRPr="005D4222" w:rsidRDefault="005A4B5D"/>
    <w:p w14:paraId="12A795A8" w14:textId="77777777" w:rsidR="005A4B5D" w:rsidRPr="005D4222" w:rsidRDefault="005A4B5D">
      <w:r w:rsidRPr="005D4222">
        <w:br w:type="page"/>
      </w:r>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247"/>
        <w:gridCol w:w="7470"/>
      </w:tblGrid>
      <w:tr w:rsidR="005A4B5D" w:rsidRPr="005D4222" w14:paraId="0B5C7332" w14:textId="77777777" w:rsidTr="005A4B5D">
        <w:trPr>
          <w:trHeight w:val="45"/>
        </w:trPr>
        <w:tc>
          <w:tcPr>
            <w:tcW w:w="224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F71FCB9" w14:textId="77777777" w:rsidR="005A4B5D" w:rsidRPr="005D4222" w:rsidRDefault="005A4B5D" w:rsidP="00F8224A">
            <w:pPr>
              <w:pStyle w:val="ECDSMarginHead"/>
            </w:pPr>
          </w:p>
        </w:tc>
        <w:tc>
          <w:tcPr>
            <w:tcW w:w="747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C2C633D" w14:textId="77777777" w:rsidR="005A4B5D" w:rsidRPr="005D4222" w:rsidRDefault="005A4B5D" w:rsidP="005A4B5D">
            <w:pPr>
              <w:pStyle w:val="Adjustments"/>
              <w:spacing w:before="120"/>
            </w:pPr>
            <w:r w:rsidRPr="005D4222">
              <w:t>Adjustments not allowed</w:t>
            </w:r>
          </w:p>
          <w:p w14:paraId="7DE81896" w14:textId="77777777" w:rsidR="005A4B5D" w:rsidRPr="005D4222" w:rsidRDefault="005A4B5D" w:rsidP="005D6173">
            <w:pPr>
              <w:pStyle w:val="ProcessBullet"/>
              <w:numPr>
                <w:ilvl w:val="0"/>
                <w:numId w:val="98"/>
              </w:numPr>
              <w:tabs>
                <w:tab w:val="left" w:pos="216"/>
              </w:tabs>
              <w:ind w:left="216" w:hanging="216"/>
            </w:pPr>
            <w:r w:rsidRPr="005D4222">
              <w:rPr>
                <w:i/>
                <w:iCs/>
              </w:rPr>
              <w:t xml:space="preserve">Exclusions. </w:t>
            </w:r>
            <w:r w:rsidRPr="005D4222">
              <w:t>The cystic fibrosis exclusions must be applied. Value sets and logic may not be changed.</w:t>
            </w:r>
          </w:p>
          <w:p w14:paraId="62F92710" w14:textId="1A58221B" w:rsidR="005A4B5D" w:rsidRPr="005D4222" w:rsidRDefault="005A4B5D" w:rsidP="005D6173">
            <w:pPr>
              <w:pStyle w:val="ProcessBullet"/>
              <w:numPr>
                <w:ilvl w:val="0"/>
                <w:numId w:val="98"/>
              </w:numPr>
              <w:tabs>
                <w:tab w:val="left" w:pos="216"/>
              </w:tabs>
              <w:spacing w:after="80"/>
              <w:ind w:left="216" w:hanging="216"/>
              <w:rPr>
                <w:b/>
                <w:i/>
              </w:rPr>
            </w:pPr>
            <w:r w:rsidRPr="005D4222">
              <w:rPr>
                <w:bCs/>
                <w:i/>
                <w:iCs/>
              </w:rPr>
              <w:t>Initial population:</w:t>
            </w:r>
            <w:r w:rsidRPr="005D4222">
              <w:rPr>
                <w:bCs/>
              </w:rPr>
              <w:t xml:space="preserve"> Event. Only events or diagnoses that contain (or map to) codes in the value sets may be used to identify visits. Value sets and logic may not be changed.</w:t>
            </w:r>
          </w:p>
        </w:tc>
      </w:tr>
    </w:tbl>
    <w:p w14:paraId="1E2E304E" w14:textId="77777777" w:rsidR="00F8224A" w:rsidRPr="005D4222" w:rsidRDefault="00F8224A" w:rsidP="00CD4CC3">
      <w:pPr>
        <w:pStyle w:val="ECDSBody"/>
        <w:sectPr w:rsidR="00F8224A" w:rsidRPr="005D4222" w:rsidSect="0074514A">
          <w:headerReference w:type="default" r:id="rId223"/>
          <w:type w:val="nextColumn"/>
          <w:pgSz w:w="12240" w:h="15840" w:code="1"/>
          <w:pgMar w:top="1080" w:right="1080" w:bottom="1080" w:left="1440" w:header="720" w:footer="720" w:gutter="0"/>
          <w:cols w:space="720"/>
          <w:docGrid w:linePitch="360"/>
        </w:sectPr>
      </w:pPr>
    </w:p>
    <w:p w14:paraId="05917923" w14:textId="3C509784" w:rsidR="00801714" w:rsidRPr="005D4222" w:rsidRDefault="00774F91" w:rsidP="00774F91">
      <w:pPr>
        <w:pStyle w:val="MeasureTitle"/>
      </w:pPr>
      <w:bookmarkStart w:id="418" w:name="_Toc201813473"/>
      <w:r w:rsidRPr="005D4222">
        <w:lastRenderedPageBreak/>
        <w:t>Blood Pressure Control for Patients With Hypertension</w:t>
      </w:r>
      <w:r w:rsidR="006B0FDD" w:rsidRPr="005D4222">
        <w:t xml:space="preserve"> (BPC-E</w:t>
      </w:r>
      <w:r w:rsidR="008A5901" w:rsidRPr="005D4222">
        <w:t>)</w:t>
      </w:r>
      <w:bookmarkEnd w:id="418"/>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3" w:type="dxa"/>
          <w:right w:w="86" w:type="dxa"/>
        </w:tblCellMar>
        <w:tblLook w:val="04A0" w:firstRow="1" w:lastRow="0" w:firstColumn="1" w:lastColumn="0" w:noHBand="0" w:noVBand="1"/>
      </w:tblPr>
      <w:tblGrid>
        <w:gridCol w:w="2157"/>
        <w:gridCol w:w="4501"/>
        <w:gridCol w:w="1478"/>
        <w:gridCol w:w="1578"/>
      </w:tblGrid>
      <w:tr w:rsidR="00AA7AB9" w:rsidRPr="005D4222" w14:paraId="2C55F2E8" w14:textId="77777777" w:rsidTr="00611F69">
        <w:tc>
          <w:tcPr>
            <w:tcW w:w="1110" w:type="pct"/>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62A07883" w14:textId="77777777" w:rsidR="00AA7AB9" w:rsidRPr="005D4222" w:rsidRDefault="00AA7AB9" w:rsidP="00A53E8C">
            <w:pPr>
              <w:pStyle w:val="ECDSMarginHead"/>
              <w:rPr>
                <w:lang w:eastAsia="zh-CN"/>
              </w:rPr>
            </w:pPr>
            <w:r w:rsidRPr="005D4222">
              <w:rPr>
                <w:lang w:eastAsia="zh-CN"/>
              </w:rPr>
              <w:t>Measure title</w:t>
            </w:r>
          </w:p>
        </w:tc>
        <w:tc>
          <w:tcPr>
            <w:tcW w:w="2317" w:type="pct"/>
            <w:tcBorders>
              <w:top w:val="single" w:sz="2" w:space="0" w:color="auto"/>
              <w:left w:val="single" w:sz="2" w:space="0" w:color="auto"/>
              <w:bottom w:val="single" w:sz="2" w:space="0" w:color="auto"/>
              <w:right w:val="single" w:sz="2" w:space="0" w:color="auto"/>
            </w:tcBorders>
            <w:hideMark/>
          </w:tcPr>
          <w:p w14:paraId="413C2D5B" w14:textId="77777777" w:rsidR="00AA7AB9" w:rsidRPr="005D4222" w:rsidRDefault="00AA7AB9" w:rsidP="00A53E8C">
            <w:pPr>
              <w:pStyle w:val="ECDSBody"/>
              <w:rPr>
                <w:lang w:eastAsia="zh-CN"/>
              </w:rPr>
            </w:pPr>
            <w:r w:rsidRPr="005D4222">
              <w:t>Blood Pressure Control for Patients With Hypertension</w:t>
            </w:r>
          </w:p>
        </w:tc>
        <w:tc>
          <w:tcPr>
            <w:tcW w:w="761" w:type="pct"/>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3CA4C7E3" w14:textId="77777777" w:rsidR="00AA7AB9" w:rsidRPr="005D4222" w:rsidRDefault="00AA7AB9" w:rsidP="00A53E8C">
            <w:pPr>
              <w:pStyle w:val="ECDSMarginHead"/>
              <w:rPr>
                <w:lang w:eastAsia="zh-CN"/>
              </w:rPr>
            </w:pPr>
            <w:r w:rsidRPr="005D4222">
              <w:rPr>
                <w:lang w:eastAsia="zh-CN"/>
              </w:rPr>
              <w:t>Measure ID</w:t>
            </w:r>
          </w:p>
        </w:tc>
        <w:tc>
          <w:tcPr>
            <w:tcW w:w="812" w:type="pct"/>
            <w:tcBorders>
              <w:top w:val="single" w:sz="2" w:space="0" w:color="auto"/>
              <w:left w:val="single" w:sz="2" w:space="0" w:color="auto"/>
              <w:bottom w:val="single" w:sz="2" w:space="0" w:color="auto"/>
              <w:right w:val="single" w:sz="2" w:space="0" w:color="auto"/>
            </w:tcBorders>
            <w:hideMark/>
          </w:tcPr>
          <w:p w14:paraId="1895226A" w14:textId="77777777" w:rsidR="00AA7AB9" w:rsidRPr="005D4222" w:rsidRDefault="00AA7AB9" w:rsidP="00A53E8C">
            <w:pPr>
              <w:pStyle w:val="ECDSBody"/>
              <w:rPr>
                <w:lang w:eastAsia="zh-CN"/>
              </w:rPr>
            </w:pPr>
            <w:r w:rsidRPr="005D4222">
              <w:t>BPC-E</w:t>
            </w:r>
          </w:p>
        </w:tc>
      </w:tr>
      <w:tr w:rsidR="00AA7AB9" w:rsidRPr="005D4222" w14:paraId="74AC036D" w14:textId="77777777" w:rsidTr="00611F69">
        <w:tc>
          <w:tcPr>
            <w:tcW w:w="1110" w:type="pct"/>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7854832C" w14:textId="77777777" w:rsidR="00AA7AB9" w:rsidRPr="005D4222" w:rsidRDefault="00AA7AB9" w:rsidP="00A53E8C">
            <w:pPr>
              <w:pStyle w:val="ECDSMarginHead"/>
              <w:rPr>
                <w:color w:val="000000" w:themeColor="text1"/>
                <w:lang w:eastAsia="zh-CN"/>
              </w:rPr>
            </w:pPr>
            <w:r w:rsidRPr="005D4222">
              <w:rPr>
                <w:color w:val="000000" w:themeColor="text1"/>
                <w:lang w:eastAsia="zh-CN"/>
              </w:rPr>
              <w:t>Description</w:t>
            </w:r>
          </w:p>
        </w:tc>
        <w:tc>
          <w:tcPr>
            <w:tcW w:w="3890" w:type="pct"/>
            <w:gridSpan w:val="3"/>
            <w:tcBorders>
              <w:top w:val="single" w:sz="2" w:space="0" w:color="auto"/>
              <w:left w:val="single" w:sz="2" w:space="0" w:color="auto"/>
              <w:bottom w:val="single" w:sz="2" w:space="0" w:color="auto"/>
              <w:right w:val="single" w:sz="2" w:space="0" w:color="auto"/>
            </w:tcBorders>
            <w:hideMark/>
          </w:tcPr>
          <w:p w14:paraId="5D392778" w14:textId="77777777" w:rsidR="00AA7AB9" w:rsidRPr="005D4222" w:rsidRDefault="00AA7AB9" w:rsidP="00A53E8C">
            <w:pPr>
              <w:pStyle w:val="ECDSBody"/>
            </w:pPr>
            <w:r w:rsidRPr="005D4222">
              <w:t>The percentage of persons 18–85 years of age who had a diagnosis of hypertension (HTN) and whose most recent blood pressure (BP) was &lt;140/90 mm Hg during the measurement period.</w:t>
            </w:r>
          </w:p>
        </w:tc>
      </w:tr>
      <w:tr w:rsidR="00AA7AB9" w:rsidRPr="005D4222" w14:paraId="114F3DA0" w14:textId="77777777" w:rsidTr="00611F69">
        <w:trPr>
          <w:trHeight w:val="877"/>
        </w:trPr>
        <w:tc>
          <w:tcPr>
            <w:tcW w:w="1110" w:type="pct"/>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060C6ED4" w14:textId="77777777" w:rsidR="00AA7AB9" w:rsidRPr="005D4222" w:rsidRDefault="00AA7AB9" w:rsidP="00A53E8C">
            <w:pPr>
              <w:pStyle w:val="ECDSMarginHead"/>
              <w:rPr>
                <w:lang w:eastAsia="zh-CN"/>
              </w:rPr>
            </w:pPr>
            <w:r w:rsidRPr="005D4222">
              <w:rPr>
                <w:lang w:eastAsia="zh-CN"/>
              </w:rPr>
              <w:t>Measurement period</w:t>
            </w:r>
          </w:p>
        </w:tc>
        <w:tc>
          <w:tcPr>
            <w:tcW w:w="3890" w:type="pct"/>
            <w:gridSpan w:val="3"/>
            <w:tcBorders>
              <w:top w:val="single" w:sz="2" w:space="0" w:color="auto"/>
              <w:left w:val="single" w:sz="2" w:space="0" w:color="auto"/>
              <w:bottom w:val="single" w:sz="2" w:space="0" w:color="auto"/>
              <w:right w:val="single" w:sz="2" w:space="0" w:color="auto"/>
            </w:tcBorders>
            <w:hideMark/>
          </w:tcPr>
          <w:p w14:paraId="260462CE" w14:textId="77777777" w:rsidR="00AA7AB9" w:rsidRPr="005D4222" w:rsidRDefault="00AA7AB9" w:rsidP="00A53E8C">
            <w:pPr>
              <w:pStyle w:val="ECDSBody"/>
              <w:rPr>
                <w:lang w:eastAsia="zh-CN"/>
              </w:rPr>
            </w:pPr>
            <w:r w:rsidRPr="005D4222">
              <w:rPr>
                <w:kern w:val="20"/>
              </w:rPr>
              <w:t>January 1–December 31.</w:t>
            </w:r>
          </w:p>
        </w:tc>
      </w:tr>
      <w:tr w:rsidR="00AA7AB9" w:rsidRPr="005D4222" w14:paraId="4AD93175" w14:textId="77777777" w:rsidTr="00611F69">
        <w:tc>
          <w:tcPr>
            <w:tcW w:w="1110" w:type="pct"/>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27FBCCDD" w14:textId="77777777" w:rsidR="00AA7AB9" w:rsidRPr="005D4222" w:rsidRDefault="00AA7AB9" w:rsidP="00A53E8C">
            <w:pPr>
              <w:pStyle w:val="ECDSMarginHead"/>
              <w:rPr>
                <w:rFonts w:eastAsia="Arial"/>
                <w:lang w:eastAsia="zh-CN"/>
              </w:rPr>
            </w:pPr>
            <w:r w:rsidRPr="005D4222">
              <w:rPr>
                <w:rFonts w:eastAsia="Arial"/>
                <w:lang w:eastAsia="zh-CN"/>
              </w:rPr>
              <w:t>Copyright and disclaimer notice</w:t>
            </w:r>
          </w:p>
        </w:tc>
        <w:tc>
          <w:tcPr>
            <w:tcW w:w="3890" w:type="pct"/>
            <w:gridSpan w:val="3"/>
            <w:tcBorders>
              <w:top w:val="single" w:sz="2" w:space="0" w:color="auto"/>
              <w:left w:val="single" w:sz="2" w:space="0" w:color="auto"/>
              <w:bottom w:val="single" w:sz="2" w:space="0" w:color="auto"/>
              <w:right w:val="single" w:sz="2" w:space="0" w:color="auto"/>
            </w:tcBorders>
            <w:hideMark/>
          </w:tcPr>
          <w:p w14:paraId="01EEF46F" w14:textId="77777777" w:rsidR="00AA7AB9" w:rsidRPr="005D4222" w:rsidRDefault="00AA7AB9" w:rsidP="00A53E8C">
            <w:pPr>
              <w:pStyle w:val="ECDSBody"/>
              <w:rPr>
                <w:kern w:val="20"/>
              </w:rPr>
            </w:pPr>
            <w:r w:rsidRPr="005D4222">
              <w:rPr>
                <w:kern w:val="20"/>
              </w:rPr>
              <w:t xml:space="preserve">Refer to the complete copyright and disclaimer information at the front of this publication. </w:t>
            </w:r>
          </w:p>
          <w:p w14:paraId="4723F800" w14:textId="77777777" w:rsidR="00AA7AB9" w:rsidRPr="005D4222" w:rsidRDefault="00AA7AB9" w:rsidP="00A53E8C">
            <w:pPr>
              <w:pStyle w:val="ECDSBody"/>
              <w:spacing w:before="80"/>
            </w:pPr>
            <w:r w:rsidRPr="005D4222">
              <w:t xml:space="preserve">NCQA website: </w:t>
            </w:r>
            <w:r w:rsidRPr="005D4222">
              <w:rPr>
                <w:u w:val="single"/>
              </w:rPr>
              <w:t>www.ncqa.org</w:t>
            </w:r>
            <w:r w:rsidRPr="005D4222">
              <w:rPr>
                <w:rStyle w:val="Hyperlink"/>
              </w:rPr>
              <w:t>.</w:t>
            </w:r>
            <w:r w:rsidRPr="005D4222">
              <w:t xml:space="preserve"> </w:t>
            </w:r>
          </w:p>
          <w:p w14:paraId="49EE0240" w14:textId="77777777" w:rsidR="00AA7AB9" w:rsidRPr="005D4222" w:rsidRDefault="00AA7AB9" w:rsidP="00A53E8C">
            <w:pPr>
              <w:pStyle w:val="ECDSBody"/>
              <w:spacing w:before="80"/>
              <w:rPr>
                <w:color w:val="4472C4" w:themeColor="accent1"/>
              </w:rPr>
            </w:pPr>
            <w:r w:rsidRPr="005D4222">
              <w:t>Submit policy clarification support questions via My NCQA (</w:t>
            </w:r>
            <w:r w:rsidRPr="005D4222">
              <w:rPr>
                <w:u w:val="single"/>
              </w:rPr>
              <w:t>https://my.ncqa.org</w:t>
            </w:r>
            <w:r w:rsidRPr="005D4222">
              <w:t>).</w:t>
            </w:r>
          </w:p>
        </w:tc>
      </w:tr>
      <w:tr w:rsidR="00AA7AB9" w:rsidRPr="005D4222" w14:paraId="4EA3F458" w14:textId="77777777" w:rsidTr="00611F69">
        <w:tc>
          <w:tcPr>
            <w:tcW w:w="1110" w:type="pct"/>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094B380A" w14:textId="77777777" w:rsidR="00AA7AB9" w:rsidRPr="005D4222" w:rsidRDefault="00AA7AB9" w:rsidP="00A53E8C">
            <w:pPr>
              <w:pStyle w:val="ECDSMarginHead"/>
              <w:rPr>
                <w:lang w:eastAsia="zh-CN"/>
              </w:rPr>
            </w:pPr>
            <w:r w:rsidRPr="005D4222">
              <w:rPr>
                <w:lang w:eastAsia="zh-CN"/>
              </w:rPr>
              <w:t>Clinical recommendation statement/ rationale</w:t>
            </w:r>
          </w:p>
        </w:tc>
        <w:tc>
          <w:tcPr>
            <w:tcW w:w="3890" w:type="pct"/>
            <w:gridSpan w:val="3"/>
            <w:tcBorders>
              <w:top w:val="single" w:sz="2" w:space="0" w:color="auto"/>
              <w:left w:val="single" w:sz="2" w:space="0" w:color="auto"/>
              <w:bottom w:val="single" w:sz="2" w:space="0" w:color="auto"/>
              <w:right w:val="single" w:sz="2" w:space="0" w:color="auto"/>
            </w:tcBorders>
            <w:hideMark/>
          </w:tcPr>
          <w:p w14:paraId="25B185A4" w14:textId="77777777" w:rsidR="00AA7AB9" w:rsidRPr="005D4222" w:rsidRDefault="00AA7AB9" w:rsidP="00A53E8C">
            <w:pPr>
              <w:pStyle w:val="ECDSBody"/>
              <w:rPr>
                <w:lang w:eastAsia="zh-CN"/>
              </w:rPr>
            </w:pPr>
            <w:r w:rsidRPr="005D4222">
              <w:rPr>
                <w:lang w:eastAsia="zh-CN"/>
              </w:rPr>
              <w:t>The American Academy of Family Physicians (AAFP) strongly recommends clinicians treat adults who have hypertension to a standard blood pressure target (&lt;140/90 mm Hg) to reduce the risk of all-cause and cardiovascular mortality.</w:t>
            </w:r>
          </w:p>
          <w:p w14:paraId="2660AC49" w14:textId="77777777" w:rsidR="00AA7AB9" w:rsidRPr="005D4222" w:rsidRDefault="00AA7AB9" w:rsidP="00A53E8C">
            <w:pPr>
              <w:pStyle w:val="ECDSBody"/>
              <w:rPr>
                <w:lang w:eastAsia="zh-CN"/>
              </w:rPr>
            </w:pPr>
            <w:r w:rsidRPr="005D4222">
              <w:rPr>
                <w:lang w:eastAsia="zh-CN"/>
              </w:rPr>
              <w:t>The Joint National Committee recommends that pharmacologic treatment be initiated in the general population &lt;60 years, to lower systolic BP ≥140 mm Hg (and treat to a goal of systolic BP &lt;140 mm Hg) and to lower diastolic BP ≥90 mm Hg (and treat to a goal of diastolic BP &lt;90 mm Hg).</w:t>
            </w:r>
          </w:p>
          <w:p w14:paraId="65BE3FD6" w14:textId="77777777" w:rsidR="00AA7AB9" w:rsidRPr="005D4222" w:rsidRDefault="00AA7AB9" w:rsidP="00A53E8C">
            <w:pPr>
              <w:pStyle w:val="ECDSBody"/>
              <w:rPr>
                <w:lang w:eastAsia="zh-CN"/>
              </w:rPr>
            </w:pPr>
            <w:r w:rsidRPr="005D4222">
              <w:rPr>
                <w:lang w:eastAsia="zh-CN"/>
              </w:rPr>
              <w:t>The American College of Cardiology (ACC) and American Heart Association (AHA) recommend a target BP of less than 130/80 mm Hg for adults with confirmed hypertension and known cardiovascular disease (CVD) or 10-year atherosclerotic CVD event risk of 10% or higher. In addition, they have determined that a reasonable target BP for adults with confirmed hypertension, without additional markers of increased CVD risk, is less than 130/80 mm Hg.</w:t>
            </w:r>
          </w:p>
        </w:tc>
      </w:tr>
      <w:tr w:rsidR="00AA7AB9" w:rsidRPr="005D4222" w14:paraId="41C3D217" w14:textId="77777777" w:rsidTr="00611F69">
        <w:tc>
          <w:tcPr>
            <w:tcW w:w="1110" w:type="pct"/>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02E1BAA0" w14:textId="77777777" w:rsidR="00AA7AB9" w:rsidRPr="005D4222" w:rsidRDefault="00AA7AB9" w:rsidP="00A53E8C">
            <w:pPr>
              <w:pStyle w:val="ECDSMarginHead"/>
              <w:rPr>
                <w:lang w:eastAsia="zh-CN"/>
              </w:rPr>
            </w:pPr>
            <w:r w:rsidRPr="005D4222">
              <w:rPr>
                <w:lang w:eastAsia="zh-CN"/>
              </w:rPr>
              <w:t>Citations</w:t>
            </w:r>
          </w:p>
        </w:tc>
        <w:tc>
          <w:tcPr>
            <w:tcW w:w="3890" w:type="pct"/>
            <w:gridSpan w:val="3"/>
            <w:tcBorders>
              <w:top w:val="single" w:sz="2" w:space="0" w:color="auto"/>
              <w:left w:val="single" w:sz="2" w:space="0" w:color="auto"/>
              <w:bottom w:val="single" w:sz="2" w:space="0" w:color="auto"/>
              <w:right w:val="single" w:sz="2" w:space="0" w:color="auto"/>
            </w:tcBorders>
            <w:hideMark/>
          </w:tcPr>
          <w:p w14:paraId="28C139C2" w14:textId="77777777" w:rsidR="00AA7AB9" w:rsidRPr="005D4222" w:rsidRDefault="00AA7AB9" w:rsidP="00A53E8C">
            <w:pPr>
              <w:pStyle w:val="ECDSBody"/>
              <w:rPr>
                <w:lang w:eastAsia="zh-CN"/>
              </w:rPr>
            </w:pPr>
            <w:r w:rsidRPr="005D4222">
              <w:rPr>
                <w:lang w:eastAsia="zh-CN"/>
              </w:rPr>
              <w:t xml:space="preserve">Coles, S., L. Fisher, K. Lin, C. Lyon, A. Vosooney, and M. Bird. November 14, 2022. </w:t>
            </w:r>
            <w:r w:rsidRPr="005D4222">
              <w:rPr>
                <w:i/>
                <w:iCs/>
                <w:lang w:eastAsia="zh-CN"/>
              </w:rPr>
              <w:t>Blood Pressure Targets in Adults With Hypertension: A Clinical Practice Guideline From the AAFP.</w:t>
            </w:r>
          </w:p>
          <w:p w14:paraId="17D192B6" w14:textId="77777777" w:rsidR="00AA7AB9" w:rsidRPr="005D4222" w:rsidRDefault="00AA7AB9" w:rsidP="00A53E8C">
            <w:pPr>
              <w:pStyle w:val="ECDSBody"/>
              <w:rPr>
                <w:lang w:eastAsia="zh-CN"/>
              </w:rPr>
            </w:pPr>
            <w:r w:rsidRPr="005D4222">
              <w:rPr>
                <w:lang w:eastAsia="zh-CN"/>
              </w:rPr>
              <w:t xml:space="preserve">James, P.A., S. Oparil, B.L. Carter, W.C. Cushman, C. Dennison-Himmelfarb, J. Handler, D.T. Lackland, et al. February 5, 2014. “2014 Evidence-Based Guideline for the Management of High Blood Pressure in Adults: Report From the Panel Members Appointed to the Eighth Joint National Committee (JNC 8).” </w:t>
            </w:r>
            <w:r w:rsidRPr="005D4222">
              <w:rPr>
                <w:i/>
                <w:iCs/>
                <w:lang w:eastAsia="zh-CN"/>
              </w:rPr>
              <w:t xml:space="preserve">JAMA </w:t>
            </w:r>
            <w:r w:rsidRPr="005D4222">
              <w:rPr>
                <w:lang w:eastAsia="zh-CN"/>
              </w:rPr>
              <w:t>311, no. 5: 507–20. https://doi.org/10.1001/jama.2013.284427</w:t>
            </w:r>
          </w:p>
          <w:p w14:paraId="5DF60251" w14:textId="77777777" w:rsidR="00AA7AB9" w:rsidRPr="005D4222" w:rsidRDefault="00AA7AB9" w:rsidP="00A53E8C">
            <w:pPr>
              <w:pStyle w:val="ECDSBody"/>
              <w:rPr>
                <w:lang w:eastAsia="zh-CN"/>
              </w:rPr>
            </w:pPr>
            <w:r w:rsidRPr="005D4222">
              <w:rPr>
                <w:lang w:eastAsia="zh-CN"/>
              </w:rPr>
              <w:t xml:space="preserve">Whelton, P.K., R.M. Carey, W.S. Aronow, D.E. Casey, K.J. Collins, C. Dennison Himmelfarb, S.M. DePalma, et al. June 2018. “2017 ACC/AHA/ AAPA/ABC/ ACPM/AGS/ APhA/ASH/ASPC/NMA/PCNA Guideline for the Prevention, Detection, Evaluation, and Management of High Blood Pressure in Adults: A Report of the American College of Cardiology/American Heart Association Task Force on Clinical Practice Guidelines.” </w:t>
            </w:r>
            <w:r w:rsidRPr="005D4222">
              <w:rPr>
                <w:i/>
                <w:iCs/>
                <w:lang w:eastAsia="zh-CN"/>
              </w:rPr>
              <w:t xml:space="preserve">Hypertension </w:t>
            </w:r>
            <w:r w:rsidRPr="005D4222">
              <w:rPr>
                <w:lang w:eastAsia="zh-CN"/>
              </w:rPr>
              <w:t>71, no. 6: e13–115. https://doi.org/10.1161/HYP.0000000000000065</w:t>
            </w:r>
          </w:p>
        </w:tc>
      </w:tr>
      <w:tr w:rsidR="00AA7AB9" w:rsidRPr="005D4222" w14:paraId="3F467750" w14:textId="77777777" w:rsidTr="00611F69">
        <w:tc>
          <w:tcPr>
            <w:tcW w:w="5000" w:type="pct"/>
            <w:gridSpan w:val="4"/>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5FF11884" w14:textId="77777777" w:rsidR="00AA7AB9" w:rsidRPr="005D4222" w:rsidRDefault="00AA7AB9" w:rsidP="00A53E8C">
            <w:pPr>
              <w:pStyle w:val="ECDSMarginHead"/>
              <w:rPr>
                <w:lang w:eastAsia="zh-CN"/>
              </w:rPr>
            </w:pPr>
            <w:r w:rsidRPr="005D4222">
              <w:rPr>
                <w:lang w:eastAsia="zh-CN"/>
              </w:rPr>
              <w:lastRenderedPageBreak/>
              <w:t>Characteristics</w:t>
            </w:r>
          </w:p>
        </w:tc>
      </w:tr>
      <w:tr w:rsidR="00AA7AB9" w:rsidRPr="005D4222" w14:paraId="22780475" w14:textId="77777777" w:rsidTr="00611F69">
        <w:tc>
          <w:tcPr>
            <w:tcW w:w="1110" w:type="pct"/>
            <w:tcBorders>
              <w:top w:val="single" w:sz="4" w:space="0" w:color="auto"/>
              <w:left w:val="single" w:sz="4" w:space="0" w:color="auto"/>
              <w:bottom w:val="nil"/>
              <w:right w:val="single" w:sz="4" w:space="0" w:color="auto"/>
            </w:tcBorders>
            <w:hideMark/>
          </w:tcPr>
          <w:p w14:paraId="0D5C1F78" w14:textId="77777777" w:rsidR="00AA7AB9" w:rsidRPr="005D4222" w:rsidRDefault="00AA7AB9" w:rsidP="0017167E">
            <w:pPr>
              <w:pStyle w:val="ECDSMarginSubhead"/>
              <w:spacing w:after="0"/>
              <w:rPr>
                <w:lang w:eastAsia="zh-CN"/>
              </w:rPr>
            </w:pPr>
            <w:r w:rsidRPr="005D4222">
              <w:rPr>
                <w:lang w:eastAsia="zh-CN"/>
              </w:rPr>
              <w:t>Scoring</w:t>
            </w:r>
          </w:p>
        </w:tc>
        <w:tc>
          <w:tcPr>
            <w:tcW w:w="3890" w:type="pct"/>
            <w:gridSpan w:val="3"/>
            <w:tcBorders>
              <w:top w:val="single" w:sz="4" w:space="0" w:color="auto"/>
              <w:left w:val="single" w:sz="4" w:space="0" w:color="auto"/>
              <w:bottom w:val="nil"/>
              <w:right w:val="single" w:sz="4" w:space="0" w:color="auto"/>
            </w:tcBorders>
          </w:tcPr>
          <w:p w14:paraId="222FE52F" w14:textId="77777777" w:rsidR="00AA7AB9" w:rsidRPr="005D4222" w:rsidRDefault="00AA7AB9" w:rsidP="0017167E">
            <w:pPr>
              <w:pStyle w:val="ECDSBody"/>
              <w:spacing w:after="0"/>
              <w:rPr>
                <w:lang w:eastAsia="zh-CN"/>
              </w:rPr>
            </w:pPr>
            <w:r w:rsidRPr="005D4222">
              <w:rPr>
                <w:lang w:eastAsia="zh-CN"/>
              </w:rPr>
              <w:t>Proportion.</w:t>
            </w:r>
          </w:p>
        </w:tc>
      </w:tr>
      <w:tr w:rsidR="00AA7AB9" w:rsidRPr="005D4222" w14:paraId="5B0D79ED" w14:textId="77777777" w:rsidTr="00611F69">
        <w:tc>
          <w:tcPr>
            <w:tcW w:w="1110" w:type="pct"/>
            <w:tcBorders>
              <w:top w:val="nil"/>
              <w:left w:val="single" w:sz="4" w:space="0" w:color="auto"/>
              <w:bottom w:val="nil"/>
              <w:right w:val="single" w:sz="4" w:space="0" w:color="auto"/>
            </w:tcBorders>
            <w:hideMark/>
          </w:tcPr>
          <w:p w14:paraId="714FC1CF" w14:textId="77777777" w:rsidR="00AA7AB9" w:rsidRPr="005D4222" w:rsidRDefault="00AA7AB9" w:rsidP="0017167E">
            <w:pPr>
              <w:pStyle w:val="ECDSMarginSubhead"/>
              <w:spacing w:after="0"/>
              <w:rPr>
                <w:lang w:eastAsia="zh-CN"/>
              </w:rPr>
            </w:pPr>
            <w:r w:rsidRPr="005D4222">
              <w:rPr>
                <w:lang w:eastAsia="zh-CN"/>
              </w:rPr>
              <w:t>Type</w:t>
            </w:r>
          </w:p>
        </w:tc>
        <w:tc>
          <w:tcPr>
            <w:tcW w:w="3890" w:type="pct"/>
            <w:gridSpan w:val="3"/>
            <w:tcBorders>
              <w:top w:val="nil"/>
              <w:left w:val="single" w:sz="4" w:space="0" w:color="auto"/>
              <w:bottom w:val="nil"/>
              <w:right w:val="single" w:sz="4" w:space="0" w:color="auto"/>
            </w:tcBorders>
          </w:tcPr>
          <w:p w14:paraId="1BCB2314" w14:textId="77777777" w:rsidR="00AA7AB9" w:rsidRPr="005D4222" w:rsidRDefault="00AA7AB9" w:rsidP="0017167E">
            <w:pPr>
              <w:pStyle w:val="ECDSBody"/>
              <w:spacing w:after="0"/>
              <w:rPr>
                <w:lang w:eastAsia="zh-CN"/>
              </w:rPr>
            </w:pPr>
            <w:r w:rsidRPr="005D4222">
              <w:rPr>
                <w:lang w:eastAsia="zh-CN"/>
              </w:rPr>
              <w:t>Outcome.</w:t>
            </w:r>
          </w:p>
        </w:tc>
      </w:tr>
      <w:tr w:rsidR="00AA7AB9" w:rsidRPr="005D4222" w14:paraId="35DAD5C5" w14:textId="77777777" w:rsidTr="00611F69">
        <w:tc>
          <w:tcPr>
            <w:tcW w:w="1110" w:type="pct"/>
            <w:tcBorders>
              <w:top w:val="nil"/>
              <w:left w:val="single" w:sz="4" w:space="0" w:color="auto"/>
              <w:bottom w:val="nil"/>
              <w:right w:val="single" w:sz="4" w:space="0" w:color="auto"/>
            </w:tcBorders>
            <w:hideMark/>
          </w:tcPr>
          <w:p w14:paraId="2F0B53C3" w14:textId="3B603751" w:rsidR="00AA7AB9" w:rsidRPr="005D4222" w:rsidRDefault="00B51CDC" w:rsidP="00A53E8C">
            <w:pPr>
              <w:pStyle w:val="ECDSMarginSubhead"/>
              <w:rPr>
                <w:lang w:eastAsia="zh-CN"/>
              </w:rPr>
            </w:pPr>
            <w:r w:rsidRPr="005D4222">
              <w:rPr>
                <w:lang w:eastAsia="zh-CN"/>
              </w:rPr>
              <w:t>Product lines</w:t>
            </w:r>
          </w:p>
        </w:tc>
        <w:tc>
          <w:tcPr>
            <w:tcW w:w="3890" w:type="pct"/>
            <w:gridSpan w:val="3"/>
            <w:tcBorders>
              <w:top w:val="nil"/>
              <w:left w:val="single" w:sz="4" w:space="0" w:color="auto"/>
              <w:bottom w:val="nil"/>
              <w:right w:val="single" w:sz="4" w:space="0" w:color="auto"/>
            </w:tcBorders>
          </w:tcPr>
          <w:p w14:paraId="6099316F" w14:textId="77777777" w:rsidR="00AA7AB9" w:rsidRPr="005D4222" w:rsidRDefault="00AA7AB9" w:rsidP="005D6173">
            <w:pPr>
              <w:pStyle w:val="ProcessBullet"/>
              <w:numPr>
                <w:ilvl w:val="0"/>
                <w:numId w:val="152"/>
              </w:numPr>
              <w:tabs>
                <w:tab w:val="left" w:pos="216"/>
              </w:tabs>
              <w:spacing w:before="120"/>
            </w:pPr>
            <w:r w:rsidRPr="005D4222">
              <w:t>Commercial.</w:t>
            </w:r>
          </w:p>
          <w:p w14:paraId="700A681B" w14:textId="77777777" w:rsidR="00AA7AB9" w:rsidRPr="005D4222" w:rsidRDefault="00AA7AB9" w:rsidP="005D6173">
            <w:pPr>
              <w:pStyle w:val="ProcessBullet"/>
              <w:numPr>
                <w:ilvl w:val="0"/>
                <w:numId w:val="152"/>
              </w:numPr>
              <w:tabs>
                <w:tab w:val="left" w:pos="216"/>
              </w:tabs>
            </w:pPr>
            <w:r w:rsidRPr="005D4222">
              <w:t>Medicaid.</w:t>
            </w:r>
          </w:p>
          <w:p w14:paraId="5A48CC84" w14:textId="77777777" w:rsidR="00AA7AB9" w:rsidRPr="005D4222" w:rsidRDefault="00AA7AB9" w:rsidP="005D6173">
            <w:pPr>
              <w:pStyle w:val="ProcessBullet"/>
              <w:numPr>
                <w:ilvl w:val="0"/>
                <w:numId w:val="152"/>
              </w:numPr>
              <w:tabs>
                <w:tab w:val="left" w:pos="216"/>
              </w:tabs>
              <w:spacing w:line="256" w:lineRule="auto"/>
              <w:rPr>
                <w:rFonts w:eastAsia="Arial,Arial,Arial,Arial,Arial,A" w:cs="Arial"/>
                <w:lang w:eastAsia="zh-CN"/>
              </w:rPr>
            </w:pPr>
            <w:r w:rsidRPr="005D4222">
              <w:t>Medicare.</w:t>
            </w:r>
          </w:p>
        </w:tc>
      </w:tr>
      <w:tr w:rsidR="00AA7AB9" w:rsidRPr="005D4222" w14:paraId="1127CC71" w14:textId="77777777" w:rsidTr="00611F69">
        <w:tc>
          <w:tcPr>
            <w:tcW w:w="1110" w:type="pct"/>
            <w:tcBorders>
              <w:top w:val="nil"/>
              <w:left w:val="single" w:sz="4" w:space="0" w:color="auto"/>
              <w:bottom w:val="nil"/>
              <w:right w:val="single" w:sz="4" w:space="0" w:color="auto"/>
            </w:tcBorders>
            <w:hideMark/>
          </w:tcPr>
          <w:p w14:paraId="2747BD09" w14:textId="29642281" w:rsidR="00AA7AB9" w:rsidRPr="005D4222" w:rsidRDefault="00B51CDC" w:rsidP="00A53E8C">
            <w:pPr>
              <w:pStyle w:val="ECDSMarginSubhead"/>
              <w:rPr>
                <w:lang w:eastAsia="zh-CN"/>
              </w:rPr>
            </w:pPr>
            <w:r w:rsidRPr="005D4222">
              <w:rPr>
                <w:lang w:eastAsia="zh-CN"/>
              </w:rPr>
              <w:t>Stratifications</w:t>
            </w:r>
            <w:r w:rsidR="00AA7AB9" w:rsidRPr="005D4222">
              <w:rPr>
                <w:lang w:eastAsia="zh-CN"/>
              </w:rPr>
              <w:t xml:space="preserve"> </w:t>
            </w:r>
          </w:p>
        </w:tc>
        <w:tc>
          <w:tcPr>
            <w:tcW w:w="3890" w:type="pct"/>
            <w:gridSpan w:val="3"/>
            <w:tcBorders>
              <w:top w:val="nil"/>
              <w:left w:val="single" w:sz="4" w:space="0" w:color="auto"/>
              <w:bottom w:val="nil"/>
              <w:right w:val="single" w:sz="4" w:space="0" w:color="auto"/>
            </w:tcBorders>
          </w:tcPr>
          <w:p w14:paraId="062BCD47" w14:textId="1049AA3F" w:rsidR="00AA7AB9" w:rsidRPr="005D4222" w:rsidRDefault="00AA7AB9" w:rsidP="00A53E8C">
            <w:pPr>
              <w:pStyle w:val="ECDSBody"/>
              <w:rPr>
                <w:lang w:eastAsia="zh-CN"/>
              </w:rPr>
            </w:pPr>
            <w:r w:rsidRPr="005D4222">
              <w:rPr>
                <w:lang w:eastAsia="zh-CN"/>
              </w:rPr>
              <w:t xml:space="preserve">Race. (Refer to </w:t>
            </w:r>
            <w:hyperlink w:anchor="GG_Race_and_Ethnicity" w:history="1">
              <w:r w:rsidRPr="005D4222">
                <w:rPr>
                  <w:rStyle w:val="Hyperlink"/>
                  <w:i/>
                  <w:iCs/>
                  <w:lang w:eastAsia="zh-CN"/>
                </w:rPr>
                <w:t>General Guideline: Race and Ethnicity Stratification</w:t>
              </w:r>
            </w:hyperlink>
            <w:r w:rsidRPr="005D4222">
              <w:rPr>
                <w:i/>
                <w:iCs/>
                <w:lang w:eastAsia="zh-CN"/>
              </w:rPr>
              <w:t>.</w:t>
            </w:r>
            <w:r w:rsidRPr="005D4222">
              <w:rPr>
                <w:lang w:eastAsia="zh-CN"/>
              </w:rPr>
              <w:t xml:space="preserve">) </w:t>
            </w:r>
          </w:p>
          <w:p w14:paraId="596EC973" w14:textId="77777777" w:rsidR="00AA7AB9" w:rsidRPr="005D4222" w:rsidRDefault="00AA7AB9" w:rsidP="00A53E8C">
            <w:pPr>
              <w:pStyle w:val="Bullet"/>
              <w:rPr>
                <w:lang w:eastAsia="zh-CN"/>
              </w:rPr>
            </w:pPr>
            <w:r w:rsidRPr="005D4222">
              <w:rPr>
                <w:lang w:eastAsia="zh-CN"/>
              </w:rPr>
              <w:t xml:space="preserve">American Indian or Alaska Native. </w:t>
            </w:r>
          </w:p>
          <w:p w14:paraId="0A332483" w14:textId="77777777" w:rsidR="00AA7AB9" w:rsidRPr="005D4222" w:rsidRDefault="00AA7AB9" w:rsidP="00A53E8C">
            <w:pPr>
              <w:pStyle w:val="Bullet"/>
              <w:rPr>
                <w:lang w:eastAsia="zh-CN"/>
              </w:rPr>
            </w:pPr>
            <w:r w:rsidRPr="005D4222">
              <w:rPr>
                <w:lang w:eastAsia="zh-CN"/>
              </w:rPr>
              <w:t xml:space="preserve">Asian. </w:t>
            </w:r>
          </w:p>
          <w:p w14:paraId="670C5FFF" w14:textId="77777777" w:rsidR="00AA7AB9" w:rsidRPr="005D4222" w:rsidRDefault="00AA7AB9" w:rsidP="00A53E8C">
            <w:pPr>
              <w:pStyle w:val="Bullet"/>
              <w:rPr>
                <w:lang w:eastAsia="zh-CN"/>
              </w:rPr>
            </w:pPr>
            <w:r w:rsidRPr="005D4222">
              <w:rPr>
                <w:lang w:eastAsia="zh-CN"/>
              </w:rPr>
              <w:t>Black or African American.</w:t>
            </w:r>
          </w:p>
          <w:p w14:paraId="1DC459F9" w14:textId="45CF0FBB" w:rsidR="00771C20" w:rsidRPr="005D4222" w:rsidRDefault="00771C20" w:rsidP="00A53E8C">
            <w:pPr>
              <w:pStyle w:val="Bullet"/>
              <w:rPr>
                <w:lang w:eastAsia="zh-CN"/>
              </w:rPr>
            </w:pPr>
            <w:r w:rsidRPr="005D4222">
              <w:rPr>
                <w:lang w:eastAsia="zh-CN"/>
              </w:rPr>
              <w:t>Middle Eastern or North Afr</w:t>
            </w:r>
            <w:r w:rsidR="00635EC0" w:rsidRPr="005D4222">
              <w:rPr>
                <w:lang w:eastAsia="zh-CN"/>
              </w:rPr>
              <w:t>ican.</w:t>
            </w:r>
          </w:p>
          <w:p w14:paraId="60CBB27F" w14:textId="77777777" w:rsidR="00AA7AB9" w:rsidRPr="005D4222" w:rsidRDefault="00AA7AB9" w:rsidP="00A53E8C">
            <w:pPr>
              <w:pStyle w:val="Bullet"/>
              <w:rPr>
                <w:lang w:eastAsia="zh-CN"/>
              </w:rPr>
            </w:pPr>
            <w:r w:rsidRPr="005D4222">
              <w:rPr>
                <w:lang w:eastAsia="zh-CN"/>
              </w:rPr>
              <w:t>Native Hawaiian or Pacific Islander.</w:t>
            </w:r>
          </w:p>
          <w:p w14:paraId="018B8B75" w14:textId="77777777" w:rsidR="00AA7AB9" w:rsidRPr="005D4222" w:rsidRDefault="00AA7AB9" w:rsidP="00A53E8C">
            <w:pPr>
              <w:pStyle w:val="Bullet"/>
              <w:rPr>
                <w:lang w:eastAsia="zh-CN"/>
              </w:rPr>
            </w:pPr>
            <w:r w:rsidRPr="005D4222">
              <w:rPr>
                <w:lang w:eastAsia="zh-CN"/>
              </w:rPr>
              <w:t xml:space="preserve">White. </w:t>
            </w:r>
          </w:p>
          <w:p w14:paraId="6171A865" w14:textId="77777777" w:rsidR="00AA7AB9" w:rsidRPr="005D4222" w:rsidRDefault="00AA7AB9" w:rsidP="00A53E8C">
            <w:pPr>
              <w:pStyle w:val="Bullet"/>
              <w:rPr>
                <w:lang w:eastAsia="zh-CN"/>
              </w:rPr>
            </w:pPr>
            <w:r w:rsidRPr="005D4222">
              <w:rPr>
                <w:lang w:eastAsia="zh-CN"/>
              </w:rPr>
              <w:t xml:space="preserve">Some Other Race. </w:t>
            </w:r>
          </w:p>
          <w:p w14:paraId="605620EE" w14:textId="77777777" w:rsidR="00AA7AB9" w:rsidRPr="005D4222" w:rsidRDefault="00AA7AB9" w:rsidP="00A53E8C">
            <w:pPr>
              <w:pStyle w:val="Bullet"/>
              <w:rPr>
                <w:lang w:eastAsia="zh-CN"/>
              </w:rPr>
            </w:pPr>
            <w:r w:rsidRPr="005D4222">
              <w:rPr>
                <w:lang w:eastAsia="zh-CN"/>
              </w:rPr>
              <w:t xml:space="preserve">Two or More Races. </w:t>
            </w:r>
          </w:p>
          <w:p w14:paraId="633A2187" w14:textId="77777777" w:rsidR="00AA7AB9" w:rsidRPr="005D4222" w:rsidRDefault="00AA7AB9" w:rsidP="00A53E8C">
            <w:pPr>
              <w:pStyle w:val="Bullet"/>
              <w:rPr>
                <w:lang w:eastAsia="zh-CN"/>
              </w:rPr>
            </w:pPr>
            <w:r w:rsidRPr="005D4222">
              <w:rPr>
                <w:lang w:eastAsia="zh-CN"/>
              </w:rPr>
              <w:t xml:space="preserve">Asked But No Answer. </w:t>
            </w:r>
          </w:p>
          <w:p w14:paraId="4825146E" w14:textId="77777777" w:rsidR="00AA7AB9" w:rsidRPr="005D4222" w:rsidRDefault="00AA7AB9" w:rsidP="00A53E8C">
            <w:pPr>
              <w:pStyle w:val="Bullet"/>
              <w:rPr>
                <w:lang w:eastAsia="zh-CN"/>
              </w:rPr>
            </w:pPr>
            <w:r w:rsidRPr="005D4222">
              <w:rPr>
                <w:lang w:eastAsia="zh-CN"/>
              </w:rPr>
              <w:t xml:space="preserve">Unknown. </w:t>
            </w:r>
          </w:p>
          <w:p w14:paraId="518D9860" w14:textId="5AAB85A1" w:rsidR="00AA7AB9" w:rsidRPr="005D4222" w:rsidRDefault="00AA7AB9" w:rsidP="00A53E8C">
            <w:pPr>
              <w:pStyle w:val="ECDSBody"/>
              <w:rPr>
                <w:lang w:eastAsia="zh-CN"/>
              </w:rPr>
            </w:pPr>
            <w:r w:rsidRPr="005D4222">
              <w:rPr>
                <w:lang w:eastAsia="zh-CN"/>
              </w:rPr>
              <w:t xml:space="preserve">Ethnicity. (Refer to </w:t>
            </w:r>
            <w:hyperlink w:anchor="GG_Race_and_Ethnicity" w:history="1">
              <w:r w:rsidRPr="005D4222">
                <w:rPr>
                  <w:rStyle w:val="Hyperlink"/>
                  <w:i/>
                  <w:iCs/>
                  <w:lang w:eastAsia="zh-CN"/>
                </w:rPr>
                <w:t>General Guideline: Race and Ethnicity Stratification</w:t>
              </w:r>
            </w:hyperlink>
            <w:r w:rsidRPr="005D4222">
              <w:rPr>
                <w:i/>
                <w:iCs/>
                <w:lang w:eastAsia="zh-CN"/>
              </w:rPr>
              <w:t>.</w:t>
            </w:r>
            <w:r w:rsidRPr="005D4222">
              <w:rPr>
                <w:lang w:eastAsia="zh-CN"/>
              </w:rPr>
              <w:t>)</w:t>
            </w:r>
          </w:p>
          <w:p w14:paraId="401B819A" w14:textId="77777777" w:rsidR="00AA7AB9" w:rsidRPr="005D4222" w:rsidRDefault="00AA7AB9" w:rsidP="00A53E8C">
            <w:pPr>
              <w:pStyle w:val="Bullet"/>
              <w:rPr>
                <w:lang w:eastAsia="zh-CN"/>
              </w:rPr>
            </w:pPr>
            <w:r w:rsidRPr="005D4222">
              <w:rPr>
                <w:lang w:eastAsia="zh-CN"/>
              </w:rPr>
              <w:t xml:space="preserve">Hispanic or Latino. </w:t>
            </w:r>
          </w:p>
          <w:p w14:paraId="7A47CBE8" w14:textId="77777777" w:rsidR="00AA7AB9" w:rsidRPr="005D4222" w:rsidRDefault="00AA7AB9" w:rsidP="00A53E8C">
            <w:pPr>
              <w:pStyle w:val="Bullet"/>
              <w:rPr>
                <w:lang w:eastAsia="zh-CN"/>
              </w:rPr>
            </w:pPr>
            <w:r w:rsidRPr="005D4222">
              <w:rPr>
                <w:lang w:eastAsia="zh-CN"/>
              </w:rPr>
              <w:t xml:space="preserve">Not Hispanic or Latino. </w:t>
            </w:r>
          </w:p>
          <w:p w14:paraId="2F6670C1" w14:textId="77777777" w:rsidR="00AA7AB9" w:rsidRPr="005D4222" w:rsidRDefault="00AA7AB9" w:rsidP="00A53E8C">
            <w:pPr>
              <w:pStyle w:val="Bullet"/>
              <w:rPr>
                <w:lang w:eastAsia="zh-CN"/>
              </w:rPr>
            </w:pPr>
            <w:r w:rsidRPr="005D4222">
              <w:rPr>
                <w:lang w:eastAsia="zh-CN"/>
              </w:rPr>
              <w:t xml:space="preserve">Asked But No Answer. </w:t>
            </w:r>
          </w:p>
          <w:p w14:paraId="08005E21" w14:textId="77777777" w:rsidR="00AA7AB9" w:rsidRPr="005D4222" w:rsidRDefault="00AA7AB9" w:rsidP="00A53E8C">
            <w:pPr>
              <w:pStyle w:val="Bullet"/>
              <w:rPr>
                <w:lang w:eastAsia="zh-CN"/>
              </w:rPr>
            </w:pPr>
            <w:r w:rsidRPr="005D4222">
              <w:rPr>
                <w:lang w:eastAsia="zh-CN"/>
              </w:rPr>
              <w:t xml:space="preserve">Unknown. </w:t>
            </w:r>
            <w:r w:rsidRPr="005D4222">
              <w:t xml:space="preserve"> </w:t>
            </w:r>
          </w:p>
        </w:tc>
      </w:tr>
      <w:tr w:rsidR="00AA7AB9" w:rsidRPr="005D4222" w14:paraId="34DE3F90" w14:textId="77777777" w:rsidTr="00611F69">
        <w:tc>
          <w:tcPr>
            <w:tcW w:w="1110" w:type="pct"/>
            <w:tcBorders>
              <w:top w:val="nil"/>
              <w:left w:val="single" w:sz="4" w:space="0" w:color="auto"/>
              <w:bottom w:val="nil"/>
              <w:right w:val="single" w:sz="4" w:space="0" w:color="auto"/>
            </w:tcBorders>
            <w:hideMark/>
          </w:tcPr>
          <w:p w14:paraId="3EDAC439" w14:textId="77777777" w:rsidR="00AA7AB9" w:rsidRPr="005D4222" w:rsidRDefault="00AA7AB9" w:rsidP="0017167E">
            <w:pPr>
              <w:pStyle w:val="ECDSMarginSubhead"/>
              <w:spacing w:after="0"/>
              <w:rPr>
                <w:lang w:eastAsia="zh-CN"/>
              </w:rPr>
            </w:pPr>
            <w:r w:rsidRPr="005D4222">
              <w:rPr>
                <w:lang w:eastAsia="zh-CN"/>
              </w:rPr>
              <w:t>Risk adjustment</w:t>
            </w:r>
          </w:p>
        </w:tc>
        <w:tc>
          <w:tcPr>
            <w:tcW w:w="3890" w:type="pct"/>
            <w:gridSpan w:val="3"/>
            <w:tcBorders>
              <w:top w:val="nil"/>
              <w:left w:val="single" w:sz="4" w:space="0" w:color="auto"/>
              <w:bottom w:val="nil"/>
              <w:right w:val="single" w:sz="4" w:space="0" w:color="auto"/>
            </w:tcBorders>
          </w:tcPr>
          <w:p w14:paraId="69A688E2" w14:textId="77777777" w:rsidR="00AA7AB9" w:rsidRPr="005D4222" w:rsidRDefault="00AA7AB9" w:rsidP="0017167E">
            <w:pPr>
              <w:pStyle w:val="ECDSBody"/>
              <w:spacing w:after="0"/>
              <w:rPr>
                <w:b/>
                <w:i/>
                <w:iCs/>
                <w:lang w:eastAsia="zh-CN"/>
              </w:rPr>
            </w:pPr>
            <w:r w:rsidRPr="005D4222">
              <w:t>None.</w:t>
            </w:r>
          </w:p>
        </w:tc>
      </w:tr>
      <w:tr w:rsidR="00AA7AB9" w:rsidRPr="005D4222" w14:paraId="76E758DF" w14:textId="77777777" w:rsidTr="00611F69">
        <w:tc>
          <w:tcPr>
            <w:tcW w:w="1110" w:type="pct"/>
            <w:tcBorders>
              <w:top w:val="nil"/>
              <w:left w:val="single" w:sz="4" w:space="0" w:color="auto"/>
              <w:bottom w:val="nil"/>
              <w:right w:val="single" w:sz="4" w:space="0" w:color="auto"/>
            </w:tcBorders>
            <w:hideMark/>
          </w:tcPr>
          <w:p w14:paraId="4D393BA6" w14:textId="77777777" w:rsidR="00AA7AB9" w:rsidRPr="005D4222" w:rsidRDefault="00AA7AB9" w:rsidP="0017167E">
            <w:pPr>
              <w:pStyle w:val="ECDSMarginSubhead"/>
              <w:spacing w:after="0"/>
              <w:rPr>
                <w:lang w:eastAsia="zh-CN"/>
              </w:rPr>
            </w:pPr>
            <w:r w:rsidRPr="005D4222">
              <w:rPr>
                <w:lang w:eastAsia="zh-CN"/>
              </w:rPr>
              <w:t>Improvement notation</w:t>
            </w:r>
          </w:p>
        </w:tc>
        <w:tc>
          <w:tcPr>
            <w:tcW w:w="3890" w:type="pct"/>
            <w:gridSpan w:val="3"/>
            <w:tcBorders>
              <w:top w:val="nil"/>
              <w:left w:val="single" w:sz="4" w:space="0" w:color="auto"/>
              <w:bottom w:val="nil"/>
              <w:right w:val="single" w:sz="4" w:space="0" w:color="auto"/>
            </w:tcBorders>
          </w:tcPr>
          <w:p w14:paraId="27B21BF5" w14:textId="77777777" w:rsidR="00AA7AB9" w:rsidRPr="005D4222" w:rsidRDefault="00AA7AB9" w:rsidP="0017167E">
            <w:pPr>
              <w:pStyle w:val="ECDSBody"/>
              <w:spacing w:after="0"/>
              <w:rPr>
                <w:lang w:eastAsia="zh-CN"/>
              </w:rPr>
            </w:pPr>
            <w:r w:rsidRPr="005D4222">
              <w:t>Increased score indicates improvement.</w:t>
            </w:r>
          </w:p>
        </w:tc>
      </w:tr>
      <w:tr w:rsidR="00AA7AB9" w:rsidRPr="005D4222" w14:paraId="0EE851E1" w14:textId="77777777" w:rsidTr="00611F69">
        <w:tc>
          <w:tcPr>
            <w:tcW w:w="1110" w:type="pct"/>
            <w:tcBorders>
              <w:top w:val="nil"/>
              <w:left w:val="single" w:sz="4" w:space="0" w:color="auto"/>
              <w:bottom w:val="single" w:sz="4" w:space="0" w:color="auto"/>
              <w:right w:val="single" w:sz="4" w:space="0" w:color="auto"/>
            </w:tcBorders>
            <w:hideMark/>
          </w:tcPr>
          <w:p w14:paraId="24495F2B" w14:textId="77777777" w:rsidR="00AA7AB9" w:rsidRPr="005D4222" w:rsidRDefault="00AA7AB9" w:rsidP="00A53E8C">
            <w:pPr>
              <w:pStyle w:val="ECDSMarginSubhead"/>
              <w:rPr>
                <w:lang w:eastAsia="zh-CN"/>
              </w:rPr>
            </w:pPr>
            <w:r w:rsidRPr="005D4222">
              <w:rPr>
                <w:lang w:eastAsia="zh-CN"/>
              </w:rPr>
              <w:t>Guidance</w:t>
            </w:r>
          </w:p>
        </w:tc>
        <w:tc>
          <w:tcPr>
            <w:tcW w:w="3890" w:type="pct"/>
            <w:gridSpan w:val="3"/>
            <w:tcBorders>
              <w:top w:val="nil"/>
              <w:left w:val="single" w:sz="4" w:space="0" w:color="auto"/>
              <w:bottom w:val="single" w:sz="4" w:space="0" w:color="auto"/>
              <w:right w:val="single" w:sz="4" w:space="0" w:color="auto"/>
            </w:tcBorders>
          </w:tcPr>
          <w:p w14:paraId="2DD4CDB6" w14:textId="49619FF5" w:rsidR="00AA7AB9" w:rsidRPr="005D4222" w:rsidRDefault="00AA7AB9" w:rsidP="00A53E8C">
            <w:pPr>
              <w:pStyle w:val="ECDSBody"/>
            </w:pPr>
            <w:r w:rsidRPr="005D4222">
              <w:rPr>
                <w:b/>
              </w:rPr>
              <w:t>Data collection methodology</w:t>
            </w:r>
            <w:r w:rsidRPr="005D4222">
              <w:rPr>
                <w:b/>
                <w:bCs w:val="0"/>
              </w:rPr>
              <w:t>:</w:t>
            </w:r>
            <w:r w:rsidRPr="005D4222">
              <w:t xml:space="preserve"> ECDS. Refer to </w:t>
            </w:r>
            <w:hyperlink w:anchor="General_Guideline_Data_Collection_Method" w:history="1">
              <w:r w:rsidRPr="005D4222">
                <w:rPr>
                  <w:rStyle w:val="Hyperlink"/>
                  <w:i/>
                  <w:iCs/>
                </w:rPr>
                <w:t>General Guideline: Data Collection Methods</w:t>
              </w:r>
            </w:hyperlink>
            <w:r w:rsidRPr="005D4222">
              <w:t xml:space="preserve"> for additional information. </w:t>
            </w:r>
          </w:p>
          <w:p w14:paraId="57E497D5" w14:textId="77777777" w:rsidR="00AA7AB9" w:rsidRPr="005D4222" w:rsidRDefault="00AA7AB9" w:rsidP="00A53E8C">
            <w:pPr>
              <w:pStyle w:val="ECDSBody"/>
            </w:pPr>
            <w:r w:rsidRPr="005D4222">
              <w:rPr>
                <w:b/>
              </w:rPr>
              <w:t xml:space="preserve">Date specificity: </w:t>
            </w:r>
            <w:r w:rsidRPr="005D4222">
              <w:t>Dates must be specific enough to determine the event occurred in the period being measured.</w:t>
            </w:r>
          </w:p>
          <w:p w14:paraId="77A1A29D" w14:textId="77777777" w:rsidR="00AA7AB9" w:rsidRPr="005D4222" w:rsidRDefault="00AA7AB9" w:rsidP="00A53E8C">
            <w:pPr>
              <w:pStyle w:val="ECDSBody"/>
              <w:rPr>
                <w:color w:val="4472C4" w:themeColor="accent1"/>
              </w:rPr>
            </w:pPr>
            <w:r w:rsidRPr="005D4222">
              <w:rPr>
                <w:b/>
              </w:rPr>
              <w:t xml:space="preserve">Which services count? </w:t>
            </w:r>
            <w:r w:rsidRPr="005D4222">
              <w:t>When using claims, include all paid, suspended, pending and denied claims.</w:t>
            </w:r>
          </w:p>
        </w:tc>
      </w:tr>
      <w:tr w:rsidR="00AA7AB9" w:rsidRPr="005D4222" w14:paraId="435621F4" w14:textId="77777777" w:rsidTr="00611F69">
        <w:tc>
          <w:tcPr>
            <w:tcW w:w="1110" w:type="pct"/>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0199ED7F" w14:textId="77777777" w:rsidR="00AA7AB9" w:rsidRPr="005D4222" w:rsidRDefault="00AA7AB9" w:rsidP="00A53E8C">
            <w:pPr>
              <w:pStyle w:val="ECDSMarginHead"/>
              <w:rPr>
                <w:lang w:eastAsia="zh-CN"/>
              </w:rPr>
            </w:pPr>
            <w:r w:rsidRPr="005D4222">
              <w:rPr>
                <w:lang w:eastAsia="zh-CN"/>
              </w:rPr>
              <w:t>Initial population</w:t>
            </w:r>
          </w:p>
        </w:tc>
        <w:tc>
          <w:tcPr>
            <w:tcW w:w="3890" w:type="pct"/>
            <w:gridSpan w:val="3"/>
            <w:tcBorders>
              <w:top w:val="single" w:sz="4" w:space="0" w:color="auto"/>
              <w:left w:val="single" w:sz="4" w:space="0" w:color="auto"/>
              <w:bottom w:val="single" w:sz="4" w:space="0" w:color="auto"/>
              <w:right w:val="single" w:sz="4" w:space="0" w:color="auto"/>
            </w:tcBorders>
            <w:hideMark/>
          </w:tcPr>
          <w:p w14:paraId="0938E2ED" w14:textId="77777777" w:rsidR="00AA7AB9" w:rsidRPr="005D4222" w:rsidRDefault="00AA7AB9" w:rsidP="00A53E8C">
            <w:pPr>
              <w:pStyle w:val="ECDSBody"/>
              <w:rPr>
                <w:lang w:eastAsia="zh-CN"/>
              </w:rPr>
            </w:pPr>
            <w:r w:rsidRPr="005D4222">
              <w:rPr>
                <w:i/>
                <w:iCs/>
                <w:lang w:eastAsia="zh-CN"/>
              </w:rPr>
              <w:t>Measure item count:</w:t>
            </w:r>
            <w:r w:rsidRPr="005D4222">
              <w:rPr>
                <w:lang w:eastAsia="zh-CN"/>
              </w:rPr>
              <w:t xml:space="preserve"> Person.</w:t>
            </w:r>
          </w:p>
          <w:p w14:paraId="66666401" w14:textId="77777777" w:rsidR="00AA7AB9" w:rsidRPr="005D4222" w:rsidRDefault="00AA7AB9" w:rsidP="00A53E8C">
            <w:pPr>
              <w:pStyle w:val="ECDSBody"/>
              <w:rPr>
                <w:lang w:eastAsia="zh-CN"/>
              </w:rPr>
            </w:pPr>
            <w:r w:rsidRPr="005D4222">
              <w:rPr>
                <w:i/>
                <w:iCs/>
                <w:lang w:eastAsia="zh-CN"/>
              </w:rPr>
              <w:t>Attribution basis:</w:t>
            </w:r>
            <w:r w:rsidRPr="005D4222">
              <w:rPr>
                <w:lang w:eastAsia="zh-CN"/>
              </w:rPr>
              <w:t xml:space="preserve"> Enrollment.</w:t>
            </w:r>
          </w:p>
          <w:p w14:paraId="011771C4" w14:textId="77777777" w:rsidR="00AA7AB9" w:rsidRPr="005D4222" w:rsidRDefault="00AA7AB9" w:rsidP="00A53E8C">
            <w:pPr>
              <w:pStyle w:val="Bullet"/>
              <w:rPr>
                <w:lang w:eastAsia="zh-CN"/>
              </w:rPr>
            </w:pPr>
            <w:r w:rsidRPr="005D4222">
              <w:rPr>
                <w:i/>
                <w:iCs/>
                <w:lang w:eastAsia="zh-CN"/>
              </w:rPr>
              <w:t>Benefits:</w:t>
            </w:r>
            <w:r w:rsidRPr="005D4222">
              <w:rPr>
                <w:lang w:eastAsia="zh-CN"/>
              </w:rPr>
              <w:t xml:space="preserve"> Medical.</w:t>
            </w:r>
          </w:p>
          <w:p w14:paraId="7B741D81" w14:textId="77777777" w:rsidR="00AA7AB9" w:rsidRPr="005D4222" w:rsidRDefault="00AA7AB9" w:rsidP="0017167E">
            <w:pPr>
              <w:pStyle w:val="Bullet"/>
              <w:spacing w:after="80"/>
            </w:pPr>
            <w:r w:rsidRPr="005D4222">
              <w:rPr>
                <w:i/>
                <w:iCs/>
                <w:lang w:eastAsia="zh-CN"/>
              </w:rPr>
              <w:t>Continuous enrollment:</w:t>
            </w:r>
            <w:r w:rsidRPr="005D4222">
              <w:rPr>
                <w:lang w:eastAsia="zh-CN"/>
              </w:rPr>
              <w:t xml:space="preserve"> </w:t>
            </w:r>
            <w:r w:rsidRPr="005D4222">
              <w:t>The measurement period.</w:t>
            </w:r>
          </w:p>
          <w:p w14:paraId="309CCBA3" w14:textId="77777777" w:rsidR="00AA7AB9" w:rsidRPr="005D4222" w:rsidRDefault="00AA7AB9" w:rsidP="00A53E8C">
            <w:pPr>
              <w:pStyle w:val="Bullet"/>
              <w:spacing w:before="180"/>
            </w:pPr>
            <w:r w:rsidRPr="005D4222">
              <w:rPr>
                <w:i/>
                <w:iCs/>
                <w:lang w:eastAsia="zh-CN"/>
              </w:rPr>
              <w:lastRenderedPageBreak/>
              <w:t xml:space="preserve">Allowable gap: </w:t>
            </w:r>
            <w:r w:rsidRPr="005D4222">
              <w:t>No more than one gap of ≤45 days during the measurement period. No gaps on the last day of the measurement period.</w:t>
            </w:r>
          </w:p>
          <w:p w14:paraId="0A3CEF47" w14:textId="77777777" w:rsidR="00AA7AB9" w:rsidRPr="005D4222" w:rsidRDefault="00AA7AB9" w:rsidP="0091181E">
            <w:pPr>
              <w:pStyle w:val="ECDSBody"/>
            </w:pPr>
            <w:r w:rsidRPr="005D4222">
              <w:rPr>
                <w:i/>
                <w:iCs/>
                <w:lang w:eastAsia="zh-CN"/>
              </w:rPr>
              <w:t xml:space="preserve">Ages: </w:t>
            </w:r>
            <w:r w:rsidRPr="005D4222">
              <w:t>18–85 years of age as of the last day of the measurement period.</w:t>
            </w:r>
          </w:p>
          <w:p w14:paraId="4D8683CF" w14:textId="77777777" w:rsidR="0017167E" w:rsidRPr="005D4222" w:rsidRDefault="00AA7AB9" w:rsidP="00A53E8C">
            <w:pPr>
              <w:pStyle w:val="ECDSBody"/>
              <w:rPr>
                <w:b/>
                <w:kern w:val="20"/>
              </w:rPr>
            </w:pPr>
            <w:r w:rsidRPr="005D4222">
              <w:rPr>
                <w:i/>
                <w:iCs/>
                <w:szCs w:val="21"/>
                <w:lang w:eastAsia="zh-CN"/>
              </w:rPr>
              <w:t>Event:</w:t>
            </w:r>
            <w:r w:rsidRPr="005D4222">
              <w:rPr>
                <w:szCs w:val="21"/>
                <w:lang w:eastAsia="zh-CN"/>
              </w:rPr>
              <w:t xml:space="preserve"> </w:t>
            </w:r>
            <w:r w:rsidRPr="005D4222">
              <w:rPr>
                <w:b/>
                <w:kern w:val="20"/>
              </w:rPr>
              <w:t xml:space="preserve">Persons with a diagnosis of hypertension. </w:t>
            </w:r>
          </w:p>
          <w:p w14:paraId="5EB44012" w14:textId="00AED0A2" w:rsidR="00AA7AB9" w:rsidRPr="005D4222" w:rsidRDefault="00AA7AB9" w:rsidP="00A53E8C">
            <w:pPr>
              <w:pStyle w:val="ECDSBody"/>
              <w:rPr>
                <w:b/>
                <w:kern w:val="20"/>
              </w:rPr>
            </w:pPr>
            <w:r w:rsidRPr="005D4222">
              <w:rPr>
                <w:kern w:val="20"/>
              </w:rPr>
              <w:t>Persons who meet either</w:t>
            </w:r>
            <w:r w:rsidRPr="005D4222">
              <w:t xml:space="preserve"> of the following criteria:</w:t>
            </w:r>
          </w:p>
          <w:p w14:paraId="440AE51B" w14:textId="77777777" w:rsidR="00AA7AB9" w:rsidRPr="005D4222" w:rsidRDefault="00AA7AB9" w:rsidP="00A53E8C">
            <w:pPr>
              <w:pStyle w:val="Bullet"/>
              <w:rPr>
                <w:szCs w:val="21"/>
              </w:rPr>
            </w:pPr>
            <w:r w:rsidRPr="005D4222">
              <w:t>At least two outpatient visits, telephone visits, e-visits or virtual check-ins (</w:t>
            </w:r>
            <w:r w:rsidRPr="005D4222">
              <w:rPr>
                <w:u w:val="single"/>
              </w:rPr>
              <w:t>Outpatient and Telehealth Without UBREV Value Set</w:t>
            </w:r>
            <w:r w:rsidRPr="005D4222">
              <w:t>) on different dates of service with a diagnosis of hypertension (</w:t>
            </w:r>
            <w:r w:rsidRPr="005D4222">
              <w:rPr>
                <w:u w:val="single"/>
              </w:rPr>
              <w:t>Essential Hypertension Value Set</w:t>
            </w:r>
            <w:r w:rsidRPr="005D4222">
              <w:t xml:space="preserve">) </w:t>
            </w:r>
            <w:r w:rsidRPr="005D4222">
              <w:rPr>
                <w:szCs w:val="21"/>
              </w:rPr>
              <w:t xml:space="preserve">on or between January 1 of the year prior to the measurement period and June 30 of the measurement period. </w:t>
            </w:r>
          </w:p>
          <w:p w14:paraId="71040C3B" w14:textId="77777777" w:rsidR="00AA7AB9" w:rsidRPr="005D4222" w:rsidRDefault="00AA7AB9" w:rsidP="00A53E8C">
            <w:pPr>
              <w:pStyle w:val="Bullet"/>
              <w:spacing w:after="80"/>
              <w:rPr>
                <w:szCs w:val="21"/>
              </w:rPr>
            </w:pPr>
            <w:r w:rsidRPr="005D4222">
              <w:t>At least one outpatient visit, telephone visit, e-visit or virtual check-in (</w:t>
            </w:r>
            <w:r w:rsidRPr="005D4222">
              <w:rPr>
                <w:rFonts w:eastAsia="Arial,Arial,Arial,Arial,Arial,A"/>
                <w:u w:val="single"/>
              </w:rPr>
              <w:t>Outpatient and Telehealth Without UBREV Value Set</w:t>
            </w:r>
            <w:r w:rsidRPr="005D4222">
              <w:rPr>
                <w:rFonts w:eastAsia="Arial,Arial,Arial,Arial,Arial,A"/>
              </w:rPr>
              <w:t xml:space="preserve">) </w:t>
            </w:r>
            <w:r w:rsidRPr="005D4222">
              <w:t>with a diagnosis of hypertension (</w:t>
            </w:r>
            <w:r w:rsidRPr="005D4222">
              <w:rPr>
                <w:rFonts w:eastAsia="Arial,Arial,Arial,Arial,Arial,A"/>
                <w:u w:val="single"/>
              </w:rPr>
              <w:t>Essential Hypertension Value Set</w:t>
            </w:r>
            <w:r w:rsidRPr="005D4222">
              <w:rPr>
                <w:rFonts w:eastAsia="Arial,Arial,Arial,Arial,Arial,A"/>
              </w:rPr>
              <w:t>)</w:t>
            </w:r>
            <w:r w:rsidRPr="005D4222">
              <w:t xml:space="preserve"> </w:t>
            </w:r>
            <w:r w:rsidRPr="005D4222">
              <w:rPr>
                <w:iCs/>
              </w:rPr>
              <w:t>and</w:t>
            </w:r>
            <w:r w:rsidRPr="005D4222">
              <w:t xml:space="preserve"> at least one dispensed antihypertensive medication (</w:t>
            </w:r>
            <w:r w:rsidRPr="005D4222">
              <w:rPr>
                <w:u w:val="single"/>
                <w:lang w:eastAsia="zh-CN"/>
              </w:rPr>
              <w:t>Antihypertensive Medications List</w:t>
            </w:r>
            <w:r w:rsidRPr="005D4222">
              <w:rPr>
                <w:lang w:eastAsia="zh-CN"/>
              </w:rPr>
              <w:t xml:space="preserve">) </w:t>
            </w:r>
            <w:r w:rsidRPr="005D4222">
              <w:rPr>
                <w:szCs w:val="21"/>
              </w:rPr>
              <w:t xml:space="preserve">on or between January 1 of the year prior to the measurement period and June 30 of the measurement period. </w:t>
            </w:r>
          </w:p>
        </w:tc>
      </w:tr>
      <w:tr w:rsidR="00AA7AB9" w:rsidRPr="005D4222" w14:paraId="01301885" w14:textId="77777777" w:rsidTr="00611F69">
        <w:tc>
          <w:tcPr>
            <w:tcW w:w="1110" w:type="pct"/>
            <w:tcBorders>
              <w:top w:val="single" w:sz="2" w:space="0" w:color="auto"/>
              <w:left w:val="single" w:sz="2" w:space="0" w:color="auto"/>
              <w:bottom w:val="single" w:sz="4" w:space="0" w:color="auto"/>
              <w:right w:val="single" w:sz="2" w:space="0" w:color="auto"/>
            </w:tcBorders>
            <w:shd w:val="clear" w:color="auto" w:fill="BFBFBF" w:themeFill="background1" w:themeFillShade="BF"/>
            <w:hideMark/>
          </w:tcPr>
          <w:p w14:paraId="5A61647B" w14:textId="77777777" w:rsidR="00AA7AB9" w:rsidRPr="005D4222" w:rsidRDefault="00AA7AB9" w:rsidP="00A53E8C">
            <w:pPr>
              <w:pStyle w:val="ECDSMarginHead"/>
              <w:rPr>
                <w:lang w:eastAsia="zh-CN"/>
              </w:rPr>
            </w:pPr>
            <w:r w:rsidRPr="005D4222">
              <w:rPr>
                <w:lang w:eastAsia="zh-CN"/>
              </w:rPr>
              <w:lastRenderedPageBreak/>
              <w:t xml:space="preserve">Denominator exclusions </w:t>
            </w:r>
          </w:p>
        </w:tc>
        <w:tc>
          <w:tcPr>
            <w:tcW w:w="3890" w:type="pct"/>
            <w:gridSpan w:val="3"/>
            <w:tcBorders>
              <w:top w:val="single" w:sz="4" w:space="0" w:color="auto"/>
              <w:left w:val="single" w:sz="4" w:space="0" w:color="auto"/>
              <w:bottom w:val="single" w:sz="4" w:space="0" w:color="auto"/>
              <w:right w:val="single" w:sz="4" w:space="0" w:color="auto"/>
            </w:tcBorders>
            <w:hideMark/>
          </w:tcPr>
          <w:p w14:paraId="6558B087" w14:textId="77777777" w:rsidR="00AA7AB9" w:rsidRPr="005D4222" w:rsidRDefault="00AA7AB9" w:rsidP="00A53E8C">
            <w:pPr>
              <w:pStyle w:val="ECDSBody"/>
              <w:rPr>
                <w:rFonts w:cs="Segoe UI"/>
                <w:szCs w:val="18"/>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p w14:paraId="16790FD3" w14:textId="77777777" w:rsidR="00AA7AB9" w:rsidRPr="005D4222" w:rsidRDefault="00AA7AB9" w:rsidP="00A53E8C">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3D60D0E4" w14:textId="77777777" w:rsidR="00AA7AB9" w:rsidRPr="005D4222" w:rsidRDefault="00AA7AB9" w:rsidP="00A53E8C">
            <w:pPr>
              <w:pStyle w:val="ECDSBody"/>
            </w:pPr>
            <w:r w:rsidRPr="005D4222" w:rsidDel="00AA4A01">
              <w:rPr>
                <w:b/>
              </w:rPr>
              <w:t xml:space="preserve">Persons </w:t>
            </w:r>
            <w:r w:rsidRPr="005D4222">
              <w:rPr>
                <w:b/>
              </w:rPr>
              <w:t>receiving palliative care.</w:t>
            </w:r>
            <w:r w:rsidRPr="005D4222">
              <w:rPr>
                <w:b/>
              </w:rPr>
              <w:br/>
            </w:r>
            <w:r w:rsidRPr="005D4222">
              <w:t>Persons receiving palliative care (</w:t>
            </w:r>
            <w:r w:rsidRPr="005D4222">
              <w:rPr>
                <w:u w:val="single"/>
              </w:rPr>
              <w:t>Palliative Care Assessment Value Set</w:t>
            </w:r>
            <w:r w:rsidRPr="005D4222">
              <w:t xml:space="preserve">; </w:t>
            </w:r>
            <w:r w:rsidRPr="005D4222">
              <w:rPr>
                <w:u w:val="single"/>
              </w:rPr>
              <w:t>Palliative Care Encounter Value Set</w:t>
            </w:r>
            <w:r w:rsidRPr="005D4222">
              <w:t xml:space="preserve">; </w:t>
            </w:r>
            <w:r w:rsidRPr="005D4222">
              <w:rPr>
                <w:u w:val="single"/>
              </w:rPr>
              <w:t>Palliative Care Intervention Value Set</w:t>
            </w:r>
            <w:r w:rsidRPr="005D4222">
              <w:t xml:space="preserve">) or who had an encounter for palliative care (ICD-10-CM code Z51.5*) any time during the measurement period. </w:t>
            </w:r>
          </w:p>
          <w:p w14:paraId="463AA05B" w14:textId="0DD371DE" w:rsidR="00AA7AB9" w:rsidRPr="005D4222" w:rsidRDefault="00AA7AB9" w:rsidP="00A53E8C">
            <w:pPr>
              <w:pStyle w:val="ECDSBody"/>
              <w:rPr>
                <w:rStyle w:val="normaltextrun"/>
              </w:rPr>
            </w:pPr>
            <w:r w:rsidRPr="005D4222">
              <w:rPr>
                <w:rStyle w:val="normaltextrun"/>
                <w:b/>
                <w:color w:val="000000"/>
                <w:shd w:val="clear" w:color="auto" w:fill="FFFFFF"/>
              </w:rPr>
              <w:t>M</w:t>
            </w:r>
            <w:r w:rsidRPr="005D4222">
              <w:rPr>
                <w:rStyle w:val="normaltextrun"/>
                <w:b/>
                <w:color w:val="000000"/>
              </w:rPr>
              <w:t>edicare enrollees,</w:t>
            </w:r>
            <w:r w:rsidRPr="005D4222">
              <w:rPr>
                <w:rStyle w:val="normaltextrun"/>
                <w:b/>
                <w:color w:val="000000"/>
                <w:shd w:val="clear" w:color="auto" w:fill="FFFFFF"/>
              </w:rPr>
              <w:t xml:space="preserve"> 66 years of age and older by the </w:t>
            </w:r>
            <w:r w:rsidR="00CD0BBA" w:rsidRPr="005D4222">
              <w:rPr>
                <w:rStyle w:val="normaltextrun"/>
                <w:b/>
                <w:color w:val="000000"/>
                <w:shd w:val="clear" w:color="auto" w:fill="FFFFFF"/>
              </w:rPr>
              <w:t>last day</w:t>
            </w:r>
            <w:r w:rsidRPr="005D4222">
              <w:rPr>
                <w:rStyle w:val="normaltextrun"/>
                <w:b/>
                <w:color w:val="000000"/>
                <w:shd w:val="clear" w:color="auto" w:fill="FFFFFF"/>
              </w:rPr>
              <w:t xml:space="preserve"> of the measurement period, in an institutional SNP (I-SNP) or living long-term in an institution (LTI).</w:t>
            </w:r>
          </w:p>
          <w:p w14:paraId="5226A19E" w14:textId="77777777" w:rsidR="00AA7AB9" w:rsidRPr="005D4222" w:rsidRDefault="00AA7AB9" w:rsidP="0017167E">
            <w:pPr>
              <w:pStyle w:val="ProcessBullet"/>
              <w:rPr>
                <w:rFonts w:eastAsia="Arial,Arial,Arial,Arial,Arial,A"/>
              </w:rPr>
            </w:pPr>
            <w:r w:rsidRPr="005D4222">
              <w:rPr>
                <w:rFonts w:eastAsia="Arial,Arial,Arial,Arial,Arial,A"/>
              </w:rPr>
              <w:t>Enrolled in an Institutional SNP (I-SNP) any time during the measurement period.</w:t>
            </w:r>
          </w:p>
          <w:p w14:paraId="2F130D15" w14:textId="77777777" w:rsidR="00AA7AB9" w:rsidRPr="005D4222" w:rsidRDefault="00AA7AB9" w:rsidP="0017167E">
            <w:pPr>
              <w:pStyle w:val="ProcessBullet"/>
              <w:rPr>
                <w:rFonts w:eastAsia="Arial,Arial,Arial,Arial,Arial,A"/>
              </w:rPr>
            </w:pPr>
            <w:r w:rsidRPr="005D4222">
              <w:t>Living long-term in an institution any time during the measurement period as identified by the LTI flag in the Monthly Membership Detail Data File. Use the run date of the file to determine if a member had an LTI flag during the measurement period.</w:t>
            </w:r>
          </w:p>
          <w:p w14:paraId="08E99A93" w14:textId="331BCC43" w:rsidR="00AA7AB9" w:rsidRPr="005D4222" w:rsidRDefault="00AA7AB9" w:rsidP="00A53E8C">
            <w:pPr>
              <w:pStyle w:val="ECDSBody"/>
              <w:rPr>
                <w:b/>
                <w:bCs w:val="0"/>
              </w:rPr>
            </w:pPr>
            <w:r w:rsidRPr="005D4222">
              <w:rPr>
                <w:b/>
                <w:bCs w:val="0"/>
              </w:rPr>
              <w:t xml:space="preserve">Persons 66–80 years of age by the </w:t>
            </w:r>
            <w:r w:rsidR="00CD0BBA" w:rsidRPr="005D4222">
              <w:rPr>
                <w:b/>
                <w:bCs w:val="0"/>
              </w:rPr>
              <w:t>last day</w:t>
            </w:r>
            <w:r w:rsidRPr="005D4222">
              <w:rPr>
                <w:b/>
                <w:bCs w:val="0"/>
              </w:rPr>
              <w:t xml:space="preserve"> of the measurement period, with both frailty and advanced illness.</w:t>
            </w:r>
          </w:p>
          <w:p w14:paraId="04DBB8DF" w14:textId="77777777" w:rsidR="00AA7AB9" w:rsidRPr="005D4222" w:rsidRDefault="00AA7AB9" w:rsidP="00A53E8C">
            <w:pPr>
              <w:pStyle w:val="ECDSBody"/>
              <w:spacing w:before="80"/>
              <w:ind w:left="288" w:hanging="288"/>
              <w:rPr>
                <w:u w:val="single"/>
              </w:rPr>
            </w:pPr>
            <w:r w:rsidRPr="005D4222">
              <w:t>1.</w:t>
            </w:r>
            <w:r w:rsidRPr="005D4222">
              <w:tab/>
            </w:r>
            <w:r w:rsidRPr="005D4222">
              <w:rPr>
                <w:b/>
              </w:rPr>
              <w:t>Frailty.</w:t>
            </w:r>
            <w:r w:rsidRPr="005D4222">
              <w:t xml:space="preserve"> At least two indications of frailty (</w:t>
            </w:r>
            <w:r w:rsidRPr="005D4222">
              <w:rPr>
                <w:u w:val="single"/>
              </w:rPr>
              <w:t>Frailty Device Value Set</w:t>
            </w:r>
            <w:r w:rsidRPr="005D4222">
              <w:t xml:space="preserve">; </w:t>
            </w:r>
            <w:r w:rsidRPr="005D4222">
              <w:rPr>
                <w:u w:val="single"/>
              </w:rPr>
              <w:t>Frailty Diagnosis Value Set</w:t>
            </w:r>
            <w:r w:rsidRPr="005D4222">
              <w:t xml:space="preserve">*; </w:t>
            </w:r>
            <w:r w:rsidRPr="005D4222">
              <w:rPr>
                <w:u w:val="single"/>
              </w:rPr>
              <w:t>Frailty Encounter Value Set</w:t>
            </w:r>
            <w:r w:rsidRPr="005D4222">
              <w:t xml:space="preserve">; </w:t>
            </w:r>
            <w:r w:rsidRPr="005D4222">
              <w:rPr>
                <w:u w:val="single"/>
              </w:rPr>
              <w:t>Frailty Symptom Value Set</w:t>
            </w:r>
            <w:r w:rsidR="00E254AA" w:rsidRPr="005D4222">
              <w:t>*</w:t>
            </w:r>
            <w:r w:rsidRPr="005D4222">
              <w:t>) with different dates of service during the measurement period.</w:t>
            </w:r>
          </w:p>
          <w:p w14:paraId="7C4FF0B7" w14:textId="77777777" w:rsidR="00AA7AB9" w:rsidRPr="005D4222" w:rsidRDefault="00AA7AB9" w:rsidP="00A53E8C">
            <w:pPr>
              <w:pStyle w:val="ECDSBody"/>
              <w:spacing w:before="180" w:after="0"/>
              <w:ind w:left="288" w:hanging="288"/>
            </w:pPr>
            <w:r w:rsidRPr="005D4222">
              <w:lastRenderedPageBreak/>
              <w:t>2.</w:t>
            </w:r>
            <w:r w:rsidRPr="005D4222">
              <w:tab/>
            </w:r>
            <w:r w:rsidRPr="005D4222">
              <w:rPr>
                <w:b/>
              </w:rPr>
              <w:t>Advanced illness.</w:t>
            </w:r>
            <w:r w:rsidRPr="005D4222">
              <w:t xml:space="preserve"> Either of the following during the measurement period or the year prior to the measurement period: </w:t>
            </w:r>
          </w:p>
          <w:p w14:paraId="21D2950B" w14:textId="77777777" w:rsidR="00AA7AB9" w:rsidRPr="005D4222" w:rsidRDefault="00AA7AB9" w:rsidP="00A53E8C">
            <w:pPr>
              <w:pStyle w:val="ProcessDash"/>
              <w:tabs>
                <w:tab w:val="clear" w:pos="432"/>
              </w:tabs>
              <w:ind w:left="504"/>
            </w:pPr>
            <w:r w:rsidRPr="005D4222">
              <w:t>Advanced illness (</w:t>
            </w:r>
            <w:r w:rsidRPr="005D4222">
              <w:rPr>
                <w:u w:val="single"/>
              </w:rPr>
              <w:t>Advanced Illness Value Set</w:t>
            </w:r>
            <w:r w:rsidRPr="005D4222">
              <w:t>*) on at least two different dates of service.</w:t>
            </w:r>
          </w:p>
          <w:p w14:paraId="26AC8484" w14:textId="77777777" w:rsidR="00AA7AB9" w:rsidRPr="005D4222" w:rsidRDefault="00AA7AB9" w:rsidP="00A53E8C">
            <w:pPr>
              <w:pStyle w:val="ProcessDash"/>
              <w:tabs>
                <w:tab w:val="clear" w:pos="432"/>
              </w:tabs>
              <w:ind w:left="504"/>
            </w:pPr>
            <w:r w:rsidRPr="005D4222">
              <w:t>Dispensed dementia medication (</w:t>
            </w:r>
            <w:r w:rsidRPr="005D4222">
              <w:rPr>
                <w:u w:val="single"/>
              </w:rPr>
              <w:t>Dementia Medications List</w:t>
            </w:r>
            <w:r w:rsidRPr="005D4222">
              <w:t>).</w:t>
            </w:r>
          </w:p>
          <w:p w14:paraId="4364744D" w14:textId="4FE14456" w:rsidR="00AA7AB9" w:rsidRPr="005D4222" w:rsidRDefault="00AA7AB9" w:rsidP="00A53E8C">
            <w:pPr>
              <w:pStyle w:val="ECDSBody"/>
            </w:pPr>
            <w:r w:rsidRPr="005D4222">
              <w:rPr>
                <w:rFonts w:eastAsia="Arial,Arial,Arial,Arial,Arial,A"/>
                <w:b/>
              </w:rPr>
              <w:t>P</w:t>
            </w:r>
            <w:r w:rsidRPr="005D4222">
              <w:rPr>
                <w:b/>
              </w:rPr>
              <w:t xml:space="preserve">ersons 81 years of age or older by the </w:t>
            </w:r>
            <w:r w:rsidR="00D80100" w:rsidRPr="005D4222">
              <w:rPr>
                <w:b/>
              </w:rPr>
              <w:t>last day</w:t>
            </w:r>
            <w:r w:rsidRPr="005D4222">
              <w:rPr>
                <w:b/>
              </w:rPr>
              <w:t xml:space="preserve"> of the measurement period, with frailty.</w:t>
            </w:r>
            <w:r w:rsidRPr="005D4222">
              <w:rPr>
                <w:b/>
              </w:rPr>
              <w:br/>
            </w:r>
            <w:r w:rsidRPr="005D4222">
              <w:rPr>
                <w:rFonts w:eastAsia="Arial,Arial,Arial,Arial,Arial,A"/>
              </w:rPr>
              <w:t xml:space="preserve">Persons </w:t>
            </w:r>
            <w:r w:rsidRPr="005D4222">
              <w:t>81 years of age and older as of the last day of the measurement period with at least two indications of frailty (</w:t>
            </w:r>
            <w:r w:rsidRPr="005D4222">
              <w:rPr>
                <w:u w:val="single"/>
              </w:rPr>
              <w:t>Frailty Device Value Set</w:t>
            </w:r>
            <w:r w:rsidRPr="005D4222">
              <w:t xml:space="preserve">; </w:t>
            </w:r>
            <w:r w:rsidRPr="005D4222">
              <w:rPr>
                <w:u w:val="single"/>
              </w:rPr>
              <w:t>Frailty Diagnosis Value Set</w:t>
            </w:r>
            <w:r w:rsidRPr="005D4222">
              <w:t xml:space="preserve">*; </w:t>
            </w:r>
            <w:r w:rsidRPr="005D4222">
              <w:rPr>
                <w:u w:val="single"/>
              </w:rPr>
              <w:t>Frailty Encounter Value Set</w:t>
            </w:r>
            <w:r w:rsidRPr="005D4222">
              <w:t xml:space="preserve">; </w:t>
            </w:r>
            <w:r w:rsidRPr="005D4222">
              <w:rPr>
                <w:u w:val="single"/>
              </w:rPr>
              <w:t>Frailty Symptom Value Set</w:t>
            </w:r>
            <w:r w:rsidR="00E254AA" w:rsidRPr="005D4222">
              <w:t>*</w:t>
            </w:r>
            <w:r w:rsidRPr="005D4222">
              <w:t xml:space="preserve">) with different dates of service during the measurement period. </w:t>
            </w:r>
          </w:p>
          <w:p w14:paraId="7FCE7839" w14:textId="77777777" w:rsidR="00AA7AB9" w:rsidRPr="005D4222" w:rsidRDefault="00AA7AB9" w:rsidP="00A53E8C">
            <w:pPr>
              <w:pStyle w:val="ECDSBody"/>
            </w:pPr>
            <w:r w:rsidRPr="005D4222">
              <w:rPr>
                <w:b/>
              </w:rPr>
              <w:t>End-stage renal disease (ESRD).</w:t>
            </w:r>
            <w:r w:rsidRPr="005D4222">
              <w:rPr>
                <w:b/>
              </w:rPr>
              <w:br/>
            </w:r>
            <w:r w:rsidRPr="005D4222">
              <w:t xml:space="preserve">Persons with any of the following during their history on or prior to the last day of the measurement period: </w:t>
            </w:r>
          </w:p>
          <w:p w14:paraId="2EE72323" w14:textId="396CCF84" w:rsidR="00AA7AB9" w:rsidRPr="005D4222" w:rsidRDefault="00AA7AB9" w:rsidP="00D140A5">
            <w:pPr>
              <w:pStyle w:val="ProcessBullet"/>
            </w:pPr>
            <w:r w:rsidRPr="005D4222">
              <w:t>Diagnosis that indicates end-stage renal disease (ESRD) (</w:t>
            </w:r>
            <w:r w:rsidRPr="005D4222">
              <w:rPr>
                <w:u w:val="single"/>
              </w:rPr>
              <w:t>ESRD Diagnosis Value Set</w:t>
            </w:r>
            <w:r w:rsidRPr="005D4222">
              <w:t xml:space="preserve">*; </w:t>
            </w:r>
            <w:r w:rsidRPr="005D4222">
              <w:rPr>
                <w:u w:val="single"/>
              </w:rPr>
              <w:t>History of Nephrectomy or Kidney Transplant Value Set</w:t>
            </w:r>
            <w:r w:rsidRPr="005D4222">
              <w:t>*).</w:t>
            </w:r>
          </w:p>
          <w:p w14:paraId="743BB613" w14:textId="2FAEDC70" w:rsidR="00AA7AB9" w:rsidRPr="005D4222" w:rsidRDefault="00AA7AB9" w:rsidP="00D140A5">
            <w:pPr>
              <w:pStyle w:val="ProcessBullet"/>
            </w:pPr>
            <w:r w:rsidRPr="005D4222">
              <w:t>Procedure that indicates ESRD: dialysis (</w:t>
            </w:r>
            <w:r w:rsidRPr="005D4222">
              <w:rPr>
                <w:u w:val="single"/>
              </w:rPr>
              <w:t>Dialysis Procedure Value Set</w:t>
            </w:r>
            <w:r w:rsidRPr="005D4222">
              <w:t>), nephrectomy (</w:t>
            </w:r>
            <w:r w:rsidRPr="005D4222">
              <w:rPr>
                <w:u w:val="single"/>
              </w:rPr>
              <w:t>Total Nephrectomy Value Set</w:t>
            </w:r>
            <w:r w:rsidRPr="005D4222">
              <w:t xml:space="preserve">; </w:t>
            </w:r>
            <w:r w:rsidRPr="005D4222">
              <w:rPr>
                <w:u w:val="single"/>
              </w:rPr>
              <w:t>Partial Nephrectomy Value Set</w:t>
            </w:r>
            <w:r w:rsidRPr="005D4222">
              <w:t>) or kidney transplant (</w:t>
            </w:r>
            <w:r w:rsidRPr="005D4222">
              <w:rPr>
                <w:u w:val="single"/>
              </w:rPr>
              <w:t>Kidney Transplant Value Set</w:t>
            </w:r>
            <w:r w:rsidRPr="005D4222">
              <w:t>).</w:t>
            </w:r>
          </w:p>
          <w:p w14:paraId="31C4F83B" w14:textId="04325340" w:rsidR="00AA7AB9" w:rsidRPr="005D4222" w:rsidRDefault="00AA7AB9" w:rsidP="00A53E8C">
            <w:pPr>
              <w:pStyle w:val="ECDSBody"/>
              <w:rPr>
                <w:b/>
              </w:rPr>
            </w:pPr>
            <w:r w:rsidRPr="005D4222">
              <w:rPr>
                <w:b/>
              </w:rPr>
              <w:t xml:space="preserve">Diagnosis of pregnancy. </w:t>
            </w:r>
            <w:r w:rsidRPr="005D4222">
              <w:rPr>
                <w:b/>
              </w:rPr>
              <w:br/>
            </w:r>
            <w:r w:rsidRPr="005D4222">
              <w:t xml:space="preserve">Persons with </w:t>
            </w:r>
            <w:r w:rsidR="009F2EFE" w:rsidRPr="005D4222">
              <w:t xml:space="preserve">a </w:t>
            </w:r>
            <w:r w:rsidRPr="005D4222">
              <w:t>diagnosis of pregnancy (</w:t>
            </w:r>
            <w:r w:rsidRPr="005D4222">
              <w:rPr>
                <w:u w:val="single"/>
              </w:rPr>
              <w:t>Pregnancy Value Set</w:t>
            </w:r>
            <w:r w:rsidRPr="005D4222">
              <w:t xml:space="preserve">*) any time during the measurement period. </w:t>
            </w:r>
          </w:p>
          <w:p w14:paraId="6C73B6B0" w14:textId="77777777" w:rsidR="00AA7AB9" w:rsidRPr="005D4222" w:rsidRDefault="00AA7AB9" w:rsidP="00A53E8C">
            <w:pPr>
              <w:pStyle w:val="ECDSBody"/>
            </w:pPr>
            <w:r w:rsidRPr="005D4222">
              <w:rPr>
                <w:rFonts w:eastAsia="Arial,Arial,Arial,Arial,Arial,A"/>
                <w:b/>
              </w:rPr>
              <w:t>Nonacute inpatient admission.</w:t>
            </w:r>
            <w:r w:rsidRPr="005D4222">
              <w:rPr>
                <w:rFonts w:eastAsia="Arial,Arial,Arial,Arial,Arial,A"/>
              </w:rPr>
              <w:br/>
              <w:t>Persons with a nonacute inpatient admission during the measurement period.</w:t>
            </w:r>
            <w:r w:rsidRPr="005D4222">
              <w:rPr>
                <w:rFonts w:eastAsia="Arial,Arial,Arial,Arial,Arial,A"/>
                <w:bCs w:val="0"/>
              </w:rPr>
              <w:t xml:space="preserve"> </w:t>
            </w:r>
            <w:r w:rsidRPr="005D4222">
              <w:t xml:space="preserve">To identify nonacute inpatient admissions: </w:t>
            </w:r>
          </w:p>
          <w:p w14:paraId="2E34742D" w14:textId="77777777" w:rsidR="00AA7AB9" w:rsidRPr="005D4222" w:rsidRDefault="00AA7AB9" w:rsidP="005D6173">
            <w:pPr>
              <w:pStyle w:val="ECDSBody"/>
              <w:numPr>
                <w:ilvl w:val="0"/>
                <w:numId w:val="153"/>
              </w:numPr>
              <w:spacing w:before="80"/>
              <w:ind w:left="648" w:hanging="288"/>
            </w:pPr>
            <w:r w:rsidRPr="005D4222">
              <w:t>Identify all acute and nonacute inpatient stays (</w:t>
            </w:r>
            <w:r w:rsidRPr="005D4222">
              <w:rPr>
                <w:u w:val="single"/>
              </w:rPr>
              <w:t>Inpatient Stay Value Set</w:t>
            </w:r>
            <w:r w:rsidRPr="005D4222">
              <w:t>).</w:t>
            </w:r>
          </w:p>
          <w:p w14:paraId="2D59AE1A" w14:textId="77777777" w:rsidR="00AA7AB9" w:rsidRPr="005D4222" w:rsidRDefault="00AA7AB9" w:rsidP="005D6173">
            <w:pPr>
              <w:pStyle w:val="ECDSBody"/>
              <w:numPr>
                <w:ilvl w:val="0"/>
                <w:numId w:val="153"/>
              </w:numPr>
              <w:spacing w:before="80"/>
              <w:ind w:left="648" w:hanging="288"/>
            </w:pPr>
            <w:r w:rsidRPr="005D4222">
              <w:t>Confirm the stay was for nonacute care based on the presence of a nonacute code (</w:t>
            </w:r>
            <w:r w:rsidRPr="005D4222">
              <w:rPr>
                <w:u w:val="single"/>
              </w:rPr>
              <w:t>Nonacute Inpatient Stay Value Set</w:t>
            </w:r>
            <w:r w:rsidRPr="005D4222">
              <w:t>) on the claim.</w:t>
            </w:r>
          </w:p>
          <w:p w14:paraId="6478E76C" w14:textId="77777777" w:rsidR="00AA7AB9" w:rsidRPr="005D4222" w:rsidRDefault="00AA7AB9" w:rsidP="005D6173">
            <w:pPr>
              <w:pStyle w:val="ECDSBody"/>
              <w:numPr>
                <w:ilvl w:val="0"/>
                <w:numId w:val="153"/>
              </w:numPr>
              <w:spacing w:before="80"/>
              <w:ind w:left="648" w:hanging="288"/>
            </w:pPr>
            <w:r w:rsidRPr="005D4222">
              <w:t>Identify the admission date for the stay.</w:t>
            </w:r>
          </w:p>
          <w:p w14:paraId="0D52FB1F" w14:textId="77777777" w:rsidR="00AA7AB9" w:rsidRPr="005D4222" w:rsidRDefault="00AA7AB9" w:rsidP="00A53E8C">
            <w:pPr>
              <w:pStyle w:val="ECDSBody"/>
              <w:spacing w:after="0"/>
              <w:rPr>
                <w:rFonts w:eastAsia="Arial,Arial,Arial,Arial,Arial,A"/>
                <w:b/>
                <w:bCs w:val="0"/>
              </w:rPr>
            </w:pPr>
            <w:r w:rsidRPr="005D4222">
              <w:rPr>
                <w:rFonts w:eastAsia="Arial,Arial,Arial,Arial,Arial,A"/>
                <w:b/>
                <w:bCs w:val="0"/>
              </w:rPr>
              <w:t>Coding Guidance</w:t>
            </w:r>
          </w:p>
          <w:p w14:paraId="4378826B" w14:textId="77777777" w:rsidR="00AA7AB9" w:rsidRPr="005D4222" w:rsidRDefault="00AA7AB9" w:rsidP="00A53E8C">
            <w:pPr>
              <w:pStyle w:val="ECDSBody"/>
              <w:spacing w:before="0"/>
              <w:rPr>
                <w:rFonts w:eastAsia="Arial,Arial,Arial,Arial,Arial,A"/>
                <w:szCs w:val="21"/>
                <w:lang w:eastAsia="zh-CN"/>
              </w:rPr>
            </w:pPr>
            <w:r w:rsidRPr="005D4222">
              <w:rPr>
                <w:rFonts w:eastAsia="Arial,Arial,Arial,Arial,Arial,A"/>
              </w:rPr>
              <w:t>*</w:t>
            </w:r>
            <w:r w:rsidRPr="005D4222">
              <w:rPr>
                <w:rStyle w:val="BodyChar1"/>
                <w:rFonts w:eastAsia="Arial,Arial,Arial,Arial,Arial,A"/>
              </w:rPr>
              <w:t>Do not include laboratory claims (claims with POS code 81).</w:t>
            </w:r>
          </w:p>
        </w:tc>
      </w:tr>
      <w:tr w:rsidR="00AA7AB9" w:rsidRPr="005D4222" w14:paraId="6BDC7B4D" w14:textId="77777777" w:rsidTr="00611F69">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hideMark/>
          </w:tcPr>
          <w:p w14:paraId="2D294B08" w14:textId="77777777" w:rsidR="00AA7AB9" w:rsidRPr="005D4222" w:rsidRDefault="00AA7AB9" w:rsidP="00A53E8C">
            <w:pPr>
              <w:pStyle w:val="ECDSMarginHead"/>
              <w:rPr>
                <w:lang w:eastAsia="zh-CN"/>
              </w:rPr>
            </w:pPr>
            <w:r w:rsidRPr="005D4222">
              <w:rPr>
                <w:lang w:eastAsia="zh-CN"/>
              </w:rPr>
              <w:lastRenderedPageBreak/>
              <w:t>Denominator</w:t>
            </w:r>
          </w:p>
        </w:tc>
        <w:tc>
          <w:tcPr>
            <w:tcW w:w="3890" w:type="pct"/>
            <w:gridSpan w:val="3"/>
            <w:tcBorders>
              <w:top w:val="single" w:sz="4" w:space="0" w:color="auto"/>
              <w:left w:val="single" w:sz="4" w:space="0" w:color="auto"/>
              <w:bottom w:val="single" w:sz="4" w:space="0" w:color="auto"/>
              <w:right w:val="single" w:sz="4" w:space="0" w:color="auto"/>
            </w:tcBorders>
            <w:hideMark/>
          </w:tcPr>
          <w:p w14:paraId="24304BE6" w14:textId="77777777" w:rsidR="00AA7AB9" w:rsidRPr="005D4222" w:rsidRDefault="00AA7AB9" w:rsidP="00A53E8C">
            <w:pPr>
              <w:pStyle w:val="ECDSBody"/>
              <w:rPr>
                <w:b/>
                <w:szCs w:val="21"/>
                <w:lang w:eastAsia="zh-CN"/>
              </w:rPr>
            </w:pPr>
            <w:r w:rsidRPr="005D4222">
              <w:rPr>
                <w:rFonts w:eastAsia="Arial,Arial,Arial,Arial,Arial,A"/>
              </w:rPr>
              <w:t>The initial population minus denominator exclusions.</w:t>
            </w:r>
          </w:p>
        </w:tc>
      </w:tr>
      <w:tr w:rsidR="00AA7AB9" w:rsidRPr="005D4222" w14:paraId="002BA09F" w14:textId="77777777" w:rsidTr="00611F69">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hideMark/>
          </w:tcPr>
          <w:p w14:paraId="047318C6" w14:textId="77777777" w:rsidR="00AA7AB9" w:rsidRPr="005D4222" w:rsidRDefault="00AA7AB9" w:rsidP="00A53E8C">
            <w:pPr>
              <w:pStyle w:val="ECDSMarginHead"/>
              <w:rPr>
                <w:lang w:eastAsia="zh-CN"/>
              </w:rPr>
            </w:pPr>
            <w:r w:rsidRPr="005D4222">
              <w:rPr>
                <w:lang w:eastAsia="zh-CN"/>
              </w:rPr>
              <w:t>Numerator</w:t>
            </w:r>
          </w:p>
        </w:tc>
        <w:tc>
          <w:tcPr>
            <w:tcW w:w="3890" w:type="pct"/>
            <w:gridSpan w:val="3"/>
            <w:tcBorders>
              <w:top w:val="single" w:sz="4" w:space="0" w:color="auto"/>
              <w:left w:val="single" w:sz="4" w:space="0" w:color="auto"/>
              <w:bottom w:val="single" w:sz="4" w:space="0" w:color="auto"/>
              <w:right w:val="single" w:sz="4" w:space="0" w:color="auto"/>
            </w:tcBorders>
            <w:hideMark/>
          </w:tcPr>
          <w:p w14:paraId="4E8A0D11" w14:textId="77777777" w:rsidR="00AA7AB9" w:rsidRPr="005D4222" w:rsidRDefault="00AA7AB9" w:rsidP="00A53E8C">
            <w:pPr>
              <w:pStyle w:val="ECDSBody"/>
              <w:rPr>
                <w:rFonts w:eastAsia="Arial,Arial,Arial,Arial,Arial,A"/>
                <w:iCs/>
              </w:rPr>
            </w:pPr>
            <w:r w:rsidRPr="005D4222">
              <w:rPr>
                <w:rFonts w:eastAsia="Arial,Arial,Arial,Arial,Arial,A"/>
                <w:b/>
              </w:rPr>
              <w:t xml:space="preserve">Both a systolic and diastolic reading </w:t>
            </w:r>
            <w:r w:rsidRPr="005D4222">
              <w:rPr>
                <w:b/>
                <w:szCs w:val="21"/>
              </w:rPr>
              <w:t>&lt;140/90 mm Hg</w:t>
            </w:r>
            <w:r w:rsidRPr="005D4222">
              <w:rPr>
                <w:rFonts w:eastAsia="Arial,Arial,Arial,Arial,Arial,A"/>
                <w:b/>
              </w:rPr>
              <w:t xml:space="preserve">. </w:t>
            </w:r>
            <w:r w:rsidRPr="005D4222">
              <w:rPr>
                <w:rFonts w:eastAsia="Arial,Arial,Arial,Arial,Arial,A"/>
                <w:b/>
              </w:rPr>
              <w:br/>
            </w:r>
            <w:r w:rsidRPr="005D4222">
              <w:t xml:space="preserve">Identify the most recent systolic and diastolic BP readings </w:t>
            </w:r>
            <w:r w:rsidRPr="005D4222">
              <w:rPr>
                <w:rFonts w:eastAsia="Arial,Arial,Arial,Arial,Arial,A"/>
              </w:rPr>
              <w:t>(</w:t>
            </w:r>
            <w:r w:rsidRPr="005D4222">
              <w:rPr>
                <w:rFonts w:eastAsia="Arial,Arial,Arial,Arial,Arial,A"/>
                <w:u w:val="single"/>
              </w:rPr>
              <w:t>Systolic Blood Pressure Value Set</w:t>
            </w:r>
            <w:r w:rsidRPr="005D4222">
              <w:rPr>
                <w:rFonts w:eastAsia="Arial,Arial,Arial,Arial,Arial,A"/>
              </w:rPr>
              <w:t xml:space="preserve">; </w:t>
            </w:r>
            <w:r w:rsidRPr="005D4222">
              <w:rPr>
                <w:rFonts w:eastAsia="Arial,Arial,Arial,Arial,Arial,A"/>
                <w:u w:val="single"/>
              </w:rPr>
              <w:t>Diastolic Blood Pressure Value Set</w:t>
            </w:r>
            <w:r w:rsidRPr="005D4222">
              <w:rPr>
                <w:rFonts w:eastAsia="Arial Narrow" w:cs="Arial Narrow"/>
                <w:position w:val="4"/>
                <w:szCs w:val="21"/>
              </w:rPr>
              <w:t xml:space="preserve">) </w:t>
            </w:r>
            <w:r w:rsidRPr="005D4222">
              <w:t xml:space="preserve">taken during the measurement period </w:t>
            </w:r>
            <w:r w:rsidRPr="005D4222">
              <w:rPr>
                <w:i/>
                <w:iCs/>
              </w:rPr>
              <w:t>on or after</w:t>
            </w:r>
            <w:r w:rsidRPr="005D4222">
              <w:t xml:space="preserve"> the second diagnosis of hypertension event (identified using the initial population criteria).</w:t>
            </w:r>
            <w:r w:rsidRPr="005D4222">
              <w:rPr>
                <w:rFonts w:eastAsia="Arial,Arial,Arial,Arial,Arial,A"/>
                <w:i/>
              </w:rPr>
              <w:t xml:space="preserve"> </w:t>
            </w:r>
            <w:r w:rsidRPr="005D4222">
              <w:t>Do not include CPT Category II codes (</w:t>
            </w:r>
            <w:r w:rsidRPr="005D4222">
              <w:rPr>
                <w:u w:val="single"/>
              </w:rPr>
              <w:t>Systolic and Diastolic Result Value Set</w:t>
            </w:r>
            <w:r w:rsidRPr="005D4222">
              <w:t xml:space="preserve">) </w:t>
            </w:r>
            <w:r w:rsidRPr="005D4222">
              <w:rPr>
                <w:szCs w:val="21"/>
              </w:rPr>
              <w:t>with a modifier (</w:t>
            </w:r>
            <w:r w:rsidRPr="005D4222">
              <w:rPr>
                <w:szCs w:val="21"/>
                <w:u w:val="single"/>
              </w:rPr>
              <w:t>CPT CAT II Modifier Value Set</w:t>
            </w:r>
            <w:r w:rsidRPr="005D4222">
              <w:rPr>
                <w:szCs w:val="21"/>
              </w:rPr>
              <w:t xml:space="preserve">). </w:t>
            </w:r>
            <w:r w:rsidRPr="005D4222">
              <w:rPr>
                <w:rFonts w:eastAsia="Arial,Arial,Arial,Arial,Arial,A"/>
                <w:iCs/>
              </w:rPr>
              <w:t>Do not include BPs taken in an acute inpatient setting (</w:t>
            </w:r>
            <w:r w:rsidRPr="005D4222">
              <w:rPr>
                <w:rFonts w:eastAsia="Arial,Arial,Arial,Arial,Arial,A"/>
                <w:iCs/>
                <w:u w:val="single"/>
              </w:rPr>
              <w:t>Acute Inpatient Value Set</w:t>
            </w:r>
            <w:r w:rsidRPr="005D4222">
              <w:rPr>
                <w:rFonts w:eastAsia="Arial,Arial,Arial,Arial,Arial,A"/>
                <w:iCs/>
              </w:rPr>
              <w:t xml:space="preserve">; </w:t>
            </w:r>
            <w:r w:rsidRPr="005D4222">
              <w:rPr>
                <w:rFonts w:eastAsia="Arial,Arial,Arial,Arial,Arial,A"/>
                <w:iCs/>
                <w:u w:val="single"/>
              </w:rPr>
              <w:t>Acute Inpatient POS Value Set</w:t>
            </w:r>
            <w:r w:rsidRPr="005D4222">
              <w:rPr>
                <w:rFonts w:eastAsia="Arial,Arial,Arial,Arial,Arial,A"/>
                <w:iCs/>
              </w:rPr>
              <w:t>) or ED visit (</w:t>
            </w:r>
            <w:r w:rsidRPr="005D4222">
              <w:rPr>
                <w:rFonts w:eastAsia="Arial,Arial,Arial,Arial,Arial,A"/>
                <w:iCs/>
                <w:u w:val="single"/>
              </w:rPr>
              <w:t>ED Value Set</w:t>
            </w:r>
            <w:r w:rsidRPr="005D4222">
              <w:rPr>
                <w:rFonts w:eastAsia="Arial,Arial,Arial,Arial,Arial,A"/>
                <w:iCs/>
              </w:rPr>
              <w:t xml:space="preserve">; POS code 23). </w:t>
            </w:r>
          </w:p>
          <w:p w14:paraId="2124144D" w14:textId="77777777" w:rsidR="00AA7AB9" w:rsidRPr="005D4222" w:rsidRDefault="00AA7AB9" w:rsidP="00A53E8C">
            <w:pPr>
              <w:pStyle w:val="ECDSBody"/>
              <w:rPr>
                <w:rFonts w:eastAsia="Arial,Arial,Arial,Arial,Arial,A"/>
                <w:color w:val="000000" w:themeColor="text1"/>
                <w:szCs w:val="21"/>
                <w:lang w:eastAsia="zh-CN"/>
              </w:rPr>
            </w:pPr>
            <w:r w:rsidRPr="005D4222">
              <w:rPr>
                <w:rFonts w:eastAsia="Arial,Arial,Arial,Arial,Arial,A"/>
                <w:color w:val="000000" w:themeColor="text1"/>
                <w:szCs w:val="21"/>
                <w:lang w:eastAsia="zh-CN"/>
              </w:rPr>
              <w:t xml:space="preserve">If </w:t>
            </w:r>
            <w:r w:rsidRPr="005D4222" w:rsidDel="000A007B">
              <w:rPr>
                <w:rFonts w:eastAsia="Arial,Arial,Arial,Arial,Arial,A"/>
                <w:color w:val="000000" w:themeColor="text1"/>
                <w:szCs w:val="21"/>
                <w:lang w:eastAsia="zh-CN"/>
              </w:rPr>
              <w:t xml:space="preserve">multiple </w:t>
            </w:r>
            <w:r w:rsidRPr="005D4222">
              <w:rPr>
                <w:rFonts w:eastAsia="Arial,Arial,Arial,Arial,Arial,A"/>
                <w:color w:val="000000" w:themeColor="text1"/>
                <w:szCs w:val="21"/>
                <w:lang w:eastAsia="zh-CN"/>
              </w:rPr>
              <w:t xml:space="preserve">readings </w:t>
            </w:r>
            <w:r w:rsidRPr="005D4222" w:rsidDel="000D2906">
              <w:rPr>
                <w:rFonts w:eastAsia="Arial,Arial,Arial,Arial,Arial,A"/>
                <w:color w:val="000000" w:themeColor="text1"/>
                <w:szCs w:val="21"/>
                <w:lang w:eastAsia="zh-CN"/>
              </w:rPr>
              <w:t xml:space="preserve">were recorded </w:t>
            </w:r>
            <w:r w:rsidRPr="005D4222" w:rsidDel="007214CF">
              <w:rPr>
                <w:rFonts w:eastAsia="Arial,Arial,Arial,Arial,Arial,A"/>
                <w:color w:val="000000" w:themeColor="text1"/>
                <w:szCs w:val="21"/>
                <w:lang w:eastAsia="zh-CN"/>
              </w:rPr>
              <w:t>for</w:t>
            </w:r>
            <w:r w:rsidRPr="005D4222">
              <w:rPr>
                <w:rFonts w:eastAsia="Arial,Arial,Arial,Arial,Arial,A"/>
                <w:color w:val="000000" w:themeColor="text1"/>
                <w:szCs w:val="21"/>
                <w:lang w:eastAsia="zh-CN"/>
              </w:rPr>
              <w:t xml:space="preserve"> a single date, use the lowest systolic and lowest diastolic BP on that date as the representative BP. The systolic and diastolic results do not need to be from the same reading.</w:t>
            </w:r>
          </w:p>
        </w:tc>
      </w:tr>
      <w:tr w:rsidR="00AA7AB9" w:rsidRPr="005D4222" w14:paraId="7E7B8D62" w14:textId="77777777" w:rsidTr="00611F69">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Pr>
          <w:p w14:paraId="45F3FD95" w14:textId="77777777" w:rsidR="00AA7AB9" w:rsidRPr="005D4222" w:rsidRDefault="00AA7AB9" w:rsidP="00A53E8C">
            <w:pPr>
              <w:pStyle w:val="ECDSMarginHead"/>
              <w:rPr>
                <w:lang w:eastAsia="zh-CN"/>
              </w:rPr>
            </w:pPr>
          </w:p>
        </w:tc>
        <w:tc>
          <w:tcPr>
            <w:tcW w:w="3890" w:type="pct"/>
            <w:gridSpan w:val="3"/>
            <w:tcBorders>
              <w:top w:val="single" w:sz="4" w:space="0" w:color="auto"/>
              <w:left w:val="single" w:sz="4" w:space="0" w:color="auto"/>
              <w:bottom w:val="single" w:sz="4" w:space="0" w:color="auto"/>
              <w:right w:val="single" w:sz="4" w:space="0" w:color="auto"/>
            </w:tcBorders>
          </w:tcPr>
          <w:p w14:paraId="3C542342" w14:textId="77777777" w:rsidR="00AA7AB9" w:rsidRPr="005D4222" w:rsidRDefault="00AA7AB9" w:rsidP="00A53E8C">
            <w:pPr>
              <w:pStyle w:val="Bullet"/>
            </w:pPr>
            <w:r w:rsidRPr="005D4222">
              <w:rPr>
                <w:i/>
                <w:iCs/>
              </w:rPr>
              <w:t>Compliant</w:t>
            </w:r>
            <w:r w:rsidRPr="005D4222">
              <w:t>: BP is &lt;140/90 mm Hg.</w:t>
            </w:r>
          </w:p>
          <w:p w14:paraId="02D9648F" w14:textId="77777777" w:rsidR="00AA7AB9" w:rsidRPr="005D4222" w:rsidRDefault="00AA7AB9" w:rsidP="00A53E8C">
            <w:pPr>
              <w:pStyle w:val="Bullet"/>
            </w:pPr>
            <w:r w:rsidRPr="005D4222">
              <w:rPr>
                <w:i/>
                <w:iCs/>
              </w:rPr>
              <w:t>Non-compliant</w:t>
            </w:r>
            <w:r w:rsidRPr="005D4222">
              <w:t xml:space="preserve">: BP is </w:t>
            </w:r>
            <w:r w:rsidRPr="005D4222">
              <w:rPr>
                <w:rFonts w:cs="Arial"/>
              </w:rPr>
              <w:t>≥</w:t>
            </w:r>
            <w:r w:rsidRPr="005D4222">
              <w:t>140/90 mm Hg; no BP reading during the measurement period; or if the reading is incomplete (e.g., the systolic or diastolic level is missing).</w:t>
            </w:r>
          </w:p>
          <w:p w14:paraId="68F383A9" w14:textId="77777777" w:rsidR="00AA7AB9" w:rsidRPr="005D4222" w:rsidRDefault="00AA7AB9" w:rsidP="00A53E8C">
            <w:pPr>
              <w:pStyle w:val="ECDSBody"/>
              <w:spacing w:after="0"/>
              <w:rPr>
                <w:rFonts w:eastAsia="Arial,Arial,Arial,Arial,Arial,A"/>
                <w:i/>
              </w:rPr>
            </w:pPr>
            <w:r w:rsidRPr="005D4222">
              <w:t>If the most recent blood pressure was identified based on a CPT Category II code (</w:t>
            </w:r>
            <w:r w:rsidRPr="005D4222">
              <w:rPr>
                <w:u w:val="single"/>
              </w:rPr>
              <w:t>Systolic and Diastolic Result Value Set</w:t>
            </w:r>
            <w:r w:rsidRPr="005D4222">
              <w:t xml:space="preserve">) use the following to determine compliance: </w:t>
            </w:r>
          </w:p>
          <w:p w14:paraId="610ECFB3" w14:textId="77777777" w:rsidR="00AA7AB9" w:rsidRPr="005D4222" w:rsidRDefault="00AA7AB9" w:rsidP="00A53E8C">
            <w:pPr>
              <w:pStyle w:val="Bullet"/>
            </w:pPr>
            <w:r w:rsidRPr="005D4222">
              <w:rPr>
                <w:i/>
                <w:iCs/>
              </w:rPr>
              <w:t>Systolic compliant</w:t>
            </w:r>
            <w:r w:rsidRPr="005D4222">
              <w:t xml:space="preserve">: </w:t>
            </w:r>
            <w:r w:rsidRPr="005D4222">
              <w:rPr>
                <w:u w:val="single"/>
              </w:rPr>
              <w:t>Systolic Less Than 140 Value Set</w:t>
            </w:r>
            <w:r w:rsidRPr="005D4222">
              <w:t xml:space="preserve">. </w:t>
            </w:r>
          </w:p>
          <w:p w14:paraId="1042E6B0" w14:textId="77777777" w:rsidR="00AA7AB9" w:rsidRPr="005D4222" w:rsidRDefault="00AA7AB9" w:rsidP="00A53E8C">
            <w:pPr>
              <w:pStyle w:val="Bullet"/>
            </w:pPr>
            <w:r w:rsidRPr="005D4222">
              <w:rPr>
                <w:i/>
                <w:iCs/>
              </w:rPr>
              <w:t>Systolic not compliant</w:t>
            </w:r>
            <w:r w:rsidRPr="005D4222">
              <w:t xml:space="preserve">: CPT-CAT-II code 3077F. </w:t>
            </w:r>
          </w:p>
          <w:p w14:paraId="7198AD8D" w14:textId="77777777" w:rsidR="00AA7AB9" w:rsidRPr="005D4222" w:rsidRDefault="00AA7AB9" w:rsidP="00A53E8C">
            <w:pPr>
              <w:pStyle w:val="Bullet"/>
            </w:pPr>
            <w:r w:rsidRPr="005D4222">
              <w:rPr>
                <w:i/>
                <w:iCs/>
              </w:rPr>
              <w:t>Diastolic compliant</w:t>
            </w:r>
            <w:r w:rsidRPr="005D4222">
              <w:t xml:space="preserve">: </w:t>
            </w:r>
            <w:r w:rsidRPr="005D4222">
              <w:rPr>
                <w:u w:val="single"/>
              </w:rPr>
              <w:t>Diastolic Less Than 90 Value Set</w:t>
            </w:r>
            <w:r w:rsidRPr="005D4222">
              <w:t xml:space="preserve">. </w:t>
            </w:r>
          </w:p>
          <w:p w14:paraId="0946DC3C" w14:textId="77777777" w:rsidR="00AA7AB9" w:rsidRPr="005D4222" w:rsidRDefault="00AA7AB9" w:rsidP="00A53E8C">
            <w:pPr>
              <w:pStyle w:val="Bullet"/>
              <w:spacing w:after="80"/>
              <w:rPr>
                <w:rFonts w:eastAsia="Arial,Arial,Arial,Arial,Arial,A"/>
                <w:b/>
              </w:rPr>
            </w:pPr>
            <w:r w:rsidRPr="005D4222">
              <w:rPr>
                <w:i/>
                <w:iCs/>
              </w:rPr>
              <w:t>Diastolic not compliant</w:t>
            </w:r>
            <w:r w:rsidRPr="005D4222">
              <w:t>: CPT-CAT-II code 3080F.</w:t>
            </w:r>
          </w:p>
        </w:tc>
      </w:tr>
      <w:tr w:rsidR="00AA7AB9" w:rsidRPr="005D4222" w14:paraId="7AC92F0C" w14:textId="77777777" w:rsidTr="00611F69">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hideMark/>
          </w:tcPr>
          <w:p w14:paraId="64EBF384" w14:textId="77777777" w:rsidR="00AA7AB9" w:rsidRPr="005D4222" w:rsidRDefault="00AA7AB9" w:rsidP="00A53E8C">
            <w:pPr>
              <w:pStyle w:val="ECDSMarginHead"/>
              <w:rPr>
                <w:lang w:eastAsia="zh-CN"/>
              </w:rPr>
            </w:pPr>
            <w:r w:rsidRPr="005D4222">
              <w:rPr>
                <w:lang w:eastAsia="zh-CN"/>
              </w:rPr>
              <w:t>Summary of changes</w:t>
            </w:r>
          </w:p>
        </w:tc>
        <w:tc>
          <w:tcPr>
            <w:tcW w:w="3890" w:type="pct"/>
            <w:gridSpan w:val="3"/>
            <w:tcBorders>
              <w:top w:val="single" w:sz="4" w:space="0" w:color="auto"/>
              <w:left w:val="single" w:sz="4" w:space="0" w:color="auto"/>
              <w:bottom w:val="single" w:sz="4" w:space="0" w:color="auto"/>
              <w:right w:val="single" w:sz="4" w:space="0" w:color="auto"/>
            </w:tcBorders>
          </w:tcPr>
          <w:p w14:paraId="4AEA062A" w14:textId="77777777" w:rsidR="00AA7AB9" w:rsidRPr="005D4222" w:rsidRDefault="00AA7AB9" w:rsidP="00297882">
            <w:pPr>
              <w:pStyle w:val="ProcessBullet"/>
              <w:spacing w:before="120"/>
            </w:pPr>
            <w:r w:rsidRPr="005D4222">
              <w:t>Updated the race and ethnicity stratification categories to align with OMB SPD 15 2024.</w:t>
            </w:r>
          </w:p>
          <w:p w14:paraId="0EFB52BA" w14:textId="77777777" w:rsidR="00AA7AB9" w:rsidRPr="005D4222" w:rsidRDefault="00AA7AB9" w:rsidP="00D140A5">
            <w:pPr>
              <w:pStyle w:val="ProcessBullet"/>
            </w:pPr>
            <w:r w:rsidRPr="005D4222">
              <w:t xml:space="preserve">Removed the definitions of participation and participation period. </w:t>
            </w:r>
          </w:p>
          <w:p w14:paraId="4E9702CC" w14:textId="77777777" w:rsidR="00AA7AB9" w:rsidRPr="005D4222" w:rsidRDefault="00AA7AB9" w:rsidP="00297882">
            <w:pPr>
              <w:pStyle w:val="ProcessBullet"/>
              <w:spacing w:after="80"/>
            </w:pPr>
            <w:r w:rsidRPr="005D4222">
              <w:t xml:space="preserve">Removed the SSoR data elements from the data element tables. </w:t>
            </w:r>
          </w:p>
          <w:p w14:paraId="5AA15866" w14:textId="35F3AB5C" w:rsidR="00AA7AB9" w:rsidRPr="005D4222" w:rsidRDefault="002561F8" w:rsidP="002561F8">
            <w:pPr>
              <w:pStyle w:val="ProcessBullet"/>
            </w:pPr>
            <w:r w:rsidRPr="005D4222">
              <w:t>Stratifications: Race and ethnicity stratification. The race and ethnicity stratification is not required. Organizations may adjust this stratification as needed.</w:t>
            </w:r>
          </w:p>
        </w:tc>
      </w:tr>
      <w:tr w:rsidR="00AA7AB9" w:rsidRPr="005D4222" w14:paraId="55F41107" w14:textId="77777777" w:rsidTr="00611F69">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hideMark/>
          </w:tcPr>
          <w:p w14:paraId="131ED214" w14:textId="77777777" w:rsidR="00AA7AB9" w:rsidRPr="005D4222" w:rsidRDefault="00AA7AB9" w:rsidP="00A53E8C">
            <w:pPr>
              <w:pStyle w:val="ECDSMarginHead"/>
              <w:rPr>
                <w:lang w:eastAsia="zh-CN"/>
              </w:rPr>
            </w:pPr>
            <w:r w:rsidRPr="005D4222">
              <w:rPr>
                <w:lang w:eastAsia="zh-CN"/>
              </w:rPr>
              <w:t>Data element tables</w:t>
            </w:r>
          </w:p>
        </w:tc>
        <w:tc>
          <w:tcPr>
            <w:tcW w:w="3890" w:type="pct"/>
            <w:gridSpan w:val="3"/>
            <w:tcBorders>
              <w:top w:val="single" w:sz="4" w:space="0" w:color="auto"/>
              <w:left w:val="single" w:sz="4" w:space="0" w:color="auto"/>
              <w:bottom w:val="single" w:sz="4" w:space="0" w:color="auto"/>
              <w:right w:val="single" w:sz="4" w:space="0" w:color="auto"/>
            </w:tcBorders>
          </w:tcPr>
          <w:p w14:paraId="206E0057" w14:textId="77777777" w:rsidR="00AA7AB9" w:rsidRPr="005D4222" w:rsidDel="00514CFB" w:rsidRDefault="00AA7AB9" w:rsidP="00A53E8C">
            <w:pPr>
              <w:pStyle w:val="ECDSBody"/>
            </w:pPr>
            <w:r w:rsidRPr="005D4222" w:rsidDel="00514CFB">
              <w:t>Organizations that submit HEDIS data to NCQA must provide the following data elements.</w:t>
            </w:r>
          </w:p>
          <w:p w14:paraId="370FD07D" w14:textId="77777777" w:rsidR="00AA7AB9" w:rsidRPr="005D4222" w:rsidRDefault="00AA7AB9" w:rsidP="00A53E8C">
            <w:pPr>
              <w:pStyle w:val="Heading3"/>
              <w:spacing w:before="120"/>
              <w:rPr>
                <w:b w:val="0"/>
                <w:bCs w:val="0"/>
                <w:i w:val="0"/>
              </w:rPr>
            </w:pPr>
            <w:r w:rsidRPr="005D4222">
              <w:t>Table BPC-E-A-1/2/3: Data Elements for Blood Pressure Control for Patients With Hypertension</w:t>
            </w:r>
          </w:p>
          <w:tbl>
            <w:tblPr>
              <w:tblW w:w="5000" w:type="pct"/>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812"/>
              <w:gridCol w:w="2139"/>
              <w:gridCol w:w="2418"/>
            </w:tblGrid>
            <w:tr w:rsidR="00AA7AB9" w:rsidRPr="005D4222" w14:paraId="431B046A" w14:textId="77777777" w:rsidTr="00A53E8C">
              <w:tc>
                <w:tcPr>
                  <w:tcW w:w="2722" w:type="dxa"/>
                  <w:tcBorders>
                    <w:top w:val="single" w:sz="6" w:space="0" w:color="auto"/>
                    <w:left w:val="single" w:sz="6" w:space="0" w:color="auto"/>
                    <w:bottom w:val="single" w:sz="6" w:space="0" w:color="auto"/>
                    <w:right w:val="single" w:sz="6" w:space="0" w:color="FFFFFF" w:themeColor="background1"/>
                  </w:tcBorders>
                  <w:shd w:val="clear" w:color="auto" w:fill="000000" w:themeFill="text1"/>
                  <w:tcMar>
                    <w:left w:w="43" w:type="dxa"/>
                    <w:right w:w="43" w:type="dxa"/>
                  </w:tcMar>
                  <w:vAlign w:val="center"/>
                  <w:hideMark/>
                </w:tcPr>
                <w:p w14:paraId="74BE1ECD" w14:textId="77777777" w:rsidR="00AA7AB9" w:rsidRPr="005D4222" w:rsidRDefault="00AA7AB9" w:rsidP="00A53E8C">
                  <w:pPr>
                    <w:pStyle w:val="TableHead"/>
                    <w:spacing w:before="40" w:after="40"/>
                    <w:rPr>
                      <w:color w:val="FFFFFF"/>
                      <w:lang w:eastAsia="zh-CN"/>
                    </w:rPr>
                  </w:pPr>
                  <w:r w:rsidRPr="005D4222">
                    <w:rPr>
                      <w:lang w:eastAsia="zh-CN"/>
                    </w:rPr>
                    <w:t xml:space="preserve">Metric </w:t>
                  </w:r>
                </w:p>
              </w:tc>
              <w:tc>
                <w:tcPr>
                  <w:tcW w:w="2070" w:type="dxa"/>
                  <w:tcBorders>
                    <w:top w:val="single" w:sz="6" w:space="0" w:color="auto"/>
                    <w:left w:val="single" w:sz="6" w:space="0" w:color="FFFFFF" w:themeColor="background1"/>
                    <w:bottom w:val="single" w:sz="6" w:space="0" w:color="auto"/>
                    <w:right w:val="single" w:sz="6" w:space="0" w:color="FFFFFF" w:themeColor="background1"/>
                  </w:tcBorders>
                  <w:shd w:val="clear" w:color="auto" w:fill="000000" w:themeFill="text1"/>
                  <w:tcMar>
                    <w:left w:w="43" w:type="dxa"/>
                    <w:right w:w="43" w:type="dxa"/>
                  </w:tcMar>
                  <w:vAlign w:val="center"/>
                  <w:hideMark/>
                </w:tcPr>
                <w:p w14:paraId="3CB0A50B" w14:textId="77777777" w:rsidR="00AA7AB9" w:rsidRPr="005D4222" w:rsidRDefault="00AA7AB9" w:rsidP="00A53E8C">
                  <w:pPr>
                    <w:pStyle w:val="TableHead"/>
                    <w:spacing w:before="40" w:after="40"/>
                    <w:rPr>
                      <w:color w:val="FFFFFF"/>
                      <w:lang w:eastAsia="zh-CN"/>
                    </w:rPr>
                  </w:pPr>
                  <w:r w:rsidRPr="005D4222">
                    <w:rPr>
                      <w:lang w:eastAsia="zh-CN"/>
                    </w:rPr>
                    <w:t xml:space="preserve">Data Element </w:t>
                  </w:r>
                </w:p>
              </w:tc>
              <w:tc>
                <w:tcPr>
                  <w:tcW w:w="2340" w:type="dxa"/>
                  <w:tcBorders>
                    <w:top w:val="single" w:sz="6" w:space="0" w:color="auto"/>
                    <w:left w:val="single" w:sz="6" w:space="0" w:color="FFFFFF" w:themeColor="background1"/>
                    <w:bottom w:val="single" w:sz="6" w:space="0" w:color="auto"/>
                    <w:right w:val="single" w:sz="6" w:space="0" w:color="auto"/>
                  </w:tcBorders>
                  <w:shd w:val="clear" w:color="auto" w:fill="000000" w:themeFill="text1"/>
                  <w:tcMar>
                    <w:left w:w="43" w:type="dxa"/>
                    <w:right w:w="43" w:type="dxa"/>
                  </w:tcMar>
                  <w:vAlign w:val="center"/>
                  <w:hideMark/>
                </w:tcPr>
                <w:p w14:paraId="5FB87986" w14:textId="77777777" w:rsidR="00AA7AB9" w:rsidRPr="005D4222" w:rsidRDefault="00AA7AB9" w:rsidP="00A53E8C">
                  <w:pPr>
                    <w:pStyle w:val="TableHead"/>
                    <w:spacing w:before="40" w:after="40"/>
                    <w:rPr>
                      <w:color w:val="FFFFFF"/>
                      <w:lang w:eastAsia="zh-CN"/>
                    </w:rPr>
                  </w:pPr>
                  <w:r w:rsidRPr="005D4222">
                    <w:rPr>
                      <w:lang w:eastAsia="zh-CN"/>
                    </w:rPr>
                    <w:t xml:space="preserve">Reporting Instructions </w:t>
                  </w:r>
                </w:p>
              </w:tc>
            </w:tr>
            <w:tr w:rsidR="00AA7AB9" w:rsidRPr="005D4222" w14:paraId="43C3E445" w14:textId="77777777" w:rsidTr="00A53E8C">
              <w:tc>
                <w:tcPr>
                  <w:tcW w:w="2722" w:type="dxa"/>
                  <w:tcBorders>
                    <w:top w:val="nil"/>
                    <w:left w:val="single" w:sz="6" w:space="0" w:color="auto"/>
                    <w:bottom w:val="single" w:sz="6" w:space="0" w:color="auto"/>
                    <w:right w:val="single" w:sz="6" w:space="0" w:color="auto"/>
                  </w:tcBorders>
                  <w:shd w:val="clear" w:color="auto" w:fill="FFFFFF" w:themeFill="background1"/>
                  <w:tcMar>
                    <w:left w:w="43" w:type="dxa"/>
                    <w:right w:w="43" w:type="dxa"/>
                  </w:tcMar>
                  <w:vAlign w:val="center"/>
                  <w:hideMark/>
                </w:tcPr>
                <w:p w14:paraId="7E851E36" w14:textId="77777777" w:rsidR="00AA7AB9" w:rsidRPr="005D4222" w:rsidRDefault="00AA7AB9" w:rsidP="00A53E8C">
                  <w:pPr>
                    <w:pStyle w:val="TableText"/>
                    <w:spacing w:before="40" w:after="40"/>
                    <w:rPr>
                      <w:lang w:eastAsia="zh-CN"/>
                    </w:rPr>
                  </w:pPr>
                  <w:r w:rsidRPr="005D4222">
                    <w:rPr>
                      <w:lang w:eastAsia="zh-CN"/>
                    </w:rPr>
                    <w:t>BPUnder140Over90</w:t>
                  </w:r>
                </w:p>
              </w:tc>
              <w:tc>
                <w:tcPr>
                  <w:tcW w:w="2070" w:type="dxa"/>
                  <w:tcBorders>
                    <w:top w:val="single" w:sz="6" w:space="0" w:color="auto"/>
                    <w:left w:val="single" w:sz="6" w:space="0" w:color="auto"/>
                    <w:bottom w:val="single" w:sz="6" w:space="0" w:color="auto"/>
                    <w:right w:val="single" w:sz="6" w:space="0" w:color="auto"/>
                  </w:tcBorders>
                  <w:shd w:val="clear" w:color="auto" w:fill="FFFFFF" w:themeFill="background1"/>
                  <w:tcMar>
                    <w:left w:w="43" w:type="dxa"/>
                    <w:right w:w="43" w:type="dxa"/>
                  </w:tcMar>
                  <w:vAlign w:val="center"/>
                  <w:hideMark/>
                </w:tcPr>
                <w:p w14:paraId="53E4F74D" w14:textId="77777777" w:rsidR="00AA7AB9" w:rsidRPr="005D4222" w:rsidRDefault="00AA7AB9" w:rsidP="00A53E8C">
                  <w:pPr>
                    <w:pStyle w:val="TableText"/>
                    <w:spacing w:before="40" w:after="40"/>
                    <w:rPr>
                      <w:lang w:eastAsia="zh-CN"/>
                    </w:rPr>
                  </w:pPr>
                  <w:r w:rsidRPr="005D4222">
                    <w:rPr>
                      <w:lang w:eastAsia="zh-CN"/>
                    </w:rPr>
                    <w:t xml:space="preserve">InitialPopulation </w:t>
                  </w:r>
                </w:p>
              </w:tc>
              <w:tc>
                <w:tcPr>
                  <w:tcW w:w="2340" w:type="dxa"/>
                  <w:tcBorders>
                    <w:top w:val="nil"/>
                    <w:left w:val="single" w:sz="6" w:space="0" w:color="auto"/>
                    <w:bottom w:val="single" w:sz="6" w:space="0" w:color="auto"/>
                    <w:right w:val="single" w:sz="6" w:space="0" w:color="auto"/>
                  </w:tcBorders>
                  <w:shd w:val="clear" w:color="auto" w:fill="FFFFFF" w:themeFill="background1"/>
                  <w:tcMar>
                    <w:left w:w="43" w:type="dxa"/>
                    <w:right w:w="43" w:type="dxa"/>
                  </w:tcMar>
                  <w:vAlign w:val="center"/>
                  <w:hideMark/>
                </w:tcPr>
                <w:p w14:paraId="11F01E37" w14:textId="77777777" w:rsidR="00AA7AB9" w:rsidRPr="005D4222" w:rsidRDefault="00AA7AB9" w:rsidP="00A53E8C">
                  <w:pPr>
                    <w:pStyle w:val="TableText"/>
                    <w:spacing w:before="40" w:after="40"/>
                    <w:rPr>
                      <w:lang w:eastAsia="zh-CN"/>
                    </w:rPr>
                  </w:pPr>
                  <w:r w:rsidRPr="005D4222">
                    <w:rPr>
                      <w:lang w:eastAsia="zh-CN"/>
                    </w:rPr>
                    <w:t>Report once</w:t>
                  </w:r>
                </w:p>
              </w:tc>
            </w:tr>
            <w:tr w:rsidR="00AA7AB9" w:rsidRPr="005D4222" w14:paraId="4D772451" w14:textId="77777777" w:rsidTr="007B5FC3">
              <w:tc>
                <w:tcPr>
                  <w:tcW w:w="2722" w:type="dxa"/>
                  <w:tcBorders>
                    <w:top w:val="nil"/>
                    <w:left w:val="nil"/>
                    <w:bottom w:val="nil"/>
                    <w:right w:val="nil"/>
                  </w:tcBorders>
                  <w:shd w:val="clear" w:color="auto" w:fill="FFFFFF" w:themeFill="background1"/>
                  <w:tcMar>
                    <w:left w:w="43" w:type="dxa"/>
                    <w:right w:w="43" w:type="dxa"/>
                  </w:tcMar>
                  <w:vAlign w:val="center"/>
                  <w:hideMark/>
                </w:tcPr>
                <w:p w14:paraId="4D18FF10" w14:textId="77777777" w:rsidR="00AA7AB9" w:rsidRPr="005D4222" w:rsidRDefault="00AA7AB9" w:rsidP="00A53E8C">
                  <w:pPr>
                    <w:pStyle w:val="TableText"/>
                    <w:spacing w:before="40" w:after="40"/>
                    <w:rPr>
                      <w:lang w:eastAsia="zh-CN"/>
                    </w:rPr>
                  </w:pPr>
                  <w:r w:rsidRPr="005D4222">
                    <w:rPr>
                      <w:lang w:eastAsia="zh-CN"/>
                    </w:rPr>
                    <w:t xml:space="preserve">  </w:t>
                  </w:r>
                </w:p>
              </w:tc>
              <w:tc>
                <w:tcPr>
                  <w:tcW w:w="2070" w:type="dxa"/>
                  <w:tcBorders>
                    <w:top w:val="single" w:sz="6" w:space="0" w:color="auto"/>
                    <w:left w:val="single" w:sz="6" w:space="0" w:color="auto"/>
                    <w:bottom w:val="single" w:sz="6" w:space="0" w:color="auto"/>
                    <w:right w:val="single" w:sz="6" w:space="0" w:color="auto"/>
                  </w:tcBorders>
                  <w:tcMar>
                    <w:left w:w="43" w:type="dxa"/>
                    <w:right w:w="43" w:type="dxa"/>
                  </w:tcMar>
                  <w:vAlign w:val="center"/>
                  <w:hideMark/>
                </w:tcPr>
                <w:p w14:paraId="52FDD40A" w14:textId="77777777" w:rsidR="00AA7AB9" w:rsidRPr="005D4222" w:rsidRDefault="00AA7AB9" w:rsidP="00A53E8C">
                  <w:pPr>
                    <w:pStyle w:val="TableText"/>
                    <w:spacing w:before="40" w:after="40"/>
                    <w:rPr>
                      <w:lang w:eastAsia="zh-CN"/>
                    </w:rPr>
                  </w:pPr>
                  <w:r w:rsidRPr="005D4222">
                    <w:rPr>
                      <w:lang w:eastAsia="zh-CN"/>
                    </w:rPr>
                    <w:t xml:space="preserve">Exclusions </w:t>
                  </w:r>
                </w:p>
              </w:tc>
              <w:tc>
                <w:tcPr>
                  <w:tcW w:w="2340" w:type="dxa"/>
                  <w:tcBorders>
                    <w:top w:val="nil"/>
                    <w:left w:val="single" w:sz="6" w:space="0" w:color="auto"/>
                    <w:bottom w:val="single" w:sz="6" w:space="0" w:color="auto"/>
                    <w:right w:val="single" w:sz="6" w:space="0" w:color="auto"/>
                  </w:tcBorders>
                  <w:tcMar>
                    <w:left w:w="43" w:type="dxa"/>
                    <w:right w:w="43" w:type="dxa"/>
                  </w:tcMar>
                  <w:hideMark/>
                </w:tcPr>
                <w:p w14:paraId="6EBC6B8E" w14:textId="77777777" w:rsidR="00AA7AB9" w:rsidRPr="005D4222" w:rsidRDefault="00AA7AB9" w:rsidP="00A53E8C">
                  <w:pPr>
                    <w:pStyle w:val="TableText"/>
                    <w:spacing w:before="40" w:after="40"/>
                    <w:rPr>
                      <w:lang w:eastAsia="zh-CN"/>
                    </w:rPr>
                  </w:pPr>
                  <w:r w:rsidRPr="005D4222">
                    <w:rPr>
                      <w:lang w:eastAsia="zh-CN"/>
                    </w:rPr>
                    <w:t xml:space="preserve">Report once </w:t>
                  </w:r>
                </w:p>
              </w:tc>
            </w:tr>
            <w:tr w:rsidR="00AA7AB9" w:rsidRPr="005D4222" w14:paraId="2958DC95" w14:textId="77777777" w:rsidTr="007B5FC3">
              <w:tc>
                <w:tcPr>
                  <w:tcW w:w="2722" w:type="dxa"/>
                  <w:tcBorders>
                    <w:top w:val="nil"/>
                    <w:left w:val="nil"/>
                    <w:bottom w:val="nil"/>
                    <w:right w:val="nil"/>
                  </w:tcBorders>
                  <w:shd w:val="clear" w:color="auto" w:fill="FFFFFF" w:themeFill="background1"/>
                  <w:tcMar>
                    <w:left w:w="43" w:type="dxa"/>
                    <w:right w:w="43" w:type="dxa"/>
                  </w:tcMar>
                  <w:vAlign w:val="center"/>
                  <w:hideMark/>
                </w:tcPr>
                <w:p w14:paraId="6EB90978" w14:textId="77777777" w:rsidR="00AA7AB9" w:rsidRPr="005D4222" w:rsidRDefault="00AA7AB9" w:rsidP="00A53E8C">
                  <w:pPr>
                    <w:pStyle w:val="TableText"/>
                    <w:spacing w:before="40" w:after="40"/>
                    <w:rPr>
                      <w:lang w:eastAsia="zh-CN"/>
                    </w:rPr>
                  </w:pPr>
                  <w:r w:rsidRPr="005D4222">
                    <w:rPr>
                      <w:lang w:eastAsia="zh-CN"/>
                    </w:rPr>
                    <w:t xml:space="preserve">  </w:t>
                  </w:r>
                </w:p>
              </w:tc>
              <w:tc>
                <w:tcPr>
                  <w:tcW w:w="2070" w:type="dxa"/>
                  <w:tcBorders>
                    <w:top w:val="single" w:sz="6" w:space="0" w:color="auto"/>
                    <w:left w:val="single" w:sz="6" w:space="0" w:color="auto"/>
                    <w:bottom w:val="single" w:sz="6" w:space="0" w:color="auto"/>
                    <w:right w:val="single" w:sz="6" w:space="0" w:color="auto"/>
                  </w:tcBorders>
                  <w:tcMar>
                    <w:left w:w="43" w:type="dxa"/>
                    <w:right w:w="43" w:type="dxa"/>
                  </w:tcMar>
                  <w:vAlign w:val="center"/>
                  <w:hideMark/>
                </w:tcPr>
                <w:p w14:paraId="4BAD3CD3" w14:textId="77777777" w:rsidR="00AA7AB9" w:rsidRPr="005D4222" w:rsidRDefault="00AA7AB9" w:rsidP="00A53E8C">
                  <w:pPr>
                    <w:pStyle w:val="TableText"/>
                    <w:spacing w:before="40" w:after="40"/>
                    <w:rPr>
                      <w:lang w:eastAsia="zh-CN"/>
                    </w:rPr>
                  </w:pPr>
                  <w:r w:rsidRPr="005D4222">
                    <w:rPr>
                      <w:lang w:eastAsia="zh-CN"/>
                    </w:rPr>
                    <w:t xml:space="preserve">Denominator </w:t>
                  </w:r>
                </w:p>
              </w:tc>
              <w:tc>
                <w:tcPr>
                  <w:tcW w:w="2340" w:type="dxa"/>
                  <w:tcBorders>
                    <w:top w:val="single" w:sz="6" w:space="0" w:color="auto"/>
                    <w:left w:val="single" w:sz="6" w:space="0" w:color="auto"/>
                    <w:bottom w:val="single" w:sz="6" w:space="0" w:color="auto"/>
                    <w:right w:val="single" w:sz="6" w:space="0" w:color="auto"/>
                  </w:tcBorders>
                  <w:tcMar>
                    <w:left w:w="43" w:type="dxa"/>
                    <w:right w:w="43" w:type="dxa"/>
                  </w:tcMar>
                  <w:hideMark/>
                </w:tcPr>
                <w:p w14:paraId="50034AC9" w14:textId="77777777" w:rsidR="00AA7AB9" w:rsidRPr="005D4222" w:rsidRDefault="00AA7AB9" w:rsidP="00A53E8C">
                  <w:pPr>
                    <w:pStyle w:val="TableText"/>
                    <w:spacing w:before="40" w:after="40"/>
                    <w:rPr>
                      <w:lang w:eastAsia="zh-CN"/>
                    </w:rPr>
                  </w:pPr>
                  <w:r w:rsidRPr="005D4222">
                    <w:rPr>
                      <w:lang w:eastAsia="zh-CN"/>
                    </w:rPr>
                    <w:t>Report once</w:t>
                  </w:r>
                </w:p>
              </w:tc>
            </w:tr>
            <w:tr w:rsidR="00AA7AB9" w:rsidRPr="005D4222" w14:paraId="23E0D9CC" w14:textId="77777777" w:rsidTr="007B5FC3">
              <w:tc>
                <w:tcPr>
                  <w:tcW w:w="2722" w:type="dxa"/>
                  <w:tcBorders>
                    <w:top w:val="nil"/>
                    <w:left w:val="nil"/>
                    <w:bottom w:val="nil"/>
                    <w:right w:val="nil"/>
                  </w:tcBorders>
                  <w:shd w:val="clear" w:color="auto" w:fill="FFFFFF" w:themeFill="background1"/>
                  <w:tcMar>
                    <w:left w:w="43" w:type="dxa"/>
                    <w:right w:w="43" w:type="dxa"/>
                  </w:tcMar>
                  <w:vAlign w:val="center"/>
                  <w:hideMark/>
                </w:tcPr>
                <w:p w14:paraId="5113189E" w14:textId="77777777" w:rsidR="00AA7AB9" w:rsidRPr="005D4222" w:rsidRDefault="00AA7AB9" w:rsidP="00A53E8C">
                  <w:pPr>
                    <w:pStyle w:val="TableText"/>
                    <w:spacing w:before="40" w:after="40"/>
                    <w:rPr>
                      <w:lang w:eastAsia="zh-CN"/>
                    </w:rPr>
                  </w:pPr>
                  <w:r w:rsidRPr="005D4222">
                    <w:rPr>
                      <w:lang w:eastAsia="zh-CN"/>
                    </w:rPr>
                    <w:t xml:space="preserve"> </w:t>
                  </w:r>
                </w:p>
              </w:tc>
              <w:tc>
                <w:tcPr>
                  <w:tcW w:w="2070" w:type="dxa"/>
                  <w:tcBorders>
                    <w:top w:val="single" w:sz="6" w:space="0" w:color="auto"/>
                    <w:left w:val="single" w:sz="6" w:space="0" w:color="auto"/>
                    <w:bottom w:val="single" w:sz="6" w:space="0" w:color="auto"/>
                    <w:right w:val="single" w:sz="6" w:space="0" w:color="auto"/>
                  </w:tcBorders>
                  <w:tcMar>
                    <w:left w:w="43" w:type="dxa"/>
                    <w:right w:w="43" w:type="dxa"/>
                  </w:tcMar>
                  <w:vAlign w:val="center"/>
                  <w:hideMark/>
                </w:tcPr>
                <w:p w14:paraId="64A45317" w14:textId="77777777" w:rsidR="00AA7AB9" w:rsidRPr="005D4222" w:rsidRDefault="00AA7AB9" w:rsidP="00A53E8C">
                  <w:pPr>
                    <w:pStyle w:val="TableText"/>
                    <w:spacing w:before="40" w:after="40"/>
                    <w:rPr>
                      <w:lang w:eastAsia="zh-CN"/>
                    </w:rPr>
                  </w:pPr>
                  <w:r w:rsidRPr="005D4222">
                    <w:rPr>
                      <w:lang w:eastAsia="zh-CN"/>
                    </w:rPr>
                    <w:t xml:space="preserve">Numerator </w:t>
                  </w:r>
                </w:p>
              </w:tc>
              <w:tc>
                <w:tcPr>
                  <w:tcW w:w="2340" w:type="dxa"/>
                  <w:tcBorders>
                    <w:top w:val="single" w:sz="6" w:space="0" w:color="auto"/>
                    <w:left w:val="single" w:sz="6" w:space="0" w:color="auto"/>
                    <w:bottom w:val="single" w:sz="6" w:space="0" w:color="auto"/>
                    <w:right w:val="single" w:sz="6" w:space="0" w:color="auto"/>
                  </w:tcBorders>
                  <w:tcMar>
                    <w:left w:w="43" w:type="dxa"/>
                    <w:right w:w="43" w:type="dxa"/>
                  </w:tcMar>
                  <w:vAlign w:val="center"/>
                  <w:hideMark/>
                </w:tcPr>
                <w:p w14:paraId="0F149690" w14:textId="77777777" w:rsidR="00AA7AB9" w:rsidRPr="005D4222" w:rsidRDefault="00AA7AB9" w:rsidP="00A53E8C">
                  <w:pPr>
                    <w:pStyle w:val="TableText"/>
                    <w:spacing w:before="40" w:after="40"/>
                    <w:rPr>
                      <w:lang w:eastAsia="zh-CN"/>
                    </w:rPr>
                  </w:pPr>
                  <w:r w:rsidRPr="005D4222">
                    <w:rPr>
                      <w:lang w:eastAsia="zh-CN"/>
                    </w:rPr>
                    <w:t xml:space="preserve">Report once </w:t>
                  </w:r>
                </w:p>
              </w:tc>
            </w:tr>
            <w:tr w:rsidR="00AA7AB9" w:rsidRPr="005D4222" w14:paraId="526AAE35" w14:textId="77777777" w:rsidTr="00A53E8C">
              <w:tc>
                <w:tcPr>
                  <w:tcW w:w="2722" w:type="dxa"/>
                  <w:tcBorders>
                    <w:top w:val="nil"/>
                    <w:left w:val="nil"/>
                    <w:bottom w:val="nil"/>
                    <w:right w:val="nil"/>
                  </w:tcBorders>
                  <w:shd w:val="clear" w:color="auto" w:fill="FFFFFF" w:themeFill="background1"/>
                  <w:tcMar>
                    <w:left w:w="43" w:type="dxa"/>
                    <w:right w:w="43" w:type="dxa"/>
                  </w:tcMar>
                  <w:vAlign w:val="center"/>
                  <w:hideMark/>
                </w:tcPr>
                <w:p w14:paraId="04102587" w14:textId="77777777" w:rsidR="00AA7AB9" w:rsidRPr="005D4222" w:rsidRDefault="00AA7AB9" w:rsidP="00A53E8C">
                  <w:pPr>
                    <w:pStyle w:val="TableText"/>
                    <w:spacing w:before="40" w:after="40"/>
                    <w:rPr>
                      <w:lang w:eastAsia="zh-CN"/>
                    </w:rPr>
                  </w:pPr>
                </w:p>
              </w:tc>
              <w:tc>
                <w:tcPr>
                  <w:tcW w:w="207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43" w:type="dxa"/>
                    <w:right w:w="43" w:type="dxa"/>
                  </w:tcMar>
                  <w:vAlign w:val="center"/>
                  <w:hideMark/>
                </w:tcPr>
                <w:p w14:paraId="7A7C6B47" w14:textId="77777777" w:rsidR="00AA7AB9" w:rsidRPr="005D4222" w:rsidRDefault="00AA7AB9" w:rsidP="00A53E8C">
                  <w:pPr>
                    <w:pStyle w:val="TableText"/>
                    <w:spacing w:before="40" w:after="40"/>
                    <w:rPr>
                      <w:lang w:eastAsia="zh-CN"/>
                    </w:rPr>
                  </w:pPr>
                  <w:r w:rsidRPr="005D4222">
                    <w:rPr>
                      <w:lang w:eastAsia="zh-CN"/>
                    </w:rPr>
                    <w:t xml:space="preserve">Rate </w:t>
                  </w:r>
                </w:p>
              </w:tc>
              <w:tc>
                <w:tcPr>
                  <w:tcW w:w="234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43" w:type="dxa"/>
                    <w:right w:w="43" w:type="dxa"/>
                  </w:tcMar>
                  <w:vAlign w:val="center"/>
                  <w:hideMark/>
                </w:tcPr>
                <w:p w14:paraId="122C8EB0" w14:textId="77777777" w:rsidR="00AA7AB9" w:rsidRPr="005D4222" w:rsidRDefault="00AA7AB9" w:rsidP="00A53E8C">
                  <w:pPr>
                    <w:pStyle w:val="TableText"/>
                    <w:spacing w:before="40" w:after="40"/>
                    <w:rPr>
                      <w:lang w:eastAsia="zh-CN"/>
                    </w:rPr>
                  </w:pPr>
                  <w:r w:rsidRPr="005D4222">
                    <w:rPr>
                      <w:lang w:eastAsia="zh-CN"/>
                    </w:rPr>
                    <w:t xml:space="preserve">(Percent) </w:t>
                  </w:r>
                </w:p>
              </w:tc>
            </w:tr>
          </w:tbl>
          <w:p w14:paraId="61AA10E7" w14:textId="0684FD27" w:rsidR="00AA7AB9" w:rsidRPr="005D4222" w:rsidRDefault="00AA7AB9" w:rsidP="00A53E8C">
            <w:pPr>
              <w:pStyle w:val="Heading3"/>
              <w:rPr>
                <w:b w:val="0"/>
                <w:bCs w:val="0"/>
                <w:i w:val="0"/>
              </w:rPr>
            </w:pPr>
            <w:r w:rsidRPr="005D4222">
              <w:t xml:space="preserve">Table BPC-E-B-1/2/3: Data Elements for Blood Pressure Control for Patients With Hypertension: </w:t>
            </w:r>
            <w:r w:rsidR="00B51CDC" w:rsidRPr="005D4222">
              <w:t>Stratifications</w:t>
            </w:r>
            <w:r w:rsidRPr="005D4222">
              <w:t xml:space="preserve"> by Race</w:t>
            </w:r>
          </w:p>
          <w:tbl>
            <w:tblPr>
              <w:tblW w:w="737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800"/>
              <w:gridCol w:w="2606"/>
              <w:gridCol w:w="1530"/>
              <w:gridCol w:w="1443"/>
            </w:tblGrid>
            <w:tr w:rsidR="00AA7AB9" w:rsidRPr="005D4222" w14:paraId="2325BD7C" w14:textId="77777777" w:rsidTr="00297882">
              <w:trPr>
                <w:tblHeader/>
              </w:trPr>
              <w:tc>
                <w:tcPr>
                  <w:tcW w:w="1800" w:type="dxa"/>
                  <w:tcBorders>
                    <w:top w:val="single" w:sz="4" w:space="0" w:color="000000" w:themeColor="text1"/>
                    <w:left w:val="single" w:sz="4" w:space="0" w:color="auto"/>
                    <w:bottom w:val="single" w:sz="4" w:space="0" w:color="auto"/>
                    <w:right w:val="single" w:sz="4" w:space="0" w:color="FFFFFF" w:themeColor="background1"/>
                  </w:tcBorders>
                  <w:shd w:val="clear" w:color="auto" w:fill="000000" w:themeFill="text1"/>
                  <w:tcMar>
                    <w:left w:w="43" w:type="dxa"/>
                    <w:right w:w="43" w:type="dxa"/>
                  </w:tcMar>
                  <w:vAlign w:val="bottom"/>
                  <w:hideMark/>
                </w:tcPr>
                <w:p w14:paraId="54574C1A" w14:textId="77777777" w:rsidR="00AA7AB9" w:rsidRPr="005D4222" w:rsidRDefault="00AA7AB9" w:rsidP="00A53E8C">
                  <w:pPr>
                    <w:pStyle w:val="TableHead"/>
                    <w:spacing w:before="40" w:after="40"/>
                    <w:rPr>
                      <w:rFonts w:cs="Arial"/>
                      <w:lang w:eastAsia="zh-CN"/>
                    </w:rPr>
                  </w:pPr>
                  <w:r w:rsidRPr="005D4222">
                    <w:rPr>
                      <w:rFonts w:cs="Arial"/>
                      <w:lang w:eastAsia="zh-CN"/>
                    </w:rPr>
                    <w:t>Metric</w:t>
                  </w:r>
                </w:p>
              </w:tc>
              <w:tc>
                <w:tcPr>
                  <w:tcW w:w="2606" w:type="dxa"/>
                  <w:tcBorders>
                    <w:top w:val="single" w:sz="4" w:space="0" w:color="000000" w:themeColor="text1"/>
                    <w:left w:val="single" w:sz="4" w:space="0" w:color="FFFFFF" w:themeColor="background1"/>
                    <w:bottom w:val="single" w:sz="4" w:space="0" w:color="auto"/>
                    <w:right w:val="single" w:sz="4" w:space="0" w:color="FFFFFF" w:themeColor="background1"/>
                  </w:tcBorders>
                  <w:shd w:val="clear" w:color="auto" w:fill="000000" w:themeFill="text1"/>
                  <w:tcMar>
                    <w:left w:w="43" w:type="dxa"/>
                    <w:right w:w="43" w:type="dxa"/>
                  </w:tcMar>
                  <w:vAlign w:val="bottom"/>
                  <w:hideMark/>
                </w:tcPr>
                <w:p w14:paraId="340F67A6" w14:textId="77777777" w:rsidR="00AA7AB9" w:rsidRPr="005D4222" w:rsidRDefault="00AA7AB9" w:rsidP="00A53E8C">
                  <w:pPr>
                    <w:pStyle w:val="TableHead"/>
                    <w:spacing w:before="40" w:after="40"/>
                    <w:rPr>
                      <w:rFonts w:cs="Arial"/>
                      <w:lang w:eastAsia="zh-CN"/>
                    </w:rPr>
                  </w:pPr>
                  <w:r w:rsidRPr="005D4222">
                    <w:rPr>
                      <w:rFonts w:cs="Arial"/>
                      <w:lang w:eastAsia="zh-CN"/>
                    </w:rPr>
                    <w:t>Race</w:t>
                  </w:r>
                </w:p>
              </w:tc>
              <w:tc>
                <w:tcPr>
                  <w:tcW w:w="153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43" w:type="dxa"/>
                    <w:right w:w="43" w:type="dxa"/>
                  </w:tcMar>
                  <w:vAlign w:val="bottom"/>
                  <w:hideMark/>
                </w:tcPr>
                <w:p w14:paraId="4E081BDA" w14:textId="77777777" w:rsidR="00AA7AB9" w:rsidRPr="005D4222" w:rsidRDefault="00AA7AB9" w:rsidP="00A53E8C">
                  <w:pPr>
                    <w:pStyle w:val="TableHead"/>
                    <w:spacing w:before="40" w:after="40"/>
                    <w:rPr>
                      <w:rFonts w:cs="Arial"/>
                      <w:lang w:eastAsia="zh-CN"/>
                    </w:rPr>
                  </w:pPr>
                  <w:r w:rsidRPr="005D4222">
                    <w:rPr>
                      <w:rFonts w:cs="Arial"/>
                      <w:lang w:eastAsia="zh-CN"/>
                    </w:rPr>
                    <w:t>Data Element</w:t>
                  </w:r>
                </w:p>
              </w:tc>
              <w:tc>
                <w:tcPr>
                  <w:tcW w:w="1443" w:type="dxa"/>
                  <w:tcBorders>
                    <w:top w:val="single" w:sz="4" w:space="0" w:color="000000" w:themeColor="text1"/>
                    <w:left w:val="single" w:sz="4" w:space="0" w:color="FFFFFF" w:themeColor="background1"/>
                    <w:bottom w:val="single" w:sz="4" w:space="0" w:color="000000" w:themeColor="text1"/>
                    <w:right w:val="single" w:sz="4" w:space="0" w:color="auto"/>
                  </w:tcBorders>
                  <w:shd w:val="clear" w:color="auto" w:fill="000000" w:themeFill="text1"/>
                  <w:tcMar>
                    <w:left w:w="43" w:type="dxa"/>
                    <w:right w:w="43" w:type="dxa"/>
                  </w:tcMar>
                  <w:vAlign w:val="bottom"/>
                  <w:hideMark/>
                </w:tcPr>
                <w:p w14:paraId="28215E27" w14:textId="77777777" w:rsidR="00AA7AB9" w:rsidRPr="005D4222" w:rsidRDefault="00AA7AB9" w:rsidP="00A53E8C">
                  <w:pPr>
                    <w:pStyle w:val="TableHead"/>
                    <w:spacing w:before="40" w:after="40"/>
                    <w:rPr>
                      <w:rFonts w:cs="Arial"/>
                      <w:lang w:eastAsia="zh-CN"/>
                    </w:rPr>
                  </w:pPr>
                  <w:r w:rsidRPr="005D4222">
                    <w:rPr>
                      <w:rFonts w:cs="Arial"/>
                      <w:lang w:eastAsia="zh-CN"/>
                    </w:rPr>
                    <w:t>Reporting Instructions</w:t>
                  </w:r>
                </w:p>
              </w:tc>
            </w:tr>
            <w:tr w:rsidR="00AA7AB9" w:rsidRPr="005D4222" w14:paraId="56404BDE" w14:textId="77777777" w:rsidTr="00297882">
              <w:trPr>
                <w:trHeight w:val="65"/>
              </w:trPr>
              <w:tc>
                <w:tcPr>
                  <w:tcW w:w="1800" w:type="dxa"/>
                  <w:tcBorders>
                    <w:top w:val="single" w:sz="4" w:space="0" w:color="auto"/>
                    <w:left w:val="single" w:sz="4" w:space="0" w:color="auto"/>
                    <w:bottom w:val="single" w:sz="4" w:space="0" w:color="auto"/>
                    <w:right w:val="single" w:sz="4" w:space="0" w:color="auto"/>
                  </w:tcBorders>
                  <w:tcMar>
                    <w:left w:w="43" w:type="dxa"/>
                    <w:right w:w="43" w:type="dxa"/>
                  </w:tcMar>
                  <w:hideMark/>
                </w:tcPr>
                <w:p w14:paraId="79E3042D" w14:textId="77777777" w:rsidR="00AA7AB9" w:rsidRPr="005D4222" w:rsidRDefault="00AA7AB9" w:rsidP="00A53E8C">
                  <w:pPr>
                    <w:pStyle w:val="TableText"/>
                    <w:spacing w:before="40" w:after="40"/>
                    <w:rPr>
                      <w:rFonts w:cs="Arial"/>
                      <w:szCs w:val="21"/>
                      <w:lang w:eastAsia="zh-CN"/>
                    </w:rPr>
                  </w:pPr>
                  <w:r w:rsidRPr="005D4222">
                    <w:rPr>
                      <w:rFonts w:cs="Arial"/>
                      <w:szCs w:val="21"/>
                      <w:lang w:eastAsia="zh-CN"/>
                    </w:rPr>
                    <w:t>BPUnder140Over90</w:t>
                  </w:r>
                </w:p>
              </w:tc>
              <w:tc>
                <w:tcPr>
                  <w:tcW w:w="2606" w:type="dxa"/>
                  <w:tcBorders>
                    <w:top w:val="single" w:sz="4" w:space="0" w:color="auto"/>
                    <w:left w:val="single" w:sz="4" w:space="0" w:color="auto"/>
                    <w:bottom w:val="single" w:sz="4" w:space="0" w:color="auto"/>
                    <w:right w:val="single" w:sz="4" w:space="0" w:color="auto"/>
                  </w:tcBorders>
                  <w:tcMar>
                    <w:left w:w="43" w:type="dxa"/>
                    <w:right w:w="43" w:type="dxa"/>
                  </w:tcMar>
                  <w:hideMark/>
                </w:tcPr>
                <w:p w14:paraId="15243327" w14:textId="77777777" w:rsidR="00AA7AB9" w:rsidRPr="005D4222" w:rsidRDefault="00AA7AB9" w:rsidP="00A53E8C">
                  <w:pPr>
                    <w:pStyle w:val="TableText"/>
                    <w:spacing w:before="40" w:after="40"/>
                    <w:rPr>
                      <w:rFonts w:cs="Arial"/>
                      <w:szCs w:val="21"/>
                      <w:lang w:eastAsia="zh-CN"/>
                    </w:rPr>
                  </w:pPr>
                  <w:r w:rsidRPr="005D4222">
                    <w:rPr>
                      <w:rFonts w:cs="Arial"/>
                      <w:szCs w:val="21"/>
                      <w:lang w:eastAsia="zh-CN"/>
                    </w:rPr>
                    <w:t>AmericanIndianOrAlaskaNative</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Mar>
                    <w:left w:w="43" w:type="dxa"/>
                    <w:right w:w="43" w:type="dxa"/>
                  </w:tcMar>
                  <w:hideMark/>
                </w:tcPr>
                <w:p w14:paraId="28CB1BF0" w14:textId="77777777" w:rsidR="00AA7AB9" w:rsidRPr="005D4222" w:rsidRDefault="00AA7AB9" w:rsidP="00A53E8C">
                  <w:pPr>
                    <w:pStyle w:val="TableText"/>
                    <w:spacing w:before="40" w:after="40"/>
                    <w:rPr>
                      <w:rFonts w:cs="Arial"/>
                      <w:szCs w:val="21"/>
                      <w:lang w:eastAsia="zh-CN"/>
                    </w:rPr>
                  </w:pPr>
                  <w:r w:rsidRPr="005D4222">
                    <w:rPr>
                      <w:rFonts w:cs="Arial"/>
                      <w:szCs w:val="21"/>
                      <w:lang w:eastAsia="zh-CN"/>
                    </w:rPr>
                    <w:t>InitialPopulation</w:t>
                  </w:r>
                </w:p>
              </w:tc>
              <w:tc>
                <w:tcPr>
                  <w:tcW w:w="1443" w:type="dxa"/>
                  <w:tcBorders>
                    <w:top w:val="single" w:sz="6" w:space="0" w:color="auto"/>
                    <w:left w:val="single" w:sz="4" w:space="0" w:color="auto"/>
                    <w:bottom w:val="single" w:sz="6" w:space="0" w:color="auto"/>
                    <w:right w:val="single" w:sz="4" w:space="0" w:color="auto"/>
                  </w:tcBorders>
                  <w:shd w:val="clear" w:color="auto" w:fill="FFFFFF" w:themeFill="background1"/>
                  <w:tcMar>
                    <w:left w:w="43" w:type="dxa"/>
                    <w:right w:w="43" w:type="dxa"/>
                  </w:tcMar>
                  <w:hideMark/>
                </w:tcPr>
                <w:p w14:paraId="12FB8594" w14:textId="77777777" w:rsidR="00AA7AB9" w:rsidRPr="005D4222" w:rsidRDefault="00AA7AB9" w:rsidP="00A53E8C">
                  <w:pPr>
                    <w:pStyle w:val="TableText"/>
                    <w:spacing w:before="40" w:after="40"/>
                    <w:rPr>
                      <w:rFonts w:eastAsia="Wingdings" w:cs="Arial"/>
                      <w:szCs w:val="21"/>
                      <w:lang w:eastAsia="zh-CN"/>
                    </w:rPr>
                  </w:pPr>
                  <w:r w:rsidRPr="005D4222">
                    <w:rPr>
                      <w:rFonts w:eastAsia="Wingdings" w:cs="Arial"/>
                      <w:szCs w:val="21"/>
                      <w:lang w:eastAsia="zh-CN"/>
                    </w:rPr>
                    <w:t>For each Stratification</w:t>
                  </w:r>
                </w:p>
              </w:tc>
            </w:tr>
            <w:tr w:rsidR="00AA7AB9" w:rsidRPr="005D4222" w14:paraId="66BAAC2A" w14:textId="77777777" w:rsidTr="00297882">
              <w:trPr>
                <w:trHeight w:val="65"/>
              </w:trPr>
              <w:tc>
                <w:tcPr>
                  <w:tcW w:w="1800" w:type="dxa"/>
                  <w:tcBorders>
                    <w:top w:val="single" w:sz="4" w:space="0" w:color="auto"/>
                    <w:left w:val="nil"/>
                    <w:bottom w:val="nil"/>
                    <w:right w:val="single" w:sz="4" w:space="0" w:color="auto"/>
                  </w:tcBorders>
                  <w:tcMar>
                    <w:left w:w="43" w:type="dxa"/>
                    <w:right w:w="43" w:type="dxa"/>
                  </w:tcMar>
                  <w:hideMark/>
                </w:tcPr>
                <w:p w14:paraId="7BAB59F6" w14:textId="77777777" w:rsidR="00AA7AB9" w:rsidRPr="005D4222" w:rsidRDefault="00AA7AB9" w:rsidP="00A53E8C">
                  <w:pPr>
                    <w:pStyle w:val="TableText"/>
                    <w:spacing w:before="40" w:after="40"/>
                    <w:rPr>
                      <w:rFonts w:cs="Arial"/>
                      <w:lang w:eastAsia="zh-CN"/>
                    </w:rPr>
                  </w:pPr>
                </w:p>
              </w:tc>
              <w:tc>
                <w:tcPr>
                  <w:tcW w:w="2606" w:type="dxa"/>
                  <w:tcBorders>
                    <w:top w:val="single" w:sz="4" w:space="0" w:color="auto"/>
                    <w:left w:val="single" w:sz="4" w:space="0" w:color="auto"/>
                    <w:bottom w:val="single" w:sz="4" w:space="0" w:color="auto"/>
                    <w:right w:val="single" w:sz="4" w:space="0" w:color="auto"/>
                  </w:tcBorders>
                  <w:shd w:val="clear" w:color="auto" w:fill="FFFFFF" w:themeFill="background1"/>
                  <w:tcMar>
                    <w:left w:w="43" w:type="dxa"/>
                    <w:right w:w="43" w:type="dxa"/>
                  </w:tcMar>
                  <w:hideMark/>
                </w:tcPr>
                <w:p w14:paraId="77A73C28" w14:textId="77777777" w:rsidR="00AA7AB9" w:rsidRPr="005D4222" w:rsidRDefault="00AA7AB9" w:rsidP="00A53E8C">
                  <w:pPr>
                    <w:pStyle w:val="TableText"/>
                    <w:spacing w:before="40" w:after="40"/>
                    <w:rPr>
                      <w:rFonts w:cs="Arial"/>
                      <w:szCs w:val="21"/>
                      <w:lang w:eastAsia="zh-CN"/>
                    </w:rPr>
                  </w:pPr>
                  <w:r w:rsidRPr="005D4222">
                    <w:rPr>
                      <w:rFonts w:cs="Arial"/>
                      <w:szCs w:val="21"/>
                      <w:lang w:eastAsia="zh-CN"/>
                    </w:rPr>
                    <w:t>Asian</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Mar>
                    <w:left w:w="43" w:type="dxa"/>
                    <w:right w:w="43" w:type="dxa"/>
                  </w:tcMar>
                  <w:hideMark/>
                </w:tcPr>
                <w:p w14:paraId="65BBCC3B" w14:textId="77777777" w:rsidR="00AA7AB9" w:rsidRPr="005D4222" w:rsidRDefault="00AA7AB9" w:rsidP="00A53E8C">
                  <w:pPr>
                    <w:pStyle w:val="TableText"/>
                    <w:spacing w:before="40" w:after="40"/>
                    <w:rPr>
                      <w:rFonts w:cs="Arial"/>
                      <w:szCs w:val="21"/>
                      <w:lang w:eastAsia="zh-CN"/>
                    </w:rPr>
                  </w:pPr>
                  <w:r w:rsidRPr="005D4222">
                    <w:rPr>
                      <w:rFonts w:cs="Arial"/>
                      <w:szCs w:val="21"/>
                      <w:lang w:eastAsia="zh-CN"/>
                    </w:rPr>
                    <w:t>Exclusions</w:t>
                  </w:r>
                </w:p>
              </w:tc>
              <w:tc>
                <w:tcPr>
                  <w:tcW w:w="1443" w:type="dxa"/>
                  <w:tcBorders>
                    <w:top w:val="single" w:sz="6" w:space="0" w:color="auto"/>
                    <w:left w:val="single" w:sz="4" w:space="0" w:color="auto"/>
                    <w:bottom w:val="single" w:sz="4" w:space="0" w:color="auto"/>
                    <w:right w:val="single" w:sz="4" w:space="0" w:color="auto"/>
                  </w:tcBorders>
                  <w:shd w:val="clear" w:color="auto" w:fill="FFFFFF" w:themeFill="background1"/>
                  <w:tcMar>
                    <w:left w:w="43" w:type="dxa"/>
                    <w:right w:w="43" w:type="dxa"/>
                  </w:tcMar>
                  <w:hideMark/>
                </w:tcPr>
                <w:p w14:paraId="7096DD74" w14:textId="77777777" w:rsidR="00AA7AB9" w:rsidRPr="005D4222" w:rsidRDefault="00AA7AB9" w:rsidP="00A53E8C">
                  <w:pPr>
                    <w:pStyle w:val="TableText"/>
                    <w:spacing w:before="40" w:after="40"/>
                    <w:rPr>
                      <w:rFonts w:eastAsia="Wingdings" w:cs="Arial"/>
                      <w:szCs w:val="21"/>
                      <w:lang w:eastAsia="zh-CN"/>
                    </w:rPr>
                  </w:pPr>
                  <w:r w:rsidRPr="005D4222">
                    <w:rPr>
                      <w:rFonts w:eastAsia="Wingdings" w:cs="Arial"/>
                      <w:szCs w:val="21"/>
                      <w:lang w:eastAsia="zh-CN"/>
                    </w:rPr>
                    <w:t>For each Stratification</w:t>
                  </w:r>
                </w:p>
              </w:tc>
            </w:tr>
            <w:tr w:rsidR="00AA7AB9" w:rsidRPr="005D4222" w14:paraId="0577C430" w14:textId="77777777" w:rsidTr="00297882">
              <w:trPr>
                <w:trHeight w:val="65"/>
              </w:trPr>
              <w:tc>
                <w:tcPr>
                  <w:tcW w:w="1800" w:type="dxa"/>
                  <w:tcBorders>
                    <w:top w:val="nil"/>
                    <w:left w:val="nil"/>
                    <w:bottom w:val="nil"/>
                    <w:right w:val="single" w:sz="4" w:space="0" w:color="auto"/>
                  </w:tcBorders>
                  <w:tcMar>
                    <w:left w:w="43" w:type="dxa"/>
                    <w:right w:w="43" w:type="dxa"/>
                  </w:tcMar>
                </w:tcPr>
                <w:p w14:paraId="226BBF5F" w14:textId="77777777" w:rsidR="00AA7AB9" w:rsidRPr="005D4222" w:rsidRDefault="00AA7AB9" w:rsidP="00A53E8C">
                  <w:pPr>
                    <w:pStyle w:val="TableText"/>
                    <w:spacing w:before="40" w:after="40"/>
                    <w:rPr>
                      <w:rFonts w:cs="Arial"/>
                      <w:szCs w:val="21"/>
                      <w:lang w:eastAsia="zh-CN"/>
                    </w:rPr>
                  </w:pPr>
                </w:p>
              </w:tc>
              <w:tc>
                <w:tcPr>
                  <w:tcW w:w="2606" w:type="dxa"/>
                  <w:tcBorders>
                    <w:top w:val="single" w:sz="4" w:space="0" w:color="auto"/>
                    <w:left w:val="single" w:sz="4" w:space="0" w:color="auto"/>
                    <w:bottom w:val="single" w:sz="4" w:space="0" w:color="auto"/>
                    <w:right w:val="single" w:sz="4" w:space="0" w:color="auto"/>
                  </w:tcBorders>
                  <w:tcMar>
                    <w:left w:w="43" w:type="dxa"/>
                    <w:right w:w="43" w:type="dxa"/>
                  </w:tcMar>
                  <w:hideMark/>
                </w:tcPr>
                <w:p w14:paraId="1A995982" w14:textId="77777777" w:rsidR="00AA7AB9" w:rsidRPr="005D4222" w:rsidRDefault="00AA7AB9" w:rsidP="00A53E8C">
                  <w:pPr>
                    <w:pStyle w:val="TableText"/>
                    <w:spacing w:before="40" w:after="40"/>
                    <w:rPr>
                      <w:rFonts w:cs="Arial"/>
                      <w:szCs w:val="21"/>
                      <w:lang w:eastAsia="zh-CN"/>
                    </w:rPr>
                  </w:pPr>
                  <w:r w:rsidRPr="005D4222">
                    <w:rPr>
                      <w:rFonts w:cs="Arial"/>
                      <w:szCs w:val="21"/>
                      <w:lang w:eastAsia="zh-CN"/>
                    </w:rPr>
                    <w:t>BlackOrAfricanAmerican</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Mar>
                    <w:left w:w="43" w:type="dxa"/>
                    <w:right w:w="43" w:type="dxa"/>
                  </w:tcMar>
                  <w:hideMark/>
                </w:tcPr>
                <w:p w14:paraId="080B9A56" w14:textId="77777777" w:rsidR="00AA7AB9" w:rsidRPr="005D4222" w:rsidRDefault="00AA7AB9" w:rsidP="00A53E8C">
                  <w:pPr>
                    <w:pStyle w:val="TableText"/>
                    <w:spacing w:before="40" w:after="40"/>
                    <w:rPr>
                      <w:rFonts w:cs="Arial"/>
                      <w:b/>
                      <w:szCs w:val="21"/>
                      <w:lang w:eastAsia="zh-CN"/>
                    </w:rPr>
                  </w:pPr>
                  <w:r w:rsidRPr="005D4222">
                    <w:rPr>
                      <w:rFonts w:cs="Arial"/>
                      <w:szCs w:val="21"/>
                      <w:lang w:eastAsia="zh-CN"/>
                    </w:rPr>
                    <w:t>Denominator</w:t>
                  </w:r>
                </w:p>
              </w:tc>
              <w:tc>
                <w:tcPr>
                  <w:tcW w:w="1443" w:type="dxa"/>
                  <w:tcBorders>
                    <w:top w:val="single" w:sz="6" w:space="0" w:color="auto"/>
                    <w:left w:val="single" w:sz="4" w:space="0" w:color="auto"/>
                    <w:bottom w:val="single" w:sz="4" w:space="0" w:color="auto"/>
                    <w:right w:val="single" w:sz="4" w:space="0" w:color="auto"/>
                  </w:tcBorders>
                  <w:shd w:val="clear" w:color="auto" w:fill="FFFFFF" w:themeFill="background1"/>
                  <w:tcMar>
                    <w:left w:w="43" w:type="dxa"/>
                    <w:right w:w="43" w:type="dxa"/>
                  </w:tcMar>
                  <w:hideMark/>
                </w:tcPr>
                <w:p w14:paraId="402C7B02" w14:textId="77777777" w:rsidR="00AA7AB9" w:rsidRPr="005D4222" w:rsidRDefault="00AA7AB9" w:rsidP="00A53E8C">
                  <w:pPr>
                    <w:pStyle w:val="TableText"/>
                    <w:spacing w:before="40" w:after="40"/>
                    <w:rPr>
                      <w:rFonts w:eastAsia="Wingdings" w:cs="Arial"/>
                      <w:szCs w:val="21"/>
                      <w:lang w:eastAsia="zh-CN"/>
                    </w:rPr>
                  </w:pPr>
                  <w:r w:rsidRPr="005D4222">
                    <w:rPr>
                      <w:rFonts w:eastAsia="Wingdings" w:cs="Arial"/>
                      <w:szCs w:val="21"/>
                      <w:lang w:eastAsia="zh-CN"/>
                    </w:rPr>
                    <w:t>For each Stratification</w:t>
                  </w:r>
                </w:p>
              </w:tc>
            </w:tr>
            <w:tr w:rsidR="00AA7AB9" w:rsidRPr="005D4222" w14:paraId="4B0485F3" w14:textId="77777777" w:rsidTr="00297882">
              <w:trPr>
                <w:trHeight w:val="70"/>
              </w:trPr>
              <w:tc>
                <w:tcPr>
                  <w:tcW w:w="1800" w:type="dxa"/>
                  <w:tcBorders>
                    <w:top w:val="nil"/>
                    <w:left w:val="nil"/>
                    <w:bottom w:val="nil"/>
                    <w:right w:val="single" w:sz="4" w:space="0" w:color="auto"/>
                  </w:tcBorders>
                  <w:tcMar>
                    <w:left w:w="43" w:type="dxa"/>
                    <w:right w:w="43" w:type="dxa"/>
                  </w:tcMar>
                </w:tcPr>
                <w:p w14:paraId="5EAE0B5A" w14:textId="77777777" w:rsidR="00AA7AB9" w:rsidRPr="005D4222" w:rsidRDefault="00AA7AB9" w:rsidP="00A53E8C">
                  <w:pPr>
                    <w:pStyle w:val="TableText"/>
                    <w:spacing w:before="40" w:after="40"/>
                    <w:rPr>
                      <w:rFonts w:cs="Arial"/>
                      <w:szCs w:val="21"/>
                      <w:lang w:eastAsia="zh-CN"/>
                    </w:rPr>
                  </w:pPr>
                </w:p>
              </w:tc>
              <w:tc>
                <w:tcPr>
                  <w:tcW w:w="2606" w:type="dxa"/>
                  <w:tcBorders>
                    <w:top w:val="single" w:sz="4" w:space="0" w:color="auto"/>
                    <w:left w:val="single" w:sz="4" w:space="0" w:color="auto"/>
                    <w:bottom w:val="single" w:sz="4" w:space="0" w:color="auto"/>
                    <w:right w:val="single" w:sz="4" w:space="0" w:color="auto"/>
                  </w:tcBorders>
                  <w:tcMar>
                    <w:left w:w="43" w:type="dxa"/>
                    <w:right w:w="43" w:type="dxa"/>
                  </w:tcMar>
                </w:tcPr>
                <w:p w14:paraId="55F65216" w14:textId="77777777" w:rsidR="00AA7AB9" w:rsidRPr="005D4222" w:rsidRDefault="00AA7AB9" w:rsidP="00A53E8C">
                  <w:pPr>
                    <w:pStyle w:val="TableText"/>
                    <w:spacing w:before="40" w:after="40"/>
                    <w:rPr>
                      <w:rFonts w:cs="Arial"/>
                      <w:szCs w:val="21"/>
                      <w:lang w:eastAsia="zh-CN"/>
                    </w:rPr>
                  </w:pPr>
                  <w:r w:rsidRPr="005D4222">
                    <w:rPr>
                      <w:rFonts w:cs="Arial"/>
                      <w:szCs w:val="21"/>
                      <w:lang w:eastAsia="zh-CN"/>
                    </w:rPr>
                    <w:t>MiddleEasternOrNorthAfrican</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Mar>
                    <w:left w:w="43" w:type="dxa"/>
                    <w:right w:w="43" w:type="dxa"/>
                  </w:tcMar>
                  <w:hideMark/>
                </w:tcPr>
                <w:p w14:paraId="65B80063" w14:textId="77777777" w:rsidR="00AA7AB9" w:rsidRPr="005D4222" w:rsidRDefault="00AA7AB9" w:rsidP="00A53E8C">
                  <w:pPr>
                    <w:pStyle w:val="TableText"/>
                    <w:spacing w:before="40" w:after="40"/>
                    <w:rPr>
                      <w:rFonts w:cs="Arial"/>
                      <w:szCs w:val="21"/>
                      <w:lang w:eastAsia="zh-CN"/>
                    </w:rPr>
                  </w:pPr>
                  <w:r w:rsidRPr="005D4222">
                    <w:rPr>
                      <w:rFonts w:cs="Arial"/>
                      <w:szCs w:val="21"/>
                      <w:lang w:eastAsia="zh-CN"/>
                    </w:rPr>
                    <w:t>Numerator</w:t>
                  </w:r>
                </w:p>
              </w:tc>
              <w:tc>
                <w:tcPr>
                  <w:tcW w:w="1443" w:type="dxa"/>
                  <w:tcBorders>
                    <w:top w:val="single" w:sz="4" w:space="0" w:color="auto"/>
                    <w:left w:val="single" w:sz="4" w:space="0" w:color="auto"/>
                    <w:bottom w:val="single" w:sz="4" w:space="0" w:color="auto"/>
                    <w:right w:val="single" w:sz="4" w:space="0" w:color="auto"/>
                  </w:tcBorders>
                  <w:shd w:val="clear" w:color="auto" w:fill="FFFFFF" w:themeFill="background1"/>
                  <w:tcMar>
                    <w:left w:w="43" w:type="dxa"/>
                    <w:right w:w="43" w:type="dxa"/>
                  </w:tcMar>
                  <w:hideMark/>
                </w:tcPr>
                <w:p w14:paraId="5EF3D378" w14:textId="77777777" w:rsidR="00AA7AB9" w:rsidRPr="005D4222" w:rsidRDefault="00AA7AB9" w:rsidP="00A53E8C">
                  <w:pPr>
                    <w:pStyle w:val="TableText"/>
                    <w:spacing w:before="40" w:after="40"/>
                    <w:rPr>
                      <w:rFonts w:eastAsia="Wingdings" w:cs="Arial"/>
                      <w:szCs w:val="21"/>
                      <w:lang w:eastAsia="zh-CN"/>
                    </w:rPr>
                  </w:pPr>
                  <w:r w:rsidRPr="005D4222">
                    <w:rPr>
                      <w:rFonts w:eastAsia="Wingdings" w:cs="Arial"/>
                      <w:szCs w:val="21"/>
                      <w:lang w:eastAsia="zh-CN"/>
                    </w:rPr>
                    <w:t>For each Stratification</w:t>
                  </w:r>
                </w:p>
              </w:tc>
            </w:tr>
            <w:tr w:rsidR="00AA7AB9" w:rsidRPr="005D4222" w14:paraId="4911DCE2" w14:textId="77777777" w:rsidTr="002561F8">
              <w:trPr>
                <w:trHeight w:val="70"/>
              </w:trPr>
              <w:tc>
                <w:tcPr>
                  <w:tcW w:w="1800" w:type="dxa"/>
                  <w:tcBorders>
                    <w:top w:val="nil"/>
                    <w:left w:val="nil"/>
                    <w:bottom w:val="nil"/>
                    <w:right w:val="single" w:sz="4" w:space="0" w:color="auto"/>
                  </w:tcBorders>
                  <w:tcMar>
                    <w:left w:w="43" w:type="dxa"/>
                    <w:right w:w="43" w:type="dxa"/>
                  </w:tcMar>
                </w:tcPr>
                <w:p w14:paraId="07938F93" w14:textId="77777777" w:rsidR="00AA7AB9" w:rsidRPr="005D4222" w:rsidRDefault="00AA7AB9" w:rsidP="00A53E8C">
                  <w:pPr>
                    <w:pStyle w:val="TableText"/>
                    <w:spacing w:before="40" w:after="40"/>
                    <w:rPr>
                      <w:rFonts w:cs="Arial"/>
                      <w:szCs w:val="21"/>
                      <w:lang w:eastAsia="zh-CN"/>
                    </w:rPr>
                  </w:pPr>
                </w:p>
              </w:tc>
              <w:tc>
                <w:tcPr>
                  <w:tcW w:w="2606" w:type="dxa"/>
                  <w:tcBorders>
                    <w:top w:val="single" w:sz="4" w:space="0" w:color="auto"/>
                    <w:left w:val="single" w:sz="4" w:space="0" w:color="auto"/>
                    <w:bottom w:val="single" w:sz="4" w:space="0" w:color="auto"/>
                    <w:right w:val="single" w:sz="4" w:space="0" w:color="auto"/>
                  </w:tcBorders>
                  <w:tcMar>
                    <w:left w:w="43" w:type="dxa"/>
                    <w:right w:w="43" w:type="dxa"/>
                  </w:tcMar>
                  <w:hideMark/>
                </w:tcPr>
                <w:p w14:paraId="42F7BB24" w14:textId="77777777" w:rsidR="00AA7AB9" w:rsidRPr="005D4222" w:rsidRDefault="00AA7AB9" w:rsidP="00A53E8C">
                  <w:pPr>
                    <w:pStyle w:val="TableText"/>
                    <w:spacing w:before="40" w:after="40"/>
                    <w:rPr>
                      <w:rFonts w:cs="Arial"/>
                      <w:szCs w:val="21"/>
                      <w:lang w:eastAsia="zh-CN"/>
                    </w:rPr>
                  </w:pPr>
                  <w:r w:rsidRPr="005D4222">
                    <w:rPr>
                      <w:rFonts w:cs="Arial"/>
                      <w:szCs w:val="21"/>
                      <w:lang w:eastAsia="zh-CN"/>
                    </w:rPr>
                    <w:t xml:space="preserve">NativeHawaiianOrPacificIslander </w:t>
                  </w: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43" w:type="dxa"/>
                    <w:right w:w="43" w:type="dxa"/>
                  </w:tcMar>
                  <w:hideMark/>
                </w:tcPr>
                <w:p w14:paraId="34D32B85" w14:textId="77777777" w:rsidR="00AA7AB9" w:rsidRPr="005D4222" w:rsidRDefault="00AA7AB9" w:rsidP="00A53E8C">
                  <w:pPr>
                    <w:pStyle w:val="TableText"/>
                    <w:spacing w:before="40" w:after="40"/>
                    <w:rPr>
                      <w:rFonts w:cs="Arial"/>
                      <w:szCs w:val="21"/>
                      <w:lang w:eastAsia="zh-CN"/>
                    </w:rPr>
                  </w:pPr>
                  <w:r w:rsidRPr="005D4222">
                    <w:rPr>
                      <w:rFonts w:cs="Arial"/>
                      <w:szCs w:val="21"/>
                      <w:lang w:eastAsia="zh-CN"/>
                    </w:rPr>
                    <w:t>Rate</w:t>
                  </w:r>
                </w:p>
              </w:tc>
              <w:tc>
                <w:tcPr>
                  <w:tcW w:w="144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43" w:type="dxa"/>
                    <w:right w:w="43" w:type="dxa"/>
                  </w:tcMar>
                  <w:hideMark/>
                </w:tcPr>
                <w:p w14:paraId="2439662F" w14:textId="77777777" w:rsidR="00AA7AB9" w:rsidRPr="005D4222" w:rsidRDefault="00AA7AB9" w:rsidP="00A53E8C">
                  <w:pPr>
                    <w:pStyle w:val="TableText"/>
                    <w:spacing w:before="40" w:after="40"/>
                    <w:rPr>
                      <w:rFonts w:eastAsia="Wingdings" w:cs="Arial"/>
                      <w:szCs w:val="21"/>
                      <w:lang w:eastAsia="zh-CN"/>
                    </w:rPr>
                  </w:pPr>
                  <w:r w:rsidRPr="005D4222">
                    <w:rPr>
                      <w:rFonts w:eastAsia="Wingdings" w:cs="Arial"/>
                      <w:szCs w:val="21"/>
                      <w:lang w:eastAsia="zh-CN"/>
                    </w:rPr>
                    <w:t>(Percent)</w:t>
                  </w:r>
                </w:p>
              </w:tc>
            </w:tr>
            <w:tr w:rsidR="00AA7AB9" w:rsidRPr="005D4222" w14:paraId="10F8D926" w14:textId="77777777" w:rsidTr="002561F8">
              <w:trPr>
                <w:trHeight w:val="70"/>
              </w:trPr>
              <w:tc>
                <w:tcPr>
                  <w:tcW w:w="1800" w:type="dxa"/>
                  <w:tcBorders>
                    <w:top w:val="nil"/>
                    <w:left w:val="nil"/>
                    <w:bottom w:val="nil"/>
                    <w:right w:val="single" w:sz="4" w:space="0" w:color="auto"/>
                  </w:tcBorders>
                  <w:tcMar>
                    <w:left w:w="43" w:type="dxa"/>
                    <w:right w:w="43" w:type="dxa"/>
                  </w:tcMar>
                </w:tcPr>
                <w:p w14:paraId="4D53B2B3" w14:textId="77777777" w:rsidR="00AA7AB9" w:rsidRPr="005D4222" w:rsidRDefault="00AA7AB9" w:rsidP="00A53E8C">
                  <w:pPr>
                    <w:pStyle w:val="TableText"/>
                    <w:spacing w:before="40" w:after="40"/>
                    <w:rPr>
                      <w:rFonts w:cs="Arial"/>
                      <w:szCs w:val="21"/>
                      <w:lang w:eastAsia="zh-CN"/>
                    </w:rPr>
                  </w:pPr>
                </w:p>
              </w:tc>
              <w:tc>
                <w:tcPr>
                  <w:tcW w:w="2606" w:type="dxa"/>
                  <w:tcBorders>
                    <w:top w:val="single" w:sz="4" w:space="0" w:color="auto"/>
                    <w:left w:val="single" w:sz="4" w:space="0" w:color="auto"/>
                    <w:bottom w:val="single" w:sz="4" w:space="0" w:color="auto"/>
                    <w:right w:val="single" w:sz="4" w:space="0" w:color="auto"/>
                  </w:tcBorders>
                  <w:tcMar>
                    <w:left w:w="43" w:type="dxa"/>
                    <w:right w:w="43" w:type="dxa"/>
                  </w:tcMar>
                  <w:hideMark/>
                </w:tcPr>
                <w:p w14:paraId="1EFB6CBF" w14:textId="77777777" w:rsidR="00AA7AB9" w:rsidRPr="005D4222" w:rsidRDefault="00AA7AB9" w:rsidP="00A53E8C">
                  <w:pPr>
                    <w:pStyle w:val="TableText"/>
                    <w:spacing w:before="40" w:after="40"/>
                    <w:rPr>
                      <w:rFonts w:cs="Arial"/>
                      <w:szCs w:val="21"/>
                      <w:lang w:eastAsia="zh-CN"/>
                    </w:rPr>
                  </w:pPr>
                  <w:r w:rsidRPr="005D4222">
                    <w:rPr>
                      <w:rFonts w:cs="Arial"/>
                      <w:szCs w:val="21"/>
                      <w:lang w:eastAsia="zh-CN"/>
                    </w:rPr>
                    <w:t>White</w:t>
                  </w:r>
                </w:p>
              </w:tc>
              <w:tc>
                <w:tcPr>
                  <w:tcW w:w="1530" w:type="dxa"/>
                  <w:tcBorders>
                    <w:top w:val="single" w:sz="4" w:space="0" w:color="auto"/>
                    <w:left w:val="nil"/>
                    <w:bottom w:val="nil"/>
                    <w:right w:val="nil"/>
                  </w:tcBorders>
                  <w:tcMar>
                    <w:left w:w="43" w:type="dxa"/>
                    <w:right w:w="43" w:type="dxa"/>
                  </w:tcMar>
                </w:tcPr>
                <w:p w14:paraId="2E87AE8F" w14:textId="77777777" w:rsidR="00AA7AB9" w:rsidRPr="005D4222" w:rsidRDefault="00AA7AB9" w:rsidP="00A53E8C">
                  <w:pPr>
                    <w:pStyle w:val="TableText"/>
                    <w:spacing w:before="40" w:after="40"/>
                    <w:rPr>
                      <w:rFonts w:cs="Arial"/>
                      <w:szCs w:val="21"/>
                      <w:lang w:eastAsia="zh-CN"/>
                    </w:rPr>
                  </w:pPr>
                </w:p>
              </w:tc>
              <w:tc>
                <w:tcPr>
                  <w:tcW w:w="1443" w:type="dxa"/>
                  <w:tcBorders>
                    <w:top w:val="nil"/>
                    <w:left w:val="nil"/>
                    <w:bottom w:val="nil"/>
                    <w:right w:val="nil"/>
                  </w:tcBorders>
                  <w:tcMar>
                    <w:left w:w="43" w:type="dxa"/>
                    <w:right w:w="43" w:type="dxa"/>
                  </w:tcMar>
                </w:tcPr>
                <w:p w14:paraId="26406F41" w14:textId="77777777" w:rsidR="00AA7AB9" w:rsidRPr="005D4222" w:rsidRDefault="00AA7AB9" w:rsidP="00A53E8C">
                  <w:pPr>
                    <w:pStyle w:val="TableText"/>
                    <w:spacing w:before="40" w:after="40"/>
                    <w:rPr>
                      <w:rFonts w:eastAsia="Wingdings" w:cs="Arial"/>
                      <w:szCs w:val="21"/>
                      <w:lang w:eastAsia="zh-CN"/>
                    </w:rPr>
                  </w:pPr>
                </w:p>
              </w:tc>
            </w:tr>
          </w:tbl>
          <w:p w14:paraId="1D5EB936" w14:textId="67611513" w:rsidR="00AA7AB9" w:rsidRPr="005D4222" w:rsidRDefault="00AA7AB9" w:rsidP="002561F8">
            <w:pPr>
              <w:pStyle w:val="TableText"/>
              <w:spacing w:before="0" w:after="0"/>
              <w:rPr>
                <w:rFonts w:ascii="Arial" w:eastAsia="Calibri" w:hAnsi="Arial" w:cs="Arial"/>
                <w:kern w:val="20"/>
                <w:szCs w:val="21"/>
                <w:lang w:eastAsia="zh-CN"/>
              </w:rPr>
            </w:pPr>
          </w:p>
        </w:tc>
      </w:tr>
      <w:tr w:rsidR="00AA7AB9" w:rsidRPr="005D4222" w14:paraId="66D0E23D" w14:textId="77777777" w:rsidTr="00611F69">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Pr>
          <w:p w14:paraId="5A8BD302" w14:textId="77777777" w:rsidR="00AA7AB9" w:rsidRPr="005D4222" w:rsidRDefault="00AA7AB9" w:rsidP="00A53E8C">
            <w:pPr>
              <w:pStyle w:val="ECDSMarginHead"/>
              <w:rPr>
                <w:lang w:eastAsia="zh-CN"/>
              </w:rPr>
            </w:pPr>
          </w:p>
        </w:tc>
        <w:tc>
          <w:tcPr>
            <w:tcW w:w="3890" w:type="pct"/>
            <w:gridSpan w:val="3"/>
            <w:tcBorders>
              <w:top w:val="single" w:sz="4" w:space="0" w:color="auto"/>
              <w:left w:val="single" w:sz="4" w:space="0" w:color="auto"/>
              <w:bottom w:val="single" w:sz="4" w:space="0" w:color="auto"/>
              <w:right w:val="single" w:sz="4" w:space="0" w:color="auto"/>
            </w:tcBorders>
          </w:tcPr>
          <w:p w14:paraId="412AC9E5" w14:textId="77777777" w:rsidR="00AA7AB9" w:rsidRPr="005D4222" w:rsidRDefault="00AA7AB9" w:rsidP="00A53E8C">
            <w:pPr>
              <w:rPr>
                <w:sz w:val="10"/>
                <w:szCs w:val="10"/>
              </w:rPr>
            </w:pPr>
          </w:p>
          <w:tbl>
            <w:tblPr>
              <w:tblW w:w="737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800"/>
              <w:gridCol w:w="2606"/>
              <w:gridCol w:w="1530"/>
              <w:gridCol w:w="1443"/>
            </w:tblGrid>
            <w:tr w:rsidR="00AA7AB9" w:rsidRPr="005D4222" w14:paraId="4EEDF1D4" w14:textId="77777777" w:rsidTr="00A53E8C">
              <w:trPr>
                <w:tblHeader/>
              </w:trPr>
              <w:tc>
                <w:tcPr>
                  <w:tcW w:w="1800" w:type="dxa"/>
                  <w:tcBorders>
                    <w:top w:val="single" w:sz="4" w:space="0" w:color="000000" w:themeColor="text1"/>
                    <w:left w:val="single" w:sz="4" w:space="0" w:color="auto"/>
                    <w:bottom w:val="single" w:sz="4" w:space="0" w:color="auto"/>
                    <w:right w:val="single" w:sz="4" w:space="0" w:color="FFFFFF" w:themeColor="background1"/>
                  </w:tcBorders>
                  <w:shd w:val="clear" w:color="auto" w:fill="000000" w:themeFill="text1"/>
                  <w:tcMar>
                    <w:left w:w="43" w:type="dxa"/>
                    <w:right w:w="43" w:type="dxa"/>
                  </w:tcMar>
                  <w:vAlign w:val="bottom"/>
                  <w:hideMark/>
                </w:tcPr>
                <w:p w14:paraId="21902BB0" w14:textId="77777777" w:rsidR="00AA7AB9" w:rsidRPr="005D4222" w:rsidRDefault="00AA7AB9" w:rsidP="00A53E8C">
                  <w:pPr>
                    <w:pStyle w:val="TableHead"/>
                    <w:spacing w:before="40" w:after="40"/>
                    <w:rPr>
                      <w:rFonts w:cs="Arial"/>
                      <w:lang w:eastAsia="zh-CN"/>
                    </w:rPr>
                  </w:pPr>
                  <w:r w:rsidRPr="005D4222">
                    <w:rPr>
                      <w:rFonts w:cs="Arial"/>
                      <w:lang w:eastAsia="zh-CN"/>
                    </w:rPr>
                    <w:t>Metric</w:t>
                  </w:r>
                </w:p>
              </w:tc>
              <w:tc>
                <w:tcPr>
                  <w:tcW w:w="2606" w:type="dxa"/>
                  <w:tcBorders>
                    <w:top w:val="single" w:sz="4" w:space="0" w:color="000000" w:themeColor="text1"/>
                    <w:left w:val="single" w:sz="4" w:space="0" w:color="FFFFFF" w:themeColor="background1"/>
                    <w:bottom w:val="single" w:sz="4" w:space="0" w:color="auto"/>
                    <w:right w:val="single" w:sz="4" w:space="0" w:color="FFFFFF" w:themeColor="background1"/>
                  </w:tcBorders>
                  <w:shd w:val="clear" w:color="auto" w:fill="000000" w:themeFill="text1"/>
                  <w:tcMar>
                    <w:left w:w="43" w:type="dxa"/>
                    <w:right w:w="43" w:type="dxa"/>
                  </w:tcMar>
                  <w:vAlign w:val="bottom"/>
                  <w:hideMark/>
                </w:tcPr>
                <w:p w14:paraId="32E8BC15" w14:textId="77777777" w:rsidR="00AA7AB9" w:rsidRPr="005D4222" w:rsidRDefault="00AA7AB9" w:rsidP="00A53E8C">
                  <w:pPr>
                    <w:pStyle w:val="TableHead"/>
                    <w:spacing w:before="40" w:after="40"/>
                    <w:rPr>
                      <w:rFonts w:cs="Arial"/>
                      <w:lang w:eastAsia="zh-CN"/>
                    </w:rPr>
                  </w:pPr>
                  <w:r w:rsidRPr="005D4222">
                    <w:rPr>
                      <w:rFonts w:cs="Arial"/>
                      <w:lang w:eastAsia="zh-CN"/>
                    </w:rPr>
                    <w:t>Race</w:t>
                  </w:r>
                </w:p>
              </w:tc>
              <w:tc>
                <w:tcPr>
                  <w:tcW w:w="153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43" w:type="dxa"/>
                    <w:right w:w="43" w:type="dxa"/>
                  </w:tcMar>
                  <w:vAlign w:val="bottom"/>
                  <w:hideMark/>
                </w:tcPr>
                <w:p w14:paraId="25842D80" w14:textId="77777777" w:rsidR="00AA7AB9" w:rsidRPr="005D4222" w:rsidRDefault="00AA7AB9" w:rsidP="00A53E8C">
                  <w:pPr>
                    <w:pStyle w:val="TableHead"/>
                    <w:spacing w:before="40" w:after="40"/>
                    <w:rPr>
                      <w:rFonts w:cs="Arial"/>
                      <w:lang w:eastAsia="zh-CN"/>
                    </w:rPr>
                  </w:pPr>
                  <w:r w:rsidRPr="005D4222">
                    <w:rPr>
                      <w:rFonts w:cs="Arial"/>
                      <w:lang w:eastAsia="zh-CN"/>
                    </w:rPr>
                    <w:t>Data Element</w:t>
                  </w:r>
                </w:p>
              </w:tc>
              <w:tc>
                <w:tcPr>
                  <w:tcW w:w="1443" w:type="dxa"/>
                  <w:tcBorders>
                    <w:top w:val="single" w:sz="4" w:space="0" w:color="000000" w:themeColor="text1"/>
                    <w:left w:val="single" w:sz="4" w:space="0" w:color="FFFFFF" w:themeColor="background1"/>
                    <w:bottom w:val="single" w:sz="4" w:space="0" w:color="000000" w:themeColor="text1"/>
                    <w:right w:val="single" w:sz="4" w:space="0" w:color="auto"/>
                  </w:tcBorders>
                  <w:shd w:val="clear" w:color="auto" w:fill="000000" w:themeFill="text1"/>
                  <w:tcMar>
                    <w:left w:w="43" w:type="dxa"/>
                    <w:right w:w="43" w:type="dxa"/>
                  </w:tcMar>
                  <w:vAlign w:val="bottom"/>
                  <w:hideMark/>
                </w:tcPr>
                <w:p w14:paraId="5AD23FFF" w14:textId="77777777" w:rsidR="00AA7AB9" w:rsidRPr="005D4222" w:rsidRDefault="00AA7AB9" w:rsidP="00A53E8C">
                  <w:pPr>
                    <w:pStyle w:val="TableHead"/>
                    <w:spacing w:before="40" w:after="40"/>
                    <w:rPr>
                      <w:rFonts w:cs="Arial"/>
                      <w:lang w:eastAsia="zh-CN"/>
                    </w:rPr>
                  </w:pPr>
                  <w:r w:rsidRPr="005D4222">
                    <w:rPr>
                      <w:rFonts w:cs="Arial"/>
                      <w:lang w:eastAsia="zh-CN"/>
                    </w:rPr>
                    <w:t>Reporting Instructions</w:t>
                  </w:r>
                </w:p>
              </w:tc>
            </w:tr>
            <w:tr w:rsidR="002561F8" w:rsidRPr="005D4222" w14:paraId="3F38EA11" w14:textId="77777777" w:rsidTr="00A53E8C">
              <w:trPr>
                <w:trHeight w:val="70"/>
              </w:trPr>
              <w:tc>
                <w:tcPr>
                  <w:tcW w:w="1800" w:type="dxa"/>
                  <w:tcBorders>
                    <w:top w:val="nil"/>
                    <w:left w:val="nil"/>
                    <w:bottom w:val="nil"/>
                    <w:right w:val="single" w:sz="4" w:space="0" w:color="auto"/>
                  </w:tcBorders>
                  <w:tcMar>
                    <w:left w:w="43" w:type="dxa"/>
                    <w:right w:w="43" w:type="dxa"/>
                  </w:tcMar>
                </w:tcPr>
                <w:p w14:paraId="55030BAC" w14:textId="77777777" w:rsidR="002561F8" w:rsidRPr="005D4222" w:rsidRDefault="002561F8" w:rsidP="002561F8">
                  <w:pPr>
                    <w:pStyle w:val="TableText"/>
                    <w:spacing w:before="40" w:after="40"/>
                    <w:rPr>
                      <w:rFonts w:cs="Arial"/>
                      <w:szCs w:val="21"/>
                      <w:lang w:eastAsia="zh-CN"/>
                    </w:rPr>
                  </w:pPr>
                </w:p>
              </w:tc>
              <w:tc>
                <w:tcPr>
                  <w:tcW w:w="2606" w:type="dxa"/>
                  <w:tcBorders>
                    <w:top w:val="single" w:sz="4" w:space="0" w:color="auto"/>
                    <w:left w:val="single" w:sz="4" w:space="0" w:color="auto"/>
                    <w:bottom w:val="single" w:sz="4" w:space="0" w:color="auto"/>
                    <w:right w:val="single" w:sz="4" w:space="0" w:color="auto"/>
                  </w:tcBorders>
                  <w:tcMar>
                    <w:left w:w="43" w:type="dxa"/>
                    <w:right w:w="43" w:type="dxa"/>
                  </w:tcMar>
                </w:tcPr>
                <w:p w14:paraId="70E3AED5" w14:textId="2AB9D674" w:rsidR="002561F8" w:rsidRPr="005D4222" w:rsidRDefault="002561F8" w:rsidP="002561F8">
                  <w:pPr>
                    <w:pStyle w:val="TableText"/>
                    <w:spacing w:before="40" w:after="40"/>
                    <w:rPr>
                      <w:rFonts w:cs="Arial"/>
                      <w:szCs w:val="21"/>
                      <w:lang w:eastAsia="zh-CN"/>
                    </w:rPr>
                  </w:pPr>
                  <w:r w:rsidRPr="005D4222">
                    <w:rPr>
                      <w:rFonts w:cs="Arial"/>
                      <w:szCs w:val="21"/>
                      <w:lang w:eastAsia="zh-CN"/>
                    </w:rPr>
                    <w:t>SomeOtherRace</w:t>
                  </w:r>
                </w:p>
              </w:tc>
              <w:tc>
                <w:tcPr>
                  <w:tcW w:w="1530" w:type="dxa"/>
                  <w:tcBorders>
                    <w:top w:val="nil"/>
                    <w:left w:val="nil"/>
                    <w:bottom w:val="nil"/>
                    <w:right w:val="nil"/>
                  </w:tcBorders>
                  <w:tcMar>
                    <w:left w:w="43" w:type="dxa"/>
                    <w:right w:w="43" w:type="dxa"/>
                  </w:tcMar>
                </w:tcPr>
                <w:p w14:paraId="69B70A0D" w14:textId="77777777" w:rsidR="002561F8" w:rsidRPr="005D4222" w:rsidRDefault="002561F8" w:rsidP="002561F8">
                  <w:pPr>
                    <w:pStyle w:val="TableText"/>
                    <w:spacing w:before="40" w:after="40"/>
                    <w:rPr>
                      <w:rFonts w:cs="Arial"/>
                      <w:szCs w:val="21"/>
                      <w:lang w:eastAsia="zh-CN"/>
                    </w:rPr>
                  </w:pPr>
                </w:p>
              </w:tc>
              <w:tc>
                <w:tcPr>
                  <w:tcW w:w="1443" w:type="dxa"/>
                  <w:tcBorders>
                    <w:top w:val="nil"/>
                    <w:left w:val="nil"/>
                    <w:bottom w:val="nil"/>
                    <w:right w:val="nil"/>
                  </w:tcBorders>
                  <w:tcMar>
                    <w:left w:w="43" w:type="dxa"/>
                    <w:right w:w="43" w:type="dxa"/>
                  </w:tcMar>
                </w:tcPr>
                <w:p w14:paraId="2E098B7C" w14:textId="77777777" w:rsidR="002561F8" w:rsidRPr="005D4222" w:rsidRDefault="002561F8" w:rsidP="002561F8">
                  <w:pPr>
                    <w:pStyle w:val="TableText"/>
                    <w:spacing w:before="40" w:after="40"/>
                    <w:rPr>
                      <w:rFonts w:eastAsia="Wingdings" w:cs="Arial"/>
                      <w:szCs w:val="21"/>
                      <w:lang w:eastAsia="zh-CN"/>
                    </w:rPr>
                  </w:pPr>
                </w:p>
              </w:tc>
            </w:tr>
            <w:tr w:rsidR="002561F8" w:rsidRPr="005D4222" w14:paraId="7BB5A045" w14:textId="77777777" w:rsidTr="00A53E8C">
              <w:trPr>
                <w:trHeight w:val="70"/>
              </w:trPr>
              <w:tc>
                <w:tcPr>
                  <w:tcW w:w="1800" w:type="dxa"/>
                  <w:tcBorders>
                    <w:top w:val="nil"/>
                    <w:left w:val="nil"/>
                    <w:bottom w:val="nil"/>
                    <w:right w:val="single" w:sz="4" w:space="0" w:color="auto"/>
                  </w:tcBorders>
                  <w:tcMar>
                    <w:left w:w="43" w:type="dxa"/>
                    <w:right w:w="43" w:type="dxa"/>
                  </w:tcMar>
                </w:tcPr>
                <w:p w14:paraId="4C865150" w14:textId="77777777" w:rsidR="002561F8" w:rsidRPr="005D4222" w:rsidRDefault="002561F8" w:rsidP="002561F8">
                  <w:pPr>
                    <w:pStyle w:val="TableText"/>
                    <w:spacing w:before="40" w:after="40"/>
                    <w:rPr>
                      <w:rFonts w:cs="Arial"/>
                      <w:szCs w:val="21"/>
                      <w:lang w:eastAsia="zh-CN"/>
                    </w:rPr>
                  </w:pPr>
                </w:p>
              </w:tc>
              <w:tc>
                <w:tcPr>
                  <w:tcW w:w="2606" w:type="dxa"/>
                  <w:tcBorders>
                    <w:top w:val="single" w:sz="4" w:space="0" w:color="auto"/>
                    <w:left w:val="single" w:sz="4" w:space="0" w:color="auto"/>
                    <w:bottom w:val="single" w:sz="4" w:space="0" w:color="auto"/>
                    <w:right w:val="single" w:sz="4" w:space="0" w:color="auto"/>
                  </w:tcBorders>
                  <w:tcMar>
                    <w:left w:w="43" w:type="dxa"/>
                    <w:right w:w="43" w:type="dxa"/>
                  </w:tcMar>
                </w:tcPr>
                <w:p w14:paraId="57EA531C" w14:textId="3664F1D0" w:rsidR="002561F8" w:rsidRPr="005D4222" w:rsidRDefault="002561F8" w:rsidP="002561F8">
                  <w:pPr>
                    <w:pStyle w:val="TableText"/>
                    <w:spacing w:before="40" w:after="40"/>
                    <w:rPr>
                      <w:rFonts w:cs="Arial"/>
                      <w:szCs w:val="21"/>
                      <w:lang w:eastAsia="zh-CN"/>
                    </w:rPr>
                  </w:pPr>
                  <w:r w:rsidRPr="005D4222">
                    <w:rPr>
                      <w:rFonts w:cs="Arial"/>
                      <w:szCs w:val="21"/>
                      <w:lang w:eastAsia="zh-CN"/>
                    </w:rPr>
                    <w:t>TwoOrMoreRaces</w:t>
                  </w:r>
                </w:p>
              </w:tc>
              <w:tc>
                <w:tcPr>
                  <w:tcW w:w="1530" w:type="dxa"/>
                  <w:tcBorders>
                    <w:top w:val="nil"/>
                    <w:left w:val="nil"/>
                    <w:bottom w:val="nil"/>
                    <w:right w:val="nil"/>
                  </w:tcBorders>
                  <w:tcMar>
                    <w:left w:w="43" w:type="dxa"/>
                    <w:right w:w="43" w:type="dxa"/>
                  </w:tcMar>
                </w:tcPr>
                <w:p w14:paraId="53834C56" w14:textId="77777777" w:rsidR="002561F8" w:rsidRPr="005D4222" w:rsidRDefault="002561F8" w:rsidP="002561F8">
                  <w:pPr>
                    <w:pStyle w:val="TableText"/>
                    <w:spacing w:before="40" w:after="40"/>
                    <w:rPr>
                      <w:rFonts w:cs="Arial"/>
                      <w:szCs w:val="21"/>
                      <w:lang w:eastAsia="zh-CN"/>
                    </w:rPr>
                  </w:pPr>
                </w:p>
              </w:tc>
              <w:tc>
                <w:tcPr>
                  <w:tcW w:w="1443" w:type="dxa"/>
                  <w:tcBorders>
                    <w:top w:val="nil"/>
                    <w:left w:val="nil"/>
                    <w:bottom w:val="nil"/>
                    <w:right w:val="nil"/>
                  </w:tcBorders>
                  <w:tcMar>
                    <w:left w:w="43" w:type="dxa"/>
                    <w:right w:w="43" w:type="dxa"/>
                  </w:tcMar>
                </w:tcPr>
                <w:p w14:paraId="6F14600C" w14:textId="77777777" w:rsidR="002561F8" w:rsidRPr="005D4222" w:rsidRDefault="002561F8" w:rsidP="002561F8">
                  <w:pPr>
                    <w:pStyle w:val="TableText"/>
                    <w:spacing w:before="40" w:after="40"/>
                    <w:rPr>
                      <w:rFonts w:eastAsia="Wingdings" w:cs="Arial"/>
                      <w:szCs w:val="21"/>
                      <w:lang w:eastAsia="zh-CN"/>
                    </w:rPr>
                  </w:pPr>
                </w:p>
              </w:tc>
            </w:tr>
            <w:tr w:rsidR="00AA7AB9" w:rsidRPr="005D4222" w14:paraId="16C79EE6" w14:textId="77777777" w:rsidTr="00A53E8C">
              <w:trPr>
                <w:trHeight w:val="70"/>
              </w:trPr>
              <w:tc>
                <w:tcPr>
                  <w:tcW w:w="1800" w:type="dxa"/>
                  <w:tcBorders>
                    <w:top w:val="nil"/>
                    <w:left w:val="nil"/>
                    <w:bottom w:val="nil"/>
                    <w:right w:val="single" w:sz="4" w:space="0" w:color="auto"/>
                  </w:tcBorders>
                  <w:tcMar>
                    <w:left w:w="43" w:type="dxa"/>
                    <w:right w:w="43" w:type="dxa"/>
                  </w:tcMar>
                </w:tcPr>
                <w:p w14:paraId="2423CC60" w14:textId="77777777" w:rsidR="00AA7AB9" w:rsidRPr="005D4222" w:rsidRDefault="00AA7AB9" w:rsidP="00A53E8C">
                  <w:pPr>
                    <w:pStyle w:val="TableText"/>
                    <w:spacing w:before="40" w:after="40"/>
                    <w:rPr>
                      <w:rFonts w:cs="Arial"/>
                      <w:szCs w:val="21"/>
                      <w:lang w:eastAsia="zh-CN"/>
                    </w:rPr>
                  </w:pPr>
                </w:p>
              </w:tc>
              <w:tc>
                <w:tcPr>
                  <w:tcW w:w="2606" w:type="dxa"/>
                  <w:tcBorders>
                    <w:top w:val="single" w:sz="4" w:space="0" w:color="auto"/>
                    <w:left w:val="single" w:sz="4" w:space="0" w:color="auto"/>
                    <w:bottom w:val="single" w:sz="4" w:space="0" w:color="auto"/>
                    <w:right w:val="single" w:sz="4" w:space="0" w:color="auto"/>
                  </w:tcBorders>
                  <w:tcMar>
                    <w:left w:w="43" w:type="dxa"/>
                    <w:right w:w="43" w:type="dxa"/>
                  </w:tcMar>
                  <w:hideMark/>
                </w:tcPr>
                <w:p w14:paraId="0C6440F7" w14:textId="77777777" w:rsidR="00AA7AB9" w:rsidRPr="005D4222" w:rsidRDefault="00AA7AB9" w:rsidP="00A53E8C">
                  <w:pPr>
                    <w:pStyle w:val="TableText"/>
                    <w:spacing w:before="40" w:after="40"/>
                    <w:rPr>
                      <w:rFonts w:cs="Arial"/>
                      <w:szCs w:val="21"/>
                      <w:lang w:eastAsia="zh-CN"/>
                    </w:rPr>
                  </w:pPr>
                  <w:r w:rsidRPr="005D4222">
                    <w:rPr>
                      <w:rFonts w:cs="Arial"/>
                      <w:szCs w:val="21"/>
                      <w:lang w:eastAsia="zh-CN"/>
                    </w:rPr>
                    <w:t>AskedButNoAnswer</w:t>
                  </w:r>
                </w:p>
              </w:tc>
              <w:tc>
                <w:tcPr>
                  <w:tcW w:w="1530" w:type="dxa"/>
                  <w:tcBorders>
                    <w:top w:val="nil"/>
                    <w:left w:val="nil"/>
                    <w:bottom w:val="nil"/>
                    <w:right w:val="nil"/>
                  </w:tcBorders>
                  <w:tcMar>
                    <w:left w:w="43" w:type="dxa"/>
                    <w:right w:w="43" w:type="dxa"/>
                  </w:tcMar>
                </w:tcPr>
                <w:p w14:paraId="7D1CFF25" w14:textId="77777777" w:rsidR="00AA7AB9" w:rsidRPr="005D4222" w:rsidRDefault="00AA7AB9" w:rsidP="00A53E8C">
                  <w:pPr>
                    <w:pStyle w:val="TableText"/>
                    <w:spacing w:before="40" w:after="40"/>
                    <w:rPr>
                      <w:rFonts w:cs="Arial"/>
                      <w:szCs w:val="21"/>
                      <w:lang w:eastAsia="zh-CN"/>
                    </w:rPr>
                  </w:pPr>
                </w:p>
              </w:tc>
              <w:tc>
                <w:tcPr>
                  <w:tcW w:w="1443" w:type="dxa"/>
                  <w:tcBorders>
                    <w:top w:val="nil"/>
                    <w:left w:val="nil"/>
                    <w:bottom w:val="nil"/>
                    <w:right w:val="nil"/>
                  </w:tcBorders>
                  <w:tcMar>
                    <w:left w:w="43" w:type="dxa"/>
                    <w:right w:w="43" w:type="dxa"/>
                  </w:tcMar>
                </w:tcPr>
                <w:p w14:paraId="5C753037" w14:textId="77777777" w:rsidR="00AA7AB9" w:rsidRPr="005D4222" w:rsidRDefault="00AA7AB9" w:rsidP="00A53E8C">
                  <w:pPr>
                    <w:pStyle w:val="TableText"/>
                    <w:spacing w:before="40" w:after="40"/>
                    <w:rPr>
                      <w:rFonts w:eastAsia="Wingdings" w:cs="Arial"/>
                      <w:szCs w:val="21"/>
                      <w:lang w:eastAsia="zh-CN"/>
                    </w:rPr>
                  </w:pPr>
                </w:p>
              </w:tc>
            </w:tr>
            <w:tr w:rsidR="00AA7AB9" w:rsidRPr="005D4222" w14:paraId="3D09E20D" w14:textId="77777777" w:rsidTr="00A53E8C">
              <w:trPr>
                <w:trHeight w:val="70"/>
              </w:trPr>
              <w:tc>
                <w:tcPr>
                  <w:tcW w:w="1800" w:type="dxa"/>
                  <w:tcBorders>
                    <w:top w:val="nil"/>
                    <w:left w:val="nil"/>
                    <w:bottom w:val="nil"/>
                    <w:right w:val="single" w:sz="4" w:space="0" w:color="auto"/>
                  </w:tcBorders>
                  <w:tcMar>
                    <w:left w:w="43" w:type="dxa"/>
                    <w:right w:w="43" w:type="dxa"/>
                  </w:tcMar>
                </w:tcPr>
                <w:p w14:paraId="0327AD22" w14:textId="77777777" w:rsidR="00AA7AB9" w:rsidRPr="005D4222" w:rsidRDefault="00AA7AB9" w:rsidP="00A53E8C">
                  <w:pPr>
                    <w:pStyle w:val="TableText"/>
                    <w:spacing w:before="40" w:after="40"/>
                    <w:rPr>
                      <w:rFonts w:cs="Arial"/>
                      <w:szCs w:val="21"/>
                      <w:lang w:eastAsia="zh-CN"/>
                    </w:rPr>
                  </w:pPr>
                </w:p>
              </w:tc>
              <w:tc>
                <w:tcPr>
                  <w:tcW w:w="2606" w:type="dxa"/>
                  <w:tcBorders>
                    <w:top w:val="single" w:sz="4" w:space="0" w:color="auto"/>
                    <w:left w:val="single" w:sz="4" w:space="0" w:color="auto"/>
                    <w:bottom w:val="single" w:sz="4" w:space="0" w:color="auto"/>
                    <w:right w:val="single" w:sz="4" w:space="0" w:color="auto"/>
                  </w:tcBorders>
                  <w:tcMar>
                    <w:left w:w="43" w:type="dxa"/>
                    <w:right w:w="43" w:type="dxa"/>
                  </w:tcMar>
                </w:tcPr>
                <w:p w14:paraId="2429A115" w14:textId="77777777" w:rsidR="00AA7AB9" w:rsidRPr="005D4222" w:rsidRDefault="00AA7AB9" w:rsidP="00A53E8C">
                  <w:pPr>
                    <w:pStyle w:val="TableText"/>
                    <w:spacing w:before="40" w:after="40"/>
                    <w:rPr>
                      <w:rFonts w:cs="Arial"/>
                      <w:szCs w:val="21"/>
                      <w:lang w:eastAsia="zh-CN"/>
                    </w:rPr>
                  </w:pPr>
                  <w:r w:rsidRPr="005D4222">
                    <w:rPr>
                      <w:rFonts w:cs="Arial"/>
                      <w:szCs w:val="21"/>
                      <w:lang w:eastAsia="zh-CN"/>
                    </w:rPr>
                    <w:t>Unknown</w:t>
                  </w:r>
                </w:p>
              </w:tc>
              <w:tc>
                <w:tcPr>
                  <w:tcW w:w="1530" w:type="dxa"/>
                  <w:tcBorders>
                    <w:top w:val="nil"/>
                    <w:left w:val="nil"/>
                    <w:bottom w:val="nil"/>
                    <w:right w:val="nil"/>
                  </w:tcBorders>
                  <w:tcMar>
                    <w:left w:w="43" w:type="dxa"/>
                    <w:right w:w="43" w:type="dxa"/>
                  </w:tcMar>
                </w:tcPr>
                <w:p w14:paraId="6C157127" w14:textId="77777777" w:rsidR="00AA7AB9" w:rsidRPr="005D4222" w:rsidRDefault="00AA7AB9" w:rsidP="00A53E8C">
                  <w:pPr>
                    <w:pStyle w:val="TableText"/>
                    <w:spacing w:before="40" w:after="40"/>
                    <w:rPr>
                      <w:rFonts w:cs="Arial"/>
                      <w:szCs w:val="21"/>
                      <w:lang w:eastAsia="zh-CN"/>
                    </w:rPr>
                  </w:pPr>
                </w:p>
              </w:tc>
              <w:tc>
                <w:tcPr>
                  <w:tcW w:w="1443" w:type="dxa"/>
                  <w:tcBorders>
                    <w:top w:val="nil"/>
                    <w:left w:val="nil"/>
                    <w:bottom w:val="nil"/>
                    <w:right w:val="nil"/>
                  </w:tcBorders>
                  <w:tcMar>
                    <w:left w:w="43" w:type="dxa"/>
                    <w:right w:w="43" w:type="dxa"/>
                  </w:tcMar>
                </w:tcPr>
                <w:p w14:paraId="0DA2E3CD" w14:textId="77777777" w:rsidR="00AA7AB9" w:rsidRPr="005D4222" w:rsidRDefault="00AA7AB9" w:rsidP="00A53E8C">
                  <w:pPr>
                    <w:pStyle w:val="TableText"/>
                    <w:spacing w:before="40" w:after="40"/>
                    <w:rPr>
                      <w:rFonts w:eastAsia="Wingdings" w:cs="Arial"/>
                      <w:szCs w:val="21"/>
                      <w:lang w:eastAsia="zh-CN"/>
                    </w:rPr>
                  </w:pPr>
                </w:p>
              </w:tc>
            </w:tr>
          </w:tbl>
          <w:p w14:paraId="3F31D780" w14:textId="43D422CC" w:rsidR="00AA7AB9" w:rsidRPr="005D4222" w:rsidRDefault="00AA7AB9" w:rsidP="00A53E8C">
            <w:pPr>
              <w:pStyle w:val="Heading3"/>
              <w:spacing w:before="120"/>
              <w:rPr>
                <w:b w:val="0"/>
                <w:bCs w:val="0"/>
                <w:i w:val="0"/>
              </w:rPr>
            </w:pPr>
            <w:r w:rsidRPr="005D4222">
              <w:t xml:space="preserve">Table BPC-E-C-1/2/3: Data Elements for Blood Pressure Control for Patients With Hypertension: </w:t>
            </w:r>
            <w:r w:rsidR="00B51CDC" w:rsidRPr="005D4222">
              <w:t>Stratifications</w:t>
            </w:r>
            <w:r w:rsidRPr="005D4222">
              <w:t xml:space="preserve"> by Ethnicity</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796"/>
              <w:gridCol w:w="1890"/>
              <w:gridCol w:w="1710"/>
              <w:gridCol w:w="1979"/>
            </w:tblGrid>
            <w:tr w:rsidR="00AA7AB9" w:rsidRPr="005D4222" w14:paraId="7175A01F" w14:textId="77777777" w:rsidTr="00A53E8C">
              <w:tc>
                <w:tcPr>
                  <w:tcW w:w="1796" w:type="dxa"/>
                  <w:tcBorders>
                    <w:top w:val="single" w:sz="4" w:space="0" w:color="000000" w:themeColor="text1"/>
                    <w:left w:val="single" w:sz="4" w:space="0" w:color="000000" w:themeColor="text1"/>
                    <w:bottom w:val="single" w:sz="4" w:space="0" w:color="auto"/>
                    <w:right w:val="single" w:sz="4" w:space="0" w:color="FFFFFF" w:themeColor="background1"/>
                  </w:tcBorders>
                  <w:shd w:val="clear" w:color="auto" w:fill="000000" w:themeFill="text1"/>
                  <w:tcMar>
                    <w:left w:w="43" w:type="dxa"/>
                    <w:right w:w="43" w:type="dxa"/>
                  </w:tcMar>
                  <w:vAlign w:val="bottom"/>
                  <w:hideMark/>
                </w:tcPr>
                <w:p w14:paraId="76252DFA" w14:textId="77777777" w:rsidR="00AA7AB9" w:rsidRPr="005D4222" w:rsidRDefault="00AA7AB9" w:rsidP="00A53E8C">
                  <w:pPr>
                    <w:pStyle w:val="TableHead"/>
                    <w:spacing w:before="40" w:after="40"/>
                    <w:rPr>
                      <w:rFonts w:cs="Arial"/>
                      <w:b w:val="0"/>
                      <w:lang w:eastAsia="zh-CN"/>
                    </w:rPr>
                  </w:pPr>
                  <w:r w:rsidRPr="005D4222">
                    <w:rPr>
                      <w:rFonts w:cs="Arial"/>
                      <w:lang w:eastAsia="zh-CN"/>
                    </w:rPr>
                    <w:t>Metric</w:t>
                  </w:r>
                </w:p>
              </w:tc>
              <w:tc>
                <w:tcPr>
                  <w:tcW w:w="1890" w:type="dxa"/>
                  <w:tcBorders>
                    <w:top w:val="single" w:sz="4" w:space="0" w:color="000000" w:themeColor="text1"/>
                    <w:left w:val="single" w:sz="4" w:space="0" w:color="FFFFFF" w:themeColor="background1"/>
                    <w:bottom w:val="single" w:sz="4" w:space="0" w:color="auto"/>
                    <w:right w:val="single" w:sz="4" w:space="0" w:color="FFFFFF" w:themeColor="background1"/>
                  </w:tcBorders>
                  <w:shd w:val="clear" w:color="auto" w:fill="000000" w:themeFill="text1"/>
                  <w:tcMar>
                    <w:left w:w="43" w:type="dxa"/>
                    <w:right w:w="43" w:type="dxa"/>
                  </w:tcMar>
                  <w:vAlign w:val="bottom"/>
                  <w:hideMark/>
                </w:tcPr>
                <w:p w14:paraId="0B61BFEB" w14:textId="77777777" w:rsidR="00AA7AB9" w:rsidRPr="005D4222" w:rsidRDefault="00AA7AB9" w:rsidP="00A53E8C">
                  <w:pPr>
                    <w:pStyle w:val="TableHead"/>
                    <w:spacing w:before="40" w:after="40"/>
                    <w:rPr>
                      <w:rFonts w:cs="Arial"/>
                      <w:b w:val="0"/>
                      <w:lang w:eastAsia="zh-CN"/>
                    </w:rPr>
                  </w:pPr>
                  <w:r w:rsidRPr="005D4222">
                    <w:rPr>
                      <w:rFonts w:cs="Arial"/>
                      <w:lang w:eastAsia="zh-CN"/>
                    </w:rPr>
                    <w:t>Ethnicity</w:t>
                  </w:r>
                </w:p>
              </w:tc>
              <w:tc>
                <w:tcPr>
                  <w:tcW w:w="171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43" w:type="dxa"/>
                    <w:right w:w="43" w:type="dxa"/>
                  </w:tcMar>
                  <w:vAlign w:val="bottom"/>
                  <w:hideMark/>
                </w:tcPr>
                <w:p w14:paraId="400C43A8" w14:textId="77777777" w:rsidR="00AA7AB9" w:rsidRPr="005D4222" w:rsidRDefault="00AA7AB9" w:rsidP="00A53E8C">
                  <w:pPr>
                    <w:pStyle w:val="TableHead"/>
                    <w:spacing w:before="40" w:after="40"/>
                    <w:rPr>
                      <w:rFonts w:cs="Arial"/>
                      <w:b w:val="0"/>
                      <w:lang w:eastAsia="zh-CN"/>
                    </w:rPr>
                  </w:pPr>
                  <w:r w:rsidRPr="005D4222">
                    <w:rPr>
                      <w:rFonts w:cs="Arial"/>
                      <w:lang w:eastAsia="zh-CN"/>
                    </w:rPr>
                    <w:t>Data Element</w:t>
                  </w:r>
                </w:p>
              </w:tc>
              <w:tc>
                <w:tcPr>
                  <w:tcW w:w="1979" w:type="dxa"/>
                  <w:tcBorders>
                    <w:top w:val="single" w:sz="4" w:space="0" w:color="000000" w:themeColor="text1"/>
                    <w:left w:val="single" w:sz="4" w:space="0" w:color="FFFFFF" w:themeColor="background1"/>
                    <w:bottom w:val="single" w:sz="4" w:space="0" w:color="000000" w:themeColor="text1"/>
                    <w:right w:val="single" w:sz="4" w:space="0" w:color="auto"/>
                  </w:tcBorders>
                  <w:shd w:val="clear" w:color="auto" w:fill="000000" w:themeFill="text1"/>
                  <w:tcMar>
                    <w:left w:w="43" w:type="dxa"/>
                    <w:right w:w="43" w:type="dxa"/>
                  </w:tcMar>
                  <w:vAlign w:val="bottom"/>
                  <w:hideMark/>
                </w:tcPr>
                <w:p w14:paraId="318C6118" w14:textId="77777777" w:rsidR="00AA7AB9" w:rsidRPr="005D4222" w:rsidRDefault="00AA7AB9" w:rsidP="00A53E8C">
                  <w:pPr>
                    <w:pStyle w:val="TableHead"/>
                    <w:spacing w:before="40" w:after="40"/>
                    <w:rPr>
                      <w:rFonts w:cs="Arial"/>
                      <w:b w:val="0"/>
                      <w:lang w:eastAsia="zh-CN"/>
                    </w:rPr>
                  </w:pPr>
                  <w:r w:rsidRPr="005D4222">
                    <w:rPr>
                      <w:rFonts w:cs="Arial"/>
                      <w:lang w:eastAsia="zh-CN"/>
                    </w:rPr>
                    <w:t>Reporting Instructions</w:t>
                  </w:r>
                </w:p>
              </w:tc>
            </w:tr>
            <w:tr w:rsidR="00AA7AB9" w:rsidRPr="005D4222" w14:paraId="3424A9AA" w14:textId="77777777" w:rsidTr="00A53E8C">
              <w:tc>
                <w:tcPr>
                  <w:tcW w:w="1796" w:type="dxa"/>
                  <w:tcBorders>
                    <w:top w:val="single" w:sz="4" w:space="0" w:color="auto"/>
                    <w:left w:val="single" w:sz="4" w:space="0" w:color="auto"/>
                    <w:bottom w:val="single" w:sz="4" w:space="0" w:color="auto"/>
                    <w:right w:val="single" w:sz="4" w:space="0" w:color="auto"/>
                  </w:tcBorders>
                  <w:tcMar>
                    <w:left w:w="43" w:type="dxa"/>
                    <w:right w:w="43" w:type="dxa"/>
                  </w:tcMar>
                  <w:hideMark/>
                </w:tcPr>
                <w:p w14:paraId="488CAD43" w14:textId="77777777" w:rsidR="00AA7AB9" w:rsidRPr="005D4222" w:rsidRDefault="00AA7AB9" w:rsidP="00A53E8C">
                  <w:pPr>
                    <w:pStyle w:val="TableText"/>
                    <w:spacing w:before="40" w:after="40"/>
                    <w:rPr>
                      <w:rFonts w:cs="Arial"/>
                      <w:szCs w:val="21"/>
                      <w:lang w:eastAsia="zh-CN"/>
                    </w:rPr>
                  </w:pPr>
                  <w:r w:rsidRPr="005D4222">
                    <w:rPr>
                      <w:rFonts w:cs="Arial"/>
                      <w:szCs w:val="21"/>
                      <w:lang w:eastAsia="zh-CN"/>
                    </w:rPr>
                    <w:t>BPUnder140Over90</w:t>
                  </w:r>
                </w:p>
              </w:tc>
              <w:tc>
                <w:tcPr>
                  <w:tcW w:w="1890" w:type="dxa"/>
                  <w:tcBorders>
                    <w:top w:val="single" w:sz="4" w:space="0" w:color="auto"/>
                    <w:left w:val="single" w:sz="4" w:space="0" w:color="auto"/>
                    <w:bottom w:val="single" w:sz="4" w:space="0" w:color="auto"/>
                    <w:right w:val="single" w:sz="4" w:space="0" w:color="auto"/>
                  </w:tcBorders>
                  <w:tcMar>
                    <w:left w:w="43" w:type="dxa"/>
                    <w:right w:w="43" w:type="dxa"/>
                  </w:tcMar>
                  <w:hideMark/>
                </w:tcPr>
                <w:p w14:paraId="57DFC1AC" w14:textId="77777777" w:rsidR="00AA7AB9" w:rsidRPr="005D4222" w:rsidRDefault="00AA7AB9" w:rsidP="00A53E8C">
                  <w:pPr>
                    <w:pStyle w:val="TableText"/>
                    <w:spacing w:before="40" w:after="40"/>
                    <w:rPr>
                      <w:rFonts w:cs="Arial"/>
                      <w:szCs w:val="21"/>
                      <w:lang w:eastAsia="zh-CN"/>
                    </w:rPr>
                  </w:pPr>
                  <w:r w:rsidRPr="005D4222">
                    <w:rPr>
                      <w:rFonts w:cs="Arial"/>
                      <w:szCs w:val="21"/>
                      <w:lang w:eastAsia="zh-CN"/>
                    </w:rPr>
                    <w:t>HispanicOrLatino</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Mar>
                    <w:left w:w="43" w:type="dxa"/>
                    <w:right w:w="43" w:type="dxa"/>
                  </w:tcMar>
                  <w:hideMark/>
                </w:tcPr>
                <w:p w14:paraId="3E15D7A0" w14:textId="77777777" w:rsidR="00AA7AB9" w:rsidRPr="005D4222" w:rsidRDefault="00AA7AB9" w:rsidP="00A53E8C">
                  <w:pPr>
                    <w:pStyle w:val="TableText"/>
                    <w:spacing w:before="40" w:after="40"/>
                    <w:rPr>
                      <w:rFonts w:cs="Arial"/>
                      <w:szCs w:val="21"/>
                      <w:lang w:eastAsia="zh-CN"/>
                    </w:rPr>
                  </w:pPr>
                  <w:r w:rsidRPr="005D4222">
                    <w:rPr>
                      <w:rFonts w:cs="Arial"/>
                      <w:szCs w:val="21"/>
                      <w:lang w:eastAsia="zh-CN"/>
                    </w:rPr>
                    <w:t>InitialPopulation</w:t>
                  </w:r>
                </w:p>
              </w:tc>
              <w:tc>
                <w:tcPr>
                  <w:tcW w:w="1979" w:type="dxa"/>
                  <w:tcBorders>
                    <w:top w:val="single" w:sz="6" w:space="0" w:color="auto"/>
                    <w:left w:val="single" w:sz="4" w:space="0" w:color="auto"/>
                    <w:bottom w:val="single" w:sz="6" w:space="0" w:color="auto"/>
                    <w:right w:val="single" w:sz="4" w:space="0" w:color="auto"/>
                  </w:tcBorders>
                  <w:shd w:val="clear" w:color="auto" w:fill="FFFFFF" w:themeFill="background1"/>
                  <w:tcMar>
                    <w:left w:w="43" w:type="dxa"/>
                    <w:right w:w="43" w:type="dxa"/>
                  </w:tcMar>
                  <w:hideMark/>
                </w:tcPr>
                <w:p w14:paraId="66FDDD6E" w14:textId="77777777" w:rsidR="00AA7AB9" w:rsidRPr="005D4222" w:rsidRDefault="00AA7AB9" w:rsidP="00A53E8C">
                  <w:pPr>
                    <w:pStyle w:val="TableText"/>
                    <w:spacing w:before="40" w:after="40"/>
                    <w:rPr>
                      <w:rFonts w:eastAsia="Wingdings" w:cs="Arial"/>
                      <w:szCs w:val="21"/>
                      <w:lang w:eastAsia="zh-CN"/>
                    </w:rPr>
                  </w:pPr>
                  <w:r w:rsidRPr="005D4222">
                    <w:rPr>
                      <w:rFonts w:eastAsia="Wingdings" w:cs="Arial"/>
                      <w:szCs w:val="21"/>
                      <w:lang w:eastAsia="zh-CN"/>
                    </w:rPr>
                    <w:t>For each Stratification</w:t>
                  </w:r>
                </w:p>
              </w:tc>
            </w:tr>
            <w:tr w:rsidR="00AA7AB9" w:rsidRPr="005D4222" w14:paraId="62B03E01" w14:textId="77777777" w:rsidTr="00A53E8C">
              <w:tc>
                <w:tcPr>
                  <w:tcW w:w="1796" w:type="dxa"/>
                  <w:tcBorders>
                    <w:top w:val="single" w:sz="4" w:space="0" w:color="auto"/>
                    <w:left w:val="nil"/>
                    <w:bottom w:val="nil"/>
                    <w:right w:val="nil"/>
                  </w:tcBorders>
                  <w:shd w:val="clear" w:color="auto" w:fill="FFFFFF" w:themeFill="background1"/>
                  <w:tcMar>
                    <w:left w:w="43" w:type="dxa"/>
                    <w:right w:w="43" w:type="dxa"/>
                  </w:tcMar>
                  <w:hideMark/>
                </w:tcPr>
                <w:p w14:paraId="7D8DBD64" w14:textId="77777777" w:rsidR="00AA7AB9" w:rsidRPr="005D4222" w:rsidRDefault="00AA7AB9" w:rsidP="00A53E8C">
                  <w:pPr>
                    <w:pStyle w:val="TableText"/>
                    <w:spacing w:before="40" w:after="40"/>
                    <w:rPr>
                      <w:rFonts w:cs="Arial"/>
                      <w:highlight w:val="yellow"/>
                      <w:lang w:eastAsia="zh-CN"/>
                    </w:rPr>
                  </w:pPr>
                </w:p>
              </w:tc>
              <w:tc>
                <w:tcPr>
                  <w:tcW w:w="1890" w:type="dxa"/>
                  <w:tcBorders>
                    <w:top w:val="single" w:sz="4" w:space="0" w:color="auto"/>
                    <w:left w:val="single" w:sz="4" w:space="0" w:color="auto"/>
                    <w:bottom w:val="single" w:sz="4" w:space="0" w:color="auto"/>
                    <w:right w:val="single" w:sz="4" w:space="0" w:color="auto"/>
                  </w:tcBorders>
                  <w:shd w:val="clear" w:color="auto" w:fill="FFFFFF" w:themeFill="background1"/>
                  <w:tcMar>
                    <w:left w:w="43" w:type="dxa"/>
                    <w:right w:w="43" w:type="dxa"/>
                  </w:tcMar>
                  <w:hideMark/>
                </w:tcPr>
                <w:p w14:paraId="41A78EFA" w14:textId="77777777" w:rsidR="00AA7AB9" w:rsidRPr="005D4222" w:rsidRDefault="00AA7AB9" w:rsidP="00A53E8C">
                  <w:pPr>
                    <w:pStyle w:val="TableText"/>
                    <w:spacing w:before="40" w:after="40"/>
                    <w:rPr>
                      <w:rFonts w:cs="Arial"/>
                      <w:szCs w:val="21"/>
                      <w:lang w:eastAsia="zh-CN"/>
                    </w:rPr>
                  </w:pPr>
                  <w:r w:rsidRPr="005D4222">
                    <w:rPr>
                      <w:rFonts w:cs="Arial"/>
                      <w:szCs w:val="21"/>
                      <w:lang w:eastAsia="zh-CN"/>
                    </w:rPr>
                    <w:t>NotHispanicOrLatino</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Mar>
                    <w:left w:w="43" w:type="dxa"/>
                    <w:right w:w="43" w:type="dxa"/>
                  </w:tcMar>
                  <w:hideMark/>
                </w:tcPr>
                <w:p w14:paraId="5424EB27" w14:textId="77777777" w:rsidR="00AA7AB9" w:rsidRPr="005D4222" w:rsidRDefault="00AA7AB9" w:rsidP="00A53E8C">
                  <w:pPr>
                    <w:pStyle w:val="TableText"/>
                    <w:spacing w:before="40" w:after="40"/>
                    <w:rPr>
                      <w:rFonts w:cs="Arial"/>
                      <w:szCs w:val="21"/>
                      <w:lang w:eastAsia="zh-CN"/>
                    </w:rPr>
                  </w:pPr>
                  <w:r w:rsidRPr="005D4222">
                    <w:rPr>
                      <w:rFonts w:cs="Arial"/>
                      <w:szCs w:val="21"/>
                      <w:lang w:eastAsia="zh-CN"/>
                    </w:rPr>
                    <w:t>Exclusions</w:t>
                  </w:r>
                </w:p>
              </w:tc>
              <w:tc>
                <w:tcPr>
                  <w:tcW w:w="1979" w:type="dxa"/>
                  <w:tcBorders>
                    <w:top w:val="single" w:sz="6" w:space="0" w:color="auto"/>
                    <w:left w:val="single" w:sz="4" w:space="0" w:color="auto"/>
                    <w:bottom w:val="single" w:sz="4" w:space="0" w:color="auto"/>
                    <w:right w:val="single" w:sz="4" w:space="0" w:color="auto"/>
                  </w:tcBorders>
                  <w:shd w:val="clear" w:color="auto" w:fill="FFFFFF" w:themeFill="background1"/>
                  <w:tcMar>
                    <w:left w:w="43" w:type="dxa"/>
                    <w:right w:w="43" w:type="dxa"/>
                  </w:tcMar>
                  <w:hideMark/>
                </w:tcPr>
                <w:p w14:paraId="275E2B4F" w14:textId="77777777" w:rsidR="00AA7AB9" w:rsidRPr="005D4222" w:rsidRDefault="00AA7AB9" w:rsidP="00A53E8C">
                  <w:pPr>
                    <w:pStyle w:val="TableText"/>
                    <w:spacing w:before="40" w:after="40"/>
                    <w:rPr>
                      <w:rFonts w:eastAsia="Wingdings" w:cs="Arial"/>
                      <w:szCs w:val="21"/>
                      <w:lang w:eastAsia="zh-CN"/>
                    </w:rPr>
                  </w:pPr>
                  <w:r w:rsidRPr="005D4222">
                    <w:rPr>
                      <w:rFonts w:eastAsia="Wingdings" w:cs="Arial"/>
                      <w:szCs w:val="21"/>
                      <w:lang w:eastAsia="zh-CN"/>
                    </w:rPr>
                    <w:t>For each Stratification</w:t>
                  </w:r>
                </w:p>
              </w:tc>
            </w:tr>
            <w:tr w:rsidR="00AA7AB9" w:rsidRPr="005D4222" w14:paraId="2151C7A8" w14:textId="77777777" w:rsidTr="00A53E8C">
              <w:tc>
                <w:tcPr>
                  <w:tcW w:w="1796" w:type="dxa"/>
                  <w:tcBorders>
                    <w:top w:val="nil"/>
                    <w:left w:val="nil"/>
                    <w:bottom w:val="nil"/>
                    <w:right w:val="nil"/>
                  </w:tcBorders>
                  <w:shd w:val="clear" w:color="auto" w:fill="FFFFFF" w:themeFill="background1"/>
                  <w:tcMar>
                    <w:left w:w="43" w:type="dxa"/>
                    <w:right w:w="43" w:type="dxa"/>
                  </w:tcMar>
                </w:tcPr>
                <w:p w14:paraId="1E479112" w14:textId="77777777" w:rsidR="00AA7AB9" w:rsidRPr="005D4222" w:rsidRDefault="00AA7AB9" w:rsidP="00A53E8C">
                  <w:pPr>
                    <w:pStyle w:val="TableText"/>
                    <w:spacing w:before="40" w:after="40"/>
                    <w:rPr>
                      <w:rFonts w:cs="Arial"/>
                      <w:szCs w:val="21"/>
                      <w:lang w:eastAsia="zh-CN"/>
                    </w:rPr>
                  </w:pPr>
                </w:p>
              </w:tc>
              <w:tc>
                <w:tcPr>
                  <w:tcW w:w="1890" w:type="dxa"/>
                  <w:tcBorders>
                    <w:top w:val="single" w:sz="4" w:space="0" w:color="auto"/>
                    <w:left w:val="single" w:sz="4" w:space="0" w:color="auto"/>
                    <w:bottom w:val="single" w:sz="4" w:space="0" w:color="auto"/>
                    <w:right w:val="single" w:sz="4" w:space="0" w:color="auto"/>
                  </w:tcBorders>
                  <w:tcMar>
                    <w:left w:w="43" w:type="dxa"/>
                    <w:right w:w="43" w:type="dxa"/>
                  </w:tcMar>
                  <w:hideMark/>
                </w:tcPr>
                <w:p w14:paraId="3A9517D0" w14:textId="77777777" w:rsidR="00AA7AB9" w:rsidRPr="005D4222" w:rsidRDefault="00AA7AB9" w:rsidP="00A53E8C">
                  <w:pPr>
                    <w:pStyle w:val="TableText"/>
                    <w:spacing w:before="40" w:after="40"/>
                    <w:rPr>
                      <w:rFonts w:cs="Arial"/>
                      <w:lang w:eastAsia="zh-CN"/>
                    </w:rPr>
                  </w:pPr>
                  <w:r w:rsidRPr="005D4222">
                    <w:rPr>
                      <w:rFonts w:cs="Arial"/>
                      <w:lang w:eastAsia="zh-CN"/>
                    </w:rPr>
                    <w:t>AskedButNoAnswer</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Mar>
                    <w:left w:w="43" w:type="dxa"/>
                    <w:right w:w="43" w:type="dxa"/>
                  </w:tcMar>
                  <w:hideMark/>
                </w:tcPr>
                <w:p w14:paraId="04BF49DA" w14:textId="77777777" w:rsidR="00AA7AB9" w:rsidRPr="005D4222" w:rsidRDefault="00AA7AB9" w:rsidP="00A53E8C">
                  <w:pPr>
                    <w:pStyle w:val="TableText"/>
                    <w:spacing w:before="40" w:after="40"/>
                    <w:rPr>
                      <w:rFonts w:cs="Arial"/>
                      <w:szCs w:val="21"/>
                      <w:lang w:eastAsia="zh-CN"/>
                    </w:rPr>
                  </w:pPr>
                  <w:r w:rsidRPr="005D4222">
                    <w:rPr>
                      <w:rFonts w:cs="Arial"/>
                      <w:szCs w:val="21"/>
                      <w:lang w:eastAsia="zh-CN"/>
                    </w:rPr>
                    <w:t>Denominator</w:t>
                  </w:r>
                </w:p>
              </w:tc>
              <w:tc>
                <w:tcPr>
                  <w:tcW w:w="1979" w:type="dxa"/>
                  <w:tcBorders>
                    <w:top w:val="single" w:sz="6" w:space="0" w:color="auto"/>
                    <w:left w:val="single" w:sz="4" w:space="0" w:color="auto"/>
                    <w:bottom w:val="single" w:sz="4" w:space="0" w:color="auto"/>
                    <w:right w:val="single" w:sz="4" w:space="0" w:color="auto"/>
                  </w:tcBorders>
                  <w:shd w:val="clear" w:color="auto" w:fill="FFFFFF" w:themeFill="background1"/>
                  <w:tcMar>
                    <w:left w:w="43" w:type="dxa"/>
                    <w:right w:w="43" w:type="dxa"/>
                  </w:tcMar>
                  <w:hideMark/>
                </w:tcPr>
                <w:p w14:paraId="3980E805" w14:textId="77777777" w:rsidR="00AA7AB9" w:rsidRPr="005D4222" w:rsidRDefault="00AA7AB9" w:rsidP="00A53E8C">
                  <w:pPr>
                    <w:pStyle w:val="TableText"/>
                    <w:spacing w:before="40" w:after="40"/>
                    <w:rPr>
                      <w:rFonts w:eastAsia="Wingdings" w:cs="Arial"/>
                      <w:szCs w:val="21"/>
                      <w:lang w:eastAsia="zh-CN"/>
                    </w:rPr>
                  </w:pPr>
                  <w:r w:rsidRPr="005D4222">
                    <w:rPr>
                      <w:rFonts w:eastAsia="Wingdings" w:cs="Arial"/>
                      <w:szCs w:val="21"/>
                      <w:lang w:eastAsia="zh-CN"/>
                    </w:rPr>
                    <w:t>For each Stratification</w:t>
                  </w:r>
                </w:p>
              </w:tc>
            </w:tr>
            <w:tr w:rsidR="00AA7AB9" w:rsidRPr="005D4222" w14:paraId="3D748D00" w14:textId="77777777" w:rsidTr="00A53E8C">
              <w:tc>
                <w:tcPr>
                  <w:tcW w:w="1796" w:type="dxa"/>
                  <w:tcBorders>
                    <w:top w:val="nil"/>
                    <w:left w:val="nil"/>
                    <w:bottom w:val="nil"/>
                    <w:right w:val="nil"/>
                  </w:tcBorders>
                  <w:shd w:val="clear" w:color="auto" w:fill="FFFFFF" w:themeFill="background1"/>
                  <w:tcMar>
                    <w:left w:w="43" w:type="dxa"/>
                    <w:right w:w="43" w:type="dxa"/>
                  </w:tcMar>
                </w:tcPr>
                <w:p w14:paraId="59654894" w14:textId="77777777" w:rsidR="00AA7AB9" w:rsidRPr="005D4222" w:rsidRDefault="00AA7AB9" w:rsidP="00A53E8C">
                  <w:pPr>
                    <w:pStyle w:val="TableText"/>
                    <w:spacing w:before="40" w:after="40"/>
                    <w:rPr>
                      <w:rFonts w:cs="Arial"/>
                      <w:szCs w:val="21"/>
                      <w:lang w:eastAsia="zh-CN"/>
                    </w:rPr>
                  </w:pPr>
                </w:p>
              </w:tc>
              <w:tc>
                <w:tcPr>
                  <w:tcW w:w="1890" w:type="dxa"/>
                  <w:tcBorders>
                    <w:top w:val="single" w:sz="4" w:space="0" w:color="auto"/>
                    <w:left w:val="single" w:sz="4" w:space="0" w:color="auto"/>
                    <w:bottom w:val="single" w:sz="4" w:space="0" w:color="auto"/>
                    <w:right w:val="single" w:sz="4" w:space="0" w:color="auto"/>
                  </w:tcBorders>
                  <w:tcMar>
                    <w:left w:w="43" w:type="dxa"/>
                    <w:right w:w="43" w:type="dxa"/>
                  </w:tcMar>
                  <w:hideMark/>
                </w:tcPr>
                <w:p w14:paraId="1D9E39B9" w14:textId="77777777" w:rsidR="00AA7AB9" w:rsidRPr="005D4222" w:rsidRDefault="00AA7AB9" w:rsidP="00A53E8C">
                  <w:pPr>
                    <w:pStyle w:val="TableText"/>
                    <w:spacing w:before="40" w:after="40"/>
                    <w:rPr>
                      <w:rFonts w:cs="Arial"/>
                      <w:lang w:eastAsia="zh-CN"/>
                    </w:rPr>
                  </w:pPr>
                  <w:r w:rsidRPr="005D4222">
                    <w:rPr>
                      <w:rFonts w:cs="Arial"/>
                      <w:lang w:eastAsia="zh-CN"/>
                    </w:rPr>
                    <w:t>Unknown</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Mar>
                    <w:left w:w="43" w:type="dxa"/>
                    <w:right w:w="43" w:type="dxa"/>
                  </w:tcMar>
                  <w:hideMark/>
                </w:tcPr>
                <w:p w14:paraId="5A192D85" w14:textId="77777777" w:rsidR="00AA7AB9" w:rsidRPr="005D4222" w:rsidRDefault="00AA7AB9" w:rsidP="00A53E8C">
                  <w:pPr>
                    <w:pStyle w:val="TableText"/>
                    <w:spacing w:before="40" w:after="40"/>
                    <w:rPr>
                      <w:rFonts w:cs="Arial"/>
                      <w:szCs w:val="21"/>
                      <w:lang w:eastAsia="zh-CN"/>
                    </w:rPr>
                  </w:pPr>
                  <w:r w:rsidRPr="005D4222">
                    <w:rPr>
                      <w:rFonts w:cs="Arial"/>
                      <w:szCs w:val="21"/>
                      <w:lang w:eastAsia="zh-CN"/>
                    </w:rPr>
                    <w:t>Numerator</w:t>
                  </w:r>
                </w:p>
              </w:tc>
              <w:tc>
                <w:tcPr>
                  <w:tcW w:w="1979" w:type="dxa"/>
                  <w:tcBorders>
                    <w:top w:val="single" w:sz="4" w:space="0" w:color="auto"/>
                    <w:left w:val="single" w:sz="4" w:space="0" w:color="auto"/>
                    <w:bottom w:val="single" w:sz="4" w:space="0" w:color="auto"/>
                    <w:right w:val="single" w:sz="4" w:space="0" w:color="auto"/>
                  </w:tcBorders>
                  <w:shd w:val="clear" w:color="auto" w:fill="FFFFFF" w:themeFill="background1"/>
                  <w:tcMar>
                    <w:left w:w="43" w:type="dxa"/>
                    <w:right w:w="43" w:type="dxa"/>
                  </w:tcMar>
                  <w:hideMark/>
                </w:tcPr>
                <w:p w14:paraId="12F433D1" w14:textId="77777777" w:rsidR="00AA7AB9" w:rsidRPr="005D4222" w:rsidRDefault="00AA7AB9" w:rsidP="00A53E8C">
                  <w:pPr>
                    <w:pStyle w:val="TableText"/>
                    <w:spacing w:before="40" w:after="40"/>
                    <w:rPr>
                      <w:rFonts w:eastAsia="Wingdings" w:cs="Arial"/>
                      <w:szCs w:val="21"/>
                      <w:lang w:eastAsia="zh-CN"/>
                    </w:rPr>
                  </w:pPr>
                  <w:r w:rsidRPr="005D4222">
                    <w:rPr>
                      <w:rFonts w:eastAsia="Wingdings" w:cs="Arial"/>
                      <w:szCs w:val="21"/>
                      <w:lang w:eastAsia="zh-CN"/>
                    </w:rPr>
                    <w:t>For each Stratification</w:t>
                  </w:r>
                </w:p>
              </w:tc>
            </w:tr>
            <w:tr w:rsidR="00AA7AB9" w:rsidRPr="005D4222" w14:paraId="3191AB9D" w14:textId="77777777" w:rsidTr="00A53E8C">
              <w:tc>
                <w:tcPr>
                  <w:tcW w:w="1796" w:type="dxa"/>
                  <w:tcBorders>
                    <w:top w:val="nil"/>
                    <w:left w:val="nil"/>
                    <w:bottom w:val="nil"/>
                    <w:right w:val="nil"/>
                  </w:tcBorders>
                  <w:shd w:val="clear" w:color="auto" w:fill="FFFFFF" w:themeFill="background1"/>
                  <w:tcMar>
                    <w:left w:w="43" w:type="dxa"/>
                    <w:right w:w="43" w:type="dxa"/>
                  </w:tcMar>
                </w:tcPr>
                <w:p w14:paraId="3B521C0E" w14:textId="77777777" w:rsidR="00AA7AB9" w:rsidRPr="005D4222" w:rsidRDefault="00AA7AB9" w:rsidP="00A53E8C">
                  <w:pPr>
                    <w:pStyle w:val="TableText"/>
                    <w:spacing w:before="40" w:after="40"/>
                    <w:rPr>
                      <w:rFonts w:cs="Arial"/>
                      <w:szCs w:val="21"/>
                      <w:lang w:eastAsia="zh-CN"/>
                    </w:rPr>
                  </w:pPr>
                </w:p>
              </w:tc>
              <w:tc>
                <w:tcPr>
                  <w:tcW w:w="1890" w:type="dxa"/>
                  <w:tcBorders>
                    <w:top w:val="single" w:sz="4" w:space="0" w:color="auto"/>
                    <w:left w:val="nil"/>
                    <w:bottom w:val="nil"/>
                    <w:right w:val="nil"/>
                  </w:tcBorders>
                  <w:tcMar>
                    <w:left w:w="43" w:type="dxa"/>
                    <w:right w:w="43" w:type="dxa"/>
                  </w:tcMar>
                </w:tcPr>
                <w:p w14:paraId="580B23DE" w14:textId="77777777" w:rsidR="00AA7AB9" w:rsidRPr="005D4222" w:rsidRDefault="00AA7AB9" w:rsidP="00A53E8C">
                  <w:pPr>
                    <w:pStyle w:val="TableText"/>
                    <w:spacing w:before="40" w:after="40"/>
                    <w:rPr>
                      <w:rFonts w:cs="Arial"/>
                      <w:szCs w:val="21"/>
                      <w:lang w:eastAsia="zh-CN"/>
                    </w:rPr>
                  </w:pPr>
                </w:p>
              </w:tc>
              <w:tc>
                <w:tcPr>
                  <w:tcW w:w="17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43" w:type="dxa"/>
                    <w:right w:w="43" w:type="dxa"/>
                  </w:tcMar>
                  <w:hideMark/>
                </w:tcPr>
                <w:p w14:paraId="3E6BF33C" w14:textId="77777777" w:rsidR="00AA7AB9" w:rsidRPr="005D4222" w:rsidRDefault="00AA7AB9" w:rsidP="00A53E8C">
                  <w:pPr>
                    <w:pStyle w:val="TableText"/>
                    <w:spacing w:before="40" w:after="40"/>
                    <w:rPr>
                      <w:rFonts w:cs="Arial"/>
                      <w:szCs w:val="21"/>
                      <w:lang w:eastAsia="zh-CN"/>
                    </w:rPr>
                  </w:pPr>
                  <w:r w:rsidRPr="005D4222">
                    <w:rPr>
                      <w:rFonts w:cs="Arial"/>
                      <w:szCs w:val="21"/>
                      <w:lang w:eastAsia="zh-CN"/>
                    </w:rPr>
                    <w:t>Rate</w:t>
                  </w:r>
                </w:p>
              </w:tc>
              <w:tc>
                <w:tcPr>
                  <w:tcW w:w="19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43" w:type="dxa"/>
                    <w:right w:w="43" w:type="dxa"/>
                  </w:tcMar>
                  <w:hideMark/>
                </w:tcPr>
                <w:p w14:paraId="4E5F1ABD" w14:textId="77777777" w:rsidR="00AA7AB9" w:rsidRPr="005D4222" w:rsidRDefault="00AA7AB9" w:rsidP="00A53E8C">
                  <w:pPr>
                    <w:pStyle w:val="TableText"/>
                    <w:spacing w:before="40" w:after="40"/>
                    <w:rPr>
                      <w:rFonts w:eastAsia="Wingdings" w:cs="Arial"/>
                      <w:szCs w:val="21"/>
                      <w:lang w:eastAsia="zh-CN"/>
                    </w:rPr>
                  </w:pPr>
                  <w:r w:rsidRPr="005D4222">
                    <w:rPr>
                      <w:rFonts w:eastAsia="Wingdings" w:cs="Arial"/>
                      <w:szCs w:val="21"/>
                      <w:lang w:eastAsia="zh-CN"/>
                    </w:rPr>
                    <w:t>(Percent)</w:t>
                  </w:r>
                </w:p>
              </w:tc>
            </w:tr>
          </w:tbl>
          <w:p w14:paraId="3C716F8A" w14:textId="77777777" w:rsidR="00AA7AB9" w:rsidRPr="005D4222" w:rsidDel="00514CFB" w:rsidRDefault="00AA7AB9" w:rsidP="00A53E8C">
            <w:pPr>
              <w:pStyle w:val="ECDSBody"/>
            </w:pPr>
          </w:p>
        </w:tc>
      </w:tr>
      <w:tr w:rsidR="00AA7AB9" w:rsidRPr="005D4222" w14:paraId="1897F64C" w14:textId="77777777" w:rsidTr="00611F69">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hideMark/>
          </w:tcPr>
          <w:p w14:paraId="76842795" w14:textId="77777777" w:rsidR="00AA7AB9" w:rsidRPr="005D4222" w:rsidRDefault="00AA7AB9" w:rsidP="00A53E8C">
            <w:pPr>
              <w:pStyle w:val="ECDSMarginHead"/>
              <w:rPr>
                <w:lang w:eastAsia="zh-CN"/>
              </w:rPr>
            </w:pPr>
            <w:r w:rsidRPr="005D4222">
              <w:rPr>
                <w:lang w:eastAsia="zh-CN"/>
              </w:rPr>
              <w:t>Rules for Allowable Adjustments</w:t>
            </w:r>
          </w:p>
        </w:tc>
        <w:tc>
          <w:tcPr>
            <w:tcW w:w="3890" w:type="pct"/>
            <w:gridSpan w:val="3"/>
            <w:tcBorders>
              <w:top w:val="single" w:sz="4" w:space="0" w:color="auto"/>
              <w:left w:val="single" w:sz="4" w:space="0" w:color="auto"/>
              <w:bottom w:val="single" w:sz="4" w:space="0" w:color="auto"/>
              <w:right w:val="single" w:sz="4" w:space="0" w:color="auto"/>
            </w:tcBorders>
            <w:hideMark/>
          </w:tcPr>
          <w:p w14:paraId="46EF6EC6" w14:textId="77777777" w:rsidR="00AA7AB9" w:rsidRPr="005D4222" w:rsidRDefault="00AA7AB9" w:rsidP="00A53E8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6A796E48" w14:textId="77777777" w:rsidR="00AA7AB9" w:rsidRPr="005D4222" w:rsidRDefault="00AA7AB9" w:rsidP="00A53E8C">
            <w:pPr>
              <w:pStyle w:val="ECDSBody"/>
              <w:rPr>
                <w:b/>
              </w:rPr>
            </w:pPr>
            <w:r w:rsidRPr="005D4222">
              <w:rPr>
                <w:b/>
              </w:rPr>
              <w:t>Adjusted HEDIS measures may not be used for HEDIS health plan reporting.</w:t>
            </w:r>
          </w:p>
          <w:p w14:paraId="4F889D84" w14:textId="77777777" w:rsidR="00AA7AB9" w:rsidRPr="005D4222" w:rsidRDefault="00AA7AB9" w:rsidP="00A53E8C">
            <w:pPr>
              <w:pStyle w:val="Adjustments"/>
              <w:rPr>
                <w:b w:val="0"/>
              </w:rPr>
            </w:pPr>
            <w:r w:rsidRPr="005D4222">
              <w:t>Adjustments</w:t>
            </w:r>
            <w:r w:rsidRPr="005D4222">
              <w:rPr>
                <w:bCs/>
              </w:rPr>
              <w:t xml:space="preserve"> a</w:t>
            </w:r>
            <w:r w:rsidRPr="005D4222">
              <w:t>llowed</w:t>
            </w:r>
          </w:p>
          <w:p w14:paraId="470FB73B" w14:textId="6C0AB971" w:rsidR="00AA7AB9" w:rsidRPr="005D4222" w:rsidRDefault="00AA7AB9" w:rsidP="00E72B19">
            <w:pPr>
              <w:pStyle w:val="ProcessBullet"/>
              <w:numPr>
                <w:ilvl w:val="0"/>
                <w:numId w:val="186"/>
              </w:numPr>
              <w:tabs>
                <w:tab w:val="left" w:pos="216"/>
              </w:tabs>
              <w:ind w:left="216" w:hanging="216"/>
              <w:rPr>
                <w:b/>
                <w:bCs/>
                <w:color w:val="000000" w:themeColor="text1"/>
              </w:rPr>
            </w:pPr>
            <w:r w:rsidRPr="005D4222">
              <w:rPr>
                <w:i/>
              </w:rPr>
              <w:t xml:space="preserve">Product lines. </w:t>
            </w:r>
            <w:r w:rsidRPr="005D4222">
              <w:t>Organizations are not required to use product line criteria; product lines may be combined</w:t>
            </w:r>
            <w:r w:rsidR="00E8671F" w:rsidRPr="005D4222">
              <w:t>,</w:t>
            </w:r>
            <w:r w:rsidRPr="005D4222">
              <w:t xml:space="preserve"> and all (or no) product line criteria may be used.</w:t>
            </w:r>
          </w:p>
          <w:p w14:paraId="40F529F3" w14:textId="77777777" w:rsidR="00AA7AB9" w:rsidRPr="005D4222" w:rsidRDefault="00AA7AB9" w:rsidP="00E72B19">
            <w:pPr>
              <w:pStyle w:val="ProcessBullet"/>
              <w:numPr>
                <w:ilvl w:val="0"/>
                <w:numId w:val="186"/>
              </w:numPr>
              <w:tabs>
                <w:tab w:val="left" w:pos="216"/>
              </w:tabs>
              <w:ind w:left="216" w:hanging="216"/>
              <w:rPr>
                <w:b/>
                <w:bCs/>
                <w:color w:val="000000" w:themeColor="text1"/>
              </w:rPr>
            </w:pPr>
            <w:r w:rsidRPr="005D4222">
              <w:rPr>
                <w:i/>
              </w:rPr>
              <w:t>Attribution.</w:t>
            </w:r>
            <w:r w:rsidRPr="005D4222">
              <w:t xml:space="preserve"> Organizations are not required to use enrollment criteria. </w:t>
            </w:r>
          </w:p>
          <w:p w14:paraId="18572F1D" w14:textId="11CD420B" w:rsidR="00AA7AB9" w:rsidRPr="005D4222" w:rsidRDefault="00362E76" w:rsidP="00E72B19">
            <w:pPr>
              <w:pStyle w:val="ProcessBullet"/>
              <w:numPr>
                <w:ilvl w:val="0"/>
                <w:numId w:val="186"/>
              </w:numPr>
              <w:tabs>
                <w:tab w:val="left" w:pos="216"/>
              </w:tabs>
              <w:ind w:left="216" w:hanging="216"/>
              <w:rPr>
                <w:b/>
                <w:bCs/>
                <w:color w:val="000000" w:themeColor="text1"/>
              </w:rPr>
            </w:pPr>
            <w:r w:rsidRPr="005D4222">
              <w:rPr>
                <w:i/>
              </w:rPr>
              <w:t>Benefits.</w:t>
            </w:r>
            <w:r w:rsidR="00AA7AB9" w:rsidRPr="005D4222">
              <w:t xml:space="preserve"> Organizations are not required to use a benefit.</w:t>
            </w:r>
          </w:p>
          <w:p w14:paraId="63B72B39" w14:textId="77777777" w:rsidR="00AA7AB9" w:rsidRPr="005D4222" w:rsidRDefault="00AA7AB9" w:rsidP="00E72B19">
            <w:pPr>
              <w:pStyle w:val="ProcessBullet"/>
              <w:numPr>
                <w:ilvl w:val="0"/>
                <w:numId w:val="186"/>
              </w:numPr>
              <w:tabs>
                <w:tab w:val="left" w:pos="216"/>
              </w:tabs>
              <w:ind w:left="216" w:hanging="216"/>
              <w:rPr>
                <w:b/>
                <w:bCs/>
                <w:color w:val="000000" w:themeColor="text1"/>
              </w:rPr>
            </w:pPr>
            <w:r w:rsidRPr="005D4222">
              <w:rPr>
                <w:i/>
              </w:rPr>
              <w:t>Other.</w:t>
            </w:r>
            <w:r w:rsidRPr="005D4222">
              <w:t xml:space="preserve"> Organizations may use additional initial population criteria to focus on an area of interest defined by gender, race, ethnicity, socioeconomic or sociodemographic characteristics, geographic region or another characteristic.</w:t>
            </w:r>
          </w:p>
          <w:p w14:paraId="6EFBA238" w14:textId="77777777" w:rsidR="00AA7AB9" w:rsidRPr="005D4222" w:rsidRDefault="00AA7AB9" w:rsidP="00E72B19">
            <w:pPr>
              <w:pStyle w:val="ProcessBullet"/>
              <w:numPr>
                <w:ilvl w:val="0"/>
                <w:numId w:val="186"/>
              </w:numPr>
              <w:tabs>
                <w:tab w:val="left" w:pos="216"/>
              </w:tabs>
              <w:ind w:left="216" w:hanging="216"/>
            </w:pPr>
            <w:r w:rsidRPr="005D4222">
              <w:rPr>
                <w:i/>
              </w:rPr>
              <w:t xml:space="preserve">Measurement </w:t>
            </w:r>
            <w:r w:rsidRPr="005D4222">
              <w:rPr>
                <w:i/>
                <w:iCs/>
              </w:rPr>
              <w:t>period a</w:t>
            </w:r>
            <w:r w:rsidRPr="005D4222">
              <w:rPr>
                <w:i/>
              </w:rPr>
              <w:t>djustments.</w:t>
            </w:r>
            <w:r w:rsidRPr="005D4222">
              <w:t xml:space="preserve"> Organizations may adjust the measurement period. </w:t>
            </w:r>
          </w:p>
          <w:p w14:paraId="24A6E57D" w14:textId="66087EF6" w:rsidR="009E722C" w:rsidRPr="005D4222" w:rsidRDefault="009E722C" w:rsidP="00E72B19">
            <w:pPr>
              <w:pStyle w:val="ProcessBullet"/>
              <w:numPr>
                <w:ilvl w:val="0"/>
                <w:numId w:val="186"/>
              </w:numPr>
              <w:tabs>
                <w:tab w:val="left" w:pos="216"/>
              </w:tabs>
              <w:ind w:left="216" w:hanging="216"/>
            </w:pPr>
            <w:r w:rsidRPr="005D4222">
              <w:rPr>
                <w:i/>
                <w:iCs/>
              </w:rPr>
              <w:t xml:space="preserve">Stratifications: </w:t>
            </w:r>
            <w:r w:rsidRPr="005D4222">
              <w:t>Race and ethnicity stratification.</w:t>
            </w:r>
            <w:r w:rsidRPr="005D4222">
              <w:rPr>
                <w:i/>
                <w:iCs/>
              </w:rPr>
              <w:t xml:space="preserve"> </w:t>
            </w:r>
            <w:r w:rsidRPr="005D4222">
              <w:t>The race and ethnicity stratification is not required. Organizations may adjust this stratification as needed.</w:t>
            </w:r>
          </w:p>
          <w:p w14:paraId="3B938968" w14:textId="3B4CA4E5" w:rsidR="00AA7AB9" w:rsidRPr="005D4222" w:rsidRDefault="00AA7AB9" w:rsidP="00E72B19">
            <w:pPr>
              <w:pStyle w:val="ProcessBullet"/>
              <w:numPr>
                <w:ilvl w:val="0"/>
                <w:numId w:val="186"/>
              </w:numPr>
              <w:tabs>
                <w:tab w:val="left" w:pos="216"/>
              </w:tabs>
              <w:ind w:left="216" w:hanging="216"/>
              <w:rPr>
                <w:b/>
                <w:bCs/>
                <w:color w:val="000000" w:themeColor="text1"/>
              </w:rPr>
            </w:pPr>
            <w:r w:rsidRPr="005D4222">
              <w:rPr>
                <w:i/>
              </w:rPr>
              <w:t>Exclusions.</w:t>
            </w:r>
            <w:r w:rsidRPr="005D4222">
              <w:t xml:space="preserve"> </w:t>
            </w:r>
            <w:r w:rsidR="008F62B4" w:rsidRPr="005D4222">
              <w:t>The h</w:t>
            </w:r>
            <w:r w:rsidRPr="005D4222">
              <w:t xml:space="preserve">ospice, deceased person, palliative care, I-SNP, LTI, frailty or advanced illness exclusions are not required. </w:t>
            </w:r>
          </w:p>
          <w:p w14:paraId="7E6A8553" w14:textId="77777777" w:rsidR="00AA7AB9" w:rsidRPr="005D4222" w:rsidRDefault="00AA7AB9" w:rsidP="00E72B19">
            <w:pPr>
              <w:pStyle w:val="ProcessBullet"/>
              <w:numPr>
                <w:ilvl w:val="0"/>
                <w:numId w:val="186"/>
              </w:numPr>
              <w:tabs>
                <w:tab w:val="left" w:pos="216"/>
              </w:tabs>
              <w:spacing w:after="80"/>
              <w:ind w:left="216" w:hanging="216"/>
            </w:pPr>
            <w:r w:rsidRPr="005D4222">
              <w:rPr>
                <w:i/>
                <w:iCs/>
                <w:color w:val="000000" w:themeColor="text1"/>
              </w:rPr>
              <w:t>Telehealth.</w:t>
            </w:r>
            <w:r w:rsidRPr="005D4222">
              <w:rPr>
                <w:color w:val="000000" w:themeColor="text1"/>
              </w:rPr>
              <w:t xml:space="preserve"> Services/events that allow the use of synchronous telehealth visits, telephone visits and asynchronous telehealth (e-visits, virtual check-ins) may be stratified to identify services performed via telehealth. </w:t>
            </w:r>
            <w:r w:rsidRPr="005D4222">
              <w:t>This adjustment is not allowed for events, numerators and exclusions that do not allow the use of telehealth.</w:t>
            </w:r>
          </w:p>
          <w:p w14:paraId="4DD90216" w14:textId="77777777" w:rsidR="00D201C3" w:rsidRPr="005D4222" w:rsidRDefault="00D201C3" w:rsidP="00D201C3">
            <w:pPr>
              <w:pStyle w:val="Adjustments"/>
            </w:pPr>
            <w:r w:rsidRPr="005D4222">
              <w:lastRenderedPageBreak/>
              <w:t xml:space="preserve">Adjustments </w:t>
            </w:r>
            <w:r w:rsidRPr="005D4222">
              <w:rPr>
                <w:bCs/>
              </w:rPr>
              <w:t>a</w:t>
            </w:r>
            <w:r w:rsidRPr="005D4222">
              <w:t xml:space="preserve">llowed with </w:t>
            </w:r>
            <w:r w:rsidRPr="005D4222">
              <w:rPr>
                <w:bCs/>
              </w:rPr>
              <w:t>l</w:t>
            </w:r>
            <w:r w:rsidRPr="005D4222">
              <w:t>imits</w:t>
            </w:r>
          </w:p>
          <w:p w14:paraId="1553A2FF" w14:textId="77777777" w:rsidR="00D201C3" w:rsidRPr="005D4222" w:rsidRDefault="00D201C3" w:rsidP="00E72B19">
            <w:pPr>
              <w:pStyle w:val="ProcessBullet"/>
              <w:numPr>
                <w:ilvl w:val="0"/>
                <w:numId w:val="186"/>
              </w:numPr>
              <w:spacing w:after="80"/>
              <w:ind w:left="216" w:hanging="216"/>
            </w:pPr>
            <w:r w:rsidRPr="005D4222">
              <w:rPr>
                <w:i/>
                <w:iCs/>
              </w:rPr>
              <w:t xml:space="preserve">Ages. </w:t>
            </w:r>
            <w:r w:rsidRPr="005D4222">
              <w:t xml:space="preserve">Age determination dates may be changed (e.g., </w:t>
            </w:r>
            <w:r w:rsidRPr="005D4222" w:rsidDel="00851E2D">
              <w:t xml:space="preserve">select, </w:t>
            </w:r>
            <w:r w:rsidRPr="005D4222">
              <w:t>“age as of June 30”). The denominator age range may be changed if the range is within the specified age range (18–85 years of age).</w:t>
            </w:r>
          </w:p>
          <w:p w14:paraId="3F636FD9" w14:textId="77777777" w:rsidR="002561F8" w:rsidRPr="005D4222" w:rsidRDefault="002561F8" w:rsidP="00C17FFB">
            <w:pPr>
              <w:pStyle w:val="Adjustments"/>
            </w:pPr>
            <w:r w:rsidRPr="005D4222">
              <w:t>Adjustments n</w:t>
            </w:r>
            <w:r w:rsidRPr="005D4222">
              <w:rPr>
                <w:bCs/>
              </w:rPr>
              <w:t>ot allowed</w:t>
            </w:r>
          </w:p>
          <w:p w14:paraId="64C6AF1F" w14:textId="77777777" w:rsidR="002561F8" w:rsidRPr="005D4222" w:rsidRDefault="002561F8" w:rsidP="002561F8">
            <w:pPr>
              <w:pStyle w:val="ProcessBullet"/>
            </w:pPr>
            <w:r w:rsidRPr="005D4222">
              <w:rPr>
                <w:i/>
                <w:iCs/>
              </w:rPr>
              <w:t>Initial population:</w:t>
            </w:r>
            <w:r w:rsidRPr="005D4222">
              <w:t xml:space="preserve"> Event. Value sets, medication lists and logic may not be changed. </w:t>
            </w:r>
          </w:p>
          <w:p w14:paraId="54339414" w14:textId="77777777" w:rsidR="002561F8" w:rsidRPr="005D4222" w:rsidRDefault="002561F8" w:rsidP="002561F8">
            <w:pPr>
              <w:pStyle w:val="ProcessBullet"/>
            </w:pPr>
            <w:r w:rsidRPr="005D4222">
              <w:rPr>
                <w:i/>
                <w:iCs/>
              </w:rPr>
              <w:t>Exclusions.</w:t>
            </w:r>
            <w:r w:rsidRPr="005D4222">
              <w:t xml:space="preserve"> The ESRD and pregnancy exclusions must be applied. The value sets and logic may not be changed.</w:t>
            </w:r>
          </w:p>
          <w:p w14:paraId="260B3FB6" w14:textId="4E0C9817" w:rsidR="00D201C3" w:rsidRPr="005D4222" w:rsidRDefault="002561F8" w:rsidP="00E72B19">
            <w:pPr>
              <w:pStyle w:val="ProcessBullet"/>
              <w:spacing w:after="80"/>
            </w:pPr>
            <w:r w:rsidRPr="005D4222">
              <w:rPr>
                <w:i/>
                <w:iCs/>
              </w:rPr>
              <w:t>Numerator.</w:t>
            </w:r>
            <w:r w:rsidRPr="005D4222">
              <w:t xml:space="preserve"> Value sets and logic may not be changed.</w:t>
            </w:r>
          </w:p>
        </w:tc>
      </w:tr>
    </w:tbl>
    <w:p w14:paraId="0DB9D6D2" w14:textId="16203690" w:rsidR="00297882" w:rsidRPr="005D4222" w:rsidRDefault="00297882"/>
    <w:p w14:paraId="5D13E66D" w14:textId="77777777" w:rsidR="00297882" w:rsidRPr="005D4222" w:rsidRDefault="00297882" w:rsidP="00774F91">
      <w:pPr>
        <w:pStyle w:val="ECDSBody"/>
        <w:sectPr w:rsidR="00297882" w:rsidRPr="005D4222" w:rsidSect="0074514A">
          <w:headerReference w:type="default" r:id="rId224"/>
          <w:type w:val="nextColumn"/>
          <w:pgSz w:w="12240" w:h="15840" w:code="1"/>
          <w:pgMar w:top="1080" w:right="1080" w:bottom="1080" w:left="1440" w:header="720" w:footer="720" w:gutter="0"/>
          <w:cols w:space="720"/>
          <w:docGrid w:linePitch="360"/>
        </w:sectPr>
      </w:pPr>
    </w:p>
    <w:p w14:paraId="15B0CC12" w14:textId="1FFB3DA9" w:rsidR="00774F91" w:rsidRPr="005D4222" w:rsidRDefault="009F0191" w:rsidP="009F0191">
      <w:pPr>
        <w:pStyle w:val="MeasureTitle"/>
      </w:pPr>
      <w:bookmarkStart w:id="419" w:name="_Toc201813474"/>
      <w:r w:rsidRPr="005D4222">
        <w:lastRenderedPageBreak/>
        <w:t>Statin Therapy for Patients With Cardiovascular Disease</w:t>
      </w:r>
      <w:r w:rsidR="008A5901" w:rsidRPr="005D4222">
        <w:t xml:space="preserve"> (SPC-E)</w:t>
      </w:r>
      <w:bookmarkEnd w:id="419"/>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4500"/>
        <w:gridCol w:w="1710"/>
        <w:gridCol w:w="1350"/>
      </w:tblGrid>
      <w:tr w:rsidR="00B13359" w:rsidRPr="005D4222" w14:paraId="7B75D8F4" w14:textId="77777777" w:rsidTr="00A53E8C">
        <w:tc>
          <w:tcPr>
            <w:tcW w:w="2157" w:type="dxa"/>
            <w:shd w:val="clear" w:color="auto" w:fill="BFBFBF" w:themeFill="background1" w:themeFillShade="BF"/>
            <w:tcMar>
              <w:top w:w="0" w:type="dxa"/>
              <w:left w:w="86" w:type="dxa"/>
              <w:bottom w:w="43" w:type="dxa"/>
              <w:right w:w="86" w:type="dxa"/>
            </w:tcMar>
            <w:hideMark/>
          </w:tcPr>
          <w:p w14:paraId="579A85EA" w14:textId="77777777" w:rsidR="00B13359" w:rsidRPr="005D4222" w:rsidRDefault="00B13359" w:rsidP="00A53E8C">
            <w:pPr>
              <w:pStyle w:val="ECDSMarginHead"/>
            </w:pPr>
            <w:r w:rsidRPr="005D4222">
              <w:t>Measure title</w:t>
            </w:r>
          </w:p>
        </w:tc>
        <w:tc>
          <w:tcPr>
            <w:tcW w:w="4500" w:type="dxa"/>
            <w:tcMar>
              <w:top w:w="0" w:type="dxa"/>
              <w:left w:w="86" w:type="dxa"/>
              <w:bottom w:w="43" w:type="dxa"/>
              <w:right w:w="86" w:type="dxa"/>
            </w:tcMar>
          </w:tcPr>
          <w:p w14:paraId="5E1039AC" w14:textId="77777777" w:rsidR="00B13359" w:rsidRPr="005D4222" w:rsidRDefault="00B13359" w:rsidP="00A53E8C">
            <w:pPr>
              <w:pStyle w:val="ECDSBody"/>
            </w:pPr>
            <w:r w:rsidRPr="005D4222">
              <w:t xml:space="preserve">Statin Therapy for Patients With Cardiovascular Disease </w:t>
            </w:r>
          </w:p>
        </w:tc>
        <w:tc>
          <w:tcPr>
            <w:tcW w:w="1710" w:type="dxa"/>
            <w:shd w:val="clear" w:color="auto" w:fill="BFBFBF" w:themeFill="background1" w:themeFillShade="BF"/>
            <w:tcMar>
              <w:top w:w="0" w:type="dxa"/>
              <w:left w:w="86" w:type="dxa"/>
              <w:bottom w:w="43" w:type="dxa"/>
              <w:right w:w="86" w:type="dxa"/>
            </w:tcMar>
          </w:tcPr>
          <w:p w14:paraId="2F816941" w14:textId="77777777" w:rsidR="00B13359" w:rsidRPr="005D4222" w:rsidRDefault="00B13359" w:rsidP="00A53E8C">
            <w:pPr>
              <w:pStyle w:val="ECDSMarginHead"/>
            </w:pPr>
            <w:r w:rsidRPr="005D4222">
              <w:t>Measure ID</w:t>
            </w:r>
          </w:p>
        </w:tc>
        <w:tc>
          <w:tcPr>
            <w:tcW w:w="1350" w:type="dxa"/>
            <w:tcMar>
              <w:top w:w="0" w:type="dxa"/>
              <w:left w:w="86" w:type="dxa"/>
              <w:bottom w:w="43" w:type="dxa"/>
              <w:right w:w="86" w:type="dxa"/>
            </w:tcMar>
          </w:tcPr>
          <w:p w14:paraId="12AFC06D" w14:textId="77777777" w:rsidR="00B13359" w:rsidRPr="005D4222" w:rsidRDefault="00B13359" w:rsidP="00A53E8C">
            <w:pPr>
              <w:pStyle w:val="ECDSBody"/>
            </w:pPr>
            <w:r w:rsidRPr="005D4222">
              <w:t>SPC-E</w:t>
            </w:r>
          </w:p>
        </w:tc>
      </w:tr>
      <w:tr w:rsidR="00B13359" w:rsidRPr="005D4222" w14:paraId="108C61EE" w14:textId="77777777" w:rsidTr="00A53E8C">
        <w:tc>
          <w:tcPr>
            <w:tcW w:w="2157" w:type="dxa"/>
            <w:shd w:val="clear" w:color="auto" w:fill="BFBFBF" w:themeFill="background1" w:themeFillShade="BF"/>
            <w:tcMar>
              <w:top w:w="0" w:type="dxa"/>
              <w:left w:w="86" w:type="dxa"/>
              <w:bottom w:w="43" w:type="dxa"/>
              <w:right w:w="86" w:type="dxa"/>
            </w:tcMar>
            <w:hideMark/>
          </w:tcPr>
          <w:p w14:paraId="73111428" w14:textId="77777777" w:rsidR="00B13359" w:rsidRPr="005D4222" w:rsidRDefault="00B13359" w:rsidP="00A53E8C">
            <w:pPr>
              <w:pStyle w:val="ECDSMarginHead"/>
            </w:pPr>
            <w:r w:rsidRPr="005D4222">
              <w:t>Description</w:t>
            </w:r>
          </w:p>
        </w:tc>
        <w:tc>
          <w:tcPr>
            <w:tcW w:w="7560" w:type="dxa"/>
            <w:gridSpan w:val="3"/>
            <w:tcMar>
              <w:top w:w="0" w:type="dxa"/>
              <w:left w:w="86" w:type="dxa"/>
              <w:bottom w:w="43" w:type="dxa"/>
              <w:right w:w="86" w:type="dxa"/>
            </w:tcMar>
          </w:tcPr>
          <w:p w14:paraId="713F24C2" w14:textId="77777777" w:rsidR="00B13359" w:rsidRPr="005D4222" w:rsidRDefault="00B13359" w:rsidP="00A53E8C">
            <w:pPr>
              <w:pStyle w:val="ECDSBody"/>
            </w:pPr>
            <w:r w:rsidRPr="005D4222">
              <w:t>The percentage of persons 21–75 years of age during the measurement period who were identified as having clinical atherosclerotic cardiovascular disease (ASCVD) and met the following criteria. Two rates are reported:</w:t>
            </w:r>
          </w:p>
          <w:p w14:paraId="1E722BC7" w14:textId="77777777" w:rsidR="00B13359" w:rsidRPr="005D4222" w:rsidRDefault="00B13359" w:rsidP="005D6173">
            <w:pPr>
              <w:pStyle w:val="ECDSBody"/>
              <w:numPr>
                <w:ilvl w:val="0"/>
                <w:numId w:val="154"/>
              </w:numPr>
              <w:tabs>
                <w:tab w:val="clear" w:pos="1368"/>
              </w:tabs>
              <w:spacing w:after="0"/>
              <w:ind w:left="648" w:hanging="288"/>
              <w:rPr>
                <w:color w:val="000000"/>
                <w:szCs w:val="22"/>
              </w:rPr>
            </w:pPr>
            <w:r w:rsidRPr="005D4222">
              <w:rPr>
                <w:i/>
                <w:color w:val="000000"/>
                <w:szCs w:val="22"/>
              </w:rPr>
              <w:t xml:space="preserve">Received Statin Therapy. </w:t>
            </w:r>
            <w:r w:rsidRPr="005D4222">
              <w:rPr>
                <w:iCs/>
                <w:color w:val="000000"/>
                <w:szCs w:val="22"/>
              </w:rPr>
              <w:t>Persons</w:t>
            </w:r>
            <w:r w:rsidRPr="005D4222">
              <w:rPr>
                <w:color w:val="000000"/>
                <w:szCs w:val="22"/>
              </w:rPr>
              <w:t xml:space="preserve"> who were dispensed at least one high-intensity or moderate-intensity statin medication during the measurement period.</w:t>
            </w:r>
          </w:p>
          <w:p w14:paraId="1D062A2A" w14:textId="77777777" w:rsidR="00B13359" w:rsidRPr="005D4222" w:rsidRDefault="00B13359" w:rsidP="005D6173">
            <w:pPr>
              <w:pStyle w:val="ECDSBody"/>
              <w:numPr>
                <w:ilvl w:val="0"/>
                <w:numId w:val="154"/>
              </w:numPr>
              <w:tabs>
                <w:tab w:val="clear" w:pos="1368"/>
              </w:tabs>
              <w:ind w:left="648" w:hanging="288"/>
            </w:pPr>
            <w:r w:rsidRPr="005D4222">
              <w:rPr>
                <w:i/>
                <w:color w:val="000000"/>
                <w:szCs w:val="22"/>
              </w:rPr>
              <w:t>Statin Adherence 80%.</w:t>
            </w:r>
            <w:r w:rsidRPr="005D4222">
              <w:rPr>
                <w:color w:val="000000"/>
                <w:szCs w:val="22"/>
              </w:rPr>
              <w:t xml:space="preserve"> Persons who remained on a high-intensity or moderate-intensity statin medication for at least 80% of the treatment period.</w:t>
            </w:r>
          </w:p>
        </w:tc>
      </w:tr>
      <w:tr w:rsidR="00B13359" w:rsidRPr="005D4222" w14:paraId="1B80291A" w14:textId="77777777" w:rsidTr="00A53E8C">
        <w:tc>
          <w:tcPr>
            <w:tcW w:w="2157" w:type="dxa"/>
            <w:shd w:val="clear" w:color="auto" w:fill="BFBFBF" w:themeFill="background1" w:themeFillShade="BF"/>
            <w:tcMar>
              <w:top w:w="0" w:type="dxa"/>
              <w:left w:w="86" w:type="dxa"/>
              <w:bottom w:w="43" w:type="dxa"/>
              <w:right w:w="86" w:type="dxa"/>
            </w:tcMar>
          </w:tcPr>
          <w:p w14:paraId="7495A4AD" w14:textId="77777777" w:rsidR="00B13359" w:rsidRPr="005D4222" w:rsidRDefault="00B13359" w:rsidP="00A53E8C">
            <w:pPr>
              <w:pStyle w:val="ECDSMarginHead"/>
            </w:pPr>
            <w:r w:rsidRPr="005D4222">
              <w:t>Measurement period</w:t>
            </w:r>
          </w:p>
        </w:tc>
        <w:tc>
          <w:tcPr>
            <w:tcW w:w="7560" w:type="dxa"/>
            <w:gridSpan w:val="3"/>
            <w:tcMar>
              <w:top w:w="0" w:type="dxa"/>
              <w:left w:w="86" w:type="dxa"/>
              <w:bottom w:w="43" w:type="dxa"/>
              <w:right w:w="86" w:type="dxa"/>
            </w:tcMar>
          </w:tcPr>
          <w:p w14:paraId="2BDB6A0C" w14:textId="77777777" w:rsidR="00B13359" w:rsidRPr="005D4222" w:rsidRDefault="00B13359" w:rsidP="00A53E8C">
            <w:pPr>
              <w:pStyle w:val="ECDSBody"/>
            </w:pPr>
            <w:r w:rsidRPr="005D4222">
              <w:t>January 1–December 31.</w:t>
            </w:r>
          </w:p>
        </w:tc>
      </w:tr>
      <w:tr w:rsidR="00B13359" w:rsidRPr="005D4222" w14:paraId="1AFBC319" w14:textId="77777777" w:rsidTr="00A53E8C">
        <w:tc>
          <w:tcPr>
            <w:tcW w:w="2157" w:type="dxa"/>
            <w:shd w:val="clear" w:color="auto" w:fill="BFBFBF" w:themeFill="background1" w:themeFillShade="BF"/>
            <w:tcMar>
              <w:top w:w="0" w:type="dxa"/>
              <w:left w:w="86" w:type="dxa"/>
              <w:bottom w:w="43" w:type="dxa"/>
              <w:right w:w="86" w:type="dxa"/>
            </w:tcMar>
            <w:hideMark/>
          </w:tcPr>
          <w:p w14:paraId="1EB57CA6" w14:textId="77777777" w:rsidR="00B13359" w:rsidRPr="005D4222" w:rsidRDefault="00B13359" w:rsidP="00A53E8C">
            <w:pPr>
              <w:pStyle w:val="ECDSMarginHead"/>
              <w:rPr>
                <w:rFonts w:eastAsia="Arial"/>
              </w:rPr>
            </w:pPr>
            <w:r w:rsidRPr="005D4222">
              <w:rPr>
                <w:rFonts w:eastAsia="Arial"/>
              </w:rPr>
              <w:t>Copyright and disclaimer notice</w:t>
            </w:r>
          </w:p>
        </w:tc>
        <w:tc>
          <w:tcPr>
            <w:tcW w:w="7560" w:type="dxa"/>
            <w:gridSpan w:val="3"/>
            <w:tcMar>
              <w:top w:w="0" w:type="dxa"/>
              <w:left w:w="86" w:type="dxa"/>
              <w:bottom w:w="43" w:type="dxa"/>
              <w:right w:w="86" w:type="dxa"/>
            </w:tcMar>
          </w:tcPr>
          <w:p w14:paraId="337BBA9B" w14:textId="77777777" w:rsidR="00B13359" w:rsidRPr="005D4222" w:rsidRDefault="00B13359" w:rsidP="00A53E8C">
            <w:pPr>
              <w:pStyle w:val="ECDSBody"/>
            </w:pPr>
            <w:r w:rsidRPr="005D4222">
              <w:t xml:space="preserve">Refer to the complete copyright and disclaimer information at the front of this publication. </w:t>
            </w:r>
          </w:p>
          <w:p w14:paraId="2CB29F08" w14:textId="77777777" w:rsidR="00B13359" w:rsidRPr="005D4222" w:rsidRDefault="00B13359" w:rsidP="00A53E8C">
            <w:pPr>
              <w:pStyle w:val="ECDSBody"/>
            </w:pPr>
            <w:r w:rsidRPr="005D4222">
              <w:t xml:space="preserve">NCQA website: </w:t>
            </w:r>
            <w:r w:rsidRPr="005D4222">
              <w:rPr>
                <w:u w:val="single"/>
              </w:rPr>
              <w:t>www.ncqa.org</w:t>
            </w:r>
            <w:r w:rsidRPr="005D4222">
              <w:t>.</w:t>
            </w:r>
          </w:p>
          <w:p w14:paraId="5B8BBDC3" w14:textId="77777777" w:rsidR="00B13359" w:rsidRPr="005D4222" w:rsidRDefault="00B13359" w:rsidP="00A53E8C">
            <w:pPr>
              <w:pStyle w:val="ECDSBody"/>
              <w:rPr>
                <w:sz w:val="18"/>
                <w:szCs w:val="18"/>
              </w:rPr>
            </w:pPr>
            <w:r w:rsidRPr="005D4222">
              <w:t>Submit policy clarification support questions via My NCQA (</w:t>
            </w:r>
            <w:r w:rsidRPr="005D4222">
              <w:rPr>
                <w:u w:val="single"/>
              </w:rPr>
              <w:t>https://my.ncqa.org</w:t>
            </w:r>
            <w:r w:rsidRPr="005D4222">
              <w:t>).</w:t>
            </w:r>
          </w:p>
        </w:tc>
      </w:tr>
      <w:tr w:rsidR="00B13359" w:rsidRPr="005D4222" w14:paraId="1D4ED35C" w14:textId="77777777" w:rsidTr="00A53E8C">
        <w:tc>
          <w:tcPr>
            <w:tcW w:w="2157" w:type="dxa"/>
            <w:shd w:val="clear" w:color="auto" w:fill="BFBFBF" w:themeFill="background1" w:themeFillShade="BF"/>
            <w:tcMar>
              <w:top w:w="0" w:type="dxa"/>
              <w:left w:w="86" w:type="dxa"/>
              <w:bottom w:w="43" w:type="dxa"/>
              <w:right w:w="86" w:type="dxa"/>
            </w:tcMar>
            <w:hideMark/>
          </w:tcPr>
          <w:p w14:paraId="47786714" w14:textId="77777777" w:rsidR="00B13359" w:rsidRPr="005D4222" w:rsidRDefault="00B13359" w:rsidP="00A53E8C">
            <w:pPr>
              <w:pStyle w:val="ECDSMarginHead"/>
            </w:pPr>
            <w:r w:rsidRPr="005D4222">
              <w:t>Clinical recommendation statement/</w:t>
            </w:r>
            <w:r w:rsidRPr="005D4222" w:rsidDel="5362D9A3">
              <w:t xml:space="preserve"> </w:t>
            </w:r>
            <w:r w:rsidRPr="005D4222">
              <w:t>rationale</w:t>
            </w:r>
          </w:p>
        </w:tc>
        <w:tc>
          <w:tcPr>
            <w:tcW w:w="7560" w:type="dxa"/>
            <w:gridSpan w:val="3"/>
            <w:tcMar>
              <w:top w:w="0" w:type="dxa"/>
              <w:left w:w="86" w:type="dxa"/>
              <w:bottom w:w="43" w:type="dxa"/>
              <w:right w:w="86" w:type="dxa"/>
            </w:tcMar>
          </w:tcPr>
          <w:p w14:paraId="711751AA" w14:textId="77777777" w:rsidR="00B13359" w:rsidRPr="005D4222" w:rsidRDefault="00B13359" w:rsidP="00A53E8C">
            <w:pPr>
              <w:pStyle w:val="ECDSBody"/>
            </w:pPr>
            <w:r w:rsidRPr="005D4222">
              <w:t>Guidelines from the American Heart Association (AHA) recommend high-intensity statin therapy for men and women 21–75 years of age with a diagnosis of clinical ASCVD.</w:t>
            </w:r>
          </w:p>
          <w:p w14:paraId="26A4DA13" w14:textId="77777777" w:rsidR="00B13359" w:rsidRPr="005D4222" w:rsidRDefault="00B13359" w:rsidP="00A53E8C">
            <w:pPr>
              <w:pStyle w:val="ECDSBody"/>
            </w:pPr>
            <w:r w:rsidRPr="005D4222">
              <w:t>If high-intensity therapy is contraindicated, or when adverse effects are present, moderate-intensity statin therapy should be used. Adherence to both medication and lifestyle regimens are required for ASCVD risk reduction.</w:t>
            </w:r>
          </w:p>
        </w:tc>
      </w:tr>
      <w:tr w:rsidR="00B13359" w:rsidRPr="005D4222" w14:paraId="7EDD7457" w14:textId="77777777" w:rsidTr="00A53E8C">
        <w:tc>
          <w:tcPr>
            <w:tcW w:w="2157" w:type="dxa"/>
            <w:shd w:val="clear" w:color="auto" w:fill="BFBFBF" w:themeFill="background1" w:themeFillShade="BF"/>
            <w:tcMar>
              <w:top w:w="0" w:type="dxa"/>
              <w:left w:w="86" w:type="dxa"/>
              <w:bottom w:w="43" w:type="dxa"/>
              <w:right w:w="86" w:type="dxa"/>
            </w:tcMar>
          </w:tcPr>
          <w:p w14:paraId="740F3CB2" w14:textId="77777777" w:rsidR="00B13359" w:rsidRPr="005D4222" w:rsidRDefault="00B13359" w:rsidP="00A53E8C">
            <w:pPr>
              <w:pStyle w:val="ECDSMarginHead"/>
            </w:pPr>
            <w:r w:rsidRPr="005D4222">
              <w:t>Citations</w:t>
            </w:r>
          </w:p>
        </w:tc>
        <w:tc>
          <w:tcPr>
            <w:tcW w:w="7560" w:type="dxa"/>
            <w:gridSpan w:val="3"/>
            <w:tcMar>
              <w:top w:w="0" w:type="dxa"/>
              <w:left w:w="86" w:type="dxa"/>
              <w:bottom w:w="43" w:type="dxa"/>
              <w:right w:w="86" w:type="dxa"/>
            </w:tcMar>
          </w:tcPr>
          <w:p w14:paraId="0798756C" w14:textId="77777777" w:rsidR="00B13359" w:rsidRPr="005D4222" w:rsidRDefault="00B13359" w:rsidP="00A53E8C">
            <w:pPr>
              <w:pStyle w:val="ECDSBody"/>
            </w:pPr>
            <w:r w:rsidRPr="005D4222">
              <w:t xml:space="preserve">Grundy, S.M., N.J. Stone, A.L. Bailey, C. Beam, K.K. Birtcher, R.S. Blumenthal, L.T. Braun, S. de Ferranti, J. Faiella-Tommasino, D.E. Forman, R. Goldberg, P.A. Heidenreich, M.A. Hlatky, D.W. Jones, D.M. Lloyd-Jones, N. Lopez-Pajares, C.E. Ndumele, C.E. Orringer, C.A. Peralta,… J. Yeboah. “2018 AHA/ACC/AACVPR/AAPA/ABC/ACPM/ADA/AGS/Apha/ASPC/NLA/PCNA Guideline on the Management of Blood Cholesterol.” </w:t>
            </w:r>
            <w:r w:rsidRPr="005D4222">
              <w:rPr>
                <w:i/>
                <w:iCs/>
              </w:rPr>
              <w:t xml:space="preserve">Journal of the American College of Cardiology </w:t>
            </w:r>
            <w:r w:rsidRPr="005D4222">
              <w:t>73(24).</w:t>
            </w:r>
          </w:p>
        </w:tc>
      </w:tr>
      <w:tr w:rsidR="00B13359" w:rsidRPr="005D4222" w14:paraId="781F087F" w14:textId="77777777" w:rsidTr="00A53E8C">
        <w:tc>
          <w:tcPr>
            <w:tcW w:w="9717"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10C53215" w14:textId="77777777" w:rsidR="00B13359" w:rsidRPr="005D4222" w:rsidRDefault="00B13359" w:rsidP="00A53E8C">
            <w:pPr>
              <w:pStyle w:val="ECDSMarginHead"/>
            </w:pPr>
            <w:r w:rsidRPr="005D4222">
              <w:t>Characteristics</w:t>
            </w:r>
          </w:p>
        </w:tc>
      </w:tr>
      <w:tr w:rsidR="00B13359" w:rsidRPr="005D4222" w14:paraId="29F2B178" w14:textId="77777777" w:rsidTr="00A53E8C">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5995EB2B" w14:textId="77777777" w:rsidR="00B13359" w:rsidRPr="005D4222" w:rsidRDefault="00B13359" w:rsidP="00B13359">
            <w:pPr>
              <w:pStyle w:val="ECDSSubhead"/>
            </w:pPr>
            <w:r w:rsidRPr="005D4222">
              <w:t>Scoring</w:t>
            </w:r>
          </w:p>
        </w:tc>
        <w:tc>
          <w:tcPr>
            <w:tcW w:w="7560"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676BB459" w14:textId="77777777" w:rsidR="00B13359" w:rsidRPr="005D4222" w:rsidRDefault="00B13359" w:rsidP="00A53E8C">
            <w:pPr>
              <w:pStyle w:val="ECDSBody"/>
              <w:spacing w:after="0"/>
            </w:pPr>
            <w:r w:rsidRPr="005D4222">
              <w:t>Proportion.</w:t>
            </w:r>
          </w:p>
        </w:tc>
      </w:tr>
      <w:tr w:rsidR="00B13359" w:rsidRPr="005D4222" w14:paraId="657EFFBD"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5E8F1B17" w14:textId="77777777" w:rsidR="00B13359" w:rsidRPr="005D4222" w:rsidRDefault="00B13359" w:rsidP="00B13359">
            <w:pPr>
              <w:pStyle w:val="ECDSSubhead"/>
            </w:pPr>
            <w:r w:rsidRPr="005D4222">
              <w:t>Type</w:t>
            </w:r>
          </w:p>
        </w:tc>
        <w:tc>
          <w:tcPr>
            <w:tcW w:w="7560" w:type="dxa"/>
            <w:gridSpan w:val="3"/>
            <w:tcBorders>
              <w:top w:val="nil"/>
              <w:left w:val="single" w:sz="4" w:space="0" w:color="auto"/>
              <w:bottom w:val="nil"/>
              <w:right w:val="single" w:sz="4" w:space="0" w:color="auto"/>
            </w:tcBorders>
            <w:tcMar>
              <w:top w:w="0" w:type="dxa"/>
              <w:left w:w="86" w:type="dxa"/>
              <w:bottom w:w="43" w:type="dxa"/>
              <w:right w:w="86" w:type="dxa"/>
            </w:tcMar>
          </w:tcPr>
          <w:p w14:paraId="330F1AAC" w14:textId="77777777" w:rsidR="00B13359" w:rsidRPr="005D4222" w:rsidRDefault="00B13359" w:rsidP="00A53E8C">
            <w:pPr>
              <w:pStyle w:val="ECDSBody"/>
              <w:spacing w:after="0"/>
            </w:pPr>
            <w:r w:rsidRPr="005D4222">
              <w:rPr>
                <w:rFonts w:eastAsia="Arial,Arial,Arial,Arial,Arial,A"/>
              </w:rPr>
              <w:t>Process.</w:t>
            </w:r>
          </w:p>
        </w:tc>
      </w:tr>
      <w:tr w:rsidR="00B13359" w:rsidRPr="005D4222" w14:paraId="09CE0F0D" w14:textId="77777777" w:rsidTr="00B13359">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5425EBE5" w14:textId="44C07BA3" w:rsidR="00B13359" w:rsidRPr="005D4222" w:rsidRDefault="00B51CDC" w:rsidP="00B13359">
            <w:pPr>
              <w:pStyle w:val="ECDSSubhead"/>
            </w:pPr>
            <w:r w:rsidRPr="005D4222">
              <w:t>Product lines</w:t>
            </w:r>
          </w:p>
        </w:tc>
        <w:tc>
          <w:tcPr>
            <w:tcW w:w="7560"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4DD7A228" w14:textId="77777777" w:rsidR="00B13359" w:rsidRPr="005D4222" w:rsidRDefault="00B13359" w:rsidP="00A53E8C">
            <w:pPr>
              <w:pStyle w:val="ProcessBullet"/>
              <w:spacing w:before="120"/>
            </w:pPr>
            <w:r w:rsidRPr="005D4222">
              <w:t>Commercial.</w:t>
            </w:r>
          </w:p>
          <w:p w14:paraId="6474BCEF" w14:textId="77777777" w:rsidR="00B13359" w:rsidRPr="005D4222" w:rsidRDefault="00B13359" w:rsidP="00A53E8C">
            <w:pPr>
              <w:pStyle w:val="ProcessBullet"/>
            </w:pPr>
            <w:r w:rsidRPr="005D4222">
              <w:t>Medicaid.</w:t>
            </w:r>
          </w:p>
          <w:p w14:paraId="6D8105F2" w14:textId="77777777" w:rsidR="00B13359" w:rsidRPr="005D4222" w:rsidRDefault="00B13359" w:rsidP="00A53E8C">
            <w:pPr>
              <w:pStyle w:val="ProcessBullet"/>
              <w:spacing w:after="80"/>
            </w:pPr>
            <w:r w:rsidRPr="005D4222">
              <w:t>Medicare.</w:t>
            </w:r>
          </w:p>
        </w:tc>
      </w:tr>
      <w:tr w:rsidR="00B13359" w:rsidRPr="005D4222" w14:paraId="28D4888C" w14:textId="77777777" w:rsidTr="00B13359">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41241C32" w14:textId="79EF2EE9" w:rsidR="00B13359" w:rsidRPr="005D4222" w:rsidRDefault="00B51CDC" w:rsidP="00B13359">
            <w:pPr>
              <w:pStyle w:val="ECDSSubhead"/>
            </w:pPr>
            <w:r w:rsidRPr="005D4222">
              <w:lastRenderedPageBreak/>
              <w:t>Stratifications</w:t>
            </w:r>
            <w:r w:rsidR="00B13359" w:rsidRPr="005D4222">
              <w:t xml:space="preserve"> </w:t>
            </w:r>
          </w:p>
        </w:tc>
        <w:tc>
          <w:tcPr>
            <w:tcW w:w="7560"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215A8607" w14:textId="77777777" w:rsidR="00B13359" w:rsidRPr="005D4222" w:rsidRDefault="00B13359" w:rsidP="00B13359">
            <w:pPr>
              <w:pStyle w:val="ECDSBody"/>
              <w:spacing w:after="0"/>
              <w:rPr>
                <w:rFonts w:eastAsia="Arial,Arial,Arial,Arial,Arial,A"/>
              </w:rPr>
            </w:pPr>
            <w:r w:rsidRPr="005D4222">
              <w:rPr>
                <w:rFonts w:eastAsia="Arial,Arial,Arial,Arial,Arial,A"/>
              </w:rPr>
              <w:t>None.</w:t>
            </w:r>
          </w:p>
        </w:tc>
      </w:tr>
      <w:tr w:rsidR="00B13359" w:rsidRPr="005D4222" w14:paraId="11ED318E" w14:textId="77777777" w:rsidTr="00B13359">
        <w:tc>
          <w:tcPr>
            <w:tcW w:w="2157" w:type="dxa"/>
            <w:tcBorders>
              <w:top w:val="nil"/>
              <w:left w:val="single" w:sz="4" w:space="0" w:color="auto"/>
              <w:bottom w:val="nil"/>
              <w:right w:val="single" w:sz="4" w:space="0" w:color="auto"/>
            </w:tcBorders>
            <w:tcMar>
              <w:top w:w="0" w:type="dxa"/>
              <w:left w:w="86" w:type="dxa"/>
              <w:bottom w:w="43" w:type="dxa"/>
              <w:right w:w="86" w:type="dxa"/>
            </w:tcMar>
          </w:tcPr>
          <w:p w14:paraId="7C8719B4" w14:textId="77777777" w:rsidR="00B13359" w:rsidRPr="005D4222" w:rsidRDefault="00B13359" w:rsidP="00B13359">
            <w:pPr>
              <w:pStyle w:val="ECDSSubhead"/>
              <w:rPr>
                <w:szCs w:val="22"/>
              </w:rPr>
            </w:pPr>
            <w:r w:rsidRPr="005D4222">
              <w:rPr>
                <w:szCs w:val="22"/>
              </w:rPr>
              <w:t>Risk adjustment</w:t>
            </w:r>
          </w:p>
        </w:tc>
        <w:tc>
          <w:tcPr>
            <w:tcW w:w="7560"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65F20D18" w14:textId="77777777" w:rsidR="00B13359" w:rsidRPr="005D4222" w:rsidRDefault="00B13359" w:rsidP="00A53E8C">
            <w:pPr>
              <w:pStyle w:val="ECDSBody"/>
              <w:spacing w:after="0"/>
            </w:pPr>
            <w:r w:rsidRPr="005D4222">
              <w:t>None.</w:t>
            </w:r>
          </w:p>
        </w:tc>
      </w:tr>
      <w:tr w:rsidR="00B13359" w:rsidRPr="005D4222" w14:paraId="1C8CDD9E"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5392D446" w14:textId="77777777" w:rsidR="00B13359" w:rsidRPr="005D4222" w:rsidRDefault="00B13359" w:rsidP="00B13359">
            <w:pPr>
              <w:pStyle w:val="ECDSSubhead"/>
              <w:rPr>
                <w:szCs w:val="22"/>
              </w:rPr>
            </w:pPr>
            <w:r w:rsidRPr="005D4222">
              <w:rPr>
                <w:szCs w:val="22"/>
              </w:rPr>
              <w:t>Improvement notation</w:t>
            </w:r>
          </w:p>
        </w:tc>
        <w:tc>
          <w:tcPr>
            <w:tcW w:w="7560"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42E66A68" w14:textId="77777777" w:rsidR="00B13359" w:rsidRPr="005D4222" w:rsidRDefault="00B13359" w:rsidP="00A53E8C">
            <w:pPr>
              <w:pStyle w:val="ECDSBody"/>
              <w:spacing w:after="0"/>
              <w:rPr>
                <w:iCs/>
                <w:color w:val="000000"/>
                <w:szCs w:val="22"/>
              </w:rPr>
            </w:pPr>
            <w:r w:rsidRPr="005D4222">
              <w:t>Increased score indicates improvement.</w:t>
            </w:r>
          </w:p>
        </w:tc>
      </w:tr>
      <w:tr w:rsidR="00B13359" w:rsidRPr="005D4222" w14:paraId="2D36B5FB" w14:textId="77777777" w:rsidTr="00A53E8C">
        <w:tc>
          <w:tcPr>
            <w:tcW w:w="2157" w:type="dxa"/>
            <w:tcBorders>
              <w:top w:val="nil"/>
              <w:left w:val="single" w:sz="4" w:space="0" w:color="auto"/>
              <w:bottom w:val="single" w:sz="2" w:space="0" w:color="auto"/>
              <w:right w:val="single" w:sz="4" w:space="0" w:color="auto"/>
            </w:tcBorders>
            <w:tcMar>
              <w:top w:w="0" w:type="dxa"/>
              <w:left w:w="86" w:type="dxa"/>
              <w:bottom w:w="43" w:type="dxa"/>
              <w:right w:w="86" w:type="dxa"/>
            </w:tcMar>
          </w:tcPr>
          <w:p w14:paraId="631EB4F6" w14:textId="77777777" w:rsidR="00B13359" w:rsidRPr="005D4222" w:rsidRDefault="00B13359" w:rsidP="00B13359">
            <w:pPr>
              <w:pStyle w:val="ECDSSubhead"/>
              <w:rPr>
                <w:szCs w:val="22"/>
              </w:rPr>
            </w:pPr>
            <w:r w:rsidRPr="005D4222">
              <w:rPr>
                <w:szCs w:val="22"/>
              </w:rPr>
              <w:t>Guidance</w:t>
            </w:r>
          </w:p>
        </w:tc>
        <w:tc>
          <w:tcPr>
            <w:tcW w:w="7560" w:type="dxa"/>
            <w:gridSpan w:val="3"/>
            <w:tcBorders>
              <w:top w:val="nil"/>
              <w:left w:val="single" w:sz="4" w:space="0" w:color="auto"/>
              <w:bottom w:val="single" w:sz="2" w:space="0" w:color="auto"/>
              <w:right w:val="single" w:sz="4" w:space="0" w:color="auto"/>
            </w:tcBorders>
            <w:tcMar>
              <w:top w:w="0" w:type="dxa"/>
              <w:left w:w="86" w:type="dxa"/>
              <w:bottom w:w="43" w:type="dxa"/>
              <w:right w:w="86" w:type="dxa"/>
            </w:tcMar>
          </w:tcPr>
          <w:p w14:paraId="2C1134E8" w14:textId="352C6FC6" w:rsidR="00B13359" w:rsidRPr="005D4222" w:rsidRDefault="00B13359" w:rsidP="00A53E8C">
            <w:pPr>
              <w:pStyle w:val="ECDSBody"/>
            </w:pPr>
            <w:r w:rsidRPr="005D4222">
              <w:rPr>
                <w:b/>
              </w:rPr>
              <w:t>Data collection methodology:</w:t>
            </w:r>
            <w:r w:rsidRPr="005D4222">
              <w:t xml:space="preserve"> ECDS. Refer to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2B278592" w14:textId="77777777" w:rsidR="00B13359" w:rsidRPr="005D4222" w:rsidRDefault="00B13359" w:rsidP="00A53E8C">
            <w:pPr>
              <w:pStyle w:val="ECDSBody"/>
            </w:pPr>
            <w:r w:rsidRPr="005D4222">
              <w:rPr>
                <w:b/>
              </w:rPr>
              <w:t>Date specificity:</w:t>
            </w:r>
            <w:r w:rsidRPr="005D4222">
              <w:t xml:space="preserve"> Dates must be specific enough to determine the event occurred in the period being measured.</w:t>
            </w:r>
          </w:p>
          <w:p w14:paraId="263BEAFD" w14:textId="77777777" w:rsidR="00B13359" w:rsidRPr="005D4222" w:rsidRDefault="00B13359" w:rsidP="00A53E8C">
            <w:pPr>
              <w:pStyle w:val="ECDSBody"/>
            </w:pPr>
            <w:r w:rsidRPr="005D4222">
              <w:rPr>
                <w:b/>
              </w:rPr>
              <w:t xml:space="preserve">Which services count? </w:t>
            </w:r>
            <w:r w:rsidRPr="005D4222">
              <w:t>When using claims, include all paid, suspended, pending and denied claims.</w:t>
            </w:r>
          </w:p>
          <w:p w14:paraId="63B2A12F" w14:textId="77777777" w:rsidR="00B13359" w:rsidRPr="005D4222" w:rsidRDefault="00B13359" w:rsidP="00A53E8C">
            <w:pPr>
              <w:pStyle w:val="ECDSBody"/>
            </w:pPr>
            <w:r w:rsidRPr="005D4222">
              <w:rPr>
                <w:b/>
              </w:rPr>
              <w:t>Medication lists:</w:t>
            </w:r>
            <w:r w:rsidRPr="005D4222">
              <w:t xml:space="preserve"> If an organization uses both pharmacy data (NDC codes) and clinical data (RxNorm codes) for reporting, and there are both NDC and RxNorm codes on the same date of service, use only one data source for the date of service. </w:t>
            </w:r>
          </w:p>
          <w:p w14:paraId="56DE6788" w14:textId="77777777" w:rsidR="00B13359" w:rsidRPr="005D4222" w:rsidRDefault="00B13359" w:rsidP="00A53E8C">
            <w:pPr>
              <w:pStyle w:val="ECDSBody"/>
              <w:rPr>
                <w:b/>
              </w:rPr>
            </w:pPr>
            <w:r w:rsidRPr="005D4222">
              <w:rPr>
                <w:b/>
              </w:rPr>
              <w:t xml:space="preserve">Other guidance: </w:t>
            </w:r>
            <w:r w:rsidRPr="005D4222">
              <w:t>All persons who are numerator compliant for Rate 1 must be used as the denominator for Rate 2.</w:t>
            </w:r>
          </w:p>
        </w:tc>
      </w:tr>
      <w:tr w:rsidR="00B13359" w:rsidRPr="005D4222" w14:paraId="683D7460" w14:textId="77777777" w:rsidTr="00A53E8C">
        <w:tc>
          <w:tcPr>
            <w:tcW w:w="9717" w:type="dxa"/>
            <w:gridSpan w:val="4"/>
            <w:tcBorders>
              <w:bottom w:val="single" w:sz="4" w:space="0" w:color="auto"/>
              <w:right w:val="single" w:sz="4" w:space="0" w:color="auto"/>
            </w:tcBorders>
            <w:shd w:val="clear" w:color="auto" w:fill="BFBFBF" w:themeFill="background1" w:themeFillShade="BF"/>
            <w:tcMar>
              <w:top w:w="0" w:type="dxa"/>
              <w:left w:w="86" w:type="dxa"/>
              <w:bottom w:w="43" w:type="dxa"/>
              <w:right w:w="86" w:type="dxa"/>
            </w:tcMar>
            <w:vAlign w:val="center"/>
          </w:tcPr>
          <w:p w14:paraId="26F03567" w14:textId="77777777" w:rsidR="00B13359" w:rsidRPr="005D4222" w:rsidRDefault="00B13359" w:rsidP="00A53E8C">
            <w:pPr>
              <w:pStyle w:val="ECDSMarginHead"/>
            </w:pPr>
            <w:r w:rsidRPr="005D4222">
              <w:t>Definitions</w:t>
            </w:r>
          </w:p>
        </w:tc>
      </w:tr>
      <w:tr w:rsidR="00B13359" w:rsidRPr="005D4222" w14:paraId="79C5A545" w14:textId="77777777" w:rsidTr="007B5FC3">
        <w:tc>
          <w:tcPr>
            <w:tcW w:w="2157" w:type="dxa"/>
            <w:tcBorders>
              <w:top w:val="single" w:sz="4" w:space="0" w:color="auto"/>
              <w:bottom w:val="nil"/>
            </w:tcBorders>
            <w:tcMar>
              <w:top w:w="0" w:type="dxa"/>
              <w:left w:w="86" w:type="dxa"/>
              <w:bottom w:w="43" w:type="dxa"/>
              <w:right w:w="86" w:type="dxa"/>
            </w:tcMar>
          </w:tcPr>
          <w:p w14:paraId="18A67D6A" w14:textId="77777777" w:rsidR="00B13359" w:rsidRPr="005D4222" w:rsidRDefault="00B13359" w:rsidP="00A53E8C">
            <w:pPr>
              <w:pStyle w:val="ECDSMarginSubhead"/>
            </w:pPr>
            <w:r w:rsidRPr="005D4222">
              <w:t>Calculating number of days covered for multiple prescriptions</w:t>
            </w:r>
          </w:p>
        </w:tc>
        <w:tc>
          <w:tcPr>
            <w:tcW w:w="7560"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tcPr>
          <w:p w14:paraId="46260C9F" w14:textId="77777777" w:rsidR="00B13359" w:rsidRPr="005D4222" w:rsidRDefault="00B13359" w:rsidP="00A53E8C">
            <w:pPr>
              <w:pStyle w:val="ECDSBody"/>
              <w:spacing w:after="0"/>
            </w:pPr>
            <w:r w:rsidRPr="005D4222">
              <w:t xml:space="preserve">If multiple prescriptions for </w:t>
            </w:r>
            <w:r w:rsidRPr="005D4222">
              <w:rPr>
                <w:i/>
                <w:iCs/>
              </w:rPr>
              <w:t>different medications are dispensed on the same day</w:t>
            </w:r>
            <w:r w:rsidRPr="005D4222">
              <w:t xml:space="preserve">, calculate the number of days covered by a statin medication (for the numerator) using the prescriptions with the longest days supply. </w:t>
            </w:r>
          </w:p>
          <w:p w14:paraId="3CBF03AF" w14:textId="77777777" w:rsidR="00B13359" w:rsidRPr="005D4222" w:rsidRDefault="00B13359" w:rsidP="00A53E8C">
            <w:pPr>
              <w:pStyle w:val="ECDSBody"/>
              <w:spacing w:after="0"/>
            </w:pPr>
            <w:r w:rsidRPr="005D4222">
              <w:t xml:space="preserve">For multiple </w:t>
            </w:r>
            <w:r w:rsidRPr="005D4222">
              <w:rPr>
                <w:i/>
              </w:rPr>
              <w:t>different prescriptions dispensed on different days with overlapping days supply</w:t>
            </w:r>
            <w:r w:rsidRPr="005D4222">
              <w:t xml:space="preserve">, count each day in the treatment period only once toward the numerator. </w:t>
            </w:r>
          </w:p>
          <w:p w14:paraId="06FD14D6" w14:textId="77777777" w:rsidR="00B13359" w:rsidRPr="005D4222" w:rsidRDefault="00B13359" w:rsidP="00A53E8C">
            <w:pPr>
              <w:pStyle w:val="ECDSBody"/>
              <w:spacing w:after="0"/>
            </w:pPr>
            <w:r w:rsidRPr="005D4222">
              <w:t xml:space="preserve">If multiple prescriptions for the </w:t>
            </w:r>
            <w:r w:rsidRPr="005D4222">
              <w:rPr>
                <w:i/>
                <w:iCs/>
              </w:rPr>
              <w:t>same medication are dispensed on the same day or on different days</w:t>
            </w:r>
            <w:r w:rsidRPr="005D4222">
              <w:t xml:space="preserve">, sum the days supply and use the total to calculate the number of days covered by a statin medication (for the numerator). For example, three prescriptions for the same medication are dispensed on the same day, each with a 30-days supply. </w:t>
            </w:r>
          </w:p>
          <w:p w14:paraId="36151B6D" w14:textId="077DF4F9" w:rsidR="00B13359" w:rsidRPr="005D4222" w:rsidRDefault="00B13359" w:rsidP="00A53E8C">
            <w:pPr>
              <w:pStyle w:val="ECDSBody"/>
              <w:spacing w:after="0"/>
            </w:pPr>
            <w:r w:rsidRPr="005D4222">
              <w:t xml:space="preserve">Sum the days supply for a total of 90 days covered by a statin. Subtract any days supply that extends beyond December 31 of the measurement </w:t>
            </w:r>
            <w:r w:rsidR="000E2437" w:rsidRPr="005D4222">
              <w:t>period</w:t>
            </w:r>
            <w:r w:rsidRPr="005D4222">
              <w:t xml:space="preserve">. </w:t>
            </w:r>
          </w:p>
          <w:p w14:paraId="62C9FB96" w14:textId="77777777" w:rsidR="00B13359" w:rsidRPr="005D4222" w:rsidRDefault="00B13359" w:rsidP="00A53E8C">
            <w:pPr>
              <w:pStyle w:val="ECDSBody"/>
              <w:spacing w:after="0"/>
            </w:pPr>
            <w:r w:rsidRPr="005D4222">
              <w:t xml:space="preserve">Use the medication lists to determine if drugs are the same or different. </w:t>
            </w:r>
            <w:r w:rsidRPr="005D4222">
              <w:rPr>
                <w:i/>
                <w:iCs/>
              </w:rPr>
              <w:t>Drugs in different medication lists are considered different drugs.</w:t>
            </w:r>
            <w:r w:rsidRPr="005D4222">
              <w:t xml:space="preserve"> For example, a dispensing event from the </w:t>
            </w:r>
            <w:r w:rsidRPr="005D4222">
              <w:rPr>
                <w:u w:val="single"/>
              </w:rPr>
              <w:t xml:space="preserve">Amlodipine Atorvastatin High Intensity Medications List </w:t>
            </w:r>
            <w:r w:rsidRPr="005D4222">
              <w:t xml:space="preserve">and a dispensing event from the </w:t>
            </w:r>
            <w:r w:rsidRPr="005D4222">
              <w:rPr>
                <w:u w:val="single"/>
              </w:rPr>
              <w:t>Amlodipine Atorvastatin Moderate Intensity Medications List</w:t>
            </w:r>
            <w:r w:rsidRPr="005D4222">
              <w:t xml:space="preserve"> are dispensing events for different medications. </w:t>
            </w:r>
          </w:p>
        </w:tc>
      </w:tr>
      <w:tr w:rsidR="00B13359" w:rsidRPr="005D4222" w14:paraId="16BEFFFD" w14:textId="77777777" w:rsidTr="007B5FC3">
        <w:tc>
          <w:tcPr>
            <w:tcW w:w="2157" w:type="dxa"/>
            <w:tcBorders>
              <w:top w:val="nil"/>
              <w:bottom w:val="nil"/>
            </w:tcBorders>
            <w:tcMar>
              <w:top w:w="0" w:type="dxa"/>
              <w:left w:w="86" w:type="dxa"/>
              <w:bottom w:w="43" w:type="dxa"/>
              <w:right w:w="86" w:type="dxa"/>
            </w:tcMar>
          </w:tcPr>
          <w:p w14:paraId="2E624AF8" w14:textId="77777777" w:rsidR="00B13359" w:rsidRPr="005D4222" w:rsidRDefault="00B13359" w:rsidP="00A53E8C">
            <w:pPr>
              <w:pStyle w:val="ECDSMarginSubhead"/>
            </w:pPr>
            <w:r w:rsidRPr="005D4222">
              <w:t>IPSD</w:t>
            </w:r>
          </w:p>
        </w:tc>
        <w:tc>
          <w:tcPr>
            <w:tcW w:w="7560" w:type="dxa"/>
            <w:gridSpan w:val="3"/>
            <w:tcBorders>
              <w:top w:val="nil"/>
              <w:left w:val="single" w:sz="4" w:space="0" w:color="auto"/>
              <w:bottom w:val="nil"/>
              <w:right w:val="single" w:sz="4" w:space="0" w:color="auto"/>
            </w:tcBorders>
            <w:tcMar>
              <w:top w:w="0" w:type="dxa"/>
              <w:left w:w="86" w:type="dxa"/>
              <w:bottom w:w="43" w:type="dxa"/>
              <w:right w:w="86" w:type="dxa"/>
            </w:tcMar>
            <w:vAlign w:val="center"/>
          </w:tcPr>
          <w:p w14:paraId="0BE2CC29" w14:textId="77777777" w:rsidR="00B13359" w:rsidRPr="005D4222" w:rsidRDefault="00B13359" w:rsidP="00A53E8C">
            <w:pPr>
              <w:pStyle w:val="ECDSBody"/>
              <w:spacing w:after="0"/>
            </w:pPr>
            <w:r w:rsidRPr="005D4222">
              <w:t>Index prescription start date. The earliest prescription dispensing date for any statin medication of at least moderate intensity</w:t>
            </w:r>
            <w:r w:rsidRPr="005D4222" w:rsidDel="00B81ABE">
              <w:t xml:space="preserve"> during the measurement period</w:t>
            </w:r>
            <w:r w:rsidRPr="005D4222">
              <w:t>.</w:t>
            </w:r>
          </w:p>
        </w:tc>
      </w:tr>
      <w:tr w:rsidR="00B13359" w:rsidRPr="005D4222" w14:paraId="5453C8E2" w14:textId="77777777" w:rsidTr="007B5FC3">
        <w:tc>
          <w:tcPr>
            <w:tcW w:w="2157" w:type="dxa"/>
            <w:tcBorders>
              <w:top w:val="nil"/>
              <w:bottom w:val="nil"/>
            </w:tcBorders>
            <w:tcMar>
              <w:top w:w="0" w:type="dxa"/>
              <w:left w:w="86" w:type="dxa"/>
              <w:bottom w:w="43" w:type="dxa"/>
              <w:right w:w="86" w:type="dxa"/>
            </w:tcMar>
          </w:tcPr>
          <w:p w14:paraId="386F3E24" w14:textId="77777777" w:rsidR="00B13359" w:rsidRPr="005D4222" w:rsidRDefault="00B13359" w:rsidP="00A53E8C">
            <w:pPr>
              <w:pStyle w:val="ECDSMarginSubhead"/>
            </w:pPr>
            <w:r w:rsidRPr="005D4222">
              <w:t>PDC</w:t>
            </w:r>
          </w:p>
        </w:tc>
        <w:tc>
          <w:tcPr>
            <w:tcW w:w="7560" w:type="dxa"/>
            <w:gridSpan w:val="3"/>
            <w:tcBorders>
              <w:top w:val="nil"/>
              <w:left w:val="single" w:sz="4" w:space="0" w:color="auto"/>
              <w:bottom w:val="nil"/>
              <w:right w:val="single" w:sz="4" w:space="0" w:color="auto"/>
            </w:tcBorders>
            <w:tcMar>
              <w:top w:w="0" w:type="dxa"/>
              <w:left w:w="86" w:type="dxa"/>
              <w:bottom w:w="43" w:type="dxa"/>
              <w:right w:w="86" w:type="dxa"/>
            </w:tcMar>
          </w:tcPr>
          <w:p w14:paraId="1EAFAB85" w14:textId="77777777" w:rsidR="00B13359" w:rsidRPr="005D4222" w:rsidRDefault="00B13359" w:rsidP="00A53E8C">
            <w:pPr>
              <w:pStyle w:val="ECDSBody"/>
              <w:spacing w:after="0"/>
            </w:pPr>
            <w:r w:rsidRPr="005D4222">
              <w:t>Proportion of days covered. The number of days the person is covered by at least one statin medication prescription of appropriate intensity, divided by the number of days in the treatment period.</w:t>
            </w:r>
          </w:p>
        </w:tc>
      </w:tr>
      <w:tr w:rsidR="00B13359" w:rsidRPr="005D4222" w14:paraId="39F16D77" w14:textId="77777777" w:rsidTr="007B5FC3">
        <w:tc>
          <w:tcPr>
            <w:tcW w:w="2157" w:type="dxa"/>
            <w:tcBorders>
              <w:top w:val="nil"/>
              <w:bottom w:val="single" w:sz="4" w:space="0" w:color="auto"/>
            </w:tcBorders>
            <w:tcMar>
              <w:top w:w="0" w:type="dxa"/>
              <w:left w:w="86" w:type="dxa"/>
              <w:bottom w:w="43" w:type="dxa"/>
              <w:right w:w="86" w:type="dxa"/>
            </w:tcMar>
          </w:tcPr>
          <w:p w14:paraId="2D4E6F74" w14:textId="77777777" w:rsidR="00B13359" w:rsidRPr="005D4222" w:rsidRDefault="00B13359" w:rsidP="00A53E8C">
            <w:pPr>
              <w:pStyle w:val="ECDSMarginSubhead"/>
            </w:pPr>
            <w:r w:rsidRPr="005D4222">
              <w:t>Treatment period</w:t>
            </w:r>
          </w:p>
        </w:tc>
        <w:tc>
          <w:tcPr>
            <w:tcW w:w="7560"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35167774" w14:textId="77777777" w:rsidR="00B13359" w:rsidRPr="005D4222" w:rsidRDefault="00B13359" w:rsidP="00A53E8C">
            <w:pPr>
              <w:pStyle w:val="ECDSBody"/>
            </w:pPr>
            <w:r w:rsidRPr="005D4222">
              <w:t xml:space="preserve">The period </w:t>
            </w:r>
            <w:r w:rsidRPr="005D4222" w:rsidDel="00B81ABE">
              <w:t xml:space="preserve">of time </w:t>
            </w:r>
            <w:r w:rsidRPr="005D4222">
              <w:t>beginning on the IPSD through the last day of the measurement period.</w:t>
            </w:r>
          </w:p>
        </w:tc>
      </w:tr>
      <w:tr w:rsidR="00B13359" w:rsidRPr="005D4222" w14:paraId="055AC839" w14:textId="77777777" w:rsidTr="00A53E8C">
        <w:tc>
          <w:tcPr>
            <w:tcW w:w="2157" w:type="dxa"/>
            <w:shd w:val="clear" w:color="auto" w:fill="BFBFBF" w:themeFill="background1" w:themeFillShade="BF"/>
            <w:tcMar>
              <w:top w:w="0" w:type="dxa"/>
              <w:left w:w="86" w:type="dxa"/>
              <w:bottom w:w="43" w:type="dxa"/>
              <w:right w:w="86" w:type="dxa"/>
            </w:tcMar>
          </w:tcPr>
          <w:p w14:paraId="7E013D47" w14:textId="77777777" w:rsidR="00B13359" w:rsidRPr="005D4222" w:rsidRDefault="00B13359" w:rsidP="00A53E8C">
            <w:pPr>
              <w:pStyle w:val="ECDSMarginHead"/>
            </w:pPr>
            <w:r w:rsidRPr="005D4222">
              <w:lastRenderedPageBreak/>
              <w:t>Initial population</w:t>
            </w:r>
          </w:p>
        </w:tc>
        <w:tc>
          <w:tcPr>
            <w:tcW w:w="7560"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098BED6" w14:textId="77777777" w:rsidR="00B13359" w:rsidRPr="005D4222" w:rsidRDefault="00B13359" w:rsidP="00A53E8C">
            <w:pPr>
              <w:pStyle w:val="ECDSBody"/>
            </w:pPr>
            <w:r w:rsidRPr="005D4222">
              <w:rPr>
                <w:i/>
                <w:iCs/>
              </w:rPr>
              <w:t xml:space="preserve">Measure item count: </w:t>
            </w:r>
            <w:r w:rsidRPr="005D4222">
              <w:t>Person.</w:t>
            </w:r>
          </w:p>
          <w:p w14:paraId="4EDDDCE7" w14:textId="77777777" w:rsidR="00B13359" w:rsidRPr="005D4222" w:rsidRDefault="00B13359" w:rsidP="00A53E8C">
            <w:pPr>
              <w:pStyle w:val="ECDSBody"/>
            </w:pPr>
            <w:r w:rsidRPr="005D4222">
              <w:rPr>
                <w:i/>
                <w:iCs/>
              </w:rPr>
              <w:t>Attribution basis:</w:t>
            </w:r>
            <w:r w:rsidRPr="005D4222">
              <w:t xml:space="preserve"> Enrollment.</w:t>
            </w:r>
          </w:p>
          <w:p w14:paraId="3070567F" w14:textId="77777777" w:rsidR="00B13359" w:rsidRPr="005D4222" w:rsidRDefault="00B13359" w:rsidP="00CE6879">
            <w:pPr>
              <w:pStyle w:val="Bullet"/>
              <w:numPr>
                <w:ilvl w:val="0"/>
                <w:numId w:val="4"/>
              </w:numPr>
              <w:tabs>
                <w:tab w:val="left" w:pos="360"/>
                <w:tab w:val="left" w:pos="576"/>
              </w:tabs>
              <w:ind w:left="576" w:hanging="216"/>
            </w:pPr>
            <w:r w:rsidRPr="005D4222">
              <w:rPr>
                <w:i/>
                <w:iCs/>
              </w:rPr>
              <w:t>Benefits:</w:t>
            </w:r>
            <w:r w:rsidRPr="005D4222">
              <w:t xml:space="preserve"> Medical. Pharmacy during the measurement period.</w:t>
            </w:r>
          </w:p>
          <w:p w14:paraId="60B3120A" w14:textId="77777777" w:rsidR="00B13359" w:rsidRPr="005D4222" w:rsidRDefault="00B13359" w:rsidP="00CE6879">
            <w:pPr>
              <w:pStyle w:val="Bullet"/>
              <w:numPr>
                <w:ilvl w:val="0"/>
                <w:numId w:val="4"/>
              </w:numPr>
              <w:tabs>
                <w:tab w:val="left" w:pos="360"/>
                <w:tab w:val="left" w:pos="576"/>
              </w:tabs>
              <w:ind w:left="576" w:hanging="216"/>
            </w:pPr>
            <w:r w:rsidRPr="005D4222">
              <w:rPr>
                <w:rFonts w:cs="Arial"/>
                <w:i/>
                <w:iCs/>
              </w:rPr>
              <w:t>Continuous enrollment:</w:t>
            </w:r>
            <w:r w:rsidRPr="005D4222">
              <w:rPr>
                <w:rFonts w:cs="Arial"/>
              </w:rPr>
              <w:t xml:space="preserve"> </w:t>
            </w:r>
            <w:r w:rsidRPr="005D4222">
              <w:t>The measurement period and the year prior to the measurement period.</w:t>
            </w:r>
          </w:p>
          <w:p w14:paraId="50C7E38C" w14:textId="77777777" w:rsidR="00B13359" w:rsidRPr="005D4222" w:rsidRDefault="00B13359" w:rsidP="00CE6879">
            <w:pPr>
              <w:pStyle w:val="Bullet"/>
              <w:numPr>
                <w:ilvl w:val="0"/>
                <w:numId w:val="4"/>
              </w:numPr>
              <w:tabs>
                <w:tab w:val="left" w:pos="360"/>
                <w:tab w:val="left" w:pos="576"/>
              </w:tabs>
              <w:ind w:left="576" w:hanging="216"/>
              <w:rPr>
                <w:rFonts w:cs="Arial"/>
                <w:i/>
                <w:iCs/>
              </w:rPr>
            </w:pPr>
            <w:r w:rsidRPr="005D4222">
              <w:rPr>
                <w:rFonts w:cs="Arial"/>
                <w:i/>
                <w:iCs/>
              </w:rPr>
              <w:t xml:space="preserve">Allowable gap: </w:t>
            </w:r>
            <w:r w:rsidRPr="005D4222">
              <w:t>No more than one gap of ≤45 days during each year of continuous enrollment. No gaps on the last day of the measurement period.</w:t>
            </w:r>
          </w:p>
          <w:p w14:paraId="1F714A80" w14:textId="77777777" w:rsidR="00B13359" w:rsidRPr="005D4222" w:rsidRDefault="00B13359" w:rsidP="00A53E8C">
            <w:pPr>
              <w:pStyle w:val="ECDSBody"/>
            </w:pPr>
            <w:r w:rsidRPr="005D4222">
              <w:rPr>
                <w:i/>
                <w:iCs/>
              </w:rPr>
              <w:t xml:space="preserve">Ages: </w:t>
            </w:r>
            <w:r w:rsidRPr="005D4222">
              <w:t>21–75 years of age as of the last day of the measurement period.</w:t>
            </w:r>
          </w:p>
          <w:p w14:paraId="5843E5C4" w14:textId="77777777" w:rsidR="00B13359" w:rsidRPr="005D4222" w:rsidRDefault="00B13359" w:rsidP="00A53E8C">
            <w:pPr>
              <w:pStyle w:val="ECDSBody"/>
            </w:pPr>
            <w:r w:rsidRPr="005D4222">
              <w:rPr>
                <w:i/>
                <w:iCs/>
              </w:rPr>
              <w:t xml:space="preserve">Event: </w:t>
            </w:r>
            <w:r w:rsidRPr="005D4222">
              <w:rPr>
                <w:b/>
              </w:rPr>
              <w:t>Persons with clinical atherosclerotic cardiovascular disease.</w:t>
            </w:r>
            <w:r w:rsidRPr="005D4222">
              <w:rPr>
                <w:b/>
              </w:rPr>
              <w:br/>
            </w:r>
            <w:r w:rsidRPr="005D4222">
              <w:t xml:space="preserve">To identify persons with ASCVD, persons must meet either of the following criteria:  </w:t>
            </w:r>
          </w:p>
          <w:p w14:paraId="3FD2852B" w14:textId="77777777" w:rsidR="00B13359" w:rsidRPr="005D4222" w:rsidRDefault="00B13359" w:rsidP="00B13359">
            <w:pPr>
              <w:pStyle w:val="ProcessBullet"/>
            </w:pPr>
            <w:r w:rsidRPr="005D4222">
              <w:t>Any of the following during the year prior to the measurement period meet criteria:</w:t>
            </w:r>
          </w:p>
          <w:p w14:paraId="0A4B8ADB" w14:textId="77777777" w:rsidR="00B13359" w:rsidRPr="005D4222" w:rsidRDefault="00B13359" w:rsidP="00B13359">
            <w:pPr>
              <w:pStyle w:val="ProcessDash"/>
            </w:pPr>
            <w:r w:rsidRPr="005D4222">
              <w:t>Discharged from an inpatient setting with an MI (</w:t>
            </w:r>
            <w:r w:rsidRPr="005D4222">
              <w:rPr>
                <w:u w:val="single"/>
              </w:rPr>
              <w:t>MI Value Set</w:t>
            </w:r>
            <w:r w:rsidRPr="005D4222">
              <w:t xml:space="preserve">; </w:t>
            </w:r>
            <w:r w:rsidRPr="005D4222">
              <w:rPr>
                <w:u w:val="single"/>
              </w:rPr>
              <w:t>Old Myocardial Infarction Value Set</w:t>
            </w:r>
            <w:r w:rsidRPr="005D4222">
              <w:t>) on the discharge claim. To identify discharges:</w:t>
            </w:r>
          </w:p>
          <w:p w14:paraId="0F1AAAEF" w14:textId="77777777" w:rsidR="00B13359" w:rsidRPr="005D4222" w:rsidRDefault="00B13359" w:rsidP="005D6173">
            <w:pPr>
              <w:pStyle w:val="ECDSBody"/>
              <w:numPr>
                <w:ilvl w:val="0"/>
                <w:numId w:val="158"/>
              </w:numPr>
              <w:tabs>
                <w:tab w:val="clear" w:pos="1368"/>
              </w:tabs>
              <w:spacing w:before="80"/>
              <w:ind w:left="720" w:hanging="288"/>
            </w:pPr>
            <w:r w:rsidRPr="005D4222">
              <w:t>Identify all acute and nonacute inpatient stays (</w:t>
            </w:r>
            <w:r w:rsidRPr="005D4222">
              <w:rPr>
                <w:u w:val="single"/>
              </w:rPr>
              <w:t>Inpatient Stay Value Set</w:t>
            </w:r>
            <w:r w:rsidRPr="005D4222">
              <w:t>).</w:t>
            </w:r>
          </w:p>
          <w:p w14:paraId="0D1C4F38" w14:textId="77777777" w:rsidR="00B13359" w:rsidRPr="005D4222" w:rsidRDefault="00B13359" w:rsidP="005D6173">
            <w:pPr>
              <w:pStyle w:val="ECDSBody"/>
              <w:numPr>
                <w:ilvl w:val="0"/>
                <w:numId w:val="158"/>
              </w:numPr>
              <w:tabs>
                <w:tab w:val="clear" w:pos="1368"/>
              </w:tabs>
              <w:spacing w:before="80"/>
              <w:ind w:left="720" w:hanging="288"/>
            </w:pPr>
            <w:r w:rsidRPr="005D4222">
              <w:t>Identify the discharge date for the stay.</w:t>
            </w:r>
          </w:p>
          <w:p w14:paraId="1217DA42" w14:textId="77777777" w:rsidR="00B13359" w:rsidRPr="005D4222" w:rsidRDefault="00B13359" w:rsidP="00B13359">
            <w:pPr>
              <w:pStyle w:val="ProcessDash"/>
              <w:rPr>
                <w:i/>
              </w:rPr>
            </w:pPr>
            <w:r w:rsidRPr="005D4222">
              <w:t>CABG (</w:t>
            </w:r>
            <w:r w:rsidRPr="005D4222">
              <w:rPr>
                <w:u w:val="single"/>
              </w:rPr>
              <w:t>CABG Value Set</w:t>
            </w:r>
            <w:r w:rsidRPr="005D4222">
              <w:t xml:space="preserve">) in any setting. </w:t>
            </w:r>
          </w:p>
          <w:p w14:paraId="381CD152" w14:textId="77777777" w:rsidR="00B13359" w:rsidRPr="005D4222" w:rsidRDefault="00B13359" w:rsidP="00B13359">
            <w:pPr>
              <w:pStyle w:val="ProcessDash"/>
            </w:pPr>
            <w:r w:rsidRPr="005D4222">
              <w:t>PCI (</w:t>
            </w:r>
            <w:r w:rsidRPr="005D4222">
              <w:rPr>
                <w:u w:val="single"/>
              </w:rPr>
              <w:t>PCI Value Set</w:t>
            </w:r>
            <w:r w:rsidRPr="005D4222">
              <w:t>) in any setting.</w:t>
            </w:r>
          </w:p>
          <w:p w14:paraId="44970B3C" w14:textId="77777777" w:rsidR="00B13359" w:rsidRPr="005D4222" w:rsidRDefault="00B13359" w:rsidP="00B13359">
            <w:pPr>
              <w:pStyle w:val="ProcessDash"/>
            </w:pPr>
            <w:r w:rsidRPr="005D4222">
              <w:t>Any other revascularization procedures (</w:t>
            </w:r>
            <w:r w:rsidRPr="005D4222">
              <w:rPr>
                <w:u w:val="single"/>
              </w:rPr>
              <w:t>Other Revascularization Value Set</w:t>
            </w:r>
            <w:r w:rsidRPr="005D4222">
              <w:t xml:space="preserve">) in any setting. </w:t>
            </w:r>
          </w:p>
          <w:p w14:paraId="7196CB78" w14:textId="77777777" w:rsidR="00B13359" w:rsidRPr="005D4222" w:rsidRDefault="00B13359" w:rsidP="00A53E8C">
            <w:pPr>
              <w:pStyle w:val="ProcessBullet"/>
            </w:pPr>
            <w:r w:rsidRPr="005D4222">
              <w:t>At least two diagnoses of ASCVD (</w:t>
            </w:r>
            <w:r w:rsidRPr="005D4222">
              <w:rPr>
                <w:u w:val="single"/>
              </w:rPr>
              <w:t>Atherosclerotic Cardiovascular Disease Value Set</w:t>
            </w:r>
            <w:r w:rsidRPr="005D4222">
              <w:t xml:space="preserve">*) on different dates of service during the measurement period or the year prior to the measurement period. </w:t>
            </w:r>
          </w:p>
          <w:p w14:paraId="4108B028" w14:textId="77777777" w:rsidR="00B13359" w:rsidRPr="005D4222" w:rsidRDefault="00B13359" w:rsidP="00A53E8C">
            <w:pPr>
              <w:pStyle w:val="ECDSBody"/>
            </w:pPr>
            <w:r w:rsidRPr="005D4222">
              <w:rPr>
                <w:b/>
                <w:bCs w:val="0"/>
              </w:rPr>
              <w:t>Coding Guidance</w:t>
            </w:r>
            <w:r w:rsidRPr="005D4222">
              <w:br/>
              <w:t>*Do not include laboratory claims (claims with POS code 81).</w:t>
            </w:r>
          </w:p>
        </w:tc>
      </w:tr>
      <w:tr w:rsidR="00B13359" w:rsidRPr="005D4222" w14:paraId="3C52B337" w14:textId="77777777" w:rsidTr="00A53E8C">
        <w:tc>
          <w:tcPr>
            <w:tcW w:w="2157" w:type="dxa"/>
            <w:shd w:val="clear" w:color="auto" w:fill="BFBFBF" w:themeFill="background1" w:themeFillShade="BF"/>
            <w:tcMar>
              <w:top w:w="0" w:type="dxa"/>
              <w:left w:w="86" w:type="dxa"/>
              <w:bottom w:w="43" w:type="dxa"/>
              <w:right w:w="86" w:type="dxa"/>
            </w:tcMar>
          </w:tcPr>
          <w:p w14:paraId="06BFF672" w14:textId="77777777" w:rsidR="00B13359" w:rsidRPr="005D4222" w:rsidRDefault="00B13359" w:rsidP="00A53E8C">
            <w:pPr>
              <w:pStyle w:val="ECDSMarginHead"/>
            </w:pPr>
            <w:r w:rsidRPr="005D4222">
              <w:t>Denominator exclusions</w:t>
            </w:r>
          </w:p>
        </w:tc>
        <w:tc>
          <w:tcPr>
            <w:tcW w:w="7560" w:type="dxa"/>
            <w:gridSpan w:val="3"/>
            <w:tcMar>
              <w:top w:w="0" w:type="dxa"/>
              <w:left w:w="86" w:type="dxa"/>
              <w:bottom w:w="43" w:type="dxa"/>
              <w:right w:w="86" w:type="dxa"/>
            </w:tcMar>
            <w:vAlign w:val="center"/>
          </w:tcPr>
          <w:p w14:paraId="0D5E2EB0" w14:textId="77777777" w:rsidR="00B13359" w:rsidRPr="005D4222" w:rsidRDefault="00B13359" w:rsidP="00A53E8C">
            <w:pPr>
              <w:pStyle w:val="ECDSBody"/>
              <w:rPr>
                <w:rFonts w:eastAsia="Arial,Arial,Arial,Arial,Arial,A"/>
              </w:rPr>
            </w:pPr>
            <w:r w:rsidRPr="005D4222">
              <w:rPr>
                <w:rFonts w:eastAsia="Arial,Arial,Arial,Arial,Arial,A"/>
                <w:b/>
              </w:rPr>
              <w:t>Persons with a date of death.</w:t>
            </w:r>
            <w:r w:rsidRPr="005D4222">
              <w:rPr>
                <w:rFonts w:eastAsia="Arial,Arial,Arial,Arial,Arial,A"/>
                <w:b/>
              </w:rPr>
              <w:br/>
            </w:r>
            <w:r w:rsidRPr="005D4222">
              <w:rPr>
                <w:rFonts w:eastAsia="Arial,Arial,Arial,Arial,Arial,A"/>
              </w:rPr>
              <w:t>Death in the measurement period, identified using data sources determined by the organization. Method and data sources are subject to review during the HEDIS audit. </w:t>
            </w:r>
          </w:p>
          <w:p w14:paraId="7131BD0C" w14:textId="77777777" w:rsidR="00B13359" w:rsidRPr="005D4222" w:rsidRDefault="00B13359" w:rsidP="00A53E8C">
            <w:pPr>
              <w:pStyle w:val="ECDSBody"/>
              <w:rPr>
                <w:rFonts w:eastAsia="Arial,Arial,Arial,Arial,Arial,A"/>
              </w:rPr>
            </w:pPr>
            <w:r w:rsidRPr="005D4222" w:rsidDel="002D4AA7">
              <w:rPr>
                <w:rFonts w:eastAsia="Arial,Arial,Arial,Arial,Arial,A"/>
                <w:b/>
              </w:rPr>
              <w:t xml:space="preserve">Persons </w:t>
            </w:r>
            <w:r w:rsidRPr="005D4222">
              <w:rPr>
                <w:rFonts w:eastAsia="Arial,Arial,Arial,Arial,Arial,A"/>
                <w:b/>
              </w:rPr>
              <w:t>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1C2E6E85" w14:textId="77777777" w:rsidR="00B13359" w:rsidRPr="005D4222" w:rsidRDefault="00B13359" w:rsidP="00A53E8C">
            <w:pPr>
              <w:pStyle w:val="ECDSBody"/>
              <w:rPr>
                <w:rFonts w:eastAsia="Arial,Arial,Arial,Arial,Arial,A"/>
                <w:b/>
                <w:bCs w:val="0"/>
              </w:rPr>
            </w:pPr>
            <w:r w:rsidRPr="005D4222">
              <w:rPr>
                <w:b/>
              </w:rPr>
              <w:t>Persons receiving palliative care.</w:t>
            </w:r>
            <w:r w:rsidRPr="005D4222">
              <w:rPr>
                <w:b/>
              </w:rPr>
              <w:br/>
            </w:r>
            <w:r w:rsidRPr="005D4222">
              <w:t>Persons receiving palliative care (</w:t>
            </w:r>
            <w:r w:rsidRPr="005D4222">
              <w:rPr>
                <w:u w:val="single"/>
              </w:rPr>
              <w:t>Palliative Care Assessment Value Set</w:t>
            </w:r>
            <w:r w:rsidRPr="005D4222">
              <w:t xml:space="preserve">; </w:t>
            </w:r>
            <w:r w:rsidRPr="005D4222">
              <w:rPr>
                <w:u w:val="single"/>
              </w:rPr>
              <w:t>Palliative Care Encounter Value Set</w:t>
            </w:r>
            <w:r w:rsidRPr="005D4222">
              <w:t xml:space="preserve">; </w:t>
            </w:r>
            <w:r w:rsidRPr="005D4222">
              <w:rPr>
                <w:u w:val="single"/>
              </w:rPr>
              <w:t>Palliative Care Intervention Value Set</w:t>
            </w:r>
            <w:r w:rsidRPr="005D4222">
              <w:t>) or who had an encounter for palliative care (ICD-10-CM code Z51.5*) any time during the measurement period.</w:t>
            </w:r>
          </w:p>
        </w:tc>
      </w:tr>
    </w:tbl>
    <w:p w14:paraId="0CDEFE3F" w14:textId="77777777" w:rsidR="00B13359" w:rsidRPr="005D4222" w:rsidRDefault="00B13359" w:rsidP="00B13359">
      <w:pPr>
        <w:spacing w:after="160" w:line="259" w:lineRule="auto"/>
      </w:pPr>
      <w:r w:rsidRPr="005D4222">
        <w:br w:type="page"/>
      </w:r>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60"/>
      </w:tblGrid>
      <w:tr w:rsidR="00B13359" w:rsidRPr="005D4222" w14:paraId="6BAFF080" w14:textId="77777777" w:rsidTr="00A53E8C">
        <w:tc>
          <w:tcPr>
            <w:tcW w:w="2157" w:type="dxa"/>
            <w:shd w:val="clear" w:color="auto" w:fill="BFBFBF" w:themeFill="background1" w:themeFillShade="BF"/>
            <w:tcMar>
              <w:top w:w="0" w:type="dxa"/>
              <w:left w:w="86" w:type="dxa"/>
              <w:bottom w:w="43" w:type="dxa"/>
              <w:right w:w="86" w:type="dxa"/>
            </w:tcMar>
          </w:tcPr>
          <w:p w14:paraId="61CC74C7" w14:textId="77777777" w:rsidR="00B13359" w:rsidRPr="005D4222" w:rsidRDefault="00B13359" w:rsidP="00A53E8C">
            <w:pPr>
              <w:pStyle w:val="ECDSMarginHead"/>
            </w:pPr>
          </w:p>
        </w:tc>
        <w:tc>
          <w:tcPr>
            <w:tcW w:w="7560" w:type="dxa"/>
            <w:tcMar>
              <w:top w:w="0" w:type="dxa"/>
              <w:left w:w="86" w:type="dxa"/>
              <w:bottom w:w="43" w:type="dxa"/>
              <w:right w:w="86" w:type="dxa"/>
            </w:tcMar>
            <w:vAlign w:val="center"/>
          </w:tcPr>
          <w:p w14:paraId="7BA8D17A" w14:textId="77777777" w:rsidR="00B13359" w:rsidRPr="005D4222" w:rsidRDefault="00B13359" w:rsidP="00A53E8C">
            <w:pPr>
              <w:pStyle w:val="ECDSBody"/>
            </w:pPr>
            <w:r w:rsidRPr="005D4222">
              <w:rPr>
                <w:b/>
              </w:rPr>
              <w:t>Persons 66 years of age or older by the last day of the measurement period,</w:t>
            </w:r>
            <w:r w:rsidRPr="005D4222">
              <w:t xml:space="preserve"> </w:t>
            </w:r>
            <w:r w:rsidRPr="005D4222">
              <w:rPr>
                <w:b/>
                <w:bCs w:val="0"/>
              </w:rPr>
              <w:t>with both frailty and advanced illness</w:t>
            </w:r>
            <w:r w:rsidRPr="005D4222">
              <w:t>.</w:t>
            </w:r>
          </w:p>
          <w:p w14:paraId="167937B3" w14:textId="77777777" w:rsidR="00B13359" w:rsidRPr="005D4222" w:rsidRDefault="00B13359" w:rsidP="00A53E8C">
            <w:pPr>
              <w:pStyle w:val="ECDSBody"/>
              <w:spacing w:before="80"/>
              <w:ind w:left="288" w:hanging="288"/>
              <w:rPr>
                <w:u w:val="single"/>
              </w:rPr>
            </w:pPr>
            <w:r w:rsidRPr="005D4222">
              <w:t>1.</w:t>
            </w:r>
            <w:r w:rsidRPr="005D4222">
              <w:tab/>
            </w:r>
            <w:r w:rsidRPr="005D4222">
              <w:rPr>
                <w:b/>
              </w:rPr>
              <w:t>Frailty.</w:t>
            </w:r>
            <w:r w:rsidRPr="005D4222">
              <w:t xml:space="preserve"> At least two indications of frailty (</w:t>
            </w:r>
            <w:r w:rsidRPr="005D4222">
              <w:rPr>
                <w:u w:val="single"/>
              </w:rPr>
              <w:t>Frailty Device Value Set</w:t>
            </w:r>
            <w:r w:rsidRPr="005D4222">
              <w:t xml:space="preserve">; </w:t>
            </w:r>
            <w:r w:rsidRPr="005D4222">
              <w:rPr>
                <w:u w:val="single"/>
              </w:rPr>
              <w:t>Frailty Diagnosis Value Set</w:t>
            </w:r>
            <w:r w:rsidRPr="005D4222">
              <w:t xml:space="preserve">*; </w:t>
            </w:r>
            <w:r w:rsidRPr="005D4222">
              <w:rPr>
                <w:u w:val="single"/>
              </w:rPr>
              <w:t>Frailty Encounter Value Set</w:t>
            </w:r>
            <w:r w:rsidRPr="005D4222">
              <w:t xml:space="preserve">; </w:t>
            </w:r>
            <w:r w:rsidRPr="005D4222">
              <w:rPr>
                <w:u w:val="single"/>
              </w:rPr>
              <w:t>Frailty Symptom Value Set</w:t>
            </w:r>
            <w:r w:rsidRPr="005D4222">
              <w:t>*) with different dates of service during the measurement period.</w:t>
            </w:r>
          </w:p>
          <w:p w14:paraId="435A839A" w14:textId="77777777" w:rsidR="00B13359" w:rsidRPr="005D4222" w:rsidRDefault="00B13359" w:rsidP="00B13359">
            <w:pPr>
              <w:pStyle w:val="ECDSBody"/>
              <w:spacing w:before="80" w:after="40"/>
              <w:ind w:left="288" w:hanging="288"/>
            </w:pPr>
            <w:r w:rsidRPr="005D4222">
              <w:t>2.</w:t>
            </w:r>
            <w:r w:rsidRPr="005D4222">
              <w:tab/>
            </w:r>
            <w:r w:rsidRPr="005D4222">
              <w:rPr>
                <w:b/>
              </w:rPr>
              <w:t>Advanced Illness.</w:t>
            </w:r>
            <w:r w:rsidRPr="005D4222">
              <w:t xml:space="preserve"> Either of the following during the measurement period or the year prior to the measurement period: </w:t>
            </w:r>
          </w:p>
          <w:p w14:paraId="02777FEB" w14:textId="77777777" w:rsidR="00B13359" w:rsidRPr="005D4222" w:rsidRDefault="00B13359" w:rsidP="00B13359">
            <w:pPr>
              <w:pStyle w:val="ProcessDash"/>
              <w:tabs>
                <w:tab w:val="clear" w:pos="432"/>
              </w:tabs>
              <w:spacing w:after="40"/>
              <w:ind w:left="504"/>
              <w:rPr>
                <w:rFonts w:cs="Arial"/>
              </w:rPr>
            </w:pPr>
            <w:r w:rsidRPr="005D4222">
              <w:t xml:space="preserve">Advanced illness </w:t>
            </w:r>
            <w:r w:rsidRPr="005D4222">
              <w:rPr>
                <w:rFonts w:cs="Arial"/>
              </w:rPr>
              <w:t>(</w:t>
            </w:r>
            <w:r w:rsidRPr="005D4222">
              <w:rPr>
                <w:rFonts w:cs="Arial"/>
                <w:u w:val="single"/>
              </w:rPr>
              <w:t>Advanced Illness Value Set</w:t>
            </w:r>
            <w:r w:rsidRPr="005D4222">
              <w:rPr>
                <w:rFonts w:cs="Arial"/>
              </w:rPr>
              <w:t>*) on at least two different dates of service.</w:t>
            </w:r>
          </w:p>
          <w:p w14:paraId="3D730D19" w14:textId="77777777" w:rsidR="00B13359" w:rsidRPr="005D4222" w:rsidRDefault="00B13359" w:rsidP="00B13359">
            <w:pPr>
              <w:pStyle w:val="ProcessDash"/>
              <w:tabs>
                <w:tab w:val="clear" w:pos="432"/>
              </w:tabs>
              <w:spacing w:after="40"/>
              <w:ind w:left="504"/>
            </w:pPr>
            <w:r w:rsidRPr="005D4222">
              <w:t>Dispensed dementia medication (</w:t>
            </w:r>
            <w:r w:rsidRPr="005D4222">
              <w:rPr>
                <w:u w:val="single"/>
              </w:rPr>
              <w:t>Dementia Medications List</w:t>
            </w:r>
            <w:r w:rsidRPr="005D4222">
              <w:t>).</w:t>
            </w:r>
          </w:p>
          <w:p w14:paraId="01CA50CE" w14:textId="77777777" w:rsidR="00B13359" w:rsidRPr="005D4222" w:rsidRDefault="00B13359" w:rsidP="00A53E8C">
            <w:pPr>
              <w:pStyle w:val="ECDSBody"/>
            </w:pPr>
            <w:r w:rsidRPr="005D4222">
              <w:rPr>
                <w:b/>
              </w:rPr>
              <w:t>In vitro fertilization, pregnancy, or a prescription of</w:t>
            </w:r>
            <w:r w:rsidRPr="005D4222">
              <w:t xml:space="preserve"> </w:t>
            </w:r>
            <w:r w:rsidRPr="005D4222">
              <w:rPr>
                <w:b/>
              </w:rPr>
              <w:t xml:space="preserve">clomiphene. </w:t>
            </w:r>
            <w:r w:rsidRPr="005D4222">
              <w:br/>
              <w:t>Persons who received in vitro fertilization (</w:t>
            </w:r>
            <w:r w:rsidRPr="005D4222">
              <w:rPr>
                <w:u w:val="single"/>
              </w:rPr>
              <w:t>IVF Value Set</w:t>
            </w:r>
            <w:r w:rsidRPr="005D4222">
              <w:t>), had a diagnosis of (</w:t>
            </w:r>
            <w:r w:rsidRPr="005D4222">
              <w:rPr>
                <w:u w:val="single"/>
              </w:rPr>
              <w:t>Pregnancy Value Set</w:t>
            </w:r>
            <w:r w:rsidRPr="005D4222">
              <w:t>*), or were dispensed at least one prescription for clomiphene (</w:t>
            </w:r>
            <w:r w:rsidRPr="005D4222">
              <w:rPr>
                <w:u w:val="single"/>
              </w:rPr>
              <w:t>Estrogen Agonists Medications List</w:t>
            </w:r>
            <w:r w:rsidRPr="005D4222">
              <w:t xml:space="preserve">) during the measurement period or the year prior to the measurement period. </w:t>
            </w:r>
          </w:p>
          <w:p w14:paraId="498A9559" w14:textId="77777777" w:rsidR="00B13359" w:rsidRPr="005D4222" w:rsidRDefault="00B13359" w:rsidP="00A53E8C">
            <w:pPr>
              <w:pStyle w:val="ECDSBody"/>
            </w:pPr>
            <w:r w:rsidRPr="005D4222">
              <w:rPr>
                <w:b/>
              </w:rPr>
              <w:t>ESRD, cirrhosis, or dialysis.</w:t>
            </w:r>
            <w:r w:rsidRPr="005D4222">
              <w:rPr>
                <w:b/>
              </w:rPr>
              <w:br/>
            </w:r>
            <w:r w:rsidRPr="005D4222">
              <w:t>Persons with a diagnosis of ESRD (</w:t>
            </w:r>
            <w:r w:rsidRPr="005D4222">
              <w:rPr>
                <w:u w:val="single"/>
              </w:rPr>
              <w:t>ESRD Diagnosis Value Set</w:t>
            </w:r>
            <w:r w:rsidRPr="005D4222">
              <w:t>*) or cirrhosis (</w:t>
            </w:r>
            <w:r w:rsidRPr="005D4222">
              <w:rPr>
                <w:u w:val="single"/>
              </w:rPr>
              <w:t>Cirrhosis Value Set</w:t>
            </w:r>
            <w:r w:rsidRPr="005D4222">
              <w:t>*), or who received dialysis (</w:t>
            </w:r>
            <w:r w:rsidRPr="005D4222">
              <w:rPr>
                <w:u w:val="single"/>
              </w:rPr>
              <w:t>Dialysis Procedure Value Set</w:t>
            </w:r>
            <w:r w:rsidRPr="005D4222">
              <w:t xml:space="preserve">) during the measurement period or the year prior to the measurement period. </w:t>
            </w:r>
          </w:p>
          <w:p w14:paraId="64905F1C" w14:textId="77777777" w:rsidR="00B13359" w:rsidRPr="005D4222" w:rsidRDefault="00B13359" w:rsidP="00A53E8C">
            <w:pPr>
              <w:pStyle w:val="ECDSBody"/>
            </w:pPr>
            <w:r w:rsidRPr="005D4222">
              <w:rPr>
                <w:b/>
              </w:rPr>
              <w:t>Myalgia, myositis, myopathy or rhabdomyolysis.</w:t>
            </w:r>
            <w:r w:rsidRPr="005D4222">
              <w:rPr>
                <w:b/>
              </w:rPr>
              <w:br/>
            </w:r>
            <w:r w:rsidRPr="005D4222">
              <w:t xml:space="preserve">Persons with </w:t>
            </w:r>
            <w:r w:rsidRPr="005D4222">
              <w:rPr>
                <w:bCs w:val="0"/>
              </w:rPr>
              <w:t>myalgia, myositis, myopathy or rhabdomyolysis</w:t>
            </w:r>
            <w:r w:rsidRPr="005D4222">
              <w:t xml:space="preserve"> (</w:t>
            </w:r>
            <w:r w:rsidRPr="005D4222">
              <w:rPr>
                <w:u w:val="single"/>
              </w:rPr>
              <w:t>Muscular Pain and Disease Value Set</w:t>
            </w:r>
            <w:r w:rsidRPr="005D4222">
              <w:t xml:space="preserve">*) during the measurement period. </w:t>
            </w:r>
          </w:p>
          <w:p w14:paraId="119D959C" w14:textId="77777777" w:rsidR="00B13359" w:rsidRPr="005D4222" w:rsidRDefault="00B13359" w:rsidP="00A53E8C">
            <w:pPr>
              <w:pStyle w:val="ECDSBody"/>
            </w:pPr>
            <w:r w:rsidRPr="005D4222">
              <w:rPr>
                <w:b/>
              </w:rPr>
              <w:t>Myalgia or rhabdomyolysis caused by a statin.</w:t>
            </w:r>
            <w:r w:rsidRPr="005D4222">
              <w:rPr>
                <w:b/>
              </w:rPr>
              <w:br/>
            </w:r>
            <w:r w:rsidRPr="005D4222">
              <w:t xml:space="preserve">Persons with </w:t>
            </w:r>
            <w:r w:rsidRPr="005D4222">
              <w:rPr>
                <w:bCs w:val="0"/>
              </w:rPr>
              <w:t>myalgia or rhabdomyolysis caused by a statin (</w:t>
            </w:r>
            <w:r w:rsidRPr="005D4222">
              <w:rPr>
                <w:u w:val="single"/>
              </w:rPr>
              <w:t>Muscular Reactions to Statins Value Set</w:t>
            </w:r>
            <w:r w:rsidRPr="005D4222">
              <w:t>) any time during the person’s history through the last day of the measurement period.</w:t>
            </w:r>
          </w:p>
          <w:p w14:paraId="65812C61" w14:textId="77777777" w:rsidR="00B13359" w:rsidRPr="005D4222" w:rsidRDefault="00B13359" w:rsidP="00B13359">
            <w:pPr>
              <w:pStyle w:val="Body"/>
              <w:spacing w:before="120"/>
              <w:rPr>
                <w:rFonts w:eastAsia="Arial,Arial,Arial,Arial,Arial,A" w:cs="Arial"/>
                <w:b/>
                <w:bCs/>
              </w:rPr>
            </w:pPr>
            <w:r w:rsidRPr="005D4222">
              <w:rPr>
                <w:rFonts w:eastAsia="Arial,Arial,Arial,Arial,Arial,A" w:cs="Arial"/>
                <w:b/>
                <w:bCs/>
              </w:rPr>
              <w:t>Coding Guidance</w:t>
            </w:r>
          </w:p>
          <w:p w14:paraId="2790739C" w14:textId="77777777" w:rsidR="00B13359" w:rsidRPr="005D4222" w:rsidRDefault="00B13359" w:rsidP="00A53E8C">
            <w:pPr>
              <w:pStyle w:val="ECDSBody"/>
              <w:spacing w:before="0"/>
              <w:rPr>
                <w:rFonts w:eastAsia="Arial,Arial,Arial,Arial,Arial,A"/>
                <w:b/>
              </w:rPr>
            </w:pPr>
            <w:r w:rsidRPr="005D4222">
              <w:rPr>
                <w:rFonts w:eastAsia="Arial,Arial,Arial,Arial,Arial,A"/>
                <w:b/>
              </w:rPr>
              <w:t>*</w:t>
            </w:r>
            <w:r w:rsidRPr="005D4222">
              <w:rPr>
                <w:rFonts w:eastAsia="Arial,Arial,Arial,Arial,Arial,A"/>
              </w:rPr>
              <w:t>Do not include laboratory claims (claims with POS code 81).</w:t>
            </w:r>
          </w:p>
        </w:tc>
      </w:tr>
      <w:tr w:rsidR="00B13359" w:rsidRPr="005D4222" w14:paraId="2328B0C7"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7AA4D9E" w14:textId="77777777" w:rsidR="00B13359" w:rsidRPr="005D4222" w:rsidRDefault="00B13359" w:rsidP="00A53E8C">
            <w:pPr>
              <w:pStyle w:val="ECDSMarginHead"/>
            </w:pPr>
            <w:r w:rsidRPr="005D4222">
              <w:t>Denominator</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3B708EA0" w14:textId="77777777" w:rsidR="00B13359" w:rsidRPr="005D4222" w:rsidRDefault="00B13359" w:rsidP="00A53E8C">
            <w:pPr>
              <w:pStyle w:val="ECDSBody"/>
              <w:rPr>
                <w:rFonts w:eastAsia="Arial,Arial,Arial,Arial,Arial,A"/>
              </w:rPr>
            </w:pPr>
            <w:r w:rsidRPr="005D4222">
              <w:rPr>
                <w:rFonts w:eastAsia="Arial,Arial,Arial,Arial,Arial,A"/>
                <w:b/>
                <w:bCs w:val="0"/>
              </w:rPr>
              <w:t>Denominator 1</w:t>
            </w:r>
            <w:r w:rsidRPr="005D4222">
              <w:rPr>
                <w:b/>
                <w:bCs w:val="0"/>
              </w:rPr>
              <w:t>: Received statin therapy.</w:t>
            </w:r>
            <w:r w:rsidRPr="005D4222">
              <w:rPr>
                <w:b/>
                <w:bCs w:val="0"/>
              </w:rPr>
              <w:br/>
            </w:r>
            <w:r w:rsidRPr="005D4222">
              <w:rPr>
                <w:rFonts w:eastAsia="Arial,Arial,Arial,Arial,Arial,A"/>
              </w:rPr>
              <w:t>Initial population minus denominator exclusions.</w:t>
            </w:r>
          </w:p>
          <w:p w14:paraId="681C5D00" w14:textId="77777777" w:rsidR="00B13359" w:rsidRPr="005D4222" w:rsidRDefault="00B13359" w:rsidP="00A53E8C">
            <w:pPr>
              <w:pStyle w:val="ECDSBody"/>
              <w:rPr>
                <w:rFonts w:eastAsia="Arial,Arial,Arial,Arial,Arial,A"/>
                <w:i/>
                <w:iCs/>
              </w:rPr>
            </w:pPr>
            <w:r w:rsidRPr="005D4222">
              <w:rPr>
                <w:rFonts w:eastAsia="Arial,Arial,Arial,Arial,Arial,A"/>
                <w:b/>
                <w:bCs w:val="0"/>
              </w:rPr>
              <w:t>Denominator 2</w:t>
            </w:r>
            <w:r w:rsidRPr="005D4222">
              <w:rPr>
                <w:b/>
                <w:bCs w:val="0"/>
              </w:rPr>
              <w:t>: Statin adherence 80%.</w:t>
            </w:r>
            <w:r w:rsidRPr="005D4222">
              <w:rPr>
                <w:b/>
                <w:bCs w:val="0"/>
              </w:rPr>
              <w:br/>
            </w:r>
            <w:r w:rsidRPr="005D4222">
              <w:rPr>
                <w:iCs/>
                <w:color w:val="000000"/>
                <w:szCs w:val="22"/>
              </w:rPr>
              <w:t>Persons</w:t>
            </w:r>
            <w:r w:rsidRPr="005D4222">
              <w:rPr>
                <w:i/>
                <w:color w:val="000000"/>
                <w:szCs w:val="22"/>
              </w:rPr>
              <w:t xml:space="preserve"> </w:t>
            </w:r>
            <w:r w:rsidRPr="005D4222">
              <w:t>who meet numerator 1 criteria.</w:t>
            </w:r>
          </w:p>
        </w:tc>
      </w:tr>
      <w:tr w:rsidR="00B13359" w:rsidRPr="005D4222" w14:paraId="4F849709" w14:textId="77777777" w:rsidTr="00A53E8C">
        <w:tc>
          <w:tcPr>
            <w:tcW w:w="2157" w:type="dxa"/>
            <w:tcBorders>
              <w:top w:val="single" w:sz="4" w:space="0" w:color="auto"/>
              <w:left w:val="single" w:sz="2"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6B128BB8" w14:textId="77777777" w:rsidR="00B13359" w:rsidRPr="005D4222" w:rsidRDefault="00B13359" w:rsidP="00A53E8C">
            <w:pPr>
              <w:pStyle w:val="ECDSMarginHead"/>
            </w:pPr>
            <w:r w:rsidRPr="005D4222">
              <w:t xml:space="preserve">Numerator </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41871259" w14:textId="2DC3073C" w:rsidR="00B13359" w:rsidRPr="005D4222" w:rsidRDefault="00B13359" w:rsidP="00B13359">
            <w:pPr>
              <w:pStyle w:val="Body"/>
              <w:spacing w:before="120"/>
            </w:pPr>
            <w:r w:rsidRPr="005D4222">
              <w:rPr>
                <w:b/>
                <w:bCs/>
              </w:rPr>
              <w:t xml:space="preserve">Numerator 1: Received </w:t>
            </w:r>
            <w:r w:rsidR="00C675F1" w:rsidRPr="005D4222">
              <w:rPr>
                <w:b/>
                <w:bCs/>
              </w:rPr>
              <w:t>s</w:t>
            </w:r>
            <w:r w:rsidRPr="005D4222">
              <w:rPr>
                <w:b/>
                <w:bCs/>
              </w:rPr>
              <w:t xml:space="preserve">tatin </w:t>
            </w:r>
            <w:r w:rsidR="00C675F1" w:rsidRPr="005D4222">
              <w:rPr>
                <w:b/>
                <w:bCs/>
              </w:rPr>
              <w:t>t</w:t>
            </w:r>
            <w:r w:rsidRPr="005D4222">
              <w:rPr>
                <w:b/>
                <w:bCs/>
              </w:rPr>
              <w:t>herapy</w:t>
            </w:r>
            <w:r w:rsidR="00C675F1" w:rsidRPr="005D4222">
              <w:rPr>
                <w:b/>
                <w:bCs/>
              </w:rPr>
              <w:t>.</w:t>
            </w:r>
            <w:r w:rsidRPr="005D4222">
              <w:rPr>
                <w:b/>
                <w:bCs/>
              </w:rPr>
              <w:br/>
            </w:r>
            <w:r w:rsidRPr="005D4222">
              <w:t>At least one dispensing event for a high-intensity or moderate-intensity statin medication (</w:t>
            </w:r>
            <w:r w:rsidRPr="005D4222">
              <w:rPr>
                <w:u w:val="single"/>
              </w:rPr>
              <w:t>High and Moderate Intensity Statin Medications List</w:t>
            </w:r>
            <w:r w:rsidRPr="005D4222">
              <w:t>) during the measurement period.</w:t>
            </w:r>
          </w:p>
          <w:p w14:paraId="75D7A796" w14:textId="77777777" w:rsidR="00B13359" w:rsidRPr="005D4222" w:rsidRDefault="00B13359" w:rsidP="00A53E8C">
            <w:pPr>
              <w:pStyle w:val="Heading3"/>
              <w:spacing w:before="120"/>
              <w:rPr>
                <w:i w:val="0"/>
                <w:szCs w:val="18"/>
              </w:rPr>
            </w:pPr>
            <w:r w:rsidRPr="005D4222">
              <w:rPr>
                <w:szCs w:val="18"/>
              </w:rPr>
              <w:t>High- and Moderate-Intensity Statin Medications</w:t>
            </w:r>
          </w:p>
          <w:tbl>
            <w:tblPr>
              <w:tblStyle w:val="TableGrid"/>
              <w:tblW w:w="4946" w:type="dxa"/>
              <w:tblLayout w:type="fixed"/>
              <w:tblLook w:val="04A0" w:firstRow="1" w:lastRow="0" w:firstColumn="1" w:lastColumn="0" w:noHBand="0" w:noVBand="1"/>
            </w:tblPr>
            <w:tblGrid>
              <w:gridCol w:w="4946"/>
            </w:tblGrid>
            <w:tr w:rsidR="00B13359" w:rsidRPr="005D4222" w14:paraId="0F45A0B0" w14:textId="77777777" w:rsidTr="00A53E8C">
              <w:trPr>
                <w:trHeight w:val="344"/>
                <w:tblHeader/>
              </w:trPr>
              <w:tc>
                <w:tcPr>
                  <w:tcW w:w="4946" w:type="dxa"/>
                  <w:tcBorders>
                    <w:left w:val="single" w:sz="4" w:space="0" w:color="auto"/>
                    <w:right w:val="single" w:sz="4" w:space="0" w:color="auto"/>
                  </w:tcBorders>
                  <w:shd w:val="clear" w:color="auto" w:fill="000000" w:themeFill="text1"/>
                  <w:vAlign w:val="bottom"/>
                </w:tcPr>
                <w:p w14:paraId="6D451BBA" w14:textId="77777777" w:rsidR="00B13359" w:rsidRPr="005D4222" w:rsidRDefault="00B13359" w:rsidP="00A53E8C">
                  <w:pPr>
                    <w:pStyle w:val="TableHead"/>
                    <w:rPr>
                      <w:rFonts w:eastAsia="Arial Narrow,Times New Roman"/>
                      <w:color w:val="auto"/>
                    </w:rPr>
                  </w:pPr>
                  <w:r w:rsidRPr="005D4222">
                    <w:rPr>
                      <w:rFonts w:eastAsia="Arial Narrow,Times New Roman"/>
                      <w:color w:val="auto"/>
                    </w:rPr>
                    <w:t xml:space="preserve">Medication Lists </w:t>
                  </w:r>
                </w:p>
              </w:tc>
            </w:tr>
            <w:tr w:rsidR="00B13359" w:rsidRPr="005D4222" w14:paraId="0D9A10C4" w14:textId="77777777" w:rsidTr="00A53E8C">
              <w:trPr>
                <w:trHeight w:val="344"/>
              </w:trPr>
              <w:tc>
                <w:tcPr>
                  <w:tcW w:w="4946" w:type="dxa"/>
                </w:tcPr>
                <w:p w14:paraId="7D324BFC" w14:textId="77777777" w:rsidR="00B13359" w:rsidRPr="005D4222" w:rsidRDefault="00B13359" w:rsidP="00A53E8C">
                  <w:pPr>
                    <w:pStyle w:val="TableText"/>
                    <w:rPr>
                      <w:szCs w:val="21"/>
                      <w:u w:val="single"/>
                    </w:rPr>
                  </w:pPr>
                  <w:r w:rsidRPr="005D4222">
                    <w:rPr>
                      <w:szCs w:val="21"/>
                      <w:u w:val="single"/>
                    </w:rPr>
                    <w:t>Atorvastatin High Intensity Medications</w:t>
                  </w:r>
                  <w:r w:rsidRPr="005D4222">
                    <w:rPr>
                      <w:u w:val="single"/>
                    </w:rPr>
                    <w:t xml:space="preserve"> List</w:t>
                  </w:r>
                </w:p>
              </w:tc>
            </w:tr>
            <w:tr w:rsidR="00B13359" w:rsidRPr="005D4222" w14:paraId="127D8EEC" w14:textId="77777777" w:rsidTr="00A53E8C">
              <w:trPr>
                <w:trHeight w:val="359"/>
              </w:trPr>
              <w:tc>
                <w:tcPr>
                  <w:tcW w:w="4946" w:type="dxa"/>
                </w:tcPr>
                <w:p w14:paraId="6A81D963" w14:textId="77777777" w:rsidR="00B13359" w:rsidRPr="005D4222" w:rsidRDefault="00B13359" w:rsidP="00A53E8C">
                  <w:pPr>
                    <w:pStyle w:val="TableText"/>
                    <w:rPr>
                      <w:szCs w:val="21"/>
                      <w:u w:val="single"/>
                    </w:rPr>
                  </w:pPr>
                  <w:r w:rsidRPr="005D4222">
                    <w:rPr>
                      <w:szCs w:val="21"/>
                      <w:u w:val="single"/>
                    </w:rPr>
                    <w:t>Amlodipine Atorvastatin High Intensity Medications</w:t>
                  </w:r>
                  <w:r w:rsidRPr="005D4222">
                    <w:rPr>
                      <w:u w:val="single"/>
                    </w:rPr>
                    <w:t xml:space="preserve"> List</w:t>
                  </w:r>
                </w:p>
              </w:tc>
            </w:tr>
            <w:tr w:rsidR="00B13359" w:rsidRPr="005D4222" w14:paraId="4841BFDB" w14:textId="77777777" w:rsidTr="00A53E8C">
              <w:trPr>
                <w:trHeight w:val="344"/>
              </w:trPr>
              <w:tc>
                <w:tcPr>
                  <w:tcW w:w="4946" w:type="dxa"/>
                </w:tcPr>
                <w:p w14:paraId="75E0B30C" w14:textId="77777777" w:rsidR="00B13359" w:rsidRPr="005D4222" w:rsidRDefault="00B13359" w:rsidP="00A53E8C">
                  <w:pPr>
                    <w:pStyle w:val="TableText"/>
                    <w:rPr>
                      <w:szCs w:val="21"/>
                      <w:u w:val="single"/>
                    </w:rPr>
                  </w:pPr>
                  <w:r w:rsidRPr="005D4222">
                    <w:rPr>
                      <w:szCs w:val="21"/>
                      <w:u w:val="single"/>
                    </w:rPr>
                    <w:t>Rosuvastatin High Intensity Medications</w:t>
                  </w:r>
                  <w:r w:rsidRPr="005D4222">
                    <w:rPr>
                      <w:u w:val="single"/>
                    </w:rPr>
                    <w:t xml:space="preserve"> List</w:t>
                  </w:r>
                </w:p>
              </w:tc>
            </w:tr>
            <w:tr w:rsidR="00B13359" w:rsidRPr="005D4222" w14:paraId="08CE2FB2" w14:textId="77777777" w:rsidTr="00A53E8C">
              <w:trPr>
                <w:trHeight w:val="357"/>
              </w:trPr>
              <w:tc>
                <w:tcPr>
                  <w:tcW w:w="4946" w:type="dxa"/>
                  <w:tcBorders>
                    <w:bottom w:val="single" w:sz="4" w:space="0" w:color="auto"/>
                  </w:tcBorders>
                </w:tcPr>
                <w:p w14:paraId="1D6A0F00" w14:textId="77777777" w:rsidR="00B13359" w:rsidRPr="005D4222" w:rsidRDefault="00B13359" w:rsidP="00A53E8C">
                  <w:pPr>
                    <w:pStyle w:val="TableText"/>
                    <w:rPr>
                      <w:szCs w:val="21"/>
                      <w:u w:val="single"/>
                    </w:rPr>
                  </w:pPr>
                  <w:r w:rsidRPr="005D4222">
                    <w:rPr>
                      <w:szCs w:val="21"/>
                      <w:u w:val="single"/>
                    </w:rPr>
                    <w:t>Simvastatin High Intensity Medications</w:t>
                  </w:r>
                  <w:r w:rsidRPr="005D4222">
                    <w:rPr>
                      <w:u w:val="single"/>
                    </w:rPr>
                    <w:t xml:space="preserve"> List</w:t>
                  </w:r>
                </w:p>
              </w:tc>
            </w:tr>
          </w:tbl>
          <w:p w14:paraId="233BFDCE" w14:textId="74E9CB22" w:rsidR="00B13359" w:rsidRPr="005D4222" w:rsidRDefault="00B13359" w:rsidP="00A53E8C">
            <w:pPr>
              <w:pStyle w:val="ECDSBody"/>
            </w:pPr>
          </w:p>
        </w:tc>
      </w:tr>
    </w:tbl>
    <w:p w14:paraId="59992E56" w14:textId="77777777" w:rsidR="00B13359" w:rsidRPr="005D4222" w:rsidRDefault="00B13359"/>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60"/>
      </w:tblGrid>
      <w:tr w:rsidR="00B13359" w:rsidRPr="005D4222" w14:paraId="47D0E08B" w14:textId="77777777" w:rsidTr="00A53E8C">
        <w:tc>
          <w:tcPr>
            <w:tcW w:w="2157" w:type="dxa"/>
            <w:tcBorders>
              <w:top w:val="single" w:sz="4" w:space="0" w:color="auto"/>
              <w:left w:val="single" w:sz="2"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3A264FCB" w14:textId="77777777" w:rsidR="00B13359" w:rsidRPr="005D4222" w:rsidRDefault="00B13359" w:rsidP="00A53E8C">
            <w:pPr>
              <w:pStyle w:val="ECDSMarginHead"/>
            </w:pP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4822D0CF" w14:textId="77777777" w:rsidR="00B13359" w:rsidRPr="005D4222" w:rsidRDefault="00B13359" w:rsidP="00B13359">
            <w:pPr>
              <w:rPr>
                <w:sz w:val="10"/>
                <w:szCs w:val="10"/>
              </w:rPr>
            </w:pPr>
          </w:p>
          <w:tbl>
            <w:tblPr>
              <w:tblStyle w:val="TableGrid"/>
              <w:tblW w:w="4949" w:type="dxa"/>
              <w:tblLayout w:type="fixed"/>
              <w:tblLook w:val="04A0" w:firstRow="1" w:lastRow="0" w:firstColumn="1" w:lastColumn="0" w:noHBand="0" w:noVBand="1"/>
            </w:tblPr>
            <w:tblGrid>
              <w:gridCol w:w="4949"/>
            </w:tblGrid>
            <w:tr w:rsidR="00B13359" w:rsidRPr="005D4222" w14:paraId="06874715" w14:textId="77777777" w:rsidTr="00A53E8C">
              <w:trPr>
                <w:trHeight w:val="344"/>
                <w:tblHeader/>
              </w:trPr>
              <w:tc>
                <w:tcPr>
                  <w:tcW w:w="4946" w:type="dxa"/>
                  <w:tcBorders>
                    <w:left w:val="single" w:sz="4" w:space="0" w:color="auto"/>
                    <w:right w:val="single" w:sz="4" w:space="0" w:color="auto"/>
                  </w:tcBorders>
                  <w:shd w:val="clear" w:color="auto" w:fill="000000" w:themeFill="text1"/>
                  <w:vAlign w:val="bottom"/>
                </w:tcPr>
                <w:p w14:paraId="7AB17FF8" w14:textId="77777777" w:rsidR="00B13359" w:rsidRPr="005D4222" w:rsidRDefault="00B13359" w:rsidP="00B13359">
                  <w:pPr>
                    <w:pStyle w:val="TableHead"/>
                    <w:rPr>
                      <w:rFonts w:eastAsia="Arial Narrow,Times New Roman"/>
                      <w:color w:val="auto"/>
                    </w:rPr>
                  </w:pPr>
                  <w:r w:rsidRPr="005D4222">
                    <w:rPr>
                      <w:rFonts w:eastAsia="Arial Narrow,Times New Roman"/>
                      <w:color w:val="auto"/>
                    </w:rPr>
                    <w:t xml:space="preserve">Medication Lists </w:t>
                  </w:r>
                </w:p>
              </w:tc>
            </w:tr>
            <w:tr w:rsidR="00B13359" w:rsidRPr="005D4222" w14:paraId="4101049F" w14:textId="77777777" w:rsidTr="00A53E8C">
              <w:trPr>
                <w:trHeight w:val="440"/>
              </w:trPr>
              <w:tc>
                <w:tcPr>
                  <w:tcW w:w="4946" w:type="dxa"/>
                  <w:tcBorders>
                    <w:bottom w:val="single" w:sz="12" w:space="0" w:color="auto"/>
                  </w:tcBorders>
                </w:tcPr>
                <w:p w14:paraId="0EBE9905" w14:textId="77777777" w:rsidR="00B13359" w:rsidRPr="005D4222" w:rsidRDefault="00B13359" w:rsidP="00B13359">
                  <w:pPr>
                    <w:pStyle w:val="TableText"/>
                    <w:rPr>
                      <w:szCs w:val="21"/>
                      <w:u w:val="single"/>
                    </w:rPr>
                  </w:pPr>
                  <w:r w:rsidRPr="005D4222">
                    <w:rPr>
                      <w:szCs w:val="21"/>
                      <w:u w:val="single"/>
                    </w:rPr>
                    <w:t>Ezetimibe Simvastatin High Intensity Medications</w:t>
                  </w:r>
                  <w:r w:rsidRPr="005D4222">
                    <w:rPr>
                      <w:u w:val="single"/>
                    </w:rPr>
                    <w:t xml:space="preserve"> List</w:t>
                  </w:r>
                </w:p>
              </w:tc>
            </w:tr>
            <w:tr w:rsidR="00B13359" w:rsidRPr="005D4222" w14:paraId="2E3E2A1F" w14:textId="77777777" w:rsidTr="00A53E8C">
              <w:trPr>
                <w:trHeight w:val="348"/>
              </w:trPr>
              <w:tc>
                <w:tcPr>
                  <w:tcW w:w="4946" w:type="dxa"/>
                  <w:tcBorders>
                    <w:top w:val="single" w:sz="12" w:space="0" w:color="auto"/>
                  </w:tcBorders>
                </w:tcPr>
                <w:p w14:paraId="5F1B1D41" w14:textId="77777777" w:rsidR="00B13359" w:rsidRPr="005D4222" w:rsidRDefault="00B13359" w:rsidP="00B13359">
                  <w:pPr>
                    <w:pStyle w:val="TableText"/>
                    <w:rPr>
                      <w:szCs w:val="21"/>
                      <w:u w:val="single"/>
                    </w:rPr>
                  </w:pPr>
                  <w:r w:rsidRPr="005D4222">
                    <w:rPr>
                      <w:szCs w:val="21"/>
                      <w:u w:val="single"/>
                    </w:rPr>
                    <w:t>Atorvastatin Moderate Intensity Medications</w:t>
                  </w:r>
                  <w:r w:rsidRPr="005D4222">
                    <w:rPr>
                      <w:u w:val="single"/>
                    </w:rPr>
                    <w:t xml:space="preserve"> List</w:t>
                  </w:r>
                </w:p>
              </w:tc>
            </w:tr>
            <w:tr w:rsidR="00B13359" w:rsidRPr="005D4222" w14:paraId="0E9907DA" w14:textId="77777777" w:rsidTr="00A53E8C">
              <w:trPr>
                <w:trHeight w:val="449"/>
              </w:trPr>
              <w:tc>
                <w:tcPr>
                  <w:tcW w:w="4946" w:type="dxa"/>
                </w:tcPr>
                <w:p w14:paraId="21E2A322" w14:textId="77777777" w:rsidR="00B13359" w:rsidRPr="005D4222" w:rsidRDefault="00B13359" w:rsidP="00B13359">
                  <w:pPr>
                    <w:pStyle w:val="TableText"/>
                    <w:rPr>
                      <w:szCs w:val="21"/>
                      <w:u w:val="single"/>
                    </w:rPr>
                  </w:pPr>
                  <w:r w:rsidRPr="005D4222">
                    <w:rPr>
                      <w:szCs w:val="21"/>
                      <w:u w:val="single"/>
                    </w:rPr>
                    <w:t>Amlodipine Atorvastatin Moderate Intensity Medications</w:t>
                  </w:r>
                  <w:r w:rsidRPr="005D4222">
                    <w:rPr>
                      <w:u w:val="single"/>
                    </w:rPr>
                    <w:t xml:space="preserve"> List</w:t>
                  </w:r>
                </w:p>
              </w:tc>
            </w:tr>
            <w:tr w:rsidR="00B13359" w:rsidRPr="005D4222" w14:paraId="5FA80000" w14:textId="77777777" w:rsidTr="00A53E8C">
              <w:trPr>
                <w:trHeight w:val="341"/>
              </w:trPr>
              <w:tc>
                <w:tcPr>
                  <w:tcW w:w="4946" w:type="dxa"/>
                </w:tcPr>
                <w:p w14:paraId="1FCEE806" w14:textId="77777777" w:rsidR="00B13359" w:rsidRPr="005D4222" w:rsidRDefault="00B13359" w:rsidP="00B13359">
                  <w:pPr>
                    <w:pStyle w:val="TableText"/>
                    <w:rPr>
                      <w:szCs w:val="21"/>
                      <w:u w:val="single"/>
                    </w:rPr>
                  </w:pPr>
                  <w:r w:rsidRPr="005D4222">
                    <w:rPr>
                      <w:u w:val="single"/>
                    </w:rPr>
                    <w:t>Rosuvastatin Moderate Intensity Medications List</w:t>
                  </w:r>
                  <w:r w:rsidRPr="005D4222">
                    <w:rPr>
                      <w:szCs w:val="21"/>
                      <w:u w:val="single"/>
                    </w:rPr>
                    <w:t xml:space="preserve"> </w:t>
                  </w:r>
                </w:p>
              </w:tc>
            </w:tr>
            <w:tr w:rsidR="00B13359" w:rsidRPr="005D4222" w14:paraId="7BFB477F" w14:textId="77777777" w:rsidTr="00A53E8C">
              <w:trPr>
                <w:trHeight w:val="357"/>
              </w:trPr>
              <w:tc>
                <w:tcPr>
                  <w:tcW w:w="4946" w:type="dxa"/>
                </w:tcPr>
                <w:p w14:paraId="4B14E753" w14:textId="77777777" w:rsidR="00B13359" w:rsidRPr="005D4222" w:rsidRDefault="00B13359" w:rsidP="00B13359">
                  <w:pPr>
                    <w:pStyle w:val="TableText"/>
                    <w:rPr>
                      <w:szCs w:val="21"/>
                      <w:u w:val="single"/>
                    </w:rPr>
                  </w:pPr>
                  <w:r w:rsidRPr="005D4222">
                    <w:rPr>
                      <w:szCs w:val="21"/>
                      <w:u w:val="single"/>
                    </w:rPr>
                    <w:t>Simvastatin Moderate Intensity Medications</w:t>
                  </w:r>
                  <w:r w:rsidRPr="005D4222">
                    <w:rPr>
                      <w:u w:val="single"/>
                    </w:rPr>
                    <w:t xml:space="preserve"> List</w:t>
                  </w:r>
                </w:p>
              </w:tc>
            </w:tr>
            <w:tr w:rsidR="00B13359" w:rsidRPr="005D4222" w14:paraId="09A2D960" w14:textId="77777777" w:rsidTr="00A53E8C">
              <w:trPr>
                <w:trHeight w:val="377"/>
              </w:trPr>
              <w:tc>
                <w:tcPr>
                  <w:tcW w:w="4946" w:type="dxa"/>
                </w:tcPr>
                <w:p w14:paraId="71F2C600" w14:textId="77777777" w:rsidR="00B13359" w:rsidRPr="005D4222" w:rsidRDefault="00B13359" w:rsidP="00B13359">
                  <w:pPr>
                    <w:pStyle w:val="TableText"/>
                    <w:rPr>
                      <w:szCs w:val="21"/>
                      <w:u w:val="single"/>
                    </w:rPr>
                  </w:pPr>
                  <w:r w:rsidRPr="005D4222">
                    <w:rPr>
                      <w:szCs w:val="21"/>
                      <w:u w:val="single"/>
                    </w:rPr>
                    <w:t>Ezetimibe Simvastatin Moderate Intensity Medications</w:t>
                  </w:r>
                  <w:r w:rsidRPr="005D4222">
                    <w:rPr>
                      <w:u w:val="single"/>
                    </w:rPr>
                    <w:t xml:space="preserve"> List</w:t>
                  </w:r>
                </w:p>
              </w:tc>
            </w:tr>
            <w:tr w:rsidR="00B13359" w:rsidRPr="005D4222" w14:paraId="2CF5D9F8" w14:textId="77777777" w:rsidTr="00A53E8C">
              <w:trPr>
                <w:trHeight w:val="344"/>
              </w:trPr>
              <w:tc>
                <w:tcPr>
                  <w:tcW w:w="4946" w:type="dxa"/>
                </w:tcPr>
                <w:p w14:paraId="4779F697" w14:textId="77777777" w:rsidR="00B13359" w:rsidRPr="005D4222" w:rsidRDefault="00B13359" w:rsidP="00B13359">
                  <w:pPr>
                    <w:pStyle w:val="TableText"/>
                    <w:rPr>
                      <w:szCs w:val="21"/>
                      <w:u w:val="single"/>
                    </w:rPr>
                  </w:pPr>
                  <w:r w:rsidRPr="005D4222">
                    <w:rPr>
                      <w:szCs w:val="21"/>
                      <w:u w:val="single"/>
                    </w:rPr>
                    <w:t>Pravastatin Moderate Intensity Medications</w:t>
                  </w:r>
                  <w:r w:rsidRPr="005D4222">
                    <w:rPr>
                      <w:u w:val="single"/>
                    </w:rPr>
                    <w:t xml:space="preserve"> List</w:t>
                  </w:r>
                </w:p>
              </w:tc>
            </w:tr>
            <w:tr w:rsidR="00B13359" w:rsidRPr="005D4222" w14:paraId="1D5222C6" w14:textId="77777777" w:rsidTr="00A53E8C">
              <w:trPr>
                <w:trHeight w:val="357"/>
              </w:trPr>
              <w:tc>
                <w:tcPr>
                  <w:tcW w:w="4946" w:type="dxa"/>
                </w:tcPr>
                <w:p w14:paraId="6EB7D423" w14:textId="77777777" w:rsidR="00B13359" w:rsidRPr="005D4222" w:rsidRDefault="00B13359" w:rsidP="00B13359">
                  <w:pPr>
                    <w:pStyle w:val="TableText"/>
                    <w:rPr>
                      <w:szCs w:val="21"/>
                      <w:u w:val="single"/>
                    </w:rPr>
                  </w:pPr>
                  <w:r w:rsidRPr="005D4222">
                    <w:rPr>
                      <w:szCs w:val="21"/>
                      <w:u w:val="single"/>
                    </w:rPr>
                    <w:t>Lovastatin Moderate Intensity Medications</w:t>
                  </w:r>
                  <w:r w:rsidRPr="005D4222">
                    <w:rPr>
                      <w:u w:val="single"/>
                    </w:rPr>
                    <w:t xml:space="preserve"> List</w:t>
                  </w:r>
                </w:p>
              </w:tc>
            </w:tr>
            <w:tr w:rsidR="00B13359" w:rsidRPr="005D4222" w14:paraId="4F2DE308" w14:textId="77777777" w:rsidTr="00A53E8C">
              <w:trPr>
                <w:trHeight w:val="344"/>
              </w:trPr>
              <w:tc>
                <w:tcPr>
                  <w:tcW w:w="4946" w:type="dxa"/>
                </w:tcPr>
                <w:p w14:paraId="730CDAAC" w14:textId="77777777" w:rsidR="00B13359" w:rsidRPr="005D4222" w:rsidRDefault="00B13359" w:rsidP="00B13359">
                  <w:pPr>
                    <w:pStyle w:val="TableText"/>
                    <w:rPr>
                      <w:szCs w:val="21"/>
                      <w:u w:val="single"/>
                    </w:rPr>
                  </w:pPr>
                  <w:r w:rsidRPr="005D4222">
                    <w:rPr>
                      <w:szCs w:val="21"/>
                      <w:u w:val="single"/>
                    </w:rPr>
                    <w:t>Fluvastatin Moderate Intensity Medications</w:t>
                  </w:r>
                  <w:r w:rsidRPr="005D4222">
                    <w:rPr>
                      <w:u w:val="single"/>
                    </w:rPr>
                    <w:t xml:space="preserve"> List</w:t>
                  </w:r>
                </w:p>
              </w:tc>
            </w:tr>
            <w:tr w:rsidR="00B13359" w:rsidRPr="005D4222" w14:paraId="6F5EF466" w14:textId="77777777" w:rsidTr="00A53E8C">
              <w:trPr>
                <w:trHeight w:val="357"/>
              </w:trPr>
              <w:tc>
                <w:tcPr>
                  <w:tcW w:w="4946" w:type="dxa"/>
                </w:tcPr>
                <w:p w14:paraId="2E6B8F23" w14:textId="77777777" w:rsidR="00B13359" w:rsidRPr="005D4222" w:rsidRDefault="00B13359" w:rsidP="00B13359">
                  <w:pPr>
                    <w:pStyle w:val="TableText"/>
                    <w:rPr>
                      <w:szCs w:val="21"/>
                      <w:u w:val="single"/>
                    </w:rPr>
                  </w:pPr>
                  <w:r w:rsidRPr="005D4222">
                    <w:rPr>
                      <w:szCs w:val="21"/>
                      <w:u w:val="single"/>
                    </w:rPr>
                    <w:t>Pitavastatin Moderate Intensity Medications</w:t>
                  </w:r>
                  <w:r w:rsidRPr="005D4222">
                    <w:rPr>
                      <w:u w:val="single"/>
                    </w:rPr>
                    <w:t xml:space="preserve"> List</w:t>
                  </w:r>
                </w:p>
              </w:tc>
            </w:tr>
          </w:tbl>
          <w:p w14:paraId="28D2E039" w14:textId="77777777" w:rsidR="00B13359" w:rsidRPr="005D4222" w:rsidRDefault="00B13359" w:rsidP="00B13359">
            <w:pPr>
              <w:pStyle w:val="ECDSBody"/>
              <w:spacing w:before="240"/>
            </w:pPr>
            <w:r w:rsidRPr="005D4222">
              <w:rPr>
                <w:b/>
                <w:bCs w:val="0"/>
              </w:rPr>
              <w:t>Numerator 2: Statin adherence 80%.</w:t>
            </w:r>
            <w:r w:rsidRPr="005D4222">
              <w:rPr>
                <w:b/>
                <w:bCs w:val="0"/>
              </w:rPr>
              <w:br/>
            </w:r>
            <w:r w:rsidRPr="005D4222">
              <w:t>PDC of at least 80% during the treatment period.</w:t>
            </w:r>
          </w:p>
          <w:p w14:paraId="3CF0A53A" w14:textId="77777777" w:rsidR="00B13359" w:rsidRPr="005D4222" w:rsidRDefault="00B13359" w:rsidP="00B13359">
            <w:pPr>
              <w:pStyle w:val="ECDSBody"/>
            </w:pPr>
            <w:r w:rsidRPr="005D4222">
              <w:t>Follow the steps below to identify numerator compliance.</w:t>
            </w:r>
          </w:p>
          <w:p w14:paraId="76FF7696" w14:textId="77777777" w:rsidR="00B13359" w:rsidRPr="005D4222" w:rsidRDefault="00B13359" w:rsidP="00B13359">
            <w:pPr>
              <w:pStyle w:val="ECDSBody"/>
              <w:rPr>
                <w:color w:val="000000" w:themeColor="text1"/>
                <w:highlight w:val="yellow"/>
              </w:rPr>
            </w:pPr>
            <w:r w:rsidRPr="005D4222">
              <w:rPr>
                <w:b/>
              </w:rPr>
              <w:t>Step 1.</w:t>
            </w:r>
            <w:r w:rsidRPr="005D4222">
              <w:t xml:space="preserve"> Identify the IPSD</w:t>
            </w:r>
            <w:r w:rsidRPr="005D4222" w:rsidDel="005316DD">
              <w:t xml:space="preserve">. </w:t>
            </w:r>
            <w:r w:rsidRPr="005D4222">
              <w:t xml:space="preserve">Use the </w:t>
            </w:r>
            <w:r w:rsidRPr="005D4222">
              <w:rPr>
                <w:color w:val="000000" w:themeColor="text1"/>
              </w:rPr>
              <w:t xml:space="preserve">High- and Moderate-Intensity Statin Medications table </w:t>
            </w:r>
            <w:r w:rsidRPr="005D4222">
              <w:t>to identify statin medication dispensing events.</w:t>
            </w:r>
          </w:p>
          <w:p w14:paraId="41755480" w14:textId="12409861" w:rsidR="00B13359" w:rsidRPr="005D4222" w:rsidRDefault="00B13359" w:rsidP="00B13359">
            <w:pPr>
              <w:pStyle w:val="ECDSBody"/>
            </w:pPr>
            <w:r w:rsidRPr="005D4222">
              <w:rPr>
                <w:b/>
              </w:rPr>
              <w:t>Step 2.</w:t>
            </w:r>
            <w:r w:rsidRPr="005D4222">
              <w:t xml:space="preserve"> Determine the treatment period. Calculate the number of days beginning on the IPSD through the </w:t>
            </w:r>
            <w:r w:rsidR="00D80100" w:rsidRPr="005D4222">
              <w:t>last day</w:t>
            </w:r>
            <w:r w:rsidRPr="005D4222">
              <w:t xml:space="preserve"> of the measurement period.</w:t>
            </w:r>
          </w:p>
          <w:p w14:paraId="4D377DA7" w14:textId="77777777" w:rsidR="00B13359" w:rsidRPr="005D4222" w:rsidRDefault="00B13359" w:rsidP="00B13359">
            <w:pPr>
              <w:pStyle w:val="ECDSBody"/>
            </w:pPr>
            <w:r w:rsidRPr="005D4222">
              <w:rPr>
                <w:b/>
              </w:rPr>
              <w:t>Step 3.</w:t>
            </w:r>
            <w:r w:rsidRPr="005D4222">
              <w:t xml:space="preserve"> Count the days covered by at least one prescription for any high-intensity or moderate-intensity statin medication during the treatment period. Subtract any days supply that extends beyond December 31 of the measurement period to ensure that it is not counted.</w:t>
            </w:r>
          </w:p>
          <w:p w14:paraId="64DC50A0" w14:textId="77777777" w:rsidR="00B13359" w:rsidRPr="005D4222" w:rsidRDefault="00B13359" w:rsidP="00B13359">
            <w:pPr>
              <w:pStyle w:val="ECDSBody"/>
            </w:pPr>
            <w:r w:rsidRPr="005D4222">
              <w:rPr>
                <w:b/>
              </w:rPr>
              <w:t>Step 4.</w:t>
            </w:r>
            <w:r w:rsidRPr="005D4222">
              <w:t xml:space="preserve"> Calculate the person’s PDC using the following equation. Multiply the equation by 100 and round (using the .5 rule) to the nearest whole number.</w:t>
            </w:r>
          </w:p>
          <w:p w14:paraId="730DE59C" w14:textId="77777777" w:rsidR="00B13359" w:rsidRPr="005D4222" w:rsidRDefault="00B13359" w:rsidP="00B13359">
            <w:pPr>
              <w:pStyle w:val="Body"/>
              <w:jc w:val="center"/>
              <w:rPr>
                <w:u w:val="single"/>
              </w:rPr>
            </w:pPr>
            <w:r w:rsidRPr="005D4222">
              <w:rPr>
                <w:u w:val="single"/>
              </w:rPr>
              <w:t>Total Days Covered by a Statin Medication in the Treatment Period (step 3)</w:t>
            </w:r>
          </w:p>
          <w:p w14:paraId="772E898E" w14:textId="77777777" w:rsidR="00B13359" w:rsidRPr="005D4222" w:rsidRDefault="00B13359" w:rsidP="00B13359">
            <w:pPr>
              <w:pStyle w:val="Body"/>
              <w:spacing w:before="80"/>
              <w:jc w:val="center"/>
            </w:pPr>
            <w:r w:rsidRPr="005D4222">
              <w:t>Total Days in Treatment Period (step 2)</w:t>
            </w:r>
          </w:p>
          <w:p w14:paraId="4F5FFE67" w14:textId="77777777" w:rsidR="00B13359" w:rsidRPr="005D4222" w:rsidRDefault="00B13359" w:rsidP="00B13359">
            <w:pPr>
              <w:pStyle w:val="Bullet"/>
              <w:numPr>
                <w:ilvl w:val="0"/>
                <w:numId w:val="4"/>
              </w:numPr>
              <w:tabs>
                <w:tab w:val="left" w:pos="360"/>
                <w:tab w:val="left" w:pos="576"/>
              </w:tabs>
              <w:ind w:left="576" w:hanging="216"/>
            </w:pPr>
            <w:r w:rsidRPr="005D4222">
              <w:rPr>
                <w:i/>
                <w:iCs/>
              </w:rPr>
              <w:t xml:space="preserve">For example, </w:t>
            </w:r>
            <w:r w:rsidRPr="005D4222">
              <w:t>if a person has 291 total days covered by a medication during a 365-day treatment period, this calculates to 0.7972. Multiply this number by 100, convert it to 79.72% and round it to 80%, the nearest whole number.</w:t>
            </w:r>
          </w:p>
          <w:p w14:paraId="6ACFFAAE" w14:textId="30AF8BF6" w:rsidR="00B13359" w:rsidRPr="005D4222" w:rsidRDefault="00B13359" w:rsidP="00B13359">
            <w:pPr>
              <w:pStyle w:val="Body"/>
              <w:spacing w:before="120" w:after="80"/>
              <w:rPr>
                <w:b/>
                <w:bCs/>
              </w:rPr>
            </w:pPr>
            <w:r w:rsidRPr="005D4222">
              <w:rPr>
                <w:b/>
              </w:rPr>
              <w:t xml:space="preserve">Step 5. </w:t>
            </w:r>
            <w:r w:rsidRPr="005D4222">
              <w:t>Sum the number of persons whose PDC is ≥80% for the treatment period.</w:t>
            </w:r>
          </w:p>
        </w:tc>
      </w:tr>
      <w:tr w:rsidR="00B13359" w:rsidRPr="005D4222" w14:paraId="172392A5"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CA30DE3" w14:textId="77777777" w:rsidR="00B13359" w:rsidRPr="005D4222" w:rsidRDefault="00B13359" w:rsidP="00A53E8C">
            <w:pPr>
              <w:pStyle w:val="ECDSMarginHead"/>
            </w:pPr>
            <w:r w:rsidRPr="005D4222">
              <w:t>Summary of changes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6587A3C" w14:textId="77777777" w:rsidR="00B13359" w:rsidRPr="005D4222" w:rsidRDefault="00B13359" w:rsidP="00A53E8C">
            <w:pPr>
              <w:pStyle w:val="ProcessBullet"/>
              <w:spacing w:before="120"/>
            </w:pPr>
            <w:r w:rsidRPr="005D4222">
              <w:t xml:space="preserve">This is the first year the measure is reported using ECDS. </w:t>
            </w:r>
          </w:p>
          <w:p w14:paraId="0B560F31" w14:textId="77777777" w:rsidR="00B13359" w:rsidRPr="005D4222" w:rsidRDefault="00B13359" w:rsidP="00A53E8C">
            <w:pPr>
              <w:pStyle w:val="ProcessBullet"/>
            </w:pPr>
            <w:r w:rsidRPr="005D4222">
              <w:t>Removed the Administrative Data Collection Method.</w:t>
            </w:r>
          </w:p>
          <w:p w14:paraId="7F917189" w14:textId="77777777" w:rsidR="00B13359" w:rsidRPr="005D4222" w:rsidRDefault="00B13359" w:rsidP="00A53E8C">
            <w:pPr>
              <w:pStyle w:val="ProcessBullet"/>
            </w:pPr>
            <w:r w:rsidRPr="005D4222">
              <w:t>Removed sex-specific age bands.</w:t>
            </w:r>
          </w:p>
          <w:p w14:paraId="09BD9174" w14:textId="77777777" w:rsidR="00B13359" w:rsidRPr="005D4222" w:rsidRDefault="00B13359" w:rsidP="00A53E8C">
            <w:pPr>
              <w:pStyle w:val="ProcessBullet"/>
              <w:spacing w:after="80"/>
            </w:pPr>
            <w:r w:rsidRPr="005D4222">
              <w:t>Removed the requirement to use the same data source for rate 1 and rate 2.</w:t>
            </w:r>
          </w:p>
          <w:p w14:paraId="4881CC35" w14:textId="77777777" w:rsidR="00B13359" w:rsidRPr="005D4222" w:rsidRDefault="00B13359" w:rsidP="00A53E8C">
            <w:pPr>
              <w:pStyle w:val="ProcessBullet"/>
              <w:spacing w:before="180" w:after="80"/>
            </w:pPr>
            <w:r w:rsidRPr="005D4222">
              <w:lastRenderedPageBreak/>
              <w:t>Updated the initial population criteria to identify persons with ASCVD diagnosis.</w:t>
            </w:r>
          </w:p>
          <w:p w14:paraId="3683E884" w14:textId="77777777" w:rsidR="00B13359" w:rsidRPr="005D4222" w:rsidRDefault="00B13359" w:rsidP="00A53E8C">
            <w:pPr>
              <w:pStyle w:val="ProcessBullet"/>
              <w:spacing w:after="80"/>
            </w:pPr>
            <w:r w:rsidRPr="005D4222">
              <w:t>Expanded ASCVD diagnosis criteria in the initial population to allow diagnosis in the measurement period or the year prior to the measurement period.</w:t>
            </w:r>
          </w:p>
          <w:p w14:paraId="7D7BF2EE" w14:textId="77777777" w:rsidR="00B13359" w:rsidRPr="005D4222" w:rsidRDefault="00B13359" w:rsidP="00A53E8C">
            <w:pPr>
              <w:pStyle w:val="ProcessBullet"/>
              <w:spacing w:after="80"/>
            </w:pPr>
            <w:r w:rsidRPr="005D4222">
              <w:t>Removed denominator exclusion for persons enrolled in an I-SNP or LTI.</w:t>
            </w:r>
          </w:p>
        </w:tc>
      </w:tr>
      <w:tr w:rsidR="00B13359" w:rsidRPr="005D4222" w14:paraId="1404BFA7"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ABD72EC" w14:textId="77777777" w:rsidR="00B13359" w:rsidRPr="005D4222" w:rsidRDefault="00B13359" w:rsidP="00A53E8C">
            <w:pPr>
              <w:pStyle w:val="ECDSMarginHead"/>
            </w:pPr>
            <w:r w:rsidRPr="005D4222">
              <w:lastRenderedPageBreak/>
              <w:t>Data element tables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0EE9D4D" w14:textId="77777777" w:rsidR="00B13359" w:rsidRPr="005D4222" w:rsidRDefault="00B13359" w:rsidP="00A53E8C">
            <w:pPr>
              <w:pStyle w:val="Body"/>
            </w:pPr>
            <w:r w:rsidRPr="005D4222">
              <w:t>Organizations that submit HEDIS data to NCQA must provide the following data elements.</w:t>
            </w:r>
          </w:p>
          <w:p w14:paraId="3D157D72" w14:textId="77777777" w:rsidR="00B13359" w:rsidRPr="005D4222" w:rsidRDefault="00B13359" w:rsidP="00A53E8C">
            <w:pPr>
              <w:pStyle w:val="Heading3"/>
              <w:spacing w:before="120"/>
              <w:rPr>
                <w:b w:val="0"/>
              </w:rPr>
            </w:pPr>
            <w:r w:rsidRPr="005D4222">
              <w:t xml:space="preserve">Table SPC-E-1/2/3: Data Elements for Statin </w:t>
            </w:r>
            <w:r w:rsidRPr="005D4222">
              <w:rPr>
                <w:szCs w:val="18"/>
              </w:rPr>
              <w:t>Therapy for Patients With Cardiovascular Disease</w:t>
            </w:r>
          </w:p>
          <w:tbl>
            <w:tblPr>
              <w:tblW w:w="69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3"/>
              <w:gridCol w:w="1868"/>
              <w:gridCol w:w="2149"/>
            </w:tblGrid>
            <w:tr w:rsidR="00B13359" w:rsidRPr="005D4222" w14:paraId="5F17785F" w14:textId="77777777" w:rsidTr="00A53E8C">
              <w:trPr>
                <w:trHeight w:val="301"/>
              </w:trPr>
              <w:tc>
                <w:tcPr>
                  <w:tcW w:w="2883"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tcMar>
                    <w:left w:w="72" w:type="dxa"/>
                    <w:right w:w="72" w:type="dxa"/>
                  </w:tcMar>
                </w:tcPr>
                <w:p w14:paraId="7C7A5C85" w14:textId="77777777" w:rsidR="00B13359" w:rsidRPr="005D4222" w:rsidRDefault="00B13359" w:rsidP="00A53E8C">
                  <w:pPr>
                    <w:pStyle w:val="TableHead"/>
                  </w:pPr>
                  <w:r w:rsidRPr="005D4222">
                    <w:t>Metric</w:t>
                  </w:r>
                </w:p>
              </w:tc>
              <w:tc>
                <w:tcPr>
                  <w:tcW w:w="1868"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Mar>
                    <w:left w:w="72" w:type="dxa"/>
                    <w:right w:w="72" w:type="dxa"/>
                  </w:tcMar>
                </w:tcPr>
                <w:p w14:paraId="7D3C5FE9" w14:textId="77777777" w:rsidR="00B13359" w:rsidRPr="005D4222" w:rsidRDefault="00B13359" w:rsidP="00A53E8C">
                  <w:pPr>
                    <w:pStyle w:val="TableHead"/>
                  </w:pPr>
                  <w:r w:rsidRPr="005D4222">
                    <w:t>Data Element</w:t>
                  </w:r>
                </w:p>
              </w:tc>
              <w:tc>
                <w:tcPr>
                  <w:tcW w:w="2149"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tcMar>
                    <w:left w:w="72" w:type="dxa"/>
                    <w:right w:w="72" w:type="dxa"/>
                  </w:tcMar>
                </w:tcPr>
                <w:p w14:paraId="103868C1" w14:textId="77777777" w:rsidR="00B13359" w:rsidRPr="005D4222" w:rsidRDefault="00B13359" w:rsidP="00A53E8C">
                  <w:pPr>
                    <w:pStyle w:val="TableHead"/>
                  </w:pPr>
                  <w:r w:rsidRPr="005D4222">
                    <w:t>Reporting Instructions</w:t>
                  </w:r>
                </w:p>
              </w:tc>
            </w:tr>
            <w:tr w:rsidR="00B13359" w:rsidRPr="005D4222" w14:paraId="603A14A1" w14:textId="77777777" w:rsidTr="00A53E8C">
              <w:trPr>
                <w:trHeight w:val="301"/>
              </w:trPr>
              <w:tc>
                <w:tcPr>
                  <w:tcW w:w="2883" w:type="dxa"/>
                  <w:tcBorders>
                    <w:top w:val="single" w:sz="4" w:space="0" w:color="000000" w:themeColor="text1"/>
                    <w:left w:val="single" w:sz="4" w:space="0" w:color="auto"/>
                    <w:bottom w:val="single" w:sz="4" w:space="0" w:color="auto"/>
                    <w:right w:val="single" w:sz="4" w:space="0" w:color="auto"/>
                  </w:tcBorders>
                  <w:tcMar>
                    <w:left w:w="72" w:type="dxa"/>
                    <w:right w:w="72" w:type="dxa"/>
                  </w:tcMar>
                </w:tcPr>
                <w:p w14:paraId="2271C08F" w14:textId="77777777" w:rsidR="00B13359" w:rsidRPr="005D4222" w:rsidRDefault="00B13359" w:rsidP="00A53E8C">
                  <w:pPr>
                    <w:pStyle w:val="TableText"/>
                  </w:pPr>
                  <w:r w:rsidRPr="005D4222">
                    <w:t>ReceivedTherapy</w:t>
                  </w:r>
                </w:p>
              </w:tc>
              <w:tc>
                <w:tcPr>
                  <w:tcW w:w="1868"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00F504F2" w14:textId="77777777" w:rsidR="00B13359" w:rsidRPr="005D4222" w:rsidRDefault="00B13359" w:rsidP="00A53E8C">
                  <w:pPr>
                    <w:pStyle w:val="TableText"/>
                  </w:pPr>
                  <w:r w:rsidRPr="005D4222">
                    <w:t>Benefit</w:t>
                  </w:r>
                </w:p>
              </w:tc>
              <w:tc>
                <w:tcPr>
                  <w:tcW w:w="2149" w:type="dxa"/>
                  <w:tcBorders>
                    <w:left w:val="single" w:sz="4" w:space="0" w:color="auto"/>
                    <w:right w:val="single" w:sz="4" w:space="0" w:color="auto"/>
                  </w:tcBorders>
                  <w:shd w:val="clear" w:color="auto" w:fill="FFFFFF" w:themeFill="background1"/>
                  <w:tcMar>
                    <w:left w:w="72" w:type="dxa"/>
                    <w:right w:w="72" w:type="dxa"/>
                  </w:tcMar>
                </w:tcPr>
                <w:p w14:paraId="52CB66F8" w14:textId="77777777" w:rsidR="00B13359" w:rsidRPr="005D4222" w:rsidRDefault="00B13359" w:rsidP="00A53E8C">
                  <w:pPr>
                    <w:pStyle w:val="TableText"/>
                    <w:rPr>
                      <w:rFonts w:eastAsia="Wingdings"/>
                    </w:rPr>
                  </w:pPr>
                  <w:r w:rsidRPr="005D4222">
                    <w:rPr>
                      <w:rFonts w:eastAsia="Wingdings"/>
                    </w:rPr>
                    <w:t>Metadata</w:t>
                  </w:r>
                </w:p>
              </w:tc>
            </w:tr>
            <w:tr w:rsidR="00B13359" w:rsidRPr="005D4222" w14:paraId="118E5421" w14:textId="77777777" w:rsidTr="00A53E8C">
              <w:trPr>
                <w:trHeight w:val="301"/>
              </w:trPr>
              <w:tc>
                <w:tcPr>
                  <w:tcW w:w="2883"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2F36564E" w14:textId="77777777" w:rsidR="00B13359" w:rsidRPr="005D4222" w:rsidRDefault="00B13359" w:rsidP="00A53E8C">
                  <w:pPr>
                    <w:pStyle w:val="TableText"/>
                  </w:pPr>
                  <w:r w:rsidRPr="005D4222">
                    <w:t>Adherence</w:t>
                  </w:r>
                </w:p>
              </w:tc>
              <w:tc>
                <w:tcPr>
                  <w:tcW w:w="1868"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5299C4CD" w14:textId="77777777" w:rsidR="00B13359" w:rsidRPr="005D4222" w:rsidRDefault="00B13359" w:rsidP="00A53E8C">
                  <w:pPr>
                    <w:pStyle w:val="TableText"/>
                  </w:pPr>
                  <w:r w:rsidRPr="005D4222">
                    <w:t>InitialPopulation</w:t>
                  </w:r>
                </w:p>
              </w:tc>
              <w:tc>
                <w:tcPr>
                  <w:tcW w:w="2149" w:type="dxa"/>
                  <w:tcBorders>
                    <w:top w:val="single" w:sz="6" w:space="0" w:color="auto"/>
                    <w:left w:val="single" w:sz="4" w:space="0" w:color="auto"/>
                    <w:bottom w:val="single" w:sz="6" w:space="0" w:color="auto"/>
                    <w:right w:val="single" w:sz="4" w:space="0" w:color="auto"/>
                  </w:tcBorders>
                  <w:shd w:val="clear" w:color="auto" w:fill="FFFFFF" w:themeFill="background1"/>
                  <w:tcMar>
                    <w:left w:w="72" w:type="dxa"/>
                    <w:right w:w="72" w:type="dxa"/>
                  </w:tcMar>
                </w:tcPr>
                <w:p w14:paraId="701FDDD6" w14:textId="77777777" w:rsidR="00B13359" w:rsidRPr="005D4222" w:rsidRDefault="00B13359" w:rsidP="00A53E8C">
                  <w:pPr>
                    <w:pStyle w:val="TableText"/>
                    <w:rPr>
                      <w:rFonts w:eastAsia="Wingdings"/>
                    </w:rPr>
                  </w:pPr>
                  <w:r w:rsidRPr="005D4222">
                    <w:rPr>
                      <w:rFonts w:eastAsia="Wingdings"/>
                    </w:rPr>
                    <w:t>For each Metric</w:t>
                  </w:r>
                </w:p>
              </w:tc>
            </w:tr>
            <w:tr w:rsidR="00B13359" w:rsidRPr="005D4222" w14:paraId="68375DB0" w14:textId="77777777" w:rsidTr="007B5FC3">
              <w:trPr>
                <w:trHeight w:val="482"/>
              </w:trPr>
              <w:tc>
                <w:tcPr>
                  <w:tcW w:w="2883" w:type="dxa"/>
                  <w:tcBorders>
                    <w:top w:val="single" w:sz="4" w:space="0" w:color="auto"/>
                    <w:left w:val="nil"/>
                    <w:bottom w:val="nil"/>
                    <w:right w:val="single" w:sz="4" w:space="0" w:color="auto"/>
                  </w:tcBorders>
                  <w:tcMar>
                    <w:left w:w="72" w:type="dxa"/>
                    <w:right w:w="72" w:type="dxa"/>
                  </w:tcMar>
                </w:tcPr>
                <w:p w14:paraId="1C3E335B" w14:textId="77777777" w:rsidR="00B13359" w:rsidRPr="005D4222" w:rsidRDefault="00B13359" w:rsidP="00A53E8C">
                  <w:pPr>
                    <w:pStyle w:val="TableText"/>
                  </w:pPr>
                </w:p>
              </w:tc>
              <w:tc>
                <w:tcPr>
                  <w:tcW w:w="1868"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1944FAD5" w14:textId="77777777" w:rsidR="00B13359" w:rsidRPr="005D4222" w:rsidRDefault="00B13359" w:rsidP="00A53E8C">
                  <w:pPr>
                    <w:pStyle w:val="TableText"/>
                  </w:pPr>
                  <w:r w:rsidRPr="005D4222">
                    <w:t>Exclusions</w:t>
                  </w:r>
                </w:p>
              </w:tc>
              <w:tc>
                <w:tcPr>
                  <w:tcW w:w="2149" w:type="dxa"/>
                  <w:tcBorders>
                    <w:top w:val="single" w:sz="6" w:space="0" w:color="auto"/>
                    <w:left w:val="single" w:sz="4" w:space="0" w:color="auto"/>
                    <w:bottom w:val="single" w:sz="6" w:space="0" w:color="auto"/>
                    <w:right w:val="single" w:sz="4" w:space="0" w:color="auto"/>
                  </w:tcBorders>
                  <w:shd w:val="clear" w:color="auto" w:fill="FFFFFF" w:themeFill="background1"/>
                  <w:tcMar>
                    <w:left w:w="72" w:type="dxa"/>
                    <w:right w:w="72" w:type="dxa"/>
                  </w:tcMar>
                </w:tcPr>
                <w:p w14:paraId="06578FE1" w14:textId="77777777" w:rsidR="00B13359" w:rsidRPr="005D4222" w:rsidRDefault="00B13359" w:rsidP="00A53E8C">
                  <w:pPr>
                    <w:pStyle w:val="TableText"/>
                    <w:rPr>
                      <w:rFonts w:eastAsia="Wingdings"/>
                    </w:rPr>
                  </w:pPr>
                  <w:r w:rsidRPr="005D4222">
                    <w:rPr>
                      <w:rFonts w:eastAsia="Wingdings"/>
                    </w:rPr>
                    <w:t>Only for ReceivedTherapy Metric</w:t>
                  </w:r>
                  <w:r w:rsidRPr="005D4222" w:rsidDel="00387C2E">
                    <w:rPr>
                      <w:rFonts w:eastAsia="Wingdings"/>
                    </w:rPr>
                    <w:t xml:space="preserve"> </w:t>
                  </w:r>
                </w:p>
              </w:tc>
            </w:tr>
            <w:tr w:rsidR="00B13359" w:rsidRPr="005D4222" w14:paraId="586A7704" w14:textId="77777777" w:rsidTr="00A53E8C">
              <w:trPr>
                <w:trHeight w:val="301"/>
              </w:trPr>
              <w:tc>
                <w:tcPr>
                  <w:tcW w:w="2883" w:type="dxa"/>
                  <w:tcBorders>
                    <w:top w:val="nil"/>
                    <w:left w:val="nil"/>
                    <w:bottom w:val="nil"/>
                    <w:right w:val="nil"/>
                  </w:tcBorders>
                  <w:shd w:val="clear" w:color="auto" w:fill="FFFFFF" w:themeFill="background1"/>
                  <w:tcMar>
                    <w:left w:w="72" w:type="dxa"/>
                    <w:right w:w="72" w:type="dxa"/>
                  </w:tcMar>
                </w:tcPr>
                <w:p w14:paraId="2F12168F" w14:textId="77777777" w:rsidR="00B13359" w:rsidRPr="005D4222" w:rsidRDefault="00B13359" w:rsidP="00A53E8C">
                  <w:pPr>
                    <w:pStyle w:val="TableText"/>
                  </w:pPr>
                </w:p>
              </w:tc>
              <w:tc>
                <w:tcPr>
                  <w:tcW w:w="1868"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63F83BD2" w14:textId="77777777" w:rsidR="00B13359" w:rsidRPr="005D4222" w:rsidRDefault="00B13359" w:rsidP="00A53E8C">
                  <w:pPr>
                    <w:pStyle w:val="TableText"/>
                  </w:pPr>
                  <w:r w:rsidRPr="005D4222">
                    <w:t>Denominator</w:t>
                  </w:r>
                </w:p>
              </w:tc>
              <w:tc>
                <w:tcPr>
                  <w:tcW w:w="2149" w:type="dxa"/>
                  <w:tcBorders>
                    <w:left w:val="single" w:sz="4" w:space="0" w:color="auto"/>
                    <w:bottom w:val="single" w:sz="6" w:space="0" w:color="auto"/>
                    <w:right w:val="single" w:sz="4" w:space="0" w:color="auto"/>
                  </w:tcBorders>
                  <w:shd w:val="clear" w:color="auto" w:fill="FFFFFF" w:themeFill="background1"/>
                  <w:tcMar>
                    <w:left w:w="72" w:type="dxa"/>
                    <w:right w:w="72" w:type="dxa"/>
                  </w:tcMar>
                </w:tcPr>
                <w:p w14:paraId="451BD941" w14:textId="77777777" w:rsidR="00B13359" w:rsidRPr="005D4222" w:rsidRDefault="00B13359" w:rsidP="00A53E8C">
                  <w:pPr>
                    <w:pStyle w:val="TableText"/>
                    <w:rPr>
                      <w:rFonts w:eastAsia="Wingdings"/>
                    </w:rPr>
                  </w:pPr>
                  <w:r w:rsidRPr="005D4222">
                    <w:rPr>
                      <w:rFonts w:eastAsia="Wingdings"/>
                    </w:rPr>
                    <w:t xml:space="preserve">For each Metric </w:t>
                  </w:r>
                </w:p>
              </w:tc>
            </w:tr>
            <w:tr w:rsidR="00B13359" w:rsidRPr="005D4222" w14:paraId="6FF0246D" w14:textId="77777777" w:rsidTr="00A53E8C">
              <w:trPr>
                <w:trHeight w:val="301"/>
              </w:trPr>
              <w:tc>
                <w:tcPr>
                  <w:tcW w:w="2883" w:type="dxa"/>
                  <w:tcBorders>
                    <w:top w:val="nil"/>
                    <w:left w:val="nil"/>
                    <w:bottom w:val="nil"/>
                    <w:right w:val="nil"/>
                  </w:tcBorders>
                  <w:shd w:val="clear" w:color="auto" w:fill="FFFFFF" w:themeFill="background1"/>
                  <w:tcMar>
                    <w:left w:w="72" w:type="dxa"/>
                    <w:right w:w="72" w:type="dxa"/>
                  </w:tcMar>
                </w:tcPr>
                <w:p w14:paraId="0764BD95" w14:textId="77777777" w:rsidR="00B13359" w:rsidRPr="005D4222" w:rsidRDefault="00B13359" w:rsidP="00A53E8C">
                  <w:pPr>
                    <w:pStyle w:val="TableText"/>
                  </w:pPr>
                </w:p>
              </w:tc>
              <w:tc>
                <w:tcPr>
                  <w:tcW w:w="1868" w:type="dxa"/>
                  <w:tcBorders>
                    <w:top w:val="single" w:sz="4" w:space="0" w:color="auto"/>
                    <w:left w:val="single" w:sz="4" w:space="0" w:color="auto"/>
                    <w:bottom w:val="single" w:sz="2" w:space="0" w:color="000000" w:themeColor="text1"/>
                    <w:right w:val="single" w:sz="4" w:space="0" w:color="auto"/>
                  </w:tcBorders>
                  <w:shd w:val="clear" w:color="auto" w:fill="FFFFFF" w:themeFill="background1"/>
                  <w:tcMar>
                    <w:left w:w="72" w:type="dxa"/>
                    <w:right w:w="72" w:type="dxa"/>
                  </w:tcMar>
                </w:tcPr>
                <w:p w14:paraId="3EC9AA89" w14:textId="77777777" w:rsidR="00B13359" w:rsidRPr="005D4222" w:rsidRDefault="00B13359" w:rsidP="00A53E8C">
                  <w:pPr>
                    <w:pStyle w:val="TableText"/>
                  </w:pPr>
                  <w:r w:rsidRPr="005D4222">
                    <w:t>Numerator</w:t>
                  </w:r>
                </w:p>
              </w:tc>
              <w:tc>
                <w:tcPr>
                  <w:tcW w:w="2149" w:type="dxa"/>
                  <w:tcBorders>
                    <w:left w:val="single" w:sz="4" w:space="0" w:color="auto"/>
                    <w:bottom w:val="single" w:sz="2" w:space="0" w:color="000000" w:themeColor="text1"/>
                    <w:right w:val="single" w:sz="4" w:space="0" w:color="auto"/>
                  </w:tcBorders>
                  <w:shd w:val="clear" w:color="auto" w:fill="FFFFFF" w:themeFill="background1"/>
                  <w:tcMar>
                    <w:left w:w="72" w:type="dxa"/>
                    <w:right w:w="72" w:type="dxa"/>
                  </w:tcMar>
                </w:tcPr>
                <w:p w14:paraId="59A02674" w14:textId="77777777" w:rsidR="00B13359" w:rsidRPr="005D4222" w:rsidRDefault="00B13359" w:rsidP="00A53E8C">
                  <w:pPr>
                    <w:pStyle w:val="TableText"/>
                    <w:rPr>
                      <w:rFonts w:eastAsia="Wingdings"/>
                    </w:rPr>
                  </w:pPr>
                  <w:r w:rsidRPr="005D4222">
                    <w:rPr>
                      <w:rFonts w:eastAsia="Wingdings"/>
                    </w:rPr>
                    <w:t>For each Metric</w:t>
                  </w:r>
                </w:p>
              </w:tc>
            </w:tr>
            <w:tr w:rsidR="00B13359" w:rsidRPr="005D4222" w14:paraId="6E3FD4C2" w14:textId="77777777" w:rsidTr="00A53E8C">
              <w:trPr>
                <w:trHeight w:val="301"/>
              </w:trPr>
              <w:tc>
                <w:tcPr>
                  <w:tcW w:w="2883" w:type="dxa"/>
                  <w:tcBorders>
                    <w:top w:val="nil"/>
                    <w:left w:val="nil"/>
                    <w:bottom w:val="none" w:sz="6" w:space="0" w:color="000000" w:themeColor="text1"/>
                    <w:right w:val="single" w:sz="2" w:space="0" w:color="000000" w:themeColor="text1"/>
                  </w:tcBorders>
                  <w:shd w:val="clear" w:color="auto" w:fill="FFFFFF" w:themeFill="background1"/>
                  <w:tcMar>
                    <w:left w:w="72" w:type="dxa"/>
                    <w:right w:w="72" w:type="dxa"/>
                  </w:tcMar>
                </w:tcPr>
                <w:p w14:paraId="6AB26633" w14:textId="77777777" w:rsidR="00B13359" w:rsidRPr="005D4222" w:rsidRDefault="00B13359" w:rsidP="00A53E8C">
                  <w:pPr>
                    <w:pStyle w:val="TableText"/>
                  </w:pPr>
                </w:p>
              </w:tc>
              <w:tc>
                <w:tcPr>
                  <w:tcW w:w="186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D9D9D9" w:themeFill="background1" w:themeFillShade="D9"/>
                  <w:tcMar>
                    <w:left w:w="72" w:type="dxa"/>
                    <w:right w:w="72" w:type="dxa"/>
                  </w:tcMar>
                </w:tcPr>
                <w:p w14:paraId="5907B56D" w14:textId="77777777" w:rsidR="00B13359" w:rsidRPr="005D4222" w:rsidRDefault="00B13359" w:rsidP="00A53E8C">
                  <w:pPr>
                    <w:pStyle w:val="TableText"/>
                  </w:pPr>
                  <w:r w:rsidRPr="005D4222">
                    <w:t>Rate</w:t>
                  </w:r>
                </w:p>
              </w:tc>
              <w:tc>
                <w:tcPr>
                  <w:tcW w:w="214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D9D9D9" w:themeFill="background1" w:themeFillShade="D9"/>
                  <w:tcMar>
                    <w:left w:w="72" w:type="dxa"/>
                    <w:right w:w="72" w:type="dxa"/>
                  </w:tcMar>
                </w:tcPr>
                <w:p w14:paraId="17C7FCF4" w14:textId="77777777" w:rsidR="00B13359" w:rsidRPr="005D4222" w:rsidRDefault="00B13359" w:rsidP="00A53E8C">
                  <w:pPr>
                    <w:pStyle w:val="TableText"/>
                    <w:rPr>
                      <w:rFonts w:eastAsia="Wingdings"/>
                    </w:rPr>
                  </w:pPr>
                  <w:r w:rsidRPr="005D4222">
                    <w:rPr>
                      <w:rFonts w:eastAsia="Wingdings"/>
                    </w:rPr>
                    <w:t>(Percent)</w:t>
                  </w:r>
                </w:p>
              </w:tc>
            </w:tr>
          </w:tbl>
          <w:p w14:paraId="21D2188E" w14:textId="77777777" w:rsidR="00B13359" w:rsidRPr="005D4222" w:rsidRDefault="00B13359" w:rsidP="00A53E8C">
            <w:pPr>
              <w:pStyle w:val="ProcessDash"/>
              <w:numPr>
                <w:ilvl w:val="0"/>
                <w:numId w:val="0"/>
              </w:numPr>
              <w:rPr>
                <w:rFonts w:cs="Arial"/>
                <w:color w:val="000000" w:themeColor="text1"/>
                <w:highlight w:val="yellow"/>
              </w:rPr>
            </w:pPr>
          </w:p>
        </w:tc>
      </w:tr>
      <w:tr w:rsidR="00B13359" w:rsidRPr="005D4222" w14:paraId="44C941F7"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53928C3" w14:textId="77777777" w:rsidR="00B13359" w:rsidRPr="005D4222" w:rsidRDefault="00B13359" w:rsidP="00A53E8C">
            <w:pPr>
              <w:pStyle w:val="ECDSMarginHead"/>
            </w:pPr>
            <w:r w:rsidRPr="005D4222">
              <w:t>Rules for Allowable Adjustments</w:t>
            </w:r>
          </w:p>
        </w:tc>
        <w:tc>
          <w:tcPr>
            <w:tcW w:w="7560"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CDD7211" w14:textId="77777777" w:rsidR="00B13359" w:rsidRPr="005D4222" w:rsidRDefault="00B13359" w:rsidP="00A53E8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666DDCFA" w14:textId="77777777" w:rsidR="00B13359" w:rsidRPr="005D4222" w:rsidRDefault="00B13359" w:rsidP="00A53E8C">
            <w:pPr>
              <w:pStyle w:val="ECDSBody"/>
            </w:pPr>
            <w:r w:rsidRPr="005D4222">
              <w:rPr>
                <w:b/>
              </w:rPr>
              <w:t>Adjusted HEDIS measures may not be used for HEDIS health plan reporting.</w:t>
            </w:r>
          </w:p>
          <w:p w14:paraId="1FC344C1" w14:textId="77777777" w:rsidR="00B13359" w:rsidRPr="005D4222" w:rsidRDefault="00B13359" w:rsidP="00A53E8C">
            <w:pPr>
              <w:pStyle w:val="Adjustments"/>
              <w:spacing w:before="120"/>
              <w:rPr>
                <w:b w:val="0"/>
              </w:rPr>
            </w:pPr>
            <w:r w:rsidRPr="005D4222">
              <w:t>Adjustments allowed</w:t>
            </w:r>
          </w:p>
          <w:p w14:paraId="2131631A" w14:textId="525A9FB8" w:rsidR="00B13359" w:rsidRPr="005D4222" w:rsidRDefault="00B13359" w:rsidP="005D6173">
            <w:pPr>
              <w:pStyle w:val="ProcessBullet"/>
              <w:numPr>
                <w:ilvl w:val="0"/>
                <w:numId w:val="155"/>
              </w:numPr>
              <w:spacing w:after="80"/>
              <w:ind w:left="216" w:hanging="216"/>
              <w:rPr>
                <w:b/>
              </w:rPr>
            </w:pPr>
            <w:r w:rsidRPr="005D4222">
              <w:rPr>
                <w:i/>
              </w:rPr>
              <w:t>Product lines</w:t>
            </w:r>
            <w:r w:rsidRPr="005D4222">
              <w:t xml:space="preserve">. </w:t>
            </w:r>
            <w:r w:rsidRPr="005D4222">
              <w:rPr>
                <w:rFonts w:eastAsia="Arial"/>
              </w:rPr>
              <w:t>Organizations are not required to use product line criteria; product lines may be combined</w:t>
            </w:r>
            <w:r w:rsidR="00E8671F" w:rsidRPr="005D4222">
              <w:rPr>
                <w:rFonts w:eastAsia="Arial"/>
              </w:rPr>
              <w:t>,</w:t>
            </w:r>
            <w:r w:rsidRPr="005D4222">
              <w:rPr>
                <w:rFonts w:eastAsia="Arial"/>
              </w:rPr>
              <w:t xml:space="preserve"> and all (or no) product line criteria may be used. </w:t>
            </w:r>
          </w:p>
          <w:p w14:paraId="7EB39EC1" w14:textId="77777777" w:rsidR="00B13359" w:rsidRPr="005D4222" w:rsidRDefault="00B13359" w:rsidP="005D6173">
            <w:pPr>
              <w:pStyle w:val="ProcessBullet"/>
              <w:numPr>
                <w:ilvl w:val="0"/>
                <w:numId w:val="155"/>
              </w:numPr>
              <w:ind w:left="216" w:hanging="216"/>
              <w:rPr>
                <w:b/>
              </w:rPr>
            </w:pPr>
            <w:r w:rsidRPr="005D4222">
              <w:rPr>
                <w:i/>
              </w:rPr>
              <w:t>Attribution</w:t>
            </w:r>
            <w:r w:rsidRPr="005D4222">
              <w:t xml:space="preserve">. </w:t>
            </w:r>
            <w:r w:rsidRPr="005D4222">
              <w:rPr>
                <w:rFonts w:eastAsia="Arial"/>
              </w:rPr>
              <w:t>Organizations are not required to use enrollment criteria.</w:t>
            </w:r>
          </w:p>
          <w:p w14:paraId="4BDE48CD" w14:textId="57517B24" w:rsidR="00B13359" w:rsidRPr="005D4222" w:rsidRDefault="00BC5A58" w:rsidP="005D6173">
            <w:pPr>
              <w:pStyle w:val="ProcessBullet"/>
              <w:numPr>
                <w:ilvl w:val="0"/>
                <w:numId w:val="155"/>
              </w:numPr>
              <w:spacing w:after="80"/>
              <w:ind w:left="216" w:hanging="216"/>
            </w:pPr>
            <w:r w:rsidRPr="005D4222">
              <w:rPr>
                <w:i/>
                <w:iCs/>
              </w:rPr>
              <w:t>Benefits.</w:t>
            </w:r>
            <w:r w:rsidR="00B13359" w:rsidRPr="005D4222">
              <w:t xml:space="preserve"> </w:t>
            </w:r>
            <w:r w:rsidR="00B13359" w:rsidRPr="005D4222">
              <w:rPr>
                <w:rFonts w:eastAsia="Arial"/>
              </w:rPr>
              <w:t xml:space="preserve">Organizations are not required to use </w:t>
            </w:r>
            <w:r w:rsidRPr="005D4222">
              <w:rPr>
                <w:rFonts w:eastAsia="Arial"/>
              </w:rPr>
              <w:t>a benefit</w:t>
            </w:r>
            <w:r w:rsidR="00B13359" w:rsidRPr="005D4222">
              <w:rPr>
                <w:rFonts w:eastAsia="Arial"/>
              </w:rPr>
              <w:t>.</w:t>
            </w:r>
          </w:p>
          <w:p w14:paraId="299BAF86" w14:textId="77777777" w:rsidR="00B13359" w:rsidRPr="005D4222" w:rsidRDefault="00B13359" w:rsidP="005D6173">
            <w:pPr>
              <w:pStyle w:val="ProcessBullet"/>
              <w:numPr>
                <w:ilvl w:val="0"/>
                <w:numId w:val="155"/>
              </w:numPr>
              <w:spacing w:after="80"/>
              <w:ind w:left="216" w:hanging="216"/>
              <w:rPr>
                <w:i/>
              </w:rPr>
            </w:pPr>
            <w:r w:rsidRPr="005D4222">
              <w:rPr>
                <w:i/>
              </w:rPr>
              <w:t xml:space="preserve">Other. </w:t>
            </w:r>
            <w:r w:rsidRPr="005D4222">
              <w:t>Organizations may use additional initial population criteria to focus on an area of interest defined by gender, race, ethnicity, socioeconomic or sociodemographic characteristics, geographic region or another characteristic.</w:t>
            </w:r>
            <w:r w:rsidRPr="005D4222">
              <w:rPr>
                <w:i/>
              </w:rPr>
              <w:t xml:space="preserve"> </w:t>
            </w:r>
          </w:p>
          <w:p w14:paraId="54A9735B" w14:textId="77777777" w:rsidR="00B13359" w:rsidRPr="005D4222" w:rsidRDefault="00B13359" w:rsidP="005D6173">
            <w:pPr>
              <w:pStyle w:val="ProcessBullet"/>
              <w:numPr>
                <w:ilvl w:val="0"/>
                <w:numId w:val="155"/>
              </w:numPr>
              <w:spacing w:after="80"/>
              <w:ind w:left="216" w:hanging="216"/>
              <w:rPr>
                <w:b/>
                <w:bCs/>
                <w:color w:val="000000" w:themeColor="text1"/>
              </w:rPr>
            </w:pPr>
            <w:r w:rsidRPr="005D4222">
              <w:rPr>
                <w:i/>
              </w:rPr>
              <w:t xml:space="preserve">Measurement </w:t>
            </w:r>
            <w:r w:rsidRPr="005D4222">
              <w:rPr>
                <w:i/>
                <w:iCs/>
              </w:rPr>
              <w:t>period a</w:t>
            </w:r>
            <w:r w:rsidRPr="005D4222">
              <w:rPr>
                <w:i/>
              </w:rPr>
              <w:t>djustments.</w:t>
            </w:r>
            <w:r w:rsidRPr="005D4222">
              <w:t xml:space="preserve"> Organizations may adjust the measurement period. </w:t>
            </w:r>
          </w:p>
          <w:p w14:paraId="03BB556F" w14:textId="588C7F29" w:rsidR="00B13359" w:rsidRPr="005D4222" w:rsidRDefault="00B13359" w:rsidP="005D6173">
            <w:pPr>
              <w:pStyle w:val="ProcessBullet"/>
              <w:numPr>
                <w:ilvl w:val="0"/>
                <w:numId w:val="155"/>
              </w:numPr>
              <w:spacing w:after="80"/>
              <w:ind w:left="216" w:hanging="216"/>
            </w:pPr>
            <w:r w:rsidRPr="005D4222">
              <w:rPr>
                <w:i/>
                <w:iCs/>
              </w:rPr>
              <w:t xml:space="preserve">Exclusions. </w:t>
            </w:r>
            <w:r w:rsidR="006B66A9" w:rsidRPr="005D4222">
              <w:t>The h</w:t>
            </w:r>
            <w:r w:rsidRPr="005D4222">
              <w:t xml:space="preserve">ospice, deceased persons, palliative care, frailty or advanced illness exclusions are not required. </w:t>
            </w:r>
          </w:p>
        </w:tc>
      </w:tr>
    </w:tbl>
    <w:p w14:paraId="777CEB1C" w14:textId="77777777" w:rsidR="0075328C" w:rsidRPr="005D4222" w:rsidRDefault="0075328C">
      <w:r w:rsidRPr="005D4222">
        <w:br w:type="page"/>
      </w:r>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60"/>
      </w:tblGrid>
      <w:tr w:rsidR="00B13359" w:rsidRPr="005D4222" w14:paraId="1D7D32D9" w14:textId="77777777" w:rsidTr="00A53E8C">
        <w:tc>
          <w:tcPr>
            <w:tcW w:w="2157"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78348E89" w14:textId="77777777" w:rsidR="00B13359" w:rsidRPr="005D4222" w:rsidRDefault="00B13359" w:rsidP="00A53E8C">
            <w:pPr>
              <w:pStyle w:val="ECDSMarginHead"/>
            </w:pPr>
          </w:p>
        </w:tc>
        <w:tc>
          <w:tcPr>
            <w:tcW w:w="7560" w:type="dxa"/>
            <w:tcBorders>
              <w:top w:val="single" w:sz="4" w:space="0" w:color="auto"/>
              <w:left w:val="single" w:sz="4" w:space="0" w:color="auto"/>
              <w:right w:val="single" w:sz="4" w:space="0" w:color="auto"/>
            </w:tcBorders>
            <w:tcMar>
              <w:top w:w="0" w:type="dxa"/>
              <w:left w:w="86" w:type="dxa"/>
              <w:bottom w:w="43" w:type="dxa"/>
              <w:right w:w="86" w:type="dxa"/>
            </w:tcMar>
          </w:tcPr>
          <w:p w14:paraId="134D23F8" w14:textId="01F241B5" w:rsidR="00B13359" w:rsidRPr="005D4222" w:rsidRDefault="00B13359" w:rsidP="00A53E8C">
            <w:pPr>
              <w:pStyle w:val="ProcessBullet"/>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w:t>
            </w:r>
            <w:r w:rsidR="00F45777" w:rsidRPr="005D4222">
              <w:t>events</w:t>
            </w:r>
            <w:r w:rsidRPr="005D4222">
              <w:t>, numerators and exclusions that do not allow the use of telehealth.</w:t>
            </w:r>
          </w:p>
          <w:p w14:paraId="1169A0DC" w14:textId="77777777" w:rsidR="00B13359" w:rsidRPr="005D4222" w:rsidRDefault="00B13359" w:rsidP="005D6173">
            <w:pPr>
              <w:pStyle w:val="ProcessBullet"/>
              <w:numPr>
                <w:ilvl w:val="0"/>
                <w:numId w:val="155"/>
              </w:numPr>
              <w:ind w:left="216" w:hanging="216"/>
            </w:pPr>
            <w:r w:rsidRPr="005D4222">
              <w:rPr>
                <w:i/>
                <w:iCs/>
              </w:rPr>
              <w:t>Supplemental data.</w:t>
            </w:r>
            <w:r w:rsidRPr="005D4222">
              <w:t xml:space="preserve"> Supplemental data may be used to identify initial population, denominator, exclusion and numerator events.</w:t>
            </w:r>
          </w:p>
          <w:p w14:paraId="1C4CE181" w14:textId="77777777" w:rsidR="00B13359" w:rsidRPr="005D4222" w:rsidRDefault="00B13359" w:rsidP="00A53E8C">
            <w:pPr>
              <w:pStyle w:val="Adjustments"/>
              <w:rPr>
                <w:b w:val="0"/>
                <w:szCs w:val="24"/>
              </w:rPr>
            </w:pPr>
            <w:r w:rsidRPr="005D4222">
              <w:t>Adjustments</w:t>
            </w:r>
            <w:r w:rsidRPr="005D4222">
              <w:rPr>
                <w:szCs w:val="24"/>
              </w:rPr>
              <w:t xml:space="preserve"> allowed with limits</w:t>
            </w:r>
          </w:p>
          <w:p w14:paraId="4C73D393" w14:textId="77777777" w:rsidR="00B13359" w:rsidRPr="005D4222" w:rsidRDefault="00B13359" w:rsidP="005D6173">
            <w:pPr>
              <w:pStyle w:val="ProcessBullet"/>
              <w:numPr>
                <w:ilvl w:val="0"/>
                <w:numId w:val="156"/>
              </w:numPr>
              <w:ind w:left="216" w:hanging="216"/>
              <w:rPr>
                <w:i/>
                <w:iCs/>
              </w:rPr>
            </w:pPr>
            <w:r w:rsidRPr="005D4222">
              <w:rPr>
                <w:i/>
                <w:iCs/>
              </w:rPr>
              <w:t xml:space="preserve">Ages. </w:t>
            </w:r>
            <w:r w:rsidRPr="005D4222">
              <w:t>Age determination dates may be changed (e.g., select, “age as of January 1”). The denominator age may be changed if the range is within the specified age range. The denominator age may not be expanded.</w:t>
            </w:r>
          </w:p>
          <w:p w14:paraId="128893B5" w14:textId="77777777" w:rsidR="00B13359" w:rsidRPr="005D4222" w:rsidRDefault="00B13359" w:rsidP="00A53E8C">
            <w:pPr>
              <w:pStyle w:val="Adjustments"/>
              <w:rPr>
                <w:b w:val="0"/>
              </w:rPr>
            </w:pPr>
            <w:r w:rsidRPr="005D4222">
              <w:t>Adjustments not allowed</w:t>
            </w:r>
          </w:p>
          <w:p w14:paraId="1C975069" w14:textId="77777777" w:rsidR="00B13359" w:rsidRPr="005D4222" w:rsidRDefault="00B13359" w:rsidP="005D6173">
            <w:pPr>
              <w:pStyle w:val="ProcessBullet"/>
              <w:numPr>
                <w:ilvl w:val="0"/>
                <w:numId w:val="157"/>
              </w:numPr>
              <w:ind w:left="216" w:hanging="216"/>
            </w:pPr>
            <w:r w:rsidRPr="005D4222">
              <w:rPr>
                <w:i/>
                <w:iCs/>
              </w:rPr>
              <w:t xml:space="preserve">Initial population: </w:t>
            </w:r>
            <w:r w:rsidRPr="005D4222">
              <w:t xml:space="preserve">Event. Only events that contain (or map to) codes in the value sets may be used to identify discharges. Medication lists, value sets and logic may not be changed. </w:t>
            </w:r>
          </w:p>
          <w:p w14:paraId="73F494D2" w14:textId="6D8CFC5D" w:rsidR="00B13359" w:rsidRPr="005D4222" w:rsidRDefault="00B13359" w:rsidP="005D6173">
            <w:pPr>
              <w:pStyle w:val="ProcessBullet"/>
              <w:numPr>
                <w:ilvl w:val="0"/>
                <w:numId w:val="157"/>
              </w:numPr>
              <w:ind w:left="216" w:hanging="216"/>
            </w:pPr>
            <w:r w:rsidRPr="005D4222">
              <w:rPr>
                <w:i/>
                <w:iCs/>
              </w:rPr>
              <w:t>Exclusions.</w:t>
            </w:r>
            <w:r w:rsidRPr="005D4222">
              <w:t xml:space="preserve"> </w:t>
            </w:r>
            <w:r w:rsidR="00910387" w:rsidRPr="005D4222">
              <w:t>The p</w:t>
            </w:r>
            <w:r w:rsidRPr="005D4222">
              <w:t>regnancy, IVF, clomiphene, ESRD, dialysis, cirrhosis,</w:t>
            </w:r>
            <w:r w:rsidRPr="005D4222">
              <w:rPr>
                <w:rFonts w:eastAsia="Arial"/>
              </w:rPr>
              <w:t xml:space="preserve"> </w:t>
            </w:r>
            <w:r w:rsidRPr="005D4222">
              <w:t>myalgia, myositis, myopathy or rhabdomyolysis exclusions must be applied. Medication lists, value sets and logic may not be changed.</w:t>
            </w:r>
          </w:p>
          <w:p w14:paraId="08FE43D7" w14:textId="26B96006" w:rsidR="00B13359" w:rsidRPr="005D4222" w:rsidRDefault="00DE550E" w:rsidP="005D6173">
            <w:pPr>
              <w:pStyle w:val="ProcessBullet"/>
              <w:numPr>
                <w:ilvl w:val="0"/>
                <w:numId w:val="157"/>
              </w:numPr>
              <w:spacing w:after="80"/>
              <w:ind w:left="216" w:hanging="216"/>
              <w:rPr>
                <w:b/>
                <w:i/>
              </w:rPr>
            </w:pPr>
            <w:r w:rsidRPr="005D4222">
              <w:rPr>
                <w:i/>
                <w:iCs/>
              </w:rPr>
              <w:t>Numerator.</w:t>
            </w:r>
            <w:r w:rsidR="00B13359" w:rsidRPr="005D4222">
              <w:rPr>
                <w:i/>
                <w:iCs/>
              </w:rPr>
              <w:t xml:space="preserve"> </w:t>
            </w:r>
            <w:r w:rsidR="00B13359" w:rsidRPr="005D4222">
              <w:t>Medication lists, value sets and logic may not be changed.</w:t>
            </w:r>
          </w:p>
        </w:tc>
      </w:tr>
    </w:tbl>
    <w:p w14:paraId="361445BF" w14:textId="77777777" w:rsidR="0075328C" w:rsidRPr="005D4222" w:rsidRDefault="0075328C" w:rsidP="009F0191">
      <w:pPr>
        <w:pStyle w:val="ECDSBody"/>
        <w:sectPr w:rsidR="0075328C" w:rsidRPr="005D4222" w:rsidSect="0074514A">
          <w:headerReference w:type="default" r:id="rId225"/>
          <w:type w:val="nextColumn"/>
          <w:pgSz w:w="12240" w:h="15840" w:code="1"/>
          <w:pgMar w:top="1080" w:right="1080" w:bottom="1080" w:left="1440" w:header="720" w:footer="720" w:gutter="0"/>
          <w:cols w:space="720"/>
          <w:docGrid w:linePitch="360"/>
        </w:sectPr>
      </w:pPr>
    </w:p>
    <w:p w14:paraId="5CFC27D0" w14:textId="6E05BBD3" w:rsidR="009F0191" w:rsidRPr="005D4222" w:rsidRDefault="00D56063" w:rsidP="00D56063">
      <w:pPr>
        <w:pStyle w:val="MeasureTitle"/>
      </w:pPr>
      <w:bookmarkStart w:id="420" w:name="_Toc201813475"/>
      <w:r w:rsidRPr="005D4222">
        <w:lastRenderedPageBreak/>
        <w:t>Blood Pressure Control for Patients With Diabetes</w:t>
      </w:r>
      <w:r w:rsidR="008A5901" w:rsidRPr="005D4222">
        <w:t xml:space="preserve"> (BPD-E)</w:t>
      </w:r>
      <w:bookmarkEnd w:id="420"/>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016"/>
        <w:gridCol w:w="5181"/>
        <w:gridCol w:w="1530"/>
        <w:gridCol w:w="990"/>
      </w:tblGrid>
      <w:tr w:rsidR="00752760" w:rsidRPr="005D4222" w14:paraId="5034BDF6" w14:textId="77777777" w:rsidTr="003A7DC2">
        <w:tc>
          <w:tcPr>
            <w:tcW w:w="2016" w:type="dxa"/>
            <w:shd w:val="clear" w:color="auto" w:fill="BFBFBF" w:themeFill="background1" w:themeFillShade="BF"/>
            <w:tcMar>
              <w:top w:w="0" w:type="dxa"/>
              <w:left w:w="86" w:type="dxa"/>
              <w:bottom w:w="43" w:type="dxa"/>
              <w:right w:w="86" w:type="dxa"/>
            </w:tcMar>
            <w:hideMark/>
          </w:tcPr>
          <w:p w14:paraId="2244AF23" w14:textId="77777777" w:rsidR="00752760" w:rsidRPr="005D4222" w:rsidRDefault="00752760" w:rsidP="00752760">
            <w:pPr>
              <w:pStyle w:val="ECDSMarginHead"/>
            </w:pPr>
            <w:r w:rsidRPr="005D4222">
              <w:t>Measure title</w:t>
            </w:r>
          </w:p>
        </w:tc>
        <w:tc>
          <w:tcPr>
            <w:tcW w:w="5181" w:type="dxa"/>
            <w:tcMar>
              <w:top w:w="0" w:type="dxa"/>
              <w:left w:w="86" w:type="dxa"/>
              <w:bottom w:w="43" w:type="dxa"/>
              <w:right w:w="86" w:type="dxa"/>
            </w:tcMar>
          </w:tcPr>
          <w:p w14:paraId="3FFF8557" w14:textId="77777777" w:rsidR="00752760" w:rsidRPr="005D4222" w:rsidRDefault="00752760" w:rsidP="00A53E8C">
            <w:pPr>
              <w:pStyle w:val="ECDSBody"/>
            </w:pPr>
            <w:r w:rsidRPr="005D4222">
              <w:t xml:space="preserve">Blood Pressure Control for Patients With Diabetes </w:t>
            </w:r>
          </w:p>
        </w:tc>
        <w:tc>
          <w:tcPr>
            <w:tcW w:w="1530" w:type="dxa"/>
            <w:shd w:val="clear" w:color="auto" w:fill="BFBFBF" w:themeFill="background1" w:themeFillShade="BF"/>
            <w:tcMar>
              <w:top w:w="0" w:type="dxa"/>
              <w:left w:w="86" w:type="dxa"/>
              <w:bottom w:w="43" w:type="dxa"/>
              <w:right w:w="86" w:type="dxa"/>
            </w:tcMar>
          </w:tcPr>
          <w:p w14:paraId="48AB3A37" w14:textId="77777777" w:rsidR="00752760" w:rsidRPr="005D4222" w:rsidRDefault="00752760" w:rsidP="00752760">
            <w:pPr>
              <w:pStyle w:val="ECDSMarginHead"/>
            </w:pPr>
            <w:r w:rsidRPr="005D4222">
              <w:t>Measure ID</w:t>
            </w:r>
          </w:p>
        </w:tc>
        <w:tc>
          <w:tcPr>
            <w:tcW w:w="990" w:type="dxa"/>
            <w:tcMar>
              <w:top w:w="0" w:type="dxa"/>
              <w:left w:w="86" w:type="dxa"/>
              <w:bottom w:w="43" w:type="dxa"/>
              <w:right w:w="86" w:type="dxa"/>
            </w:tcMar>
          </w:tcPr>
          <w:p w14:paraId="6BE52120" w14:textId="77777777" w:rsidR="00752760" w:rsidRPr="005D4222" w:rsidRDefault="00752760" w:rsidP="00A53E8C">
            <w:pPr>
              <w:pStyle w:val="ECDSBody"/>
            </w:pPr>
            <w:r w:rsidRPr="005D4222">
              <w:t xml:space="preserve">BPD-E </w:t>
            </w:r>
          </w:p>
        </w:tc>
      </w:tr>
      <w:tr w:rsidR="00752760" w:rsidRPr="005D4222" w14:paraId="192A2E20" w14:textId="77777777" w:rsidTr="003A7DC2">
        <w:tc>
          <w:tcPr>
            <w:tcW w:w="2016" w:type="dxa"/>
            <w:shd w:val="clear" w:color="auto" w:fill="BFBFBF" w:themeFill="background1" w:themeFillShade="BF"/>
            <w:tcMar>
              <w:top w:w="0" w:type="dxa"/>
              <w:left w:w="86" w:type="dxa"/>
              <w:bottom w:w="43" w:type="dxa"/>
              <w:right w:w="86" w:type="dxa"/>
            </w:tcMar>
            <w:hideMark/>
          </w:tcPr>
          <w:p w14:paraId="12687198" w14:textId="77777777" w:rsidR="00752760" w:rsidRPr="005D4222" w:rsidRDefault="00752760" w:rsidP="00752760">
            <w:pPr>
              <w:pStyle w:val="ECDSMarginHead"/>
            </w:pPr>
            <w:r w:rsidRPr="005D4222">
              <w:t>Description</w:t>
            </w:r>
          </w:p>
        </w:tc>
        <w:tc>
          <w:tcPr>
            <w:tcW w:w="7701" w:type="dxa"/>
            <w:gridSpan w:val="3"/>
            <w:tcMar>
              <w:top w:w="0" w:type="dxa"/>
              <w:left w:w="86" w:type="dxa"/>
              <w:bottom w:w="43" w:type="dxa"/>
              <w:right w:w="86" w:type="dxa"/>
            </w:tcMar>
          </w:tcPr>
          <w:p w14:paraId="4BDA84EC" w14:textId="77777777" w:rsidR="00752760" w:rsidRPr="005D4222" w:rsidRDefault="00752760" w:rsidP="00A53E8C">
            <w:pPr>
              <w:pStyle w:val="ECDSBody"/>
            </w:pPr>
            <w:r w:rsidRPr="005D4222">
              <w:t>The percentage of persons 18–75 years of age with diabetes (type 1 or 2) whose most recent blood pressure (BP) was &lt;140/90 mm Hg during the measurement period.</w:t>
            </w:r>
          </w:p>
        </w:tc>
      </w:tr>
      <w:tr w:rsidR="00752760" w:rsidRPr="005D4222" w14:paraId="0456945F" w14:textId="77777777" w:rsidTr="003A7DC2">
        <w:tc>
          <w:tcPr>
            <w:tcW w:w="2016" w:type="dxa"/>
            <w:shd w:val="clear" w:color="auto" w:fill="BFBFBF" w:themeFill="background1" w:themeFillShade="BF"/>
            <w:tcMar>
              <w:top w:w="0" w:type="dxa"/>
              <w:left w:w="86" w:type="dxa"/>
              <w:bottom w:w="43" w:type="dxa"/>
              <w:right w:w="86" w:type="dxa"/>
            </w:tcMar>
          </w:tcPr>
          <w:p w14:paraId="023833AE" w14:textId="77777777" w:rsidR="00752760" w:rsidRPr="005D4222" w:rsidRDefault="00752760" w:rsidP="00752760">
            <w:pPr>
              <w:pStyle w:val="ECDSMarginHead"/>
            </w:pPr>
            <w:r w:rsidRPr="005D4222">
              <w:t>Measurement period</w:t>
            </w:r>
          </w:p>
        </w:tc>
        <w:tc>
          <w:tcPr>
            <w:tcW w:w="7701" w:type="dxa"/>
            <w:gridSpan w:val="3"/>
            <w:tcMar>
              <w:top w:w="0" w:type="dxa"/>
              <w:left w:w="86" w:type="dxa"/>
              <w:bottom w:w="43" w:type="dxa"/>
              <w:right w:w="86" w:type="dxa"/>
            </w:tcMar>
          </w:tcPr>
          <w:p w14:paraId="41235A93" w14:textId="77777777" w:rsidR="00752760" w:rsidRPr="005D4222" w:rsidRDefault="00752760" w:rsidP="00A53E8C">
            <w:pPr>
              <w:pStyle w:val="ECDSBody"/>
            </w:pPr>
            <w:r w:rsidRPr="005D4222">
              <w:t>January 1–December 31.</w:t>
            </w:r>
          </w:p>
        </w:tc>
      </w:tr>
      <w:tr w:rsidR="00752760" w:rsidRPr="005D4222" w14:paraId="78A7FF47" w14:textId="77777777" w:rsidTr="003A7DC2">
        <w:tc>
          <w:tcPr>
            <w:tcW w:w="2016" w:type="dxa"/>
            <w:shd w:val="clear" w:color="auto" w:fill="BFBFBF" w:themeFill="background1" w:themeFillShade="BF"/>
            <w:tcMar>
              <w:top w:w="0" w:type="dxa"/>
              <w:left w:w="86" w:type="dxa"/>
              <w:bottom w:w="43" w:type="dxa"/>
              <w:right w:w="86" w:type="dxa"/>
            </w:tcMar>
            <w:hideMark/>
          </w:tcPr>
          <w:p w14:paraId="0886B843" w14:textId="77777777" w:rsidR="00752760" w:rsidRPr="005D4222" w:rsidRDefault="00752760" w:rsidP="00752760">
            <w:pPr>
              <w:pStyle w:val="ECDSMarginHead"/>
              <w:rPr>
                <w:rFonts w:eastAsia="Arial"/>
              </w:rPr>
            </w:pPr>
            <w:r w:rsidRPr="005D4222">
              <w:rPr>
                <w:rFonts w:eastAsia="Arial"/>
              </w:rPr>
              <w:t>Copyright and disclaimer notice</w:t>
            </w:r>
          </w:p>
        </w:tc>
        <w:tc>
          <w:tcPr>
            <w:tcW w:w="7701" w:type="dxa"/>
            <w:gridSpan w:val="3"/>
            <w:tcMar>
              <w:top w:w="0" w:type="dxa"/>
              <w:left w:w="86" w:type="dxa"/>
              <w:bottom w:w="43" w:type="dxa"/>
              <w:right w:w="86" w:type="dxa"/>
            </w:tcMar>
          </w:tcPr>
          <w:p w14:paraId="33579B36" w14:textId="77777777" w:rsidR="00752760" w:rsidRPr="005D4222" w:rsidRDefault="00752760" w:rsidP="00A53E8C">
            <w:pPr>
              <w:pStyle w:val="ECDSBody"/>
            </w:pPr>
            <w:r w:rsidRPr="005D4222">
              <w:t xml:space="preserve">Refer to the complete copyright and disclaimer information at the front of this publication. </w:t>
            </w:r>
          </w:p>
          <w:p w14:paraId="42EA3B49" w14:textId="77777777" w:rsidR="00752760" w:rsidRPr="005D4222" w:rsidRDefault="00752760" w:rsidP="00A53E8C">
            <w:pPr>
              <w:pStyle w:val="ECDSBody"/>
              <w:spacing w:before="80"/>
            </w:pPr>
            <w:r w:rsidRPr="005D4222">
              <w:t xml:space="preserve">NCQA website: </w:t>
            </w:r>
            <w:r w:rsidRPr="005D4222">
              <w:rPr>
                <w:u w:val="single"/>
              </w:rPr>
              <w:t>www.ncqa.org</w:t>
            </w:r>
            <w:r w:rsidRPr="005D4222">
              <w:rPr>
                <w:rStyle w:val="Hyperlink"/>
              </w:rPr>
              <w:t>.</w:t>
            </w:r>
            <w:r w:rsidRPr="005D4222">
              <w:t xml:space="preserve"> </w:t>
            </w:r>
          </w:p>
          <w:p w14:paraId="2EF1431A" w14:textId="77777777" w:rsidR="00752760" w:rsidRPr="005D4222" w:rsidRDefault="00752760" w:rsidP="00A53E8C">
            <w:pPr>
              <w:pStyle w:val="ECDSBody"/>
              <w:spacing w:before="80"/>
              <w:rPr>
                <w:sz w:val="18"/>
                <w:szCs w:val="18"/>
              </w:rPr>
            </w:pPr>
            <w:r w:rsidRPr="005D4222">
              <w:t>Submit policy clarification support questions via My NCQA (</w:t>
            </w:r>
            <w:r w:rsidRPr="005D4222">
              <w:rPr>
                <w:u w:val="single"/>
              </w:rPr>
              <w:t>https://my.ncqa.org</w:t>
            </w:r>
            <w:r w:rsidRPr="005D4222">
              <w:t xml:space="preserve">). </w:t>
            </w:r>
          </w:p>
        </w:tc>
      </w:tr>
      <w:tr w:rsidR="00752760" w:rsidRPr="005D4222" w14:paraId="09DE3B4C" w14:textId="77777777" w:rsidTr="003A7DC2">
        <w:trPr>
          <w:trHeight w:val="655"/>
        </w:trPr>
        <w:tc>
          <w:tcPr>
            <w:tcW w:w="2016" w:type="dxa"/>
            <w:shd w:val="clear" w:color="auto" w:fill="BFBFBF" w:themeFill="background1" w:themeFillShade="BF"/>
            <w:tcMar>
              <w:top w:w="0" w:type="dxa"/>
              <w:left w:w="86" w:type="dxa"/>
              <w:bottom w:w="43" w:type="dxa"/>
              <w:right w:w="86" w:type="dxa"/>
            </w:tcMar>
            <w:hideMark/>
          </w:tcPr>
          <w:p w14:paraId="5FF947E5" w14:textId="77777777" w:rsidR="00752760" w:rsidRPr="005D4222" w:rsidRDefault="00752760" w:rsidP="00752760">
            <w:pPr>
              <w:pStyle w:val="ECDSMarginHead"/>
            </w:pPr>
            <w:r w:rsidRPr="005D4222">
              <w:t>Clinical recommendation statement/ rationale</w:t>
            </w:r>
          </w:p>
        </w:tc>
        <w:tc>
          <w:tcPr>
            <w:tcW w:w="7701" w:type="dxa"/>
            <w:gridSpan w:val="3"/>
            <w:tcMar>
              <w:top w:w="0" w:type="dxa"/>
              <w:left w:w="86" w:type="dxa"/>
              <w:bottom w:w="43" w:type="dxa"/>
              <w:right w:w="86" w:type="dxa"/>
            </w:tcMar>
          </w:tcPr>
          <w:p w14:paraId="7947F4D4" w14:textId="77777777" w:rsidR="00752760" w:rsidRPr="005D4222" w:rsidRDefault="00752760" w:rsidP="00A53E8C">
            <w:pPr>
              <w:pStyle w:val="ECDSBody"/>
            </w:pPr>
            <w:r w:rsidRPr="005D4222">
              <w:t>American Diabetes Association (2025)</w:t>
            </w:r>
          </w:p>
          <w:p w14:paraId="588864A5" w14:textId="77777777" w:rsidR="00752760" w:rsidRPr="005D4222" w:rsidRDefault="00752760" w:rsidP="00A53E8C">
            <w:pPr>
              <w:pStyle w:val="Bullet"/>
            </w:pPr>
            <w:r w:rsidRPr="005D4222">
              <w:t>The on-treatment target blood pressure goal is &lt;130/80 mmHg, if it can be safely attained. Level of evidence: A</w:t>
            </w:r>
          </w:p>
          <w:p w14:paraId="038A030F" w14:textId="77777777" w:rsidR="00752760" w:rsidRPr="005D4222" w:rsidRDefault="00752760" w:rsidP="00A53E8C">
            <w:pPr>
              <w:pStyle w:val="Bullet"/>
            </w:pPr>
            <w:r w:rsidRPr="005D4222">
              <w:t>The ADA recognizes that there has been no randomized controlled trial to specifically demonstrate a decreased incidence of cardiovascular events in people with diabetes by targeting a blood pressure &lt;130/80 mmHg.</w:t>
            </w:r>
          </w:p>
          <w:p w14:paraId="60A40640" w14:textId="77777777" w:rsidR="00752760" w:rsidRPr="005D4222" w:rsidRDefault="00752760" w:rsidP="00A53E8C">
            <w:pPr>
              <w:pStyle w:val="ECDSBody"/>
            </w:pPr>
            <w:r w:rsidRPr="005D4222">
              <w:t>Joslin Diabetes Center (2020)</w:t>
            </w:r>
          </w:p>
          <w:p w14:paraId="0F90C11C" w14:textId="77777777" w:rsidR="00752760" w:rsidRPr="005D4222" w:rsidRDefault="00752760" w:rsidP="00A53E8C">
            <w:pPr>
              <w:pStyle w:val="Bullet"/>
            </w:pPr>
            <w:r w:rsidRPr="005D4222">
              <w:t>Blood pressure goal for each patient aged &gt;18 years is ≤140/90 mmHg. Grade of recommendation: 1B</w:t>
            </w:r>
          </w:p>
          <w:p w14:paraId="3F4D0C50" w14:textId="77777777" w:rsidR="00752760" w:rsidRPr="005D4222" w:rsidRDefault="00752760" w:rsidP="00A53E8C">
            <w:pPr>
              <w:pStyle w:val="Bullet"/>
              <w:spacing w:after="80"/>
            </w:pPr>
            <w:r w:rsidRPr="005D4222">
              <w:t>Systolic blood pressure &lt;130 mmHg may be appropriate for individuals without CVD or without multiple risk factors. Grade of recommendation: 1B</w:t>
            </w:r>
          </w:p>
        </w:tc>
      </w:tr>
      <w:tr w:rsidR="00752760" w:rsidRPr="005D4222" w14:paraId="73F5079D" w14:textId="77777777" w:rsidTr="003A7DC2">
        <w:tc>
          <w:tcPr>
            <w:tcW w:w="2016" w:type="dxa"/>
            <w:shd w:val="clear" w:color="auto" w:fill="BFBFBF" w:themeFill="background1" w:themeFillShade="BF"/>
            <w:tcMar>
              <w:top w:w="0" w:type="dxa"/>
              <w:left w:w="86" w:type="dxa"/>
              <w:bottom w:w="43" w:type="dxa"/>
              <w:right w:w="86" w:type="dxa"/>
            </w:tcMar>
          </w:tcPr>
          <w:p w14:paraId="2D958B1B" w14:textId="77777777" w:rsidR="00752760" w:rsidRPr="005D4222" w:rsidRDefault="00752760" w:rsidP="00752760">
            <w:pPr>
              <w:pStyle w:val="ECDSMarginHead"/>
            </w:pPr>
            <w:r w:rsidRPr="005D4222">
              <w:t>Citations</w:t>
            </w:r>
          </w:p>
        </w:tc>
        <w:tc>
          <w:tcPr>
            <w:tcW w:w="7701" w:type="dxa"/>
            <w:gridSpan w:val="3"/>
            <w:tcMar>
              <w:top w:w="0" w:type="dxa"/>
              <w:left w:w="86" w:type="dxa"/>
              <w:bottom w:w="43" w:type="dxa"/>
              <w:right w:w="86" w:type="dxa"/>
            </w:tcMar>
          </w:tcPr>
          <w:p w14:paraId="5D0662FF" w14:textId="77777777" w:rsidR="00752760" w:rsidRPr="005D4222" w:rsidRDefault="00752760" w:rsidP="00A53E8C">
            <w:pPr>
              <w:pStyle w:val="ECDSBody"/>
              <w:rPr>
                <w:rStyle w:val="eop"/>
                <w:rFonts w:eastAsiaTheme="majorEastAsia"/>
                <w:color w:val="000000"/>
                <w:shd w:val="clear" w:color="auto" w:fill="FFFFFF"/>
              </w:rPr>
            </w:pPr>
            <w:r w:rsidRPr="005D4222">
              <w:rPr>
                <w:shd w:val="clear" w:color="auto" w:fill="FFFFFF"/>
              </w:rPr>
              <w:t xml:space="preserve">American Diabetes Association Professional Practice Committee. 2025. “10. Cardiovascular Disease and Risk Management: Standards of Care in Diabetes—2025. </w:t>
            </w:r>
            <w:r w:rsidRPr="005D4222">
              <w:rPr>
                <w:i/>
                <w:iCs/>
                <w:shd w:val="clear" w:color="auto" w:fill="FFFFFF"/>
              </w:rPr>
              <w:t xml:space="preserve">Diabetes Care </w:t>
            </w:r>
            <w:r w:rsidRPr="005D4222">
              <w:rPr>
                <w:shd w:val="clear" w:color="auto" w:fill="FFFFFF"/>
              </w:rPr>
              <w:t>48(Suppl. 1):S207–38.</w:t>
            </w:r>
            <w:r w:rsidRPr="005D4222">
              <w:rPr>
                <w:rStyle w:val="eop"/>
                <w:rFonts w:eastAsiaTheme="majorEastAsia"/>
                <w:color w:val="000000"/>
                <w:shd w:val="clear" w:color="auto" w:fill="FFFFFF"/>
              </w:rPr>
              <w:t> </w:t>
            </w:r>
          </w:p>
          <w:p w14:paraId="5910C8D2" w14:textId="77777777" w:rsidR="00752760" w:rsidRPr="005B0B00" w:rsidRDefault="00752760" w:rsidP="00A53E8C">
            <w:pPr>
              <w:pStyle w:val="ECDSBody"/>
              <w:rPr>
                <w:lang w:val="fr-FR"/>
              </w:rPr>
            </w:pPr>
            <w:r w:rsidRPr="005D4222">
              <w:t xml:space="preserve">Joslin Diabetes Center. 2020. </w:t>
            </w:r>
            <w:r w:rsidRPr="005D4222">
              <w:rPr>
                <w:i/>
                <w:iCs/>
              </w:rPr>
              <w:t>Joslin Diabetes Center Clinical Guidelines for Management of Adults with Diabetes.</w:t>
            </w:r>
            <w:r w:rsidRPr="005D4222">
              <w:t xml:space="preserve"> </w:t>
            </w:r>
            <w:r w:rsidRPr="005B0B00">
              <w:rPr>
                <w:lang w:val="fr-FR"/>
              </w:rPr>
              <w:t>Joslin Diabetes Center. https://www.ajmc.com/view/chapter-1-clinical-guideline-for-adults-with-diabetes</w:t>
            </w:r>
          </w:p>
        </w:tc>
      </w:tr>
      <w:tr w:rsidR="00752760" w:rsidRPr="005D4222" w14:paraId="0AF8C242" w14:textId="77777777" w:rsidTr="003A7DC2">
        <w:tc>
          <w:tcPr>
            <w:tcW w:w="9717"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1A31FE62" w14:textId="77777777" w:rsidR="00752760" w:rsidRPr="005D4222" w:rsidRDefault="00752760" w:rsidP="00752760">
            <w:pPr>
              <w:pStyle w:val="ECDSMarginHead"/>
            </w:pPr>
            <w:r w:rsidRPr="005D4222">
              <w:t>Characteristics</w:t>
            </w:r>
          </w:p>
        </w:tc>
      </w:tr>
      <w:tr w:rsidR="00752760" w:rsidRPr="005D4222" w14:paraId="70C56D1E" w14:textId="77777777" w:rsidTr="003A7DC2">
        <w:tc>
          <w:tcPr>
            <w:tcW w:w="2016"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04410A7D" w14:textId="77777777" w:rsidR="00752760" w:rsidRPr="005D4222" w:rsidRDefault="00752760" w:rsidP="00A53E8C">
            <w:pPr>
              <w:pStyle w:val="ECDSSubhead"/>
            </w:pPr>
            <w:r w:rsidRPr="005D4222">
              <w:t>Scoring</w:t>
            </w:r>
          </w:p>
        </w:tc>
        <w:tc>
          <w:tcPr>
            <w:tcW w:w="7701"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4E3C0CD7" w14:textId="77777777" w:rsidR="00752760" w:rsidRPr="005D4222" w:rsidRDefault="00752760" w:rsidP="00A53E8C">
            <w:pPr>
              <w:pStyle w:val="ECDSBody"/>
              <w:spacing w:after="0"/>
            </w:pPr>
            <w:r w:rsidRPr="005D4222">
              <w:t>Proportion.</w:t>
            </w:r>
          </w:p>
        </w:tc>
      </w:tr>
      <w:tr w:rsidR="00752760" w:rsidRPr="005D4222" w14:paraId="1A1EDEF8" w14:textId="77777777" w:rsidTr="003A7DC2">
        <w:tc>
          <w:tcPr>
            <w:tcW w:w="2016" w:type="dxa"/>
            <w:tcBorders>
              <w:top w:val="nil"/>
              <w:left w:val="single" w:sz="4" w:space="0" w:color="auto"/>
              <w:bottom w:val="nil"/>
              <w:right w:val="single" w:sz="4" w:space="0" w:color="auto"/>
            </w:tcBorders>
            <w:tcMar>
              <w:top w:w="0" w:type="dxa"/>
              <w:left w:w="86" w:type="dxa"/>
              <w:bottom w:w="43" w:type="dxa"/>
              <w:right w:w="86" w:type="dxa"/>
            </w:tcMar>
          </w:tcPr>
          <w:p w14:paraId="60F81002" w14:textId="77777777" w:rsidR="00752760" w:rsidRPr="005D4222" w:rsidRDefault="00752760" w:rsidP="00A53E8C">
            <w:pPr>
              <w:pStyle w:val="ECDSSubhead"/>
            </w:pPr>
            <w:r w:rsidRPr="005D4222">
              <w:t>Type</w:t>
            </w:r>
          </w:p>
        </w:tc>
        <w:tc>
          <w:tcPr>
            <w:tcW w:w="7701" w:type="dxa"/>
            <w:gridSpan w:val="3"/>
            <w:tcBorders>
              <w:top w:val="nil"/>
              <w:left w:val="single" w:sz="4" w:space="0" w:color="auto"/>
              <w:bottom w:val="nil"/>
              <w:right w:val="single" w:sz="4" w:space="0" w:color="auto"/>
            </w:tcBorders>
            <w:tcMar>
              <w:top w:w="0" w:type="dxa"/>
              <w:left w:w="86" w:type="dxa"/>
              <w:bottom w:w="43" w:type="dxa"/>
              <w:right w:w="86" w:type="dxa"/>
            </w:tcMar>
          </w:tcPr>
          <w:p w14:paraId="278AFD29" w14:textId="77777777" w:rsidR="00752760" w:rsidRPr="005D4222" w:rsidRDefault="00752760" w:rsidP="00A53E8C">
            <w:pPr>
              <w:pStyle w:val="ECDSBody"/>
              <w:spacing w:after="0"/>
            </w:pPr>
            <w:r w:rsidRPr="005D4222">
              <w:t>Outcome.</w:t>
            </w:r>
          </w:p>
        </w:tc>
      </w:tr>
      <w:tr w:rsidR="00752760" w:rsidRPr="005D4222" w14:paraId="6531F9FF" w14:textId="77777777" w:rsidTr="003A7DC2">
        <w:tc>
          <w:tcPr>
            <w:tcW w:w="2016" w:type="dxa"/>
            <w:tcBorders>
              <w:top w:val="nil"/>
              <w:left w:val="single" w:sz="4" w:space="0" w:color="auto"/>
              <w:bottom w:val="nil"/>
              <w:right w:val="single" w:sz="4" w:space="0" w:color="auto"/>
            </w:tcBorders>
            <w:tcMar>
              <w:top w:w="0" w:type="dxa"/>
              <w:left w:w="86" w:type="dxa"/>
              <w:bottom w:w="43" w:type="dxa"/>
              <w:right w:w="86" w:type="dxa"/>
            </w:tcMar>
          </w:tcPr>
          <w:p w14:paraId="2D5C981A" w14:textId="3707AA80" w:rsidR="00752760" w:rsidRPr="005D4222" w:rsidRDefault="00B51CDC" w:rsidP="00A53E8C">
            <w:pPr>
              <w:pStyle w:val="ECDSSubhead"/>
            </w:pPr>
            <w:r w:rsidRPr="005D4222">
              <w:t>Product lines</w:t>
            </w:r>
          </w:p>
        </w:tc>
        <w:tc>
          <w:tcPr>
            <w:tcW w:w="7701" w:type="dxa"/>
            <w:gridSpan w:val="3"/>
            <w:tcBorders>
              <w:top w:val="nil"/>
              <w:left w:val="single" w:sz="4" w:space="0" w:color="auto"/>
              <w:bottom w:val="nil"/>
              <w:right w:val="single" w:sz="4" w:space="0" w:color="auto"/>
            </w:tcBorders>
            <w:tcMar>
              <w:top w:w="0" w:type="dxa"/>
              <w:left w:w="86" w:type="dxa"/>
              <w:bottom w:w="43" w:type="dxa"/>
              <w:right w:w="86" w:type="dxa"/>
            </w:tcMar>
          </w:tcPr>
          <w:p w14:paraId="5443E646" w14:textId="77777777" w:rsidR="00752760" w:rsidRPr="005D4222" w:rsidRDefault="00752760" w:rsidP="005D6173">
            <w:pPr>
              <w:pStyle w:val="ProcessBullet"/>
              <w:numPr>
                <w:ilvl w:val="0"/>
                <w:numId w:val="98"/>
              </w:numPr>
              <w:tabs>
                <w:tab w:val="left" w:pos="216"/>
              </w:tabs>
              <w:ind w:left="216" w:hanging="216"/>
            </w:pPr>
            <w:r w:rsidRPr="005D4222">
              <w:t>Commercial.</w:t>
            </w:r>
          </w:p>
          <w:p w14:paraId="4BE5FA8C" w14:textId="77777777" w:rsidR="00752760" w:rsidRPr="005D4222" w:rsidRDefault="00752760" w:rsidP="005D6173">
            <w:pPr>
              <w:pStyle w:val="ProcessBullet"/>
              <w:numPr>
                <w:ilvl w:val="0"/>
                <w:numId w:val="98"/>
              </w:numPr>
              <w:tabs>
                <w:tab w:val="left" w:pos="216"/>
              </w:tabs>
              <w:ind w:left="216" w:hanging="216"/>
            </w:pPr>
            <w:r w:rsidRPr="005D4222">
              <w:t>Medicaid.</w:t>
            </w:r>
          </w:p>
          <w:p w14:paraId="50C9B502" w14:textId="77777777" w:rsidR="00752760" w:rsidRPr="005D4222" w:rsidRDefault="00752760" w:rsidP="005D6173">
            <w:pPr>
              <w:pStyle w:val="ProcessBullet"/>
              <w:numPr>
                <w:ilvl w:val="0"/>
                <w:numId w:val="98"/>
              </w:numPr>
              <w:tabs>
                <w:tab w:val="left" w:pos="216"/>
              </w:tabs>
              <w:ind w:left="216" w:hanging="216"/>
            </w:pPr>
            <w:r w:rsidRPr="005D4222">
              <w:t>Medicare.</w:t>
            </w:r>
          </w:p>
        </w:tc>
      </w:tr>
      <w:tr w:rsidR="00752760" w:rsidRPr="005D4222" w14:paraId="20E81B51" w14:textId="77777777" w:rsidTr="003A7DC2">
        <w:tc>
          <w:tcPr>
            <w:tcW w:w="2016" w:type="dxa"/>
            <w:tcBorders>
              <w:top w:val="nil"/>
              <w:left w:val="single" w:sz="4" w:space="0" w:color="auto"/>
              <w:bottom w:val="nil"/>
              <w:right w:val="single" w:sz="4" w:space="0" w:color="auto"/>
            </w:tcBorders>
            <w:tcMar>
              <w:top w:w="0" w:type="dxa"/>
              <w:left w:w="86" w:type="dxa"/>
              <w:bottom w:w="43" w:type="dxa"/>
              <w:right w:w="86" w:type="dxa"/>
            </w:tcMar>
          </w:tcPr>
          <w:p w14:paraId="49509789" w14:textId="2E17E590" w:rsidR="00752760" w:rsidRPr="005D4222" w:rsidRDefault="00B51CDC" w:rsidP="00A53E8C">
            <w:pPr>
              <w:pStyle w:val="ECDSSubhead"/>
            </w:pPr>
            <w:r w:rsidRPr="005D4222">
              <w:t>Stratifications</w:t>
            </w:r>
            <w:r w:rsidR="00752760" w:rsidRPr="005D4222">
              <w:t xml:space="preserve"> </w:t>
            </w:r>
          </w:p>
        </w:tc>
        <w:tc>
          <w:tcPr>
            <w:tcW w:w="7701"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33D22BD3" w14:textId="77777777" w:rsidR="00752760" w:rsidRPr="005D4222" w:rsidRDefault="00752760" w:rsidP="00A53E8C">
            <w:pPr>
              <w:pStyle w:val="ECDSBody"/>
              <w:spacing w:after="0"/>
            </w:pPr>
            <w:r w:rsidRPr="005D4222">
              <w:t>None.</w:t>
            </w:r>
          </w:p>
        </w:tc>
      </w:tr>
      <w:tr w:rsidR="00752760" w:rsidRPr="005D4222" w14:paraId="3A1E1B67" w14:textId="77777777" w:rsidTr="003A7DC2">
        <w:tc>
          <w:tcPr>
            <w:tcW w:w="2016"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036CA7DB" w14:textId="77777777" w:rsidR="00752760" w:rsidRPr="005D4222" w:rsidRDefault="00752760" w:rsidP="00752760">
            <w:pPr>
              <w:pStyle w:val="ECDSSubhead"/>
              <w:spacing w:after="80"/>
            </w:pPr>
            <w:r w:rsidRPr="005D4222">
              <w:t>Risk adjustment</w:t>
            </w:r>
          </w:p>
        </w:tc>
        <w:tc>
          <w:tcPr>
            <w:tcW w:w="7701"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hideMark/>
          </w:tcPr>
          <w:p w14:paraId="7A701D39" w14:textId="77777777" w:rsidR="00752760" w:rsidRPr="005D4222" w:rsidRDefault="00752760" w:rsidP="00752760">
            <w:pPr>
              <w:pStyle w:val="ECDSBody"/>
            </w:pPr>
            <w:r w:rsidRPr="005D4222">
              <w:t>None.</w:t>
            </w:r>
          </w:p>
        </w:tc>
      </w:tr>
      <w:tr w:rsidR="00752760" w:rsidRPr="005D4222" w14:paraId="05726552" w14:textId="77777777" w:rsidTr="003A7DC2">
        <w:tc>
          <w:tcPr>
            <w:tcW w:w="2016"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300E1676" w14:textId="77777777" w:rsidR="00752760" w:rsidRPr="005D4222" w:rsidRDefault="00752760" w:rsidP="002601D3">
            <w:pPr>
              <w:pStyle w:val="ECDSSubhead"/>
            </w:pPr>
            <w:r w:rsidRPr="005D4222">
              <w:lastRenderedPageBreak/>
              <w:t>Improvement notation</w:t>
            </w:r>
          </w:p>
        </w:tc>
        <w:tc>
          <w:tcPr>
            <w:tcW w:w="7701"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278070C1" w14:textId="77777777" w:rsidR="00752760" w:rsidRPr="005D4222" w:rsidRDefault="00752760" w:rsidP="00752760">
            <w:pPr>
              <w:pStyle w:val="ECDSBody"/>
              <w:spacing w:after="0"/>
            </w:pPr>
            <w:r w:rsidRPr="005D4222">
              <w:t>Increased score indicates improvement.</w:t>
            </w:r>
          </w:p>
        </w:tc>
      </w:tr>
      <w:tr w:rsidR="00752760" w:rsidRPr="005D4222" w14:paraId="4E1C52AA" w14:textId="77777777" w:rsidTr="003A7DC2">
        <w:trPr>
          <w:trHeight w:val="633"/>
        </w:trPr>
        <w:tc>
          <w:tcPr>
            <w:tcW w:w="2016"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10A5C007" w14:textId="77777777" w:rsidR="00752760" w:rsidRPr="005D4222" w:rsidRDefault="00752760" w:rsidP="002601D3">
            <w:pPr>
              <w:pStyle w:val="ECDSSubhead"/>
            </w:pPr>
            <w:r w:rsidRPr="005D4222">
              <w:t>Guidance</w:t>
            </w:r>
          </w:p>
        </w:tc>
        <w:tc>
          <w:tcPr>
            <w:tcW w:w="7701"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41C479BA" w14:textId="73B0275F" w:rsidR="00752760" w:rsidRPr="005D4222" w:rsidRDefault="00752760" w:rsidP="00A53E8C">
            <w:pPr>
              <w:pStyle w:val="ECDSBody"/>
            </w:pPr>
            <w:r w:rsidRPr="005D4222">
              <w:rPr>
                <w:b/>
              </w:rPr>
              <w:t>Data collection methodology:</w:t>
            </w:r>
            <w:r w:rsidRPr="005D4222">
              <w:t xml:space="preserve"> ECDS. Refer to the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297E9C5A" w14:textId="643F5ADB" w:rsidR="00752760" w:rsidRPr="005D4222" w:rsidRDefault="00752760" w:rsidP="00A53E8C">
            <w:pPr>
              <w:pStyle w:val="ECDSBody"/>
            </w:pPr>
            <w:r w:rsidRPr="005D4222">
              <w:rPr>
                <w:b/>
              </w:rPr>
              <w:t>Date specificity</w:t>
            </w:r>
            <w:r w:rsidR="00DC5781" w:rsidRPr="005D4222">
              <w:rPr>
                <w:b/>
              </w:rPr>
              <w:t>:</w:t>
            </w:r>
            <w:r w:rsidRPr="005D4222">
              <w:rPr>
                <w:b/>
              </w:rPr>
              <w:t xml:space="preserve"> </w:t>
            </w:r>
            <w:r w:rsidRPr="005D4222">
              <w:t>Dates must be specific enough to determine the event occurred in the period being measured.</w:t>
            </w:r>
          </w:p>
          <w:p w14:paraId="794102FB" w14:textId="77777777" w:rsidR="00752760" w:rsidRPr="005D4222" w:rsidRDefault="00752760" w:rsidP="00A53E8C">
            <w:pPr>
              <w:pStyle w:val="ECDSBody"/>
            </w:pPr>
            <w:r w:rsidRPr="005D4222">
              <w:rPr>
                <w:b/>
              </w:rPr>
              <w:t xml:space="preserve">Which services count? </w:t>
            </w:r>
            <w:r w:rsidRPr="005D4222">
              <w:t>When using claims, include all paid, suspended, pending and denied claims.</w:t>
            </w:r>
          </w:p>
        </w:tc>
      </w:tr>
      <w:tr w:rsidR="00752760" w:rsidRPr="005D4222" w14:paraId="1819CD4E" w14:textId="77777777" w:rsidTr="003A7DC2">
        <w:trPr>
          <w:trHeight w:val="320"/>
        </w:trPr>
        <w:tc>
          <w:tcPr>
            <w:tcW w:w="2016" w:type="dxa"/>
            <w:shd w:val="clear" w:color="auto" w:fill="BFBFBF" w:themeFill="background1" w:themeFillShade="BF"/>
            <w:tcMar>
              <w:top w:w="0" w:type="dxa"/>
              <w:left w:w="86" w:type="dxa"/>
              <w:bottom w:w="43" w:type="dxa"/>
              <w:right w:w="86" w:type="dxa"/>
            </w:tcMar>
          </w:tcPr>
          <w:p w14:paraId="2F9C2AC9" w14:textId="77777777" w:rsidR="00752760" w:rsidRPr="005D4222" w:rsidRDefault="00752760" w:rsidP="00752760">
            <w:pPr>
              <w:pStyle w:val="ECDSMarginHead"/>
            </w:pPr>
            <w:r w:rsidRPr="005D4222">
              <w:t>Initial population</w:t>
            </w:r>
          </w:p>
        </w:tc>
        <w:tc>
          <w:tcPr>
            <w:tcW w:w="7701"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522317F" w14:textId="77777777" w:rsidR="00752760" w:rsidRPr="005D4222" w:rsidRDefault="00752760" w:rsidP="00752760">
            <w:pPr>
              <w:pStyle w:val="ECDSBody"/>
            </w:pPr>
            <w:r w:rsidRPr="005D4222">
              <w:rPr>
                <w:i/>
                <w:iCs/>
              </w:rPr>
              <w:t>Measure item count:</w:t>
            </w:r>
            <w:r w:rsidRPr="005D4222">
              <w:t xml:space="preserve"> Person.</w:t>
            </w:r>
          </w:p>
          <w:p w14:paraId="5BD18BC2" w14:textId="77777777" w:rsidR="00752760" w:rsidRPr="005D4222" w:rsidRDefault="00752760" w:rsidP="00752760">
            <w:pPr>
              <w:pStyle w:val="ECDSBody"/>
            </w:pPr>
            <w:r w:rsidRPr="005D4222">
              <w:rPr>
                <w:i/>
                <w:iCs/>
              </w:rPr>
              <w:t xml:space="preserve">Attribution basis: </w:t>
            </w:r>
            <w:r w:rsidRPr="005D4222">
              <w:t>Enrollment.</w:t>
            </w:r>
          </w:p>
          <w:p w14:paraId="10EB7B47" w14:textId="77777777" w:rsidR="00752760" w:rsidRPr="005D4222" w:rsidRDefault="00752760" w:rsidP="00A53E8C">
            <w:pPr>
              <w:pStyle w:val="Bullet"/>
            </w:pPr>
            <w:r w:rsidRPr="005D4222">
              <w:rPr>
                <w:i/>
                <w:iCs/>
              </w:rPr>
              <w:t>Benefits:</w:t>
            </w:r>
            <w:r w:rsidRPr="005D4222">
              <w:t xml:space="preserve"> Medical.</w:t>
            </w:r>
          </w:p>
          <w:p w14:paraId="34E5188D" w14:textId="77777777" w:rsidR="00752760" w:rsidRPr="005D4222" w:rsidRDefault="00752760" w:rsidP="00A53E8C">
            <w:pPr>
              <w:pStyle w:val="Bullet"/>
            </w:pPr>
            <w:r w:rsidRPr="005D4222">
              <w:rPr>
                <w:i/>
                <w:iCs/>
              </w:rPr>
              <w:t>Continuous enrollment:</w:t>
            </w:r>
            <w:r w:rsidRPr="005D4222">
              <w:t xml:space="preserve"> The measurement period.</w:t>
            </w:r>
          </w:p>
          <w:p w14:paraId="53EBB72F" w14:textId="77777777" w:rsidR="00752760" w:rsidRPr="005D4222" w:rsidRDefault="00752760" w:rsidP="00A53E8C">
            <w:pPr>
              <w:pStyle w:val="Bullet"/>
            </w:pPr>
            <w:r w:rsidRPr="005D4222">
              <w:rPr>
                <w:i/>
                <w:iCs/>
              </w:rPr>
              <w:t>Allowable gap:</w:t>
            </w:r>
            <w:r w:rsidRPr="005D4222">
              <w:t xml:space="preserve"> No more than one gap of ≤45 days during the measurement period. No gaps on the last day of the measurement period.</w:t>
            </w:r>
          </w:p>
          <w:p w14:paraId="14DF5760" w14:textId="77777777" w:rsidR="00752760" w:rsidRPr="005D4222" w:rsidRDefault="00752760" w:rsidP="00A53E8C">
            <w:pPr>
              <w:pStyle w:val="Body"/>
            </w:pPr>
            <w:r w:rsidRPr="005D4222">
              <w:rPr>
                <w:rFonts w:cs="Arial"/>
                <w:i/>
                <w:iCs/>
              </w:rPr>
              <w:t>Ages:</w:t>
            </w:r>
            <w:r w:rsidRPr="005D4222">
              <w:rPr>
                <w:rFonts w:cs="Arial"/>
              </w:rPr>
              <w:t xml:space="preserve"> </w:t>
            </w:r>
            <w:r w:rsidRPr="005D4222">
              <w:t>18–75 years of age as of the last day of the measurement period.</w:t>
            </w:r>
          </w:p>
          <w:p w14:paraId="779D6C8E" w14:textId="77777777" w:rsidR="00752760" w:rsidRPr="005D4222" w:rsidRDefault="00752760" w:rsidP="00A53E8C">
            <w:pPr>
              <w:pStyle w:val="ECDSBody"/>
            </w:pPr>
            <w:r w:rsidRPr="005D4222">
              <w:rPr>
                <w:i/>
                <w:iCs/>
              </w:rPr>
              <w:t>Event:</w:t>
            </w:r>
            <w:r w:rsidRPr="005D4222">
              <w:t xml:space="preserve"> </w:t>
            </w:r>
            <w:r w:rsidRPr="005D4222">
              <w:rPr>
                <w:b/>
              </w:rPr>
              <w:t>Identify persons with a diagnosis of diabetes.</w:t>
            </w:r>
            <w:r w:rsidRPr="005D4222">
              <w:t xml:space="preserve"> </w:t>
            </w:r>
          </w:p>
          <w:p w14:paraId="5727B46C" w14:textId="0246F7CF" w:rsidR="00752760" w:rsidRPr="005D4222" w:rsidRDefault="00752760" w:rsidP="00A53E8C">
            <w:pPr>
              <w:pStyle w:val="ECDSBody"/>
            </w:pPr>
            <w:r w:rsidRPr="005D4222">
              <w:t>Either of the following meets criteria:</w:t>
            </w:r>
          </w:p>
          <w:p w14:paraId="29417611" w14:textId="77777777" w:rsidR="00752760" w:rsidRPr="005D4222" w:rsidRDefault="00752760" w:rsidP="00A53E8C">
            <w:pPr>
              <w:pStyle w:val="Bullet"/>
            </w:pPr>
            <w:r w:rsidRPr="005D4222">
              <w:rPr>
                <w:i/>
                <w:iCs/>
              </w:rPr>
              <w:t>Claim/encounter data.</w:t>
            </w:r>
            <w:r w:rsidRPr="005D4222">
              <w:t xml:space="preserve"> At least two diagnoses of diabetes (</w:t>
            </w:r>
            <w:r w:rsidRPr="005D4222">
              <w:rPr>
                <w:u w:val="single"/>
              </w:rPr>
              <w:t>Diabetes Value Set</w:t>
            </w:r>
            <w:r w:rsidRPr="005D4222">
              <w:t>*) on different dates of service during the measurement period or the year prior to the measurement period.</w:t>
            </w:r>
          </w:p>
          <w:p w14:paraId="4F5B340E" w14:textId="77777777" w:rsidR="00752760" w:rsidRPr="005D4222" w:rsidRDefault="00752760" w:rsidP="00A53E8C">
            <w:pPr>
              <w:pStyle w:val="Bullet"/>
            </w:pPr>
            <w:r w:rsidRPr="005D4222">
              <w:rPr>
                <w:i/>
                <w:iCs/>
              </w:rPr>
              <w:t>Pharmacy data.</w:t>
            </w:r>
            <w:r w:rsidRPr="005D4222">
              <w:t xml:space="preserve"> At least one diagnosis of diabetes (</w:t>
            </w:r>
            <w:r w:rsidRPr="005D4222">
              <w:rPr>
                <w:u w:val="single"/>
              </w:rPr>
              <w:t>Diabetes Value Set</w:t>
            </w:r>
            <w:r w:rsidRPr="005D4222">
              <w:t xml:space="preserve">*) </w:t>
            </w:r>
            <w:r w:rsidRPr="005D4222">
              <w:rPr>
                <w:b/>
                <w:bCs/>
                <w:i/>
                <w:iCs/>
              </w:rPr>
              <w:t xml:space="preserve">and </w:t>
            </w:r>
            <w:r w:rsidRPr="005D4222">
              <w:t>at least one diabetes medication dispensing event of insulin or a hypoglycemic/antihyperglycemic medication (</w:t>
            </w:r>
            <w:r w:rsidRPr="005D4222">
              <w:rPr>
                <w:u w:val="single"/>
              </w:rPr>
              <w:t>Diabetes Medications List</w:t>
            </w:r>
            <w:r w:rsidRPr="005D4222">
              <w:t>) during the measurement period or the year prior to the measurement period. </w:t>
            </w:r>
          </w:p>
          <w:p w14:paraId="78E8DAAB" w14:textId="77777777" w:rsidR="00752760" w:rsidRPr="005D4222" w:rsidRDefault="00752760" w:rsidP="00A53E8C">
            <w:pPr>
              <w:keepNext/>
              <w:keepLines/>
              <w:spacing w:before="120" w:after="80"/>
              <w:outlineLvl w:val="3"/>
              <w:rPr>
                <w:rFonts w:asciiTheme="majorHAnsi" w:eastAsiaTheme="majorEastAsia" w:hAnsiTheme="majorHAnsi" w:cs="Arial"/>
                <w:color w:val="2F5496" w:themeColor="accent1" w:themeShade="BF"/>
              </w:rPr>
            </w:pPr>
            <w:r w:rsidRPr="005D4222">
              <w:rPr>
                <w:rFonts w:eastAsia="Arial,Arial,Arial,Arial,Arial,A" w:cs="Arial"/>
                <w:b/>
                <w:bCs/>
              </w:rPr>
              <w:t>Coding Guidance</w:t>
            </w:r>
            <w:r w:rsidRPr="005D4222">
              <w:rPr>
                <w:rFonts w:eastAsia="Arial,Arial,Arial,Arial,Arial,A" w:cs="Arial"/>
                <w:b/>
                <w:bCs/>
              </w:rPr>
              <w:br/>
              <w:t>*</w:t>
            </w:r>
            <w:r w:rsidRPr="005D4222">
              <w:rPr>
                <w:rFonts w:eastAsia="Arial,Arial,Arial,Arial,Arial,A" w:cs="Arial"/>
              </w:rPr>
              <w:t>Do not include laboratory claims (claims with POS code 81).</w:t>
            </w:r>
          </w:p>
        </w:tc>
      </w:tr>
      <w:tr w:rsidR="00752760" w:rsidRPr="005D4222" w14:paraId="33BCB381" w14:textId="77777777" w:rsidTr="003A7DC2">
        <w:tc>
          <w:tcPr>
            <w:tcW w:w="2016"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0E5F47E" w14:textId="77777777" w:rsidR="00752760" w:rsidRPr="005D4222" w:rsidRDefault="00752760" w:rsidP="00752760">
            <w:pPr>
              <w:pStyle w:val="ECDSMarginHead"/>
            </w:pPr>
            <w:r w:rsidRPr="005D4222">
              <w:t xml:space="preserve">Denominator exclusions </w:t>
            </w:r>
          </w:p>
        </w:tc>
        <w:tc>
          <w:tcPr>
            <w:tcW w:w="7701"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0E1405F" w14:textId="77777777" w:rsidR="00752760" w:rsidRPr="005D4222" w:rsidRDefault="00752760" w:rsidP="00A53E8C">
            <w:pPr>
              <w:pStyle w:val="ECDSBody"/>
            </w:pPr>
            <w:r w:rsidRPr="005D4222">
              <w:rPr>
                <w:rFonts w:eastAsia="Arial,Arial,Arial,Arial,Arial,A"/>
                <w:b/>
              </w:rPr>
              <w:t>Persons with a date of death.</w:t>
            </w:r>
            <w:r w:rsidRPr="005D4222">
              <w:rPr>
                <w:rFonts w:eastAsia="Arial,Arial,Arial,Arial,Arial,A"/>
                <w:b/>
              </w:rPr>
              <w:br/>
            </w:r>
            <w:r w:rsidRPr="005D4222">
              <w:t>Death in the measurement period, identified using data sources determined by the organization. Method and data sources are subject to review during the HEDIS audit. </w:t>
            </w:r>
          </w:p>
          <w:p w14:paraId="5C6F31A2" w14:textId="77777777" w:rsidR="00752760" w:rsidRPr="005D4222" w:rsidRDefault="00752760" w:rsidP="00A53E8C">
            <w:pPr>
              <w:pStyle w:val="ECDSBody"/>
              <w:rPr>
                <w:rFonts w:eastAsia="Arial,Arial,Arial,Arial,Arial,A"/>
              </w:rPr>
            </w:pPr>
            <w:r w:rsidRPr="005D4222" w:rsidDel="002D4AA7">
              <w:rPr>
                <w:rFonts w:eastAsia="Arial,Arial,Arial,Arial,Arial,A"/>
                <w:b/>
              </w:rPr>
              <w:t xml:space="preserve">Persons </w:t>
            </w:r>
            <w:r w:rsidRPr="005D4222">
              <w:rPr>
                <w:rFonts w:eastAsia="Arial,Arial,Arial,Arial,Arial,A"/>
                <w:b/>
              </w:rPr>
              <w:t>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30D00BBD" w14:textId="77777777" w:rsidR="00752760" w:rsidRPr="005D4222" w:rsidRDefault="00752760" w:rsidP="00A53E8C">
            <w:pPr>
              <w:pStyle w:val="ECDSBody"/>
            </w:pPr>
            <w:r w:rsidRPr="005D4222">
              <w:rPr>
                <w:b/>
              </w:rPr>
              <w:t>Persons receiving palliative care.</w:t>
            </w:r>
            <w:r w:rsidRPr="005D4222">
              <w:rPr>
                <w:b/>
              </w:rPr>
              <w:br/>
            </w:r>
            <w:r w:rsidRPr="005D4222">
              <w:t>Persons receiving palliative care (</w:t>
            </w:r>
            <w:r w:rsidRPr="005D4222">
              <w:rPr>
                <w:u w:val="single"/>
              </w:rPr>
              <w:t>Palliative Care Assessment Value Set</w:t>
            </w:r>
            <w:r w:rsidRPr="005D4222">
              <w:t xml:space="preserve">; </w:t>
            </w:r>
            <w:r w:rsidRPr="005D4222">
              <w:rPr>
                <w:u w:val="single"/>
              </w:rPr>
              <w:t>Palliative Care Encounter Value Set</w:t>
            </w:r>
            <w:r w:rsidRPr="005D4222">
              <w:t xml:space="preserve">; </w:t>
            </w:r>
            <w:r w:rsidRPr="005D4222">
              <w:rPr>
                <w:u w:val="single"/>
              </w:rPr>
              <w:t>Palliative Care Intervention Value Set</w:t>
            </w:r>
            <w:r w:rsidRPr="005D4222">
              <w:t xml:space="preserve">) or who had an encounter for palliative care (ICD-10-CM code Z51.5*) any time during the measurement period. </w:t>
            </w:r>
          </w:p>
          <w:p w14:paraId="385F2894" w14:textId="77777777" w:rsidR="00752760" w:rsidRPr="005D4222" w:rsidRDefault="00752760" w:rsidP="003A7DC2">
            <w:pPr>
              <w:pStyle w:val="ECDSBody"/>
              <w:spacing w:before="180"/>
            </w:pPr>
            <w:r w:rsidRPr="005D4222">
              <w:rPr>
                <w:b/>
                <w:color w:val="000000"/>
                <w:shd w:val="clear" w:color="auto" w:fill="FFFFFF"/>
              </w:rPr>
              <w:lastRenderedPageBreak/>
              <w:t>Medicare enrollees, 66 years of age and older by the last day of the measurement period, in an institutional SNP (I-SNP) or living long-term in an institution (LTI).</w:t>
            </w:r>
          </w:p>
          <w:p w14:paraId="35A48437" w14:textId="77777777" w:rsidR="00752760" w:rsidRPr="005D4222" w:rsidRDefault="00752760" w:rsidP="00752760">
            <w:pPr>
              <w:pStyle w:val="ProcessBullet"/>
            </w:pPr>
            <w:r w:rsidRPr="005D4222">
              <w:t>Enrolled in an Institutional SNP (I-SNP) any time during the measurement period.</w:t>
            </w:r>
          </w:p>
          <w:p w14:paraId="037112A4" w14:textId="77777777" w:rsidR="00752760" w:rsidRPr="005D4222" w:rsidRDefault="00752760" w:rsidP="00752760">
            <w:pPr>
              <w:pStyle w:val="ProcessBullet"/>
              <w:rPr>
                <w:rFonts w:eastAsia="Arial,Arial,Arial,Arial,Arial,A"/>
              </w:rPr>
            </w:pPr>
            <w:r w:rsidRPr="005D4222">
              <w:t>Living long-term in an institution any time during the measurement period as identified by the LTI flag in the Monthly Membership Detail Data File. Use the run date of the file to determine if a member had an LTI flag during the measurement period.</w:t>
            </w:r>
          </w:p>
          <w:p w14:paraId="23E4DD32" w14:textId="29B915CD" w:rsidR="00752760" w:rsidRPr="005D4222" w:rsidRDefault="00752760" w:rsidP="00A53E8C">
            <w:pPr>
              <w:pStyle w:val="ECDSBody"/>
              <w:rPr>
                <w:b/>
              </w:rPr>
            </w:pPr>
            <w:r w:rsidRPr="005D4222">
              <w:rPr>
                <w:b/>
              </w:rPr>
              <w:t xml:space="preserve">Persons 66 years of age or older by the </w:t>
            </w:r>
            <w:r w:rsidR="00D80100" w:rsidRPr="005D4222">
              <w:rPr>
                <w:b/>
              </w:rPr>
              <w:t>last day</w:t>
            </w:r>
            <w:r w:rsidRPr="005D4222">
              <w:rPr>
                <w:b/>
              </w:rPr>
              <w:t xml:space="preserve"> of the measurement period, with both frailty and advanced illness.</w:t>
            </w:r>
          </w:p>
          <w:p w14:paraId="1E0682CF" w14:textId="77777777" w:rsidR="00752760" w:rsidRPr="005D4222" w:rsidRDefault="00752760" w:rsidP="005D6173">
            <w:pPr>
              <w:pStyle w:val="ECDSBody"/>
              <w:numPr>
                <w:ilvl w:val="0"/>
                <w:numId w:val="161"/>
              </w:numPr>
              <w:tabs>
                <w:tab w:val="clear" w:pos="1368"/>
              </w:tabs>
              <w:ind w:left="288" w:hanging="288"/>
              <w:rPr>
                <w:u w:val="single"/>
              </w:rPr>
            </w:pPr>
            <w:r w:rsidRPr="005D4222">
              <w:rPr>
                <w:b/>
              </w:rPr>
              <w:t>Frailty.</w:t>
            </w:r>
            <w:r w:rsidRPr="005D4222">
              <w:t xml:space="preserve"> At least two indications of frailty (</w:t>
            </w:r>
            <w:r w:rsidRPr="005D4222">
              <w:rPr>
                <w:u w:val="single"/>
              </w:rPr>
              <w:t>Frailty Device Value Set</w:t>
            </w:r>
            <w:r w:rsidRPr="005D4222">
              <w:t xml:space="preserve">; </w:t>
            </w:r>
            <w:r w:rsidRPr="005D4222">
              <w:rPr>
                <w:u w:val="single"/>
              </w:rPr>
              <w:t>Frailty Diagnosis Value Set</w:t>
            </w:r>
            <w:r w:rsidRPr="005D4222">
              <w:t xml:space="preserve">*; </w:t>
            </w:r>
            <w:r w:rsidRPr="005D4222">
              <w:rPr>
                <w:u w:val="single"/>
              </w:rPr>
              <w:t>Frailty Encounter Value Set</w:t>
            </w:r>
            <w:r w:rsidRPr="005D4222">
              <w:t xml:space="preserve">; </w:t>
            </w:r>
            <w:r w:rsidRPr="005D4222">
              <w:rPr>
                <w:u w:val="single"/>
              </w:rPr>
              <w:t>Frailty Symptom Value Set</w:t>
            </w:r>
            <w:r w:rsidR="00E254AA" w:rsidRPr="005D4222">
              <w:t>*</w:t>
            </w:r>
            <w:r w:rsidRPr="005D4222">
              <w:t>) with different dates of service during the measurement period.</w:t>
            </w:r>
          </w:p>
          <w:p w14:paraId="7AD50926" w14:textId="77777777" w:rsidR="00752760" w:rsidRPr="005D4222" w:rsidRDefault="00752760" w:rsidP="005D6173">
            <w:pPr>
              <w:pStyle w:val="ECDSBody"/>
              <w:numPr>
                <w:ilvl w:val="0"/>
                <w:numId w:val="161"/>
              </w:numPr>
              <w:tabs>
                <w:tab w:val="clear" w:pos="1368"/>
              </w:tabs>
              <w:spacing w:after="0"/>
              <w:ind w:left="288" w:hanging="288"/>
            </w:pPr>
            <w:r w:rsidRPr="005D4222">
              <w:rPr>
                <w:b/>
              </w:rPr>
              <w:t>Advanced Illness.</w:t>
            </w:r>
            <w:r w:rsidRPr="005D4222">
              <w:t xml:space="preserve"> Either of the following during the measurement period or the year prior to the measurement period: </w:t>
            </w:r>
          </w:p>
          <w:p w14:paraId="59CD01B8" w14:textId="77777777" w:rsidR="00752760" w:rsidRPr="005D4222" w:rsidRDefault="00752760" w:rsidP="00BC4178">
            <w:pPr>
              <w:pStyle w:val="ProcessDash"/>
              <w:tabs>
                <w:tab w:val="clear" w:pos="432"/>
              </w:tabs>
              <w:ind w:left="504"/>
            </w:pPr>
            <w:r w:rsidRPr="005D4222">
              <w:t>Advanced illness (</w:t>
            </w:r>
            <w:r w:rsidRPr="005D4222">
              <w:rPr>
                <w:u w:val="single"/>
              </w:rPr>
              <w:t>Advanced Illness Value Set</w:t>
            </w:r>
            <w:r w:rsidRPr="005D4222">
              <w:t>*) on at least two different dates of service.</w:t>
            </w:r>
          </w:p>
          <w:p w14:paraId="28C7E70E" w14:textId="77777777" w:rsidR="00752760" w:rsidRPr="005D4222" w:rsidRDefault="00752760" w:rsidP="00BC4178">
            <w:pPr>
              <w:pStyle w:val="ProcessDash"/>
              <w:tabs>
                <w:tab w:val="clear" w:pos="432"/>
              </w:tabs>
              <w:ind w:left="504"/>
            </w:pPr>
            <w:r w:rsidRPr="005D4222">
              <w:t>Dispensed dementia medication (</w:t>
            </w:r>
            <w:r w:rsidRPr="005D4222">
              <w:rPr>
                <w:u w:val="single"/>
              </w:rPr>
              <w:t>Dementia Medications List</w:t>
            </w:r>
            <w:r w:rsidRPr="005D4222">
              <w:t>).</w:t>
            </w:r>
          </w:p>
          <w:p w14:paraId="17F7DD8E" w14:textId="77777777" w:rsidR="00752760" w:rsidRPr="005D4222" w:rsidRDefault="00752760" w:rsidP="00A53E8C">
            <w:pPr>
              <w:pStyle w:val="ECDSBody"/>
              <w:spacing w:after="0"/>
              <w:rPr>
                <w:rFonts w:eastAsia="Arial,Arial,Arial,Arial,Arial,A"/>
                <w:b/>
              </w:rPr>
            </w:pPr>
            <w:r w:rsidRPr="005D4222">
              <w:rPr>
                <w:rFonts w:eastAsia="Arial,Arial,Arial,Arial,Arial,A"/>
                <w:b/>
              </w:rPr>
              <w:t>Coding Guidance</w:t>
            </w:r>
          </w:p>
          <w:p w14:paraId="1AFB3F6B" w14:textId="77777777" w:rsidR="00752760" w:rsidRPr="005D4222" w:rsidRDefault="00752760" w:rsidP="00A53E8C">
            <w:pPr>
              <w:pStyle w:val="ECDSBody"/>
              <w:spacing w:before="0"/>
              <w:rPr>
                <w:rFonts w:eastAsia="Arial,Arial,Arial,Arial,Arial,A"/>
              </w:rPr>
            </w:pPr>
            <w:r w:rsidRPr="005D4222">
              <w:rPr>
                <w:rFonts w:eastAsia="Arial,Arial,Arial,Arial,Arial,A"/>
                <w:b/>
              </w:rPr>
              <w:t>*</w:t>
            </w:r>
            <w:r w:rsidRPr="005D4222">
              <w:rPr>
                <w:rFonts w:eastAsia="Arial,Arial,Arial,Arial,Arial,A"/>
              </w:rPr>
              <w:t>Do not include laboratory claims (claims with POS code 81).</w:t>
            </w:r>
          </w:p>
        </w:tc>
      </w:tr>
      <w:tr w:rsidR="00752760" w:rsidRPr="005D4222" w14:paraId="2EE526E2" w14:textId="77777777" w:rsidTr="003A7DC2">
        <w:trPr>
          <w:trHeight w:val="417"/>
        </w:trPr>
        <w:tc>
          <w:tcPr>
            <w:tcW w:w="2016"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93F2837" w14:textId="77777777" w:rsidR="00752760" w:rsidRPr="005D4222" w:rsidRDefault="00752760" w:rsidP="00BC4178">
            <w:pPr>
              <w:pStyle w:val="ECDSMarginHead"/>
            </w:pPr>
            <w:r w:rsidRPr="005D4222">
              <w:lastRenderedPageBreak/>
              <w:t>Denominator</w:t>
            </w:r>
          </w:p>
        </w:tc>
        <w:tc>
          <w:tcPr>
            <w:tcW w:w="7701"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6F6A358" w14:textId="77777777" w:rsidR="00752760" w:rsidRPr="005D4222" w:rsidRDefault="00752760" w:rsidP="00A53E8C">
            <w:pPr>
              <w:pStyle w:val="ECDSBody"/>
              <w:rPr>
                <w:b/>
              </w:rPr>
            </w:pPr>
            <w:r w:rsidRPr="005D4222">
              <w:rPr>
                <w:rFonts w:eastAsia="Arial,Arial,Arial,Arial,Arial,A"/>
              </w:rPr>
              <w:t>The initial population minus denominator exclusions.</w:t>
            </w:r>
          </w:p>
        </w:tc>
      </w:tr>
      <w:tr w:rsidR="00752760" w:rsidRPr="005D4222" w14:paraId="67526958" w14:textId="77777777" w:rsidTr="003A7DC2">
        <w:trPr>
          <w:trHeight w:val="417"/>
        </w:trPr>
        <w:tc>
          <w:tcPr>
            <w:tcW w:w="2016"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811839F" w14:textId="77777777" w:rsidR="00752760" w:rsidRPr="005D4222" w:rsidRDefault="00752760" w:rsidP="00BC4178">
            <w:pPr>
              <w:pStyle w:val="ECDSMarginHead"/>
            </w:pPr>
            <w:r w:rsidRPr="005D4222">
              <w:t>Numerator</w:t>
            </w:r>
          </w:p>
        </w:tc>
        <w:tc>
          <w:tcPr>
            <w:tcW w:w="7701"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2F3243B" w14:textId="77777777" w:rsidR="00752760" w:rsidRPr="005D4222" w:rsidRDefault="00752760" w:rsidP="00A53E8C">
            <w:pPr>
              <w:pStyle w:val="ECDSBody"/>
            </w:pPr>
            <w:r w:rsidRPr="005D4222">
              <w:rPr>
                <w:rFonts w:eastAsia="Arial,Arial,Arial,Arial,Arial,A"/>
                <w:b/>
              </w:rPr>
              <w:t>Both a systolic and diastolic reading &lt;140/90 mm Hg.</w:t>
            </w:r>
            <w:r w:rsidRPr="005D4222">
              <w:br/>
              <w:t>Identify the most recent systolic and diastolic BP readings (</w:t>
            </w:r>
            <w:r w:rsidRPr="005D4222">
              <w:rPr>
                <w:u w:val="single"/>
              </w:rPr>
              <w:t>Systolic Blood Pressure Value Set</w:t>
            </w:r>
            <w:r w:rsidRPr="005D4222">
              <w:t xml:space="preserve">; </w:t>
            </w:r>
            <w:r w:rsidRPr="005D4222">
              <w:rPr>
                <w:u w:val="single"/>
              </w:rPr>
              <w:t>Diastolic Blood Pressure Value Set</w:t>
            </w:r>
            <w:r w:rsidRPr="005D4222">
              <w:t>)</w:t>
            </w:r>
            <w:r w:rsidRPr="005D4222">
              <w:rPr>
                <w:rFonts w:ascii="Arial Narrow" w:eastAsia="Arial Narrow" w:hAnsi="Arial Narrow" w:cs="Arial Narrow"/>
                <w:sz w:val="24"/>
                <w:szCs w:val="24"/>
              </w:rPr>
              <w:t xml:space="preserve"> </w:t>
            </w:r>
            <w:r w:rsidRPr="005D4222">
              <w:t>taken during the measurement period. Do not include CPT Category II codes (</w:t>
            </w:r>
            <w:r w:rsidRPr="005D4222">
              <w:rPr>
                <w:u w:val="single"/>
              </w:rPr>
              <w:t>Systolic and Diastolic Result Value Set</w:t>
            </w:r>
            <w:r w:rsidRPr="005D4222">
              <w:t>) with a modifier (</w:t>
            </w:r>
            <w:r w:rsidRPr="005D4222">
              <w:rPr>
                <w:u w:val="single"/>
              </w:rPr>
              <w:t>CPT CAT II Modifier Value Set</w:t>
            </w:r>
            <w:r w:rsidRPr="005D4222">
              <w:t>). Do not include BPs taken in an acute inpatient setting (</w:t>
            </w:r>
            <w:r w:rsidRPr="005D4222">
              <w:rPr>
                <w:u w:val="single"/>
              </w:rPr>
              <w:t>Acute Inpatient Value Set</w:t>
            </w:r>
            <w:r w:rsidRPr="005D4222">
              <w:t xml:space="preserve">; </w:t>
            </w:r>
            <w:r w:rsidRPr="005D4222">
              <w:rPr>
                <w:u w:val="single"/>
              </w:rPr>
              <w:t>Acute Inpatient POS Value Set</w:t>
            </w:r>
            <w:r w:rsidRPr="005D4222">
              <w:t>) or during an ED visit (</w:t>
            </w:r>
            <w:r w:rsidRPr="005D4222">
              <w:rPr>
                <w:u w:val="single"/>
              </w:rPr>
              <w:t>ED Value Set</w:t>
            </w:r>
            <w:r w:rsidRPr="005D4222">
              <w:t>; POS code 23).</w:t>
            </w:r>
          </w:p>
          <w:p w14:paraId="04C1D17D" w14:textId="77777777" w:rsidR="00752760" w:rsidRPr="005D4222" w:rsidRDefault="00752760" w:rsidP="00A53E8C">
            <w:pPr>
              <w:pStyle w:val="Bullet"/>
            </w:pPr>
            <w:r w:rsidRPr="005D4222">
              <w:rPr>
                <w:i/>
                <w:iCs/>
              </w:rPr>
              <w:t>Compliant</w:t>
            </w:r>
            <w:r w:rsidRPr="005D4222">
              <w:t>: BP is &lt;140/90 mm Hg.</w:t>
            </w:r>
          </w:p>
          <w:p w14:paraId="1A8E6B06" w14:textId="286E783E" w:rsidR="00752760" w:rsidRPr="005D4222" w:rsidRDefault="00752760" w:rsidP="00A53E8C">
            <w:pPr>
              <w:pStyle w:val="Bullet"/>
            </w:pPr>
            <w:r w:rsidRPr="005D4222">
              <w:rPr>
                <w:i/>
                <w:iCs/>
              </w:rPr>
              <w:t>Non-compliant</w:t>
            </w:r>
            <w:r w:rsidRPr="005D4222">
              <w:t xml:space="preserve">: BP is </w:t>
            </w:r>
            <w:r w:rsidRPr="005D4222">
              <w:rPr>
                <w:rFonts w:cs="Arial"/>
              </w:rPr>
              <w:t>≥</w:t>
            </w:r>
            <w:r w:rsidRPr="005D4222">
              <w:t>140/90 mm Hg; no BP reading during the measurement period</w:t>
            </w:r>
            <w:r w:rsidR="00BC4178" w:rsidRPr="005D4222">
              <w:t>,</w:t>
            </w:r>
            <w:r w:rsidRPr="005D4222">
              <w:t xml:space="preserve"> or if the reading is incomplete (e.g., the systolic or diastolic level is missing).</w:t>
            </w:r>
          </w:p>
          <w:p w14:paraId="64AC8B03" w14:textId="77777777" w:rsidR="00752760" w:rsidRPr="005D4222" w:rsidRDefault="00752760" w:rsidP="00A53E8C">
            <w:pPr>
              <w:pStyle w:val="ECDSBody"/>
            </w:pPr>
            <w:r w:rsidRPr="005D4222">
              <w:t xml:space="preserve">If there are multiple BPs on the same date of service, use the lowest systolic and lowest diastolic BP on that date as the representative BP. </w:t>
            </w:r>
          </w:p>
          <w:p w14:paraId="4A5DD705" w14:textId="77777777" w:rsidR="00752760" w:rsidRPr="005D4222" w:rsidRDefault="00752760" w:rsidP="00A53E8C">
            <w:pPr>
              <w:pStyle w:val="ECDSBody"/>
            </w:pPr>
            <w:r w:rsidRPr="005D4222">
              <w:t>If the most recent BP was identified based on a CPT Category II code (</w:t>
            </w:r>
            <w:r w:rsidRPr="005D4222">
              <w:rPr>
                <w:u w:val="single"/>
              </w:rPr>
              <w:t>Systolic and Diastolic Result Value Set</w:t>
            </w:r>
            <w:r w:rsidRPr="005D4222">
              <w:t>), use the following to determine compliance:</w:t>
            </w:r>
          </w:p>
          <w:p w14:paraId="0D0EA7FF" w14:textId="77777777" w:rsidR="00752760" w:rsidRPr="005D4222" w:rsidRDefault="00752760" w:rsidP="00A53E8C">
            <w:pPr>
              <w:pStyle w:val="Bullet"/>
            </w:pPr>
            <w:r w:rsidRPr="005D4222">
              <w:rPr>
                <w:i/>
                <w:iCs/>
              </w:rPr>
              <w:t xml:space="preserve">Systolic Compliant: </w:t>
            </w:r>
            <w:r w:rsidRPr="005D4222">
              <w:rPr>
                <w:u w:val="single"/>
              </w:rPr>
              <w:t>Systolic Less Than 140 Value Set</w:t>
            </w:r>
            <w:r w:rsidRPr="005D4222">
              <w:t>.</w:t>
            </w:r>
          </w:p>
          <w:p w14:paraId="064F9890" w14:textId="77777777" w:rsidR="00752760" w:rsidRPr="005D4222" w:rsidRDefault="00752760" w:rsidP="00A53E8C">
            <w:pPr>
              <w:pStyle w:val="Bullet"/>
            </w:pPr>
            <w:r w:rsidRPr="005D4222">
              <w:rPr>
                <w:i/>
                <w:iCs/>
              </w:rPr>
              <w:t>Systolic Not Compliant:</w:t>
            </w:r>
            <w:r w:rsidRPr="005D4222">
              <w:t xml:space="preserve"> CPT-CAT-II code 3077F.</w:t>
            </w:r>
          </w:p>
          <w:p w14:paraId="369C8542" w14:textId="77777777" w:rsidR="00752760" w:rsidRPr="005D4222" w:rsidRDefault="00752760" w:rsidP="00A53E8C">
            <w:pPr>
              <w:pStyle w:val="Bullet"/>
            </w:pPr>
            <w:r w:rsidRPr="005D4222">
              <w:rPr>
                <w:i/>
                <w:iCs/>
              </w:rPr>
              <w:t>Diastolic Compliant:</w:t>
            </w:r>
            <w:r w:rsidRPr="005D4222">
              <w:t xml:space="preserve"> </w:t>
            </w:r>
            <w:r w:rsidRPr="005D4222">
              <w:rPr>
                <w:u w:val="single"/>
              </w:rPr>
              <w:t>Diastolic Less Than 90 Value Set</w:t>
            </w:r>
            <w:r w:rsidRPr="005D4222">
              <w:t>.</w:t>
            </w:r>
          </w:p>
          <w:p w14:paraId="7CD7367E" w14:textId="5C16E0C9" w:rsidR="00752760" w:rsidRPr="005D4222" w:rsidRDefault="00752760" w:rsidP="00BC4178">
            <w:pPr>
              <w:pStyle w:val="Bullet"/>
              <w:spacing w:after="80"/>
              <w:rPr>
                <w:rFonts w:eastAsia="Arial,Arial,Arial,Arial,Arial,A"/>
              </w:rPr>
            </w:pPr>
            <w:r w:rsidRPr="005D4222">
              <w:rPr>
                <w:i/>
                <w:iCs/>
              </w:rPr>
              <w:t xml:space="preserve">Diastolic Not Compliant: </w:t>
            </w:r>
            <w:r w:rsidRPr="005D4222">
              <w:t>CPT-CAT-II code 3080F.</w:t>
            </w:r>
          </w:p>
        </w:tc>
      </w:tr>
      <w:tr w:rsidR="00752760" w:rsidRPr="005D4222" w14:paraId="0C12D824" w14:textId="77777777" w:rsidTr="003A7DC2">
        <w:tc>
          <w:tcPr>
            <w:tcW w:w="2016"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FA0529F" w14:textId="77777777" w:rsidR="00752760" w:rsidRPr="005D4222" w:rsidRDefault="00752760" w:rsidP="00BC4178">
            <w:pPr>
              <w:pStyle w:val="ECDSMarginHead"/>
            </w:pPr>
            <w:r w:rsidRPr="005D4222">
              <w:lastRenderedPageBreak/>
              <w:t>Summary of changes</w:t>
            </w:r>
          </w:p>
        </w:tc>
        <w:tc>
          <w:tcPr>
            <w:tcW w:w="7701"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48E8F0E" w14:textId="0CD6BE79" w:rsidR="00752760" w:rsidRPr="005D4222" w:rsidRDefault="00686B54" w:rsidP="005D6173">
            <w:pPr>
              <w:pStyle w:val="ProcessBullet"/>
              <w:numPr>
                <w:ilvl w:val="0"/>
                <w:numId w:val="98"/>
              </w:numPr>
              <w:tabs>
                <w:tab w:val="left" w:pos="216"/>
              </w:tabs>
              <w:spacing w:before="120"/>
              <w:ind w:left="216" w:hanging="216"/>
            </w:pPr>
            <w:r w:rsidRPr="005D4222">
              <w:t>This is the first year this measure is reported using ECDS and the measure will be in first year status for measurement year 2026.</w:t>
            </w:r>
          </w:p>
        </w:tc>
      </w:tr>
      <w:tr w:rsidR="00752760" w:rsidRPr="005D4222" w14:paraId="5FF288FC" w14:textId="77777777" w:rsidTr="003A7DC2">
        <w:trPr>
          <w:trHeight w:val="45"/>
        </w:trPr>
        <w:tc>
          <w:tcPr>
            <w:tcW w:w="2016"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9FA9E91" w14:textId="77777777" w:rsidR="00752760" w:rsidRPr="005D4222" w:rsidRDefault="00752760" w:rsidP="00BC4178">
            <w:pPr>
              <w:pStyle w:val="ECDSMarginHead"/>
            </w:pPr>
            <w:r w:rsidRPr="005D4222">
              <w:t>Data element tables</w:t>
            </w:r>
          </w:p>
        </w:tc>
        <w:tc>
          <w:tcPr>
            <w:tcW w:w="7701"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EA1F113" w14:textId="77777777" w:rsidR="00752760" w:rsidRPr="005D4222" w:rsidRDefault="00752760" w:rsidP="00A53E8C">
            <w:pPr>
              <w:pStyle w:val="ECDSBody"/>
            </w:pPr>
            <w:r w:rsidRPr="005D4222">
              <w:t>Organizations that submit HEDIS data to NCQA must provide the following data elements.</w:t>
            </w:r>
          </w:p>
          <w:p w14:paraId="15AA3BEC" w14:textId="77777777" w:rsidR="00752760" w:rsidRPr="005D4222" w:rsidRDefault="00752760" w:rsidP="00A53E8C">
            <w:pPr>
              <w:pStyle w:val="Heading3"/>
              <w:spacing w:before="120"/>
            </w:pPr>
            <w:r w:rsidRPr="005D4222">
              <w:t>Table BPD-E-1/2/3: Data Elements for Blood Pressure Control for Patients With Diabetes</w:t>
            </w:r>
          </w:p>
          <w:tbl>
            <w:tblPr>
              <w:tblW w:w="748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016"/>
              <w:gridCol w:w="2982"/>
              <w:gridCol w:w="2490"/>
            </w:tblGrid>
            <w:tr w:rsidR="00752760" w:rsidRPr="005D4222" w14:paraId="24ACE300" w14:textId="77777777" w:rsidTr="00A53E8C">
              <w:trPr>
                <w:trHeight w:val="300"/>
              </w:trPr>
              <w:tc>
                <w:tcPr>
                  <w:tcW w:w="2016" w:type="dxa"/>
                  <w:tcBorders>
                    <w:top w:val="single" w:sz="6" w:space="0" w:color="auto"/>
                    <w:left w:val="single" w:sz="6" w:space="0" w:color="auto"/>
                    <w:bottom w:val="single" w:sz="6" w:space="0" w:color="auto"/>
                    <w:right w:val="single" w:sz="6" w:space="0" w:color="FFFFFF" w:themeColor="background1"/>
                  </w:tcBorders>
                  <w:shd w:val="clear" w:color="auto" w:fill="000000" w:themeFill="text1"/>
                  <w:tcMar>
                    <w:left w:w="72" w:type="dxa"/>
                    <w:right w:w="72" w:type="dxa"/>
                  </w:tcMar>
                  <w:vAlign w:val="center"/>
                  <w:hideMark/>
                </w:tcPr>
                <w:p w14:paraId="3EC9944B" w14:textId="77777777" w:rsidR="00752760" w:rsidRPr="005D4222" w:rsidRDefault="00752760" w:rsidP="00A53E8C">
                  <w:pPr>
                    <w:pStyle w:val="TableHead"/>
                    <w:rPr>
                      <w:rFonts w:ascii="Segoe UI" w:hAnsi="Segoe UI"/>
                      <w:color w:val="FFFFFF"/>
                      <w:sz w:val="18"/>
                      <w:szCs w:val="18"/>
                    </w:rPr>
                  </w:pPr>
                  <w:r w:rsidRPr="005D4222">
                    <w:t>Metric</w:t>
                  </w:r>
                </w:p>
              </w:tc>
              <w:tc>
                <w:tcPr>
                  <w:tcW w:w="2982" w:type="dxa"/>
                  <w:tcBorders>
                    <w:top w:val="single" w:sz="6" w:space="0" w:color="auto"/>
                    <w:left w:val="single" w:sz="6" w:space="0" w:color="FFFFFF" w:themeColor="background1"/>
                    <w:bottom w:val="single" w:sz="6" w:space="0" w:color="auto"/>
                    <w:right w:val="single" w:sz="6" w:space="0" w:color="FFFFFF" w:themeColor="background1"/>
                  </w:tcBorders>
                  <w:shd w:val="clear" w:color="auto" w:fill="000000" w:themeFill="text1"/>
                  <w:tcMar>
                    <w:left w:w="72" w:type="dxa"/>
                    <w:right w:w="72" w:type="dxa"/>
                  </w:tcMar>
                  <w:vAlign w:val="center"/>
                  <w:hideMark/>
                </w:tcPr>
                <w:p w14:paraId="564AC6A1" w14:textId="77777777" w:rsidR="00752760" w:rsidRPr="005D4222" w:rsidRDefault="00752760" w:rsidP="00A53E8C">
                  <w:pPr>
                    <w:pStyle w:val="TableHead"/>
                    <w:rPr>
                      <w:rFonts w:ascii="Segoe UI" w:hAnsi="Segoe UI"/>
                      <w:color w:val="FFFFFF"/>
                      <w:sz w:val="18"/>
                      <w:szCs w:val="18"/>
                    </w:rPr>
                  </w:pPr>
                  <w:r w:rsidRPr="005D4222">
                    <w:t>Data Element</w:t>
                  </w:r>
                </w:p>
              </w:tc>
              <w:tc>
                <w:tcPr>
                  <w:tcW w:w="2490" w:type="dxa"/>
                  <w:tcBorders>
                    <w:top w:val="single" w:sz="6" w:space="0" w:color="auto"/>
                    <w:left w:val="single" w:sz="6" w:space="0" w:color="FFFFFF" w:themeColor="background1"/>
                    <w:bottom w:val="single" w:sz="6" w:space="0" w:color="auto"/>
                    <w:right w:val="single" w:sz="6" w:space="0" w:color="auto"/>
                  </w:tcBorders>
                  <w:shd w:val="clear" w:color="auto" w:fill="000000" w:themeFill="text1"/>
                  <w:tcMar>
                    <w:left w:w="72" w:type="dxa"/>
                    <w:right w:w="72" w:type="dxa"/>
                  </w:tcMar>
                  <w:vAlign w:val="center"/>
                  <w:hideMark/>
                </w:tcPr>
                <w:p w14:paraId="0DB2EFF9" w14:textId="77777777" w:rsidR="00752760" w:rsidRPr="005D4222" w:rsidRDefault="00752760" w:rsidP="00A53E8C">
                  <w:pPr>
                    <w:pStyle w:val="TableHead"/>
                    <w:rPr>
                      <w:rFonts w:ascii="Segoe UI" w:hAnsi="Segoe UI"/>
                      <w:color w:val="FFFFFF"/>
                      <w:sz w:val="18"/>
                      <w:szCs w:val="18"/>
                    </w:rPr>
                  </w:pPr>
                  <w:r w:rsidRPr="005D4222">
                    <w:t>Reporting Instructions</w:t>
                  </w:r>
                </w:p>
              </w:tc>
            </w:tr>
            <w:tr w:rsidR="00752760" w:rsidRPr="005D4222" w14:paraId="0471633B" w14:textId="77777777" w:rsidTr="00A53E8C">
              <w:trPr>
                <w:trHeight w:val="300"/>
              </w:trPr>
              <w:tc>
                <w:tcPr>
                  <w:tcW w:w="2016" w:type="dxa"/>
                  <w:tcBorders>
                    <w:top w:val="single" w:sz="6" w:space="0" w:color="auto"/>
                    <w:left w:val="single" w:sz="6" w:space="0" w:color="auto"/>
                    <w:bottom w:val="nil"/>
                    <w:right w:val="single" w:sz="6" w:space="0" w:color="auto"/>
                  </w:tcBorders>
                  <w:shd w:val="clear" w:color="auto" w:fill="FFFFFF" w:themeFill="background1"/>
                  <w:tcMar>
                    <w:left w:w="72" w:type="dxa"/>
                    <w:right w:w="72" w:type="dxa"/>
                  </w:tcMar>
                  <w:vAlign w:val="center"/>
                  <w:hideMark/>
                </w:tcPr>
                <w:p w14:paraId="178D2BAD" w14:textId="77777777" w:rsidR="00752760" w:rsidRPr="005D4222" w:rsidRDefault="00752760" w:rsidP="00A53E8C">
                  <w:pPr>
                    <w:pStyle w:val="TableText"/>
                    <w:rPr>
                      <w:rFonts w:ascii="Segoe UI" w:hAnsi="Segoe UI"/>
                      <w:sz w:val="18"/>
                      <w:szCs w:val="18"/>
                    </w:rPr>
                  </w:pPr>
                  <w:r w:rsidRPr="005D4222">
                    <w:t xml:space="preserve">BPUnder140Over90 </w:t>
                  </w:r>
                </w:p>
              </w:tc>
              <w:tc>
                <w:tcPr>
                  <w:tcW w:w="2982" w:type="dxa"/>
                  <w:tcBorders>
                    <w:top w:val="single" w:sz="6" w:space="0" w:color="auto"/>
                    <w:left w:val="single" w:sz="6" w:space="0" w:color="auto"/>
                    <w:bottom w:val="single" w:sz="4" w:space="0" w:color="auto"/>
                    <w:right w:val="single" w:sz="6" w:space="0" w:color="auto"/>
                  </w:tcBorders>
                  <w:shd w:val="clear" w:color="auto" w:fill="FFFFFF" w:themeFill="background1"/>
                  <w:tcMar>
                    <w:left w:w="72" w:type="dxa"/>
                    <w:right w:w="72" w:type="dxa"/>
                  </w:tcMar>
                  <w:vAlign w:val="center"/>
                  <w:hideMark/>
                </w:tcPr>
                <w:p w14:paraId="1DD159ED" w14:textId="77777777" w:rsidR="00752760" w:rsidRPr="005D4222" w:rsidRDefault="00752760" w:rsidP="00A53E8C">
                  <w:pPr>
                    <w:pStyle w:val="TableText"/>
                    <w:rPr>
                      <w:rFonts w:ascii="Segoe UI" w:hAnsi="Segoe UI"/>
                      <w:sz w:val="18"/>
                      <w:szCs w:val="18"/>
                    </w:rPr>
                  </w:pPr>
                  <w:r w:rsidRPr="005D4222">
                    <w:t xml:space="preserve">InitialPopulation  </w:t>
                  </w:r>
                </w:p>
              </w:tc>
              <w:tc>
                <w:tcPr>
                  <w:tcW w:w="2490" w:type="dxa"/>
                  <w:tcBorders>
                    <w:top w:val="nil"/>
                    <w:left w:val="single" w:sz="6" w:space="0" w:color="auto"/>
                    <w:bottom w:val="single" w:sz="6" w:space="0" w:color="auto"/>
                    <w:right w:val="single" w:sz="6" w:space="0" w:color="auto"/>
                  </w:tcBorders>
                  <w:shd w:val="clear" w:color="auto" w:fill="FFFFFF" w:themeFill="background1"/>
                  <w:tcMar>
                    <w:left w:w="72" w:type="dxa"/>
                    <w:right w:w="72" w:type="dxa"/>
                  </w:tcMar>
                  <w:vAlign w:val="center"/>
                  <w:hideMark/>
                </w:tcPr>
                <w:p w14:paraId="037396EB" w14:textId="77777777" w:rsidR="00752760" w:rsidRPr="005D4222" w:rsidRDefault="00752760" w:rsidP="00A53E8C">
                  <w:pPr>
                    <w:pStyle w:val="TableText"/>
                    <w:rPr>
                      <w:rFonts w:ascii="Segoe UI" w:hAnsi="Segoe UI"/>
                      <w:sz w:val="18"/>
                      <w:szCs w:val="18"/>
                    </w:rPr>
                  </w:pPr>
                  <w:r w:rsidRPr="005D4222">
                    <w:t xml:space="preserve">Report once </w:t>
                  </w:r>
                </w:p>
              </w:tc>
            </w:tr>
            <w:tr w:rsidR="00752760" w:rsidRPr="005D4222" w14:paraId="509B1E2F" w14:textId="77777777" w:rsidTr="00A53E8C">
              <w:trPr>
                <w:trHeight w:val="300"/>
              </w:trPr>
              <w:tc>
                <w:tcPr>
                  <w:tcW w:w="2016" w:type="dxa"/>
                  <w:tcBorders>
                    <w:top w:val="single" w:sz="4" w:space="0" w:color="auto"/>
                    <w:left w:val="nil"/>
                    <w:bottom w:val="nil"/>
                    <w:right w:val="nil"/>
                  </w:tcBorders>
                  <w:shd w:val="clear" w:color="auto" w:fill="FFFFFF" w:themeFill="background1"/>
                  <w:tcMar>
                    <w:left w:w="72" w:type="dxa"/>
                    <w:right w:w="72" w:type="dxa"/>
                  </w:tcMar>
                  <w:vAlign w:val="center"/>
                  <w:hideMark/>
                </w:tcPr>
                <w:p w14:paraId="0CF88835" w14:textId="77777777" w:rsidR="00752760" w:rsidRPr="005D4222" w:rsidRDefault="00752760" w:rsidP="00A53E8C">
                  <w:pPr>
                    <w:spacing w:before="120"/>
                    <w:textAlignment w:val="baseline"/>
                    <w:rPr>
                      <w:rFonts w:ascii="Segoe UI" w:hAnsi="Segoe UI" w:cs="Segoe UI"/>
                      <w:sz w:val="18"/>
                      <w:szCs w:val="18"/>
                    </w:rPr>
                  </w:pPr>
                  <w:r w:rsidRPr="005D4222">
                    <w:rPr>
                      <w:rFonts w:ascii="Arial Narrow" w:hAnsi="Arial Narrow" w:cs="Segoe UI"/>
                    </w:rPr>
                    <w:t xml:space="preserve">   </w:t>
                  </w:r>
                </w:p>
              </w:tc>
              <w:tc>
                <w:tcPr>
                  <w:tcW w:w="2982" w:type="dxa"/>
                  <w:tcBorders>
                    <w:top w:val="single" w:sz="6" w:space="0" w:color="auto"/>
                    <w:left w:val="single" w:sz="6" w:space="0" w:color="auto"/>
                    <w:bottom w:val="single" w:sz="6" w:space="0" w:color="auto"/>
                    <w:right w:val="single" w:sz="6" w:space="0" w:color="auto"/>
                  </w:tcBorders>
                  <w:shd w:val="clear" w:color="auto" w:fill="FFFFFF" w:themeFill="background1"/>
                  <w:tcMar>
                    <w:left w:w="72" w:type="dxa"/>
                    <w:right w:w="72" w:type="dxa"/>
                  </w:tcMar>
                  <w:hideMark/>
                </w:tcPr>
                <w:p w14:paraId="358E0E74" w14:textId="77777777" w:rsidR="00752760" w:rsidRPr="005D4222" w:rsidRDefault="00752760" w:rsidP="00A53E8C">
                  <w:pPr>
                    <w:pStyle w:val="TableText"/>
                  </w:pPr>
                  <w:r w:rsidRPr="005D4222">
                    <w:t xml:space="preserve">Exclusions  </w:t>
                  </w:r>
                </w:p>
              </w:tc>
              <w:tc>
                <w:tcPr>
                  <w:tcW w:w="2490" w:type="dxa"/>
                  <w:tcBorders>
                    <w:top w:val="nil"/>
                    <w:left w:val="single" w:sz="6" w:space="0" w:color="auto"/>
                    <w:bottom w:val="single" w:sz="6" w:space="0" w:color="auto"/>
                    <w:right w:val="single" w:sz="6" w:space="0" w:color="auto"/>
                  </w:tcBorders>
                  <w:shd w:val="clear" w:color="auto" w:fill="FFFFFF" w:themeFill="background1"/>
                  <w:tcMar>
                    <w:left w:w="72" w:type="dxa"/>
                    <w:right w:w="72" w:type="dxa"/>
                  </w:tcMar>
                  <w:hideMark/>
                </w:tcPr>
                <w:p w14:paraId="25CD50A2" w14:textId="77777777" w:rsidR="00752760" w:rsidRPr="005D4222" w:rsidRDefault="00752760" w:rsidP="00A53E8C">
                  <w:pPr>
                    <w:pStyle w:val="TableText"/>
                  </w:pPr>
                  <w:r w:rsidRPr="005D4222">
                    <w:t xml:space="preserve">Report once </w:t>
                  </w:r>
                </w:p>
              </w:tc>
            </w:tr>
            <w:tr w:rsidR="00752760" w:rsidRPr="005D4222" w14:paraId="010E7A10" w14:textId="77777777" w:rsidTr="00A53E8C">
              <w:trPr>
                <w:trHeight w:val="300"/>
              </w:trPr>
              <w:tc>
                <w:tcPr>
                  <w:tcW w:w="2016" w:type="dxa"/>
                  <w:tcBorders>
                    <w:top w:val="nil"/>
                    <w:left w:val="nil"/>
                    <w:bottom w:val="nil"/>
                    <w:right w:val="nil"/>
                  </w:tcBorders>
                  <w:shd w:val="clear" w:color="auto" w:fill="FFFFFF" w:themeFill="background1"/>
                  <w:tcMar>
                    <w:left w:w="72" w:type="dxa"/>
                    <w:right w:w="72" w:type="dxa"/>
                  </w:tcMar>
                  <w:vAlign w:val="center"/>
                  <w:hideMark/>
                </w:tcPr>
                <w:p w14:paraId="69E1C7EA" w14:textId="77777777" w:rsidR="00752760" w:rsidRPr="005D4222" w:rsidRDefault="00752760" w:rsidP="00A53E8C">
                  <w:pPr>
                    <w:spacing w:before="120"/>
                    <w:textAlignment w:val="baseline"/>
                    <w:rPr>
                      <w:rFonts w:ascii="Segoe UI" w:hAnsi="Segoe UI" w:cs="Segoe UI"/>
                      <w:sz w:val="18"/>
                      <w:szCs w:val="18"/>
                    </w:rPr>
                  </w:pPr>
                  <w:r w:rsidRPr="005D4222">
                    <w:rPr>
                      <w:rFonts w:ascii="Arial Narrow" w:hAnsi="Arial Narrow" w:cs="Segoe UI"/>
                    </w:rPr>
                    <w:t xml:space="preserve">   </w:t>
                  </w:r>
                </w:p>
              </w:tc>
              <w:tc>
                <w:tcPr>
                  <w:tcW w:w="2982" w:type="dxa"/>
                  <w:tcBorders>
                    <w:top w:val="single" w:sz="6" w:space="0" w:color="auto"/>
                    <w:left w:val="single" w:sz="6" w:space="0" w:color="auto"/>
                    <w:bottom w:val="single" w:sz="6" w:space="0" w:color="auto"/>
                    <w:right w:val="single" w:sz="6" w:space="0" w:color="auto"/>
                  </w:tcBorders>
                  <w:shd w:val="clear" w:color="auto" w:fill="FFFFFF" w:themeFill="background1"/>
                  <w:tcMar>
                    <w:left w:w="72" w:type="dxa"/>
                    <w:right w:w="72" w:type="dxa"/>
                  </w:tcMar>
                  <w:hideMark/>
                </w:tcPr>
                <w:p w14:paraId="15BF49DB" w14:textId="77777777" w:rsidR="00752760" w:rsidRPr="005D4222" w:rsidRDefault="00752760" w:rsidP="00A53E8C">
                  <w:pPr>
                    <w:pStyle w:val="TableText"/>
                  </w:pPr>
                  <w:r w:rsidRPr="005D4222">
                    <w:t xml:space="preserve">Denominator  </w:t>
                  </w:r>
                </w:p>
              </w:tc>
              <w:tc>
                <w:tcPr>
                  <w:tcW w:w="2490" w:type="dxa"/>
                  <w:tcBorders>
                    <w:top w:val="single" w:sz="6" w:space="0" w:color="auto"/>
                    <w:left w:val="single" w:sz="6" w:space="0" w:color="auto"/>
                    <w:bottom w:val="single" w:sz="6" w:space="0" w:color="auto"/>
                    <w:right w:val="single" w:sz="6" w:space="0" w:color="auto"/>
                  </w:tcBorders>
                  <w:shd w:val="clear" w:color="auto" w:fill="FFFFFF" w:themeFill="background1"/>
                  <w:tcMar>
                    <w:left w:w="72" w:type="dxa"/>
                    <w:right w:w="72" w:type="dxa"/>
                  </w:tcMar>
                  <w:hideMark/>
                </w:tcPr>
                <w:p w14:paraId="668114F9" w14:textId="77777777" w:rsidR="00752760" w:rsidRPr="005D4222" w:rsidRDefault="00752760" w:rsidP="00A53E8C">
                  <w:pPr>
                    <w:pStyle w:val="TableText"/>
                  </w:pPr>
                  <w:r w:rsidRPr="005D4222">
                    <w:t xml:space="preserve">Report once </w:t>
                  </w:r>
                </w:p>
              </w:tc>
            </w:tr>
            <w:tr w:rsidR="00752760" w:rsidRPr="005D4222" w14:paraId="6D5A3FDC" w14:textId="77777777" w:rsidTr="00A53E8C">
              <w:trPr>
                <w:trHeight w:val="300"/>
              </w:trPr>
              <w:tc>
                <w:tcPr>
                  <w:tcW w:w="2016" w:type="dxa"/>
                  <w:tcBorders>
                    <w:top w:val="nil"/>
                    <w:left w:val="nil"/>
                    <w:bottom w:val="nil"/>
                    <w:right w:val="nil"/>
                  </w:tcBorders>
                  <w:shd w:val="clear" w:color="auto" w:fill="FFFFFF" w:themeFill="background1"/>
                  <w:tcMar>
                    <w:left w:w="72" w:type="dxa"/>
                    <w:right w:w="72" w:type="dxa"/>
                  </w:tcMar>
                  <w:vAlign w:val="center"/>
                  <w:hideMark/>
                </w:tcPr>
                <w:p w14:paraId="236D76FB" w14:textId="77777777" w:rsidR="00752760" w:rsidRPr="005D4222" w:rsidRDefault="00752760" w:rsidP="00A53E8C">
                  <w:pPr>
                    <w:spacing w:before="120"/>
                    <w:textAlignment w:val="baseline"/>
                    <w:rPr>
                      <w:rFonts w:ascii="Segoe UI" w:hAnsi="Segoe UI" w:cs="Segoe UI"/>
                      <w:sz w:val="18"/>
                      <w:szCs w:val="18"/>
                    </w:rPr>
                  </w:pPr>
                  <w:r w:rsidRPr="005D4222">
                    <w:rPr>
                      <w:rFonts w:ascii="Arial Narrow" w:hAnsi="Arial Narrow" w:cs="Segoe UI"/>
                    </w:rPr>
                    <w:t xml:space="preserve">  </w:t>
                  </w:r>
                </w:p>
              </w:tc>
              <w:tc>
                <w:tcPr>
                  <w:tcW w:w="2982" w:type="dxa"/>
                  <w:tcBorders>
                    <w:top w:val="single" w:sz="6" w:space="0" w:color="auto"/>
                    <w:left w:val="single" w:sz="6" w:space="0" w:color="auto"/>
                    <w:bottom w:val="single" w:sz="6" w:space="0" w:color="auto"/>
                    <w:right w:val="single" w:sz="6" w:space="0" w:color="auto"/>
                  </w:tcBorders>
                  <w:shd w:val="clear" w:color="auto" w:fill="FFFFFF" w:themeFill="background1"/>
                  <w:tcMar>
                    <w:left w:w="72" w:type="dxa"/>
                    <w:right w:w="72" w:type="dxa"/>
                  </w:tcMar>
                  <w:vAlign w:val="center"/>
                  <w:hideMark/>
                </w:tcPr>
                <w:p w14:paraId="397A3362" w14:textId="77777777" w:rsidR="00752760" w:rsidRPr="005D4222" w:rsidRDefault="00752760" w:rsidP="00A53E8C">
                  <w:pPr>
                    <w:pStyle w:val="TableText"/>
                    <w:rPr>
                      <w:rFonts w:ascii="Segoe UI" w:hAnsi="Segoe UI"/>
                      <w:sz w:val="18"/>
                      <w:szCs w:val="18"/>
                    </w:rPr>
                  </w:pPr>
                  <w:r w:rsidRPr="005D4222">
                    <w:t xml:space="preserve">Numerator  </w:t>
                  </w:r>
                </w:p>
              </w:tc>
              <w:tc>
                <w:tcPr>
                  <w:tcW w:w="2490" w:type="dxa"/>
                  <w:tcBorders>
                    <w:top w:val="single" w:sz="6" w:space="0" w:color="auto"/>
                    <w:left w:val="single" w:sz="6" w:space="0" w:color="auto"/>
                    <w:bottom w:val="single" w:sz="6" w:space="0" w:color="auto"/>
                    <w:right w:val="single" w:sz="6" w:space="0" w:color="auto"/>
                  </w:tcBorders>
                  <w:shd w:val="clear" w:color="auto" w:fill="FFFFFF" w:themeFill="background1"/>
                  <w:tcMar>
                    <w:left w:w="72" w:type="dxa"/>
                    <w:right w:w="72" w:type="dxa"/>
                  </w:tcMar>
                  <w:vAlign w:val="center"/>
                  <w:hideMark/>
                </w:tcPr>
                <w:p w14:paraId="2011FE6C" w14:textId="77777777" w:rsidR="00752760" w:rsidRPr="005D4222" w:rsidRDefault="00752760" w:rsidP="00A53E8C">
                  <w:pPr>
                    <w:pStyle w:val="TableText"/>
                    <w:rPr>
                      <w:rFonts w:ascii="Segoe UI" w:hAnsi="Segoe UI"/>
                      <w:sz w:val="18"/>
                      <w:szCs w:val="18"/>
                    </w:rPr>
                  </w:pPr>
                  <w:r w:rsidRPr="005D4222">
                    <w:t xml:space="preserve">Report once </w:t>
                  </w:r>
                </w:p>
              </w:tc>
            </w:tr>
            <w:tr w:rsidR="00752760" w:rsidRPr="005D4222" w14:paraId="1D7B2432" w14:textId="77777777" w:rsidTr="00A53E8C">
              <w:trPr>
                <w:trHeight w:val="300"/>
              </w:trPr>
              <w:tc>
                <w:tcPr>
                  <w:tcW w:w="2016" w:type="dxa"/>
                  <w:tcBorders>
                    <w:top w:val="nil"/>
                    <w:left w:val="nil"/>
                    <w:bottom w:val="nil"/>
                    <w:right w:val="nil"/>
                  </w:tcBorders>
                  <w:shd w:val="clear" w:color="auto" w:fill="FFFFFF" w:themeFill="background1"/>
                  <w:tcMar>
                    <w:left w:w="72" w:type="dxa"/>
                    <w:right w:w="72" w:type="dxa"/>
                  </w:tcMar>
                  <w:vAlign w:val="center"/>
                  <w:hideMark/>
                </w:tcPr>
                <w:p w14:paraId="3A50D7D4" w14:textId="77777777" w:rsidR="00752760" w:rsidRPr="005D4222" w:rsidRDefault="00752760" w:rsidP="00A53E8C">
                  <w:pPr>
                    <w:spacing w:before="120"/>
                    <w:textAlignment w:val="baseline"/>
                    <w:rPr>
                      <w:rFonts w:ascii="Segoe UI" w:hAnsi="Segoe UI" w:cs="Segoe UI"/>
                      <w:sz w:val="18"/>
                      <w:szCs w:val="18"/>
                    </w:rPr>
                  </w:pPr>
                  <w:r w:rsidRPr="005D4222">
                    <w:rPr>
                      <w:rFonts w:ascii="Arial Narrow" w:hAnsi="Arial Narrow" w:cs="Segoe UI"/>
                    </w:rPr>
                    <w:t xml:space="preserve"> </w:t>
                  </w:r>
                </w:p>
              </w:tc>
              <w:tc>
                <w:tcPr>
                  <w:tcW w:w="298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72" w:type="dxa"/>
                    <w:right w:w="72" w:type="dxa"/>
                  </w:tcMar>
                  <w:vAlign w:val="center"/>
                  <w:hideMark/>
                </w:tcPr>
                <w:p w14:paraId="4A74B210" w14:textId="77777777" w:rsidR="00752760" w:rsidRPr="005D4222" w:rsidRDefault="00752760" w:rsidP="00A53E8C">
                  <w:pPr>
                    <w:pStyle w:val="TableText"/>
                    <w:rPr>
                      <w:rFonts w:ascii="Segoe UI" w:hAnsi="Segoe UI"/>
                      <w:sz w:val="18"/>
                      <w:szCs w:val="18"/>
                    </w:rPr>
                  </w:pPr>
                  <w:r w:rsidRPr="005D4222">
                    <w:t xml:space="preserve">Rate  </w:t>
                  </w:r>
                </w:p>
              </w:tc>
              <w:tc>
                <w:tcPr>
                  <w:tcW w:w="24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72" w:type="dxa"/>
                    <w:right w:w="72" w:type="dxa"/>
                  </w:tcMar>
                  <w:vAlign w:val="center"/>
                  <w:hideMark/>
                </w:tcPr>
                <w:p w14:paraId="79DFE5AD" w14:textId="77777777" w:rsidR="00752760" w:rsidRPr="005D4222" w:rsidRDefault="00752760" w:rsidP="00A53E8C">
                  <w:pPr>
                    <w:pStyle w:val="TableText"/>
                    <w:rPr>
                      <w:rFonts w:ascii="Segoe UI" w:hAnsi="Segoe UI"/>
                      <w:sz w:val="18"/>
                      <w:szCs w:val="18"/>
                    </w:rPr>
                  </w:pPr>
                  <w:r w:rsidRPr="005D4222">
                    <w:t xml:space="preserve">(Percent)  </w:t>
                  </w:r>
                </w:p>
              </w:tc>
            </w:tr>
          </w:tbl>
          <w:p w14:paraId="18285FDE" w14:textId="77777777" w:rsidR="00752760" w:rsidRPr="005D4222" w:rsidRDefault="00752760" w:rsidP="00A53E8C">
            <w:pPr>
              <w:pStyle w:val="ProcessDash"/>
              <w:numPr>
                <w:ilvl w:val="0"/>
                <w:numId w:val="0"/>
              </w:numPr>
              <w:spacing w:before="120"/>
              <w:rPr>
                <w:rFonts w:cs="Arial"/>
                <w:color w:val="000000" w:themeColor="text1"/>
                <w:highlight w:val="yellow"/>
              </w:rPr>
            </w:pPr>
          </w:p>
        </w:tc>
      </w:tr>
      <w:tr w:rsidR="00752760" w:rsidRPr="005D4222" w14:paraId="260FFD52" w14:textId="77777777" w:rsidTr="003A7DC2">
        <w:trPr>
          <w:trHeight w:val="45"/>
        </w:trPr>
        <w:tc>
          <w:tcPr>
            <w:tcW w:w="2016"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67E145E" w14:textId="77777777" w:rsidR="00752760" w:rsidRPr="005D4222" w:rsidRDefault="00752760" w:rsidP="00BC4178">
            <w:pPr>
              <w:pStyle w:val="ECDSMarginHead"/>
            </w:pPr>
            <w:r w:rsidRPr="005D4222">
              <w:t>Rules for Allowable Adjustments</w:t>
            </w:r>
          </w:p>
        </w:tc>
        <w:tc>
          <w:tcPr>
            <w:tcW w:w="7701"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DE05EC5" w14:textId="77777777" w:rsidR="00752760" w:rsidRPr="005D4222" w:rsidRDefault="00752760" w:rsidP="00A53E8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7766F2C4" w14:textId="77777777" w:rsidR="00BC4178" w:rsidRPr="005D4222" w:rsidRDefault="00752760" w:rsidP="00BC4178">
            <w:pPr>
              <w:pStyle w:val="ECDSBody"/>
              <w:rPr>
                <w:b/>
                <w:bCs w:val="0"/>
              </w:rPr>
            </w:pPr>
            <w:r w:rsidRPr="005D4222">
              <w:rPr>
                <w:b/>
                <w:bCs w:val="0"/>
              </w:rPr>
              <w:t>Adjusted HEDIS measures may not be used for HEDIS health plan reporting.</w:t>
            </w:r>
          </w:p>
          <w:p w14:paraId="03A098E4" w14:textId="549BC87B" w:rsidR="00752760" w:rsidRPr="005D4222" w:rsidRDefault="00752760" w:rsidP="00A53E8C">
            <w:pPr>
              <w:pStyle w:val="Adjustments"/>
            </w:pPr>
            <w:r w:rsidRPr="005D4222">
              <w:t>Adjustments allowed</w:t>
            </w:r>
          </w:p>
          <w:p w14:paraId="431616D4" w14:textId="2ADC0FEB" w:rsidR="00752760" w:rsidRPr="005D4222" w:rsidRDefault="00752760" w:rsidP="005D6173">
            <w:pPr>
              <w:pStyle w:val="ProcessBullet"/>
              <w:numPr>
                <w:ilvl w:val="0"/>
                <w:numId w:val="159"/>
              </w:numPr>
              <w:tabs>
                <w:tab w:val="left" w:pos="216"/>
              </w:tabs>
              <w:ind w:left="216" w:hanging="216"/>
              <w:rPr>
                <w:b/>
                <w:color w:val="000000" w:themeColor="text1"/>
              </w:rPr>
            </w:pPr>
            <w:r w:rsidRPr="005D4222">
              <w:rPr>
                <w:i/>
              </w:rPr>
              <w:t xml:space="preserve">Product lines. </w:t>
            </w:r>
            <w:r w:rsidRPr="005D4222">
              <w:rPr>
                <w:rFonts w:eastAsia="Arial"/>
              </w:rPr>
              <w:t>Organizations are not required to use product line criteria; product lines may be combined</w:t>
            </w:r>
            <w:r w:rsidR="00E8671F" w:rsidRPr="005D4222">
              <w:rPr>
                <w:rFonts w:eastAsia="Arial"/>
              </w:rPr>
              <w:t>,</w:t>
            </w:r>
            <w:r w:rsidRPr="005D4222">
              <w:rPr>
                <w:rFonts w:eastAsia="Arial"/>
              </w:rPr>
              <w:t xml:space="preserve"> and all (or no) product line criteria may be used.</w:t>
            </w:r>
          </w:p>
          <w:p w14:paraId="41769F1A" w14:textId="77777777" w:rsidR="00752760" w:rsidRPr="005D4222" w:rsidRDefault="00752760" w:rsidP="005D6173">
            <w:pPr>
              <w:pStyle w:val="ProcessBullet"/>
              <w:numPr>
                <w:ilvl w:val="0"/>
                <w:numId w:val="159"/>
              </w:numPr>
              <w:tabs>
                <w:tab w:val="left" w:pos="216"/>
              </w:tabs>
              <w:ind w:left="216" w:hanging="216"/>
              <w:rPr>
                <w:b/>
                <w:bCs/>
                <w:color w:val="000000" w:themeColor="text1"/>
              </w:rPr>
            </w:pPr>
            <w:r w:rsidRPr="005D4222">
              <w:rPr>
                <w:i/>
                <w:iCs/>
              </w:rPr>
              <w:t>Attribution.</w:t>
            </w:r>
            <w:r w:rsidRPr="005D4222">
              <w:t xml:space="preserve"> Organizations are not required to use enrollment criteria. </w:t>
            </w:r>
          </w:p>
          <w:p w14:paraId="7EC28B59" w14:textId="50FB4B50" w:rsidR="00752760" w:rsidRPr="005D4222" w:rsidRDefault="00362E76" w:rsidP="005D6173">
            <w:pPr>
              <w:pStyle w:val="ProcessBullet"/>
              <w:numPr>
                <w:ilvl w:val="0"/>
                <w:numId w:val="159"/>
              </w:numPr>
              <w:tabs>
                <w:tab w:val="left" w:pos="216"/>
              </w:tabs>
              <w:ind w:left="216" w:hanging="216"/>
              <w:rPr>
                <w:b/>
                <w:bCs/>
                <w:color w:val="000000" w:themeColor="text1"/>
              </w:rPr>
            </w:pPr>
            <w:r w:rsidRPr="005D4222">
              <w:rPr>
                <w:i/>
                <w:iCs/>
              </w:rPr>
              <w:t>Benefits.</w:t>
            </w:r>
            <w:r w:rsidR="00752760" w:rsidRPr="005D4222">
              <w:t xml:space="preserve"> Organizations are not required to use a benefit.</w:t>
            </w:r>
          </w:p>
          <w:p w14:paraId="0868CC8C" w14:textId="77777777" w:rsidR="00752760" w:rsidRPr="005D4222" w:rsidRDefault="00752760" w:rsidP="005D6173">
            <w:pPr>
              <w:pStyle w:val="ProcessBullet"/>
              <w:numPr>
                <w:ilvl w:val="0"/>
                <w:numId w:val="159"/>
              </w:numPr>
              <w:tabs>
                <w:tab w:val="left" w:pos="216"/>
              </w:tabs>
              <w:ind w:left="216" w:hanging="216"/>
              <w:rPr>
                <w:b/>
                <w:bCs/>
                <w:color w:val="000000" w:themeColor="text1"/>
              </w:rPr>
            </w:pPr>
            <w:r w:rsidRPr="005D4222">
              <w:rPr>
                <w:i/>
                <w:iCs/>
              </w:rPr>
              <w:t>Other.</w:t>
            </w:r>
            <w:r w:rsidRPr="005D4222">
              <w:t xml:space="preserve"> Organizations may use additional initial population criteria to focus on an area of interest defined by gender, race, ethnicity, socioeconomic or sociodemographic characteristics, geographic region or another characteristic.</w:t>
            </w:r>
          </w:p>
          <w:p w14:paraId="377BCA09" w14:textId="77777777" w:rsidR="00752760" w:rsidRPr="005D4222" w:rsidRDefault="00752760" w:rsidP="005D6173">
            <w:pPr>
              <w:pStyle w:val="ProcessBullet"/>
              <w:numPr>
                <w:ilvl w:val="0"/>
                <w:numId w:val="159"/>
              </w:numPr>
              <w:tabs>
                <w:tab w:val="left" w:pos="216"/>
              </w:tabs>
              <w:ind w:left="216" w:hanging="216"/>
              <w:rPr>
                <w:b/>
                <w:bCs/>
                <w:color w:val="000000" w:themeColor="text1"/>
              </w:rPr>
            </w:pPr>
            <w:r w:rsidRPr="005D4222">
              <w:rPr>
                <w:i/>
                <w:iCs/>
              </w:rPr>
              <w:t>Measurement period adjustments.</w:t>
            </w:r>
            <w:r w:rsidRPr="005D4222">
              <w:t xml:space="preserve"> Organizations may adjust the measurement period. </w:t>
            </w:r>
          </w:p>
          <w:p w14:paraId="2302976F" w14:textId="2733326B" w:rsidR="00752760" w:rsidRPr="005D4222" w:rsidRDefault="00752760" w:rsidP="005D6173">
            <w:pPr>
              <w:pStyle w:val="ProcessBullet"/>
              <w:numPr>
                <w:ilvl w:val="0"/>
                <w:numId w:val="159"/>
              </w:numPr>
              <w:tabs>
                <w:tab w:val="left" w:pos="216"/>
              </w:tabs>
              <w:ind w:left="216" w:hanging="216"/>
              <w:rPr>
                <w:b/>
                <w:bCs/>
                <w:color w:val="000000" w:themeColor="text1"/>
              </w:rPr>
            </w:pPr>
            <w:r w:rsidRPr="005D4222">
              <w:rPr>
                <w:i/>
                <w:iCs/>
              </w:rPr>
              <w:t>Exclusions.</w:t>
            </w:r>
            <w:r w:rsidRPr="005D4222">
              <w:t xml:space="preserve"> </w:t>
            </w:r>
            <w:r w:rsidR="004B3DD3" w:rsidRPr="005D4222">
              <w:t>The h</w:t>
            </w:r>
            <w:r w:rsidRPr="005D4222">
              <w:t xml:space="preserve">ospice, deceased persons, palliative care, I-SNP, LTI, frailty or advanced illness exclusions are not required. </w:t>
            </w:r>
          </w:p>
          <w:p w14:paraId="357840D6" w14:textId="386EA69F" w:rsidR="00752760" w:rsidRPr="005D4222" w:rsidRDefault="00752760" w:rsidP="005D6173">
            <w:pPr>
              <w:pStyle w:val="ProcessBullet"/>
              <w:numPr>
                <w:ilvl w:val="0"/>
                <w:numId w:val="159"/>
              </w:numPr>
              <w:tabs>
                <w:tab w:val="left" w:pos="216"/>
              </w:tabs>
              <w:ind w:left="216" w:hanging="216"/>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w:t>
            </w:r>
            <w:r w:rsidR="007D4B79" w:rsidRPr="005D4222">
              <w:t>events/diagnoses</w:t>
            </w:r>
            <w:r w:rsidRPr="005D4222">
              <w:t>, numerators and exclusions that do not allow the use of telehealth.</w:t>
            </w:r>
          </w:p>
          <w:p w14:paraId="615C1E78" w14:textId="77777777" w:rsidR="00752760" w:rsidRPr="005D4222" w:rsidRDefault="00752760" w:rsidP="00A53E8C">
            <w:pPr>
              <w:pStyle w:val="Adjustments"/>
            </w:pPr>
            <w:r w:rsidRPr="005D4222">
              <w:t>Adjustments allowed with limits</w:t>
            </w:r>
          </w:p>
          <w:p w14:paraId="5F499CC4" w14:textId="73C72E4D" w:rsidR="00993B4B" w:rsidRPr="005D4222" w:rsidRDefault="00752760" w:rsidP="005D6173">
            <w:pPr>
              <w:pStyle w:val="ProcessBullet"/>
              <w:numPr>
                <w:ilvl w:val="0"/>
                <w:numId w:val="160"/>
              </w:numPr>
              <w:tabs>
                <w:tab w:val="left" w:pos="216"/>
              </w:tabs>
              <w:spacing w:after="80"/>
              <w:ind w:left="216" w:hanging="216"/>
            </w:pPr>
            <w:r w:rsidRPr="005D4222">
              <w:rPr>
                <w:rFonts w:eastAsia="Arial"/>
                <w:i/>
                <w:iCs/>
              </w:rPr>
              <w:t xml:space="preserve">Ages. </w:t>
            </w:r>
            <w:r w:rsidRPr="005D4222">
              <w:rPr>
                <w:rFonts w:eastAsia="Arial"/>
              </w:rPr>
              <w:t>Age determination dates may be changed (e.g., select, “age as of June 30”). Changing the denominator age range is allowed within a specified age range (</w:t>
            </w:r>
            <w:r w:rsidRPr="005D4222" w:rsidDel="00456031">
              <w:rPr>
                <w:rFonts w:eastAsia="Arial"/>
              </w:rPr>
              <w:t xml:space="preserve">ages </w:t>
            </w:r>
            <w:r w:rsidRPr="005D4222">
              <w:rPr>
                <w:rFonts w:eastAsia="Arial"/>
              </w:rPr>
              <w:t>18–75 years). The denominator age may not be expanded.</w:t>
            </w:r>
          </w:p>
        </w:tc>
      </w:tr>
      <w:tr w:rsidR="00993B4B" w:rsidRPr="005D4222" w14:paraId="78ABDC22" w14:textId="77777777" w:rsidTr="003A7DC2">
        <w:trPr>
          <w:trHeight w:val="45"/>
        </w:trPr>
        <w:tc>
          <w:tcPr>
            <w:tcW w:w="2016"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FDDA89C" w14:textId="77777777" w:rsidR="00993B4B" w:rsidRPr="005D4222" w:rsidRDefault="00993B4B" w:rsidP="00BC4178">
            <w:pPr>
              <w:pStyle w:val="ECDSMarginHead"/>
            </w:pPr>
          </w:p>
        </w:tc>
        <w:tc>
          <w:tcPr>
            <w:tcW w:w="7701"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39E313A" w14:textId="77777777" w:rsidR="00993B4B" w:rsidRPr="005D4222" w:rsidRDefault="00993B4B" w:rsidP="009F27AD">
            <w:pPr>
              <w:pStyle w:val="Adjustments"/>
              <w:spacing w:before="120"/>
            </w:pPr>
            <w:r w:rsidRPr="005D4222">
              <w:t>Adjustments not allowed</w:t>
            </w:r>
          </w:p>
          <w:p w14:paraId="56D343D4" w14:textId="77777777" w:rsidR="00993B4B" w:rsidRPr="005D4222" w:rsidRDefault="00993B4B" w:rsidP="005D6173">
            <w:pPr>
              <w:pStyle w:val="ProcessBullet"/>
              <w:numPr>
                <w:ilvl w:val="0"/>
                <w:numId w:val="98"/>
              </w:numPr>
              <w:tabs>
                <w:tab w:val="left" w:pos="216"/>
              </w:tabs>
              <w:spacing w:after="80"/>
              <w:ind w:left="216" w:hanging="216"/>
            </w:pPr>
            <w:r w:rsidRPr="005D4222">
              <w:rPr>
                <w:i/>
                <w:iCs/>
              </w:rPr>
              <w:t xml:space="preserve">Initial population: </w:t>
            </w:r>
            <w:r w:rsidRPr="005D4222">
              <w:t>Event. Only events or diagnoses that contain (or map to) codes in the medication lists and value sets may be used to identify visits. Medication lists, value sets and logic may not be changed.</w:t>
            </w:r>
          </w:p>
          <w:p w14:paraId="359A39E5" w14:textId="18F15446" w:rsidR="00993B4B" w:rsidRPr="005D4222" w:rsidRDefault="00993B4B" w:rsidP="005D6173">
            <w:pPr>
              <w:pStyle w:val="ProcessBullet"/>
              <w:numPr>
                <w:ilvl w:val="0"/>
                <w:numId w:val="98"/>
              </w:numPr>
              <w:tabs>
                <w:tab w:val="left" w:pos="216"/>
              </w:tabs>
              <w:spacing w:after="80"/>
              <w:ind w:left="216" w:hanging="216"/>
            </w:pPr>
            <w:r w:rsidRPr="005D4222">
              <w:rPr>
                <w:i/>
                <w:iCs/>
              </w:rPr>
              <w:t xml:space="preserve">Numerator. </w:t>
            </w:r>
            <w:r w:rsidRPr="005D4222">
              <w:rPr>
                <w:rFonts w:eastAsia="Arial"/>
              </w:rPr>
              <w:t>Value sets and logic may not be changed.</w:t>
            </w:r>
          </w:p>
        </w:tc>
      </w:tr>
    </w:tbl>
    <w:p w14:paraId="60ED9033" w14:textId="77777777" w:rsidR="00BC4178" w:rsidRPr="005D4222" w:rsidRDefault="00BC4178" w:rsidP="00BC4178">
      <w:pPr>
        <w:pStyle w:val="ECDSBody"/>
        <w:spacing w:before="0" w:after="0"/>
        <w:rPr>
          <w:sz w:val="20"/>
          <w:szCs w:val="20"/>
        </w:rPr>
        <w:sectPr w:rsidR="00BC4178" w:rsidRPr="005D4222" w:rsidSect="0074514A">
          <w:headerReference w:type="default" r:id="rId226"/>
          <w:type w:val="nextColumn"/>
          <w:pgSz w:w="12240" w:h="15840" w:code="1"/>
          <w:pgMar w:top="1080" w:right="1080" w:bottom="1080" w:left="1440" w:header="720" w:footer="720" w:gutter="0"/>
          <w:cols w:space="720"/>
          <w:docGrid w:linePitch="360"/>
        </w:sectPr>
      </w:pPr>
    </w:p>
    <w:p w14:paraId="65239DAB" w14:textId="3D3399A5" w:rsidR="00D56063" w:rsidRPr="005D4222" w:rsidRDefault="00BB1C38" w:rsidP="00BB1C38">
      <w:pPr>
        <w:pStyle w:val="MeasureTitle"/>
      </w:pPr>
      <w:bookmarkStart w:id="421" w:name="_Toc201813476"/>
      <w:r w:rsidRPr="005D4222">
        <w:lastRenderedPageBreak/>
        <w:t>Statin Therapy for Patients With Diabetes</w:t>
      </w:r>
      <w:r w:rsidR="008A5901" w:rsidRPr="005D4222">
        <w:t xml:space="preserve"> (SPD-E)</w:t>
      </w:r>
      <w:bookmarkEnd w:id="421"/>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15" w:type="dxa"/>
          <w:bottom w:w="40" w:type="dxa"/>
          <w:right w:w="15" w:type="dxa"/>
        </w:tblCellMar>
        <w:tblLook w:val="04A0" w:firstRow="1" w:lastRow="0" w:firstColumn="1" w:lastColumn="0" w:noHBand="0" w:noVBand="1"/>
      </w:tblPr>
      <w:tblGrid>
        <w:gridCol w:w="2156"/>
        <w:gridCol w:w="4762"/>
        <w:gridCol w:w="1700"/>
        <w:gridCol w:w="1096"/>
      </w:tblGrid>
      <w:tr w:rsidR="004357B8" w:rsidRPr="005D4222" w14:paraId="7AB3445A" w14:textId="77777777" w:rsidTr="00A53E8C">
        <w:tc>
          <w:tcPr>
            <w:tcW w:w="1110" w:type="pct"/>
            <w:shd w:val="clear" w:color="auto" w:fill="BFBFBF" w:themeFill="background1" w:themeFillShade="BF"/>
            <w:tcMar>
              <w:top w:w="0" w:type="dxa"/>
              <w:left w:w="86" w:type="dxa"/>
              <w:bottom w:w="43" w:type="dxa"/>
              <w:right w:w="86" w:type="dxa"/>
            </w:tcMar>
            <w:hideMark/>
          </w:tcPr>
          <w:p w14:paraId="64D01F04" w14:textId="77777777" w:rsidR="004357B8" w:rsidRPr="005D4222" w:rsidRDefault="004357B8" w:rsidP="00A53E8C">
            <w:pPr>
              <w:pStyle w:val="ECDSMarginHead"/>
            </w:pPr>
            <w:r w:rsidRPr="005D4222">
              <w:t>Measure title</w:t>
            </w:r>
          </w:p>
        </w:tc>
        <w:tc>
          <w:tcPr>
            <w:tcW w:w="2451" w:type="pct"/>
            <w:tcMar>
              <w:top w:w="0" w:type="dxa"/>
              <w:left w:w="86" w:type="dxa"/>
              <w:bottom w:w="43" w:type="dxa"/>
              <w:right w:w="86" w:type="dxa"/>
            </w:tcMar>
          </w:tcPr>
          <w:p w14:paraId="1F42CE6C" w14:textId="77777777" w:rsidR="004357B8" w:rsidRPr="005D4222" w:rsidRDefault="004357B8" w:rsidP="00A53E8C">
            <w:pPr>
              <w:pStyle w:val="ECDSBody"/>
            </w:pPr>
            <w:r w:rsidRPr="005D4222">
              <w:t>Statin Therapy for Patients With Diabetes</w:t>
            </w:r>
          </w:p>
        </w:tc>
        <w:tc>
          <w:tcPr>
            <w:tcW w:w="875" w:type="pct"/>
            <w:shd w:val="clear" w:color="auto" w:fill="BFBFBF" w:themeFill="background1" w:themeFillShade="BF"/>
            <w:tcMar>
              <w:top w:w="0" w:type="dxa"/>
              <w:left w:w="86" w:type="dxa"/>
              <w:bottom w:w="43" w:type="dxa"/>
              <w:right w:w="86" w:type="dxa"/>
            </w:tcMar>
          </w:tcPr>
          <w:p w14:paraId="60F5C346" w14:textId="77777777" w:rsidR="004357B8" w:rsidRPr="005D4222" w:rsidRDefault="004357B8" w:rsidP="00A53E8C">
            <w:pPr>
              <w:pStyle w:val="ECDSMarginHead"/>
            </w:pPr>
            <w:r w:rsidRPr="005D4222">
              <w:t>Measure ID</w:t>
            </w:r>
          </w:p>
        </w:tc>
        <w:tc>
          <w:tcPr>
            <w:tcW w:w="564" w:type="pct"/>
            <w:tcMar>
              <w:top w:w="0" w:type="dxa"/>
              <w:left w:w="86" w:type="dxa"/>
              <w:bottom w:w="43" w:type="dxa"/>
              <w:right w:w="86" w:type="dxa"/>
            </w:tcMar>
          </w:tcPr>
          <w:p w14:paraId="4F513D8E" w14:textId="77777777" w:rsidR="004357B8" w:rsidRPr="005D4222" w:rsidRDefault="004357B8" w:rsidP="00A53E8C">
            <w:pPr>
              <w:pStyle w:val="ECDSBody"/>
            </w:pPr>
            <w:r w:rsidRPr="005D4222">
              <w:t>SPD-E</w:t>
            </w:r>
          </w:p>
        </w:tc>
      </w:tr>
      <w:tr w:rsidR="004357B8" w:rsidRPr="005D4222" w14:paraId="7E070CB1" w14:textId="77777777" w:rsidTr="00A53E8C">
        <w:tc>
          <w:tcPr>
            <w:tcW w:w="1110" w:type="pct"/>
            <w:shd w:val="clear" w:color="auto" w:fill="BFBFBF" w:themeFill="background1" w:themeFillShade="BF"/>
            <w:tcMar>
              <w:top w:w="0" w:type="dxa"/>
              <w:left w:w="86" w:type="dxa"/>
              <w:bottom w:w="43" w:type="dxa"/>
              <w:right w:w="86" w:type="dxa"/>
            </w:tcMar>
            <w:hideMark/>
          </w:tcPr>
          <w:p w14:paraId="4A5233BF" w14:textId="77777777" w:rsidR="004357B8" w:rsidRPr="005D4222" w:rsidRDefault="004357B8" w:rsidP="00A53E8C">
            <w:pPr>
              <w:pStyle w:val="ECDSMarginHead"/>
            </w:pPr>
            <w:r w:rsidRPr="005D4222">
              <w:t>Description</w:t>
            </w:r>
          </w:p>
        </w:tc>
        <w:tc>
          <w:tcPr>
            <w:tcW w:w="3890" w:type="pct"/>
            <w:gridSpan w:val="3"/>
            <w:tcMar>
              <w:top w:w="0" w:type="dxa"/>
              <w:left w:w="86" w:type="dxa"/>
              <w:bottom w:w="43" w:type="dxa"/>
              <w:right w:w="86" w:type="dxa"/>
            </w:tcMar>
          </w:tcPr>
          <w:p w14:paraId="4E97F463" w14:textId="77777777" w:rsidR="004357B8" w:rsidRPr="005D4222" w:rsidRDefault="004357B8" w:rsidP="00A53E8C">
            <w:pPr>
              <w:pStyle w:val="ECDSBody"/>
            </w:pPr>
            <w:r w:rsidRPr="005D4222">
              <w:t>The percentage of persons 40–75 years of age during the measurement period with diabetes who do not have clinical atherosclerotic cardiovascular disease (ASCVD) and met the following criteria. Two rates are reported:</w:t>
            </w:r>
          </w:p>
          <w:p w14:paraId="3687572D" w14:textId="77777777" w:rsidR="004357B8" w:rsidRPr="005D4222" w:rsidRDefault="004357B8" w:rsidP="00A53E8C">
            <w:pPr>
              <w:pStyle w:val="Body"/>
              <w:spacing w:before="80"/>
              <w:ind w:left="648" w:hanging="288"/>
            </w:pPr>
            <w:r w:rsidRPr="005D4222">
              <w:t>1.</w:t>
            </w:r>
            <w:r w:rsidRPr="005D4222">
              <w:tab/>
            </w:r>
            <w:r w:rsidRPr="005D4222">
              <w:rPr>
                <w:i/>
                <w:iCs/>
              </w:rPr>
              <w:t>Received Statin Therapy.</w:t>
            </w:r>
            <w:r w:rsidRPr="005D4222">
              <w:t xml:space="preserve"> Persons who were dispensed at least one statin medication of any intensity during the measurement period.</w:t>
            </w:r>
          </w:p>
          <w:p w14:paraId="012831B1" w14:textId="77777777" w:rsidR="004357B8" w:rsidRPr="005D4222" w:rsidRDefault="004357B8" w:rsidP="00A53E8C">
            <w:pPr>
              <w:pStyle w:val="Body"/>
              <w:spacing w:before="80"/>
              <w:ind w:left="648" w:hanging="288"/>
            </w:pPr>
            <w:r w:rsidRPr="005D4222">
              <w:t>2.</w:t>
            </w:r>
            <w:r w:rsidRPr="005D4222">
              <w:tab/>
            </w:r>
            <w:r w:rsidRPr="005D4222">
              <w:rPr>
                <w:i/>
                <w:iCs/>
              </w:rPr>
              <w:t>Statin Adherence 80%.</w:t>
            </w:r>
            <w:r w:rsidRPr="005D4222">
              <w:t xml:space="preserve"> Persons who remained on a statin medication of any intensity for at least 80% of the treatment period.</w:t>
            </w:r>
          </w:p>
        </w:tc>
      </w:tr>
      <w:tr w:rsidR="004357B8" w:rsidRPr="005D4222" w14:paraId="39EB2189" w14:textId="77777777" w:rsidTr="00A53E8C">
        <w:tc>
          <w:tcPr>
            <w:tcW w:w="1110" w:type="pct"/>
            <w:shd w:val="clear" w:color="auto" w:fill="BFBFBF" w:themeFill="background1" w:themeFillShade="BF"/>
            <w:tcMar>
              <w:top w:w="0" w:type="dxa"/>
              <w:left w:w="86" w:type="dxa"/>
              <w:bottom w:w="43" w:type="dxa"/>
              <w:right w:w="86" w:type="dxa"/>
            </w:tcMar>
          </w:tcPr>
          <w:p w14:paraId="6F7EE7BF" w14:textId="77777777" w:rsidR="004357B8" w:rsidRPr="005D4222" w:rsidRDefault="004357B8" w:rsidP="00A53E8C">
            <w:pPr>
              <w:pStyle w:val="ECDSMarginHead"/>
            </w:pPr>
            <w:r w:rsidRPr="005D4222">
              <w:t>Measurement period</w:t>
            </w:r>
          </w:p>
        </w:tc>
        <w:tc>
          <w:tcPr>
            <w:tcW w:w="3890" w:type="pct"/>
            <w:gridSpan w:val="3"/>
            <w:tcMar>
              <w:top w:w="0" w:type="dxa"/>
              <w:left w:w="86" w:type="dxa"/>
              <w:bottom w:w="43" w:type="dxa"/>
              <w:right w:w="86" w:type="dxa"/>
            </w:tcMar>
          </w:tcPr>
          <w:p w14:paraId="728D8318" w14:textId="77777777" w:rsidR="004357B8" w:rsidRPr="005D4222" w:rsidRDefault="004357B8" w:rsidP="00A53E8C">
            <w:pPr>
              <w:pStyle w:val="ECDSBody"/>
            </w:pPr>
            <w:r w:rsidRPr="005D4222">
              <w:t xml:space="preserve">January 1–December 31. </w:t>
            </w:r>
          </w:p>
        </w:tc>
      </w:tr>
      <w:tr w:rsidR="004357B8" w:rsidRPr="005D4222" w14:paraId="6B9F4BD2" w14:textId="77777777" w:rsidTr="00A53E8C">
        <w:tc>
          <w:tcPr>
            <w:tcW w:w="1110" w:type="pct"/>
            <w:shd w:val="clear" w:color="auto" w:fill="BFBFBF" w:themeFill="background1" w:themeFillShade="BF"/>
            <w:tcMar>
              <w:top w:w="0" w:type="dxa"/>
              <w:left w:w="86" w:type="dxa"/>
              <w:bottom w:w="43" w:type="dxa"/>
              <w:right w:w="86" w:type="dxa"/>
            </w:tcMar>
            <w:hideMark/>
          </w:tcPr>
          <w:p w14:paraId="0C725B51" w14:textId="77777777" w:rsidR="004357B8" w:rsidRPr="005D4222" w:rsidRDefault="004357B8" w:rsidP="00A53E8C">
            <w:pPr>
              <w:pStyle w:val="ECDSMarginHead"/>
              <w:rPr>
                <w:rFonts w:eastAsia="Arial"/>
              </w:rPr>
            </w:pPr>
            <w:r w:rsidRPr="005D4222">
              <w:rPr>
                <w:rFonts w:eastAsia="Arial"/>
              </w:rPr>
              <w:t>Copyright and disclaimer notice</w:t>
            </w:r>
          </w:p>
        </w:tc>
        <w:tc>
          <w:tcPr>
            <w:tcW w:w="3890" w:type="pct"/>
            <w:gridSpan w:val="3"/>
            <w:tcMar>
              <w:top w:w="0" w:type="dxa"/>
              <w:left w:w="86" w:type="dxa"/>
              <w:bottom w:w="43" w:type="dxa"/>
              <w:right w:w="86" w:type="dxa"/>
            </w:tcMar>
          </w:tcPr>
          <w:p w14:paraId="1A25DE09" w14:textId="77777777" w:rsidR="004357B8" w:rsidRPr="005D4222" w:rsidRDefault="004357B8" w:rsidP="00A53E8C">
            <w:pPr>
              <w:pStyle w:val="ECDSBody"/>
            </w:pPr>
            <w:r w:rsidRPr="005D4222">
              <w:t xml:space="preserve">Refer to the complete copyright and disclaimer information at the front of this publication. </w:t>
            </w:r>
          </w:p>
          <w:p w14:paraId="39C3CE2B" w14:textId="77777777" w:rsidR="004357B8" w:rsidRPr="005D4222" w:rsidRDefault="004357B8" w:rsidP="00A53E8C">
            <w:pPr>
              <w:pStyle w:val="ECDSBody"/>
              <w:spacing w:before="80"/>
            </w:pPr>
            <w:r w:rsidRPr="005D4222">
              <w:t xml:space="preserve">NCQA website: </w:t>
            </w:r>
            <w:r w:rsidRPr="005D4222">
              <w:rPr>
                <w:u w:val="single"/>
              </w:rPr>
              <w:t>www.ncqa.org</w:t>
            </w:r>
            <w:r w:rsidRPr="005D4222">
              <w:t>.</w:t>
            </w:r>
          </w:p>
          <w:p w14:paraId="27C92BBA" w14:textId="77777777" w:rsidR="004357B8" w:rsidRPr="005D4222" w:rsidRDefault="004357B8" w:rsidP="00A53E8C">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4357B8" w:rsidRPr="005D4222" w14:paraId="46499B77" w14:textId="77777777" w:rsidTr="00A53E8C">
        <w:trPr>
          <w:trHeight w:val="655"/>
        </w:trPr>
        <w:tc>
          <w:tcPr>
            <w:tcW w:w="1110" w:type="pct"/>
            <w:shd w:val="clear" w:color="auto" w:fill="BFBFBF" w:themeFill="background1" w:themeFillShade="BF"/>
            <w:tcMar>
              <w:top w:w="0" w:type="dxa"/>
              <w:left w:w="86" w:type="dxa"/>
              <w:bottom w:w="43" w:type="dxa"/>
              <w:right w:w="86" w:type="dxa"/>
            </w:tcMar>
            <w:hideMark/>
          </w:tcPr>
          <w:p w14:paraId="592C9B8B" w14:textId="77777777" w:rsidR="004357B8" w:rsidRPr="005D4222" w:rsidRDefault="004357B8" w:rsidP="00A53E8C">
            <w:pPr>
              <w:pStyle w:val="ECDSMarginHead"/>
            </w:pPr>
            <w:r w:rsidRPr="005D4222">
              <w:t>Clinical recommendation statement and rationale</w:t>
            </w:r>
          </w:p>
        </w:tc>
        <w:tc>
          <w:tcPr>
            <w:tcW w:w="3890" w:type="pct"/>
            <w:gridSpan w:val="3"/>
            <w:tcMar>
              <w:top w:w="0" w:type="dxa"/>
              <w:left w:w="86" w:type="dxa"/>
              <w:bottom w:w="43" w:type="dxa"/>
              <w:right w:w="86" w:type="dxa"/>
            </w:tcMar>
          </w:tcPr>
          <w:p w14:paraId="1F57FED6" w14:textId="77777777" w:rsidR="004357B8" w:rsidRPr="005D4222" w:rsidRDefault="004357B8" w:rsidP="00A53E8C">
            <w:pPr>
              <w:pStyle w:val="ECDSBody"/>
              <w:rPr>
                <w:rFonts w:ascii="Segoe UI" w:hAnsi="Segoe UI"/>
                <w:sz w:val="18"/>
                <w:szCs w:val="18"/>
              </w:rPr>
            </w:pPr>
            <w:r w:rsidRPr="005D4222">
              <w:t>American Diabetes Association (2025) </w:t>
            </w:r>
          </w:p>
          <w:p w14:paraId="0DD81B55" w14:textId="77777777" w:rsidR="004357B8" w:rsidRPr="005D4222" w:rsidRDefault="004357B8" w:rsidP="004357B8">
            <w:pPr>
              <w:pStyle w:val="Bullet"/>
              <w:tabs>
                <w:tab w:val="left" w:pos="360"/>
                <w:tab w:val="left" w:pos="576"/>
              </w:tabs>
            </w:pPr>
            <w:r w:rsidRPr="005D4222">
              <w:t>For people with diabetes aged 40–75 years without ASCVD, use moderate-intensity statin therapy in addition to lifestyle therapy. Level of evidence: A </w:t>
            </w:r>
          </w:p>
          <w:p w14:paraId="369D3936" w14:textId="5330F8AC" w:rsidR="004357B8" w:rsidRPr="005D4222" w:rsidRDefault="004357B8" w:rsidP="004357B8">
            <w:pPr>
              <w:pStyle w:val="Bullet"/>
              <w:tabs>
                <w:tab w:val="left" w:pos="360"/>
                <w:tab w:val="left" w:pos="576"/>
              </w:tabs>
            </w:pPr>
            <w:r w:rsidRPr="005D4222">
              <w:t xml:space="preserve">For people with diabetes aged 40–75 </w:t>
            </w:r>
            <w:r w:rsidR="00495D0E">
              <w:t xml:space="preserve">years </w:t>
            </w:r>
            <w:r w:rsidRPr="005D4222">
              <w:t xml:space="preserve">at higher cardiovascular risk, including those with one or more ASCVD risk factors, high-intensity statin therapy is recommended to reduce LDL cholesterol by </w:t>
            </w:r>
            <w:r w:rsidRPr="005D4222">
              <w:rPr>
                <w:u w:val="single"/>
              </w:rPr>
              <w:t>&gt;</w:t>
            </w:r>
            <w:r w:rsidRPr="005D4222">
              <w:t>50% of baseline and to obtain an LDL cholesterol goal of &lt;70mg/dL (1.8 mmol/L). Level of evidence: A </w:t>
            </w:r>
          </w:p>
          <w:p w14:paraId="48A8A256" w14:textId="77777777" w:rsidR="004357B8" w:rsidRPr="005D4222" w:rsidRDefault="004357B8" w:rsidP="004357B8">
            <w:pPr>
              <w:pStyle w:val="Bullet"/>
              <w:tabs>
                <w:tab w:val="left" w:pos="360"/>
                <w:tab w:val="left" w:pos="576"/>
              </w:tabs>
            </w:pPr>
            <w:r w:rsidRPr="005D4222">
              <w:t>For people of all ages with diabetes and ASCVD, high-intensity statin therapy should be added to lifestyle therapy. Level of evidence: A </w:t>
            </w:r>
          </w:p>
          <w:p w14:paraId="08688F4B" w14:textId="77777777" w:rsidR="004357B8" w:rsidRPr="005D4222" w:rsidRDefault="004357B8" w:rsidP="00A53E8C">
            <w:pPr>
              <w:pStyle w:val="ECDSBody"/>
            </w:pPr>
            <w:r w:rsidRPr="005D4222">
              <w:t xml:space="preserve">US Preventive Services Task Force (2022) </w:t>
            </w:r>
          </w:p>
          <w:p w14:paraId="2E4DDFC1" w14:textId="77777777" w:rsidR="004357B8" w:rsidRPr="005D4222" w:rsidRDefault="004357B8" w:rsidP="004357B8">
            <w:pPr>
              <w:pStyle w:val="Bullet"/>
              <w:tabs>
                <w:tab w:val="left" w:pos="360"/>
                <w:tab w:val="left" w:pos="576"/>
              </w:tabs>
            </w:pPr>
            <w:r w:rsidRPr="005D4222">
              <w:t xml:space="preserve">Adults ages 40–75 years who have 1 or more cardiovascular risk factors (i.e., dyslipidemia, diabetes, hypertension, or smoking) and an estimated 10-year cardiovascular risk of 10% or greater–Initiate a statin. Grade: B </w:t>
            </w:r>
          </w:p>
          <w:p w14:paraId="7C8DA8BB" w14:textId="77777777" w:rsidR="004357B8" w:rsidRPr="005D4222" w:rsidRDefault="004357B8" w:rsidP="00A53E8C">
            <w:pPr>
              <w:pStyle w:val="ECDSBody"/>
            </w:pPr>
            <w:r w:rsidRPr="005D4222">
              <w:t xml:space="preserve">American College of Cardiology (2018) </w:t>
            </w:r>
          </w:p>
          <w:p w14:paraId="618F01EC" w14:textId="77777777" w:rsidR="004357B8" w:rsidRPr="005D4222" w:rsidRDefault="004357B8" w:rsidP="004357B8">
            <w:pPr>
              <w:pStyle w:val="Bullet"/>
              <w:tabs>
                <w:tab w:val="left" w:pos="360"/>
                <w:tab w:val="left" w:pos="576"/>
              </w:tabs>
              <w:spacing w:after="80"/>
            </w:pPr>
            <w:r w:rsidRPr="005D4222">
              <w:t>In adults 40 to 75 years of age with diabetes mellitus, regardless of estimated 10-year ASCVD risk, moderate statin therapy is indicated. Class I. Level of evidence: A</w:t>
            </w:r>
          </w:p>
        </w:tc>
      </w:tr>
      <w:tr w:rsidR="004357B8" w:rsidRPr="005D4222" w14:paraId="618E08CF" w14:textId="77777777" w:rsidTr="00A53E8C">
        <w:tc>
          <w:tcPr>
            <w:tcW w:w="1110" w:type="pct"/>
            <w:shd w:val="clear" w:color="auto" w:fill="BFBFBF" w:themeFill="background1" w:themeFillShade="BF"/>
            <w:tcMar>
              <w:top w:w="0" w:type="dxa"/>
              <w:left w:w="86" w:type="dxa"/>
              <w:bottom w:w="43" w:type="dxa"/>
              <w:right w:w="86" w:type="dxa"/>
            </w:tcMar>
          </w:tcPr>
          <w:p w14:paraId="10DE112E" w14:textId="77777777" w:rsidR="004357B8" w:rsidRPr="005D4222" w:rsidRDefault="004357B8" w:rsidP="00A53E8C">
            <w:pPr>
              <w:pStyle w:val="ECDSMarginHead"/>
              <w:rPr>
                <w:rFonts w:eastAsia="Arial"/>
                <w:color w:val="000000" w:themeColor="text1"/>
              </w:rPr>
            </w:pPr>
            <w:r w:rsidRPr="005D4222">
              <w:rPr>
                <w:rFonts w:eastAsia="Arial"/>
                <w:bCs/>
                <w:color w:val="000000" w:themeColor="text1"/>
              </w:rPr>
              <w:t>Citations</w:t>
            </w:r>
          </w:p>
        </w:tc>
        <w:tc>
          <w:tcPr>
            <w:tcW w:w="3890" w:type="pct"/>
            <w:gridSpan w:val="3"/>
            <w:tcMar>
              <w:top w:w="0" w:type="dxa"/>
              <w:left w:w="86" w:type="dxa"/>
              <w:bottom w:w="43" w:type="dxa"/>
              <w:right w:w="86" w:type="dxa"/>
            </w:tcMar>
          </w:tcPr>
          <w:p w14:paraId="3245C93C" w14:textId="77777777" w:rsidR="004357B8" w:rsidRPr="005D4222" w:rsidRDefault="004357B8" w:rsidP="00A53E8C">
            <w:pPr>
              <w:pStyle w:val="ECDSBody"/>
              <w:rPr>
                <w:rStyle w:val="eop"/>
                <w:rFonts w:eastAsiaTheme="majorEastAsia"/>
              </w:rPr>
            </w:pPr>
            <w:r w:rsidRPr="005D4222">
              <w:rPr>
                <w:rStyle w:val="normaltextrun"/>
              </w:rPr>
              <w:t xml:space="preserve">American Diabetes Association Professional Practice Committee. 2025. “11. Chronic Kidney Disease and Risk Management: Standards of Care in Diabetes—2025.” </w:t>
            </w:r>
            <w:r w:rsidRPr="005D4222">
              <w:rPr>
                <w:rStyle w:val="normaltextrun"/>
                <w:i/>
              </w:rPr>
              <w:t xml:space="preserve">Diabetes Care </w:t>
            </w:r>
            <w:r w:rsidRPr="005D4222">
              <w:rPr>
                <w:rStyle w:val="normaltextrun"/>
              </w:rPr>
              <w:t>48(Suppl. 1):S239–51.</w:t>
            </w:r>
          </w:p>
          <w:p w14:paraId="4C40807D" w14:textId="0E0338AC" w:rsidR="004357B8" w:rsidRPr="005D4222" w:rsidRDefault="004357B8" w:rsidP="00C104AD">
            <w:pPr>
              <w:pStyle w:val="ECDSBody"/>
              <w:rPr>
                <w:rFonts w:eastAsia="Arial"/>
              </w:rPr>
            </w:pPr>
            <w:r w:rsidRPr="005D4222">
              <w:rPr>
                <w:rStyle w:val="eop"/>
                <w:rFonts w:eastAsiaTheme="majorEastAsia"/>
              </w:rPr>
              <w:t xml:space="preserve">Grundy, S.M., N.J. Stone, A.L. Bailey, C. Beam, K.K. Birtcher, R.S. Blumenthal, L.T. Braun, et al. 2019. “2018 AHA/ACC/AACVPR/AAPA/ABC/ACPM/ADA/ AGS/APhA/ASPC/NLA/PCNA Guideline on the Management of Blood </w:t>
            </w:r>
          </w:p>
        </w:tc>
      </w:tr>
      <w:tr w:rsidR="00C104AD" w:rsidRPr="005D4222" w14:paraId="4BF19BB0" w14:textId="77777777" w:rsidTr="00A53E8C">
        <w:tc>
          <w:tcPr>
            <w:tcW w:w="1110" w:type="pct"/>
            <w:shd w:val="clear" w:color="auto" w:fill="BFBFBF" w:themeFill="background1" w:themeFillShade="BF"/>
            <w:tcMar>
              <w:top w:w="0" w:type="dxa"/>
              <w:left w:w="86" w:type="dxa"/>
              <w:bottom w:w="43" w:type="dxa"/>
              <w:right w:w="86" w:type="dxa"/>
            </w:tcMar>
          </w:tcPr>
          <w:p w14:paraId="068352D3" w14:textId="77777777" w:rsidR="00C104AD" w:rsidRPr="005D4222" w:rsidRDefault="00C104AD" w:rsidP="00A53E8C">
            <w:pPr>
              <w:pStyle w:val="ECDSMarginHead"/>
              <w:rPr>
                <w:rFonts w:eastAsia="Arial"/>
                <w:bCs/>
                <w:color w:val="000000" w:themeColor="text1"/>
              </w:rPr>
            </w:pPr>
          </w:p>
        </w:tc>
        <w:tc>
          <w:tcPr>
            <w:tcW w:w="3890" w:type="pct"/>
            <w:gridSpan w:val="3"/>
            <w:tcMar>
              <w:top w:w="0" w:type="dxa"/>
              <w:left w:w="86" w:type="dxa"/>
              <w:bottom w:w="43" w:type="dxa"/>
              <w:right w:w="86" w:type="dxa"/>
            </w:tcMar>
          </w:tcPr>
          <w:p w14:paraId="54FEE6F2" w14:textId="77777777" w:rsidR="00C104AD" w:rsidRPr="005D4222" w:rsidRDefault="00C104AD" w:rsidP="00C104AD">
            <w:pPr>
              <w:pStyle w:val="ECDSBody"/>
              <w:rPr>
                <w:rStyle w:val="eop"/>
                <w:rFonts w:eastAsiaTheme="majorEastAsia"/>
              </w:rPr>
            </w:pPr>
            <w:r w:rsidRPr="005D4222">
              <w:rPr>
                <w:rStyle w:val="eop"/>
                <w:rFonts w:eastAsiaTheme="majorEastAsia"/>
              </w:rPr>
              <w:t xml:space="preserve">Cholesterol.” Journal of the American College of Cardiology 73 (24): e285–350. https://doi.org/10.1016/j.jacc.2018.11.003 </w:t>
            </w:r>
          </w:p>
          <w:p w14:paraId="51EEB5A5" w14:textId="77777777" w:rsidR="00C104AD" w:rsidRPr="005D4222" w:rsidRDefault="00C104AD" w:rsidP="002601D3">
            <w:pPr>
              <w:pStyle w:val="ECDSBody"/>
              <w:rPr>
                <w:rStyle w:val="eop"/>
                <w:rFonts w:eastAsiaTheme="majorEastAsia"/>
              </w:rPr>
            </w:pPr>
            <w:r w:rsidRPr="005D4222">
              <w:rPr>
                <w:rStyle w:val="eop"/>
                <w:rFonts w:eastAsiaTheme="majorEastAsia"/>
              </w:rPr>
              <w:t>US Preventive Services Task Force. 2022. “Statin Use for the Primary Prevention of Cardiovascular Disease in Adults: US Preventive Services Task Force Recommendation Statement.” JAMA 328(8), 746–53. https://doi.org/10.1001/jama.2022.13044 </w:t>
            </w:r>
          </w:p>
          <w:p w14:paraId="770D1528" w14:textId="4DBB4BB7" w:rsidR="00C104AD" w:rsidRPr="005D4222" w:rsidRDefault="00C104AD" w:rsidP="002601D3">
            <w:pPr>
              <w:pStyle w:val="ECDSBody"/>
              <w:rPr>
                <w:rStyle w:val="normaltextrun"/>
              </w:rPr>
            </w:pPr>
            <w:r w:rsidRPr="005D4222">
              <w:rPr>
                <w:rFonts w:eastAsia="Arial"/>
              </w:rPr>
              <w:t xml:space="preserve">American Heart Association (AHA). 2014. </w:t>
            </w:r>
            <w:r w:rsidRPr="005D4222">
              <w:rPr>
                <w:rFonts w:eastAsia="Arial"/>
                <w:i/>
                <w:iCs/>
              </w:rPr>
              <w:t>Drug Therapy for Cholesterol.</w:t>
            </w:r>
            <w:r w:rsidRPr="005D4222">
              <w:rPr>
                <w:rFonts w:eastAsia="Arial"/>
              </w:rPr>
              <w:t xml:space="preserve"> http://www.heart.org/HEARTORG/Conditions/Cholesterol/PreventionTreatmentofHighCholesterol/Drug-Therapy-for-Cholesterol_UCM_305632_Article.jsp.</w:t>
            </w:r>
          </w:p>
        </w:tc>
      </w:tr>
      <w:tr w:rsidR="004357B8" w:rsidRPr="005D4222" w14:paraId="6D2AD245" w14:textId="77777777" w:rsidTr="00A53E8C">
        <w:tc>
          <w:tcPr>
            <w:tcW w:w="5000" w:type="pct"/>
            <w:gridSpan w:val="4"/>
            <w:tcBorders>
              <w:bottom w:val="single" w:sz="4" w:space="0" w:color="auto"/>
            </w:tcBorders>
            <w:shd w:val="clear" w:color="auto" w:fill="BFBFBF" w:themeFill="background1" w:themeFillShade="BF"/>
            <w:tcMar>
              <w:top w:w="0" w:type="dxa"/>
              <w:left w:w="86" w:type="dxa"/>
              <w:bottom w:w="43" w:type="dxa"/>
              <w:right w:w="86" w:type="dxa"/>
            </w:tcMar>
          </w:tcPr>
          <w:p w14:paraId="20F4DF64" w14:textId="77777777" w:rsidR="004357B8" w:rsidRPr="005D4222" w:rsidRDefault="004357B8" w:rsidP="00A53E8C">
            <w:pPr>
              <w:pStyle w:val="ECDSMarginHead"/>
            </w:pPr>
            <w:r w:rsidRPr="005D4222">
              <w:t>Characteristics</w:t>
            </w:r>
          </w:p>
        </w:tc>
      </w:tr>
      <w:tr w:rsidR="004357B8" w:rsidRPr="005D4222" w14:paraId="44B6FE87" w14:textId="77777777" w:rsidTr="00A53E8C">
        <w:tblPrEx>
          <w:tblCellMar>
            <w:top w:w="40" w:type="dxa"/>
          </w:tblCellMar>
        </w:tblPrEx>
        <w:tc>
          <w:tcPr>
            <w:tcW w:w="1110" w:type="pct"/>
            <w:tcBorders>
              <w:top w:val="single" w:sz="4" w:space="0" w:color="auto"/>
              <w:left w:val="single" w:sz="4" w:space="0" w:color="auto"/>
              <w:bottom w:val="nil"/>
              <w:right w:val="single" w:sz="4" w:space="0" w:color="auto"/>
            </w:tcBorders>
            <w:tcMar>
              <w:top w:w="0" w:type="dxa"/>
              <w:left w:w="86" w:type="dxa"/>
              <w:bottom w:w="43" w:type="dxa"/>
              <w:right w:w="86" w:type="dxa"/>
            </w:tcMar>
          </w:tcPr>
          <w:p w14:paraId="1ED1A431" w14:textId="77777777" w:rsidR="004357B8" w:rsidRPr="005D4222" w:rsidRDefault="004357B8" w:rsidP="00C104AD">
            <w:pPr>
              <w:pStyle w:val="ECDSSubhead"/>
            </w:pPr>
            <w:r w:rsidRPr="005D4222">
              <w:t>Scoring</w:t>
            </w:r>
          </w:p>
        </w:tc>
        <w:tc>
          <w:tcPr>
            <w:tcW w:w="3890" w:type="pct"/>
            <w:gridSpan w:val="3"/>
            <w:tcBorders>
              <w:top w:val="single" w:sz="4" w:space="0" w:color="auto"/>
              <w:left w:val="single" w:sz="4" w:space="0" w:color="auto"/>
              <w:bottom w:val="nil"/>
              <w:right w:val="single" w:sz="4" w:space="0" w:color="auto"/>
            </w:tcBorders>
            <w:tcMar>
              <w:top w:w="0" w:type="dxa"/>
              <w:left w:w="86" w:type="dxa"/>
              <w:bottom w:w="43" w:type="dxa"/>
              <w:right w:w="86" w:type="dxa"/>
            </w:tcMar>
          </w:tcPr>
          <w:p w14:paraId="6B94C0D8" w14:textId="77777777" w:rsidR="004357B8" w:rsidRPr="005D4222" w:rsidRDefault="004357B8" w:rsidP="00A53E8C">
            <w:pPr>
              <w:pStyle w:val="ECDSBody"/>
              <w:spacing w:after="0"/>
            </w:pPr>
            <w:r w:rsidRPr="005D4222">
              <w:t>Proportion.</w:t>
            </w:r>
          </w:p>
        </w:tc>
      </w:tr>
      <w:tr w:rsidR="004357B8" w:rsidRPr="005D4222" w14:paraId="6B25A1C0" w14:textId="77777777" w:rsidTr="00A53E8C">
        <w:tblPrEx>
          <w:tblCellMar>
            <w:top w:w="40" w:type="dxa"/>
          </w:tblCellMar>
        </w:tblPrEx>
        <w:tc>
          <w:tcPr>
            <w:tcW w:w="1110" w:type="pct"/>
            <w:tcBorders>
              <w:top w:val="nil"/>
              <w:left w:val="single" w:sz="4" w:space="0" w:color="auto"/>
              <w:bottom w:val="nil"/>
              <w:right w:val="single" w:sz="4" w:space="0" w:color="auto"/>
            </w:tcBorders>
            <w:tcMar>
              <w:top w:w="0" w:type="dxa"/>
              <w:left w:w="86" w:type="dxa"/>
              <w:bottom w:w="43" w:type="dxa"/>
              <w:right w:w="86" w:type="dxa"/>
            </w:tcMar>
          </w:tcPr>
          <w:p w14:paraId="3B4F55CA" w14:textId="77777777" w:rsidR="004357B8" w:rsidRPr="005D4222" w:rsidRDefault="004357B8" w:rsidP="00C104AD">
            <w:pPr>
              <w:pStyle w:val="ECDSSubhead"/>
            </w:pPr>
            <w:r w:rsidRPr="005D4222">
              <w:t>Type</w:t>
            </w:r>
          </w:p>
        </w:tc>
        <w:tc>
          <w:tcPr>
            <w:tcW w:w="3890" w:type="pct"/>
            <w:gridSpan w:val="3"/>
            <w:tcBorders>
              <w:top w:val="nil"/>
              <w:left w:val="single" w:sz="4" w:space="0" w:color="auto"/>
              <w:bottom w:val="nil"/>
              <w:right w:val="single" w:sz="4" w:space="0" w:color="auto"/>
            </w:tcBorders>
            <w:tcMar>
              <w:top w:w="0" w:type="dxa"/>
              <w:left w:w="86" w:type="dxa"/>
              <w:bottom w:w="43" w:type="dxa"/>
              <w:right w:w="86" w:type="dxa"/>
            </w:tcMar>
          </w:tcPr>
          <w:p w14:paraId="6D9AEA91" w14:textId="77777777" w:rsidR="004357B8" w:rsidRPr="005D4222" w:rsidRDefault="004357B8" w:rsidP="00A53E8C">
            <w:pPr>
              <w:pStyle w:val="ECDSBody"/>
              <w:spacing w:after="0"/>
            </w:pPr>
            <w:r w:rsidRPr="005D4222">
              <w:t>Process.</w:t>
            </w:r>
          </w:p>
        </w:tc>
      </w:tr>
      <w:tr w:rsidR="004357B8" w:rsidRPr="005D4222" w14:paraId="714198BE" w14:textId="77777777" w:rsidTr="00A53E8C">
        <w:tblPrEx>
          <w:tblCellMar>
            <w:top w:w="40" w:type="dxa"/>
          </w:tblCellMar>
        </w:tblPrEx>
        <w:tc>
          <w:tcPr>
            <w:tcW w:w="1110" w:type="pct"/>
            <w:tcBorders>
              <w:top w:val="nil"/>
              <w:left w:val="single" w:sz="4" w:space="0" w:color="auto"/>
              <w:bottom w:val="nil"/>
              <w:right w:val="single" w:sz="4" w:space="0" w:color="auto"/>
            </w:tcBorders>
            <w:tcMar>
              <w:top w:w="0" w:type="dxa"/>
              <w:left w:w="86" w:type="dxa"/>
              <w:bottom w:w="43" w:type="dxa"/>
              <w:right w:w="86" w:type="dxa"/>
            </w:tcMar>
          </w:tcPr>
          <w:p w14:paraId="1DBB444E" w14:textId="4CC71253" w:rsidR="004357B8" w:rsidRPr="005D4222" w:rsidRDefault="00B51CDC" w:rsidP="00C104AD">
            <w:pPr>
              <w:pStyle w:val="ECDSSubhead"/>
            </w:pPr>
            <w:r w:rsidRPr="005D4222">
              <w:t>Product lines</w:t>
            </w:r>
          </w:p>
        </w:tc>
        <w:tc>
          <w:tcPr>
            <w:tcW w:w="3890" w:type="pct"/>
            <w:gridSpan w:val="3"/>
            <w:tcBorders>
              <w:top w:val="nil"/>
              <w:left w:val="single" w:sz="4" w:space="0" w:color="auto"/>
              <w:bottom w:val="nil"/>
              <w:right w:val="single" w:sz="4" w:space="0" w:color="auto"/>
            </w:tcBorders>
            <w:tcMar>
              <w:top w:w="0" w:type="dxa"/>
              <w:left w:w="86" w:type="dxa"/>
              <w:bottom w:w="43" w:type="dxa"/>
              <w:right w:w="86" w:type="dxa"/>
            </w:tcMar>
          </w:tcPr>
          <w:p w14:paraId="34381A10" w14:textId="77777777" w:rsidR="004357B8" w:rsidRPr="005D4222" w:rsidRDefault="004357B8" w:rsidP="005D6173">
            <w:pPr>
              <w:pStyle w:val="ProcessBullet"/>
              <w:numPr>
                <w:ilvl w:val="0"/>
                <w:numId w:val="162"/>
              </w:numPr>
              <w:tabs>
                <w:tab w:val="left" w:pos="216"/>
              </w:tabs>
            </w:pPr>
            <w:r w:rsidRPr="005D4222">
              <w:t>Commercial.</w:t>
            </w:r>
          </w:p>
          <w:p w14:paraId="674C945A" w14:textId="77777777" w:rsidR="004357B8" w:rsidRPr="005D4222" w:rsidRDefault="004357B8" w:rsidP="005D6173">
            <w:pPr>
              <w:pStyle w:val="ProcessBullet"/>
              <w:numPr>
                <w:ilvl w:val="0"/>
                <w:numId w:val="162"/>
              </w:numPr>
              <w:tabs>
                <w:tab w:val="left" w:pos="216"/>
              </w:tabs>
            </w:pPr>
            <w:r w:rsidRPr="005D4222">
              <w:t>Medicaid.</w:t>
            </w:r>
          </w:p>
          <w:p w14:paraId="7FE437E7" w14:textId="77777777" w:rsidR="004357B8" w:rsidRPr="005D4222" w:rsidRDefault="004357B8" w:rsidP="005D6173">
            <w:pPr>
              <w:pStyle w:val="ProcessBullet"/>
              <w:numPr>
                <w:ilvl w:val="0"/>
                <w:numId w:val="162"/>
              </w:numPr>
              <w:tabs>
                <w:tab w:val="left" w:pos="216"/>
              </w:tabs>
            </w:pPr>
            <w:r w:rsidRPr="005D4222">
              <w:t>Medicare.</w:t>
            </w:r>
          </w:p>
        </w:tc>
      </w:tr>
      <w:tr w:rsidR="004357B8" w:rsidRPr="005D4222" w14:paraId="40B493EB" w14:textId="77777777" w:rsidTr="00A53E8C">
        <w:tblPrEx>
          <w:tblCellMar>
            <w:top w:w="40" w:type="dxa"/>
          </w:tblCellMar>
        </w:tblPrEx>
        <w:tc>
          <w:tcPr>
            <w:tcW w:w="1110" w:type="pct"/>
            <w:tcBorders>
              <w:top w:val="nil"/>
              <w:left w:val="single" w:sz="4" w:space="0" w:color="auto"/>
              <w:bottom w:val="nil"/>
              <w:right w:val="single" w:sz="4" w:space="0" w:color="auto"/>
            </w:tcBorders>
            <w:tcMar>
              <w:top w:w="0" w:type="dxa"/>
              <w:left w:w="86" w:type="dxa"/>
              <w:bottom w:w="43" w:type="dxa"/>
              <w:right w:w="86" w:type="dxa"/>
            </w:tcMar>
          </w:tcPr>
          <w:p w14:paraId="7C8DACBA" w14:textId="25B685FF" w:rsidR="004357B8" w:rsidRPr="005D4222" w:rsidRDefault="00B51CDC" w:rsidP="00C104AD">
            <w:pPr>
              <w:pStyle w:val="ECDSSubhead"/>
            </w:pPr>
            <w:r w:rsidRPr="005D4222">
              <w:t>Stratifications</w:t>
            </w:r>
            <w:r w:rsidR="004357B8" w:rsidRPr="005D4222">
              <w:t xml:space="preserve"> </w:t>
            </w:r>
          </w:p>
        </w:tc>
        <w:tc>
          <w:tcPr>
            <w:tcW w:w="3890" w:type="pct"/>
            <w:gridSpan w:val="3"/>
            <w:tcBorders>
              <w:top w:val="nil"/>
              <w:left w:val="single" w:sz="4" w:space="0" w:color="auto"/>
              <w:bottom w:val="nil"/>
              <w:right w:val="single" w:sz="4" w:space="0" w:color="auto"/>
            </w:tcBorders>
            <w:tcMar>
              <w:top w:w="0" w:type="dxa"/>
              <w:left w:w="86" w:type="dxa"/>
              <w:bottom w:w="43" w:type="dxa"/>
              <w:right w:w="86" w:type="dxa"/>
            </w:tcMar>
            <w:hideMark/>
          </w:tcPr>
          <w:p w14:paraId="62285793" w14:textId="77777777" w:rsidR="004357B8" w:rsidRPr="005D4222" w:rsidRDefault="004357B8" w:rsidP="00A53E8C">
            <w:pPr>
              <w:pStyle w:val="ECDSBody"/>
              <w:spacing w:after="0"/>
              <w:rPr>
                <w:rFonts w:eastAsia="Arial,Arial,Arial,Arial,Arial,A"/>
              </w:rPr>
            </w:pPr>
            <w:r w:rsidRPr="005D4222">
              <w:rPr>
                <w:rFonts w:eastAsia="Arial,Arial,Arial,Arial,Arial,A"/>
              </w:rPr>
              <w:t>None.</w:t>
            </w:r>
          </w:p>
        </w:tc>
      </w:tr>
      <w:tr w:rsidR="004357B8" w:rsidRPr="005D4222" w14:paraId="7C1118E2" w14:textId="77777777" w:rsidTr="00A53E8C">
        <w:tblPrEx>
          <w:tblCellMar>
            <w:top w:w="40" w:type="dxa"/>
          </w:tblCellMar>
        </w:tblPrEx>
        <w:tc>
          <w:tcPr>
            <w:tcW w:w="1110" w:type="pct"/>
            <w:tcBorders>
              <w:top w:val="nil"/>
              <w:left w:val="single" w:sz="4" w:space="0" w:color="auto"/>
              <w:bottom w:val="nil"/>
              <w:right w:val="single" w:sz="4" w:space="0" w:color="auto"/>
            </w:tcBorders>
            <w:tcMar>
              <w:top w:w="0" w:type="dxa"/>
              <w:left w:w="86" w:type="dxa"/>
              <w:bottom w:w="43" w:type="dxa"/>
              <w:right w:w="86" w:type="dxa"/>
            </w:tcMar>
          </w:tcPr>
          <w:p w14:paraId="6A9B7F53" w14:textId="77777777" w:rsidR="004357B8" w:rsidRPr="005D4222" w:rsidRDefault="004357B8" w:rsidP="00C104AD">
            <w:pPr>
              <w:pStyle w:val="ECDSSubhead"/>
            </w:pPr>
            <w:r w:rsidRPr="005D4222">
              <w:t>Risk adjustment</w:t>
            </w:r>
          </w:p>
        </w:tc>
        <w:tc>
          <w:tcPr>
            <w:tcW w:w="3890" w:type="pct"/>
            <w:gridSpan w:val="3"/>
            <w:tcBorders>
              <w:top w:val="nil"/>
              <w:left w:val="single" w:sz="4" w:space="0" w:color="auto"/>
              <w:bottom w:val="nil"/>
              <w:right w:val="single" w:sz="4" w:space="0" w:color="auto"/>
            </w:tcBorders>
            <w:tcMar>
              <w:top w:w="0" w:type="dxa"/>
              <w:left w:w="86" w:type="dxa"/>
              <w:bottom w:w="43" w:type="dxa"/>
              <w:right w:w="86" w:type="dxa"/>
            </w:tcMar>
            <w:hideMark/>
          </w:tcPr>
          <w:p w14:paraId="6A709500" w14:textId="77777777" w:rsidR="004357B8" w:rsidRPr="005D4222" w:rsidRDefault="004357B8" w:rsidP="00A53E8C">
            <w:pPr>
              <w:pStyle w:val="ECDSBody"/>
              <w:spacing w:after="0"/>
            </w:pPr>
            <w:r w:rsidRPr="005D4222">
              <w:t>None.</w:t>
            </w:r>
          </w:p>
        </w:tc>
      </w:tr>
      <w:tr w:rsidR="004357B8" w:rsidRPr="005D4222" w14:paraId="043B9AFC" w14:textId="77777777" w:rsidTr="00A53E8C">
        <w:tblPrEx>
          <w:tblCellMar>
            <w:top w:w="40" w:type="dxa"/>
          </w:tblCellMar>
        </w:tblPrEx>
        <w:tc>
          <w:tcPr>
            <w:tcW w:w="1110" w:type="pct"/>
            <w:tcBorders>
              <w:top w:val="nil"/>
              <w:left w:val="single" w:sz="4" w:space="0" w:color="auto"/>
              <w:bottom w:val="nil"/>
              <w:right w:val="single" w:sz="4" w:space="0" w:color="auto"/>
            </w:tcBorders>
            <w:tcMar>
              <w:top w:w="0" w:type="dxa"/>
              <w:left w:w="86" w:type="dxa"/>
              <w:bottom w:w="43" w:type="dxa"/>
              <w:right w:w="86" w:type="dxa"/>
            </w:tcMar>
          </w:tcPr>
          <w:p w14:paraId="36F487EB" w14:textId="77777777" w:rsidR="004357B8" w:rsidRPr="005D4222" w:rsidRDefault="004357B8" w:rsidP="00C104AD">
            <w:pPr>
              <w:pStyle w:val="ECDSSubhead"/>
            </w:pPr>
            <w:r w:rsidRPr="005D4222">
              <w:t>Improvement notation</w:t>
            </w:r>
          </w:p>
        </w:tc>
        <w:tc>
          <w:tcPr>
            <w:tcW w:w="3890" w:type="pct"/>
            <w:gridSpan w:val="3"/>
            <w:tcBorders>
              <w:top w:val="nil"/>
              <w:left w:val="single" w:sz="4" w:space="0" w:color="auto"/>
              <w:bottom w:val="nil"/>
              <w:right w:val="single" w:sz="4" w:space="0" w:color="auto"/>
            </w:tcBorders>
            <w:tcMar>
              <w:top w:w="0" w:type="dxa"/>
              <w:left w:w="86" w:type="dxa"/>
              <w:bottom w:w="43" w:type="dxa"/>
              <w:right w:w="86" w:type="dxa"/>
            </w:tcMar>
            <w:hideMark/>
          </w:tcPr>
          <w:p w14:paraId="5E0F18E9" w14:textId="77777777" w:rsidR="004357B8" w:rsidRPr="005D4222" w:rsidRDefault="004357B8" w:rsidP="00A53E8C">
            <w:pPr>
              <w:pStyle w:val="ECDSBody"/>
            </w:pPr>
            <w:r w:rsidRPr="005D4222">
              <w:t>Increased score indicates improvement.</w:t>
            </w:r>
          </w:p>
        </w:tc>
      </w:tr>
      <w:tr w:rsidR="004357B8" w:rsidRPr="005D4222" w14:paraId="7E2A7326" w14:textId="77777777" w:rsidTr="00A53E8C">
        <w:tblPrEx>
          <w:tblCellMar>
            <w:top w:w="40" w:type="dxa"/>
          </w:tblCellMar>
        </w:tblPrEx>
        <w:trPr>
          <w:trHeight w:val="633"/>
        </w:trPr>
        <w:tc>
          <w:tcPr>
            <w:tcW w:w="1110" w:type="pct"/>
            <w:tcBorders>
              <w:top w:val="nil"/>
              <w:left w:val="single" w:sz="4" w:space="0" w:color="auto"/>
              <w:bottom w:val="single" w:sz="4" w:space="0" w:color="auto"/>
              <w:right w:val="single" w:sz="4" w:space="0" w:color="auto"/>
            </w:tcBorders>
            <w:tcMar>
              <w:top w:w="0" w:type="dxa"/>
              <w:left w:w="86" w:type="dxa"/>
              <w:bottom w:w="43" w:type="dxa"/>
              <w:right w:w="86" w:type="dxa"/>
            </w:tcMar>
          </w:tcPr>
          <w:p w14:paraId="7DB55E14" w14:textId="77777777" w:rsidR="004357B8" w:rsidRPr="005D4222" w:rsidRDefault="004357B8" w:rsidP="00C104AD">
            <w:pPr>
              <w:pStyle w:val="ECDSSubhead"/>
            </w:pPr>
            <w:r w:rsidRPr="005D4222">
              <w:t>Guidance</w:t>
            </w:r>
          </w:p>
        </w:tc>
        <w:tc>
          <w:tcPr>
            <w:tcW w:w="3890" w:type="pct"/>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31E72FBC" w14:textId="4C9ED102" w:rsidR="004357B8" w:rsidRPr="005D4222" w:rsidRDefault="004357B8" w:rsidP="00A53E8C">
            <w:pPr>
              <w:pStyle w:val="ECDSBody"/>
            </w:pPr>
            <w:r w:rsidRPr="005D4222">
              <w:rPr>
                <w:b/>
              </w:rPr>
              <w:t>Data collection methodology:</w:t>
            </w:r>
            <w:r w:rsidRPr="005D4222">
              <w:t xml:space="preserve"> ECDS. Refer to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0D1F0C8D" w14:textId="77777777" w:rsidR="004357B8" w:rsidRPr="005D4222" w:rsidRDefault="004357B8" w:rsidP="00A53E8C">
            <w:pPr>
              <w:pStyle w:val="ECDSBody"/>
            </w:pPr>
            <w:r w:rsidRPr="005D4222">
              <w:rPr>
                <w:b/>
              </w:rPr>
              <w:t>Date specificity:</w:t>
            </w:r>
            <w:r w:rsidRPr="005D4222">
              <w:t xml:space="preserve"> Dates must be specific enough to determine the event occurred in the period being measured.</w:t>
            </w:r>
          </w:p>
          <w:p w14:paraId="7B313B1C" w14:textId="77777777" w:rsidR="004357B8" w:rsidRPr="005D4222" w:rsidRDefault="004357B8" w:rsidP="00A53E8C">
            <w:pPr>
              <w:pStyle w:val="ECDSBody"/>
            </w:pPr>
            <w:r w:rsidRPr="005D4222">
              <w:rPr>
                <w:b/>
              </w:rPr>
              <w:t xml:space="preserve">Which services count? </w:t>
            </w:r>
            <w:r w:rsidRPr="005D4222">
              <w:t>When using claims, include all paid, suspended, pending and denied claims.</w:t>
            </w:r>
          </w:p>
          <w:p w14:paraId="2AB5A2B9" w14:textId="77777777" w:rsidR="004357B8" w:rsidRPr="005D4222" w:rsidRDefault="004357B8" w:rsidP="00A53E8C">
            <w:pPr>
              <w:pStyle w:val="ECDSBody"/>
            </w:pPr>
            <w:r w:rsidRPr="005D4222">
              <w:rPr>
                <w:b/>
              </w:rPr>
              <w:t>Medication lists:</w:t>
            </w:r>
            <w:r w:rsidRPr="005D4222">
              <w:t xml:space="preserve"> If an organization uses both pharmacy data (NDC codes) and clinical data (RxNorm codes) for reporting, and there are both NDC and RxNorm codes on the same date of service, use only one data source for the date of service. </w:t>
            </w:r>
          </w:p>
          <w:p w14:paraId="15306F4C" w14:textId="77777777" w:rsidR="004357B8" w:rsidRPr="005D4222" w:rsidRDefault="004357B8" w:rsidP="00A53E8C">
            <w:pPr>
              <w:pStyle w:val="ECDSBody"/>
              <w:rPr>
                <w:b/>
                <w:bCs w:val="0"/>
              </w:rPr>
            </w:pPr>
            <w:r w:rsidRPr="005D4222">
              <w:rPr>
                <w:b/>
              </w:rPr>
              <w:t xml:space="preserve">Other guidance: </w:t>
            </w:r>
            <w:r w:rsidRPr="005D4222">
              <w:t>All persons who are numerator compliant for Rate 1 must be used as the denominator for Rate 2.</w:t>
            </w:r>
          </w:p>
        </w:tc>
      </w:tr>
      <w:tr w:rsidR="004357B8" w:rsidRPr="005D4222" w14:paraId="692622FE" w14:textId="77777777" w:rsidTr="00A53E8C">
        <w:tblPrEx>
          <w:tblCellMar>
            <w:top w:w="40" w:type="dxa"/>
          </w:tblCellMar>
        </w:tblPrEx>
        <w:tc>
          <w:tcPr>
            <w:tcW w:w="5000" w:type="pct"/>
            <w:gridSpan w:val="4"/>
            <w:tcBorders>
              <w:top w:val="single" w:sz="4" w:space="0" w:color="auto"/>
              <w:bottom w:val="single" w:sz="4" w:space="0" w:color="auto"/>
            </w:tcBorders>
            <w:shd w:val="clear" w:color="auto" w:fill="BFBFBF" w:themeFill="background1" w:themeFillShade="BF"/>
            <w:tcMar>
              <w:top w:w="0" w:type="dxa"/>
              <w:left w:w="86" w:type="dxa"/>
              <w:bottom w:w="43" w:type="dxa"/>
              <w:right w:w="86" w:type="dxa"/>
            </w:tcMar>
          </w:tcPr>
          <w:p w14:paraId="3D907004" w14:textId="77777777" w:rsidR="004357B8" w:rsidRPr="005D4222" w:rsidRDefault="004357B8" w:rsidP="00A53E8C">
            <w:pPr>
              <w:pStyle w:val="ECDSMarginHead"/>
            </w:pPr>
            <w:r w:rsidRPr="005D4222">
              <w:t xml:space="preserve">Definitions </w:t>
            </w:r>
          </w:p>
        </w:tc>
      </w:tr>
      <w:tr w:rsidR="004357B8" w:rsidRPr="005D4222" w14:paraId="0C3D13B5" w14:textId="77777777" w:rsidTr="007B5FC3">
        <w:tblPrEx>
          <w:tblCellMar>
            <w:top w:w="40" w:type="dxa"/>
          </w:tblCellMar>
        </w:tblPrEx>
        <w:tc>
          <w:tcPr>
            <w:tcW w:w="1110" w:type="pct"/>
            <w:tcBorders>
              <w:top w:val="single" w:sz="4" w:space="0" w:color="auto"/>
              <w:bottom w:val="single" w:sz="4" w:space="0" w:color="auto"/>
            </w:tcBorders>
            <w:tcMar>
              <w:top w:w="0" w:type="dxa"/>
              <w:left w:w="86" w:type="dxa"/>
              <w:bottom w:w="43" w:type="dxa"/>
              <w:right w:w="86" w:type="dxa"/>
            </w:tcMar>
          </w:tcPr>
          <w:p w14:paraId="7719466F" w14:textId="77777777" w:rsidR="004357B8" w:rsidRPr="005D4222" w:rsidRDefault="004357B8" w:rsidP="00A53E8C">
            <w:pPr>
              <w:pStyle w:val="ECDSSubhead"/>
            </w:pPr>
            <w:r w:rsidRPr="005D4222">
              <w:t>Calculating number of days covered for multiple prescriptions</w:t>
            </w:r>
          </w:p>
        </w:tc>
        <w:tc>
          <w:tcPr>
            <w:tcW w:w="3890" w:type="pct"/>
            <w:gridSpan w:val="3"/>
            <w:tcBorders>
              <w:top w:val="single" w:sz="4" w:space="0" w:color="auto"/>
              <w:bottom w:val="single" w:sz="4" w:space="0" w:color="auto"/>
            </w:tcBorders>
            <w:tcMar>
              <w:left w:w="86" w:type="dxa"/>
              <w:bottom w:w="43" w:type="dxa"/>
              <w:right w:w="86" w:type="dxa"/>
            </w:tcMar>
          </w:tcPr>
          <w:p w14:paraId="1FAFFA33" w14:textId="77777777" w:rsidR="004357B8" w:rsidRPr="005D4222" w:rsidRDefault="004357B8" w:rsidP="00A53E8C">
            <w:pPr>
              <w:pStyle w:val="ECDSBody"/>
            </w:pPr>
            <w:r w:rsidRPr="005D4222">
              <w:t xml:space="preserve">If multiple prescriptions for different medications are dispensed on the same day, calculate number of days covered by a statin medication (for the numerator) using the prescriptions with the longest days supply. </w:t>
            </w:r>
          </w:p>
          <w:p w14:paraId="4D09CE53" w14:textId="735C6D34" w:rsidR="00C104AD" w:rsidRPr="005D4222" w:rsidRDefault="004357B8" w:rsidP="00C104AD">
            <w:pPr>
              <w:pStyle w:val="ECDSBody"/>
              <w:rPr>
                <w:highlight w:val="yellow"/>
              </w:rPr>
            </w:pPr>
            <w:r w:rsidRPr="005D4222">
              <w:t xml:space="preserve">If multiple prescriptions for different medications are dispensed on different days, with overlapping days supply, count each day within the treatment period only once toward the numerator. </w:t>
            </w:r>
          </w:p>
        </w:tc>
      </w:tr>
    </w:tbl>
    <w:p w14:paraId="1E29BA28" w14:textId="77777777" w:rsidR="004357B8" w:rsidRPr="005D4222" w:rsidRDefault="004357B8" w:rsidP="004357B8"/>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4357B8" w:rsidRPr="005D4222" w14:paraId="35774E97" w14:textId="77777777" w:rsidTr="007B5FC3">
        <w:tc>
          <w:tcPr>
            <w:tcW w:w="1110" w:type="pct"/>
            <w:tcBorders>
              <w:top w:val="single" w:sz="4" w:space="0" w:color="auto"/>
              <w:bottom w:val="nil"/>
            </w:tcBorders>
            <w:tcMar>
              <w:top w:w="0" w:type="dxa"/>
              <w:left w:w="86" w:type="dxa"/>
              <w:bottom w:w="43" w:type="dxa"/>
              <w:right w:w="86" w:type="dxa"/>
            </w:tcMar>
          </w:tcPr>
          <w:p w14:paraId="41D75B3C" w14:textId="77777777" w:rsidR="004357B8" w:rsidRPr="005D4222" w:rsidRDefault="004357B8" w:rsidP="00A53E8C">
            <w:pPr>
              <w:pStyle w:val="ECDSSubhead"/>
            </w:pPr>
          </w:p>
        </w:tc>
        <w:tc>
          <w:tcPr>
            <w:tcW w:w="3890" w:type="pct"/>
            <w:tcBorders>
              <w:top w:val="single" w:sz="4" w:space="0" w:color="auto"/>
              <w:bottom w:val="nil"/>
            </w:tcBorders>
            <w:tcMar>
              <w:left w:w="86" w:type="dxa"/>
              <w:bottom w:w="43" w:type="dxa"/>
              <w:right w:w="86" w:type="dxa"/>
            </w:tcMar>
          </w:tcPr>
          <w:p w14:paraId="496D1D15" w14:textId="77777777" w:rsidR="00C104AD" w:rsidRPr="005D4222" w:rsidRDefault="00C104AD" w:rsidP="00C104AD">
            <w:pPr>
              <w:pStyle w:val="ECDSBody"/>
            </w:pPr>
            <w:r w:rsidRPr="005D4222">
              <w:t xml:space="preserve">If multiple prescriptions for the same medication are dispensed on the same or different days, sum the days supply and use the total to calculate the number of days covered by a statin medication (for the numerator). </w:t>
            </w:r>
          </w:p>
          <w:p w14:paraId="7DD3EA4E" w14:textId="77777777" w:rsidR="004357B8" w:rsidRPr="005D4222" w:rsidRDefault="004357B8" w:rsidP="004357B8">
            <w:pPr>
              <w:pStyle w:val="Bullet"/>
              <w:tabs>
                <w:tab w:val="left" w:pos="360"/>
                <w:tab w:val="left" w:pos="576"/>
              </w:tabs>
            </w:pPr>
            <w:r w:rsidRPr="005D4222">
              <w:rPr>
                <w:i/>
                <w:iCs/>
              </w:rPr>
              <w:t>For example,</w:t>
            </w:r>
            <w:r w:rsidRPr="005D4222">
              <w:t xml:space="preserve"> if three prescriptions for the same medication are dispensed on the same day, each with a 30-days supply, sum the days supply for a total of 90 days covered by a statin. Subtract any days supply that extends beyond December 31 of the measurement period. </w:t>
            </w:r>
          </w:p>
          <w:p w14:paraId="45D0A68D" w14:textId="77777777" w:rsidR="004357B8" w:rsidRPr="005D4222" w:rsidRDefault="004357B8" w:rsidP="00A53E8C">
            <w:pPr>
              <w:pStyle w:val="ECDSBody"/>
            </w:pPr>
            <w:r w:rsidRPr="005D4222">
              <w:t xml:space="preserve">Use the medication lists to determine if drugs are the same or different. </w:t>
            </w:r>
            <w:r w:rsidRPr="005D4222">
              <w:rPr>
                <w:i/>
              </w:rPr>
              <w:t>Drugs in different lists are considered different drugs.</w:t>
            </w:r>
            <w:r w:rsidRPr="005D4222">
              <w:t xml:space="preserve"> </w:t>
            </w:r>
          </w:p>
          <w:p w14:paraId="70923E92" w14:textId="77777777" w:rsidR="004357B8" w:rsidRPr="005D4222" w:rsidRDefault="004357B8" w:rsidP="004357B8">
            <w:pPr>
              <w:pStyle w:val="Bullet"/>
              <w:tabs>
                <w:tab w:val="left" w:pos="360"/>
                <w:tab w:val="left" w:pos="576"/>
              </w:tabs>
            </w:pPr>
            <w:r w:rsidRPr="005D4222">
              <w:rPr>
                <w:i/>
                <w:iCs/>
              </w:rPr>
              <w:t>For example,</w:t>
            </w:r>
            <w:r w:rsidRPr="005D4222">
              <w:t xml:space="preserve"> a dispensing event from the </w:t>
            </w:r>
            <w:r w:rsidRPr="005D4222">
              <w:rPr>
                <w:u w:val="single"/>
              </w:rPr>
              <w:t>Amlodipine Atorvastatin High Intensity Medications List</w:t>
            </w:r>
            <w:r w:rsidRPr="005D4222">
              <w:t xml:space="preserve"> and a dispensing event from the </w:t>
            </w:r>
            <w:r w:rsidRPr="005D4222">
              <w:rPr>
                <w:u w:val="single"/>
              </w:rPr>
              <w:t>Amlodipine Atorvastatin Moderate Intensity Medications List</w:t>
            </w:r>
            <w:r w:rsidRPr="005D4222">
              <w:t xml:space="preserve"> are dispensing events for different medications.</w:t>
            </w:r>
          </w:p>
        </w:tc>
      </w:tr>
      <w:tr w:rsidR="004357B8" w:rsidRPr="005D4222" w14:paraId="49BE70E2" w14:textId="77777777" w:rsidTr="007B5FC3">
        <w:tc>
          <w:tcPr>
            <w:tcW w:w="1110" w:type="pct"/>
            <w:tcBorders>
              <w:top w:val="nil"/>
              <w:bottom w:val="nil"/>
            </w:tcBorders>
            <w:tcMar>
              <w:top w:w="0" w:type="dxa"/>
              <w:left w:w="86" w:type="dxa"/>
              <w:bottom w:w="43" w:type="dxa"/>
              <w:right w:w="86" w:type="dxa"/>
            </w:tcMar>
          </w:tcPr>
          <w:p w14:paraId="3D0ED1E5" w14:textId="77777777" w:rsidR="004357B8" w:rsidRPr="005D4222" w:rsidRDefault="004357B8" w:rsidP="00A53E8C">
            <w:pPr>
              <w:pStyle w:val="ECDSSubhead"/>
            </w:pPr>
            <w:r w:rsidRPr="005D4222">
              <w:t>IPSD</w:t>
            </w:r>
          </w:p>
        </w:tc>
        <w:tc>
          <w:tcPr>
            <w:tcW w:w="3890" w:type="pct"/>
            <w:tcBorders>
              <w:top w:val="nil"/>
              <w:bottom w:val="nil"/>
            </w:tcBorders>
            <w:tcMar>
              <w:left w:w="86" w:type="dxa"/>
              <w:bottom w:w="43" w:type="dxa"/>
              <w:right w:w="86" w:type="dxa"/>
            </w:tcMar>
          </w:tcPr>
          <w:p w14:paraId="7C970C43" w14:textId="77777777" w:rsidR="004357B8" w:rsidRPr="005D4222" w:rsidRDefault="004357B8" w:rsidP="00A53E8C">
            <w:pPr>
              <w:pStyle w:val="ECDSBody"/>
              <w:spacing w:after="0"/>
            </w:pPr>
            <w:r w:rsidRPr="005D4222">
              <w:t>Index prescription start date. The earliest prescription dispensing date for any statin medication, of any intensity, during the measurement period.</w:t>
            </w:r>
          </w:p>
        </w:tc>
      </w:tr>
      <w:tr w:rsidR="004357B8" w:rsidRPr="005D4222" w14:paraId="44FC7A30" w14:textId="77777777" w:rsidTr="007B5FC3">
        <w:tc>
          <w:tcPr>
            <w:tcW w:w="1110" w:type="pct"/>
            <w:tcBorders>
              <w:top w:val="nil"/>
              <w:bottom w:val="nil"/>
            </w:tcBorders>
            <w:tcMar>
              <w:top w:w="0" w:type="dxa"/>
              <w:left w:w="86" w:type="dxa"/>
              <w:bottom w:w="43" w:type="dxa"/>
              <w:right w:w="86" w:type="dxa"/>
            </w:tcMar>
          </w:tcPr>
          <w:p w14:paraId="29FD6266" w14:textId="77777777" w:rsidR="004357B8" w:rsidRPr="005D4222" w:rsidRDefault="004357B8" w:rsidP="00A53E8C">
            <w:pPr>
              <w:pStyle w:val="ECDSSubhead"/>
              <w:spacing w:before="80"/>
            </w:pPr>
            <w:r w:rsidRPr="005D4222">
              <w:t>PDC</w:t>
            </w:r>
          </w:p>
        </w:tc>
        <w:tc>
          <w:tcPr>
            <w:tcW w:w="3890" w:type="pct"/>
            <w:tcBorders>
              <w:top w:val="nil"/>
              <w:bottom w:val="nil"/>
            </w:tcBorders>
            <w:tcMar>
              <w:left w:w="86" w:type="dxa"/>
              <w:bottom w:w="43" w:type="dxa"/>
              <w:right w:w="86" w:type="dxa"/>
            </w:tcMar>
          </w:tcPr>
          <w:p w14:paraId="78B4A3CA" w14:textId="77777777" w:rsidR="004357B8" w:rsidRPr="005D4222" w:rsidRDefault="004357B8" w:rsidP="00A53E8C">
            <w:pPr>
              <w:pStyle w:val="ECDSBody"/>
              <w:spacing w:before="80" w:after="0"/>
              <w:rPr>
                <w:highlight w:val="yellow"/>
              </w:rPr>
            </w:pPr>
            <w:r w:rsidRPr="005D4222">
              <w:t>Proportion of days covered. The number of days the person is covered by at least one statin medication prescription of appropriate intensity, divided by the number of days in the treatment period.</w:t>
            </w:r>
          </w:p>
        </w:tc>
      </w:tr>
      <w:tr w:rsidR="004357B8" w:rsidRPr="005D4222" w14:paraId="2CCF3DEF" w14:textId="77777777" w:rsidTr="007B5FC3">
        <w:tc>
          <w:tcPr>
            <w:tcW w:w="1110" w:type="pct"/>
            <w:tcBorders>
              <w:top w:val="nil"/>
              <w:bottom w:val="nil"/>
            </w:tcBorders>
            <w:tcMar>
              <w:top w:w="0" w:type="dxa"/>
              <w:left w:w="86" w:type="dxa"/>
              <w:bottom w:w="43" w:type="dxa"/>
              <w:right w:w="86" w:type="dxa"/>
            </w:tcMar>
          </w:tcPr>
          <w:p w14:paraId="24E85C61" w14:textId="77777777" w:rsidR="004357B8" w:rsidRPr="005D4222" w:rsidRDefault="004357B8" w:rsidP="00A53E8C">
            <w:pPr>
              <w:pStyle w:val="ECDSSubhead"/>
              <w:spacing w:after="80"/>
            </w:pPr>
            <w:r w:rsidRPr="005D4222">
              <w:t>Treatment period</w:t>
            </w:r>
          </w:p>
        </w:tc>
        <w:tc>
          <w:tcPr>
            <w:tcW w:w="3890" w:type="pct"/>
            <w:tcBorders>
              <w:top w:val="nil"/>
              <w:bottom w:val="nil"/>
            </w:tcBorders>
            <w:tcMar>
              <w:left w:w="86" w:type="dxa"/>
              <w:bottom w:w="43" w:type="dxa"/>
              <w:right w:w="86" w:type="dxa"/>
            </w:tcMar>
          </w:tcPr>
          <w:p w14:paraId="012CC005" w14:textId="77777777" w:rsidR="004357B8" w:rsidRPr="005D4222" w:rsidRDefault="004357B8" w:rsidP="00A53E8C">
            <w:pPr>
              <w:pStyle w:val="ECDSBody"/>
            </w:pPr>
            <w:r w:rsidRPr="005D4222">
              <w:t>The period beginning on the IPSD through the last day of the measurement period.</w:t>
            </w:r>
          </w:p>
        </w:tc>
      </w:tr>
      <w:tr w:rsidR="004357B8" w:rsidRPr="005D4222" w14:paraId="5E78A1BB" w14:textId="77777777" w:rsidTr="00A53E8C">
        <w:tblPrEx>
          <w:tblCellMar>
            <w:top w:w="0" w:type="dxa"/>
          </w:tblCellMar>
        </w:tblPrEx>
        <w:trPr>
          <w:trHeight w:val="320"/>
        </w:trPr>
        <w:tc>
          <w:tcPr>
            <w:tcW w:w="1110" w:type="pct"/>
            <w:shd w:val="clear" w:color="auto" w:fill="BFBFBF" w:themeFill="background1" w:themeFillShade="BF"/>
            <w:tcMar>
              <w:top w:w="0" w:type="dxa"/>
              <w:left w:w="86" w:type="dxa"/>
              <w:bottom w:w="43" w:type="dxa"/>
              <w:right w:w="86" w:type="dxa"/>
            </w:tcMar>
          </w:tcPr>
          <w:p w14:paraId="2587C38F" w14:textId="77777777" w:rsidR="004357B8" w:rsidRPr="005D4222" w:rsidRDefault="004357B8" w:rsidP="00A53E8C">
            <w:pPr>
              <w:pStyle w:val="ECDSMarginHead"/>
            </w:pPr>
            <w:r w:rsidRPr="005D4222">
              <w:t>Initial population</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465F9BC" w14:textId="77777777" w:rsidR="004357B8" w:rsidRPr="005D4222" w:rsidRDefault="004357B8" w:rsidP="00A53E8C">
            <w:pPr>
              <w:pStyle w:val="ECDSBody"/>
            </w:pPr>
            <w:r w:rsidRPr="005D4222">
              <w:rPr>
                <w:i/>
                <w:iCs/>
              </w:rPr>
              <w:t>Measure item count:</w:t>
            </w:r>
            <w:r w:rsidRPr="005D4222">
              <w:t xml:space="preserve"> Person.</w:t>
            </w:r>
          </w:p>
          <w:p w14:paraId="372A8D02" w14:textId="77777777" w:rsidR="004357B8" w:rsidRPr="005D4222" w:rsidRDefault="004357B8" w:rsidP="00A53E8C">
            <w:pPr>
              <w:pStyle w:val="ECDSBody"/>
            </w:pPr>
            <w:r w:rsidRPr="005D4222">
              <w:rPr>
                <w:i/>
                <w:iCs/>
              </w:rPr>
              <w:t>Attribution basis:</w:t>
            </w:r>
            <w:r w:rsidRPr="005D4222">
              <w:t xml:space="preserve"> Enrollment.</w:t>
            </w:r>
          </w:p>
          <w:p w14:paraId="76705081" w14:textId="77777777" w:rsidR="004357B8" w:rsidRPr="005D4222" w:rsidRDefault="004357B8" w:rsidP="004357B8">
            <w:pPr>
              <w:pStyle w:val="Bullet"/>
              <w:tabs>
                <w:tab w:val="left" w:pos="360"/>
                <w:tab w:val="left" w:pos="576"/>
              </w:tabs>
            </w:pPr>
            <w:r w:rsidRPr="005D4222">
              <w:rPr>
                <w:i/>
                <w:iCs/>
              </w:rPr>
              <w:t>Benefits:</w:t>
            </w:r>
            <w:r w:rsidRPr="005D4222">
              <w:t xml:space="preserve"> Medical. Pharmacy during the measurement period.</w:t>
            </w:r>
          </w:p>
          <w:p w14:paraId="4DCD4957" w14:textId="77777777" w:rsidR="004357B8" w:rsidRPr="005D4222" w:rsidRDefault="004357B8" w:rsidP="004357B8">
            <w:pPr>
              <w:pStyle w:val="Bullet"/>
              <w:tabs>
                <w:tab w:val="left" w:pos="360"/>
                <w:tab w:val="left" w:pos="576"/>
              </w:tabs>
            </w:pPr>
            <w:r w:rsidRPr="005D4222">
              <w:rPr>
                <w:i/>
                <w:iCs/>
              </w:rPr>
              <w:t xml:space="preserve">Continuous enrollment: </w:t>
            </w:r>
            <w:r w:rsidRPr="005D4222">
              <w:t>The measurement period and the year prior to the measurement period.</w:t>
            </w:r>
          </w:p>
          <w:p w14:paraId="57837EC6" w14:textId="77777777" w:rsidR="004357B8" w:rsidRPr="005D4222" w:rsidRDefault="004357B8" w:rsidP="004357B8">
            <w:pPr>
              <w:pStyle w:val="Bullet"/>
              <w:tabs>
                <w:tab w:val="left" w:pos="360"/>
                <w:tab w:val="left" w:pos="576"/>
              </w:tabs>
              <w:rPr>
                <w:i/>
                <w:iCs/>
              </w:rPr>
            </w:pPr>
            <w:r w:rsidRPr="005D4222">
              <w:rPr>
                <w:i/>
                <w:iCs/>
              </w:rPr>
              <w:t>Allowable gap:</w:t>
            </w:r>
            <w:r w:rsidRPr="005D4222">
              <w:t xml:space="preserve"> No more than one gap of ≤45 days during each year of continuous enrollment. No gaps on the last day of the measurement period.</w:t>
            </w:r>
          </w:p>
          <w:p w14:paraId="6AA3488B" w14:textId="77777777" w:rsidR="004357B8" w:rsidRPr="005D4222" w:rsidRDefault="004357B8" w:rsidP="00A53E8C">
            <w:pPr>
              <w:pStyle w:val="Body"/>
              <w:rPr>
                <w:rFonts w:cs="Arial"/>
              </w:rPr>
            </w:pPr>
            <w:r w:rsidRPr="005D4222">
              <w:rPr>
                <w:rFonts w:cs="Arial"/>
                <w:i/>
                <w:iCs/>
              </w:rPr>
              <w:t xml:space="preserve">Ages: </w:t>
            </w:r>
            <w:r w:rsidRPr="005D4222">
              <w:t>40–75 years of age as of last day of the measurement period.</w:t>
            </w:r>
          </w:p>
          <w:p w14:paraId="05BBBCE1" w14:textId="77777777" w:rsidR="003E5AE5" w:rsidRPr="005D4222" w:rsidRDefault="004357B8" w:rsidP="00A53E8C">
            <w:pPr>
              <w:pStyle w:val="ECDSBody"/>
              <w:rPr>
                <w:b/>
              </w:rPr>
            </w:pPr>
            <w:r w:rsidRPr="005D4222">
              <w:rPr>
                <w:i/>
                <w:iCs/>
              </w:rPr>
              <w:t>Event:</w:t>
            </w:r>
            <w:r w:rsidRPr="005D4222">
              <w:rPr>
                <w:b/>
                <w:i/>
              </w:rPr>
              <w:t xml:space="preserve"> </w:t>
            </w:r>
            <w:r w:rsidRPr="005D4222">
              <w:rPr>
                <w:b/>
              </w:rPr>
              <w:t>Identify persons with a diagnosis of diabetes.</w:t>
            </w:r>
          </w:p>
          <w:p w14:paraId="1522FBCD" w14:textId="7830DDD9" w:rsidR="004357B8" w:rsidRPr="005D4222" w:rsidRDefault="004357B8" w:rsidP="00A53E8C">
            <w:pPr>
              <w:pStyle w:val="ECDSBody"/>
              <w:rPr>
                <w:rFonts w:eastAsia="Arial"/>
                <w:color w:val="000000" w:themeColor="text1"/>
              </w:rPr>
            </w:pPr>
            <w:r w:rsidRPr="005D4222">
              <w:rPr>
                <w:rFonts w:eastAsia="Arial"/>
                <w:color w:val="000000" w:themeColor="text1"/>
              </w:rPr>
              <w:t>Either of the following meets criteria:</w:t>
            </w:r>
          </w:p>
          <w:p w14:paraId="7A22B23F" w14:textId="77777777" w:rsidR="004357B8" w:rsidRPr="005D4222" w:rsidRDefault="004357B8" w:rsidP="004357B8">
            <w:pPr>
              <w:pStyle w:val="Bullet"/>
              <w:numPr>
                <w:ilvl w:val="0"/>
                <w:numId w:val="4"/>
              </w:numPr>
              <w:tabs>
                <w:tab w:val="left" w:pos="360"/>
                <w:tab w:val="left" w:pos="576"/>
              </w:tabs>
              <w:ind w:left="576" w:hanging="216"/>
              <w:rPr>
                <w:i/>
                <w:iCs/>
              </w:rPr>
            </w:pPr>
            <w:r w:rsidRPr="005D4222">
              <w:rPr>
                <w:i/>
                <w:iCs/>
              </w:rPr>
              <w:t xml:space="preserve">Claim/encounter data. </w:t>
            </w:r>
            <w:r w:rsidRPr="005D4222">
              <w:t>At least two diagnoses of diabetes (</w:t>
            </w:r>
            <w:r w:rsidRPr="005D4222">
              <w:rPr>
                <w:u w:val="single"/>
              </w:rPr>
              <w:t>Diabetes Value Set</w:t>
            </w:r>
            <w:r w:rsidRPr="005D4222">
              <w:t>*) on different dates of service during the measurement period or the year prior to the measurement period.</w:t>
            </w:r>
          </w:p>
          <w:p w14:paraId="201D25BB" w14:textId="77777777" w:rsidR="004357B8" w:rsidRPr="005D4222" w:rsidRDefault="004357B8" w:rsidP="004357B8">
            <w:pPr>
              <w:pStyle w:val="Bullet"/>
              <w:tabs>
                <w:tab w:val="left" w:pos="360"/>
                <w:tab w:val="left" w:pos="576"/>
              </w:tabs>
              <w:spacing w:after="80"/>
            </w:pPr>
            <w:r w:rsidRPr="005D4222">
              <w:rPr>
                <w:i/>
                <w:iCs/>
              </w:rPr>
              <w:t xml:space="preserve">Pharmacy data. </w:t>
            </w:r>
            <w:r w:rsidRPr="005D4222">
              <w:t>At least one diagnosis of diabetes (</w:t>
            </w:r>
            <w:r w:rsidRPr="005D4222">
              <w:rPr>
                <w:u w:val="single"/>
              </w:rPr>
              <w:t>Diabetes Value Set</w:t>
            </w:r>
            <w:r w:rsidRPr="005D4222">
              <w:t>*) and at least one diabetes medication dispensing event of insulin or a hypoglycemic/antihyperglycemic medication (</w:t>
            </w:r>
            <w:r w:rsidRPr="005D4222">
              <w:rPr>
                <w:u w:val="single"/>
              </w:rPr>
              <w:t>Diabetes Medications List</w:t>
            </w:r>
            <w:r w:rsidRPr="005D4222">
              <w:t>) during the measurement period or the year prior to the measurement period. </w:t>
            </w:r>
          </w:p>
          <w:p w14:paraId="193D40BE" w14:textId="77777777" w:rsidR="004357B8" w:rsidRPr="005D4222" w:rsidRDefault="004357B8" w:rsidP="00A53E8C">
            <w:pPr>
              <w:pStyle w:val="ECDSBody"/>
              <w:spacing w:before="180" w:after="0"/>
              <w:rPr>
                <w:b/>
                <w:bCs w:val="0"/>
              </w:rPr>
            </w:pPr>
            <w:r w:rsidRPr="005D4222">
              <w:rPr>
                <w:b/>
                <w:bCs w:val="0"/>
              </w:rPr>
              <w:t>Coding Guidance</w:t>
            </w:r>
          </w:p>
          <w:p w14:paraId="5DE96947" w14:textId="77777777" w:rsidR="004357B8" w:rsidRPr="005D4222" w:rsidRDefault="004357B8" w:rsidP="00A53E8C">
            <w:pPr>
              <w:pStyle w:val="ECDSBody"/>
              <w:spacing w:before="0"/>
              <w:rPr>
                <w:rFonts w:asciiTheme="majorHAnsi" w:eastAsiaTheme="majorEastAsia" w:hAnsiTheme="majorHAnsi"/>
                <w:color w:val="2F5496" w:themeColor="accent1" w:themeShade="BF"/>
              </w:rPr>
            </w:pPr>
            <w:r w:rsidRPr="005D4222">
              <w:t xml:space="preserve">*Do not include laboratory claims (claims with POS code 81). </w:t>
            </w:r>
          </w:p>
        </w:tc>
      </w:tr>
      <w:tr w:rsidR="004357B8" w:rsidRPr="005D4222" w14:paraId="27449C34" w14:textId="77777777" w:rsidTr="00A53E8C">
        <w:tblPrEx>
          <w:tblCellMar>
            <w:top w:w="0" w:type="dxa"/>
          </w:tblCellMar>
        </w:tblPrEx>
        <w:tc>
          <w:tcPr>
            <w:tcW w:w="1110" w:type="pct"/>
            <w:tcBorders>
              <w:top w:val="single" w:sz="2"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54E17413" w14:textId="77777777" w:rsidR="004357B8" w:rsidRPr="005D4222" w:rsidRDefault="004357B8" w:rsidP="00A53E8C">
            <w:pPr>
              <w:pStyle w:val="ECDSMarginHead"/>
            </w:pPr>
            <w:r w:rsidRPr="005D4222">
              <w:lastRenderedPageBreak/>
              <w:t xml:space="preserve">Denominator exclusions </w:t>
            </w:r>
          </w:p>
        </w:tc>
        <w:tc>
          <w:tcPr>
            <w:tcW w:w="3890" w:type="pct"/>
            <w:tcBorders>
              <w:top w:val="single" w:sz="4" w:space="0" w:color="auto"/>
              <w:left w:val="single" w:sz="4" w:space="0" w:color="auto"/>
              <w:right w:val="single" w:sz="4" w:space="0" w:color="auto"/>
            </w:tcBorders>
            <w:tcMar>
              <w:top w:w="0" w:type="dxa"/>
              <w:left w:w="86" w:type="dxa"/>
              <w:bottom w:w="43" w:type="dxa"/>
              <w:right w:w="86" w:type="dxa"/>
            </w:tcMar>
            <w:vAlign w:val="center"/>
          </w:tcPr>
          <w:p w14:paraId="682EE161" w14:textId="77777777" w:rsidR="004357B8" w:rsidRPr="005D4222" w:rsidRDefault="004357B8" w:rsidP="00A53E8C">
            <w:pPr>
              <w:pStyle w:val="ECDSBody"/>
            </w:pPr>
            <w:r w:rsidRPr="005D4222">
              <w:rPr>
                <w:rFonts w:eastAsia="Arial,Arial,Arial,Arial,Arial,A"/>
                <w:b/>
                <w:bCs w:val="0"/>
              </w:rPr>
              <w:t>Persons with a date of death.</w:t>
            </w:r>
            <w:r w:rsidRPr="005D4222">
              <w:rPr>
                <w:rFonts w:eastAsia="Arial,Arial,Arial,Arial,Arial,A"/>
                <w:b/>
                <w:bCs w:val="0"/>
              </w:rPr>
              <w:br/>
            </w:r>
            <w:r w:rsidRPr="005D4222">
              <w:rPr>
                <w:rFonts w:eastAsia="Arial,Arial,Arial,Arial,Arial,A"/>
              </w:rPr>
              <w:t>Death in the measurement period, identified using data sources determined by the organization. Method and data sources are subject to review during the HEDIS audit.</w:t>
            </w:r>
          </w:p>
          <w:p w14:paraId="69893654" w14:textId="77777777" w:rsidR="004357B8" w:rsidRPr="005D4222" w:rsidRDefault="004357B8" w:rsidP="00A53E8C">
            <w:pPr>
              <w:pStyle w:val="ECDSBody"/>
              <w:spacing w:before="180"/>
              <w:rPr>
                <w:rFonts w:eastAsia="Arial,Arial,Arial,Arial,Arial,A"/>
              </w:rPr>
            </w:pPr>
            <w:r w:rsidRPr="005D4222" w:rsidDel="002D4AA7">
              <w:rPr>
                <w:rFonts w:eastAsia="Arial,Arial,Arial,Arial,Arial,A"/>
                <w:b/>
                <w:bCs w:val="0"/>
              </w:rPr>
              <w:t xml:space="preserve">Persons </w:t>
            </w:r>
            <w:r w:rsidRPr="005D4222">
              <w:rPr>
                <w:rFonts w:eastAsia="Arial,Arial,Arial,Arial,Arial,A"/>
                <w:b/>
                <w:bCs w:val="0"/>
              </w:rPr>
              <w:t>in hospice or using hospice services.</w:t>
            </w:r>
            <w:r w:rsidRPr="005D4222">
              <w:rPr>
                <w:rFonts w:eastAsia="Arial,Arial,Arial,Arial,Arial,A"/>
                <w:b/>
                <w:bCs w:val="0"/>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4FF62A87" w14:textId="1EDF09B3" w:rsidR="004357B8" w:rsidRPr="005D4222" w:rsidRDefault="004357B8" w:rsidP="00A53E8C">
            <w:pPr>
              <w:pStyle w:val="ECDSBody"/>
            </w:pPr>
            <w:r w:rsidRPr="005D4222">
              <w:rPr>
                <w:b/>
                <w:bCs w:val="0"/>
              </w:rPr>
              <w:t>Persons receiving palliative care.</w:t>
            </w:r>
            <w:r w:rsidRPr="005D4222">
              <w:rPr>
                <w:b/>
                <w:bCs w:val="0"/>
              </w:rPr>
              <w:br/>
            </w:r>
            <w:r w:rsidRPr="005D4222">
              <w:t>Persons receiving palliative care (</w:t>
            </w:r>
            <w:r w:rsidRPr="005D4222">
              <w:rPr>
                <w:u w:val="single"/>
              </w:rPr>
              <w:t>Palliative Care Assessment Value Set</w:t>
            </w:r>
            <w:r w:rsidRPr="005D4222">
              <w:t xml:space="preserve">; </w:t>
            </w:r>
            <w:r w:rsidRPr="005D4222">
              <w:rPr>
                <w:u w:val="single"/>
              </w:rPr>
              <w:t>Palliative Care Encounter Value Set</w:t>
            </w:r>
            <w:r w:rsidRPr="005D4222">
              <w:t xml:space="preserve">; </w:t>
            </w:r>
            <w:r w:rsidRPr="005D4222">
              <w:rPr>
                <w:u w:val="single"/>
              </w:rPr>
              <w:t>Palliative Care Intervention Value Set</w:t>
            </w:r>
            <w:r w:rsidRPr="005D4222">
              <w:t>) or who had an encounter for palliative care (ICD-10-CM code Z51.5</w:t>
            </w:r>
            <w:r w:rsidR="00A9039F" w:rsidRPr="005D4222">
              <w:t>*</w:t>
            </w:r>
            <w:r w:rsidRPr="005D4222">
              <w:t xml:space="preserve">) any time during the measurement period. </w:t>
            </w:r>
          </w:p>
          <w:p w14:paraId="31CA5A1B" w14:textId="77777777" w:rsidR="004357B8" w:rsidRPr="005D4222" w:rsidRDefault="004357B8" w:rsidP="00A53E8C">
            <w:pPr>
              <w:pStyle w:val="ECDSBody"/>
              <w:rPr>
                <w:b/>
                <w:bCs w:val="0"/>
              </w:rPr>
            </w:pPr>
            <w:r w:rsidRPr="005D4222">
              <w:rPr>
                <w:b/>
                <w:bCs w:val="0"/>
              </w:rPr>
              <w:t>Persons 66 years of age or older by the last day of the measurement period, with both frailty and advanced illness.</w:t>
            </w:r>
          </w:p>
          <w:p w14:paraId="3AEF8837" w14:textId="77777777" w:rsidR="004357B8" w:rsidRPr="005D4222" w:rsidRDefault="004357B8" w:rsidP="005D6173">
            <w:pPr>
              <w:pStyle w:val="ECDSBody"/>
              <w:numPr>
                <w:ilvl w:val="0"/>
                <w:numId w:val="168"/>
              </w:numPr>
              <w:tabs>
                <w:tab w:val="clear" w:pos="1368"/>
              </w:tabs>
              <w:spacing w:before="60" w:after="60"/>
              <w:ind w:left="288" w:hanging="288"/>
              <w:rPr>
                <w:u w:val="single"/>
              </w:rPr>
            </w:pPr>
            <w:r w:rsidRPr="005D4222">
              <w:rPr>
                <w:b/>
              </w:rPr>
              <w:t>Frailty.</w:t>
            </w:r>
            <w:r w:rsidRPr="005D4222">
              <w:t xml:space="preserve"> At least two indications of frailty (</w:t>
            </w:r>
            <w:r w:rsidRPr="005D4222">
              <w:rPr>
                <w:u w:val="single"/>
              </w:rPr>
              <w:t>Frailty Device Value Set</w:t>
            </w:r>
            <w:r w:rsidRPr="005D4222">
              <w:t xml:space="preserve">; </w:t>
            </w:r>
            <w:r w:rsidRPr="005D4222">
              <w:rPr>
                <w:u w:val="single"/>
              </w:rPr>
              <w:t>Frailty Diagnosis Value Set</w:t>
            </w:r>
            <w:r w:rsidRPr="005D4222">
              <w:t xml:space="preserve">*; </w:t>
            </w:r>
            <w:r w:rsidRPr="005D4222">
              <w:rPr>
                <w:u w:val="single"/>
              </w:rPr>
              <w:t>Frailty Encounter Value Set</w:t>
            </w:r>
            <w:r w:rsidRPr="005D4222">
              <w:t xml:space="preserve">; </w:t>
            </w:r>
            <w:r w:rsidRPr="005D4222">
              <w:rPr>
                <w:u w:val="single"/>
              </w:rPr>
              <w:t>Frailty Symptom Value Set</w:t>
            </w:r>
            <w:r w:rsidR="00E254AA" w:rsidRPr="005D4222">
              <w:t>*</w:t>
            </w:r>
            <w:r w:rsidRPr="005D4222">
              <w:t>) with different dates of service during the measurement period.</w:t>
            </w:r>
          </w:p>
          <w:p w14:paraId="1249679F" w14:textId="77777777" w:rsidR="004357B8" w:rsidRPr="005D4222" w:rsidRDefault="004357B8" w:rsidP="005D6173">
            <w:pPr>
              <w:pStyle w:val="ECDSBody"/>
              <w:numPr>
                <w:ilvl w:val="0"/>
                <w:numId w:val="168"/>
              </w:numPr>
              <w:tabs>
                <w:tab w:val="clear" w:pos="1368"/>
              </w:tabs>
              <w:spacing w:before="60" w:after="60"/>
              <w:ind w:left="288" w:hanging="288"/>
            </w:pPr>
            <w:r w:rsidRPr="005D4222">
              <w:rPr>
                <w:b/>
              </w:rPr>
              <w:t>Advanced illness.</w:t>
            </w:r>
            <w:r w:rsidRPr="005D4222">
              <w:t xml:space="preserve"> Either of the following during the measurement period or the year prior to the measurement period: </w:t>
            </w:r>
          </w:p>
          <w:p w14:paraId="2518F6BC" w14:textId="77777777" w:rsidR="004357B8" w:rsidRPr="005D4222" w:rsidRDefault="004357B8" w:rsidP="005D6173">
            <w:pPr>
              <w:pStyle w:val="Dash"/>
              <w:numPr>
                <w:ilvl w:val="0"/>
                <w:numId w:val="163"/>
              </w:numPr>
              <w:ind w:left="504" w:hanging="216"/>
            </w:pPr>
            <w:r w:rsidRPr="005D4222">
              <w:t xml:space="preserve">Advanced illness </w:t>
            </w:r>
            <w:r w:rsidRPr="005D4222">
              <w:rPr>
                <w:rFonts w:cs="Arial"/>
              </w:rPr>
              <w:t>(</w:t>
            </w:r>
            <w:r w:rsidRPr="005D4222">
              <w:rPr>
                <w:rFonts w:cs="Arial"/>
                <w:u w:val="single"/>
              </w:rPr>
              <w:t>Advanced Illness Value Set</w:t>
            </w:r>
            <w:r w:rsidRPr="005D4222">
              <w:rPr>
                <w:rFonts w:cs="Arial"/>
              </w:rPr>
              <w:t>*) on at least two different dates of service.</w:t>
            </w:r>
          </w:p>
          <w:p w14:paraId="49BE5812" w14:textId="77777777" w:rsidR="004357B8" w:rsidRPr="005D4222" w:rsidRDefault="004357B8" w:rsidP="005D6173">
            <w:pPr>
              <w:pStyle w:val="Dash"/>
              <w:numPr>
                <w:ilvl w:val="0"/>
                <w:numId w:val="163"/>
              </w:numPr>
              <w:ind w:left="504" w:hanging="216"/>
            </w:pPr>
            <w:r w:rsidRPr="005D4222">
              <w:t>Dispensed dementia medication (</w:t>
            </w:r>
            <w:r w:rsidRPr="005D4222">
              <w:rPr>
                <w:u w:val="single"/>
              </w:rPr>
              <w:t>Dementia Medications List</w:t>
            </w:r>
            <w:r w:rsidRPr="005D4222">
              <w:t>).</w:t>
            </w:r>
          </w:p>
          <w:p w14:paraId="26459936" w14:textId="77777777" w:rsidR="004357B8" w:rsidRPr="005D4222" w:rsidRDefault="004357B8" w:rsidP="00A53E8C">
            <w:pPr>
              <w:pStyle w:val="ECDSBody"/>
            </w:pPr>
            <w:r w:rsidRPr="005D4222">
              <w:rPr>
                <w:b/>
                <w:bCs w:val="0"/>
              </w:rPr>
              <w:t>In vitro fertilization, pregnancy or a prescription of</w:t>
            </w:r>
            <w:r w:rsidRPr="005D4222">
              <w:t xml:space="preserve"> </w:t>
            </w:r>
            <w:r w:rsidRPr="005D4222">
              <w:rPr>
                <w:b/>
                <w:bCs w:val="0"/>
              </w:rPr>
              <w:t xml:space="preserve">clomiphene. </w:t>
            </w:r>
            <w:r w:rsidRPr="005D4222">
              <w:rPr>
                <w:b/>
                <w:bCs w:val="0"/>
              </w:rPr>
              <w:br/>
            </w:r>
            <w:r w:rsidRPr="005D4222">
              <w:t>Persons who received in vitro fertilization (</w:t>
            </w:r>
            <w:r w:rsidRPr="005D4222">
              <w:rPr>
                <w:u w:val="single"/>
              </w:rPr>
              <w:t>IVF Value Set</w:t>
            </w:r>
            <w:r w:rsidRPr="005D4222">
              <w:t>), had a diagnosis of (</w:t>
            </w:r>
            <w:r w:rsidRPr="005D4222">
              <w:rPr>
                <w:u w:val="single"/>
              </w:rPr>
              <w:t>Pregnancy Value Set</w:t>
            </w:r>
            <w:r w:rsidRPr="005D4222">
              <w:t>*), or were dispensed at least one prescription for clomiphene (</w:t>
            </w:r>
            <w:r w:rsidRPr="005D4222">
              <w:rPr>
                <w:u w:val="single"/>
              </w:rPr>
              <w:t>Estrogen Agonists Medications List</w:t>
            </w:r>
            <w:r w:rsidRPr="005D4222">
              <w:t xml:space="preserve">) during the measurement period or the year prior to the measurement period. </w:t>
            </w:r>
          </w:p>
          <w:p w14:paraId="57136AF5" w14:textId="77777777" w:rsidR="004357B8" w:rsidRPr="005D4222" w:rsidRDefault="004357B8" w:rsidP="00A53E8C">
            <w:pPr>
              <w:pStyle w:val="ECDSBody"/>
            </w:pPr>
            <w:r w:rsidRPr="005D4222">
              <w:rPr>
                <w:b/>
                <w:bCs w:val="0"/>
              </w:rPr>
              <w:t>ESRD, cirrhosis or dialysis.</w:t>
            </w:r>
            <w:r w:rsidRPr="005D4222">
              <w:rPr>
                <w:b/>
                <w:bCs w:val="0"/>
              </w:rPr>
              <w:br/>
            </w:r>
            <w:r w:rsidRPr="005D4222">
              <w:t>Persons with a diagnosis of ESRD (</w:t>
            </w:r>
            <w:r w:rsidRPr="005D4222">
              <w:rPr>
                <w:u w:val="single"/>
              </w:rPr>
              <w:t>ESRD Diagnosis Value Set</w:t>
            </w:r>
            <w:r w:rsidRPr="005D4222">
              <w:t>*) or cirrhosis (</w:t>
            </w:r>
            <w:r w:rsidRPr="005D4222">
              <w:rPr>
                <w:u w:val="single"/>
              </w:rPr>
              <w:t>Cirrhosis Value Set</w:t>
            </w:r>
            <w:r w:rsidRPr="005D4222">
              <w:t>*), or who received dialysis (</w:t>
            </w:r>
            <w:r w:rsidRPr="005D4222">
              <w:rPr>
                <w:u w:val="single"/>
              </w:rPr>
              <w:t>Dialysis Procedure Value Set</w:t>
            </w:r>
            <w:r w:rsidRPr="005D4222">
              <w:t xml:space="preserve">) during the measurement period or the year prior to the measurement period. </w:t>
            </w:r>
          </w:p>
          <w:p w14:paraId="1EFB17A4" w14:textId="77777777" w:rsidR="004357B8" w:rsidRPr="005D4222" w:rsidRDefault="004357B8" w:rsidP="00A53E8C">
            <w:pPr>
              <w:pStyle w:val="ECDSBody"/>
            </w:pPr>
            <w:r w:rsidRPr="005D4222">
              <w:rPr>
                <w:b/>
                <w:bCs w:val="0"/>
              </w:rPr>
              <w:t>Myalgia, myositis, myopathy or rhabdomyolysis.</w:t>
            </w:r>
            <w:r w:rsidRPr="005D4222">
              <w:rPr>
                <w:b/>
                <w:bCs w:val="0"/>
              </w:rPr>
              <w:br/>
            </w:r>
            <w:r w:rsidRPr="005D4222">
              <w:t>Persons with myalgia, myositis, myopathy or rhabdomyolysis (</w:t>
            </w:r>
            <w:r w:rsidRPr="005D4222">
              <w:rPr>
                <w:u w:val="single"/>
              </w:rPr>
              <w:t>Muscular Pain and Disease Value Set</w:t>
            </w:r>
            <w:r w:rsidRPr="005D4222">
              <w:t xml:space="preserve">*) during the measurement period. </w:t>
            </w:r>
          </w:p>
          <w:p w14:paraId="21C6B1DE" w14:textId="77777777" w:rsidR="004357B8" w:rsidRPr="005D4222" w:rsidRDefault="004357B8" w:rsidP="00A53E8C">
            <w:pPr>
              <w:pStyle w:val="ECDSBody"/>
            </w:pPr>
            <w:r w:rsidRPr="005D4222">
              <w:rPr>
                <w:b/>
                <w:bCs w:val="0"/>
              </w:rPr>
              <w:t>Myalgia or rhabdomyolysis caused by a statin.</w:t>
            </w:r>
            <w:r w:rsidRPr="005D4222">
              <w:rPr>
                <w:b/>
                <w:bCs w:val="0"/>
              </w:rPr>
              <w:br/>
            </w:r>
            <w:r w:rsidRPr="005D4222">
              <w:t>Persons with myalgia or rhabdomyolysis caused by a statin (</w:t>
            </w:r>
            <w:r w:rsidRPr="005D4222">
              <w:rPr>
                <w:u w:val="single"/>
              </w:rPr>
              <w:t>Muscular Reactions to Statins Value Set</w:t>
            </w:r>
            <w:r w:rsidRPr="005D4222">
              <w:t>) any time during the person’s history through the last day of the measurement period.</w:t>
            </w:r>
          </w:p>
          <w:p w14:paraId="5EA24978" w14:textId="77777777" w:rsidR="004357B8" w:rsidRPr="005D4222" w:rsidRDefault="004357B8" w:rsidP="00A53E8C">
            <w:pPr>
              <w:pStyle w:val="ECDSBody"/>
              <w:rPr>
                <w:b/>
                <w:bCs w:val="0"/>
              </w:rPr>
            </w:pPr>
            <w:r w:rsidRPr="005D4222">
              <w:rPr>
                <w:b/>
                <w:bCs w:val="0"/>
              </w:rPr>
              <w:t>MI, CABG, PCI or other revascularization during the year prior to the measurement period.</w:t>
            </w:r>
          </w:p>
          <w:p w14:paraId="12E966CD" w14:textId="77777777" w:rsidR="004357B8" w:rsidRPr="005D4222" w:rsidRDefault="004357B8" w:rsidP="004357B8">
            <w:pPr>
              <w:pStyle w:val="ProcessBullet"/>
              <w:tabs>
                <w:tab w:val="left" w:pos="216"/>
              </w:tabs>
              <w:rPr>
                <w:rFonts w:cs="Arial"/>
              </w:rPr>
            </w:pPr>
            <w:r w:rsidRPr="005D4222">
              <w:t>Persons discharged from an inpatient setting with an MI (</w:t>
            </w:r>
            <w:r w:rsidRPr="005D4222">
              <w:rPr>
                <w:u w:val="single"/>
              </w:rPr>
              <w:t>MI Value Set</w:t>
            </w:r>
            <w:r w:rsidRPr="005D4222">
              <w:t xml:space="preserve">; </w:t>
            </w:r>
            <w:r w:rsidRPr="005D4222">
              <w:rPr>
                <w:u w:val="single"/>
              </w:rPr>
              <w:t>Old Myocardial Infarction Value Set</w:t>
            </w:r>
            <w:r w:rsidRPr="005D4222">
              <w:t xml:space="preserve">) on the discharge claim. To identify discharges: </w:t>
            </w:r>
          </w:p>
          <w:p w14:paraId="610F6939" w14:textId="246C7AA1" w:rsidR="003E5AE5" w:rsidRPr="005D4222" w:rsidRDefault="004357B8" w:rsidP="003E5AE5">
            <w:pPr>
              <w:pStyle w:val="Body"/>
              <w:spacing w:before="60" w:after="80"/>
              <w:ind w:left="504" w:hanging="288"/>
              <w:rPr>
                <w:rFonts w:cs="Arial"/>
              </w:rPr>
            </w:pPr>
            <w:r w:rsidRPr="005D4222">
              <w:t>1.</w:t>
            </w:r>
            <w:r w:rsidRPr="005D4222">
              <w:tab/>
              <w:t>Identify all acute and nonacute inpatient stays (</w:t>
            </w:r>
            <w:r w:rsidRPr="005D4222">
              <w:rPr>
                <w:u w:val="single"/>
              </w:rPr>
              <w:t>Inpatient Stay Value Set</w:t>
            </w:r>
            <w:r w:rsidRPr="005D4222">
              <w:t>).</w:t>
            </w:r>
          </w:p>
        </w:tc>
      </w:tr>
      <w:tr w:rsidR="004357B8" w:rsidRPr="005D4222" w14:paraId="01712F52" w14:textId="77777777" w:rsidTr="00A53E8C">
        <w:tblPrEx>
          <w:tblCellMar>
            <w:top w:w="0" w:type="dxa"/>
          </w:tblCellMar>
        </w:tblPrEx>
        <w:tc>
          <w:tcPr>
            <w:tcW w:w="1110" w:type="pct"/>
            <w:tcBorders>
              <w:top w:val="single" w:sz="2"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0E295155" w14:textId="77777777" w:rsidR="004357B8" w:rsidRPr="005D4222" w:rsidRDefault="004357B8" w:rsidP="00A53E8C">
            <w:pPr>
              <w:pStyle w:val="ECDSMarginHead"/>
            </w:pPr>
          </w:p>
        </w:tc>
        <w:tc>
          <w:tcPr>
            <w:tcW w:w="3890" w:type="pct"/>
            <w:tcBorders>
              <w:top w:val="single" w:sz="4" w:space="0" w:color="auto"/>
              <w:left w:val="single" w:sz="4" w:space="0" w:color="auto"/>
              <w:right w:val="single" w:sz="4" w:space="0" w:color="auto"/>
            </w:tcBorders>
            <w:tcMar>
              <w:top w:w="0" w:type="dxa"/>
              <w:left w:w="86" w:type="dxa"/>
              <w:bottom w:w="43" w:type="dxa"/>
              <w:right w:w="86" w:type="dxa"/>
            </w:tcMar>
            <w:vAlign w:val="center"/>
          </w:tcPr>
          <w:p w14:paraId="30D0B15D" w14:textId="77777777" w:rsidR="003E5AE5" w:rsidRPr="005D4222" w:rsidRDefault="003E5AE5" w:rsidP="002601D3">
            <w:pPr>
              <w:pStyle w:val="Body"/>
              <w:spacing w:before="120" w:after="40"/>
              <w:ind w:left="504" w:hanging="288"/>
            </w:pPr>
            <w:r w:rsidRPr="005D4222">
              <w:t>2.</w:t>
            </w:r>
            <w:r w:rsidRPr="005D4222">
              <w:tab/>
              <w:t>Identify the discharge date for the stay.</w:t>
            </w:r>
          </w:p>
          <w:p w14:paraId="5131150D" w14:textId="77777777" w:rsidR="003E5AE5" w:rsidRPr="005D4222" w:rsidRDefault="003E5AE5" w:rsidP="003E5AE5">
            <w:pPr>
              <w:pStyle w:val="ProcessBullet"/>
              <w:tabs>
                <w:tab w:val="left" w:pos="216"/>
              </w:tabs>
              <w:spacing w:after="80"/>
              <w:rPr>
                <w:rFonts w:cs="Arial"/>
              </w:rPr>
            </w:pPr>
            <w:r w:rsidRPr="005D4222">
              <w:t>Persons with CABG (</w:t>
            </w:r>
            <w:r w:rsidRPr="005D4222">
              <w:rPr>
                <w:u w:val="single"/>
              </w:rPr>
              <w:t>CABG Value Set</w:t>
            </w:r>
            <w:r w:rsidRPr="005D4222">
              <w:t>), PCI (</w:t>
            </w:r>
            <w:r w:rsidRPr="005D4222">
              <w:rPr>
                <w:u w:val="single"/>
              </w:rPr>
              <w:t>PCI Value Set</w:t>
            </w:r>
            <w:r w:rsidRPr="005D4222">
              <w:t>) or other revascularization procedures (</w:t>
            </w:r>
            <w:r w:rsidRPr="005D4222">
              <w:rPr>
                <w:u w:val="single"/>
              </w:rPr>
              <w:t>Other Revascularization Value Set</w:t>
            </w:r>
            <w:r w:rsidRPr="005D4222">
              <w:t>) in any setting.</w:t>
            </w:r>
          </w:p>
          <w:p w14:paraId="6221E692" w14:textId="77777777" w:rsidR="004357B8" w:rsidRPr="005D4222" w:rsidRDefault="004357B8" w:rsidP="00A53E8C">
            <w:pPr>
              <w:pStyle w:val="ECDSBody"/>
              <w:rPr>
                <w:b/>
                <w:bCs w:val="0"/>
              </w:rPr>
            </w:pPr>
            <w:r w:rsidRPr="005D4222">
              <w:rPr>
                <w:b/>
                <w:bCs w:val="0"/>
              </w:rPr>
              <w:t>ASCVD during the measurement period or the year prior to the measurement period.</w:t>
            </w:r>
            <w:r w:rsidRPr="005D4222">
              <w:rPr>
                <w:b/>
                <w:bCs w:val="0"/>
              </w:rPr>
              <w:br/>
            </w:r>
            <w:r w:rsidRPr="005D4222">
              <w:rPr>
                <w:bCs w:val="0"/>
              </w:rPr>
              <w:t xml:space="preserve">Persons who had at least two diagnoses of ASCVD </w:t>
            </w:r>
            <w:r w:rsidRPr="005D4222">
              <w:t>(</w:t>
            </w:r>
            <w:r w:rsidRPr="005D4222">
              <w:rPr>
                <w:u w:val="single"/>
              </w:rPr>
              <w:t>Atherosclerotic Cardiovascular Disease Value Set</w:t>
            </w:r>
            <w:r w:rsidRPr="005D4222">
              <w:t>*</w:t>
            </w:r>
            <w:r w:rsidRPr="005D4222">
              <w:rPr>
                <w:bCs w:val="0"/>
              </w:rPr>
              <w:t>) on different dates of service during the measurement period or the year prior to the measurement period</w:t>
            </w:r>
            <w:r w:rsidRPr="005D4222">
              <w:rPr>
                <w:b/>
              </w:rPr>
              <w:t xml:space="preserve">.  </w:t>
            </w:r>
          </w:p>
          <w:p w14:paraId="49974DD3" w14:textId="77777777" w:rsidR="004357B8" w:rsidRPr="005D4222" w:rsidRDefault="004357B8" w:rsidP="00A53E8C">
            <w:pPr>
              <w:pStyle w:val="ECDSBody"/>
              <w:spacing w:after="0"/>
              <w:rPr>
                <w:rFonts w:eastAsiaTheme="majorEastAsia"/>
                <w:b/>
                <w:bCs w:val="0"/>
              </w:rPr>
            </w:pPr>
            <w:r w:rsidRPr="005D4222">
              <w:rPr>
                <w:rFonts w:eastAsiaTheme="majorEastAsia"/>
                <w:b/>
                <w:bCs w:val="0"/>
              </w:rPr>
              <w:t>Coding Guidance</w:t>
            </w:r>
          </w:p>
          <w:p w14:paraId="4C9168E0" w14:textId="77777777" w:rsidR="004357B8" w:rsidRPr="005D4222" w:rsidRDefault="004357B8" w:rsidP="00A53E8C">
            <w:pPr>
              <w:pStyle w:val="ECDSBody"/>
              <w:spacing w:before="0"/>
              <w:rPr>
                <w:rFonts w:eastAsia="Arial,Arial,Arial,Arial,Arial,A"/>
                <w:b/>
              </w:rPr>
            </w:pPr>
            <w:r w:rsidRPr="005D4222">
              <w:rPr>
                <w:rFonts w:eastAsiaTheme="majorEastAsia"/>
              </w:rPr>
              <w:t>*Do not include laboratory claims (claims with POS code 81).</w:t>
            </w:r>
          </w:p>
        </w:tc>
      </w:tr>
      <w:tr w:rsidR="004357B8" w:rsidRPr="005D4222" w14:paraId="2CCC0C71" w14:textId="77777777" w:rsidTr="00A53E8C">
        <w:tblPrEx>
          <w:tblCellMar>
            <w:top w:w="0" w:type="dxa"/>
          </w:tblCellMar>
        </w:tblPrEx>
        <w:trPr>
          <w:trHeight w:val="417"/>
        </w:trPr>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E311D60" w14:textId="77777777" w:rsidR="004357B8" w:rsidRPr="005D4222" w:rsidRDefault="004357B8" w:rsidP="00A53E8C">
            <w:pPr>
              <w:pStyle w:val="ECDSMarginHead"/>
            </w:pPr>
            <w:r w:rsidRPr="005D4222">
              <w:t>Denominator</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D40DBBE" w14:textId="77777777" w:rsidR="004357B8" w:rsidRPr="005D4222" w:rsidRDefault="004357B8" w:rsidP="00A53E8C">
            <w:pPr>
              <w:pStyle w:val="ECDSBody"/>
              <w:rPr>
                <w:rFonts w:eastAsia="Arial,Arial,Arial,Arial,Arial,A"/>
              </w:rPr>
            </w:pPr>
            <w:r w:rsidRPr="005D4222">
              <w:rPr>
                <w:b/>
                <w:bCs w:val="0"/>
              </w:rPr>
              <w:t>Denominator 1: Received statin therapy.</w:t>
            </w:r>
            <w:r w:rsidRPr="005D4222">
              <w:rPr>
                <w:b/>
                <w:bCs w:val="0"/>
              </w:rPr>
              <w:br/>
            </w:r>
            <w:r w:rsidRPr="005D4222">
              <w:rPr>
                <w:rFonts w:eastAsia="Arial,Arial,Arial,Arial,Arial,A"/>
              </w:rPr>
              <w:t>Initial population minus denominator exclusions.</w:t>
            </w:r>
          </w:p>
          <w:p w14:paraId="6C3AF4BE" w14:textId="77777777" w:rsidR="004357B8" w:rsidRPr="005D4222" w:rsidRDefault="004357B8" w:rsidP="00A53E8C">
            <w:pPr>
              <w:pStyle w:val="ECDSBody"/>
              <w:rPr>
                <w:color w:val="000000" w:themeColor="text1"/>
              </w:rPr>
            </w:pPr>
            <w:r w:rsidRPr="005D4222">
              <w:rPr>
                <w:rFonts w:eastAsia="Arial,Arial,Arial,Arial,Arial,A"/>
                <w:b/>
                <w:bCs w:val="0"/>
              </w:rPr>
              <w:t xml:space="preserve">Denominator 2: </w:t>
            </w:r>
            <w:r w:rsidRPr="005D4222">
              <w:rPr>
                <w:b/>
                <w:bCs w:val="0"/>
              </w:rPr>
              <w:t>Statin adherence 80%.</w:t>
            </w:r>
            <w:r w:rsidRPr="005D4222">
              <w:rPr>
                <w:b/>
                <w:bCs w:val="0"/>
              </w:rPr>
              <w:br/>
            </w:r>
            <w:r w:rsidRPr="005D4222">
              <w:rPr>
                <w:rFonts w:eastAsia="Arial,Arial,Arial,Arial,Arial,A"/>
              </w:rPr>
              <w:t>Persons who meet numerator 1 criteria.</w:t>
            </w:r>
          </w:p>
        </w:tc>
      </w:tr>
      <w:tr w:rsidR="004357B8" w:rsidRPr="005D4222" w14:paraId="00B4AA94" w14:textId="77777777" w:rsidTr="00215872">
        <w:tblPrEx>
          <w:tblCellMar>
            <w:top w:w="0" w:type="dxa"/>
          </w:tblCellMar>
        </w:tblPrEx>
        <w:trPr>
          <w:trHeight w:val="7766"/>
        </w:trPr>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B0628CA" w14:textId="77777777" w:rsidR="004357B8" w:rsidRPr="005D4222" w:rsidRDefault="004357B8" w:rsidP="00230D37">
            <w:pPr>
              <w:pStyle w:val="ECDSMarginHead"/>
            </w:pPr>
            <w:r w:rsidRPr="005D4222">
              <w:t>Numerator</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65789C7" w14:textId="77777777" w:rsidR="004357B8" w:rsidRPr="005D4222" w:rsidRDefault="004357B8" w:rsidP="00230D37">
            <w:pPr>
              <w:pStyle w:val="ECDSBody"/>
            </w:pPr>
            <w:r w:rsidRPr="005D4222">
              <w:rPr>
                <w:b/>
              </w:rPr>
              <w:t>Numerator 1: Received statin therapy.</w:t>
            </w:r>
            <w:r w:rsidRPr="005D4222">
              <w:rPr>
                <w:b/>
              </w:rPr>
              <w:br/>
            </w:r>
            <w:r w:rsidRPr="005D4222">
              <w:t>At least one dispensing event for a high-intensity, moderate-intensity or low-intensity statin medication (</w:t>
            </w:r>
            <w:r w:rsidRPr="005D4222">
              <w:rPr>
                <w:u w:val="single"/>
              </w:rPr>
              <w:t>High, Moderate and Low Intensity Statin Medications List</w:t>
            </w:r>
            <w:r w:rsidRPr="005D4222">
              <w:t>) during the measurement period.</w:t>
            </w:r>
          </w:p>
          <w:p w14:paraId="074D5A35" w14:textId="77777777" w:rsidR="004357B8" w:rsidRPr="005D4222" w:rsidRDefault="004357B8" w:rsidP="00230D37">
            <w:pPr>
              <w:pStyle w:val="Heading3"/>
              <w:spacing w:before="120"/>
            </w:pPr>
            <w:r w:rsidRPr="005D4222">
              <w:rPr>
                <w:szCs w:val="18"/>
              </w:rPr>
              <w:t>High, Moderate and Low-Intensity Statin Medications</w:t>
            </w:r>
          </w:p>
          <w:tbl>
            <w:tblPr>
              <w:tblStyle w:val="TableGrid"/>
              <w:tblW w:w="4148" w:type="pct"/>
              <w:tblLook w:val="04A0" w:firstRow="1" w:lastRow="0" w:firstColumn="1" w:lastColumn="0" w:noHBand="0" w:noVBand="1"/>
            </w:tblPr>
            <w:tblGrid>
              <w:gridCol w:w="6118"/>
            </w:tblGrid>
            <w:tr w:rsidR="004357B8" w:rsidRPr="005D4222" w14:paraId="005BE808" w14:textId="77777777" w:rsidTr="006C268A">
              <w:trPr>
                <w:tblHeader/>
              </w:trPr>
              <w:tc>
                <w:tcPr>
                  <w:tcW w:w="6118" w:type="dxa"/>
                  <w:tcBorders>
                    <w:left w:val="single" w:sz="4" w:space="0" w:color="auto"/>
                    <w:right w:val="single" w:sz="4" w:space="0" w:color="auto"/>
                  </w:tcBorders>
                  <w:shd w:val="clear" w:color="auto" w:fill="000000" w:themeFill="text1"/>
                  <w:vAlign w:val="bottom"/>
                </w:tcPr>
                <w:p w14:paraId="3D8A5E99" w14:textId="77777777" w:rsidR="004357B8" w:rsidRPr="005D4222" w:rsidRDefault="004357B8" w:rsidP="00230D37">
                  <w:pPr>
                    <w:pStyle w:val="TableHead"/>
                    <w:spacing w:before="40" w:after="40"/>
                    <w:rPr>
                      <w:rFonts w:eastAsia="Arial Narrow,Times New Roman"/>
                      <w:color w:val="auto"/>
                    </w:rPr>
                  </w:pPr>
                  <w:r w:rsidRPr="005D4222">
                    <w:rPr>
                      <w:rFonts w:eastAsia="Arial Narrow,Times New Roman"/>
                      <w:color w:val="auto"/>
                    </w:rPr>
                    <w:t>Medication Lists</w:t>
                  </w:r>
                </w:p>
              </w:tc>
            </w:tr>
            <w:tr w:rsidR="004357B8" w:rsidRPr="005D4222" w14:paraId="3810EA8C" w14:textId="77777777" w:rsidTr="006C268A">
              <w:tc>
                <w:tcPr>
                  <w:tcW w:w="6118" w:type="dxa"/>
                </w:tcPr>
                <w:p w14:paraId="60E12337" w14:textId="77777777" w:rsidR="004357B8" w:rsidRPr="005D4222" w:rsidRDefault="004357B8" w:rsidP="00230D37">
                  <w:pPr>
                    <w:pStyle w:val="TableText"/>
                    <w:spacing w:before="40" w:after="40"/>
                    <w:rPr>
                      <w:szCs w:val="21"/>
                      <w:u w:val="single"/>
                    </w:rPr>
                  </w:pPr>
                  <w:r w:rsidRPr="005D4222">
                    <w:rPr>
                      <w:szCs w:val="21"/>
                      <w:u w:val="single"/>
                    </w:rPr>
                    <w:t>Atorvastatin High Intensity Medications</w:t>
                  </w:r>
                  <w:r w:rsidRPr="005D4222">
                    <w:rPr>
                      <w:u w:val="single"/>
                    </w:rPr>
                    <w:t xml:space="preserve"> List</w:t>
                  </w:r>
                </w:p>
              </w:tc>
            </w:tr>
            <w:tr w:rsidR="004357B8" w:rsidRPr="005D4222" w14:paraId="1052EC7A" w14:textId="77777777" w:rsidTr="006C268A">
              <w:tc>
                <w:tcPr>
                  <w:tcW w:w="6118" w:type="dxa"/>
                </w:tcPr>
                <w:p w14:paraId="7C02BE7E" w14:textId="77777777" w:rsidR="004357B8" w:rsidRPr="005D4222" w:rsidRDefault="004357B8" w:rsidP="00230D37">
                  <w:pPr>
                    <w:pStyle w:val="TableText"/>
                    <w:spacing w:before="40" w:after="40"/>
                    <w:rPr>
                      <w:szCs w:val="21"/>
                      <w:u w:val="single"/>
                    </w:rPr>
                  </w:pPr>
                  <w:r w:rsidRPr="005D4222">
                    <w:rPr>
                      <w:szCs w:val="21"/>
                      <w:u w:val="single"/>
                    </w:rPr>
                    <w:t>Amlodipine Atorvastatin High Intensity Medications</w:t>
                  </w:r>
                  <w:r w:rsidRPr="005D4222">
                    <w:rPr>
                      <w:u w:val="single"/>
                    </w:rPr>
                    <w:t xml:space="preserve"> List</w:t>
                  </w:r>
                </w:p>
              </w:tc>
            </w:tr>
            <w:tr w:rsidR="004357B8" w:rsidRPr="005D4222" w14:paraId="2A39F37A" w14:textId="77777777" w:rsidTr="006C268A">
              <w:tc>
                <w:tcPr>
                  <w:tcW w:w="6118" w:type="dxa"/>
                </w:tcPr>
                <w:p w14:paraId="5846ABCE" w14:textId="77777777" w:rsidR="004357B8" w:rsidRPr="005D4222" w:rsidRDefault="004357B8" w:rsidP="00230D37">
                  <w:pPr>
                    <w:pStyle w:val="TableText"/>
                    <w:spacing w:before="40" w:after="40"/>
                    <w:rPr>
                      <w:szCs w:val="21"/>
                      <w:u w:val="single"/>
                    </w:rPr>
                  </w:pPr>
                  <w:r w:rsidRPr="005D4222">
                    <w:rPr>
                      <w:szCs w:val="21"/>
                      <w:u w:val="single"/>
                    </w:rPr>
                    <w:t>Rosuvastatin High Intensity Medications</w:t>
                  </w:r>
                  <w:r w:rsidRPr="005D4222">
                    <w:rPr>
                      <w:u w:val="single"/>
                    </w:rPr>
                    <w:t xml:space="preserve"> List</w:t>
                  </w:r>
                </w:p>
              </w:tc>
            </w:tr>
            <w:tr w:rsidR="004357B8" w:rsidRPr="005D4222" w14:paraId="4C981224" w14:textId="77777777" w:rsidTr="006C268A">
              <w:tc>
                <w:tcPr>
                  <w:tcW w:w="6118" w:type="dxa"/>
                  <w:tcBorders>
                    <w:bottom w:val="single" w:sz="4" w:space="0" w:color="auto"/>
                  </w:tcBorders>
                </w:tcPr>
                <w:p w14:paraId="0C3E498B" w14:textId="77777777" w:rsidR="004357B8" w:rsidRPr="005D4222" w:rsidRDefault="004357B8" w:rsidP="00230D37">
                  <w:pPr>
                    <w:pStyle w:val="TableText"/>
                    <w:spacing w:before="40" w:after="40"/>
                    <w:rPr>
                      <w:szCs w:val="21"/>
                      <w:u w:val="single"/>
                    </w:rPr>
                  </w:pPr>
                  <w:r w:rsidRPr="005D4222">
                    <w:rPr>
                      <w:szCs w:val="21"/>
                      <w:u w:val="single"/>
                    </w:rPr>
                    <w:t>Simvastatin High Intensity Medications</w:t>
                  </w:r>
                  <w:r w:rsidRPr="005D4222">
                    <w:rPr>
                      <w:u w:val="single"/>
                    </w:rPr>
                    <w:t xml:space="preserve"> List</w:t>
                  </w:r>
                </w:p>
              </w:tc>
            </w:tr>
            <w:tr w:rsidR="004357B8" w:rsidRPr="005D4222" w14:paraId="7E8C1BD4" w14:textId="77777777" w:rsidTr="006C268A">
              <w:tc>
                <w:tcPr>
                  <w:tcW w:w="6118" w:type="dxa"/>
                  <w:tcBorders>
                    <w:bottom w:val="single" w:sz="12" w:space="0" w:color="auto"/>
                  </w:tcBorders>
                </w:tcPr>
                <w:p w14:paraId="00FCD536" w14:textId="77777777" w:rsidR="004357B8" w:rsidRPr="005D4222" w:rsidRDefault="004357B8" w:rsidP="00230D37">
                  <w:pPr>
                    <w:pStyle w:val="TableText"/>
                    <w:spacing w:before="40" w:after="40"/>
                    <w:rPr>
                      <w:szCs w:val="21"/>
                      <w:u w:val="single"/>
                    </w:rPr>
                  </w:pPr>
                  <w:r w:rsidRPr="005D4222">
                    <w:rPr>
                      <w:szCs w:val="21"/>
                      <w:u w:val="single"/>
                    </w:rPr>
                    <w:t>Ezetimibe Simvastatin High Intensity Medications</w:t>
                  </w:r>
                  <w:r w:rsidRPr="005D4222">
                    <w:rPr>
                      <w:u w:val="single"/>
                    </w:rPr>
                    <w:t xml:space="preserve"> List</w:t>
                  </w:r>
                </w:p>
              </w:tc>
            </w:tr>
            <w:tr w:rsidR="004357B8" w:rsidRPr="005D4222" w14:paraId="12A92D10" w14:textId="77777777" w:rsidTr="006C268A">
              <w:tc>
                <w:tcPr>
                  <w:tcW w:w="6118" w:type="dxa"/>
                  <w:tcBorders>
                    <w:top w:val="single" w:sz="12" w:space="0" w:color="auto"/>
                  </w:tcBorders>
                </w:tcPr>
                <w:p w14:paraId="6014A274" w14:textId="77777777" w:rsidR="004357B8" w:rsidRPr="005D4222" w:rsidRDefault="004357B8" w:rsidP="00230D37">
                  <w:pPr>
                    <w:pStyle w:val="TableText"/>
                    <w:spacing w:before="40" w:after="40"/>
                    <w:rPr>
                      <w:szCs w:val="21"/>
                      <w:u w:val="single"/>
                    </w:rPr>
                  </w:pPr>
                  <w:r w:rsidRPr="005D4222">
                    <w:rPr>
                      <w:szCs w:val="21"/>
                      <w:u w:val="single"/>
                    </w:rPr>
                    <w:t>Atorvastatin Moderate Intensity Medications</w:t>
                  </w:r>
                  <w:r w:rsidRPr="005D4222">
                    <w:rPr>
                      <w:u w:val="single"/>
                    </w:rPr>
                    <w:t xml:space="preserve"> List</w:t>
                  </w:r>
                </w:p>
              </w:tc>
            </w:tr>
            <w:tr w:rsidR="004357B8" w:rsidRPr="005D4222" w14:paraId="4BCD8446" w14:textId="77777777" w:rsidTr="006C268A">
              <w:tc>
                <w:tcPr>
                  <w:tcW w:w="6118" w:type="dxa"/>
                </w:tcPr>
                <w:p w14:paraId="7F326805" w14:textId="77777777" w:rsidR="004357B8" w:rsidRPr="005D4222" w:rsidRDefault="004357B8" w:rsidP="00230D37">
                  <w:pPr>
                    <w:pStyle w:val="TableText"/>
                    <w:spacing w:before="40" w:after="40"/>
                    <w:rPr>
                      <w:szCs w:val="21"/>
                      <w:u w:val="single"/>
                    </w:rPr>
                  </w:pPr>
                  <w:r w:rsidRPr="005D4222">
                    <w:rPr>
                      <w:szCs w:val="21"/>
                      <w:u w:val="single"/>
                    </w:rPr>
                    <w:t>Amlodipine Atorvastatin Moderate Intensity Medications</w:t>
                  </w:r>
                  <w:r w:rsidRPr="005D4222">
                    <w:rPr>
                      <w:u w:val="single"/>
                    </w:rPr>
                    <w:t xml:space="preserve"> List</w:t>
                  </w:r>
                </w:p>
              </w:tc>
            </w:tr>
            <w:tr w:rsidR="004357B8" w:rsidRPr="005D4222" w14:paraId="229D3B24" w14:textId="77777777" w:rsidTr="006C268A">
              <w:tc>
                <w:tcPr>
                  <w:tcW w:w="6118" w:type="dxa"/>
                </w:tcPr>
                <w:p w14:paraId="26584008" w14:textId="77777777" w:rsidR="004357B8" w:rsidRPr="005D4222" w:rsidRDefault="004357B8" w:rsidP="00230D37">
                  <w:pPr>
                    <w:pStyle w:val="TableText"/>
                    <w:spacing w:before="40" w:after="40"/>
                    <w:rPr>
                      <w:szCs w:val="21"/>
                      <w:u w:val="single"/>
                    </w:rPr>
                  </w:pPr>
                  <w:r w:rsidRPr="005D4222">
                    <w:rPr>
                      <w:szCs w:val="21"/>
                      <w:u w:val="single"/>
                    </w:rPr>
                    <w:t>Rosuvastatin Moderate Intensity Medications</w:t>
                  </w:r>
                  <w:r w:rsidRPr="005D4222">
                    <w:rPr>
                      <w:u w:val="single"/>
                    </w:rPr>
                    <w:t xml:space="preserve"> List</w:t>
                  </w:r>
                </w:p>
              </w:tc>
            </w:tr>
            <w:tr w:rsidR="004357B8" w:rsidRPr="005D4222" w14:paraId="67DC9D88" w14:textId="77777777" w:rsidTr="006C268A">
              <w:tc>
                <w:tcPr>
                  <w:tcW w:w="6118" w:type="dxa"/>
                </w:tcPr>
                <w:p w14:paraId="04F28B74" w14:textId="77777777" w:rsidR="004357B8" w:rsidRPr="005D4222" w:rsidRDefault="004357B8" w:rsidP="00230D37">
                  <w:pPr>
                    <w:pStyle w:val="TableText"/>
                    <w:spacing w:before="40" w:after="40"/>
                    <w:rPr>
                      <w:szCs w:val="21"/>
                      <w:u w:val="single"/>
                    </w:rPr>
                  </w:pPr>
                  <w:r w:rsidRPr="005D4222">
                    <w:rPr>
                      <w:szCs w:val="21"/>
                      <w:u w:val="single"/>
                    </w:rPr>
                    <w:t>Simvastatin Moderate Intensity Medications</w:t>
                  </w:r>
                  <w:r w:rsidRPr="005D4222">
                    <w:rPr>
                      <w:u w:val="single"/>
                    </w:rPr>
                    <w:t xml:space="preserve"> List</w:t>
                  </w:r>
                </w:p>
              </w:tc>
            </w:tr>
            <w:tr w:rsidR="004357B8" w:rsidRPr="005D4222" w14:paraId="765B1BEA" w14:textId="77777777" w:rsidTr="006C268A">
              <w:tc>
                <w:tcPr>
                  <w:tcW w:w="6118" w:type="dxa"/>
                </w:tcPr>
                <w:p w14:paraId="159453AF" w14:textId="77777777" w:rsidR="004357B8" w:rsidRPr="005D4222" w:rsidRDefault="004357B8" w:rsidP="00230D37">
                  <w:pPr>
                    <w:pStyle w:val="TableText"/>
                    <w:spacing w:before="40" w:after="40"/>
                    <w:rPr>
                      <w:szCs w:val="21"/>
                      <w:u w:val="single"/>
                    </w:rPr>
                  </w:pPr>
                  <w:r w:rsidRPr="005D4222">
                    <w:rPr>
                      <w:szCs w:val="21"/>
                      <w:u w:val="single"/>
                    </w:rPr>
                    <w:t>Ezetimibe Simvastatin Moderate Intensity Medications</w:t>
                  </w:r>
                  <w:r w:rsidRPr="005D4222">
                    <w:rPr>
                      <w:u w:val="single"/>
                    </w:rPr>
                    <w:t xml:space="preserve"> List</w:t>
                  </w:r>
                </w:p>
              </w:tc>
            </w:tr>
            <w:tr w:rsidR="004357B8" w:rsidRPr="005D4222" w14:paraId="72B952AC" w14:textId="77777777" w:rsidTr="006C268A">
              <w:tc>
                <w:tcPr>
                  <w:tcW w:w="6118" w:type="dxa"/>
                </w:tcPr>
                <w:p w14:paraId="204ADAD1" w14:textId="77777777" w:rsidR="004357B8" w:rsidRPr="005D4222" w:rsidRDefault="004357B8" w:rsidP="00230D37">
                  <w:pPr>
                    <w:pStyle w:val="TableText"/>
                    <w:spacing w:before="40" w:after="40"/>
                    <w:rPr>
                      <w:szCs w:val="21"/>
                      <w:u w:val="single"/>
                    </w:rPr>
                  </w:pPr>
                  <w:r w:rsidRPr="005D4222">
                    <w:rPr>
                      <w:szCs w:val="21"/>
                      <w:u w:val="single"/>
                    </w:rPr>
                    <w:t>Pravastatin Moderate Intensity Medications</w:t>
                  </w:r>
                  <w:r w:rsidRPr="005D4222">
                    <w:rPr>
                      <w:u w:val="single"/>
                    </w:rPr>
                    <w:t xml:space="preserve"> List</w:t>
                  </w:r>
                </w:p>
              </w:tc>
            </w:tr>
            <w:tr w:rsidR="004357B8" w:rsidRPr="005D4222" w14:paraId="4C1FA819" w14:textId="77777777" w:rsidTr="006C268A">
              <w:tc>
                <w:tcPr>
                  <w:tcW w:w="6118" w:type="dxa"/>
                </w:tcPr>
                <w:p w14:paraId="4AA58D04" w14:textId="77777777" w:rsidR="004357B8" w:rsidRPr="005D4222" w:rsidRDefault="004357B8" w:rsidP="00230D37">
                  <w:pPr>
                    <w:pStyle w:val="TableText"/>
                    <w:spacing w:before="40" w:after="40"/>
                    <w:rPr>
                      <w:szCs w:val="21"/>
                      <w:u w:val="single"/>
                    </w:rPr>
                  </w:pPr>
                  <w:r w:rsidRPr="005D4222">
                    <w:rPr>
                      <w:szCs w:val="21"/>
                      <w:u w:val="single"/>
                    </w:rPr>
                    <w:t>Lovastatin Moderate Intensity Medications</w:t>
                  </w:r>
                  <w:r w:rsidRPr="005D4222">
                    <w:rPr>
                      <w:u w:val="single"/>
                    </w:rPr>
                    <w:t xml:space="preserve"> List</w:t>
                  </w:r>
                </w:p>
              </w:tc>
            </w:tr>
            <w:tr w:rsidR="004357B8" w:rsidRPr="005D4222" w14:paraId="607408E2" w14:textId="77777777" w:rsidTr="006C268A">
              <w:tc>
                <w:tcPr>
                  <w:tcW w:w="6118" w:type="dxa"/>
                  <w:vAlign w:val="center"/>
                </w:tcPr>
                <w:p w14:paraId="75809228" w14:textId="77777777" w:rsidR="004357B8" w:rsidRPr="005D4222" w:rsidRDefault="004357B8" w:rsidP="00230D37">
                  <w:pPr>
                    <w:pStyle w:val="TableText"/>
                    <w:spacing w:before="40" w:after="40"/>
                    <w:rPr>
                      <w:szCs w:val="21"/>
                      <w:u w:val="single"/>
                    </w:rPr>
                  </w:pPr>
                  <w:r w:rsidRPr="005D4222">
                    <w:rPr>
                      <w:szCs w:val="21"/>
                      <w:u w:val="single"/>
                    </w:rPr>
                    <w:t>Fluvastatin Moderate Intensity Medications</w:t>
                  </w:r>
                  <w:r w:rsidRPr="005D4222">
                    <w:rPr>
                      <w:u w:val="single"/>
                    </w:rPr>
                    <w:t xml:space="preserve"> List</w:t>
                  </w:r>
                </w:p>
              </w:tc>
            </w:tr>
            <w:tr w:rsidR="004357B8" w:rsidRPr="005D4222" w14:paraId="4835E823" w14:textId="77777777" w:rsidTr="006C268A">
              <w:tc>
                <w:tcPr>
                  <w:tcW w:w="6118" w:type="dxa"/>
                </w:tcPr>
                <w:p w14:paraId="5E85A5C9" w14:textId="77777777" w:rsidR="004357B8" w:rsidRPr="005D4222" w:rsidRDefault="004357B8" w:rsidP="00230D37">
                  <w:pPr>
                    <w:pStyle w:val="TableText"/>
                    <w:spacing w:before="40" w:after="40"/>
                    <w:rPr>
                      <w:szCs w:val="21"/>
                      <w:u w:val="single"/>
                    </w:rPr>
                  </w:pPr>
                  <w:r w:rsidRPr="005D4222">
                    <w:rPr>
                      <w:szCs w:val="21"/>
                      <w:u w:val="single"/>
                    </w:rPr>
                    <w:t>Pitavastatin Moderate Intensity Medications</w:t>
                  </w:r>
                  <w:r w:rsidRPr="005D4222">
                    <w:rPr>
                      <w:u w:val="single"/>
                    </w:rPr>
                    <w:t xml:space="preserve"> List</w:t>
                  </w:r>
                </w:p>
              </w:tc>
            </w:tr>
            <w:tr w:rsidR="004357B8" w:rsidRPr="005D4222" w14:paraId="34A11320" w14:textId="77777777" w:rsidTr="006C268A">
              <w:tc>
                <w:tcPr>
                  <w:tcW w:w="6118" w:type="dxa"/>
                </w:tcPr>
                <w:p w14:paraId="57175191" w14:textId="77777777" w:rsidR="004357B8" w:rsidRPr="005D4222" w:rsidRDefault="004357B8" w:rsidP="00230D37">
                  <w:pPr>
                    <w:pStyle w:val="TableText"/>
                    <w:spacing w:before="40" w:after="40"/>
                    <w:rPr>
                      <w:szCs w:val="21"/>
                      <w:u w:val="single"/>
                    </w:rPr>
                  </w:pPr>
                  <w:r w:rsidRPr="005D4222">
                    <w:rPr>
                      <w:szCs w:val="21"/>
                      <w:u w:val="single"/>
                    </w:rPr>
                    <w:t>Ezetimibe Simvastatin Low Intensity Medications</w:t>
                  </w:r>
                  <w:r w:rsidRPr="005D4222">
                    <w:rPr>
                      <w:u w:val="single"/>
                    </w:rPr>
                    <w:t xml:space="preserve"> List</w:t>
                  </w:r>
                </w:p>
              </w:tc>
            </w:tr>
            <w:tr w:rsidR="004357B8" w:rsidRPr="005D4222" w14:paraId="767C65D1" w14:textId="77777777" w:rsidTr="006C268A">
              <w:tc>
                <w:tcPr>
                  <w:tcW w:w="6118" w:type="dxa"/>
                </w:tcPr>
                <w:p w14:paraId="2267783C" w14:textId="77777777" w:rsidR="004357B8" w:rsidRPr="005D4222" w:rsidRDefault="004357B8" w:rsidP="00230D37">
                  <w:pPr>
                    <w:pStyle w:val="TableText"/>
                    <w:spacing w:before="40" w:after="40"/>
                    <w:rPr>
                      <w:szCs w:val="21"/>
                      <w:u w:val="single"/>
                    </w:rPr>
                  </w:pPr>
                  <w:r w:rsidRPr="005D4222">
                    <w:rPr>
                      <w:szCs w:val="21"/>
                      <w:u w:val="single"/>
                    </w:rPr>
                    <w:t>Fluvastatin Low Intensity Medications</w:t>
                  </w:r>
                  <w:r w:rsidRPr="005D4222">
                    <w:rPr>
                      <w:u w:val="single"/>
                    </w:rPr>
                    <w:t xml:space="preserve"> List</w:t>
                  </w:r>
                </w:p>
              </w:tc>
            </w:tr>
            <w:tr w:rsidR="004357B8" w:rsidRPr="005D4222" w14:paraId="47885B41" w14:textId="77777777" w:rsidTr="006C268A">
              <w:tc>
                <w:tcPr>
                  <w:tcW w:w="6118" w:type="dxa"/>
                </w:tcPr>
                <w:p w14:paraId="1D5B02D5" w14:textId="77777777" w:rsidR="004357B8" w:rsidRPr="005D4222" w:rsidRDefault="004357B8" w:rsidP="00230D37">
                  <w:pPr>
                    <w:pStyle w:val="TableText"/>
                    <w:spacing w:before="40" w:after="40"/>
                    <w:rPr>
                      <w:szCs w:val="21"/>
                      <w:u w:val="single"/>
                    </w:rPr>
                  </w:pPr>
                  <w:r w:rsidRPr="005D4222">
                    <w:rPr>
                      <w:szCs w:val="21"/>
                      <w:u w:val="single"/>
                    </w:rPr>
                    <w:t>Lovastatin Low Intensity Medications</w:t>
                  </w:r>
                  <w:r w:rsidRPr="005D4222">
                    <w:rPr>
                      <w:u w:val="single"/>
                    </w:rPr>
                    <w:t xml:space="preserve"> List</w:t>
                  </w:r>
                </w:p>
              </w:tc>
            </w:tr>
            <w:tr w:rsidR="004357B8" w:rsidRPr="005D4222" w14:paraId="04AE3C54" w14:textId="77777777" w:rsidTr="006C268A">
              <w:tc>
                <w:tcPr>
                  <w:tcW w:w="6118" w:type="dxa"/>
                </w:tcPr>
                <w:p w14:paraId="55219717" w14:textId="77777777" w:rsidR="004357B8" w:rsidRPr="005D4222" w:rsidRDefault="004357B8" w:rsidP="00230D37">
                  <w:pPr>
                    <w:pStyle w:val="TableText"/>
                    <w:spacing w:before="40" w:after="40"/>
                    <w:rPr>
                      <w:szCs w:val="21"/>
                      <w:u w:val="single"/>
                    </w:rPr>
                  </w:pPr>
                  <w:r w:rsidRPr="005D4222">
                    <w:rPr>
                      <w:szCs w:val="21"/>
                      <w:u w:val="single"/>
                    </w:rPr>
                    <w:t>Pravastatin Low Intensity Medications</w:t>
                  </w:r>
                  <w:r w:rsidRPr="005D4222">
                    <w:rPr>
                      <w:u w:val="single"/>
                    </w:rPr>
                    <w:t xml:space="preserve"> List</w:t>
                  </w:r>
                </w:p>
              </w:tc>
            </w:tr>
            <w:tr w:rsidR="004357B8" w:rsidRPr="005D4222" w14:paraId="475FE24C" w14:textId="77777777" w:rsidTr="006C268A">
              <w:tc>
                <w:tcPr>
                  <w:tcW w:w="6118" w:type="dxa"/>
                </w:tcPr>
                <w:p w14:paraId="2B4D165E" w14:textId="77777777" w:rsidR="004357B8" w:rsidRPr="005D4222" w:rsidRDefault="004357B8" w:rsidP="00230D37">
                  <w:pPr>
                    <w:pStyle w:val="TableText"/>
                    <w:spacing w:before="40" w:after="40"/>
                    <w:rPr>
                      <w:szCs w:val="21"/>
                      <w:u w:val="single"/>
                    </w:rPr>
                  </w:pPr>
                  <w:r w:rsidRPr="005D4222">
                    <w:rPr>
                      <w:szCs w:val="21"/>
                      <w:u w:val="single"/>
                    </w:rPr>
                    <w:t>Simvastatin Low Intensity Medications</w:t>
                  </w:r>
                  <w:r w:rsidRPr="005D4222">
                    <w:rPr>
                      <w:u w:val="single"/>
                    </w:rPr>
                    <w:t xml:space="preserve"> List</w:t>
                  </w:r>
                </w:p>
              </w:tc>
            </w:tr>
          </w:tbl>
          <w:p w14:paraId="447968C2" w14:textId="77777777" w:rsidR="004357B8" w:rsidRPr="005D4222" w:rsidRDefault="004357B8" w:rsidP="00230D37">
            <w:pPr>
              <w:pStyle w:val="ECDSBody"/>
            </w:pPr>
          </w:p>
        </w:tc>
      </w:tr>
    </w:tbl>
    <w:p w14:paraId="22AEE6B9" w14:textId="77777777" w:rsidR="006C268A" w:rsidRPr="005D4222" w:rsidRDefault="006C268A">
      <w:r w:rsidRPr="005D4222">
        <w:br w:type="page"/>
      </w:r>
    </w:p>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15" w:type="dxa"/>
          <w:bottom w:w="40" w:type="dxa"/>
          <w:right w:w="15" w:type="dxa"/>
        </w:tblCellMar>
        <w:tblLook w:val="04A0" w:firstRow="1" w:lastRow="0" w:firstColumn="1" w:lastColumn="0" w:noHBand="0" w:noVBand="1"/>
      </w:tblPr>
      <w:tblGrid>
        <w:gridCol w:w="2157"/>
        <w:gridCol w:w="7557"/>
      </w:tblGrid>
      <w:tr w:rsidR="004357B8" w:rsidRPr="005D4222" w14:paraId="59BC52A0" w14:textId="77777777" w:rsidTr="006C268A">
        <w:trPr>
          <w:trHeight w:val="417"/>
        </w:trPr>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E00A9E9" w14:textId="77777777" w:rsidR="004357B8" w:rsidRPr="005D4222" w:rsidRDefault="004357B8" w:rsidP="00A53E8C">
            <w:pPr>
              <w:pStyle w:val="ECDSMarginHead"/>
            </w:pPr>
            <w:r w:rsidRPr="005D4222">
              <w:lastRenderedPageBreak/>
              <w:br w:type="page"/>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6A8327AF" w14:textId="77777777" w:rsidR="004357B8" w:rsidRPr="005D4222" w:rsidRDefault="004357B8" w:rsidP="00A53E8C">
            <w:pPr>
              <w:pStyle w:val="ECDSBody"/>
            </w:pPr>
            <w:r w:rsidRPr="005D4222">
              <w:rPr>
                <w:b/>
                <w:bCs w:val="0"/>
              </w:rPr>
              <w:t>Numerator 2: Statin adherence 80%.</w:t>
            </w:r>
            <w:r w:rsidRPr="005D4222">
              <w:rPr>
                <w:b/>
                <w:bCs w:val="0"/>
              </w:rPr>
              <w:br/>
            </w:r>
            <w:r w:rsidRPr="005D4222">
              <w:t>PDC of at least 80% during the treatment period.</w:t>
            </w:r>
          </w:p>
          <w:p w14:paraId="44965A53" w14:textId="77777777" w:rsidR="004357B8" w:rsidRPr="005D4222" w:rsidRDefault="004357B8" w:rsidP="00A53E8C">
            <w:pPr>
              <w:pStyle w:val="ECDSBody"/>
            </w:pPr>
            <w:r w:rsidRPr="005D4222">
              <w:t>Follow the steps below to identify numerator compliance.</w:t>
            </w:r>
          </w:p>
          <w:p w14:paraId="5713F9F8" w14:textId="77777777" w:rsidR="004357B8" w:rsidRPr="005D4222" w:rsidRDefault="004357B8" w:rsidP="00A53E8C">
            <w:pPr>
              <w:pStyle w:val="ECDSBody"/>
              <w:rPr>
                <w:color w:val="000000" w:themeColor="text1"/>
                <w:highlight w:val="yellow"/>
              </w:rPr>
            </w:pPr>
            <w:r w:rsidRPr="005D4222">
              <w:rPr>
                <w:b/>
              </w:rPr>
              <w:t>Step 1.</w:t>
            </w:r>
            <w:r w:rsidRPr="005D4222">
              <w:t xml:space="preserve"> Identify the IPSD. The IPSD is the earliest dispensing event for any high-intensity, moderate-intensity or low-intensity statin medication during the measurement period. Use the </w:t>
            </w:r>
            <w:r w:rsidRPr="005D4222">
              <w:rPr>
                <w:color w:val="000000" w:themeColor="text1"/>
              </w:rPr>
              <w:t xml:space="preserve">medication list table in Rate 1 </w:t>
            </w:r>
            <w:r w:rsidRPr="005D4222">
              <w:t>to identify dispensing events.</w:t>
            </w:r>
          </w:p>
          <w:p w14:paraId="34697470" w14:textId="1B8E1BDA" w:rsidR="004357B8" w:rsidRPr="005D4222" w:rsidRDefault="004357B8" w:rsidP="00A53E8C">
            <w:pPr>
              <w:pStyle w:val="ECDSBody"/>
            </w:pPr>
            <w:r w:rsidRPr="005D4222">
              <w:rPr>
                <w:b/>
              </w:rPr>
              <w:t>Step 2.</w:t>
            </w:r>
            <w:r w:rsidRPr="005D4222">
              <w:t xml:space="preserve"> To determine the treatment period, calculate the number of days beginning on the IPSD through the </w:t>
            </w:r>
            <w:r w:rsidR="00D80100" w:rsidRPr="005D4222">
              <w:t>last day</w:t>
            </w:r>
            <w:r w:rsidRPr="005D4222">
              <w:t xml:space="preserve"> of the measurement period. </w:t>
            </w:r>
          </w:p>
          <w:p w14:paraId="4CA4C241" w14:textId="77777777" w:rsidR="004357B8" w:rsidRPr="005D4222" w:rsidRDefault="004357B8" w:rsidP="00A53E8C">
            <w:pPr>
              <w:pStyle w:val="ECDSBody"/>
            </w:pPr>
            <w:r w:rsidRPr="005D4222">
              <w:rPr>
                <w:b/>
              </w:rPr>
              <w:t>Step 3</w:t>
            </w:r>
            <w:r w:rsidRPr="005D4222">
              <w:rPr>
                <w:b/>
                <w:bCs w:val="0"/>
                <w:i/>
                <w:iCs/>
              </w:rPr>
              <w:t>.</w:t>
            </w:r>
            <w:r w:rsidRPr="005D4222">
              <w:rPr>
                <w:i/>
                <w:iCs/>
              </w:rPr>
              <w:t xml:space="preserve"> </w:t>
            </w:r>
            <w:r w:rsidRPr="005D4222">
              <w:t>Count the days covered by at least one prescription for any high-intensity, moderate-intensity or low-intensity statin medication during the treatment period. To ensure the days supply that extends beyond the measurement period is not counted, subtract any days supply that extends beyond December 31 of the measurement period.</w:t>
            </w:r>
          </w:p>
          <w:p w14:paraId="67BD2216" w14:textId="77777777" w:rsidR="004357B8" w:rsidRPr="005D4222" w:rsidRDefault="004357B8" w:rsidP="00A53E8C">
            <w:pPr>
              <w:pStyle w:val="ECDSBody"/>
            </w:pPr>
            <w:r w:rsidRPr="005D4222">
              <w:rPr>
                <w:b/>
              </w:rPr>
              <w:t>Step 4</w:t>
            </w:r>
            <w:r w:rsidRPr="005D4222">
              <w:rPr>
                <w:b/>
                <w:bCs w:val="0"/>
                <w:i/>
                <w:iCs/>
              </w:rPr>
              <w:t>.</w:t>
            </w:r>
            <w:r w:rsidRPr="005D4222">
              <w:rPr>
                <w:i/>
                <w:iCs/>
              </w:rPr>
              <w:t xml:space="preserve"> </w:t>
            </w:r>
            <w:r w:rsidRPr="005D4222">
              <w:t>Calculate the PDC using the following equation. Multiply the equation by 100 and round (using the .5 rule) to the nearest whole number.</w:t>
            </w:r>
          </w:p>
          <w:p w14:paraId="5DD1841A" w14:textId="77777777" w:rsidR="004357B8" w:rsidRPr="005D4222" w:rsidRDefault="004357B8" w:rsidP="00A53E8C">
            <w:pPr>
              <w:pStyle w:val="Body"/>
              <w:spacing w:before="0"/>
              <w:ind w:left="727" w:hanging="727"/>
              <w:jc w:val="center"/>
              <w:rPr>
                <w:u w:val="single"/>
              </w:rPr>
            </w:pPr>
            <w:r w:rsidRPr="005D4222">
              <w:rPr>
                <w:u w:val="single"/>
              </w:rPr>
              <w:t>Total Days Covered by a Statin Medication in the Treatment Period (step 3)</w:t>
            </w:r>
          </w:p>
          <w:p w14:paraId="49C5B8AE" w14:textId="77777777" w:rsidR="004357B8" w:rsidRPr="005D4222" w:rsidRDefault="004357B8" w:rsidP="00A53E8C">
            <w:pPr>
              <w:pStyle w:val="Body"/>
              <w:spacing w:before="0"/>
              <w:ind w:left="1447" w:hanging="727"/>
              <w:jc w:val="center"/>
            </w:pPr>
            <w:r w:rsidRPr="005D4222">
              <w:t>Total Days in Treatment Period (step 2)</w:t>
            </w:r>
          </w:p>
          <w:p w14:paraId="414ABFE1" w14:textId="77777777" w:rsidR="004357B8" w:rsidRPr="005D4222" w:rsidRDefault="004357B8" w:rsidP="004357B8">
            <w:pPr>
              <w:pStyle w:val="Bullet"/>
              <w:tabs>
                <w:tab w:val="left" w:pos="360"/>
                <w:tab w:val="left" w:pos="576"/>
              </w:tabs>
              <w:rPr>
                <w:b/>
              </w:rPr>
            </w:pPr>
            <w:r w:rsidRPr="005D4222">
              <w:rPr>
                <w:i/>
              </w:rPr>
              <w:t>For example,</w:t>
            </w:r>
            <w:r w:rsidRPr="005D4222">
              <w:rPr>
                <w:iCs/>
              </w:rPr>
              <w:t xml:space="preserve"> </w:t>
            </w:r>
            <w:r w:rsidRPr="005D4222">
              <w:t>if a person has 291 total days covered by a medication during a 365-day treatment period, this calculates to 0.7972. Multiply this number by 100, convert it to 79.72% and round it to 80%, the nearest whole number.</w:t>
            </w:r>
          </w:p>
          <w:p w14:paraId="6BAFFE51" w14:textId="77777777" w:rsidR="004357B8" w:rsidRPr="005D4222" w:rsidRDefault="004357B8" w:rsidP="00A53E8C">
            <w:pPr>
              <w:pStyle w:val="ECDSBody"/>
              <w:rPr>
                <w:b/>
              </w:rPr>
            </w:pPr>
            <w:r w:rsidRPr="005D4222">
              <w:rPr>
                <w:b/>
              </w:rPr>
              <w:t>Step 5.</w:t>
            </w:r>
            <w:r w:rsidRPr="005D4222">
              <w:rPr>
                <w:b/>
                <w:i/>
                <w:iCs/>
              </w:rPr>
              <w:t xml:space="preserve"> </w:t>
            </w:r>
            <w:r w:rsidRPr="005D4222">
              <w:t>Sum the number of persons whose PDC is ≥80% for the treatment period.</w:t>
            </w:r>
          </w:p>
        </w:tc>
      </w:tr>
      <w:tr w:rsidR="004357B8" w:rsidRPr="005D4222" w14:paraId="573A76BE" w14:textId="77777777" w:rsidTr="006C268A">
        <w:trPr>
          <w:trHeight w:val="57"/>
        </w:trPr>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8BA9EDD" w14:textId="77777777" w:rsidR="004357B8" w:rsidRPr="005D4222" w:rsidRDefault="004357B8" w:rsidP="00A53E8C">
            <w:pPr>
              <w:pStyle w:val="ECDSMarginHead"/>
            </w:pPr>
            <w:r w:rsidRPr="005D4222">
              <w:t>Summary of changes</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A6D5CDA" w14:textId="77777777" w:rsidR="004357B8" w:rsidRPr="005D4222" w:rsidRDefault="004357B8" w:rsidP="005D6173">
            <w:pPr>
              <w:pStyle w:val="ProcessBullet"/>
              <w:numPr>
                <w:ilvl w:val="0"/>
                <w:numId w:val="164"/>
              </w:numPr>
              <w:tabs>
                <w:tab w:val="left" w:pos="216"/>
              </w:tabs>
              <w:spacing w:before="120"/>
              <w:ind w:left="216" w:hanging="216"/>
            </w:pPr>
            <w:r w:rsidRPr="005D4222">
              <w:t xml:space="preserve">This is the first year this measure is reported using ECDS. </w:t>
            </w:r>
          </w:p>
          <w:p w14:paraId="708FE57E" w14:textId="77777777" w:rsidR="004357B8" w:rsidRPr="005D4222" w:rsidRDefault="004357B8" w:rsidP="005D6173">
            <w:pPr>
              <w:pStyle w:val="ProcessBullet"/>
              <w:numPr>
                <w:ilvl w:val="0"/>
                <w:numId w:val="164"/>
              </w:numPr>
              <w:tabs>
                <w:tab w:val="left" w:pos="216"/>
              </w:tabs>
              <w:ind w:left="216" w:hanging="216"/>
            </w:pPr>
            <w:r w:rsidRPr="005D4222">
              <w:t>Removed the Administrative Data Collection Method.</w:t>
            </w:r>
          </w:p>
          <w:p w14:paraId="5B640BDB" w14:textId="77777777" w:rsidR="004357B8" w:rsidRPr="005D4222" w:rsidRDefault="004357B8" w:rsidP="005D6173">
            <w:pPr>
              <w:pStyle w:val="ProcessBullet"/>
              <w:numPr>
                <w:ilvl w:val="0"/>
                <w:numId w:val="164"/>
              </w:numPr>
              <w:tabs>
                <w:tab w:val="left" w:pos="216"/>
              </w:tabs>
              <w:spacing w:after="80"/>
              <w:ind w:left="216" w:hanging="216"/>
            </w:pPr>
            <w:r w:rsidRPr="005D4222">
              <w:t>Removed the requirement to use the same data source for rate 1 and rate 2.</w:t>
            </w:r>
          </w:p>
          <w:p w14:paraId="2827BEC8" w14:textId="77777777" w:rsidR="004357B8" w:rsidRPr="005D4222" w:rsidRDefault="004357B8" w:rsidP="005D6173">
            <w:pPr>
              <w:pStyle w:val="ProcessBullet"/>
              <w:numPr>
                <w:ilvl w:val="0"/>
                <w:numId w:val="164"/>
              </w:numPr>
              <w:tabs>
                <w:tab w:val="left" w:pos="216"/>
              </w:tabs>
              <w:spacing w:after="80"/>
              <w:ind w:left="216" w:hanging="216"/>
            </w:pPr>
            <w:r w:rsidRPr="005D4222">
              <w:t>Updated the ASCVD diagnosis criteria in the denominator exclusions to allow diagnoses to occur in the measurement period or the year prior to the measurement period.</w:t>
            </w:r>
          </w:p>
          <w:p w14:paraId="17CEB98D" w14:textId="77777777" w:rsidR="004357B8" w:rsidRPr="005D4222" w:rsidRDefault="004357B8" w:rsidP="005D6173">
            <w:pPr>
              <w:pStyle w:val="ProcessBullet"/>
              <w:numPr>
                <w:ilvl w:val="0"/>
                <w:numId w:val="164"/>
              </w:numPr>
              <w:tabs>
                <w:tab w:val="left" w:pos="216"/>
              </w:tabs>
              <w:spacing w:after="80"/>
              <w:ind w:left="216" w:hanging="216"/>
            </w:pPr>
            <w:r w:rsidRPr="005D4222">
              <w:t xml:space="preserve">Removed denominator exclusion for persons enrolled in an I-SNP or living </w:t>
            </w:r>
            <w:r w:rsidRPr="005D4222">
              <w:rPr>
                <w:rFonts w:cs="Arial"/>
                <w:bCs/>
                <w:color w:val="000000"/>
                <w:shd w:val="clear" w:color="auto" w:fill="FFFFFF"/>
              </w:rPr>
              <w:t>long-term in an institution</w:t>
            </w:r>
            <w:r w:rsidRPr="005D4222">
              <w:t>.</w:t>
            </w:r>
          </w:p>
          <w:p w14:paraId="70B12738" w14:textId="77777777" w:rsidR="004357B8" w:rsidRPr="005D4222" w:rsidRDefault="004357B8" w:rsidP="0013331D">
            <w:pPr>
              <w:pStyle w:val="ProcessBullet"/>
              <w:tabs>
                <w:tab w:val="left" w:pos="216"/>
              </w:tabs>
              <w:spacing w:after="80"/>
              <w:rPr>
                <w:color w:val="000000" w:themeColor="text1"/>
              </w:rPr>
            </w:pPr>
            <w:r w:rsidRPr="005D4222">
              <w:t>Updated the denominator exclusion to remove persons with an ASCVD diagnosis.</w:t>
            </w:r>
          </w:p>
        </w:tc>
      </w:tr>
    </w:tbl>
    <w:p w14:paraId="36DABF4F" w14:textId="77777777" w:rsidR="0013331D" w:rsidRPr="005D4222" w:rsidRDefault="0013331D">
      <w:r w:rsidRPr="005D4222">
        <w:br w:type="page"/>
      </w:r>
    </w:p>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15" w:type="dxa"/>
          <w:bottom w:w="40" w:type="dxa"/>
          <w:right w:w="15" w:type="dxa"/>
        </w:tblCellMar>
        <w:tblLook w:val="04A0" w:firstRow="1" w:lastRow="0" w:firstColumn="1" w:lastColumn="0" w:noHBand="0" w:noVBand="1"/>
      </w:tblPr>
      <w:tblGrid>
        <w:gridCol w:w="2157"/>
        <w:gridCol w:w="7557"/>
      </w:tblGrid>
      <w:tr w:rsidR="004357B8" w:rsidRPr="005D4222" w14:paraId="21A61D0E" w14:textId="77777777" w:rsidTr="006C268A">
        <w:trPr>
          <w:trHeight w:val="45"/>
        </w:trPr>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8EA4A56" w14:textId="77777777" w:rsidR="004357B8" w:rsidRPr="005D4222" w:rsidRDefault="004357B8" w:rsidP="00A53E8C">
            <w:pPr>
              <w:pStyle w:val="ECDSMarginHead"/>
            </w:pPr>
            <w:r w:rsidRPr="005D4222">
              <w:lastRenderedPageBreak/>
              <w:t>Data element tables</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F32B3FC" w14:textId="77777777" w:rsidR="004357B8" w:rsidRPr="005D4222" w:rsidRDefault="004357B8" w:rsidP="00A53E8C">
            <w:pPr>
              <w:pStyle w:val="ECDSBody"/>
            </w:pPr>
            <w:r w:rsidRPr="005D4222">
              <w:t>Organizations that submit HEDIS data to NCQA must provide the following data elements.</w:t>
            </w:r>
          </w:p>
          <w:p w14:paraId="672FB65E" w14:textId="77777777" w:rsidR="004357B8" w:rsidRPr="005D4222" w:rsidRDefault="004357B8" w:rsidP="00A53E8C">
            <w:pPr>
              <w:pStyle w:val="Heading3"/>
              <w:spacing w:before="120"/>
            </w:pPr>
            <w:r w:rsidRPr="005D4222">
              <w:t>Table SPD-E-1/2/3: Data Elements for Statin Therapy for Patients With Diabetes</w:t>
            </w:r>
          </w:p>
          <w:tbl>
            <w:tblPr>
              <w:tblW w:w="73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881"/>
              <w:gridCol w:w="2598"/>
              <w:gridCol w:w="2897"/>
            </w:tblGrid>
            <w:tr w:rsidR="004357B8" w:rsidRPr="005D4222" w14:paraId="46074115" w14:textId="77777777" w:rsidTr="00A53E8C">
              <w:tc>
                <w:tcPr>
                  <w:tcW w:w="1880"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hideMark/>
                </w:tcPr>
                <w:p w14:paraId="2C741C9A" w14:textId="77777777" w:rsidR="004357B8" w:rsidRPr="005D4222" w:rsidRDefault="004357B8" w:rsidP="0013331D">
                  <w:pPr>
                    <w:pStyle w:val="TableHead"/>
                    <w:rPr>
                      <w:rFonts w:cs="Arial"/>
                    </w:rPr>
                  </w:pPr>
                  <w:r w:rsidRPr="005D4222">
                    <w:rPr>
                      <w:rFonts w:cs="Arial"/>
                    </w:rPr>
                    <w:t>Metric</w:t>
                  </w:r>
                </w:p>
              </w:tc>
              <w:tc>
                <w:tcPr>
                  <w:tcW w:w="2598"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hideMark/>
                </w:tcPr>
                <w:p w14:paraId="7D79FB5C" w14:textId="77777777" w:rsidR="004357B8" w:rsidRPr="005D4222" w:rsidRDefault="004357B8" w:rsidP="0013331D">
                  <w:pPr>
                    <w:pStyle w:val="TableHead"/>
                    <w:rPr>
                      <w:rFonts w:cs="Arial"/>
                    </w:rPr>
                  </w:pPr>
                  <w:r w:rsidRPr="005D4222">
                    <w:rPr>
                      <w:rFonts w:cs="Arial"/>
                    </w:rPr>
                    <w:t>Data Element</w:t>
                  </w:r>
                </w:p>
              </w:tc>
              <w:tc>
                <w:tcPr>
                  <w:tcW w:w="2897"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hideMark/>
                </w:tcPr>
                <w:p w14:paraId="4BACFA33" w14:textId="77777777" w:rsidR="004357B8" w:rsidRPr="005D4222" w:rsidRDefault="004357B8" w:rsidP="0013331D">
                  <w:pPr>
                    <w:pStyle w:val="TableHead"/>
                    <w:rPr>
                      <w:rFonts w:cs="Arial"/>
                    </w:rPr>
                  </w:pPr>
                  <w:r w:rsidRPr="005D4222">
                    <w:rPr>
                      <w:rFonts w:cs="Arial"/>
                    </w:rPr>
                    <w:t>Reporting Instructions</w:t>
                  </w:r>
                </w:p>
              </w:tc>
            </w:tr>
            <w:tr w:rsidR="004357B8" w:rsidRPr="005D4222" w14:paraId="00371E2B" w14:textId="77777777" w:rsidTr="00A53E8C">
              <w:tc>
                <w:tcPr>
                  <w:tcW w:w="1880" w:type="dxa"/>
                  <w:tcBorders>
                    <w:top w:val="single" w:sz="4" w:space="0" w:color="000000" w:themeColor="text1"/>
                    <w:left w:val="single" w:sz="4" w:space="0" w:color="auto"/>
                    <w:bottom w:val="single" w:sz="4" w:space="0" w:color="auto"/>
                    <w:right w:val="single" w:sz="4" w:space="0" w:color="auto"/>
                  </w:tcBorders>
                  <w:hideMark/>
                </w:tcPr>
                <w:p w14:paraId="1F589234" w14:textId="77777777" w:rsidR="004357B8" w:rsidRPr="005D4222" w:rsidRDefault="004357B8" w:rsidP="0013331D">
                  <w:pPr>
                    <w:pStyle w:val="TableText"/>
                    <w:rPr>
                      <w:rFonts w:cs="Arial"/>
                      <w:szCs w:val="21"/>
                    </w:rPr>
                  </w:pPr>
                  <w:r w:rsidRPr="005D4222">
                    <w:rPr>
                      <w:rFonts w:cs="Arial"/>
                      <w:szCs w:val="21"/>
                    </w:rPr>
                    <w:t>ReceivedTherapy</w:t>
                  </w:r>
                </w:p>
              </w:tc>
              <w:tc>
                <w:tcPr>
                  <w:tcW w:w="2598" w:type="dxa"/>
                  <w:tcBorders>
                    <w:top w:val="single" w:sz="4" w:space="0" w:color="000000" w:themeColor="text1"/>
                    <w:left w:val="single" w:sz="4" w:space="0" w:color="auto"/>
                    <w:bottom w:val="single" w:sz="4" w:space="0" w:color="auto"/>
                    <w:right w:val="single" w:sz="4" w:space="0" w:color="auto"/>
                  </w:tcBorders>
                  <w:hideMark/>
                </w:tcPr>
                <w:p w14:paraId="23EDAAFC" w14:textId="77777777" w:rsidR="004357B8" w:rsidRPr="005D4222" w:rsidRDefault="004357B8" w:rsidP="0013331D">
                  <w:pPr>
                    <w:pStyle w:val="TableText"/>
                    <w:rPr>
                      <w:rFonts w:cs="Arial"/>
                      <w:szCs w:val="21"/>
                    </w:rPr>
                  </w:pPr>
                  <w:r w:rsidRPr="005D4222">
                    <w:rPr>
                      <w:rFonts w:cs="Arial"/>
                      <w:szCs w:val="21"/>
                    </w:rPr>
                    <w:t>Benefit</w:t>
                  </w:r>
                </w:p>
              </w:tc>
              <w:tc>
                <w:tcPr>
                  <w:tcW w:w="2897" w:type="dxa"/>
                  <w:tcBorders>
                    <w:top w:val="single" w:sz="4" w:space="0" w:color="000000" w:themeColor="text1"/>
                    <w:left w:val="single" w:sz="4" w:space="0" w:color="auto"/>
                    <w:bottom w:val="single" w:sz="6" w:space="0" w:color="auto"/>
                    <w:right w:val="single" w:sz="4" w:space="0" w:color="auto"/>
                  </w:tcBorders>
                  <w:hideMark/>
                </w:tcPr>
                <w:p w14:paraId="6FC55412" w14:textId="77777777" w:rsidR="004357B8" w:rsidRPr="005D4222" w:rsidRDefault="004357B8" w:rsidP="0013331D">
                  <w:pPr>
                    <w:pStyle w:val="TableText"/>
                    <w:rPr>
                      <w:rFonts w:eastAsia="Wingdings" w:cs="Arial"/>
                      <w:szCs w:val="21"/>
                    </w:rPr>
                  </w:pPr>
                  <w:r w:rsidRPr="005D4222">
                    <w:rPr>
                      <w:rFonts w:eastAsia="Wingdings" w:cs="Arial"/>
                      <w:szCs w:val="21"/>
                    </w:rPr>
                    <w:t>Metadata</w:t>
                  </w:r>
                </w:p>
              </w:tc>
            </w:tr>
            <w:tr w:rsidR="004357B8" w:rsidRPr="005D4222" w14:paraId="128EB829" w14:textId="77777777" w:rsidTr="00A53E8C">
              <w:tc>
                <w:tcPr>
                  <w:tcW w:w="18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D8D1330" w14:textId="77777777" w:rsidR="004357B8" w:rsidRPr="005D4222" w:rsidRDefault="004357B8" w:rsidP="0013331D">
                  <w:pPr>
                    <w:pStyle w:val="TableText"/>
                    <w:rPr>
                      <w:rFonts w:cs="Arial"/>
                      <w:szCs w:val="21"/>
                    </w:rPr>
                  </w:pPr>
                  <w:r w:rsidRPr="005D4222">
                    <w:rPr>
                      <w:rFonts w:cs="Arial"/>
                      <w:szCs w:val="21"/>
                    </w:rPr>
                    <w:t>Adherence</w:t>
                  </w:r>
                </w:p>
              </w:tc>
              <w:tc>
                <w:tcPr>
                  <w:tcW w:w="2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82601CB" w14:textId="77777777" w:rsidR="004357B8" w:rsidRPr="005D4222" w:rsidRDefault="004357B8" w:rsidP="0013331D">
                  <w:pPr>
                    <w:pStyle w:val="TableText"/>
                    <w:rPr>
                      <w:rFonts w:cs="Arial"/>
                      <w:szCs w:val="21"/>
                    </w:rPr>
                  </w:pPr>
                  <w:r w:rsidRPr="005D4222">
                    <w:rPr>
                      <w:rFonts w:cs="Arial"/>
                      <w:szCs w:val="21"/>
                    </w:rPr>
                    <w:t xml:space="preserve">InitialPopulation </w:t>
                  </w:r>
                </w:p>
              </w:tc>
              <w:tc>
                <w:tcPr>
                  <w:tcW w:w="2897"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351F7315" w14:textId="77777777" w:rsidR="004357B8" w:rsidRPr="005D4222" w:rsidRDefault="004357B8" w:rsidP="0013331D">
                  <w:pPr>
                    <w:pStyle w:val="TableText"/>
                    <w:rPr>
                      <w:rFonts w:eastAsia="Wingdings" w:cs="Arial"/>
                      <w:szCs w:val="21"/>
                    </w:rPr>
                  </w:pPr>
                  <w:r w:rsidRPr="005D4222">
                    <w:rPr>
                      <w:rFonts w:eastAsia="Wingdings" w:cs="Arial"/>
                      <w:szCs w:val="21"/>
                    </w:rPr>
                    <w:t>For each Metric</w:t>
                  </w:r>
                </w:p>
              </w:tc>
            </w:tr>
            <w:tr w:rsidR="004357B8" w:rsidRPr="005D4222" w14:paraId="11BDEF44" w14:textId="77777777" w:rsidTr="00A53E8C">
              <w:tc>
                <w:tcPr>
                  <w:tcW w:w="1880" w:type="dxa"/>
                  <w:tcBorders>
                    <w:top w:val="single" w:sz="4" w:space="0" w:color="auto"/>
                    <w:left w:val="nil"/>
                    <w:bottom w:val="nil"/>
                    <w:right w:val="single" w:sz="4" w:space="0" w:color="auto"/>
                  </w:tcBorders>
                  <w:shd w:val="clear" w:color="auto" w:fill="FFFFFF" w:themeFill="background1"/>
                </w:tcPr>
                <w:p w14:paraId="083BB3F8" w14:textId="77777777" w:rsidR="004357B8" w:rsidRPr="005D4222" w:rsidRDefault="004357B8" w:rsidP="0013331D">
                  <w:pPr>
                    <w:pStyle w:val="TableText"/>
                    <w:rPr>
                      <w:rFonts w:cs="Arial"/>
                      <w:szCs w:val="21"/>
                    </w:rPr>
                  </w:pPr>
                </w:p>
              </w:tc>
              <w:tc>
                <w:tcPr>
                  <w:tcW w:w="2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573F7F9" w14:textId="77777777" w:rsidR="004357B8" w:rsidRPr="005D4222" w:rsidRDefault="004357B8" w:rsidP="0013331D">
                  <w:pPr>
                    <w:pStyle w:val="TableText"/>
                    <w:rPr>
                      <w:rFonts w:cs="Arial"/>
                    </w:rPr>
                  </w:pPr>
                  <w:r w:rsidRPr="005D4222">
                    <w:rPr>
                      <w:rFonts w:cs="Arial"/>
                    </w:rPr>
                    <w:t>Exclusions</w:t>
                  </w:r>
                </w:p>
              </w:tc>
              <w:tc>
                <w:tcPr>
                  <w:tcW w:w="2897"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7CFD0536" w14:textId="77777777" w:rsidR="004357B8" w:rsidRPr="005D4222" w:rsidRDefault="004357B8" w:rsidP="0013331D">
                  <w:pPr>
                    <w:pStyle w:val="TableText"/>
                    <w:rPr>
                      <w:rFonts w:eastAsia="Wingdings" w:cs="Arial"/>
                      <w:szCs w:val="21"/>
                    </w:rPr>
                  </w:pPr>
                  <w:r w:rsidRPr="005D4222">
                    <w:rPr>
                      <w:rFonts w:eastAsia="Wingdings" w:cs="Arial"/>
                      <w:szCs w:val="21"/>
                    </w:rPr>
                    <w:t>Only for ReceivedTherapy Metric</w:t>
                  </w:r>
                </w:p>
              </w:tc>
            </w:tr>
            <w:tr w:rsidR="004357B8" w:rsidRPr="005D4222" w14:paraId="75A08A14" w14:textId="77777777" w:rsidTr="00A53E8C">
              <w:tc>
                <w:tcPr>
                  <w:tcW w:w="1881" w:type="dxa"/>
                  <w:tcBorders>
                    <w:top w:val="nil"/>
                    <w:left w:val="nil"/>
                    <w:bottom w:val="nil"/>
                    <w:right w:val="single" w:sz="4" w:space="0" w:color="auto"/>
                  </w:tcBorders>
                  <w:shd w:val="clear" w:color="auto" w:fill="FFFFFF" w:themeFill="background1"/>
                </w:tcPr>
                <w:p w14:paraId="3E90C6EA" w14:textId="77777777" w:rsidR="004357B8" w:rsidRPr="005D4222" w:rsidRDefault="004357B8" w:rsidP="0013331D">
                  <w:pPr>
                    <w:pStyle w:val="TableText"/>
                    <w:rPr>
                      <w:rFonts w:cs="Arial"/>
                      <w:szCs w:val="21"/>
                    </w:rPr>
                  </w:pPr>
                </w:p>
              </w:tc>
              <w:tc>
                <w:tcPr>
                  <w:tcW w:w="2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32BD639" w14:textId="77777777" w:rsidR="004357B8" w:rsidRPr="005D4222" w:rsidRDefault="004357B8" w:rsidP="0013331D">
                  <w:pPr>
                    <w:pStyle w:val="TableText"/>
                    <w:rPr>
                      <w:rFonts w:cs="Arial"/>
                      <w:szCs w:val="21"/>
                    </w:rPr>
                  </w:pPr>
                  <w:r w:rsidRPr="005D4222">
                    <w:rPr>
                      <w:rFonts w:cs="Arial"/>
                      <w:szCs w:val="21"/>
                    </w:rPr>
                    <w:t>Denominator</w:t>
                  </w:r>
                </w:p>
              </w:tc>
              <w:tc>
                <w:tcPr>
                  <w:tcW w:w="2897" w:type="dxa"/>
                  <w:tcBorders>
                    <w:top w:val="single" w:sz="6" w:space="0" w:color="auto"/>
                    <w:left w:val="single" w:sz="4" w:space="0" w:color="auto"/>
                    <w:bottom w:val="single" w:sz="6" w:space="0" w:color="auto"/>
                    <w:right w:val="single" w:sz="4" w:space="0" w:color="auto"/>
                  </w:tcBorders>
                  <w:shd w:val="clear" w:color="auto" w:fill="FFFFFF" w:themeFill="background1"/>
                </w:tcPr>
                <w:p w14:paraId="53C63308" w14:textId="77777777" w:rsidR="004357B8" w:rsidRPr="005D4222" w:rsidRDefault="004357B8" w:rsidP="0013331D">
                  <w:pPr>
                    <w:pStyle w:val="TableText"/>
                    <w:rPr>
                      <w:rFonts w:eastAsia="Wingdings" w:cs="Arial"/>
                      <w:szCs w:val="21"/>
                    </w:rPr>
                  </w:pPr>
                  <w:r w:rsidRPr="005D4222">
                    <w:rPr>
                      <w:rFonts w:eastAsia="Wingdings" w:cs="Arial"/>
                      <w:szCs w:val="21"/>
                    </w:rPr>
                    <w:t>For each Metric</w:t>
                  </w:r>
                </w:p>
              </w:tc>
            </w:tr>
            <w:tr w:rsidR="004357B8" w:rsidRPr="005D4222" w14:paraId="1A78A9ED" w14:textId="77777777" w:rsidTr="00A53E8C">
              <w:tc>
                <w:tcPr>
                  <w:tcW w:w="1881" w:type="dxa"/>
                  <w:tcBorders>
                    <w:top w:val="nil"/>
                    <w:left w:val="nil"/>
                    <w:bottom w:val="nil"/>
                    <w:right w:val="single" w:sz="4" w:space="0" w:color="auto"/>
                  </w:tcBorders>
                  <w:shd w:val="clear" w:color="auto" w:fill="FFFFFF" w:themeFill="background1"/>
                </w:tcPr>
                <w:p w14:paraId="2ADE08BE" w14:textId="77777777" w:rsidR="004357B8" w:rsidRPr="005D4222" w:rsidRDefault="004357B8" w:rsidP="0013331D">
                  <w:pPr>
                    <w:pStyle w:val="TableText"/>
                    <w:rPr>
                      <w:rFonts w:cs="Arial"/>
                      <w:szCs w:val="21"/>
                    </w:rPr>
                  </w:pPr>
                </w:p>
              </w:tc>
              <w:tc>
                <w:tcPr>
                  <w:tcW w:w="2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3023505" w14:textId="77777777" w:rsidR="004357B8" w:rsidRPr="005D4222" w:rsidRDefault="004357B8" w:rsidP="0013331D">
                  <w:pPr>
                    <w:pStyle w:val="TableText"/>
                    <w:rPr>
                      <w:rFonts w:cs="Arial"/>
                    </w:rPr>
                  </w:pPr>
                  <w:r w:rsidRPr="005D4222">
                    <w:rPr>
                      <w:rFonts w:cs="Arial"/>
                    </w:rPr>
                    <w:t>Numerator</w:t>
                  </w:r>
                </w:p>
              </w:tc>
              <w:tc>
                <w:tcPr>
                  <w:tcW w:w="2897" w:type="dxa"/>
                  <w:tcBorders>
                    <w:top w:val="single" w:sz="6" w:space="0" w:color="auto"/>
                    <w:left w:val="single" w:sz="4" w:space="0" w:color="auto"/>
                    <w:bottom w:val="single" w:sz="6" w:space="0" w:color="auto"/>
                    <w:right w:val="single" w:sz="4" w:space="0" w:color="auto"/>
                  </w:tcBorders>
                  <w:shd w:val="clear" w:color="auto" w:fill="FFFFFF" w:themeFill="background1"/>
                  <w:hideMark/>
                </w:tcPr>
                <w:p w14:paraId="26B8CC0C" w14:textId="77777777" w:rsidR="004357B8" w:rsidRPr="005D4222" w:rsidRDefault="004357B8" w:rsidP="0013331D">
                  <w:pPr>
                    <w:pStyle w:val="TableText"/>
                    <w:rPr>
                      <w:rFonts w:eastAsia="Wingdings" w:cs="Arial"/>
                      <w:szCs w:val="21"/>
                    </w:rPr>
                  </w:pPr>
                  <w:r w:rsidRPr="005D4222">
                    <w:rPr>
                      <w:rFonts w:eastAsia="Wingdings" w:cs="Arial"/>
                      <w:szCs w:val="21"/>
                    </w:rPr>
                    <w:t>For each Metric</w:t>
                  </w:r>
                </w:p>
              </w:tc>
            </w:tr>
            <w:tr w:rsidR="004357B8" w:rsidRPr="005D4222" w14:paraId="175CCBC8" w14:textId="77777777" w:rsidTr="00A53E8C">
              <w:tc>
                <w:tcPr>
                  <w:tcW w:w="1881" w:type="dxa"/>
                  <w:tcBorders>
                    <w:top w:val="nil"/>
                    <w:left w:val="nil"/>
                    <w:bottom w:val="nil"/>
                    <w:right w:val="nil"/>
                  </w:tcBorders>
                  <w:shd w:val="clear" w:color="auto" w:fill="FFFFFF" w:themeFill="background1"/>
                </w:tcPr>
                <w:p w14:paraId="221B9A1A" w14:textId="77777777" w:rsidR="004357B8" w:rsidRPr="005D4222" w:rsidRDefault="004357B8" w:rsidP="0013331D">
                  <w:pPr>
                    <w:pStyle w:val="TableText"/>
                    <w:rPr>
                      <w:rFonts w:cs="Arial"/>
                      <w:szCs w:val="21"/>
                    </w:rPr>
                  </w:pPr>
                </w:p>
              </w:tc>
              <w:tc>
                <w:tcPr>
                  <w:tcW w:w="259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7F3A958" w14:textId="77777777" w:rsidR="004357B8" w:rsidRPr="005D4222" w:rsidRDefault="004357B8" w:rsidP="0013331D">
                  <w:pPr>
                    <w:pStyle w:val="TableText"/>
                    <w:rPr>
                      <w:rFonts w:cs="Arial"/>
                      <w:szCs w:val="21"/>
                    </w:rPr>
                  </w:pPr>
                  <w:r w:rsidRPr="005D4222">
                    <w:rPr>
                      <w:rFonts w:cs="Arial"/>
                      <w:szCs w:val="21"/>
                    </w:rPr>
                    <w:t>Rate</w:t>
                  </w:r>
                </w:p>
              </w:tc>
              <w:tc>
                <w:tcPr>
                  <w:tcW w:w="2897" w:type="dxa"/>
                  <w:tcBorders>
                    <w:top w:val="single" w:sz="6" w:space="0" w:color="auto"/>
                    <w:left w:val="single" w:sz="4" w:space="0" w:color="auto"/>
                    <w:bottom w:val="single" w:sz="6" w:space="0" w:color="auto"/>
                    <w:right w:val="single" w:sz="4" w:space="0" w:color="auto"/>
                  </w:tcBorders>
                  <w:shd w:val="clear" w:color="auto" w:fill="D9D9D9" w:themeFill="background1" w:themeFillShade="D9"/>
                  <w:hideMark/>
                </w:tcPr>
                <w:p w14:paraId="79B45CE6" w14:textId="77777777" w:rsidR="004357B8" w:rsidRPr="005D4222" w:rsidRDefault="004357B8" w:rsidP="0013331D">
                  <w:pPr>
                    <w:pStyle w:val="TableText"/>
                    <w:rPr>
                      <w:rFonts w:eastAsia="Wingdings" w:cs="Arial"/>
                      <w:szCs w:val="21"/>
                    </w:rPr>
                  </w:pPr>
                  <w:r w:rsidRPr="005D4222">
                    <w:rPr>
                      <w:rFonts w:eastAsia="Wingdings" w:cs="Arial"/>
                      <w:szCs w:val="21"/>
                    </w:rPr>
                    <w:t>(Percent)</w:t>
                  </w:r>
                </w:p>
              </w:tc>
            </w:tr>
          </w:tbl>
          <w:p w14:paraId="5E02849B" w14:textId="77777777" w:rsidR="004357B8" w:rsidRPr="005D4222" w:rsidRDefault="004357B8" w:rsidP="00A53E8C">
            <w:pPr>
              <w:pStyle w:val="ProcessDash"/>
              <w:numPr>
                <w:ilvl w:val="0"/>
                <w:numId w:val="0"/>
              </w:numPr>
              <w:rPr>
                <w:rFonts w:cs="Arial"/>
                <w:color w:val="000000" w:themeColor="text1"/>
                <w:highlight w:val="yellow"/>
              </w:rPr>
            </w:pPr>
          </w:p>
        </w:tc>
      </w:tr>
      <w:tr w:rsidR="004357B8" w:rsidRPr="005D4222" w14:paraId="5F9DE7D7" w14:textId="77777777" w:rsidTr="0013331D">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CB56764" w14:textId="77777777" w:rsidR="004357B8" w:rsidRPr="005D4222" w:rsidRDefault="004357B8" w:rsidP="00A53E8C">
            <w:pPr>
              <w:pStyle w:val="MarginHead"/>
            </w:pPr>
            <w:r w:rsidRPr="005D4222">
              <w:t>Rules for Allowable Adjustments</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64C6834" w14:textId="77777777" w:rsidR="004357B8" w:rsidRPr="005D4222" w:rsidRDefault="004357B8" w:rsidP="00A53E8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4C467CEA" w14:textId="77777777" w:rsidR="004357B8" w:rsidRPr="005D4222" w:rsidRDefault="004357B8" w:rsidP="00A53E8C">
            <w:pPr>
              <w:pStyle w:val="ECDSBody"/>
              <w:rPr>
                <w:b/>
              </w:rPr>
            </w:pPr>
            <w:r w:rsidRPr="005D4222">
              <w:rPr>
                <w:b/>
              </w:rPr>
              <w:t>Adjusted HEDIS measures may not be used for HEDIS health plan reporting.</w:t>
            </w:r>
          </w:p>
          <w:p w14:paraId="4732F7AC" w14:textId="77777777" w:rsidR="004357B8" w:rsidRPr="005D4222" w:rsidRDefault="004357B8" w:rsidP="00A53E8C">
            <w:pPr>
              <w:pStyle w:val="Adjustments"/>
              <w:rPr>
                <w:b w:val="0"/>
              </w:rPr>
            </w:pPr>
            <w:r w:rsidRPr="005D4222">
              <w:t>Adjustments allowed</w:t>
            </w:r>
          </w:p>
          <w:p w14:paraId="09545316" w14:textId="12D4446F" w:rsidR="004357B8" w:rsidRPr="005D4222" w:rsidRDefault="004357B8" w:rsidP="005D6173">
            <w:pPr>
              <w:pStyle w:val="ProcessBullet"/>
              <w:numPr>
                <w:ilvl w:val="0"/>
                <w:numId w:val="165"/>
              </w:numPr>
              <w:tabs>
                <w:tab w:val="left" w:pos="216"/>
              </w:tabs>
              <w:ind w:left="216" w:hanging="216"/>
              <w:rPr>
                <w:b/>
              </w:rPr>
            </w:pPr>
            <w:r w:rsidRPr="005D4222">
              <w:rPr>
                <w:i/>
              </w:rPr>
              <w:t>Product lines</w:t>
            </w:r>
            <w:r w:rsidRPr="005D4222">
              <w:t xml:space="preserve">. </w:t>
            </w:r>
            <w:r w:rsidRPr="005D4222">
              <w:rPr>
                <w:rFonts w:eastAsia="Arial"/>
              </w:rPr>
              <w:t>Organizations are not required to use product line criteria; product lines may be combined</w:t>
            </w:r>
            <w:r w:rsidR="00E8671F" w:rsidRPr="005D4222">
              <w:rPr>
                <w:rFonts w:eastAsia="Arial"/>
              </w:rPr>
              <w:t>,</w:t>
            </w:r>
            <w:r w:rsidRPr="005D4222">
              <w:rPr>
                <w:rFonts w:eastAsia="Arial"/>
              </w:rPr>
              <w:t xml:space="preserve"> and all (or no) product line criteria may be used. </w:t>
            </w:r>
          </w:p>
          <w:p w14:paraId="03041F0E" w14:textId="77777777" w:rsidR="004357B8" w:rsidRPr="005D4222" w:rsidRDefault="004357B8" w:rsidP="005D6173">
            <w:pPr>
              <w:pStyle w:val="ProcessBullet"/>
              <w:numPr>
                <w:ilvl w:val="0"/>
                <w:numId w:val="165"/>
              </w:numPr>
              <w:tabs>
                <w:tab w:val="left" w:pos="216"/>
              </w:tabs>
              <w:ind w:left="216" w:hanging="216"/>
              <w:rPr>
                <w:b/>
              </w:rPr>
            </w:pPr>
            <w:r w:rsidRPr="005D4222">
              <w:rPr>
                <w:i/>
              </w:rPr>
              <w:t>Attribution</w:t>
            </w:r>
            <w:r w:rsidRPr="005D4222">
              <w:t xml:space="preserve">. </w:t>
            </w:r>
            <w:r w:rsidRPr="005D4222">
              <w:rPr>
                <w:rFonts w:eastAsia="Arial"/>
              </w:rPr>
              <w:t>Organizations are not required to use enrollment criteria.</w:t>
            </w:r>
          </w:p>
          <w:p w14:paraId="50280811" w14:textId="69026D09" w:rsidR="004357B8" w:rsidRPr="005D4222" w:rsidRDefault="00BC5A58" w:rsidP="005D6173">
            <w:pPr>
              <w:pStyle w:val="ProcessBullet"/>
              <w:numPr>
                <w:ilvl w:val="0"/>
                <w:numId w:val="165"/>
              </w:numPr>
              <w:tabs>
                <w:tab w:val="left" w:pos="216"/>
              </w:tabs>
              <w:ind w:left="216" w:hanging="216"/>
              <w:rPr>
                <w:b/>
              </w:rPr>
            </w:pPr>
            <w:r w:rsidRPr="005D4222">
              <w:rPr>
                <w:i/>
                <w:iCs/>
              </w:rPr>
              <w:t>Benefits.</w:t>
            </w:r>
            <w:r w:rsidR="004357B8" w:rsidRPr="005D4222">
              <w:t xml:space="preserve"> </w:t>
            </w:r>
            <w:r w:rsidR="004357B8" w:rsidRPr="005D4222">
              <w:rPr>
                <w:rFonts w:eastAsia="Arial"/>
              </w:rPr>
              <w:t>Organizations are not required to use enrollment criteria.</w:t>
            </w:r>
          </w:p>
          <w:p w14:paraId="2ACA65EC" w14:textId="65231E64" w:rsidR="004357B8" w:rsidRPr="005D4222" w:rsidRDefault="004357B8" w:rsidP="005D6173">
            <w:pPr>
              <w:pStyle w:val="ProcessBullet"/>
              <w:numPr>
                <w:ilvl w:val="0"/>
                <w:numId w:val="165"/>
              </w:numPr>
              <w:tabs>
                <w:tab w:val="left" w:pos="216"/>
              </w:tabs>
              <w:ind w:left="216" w:hanging="216"/>
              <w:rPr>
                <w:i/>
              </w:rPr>
            </w:pPr>
            <w:r w:rsidRPr="005D4222">
              <w:rPr>
                <w:i/>
              </w:rPr>
              <w:t xml:space="preserve">Other. </w:t>
            </w:r>
            <w:r w:rsidRPr="005D4222">
              <w:t xml:space="preserve">Organizations may use additional </w:t>
            </w:r>
            <w:r w:rsidR="001B3561" w:rsidRPr="005D4222">
              <w:t>initial</w:t>
            </w:r>
            <w:r w:rsidRPr="005D4222">
              <w:t xml:space="preserve"> population criteria to focus on an area of interest defined by gender, race, ethnicity, socioeconomic or sociodemographic characteristics, geographic region or another characteristic.</w:t>
            </w:r>
            <w:r w:rsidRPr="005D4222">
              <w:rPr>
                <w:i/>
              </w:rPr>
              <w:t xml:space="preserve"> </w:t>
            </w:r>
          </w:p>
          <w:p w14:paraId="31B4CEE0" w14:textId="77777777" w:rsidR="004357B8" w:rsidRPr="005D4222" w:rsidRDefault="004357B8" w:rsidP="005D6173">
            <w:pPr>
              <w:pStyle w:val="ProcessBullet"/>
              <w:numPr>
                <w:ilvl w:val="0"/>
                <w:numId w:val="165"/>
              </w:numPr>
              <w:tabs>
                <w:tab w:val="left" w:pos="216"/>
              </w:tabs>
              <w:ind w:left="216" w:hanging="216"/>
              <w:rPr>
                <w:b/>
                <w:bCs/>
                <w:color w:val="000000" w:themeColor="text1"/>
              </w:rPr>
            </w:pPr>
            <w:r w:rsidRPr="005D4222">
              <w:rPr>
                <w:i/>
              </w:rPr>
              <w:t xml:space="preserve">Measurement </w:t>
            </w:r>
            <w:r w:rsidRPr="005D4222">
              <w:rPr>
                <w:i/>
                <w:iCs/>
              </w:rPr>
              <w:t>period a</w:t>
            </w:r>
            <w:r w:rsidRPr="005D4222">
              <w:rPr>
                <w:i/>
              </w:rPr>
              <w:t>djustments.</w:t>
            </w:r>
            <w:r w:rsidRPr="005D4222">
              <w:t xml:space="preserve"> Organizations may adjust the measurement period. </w:t>
            </w:r>
          </w:p>
          <w:p w14:paraId="00712D70" w14:textId="146159B0" w:rsidR="004357B8" w:rsidRPr="005D4222" w:rsidRDefault="004357B8" w:rsidP="005D6173">
            <w:pPr>
              <w:pStyle w:val="ProcessBullet"/>
              <w:numPr>
                <w:ilvl w:val="0"/>
                <w:numId w:val="165"/>
              </w:numPr>
              <w:tabs>
                <w:tab w:val="left" w:pos="216"/>
              </w:tabs>
              <w:ind w:left="216" w:hanging="216"/>
            </w:pPr>
            <w:r w:rsidRPr="005D4222">
              <w:rPr>
                <w:i/>
                <w:iCs/>
              </w:rPr>
              <w:t xml:space="preserve">Exclusions. </w:t>
            </w:r>
            <w:r w:rsidR="00CD633C" w:rsidRPr="005D4222">
              <w:t xml:space="preserve">The </w:t>
            </w:r>
            <w:r w:rsidR="005D2152" w:rsidRPr="005D4222">
              <w:t>h</w:t>
            </w:r>
            <w:r w:rsidRPr="005D4222">
              <w:t xml:space="preserve">ospice, deceased persons, palliative care, I-SNP, LTI, frailty or advanced illness exclusions are not required. </w:t>
            </w:r>
          </w:p>
          <w:p w14:paraId="10E8CECC" w14:textId="060C2F60" w:rsidR="004357B8" w:rsidRPr="005D4222" w:rsidRDefault="004357B8" w:rsidP="005D6173">
            <w:pPr>
              <w:pStyle w:val="ProcessBullet"/>
              <w:numPr>
                <w:ilvl w:val="0"/>
                <w:numId w:val="165"/>
              </w:numPr>
              <w:tabs>
                <w:tab w:val="left" w:pos="216"/>
              </w:tabs>
              <w:spacing w:after="80"/>
              <w:ind w:left="216" w:hanging="216"/>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w:t>
            </w:r>
            <w:r w:rsidR="00F45777" w:rsidRPr="005D4222">
              <w:t>events</w:t>
            </w:r>
            <w:r w:rsidRPr="005D4222">
              <w:t>, numerators and exclusions that do not allow the use of telehealth.</w:t>
            </w:r>
          </w:p>
          <w:p w14:paraId="4E5228EC" w14:textId="77777777" w:rsidR="004357B8" w:rsidRPr="005D4222" w:rsidRDefault="004357B8" w:rsidP="00A53E8C">
            <w:pPr>
              <w:pStyle w:val="Adjustments"/>
              <w:ind w:left="216" w:hanging="216"/>
              <w:rPr>
                <w:b w:val="0"/>
              </w:rPr>
            </w:pPr>
            <w:r w:rsidRPr="005D4222">
              <w:t>Adjustments allowed with limits</w:t>
            </w:r>
          </w:p>
          <w:p w14:paraId="107B2743" w14:textId="2BF42732" w:rsidR="004357B8" w:rsidRPr="005D4222" w:rsidRDefault="004357B8" w:rsidP="005D6173">
            <w:pPr>
              <w:pStyle w:val="ProcessBullet"/>
              <w:numPr>
                <w:ilvl w:val="0"/>
                <w:numId w:val="166"/>
              </w:numPr>
              <w:tabs>
                <w:tab w:val="left" w:pos="216"/>
              </w:tabs>
              <w:spacing w:after="80"/>
              <w:ind w:left="216" w:hanging="216"/>
            </w:pPr>
            <w:r w:rsidRPr="005D4222">
              <w:rPr>
                <w:i/>
                <w:iCs/>
              </w:rPr>
              <w:t xml:space="preserve">Ages. </w:t>
            </w:r>
            <w:r w:rsidRPr="005D4222">
              <w:t>Age determination dates may be changed (e.g., select “age as of January 1”). The denominator age may be changed if the range is within the specified age range. The denominator age may not be expanded.</w:t>
            </w:r>
          </w:p>
        </w:tc>
      </w:tr>
    </w:tbl>
    <w:p w14:paraId="1553369E" w14:textId="77777777" w:rsidR="0013331D" w:rsidRPr="005D4222" w:rsidRDefault="0013331D">
      <w:r w:rsidRPr="005D4222">
        <w:br w:type="page"/>
      </w:r>
    </w:p>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15" w:type="dxa"/>
          <w:bottom w:w="40" w:type="dxa"/>
          <w:right w:w="15" w:type="dxa"/>
        </w:tblCellMar>
        <w:tblLook w:val="04A0" w:firstRow="1" w:lastRow="0" w:firstColumn="1" w:lastColumn="0" w:noHBand="0" w:noVBand="1"/>
      </w:tblPr>
      <w:tblGrid>
        <w:gridCol w:w="2157"/>
        <w:gridCol w:w="7557"/>
      </w:tblGrid>
      <w:tr w:rsidR="0013331D" w:rsidRPr="005D4222" w14:paraId="0806E60C" w14:textId="77777777" w:rsidTr="006C268A">
        <w:tc>
          <w:tcPr>
            <w:tcW w:w="1110" w:type="pct"/>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76A56BCB" w14:textId="77777777" w:rsidR="0013331D" w:rsidRPr="005D4222" w:rsidRDefault="0013331D" w:rsidP="00A53E8C">
            <w:pPr>
              <w:pStyle w:val="MarginHead"/>
            </w:pPr>
          </w:p>
        </w:tc>
        <w:tc>
          <w:tcPr>
            <w:tcW w:w="3890" w:type="pct"/>
            <w:tcBorders>
              <w:top w:val="single" w:sz="4" w:space="0" w:color="auto"/>
              <w:left w:val="single" w:sz="4" w:space="0" w:color="auto"/>
              <w:right w:val="single" w:sz="4" w:space="0" w:color="auto"/>
            </w:tcBorders>
            <w:tcMar>
              <w:top w:w="0" w:type="dxa"/>
              <w:left w:w="86" w:type="dxa"/>
              <w:bottom w:w="43" w:type="dxa"/>
              <w:right w:w="86" w:type="dxa"/>
            </w:tcMar>
          </w:tcPr>
          <w:p w14:paraId="0CA4E567" w14:textId="77777777" w:rsidR="0013331D" w:rsidRPr="005D4222" w:rsidRDefault="0013331D" w:rsidP="002601D3">
            <w:pPr>
              <w:pStyle w:val="Adjustments"/>
              <w:spacing w:before="120"/>
              <w:ind w:left="216" w:hanging="216"/>
              <w:rPr>
                <w:b w:val="0"/>
              </w:rPr>
            </w:pPr>
            <w:r w:rsidRPr="005D4222">
              <w:t>Adjustments not allowed</w:t>
            </w:r>
          </w:p>
          <w:p w14:paraId="2D01559E" w14:textId="77777777" w:rsidR="0013331D" w:rsidRPr="005D4222" w:rsidRDefault="0013331D" w:rsidP="005D6173">
            <w:pPr>
              <w:pStyle w:val="ProcessBullet"/>
              <w:numPr>
                <w:ilvl w:val="0"/>
                <w:numId w:val="167"/>
              </w:numPr>
              <w:tabs>
                <w:tab w:val="left" w:pos="216"/>
              </w:tabs>
              <w:spacing w:after="80"/>
              <w:ind w:left="216" w:hanging="216"/>
            </w:pPr>
            <w:r w:rsidRPr="005D4222">
              <w:rPr>
                <w:i/>
                <w:iCs/>
              </w:rPr>
              <w:t xml:space="preserve">Initial population: </w:t>
            </w:r>
            <w:r w:rsidRPr="005D4222">
              <w:t>Event. Only events or diagnoses that contain (or map to) codes in the medication lists and value sets may be used to identify visits. Medication lists, value sets and logic may not be changed.</w:t>
            </w:r>
          </w:p>
          <w:p w14:paraId="273E66E4" w14:textId="3160EDAC" w:rsidR="0013331D" w:rsidRPr="005D4222" w:rsidRDefault="0013331D" w:rsidP="005D6173">
            <w:pPr>
              <w:pStyle w:val="ProcessBullet"/>
              <w:numPr>
                <w:ilvl w:val="0"/>
                <w:numId w:val="167"/>
              </w:numPr>
              <w:tabs>
                <w:tab w:val="left" w:pos="216"/>
              </w:tabs>
              <w:ind w:left="216" w:hanging="216"/>
            </w:pPr>
            <w:r w:rsidRPr="005D4222">
              <w:rPr>
                <w:i/>
                <w:iCs/>
              </w:rPr>
              <w:t>Exclusions.</w:t>
            </w:r>
            <w:r w:rsidRPr="005D4222">
              <w:t xml:space="preserve"> </w:t>
            </w:r>
            <w:r w:rsidR="00103718" w:rsidRPr="005D4222">
              <w:t>The</w:t>
            </w:r>
            <w:r w:rsidRPr="005D4222">
              <w:t xml:space="preserve"> MI, CABG, PCR, other revascularization, IVD, pregnancy, IVF, clomiphene, ESRD, dialysis, cirrhosis, myalgia, myositis, myopathy and rhabdomyolysis exclusions must be applied. Value sets</w:t>
            </w:r>
            <w:r w:rsidR="00103718" w:rsidRPr="005D4222">
              <w:t xml:space="preserve"> and logic</w:t>
            </w:r>
            <w:r w:rsidRPr="005D4222">
              <w:t xml:space="preserve"> may not be changed.</w:t>
            </w:r>
          </w:p>
          <w:p w14:paraId="4325464E" w14:textId="43A0D56C" w:rsidR="0013331D" w:rsidRPr="005D4222" w:rsidRDefault="00DE550E" w:rsidP="005D6173">
            <w:pPr>
              <w:pStyle w:val="ProcessBullet"/>
              <w:numPr>
                <w:ilvl w:val="0"/>
                <w:numId w:val="167"/>
              </w:numPr>
              <w:tabs>
                <w:tab w:val="left" w:pos="216"/>
              </w:tabs>
              <w:spacing w:after="80"/>
              <w:ind w:left="216" w:hanging="216"/>
              <w:rPr>
                <w:b/>
                <w:i/>
              </w:rPr>
            </w:pPr>
            <w:r w:rsidRPr="005D4222">
              <w:rPr>
                <w:i/>
                <w:iCs/>
              </w:rPr>
              <w:t>Numerator.</w:t>
            </w:r>
            <w:r w:rsidR="0013331D" w:rsidRPr="005D4222">
              <w:rPr>
                <w:i/>
                <w:iCs/>
              </w:rPr>
              <w:t xml:space="preserve"> </w:t>
            </w:r>
            <w:r w:rsidR="0013331D" w:rsidRPr="005D4222">
              <w:t>Medication lists, value sets and logic may not be changed.</w:t>
            </w:r>
          </w:p>
        </w:tc>
      </w:tr>
    </w:tbl>
    <w:p w14:paraId="44E3257C" w14:textId="77777777" w:rsidR="00BB5D80" w:rsidRPr="005D4222" w:rsidRDefault="00BB5D80" w:rsidP="00BB1C38">
      <w:pPr>
        <w:pStyle w:val="ECDSBody"/>
        <w:sectPr w:rsidR="00BB5D80" w:rsidRPr="005D4222" w:rsidSect="0074514A">
          <w:headerReference w:type="default" r:id="rId227"/>
          <w:type w:val="nextColumn"/>
          <w:pgSz w:w="12240" w:h="15840" w:code="1"/>
          <w:pgMar w:top="1080" w:right="1080" w:bottom="1080" w:left="1440" w:header="720" w:footer="720" w:gutter="0"/>
          <w:cols w:space="720"/>
          <w:docGrid w:linePitch="360"/>
        </w:sectPr>
      </w:pPr>
    </w:p>
    <w:p w14:paraId="015EEA68" w14:textId="097DE695" w:rsidR="00BB1C38" w:rsidRPr="005D4222" w:rsidRDefault="003752AB" w:rsidP="003752AB">
      <w:pPr>
        <w:pStyle w:val="MeasureTitle"/>
      </w:pPr>
      <w:bookmarkStart w:id="422" w:name="_Toc201813477"/>
      <w:r w:rsidRPr="005D4222">
        <w:lastRenderedPageBreak/>
        <w:t>Follow-Up Care for Children Prescribed ADHD Medication</w:t>
      </w:r>
      <w:r w:rsidR="008A5901" w:rsidRPr="005D4222">
        <w:t xml:space="preserve"> (ADD-E)</w:t>
      </w:r>
      <w:bookmarkEnd w:id="422"/>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5168"/>
        <w:gridCol w:w="1415"/>
        <w:gridCol w:w="974"/>
      </w:tblGrid>
      <w:tr w:rsidR="00A872F0" w:rsidRPr="005D4222" w14:paraId="2428B73C" w14:textId="77777777" w:rsidTr="00A53E8C">
        <w:tc>
          <w:tcPr>
            <w:tcW w:w="2157" w:type="dxa"/>
            <w:shd w:val="clear" w:color="auto" w:fill="BFBFBF" w:themeFill="background1" w:themeFillShade="BF"/>
            <w:tcMar>
              <w:top w:w="0" w:type="dxa"/>
              <w:left w:w="86" w:type="dxa"/>
              <w:bottom w:w="43" w:type="dxa"/>
              <w:right w:w="86" w:type="dxa"/>
            </w:tcMar>
            <w:hideMark/>
          </w:tcPr>
          <w:p w14:paraId="6D698476" w14:textId="77777777" w:rsidR="00A872F0" w:rsidRPr="005D4222" w:rsidRDefault="00A872F0" w:rsidP="00A872F0">
            <w:pPr>
              <w:pStyle w:val="ECDSMarginHead"/>
            </w:pPr>
            <w:r w:rsidRPr="005D4222">
              <w:t>Measure title</w:t>
            </w:r>
          </w:p>
        </w:tc>
        <w:tc>
          <w:tcPr>
            <w:tcW w:w="5168" w:type="dxa"/>
            <w:tcMar>
              <w:top w:w="0" w:type="dxa"/>
              <w:left w:w="86" w:type="dxa"/>
              <w:bottom w:w="43" w:type="dxa"/>
              <w:right w:w="86" w:type="dxa"/>
            </w:tcMar>
          </w:tcPr>
          <w:p w14:paraId="040BA04D" w14:textId="77777777" w:rsidR="00A872F0" w:rsidRPr="005D4222" w:rsidRDefault="00A872F0" w:rsidP="00A53E8C">
            <w:pPr>
              <w:pStyle w:val="ECDSBody"/>
            </w:pPr>
            <w:r w:rsidRPr="005D4222">
              <w:t>Follow-Up Care for Children Prescribed ADHD Medication</w:t>
            </w:r>
          </w:p>
        </w:tc>
        <w:tc>
          <w:tcPr>
            <w:tcW w:w="1415" w:type="dxa"/>
            <w:shd w:val="clear" w:color="auto" w:fill="BFBFBF" w:themeFill="background1" w:themeFillShade="BF"/>
            <w:tcMar>
              <w:top w:w="0" w:type="dxa"/>
              <w:left w:w="86" w:type="dxa"/>
              <w:bottom w:w="43" w:type="dxa"/>
              <w:right w:w="86" w:type="dxa"/>
            </w:tcMar>
          </w:tcPr>
          <w:p w14:paraId="4D116025" w14:textId="77777777" w:rsidR="00A872F0" w:rsidRPr="005D4222" w:rsidRDefault="00A872F0" w:rsidP="00A872F0">
            <w:pPr>
              <w:pStyle w:val="ECDSMarginHead"/>
            </w:pPr>
            <w:r w:rsidRPr="005D4222">
              <w:t>Measure ID</w:t>
            </w:r>
          </w:p>
        </w:tc>
        <w:tc>
          <w:tcPr>
            <w:tcW w:w="974" w:type="dxa"/>
            <w:tcMar>
              <w:top w:w="0" w:type="dxa"/>
              <w:left w:w="86" w:type="dxa"/>
              <w:bottom w:w="43" w:type="dxa"/>
              <w:right w:w="86" w:type="dxa"/>
            </w:tcMar>
          </w:tcPr>
          <w:p w14:paraId="2EA251CB" w14:textId="77777777" w:rsidR="00A872F0" w:rsidRPr="005D4222" w:rsidRDefault="00A872F0" w:rsidP="00A53E8C">
            <w:pPr>
              <w:pStyle w:val="ECDSBody"/>
            </w:pPr>
            <w:r w:rsidRPr="005D4222">
              <w:t>ADD-E</w:t>
            </w:r>
          </w:p>
        </w:tc>
      </w:tr>
      <w:tr w:rsidR="00A872F0" w:rsidRPr="005D4222" w14:paraId="3AE7A612" w14:textId="77777777" w:rsidTr="00A53E8C">
        <w:tc>
          <w:tcPr>
            <w:tcW w:w="2157" w:type="dxa"/>
            <w:shd w:val="clear" w:color="auto" w:fill="BFBFBF" w:themeFill="background1" w:themeFillShade="BF"/>
            <w:tcMar>
              <w:top w:w="0" w:type="dxa"/>
              <w:left w:w="86" w:type="dxa"/>
              <w:bottom w:w="43" w:type="dxa"/>
              <w:right w:w="86" w:type="dxa"/>
            </w:tcMar>
            <w:hideMark/>
          </w:tcPr>
          <w:p w14:paraId="490A2E25" w14:textId="77777777" w:rsidR="00A872F0" w:rsidRPr="005D4222" w:rsidRDefault="00A872F0" w:rsidP="00A872F0">
            <w:pPr>
              <w:pStyle w:val="ECDSMarginHead"/>
            </w:pPr>
            <w:r w:rsidRPr="005D4222">
              <w:t>Description</w:t>
            </w:r>
          </w:p>
        </w:tc>
        <w:tc>
          <w:tcPr>
            <w:tcW w:w="7557" w:type="dxa"/>
            <w:gridSpan w:val="3"/>
            <w:tcMar>
              <w:top w:w="0" w:type="dxa"/>
              <w:left w:w="86" w:type="dxa"/>
              <w:bottom w:w="43" w:type="dxa"/>
              <w:right w:w="86" w:type="dxa"/>
            </w:tcMar>
          </w:tcPr>
          <w:p w14:paraId="269927DF" w14:textId="77777777" w:rsidR="00A872F0" w:rsidRPr="005D4222" w:rsidRDefault="00A872F0" w:rsidP="00A53E8C">
            <w:pPr>
              <w:pStyle w:val="ECDSBody"/>
            </w:pPr>
            <w:r w:rsidRPr="005D4222">
              <w:t>The percentage of persons newly prescribed attention-deficit/hyperactivity disorder (ADHD) medication who had at least three follow-up care visits within a 300-day (10 month) period, one</w:t>
            </w:r>
            <w:r w:rsidRPr="005D4222" w:rsidDel="004F73F9">
              <w:t xml:space="preserve"> of which was</w:t>
            </w:r>
            <w:r w:rsidRPr="005D4222">
              <w:t xml:space="preserve"> within 30 days of when the first ADHD medication was dispensed. Two rates are reported:</w:t>
            </w:r>
          </w:p>
          <w:p w14:paraId="5C9B551A" w14:textId="77777777" w:rsidR="00A872F0" w:rsidRPr="005D4222" w:rsidRDefault="00A872F0" w:rsidP="00A872F0">
            <w:pPr>
              <w:pStyle w:val="Bullet"/>
              <w:numPr>
                <w:ilvl w:val="0"/>
                <w:numId w:val="4"/>
              </w:numPr>
              <w:ind w:left="576" w:hanging="216"/>
            </w:pPr>
            <w:r w:rsidRPr="005D4222">
              <w:rPr>
                <w:i/>
              </w:rPr>
              <w:t>Initiation Phase.</w:t>
            </w:r>
            <w:r w:rsidRPr="005D4222">
              <w:t xml:space="preserve"> The percentage of persons 6–12 years of age with a prescription dispensed for ADHD medication who had one follow-up visit with a practitioner with prescribing authority during the 30-day initiation phase.</w:t>
            </w:r>
          </w:p>
          <w:p w14:paraId="4E1C9E09" w14:textId="77777777" w:rsidR="00A872F0" w:rsidRPr="005D4222" w:rsidRDefault="00A872F0" w:rsidP="00A872F0">
            <w:pPr>
              <w:pStyle w:val="Bullet"/>
              <w:numPr>
                <w:ilvl w:val="0"/>
                <w:numId w:val="4"/>
              </w:numPr>
              <w:spacing w:after="80"/>
              <w:ind w:left="576" w:hanging="216"/>
            </w:pPr>
            <w:r w:rsidRPr="005D4222">
              <w:rPr>
                <w:i/>
              </w:rPr>
              <w:t>Continuation and Maintenance (C&amp;M) Phase.</w:t>
            </w:r>
            <w:r w:rsidRPr="005D4222">
              <w:t xml:space="preserve"> The percentage of persons 6–12 years of age with a prescription dispensed for ADHD medication, who remained on the medication for at least 210 days and who, in addition to the visit in the initiation phase, had at least two follow-up visits with a practitioner within 270 days (9 months) after the initiation phase ended.</w:t>
            </w:r>
          </w:p>
        </w:tc>
      </w:tr>
      <w:tr w:rsidR="00A872F0" w:rsidRPr="005D4222" w14:paraId="28F74C3A" w14:textId="77777777" w:rsidTr="00A53E8C">
        <w:tc>
          <w:tcPr>
            <w:tcW w:w="2157" w:type="dxa"/>
            <w:shd w:val="clear" w:color="auto" w:fill="BFBFBF" w:themeFill="background1" w:themeFillShade="BF"/>
            <w:tcMar>
              <w:top w:w="0" w:type="dxa"/>
              <w:left w:w="86" w:type="dxa"/>
              <w:bottom w:w="43" w:type="dxa"/>
              <w:right w:w="86" w:type="dxa"/>
            </w:tcMar>
          </w:tcPr>
          <w:p w14:paraId="63DAE278" w14:textId="77777777" w:rsidR="00A872F0" w:rsidRPr="005D4222" w:rsidRDefault="00A872F0" w:rsidP="00A872F0">
            <w:pPr>
              <w:pStyle w:val="ECDSMarginHead"/>
            </w:pPr>
            <w:r w:rsidRPr="005D4222">
              <w:t>Measurement period</w:t>
            </w:r>
          </w:p>
        </w:tc>
        <w:tc>
          <w:tcPr>
            <w:tcW w:w="7557" w:type="dxa"/>
            <w:gridSpan w:val="3"/>
            <w:tcMar>
              <w:top w:w="0" w:type="dxa"/>
              <w:left w:w="86" w:type="dxa"/>
              <w:bottom w:w="43" w:type="dxa"/>
              <w:right w:w="86" w:type="dxa"/>
            </w:tcMar>
          </w:tcPr>
          <w:p w14:paraId="5F2EFEF1" w14:textId="77777777" w:rsidR="00A872F0" w:rsidRPr="005D4222" w:rsidRDefault="00A872F0" w:rsidP="00A53E8C">
            <w:pPr>
              <w:pStyle w:val="ECDSBody"/>
            </w:pPr>
            <w:r w:rsidRPr="005D4222">
              <w:t>January 1–December 31.</w:t>
            </w:r>
          </w:p>
        </w:tc>
      </w:tr>
      <w:tr w:rsidR="00A872F0" w:rsidRPr="005D4222" w14:paraId="7864FA0E" w14:textId="77777777" w:rsidTr="00A53E8C">
        <w:tc>
          <w:tcPr>
            <w:tcW w:w="2157" w:type="dxa"/>
            <w:shd w:val="clear" w:color="auto" w:fill="BFBFBF" w:themeFill="background1" w:themeFillShade="BF"/>
            <w:tcMar>
              <w:top w:w="0" w:type="dxa"/>
              <w:left w:w="86" w:type="dxa"/>
              <w:bottom w:w="43" w:type="dxa"/>
              <w:right w:w="86" w:type="dxa"/>
            </w:tcMar>
            <w:hideMark/>
          </w:tcPr>
          <w:p w14:paraId="32341D65" w14:textId="77777777" w:rsidR="00A872F0" w:rsidRPr="005D4222" w:rsidRDefault="00A872F0" w:rsidP="00A872F0">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14587ABE" w14:textId="77777777" w:rsidR="00A872F0" w:rsidRPr="005D4222" w:rsidRDefault="00A872F0" w:rsidP="00A53E8C">
            <w:pPr>
              <w:pStyle w:val="ECDSBody"/>
            </w:pPr>
            <w:r w:rsidRPr="005D4222">
              <w:t xml:space="preserve">Refer to the complete copyright and disclaimer information at the front of this publication. </w:t>
            </w:r>
          </w:p>
          <w:p w14:paraId="216996B4" w14:textId="77777777" w:rsidR="00A872F0" w:rsidRPr="005D4222" w:rsidRDefault="00A872F0" w:rsidP="00A53E8C">
            <w:pPr>
              <w:pStyle w:val="ECDSBody"/>
              <w:spacing w:before="80"/>
            </w:pPr>
            <w:r w:rsidRPr="005D4222">
              <w:t xml:space="preserve">NCQA website: </w:t>
            </w:r>
            <w:r w:rsidRPr="005D4222">
              <w:rPr>
                <w:u w:val="single"/>
              </w:rPr>
              <w:t>www.ncqa.org</w:t>
            </w:r>
            <w:r w:rsidRPr="005D4222">
              <w:rPr>
                <w:rStyle w:val="Hyperlink"/>
              </w:rPr>
              <w:t>.</w:t>
            </w:r>
            <w:r w:rsidRPr="005D4222">
              <w:t xml:space="preserve"> </w:t>
            </w:r>
          </w:p>
          <w:p w14:paraId="6AC73C66" w14:textId="77777777" w:rsidR="00A872F0" w:rsidRPr="005D4222" w:rsidRDefault="00A872F0" w:rsidP="00A53E8C">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A872F0" w:rsidRPr="005D4222" w14:paraId="40D9BA7A" w14:textId="77777777" w:rsidTr="00A53E8C">
        <w:tc>
          <w:tcPr>
            <w:tcW w:w="2157" w:type="dxa"/>
            <w:shd w:val="clear" w:color="auto" w:fill="BFBFBF" w:themeFill="background1" w:themeFillShade="BF"/>
            <w:tcMar>
              <w:top w:w="0" w:type="dxa"/>
              <w:left w:w="86" w:type="dxa"/>
              <w:bottom w:w="43" w:type="dxa"/>
              <w:right w:w="86" w:type="dxa"/>
            </w:tcMar>
            <w:hideMark/>
          </w:tcPr>
          <w:p w14:paraId="54D9E598" w14:textId="77777777" w:rsidR="00A872F0" w:rsidRPr="005D4222" w:rsidRDefault="00A872F0" w:rsidP="00A872F0">
            <w:pPr>
              <w:pStyle w:val="ECDSMarginHead"/>
            </w:pPr>
            <w:r w:rsidRPr="005D4222">
              <w:t>Clinical recommendation statement/ rationale</w:t>
            </w:r>
          </w:p>
        </w:tc>
        <w:tc>
          <w:tcPr>
            <w:tcW w:w="7557" w:type="dxa"/>
            <w:gridSpan w:val="3"/>
            <w:tcMar>
              <w:top w:w="0" w:type="dxa"/>
              <w:left w:w="86" w:type="dxa"/>
              <w:bottom w:w="43" w:type="dxa"/>
              <w:right w:w="86" w:type="dxa"/>
            </w:tcMar>
          </w:tcPr>
          <w:p w14:paraId="4649D175" w14:textId="77777777" w:rsidR="00A872F0" w:rsidRPr="005D4222" w:rsidRDefault="00A872F0" w:rsidP="00A53E8C">
            <w:pPr>
              <w:pStyle w:val="ECDSBody"/>
            </w:pPr>
            <w:r w:rsidRPr="005D4222">
              <w:t>American Academy of Child and Adolescent Psychiatry (AACAP) Practice Parameter for the Assessment and Treatment of Children and Adolescents with ADHD</w:t>
            </w:r>
          </w:p>
          <w:p w14:paraId="18F55C29" w14:textId="77777777" w:rsidR="00A872F0" w:rsidRPr="005D4222" w:rsidRDefault="00A872F0" w:rsidP="00A872F0">
            <w:pPr>
              <w:pStyle w:val="Bullet"/>
              <w:numPr>
                <w:ilvl w:val="0"/>
                <w:numId w:val="4"/>
              </w:numPr>
              <w:ind w:left="540" w:hanging="180"/>
              <w:rPr>
                <w:kern w:val="20"/>
              </w:rPr>
            </w:pPr>
            <w:r w:rsidRPr="005D4222">
              <w:rPr>
                <w:i/>
                <w:kern w:val="20"/>
              </w:rPr>
              <w:t xml:space="preserve">Recommendation 6: </w:t>
            </w:r>
            <w:r w:rsidRPr="005D4222">
              <w:rPr>
                <w:kern w:val="20"/>
              </w:rPr>
              <w:t>A well-thought-out and comprehensive treatment plan should be developed for the patient with ADHD. The treatment plan should be reviewed regularly and modified if the patient’s symptoms do not respond. Minimal Standard [MS]</w:t>
            </w:r>
          </w:p>
          <w:p w14:paraId="17DD3E87" w14:textId="77777777" w:rsidR="00A872F0" w:rsidRPr="005D4222" w:rsidRDefault="00A872F0" w:rsidP="00A872F0">
            <w:pPr>
              <w:pStyle w:val="Bullet"/>
              <w:numPr>
                <w:ilvl w:val="0"/>
                <w:numId w:val="4"/>
              </w:numPr>
              <w:ind w:left="540" w:hanging="180"/>
              <w:rPr>
                <w:kern w:val="20"/>
              </w:rPr>
            </w:pPr>
            <w:r w:rsidRPr="005D4222">
              <w:rPr>
                <w:i/>
                <w:kern w:val="20"/>
              </w:rPr>
              <w:t xml:space="preserve">Recommendation 9: </w:t>
            </w:r>
            <w:r w:rsidRPr="005D4222">
              <w:rPr>
                <w:kern w:val="20"/>
              </w:rPr>
              <w:t>During a psychopharmacological intervention for ADHD, the patient should be monitored for treatment-emergent side effects. Minimal Standard [MS]</w:t>
            </w:r>
          </w:p>
          <w:p w14:paraId="77F659A3" w14:textId="065CC16F" w:rsidR="00A872F0" w:rsidRPr="005D4222" w:rsidRDefault="00A872F0" w:rsidP="00616954">
            <w:pPr>
              <w:pStyle w:val="Bullet"/>
              <w:numPr>
                <w:ilvl w:val="0"/>
                <w:numId w:val="4"/>
              </w:numPr>
              <w:ind w:left="540" w:hanging="180"/>
              <w:rPr>
                <w:szCs w:val="21"/>
              </w:rPr>
            </w:pPr>
            <w:r w:rsidRPr="005D4222">
              <w:rPr>
                <w:i/>
              </w:rPr>
              <w:t>Recommendation 12:</w:t>
            </w:r>
            <w:r w:rsidRPr="005D4222">
              <w:t xml:space="preserve"> Patients should be assessed periodically to determine whether there is continued need for treatment or if symptoms have remitted. Treatment of ADHD should continue as long as symptoms remain present and cause impairment. Minimal Standard [MS]</w:t>
            </w:r>
          </w:p>
        </w:tc>
      </w:tr>
    </w:tbl>
    <w:p w14:paraId="219AA4D2" w14:textId="77777777" w:rsidR="00616954" w:rsidRPr="005D4222" w:rsidRDefault="00616954">
      <w:r w:rsidRPr="005D4222">
        <w:br w:type="page"/>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A872F0" w:rsidRPr="005D4222" w14:paraId="0D2FD417" w14:textId="77777777" w:rsidTr="00A53E8C">
        <w:tc>
          <w:tcPr>
            <w:tcW w:w="2157" w:type="dxa"/>
            <w:shd w:val="clear" w:color="auto" w:fill="BFBFBF" w:themeFill="background1" w:themeFillShade="BF"/>
            <w:tcMar>
              <w:top w:w="0" w:type="dxa"/>
              <w:left w:w="86" w:type="dxa"/>
              <w:bottom w:w="43" w:type="dxa"/>
              <w:right w:w="86" w:type="dxa"/>
            </w:tcMar>
          </w:tcPr>
          <w:p w14:paraId="7BD3A253" w14:textId="77777777" w:rsidR="00A872F0" w:rsidRPr="005D4222" w:rsidRDefault="00A872F0" w:rsidP="00A53E8C">
            <w:pPr>
              <w:pStyle w:val="MarginHead"/>
              <w:rPr>
                <w:szCs w:val="22"/>
              </w:rPr>
            </w:pPr>
          </w:p>
        </w:tc>
        <w:tc>
          <w:tcPr>
            <w:tcW w:w="7557" w:type="dxa"/>
            <w:tcMar>
              <w:top w:w="0" w:type="dxa"/>
              <w:left w:w="86" w:type="dxa"/>
              <w:bottom w:w="43" w:type="dxa"/>
              <w:right w:w="86" w:type="dxa"/>
            </w:tcMar>
          </w:tcPr>
          <w:p w14:paraId="67BA3E5A" w14:textId="4CB6E89B" w:rsidR="00A872F0" w:rsidRPr="005D4222" w:rsidRDefault="00616954" w:rsidP="00A872F0">
            <w:pPr>
              <w:pStyle w:val="ECDSBody"/>
            </w:pPr>
            <w:r w:rsidRPr="005D4222">
              <w:t xml:space="preserve">American Academy of Pediatrics Clinical Practice Guideline for the Diagnosis, </w:t>
            </w:r>
            <w:r w:rsidR="00A872F0" w:rsidRPr="005D4222">
              <w:t>Evaluation and Treatment of ADHD in Children and Adolescents</w:t>
            </w:r>
          </w:p>
          <w:p w14:paraId="0107395A" w14:textId="04441381" w:rsidR="00A872F0" w:rsidRPr="005D4222" w:rsidRDefault="00A872F0" w:rsidP="00A872F0">
            <w:pPr>
              <w:pStyle w:val="Bullet"/>
              <w:numPr>
                <w:ilvl w:val="0"/>
                <w:numId w:val="4"/>
              </w:numPr>
              <w:tabs>
                <w:tab w:val="left" w:pos="630"/>
              </w:tabs>
              <w:spacing w:after="80"/>
              <w:ind w:left="576" w:hanging="216"/>
            </w:pPr>
            <w:r w:rsidRPr="005D4222">
              <w:rPr>
                <w:i/>
              </w:rPr>
              <w:t>Action Statement 4:</w:t>
            </w:r>
            <w:r w:rsidRPr="005D4222">
              <w:t xml:space="preserve"> The primary care clinician should recognize ADHD as a chronic condition and, therefore, consider children and adolescents with ADHD as children and youth with special health care needs. Management of children and youth with special health care needs should follow the principles of the chronic care model and the medical home (Grade B: Strong Recommendation).</w:t>
            </w:r>
          </w:p>
        </w:tc>
      </w:tr>
      <w:tr w:rsidR="00A872F0" w:rsidRPr="005D4222" w14:paraId="3D201983" w14:textId="77777777" w:rsidTr="00A53E8C">
        <w:tc>
          <w:tcPr>
            <w:tcW w:w="2157" w:type="dxa"/>
            <w:shd w:val="clear" w:color="auto" w:fill="BFBFBF" w:themeFill="background1" w:themeFillShade="BF"/>
            <w:tcMar>
              <w:top w:w="0" w:type="dxa"/>
              <w:left w:w="86" w:type="dxa"/>
              <w:bottom w:w="43" w:type="dxa"/>
              <w:right w:w="86" w:type="dxa"/>
            </w:tcMar>
          </w:tcPr>
          <w:p w14:paraId="7EE83824" w14:textId="77777777" w:rsidR="00A872F0" w:rsidRPr="005D4222" w:rsidRDefault="00A872F0" w:rsidP="00A872F0">
            <w:pPr>
              <w:pStyle w:val="ECDSMarginHead"/>
            </w:pPr>
            <w:r w:rsidRPr="005D4222">
              <w:t>Citations</w:t>
            </w:r>
          </w:p>
        </w:tc>
        <w:tc>
          <w:tcPr>
            <w:tcW w:w="7557" w:type="dxa"/>
            <w:tcMar>
              <w:top w:w="0" w:type="dxa"/>
              <w:left w:w="86" w:type="dxa"/>
              <w:bottom w:w="43" w:type="dxa"/>
              <w:right w:w="86" w:type="dxa"/>
            </w:tcMar>
          </w:tcPr>
          <w:p w14:paraId="2DBEB4DA" w14:textId="77777777" w:rsidR="00A872F0" w:rsidRPr="005D4222" w:rsidRDefault="00A872F0" w:rsidP="00A53E8C">
            <w:pPr>
              <w:pStyle w:val="ECDSBody"/>
            </w:pPr>
            <w:r w:rsidRPr="005D4222">
              <w:t xml:space="preserve">American Academy of Child and Adolescent Psychiatry (AACAP). 2007. “Practice Parameter for the Assessment and Treatment of Children and Adolescents with ADHD.” </w:t>
            </w:r>
            <w:r w:rsidRPr="005D4222">
              <w:rPr>
                <w:i/>
              </w:rPr>
              <w:t>J. Am. Acad. Child Adolesc. Psychiatry</w:t>
            </w:r>
            <w:r w:rsidRPr="005D4222">
              <w:t xml:space="preserve"> 46(7): 894Y921.</w:t>
            </w:r>
          </w:p>
          <w:p w14:paraId="082CE37E" w14:textId="77777777" w:rsidR="00A872F0" w:rsidRPr="005D4222" w:rsidRDefault="00A872F0" w:rsidP="00A53E8C">
            <w:pPr>
              <w:pStyle w:val="ECDSBody"/>
            </w:pPr>
            <w:r w:rsidRPr="005D4222">
              <w:t xml:space="preserve">American Academy of Pediatrics. November 2011. “ADHD: Clinical Practice Guideline for the Diagnosis, Evaluation, and Treatment of Attention-Deficit/ Hyperactivity Disorder in Children and Adolescents.” Subcommittee on Attention-Deficit/Hyperactivity Disorder, Steering Committee on Quality Improvement and Management. </w:t>
            </w:r>
            <w:r w:rsidRPr="005D4222">
              <w:rPr>
                <w:i/>
              </w:rPr>
              <w:t xml:space="preserve">Pediatrics </w:t>
            </w:r>
            <w:r w:rsidRPr="005D4222">
              <w:t xml:space="preserve">128 (5) 1007–22. </w:t>
            </w:r>
            <w:r w:rsidRPr="005D4222">
              <w:br/>
              <w:t>doi: 10.1542/peds.2011-2654</w:t>
            </w:r>
          </w:p>
        </w:tc>
      </w:tr>
      <w:tr w:rsidR="00A872F0" w:rsidRPr="005D4222" w14:paraId="1F78A1C6" w14:textId="77777777" w:rsidTr="00A53E8C">
        <w:tc>
          <w:tcPr>
            <w:tcW w:w="9714" w:type="dxa"/>
            <w:gridSpan w:val="2"/>
            <w:tcBorders>
              <w:bottom w:val="single" w:sz="4" w:space="0" w:color="auto"/>
            </w:tcBorders>
            <w:shd w:val="clear" w:color="auto" w:fill="BFBFBF" w:themeFill="background1" w:themeFillShade="BF"/>
            <w:tcMar>
              <w:top w:w="0" w:type="dxa"/>
              <w:left w:w="86" w:type="dxa"/>
              <w:bottom w:w="43" w:type="dxa"/>
              <w:right w:w="86" w:type="dxa"/>
            </w:tcMar>
          </w:tcPr>
          <w:p w14:paraId="137F8E09" w14:textId="77777777" w:rsidR="00A872F0" w:rsidRPr="005D4222" w:rsidRDefault="00A872F0" w:rsidP="00A872F0">
            <w:pPr>
              <w:pStyle w:val="ECDSMarginHead"/>
            </w:pPr>
            <w:r w:rsidRPr="005D4222">
              <w:t>Characteristics</w:t>
            </w:r>
          </w:p>
        </w:tc>
      </w:tr>
      <w:tr w:rsidR="00A872F0" w:rsidRPr="005D4222" w14:paraId="1F3A8EB2" w14:textId="77777777" w:rsidTr="00A53E8C">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71E2ECBD" w14:textId="77777777" w:rsidR="00A872F0" w:rsidRPr="005D4222" w:rsidRDefault="00A872F0" w:rsidP="00A872F0">
            <w:pPr>
              <w:pStyle w:val="ECDSSubhead"/>
            </w:pPr>
            <w:r w:rsidRPr="005D4222">
              <w:t>Scoring</w:t>
            </w: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29A0F743" w14:textId="77777777" w:rsidR="00A872F0" w:rsidRPr="005D4222" w:rsidRDefault="00A872F0" w:rsidP="00A53E8C">
            <w:pPr>
              <w:pStyle w:val="ECDSBody"/>
              <w:spacing w:after="0"/>
            </w:pPr>
            <w:r w:rsidRPr="005D4222">
              <w:t>Proportion.</w:t>
            </w:r>
          </w:p>
        </w:tc>
      </w:tr>
      <w:tr w:rsidR="00A872F0" w:rsidRPr="005D4222" w14:paraId="44035AE4"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248115D6" w14:textId="77777777" w:rsidR="00A872F0" w:rsidRPr="005D4222" w:rsidRDefault="00A872F0" w:rsidP="00A872F0">
            <w:pPr>
              <w:pStyle w:val="ECDSSubhead"/>
            </w:pPr>
            <w:r w:rsidRPr="005D4222">
              <w:t>Type</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072F7E0D" w14:textId="77777777" w:rsidR="00A872F0" w:rsidRPr="005D4222" w:rsidRDefault="00A872F0" w:rsidP="00A53E8C">
            <w:pPr>
              <w:pStyle w:val="ECDSBody"/>
              <w:spacing w:after="0"/>
            </w:pPr>
            <w:r w:rsidRPr="005D4222">
              <w:t>Process.</w:t>
            </w:r>
          </w:p>
        </w:tc>
      </w:tr>
      <w:tr w:rsidR="00A872F0" w:rsidRPr="005D4222" w14:paraId="7465D32B"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4FC2B013" w14:textId="19D4F0C3" w:rsidR="00A872F0" w:rsidRPr="005D4222" w:rsidRDefault="00B51CDC" w:rsidP="00A872F0">
            <w:pPr>
              <w:pStyle w:val="ECDSSubhead"/>
            </w:pPr>
            <w:r w:rsidRPr="005D4222">
              <w:t>Product lines</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7AE99B2C" w14:textId="77777777" w:rsidR="00A872F0" w:rsidRPr="005D4222" w:rsidRDefault="00A872F0" w:rsidP="005D6173">
            <w:pPr>
              <w:pStyle w:val="ProcessBullet"/>
              <w:numPr>
                <w:ilvl w:val="0"/>
                <w:numId w:val="98"/>
              </w:numPr>
              <w:tabs>
                <w:tab w:val="left" w:pos="216"/>
              </w:tabs>
              <w:spacing w:before="120"/>
              <w:ind w:left="216" w:hanging="216"/>
            </w:pPr>
            <w:r w:rsidRPr="005D4222">
              <w:t>Commercial.</w:t>
            </w:r>
          </w:p>
          <w:p w14:paraId="6EF2D1C1" w14:textId="77777777" w:rsidR="00A872F0" w:rsidRPr="005D4222" w:rsidRDefault="00A872F0" w:rsidP="005D6173">
            <w:pPr>
              <w:pStyle w:val="ProcessBullet"/>
              <w:numPr>
                <w:ilvl w:val="0"/>
                <w:numId w:val="98"/>
              </w:numPr>
              <w:tabs>
                <w:tab w:val="left" w:pos="216"/>
              </w:tabs>
              <w:ind w:left="216" w:hanging="216"/>
            </w:pPr>
            <w:r w:rsidRPr="005D4222">
              <w:t>Medicaid.</w:t>
            </w:r>
          </w:p>
        </w:tc>
      </w:tr>
      <w:tr w:rsidR="00A872F0" w:rsidRPr="005D4222" w14:paraId="778C5B51"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016314C8" w14:textId="6155F0E7" w:rsidR="00A872F0" w:rsidRPr="005D4222" w:rsidRDefault="00B51CDC" w:rsidP="00A872F0">
            <w:pPr>
              <w:pStyle w:val="ECDSSubhead"/>
            </w:pPr>
            <w:r w:rsidRPr="005D4222">
              <w:t>Stratifications</w:t>
            </w:r>
            <w:r w:rsidR="00A872F0" w:rsidRPr="005D4222">
              <w:t xml:space="preserve"> </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5120EF62" w14:textId="77777777" w:rsidR="00A872F0" w:rsidRPr="005D4222" w:rsidRDefault="00A872F0" w:rsidP="00A53E8C">
            <w:pPr>
              <w:pStyle w:val="ECDSBody"/>
              <w:spacing w:after="0"/>
              <w:rPr>
                <w:rFonts w:eastAsia="Arial,Arial,Arial,Arial,Arial,A"/>
              </w:rPr>
            </w:pPr>
            <w:r w:rsidRPr="005D4222">
              <w:rPr>
                <w:rFonts w:eastAsia="Arial,Arial,Arial,Arial,Arial,A"/>
              </w:rPr>
              <w:t>None.</w:t>
            </w:r>
          </w:p>
        </w:tc>
      </w:tr>
      <w:tr w:rsidR="00A872F0" w:rsidRPr="005D4222" w14:paraId="07E2E80A"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5E981A20" w14:textId="77777777" w:rsidR="00A872F0" w:rsidRPr="005D4222" w:rsidRDefault="00A872F0" w:rsidP="00A872F0">
            <w:pPr>
              <w:pStyle w:val="ECDSSubhead"/>
            </w:pPr>
            <w:r w:rsidRPr="005D4222">
              <w:t>Risk adjustment</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0C2F2674" w14:textId="77777777" w:rsidR="00A872F0" w:rsidRPr="005D4222" w:rsidRDefault="00A872F0" w:rsidP="00A53E8C">
            <w:pPr>
              <w:pStyle w:val="ECDSBody"/>
              <w:spacing w:after="0"/>
            </w:pPr>
            <w:r w:rsidRPr="005D4222">
              <w:t>None.</w:t>
            </w:r>
          </w:p>
        </w:tc>
      </w:tr>
      <w:tr w:rsidR="00A872F0" w:rsidRPr="005D4222" w14:paraId="053F99A7"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26EC8E71" w14:textId="77777777" w:rsidR="00A872F0" w:rsidRPr="005D4222" w:rsidRDefault="00A872F0" w:rsidP="00A872F0">
            <w:pPr>
              <w:pStyle w:val="ECDSSubhead"/>
            </w:pPr>
            <w:r w:rsidRPr="005D4222">
              <w:t>Improvement notation</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5C21517A" w14:textId="77777777" w:rsidR="00A872F0" w:rsidRPr="005D4222" w:rsidRDefault="00A872F0" w:rsidP="00A53E8C">
            <w:pPr>
              <w:pStyle w:val="ECDSBody"/>
              <w:spacing w:after="0"/>
              <w:rPr>
                <w:iCs/>
              </w:rPr>
            </w:pPr>
            <w:r w:rsidRPr="005D4222">
              <w:rPr>
                <w:iCs/>
              </w:rPr>
              <w:t>Increased score indicates improvement.</w:t>
            </w:r>
          </w:p>
        </w:tc>
      </w:tr>
      <w:tr w:rsidR="00A872F0" w:rsidRPr="005D4222" w14:paraId="2189BDB4" w14:textId="77777777" w:rsidTr="00A872F0">
        <w:trPr>
          <w:trHeight w:val="633"/>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73F65775" w14:textId="77777777" w:rsidR="00A872F0" w:rsidRPr="005D4222" w:rsidRDefault="00A872F0" w:rsidP="00A872F0">
            <w:pPr>
              <w:pStyle w:val="ECDSSubhead"/>
            </w:pPr>
            <w:r w:rsidRPr="005D4222">
              <w:t>Guidance</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vAlign w:val="center"/>
          </w:tcPr>
          <w:p w14:paraId="4C8621C2" w14:textId="56E558F8" w:rsidR="00A872F0" w:rsidRPr="005D4222" w:rsidRDefault="00A872F0" w:rsidP="00A53E8C">
            <w:pPr>
              <w:pStyle w:val="ECDSBody"/>
            </w:pPr>
            <w:r w:rsidRPr="005D4222">
              <w:rPr>
                <w:b/>
              </w:rPr>
              <w:t>Data collection methodology:</w:t>
            </w:r>
            <w:r w:rsidRPr="005D4222">
              <w:t xml:space="preserve"> ECDS. Refer to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50C9EBDD" w14:textId="77777777" w:rsidR="00A872F0" w:rsidRPr="005D4222" w:rsidRDefault="00A872F0" w:rsidP="00A53E8C">
            <w:pPr>
              <w:pStyle w:val="ECDSBody"/>
            </w:pPr>
            <w:r w:rsidRPr="005D4222">
              <w:rPr>
                <w:b/>
              </w:rPr>
              <w:t xml:space="preserve">Date specificity: </w:t>
            </w:r>
            <w:r w:rsidRPr="005D4222">
              <w:t>Dates must be specific enough to determine that the event occurred in the period being measured.</w:t>
            </w:r>
          </w:p>
          <w:p w14:paraId="6D6A55B3" w14:textId="77777777" w:rsidR="00A872F0" w:rsidRPr="005D4222" w:rsidRDefault="00A872F0" w:rsidP="00A53E8C">
            <w:pPr>
              <w:pStyle w:val="ECDSBody"/>
            </w:pPr>
            <w:r w:rsidRPr="005D4222">
              <w:rPr>
                <w:b/>
              </w:rPr>
              <w:t xml:space="preserve">Which services count? </w:t>
            </w:r>
            <w:r w:rsidRPr="005D4222">
              <w:t>When using claims, include all paid, suspended, pending and denied claims.</w:t>
            </w:r>
          </w:p>
          <w:p w14:paraId="23669AC2" w14:textId="77777777" w:rsidR="00A872F0" w:rsidRPr="005D4222" w:rsidRDefault="00A872F0" w:rsidP="00A53E8C">
            <w:pPr>
              <w:pStyle w:val="ECDSBody"/>
              <w:rPr>
                <w:b/>
              </w:rPr>
            </w:pPr>
            <w:r w:rsidRPr="005D4222">
              <w:rPr>
                <w:b/>
              </w:rPr>
              <w:t xml:space="preserve">Medication lists: </w:t>
            </w:r>
            <w:r w:rsidRPr="005D4222">
              <w:t xml:space="preserve">If an organization uses both pharmacy data (NDC codes) and clinical data (RxNorm codes) for reporting, and there are both NDC and RxNorm codes on the same date of service, use only one data source for the date of service. </w:t>
            </w:r>
          </w:p>
          <w:p w14:paraId="1E0ADB3F" w14:textId="4052C0ED" w:rsidR="00CE3AE3" w:rsidRPr="005D4222" w:rsidRDefault="00A872F0" w:rsidP="00CE3AE3">
            <w:pPr>
              <w:pStyle w:val="ECDSBody"/>
            </w:pPr>
            <w:r w:rsidRPr="005D4222">
              <w:rPr>
                <w:b/>
              </w:rPr>
              <w:t>Other guidance</w:t>
            </w:r>
            <w:r w:rsidRPr="005D4222">
              <w:rPr>
                <w:bCs w:val="0"/>
              </w:rPr>
              <w:t>: Persons who switch product lines or products between rate 1 and rate 2 enrollment periods are only included in rate 1. However, if an organization reports products combined, then a member who switches between</w:t>
            </w:r>
          </w:p>
        </w:tc>
      </w:tr>
      <w:tr w:rsidR="00A872F0" w:rsidRPr="005D4222" w14:paraId="4428CD8C" w14:textId="77777777" w:rsidTr="00A872F0">
        <w:trPr>
          <w:trHeight w:val="633"/>
        </w:trPr>
        <w:tc>
          <w:tcPr>
            <w:tcW w:w="21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8696C93" w14:textId="77777777" w:rsidR="00A872F0" w:rsidRPr="005D4222" w:rsidRDefault="00A872F0" w:rsidP="00A872F0">
            <w:pPr>
              <w:pStyle w:val="ECDSSub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398F9D84" w14:textId="77777777" w:rsidR="00CE3AE3" w:rsidRPr="005D4222" w:rsidRDefault="00CE3AE3" w:rsidP="00CE3AE3">
            <w:pPr>
              <w:pStyle w:val="ECDSBody"/>
            </w:pPr>
            <w:r w:rsidRPr="005D4222">
              <w:t xml:space="preserve">those products (e.g., the products included in the HEDIS reporting entity) is included in both rates. </w:t>
            </w:r>
          </w:p>
          <w:p w14:paraId="6F7705DC" w14:textId="7AEB8D10" w:rsidR="00A872F0" w:rsidRPr="005D4222" w:rsidRDefault="00A872F0" w:rsidP="00CE3AE3">
            <w:pPr>
              <w:pStyle w:val="Bullet"/>
              <w:spacing w:after="80"/>
              <w:rPr>
                <w:b/>
              </w:rPr>
            </w:pPr>
            <w:r w:rsidRPr="005D4222">
              <w:rPr>
                <w:i/>
                <w:iCs/>
              </w:rPr>
              <w:t>For example</w:t>
            </w:r>
            <w:r w:rsidRPr="005D4222">
              <w:t xml:space="preserve">, if an organization reports HMO and POS products combined and a person switches from HMO to POS between rate 1 </w:t>
            </w:r>
            <w:r w:rsidRPr="005D4222">
              <w:br/>
              <w:t>and rate 2 enrollment periods, the person is included in both rate 1 and rate 2.</w:t>
            </w:r>
            <w:r w:rsidRPr="005D4222">
              <w:rPr>
                <w:b/>
              </w:rPr>
              <w:t xml:space="preserve"> </w:t>
            </w:r>
          </w:p>
        </w:tc>
      </w:tr>
      <w:tr w:rsidR="00A872F0" w:rsidRPr="005D4222" w14:paraId="69B61ECD" w14:textId="77777777" w:rsidTr="00CE3AE3">
        <w:tc>
          <w:tcPr>
            <w:tcW w:w="9714" w:type="dxa"/>
            <w:gridSpan w:val="2"/>
            <w:tcBorders>
              <w:top w:val="single" w:sz="4" w:space="0" w:color="auto"/>
              <w:bottom w:val="single" w:sz="4" w:space="0" w:color="auto"/>
            </w:tcBorders>
            <w:shd w:val="clear" w:color="auto" w:fill="BFBFBF" w:themeFill="background1" w:themeFillShade="BF"/>
            <w:tcMar>
              <w:top w:w="0" w:type="dxa"/>
              <w:left w:w="86" w:type="dxa"/>
              <w:bottom w:w="43" w:type="dxa"/>
              <w:right w:w="86" w:type="dxa"/>
            </w:tcMar>
          </w:tcPr>
          <w:p w14:paraId="3C3F769C" w14:textId="77777777" w:rsidR="00A872F0" w:rsidRPr="005D4222" w:rsidRDefault="00A872F0" w:rsidP="00A53E8C">
            <w:pPr>
              <w:pStyle w:val="ECDSMarginHead"/>
            </w:pPr>
            <w:r w:rsidRPr="005D4222">
              <w:t xml:space="preserve">Definitions </w:t>
            </w:r>
          </w:p>
        </w:tc>
      </w:tr>
      <w:tr w:rsidR="00A872F0" w:rsidRPr="005D4222" w14:paraId="16E55F32" w14:textId="77777777" w:rsidTr="00CE3AE3">
        <w:tc>
          <w:tcPr>
            <w:tcW w:w="2157" w:type="dxa"/>
            <w:tcBorders>
              <w:top w:val="single" w:sz="4" w:space="0" w:color="auto"/>
              <w:bottom w:val="nil"/>
            </w:tcBorders>
            <w:tcMar>
              <w:top w:w="0" w:type="dxa"/>
              <w:left w:w="86" w:type="dxa"/>
              <w:bottom w:w="43" w:type="dxa"/>
              <w:right w:w="86" w:type="dxa"/>
            </w:tcMar>
          </w:tcPr>
          <w:p w14:paraId="0AC8A067" w14:textId="77777777" w:rsidR="00A872F0" w:rsidRPr="005D4222" w:rsidRDefault="00A872F0" w:rsidP="00CE3AE3">
            <w:pPr>
              <w:pStyle w:val="ECDSMarginSubhead"/>
              <w:spacing w:after="0"/>
            </w:pPr>
            <w:r w:rsidRPr="005D4222">
              <w:t>C&amp;M phase</w:t>
            </w:r>
          </w:p>
        </w:tc>
        <w:tc>
          <w:tcPr>
            <w:tcW w:w="7557" w:type="dxa"/>
            <w:tcBorders>
              <w:top w:val="single" w:sz="4" w:space="0" w:color="auto"/>
              <w:bottom w:val="nil"/>
            </w:tcBorders>
            <w:tcMar>
              <w:left w:w="86" w:type="dxa"/>
              <w:bottom w:w="43" w:type="dxa"/>
              <w:right w:w="86" w:type="dxa"/>
            </w:tcMar>
          </w:tcPr>
          <w:p w14:paraId="4DBE418B" w14:textId="77777777" w:rsidR="00A872F0" w:rsidRPr="005D4222" w:rsidRDefault="00A872F0" w:rsidP="00CE3AE3">
            <w:pPr>
              <w:pStyle w:val="ECDSBody"/>
              <w:spacing w:after="0"/>
            </w:pPr>
            <w:r w:rsidRPr="005D4222">
              <w:t xml:space="preserve">The 300 days following the IPSD. </w:t>
            </w:r>
          </w:p>
        </w:tc>
      </w:tr>
      <w:tr w:rsidR="00A872F0" w:rsidRPr="005D4222" w14:paraId="4BD1F1C2" w14:textId="77777777" w:rsidTr="00CE3AE3">
        <w:tc>
          <w:tcPr>
            <w:tcW w:w="2157" w:type="dxa"/>
            <w:tcBorders>
              <w:top w:val="nil"/>
              <w:bottom w:val="nil"/>
            </w:tcBorders>
            <w:tcMar>
              <w:top w:w="0" w:type="dxa"/>
              <w:left w:w="86" w:type="dxa"/>
              <w:bottom w:w="43" w:type="dxa"/>
              <w:right w:w="86" w:type="dxa"/>
            </w:tcMar>
          </w:tcPr>
          <w:p w14:paraId="7881B1A4" w14:textId="77777777" w:rsidR="00A872F0" w:rsidRPr="005D4222" w:rsidRDefault="00A872F0" w:rsidP="00CE3AE3">
            <w:pPr>
              <w:pStyle w:val="ECDSMarginSubhead"/>
              <w:spacing w:after="0"/>
            </w:pPr>
            <w:r w:rsidRPr="005D4222">
              <w:t xml:space="preserve">Continuous </w:t>
            </w:r>
            <w:r w:rsidRPr="005D4222">
              <w:rPr>
                <w:bCs/>
              </w:rPr>
              <w:t xml:space="preserve">medication </w:t>
            </w:r>
            <w:r w:rsidRPr="005D4222">
              <w:t>treatment</w:t>
            </w:r>
          </w:p>
        </w:tc>
        <w:tc>
          <w:tcPr>
            <w:tcW w:w="7557" w:type="dxa"/>
            <w:tcBorders>
              <w:top w:val="nil"/>
              <w:bottom w:val="nil"/>
            </w:tcBorders>
            <w:tcMar>
              <w:left w:w="86" w:type="dxa"/>
              <w:bottom w:w="43" w:type="dxa"/>
              <w:right w:w="86" w:type="dxa"/>
            </w:tcMar>
          </w:tcPr>
          <w:p w14:paraId="2288CE6D" w14:textId="77777777" w:rsidR="00A872F0" w:rsidRPr="005D4222" w:rsidRDefault="00A872F0" w:rsidP="00CE3AE3">
            <w:pPr>
              <w:pStyle w:val="ECDSBody"/>
              <w:spacing w:after="0"/>
              <w:rPr>
                <w:b/>
              </w:rPr>
            </w:pPr>
            <w:r w:rsidRPr="005D4222">
              <w:t xml:space="preserve">There must be ≥210 treatment days during the 301-day period, with allowed gaps in medication of up to a total of 91 days. </w:t>
            </w:r>
          </w:p>
          <w:p w14:paraId="7563EA29" w14:textId="77777777" w:rsidR="00A872F0" w:rsidRPr="005D4222" w:rsidRDefault="00A872F0" w:rsidP="00CE3AE3">
            <w:pPr>
              <w:pStyle w:val="ECDSBody"/>
              <w:spacing w:after="0"/>
              <w:rPr>
                <w:b/>
              </w:rPr>
            </w:pPr>
            <w:r w:rsidRPr="005D4222">
              <w:t xml:space="preserve">Gaps may include either washout period gaps to change medication or treatment gaps to refill the same medication. </w:t>
            </w:r>
          </w:p>
          <w:p w14:paraId="151B1A70" w14:textId="77777777" w:rsidR="00A872F0" w:rsidRPr="005D4222" w:rsidRDefault="00A872F0" w:rsidP="00CE3AE3">
            <w:pPr>
              <w:pStyle w:val="ECDSBody"/>
              <w:spacing w:after="0"/>
            </w:pPr>
            <w:r w:rsidRPr="005D4222">
              <w:t xml:space="preserve">Regardless of the number of gaps, there may not be more than 91 total gap days. Count any combination of gaps (e.g., one washout gap of 14 days and numerous weekend drug holidays). </w:t>
            </w:r>
          </w:p>
        </w:tc>
      </w:tr>
      <w:tr w:rsidR="000B19F1" w:rsidRPr="005D4222" w14:paraId="3D430CBC" w14:textId="77777777" w:rsidTr="007B5FC3">
        <w:tc>
          <w:tcPr>
            <w:tcW w:w="2157" w:type="dxa"/>
            <w:tcBorders>
              <w:top w:val="nil"/>
              <w:bottom w:val="nil"/>
            </w:tcBorders>
            <w:tcMar>
              <w:top w:w="0" w:type="dxa"/>
              <w:left w:w="86" w:type="dxa"/>
              <w:bottom w:w="43" w:type="dxa"/>
              <w:right w:w="86" w:type="dxa"/>
            </w:tcMar>
          </w:tcPr>
          <w:p w14:paraId="0992AA92" w14:textId="6064DF5D" w:rsidR="000B19F1" w:rsidRPr="005D4222" w:rsidRDefault="000B19F1" w:rsidP="00CE3AE3">
            <w:pPr>
              <w:pStyle w:val="ECDSSubhead"/>
            </w:pPr>
            <w:r w:rsidRPr="005D4222">
              <w:t>Identifying same or different drugs</w:t>
            </w:r>
          </w:p>
        </w:tc>
        <w:tc>
          <w:tcPr>
            <w:tcW w:w="7557" w:type="dxa"/>
            <w:tcBorders>
              <w:top w:val="nil"/>
              <w:bottom w:val="nil"/>
            </w:tcBorders>
            <w:tcMar>
              <w:left w:w="86" w:type="dxa"/>
              <w:bottom w:w="43" w:type="dxa"/>
              <w:right w:w="86" w:type="dxa"/>
            </w:tcMar>
          </w:tcPr>
          <w:p w14:paraId="6F87C708" w14:textId="77777777" w:rsidR="000B19F1" w:rsidRPr="005D4222" w:rsidRDefault="000B19F1" w:rsidP="000B19F1">
            <w:pPr>
              <w:pStyle w:val="ECDSBody"/>
              <w:spacing w:after="0"/>
            </w:pPr>
            <w:r w:rsidRPr="005D4222">
              <w:t>Dispensing events from different medication value sets are considered different drugs; dispensing events from the same medication value set are considered the same drug. Use all of the medication lists below to identify ADHD dispensing events.</w:t>
            </w:r>
          </w:p>
          <w:p w14:paraId="46EB79EA" w14:textId="77777777" w:rsidR="000B19F1" w:rsidRPr="005D4222" w:rsidRDefault="000B19F1" w:rsidP="000B19F1">
            <w:pPr>
              <w:pStyle w:val="Bullet"/>
              <w:numPr>
                <w:ilvl w:val="0"/>
                <w:numId w:val="4"/>
              </w:numPr>
              <w:ind w:left="576" w:hanging="216"/>
              <w:rPr>
                <w:u w:val="single"/>
              </w:rPr>
            </w:pPr>
            <w:r w:rsidRPr="005D4222">
              <w:rPr>
                <w:u w:val="single"/>
              </w:rPr>
              <w:t>Dexmethylphenidate Medications List</w:t>
            </w:r>
            <w:r w:rsidRPr="005D4222">
              <w:t>.</w:t>
            </w:r>
          </w:p>
          <w:p w14:paraId="52B0D129" w14:textId="77777777" w:rsidR="000B19F1" w:rsidRPr="005D4222" w:rsidRDefault="000B19F1" w:rsidP="000B19F1">
            <w:pPr>
              <w:pStyle w:val="Bullet"/>
              <w:numPr>
                <w:ilvl w:val="0"/>
                <w:numId w:val="4"/>
              </w:numPr>
              <w:ind w:left="576" w:hanging="216"/>
              <w:rPr>
                <w:u w:val="single"/>
              </w:rPr>
            </w:pPr>
            <w:r w:rsidRPr="005D4222">
              <w:rPr>
                <w:u w:val="single"/>
              </w:rPr>
              <w:t>Dextroamphetamine Medications List</w:t>
            </w:r>
            <w:r w:rsidRPr="005D4222">
              <w:t>.</w:t>
            </w:r>
          </w:p>
          <w:p w14:paraId="6454F2DA" w14:textId="77777777" w:rsidR="000B19F1" w:rsidRPr="005D4222" w:rsidRDefault="000B19F1" w:rsidP="000B19F1">
            <w:pPr>
              <w:pStyle w:val="Bullet"/>
              <w:numPr>
                <w:ilvl w:val="0"/>
                <w:numId w:val="4"/>
              </w:numPr>
              <w:ind w:left="576" w:hanging="216"/>
              <w:rPr>
                <w:u w:val="single"/>
              </w:rPr>
            </w:pPr>
            <w:r w:rsidRPr="005D4222">
              <w:rPr>
                <w:u w:val="single"/>
              </w:rPr>
              <w:t>Lisdexamfetamine Medications List</w:t>
            </w:r>
            <w:r w:rsidRPr="005D4222">
              <w:t>.</w:t>
            </w:r>
          </w:p>
          <w:p w14:paraId="29F570AF" w14:textId="77777777" w:rsidR="000B19F1" w:rsidRPr="005D4222" w:rsidRDefault="000B19F1" w:rsidP="000B19F1">
            <w:pPr>
              <w:pStyle w:val="Bullet"/>
              <w:numPr>
                <w:ilvl w:val="0"/>
                <w:numId w:val="4"/>
              </w:numPr>
              <w:ind w:left="576" w:hanging="216"/>
              <w:rPr>
                <w:u w:val="single"/>
              </w:rPr>
            </w:pPr>
            <w:r w:rsidRPr="005D4222">
              <w:rPr>
                <w:u w:val="single"/>
              </w:rPr>
              <w:t>Methylphenidate Medications List</w:t>
            </w:r>
            <w:r w:rsidRPr="005D4222">
              <w:t>.</w:t>
            </w:r>
          </w:p>
          <w:p w14:paraId="47F0BB19" w14:textId="77777777" w:rsidR="000B19F1" w:rsidRPr="005D4222" w:rsidRDefault="000B19F1" w:rsidP="000B19F1">
            <w:pPr>
              <w:pStyle w:val="Bullet"/>
              <w:numPr>
                <w:ilvl w:val="0"/>
                <w:numId w:val="4"/>
              </w:numPr>
              <w:ind w:left="576" w:hanging="216"/>
              <w:rPr>
                <w:u w:val="single"/>
              </w:rPr>
            </w:pPr>
            <w:r w:rsidRPr="005D4222">
              <w:rPr>
                <w:u w:val="single"/>
              </w:rPr>
              <w:t>Methamphetamine Medications List</w:t>
            </w:r>
            <w:r w:rsidRPr="005D4222">
              <w:t>.</w:t>
            </w:r>
          </w:p>
          <w:p w14:paraId="79467988" w14:textId="77777777" w:rsidR="000B19F1" w:rsidRPr="005D4222" w:rsidRDefault="000B19F1" w:rsidP="000B19F1">
            <w:pPr>
              <w:pStyle w:val="Bullet"/>
              <w:numPr>
                <w:ilvl w:val="0"/>
                <w:numId w:val="4"/>
              </w:numPr>
              <w:ind w:left="576" w:hanging="216"/>
              <w:rPr>
                <w:u w:val="single"/>
              </w:rPr>
            </w:pPr>
            <w:r w:rsidRPr="005D4222">
              <w:rPr>
                <w:u w:val="single"/>
              </w:rPr>
              <w:t>Clonidine Medications List</w:t>
            </w:r>
            <w:r w:rsidRPr="005D4222">
              <w:t>.</w:t>
            </w:r>
          </w:p>
          <w:p w14:paraId="1FB1533D" w14:textId="77777777" w:rsidR="000B19F1" w:rsidRPr="005D4222" w:rsidRDefault="000B19F1" w:rsidP="000B19F1">
            <w:pPr>
              <w:pStyle w:val="Bullet"/>
              <w:numPr>
                <w:ilvl w:val="0"/>
                <w:numId w:val="4"/>
              </w:numPr>
              <w:ind w:left="576" w:hanging="216"/>
              <w:rPr>
                <w:u w:val="single"/>
              </w:rPr>
            </w:pPr>
            <w:r w:rsidRPr="005D4222">
              <w:rPr>
                <w:u w:val="single"/>
              </w:rPr>
              <w:t>Guanfacine Medications List</w:t>
            </w:r>
            <w:r w:rsidRPr="005D4222">
              <w:t>.</w:t>
            </w:r>
          </w:p>
          <w:p w14:paraId="70D31650" w14:textId="77777777" w:rsidR="000B19F1" w:rsidRPr="005D4222" w:rsidRDefault="000B19F1" w:rsidP="000B19F1">
            <w:pPr>
              <w:pStyle w:val="Bullet"/>
              <w:numPr>
                <w:ilvl w:val="0"/>
                <w:numId w:val="4"/>
              </w:numPr>
              <w:ind w:left="576" w:hanging="216"/>
              <w:rPr>
                <w:u w:val="single"/>
              </w:rPr>
            </w:pPr>
            <w:r w:rsidRPr="005D4222">
              <w:rPr>
                <w:u w:val="single"/>
              </w:rPr>
              <w:t>Atomoxetine Medications List</w:t>
            </w:r>
            <w:r w:rsidRPr="005D4222">
              <w:t>.</w:t>
            </w:r>
          </w:p>
          <w:p w14:paraId="5AA66A26" w14:textId="7EE42422" w:rsidR="000B19F1" w:rsidRPr="005D4222" w:rsidRDefault="000B19F1" w:rsidP="00D34508">
            <w:pPr>
              <w:pStyle w:val="Bullet"/>
              <w:numPr>
                <w:ilvl w:val="0"/>
                <w:numId w:val="4"/>
              </w:numPr>
              <w:spacing w:after="40"/>
              <w:ind w:left="576" w:hanging="216"/>
            </w:pPr>
            <w:r w:rsidRPr="005D4222">
              <w:rPr>
                <w:u w:val="single"/>
              </w:rPr>
              <w:t>Viloxazine Medications List</w:t>
            </w:r>
            <w:r w:rsidRPr="005D4222">
              <w:t>.</w:t>
            </w:r>
          </w:p>
        </w:tc>
      </w:tr>
      <w:tr w:rsidR="00A872F0" w:rsidRPr="005D4222" w14:paraId="325D6885" w14:textId="77777777" w:rsidTr="007B5FC3">
        <w:tc>
          <w:tcPr>
            <w:tcW w:w="2157" w:type="dxa"/>
            <w:tcBorders>
              <w:top w:val="nil"/>
              <w:bottom w:val="nil"/>
            </w:tcBorders>
            <w:tcMar>
              <w:top w:w="0" w:type="dxa"/>
              <w:left w:w="86" w:type="dxa"/>
              <w:bottom w:w="43" w:type="dxa"/>
              <w:right w:w="86" w:type="dxa"/>
            </w:tcMar>
          </w:tcPr>
          <w:p w14:paraId="79C432CC" w14:textId="77777777" w:rsidR="00A872F0" w:rsidRPr="005D4222" w:rsidRDefault="00A872F0" w:rsidP="00CE3AE3">
            <w:pPr>
              <w:pStyle w:val="ECDSSubhead"/>
            </w:pPr>
            <w:r w:rsidRPr="005D4222">
              <w:t>Initiation phase</w:t>
            </w:r>
          </w:p>
        </w:tc>
        <w:tc>
          <w:tcPr>
            <w:tcW w:w="7557" w:type="dxa"/>
            <w:tcBorders>
              <w:top w:val="nil"/>
              <w:bottom w:val="nil"/>
            </w:tcBorders>
            <w:tcMar>
              <w:left w:w="86" w:type="dxa"/>
              <w:bottom w:w="43" w:type="dxa"/>
              <w:right w:w="86" w:type="dxa"/>
            </w:tcMar>
          </w:tcPr>
          <w:p w14:paraId="76DDB45E" w14:textId="77777777" w:rsidR="00A872F0" w:rsidRPr="005D4222" w:rsidRDefault="00A872F0" w:rsidP="00CE3AE3">
            <w:pPr>
              <w:pStyle w:val="ECDSBody"/>
              <w:spacing w:after="0"/>
            </w:pPr>
            <w:r w:rsidRPr="005D4222">
              <w:t xml:space="preserve">The 30 days following the IPSD. </w:t>
            </w:r>
          </w:p>
        </w:tc>
      </w:tr>
      <w:tr w:rsidR="00A872F0" w:rsidRPr="005D4222" w14:paraId="4718C8FD" w14:textId="77777777" w:rsidTr="007B5FC3">
        <w:tc>
          <w:tcPr>
            <w:tcW w:w="2157" w:type="dxa"/>
            <w:tcBorders>
              <w:top w:val="nil"/>
              <w:bottom w:val="nil"/>
            </w:tcBorders>
            <w:tcMar>
              <w:top w:w="0" w:type="dxa"/>
              <w:left w:w="86" w:type="dxa"/>
              <w:bottom w:w="43" w:type="dxa"/>
              <w:right w:w="86" w:type="dxa"/>
            </w:tcMar>
          </w:tcPr>
          <w:p w14:paraId="447F7F39" w14:textId="77777777" w:rsidR="00A872F0" w:rsidRPr="005D4222" w:rsidRDefault="00A872F0" w:rsidP="00CE3AE3">
            <w:pPr>
              <w:pStyle w:val="ECDSSubhead"/>
            </w:pPr>
            <w:r w:rsidRPr="005D4222">
              <w:t>Intake period</w:t>
            </w:r>
          </w:p>
        </w:tc>
        <w:tc>
          <w:tcPr>
            <w:tcW w:w="7557" w:type="dxa"/>
            <w:tcBorders>
              <w:top w:val="nil"/>
              <w:bottom w:val="nil"/>
            </w:tcBorders>
            <w:tcMar>
              <w:left w:w="86" w:type="dxa"/>
              <w:bottom w:w="43" w:type="dxa"/>
              <w:right w:w="86" w:type="dxa"/>
            </w:tcMar>
          </w:tcPr>
          <w:p w14:paraId="6A407D6E" w14:textId="77777777" w:rsidR="00A872F0" w:rsidRPr="005D4222" w:rsidRDefault="00A872F0" w:rsidP="00CE3AE3">
            <w:pPr>
              <w:pStyle w:val="ECDSBody"/>
              <w:spacing w:after="0"/>
            </w:pPr>
            <w:r w:rsidRPr="005D4222">
              <w:t xml:space="preserve">March 1 of the year prior to the measurement period through the last calendar day of February of the measurement period. </w:t>
            </w:r>
          </w:p>
        </w:tc>
      </w:tr>
      <w:tr w:rsidR="00A872F0" w:rsidRPr="005D4222" w14:paraId="2E3AB92F" w14:textId="77777777" w:rsidTr="007B5FC3">
        <w:tc>
          <w:tcPr>
            <w:tcW w:w="2157" w:type="dxa"/>
            <w:tcBorders>
              <w:top w:val="nil"/>
              <w:bottom w:val="nil"/>
            </w:tcBorders>
            <w:tcMar>
              <w:top w:w="0" w:type="dxa"/>
              <w:left w:w="86" w:type="dxa"/>
              <w:bottom w:w="43" w:type="dxa"/>
              <w:right w:w="86" w:type="dxa"/>
            </w:tcMar>
          </w:tcPr>
          <w:p w14:paraId="1CE37E8F" w14:textId="77777777" w:rsidR="00A872F0" w:rsidRPr="005D4222" w:rsidRDefault="00A872F0" w:rsidP="00CE3AE3">
            <w:pPr>
              <w:pStyle w:val="ECDSSubhead"/>
            </w:pPr>
            <w:r w:rsidRPr="005D4222">
              <w:t>IPSD</w:t>
            </w:r>
          </w:p>
        </w:tc>
        <w:tc>
          <w:tcPr>
            <w:tcW w:w="7557" w:type="dxa"/>
            <w:tcBorders>
              <w:top w:val="nil"/>
              <w:bottom w:val="nil"/>
            </w:tcBorders>
            <w:tcMar>
              <w:left w:w="86" w:type="dxa"/>
              <w:bottom w:w="43" w:type="dxa"/>
              <w:right w:w="86" w:type="dxa"/>
            </w:tcMar>
          </w:tcPr>
          <w:p w14:paraId="5E7AF5F6" w14:textId="77777777" w:rsidR="00A872F0" w:rsidRPr="005D4222" w:rsidRDefault="00A872F0" w:rsidP="00CE3AE3">
            <w:pPr>
              <w:pStyle w:val="ECDSBody"/>
              <w:spacing w:after="0"/>
            </w:pPr>
            <w:r w:rsidRPr="005D4222">
              <w:t xml:space="preserve">Index prescription start date. The earliest prescription dispensing date for an ADHD medication where the date is in the intake period and there is a negative medication history. </w:t>
            </w:r>
          </w:p>
        </w:tc>
      </w:tr>
      <w:tr w:rsidR="00A872F0" w:rsidRPr="005D4222" w14:paraId="17CB4F46" w14:textId="77777777" w:rsidTr="007B5FC3">
        <w:tc>
          <w:tcPr>
            <w:tcW w:w="2157" w:type="dxa"/>
            <w:tcBorders>
              <w:top w:val="nil"/>
              <w:bottom w:val="nil"/>
            </w:tcBorders>
            <w:tcMar>
              <w:top w:w="0" w:type="dxa"/>
              <w:left w:w="86" w:type="dxa"/>
              <w:bottom w:w="43" w:type="dxa"/>
              <w:right w:w="86" w:type="dxa"/>
            </w:tcMar>
          </w:tcPr>
          <w:p w14:paraId="1DDEF93F" w14:textId="77777777" w:rsidR="00A872F0" w:rsidRPr="005D4222" w:rsidRDefault="00A872F0" w:rsidP="00CE3AE3">
            <w:pPr>
              <w:pStyle w:val="ECDSSubhead"/>
            </w:pPr>
            <w:r w:rsidRPr="005D4222">
              <w:t xml:space="preserve">Negative </w:t>
            </w:r>
            <w:r w:rsidRPr="005D4222">
              <w:rPr>
                <w:bCs/>
              </w:rPr>
              <w:t xml:space="preserve">medication </w:t>
            </w:r>
            <w:r w:rsidRPr="005D4222">
              <w:t>history</w:t>
            </w:r>
          </w:p>
        </w:tc>
        <w:tc>
          <w:tcPr>
            <w:tcW w:w="7557" w:type="dxa"/>
            <w:tcBorders>
              <w:top w:val="nil"/>
              <w:bottom w:val="nil"/>
            </w:tcBorders>
            <w:tcMar>
              <w:left w:w="86" w:type="dxa"/>
              <w:bottom w:w="43" w:type="dxa"/>
              <w:right w:w="86" w:type="dxa"/>
            </w:tcMar>
          </w:tcPr>
          <w:p w14:paraId="0E0CB012" w14:textId="77777777" w:rsidR="00A872F0" w:rsidRPr="005D4222" w:rsidRDefault="00A872F0" w:rsidP="00CE3AE3">
            <w:pPr>
              <w:pStyle w:val="ECDSBody"/>
              <w:spacing w:after="0"/>
            </w:pPr>
            <w:r w:rsidRPr="005D4222">
              <w:t xml:space="preserve">A period of 120 days prior to the IPSD when the person had no ADHD medications dispensed for either new or refill prescriptions. </w:t>
            </w:r>
          </w:p>
        </w:tc>
      </w:tr>
      <w:tr w:rsidR="00A872F0" w:rsidRPr="005D4222" w14:paraId="2CD06B05" w14:textId="77777777" w:rsidTr="007B5FC3">
        <w:tc>
          <w:tcPr>
            <w:tcW w:w="2157" w:type="dxa"/>
            <w:tcBorders>
              <w:top w:val="nil"/>
              <w:bottom w:val="single" w:sz="4" w:space="0" w:color="auto"/>
            </w:tcBorders>
            <w:tcMar>
              <w:top w:w="0" w:type="dxa"/>
              <w:left w:w="86" w:type="dxa"/>
              <w:bottom w:w="43" w:type="dxa"/>
              <w:right w:w="86" w:type="dxa"/>
            </w:tcMar>
          </w:tcPr>
          <w:p w14:paraId="6DACF4C3" w14:textId="77777777" w:rsidR="00A872F0" w:rsidRPr="005D4222" w:rsidRDefault="00A872F0" w:rsidP="00CE3AE3">
            <w:pPr>
              <w:pStyle w:val="ECDSSubhead"/>
            </w:pPr>
            <w:r w:rsidRPr="005D4222">
              <w:t>Treatment days (covered days)</w:t>
            </w:r>
          </w:p>
        </w:tc>
        <w:tc>
          <w:tcPr>
            <w:tcW w:w="7557" w:type="dxa"/>
            <w:tcBorders>
              <w:top w:val="nil"/>
              <w:bottom w:val="single" w:sz="4" w:space="0" w:color="auto"/>
            </w:tcBorders>
            <w:tcMar>
              <w:left w:w="86" w:type="dxa"/>
              <w:bottom w:w="43" w:type="dxa"/>
              <w:right w:w="86" w:type="dxa"/>
            </w:tcMar>
          </w:tcPr>
          <w:p w14:paraId="1F36CFDB" w14:textId="77777777" w:rsidR="00A872F0" w:rsidRPr="005D4222" w:rsidRDefault="00A872F0" w:rsidP="00A53E8C">
            <w:pPr>
              <w:pStyle w:val="ECDSBody"/>
            </w:pPr>
            <w:r w:rsidRPr="005D4222">
              <w:t>The actual number of calendar days covered by prescriptions during the 301-day period.</w:t>
            </w:r>
          </w:p>
          <w:p w14:paraId="2AE84CA0" w14:textId="1F6FB531" w:rsidR="00A872F0" w:rsidRPr="005D4222" w:rsidRDefault="00A872F0" w:rsidP="00A872F0">
            <w:pPr>
              <w:pStyle w:val="ECDSBody"/>
            </w:pPr>
            <w:r w:rsidRPr="005D4222">
              <w:t>Use the following steps to identify and calculate covered days.</w:t>
            </w:r>
          </w:p>
        </w:tc>
      </w:tr>
      <w:tr w:rsidR="00A872F0" w:rsidRPr="005D4222" w14:paraId="45F431E6" w14:textId="77777777" w:rsidTr="007B5FC3">
        <w:tc>
          <w:tcPr>
            <w:tcW w:w="2157" w:type="dxa"/>
            <w:tcBorders>
              <w:top w:val="single" w:sz="4" w:space="0" w:color="auto"/>
              <w:bottom w:val="single" w:sz="4" w:space="0" w:color="auto"/>
            </w:tcBorders>
            <w:tcMar>
              <w:top w:w="0" w:type="dxa"/>
              <w:left w:w="86" w:type="dxa"/>
              <w:bottom w:w="43" w:type="dxa"/>
              <w:right w:w="86" w:type="dxa"/>
            </w:tcMar>
          </w:tcPr>
          <w:p w14:paraId="56478406" w14:textId="77777777" w:rsidR="00A872F0" w:rsidRPr="005D4222" w:rsidRDefault="00A872F0" w:rsidP="00A53E8C">
            <w:pPr>
              <w:pStyle w:val="ECDSMarginSubhead"/>
            </w:pPr>
          </w:p>
        </w:tc>
        <w:tc>
          <w:tcPr>
            <w:tcW w:w="7557" w:type="dxa"/>
            <w:tcBorders>
              <w:top w:val="single" w:sz="4" w:space="0" w:color="auto"/>
              <w:bottom w:val="single" w:sz="4" w:space="0" w:color="auto"/>
            </w:tcBorders>
            <w:tcMar>
              <w:left w:w="86" w:type="dxa"/>
              <w:bottom w:w="43" w:type="dxa"/>
              <w:right w:w="86" w:type="dxa"/>
            </w:tcMar>
          </w:tcPr>
          <w:p w14:paraId="6B4224F1" w14:textId="77777777" w:rsidR="00A872F0" w:rsidRPr="005D4222" w:rsidRDefault="00A872F0" w:rsidP="00A872F0">
            <w:pPr>
              <w:pStyle w:val="ECDSBody"/>
            </w:pPr>
            <w:r w:rsidRPr="005D4222">
              <w:rPr>
                <w:b/>
              </w:rPr>
              <w:t>Step 1</w:t>
            </w:r>
            <w:r w:rsidRPr="005D4222">
              <w:rPr>
                <w:b/>
                <w:i/>
                <w:iCs/>
              </w:rPr>
              <w:t>.</w:t>
            </w:r>
            <w:r w:rsidRPr="005D4222">
              <w:t xml:space="preserve"> Identify dispensing events where multiple prescriptions for the same medication are dispensed with overlapping days supply (i.e., dispensed on the same day or dispensed on different days with overlapping days supply). Sum the days supply for these dispensing events.</w:t>
            </w:r>
          </w:p>
          <w:p w14:paraId="10A0B60C" w14:textId="77777777" w:rsidR="00A872F0" w:rsidRPr="005D4222" w:rsidRDefault="00A872F0" w:rsidP="00A53E8C">
            <w:pPr>
              <w:pStyle w:val="ECDSBody"/>
            </w:pPr>
            <w:r w:rsidRPr="005D4222">
              <w:t xml:space="preserve">Identify the start and end dates. The start date is the date of service of the earliest dispensing event, and the end date is the start date plus the summed days supply minus 1. The start date through the end date are considered covered days. </w:t>
            </w:r>
          </w:p>
          <w:p w14:paraId="00749200" w14:textId="77777777" w:rsidR="00A872F0" w:rsidRPr="005D4222" w:rsidRDefault="00A872F0" w:rsidP="00A872F0">
            <w:pPr>
              <w:pStyle w:val="Bullet"/>
              <w:numPr>
                <w:ilvl w:val="0"/>
                <w:numId w:val="4"/>
              </w:numPr>
              <w:ind w:left="576" w:hanging="216"/>
              <w:rPr>
                <w:i/>
                <w:iCs/>
              </w:rPr>
            </w:pPr>
            <w:r w:rsidRPr="005D4222">
              <w:rPr>
                <w:i/>
                <w:iCs/>
              </w:rPr>
              <w:t>For example:</w:t>
            </w:r>
          </w:p>
          <w:p w14:paraId="1311C0DA" w14:textId="4169EAD6" w:rsidR="00A872F0" w:rsidRPr="005D4222" w:rsidRDefault="00A872F0" w:rsidP="00A872F0">
            <w:pPr>
              <w:pStyle w:val="Dash"/>
            </w:pPr>
            <w:r w:rsidRPr="005D4222">
              <w:t>If there are three 7</w:t>
            </w:r>
            <w:r w:rsidR="00CF717A" w:rsidRPr="005D4222">
              <w:t xml:space="preserve"> </w:t>
            </w:r>
            <w:r w:rsidRPr="005D4222">
              <w:t>days supply dispensing events for the same medication on January 1, the start date is January 1 and the end date is January 21. Covered days include January 1–21.</w:t>
            </w:r>
          </w:p>
          <w:p w14:paraId="2B201D2D" w14:textId="48136C61" w:rsidR="00A872F0" w:rsidRPr="005D4222" w:rsidRDefault="00A872F0" w:rsidP="00A872F0">
            <w:pPr>
              <w:pStyle w:val="Dash"/>
            </w:pPr>
            <w:r w:rsidRPr="005D4222">
              <w:t>If there are two 7</w:t>
            </w:r>
            <w:r w:rsidR="00CF717A" w:rsidRPr="005D4222">
              <w:t xml:space="preserve"> </w:t>
            </w:r>
            <w:r w:rsidRPr="005D4222">
              <w:t>days supply dispensing events for the same medication on January 1 and January 5, the start date is January 1 and the end date is January 14. Covered days include January 1–14.</w:t>
            </w:r>
          </w:p>
          <w:p w14:paraId="0A0C0C3F" w14:textId="2A70B8B4" w:rsidR="00A872F0" w:rsidRPr="005D4222" w:rsidRDefault="00A872F0" w:rsidP="00A872F0">
            <w:pPr>
              <w:pStyle w:val="Dash"/>
            </w:pPr>
            <w:r w:rsidRPr="005D4222">
              <w:t>If there are three 7</w:t>
            </w:r>
            <w:r w:rsidR="00CF717A" w:rsidRPr="005D4222">
              <w:t xml:space="preserve"> </w:t>
            </w:r>
            <w:r w:rsidRPr="005D4222">
              <w:t>days supply dispensing events for the same medication on January 1, a 7</w:t>
            </w:r>
            <w:r w:rsidR="00CF717A" w:rsidRPr="005D4222">
              <w:t xml:space="preserve"> </w:t>
            </w:r>
            <w:r w:rsidRPr="005D4222">
              <w:t>days supply dispensing event on January 20 and a 7</w:t>
            </w:r>
            <w:r w:rsidR="00CF717A" w:rsidRPr="005D4222">
              <w:t xml:space="preserve"> </w:t>
            </w:r>
            <w:r w:rsidRPr="005D4222">
              <w:t>days supply dispensing event on January 28, the start date is January 1 and the end date is February 4. Covered days include January 1–February 4.</w:t>
            </w:r>
          </w:p>
          <w:p w14:paraId="0B3E9442" w14:textId="77777777" w:rsidR="00A872F0" w:rsidRPr="005D4222" w:rsidRDefault="00A872F0" w:rsidP="00A53E8C">
            <w:pPr>
              <w:pStyle w:val="Note"/>
            </w:pPr>
            <w:r w:rsidRPr="005D4222">
              <w:rPr>
                <w:b/>
              </w:rPr>
              <w:t>Note:</w:t>
            </w:r>
            <w:r w:rsidRPr="005D4222">
              <w:t xml:space="preserve"> This step assumes that the person will take one prescription at a time (and start taking the next prescription after exhausting the previous prescription).</w:t>
            </w:r>
          </w:p>
          <w:p w14:paraId="7ACA6F1E" w14:textId="77777777" w:rsidR="00A872F0" w:rsidRPr="005D4222" w:rsidRDefault="00A872F0" w:rsidP="00A53E8C">
            <w:pPr>
              <w:pStyle w:val="ECDSBody"/>
            </w:pPr>
            <w:r w:rsidRPr="005D4222">
              <w:rPr>
                <w:b/>
                <w:iCs/>
              </w:rPr>
              <w:t>Step 2</w:t>
            </w:r>
            <w:r w:rsidRPr="005D4222">
              <w:rPr>
                <w:b/>
                <w:i/>
                <w:iCs/>
              </w:rPr>
              <w:t>.</w:t>
            </w:r>
            <w:r w:rsidRPr="005D4222">
              <w:t xml:space="preserve"> For all other dispensing events (multiple prescriptions for the same medication on different days without overlap; multiple prescriptions for different medications on the same or different days, with or without overlap), identify the start and end dates for each dispensing event individually. The start date through the end date are considered covered days.</w:t>
            </w:r>
          </w:p>
          <w:p w14:paraId="4315D0DD" w14:textId="77777777" w:rsidR="00A872F0" w:rsidRPr="005D4222" w:rsidRDefault="00A872F0" w:rsidP="00A53E8C">
            <w:pPr>
              <w:pStyle w:val="Note"/>
            </w:pPr>
            <w:r w:rsidRPr="005D4222">
              <w:rPr>
                <w:b/>
                <w:bCs/>
              </w:rPr>
              <w:t>Note:</w:t>
            </w:r>
            <w:r w:rsidRPr="005D4222">
              <w:t xml:space="preserve"> This step assumes the person will take the different medications concurrently.</w:t>
            </w:r>
          </w:p>
          <w:p w14:paraId="36FA935D" w14:textId="77777777" w:rsidR="00A872F0" w:rsidRPr="005D4222" w:rsidRDefault="00A872F0" w:rsidP="00A53E8C">
            <w:pPr>
              <w:pStyle w:val="ECDSBody"/>
            </w:pPr>
            <w:r w:rsidRPr="005D4222">
              <w:rPr>
                <w:b/>
                <w:iCs/>
              </w:rPr>
              <w:t>Step 3</w:t>
            </w:r>
            <w:r w:rsidRPr="005D4222">
              <w:rPr>
                <w:b/>
                <w:i/>
                <w:iCs/>
              </w:rPr>
              <w:t>.</w:t>
            </w:r>
            <w:r w:rsidRPr="005D4222">
              <w:rPr>
                <w:b/>
                <w:i/>
              </w:rPr>
              <w:t xml:space="preserve"> </w:t>
            </w:r>
            <w:r w:rsidRPr="005D4222">
              <w:t>Count the covered days. Consider each calendar day covered by one or more medications to be 1 covered day.</w:t>
            </w:r>
          </w:p>
        </w:tc>
      </w:tr>
      <w:tr w:rsidR="00A872F0" w:rsidRPr="005D4222" w14:paraId="34EA5A93" w14:textId="77777777" w:rsidTr="00A53E8C">
        <w:trPr>
          <w:trHeight w:val="320"/>
        </w:trPr>
        <w:tc>
          <w:tcPr>
            <w:tcW w:w="2157" w:type="dxa"/>
            <w:tcBorders>
              <w:top w:val="single" w:sz="4" w:space="0" w:color="auto"/>
            </w:tcBorders>
            <w:shd w:val="clear" w:color="auto" w:fill="BFBFBF" w:themeFill="background1" w:themeFillShade="BF"/>
            <w:tcMar>
              <w:top w:w="0" w:type="dxa"/>
              <w:left w:w="86" w:type="dxa"/>
              <w:bottom w:w="43" w:type="dxa"/>
              <w:right w:w="86" w:type="dxa"/>
            </w:tcMar>
          </w:tcPr>
          <w:p w14:paraId="442B1999" w14:textId="77777777" w:rsidR="00A872F0" w:rsidRPr="005D4222" w:rsidRDefault="00A872F0" w:rsidP="00A53E8C">
            <w:pPr>
              <w:pStyle w:val="ECDSMarginHead"/>
            </w:pPr>
            <w:r w:rsidRPr="005D4222">
              <w:t>Initial population</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481E2A4" w14:textId="77777777" w:rsidR="00A872F0" w:rsidRPr="005D4222" w:rsidRDefault="00A872F0" w:rsidP="00A53E8C">
            <w:pPr>
              <w:pStyle w:val="ECDSBody"/>
            </w:pPr>
            <w:r w:rsidRPr="005D4222">
              <w:rPr>
                <w:i/>
                <w:iCs/>
              </w:rPr>
              <w:t xml:space="preserve">Measure item count: </w:t>
            </w:r>
            <w:r w:rsidRPr="005D4222">
              <w:t>Person.</w:t>
            </w:r>
          </w:p>
          <w:p w14:paraId="45E0822C" w14:textId="6199DE60" w:rsidR="00A872F0" w:rsidRPr="005D4222" w:rsidRDefault="00F10378" w:rsidP="00A53E8C">
            <w:pPr>
              <w:pStyle w:val="ECDSBody"/>
            </w:pPr>
            <w:r w:rsidRPr="005D4222">
              <w:rPr>
                <w:i/>
                <w:iCs/>
              </w:rPr>
              <w:t>Attribution basis:</w:t>
            </w:r>
            <w:r w:rsidR="00A872F0" w:rsidRPr="005D4222">
              <w:rPr>
                <w:i/>
                <w:iCs/>
              </w:rPr>
              <w:t xml:space="preserve"> </w:t>
            </w:r>
            <w:r w:rsidR="00A872F0" w:rsidRPr="005D4222">
              <w:t>Enrollment.</w:t>
            </w:r>
          </w:p>
          <w:p w14:paraId="50EEAE98" w14:textId="77777777" w:rsidR="00A872F0" w:rsidRPr="005D4222" w:rsidRDefault="00A872F0" w:rsidP="00A872F0">
            <w:pPr>
              <w:pStyle w:val="Bullet"/>
              <w:numPr>
                <w:ilvl w:val="0"/>
                <w:numId w:val="4"/>
              </w:numPr>
              <w:ind w:left="576" w:hanging="216"/>
            </w:pPr>
            <w:r w:rsidRPr="005D4222">
              <w:rPr>
                <w:i/>
              </w:rPr>
              <w:t>Benefits:</w:t>
            </w:r>
            <w:r w:rsidRPr="005D4222">
              <w:t xml:space="preserve"> Medical and pharmacy.</w:t>
            </w:r>
          </w:p>
          <w:p w14:paraId="6FACEA89" w14:textId="77777777" w:rsidR="00A872F0" w:rsidRPr="005D4222" w:rsidRDefault="00A872F0" w:rsidP="00A872F0">
            <w:pPr>
              <w:pStyle w:val="Bullet"/>
              <w:numPr>
                <w:ilvl w:val="0"/>
                <w:numId w:val="4"/>
              </w:numPr>
              <w:ind w:left="576" w:hanging="216"/>
              <w:rPr>
                <w:i/>
              </w:rPr>
            </w:pPr>
            <w:r w:rsidRPr="005D4222">
              <w:rPr>
                <w:i/>
              </w:rPr>
              <w:t xml:space="preserve">Continuous enrollment: </w:t>
            </w:r>
          </w:p>
          <w:p w14:paraId="57AE8A7F" w14:textId="77777777" w:rsidR="00A872F0" w:rsidRPr="005D4222" w:rsidRDefault="00A872F0" w:rsidP="00B7603B">
            <w:pPr>
              <w:pStyle w:val="Dash"/>
            </w:pPr>
            <w:r w:rsidRPr="005D4222">
              <w:rPr>
                <w:i/>
                <w:iCs/>
              </w:rPr>
              <w:t>Initial population 1:</w:t>
            </w:r>
            <w:r w:rsidRPr="005D4222">
              <w:t xml:space="preserve"> 120 days prior to the IPSD through 30 days after the IPSD. </w:t>
            </w:r>
          </w:p>
          <w:p w14:paraId="5E04065F" w14:textId="77777777" w:rsidR="00A872F0" w:rsidRPr="005D4222" w:rsidRDefault="00A872F0" w:rsidP="00B7603B">
            <w:pPr>
              <w:pStyle w:val="Dash"/>
            </w:pPr>
            <w:r w:rsidRPr="005D4222">
              <w:rPr>
                <w:i/>
                <w:iCs/>
              </w:rPr>
              <w:t>Initial population 2:</w:t>
            </w:r>
            <w:r w:rsidRPr="005D4222">
              <w:t xml:space="preserve"> 120 days prior to the IPSD through 300 days after the IPSD.</w:t>
            </w:r>
          </w:p>
          <w:p w14:paraId="5B755B5A" w14:textId="77777777" w:rsidR="00A872F0" w:rsidRPr="005D4222" w:rsidRDefault="00A872F0" w:rsidP="00A872F0">
            <w:pPr>
              <w:pStyle w:val="Bullet"/>
              <w:numPr>
                <w:ilvl w:val="0"/>
                <w:numId w:val="4"/>
              </w:numPr>
              <w:ind w:left="576" w:hanging="216"/>
              <w:rPr>
                <w:i/>
                <w:iCs/>
              </w:rPr>
            </w:pPr>
            <w:r w:rsidRPr="005D4222">
              <w:rPr>
                <w:i/>
                <w:iCs/>
              </w:rPr>
              <w:t>Allowable gap:</w:t>
            </w:r>
          </w:p>
          <w:p w14:paraId="403E7AAA" w14:textId="77777777" w:rsidR="00A872F0" w:rsidRPr="005D4222" w:rsidRDefault="00A872F0" w:rsidP="00B7603B">
            <w:pPr>
              <w:pStyle w:val="Dash"/>
            </w:pPr>
            <w:r w:rsidRPr="005D4222">
              <w:rPr>
                <w:i/>
                <w:iCs/>
              </w:rPr>
              <w:t>Initial population 1:</w:t>
            </w:r>
            <w:r w:rsidRPr="005D4222">
              <w:t xml:space="preserve"> None.</w:t>
            </w:r>
          </w:p>
          <w:p w14:paraId="452844F6" w14:textId="706B324C" w:rsidR="00B7603B" w:rsidRPr="005D4222" w:rsidRDefault="00A872F0" w:rsidP="00B7603B">
            <w:pPr>
              <w:pStyle w:val="Dash"/>
              <w:spacing w:after="80"/>
            </w:pPr>
            <w:r w:rsidRPr="005D4222">
              <w:rPr>
                <w:i/>
                <w:iCs/>
              </w:rPr>
              <w:t xml:space="preserve">Initial population 2: </w:t>
            </w:r>
            <w:r w:rsidRPr="005D4222">
              <w:t>No more than one gap of ≤45 days between 31 days after the IPSD through 300 days after the IPSD.</w:t>
            </w:r>
          </w:p>
        </w:tc>
      </w:tr>
      <w:tr w:rsidR="00A872F0" w:rsidRPr="005D4222" w14:paraId="0CBCC25C" w14:textId="77777777" w:rsidTr="00A53E8C">
        <w:tblPrEx>
          <w:tblCellMar>
            <w:top w:w="40" w:type="dxa"/>
            <w:left w:w="15" w:type="dxa"/>
            <w:right w:w="15" w:type="dxa"/>
          </w:tblCellMar>
        </w:tblPrEx>
        <w:trPr>
          <w:trHeight w:val="320"/>
        </w:trPr>
        <w:tc>
          <w:tcPr>
            <w:tcW w:w="2157" w:type="dxa"/>
            <w:shd w:val="clear" w:color="auto" w:fill="BFBFBF" w:themeFill="background1" w:themeFillShade="BF"/>
            <w:tcMar>
              <w:top w:w="0" w:type="dxa"/>
              <w:left w:w="86" w:type="dxa"/>
              <w:bottom w:w="43" w:type="dxa"/>
              <w:right w:w="86" w:type="dxa"/>
            </w:tcMar>
          </w:tcPr>
          <w:p w14:paraId="1DA17EA3" w14:textId="77777777" w:rsidR="00A872F0" w:rsidRPr="005D4222" w:rsidRDefault="00A872F0"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23BF4FD" w14:textId="77777777" w:rsidR="00B7603B" w:rsidRPr="005D4222" w:rsidRDefault="00B7603B" w:rsidP="00B7603B">
            <w:pPr>
              <w:pStyle w:val="ECDSBody"/>
            </w:pPr>
            <w:r w:rsidRPr="005D4222">
              <w:rPr>
                <w:i/>
                <w:iCs/>
              </w:rPr>
              <w:t>Ages:</w:t>
            </w:r>
            <w:r w:rsidRPr="005D4222">
              <w:t xml:space="preserve"> 6 years of age as of March 1 of the year prior to the measurement period to 12 years as of the last calendar day of February of the measurement period.</w:t>
            </w:r>
          </w:p>
          <w:p w14:paraId="313276F6" w14:textId="77777777" w:rsidR="00B7603B" w:rsidRPr="005D4222" w:rsidRDefault="00B7603B" w:rsidP="00B7603B">
            <w:pPr>
              <w:pStyle w:val="ECDSBody"/>
            </w:pPr>
            <w:r w:rsidRPr="005D4222">
              <w:rPr>
                <w:i/>
              </w:rPr>
              <w:t>Event:</w:t>
            </w:r>
            <w:r w:rsidRPr="005D4222">
              <w:t xml:space="preserve"> </w:t>
            </w:r>
            <w:r w:rsidRPr="005D4222">
              <w:rPr>
                <w:b/>
                <w:bCs w:val="0"/>
              </w:rPr>
              <w:t>Persons newly prescribed ADHD medication.</w:t>
            </w:r>
          </w:p>
          <w:p w14:paraId="780A882A" w14:textId="77777777" w:rsidR="00B7603B" w:rsidRPr="005D4222" w:rsidRDefault="00B7603B" w:rsidP="00B7603B">
            <w:pPr>
              <w:pStyle w:val="ECDSBody"/>
              <w:spacing w:before="0"/>
              <w:rPr>
                <w:bCs w:val="0"/>
              </w:rPr>
            </w:pPr>
            <w:r w:rsidRPr="005D4222">
              <w:rPr>
                <w:bCs w:val="0"/>
              </w:rPr>
              <w:t xml:space="preserve">Refer to additional initial population criteria for each rate. </w:t>
            </w:r>
          </w:p>
          <w:p w14:paraId="4716BA6E" w14:textId="77777777" w:rsidR="00B7603B" w:rsidRPr="005D4222" w:rsidRDefault="00B7603B" w:rsidP="00B7603B">
            <w:pPr>
              <w:pStyle w:val="ECDSBody"/>
              <w:rPr>
                <w:b/>
                <w:i/>
                <w:kern w:val="24"/>
                <w:szCs w:val="20"/>
              </w:rPr>
            </w:pPr>
            <w:r w:rsidRPr="005D4222">
              <w:rPr>
                <w:b/>
                <w:i/>
                <w:kern w:val="24"/>
                <w:szCs w:val="20"/>
              </w:rPr>
              <w:t>Additional Initial Population Criteria:</w:t>
            </w:r>
          </w:p>
          <w:p w14:paraId="4DFADB83" w14:textId="77777777" w:rsidR="00B7603B" w:rsidRPr="005D4222" w:rsidRDefault="00B7603B" w:rsidP="00B7603B">
            <w:pPr>
              <w:pStyle w:val="ECDSBody"/>
              <w:rPr>
                <w:b/>
              </w:rPr>
            </w:pPr>
            <w:r w:rsidRPr="005D4222">
              <w:rPr>
                <w:b/>
              </w:rPr>
              <w:t>Initial population 1: Initiation Phase.</w:t>
            </w:r>
          </w:p>
          <w:p w14:paraId="2BC40A5B" w14:textId="77777777" w:rsidR="00B7603B" w:rsidRPr="005D4222" w:rsidRDefault="00B7603B" w:rsidP="00B7603B">
            <w:pPr>
              <w:pStyle w:val="ECDSBody"/>
              <w:spacing w:before="80"/>
              <w:rPr>
                <w:kern w:val="20"/>
              </w:rPr>
            </w:pPr>
            <w:r w:rsidRPr="005D4222">
              <w:rPr>
                <w:b/>
                <w:kern w:val="20"/>
              </w:rPr>
              <w:t>Step 1.</w:t>
            </w:r>
            <w:r w:rsidRPr="005D4222">
              <w:rPr>
                <w:kern w:val="20"/>
              </w:rPr>
              <w:t xml:space="preserve"> Identify all persons in the specified age range who were dispensed an ADHD medication (</w:t>
            </w:r>
            <w:r w:rsidRPr="005D4222">
              <w:rPr>
                <w:kern w:val="20"/>
                <w:u w:val="single"/>
              </w:rPr>
              <w:t>ADHD Medications List</w:t>
            </w:r>
            <w:r w:rsidRPr="005D4222">
              <w:rPr>
                <w:kern w:val="20"/>
              </w:rPr>
              <w:t>) during the 12-month intake period.</w:t>
            </w:r>
          </w:p>
          <w:p w14:paraId="578406C2" w14:textId="77777777" w:rsidR="00A872F0" w:rsidRPr="005D4222" w:rsidRDefault="00A872F0" w:rsidP="00A53E8C">
            <w:pPr>
              <w:pStyle w:val="ECDSBody"/>
            </w:pPr>
            <w:r w:rsidRPr="005D4222">
              <w:rPr>
                <w:b/>
              </w:rPr>
              <w:t>Step 2.</w:t>
            </w:r>
            <w:r w:rsidRPr="005D4222">
              <w:t xml:space="preserve"> </w:t>
            </w:r>
            <w:r w:rsidRPr="005D4222">
              <w:rPr>
                <w:bCs w:val="0"/>
              </w:rPr>
              <w:t>For each person identified in step 1, identify the IPSD.</w:t>
            </w:r>
          </w:p>
          <w:p w14:paraId="7F042E9E" w14:textId="77777777" w:rsidR="00A872F0" w:rsidRPr="005D4222" w:rsidRDefault="00A872F0" w:rsidP="00A53E8C">
            <w:pPr>
              <w:pStyle w:val="ECDSBody"/>
            </w:pPr>
            <w:r w:rsidRPr="005D4222">
              <w:rPr>
                <w:b/>
              </w:rPr>
              <w:t xml:space="preserve">Step 3. </w:t>
            </w:r>
            <w:r w:rsidRPr="005D4222">
              <w:t>Calculate continuous enrollment.. The person must be enrolled throughout 120 days prior to the IPSD through 30 days after the IPSD..</w:t>
            </w:r>
          </w:p>
          <w:p w14:paraId="5E7D640C" w14:textId="77777777" w:rsidR="00A872F0" w:rsidRPr="005D4222" w:rsidRDefault="00A872F0" w:rsidP="00A53E8C">
            <w:pPr>
              <w:pStyle w:val="ECDSBody"/>
            </w:pPr>
            <w:r w:rsidRPr="005D4222">
              <w:rPr>
                <w:b/>
              </w:rPr>
              <w:t xml:space="preserve">Step 4. </w:t>
            </w:r>
            <w:r w:rsidRPr="005D4222">
              <w:t>Remove persons who had an acute inpatient encounter for a mental, behavioral or neurodevelopmental disorder during the initiation phase. Either of the following meets criteria:</w:t>
            </w:r>
          </w:p>
          <w:p w14:paraId="0B741BEB" w14:textId="77777777" w:rsidR="00A872F0" w:rsidRPr="005D4222" w:rsidRDefault="00A872F0" w:rsidP="00A872F0">
            <w:pPr>
              <w:pStyle w:val="Bullet"/>
              <w:numPr>
                <w:ilvl w:val="0"/>
                <w:numId w:val="4"/>
              </w:numPr>
              <w:ind w:left="576" w:hanging="216"/>
            </w:pPr>
            <w:r w:rsidRPr="005D4222">
              <w:t>Acute inpatient encounter (</w:t>
            </w:r>
            <w:r w:rsidRPr="005D4222">
              <w:rPr>
                <w:u w:val="single"/>
              </w:rPr>
              <w:t>Acute Inpatient Value Set</w:t>
            </w:r>
            <w:r w:rsidRPr="005D4222">
              <w:t xml:space="preserve">) </w:t>
            </w:r>
            <w:r w:rsidRPr="005D4222">
              <w:rPr>
                <w:b/>
                <w:bCs/>
                <w:i/>
                <w:iCs/>
              </w:rPr>
              <w:t>with</w:t>
            </w:r>
            <w:r w:rsidRPr="005D4222">
              <w:rPr>
                <w:i/>
                <w:iCs/>
              </w:rPr>
              <w:t xml:space="preserve"> </w:t>
            </w:r>
            <w:r w:rsidRPr="005D4222">
              <w:t>a principal diagnosis of mental, behavioral or neurodevelopmental disorder (</w:t>
            </w:r>
            <w:r w:rsidRPr="005D4222">
              <w:rPr>
                <w:u w:val="single"/>
              </w:rPr>
              <w:t>Mental, Behavioral and Neurodevelopmental Disorders Value Set</w:t>
            </w:r>
            <w:r w:rsidRPr="005D4222">
              <w:t>).</w:t>
            </w:r>
          </w:p>
          <w:p w14:paraId="005FCE02" w14:textId="77777777" w:rsidR="00A872F0" w:rsidRPr="005D4222" w:rsidRDefault="00A872F0" w:rsidP="00A872F0">
            <w:pPr>
              <w:pStyle w:val="Bullet"/>
              <w:numPr>
                <w:ilvl w:val="0"/>
                <w:numId w:val="4"/>
              </w:numPr>
              <w:ind w:left="576" w:hanging="216"/>
            </w:pPr>
            <w:r w:rsidRPr="005D4222">
              <w:t xml:space="preserve">Acute inpatient admission </w:t>
            </w:r>
            <w:r w:rsidRPr="005D4222">
              <w:rPr>
                <w:b/>
                <w:bCs/>
                <w:i/>
                <w:iCs/>
              </w:rPr>
              <w:t>with</w:t>
            </w:r>
            <w:r w:rsidRPr="005D4222">
              <w:rPr>
                <w:i/>
                <w:iCs/>
              </w:rPr>
              <w:t xml:space="preserve"> </w:t>
            </w:r>
            <w:r w:rsidRPr="005D4222">
              <w:t>a principal diagnosis of mental, behavioral or neurodevelopmental disorder (</w:t>
            </w:r>
            <w:r w:rsidRPr="005D4222">
              <w:rPr>
                <w:u w:val="single"/>
              </w:rPr>
              <w:t>Mental, Behavioral and Neurodevelopmental Disorders Value Set</w:t>
            </w:r>
            <w:r w:rsidRPr="005D4222">
              <w:t>) on the discharge claim. To identify an acute inpatient admission:</w:t>
            </w:r>
          </w:p>
          <w:p w14:paraId="766EC8B6" w14:textId="77777777" w:rsidR="00A872F0" w:rsidRPr="005D4222" w:rsidRDefault="00A872F0" w:rsidP="005D6173">
            <w:pPr>
              <w:pStyle w:val="Body"/>
              <w:numPr>
                <w:ilvl w:val="1"/>
                <w:numId w:val="169"/>
              </w:numPr>
              <w:spacing w:before="60" w:after="60"/>
              <w:ind w:left="864" w:hanging="288"/>
              <w:rPr>
                <w:kern w:val="20"/>
              </w:rPr>
            </w:pPr>
            <w:r w:rsidRPr="005D4222">
              <w:rPr>
                <w:kern w:val="20"/>
              </w:rPr>
              <w:t>Identify all acute and nonacute inpatient stays (</w:t>
            </w:r>
            <w:r w:rsidRPr="005D4222">
              <w:rPr>
                <w:kern w:val="20"/>
                <w:u w:val="single"/>
              </w:rPr>
              <w:t>Inpatient Stay Value Set</w:t>
            </w:r>
            <w:r w:rsidRPr="005D4222">
              <w:rPr>
                <w:kern w:val="20"/>
              </w:rPr>
              <w:t>).</w:t>
            </w:r>
          </w:p>
          <w:p w14:paraId="1316F1D8" w14:textId="77777777" w:rsidR="00A872F0" w:rsidRPr="005D4222" w:rsidRDefault="00A872F0" w:rsidP="005D6173">
            <w:pPr>
              <w:pStyle w:val="Body"/>
              <w:numPr>
                <w:ilvl w:val="1"/>
                <w:numId w:val="169"/>
              </w:numPr>
              <w:spacing w:before="60" w:after="60"/>
              <w:ind w:left="864" w:hanging="288"/>
              <w:rPr>
                <w:kern w:val="20"/>
              </w:rPr>
            </w:pPr>
            <w:r w:rsidRPr="005D4222">
              <w:rPr>
                <w:kern w:val="20"/>
              </w:rPr>
              <w:t>Exclude nonacute inpatient stays (</w:t>
            </w:r>
            <w:r w:rsidRPr="005D4222">
              <w:rPr>
                <w:kern w:val="20"/>
                <w:u w:val="single"/>
              </w:rPr>
              <w:t>Nonacute Inpatient Stay Value Set</w:t>
            </w:r>
            <w:r w:rsidRPr="005D4222">
              <w:rPr>
                <w:kern w:val="20"/>
              </w:rPr>
              <w:t>).</w:t>
            </w:r>
          </w:p>
          <w:p w14:paraId="7248B9C4" w14:textId="77777777" w:rsidR="00A872F0" w:rsidRPr="005D4222" w:rsidRDefault="00A872F0" w:rsidP="005D6173">
            <w:pPr>
              <w:pStyle w:val="Body"/>
              <w:numPr>
                <w:ilvl w:val="1"/>
                <w:numId w:val="169"/>
              </w:numPr>
              <w:spacing w:before="60" w:after="60"/>
              <w:ind w:left="864" w:hanging="288"/>
              <w:rPr>
                <w:kern w:val="20"/>
              </w:rPr>
            </w:pPr>
            <w:r w:rsidRPr="005D4222">
              <w:rPr>
                <w:kern w:val="20"/>
              </w:rPr>
              <w:t>Identify the admission date for the stay.</w:t>
            </w:r>
          </w:p>
          <w:p w14:paraId="6B0B8D49" w14:textId="77777777" w:rsidR="00A872F0" w:rsidRPr="005D4222" w:rsidRDefault="00A872F0" w:rsidP="00A53E8C">
            <w:pPr>
              <w:pStyle w:val="ECDSBody"/>
              <w:spacing w:before="180"/>
            </w:pPr>
            <w:r w:rsidRPr="005D4222">
              <w:rPr>
                <w:b/>
                <w:bCs w:val="0"/>
              </w:rPr>
              <w:t>Initial population 2: C&amp;M Phase.</w:t>
            </w:r>
            <w:r w:rsidRPr="005D4222">
              <w:rPr>
                <w:i/>
                <w:iCs/>
              </w:rPr>
              <w:t xml:space="preserve"> </w:t>
            </w:r>
          </w:p>
          <w:p w14:paraId="353817BD" w14:textId="77777777" w:rsidR="00A872F0" w:rsidRPr="005D4222" w:rsidRDefault="00A872F0" w:rsidP="00A53E8C">
            <w:pPr>
              <w:pStyle w:val="ECDSBody"/>
              <w:spacing w:before="80"/>
            </w:pPr>
            <w:r w:rsidRPr="005D4222">
              <w:rPr>
                <w:b/>
              </w:rPr>
              <w:t>Step 1.</w:t>
            </w:r>
            <w:r w:rsidRPr="005D4222">
              <w:t xml:space="preserve"> Identify all persons from initial population 1.</w:t>
            </w:r>
          </w:p>
          <w:p w14:paraId="43F38EFE" w14:textId="77777777" w:rsidR="00A872F0" w:rsidRPr="005D4222" w:rsidRDefault="00A872F0" w:rsidP="00A53E8C">
            <w:pPr>
              <w:pStyle w:val="ECDSBody"/>
            </w:pPr>
            <w:r w:rsidRPr="005D4222">
              <w:rPr>
                <w:b/>
              </w:rPr>
              <w:t>Step 2.</w:t>
            </w:r>
            <w:r w:rsidRPr="005D4222">
              <w:t xml:space="preserve"> Calculate continuous enrollment. The person must be enrolled throughout the 120 days prior to the IPSD through 300 days after the IPSD..</w:t>
            </w:r>
          </w:p>
          <w:p w14:paraId="71C17E3D" w14:textId="77777777" w:rsidR="00A872F0" w:rsidRPr="005D4222" w:rsidRDefault="00A872F0" w:rsidP="00A53E8C">
            <w:pPr>
              <w:pStyle w:val="ECDSBody"/>
            </w:pPr>
            <w:r w:rsidRPr="005D4222">
              <w:rPr>
                <w:b/>
              </w:rPr>
              <w:t>Step 3.</w:t>
            </w:r>
            <w:r w:rsidRPr="005D4222">
              <w:rPr>
                <w:b/>
                <w:bCs w:val="0"/>
              </w:rPr>
              <w:t xml:space="preserve"> </w:t>
            </w:r>
            <w:r w:rsidRPr="005D4222">
              <w:t>Calculate treatment days (covered days) to determine continuous medication treatment. Using the persons in step 2, determine if the person was dispensed a sufficient number of prescriptions to provide continuous medication treatment beginning on the IPSD through 300 days after the IPSD. The definition of “continuous medication treatment” allows gaps in medication treatment, up to a total of 91 days during the 301-day period.</w:t>
            </w:r>
          </w:p>
          <w:p w14:paraId="2714CD71" w14:textId="77777777" w:rsidR="00A872F0" w:rsidRPr="005D4222" w:rsidRDefault="00A872F0" w:rsidP="00A53E8C">
            <w:pPr>
              <w:pStyle w:val="ECDSBody"/>
            </w:pPr>
            <w:r w:rsidRPr="005D4222">
              <w:rPr>
                <w:b/>
              </w:rPr>
              <w:t>Step 4.</w:t>
            </w:r>
            <w:r w:rsidRPr="005D4222">
              <w:rPr>
                <w:b/>
                <w:bCs w:val="0"/>
                <w:i/>
                <w:iCs/>
              </w:rPr>
              <w:t xml:space="preserve"> </w:t>
            </w:r>
            <w:r w:rsidRPr="005D4222">
              <w:t>Remove persons who had an acute inpatient encounter for a mental, behavioral or neurodevelopmental disorder during the C&amp;M phase. Either of the following meets criteria:</w:t>
            </w:r>
          </w:p>
          <w:p w14:paraId="2C7B2EBD" w14:textId="6A682F0A" w:rsidR="00B7603B" w:rsidRPr="005D4222" w:rsidRDefault="00A872F0" w:rsidP="00B7603B">
            <w:pPr>
              <w:pStyle w:val="Bullet"/>
              <w:numPr>
                <w:ilvl w:val="0"/>
                <w:numId w:val="4"/>
              </w:numPr>
              <w:spacing w:after="80"/>
              <w:ind w:left="576" w:hanging="216"/>
            </w:pPr>
            <w:r w:rsidRPr="005D4222">
              <w:t>Acute inpatient encounter (</w:t>
            </w:r>
            <w:r w:rsidRPr="005D4222">
              <w:rPr>
                <w:u w:val="single"/>
              </w:rPr>
              <w:t>Acute Inpatient Value Set</w:t>
            </w:r>
            <w:r w:rsidRPr="005D4222">
              <w:t>) with a principal diagnosis of mental, behavioral or neurodevelopmental disorder (</w:t>
            </w:r>
            <w:r w:rsidRPr="005D4222">
              <w:rPr>
                <w:u w:val="single"/>
              </w:rPr>
              <w:t>Mental, Behavioral and Neurodevelopmental Disorders Value Set</w:t>
            </w:r>
            <w:r w:rsidRPr="005D4222">
              <w:t>).</w:t>
            </w:r>
          </w:p>
        </w:tc>
      </w:tr>
    </w:tbl>
    <w:p w14:paraId="39E18499" w14:textId="77777777" w:rsidR="00B7603B" w:rsidRPr="005D4222" w:rsidRDefault="00B7603B"/>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B7603B" w:rsidRPr="005D4222" w14:paraId="0464AAF5" w14:textId="77777777" w:rsidTr="00B7603B">
        <w:trPr>
          <w:trHeight w:val="320"/>
        </w:trPr>
        <w:tc>
          <w:tcPr>
            <w:tcW w:w="2157" w:type="dxa"/>
            <w:shd w:val="clear" w:color="auto" w:fill="BFBFBF" w:themeFill="background1" w:themeFillShade="BF"/>
            <w:tcMar>
              <w:top w:w="0" w:type="dxa"/>
              <w:left w:w="86" w:type="dxa"/>
              <w:bottom w:w="43" w:type="dxa"/>
              <w:right w:w="86" w:type="dxa"/>
            </w:tcMar>
          </w:tcPr>
          <w:p w14:paraId="530B6B36" w14:textId="77777777" w:rsidR="00B7603B" w:rsidRPr="005D4222" w:rsidRDefault="00B7603B"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06FDB96" w14:textId="77777777" w:rsidR="00B7603B" w:rsidRPr="005D4222" w:rsidRDefault="00B7603B" w:rsidP="00CE3AE3">
            <w:pPr>
              <w:pStyle w:val="Bullet"/>
              <w:numPr>
                <w:ilvl w:val="0"/>
                <w:numId w:val="4"/>
              </w:numPr>
              <w:spacing w:before="120"/>
              <w:ind w:left="576" w:hanging="216"/>
            </w:pPr>
            <w:r w:rsidRPr="005D4222">
              <w:t>Acute inpatient admission with a principal diagnosis of mental, behavioral or neurodevelopmental disorder (</w:t>
            </w:r>
            <w:r w:rsidRPr="005D4222">
              <w:rPr>
                <w:u w:val="single"/>
              </w:rPr>
              <w:t>Mental, Behavioral and Neurodevelopmental Disorders Value Set</w:t>
            </w:r>
            <w:r w:rsidRPr="005D4222">
              <w:t>) on the discharge claim. To identify an acute inpatient admission:</w:t>
            </w:r>
          </w:p>
          <w:p w14:paraId="2E47D087" w14:textId="77777777" w:rsidR="00B7603B" w:rsidRPr="005D4222" w:rsidRDefault="00B7603B" w:rsidP="005D6173">
            <w:pPr>
              <w:pStyle w:val="Body"/>
              <w:numPr>
                <w:ilvl w:val="1"/>
                <w:numId w:val="170"/>
              </w:numPr>
              <w:spacing w:before="60" w:after="60"/>
              <w:ind w:left="864" w:hanging="288"/>
              <w:rPr>
                <w:kern w:val="20"/>
              </w:rPr>
            </w:pPr>
            <w:r w:rsidRPr="005D4222">
              <w:rPr>
                <w:kern w:val="20"/>
              </w:rPr>
              <w:t>Identify all acute and nonacute inpatient stays (</w:t>
            </w:r>
            <w:r w:rsidRPr="005D4222">
              <w:rPr>
                <w:kern w:val="20"/>
                <w:u w:val="single"/>
              </w:rPr>
              <w:t>Inpatient Stay Value Set</w:t>
            </w:r>
            <w:r w:rsidRPr="005D4222">
              <w:rPr>
                <w:kern w:val="20"/>
              </w:rPr>
              <w:t>).</w:t>
            </w:r>
          </w:p>
          <w:p w14:paraId="14178604" w14:textId="77777777" w:rsidR="00B7603B" w:rsidRPr="005D4222" w:rsidRDefault="00B7603B" w:rsidP="005D6173">
            <w:pPr>
              <w:pStyle w:val="Body"/>
              <w:numPr>
                <w:ilvl w:val="1"/>
                <w:numId w:val="170"/>
              </w:numPr>
              <w:spacing w:before="60"/>
              <w:ind w:left="864" w:hanging="288"/>
            </w:pPr>
            <w:r w:rsidRPr="005D4222">
              <w:rPr>
                <w:kern w:val="20"/>
              </w:rPr>
              <w:t>Exclude nonacute inpatient stays (</w:t>
            </w:r>
            <w:r w:rsidRPr="005D4222">
              <w:rPr>
                <w:kern w:val="20"/>
                <w:u w:val="single"/>
              </w:rPr>
              <w:t>Nonacute Inpatient Stay Value Set</w:t>
            </w:r>
            <w:r w:rsidRPr="005D4222">
              <w:rPr>
                <w:kern w:val="20"/>
              </w:rPr>
              <w:t>).</w:t>
            </w:r>
          </w:p>
          <w:p w14:paraId="781CD001" w14:textId="4E0AC341" w:rsidR="00B7603B" w:rsidRPr="005D4222" w:rsidRDefault="00B7603B" w:rsidP="005D6173">
            <w:pPr>
              <w:pStyle w:val="Body"/>
              <w:numPr>
                <w:ilvl w:val="1"/>
                <w:numId w:val="170"/>
              </w:numPr>
              <w:spacing w:before="60" w:after="80"/>
              <w:ind w:left="864" w:hanging="288"/>
              <w:rPr>
                <w:i/>
                <w:iCs/>
              </w:rPr>
            </w:pPr>
            <w:r w:rsidRPr="005D4222">
              <w:rPr>
                <w:kern w:val="20"/>
              </w:rPr>
              <w:t>Identify the admission date for the stay.</w:t>
            </w:r>
          </w:p>
        </w:tc>
      </w:tr>
      <w:tr w:rsidR="00A872F0" w:rsidRPr="005D4222" w14:paraId="296189EA" w14:textId="77777777" w:rsidTr="00B7603B">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078F1A7" w14:textId="77777777" w:rsidR="00A872F0" w:rsidRPr="005D4222" w:rsidRDefault="00A872F0" w:rsidP="00A53E8C">
            <w:pPr>
              <w:pStyle w:val="ECDSMarginHead"/>
            </w:pPr>
            <w:r w:rsidRPr="005D4222">
              <w:t xml:space="preserve">Denominator exclusions </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7ADB7047" w14:textId="77777777" w:rsidR="00A872F0" w:rsidRPr="005D4222" w:rsidRDefault="00A872F0" w:rsidP="00A53E8C">
            <w:pPr>
              <w:pStyle w:val="ECDSBody"/>
              <w:rPr>
                <w:rFonts w:cs="Segoe UI"/>
                <w:szCs w:val="18"/>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p w14:paraId="4F6F411D" w14:textId="77777777" w:rsidR="00A872F0" w:rsidRPr="005D4222" w:rsidRDefault="00A872F0" w:rsidP="00A53E8C">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7A21CFF8" w14:textId="56964B27" w:rsidR="00A872F0" w:rsidRPr="005D4222" w:rsidRDefault="00A872F0" w:rsidP="00A53E8C">
            <w:pPr>
              <w:pStyle w:val="ECDSBody"/>
              <w:rPr>
                <w:rFonts w:eastAsia="Arial,Arial,Arial,Arial,Arial,A"/>
              </w:rPr>
            </w:pPr>
            <w:r w:rsidRPr="005D4222">
              <w:rPr>
                <w:rFonts w:eastAsia="Arial,Arial,Arial,Arial,Arial,A"/>
                <w:b/>
              </w:rPr>
              <w:t>Persons with a diagnosis of narcolepsy.</w:t>
            </w:r>
            <w:r w:rsidRPr="005D4222">
              <w:rPr>
                <w:rFonts w:eastAsia="Arial,Arial,Arial,Arial,Arial,A"/>
                <w:b/>
              </w:rPr>
              <w:br/>
            </w:r>
            <w:r w:rsidRPr="005D4222">
              <w:rPr>
                <w:rFonts w:eastAsia="Arial"/>
              </w:rPr>
              <w:t>Diagnosis of narcolepsy (</w:t>
            </w:r>
            <w:r w:rsidRPr="005D4222">
              <w:rPr>
                <w:rFonts w:eastAsia="Arial,Arial,Arial,Arial,Arial,A"/>
                <w:u w:val="single"/>
              </w:rPr>
              <w:t>Narcolepsy Value Set</w:t>
            </w:r>
            <w:r w:rsidRPr="005D4222">
              <w:rPr>
                <w:rFonts w:eastAsia="Arial,Arial,Arial,Arial,Arial,A"/>
              </w:rPr>
              <w:t xml:space="preserve">*) </w:t>
            </w:r>
            <w:r w:rsidRPr="005D4222">
              <w:rPr>
                <w:rFonts w:eastAsia="Arial"/>
              </w:rPr>
              <w:t xml:space="preserve">any time during the person’s history through the </w:t>
            </w:r>
            <w:r w:rsidR="00D80100" w:rsidRPr="005D4222">
              <w:rPr>
                <w:rFonts w:eastAsia="Arial"/>
              </w:rPr>
              <w:t>last day</w:t>
            </w:r>
            <w:r w:rsidRPr="005D4222">
              <w:rPr>
                <w:rFonts w:eastAsia="Arial"/>
              </w:rPr>
              <w:t xml:space="preserve"> of the measurement period.</w:t>
            </w:r>
          </w:p>
          <w:p w14:paraId="7E346682" w14:textId="77777777" w:rsidR="00A872F0" w:rsidRPr="005D4222" w:rsidRDefault="00A872F0" w:rsidP="00A53E8C">
            <w:pPr>
              <w:pStyle w:val="Body"/>
              <w:spacing w:before="120"/>
              <w:rPr>
                <w:rFonts w:eastAsia="Arial,Arial,Arial,Arial,Arial,A"/>
                <w:b/>
                <w:bCs/>
              </w:rPr>
            </w:pPr>
            <w:r w:rsidRPr="005D4222">
              <w:rPr>
                <w:rFonts w:eastAsia="Arial,Arial,Arial,Arial,Arial,A"/>
                <w:b/>
                <w:bCs/>
              </w:rPr>
              <w:t>Coding Guidance</w:t>
            </w:r>
          </w:p>
          <w:p w14:paraId="3B4D8E86" w14:textId="77777777" w:rsidR="00A872F0" w:rsidRPr="005D4222" w:rsidRDefault="00A872F0" w:rsidP="00A53E8C">
            <w:pPr>
              <w:pStyle w:val="ECDSBody"/>
              <w:spacing w:before="0"/>
              <w:rPr>
                <w:rFonts w:eastAsia="Arial,Arial,Arial,Arial,Arial,A"/>
              </w:rPr>
            </w:pPr>
            <w:r w:rsidRPr="005D4222">
              <w:rPr>
                <w:rFonts w:eastAsia="Arial,Arial,Arial,Arial,Arial,A"/>
              </w:rPr>
              <w:t>*Do not include laboratory claims (claims with POS code 81).</w:t>
            </w:r>
          </w:p>
        </w:tc>
      </w:tr>
      <w:tr w:rsidR="00A872F0" w:rsidRPr="005D4222" w14:paraId="4D9F94D9" w14:textId="77777777" w:rsidTr="00B7603B">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DF4AAAE" w14:textId="77777777" w:rsidR="00A872F0" w:rsidRPr="005D4222" w:rsidRDefault="00A872F0" w:rsidP="00A53E8C">
            <w:pPr>
              <w:pStyle w:val="ECDSMarginHead"/>
            </w:pPr>
            <w:r w:rsidRPr="005D4222">
              <w:t>Denominator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E44926D" w14:textId="77777777" w:rsidR="00A872F0" w:rsidRPr="005D4222" w:rsidRDefault="00A872F0" w:rsidP="00A53E8C">
            <w:pPr>
              <w:pStyle w:val="ECDSBody"/>
              <w:rPr>
                <w:rFonts w:eastAsia="Arial,Arial,Arial,Arial,Arial,A"/>
                <w:bCs w:val="0"/>
              </w:rPr>
            </w:pPr>
            <w:r w:rsidRPr="005D4222">
              <w:rPr>
                <w:rFonts w:eastAsia="Arial,Arial,Arial,Arial,Arial,A"/>
                <w:b/>
              </w:rPr>
              <w:t xml:space="preserve">Denominator 1: </w:t>
            </w:r>
            <w:r w:rsidRPr="005D4222">
              <w:rPr>
                <w:rFonts w:eastAsia="Arial,Arial,Arial,Arial,Arial,A"/>
                <w:bCs w:val="0"/>
              </w:rPr>
              <w:t xml:space="preserve">The initial population and additional initial population 1 criteria minus denominator exclusions. </w:t>
            </w:r>
          </w:p>
          <w:p w14:paraId="37B248CC" w14:textId="77777777" w:rsidR="00A872F0" w:rsidRPr="005D4222" w:rsidRDefault="00A872F0" w:rsidP="00A53E8C">
            <w:pPr>
              <w:pStyle w:val="ECDSBody"/>
              <w:rPr>
                <w:rFonts w:eastAsia="Arial,Arial,Arial,Arial,Arial,A"/>
                <w:b/>
                <w:i/>
              </w:rPr>
            </w:pPr>
            <w:r w:rsidRPr="005D4222">
              <w:rPr>
                <w:rFonts w:eastAsia="Arial,Arial,Arial,Arial,Arial,A"/>
                <w:b/>
              </w:rPr>
              <w:t>Denominator 2:</w:t>
            </w:r>
            <w:r w:rsidRPr="005D4222">
              <w:rPr>
                <w:rFonts w:eastAsia="Arial,Arial,Arial,Arial,Arial,A"/>
                <w:bCs w:val="0"/>
              </w:rPr>
              <w:t xml:space="preserve"> The initial population and additional initial population 2 criteria minus denominator exclusions.</w:t>
            </w:r>
          </w:p>
        </w:tc>
      </w:tr>
      <w:tr w:rsidR="00A872F0" w:rsidRPr="005D4222" w14:paraId="507EF500" w14:textId="77777777" w:rsidTr="00B7603B">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E1E2165" w14:textId="77777777" w:rsidR="00A872F0" w:rsidRPr="005D4222" w:rsidRDefault="00A872F0" w:rsidP="00A53E8C">
            <w:pPr>
              <w:pStyle w:val="ECDSMarginHead"/>
            </w:pPr>
            <w:r w:rsidRPr="005D4222">
              <w:t>Numerator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4F4145A" w14:textId="77777777" w:rsidR="00A872F0" w:rsidRPr="005D4222" w:rsidRDefault="00A872F0" w:rsidP="00A53E8C">
            <w:pPr>
              <w:pStyle w:val="ECDSBody"/>
              <w:rPr>
                <w:rFonts w:eastAsia="Arial,Arial,Arial,Arial,Arial,A"/>
              </w:rPr>
            </w:pPr>
            <w:r w:rsidRPr="005D4222">
              <w:rPr>
                <w:rFonts w:eastAsia="Arial,Arial,Arial,Arial,Arial,A"/>
                <w:b/>
                <w:bCs w:val="0"/>
              </w:rPr>
              <w:t>Numerator 1</w:t>
            </w:r>
            <w:r w:rsidRPr="005D4222">
              <w:rPr>
                <w:b/>
                <w:bCs w:val="0"/>
              </w:rPr>
              <w:t xml:space="preserve">: </w:t>
            </w:r>
            <w:r w:rsidRPr="005D4222">
              <w:rPr>
                <w:rFonts w:eastAsia="Arial,Arial,Arial,Arial,Arial,A"/>
                <w:b/>
                <w:bCs w:val="0"/>
              </w:rPr>
              <w:t xml:space="preserve">Initiation phase. </w:t>
            </w:r>
            <w:r w:rsidRPr="005D4222">
              <w:rPr>
                <w:rFonts w:eastAsia="Arial,Arial,Arial,Arial,Arial,A"/>
                <w:b/>
                <w:bCs w:val="0"/>
              </w:rPr>
              <w:br/>
            </w:r>
            <w:r w:rsidRPr="005D4222">
              <w:rPr>
                <w:rFonts w:eastAsia="Arial,Arial,Arial,Arial,Arial,A"/>
              </w:rPr>
              <w:t xml:space="preserve">Persons who had a follow-up visit with a practitioner with prescribing authority within 30 days after the IPSD. Do not include visits on the IPSD. </w:t>
            </w:r>
          </w:p>
          <w:p w14:paraId="02BDB9DC" w14:textId="77777777" w:rsidR="00A872F0" w:rsidRPr="005D4222" w:rsidRDefault="00A872F0" w:rsidP="00A53E8C">
            <w:pPr>
              <w:pStyle w:val="ECDSBody"/>
              <w:rPr>
                <w:kern w:val="20"/>
              </w:rPr>
            </w:pPr>
            <w:r w:rsidRPr="005D4222">
              <w:rPr>
                <w:kern w:val="20"/>
              </w:rPr>
              <w:t>Any of the following code combinations meet criteria for a visit; the visit must be with a provider with prescribing authority.</w:t>
            </w:r>
          </w:p>
          <w:p w14:paraId="438FD562" w14:textId="77777777" w:rsidR="00A872F0" w:rsidRPr="005D4222" w:rsidRDefault="00A872F0" w:rsidP="00A872F0">
            <w:pPr>
              <w:pStyle w:val="Bullet"/>
              <w:numPr>
                <w:ilvl w:val="0"/>
                <w:numId w:val="4"/>
              </w:numPr>
              <w:ind w:left="576" w:hanging="216"/>
            </w:pPr>
            <w:r w:rsidRPr="005D4222">
              <w:t>An outpatient visit (</w:t>
            </w:r>
            <w:r w:rsidRPr="005D4222">
              <w:rPr>
                <w:u w:val="single"/>
              </w:rPr>
              <w:t>Visit Setting Unspecified Value Set</w:t>
            </w:r>
            <w:r w:rsidRPr="005D4222">
              <w:t xml:space="preserve"> </w:t>
            </w:r>
            <w:r w:rsidRPr="005D4222">
              <w:rPr>
                <w:b/>
                <w:bCs/>
                <w:i/>
                <w:iCs/>
              </w:rPr>
              <w:t>with</w:t>
            </w:r>
            <w:r w:rsidRPr="005D4222">
              <w:t xml:space="preserve"> </w:t>
            </w:r>
            <w:r w:rsidRPr="005D4222">
              <w:rPr>
                <w:u w:val="single"/>
              </w:rPr>
              <w:t>Outpatient POS Value Set</w:t>
            </w:r>
            <w:r w:rsidRPr="005D4222">
              <w:t>).</w:t>
            </w:r>
          </w:p>
          <w:p w14:paraId="7FF9EDBC" w14:textId="77777777" w:rsidR="00A872F0" w:rsidRPr="005D4222" w:rsidRDefault="00A872F0" w:rsidP="00A872F0">
            <w:pPr>
              <w:pStyle w:val="Bullet"/>
              <w:numPr>
                <w:ilvl w:val="0"/>
                <w:numId w:val="4"/>
              </w:numPr>
              <w:ind w:left="576" w:hanging="216"/>
            </w:pPr>
            <w:r w:rsidRPr="005D4222">
              <w:t>An outpatient visit (</w:t>
            </w:r>
            <w:r w:rsidRPr="005D4222">
              <w:rPr>
                <w:u w:val="single"/>
              </w:rPr>
              <w:t>BH Outpatient Value Set</w:t>
            </w:r>
            <w:r w:rsidRPr="005D4222">
              <w:t>).</w:t>
            </w:r>
          </w:p>
          <w:p w14:paraId="32225409" w14:textId="77777777" w:rsidR="00A872F0" w:rsidRPr="005D4222" w:rsidRDefault="00A872F0" w:rsidP="00A872F0">
            <w:pPr>
              <w:pStyle w:val="Bullet"/>
              <w:numPr>
                <w:ilvl w:val="0"/>
                <w:numId w:val="4"/>
              </w:numPr>
              <w:ind w:left="576" w:hanging="216"/>
            </w:pPr>
            <w:r w:rsidRPr="005D4222">
              <w:t>A health and behavior assessment or intervention (</w:t>
            </w:r>
            <w:r w:rsidRPr="005D4222">
              <w:rPr>
                <w:u w:val="single"/>
              </w:rPr>
              <w:t>Health and Behavior Assessment or Intervention Value Set</w:t>
            </w:r>
            <w:r w:rsidRPr="005D4222">
              <w:t>).</w:t>
            </w:r>
          </w:p>
          <w:p w14:paraId="69FEB828" w14:textId="77777777" w:rsidR="00A872F0" w:rsidRPr="005D4222" w:rsidRDefault="00A872F0" w:rsidP="00A872F0">
            <w:pPr>
              <w:pStyle w:val="Bullet"/>
              <w:numPr>
                <w:ilvl w:val="0"/>
                <w:numId w:val="4"/>
              </w:numPr>
              <w:ind w:left="576" w:hanging="216"/>
            </w:pPr>
            <w:r w:rsidRPr="005D4222">
              <w:t>An intensive outpatient encounter or partial hospitalization (</w:t>
            </w:r>
            <w:r w:rsidRPr="005D4222">
              <w:rPr>
                <w:u w:val="single"/>
              </w:rPr>
              <w:t>Visit Setting Unspecified Value Set</w:t>
            </w:r>
            <w:r w:rsidRPr="005D4222">
              <w:t xml:space="preserve"> </w:t>
            </w:r>
            <w:r w:rsidRPr="005D4222">
              <w:rPr>
                <w:b/>
                <w:bCs/>
                <w:i/>
                <w:iCs/>
              </w:rPr>
              <w:t>with</w:t>
            </w:r>
            <w:r w:rsidRPr="005D4222">
              <w:t xml:space="preserve"> POS code 52).</w:t>
            </w:r>
          </w:p>
          <w:p w14:paraId="6BEBBD08" w14:textId="77777777" w:rsidR="00A872F0" w:rsidRPr="005D4222" w:rsidRDefault="00A872F0" w:rsidP="00A872F0">
            <w:pPr>
              <w:pStyle w:val="Bullet"/>
              <w:numPr>
                <w:ilvl w:val="0"/>
                <w:numId w:val="4"/>
              </w:numPr>
              <w:ind w:left="576" w:hanging="216"/>
            </w:pPr>
            <w:r w:rsidRPr="005D4222">
              <w:t>An intensive outpatient encounter or partial hospitalization (</w:t>
            </w:r>
            <w:r w:rsidRPr="005D4222">
              <w:rPr>
                <w:u w:val="single"/>
              </w:rPr>
              <w:t>Partial Hospitalization or Intensive Outpatient Value Set</w:t>
            </w:r>
            <w:r w:rsidRPr="005D4222">
              <w:t>).</w:t>
            </w:r>
          </w:p>
          <w:p w14:paraId="3C2AC972" w14:textId="1821A8BD" w:rsidR="00B7603B" w:rsidRPr="005D4222" w:rsidRDefault="00A872F0" w:rsidP="00B7603B">
            <w:pPr>
              <w:pStyle w:val="Bullet"/>
              <w:numPr>
                <w:ilvl w:val="0"/>
                <w:numId w:val="4"/>
              </w:numPr>
              <w:spacing w:after="80"/>
              <w:ind w:left="576" w:hanging="216"/>
              <w:rPr>
                <w:rFonts w:eastAsia="Arial,Arial,Arial,Arial,Arial,A"/>
              </w:rPr>
            </w:pPr>
            <w:r w:rsidRPr="005D4222">
              <w:t>A community mental health center visit (</w:t>
            </w:r>
            <w:r w:rsidRPr="005D4222">
              <w:rPr>
                <w:u w:val="single"/>
              </w:rPr>
              <w:t>Visit Setting Unspecified Value Set</w:t>
            </w:r>
            <w:r w:rsidRPr="005D4222">
              <w:t xml:space="preserve"> </w:t>
            </w:r>
            <w:r w:rsidRPr="005D4222">
              <w:rPr>
                <w:b/>
                <w:bCs/>
                <w:i/>
                <w:iCs/>
              </w:rPr>
              <w:t>with</w:t>
            </w:r>
            <w:r w:rsidRPr="005D4222">
              <w:t xml:space="preserve"> POS Code 53).</w:t>
            </w:r>
          </w:p>
        </w:tc>
      </w:tr>
      <w:tr w:rsidR="00B7603B" w:rsidRPr="005D4222" w14:paraId="74EAE97F" w14:textId="77777777" w:rsidTr="00B7603B">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C0A83DE" w14:textId="77777777" w:rsidR="00B7603B" w:rsidRPr="005D4222" w:rsidRDefault="00B7603B"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186B0CF" w14:textId="77777777" w:rsidR="00B7603B" w:rsidRPr="005D4222" w:rsidRDefault="00B7603B" w:rsidP="00B7603B">
            <w:pPr>
              <w:pStyle w:val="Bullet"/>
              <w:numPr>
                <w:ilvl w:val="0"/>
                <w:numId w:val="4"/>
              </w:numPr>
              <w:spacing w:after="80"/>
              <w:ind w:left="576" w:hanging="216"/>
            </w:pPr>
            <w:r w:rsidRPr="005D4222">
              <w:t>A telehealth visit (</w:t>
            </w:r>
            <w:r w:rsidRPr="005D4222">
              <w:rPr>
                <w:u w:val="single"/>
              </w:rPr>
              <w:t>Visit Setting Unspecified Value Set</w:t>
            </w:r>
            <w:r w:rsidRPr="005D4222">
              <w:t xml:space="preserve"> </w:t>
            </w:r>
            <w:r w:rsidRPr="005D4222">
              <w:rPr>
                <w:b/>
                <w:bCs/>
                <w:i/>
                <w:iCs/>
              </w:rPr>
              <w:t>with</w:t>
            </w:r>
            <w:r w:rsidRPr="005D4222">
              <w:t xml:space="preserve"> </w:t>
            </w:r>
            <w:r w:rsidRPr="005D4222">
              <w:rPr>
                <w:u w:val="single"/>
              </w:rPr>
              <w:t>Telehealth POS Value Set</w:t>
            </w:r>
            <w:r w:rsidRPr="005D4222">
              <w:t>).</w:t>
            </w:r>
          </w:p>
          <w:p w14:paraId="6739CA8A" w14:textId="77777777" w:rsidR="00B7603B" w:rsidRPr="005D4222" w:rsidRDefault="00B7603B" w:rsidP="00B7603B">
            <w:pPr>
              <w:pStyle w:val="Bullet"/>
              <w:numPr>
                <w:ilvl w:val="0"/>
                <w:numId w:val="4"/>
              </w:numPr>
              <w:spacing w:after="80"/>
              <w:ind w:left="576" w:hanging="216"/>
            </w:pPr>
            <w:r w:rsidRPr="005D4222">
              <w:t>A telephone visit (</w:t>
            </w:r>
            <w:r w:rsidRPr="005D4222">
              <w:rPr>
                <w:u w:val="single"/>
              </w:rPr>
              <w:t>Telephone Visits Value Set</w:t>
            </w:r>
            <w:r w:rsidRPr="005D4222">
              <w:t>).</w:t>
            </w:r>
          </w:p>
          <w:p w14:paraId="2F1C0C11" w14:textId="77777777" w:rsidR="00B7603B" w:rsidRPr="005D4222" w:rsidRDefault="00B7603B" w:rsidP="00B7603B">
            <w:pPr>
              <w:pStyle w:val="ECDSBody"/>
              <w:spacing w:before="180"/>
              <w:rPr>
                <w:rFonts w:eastAsia="Arial,Arial,Arial,Arial,Arial,A"/>
              </w:rPr>
            </w:pPr>
            <w:r w:rsidRPr="005D4222">
              <w:rPr>
                <w:b/>
                <w:bCs w:val="0"/>
              </w:rPr>
              <w:t xml:space="preserve">Numerator 2: C&amp;M phase. </w:t>
            </w:r>
            <w:r w:rsidRPr="005D4222">
              <w:rPr>
                <w:b/>
                <w:bCs w:val="0"/>
              </w:rPr>
              <w:br/>
            </w:r>
            <w:r w:rsidRPr="005D4222">
              <w:rPr>
                <w:rFonts w:eastAsia="Arial,Arial,Arial,Arial,Arial,A"/>
              </w:rPr>
              <w:t>Persons numerator who meet the following:</w:t>
            </w:r>
          </w:p>
          <w:p w14:paraId="6207AC49" w14:textId="77777777" w:rsidR="00B7603B" w:rsidRPr="005D4222" w:rsidRDefault="00B7603B" w:rsidP="00B7603B">
            <w:pPr>
              <w:pStyle w:val="Bullet"/>
              <w:numPr>
                <w:ilvl w:val="0"/>
                <w:numId w:val="4"/>
              </w:numPr>
              <w:ind w:left="576" w:hanging="216"/>
              <w:rPr>
                <w:szCs w:val="21"/>
              </w:rPr>
            </w:pPr>
            <w:r w:rsidRPr="005D4222">
              <w:t xml:space="preserve">Numerator </w:t>
            </w:r>
            <w:r w:rsidRPr="005D4222">
              <w:rPr>
                <w:szCs w:val="21"/>
              </w:rPr>
              <w:t xml:space="preserve">compliant for Rate 1—Initiation Phase, </w:t>
            </w:r>
            <w:r w:rsidRPr="005D4222">
              <w:rPr>
                <w:b/>
                <w:bCs/>
                <w:i/>
                <w:iCs/>
                <w:szCs w:val="21"/>
              </w:rPr>
              <w:t xml:space="preserve">and </w:t>
            </w:r>
          </w:p>
          <w:p w14:paraId="5B694AA1" w14:textId="77777777" w:rsidR="00B7603B" w:rsidRPr="005D4222" w:rsidRDefault="00B7603B" w:rsidP="00B7603B">
            <w:pPr>
              <w:pStyle w:val="Bullet"/>
              <w:numPr>
                <w:ilvl w:val="0"/>
                <w:numId w:val="4"/>
              </w:numPr>
              <w:ind w:left="576" w:hanging="216"/>
              <w:rPr>
                <w:szCs w:val="21"/>
              </w:rPr>
            </w:pPr>
            <w:r w:rsidRPr="005D4222">
              <w:rPr>
                <w:rFonts w:eastAsia="Arial,Arial,Arial,Arial,Arial,A"/>
              </w:rPr>
              <w:t>A</w:t>
            </w:r>
            <w:r w:rsidRPr="005D4222">
              <w:rPr>
                <w:rFonts w:eastAsia="Arial,Arial,Arial,Arial,Arial,A"/>
                <w:szCs w:val="21"/>
              </w:rPr>
              <w:t xml:space="preserve">t least two follow-up visits on different dates of service with any provider, from 31-300 days after the IPSD. </w:t>
            </w:r>
          </w:p>
          <w:p w14:paraId="7160E1B8" w14:textId="77777777" w:rsidR="00B7603B" w:rsidRPr="005D4222" w:rsidRDefault="00B7603B" w:rsidP="00B7603B">
            <w:pPr>
              <w:pStyle w:val="ECDSBody"/>
            </w:pPr>
            <w:r w:rsidRPr="005D4222">
              <w:t>Any of the following code combinations meet criteria for follow-up visits:</w:t>
            </w:r>
          </w:p>
          <w:p w14:paraId="2CC04AE1" w14:textId="77777777" w:rsidR="00B7603B" w:rsidRPr="005D4222" w:rsidRDefault="00B7603B" w:rsidP="00B7603B">
            <w:pPr>
              <w:pStyle w:val="Bullet"/>
              <w:numPr>
                <w:ilvl w:val="0"/>
                <w:numId w:val="4"/>
              </w:numPr>
              <w:spacing w:after="80"/>
              <w:ind w:left="576" w:hanging="216"/>
            </w:pPr>
            <w:r w:rsidRPr="005D4222">
              <w:t>An outpatient visit (</w:t>
            </w:r>
            <w:r w:rsidRPr="005D4222">
              <w:rPr>
                <w:u w:val="single"/>
              </w:rPr>
              <w:t>Visit Setting Unspecified Value Set</w:t>
            </w:r>
            <w:r w:rsidRPr="005D4222">
              <w:t xml:space="preserve"> </w:t>
            </w:r>
            <w:r w:rsidRPr="005D4222">
              <w:rPr>
                <w:b/>
                <w:bCs/>
                <w:i/>
                <w:iCs/>
              </w:rPr>
              <w:t>with</w:t>
            </w:r>
            <w:r w:rsidRPr="005D4222">
              <w:t xml:space="preserve"> </w:t>
            </w:r>
            <w:r w:rsidRPr="005D4222">
              <w:rPr>
                <w:u w:val="single"/>
              </w:rPr>
              <w:t>Outpatient POS Value Set</w:t>
            </w:r>
            <w:r w:rsidRPr="005D4222">
              <w:t>).</w:t>
            </w:r>
          </w:p>
          <w:p w14:paraId="6805571A" w14:textId="77777777" w:rsidR="00B7603B" w:rsidRPr="005D4222" w:rsidRDefault="00B7603B" w:rsidP="00B7603B">
            <w:pPr>
              <w:pStyle w:val="Bullet"/>
              <w:numPr>
                <w:ilvl w:val="0"/>
                <w:numId w:val="4"/>
              </w:numPr>
              <w:spacing w:after="80"/>
              <w:ind w:left="576" w:hanging="216"/>
            </w:pPr>
            <w:r w:rsidRPr="005D4222">
              <w:t>An outpatient visit (</w:t>
            </w:r>
            <w:r w:rsidRPr="005D4222">
              <w:rPr>
                <w:u w:val="single"/>
              </w:rPr>
              <w:t>BH Outpatient Value Set</w:t>
            </w:r>
            <w:r w:rsidRPr="005D4222">
              <w:t>).</w:t>
            </w:r>
          </w:p>
          <w:p w14:paraId="2FEB7795" w14:textId="77777777" w:rsidR="00B7603B" w:rsidRPr="005D4222" w:rsidRDefault="00B7603B" w:rsidP="00B7603B">
            <w:pPr>
              <w:pStyle w:val="Bullet"/>
              <w:numPr>
                <w:ilvl w:val="0"/>
                <w:numId w:val="4"/>
              </w:numPr>
              <w:ind w:left="576" w:hanging="216"/>
            </w:pPr>
            <w:r w:rsidRPr="005D4222">
              <w:t>A health and behavior assessment or intervention (</w:t>
            </w:r>
            <w:r w:rsidRPr="005D4222">
              <w:rPr>
                <w:u w:val="single"/>
              </w:rPr>
              <w:t>Health and Behavior Assessment or Intervention Value Set</w:t>
            </w:r>
            <w:r w:rsidRPr="005D4222">
              <w:t>).</w:t>
            </w:r>
          </w:p>
          <w:p w14:paraId="7757619F" w14:textId="77777777" w:rsidR="00B7603B" w:rsidRPr="005D4222" w:rsidRDefault="00B7603B" w:rsidP="00B7603B">
            <w:pPr>
              <w:pStyle w:val="Bullet"/>
              <w:numPr>
                <w:ilvl w:val="0"/>
                <w:numId w:val="4"/>
              </w:numPr>
              <w:spacing w:after="80"/>
              <w:ind w:left="576" w:hanging="216"/>
            </w:pPr>
            <w:r w:rsidRPr="005D4222">
              <w:t>An intensive outpatient encounter or partial hospitalization (</w:t>
            </w:r>
            <w:r w:rsidRPr="005D4222">
              <w:rPr>
                <w:u w:val="single"/>
              </w:rPr>
              <w:t>Visit Setting Unspecified Value Set</w:t>
            </w:r>
            <w:r w:rsidRPr="005D4222">
              <w:t xml:space="preserve"> </w:t>
            </w:r>
            <w:r w:rsidRPr="005D4222">
              <w:rPr>
                <w:b/>
                <w:bCs/>
                <w:i/>
                <w:iCs/>
              </w:rPr>
              <w:t>with</w:t>
            </w:r>
            <w:r w:rsidRPr="005D4222">
              <w:t xml:space="preserve"> POS code 52).</w:t>
            </w:r>
          </w:p>
          <w:p w14:paraId="6E491070" w14:textId="77777777" w:rsidR="00B7603B" w:rsidRPr="005D4222" w:rsidRDefault="00B7603B" w:rsidP="00B7603B">
            <w:pPr>
              <w:pStyle w:val="Bullet"/>
              <w:numPr>
                <w:ilvl w:val="0"/>
                <w:numId w:val="4"/>
              </w:numPr>
              <w:ind w:left="576" w:hanging="216"/>
            </w:pPr>
            <w:r w:rsidRPr="005D4222">
              <w:t>An intensive outpatient encounter or partial hospitalization (</w:t>
            </w:r>
            <w:r w:rsidRPr="005D4222">
              <w:rPr>
                <w:u w:val="single"/>
              </w:rPr>
              <w:t>Partial Hospitalization or Intensive Outpatient Value Set</w:t>
            </w:r>
            <w:r w:rsidRPr="005D4222">
              <w:t>).</w:t>
            </w:r>
          </w:p>
          <w:p w14:paraId="04088650" w14:textId="77777777" w:rsidR="00B7603B" w:rsidRPr="005D4222" w:rsidRDefault="00B7603B" w:rsidP="00B7603B">
            <w:pPr>
              <w:pStyle w:val="Bullet"/>
              <w:numPr>
                <w:ilvl w:val="0"/>
                <w:numId w:val="4"/>
              </w:numPr>
              <w:ind w:left="576" w:hanging="216"/>
            </w:pPr>
            <w:r w:rsidRPr="005D4222">
              <w:t>A community mental health center visit (</w:t>
            </w:r>
            <w:r w:rsidRPr="005D4222">
              <w:rPr>
                <w:u w:val="single"/>
              </w:rPr>
              <w:t>Visit Setting Unspecified Value Set</w:t>
            </w:r>
            <w:r w:rsidRPr="005D4222">
              <w:t xml:space="preserve"> </w:t>
            </w:r>
            <w:r w:rsidRPr="005D4222">
              <w:rPr>
                <w:b/>
                <w:bCs/>
                <w:i/>
                <w:iCs/>
              </w:rPr>
              <w:t>with</w:t>
            </w:r>
            <w:r w:rsidRPr="005D4222">
              <w:t xml:space="preserve"> POS Code 53).</w:t>
            </w:r>
          </w:p>
          <w:p w14:paraId="561554A6" w14:textId="77777777" w:rsidR="00B7603B" w:rsidRPr="005D4222" w:rsidRDefault="00B7603B" w:rsidP="00B7603B">
            <w:pPr>
              <w:pStyle w:val="Bullet"/>
              <w:numPr>
                <w:ilvl w:val="0"/>
                <w:numId w:val="4"/>
              </w:numPr>
              <w:ind w:left="576" w:hanging="216"/>
            </w:pPr>
            <w:r w:rsidRPr="005D4222">
              <w:t>A telehealth visit (</w:t>
            </w:r>
            <w:r w:rsidRPr="005D4222">
              <w:rPr>
                <w:u w:val="single"/>
              </w:rPr>
              <w:t>Visit Setting Unspecified Value Set</w:t>
            </w:r>
            <w:r w:rsidRPr="005D4222">
              <w:t xml:space="preserve"> </w:t>
            </w:r>
            <w:r w:rsidRPr="005D4222">
              <w:rPr>
                <w:b/>
                <w:bCs/>
                <w:i/>
                <w:iCs/>
              </w:rPr>
              <w:t>with</w:t>
            </w:r>
            <w:r w:rsidRPr="005D4222">
              <w:t xml:space="preserve"> </w:t>
            </w:r>
            <w:r w:rsidRPr="005D4222">
              <w:rPr>
                <w:u w:val="single"/>
              </w:rPr>
              <w:t>Telehealth POS Value Set</w:t>
            </w:r>
            <w:r w:rsidRPr="005D4222">
              <w:t>).</w:t>
            </w:r>
          </w:p>
          <w:p w14:paraId="0B5D36E1" w14:textId="77777777" w:rsidR="00B7603B" w:rsidRPr="005D4222" w:rsidRDefault="00B7603B" w:rsidP="00B7603B">
            <w:pPr>
              <w:pStyle w:val="Bullet"/>
              <w:numPr>
                <w:ilvl w:val="0"/>
                <w:numId w:val="4"/>
              </w:numPr>
              <w:ind w:left="576" w:hanging="216"/>
            </w:pPr>
            <w:r w:rsidRPr="005D4222">
              <w:t>A telephone visit (</w:t>
            </w:r>
            <w:r w:rsidRPr="005D4222">
              <w:rPr>
                <w:u w:val="single"/>
              </w:rPr>
              <w:t>Telephone Visits Value Set</w:t>
            </w:r>
            <w:r w:rsidRPr="005D4222">
              <w:t>).</w:t>
            </w:r>
          </w:p>
          <w:p w14:paraId="120F0FA9" w14:textId="77777777" w:rsidR="00B7603B" w:rsidRPr="005D4222" w:rsidRDefault="00B7603B" w:rsidP="00B7603B">
            <w:pPr>
              <w:pStyle w:val="Bullet"/>
              <w:numPr>
                <w:ilvl w:val="0"/>
                <w:numId w:val="4"/>
              </w:numPr>
              <w:ind w:left="576" w:hanging="216"/>
            </w:pPr>
            <w:r w:rsidRPr="005D4222">
              <w:t>An e-visit or virtual check-in (</w:t>
            </w:r>
            <w:r w:rsidRPr="005D4222">
              <w:rPr>
                <w:u w:val="single"/>
              </w:rPr>
              <w:t>Online Assessments Value Set</w:t>
            </w:r>
            <w:r w:rsidRPr="005D4222">
              <w:t>).</w:t>
            </w:r>
          </w:p>
          <w:p w14:paraId="7A71A599" w14:textId="716C9C58" w:rsidR="00B7603B" w:rsidRPr="005D4222" w:rsidRDefault="00B7603B" w:rsidP="00B7603B">
            <w:pPr>
              <w:pStyle w:val="Dash"/>
              <w:spacing w:after="80"/>
              <w:rPr>
                <w:rFonts w:eastAsia="Arial,Arial,Arial,Arial,Arial,A"/>
                <w:b/>
                <w:bCs/>
              </w:rPr>
            </w:pPr>
            <w:r w:rsidRPr="005D4222">
              <w:rPr>
                <w:rStyle w:val="TableTextChar"/>
                <w:rFonts w:ascii="Arial" w:hAnsi="Arial"/>
                <w:szCs w:val="20"/>
              </w:rPr>
              <w:t xml:space="preserve">Only one of the two visits (during the 31–300 days after the IPSD) may be an e-visit or virtual check-in </w:t>
            </w:r>
            <w:r w:rsidRPr="005D4222">
              <w:t>(</w:t>
            </w:r>
            <w:r w:rsidRPr="005D4222">
              <w:rPr>
                <w:u w:val="single"/>
              </w:rPr>
              <w:t>Online Assessments Value Set</w:t>
            </w:r>
            <w:r w:rsidRPr="005D4222">
              <w:t>)</w:t>
            </w:r>
            <w:r w:rsidRPr="005D4222">
              <w:rPr>
                <w:rStyle w:val="TableTextChar"/>
                <w:rFonts w:ascii="Arial" w:hAnsi="Arial"/>
                <w:szCs w:val="20"/>
              </w:rPr>
              <w:t>.</w:t>
            </w:r>
          </w:p>
        </w:tc>
      </w:tr>
      <w:tr w:rsidR="00A872F0" w:rsidRPr="005D4222" w14:paraId="6F284874" w14:textId="77777777" w:rsidTr="00B7603B">
        <w:trPr>
          <w:trHeight w:val="68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189F1FE" w14:textId="77777777" w:rsidR="00A872F0" w:rsidRPr="005D4222" w:rsidRDefault="00A872F0" w:rsidP="00A53E8C">
            <w:pPr>
              <w:pStyle w:val="MarginHead"/>
              <w:rPr>
                <w:szCs w:val="22"/>
              </w:rPr>
            </w:pPr>
            <w:r w:rsidRPr="005D4222">
              <w:rPr>
                <w:szCs w:val="22"/>
              </w:rPr>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41573D2" w14:textId="77777777" w:rsidR="00A872F0" w:rsidRPr="005D4222" w:rsidRDefault="00A872F0" w:rsidP="005D6173">
            <w:pPr>
              <w:pStyle w:val="ProcessBullet"/>
              <w:numPr>
                <w:ilvl w:val="0"/>
                <w:numId w:val="98"/>
              </w:numPr>
              <w:tabs>
                <w:tab w:val="left" w:pos="216"/>
              </w:tabs>
              <w:spacing w:before="120"/>
              <w:ind w:left="216" w:hanging="216"/>
            </w:pPr>
            <w:r w:rsidRPr="005D4222">
              <w:t xml:space="preserve">Removed the definitions of “participation” and “participation period.” </w:t>
            </w:r>
          </w:p>
          <w:p w14:paraId="1608EAE6" w14:textId="77777777" w:rsidR="00A872F0" w:rsidRPr="005D4222" w:rsidRDefault="00A872F0" w:rsidP="005D6173">
            <w:pPr>
              <w:pStyle w:val="ProcessBullet"/>
              <w:numPr>
                <w:ilvl w:val="0"/>
                <w:numId w:val="98"/>
              </w:numPr>
              <w:tabs>
                <w:tab w:val="left" w:pos="216"/>
              </w:tabs>
              <w:spacing w:after="80"/>
              <w:ind w:left="216" w:hanging="216"/>
            </w:pPr>
            <w:r w:rsidRPr="005D4222">
              <w:t xml:space="preserve">Removed the SSoR data elements from the data element tables. </w:t>
            </w:r>
          </w:p>
        </w:tc>
      </w:tr>
      <w:tr w:rsidR="00A872F0" w:rsidRPr="005D4222" w14:paraId="4DC533FB" w14:textId="77777777" w:rsidTr="00B7603B">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7706E3E" w14:textId="77777777" w:rsidR="00A872F0" w:rsidRPr="005D4222" w:rsidRDefault="00A872F0" w:rsidP="00A53E8C">
            <w:pPr>
              <w:pStyle w:val="MarginHead"/>
              <w:rPr>
                <w:szCs w:val="22"/>
              </w:rPr>
            </w:pPr>
            <w:r w:rsidRPr="005D4222">
              <w:rPr>
                <w:szCs w:val="22"/>
              </w:rPr>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F423424" w14:textId="77777777" w:rsidR="00A872F0" w:rsidRPr="005D4222" w:rsidRDefault="00A872F0" w:rsidP="00A53E8C">
            <w:pPr>
              <w:pStyle w:val="Heading3"/>
              <w:spacing w:before="120"/>
              <w:rPr>
                <w:rFonts w:cs="Times New Roman"/>
                <w:b w:val="0"/>
                <w:i w:val="0"/>
                <w:sz w:val="21"/>
                <w:szCs w:val="21"/>
              </w:rPr>
            </w:pPr>
            <w:r w:rsidRPr="005D4222">
              <w:rPr>
                <w:rFonts w:cs="Times New Roman"/>
                <w:b w:val="0"/>
                <w:i w:val="0"/>
                <w:sz w:val="21"/>
                <w:szCs w:val="21"/>
              </w:rPr>
              <w:t>Organizations that submit HEDIS data to NCQA must provide the following data elements.</w:t>
            </w:r>
          </w:p>
          <w:p w14:paraId="19D7070C" w14:textId="77777777" w:rsidR="00A872F0" w:rsidRPr="005D4222" w:rsidRDefault="00A872F0" w:rsidP="00A53E8C">
            <w:pPr>
              <w:pStyle w:val="Heading3"/>
              <w:spacing w:before="120"/>
              <w:rPr>
                <w:b w:val="0"/>
                <w:bCs w:val="0"/>
                <w:i w:val="0"/>
                <w:iCs/>
                <w:kern w:val="20"/>
                <w:szCs w:val="21"/>
              </w:rPr>
            </w:pPr>
            <w:r w:rsidRPr="005D4222">
              <w:t>Table ADD-E-1/2: Data Elements for Follow-Up Care for Children Prescribed ADHD Medication Dispensed</w:t>
            </w:r>
          </w:p>
          <w:tbl>
            <w:tblPr>
              <w:tblW w:w="5000" w:type="pct"/>
              <w:tblLayout w:type="fixed"/>
              <w:tblLook w:val="04A0" w:firstRow="1" w:lastRow="0" w:firstColumn="1" w:lastColumn="0" w:noHBand="0" w:noVBand="1"/>
            </w:tblPr>
            <w:tblGrid>
              <w:gridCol w:w="1859"/>
              <w:gridCol w:w="2976"/>
              <w:gridCol w:w="2530"/>
            </w:tblGrid>
            <w:tr w:rsidR="00A872F0" w:rsidRPr="005D4222" w14:paraId="012B684B" w14:textId="77777777" w:rsidTr="00774C22">
              <w:trPr>
                <w:trHeight w:val="297"/>
              </w:trPr>
              <w:tc>
                <w:tcPr>
                  <w:tcW w:w="1921" w:type="dxa"/>
                  <w:tcBorders>
                    <w:top w:val="single" w:sz="4" w:space="0" w:color="auto"/>
                    <w:left w:val="single" w:sz="8" w:space="0" w:color="auto"/>
                    <w:bottom w:val="single" w:sz="4" w:space="0" w:color="auto"/>
                    <w:right w:val="single" w:sz="6" w:space="0" w:color="FFFFFF"/>
                  </w:tcBorders>
                  <w:shd w:val="clear" w:color="auto" w:fill="000000"/>
                  <w:noWrap/>
                  <w:tcMar>
                    <w:left w:w="72" w:type="dxa"/>
                    <w:right w:w="72" w:type="dxa"/>
                  </w:tcMar>
                  <w:vAlign w:val="center"/>
                  <w:hideMark/>
                </w:tcPr>
                <w:p w14:paraId="69361326" w14:textId="77777777" w:rsidR="00A872F0" w:rsidRPr="005D4222" w:rsidRDefault="00A872F0" w:rsidP="00B7603B">
                  <w:pPr>
                    <w:pStyle w:val="TableHead"/>
                    <w:spacing w:before="50" w:after="50"/>
                  </w:pPr>
                  <w:r w:rsidRPr="005D4222">
                    <w:t>Metric</w:t>
                  </w:r>
                </w:p>
              </w:tc>
              <w:tc>
                <w:tcPr>
                  <w:tcW w:w="3079" w:type="dxa"/>
                  <w:tcBorders>
                    <w:top w:val="single" w:sz="4" w:space="0" w:color="auto"/>
                    <w:left w:val="single" w:sz="6" w:space="0" w:color="FFFFFF"/>
                    <w:bottom w:val="single" w:sz="4" w:space="0" w:color="auto"/>
                    <w:right w:val="single" w:sz="4" w:space="0" w:color="FFFFFF"/>
                  </w:tcBorders>
                  <w:shd w:val="clear" w:color="auto" w:fill="000000"/>
                  <w:noWrap/>
                  <w:tcMar>
                    <w:left w:w="72" w:type="dxa"/>
                    <w:right w:w="72" w:type="dxa"/>
                  </w:tcMar>
                  <w:vAlign w:val="center"/>
                  <w:hideMark/>
                </w:tcPr>
                <w:p w14:paraId="5A89970F" w14:textId="77777777" w:rsidR="00A872F0" w:rsidRPr="005D4222" w:rsidRDefault="00A872F0" w:rsidP="00B7603B">
                  <w:pPr>
                    <w:pStyle w:val="TableHead"/>
                    <w:spacing w:before="50" w:after="50"/>
                  </w:pPr>
                  <w:r w:rsidRPr="005D4222">
                    <w:t>Data Element</w:t>
                  </w:r>
                </w:p>
              </w:tc>
              <w:tc>
                <w:tcPr>
                  <w:tcW w:w="2617" w:type="dxa"/>
                  <w:tcBorders>
                    <w:top w:val="single" w:sz="4" w:space="0" w:color="auto"/>
                    <w:left w:val="single" w:sz="4" w:space="0" w:color="FFFFFF"/>
                    <w:bottom w:val="single" w:sz="4" w:space="0" w:color="auto"/>
                    <w:right w:val="single" w:sz="8" w:space="0" w:color="auto"/>
                  </w:tcBorders>
                  <w:shd w:val="clear" w:color="auto" w:fill="000000"/>
                  <w:tcMar>
                    <w:left w:w="72" w:type="dxa"/>
                    <w:right w:w="72" w:type="dxa"/>
                  </w:tcMar>
                  <w:vAlign w:val="center"/>
                  <w:hideMark/>
                </w:tcPr>
                <w:p w14:paraId="6B74F6C2" w14:textId="77777777" w:rsidR="00A872F0" w:rsidRPr="005D4222" w:rsidRDefault="00A872F0" w:rsidP="00B7603B">
                  <w:pPr>
                    <w:pStyle w:val="TableHead"/>
                    <w:spacing w:before="50" w:after="50"/>
                  </w:pPr>
                  <w:r w:rsidRPr="005D4222">
                    <w:t>Reporting Instructions</w:t>
                  </w:r>
                </w:p>
              </w:tc>
            </w:tr>
            <w:tr w:rsidR="00A872F0" w:rsidRPr="005D4222" w14:paraId="6A8A11B6" w14:textId="77777777" w:rsidTr="00774C22">
              <w:trPr>
                <w:trHeight w:val="297"/>
              </w:trPr>
              <w:tc>
                <w:tcPr>
                  <w:tcW w:w="1921" w:type="dxa"/>
                  <w:tcBorders>
                    <w:top w:val="single" w:sz="4" w:space="0" w:color="auto"/>
                    <w:left w:val="single" w:sz="4" w:space="0" w:color="auto"/>
                    <w:bottom w:val="single" w:sz="4" w:space="0" w:color="auto"/>
                    <w:right w:val="single" w:sz="4" w:space="0" w:color="auto"/>
                  </w:tcBorders>
                  <w:shd w:val="clear" w:color="auto" w:fill="FFFFFF"/>
                  <w:noWrap/>
                  <w:tcMar>
                    <w:left w:w="72" w:type="dxa"/>
                    <w:right w:w="72" w:type="dxa"/>
                  </w:tcMar>
                  <w:vAlign w:val="center"/>
                  <w:hideMark/>
                </w:tcPr>
                <w:p w14:paraId="794CA370" w14:textId="77777777" w:rsidR="00A872F0" w:rsidRPr="005D4222" w:rsidRDefault="00A872F0" w:rsidP="00B7603B">
                  <w:pPr>
                    <w:pStyle w:val="TableText"/>
                    <w:spacing w:before="50" w:after="50"/>
                  </w:pPr>
                  <w:r w:rsidRPr="005D4222">
                    <w:t>Initiation</w:t>
                  </w:r>
                </w:p>
              </w:tc>
              <w:tc>
                <w:tcPr>
                  <w:tcW w:w="3079" w:type="dxa"/>
                  <w:tcBorders>
                    <w:top w:val="single" w:sz="4" w:space="0" w:color="auto"/>
                    <w:left w:val="single" w:sz="4" w:space="0" w:color="auto"/>
                    <w:bottom w:val="single" w:sz="4" w:space="0" w:color="auto"/>
                    <w:right w:val="single" w:sz="4" w:space="0" w:color="auto"/>
                  </w:tcBorders>
                  <w:shd w:val="clear" w:color="auto" w:fill="FFFFFF"/>
                  <w:noWrap/>
                  <w:tcMar>
                    <w:left w:w="72" w:type="dxa"/>
                    <w:right w:w="72" w:type="dxa"/>
                  </w:tcMar>
                  <w:vAlign w:val="center"/>
                  <w:hideMark/>
                </w:tcPr>
                <w:p w14:paraId="0C27079D" w14:textId="77777777" w:rsidR="00A872F0" w:rsidRPr="005D4222" w:rsidRDefault="00A872F0" w:rsidP="00B7603B">
                  <w:pPr>
                    <w:pStyle w:val="TableText"/>
                    <w:spacing w:before="50" w:after="50"/>
                  </w:pPr>
                  <w:r w:rsidRPr="005D4222">
                    <w:t>Benefit</w:t>
                  </w:r>
                </w:p>
              </w:tc>
              <w:tc>
                <w:tcPr>
                  <w:tcW w:w="2617"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vAlign w:val="center"/>
                  <w:hideMark/>
                </w:tcPr>
                <w:p w14:paraId="505BBDB8" w14:textId="77777777" w:rsidR="00A872F0" w:rsidRPr="005D4222" w:rsidRDefault="00A872F0" w:rsidP="00B7603B">
                  <w:pPr>
                    <w:pStyle w:val="TableText"/>
                    <w:spacing w:before="50" w:after="50"/>
                  </w:pPr>
                  <w:r w:rsidRPr="005D4222">
                    <w:t>Metadata</w:t>
                  </w:r>
                </w:p>
              </w:tc>
            </w:tr>
            <w:tr w:rsidR="00A872F0" w:rsidRPr="005D4222" w14:paraId="3FDCD503" w14:textId="77777777" w:rsidTr="00774C22">
              <w:trPr>
                <w:trHeight w:val="297"/>
              </w:trPr>
              <w:tc>
                <w:tcPr>
                  <w:tcW w:w="1921" w:type="dxa"/>
                  <w:tcBorders>
                    <w:top w:val="single" w:sz="4" w:space="0" w:color="auto"/>
                    <w:left w:val="single" w:sz="4" w:space="0" w:color="auto"/>
                    <w:bottom w:val="single" w:sz="4" w:space="0" w:color="auto"/>
                    <w:right w:val="single" w:sz="4" w:space="0" w:color="auto"/>
                  </w:tcBorders>
                  <w:shd w:val="clear" w:color="auto" w:fill="FFFFFF"/>
                  <w:noWrap/>
                  <w:tcMar>
                    <w:left w:w="72" w:type="dxa"/>
                    <w:right w:w="72" w:type="dxa"/>
                  </w:tcMar>
                  <w:vAlign w:val="center"/>
                </w:tcPr>
                <w:p w14:paraId="4DD6531A" w14:textId="77777777" w:rsidR="00A872F0" w:rsidRPr="005D4222" w:rsidRDefault="00A872F0" w:rsidP="00B7603B">
                  <w:pPr>
                    <w:pStyle w:val="TableText"/>
                    <w:spacing w:before="50" w:after="50"/>
                  </w:pPr>
                  <w:r w:rsidRPr="005D4222">
                    <w:t>Continuation</w:t>
                  </w:r>
                </w:p>
              </w:tc>
              <w:tc>
                <w:tcPr>
                  <w:tcW w:w="3079" w:type="dxa"/>
                  <w:tcBorders>
                    <w:top w:val="single" w:sz="4" w:space="0" w:color="auto"/>
                    <w:left w:val="single" w:sz="4" w:space="0" w:color="auto"/>
                    <w:bottom w:val="single" w:sz="4" w:space="0" w:color="auto"/>
                    <w:right w:val="single" w:sz="4" w:space="0" w:color="auto"/>
                  </w:tcBorders>
                  <w:noWrap/>
                  <w:tcMar>
                    <w:left w:w="72" w:type="dxa"/>
                    <w:right w:w="72" w:type="dxa"/>
                  </w:tcMar>
                  <w:vAlign w:val="center"/>
                </w:tcPr>
                <w:p w14:paraId="323EDA12" w14:textId="77777777" w:rsidR="00A872F0" w:rsidRPr="005D4222" w:rsidRDefault="00A872F0" w:rsidP="00B7603B">
                  <w:pPr>
                    <w:pStyle w:val="TableText"/>
                    <w:spacing w:before="50" w:after="50"/>
                  </w:pPr>
                  <w:r w:rsidRPr="005D4222">
                    <w:t>InitialPopulation</w:t>
                  </w:r>
                </w:p>
              </w:tc>
              <w:tc>
                <w:tcPr>
                  <w:tcW w:w="2617" w:type="dxa"/>
                  <w:tcBorders>
                    <w:top w:val="single" w:sz="4" w:space="0" w:color="auto"/>
                    <w:left w:val="single" w:sz="4" w:space="0" w:color="auto"/>
                    <w:bottom w:val="single" w:sz="4" w:space="0" w:color="auto"/>
                    <w:right w:val="single" w:sz="4" w:space="0" w:color="auto"/>
                  </w:tcBorders>
                  <w:tcMar>
                    <w:left w:w="72" w:type="dxa"/>
                    <w:right w:w="72" w:type="dxa"/>
                  </w:tcMar>
                  <w:vAlign w:val="center"/>
                </w:tcPr>
                <w:p w14:paraId="3040C546" w14:textId="77777777" w:rsidR="00A872F0" w:rsidRPr="005D4222" w:rsidRDefault="00A872F0" w:rsidP="00B7603B">
                  <w:pPr>
                    <w:pStyle w:val="TableText"/>
                    <w:spacing w:before="50" w:after="50"/>
                  </w:pPr>
                  <w:r w:rsidRPr="005D4222">
                    <w:t>For each Metric</w:t>
                  </w:r>
                </w:p>
              </w:tc>
            </w:tr>
            <w:tr w:rsidR="00A872F0" w:rsidRPr="005D4222" w14:paraId="20C97C34" w14:textId="77777777" w:rsidTr="00774C22">
              <w:trPr>
                <w:trHeight w:val="297"/>
              </w:trPr>
              <w:tc>
                <w:tcPr>
                  <w:tcW w:w="1921" w:type="dxa"/>
                  <w:tcBorders>
                    <w:top w:val="single" w:sz="4" w:space="0" w:color="auto"/>
                    <w:left w:val="nil"/>
                    <w:bottom w:val="nil"/>
                    <w:right w:val="single" w:sz="4" w:space="0" w:color="auto"/>
                  </w:tcBorders>
                  <w:shd w:val="clear" w:color="auto" w:fill="FFFFFF"/>
                  <w:noWrap/>
                  <w:tcMar>
                    <w:left w:w="72" w:type="dxa"/>
                    <w:right w:w="72" w:type="dxa"/>
                  </w:tcMar>
                  <w:vAlign w:val="center"/>
                  <w:hideMark/>
                </w:tcPr>
                <w:p w14:paraId="15E4B1FA" w14:textId="77777777" w:rsidR="00A872F0" w:rsidRPr="005D4222" w:rsidRDefault="00A872F0" w:rsidP="00B7603B">
                  <w:pPr>
                    <w:pStyle w:val="TableText"/>
                    <w:spacing w:before="50" w:after="50"/>
                  </w:pPr>
                  <w:r w:rsidRPr="005D4222">
                    <w:t xml:space="preserve"> </w:t>
                  </w:r>
                </w:p>
              </w:tc>
              <w:tc>
                <w:tcPr>
                  <w:tcW w:w="3079" w:type="dxa"/>
                  <w:tcBorders>
                    <w:top w:val="single" w:sz="4" w:space="0" w:color="auto"/>
                    <w:left w:val="single" w:sz="4" w:space="0" w:color="auto"/>
                    <w:bottom w:val="single" w:sz="4" w:space="0" w:color="auto"/>
                    <w:right w:val="single" w:sz="4" w:space="0" w:color="auto"/>
                  </w:tcBorders>
                  <w:noWrap/>
                  <w:tcMar>
                    <w:left w:w="72" w:type="dxa"/>
                    <w:right w:w="72" w:type="dxa"/>
                  </w:tcMar>
                  <w:vAlign w:val="center"/>
                </w:tcPr>
                <w:p w14:paraId="018C8E27" w14:textId="77777777" w:rsidR="00A872F0" w:rsidRPr="005D4222" w:rsidRDefault="00A872F0" w:rsidP="00B7603B">
                  <w:pPr>
                    <w:pStyle w:val="TableText"/>
                    <w:spacing w:before="50" w:after="50"/>
                  </w:pPr>
                  <w:r w:rsidRPr="005D4222">
                    <w:t>Exclusions</w:t>
                  </w:r>
                </w:p>
              </w:tc>
              <w:tc>
                <w:tcPr>
                  <w:tcW w:w="2617" w:type="dxa"/>
                  <w:tcBorders>
                    <w:top w:val="single" w:sz="4" w:space="0" w:color="auto"/>
                    <w:left w:val="single" w:sz="4" w:space="0" w:color="auto"/>
                    <w:bottom w:val="single" w:sz="4" w:space="0" w:color="auto"/>
                    <w:right w:val="single" w:sz="4" w:space="0" w:color="auto"/>
                  </w:tcBorders>
                  <w:tcMar>
                    <w:left w:w="72" w:type="dxa"/>
                    <w:right w:w="72" w:type="dxa"/>
                  </w:tcMar>
                  <w:vAlign w:val="center"/>
                  <w:hideMark/>
                </w:tcPr>
                <w:p w14:paraId="083628D7" w14:textId="77777777" w:rsidR="00A872F0" w:rsidRPr="005D4222" w:rsidRDefault="00A872F0" w:rsidP="00B7603B">
                  <w:pPr>
                    <w:pStyle w:val="TableText"/>
                    <w:spacing w:before="50" w:after="50"/>
                  </w:pPr>
                  <w:r w:rsidRPr="005D4222">
                    <w:t>For each Metric</w:t>
                  </w:r>
                </w:p>
              </w:tc>
            </w:tr>
            <w:tr w:rsidR="00A872F0" w:rsidRPr="005D4222" w14:paraId="5BF0E4E9" w14:textId="77777777" w:rsidTr="00774C22">
              <w:trPr>
                <w:trHeight w:val="311"/>
              </w:trPr>
              <w:tc>
                <w:tcPr>
                  <w:tcW w:w="1921" w:type="dxa"/>
                  <w:tcBorders>
                    <w:top w:val="nil"/>
                    <w:left w:val="nil"/>
                    <w:bottom w:val="nil"/>
                    <w:right w:val="single" w:sz="4" w:space="0" w:color="auto"/>
                  </w:tcBorders>
                  <w:shd w:val="clear" w:color="auto" w:fill="FFFFFF"/>
                  <w:noWrap/>
                  <w:tcMar>
                    <w:left w:w="72" w:type="dxa"/>
                    <w:right w:w="72" w:type="dxa"/>
                  </w:tcMar>
                  <w:vAlign w:val="center"/>
                  <w:hideMark/>
                </w:tcPr>
                <w:p w14:paraId="6CAE896D" w14:textId="77777777" w:rsidR="00A872F0" w:rsidRPr="005D4222" w:rsidRDefault="00A872F0" w:rsidP="00B7603B">
                  <w:pPr>
                    <w:pStyle w:val="TableText"/>
                    <w:spacing w:before="50" w:after="50"/>
                  </w:pPr>
                  <w:r w:rsidRPr="005D4222">
                    <w:t xml:space="preserve"> </w:t>
                  </w:r>
                </w:p>
              </w:tc>
              <w:tc>
                <w:tcPr>
                  <w:tcW w:w="3079" w:type="dxa"/>
                  <w:tcBorders>
                    <w:top w:val="single" w:sz="4" w:space="0" w:color="auto"/>
                    <w:left w:val="single" w:sz="4" w:space="0" w:color="auto"/>
                    <w:bottom w:val="single" w:sz="4" w:space="0" w:color="auto"/>
                    <w:right w:val="single" w:sz="4" w:space="0" w:color="auto"/>
                  </w:tcBorders>
                  <w:noWrap/>
                  <w:tcMar>
                    <w:left w:w="72" w:type="dxa"/>
                    <w:right w:w="72" w:type="dxa"/>
                  </w:tcMar>
                  <w:vAlign w:val="center"/>
                </w:tcPr>
                <w:p w14:paraId="7EDB1B6F" w14:textId="77777777" w:rsidR="00A872F0" w:rsidRPr="005D4222" w:rsidRDefault="00A872F0" w:rsidP="00B7603B">
                  <w:pPr>
                    <w:pStyle w:val="TableText"/>
                    <w:spacing w:before="50" w:after="50"/>
                  </w:pPr>
                  <w:r w:rsidRPr="005D4222">
                    <w:t>Denominator</w:t>
                  </w:r>
                </w:p>
              </w:tc>
              <w:tc>
                <w:tcPr>
                  <w:tcW w:w="2617" w:type="dxa"/>
                  <w:tcBorders>
                    <w:top w:val="single" w:sz="4" w:space="0" w:color="auto"/>
                    <w:left w:val="single" w:sz="4" w:space="0" w:color="auto"/>
                    <w:bottom w:val="single" w:sz="4" w:space="0" w:color="auto"/>
                    <w:right w:val="single" w:sz="4" w:space="0" w:color="auto"/>
                  </w:tcBorders>
                  <w:tcMar>
                    <w:left w:w="72" w:type="dxa"/>
                    <w:right w:w="72" w:type="dxa"/>
                  </w:tcMar>
                  <w:vAlign w:val="center"/>
                  <w:hideMark/>
                </w:tcPr>
                <w:p w14:paraId="36B86B15" w14:textId="77777777" w:rsidR="00A872F0" w:rsidRPr="005D4222" w:rsidRDefault="00A872F0" w:rsidP="00B7603B">
                  <w:pPr>
                    <w:pStyle w:val="TableText"/>
                    <w:spacing w:before="50" w:after="50"/>
                  </w:pPr>
                  <w:r w:rsidRPr="005D4222">
                    <w:t>For each Metric</w:t>
                  </w:r>
                </w:p>
              </w:tc>
            </w:tr>
            <w:tr w:rsidR="00A872F0" w:rsidRPr="005D4222" w14:paraId="1E849067" w14:textId="77777777" w:rsidTr="00774C22">
              <w:trPr>
                <w:trHeight w:val="297"/>
              </w:trPr>
              <w:tc>
                <w:tcPr>
                  <w:tcW w:w="1921" w:type="dxa"/>
                  <w:shd w:val="clear" w:color="auto" w:fill="FFFFFF"/>
                  <w:noWrap/>
                  <w:tcMar>
                    <w:left w:w="72" w:type="dxa"/>
                    <w:right w:w="72" w:type="dxa"/>
                  </w:tcMar>
                  <w:vAlign w:val="center"/>
                  <w:hideMark/>
                </w:tcPr>
                <w:p w14:paraId="438AA825" w14:textId="77777777" w:rsidR="00A872F0" w:rsidRPr="005D4222" w:rsidRDefault="00A872F0" w:rsidP="00B7603B">
                  <w:pPr>
                    <w:pStyle w:val="TableText"/>
                    <w:spacing w:before="50" w:after="50"/>
                  </w:pPr>
                  <w:r w:rsidRPr="005D4222">
                    <w:t xml:space="preserve"> </w:t>
                  </w:r>
                </w:p>
              </w:tc>
              <w:tc>
                <w:tcPr>
                  <w:tcW w:w="3079" w:type="dxa"/>
                  <w:tcBorders>
                    <w:top w:val="single" w:sz="4" w:space="0" w:color="auto"/>
                    <w:left w:val="single" w:sz="4" w:space="0" w:color="auto"/>
                    <w:bottom w:val="single" w:sz="4" w:space="0" w:color="auto"/>
                    <w:right w:val="single" w:sz="4" w:space="0" w:color="auto"/>
                  </w:tcBorders>
                  <w:noWrap/>
                  <w:tcMar>
                    <w:left w:w="72" w:type="dxa"/>
                    <w:right w:w="72" w:type="dxa"/>
                  </w:tcMar>
                  <w:vAlign w:val="center"/>
                </w:tcPr>
                <w:p w14:paraId="396163B1" w14:textId="77777777" w:rsidR="00A872F0" w:rsidRPr="005D4222" w:rsidRDefault="00A872F0" w:rsidP="00B7603B">
                  <w:pPr>
                    <w:pStyle w:val="TableText"/>
                    <w:spacing w:before="50" w:after="50"/>
                  </w:pPr>
                  <w:r w:rsidRPr="005D4222">
                    <w:t>Numerator</w:t>
                  </w:r>
                </w:p>
              </w:tc>
              <w:tc>
                <w:tcPr>
                  <w:tcW w:w="2617" w:type="dxa"/>
                  <w:tcBorders>
                    <w:top w:val="single" w:sz="4" w:space="0" w:color="auto"/>
                    <w:left w:val="single" w:sz="4" w:space="0" w:color="auto"/>
                    <w:bottom w:val="single" w:sz="4" w:space="0" w:color="auto"/>
                    <w:right w:val="single" w:sz="4" w:space="0" w:color="auto"/>
                  </w:tcBorders>
                  <w:tcMar>
                    <w:left w:w="72" w:type="dxa"/>
                    <w:right w:w="72" w:type="dxa"/>
                  </w:tcMar>
                  <w:vAlign w:val="center"/>
                  <w:hideMark/>
                </w:tcPr>
                <w:p w14:paraId="683A4561" w14:textId="77777777" w:rsidR="00A872F0" w:rsidRPr="005D4222" w:rsidRDefault="00A872F0" w:rsidP="00B7603B">
                  <w:pPr>
                    <w:pStyle w:val="TableText"/>
                    <w:spacing w:before="50" w:after="50"/>
                  </w:pPr>
                  <w:r w:rsidRPr="005D4222">
                    <w:t>For each Metric</w:t>
                  </w:r>
                </w:p>
              </w:tc>
            </w:tr>
            <w:tr w:rsidR="00A872F0" w:rsidRPr="005D4222" w14:paraId="0B292083" w14:textId="77777777" w:rsidTr="00774C22">
              <w:trPr>
                <w:trHeight w:val="297"/>
              </w:trPr>
              <w:tc>
                <w:tcPr>
                  <w:tcW w:w="1921" w:type="dxa"/>
                  <w:shd w:val="clear" w:color="auto" w:fill="FFFFFF"/>
                  <w:noWrap/>
                  <w:tcMar>
                    <w:left w:w="72" w:type="dxa"/>
                    <w:right w:w="72" w:type="dxa"/>
                  </w:tcMar>
                  <w:vAlign w:val="center"/>
                  <w:hideMark/>
                </w:tcPr>
                <w:p w14:paraId="5EA4840D" w14:textId="77777777" w:rsidR="00A872F0" w:rsidRPr="005D4222" w:rsidRDefault="00A872F0" w:rsidP="00B7603B">
                  <w:pPr>
                    <w:pStyle w:val="TableText"/>
                    <w:spacing w:before="50" w:after="50"/>
                  </w:pPr>
                  <w:r w:rsidRPr="005D4222">
                    <w:t xml:space="preserve"> </w:t>
                  </w:r>
                </w:p>
              </w:tc>
              <w:tc>
                <w:tcPr>
                  <w:tcW w:w="3079" w:type="dxa"/>
                  <w:tcBorders>
                    <w:top w:val="single" w:sz="4" w:space="0" w:color="auto"/>
                    <w:left w:val="single" w:sz="4" w:space="0" w:color="auto"/>
                    <w:bottom w:val="single" w:sz="4" w:space="0" w:color="auto"/>
                    <w:right w:val="single" w:sz="4" w:space="0" w:color="auto"/>
                  </w:tcBorders>
                  <w:shd w:val="clear" w:color="auto" w:fill="D9D9D9"/>
                  <w:noWrap/>
                  <w:tcMar>
                    <w:left w:w="72" w:type="dxa"/>
                    <w:right w:w="72" w:type="dxa"/>
                  </w:tcMar>
                  <w:vAlign w:val="center"/>
                </w:tcPr>
                <w:p w14:paraId="686ACF3F" w14:textId="77777777" w:rsidR="00A872F0" w:rsidRPr="005D4222" w:rsidRDefault="00A872F0" w:rsidP="00B7603B">
                  <w:pPr>
                    <w:pStyle w:val="TableText"/>
                    <w:spacing w:before="50" w:after="50"/>
                  </w:pPr>
                  <w:r w:rsidRPr="005D4222">
                    <w:t>Rate</w:t>
                  </w:r>
                </w:p>
              </w:tc>
              <w:tc>
                <w:tcPr>
                  <w:tcW w:w="2617" w:type="dxa"/>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vAlign w:val="center"/>
                  <w:hideMark/>
                </w:tcPr>
                <w:p w14:paraId="649D8CA2" w14:textId="77777777" w:rsidR="00A872F0" w:rsidRPr="005D4222" w:rsidRDefault="00A872F0" w:rsidP="00B7603B">
                  <w:pPr>
                    <w:pStyle w:val="TableText"/>
                    <w:spacing w:before="50" w:after="50"/>
                  </w:pPr>
                  <w:r w:rsidRPr="005D4222">
                    <w:t>(Percent)</w:t>
                  </w:r>
                </w:p>
              </w:tc>
            </w:tr>
          </w:tbl>
          <w:p w14:paraId="43D0E628" w14:textId="77777777" w:rsidR="00A872F0" w:rsidRPr="005D4222" w:rsidRDefault="00A872F0" w:rsidP="00A53E8C">
            <w:pPr>
              <w:pStyle w:val="Heading3"/>
              <w:spacing w:before="0" w:after="0"/>
              <w:rPr>
                <w:b w:val="0"/>
                <w:bCs w:val="0"/>
                <w:i w:val="0"/>
                <w:iCs/>
                <w:kern w:val="20"/>
                <w:sz w:val="10"/>
                <w:szCs w:val="10"/>
              </w:rPr>
            </w:pPr>
          </w:p>
          <w:p w14:paraId="401A5895" w14:textId="77777777" w:rsidR="00A872F0" w:rsidRPr="005D4222" w:rsidRDefault="00A872F0" w:rsidP="00A53E8C">
            <w:pPr>
              <w:pStyle w:val="ProcessDash"/>
              <w:numPr>
                <w:ilvl w:val="0"/>
                <w:numId w:val="0"/>
              </w:numPr>
              <w:rPr>
                <w:color w:val="000000" w:themeColor="text1"/>
                <w:highlight w:val="yellow"/>
              </w:rPr>
            </w:pPr>
          </w:p>
        </w:tc>
      </w:tr>
      <w:tr w:rsidR="007B188E" w:rsidRPr="005D4222" w14:paraId="430C682B" w14:textId="77777777" w:rsidTr="007B188E">
        <w:tc>
          <w:tcPr>
            <w:tcW w:w="2157"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2167F495" w14:textId="77777777" w:rsidR="007B188E" w:rsidRPr="005D4222" w:rsidRDefault="007B188E" w:rsidP="00B7603B">
            <w:pPr>
              <w:pStyle w:val="ECDSMarginHead"/>
            </w:pPr>
            <w:r w:rsidRPr="005D4222">
              <w:lastRenderedPageBreak/>
              <w:t>Rules for Allowable Adjustments</w:t>
            </w: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tcPr>
          <w:p w14:paraId="2C1ECE26" w14:textId="77777777" w:rsidR="007B188E" w:rsidRPr="005D4222" w:rsidRDefault="007B188E" w:rsidP="00A53E8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381A39D2" w14:textId="77777777" w:rsidR="007B188E" w:rsidRPr="005D4222" w:rsidRDefault="007B188E" w:rsidP="00A53E8C">
            <w:pPr>
              <w:pStyle w:val="ECDSBody"/>
              <w:rPr>
                <w:i/>
              </w:rPr>
            </w:pPr>
            <w:r w:rsidRPr="005D4222">
              <w:rPr>
                <w:b/>
              </w:rPr>
              <w:t>Adjusted HEDIS measures may not be used for HEDIS health plan reporting.</w:t>
            </w:r>
          </w:p>
          <w:p w14:paraId="61290208" w14:textId="77777777" w:rsidR="007B188E" w:rsidRPr="005D4222" w:rsidRDefault="007B188E" w:rsidP="00A53E8C">
            <w:pPr>
              <w:pStyle w:val="Adjustments"/>
              <w:spacing w:before="120"/>
            </w:pPr>
            <w:r w:rsidRPr="005D4222">
              <w:t>Adjustments allowed</w:t>
            </w:r>
          </w:p>
          <w:p w14:paraId="7D3FD773" w14:textId="385E292D" w:rsidR="007B188E" w:rsidRPr="005D4222" w:rsidRDefault="007B188E" w:rsidP="005D6173">
            <w:pPr>
              <w:pStyle w:val="ProcessBullet"/>
              <w:numPr>
                <w:ilvl w:val="0"/>
                <w:numId w:val="98"/>
              </w:numPr>
              <w:ind w:left="216" w:hanging="216"/>
            </w:pPr>
            <w:r w:rsidRPr="005D4222">
              <w:rPr>
                <w:i/>
              </w:rPr>
              <w:t>Product lines</w:t>
            </w:r>
            <w:r w:rsidRPr="005D4222">
              <w:t xml:space="preserve">. </w:t>
            </w:r>
            <w:r w:rsidRPr="005D4222">
              <w:rPr>
                <w:rFonts w:eastAsia="Arial"/>
              </w:rPr>
              <w:t>Organizations are not required to use product line criteria; product lines may be combined</w:t>
            </w:r>
            <w:r w:rsidR="00E8671F" w:rsidRPr="005D4222">
              <w:rPr>
                <w:rFonts w:eastAsia="Arial"/>
              </w:rPr>
              <w:t>,</w:t>
            </w:r>
            <w:r w:rsidRPr="005D4222">
              <w:rPr>
                <w:rFonts w:eastAsia="Arial"/>
              </w:rPr>
              <w:t xml:space="preserve"> and all (or no) product line criteria may be used.</w:t>
            </w:r>
          </w:p>
          <w:p w14:paraId="15396239" w14:textId="32166E7F" w:rsidR="007B188E" w:rsidRPr="005D4222" w:rsidRDefault="007B188E" w:rsidP="005D6173">
            <w:pPr>
              <w:pStyle w:val="ProcessBullet"/>
              <w:numPr>
                <w:ilvl w:val="0"/>
                <w:numId w:val="98"/>
              </w:numPr>
              <w:ind w:left="216" w:hanging="216"/>
            </w:pPr>
            <w:r w:rsidRPr="005D4222">
              <w:rPr>
                <w:i/>
              </w:rPr>
              <w:t>Ages.</w:t>
            </w:r>
            <w:r w:rsidRPr="005D4222">
              <w:t xml:space="preserve"> </w:t>
            </w:r>
            <w:r w:rsidR="005D2152" w:rsidRPr="005D4222">
              <w:t>The denominator age range may be expanded.</w:t>
            </w:r>
            <w:r w:rsidRPr="005D4222">
              <w:t xml:space="preserve"> The age determination dates may be changed (e.g., select, “age as of June 30”). </w:t>
            </w:r>
          </w:p>
          <w:p w14:paraId="5579D988" w14:textId="77777777" w:rsidR="007B188E" w:rsidRPr="005D4222" w:rsidRDefault="007B188E" w:rsidP="005D6173">
            <w:pPr>
              <w:pStyle w:val="ProcessBullet"/>
              <w:numPr>
                <w:ilvl w:val="0"/>
                <w:numId w:val="98"/>
              </w:numPr>
              <w:ind w:left="216" w:hanging="216"/>
              <w:rPr>
                <w:i/>
                <w:iCs/>
              </w:rPr>
            </w:pPr>
            <w:r w:rsidRPr="005D4222">
              <w:rPr>
                <w:i/>
              </w:rPr>
              <w:t>A</w:t>
            </w:r>
            <w:r w:rsidRPr="005D4222">
              <w:rPr>
                <w:i/>
                <w:iCs/>
              </w:rPr>
              <w:t xml:space="preserve">ttribution. </w:t>
            </w:r>
            <w:r w:rsidRPr="005D4222">
              <w:t>Organizations are not required to use enrollment criteria.</w:t>
            </w:r>
          </w:p>
          <w:p w14:paraId="3E9B126B" w14:textId="32C2FACF" w:rsidR="007B188E" w:rsidRPr="005D4222" w:rsidRDefault="00362E76" w:rsidP="005D6173">
            <w:pPr>
              <w:pStyle w:val="ProcessBullet"/>
              <w:numPr>
                <w:ilvl w:val="0"/>
                <w:numId w:val="98"/>
              </w:numPr>
              <w:spacing w:after="80"/>
              <w:ind w:left="216" w:hanging="216"/>
              <w:rPr>
                <w:i/>
              </w:rPr>
            </w:pPr>
            <w:r w:rsidRPr="005D4222">
              <w:rPr>
                <w:i/>
              </w:rPr>
              <w:t>Benefits.</w:t>
            </w:r>
            <w:r w:rsidR="007B188E" w:rsidRPr="005D4222">
              <w:rPr>
                <w:i/>
              </w:rPr>
              <w:t xml:space="preserve"> </w:t>
            </w:r>
            <w:r w:rsidR="007B188E" w:rsidRPr="005D4222">
              <w:t>Organizations are not required to use a benefit.</w:t>
            </w:r>
          </w:p>
          <w:p w14:paraId="5E1E6ECE" w14:textId="77777777" w:rsidR="007B188E" w:rsidRPr="005D4222" w:rsidRDefault="007B188E" w:rsidP="005D6173">
            <w:pPr>
              <w:pStyle w:val="ProcessBullet"/>
              <w:numPr>
                <w:ilvl w:val="0"/>
                <w:numId w:val="98"/>
              </w:numPr>
              <w:tabs>
                <w:tab w:val="left" w:pos="216"/>
              </w:tabs>
              <w:ind w:left="216" w:hanging="216"/>
              <w:rPr>
                <w:i/>
                <w:iCs/>
              </w:rPr>
            </w:pPr>
            <w:r w:rsidRPr="005D4222">
              <w:rPr>
                <w:i/>
              </w:rPr>
              <w:t xml:space="preserve">Other. </w:t>
            </w:r>
            <w:r w:rsidRPr="005D4222">
              <w:t>Organizations may use additional initial population criteria to focus on an area of interest defined by gender, race, ethnicity, socioeconomic or sociodemographic characteristics, geographic region or another characteristic.</w:t>
            </w:r>
            <w:r w:rsidRPr="005D4222">
              <w:rPr>
                <w:i/>
                <w:iCs/>
              </w:rPr>
              <w:t xml:space="preserve">  </w:t>
            </w:r>
          </w:p>
          <w:p w14:paraId="508DD02B" w14:textId="77777777" w:rsidR="007B188E" w:rsidRPr="005D4222" w:rsidRDefault="007B188E" w:rsidP="005D6173">
            <w:pPr>
              <w:pStyle w:val="ProcessBullet"/>
              <w:numPr>
                <w:ilvl w:val="0"/>
                <w:numId w:val="98"/>
              </w:numPr>
              <w:tabs>
                <w:tab w:val="left" w:pos="216"/>
              </w:tabs>
              <w:ind w:left="216" w:hanging="216"/>
            </w:pPr>
            <w:r w:rsidRPr="005D4222">
              <w:rPr>
                <w:i/>
                <w:iCs/>
              </w:rPr>
              <w:t xml:space="preserve">Measurement period adjustments. </w:t>
            </w:r>
            <w:r w:rsidRPr="005D4222">
              <w:t xml:space="preserve">Organizations may adjust the measurement period. </w:t>
            </w:r>
          </w:p>
          <w:p w14:paraId="6B77DAB5" w14:textId="77777777" w:rsidR="007B188E" w:rsidRPr="005D4222" w:rsidRDefault="007B188E" w:rsidP="005D6173">
            <w:pPr>
              <w:pStyle w:val="ProcessBullet"/>
              <w:numPr>
                <w:ilvl w:val="0"/>
                <w:numId w:val="77"/>
              </w:numPr>
              <w:tabs>
                <w:tab w:val="left" w:pos="216"/>
              </w:tabs>
              <w:ind w:left="216" w:hanging="216"/>
              <w:rPr>
                <w:b/>
                <w:bCs/>
                <w:color w:val="000000" w:themeColor="text1"/>
              </w:rPr>
            </w:pPr>
            <w:r w:rsidRPr="005D4222">
              <w:rPr>
                <w:i/>
              </w:rPr>
              <w:t xml:space="preserve">Exclusions. </w:t>
            </w:r>
            <w:r w:rsidRPr="005D4222">
              <w:rPr>
                <w:iCs/>
              </w:rPr>
              <w:t xml:space="preserve">Hospice and deceased person </w:t>
            </w:r>
            <w:r w:rsidRPr="005D4222">
              <w:t xml:space="preserve">exclusions are not required. </w:t>
            </w:r>
          </w:p>
          <w:p w14:paraId="700E50D4" w14:textId="77777777" w:rsidR="007B188E" w:rsidRPr="005D4222" w:rsidRDefault="007B188E" w:rsidP="005D6173">
            <w:pPr>
              <w:pStyle w:val="ProcessBullet"/>
              <w:numPr>
                <w:ilvl w:val="0"/>
                <w:numId w:val="98"/>
              </w:numPr>
              <w:tabs>
                <w:tab w:val="left" w:pos="216"/>
              </w:tabs>
              <w:ind w:left="216" w:hanging="216"/>
            </w:pPr>
            <w:r w:rsidRPr="005D4222">
              <w:rPr>
                <w:i/>
                <w:iCs/>
              </w:rPr>
              <w:t xml:space="preserve">Telehealth. </w:t>
            </w:r>
            <w:r w:rsidRPr="005D4222">
              <w:t>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703FD79D" w14:textId="77777777" w:rsidR="007B188E" w:rsidRPr="005D4222" w:rsidRDefault="007B188E" w:rsidP="00A53E8C">
            <w:pPr>
              <w:pStyle w:val="Adjustments"/>
            </w:pPr>
            <w:r w:rsidRPr="005D4222">
              <w:t>Adjustments not allowed</w:t>
            </w:r>
          </w:p>
          <w:p w14:paraId="5C3F92F3" w14:textId="77777777" w:rsidR="007B188E" w:rsidRPr="005D4222" w:rsidRDefault="007B188E" w:rsidP="005D6173">
            <w:pPr>
              <w:pStyle w:val="ProcessBullet"/>
              <w:numPr>
                <w:ilvl w:val="0"/>
                <w:numId w:val="98"/>
              </w:numPr>
              <w:tabs>
                <w:tab w:val="left" w:pos="216"/>
              </w:tabs>
              <w:ind w:left="216" w:hanging="216"/>
              <w:rPr>
                <w:i/>
                <w:iCs/>
              </w:rPr>
            </w:pPr>
            <w:r w:rsidRPr="005D4222">
              <w:rPr>
                <w:i/>
              </w:rPr>
              <w:t>Initial population:</w:t>
            </w:r>
            <w:r w:rsidRPr="005D4222">
              <w:rPr>
                <w:iCs/>
              </w:rPr>
              <w:t xml:space="preserve"> </w:t>
            </w:r>
            <w:r w:rsidRPr="005D4222">
              <w:t>Event</w:t>
            </w:r>
            <w:r w:rsidRPr="005D4222">
              <w:rPr>
                <w:iCs/>
              </w:rPr>
              <w:t xml:space="preserve">. </w:t>
            </w:r>
            <w:r w:rsidRPr="005D4222">
              <w:t>Medication lists, value sets and logic may not be changed.</w:t>
            </w:r>
          </w:p>
          <w:p w14:paraId="0DF56A4B" w14:textId="2BC8CAD5" w:rsidR="007B188E" w:rsidRPr="005D4222" w:rsidRDefault="007B188E" w:rsidP="005D6173">
            <w:pPr>
              <w:pStyle w:val="ProcessBullet"/>
              <w:numPr>
                <w:ilvl w:val="0"/>
                <w:numId w:val="98"/>
              </w:numPr>
              <w:tabs>
                <w:tab w:val="left" w:pos="216"/>
              </w:tabs>
              <w:ind w:left="216" w:hanging="216"/>
              <w:rPr>
                <w:i/>
                <w:iCs/>
              </w:rPr>
            </w:pPr>
            <w:r w:rsidRPr="005D4222">
              <w:rPr>
                <w:i/>
              </w:rPr>
              <w:t xml:space="preserve">Exclusions. </w:t>
            </w:r>
            <w:r w:rsidRPr="005D4222">
              <w:t>The narcolepsy exclusion must be applied</w:t>
            </w:r>
            <w:r w:rsidR="00956015" w:rsidRPr="005D4222">
              <w:t>. T</w:t>
            </w:r>
            <w:r w:rsidRPr="005D4222">
              <w:t xml:space="preserve">he value sets </w:t>
            </w:r>
            <w:r w:rsidR="00956015" w:rsidRPr="005D4222">
              <w:t>and logic</w:t>
            </w:r>
            <w:r w:rsidRPr="005D4222">
              <w:t xml:space="preserve"> may not be changed.</w:t>
            </w:r>
          </w:p>
          <w:p w14:paraId="34D74F5D" w14:textId="7AA03D82" w:rsidR="007B188E" w:rsidRPr="005D4222" w:rsidRDefault="00DE550E" w:rsidP="005D6173">
            <w:pPr>
              <w:pStyle w:val="ProcessBullet"/>
              <w:numPr>
                <w:ilvl w:val="0"/>
                <w:numId w:val="98"/>
              </w:numPr>
              <w:tabs>
                <w:tab w:val="left" w:pos="216"/>
              </w:tabs>
              <w:spacing w:after="80"/>
              <w:ind w:left="216" w:hanging="216"/>
              <w:rPr>
                <w:i/>
              </w:rPr>
            </w:pPr>
            <w:r w:rsidRPr="005D4222">
              <w:rPr>
                <w:i/>
                <w:iCs/>
              </w:rPr>
              <w:t>Numerator.</w:t>
            </w:r>
            <w:r w:rsidR="007B188E" w:rsidRPr="005D4222">
              <w:t xml:space="preserve"> Value sets, direct reference codes and logic may not be changed.</w:t>
            </w:r>
          </w:p>
        </w:tc>
      </w:tr>
    </w:tbl>
    <w:p w14:paraId="6AF1D90A" w14:textId="77777777" w:rsidR="007B188E" w:rsidRPr="005D4222" w:rsidRDefault="007B188E" w:rsidP="003752AB">
      <w:pPr>
        <w:pStyle w:val="ECDSBody"/>
        <w:sectPr w:rsidR="007B188E" w:rsidRPr="005D4222" w:rsidSect="0074514A">
          <w:headerReference w:type="default" r:id="rId228"/>
          <w:type w:val="nextColumn"/>
          <w:pgSz w:w="12240" w:h="15840" w:code="1"/>
          <w:pgMar w:top="1080" w:right="1080" w:bottom="1080" w:left="1440" w:header="720" w:footer="720" w:gutter="0"/>
          <w:cols w:space="720"/>
          <w:docGrid w:linePitch="360"/>
        </w:sectPr>
      </w:pPr>
    </w:p>
    <w:p w14:paraId="7128FCFD" w14:textId="115F2047" w:rsidR="003752AB" w:rsidRPr="005D4222" w:rsidRDefault="00B626CA" w:rsidP="00B626CA">
      <w:pPr>
        <w:pStyle w:val="MeasureTitle"/>
      </w:pPr>
      <w:bookmarkStart w:id="423" w:name="_Toc201813478"/>
      <w:r w:rsidRPr="005D4222">
        <w:lastRenderedPageBreak/>
        <w:t>Metabolic Monitoring for Children and Adolescents on Antipsychotics</w:t>
      </w:r>
      <w:r w:rsidR="008A5901" w:rsidRPr="005D4222">
        <w:t xml:space="preserve"> (APM-E)</w:t>
      </w:r>
      <w:bookmarkEnd w:id="423"/>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5040"/>
        <w:gridCol w:w="1440"/>
        <w:gridCol w:w="1077"/>
      </w:tblGrid>
      <w:tr w:rsidR="009710CB" w:rsidRPr="005D4222" w14:paraId="7788AC2F" w14:textId="77777777" w:rsidTr="00A53E8C">
        <w:tc>
          <w:tcPr>
            <w:tcW w:w="2157" w:type="dxa"/>
            <w:shd w:val="clear" w:color="auto" w:fill="BFBFBF" w:themeFill="background1" w:themeFillShade="BF"/>
            <w:tcMar>
              <w:top w:w="0" w:type="dxa"/>
              <w:left w:w="86" w:type="dxa"/>
              <w:bottom w:w="43" w:type="dxa"/>
              <w:right w:w="86" w:type="dxa"/>
            </w:tcMar>
            <w:hideMark/>
          </w:tcPr>
          <w:p w14:paraId="5844F77B" w14:textId="77777777" w:rsidR="009710CB" w:rsidRPr="005D4222" w:rsidRDefault="009710CB" w:rsidP="00A53E8C">
            <w:pPr>
              <w:pStyle w:val="ECDSMarginHead"/>
            </w:pPr>
            <w:r w:rsidRPr="005D4222">
              <w:t>Measure title</w:t>
            </w:r>
          </w:p>
        </w:tc>
        <w:tc>
          <w:tcPr>
            <w:tcW w:w="5040" w:type="dxa"/>
            <w:tcMar>
              <w:top w:w="0" w:type="dxa"/>
              <w:left w:w="86" w:type="dxa"/>
              <w:bottom w:w="43" w:type="dxa"/>
              <w:right w:w="86" w:type="dxa"/>
            </w:tcMar>
          </w:tcPr>
          <w:p w14:paraId="68D6FD3A" w14:textId="77777777" w:rsidR="009710CB" w:rsidRPr="005D4222" w:rsidRDefault="009710CB" w:rsidP="00A53E8C">
            <w:pPr>
              <w:pStyle w:val="ECDSBody"/>
            </w:pPr>
            <w:r w:rsidRPr="005D4222">
              <w:t>Metabolic Monitoring for Children and Adolescents on Antipsychotics</w:t>
            </w:r>
            <w:r w:rsidRPr="005D4222">
              <w:rPr>
                <w:b/>
              </w:rPr>
              <w:t>*</w:t>
            </w:r>
          </w:p>
        </w:tc>
        <w:tc>
          <w:tcPr>
            <w:tcW w:w="1440" w:type="dxa"/>
            <w:shd w:val="clear" w:color="auto" w:fill="BFBFBF" w:themeFill="background1" w:themeFillShade="BF"/>
            <w:tcMar>
              <w:top w:w="0" w:type="dxa"/>
              <w:left w:w="86" w:type="dxa"/>
              <w:bottom w:w="43" w:type="dxa"/>
              <w:right w:w="86" w:type="dxa"/>
            </w:tcMar>
          </w:tcPr>
          <w:p w14:paraId="1ABD8838" w14:textId="77777777" w:rsidR="009710CB" w:rsidRPr="005D4222" w:rsidRDefault="009710CB" w:rsidP="00A53E8C">
            <w:pPr>
              <w:pStyle w:val="ECDSMarginHead"/>
            </w:pPr>
            <w:r w:rsidRPr="005D4222">
              <w:t>Measure ID</w:t>
            </w:r>
          </w:p>
        </w:tc>
        <w:tc>
          <w:tcPr>
            <w:tcW w:w="1077" w:type="dxa"/>
            <w:tcMar>
              <w:top w:w="0" w:type="dxa"/>
              <w:left w:w="86" w:type="dxa"/>
              <w:bottom w:w="43" w:type="dxa"/>
              <w:right w:w="86" w:type="dxa"/>
            </w:tcMar>
          </w:tcPr>
          <w:p w14:paraId="741F8044" w14:textId="77777777" w:rsidR="009710CB" w:rsidRPr="005D4222" w:rsidRDefault="009710CB" w:rsidP="00A53E8C">
            <w:pPr>
              <w:pStyle w:val="ECDSBody"/>
            </w:pPr>
            <w:r w:rsidRPr="005D4222">
              <w:t>APM-E</w:t>
            </w:r>
          </w:p>
        </w:tc>
      </w:tr>
      <w:tr w:rsidR="009710CB" w:rsidRPr="005D4222" w14:paraId="49833052" w14:textId="77777777" w:rsidTr="00A53E8C">
        <w:tc>
          <w:tcPr>
            <w:tcW w:w="2157" w:type="dxa"/>
            <w:shd w:val="clear" w:color="auto" w:fill="BFBFBF" w:themeFill="background1" w:themeFillShade="BF"/>
            <w:tcMar>
              <w:top w:w="0" w:type="dxa"/>
              <w:left w:w="86" w:type="dxa"/>
              <w:bottom w:w="43" w:type="dxa"/>
              <w:right w:w="86" w:type="dxa"/>
            </w:tcMar>
            <w:hideMark/>
          </w:tcPr>
          <w:p w14:paraId="51426E1A" w14:textId="77777777" w:rsidR="009710CB" w:rsidRPr="005D4222" w:rsidRDefault="009710CB" w:rsidP="00A53E8C">
            <w:pPr>
              <w:pStyle w:val="ECDSMarginHead"/>
            </w:pPr>
            <w:r w:rsidRPr="005D4222">
              <w:t>Description</w:t>
            </w:r>
          </w:p>
        </w:tc>
        <w:tc>
          <w:tcPr>
            <w:tcW w:w="7557" w:type="dxa"/>
            <w:gridSpan w:val="3"/>
            <w:tcMar>
              <w:top w:w="0" w:type="dxa"/>
              <w:left w:w="86" w:type="dxa"/>
              <w:bottom w:w="43" w:type="dxa"/>
              <w:right w:w="86" w:type="dxa"/>
            </w:tcMar>
          </w:tcPr>
          <w:p w14:paraId="7C86ABFD" w14:textId="77777777" w:rsidR="009710CB" w:rsidRPr="005D4222" w:rsidRDefault="009710CB" w:rsidP="00A53E8C">
            <w:pPr>
              <w:pStyle w:val="ECDSBody"/>
            </w:pPr>
            <w:r w:rsidRPr="005D4222">
              <w:t>The percentage of persons 1–17 years of age who had two or more antipsychotic prescriptions and had metabolic testing. Three rates are reported:</w:t>
            </w:r>
          </w:p>
          <w:p w14:paraId="5581133A" w14:textId="77777777" w:rsidR="009710CB" w:rsidRPr="005D4222" w:rsidRDefault="009710CB" w:rsidP="009710CB">
            <w:pPr>
              <w:pStyle w:val="Bullet"/>
              <w:numPr>
                <w:ilvl w:val="0"/>
                <w:numId w:val="4"/>
              </w:numPr>
              <w:ind w:left="576" w:hanging="216"/>
              <w:rPr>
                <w:kern w:val="20"/>
              </w:rPr>
            </w:pPr>
            <w:r w:rsidRPr="005D4222">
              <w:rPr>
                <w:kern w:val="20"/>
              </w:rPr>
              <w:t>The percentage of persons on antipsychotics who received blood glucose testing.</w:t>
            </w:r>
          </w:p>
          <w:p w14:paraId="53CB7DE6" w14:textId="77777777" w:rsidR="009710CB" w:rsidRPr="005D4222" w:rsidRDefault="009710CB" w:rsidP="009710CB">
            <w:pPr>
              <w:pStyle w:val="Bullet"/>
              <w:numPr>
                <w:ilvl w:val="0"/>
                <w:numId w:val="4"/>
              </w:numPr>
              <w:ind w:left="576" w:hanging="216"/>
            </w:pPr>
            <w:r w:rsidRPr="005D4222">
              <w:rPr>
                <w:kern w:val="20"/>
              </w:rPr>
              <w:t>The percentage of persons on antipsychotics who received cholesterol testing.</w:t>
            </w:r>
          </w:p>
          <w:p w14:paraId="40A9B4A0" w14:textId="77777777" w:rsidR="009710CB" w:rsidRPr="005D4222" w:rsidRDefault="009710CB" w:rsidP="009710CB">
            <w:pPr>
              <w:pStyle w:val="Bullet"/>
              <w:numPr>
                <w:ilvl w:val="0"/>
                <w:numId w:val="4"/>
              </w:numPr>
              <w:spacing w:after="80"/>
              <w:ind w:left="576" w:hanging="216"/>
            </w:pPr>
            <w:r w:rsidRPr="005D4222">
              <w:rPr>
                <w:kern w:val="20"/>
              </w:rPr>
              <w:t>The percentage of persons on antipsychotics who received blood glucose and cholesterol testing.</w:t>
            </w:r>
          </w:p>
        </w:tc>
      </w:tr>
      <w:tr w:rsidR="009710CB" w:rsidRPr="005D4222" w14:paraId="2DA356BE" w14:textId="77777777" w:rsidTr="00A53E8C">
        <w:tc>
          <w:tcPr>
            <w:tcW w:w="2157" w:type="dxa"/>
            <w:shd w:val="clear" w:color="auto" w:fill="BFBFBF" w:themeFill="background1" w:themeFillShade="BF"/>
            <w:tcMar>
              <w:top w:w="0" w:type="dxa"/>
              <w:left w:w="86" w:type="dxa"/>
              <w:bottom w:w="43" w:type="dxa"/>
              <w:right w:w="86" w:type="dxa"/>
            </w:tcMar>
          </w:tcPr>
          <w:p w14:paraId="48E19D98" w14:textId="77777777" w:rsidR="009710CB" w:rsidRPr="005D4222" w:rsidRDefault="009710CB" w:rsidP="00A53E8C">
            <w:pPr>
              <w:pStyle w:val="ECDSMarginHead"/>
            </w:pPr>
            <w:r w:rsidRPr="005D4222">
              <w:t>Measurement period</w:t>
            </w:r>
          </w:p>
        </w:tc>
        <w:tc>
          <w:tcPr>
            <w:tcW w:w="7557" w:type="dxa"/>
            <w:gridSpan w:val="3"/>
            <w:tcMar>
              <w:top w:w="0" w:type="dxa"/>
              <w:left w:w="86" w:type="dxa"/>
              <w:bottom w:w="43" w:type="dxa"/>
              <w:right w:w="86" w:type="dxa"/>
            </w:tcMar>
          </w:tcPr>
          <w:p w14:paraId="1267A7F6" w14:textId="77777777" w:rsidR="009710CB" w:rsidRPr="005D4222" w:rsidRDefault="009710CB" w:rsidP="00A53E8C">
            <w:pPr>
              <w:pStyle w:val="ECDSBody"/>
            </w:pPr>
            <w:r w:rsidRPr="005D4222">
              <w:t>January 1–December 31.</w:t>
            </w:r>
          </w:p>
        </w:tc>
      </w:tr>
      <w:tr w:rsidR="009710CB" w:rsidRPr="005D4222" w14:paraId="12B4D7CB" w14:textId="77777777" w:rsidTr="00A53E8C">
        <w:tc>
          <w:tcPr>
            <w:tcW w:w="2157" w:type="dxa"/>
            <w:shd w:val="clear" w:color="auto" w:fill="BFBFBF" w:themeFill="background1" w:themeFillShade="BF"/>
            <w:tcMar>
              <w:top w:w="0" w:type="dxa"/>
              <w:left w:w="86" w:type="dxa"/>
              <w:bottom w:w="43" w:type="dxa"/>
              <w:right w:w="86" w:type="dxa"/>
            </w:tcMar>
            <w:hideMark/>
          </w:tcPr>
          <w:p w14:paraId="6E4390B6" w14:textId="77777777" w:rsidR="009710CB" w:rsidRPr="005D4222" w:rsidRDefault="009710CB" w:rsidP="00A53E8C">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31138038" w14:textId="77777777" w:rsidR="009710CB" w:rsidRPr="005D4222" w:rsidRDefault="009710CB" w:rsidP="00A53E8C">
            <w:pPr>
              <w:pStyle w:val="ECDSBody"/>
              <w:ind w:left="92" w:hanging="92"/>
              <w:rPr>
                <w:i/>
                <w:iCs/>
              </w:rPr>
            </w:pPr>
            <w:r w:rsidRPr="005D4222">
              <w:rPr>
                <w:b/>
              </w:rPr>
              <w:t>*</w:t>
            </w:r>
            <w:r w:rsidRPr="005D4222">
              <w:rPr>
                <w:i/>
                <w:iCs/>
              </w:rPr>
              <w:t>Developed with financial support from the Agency for Healthcare Research and Quality (AHRQ) and the Centers for Medicare &amp; Medicaid Services (CMS) under the CHIPRA Pediatric Quality Measures Program Centers of Excellence grant number U18 HS020503.</w:t>
            </w:r>
          </w:p>
          <w:p w14:paraId="542A9F9C" w14:textId="77777777" w:rsidR="009710CB" w:rsidRPr="005D4222" w:rsidRDefault="009710CB" w:rsidP="00A53E8C">
            <w:pPr>
              <w:pStyle w:val="ECDSBody"/>
            </w:pPr>
            <w:r w:rsidRPr="005D4222">
              <w:t>Refer to the complete copyright and disclaimer information at the front of this publication.</w:t>
            </w:r>
          </w:p>
          <w:p w14:paraId="023A1784" w14:textId="77777777" w:rsidR="009710CB" w:rsidRPr="005D4222" w:rsidRDefault="009710CB" w:rsidP="00A53E8C">
            <w:pPr>
              <w:pStyle w:val="ECDSBody"/>
              <w:spacing w:before="80"/>
            </w:pPr>
            <w:r w:rsidRPr="005D4222">
              <w:t xml:space="preserve">NCQA website: </w:t>
            </w:r>
            <w:r w:rsidRPr="005D4222">
              <w:rPr>
                <w:u w:val="single"/>
              </w:rPr>
              <w:t>www.ncqa.org</w:t>
            </w:r>
            <w:r w:rsidRPr="005D4222">
              <w:rPr>
                <w:rStyle w:val="Hyperlink"/>
              </w:rPr>
              <w:t>.</w:t>
            </w:r>
            <w:r w:rsidRPr="005D4222">
              <w:t xml:space="preserve"> </w:t>
            </w:r>
          </w:p>
          <w:p w14:paraId="09A4CF64" w14:textId="77777777" w:rsidR="009710CB" w:rsidRPr="005D4222" w:rsidRDefault="009710CB" w:rsidP="00A53E8C">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9710CB" w:rsidRPr="005D4222" w14:paraId="2188B12A" w14:textId="77777777" w:rsidTr="00A53E8C">
        <w:trPr>
          <w:trHeight w:val="655"/>
        </w:trPr>
        <w:tc>
          <w:tcPr>
            <w:tcW w:w="2157" w:type="dxa"/>
            <w:shd w:val="clear" w:color="auto" w:fill="BFBFBF" w:themeFill="background1" w:themeFillShade="BF"/>
            <w:tcMar>
              <w:top w:w="0" w:type="dxa"/>
              <w:left w:w="86" w:type="dxa"/>
              <w:bottom w:w="43" w:type="dxa"/>
              <w:right w:w="86" w:type="dxa"/>
            </w:tcMar>
            <w:hideMark/>
          </w:tcPr>
          <w:p w14:paraId="3EC75483" w14:textId="77777777" w:rsidR="009710CB" w:rsidRPr="005D4222" w:rsidRDefault="009710CB" w:rsidP="00A53E8C">
            <w:pPr>
              <w:pStyle w:val="ECDSMarginHead"/>
            </w:pPr>
            <w:r w:rsidRPr="005D4222">
              <w:t>Clinical recommendation statement/ rationale</w:t>
            </w:r>
          </w:p>
        </w:tc>
        <w:tc>
          <w:tcPr>
            <w:tcW w:w="7557" w:type="dxa"/>
            <w:gridSpan w:val="3"/>
            <w:tcMar>
              <w:top w:w="0" w:type="dxa"/>
              <w:left w:w="86" w:type="dxa"/>
              <w:bottom w:w="43" w:type="dxa"/>
              <w:right w:w="86" w:type="dxa"/>
            </w:tcMar>
          </w:tcPr>
          <w:p w14:paraId="00020504" w14:textId="77777777" w:rsidR="009710CB" w:rsidRPr="005D4222" w:rsidRDefault="009710CB" w:rsidP="00A53E8C">
            <w:pPr>
              <w:pStyle w:val="ECDSBody"/>
            </w:pPr>
            <w:r w:rsidRPr="005D4222">
              <w:t xml:space="preserve">The American Academy of Child &amp; Adolescent Psychiatry (AACAP) practice parameters endorse the American Psychiatric Association and American Diabetes Association recommendations for laboratory monitoring, including a fasting glucose and fasting lipid profile at baseline, 3 and 12 months. </w:t>
            </w:r>
          </w:p>
          <w:p w14:paraId="688716F5" w14:textId="77777777" w:rsidR="009710CB" w:rsidRPr="005D4222" w:rsidRDefault="009710CB" w:rsidP="00A53E8C">
            <w:pPr>
              <w:pStyle w:val="ECDSBody"/>
            </w:pPr>
            <w:r w:rsidRPr="005D4222">
              <w:t>The Canadian Alliance for Monitoring Effectiveness and Safety of Antipsychotics in Children calls for more frequent monitoring in youth at baseline, 3, 6 and 12 months, and additional monitoring of fasting insulin.</w:t>
            </w:r>
          </w:p>
        </w:tc>
      </w:tr>
      <w:tr w:rsidR="009710CB" w:rsidRPr="005D4222" w14:paraId="3731198E" w14:textId="77777777" w:rsidTr="00A53E8C">
        <w:tc>
          <w:tcPr>
            <w:tcW w:w="2157" w:type="dxa"/>
            <w:shd w:val="clear" w:color="auto" w:fill="BFBFBF" w:themeFill="background1" w:themeFillShade="BF"/>
            <w:tcMar>
              <w:top w:w="0" w:type="dxa"/>
              <w:left w:w="86" w:type="dxa"/>
              <w:bottom w:w="43" w:type="dxa"/>
              <w:right w:w="86" w:type="dxa"/>
            </w:tcMar>
          </w:tcPr>
          <w:p w14:paraId="140158C6" w14:textId="77777777" w:rsidR="009710CB" w:rsidRPr="005D4222" w:rsidRDefault="009710CB" w:rsidP="00A53E8C">
            <w:pPr>
              <w:pStyle w:val="ECDSMarginHead"/>
            </w:pPr>
            <w:r w:rsidRPr="005D4222">
              <w:t>Citations</w:t>
            </w:r>
          </w:p>
        </w:tc>
        <w:tc>
          <w:tcPr>
            <w:tcW w:w="7557" w:type="dxa"/>
            <w:gridSpan w:val="3"/>
            <w:tcMar>
              <w:top w:w="0" w:type="dxa"/>
              <w:left w:w="86" w:type="dxa"/>
              <w:bottom w:w="43" w:type="dxa"/>
              <w:right w:w="86" w:type="dxa"/>
            </w:tcMar>
          </w:tcPr>
          <w:p w14:paraId="12B76678" w14:textId="77777777" w:rsidR="009710CB" w:rsidRPr="005D4222" w:rsidRDefault="009710CB" w:rsidP="00A53E8C">
            <w:pPr>
              <w:pStyle w:val="ECDSBody"/>
            </w:pPr>
            <w:r w:rsidRPr="005D4222">
              <w:t xml:space="preserve">Findling, R.L., S.S. Drury, P.S. Jensen, J.L. Rapoport, O.G. Bukstein, H.J. Walter, S. Benson, et al. 2011. “Practice Parameter for the Use of Atypical Antipsychotic Medications in Children and Adolescents.” </w:t>
            </w:r>
            <w:r w:rsidRPr="005D4222">
              <w:rPr>
                <w:i/>
                <w:iCs/>
              </w:rPr>
              <w:t>J Am Acad Child Adolesc Psychiatry.</w:t>
            </w:r>
            <w:r w:rsidRPr="005D4222">
              <w:t xml:space="preserve"> </w:t>
            </w:r>
          </w:p>
          <w:p w14:paraId="20E2C876" w14:textId="77777777" w:rsidR="009710CB" w:rsidRPr="005D4222" w:rsidRDefault="009710CB" w:rsidP="00A53E8C">
            <w:pPr>
              <w:pStyle w:val="ECDSBody"/>
            </w:pPr>
            <w:r w:rsidRPr="005D4222">
              <w:t xml:space="preserve">Pringsheim, T., C. Panagiotopoulos, J. Davidson, J. Ho, and Canadian Alliance for Monitoring Effectiveness and Safety of Antipsychotics in Children (CAMESA) guideline group. 2011. “Evidence-Based Recommendations for Monitoring Safety of Second-Generation Antipsychotics in Children and Youth.” </w:t>
            </w:r>
            <w:r w:rsidRPr="005D4222">
              <w:rPr>
                <w:i/>
                <w:iCs/>
              </w:rPr>
              <w:t>Paediatrics &amp; Child Health</w:t>
            </w:r>
            <w:r w:rsidRPr="005D4222">
              <w:t xml:space="preserve"> 16, no. 9: 581–9.</w:t>
            </w:r>
          </w:p>
        </w:tc>
      </w:tr>
    </w:tbl>
    <w:p w14:paraId="7E6B7546" w14:textId="77777777" w:rsidR="00286D3D" w:rsidRPr="005D4222" w:rsidRDefault="00286D3D">
      <w:r w:rsidRPr="005D4222">
        <w:br w:type="page"/>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9710CB" w:rsidRPr="005D4222" w14:paraId="41769BC6" w14:textId="77777777" w:rsidTr="00286D3D">
        <w:tc>
          <w:tcPr>
            <w:tcW w:w="9714" w:type="dxa"/>
            <w:gridSpan w:val="2"/>
            <w:tcBorders>
              <w:bottom w:val="single" w:sz="4" w:space="0" w:color="auto"/>
            </w:tcBorders>
            <w:shd w:val="clear" w:color="auto" w:fill="BFBFBF" w:themeFill="background1" w:themeFillShade="BF"/>
            <w:tcMar>
              <w:top w:w="0" w:type="dxa"/>
              <w:left w:w="86" w:type="dxa"/>
              <w:bottom w:w="43" w:type="dxa"/>
              <w:right w:w="86" w:type="dxa"/>
            </w:tcMar>
          </w:tcPr>
          <w:p w14:paraId="71AE2962" w14:textId="77777777" w:rsidR="009710CB" w:rsidRPr="005D4222" w:rsidRDefault="009710CB" w:rsidP="00A53E8C">
            <w:pPr>
              <w:pStyle w:val="ECDSMarginHead"/>
            </w:pPr>
            <w:r w:rsidRPr="005D4222">
              <w:lastRenderedPageBreak/>
              <w:t>Characteristics</w:t>
            </w:r>
          </w:p>
        </w:tc>
      </w:tr>
      <w:tr w:rsidR="009710CB" w:rsidRPr="005D4222" w14:paraId="424236A2" w14:textId="77777777" w:rsidTr="00286D3D">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7E42C87A" w14:textId="77777777" w:rsidR="009710CB" w:rsidRPr="005D4222" w:rsidRDefault="009710CB" w:rsidP="00286D3D">
            <w:pPr>
              <w:pStyle w:val="ECDSMarginSubhead"/>
              <w:spacing w:after="0"/>
            </w:pPr>
            <w:r w:rsidRPr="005D4222">
              <w:t>Scoring</w:t>
            </w: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6311F072" w14:textId="77777777" w:rsidR="009710CB" w:rsidRPr="005D4222" w:rsidRDefault="009710CB" w:rsidP="00286D3D">
            <w:pPr>
              <w:pStyle w:val="ECDSBody"/>
              <w:spacing w:after="0"/>
            </w:pPr>
            <w:r w:rsidRPr="005D4222">
              <w:t>Proportion.</w:t>
            </w:r>
          </w:p>
        </w:tc>
      </w:tr>
      <w:tr w:rsidR="009710CB" w:rsidRPr="005D4222" w14:paraId="1D775F23" w14:textId="77777777" w:rsidTr="00286D3D">
        <w:tc>
          <w:tcPr>
            <w:tcW w:w="2157" w:type="dxa"/>
            <w:tcBorders>
              <w:top w:val="nil"/>
              <w:left w:val="single" w:sz="4" w:space="0" w:color="auto"/>
              <w:bottom w:val="nil"/>
              <w:right w:val="single" w:sz="4" w:space="0" w:color="auto"/>
            </w:tcBorders>
            <w:tcMar>
              <w:top w:w="0" w:type="dxa"/>
              <w:left w:w="86" w:type="dxa"/>
              <w:bottom w:w="43" w:type="dxa"/>
              <w:right w:w="86" w:type="dxa"/>
            </w:tcMar>
          </w:tcPr>
          <w:p w14:paraId="0136A9F1" w14:textId="77777777" w:rsidR="009710CB" w:rsidRPr="005D4222" w:rsidRDefault="009710CB" w:rsidP="00286D3D">
            <w:pPr>
              <w:pStyle w:val="ECDSMarginSubhead"/>
              <w:spacing w:after="0"/>
            </w:pPr>
            <w:r w:rsidRPr="005D4222">
              <w:t>Type</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292221CC" w14:textId="77777777" w:rsidR="009710CB" w:rsidRPr="005D4222" w:rsidRDefault="009710CB" w:rsidP="00286D3D">
            <w:pPr>
              <w:pStyle w:val="ECDSBody"/>
              <w:spacing w:after="0"/>
            </w:pPr>
            <w:r w:rsidRPr="005D4222">
              <w:t xml:space="preserve">Process. </w:t>
            </w:r>
          </w:p>
        </w:tc>
      </w:tr>
      <w:tr w:rsidR="009710CB" w:rsidRPr="005D4222" w14:paraId="4B42E84D" w14:textId="77777777" w:rsidTr="00286D3D">
        <w:tc>
          <w:tcPr>
            <w:tcW w:w="2157" w:type="dxa"/>
            <w:tcBorders>
              <w:top w:val="nil"/>
              <w:left w:val="single" w:sz="4" w:space="0" w:color="auto"/>
              <w:bottom w:val="nil"/>
              <w:right w:val="single" w:sz="4" w:space="0" w:color="auto"/>
            </w:tcBorders>
            <w:tcMar>
              <w:top w:w="0" w:type="dxa"/>
              <w:left w:w="86" w:type="dxa"/>
              <w:bottom w:w="43" w:type="dxa"/>
              <w:right w:w="86" w:type="dxa"/>
            </w:tcMar>
          </w:tcPr>
          <w:p w14:paraId="410F6723" w14:textId="28C2A3DB" w:rsidR="009710CB" w:rsidRPr="005D4222" w:rsidRDefault="00B51CDC" w:rsidP="00286D3D">
            <w:pPr>
              <w:pStyle w:val="ECDSMarginSubhead"/>
              <w:spacing w:after="0"/>
            </w:pPr>
            <w:r w:rsidRPr="005D4222">
              <w:t>Product lines</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06F49401" w14:textId="77777777" w:rsidR="009710CB" w:rsidRPr="005D4222" w:rsidRDefault="009710CB" w:rsidP="005D6173">
            <w:pPr>
              <w:pStyle w:val="ProcessBullet"/>
              <w:numPr>
                <w:ilvl w:val="0"/>
                <w:numId w:val="98"/>
              </w:numPr>
              <w:tabs>
                <w:tab w:val="left" w:pos="216"/>
              </w:tabs>
              <w:spacing w:before="120"/>
              <w:ind w:left="216" w:hanging="216"/>
            </w:pPr>
            <w:r w:rsidRPr="005D4222">
              <w:t xml:space="preserve">Commercial. </w:t>
            </w:r>
          </w:p>
          <w:p w14:paraId="6FDEA3E8" w14:textId="77777777" w:rsidR="009710CB" w:rsidRPr="005D4222" w:rsidRDefault="009710CB" w:rsidP="005D6173">
            <w:pPr>
              <w:pStyle w:val="ProcessBullet"/>
              <w:numPr>
                <w:ilvl w:val="0"/>
                <w:numId w:val="98"/>
              </w:numPr>
              <w:tabs>
                <w:tab w:val="left" w:pos="216"/>
              </w:tabs>
              <w:ind w:left="216" w:hanging="216"/>
            </w:pPr>
            <w:r w:rsidRPr="005D4222">
              <w:t>Medicaid.</w:t>
            </w:r>
          </w:p>
        </w:tc>
      </w:tr>
      <w:tr w:rsidR="009710CB" w:rsidRPr="005D4222" w14:paraId="45B3C61F" w14:textId="77777777" w:rsidTr="00286D3D">
        <w:tc>
          <w:tcPr>
            <w:tcW w:w="2157" w:type="dxa"/>
            <w:tcBorders>
              <w:top w:val="nil"/>
              <w:left w:val="single" w:sz="4" w:space="0" w:color="auto"/>
              <w:bottom w:val="nil"/>
              <w:right w:val="single" w:sz="4" w:space="0" w:color="auto"/>
            </w:tcBorders>
            <w:tcMar>
              <w:top w:w="0" w:type="dxa"/>
              <w:left w:w="86" w:type="dxa"/>
              <w:bottom w:w="43" w:type="dxa"/>
              <w:right w:w="86" w:type="dxa"/>
            </w:tcMar>
          </w:tcPr>
          <w:p w14:paraId="60D6B6E6" w14:textId="5937C392" w:rsidR="009710CB" w:rsidRPr="005D4222" w:rsidRDefault="00B51CDC" w:rsidP="00286D3D">
            <w:pPr>
              <w:pStyle w:val="ECDSMarginSubhead"/>
              <w:spacing w:after="0"/>
            </w:pPr>
            <w:r w:rsidRPr="005D4222">
              <w:t>Stratifications</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28338919" w14:textId="77777777" w:rsidR="009710CB" w:rsidRPr="005D4222" w:rsidRDefault="009710CB" w:rsidP="00286D3D">
            <w:pPr>
              <w:pStyle w:val="ECDSBody"/>
              <w:spacing w:after="0"/>
              <w:rPr>
                <w:rFonts w:eastAsia="Arial,Arial,Arial,Arial,Arial,A"/>
              </w:rPr>
            </w:pPr>
            <w:r w:rsidRPr="005D4222">
              <w:rPr>
                <w:rFonts w:eastAsia="Arial,Arial,Arial,Arial,Arial,A"/>
              </w:rPr>
              <w:t>Age as of the last day of the measurement period.</w:t>
            </w:r>
          </w:p>
          <w:p w14:paraId="5C1F3B01" w14:textId="77777777" w:rsidR="009710CB" w:rsidRPr="005D4222" w:rsidRDefault="009710CB" w:rsidP="00286D3D">
            <w:pPr>
              <w:pStyle w:val="Bullet"/>
              <w:numPr>
                <w:ilvl w:val="0"/>
                <w:numId w:val="4"/>
              </w:numPr>
              <w:ind w:left="576" w:hanging="216"/>
              <w:rPr>
                <w:rFonts w:eastAsia="Arial,Arial,Arial,Arial,Arial,A"/>
              </w:rPr>
            </w:pPr>
            <w:r w:rsidRPr="005D4222">
              <w:rPr>
                <w:rFonts w:eastAsia="Arial,Arial,Arial,Arial,Arial,A"/>
              </w:rPr>
              <w:t>1–11 years.</w:t>
            </w:r>
          </w:p>
          <w:p w14:paraId="352774AC" w14:textId="77777777" w:rsidR="009710CB" w:rsidRPr="005D4222" w:rsidRDefault="009710CB" w:rsidP="00286D3D">
            <w:pPr>
              <w:pStyle w:val="Bullet"/>
              <w:numPr>
                <w:ilvl w:val="0"/>
                <w:numId w:val="4"/>
              </w:numPr>
              <w:ind w:left="576" w:hanging="216"/>
              <w:rPr>
                <w:rFonts w:cs="Arial"/>
              </w:rPr>
            </w:pPr>
            <w:r w:rsidRPr="005D4222">
              <w:rPr>
                <w:rFonts w:eastAsia="Arial,Arial,Arial,Arial,Arial,A"/>
              </w:rPr>
              <w:t>12–17 years.</w:t>
            </w:r>
          </w:p>
        </w:tc>
      </w:tr>
      <w:tr w:rsidR="009710CB" w:rsidRPr="005D4222" w14:paraId="27A16E17" w14:textId="77777777" w:rsidTr="00286D3D">
        <w:tc>
          <w:tcPr>
            <w:tcW w:w="2157" w:type="dxa"/>
            <w:tcBorders>
              <w:top w:val="nil"/>
              <w:left w:val="single" w:sz="4" w:space="0" w:color="auto"/>
              <w:bottom w:val="nil"/>
              <w:right w:val="single" w:sz="4" w:space="0" w:color="auto"/>
            </w:tcBorders>
            <w:tcMar>
              <w:top w:w="0" w:type="dxa"/>
              <w:left w:w="86" w:type="dxa"/>
              <w:bottom w:w="43" w:type="dxa"/>
              <w:right w:w="86" w:type="dxa"/>
            </w:tcMar>
          </w:tcPr>
          <w:p w14:paraId="1CC472B9" w14:textId="77777777" w:rsidR="009710CB" w:rsidRPr="005D4222" w:rsidRDefault="009710CB" w:rsidP="00286D3D">
            <w:pPr>
              <w:pStyle w:val="ECDSMarginSubhead"/>
              <w:spacing w:after="0"/>
            </w:pPr>
            <w:r w:rsidRPr="005D4222">
              <w:t>Risk adjustment</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3771E66B" w14:textId="77777777" w:rsidR="009710CB" w:rsidRPr="005D4222" w:rsidRDefault="009710CB" w:rsidP="00286D3D">
            <w:pPr>
              <w:pStyle w:val="ECDSBody"/>
              <w:spacing w:after="0"/>
            </w:pPr>
            <w:r w:rsidRPr="005D4222">
              <w:t>None.</w:t>
            </w:r>
          </w:p>
        </w:tc>
      </w:tr>
      <w:tr w:rsidR="009710CB" w:rsidRPr="005D4222" w14:paraId="36F5A835" w14:textId="77777777" w:rsidTr="00286D3D">
        <w:tc>
          <w:tcPr>
            <w:tcW w:w="2157" w:type="dxa"/>
            <w:tcBorders>
              <w:top w:val="nil"/>
              <w:left w:val="single" w:sz="4" w:space="0" w:color="auto"/>
              <w:bottom w:val="nil"/>
              <w:right w:val="single" w:sz="4" w:space="0" w:color="auto"/>
            </w:tcBorders>
            <w:tcMar>
              <w:top w:w="0" w:type="dxa"/>
              <w:left w:w="86" w:type="dxa"/>
              <w:bottom w:w="43" w:type="dxa"/>
              <w:right w:w="86" w:type="dxa"/>
            </w:tcMar>
          </w:tcPr>
          <w:p w14:paraId="77092C50" w14:textId="77777777" w:rsidR="009710CB" w:rsidRPr="005D4222" w:rsidRDefault="009710CB" w:rsidP="00286D3D">
            <w:pPr>
              <w:pStyle w:val="ECDSMarginSubhead"/>
              <w:spacing w:after="0"/>
            </w:pPr>
            <w:r w:rsidRPr="005D4222">
              <w:t>Improvement notation</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35F5EF9A" w14:textId="77777777" w:rsidR="009710CB" w:rsidRPr="005D4222" w:rsidRDefault="009710CB" w:rsidP="00286D3D">
            <w:pPr>
              <w:pStyle w:val="ECDSBody"/>
              <w:spacing w:after="0"/>
            </w:pPr>
            <w:r w:rsidRPr="005D4222">
              <w:rPr>
                <w:iCs/>
              </w:rPr>
              <w:t>Increased score indicates improvement.</w:t>
            </w:r>
          </w:p>
        </w:tc>
      </w:tr>
      <w:tr w:rsidR="009710CB" w:rsidRPr="005D4222" w14:paraId="584FD915" w14:textId="77777777" w:rsidTr="00286D3D">
        <w:trPr>
          <w:trHeight w:val="633"/>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0942DB1D" w14:textId="77777777" w:rsidR="009710CB" w:rsidRPr="005D4222" w:rsidRDefault="009710CB" w:rsidP="00A53E8C">
            <w:pPr>
              <w:pStyle w:val="ECDSMarginSubhead"/>
            </w:pPr>
            <w:r w:rsidRPr="005D4222">
              <w:t>Guidance</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64DCA38D" w14:textId="53B0C201" w:rsidR="009710CB" w:rsidRPr="005D4222" w:rsidRDefault="009710CB" w:rsidP="00A53E8C">
            <w:pPr>
              <w:pStyle w:val="ECDSBody"/>
              <w:rPr>
                <w:color w:val="000000" w:themeColor="text1"/>
              </w:rPr>
            </w:pPr>
            <w:r w:rsidRPr="005D4222">
              <w:rPr>
                <w:b/>
                <w:color w:val="000000" w:themeColor="text1"/>
              </w:rPr>
              <w:t>Data collection methodology</w:t>
            </w:r>
            <w:r w:rsidRPr="005D4222">
              <w:rPr>
                <w:b/>
                <w:bCs w:val="0"/>
                <w:color w:val="000000" w:themeColor="text1"/>
              </w:rPr>
              <w:t>:</w:t>
            </w:r>
            <w:r w:rsidRPr="005D4222">
              <w:rPr>
                <w:color w:val="000000" w:themeColor="text1"/>
              </w:rPr>
              <w:t xml:space="preserve"> ECDS. Refer to </w:t>
            </w:r>
            <w:hyperlink w:anchor="General_Guideline_Data_Collection_Method" w:history="1">
              <w:r w:rsidRPr="005D4222">
                <w:rPr>
                  <w:rStyle w:val="Hyperlink"/>
                  <w:i/>
                  <w:iCs/>
                </w:rPr>
                <w:t>General Guideline: Data Collection Methods</w:t>
              </w:r>
            </w:hyperlink>
            <w:r w:rsidRPr="005D4222">
              <w:rPr>
                <w:i/>
                <w:iCs/>
                <w:color w:val="000000" w:themeColor="text1"/>
              </w:rPr>
              <w:t xml:space="preserve"> </w:t>
            </w:r>
            <w:r w:rsidRPr="005D4222">
              <w:rPr>
                <w:color w:val="000000" w:themeColor="text1"/>
              </w:rPr>
              <w:t>for additional information.</w:t>
            </w:r>
          </w:p>
          <w:p w14:paraId="7F7B4504" w14:textId="77777777" w:rsidR="009710CB" w:rsidRPr="005D4222" w:rsidRDefault="009710CB" w:rsidP="00A53E8C">
            <w:pPr>
              <w:pStyle w:val="ECDSBody"/>
              <w:rPr>
                <w:color w:val="000000" w:themeColor="text1"/>
              </w:rPr>
            </w:pPr>
            <w:r w:rsidRPr="005D4222">
              <w:rPr>
                <w:b/>
              </w:rPr>
              <w:t xml:space="preserve">Date specificity: </w:t>
            </w:r>
            <w:r w:rsidRPr="005D4222">
              <w:t>Dates must be specific enough to determine the event occurred in the period being measured</w:t>
            </w:r>
            <w:r w:rsidRPr="005D4222">
              <w:rPr>
                <w:rFonts w:eastAsia="Arial"/>
              </w:rPr>
              <w:t>.</w:t>
            </w:r>
          </w:p>
          <w:p w14:paraId="3713A0C4" w14:textId="77777777" w:rsidR="009710CB" w:rsidRPr="005D4222" w:rsidRDefault="009710CB" w:rsidP="00A53E8C">
            <w:pPr>
              <w:pStyle w:val="ECDSBody"/>
            </w:pPr>
            <w:r w:rsidRPr="005D4222">
              <w:rPr>
                <w:b/>
              </w:rPr>
              <w:t xml:space="preserve">Which services count? </w:t>
            </w:r>
            <w:r w:rsidRPr="005D4222">
              <w:t>When using claims, include all paid, suspended, pending and denied claims.</w:t>
            </w:r>
          </w:p>
          <w:p w14:paraId="070B51DA" w14:textId="77777777" w:rsidR="009710CB" w:rsidRPr="005D4222" w:rsidRDefault="009710CB" w:rsidP="00A53E8C">
            <w:pPr>
              <w:pStyle w:val="ECDSBody"/>
            </w:pPr>
            <w:r w:rsidRPr="005D4222">
              <w:rPr>
                <w:b/>
              </w:rPr>
              <w:t xml:space="preserve">Medication lists: </w:t>
            </w:r>
            <w:r w:rsidRPr="005D4222">
              <w:t>If an organization uses both pharmacy data (NDC codes) and clinical data (RxNorm codes) for reporting, and there are both NDC and RxNorm codes on the same date of service, use only one data source for the date of service.</w:t>
            </w:r>
          </w:p>
        </w:tc>
      </w:tr>
      <w:tr w:rsidR="009710CB" w:rsidRPr="005D4222" w14:paraId="6F3F90EE" w14:textId="77777777" w:rsidTr="00286D3D">
        <w:trPr>
          <w:trHeight w:val="320"/>
        </w:trPr>
        <w:tc>
          <w:tcPr>
            <w:tcW w:w="2157" w:type="dxa"/>
            <w:shd w:val="clear" w:color="auto" w:fill="BFBFBF" w:themeFill="background1" w:themeFillShade="BF"/>
            <w:tcMar>
              <w:top w:w="0" w:type="dxa"/>
              <w:left w:w="86" w:type="dxa"/>
              <w:bottom w:w="43" w:type="dxa"/>
              <w:right w:w="86" w:type="dxa"/>
            </w:tcMar>
          </w:tcPr>
          <w:p w14:paraId="0A47E003" w14:textId="77777777" w:rsidR="009710CB" w:rsidRPr="005D4222" w:rsidRDefault="009710CB" w:rsidP="00A53E8C">
            <w:pPr>
              <w:pStyle w:val="ECDSMarginHead"/>
            </w:pPr>
            <w:r w:rsidRPr="005D4222">
              <w:t>Initial population</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2697D5A" w14:textId="77777777" w:rsidR="009710CB" w:rsidRPr="005D4222" w:rsidRDefault="009710CB" w:rsidP="00A53E8C">
            <w:pPr>
              <w:pStyle w:val="ECDSBody"/>
            </w:pPr>
            <w:r w:rsidRPr="005D4222">
              <w:t>Measure item count: Person.</w:t>
            </w:r>
          </w:p>
          <w:p w14:paraId="23FAAA42" w14:textId="77777777" w:rsidR="009710CB" w:rsidRPr="005D4222" w:rsidRDefault="009710CB" w:rsidP="00A53E8C">
            <w:pPr>
              <w:pStyle w:val="ECDSBody"/>
            </w:pPr>
            <w:r w:rsidRPr="005D4222">
              <w:t>Attribution: Enrollment.</w:t>
            </w:r>
          </w:p>
          <w:p w14:paraId="6262612C" w14:textId="77777777" w:rsidR="009710CB" w:rsidRPr="005D4222" w:rsidRDefault="009710CB" w:rsidP="009710CB">
            <w:pPr>
              <w:pStyle w:val="Bullet"/>
              <w:numPr>
                <w:ilvl w:val="0"/>
                <w:numId w:val="4"/>
              </w:numPr>
              <w:ind w:left="576" w:hanging="216"/>
            </w:pPr>
            <w:r w:rsidRPr="005D4222">
              <w:rPr>
                <w:i/>
              </w:rPr>
              <w:t>Benefits</w:t>
            </w:r>
            <w:r w:rsidRPr="005D4222">
              <w:t>: Medical and pharmacy.</w:t>
            </w:r>
          </w:p>
          <w:p w14:paraId="7336B27E" w14:textId="77777777" w:rsidR="009710CB" w:rsidRPr="005D4222" w:rsidRDefault="009710CB" w:rsidP="009710CB">
            <w:pPr>
              <w:pStyle w:val="Bullet"/>
              <w:numPr>
                <w:ilvl w:val="0"/>
                <w:numId w:val="4"/>
              </w:numPr>
              <w:ind w:left="576" w:hanging="216"/>
            </w:pPr>
            <w:r w:rsidRPr="005D4222">
              <w:rPr>
                <w:i/>
              </w:rPr>
              <w:t>Continuous enrollment</w:t>
            </w:r>
            <w:r w:rsidRPr="005D4222">
              <w:t>: The measurement period.</w:t>
            </w:r>
          </w:p>
          <w:p w14:paraId="146A7FFD" w14:textId="77777777" w:rsidR="009710CB" w:rsidRPr="005D4222" w:rsidRDefault="009710CB" w:rsidP="009710CB">
            <w:pPr>
              <w:pStyle w:val="Bullet"/>
              <w:numPr>
                <w:ilvl w:val="0"/>
                <w:numId w:val="4"/>
              </w:numPr>
              <w:ind w:left="576" w:hanging="216"/>
            </w:pPr>
            <w:r w:rsidRPr="005D4222">
              <w:rPr>
                <w:i/>
              </w:rPr>
              <w:t>Allowable gap</w:t>
            </w:r>
            <w:r w:rsidRPr="005D4222">
              <w:t xml:space="preserve">: No more than one gap of ≤45 days during the measurement period. No gaps on the last day of the measurement period.  </w:t>
            </w:r>
          </w:p>
          <w:p w14:paraId="54BCDC42" w14:textId="77777777" w:rsidR="009710CB" w:rsidRPr="005D4222" w:rsidRDefault="009710CB" w:rsidP="00A53E8C">
            <w:pPr>
              <w:pStyle w:val="ECDSBody"/>
            </w:pPr>
            <w:r w:rsidRPr="005D4222">
              <w:rPr>
                <w:i/>
              </w:rPr>
              <w:t>Ages</w:t>
            </w:r>
            <w:r w:rsidRPr="005D4222">
              <w:t>: 1–17 years of age as of the last day of the measurement period.</w:t>
            </w:r>
          </w:p>
          <w:p w14:paraId="6B58511A" w14:textId="77777777" w:rsidR="00EC7938" w:rsidRPr="005D4222" w:rsidRDefault="009710CB" w:rsidP="00A53E8C">
            <w:pPr>
              <w:pStyle w:val="ECDSBody"/>
              <w:rPr>
                <w:b/>
                <w:bCs w:val="0"/>
              </w:rPr>
            </w:pPr>
            <w:r w:rsidRPr="005D4222">
              <w:rPr>
                <w:i/>
              </w:rPr>
              <w:t>Event</w:t>
            </w:r>
            <w:r w:rsidRPr="005D4222">
              <w:t xml:space="preserve">: </w:t>
            </w:r>
            <w:r w:rsidRPr="005D4222">
              <w:rPr>
                <w:b/>
                <w:bCs w:val="0"/>
              </w:rPr>
              <w:t>Persons dispensed antipsychotic medications.</w:t>
            </w:r>
          </w:p>
          <w:p w14:paraId="6C5AB786" w14:textId="4ED8B9AF" w:rsidR="009710CB" w:rsidRPr="005D4222" w:rsidRDefault="009710CB" w:rsidP="00A53E8C">
            <w:pPr>
              <w:pStyle w:val="ECDSBody"/>
              <w:rPr>
                <w:b/>
                <w:bCs w:val="0"/>
              </w:rPr>
            </w:pPr>
            <w:r w:rsidRPr="005D4222">
              <w:t>Persons with at least two antipsychotic medication dispensing events (</w:t>
            </w:r>
            <w:r w:rsidRPr="005D4222">
              <w:rPr>
                <w:u w:val="single"/>
              </w:rPr>
              <w:t>APM Antipsychotic Medications List</w:t>
            </w:r>
            <w:r w:rsidRPr="005D4222">
              <w:t>) of the same or different medications on different dates of service during the measurement period.</w:t>
            </w:r>
            <w:r w:rsidRPr="005D4222">
              <w:rPr>
                <w:b/>
                <w:bCs w:val="0"/>
              </w:rPr>
              <w:t xml:space="preserve"> </w:t>
            </w:r>
          </w:p>
        </w:tc>
      </w:tr>
      <w:tr w:rsidR="009710CB" w:rsidRPr="005D4222" w14:paraId="71BE1555" w14:textId="77777777" w:rsidTr="00286D3D">
        <w:tc>
          <w:tcPr>
            <w:tcW w:w="2157" w:type="dxa"/>
            <w:tcBorders>
              <w:top w:val="single" w:sz="2"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74A7E109" w14:textId="77777777" w:rsidR="009710CB" w:rsidRPr="005D4222" w:rsidRDefault="009710CB" w:rsidP="00A53E8C">
            <w:pPr>
              <w:pStyle w:val="ECDSMarginHead"/>
            </w:pPr>
            <w:r w:rsidRPr="005D4222">
              <w:t xml:space="preserve">Denominator exclusions </w:t>
            </w: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vAlign w:val="center"/>
          </w:tcPr>
          <w:p w14:paraId="768F47B0" w14:textId="7463BFA5" w:rsidR="009710CB" w:rsidRPr="005D4222" w:rsidRDefault="009710CB" w:rsidP="00EC7938">
            <w:pPr>
              <w:pStyle w:val="ECDSBody"/>
              <w:rPr>
                <w:rFonts w:eastAsia="Arial,Arial,Arial,Arial,Arial,A"/>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tc>
      </w:tr>
    </w:tbl>
    <w:p w14:paraId="31BC2084" w14:textId="77777777" w:rsidR="00EC7938" w:rsidRPr="005D4222" w:rsidRDefault="00EC7938"/>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EC7938" w:rsidRPr="005D4222" w14:paraId="0A3FC8B2" w14:textId="77777777" w:rsidTr="00EC7938">
        <w:tc>
          <w:tcPr>
            <w:tcW w:w="2157" w:type="dxa"/>
            <w:tcBorders>
              <w:top w:val="single" w:sz="2"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0D718CF0" w14:textId="77777777" w:rsidR="00EC7938" w:rsidRPr="005D4222" w:rsidRDefault="00EC7938" w:rsidP="00A53E8C">
            <w:pPr>
              <w:pStyle w:val="ECDSMarginHead"/>
            </w:pP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vAlign w:val="center"/>
          </w:tcPr>
          <w:p w14:paraId="58387DD2" w14:textId="4B254E35" w:rsidR="00EC7938" w:rsidRPr="005D4222" w:rsidRDefault="00EC7938" w:rsidP="00A53E8C">
            <w:pPr>
              <w:pStyle w:val="ECDSBody"/>
              <w:rPr>
                <w:b/>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9710CB" w:rsidRPr="005D4222" w14:paraId="1F87E82C" w14:textId="77777777" w:rsidTr="00EC7938">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4455B63" w14:textId="77777777" w:rsidR="009710CB" w:rsidRPr="005D4222" w:rsidRDefault="009710CB" w:rsidP="00A53E8C">
            <w:pPr>
              <w:pStyle w:val="ECDSMarginHead"/>
            </w:pPr>
            <w:r w:rsidRPr="005D4222">
              <w:t>Denominator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3CFA209" w14:textId="77777777" w:rsidR="009710CB" w:rsidRPr="005D4222" w:rsidRDefault="009710CB" w:rsidP="00A53E8C">
            <w:pPr>
              <w:pStyle w:val="ECDSBody"/>
              <w:rPr>
                <w:b/>
                <w:color w:val="000000" w:themeColor="text1"/>
              </w:rPr>
            </w:pPr>
            <w:r w:rsidRPr="005D4222">
              <w:t xml:space="preserve">The initial population minus denominator exclusions. </w:t>
            </w:r>
          </w:p>
        </w:tc>
      </w:tr>
      <w:tr w:rsidR="009710CB" w:rsidRPr="005D4222" w14:paraId="2B2B0647" w14:textId="77777777" w:rsidTr="00A53E8C">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F9E97C2" w14:textId="77777777" w:rsidR="009710CB" w:rsidRPr="005D4222" w:rsidRDefault="009710CB" w:rsidP="00A53E8C">
            <w:pPr>
              <w:pStyle w:val="ECDSMarginHead"/>
            </w:pPr>
            <w:r w:rsidRPr="005D4222">
              <w:t>Numerator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0230E930" w14:textId="77777777" w:rsidR="009710CB" w:rsidRPr="005D4222" w:rsidRDefault="009710CB" w:rsidP="00A53E8C">
            <w:pPr>
              <w:pStyle w:val="ECDSBody"/>
              <w:rPr>
                <w:i/>
                <w:iCs/>
              </w:rPr>
            </w:pPr>
            <w:r w:rsidRPr="005D4222">
              <w:rPr>
                <w:b/>
              </w:rPr>
              <w:t>Numerator 1: Blood glucose.</w:t>
            </w:r>
            <w:r w:rsidRPr="005D4222">
              <w:rPr>
                <w:b/>
              </w:rPr>
              <w:br/>
            </w:r>
            <w:r w:rsidRPr="005D4222">
              <w:rPr>
                <w:color w:val="000000" w:themeColor="text1"/>
              </w:rPr>
              <w:t xml:space="preserve">Persons </w:t>
            </w:r>
            <w:r w:rsidRPr="005D4222">
              <w:t>who received at least one test for blood glucose or HbA1c (</w:t>
            </w:r>
            <w:r w:rsidRPr="005D4222">
              <w:rPr>
                <w:u w:val="single"/>
              </w:rPr>
              <w:t>Glucose Lab Test Value Set</w:t>
            </w:r>
            <w:r w:rsidRPr="005D4222">
              <w:t xml:space="preserve">, </w:t>
            </w:r>
            <w:r w:rsidRPr="005D4222">
              <w:rPr>
                <w:u w:val="single"/>
              </w:rPr>
              <w:t>Glucose Test Result or Finding Value Set</w:t>
            </w:r>
            <w:r w:rsidRPr="005D4222">
              <w:t xml:space="preserve">, </w:t>
            </w:r>
            <w:r w:rsidRPr="005D4222">
              <w:rPr>
                <w:u w:val="single"/>
              </w:rPr>
              <w:t>HbA1c Lab Test Value Set</w:t>
            </w:r>
            <w:r w:rsidRPr="005D4222">
              <w:t xml:space="preserve">, </w:t>
            </w:r>
            <w:r w:rsidRPr="005D4222">
              <w:rPr>
                <w:u w:val="single"/>
              </w:rPr>
              <w:t>HbA1c Test Result or Finding Value Set</w:t>
            </w:r>
            <w:r w:rsidRPr="005D4222">
              <w:rPr>
                <w:rFonts w:eastAsia="Arial,Arial,Arial,Arial,Arial,A"/>
                <w:b/>
                <w:lang w:eastAsia="zh-CN"/>
              </w:rPr>
              <w:t>*</w:t>
            </w:r>
            <w:r w:rsidRPr="005D4222">
              <w:rPr>
                <w:rFonts w:ascii="Helvetica" w:hAnsi="Helvetica"/>
                <w:color w:val="1E242C"/>
                <w:position w:val="4"/>
              </w:rPr>
              <w:t>†</w:t>
            </w:r>
            <w:r w:rsidRPr="005D4222">
              <w:t xml:space="preserve">) during the measurement period. </w:t>
            </w:r>
          </w:p>
          <w:p w14:paraId="296E85B8" w14:textId="77777777" w:rsidR="009710CB" w:rsidRPr="005D4222" w:rsidRDefault="009710CB" w:rsidP="00A53E8C">
            <w:pPr>
              <w:pStyle w:val="ECDSBody"/>
            </w:pPr>
            <w:r w:rsidRPr="005D4222">
              <w:rPr>
                <w:b/>
              </w:rPr>
              <w:t>Numerator 2: Cholesterol.</w:t>
            </w:r>
            <w:r w:rsidRPr="005D4222">
              <w:rPr>
                <w:b/>
              </w:rPr>
              <w:br/>
            </w:r>
            <w:r w:rsidRPr="005D4222">
              <w:rPr>
                <w:color w:val="000000" w:themeColor="text1"/>
              </w:rPr>
              <w:t xml:space="preserve">Persons </w:t>
            </w:r>
            <w:r w:rsidRPr="005D4222">
              <w:t>who received at least one test for LDL-C or cholesterol (</w:t>
            </w:r>
            <w:r w:rsidRPr="005D4222">
              <w:rPr>
                <w:u w:val="single"/>
              </w:rPr>
              <w:t>Cholesterol Lab Test Value Set</w:t>
            </w:r>
            <w:r w:rsidRPr="005D4222">
              <w:t xml:space="preserve">, </w:t>
            </w:r>
            <w:r w:rsidRPr="005D4222">
              <w:rPr>
                <w:u w:val="single"/>
              </w:rPr>
              <w:t>Cholesterol Test Result or Finding Value Set</w:t>
            </w:r>
            <w:r w:rsidRPr="005D4222">
              <w:t xml:space="preserve">, </w:t>
            </w:r>
            <w:r w:rsidRPr="005D4222">
              <w:rPr>
                <w:u w:val="single"/>
              </w:rPr>
              <w:t>LDL C Lab Test Value Set</w:t>
            </w:r>
            <w:r w:rsidRPr="005D4222">
              <w:t xml:space="preserve">, </w:t>
            </w:r>
            <w:r w:rsidRPr="005D4222">
              <w:rPr>
                <w:u w:val="single"/>
              </w:rPr>
              <w:t>LDL C Test Result or Finding Value Set</w:t>
            </w:r>
            <w:r w:rsidRPr="005D4222">
              <w:rPr>
                <w:rFonts w:eastAsia="Arial,Arial,Arial,Arial,Arial,A"/>
                <w:b/>
                <w:lang w:eastAsia="zh-CN"/>
              </w:rPr>
              <w:t>*</w:t>
            </w:r>
            <w:r w:rsidRPr="005D4222">
              <w:rPr>
                <w:rFonts w:ascii="Helvetica" w:hAnsi="Helvetica"/>
                <w:color w:val="1E242C"/>
                <w:position w:val="4"/>
              </w:rPr>
              <w:t>†</w:t>
            </w:r>
            <w:r w:rsidRPr="005D4222">
              <w:t xml:space="preserve">) during the measurement period. </w:t>
            </w:r>
          </w:p>
          <w:p w14:paraId="100CAEED" w14:textId="77777777" w:rsidR="009710CB" w:rsidRPr="005D4222" w:rsidRDefault="009710CB" w:rsidP="00A53E8C">
            <w:pPr>
              <w:pStyle w:val="ECDSBody"/>
              <w:rPr>
                <w:rFonts w:eastAsia="Arial,Arial,Arial,Arial,Arial,A"/>
              </w:rPr>
            </w:pPr>
            <w:r w:rsidRPr="005D4222">
              <w:rPr>
                <w:b/>
              </w:rPr>
              <w:t>Numerator 3: Blood glucose and cholesterol.</w:t>
            </w:r>
            <w:r w:rsidRPr="005D4222">
              <w:rPr>
                <w:b/>
              </w:rPr>
              <w:br/>
            </w:r>
            <w:r w:rsidRPr="005D4222">
              <w:rPr>
                <w:color w:val="000000" w:themeColor="text1"/>
              </w:rPr>
              <w:t xml:space="preserve">Persons </w:t>
            </w:r>
            <w:r w:rsidRPr="005D4222">
              <w:t>who were compliant for both numerators 1 and 2.</w:t>
            </w:r>
          </w:p>
          <w:p w14:paraId="519F84BA" w14:textId="77777777" w:rsidR="009710CB" w:rsidRPr="005D4222" w:rsidRDefault="009710CB" w:rsidP="00A53E8C">
            <w:pPr>
              <w:pStyle w:val="ECDSBody"/>
              <w:spacing w:after="0"/>
              <w:rPr>
                <w:b/>
                <w:color w:val="000000" w:themeColor="text1"/>
              </w:rPr>
            </w:pPr>
            <w:r w:rsidRPr="005D4222">
              <w:rPr>
                <w:rFonts w:eastAsia="Arial,Arial,Arial,Arial,Arial,A"/>
                <w:b/>
              </w:rPr>
              <w:t>Coding Guidance</w:t>
            </w:r>
          </w:p>
          <w:p w14:paraId="6FB3AA1C" w14:textId="77777777" w:rsidR="009710CB" w:rsidRPr="005D4222" w:rsidRDefault="009710CB" w:rsidP="00A53E8C">
            <w:pPr>
              <w:pStyle w:val="ECDSBody"/>
              <w:spacing w:before="0" w:after="0"/>
              <w:rPr>
                <w:color w:val="000000"/>
              </w:rPr>
            </w:pPr>
            <w:r w:rsidRPr="005D4222">
              <w:rPr>
                <w:b/>
              </w:rPr>
              <w:t>*</w:t>
            </w:r>
            <w:r w:rsidRPr="005D4222">
              <w:rPr>
                <w:rStyle w:val="BodyChar1"/>
              </w:rPr>
              <w:t>Do not include laboratory claims (claims with POS code 81). </w:t>
            </w:r>
          </w:p>
          <w:p w14:paraId="5A91EC81" w14:textId="77777777" w:rsidR="009710CB" w:rsidRPr="005D4222" w:rsidRDefault="009710CB" w:rsidP="00A53E8C">
            <w:pPr>
              <w:pStyle w:val="ECDSBody"/>
              <w:spacing w:before="0"/>
              <w:rPr>
                <w:color w:val="000000" w:themeColor="text1"/>
              </w:rPr>
            </w:pPr>
            <w:r w:rsidRPr="005D4222">
              <w:rPr>
                <w:rFonts w:ascii="Helvetica" w:hAnsi="Helvetica"/>
                <w:color w:val="1E242C"/>
                <w:position w:val="4"/>
              </w:rPr>
              <w:t>†</w:t>
            </w:r>
            <w:r w:rsidRPr="005D4222">
              <w:rPr>
                <w:color w:val="000000" w:themeColor="text1"/>
              </w:rPr>
              <w:t>Do not include codes with a modifier (</w:t>
            </w:r>
            <w:r w:rsidRPr="005D4222">
              <w:rPr>
                <w:u w:val="single"/>
              </w:rPr>
              <w:t>CPT CAT II Modifier Value Set)</w:t>
            </w:r>
            <w:r w:rsidRPr="005D4222">
              <w:rPr>
                <w:color w:val="000000" w:themeColor="text1"/>
              </w:rPr>
              <w:t>.</w:t>
            </w:r>
          </w:p>
        </w:tc>
      </w:tr>
      <w:tr w:rsidR="009710CB" w:rsidRPr="005D4222" w14:paraId="3A81EF71"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C9C9D79" w14:textId="77777777" w:rsidR="009710CB" w:rsidRPr="005D4222" w:rsidRDefault="009710CB" w:rsidP="00A53E8C">
            <w:pPr>
              <w:pStyle w:val="ECDSMarginHead"/>
            </w:pPr>
            <w:r w:rsidRPr="005D4222">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F51EFF8" w14:textId="77777777" w:rsidR="009710CB" w:rsidRPr="005D4222" w:rsidRDefault="009710CB" w:rsidP="005D6173">
            <w:pPr>
              <w:pStyle w:val="ProcessBullet"/>
              <w:numPr>
                <w:ilvl w:val="0"/>
                <w:numId w:val="98"/>
              </w:numPr>
              <w:tabs>
                <w:tab w:val="left" w:pos="216"/>
              </w:tabs>
              <w:spacing w:before="120"/>
              <w:ind w:left="216" w:hanging="216"/>
            </w:pPr>
            <w:r w:rsidRPr="005D4222">
              <w:t xml:space="preserve">Removed the definitions of “participation” and “participation period.” </w:t>
            </w:r>
          </w:p>
          <w:p w14:paraId="556FBBBC" w14:textId="77777777" w:rsidR="009710CB" w:rsidRPr="005D4222" w:rsidRDefault="009710CB" w:rsidP="005D6173">
            <w:pPr>
              <w:pStyle w:val="ProcessBullet"/>
              <w:numPr>
                <w:ilvl w:val="0"/>
                <w:numId w:val="98"/>
              </w:numPr>
              <w:tabs>
                <w:tab w:val="left" w:pos="216"/>
              </w:tabs>
              <w:spacing w:after="80"/>
              <w:ind w:left="216" w:hanging="216"/>
            </w:pPr>
            <w:r w:rsidRPr="005D4222">
              <w:t xml:space="preserve">Removed the SSoR data elements from the data element tables. </w:t>
            </w:r>
          </w:p>
        </w:tc>
      </w:tr>
      <w:tr w:rsidR="009710CB" w:rsidRPr="005D4222" w14:paraId="1C2B974F"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5CB9B38" w14:textId="77777777" w:rsidR="009710CB" w:rsidRPr="005D4222" w:rsidRDefault="009710CB" w:rsidP="00A53E8C">
            <w:pPr>
              <w:pStyle w:val="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F0E6CAB" w14:textId="77777777" w:rsidR="009710CB" w:rsidRPr="005D4222" w:rsidRDefault="009710CB" w:rsidP="00A53E8C">
            <w:pPr>
              <w:pStyle w:val="ECDSBody"/>
            </w:pPr>
            <w:r w:rsidRPr="005D4222">
              <w:t xml:space="preserve">Organizations that submit HEDIS data to NCQA must provide the following data elements. </w:t>
            </w:r>
          </w:p>
          <w:p w14:paraId="376B8DE0" w14:textId="77777777" w:rsidR="009710CB" w:rsidRPr="005D4222" w:rsidRDefault="009710CB" w:rsidP="00A53E8C">
            <w:pPr>
              <w:pStyle w:val="Heading3"/>
              <w:spacing w:before="120"/>
              <w:rPr>
                <w:rFonts w:eastAsia="Arial"/>
              </w:rPr>
            </w:pPr>
            <w:r w:rsidRPr="005D4222">
              <w:rPr>
                <w:rFonts w:eastAsia="Arial"/>
              </w:rPr>
              <w:t>Table APM-E-1/2: Data Elements for Metabolic Monitoring for Children and Adolescents on Antipsychotics</w:t>
            </w:r>
          </w:p>
          <w:tbl>
            <w:tblPr>
              <w:tblW w:w="5000" w:type="pct"/>
              <w:tblLayout w:type="fixed"/>
              <w:tblCellMar>
                <w:left w:w="29" w:type="dxa"/>
                <w:right w:w="29" w:type="dxa"/>
              </w:tblCellMar>
              <w:tblLook w:val="04A0" w:firstRow="1" w:lastRow="0" w:firstColumn="1" w:lastColumn="0" w:noHBand="0" w:noVBand="1"/>
            </w:tblPr>
            <w:tblGrid>
              <w:gridCol w:w="2781"/>
              <w:gridCol w:w="1170"/>
              <w:gridCol w:w="1440"/>
              <w:gridCol w:w="1974"/>
            </w:tblGrid>
            <w:tr w:rsidR="009710CB" w:rsidRPr="005D4222" w14:paraId="1B351EAD" w14:textId="77777777" w:rsidTr="00151586">
              <w:tc>
                <w:tcPr>
                  <w:tcW w:w="2781" w:type="dxa"/>
                  <w:tcBorders>
                    <w:top w:val="single" w:sz="4" w:space="0" w:color="auto"/>
                    <w:left w:val="single" w:sz="8" w:space="0" w:color="auto"/>
                    <w:bottom w:val="single" w:sz="8" w:space="0" w:color="auto"/>
                    <w:right w:val="single" w:sz="6" w:space="0" w:color="FFFFFF" w:themeColor="background1"/>
                  </w:tcBorders>
                  <w:shd w:val="clear" w:color="auto" w:fill="000000" w:themeFill="text1"/>
                  <w:noWrap/>
                  <w:tcMar>
                    <w:top w:w="0" w:type="dxa"/>
                    <w:left w:w="58" w:type="dxa"/>
                    <w:bottom w:w="0" w:type="dxa"/>
                    <w:right w:w="58" w:type="dxa"/>
                  </w:tcMar>
                  <w:vAlign w:val="center"/>
                  <w:hideMark/>
                </w:tcPr>
                <w:p w14:paraId="342E953B" w14:textId="77777777" w:rsidR="009710CB" w:rsidRPr="005D4222" w:rsidRDefault="009710CB" w:rsidP="00A53E8C">
                  <w:pPr>
                    <w:pStyle w:val="TableHead"/>
                    <w:rPr>
                      <w:b w:val="0"/>
                      <w:kern w:val="20"/>
                    </w:rPr>
                  </w:pPr>
                  <w:r w:rsidRPr="005D4222">
                    <w:t>Metric</w:t>
                  </w:r>
                </w:p>
              </w:tc>
              <w:tc>
                <w:tcPr>
                  <w:tcW w:w="1170" w:type="dxa"/>
                  <w:tcBorders>
                    <w:top w:val="single" w:sz="4" w:space="0" w:color="auto"/>
                    <w:left w:val="single" w:sz="6" w:space="0" w:color="FFFFFF" w:themeColor="background1"/>
                    <w:bottom w:val="single" w:sz="4" w:space="0" w:color="auto"/>
                    <w:right w:val="single" w:sz="6" w:space="0" w:color="FFFFFF" w:themeColor="background1"/>
                  </w:tcBorders>
                  <w:shd w:val="clear" w:color="auto" w:fill="000000" w:themeFill="text1"/>
                  <w:tcMar>
                    <w:top w:w="0" w:type="dxa"/>
                    <w:left w:w="58" w:type="dxa"/>
                    <w:bottom w:w="0" w:type="dxa"/>
                    <w:right w:w="58" w:type="dxa"/>
                  </w:tcMar>
                  <w:vAlign w:val="center"/>
                  <w:hideMark/>
                </w:tcPr>
                <w:p w14:paraId="7A1FBD84" w14:textId="77777777" w:rsidR="009710CB" w:rsidRPr="005D4222" w:rsidRDefault="009710CB" w:rsidP="00A53E8C">
                  <w:pPr>
                    <w:pStyle w:val="TableHead"/>
                    <w:rPr>
                      <w:b w:val="0"/>
                      <w:kern w:val="20"/>
                    </w:rPr>
                  </w:pPr>
                  <w:r w:rsidRPr="005D4222">
                    <w:t>Age</w:t>
                  </w:r>
                </w:p>
              </w:tc>
              <w:tc>
                <w:tcPr>
                  <w:tcW w:w="1440" w:type="dxa"/>
                  <w:tcBorders>
                    <w:top w:val="single" w:sz="4" w:space="0" w:color="auto"/>
                    <w:left w:val="single" w:sz="6" w:space="0" w:color="FFFFFF" w:themeColor="background1"/>
                    <w:bottom w:val="single" w:sz="4" w:space="0" w:color="auto"/>
                    <w:right w:val="single" w:sz="4" w:space="0" w:color="FFFFFF" w:themeColor="background1"/>
                  </w:tcBorders>
                  <w:shd w:val="clear" w:color="auto" w:fill="000000" w:themeFill="text1"/>
                  <w:noWrap/>
                  <w:tcMar>
                    <w:top w:w="0" w:type="dxa"/>
                    <w:left w:w="58" w:type="dxa"/>
                    <w:bottom w:w="0" w:type="dxa"/>
                    <w:right w:w="58" w:type="dxa"/>
                  </w:tcMar>
                  <w:vAlign w:val="center"/>
                  <w:hideMark/>
                </w:tcPr>
                <w:p w14:paraId="2EB65CED" w14:textId="77777777" w:rsidR="009710CB" w:rsidRPr="005D4222" w:rsidRDefault="009710CB" w:rsidP="00A53E8C">
                  <w:pPr>
                    <w:pStyle w:val="TableHead"/>
                    <w:rPr>
                      <w:b w:val="0"/>
                      <w:kern w:val="20"/>
                    </w:rPr>
                  </w:pPr>
                  <w:r w:rsidRPr="005D4222">
                    <w:t>Data Element</w:t>
                  </w:r>
                </w:p>
              </w:tc>
              <w:tc>
                <w:tcPr>
                  <w:tcW w:w="1974" w:type="dxa"/>
                  <w:tcBorders>
                    <w:top w:val="single" w:sz="4" w:space="0" w:color="auto"/>
                    <w:left w:val="single" w:sz="4" w:space="0" w:color="FFFFFF" w:themeColor="background1"/>
                    <w:bottom w:val="single" w:sz="4" w:space="0" w:color="auto"/>
                    <w:right w:val="single" w:sz="8" w:space="0" w:color="auto"/>
                  </w:tcBorders>
                  <w:shd w:val="clear" w:color="auto" w:fill="000000" w:themeFill="text1"/>
                  <w:tcMar>
                    <w:top w:w="0" w:type="dxa"/>
                    <w:left w:w="58" w:type="dxa"/>
                    <w:bottom w:w="0" w:type="dxa"/>
                    <w:right w:w="58" w:type="dxa"/>
                  </w:tcMar>
                  <w:vAlign w:val="center"/>
                  <w:hideMark/>
                </w:tcPr>
                <w:p w14:paraId="2517C033" w14:textId="77777777" w:rsidR="009710CB" w:rsidRPr="005D4222" w:rsidRDefault="009710CB" w:rsidP="00A53E8C">
                  <w:pPr>
                    <w:pStyle w:val="TableHead"/>
                    <w:rPr>
                      <w:b w:val="0"/>
                      <w:kern w:val="20"/>
                    </w:rPr>
                  </w:pPr>
                  <w:r w:rsidRPr="005D4222">
                    <w:t>Reporting Instructions</w:t>
                  </w:r>
                </w:p>
              </w:tc>
            </w:tr>
            <w:tr w:rsidR="009710CB" w:rsidRPr="005D4222" w14:paraId="485F2C9A" w14:textId="77777777" w:rsidTr="00151586">
              <w:tc>
                <w:tcPr>
                  <w:tcW w:w="2781" w:type="dxa"/>
                  <w:tcBorders>
                    <w:top w:val="nil"/>
                    <w:left w:val="single" w:sz="8" w:space="0" w:color="auto"/>
                    <w:bottom w:val="single" w:sz="4" w:space="0" w:color="auto"/>
                    <w:right w:val="single" w:sz="4" w:space="0" w:color="auto"/>
                  </w:tcBorders>
                  <w:shd w:val="clear" w:color="auto" w:fill="FFFFFF" w:themeFill="background1"/>
                  <w:noWrap/>
                  <w:tcMar>
                    <w:top w:w="0" w:type="dxa"/>
                    <w:left w:w="58" w:type="dxa"/>
                    <w:bottom w:w="0" w:type="dxa"/>
                    <w:right w:w="58" w:type="dxa"/>
                  </w:tcMar>
                  <w:hideMark/>
                </w:tcPr>
                <w:p w14:paraId="5FE68486" w14:textId="77777777" w:rsidR="009710CB" w:rsidRPr="005D4222" w:rsidRDefault="009710CB" w:rsidP="00A53E8C">
                  <w:pPr>
                    <w:pStyle w:val="TableText"/>
                  </w:pPr>
                  <w:r w:rsidRPr="005D4222">
                    <w:t>BloodGlucoseTesting</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58" w:type="dxa"/>
                    <w:bottom w:w="0" w:type="dxa"/>
                    <w:right w:w="58" w:type="dxa"/>
                  </w:tcMar>
                  <w:hideMark/>
                </w:tcPr>
                <w:p w14:paraId="2976F2EE" w14:textId="77777777" w:rsidR="009710CB" w:rsidRPr="005D4222" w:rsidRDefault="009710CB" w:rsidP="00A53E8C">
                  <w:pPr>
                    <w:pStyle w:val="TableText"/>
                  </w:pPr>
                  <w:r w:rsidRPr="005D4222">
                    <w:t>1-11</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58" w:type="dxa"/>
                    <w:bottom w:w="0" w:type="dxa"/>
                    <w:right w:w="58" w:type="dxa"/>
                  </w:tcMar>
                  <w:hideMark/>
                </w:tcPr>
                <w:p w14:paraId="53525DAA" w14:textId="77777777" w:rsidR="009710CB" w:rsidRPr="005D4222" w:rsidRDefault="009710CB" w:rsidP="00A53E8C">
                  <w:pPr>
                    <w:pStyle w:val="TableText"/>
                  </w:pPr>
                  <w:r w:rsidRPr="005D4222">
                    <w:t>Benefit</w:t>
                  </w:r>
                </w:p>
              </w:tc>
              <w:tc>
                <w:tcPr>
                  <w:tcW w:w="19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58" w:type="dxa"/>
                    <w:bottom w:w="0" w:type="dxa"/>
                    <w:right w:w="58" w:type="dxa"/>
                  </w:tcMar>
                  <w:hideMark/>
                </w:tcPr>
                <w:p w14:paraId="19E02E5C" w14:textId="77777777" w:rsidR="009710CB" w:rsidRPr="005D4222" w:rsidRDefault="009710CB" w:rsidP="00A53E8C">
                  <w:pPr>
                    <w:pStyle w:val="TableText"/>
                  </w:pPr>
                  <w:r w:rsidRPr="005D4222">
                    <w:rPr>
                      <w:rFonts w:eastAsia="Wingdings"/>
                    </w:rPr>
                    <w:t>Metadata</w:t>
                  </w:r>
                </w:p>
              </w:tc>
            </w:tr>
            <w:tr w:rsidR="009710CB" w:rsidRPr="005D4222" w14:paraId="03A507CC" w14:textId="77777777" w:rsidTr="00151586">
              <w:tc>
                <w:tcPr>
                  <w:tcW w:w="2781"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58" w:type="dxa"/>
                    <w:bottom w:w="0" w:type="dxa"/>
                    <w:right w:w="58" w:type="dxa"/>
                  </w:tcMar>
                  <w:hideMark/>
                </w:tcPr>
                <w:p w14:paraId="063EFE18" w14:textId="77777777" w:rsidR="009710CB" w:rsidRPr="005D4222" w:rsidRDefault="009710CB" w:rsidP="00A53E8C">
                  <w:pPr>
                    <w:pStyle w:val="TableText"/>
                  </w:pPr>
                  <w:r w:rsidRPr="005D4222">
                    <w:t>CholesterolTesting</w:t>
                  </w:r>
                </w:p>
              </w:tc>
              <w:tc>
                <w:tcPr>
                  <w:tcW w:w="1170" w:type="dxa"/>
                  <w:tcBorders>
                    <w:top w:val="single" w:sz="4" w:space="0" w:color="auto"/>
                    <w:left w:val="nil"/>
                    <w:bottom w:val="single" w:sz="4" w:space="0" w:color="auto"/>
                    <w:right w:val="single" w:sz="4" w:space="0" w:color="auto"/>
                  </w:tcBorders>
                  <w:shd w:val="clear" w:color="auto" w:fill="FFFFFF" w:themeFill="background1"/>
                  <w:tcMar>
                    <w:top w:w="0" w:type="dxa"/>
                    <w:left w:w="58" w:type="dxa"/>
                    <w:bottom w:w="0" w:type="dxa"/>
                    <w:right w:w="58" w:type="dxa"/>
                  </w:tcMar>
                  <w:hideMark/>
                </w:tcPr>
                <w:p w14:paraId="39A692A5" w14:textId="77777777" w:rsidR="009710CB" w:rsidRPr="005D4222" w:rsidRDefault="009710CB" w:rsidP="00A53E8C">
                  <w:pPr>
                    <w:pStyle w:val="TableText"/>
                  </w:pPr>
                  <w:r w:rsidRPr="005D4222">
                    <w:t>12-17</w:t>
                  </w:r>
                </w:p>
              </w:tc>
              <w:tc>
                <w:tcPr>
                  <w:tcW w:w="1440" w:type="dxa"/>
                  <w:tcBorders>
                    <w:top w:val="single" w:sz="4" w:space="0" w:color="auto"/>
                    <w:left w:val="single" w:sz="4" w:space="0" w:color="auto"/>
                    <w:bottom w:val="single" w:sz="4" w:space="0" w:color="auto"/>
                    <w:right w:val="single" w:sz="4" w:space="0" w:color="auto"/>
                  </w:tcBorders>
                  <w:noWrap/>
                  <w:tcMar>
                    <w:top w:w="0" w:type="dxa"/>
                    <w:left w:w="58" w:type="dxa"/>
                    <w:bottom w:w="0" w:type="dxa"/>
                    <w:right w:w="58" w:type="dxa"/>
                  </w:tcMar>
                  <w:hideMark/>
                </w:tcPr>
                <w:p w14:paraId="4654990F" w14:textId="77777777" w:rsidR="009710CB" w:rsidRPr="005D4222" w:rsidRDefault="009710CB" w:rsidP="00A53E8C">
                  <w:pPr>
                    <w:pStyle w:val="TableText"/>
                  </w:pPr>
                  <w:r w:rsidRPr="005D4222">
                    <w:t>InitialPopulation</w:t>
                  </w:r>
                </w:p>
              </w:tc>
              <w:tc>
                <w:tcPr>
                  <w:tcW w:w="1974" w:type="dxa"/>
                  <w:tcBorders>
                    <w:top w:val="single" w:sz="4" w:space="0" w:color="auto"/>
                    <w:left w:val="single" w:sz="4" w:space="0" w:color="auto"/>
                    <w:bottom w:val="single" w:sz="4" w:space="0" w:color="auto"/>
                    <w:right w:val="single" w:sz="4" w:space="0" w:color="auto"/>
                  </w:tcBorders>
                  <w:tcMar>
                    <w:top w:w="0" w:type="dxa"/>
                    <w:left w:w="58" w:type="dxa"/>
                    <w:bottom w:w="0" w:type="dxa"/>
                    <w:right w:w="58" w:type="dxa"/>
                  </w:tcMar>
                  <w:hideMark/>
                </w:tcPr>
                <w:p w14:paraId="3680BB7A" w14:textId="77777777" w:rsidR="009710CB" w:rsidRPr="005D4222" w:rsidRDefault="009710CB" w:rsidP="00A53E8C">
                  <w:pPr>
                    <w:pStyle w:val="TableText"/>
                  </w:pPr>
                  <w:r w:rsidRPr="005D4222">
                    <w:rPr>
                      <w:rFonts w:eastAsia="Wingdings"/>
                    </w:rPr>
                    <w:t>For each Stratification, repeat per Metric</w:t>
                  </w:r>
                </w:p>
              </w:tc>
            </w:tr>
            <w:tr w:rsidR="009710CB" w:rsidRPr="005D4222" w14:paraId="2EB648A8" w14:textId="77777777" w:rsidTr="00151586">
              <w:tc>
                <w:tcPr>
                  <w:tcW w:w="2781"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58" w:type="dxa"/>
                    <w:bottom w:w="0" w:type="dxa"/>
                    <w:right w:w="58" w:type="dxa"/>
                  </w:tcMar>
                  <w:hideMark/>
                </w:tcPr>
                <w:p w14:paraId="6D28D3BB" w14:textId="77777777" w:rsidR="009710CB" w:rsidRPr="005D4222" w:rsidRDefault="009710CB" w:rsidP="00A53E8C">
                  <w:pPr>
                    <w:pStyle w:val="TableText"/>
                  </w:pPr>
                  <w:r w:rsidRPr="005D4222">
                    <w:t>BloodGlucoseCholesterolTesting</w:t>
                  </w: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58" w:type="dxa"/>
                    <w:bottom w:w="0" w:type="dxa"/>
                    <w:right w:w="58" w:type="dxa"/>
                  </w:tcMar>
                  <w:hideMark/>
                </w:tcPr>
                <w:p w14:paraId="524F96BB" w14:textId="77777777" w:rsidR="009710CB" w:rsidRPr="005D4222" w:rsidRDefault="009710CB" w:rsidP="00A53E8C">
                  <w:pPr>
                    <w:pStyle w:val="TableText"/>
                  </w:pPr>
                  <w:r w:rsidRPr="005D4222">
                    <w:t>Total</w:t>
                  </w:r>
                </w:p>
              </w:tc>
              <w:tc>
                <w:tcPr>
                  <w:tcW w:w="1440" w:type="dxa"/>
                  <w:tcBorders>
                    <w:top w:val="single" w:sz="4" w:space="0" w:color="auto"/>
                    <w:left w:val="single" w:sz="4" w:space="0" w:color="auto"/>
                    <w:bottom w:val="single" w:sz="4" w:space="0" w:color="auto"/>
                    <w:right w:val="single" w:sz="4" w:space="0" w:color="auto"/>
                  </w:tcBorders>
                  <w:noWrap/>
                  <w:tcMar>
                    <w:top w:w="0" w:type="dxa"/>
                    <w:left w:w="58" w:type="dxa"/>
                    <w:bottom w:w="0" w:type="dxa"/>
                    <w:right w:w="58" w:type="dxa"/>
                  </w:tcMar>
                  <w:hideMark/>
                </w:tcPr>
                <w:p w14:paraId="5256700E" w14:textId="77777777" w:rsidR="009710CB" w:rsidRPr="005D4222" w:rsidRDefault="009710CB" w:rsidP="00A53E8C">
                  <w:pPr>
                    <w:pStyle w:val="TableText"/>
                  </w:pPr>
                  <w:r w:rsidRPr="005D4222">
                    <w:t>Exclusions</w:t>
                  </w:r>
                </w:p>
              </w:tc>
              <w:tc>
                <w:tcPr>
                  <w:tcW w:w="1974" w:type="dxa"/>
                  <w:tcBorders>
                    <w:top w:val="single" w:sz="4" w:space="0" w:color="auto"/>
                    <w:left w:val="single" w:sz="4" w:space="0" w:color="auto"/>
                    <w:bottom w:val="single" w:sz="4" w:space="0" w:color="auto"/>
                    <w:right w:val="single" w:sz="4" w:space="0" w:color="auto"/>
                  </w:tcBorders>
                  <w:tcMar>
                    <w:top w:w="0" w:type="dxa"/>
                    <w:left w:w="58" w:type="dxa"/>
                    <w:bottom w:w="0" w:type="dxa"/>
                    <w:right w:w="58" w:type="dxa"/>
                  </w:tcMar>
                  <w:hideMark/>
                </w:tcPr>
                <w:p w14:paraId="5915A70B" w14:textId="77777777" w:rsidR="009710CB" w:rsidRPr="005D4222" w:rsidRDefault="009710CB" w:rsidP="00A53E8C">
                  <w:pPr>
                    <w:pStyle w:val="TableText"/>
                  </w:pPr>
                  <w:r w:rsidRPr="005D4222">
                    <w:rPr>
                      <w:rFonts w:eastAsia="Wingdings"/>
                    </w:rPr>
                    <w:t>For each Stratification, repeat per Metric</w:t>
                  </w:r>
                </w:p>
              </w:tc>
            </w:tr>
            <w:tr w:rsidR="009710CB" w:rsidRPr="005D4222" w14:paraId="65E6C9E2" w14:textId="77777777" w:rsidTr="00151586">
              <w:tc>
                <w:tcPr>
                  <w:tcW w:w="2781" w:type="dxa"/>
                  <w:tcBorders>
                    <w:top w:val="single" w:sz="4" w:space="0" w:color="auto"/>
                    <w:left w:val="nil"/>
                    <w:bottom w:val="nil"/>
                    <w:right w:val="nil"/>
                  </w:tcBorders>
                  <w:shd w:val="clear" w:color="auto" w:fill="FFFFFF" w:themeFill="background1"/>
                  <w:noWrap/>
                  <w:tcMar>
                    <w:top w:w="0" w:type="dxa"/>
                    <w:left w:w="58" w:type="dxa"/>
                    <w:bottom w:w="0" w:type="dxa"/>
                    <w:right w:w="58" w:type="dxa"/>
                  </w:tcMar>
                  <w:hideMark/>
                </w:tcPr>
                <w:p w14:paraId="220E31F2" w14:textId="77777777" w:rsidR="009710CB" w:rsidRPr="005D4222" w:rsidRDefault="009710CB" w:rsidP="00A53E8C">
                  <w:pPr>
                    <w:pStyle w:val="TableText"/>
                  </w:pPr>
                  <w:r w:rsidRPr="005D4222">
                    <w:t xml:space="preserve"> </w:t>
                  </w:r>
                </w:p>
              </w:tc>
              <w:tc>
                <w:tcPr>
                  <w:tcW w:w="1170" w:type="dxa"/>
                  <w:tcBorders>
                    <w:top w:val="single" w:sz="4" w:space="0" w:color="auto"/>
                    <w:left w:val="nil"/>
                    <w:bottom w:val="nil"/>
                    <w:right w:val="single" w:sz="4" w:space="0" w:color="auto"/>
                  </w:tcBorders>
                  <w:tcMar>
                    <w:top w:w="0" w:type="dxa"/>
                    <w:left w:w="58" w:type="dxa"/>
                    <w:bottom w:w="0" w:type="dxa"/>
                    <w:right w:w="58" w:type="dxa"/>
                  </w:tcMar>
                </w:tcPr>
                <w:p w14:paraId="159ECD62" w14:textId="77777777" w:rsidR="009710CB" w:rsidRPr="005D4222" w:rsidRDefault="009710CB" w:rsidP="00A53E8C">
                  <w:pPr>
                    <w:pStyle w:val="TableText"/>
                  </w:pPr>
                </w:p>
              </w:tc>
              <w:tc>
                <w:tcPr>
                  <w:tcW w:w="1440" w:type="dxa"/>
                  <w:tcBorders>
                    <w:top w:val="single" w:sz="4" w:space="0" w:color="auto"/>
                    <w:left w:val="single" w:sz="4" w:space="0" w:color="auto"/>
                    <w:bottom w:val="single" w:sz="4" w:space="0" w:color="auto"/>
                    <w:right w:val="single" w:sz="4" w:space="0" w:color="auto"/>
                  </w:tcBorders>
                  <w:noWrap/>
                  <w:tcMar>
                    <w:top w:w="0" w:type="dxa"/>
                    <w:left w:w="58" w:type="dxa"/>
                    <w:bottom w:w="0" w:type="dxa"/>
                    <w:right w:w="58" w:type="dxa"/>
                  </w:tcMar>
                  <w:hideMark/>
                </w:tcPr>
                <w:p w14:paraId="0839F27C" w14:textId="77777777" w:rsidR="009710CB" w:rsidRPr="005D4222" w:rsidRDefault="009710CB" w:rsidP="00A53E8C">
                  <w:pPr>
                    <w:pStyle w:val="TableText"/>
                  </w:pPr>
                  <w:r w:rsidRPr="005D4222">
                    <w:t>Denominator</w:t>
                  </w:r>
                </w:p>
              </w:tc>
              <w:tc>
                <w:tcPr>
                  <w:tcW w:w="1974" w:type="dxa"/>
                  <w:tcBorders>
                    <w:top w:val="single" w:sz="4" w:space="0" w:color="auto"/>
                    <w:left w:val="single" w:sz="4" w:space="0" w:color="auto"/>
                    <w:bottom w:val="single" w:sz="4" w:space="0" w:color="auto"/>
                    <w:right w:val="single" w:sz="4" w:space="0" w:color="auto"/>
                  </w:tcBorders>
                  <w:tcMar>
                    <w:top w:w="0" w:type="dxa"/>
                    <w:left w:w="58" w:type="dxa"/>
                    <w:bottom w:w="0" w:type="dxa"/>
                    <w:right w:w="58" w:type="dxa"/>
                  </w:tcMar>
                  <w:hideMark/>
                </w:tcPr>
                <w:p w14:paraId="32183645" w14:textId="77777777" w:rsidR="009710CB" w:rsidRPr="005D4222" w:rsidRDefault="009710CB" w:rsidP="00A53E8C">
                  <w:pPr>
                    <w:pStyle w:val="TableText"/>
                  </w:pPr>
                  <w:r w:rsidRPr="005D4222">
                    <w:rPr>
                      <w:rFonts w:eastAsia="Wingdings"/>
                    </w:rPr>
                    <w:t>For each Stratification, repeat per Metric</w:t>
                  </w:r>
                </w:p>
              </w:tc>
            </w:tr>
            <w:tr w:rsidR="009710CB" w:rsidRPr="005D4222" w14:paraId="4AE85F0E" w14:textId="77777777" w:rsidTr="00151586">
              <w:tc>
                <w:tcPr>
                  <w:tcW w:w="2781" w:type="dxa"/>
                  <w:shd w:val="clear" w:color="auto" w:fill="FFFFFF" w:themeFill="background1"/>
                  <w:noWrap/>
                  <w:tcMar>
                    <w:top w:w="0" w:type="dxa"/>
                    <w:left w:w="58" w:type="dxa"/>
                    <w:bottom w:w="0" w:type="dxa"/>
                    <w:right w:w="58" w:type="dxa"/>
                  </w:tcMar>
                  <w:hideMark/>
                </w:tcPr>
                <w:p w14:paraId="61DBD49E" w14:textId="77777777" w:rsidR="009710CB" w:rsidRPr="005D4222" w:rsidRDefault="009710CB" w:rsidP="00A53E8C">
                  <w:pPr>
                    <w:pStyle w:val="TableText"/>
                  </w:pPr>
                  <w:r w:rsidRPr="005D4222">
                    <w:t xml:space="preserve"> </w:t>
                  </w:r>
                </w:p>
              </w:tc>
              <w:tc>
                <w:tcPr>
                  <w:tcW w:w="1170" w:type="dxa"/>
                  <w:tcBorders>
                    <w:top w:val="nil"/>
                    <w:left w:val="nil"/>
                    <w:bottom w:val="nil"/>
                    <w:right w:val="single" w:sz="4" w:space="0" w:color="auto"/>
                  </w:tcBorders>
                  <w:shd w:val="clear" w:color="auto" w:fill="FFFFFF" w:themeFill="background1"/>
                  <w:tcMar>
                    <w:top w:w="0" w:type="dxa"/>
                    <w:left w:w="58" w:type="dxa"/>
                    <w:bottom w:w="0" w:type="dxa"/>
                    <w:right w:w="58" w:type="dxa"/>
                  </w:tcMar>
                </w:tcPr>
                <w:p w14:paraId="4978925B" w14:textId="77777777" w:rsidR="009710CB" w:rsidRPr="005D4222" w:rsidRDefault="009710CB" w:rsidP="00A53E8C">
                  <w:pPr>
                    <w:pStyle w:val="TableText"/>
                  </w:pPr>
                </w:p>
              </w:tc>
              <w:tc>
                <w:tcPr>
                  <w:tcW w:w="1440" w:type="dxa"/>
                  <w:tcBorders>
                    <w:top w:val="single" w:sz="4" w:space="0" w:color="auto"/>
                    <w:left w:val="single" w:sz="4" w:space="0" w:color="auto"/>
                    <w:bottom w:val="single" w:sz="4" w:space="0" w:color="auto"/>
                    <w:right w:val="single" w:sz="4" w:space="0" w:color="auto"/>
                  </w:tcBorders>
                  <w:noWrap/>
                  <w:tcMar>
                    <w:top w:w="0" w:type="dxa"/>
                    <w:left w:w="58" w:type="dxa"/>
                    <w:bottom w:w="0" w:type="dxa"/>
                    <w:right w:w="58" w:type="dxa"/>
                  </w:tcMar>
                  <w:hideMark/>
                </w:tcPr>
                <w:p w14:paraId="3193888C" w14:textId="77777777" w:rsidR="009710CB" w:rsidRPr="005D4222" w:rsidRDefault="009710CB" w:rsidP="00A53E8C">
                  <w:pPr>
                    <w:pStyle w:val="TableText"/>
                  </w:pPr>
                  <w:r w:rsidRPr="005D4222">
                    <w:t>Numerator</w:t>
                  </w:r>
                </w:p>
              </w:tc>
              <w:tc>
                <w:tcPr>
                  <w:tcW w:w="1974" w:type="dxa"/>
                  <w:tcBorders>
                    <w:top w:val="single" w:sz="4" w:space="0" w:color="auto"/>
                    <w:left w:val="single" w:sz="4" w:space="0" w:color="auto"/>
                    <w:bottom w:val="single" w:sz="4" w:space="0" w:color="auto"/>
                    <w:right w:val="single" w:sz="4" w:space="0" w:color="auto"/>
                  </w:tcBorders>
                  <w:tcMar>
                    <w:top w:w="0" w:type="dxa"/>
                    <w:left w:w="58" w:type="dxa"/>
                    <w:bottom w:w="0" w:type="dxa"/>
                    <w:right w:w="58" w:type="dxa"/>
                  </w:tcMar>
                  <w:hideMark/>
                </w:tcPr>
                <w:p w14:paraId="03EA3463" w14:textId="77777777" w:rsidR="009710CB" w:rsidRPr="005D4222" w:rsidRDefault="009710CB" w:rsidP="00A53E8C">
                  <w:pPr>
                    <w:pStyle w:val="TableText"/>
                  </w:pPr>
                  <w:r w:rsidRPr="005D4222">
                    <w:t>For each Metric and Stratification</w:t>
                  </w:r>
                </w:p>
              </w:tc>
            </w:tr>
            <w:tr w:rsidR="009710CB" w:rsidRPr="005D4222" w14:paraId="2E041495" w14:textId="77777777" w:rsidTr="00151586">
              <w:tc>
                <w:tcPr>
                  <w:tcW w:w="2781" w:type="dxa"/>
                  <w:shd w:val="clear" w:color="auto" w:fill="FFFFFF" w:themeFill="background1"/>
                  <w:noWrap/>
                  <w:tcMar>
                    <w:top w:w="0" w:type="dxa"/>
                    <w:left w:w="58" w:type="dxa"/>
                    <w:bottom w:w="0" w:type="dxa"/>
                    <w:right w:w="58" w:type="dxa"/>
                  </w:tcMar>
                </w:tcPr>
                <w:p w14:paraId="4F93728D" w14:textId="77777777" w:rsidR="009710CB" w:rsidRPr="005D4222" w:rsidRDefault="009710CB" w:rsidP="00A53E8C">
                  <w:pPr>
                    <w:pStyle w:val="TableText"/>
                  </w:pPr>
                </w:p>
              </w:tc>
              <w:tc>
                <w:tcPr>
                  <w:tcW w:w="1170" w:type="dxa"/>
                  <w:tcBorders>
                    <w:top w:val="nil"/>
                    <w:left w:val="nil"/>
                    <w:bottom w:val="nil"/>
                    <w:right w:val="single" w:sz="4" w:space="0" w:color="auto"/>
                  </w:tcBorders>
                  <w:shd w:val="clear" w:color="auto" w:fill="FFFFFF" w:themeFill="background1"/>
                  <w:tcMar>
                    <w:top w:w="0" w:type="dxa"/>
                    <w:left w:w="58" w:type="dxa"/>
                    <w:bottom w:w="0" w:type="dxa"/>
                    <w:right w:w="58" w:type="dxa"/>
                  </w:tcMar>
                </w:tcPr>
                <w:p w14:paraId="669E7C96" w14:textId="77777777" w:rsidR="009710CB" w:rsidRPr="005D4222" w:rsidRDefault="009710CB" w:rsidP="00A53E8C">
                  <w:pPr>
                    <w:pStyle w:val="TableText"/>
                  </w:pP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0" w:type="dxa"/>
                    <w:left w:w="58" w:type="dxa"/>
                    <w:bottom w:w="0" w:type="dxa"/>
                    <w:right w:w="58" w:type="dxa"/>
                  </w:tcMar>
                  <w:hideMark/>
                </w:tcPr>
                <w:p w14:paraId="691E7FE0" w14:textId="77777777" w:rsidR="009710CB" w:rsidRPr="005D4222" w:rsidRDefault="009710CB" w:rsidP="00A53E8C">
                  <w:pPr>
                    <w:pStyle w:val="TableText"/>
                  </w:pPr>
                  <w:r w:rsidRPr="005D4222">
                    <w:t>Rate</w:t>
                  </w:r>
                </w:p>
              </w:tc>
              <w:tc>
                <w:tcPr>
                  <w:tcW w:w="197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58" w:type="dxa"/>
                    <w:bottom w:w="0" w:type="dxa"/>
                    <w:right w:w="58" w:type="dxa"/>
                  </w:tcMar>
                  <w:hideMark/>
                </w:tcPr>
                <w:p w14:paraId="521C981B" w14:textId="77777777" w:rsidR="009710CB" w:rsidRPr="005D4222" w:rsidRDefault="009710CB" w:rsidP="00A53E8C">
                  <w:pPr>
                    <w:pStyle w:val="TableText"/>
                  </w:pPr>
                  <w:r w:rsidRPr="005D4222">
                    <w:t>(Percent)</w:t>
                  </w:r>
                </w:p>
              </w:tc>
            </w:tr>
          </w:tbl>
          <w:p w14:paraId="3E855571" w14:textId="77777777" w:rsidR="009710CB" w:rsidRPr="005D4222" w:rsidRDefault="009710CB" w:rsidP="00A53E8C">
            <w:pPr>
              <w:pStyle w:val="ProcessDash"/>
              <w:numPr>
                <w:ilvl w:val="0"/>
                <w:numId w:val="0"/>
              </w:numPr>
              <w:rPr>
                <w:color w:val="000000" w:themeColor="text1"/>
                <w:highlight w:val="yellow"/>
              </w:rPr>
            </w:pPr>
          </w:p>
        </w:tc>
      </w:tr>
    </w:tbl>
    <w:p w14:paraId="2371A35C" w14:textId="77777777" w:rsidR="005C73CA" w:rsidRPr="005D4222" w:rsidRDefault="005C73CA"/>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7"/>
      </w:tblGrid>
      <w:tr w:rsidR="00EC7938" w:rsidRPr="005D4222" w14:paraId="54041A54" w14:textId="77777777" w:rsidTr="00EC7938">
        <w:tc>
          <w:tcPr>
            <w:tcW w:w="2157"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4F588192" w14:textId="77777777" w:rsidR="00EC7938" w:rsidRPr="005D4222" w:rsidRDefault="00EC7938" w:rsidP="00A53E8C">
            <w:pPr>
              <w:pStyle w:val="ECDSMarginHead"/>
            </w:pPr>
            <w:r w:rsidRPr="005D4222">
              <w:lastRenderedPageBreak/>
              <w:t>Rules for Allowable Adjustments</w:t>
            </w: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tcPr>
          <w:p w14:paraId="116FB002" w14:textId="77777777" w:rsidR="00EC7938" w:rsidRPr="005D4222" w:rsidRDefault="00EC7938" w:rsidP="00A53E8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76B2DC91" w14:textId="77777777" w:rsidR="00EC7938" w:rsidRPr="005D4222" w:rsidRDefault="00EC7938" w:rsidP="00A53E8C">
            <w:pPr>
              <w:pStyle w:val="ECDSBody"/>
              <w:rPr>
                <w:i/>
                <w:iCs/>
              </w:rPr>
            </w:pPr>
            <w:r w:rsidRPr="005D4222">
              <w:rPr>
                <w:b/>
              </w:rPr>
              <w:t>Adjusted HEDIS measures may not be used for HEDIS health plan reporting.</w:t>
            </w:r>
          </w:p>
          <w:p w14:paraId="46C4998A" w14:textId="77777777" w:rsidR="00EC7938" w:rsidRPr="005D4222" w:rsidRDefault="00EC7938" w:rsidP="00A53E8C">
            <w:pPr>
              <w:pStyle w:val="Adjustments"/>
              <w:spacing w:before="120"/>
            </w:pPr>
            <w:r w:rsidRPr="005D4222">
              <w:t>Adjustments allowed</w:t>
            </w:r>
          </w:p>
          <w:p w14:paraId="7F432E80" w14:textId="4BACC436" w:rsidR="00EC7938" w:rsidRPr="005D4222" w:rsidRDefault="00EC7938" w:rsidP="005D6173">
            <w:pPr>
              <w:pStyle w:val="ProcessBullet"/>
              <w:numPr>
                <w:ilvl w:val="0"/>
                <w:numId w:val="77"/>
              </w:numPr>
              <w:tabs>
                <w:tab w:val="left" w:pos="216"/>
              </w:tabs>
              <w:ind w:left="216" w:hanging="216"/>
              <w:rPr>
                <w:b/>
                <w:bCs/>
                <w:color w:val="000000" w:themeColor="text1"/>
              </w:rPr>
            </w:pPr>
            <w:r w:rsidRPr="005D4222">
              <w:rPr>
                <w:i/>
              </w:rPr>
              <w:t xml:space="preserve">Product lines. </w:t>
            </w:r>
            <w:r w:rsidRPr="005D4222">
              <w:rPr>
                <w:rFonts w:eastAsia="Arial"/>
              </w:rPr>
              <w:t>Organizations are not required to use product line criteria; product lines may be combined</w:t>
            </w:r>
            <w:r w:rsidR="00E8671F" w:rsidRPr="005D4222">
              <w:rPr>
                <w:rFonts w:eastAsia="Arial"/>
              </w:rPr>
              <w:t>,</w:t>
            </w:r>
            <w:r w:rsidRPr="005D4222">
              <w:rPr>
                <w:rFonts w:eastAsia="Arial"/>
              </w:rPr>
              <w:t xml:space="preserve"> and all (or no) product line criteria may be used.</w:t>
            </w:r>
          </w:p>
          <w:p w14:paraId="4F5BEFDE" w14:textId="77777777" w:rsidR="00EC7938" w:rsidRPr="005D4222" w:rsidRDefault="00EC7938" w:rsidP="005D6173">
            <w:pPr>
              <w:pStyle w:val="ProcessBullet"/>
              <w:numPr>
                <w:ilvl w:val="0"/>
                <w:numId w:val="77"/>
              </w:numPr>
              <w:tabs>
                <w:tab w:val="left" w:pos="216"/>
              </w:tabs>
              <w:ind w:left="216" w:hanging="216"/>
              <w:rPr>
                <w:b/>
                <w:bCs/>
                <w:color w:val="000000" w:themeColor="text1"/>
              </w:rPr>
            </w:pPr>
            <w:r w:rsidRPr="005D4222">
              <w:rPr>
                <w:i/>
              </w:rPr>
              <w:t>Attribution.</w:t>
            </w:r>
            <w:r w:rsidRPr="005D4222">
              <w:t xml:space="preserve"> Organizations are not required to use enrollment criteria. </w:t>
            </w:r>
          </w:p>
          <w:p w14:paraId="150DEBCC" w14:textId="4DBB6118" w:rsidR="00EC7938" w:rsidRPr="005D4222" w:rsidRDefault="00362E76" w:rsidP="005D6173">
            <w:pPr>
              <w:pStyle w:val="ProcessBullet"/>
              <w:numPr>
                <w:ilvl w:val="0"/>
                <w:numId w:val="77"/>
              </w:numPr>
              <w:tabs>
                <w:tab w:val="left" w:pos="216"/>
              </w:tabs>
              <w:ind w:left="216" w:hanging="216"/>
              <w:rPr>
                <w:b/>
                <w:bCs/>
                <w:color w:val="000000" w:themeColor="text1"/>
              </w:rPr>
            </w:pPr>
            <w:r w:rsidRPr="005D4222">
              <w:rPr>
                <w:i/>
              </w:rPr>
              <w:t>Benefits.</w:t>
            </w:r>
            <w:r w:rsidR="00EC7938" w:rsidRPr="005D4222">
              <w:t xml:space="preserve"> </w:t>
            </w:r>
            <w:r w:rsidR="00EC7938" w:rsidRPr="005D4222">
              <w:rPr>
                <w:rFonts w:eastAsia="Arial"/>
              </w:rPr>
              <w:t>Organizations are not required to use a benefit.</w:t>
            </w:r>
          </w:p>
          <w:p w14:paraId="521BA3E9" w14:textId="77777777" w:rsidR="00EC7938" w:rsidRPr="005D4222" w:rsidRDefault="00EC7938" w:rsidP="005D6173">
            <w:pPr>
              <w:pStyle w:val="ProcessBullet"/>
              <w:numPr>
                <w:ilvl w:val="0"/>
                <w:numId w:val="77"/>
              </w:numPr>
              <w:tabs>
                <w:tab w:val="left" w:pos="216"/>
              </w:tabs>
              <w:ind w:left="216" w:hanging="216"/>
              <w:rPr>
                <w:b/>
                <w:bCs/>
                <w:color w:val="000000" w:themeColor="text1"/>
              </w:rPr>
            </w:pPr>
            <w:r w:rsidRPr="005D4222">
              <w:rPr>
                <w:i/>
              </w:rPr>
              <w:t>Other.</w:t>
            </w:r>
            <w:r w:rsidRPr="005D4222">
              <w:t xml:space="preserve"> Organizations may use additional initial population criteria to focus on an area of interest defined by gender, race, ethnicity, socioeconomic or sociodemographic characteristics</w:t>
            </w:r>
            <w:r w:rsidRPr="005D4222">
              <w:rPr>
                <w:rFonts w:eastAsia="Arial"/>
              </w:rPr>
              <w:t>, geographic region or another characteristic.</w:t>
            </w:r>
          </w:p>
          <w:p w14:paraId="096C0155" w14:textId="77777777" w:rsidR="00EC7938" w:rsidRPr="005D4222" w:rsidRDefault="00EC7938" w:rsidP="005D6173">
            <w:pPr>
              <w:pStyle w:val="ProcessBullet"/>
              <w:numPr>
                <w:ilvl w:val="0"/>
                <w:numId w:val="77"/>
              </w:numPr>
              <w:tabs>
                <w:tab w:val="left" w:pos="216"/>
              </w:tabs>
              <w:ind w:left="216" w:hanging="216"/>
              <w:rPr>
                <w:b/>
                <w:bCs/>
                <w:color w:val="000000" w:themeColor="text1"/>
              </w:rPr>
            </w:pPr>
            <w:r w:rsidRPr="005D4222">
              <w:rPr>
                <w:i/>
              </w:rPr>
              <w:t xml:space="preserve">Measurement </w:t>
            </w:r>
            <w:r w:rsidRPr="005D4222">
              <w:rPr>
                <w:i/>
                <w:iCs/>
              </w:rPr>
              <w:t>period a</w:t>
            </w:r>
            <w:r w:rsidRPr="005D4222">
              <w:rPr>
                <w:i/>
              </w:rPr>
              <w:t>djustments.</w:t>
            </w:r>
            <w:r w:rsidRPr="005D4222">
              <w:t xml:space="preserve"> Organizations may adjust the measurement period. </w:t>
            </w:r>
          </w:p>
          <w:p w14:paraId="0F7BCBA2" w14:textId="77777777" w:rsidR="00EC7938" w:rsidRPr="005D4222" w:rsidRDefault="00EC7938" w:rsidP="005D6173">
            <w:pPr>
              <w:pStyle w:val="ProcessBullet"/>
              <w:numPr>
                <w:ilvl w:val="0"/>
                <w:numId w:val="77"/>
              </w:numPr>
              <w:tabs>
                <w:tab w:val="left" w:pos="216"/>
              </w:tabs>
              <w:ind w:left="216" w:hanging="216"/>
              <w:rPr>
                <w:b/>
                <w:bCs/>
                <w:color w:val="000000" w:themeColor="text1"/>
              </w:rPr>
            </w:pPr>
            <w:r w:rsidRPr="005D4222">
              <w:rPr>
                <w:i/>
              </w:rPr>
              <w:t>Exclusions.</w:t>
            </w:r>
            <w:r w:rsidRPr="005D4222">
              <w:t xml:space="preserve"> The hospice and deceased person exclusions are not required. </w:t>
            </w:r>
          </w:p>
          <w:p w14:paraId="1B3FD0B5" w14:textId="77777777" w:rsidR="00EC7938" w:rsidRPr="005D4222" w:rsidRDefault="00EC7938" w:rsidP="005D6173">
            <w:pPr>
              <w:pStyle w:val="ProcessBullet"/>
              <w:numPr>
                <w:ilvl w:val="0"/>
                <w:numId w:val="77"/>
              </w:numPr>
              <w:tabs>
                <w:tab w:val="left" w:pos="216"/>
              </w:tabs>
              <w:ind w:left="216" w:hanging="216"/>
              <w:rPr>
                <w:color w:val="000000" w:themeColor="text1"/>
              </w:rPr>
            </w:pPr>
            <w:r w:rsidRPr="005D4222">
              <w:rPr>
                <w:i/>
                <w:iCs/>
                <w:color w:val="000000" w:themeColor="text1"/>
              </w:rPr>
              <w:t>Telehealth.</w:t>
            </w:r>
            <w:r w:rsidRPr="005D4222">
              <w:rPr>
                <w:color w:val="000000" w:themeColor="text1"/>
              </w:rPr>
              <w:t xml:space="preserve"> Services/events that allow the use of synchronous telehealth visits, telephone visits and asynchronous telehealth (e-visits, virtual check-ins) may be stratified to identify services performed via telehealth. </w:t>
            </w:r>
            <w:r w:rsidRPr="005D4222">
              <w:t>This adjustment is not allowed for events, numerators and exclusions that do not allow the use of telehealth.</w:t>
            </w:r>
          </w:p>
          <w:p w14:paraId="7A3674D6" w14:textId="77777777" w:rsidR="00EC7938" w:rsidRPr="005D4222" w:rsidRDefault="00EC7938" w:rsidP="00A53E8C">
            <w:pPr>
              <w:pStyle w:val="Adjustments"/>
            </w:pPr>
            <w:r w:rsidRPr="005D4222">
              <w:rPr>
                <w:bCs/>
              </w:rPr>
              <w:t>Adjustments</w:t>
            </w:r>
            <w:r w:rsidRPr="005D4222">
              <w:t xml:space="preserve"> </w:t>
            </w:r>
            <w:r w:rsidRPr="005D4222">
              <w:rPr>
                <w:bCs/>
              </w:rPr>
              <w:t>a</w:t>
            </w:r>
            <w:r w:rsidRPr="005D4222">
              <w:t xml:space="preserve">llowed with </w:t>
            </w:r>
            <w:r w:rsidRPr="005D4222">
              <w:rPr>
                <w:bCs/>
              </w:rPr>
              <w:t>l</w:t>
            </w:r>
            <w:r w:rsidRPr="005D4222">
              <w:t>imits</w:t>
            </w:r>
          </w:p>
          <w:p w14:paraId="162D21B7" w14:textId="77777777" w:rsidR="00EC7938" w:rsidRPr="005D4222" w:rsidRDefault="00EC7938" w:rsidP="005D6173">
            <w:pPr>
              <w:pStyle w:val="ProcessBullet"/>
              <w:numPr>
                <w:ilvl w:val="0"/>
                <w:numId w:val="98"/>
              </w:numPr>
              <w:tabs>
                <w:tab w:val="left" w:pos="216"/>
              </w:tabs>
              <w:ind w:left="216" w:hanging="216"/>
            </w:pPr>
            <w:r w:rsidRPr="005D4222">
              <w:rPr>
                <w:i/>
                <w:iCs/>
              </w:rPr>
              <w:t>Ages</w:t>
            </w:r>
            <w:r w:rsidRPr="005D4222">
              <w:t xml:space="preserve">. The upper age range may be expanded or no upper age limit may be used. The age determination dates may be changed (e.g., select “age as of June 30”). Changing the denominator age range is allowed within a specified age range (ages 1–17+ years). </w:t>
            </w:r>
          </w:p>
          <w:p w14:paraId="5C733994" w14:textId="77777777" w:rsidR="00EC7938" w:rsidRPr="005D4222" w:rsidRDefault="00EC7938" w:rsidP="00A53E8C">
            <w:pPr>
              <w:pStyle w:val="Adjustments"/>
            </w:pPr>
            <w:r w:rsidRPr="005D4222">
              <w:t>Adjustments not allowed</w:t>
            </w:r>
          </w:p>
          <w:p w14:paraId="4B74C346" w14:textId="77777777" w:rsidR="00EC7938" w:rsidRPr="005D4222" w:rsidRDefault="00EC7938" w:rsidP="005D6173">
            <w:pPr>
              <w:pStyle w:val="ProcessBullet"/>
              <w:numPr>
                <w:ilvl w:val="0"/>
                <w:numId w:val="98"/>
              </w:numPr>
              <w:tabs>
                <w:tab w:val="left" w:pos="216"/>
              </w:tabs>
              <w:ind w:left="216" w:hanging="216"/>
              <w:rPr>
                <w:i/>
                <w:iCs/>
              </w:rPr>
            </w:pPr>
            <w:r w:rsidRPr="005D4222">
              <w:rPr>
                <w:i/>
                <w:iCs/>
              </w:rPr>
              <w:t xml:space="preserve">Initial population: </w:t>
            </w:r>
            <w:r w:rsidRPr="005D4222">
              <w:rPr>
                <w:iCs/>
              </w:rPr>
              <w:t xml:space="preserve">Event. </w:t>
            </w:r>
            <w:r w:rsidRPr="005D4222">
              <w:t>Medication lists, value sets and logic may not be changed.</w:t>
            </w:r>
          </w:p>
          <w:p w14:paraId="04BFFAC5" w14:textId="59742C78" w:rsidR="00EC7938" w:rsidRPr="005D4222" w:rsidRDefault="00EC7938" w:rsidP="005D6173">
            <w:pPr>
              <w:pStyle w:val="ProcessBullet"/>
              <w:numPr>
                <w:ilvl w:val="0"/>
                <w:numId w:val="98"/>
              </w:numPr>
              <w:tabs>
                <w:tab w:val="left" w:pos="216"/>
              </w:tabs>
              <w:spacing w:after="80"/>
              <w:ind w:left="216" w:hanging="216"/>
              <w:rPr>
                <w:i/>
                <w:iCs/>
              </w:rPr>
            </w:pPr>
            <w:r w:rsidRPr="005D4222">
              <w:rPr>
                <w:rFonts w:eastAsia="Arial"/>
                <w:i/>
                <w:iCs/>
                <w:kern w:val="20"/>
              </w:rPr>
              <w:t>Numerator</w:t>
            </w:r>
            <w:r w:rsidRPr="005D4222">
              <w:rPr>
                <w:rFonts w:eastAsia="Arial"/>
                <w:kern w:val="20"/>
              </w:rPr>
              <w:t xml:space="preserve">. Value sets, direct reference codes and logic may not be changed. </w:t>
            </w:r>
          </w:p>
        </w:tc>
      </w:tr>
    </w:tbl>
    <w:p w14:paraId="3248B5E0" w14:textId="77777777" w:rsidR="00EC7938" w:rsidRPr="005D4222" w:rsidRDefault="00EC7938" w:rsidP="00B626CA">
      <w:pPr>
        <w:pStyle w:val="ECDSBody"/>
        <w:sectPr w:rsidR="00EC7938" w:rsidRPr="005D4222" w:rsidSect="0074514A">
          <w:headerReference w:type="default" r:id="rId229"/>
          <w:type w:val="nextColumn"/>
          <w:pgSz w:w="12240" w:h="15840" w:code="1"/>
          <w:pgMar w:top="1080" w:right="1080" w:bottom="1080" w:left="1440" w:header="720" w:footer="720" w:gutter="0"/>
          <w:cols w:space="720"/>
          <w:docGrid w:linePitch="360"/>
        </w:sectPr>
      </w:pPr>
    </w:p>
    <w:p w14:paraId="0C4541EE" w14:textId="627CA52E" w:rsidR="00B626CA" w:rsidRPr="005D4222" w:rsidRDefault="0095689D" w:rsidP="0095689D">
      <w:pPr>
        <w:pStyle w:val="MeasureTitle"/>
      </w:pPr>
      <w:bookmarkStart w:id="424" w:name="_Toc201813479"/>
      <w:r w:rsidRPr="005D4222">
        <w:lastRenderedPageBreak/>
        <w:t>Depression Screening and Follow-Up for Adolescents and Adults</w:t>
      </w:r>
      <w:r w:rsidR="008A5901" w:rsidRPr="005D4222">
        <w:t xml:space="preserve"> </w:t>
      </w:r>
      <w:r w:rsidR="008A5901" w:rsidRPr="005D4222">
        <w:br/>
        <w:t>(DSF-E)</w:t>
      </w:r>
      <w:bookmarkEnd w:id="424"/>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4682"/>
        <w:gridCol w:w="1777"/>
        <w:gridCol w:w="1098"/>
      </w:tblGrid>
      <w:tr w:rsidR="002E4A5F" w:rsidRPr="005D4222" w14:paraId="6B384D6F" w14:textId="77777777" w:rsidTr="00A53E8C">
        <w:trPr>
          <w:trHeight w:val="300"/>
        </w:trPr>
        <w:tc>
          <w:tcPr>
            <w:tcW w:w="2157" w:type="dxa"/>
            <w:shd w:val="clear" w:color="auto" w:fill="BFBFBF" w:themeFill="background1" w:themeFillShade="BF"/>
            <w:tcMar>
              <w:top w:w="0" w:type="dxa"/>
              <w:left w:w="86" w:type="dxa"/>
              <w:bottom w:w="43" w:type="dxa"/>
              <w:right w:w="86" w:type="dxa"/>
            </w:tcMar>
            <w:hideMark/>
          </w:tcPr>
          <w:p w14:paraId="1B041EF9" w14:textId="77777777" w:rsidR="002E4A5F" w:rsidRPr="005D4222" w:rsidRDefault="002E4A5F" w:rsidP="00A53E8C">
            <w:pPr>
              <w:pStyle w:val="ECDSMarginHead"/>
            </w:pPr>
            <w:r w:rsidRPr="005D4222">
              <w:t>Measure title</w:t>
            </w:r>
          </w:p>
        </w:tc>
        <w:tc>
          <w:tcPr>
            <w:tcW w:w="4682" w:type="dxa"/>
            <w:tcMar>
              <w:top w:w="0" w:type="dxa"/>
              <w:left w:w="86" w:type="dxa"/>
              <w:bottom w:w="43" w:type="dxa"/>
              <w:right w:w="86" w:type="dxa"/>
            </w:tcMar>
          </w:tcPr>
          <w:p w14:paraId="0824FEB1" w14:textId="77777777" w:rsidR="002E4A5F" w:rsidRPr="005D4222" w:rsidRDefault="002E4A5F" w:rsidP="00A53E8C">
            <w:pPr>
              <w:pStyle w:val="ECDSBody"/>
            </w:pPr>
            <w:r w:rsidRPr="005D4222">
              <w:rPr>
                <w:rFonts w:eastAsiaTheme="majorEastAsia"/>
              </w:rPr>
              <w:t>Depression Screening and Follow-Up for Adolescents and Adults</w:t>
            </w:r>
            <w:r w:rsidRPr="005D4222">
              <w:rPr>
                <w:rFonts w:eastAsiaTheme="majorEastAsia"/>
                <w:b/>
              </w:rPr>
              <w:t>*</w:t>
            </w:r>
          </w:p>
        </w:tc>
        <w:tc>
          <w:tcPr>
            <w:tcW w:w="1777" w:type="dxa"/>
            <w:shd w:val="clear" w:color="auto" w:fill="BFBFBF" w:themeFill="background1" w:themeFillShade="BF"/>
            <w:tcMar>
              <w:top w:w="0" w:type="dxa"/>
              <w:left w:w="86" w:type="dxa"/>
              <w:bottom w:w="43" w:type="dxa"/>
              <w:right w:w="86" w:type="dxa"/>
            </w:tcMar>
          </w:tcPr>
          <w:p w14:paraId="0E4B83AD" w14:textId="77777777" w:rsidR="002E4A5F" w:rsidRPr="005D4222" w:rsidRDefault="002E4A5F" w:rsidP="00A53E8C">
            <w:pPr>
              <w:pStyle w:val="ECDSMarginHead"/>
            </w:pPr>
            <w:r w:rsidRPr="005D4222">
              <w:t>Measure ID</w:t>
            </w:r>
          </w:p>
        </w:tc>
        <w:tc>
          <w:tcPr>
            <w:tcW w:w="1098" w:type="dxa"/>
            <w:tcMar>
              <w:top w:w="0" w:type="dxa"/>
              <w:left w:w="86" w:type="dxa"/>
              <w:bottom w:w="43" w:type="dxa"/>
              <w:right w:w="86" w:type="dxa"/>
            </w:tcMar>
          </w:tcPr>
          <w:p w14:paraId="0207403E" w14:textId="77777777" w:rsidR="002E4A5F" w:rsidRPr="005D4222" w:rsidRDefault="002E4A5F" w:rsidP="00A53E8C">
            <w:pPr>
              <w:pStyle w:val="ECDSBody"/>
            </w:pPr>
            <w:r w:rsidRPr="005D4222">
              <w:t>DSF-E</w:t>
            </w:r>
          </w:p>
        </w:tc>
      </w:tr>
      <w:tr w:rsidR="002E4A5F" w:rsidRPr="005D4222" w14:paraId="4C0FB02F" w14:textId="77777777" w:rsidTr="00A53E8C">
        <w:trPr>
          <w:trHeight w:val="300"/>
        </w:trPr>
        <w:tc>
          <w:tcPr>
            <w:tcW w:w="2157" w:type="dxa"/>
            <w:shd w:val="clear" w:color="auto" w:fill="BFBFBF" w:themeFill="background1" w:themeFillShade="BF"/>
            <w:tcMar>
              <w:top w:w="0" w:type="dxa"/>
              <w:left w:w="86" w:type="dxa"/>
              <w:bottom w:w="43" w:type="dxa"/>
              <w:right w:w="86" w:type="dxa"/>
            </w:tcMar>
            <w:hideMark/>
          </w:tcPr>
          <w:p w14:paraId="69FF7D08" w14:textId="77777777" w:rsidR="002E4A5F" w:rsidRPr="005D4222" w:rsidRDefault="002E4A5F" w:rsidP="00A53E8C">
            <w:pPr>
              <w:pStyle w:val="ECDSMarginHead"/>
            </w:pPr>
            <w:r w:rsidRPr="005D4222">
              <w:t>Description</w:t>
            </w:r>
          </w:p>
        </w:tc>
        <w:tc>
          <w:tcPr>
            <w:tcW w:w="7557" w:type="dxa"/>
            <w:gridSpan w:val="3"/>
            <w:tcMar>
              <w:top w:w="0" w:type="dxa"/>
              <w:left w:w="86" w:type="dxa"/>
              <w:bottom w:w="43" w:type="dxa"/>
              <w:right w:w="86" w:type="dxa"/>
            </w:tcMar>
          </w:tcPr>
          <w:p w14:paraId="096C876F" w14:textId="77777777" w:rsidR="002E4A5F" w:rsidRPr="005D4222" w:rsidRDefault="002E4A5F" w:rsidP="00A53E8C">
            <w:pPr>
              <w:pStyle w:val="ECDSBody"/>
            </w:pPr>
            <w:r w:rsidRPr="005D4222">
              <w:t>The percentage of persons 12 years of age and older who were screened for clinical depression using a standardized instrument and, if screened positive, received follow-up care.</w:t>
            </w:r>
          </w:p>
          <w:p w14:paraId="2394538A" w14:textId="77777777" w:rsidR="002E4A5F" w:rsidRPr="005D4222" w:rsidRDefault="002E4A5F" w:rsidP="002E4A5F">
            <w:pPr>
              <w:pStyle w:val="Bullet"/>
              <w:numPr>
                <w:ilvl w:val="0"/>
                <w:numId w:val="4"/>
              </w:numPr>
              <w:tabs>
                <w:tab w:val="left" w:pos="360"/>
                <w:tab w:val="left" w:pos="576"/>
              </w:tabs>
              <w:ind w:left="576" w:hanging="216"/>
            </w:pPr>
            <w:r w:rsidRPr="005D4222">
              <w:rPr>
                <w:i/>
              </w:rPr>
              <w:t>Depression Screening.</w:t>
            </w:r>
            <w:r w:rsidRPr="005D4222">
              <w:t xml:space="preserve"> The percentage of persons who were screened for clinical depression using a standardized instrument.</w:t>
            </w:r>
          </w:p>
          <w:p w14:paraId="0C55A10A" w14:textId="77777777" w:rsidR="002E4A5F" w:rsidRPr="005D4222" w:rsidRDefault="002E4A5F" w:rsidP="002E4A5F">
            <w:pPr>
              <w:pStyle w:val="Bullet"/>
              <w:numPr>
                <w:ilvl w:val="0"/>
                <w:numId w:val="4"/>
              </w:numPr>
              <w:tabs>
                <w:tab w:val="left" w:pos="360"/>
                <w:tab w:val="left" w:pos="576"/>
              </w:tabs>
              <w:spacing w:after="80"/>
              <w:ind w:left="576" w:hanging="216"/>
            </w:pPr>
            <w:r w:rsidRPr="005D4222">
              <w:rPr>
                <w:i/>
              </w:rPr>
              <w:t xml:space="preserve">Follow-Up on Positive Screen. </w:t>
            </w:r>
            <w:r w:rsidRPr="005D4222">
              <w:t>The percentage of persons who received follow-up care within 30 days of a positive depression screen finding.</w:t>
            </w:r>
          </w:p>
        </w:tc>
      </w:tr>
      <w:tr w:rsidR="002E4A5F" w:rsidRPr="005D4222" w14:paraId="0E71DC5A" w14:textId="77777777" w:rsidTr="00A53E8C">
        <w:trPr>
          <w:trHeight w:val="300"/>
        </w:trPr>
        <w:tc>
          <w:tcPr>
            <w:tcW w:w="2157" w:type="dxa"/>
            <w:shd w:val="clear" w:color="auto" w:fill="BFBFBF" w:themeFill="background1" w:themeFillShade="BF"/>
            <w:tcMar>
              <w:top w:w="0" w:type="dxa"/>
              <w:left w:w="86" w:type="dxa"/>
              <w:bottom w:w="43" w:type="dxa"/>
              <w:right w:w="86" w:type="dxa"/>
            </w:tcMar>
          </w:tcPr>
          <w:p w14:paraId="10E6D3B8" w14:textId="77777777" w:rsidR="002E4A5F" w:rsidRPr="005D4222" w:rsidRDefault="002E4A5F" w:rsidP="00A53E8C">
            <w:pPr>
              <w:pStyle w:val="ECDSMarginHead"/>
            </w:pPr>
            <w:r w:rsidRPr="005D4222">
              <w:t>Measurement period</w:t>
            </w:r>
          </w:p>
        </w:tc>
        <w:tc>
          <w:tcPr>
            <w:tcW w:w="7557" w:type="dxa"/>
            <w:gridSpan w:val="3"/>
            <w:tcMar>
              <w:top w:w="0" w:type="dxa"/>
              <w:left w:w="86" w:type="dxa"/>
              <w:bottom w:w="43" w:type="dxa"/>
              <w:right w:w="86" w:type="dxa"/>
            </w:tcMar>
          </w:tcPr>
          <w:p w14:paraId="0254E8C1" w14:textId="77777777" w:rsidR="002E4A5F" w:rsidRPr="005D4222" w:rsidRDefault="002E4A5F" w:rsidP="00A53E8C">
            <w:pPr>
              <w:pStyle w:val="ECDSBody"/>
            </w:pPr>
            <w:r w:rsidRPr="005D4222">
              <w:t>January 1–December 31.</w:t>
            </w:r>
          </w:p>
        </w:tc>
      </w:tr>
      <w:tr w:rsidR="002E4A5F" w:rsidRPr="005D4222" w14:paraId="1B4A051C" w14:textId="77777777" w:rsidTr="00A53E8C">
        <w:trPr>
          <w:trHeight w:val="300"/>
        </w:trPr>
        <w:tc>
          <w:tcPr>
            <w:tcW w:w="2157" w:type="dxa"/>
            <w:shd w:val="clear" w:color="auto" w:fill="BFBFBF" w:themeFill="background1" w:themeFillShade="BF"/>
            <w:tcMar>
              <w:top w:w="0" w:type="dxa"/>
              <w:left w:w="86" w:type="dxa"/>
              <w:bottom w:w="43" w:type="dxa"/>
              <w:right w:w="86" w:type="dxa"/>
            </w:tcMar>
            <w:hideMark/>
          </w:tcPr>
          <w:p w14:paraId="411F30EE" w14:textId="77777777" w:rsidR="002E4A5F" w:rsidRPr="005D4222" w:rsidRDefault="002E4A5F" w:rsidP="00A53E8C">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64A4E8D6" w14:textId="77777777" w:rsidR="002E4A5F" w:rsidRPr="005D4222" w:rsidRDefault="002E4A5F" w:rsidP="00A53E8C">
            <w:pPr>
              <w:pStyle w:val="ECDSBody"/>
              <w:ind w:left="92" w:hanging="92"/>
              <w:rPr>
                <w:i/>
                <w:iCs/>
              </w:rPr>
            </w:pPr>
            <w:r w:rsidRPr="005D4222">
              <w:rPr>
                <w:b/>
                <w:i/>
                <w:iCs/>
              </w:rPr>
              <w:t>*</w:t>
            </w:r>
            <w:r w:rsidRPr="005D4222">
              <w:rPr>
                <w:i/>
                <w:iCs/>
              </w:rPr>
              <w:t>Adapted with financial support from the Centers for Medicare &amp; Medicaid Services (CMS).</w:t>
            </w:r>
          </w:p>
          <w:p w14:paraId="2585336F" w14:textId="77777777" w:rsidR="002E4A5F" w:rsidRPr="005D4222" w:rsidRDefault="002E4A5F" w:rsidP="00A53E8C">
            <w:pPr>
              <w:pStyle w:val="ECDSBody"/>
            </w:pPr>
            <w:r w:rsidRPr="005D4222">
              <w:t xml:space="preserve">Refer to the complete copyright and disclaimer information at the front of this publication. </w:t>
            </w:r>
          </w:p>
          <w:p w14:paraId="0212ED10" w14:textId="77777777" w:rsidR="002E4A5F" w:rsidRPr="005D4222" w:rsidRDefault="002E4A5F" w:rsidP="00A53E8C">
            <w:pPr>
              <w:pStyle w:val="ECDSBody"/>
              <w:spacing w:before="80"/>
            </w:pPr>
            <w:r w:rsidRPr="005D4222">
              <w:t xml:space="preserve">NCQA website: </w:t>
            </w:r>
            <w:r w:rsidRPr="005D4222">
              <w:rPr>
                <w:u w:val="single"/>
              </w:rPr>
              <w:t>www.ncqa.org</w:t>
            </w:r>
            <w:r w:rsidRPr="005D4222">
              <w:rPr>
                <w:rStyle w:val="Hyperlink"/>
              </w:rPr>
              <w:t>.</w:t>
            </w:r>
            <w:r w:rsidRPr="005D4222">
              <w:t xml:space="preserve"> </w:t>
            </w:r>
          </w:p>
          <w:p w14:paraId="2B1D3A15" w14:textId="77777777" w:rsidR="002E4A5F" w:rsidRPr="005D4222" w:rsidRDefault="002E4A5F" w:rsidP="00A53E8C">
            <w:pPr>
              <w:pStyle w:val="ECDSBody"/>
              <w:spacing w:before="80"/>
              <w:rPr>
                <w:i/>
              </w:rPr>
            </w:pPr>
            <w:r w:rsidRPr="005D4222">
              <w:t>Submit policy clarification support questions via My NCQA (</w:t>
            </w:r>
            <w:r w:rsidRPr="005D4222">
              <w:rPr>
                <w:u w:val="single"/>
              </w:rPr>
              <w:t>https://my.ncqa.org</w:t>
            </w:r>
            <w:r w:rsidRPr="005D4222">
              <w:t>).</w:t>
            </w:r>
          </w:p>
        </w:tc>
      </w:tr>
      <w:tr w:rsidR="002E4A5F" w:rsidRPr="005D4222" w14:paraId="0EAD4F0A" w14:textId="77777777" w:rsidTr="00A53E8C">
        <w:trPr>
          <w:trHeight w:val="300"/>
        </w:trPr>
        <w:tc>
          <w:tcPr>
            <w:tcW w:w="2157" w:type="dxa"/>
            <w:shd w:val="clear" w:color="auto" w:fill="BFBFBF" w:themeFill="background1" w:themeFillShade="BF"/>
            <w:tcMar>
              <w:top w:w="0" w:type="dxa"/>
              <w:left w:w="86" w:type="dxa"/>
              <w:bottom w:w="43" w:type="dxa"/>
              <w:right w:w="86" w:type="dxa"/>
            </w:tcMar>
            <w:hideMark/>
          </w:tcPr>
          <w:p w14:paraId="01B2C69D" w14:textId="77777777" w:rsidR="002E4A5F" w:rsidRPr="005D4222" w:rsidRDefault="002E4A5F" w:rsidP="00A53E8C">
            <w:pPr>
              <w:pStyle w:val="ECDSMarginHead"/>
            </w:pPr>
            <w:r w:rsidRPr="005D4222">
              <w:t>Clinical recommendation statement/ rationale</w:t>
            </w:r>
          </w:p>
        </w:tc>
        <w:tc>
          <w:tcPr>
            <w:tcW w:w="7557" w:type="dxa"/>
            <w:gridSpan w:val="3"/>
            <w:tcMar>
              <w:top w:w="0" w:type="dxa"/>
              <w:left w:w="86" w:type="dxa"/>
              <w:bottom w:w="43" w:type="dxa"/>
              <w:right w:w="86" w:type="dxa"/>
            </w:tcMar>
          </w:tcPr>
          <w:p w14:paraId="427A146E" w14:textId="77777777" w:rsidR="002E4A5F" w:rsidRPr="005D4222" w:rsidRDefault="002E4A5F" w:rsidP="00A53E8C">
            <w:pPr>
              <w:pStyle w:val="ECDSBody"/>
            </w:pPr>
            <w:r w:rsidRPr="005D4222">
              <w:t xml:space="preserve">The U.S. Preventive Services Task Force (USPSTF) recommends screening for depression among adolescents 12–18 years and the general adult population, including pregnant and postpartum women. (B recommendation) </w:t>
            </w:r>
          </w:p>
          <w:p w14:paraId="606E9DEC" w14:textId="77777777" w:rsidR="002E4A5F" w:rsidRPr="005D4222" w:rsidRDefault="002E4A5F" w:rsidP="00A53E8C">
            <w:pPr>
              <w:pStyle w:val="ECDSBody"/>
            </w:pPr>
            <w:r w:rsidRPr="005D4222">
              <w:t>The USPSTF also recommends that screening be implemented with adequate systems in place to ensure accurate diagnosis, effective treatment and appropriate follow-up. (B recommendation)</w:t>
            </w:r>
          </w:p>
        </w:tc>
      </w:tr>
      <w:tr w:rsidR="002E4A5F" w:rsidRPr="005D4222" w14:paraId="73E389FF" w14:textId="77777777" w:rsidTr="00A53E8C">
        <w:trPr>
          <w:trHeight w:val="300"/>
        </w:trPr>
        <w:tc>
          <w:tcPr>
            <w:tcW w:w="2157" w:type="dxa"/>
            <w:shd w:val="clear" w:color="auto" w:fill="BFBFBF" w:themeFill="background1" w:themeFillShade="BF"/>
            <w:tcMar>
              <w:top w:w="0" w:type="dxa"/>
              <w:left w:w="86" w:type="dxa"/>
              <w:bottom w:w="43" w:type="dxa"/>
              <w:right w:w="86" w:type="dxa"/>
            </w:tcMar>
          </w:tcPr>
          <w:p w14:paraId="29BDE01E" w14:textId="77777777" w:rsidR="002E4A5F" w:rsidRPr="005D4222" w:rsidRDefault="002E4A5F" w:rsidP="00A53E8C">
            <w:pPr>
              <w:pStyle w:val="ECDSMarginHead"/>
            </w:pPr>
            <w:r w:rsidRPr="005D4222">
              <w:t>Citations</w:t>
            </w:r>
          </w:p>
        </w:tc>
        <w:tc>
          <w:tcPr>
            <w:tcW w:w="7557" w:type="dxa"/>
            <w:gridSpan w:val="3"/>
            <w:tcMar>
              <w:top w:w="0" w:type="dxa"/>
              <w:left w:w="86" w:type="dxa"/>
              <w:bottom w:w="43" w:type="dxa"/>
              <w:right w:w="86" w:type="dxa"/>
            </w:tcMar>
          </w:tcPr>
          <w:p w14:paraId="744B9C30" w14:textId="77777777" w:rsidR="002E4A5F" w:rsidRPr="005D4222" w:rsidRDefault="002E4A5F" w:rsidP="00A53E8C">
            <w:pPr>
              <w:pStyle w:val="ECDSBody"/>
            </w:pPr>
            <w:r w:rsidRPr="005D4222">
              <w:t xml:space="preserve">US Preventive Services Task Force et al. 2023. “Screening for Depression and Suicide Risk in Adults: US Preventive Services Task Force Recommendation Statement.” </w:t>
            </w:r>
            <w:r w:rsidRPr="005D4222">
              <w:rPr>
                <w:i/>
              </w:rPr>
              <w:t xml:space="preserve">JAMA </w:t>
            </w:r>
            <w:r w:rsidRPr="005D4222">
              <w:t>vol. 329,23: 2057–67.</w:t>
            </w:r>
          </w:p>
          <w:p w14:paraId="13B3CD9C" w14:textId="77777777" w:rsidR="002E4A5F" w:rsidRPr="005D4222" w:rsidRDefault="002E4A5F" w:rsidP="00A53E8C">
            <w:pPr>
              <w:pStyle w:val="ECDSBody"/>
            </w:pPr>
            <w:r w:rsidRPr="005D4222">
              <w:t xml:space="preserve">US Preventive Services Task Force et al. 2022. “Screening for Depression and Suicide Risk in Children and Adolescents: US Preventive Services Task Force Recommendation Statement.” </w:t>
            </w:r>
            <w:r w:rsidRPr="005D4222">
              <w:rPr>
                <w:i/>
              </w:rPr>
              <w:t>JAMA</w:t>
            </w:r>
            <w:r w:rsidRPr="005D4222">
              <w:t xml:space="preserve"> vol. 328,15: 1534–42.</w:t>
            </w:r>
          </w:p>
        </w:tc>
      </w:tr>
      <w:tr w:rsidR="002E4A5F" w:rsidRPr="005D4222" w14:paraId="48800E4D" w14:textId="77777777" w:rsidTr="00A53E8C">
        <w:trPr>
          <w:trHeight w:val="300"/>
        </w:trPr>
        <w:tc>
          <w:tcPr>
            <w:tcW w:w="9714"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7B3201E8" w14:textId="77777777" w:rsidR="002E4A5F" w:rsidRPr="005D4222" w:rsidRDefault="002E4A5F" w:rsidP="005C73CA">
            <w:pPr>
              <w:pStyle w:val="ECDSMarginHead"/>
            </w:pPr>
            <w:r w:rsidRPr="005D4222">
              <w:t>Characteristics</w:t>
            </w:r>
          </w:p>
        </w:tc>
      </w:tr>
      <w:tr w:rsidR="002E4A5F" w:rsidRPr="005D4222" w14:paraId="6600F927" w14:textId="77777777" w:rsidTr="008A5901">
        <w:trPr>
          <w:trHeight w:val="300"/>
        </w:trPr>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73B184E6" w14:textId="77777777" w:rsidR="002E4A5F" w:rsidRPr="005D4222" w:rsidRDefault="002E4A5F" w:rsidP="008238B2">
            <w:pPr>
              <w:pStyle w:val="ECDSMarginSubhead"/>
              <w:spacing w:after="0"/>
            </w:pPr>
            <w:r w:rsidRPr="005D4222">
              <w:t>Scoring</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7C445F17" w14:textId="77777777" w:rsidR="002E4A5F" w:rsidRPr="005D4222" w:rsidRDefault="002E4A5F" w:rsidP="008238B2">
            <w:pPr>
              <w:pStyle w:val="ECDSBody"/>
              <w:spacing w:after="0"/>
            </w:pPr>
            <w:r w:rsidRPr="005D4222">
              <w:t>Proportion.</w:t>
            </w:r>
          </w:p>
        </w:tc>
      </w:tr>
      <w:tr w:rsidR="002E4A5F" w:rsidRPr="005D4222" w14:paraId="397C3304" w14:textId="77777777" w:rsidTr="008A5901">
        <w:trPr>
          <w:trHeight w:val="300"/>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4E633A7D" w14:textId="77777777" w:rsidR="002E4A5F" w:rsidRPr="005D4222" w:rsidRDefault="002E4A5F" w:rsidP="008A5901">
            <w:pPr>
              <w:pStyle w:val="ECDSMarginSubhead"/>
            </w:pPr>
            <w:r w:rsidRPr="005D4222">
              <w:t>Type</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4FC7A7C6" w14:textId="77777777" w:rsidR="002E4A5F" w:rsidRPr="005D4222" w:rsidRDefault="002E4A5F" w:rsidP="008A5901">
            <w:pPr>
              <w:pStyle w:val="ECDSBody"/>
            </w:pPr>
            <w:r w:rsidRPr="005D4222">
              <w:t>Process.</w:t>
            </w:r>
          </w:p>
        </w:tc>
      </w:tr>
    </w:tbl>
    <w:p w14:paraId="72A7B051" w14:textId="77777777" w:rsidR="002E4A5F" w:rsidRPr="005D4222" w:rsidRDefault="002E4A5F" w:rsidP="002E4A5F">
      <w:pPr>
        <w:spacing w:after="160" w:line="259" w:lineRule="auto"/>
      </w:pPr>
      <w:r w:rsidRPr="005D4222">
        <w:br w:type="page"/>
      </w:r>
    </w:p>
    <w:tbl>
      <w:tblPr>
        <w:tblW w:w="9714" w:type="dxa"/>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8A5901" w:rsidRPr="005D4222" w14:paraId="319FA818" w14:textId="77777777" w:rsidTr="008A5901">
        <w:trPr>
          <w:trHeight w:val="300"/>
        </w:trPr>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303D353E" w14:textId="22B100E7" w:rsidR="008A5901" w:rsidRPr="005D4222" w:rsidRDefault="00B51CDC" w:rsidP="008A5901">
            <w:pPr>
              <w:pStyle w:val="ECDSMarginSubhead"/>
              <w:spacing w:after="0"/>
            </w:pPr>
            <w:r w:rsidRPr="005D4222">
              <w:lastRenderedPageBreak/>
              <w:t>Product lines</w:t>
            </w: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37305734" w14:textId="77777777" w:rsidR="008A5901" w:rsidRPr="005D4222" w:rsidRDefault="008A5901" w:rsidP="005D6173">
            <w:pPr>
              <w:pStyle w:val="ProcessBullet"/>
              <w:numPr>
                <w:ilvl w:val="0"/>
                <w:numId w:val="171"/>
              </w:numPr>
              <w:tabs>
                <w:tab w:val="left" w:pos="216"/>
              </w:tabs>
              <w:spacing w:before="120"/>
              <w:ind w:left="216" w:hanging="216"/>
              <w:rPr>
                <w:rFonts w:eastAsia="Arial,Arial,Arial,Arial,Arial,A" w:cs="Arial"/>
                <w:bCs/>
                <w:szCs w:val="26"/>
              </w:rPr>
            </w:pPr>
            <w:r w:rsidRPr="005D4222">
              <w:rPr>
                <w:rFonts w:eastAsia="Arial,Arial,Arial,Arial,Arial,A" w:cs="Arial"/>
                <w:bCs/>
                <w:szCs w:val="26"/>
              </w:rPr>
              <w:t>Commercial.</w:t>
            </w:r>
          </w:p>
          <w:p w14:paraId="548E2AE6" w14:textId="77777777" w:rsidR="008A5901" w:rsidRPr="005D4222" w:rsidRDefault="008A5901" w:rsidP="005D6173">
            <w:pPr>
              <w:pStyle w:val="ProcessBullet"/>
              <w:numPr>
                <w:ilvl w:val="0"/>
                <w:numId w:val="171"/>
              </w:numPr>
              <w:tabs>
                <w:tab w:val="left" w:pos="216"/>
              </w:tabs>
              <w:ind w:left="216" w:hanging="216"/>
              <w:rPr>
                <w:rFonts w:eastAsia="Arial,Arial,Arial,Arial,Arial,A" w:cs="Arial"/>
                <w:bCs/>
                <w:szCs w:val="26"/>
              </w:rPr>
            </w:pPr>
            <w:r w:rsidRPr="005D4222">
              <w:rPr>
                <w:rFonts w:eastAsia="Arial,Arial,Arial,Arial,Arial,A" w:cs="Arial"/>
                <w:bCs/>
                <w:szCs w:val="26"/>
              </w:rPr>
              <w:t>Medicaid.</w:t>
            </w:r>
          </w:p>
          <w:p w14:paraId="6D109E8E" w14:textId="77777777" w:rsidR="008A5901" w:rsidRPr="005D4222" w:rsidRDefault="008A5901" w:rsidP="005D6173">
            <w:pPr>
              <w:pStyle w:val="ProcessBullet"/>
              <w:numPr>
                <w:ilvl w:val="0"/>
                <w:numId w:val="171"/>
              </w:numPr>
              <w:tabs>
                <w:tab w:val="left" w:pos="216"/>
              </w:tabs>
              <w:ind w:left="216" w:hanging="216"/>
              <w:rPr>
                <w:rFonts w:eastAsia="Arial,Arial,Arial,Arial,Arial,A" w:cs="Arial"/>
                <w:bCs/>
                <w:szCs w:val="26"/>
              </w:rPr>
            </w:pPr>
            <w:r w:rsidRPr="005D4222">
              <w:rPr>
                <w:rFonts w:eastAsia="Arial,Arial,Arial,Arial,Arial,A" w:cs="Arial"/>
                <w:bCs/>
                <w:szCs w:val="26"/>
              </w:rPr>
              <w:t>Medicare.</w:t>
            </w:r>
          </w:p>
        </w:tc>
      </w:tr>
      <w:tr w:rsidR="002E4A5F" w:rsidRPr="005D4222" w14:paraId="6A3B346C" w14:textId="77777777" w:rsidTr="008A5901">
        <w:trPr>
          <w:trHeight w:val="300"/>
        </w:trPr>
        <w:tc>
          <w:tcPr>
            <w:tcW w:w="2157" w:type="dxa"/>
            <w:tcBorders>
              <w:top w:val="nil"/>
              <w:left w:val="single" w:sz="4" w:space="0" w:color="auto"/>
              <w:bottom w:val="nil"/>
              <w:right w:val="single" w:sz="4" w:space="0" w:color="auto"/>
            </w:tcBorders>
            <w:tcMar>
              <w:top w:w="0" w:type="dxa"/>
              <w:left w:w="86" w:type="dxa"/>
              <w:bottom w:w="43" w:type="dxa"/>
              <w:right w:w="86" w:type="dxa"/>
            </w:tcMar>
          </w:tcPr>
          <w:p w14:paraId="262413A1" w14:textId="66A9CF43" w:rsidR="002E4A5F" w:rsidRPr="005D4222" w:rsidRDefault="00B51CDC" w:rsidP="00A53E8C">
            <w:pPr>
              <w:pStyle w:val="ECDSMarginSubhead"/>
            </w:pPr>
            <w:r w:rsidRPr="005D4222">
              <w:t>Stratifications</w:t>
            </w:r>
            <w:r w:rsidR="002E4A5F" w:rsidRPr="005D4222">
              <w:t xml:space="preserve"> </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5111D93C" w14:textId="77777777" w:rsidR="002E4A5F" w:rsidRPr="005D4222" w:rsidRDefault="002E4A5F" w:rsidP="00A53E8C">
            <w:pPr>
              <w:pStyle w:val="ECDSBody"/>
              <w:rPr>
                <w:rFonts w:eastAsia="Arial,Arial,Arial,Arial,Arial,A"/>
              </w:rPr>
            </w:pPr>
            <w:r w:rsidRPr="005D4222">
              <w:rPr>
                <w:rFonts w:eastAsia="Arial,Arial,Arial,Arial,Arial,A"/>
              </w:rPr>
              <w:t xml:space="preserve">Age </w:t>
            </w:r>
            <w:r w:rsidRPr="005D4222">
              <w:t>as of the start of the measurement period</w:t>
            </w:r>
            <w:r w:rsidRPr="005D4222">
              <w:rPr>
                <w:rFonts w:eastAsia="Arial,Arial,Arial,Arial,Arial,A"/>
              </w:rPr>
              <w:t>.</w:t>
            </w:r>
          </w:p>
          <w:p w14:paraId="34C7B328" w14:textId="77777777" w:rsidR="002E4A5F" w:rsidRPr="005D4222" w:rsidRDefault="002E4A5F" w:rsidP="002E4A5F">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12–17 years (commercial and Medicaid only).</w:t>
            </w:r>
          </w:p>
          <w:p w14:paraId="6C30CFA2" w14:textId="77777777" w:rsidR="002E4A5F" w:rsidRPr="005D4222" w:rsidRDefault="002E4A5F" w:rsidP="002E4A5F">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18–64 years.</w:t>
            </w:r>
          </w:p>
          <w:p w14:paraId="279A6C58" w14:textId="77777777" w:rsidR="002E4A5F" w:rsidRPr="005D4222" w:rsidRDefault="002E4A5F" w:rsidP="002E4A5F">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65 years and older.</w:t>
            </w:r>
          </w:p>
        </w:tc>
      </w:tr>
      <w:tr w:rsidR="002E4A5F" w:rsidRPr="005D4222" w14:paraId="7853A1AC" w14:textId="77777777" w:rsidTr="005C73CA">
        <w:trPr>
          <w:trHeight w:val="300"/>
        </w:trPr>
        <w:tc>
          <w:tcPr>
            <w:tcW w:w="2157" w:type="dxa"/>
            <w:tcBorders>
              <w:top w:val="nil"/>
              <w:left w:val="single" w:sz="4" w:space="0" w:color="auto"/>
              <w:bottom w:val="nil"/>
              <w:right w:val="single" w:sz="4" w:space="0" w:color="auto"/>
            </w:tcBorders>
            <w:tcMar>
              <w:top w:w="0" w:type="dxa"/>
              <w:left w:w="86" w:type="dxa"/>
              <w:bottom w:w="43" w:type="dxa"/>
              <w:right w:w="86" w:type="dxa"/>
            </w:tcMar>
          </w:tcPr>
          <w:p w14:paraId="7C5705DF" w14:textId="77777777" w:rsidR="002E4A5F" w:rsidRPr="005D4222" w:rsidRDefault="002E4A5F" w:rsidP="008238B2">
            <w:pPr>
              <w:pStyle w:val="ECDSMarginSubhead"/>
              <w:spacing w:after="0"/>
            </w:pPr>
            <w:r w:rsidRPr="005D4222">
              <w:t>Risk adjustment</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318938C5" w14:textId="77777777" w:rsidR="002E4A5F" w:rsidRPr="005D4222" w:rsidRDefault="002E4A5F" w:rsidP="008238B2">
            <w:pPr>
              <w:pStyle w:val="ECDSBody"/>
              <w:spacing w:after="0"/>
            </w:pPr>
            <w:r w:rsidRPr="005D4222">
              <w:t>None.</w:t>
            </w:r>
          </w:p>
        </w:tc>
      </w:tr>
      <w:tr w:rsidR="002E4A5F" w:rsidRPr="005D4222" w14:paraId="655E35D4" w14:textId="77777777" w:rsidTr="005C73CA">
        <w:trPr>
          <w:trHeight w:val="300"/>
        </w:trPr>
        <w:tc>
          <w:tcPr>
            <w:tcW w:w="2157" w:type="dxa"/>
            <w:tcBorders>
              <w:top w:val="nil"/>
              <w:left w:val="single" w:sz="4" w:space="0" w:color="auto"/>
              <w:bottom w:val="nil"/>
              <w:right w:val="single" w:sz="4" w:space="0" w:color="auto"/>
            </w:tcBorders>
            <w:tcMar>
              <w:top w:w="0" w:type="dxa"/>
              <w:left w:w="86" w:type="dxa"/>
              <w:bottom w:w="43" w:type="dxa"/>
              <w:right w:w="86" w:type="dxa"/>
            </w:tcMar>
          </w:tcPr>
          <w:p w14:paraId="3B6E47F5" w14:textId="77777777" w:rsidR="002E4A5F" w:rsidRPr="005D4222" w:rsidRDefault="002E4A5F" w:rsidP="008238B2">
            <w:pPr>
              <w:pStyle w:val="ECDSMarginSubhead"/>
              <w:spacing w:after="0"/>
            </w:pPr>
            <w:r w:rsidRPr="005D4222">
              <w:t>Improvement notation</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10CB613E" w14:textId="77777777" w:rsidR="002E4A5F" w:rsidRPr="005D4222" w:rsidRDefault="002E4A5F" w:rsidP="008238B2">
            <w:pPr>
              <w:pStyle w:val="ECDSBody"/>
              <w:spacing w:after="0"/>
            </w:pPr>
            <w:r w:rsidRPr="005D4222">
              <w:t>Increased score indicates improvement.</w:t>
            </w:r>
          </w:p>
        </w:tc>
      </w:tr>
      <w:tr w:rsidR="002E4A5F" w:rsidRPr="005D4222" w14:paraId="3EEB06DF" w14:textId="77777777" w:rsidTr="005C73CA">
        <w:trPr>
          <w:trHeight w:val="300"/>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6A43E998" w14:textId="77777777" w:rsidR="002E4A5F" w:rsidRPr="005D4222" w:rsidRDefault="002E4A5F" w:rsidP="00A53E8C">
            <w:pPr>
              <w:pStyle w:val="ECDSMarginSubhead"/>
            </w:pPr>
            <w:r w:rsidRPr="005D4222">
              <w:t>Guidance</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4A65556B" w14:textId="5971E1F6" w:rsidR="002E4A5F" w:rsidRPr="005D4222" w:rsidRDefault="002E4A5F" w:rsidP="00A53E8C">
            <w:pPr>
              <w:pStyle w:val="ECDSBody"/>
            </w:pPr>
            <w:r w:rsidRPr="005D4222">
              <w:rPr>
                <w:b/>
              </w:rPr>
              <w:t xml:space="preserve">Data collection methodology: </w:t>
            </w:r>
            <w:r w:rsidRPr="005D4222">
              <w:t xml:space="preserve">ECDS. Refer to </w:t>
            </w:r>
            <w:hyperlink w:anchor="General_Guideline_Data_Collection_Method" w:history="1">
              <w:r w:rsidRPr="005D4222">
                <w:rPr>
                  <w:rStyle w:val="Hyperlink"/>
                  <w:i/>
                </w:rPr>
                <w:t>General Guideline: Data Collection Methods</w:t>
              </w:r>
            </w:hyperlink>
            <w:r w:rsidRPr="005D4222">
              <w:t xml:space="preserve"> for additional information.</w:t>
            </w:r>
          </w:p>
          <w:p w14:paraId="2C8AC49C" w14:textId="77777777" w:rsidR="002E4A5F" w:rsidRPr="005D4222" w:rsidRDefault="002E4A5F" w:rsidP="00A53E8C">
            <w:pPr>
              <w:pStyle w:val="ECDSBody"/>
            </w:pPr>
            <w:r w:rsidRPr="005D4222">
              <w:rPr>
                <w:b/>
              </w:rPr>
              <w:t xml:space="preserve">Date specificity: </w:t>
            </w:r>
            <w:r w:rsidRPr="005D4222">
              <w:t>Dates must be specific enough to determine that the event occurred in the period being measured.</w:t>
            </w:r>
          </w:p>
          <w:p w14:paraId="62A56D3C" w14:textId="77777777" w:rsidR="002E4A5F" w:rsidRPr="005D4222" w:rsidRDefault="002E4A5F" w:rsidP="00A53E8C">
            <w:pPr>
              <w:pStyle w:val="ECDSBody"/>
            </w:pPr>
            <w:r w:rsidRPr="005D4222">
              <w:rPr>
                <w:b/>
              </w:rPr>
              <w:t xml:space="preserve">Which services count? </w:t>
            </w:r>
            <w:r w:rsidRPr="005D4222">
              <w:t>When using claims, include all paid, suspended, pending and denied claims.</w:t>
            </w:r>
          </w:p>
          <w:p w14:paraId="7F5C8B75" w14:textId="77777777" w:rsidR="002E4A5F" w:rsidRPr="005D4222" w:rsidRDefault="002E4A5F" w:rsidP="00A53E8C">
            <w:pPr>
              <w:pStyle w:val="ECDSBody"/>
              <w:rPr>
                <w:b/>
              </w:rPr>
            </w:pPr>
            <w:r w:rsidRPr="005D4222">
              <w:rPr>
                <w:b/>
              </w:rPr>
              <w:t xml:space="preserve">Other guidance: </w:t>
            </w:r>
          </w:p>
          <w:p w14:paraId="1C5F0097" w14:textId="77777777" w:rsidR="002E4A5F" w:rsidRPr="005D4222" w:rsidRDefault="002E4A5F" w:rsidP="008238B2">
            <w:pPr>
              <w:pStyle w:val="ProcessBullet"/>
            </w:pPr>
            <w:r w:rsidRPr="005D4222">
              <w:t>Use the person’s age to select an age-appropriate depression screening instrument.</w:t>
            </w:r>
          </w:p>
          <w:p w14:paraId="03A668B7" w14:textId="77777777" w:rsidR="002E4A5F" w:rsidRPr="005D4222" w:rsidRDefault="002E4A5F" w:rsidP="008238B2">
            <w:pPr>
              <w:pStyle w:val="ProcessBullet"/>
            </w:pPr>
            <w:r w:rsidRPr="005D4222">
              <w:t xml:space="preserve">Depression screening captured in health risk assessments or other types of health assessments are allowed if the questions align with a specific instrument that is validated for depression screening. </w:t>
            </w:r>
          </w:p>
          <w:p w14:paraId="220BEF60" w14:textId="77777777" w:rsidR="002E4A5F" w:rsidRPr="005D4222" w:rsidRDefault="002E4A5F" w:rsidP="008238B2">
            <w:pPr>
              <w:pStyle w:val="ProcessDash"/>
              <w:spacing w:after="80"/>
              <w:rPr>
                <w:rFonts w:cs="Arial"/>
              </w:rPr>
            </w:pPr>
            <w:r w:rsidRPr="005D4222">
              <w:rPr>
                <w:i/>
                <w:iCs/>
              </w:rPr>
              <w:t xml:space="preserve">For example, </w:t>
            </w:r>
            <w:r w:rsidRPr="005D4222">
              <w:t>a health risk assessment that includes questions from the PHQ-2 counts as screening if the questions are answered and a total score is calculated.</w:t>
            </w:r>
          </w:p>
        </w:tc>
      </w:tr>
      <w:tr w:rsidR="002E4A5F" w:rsidRPr="005D4222" w14:paraId="3F122F76" w14:textId="77777777" w:rsidTr="005C73CA">
        <w:trPr>
          <w:trHeight w:val="300"/>
        </w:trPr>
        <w:tc>
          <w:tcPr>
            <w:tcW w:w="9714" w:type="dxa"/>
            <w:gridSpan w:val="2"/>
            <w:tcBorders>
              <w:top w:val="single" w:sz="4" w:space="0" w:color="auto"/>
              <w:bottom w:val="single" w:sz="4" w:space="0" w:color="auto"/>
            </w:tcBorders>
            <w:shd w:val="clear" w:color="auto" w:fill="BFBFBF" w:themeFill="background1" w:themeFillShade="BF"/>
            <w:tcMar>
              <w:top w:w="0" w:type="dxa"/>
              <w:left w:w="86" w:type="dxa"/>
              <w:bottom w:w="43" w:type="dxa"/>
              <w:right w:w="86" w:type="dxa"/>
            </w:tcMar>
          </w:tcPr>
          <w:p w14:paraId="59738069" w14:textId="77777777" w:rsidR="002E4A5F" w:rsidRPr="005D4222" w:rsidRDefault="002E4A5F" w:rsidP="00A53E8C">
            <w:pPr>
              <w:pStyle w:val="ECDSMarginHead"/>
            </w:pPr>
            <w:r w:rsidRPr="005D4222">
              <w:t xml:space="preserve">Definitions </w:t>
            </w:r>
          </w:p>
        </w:tc>
      </w:tr>
      <w:tr w:rsidR="002E4A5F" w:rsidRPr="005D4222" w14:paraId="2B6C478E" w14:textId="77777777" w:rsidTr="005C73CA">
        <w:trPr>
          <w:trHeight w:val="300"/>
        </w:trPr>
        <w:tc>
          <w:tcPr>
            <w:tcW w:w="2157" w:type="dxa"/>
            <w:tcBorders>
              <w:top w:val="single" w:sz="4" w:space="0" w:color="auto"/>
              <w:bottom w:val="single" w:sz="4" w:space="0" w:color="auto"/>
            </w:tcBorders>
            <w:tcMar>
              <w:top w:w="0" w:type="dxa"/>
              <w:left w:w="86" w:type="dxa"/>
              <w:bottom w:w="43" w:type="dxa"/>
              <w:right w:w="86" w:type="dxa"/>
            </w:tcMar>
          </w:tcPr>
          <w:p w14:paraId="37B38A40" w14:textId="77777777" w:rsidR="002E4A5F" w:rsidRPr="005D4222" w:rsidRDefault="002E4A5F" w:rsidP="00A53E8C">
            <w:pPr>
              <w:pStyle w:val="ECDSMarginSubhead"/>
            </w:pPr>
            <w:r w:rsidRPr="005D4222">
              <w:t>Depression screening instrument</w:t>
            </w:r>
          </w:p>
        </w:tc>
        <w:tc>
          <w:tcPr>
            <w:tcW w:w="7557" w:type="dxa"/>
            <w:tcBorders>
              <w:top w:val="single" w:sz="4" w:space="0" w:color="auto"/>
              <w:bottom w:val="single" w:sz="4" w:space="0" w:color="auto"/>
            </w:tcBorders>
            <w:tcMar>
              <w:left w:w="86" w:type="dxa"/>
              <w:bottom w:w="43" w:type="dxa"/>
              <w:right w:w="86" w:type="dxa"/>
            </w:tcMar>
          </w:tcPr>
          <w:p w14:paraId="7DCB7E8E" w14:textId="77777777" w:rsidR="002E4A5F" w:rsidRPr="005D4222" w:rsidRDefault="002E4A5F" w:rsidP="00A53E8C">
            <w:pPr>
              <w:pStyle w:val="ECDSBody"/>
            </w:pPr>
            <w:r w:rsidRPr="005D4222">
              <w:t>A standard assessment instrument normalized and validated for the appropriate patient population. Eligible screening instruments with thresholds for positive findings include:</w:t>
            </w:r>
          </w:p>
          <w:tbl>
            <w:tblPr>
              <w:tblStyle w:val="TableGrid"/>
              <w:tblW w:w="5000" w:type="pct"/>
              <w:tblLayout w:type="fixed"/>
              <w:tblLook w:val="04A0" w:firstRow="1" w:lastRow="0" w:firstColumn="1" w:lastColumn="0" w:noHBand="0" w:noVBand="1"/>
            </w:tblPr>
            <w:tblGrid>
              <w:gridCol w:w="4586"/>
              <w:gridCol w:w="1350"/>
              <w:gridCol w:w="1439"/>
            </w:tblGrid>
            <w:tr w:rsidR="002E4A5F" w:rsidRPr="005D4222" w14:paraId="39EF3960" w14:textId="77777777" w:rsidTr="008A5901">
              <w:tc>
                <w:tcPr>
                  <w:tcW w:w="4586" w:type="dxa"/>
                  <w:tcBorders>
                    <w:top w:val="single" w:sz="4" w:space="0" w:color="auto"/>
                    <w:left w:val="single" w:sz="4" w:space="0" w:color="auto"/>
                    <w:bottom w:val="single" w:sz="4" w:space="0" w:color="auto"/>
                    <w:right w:val="single" w:sz="4" w:space="0" w:color="FFFFFF" w:themeColor="background1"/>
                  </w:tcBorders>
                  <w:shd w:val="clear" w:color="auto" w:fill="000000" w:themeFill="text1"/>
                  <w:tcMar>
                    <w:left w:w="72" w:type="dxa"/>
                    <w:right w:w="72" w:type="dxa"/>
                  </w:tcMar>
                  <w:vAlign w:val="bottom"/>
                  <w:hideMark/>
                </w:tcPr>
                <w:p w14:paraId="02C30E77" w14:textId="77777777" w:rsidR="002E4A5F" w:rsidRPr="005D4222" w:rsidRDefault="002E4A5F" w:rsidP="00A53E8C">
                  <w:pPr>
                    <w:pStyle w:val="TableHead"/>
                    <w:rPr>
                      <w:rFonts w:ascii="Arial" w:hAnsi="Arial" w:cs="Arial"/>
                      <w:kern w:val="20"/>
                      <w:sz w:val="20"/>
                    </w:rPr>
                  </w:pPr>
                  <w:r w:rsidRPr="005D4222">
                    <w:rPr>
                      <w:rFonts w:ascii="Arial" w:hAnsi="Arial" w:cs="Arial"/>
                      <w:sz w:val="20"/>
                    </w:rPr>
                    <w:t xml:space="preserve">Instruments for Adolescents </w:t>
                  </w:r>
                  <w:r w:rsidRPr="005D4222">
                    <w:rPr>
                      <w:rFonts w:ascii="Arial" w:hAnsi="Arial" w:cs="Arial"/>
                      <w:sz w:val="20"/>
                    </w:rPr>
                    <w:br/>
                    <w:t>(≤17 Years)</w:t>
                  </w:r>
                </w:p>
              </w:tc>
              <w:tc>
                <w:tcPr>
                  <w:tcW w:w="135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cMar>
                    <w:left w:w="72" w:type="dxa"/>
                    <w:right w:w="72" w:type="dxa"/>
                  </w:tcMar>
                  <w:vAlign w:val="bottom"/>
                  <w:hideMark/>
                </w:tcPr>
                <w:p w14:paraId="100EAEE5" w14:textId="77777777" w:rsidR="002E4A5F" w:rsidRPr="005D4222" w:rsidRDefault="002E4A5F" w:rsidP="00A53E8C">
                  <w:pPr>
                    <w:pStyle w:val="TableHead"/>
                    <w:rPr>
                      <w:rFonts w:ascii="Arial" w:hAnsi="Arial" w:cs="Arial"/>
                      <w:b w:val="0"/>
                      <w:kern w:val="20"/>
                      <w:sz w:val="20"/>
                    </w:rPr>
                  </w:pPr>
                  <w:r w:rsidRPr="005D4222">
                    <w:rPr>
                      <w:rFonts w:ascii="Arial" w:hAnsi="Arial" w:cs="Arial"/>
                      <w:sz w:val="20"/>
                    </w:rPr>
                    <w:t>Total Score LOINC Codes</w:t>
                  </w:r>
                </w:p>
              </w:tc>
              <w:tc>
                <w:tcPr>
                  <w:tcW w:w="1439" w:type="dxa"/>
                  <w:tcBorders>
                    <w:top w:val="single" w:sz="4" w:space="0" w:color="auto"/>
                    <w:left w:val="single" w:sz="4" w:space="0" w:color="FFFFFF" w:themeColor="background1"/>
                    <w:bottom w:val="single" w:sz="4" w:space="0" w:color="auto"/>
                    <w:right w:val="single" w:sz="4" w:space="0" w:color="auto"/>
                  </w:tcBorders>
                  <w:shd w:val="clear" w:color="auto" w:fill="000000" w:themeFill="text1"/>
                  <w:tcMar>
                    <w:left w:w="72" w:type="dxa"/>
                    <w:right w:w="72" w:type="dxa"/>
                  </w:tcMar>
                  <w:vAlign w:val="bottom"/>
                  <w:hideMark/>
                </w:tcPr>
                <w:p w14:paraId="1E583B7F" w14:textId="77777777" w:rsidR="002E4A5F" w:rsidRPr="005D4222" w:rsidRDefault="002E4A5F" w:rsidP="00A53E8C">
                  <w:pPr>
                    <w:pStyle w:val="TableHead"/>
                    <w:rPr>
                      <w:rFonts w:ascii="Arial" w:hAnsi="Arial" w:cs="Arial"/>
                      <w:b w:val="0"/>
                      <w:kern w:val="20"/>
                      <w:sz w:val="20"/>
                    </w:rPr>
                  </w:pPr>
                  <w:r w:rsidRPr="005D4222">
                    <w:rPr>
                      <w:rFonts w:ascii="Arial" w:hAnsi="Arial" w:cs="Arial"/>
                      <w:sz w:val="20"/>
                    </w:rPr>
                    <w:t>Positive Finding</w:t>
                  </w:r>
                </w:p>
              </w:tc>
            </w:tr>
            <w:tr w:rsidR="002E4A5F" w:rsidRPr="005D4222" w14:paraId="1AA0FF91" w14:textId="77777777" w:rsidTr="008A5901">
              <w:tc>
                <w:tcPr>
                  <w:tcW w:w="4586"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2978E13B" w14:textId="77777777" w:rsidR="002E4A5F" w:rsidRPr="005D4222" w:rsidRDefault="002E4A5F" w:rsidP="00A53E8C">
                  <w:pPr>
                    <w:pStyle w:val="TableText"/>
                    <w:rPr>
                      <w:rFonts w:ascii="Arial" w:hAnsi="Arial" w:cs="Arial"/>
                      <w:kern w:val="20"/>
                      <w:sz w:val="20"/>
                      <w:szCs w:val="20"/>
                    </w:rPr>
                  </w:pPr>
                  <w:r w:rsidRPr="005D4222">
                    <w:rPr>
                      <w:rFonts w:ascii="Arial" w:hAnsi="Arial" w:cs="Arial"/>
                      <w:sz w:val="20"/>
                      <w:szCs w:val="20"/>
                    </w:rPr>
                    <w:t>Patient Health Questionnaire (PHQ-9)</w:t>
                  </w:r>
                  <w:r w:rsidRPr="005D4222">
                    <w:rPr>
                      <w:rFonts w:ascii="Arial" w:hAnsi="Arial" w:cs="Arial"/>
                      <w:kern w:val="20"/>
                      <w:sz w:val="20"/>
                      <w:szCs w:val="20"/>
                      <w:vertAlign w:val="superscript"/>
                    </w:rPr>
                    <w:t>®</w:t>
                  </w:r>
                </w:p>
              </w:tc>
              <w:tc>
                <w:tcPr>
                  <w:tcW w:w="135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1D65679B" w14:textId="77777777" w:rsidR="002E4A5F" w:rsidRPr="005D4222" w:rsidRDefault="002E4A5F" w:rsidP="00A53E8C">
                  <w:pPr>
                    <w:pStyle w:val="TableText"/>
                    <w:rPr>
                      <w:rFonts w:ascii="Arial" w:hAnsi="Arial" w:cs="Arial"/>
                      <w:kern w:val="20"/>
                      <w:sz w:val="20"/>
                      <w:szCs w:val="20"/>
                    </w:rPr>
                  </w:pPr>
                  <w:r w:rsidRPr="005D4222">
                    <w:rPr>
                      <w:rFonts w:ascii="Arial" w:hAnsi="Arial" w:cs="Arial"/>
                      <w:sz w:val="20"/>
                      <w:szCs w:val="20"/>
                    </w:rPr>
                    <w:t>44261-6</w:t>
                  </w:r>
                </w:p>
              </w:tc>
              <w:tc>
                <w:tcPr>
                  <w:tcW w:w="1439"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5644709C" w14:textId="77777777" w:rsidR="002E4A5F" w:rsidRPr="005D4222" w:rsidRDefault="002E4A5F" w:rsidP="00A53E8C">
                  <w:pPr>
                    <w:pStyle w:val="TableText"/>
                    <w:rPr>
                      <w:rFonts w:ascii="Arial" w:hAnsi="Arial" w:cs="Arial"/>
                      <w:kern w:val="20"/>
                      <w:sz w:val="20"/>
                      <w:szCs w:val="20"/>
                    </w:rPr>
                  </w:pPr>
                  <w:r w:rsidRPr="005D4222">
                    <w:rPr>
                      <w:rFonts w:ascii="Arial" w:hAnsi="Arial" w:cs="Arial"/>
                      <w:sz w:val="20"/>
                      <w:szCs w:val="20"/>
                    </w:rPr>
                    <w:t>Total score ≥10</w:t>
                  </w:r>
                </w:p>
              </w:tc>
            </w:tr>
            <w:tr w:rsidR="002E4A5F" w:rsidRPr="005D4222" w14:paraId="3C7ADF56" w14:textId="77777777" w:rsidTr="008A5901">
              <w:tc>
                <w:tcPr>
                  <w:tcW w:w="4586"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2D7930EC" w14:textId="77777777" w:rsidR="002E4A5F" w:rsidRPr="005D4222" w:rsidRDefault="002E4A5F" w:rsidP="00A53E8C">
                  <w:pPr>
                    <w:pStyle w:val="TableText"/>
                    <w:rPr>
                      <w:rFonts w:ascii="Arial" w:hAnsi="Arial" w:cs="Arial"/>
                      <w:kern w:val="20"/>
                      <w:sz w:val="20"/>
                      <w:szCs w:val="20"/>
                    </w:rPr>
                  </w:pPr>
                  <w:r w:rsidRPr="005D4222">
                    <w:rPr>
                      <w:rFonts w:ascii="Arial" w:hAnsi="Arial" w:cs="Arial"/>
                      <w:sz w:val="20"/>
                      <w:szCs w:val="20"/>
                    </w:rPr>
                    <w:t xml:space="preserve">Patient Health </w:t>
                  </w:r>
                  <w:r w:rsidRPr="005D4222">
                    <w:rPr>
                      <w:rFonts w:ascii="Arial" w:hAnsi="Arial" w:cs="Arial"/>
                      <w:kern w:val="20"/>
                      <w:sz w:val="20"/>
                      <w:szCs w:val="20"/>
                    </w:rPr>
                    <w:t>Questionnaire Modified for Teens (PHQ-9M)</w:t>
                  </w:r>
                  <w:r w:rsidRPr="005D4222">
                    <w:rPr>
                      <w:rFonts w:ascii="Arial" w:hAnsi="Arial" w:cs="Arial"/>
                      <w:kern w:val="20"/>
                      <w:sz w:val="20"/>
                      <w:szCs w:val="20"/>
                      <w:vertAlign w:val="superscript"/>
                    </w:rPr>
                    <w:t>®</w:t>
                  </w:r>
                </w:p>
              </w:tc>
              <w:tc>
                <w:tcPr>
                  <w:tcW w:w="135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1D56A002" w14:textId="77777777" w:rsidR="002E4A5F" w:rsidRPr="005D4222" w:rsidRDefault="002E4A5F" w:rsidP="00A53E8C">
                  <w:pPr>
                    <w:pStyle w:val="TableText"/>
                    <w:rPr>
                      <w:rFonts w:ascii="Arial" w:hAnsi="Arial" w:cs="Arial"/>
                      <w:kern w:val="20"/>
                      <w:sz w:val="20"/>
                      <w:szCs w:val="20"/>
                    </w:rPr>
                  </w:pPr>
                  <w:r w:rsidRPr="005D4222">
                    <w:rPr>
                      <w:rFonts w:ascii="Arial" w:hAnsi="Arial" w:cs="Arial"/>
                      <w:sz w:val="20"/>
                      <w:szCs w:val="20"/>
                    </w:rPr>
                    <w:t>89204-2</w:t>
                  </w:r>
                </w:p>
              </w:tc>
              <w:tc>
                <w:tcPr>
                  <w:tcW w:w="1439"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1F453123" w14:textId="77777777" w:rsidR="002E4A5F" w:rsidRPr="005D4222" w:rsidRDefault="002E4A5F" w:rsidP="00A53E8C">
                  <w:pPr>
                    <w:pStyle w:val="TableText"/>
                    <w:rPr>
                      <w:rFonts w:ascii="Arial" w:hAnsi="Arial" w:cs="Arial"/>
                      <w:kern w:val="20"/>
                      <w:sz w:val="20"/>
                      <w:szCs w:val="20"/>
                    </w:rPr>
                  </w:pPr>
                  <w:r w:rsidRPr="005D4222">
                    <w:rPr>
                      <w:rFonts w:ascii="Arial" w:hAnsi="Arial" w:cs="Arial"/>
                      <w:sz w:val="20"/>
                      <w:szCs w:val="20"/>
                    </w:rPr>
                    <w:t>Total score ≥10</w:t>
                  </w:r>
                </w:p>
              </w:tc>
            </w:tr>
            <w:tr w:rsidR="002E4A5F" w:rsidRPr="005D4222" w14:paraId="15A00601" w14:textId="77777777" w:rsidTr="008A5901">
              <w:tc>
                <w:tcPr>
                  <w:tcW w:w="4586"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50D6B4FE" w14:textId="51C182AD" w:rsidR="002E4A5F" w:rsidRPr="005D4222" w:rsidRDefault="002E4A5F" w:rsidP="00A53E8C">
                  <w:pPr>
                    <w:pStyle w:val="TableText"/>
                    <w:rPr>
                      <w:rFonts w:ascii="Arial" w:hAnsi="Arial" w:cs="Arial"/>
                      <w:kern w:val="20"/>
                      <w:sz w:val="20"/>
                      <w:szCs w:val="20"/>
                    </w:rPr>
                  </w:pPr>
                  <w:r w:rsidRPr="005D4222">
                    <w:rPr>
                      <w:rFonts w:ascii="Arial" w:hAnsi="Arial" w:cs="Arial"/>
                      <w:sz w:val="20"/>
                      <w:szCs w:val="20"/>
                    </w:rPr>
                    <w:t xml:space="preserve">Patient Health </w:t>
                  </w:r>
                  <w:r w:rsidRPr="005D4222">
                    <w:rPr>
                      <w:rFonts w:ascii="Arial" w:hAnsi="Arial" w:cs="Arial"/>
                      <w:kern w:val="20"/>
                      <w:sz w:val="20"/>
                      <w:szCs w:val="20"/>
                    </w:rPr>
                    <w:t>Questionnaire-2 (PHQ-2)</w:t>
                  </w:r>
                  <w:r w:rsidRPr="005D4222">
                    <w:rPr>
                      <w:rFonts w:ascii="Arial" w:hAnsi="Arial" w:cs="Arial"/>
                      <w:kern w:val="20"/>
                      <w:sz w:val="20"/>
                      <w:szCs w:val="20"/>
                      <w:vertAlign w:val="superscript"/>
                    </w:rPr>
                    <w:t>®1</w:t>
                  </w:r>
                </w:p>
              </w:tc>
              <w:tc>
                <w:tcPr>
                  <w:tcW w:w="135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57EA4A71" w14:textId="77777777" w:rsidR="002E4A5F" w:rsidRPr="005D4222" w:rsidRDefault="002E4A5F" w:rsidP="00A53E8C">
                  <w:pPr>
                    <w:pStyle w:val="TableText"/>
                    <w:rPr>
                      <w:rFonts w:ascii="Arial" w:hAnsi="Arial" w:cs="Arial"/>
                      <w:kern w:val="20"/>
                      <w:sz w:val="20"/>
                      <w:szCs w:val="20"/>
                    </w:rPr>
                  </w:pPr>
                  <w:r w:rsidRPr="005D4222">
                    <w:rPr>
                      <w:rFonts w:ascii="Arial" w:hAnsi="Arial" w:cs="Arial"/>
                      <w:sz w:val="20"/>
                      <w:szCs w:val="20"/>
                    </w:rPr>
                    <w:t>55758-7</w:t>
                  </w:r>
                </w:p>
              </w:tc>
              <w:tc>
                <w:tcPr>
                  <w:tcW w:w="1439"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5236A68B" w14:textId="77777777" w:rsidR="002E4A5F" w:rsidRPr="005D4222" w:rsidRDefault="002E4A5F" w:rsidP="00A53E8C">
                  <w:pPr>
                    <w:pStyle w:val="TableText"/>
                    <w:rPr>
                      <w:rFonts w:ascii="Arial" w:hAnsi="Arial" w:cs="Arial"/>
                      <w:kern w:val="20"/>
                      <w:sz w:val="20"/>
                      <w:szCs w:val="20"/>
                    </w:rPr>
                  </w:pPr>
                  <w:r w:rsidRPr="005D4222">
                    <w:rPr>
                      <w:rFonts w:ascii="Arial" w:hAnsi="Arial" w:cs="Arial"/>
                      <w:sz w:val="20"/>
                      <w:szCs w:val="20"/>
                    </w:rPr>
                    <w:t>Total score ≥3</w:t>
                  </w:r>
                </w:p>
              </w:tc>
            </w:tr>
            <w:tr w:rsidR="002E4A5F" w:rsidRPr="005D4222" w14:paraId="43447196" w14:textId="77777777" w:rsidTr="008A5901">
              <w:tc>
                <w:tcPr>
                  <w:tcW w:w="4586"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3713103B" w14:textId="328497D1" w:rsidR="002E4A5F" w:rsidRPr="005D4222" w:rsidRDefault="002E4A5F" w:rsidP="00A53E8C">
                  <w:pPr>
                    <w:pStyle w:val="TableText"/>
                    <w:rPr>
                      <w:rFonts w:ascii="Arial" w:hAnsi="Arial" w:cs="Arial"/>
                      <w:kern w:val="20"/>
                      <w:sz w:val="20"/>
                      <w:szCs w:val="20"/>
                    </w:rPr>
                  </w:pPr>
                  <w:r w:rsidRPr="005D4222">
                    <w:rPr>
                      <w:rFonts w:ascii="Arial" w:hAnsi="Arial" w:cs="Arial"/>
                      <w:sz w:val="20"/>
                      <w:szCs w:val="20"/>
                    </w:rPr>
                    <w:t xml:space="preserve">Beck Depression Inventory-Fast Screen </w:t>
                  </w:r>
                  <w:r w:rsidR="00445B6A" w:rsidRPr="005D4222">
                    <w:rPr>
                      <w:rFonts w:ascii="Arial" w:hAnsi="Arial" w:cs="Arial"/>
                      <w:sz w:val="20"/>
                      <w:szCs w:val="20"/>
                    </w:rPr>
                    <w:br/>
                  </w:r>
                  <w:r w:rsidRPr="005D4222">
                    <w:rPr>
                      <w:rFonts w:ascii="Arial" w:hAnsi="Arial" w:cs="Arial"/>
                      <w:sz w:val="20"/>
                      <w:szCs w:val="20"/>
                    </w:rPr>
                    <w:t>(BDI-FS)</w:t>
                  </w:r>
                  <w:r w:rsidRPr="005D4222">
                    <w:rPr>
                      <w:rFonts w:ascii="Arial" w:hAnsi="Arial" w:cs="Arial"/>
                      <w:kern w:val="20"/>
                      <w:sz w:val="20"/>
                      <w:szCs w:val="20"/>
                      <w:vertAlign w:val="superscript"/>
                    </w:rPr>
                    <w:t>®1,2</w:t>
                  </w:r>
                </w:p>
              </w:tc>
              <w:tc>
                <w:tcPr>
                  <w:tcW w:w="135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7162864A" w14:textId="77777777" w:rsidR="002E4A5F" w:rsidRPr="005D4222" w:rsidRDefault="002E4A5F" w:rsidP="00A53E8C">
                  <w:pPr>
                    <w:pStyle w:val="TableText"/>
                    <w:rPr>
                      <w:rFonts w:ascii="Arial" w:hAnsi="Arial" w:cs="Arial"/>
                      <w:kern w:val="20"/>
                      <w:sz w:val="20"/>
                      <w:szCs w:val="20"/>
                    </w:rPr>
                  </w:pPr>
                  <w:r w:rsidRPr="005D4222">
                    <w:rPr>
                      <w:rFonts w:ascii="Arial" w:hAnsi="Arial" w:cs="Arial"/>
                      <w:sz w:val="20"/>
                      <w:szCs w:val="20"/>
                    </w:rPr>
                    <w:t>89208-3</w:t>
                  </w:r>
                </w:p>
              </w:tc>
              <w:tc>
                <w:tcPr>
                  <w:tcW w:w="1439"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6BC6C36F" w14:textId="77777777" w:rsidR="002E4A5F" w:rsidRPr="005D4222" w:rsidRDefault="002E4A5F" w:rsidP="00A53E8C">
                  <w:pPr>
                    <w:pStyle w:val="TableText"/>
                    <w:rPr>
                      <w:rFonts w:ascii="Arial" w:hAnsi="Arial" w:cs="Arial"/>
                      <w:kern w:val="20"/>
                      <w:sz w:val="20"/>
                      <w:szCs w:val="20"/>
                    </w:rPr>
                  </w:pPr>
                  <w:r w:rsidRPr="005D4222">
                    <w:rPr>
                      <w:rFonts w:ascii="Arial" w:hAnsi="Arial" w:cs="Arial"/>
                      <w:sz w:val="20"/>
                      <w:szCs w:val="20"/>
                    </w:rPr>
                    <w:t>Total score ≥8</w:t>
                  </w:r>
                </w:p>
              </w:tc>
            </w:tr>
            <w:tr w:rsidR="002E4A5F" w:rsidRPr="005D4222" w14:paraId="7933FA00" w14:textId="77777777" w:rsidTr="008A5901">
              <w:tc>
                <w:tcPr>
                  <w:tcW w:w="4586"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33C64F80" w14:textId="77777777" w:rsidR="002E4A5F" w:rsidRPr="005D4222" w:rsidRDefault="002E4A5F" w:rsidP="00A53E8C">
                  <w:pPr>
                    <w:pStyle w:val="TableText"/>
                    <w:rPr>
                      <w:rFonts w:ascii="Arial" w:hAnsi="Arial" w:cs="Arial"/>
                      <w:kern w:val="20"/>
                      <w:sz w:val="20"/>
                      <w:szCs w:val="20"/>
                    </w:rPr>
                  </w:pPr>
                  <w:r w:rsidRPr="005D4222">
                    <w:rPr>
                      <w:rFonts w:ascii="Arial" w:hAnsi="Arial" w:cs="Arial"/>
                      <w:sz w:val="20"/>
                      <w:szCs w:val="20"/>
                    </w:rPr>
                    <w:t>Center for Epidemiologic Studies Depression Scale—Revised (CESD-R)</w:t>
                  </w:r>
                </w:p>
              </w:tc>
              <w:tc>
                <w:tcPr>
                  <w:tcW w:w="135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59E4AA54" w14:textId="77777777" w:rsidR="002E4A5F" w:rsidRPr="005D4222" w:rsidRDefault="002E4A5F" w:rsidP="00A53E8C">
                  <w:pPr>
                    <w:pStyle w:val="TableText"/>
                    <w:rPr>
                      <w:rFonts w:ascii="Arial" w:hAnsi="Arial" w:cs="Arial"/>
                      <w:kern w:val="20"/>
                      <w:sz w:val="20"/>
                      <w:szCs w:val="20"/>
                    </w:rPr>
                  </w:pPr>
                  <w:r w:rsidRPr="005D4222">
                    <w:rPr>
                      <w:rFonts w:ascii="Arial" w:hAnsi="Arial" w:cs="Arial"/>
                      <w:sz w:val="20"/>
                      <w:szCs w:val="20"/>
                    </w:rPr>
                    <w:t>89205-9</w:t>
                  </w:r>
                </w:p>
              </w:tc>
              <w:tc>
                <w:tcPr>
                  <w:tcW w:w="1439"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346747A3" w14:textId="77777777" w:rsidR="002E4A5F" w:rsidRPr="005D4222" w:rsidRDefault="002E4A5F" w:rsidP="00A53E8C">
                  <w:pPr>
                    <w:pStyle w:val="TableText"/>
                    <w:rPr>
                      <w:rFonts w:ascii="Arial" w:hAnsi="Arial" w:cs="Arial"/>
                      <w:kern w:val="20"/>
                      <w:sz w:val="20"/>
                      <w:szCs w:val="20"/>
                    </w:rPr>
                  </w:pPr>
                  <w:r w:rsidRPr="005D4222">
                    <w:rPr>
                      <w:rFonts w:ascii="Arial" w:hAnsi="Arial" w:cs="Arial"/>
                      <w:sz w:val="20"/>
                      <w:szCs w:val="20"/>
                    </w:rPr>
                    <w:t>Total score ≥17</w:t>
                  </w:r>
                </w:p>
              </w:tc>
            </w:tr>
          </w:tbl>
          <w:p w14:paraId="0AD1BDD5" w14:textId="77777777" w:rsidR="002E4A5F" w:rsidRPr="005D4222" w:rsidRDefault="002E4A5F" w:rsidP="00A53E8C">
            <w:pPr>
              <w:pStyle w:val="TableText"/>
              <w:spacing w:before="40"/>
              <w:rPr>
                <w:highlight w:val="yellow"/>
              </w:rPr>
            </w:pPr>
          </w:p>
        </w:tc>
      </w:tr>
    </w:tbl>
    <w:p w14:paraId="40DD4D2A" w14:textId="77777777" w:rsidR="008A5901" w:rsidRPr="005D4222" w:rsidRDefault="008A5901"/>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2E4A5F" w:rsidRPr="005D4222" w14:paraId="56CE64CB" w14:textId="77777777" w:rsidTr="008A5901">
        <w:trPr>
          <w:trHeight w:val="300"/>
        </w:trPr>
        <w:tc>
          <w:tcPr>
            <w:tcW w:w="2157" w:type="dxa"/>
            <w:tcBorders>
              <w:top w:val="single" w:sz="4" w:space="0" w:color="auto"/>
              <w:bottom w:val="nil"/>
            </w:tcBorders>
            <w:tcMar>
              <w:top w:w="0" w:type="dxa"/>
              <w:left w:w="86" w:type="dxa"/>
              <w:bottom w:w="43" w:type="dxa"/>
              <w:right w:w="86" w:type="dxa"/>
            </w:tcMar>
          </w:tcPr>
          <w:p w14:paraId="7401EEBF" w14:textId="77777777" w:rsidR="002E4A5F" w:rsidRPr="005D4222" w:rsidRDefault="002E4A5F" w:rsidP="00A53E8C">
            <w:pPr>
              <w:pStyle w:val="ECDSMarginSubhead"/>
            </w:pPr>
          </w:p>
        </w:tc>
        <w:tc>
          <w:tcPr>
            <w:tcW w:w="7557" w:type="dxa"/>
            <w:tcBorders>
              <w:top w:val="single" w:sz="4" w:space="0" w:color="auto"/>
              <w:bottom w:val="nil"/>
            </w:tcBorders>
            <w:tcMar>
              <w:left w:w="86" w:type="dxa"/>
              <w:bottom w:w="43" w:type="dxa"/>
              <w:right w:w="86" w:type="dxa"/>
            </w:tcMar>
          </w:tcPr>
          <w:p w14:paraId="0930FF44" w14:textId="77777777" w:rsidR="002E4A5F" w:rsidRPr="005D4222" w:rsidRDefault="002E4A5F" w:rsidP="00A53E8C">
            <w:pPr>
              <w:rPr>
                <w:sz w:val="10"/>
                <w:szCs w:val="10"/>
              </w:rPr>
            </w:pPr>
          </w:p>
          <w:tbl>
            <w:tblPr>
              <w:tblStyle w:val="TableGrid"/>
              <w:tblW w:w="5000" w:type="pct"/>
              <w:tblLayout w:type="fixed"/>
              <w:tblLook w:val="04A0" w:firstRow="1" w:lastRow="0" w:firstColumn="1" w:lastColumn="0" w:noHBand="0" w:noVBand="1"/>
            </w:tblPr>
            <w:tblGrid>
              <w:gridCol w:w="4586"/>
              <w:gridCol w:w="1350"/>
              <w:gridCol w:w="1439"/>
            </w:tblGrid>
            <w:tr w:rsidR="008A5901" w:rsidRPr="005D4222" w14:paraId="5A3F9E88" w14:textId="77777777" w:rsidTr="008A5901">
              <w:tc>
                <w:tcPr>
                  <w:tcW w:w="4586" w:type="dxa"/>
                  <w:tcBorders>
                    <w:top w:val="single" w:sz="4" w:space="0" w:color="auto"/>
                    <w:left w:val="single" w:sz="4" w:space="0" w:color="auto"/>
                    <w:bottom w:val="single" w:sz="4" w:space="0" w:color="auto"/>
                    <w:right w:val="single" w:sz="4" w:space="0" w:color="FFFFFF" w:themeColor="background1"/>
                  </w:tcBorders>
                  <w:shd w:val="clear" w:color="auto" w:fill="000000" w:themeFill="text1"/>
                  <w:tcMar>
                    <w:left w:w="72" w:type="dxa"/>
                    <w:right w:w="72" w:type="dxa"/>
                  </w:tcMar>
                  <w:vAlign w:val="bottom"/>
                  <w:hideMark/>
                </w:tcPr>
                <w:p w14:paraId="38094389" w14:textId="77777777" w:rsidR="008A5901" w:rsidRPr="005D4222" w:rsidRDefault="008A5901" w:rsidP="008A5901">
                  <w:pPr>
                    <w:pStyle w:val="TableHead"/>
                    <w:rPr>
                      <w:rFonts w:ascii="Arial" w:hAnsi="Arial" w:cs="Arial"/>
                      <w:kern w:val="20"/>
                      <w:sz w:val="20"/>
                    </w:rPr>
                  </w:pPr>
                  <w:r w:rsidRPr="005D4222">
                    <w:rPr>
                      <w:rFonts w:ascii="Arial" w:hAnsi="Arial" w:cs="Arial"/>
                      <w:sz w:val="20"/>
                    </w:rPr>
                    <w:t xml:space="preserve">Instruments for Adolescents </w:t>
                  </w:r>
                  <w:r w:rsidRPr="005D4222">
                    <w:rPr>
                      <w:rFonts w:ascii="Arial" w:hAnsi="Arial" w:cs="Arial"/>
                      <w:sz w:val="20"/>
                    </w:rPr>
                    <w:br/>
                    <w:t>(≤17 Years)</w:t>
                  </w:r>
                </w:p>
              </w:tc>
              <w:tc>
                <w:tcPr>
                  <w:tcW w:w="135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cMar>
                    <w:left w:w="72" w:type="dxa"/>
                    <w:right w:w="72" w:type="dxa"/>
                  </w:tcMar>
                  <w:vAlign w:val="bottom"/>
                  <w:hideMark/>
                </w:tcPr>
                <w:p w14:paraId="5670C007" w14:textId="77777777" w:rsidR="008A5901" w:rsidRPr="005D4222" w:rsidRDefault="008A5901" w:rsidP="008A5901">
                  <w:pPr>
                    <w:pStyle w:val="TableHead"/>
                    <w:rPr>
                      <w:rFonts w:ascii="Arial" w:hAnsi="Arial" w:cs="Arial"/>
                      <w:b w:val="0"/>
                      <w:kern w:val="20"/>
                      <w:sz w:val="20"/>
                    </w:rPr>
                  </w:pPr>
                  <w:r w:rsidRPr="005D4222">
                    <w:rPr>
                      <w:rFonts w:ascii="Arial" w:hAnsi="Arial" w:cs="Arial"/>
                      <w:sz w:val="20"/>
                    </w:rPr>
                    <w:t>Total Score LOINC Codes</w:t>
                  </w:r>
                </w:p>
              </w:tc>
              <w:tc>
                <w:tcPr>
                  <w:tcW w:w="1439" w:type="dxa"/>
                  <w:tcBorders>
                    <w:top w:val="single" w:sz="4" w:space="0" w:color="auto"/>
                    <w:left w:val="single" w:sz="4" w:space="0" w:color="FFFFFF" w:themeColor="background1"/>
                    <w:bottom w:val="single" w:sz="4" w:space="0" w:color="auto"/>
                    <w:right w:val="single" w:sz="4" w:space="0" w:color="auto"/>
                  </w:tcBorders>
                  <w:shd w:val="clear" w:color="auto" w:fill="000000" w:themeFill="text1"/>
                  <w:tcMar>
                    <w:left w:w="72" w:type="dxa"/>
                    <w:right w:w="72" w:type="dxa"/>
                  </w:tcMar>
                  <w:vAlign w:val="bottom"/>
                  <w:hideMark/>
                </w:tcPr>
                <w:p w14:paraId="3E839D8A" w14:textId="77777777" w:rsidR="008A5901" w:rsidRPr="005D4222" w:rsidRDefault="008A5901" w:rsidP="008A5901">
                  <w:pPr>
                    <w:pStyle w:val="TableHead"/>
                    <w:rPr>
                      <w:rFonts w:ascii="Arial" w:hAnsi="Arial" w:cs="Arial"/>
                      <w:b w:val="0"/>
                      <w:kern w:val="20"/>
                      <w:sz w:val="20"/>
                    </w:rPr>
                  </w:pPr>
                  <w:r w:rsidRPr="005D4222">
                    <w:rPr>
                      <w:rFonts w:ascii="Arial" w:hAnsi="Arial" w:cs="Arial"/>
                      <w:sz w:val="20"/>
                    </w:rPr>
                    <w:t>Positive Finding</w:t>
                  </w:r>
                </w:p>
              </w:tc>
            </w:tr>
            <w:tr w:rsidR="008A5901" w:rsidRPr="005D4222" w14:paraId="11AF44C7" w14:textId="77777777" w:rsidTr="008A5901">
              <w:tc>
                <w:tcPr>
                  <w:tcW w:w="4586"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75B4CE12" w14:textId="77777777" w:rsidR="008A5901" w:rsidRPr="005D4222" w:rsidRDefault="008A5901" w:rsidP="008A5901">
                  <w:pPr>
                    <w:pStyle w:val="TableText"/>
                    <w:rPr>
                      <w:rFonts w:ascii="Arial" w:hAnsi="Arial" w:cs="Arial"/>
                      <w:kern w:val="20"/>
                      <w:sz w:val="20"/>
                      <w:szCs w:val="20"/>
                    </w:rPr>
                  </w:pPr>
                  <w:r w:rsidRPr="005D4222">
                    <w:rPr>
                      <w:rFonts w:ascii="Arial" w:hAnsi="Arial" w:cs="Arial"/>
                      <w:sz w:val="20"/>
                      <w:szCs w:val="20"/>
                    </w:rPr>
                    <w:t>Edinburgh Postnatal Depression Scale (EPDS)</w:t>
                  </w:r>
                </w:p>
              </w:tc>
              <w:tc>
                <w:tcPr>
                  <w:tcW w:w="135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34527E7A" w14:textId="77777777" w:rsidR="008A5901" w:rsidRPr="005D4222" w:rsidRDefault="008A5901" w:rsidP="008A5901">
                  <w:pPr>
                    <w:pStyle w:val="TableText"/>
                    <w:rPr>
                      <w:rFonts w:ascii="Arial" w:hAnsi="Arial" w:cs="Arial"/>
                      <w:kern w:val="20"/>
                      <w:sz w:val="20"/>
                      <w:szCs w:val="20"/>
                    </w:rPr>
                  </w:pPr>
                  <w:r w:rsidRPr="005D4222">
                    <w:rPr>
                      <w:rFonts w:ascii="Arial" w:hAnsi="Arial" w:cs="Arial"/>
                      <w:sz w:val="20"/>
                      <w:szCs w:val="20"/>
                    </w:rPr>
                    <w:t>99046-5</w:t>
                  </w:r>
                </w:p>
              </w:tc>
              <w:tc>
                <w:tcPr>
                  <w:tcW w:w="1439"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5BCAE490" w14:textId="77777777" w:rsidR="008A5901" w:rsidRPr="005D4222" w:rsidRDefault="008A5901" w:rsidP="008A5901">
                  <w:pPr>
                    <w:pStyle w:val="TableText"/>
                    <w:rPr>
                      <w:rFonts w:ascii="Arial" w:hAnsi="Arial" w:cs="Arial"/>
                      <w:kern w:val="20"/>
                      <w:sz w:val="20"/>
                      <w:szCs w:val="20"/>
                    </w:rPr>
                  </w:pPr>
                  <w:r w:rsidRPr="005D4222">
                    <w:rPr>
                      <w:rFonts w:ascii="Arial" w:hAnsi="Arial" w:cs="Arial"/>
                      <w:sz w:val="20"/>
                      <w:szCs w:val="20"/>
                    </w:rPr>
                    <w:t>Total score ≥10</w:t>
                  </w:r>
                </w:p>
              </w:tc>
            </w:tr>
            <w:tr w:rsidR="008A5901" w:rsidRPr="005D4222" w14:paraId="7C647373" w14:textId="77777777" w:rsidTr="008A5901">
              <w:tc>
                <w:tcPr>
                  <w:tcW w:w="4586"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0BEE3F51" w14:textId="77777777" w:rsidR="008A5901" w:rsidRPr="005D4222" w:rsidRDefault="008A5901" w:rsidP="008A5901">
                  <w:pPr>
                    <w:pStyle w:val="TableText"/>
                    <w:rPr>
                      <w:rFonts w:ascii="Arial" w:hAnsi="Arial" w:cs="Arial"/>
                      <w:kern w:val="20"/>
                      <w:sz w:val="20"/>
                      <w:szCs w:val="20"/>
                    </w:rPr>
                  </w:pPr>
                  <w:r w:rsidRPr="005D4222">
                    <w:rPr>
                      <w:rFonts w:ascii="Arial" w:hAnsi="Arial" w:cs="Arial"/>
                      <w:sz w:val="20"/>
                      <w:szCs w:val="20"/>
                    </w:rPr>
                    <w:t>PROMIS Depression</w:t>
                  </w:r>
                </w:p>
              </w:tc>
              <w:tc>
                <w:tcPr>
                  <w:tcW w:w="135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4DFFC2AB" w14:textId="77777777" w:rsidR="008A5901" w:rsidRPr="005D4222" w:rsidRDefault="008A5901" w:rsidP="008A5901">
                  <w:pPr>
                    <w:pStyle w:val="TableText"/>
                    <w:rPr>
                      <w:rFonts w:ascii="Arial" w:hAnsi="Arial" w:cs="Arial"/>
                      <w:kern w:val="20"/>
                      <w:sz w:val="20"/>
                      <w:szCs w:val="20"/>
                    </w:rPr>
                  </w:pPr>
                  <w:r w:rsidRPr="005D4222">
                    <w:rPr>
                      <w:rFonts w:ascii="Arial" w:hAnsi="Arial" w:cs="Arial"/>
                      <w:sz w:val="20"/>
                      <w:szCs w:val="20"/>
                    </w:rPr>
                    <w:t>71965-8</w:t>
                  </w:r>
                </w:p>
              </w:tc>
              <w:tc>
                <w:tcPr>
                  <w:tcW w:w="1439"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67DBF575" w14:textId="77777777" w:rsidR="008A5901" w:rsidRPr="005D4222" w:rsidRDefault="008A5901" w:rsidP="008A5901">
                  <w:pPr>
                    <w:pStyle w:val="TableText"/>
                    <w:rPr>
                      <w:rFonts w:ascii="Arial" w:hAnsi="Arial" w:cs="Arial"/>
                      <w:kern w:val="20"/>
                      <w:sz w:val="20"/>
                      <w:szCs w:val="20"/>
                    </w:rPr>
                  </w:pPr>
                  <w:r w:rsidRPr="005D4222">
                    <w:rPr>
                      <w:rFonts w:ascii="Arial" w:hAnsi="Arial" w:cs="Arial"/>
                      <w:sz w:val="20"/>
                      <w:szCs w:val="20"/>
                    </w:rPr>
                    <w:t xml:space="preserve">Total score </w:t>
                  </w:r>
                  <w:r w:rsidRPr="005D4222">
                    <w:rPr>
                      <w:rFonts w:ascii="Arial" w:hAnsi="Arial" w:cs="Arial"/>
                      <w:sz w:val="20"/>
                      <w:szCs w:val="20"/>
                    </w:rPr>
                    <w:br/>
                    <w:t>(T Score) ≥60</w:t>
                  </w:r>
                </w:p>
              </w:tc>
            </w:tr>
          </w:tbl>
          <w:p w14:paraId="04E61EC6" w14:textId="77777777" w:rsidR="008A5901" w:rsidRPr="005D4222" w:rsidRDefault="008A5901"/>
          <w:tbl>
            <w:tblPr>
              <w:tblStyle w:val="TableGrid"/>
              <w:tblW w:w="5000" w:type="pct"/>
              <w:tblLayout w:type="fixed"/>
              <w:tblLook w:val="04A0" w:firstRow="1" w:lastRow="0" w:firstColumn="1" w:lastColumn="0" w:noHBand="0" w:noVBand="1"/>
            </w:tblPr>
            <w:tblGrid>
              <w:gridCol w:w="4586"/>
              <w:gridCol w:w="1350"/>
              <w:gridCol w:w="1439"/>
            </w:tblGrid>
            <w:tr w:rsidR="002E4A5F" w:rsidRPr="005D4222" w14:paraId="53884C4B" w14:textId="77777777" w:rsidTr="00A53E8C">
              <w:trPr>
                <w:tblHeader/>
              </w:trPr>
              <w:tc>
                <w:tcPr>
                  <w:tcW w:w="4586" w:type="dxa"/>
                  <w:tcBorders>
                    <w:top w:val="single" w:sz="4" w:space="0" w:color="auto"/>
                    <w:left w:val="single" w:sz="4" w:space="0" w:color="auto"/>
                    <w:bottom w:val="single" w:sz="4" w:space="0" w:color="auto"/>
                    <w:right w:val="single" w:sz="4" w:space="0" w:color="FFFFFF" w:themeColor="background1"/>
                  </w:tcBorders>
                  <w:shd w:val="clear" w:color="auto" w:fill="000000" w:themeFill="text1"/>
                  <w:tcMar>
                    <w:left w:w="72" w:type="dxa"/>
                    <w:right w:w="72" w:type="dxa"/>
                  </w:tcMar>
                  <w:vAlign w:val="bottom"/>
                  <w:hideMark/>
                </w:tcPr>
                <w:p w14:paraId="37BD7A24" w14:textId="77777777" w:rsidR="002E4A5F" w:rsidRPr="005D4222" w:rsidRDefault="002E4A5F" w:rsidP="00A53E8C">
                  <w:pPr>
                    <w:pStyle w:val="TableHead"/>
                    <w:rPr>
                      <w:rFonts w:ascii="Arial" w:hAnsi="Arial" w:cs="Arial"/>
                      <w:sz w:val="20"/>
                    </w:rPr>
                  </w:pPr>
                  <w:r w:rsidRPr="005D4222">
                    <w:rPr>
                      <w:rFonts w:ascii="Arial" w:hAnsi="Arial" w:cs="Arial"/>
                      <w:sz w:val="20"/>
                    </w:rPr>
                    <w:t>Instruments for Adults (18+ Years)</w:t>
                  </w:r>
                </w:p>
              </w:tc>
              <w:tc>
                <w:tcPr>
                  <w:tcW w:w="135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cMar>
                    <w:left w:w="72" w:type="dxa"/>
                    <w:right w:w="72" w:type="dxa"/>
                  </w:tcMar>
                  <w:vAlign w:val="bottom"/>
                  <w:hideMark/>
                </w:tcPr>
                <w:p w14:paraId="7B0397E2" w14:textId="77777777" w:rsidR="002E4A5F" w:rsidRPr="005D4222" w:rsidRDefault="002E4A5F" w:rsidP="00A53E8C">
                  <w:pPr>
                    <w:pStyle w:val="TableHead"/>
                    <w:rPr>
                      <w:rFonts w:ascii="Arial" w:hAnsi="Arial" w:cs="Arial"/>
                      <w:sz w:val="20"/>
                    </w:rPr>
                  </w:pPr>
                  <w:r w:rsidRPr="005D4222">
                    <w:rPr>
                      <w:rFonts w:ascii="Arial" w:hAnsi="Arial" w:cs="Arial"/>
                      <w:sz w:val="20"/>
                    </w:rPr>
                    <w:t>Total Score LOINC Codes</w:t>
                  </w:r>
                </w:p>
              </w:tc>
              <w:tc>
                <w:tcPr>
                  <w:tcW w:w="1439" w:type="dxa"/>
                  <w:tcBorders>
                    <w:top w:val="single" w:sz="4" w:space="0" w:color="auto"/>
                    <w:left w:val="single" w:sz="4" w:space="0" w:color="FFFFFF" w:themeColor="background1"/>
                    <w:bottom w:val="single" w:sz="4" w:space="0" w:color="auto"/>
                    <w:right w:val="single" w:sz="4" w:space="0" w:color="auto"/>
                  </w:tcBorders>
                  <w:shd w:val="clear" w:color="auto" w:fill="000000" w:themeFill="text1"/>
                  <w:tcMar>
                    <w:left w:w="72" w:type="dxa"/>
                    <w:right w:w="72" w:type="dxa"/>
                  </w:tcMar>
                  <w:vAlign w:val="bottom"/>
                  <w:hideMark/>
                </w:tcPr>
                <w:p w14:paraId="53E6AD04" w14:textId="77777777" w:rsidR="002E4A5F" w:rsidRPr="005D4222" w:rsidRDefault="002E4A5F" w:rsidP="00A53E8C">
                  <w:pPr>
                    <w:pStyle w:val="TableHead"/>
                    <w:rPr>
                      <w:rFonts w:ascii="Arial" w:hAnsi="Arial" w:cs="Arial"/>
                      <w:sz w:val="20"/>
                    </w:rPr>
                  </w:pPr>
                  <w:r w:rsidRPr="005D4222">
                    <w:rPr>
                      <w:rFonts w:ascii="Arial" w:hAnsi="Arial" w:cs="Arial"/>
                      <w:sz w:val="20"/>
                    </w:rPr>
                    <w:t>Positive Finding</w:t>
                  </w:r>
                </w:p>
              </w:tc>
            </w:tr>
            <w:tr w:rsidR="002E4A5F" w:rsidRPr="005D4222" w14:paraId="602CC4ED" w14:textId="77777777" w:rsidTr="00A53E8C">
              <w:tc>
                <w:tcPr>
                  <w:tcW w:w="4586"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2EE3AAEB"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Patient Health Questionnaire (PHQ-9)</w:t>
                  </w:r>
                  <w:r w:rsidRPr="005D4222">
                    <w:rPr>
                      <w:rFonts w:ascii="Arial" w:hAnsi="Arial" w:cs="Arial"/>
                      <w:sz w:val="20"/>
                      <w:szCs w:val="20"/>
                      <w:vertAlign w:val="superscript"/>
                    </w:rPr>
                    <w:t>®</w:t>
                  </w:r>
                </w:p>
              </w:tc>
              <w:tc>
                <w:tcPr>
                  <w:tcW w:w="135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6F20D2C2"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44261-6</w:t>
                  </w:r>
                </w:p>
              </w:tc>
              <w:tc>
                <w:tcPr>
                  <w:tcW w:w="1439"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59425110"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Total score ≥10</w:t>
                  </w:r>
                </w:p>
              </w:tc>
            </w:tr>
            <w:tr w:rsidR="002E4A5F" w:rsidRPr="005D4222" w14:paraId="12350798" w14:textId="77777777" w:rsidTr="00A53E8C">
              <w:tc>
                <w:tcPr>
                  <w:tcW w:w="4586"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308BAA71"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 xml:space="preserve">Patient Health Questionnaire-2 </w:t>
                  </w:r>
                  <w:r w:rsidRPr="005D4222">
                    <w:rPr>
                      <w:rFonts w:ascii="Arial" w:hAnsi="Arial" w:cs="Arial"/>
                      <w:sz w:val="20"/>
                      <w:szCs w:val="20"/>
                    </w:rPr>
                    <w:br/>
                    <w:t>(PHQ-2)</w:t>
                  </w:r>
                  <w:r w:rsidRPr="005D4222">
                    <w:rPr>
                      <w:rFonts w:ascii="Arial" w:hAnsi="Arial" w:cs="Arial"/>
                      <w:sz w:val="20"/>
                      <w:szCs w:val="20"/>
                      <w:vertAlign w:val="superscript"/>
                    </w:rPr>
                    <w:t>®1</w:t>
                  </w:r>
                </w:p>
              </w:tc>
              <w:tc>
                <w:tcPr>
                  <w:tcW w:w="135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79166B91"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55758-7</w:t>
                  </w:r>
                </w:p>
              </w:tc>
              <w:tc>
                <w:tcPr>
                  <w:tcW w:w="1439"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6C29948E"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Total score ≥3</w:t>
                  </w:r>
                </w:p>
              </w:tc>
            </w:tr>
            <w:tr w:rsidR="002E4A5F" w:rsidRPr="005D4222" w14:paraId="33BE6827" w14:textId="77777777" w:rsidTr="00A53E8C">
              <w:tc>
                <w:tcPr>
                  <w:tcW w:w="4586"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17711D60" w14:textId="072AEE12" w:rsidR="002E4A5F" w:rsidRPr="005D4222" w:rsidRDefault="002E4A5F" w:rsidP="00A53E8C">
                  <w:pPr>
                    <w:pStyle w:val="TableText"/>
                    <w:rPr>
                      <w:rFonts w:ascii="Arial" w:hAnsi="Arial" w:cs="Arial"/>
                      <w:sz w:val="20"/>
                      <w:szCs w:val="20"/>
                    </w:rPr>
                  </w:pPr>
                  <w:r w:rsidRPr="005D4222">
                    <w:rPr>
                      <w:rFonts w:ascii="Arial" w:hAnsi="Arial" w:cs="Arial"/>
                      <w:sz w:val="20"/>
                      <w:szCs w:val="20"/>
                    </w:rPr>
                    <w:t xml:space="preserve">Beck Depression Inventory-Fast Screen </w:t>
                  </w:r>
                  <w:r w:rsidR="000A4398" w:rsidRPr="005D4222">
                    <w:rPr>
                      <w:rFonts w:ascii="Arial" w:hAnsi="Arial" w:cs="Arial"/>
                      <w:sz w:val="20"/>
                      <w:szCs w:val="20"/>
                    </w:rPr>
                    <w:br/>
                  </w:r>
                  <w:r w:rsidRPr="005D4222">
                    <w:rPr>
                      <w:rFonts w:ascii="Arial" w:hAnsi="Arial" w:cs="Arial"/>
                      <w:sz w:val="20"/>
                      <w:szCs w:val="20"/>
                    </w:rPr>
                    <w:t>(BDI-FS)</w:t>
                  </w:r>
                  <w:r w:rsidRPr="005D4222">
                    <w:rPr>
                      <w:rFonts w:ascii="Arial" w:hAnsi="Arial" w:cs="Arial"/>
                      <w:sz w:val="20"/>
                      <w:szCs w:val="20"/>
                      <w:vertAlign w:val="superscript"/>
                    </w:rPr>
                    <w:t>®1,2</w:t>
                  </w:r>
                </w:p>
              </w:tc>
              <w:tc>
                <w:tcPr>
                  <w:tcW w:w="135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6980A677"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89208-3</w:t>
                  </w:r>
                </w:p>
              </w:tc>
              <w:tc>
                <w:tcPr>
                  <w:tcW w:w="1439"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077F2516"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Total score ≥8</w:t>
                  </w:r>
                </w:p>
              </w:tc>
            </w:tr>
            <w:tr w:rsidR="002E4A5F" w:rsidRPr="005D4222" w14:paraId="295106B6" w14:textId="77777777" w:rsidTr="00A53E8C">
              <w:tc>
                <w:tcPr>
                  <w:tcW w:w="4586"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2AAE6B9F"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Beck Depression Inventory (BDI-II)</w:t>
                  </w:r>
                </w:p>
              </w:tc>
              <w:tc>
                <w:tcPr>
                  <w:tcW w:w="135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0063893C"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89209-1</w:t>
                  </w:r>
                </w:p>
              </w:tc>
              <w:tc>
                <w:tcPr>
                  <w:tcW w:w="1439"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05946771"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Total score ≥20</w:t>
                  </w:r>
                </w:p>
              </w:tc>
            </w:tr>
            <w:tr w:rsidR="002E4A5F" w:rsidRPr="005D4222" w14:paraId="72DE8D9B" w14:textId="77777777" w:rsidTr="00A53E8C">
              <w:tc>
                <w:tcPr>
                  <w:tcW w:w="4586"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247B3FDC"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Center for Epidemiologic Studies Depression Scale—Revised (CESD-R)</w:t>
                  </w:r>
                </w:p>
              </w:tc>
              <w:tc>
                <w:tcPr>
                  <w:tcW w:w="135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274D9003"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89205-9</w:t>
                  </w:r>
                </w:p>
              </w:tc>
              <w:tc>
                <w:tcPr>
                  <w:tcW w:w="1439"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659A7DF2"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Total score ≥17</w:t>
                  </w:r>
                </w:p>
              </w:tc>
            </w:tr>
            <w:tr w:rsidR="002E4A5F" w:rsidRPr="005D4222" w14:paraId="60FB1BA1" w14:textId="77777777" w:rsidTr="00A53E8C">
              <w:tc>
                <w:tcPr>
                  <w:tcW w:w="4586"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5EEB6FFD"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Duke Anxiety—Depression Scale (DUKE-AD)</w:t>
                  </w:r>
                  <w:r w:rsidRPr="005D4222">
                    <w:rPr>
                      <w:rFonts w:ascii="Arial" w:hAnsi="Arial" w:cs="Arial"/>
                      <w:sz w:val="20"/>
                      <w:szCs w:val="20"/>
                      <w:vertAlign w:val="superscript"/>
                    </w:rPr>
                    <w:t>®2</w:t>
                  </w:r>
                </w:p>
              </w:tc>
              <w:tc>
                <w:tcPr>
                  <w:tcW w:w="135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09342058"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90853-3</w:t>
                  </w:r>
                </w:p>
              </w:tc>
              <w:tc>
                <w:tcPr>
                  <w:tcW w:w="1439"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2FC984DF"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Total score ≥30</w:t>
                  </w:r>
                </w:p>
              </w:tc>
            </w:tr>
            <w:tr w:rsidR="002E4A5F" w:rsidRPr="005D4222" w14:paraId="408554C4" w14:textId="77777777" w:rsidTr="00A53E8C">
              <w:tc>
                <w:tcPr>
                  <w:tcW w:w="4586"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1C5FC74F"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Geriatric Depression Scale Short Form (GDS)</w:t>
                  </w:r>
                  <w:r w:rsidRPr="005D4222">
                    <w:rPr>
                      <w:rFonts w:ascii="Arial" w:hAnsi="Arial" w:cs="Arial"/>
                      <w:sz w:val="20"/>
                      <w:szCs w:val="20"/>
                      <w:vertAlign w:val="superscript"/>
                    </w:rPr>
                    <w:t>1</w:t>
                  </w:r>
                </w:p>
              </w:tc>
              <w:tc>
                <w:tcPr>
                  <w:tcW w:w="135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216DD0AE"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48545-8</w:t>
                  </w:r>
                </w:p>
              </w:tc>
              <w:tc>
                <w:tcPr>
                  <w:tcW w:w="1439"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0CEB78C8"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Total score ≥5</w:t>
                  </w:r>
                </w:p>
              </w:tc>
            </w:tr>
            <w:tr w:rsidR="002E4A5F" w:rsidRPr="005D4222" w14:paraId="7045605F" w14:textId="77777777" w:rsidTr="00A53E8C">
              <w:tc>
                <w:tcPr>
                  <w:tcW w:w="4586"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5611C150"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Geriatric Depression Scale Long Form (GDS)</w:t>
                  </w:r>
                </w:p>
              </w:tc>
              <w:tc>
                <w:tcPr>
                  <w:tcW w:w="135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0231F94D"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48544-1</w:t>
                  </w:r>
                </w:p>
              </w:tc>
              <w:tc>
                <w:tcPr>
                  <w:tcW w:w="1439"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5235AD47"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Total score ≥10</w:t>
                  </w:r>
                </w:p>
              </w:tc>
            </w:tr>
            <w:tr w:rsidR="002E4A5F" w:rsidRPr="005D4222" w14:paraId="44832D37" w14:textId="77777777" w:rsidTr="00A53E8C">
              <w:tc>
                <w:tcPr>
                  <w:tcW w:w="4586"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308F1CB7"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Edinburgh Postnatal Depression Scale (EPDS)</w:t>
                  </w:r>
                </w:p>
              </w:tc>
              <w:tc>
                <w:tcPr>
                  <w:tcW w:w="135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7D4D6A39"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 xml:space="preserve">99046-5 </w:t>
                  </w:r>
                </w:p>
              </w:tc>
              <w:tc>
                <w:tcPr>
                  <w:tcW w:w="1439"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1DF1136E"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Total score ≥10</w:t>
                  </w:r>
                </w:p>
              </w:tc>
            </w:tr>
            <w:tr w:rsidR="002E4A5F" w:rsidRPr="005D4222" w14:paraId="3263502F" w14:textId="77777777" w:rsidTr="00A53E8C">
              <w:tc>
                <w:tcPr>
                  <w:tcW w:w="4586"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776A710B"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My Mood Monitor (M-3)</w:t>
                  </w:r>
                  <w:r w:rsidRPr="005D4222">
                    <w:rPr>
                      <w:rFonts w:ascii="Arial" w:hAnsi="Arial" w:cs="Arial"/>
                      <w:sz w:val="20"/>
                      <w:szCs w:val="20"/>
                      <w:vertAlign w:val="superscript"/>
                    </w:rPr>
                    <w:t>®</w:t>
                  </w:r>
                </w:p>
              </w:tc>
              <w:tc>
                <w:tcPr>
                  <w:tcW w:w="135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497F9993"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71777-7</w:t>
                  </w:r>
                </w:p>
              </w:tc>
              <w:tc>
                <w:tcPr>
                  <w:tcW w:w="1439"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3F336981"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Total score ≥5</w:t>
                  </w:r>
                </w:p>
              </w:tc>
            </w:tr>
            <w:tr w:rsidR="002E4A5F" w:rsidRPr="005D4222" w14:paraId="33118662" w14:textId="77777777" w:rsidTr="00A53E8C">
              <w:tc>
                <w:tcPr>
                  <w:tcW w:w="4586"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2707D825"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PROMIS Depression</w:t>
                  </w:r>
                </w:p>
              </w:tc>
              <w:tc>
                <w:tcPr>
                  <w:tcW w:w="135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72FBB857"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71965-8</w:t>
                  </w:r>
                </w:p>
              </w:tc>
              <w:tc>
                <w:tcPr>
                  <w:tcW w:w="1439"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3DDBC496"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 xml:space="preserve">Total score </w:t>
                  </w:r>
                  <w:r w:rsidRPr="005D4222">
                    <w:rPr>
                      <w:rFonts w:ascii="Arial" w:hAnsi="Arial" w:cs="Arial"/>
                      <w:sz w:val="20"/>
                      <w:szCs w:val="20"/>
                    </w:rPr>
                    <w:br/>
                    <w:t>(T Score) ≥60</w:t>
                  </w:r>
                </w:p>
              </w:tc>
            </w:tr>
            <w:tr w:rsidR="002E4A5F" w:rsidRPr="005D4222" w14:paraId="6048EF7F" w14:textId="77777777" w:rsidTr="00A53E8C">
              <w:tc>
                <w:tcPr>
                  <w:tcW w:w="4586" w:type="dxa"/>
                  <w:tcBorders>
                    <w:top w:val="single" w:sz="4" w:space="0" w:color="auto"/>
                    <w:left w:val="single" w:sz="4" w:space="0" w:color="auto"/>
                    <w:bottom w:val="single" w:sz="4" w:space="0" w:color="auto"/>
                    <w:right w:val="single" w:sz="4" w:space="0" w:color="auto"/>
                  </w:tcBorders>
                  <w:tcMar>
                    <w:left w:w="72" w:type="dxa"/>
                    <w:right w:w="72" w:type="dxa"/>
                  </w:tcMar>
                </w:tcPr>
                <w:p w14:paraId="425D39EA" w14:textId="5C2EB6E2" w:rsidR="002E4A5F" w:rsidRPr="005D4222" w:rsidRDefault="002E4A5F" w:rsidP="00A53E8C">
                  <w:pPr>
                    <w:pStyle w:val="TableText"/>
                    <w:rPr>
                      <w:rFonts w:ascii="Arial" w:hAnsi="Arial" w:cs="Arial"/>
                      <w:sz w:val="20"/>
                      <w:szCs w:val="20"/>
                    </w:rPr>
                  </w:pPr>
                  <w:r w:rsidRPr="005D4222">
                    <w:rPr>
                      <w:rFonts w:ascii="Arial" w:hAnsi="Arial" w:cs="Arial"/>
                      <w:sz w:val="20"/>
                      <w:szCs w:val="20"/>
                    </w:rPr>
                    <w:t>PROMIS Emotional Distress—Depression—</w:t>
                  </w:r>
                  <w:r w:rsidR="000A4398" w:rsidRPr="005D4222">
                    <w:rPr>
                      <w:rFonts w:ascii="Arial" w:hAnsi="Arial" w:cs="Arial"/>
                      <w:sz w:val="20"/>
                      <w:szCs w:val="20"/>
                    </w:rPr>
                    <w:br/>
                  </w:r>
                  <w:r w:rsidRPr="005D4222">
                    <w:rPr>
                      <w:rFonts w:ascii="Arial" w:hAnsi="Arial" w:cs="Arial"/>
                      <w:sz w:val="20"/>
                      <w:szCs w:val="20"/>
                    </w:rPr>
                    <w:t>Short Form</w:t>
                  </w:r>
                </w:p>
              </w:tc>
              <w:tc>
                <w:tcPr>
                  <w:tcW w:w="1350" w:type="dxa"/>
                  <w:tcBorders>
                    <w:top w:val="single" w:sz="4" w:space="0" w:color="auto"/>
                    <w:left w:val="single" w:sz="4" w:space="0" w:color="auto"/>
                    <w:bottom w:val="single" w:sz="4" w:space="0" w:color="auto"/>
                    <w:right w:val="single" w:sz="4" w:space="0" w:color="auto"/>
                  </w:tcBorders>
                  <w:tcMar>
                    <w:left w:w="72" w:type="dxa"/>
                    <w:right w:w="72" w:type="dxa"/>
                  </w:tcMar>
                </w:tcPr>
                <w:p w14:paraId="0D839775"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77861-3</w:t>
                  </w:r>
                </w:p>
              </w:tc>
              <w:tc>
                <w:tcPr>
                  <w:tcW w:w="1439" w:type="dxa"/>
                  <w:tcBorders>
                    <w:top w:val="single" w:sz="4" w:space="0" w:color="auto"/>
                    <w:left w:val="single" w:sz="4" w:space="0" w:color="auto"/>
                    <w:bottom w:val="single" w:sz="4" w:space="0" w:color="auto"/>
                    <w:right w:val="single" w:sz="4" w:space="0" w:color="auto"/>
                  </w:tcBorders>
                  <w:tcMar>
                    <w:left w:w="72" w:type="dxa"/>
                    <w:right w:w="72" w:type="dxa"/>
                  </w:tcMar>
                </w:tcPr>
                <w:p w14:paraId="0C5627FE"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 xml:space="preserve">Total score </w:t>
                  </w:r>
                  <w:r w:rsidRPr="005D4222">
                    <w:rPr>
                      <w:rFonts w:ascii="Arial" w:hAnsi="Arial" w:cs="Arial"/>
                      <w:sz w:val="20"/>
                      <w:szCs w:val="20"/>
                    </w:rPr>
                    <w:br/>
                    <w:t>(T Score) ≥60</w:t>
                  </w:r>
                </w:p>
              </w:tc>
            </w:tr>
            <w:tr w:rsidR="002E4A5F" w:rsidRPr="005D4222" w14:paraId="0E36E34A" w14:textId="77777777" w:rsidTr="00A53E8C">
              <w:tc>
                <w:tcPr>
                  <w:tcW w:w="4586"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6918CC20"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Clinically Useful Depression Outcome Scale (CUDOS)</w:t>
                  </w:r>
                </w:p>
              </w:tc>
              <w:tc>
                <w:tcPr>
                  <w:tcW w:w="135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775BE487"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90221-3</w:t>
                  </w:r>
                </w:p>
              </w:tc>
              <w:tc>
                <w:tcPr>
                  <w:tcW w:w="1439"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1B5B0761" w14:textId="77777777" w:rsidR="002E4A5F" w:rsidRPr="005D4222" w:rsidRDefault="002E4A5F" w:rsidP="00A53E8C">
                  <w:pPr>
                    <w:pStyle w:val="TableText"/>
                    <w:rPr>
                      <w:rFonts w:ascii="Arial" w:hAnsi="Arial" w:cs="Arial"/>
                      <w:sz w:val="20"/>
                      <w:szCs w:val="20"/>
                    </w:rPr>
                  </w:pPr>
                  <w:r w:rsidRPr="005D4222">
                    <w:rPr>
                      <w:rFonts w:ascii="Arial" w:hAnsi="Arial" w:cs="Arial"/>
                      <w:sz w:val="20"/>
                      <w:szCs w:val="20"/>
                    </w:rPr>
                    <w:t>Total score ≥31</w:t>
                  </w:r>
                </w:p>
              </w:tc>
            </w:tr>
          </w:tbl>
          <w:p w14:paraId="6ABA598F" w14:textId="77777777" w:rsidR="002E4A5F" w:rsidRPr="005D4222" w:rsidRDefault="002E4A5F" w:rsidP="00A53E8C">
            <w:pPr>
              <w:pStyle w:val="TableText"/>
              <w:spacing w:after="0"/>
              <w:rPr>
                <w:rFonts w:ascii="Arial" w:eastAsia="Arial" w:hAnsi="Arial" w:cs="Arial"/>
                <w:sz w:val="18"/>
                <w:szCs w:val="18"/>
              </w:rPr>
            </w:pPr>
            <w:r w:rsidRPr="005D4222">
              <w:rPr>
                <w:rFonts w:ascii="Arial" w:eastAsia="Arial" w:hAnsi="Arial" w:cs="Arial"/>
                <w:sz w:val="18"/>
                <w:szCs w:val="18"/>
                <w:vertAlign w:val="superscript"/>
              </w:rPr>
              <w:t>1</w:t>
            </w:r>
            <w:r w:rsidRPr="005D4222">
              <w:rPr>
                <w:rFonts w:ascii="Arial" w:eastAsia="Arial" w:hAnsi="Arial" w:cs="Arial"/>
                <w:sz w:val="18"/>
                <w:szCs w:val="18"/>
              </w:rPr>
              <w:t>Brief screening instrument. All other instruments are full-length.</w:t>
            </w:r>
          </w:p>
          <w:p w14:paraId="0A0AAE53" w14:textId="77777777" w:rsidR="002E4A5F" w:rsidRPr="005D4222" w:rsidRDefault="002E4A5F" w:rsidP="00A53E8C">
            <w:pPr>
              <w:pStyle w:val="TableText"/>
              <w:rPr>
                <w:rFonts w:eastAsia="Arial"/>
                <w:vertAlign w:val="superscript"/>
              </w:rPr>
            </w:pPr>
            <w:r w:rsidRPr="005D4222">
              <w:rPr>
                <w:rFonts w:ascii="Arial" w:eastAsia="Arial" w:hAnsi="Arial" w:cs="Arial"/>
                <w:sz w:val="18"/>
                <w:szCs w:val="18"/>
                <w:vertAlign w:val="superscript"/>
              </w:rPr>
              <w:t>2</w:t>
            </w:r>
            <w:r w:rsidRPr="005D4222">
              <w:rPr>
                <w:rFonts w:ascii="Arial" w:eastAsia="Consolas" w:hAnsi="Arial" w:cs="Arial"/>
                <w:sz w:val="18"/>
                <w:szCs w:val="18"/>
              </w:rPr>
              <w:t>Proprietary; may be cost or licensing requirement associated with use.</w:t>
            </w:r>
          </w:p>
        </w:tc>
      </w:tr>
      <w:tr w:rsidR="002E4A5F" w:rsidRPr="005D4222" w14:paraId="63FD0367" w14:textId="77777777" w:rsidTr="008A5901">
        <w:trPr>
          <w:trHeight w:val="300"/>
        </w:trPr>
        <w:tc>
          <w:tcPr>
            <w:tcW w:w="2157" w:type="dxa"/>
            <w:shd w:val="clear" w:color="auto" w:fill="BFBFBF" w:themeFill="background1" w:themeFillShade="BF"/>
            <w:tcMar>
              <w:top w:w="0" w:type="dxa"/>
              <w:left w:w="86" w:type="dxa"/>
              <w:bottom w:w="43" w:type="dxa"/>
              <w:right w:w="86" w:type="dxa"/>
            </w:tcMar>
          </w:tcPr>
          <w:p w14:paraId="46FD93E4" w14:textId="77777777" w:rsidR="002E4A5F" w:rsidRPr="005D4222" w:rsidRDefault="002E4A5F" w:rsidP="00A53E8C">
            <w:pPr>
              <w:pStyle w:val="ECDSMarginHead"/>
            </w:pPr>
            <w:r w:rsidRPr="005D4222">
              <w:t>Initial population</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91F6AFF" w14:textId="77777777" w:rsidR="002E4A5F" w:rsidRPr="005D4222" w:rsidRDefault="002E4A5F" w:rsidP="00A53E8C">
            <w:pPr>
              <w:pStyle w:val="ECDSBody"/>
            </w:pPr>
            <w:r w:rsidRPr="005D4222">
              <w:rPr>
                <w:i/>
              </w:rPr>
              <w:t xml:space="preserve">Measure item count: </w:t>
            </w:r>
            <w:r w:rsidRPr="005D4222">
              <w:t>Person.</w:t>
            </w:r>
          </w:p>
          <w:p w14:paraId="155871F6" w14:textId="1A2A0D10" w:rsidR="002E4A5F" w:rsidRPr="005D4222" w:rsidRDefault="00F10378" w:rsidP="00A53E8C">
            <w:pPr>
              <w:pStyle w:val="ECDSBody"/>
            </w:pPr>
            <w:r w:rsidRPr="005D4222">
              <w:rPr>
                <w:i/>
                <w:iCs/>
              </w:rPr>
              <w:t>Attribution basis:</w:t>
            </w:r>
            <w:r w:rsidR="002E4A5F" w:rsidRPr="005D4222">
              <w:rPr>
                <w:i/>
              </w:rPr>
              <w:t xml:space="preserve"> </w:t>
            </w:r>
            <w:r w:rsidR="002E4A5F" w:rsidRPr="005D4222">
              <w:t>Enrollment.</w:t>
            </w:r>
          </w:p>
          <w:p w14:paraId="7D189C1E" w14:textId="77777777" w:rsidR="002E4A5F" w:rsidRPr="005D4222" w:rsidRDefault="002E4A5F" w:rsidP="002E4A5F">
            <w:pPr>
              <w:pStyle w:val="Bullet"/>
              <w:numPr>
                <w:ilvl w:val="0"/>
                <w:numId w:val="4"/>
              </w:numPr>
              <w:tabs>
                <w:tab w:val="left" w:pos="360"/>
                <w:tab w:val="left" w:pos="576"/>
              </w:tabs>
              <w:ind w:left="576" w:hanging="216"/>
            </w:pPr>
            <w:r w:rsidRPr="005D4222">
              <w:rPr>
                <w:i/>
              </w:rPr>
              <w:t>Benefits:</w:t>
            </w:r>
            <w:r w:rsidRPr="005D4222">
              <w:t xml:space="preserve"> Medical.</w:t>
            </w:r>
          </w:p>
          <w:p w14:paraId="342A1C1E" w14:textId="77777777" w:rsidR="002E4A5F" w:rsidRPr="005D4222" w:rsidRDefault="002E4A5F" w:rsidP="002E4A5F">
            <w:pPr>
              <w:pStyle w:val="Bullet"/>
              <w:numPr>
                <w:ilvl w:val="0"/>
                <w:numId w:val="4"/>
              </w:numPr>
              <w:tabs>
                <w:tab w:val="left" w:pos="360"/>
                <w:tab w:val="left" w:pos="576"/>
              </w:tabs>
              <w:ind w:left="576" w:hanging="216"/>
            </w:pPr>
            <w:r w:rsidRPr="005D4222">
              <w:rPr>
                <w:i/>
              </w:rPr>
              <w:t>Continuous enrollment:</w:t>
            </w:r>
            <w:r w:rsidRPr="005D4222">
              <w:t xml:space="preserve"> The measurement period.</w:t>
            </w:r>
          </w:p>
          <w:p w14:paraId="65C22471" w14:textId="7E96D4FB" w:rsidR="002E4A5F" w:rsidRPr="005D4222" w:rsidRDefault="002E4A5F" w:rsidP="008A5901">
            <w:pPr>
              <w:pStyle w:val="Bullet"/>
              <w:numPr>
                <w:ilvl w:val="0"/>
                <w:numId w:val="4"/>
              </w:numPr>
              <w:tabs>
                <w:tab w:val="left" w:pos="360"/>
                <w:tab w:val="left" w:pos="576"/>
              </w:tabs>
              <w:spacing w:after="80"/>
              <w:ind w:left="576" w:hanging="216"/>
            </w:pPr>
            <w:r w:rsidRPr="005D4222">
              <w:rPr>
                <w:i/>
              </w:rPr>
              <w:t>Allowable gap:</w:t>
            </w:r>
            <w:r w:rsidRPr="005D4222">
              <w:t xml:space="preserve"> No more than one gap of ≤45 days during the measurement period. No gaps on the last day of the measurement period. </w:t>
            </w:r>
          </w:p>
        </w:tc>
      </w:tr>
      <w:tr w:rsidR="002E4A5F" w:rsidRPr="005D4222" w14:paraId="44A1B6E1" w14:textId="77777777" w:rsidTr="008A5901">
        <w:tc>
          <w:tcPr>
            <w:tcW w:w="2157" w:type="dxa"/>
            <w:tcBorders>
              <w:top w:val="single" w:sz="2"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7C786606" w14:textId="47AF17D7" w:rsidR="002E4A5F" w:rsidRPr="005D4222" w:rsidRDefault="002E4A5F" w:rsidP="00A53E8C">
            <w:pPr>
              <w:pStyle w:val="ECDSMarginHead"/>
            </w:pP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tcPr>
          <w:p w14:paraId="692FCC99" w14:textId="77777777" w:rsidR="008A5901" w:rsidRPr="005D4222" w:rsidRDefault="008A5901" w:rsidP="008A5901">
            <w:pPr>
              <w:pStyle w:val="ECDSBody"/>
            </w:pPr>
            <w:r w:rsidRPr="005D4222">
              <w:rPr>
                <w:i/>
                <w:iCs/>
              </w:rPr>
              <w:t>Ages:</w:t>
            </w:r>
            <w:r w:rsidRPr="005D4222">
              <w:t xml:space="preserve"> 12 years of age and older at the start of the measurement period.</w:t>
            </w:r>
          </w:p>
          <w:p w14:paraId="47F2B1F4" w14:textId="69C8FAA6" w:rsidR="002E4A5F" w:rsidRPr="005D4222" w:rsidRDefault="008A5901" w:rsidP="008A5901">
            <w:pPr>
              <w:pStyle w:val="ECDSBody"/>
            </w:pPr>
            <w:r w:rsidRPr="005D4222">
              <w:rPr>
                <w:i/>
              </w:rPr>
              <w:t xml:space="preserve">Event: </w:t>
            </w:r>
            <w:r w:rsidRPr="005D4222">
              <w:t>None.</w:t>
            </w:r>
          </w:p>
        </w:tc>
      </w:tr>
      <w:tr w:rsidR="005C73CA" w:rsidRPr="005D4222" w14:paraId="4D1BB6D4" w14:textId="77777777" w:rsidTr="008A5901">
        <w:tc>
          <w:tcPr>
            <w:tcW w:w="2157" w:type="dxa"/>
            <w:tcBorders>
              <w:top w:val="single" w:sz="2"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116C110F" w14:textId="23325B6A" w:rsidR="005C73CA" w:rsidRPr="005D4222" w:rsidRDefault="008A5901" w:rsidP="00A53E8C">
            <w:pPr>
              <w:pStyle w:val="ECDSMarginHead"/>
            </w:pPr>
            <w:r w:rsidRPr="005D4222">
              <w:t>Denominator exclusions</w:t>
            </w: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tcPr>
          <w:p w14:paraId="661A9EBB" w14:textId="77777777" w:rsidR="008A5901" w:rsidRPr="005D4222" w:rsidRDefault="008A5901" w:rsidP="008A5901">
            <w:pPr>
              <w:pStyle w:val="ECDSBody"/>
              <w:rPr>
                <w:rFonts w:eastAsia="Arial,Arial,Arial,Arial,Arial,A"/>
              </w:rPr>
            </w:pPr>
            <w:r w:rsidRPr="005D4222">
              <w:rPr>
                <w:rFonts w:eastAsia="Arial,Arial,Arial,Arial,Arial,A"/>
                <w:b/>
              </w:rPr>
              <w:t>Persons with a date of death.</w:t>
            </w:r>
            <w:r w:rsidRPr="005D4222">
              <w:rPr>
                <w:rFonts w:eastAsia="Arial,Arial,Arial,Arial,Arial,A"/>
                <w:b/>
              </w:rPr>
              <w:br/>
            </w:r>
            <w:r w:rsidRPr="005D4222">
              <w:rPr>
                <w:rFonts w:eastAsia="Arial,Arial,Arial,Arial,Arial,A"/>
              </w:rPr>
              <w:t>Death in the measurement period, identified using data sources determined by the organization</w:t>
            </w:r>
            <w:r w:rsidRPr="005D4222">
              <w:t xml:space="preserve">. </w:t>
            </w:r>
            <w:r w:rsidRPr="005D4222">
              <w:rPr>
                <w:rFonts w:eastAsia="Arial,Arial,Arial,Arial,Arial,A"/>
              </w:rPr>
              <w:t>Method and data sources are subject to review during the HEDIS audit.</w:t>
            </w:r>
          </w:p>
          <w:p w14:paraId="2CEBEE72" w14:textId="77777777" w:rsidR="005C73CA" w:rsidRPr="005D4222" w:rsidRDefault="005C73CA" w:rsidP="005C73CA">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72275A16" w14:textId="3828DEB9" w:rsidR="005C73CA" w:rsidRPr="005D4222" w:rsidRDefault="005C73CA" w:rsidP="005C73CA">
            <w:pPr>
              <w:pStyle w:val="ECDSBody"/>
              <w:rPr>
                <w:rFonts w:eastAsia="Arial,Arial,Arial,Arial,Arial,A"/>
              </w:rPr>
            </w:pPr>
            <w:r w:rsidRPr="005D4222">
              <w:rPr>
                <w:rFonts w:eastAsia="Arial,Arial,Arial,Arial,Arial,A"/>
                <w:b/>
              </w:rPr>
              <w:t>Persons with a history of bipolar disorder.</w:t>
            </w:r>
            <w:r w:rsidRPr="005D4222">
              <w:rPr>
                <w:rFonts w:eastAsia="Arial,Arial,Arial,Arial,Arial,A"/>
                <w:b/>
              </w:rPr>
              <w:br/>
            </w:r>
            <w:r w:rsidRPr="005D4222">
              <w:t>Persons with a history of bipolar disorder (</w:t>
            </w:r>
            <w:r w:rsidRPr="005D4222">
              <w:rPr>
                <w:u w:val="single"/>
              </w:rPr>
              <w:t>Bipolar Disorder Value Set</w:t>
            </w:r>
            <w:r w:rsidRPr="005D4222">
              <w:t xml:space="preserve">*; </w:t>
            </w:r>
            <w:r w:rsidRPr="005D4222">
              <w:rPr>
                <w:u w:val="single"/>
              </w:rPr>
              <w:t>Other</w:t>
            </w:r>
            <w:r w:rsidRPr="005D4222">
              <w:t xml:space="preserve"> </w:t>
            </w:r>
            <w:r w:rsidRPr="005D4222">
              <w:rPr>
                <w:u w:val="single"/>
              </w:rPr>
              <w:t>Bipolar Disorder Value Se</w:t>
            </w:r>
            <w:r w:rsidRPr="005D4222">
              <w:t xml:space="preserve">t*) any time during the person’s history through the </w:t>
            </w:r>
            <w:r w:rsidR="00D80100" w:rsidRPr="005D4222">
              <w:t>last day</w:t>
            </w:r>
            <w:r w:rsidRPr="005D4222">
              <w:t xml:space="preserve"> of the year prior to the measurement period.</w:t>
            </w:r>
          </w:p>
          <w:p w14:paraId="6AB7F38D" w14:textId="77777777" w:rsidR="005C73CA" w:rsidRPr="005D4222" w:rsidRDefault="005C73CA" w:rsidP="005C73CA">
            <w:pPr>
              <w:pStyle w:val="ECDSBody"/>
            </w:pPr>
            <w:r w:rsidRPr="005D4222">
              <w:rPr>
                <w:rFonts w:eastAsia="Arial,Arial,Arial,Arial,Arial,A"/>
                <w:b/>
              </w:rPr>
              <w:t xml:space="preserve">Persons with depression. </w:t>
            </w:r>
            <w:r w:rsidRPr="005D4222">
              <w:rPr>
                <w:rFonts w:eastAsia="Arial,Arial,Arial,Arial,Arial,A"/>
                <w:b/>
              </w:rPr>
              <w:br/>
            </w:r>
            <w:r w:rsidRPr="005D4222">
              <w:rPr>
                <w:kern w:val="20"/>
              </w:rPr>
              <w:t>Persons with depression (</w:t>
            </w:r>
            <w:r w:rsidRPr="005D4222">
              <w:rPr>
                <w:kern w:val="20"/>
                <w:u w:val="single"/>
              </w:rPr>
              <w:t>Depression Value Set</w:t>
            </w:r>
            <w:r w:rsidRPr="005D4222">
              <w:rPr>
                <w:kern w:val="20"/>
              </w:rPr>
              <w:t>*) that starts during the year prior to the measurement period.</w:t>
            </w:r>
          </w:p>
          <w:p w14:paraId="2E076847" w14:textId="77777777" w:rsidR="005C73CA" w:rsidRPr="005D4222" w:rsidRDefault="005C73CA" w:rsidP="005C73CA">
            <w:pPr>
              <w:pStyle w:val="ECDSBody"/>
              <w:spacing w:after="0"/>
              <w:rPr>
                <w:rFonts w:eastAsia="Arial,Arial,Arial,Arial,Arial,A"/>
                <w:b/>
                <w:bCs w:val="0"/>
              </w:rPr>
            </w:pPr>
            <w:r w:rsidRPr="005D4222">
              <w:rPr>
                <w:rFonts w:eastAsia="Arial,Arial,Arial,Arial,Arial,A"/>
                <w:b/>
              </w:rPr>
              <w:t>Coding Guidance</w:t>
            </w:r>
          </w:p>
          <w:p w14:paraId="79D7210C" w14:textId="6D382F87" w:rsidR="005C73CA" w:rsidRPr="005D4222" w:rsidRDefault="005C73CA" w:rsidP="005C73CA">
            <w:pPr>
              <w:pStyle w:val="ECDSBody"/>
              <w:spacing w:before="0"/>
              <w:rPr>
                <w:rFonts w:eastAsia="Arial,Arial,Arial,Arial,Arial,A"/>
                <w:b/>
              </w:rPr>
            </w:pPr>
            <w:r w:rsidRPr="005D4222">
              <w:rPr>
                <w:rFonts w:eastAsia="Arial,Arial,Arial,Arial,Arial,A"/>
              </w:rPr>
              <w:t>*Do not include laboratory claims (claims with POS code 81).</w:t>
            </w:r>
          </w:p>
        </w:tc>
      </w:tr>
      <w:tr w:rsidR="002E4A5F" w:rsidRPr="005D4222" w14:paraId="3906DC2A" w14:textId="77777777" w:rsidTr="008A5901">
        <w:trPr>
          <w:trHeight w:val="300"/>
        </w:trPr>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AF1BC65" w14:textId="77777777" w:rsidR="002E4A5F" w:rsidRPr="005D4222" w:rsidRDefault="002E4A5F" w:rsidP="00A53E8C">
            <w:pPr>
              <w:pStyle w:val="ECDSMarginHead"/>
            </w:pPr>
            <w:r w:rsidRPr="005D4222">
              <w:t>Denominator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6D51C52" w14:textId="77777777" w:rsidR="002E4A5F" w:rsidRPr="005D4222" w:rsidRDefault="002E4A5F" w:rsidP="00A53E8C">
            <w:pPr>
              <w:pStyle w:val="ECDSBody"/>
              <w:rPr>
                <w:rFonts w:eastAsia="Arial,Arial,Arial,Arial,Arial,A"/>
                <w:bCs w:val="0"/>
              </w:rPr>
            </w:pPr>
            <w:r w:rsidRPr="005D4222">
              <w:rPr>
                <w:rFonts w:eastAsia="Arial,Arial,Arial,Arial,Arial,A"/>
                <w:b/>
                <w:iCs/>
              </w:rPr>
              <w:t>Denominator 1:</w:t>
            </w:r>
            <w:r w:rsidRPr="005D4222">
              <w:rPr>
                <w:rFonts w:eastAsia="Arial,Arial,Arial,Arial,Arial,A"/>
                <w:i/>
              </w:rPr>
              <w:t xml:space="preserve"> </w:t>
            </w:r>
            <w:r w:rsidRPr="005D4222">
              <w:rPr>
                <w:rFonts w:eastAsia="Arial,Arial,Arial,Arial,Arial,A"/>
              </w:rPr>
              <w:t>The initial population minus denominator exclusions.</w:t>
            </w:r>
          </w:p>
          <w:p w14:paraId="68AC6761" w14:textId="77777777" w:rsidR="002E4A5F" w:rsidRPr="005D4222" w:rsidRDefault="002E4A5F" w:rsidP="00A53E8C">
            <w:pPr>
              <w:pStyle w:val="ECDSBody"/>
              <w:rPr>
                <w:rFonts w:eastAsia="Arial,Arial,Arial,Arial,Arial,A"/>
                <w:b/>
                <w:i/>
              </w:rPr>
            </w:pPr>
            <w:r w:rsidRPr="005D4222">
              <w:rPr>
                <w:rFonts w:eastAsia="Arial,Arial,Arial,Arial,Arial,A"/>
                <w:b/>
              </w:rPr>
              <w:t>Denominator 2:</w:t>
            </w:r>
            <w:r w:rsidRPr="005D4222">
              <w:rPr>
                <w:rFonts w:eastAsia="Arial,Arial,Arial,Arial,Arial,A"/>
              </w:rPr>
              <w:t xml:space="preserve"> Persons from numerator 1 with a positive finding for depression between January 1 and December 1 of the measurement period.</w:t>
            </w:r>
          </w:p>
        </w:tc>
      </w:tr>
      <w:tr w:rsidR="002E4A5F" w:rsidRPr="005D4222" w14:paraId="7620B67D" w14:textId="77777777" w:rsidTr="008A5901">
        <w:trPr>
          <w:trHeight w:val="300"/>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7390EA0" w14:textId="77777777" w:rsidR="002E4A5F" w:rsidRPr="005D4222" w:rsidRDefault="002E4A5F" w:rsidP="00A53E8C">
            <w:pPr>
              <w:pStyle w:val="ECDSMarginHead"/>
            </w:pPr>
            <w:r w:rsidRPr="005D4222">
              <w:t>Numerator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42F2E206" w14:textId="77777777" w:rsidR="002E4A5F" w:rsidRPr="005D4222" w:rsidRDefault="002E4A5F" w:rsidP="00A53E8C">
            <w:pPr>
              <w:pStyle w:val="ECDSBody"/>
              <w:rPr>
                <w:i/>
                <w:color w:val="000000" w:themeColor="text1"/>
              </w:rPr>
            </w:pPr>
            <w:r w:rsidRPr="005D4222">
              <w:rPr>
                <w:b/>
              </w:rPr>
              <w:t xml:space="preserve">Numerator 1—Depression </w:t>
            </w:r>
            <w:r w:rsidRPr="005D4222">
              <w:rPr>
                <w:b/>
                <w:bCs w:val="0"/>
              </w:rPr>
              <w:t>screening.</w:t>
            </w:r>
            <w:r w:rsidRPr="005D4222">
              <w:rPr>
                <w:b/>
                <w:bCs w:val="0"/>
              </w:rPr>
              <w:br/>
            </w:r>
            <w:r w:rsidRPr="005D4222">
              <w:rPr>
                <w:color w:val="000000" w:themeColor="text1"/>
              </w:rPr>
              <w:t xml:space="preserve">Persons </w:t>
            </w:r>
            <w:r w:rsidRPr="005D4222">
              <w:t xml:space="preserve">with a documented result for depression screening, using an age-appropriate standardized instrument, performed between January 1 and December 1 of the measurement period.  </w:t>
            </w:r>
          </w:p>
          <w:p w14:paraId="7AD5C81C" w14:textId="77777777" w:rsidR="002E4A5F" w:rsidRPr="005D4222" w:rsidRDefault="002E4A5F" w:rsidP="00D642AE">
            <w:pPr>
              <w:pStyle w:val="Body"/>
              <w:spacing w:before="120"/>
            </w:pPr>
            <w:r w:rsidRPr="005D4222">
              <w:rPr>
                <w:b/>
                <w:bCs/>
              </w:rPr>
              <w:t>Numerator 2—Follow-up on positive screen.</w:t>
            </w:r>
            <w:r w:rsidRPr="005D4222">
              <w:rPr>
                <w:b/>
                <w:bCs/>
              </w:rPr>
              <w:br/>
            </w:r>
            <w:r w:rsidRPr="005D4222">
              <w:t>Persons who received follow-up care on or up to 30 days after the date of the first positive screen (31 total days).</w:t>
            </w:r>
          </w:p>
          <w:p w14:paraId="766AC265" w14:textId="77777777" w:rsidR="002E4A5F" w:rsidRPr="005D4222" w:rsidRDefault="002E4A5F" w:rsidP="00A53E8C">
            <w:pPr>
              <w:pStyle w:val="ECDSBody"/>
            </w:pPr>
            <w:r w:rsidRPr="005D4222">
              <w:t>Any of the following on or up to 30 days after the first positive screen:</w:t>
            </w:r>
          </w:p>
          <w:p w14:paraId="78B09001" w14:textId="77777777" w:rsidR="002E4A5F" w:rsidRPr="005D4222" w:rsidRDefault="002E4A5F" w:rsidP="002E4A5F">
            <w:pPr>
              <w:numPr>
                <w:ilvl w:val="0"/>
                <w:numId w:val="4"/>
              </w:numPr>
              <w:tabs>
                <w:tab w:val="left" w:pos="360"/>
                <w:tab w:val="left" w:pos="576"/>
              </w:tabs>
              <w:spacing w:before="80"/>
              <w:ind w:left="576" w:hanging="216"/>
              <w:rPr>
                <w:szCs w:val="24"/>
              </w:rPr>
            </w:pPr>
            <w:r w:rsidRPr="005D4222">
              <w:t>An outpatient, telephone, e-visit or virtual check-in follow-up visit (</w:t>
            </w:r>
            <w:r w:rsidRPr="005D4222">
              <w:rPr>
                <w:u w:val="single"/>
              </w:rPr>
              <w:t>Follow Up Visit Value Set</w:t>
            </w:r>
            <w:r w:rsidRPr="005D4222">
              <w:t>) with a diagnosis of depression or other behavioral health condition (</w:t>
            </w:r>
            <w:r w:rsidRPr="005D4222">
              <w:rPr>
                <w:u w:val="single"/>
              </w:rPr>
              <w:t>Depression or Other Behavioral Health Condition Value Set</w:t>
            </w:r>
            <w:r w:rsidRPr="005D4222">
              <w:t>).</w:t>
            </w:r>
          </w:p>
          <w:p w14:paraId="2891652F" w14:textId="77777777" w:rsidR="002E4A5F" w:rsidRPr="005D4222" w:rsidRDefault="002E4A5F" w:rsidP="002E4A5F">
            <w:pPr>
              <w:numPr>
                <w:ilvl w:val="0"/>
                <w:numId w:val="4"/>
              </w:numPr>
              <w:tabs>
                <w:tab w:val="left" w:pos="360"/>
                <w:tab w:val="left" w:pos="576"/>
              </w:tabs>
              <w:spacing w:before="80" w:after="80"/>
              <w:ind w:left="576" w:hanging="216"/>
              <w:rPr>
                <w:szCs w:val="24"/>
              </w:rPr>
            </w:pPr>
            <w:r w:rsidRPr="005D4222">
              <w:t>A depression case management encounter (</w:t>
            </w:r>
            <w:r w:rsidRPr="005D4222">
              <w:rPr>
                <w:u w:val="single"/>
              </w:rPr>
              <w:t>Depression Case Management Encounter Value Set</w:t>
            </w:r>
            <w:r w:rsidRPr="005D4222">
              <w:t>) that documents assessment for symptoms of depression (</w:t>
            </w:r>
            <w:r w:rsidRPr="005D4222">
              <w:rPr>
                <w:u w:val="single"/>
              </w:rPr>
              <w:t>Symptoms of Depression Value Set</w:t>
            </w:r>
            <w:r w:rsidRPr="005D4222">
              <w:t>) or a diagnosis of depression or other behavioral health condition (</w:t>
            </w:r>
            <w:r w:rsidRPr="005D4222">
              <w:rPr>
                <w:u w:val="single"/>
              </w:rPr>
              <w:t>Depression or Other Behavioral Health Condition Value Set</w:t>
            </w:r>
            <w:r w:rsidRPr="005D4222">
              <w:t>).</w:t>
            </w:r>
          </w:p>
          <w:p w14:paraId="1FD62A47" w14:textId="01112EA0" w:rsidR="002E4A5F" w:rsidRPr="005D4222" w:rsidRDefault="002E4A5F" w:rsidP="008A5901">
            <w:pPr>
              <w:numPr>
                <w:ilvl w:val="0"/>
                <w:numId w:val="4"/>
              </w:numPr>
              <w:tabs>
                <w:tab w:val="left" w:pos="360"/>
                <w:tab w:val="left" w:pos="576"/>
              </w:tabs>
              <w:spacing w:before="80" w:after="80"/>
              <w:ind w:left="576" w:hanging="216"/>
            </w:pPr>
            <w:r w:rsidRPr="005D4222">
              <w:t>A behavioral health encounter, including assessment, therapy, collaborative care or medication management (</w:t>
            </w:r>
            <w:r w:rsidRPr="005D4222">
              <w:rPr>
                <w:u w:val="single"/>
              </w:rPr>
              <w:t>Behavioral Health Encounter Value Set</w:t>
            </w:r>
            <w:r w:rsidRPr="005D4222">
              <w:t>).</w:t>
            </w:r>
          </w:p>
        </w:tc>
      </w:tr>
    </w:tbl>
    <w:p w14:paraId="75B044BA" w14:textId="77777777" w:rsidR="005C73CA" w:rsidRPr="005D4222" w:rsidRDefault="005C73CA"/>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5C73CA" w:rsidRPr="005D4222" w14:paraId="59289AC8" w14:textId="77777777" w:rsidTr="005C73CA">
        <w:trPr>
          <w:trHeight w:val="300"/>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E459BD2" w14:textId="77777777" w:rsidR="005C73CA" w:rsidRPr="005D4222" w:rsidRDefault="005C73CA"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0945BFB0" w14:textId="77777777" w:rsidR="008A5901" w:rsidRPr="005D4222" w:rsidRDefault="008A5901" w:rsidP="008A5901">
            <w:pPr>
              <w:numPr>
                <w:ilvl w:val="0"/>
                <w:numId w:val="4"/>
              </w:numPr>
              <w:tabs>
                <w:tab w:val="left" w:pos="360"/>
                <w:tab w:val="left" w:pos="576"/>
              </w:tabs>
              <w:spacing w:before="80" w:after="80"/>
              <w:ind w:left="576" w:hanging="216"/>
            </w:pPr>
            <w:r w:rsidRPr="005D4222">
              <w:t xml:space="preserve">A diagnosis of encounter for exercise counseling (ICD-10-CM code Z71.82*). </w:t>
            </w:r>
          </w:p>
          <w:p w14:paraId="53D76DF2" w14:textId="77777777" w:rsidR="008A5901" w:rsidRPr="005D4222" w:rsidRDefault="008A5901" w:rsidP="008A5901">
            <w:pPr>
              <w:numPr>
                <w:ilvl w:val="0"/>
                <w:numId w:val="4"/>
              </w:numPr>
              <w:tabs>
                <w:tab w:val="left" w:pos="360"/>
                <w:tab w:val="left" w:pos="576"/>
              </w:tabs>
              <w:spacing w:before="80" w:after="80"/>
              <w:ind w:left="576" w:hanging="216"/>
              <w:rPr>
                <w:szCs w:val="24"/>
              </w:rPr>
            </w:pPr>
            <w:r w:rsidRPr="005D4222">
              <w:t>A dispensed antidepressant medication (</w:t>
            </w:r>
            <w:r w:rsidRPr="005D4222">
              <w:rPr>
                <w:u w:val="single"/>
              </w:rPr>
              <w:t>Antidepressant Medications List</w:t>
            </w:r>
            <w:r w:rsidRPr="005D4222">
              <w:t>).</w:t>
            </w:r>
          </w:p>
          <w:p w14:paraId="0AA1C0CC" w14:textId="77777777" w:rsidR="008A5901" w:rsidRPr="005D4222" w:rsidRDefault="008A5901" w:rsidP="008A5901">
            <w:pPr>
              <w:spacing w:after="80"/>
              <w:rPr>
                <w:b/>
                <w:bCs/>
                <w:i/>
                <w:iCs/>
                <w:kern w:val="24"/>
              </w:rPr>
            </w:pPr>
            <w:r w:rsidRPr="005D4222">
              <w:rPr>
                <w:b/>
                <w:bCs/>
                <w:i/>
                <w:iCs/>
                <w:kern w:val="24"/>
              </w:rPr>
              <w:t>OR</w:t>
            </w:r>
          </w:p>
          <w:p w14:paraId="1CD112B0" w14:textId="77777777" w:rsidR="005C73CA" w:rsidRPr="005D4222" w:rsidRDefault="005C73CA" w:rsidP="005C73CA">
            <w:pPr>
              <w:pStyle w:val="Bullet"/>
              <w:numPr>
                <w:ilvl w:val="0"/>
                <w:numId w:val="4"/>
              </w:numPr>
              <w:tabs>
                <w:tab w:val="left" w:pos="360"/>
                <w:tab w:val="left" w:pos="576"/>
              </w:tabs>
              <w:ind w:left="576" w:hanging="216"/>
            </w:pPr>
            <w:r w:rsidRPr="005D4222">
              <w:t>Documentation of additional depression screening on a full-length instrument indicating either no depression or no symptoms that require follow-up (i.e., a negative screen) on the same day as a positive screen on a brief screening instrument.</w:t>
            </w:r>
          </w:p>
          <w:p w14:paraId="1BC6A116" w14:textId="77777777" w:rsidR="005C73CA" w:rsidRPr="005D4222" w:rsidRDefault="005C73CA" w:rsidP="005C73CA">
            <w:pPr>
              <w:pStyle w:val="Dash"/>
              <w:tabs>
                <w:tab w:val="left" w:pos="576"/>
                <w:tab w:val="left" w:pos="792"/>
              </w:tabs>
              <w:rPr>
                <w:i/>
                <w:iCs/>
              </w:rPr>
            </w:pPr>
            <w:r w:rsidRPr="005D4222">
              <w:rPr>
                <w:i/>
                <w:iCs/>
              </w:rPr>
              <w:t>For example,</w:t>
            </w:r>
            <w:r w:rsidRPr="005D4222">
              <w:t xml:space="preserve"> if there is a positive screen resulting from a PHQ-2 score, documentation of a negative finding from a PHQ-9 performed on the same day qualifies as evidence of follow-up.</w:t>
            </w:r>
          </w:p>
          <w:p w14:paraId="2E1E96D8" w14:textId="77777777" w:rsidR="005C73CA" w:rsidRPr="005D4222" w:rsidRDefault="005C73CA" w:rsidP="005C73CA">
            <w:pPr>
              <w:pStyle w:val="ECDSBody"/>
              <w:spacing w:after="0"/>
              <w:rPr>
                <w:rFonts w:eastAsia="Arial,Arial,Arial,Arial,Arial,A"/>
                <w:b/>
                <w:bCs w:val="0"/>
              </w:rPr>
            </w:pPr>
            <w:r w:rsidRPr="005D4222">
              <w:rPr>
                <w:rFonts w:eastAsia="Arial,Arial,Arial,Arial,Arial,A"/>
                <w:b/>
              </w:rPr>
              <w:t>Coding Guidance</w:t>
            </w:r>
          </w:p>
          <w:p w14:paraId="6F7791FD" w14:textId="668DABBE" w:rsidR="005C73CA" w:rsidRPr="005D4222" w:rsidRDefault="005C73CA" w:rsidP="005C73CA">
            <w:pPr>
              <w:pStyle w:val="ECDSBody"/>
              <w:spacing w:before="0"/>
              <w:rPr>
                <w:b/>
              </w:rPr>
            </w:pPr>
            <w:r w:rsidRPr="005D4222">
              <w:rPr>
                <w:rFonts w:eastAsia="Arial,Arial,Arial,Arial,Arial,A"/>
              </w:rPr>
              <w:t>*Do not include laboratory claims (claims with POS code 81).</w:t>
            </w:r>
          </w:p>
        </w:tc>
      </w:tr>
      <w:tr w:rsidR="002E4A5F" w:rsidRPr="005D4222" w14:paraId="27C87366" w14:textId="77777777" w:rsidTr="005C73CA">
        <w:trPr>
          <w:trHeight w:val="300"/>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005CB4D" w14:textId="77777777" w:rsidR="002E4A5F" w:rsidRPr="005D4222" w:rsidRDefault="002E4A5F" w:rsidP="00A53E8C">
            <w:pPr>
              <w:pStyle w:val="ECDSMarginHead"/>
            </w:pPr>
            <w:r w:rsidRPr="005D4222">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9552668" w14:textId="77777777" w:rsidR="002E4A5F" w:rsidRPr="005D4222" w:rsidRDefault="002E4A5F" w:rsidP="00D642AE">
            <w:pPr>
              <w:pStyle w:val="ProcessBullet"/>
              <w:spacing w:before="120"/>
            </w:pPr>
            <w:r w:rsidRPr="005D4222">
              <w:t xml:space="preserve">Removed the definitions of “participation” and “participation period.” </w:t>
            </w:r>
          </w:p>
          <w:p w14:paraId="32AF5107" w14:textId="77777777" w:rsidR="002E4A5F" w:rsidRPr="005D4222" w:rsidRDefault="002E4A5F" w:rsidP="00D642AE">
            <w:pPr>
              <w:pStyle w:val="ProcessBullet"/>
            </w:pPr>
            <w:r w:rsidRPr="005D4222">
              <w:t xml:space="preserve">Added the PROMIS Emotional Distress—Depression—Short Form instrument to the list of depression screening instruments for adults 18+ years of age.  </w:t>
            </w:r>
          </w:p>
          <w:p w14:paraId="0AC44CF1" w14:textId="77777777" w:rsidR="002E4A5F" w:rsidRPr="005D4222" w:rsidRDefault="002E4A5F" w:rsidP="005D6173">
            <w:pPr>
              <w:pStyle w:val="ProcessBullet"/>
              <w:numPr>
                <w:ilvl w:val="0"/>
                <w:numId w:val="172"/>
              </w:numPr>
              <w:tabs>
                <w:tab w:val="left" w:pos="216"/>
              </w:tabs>
              <w:spacing w:after="80"/>
            </w:pPr>
            <w:r w:rsidRPr="005D4222">
              <w:t>Removed the SSoR data elements from the data element tables.</w:t>
            </w:r>
          </w:p>
        </w:tc>
      </w:tr>
      <w:tr w:rsidR="002E4A5F" w:rsidRPr="005D4222" w14:paraId="20DA500C" w14:textId="77777777" w:rsidTr="00300964">
        <w:trPr>
          <w:trHeight w:val="6272"/>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FFFCC39" w14:textId="77777777" w:rsidR="002E4A5F" w:rsidRPr="005D4222" w:rsidRDefault="002E4A5F" w:rsidP="00A53E8C">
            <w:pPr>
              <w:pStyle w:val="ECDS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34A7B14" w14:textId="77777777" w:rsidR="002E4A5F" w:rsidRPr="005D4222" w:rsidRDefault="002E4A5F" w:rsidP="00A53E8C">
            <w:pPr>
              <w:pStyle w:val="ECDSBody"/>
            </w:pPr>
            <w:r w:rsidRPr="005D4222">
              <w:t xml:space="preserve">Organizations that submit HEDIS data to NCQA must provide the following data elements. </w:t>
            </w:r>
          </w:p>
          <w:p w14:paraId="7B6075F8" w14:textId="77777777" w:rsidR="002E4A5F" w:rsidRPr="005D4222" w:rsidRDefault="002E4A5F" w:rsidP="00A53E8C">
            <w:pPr>
              <w:pStyle w:val="Heading3"/>
              <w:spacing w:before="120"/>
              <w:rPr>
                <w:rFonts w:eastAsia="Arial"/>
                <w:b w:val="0"/>
                <w:bCs w:val="0"/>
                <w:i w:val="0"/>
                <w:iCs/>
                <w:kern w:val="20"/>
                <w:szCs w:val="21"/>
              </w:rPr>
            </w:pPr>
            <w:r w:rsidRPr="005D4222">
              <w:rPr>
                <w:rFonts w:eastAsia="Arial"/>
              </w:rPr>
              <w:t>Table DSF-E-1/2: Data Elements for Depression Screening and Follow-Up for Adolescents and Adults</w:t>
            </w:r>
          </w:p>
          <w:tbl>
            <w:tblPr>
              <w:tblW w:w="5000" w:type="pct"/>
              <w:tblLayout w:type="fixed"/>
              <w:tblLook w:val="04A0" w:firstRow="1" w:lastRow="0" w:firstColumn="1" w:lastColumn="0" w:noHBand="0" w:noVBand="1"/>
            </w:tblPr>
            <w:tblGrid>
              <w:gridCol w:w="1508"/>
              <w:gridCol w:w="780"/>
              <w:gridCol w:w="1843"/>
              <w:gridCol w:w="3234"/>
            </w:tblGrid>
            <w:tr w:rsidR="002E4A5F" w:rsidRPr="005D4222" w14:paraId="665C8AB7" w14:textId="77777777" w:rsidTr="00FD6B93">
              <w:trPr>
                <w:trHeight w:val="300"/>
              </w:trPr>
              <w:tc>
                <w:tcPr>
                  <w:tcW w:w="1508" w:type="dxa"/>
                  <w:tcBorders>
                    <w:top w:val="single" w:sz="4" w:space="0" w:color="auto"/>
                    <w:left w:val="single" w:sz="8" w:space="0" w:color="auto"/>
                    <w:bottom w:val="single" w:sz="4" w:space="0" w:color="auto"/>
                    <w:right w:val="single" w:sz="6" w:space="0" w:color="FFFFFF" w:themeColor="background1"/>
                  </w:tcBorders>
                  <w:shd w:val="clear" w:color="auto" w:fill="000000" w:themeFill="text1"/>
                  <w:noWrap/>
                  <w:tcMar>
                    <w:left w:w="72" w:type="dxa"/>
                    <w:right w:w="72" w:type="dxa"/>
                  </w:tcMar>
                  <w:vAlign w:val="center"/>
                  <w:hideMark/>
                </w:tcPr>
                <w:p w14:paraId="3E9AA4C7" w14:textId="77777777" w:rsidR="002E4A5F" w:rsidRPr="005D4222" w:rsidRDefault="002E4A5F" w:rsidP="00A53E8C">
                  <w:pPr>
                    <w:pStyle w:val="TableHead"/>
                    <w:rPr>
                      <w:b w:val="0"/>
                      <w:bCs/>
                      <w:kern w:val="20"/>
                    </w:rPr>
                  </w:pPr>
                  <w:r w:rsidRPr="005D4222">
                    <w:t>Metric</w:t>
                  </w:r>
                </w:p>
              </w:tc>
              <w:tc>
                <w:tcPr>
                  <w:tcW w:w="780" w:type="dxa"/>
                  <w:tcBorders>
                    <w:top w:val="single" w:sz="4" w:space="0" w:color="auto"/>
                    <w:left w:val="single" w:sz="6" w:space="0" w:color="FFFFFF" w:themeColor="background1"/>
                    <w:bottom w:val="single" w:sz="4" w:space="0" w:color="auto"/>
                    <w:right w:val="single" w:sz="6" w:space="0" w:color="FFFFFF" w:themeColor="background1"/>
                  </w:tcBorders>
                  <w:shd w:val="clear" w:color="auto" w:fill="000000" w:themeFill="text1"/>
                  <w:tcMar>
                    <w:left w:w="72" w:type="dxa"/>
                    <w:right w:w="72" w:type="dxa"/>
                  </w:tcMar>
                  <w:vAlign w:val="center"/>
                  <w:hideMark/>
                </w:tcPr>
                <w:p w14:paraId="4DB03F88" w14:textId="77777777" w:rsidR="002E4A5F" w:rsidRPr="005D4222" w:rsidRDefault="002E4A5F" w:rsidP="00A53E8C">
                  <w:pPr>
                    <w:pStyle w:val="TableHead"/>
                    <w:rPr>
                      <w:b w:val="0"/>
                      <w:bCs/>
                      <w:kern w:val="20"/>
                    </w:rPr>
                  </w:pPr>
                  <w:r w:rsidRPr="005D4222">
                    <w:t>Age</w:t>
                  </w:r>
                </w:p>
              </w:tc>
              <w:tc>
                <w:tcPr>
                  <w:tcW w:w="1843" w:type="dxa"/>
                  <w:tcBorders>
                    <w:top w:val="single" w:sz="4" w:space="0" w:color="auto"/>
                    <w:left w:val="single" w:sz="6" w:space="0" w:color="FFFFFF" w:themeColor="background1"/>
                    <w:bottom w:val="single" w:sz="4" w:space="0" w:color="auto"/>
                    <w:right w:val="single" w:sz="4" w:space="0" w:color="FFFFFF" w:themeColor="background1"/>
                  </w:tcBorders>
                  <w:shd w:val="clear" w:color="auto" w:fill="000000" w:themeFill="text1"/>
                  <w:noWrap/>
                  <w:tcMar>
                    <w:left w:w="72" w:type="dxa"/>
                    <w:right w:w="72" w:type="dxa"/>
                  </w:tcMar>
                  <w:vAlign w:val="center"/>
                  <w:hideMark/>
                </w:tcPr>
                <w:p w14:paraId="7D822B0E" w14:textId="77777777" w:rsidR="002E4A5F" w:rsidRPr="005D4222" w:rsidRDefault="002E4A5F" w:rsidP="00A53E8C">
                  <w:pPr>
                    <w:pStyle w:val="TableHead"/>
                    <w:rPr>
                      <w:b w:val="0"/>
                      <w:bCs/>
                      <w:kern w:val="20"/>
                    </w:rPr>
                  </w:pPr>
                  <w:r w:rsidRPr="005D4222">
                    <w:t>Data Element</w:t>
                  </w:r>
                </w:p>
              </w:tc>
              <w:tc>
                <w:tcPr>
                  <w:tcW w:w="3234" w:type="dxa"/>
                  <w:tcBorders>
                    <w:top w:val="single" w:sz="4" w:space="0" w:color="auto"/>
                    <w:left w:val="single" w:sz="4" w:space="0" w:color="FFFFFF" w:themeColor="background1"/>
                    <w:bottom w:val="single" w:sz="4" w:space="0" w:color="auto"/>
                    <w:right w:val="single" w:sz="8" w:space="0" w:color="auto"/>
                  </w:tcBorders>
                  <w:shd w:val="clear" w:color="auto" w:fill="000000" w:themeFill="text1"/>
                  <w:tcMar>
                    <w:left w:w="72" w:type="dxa"/>
                    <w:right w:w="72" w:type="dxa"/>
                  </w:tcMar>
                  <w:vAlign w:val="center"/>
                  <w:hideMark/>
                </w:tcPr>
                <w:p w14:paraId="05BAB273" w14:textId="77777777" w:rsidR="002E4A5F" w:rsidRPr="005D4222" w:rsidRDefault="002E4A5F" w:rsidP="00A53E8C">
                  <w:pPr>
                    <w:pStyle w:val="TableHead"/>
                    <w:rPr>
                      <w:b w:val="0"/>
                      <w:bCs/>
                      <w:kern w:val="20"/>
                    </w:rPr>
                  </w:pPr>
                  <w:r w:rsidRPr="005D4222">
                    <w:t>Reporting Instructions</w:t>
                  </w:r>
                </w:p>
              </w:tc>
            </w:tr>
            <w:tr w:rsidR="002E4A5F" w:rsidRPr="005D4222" w14:paraId="6F50DE54" w14:textId="77777777" w:rsidTr="00FD6B93">
              <w:trPr>
                <w:trHeight w:val="300"/>
              </w:trPr>
              <w:tc>
                <w:tcPr>
                  <w:tcW w:w="1508"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72" w:type="dxa"/>
                    <w:right w:w="72" w:type="dxa"/>
                  </w:tcMar>
                  <w:vAlign w:val="center"/>
                  <w:hideMark/>
                </w:tcPr>
                <w:p w14:paraId="07427D61" w14:textId="77777777" w:rsidR="002E4A5F" w:rsidRPr="005D4222" w:rsidRDefault="002E4A5F" w:rsidP="00A53E8C">
                  <w:pPr>
                    <w:pStyle w:val="TableText"/>
                  </w:pPr>
                  <w:r w:rsidRPr="005D4222">
                    <w:t>Screening</w:t>
                  </w:r>
                </w:p>
              </w:tc>
              <w:tc>
                <w:tcPr>
                  <w:tcW w:w="78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vAlign w:val="center"/>
                  <w:hideMark/>
                </w:tcPr>
                <w:p w14:paraId="1CD09F1F" w14:textId="77777777" w:rsidR="002E4A5F" w:rsidRPr="005D4222" w:rsidRDefault="002E4A5F" w:rsidP="00A53E8C">
                  <w:pPr>
                    <w:pStyle w:val="TableText"/>
                  </w:pPr>
                  <w:r w:rsidRPr="005D4222">
                    <w:t>12-17</w:t>
                  </w: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72" w:type="dxa"/>
                    <w:right w:w="72" w:type="dxa"/>
                  </w:tcMar>
                  <w:vAlign w:val="center"/>
                  <w:hideMark/>
                </w:tcPr>
                <w:p w14:paraId="0A753A89" w14:textId="77777777" w:rsidR="002E4A5F" w:rsidRPr="005D4222" w:rsidRDefault="002E4A5F" w:rsidP="00A53E8C">
                  <w:pPr>
                    <w:pStyle w:val="TableText"/>
                  </w:pPr>
                  <w:r w:rsidRPr="005D4222">
                    <w:t>InitialPopulation</w:t>
                  </w:r>
                </w:p>
              </w:tc>
              <w:tc>
                <w:tcPr>
                  <w:tcW w:w="3234"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vAlign w:val="center"/>
                  <w:hideMark/>
                </w:tcPr>
                <w:p w14:paraId="4E535E2E" w14:textId="77777777" w:rsidR="002E4A5F" w:rsidRPr="005D4222" w:rsidRDefault="002E4A5F" w:rsidP="00A53E8C">
                  <w:pPr>
                    <w:pStyle w:val="TableText"/>
                  </w:pPr>
                  <w:r w:rsidRPr="005D4222">
                    <w:t>For each stratification, repeat per metric</w:t>
                  </w:r>
                </w:p>
              </w:tc>
            </w:tr>
            <w:tr w:rsidR="002E4A5F" w:rsidRPr="005D4222" w14:paraId="02177641" w14:textId="77777777" w:rsidTr="00F354DA">
              <w:trPr>
                <w:trHeight w:val="430"/>
              </w:trPr>
              <w:tc>
                <w:tcPr>
                  <w:tcW w:w="1508"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72" w:type="dxa"/>
                    <w:right w:w="72" w:type="dxa"/>
                  </w:tcMar>
                  <w:vAlign w:val="center"/>
                  <w:hideMark/>
                </w:tcPr>
                <w:p w14:paraId="0C6E31A2" w14:textId="77777777" w:rsidR="002E4A5F" w:rsidRPr="005D4222" w:rsidRDefault="002E4A5F" w:rsidP="00A53E8C">
                  <w:pPr>
                    <w:pStyle w:val="TableText"/>
                  </w:pPr>
                  <w:r w:rsidRPr="005D4222">
                    <w:t>FollowUp</w:t>
                  </w:r>
                </w:p>
              </w:tc>
              <w:tc>
                <w:tcPr>
                  <w:tcW w:w="78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vAlign w:val="center"/>
                  <w:hideMark/>
                </w:tcPr>
                <w:p w14:paraId="7A72C3BA" w14:textId="77777777" w:rsidR="002E4A5F" w:rsidRPr="005D4222" w:rsidRDefault="002E4A5F" w:rsidP="00A53E8C">
                  <w:pPr>
                    <w:pStyle w:val="TableText"/>
                  </w:pPr>
                  <w:r w:rsidRPr="005D4222">
                    <w:t>18-64</w:t>
                  </w: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72" w:type="dxa"/>
                    <w:right w:w="72" w:type="dxa"/>
                  </w:tcMar>
                  <w:vAlign w:val="center"/>
                  <w:hideMark/>
                </w:tcPr>
                <w:p w14:paraId="1FCBB966" w14:textId="77777777" w:rsidR="002E4A5F" w:rsidRPr="005D4222" w:rsidRDefault="002E4A5F" w:rsidP="00A53E8C">
                  <w:pPr>
                    <w:pStyle w:val="TableText"/>
                  </w:pPr>
                  <w:r w:rsidRPr="005D4222">
                    <w:t>Exclusions</w:t>
                  </w:r>
                </w:p>
              </w:tc>
              <w:tc>
                <w:tcPr>
                  <w:tcW w:w="3234"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vAlign w:val="center"/>
                  <w:hideMark/>
                </w:tcPr>
                <w:p w14:paraId="65943739" w14:textId="77777777" w:rsidR="002E4A5F" w:rsidRPr="005D4222" w:rsidRDefault="002E4A5F" w:rsidP="00A53E8C">
                  <w:pPr>
                    <w:pStyle w:val="TableText"/>
                  </w:pPr>
                  <w:r w:rsidRPr="005D4222">
                    <w:t>For each stratification, repeat per metric</w:t>
                  </w:r>
                </w:p>
              </w:tc>
            </w:tr>
            <w:tr w:rsidR="002E4A5F" w:rsidRPr="005D4222" w14:paraId="63CC66B3" w14:textId="77777777" w:rsidTr="00F354DA">
              <w:trPr>
                <w:trHeight w:val="300"/>
              </w:trPr>
              <w:tc>
                <w:tcPr>
                  <w:tcW w:w="1508" w:type="dxa"/>
                  <w:tcBorders>
                    <w:top w:val="single" w:sz="4" w:space="0" w:color="auto"/>
                    <w:left w:val="nil"/>
                    <w:bottom w:val="nil"/>
                    <w:right w:val="single" w:sz="4" w:space="0" w:color="auto"/>
                  </w:tcBorders>
                  <w:shd w:val="clear" w:color="auto" w:fill="FFFFFF" w:themeFill="background1"/>
                  <w:noWrap/>
                  <w:tcMar>
                    <w:left w:w="72" w:type="dxa"/>
                    <w:right w:w="72" w:type="dxa"/>
                  </w:tcMar>
                  <w:vAlign w:val="center"/>
                  <w:hideMark/>
                </w:tcPr>
                <w:p w14:paraId="59204858" w14:textId="77777777" w:rsidR="002E4A5F" w:rsidRPr="005D4222" w:rsidRDefault="002E4A5F" w:rsidP="00A53E8C">
                  <w:pPr>
                    <w:pStyle w:val="TableText"/>
                  </w:pPr>
                  <w:r w:rsidRPr="005D4222">
                    <w:t xml:space="preserve"> </w:t>
                  </w:r>
                </w:p>
              </w:tc>
              <w:tc>
                <w:tcPr>
                  <w:tcW w:w="78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vAlign w:val="center"/>
                  <w:hideMark/>
                </w:tcPr>
                <w:p w14:paraId="468442AB" w14:textId="77777777" w:rsidR="002E4A5F" w:rsidRPr="005D4222" w:rsidRDefault="002E4A5F" w:rsidP="00A53E8C">
                  <w:pPr>
                    <w:pStyle w:val="TableText"/>
                  </w:pPr>
                  <w:r w:rsidRPr="005D4222">
                    <w:t>65+</w:t>
                  </w: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72" w:type="dxa"/>
                    <w:right w:w="72" w:type="dxa"/>
                  </w:tcMar>
                  <w:vAlign w:val="center"/>
                  <w:hideMark/>
                </w:tcPr>
                <w:p w14:paraId="5AFE7DC6" w14:textId="77777777" w:rsidR="002E4A5F" w:rsidRPr="005D4222" w:rsidRDefault="002E4A5F" w:rsidP="00A53E8C">
                  <w:pPr>
                    <w:pStyle w:val="TableText"/>
                  </w:pPr>
                  <w:r w:rsidRPr="005D4222">
                    <w:t>Denominator</w:t>
                  </w:r>
                </w:p>
              </w:tc>
              <w:tc>
                <w:tcPr>
                  <w:tcW w:w="3234"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vAlign w:val="center"/>
                  <w:hideMark/>
                </w:tcPr>
                <w:p w14:paraId="702C0518" w14:textId="77777777" w:rsidR="002E4A5F" w:rsidRPr="005D4222" w:rsidRDefault="002E4A5F" w:rsidP="00A53E8C">
                  <w:pPr>
                    <w:pStyle w:val="TableText"/>
                  </w:pPr>
                  <w:r w:rsidRPr="005D4222">
                    <w:t>For each Metric and Stratification</w:t>
                  </w:r>
                </w:p>
              </w:tc>
            </w:tr>
            <w:tr w:rsidR="002E4A5F" w:rsidRPr="005D4222" w14:paraId="209E1784" w14:textId="77777777" w:rsidTr="00F354DA">
              <w:trPr>
                <w:trHeight w:val="300"/>
              </w:trPr>
              <w:tc>
                <w:tcPr>
                  <w:tcW w:w="1508" w:type="dxa"/>
                  <w:tcBorders>
                    <w:top w:val="nil"/>
                    <w:left w:val="nil"/>
                    <w:bottom w:val="nil"/>
                    <w:right w:val="single" w:sz="4" w:space="0" w:color="auto"/>
                  </w:tcBorders>
                  <w:shd w:val="clear" w:color="auto" w:fill="FFFFFF" w:themeFill="background1"/>
                  <w:noWrap/>
                  <w:tcMar>
                    <w:left w:w="72" w:type="dxa"/>
                    <w:right w:w="72" w:type="dxa"/>
                  </w:tcMar>
                  <w:vAlign w:val="center"/>
                  <w:hideMark/>
                </w:tcPr>
                <w:p w14:paraId="338CB9F8" w14:textId="77777777" w:rsidR="002E4A5F" w:rsidRPr="005D4222" w:rsidRDefault="002E4A5F" w:rsidP="00A53E8C">
                  <w:pPr>
                    <w:pStyle w:val="TableText"/>
                  </w:pPr>
                  <w:r w:rsidRPr="005D4222">
                    <w:t xml:space="preserve"> </w:t>
                  </w:r>
                </w:p>
              </w:tc>
              <w:tc>
                <w:tcPr>
                  <w:tcW w:w="780" w:type="dxa"/>
                  <w:tcBorders>
                    <w:top w:val="single" w:sz="4" w:space="0" w:color="auto"/>
                    <w:left w:val="nil"/>
                    <w:bottom w:val="single" w:sz="4" w:space="0" w:color="auto"/>
                    <w:right w:val="single" w:sz="4" w:space="0" w:color="auto"/>
                  </w:tcBorders>
                  <w:shd w:val="clear" w:color="auto" w:fill="D9D9D9" w:themeFill="background1" w:themeFillShade="D9"/>
                  <w:tcMar>
                    <w:left w:w="72" w:type="dxa"/>
                    <w:right w:w="72" w:type="dxa"/>
                  </w:tcMar>
                  <w:vAlign w:val="center"/>
                  <w:hideMark/>
                </w:tcPr>
                <w:p w14:paraId="38C729DF" w14:textId="77777777" w:rsidR="002E4A5F" w:rsidRPr="005D4222" w:rsidRDefault="002E4A5F" w:rsidP="00A53E8C">
                  <w:pPr>
                    <w:pStyle w:val="TableText"/>
                  </w:pPr>
                  <w:r w:rsidRPr="005D4222">
                    <w:t>Total</w:t>
                  </w: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72" w:type="dxa"/>
                    <w:right w:w="72" w:type="dxa"/>
                  </w:tcMar>
                  <w:vAlign w:val="center"/>
                  <w:hideMark/>
                </w:tcPr>
                <w:p w14:paraId="4B9E347D" w14:textId="77777777" w:rsidR="002E4A5F" w:rsidRPr="005D4222" w:rsidRDefault="002E4A5F" w:rsidP="00A53E8C">
                  <w:pPr>
                    <w:pStyle w:val="TableText"/>
                  </w:pPr>
                  <w:r w:rsidRPr="005D4222">
                    <w:t>Numerator</w:t>
                  </w:r>
                </w:p>
              </w:tc>
              <w:tc>
                <w:tcPr>
                  <w:tcW w:w="3234"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vAlign w:val="center"/>
                  <w:hideMark/>
                </w:tcPr>
                <w:p w14:paraId="0F508F82" w14:textId="77777777" w:rsidR="002E4A5F" w:rsidRPr="005D4222" w:rsidRDefault="002E4A5F" w:rsidP="00A53E8C">
                  <w:pPr>
                    <w:pStyle w:val="TableText"/>
                  </w:pPr>
                  <w:r w:rsidRPr="005D4222">
                    <w:t>For each Metric and Stratification</w:t>
                  </w:r>
                </w:p>
              </w:tc>
            </w:tr>
            <w:tr w:rsidR="002E4A5F" w:rsidRPr="005D4222" w14:paraId="44CC3743" w14:textId="77777777" w:rsidTr="00F354DA">
              <w:trPr>
                <w:trHeight w:val="300"/>
              </w:trPr>
              <w:tc>
                <w:tcPr>
                  <w:tcW w:w="1508" w:type="dxa"/>
                  <w:shd w:val="clear" w:color="auto" w:fill="FFFFFF" w:themeFill="background1"/>
                  <w:noWrap/>
                  <w:tcMar>
                    <w:left w:w="72" w:type="dxa"/>
                    <w:right w:w="72" w:type="dxa"/>
                  </w:tcMar>
                  <w:vAlign w:val="center"/>
                  <w:hideMark/>
                </w:tcPr>
                <w:p w14:paraId="6BF8D9A6" w14:textId="77777777" w:rsidR="002E4A5F" w:rsidRPr="005D4222" w:rsidRDefault="002E4A5F" w:rsidP="00A53E8C">
                  <w:pPr>
                    <w:pStyle w:val="TableText"/>
                  </w:pPr>
                </w:p>
              </w:tc>
              <w:tc>
                <w:tcPr>
                  <w:tcW w:w="780" w:type="dxa"/>
                  <w:tcBorders>
                    <w:top w:val="single" w:sz="4" w:space="0" w:color="auto"/>
                    <w:left w:val="nil"/>
                    <w:bottom w:val="nil"/>
                    <w:right w:val="single" w:sz="4" w:space="0" w:color="auto"/>
                  </w:tcBorders>
                  <w:shd w:val="clear" w:color="auto" w:fill="FFFFFF" w:themeFill="background1"/>
                  <w:tcMar>
                    <w:left w:w="72" w:type="dxa"/>
                    <w:right w:w="72" w:type="dxa"/>
                  </w:tcMar>
                  <w:vAlign w:val="center"/>
                </w:tcPr>
                <w:p w14:paraId="44C2A612" w14:textId="77777777" w:rsidR="002E4A5F" w:rsidRPr="005D4222" w:rsidRDefault="002E4A5F" w:rsidP="00A53E8C">
                  <w:pPr>
                    <w:pStyle w:val="TableText"/>
                  </w:pPr>
                </w:p>
              </w:tc>
              <w:tc>
                <w:tcPr>
                  <w:tcW w:w="1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left w:w="72" w:type="dxa"/>
                    <w:right w:w="72" w:type="dxa"/>
                  </w:tcMar>
                  <w:vAlign w:val="center"/>
                  <w:hideMark/>
                </w:tcPr>
                <w:p w14:paraId="7A69E89C" w14:textId="77777777" w:rsidR="002E4A5F" w:rsidRPr="005D4222" w:rsidRDefault="002E4A5F" w:rsidP="00A53E8C">
                  <w:pPr>
                    <w:pStyle w:val="TableText"/>
                  </w:pPr>
                  <w:r w:rsidRPr="005D4222">
                    <w:t>Rate</w:t>
                  </w:r>
                </w:p>
              </w:tc>
              <w:tc>
                <w:tcPr>
                  <w:tcW w:w="32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vAlign w:val="center"/>
                  <w:hideMark/>
                </w:tcPr>
                <w:p w14:paraId="4C0DB456" w14:textId="77777777" w:rsidR="002E4A5F" w:rsidRPr="005D4222" w:rsidRDefault="002E4A5F" w:rsidP="00A53E8C">
                  <w:pPr>
                    <w:pStyle w:val="TableText"/>
                  </w:pPr>
                  <w:r w:rsidRPr="005D4222">
                    <w:t>(Percent)</w:t>
                  </w:r>
                </w:p>
              </w:tc>
            </w:tr>
          </w:tbl>
          <w:p w14:paraId="6970CE05" w14:textId="77777777" w:rsidR="002E4A5F" w:rsidRPr="005D4222" w:rsidRDefault="002E4A5F" w:rsidP="00D642AE">
            <w:pPr>
              <w:pStyle w:val="Heading3"/>
              <w:rPr>
                <w:rStyle w:val="Heading3Char"/>
                <w:rFonts w:eastAsia="Arial"/>
                <w:b/>
                <w:bCs/>
                <w:i/>
              </w:rPr>
            </w:pPr>
            <w:r w:rsidRPr="005D4222">
              <w:rPr>
                <w:rStyle w:val="Heading3Char"/>
                <w:rFonts w:eastAsia="Arial"/>
                <w:b/>
                <w:bCs/>
                <w:i/>
              </w:rPr>
              <w:t>Table DSF-E-3: Data Elements for Depression Screening and Follow-Up for Adolescents and Adults</w:t>
            </w:r>
          </w:p>
          <w:tbl>
            <w:tblPr>
              <w:tblW w:w="5000" w:type="pct"/>
              <w:tblLayout w:type="fixed"/>
              <w:tblLook w:val="04A0" w:firstRow="1" w:lastRow="0" w:firstColumn="1" w:lastColumn="0" w:noHBand="0" w:noVBand="1"/>
            </w:tblPr>
            <w:tblGrid>
              <w:gridCol w:w="1521"/>
              <w:gridCol w:w="810"/>
              <w:gridCol w:w="1800"/>
              <w:gridCol w:w="3234"/>
            </w:tblGrid>
            <w:tr w:rsidR="002E4A5F" w:rsidRPr="005D4222" w14:paraId="7A8A8103" w14:textId="77777777" w:rsidTr="00F354DA">
              <w:trPr>
                <w:trHeight w:val="286"/>
              </w:trPr>
              <w:tc>
                <w:tcPr>
                  <w:tcW w:w="1521" w:type="dxa"/>
                  <w:tcBorders>
                    <w:top w:val="single" w:sz="4" w:space="0" w:color="auto"/>
                    <w:left w:val="single" w:sz="8" w:space="0" w:color="auto"/>
                    <w:bottom w:val="single" w:sz="4" w:space="0" w:color="auto"/>
                    <w:right w:val="single" w:sz="6" w:space="0" w:color="FFFFFF" w:themeColor="background1"/>
                  </w:tcBorders>
                  <w:shd w:val="clear" w:color="auto" w:fill="000000" w:themeFill="text1"/>
                  <w:noWrap/>
                  <w:tcMar>
                    <w:left w:w="72" w:type="dxa"/>
                    <w:right w:w="72" w:type="dxa"/>
                  </w:tcMar>
                  <w:vAlign w:val="center"/>
                  <w:hideMark/>
                </w:tcPr>
                <w:p w14:paraId="279C7700" w14:textId="77777777" w:rsidR="002E4A5F" w:rsidRPr="005D4222" w:rsidRDefault="002E4A5F" w:rsidP="00A53E8C">
                  <w:pPr>
                    <w:pStyle w:val="TableHead"/>
                    <w:rPr>
                      <w:b w:val="0"/>
                      <w:bCs/>
                      <w:kern w:val="20"/>
                    </w:rPr>
                  </w:pPr>
                  <w:r w:rsidRPr="005D4222">
                    <w:t>Metric</w:t>
                  </w:r>
                </w:p>
              </w:tc>
              <w:tc>
                <w:tcPr>
                  <w:tcW w:w="810" w:type="dxa"/>
                  <w:tcBorders>
                    <w:top w:val="single" w:sz="4" w:space="0" w:color="auto"/>
                    <w:left w:val="single" w:sz="6" w:space="0" w:color="FFFFFF" w:themeColor="background1"/>
                    <w:bottom w:val="single" w:sz="4" w:space="0" w:color="auto"/>
                    <w:right w:val="single" w:sz="6" w:space="0" w:color="FFFFFF" w:themeColor="background1"/>
                  </w:tcBorders>
                  <w:shd w:val="clear" w:color="auto" w:fill="000000" w:themeFill="text1"/>
                  <w:tcMar>
                    <w:left w:w="72" w:type="dxa"/>
                    <w:right w:w="72" w:type="dxa"/>
                  </w:tcMar>
                  <w:vAlign w:val="center"/>
                  <w:hideMark/>
                </w:tcPr>
                <w:p w14:paraId="388E0508" w14:textId="77777777" w:rsidR="002E4A5F" w:rsidRPr="005D4222" w:rsidRDefault="002E4A5F" w:rsidP="00A53E8C">
                  <w:pPr>
                    <w:pStyle w:val="TableHead"/>
                    <w:rPr>
                      <w:b w:val="0"/>
                      <w:bCs/>
                      <w:kern w:val="20"/>
                    </w:rPr>
                  </w:pPr>
                  <w:r w:rsidRPr="005D4222">
                    <w:t>Age</w:t>
                  </w:r>
                </w:p>
              </w:tc>
              <w:tc>
                <w:tcPr>
                  <w:tcW w:w="1800" w:type="dxa"/>
                  <w:tcBorders>
                    <w:top w:val="single" w:sz="4" w:space="0" w:color="auto"/>
                    <w:left w:val="single" w:sz="6" w:space="0" w:color="FFFFFF" w:themeColor="background1"/>
                    <w:bottom w:val="single" w:sz="4" w:space="0" w:color="auto"/>
                    <w:right w:val="single" w:sz="4" w:space="0" w:color="FFFFFF" w:themeColor="background1"/>
                  </w:tcBorders>
                  <w:shd w:val="clear" w:color="auto" w:fill="000000" w:themeFill="text1"/>
                  <w:noWrap/>
                  <w:tcMar>
                    <w:left w:w="72" w:type="dxa"/>
                    <w:right w:w="72" w:type="dxa"/>
                  </w:tcMar>
                  <w:vAlign w:val="center"/>
                  <w:hideMark/>
                </w:tcPr>
                <w:p w14:paraId="3B63C911" w14:textId="77777777" w:rsidR="002E4A5F" w:rsidRPr="005D4222" w:rsidRDefault="002E4A5F" w:rsidP="00A53E8C">
                  <w:pPr>
                    <w:pStyle w:val="TableHead"/>
                    <w:rPr>
                      <w:b w:val="0"/>
                      <w:bCs/>
                      <w:kern w:val="20"/>
                    </w:rPr>
                  </w:pPr>
                  <w:r w:rsidRPr="005D4222">
                    <w:t>Data Element</w:t>
                  </w:r>
                </w:p>
              </w:tc>
              <w:tc>
                <w:tcPr>
                  <w:tcW w:w="3234" w:type="dxa"/>
                  <w:tcBorders>
                    <w:top w:val="single" w:sz="4" w:space="0" w:color="auto"/>
                    <w:left w:val="single" w:sz="4" w:space="0" w:color="FFFFFF" w:themeColor="background1"/>
                    <w:bottom w:val="single" w:sz="4" w:space="0" w:color="auto"/>
                    <w:right w:val="single" w:sz="8" w:space="0" w:color="auto"/>
                  </w:tcBorders>
                  <w:shd w:val="clear" w:color="auto" w:fill="000000" w:themeFill="text1"/>
                  <w:tcMar>
                    <w:left w:w="72" w:type="dxa"/>
                    <w:right w:w="72" w:type="dxa"/>
                  </w:tcMar>
                  <w:vAlign w:val="center"/>
                  <w:hideMark/>
                </w:tcPr>
                <w:p w14:paraId="7E255DC0" w14:textId="77777777" w:rsidR="002E4A5F" w:rsidRPr="005D4222" w:rsidRDefault="002E4A5F" w:rsidP="00A53E8C">
                  <w:pPr>
                    <w:pStyle w:val="TableHead"/>
                    <w:rPr>
                      <w:b w:val="0"/>
                      <w:bCs/>
                      <w:kern w:val="20"/>
                    </w:rPr>
                  </w:pPr>
                  <w:r w:rsidRPr="005D4222">
                    <w:t>Reporting Instructions</w:t>
                  </w:r>
                </w:p>
              </w:tc>
            </w:tr>
            <w:tr w:rsidR="002E4A5F" w:rsidRPr="005D4222" w14:paraId="1E1607DF" w14:textId="77777777" w:rsidTr="00F354DA">
              <w:tc>
                <w:tcPr>
                  <w:tcW w:w="1521"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72" w:type="dxa"/>
                    <w:right w:w="72" w:type="dxa"/>
                  </w:tcMar>
                  <w:hideMark/>
                </w:tcPr>
                <w:p w14:paraId="2E845072" w14:textId="77777777" w:rsidR="002E4A5F" w:rsidRPr="005D4222" w:rsidRDefault="002E4A5F" w:rsidP="00A53E8C">
                  <w:pPr>
                    <w:pStyle w:val="TableText"/>
                    <w:rPr>
                      <w:kern w:val="20"/>
                      <w:szCs w:val="21"/>
                    </w:rPr>
                  </w:pPr>
                  <w:r w:rsidRPr="005D4222">
                    <w:t>Screening</w:t>
                  </w:r>
                </w:p>
              </w:tc>
              <w:tc>
                <w:tcPr>
                  <w:tcW w:w="810"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250EDEBC" w14:textId="77777777" w:rsidR="002E4A5F" w:rsidRPr="005D4222" w:rsidRDefault="002E4A5F" w:rsidP="00A53E8C">
                  <w:pPr>
                    <w:pStyle w:val="TableText"/>
                    <w:rPr>
                      <w:kern w:val="20"/>
                      <w:szCs w:val="21"/>
                    </w:rPr>
                  </w:pPr>
                  <w:r w:rsidRPr="005D4222">
                    <w:t>18-64</w:t>
                  </w: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72" w:type="dxa"/>
                    <w:right w:w="72" w:type="dxa"/>
                  </w:tcMar>
                  <w:hideMark/>
                </w:tcPr>
                <w:p w14:paraId="4683AA6A" w14:textId="77777777" w:rsidR="002E4A5F" w:rsidRPr="005D4222" w:rsidRDefault="002E4A5F" w:rsidP="00A53E8C">
                  <w:pPr>
                    <w:pStyle w:val="TableText"/>
                    <w:rPr>
                      <w:kern w:val="20"/>
                      <w:szCs w:val="21"/>
                    </w:rPr>
                  </w:pPr>
                  <w:r w:rsidRPr="005D4222">
                    <w:t>InitialPopulation</w:t>
                  </w:r>
                </w:p>
              </w:tc>
              <w:tc>
                <w:tcPr>
                  <w:tcW w:w="3234"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442D6F5C" w14:textId="77777777" w:rsidR="002E4A5F" w:rsidRPr="005D4222" w:rsidRDefault="002E4A5F" w:rsidP="00A53E8C">
                  <w:pPr>
                    <w:pStyle w:val="TableText"/>
                    <w:rPr>
                      <w:kern w:val="20"/>
                      <w:szCs w:val="21"/>
                    </w:rPr>
                  </w:pPr>
                  <w:r w:rsidRPr="005D4222">
                    <w:t>For each stratification, repeat per metric</w:t>
                  </w:r>
                </w:p>
              </w:tc>
            </w:tr>
            <w:tr w:rsidR="002E4A5F" w:rsidRPr="005D4222" w14:paraId="32F66FEB" w14:textId="77777777" w:rsidTr="00F354DA">
              <w:tc>
                <w:tcPr>
                  <w:tcW w:w="1521"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72" w:type="dxa"/>
                    <w:right w:w="72" w:type="dxa"/>
                  </w:tcMar>
                  <w:hideMark/>
                </w:tcPr>
                <w:p w14:paraId="4E38BB9F" w14:textId="77777777" w:rsidR="002E4A5F" w:rsidRPr="005D4222" w:rsidRDefault="002E4A5F" w:rsidP="00A53E8C">
                  <w:pPr>
                    <w:pStyle w:val="TableText"/>
                    <w:rPr>
                      <w:kern w:val="20"/>
                      <w:szCs w:val="21"/>
                    </w:rPr>
                  </w:pPr>
                  <w:r w:rsidRPr="005D4222">
                    <w:t>FollowUp</w:t>
                  </w:r>
                </w:p>
              </w:tc>
              <w:tc>
                <w:tcPr>
                  <w:tcW w:w="810" w:type="dxa"/>
                  <w:tcBorders>
                    <w:top w:val="single" w:sz="4" w:space="0" w:color="auto"/>
                    <w:left w:val="nil"/>
                    <w:bottom w:val="single" w:sz="4" w:space="0" w:color="auto"/>
                    <w:right w:val="single" w:sz="4" w:space="0" w:color="auto"/>
                  </w:tcBorders>
                  <w:shd w:val="clear" w:color="auto" w:fill="FFFFFF" w:themeFill="background1"/>
                  <w:tcMar>
                    <w:left w:w="72" w:type="dxa"/>
                    <w:right w:w="72" w:type="dxa"/>
                  </w:tcMar>
                  <w:hideMark/>
                </w:tcPr>
                <w:p w14:paraId="718292C8" w14:textId="77777777" w:rsidR="002E4A5F" w:rsidRPr="005D4222" w:rsidRDefault="002E4A5F" w:rsidP="00A53E8C">
                  <w:pPr>
                    <w:pStyle w:val="TableText"/>
                    <w:rPr>
                      <w:kern w:val="20"/>
                      <w:szCs w:val="21"/>
                    </w:rPr>
                  </w:pPr>
                  <w:r w:rsidRPr="005D4222">
                    <w:t>65+</w:t>
                  </w: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72" w:type="dxa"/>
                    <w:right w:w="72" w:type="dxa"/>
                  </w:tcMar>
                  <w:hideMark/>
                </w:tcPr>
                <w:p w14:paraId="3946028F" w14:textId="77777777" w:rsidR="002E4A5F" w:rsidRPr="005D4222" w:rsidRDefault="002E4A5F" w:rsidP="00A53E8C">
                  <w:pPr>
                    <w:pStyle w:val="TableText"/>
                    <w:rPr>
                      <w:kern w:val="20"/>
                      <w:szCs w:val="21"/>
                    </w:rPr>
                  </w:pPr>
                  <w:r w:rsidRPr="005D4222">
                    <w:t>Exclusions</w:t>
                  </w:r>
                </w:p>
              </w:tc>
              <w:tc>
                <w:tcPr>
                  <w:tcW w:w="3234"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4DDD042F" w14:textId="77777777" w:rsidR="002E4A5F" w:rsidRPr="005D4222" w:rsidRDefault="002E4A5F" w:rsidP="00A53E8C">
                  <w:pPr>
                    <w:pStyle w:val="TableText"/>
                    <w:rPr>
                      <w:kern w:val="20"/>
                      <w:szCs w:val="21"/>
                    </w:rPr>
                  </w:pPr>
                  <w:r w:rsidRPr="005D4222">
                    <w:t>For each stratification, repeat per metric</w:t>
                  </w:r>
                </w:p>
              </w:tc>
            </w:tr>
            <w:tr w:rsidR="002E4A5F" w:rsidRPr="005D4222" w14:paraId="20665A11" w14:textId="77777777" w:rsidTr="00F354DA">
              <w:tc>
                <w:tcPr>
                  <w:tcW w:w="1521" w:type="dxa"/>
                  <w:tcBorders>
                    <w:top w:val="single" w:sz="4" w:space="0" w:color="auto"/>
                    <w:left w:val="nil"/>
                    <w:bottom w:val="nil"/>
                    <w:right w:val="single" w:sz="4" w:space="0" w:color="auto"/>
                  </w:tcBorders>
                  <w:shd w:val="clear" w:color="auto" w:fill="FFFFFF" w:themeFill="background1"/>
                  <w:noWrap/>
                  <w:tcMar>
                    <w:left w:w="72" w:type="dxa"/>
                    <w:right w:w="72" w:type="dxa"/>
                  </w:tcMar>
                  <w:hideMark/>
                </w:tcPr>
                <w:p w14:paraId="333052FA" w14:textId="77777777" w:rsidR="002E4A5F" w:rsidRPr="005D4222" w:rsidRDefault="002E4A5F" w:rsidP="00A53E8C">
                  <w:pPr>
                    <w:pStyle w:val="TableText"/>
                    <w:rPr>
                      <w:kern w:val="20"/>
                      <w:szCs w:val="21"/>
                    </w:rPr>
                  </w:pPr>
                  <w:r w:rsidRPr="005D4222">
                    <w:t xml:space="preserve"> </w:t>
                  </w:r>
                </w:p>
              </w:tc>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5FEC1B08" w14:textId="77777777" w:rsidR="002E4A5F" w:rsidRPr="005D4222" w:rsidRDefault="002E4A5F" w:rsidP="00A53E8C">
                  <w:pPr>
                    <w:pStyle w:val="TableText"/>
                    <w:rPr>
                      <w:kern w:val="20"/>
                      <w:szCs w:val="21"/>
                    </w:rPr>
                  </w:pPr>
                  <w:r w:rsidRPr="005D4222">
                    <w:t>Total</w:t>
                  </w: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72" w:type="dxa"/>
                    <w:right w:w="72" w:type="dxa"/>
                  </w:tcMar>
                  <w:hideMark/>
                </w:tcPr>
                <w:p w14:paraId="7FD5F66B" w14:textId="77777777" w:rsidR="002E4A5F" w:rsidRPr="005D4222" w:rsidRDefault="002E4A5F" w:rsidP="00A53E8C">
                  <w:pPr>
                    <w:pStyle w:val="TableText"/>
                    <w:rPr>
                      <w:kern w:val="20"/>
                      <w:szCs w:val="21"/>
                    </w:rPr>
                  </w:pPr>
                  <w:r w:rsidRPr="005D4222">
                    <w:t>Denominator</w:t>
                  </w:r>
                </w:p>
              </w:tc>
              <w:tc>
                <w:tcPr>
                  <w:tcW w:w="3234"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4E5B5205" w14:textId="77777777" w:rsidR="002E4A5F" w:rsidRPr="005D4222" w:rsidRDefault="002E4A5F" w:rsidP="00A53E8C">
                  <w:pPr>
                    <w:pStyle w:val="TableText"/>
                    <w:rPr>
                      <w:kern w:val="20"/>
                      <w:szCs w:val="21"/>
                    </w:rPr>
                  </w:pPr>
                  <w:r w:rsidRPr="005D4222">
                    <w:t>For each Metric and Stratification</w:t>
                  </w:r>
                </w:p>
              </w:tc>
            </w:tr>
            <w:tr w:rsidR="002E4A5F" w:rsidRPr="005D4222" w14:paraId="3E642383" w14:textId="77777777" w:rsidTr="00F354DA">
              <w:tc>
                <w:tcPr>
                  <w:tcW w:w="1521" w:type="dxa"/>
                  <w:shd w:val="clear" w:color="auto" w:fill="FFFFFF" w:themeFill="background1"/>
                  <w:noWrap/>
                  <w:tcMar>
                    <w:left w:w="72" w:type="dxa"/>
                    <w:right w:w="72" w:type="dxa"/>
                  </w:tcMar>
                  <w:hideMark/>
                </w:tcPr>
                <w:p w14:paraId="119A0643" w14:textId="77777777" w:rsidR="002E4A5F" w:rsidRPr="005D4222" w:rsidRDefault="002E4A5F" w:rsidP="00A53E8C">
                  <w:pPr>
                    <w:pStyle w:val="TableText"/>
                    <w:rPr>
                      <w:kern w:val="20"/>
                      <w:szCs w:val="21"/>
                    </w:rPr>
                  </w:pPr>
                  <w:r w:rsidRPr="005D4222">
                    <w:t xml:space="preserve"> </w:t>
                  </w:r>
                </w:p>
              </w:tc>
              <w:tc>
                <w:tcPr>
                  <w:tcW w:w="810" w:type="dxa"/>
                  <w:tcBorders>
                    <w:top w:val="single" w:sz="4" w:space="0" w:color="auto"/>
                    <w:left w:val="nil"/>
                    <w:bottom w:val="nil"/>
                    <w:right w:val="single" w:sz="4" w:space="0" w:color="auto"/>
                  </w:tcBorders>
                  <w:shd w:val="clear" w:color="auto" w:fill="FFFFFF" w:themeFill="background1"/>
                  <w:tcMar>
                    <w:left w:w="72" w:type="dxa"/>
                    <w:right w:w="72" w:type="dxa"/>
                  </w:tcMar>
                </w:tcPr>
                <w:p w14:paraId="5CEEE1C6" w14:textId="77777777" w:rsidR="002E4A5F" w:rsidRPr="005D4222" w:rsidRDefault="002E4A5F" w:rsidP="00A53E8C">
                  <w:pPr>
                    <w:pStyle w:val="TableText"/>
                  </w:pP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72" w:type="dxa"/>
                    <w:right w:w="72" w:type="dxa"/>
                  </w:tcMar>
                  <w:hideMark/>
                </w:tcPr>
                <w:p w14:paraId="535853ED" w14:textId="77777777" w:rsidR="002E4A5F" w:rsidRPr="005D4222" w:rsidRDefault="002E4A5F" w:rsidP="00A53E8C">
                  <w:pPr>
                    <w:pStyle w:val="TableText"/>
                    <w:rPr>
                      <w:kern w:val="20"/>
                      <w:szCs w:val="21"/>
                    </w:rPr>
                  </w:pPr>
                  <w:r w:rsidRPr="005D4222">
                    <w:t>Numerator</w:t>
                  </w:r>
                </w:p>
              </w:tc>
              <w:tc>
                <w:tcPr>
                  <w:tcW w:w="3234"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7E98939E" w14:textId="77777777" w:rsidR="002E4A5F" w:rsidRPr="005D4222" w:rsidRDefault="002E4A5F" w:rsidP="00A53E8C">
                  <w:pPr>
                    <w:pStyle w:val="TableText"/>
                    <w:rPr>
                      <w:kern w:val="20"/>
                      <w:szCs w:val="21"/>
                    </w:rPr>
                  </w:pPr>
                  <w:r w:rsidRPr="005D4222">
                    <w:t>For each Metric and Stratification</w:t>
                  </w:r>
                </w:p>
              </w:tc>
            </w:tr>
            <w:tr w:rsidR="002E4A5F" w:rsidRPr="005D4222" w14:paraId="0E8FD0B3" w14:textId="77777777" w:rsidTr="00F354DA">
              <w:tc>
                <w:tcPr>
                  <w:tcW w:w="1521" w:type="dxa"/>
                  <w:shd w:val="clear" w:color="auto" w:fill="FFFFFF" w:themeFill="background1"/>
                  <w:noWrap/>
                  <w:tcMar>
                    <w:left w:w="72" w:type="dxa"/>
                    <w:right w:w="72" w:type="dxa"/>
                  </w:tcMar>
                  <w:hideMark/>
                </w:tcPr>
                <w:p w14:paraId="22B33009" w14:textId="77777777" w:rsidR="002E4A5F" w:rsidRPr="005D4222" w:rsidRDefault="002E4A5F" w:rsidP="00A53E8C">
                  <w:pPr>
                    <w:pStyle w:val="TableText"/>
                    <w:rPr>
                      <w:kern w:val="20"/>
                      <w:szCs w:val="21"/>
                    </w:rPr>
                  </w:pPr>
                  <w:r w:rsidRPr="005D4222">
                    <w:t xml:space="preserve"> </w:t>
                  </w:r>
                </w:p>
              </w:tc>
              <w:tc>
                <w:tcPr>
                  <w:tcW w:w="810" w:type="dxa"/>
                  <w:tcBorders>
                    <w:top w:val="nil"/>
                    <w:left w:val="nil"/>
                    <w:bottom w:val="nil"/>
                    <w:right w:val="single" w:sz="4" w:space="0" w:color="auto"/>
                  </w:tcBorders>
                  <w:shd w:val="clear" w:color="auto" w:fill="FFFFFF" w:themeFill="background1"/>
                  <w:tcMar>
                    <w:left w:w="72" w:type="dxa"/>
                    <w:right w:w="72" w:type="dxa"/>
                  </w:tcMar>
                </w:tcPr>
                <w:p w14:paraId="4F467BC5" w14:textId="77777777" w:rsidR="002E4A5F" w:rsidRPr="005D4222" w:rsidRDefault="002E4A5F" w:rsidP="00A53E8C">
                  <w:pPr>
                    <w:pStyle w:val="TableText"/>
                  </w:pPr>
                </w:p>
              </w:tc>
              <w:tc>
                <w:tcPr>
                  <w:tcW w:w="1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left w:w="72" w:type="dxa"/>
                    <w:right w:w="72" w:type="dxa"/>
                  </w:tcMar>
                  <w:hideMark/>
                </w:tcPr>
                <w:p w14:paraId="5E071EBD" w14:textId="77777777" w:rsidR="002E4A5F" w:rsidRPr="005D4222" w:rsidRDefault="002E4A5F" w:rsidP="00A53E8C">
                  <w:pPr>
                    <w:pStyle w:val="TableText"/>
                    <w:rPr>
                      <w:kern w:val="20"/>
                      <w:szCs w:val="21"/>
                    </w:rPr>
                  </w:pPr>
                  <w:r w:rsidRPr="005D4222">
                    <w:t>Rate</w:t>
                  </w:r>
                </w:p>
              </w:tc>
              <w:tc>
                <w:tcPr>
                  <w:tcW w:w="32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52332142" w14:textId="77777777" w:rsidR="002E4A5F" w:rsidRPr="005D4222" w:rsidRDefault="002E4A5F" w:rsidP="00A53E8C">
                  <w:pPr>
                    <w:pStyle w:val="TableText"/>
                    <w:rPr>
                      <w:kern w:val="20"/>
                      <w:szCs w:val="21"/>
                    </w:rPr>
                  </w:pPr>
                  <w:r w:rsidRPr="005D4222">
                    <w:t>(Percent)</w:t>
                  </w:r>
                </w:p>
              </w:tc>
            </w:tr>
          </w:tbl>
          <w:p w14:paraId="3E460FD6" w14:textId="77777777" w:rsidR="002E4A5F" w:rsidRPr="005D4222" w:rsidRDefault="002E4A5F" w:rsidP="00A53E8C">
            <w:pPr>
              <w:pStyle w:val="ProcessDash"/>
              <w:numPr>
                <w:ilvl w:val="0"/>
                <w:numId w:val="0"/>
              </w:numPr>
              <w:rPr>
                <w:color w:val="000000" w:themeColor="text1"/>
                <w:highlight w:val="yellow"/>
              </w:rPr>
            </w:pPr>
          </w:p>
        </w:tc>
      </w:tr>
    </w:tbl>
    <w:p w14:paraId="5441158D" w14:textId="77777777" w:rsidR="008A5901" w:rsidRPr="005D4222" w:rsidRDefault="008A5901">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8A5901" w:rsidRPr="005D4222" w14:paraId="19F27BF3" w14:textId="77777777" w:rsidTr="00CE1EBB">
        <w:tc>
          <w:tcPr>
            <w:tcW w:w="2157"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723DA4E3" w14:textId="77777777" w:rsidR="008A5901" w:rsidRPr="005D4222" w:rsidRDefault="008A5901" w:rsidP="00A53E8C">
            <w:pPr>
              <w:pStyle w:val="ECDSMarginHead"/>
            </w:pPr>
            <w:r w:rsidRPr="005D4222">
              <w:lastRenderedPageBreak/>
              <w:t>Rules for Allowable Adjustments</w:t>
            </w: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tcPr>
          <w:p w14:paraId="41EB9213" w14:textId="77777777" w:rsidR="008A5901" w:rsidRPr="005D4222" w:rsidRDefault="008A5901" w:rsidP="00A53E8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242BDC00" w14:textId="77777777" w:rsidR="008A5901" w:rsidRPr="005D4222" w:rsidRDefault="008A5901" w:rsidP="005C73CA">
            <w:pPr>
              <w:pStyle w:val="ECDSBody"/>
              <w:spacing w:before="180"/>
              <w:rPr>
                <w:i/>
              </w:rPr>
            </w:pPr>
            <w:r w:rsidRPr="005D4222">
              <w:rPr>
                <w:b/>
              </w:rPr>
              <w:t>Adjusted HEDIS measures may not be used for HEDIS health plan reporting.</w:t>
            </w:r>
          </w:p>
          <w:p w14:paraId="41A3A086" w14:textId="77777777" w:rsidR="008A5901" w:rsidRPr="005D4222" w:rsidRDefault="008A5901" w:rsidP="005C73CA">
            <w:pPr>
              <w:pStyle w:val="Adjustments"/>
              <w:spacing w:before="120"/>
              <w:rPr>
                <w:b w:val="0"/>
              </w:rPr>
            </w:pPr>
            <w:r w:rsidRPr="005D4222">
              <w:t>Adjustments allowed</w:t>
            </w:r>
          </w:p>
          <w:p w14:paraId="3D521B2F" w14:textId="10812FE2" w:rsidR="008A5901" w:rsidRPr="005D4222" w:rsidRDefault="008A5901" w:rsidP="005C73CA">
            <w:pPr>
              <w:pStyle w:val="ProcessBullet"/>
            </w:pPr>
            <w:r w:rsidRPr="005D4222">
              <w:rPr>
                <w:i/>
                <w:iCs/>
              </w:rPr>
              <w:t>Product lines.</w:t>
            </w:r>
            <w:r w:rsidRPr="005D4222">
              <w:t xml:space="preserve"> </w:t>
            </w:r>
            <w:r w:rsidRPr="005D4222">
              <w:rPr>
                <w:rFonts w:eastAsia="Arial"/>
              </w:rPr>
              <w:t>Organizations are not required to use product line criteria; product lines may be combined</w:t>
            </w:r>
            <w:r w:rsidR="00E8671F" w:rsidRPr="005D4222">
              <w:rPr>
                <w:rFonts w:eastAsia="Arial"/>
              </w:rPr>
              <w:t>,</w:t>
            </w:r>
            <w:r w:rsidRPr="005D4222">
              <w:rPr>
                <w:rFonts w:eastAsia="Arial"/>
              </w:rPr>
              <w:t xml:space="preserve"> and all (or no) product line criteria may be used.</w:t>
            </w:r>
          </w:p>
          <w:p w14:paraId="11E9A023" w14:textId="77777777" w:rsidR="008A5901" w:rsidRPr="005D4222" w:rsidRDefault="008A5901" w:rsidP="005C73CA">
            <w:pPr>
              <w:pStyle w:val="ProcessBullet"/>
            </w:pPr>
            <w:r w:rsidRPr="005D4222">
              <w:rPr>
                <w:i/>
                <w:iCs/>
              </w:rPr>
              <w:t xml:space="preserve">Attribution. </w:t>
            </w:r>
            <w:r w:rsidRPr="005D4222">
              <w:rPr>
                <w:rFonts w:eastAsia="Arial"/>
              </w:rPr>
              <w:t>Organizations are not required to use enrollment criteria.</w:t>
            </w:r>
          </w:p>
          <w:p w14:paraId="4AB10BD2" w14:textId="77777777" w:rsidR="008A5901" w:rsidRPr="005D4222" w:rsidRDefault="008A5901" w:rsidP="005C73CA">
            <w:pPr>
              <w:pStyle w:val="ProcessBullet"/>
            </w:pPr>
            <w:r w:rsidRPr="005D4222">
              <w:rPr>
                <w:i/>
                <w:iCs/>
              </w:rPr>
              <w:t xml:space="preserve">Benefits. </w:t>
            </w:r>
            <w:r w:rsidRPr="005D4222">
              <w:rPr>
                <w:rFonts w:eastAsia="Arial"/>
              </w:rPr>
              <w:t>Organizations are not required to use a benefit.</w:t>
            </w:r>
          </w:p>
          <w:p w14:paraId="051F5E78" w14:textId="77777777" w:rsidR="008A5901" w:rsidRPr="005D4222" w:rsidRDefault="008A5901" w:rsidP="005C73CA">
            <w:pPr>
              <w:pStyle w:val="ProcessBullet"/>
            </w:pPr>
            <w:r w:rsidRPr="005D4222">
              <w:rPr>
                <w:i/>
                <w:iCs/>
              </w:rPr>
              <w:t xml:space="preserve">Other. </w:t>
            </w:r>
            <w:r w:rsidRPr="005D4222">
              <w:rPr>
                <w:rFonts w:eastAsia="Arial"/>
              </w:rPr>
              <w:t>Organizations may use additional initial population criteria to focus on an area of interest defined by gender, race, ethnicity, socioeconomic or sociodemographic characteristics, geographic region or another characteristic.</w:t>
            </w:r>
          </w:p>
          <w:p w14:paraId="1F77D9A4" w14:textId="77777777" w:rsidR="008A5901" w:rsidRPr="005D4222" w:rsidRDefault="008A5901" w:rsidP="005C73CA">
            <w:pPr>
              <w:pStyle w:val="ProcessBullet"/>
            </w:pPr>
            <w:r w:rsidRPr="005D4222">
              <w:rPr>
                <w:i/>
                <w:iCs/>
              </w:rPr>
              <w:t>Measurement period adjustments.</w:t>
            </w:r>
            <w:r w:rsidRPr="005D4222">
              <w:t xml:space="preserve"> Organizations may adjust the measurement period.</w:t>
            </w:r>
          </w:p>
          <w:p w14:paraId="53E53D52" w14:textId="77777777" w:rsidR="008A5901" w:rsidRPr="005D4222" w:rsidRDefault="008A5901" w:rsidP="005C73CA">
            <w:pPr>
              <w:pStyle w:val="ProcessBullet"/>
            </w:pPr>
            <w:r w:rsidRPr="005D4222">
              <w:rPr>
                <w:rFonts w:eastAsia="Arial"/>
                <w:i/>
                <w:iCs/>
              </w:rPr>
              <w:t xml:space="preserve">Exclusions. </w:t>
            </w:r>
            <w:r w:rsidRPr="005D4222">
              <w:rPr>
                <w:rFonts w:eastAsia="Arial"/>
              </w:rPr>
              <w:t xml:space="preserve">Hospice and deceased person exclusions </w:t>
            </w:r>
            <w:r w:rsidRPr="005D4222">
              <w:t xml:space="preserve">are not required. </w:t>
            </w:r>
          </w:p>
          <w:p w14:paraId="1C6E5D57" w14:textId="77777777" w:rsidR="008A5901" w:rsidRPr="005D4222" w:rsidRDefault="008A5901" w:rsidP="005C73CA">
            <w:pPr>
              <w:pStyle w:val="ProcessBullet"/>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50FF9152" w14:textId="77777777" w:rsidR="008A5901" w:rsidRPr="005D4222" w:rsidRDefault="008A5901" w:rsidP="005C73CA">
            <w:pPr>
              <w:pStyle w:val="Adjustments"/>
              <w:rPr>
                <w:b w:val="0"/>
              </w:rPr>
            </w:pPr>
            <w:r w:rsidRPr="005D4222">
              <w:t>Adjustments allowed with limits</w:t>
            </w:r>
          </w:p>
          <w:p w14:paraId="7776D1E6" w14:textId="09206BC2" w:rsidR="008A5901" w:rsidRPr="005D4222" w:rsidRDefault="008A5901" w:rsidP="005C73CA">
            <w:pPr>
              <w:pStyle w:val="ProcessBullet"/>
            </w:pPr>
            <w:r w:rsidRPr="005D4222">
              <w:rPr>
                <w:i/>
                <w:iCs/>
              </w:rPr>
              <w:t>Ages.</w:t>
            </w:r>
            <w:r w:rsidRPr="005D4222">
              <w:t xml:space="preserve"> The age determination dates may be changed (e.g., select, “age 12 during the measurement </w:t>
            </w:r>
            <w:r w:rsidR="009915A0">
              <w:t>period</w:t>
            </w:r>
            <w:r w:rsidRPr="005D4222">
              <w:t>). The denominator age may be changed if the range is within the specified age range (12 years and older).</w:t>
            </w:r>
            <w:r w:rsidRPr="005D4222">
              <w:rPr>
                <w:rFonts w:eastAsia="Arial"/>
              </w:rPr>
              <w:t xml:space="preserve"> The denominator age may not be expanded.</w:t>
            </w:r>
          </w:p>
          <w:p w14:paraId="245F5FF7" w14:textId="77777777" w:rsidR="008A5901" w:rsidRPr="005D4222" w:rsidRDefault="008A5901" w:rsidP="005C73CA">
            <w:pPr>
              <w:pStyle w:val="Adjustments"/>
              <w:rPr>
                <w:b w:val="0"/>
              </w:rPr>
            </w:pPr>
            <w:r w:rsidRPr="005D4222">
              <w:t>Adjustments not allowed</w:t>
            </w:r>
          </w:p>
          <w:p w14:paraId="79F1407F" w14:textId="77777777" w:rsidR="008A5901" w:rsidRPr="005D4222" w:rsidRDefault="008A5901" w:rsidP="005C73CA">
            <w:pPr>
              <w:pStyle w:val="ProcessBullet"/>
              <w:rPr>
                <w:i/>
                <w:iCs/>
              </w:rPr>
            </w:pPr>
            <w:r w:rsidRPr="005D4222">
              <w:rPr>
                <w:i/>
              </w:rPr>
              <w:t>Initial population:</w:t>
            </w:r>
            <w:r w:rsidRPr="005D4222">
              <w:t xml:space="preserve"> </w:t>
            </w:r>
            <w:r w:rsidRPr="005D4222">
              <w:rPr>
                <w:iCs/>
              </w:rPr>
              <w:t xml:space="preserve">Event. </w:t>
            </w:r>
            <w:r w:rsidRPr="005D4222">
              <w:rPr>
                <w:rFonts w:eastAsia="Arial"/>
              </w:rPr>
              <w:t>Value sets and logic may not be changed for denominator 2.</w:t>
            </w:r>
          </w:p>
          <w:p w14:paraId="37444A10" w14:textId="29CA66D3" w:rsidR="008A5901" w:rsidRPr="005D4222" w:rsidRDefault="008A5901" w:rsidP="005C73CA">
            <w:pPr>
              <w:pStyle w:val="ProcessBullet"/>
              <w:rPr>
                <w:i/>
                <w:iCs/>
              </w:rPr>
            </w:pPr>
            <w:r w:rsidRPr="005D4222">
              <w:rPr>
                <w:i/>
              </w:rPr>
              <w:t xml:space="preserve">Exclusions. </w:t>
            </w:r>
            <w:r w:rsidR="00F22868" w:rsidRPr="005D4222">
              <w:rPr>
                <w:iCs/>
              </w:rPr>
              <w:t>The</w:t>
            </w:r>
            <w:r w:rsidRPr="005D4222">
              <w:t xml:space="preserve"> </w:t>
            </w:r>
            <w:r w:rsidRPr="005D4222">
              <w:rPr>
                <w:rFonts w:eastAsia="Arial,Arial,Arial,Arial,Arial,A"/>
                <w:bCs/>
              </w:rPr>
              <w:t>bipolar disorder</w:t>
            </w:r>
            <w:r w:rsidRPr="005D4222">
              <w:t xml:space="preserve"> and depression exclusions </w:t>
            </w:r>
            <w:r w:rsidR="00F22868" w:rsidRPr="005D4222">
              <w:t>must be applied. Value</w:t>
            </w:r>
            <w:r w:rsidRPr="005D4222">
              <w:t xml:space="preserve"> sets</w:t>
            </w:r>
            <w:r w:rsidR="00F22868" w:rsidRPr="005D4222">
              <w:t xml:space="preserve"> and logic may not be changed</w:t>
            </w:r>
            <w:r w:rsidRPr="005D4222">
              <w:t>.</w:t>
            </w:r>
          </w:p>
          <w:p w14:paraId="02914436" w14:textId="55E127AC" w:rsidR="008A5901" w:rsidRPr="005D4222" w:rsidRDefault="00DE550E" w:rsidP="00A53E8C">
            <w:pPr>
              <w:pStyle w:val="ProcessBullet"/>
              <w:spacing w:after="80"/>
              <w:rPr>
                <w:i/>
              </w:rPr>
            </w:pPr>
            <w:r w:rsidRPr="005D4222">
              <w:rPr>
                <w:rFonts w:eastAsia="Arial"/>
                <w:i/>
                <w:iCs/>
              </w:rPr>
              <w:t>Numerator.</w:t>
            </w:r>
            <w:r w:rsidR="008A5901" w:rsidRPr="005D4222">
              <w:rPr>
                <w:rFonts w:eastAsia="Arial"/>
              </w:rPr>
              <w:t xml:space="preserve"> Value sets, direct reference codes and logic may not be changed.</w:t>
            </w:r>
          </w:p>
        </w:tc>
      </w:tr>
    </w:tbl>
    <w:p w14:paraId="20AF1403" w14:textId="77777777" w:rsidR="00476F20" w:rsidRPr="005D4222" w:rsidRDefault="00476F20" w:rsidP="0095689D">
      <w:pPr>
        <w:pStyle w:val="ECDSBody"/>
        <w:sectPr w:rsidR="00476F20" w:rsidRPr="005D4222" w:rsidSect="0074514A">
          <w:headerReference w:type="default" r:id="rId230"/>
          <w:type w:val="nextColumn"/>
          <w:pgSz w:w="12240" w:h="15840" w:code="1"/>
          <w:pgMar w:top="1080" w:right="1080" w:bottom="1080" w:left="1440" w:header="720" w:footer="720" w:gutter="0"/>
          <w:cols w:space="720"/>
          <w:docGrid w:linePitch="360"/>
        </w:sectPr>
      </w:pPr>
    </w:p>
    <w:p w14:paraId="0598609F" w14:textId="5C0C43AF" w:rsidR="0095689D" w:rsidRPr="005D4222" w:rsidRDefault="0056402B" w:rsidP="0056402B">
      <w:pPr>
        <w:pStyle w:val="MeasureTitle"/>
      </w:pPr>
      <w:bookmarkStart w:id="425" w:name="_Toc201813480"/>
      <w:r w:rsidRPr="005D4222">
        <w:lastRenderedPageBreak/>
        <w:t>Utilization of the PHQ-9 to Monitor Depression Symptoms for Adolescents and Adults</w:t>
      </w:r>
      <w:r w:rsidR="008A5901" w:rsidRPr="005D4222">
        <w:t xml:space="preserve"> (DMS-E)</w:t>
      </w:r>
      <w:bookmarkEnd w:id="425"/>
    </w:p>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5064"/>
        <w:gridCol w:w="1417"/>
        <w:gridCol w:w="1078"/>
      </w:tblGrid>
      <w:tr w:rsidR="00736630" w:rsidRPr="005D4222" w14:paraId="5FFA1B00" w14:textId="77777777" w:rsidTr="00A53E8C">
        <w:tc>
          <w:tcPr>
            <w:tcW w:w="1110" w:type="pct"/>
            <w:shd w:val="clear" w:color="auto" w:fill="BFBFBF" w:themeFill="background1" w:themeFillShade="BF"/>
            <w:tcMar>
              <w:top w:w="0" w:type="dxa"/>
              <w:left w:w="86" w:type="dxa"/>
              <w:bottom w:w="43" w:type="dxa"/>
              <w:right w:w="86" w:type="dxa"/>
            </w:tcMar>
            <w:hideMark/>
          </w:tcPr>
          <w:p w14:paraId="7F64B63E" w14:textId="77777777" w:rsidR="00736630" w:rsidRPr="005D4222" w:rsidRDefault="00736630" w:rsidP="00A53E8C">
            <w:pPr>
              <w:pStyle w:val="ECDSMarginHead"/>
            </w:pPr>
            <w:r w:rsidRPr="005D4222">
              <w:t>Measure title</w:t>
            </w:r>
          </w:p>
        </w:tc>
        <w:tc>
          <w:tcPr>
            <w:tcW w:w="2606" w:type="pct"/>
            <w:tcMar>
              <w:top w:w="0" w:type="dxa"/>
              <w:left w:w="86" w:type="dxa"/>
              <w:bottom w:w="43" w:type="dxa"/>
              <w:right w:w="86" w:type="dxa"/>
            </w:tcMar>
          </w:tcPr>
          <w:p w14:paraId="55B05AA3" w14:textId="77777777" w:rsidR="00736630" w:rsidRPr="005D4222" w:rsidRDefault="00736630" w:rsidP="00A53E8C">
            <w:pPr>
              <w:pStyle w:val="ECDSBody"/>
            </w:pPr>
            <w:r w:rsidRPr="005D4222">
              <w:t>Utilization of the PHQ-9 to Monitor Depression Symptoms for Adolescents and Adults</w:t>
            </w:r>
            <w:r w:rsidRPr="005D4222">
              <w:rPr>
                <w:b/>
              </w:rPr>
              <w:t xml:space="preserve">* </w:t>
            </w:r>
          </w:p>
        </w:tc>
        <w:tc>
          <w:tcPr>
            <w:tcW w:w="729" w:type="pct"/>
            <w:shd w:val="clear" w:color="auto" w:fill="BFBFBF" w:themeFill="background1" w:themeFillShade="BF"/>
            <w:tcMar>
              <w:top w:w="0" w:type="dxa"/>
              <w:left w:w="86" w:type="dxa"/>
              <w:bottom w:w="43" w:type="dxa"/>
              <w:right w:w="86" w:type="dxa"/>
            </w:tcMar>
          </w:tcPr>
          <w:p w14:paraId="699211A1" w14:textId="77777777" w:rsidR="00736630" w:rsidRPr="005D4222" w:rsidRDefault="00736630" w:rsidP="005C73CA">
            <w:pPr>
              <w:pStyle w:val="ECDSMarginHead"/>
            </w:pPr>
            <w:r w:rsidRPr="005D4222">
              <w:t>Measure ID</w:t>
            </w:r>
          </w:p>
        </w:tc>
        <w:tc>
          <w:tcPr>
            <w:tcW w:w="555" w:type="pct"/>
            <w:tcMar>
              <w:top w:w="0" w:type="dxa"/>
              <w:left w:w="86" w:type="dxa"/>
              <w:bottom w:w="43" w:type="dxa"/>
              <w:right w:w="86" w:type="dxa"/>
            </w:tcMar>
          </w:tcPr>
          <w:p w14:paraId="23BB3557" w14:textId="77777777" w:rsidR="00736630" w:rsidRPr="005D4222" w:rsidRDefault="00736630" w:rsidP="00A53E8C">
            <w:pPr>
              <w:pStyle w:val="ECDSBody"/>
            </w:pPr>
            <w:r w:rsidRPr="005D4222">
              <w:t>DMS-E</w:t>
            </w:r>
          </w:p>
        </w:tc>
      </w:tr>
      <w:tr w:rsidR="00736630" w:rsidRPr="005D4222" w14:paraId="64EF8847" w14:textId="77777777" w:rsidTr="00A53E8C">
        <w:tc>
          <w:tcPr>
            <w:tcW w:w="1110" w:type="pct"/>
            <w:shd w:val="clear" w:color="auto" w:fill="BFBFBF" w:themeFill="background1" w:themeFillShade="BF"/>
            <w:tcMar>
              <w:top w:w="0" w:type="dxa"/>
              <w:left w:w="86" w:type="dxa"/>
              <w:bottom w:w="43" w:type="dxa"/>
              <w:right w:w="86" w:type="dxa"/>
            </w:tcMar>
            <w:hideMark/>
          </w:tcPr>
          <w:p w14:paraId="18EACB62" w14:textId="77777777" w:rsidR="00736630" w:rsidRPr="005D4222" w:rsidRDefault="00736630" w:rsidP="00A53E8C">
            <w:pPr>
              <w:pStyle w:val="ECDSMarginHead"/>
            </w:pPr>
            <w:r w:rsidRPr="005D4222">
              <w:t>Description</w:t>
            </w:r>
          </w:p>
        </w:tc>
        <w:tc>
          <w:tcPr>
            <w:tcW w:w="3890" w:type="pct"/>
            <w:gridSpan w:val="3"/>
            <w:tcMar>
              <w:top w:w="0" w:type="dxa"/>
              <w:left w:w="86" w:type="dxa"/>
              <w:bottom w:w="43" w:type="dxa"/>
              <w:right w:w="86" w:type="dxa"/>
            </w:tcMar>
          </w:tcPr>
          <w:p w14:paraId="0289362A" w14:textId="77777777" w:rsidR="00736630" w:rsidRPr="005D4222" w:rsidRDefault="00736630" w:rsidP="00A53E8C">
            <w:pPr>
              <w:pStyle w:val="ECDSBody"/>
            </w:pPr>
            <w:r w:rsidRPr="005D4222">
              <w:t>The percentage of persons 12 years of age and older with a diagnosis of major depression or dysthymia who had an outpatient encounter, with a PHQ-9 score present in their record in the same assessment period as the encounter.</w:t>
            </w:r>
          </w:p>
        </w:tc>
      </w:tr>
      <w:tr w:rsidR="00736630" w:rsidRPr="005D4222" w14:paraId="7F531C36" w14:textId="77777777" w:rsidTr="00A53E8C">
        <w:tc>
          <w:tcPr>
            <w:tcW w:w="1110" w:type="pct"/>
            <w:shd w:val="clear" w:color="auto" w:fill="BFBFBF" w:themeFill="background1" w:themeFillShade="BF"/>
            <w:tcMar>
              <w:top w:w="0" w:type="dxa"/>
              <w:left w:w="86" w:type="dxa"/>
              <w:bottom w:w="43" w:type="dxa"/>
              <w:right w:w="86" w:type="dxa"/>
            </w:tcMar>
          </w:tcPr>
          <w:p w14:paraId="544BED47" w14:textId="77777777" w:rsidR="00736630" w:rsidRPr="005D4222" w:rsidRDefault="00736630" w:rsidP="00A53E8C">
            <w:pPr>
              <w:pStyle w:val="ECDSMarginHead"/>
            </w:pPr>
            <w:r w:rsidRPr="005D4222">
              <w:t>Measurement period</w:t>
            </w:r>
          </w:p>
        </w:tc>
        <w:tc>
          <w:tcPr>
            <w:tcW w:w="3890" w:type="pct"/>
            <w:gridSpan w:val="3"/>
            <w:tcMar>
              <w:top w:w="0" w:type="dxa"/>
              <w:left w:w="86" w:type="dxa"/>
              <w:bottom w:w="43" w:type="dxa"/>
              <w:right w:w="86" w:type="dxa"/>
            </w:tcMar>
          </w:tcPr>
          <w:p w14:paraId="7FDA9355" w14:textId="77777777" w:rsidR="00736630" w:rsidRPr="005D4222" w:rsidRDefault="00736630" w:rsidP="00A53E8C">
            <w:pPr>
              <w:pStyle w:val="ECDSBody"/>
            </w:pPr>
            <w:r w:rsidRPr="005D4222">
              <w:t>January 1–December 31.</w:t>
            </w:r>
          </w:p>
        </w:tc>
      </w:tr>
      <w:tr w:rsidR="00736630" w:rsidRPr="005D4222" w14:paraId="3F164243" w14:textId="77777777" w:rsidTr="00A53E8C">
        <w:tc>
          <w:tcPr>
            <w:tcW w:w="1110" w:type="pct"/>
            <w:shd w:val="clear" w:color="auto" w:fill="BFBFBF" w:themeFill="background1" w:themeFillShade="BF"/>
            <w:tcMar>
              <w:top w:w="0" w:type="dxa"/>
              <w:left w:w="86" w:type="dxa"/>
              <w:bottom w:w="43" w:type="dxa"/>
              <w:right w:w="86" w:type="dxa"/>
            </w:tcMar>
            <w:hideMark/>
          </w:tcPr>
          <w:p w14:paraId="326E3908" w14:textId="77777777" w:rsidR="00736630" w:rsidRPr="005D4222" w:rsidRDefault="00736630" w:rsidP="00A53E8C">
            <w:pPr>
              <w:pStyle w:val="ECDSMarginHead"/>
              <w:rPr>
                <w:rFonts w:eastAsia="Arial"/>
              </w:rPr>
            </w:pPr>
            <w:r w:rsidRPr="005D4222">
              <w:rPr>
                <w:rFonts w:eastAsia="Arial"/>
              </w:rPr>
              <w:t>Copyright and disclaimer notice</w:t>
            </w:r>
          </w:p>
        </w:tc>
        <w:tc>
          <w:tcPr>
            <w:tcW w:w="3890" w:type="pct"/>
            <w:gridSpan w:val="3"/>
            <w:tcMar>
              <w:top w:w="0" w:type="dxa"/>
              <w:left w:w="86" w:type="dxa"/>
              <w:bottom w:w="43" w:type="dxa"/>
              <w:right w:w="86" w:type="dxa"/>
            </w:tcMar>
          </w:tcPr>
          <w:p w14:paraId="498EB3A9" w14:textId="77777777" w:rsidR="00736630" w:rsidRPr="005D4222" w:rsidRDefault="00736630" w:rsidP="00A53E8C">
            <w:pPr>
              <w:pStyle w:val="ECDSBody"/>
              <w:ind w:left="92" w:hanging="92"/>
              <w:rPr>
                <w:i/>
                <w:iCs/>
              </w:rPr>
            </w:pPr>
            <w:r w:rsidRPr="005D4222">
              <w:rPr>
                <w:bCs w:val="0"/>
                <w:i/>
                <w:iCs/>
              </w:rPr>
              <w:t>*</w:t>
            </w:r>
            <w:r w:rsidRPr="005D4222">
              <w:rPr>
                <w:bCs w:val="0"/>
                <w:i/>
                <w:iCs/>
              </w:rPr>
              <w:tab/>
            </w:r>
            <w:r w:rsidRPr="005D4222">
              <w:rPr>
                <w:i/>
                <w:iCs/>
              </w:rPr>
              <w:t>Adapted with financial support from the Agency for Healthcare Research and Quality and the Centers for Medicare &amp; Medicaid Services under the CHIPRA Pediatric Quality Measures Program Centers of Excellence grant number U18HS020503, and with permission from the measure developer, Minnesota Community Measurement.</w:t>
            </w:r>
          </w:p>
          <w:p w14:paraId="028F2660" w14:textId="77777777" w:rsidR="00736630" w:rsidRPr="005D4222" w:rsidRDefault="00736630" w:rsidP="00A53E8C">
            <w:pPr>
              <w:pStyle w:val="ECDSBody"/>
            </w:pPr>
            <w:r w:rsidRPr="005D4222">
              <w:t xml:space="preserve">Refer to the complete copyright and disclaimer information at the front of this publication. </w:t>
            </w:r>
          </w:p>
          <w:p w14:paraId="48BFEB65" w14:textId="77777777" w:rsidR="00736630" w:rsidRPr="005D4222" w:rsidRDefault="00736630" w:rsidP="00A53E8C">
            <w:pPr>
              <w:pStyle w:val="ECDSBody"/>
              <w:spacing w:before="80"/>
            </w:pPr>
            <w:r w:rsidRPr="005D4222">
              <w:t xml:space="preserve">NCQA website: </w:t>
            </w:r>
            <w:r w:rsidRPr="005D4222">
              <w:rPr>
                <w:u w:val="single"/>
              </w:rPr>
              <w:t>www.ncqa.org</w:t>
            </w:r>
            <w:r w:rsidRPr="005D4222">
              <w:rPr>
                <w:rStyle w:val="Hyperlink"/>
              </w:rPr>
              <w:t>.</w:t>
            </w:r>
            <w:r w:rsidRPr="005D4222">
              <w:t xml:space="preserve"> </w:t>
            </w:r>
          </w:p>
          <w:p w14:paraId="05B65637" w14:textId="77777777" w:rsidR="00736630" w:rsidRPr="005D4222" w:rsidRDefault="00736630" w:rsidP="00A53E8C">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736630" w:rsidRPr="005D4222" w14:paraId="2F5C49D6" w14:textId="77777777" w:rsidTr="00A53E8C">
        <w:trPr>
          <w:trHeight w:val="655"/>
        </w:trPr>
        <w:tc>
          <w:tcPr>
            <w:tcW w:w="1110" w:type="pct"/>
            <w:shd w:val="clear" w:color="auto" w:fill="BFBFBF" w:themeFill="background1" w:themeFillShade="BF"/>
            <w:tcMar>
              <w:top w:w="0" w:type="dxa"/>
              <w:left w:w="86" w:type="dxa"/>
              <w:bottom w:w="43" w:type="dxa"/>
              <w:right w:w="86" w:type="dxa"/>
            </w:tcMar>
            <w:hideMark/>
          </w:tcPr>
          <w:p w14:paraId="53F8ECB7" w14:textId="77777777" w:rsidR="00736630" w:rsidRPr="005D4222" w:rsidRDefault="00736630" w:rsidP="00A53E8C">
            <w:pPr>
              <w:pStyle w:val="ECDSMarginHead"/>
            </w:pPr>
            <w:r w:rsidRPr="005D4222">
              <w:t>Clinical recommendation statement/ rationale</w:t>
            </w:r>
          </w:p>
        </w:tc>
        <w:tc>
          <w:tcPr>
            <w:tcW w:w="3890" w:type="pct"/>
            <w:gridSpan w:val="3"/>
            <w:tcMar>
              <w:top w:w="0" w:type="dxa"/>
              <w:left w:w="86" w:type="dxa"/>
              <w:bottom w:w="43" w:type="dxa"/>
              <w:right w:w="86" w:type="dxa"/>
            </w:tcMar>
          </w:tcPr>
          <w:p w14:paraId="0F9E034C" w14:textId="77777777" w:rsidR="00736630" w:rsidRPr="005D4222" w:rsidRDefault="00736630" w:rsidP="00A53E8C">
            <w:pPr>
              <w:pStyle w:val="ECDSBody"/>
            </w:pPr>
            <w:r w:rsidRPr="005D4222">
              <w:t xml:space="preserve">Standardized instruments are useful in identifying meaningful change in clinical outcomes over time. Guidelines for adults recommend that providers establish and maintain regular follow-up with patients diagnosed with depression and use a standardized tool to track symptoms (Trangle, 2016). Guidelines for adolescents recommend systematic and regular tracking of treatment goals and outcomes, including assessing depressive symptoms (Cheung, 2018). </w:t>
            </w:r>
          </w:p>
          <w:p w14:paraId="3BF133C8" w14:textId="77777777" w:rsidR="00736630" w:rsidRPr="005D4222" w:rsidRDefault="00736630" w:rsidP="00A53E8C">
            <w:pPr>
              <w:pStyle w:val="ECDSBody"/>
            </w:pPr>
            <w:r w:rsidRPr="005D4222">
              <w:t>The PHQ-9 tool assesses the nine DSM, Fourth Edition, Text Revision (DSM-IVTR) criteria symptoms and effects on functioning, and has shown to be highly accurate in discriminating between patients with persistent major depression, partial remission and full remission (Kroenke, 2001).</w:t>
            </w:r>
          </w:p>
        </w:tc>
      </w:tr>
      <w:tr w:rsidR="00736630" w:rsidRPr="005D4222" w14:paraId="02DBEC82" w14:textId="77777777" w:rsidTr="00A53E8C">
        <w:tc>
          <w:tcPr>
            <w:tcW w:w="1110" w:type="pct"/>
            <w:shd w:val="clear" w:color="auto" w:fill="BFBFBF" w:themeFill="background1" w:themeFillShade="BF"/>
            <w:tcMar>
              <w:top w:w="0" w:type="dxa"/>
              <w:left w:w="86" w:type="dxa"/>
              <w:bottom w:w="43" w:type="dxa"/>
              <w:right w:w="86" w:type="dxa"/>
            </w:tcMar>
          </w:tcPr>
          <w:p w14:paraId="028969D7" w14:textId="77777777" w:rsidR="00736630" w:rsidRPr="005D4222" w:rsidRDefault="00736630" w:rsidP="00A53E8C">
            <w:pPr>
              <w:pStyle w:val="ECDSMarginHead"/>
            </w:pPr>
            <w:r w:rsidRPr="005D4222">
              <w:t>Citations</w:t>
            </w:r>
          </w:p>
        </w:tc>
        <w:tc>
          <w:tcPr>
            <w:tcW w:w="3890" w:type="pct"/>
            <w:gridSpan w:val="3"/>
            <w:tcMar>
              <w:top w:w="0" w:type="dxa"/>
              <w:left w:w="86" w:type="dxa"/>
              <w:bottom w:w="43" w:type="dxa"/>
              <w:right w:w="86" w:type="dxa"/>
            </w:tcMar>
          </w:tcPr>
          <w:p w14:paraId="6CAE2170" w14:textId="77777777" w:rsidR="00736630" w:rsidRPr="005D4222" w:rsidRDefault="00736630" w:rsidP="00A53E8C">
            <w:pPr>
              <w:pStyle w:val="ECDSBody"/>
            </w:pPr>
            <w:r w:rsidRPr="005D4222">
              <w:t xml:space="preserve">Cheung, A.H., R.A. Zuckerbrot, P.S. Jensen, D. Laraque, R.E.K. Stein, GLADPC Steering Group. 2018. “Guidelines for Adolescent Depression in Primary Care (GLAD-PC): II. Treatment and Ongoing management.” </w:t>
            </w:r>
            <w:r w:rsidRPr="005D4222">
              <w:rPr>
                <w:i/>
                <w:iCs/>
              </w:rPr>
              <w:t xml:space="preserve">Pediatrics </w:t>
            </w:r>
            <w:r w:rsidRPr="005D4222">
              <w:t xml:space="preserve">141(3):e20174082. </w:t>
            </w:r>
          </w:p>
          <w:p w14:paraId="6F45B8B4" w14:textId="77777777" w:rsidR="00736630" w:rsidRPr="005D4222" w:rsidRDefault="00736630" w:rsidP="00A53E8C">
            <w:pPr>
              <w:pStyle w:val="ECDSBody"/>
            </w:pPr>
            <w:r w:rsidRPr="005D4222">
              <w:t xml:space="preserve">Kroenke, K, R.L. Spitzer, J.B.W. Williams. 2001. “The PHQ-9: Validity of a Brief Depression Severity Measure.” </w:t>
            </w:r>
            <w:r w:rsidRPr="005D4222">
              <w:rPr>
                <w:i/>
                <w:iCs/>
              </w:rPr>
              <w:t>Journal of General Internal Medicine</w:t>
            </w:r>
            <w:r w:rsidRPr="005D4222">
              <w:t xml:space="preserve"> 16(9): 606–13. </w:t>
            </w:r>
          </w:p>
          <w:p w14:paraId="60CBBB43" w14:textId="77777777" w:rsidR="00736630" w:rsidRPr="005D4222" w:rsidRDefault="00736630" w:rsidP="00A53E8C">
            <w:pPr>
              <w:pStyle w:val="ECDSBody"/>
            </w:pPr>
            <w:r w:rsidRPr="005D4222">
              <w:t xml:space="preserve">Trangle, M., Gursky, J., Haight, R., Hardwig, J., Hinnenkamp, T., Kessler, D., Mack, N., Myszkowski, M. Institute for Clinical Systems Improvement. </w:t>
            </w:r>
            <w:r w:rsidRPr="005D4222">
              <w:rPr>
                <w:i/>
                <w:iCs/>
              </w:rPr>
              <w:t xml:space="preserve">Adult Depression in Primary Care. </w:t>
            </w:r>
            <w:r w:rsidRPr="005D4222">
              <w:t>Updated March 2016.</w:t>
            </w:r>
          </w:p>
        </w:tc>
      </w:tr>
    </w:tbl>
    <w:p w14:paraId="7B4E027C" w14:textId="77777777" w:rsidR="008A5061" w:rsidRPr="005D4222" w:rsidRDefault="008A5061">
      <w:r w:rsidRPr="005D4222">
        <w:br w:type="page"/>
      </w:r>
    </w:p>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9"/>
      </w:tblGrid>
      <w:tr w:rsidR="00736630" w:rsidRPr="005D4222" w14:paraId="6DA02109" w14:textId="77777777" w:rsidTr="008A5061">
        <w:tc>
          <w:tcPr>
            <w:tcW w:w="5000" w:type="pct"/>
            <w:gridSpan w:val="2"/>
            <w:tcBorders>
              <w:bottom w:val="single" w:sz="4" w:space="0" w:color="auto"/>
            </w:tcBorders>
            <w:shd w:val="clear" w:color="auto" w:fill="BFBFBF" w:themeFill="background1" w:themeFillShade="BF"/>
            <w:tcMar>
              <w:top w:w="0" w:type="dxa"/>
              <w:left w:w="86" w:type="dxa"/>
              <w:bottom w:w="43" w:type="dxa"/>
              <w:right w:w="86" w:type="dxa"/>
            </w:tcMar>
          </w:tcPr>
          <w:p w14:paraId="4A0CF1AC" w14:textId="77777777" w:rsidR="00736630" w:rsidRPr="005D4222" w:rsidRDefault="00736630" w:rsidP="00A53E8C">
            <w:pPr>
              <w:pStyle w:val="ECDSMarginHead"/>
            </w:pPr>
            <w:r w:rsidRPr="005D4222">
              <w:lastRenderedPageBreak/>
              <w:t>Characteristics</w:t>
            </w:r>
          </w:p>
        </w:tc>
      </w:tr>
      <w:tr w:rsidR="00736630" w:rsidRPr="005D4222" w14:paraId="7EB07145" w14:textId="77777777" w:rsidTr="008A5061">
        <w:tc>
          <w:tcPr>
            <w:tcW w:w="1110" w:type="pct"/>
            <w:tcBorders>
              <w:top w:val="single" w:sz="4" w:space="0" w:color="auto"/>
              <w:left w:val="single" w:sz="4" w:space="0" w:color="auto"/>
              <w:bottom w:val="nil"/>
              <w:right w:val="single" w:sz="4" w:space="0" w:color="auto"/>
            </w:tcBorders>
            <w:tcMar>
              <w:top w:w="0" w:type="dxa"/>
              <w:left w:w="86" w:type="dxa"/>
              <w:bottom w:w="43" w:type="dxa"/>
              <w:right w:w="86" w:type="dxa"/>
            </w:tcMar>
          </w:tcPr>
          <w:p w14:paraId="3320470A" w14:textId="77777777" w:rsidR="00736630" w:rsidRPr="005D4222" w:rsidRDefault="00736630" w:rsidP="008A5061">
            <w:pPr>
              <w:pStyle w:val="ECDSSubhead"/>
            </w:pPr>
            <w:r w:rsidRPr="005D4222">
              <w:t>Scoring</w:t>
            </w:r>
          </w:p>
        </w:tc>
        <w:tc>
          <w:tcPr>
            <w:tcW w:w="3890" w:type="pct"/>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78520C58" w14:textId="77777777" w:rsidR="00736630" w:rsidRPr="005D4222" w:rsidRDefault="00736630" w:rsidP="008A5061">
            <w:pPr>
              <w:pStyle w:val="ECDSBody"/>
              <w:spacing w:after="0"/>
            </w:pPr>
            <w:r w:rsidRPr="005D4222">
              <w:t>Proportion.</w:t>
            </w:r>
          </w:p>
        </w:tc>
      </w:tr>
      <w:tr w:rsidR="00736630" w:rsidRPr="005D4222" w14:paraId="3564BF8A" w14:textId="77777777" w:rsidTr="008A5061">
        <w:tc>
          <w:tcPr>
            <w:tcW w:w="1110" w:type="pct"/>
            <w:tcBorders>
              <w:top w:val="nil"/>
              <w:left w:val="single" w:sz="4" w:space="0" w:color="auto"/>
              <w:bottom w:val="nil"/>
              <w:right w:val="single" w:sz="4" w:space="0" w:color="auto"/>
            </w:tcBorders>
            <w:tcMar>
              <w:top w:w="0" w:type="dxa"/>
              <w:left w:w="86" w:type="dxa"/>
              <w:bottom w:w="43" w:type="dxa"/>
              <w:right w:w="86" w:type="dxa"/>
            </w:tcMar>
          </w:tcPr>
          <w:p w14:paraId="51F65415" w14:textId="77777777" w:rsidR="00736630" w:rsidRPr="005D4222" w:rsidRDefault="00736630" w:rsidP="008A5061">
            <w:pPr>
              <w:pStyle w:val="ECDSSubhead"/>
            </w:pPr>
            <w:r w:rsidRPr="005D4222">
              <w:t>Type</w:t>
            </w:r>
          </w:p>
        </w:tc>
        <w:tc>
          <w:tcPr>
            <w:tcW w:w="3890" w:type="pct"/>
            <w:tcBorders>
              <w:top w:val="nil"/>
              <w:left w:val="single" w:sz="4" w:space="0" w:color="auto"/>
              <w:bottom w:val="nil"/>
              <w:right w:val="single" w:sz="4" w:space="0" w:color="auto"/>
            </w:tcBorders>
            <w:tcMar>
              <w:top w:w="0" w:type="dxa"/>
              <w:left w:w="86" w:type="dxa"/>
              <w:bottom w:w="43" w:type="dxa"/>
              <w:right w:w="86" w:type="dxa"/>
            </w:tcMar>
          </w:tcPr>
          <w:p w14:paraId="720498BF" w14:textId="77777777" w:rsidR="00736630" w:rsidRPr="005D4222" w:rsidRDefault="00736630" w:rsidP="008A5061">
            <w:pPr>
              <w:pStyle w:val="ECDSBody"/>
              <w:spacing w:after="0"/>
            </w:pPr>
            <w:r w:rsidRPr="005D4222">
              <w:t>Process.</w:t>
            </w:r>
          </w:p>
        </w:tc>
      </w:tr>
      <w:tr w:rsidR="00736630" w:rsidRPr="005D4222" w14:paraId="69A9FAA1" w14:textId="77777777" w:rsidTr="008A5061">
        <w:tc>
          <w:tcPr>
            <w:tcW w:w="1110" w:type="pct"/>
            <w:tcBorders>
              <w:top w:val="nil"/>
              <w:left w:val="single" w:sz="4" w:space="0" w:color="auto"/>
              <w:bottom w:val="nil"/>
              <w:right w:val="single" w:sz="4" w:space="0" w:color="auto"/>
            </w:tcBorders>
            <w:tcMar>
              <w:top w:w="0" w:type="dxa"/>
              <w:left w:w="86" w:type="dxa"/>
              <w:bottom w:w="43" w:type="dxa"/>
              <w:right w:w="86" w:type="dxa"/>
            </w:tcMar>
          </w:tcPr>
          <w:p w14:paraId="3B904646" w14:textId="0F81CF42" w:rsidR="00736630" w:rsidRPr="005D4222" w:rsidRDefault="00B51CDC" w:rsidP="008A5061">
            <w:pPr>
              <w:pStyle w:val="ECDSSubhead"/>
            </w:pPr>
            <w:r w:rsidRPr="005D4222">
              <w:t>Product lines</w:t>
            </w:r>
          </w:p>
        </w:tc>
        <w:tc>
          <w:tcPr>
            <w:tcW w:w="3890" w:type="pct"/>
            <w:tcBorders>
              <w:top w:val="nil"/>
              <w:left w:val="single" w:sz="4" w:space="0" w:color="auto"/>
              <w:bottom w:val="nil"/>
              <w:right w:val="single" w:sz="4" w:space="0" w:color="auto"/>
            </w:tcBorders>
            <w:tcMar>
              <w:top w:w="0" w:type="dxa"/>
              <w:left w:w="86" w:type="dxa"/>
              <w:bottom w:w="43" w:type="dxa"/>
              <w:right w:w="86" w:type="dxa"/>
            </w:tcMar>
          </w:tcPr>
          <w:p w14:paraId="28E4AC65" w14:textId="77777777" w:rsidR="00736630" w:rsidRPr="005D4222" w:rsidRDefault="00736630" w:rsidP="005D6173">
            <w:pPr>
              <w:pStyle w:val="ProcessBullet"/>
              <w:numPr>
                <w:ilvl w:val="0"/>
                <w:numId w:val="98"/>
              </w:numPr>
              <w:tabs>
                <w:tab w:val="left" w:pos="216"/>
              </w:tabs>
              <w:spacing w:before="120"/>
              <w:ind w:left="216" w:hanging="216"/>
            </w:pPr>
            <w:r w:rsidRPr="005D4222">
              <w:rPr>
                <w:rFonts w:eastAsia="Arial,Arial,Arial,Arial,Arial,A"/>
              </w:rPr>
              <w:t>Commercial.</w:t>
            </w:r>
          </w:p>
          <w:p w14:paraId="67B664AC" w14:textId="77777777" w:rsidR="00736630" w:rsidRPr="005D4222" w:rsidRDefault="00736630" w:rsidP="005D6173">
            <w:pPr>
              <w:pStyle w:val="ProcessBullet"/>
              <w:numPr>
                <w:ilvl w:val="0"/>
                <w:numId w:val="98"/>
              </w:numPr>
              <w:tabs>
                <w:tab w:val="left" w:pos="216"/>
              </w:tabs>
              <w:ind w:left="216" w:hanging="216"/>
            </w:pPr>
            <w:r w:rsidRPr="005D4222">
              <w:rPr>
                <w:rFonts w:eastAsia="Arial,Arial,Arial,Arial,Arial,A"/>
              </w:rPr>
              <w:t>Medicaid.</w:t>
            </w:r>
          </w:p>
          <w:p w14:paraId="5B410D59" w14:textId="77777777" w:rsidR="00736630" w:rsidRPr="005D4222" w:rsidRDefault="00736630" w:rsidP="005D6173">
            <w:pPr>
              <w:pStyle w:val="ProcessBullet"/>
              <w:numPr>
                <w:ilvl w:val="0"/>
                <w:numId w:val="98"/>
              </w:numPr>
              <w:tabs>
                <w:tab w:val="left" w:pos="216"/>
              </w:tabs>
              <w:ind w:left="216" w:hanging="216"/>
            </w:pPr>
            <w:r w:rsidRPr="005D4222">
              <w:rPr>
                <w:rFonts w:eastAsia="Arial,Arial,Arial,Arial,Arial,A"/>
              </w:rPr>
              <w:t>Medicare.</w:t>
            </w:r>
          </w:p>
        </w:tc>
      </w:tr>
      <w:tr w:rsidR="00736630" w:rsidRPr="005D4222" w14:paraId="6A65954C" w14:textId="77777777" w:rsidTr="008A5061">
        <w:tc>
          <w:tcPr>
            <w:tcW w:w="1110" w:type="pct"/>
            <w:tcBorders>
              <w:top w:val="nil"/>
              <w:left w:val="single" w:sz="4" w:space="0" w:color="auto"/>
              <w:bottom w:val="nil"/>
              <w:right w:val="single" w:sz="4" w:space="0" w:color="auto"/>
            </w:tcBorders>
            <w:tcMar>
              <w:top w:w="0" w:type="dxa"/>
              <w:left w:w="86" w:type="dxa"/>
              <w:bottom w:w="43" w:type="dxa"/>
              <w:right w:w="86" w:type="dxa"/>
            </w:tcMar>
          </w:tcPr>
          <w:p w14:paraId="3900D086" w14:textId="49340C12" w:rsidR="00736630" w:rsidRPr="005D4222" w:rsidRDefault="00B51CDC" w:rsidP="008A5061">
            <w:pPr>
              <w:pStyle w:val="ECDSSubhead"/>
            </w:pPr>
            <w:r w:rsidRPr="005D4222">
              <w:t>Stratifications</w:t>
            </w:r>
            <w:r w:rsidR="00736630" w:rsidRPr="005D4222">
              <w:t xml:space="preserve"> </w:t>
            </w:r>
          </w:p>
        </w:tc>
        <w:tc>
          <w:tcPr>
            <w:tcW w:w="3890" w:type="pct"/>
            <w:tcBorders>
              <w:top w:val="nil"/>
              <w:left w:val="single" w:sz="4" w:space="0" w:color="auto"/>
              <w:bottom w:val="nil"/>
              <w:right w:val="single" w:sz="4" w:space="0" w:color="auto"/>
            </w:tcBorders>
            <w:tcMar>
              <w:top w:w="0" w:type="dxa"/>
              <w:left w:w="86" w:type="dxa"/>
              <w:bottom w:w="43" w:type="dxa"/>
              <w:right w:w="86" w:type="dxa"/>
            </w:tcMar>
            <w:hideMark/>
          </w:tcPr>
          <w:p w14:paraId="6F4C7CF1" w14:textId="77777777" w:rsidR="00736630" w:rsidRPr="005D4222" w:rsidRDefault="00736630" w:rsidP="008A5061">
            <w:pPr>
              <w:pStyle w:val="ECDSBody"/>
              <w:spacing w:after="0"/>
              <w:rPr>
                <w:rFonts w:eastAsia="Arial,Arial,Arial,Arial,Arial,A"/>
              </w:rPr>
            </w:pPr>
            <w:r w:rsidRPr="005D4222">
              <w:rPr>
                <w:rFonts w:eastAsia="Arial,Arial,Arial,Arial,Arial,A"/>
              </w:rPr>
              <w:t xml:space="preserve">Age </w:t>
            </w:r>
            <w:r w:rsidRPr="005D4222">
              <w:t>as of the start of the measurement period</w:t>
            </w:r>
            <w:r w:rsidRPr="005D4222">
              <w:rPr>
                <w:rFonts w:eastAsia="Arial,Arial,Arial,Arial,Arial,A"/>
              </w:rPr>
              <w:t>.</w:t>
            </w:r>
          </w:p>
          <w:p w14:paraId="646228B4" w14:textId="77777777" w:rsidR="00736630" w:rsidRPr="005D4222" w:rsidRDefault="00736630" w:rsidP="008A5061">
            <w:pPr>
              <w:pStyle w:val="Bullet"/>
              <w:numPr>
                <w:ilvl w:val="0"/>
                <w:numId w:val="4"/>
              </w:numPr>
              <w:ind w:left="576" w:hanging="216"/>
              <w:rPr>
                <w:rFonts w:eastAsia="Arial,Arial,Arial,Arial,Arial,A"/>
              </w:rPr>
            </w:pPr>
            <w:r w:rsidRPr="005D4222">
              <w:rPr>
                <w:rFonts w:eastAsia="Arial,Arial,Arial,Arial,Arial,A"/>
              </w:rPr>
              <w:t>12–17 years (commercial and Medicaid only).</w:t>
            </w:r>
          </w:p>
          <w:p w14:paraId="24C064AC" w14:textId="77777777" w:rsidR="00736630" w:rsidRPr="005D4222" w:rsidRDefault="00736630" w:rsidP="008A5061">
            <w:pPr>
              <w:pStyle w:val="Bullet"/>
              <w:numPr>
                <w:ilvl w:val="0"/>
                <w:numId w:val="4"/>
              </w:numPr>
              <w:ind w:left="576" w:hanging="216"/>
              <w:rPr>
                <w:rFonts w:eastAsia="Arial,Arial,Arial,Arial,Arial,A"/>
              </w:rPr>
            </w:pPr>
            <w:r w:rsidRPr="005D4222">
              <w:rPr>
                <w:rFonts w:eastAsia="Arial,Arial,Arial,Arial,Arial,A"/>
              </w:rPr>
              <w:t>18–44 years.</w:t>
            </w:r>
          </w:p>
          <w:p w14:paraId="03E2E7D0" w14:textId="77777777" w:rsidR="00736630" w:rsidRPr="005D4222" w:rsidRDefault="00736630" w:rsidP="008A5061">
            <w:pPr>
              <w:pStyle w:val="Bullet"/>
              <w:numPr>
                <w:ilvl w:val="0"/>
                <w:numId w:val="4"/>
              </w:numPr>
              <w:ind w:left="576" w:hanging="216"/>
              <w:rPr>
                <w:rFonts w:eastAsia="Arial,Arial,Arial,Arial,Arial,A"/>
              </w:rPr>
            </w:pPr>
            <w:r w:rsidRPr="005D4222">
              <w:rPr>
                <w:rFonts w:eastAsia="Arial,Arial,Arial,Arial,Arial,A"/>
              </w:rPr>
              <w:t>45–64 years.</w:t>
            </w:r>
          </w:p>
          <w:p w14:paraId="32E3DB6C" w14:textId="77777777" w:rsidR="00736630" w:rsidRPr="005D4222" w:rsidRDefault="00736630" w:rsidP="008A5061">
            <w:pPr>
              <w:pStyle w:val="Bullet"/>
              <w:numPr>
                <w:ilvl w:val="0"/>
                <w:numId w:val="4"/>
              </w:numPr>
              <w:ind w:left="576" w:hanging="216"/>
              <w:rPr>
                <w:rFonts w:eastAsia="Arial,Arial,Arial,Arial,Arial,A"/>
              </w:rPr>
            </w:pPr>
            <w:r w:rsidRPr="005D4222">
              <w:rPr>
                <w:rFonts w:eastAsia="Arial,Arial,Arial,Arial,Arial,A"/>
              </w:rPr>
              <w:t>65 years and older.</w:t>
            </w:r>
          </w:p>
        </w:tc>
      </w:tr>
      <w:tr w:rsidR="00736630" w:rsidRPr="005D4222" w14:paraId="0A997479" w14:textId="77777777" w:rsidTr="008A5061">
        <w:tc>
          <w:tcPr>
            <w:tcW w:w="1110" w:type="pct"/>
            <w:tcBorders>
              <w:top w:val="nil"/>
              <w:left w:val="single" w:sz="4" w:space="0" w:color="auto"/>
              <w:bottom w:val="nil"/>
              <w:right w:val="single" w:sz="4" w:space="0" w:color="auto"/>
            </w:tcBorders>
            <w:tcMar>
              <w:top w:w="0" w:type="dxa"/>
              <w:left w:w="86" w:type="dxa"/>
              <w:bottom w:w="43" w:type="dxa"/>
              <w:right w:w="86" w:type="dxa"/>
            </w:tcMar>
          </w:tcPr>
          <w:p w14:paraId="561D875C" w14:textId="77777777" w:rsidR="00736630" w:rsidRPr="005D4222" w:rsidRDefault="00736630" w:rsidP="008A5061">
            <w:pPr>
              <w:pStyle w:val="ECDSSubhead"/>
            </w:pPr>
            <w:r w:rsidRPr="005D4222">
              <w:t>Risk adjustment</w:t>
            </w:r>
          </w:p>
        </w:tc>
        <w:tc>
          <w:tcPr>
            <w:tcW w:w="3890" w:type="pct"/>
            <w:tcBorders>
              <w:top w:val="nil"/>
              <w:left w:val="single" w:sz="4" w:space="0" w:color="auto"/>
              <w:bottom w:val="nil"/>
              <w:right w:val="single" w:sz="4" w:space="0" w:color="auto"/>
            </w:tcBorders>
            <w:tcMar>
              <w:top w:w="0" w:type="dxa"/>
              <w:left w:w="86" w:type="dxa"/>
              <w:bottom w:w="43" w:type="dxa"/>
              <w:right w:w="86" w:type="dxa"/>
            </w:tcMar>
            <w:hideMark/>
          </w:tcPr>
          <w:p w14:paraId="45DEACD6" w14:textId="77777777" w:rsidR="00736630" w:rsidRPr="005D4222" w:rsidRDefault="00736630" w:rsidP="008A5061">
            <w:pPr>
              <w:pStyle w:val="ECDSBody"/>
              <w:spacing w:after="0"/>
            </w:pPr>
            <w:r w:rsidRPr="005D4222">
              <w:t>None.</w:t>
            </w:r>
          </w:p>
        </w:tc>
      </w:tr>
      <w:tr w:rsidR="00736630" w:rsidRPr="005D4222" w14:paraId="772D8C62" w14:textId="77777777" w:rsidTr="008A5061">
        <w:tc>
          <w:tcPr>
            <w:tcW w:w="1110" w:type="pct"/>
            <w:tcBorders>
              <w:top w:val="nil"/>
              <w:left w:val="single" w:sz="4" w:space="0" w:color="auto"/>
              <w:bottom w:val="nil"/>
              <w:right w:val="single" w:sz="4" w:space="0" w:color="auto"/>
            </w:tcBorders>
            <w:tcMar>
              <w:top w:w="0" w:type="dxa"/>
              <w:left w:w="86" w:type="dxa"/>
              <w:bottom w:w="43" w:type="dxa"/>
              <w:right w:w="86" w:type="dxa"/>
            </w:tcMar>
          </w:tcPr>
          <w:p w14:paraId="3C15FA8F" w14:textId="77777777" w:rsidR="00736630" w:rsidRPr="005D4222" w:rsidRDefault="00736630" w:rsidP="008A5061">
            <w:pPr>
              <w:pStyle w:val="ECDSSubhead"/>
            </w:pPr>
            <w:r w:rsidRPr="005D4222">
              <w:t>Improvement notation</w:t>
            </w:r>
          </w:p>
        </w:tc>
        <w:tc>
          <w:tcPr>
            <w:tcW w:w="3890" w:type="pct"/>
            <w:tcBorders>
              <w:top w:val="nil"/>
              <w:left w:val="single" w:sz="4" w:space="0" w:color="auto"/>
              <w:bottom w:val="nil"/>
              <w:right w:val="single" w:sz="4" w:space="0" w:color="auto"/>
            </w:tcBorders>
            <w:tcMar>
              <w:top w:w="0" w:type="dxa"/>
              <w:left w:w="86" w:type="dxa"/>
              <w:bottom w:w="43" w:type="dxa"/>
              <w:right w:w="86" w:type="dxa"/>
            </w:tcMar>
            <w:hideMark/>
          </w:tcPr>
          <w:p w14:paraId="323A070F" w14:textId="77777777" w:rsidR="00736630" w:rsidRPr="005D4222" w:rsidRDefault="00736630" w:rsidP="008A5061">
            <w:pPr>
              <w:pStyle w:val="ECDSBody"/>
              <w:spacing w:after="0"/>
              <w:rPr>
                <w:iCs/>
              </w:rPr>
            </w:pPr>
            <w:r w:rsidRPr="005D4222">
              <w:rPr>
                <w:iCs/>
              </w:rPr>
              <w:t>Increased score indicates improvement.</w:t>
            </w:r>
          </w:p>
        </w:tc>
      </w:tr>
      <w:tr w:rsidR="00736630" w:rsidRPr="005D4222" w14:paraId="4413C81E" w14:textId="77777777" w:rsidTr="008A5061">
        <w:trPr>
          <w:trHeight w:val="633"/>
        </w:trPr>
        <w:tc>
          <w:tcPr>
            <w:tcW w:w="1110" w:type="pct"/>
            <w:tcBorders>
              <w:top w:val="nil"/>
              <w:left w:val="single" w:sz="4" w:space="0" w:color="auto"/>
              <w:bottom w:val="single" w:sz="4" w:space="0" w:color="auto"/>
              <w:right w:val="single" w:sz="4" w:space="0" w:color="auto"/>
            </w:tcBorders>
            <w:tcMar>
              <w:top w:w="0" w:type="dxa"/>
              <w:left w:w="86" w:type="dxa"/>
              <w:bottom w:w="43" w:type="dxa"/>
              <w:right w:w="86" w:type="dxa"/>
            </w:tcMar>
          </w:tcPr>
          <w:p w14:paraId="296F85D0" w14:textId="77777777" w:rsidR="00736630" w:rsidRPr="005D4222" w:rsidRDefault="00736630" w:rsidP="008A5061">
            <w:pPr>
              <w:pStyle w:val="ECDSSubhead"/>
            </w:pPr>
            <w:r w:rsidRPr="005D4222">
              <w:t>Guidance</w:t>
            </w:r>
          </w:p>
        </w:tc>
        <w:tc>
          <w:tcPr>
            <w:tcW w:w="3890" w:type="pct"/>
            <w:tcBorders>
              <w:top w:val="nil"/>
              <w:left w:val="single" w:sz="4" w:space="0" w:color="auto"/>
              <w:bottom w:val="single" w:sz="4" w:space="0" w:color="auto"/>
              <w:right w:val="single" w:sz="4" w:space="0" w:color="auto"/>
            </w:tcBorders>
            <w:tcMar>
              <w:top w:w="0" w:type="dxa"/>
              <w:left w:w="86" w:type="dxa"/>
              <w:bottom w:w="43" w:type="dxa"/>
              <w:right w:w="86" w:type="dxa"/>
            </w:tcMar>
          </w:tcPr>
          <w:p w14:paraId="366D39EE" w14:textId="3A25BE17" w:rsidR="00736630" w:rsidRPr="005D4222" w:rsidRDefault="00736630" w:rsidP="00A53E8C">
            <w:pPr>
              <w:pStyle w:val="ECDSBody"/>
            </w:pPr>
            <w:r w:rsidRPr="005D4222">
              <w:rPr>
                <w:b/>
              </w:rPr>
              <w:t>Data collection methodology:</w:t>
            </w:r>
            <w:r w:rsidRPr="005D4222">
              <w:t xml:space="preserve"> ECDS. Refer to </w:t>
            </w:r>
            <w:hyperlink w:anchor="General_Guideline_Data_Collection_Method" w:history="1">
              <w:r w:rsidRPr="005D4222">
                <w:rPr>
                  <w:rStyle w:val="Hyperlink"/>
                  <w:i/>
                  <w:iCs/>
                </w:rPr>
                <w:t>General Guideline: Data Collection Methods</w:t>
              </w:r>
            </w:hyperlink>
            <w:r w:rsidRPr="005D4222">
              <w:t xml:space="preserve"> for additional information.</w:t>
            </w:r>
          </w:p>
          <w:p w14:paraId="1754303D" w14:textId="77777777" w:rsidR="00736630" w:rsidRPr="005D4222" w:rsidRDefault="00736630" w:rsidP="00A53E8C">
            <w:pPr>
              <w:pStyle w:val="ECDSBody"/>
            </w:pPr>
            <w:r w:rsidRPr="005D4222">
              <w:rPr>
                <w:b/>
              </w:rPr>
              <w:t xml:space="preserve">Date specificity: </w:t>
            </w:r>
            <w:r w:rsidRPr="005D4222">
              <w:t>Dates must be specific enough to determine the event occurred in the period being measured.</w:t>
            </w:r>
          </w:p>
          <w:p w14:paraId="13CB404C" w14:textId="77777777" w:rsidR="00736630" w:rsidRPr="005D4222" w:rsidRDefault="00736630" w:rsidP="00A53E8C">
            <w:pPr>
              <w:pStyle w:val="ECDSBody"/>
            </w:pPr>
            <w:r w:rsidRPr="005D4222">
              <w:rPr>
                <w:b/>
              </w:rPr>
              <w:t xml:space="preserve">Which services count? </w:t>
            </w:r>
            <w:r w:rsidRPr="005D4222">
              <w:t>When using claims, include all paid, suspended, pending and denied claims.</w:t>
            </w:r>
          </w:p>
          <w:p w14:paraId="776E568F" w14:textId="77777777" w:rsidR="00736630" w:rsidRPr="005D4222" w:rsidRDefault="00736630" w:rsidP="00A53E8C">
            <w:pPr>
              <w:pStyle w:val="ECDSBody"/>
              <w:rPr>
                <w:b/>
              </w:rPr>
            </w:pPr>
            <w:r w:rsidRPr="005D4222">
              <w:rPr>
                <w:b/>
              </w:rPr>
              <w:t>Other guidance:</w:t>
            </w:r>
          </w:p>
          <w:p w14:paraId="5EFB9991" w14:textId="77777777" w:rsidR="00736630" w:rsidRPr="005D4222" w:rsidRDefault="00736630" w:rsidP="005D6173">
            <w:pPr>
              <w:pStyle w:val="ProcessBullet"/>
              <w:numPr>
                <w:ilvl w:val="0"/>
                <w:numId w:val="98"/>
              </w:numPr>
              <w:tabs>
                <w:tab w:val="left" w:pos="216"/>
              </w:tabs>
              <w:ind w:left="216" w:hanging="216"/>
            </w:pPr>
            <w:r w:rsidRPr="005D4222">
              <w:t xml:space="preserve">The performance rate is calculated by dividing the sum of the numerators across the three assessment periods by the sum of the denominators across the three assessment periods. </w:t>
            </w:r>
          </w:p>
          <w:p w14:paraId="753F45FC" w14:textId="77777777" w:rsidR="00736630" w:rsidRPr="005D4222" w:rsidRDefault="00736630" w:rsidP="005D6173">
            <w:pPr>
              <w:pStyle w:val="ProcessBullet"/>
              <w:numPr>
                <w:ilvl w:val="0"/>
                <w:numId w:val="98"/>
              </w:numPr>
              <w:tabs>
                <w:tab w:val="left" w:pos="216"/>
              </w:tabs>
              <w:ind w:left="216" w:hanging="216"/>
            </w:pPr>
            <w:r w:rsidRPr="005D4222">
              <w:t>Persons may have an eligible encounter in any or all three assessment periods, and may be included in the measure up to three times during the measurement period.</w:t>
            </w:r>
          </w:p>
          <w:p w14:paraId="176CCD7C" w14:textId="77777777" w:rsidR="00736630" w:rsidRPr="005D4222" w:rsidRDefault="00736630" w:rsidP="005D6173">
            <w:pPr>
              <w:pStyle w:val="ProcessBullet"/>
              <w:numPr>
                <w:ilvl w:val="0"/>
                <w:numId w:val="98"/>
              </w:numPr>
              <w:tabs>
                <w:tab w:val="left" w:pos="216"/>
              </w:tabs>
              <w:spacing w:after="80"/>
              <w:ind w:left="216" w:hanging="216"/>
            </w:pPr>
            <w:r w:rsidRPr="005D4222">
              <w:t>PHQ-9 assessment may occur during a face-to-face encounter, telephonically or through a web-based portal.</w:t>
            </w:r>
          </w:p>
        </w:tc>
      </w:tr>
      <w:tr w:rsidR="00736630" w:rsidRPr="005D4222" w14:paraId="4865D377" w14:textId="77777777" w:rsidTr="008A5061">
        <w:tc>
          <w:tcPr>
            <w:tcW w:w="5000" w:type="pct"/>
            <w:gridSpan w:val="2"/>
            <w:tcBorders>
              <w:top w:val="single" w:sz="4" w:space="0" w:color="auto"/>
              <w:bottom w:val="single" w:sz="4" w:space="0" w:color="auto"/>
            </w:tcBorders>
            <w:shd w:val="clear" w:color="auto" w:fill="BFBFBF" w:themeFill="background1" w:themeFillShade="BF"/>
            <w:tcMar>
              <w:top w:w="0" w:type="dxa"/>
              <w:left w:w="86" w:type="dxa"/>
              <w:bottom w:w="43" w:type="dxa"/>
              <w:right w:w="86" w:type="dxa"/>
            </w:tcMar>
          </w:tcPr>
          <w:p w14:paraId="45F0F7F9" w14:textId="77777777" w:rsidR="00736630" w:rsidRPr="005D4222" w:rsidRDefault="00736630" w:rsidP="00A53E8C">
            <w:pPr>
              <w:pStyle w:val="ECDSMarginHead"/>
            </w:pPr>
            <w:r w:rsidRPr="005D4222">
              <w:t xml:space="preserve">Definitions </w:t>
            </w:r>
          </w:p>
        </w:tc>
      </w:tr>
      <w:tr w:rsidR="00736630" w:rsidRPr="005D4222" w14:paraId="27D25BB1" w14:textId="77777777" w:rsidTr="008A5061">
        <w:tc>
          <w:tcPr>
            <w:tcW w:w="1110" w:type="pct"/>
            <w:tcBorders>
              <w:top w:val="single" w:sz="4" w:space="0" w:color="auto"/>
              <w:bottom w:val="single" w:sz="4" w:space="0" w:color="auto"/>
            </w:tcBorders>
            <w:tcMar>
              <w:top w:w="0" w:type="dxa"/>
              <w:left w:w="86" w:type="dxa"/>
              <w:bottom w:w="43" w:type="dxa"/>
              <w:right w:w="86" w:type="dxa"/>
            </w:tcMar>
          </w:tcPr>
          <w:p w14:paraId="056E4511" w14:textId="77777777" w:rsidR="00736630" w:rsidRPr="005D4222" w:rsidRDefault="00736630" w:rsidP="008A5061">
            <w:pPr>
              <w:pStyle w:val="ECDSSubhead"/>
            </w:pPr>
            <w:r w:rsidRPr="005D4222">
              <w:t>Assessment period</w:t>
            </w:r>
          </w:p>
        </w:tc>
        <w:tc>
          <w:tcPr>
            <w:tcW w:w="3890" w:type="pct"/>
            <w:tcBorders>
              <w:top w:val="single" w:sz="4" w:space="0" w:color="auto"/>
              <w:bottom w:val="single" w:sz="4" w:space="0" w:color="auto"/>
            </w:tcBorders>
            <w:tcMar>
              <w:left w:w="86" w:type="dxa"/>
              <w:bottom w:w="43" w:type="dxa"/>
              <w:right w:w="86" w:type="dxa"/>
            </w:tcMar>
          </w:tcPr>
          <w:p w14:paraId="725C3F91" w14:textId="77777777" w:rsidR="00736630" w:rsidRPr="005D4222" w:rsidRDefault="00736630" w:rsidP="00A53E8C">
            <w:pPr>
              <w:pStyle w:val="ECDSBody"/>
            </w:pPr>
            <w:r w:rsidRPr="005D4222">
              <w:t>The measurement period is divided into three assessment periods with specific dates of service:</w:t>
            </w:r>
          </w:p>
          <w:p w14:paraId="57FF85D3" w14:textId="77777777" w:rsidR="00736630" w:rsidRPr="005D4222" w:rsidRDefault="00736630" w:rsidP="00736630">
            <w:pPr>
              <w:pStyle w:val="Bullet"/>
              <w:numPr>
                <w:ilvl w:val="0"/>
                <w:numId w:val="4"/>
              </w:numPr>
              <w:ind w:left="576" w:hanging="216"/>
              <w:rPr>
                <w:iCs/>
                <w:kern w:val="20"/>
                <w:szCs w:val="21"/>
              </w:rPr>
            </w:pPr>
            <w:r w:rsidRPr="005D4222">
              <w:rPr>
                <w:i/>
                <w:kern w:val="20"/>
                <w:szCs w:val="21"/>
              </w:rPr>
              <w:t>Assessment period 1:</w:t>
            </w:r>
            <w:r w:rsidRPr="005D4222">
              <w:rPr>
                <w:iCs/>
                <w:kern w:val="20"/>
                <w:szCs w:val="21"/>
              </w:rPr>
              <w:t xml:space="preserve"> January 1–April 30.</w:t>
            </w:r>
          </w:p>
          <w:p w14:paraId="00BDDC14" w14:textId="77777777" w:rsidR="00736630" w:rsidRPr="005D4222" w:rsidRDefault="00736630" w:rsidP="00736630">
            <w:pPr>
              <w:pStyle w:val="Bullet"/>
              <w:numPr>
                <w:ilvl w:val="0"/>
                <w:numId w:val="4"/>
              </w:numPr>
              <w:ind w:left="576" w:hanging="216"/>
              <w:rPr>
                <w:rFonts w:cs="Arial"/>
                <w:iCs/>
                <w:szCs w:val="21"/>
              </w:rPr>
            </w:pPr>
            <w:r w:rsidRPr="005D4222">
              <w:rPr>
                <w:i/>
                <w:kern w:val="20"/>
                <w:szCs w:val="21"/>
              </w:rPr>
              <w:t>Assessment period 2:</w:t>
            </w:r>
            <w:r w:rsidRPr="005D4222">
              <w:rPr>
                <w:iCs/>
                <w:kern w:val="20"/>
                <w:szCs w:val="21"/>
              </w:rPr>
              <w:t xml:space="preserve"> May 1–August 31.</w:t>
            </w:r>
          </w:p>
          <w:p w14:paraId="0EB09860" w14:textId="77777777" w:rsidR="00736630" w:rsidRPr="005D4222" w:rsidRDefault="00736630" w:rsidP="00736630">
            <w:pPr>
              <w:pStyle w:val="Bullet"/>
              <w:numPr>
                <w:ilvl w:val="0"/>
                <w:numId w:val="4"/>
              </w:numPr>
              <w:spacing w:after="80"/>
              <w:ind w:left="576" w:hanging="216"/>
              <w:rPr>
                <w:rFonts w:cs="Arial"/>
                <w:szCs w:val="21"/>
              </w:rPr>
            </w:pPr>
            <w:r w:rsidRPr="005D4222">
              <w:rPr>
                <w:i/>
                <w:kern w:val="20"/>
                <w:szCs w:val="21"/>
              </w:rPr>
              <w:t>Assessment period 3:</w:t>
            </w:r>
            <w:r w:rsidRPr="005D4222">
              <w:rPr>
                <w:iCs/>
                <w:kern w:val="20"/>
                <w:szCs w:val="21"/>
              </w:rPr>
              <w:t xml:space="preserve"> September 1–December 31.</w:t>
            </w:r>
          </w:p>
        </w:tc>
      </w:tr>
    </w:tbl>
    <w:p w14:paraId="2D3F0C41" w14:textId="77777777" w:rsidR="008A5061" w:rsidRPr="005D4222" w:rsidRDefault="008A5061">
      <w:r w:rsidRPr="005D4222">
        <w:br w:type="page"/>
      </w:r>
    </w:p>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9"/>
      </w:tblGrid>
      <w:tr w:rsidR="00736630" w:rsidRPr="005D4222" w14:paraId="20F555B5" w14:textId="77777777" w:rsidTr="008A5061">
        <w:tc>
          <w:tcPr>
            <w:tcW w:w="1110" w:type="pct"/>
            <w:tcBorders>
              <w:top w:val="single" w:sz="4" w:space="0" w:color="auto"/>
              <w:bottom w:val="nil"/>
            </w:tcBorders>
            <w:tcMar>
              <w:top w:w="0" w:type="dxa"/>
              <w:left w:w="86" w:type="dxa"/>
              <w:bottom w:w="43" w:type="dxa"/>
              <w:right w:w="86" w:type="dxa"/>
            </w:tcMar>
          </w:tcPr>
          <w:p w14:paraId="4C1458D9" w14:textId="77777777" w:rsidR="00736630" w:rsidRPr="005D4222" w:rsidRDefault="00736630" w:rsidP="008A5061">
            <w:pPr>
              <w:pStyle w:val="ECDSSubhead"/>
              <w:rPr>
                <w:szCs w:val="22"/>
              </w:rPr>
            </w:pPr>
            <w:r w:rsidRPr="005D4222">
              <w:lastRenderedPageBreak/>
              <w:t>Interactive outpatient encounter</w:t>
            </w:r>
          </w:p>
        </w:tc>
        <w:tc>
          <w:tcPr>
            <w:tcW w:w="3890" w:type="pct"/>
            <w:tcBorders>
              <w:top w:val="single" w:sz="4" w:space="0" w:color="auto"/>
              <w:bottom w:val="nil"/>
            </w:tcBorders>
            <w:tcMar>
              <w:left w:w="86" w:type="dxa"/>
              <w:bottom w:w="43" w:type="dxa"/>
              <w:right w:w="86" w:type="dxa"/>
            </w:tcMar>
          </w:tcPr>
          <w:p w14:paraId="43A16039" w14:textId="77777777" w:rsidR="00736630" w:rsidRPr="005D4222" w:rsidRDefault="00736630" w:rsidP="00A53E8C">
            <w:pPr>
              <w:pStyle w:val="ECDSBody"/>
            </w:pPr>
            <w:r w:rsidRPr="005D4222">
              <w:t>A bidirectional communication that is face-to-face, phone based, an e-visit or virtual check-in, or via secure electronic messaging. This does not include communications for scheduling appointments.</w:t>
            </w:r>
          </w:p>
        </w:tc>
      </w:tr>
      <w:tr w:rsidR="00736630" w:rsidRPr="005D4222" w14:paraId="42CF2341" w14:textId="77777777" w:rsidTr="008A5061">
        <w:tc>
          <w:tcPr>
            <w:tcW w:w="1110" w:type="pct"/>
            <w:shd w:val="clear" w:color="auto" w:fill="BFBFBF" w:themeFill="background1" w:themeFillShade="BF"/>
            <w:tcMar>
              <w:top w:w="0" w:type="dxa"/>
              <w:left w:w="86" w:type="dxa"/>
              <w:bottom w:w="43" w:type="dxa"/>
              <w:right w:w="86" w:type="dxa"/>
            </w:tcMar>
          </w:tcPr>
          <w:p w14:paraId="7EE5C2E9" w14:textId="77777777" w:rsidR="00736630" w:rsidRPr="005D4222" w:rsidRDefault="00736630" w:rsidP="008A5061">
            <w:pPr>
              <w:pStyle w:val="ECDSMarginHead"/>
            </w:pPr>
            <w:r w:rsidRPr="005D4222">
              <w:t>Initial population</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F7373C2" w14:textId="77777777" w:rsidR="00736630" w:rsidRPr="005D4222" w:rsidRDefault="00736630" w:rsidP="00A53E8C">
            <w:pPr>
              <w:pStyle w:val="ECDSBody"/>
            </w:pPr>
            <w:r w:rsidRPr="005D4222">
              <w:rPr>
                <w:i/>
                <w:iCs/>
              </w:rPr>
              <w:t xml:space="preserve">Measure item count: </w:t>
            </w:r>
            <w:r w:rsidRPr="005D4222">
              <w:t>Person.</w:t>
            </w:r>
          </w:p>
          <w:p w14:paraId="1B2CB0EC" w14:textId="7787E723" w:rsidR="00736630" w:rsidRPr="005D4222" w:rsidRDefault="00F10378" w:rsidP="00A53E8C">
            <w:pPr>
              <w:pStyle w:val="ECDSBody"/>
            </w:pPr>
            <w:r w:rsidRPr="005D4222">
              <w:rPr>
                <w:i/>
                <w:iCs/>
              </w:rPr>
              <w:t>Attribution basis:</w:t>
            </w:r>
            <w:r w:rsidR="00736630" w:rsidRPr="005D4222">
              <w:rPr>
                <w:i/>
                <w:iCs/>
              </w:rPr>
              <w:t xml:space="preserve"> </w:t>
            </w:r>
            <w:r w:rsidR="00736630" w:rsidRPr="005D4222">
              <w:t>Enrollment.</w:t>
            </w:r>
          </w:p>
          <w:p w14:paraId="1C8C003D" w14:textId="717EE12C" w:rsidR="00736630" w:rsidRPr="005D4222" w:rsidRDefault="000F0DC5" w:rsidP="00736630">
            <w:pPr>
              <w:pStyle w:val="Bullet"/>
              <w:numPr>
                <w:ilvl w:val="0"/>
                <w:numId w:val="4"/>
              </w:numPr>
              <w:ind w:left="576" w:hanging="216"/>
            </w:pPr>
            <w:r w:rsidRPr="005D4222">
              <w:rPr>
                <w:i/>
                <w:iCs/>
              </w:rPr>
              <w:t>Benefits:</w:t>
            </w:r>
            <w:r w:rsidR="00736630" w:rsidRPr="005D4222">
              <w:t xml:space="preserve"> Medical.</w:t>
            </w:r>
          </w:p>
          <w:p w14:paraId="41F1E7F8" w14:textId="77777777" w:rsidR="00736630" w:rsidRPr="005D4222" w:rsidRDefault="00736630" w:rsidP="00736630">
            <w:pPr>
              <w:pStyle w:val="Bullet"/>
              <w:numPr>
                <w:ilvl w:val="0"/>
                <w:numId w:val="4"/>
              </w:numPr>
              <w:ind w:left="576" w:hanging="216"/>
            </w:pPr>
            <w:r w:rsidRPr="005D4222">
              <w:rPr>
                <w:i/>
                <w:iCs/>
              </w:rPr>
              <w:t>Continuous enrollment:</w:t>
            </w:r>
            <w:r w:rsidRPr="005D4222">
              <w:t xml:space="preserve"> </w:t>
            </w:r>
            <w:r w:rsidRPr="005D4222">
              <w:rPr>
                <w:kern w:val="20"/>
              </w:rPr>
              <w:t xml:space="preserve">The measurement period. </w:t>
            </w:r>
          </w:p>
          <w:p w14:paraId="785CFDB1" w14:textId="77777777" w:rsidR="00736630" w:rsidRPr="005D4222" w:rsidRDefault="00736630" w:rsidP="00736630">
            <w:pPr>
              <w:pStyle w:val="Bullet"/>
              <w:numPr>
                <w:ilvl w:val="0"/>
                <w:numId w:val="4"/>
              </w:numPr>
              <w:ind w:left="576" w:hanging="216"/>
            </w:pPr>
            <w:r w:rsidRPr="005D4222">
              <w:rPr>
                <w:i/>
                <w:iCs/>
              </w:rPr>
              <w:t>Allowable gap:</w:t>
            </w:r>
            <w:r w:rsidRPr="005D4222">
              <w:t xml:space="preserve"> No more than one gap of ≤45 days during the measurement period. No gaps on the last day of the measurement period.</w:t>
            </w:r>
          </w:p>
          <w:p w14:paraId="227D5F05" w14:textId="77777777" w:rsidR="00736630" w:rsidRPr="005D4222" w:rsidRDefault="00736630" w:rsidP="00A53E8C">
            <w:pPr>
              <w:pStyle w:val="ECDSBody"/>
            </w:pPr>
            <w:r w:rsidRPr="005D4222">
              <w:rPr>
                <w:i/>
                <w:iCs/>
              </w:rPr>
              <w:t>Ages:</w:t>
            </w:r>
            <w:r w:rsidRPr="005D4222">
              <w:t xml:space="preserve"> 12 years of age and older as of the start of the measurement period.</w:t>
            </w:r>
          </w:p>
          <w:p w14:paraId="4EB6DA26" w14:textId="77777777" w:rsidR="009266BE" w:rsidRPr="005D4222" w:rsidRDefault="00736630" w:rsidP="00A53E8C">
            <w:pPr>
              <w:pStyle w:val="ECDSBody"/>
              <w:rPr>
                <w:b/>
                <w:bCs w:val="0"/>
              </w:rPr>
            </w:pPr>
            <w:r w:rsidRPr="005D4222">
              <w:rPr>
                <w:i/>
                <w:iCs/>
              </w:rPr>
              <w:t xml:space="preserve">Event: </w:t>
            </w:r>
            <w:r w:rsidRPr="005D4222">
              <w:rPr>
                <w:b/>
                <w:bCs w:val="0"/>
              </w:rPr>
              <w:t>Diagnosis of major depression or dysthymia.</w:t>
            </w:r>
          </w:p>
          <w:p w14:paraId="3EB31610" w14:textId="2861E5BA" w:rsidR="00736630" w:rsidRPr="005D4222" w:rsidRDefault="00736630" w:rsidP="00A53E8C">
            <w:pPr>
              <w:pStyle w:val="ECDSBody"/>
            </w:pPr>
            <w:r w:rsidRPr="005D4222">
              <w:t>Persons with at least one interactive outpatient encounter (</w:t>
            </w:r>
            <w:r w:rsidRPr="005D4222">
              <w:rPr>
                <w:u w:val="single"/>
              </w:rPr>
              <w:t>Interactive Outpatient Encounter Value Set</w:t>
            </w:r>
            <w:r w:rsidRPr="005D4222">
              <w:t>) that starts during applicable assessment period with a diagnosis of major depression or dysthymia (</w:t>
            </w:r>
            <w:r w:rsidRPr="005D4222">
              <w:rPr>
                <w:u w:val="single"/>
              </w:rPr>
              <w:t>Major Depression or Dysthymia Value Set</w:t>
            </w:r>
            <w:r w:rsidRPr="005D4222">
              <w:t>).</w:t>
            </w:r>
          </w:p>
          <w:p w14:paraId="77623615" w14:textId="77777777" w:rsidR="00736630" w:rsidRPr="005D4222" w:rsidRDefault="00736630" w:rsidP="00736630">
            <w:pPr>
              <w:pStyle w:val="Bullet"/>
              <w:numPr>
                <w:ilvl w:val="0"/>
                <w:numId w:val="4"/>
              </w:numPr>
              <w:ind w:left="576" w:hanging="216"/>
            </w:pPr>
            <w:r w:rsidRPr="005D4222">
              <w:rPr>
                <w:i/>
                <w:iCs/>
              </w:rPr>
              <w:t>Initial population 1:</w:t>
            </w:r>
            <w:r w:rsidRPr="005D4222">
              <w:t xml:space="preserve"> Event must start during assessment period 1.</w:t>
            </w:r>
          </w:p>
          <w:p w14:paraId="0DC1AE68" w14:textId="77777777" w:rsidR="00736630" w:rsidRPr="005D4222" w:rsidRDefault="00736630" w:rsidP="00736630">
            <w:pPr>
              <w:pStyle w:val="Bullet"/>
              <w:numPr>
                <w:ilvl w:val="0"/>
                <w:numId w:val="4"/>
              </w:numPr>
              <w:ind w:left="576" w:hanging="216"/>
            </w:pPr>
            <w:r w:rsidRPr="005D4222">
              <w:rPr>
                <w:i/>
                <w:iCs/>
              </w:rPr>
              <w:t>Initial population 2:</w:t>
            </w:r>
            <w:r w:rsidRPr="005D4222">
              <w:t xml:space="preserve"> Event must start during assessment period 2.</w:t>
            </w:r>
          </w:p>
          <w:p w14:paraId="5A4C791D" w14:textId="77777777" w:rsidR="00736630" w:rsidRPr="005D4222" w:rsidRDefault="00736630" w:rsidP="00736630">
            <w:pPr>
              <w:pStyle w:val="Bullet"/>
              <w:numPr>
                <w:ilvl w:val="0"/>
                <w:numId w:val="4"/>
              </w:numPr>
              <w:spacing w:after="80"/>
              <w:ind w:left="576" w:hanging="216"/>
              <w:rPr>
                <w:rFonts w:cs="Arial"/>
              </w:rPr>
            </w:pPr>
            <w:r w:rsidRPr="005D4222">
              <w:rPr>
                <w:i/>
                <w:iCs/>
              </w:rPr>
              <w:t>Initial population 3:</w:t>
            </w:r>
            <w:r w:rsidRPr="005D4222">
              <w:t xml:space="preserve"> Event must start during assessment period 3.</w:t>
            </w:r>
          </w:p>
        </w:tc>
      </w:tr>
      <w:tr w:rsidR="00736630" w:rsidRPr="005D4222" w14:paraId="4F491A83" w14:textId="77777777" w:rsidTr="008A5061">
        <w:tc>
          <w:tcPr>
            <w:tcW w:w="1110" w:type="pct"/>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F8846A9" w14:textId="77777777" w:rsidR="00736630" w:rsidRPr="005D4222" w:rsidRDefault="00736630" w:rsidP="008A5061">
            <w:pPr>
              <w:pStyle w:val="ECDSMarginHead"/>
            </w:pPr>
            <w:r w:rsidRPr="005D4222">
              <w:t xml:space="preserve">Denominator exclusions </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4A0B9743" w14:textId="77777777" w:rsidR="00736630" w:rsidRPr="005D4222" w:rsidRDefault="00736630" w:rsidP="00A53E8C">
            <w:pPr>
              <w:pStyle w:val="ECDSBody"/>
              <w:rPr>
                <w:rFonts w:eastAsia="Arial,Arial,Arial,Arial,Arial,A"/>
                <w:b/>
              </w:rPr>
            </w:pPr>
            <w:r w:rsidRPr="005D4222">
              <w:rPr>
                <w:rFonts w:eastAsia="Arial,Arial,Arial,Arial,Arial,A"/>
                <w:b/>
              </w:rPr>
              <w:t xml:space="preserve">Persons with a date of death. </w:t>
            </w:r>
            <w:r w:rsidRPr="005D4222">
              <w:rPr>
                <w:rFonts w:eastAsia="Arial,Arial,Arial,Arial,Arial,A"/>
                <w:b/>
              </w:rPr>
              <w:br/>
            </w:r>
            <w:r w:rsidRPr="005D4222">
              <w:rPr>
                <w:rFonts w:eastAsia="Arial,Arial,Arial,Arial,Arial,A"/>
              </w:rPr>
              <w:t>Death in the measurement period, identified using data sources determined by the organization</w:t>
            </w:r>
            <w:r w:rsidRPr="005D4222">
              <w:t xml:space="preserve">. </w:t>
            </w:r>
            <w:r w:rsidRPr="005D4222">
              <w:rPr>
                <w:rFonts w:eastAsia="Arial,Arial,Arial,Arial,Arial,A"/>
              </w:rPr>
              <w:t>Method and data sources are subject to review during the HEDIS audit</w:t>
            </w:r>
            <w:r w:rsidRPr="005D4222">
              <w:rPr>
                <w:rFonts w:eastAsia="Arial,Arial,Arial,Arial,Arial,A"/>
                <w:i/>
                <w:iCs/>
              </w:rPr>
              <w:t>.</w:t>
            </w:r>
          </w:p>
          <w:p w14:paraId="39B6C553" w14:textId="77777777" w:rsidR="00736630" w:rsidRPr="005D4222" w:rsidRDefault="00736630" w:rsidP="00A53E8C">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33BCCEC7" w14:textId="5E88ACF7" w:rsidR="00736630" w:rsidRPr="005D4222" w:rsidRDefault="00736630" w:rsidP="00A53E8C">
            <w:pPr>
              <w:pStyle w:val="ECDSBody"/>
            </w:pPr>
            <w:r w:rsidRPr="005D4222">
              <w:rPr>
                <w:rFonts w:eastAsia="Arial,Arial,Arial,Arial,Arial,A"/>
                <w:b/>
              </w:rPr>
              <w:t xml:space="preserve">Persons with bipolar disorder, personality disorder, psychotic disorder or pervasive developmental disorder. </w:t>
            </w:r>
            <w:r w:rsidRPr="005D4222">
              <w:rPr>
                <w:rFonts w:eastAsia="Arial,Arial,Arial,Arial,Arial,A"/>
                <w:b/>
              </w:rPr>
              <w:br/>
            </w:r>
            <w:r w:rsidRPr="005D4222">
              <w:t xml:space="preserve">Persons with any of the following any time during the person’s history through the </w:t>
            </w:r>
            <w:r w:rsidR="00D80100" w:rsidRPr="005D4222">
              <w:t>last day</w:t>
            </w:r>
            <w:r w:rsidRPr="005D4222">
              <w:t xml:space="preserve"> of the measurement period. </w:t>
            </w:r>
          </w:p>
          <w:p w14:paraId="6D558906" w14:textId="77777777" w:rsidR="00736630" w:rsidRPr="005D4222" w:rsidRDefault="00736630" w:rsidP="00736630">
            <w:pPr>
              <w:pStyle w:val="Bullet"/>
              <w:numPr>
                <w:ilvl w:val="0"/>
                <w:numId w:val="4"/>
              </w:numPr>
              <w:ind w:left="576" w:hanging="216"/>
            </w:pPr>
            <w:r w:rsidRPr="005D4222">
              <w:t>Bipolar disorder (</w:t>
            </w:r>
            <w:r w:rsidRPr="005D4222">
              <w:rPr>
                <w:u w:val="single"/>
              </w:rPr>
              <w:t>Bipolar Disorder Value Set</w:t>
            </w:r>
            <w:r w:rsidRPr="005D4222">
              <w:t xml:space="preserve">*; </w:t>
            </w:r>
            <w:r w:rsidRPr="005D4222">
              <w:rPr>
                <w:u w:val="single"/>
              </w:rPr>
              <w:t>Other Bipolar Disorder Value Set</w:t>
            </w:r>
            <w:r w:rsidRPr="005D4222">
              <w:t>*).</w:t>
            </w:r>
          </w:p>
          <w:p w14:paraId="05769821" w14:textId="77777777" w:rsidR="00736630" w:rsidRPr="005D4222" w:rsidRDefault="00736630" w:rsidP="00736630">
            <w:pPr>
              <w:pStyle w:val="Bullet"/>
              <w:numPr>
                <w:ilvl w:val="0"/>
                <w:numId w:val="4"/>
              </w:numPr>
              <w:ind w:left="576" w:hanging="216"/>
            </w:pPr>
            <w:r w:rsidRPr="005D4222">
              <w:t>Personality disorder (</w:t>
            </w:r>
            <w:r w:rsidRPr="005D4222">
              <w:rPr>
                <w:u w:val="single"/>
              </w:rPr>
              <w:t>Personality Disorder Value Set</w:t>
            </w:r>
            <w:r w:rsidRPr="005D4222">
              <w:t>*).</w:t>
            </w:r>
          </w:p>
          <w:p w14:paraId="31B6E1A9" w14:textId="77777777" w:rsidR="00736630" w:rsidRPr="005D4222" w:rsidRDefault="00736630" w:rsidP="00736630">
            <w:pPr>
              <w:pStyle w:val="Bullet"/>
              <w:numPr>
                <w:ilvl w:val="0"/>
                <w:numId w:val="4"/>
              </w:numPr>
              <w:ind w:left="576" w:hanging="216"/>
            </w:pPr>
            <w:r w:rsidRPr="005D4222">
              <w:t>Psychotic disorder (</w:t>
            </w:r>
            <w:r w:rsidRPr="005D4222">
              <w:rPr>
                <w:u w:val="single"/>
              </w:rPr>
              <w:t>Psychotic Disorders Value Set</w:t>
            </w:r>
            <w:r w:rsidRPr="005D4222">
              <w:t>*).</w:t>
            </w:r>
          </w:p>
          <w:p w14:paraId="4FFBE8A9" w14:textId="77777777" w:rsidR="00736630" w:rsidRPr="005D4222" w:rsidRDefault="00736630" w:rsidP="00736630">
            <w:pPr>
              <w:pStyle w:val="Bullet"/>
              <w:numPr>
                <w:ilvl w:val="0"/>
                <w:numId w:val="4"/>
              </w:numPr>
              <w:ind w:left="576" w:hanging="216"/>
            </w:pPr>
            <w:r w:rsidRPr="005D4222">
              <w:t>Pervasive developmental disorder (</w:t>
            </w:r>
            <w:r w:rsidRPr="005D4222">
              <w:rPr>
                <w:u w:val="single"/>
              </w:rPr>
              <w:t>Pervasive Developmental Disorder Value Set</w:t>
            </w:r>
            <w:r w:rsidRPr="005D4222">
              <w:t>*).</w:t>
            </w:r>
          </w:p>
          <w:p w14:paraId="0E197430" w14:textId="77777777" w:rsidR="00736630" w:rsidRPr="005D4222" w:rsidRDefault="00736630" w:rsidP="00A53E8C">
            <w:pPr>
              <w:pStyle w:val="ECDSBody"/>
              <w:spacing w:after="0"/>
              <w:rPr>
                <w:rFonts w:eastAsia="Arial,Arial,Arial,Arial,Arial,A"/>
                <w:b/>
                <w:bCs w:val="0"/>
              </w:rPr>
            </w:pPr>
            <w:r w:rsidRPr="005D4222">
              <w:rPr>
                <w:rFonts w:eastAsia="Arial,Arial,Arial,Arial,Arial,A"/>
                <w:b/>
                <w:bCs w:val="0"/>
              </w:rPr>
              <w:t>Coding Guidance</w:t>
            </w:r>
          </w:p>
          <w:p w14:paraId="018B1249" w14:textId="77777777" w:rsidR="00736630" w:rsidRPr="005D4222" w:rsidRDefault="00736630" w:rsidP="00A53E8C">
            <w:pPr>
              <w:pStyle w:val="ECDSBody"/>
              <w:spacing w:before="0"/>
            </w:pPr>
            <w:r w:rsidRPr="005D4222">
              <w:rPr>
                <w:rFonts w:eastAsia="Arial,Arial,Arial,Arial,Arial,A"/>
              </w:rPr>
              <w:t>*Do not include laboratory claims (claims with POS code 81).</w:t>
            </w:r>
          </w:p>
        </w:tc>
      </w:tr>
    </w:tbl>
    <w:p w14:paraId="2ADF4722" w14:textId="77777777" w:rsidR="008A5061" w:rsidRPr="005D4222" w:rsidRDefault="008A5061"/>
    <w:tbl>
      <w:tblPr>
        <w:tblW w:w="5002"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9"/>
      </w:tblGrid>
      <w:tr w:rsidR="00736630" w:rsidRPr="005D4222" w14:paraId="74F4C96D" w14:textId="77777777" w:rsidTr="008A5061">
        <w:trPr>
          <w:trHeight w:val="1164"/>
        </w:trPr>
        <w:tc>
          <w:tcPr>
            <w:tcW w:w="1110" w:type="pct"/>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428B02EF" w14:textId="77777777" w:rsidR="00736630" w:rsidRPr="005D4222" w:rsidRDefault="00736630" w:rsidP="00A53E8C">
            <w:pPr>
              <w:pStyle w:val="ECDSMarginHead"/>
            </w:pPr>
            <w:r w:rsidRPr="005D4222">
              <w:lastRenderedPageBreak/>
              <w:t>Denominator</w:t>
            </w:r>
          </w:p>
        </w:tc>
        <w:tc>
          <w:tcPr>
            <w:tcW w:w="3890" w:type="pct"/>
            <w:tcBorders>
              <w:top w:val="single" w:sz="4" w:space="0" w:color="auto"/>
              <w:left w:val="single" w:sz="4" w:space="0" w:color="auto"/>
              <w:right w:val="single" w:sz="4" w:space="0" w:color="auto"/>
            </w:tcBorders>
            <w:tcMar>
              <w:top w:w="0" w:type="dxa"/>
              <w:left w:w="86" w:type="dxa"/>
              <w:bottom w:w="43" w:type="dxa"/>
              <w:right w:w="86" w:type="dxa"/>
            </w:tcMar>
          </w:tcPr>
          <w:p w14:paraId="69FC6CFA" w14:textId="77777777" w:rsidR="00736630" w:rsidRPr="005D4222" w:rsidRDefault="00736630" w:rsidP="00A53E8C">
            <w:pPr>
              <w:pStyle w:val="ECDSBody"/>
              <w:rPr>
                <w:bCs w:val="0"/>
              </w:rPr>
            </w:pPr>
            <w:r w:rsidRPr="005D4222">
              <w:rPr>
                <w:b/>
              </w:rPr>
              <w:t xml:space="preserve">Denominator 1: </w:t>
            </w:r>
            <w:r w:rsidRPr="005D4222">
              <w:rPr>
                <w:bCs w:val="0"/>
              </w:rPr>
              <w:t>The initial population 1 minus exclusions.</w:t>
            </w:r>
          </w:p>
          <w:p w14:paraId="13EDB114" w14:textId="77777777" w:rsidR="00736630" w:rsidRPr="005D4222" w:rsidRDefault="00736630" w:rsidP="00A53E8C">
            <w:pPr>
              <w:pStyle w:val="ECDSBody"/>
              <w:rPr>
                <w:i/>
                <w:iCs/>
              </w:rPr>
            </w:pPr>
            <w:r w:rsidRPr="005D4222">
              <w:rPr>
                <w:b/>
              </w:rPr>
              <w:t xml:space="preserve">Denominator 2: </w:t>
            </w:r>
            <w:r w:rsidRPr="005D4222">
              <w:rPr>
                <w:bCs w:val="0"/>
              </w:rPr>
              <w:t>The initial population 2 minus exclusions.</w:t>
            </w:r>
          </w:p>
          <w:p w14:paraId="20AF0237" w14:textId="77777777" w:rsidR="00736630" w:rsidRPr="005D4222" w:rsidRDefault="00736630" w:rsidP="00A53E8C">
            <w:pPr>
              <w:pStyle w:val="ECDSBody"/>
              <w:rPr>
                <w:i/>
                <w:iCs/>
              </w:rPr>
            </w:pPr>
            <w:r w:rsidRPr="005D4222">
              <w:rPr>
                <w:b/>
              </w:rPr>
              <w:t xml:space="preserve">Denominator 3: </w:t>
            </w:r>
            <w:r w:rsidRPr="005D4222">
              <w:rPr>
                <w:bCs w:val="0"/>
              </w:rPr>
              <w:t>The initial population 3 minus exclusions.</w:t>
            </w:r>
          </w:p>
        </w:tc>
      </w:tr>
      <w:tr w:rsidR="00736630" w:rsidRPr="005D4222" w14:paraId="13CA1366" w14:textId="77777777" w:rsidTr="008A5061">
        <w:trPr>
          <w:trHeight w:val="417"/>
        </w:trPr>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DE04571" w14:textId="77777777" w:rsidR="00736630" w:rsidRPr="005D4222" w:rsidRDefault="00736630" w:rsidP="00A53E8C">
            <w:pPr>
              <w:pStyle w:val="ECDSMarginHead"/>
            </w:pPr>
            <w:r w:rsidRPr="005D4222">
              <w:t>Numerator</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4FD50127" w14:textId="77777777" w:rsidR="00736630" w:rsidRPr="005D4222" w:rsidRDefault="00736630" w:rsidP="00A53E8C">
            <w:pPr>
              <w:pStyle w:val="ECDSBody"/>
            </w:pPr>
            <w:r w:rsidRPr="005D4222">
              <w:rPr>
                <w:b/>
                <w:i/>
                <w:iCs/>
              </w:rPr>
              <w:t>For all numerators,</w:t>
            </w:r>
            <w:r w:rsidRPr="005D4222">
              <w:rPr>
                <w:b/>
              </w:rPr>
              <w:t xml:space="preserve"> </w:t>
            </w:r>
            <w:r w:rsidRPr="005D4222">
              <w:t>a PHQ-9 score (LOINC code 44261-6 for persons 12 years of age and older; LOINC code 89204-2 or 44261-6 for persons 12–17 years of age) in the person’s record during the applicable assessment period.</w:t>
            </w:r>
          </w:p>
          <w:p w14:paraId="399A0DCF" w14:textId="77777777" w:rsidR="00736630" w:rsidRPr="005D4222" w:rsidRDefault="00736630" w:rsidP="00A53E8C">
            <w:pPr>
              <w:pStyle w:val="ECDSBody"/>
              <w:spacing w:before="180"/>
              <w:rPr>
                <w:bCs w:val="0"/>
              </w:rPr>
            </w:pPr>
            <w:r w:rsidRPr="005D4222">
              <w:rPr>
                <w:b/>
              </w:rPr>
              <w:t>Numerator 1: Utilization of PHQ-9 period 1.</w:t>
            </w:r>
            <w:r w:rsidRPr="005D4222">
              <w:rPr>
                <w:b/>
              </w:rPr>
              <w:br/>
            </w:r>
            <w:r w:rsidRPr="005D4222">
              <w:rPr>
                <w:bCs w:val="0"/>
              </w:rPr>
              <w:t>Events with a PHQ-9 score recorded during assessment period 1.</w:t>
            </w:r>
          </w:p>
          <w:p w14:paraId="66109377" w14:textId="77777777" w:rsidR="00736630" w:rsidRPr="005D4222" w:rsidRDefault="00736630" w:rsidP="00A53E8C">
            <w:pPr>
              <w:pStyle w:val="ECDSBody"/>
              <w:rPr>
                <w:bCs w:val="0"/>
              </w:rPr>
            </w:pPr>
            <w:r w:rsidRPr="005D4222">
              <w:rPr>
                <w:b/>
              </w:rPr>
              <w:t>Numerator 2: Utilization of PHQ-9 period 2.</w:t>
            </w:r>
            <w:r w:rsidRPr="005D4222">
              <w:rPr>
                <w:b/>
              </w:rPr>
              <w:br/>
            </w:r>
            <w:r w:rsidRPr="005D4222">
              <w:rPr>
                <w:bCs w:val="0"/>
              </w:rPr>
              <w:t>Events with a PHQ-9 score recorded during assessment period 2.</w:t>
            </w:r>
          </w:p>
          <w:p w14:paraId="24F63132" w14:textId="77777777" w:rsidR="00736630" w:rsidRPr="005D4222" w:rsidRDefault="00736630" w:rsidP="00A53E8C">
            <w:pPr>
              <w:pStyle w:val="ECDSBody"/>
              <w:rPr>
                <w:bCs w:val="0"/>
                <w:i/>
                <w:color w:val="000000" w:themeColor="text1"/>
              </w:rPr>
            </w:pPr>
            <w:r w:rsidRPr="005D4222">
              <w:rPr>
                <w:b/>
              </w:rPr>
              <w:t>Numerator 3: Utilization of PHQ-9 period 3.</w:t>
            </w:r>
            <w:r w:rsidRPr="005D4222">
              <w:rPr>
                <w:b/>
              </w:rPr>
              <w:br/>
            </w:r>
            <w:r w:rsidRPr="005D4222">
              <w:rPr>
                <w:bCs w:val="0"/>
              </w:rPr>
              <w:t>Events with a PHQ-9 score recorded during assessment period 3.</w:t>
            </w:r>
          </w:p>
        </w:tc>
      </w:tr>
      <w:tr w:rsidR="00736630" w:rsidRPr="005D4222" w14:paraId="403A37CE" w14:textId="77777777" w:rsidTr="008A5061">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A56E76D" w14:textId="77777777" w:rsidR="00736630" w:rsidRPr="005D4222" w:rsidRDefault="00736630" w:rsidP="00A53E8C">
            <w:pPr>
              <w:pStyle w:val="ECDSMarginHead"/>
            </w:pPr>
            <w:r w:rsidRPr="005D4222">
              <w:t>Summary of changes</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2F9235B" w14:textId="77777777" w:rsidR="00736630" w:rsidRPr="005D4222" w:rsidRDefault="00736630" w:rsidP="005D6173">
            <w:pPr>
              <w:pStyle w:val="ProcessBullet"/>
              <w:numPr>
                <w:ilvl w:val="0"/>
                <w:numId w:val="98"/>
              </w:numPr>
              <w:tabs>
                <w:tab w:val="left" w:pos="216"/>
              </w:tabs>
              <w:spacing w:before="120"/>
              <w:ind w:left="216" w:hanging="216"/>
            </w:pPr>
            <w:r w:rsidRPr="005D4222">
              <w:t>Removed the definitions of “participation” and “participation period.”</w:t>
            </w:r>
          </w:p>
          <w:p w14:paraId="2ACE1CF9" w14:textId="77777777" w:rsidR="00736630" w:rsidRPr="005D4222" w:rsidRDefault="00736630" w:rsidP="005D6173">
            <w:pPr>
              <w:pStyle w:val="ProcessBullet"/>
              <w:numPr>
                <w:ilvl w:val="0"/>
                <w:numId w:val="98"/>
              </w:numPr>
              <w:tabs>
                <w:tab w:val="left" w:pos="216"/>
              </w:tabs>
              <w:spacing w:after="80"/>
              <w:ind w:left="216" w:hanging="216"/>
            </w:pPr>
            <w:r w:rsidRPr="005D4222">
              <w:t xml:space="preserve">Removed the SSoR data elements from the data element tables. </w:t>
            </w:r>
          </w:p>
        </w:tc>
      </w:tr>
      <w:tr w:rsidR="00736630" w:rsidRPr="005D4222" w14:paraId="72600C6E" w14:textId="77777777" w:rsidTr="00DD0E41">
        <w:trPr>
          <w:trHeight w:val="6704"/>
        </w:trPr>
        <w:tc>
          <w:tcPr>
            <w:tcW w:w="1110" w:type="pct"/>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47B9EEC" w14:textId="77777777" w:rsidR="00736630" w:rsidRPr="005D4222" w:rsidRDefault="00736630" w:rsidP="00A53E8C">
            <w:pPr>
              <w:pStyle w:val="ECDSMarginHead"/>
            </w:pPr>
            <w:r w:rsidRPr="005D4222">
              <w:t>Data element tables</w:t>
            </w:r>
          </w:p>
        </w:tc>
        <w:tc>
          <w:tcPr>
            <w:tcW w:w="3890" w:type="pct"/>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58C8957" w14:textId="77777777" w:rsidR="00736630" w:rsidRPr="005D4222" w:rsidRDefault="00736630" w:rsidP="00A53E8C">
            <w:pPr>
              <w:pStyle w:val="ECDSBody"/>
            </w:pPr>
            <w:r w:rsidRPr="005D4222">
              <w:t>Organizations that submit HEDIS data to NCQA must provide the following data elements.</w:t>
            </w:r>
          </w:p>
          <w:p w14:paraId="5B7DC4FE" w14:textId="77777777" w:rsidR="00736630" w:rsidRPr="005D4222" w:rsidRDefault="00736630" w:rsidP="00A53E8C">
            <w:pPr>
              <w:pStyle w:val="Heading3"/>
              <w:spacing w:before="120"/>
            </w:pPr>
            <w:r w:rsidRPr="005D4222">
              <w:rPr>
                <w:iCs/>
                <w:kern w:val="20"/>
                <w:szCs w:val="18"/>
              </w:rPr>
              <w:br w:type="page"/>
            </w:r>
            <w:r w:rsidRPr="005D4222">
              <w:t>Table DMS-E-1/2: Data Elements for Utilization of the PHQ-9 to Monitor Depression Symptoms for Adolescents and Adults</w:t>
            </w:r>
          </w:p>
          <w:tbl>
            <w:tblPr>
              <w:tblW w:w="5000" w:type="pct"/>
              <w:tblLayout w:type="fixed"/>
              <w:tblLook w:val="04A0" w:firstRow="1" w:lastRow="0" w:firstColumn="1" w:lastColumn="0" w:noHBand="0" w:noVBand="1"/>
            </w:tblPr>
            <w:tblGrid>
              <w:gridCol w:w="1598"/>
              <w:gridCol w:w="781"/>
              <w:gridCol w:w="852"/>
              <w:gridCol w:w="1890"/>
              <w:gridCol w:w="2246"/>
            </w:tblGrid>
            <w:tr w:rsidR="00736630" w:rsidRPr="005D4222" w14:paraId="7B8212A8" w14:textId="77777777" w:rsidTr="004F4F28">
              <w:trPr>
                <w:trHeight w:val="343"/>
              </w:trPr>
              <w:tc>
                <w:tcPr>
                  <w:tcW w:w="1598" w:type="dxa"/>
                  <w:tcBorders>
                    <w:top w:val="single" w:sz="8" w:space="0" w:color="auto"/>
                    <w:left w:val="single" w:sz="8" w:space="0" w:color="auto"/>
                    <w:bottom w:val="single" w:sz="4" w:space="0" w:color="auto"/>
                    <w:right w:val="single" w:sz="6" w:space="0" w:color="FFFFFF"/>
                  </w:tcBorders>
                  <w:shd w:val="clear" w:color="auto" w:fill="000000"/>
                  <w:noWrap/>
                  <w:tcMar>
                    <w:left w:w="72" w:type="dxa"/>
                    <w:right w:w="72" w:type="dxa"/>
                  </w:tcMar>
                  <w:vAlign w:val="bottom"/>
                  <w:hideMark/>
                </w:tcPr>
                <w:p w14:paraId="02FB1DD1" w14:textId="77777777" w:rsidR="00736630" w:rsidRPr="005D4222" w:rsidRDefault="00736630" w:rsidP="00A53E8C">
                  <w:pPr>
                    <w:pStyle w:val="TableHead"/>
                  </w:pPr>
                  <w:r w:rsidRPr="005D4222">
                    <w:t>Metric</w:t>
                  </w:r>
                </w:p>
              </w:tc>
              <w:tc>
                <w:tcPr>
                  <w:tcW w:w="781" w:type="dxa"/>
                  <w:tcBorders>
                    <w:top w:val="single" w:sz="8" w:space="0" w:color="auto"/>
                    <w:left w:val="single" w:sz="6" w:space="0" w:color="FFFFFF"/>
                    <w:bottom w:val="single" w:sz="4" w:space="0" w:color="auto"/>
                    <w:right w:val="single" w:sz="6" w:space="0" w:color="FFFFFF"/>
                  </w:tcBorders>
                  <w:shd w:val="clear" w:color="auto" w:fill="000000"/>
                  <w:tcMar>
                    <w:left w:w="72" w:type="dxa"/>
                    <w:right w:w="72" w:type="dxa"/>
                  </w:tcMar>
                  <w:vAlign w:val="bottom"/>
                  <w:hideMark/>
                </w:tcPr>
                <w:p w14:paraId="76B390B9" w14:textId="77777777" w:rsidR="00736630" w:rsidRPr="005D4222" w:rsidRDefault="00736630" w:rsidP="00A53E8C">
                  <w:pPr>
                    <w:pStyle w:val="TableHead"/>
                  </w:pPr>
                  <w:r w:rsidRPr="005D4222">
                    <w:t>Time Period</w:t>
                  </w:r>
                </w:p>
              </w:tc>
              <w:tc>
                <w:tcPr>
                  <w:tcW w:w="852" w:type="dxa"/>
                  <w:tcBorders>
                    <w:top w:val="single" w:sz="8" w:space="0" w:color="auto"/>
                    <w:left w:val="single" w:sz="6" w:space="0" w:color="FFFFFF"/>
                    <w:bottom w:val="single" w:sz="4" w:space="0" w:color="auto"/>
                    <w:right w:val="single" w:sz="6" w:space="0" w:color="FFFFFF"/>
                  </w:tcBorders>
                  <w:shd w:val="clear" w:color="auto" w:fill="000000"/>
                  <w:tcMar>
                    <w:left w:w="72" w:type="dxa"/>
                    <w:right w:w="72" w:type="dxa"/>
                  </w:tcMar>
                  <w:vAlign w:val="bottom"/>
                  <w:hideMark/>
                </w:tcPr>
                <w:p w14:paraId="61C3F315" w14:textId="77777777" w:rsidR="00736630" w:rsidRPr="005D4222" w:rsidRDefault="00736630" w:rsidP="00A53E8C">
                  <w:pPr>
                    <w:pStyle w:val="TableHead"/>
                  </w:pPr>
                  <w:r w:rsidRPr="005D4222">
                    <w:t>Age</w:t>
                  </w:r>
                </w:p>
              </w:tc>
              <w:tc>
                <w:tcPr>
                  <w:tcW w:w="1890" w:type="dxa"/>
                  <w:tcBorders>
                    <w:top w:val="single" w:sz="8" w:space="0" w:color="auto"/>
                    <w:left w:val="single" w:sz="6" w:space="0" w:color="FFFFFF"/>
                    <w:bottom w:val="single" w:sz="4" w:space="0" w:color="auto"/>
                    <w:right w:val="single" w:sz="4" w:space="0" w:color="FFFFFF"/>
                  </w:tcBorders>
                  <w:shd w:val="clear" w:color="auto" w:fill="000000"/>
                  <w:noWrap/>
                  <w:tcMar>
                    <w:left w:w="72" w:type="dxa"/>
                    <w:right w:w="72" w:type="dxa"/>
                  </w:tcMar>
                  <w:vAlign w:val="bottom"/>
                  <w:hideMark/>
                </w:tcPr>
                <w:p w14:paraId="3551505C" w14:textId="77777777" w:rsidR="00736630" w:rsidRPr="005D4222" w:rsidRDefault="00736630" w:rsidP="00A53E8C">
                  <w:pPr>
                    <w:pStyle w:val="TableHead"/>
                  </w:pPr>
                  <w:r w:rsidRPr="005D4222">
                    <w:t>Data Element</w:t>
                  </w:r>
                </w:p>
              </w:tc>
              <w:tc>
                <w:tcPr>
                  <w:tcW w:w="2246" w:type="dxa"/>
                  <w:tcBorders>
                    <w:top w:val="single" w:sz="8" w:space="0" w:color="auto"/>
                    <w:left w:val="single" w:sz="4" w:space="0" w:color="FFFFFF"/>
                    <w:bottom w:val="single" w:sz="4" w:space="0" w:color="auto"/>
                    <w:right w:val="single" w:sz="8" w:space="0" w:color="auto"/>
                  </w:tcBorders>
                  <w:shd w:val="clear" w:color="auto" w:fill="000000"/>
                  <w:tcMar>
                    <w:left w:w="72" w:type="dxa"/>
                    <w:right w:w="72" w:type="dxa"/>
                  </w:tcMar>
                  <w:vAlign w:val="bottom"/>
                  <w:hideMark/>
                </w:tcPr>
                <w:p w14:paraId="0B84AA33" w14:textId="77777777" w:rsidR="00736630" w:rsidRPr="005D4222" w:rsidRDefault="00736630" w:rsidP="00A53E8C">
                  <w:pPr>
                    <w:pStyle w:val="TableHead"/>
                  </w:pPr>
                  <w:r w:rsidRPr="005D4222">
                    <w:t>Reporting Instructions</w:t>
                  </w:r>
                </w:p>
              </w:tc>
            </w:tr>
            <w:tr w:rsidR="00736630" w:rsidRPr="005D4222" w14:paraId="213BD335" w14:textId="77777777" w:rsidTr="004F4F28">
              <w:trPr>
                <w:trHeight w:val="343"/>
              </w:trPr>
              <w:tc>
                <w:tcPr>
                  <w:tcW w:w="1598" w:type="dxa"/>
                  <w:tcBorders>
                    <w:top w:val="single" w:sz="4" w:space="0" w:color="auto"/>
                    <w:left w:val="single" w:sz="4" w:space="0" w:color="auto"/>
                    <w:bottom w:val="single" w:sz="4" w:space="0" w:color="auto"/>
                    <w:right w:val="single" w:sz="4" w:space="0" w:color="auto"/>
                  </w:tcBorders>
                  <w:shd w:val="clear" w:color="auto" w:fill="FFFFFF"/>
                  <w:noWrap/>
                  <w:tcMar>
                    <w:left w:w="72" w:type="dxa"/>
                    <w:right w:w="72" w:type="dxa"/>
                  </w:tcMar>
                  <w:vAlign w:val="center"/>
                  <w:hideMark/>
                </w:tcPr>
                <w:p w14:paraId="4812B6B5" w14:textId="77777777" w:rsidR="00736630" w:rsidRPr="005D4222" w:rsidRDefault="00736630" w:rsidP="00A53E8C">
                  <w:pPr>
                    <w:pStyle w:val="TableText"/>
                  </w:pPr>
                  <w:r w:rsidRPr="005D4222">
                    <w:t>PHQ9Utilization</w:t>
                  </w:r>
                </w:p>
              </w:tc>
              <w:tc>
                <w:tcPr>
                  <w:tcW w:w="781"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vAlign w:val="center"/>
                  <w:hideMark/>
                </w:tcPr>
                <w:p w14:paraId="10F82B61" w14:textId="77777777" w:rsidR="00736630" w:rsidRPr="005D4222" w:rsidRDefault="00736630" w:rsidP="00A53E8C">
                  <w:pPr>
                    <w:pStyle w:val="TableText"/>
                  </w:pPr>
                  <w:r w:rsidRPr="005D4222">
                    <w:t>1</w:t>
                  </w:r>
                </w:p>
              </w:tc>
              <w:tc>
                <w:tcPr>
                  <w:tcW w:w="852"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vAlign w:val="center"/>
                  <w:hideMark/>
                </w:tcPr>
                <w:p w14:paraId="1BA4D1C0" w14:textId="77777777" w:rsidR="00736630" w:rsidRPr="005D4222" w:rsidRDefault="00736630" w:rsidP="00A53E8C">
                  <w:pPr>
                    <w:pStyle w:val="TableText"/>
                  </w:pPr>
                  <w:r w:rsidRPr="005D4222">
                    <w:t>12-17</w:t>
                  </w:r>
                </w:p>
              </w:tc>
              <w:tc>
                <w:tcPr>
                  <w:tcW w:w="1890" w:type="dxa"/>
                  <w:tcBorders>
                    <w:top w:val="single" w:sz="4" w:space="0" w:color="auto"/>
                    <w:left w:val="single" w:sz="4" w:space="0" w:color="auto"/>
                    <w:bottom w:val="single" w:sz="4" w:space="0" w:color="auto"/>
                    <w:right w:val="single" w:sz="4" w:space="0" w:color="auto"/>
                  </w:tcBorders>
                  <w:shd w:val="clear" w:color="auto" w:fill="FFFFFF"/>
                  <w:noWrap/>
                  <w:tcMar>
                    <w:left w:w="72" w:type="dxa"/>
                    <w:right w:w="72" w:type="dxa"/>
                  </w:tcMar>
                  <w:vAlign w:val="center"/>
                  <w:hideMark/>
                </w:tcPr>
                <w:p w14:paraId="1D0F7E5B" w14:textId="77777777" w:rsidR="00736630" w:rsidRPr="005D4222" w:rsidRDefault="00736630" w:rsidP="00A53E8C">
                  <w:pPr>
                    <w:pStyle w:val="TableText"/>
                  </w:pPr>
                  <w:r w:rsidRPr="005D4222">
                    <w:t>InitialPopulation</w:t>
                  </w:r>
                </w:p>
              </w:tc>
              <w:tc>
                <w:tcPr>
                  <w:tcW w:w="2246"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vAlign w:val="center"/>
                  <w:hideMark/>
                </w:tcPr>
                <w:p w14:paraId="766F2719" w14:textId="77777777" w:rsidR="00736630" w:rsidRPr="005D4222" w:rsidRDefault="00736630" w:rsidP="00A53E8C">
                  <w:pPr>
                    <w:pStyle w:val="TableText"/>
                  </w:pPr>
                  <w:r w:rsidRPr="005D4222">
                    <w:t>For each Stratification</w:t>
                  </w:r>
                </w:p>
              </w:tc>
            </w:tr>
            <w:tr w:rsidR="00736630" w:rsidRPr="005D4222" w14:paraId="30644CB6" w14:textId="77777777" w:rsidTr="004F4F28">
              <w:trPr>
                <w:trHeight w:val="343"/>
              </w:trPr>
              <w:tc>
                <w:tcPr>
                  <w:tcW w:w="1598" w:type="dxa"/>
                  <w:tcBorders>
                    <w:top w:val="single" w:sz="4" w:space="0" w:color="auto"/>
                    <w:left w:val="nil"/>
                    <w:bottom w:val="nil"/>
                    <w:right w:val="single" w:sz="4" w:space="0" w:color="auto"/>
                  </w:tcBorders>
                  <w:shd w:val="clear" w:color="auto" w:fill="FFFFFF"/>
                  <w:noWrap/>
                  <w:tcMar>
                    <w:left w:w="72" w:type="dxa"/>
                    <w:right w:w="72" w:type="dxa"/>
                  </w:tcMar>
                  <w:vAlign w:val="center"/>
                  <w:hideMark/>
                </w:tcPr>
                <w:p w14:paraId="0F226C1A" w14:textId="77777777" w:rsidR="00736630" w:rsidRPr="005D4222" w:rsidRDefault="00736630" w:rsidP="00A53E8C">
                  <w:pPr>
                    <w:pStyle w:val="TableText"/>
                  </w:pPr>
                </w:p>
              </w:tc>
              <w:tc>
                <w:tcPr>
                  <w:tcW w:w="781" w:type="dxa"/>
                  <w:tcBorders>
                    <w:top w:val="single" w:sz="4" w:space="0" w:color="auto"/>
                    <w:left w:val="nil"/>
                    <w:bottom w:val="single" w:sz="4" w:space="0" w:color="auto"/>
                    <w:right w:val="single" w:sz="4" w:space="0" w:color="auto"/>
                  </w:tcBorders>
                  <w:shd w:val="clear" w:color="auto" w:fill="FFFFFF"/>
                  <w:tcMar>
                    <w:left w:w="72" w:type="dxa"/>
                    <w:right w:w="72" w:type="dxa"/>
                  </w:tcMar>
                  <w:vAlign w:val="center"/>
                  <w:hideMark/>
                </w:tcPr>
                <w:p w14:paraId="3699DEBD" w14:textId="77777777" w:rsidR="00736630" w:rsidRPr="005D4222" w:rsidRDefault="00736630" w:rsidP="00A53E8C">
                  <w:pPr>
                    <w:pStyle w:val="TableText"/>
                  </w:pPr>
                  <w:r w:rsidRPr="005D4222">
                    <w:t>2</w:t>
                  </w:r>
                </w:p>
              </w:tc>
              <w:tc>
                <w:tcPr>
                  <w:tcW w:w="852"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vAlign w:val="center"/>
                  <w:hideMark/>
                </w:tcPr>
                <w:p w14:paraId="4802C277" w14:textId="77777777" w:rsidR="00736630" w:rsidRPr="005D4222" w:rsidRDefault="00736630" w:rsidP="00A53E8C">
                  <w:pPr>
                    <w:pStyle w:val="TableText"/>
                  </w:pPr>
                  <w:r w:rsidRPr="005D4222">
                    <w:t>18-44</w:t>
                  </w:r>
                </w:p>
              </w:tc>
              <w:tc>
                <w:tcPr>
                  <w:tcW w:w="1890" w:type="dxa"/>
                  <w:tcBorders>
                    <w:top w:val="single" w:sz="4" w:space="0" w:color="auto"/>
                    <w:left w:val="single" w:sz="4" w:space="0" w:color="auto"/>
                    <w:bottom w:val="single" w:sz="4" w:space="0" w:color="auto"/>
                    <w:right w:val="single" w:sz="4" w:space="0" w:color="auto"/>
                  </w:tcBorders>
                  <w:noWrap/>
                  <w:tcMar>
                    <w:left w:w="72" w:type="dxa"/>
                    <w:right w:w="72" w:type="dxa"/>
                  </w:tcMar>
                  <w:vAlign w:val="center"/>
                  <w:hideMark/>
                </w:tcPr>
                <w:p w14:paraId="2CEB25D9" w14:textId="77777777" w:rsidR="00736630" w:rsidRPr="005D4222" w:rsidRDefault="00736630" w:rsidP="00A53E8C">
                  <w:pPr>
                    <w:pStyle w:val="TableText"/>
                  </w:pPr>
                  <w:r w:rsidRPr="005D4222">
                    <w:t>Exclusions</w:t>
                  </w:r>
                </w:p>
              </w:tc>
              <w:tc>
                <w:tcPr>
                  <w:tcW w:w="2246" w:type="dxa"/>
                  <w:tcBorders>
                    <w:top w:val="single" w:sz="4" w:space="0" w:color="auto"/>
                    <w:left w:val="single" w:sz="4" w:space="0" w:color="auto"/>
                    <w:bottom w:val="single" w:sz="4" w:space="0" w:color="auto"/>
                    <w:right w:val="single" w:sz="4" w:space="0" w:color="auto"/>
                  </w:tcBorders>
                  <w:tcMar>
                    <w:left w:w="72" w:type="dxa"/>
                    <w:right w:w="72" w:type="dxa"/>
                  </w:tcMar>
                  <w:vAlign w:val="center"/>
                  <w:hideMark/>
                </w:tcPr>
                <w:p w14:paraId="5417CEC5" w14:textId="77777777" w:rsidR="00736630" w:rsidRPr="005D4222" w:rsidRDefault="00736630" w:rsidP="00A53E8C">
                  <w:pPr>
                    <w:pStyle w:val="TableText"/>
                  </w:pPr>
                  <w:r w:rsidRPr="005D4222">
                    <w:t>For each Stratification</w:t>
                  </w:r>
                </w:p>
              </w:tc>
            </w:tr>
            <w:tr w:rsidR="00736630" w:rsidRPr="005D4222" w14:paraId="7643EF2D" w14:textId="77777777" w:rsidTr="004F4F28">
              <w:trPr>
                <w:trHeight w:val="343"/>
              </w:trPr>
              <w:tc>
                <w:tcPr>
                  <w:tcW w:w="1598" w:type="dxa"/>
                  <w:tcBorders>
                    <w:top w:val="nil"/>
                    <w:left w:val="nil"/>
                    <w:bottom w:val="nil"/>
                    <w:right w:val="single" w:sz="4" w:space="0" w:color="auto"/>
                  </w:tcBorders>
                  <w:shd w:val="clear" w:color="auto" w:fill="FFFFFF"/>
                  <w:noWrap/>
                  <w:tcMar>
                    <w:left w:w="72" w:type="dxa"/>
                    <w:right w:w="72" w:type="dxa"/>
                  </w:tcMar>
                  <w:vAlign w:val="center"/>
                  <w:hideMark/>
                </w:tcPr>
                <w:p w14:paraId="12DFA03C" w14:textId="77777777" w:rsidR="00736630" w:rsidRPr="005D4222" w:rsidRDefault="00736630" w:rsidP="00A53E8C">
                  <w:pPr>
                    <w:pStyle w:val="TableText"/>
                  </w:pPr>
                  <w:r w:rsidRPr="005D4222">
                    <w:t xml:space="preserve"> </w:t>
                  </w:r>
                </w:p>
              </w:tc>
              <w:tc>
                <w:tcPr>
                  <w:tcW w:w="781"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vAlign w:val="center"/>
                  <w:hideMark/>
                </w:tcPr>
                <w:p w14:paraId="2812E787" w14:textId="77777777" w:rsidR="00736630" w:rsidRPr="005D4222" w:rsidRDefault="00736630" w:rsidP="00A53E8C">
                  <w:pPr>
                    <w:pStyle w:val="TableText"/>
                  </w:pPr>
                  <w:r w:rsidRPr="005D4222">
                    <w:t>3</w:t>
                  </w:r>
                </w:p>
              </w:tc>
              <w:tc>
                <w:tcPr>
                  <w:tcW w:w="852"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vAlign w:val="center"/>
                  <w:hideMark/>
                </w:tcPr>
                <w:p w14:paraId="7848F5B0" w14:textId="77777777" w:rsidR="00736630" w:rsidRPr="005D4222" w:rsidRDefault="00736630" w:rsidP="00A53E8C">
                  <w:pPr>
                    <w:pStyle w:val="TableText"/>
                  </w:pPr>
                  <w:r w:rsidRPr="005D4222">
                    <w:t>45-64</w:t>
                  </w:r>
                </w:p>
              </w:tc>
              <w:tc>
                <w:tcPr>
                  <w:tcW w:w="1890" w:type="dxa"/>
                  <w:tcBorders>
                    <w:top w:val="single" w:sz="4" w:space="0" w:color="auto"/>
                    <w:left w:val="single" w:sz="4" w:space="0" w:color="auto"/>
                    <w:bottom w:val="single" w:sz="4" w:space="0" w:color="auto"/>
                    <w:right w:val="single" w:sz="4" w:space="0" w:color="auto"/>
                  </w:tcBorders>
                  <w:noWrap/>
                  <w:tcMar>
                    <w:left w:w="72" w:type="dxa"/>
                    <w:right w:w="72" w:type="dxa"/>
                  </w:tcMar>
                  <w:vAlign w:val="center"/>
                  <w:hideMark/>
                </w:tcPr>
                <w:p w14:paraId="2206645D" w14:textId="77777777" w:rsidR="00736630" w:rsidRPr="005D4222" w:rsidRDefault="00736630" w:rsidP="00A53E8C">
                  <w:pPr>
                    <w:pStyle w:val="TableText"/>
                  </w:pPr>
                  <w:r w:rsidRPr="005D4222">
                    <w:t>Denominator</w:t>
                  </w:r>
                </w:p>
              </w:tc>
              <w:tc>
                <w:tcPr>
                  <w:tcW w:w="2246" w:type="dxa"/>
                  <w:tcBorders>
                    <w:top w:val="single" w:sz="4" w:space="0" w:color="auto"/>
                    <w:left w:val="single" w:sz="4" w:space="0" w:color="auto"/>
                    <w:bottom w:val="single" w:sz="4" w:space="0" w:color="auto"/>
                    <w:right w:val="single" w:sz="4" w:space="0" w:color="auto"/>
                  </w:tcBorders>
                  <w:tcMar>
                    <w:left w:w="72" w:type="dxa"/>
                    <w:right w:w="72" w:type="dxa"/>
                  </w:tcMar>
                  <w:vAlign w:val="center"/>
                  <w:hideMark/>
                </w:tcPr>
                <w:p w14:paraId="6A450E56" w14:textId="77777777" w:rsidR="00736630" w:rsidRPr="005D4222" w:rsidRDefault="00736630" w:rsidP="00A53E8C">
                  <w:pPr>
                    <w:pStyle w:val="TableText"/>
                  </w:pPr>
                  <w:r w:rsidRPr="005D4222">
                    <w:t>For each Stratification</w:t>
                  </w:r>
                </w:p>
              </w:tc>
            </w:tr>
            <w:tr w:rsidR="00736630" w:rsidRPr="005D4222" w14:paraId="0BE5E676" w14:textId="77777777" w:rsidTr="004F4F28">
              <w:trPr>
                <w:trHeight w:val="343"/>
              </w:trPr>
              <w:tc>
                <w:tcPr>
                  <w:tcW w:w="1598" w:type="dxa"/>
                  <w:tcBorders>
                    <w:top w:val="nil"/>
                    <w:left w:val="nil"/>
                    <w:bottom w:val="nil"/>
                    <w:right w:val="single" w:sz="4" w:space="0" w:color="auto"/>
                  </w:tcBorders>
                  <w:shd w:val="clear" w:color="auto" w:fill="FFFFFF"/>
                  <w:noWrap/>
                  <w:tcMar>
                    <w:left w:w="72" w:type="dxa"/>
                    <w:right w:w="72" w:type="dxa"/>
                  </w:tcMar>
                  <w:vAlign w:val="center"/>
                  <w:hideMark/>
                </w:tcPr>
                <w:p w14:paraId="273B8DCE" w14:textId="77777777" w:rsidR="00736630" w:rsidRPr="005D4222" w:rsidRDefault="00736630" w:rsidP="00A53E8C">
                  <w:pPr>
                    <w:pStyle w:val="TableText"/>
                  </w:pPr>
                  <w:r w:rsidRPr="005D4222">
                    <w:t xml:space="preserve"> </w:t>
                  </w:r>
                </w:p>
              </w:tc>
              <w:tc>
                <w:tcPr>
                  <w:tcW w:w="781" w:type="dxa"/>
                  <w:tcBorders>
                    <w:top w:val="single" w:sz="4" w:space="0" w:color="auto"/>
                    <w:left w:val="nil"/>
                    <w:bottom w:val="single" w:sz="4" w:space="0" w:color="auto"/>
                    <w:right w:val="single" w:sz="4" w:space="0" w:color="auto"/>
                  </w:tcBorders>
                  <w:shd w:val="clear" w:color="auto" w:fill="D9D9D9"/>
                  <w:tcMar>
                    <w:left w:w="72" w:type="dxa"/>
                    <w:right w:w="72" w:type="dxa"/>
                  </w:tcMar>
                  <w:vAlign w:val="center"/>
                  <w:hideMark/>
                </w:tcPr>
                <w:p w14:paraId="32BBE670" w14:textId="77777777" w:rsidR="00736630" w:rsidRPr="005D4222" w:rsidRDefault="00736630" w:rsidP="00A53E8C">
                  <w:pPr>
                    <w:pStyle w:val="TableText"/>
                  </w:pPr>
                  <w:r w:rsidRPr="005D4222">
                    <w:t>Total</w:t>
                  </w:r>
                </w:p>
              </w:tc>
              <w:tc>
                <w:tcPr>
                  <w:tcW w:w="852"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vAlign w:val="center"/>
                  <w:hideMark/>
                </w:tcPr>
                <w:p w14:paraId="6D841EEA" w14:textId="77777777" w:rsidR="00736630" w:rsidRPr="005D4222" w:rsidRDefault="00736630" w:rsidP="00A53E8C">
                  <w:pPr>
                    <w:pStyle w:val="TableText"/>
                  </w:pPr>
                  <w:r w:rsidRPr="005D4222">
                    <w:t>65+</w:t>
                  </w:r>
                </w:p>
              </w:tc>
              <w:tc>
                <w:tcPr>
                  <w:tcW w:w="1890" w:type="dxa"/>
                  <w:tcBorders>
                    <w:top w:val="single" w:sz="4" w:space="0" w:color="auto"/>
                    <w:left w:val="single" w:sz="4" w:space="0" w:color="auto"/>
                    <w:bottom w:val="single" w:sz="4" w:space="0" w:color="auto"/>
                    <w:right w:val="single" w:sz="4" w:space="0" w:color="auto"/>
                  </w:tcBorders>
                  <w:shd w:val="clear" w:color="auto" w:fill="FFFFFF"/>
                  <w:noWrap/>
                  <w:tcMar>
                    <w:left w:w="72" w:type="dxa"/>
                    <w:right w:w="72" w:type="dxa"/>
                  </w:tcMar>
                  <w:vAlign w:val="center"/>
                  <w:hideMark/>
                </w:tcPr>
                <w:p w14:paraId="00A2FB1C" w14:textId="77777777" w:rsidR="00736630" w:rsidRPr="005D4222" w:rsidRDefault="00736630" w:rsidP="00A53E8C">
                  <w:pPr>
                    <w:pStyle w:val="TableText"/>
                  </w:pPr>
                  <w:r w:rsidRPr="005D4222">
                    <w:t>Numerator</w:t>
                  </w:r>
                </w:p>
              </w:tc>
              <w:tc>
                <w:tcPr>
                  <w:tcW w:w="2246"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vAlign w:val="center"/>
                  <w:hideMark/>
                </w:tcPr>
                <w:p w14:paraId="07881DA5" w14:textId="77777777" w:rsidR="00736630" w:rsidRPr="005D4222" w:rsidRDefault="00736630" w:rsidP="00A53E8C">
                  <w:pPr>
                    <w:pStyle w:val="TableText"/>
                  </w:pPr>
                  <w:r w:rsidRPr="005D4222">
                    <w:t>For each Stratification</w:t>
                  </w:r>
                </w:p>
              </w:tc>
            </w:tr>
            <w:tr w:rsidR="00736630" w:rsidRPr="005D4222" w14:paraId="7821D5FF" w14:textId="77777777" w:rsidTr="004F4F28">
              <w:trPr>
                <w:trHeight w:val="343"/>
              </w:trPr>
              <w:tc>
                <w:tcPr>
                  <w:tcW w:w="1598" w:type="dxa"/>
                  <w:shd w:val="clear" w:color="auto" w:fill="FFFFFF"/>
                  <w:noWrap/>
                  <w:tcMar>
                    <w:left w:w="72" w:type="dxa"/>
                    <w:right w:w="72" w:type="dxa"/>
                  </w:tcMar>
                  <w:vAlign w:val="center"/>
                  <w:hideMark/>
                </w:tcPr>
                <w:p w14:paraId="0DC6FF98" w14:textId="77777777" w:rsidR="00736630" w:rsidRPr="005D4222" w:rsidRDefault="00736630" w:rsidP="00A53E8C">
                  <w:pPr>
                    <w:pStyle w:val="TableText"/>
                  </w:pPr>
                </w:p>
              </w:tc>
              <w:tc>
                <w:tcPr>
                  <w:tcW w:w="781" w:type="dxa"/>
                  <w:tcBorders>
                    <w:top w:val="single" w:sz="4" w:space="0" w:color="auto"/>
                    <w:left w:val="nil"/>
                    <w:bottom w:val="nil"/>
                    <w:right w:val="single" w:sz="4" w:space="0" w:color="auto"/>
                  </w:tcBorders>
                  <w:tcMar>
                    <w:left w:w="72" w:type="dxa"/>
                    <w:right w:w="72" w:type="dxa"/>
                  </w:tcMar>
                </w:tcPr>
                <w:p w14:paraId="26482753" w14:textId="77777777" w:rsidR="00736630" w:rsidRPr="005D4222" w:rsidRDefault="00736630" w:rsidP="00A53E8C">
                  <w:pPr>
                    <w:pStyle w:val="TableText"/>
                  </w:pPr>
                </w:p>
              </w:tc>
              <w:tc>
                <w:tcPr>
                  <w:tcW w:w="852" w:type="dxa"/>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vAlign w:val="center"/>
                  <w:hideMark/>
                </w:tcPr>
                <w:p w14:paraId="391966B8" w14:textId="77777777" w:rsidR="00736630" w:rsidRPr="005D4222" w:rsidRDefault="00736630" w:rsidP="00A53E8C">
                  <w:pPr>
                    <w:pStyle w:val="TableText"/>
                  </w:pPr>
                  <w:r w:rsidRPr="005D4222">
                    <w:t>Total</w:t>
                  </w:r>
                </w:p>
              </w:tc>
              <w:tc>
                <w:tcPr>
                  <w:tcW w:w="1890" w:type="dxa"/>
                  <w:tcBorders>
                    <w:top w:val="single" w:sz="4" w:space="0" w:color="auto"/>
                    <w:left w:val="single" w:sz="4" w:space="0" w:color="auto"/>
                    <w:bottom w:val="single" w:sz="4" w:space="0" w:color="auto"/>
                    <w:right w:val="single" w:sz="4" w:space="0" w:color="auto"/>
                  </w:tcBorders>
                  <w:shd w:val="clear" w:color="auto" w:fill="D9D9D9"/>
                  <w:noWrap/>
                  <w:tcMar>
                    <w:left w:w="72" w:type="dxa"/>
                    <w:right w:w="72" w:type="dxa"/>
                  </w:tcMar>
                  <w:vAlign w:val="center"/>
                  <w:hideMark/>
                </w:tcPr>
                <w:p w14:paraId="1E866E96" w14:textId="77777777" w:rsidR="00736630" w:rsidRPr="005D4222" w:rsidRDefault="00736630" w:rsidP="00A53E8C">
                  <w:pPr>
                    <w:pStyle w:val="TableText"/>
                  </w:pPr>
                  <w:r w:rsidRPr="005D4222">
                    <w:t>Rate</w:t>
                  </w:r>
                </w:p>
              </w:tc>
              <w:tc>
                <w:tcPr>
                  <w:tcW w:w="2246" w:type="dxa"/>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vAlign w:val="center"/>
                  <w:hideMark/>
                </w:tcPr>
                <w:p w14:paraId="264D2219" w14:textId="77777777" w:rsidR="00736630" w:rsidRPr="005D4222" w:rsidRDefault="00736630" w:rsidP="00A53E8C">
                  <w:pPr>
                    <w:pStyle w:val="TableText"/>
                  </w:pPr>
                  <w:r w:rsidRPr="005D4222">
                    <w:t>(Percent)</w:t>
                  </w:r>
                </w:p>
              </w:tc>
            </w:tr>
          </w:tbl>
          <w:p w14:paraId="451B8B53" w14:textId="77777777" w:rsidR="00736630" w:rsidRPr="005D4222" w:rsidRDefault="00736630" w:rsidP="00A53E8C">
            <w:pPr>
              <w:pStyle w:val="Heading3"/>
            </w:pPr>
            <w:r w:rsidRPr="005D4222">
              <w:t>Table DMS-E-3: Data Elements for Utilization of the PHQ-9 to Monitor Depression Symptoms for Adolescents and Adults</w:t>
            </w:r>
          </w:p>
          <w:tbl>
            <w:tblPr>
              <w:tblW w:w="5000" w:type="pct"/>
              <w:tblLayout w:type="fixed"/>
              <w:tblLook w:val="04A0" w:firstRow="1" w:lastRow="0" w:firstColumn="1" w:lastColumn="0" w:noHBand="0" w:noVBand="1"/>
            </w:tblPr>
            <w:tblGrid>
              <w:gridCol w:w="1598"/>
              <w:gridCol w:w="781"/>
              <w:gridCol w:w="852"/>
              <w:gridCol w:w="1890"/>
              <w:gridCol w:w="2246"/>
            </w:tblGrid>
            <w:tr w:rsidR="00736630" w:rsidRPr="005D4222" w14:paraId="430D3273" w14:textId="77777777" w:rsidTr="004F4F28">
              <w:trPr>
                <w:trHeight w:val="343"/>
              </w:trPr>
              <w:tc>
                <w:tcPr>
                  <w:tcW w:w="1598" w:type="dxa"/>
                  <w:tcBorders>
                    <w:top w:val="single" w:sz="8" w:space="0" w:color="auto"/>
                    <w:left w:val="single" w:sz="8" w:space="0" w:color="auto"/>
                    <w:bottom w:val="single" w:sz="4" w:space="0" w:color="auto"/>
                    <w:right w:val="single" w:sz="6" w:space="0" w:color="FFFFFF"/>
                  </w:tcBorders>
                  <w:shd w:val="clear" w:color="auto" w:fill="000000"/>
                  <w:noWrap/>
                  <w:tcMar>
                    <w:left w:w="72" w:type="dxa"/>
                    <w:right w:w="72" w:type="dxa"/>
                  </w:tcMar>
                  <w:vAlign w:val="bottom"/>
                  <w:hideMark/>
                </w:tcPr>
                <w:p w14:paraId="4CBCDA60" w14:textId="77777777" w:rsidR="00736630" w:rsidRPr="005D4222" w:rsidRDefault="00736630" w:rsidP="00A53E8C">
                  <w:pPr>
                    <w:pStyle w:val="TableHead"/>
                    <w:rPr>
                      <w:b w:val="0"/>
                      <w:kern w:val="20"/>
                    </w:rPr>
                  </w:pPr>
                  <w:r w:rsidRPr="005D4222">
                    <w:t>Metric</w:t>
                  </w:r>
                </w:p>
              </w:tc>
              <w:tc>
                <w:tcPr>
                  <w:tcW w:w="781" w:type="dxa"/>
                  <w:tcBorders>
                    <w:top w:val="single" w:sz="8" w:space="0" w:color="auto"/>
                    <w:left w:val="single" w:sz="6" w:space="0" w:color="FFFFFF"/>
                    <w:bottom w:val="single" w:sz="4" w:space="0" w:color="auto"/>
                    <w:right w:val="single" w:sz="6" w:space="0" w:color="FFFFFF"/>
                  </w:tcBorders>
                  <w:shd w:val="clear" w:color="auto" w:fill="000000"/>
                  <w:tcMar>
                    <w:left w:w="72" w:type="dxa"/>
                    <w:right w:w="72" w:type="dxa"/>
                  </w:tcMar>
                  <w:vAlign w:val="bottom"/>
                  <w:hideMark/>
                </w:tcPr>
                <w:p w14:paraId="04126BF2" w14:textId="77777777" w:rsidR="00736630" w:rsidRPr="005D4222" w:rsidRDefault="00736630" w:rsidP="00A53E8C">
                  <w:pPr>
                    <w:pStyle w:val="TableHead"/>
                  </w:pPr>
                  <w:r w:rsidRPr="005D4222">
                    <w:t>Time Period</w:t>
                  </w:r>
                </w:p>
              </w:tc>
              <w:tc>
                <w:tcPr>
                  <w:tcW w:w="852" w:type="dxa"/>
                  <w:tcBorders>
                    <w:top w:val="single" w:sz="8" w:space="0" w:color="auto"/>
                    <w:left w:val="single" w:sz="6" w:space="0" w:color="FFFFFF"/>
                    <w:bottom w:val="single" w:sz="4" w:space="0" w:color="auto"/>
                    <w:right w:val="single" w:sz="6" w:space="0" w:color="FFFFFF"/>
                  </w:tcBorders>
                  <w:shd w:val="clear" w:color="auto" w:fill="000000"/>
                  <w:tcMar>
                    <w:left w:w="72" w:type="dxa"/>
                    <w:right w:w="72" w:type="dxa"/>
                  </w:tcMar>
                  <w:vAlign w:val="bottom"/>
                  <w:hideMark/>
                </w:tcPr>
                <w:p w14:paraId="51C3D8F0" w14:textId="77777777" w:rsidR="00736630" w:rsidRPr="005D4222" w:rsidRDefault="00736630" w:rsidP="00A53E8C">
                  <w:pPr>
                    <w:pStyle w:val="TableHead"/>
                  </w:pPr>
                  <w:r w:rsidRPr="005D4222">
                    <w:t>Age</w:t>
                  </w:r>
                </w:p>
              </w:tc>
              <w:tc>
                <w:tcPr>
                  <w:tcW w:w="1890" w:type="dxa"/>
                  <w:tcBorders>
                    <w:top w:val="single" w:sz="8" w:space="0" w:color="auto"/>
                    <w:left w:val="single" w:sz="6" w:space="0" w:color="FFFFFF"/>
                    <w:bottom w:val="single" w:sz="4" w:space="0" w:color="auto"/>
                    <w:right w:val="single" w:sz="4" w:space="0" w:color="FFFFFF"/>
                  </w:tcBorders>
                  <w:shd w:val="clear" w:color="auto" w:fill="000000"/>
                  <w:noWrap/>
                  <w:tcMar>
                    <w:left w:w="72" w:type="dxa"/>
                    <w:right w:w="72" w:type="dxa"/>
                  </w:tcMar>
                  <w:vAlign w:val="bottom"/>
                  <w:hideMark/>
                </w:tcPr>
                <w:p w14:paraId="6166479A" w14:textId="77777777" w:rsidR="00736630" w:rsidRPr="005D4222" w:rsidRDefault="00736630" w:rsidP="00A53E8C">
                  <w:pPr>
                    <w:pStyle w:val="TableHead"/>
                  </w:pPr>
                  <w:r w:rsidRPr="005D4222">
                    <w:t>Data Element</w:t>
                  </w:r>
                </w:p>
              </w:tc>
              <w:tc>
                <w:tcPr>
                  <w:tcW w:w="2246" w:type="dxa"/>
                  <w:tcBorders>
                    <w:top w:val="single" w:sz="8" w:space="0" w:color="auto"/>
                    <w:left w:val="single" w:sz="4" w:space="0" w:color="FFFFFF"/>
                    <w:bottom w:val="single" w:sz="4" w:space="0" w:color="auto"/>
                    <w:right w:val="single" w:sz="8" w:space="0" w:color="auto"/>
                  </w:tcBorders>
                  <w:shd w:val="clear" w:color="auto" w:fill="000000"/>
                  <w:tcMar>
                    <w:left w:w="72" w:type="dxa"/>
                    <w:right w:w="72" w:type="dxa"/>
                  </w:tcMar>
                  <w:vAlign w:val="bottom"/>
                  <w:hideMark/>
                </w:tcPr>
                <w:p w14:paraId="2BD5C5AC" w14:textId="77777777" w:rsidR="00736630" w:rsidRPr="005D4222" w:rsidRDefault="00736630" w:rsidP="00A53E8C">
                  <w:pPr>
                    <w:pStyle w:val="TableHead"/>
                  </w:pPr>
                  <w:r w:rsidRPr="005D4222">
                    <w:t>Reporting Instructions</w:t>
                  </w:r>
                </w:p>
              </w:tc>
            </w:tr>
            <w:tr w:rsidR="00736630" w:rsidRPr="005D4222" w14:paraId="6A868BAA" w14:textId="77777777" w:rsidTr="004F4F28">
              <w:trPr>
                <w:trHeight w:val="343"/>
              </w:trPr>
              <w:tc>
                <w:tcPr>
                  <w:tcW w:w="1598" w:type="dxa"/>
                  <w:tcBorders>
                    <w:top w:val="single" w:sz="4" w:space="0" w:color="auto"/>
                    <w:left w:val="single" w:sz="4" w:space="0" w:color="auto"/>
                    <w:bottom w:val="single" w:sz="4" w:space="0" w:color="auto"/>
                    <w:right w:val="single" w:sz="4" w:space="0" w:color="auto"/>
                  </w:tcBorders>
                  <w:shd w:val="clear" w:color="auto" w:fill="FFFFFF"/>
                  <w:noWrap/>
                  <w:tcMar>
                    <w:left w:w="72" w:type="dxa"/>
                    <w:right w:w="72" w:type="dxa"/>
                  </w:tcMar>
                  <w:vAlign w:val="center"/>
                  <w:hideMark/>
                </w:tcPr>
                <w:p w14:paraId="6C552CE2" w14:textId="77777777" w:rsidR="00736630" w:rsidRPr="005D4222" w:rsidRDefault="00736630" w:rsidP="00A53E8C">
                  <w:pPr>
                    <w:pStyle w:val="TableText"/>
                  </w:pPr>
                  <w:r w:rsidRPr="005D4222">
                    <w:t>PHQ9Utilization</w:t>
                  </w:r>
                </w:p>
              </w:tc>
              <w:tc>
                <w:tcPr>
                  <w:tcW w:w="781"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vAlign w:val="center"/>
                  <w:hideMark/>
                </w:tcPr>
                <w:p w14:paraId="1AA7C268" w14:textId="77777777" w:rsidR="00736630" w:rsidRPr="005D4222" w:rsidRDefault="00736630" w:rsidP="00A53E8C">
                  <w:pPr>
                    <w:pStyle w:val="TableText"/>
                  </w:pPr>
                  <w:r w:rsidRPr="005D4222">
                    <w:t>1</w:t>
                  </w:r>
                </w:p>
              </w:tc>
              <w:tc>
                <w:tcPr>
                  <w:tcW w:w="852"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vAlign w:val="center"/>
                  <w:hideMark/>
                </w:tcPr>
                <w:p w14:paraId="30D9BD44" w14:textId="77777777" w:rsidR="00736630" w:rsidRPr="005D4222" w:rsidRDefault="00736630" w:rsidP="00A53E8C">
                  <w:pPr>
                    <w:pStyle w:val="TableText"/>
                  </w:pPr>
                  <w:r w:rsidRPr="005D4222">
                    <w:t>18-44</w:t>
                  </w:r>
                </w:p>
              </w:tc>
              <w:tc>
                <w:tcPr>
                  <w:tcW w:w="1890" w:type="dxa"/>
                  <w:tcBorders>
                    <w:top w:val="single" w:sz="4" w:space="0" w:color="auto"/>
                    <w:left w:val="single" w:sz="4" w:space="0" w:color="auto"/>
                    <w:bottom w:val="single" w:sz="4" w:space="0" w:color="auto"/>
                    <w:right w:val="single" w:sz="4" w:space="0" w:color="auto"/>
                  </w:tcBorders>
                  <w:shd w:val="clear" w:color="auto" w:fill="FFFFFF"/>
                  <w:noWrap/>
                  <w:tcMar>
                    <w:left w:w="72" w:type="dxa"/>
                    <w:right w:w="72" w:type="dxa"/>
                  </w:tcMar>
                  <w:vAlign w:val="center"/>
                  <w:hideMark/>
                </w:tcPr>
                <w:p w14:paraId="2C3E96FF" w14:textId="77777777" w:rsidR="00736630" w:rsidRPr="005D4222" w:rsidRDefault="00736630" w:rsidP="00A53E8C">
                  <w:pPr>
                    <w:pStyle w:val="TableText"/>
                  </w:pPr>
                  <w:r w:rsidRPr="005D4222">
                    <w:t>InitialPopulation</w:t>
                  </w:r>
                </w:p>
              </w:tc>
              <w:tc>
                <w:tcPr>
                  <w:tcW w:w="2246"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vAlign w:val="center"/>
                  <w:hideMark/>
                </w:tcPr>
                <w:p w14:paraId="78337E70" w14:textId="77777777" w:rsidR="00736630" w:rsidRPr="005D4222" w:rsidRDefault="00736630" w:rsidP="00A53E8C">
                  <w:pPr>
                    <w:pStyle w:val="TableText"/>
                  </w:pPr>
                  <w:r w:rsidRPr="005D4222">
                    <w:t>For each Stratification</w:t>
                  </w:r>
                </w:p>
              </w:tc>
            </w:tr>
            <w:tr w:rsidR="00736630" w:rsidRPr="005D4222" w14:paraId="2707F5DF" w14:textId="77777777" w:rsidTr="004F4F28">
              <w:trPr>
                <w:trHeight w:val="343"/>
              </w:trPr>
              <w:tc>
                <w:tcPr>
                  <w:tcW w:w="1598" w:type="dxa"/>
                  <w:tcBorders>
                    <w:top w:val="single" w:sz="4" w:space="0" w:color="auto"/>
                    <w:left w:val="nil"/>
                    <w:bottom w:val="nil"/>
                    <w:right w:val="single" w:sz="4" w:space="0" w:color="auto"/>
                  </w:tcBorders>
                  <w:shd w:val="clear" w:color="auto" w:fill="FFFFFF"/>
                  <w:noWrap/>
                  <w:tcMar>
                    <w:left w:w="72" w:type="dxa"/>
                    <w:right w:w="72" w:type="dxa"/>
                  </w:tcMar>
                  <w:vAlign w:val="center"/>
                  <w:hideMark/>
                </w:tcPr>
                <w:p w14:paraId="46A8F810" w14:textId="77777777" w:rsidR="00736630" w:rsidRPr="005D4222" w:rsidRDefault="00736630" w:rsidP="00A53E8C">
                  <w:pPr>
                    <w:pStyle w:val="TableText"/>
                  </w:pPr>
                </w:p>
              </w:tc>
              <w:tc>
                <w:tcPr>
                  <w:tcW w:w="781" w:type="dxa"/>
                  <w:tcBorders>
                    <w:top w:val="single" w:sz="4" w:space="0" w:color="auto"/>
                    <w:left w:val="nil"/>
                    <w:bottom w:val="single" w:sz="4" w:space="0" w:color="auto"/>
                    <w:right w:val="single" w:sz="4" w:space="0" w:color="auto"/>
                  </w:tcBorders>
                  <w:shd w:val="clear" w:color="auto" w:fill="FFFFFF"/>
                  <w:tcMar>
                    <w:left w:w="72" w:type="dxa"/>
                    <w:right w:w="72" w:type="dxa"/>
                  </w:tcMar>
                  <w:vAlign w:val="center"/>
                  <w:hideMark/>
                </w:tcPr>
                <w:p w14:paraId="5B414897" w14:textId="77777777" w:rsidR="00736630" w:rsidRPr="005D4222" w:rsidRDefault="00736630" w:rsidP="00A53E8C">
                  <w:pPr>
                    <w:pStyle w:val="TableText"/>
                  </w:pPr>
                  <w:r w:rsidRPr="005D4222">
                    <w:t>2</w:t>
                  </w:r>
                </w:p>
              </w:tc>
              <w:tc>
                <w:tcPr>
                  <w:tcW w:w="852"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vAlign w:val="center"/>
                  <w:hideMark/>
                </w:tcPr>
                <w:p w14:paraId="728AAD55" w14:textId="77777777" w:rsidR="00736630" w:rsidRPr="005D4222" w:rsidRDefault="00736630" w:rsidP="00A53E8C">
                  <w:pPr>
                    <w:pStyle w:val="TableText"/>
                  </w:pPr>
                  <w:r w:rsidRPr="005D4222">
                    <w:t>45-64</w:t>
                  </w:r>
                </w:p>
              </w:tc>
              <w:tc>
                <w:tcPr>
                  <w:tcW w:w="1890" w:type="dxa"/>
                  <w:tcBorders>
                    <w:top w:val="single" w:sz="4" w:space="0" w:color="auto"/>
                    <w:left w:val="single" w:sz="4" w:space="0" w:color="auto"/>
                    <w:bottom w:val="single" w:sz="4" w:space="0" w:color="auto"/>
                    <w:right w:val="single" w:sz="4" w:space="0" w:color="auto"/>
                  </w:tcBorders>
                  <w:noWrap/>
                  <w:tcMar>
                    <w:left w:w="72" w:type="dxa"/>
                    <w:right w:w="72" w:type="dxa"/>
                  </w:tcMar>
                  <w:vAlign w:val="center"/>
                  <w:hideMark/>
                </w:tcPr>
                <w:p w14:paraId="4D2885F9" w14:textId="77777777" w:rsidR="00736630" w:rsidRPr="005D4222" w:rsidRDefault="00736630" w:rsidP="00A53E8C">
                  <w:pPr>
                    <w:pStyle w:val="TableText"/>
                  </w:pPr>
                  <w:r w:rsidRPr="005D4222">
                    <w:t>Exclusions</w:t>
                  </w:r>
                </w:p>
              </w:tc>
              <w:tc>
                <w:tcPr>
                  <w:tcW w:w="2246" w:type="dxa"/>
                  <w:tcBorders>
                    <w:top w:val="single" w:sz="4" w:space="0" w:color="auto"/>
                    <w:left w:val="single" w:sz="4" w:space="0" w:color="auto"/>
                    <w:bottom w:val="single" w:sz="4" w:space="0" w:color="auto"/>
                    <w:right w:val="single" w:sz="4" w:space="0" w:color="auto"/>
                  </w:tcBorders>
                  <w:tcMar>
                    <w:left w:w="72" w:type="dxa"/>
                    <w:right w:w="72" w:type="dxa"/>
                  </w:tcMar>
                  <w:vAlign w:val="center"/>
                  <w:hideMark/>
                </w:tcPr>
                <w:p w14:paraId="26A8711C" w14:textId="77777777" w:rsidR="00736630" w:rsidRPr="005D4222" w:rsidRDefault="00736630" w:rsidP="00A53E8C">
                  <w:pPr>
                    <w:pStyle w:val="TableText"/>
                  </w:pPr>
                  <w:r w:rsidRPr="005D4222">
                    <w:t>For each Stratification</w:t>
                  </w:r>
                </w:p>
              </w:tc>
            </w:tr>
            <w:tr w:rsidR="00736630" w:rsidRPr="005D4222" w14:paraId="757AE118" w14:textId="77777777" w:rsidTr="004F4F28">
              <w:trPr>
                <w:trHeight w:val="343"/>
              </w:trPr>
              <w:tc>
                <w:tcPr>
                  <w:tcW w:w="1598" w:type="dxa"/>
                  <w:tcBorders>
                    <w:top w:val="nil"/>
                    <w:left w:val="nil"/>
                    <w:bottom w:val="nil"/>
                    <w:right w:val="single" w:sz="4" w:space="0" w:color="auto"/>
                  </w:tcBorders>
                  <w:shd w:val="clear" w:color="auto" w:fill="FFFFFF"/>
                  <w:noWrap/>
                  <w:tcMar>
                    <w:left w:w="72" w:type="dxa"/>
                    <w:right w:w="72" w:type="dxa"/>
                  </w:tcMar>
                  <w:vAlign w:val="center"/>
                  <w:hideMark/>
                </w:tcPr>
                <w:p w14:paraId="7770366A" w14:textId="77777777" w:rsidR="00736630" w:rsidRPr="005D4222" w:rsidRDefault="00736630" w:rsidP="00A53E8C">
                  <w:pPr>
                    <w:pStyle w:val="TableText"/>
                  </w:pPr>
                  <w:r w:rsidRPr="005D4222">
                    <w:t xml:space="preserve"> </w:t>
                  </w:r>
                </w:p>
              </w:tc>
              <w:tc>
                <w:tcPr>
                  <w:tcW w:w="781"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vAlign w:val="center"/>
                  <w:hideMark/>
                </w:tcPr>
                <w:p w14:paraId="26E46883" w14:textId="77777777" w:rsidR="00736630" w:rsidRPr="005D4222" w:rsidRDefault="00736630" w:rsidP="00A53E8C">
                  <w:pPr>
                    <w:pStyle w:val="TableText"/>
                  </w:pPr>
                  <w:r w:rsidRPr="005D4222">
                    <w:t>3</w:t>
                  </w:r>
                </w:p>
              </w:tc>
              <w:tc>
                <w:tcPr>
                  <w:tcW w:w="852"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vAlign w:val="center"/>
                  <w:hideMark/>
                </w:tcPr>
                <w:p w14:paraId="238A2190" w14:textId="77777777" w:rsidR="00736630" w:rsidRPr="005D4222" w:rsidRDefault="00736630" w:rsidP="00A53E8C">
                  <w:pPr>
                    <w:pStyle w:val="TableText"/>
                  </w:pPr>
                  <w:r w:rsidRPr="005D4222">
                    <w:t>65+</w:t>
                  </w:r>
                </w:p>
              </w:tc>
              <w:tc>
                <w:tcPr>
                  <w:tcW w:w="1890" w:type="dxa"/>
                  <w:tcBorders>
                    <w:top w:val="single" w:sz="4" w:space="0" w:color="auto"/>
                    <w:left w:val="single" w:sz="4" w:space="0" w:color="auto"/>
                    <w:bottom w:val="single" w:sz="4" w:space="0" w:color="auto"/>
                    <w:right w:val="single" w:sz="4" w:space="0" w:color="auto"/>
                  </w:tcBorders>
                  <w:noWrap/>
                  <w:tcMar>
                    <w:left w:w="72" w:type="dxa"/>
                    <w:right w:w="72" w:type="dxa"/>
                  </w:tcMar>
                  <w:vAlign w:val="center"/>
                  <w:hideMark/>
                </w:tcPr>
                <w:p w14:paraId="05365F18" w14:textId="77777777" w:rsidR="00736630" w:rsidRPr="005D4222" w:rsidRDefault="00736630" w:rsidP="00A53E8C">
                  <w:pPr>
                    <w:pStyle w:val="TableText"/>
                  </w:pPr>
                  <w:r w:rsidRPr="005D4222">
                    <w:t>Denominator</w:t>
                  </w:r>
                </w:p>
              </w:tc>
              <w:tc>
                <w:tcPr>
                  <w:tcW w:w="2246" w:type="dxa"/>
                  <w:tcBorders>
                    <w:top w:val="single" w:sz="4" w:space="0" w:color="auto"/>
                    <w:left w:val="single" w:sz="4" w:space="0" w:color="auto"/>
                    <w:bottom w:val="single" w:sz="4" w:space="0" w:color="auto"/>
                    <w:right w:val="single" w:sz="4" w:space="0" w:color="auto"/>
                  </w:tcBorders>
                  <w:tcMar>
                    <w:left w:w="72" w:type="dxa"/>
                    <w:right w:w="72" w:type="dxa"/>
                  </w:tcMar>
                  <w:vAlign w:val="center"/>
                  <w:hideMark/>
                </w:tcPr>
                <w:p w14:paraId="11EABDAA" w14:textId="77777777" w:rsidR="00736630" w:rsidRPr="005D4222" w:rsidRDefault="00736630" w:rsidP="00A53E8C">
                  <w:pPr>
                    <w:pStyle w:val="TableText"/>
                  </w:pPr>
                  <w:r w:rsidRPr="005D4222">
                    <w:t>For each Stratification</w:t>
                  </w:r>
                </w:p>
              </w:tc>
            </w:tr>
            <w:tr w:rsidR="00736630" w:rsidRPr="005D4222" w14:paraId="4D7061DF" w14:textId="77777777" w:rsidTr="004F4F28">
              <w:trPr>
                <w:trHeight w:val="343"/>
              </w:trPr>
              <w:tc>
                <w:tcPr>
                  <w:tcW w:w="1598" w:type="dxa"/>
                  <w:tcBorders>
                    <w:top w:val="nil"/>
                    <w:left w:val="nil"/>
                    <w:bottom w:val="nil"/>
                    <w:right w:val="single" w:sz="4" w:space="0" w:color="auto"/>
                  </w:tcBorders>
                  <w:shd w:val="clear" w:color="auto" w:fill="FFFFFF"/>
                  <w:noWrap/>
                  <w:tcMar>
                    <w:left w:w="72" w:type="dxa"/>
                    <w:right w:w="72" w:type="dxa"/>
                  </w:tcMar>
                  <w:vAlign w:val="center"/>
                  <w:hideMark/>
                </w:tcPr>
                <w:p w14:paraId="061A5AB8" w14:textId="77777777" w:rsidR="00736630" w:rsidRPr="005D4222" w:rsidRDefault="00736630" w:rsidP="00A53E8C">
                  <w:pPr>
                    <w:pStyle w:val="TableText"/>
                  </w:pPr>
                  <w:r w:rsidRPr="005D4222">
                    <w:t xml:space="preserve"> </w:t>
                  </w:r>
                </w:p>
              </w:tc>
              <w:tc>
                <w:tcPr>
                  <w:tcW w:w="781" w:type="dxa"/>
                  <w:tcBorders>
                    <w:top w:val="single" w:sz="4" w:space="0" w:color="auto"/>
                    <w:left w:val="nil"/>
                    <w:bottom w:val="single" w:sz="4" w:space="0" w:color="auto"/>
                    <w:right w:val="single" w:sz="4" w:space="0" w:color="auto"/>
                  </w:tcBorders>
                  <w:shd w:val="clear" w:color="auto" w:fill="D9D9D9"/>
                  <w:tcMar>
                    <w:left w:w="72" w:type="dxa"/>
                    <w:right w:w="72" w:type="dxa"/>
                  </w:tcMar>
                  <w:vAlign w:val="center"/>
                  <w:hideMark/>
                </w:tcPr>
                <w:p w14:paraId="3C170834" w14:textId="77777777" w:rsidR="00736630" w:rsidRPr="005D4222" w:rsidRDefault="00736630" w:rsidP="00A53E8C">
                  <w:pPr>
                    <w:pStyle w:val="TableText"/>
                  </w:pPr>
                  <w:r w:rsidRPr="005D4222">
                    <w:t>Total</w:t>
                  </w:r>
                </w:p>
              </w:tc>
              <w:tc>
                <w:tcPr>
                  <w:tcW w:w="852" w:type="dxa"/>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vAlign w:val="center"/>
                  <w:hideMark/>
                </w:tcPr>
                <w:p w14:paraId="5AA2980B" w14:textId="77777777" w:rsidR="00736630" w:rsidRPr="005D4222" w:rsidRDefault="00736630" w:rsidP="00A53E8C">
                  <w:pPr>
                    <w:pStyle w:val="TableText"/>
                  </w:pPr>
                  <w:r w:rsidRPr="005D4222">
                    <w:t>Total</w:t>
                  </w:r>
                </w:p>
              </w:tc>
              <w:tc>
                <w:tcPr>
                  <w:tcW w:w="1890" w:type="dxa"/>
                  <w:tcBorders>
                    <w:top w:val="single" w:sz="4" w:space="0" w:color="auto"/>
                    <w:left w:val="single" w:sz="4" w:space="0" w:color="auto"/>
                    <w:bottom w:val="single" w:sz="4" w:space="0" w:color="auto"/>
                    <w:right w:val="single" w:sz="4" w:space="0" w:color="auto"/>
                  </w:tcBorders>
                  <w:shd w:val="clear" w:color="auto" w:fill="FFFFFF"/>
                  <w:noWrap/>
                  <w:tcMar>
                    <w:left w:w="72" w:type="dxa"/>
                    <w:right w:w="72" w:type="dxa"/>
                  </w:tcMar>
                  <w:vAlign w:val="center"/>
                  <w:hideMark/>
                </w:tcPr>
                <w:p w14:paraId="2AAFC014" w14:textId="77777777" w:rsidR="00736630" w:rsidRPr="005D4222" w:rsidRDefault="00736630" w:rsidP="00A53E8C">
                  <w:pPr>
                    <w:pStyle w:val="TableText"/>
                  </w:pPr>
                  <w:r w:rsidRPr="005D4222">
                    <w:t>Numerator</w:t>
                  </w:r>
                </w:p>
              </w:tc>
              <w:tc>
                <w:tcPr>
                  <w:tcW w:w="2246"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vAlign w:val="center"/>
                  <w:hideMark/>
                </w:tcPr>
                <w:p w14:paraId="33689030" w14:textId="77777777" w:rsidR="00736630" w:rsidRPr="005D4222" w:rsidRDefault="00736630" w:rsidP="00A53E8C">
                  <w:pPr>
                    <w:pStyle w:val="TableText"/>
                  </w:pPr>
                  <w:r w:rsidRPr="005D4222">
                    <w:t>For each Stratification</w:t>
                  </w:r>
                </w:p>
              </w:tc>
            </w:tr>
            <w:tr w:rsidR="00736630" w:rsidRPr="005D4222" w14:paraId="468D69DD" w14:textId="77777777" w:rsidTr="004F4F28">
              <w:trPr>
                <w:trHeight w:val="343"/>
              </w:trPr>
              <w:tc>
                <w:tcPr>
                  <w:tcW w:w="1598" w:type="dxa"/>
                  <w:shd w:val="clear" w:color="auto" w:fill="FFFFFF"/>
                  <w:noWrap/>
                  <w:tcMar>
                    <w:left w:w="72" w:type="dxa"/>
                    <w:right w:w="72" w:type="dxa"/>
                  </w:tcMar>
                  <w:vAlign w:val="center"/>
                  <w:hideMark/>
                </w:tcPr>
                <w:p w14:paraId="6B677915" w14:textId="77777777" w:rsidR="00736630" w:rsidRPr="005D4222" w:rsidRDefault="00736630" w:rsidP="00A53E8C">
                  <w:pPr>
                    <w:pStyle w:val="TableText"/>
                  </w:pPr>
                </w:p>
              </w:tc>
              <w:tc>
                <w:tcPr>
                  <w:tcW w:w="781" w:type="dxa"/>
                  <w:tcBorders>
                    <w:top w:val="single" w:sz="4" w:space="0" w:color="auto"/>
                    <w:left w:val="nil"/>
                    <w:bottom w:val="nil"/>
                    <w:right w:val="nil"/>
                  </w:tcBorders>
                  <w:tcMar>
                    <w:left w:w="72" w:type="dxa"/>
                    <w:right w:w="72" w:type="dxa"/>
                  </w:tcMar>
                  <w:vAlign w:val="center"/>
                </w:tcPr>
                <w:p w14:paraId="7B9D08FF" w14:textId="77777777" w:rsidR="00736630" w:rsidRPr="005D4222" w:rsidRDefault="00736630" w:rsidP="00A53E8C">
                  <w:pPr>
                    <w:pStyle w:val="TableText"/>
                  </w:pPr>
                </w:p>
              </w:tc>
              <w:tc>
                <w:tcPr>
                  <w:tcW w:w="852" w:type="dxa"/>
                  <w:tcBorders>
                    <w:top w:val="single" w:sz="4" w:space="0" w:color="auto"/>
                    <w:left w:val="nil"/>
                    <w:bottom w:val="nil"/>
                    <w:right w:val="single" w:sz="4" w:space="0" w:color="auto"/>
                  </w:tcBorders>
                  <w:shd w:val="clear" w:color="auto" w:fill="FFFFFF"/>
                  <w:tcMar>
                    <w:left w:w="72" w:type="dxa"/>
                    <w:right w:w="72" w:type="dxa"/>
                  </w:tcMar>
                  <w:vAlign w:val="center"/>
                </w:tcPr>
                <w:p w14:paraId="526F0DE8" w14:textId="77777777" w:rsidR="00736630" w:rsidRPr="005D4222" w:rsidRDefault="00736630" w:rsidP="00A53E8C">
                  <w:pPr>
                    <w:pStyle w:val="TableText"/>
                  </w:pPr>
                </w:p>
              </w:tc>
              <w:tc>
                <w:tcPr>
                  <w:tcW w:w="1890" w:type="dxa"/>
                  <w:tcBorders>
                    <w:top w:val="single" w:sz="4" w:space="0" w:color="auto"/>
                    <w:left w:val="single" w:sz="4" w:space="0" w:color="auto"/>
                    <w:bottom w:val="single" w:sz="4" w:space="0" w:color="auto"/>
                    <w:right w:val="single" w:sz="4" w:space="0" w:color="auto"/>
                  </w:tcBorders>
                  <w:shd w:val="clear" w:color="auto" w:fill="D9D9D9"/>
                  <w:noWrap/>
                  <w:tcMar>
                    <w:left w:w="72" w:type="dxa"/>
                    <w:right w:w="72" w:type="dxa"/>
                  </w:tcMar>
                  <w:vAlign w:val="center"/>
                  <w:hideMark/>
                </w:tcPr>
                <w:p w14:paraId="09754D15" w14:textId="77777777" w:rsidR="00736630" w:rsidRPr="005D4222" w:rsidRDefault="00736630" w:rsidP="00A53E8C">
                  <w:pPr>
                    <w:pStyle w:val="TableText"/>
                  </w:pPr>
                  <w:r w:rsidRPr="005D4222">
                    <w:t>Rate</w:t>
                  </w:r>
                </w:p>
              </w:tc>
              <w:tc>
                <w:tcPr>
                  <w:tcW w:w="2246" w:type="dxa"/>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vAlign w:val="center"/>
                  <w:hideMark/>
                </w:tcPr>
                <w:p w14:paraId="741AE343" w14:textId="77777777" w:rsidR="00736630" w:rsidRPr="005D4222" w:rsidRDefault="00736630" w:rsidP="00A53E8C">
                  <w:pPr>
                    <w:pStyle w:val="TableText"/>
                  </w:pPr>
                  <w:r w:rsidRPr="005D4222">
                    <w:t>(Percent)</w:t>
                  </w:r>
                </w:p>
              </w:tc>
            </w:tr>
          </w:tbl>
          <w:p w14:paraId="3A232C1C" w14:textId="77777777" w:rsidR="00736630" w:rsidRPr="005D4222" w:rsidRDefault="00736630" w:rsidP="00A53E8C">
            <w:pPr>
              <w:pStyle w:val="ProcessDash"/>
              <w:numPr>
                <w:ilvl w:val="0"/>
                <w:numId w:val="0"/>
              </w:numPr>
              <w:rPr>
                <w:color w:val="000000" w:themeColor="text1"/>
                <w:highlight w:val="yellow"/>
              </w:rPr>
            </w:pPr>
          </w:p>
        </w:tc>
      </w:tr>
    </w:tbl>
    <w:p w14:paraId="205A0352" w14:textId="77777777" w:rsidR="008A5061" w:rsidRPr="005D4222" w:rsidRDefault="008A5061">
      <w:r w:rsidRPr="005D4222">
        <w:br w:type="page"/>
      </w:r>
    </w:p>
    <w:tbl>
      <w:tblPr>
        <w:tblW w:w="5002"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9"/>
      </w:tblGrid>
      <w:tr w:rsidR="00011137" w:rsidRPr="005D4222" w14:paraId="632C1ACE" w14:textId="77777777" w:rsidTr="00011137">
        <w:tc>
          <w:tcPr>
            <w:tcW w:w="1110" w:type="pct"/>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69C9C521" w14:textId="77777777" w:rsidR="00011137" w:rsidRPr="005D4222" w:rsidRDefault="00011137" w:rsidP="00A53E8C">
            <w:pPr>
              <w:pStyle w:val="ECDSMarginHead"/>
            </w:pPr>
            <w:r w:rsidRPr="005D4222">
              <w:lastRenderedPageBreak/>
              <w:t>Rules for Allowable Adjustments</w:t>
            </w:r>
          </w:p>
        </w:tc>
        <w:tc>
          <w:tcPr>
            <w:tcW w:w="3890" w:type="pct"/>
            <w:tcBorders>
              <w:top w:val="single" w:sz="4" w:space="0" w:color="auto"/>
              <w:left w:val="single" w:sz="4" w:space="0" w:color="auto"/>
              <w:right w:val="single" w:sz="4" w:space="0" w:color="auto"/>
            </w:tcBorders>
            <w:tcMar>
              <w:top w:w="0" w:type="dxa"/>
              <w:left w:w="86" w:type="dxa"/>
              <w:bottom w:w="43" w:type="dxa"/>
              <w:right w:w="86" w:type="dxa"/>
            </w:tcMar>
          </w:tcPr>
          <w:p w14:paraId="7C9C75DA" w14:textId="77777777" w:rsidR="00011137" w:rsidRPr="005D4222" w:rsidRDefault="00011137" w:rsidP="00A53E8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4E68DBCA" w14:textId="77777777" w:rsidR="00011137" w:rsidRPr="005D4222" w:rsidRDefault="00011137" w:rsidP="00A53E8C">
            <w:pPr>
              <w:pStyle w:val="ECDSBody"/>
              <w:rPr>
                <w:i/>
                <w:iCs/>
              </w:rPr>
            </w:pPr>
            <w:r w:rsidRPr="005D4222">
              <w:rPr>
                <w:b/>
              </w:rPr>
              <w:t>Adjusted HEDIS measures may not be used for HEDIS health plan reporting.</w:t>
            </w:r>
          </w:p>
          <w:p w14:paraId="27C4BC3C" w14:textId="77777777" w:rsidR="00011137" w:rsidRPr="005D4222" w:rsidRDefault="00011137" w:rsidP="00A53E8C">
            <w:pPr>
              <w:pStyle w:val="Adjustments"/>
            </w:pPr>
            <w:r w:rsidRPr="005D4222">
              <w:t>Adjustments allowed</w:t>
            </w:r>
          </w:p>
          <w:p w14:paraId="41761A32" w14:textId="4F2A5EB1" w:rsidR="00011137" w:rsidRPr="005D4222" w:rsidRDefault="00011137" w:rsidP="005D6173">
            <w:pPr>
              <w:pStyle w:val="ProcessBullet"/>
              <w:numPr>
                <w:ilvl w:val="0"/>
                <w:numId w:val="98"/>
              </w:numPr>
              <w:tabs>
                <w:tab w:val="left" w:pos="216"/>
              </w:tabs>
              <w:ind w:left="216" w:hanging="216"/>
              <w:rPr>
                <w:b/>
              </w:rPr>
            </w:pPr>
            <w:r w:rsidRPr="005D4222">
              <w:rPr>
                <w:i/>
                <w:iCs/>
              </w:rPr>
              <w:t>Product lines</w:t>
            </w:r>
            <w:r w:rsidRPr="005D4222">
              <w:t xml:space="preserve">. </w:t>
            </w:r>
            <w:r w:rsidRPr="005D4222">
              <w:rPr>
                <w:rFonts w:eastAsia="Arial"/>
              </w:rPr>
              <w:t>Organizations are not required to use product line criteria; product lines may be combined</w:t>
            </w:r>
            <w:r w:rsidR="00E8671F" w:rsidRPr="005D4222">
              <w:rPr>
                <w:rFonts w:eastAsia="Arial"/>
              </w:rPr>
              <w:t>,</w:t>
            </w:r>
            <w:r w:rsidRPr="005D4222">
              <w:rPr>
                <w:rFonts w:eastAsia="Arial"/>
              </w:rPr>
              <w:t xml:space="preserve"> and all (or no) product line criteria may be used.</w:t>
            </w:r>
          </w:p>
          <w:p w14:paraId="6AD7C62E" w14:textId="77777777" w:rsidR="00011137" w:rsidRPr="005D4222" w:rsidRDefault="00011137" w:rsidP="005D6173">
            <w:pPr>
              <w:pStyle w:val="ProcessBullet"/>
              <w:numPr>
                <w:ilvl w:val="0"/>
                <w:numId w:val="98"/>
              </w:numPr>
              <w:tabs>
                <w:tab w:val="left" w:pos="216"/>
              </w:tabs>
              <w:ind w:left="216" w:hanging="216"/>
              <w:rPr>
                <w:b/>
              </w:rPr>
            </w:pPr>
            <w:r w:rsidRPr="005D4222">
              <w:rPr>
                <w:i/>
                <w:iCs/>
              </w:rPr>
              <w:t xml:space="preserve">Attribution. </w:t>
            </w:r>
            <w:r w:rsidRPr="005D4222">
              <w:rPr>
                <w:rFonts w:eastAsia="Arial"/>
              </w:rPr>
              <w:t>Organizations are not required to use enrollment criteria.</w:t>
            </w:r>
          </w:p>
          <w:p w14:paraId="72DAC0A1" w14:textId="77777777" w:rsidR="00011137" w:rsidRPr="005D4222" w:rsidRDefault="00011137" w:rsidP="005D6173">
            <w:pPr>
              <w:pStyle w:val="ProcessBullet"/>
              <w:numPr>
                <w:ilvl w:val="0"/>
                <w:numId w:val="98"/>
              </w:numPr>
              <w:tabs>
                <w:tab w:val="left" w:pos="216"/>
              </w:tabs>
              <w:ind w:left="216" w:hanging="216"/>
              <w:rPr>
                <w:b/>
              </w:rPr>
            </w:pPr>
            <w:r w:rsidRPr="005D4222">
              <w:rPr>
                <w:i/>
                <w:iCs/>
              </w:rPr>
              <w:t>Benefits.</w:t>
            </w:r>
            <w:r w:rsidRPr="005D4222">
              <w:rPr>
                <w:b/>
                <w:bCs/>
              </w:rPr>
              <w:t xml:space="preserve"> </w:t>
            </w:r>
            <w:r w:rsidRPr="005D4222">
              <w:rPr>
                <w:rFonts w:eastAsia="Arial"/>
              </w:rPr>
              <w:t>Organizations are not required to use a benefit.</w:t>
            </w:r>
          </w:p>
          <w:p w14:paraId="4D1CCC4F" w14:textId="77777777" w:rsidR="00011137" w:rsidRPr="005D4222" w:rsidRDefault="00011137" w:rsidP="005D6173">
            <w:pPr>
              <w:pStyle w:val="ProcessBullet"/>
              <w:numPr>
                <w:ilvl w:val="0"/>
                <w:numId w:val="98"/>
              </w:numPr>
              <w:tabs>
                <w:tab w:val="left" w:pos="216"/>
              </w:tabs>
              <w:ind w:left="216" w:hanging="216"/>
              <w:rPr>
                <w:b/>
              </w:rPr>
            </w:pPr>
            <w:r w:rsidRPr="005D4222">
              <w:rPr>
                <w:i/>
                <w:iCs/>
              </w:rPr>
              <w:t>Other.</w:t>
            </w:r>
            <w:r w:rsidRPr="005D4222">
              <w:t xml:space="preserve"> </w:t>
            </w:r>
            <w:r w:rsidRPr="005D4222">
              <w:rPr>
                <w:rFonts w:eastAsia="Arial"/>
              </w:rPr>
              <w:t xml:space="preserve">Organizations may use additional initial population criteria to focus on an area of interest defined by gender, race, ethnicity, socioeconomic or sociodemographic characteristics, geographic region or another characteristic.  </w:t>
            </w:r>
          </w:p>
          <w:p w14:paraId="64D6DB39" w14:textId="77777777" w:rsidR="00011137" w:rsidRPr="005D4222" w:rsidRDefault="00011137" w:rsidP="005D6173">
            <w:pPr>
              <w:pStyle w:val="ProcessBullet"/>
              <w:numPr>
                <w:ilvl w:val="0"/>
                <w:numId w:val="98"/>
              </w:numPr>
              <w:tabs>
                <w:tab w:val="left" w:pos="216"/>
              </w:tabs>
              <w:ind w:left="216" w:hanging="216"/>
              <w:rPr>
                <w:b/>
              </w:rPr>
            </w:pPr>
            <w:r w:rsidRPr="005D4222">
              <w:rPr>
                <w:rFonts w:eastAsia="Arial"/>
                <w:i/>
                <w:iCs/>
              </w:rPr>
              <w:t xml:space="preserve">Exclusions. </w:t>
            </w:r>
            <w:r w:rsidRPr="005D4222">
              <w:rPr>
                <w:rFonts w:eastAsia="Arial"/>
              </w:rPr>
              <w:t>Hospice and deceased person</w:t>
            </w:r>
            <w:r w:rsidRPr="005D4222">
              <w:rPr>
                <w:rFonts w:eastAsia="Arial"/>
                <w:i/>
                <w:iCs/>
              </w:rPr>
              <w:t xml:space="preserve"> </w:t>
            </w:r>
            <w:r w:rsidRPr="005D4222">
              <w:t xml:space="preserve">exclusions are not required. </w:t>
            </w:r>
          </w:p>
          <w:p w14:paraId="21A50275" w14:textId="77777777" w:rsidR="00011137" w:rsidRPr="005D4222" w:rsidRDefault="00011137" w:rsidP="005D6173">
            <w:pPr>
              <w:pStyle w:val="ProcessBullet"/>
              <w:numPr>
                <w:ilvl w:val="0"/>
                <w:numId w:val="98"/>
              </w:numPr>
              <w:tabs>
                <w:tab w:val="left" w:pos="216"/>
              </w:tabs>
              <w:ind w:left="216" w:hanging="216"/>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525C19CB" w14:textId="77777777" w:rsidR="00011137" w:rsidRPr="005D4222" w:rsidRDefault="00011137" w:rsidP="00A53E8C">
            <w:pPr>
              <w:pStyle w:val="Adjustments"/>
            </w:pPr>
            <w:r w:rsidRPr="005D4222">
              <w:t>Adjustments allowed with limits</w:t>
            </w:r>
          </w:p>
          <w:p w14:paraId="3256720A" w14:textId="77777777" w:rsidR="00011137" w:rsidRPr="005D4222" w:rsidRDefault="00011137" w:rsidP="005D6173">
            <w:pPr>
              <w:pStyle w:val="ProcessBullet"/>
              <w:numPr>
                <w:ilvl w:val="0"/>
                <w:numId w:val="98"/>
              </w:numPr>
              <w:tabs>
                <w:tab w:val="left" w:pos="216"/>
              </w:tabs>
              <w:ind w:left="216" w:hanging="216"/>
            </w:pPr>
            <w:r w:rsidRPr="005D4222">
              <w:rPr>
                <w:i/>
                <w:iCs/>
              </w:rPr>
              <w:t>Ages</w:t>
            </w:r>
            <w:r w:rsidRPr="005D4222">
              <w:t>. The age determination dates may be changed (e.g., select, “age as of June 30”). Changing the denominator age range is allowed if the limits are within the specified age range (12 years and older). Expanding the denominator age range to 11 years and older is allowed.</w:t>
            </w:r>
          </w:p>
          <w:p w14:paraId="3961B5B0" w14:textId="77777777" w:rsidR="00011137" w:rsidRPr="005D4222" w:rsidRDefault="00011137" w:rsidP="00A53E8C">
            <w:pPr>
              <w:pStyle w:val="Adjustments"/>
            </w:pPr>
            <w:r w:rsidRPr="005D4222">
              <w:t>Adjustments not allowed</w:t>
            </w:r>
          </w:p>
          <w:p w14:paraId="7483E26C" w14:textId="77777777" w:rsidR="00011137" w:rsidRPr="005D4222" w:rsidRDefault="00011137" w:rsidP="005D6173">
            <w:pPr>
              <w:pStyle w:val="ProcessBullet"/>
              <w:numPr>
                <w:ilvl w:val="0"/>
                <w:numId w:val="98"/>
              </w:numPr>
              <w:tabs>
                <w:tab w:val="left" w:pos="216"/>
              </w:tabs>
              <w:ind w:left="216" w:hanging="216"/>
              <w:rPr>
                <w:i/>
                <w:iCs/>
              </w:rPr>
            </w:pPr>
            <w:r w:rsidRPr="005D4222">
              <w:rPr>
                <w:i/>
                <w:iCs/>
              </w:rPr>
              <w:t>Initial population:</w:t>
            </w:r>
            <w:r w:rsidRPr="005D4222">
              <w:rPr>
                <w:iCs/>
              </w:rPr>
              <w:t xml:space="preserve"> Event. </w:t>
            </w:r>
            <w:r w:rsidRPr="005D4222">
              <w:rPr>
                <w:rFonts w:eastAsia="Arial"/>
              </w:rPr>
              <w:t>Only events or diagnoses that contain (or map to) codes in the value sets may be used to identify visits with a diagnosis. Value sets and logic may not be changed.</w:t>
            </w:r>
          </w:p>
          <w:p w14:paraId="02924000" w14:textId="77777777" w:rsidR="00011137" w:rsidRPr="005D4222" w:rsidRDefault="00011137" w:rsidP="005D6173">
            <w:pPr>
              <w:pStyle w:val="ProcessBullet"/>
              <w:numPr>
                <w:ilvl w:val="0"/>
                <w:numId w:val="98"/>
              </w:numPr>
              <w:tabs>
                <w:tab w:val="left" w:pos="216"/>
              </w:tabs>
              <w:ind w:left="216" w:hanging="216"/>
              <w:rPr>
                <w:i/>
                <w:iCs/>
              </w:rPr>
            </w:pPr>
            <w:r w:rsidRPr="005D4222">
              <w:rPr>
                <w:i/>
                <w:iCs/>
              </w:rPr>
              <w:t xml:space="preserve">Exclusions. </w:t>
            </w:r>
            <w:r w:rsidRPr="005D4222">
              <w:t>The bipolar disorder, personality disorder, psychotic disorder and pervasive developmental disorder</w:t>
            </w:r>
            <w:r w:rsidRPr="005D4222">
              <w:rPr>
                <w:i/>
                <w:iCs/>
              </w:rPr>
              <w:t xml:space="preserve"> </w:t>
            </w:r>
            <w:r w:rsidRPr="005D4222">
              <w:t>exclusions must be applied. Value sets and logic may not be changed.</w:t>
            </w:r>
          </w:p>
          <w:p w14:paraId="1962177F" w14:textId="03E7D14C" w:rsidR="00011137" w:rsidRPr="005D4222" w:rsidRDefault="00DE550E" w:rsidP="005D6173">
            <w:pPr>
              <w:pStyle w:val="ProcessBullet"/>
              <w:numPr>
                <w:ilvl w:val="0"/>
                <w:numId w:val="98"/>
              </w:numPr>
              <w:tabs>
                <w:tab w:val="left" w:pos="216"/>
              </w:tabs>
              <w:spacing w:after="80"/>
              <w:ind w:left="216" w:hanging="216"/>
              <w:rPr>
                <w:i/>
                <w:iCs/>
              </w:rPr>
            </w:pPr>
            <w:r w:rsidRPr="005D4222">
              <w:rPr>
                <w:rFonts w:eastAsia="Arial"/>
                <w:i/>
                <w:iCs/>
              </w:rPr>
              <w:t>Numerator.</w:t>
            </w:r>
            <w:r w:rsidR="00011137" w:rsidRPr="005D4222">
              <w:rPr>
                <w:rFonts w:eastAsia="Arial"/>
              </w:rPr>
              <w:t xml:space="preserve"> Value sets, direct reference codes and logic may not be changed.</w:t>
            </w:r>
          </w:p>
        </w:tc>
      </w:tr>
    </w:tbl>
    <w:p w14:paraId="0D087A3F" w14:textId="77777777" w:rsidR="00011137" w:rsidRPr="005D4222" w:rsidRDefault="00011137" w:rsidP="0056402B">
      <w:pPr>
        <w:pStyle w:val="ECDSBody"/>
        <w:sectPr w:rsidR="00011137" w:rsidRPr="005D4222" w:rsidSect="0074514A">
          <w:headerReference w:type="default" r:id="rId231"/>
          <w:type w:val="nextColumn"/>
          <w:pgSz w:w="12240" w:h="15840" w:code="1"/>
          <w:pgMar w:top="1080" w:right="1080" w:bottom="1080" w:left="1440" w:header="720" w:footer="720" w:gutter="0"/>
          <w:cols w:space="720"/>
          <w:docGrid w:linePitch="360"/>
        </w:sectPr>
      </w:pPr>
    </w:p>
    <w:p w14:paraId="4D123F6E" w14:textId="67541D24" w:rsidR="0056402B" w:rsidRPr="005D4222" w:rsidRDefault="00FF042C" w:rsidP="00FF042C">
      <w:pPr>
        <w:pStyle w:val="MeasureTitle"/>
      </w:pPr>
      <w:bookmarkStart w:id="426" w:name="_Toc201813481"/>
      <w:r w:rsidRPr="005D4222">
        <w:lastRenderedPageBreak/>
        <w:t>Depression Remission or Response for Adolescents and Adults</w:t>
      </w:r>
      <w:r w:rsidR="008A5901" w:rsidRPr="005D4222">
        <w:t xml:space="preserve"> (DRR-E)</w:t>
      </w:r>
      <w:bookmarkEnd w:id="426"/>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4841"/>
        <w:gridCol w:w="1587"/>
        <w:gridCol w:w="1129"/>
      </w:tblGrid>
      <w:tr w:rsidR="001D45D1" w:rsidRPr="005D4222" w14:paraId="4038D39F" w14:textId="77777777" w:rsidTr="00A53E8C">
        <w:tc>
          <w:tcPr>
            <w:tcW w:w="2157" w:type="dxa"/>
            <w:shd w:val="clear" w:color="auto" w:fill="BFBFBF" w:themeFill="background1" w:themeFillShade="BF"/>
            <w:tcMar>
              <w:top w:w="0" w:type="dxa"/>
              <w:left w:w="86" w:type="dxa"/>
              <w:bottom w:w="43" w:type="dxa"/>
              <w:right w:w="86" w:type="dxa"/>
            </w:tcMar>
            <w:hideMark/>
          </w:tcPr>
          <w:p w14:paraId="2EA075DE" w14:textId="77777777" w:rsidR="001D45D1" w:rsidRPr="005D4222" w:rsidRDefault="001D45D1" w:rsidP="00A53E8C">
            <w:pPr>
              <w:pStyle w:val="ECDSMarginHead"/>
            </w:pPr>
            <w:r w:rsidRPr="005D4222">
              <w:t>Measure title</w:t>
            </w:r>
          </w:p>
        </w:tc>
        <w:tc>
          <w:tcPr>
            <w:tcW w:w="4841" w:type="dxa"/>
            <w:tcMar>
              <w:top w:w="0" w:type="dxa"/>
              <w:left w:w="86" w:type="dxa"/>
              <w:bottom w:w="43" w:type="dxa"/>
              <w:right w:w="86" w:type="dxa"/>
            </w:tcMar>
          </w:tcPr>
          <w:p w14:paraId="5CD68EB4" w14:textId="77777777" w:rsidR="001D45D1" w:rsidRPr="005D4222" w:rsidRDefault="001D45D1" w:rsidP="00A53E8C">
            <w:pPr>
              <w:pStyle w:val="ECDSBody"/>
            </w:pPr>
            <w:r w:rsidRPr="005D4222">
              <w:t>Depression Remission or Response for Adolescents and Adults</w:t>
            </w:r>
            <w:r w:rsidRPr="005D4222">
              <w:rPr>
                <w:b/>
              </w:rPr>
              <w:t>*</w:t>
            </w:r>
          </w:p>
        </w:tc>
        <w:tc>
          <w:tcPr>
            <w:tcW w:w="1587" w:type="dxa"/>
            <w:shd w:val="clear" w:color="auto" w:fill="BFBFBF" w:themeFill="background1" w:themeFillShade="BF"/>
            <w:tcMar>
              <w:top w:w="0" w:type="dxa"/>
              <w:left w:w="86" w:type="dxa"/>
              <w:bottom w:w="43" w:type="dxa"/>
              <w:right w:w="86" w:type="dxa"/>
            </w:tcMar>
          </w:tcPr>
          <w:p w14:paraId="2E2D6D0D" w14:textId="77777777" w:rsidR="001D45D1" w:rsidRPr="005D4222" w:rsidRDefault="001D45D1" w:rsidP="009266BE">
            <w:pPr>
              <w:pStyle w:val="ECDSMarginHead"/>
            </w:pPr>
            <w:r w:rsidRPr="005D4222">
              <w:t>Measure ID</w:t>
            </w:r>
          </w:p>
        </w:tc>
        <w:tc>
          <w:tcPr>
            <w:tcW w:w="1129" w:type="dxa"/>
            <w:tcMar>
              <w:top w:w="0" w:type="dxa"/>
              <w:left w:w="86" w:type="dxa"/>
              <w:bottom w:w="43" w:type="dxa"/>
              <w:right w:w="86" w:type="dxa"/>
            </w:tcMar>
          </w:tcPr>
          <w:p w14:paraId="1FBD6783" w14:textId="77777777" w:rsidR="001D45D1" w:rsidRPr="005D4222" w:rsidRDefault="001D45D1" w:rsidP="00A53E8C">
            <w:pPr>
              <w:pStyle w:val="ECDSBody"/>
            </w:pPr>
            <w:r w:rsidRPr="005D4222">
              <w:t>DRR-E</w:t>
            </w:r>
          </w:p>
        </w:tc>
      </w:tr>
      <w:tr w:rsidR="001D45D1" w:rsidRPr="005D4222" w14:paraId="5E688238" w14:textId="77777777" w:rsidTr="00A53E8C">
        <w:tc>
          <w:tcPr>
            <w:tcW w:w="2157" w:type="dxa"/>
            <w:shd w:val="clear" w:color="auto" w:fill="BFBFBF" w:themeFill="background1" w:themeFillShade="BF"/>
            <w:tcMar>
              <w:top w:w="0" w:type="dxa"/>
              <w:left w:w="86" w:type="dxa"/>
              <w:bottom w:w="43" w:type="dxa"/>
              <w:right w:w="86" w:type="dxa"/>
            </w:tcMar>
            <w:hideMark/>
          </w:tcPr>
          <w:p w14:paraId="5F1B5C18" w14:textId="77777777" w:rsidR="001D45D1" w:rsidRPr="005D4222" w:rsidRDefault="001D45D1" w:rsidP="00A53E8C">
            <w:pPr>
              <w:pStyle w:val="ECDSMarginHead"/>
            </w:pPr>
            <w:r w:rsidRPr="005D4222">
              <w:t>Description</w:t>
            </w:r>
          </w:p>
        </w:tc>
        <w:tc>
          <w:tcPr>
            <w:tcW w:w="7557" w:type="dxa"/>
            <w:gridSpan w:val="3"/>
            <w:tcMar>
              <w:top w:w="0" w:type="dxa"/>
              <w:left w:w="86" w:type="dxa"/>
              <w:bottom w:w="43" w:type="dxa"/>
              <w:right w:w="86" w:type="dxa"/>
            </w:tcMar>
          </w:tcPr>
          <w:p w14:paraId="37A8DCAF" w14:textId="77777777" w:rsidR="001D45D1" w:rsidRPr="005D4222" w:rsidRDefault="001D45D1" w:rsidP="00A53E8C">
            <w:pPr>
              <w:pStyle w:val="ECDSBody"/>
            </w:pPr>
            <w:r w:rsidRPr="005D4222">
              <w:t>The percentage of persons 12 years of age and older with a diagnosis of depression and an elevated PHQ-9 score, who had evidence of response or remission within 120−240 days (4–8 months) of the elevated score.</w:t>
            </w:r>
          </w:p>
          <w:p w14:paraId="642708DA" w14:textId="77777777" w:rsidR="001D45D1" w:rsidRPr="005D4222" w:rsidRDefault="001D45D1" w:rsidP="001D45D1">
            <w:pPr>
              <w:pStyle w:val="Bullet"/>
              <w:numPr>
                <w:ilvl w:val="0"/>
                <w:numId w:val="4"/>
              </w:numPr>
              <w:ind w:left="576" w:hanging="216"/>
            </w:pPr>
            <w:r w:rsidRPr="005D4222">
              <w:rPr>
                <w:i/>
                <w:iCs/>
              </w:rPr>
              <w:t>Depression Follow-Up PHQ-9.</w:t>
            </w:r>
            <w:r w:rsidRPr="005D4222">
              <w:t xml:space="preserve"> The percentage of persons who have a follow-up PHQ-9 score documented within 120−240 days (4–8 months) after the initial elevated PHQ-9 score.</w:t>
            </w:r>
          </w:p>
          <w:p w14:paraId="488B86E2" w14:textId="77777777" w:rsidR="001D45D1" w:rsidRPr="005D4222" w:rsidRDefault="001D45D1" w:rsidP="001D45D1">
            <w:pPr>
              <w:pStyle w:val="Bullet"/>
              <w:numPr>
                <w:ilvl w:val="0"/>
                <w:numId w:val="4"/>
              </w:numPr>
              <w:ind w:left="576" w:hanging="216"/>
            </w:pPr>
            <w:r w:rsidRPr="005D4222">
              <w:rPr>
                <w:i/>
                <w:iCs/>
              </w:rPr>
              <w:t>Depression Remission.</w:t>
            </w:r>
            <w:r w:rsidRPr="005D4222">
              <w:t xml:space="preserve"> The percentage of persons who achieved remission within 120−240 days (4–8 months) after the initial elevated PHQ-9 score.</w:t>
            </w:r>
          </w:p>
          <w:p w14:paraId="2BC27753" w14:textId="77777777" w:rsidR="001D45D1" w:rsidRPr="005D4222" w:rsidRDefault="001D45D1" w:rsidP="001D45D1">
            <w:pPr>
              <w:pStyle w:val="Bullet"/>
              <w:numPr>
                <w:ilvl w:val="0"/>
                <w:numId w:val="4"/>
              </w:numPr>
              <w:spacing w:after="80"/>
              <w:ind w:left="576" w:hanging="216"/>
            </w:pPr>
            <w:r w:rsidRPr="005D4222">
              <w:rPr>
                <w:i/>
                <w:iCs/>
              </w:rPr>
              <w:t>Depression Response.</w:t>
            </w:r>
            <w:r w:rsidRPr="005D4222">
              <w:t xml:space="preserve"> The percentage of persons who showed response within 120−240 days (4–8 months) after the initial elevated PHQ-9 score.</w:t>
            </w:r>
          </w:p>
        </w:tc>
      </w:tr>
      <w:tr w:rsidR="001D45D1" w:rsidRPr="005D4222" w14:paraId="6170AD0F" w14:textId="77777777" w:rsidTr="00A53E8C">
        <w:tc>
          <w:tcPr>
            <w:tcW w:w="2157" w:type="dxa"/>
            <w:shd w:val="clear" w:color="auto" w:fill="BFBFBF" w:themeFill="background1" w:themeFillShade="BF"/>
            <w:tcMar>
              <w:top w:w="0" w:type="dxa"/>
              <w:left w:w="86" w:type="dxa"/>
              <w:bottom w:w="43" w:type="dxa"/>
              <w:right w:w="86" w:type="dxa"/>
            </w:tcMar>
          </w:tcPr>
          <w:p w14:paraId="6A587ABA" w14:textId="77777777" w:rsidR="001D45D1" w:rsidRPr="005D4222" w:rsidRDefault="001D45D1" w:rsidP="00A53E8C">
            <w:pPr>
              <w:pStyle w:val="ECDSMarginHead"/>
            </w:pPr>
            <w:r w:rsidRPr="005D4222">
              <w:t>Measurement period</w:t>
            </w:r>
          </w:p>
        </w:tc>
        <w:tc>
          <w:tcPr>
            <w:tcW w:w="7557" w:type="dxa"/>
            <w:gridSpan w:val="3"/>
            <w:tcMar>
              <w:top w:w="0" w:type="dxa"/>
              <w:left w:w="86" w:type="dxa"/>
              <w:bottom w:w="43" w:type="dxa"/>
              <w:right w:w="86" w:type="dxa"/>
            </w:tcMar>
          </w:tcPr>
          <w:p w14:paraId="5F693059" w14:textId="77777777" w:rsidR="001D45D1" w:rsidRPr="005D4222" w:rsidRDefault="001D45D1" w:rsidP="00A53E8C">
            <w:pPr>
              <w:pStyle w:val="ECDSBody"/>
            </w:pPr>
            <w:r w:rsidRPr="005D4222">
              <w:t>January 1–December 31.</w:t>
            </w:r>
          </w:p>
        </w:tc>
      </w:tr>
      <w:tr w:rsidR="001D45D1" w:rsidRPr="005D4222" w14:paraId="2AC3871C" w14:textId="77777777" w:rsidTr="00A53E8C">
        <w:tc>
          <w:tcPr>
            <w:tcW w:w="2157" w:type="dxa"/>
            <w:shd w:val="clear" w:color="auto" w:fill="BFBFBF" w:themeFill="background1" w:themeFillShade="BF"/>
            <w:tcMar>
              <w:top w:w="0" w:type="dxa"/>
              <w:left w:w="86" w:type="dxa"/>
              <w:bottom w:w="43" w:type="dxa"/>
              <w:right w:w="86" w:type="dxa"/>
            </w:tcMar>
            <w:hideMark/>
          </w:tcPr>
          <w:p w14:paraId="3AABF36A" w14:textId="77777777" w:rsidR="001D45D1" w:rsidRPr="005D4222" w:rsidRDefault="001D45D1" w:rsidP="00A53E8C">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71A5F09D" w14:textId="77777777" w:rsidR="001D45D1" w:rsidRPr="005D4222" w:rsidRDefault="001D45D1" w:rsidP="00A53E8C">
            <w:pPr>
              <w:pStyle w:val="ECDSBody"/>
              <w:ind w:left="92" w:hanging="92"/>
              <w:rPr>
                <w:i/>
                <w:iCs/>
              </w:rPr>
            </w:pPr>
            <w:r w:rsidRPr="005D4222">
              <w:rPr>
                <w:i/>
              </w:rPr>
              <w:t>*</w:t>
            </w:r>
            <w:r w:rsidRPr="005D4222">
              <w:rPr>
                <w:i/>
              </w:rPr>
              <w:tab/>
            </w:r>
            <w:r w:rsidRPr="005D4222">
              <w:rPr>
                <w:i/>
                <w:iCs/>
              </w:rPr>
              <w:t>Adapted with financial support from the Agency for Healthcare Research and Quality and the Centers for Medicare &amp; Medicaid Services under the CHIPRA Pediatric Quality Measures Program Centers of Excellence grant number U18HS020503, and with permission from the measure developer, Minnesota Community Measurement.</w:t>
            </w:r>
          </w:p>
          <w:p w14:paraId="060C9F57" w14:textId="77777777" w:rsidR="001D45D1" w:rsidRPr="005D4222" w:rsidRDefault="001D45D1" w:rsidP="00A53E8C">
            <w:pPr>
              <w:pStyle w:val="ECDSBody"/>
            </w:pPr>
            <w:r w:rsidRPr="005D4222">
              <w:t xml:space="preserve">Refer to the complete copyright and disclaimer information at the front of this publication. </w:t>
            </w:r>
          </w:p>
          <w:p w14:paraId="2D497A17" w14:textId="77777777" w:rsidR="001D45D1" w:rsidRPr="005D4222" w:rsidRDefault="001D45D1" w:rsidP="00A53E8C">
            <w:pPr>
              <w:pStyle w:val="ECDSBody"/>
              <w:spacing w:before="80"/>
            </w:pPr>
            <w:r w:rsidRPr="005D4222">
              <w:t xml:space="preserve">NCQA website: </w:t>
            </w:r>
            <w:r w:rsidRPr="005D4222">
              <w:rPr>
                <w:u w:val="single"/>
              </w:rPr>
              <w:t>www.ncqa.org</w:t>
            </w:r>
            <w:r w:rsidRPr="005D4222">
              <w:rPr>
                <w:rStyle w:val="Hyperlink"/>
              </w:rPr>
              <w:t>.</w:t>
            </w:r>
            <w:r w:rsidRPr="005D4222">
              <w:t xml:space="preserve"> </w:t>
            </w:r>
          </w:p>
          <w:p w14:paraId="76DD81A5" w14:textId="77777777" w:rsidR="001D45D1" w:rsidRPr="005D4222" w:rsidRDefault="001D45D1" w:rsidP="00A53E8C">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1D45D1" w:rsidRPr="005D4222" w14:paraId="23CADE25" w14:textId="77777777" w:rsidTr="00A53E8C">
        <w:trPr>
          <w:trHeight w:val="655"/>
        </w:trPr>
        <w:tc>
          <w:tcPr>
            <w:tcW w:w="2157" w:type="dxa"/>
            <w:shd w:val="clear" w:color="auto" w:fill="BFBFBF" w:themeFill="background1" w:themeFillShade="BF"/>
            <w:tcMar>
              <w:top w:w="0" w:type="dxa"/>
              <w:left w:w="86" w:type="dxa"/>
              <w:bottom w:w="43" w:type="dxa"/>
              <w:right w:w="86" w:type="dxa"/>
            </w:tcMar>
            <w:hideMark/>
          </w:tcPr>
          <w:p w14:paraId="2A2313DE" w14:textId="77777777" w:rsidR="001D45D1" w:rsidRPr="005D4222" w:rsidRDefault="001D45D1" w:rsidP="00A53E8C">
            <w:pPr>
              <w:pStyle w:val="ECDSMarginHead"/>
            </w:pPr>
            <w:r w:rsidRPr="005D4222">
              <w:t>Clinical recommendation statement/ rationale</w:t>
            </w:r>
          </w:p>
        </w:tc>
        <w:tc>
          <w:tcPr>
            <w:tcW w:w="7557" w:type="dxa"/>
            <w:gridSpan w:val="3"/>
            <w:tcMar>
              <w:top w:w="0" w:type="dxa"/>
              <w:left w:w="86" w:type="dxa"/>
              <w:bottom w:w="43" w:type="dxa"/>
              <w:right w:w="86" w:type="dxa"/>
            </w:tcMar>
          </w:tcPr>
          <w:p w14:paraId="1EBDE532" w14:textId="77777777" w:rsidR="001D45D1" w:rsidRPr="005D4222" w:rsidRDefault="001D45D1" w:rsidP="00A53E8C">
            <w:pPr>
              <w:pStyle w:val="ECDSBody"/>
              <w:rPr>
                <w:kern w:val="20"/>
              </w:rPr>
            </w:pPr>
            <w:r w:rsidRPr="005D4222">
              <w:rPr>
                <w:kern w:val="20"/>
              </w:rPr>
              <w:t>The Institute for Clinical Systems Improvement recommends that clinicians establish and maintain follow-up with adult patients who have depression. Appropriate, reliable follow-up is highly correlated with improved response and remission scores.</w:t>
            </w:r>
          </w:p>
          <w:p w14:paraId="760E75D2" w14:textId="77777777" w:rsidR="001D45D1" w:rsidRPr="005D4222" w:rsidRDefault="001D45D1" w:rsidP="00A53E8C">
            <w:pPr>
              <w:pStyle w:val="ECDSBody"/>
            </w:pPr>
            <w:r w:rsidRPr="005D4222">
              <w:rPr>
                <w:kern w:val="20"/>
              </w:rPr>
              <w:t>The American Academy of Pediatrics recommends that adolescents with depression be assessed for treatment response and remission of symptoms using a depression assessment tool such as the PHQ-9 Modified for Teens.</w:t>
            </w:r>
          </w:p>
        </w:tc>
      </w:tr>
      <w:tr w:rsidR="001D45D1" w:rsidRPr="005D4222" w14:paraId="55713F49" w14:textId="77777777" w:rsidTr="00A53E8C">
        <w:tc>
          <w:tcPr>
            <w:tcW w:w="2157" w:type="dxa"/>
            <w:shd w:val="clear" w:color="auto" w:fill="BFBFBF" w:themeFill="background1" w:themeFillShade="BF"/>
            <w:tcMar>
              <w:top w:w="0" w:type="dxa"/>
              <w:left w:w="86" w:type="dxa"/>
              <w:bottom w:w="43" w:type="dxa"/>
              <w:right w:w="86" w:type="dxa"/>
            </w:tcMar>
          </w:tcPr>
          <w:p w14:paraId="38B8F7CD" w14:textId="77777777" w:rsidR="001D45D1" w:rsidRPr="005D4222" w:rsidRDefault="001D45D1" w:rsidP="00A53E8C">
            <w:pPr>
              <w:pStyle w:val="ECDSMarginHead"/>
            </w:pPr>
            <w:r w:rsidRPr="005D4222">
              <w:t>Citations</w:t>
            </w:r>
          </w:p>
        </w:tc>
        <w:tc>
          <w:tcPr>
            <w:tcW w:w="7557" w:type="dxa"/>
            <w:gridSpan w:val="3"/>
            <w:tcMar>
              <w:top w:w="0" w:type="dxa"/>
              <w:left w:w="86" w:type="dxa"/>
              <w:bottom w:w="43" w:type="dxa"/>
              <w:right w:w="86" w:type="dxa"/>
            </w:tcMar>
          </w:tcPr>
          <w:p w14:paraId="2B073C74" w14:textId="77777777" w:rsidR="001D45D1" w:rsidRPr="005D4222" w:rsidRDefault="001D45D1" w:rsidP="00A53E8C">
            <w:pPr>
              <w:pStyle w:val="ECDSBody"/>
              <w:rPr>
                <w:kern w:val="20"/>
              </w:rPr>
            </w:pPr>
            <w:r w:rsidRPr="005D4222">
              <w:rPr>
                <w:kern w:val="20"/>
              </w:rPr>
              <w:t xml:space="preserve">Cheung, A.H., R.A. Zuckerbrot, P.S. Jensen, D. Laraque, R.E. Stein, A. Levitt, B. Birmaher, J. Campo, G. Clarke, G. Emslie, and M. Kaufman. 2018. “Guidelines for Adolescent Depression in Primary Care (GLAD-PC): Part II. Treatment and Ongoing Management.” </w:t>
            </w:r>
            <w:r w:rsidRPr="005D4222">
              <w:rPr>
                <w:i/>
                <w:iCs/>
                <w:kern w:val="20"/>
              </w:rPr>
              <w:t>Pediatrics</w:t>
            </w:r>
            <w:r w:rsidRPr="005D4222">
              <w:rPr>
                <w:kern w:val="20"/>
              </w:rPr>
              <w:t> 141(3).</w:t>
            </w:r>
          </w:p>
          <w:p w14:paraId="4FA704D5" w14:textId="77777777" w:rsidR="001D45D1" w:rsidRPr="005D4222" w:rsidRDefault="001D45D1" w:rsidP="00A53E8C">
            <w:pPr>
              <w:pStyle w:val="ECDSBody"/>
              <w:rPr>
                <w:kern w:val="20"/>
              </w:rPr>
            </w:pPr>
            <w:r w:rsidRPr="005D4222">
              <w:rPr>
                <w:kern w:val="20"/>
              </w:rPr>
              <w:t xml:space="preserve">Trangle, M., J. Gursky, R. Haight, J. Hardwig, T. Hinnenkamp, D. Kessler, N. Mack, M. Myszkowski. Institute for Clinical Systems Improvement. </w:t>
            </w:r>
            <w:r w:rsidRPr="005D4222">
              <w:rPr>
                <w:i/>
                <w:iCs/>
                <w:kern w:val="20"/>
              </w:rPr>
              <w:t>Adult Depression in Primary Care</w:t>
            </w:r>
            <w:r w:rsidRPr="005D4222">
              <w:rPr>
                <w:kern w:val="20"/>
              </w:rPr>
              <w:t>. Updated March 2016.</w:t>
            </w:r>
          </w:p>
        </w:tc>
      </w:tr>
    </w:tbl>
    <w:p w14:paraId="300852FD" w14:textId="77777777" w:rsidR="001D45D1" w:rsidRPr="005D4222" w:rsidRDefault="001D45D1" w:rsidP="001D45D1">
      <w:pPr>
        <w:spacing w:after="160" w:line="259" w:lineRule="auto"/>
      </w:pPr>
      <w:r w:rsidRPr="005D4222">
        <w:br w:type="page"/>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1D45D1" w:rsidRPr="005D4222" w14:paraId="0BB3720D" w14:textId="77777777" w:rsidTr="00A53E8C">
        <w:tc>
          <w:tcPr>
            <w:tcW w:w="9714" w:type="dxa"/>
            <w:gridSpan w:val="2"/>
            <w:tcBorders>
              <w:bottom w:val="single" w:sz="4" w:space="0" w:color="auto"/>
            </w:tcBorders>
            <w:shd w:val="clear" w:color="auto" w:fill="BFBFBF" w:themeFill="background1" w:themeFillShade="BF"/>
            <w:tcMar>
              <w:top w:w="0" w:type="dxa"/>
              <w:left w:w="86" w:type="dxa"/>
              <w:bottom w:w="43" w:type="dxa"/>
              <w:right w:w="86" w:type="dxa"/>
            </w:tcMar>
          </w:tcPr>
          <w:p w14:paraId="4A647A44" w14:textId="77777777" w:rsidR="001D45D1" w:rsidRPr="005D4222" w:rsidRDefault="001D45D1" w:rsidP="00A53E8C">
            <w:pPr>
              <w:pStyle w:val="ECDSMarginHead"/>
            </w:pPr>
            <w:r w:rsidRPr="005D4222">
              <w:lastRenderedPageBreak/>
              <w:t>Characteristics</w:t>
            </w:r>
          </w:p>
        </w:tc>
      </w:tr>
      <w:tr w:rsidR="001D45D1" w:rsidRPr="005D4222" w14:paraId="2E198C83" w14:textId="77777777" w:rsidTr="00A53E8C">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7E2B0D0C" w14:textId="77777777" w:rsidR="001D45D1" w:rsidRPr="005D4222" w:rsidRDefault="001D45D1" w:rsidP="004D6761">
            <w:pPr>
              <w:pStyle w:val="ECDSMarginSubhead"/>
              <w:spacing w:after="0"/>
            </w:pPr>
            <w:r w:rsidRPr="005D4222">
              <w:t>Scoring</w:t>
            </w: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54A08BA1" w14:textId="77777777" w:rsidR="001D45D1" w:rsidRPr="005D4222" w:rsidRDefault="001D45D1" w:rsidP="004D6761">
            <w:pPr>
              <w:pStyle w:val="ECDSBody"/>
              <w:spacing w:after="0"/>
            </w:pPr>
            <w:r w:rsidRPr="005D4222">
              <w:t>Proportion.</w:t>
            </w:r>
          </w:p>
        </w:tc>
      </w:tr>
      <w:tr w:rsidR="001D45D1" w:rsidRPr="005D4222" w14:paraId="60026E26"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25303C15" w14:textId="77777777" w:rsidR="001D45D1" w:rsidRPr="005D4222" w:rsidRDefault="001D45D1" w:rsidP="004D6761">
            <w:pPr>
              <w:pStyle w:val="ECDSMarginSubhead"/>
              <w:spacing w:after="0"/>
            </w:pPr>
            <w:r w:rsidRPr="005D4222">
              <w:t>Type</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467DB7D6" w14:textId="77777777" w:rsidR="001D45D1" w:rsidRPr="005D4222" w:rsidRDefault="001D45D1" w:rsidP="004D6761">
            <w:pPr>
              <w:pStyle w:val="ECDSBody"/>
              <w:spacing w:after="0"/>
            </w:pPr>
            <w:r w:rsidRPr="005D4222">
              <w:t>Outcome.</w:t>
            </w:r>
          </w:p>
        </w:tc>
      </w:tr>
      <w:tr w:rsidR="001D45D1" w:rsidRPr="005D4222" w14:paraId="218B9E72"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584886BD" w14:textId="6C8A33E6" w:rsidR="001D45D1" w:rsidRPr="005D4222" w:rsidRDefault="00B51CDC" w:rsidP="004D6761">
            <w:pPr>
              <w:pStyle w:val="ECDSMarginSubhead"/>
              <w:spacing w:after="0"/>
            </w:pPr>
            <w:r w:rsidRPr="005D4222">
              <w:t>Product lines</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7165DFD1" w14:textId="77777777" w:rsidR="001D45D1" w:rsidRPr="005D4222" w:rsidRDefault="001D45D1" w:rsidP="005D6173">
            <w:pPr>
              <w:pStyle w:val="ProcessBullet"/>
              <w:numPr>
                <w:ilvl w:val="0"/>
                <w:numId w:val="98"/>
              </w:numPr>
              <w:tabs>
                <w:tab w:val="left" w:pos="216"/>
              </w:tabs>
              <w:spacing w:before="120"/>
              <w:ind w:left="216" w:hanging="216"/>
            </w:pPr>
            <w:r w:rsidRPr="005D4222">
              <w:t>Commercial.</w:t>
            </w:r>
          </w:p>
          <w:p w14:paraId="6C4848FD" w14:textId="77777777" w:rsidR="001D45D1" w:rsidRPr="005D4222" w:rsidRDefault="001D45D1" w:rsidP="005D6173">
            <w:pPr>
              <w:pStyle w:val="ProcessBullet"/>
              <w:numPr>
                <w:ilvl w:val="0"/>
                <w:numId w:val="98"/>
              </w:numPr>
              <w:tabs>
                <w:tab w:val="left" w:pos="216"/>
              </w:tabs>
              <w:ind w:left="216" w:hanging="216"/>
            </w:pPr>
            <w:r w:rsidRPr="005D4222">
              <w:t>Medicaid.</w:t>
            </w:r>
          </w:p>
          <w:p w14:paraId="2C24F9B0" w14:textId="77777777" w:rsidR="001D45D1" w:rsidRPr="005D4222" w:rsidRDefault="001D45D1" w:rsidP="005D6173">
            <w:pPr>
              <w:pStyle w:val="ProcessBullet"/>
              <w:numPr>
                <w:ilvl w:val="0"/>
                <w:numId w:val="98"/>
              </w:numPr>
              <w:tabs>
                <w:tab w:val="left" w:pos="216"/>
              </w:tabs>
              <w:ind w:left="216" w:hanging="216"/>
            </w:pPr>
            <w:r w:rsidRPr="005D4222">
              <w:t>Medicare.</w:t>
            </w:r>
          </w:p>
        </w:tc>
      </w:tr>
      <w:tr w:rsidR="001D45D1" w:rsidRPr="005D4222" w14:paraId="0C7BAB7F"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044A3629" w14:textId="147A276A" w:rsidR="001D45D1" w:rsidRPr="005D4222" w:rsidRDefault="00B51CDC" w:rsidP="004D6761">
            <w:pPr>
              <w:pStyle w:val="ECDSMarginSubhead"/>
              <w:spacing w:after="0"/>
            </w:pPr>
            <w:r w:rsidRPr="005D4222">
              <w:t>Stratifications</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2E0C85F5" w14:textId="77777777" w:rsidR="001D45D1" w:rsidRPr="005D4222" w:rsidRDefault="001D45D1" w:rsidP="004D6761">
            <w:pPr>
              <w:pStyle w:val="ECDSBody"/>
              <w:spacing w:after="0"/>
              <w:rPr>
                <w:rFonts w:eastAsia="Arial,Arial,Arial,Arial,Arial,A"/>
              </w:rPr>
            </w:pPr>
            <w:r w:rsidRPr="005D4222">
              <w:rPr>
                <w:rFonts w:eastAsia="Arial,Arial,Arial,Arial,Arial,A"/>
              </w:rPr>
              <w:t xml:space="preserve">Age </w:t>
            </w:r>
            <w:r w:rsidRPr="005D4222">
              <w:t>as of the start of the intake period</w:t>
            </w:r>
            <w:r w:rsidRPr="005D4222">
              <w:rPr>
                <w:rFonts w:eastAsia="Arial,Arial,Arial,Arial,Arial,A"/>
              </w:rPr>
              <w:t>.</w:t>
            </w:r>
          </w:p>
          <w:p w14:paraId="317BD149" w14:textId="77777777" w:rsidR="001D45D1" w:rsidRPr="005D4222" w:rsidRDefault="001D45D1" w:rsidP="004D6761">
            <w:pPr>
              <w:pStyle w:val="Bullet"/>
              <w:numPr>
                <w:ilvl w:val="0"/>
                <w:numId w:val="4"/>
              </w:numPr>
              <w:ind w:left="576" w:hanging="216"/>
            </w:pPr>
            <w:r w:rsidRPr="005D4222">
              <w:rPr>
                <w:rFonts w:eastAsia="Arial,Arial,Arial,Arial,Arial,A"/>
              </w:rPr>
              <w:t>12–17 years (</w:t>
            </w:r>
            <w:r w:rsidRPr="005D4222">
              <w:t>for commercial and Medicaid only).</w:t>
            </w:r>
          </w:p>
          <w:p w14:paraId="7618A9B8" w14:textId="77777777" w:rsidR="001D45D1" w:rsidRPr="005D4222" w:rsidRDefault="001D45D1" w:rsidP="004D6761">
            <w:pPr>
              <w:pStyle w:val="Bullet"/>
              <w:numPr>
                <w:ilvl w:val="0"/>
                <w:numId w:val="4"/>
              </w:numPr>
              <w:ind w:left="576" w:hanging="216"/>
              <w:rPr>
                <w:rFonts w:eastAsia="Arial,Arial,Arial,Arial,Arial,A"/>
              </w:rPr>
            </w:pPr>
            <w:r w:rsidRPr="005D4222">
              <w:rPr>
                <w:rFonts w:eastAsia="Arial,Arial,Arial,Arial,Arial,A"/>
              </w:rPr>
              <w:t>18–44 years.</w:t>
            </w:r>
          </w:p>
          <w:p w14:paraId="2B33EDA2" w14:textId="77777777" w:rsidR="001D45D1" w:rsidRPr="005D4222" w:rsidRDefault="001D45D1" w:rsidP="004D6761">
            <w:pPr>
              <w:pStyle w:val="Bullet"/>
              <w:numPr>
                <w:ilvl w:val="0"/>
                <w:numId w:val="4"/>
              </w:numPr>
              <w:ind w:left="576" w:hanging="216"/>
              <w:rPr>
                <w:rFonts w:eastAsia="Arial,Arial,Arial,Arial,Arial,A"/>
              </w:rPr>
            </w:pPr>
            <w:r w:rsidRPr="005D4222">
              <w:rPr>
                <w:rFonts w:eastAsia="Arial,Arial,Arial,Arial,Arial,A"/>
              </w:rPr>
              <w:t>45–64 years.</w:t>
            </w:r>
          </w:p>
          <w:p w14:paraId="02302803" w14:textId="77777777" w:rsidR="001D45D1" w:rsidRPr="005D4222" w:rsidRDefault="001D45D1" w:rsidP="004D6761">
            <w:pPr>
              <w:pStyle w:val="Bullet"/>
              <w:numPr>
                <w:ilvl w:val="0"/>
                <w:numId w:val="4"/>
              </w:numPr>
              <w:ind w:left="576" w:hanging="216"/>
              <w:rPr>
                <w:rFonts w:cs="Arial"/>
              </w:rPr>
            </w:pPr>
            <w:r w:rsidRPr="005D4222">
              <w:rPr>
                <w:rFonts w:eastAsia="Arial,Arial,Arial,Arial,Arial,A"/>
              </w:rPr>
              <w:t>65 years and older.</w:t>
            </w:r>
          </w:p>
        </w:tc>
      </w:tr>
      <w:tr w:rsidR="001D45D1" w:rsidRPr="005D4222" w14:paraId="5EB5307A"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7F6EE7A6" w14:textId="77777777" w:rsidR="001D45D1" w:rsidRPr="005D4222" w:rsidRDefault="001D45D1" w:rsidP="004D6761">
            <w:pPr>
              <w:pStyle w:val="ECDSMarginSubhead"/>
              <w:spacing w:after="0"/>
            </w:pPr>
            <w:r w:rsidRPr="005D4222">
              <w:t>Risk adjustment</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5CB9CB32" w14:textId="77777777" w:rsidR="001D45D1" w:rsidRPr="005D4222" w:rsidRDefault="001D45D1" w:rsidP="004D6761">
            <w:pPr>
              <w:pStyle w:val="ECDSBody"/>
              <w:spacing w:after="0"/>
            </w:pPr>
            <w:r w:rsidRPr="005D4222">
              <w:t xml:space="preserve">None. </w:t>
            </w:r>
          </w:p>
        </w:tc>
      </w:tr>
      <w:tr w:rsidR="001D45D1" w:rsidRPr="005D4222" w14:paraId="0CDCFB90"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6811A710" w14:textId="77777777" w:rsidR="001D45D1" w:rsidRPr="005D4222" w:rsidRDefault="001D45D1" w:rsidP="004D6761">
            <w:pPr>
              <w:pStyle w:val="ECDSMarginSubhead"/>
              <w:spacing w:after="0"/>
            </w:pPr>
            <w:r w:rsidRPr="005D4222">
              <w:t>Improvement notation</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0842FC7D" w14:textId="77777777" w:rsidR="001D45D1" w:rsidRPr="005D4222" w:rsidRDefault="001D45D1" w:rsidP="004D6761">
            <w:pPr>
              <w:pStyle w:val="ECDSBody"/>
              <w:spacing w:after="0"/>
            </w:pPr>
            <w:r w:rsidRPr="005D4222">
              <w:rPr>
                <w:iCs/>
              </w:rPr>
              <w:t>Increased score indicates improvement.</w:t>
            </w:r>
          </w:p>
        </w:tc>
      </w:tr>
      <w:tr w:rsidR="001D45D1" w:rsidRPr="005D4222" w14:paraId="08E9B9CF" w14:textId="77777777" w:rsidTr="00A53E8C">
        <w:trPr>
          <w:trHeight w:val="633"/>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14AB86FA" w14:textId="77777777" w:rsidR="001D45D1" w:rsidRPr="005D4222" w:rsidRDefault="001D45D1" w:rsidP="00A53E8C">
            <w:pPr>
              <w:pStyle w:val="ECDSMarginSubhead"/>
            </w:pPr>
            <w:r w:rsidRPr="005D4222">
              <w:t>Guidance</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1365D920" w14:textId="7718F5F1" w:rsidR="001D45D1" w:rsidRPr="005D4222" w:rsidRDefault="001D45D1" w:rsidP="00A53E8C">
            <w:pPr>
              <w:pStyle w:val="ECDSBody"/>
            </w:pPr>
            <w:r w:rsidRPr="005D4222">
              <w:rPr>
                <w:b/>
              </w:rPr>
              <w:t>Data collection methodology:</w:t>
            </w:r>
            <w:r w:rsidRPr="005D4222">
              <w:t xml:space="preserve"> ECDS. Refer to </w:t>
            </w:r>
            <w:hyperlink w:anchor="General_Guideline_Data_Collection_Method" w:history="1">
              <w:r w:rsidRPr="005D4222">
                <w:rPr>
                  <w:rStyle w:val="Hyperlink"/>
                  <w:i/>
                  <w:iCs/>
                </w:rPr>
                <w:t>General Guideline: Data Collection Methods</w:t>
              </w:r>
              <w:r w:rsidRPr="005D4222">
                <w:rPr>
                  <w:rStyle w:val="Hyperlink"/>
                </w:rPr>
                <w:t xml:space="preserve"> </w:t>
              </w:r>
            </w:hyperlink>
            <w:r w:rsidRPr="005D4222">
              <w:t>for additional information.</w:t>
            </w:r>
          </w:p>
          <w:p w14:paraId="45474BDC" w14:textId="77777777" w:rsidR="001D45D1" w:rsidRPr="005D4222" w:rsidRDefault="001D45D1" w:rsidP="00A53E8C">
            <w:pPr>
              <w:pStyle w:val="ECDSBody"/>
            </w:pPr>
            <w:r w:rsidRPr="005D4222">
              <w:rPr>
                <w:b/>
              </w:rPr>
              <w:t xml:space="preserve">Date specificity: </w:t>
            </w:r>
            <w:r w:rsidRPr="005D4222">
              <w:t>Dates must be specific enough to determine the event occurred in the period being measured.</w:t>
            </w:r>
          </w:p>
          <w:p w14:paraId="5B360957" w14:textId="77777777" w:rsidR="001D45D1" w:rsidRPr="005D4222" w:rsidRDefault="001D45D1" w:rsidP="00A53E8C">
            <w:pPr>
              <w:pStyle w:val="ECDSBody"/>
            </w:pPr>
            <w:r w:rsidRPr="005D4222">
              <w:rPr>
                <w:b/>
              </w:rPr>
              <w:t xml:space="preserve">What services count? </w:t>
            </w:r>
            <w:r w:rsidRPr="005D4222">
              <w:t>When using claims, include all paid, suspended, pending and denied claims.</w:t>
            </w:r>
          </w:p>
          <w:p w14:paraId="43114751" w14:textId="77777777" w:rsidR="001D45D1" w:rsidRPr="005D4222" w:rsidRDefault="001D45D1" w:rsidP="00A53E8C">
            <w:pPr>
              <w:pStyle w:val="ECDSBody"/>
            </w:pPr>
            <w:r w:rsidRPr="005D4222">
              <w:rPr>
                <w:b/>
              </w:rPr>
              <w:t xml:space="preserve">Other guidance: </w:t>
            </w:r>
            <w:r w:rsidRPr="005D4222">
              <w:t>PHQ-9 assessment may occur during a face-to-face encounter, telephonically or through a web-based portal.</w:t>
            </w:r>
          </w:p>
        </w:tc>
      </w:tr>
      <w:tr w:rsidR="001D45D1" w:rsidRPr="005D4222" w14:paraId="09E3295F" w14:textId="77777777" w:rsidTr="00A53E8C">
        <w:tc>
          <w:tcPr>
            <w:tcW w:w="9714" w:type="dxa"/>
            <w:gridSpan w:val="2"/>
            <w:tcBorders>
              <w:top w:val="single" w:sz="4" w:space="0" w:color="auto"/>
              <w:bottom w:val="single" w:sz="4" w:space="0" w:color="auto"/>
            </w:tcBorders>
            <w:shd w:val="clear" w:color="auto" w:fill="BFBFBF" w:themeFill="background1" w:themeFillShade="BF"/>
            <w:tcMar>
              <w:top w:w="0" w:type="dxa"/>
              <w:left w:w="86" w:type="dxa"/>
              <w:bottom w:w="43" w:type="dxa"/>
              <w:right w:w="86" w:type="dxa"/>
            </w:tcMar>
          </w:tcPr>
          <w:p w14:paraId="0989E357" w14:textId="77777777" w:rsidR="001D45D1" w:rsidRPr="005D4222" w:rsidRDefault="001D45D1" w:rsidP="00A53E8C">
            <w:pPr>
              <w:pStyle w:val="ECDSMarginHead"/>
            </w:pPr>
            <w:r w:rsidRPr="005D4222">
              <w:t xml:space="preserve">Definitions </w:t>
            </w:r>
          </w:p>
        </w:tc>
      </w:tr>
      <w:tr w:rsidR="001D45D1" w:rsidRPr="005D4222" w14:paraId="19FBDB04" w14:textId="77777777" w:rsidTr="00A53E8C">
        <w:tc>
          <w:tcPr>
            <w:tcW w:w="2157" w:type="dxa"/>
            <w:tcBorders>
              <w:top w:val="single" w:sz="4" w:space="0" w:color="auto"/>
              <w:bottom w:val="nil"/>
            </w:tcBorders>
            <w:tcMar>
              <w:top w:w="0" w:type="dxa"/>
              <w:left w:w="86" w:type="dxa"/>
              <w:bottom w:w="43" w:type="dxa"/>
              <w:right w:w="86" w:type="dxa"/>
            </w:tcMar>
          </w:tcPr>
          <w:p w14:paraId="6AB6CDCB" w14:textId="77777777" w:rsidR="001D45D1" w:rsidRPr="005D4222" w:rsidRDefault="001D45D1" w:rsidP="004D6761">
            <w:pPr>
              <w:pStyle w:val="ECDSSubhead"/>
            </w:pPr>
            <w:r w:rsidRPr="005D4222">
              <w:t>Depression follow-up period</w:t>
            </w:r>
          </w:p>
        </w:tc>
        <w:tc>
          <w:tcPr>
            <w:tcW w:w="7557" w:type="dxa"/>
            <w:tcBorders>
              <w:top w:val="single" w:sz="4" w:space="0" w:color="auto"/>
              <w:bottom w:val="nil"/>
            </w:tcBorders>
            <w:tcMar>
              <w:left w:w="86" w:type="dxa"/>
              <w:bottom w:w="43" w:type="dxa"/>
              <w:right w:w="86" w:type="dxa"/>
            </w:tcMar>
          </w:tcPr>
          <w:p w14:paraId="0201CC00" w14:textId="77777777" w:rsidR="001D45D1" w:rsidRPr="005D4222" w:rsidRDefault="001D45D1" w:rsidP="00A53E8C">
            <w:pPr>
              <w:pStyle w:val="ECDSBody"/>
              <w:spacing w:after="0"/>
            </w:pPr>
            <w:r w:rsidRPr="005D4222">
              <w:t>The 120−240 day period after the IESD.</w:t>
            </w:r>
          </w:p>
        </w:tc>
      </w:tr>
      <w:tr w:rsidR="001D45D1" w:rsidRPr="005D4222" w14:paraId="4B1850A8" w14:textId="77777777" w:rsidTr="00A53E8C">
        <w:tc>
          <w:tcPr>
            <w:tcW w:w="2157" w:type="dxa"/>
            <w:tcBorders>
              <w:top w:val="nil"/>
              <w:bottom w:val="nil"/>
            </w:tcBorders>
            <w:tcMar>
              <w:top w:w="0" w:type="dxa"/>
              <w:left w:w="86" w:type="dxa"/>
              <w:bottom w:w="43" w:type="dxa"/>
              <w:right w:w="86" w:type="dxa"/>
            </w:tcMar>
          </w:tcPr>
          <w:p w14:paraId="6E0DF913" w14:textId="77777777" w:rsidR="001D45D1" w:rsidRPr="005D4222" w:rsidRDefault="001D45D1" w:rsidP="004D6761">
            <w:pPr>
              <w:pStyle w:val="ECDSSubhead"/>
            </w:pPr>
            <w:r w:rsidRPr="005D4222">
              <w:t>IESD</w:t>
            </w:r>
          </w:p>
        </w:tc>
        <w:tc>
          <w:tcPr>
            <w:tcW w:w="7557" w:type="dxa"/>
            <w:tcBorders>
              <w:top w:val="nil"/>
              <w:bottom w:val="nil"/>
            </w:tcBorders>
            <w:tcMar>
              <w:left w:w="86" w:type="dxa"/>
              <w:bottom w:w="43" w:type="dxa"/>
              <w:right w:w="86" w:type="dxa"/>
            </w:tcMar>
          </w:tcPr>
          <w:p w14:paraId="29194FD4" w14:textId="77777777" w:rsidR="001D45D1" w:rsidRPr="005D4222" w:rsidRDefault="001D45D1" w:rsidP="00A53E8C">
            <w:pPr>
              <w:pStyle w:val="ECDSBody"/>
              <w:spacing w:after="0"/>
            </w:pPr>
            <w:r w:rsidRPr="005D4222">
              <w:rPr>
                <w:kern w:val="20"/>
              </w:rPr>
              <w:t>Index episode start date. The earliest date during the intake period when a person has a PHQ-9 total score (LOINC code 44261-6 for persons 12 years of age and older; LOINC code 89204-2 or 44261-6 for persons 12–17 years of age) &gt;9 documented within a 31-day period, including and around (15 days before and 15 days after) an interactive outpatient encounter (</w:t>
            </w:r>
            <w:r w:rsidRPr="005D4222">
              <w:rPr>
                <w:kern w:val="20"/>
                <w:u w:val="single"/>
              </w:rPr>
              <w:t>Interactive Outpatient Encounter Value Set</w:t>
            </w:r>
            <w:r w:rsidRPr="005D4222">
              <w:rPr>
                <w:kern w:val="20"/>
              </w:rPr>
              <w:t>) with a diagnosis of major depression or dysthymia (</w:t>
            </w:r>
            <w:r w:rsidRPr="005D4222">
              <w:rPr>
                <w:kern w:val="20"/>
                <w:u w:val="single"/>
              </w:rPr>
              <w:t>Major Depression or Dysthymia Value Set</w:t>
            </w:r>
            <w:r w:rsidRPr="005D4222">
              <w:rPr>
                <w:kern w:val="20"/>
              </w:rPr>
              <w:t>).</w:t>
            </w:r>
          </w:p>
        </w:tc>
      </w:tr>
      <w:tr w:rsidR="001D45D1" w:rsidRPr="005D4222" w14:paraId="5455E9B5" w14:textId="77777777" w:rsidTr="00A53E8C">
        <w:tc>
          <w:tcPr>
            <w:tcW w:w="2157" w:type="dxa"/>
            <w:tcBorders>
              <w:top w:val="nil"/>
              <w:bottom w:val="nil"/>
            </w:tcBorders>
            <w:tcMar>
              <w:top w:w="0" w:type="dxa"/>
              <w:left w:w="86" w:type="dxa"/>
              <w:bottom w:w="43" w:type="dxa"/>
              <w:right w:w="86" w:type="dxa"/>
            </w:tcMar>
          </w:tcPr>
          <w:p w14:paraId="7EDB124C" w14:textId="77777777" w:rsidR="001D45D1" w:rsidRPr="005D4222" w:rsidRDefault="001D45D1" w:rsidP="004D6761">
            <w:pPr>
              <w:pStyle w:val="ECDSSubhead"/>
            </w:pPr>
            <w:r w:rsidRPr="005D4222">
              <w:t>Intake period</w:t>
            </w:r>
          </w:p>
        </w:tc>
        <w:tc>
          <w:tcPr>
            <w:tcW w:w="7557" w:type="dxa"/>
            <w:tcBorders>
              <w:top w:val="nil"/>
              <w:bottom w:val="nil"/>
            </w:tcBorders>
            <w:tcMar>
              <w:left w:w="86" w:type="dxa"/>
              <w:bottom w:w="43" w:type="dxa"/>
              <w:right w:w="86" w:type="dxa"/>
            </w:tcMar>
          </w:tcPr>
          <w:p w14:paraId="3559E293" w14:textId="77777777" w:rsidR="001D45D1" w:rsidRPr="005D4222" w:rsidRDefault="001D45D1" w:rsidP="00A53E8C">
            <w:pPr>
              <w:pStyle w:val="ECDSBody"/>
              <w:spacing w:after="0"/>
              <w:rPr>
                <w:highlight w:val="yellow"/>
              </w:rPr>
            </w:pPr>
            <w:r w:rsidRPr="005D4222">
              <w:t>May 1 of the year prior to the measurement period through April 30 of the measurement period.</w:t>
            </w:r>
          </w:p>
        </w:tc>
      </w:tr>
      <w:tr w:rsidR="001D45D1" w:rsidRPr="005D4222" w14:paraId="207C4471" w14:textId="77777777" w:rsidTr="00A53E8C">
        <w:trPr>
          <w:trHeight w:val="696"/>
        </w:trPr>
        <w:tc>
          <w:tcPr>
            <w:tcW w:w="2157" w:type="dxa"/>
            <w:tcBorders>
              <w:top w:val="nil"/>
              <w:bottom w:val="single" w:sz="4" w:space="0" w:color="auto"/>
            </w:tcBorders>
            <w:tcMar>
              <w:top w:w="0" w:type="dxa"/>
              <w:left w:w="86" w:type="dxa"/>
              <w:bottom w:w="43" w:type="dxa"/>
              <w:right w:w="86" w:type="dxa"/>
            </w:tcMar>
          </w:tcPr>
          <w:p w14:paraId="7EF3A974" w14:textId="77777777" w:rsidR="001D45D1" w:rsidRPr="005D4222" w:rsidRDefault="001D45D1" w:rsidP="004D6761">
            <w:pPr>
              <w:pStyle w:val="ECDSSubhead"/>
            </w:pPr>
            <w:r w:rsidRPr="005D4222">
              <w:rPr>
                <w:kern w:val="20"/>
              </w:rPr>
              <w:t>Interactive outpatient encounter</w:t>
            </w:r>
          </w:p>
        </w:tc>
        <w:tc>
          <w:tcPr>
            <w:tcW w:w="7557" w:type="dxa"/>
            <w:tcBorders>
              <w:top w:val="nil"/>
              <w:bottom w:val="single" w:sz="4" w:space="0" w:color="auto"/>
            </w:tcBorders>
            <w:tcMar>
              <w:left w:w="86" w:type="dxa"/>
              <w:bottom w:w="43" w:type="dxa"/>
              <w:right w:w="86" w:type="dxa"/>
            </w:tcMar>
          </w:tcPr>
          <w:p w14:paraId="64B8CC23" w14:textId="77777777" w:rsidR="001D45D1" w:rsidRPr="005D4222" w:rsidRDefault="001D45D1" w:rsidP="00A53E8C">
            <w:pPr>
              <w:pStyle w:val="ECDSBody"/>
            </w:pPr>
            <w:r w:rsidRPr="005D4222">
              <w:t>A bidirectional communication that is face-to-face, phone based, an e-visit or virtual check-in, or via secure electronic messaging. This does not include communications for scheduling appointments.</w:t>
            </w:r>
          </w:p>
        </w:tc>
      </w:tr>
    </w:tbl>
    <w:p w14:paraId="5A5A61D7" w14:textId="77777777" w:rsidR="001D45D1" w:rsidRPr="005D4222" w:rsidRDefault="001D45D1" w:rsidP="001D45D1"/>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1D45D1" w:rsidRPr="005D4222" w14:paraId="581BA0C5" w14:textId="77777777" w:rsidTr="00A53E8C">
        <w:trPr>
          <w:trHeight w:val="320"/>
        </w:trPr>
        <w:tc>
          <w:tcPr>
            <w:tcW w:w="2157" w:type="dxa"/>
            <w:shd w:val="clear" w:color="auto" w:fill="BFBFBF" w:themeFill="background1" w:themeFillShade="BF"/>
            <w:tcMar>
              <w:top w:w="0" w:type="dxa"/>
              <w:left w:w="86" w:type="dxa"/>
              <w:bottom w:w="43" w:type="dxa"/>
              <w:right w:w="86" w:type="dxa"/>
            </w:tcMar>
          </w:tcPr>
          <w:p w14:paraId="5868572F" w14:textId="77777777" w:rsidR="001D45D1" w:rsidRPr="005D4222" w:rsidRDefault="001D45D1" w:rsidP="00A53E8C">
            <w:pPr>
              <w:pStyle w:val="ECDSMarginHead"/>
            </w:pPr>
            <w:r w:rsidRPr="005D4222">
              <w:lastRenderedPageBreak/>
              <w:t>Initial population</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5E59D5C" w14:textId="77777777" w:rsidR="001D45D1" w:rsidRPr="005D4222" w:rsidRDefault="001D45D1" w:rsidP="00A53E8C">
            <w:pPr>
              <w:pStyle w:val="ECDSBody"/>
            </w:pPr>
            <w:r w:rsidRPr="005D4222">
              <w:rPr>
                <w:i/>
                <w:iCs/>
              </w:rPr>
              <w:t>Measure item count:</w:t>
            </w:r>
            <w:r w:rsidRPr="005D4222">
              <w:t xml:space="preserve"> Person.</w:t>
            </w:r>
          </w:p>
          <w:p w14:paraId="44D2B2DB" w14:textId="5C21E7E2" w:rsidR="001D45D1" w:rsidRPr="005D4222" w:rsidRDefault="00F10378" w:rsidP="00A53E8C">
            <w:pPr>
              <w:pStyle w:val="ECDSBody"/>
            </w:pPr>
            <w:r w:rsidRPr="005D4222">
              <w:rPr>
                <w:i/>
                <w:iCs/>
              </w:rPr>
              <w:t>Attribution basis:</w:t>
            </w:r>
            <w:r w:rsidR="001D45D1" w:rsidRPr="005D4222">
              <w:rPr>
                <w:i/>
                <w:iCs/>
              </w:rPr>
              <w:t xml:space="preserve"> </w:t>
            </w:r>
            <w:r w:rsidR="001D45D1" w:rsidRPr="005D4222">
              <w:t>Enrollment.</w:t>
            </w:r>
          </w:p>
          <w:p w14:paraId="62244CA1" w14:textId="7FA67964" w:rsidR="001D45D1" w:rsidRPr="005D4222" w:rsidRDefault="000F0DC5" w:rsidP="001D45D1">
            <w:pPr>
              <w:pStyle w:val="Bullet"/>
              <w:numPr>
                <w:ilvl w:val="0"/>
                <w:numId w:val="4"/>
              </w:numPr>
              <w:ind w:left="576" w:hanging="216"/>
            </w:pPr>
            <w:r w:rsidRPr="005D4222">
              <w:rPr>
                <w:i/>
                <w:iCs/>
              </w:rPr>
              <w:t>Benefits:</w:t>
            </w:r>
            <w:r w:rsidR="001D45D1" w:rsidRPr="005D4222">
              <w:rPr>
                <w:i/>
                <w:iCs/>
              </w:rPr>
              <w:t xml:space="preserve"> </w:t>
            </w:r>
            <w:r w:rsidR="001D45D1" w:rsidRPr="005D4222">
              <w:t>Medical.</w:t>
            </w:r>
          </w:p>
          <w:p w14:paraId="259CAADC" w14:textId="77777777" w:rsidR="001D45D1" w:rsidRPr="005D4222" w:rsidRDefault="001D45D1" w:rsidP="001D45D1">
            <w:pPr>
              <w:pStyle w:val="Bullet"/>
              <w:numPr>
                <w:ilvl w:val="0"/>
                <w:numId w:val="4"/>
              </w:numPr>
              <w:ind w:left="576" w:hanging="216"/>
            </w:pPr>
            <w:r w:rsidRPr="005D4222">
              <w:rPr>
                <w:i/>
                <w:iCs/>
              </w:rPr>
              <w:t xml:space="preserve">Continuous enrollment: </w:t>
            </w:r>
            <w:r w:rsidRPr="005D4222">
              <w:t xml:space="preserve">May 1 of the year prior to the measurement period through the last day of the measurement period.  </w:t>
            </w:r>
          </w:p>
          <w:p w14:paraId="065382C2" w14:textId="7B8E85A3" w:rsidR="001D45D1" w:rsidRPr="005D4222" w:rsidRDefault="001D45D1" w:rsidP="001D45D1">
            <w:pPr>
              <w:pStyle w:val="Bullet"/>
              <w:numPr>
                <w:ilvl w:val="0"/>
                <w:numId w:val="4"/>
              </w:numPr>
              <w:ind w:left="576" w:hanging="216"/>
              <w:rPr>
                <w:i/>
                <w:iCs/>
              </w:rPr>
            </w:pPr>
            <w:r w:rsidRPr="005D4222">
              <w:rPr>
                <w:i/>
                <w:iCs/>
              </w:rPr>
              <w:t xml:space="preserve">Allowable gap: </w:t>
            </w:r>
          </w:p>
          <w:p w14:paraId="4CCBEEDE" w14:textId="77777777" w:rsidR="001D45D1" w:rsidRPr="005D4222" w:rsidRDefault="001D45D1" w:rsidP="004D6761">
            <w:pPr>
              <w:pStyle w:val="Dash"/>
            </w:pPr>
            <w:r w:rsidRPr="005D4222">
              <w:rPr>
                <w:i/>
                <w:iCs/>
              </w:rPr>
              <w:t xml:space="preserve">Measurement period: </w:t>
            </w:r>
            <w:r w:rsidRPr="005D4222">
              <w:t>No more than one gap of ≤45 days. No gaps on the last day of the measurement period.</w:t>
            </w:r>
          </w:p>
          <w:p w14:paraId="4697A2CC" w14:textId="77777777" w:rsidR="001D45D1" w:rsidRPr="005D4222" w:rsidRDefault="001D45D1" w:rsidP="004D6761">
            <w:pPr>
              <w:pStyle w:val="Dash"/>
            </w:pPr>
            <w:r w:rsidRPr="005D4222">
              <w:rPr>
                <w:i/>
                <w:iCs/>
              </w:rPr>
              <w:t>May 1–December 31 of the year prior to the measurement period:</w:t>
            </w:r>
            <w:r w:rsidRPr="005D4222">
              <w:t xml:space="preserve"> None. </w:t>
            </w:r>
          </w:p>
          <w:p w14:paraId="424D5862" w14:textId="77777777" w:rsidR="001D45D1" w:rsidRPr="005D4222" w:rsidRDefault="001D45D1" w:rsidP="00A53E8C">
            <w:pPr>
              <w:pStyle w:val="ECDSBody"/>
            </w:pPr>
            <w:r w:rsidRPr="005D4222">
              <w:rPr>
                <w:i/>
                <w:iCs/>
              </w:rPr>
              <w:t>Ages:</w:t>
            </w:r>
            <w:r w:rsidRPr="005D4222">
              <w:t xml:space="preserve"> 12 years of age and older as of the beginning of the intake period.</w:t>
            </w:r>
          </w:p>
          <w:p w14:paraId="2C446D23" w14:textId="77777777" w:rsidR="001D45D1" w:rsidRPr="005D4222" w:rsidRDefault="001D45D1" w:rsidP="00A53E8C">
            <w:pPr>
              <w:pStyle w:val="ECDSBody"/>
              <w:rPr>
                <w:b/>
              </w:rPr>
            </w:pPr>
            <w:r w:rsidRPr="005D4222">
              <w:rPr>
                <w:i/>
                <w:iCs/>
              </w:rPr>
              <w:t>Event:</w:t>
            </w:r>
            <w:r w:rsidRPr="005D4222">
              <w:rPr>
                <w:b/>
                <w:i/>
                <w:iCs/>
              </w:rPr>
              <w:t xml:space="preserve"> </w:t>
            </w:r>
            <w:r w:rsidRPr="005D4222">
              <w:rPr>
                <w:b/>
              </w:rPr>
              <w:t>Persons who meet a depression encounter and PHQ-9 total score &gt;9, as described by IESD.</w:t>
            </w:r>
          </w:p>
        </w:tc>
      </w:tr>
      <w:tr w:rsidR="001D45D1" w:rsidRPr="005D4222" w14:paraId="43B369B2" w14:textId="77777777" w:rsidTr="00A53E8C">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6F3833A" w14:textId="77777777" w:rsidR="001D45D1" w:rsidRPr="005D4222" w:rsidRDefault="001D45D1" w:rsidP="00A53E8C">
            <w:pPr>
              <w:pStyle w:val="ECDSMarginHead"/>
            </w:pPr>
            <w:r w:rsidRPr="005D4222">
              <w:t xml:space="preserve">Denominator exclusions </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36FE23DC" w14:textId="77777777" w:rsidR="001D45D1" w:rsidRPr="005D4222" w:rsidRDefault="001D45D1" w:rsidP="00A53E8C">
            <w:pPr>
              <w:pStyle w:val="ECDSBody"/>
              <w:rPr>
                <w:rFonts w:eastAsia="Arial"/>
                <w:kern w:val="24"/>
                <w14:ligatures w14:val="standardContextual"/>
              </w:rPr>
            </w:pPr>
            <w:r w:rsidRPr="005D4222">
              <w:rPr>
                <w:rFonts w:eastAsia="Arial,Arial,Arial,Arial,Arial,A"/>
                <w:b/>
              </w:rPr>
              <w:t>Persons with a date of death.</w:t>
            </w:r>
            <w:r w:rsidRPr="005D4222">
              <w:rPr>
                <w:rFonts w:eastAsia="Arial,Arial,Arial,Arial,Arial,A"/>
                <w:b/>
              </w:rPr>
              <w:br/>
            </w:r>
            <w:r w:rsidRPr="005D4222">
              <w:rPr>
                <w:rFonts w:eastAsia="Arial"/>
                <w:kern w:val="24"/>
                <w14:ligatures w14:val="standardContextual"/>
              </w:rPr>
              <w:t>Death in the measurement period, identified u</w:t>
            </w:r>
            <w:r w:rsidRPr="005D4222">
              <w:rPr>
                <w:rFonts w:eastAsia="Arial"/>
              </w:rPr>
              <w:t>sing data sources determined by the organization. Method and data sources are subject to review during the HEDIS audit.</w:t>
            </w:r>
          </w:p>
          <w:p w14:paraId="4EB275F4" w14:textId="77777777" w:rsidR="001D45D1" w:rsidRPr="005D4222" w:rsidRDefault="001D45D1" w:rsidP="00A53E8C">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2F63F2F9" w14:textId="09829ED9" w:rsidR="001D45D1" w:rsidRPr="005D4222" w:rsidRDefault="001D45D1" w:rsidP="00A53E8C">
            <w:pPr>
              <w:pStyle w:val="ECDSBody"/>
            </w:pPr>
            <w:r w:rsidRPr="005D4222">
              <w:rPr>
                <w:rFonts w:eastAsia="Arial,Arial,Arial,Arial,Arial,A"/>
                <w:b/>
              </w:rPr>
              <w:t xml:space="preserve">Persons with bipolar disorder, personality disorder, psychotic disorder or pervasive developmental disorder. </w:t>
            </w:r>
            <w:r w:rsidRPr="005D4222">
              <w:rPr>
                <w:rFonts w:eastAsia="Arial,Arial,Arial,Arial,Arial,A"/>
                <w:b/>
              </w:rPr>
              <w:br/>
            </w:r>
            <w:r w:rsidRPr="005D4222">
              <w:t xml:space="preserve">Any of the following any time during the person’s history through the </w:t>
            </w:r>
            <w:r w:rsidR="00D80100" w:rsidRPr="005D4222">
              <w:t>last day</w:t>
            </w:r>
            <w:r w:rsidRPr="005D4222">
              <w:t xml:space="preserve"> of the measurement period:</w:t>
            </w:r>
          </w:p>
          <w:p w14:paraId="286D126D" w14:textId="77777777" w:rsidR="001D45D1" w:rsidRPr="005D4222" w:rsidRDefault="001D45D1" w:rsidP="001D45D1">
            <w:pPr>
              <w:pStyle w:val="Bullet"/>
              <w:numPr>
                <w:ilvl w:val="0"/>
                <w:numId w:val="4"/>
              </w:numPr>
              <w:ind w:left="576" w:hanging="216"/>
            </w:pPr>
            <w:r w:rsidRPr="005D4222">
              <w:t>Bipolar disorder (</w:t>
            </w:r>
            <w:r w:rsidRPr="005D4222">
              <w:rPr>
                <w:u w:val="single"/>
              </w:rPr>
              <w:t>Bipolar Disorder Value Set</w:t>
            </w:r>
            <w:r w:rsidRPr="005D4222">
              <w:t xml:space="preserve">*; </w:t>
            </w:r>
            <w:r w:rsidRPr="005D4222">
              <w:rPr>
                <w:u w:val="single"/>
              </w:rPr>
              <w:t>Other Bipolar Disorder Value Set</w:t>
            </w:r>
            <w:r w:rsidRPr="005D4222">
              <w:t>*).</w:t>
            </w:r>
          </w:p>
          <w:p w14:paraId="7B689C83" w14:textId="77777777" w:rsidR="001D45D1" w:rsidRPr="005D4222" w:rsidRDefault="001D45D1" w:rsidP="001D45D1">
            <w:pPr>
              <w:pStyle w:val="Bullet"/>
              <w:numPr>
                <w:ilvl w:val="0"/>
                <w:numId w:val="4"/>
              </w:numPr>
              <w:ind w:left="576" w:hanging="216"/>
            </w:pPr>
            <w:r w:rsidRPr="005D4222">
              <w:t>Personality disorder (</w:t>
            </w:r>
            <w:r w:rsidRPr="005D4222">
              <w:rPr>
                <w:u w:val="single"/>
              </w:rPr>
              <w:t>Personality Disorder Value Set</w:t>
            </w:r>
            <w:r w:rsidRPr="005D4222">
              <w:t>*).</w:t>
            </w:r>
          </w:p>
          <w:p w14:paraId="77494147" w14:textId="77777777" w:rsidR="001D45D1" w:rsidRPr="005D4222" w:rsidRDefault="001D45D1" w:rsidP="001D45D1">
            <w:pPr>
              <w:pStyle w:val="Bullet"/>
              <w:numPr>
                <w:ilvl w:val="0"/>
                <w:numId w:val="4"/>
              </w:numPr>
              <w:ind w:left="576" w:hanging="216"/>
            </w:pPr>
            <w:r w:rsidRPr="005D4222">
              <w:t>Psychotic disorder (</w:t>
            </w:r>
            <w:r w:rsidRPr="005D4222">
              <w:rPr>
                <w:u w:val="single"/>
              </w:rPr>
              <w:t>Psychotic Disorders Value Set</w:t>
            </w:r>
            <w:r w:rsidRPr="005D4222">
              <w:t>*).</w:t>
            </w:r>
          </w:p>
          <w:p w14:paraId="505A2C04" w14:textId="77777777" w:rsidR="001D45D1" w:rsidRPr="005D4222" w:rsidRDefault="001D45D1" w:rsidP="001D45D1">
            <w:pPr>
              <w:pStyle w:val="Bullet"/>
              <w:numPr>
                <w:ilvl w:val="0"/>
                <w:numId w:val="4"/>
              </w:numPr>
              <w:ind w:left="576" w:hanging="216"/>
            </w:pPr>
            <w:r w:rsidRPr="005D4222">
              <w:t>Pervasive developmental disorder (</w:t>
            </w:r>
            <w:r w:rsidRPr="005D4222">
              <w:rPr>
                <w:u w:val="single"/>
              </w:rPr>
              <w:t>Pervasive Developmental Disorder Value Set</w:t>
            </w:r>
            <w:r w:rsidRPr="005D4222">
              <w:t>*).</w:t>
            </w:r>
          </w:p>
          <w:p w14:paraId="2E576C99" w14:textId="77777777" w:rsidR="001D45D1" w:rsidRPr="005D4222" w:rsidRDefault="001D45D1" w:rsidP="00A53E8C">
            <w:pPr>
              <w:pStyle w:val="ECDSBody"/>
              <w:spacing w:after="0"/>
              <w:rPr>
                <w:rFonts w:eastAsia="Arial,Arial,Arial,Arial,Arial,A"/>
                <w:b/>
                <w:bCs w:val="0"/>
              </w:rPr>
            </w:pPr>
            <w:r w:rsidRPr="005D4222">
              <w:rPr>
                <w:rFonts w:eastAsia="Arial,Arial,Arial,Arial,Arial,A"/>
                <w:b/>
                <w:bCs w:val="0"/>
              </w:rPr>
              <w:t>Coding Guidance</w:t>
            </w:r>
          </w:p>
          <w:p w14:paraId="6AEDE692" w14:textId="77777777" w:rsidR="001D45D1" w:rsidRPr="005D4222" w:rsidRDefault="001D45D1" w:rsidP="00A53E8C">
            <w:pPr>
              <w:pStyle w:val="ECDSBody"/>
              <w:spacing w:before="0"/>
            </w:pPr>
            <w:r w:rsidRPr="005D4222">
              <w:rPr>
                <w:rFonts w:eastAsia="Arial,Arial,Arial,Arial,Arial,A"/>
              </w:rPr>
              <w:t>*Do not include laboratory claims (claims with POS code 81).</w:t>
            </w:r>
          </w:p>
        </w:tc>
      </w:tr>
      <w:tr w:rsidR="001D45D1" w:rsidRPr="005D4222" w14:paraId="69E812B2" w14:textId="77777777" w:rsidTr="00A53E8C">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4EAB8D7" w14:textId="77777777" w:rsidR="001D45D1" w:rsidRPr="005D4222" w:rsidRDefault="001D45D1" w:rsidP="00A53E8C">
            <w:pPr>
              <w:pStyle w:val="ECDSMarginHead"/>
            </w:pPr>
            <w:r w:rsidRPr="005D4222">
              <w:t>Denominator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BC1EE84" w14:textId="77777777" w:rsidR="001D45D1" w:rsidRPr="005D4222" w:rsidRDefault="001D45D1" w:rsidP="00A53E8C">
            <w:pPr>
              <w:pStyle w:val="ECDSBody"/>
              <w:rPr>
                <w:b/>
                <w:i/>
                <w:iCs/>
                <w:color w:val="000000" w:themeColor="text1"/>
              </w:rPr>
            </w:pPr>
            <w:r w:rsidRPr="005D4222">
              <w:rPr>
                <w:rFonts w:eastAsia="Arial,Arial,Arial,Arial,Arial,A"/>
              </w:rPr>
              <w:t>The initial population minus denominator exclusions.</w:t>
            </w:r>
          </w:p>
        </w:tc>
      </w:tr>
      <w:tr w:rsidR="001D45D1" w:rsidRPr="005D4222" w14:paraId="7A57FCC6" w14:textId="77777777" w:rsidTr="00A53E8C">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7222137" w14:textId="77777777" w:rsidR="001D45D1" w:rsidRPr="005D4222" w:rsidRDefault="001D45D1" w:rsidP="00A53E8C">
            <w:pPr>
              <w:pStyle w:val="ECDSMarginHead"/>
            </w:pPr>
            <w:r w:rsidRPr="005D4222">
              <w:t>Numerator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4360F9B2" w14:textId="77777777" w:rsidR="001D45D1" w:rsidRPr="005D4222" w:rsidRDefault="001D45D1" w:rsidP="00A53E8C">
            <w:pPr>
              <w:spacing w:before="120" w:after="120"/>
              <w:rPr>
                <w:i/>
                <w:iCs/>
                <w:kern w:val="20"/>
              </w:rPr>
            </w:pPr>
            <w:r w:rsidRPr="005D4222">
              <w:rPr>
                <w:b/>
                <w:bCs/>
              </w:rPr>
              <w:t>Numerator 1: Depression follow-up</w:t>
            </w:r>
            <w:r w:rsidRPr="005D4222">
              <w:rPr>
                <w:rFonts w:cs="Arial"/>
                <w:b/>
                <w:bCs/>
                <w:color w:val="000000" w:themeColor="text1"/>
              </w:rPr>
              <w:t>.</w:t>
            </w:r>
            <w:r w:rsidRPr="005D4222">
              <w:rPr>
                <w:rFonts w:cs="Arial"/>
                <w:b/>
                <w:bCs/>
                <w:color w:val="000000" w:themeColor="text1"/>
              </w:rPr>
              <w:br/>
            </w:r>
            <w:r w:rsidRPr="005D4222">
              <w:t>A PHQ-9 total score (LOINC code 44261-6 for persons 12 years of age and older; LOINC code 89204-2 or 44261-6 for persons 12–17 years of age) in the person’s record during the depression follow-up period.</w:t>
            </w:r>
          </w:p>
        </w:tc>
      </w:tr>
    </w:tbl>
    <w:p w14:paraId="56834A60" w14:textId="77777777" w:rsidR="001D45D1" w:rsidRPr="005D4222" w:rsidRDefault="001D45D1" w:rsidP="001D45D1">
      <w:pPr>
        <w:spacing w:after="160" w:line="259" w:lineRule="auto"/>
      </w:pPr>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1D45D1" w:rsidRPr="005D4222" w14:paraId="43CA01D7" w14:textId="77777777" w:rsidTr="00A53E8C">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5C92071" w14:textId="77777777" w:rsidR="001D45D1" w:rsidRPr="005D4222" w:rsidRDefault="001D45D1"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0FEE412E" w14:textId="77777777" w:rsidR="001D45D1" w:rsidRPr="005D4222" w:rsidRDefault="001D45D1" w:rsidP="00A53E8C">
            <w:pPr>
              <w:spacing w:before="120" w:after="80"/>
            </w:pPr>
            <w:r w:rsidRPr="005D4222">
              <w:rPr>
                <w:b/>
                <w:bCs/>
              </w:rPr>
              <w:t>Numerator 2: Depression remission.</w:t>
            </w:r>
            <w:r w:rsidRPr="005D4222">
              <w:rPr>
                <w:rFonts w:cs="Arial"/>
                <w:b/>
                <w:bCs/>
                <w:color w:val="000000" w:themeColor="text1"/>
              </w:rPr>
              <w:t xml:space="preserve"> </w:t>
            </w:r>
            <w:r w:rsidRPr="005D4222">
              <w:rPr>
                <w:rFonts w:cs="Arial"/>
                <w:b/>
                <w:bCs/>
                <w:color w:val="000000" w:themeColor="text1"/>
              </w:rPr>
              <w:br/>
            </w:r>
            <w:r w:rsidRPr="005D4222">
              <w:t>Persons who achieve remission of depression symptoms, as demonstrated by the most recent PHQ-9 total score (LOINC code 44261-6 for persons 12 years of age and older; LOINC code 89204-2 or 44261-6 for persons 12–17 years of age) of &lt;5 during the depression follow-up period.</w:t>
            </w:r>
          </w:p>
          <w:p w14:paraId="4247490B" w14:textId="77777777" w:rsidR="001D45D1" w:rsidRPr="005D4222" w:rsidRDefault="001D45D1" w:rsidP="00A53E8C">
            <w:pPr>
              <w:spacing w:before="120" w:after="80"/>
              <w:rPr>
                <w:b/>
                <w:bCs/>
              </w:rPr>
            </w:pPr>
            <w:r w:rsidRPr="005D4222">
              <w:rPr>
                <w:b/>
                <w:bCs/>
              </w:rPr>
              <w:t>Numerator 3: Depression response.</w:t>
            </w:r>
            <w:r w:rsidRPr="005D4222">
              <w:rPr>
                <w:b/>
                <w:bCs/>
              </w:rPr>
              <w:br/>
            </w:r>
            <w:r w:rsidRPr="005D4222">
              <w:t xml:space="preserve">Persons who indicate a response to treatment for depression, as demonstrated by the most recent PHQ-9 total score (LOINC code 44261-6 for persons </w:t>
            </w:r>
            <w:r w:rsidRPr="005D4222">
              <w:br/>
              <w:t>12 years of age and older; LOINC code 89204-2 or 44261-6 for persons 12–17 years of age) of at least 50% lower than the PHQ-9 score associated with the IESD, documented during the depression follow-up period.</w:t>
            </w:r>
          </w:p>
        </w:tc>
      </w:tr>
      <w:tr w:rsidR="001D45D1" w:rsidRPr="005D4222" w14:paraId="4CD2B4A6"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7B55C97" w14:textId="77777777" w:rsidR="001D45D1" w:rsidRPr="005D4222" w:rsidRDefault="001D45D1" w:rsidP="00A53E8C">
            <w:pPr>
              <w:pStyle w:val="ECDSMarginHead"/>
            </w:pPr>
            <w:r w:rsidRPr="005D4222">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3ADCB45" w14:textId="77777777" w:rsidR="001D45D1" w:rsidRPr="005D4222" w:rsidRDefault="001D45D1" w:rsidP="005D6173">
            <w:pPr>
              <w:pStyle w:val="ProcessBullet"/>
              <w:numPr>
                <w:ilvl w:val="0"/>
                <w:numId w:val="98"/>
              </w:numPr>
              <w:tabs>
                <w:tab w:val="left" w:pos="216"/>
              </w:tabs>
              <w:spacing w:before="120"/>
              <w:ind w:left="216" w:hanging="216"/>
              <w:rPr>
                <w:color w:val="000000" w:themeColor="text1"/>
              </w:rPr>
            </w:pPr>
            <w:r w:rsidRPr="005D4222">
              <w:t xml:space="preserve">Removed the definitions of “participation” and “participation period.” </w:t>
            </w:r>
          </w:p>
          <w:p w14:paraId="7D5BFBAA" w14:textId="77777777" w:rsidR="001D45D1" w:rsidRPr="005D4222" w:rsidRDefault="001D45D1" w:rsidP="005D6173">
            <w:pPr>
              <w:pStyle w:val="ProcessBullet"/>
              <w:numPr>
                <w:ilvl w:val="0"/>
                <w:numId w:val="98"/>
              </w:numPr>
              <w:tabs>
                <w:tab w:val="left" w:pos="216"/>
              </w:tabs>
              <w:spacing w:after="80"/>
              <w:ind w:left="216" w:hanging="216"/>
            </w:pPr>
            <w:r w:rsidRPr="005D4222">
              <w:t>Removed the SSoR data elements from the data element tables.</w:t>
            </w:r>
          </w:p>
        </w:tc>
      </w:tr>
      <w:tr w:rsidR="001D45D1" w:rsidRPr="005D4222" w14:paraId="7426A4FB"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A6922F0" w14:textId="77777777" w:rsidR="001D45D1" w:rsidRPr="005D4222" w:rsidRDefault="001D45D1" w:rsidP="00A53E8C">
            <w:pPr>
              <w:pStyle w:val="ECDS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E6E3AD6" w14:textId="77777777" w:rsidR="001D45D1" w:rsidRPr="005D4222" w:rsidRDefault="001D45D1" w:rsidP="00A53E8C">
            <w:pPr>
              <w:pStyle w:val="ECDSBody"/>
              <w:spacing w:after="0"/>
            </w:pPr>
            <w:r w:rsidRPr="005D4222">
              <w:t xml:space="preserve">Organizations that submit HEDIS data to NCQA must provide the following data elements.  </w:t>
            </w:r>
          </w:p>
          <w:p w14:paraId="25D401EE" w14:textId="77777777" w:rsidR="001D45D1" w:rsidRPr="005D4222" w:rsidRDefault="001D45D1" w:rsidP="00A53E8C">
            <w:pPr>
              <w:pStyle w:val="Heading3"/>
              <w:spacing w:before="120"/>
            </w:pPr>
            <w:r w:rsidRPr="005D4222">
              <w:t>Table DRR-E-1/2: Data Elements for Depression Remission or Response for Adolescents and Adults</w:t>
            </w:r>
          </w:p>
          <w:tbl>
            <w:tblPr>
              <w:tblW w:w="5000" w:type="pct"/>
              <w:tblLayout w:type="fixed"/>
              <w:tblLook w:val="04A0" w:firstRow="1" w:lastRow="0" w:firstColumn="1" w:lastColumn="0" w:noHBand="0" w:noVBand="1"/>
            </w:tblPr>
            <w:tblGrid>
              <w:gridCol w:w="1431"/>
              <w:gridCol w:w="1170"/>
              <w:gridCol w:w="1890"/>
              <w:gridCol w:w="2874"/>
            </w:tblGrid>
            <w:tr w:rsidR="001D45D1" w:rsidRPr="005D4222" w14:paraId="28484C99" w14:textId="77777777" w:rsidTr="00A3765F">
              <w:trPr>
                <w:trHeight w:val="334"/>
              </w:trPr>
              <w:tc>
                <w:tcPr>
                  <w:tcW w:w="1431" w:type="dxa"/>
                  <w:tcBorders>
                    <w:top w:val="single" w:sz="8" w:space="0" w:color="auto"/>
                    <w:left w:val="single" w:sz="8" w:space="0" w:color="auto"/>
                    <w:bottom w:val="single" w:sz="4" w:space="0" w:color="auto"/>
                    <w:right w:val="single" w:sz="6" w:space="0" w:color="FFFFFF"/>
                  </w:tcBorders>
                  <w:shd w:val="clear" w:color="auto" w:fill="000000"/>
                  <w:noWrap/>
                  <w:vAlign w:val="bottom"/>
                  <w:hideMark/>
                </w:tcPr>
                <w:p w14:paraId="515AC74D" w14:textId="77777777" w:rsidR="001D45D1" w:rsidRPr="005D4222" w:rsidRDefault="001D45D1" w:rsidP="00A53E8C">
                  <w:pPr>
                    <w:pStyle w:val="TableHead"/>
                  </w:pPr>
                  <w:r w:rsidRPr="005D4222">
                    <w:t>Metric</w:t>
                  </w:r>
                </w:p>
              </w:tc>
              <w:tc>
                <w:tcPr>
                  <w:tcW w:w="1170" w:type="dxa"/>
                  <w:tcBorders>
                    <w:top w:val="single" w:sz="8" w:space="0" w:color="auto"/>
                    <w:left w:val="single" w:sz="6" w:space="0" w:color="FFFFFF"/>
                    <w:bottom w:val="single" w:sz="4" w:space="0" w:color="auto"/>
                    <w:right w:val="single" w:sz="6" w:space="0" w:color="FFFFFF"/>
                  </w:tcBorders>
                  <w:shd w:val="clear" w:color="auto" w:fill="000000"/>
                  <w:hideMark/>
                </w:tcPr>
                <w:p w14:paraId="229CA586" w14:textId="77777777" w:rsidR="001D45D1" w:rsidRPr="005D4222" w:rsidRDefault="001D45D1" w:rsidP="00A53E8C">
                  <w:pPr>
                    <w:pStyle w:val="TableHead"/>
                  </w:pPr>
                  <w:r w:rsidRPr="005D4222">
                    <w:t>Age</w:t>
                  </w:r>
                </w:p>
              </w:tc>
              <w:tc>
                <w:tcPr>
                  <w:tcW w:w="1890" w:type="dxa"/>
                  <w:tcBorders>
                    <w:top w:val="single" w:sz="8" w:space="0" w:color="auto"/>
                    <w:left w:val="single" w:sz="6" w:space="0" w:color="FFFFFF"/>
                    <w:bottom w:val="single" w:sz="4" w:space="0" w:color="auto"/>
                    <w:right w:val="single" w:sz="4" w:space="0" w:color="FFFFFF"/>
                  </w:tcBorders>
                  <w:shd w:val="clear" w:color="auto" w:fill="000000"/>
                  <w:noWrap/>
                  <w:vAlign w:val="bottom"/>
                  <w:hideMark/>
                </w:tcPr>
                <w:p w14:paraId="6E86C345" w14:textId="77777777" w:rsidR="001D45D1" w:rsidRPr="005D4222" w:rsidRDefault="001D45D1" w:rsidP="00A53E8C">
                  <w:pPr>
                    <w:pStyle w:val="TableHead"/>
                  </w:pPr>
                  <w:r w:rsidRPr="005D4222">
                    <w:t>Data Element</w:t>
                  </w:r>
                </w:p>
              </w:tc>
              <w:tc>
                <w:tcPr>
                  <w:tcW w:w="2874" w:type="dxa"/>
                  <w:tcBorders>
                    <w:top w:val="single" w:sz="8" w:space="0" w:color="auto"/>
                    <w:left w:val="single" w:sz="4" w:space="0" w:color="FFFFFF"/>
                    <w:bottom w:val="single" w:sz="4" w:space="0" w:color="auto"/>
                    <w:right w:val="single" w:sz="8" w:space="0" w:color="auto"/>
                  </w:tcBorders>
                  <w:shd w:val="clear" w:color="auto" w:fill="000000"/>
                  <w:hideMark/>
                </w:tcPr>
                <w:p w14:paraId="42FE13BF" w14:textId="77777777" w:rsidR="001D45D1" w:rsidRPr="005D4222" w:rsidRDefault="001D45D1" w:rsidP="00A53E8C">
                  <w:pPr>
                    <w:pStyle w:val="TableHead"/>
                  </w:pPr>
                  <w:r w:rsidRPr="005D4222">
                    <w:t>Reporting Instructions</w:t>
                  </w:r>
                </w:p>
              </w:tc>
            </w:tr>
            <w:tr w:rsidR="001D45D1" w:rsidRPr="005D4222" w14:paraId="461472F9" w14:textId="77777777" w:rsidTr="00A3765F">
              <w:trPr>
                <w:trHeight w:val="334"/>
              </w:trPr>
              <w:tc>
                <w:tcPr>
                  <w:tcW w:w="1431" w:type="dxa"/>
                  <w:tcBorders>
                    <w:top w:val="single" w:sz="4" w:space="0" w:color="auto"/>
                    <w:left w:val="single" w:sz="4" w:space="0" w:color="auto"/>
                    <w:bottom w:val="single" w:sz="4" w:space="0" w:color="auto"/>
                    <w:right w:val="single" w:sz="4" w:space="0" w:color="auto"/>
                  </w:tcBorders>
                  <w:shd w:val="clear" w:color="auto" w:fill="FFFFFF"/>
                  <w:noWrap/>
                </w:tcPr>
                <w:p w14:paraId="78AF449F" w14:textId="77777777" w:rsidR="001D45D1" w:rsidRPr="005D4222" w:rsidRDefault="001D45D1" w:rsidP="00A53E8C">
                  <w:pPr>
                    <w:pStyle w:val="TableText"/>
                    <w:spacing w:before="40" w:after="40"/>
                    <w:rPr>
                      <w:kern w:val="20"/>
                    </w:rPr>
                  </w:pPr>
                  <w:r w:rsidRPr="005D4222">
                    <w:rPr>
                      <w:kern w:val="20"/>
                      <w:szCs w:val="21"/>
                    </w:rPr>
                    <w:t>FollowUp</w:t>
                  </w:r>
                </w:p>
              </w:tc>
              <w:tc>
                <w:tcPr>
                  <w:tcW w:w="1170" w:type="dxa"/>
                  <w:tcBorders>
                    <w:top w:val="single" w:sz="4" w:space="0" w:color="auto"/>
                    <w:left w:val="single" w:sz="4" w:space="0" w:color="auto"/>
                    <w:bottom w:val="single" w:sz="4" w:space="0" w:color="auto"/>
                    <w:right w:val="single" w:sz="4" w:space="0" w:color="auto"/>
                  </w:tcBorders>
                  <w:shd w:val="clear" w:color="auto" w:fill="FFFFFF"/>
                </w:tcPr>
                <w:p w14:paraId="76E88D0E" w14:textId="77777777" w:rsidR="001D45D1" w:rsidRPr="005D4222" w:rsidRDefault="001D45D1" w:rsidP="00A53E8C">
                  <w:pPr>
                    <w:pStyle w:val="TableText"/>
                    <w:spacing w:before="40" w:after="40"/>
                    <w:rPr>
                      <w:kern w:val="20"/>
                    </w:rPr>
                  </w:pPr>
                  <w:r w:rsidRPr="005D4222">
                    <w:rPr>
                      <w:kern w:val="20"/>
                      <w:szCs w:val="21"/>
                    </w:rPr>
                    <w:t>12-17</w:t>
                  </w:r>
                </w:p>
              </w:tc>
              <w:tc>
                <w:tcPr>
                  <w:tcW w:w="1890" w:type="dxa"/>
                  <w:tcBorders>
                    <w:top w:val="single" w:sz="4" w:space="0" w:color="auto"/>
                    <w:left w:val="single" w:sz="4" w:space="0" w:color="auto"/>
                    <w:bottom w:val="single" w:sz="4" w:space="0" w:color="auto"/>
                    <w:right w:val="single" w:sz="4" w:space="0" w:color="auto"/>
                  </w:tcBorders>
                  <w:shd w:val="clear" w:color="auto" w:fill="FFFFFF"/>
                  <w:noWrap/>
                </w:tcPr>
                <w:p w14:paraId="527857AF" w14:textId="77777777" w:rsidR="001D45D1" w:rsidRPr="005D4222" w:rsidRDefault="001D45D1" w:rsidP="00A53E8C">
                  <w:pPr>
                    <w:pStyle w:val="TableText"/>
                    <w:spacing w:before="40" w:after="40"/>
                    <w:rPr>
                      <w:kern w:val="20"/>
                    </w:rPr>
                  </w:pPr>
                  <w:r w:rsidRPr="005D4222">
                    <w:rPr>
                      <w:kern w:val="20"/>
                      <w:szCs w:val="21"/>
                    </w:rPr>
                    <w:t>InitialPopulation</w:t>
                  </w:r>
                </w:p>
              </w:tc>
              <w:tc>
                <w:tcPr>
                  <w:tcW w:w="2874" w:type="dxa"/>
                  <w:tcBorders>
                    <w:top w:val="single" w:sz="4" w:space="0" w:color="auto"/>
                    <w:left w:val="single" w:sz="4" w:space="0" w:color="auto"/>
                    <w:bottom w:val="single" w:sz="4" w:space="0" w:color="auto"/>
                    <w:right w:val="single" w:sz="4" w:space="0" w:color="auto"/>
                  </w:tcBorders>
                  <w:shd w:val="clear" w:color="auto" w:fill="FFFFFF"/>
                </w:tcPr>
                <w:p w14:paraId="6DC8A951" w14:textId="77777777" w:rsidR="001D45D1" w:rsidRPr="005D4222" w:rsidRDefault="001D45D1" w:rsidP="00A53E8C">
                  <w:pPr>
                    <w:pStyle w:val="TableText"/>
                    <w:spacing w:before="40" w:after="40"/>
                    <w:rPr>
                      <w:kern w:val="20"/>
                    </w:rPr>
                  </w:pPr>
                  <w:r w:rsidRPr="005D4222">
                    <w:rPr>
                      <w:kern w:val="20"/>
                      <w:szCs w:val="21"/>
                    </w:rPr>
                    <w:t>For each Stratification, repeat per Metric</w:t>
                  </w:r>
                </w:p>
              </w:tc>
            </w:tr>
            <w:tr w:rsidR="001D45D1" w:rsidRPr="005D4222" w14:paraId="62F2D4D5" w14:textId="77777777" w:rsidTr="00A3765F">
              <w:trPr>
                <w:trHeight w:val="334"/>
              </w:trPr>
              <w:tc>
                <w:tcPr>
                  <w:tcW w:w="1431" w:type="dxa"/>
                  <w:tcBorders>
                    <w:top w:val="single" w:sz="4" w:space="0" w:color="auto"/>
                    <w:left w:val="single" w:sz="4" w:space="0" w:color="auto"/>
                    <w:bottom w:val="single" w:sz="4" w:space="0" w:color="auto"/>
                    <w:right w:val="single" w:sz="4" w:space="0" w:color="auto"/>
                  </w:tcBorders>
                  <w:shd w:val="clear" w:color="auto" w:fill="FFFFFF"/>
                  <w:noWrap/>
                </w:tcPr>
                <w:p w14:paraId="198B9FB0" w14:textId="77777777" w:rsidR="001D45D1" w:rsidRPr="005D4222" w:rsidRDefault="001D45D1" w:rsidP="00A53E8C">
                  <w:pPr>
                    <w:pStyle w:val="TableText"/>
                    <w:spacing w:before="40" w:after="40"/>
                    <w:rPr>
                      <w:kern w:val="20"/>
                    </w:rPr>
                  </w:pPr>
                  <w:r w:rsidRPr="005D4222">
                    <w:rPr>
                      <w:kern w:val="20"/>
                      <w:szCs w:val="21"/>
                    </w:rPr>
                    <w:t>Remission</w:t>
                  </w:r>
                </w:p>
              </w:tc>
              <w:tc>
                <w:tcPr>
                  <w:tcW w:w="1170" w:type="dxa"/>
                  <w:tcBorders>
                    <w:top w:val="single" w:sz="4" w:space="0" w:color="auto"/>
                    <w:left w:val="nil"/>
                    <w:bottom w:val="single" w:sz="4" w:space="0" w:color="auto"/>
                    <w:right w:val="single" w:sz="4" w:space="0" w:color="auto"/>
                  </w:tcBorders>
                  <w:shd w:val="clear" w:color="auto" w:fill="FFFFFF"/>
                </w:tcPr>
                <w:p w14:paraId="1C79E5A0" w14:textId="77777777" w:rsidR="001D45D1" w:rsidRPr="005D4222" w:rsidRDefault="001D45D1" w:rsidP="00A53E8C">
                  <w:pPr>
                    <w:pStyle w:val="TableText"/>
                    <w:spacing w:before="40" w:after="40"/>
                    <w:rPr>
                      <w:kern w:val="20"/>
                    </w:rPr>
                  </w:pPr>
                  <w:r w:rsidRPr="005D4222">
                    <w:rPr>
                      <w:kern w:val="20"/>
                      <w:szCs w:val="21"/>
                    </w:rPr>
                    <w:t>18-44</w:t>
                  </w:r>
                </w:p>
              </w:tc>
              <w:tc>
                <w:tcPr>
                  <w:tcW w:w="1890" w:type="dxa"/>
                  <w:tcBorders>
                    <w:top w:val="single" w:sz="4" w:space="0" w:color="auto"/>
                    <w:left w:val="single" w:sz="4" w:space="0" w:color="auto"/>
                    <w:bottom w:val="single" w:sz="4" w:space="0" w:color="auto"/>
                    <w:right w:val="single" w:sz="4" w:space="0" w:color="auto"/>
                  </w:tcBorders>
                  <w:noWrap/>
                </w:tcPr>
                <w:p w14:paraId="0B6AF7EE" w14:textId="77777777" w:rsidR="001D45D1" w:rsidRPr="005D4222" w:rsidRDefault="001D45D1" w:rsidP="00A53E8C">
                  <w:pPr>
                    <w:pStyle w:val="TableText"/>
                    <w:spacing w:before="40" w:after="40"/>
                    <w:rPr>
                      <w:kern w:val="20"/>
                    </w:rPr>
                  </w:pPr>
                  <w:r w:rsidRPr="005D4222">
                    <w:rPr>
                      <w:kern w:val="20"/>
                      <w:szCs w:val="21"/>
                    </w:rPr>
                    <w:t>Exclusions</w:t>
                  </w:r>
                </w:p>
              </w:tc>
              <w:tc>
                <w:tcPr>
                  <w:tcW w:w="2874" w:type="dxa"/>
                  <w:tcBorders>
                    <w:top w:val="single" w:sz="4" w:space="0" w:color="auto"/>
                    <w:left w:val="single" w:sz="4" w:space="0" w:color="auto"/>
                    <w:bottom w:val="single" w:sz="4" w:space="0" w:color="auto"/>
                    <w:right w:val="single" w:sz="4" w:space="0" w:color="auto"/>
                  </w:tcBorders>
                </w:tcPr>
                <w:p w14:paraId="21B61FE8" w14:textId="77777777" w:rsidR="001D45D1" w:rsidRPr="005D4222" w:rsidRDefault="001D45D1" w:rsidP="00A53E8C">
                  <w:pPr>
                    <w:pStyle w:val="TableText"/>
                    <w:spacing w:before="40" w:after="40"/>
                    <w:rPr>
                      <w:kern w:val="20"/>
                    </w:rPr>
                  </w:pPr>
                  <w:r w:rsidRPr="005D4222">
                    <w:rPr>
                      <w:kern w:val="20"/>
                      <w:szCs w:val="21"/>
                    </w:rPr>
                    <w:t>For each Stratification, repeat per Metric</w:t>
                  </w:r>
                </w:p>
              </w:tc>
            </w:tr>
            <w:tr w:rsidR="001D45D1" w:rsidRPr="005D4222" w14:paraId="5618460C" w14:textId="77777777" w:rsidTr="00A3765F">
              <w:trPr>
                <w:trHeight w:val="334"/>
              </w:trPr>
              <w:tc>
                <w:tcPr>
                  <w:tcW w:w="1431" w:type="dxa"/>
                  <w:tcBorders>
                    <w:top w:val="single" w:sz="4" w:space="0" w:color="auto"/>
                    <w:left w:val="single" w:sz="4" w:space="0" w:color="auto"/>
                    <w:bottom w:val="single" w:sz="4" w:space="0" w:color="auto"/>
                    <w:right w:val="single" w:sz="4" w:space="0" w:color="auto"/>
                  </w:tcBorders>
                  <w:shd w:val="clear" w:color="auto" w:fill="FFFFFF"/>
                  <w:noWrap/>
                </w:tcPr>
                <w:p w14:paraId="18DBC925" w14:textId="77777777" w:rsidR="001D45D1" w:rsidRPr="005D4222" w:rsidRDefault="001D45D1" w:rsidP="00A53E8C">
                  <w:pPr>
                    <w:pStyle w:val="TableText"/>
                    <w:spacing w:before="40" w:after="40"/>
                    <w:rPr>
                      <w:kern w:val="20"/>
                    </w:rPr>
                  </w:pPr>
                  <w:r w:rsidRPr="005D4222">
                    <w:rPr>
                      <w:kern w:val="20"/>
                      <w:szCs w:val="21"/>
                    </w:rPr>
                    <w:t>Response</w:t>
                  </w:r>
                </w:p>
              </w:tc>
              <w:tc>
                <w:tcPr>
                  <w:tcW w:w="1170" w:type="dxa"/>
                  <w:tcBorders>
                    <w:top w:val="single" w:sz="4" w:space="0" w:color="auto"/>
                    <w:left w:val="nil"/>
                    <w:bottom w:val="single" w:sz="4" w:space="0" w:color="auto"/>
                    <w:right w:val="single" w:sz="4" w:space="0" w:color="auto"/>
                  </w:tcBorders>
                  <w:shd w:val="clear" w:color="auto" w:fill="FFFFFF"/>
                </w:tcPr>
                <w:p w14:paraId="42C05B25" w14:textId="77777777" w:rsidR="001D45D1" w:rsidRPr="005D4222" w:rsidRDefault="001D45D1" w:rsidP="00A53E8C">
                  <w:pPr>
                    <w:pStyle w:val="TableText"/>
                    <w:spacing w:before="40" w:after="40"/>
                    <w:rPr>
                      <w:kern w:val="20"/>
                    </w:rPr>
                  </w:pPr>
                  <w:r w:rsidRPr="005D4222">
                    <w:rPr>
                      <w:kern w:val="20"/>
                      <w:szCs w:val="21"/>
                    </w:rPr>
                    <w:t>45-64</w:t>
                  </w:r>
                </w:p>
              </w:tc>
              <w:tc>
                <w:tcPr>
                  <w:tcW w:w="1890" w:type="dxa"/>
                  <w:tcBorders>
                    <w:top w:val="single" w:sz="4" w:space="0" w:color="auto"/>
                    <w:left w:val="single" w:sz="4" w:space="0" w:color="auto"/>
                    <w:bottom w:val="single" w:sz="4" w:space="0" w:color="auto"/>
                    <w:right w:val="single" w:sz="4" w:space="0" w:color="auto"/>
                  </w:tcBorders>
                  <w:noWrap/>
                </w:tcPr>
                <w:p w14:paraId="687577F3" w14:textId="77777777" w:rsidR="001D45D1" w:rsidRPr="005D4222" w:rsidRDefault="001D45D1" w:rsidP="00A53E8C">
                  <w:pPr>
                    <w:pStyle w:val="TableText"/>
                    <w:spacing w:before="40" w:after="40"/>
                    <w:rPr>
                      <w:kern w:val="20"/>
                    </w:rPr>
                  </w:pPr>
                  <w:r w:rsidRPr="005D4222">
                    <w:rPr>
                      <w:kern w:val="20"/>
                      <w:szCs w:val="21"/>
                    </w:rPr>
                    <w:t>Denominator</w:t>
                  </w:r>
                </w:p>
              </w:tc>
              <w:tc>
                <w:tcPr>
                  <w:tcW w:w="2874" w:type="dxa"/>
                  <w:tcBorders>
                    <w:top w:val="single" w:sz="4" w:space="0" w:color="auto"/>
                    <w:left w:val="single" w:sz="4" w:space="0" w:color="auto"/>
                    <w:bottom w:val="single" w:sz="4" w:space="0" w:color="auto"/>
                    <w:right w:val="single" w:sz="4" w:space="0" w:color="auto"/>
                  </w:tcBorders>
                </w:tcPr>
                <w:p w14:paraId="7D87997D" w14:textId="77777777" w:rsidR="001D45D1" w:rsidRPr="005D4222" w:rsidRDefault="001D45D1" w:rsidP="00A53E8C">
                  <w:pPr>
                    <w:pStyle w:val="TableText"/>
                    <w:spacing w:before="40" w:after="40"/>
                    <w:rPr>
                      <w:kern w:val="20"/>
                    </w:rPr>
                  </w:pPr>
                  <w:r w:rsidRPr="005D4222">
                    <w:rPr>
                      <w:kern w:val="20"/>
                      <w:szCs w:val="21"/>
                    </w:rPr>
                    <w:t>For each Stratification, repeat per Metric</w:t>
                  </w:r>
                </w:p>
              </w:tc>
            </w:tr>
            <w:tr w:rsidR="001D45D1" w:rsidRPr="005D4222" w14:paraId="1E438B11" w14:textId="77777777" w:rsidTr="00A3765F">
              <w:trPr>
                <w:trHeight w:val="334"/>
              </w:trPr>
              <w:tc>
                <w:tcPr>
                  <w:tcW w:w="1431" w:type="dxa"/>
                  <w:tcBorders>
                    <w:top w:val="single" w:sz="4" w:space="0" w:color="auto"/>
                    <w:right w:val="single" w:sz="4" w:space="0" w:color="auto"/>
                  </w:tcBorders>
                  <w:shd w:val="clear" w:color="auto" w:fill="FFFFFF"/>
                  <w:noWrap/>
                </w:tcPr>
                <w:p w14:paraId="7C441B17" w14:textId="77777777" w:rsidR="001D45D1" w:rsidRPr="005D4222" w:rsidRDefault="001D45D1" w:rsidP="00A53E8C">
                  <w:pPr>
                    <w:pStyle w:val="TableText"/>
                    <w:spacing w:before="40" w:after="40"/>
                    <w:rPr>
                      <w:kern w:val="20"/>
                    </w:rPr>
                  </w:pPr>
                  <w:r w:rsidRPr="005D4222">
                    <w:rPr>
                      <w:kern w:val="20"/>
                      <w:szCs w:val="21"/>
                    </w:rPr>
                    <w:t xml:space="preserve"> </w:t>
                  </w:r>
                </w:p>
              </w:tc>
              <w:tc>
                <w:tcPr>
                  <w:tcW w:w="1170" w:type="dxa"/>
                  <w:tcBorders>
                    <w:top w:val="single" w:sz="4" w:space="0" w:color="auto"/>
                    <w:left w:val="nil"/>
                    <w:bottom w:val="single" w:sz="4" w:space="0" w:color="auto"/>
                    <w:right w:val="single" w:sz="4" w:space="0" w:color="auto"/>
                  </w:tcBorders>
                  <w:shd w:val="clear" w:color="auto" w:fill="FFFFFF"/>
                </w:tcPr>
                <w:p w14:paraId="5BD02E4D" w14:textId="77777777" w:rsidR="001D45D1" w:rsidRPr="005D4222" w:rsidRDefault="001D45D1" w:rsidP="00A53E8C">
                  <w:pPr>
                    <w:pStyle w:val="TableText"/>
                    <w:spacing w:before="40" w:after="40"/>
                    <w:rPr>
                      <w:kern w:val="20"/>
                    </w:rPr>
                  </w:pPr>
                  <w:r w:rsidRPr="005D4222">
                    <w:rPr>
                      <w:kern w:val="20"/>
                      <w:szCs w:val="21"/>
                    </w:rPr>
                    <w:t>65+</w:t>
                  </w:r>
                </w:p>
              </w:tc>
              <w:tc>
                <w:tcPr>
                  <w:tcW w:w="1890" w:type="dxa"/>
                  <w:tcBorders>
                    <w:top w:val="single" w:sz="4" w:space="0" w:color="auto"/>
                    <w:left w:val="single" w:sz="4" w:space="0" w:color="auto"/>
                    <w:bottom w:val="single" w:sz="4" w:space="0" w:color="auto"/>
                    <w:right w:val="single" w:sz="4" w:space="0" w:color="auto"/>
                  </w:tcBorders>
                  <w:noWrap/>
                </w:tcPr>
                <w:p w14:paraId="5C8D1E02" w14:textId="77777777" w:rsidR="001D45D1" w:rsidRPr="005D4222" w:rsidRDefault="001D45D1" w:rsidP="00A53E8C">
                  <w:pPr>
                    <w:pStyle w:val="TableText"/>
                    <w:spacing w:before="40" w:after="40"/>
                    <w:rPr>
                      <w:kern w:val="20"/>
                    </w:rPr>
                  </w:pPr>
                  <w:r w:rsidRPr="005D4222">
                    <w:rPr>
                      <w:kern w:val="20"/>
                      <w:szCs w:val="21"/>
                    </w:rPr>
                    <w:t>Numerator</w:t>
                  </w:r>
                </w:p>
              </w:tc>
              <w:tc>
                <w:tcPr>
                  <w:tcW w:w="2874" w:type="dxa"/>
                  <w:tcBorders>
                    <w:top w:val="single" w:sz="4" w:space="0" w:color="auto"/>
                    <w:left w:val="single" w:sz="4" w:space="0" w:color="auto"/>
                    <w:bottom w:val="single" w:sz="4" w:space="0" w:color="auto"/>
                    <w:right w:val="single" w:sz="4" w:space="0" w:color="auto"/>
                  </w:tcBorders>
                </w:tcPr>
                <w:p w14:paraId="2CC50AFE" w14:textId="77777777" w:rsidR="001D45D1" w:rsidRPr="005D4222" w:rsidRDefault="001D45D1" w:rsidP="00A53E8C">
                  <w:pPr>
                    <w:pStyle w:val="TableText"/>
                    <w:spacing w:before="40" w:after="40"/>
                    <w:rPr>
                      <w:kern w:val="20"/>
                    </w:rPr>
                  </w:pPr>
                  <w:r w:rsidRPr="005D4222">
                    <w:rPr>
                      <w:kern w:val="20"/>
                      <w:szCs w:val="21"/>
                    </w:rPr>
                    <w:t>For each Metric and Stratification</w:t>
                  </w:r>
                </w:p>
              </w:tc>
            </w:tr>
            <w:tr w:rsidR="001D45D1" w:rsidRPr="005D4222" w14:paraId="1FE84F2A" w14:textId="77777777" w:rsidTr="00A3765F">
              <w:trPr>
                <w:trHeight w:val="334"/>
              </w:trPr>
              <w:tc>
                <w:tcPr>
                  <w:tcW w:w="1431" w:type="dxa"/>
                  <w:tcBorders>
                    <w:right w:val="single" w:sz="4" w:space="0" w:color="auto"/>
                  </w:tcBorders>
                  <w:shd w:val="clear" w:color="auto" w:fill="FFFFFF"/>
                  <w:noWrap/>
                </w:tcPr>
                <w:p w14:paraId="203AC805" w14:textId="77777777" w:rsidR="001D45D1" w:rsidRPr="005D4222" w:rsidRDefault="001D45D1" w:rsidP="00A53E8C">
                  <w:pPr>
                    <w:pStyle w:val="TableText"/>
                    <w:spacing w:before="40" w:after="40"/>
                    <w:rPr>
                      <w:kern w:val="20"/>
                    </w:rPr>
                  </w:pPr>
                </w:p>
              </w:tc>
              <w:tc>
                <w:tcPr>
                  <w:tcW w:w="1170" w:type="dxa"/>
                  <w:tcBorders>
                    <w:top w:val="single" w:sz="4" w:space="0" w:color="auto"/>
                    <w:left w:val="nil"/>
                    <w:bottom w:val="single" w:sz="4" w:space="0" w:color="auto"/>
                    <w:right w:val="single" w:sz="4" w:space="0" w:color="auto"/>
                  </w:tcBorders>
                  <w:shd w:val="clear" w:color="auto" w:fill="D9D9D9" w:themeFill="background1" w:themeFillShade="D9"/>
                </w:tcPr>
                <w:p w14:paraId="0A182E2D" w14:textId="77777777" w:rsidR="001D45D1" w:rsidRPr="005D4222" w:rsidRDefault="001D45D1" w:rsidP="00A53E8C">
                  <w:pPr>
                    <w:pStyle w:val="TableText"/>
                    <w:spacing w:before="40" w:after="40"/>
                    <w:rPr>
                      <w:kern w:val="20"/>
                    </w:rPr>
                  </w:pPr>
                  <w:r w:rsidRPr="005D4222">
                    <w:rPr>
                      <w:kern w:val="20"/>
                      <w:szCs w:val="21"/>
                    </w:rPr>
                    <w:t>Total</w:t>
                  </w:r>
                </w:p>
              </w:tc>
              <w:tc>
                <w:tcPr>
                  <w:tcW w:w="1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5CB03D54" w14:textId="77777777" w:rsidR="001D45D1" w:rsidRPr="005D4222" w:rsidRDefault="001D45D1" w:rsidP="00A53E8C">
                  <w:pPr>
                    <w:pStyle w:val="TableText"/>
                    <w:spacing w:before="40" w:after="40"/>
                    <w:rPr>
                      <w:kern w:val="20"/>
                    </w:rPr>
                  </w:pPr>
                  <w:r w:rsidRPr="005D4222">
                    <w:rPr>
                      <w:kern w:val="20"/>
                      <w:szCs w:val="21"/>
                    </w:rPr>
                    <w:t>Rate</w:t>
                  </w:r>
                </w:p>
              </w:tc>
              <w:tc>
                <w:tcPr>
                  <w:tcW w:w="287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02D9634" w14:textId="77777777" w:rsidR="001D45D1" w:rsidRPr="005D4222" w:rsidRDefault="001D45D1" w:rsidP="00A53E8C">
                  <w:pPr>
                    <w:pStyle w:val="TableText"/>
                    <w:spacing w:before="40" w:after="40"/>
                    <w:rPr>
                      <w:kern w:val="20"/>
                    </w:rPr>
                  </w:pPr>
                  <w:r w:rsidRPr="005D4222">
                    <w:rPr>
                      <w:kern w:val="20"/>
                      <w:szCs w:val="21"/>
                    </w:rPr>
                    <w:t>(Percent)</w:t>
                  </w:r>
                </w:p>
              </w:tc>
            </w:tr>
          </w:tbl>
          <w:p w14:paraId="2E31C4EB" w14:textId="77777777" w:rsidR="001D45D1" w:rsidRPr="005D4222" w:rsidRDefault="001D45D1" w:rsidP="00A53E8C">
            <w:pPr>
              <w:pStyle w:val="Heading3"/>
              <w:rPr>
                <w:b w:val="0"/>
                <w:bCs w:val="0"/>
                <w:i w:val="0"/>
                <w:iCs/>
                <w:kern w:val="20"/>
                <w:szCs w:val="21"/>
              </w:rPr>
            </w:pPr>
            <w:r w:rsidRPr="005D4222">
              <w:t>Table DRR-E-3: Data Elements for Depression Remission or Response for Adolescents and Adults</w:t>
            </w:r>
          </w:p>
          <w:tbl>
            <w:tblPr>
              <w:tblW w:w="5000" w:type="pct"/>
              <w:tblLayout w:type="fixed"/>
              <w:tblLook w:val="04A0" w:firstRow="1" w:lastRow="0" w:firstColumn="1" w:lastColumn="0" w:noHBand="0" w:noVBand="1"/>
            </w:tblPr>
            <w:tblGrid>
              <w:gridCol w:w="1431"/>
              <w:gridCol w:w="1170"/>
              <w:gridCol w:w="1890"/>
              <w:gridCol w:w="2874"/>
            </w:tblGrid>
            <w:tr w:rsidR="001D45D1" w:rsidRPr="005D4222" w14:paraId="0FEE781B" w14:textId="77777777" w:rsidTr="00A3765F">
              <w:trPr>
                <w:trHeight w:val="334"/>
              </w:trPr>
              <w:tc>
                <w:tcPr>
                  <w:tcW w:w="1431" w:type="dxa"/>
                  <w:tcBorders>
                    <w:top w:val="single" w:sz="4" w:space="0" w:color="auto"/>
                    <w:left w:val="single" w:sz="8" w:space="0" w:color="auto"/>
                    <w:bottom w:val="single" w:sz="4" w:space="0" w:color="auto"/>
                    <w:right w:val="single" w:sz="6" w:space="0" w:color="FFFFFF"/>
                  </w:tcBorders>
                  <w:shd w:val="clear" w:color="auto" w:fill="000000"/>
                  <w:noWrap/>
                  <w:vAlign w:val="bottom"/>
                  <w:hideMark/>
                </w:tcPr>
                <w:p w14:paraId="465C29DC" w14:textId="77777777" w:rsidR="001D45D1" w:rsidRPr="005D4222" w:rsidRDefault="001D45D1" w:rsidP="00A53E8C">
                  <w:pPr>
                    <w:pStyle w:val="TableHead"/>
                  </w:pPr>
                  <w:r w:rsidRPr="005D4222">
                    <w:t>Metric</w:t>
                  </w:r>
                </w:p>
              </w:tc>
              <w:tc>
                <w:tcPr>
                  <w:tcW w:w="1170" w:type="dxa"/>
                  <w:tcBorders>
                    <w:top w:val="single" w:sz="4" w:space="0" w:color="auto"/>
                    <w:left w:val="single" w:sz="6" w:space="0" w:color="FFFFFF"/>
                    <w:bottom w:val="single" w:sz="4" w:space="0" w:color="auto"/>
                    <w:right w:val="single" w:sz="6" w:space="0" w:color="FFFFFF"/>
                  </w:tcBorders>
                  <w:shd w:val="clear" w:color="auto" w:fill="000000"/>
                  <w:hideMark/>
                </w:tcPr>
                <w:p w14:paraId="58BEC97E" w14:textId="77777777" w:rsidR="001D45D1" w:rsidRPr="005D4222" w:rsidRDefault="001D45D1" w:rsidP="00A53E8C">
                  <w:pPr>
                    <w:pStyle w:val="TableHead"/>
                  </w:pPr>
                  <w:r w:rsidRPr="005D4222">
                    <w:t>Age</w:t>
                  </w:r>
                </w:p>
              </w:tc>
              <w:tc>
                <w:tcPr>
                  <w:tcW w:w="1890" w:type="dxa"/>
                  <w:tcBorders>
                    <w:top w:val="single" w:sz="4" w:space="0" w:color="auto"/>
                    <w:left w:val="single" w:sz="6" w:space="0" w:color="FFFFFF"/>
                    <w:bottom w:val="single" w:sz="4" w:space="0" w:color="auto"/>
                    <w:right w:val="single" w:sz="4" w:space="0" w:color="FFFFFF"/>
                  </w:tcBorders>
                  <w:shd w:val="clear" w:color="auto" w:fill="000000"/>
                  <w:noWrap/>
                  <w:vAlign w:val="bottom"/>
                  <w:hideMark/>
                </w:tcPr>
                <w:p w14:paraId="2A44C82F" w14:textId="77777777" w:rsidR="001D45D1" w:rsidRPr="005D4222" w:rsidRDefault="001D45D1" w:rsidP="00A53E8C">
                  <w:pPr>
                    <w:pStyle w:val="TableHead"/>
                  </w:pPr>
                  <w:r w:rsidRPr="005D4222">
                    <w:t>Data Element</w:t>
                  </w:r>
                </w:p>
              </w:tc>
              <w:tc>
                <w:tcPr>
                  <w:tcW w:w="2874" w:type="dxa"/>
                  <w:tcBorders>
                    <w:top w:val="single" w:sz="4" w:space="0" w:color="auto"/>
                    <w:left w:val="single" w:sz="4" w:space="0" w:color="FFFFFF"/>
                    <w:bottom w:val="single" w:sz="4" w:space="0" w:color="auto"/>
                    <w:right w:val="single" w:sz="8" w:space="0" w:color="auto"/>
                  </w:tcBorders>
                  <w:shd w:val="clear" w:color="auto" w:fill="000000"/>
                  <w:hideMark/>
                </w:tcPr>
                <w:p w14:paraId="2BC06BA6" w14:textId="77777777" w:rsidR="001D45D1" w:rsidRPr="005D4222" w:rsidRDefault="001D45D1" w:rsidP="00A53E8C">
                  <w:pPr>
                    <w:pStyle w:val="TableHead"/>
                  </w:pPr>
                  <w:r w:rsidRPr="005D4222">
                    <w:t>Reporting Instructions</w:t>
                  </w:r>
                </w:p>
              </w:tc>
            </w:tr>
            <w:tr w:rsidR="001D45D1" w:rsidRPr="005D4222" w14:paraId="19B3A685" w14:textId="77777777" w:rsidTr="00A3765F">
              <w:trPr>
                <w:trHeight w:val="334"/>
              </w:trPr>
              <w:tc>
                <w:tcPr>
                  <w:tcW w:w="1431" w:type="dxa"/>
                  <w:tcBorders>
                    <w:top w:val="single" w:sz="4" w:space="0" w:color="auto"/>
                    <w:left w:val="single" w:sz="4" w:space="0" w:color="auto"/>
                    <w:bottom w:val="single" w:sz="4" w:space="0" w:color="auto"/>
                    <w:right w:val="single" w:sz="4" w:space="0" w:color="auto"/>
                  </w:tcBorders>
                  <w:shd w:val="clear" w:color="auto" w:fill="FFFFFF"/>
                  <w:noWrap/>
                  <w:hideMark/>
                </w:tcPr>
                <w:p w14:paraId="4A824B25" w14:textId="77777777" w:rsidR="001D45D1" w:rsidRPr="005D4222" w:rsidRDefault="001D45D1" w:rsidP="00A53E8C">
                  <w:pPr>
                    <w:pStyle w:val="TableText"/>
                    <w:spacing w:before="40" w:after="40"/>
                    <w:rPr>
                      <w:kern w:val="20"/>
                    </w:rPr>
                  </w:pPr>
                  <w:r w:rsidRPr="005D4222">
                    <w:rPr>
                      <w:kern w:val="20"/>
                    </w:rPr>
                    <w:t>FollowUp</w:t>
                  </w:r>
                </w:p>
              </w:tc>
              <w:tc>
                <w:tcPr>
                  <w:tcW w:w="1170" w:type="dxa"/>
                  <w:tcBorders>
                    <w:top w:val="single" w:sz="4" w:space="0" w:color="auto"/>
                    <w:left w:val="single" w:sz="4" w:space="0" w:color="auto"/>
                    <w:bottom w:val="single" w:sz="4" w:space="0" w:color="auto"/>
                    <w:right w:val="single" w:sz="4" w:space="0" w:color="auto"/>
                  </w:tcBorders>
                  <w:shd w:val="clear" w:color="auto" w:fill="FFFFFF"/>
                  <w:hideMark/>
                </w:tcPr>
                <w:p w14:paraId="0389B225" w14:textId="77777777" w:rsidR="001D45D1" w:rsidRPr="005D4222" w:rsidRDefault="001D45D1" w:rsidP="00A53E8C">
                  <w:pPr>
                    <w:pStyle w:val="TableText"/>
                    <w:spacing w:before="40" w:after="40"/>
                    <w:rPr>
                      <w:kern w:val="20"/>
                    </w:rPr>
                  </w:pPr>
                  <w:r w:rsidRPr="005D4222">
                    <w:rPr>
                      <w:kern w:val="20"/>
                    </w:rPr>
                    <w:t>18-44</w:t>
                  </w:r>
                </w:p>
              </w:tc>
              <w:tc>
                <w:tcPr>
                  <w:tcW w:w="1890" w:type="dxa"/>
                  <w:tcBorders>
                    <w:top w:val="single" w:sz="4" w:space="0" w:color="auto"/>
                    <w:left w:val="single" w:sz="4" w:space="0" w:color="auto"/>
                    <w:bottom w:val="single" w:sz="4" w:space="0" w:color="auto"/>
                    <w:right w:val="single" w:sz="4" w:space="0" w:color="auto"/>
                  </w:tcBorders>
                  <w:shd w:val="clear" w:color="auto" w:fill="FFFFFF"/>
                  <w:noWrap/>
                  <w:hideMark/>
                </w:tcPr>
                <w:p w14:paraId="5483F7E7" w14:textId="77777777" w:rsidR="001D45D1" w:rsidRPr="005D4222" w:rsidRDefault="001D45D1" w:rsidP="00A53E8C">
                  <w:pPr>
                    <w:pStyle w:val="TableText"/>
                    <w:spacing w:before="40" w:after="40"/>
                    <w:rPr>
                      <w:kern w:val="20"/>
                    </w:rPr>
                  </w:pPr>
                  <w:r w:rsidRPr="005D4222">
                    <w:rPr>
                      <w:kern w:val="20"/>
                    </w:rPr>
                    <w:t>InitialPopulation</w:t>
                  </w:r>
                </w:p>
              </w:tc>
              <w:tc>
                <w:tcPr>
                  <w:tcW w:w="2874" w:type="dxa"/>
                  <w:tcBorders>
                    <w:top w:val="single" w:sz="4" w:space="0" w:color="auto"/>
                    <w:left w:val="single" w:sz="4" w:space="0" w:color="auto"/>
                    <w:bottom w:val="single" w:sz="4" w:space="0" w:color="auto"/>
                    <w:right w:val="single" w:sz="4" w:space="0" w:color="auto"/>
                  </w:tcBorders>
                  <w:shd w:val="clear" w:color="auto" w:fill="FFFFFF"/>
                  <w:hideMark/>
                </w:tcPr>
                <w:p w14:paraId="65CA372D" w14:textId="77777777" w:rsidR="001D45D1" w:rsidRPr="005D4222" w:rsidRDefault="001D45D1" w:rsidP="00A53E8C">
                  <w:pPr>
                    <w:pStyle w:val="TableText"/>
                    <w:spacing w:before="40" w:after="40"/>
                    <w:rPr>
                      <w:kern w:val="20"/>
                    </w:rPr>
                  </w:pPr>
                  <w:r w:rsidRPr="005D4222">
                    <w:rPr>
                      <w:kern w:val="20"/>
                    </w:rPr>
                    <w:t>For each Stratification, repeat per Metric</w:t>
                  </w:r>
                </w:p>
              </w:tc>
            </w:tr>
            <w:tr w:rsidR="001D45D1" w:rsidRPr="005D4222" w14:paraId="3A67A60C" w14:textId="77777777" w:rsidTr="00A3765F">
              <w:trPr>
                <w:trHeight w:val="334"/>
              </w:trPr>
              <w:tc>
                <w:tcPr>
                  <w:tcW w:w="1431" w:type="dxa"/>
                  <w:tcBorders>
                    <w:top w:val="single" w:sz="4" w:space="0" w:color="auto"/>
                    <w:left w:val="single" w:sz="4" w:space="0" w:color="auto"/>
                    <w:bottom w:val="single" w:sz="4" w:space="0" w:color="auto"/>
                    <w:right w:val="single" w:sz="4" w:space="0" w:color="auto"/>
                  </w:tcBorders>
                  <w:shd w:val="clear" w:color="auto" w:fill="FFFFFF"/>
                  <w:noWrap/>
                  <w:hideMark/>
                </w:tcPr>
                <w:p w14:paraId="1C0808BF" w14:textId="77777777" w:rsidR="001D45D1" w:rsidRPr="005D4222" w:rsidRDefault="001D45D1" w:rsidP="00A53E8C">
                  <w:pPr>
                    <w:pStyle w:val="TableText"/>
                    <w:spacing w:before="40" w:after="40"/>
                    <w:rPr>
                      <w:kern w:val="20"/>
                    </w:rPr>
                  </w:pPr>
                  <w:r w:rsidRPr="005D4222">
                    <w:rPr>
                      <w:kern w:val="20"/>
                    </w:rPr>
                    <w:t>Remission</w:t>
                  </w:r>
                </w:p>
              </w:tc>
              <w:tc>
                <w:tcPr>
                  <w:tcW w:w="1170" w:type="dxa"/>
                  <w:tcBorders>
                    <w:top w:val="single" w:sz="4" w:space="0" w:color="auto"/>
                    <w:left w:val="nil"/>
                    <w:bottom w:val="single" w:sz="4" w:space="0" w:color="auto"/>
                    <w:right w:val="single" w:sz="4" w:space="0" w:color="auto"/>
                  </w:tcBorders>
                  <w:shd w:val="clear" w:color="auto" w:fill="FFFFFF"/>
                  <w:hideMark/>
                </w:tcPr>
                <w:p w14:paraId="7B444559" w14:textId="77777777" w:rsidR="001D45D1" w:rsidRPr="005D4222" w:rsidRDefault="001D45D1" w:rsidP="00A53E8C">
                  <w:pPr>
                    <w:pStyle w:val="TableText"/>
                    <w:spacing w:before="40" w:after="40"/>
                    <w:rPr>
                      <w:kern w:val="20"/>
                    </w:rPr>
                  </w:pPr>
                  <w:r w:rsidRPr="005D4222">
                    <w:rPr>
                      <w:kern w:val="20"/>
                    </w:rPr>
                    <w:t>45-64</w:t>
                  </w:r>
                </w:p>
              </w:tc>
              <w:tc>
                <w:tcPr>
                  <w:tcW w:w="1890" w:type="dxa"/>
                  <w:tcBorders>
                    <w:top w:val="single" w:sz="4" w:space="0" w:color="auto"/>
                    <w:left w:val="single" w:sz="4" w:space="0" w:color="auto"/>
                    <w:bottom w:val="single" w:sz="4" w:space="0" w:color="auto"/>
                    <w:right w:val="single" w:sz="4" w:space="0" w:color="auto"/>
                  </w:tcBorders>
                  <w:noWrap/>
                  <w:hideMark/>
                </w:tcPr>
                <w:p w14:paraId="05256FDB" w14:textId="77777777" w:rsidR="001D45D1" w:rsidRPr="005D4222" w:rsidRDefault="001D45D1" w:rsidP="00A53E8C">
                  <w:pPr>
                    <w:pStyle w:val="TableText"/>
                    <w:spacing w:before="40" w:after="40"/>
                    <w:rPr>
                      <w:kern w:val="20"/>
                    </w:rPr>
                  </w:pPr>
                  <w:r w:rsidRPr="005D4222">
                    <w:rPr>
                      <w:kern w:val="20"/>
                    </w:rPr>
                    <w:t>Exclusions</w:t>
                  </w:r>
                </w:p>
              </w:tc>
              <w:tc>
                <w:tcPr>
                  <w:tcW w:w="2874" w:type="dxa"/>
                  <w:tcBorders>
                    <w:top w:val="single" w:sz="4" w:space="0" w:color="auto"/>
                    <w:left w:val="single" w:sz="4" w:space="0" w:color="auto"/>
                    <w:bottom w:val="single" w:sz="4" w:space="0" w:color="auto"/>
                    <w:right w:val="single" w:sz="4" w:space="0" w:color="auto"/>
                  </w:tcBorders>
                  <w:hideMark/>
                </w:tcPr>
                <w:p w14:paraId="0840D63D" w14:textId="77777777" w:rsidR="001D45D1" w:rsidRPr="005D4222" w:rsidRDefault="001D45D1" w:rsidP="00A53E8C">
                  <w:pPr>
                    <w:pStyle w:val="TableText"/>
                    <w:spacing w:before="40" w:after="40"/>
                    <w:rPr>
                      <w:kern w:val="20"/>
                    </w:rPr>
                  </w:pPr>
                  <w:r w:rsidRPr="005D4222">
                    <w:rPr>
                      <w:kern w:val="20"/>
                    </w:rPr>
                    <w:t>For each Stratification, repeat per Metric</w:t>
                  </w:r>
                </w:p>
              </w:tc>
            </w:tr>
            <w:tr w:rsidR="001D45D1" w:rsidRPr="005D4222" w14:paraId="086A6D6C" w14:textId="77777777" w:rsidTr="00A3765F">
              <w:trPr>
                <w:trHeight w:val="334"/>
              </w:trPr>
              <w:tc>
                <w:tcPr>
                  <w:tcW w:w="1431" w:type="dxa"/>
                  <w:tcBorders>
                    <w:top w:val="single" w:sz="4" w:space="0" w:color="auto"/>
                    <w:left w:val="single" w:sz="4" w:space="0" w:color="auto"/>
                    <w:bottom w:val="single" w:sz="4" w:space="0" w:color="auto"/>
                    <w:right w:val="single" w:sz="4" w:space="0" w:color="auto"/>
                  </w:tcBorders>
                  <w:shd w:val="clear" w:color="auto" w:fill="FFFFFF"/>
                  <w:noWrap/>
                  <w:hideMark/>
                </w:tcPr>
                <w:p w14:paraId="3559E391" w14:textId="77777777" w:rsidR="001D45D1" w:rsidRPr="005D4222" w:rsidRDefault="001D45D1" w:rsidP="00A53E8C">
                  <w:pPr>
                    <w:pStyle w:val="TableText"/>
                    <w:spacing w:before="40" w:after="40"/>
                    <w:rPr>
                      <w:kern w:val="20"/>
                    </w:rPr>
                  </w:pPr>
                  <w:r w:rsidRPr="005D4222">
                    <w:rPr>
                      <w:kern w:val="20"/>
                    </w:rPr>
                    <w:t>Response</w:t>
                  </w:r>
                </w:p>
              </w:tc>
              <w:tc>
                <w:tcPr>
                  <w:tcW w:w="1170" w:type="dxa"/>
                  <w:tcBorders>
                    <w:top w:val="single" w:sz="4" w:space="0" w:color="auto"/>
                    <w:left w:val="single" w:sz="4" w:space="0" w:color="auto"/>
                    <w:bottom w:val="single" w:sz="4" w:space="0" w:color="auto"/>
                    <w:right w:val="single" w:sz="4" w:space="0" w:color="auto"/>
                  </w:tcBorders>
                  <w:shd w:val="clear" w:color="auto" w:fill="FFFFFF"/>
                  <w:hideMark/>
                </w:tcPr>
                <w:p w14:paraId="547BF6E9" w14:textId="77777777" w:rsidR="001D45D1" w:rsidRPr="005D4222" w:rsidRDefault="001D45D1" w:rsidP="00A53E8C">
                  <w:pPr>
                    <w:pStyle w:val="TableText"/>
                    <w:spacing w:before="40" w:after="40"/>
                    <w:rPr>
                      <w:kern w:val="20"/>
                    </w:rPr>
                  </w:pPr>
                  <w:r w:rsidRPr="005D4222">
                    <w:rPr>
                      <w:kern w:val="20"/>
                    </w:rPr>
                    <w:t>65+</w:t>
                  </w:r>
                </w:p>
              </w:tc>
              <w:tc>
                <w:tcPr>
                  <w:tcW w:w="1890" w:type="dxa"/>
                  <w:tcBorders>
                    <w:top w:val="single" w:sz="4" w:space="0" w:color="auto"/>
                    <w:left w:val="single" w:sz="4" w:space="0" w:color="auto"/>
                    <w:bottom w:val="single" w:sz="4" w:space="0" w:color="auto"/>
                    <w:right w:val="single" w:sz="4" w:space="0" w:color="auto"/>
                  </w:tcBorders>
                  <w:noWrap/>
                  <w:hideMark/>
                </w:tcPr>
                <w:p w14:paraId="32BC1C31" w14:textId="77777777" w:rsidR="001D45D1" w:rsidRPr="005D4222" w:rsidRDefault="001D45D1" w:rsidP="00A53E8C">
                  <w:pPr>
                    <w:pStyle w:val="TableText"/>
                    <w:spacing w:before="40" w:after="40"/>
                    <w:rPr>
                      <w:kern w:val="20"/>
                    </w:rPr>
                  </w:pPr>
                  <w:r w:rsidRPr="005D4222">
                    <w:rPr>
                      <w:kern w:val="20"/>
                    </w:rPr>
                    <w:t>Denominator</w:t>
                  </w:r>
                </w:p>
              </w:tc>
              <w:tc>
                <w:tcPr>
                  <w:tcW w:w="2874" w:type="dxa"/>
                  <w:tcBorders>
                    <w:top w:val="single" w:sz="4" w:space="0" w:color="auto"/>
                    <w:left w:val="single" w:sz="4" w:space="0" w:color="auto"/>
                    <w:bottom w:val="single" w:sz="4" w:space="0" w:color="auto"/>
                    <w:right w:val="single" w:sz="4" w:space="0" w:color="auto"/>
                  </w:tcBorders>
                  <w:hideMark/>
                </w:tcPr>
                <w:p w14:paraId="75924B94" w14:textId="77777777" w:rsidR="001D45D1" w:rsidRPr="005D4222" w:rsidRDefault="001D45D1" w:rsidP="00A53E8C">
                  <w:pPr>
                    <w:pStyle w:val="TableText"/>
                    <w:spacing w:before="40" w:after="40"/>
                    <w:rPr>
                      <w:kern w:val="20"/>
                    </w:rPr>
                  </w:pPr>
                  <w:r w:rsidRPr="005D4222">
                    <w:rPr>
                      <w:kern w:val="20"/>
                    </w:rPr>
                    <w:t>For each Stratification, repeat per Metric</w:t>
                  </w:r>
                </w:p>
              </w:tc>
            </w:tr>
            <w:tr w:rsidR="001D45D1" w:rsidRPr="005D4222" w14:paraId="117F5F69" w14:textId="77777777" w:rsidTr="00A3765F">
              <w:trPr>
                <w:trHeight w:val="334"/>
              </w:trPr>
              <w:tc>
                <w:tcPr>
                  <w:tcW w:w="1431" w:type="dxa"/>
                  <w:tcBorders>
                    <w:top w:val="single" w:sz="4" w:space="0" w:color="auto"/>
                    <w:left w:val="nil"/>
                    <w:bottom w:val="nil"/>
                    <w:right w:val="single" w:sz="4" w:space="0" w:color="auto"/>
                  </w:tcBorders>
                  <w:shd w:val="clear" w:color="auto" w:fill="FFFFFF"/>
                  <w:noWrap/>
                  <w:hideMark/>
                </w:tcPr>
                <w:p w14:paraId="75F47710" w14:textId="77777777" w:rsidR="001D45D1" w:rsidRPr="005D4222" w:rsidRDefault="001D45D1" w:rsidP="00A53E8C">
                  <w:pPr>
                    <w:pStyle w:val="TableText"/>
                    <w:spacing w:before="40" w:after="40"/>
                    <w:rPr>
                      <w:kern w:val="20"/>
                    </w:rPr>
                  </w:pPr>
                  <w:r w:rsidRPr="005D4222">
                    <w:rPr>
                      <w:kern w:val="20"/>
                    </w:rPr>
                    <w:t xml:space="preserve"> </w:t>
                  </w:r>
                </w:p>
              </w:tc>
              <w:tc>
                <w:tcPr>
                  <w:tcW w:w="1170" w:type="dxa"/>
                  <w:tcBorders>
                    <w:top w:val="single" w:sz="4" w:space="0" w:color="auto"/>
                    <w:left w:val="nil"/>
                    <w:bottom w:val="single" w:sz="4" w:space="0" w:color="auto"/>
                    <w:right w:val="single" w:sz="4" w:space="0" w:color="auto"/>
                  </w:tcBorders>
                  <w:shd w:val="clear" w:color="auto" w:fill="D9D9D9"/>
                  <w:hideMark/>
                </w:tcPr>
                <w:p w14:paraId="3E888ECF" w14:textId="77777777" w:rsidR="001D45D1" w:rsidRPr="005D4222" w:rsidRDefault="001D45D1" w:rsidP="00A53E8C">
                  <w:pPr>
                    <w:pStyle w:val="TableText"/>
                    <w:spacing w:before="40" w:after="40"/>
                    <w:rPr>
                      <w:kern w:val="20"/>
                    </w:rPr>
                  </w:pPr>
                  <w:r w:rsidRPr="005D4222">
                    <w:rPr>
                      <w:kern w:val="20"/>
                    </w:rPr>
                    <w:t>Total</w:t>
                  </w:r>
                </w:p>
              </w:tc>
              <w:tc>
                <w:tcPr>
                  <w:tcW w:w="1890" w:type="dxa"/>
                  <w:tcBorders>
                    <w:top w:val="single" w:sz="4" w:space="0" w:color="auto"/>
                    <w:left w:val="single" w:sz="4" w:space="0" w:color="auto"/>
                    <w:bottom w:val="single" w:sz="4" w:space="0" w:color="auto"/>
                    <w:right w:val="single" w:sz="4" w:space="0" w:color="auto"/>
                  </w:tcBorders>
                  <w:shd w:val="clear" w:color="auto" w:fill="FFFFFF"/>
                  <w:noWrap/>
                  <w:hideMark/>
                </w:tcPr>
                <w:p w14:paraId="17DB678E" w14:textId="77777777" w:rsidR="001D45D1" w:rsidRPr="005D4222" w:rsidRDefault="001D45D1" w:rsidP="00A53E8C">
                  <w:pPr>
                    <w:pStyle w:val="TableText"/>
                    <w:spacing w:before="40" w:after="40"/>
                    <w:rPr>
                      <w:kern w:val="20"/>
                    </w:rPr>
                  </w:pPr>
                  <w:r w:rsidRPr="005D4222">
                    <w:rPr>
                      <w:kern w:val="20"/>
                    </w:rPr>
                    <w:t>Numerator</w:t>
                  </w:r>
                </w:p>
              </w:tc>
              <w:tc>
                <w:tcPr>
                  <w:tcW w:w="2874" w:type="dxa"/>
                  <w:tcBorders>
                    <w:top w:val="single" w:sz="4" w:space="0" w:color="auto"/>
                    <w:left w:val="single" w:sz="4" w:space="0" w:color="auto"/>
                    <w:bottom w:val="single" w:sz="4" w:space="0" w:color="auto"/>
                    <w:right w:val="single" w:sz="4" w:space="0" w:color="auto"/>
                  </w:tcBorders>
                  <w:shd w:val="clear" w:color="auto" w:fill="FFFFFF"/>
                  <w:hideMark/>
                </w:tcPr>
                <w:p w14:paraId="57206995" w14:textId="77777777" w:rsidR="001D45D1" w:rsidRPr="005D4222" w:rsidRDefault="001D45D1" w:rsidP="00A53E8C">
                  <w:pPr>
                    <w:pStyle w:val="TableText"/>
                    <w:spacing w:before="40" w:after="40"/>
                    <w:rPr>
                      <w:kern w:val="20"/>
                    </w:rPr>
                  </w:pPr>
                  <w:r w:rsidRPr="005D4222">
                    <w:rPr>
                      <w:kern w:val="20"/>
                    </w:rPr>
                    <w:t>For each Metric and Stratification</w:t>
                  </w:r>
                </w:p>
              </w:tc>
            </w:tr>
            <w:tr w:rsidR="001D45D1" w:rsidRPr="005D4222" w14:paraId="60094711" w14:textId="77777777" w:rsidTr="00A3765F">
              <w:trPr>
                <w:trHeight w:val="334"/>
              </w:trPr>
              <w:tc>
                <w:tcPr>
                  <w:tcW w:w="1431" w:type="dxa"/>
                  <w:shd w:val="clear" w:color="auto" w:fill="FFFFFF"/>
                  <w:noWrap/>
                  <w:hideMark/>
                </w:tcPr>
                <w:p w14:paraId="5E7BF04C" w14:textId="77777777" w:rsidR="001D45D1" w:rsidRPr="005D4222" w:rsidRDefault="001D45D1" w:rsidP="00A53E8C">
                  <w:pPr>
                    <w:pStyle w:val="TableText"/>
                    <w:spacing w:before="40" w:after="40"/>
                    <w:rPr>
                      <w:kern w:val="20"/>
                    </w:rPr>
                  </w:pPr>
                  <w:r w:rsidRPr="005D4222">
                    <w:rPr>
                      <w:kern w:val="20"/>
                    </w:rPr>
                    <w:t xml:space="preserve"> </w:t>
                  </w:r>
                </w:p>
              </w:tc>
              <w:tc>
                <w:tcPr>
                  <w:tcW w:w="1170" w:type="dxa"/>
                  <w:shd w:val="clear" w:color="auto" w:fill="FFFFFF"/>
                </w:tcPr>
                <w:p w14:paraId="53BE7371" w14:textId="77777777" w:rsidR="001D45D1" w:rsidRPr="005D4222" w:rsidRDefault="001D45D1" w:rsidP="00A53E8C">
                  <w:pPr>
                    <w:pStyle w:val="TableText"/>
                    <w:spacing w:before="40" w:after="40"/>
                    <w:rPr>
                      <w:kern w:val="20"/>
                    </w:rPr>
                  </w:pPr>
                </w:p>
              </w:tc>
              <w:tc>
                <w:tcPr>
                  <w:tcW w:w="1890" w:type="dxa"/>
                  <w:tcBorders>
                    <w:top w:val="single" w:sz="4" w:space="0" w:color="auto"/>
                    <w:left w:val="single" w:sz="4" w:space="0" w:color="auto"/>
                    <w:bottom w:val="single" w:sz="4" w:space="0" w:color="auto"/>
                    <w:right w:val="single" w:sz="4" w:space="0" w:color="auto"/>
                  </w:tcBorders>
                  <w:shd w:val="clear" w:color="auto" w:fill="D9D9D9"/>
                  <w:noWrap/>
                  <w:hideMark/>
                </w:tcPr>
                <w:p w14:paraId="4C5F9C1A" w14:textId="77777777" w:rsidR="001D45D1" w:rsidRPr="005D4222" w:rsidRDefault="001D45D1" w:rsidP="00A53E8C">
                  <w:pPr>
                    <w:pStyle w:val="TableText"/>
                    <w:spacing w:before="40" w:after="40"/>
                    <w:rPr>
                      <w:kern w:val="20"/>
                    </w:rPr>
                  </w:pPr>
                  <w:r w:rsidRPr="005D4222">
                    <w:rPr>
                      <w:kern w:val="20"/>
                    </w:rPr>
                    <w:t>Rate</w:t>
                  </w:r>
                </w:p>
              </w:tc>
              <w:tc>
                <w:tcPr>
                  <w:tcW w:w="2874" w:type="dxa"/>
                  <w:tcBorders>
                    <w:top w:val="single" w:sz="4" w:space="0" w:color="auto"/>
                    <w:left w:val="single" w:sz="4" w:space="0" w:color="auto"/>
                    <w:bottom w:val="single" w:sz="4" w:space="0" w:color="auto"/>
                    <w:right w:val="single" w:sz="4" w:space="0" w:color="auto"/>
                  </w:tcBorders>
                  <w:shd w:val="clear" w:color="auto" w:fill="D9D9D9"/>
                  <w:hideMark/>
                </w:tcPr>
                <w:p w14:paraId="0AF47A6C" w14:textId="77777777" w:rsidR="001D45D1" w:rsidRPr="005D4222" w:rsidRDefault="001D45D1" w:rsidP="00A53E8C">
                  <w:pPr>
                    <w:pStyle w:val="TableText"/>
                    <w:spacing w:before="40" w:after="40"/>
                    <w:rPr>
                      <w:kern w:val="20"/>
                    </w:rPr>
                  </w:pPr>
                  <w:r w:rsidRPr="005D4222">
                    <w:rPr>
                      <w:kern w:val="20"/>
                    </w:rPr>
                    <w:t>(Percent)</w:t>
                  </w:r>
                </w:p>
              </w:tc>
            </w:tr>
          </w:tbl>
          <w:p w14:paraId="5EF83C1A" w14:textId="77777777" w:rsidR="001D45D1" w:rsidRPr="005D4222" w:rsidRDefault="001D45D1" w:rsidP="00A53E8C">
            <w:pPr>
              <w:pStyle w:val="Heading3"/>
              <w:rPr>
                <w:color w:val="000000" w:themeColor="text1"/>
                <w:highlight w:val="yellow"/>
              </w:rPr>
            </w:pPr>
          </w:p>
        </w:tc>
      </w:tr>
      <w:tr w:rsidR="001D45D1" w:rsidRPr="005D4222" w14:paraId="5C2C5172"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99434D6" w14:textId="77777777" w:rsidR="001D45D1" w:rsidRPr="005D4222" w:rsidRDefault="001D45D1" w:rsidP="00A53E8C">
            <w:pPr>
              <w:pStyle w:val="ECDSMarginHead"/>
            </w:pPr>
            <w:r w:rsidRPr="005D4222">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5BBAEC4" w14:textId="77777777" w:rsidR="001D45D1" w:rsidRPr="005D4222" w:rsidRDefault="001D45D1" w:rsidP="00A53E8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tc>
      </w:tr>
    </w:tbl>
    <w:p w14:paraId="2B3D5DC1" w14:textId="77777777" w:rsidR="001D45D1" w:rsidRPr="005D4222" w:rsidRDefault="001D45D1" w:rsidP="001D45D1">
      <w:pPr>
        <w:spacing w:after="160" w:line="259" w:lineRule="auto"/>
      </w:pP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1D45D1" w:rsidRPr="005D4222" w14:paraId="495BC14B"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C4278B2" w14:textId="77777777" w:rsidR="001D45D1" w:rsidRPr="005D4222" w:rsidRDefault="001D45D1"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D1D3EB9" w14:textId="77777777" w:rsidR="001D45D1" w:rsidRPr="005D4222" w:rsidRDefault="001D45D1" w:rsidP="00A53E8C">
            <w:pPr>
              <w:pStyle w:val="ECDSBody"/>
              <w:rPr>
                <w:b/>
              </w:rPr>
            </w:pPr>
            <w:r w:rsidRPr="005D4222">
              <w:rPr>
                <w:b/>
              </w:rPr>
              <w:t>Adjusted HEDIS measures may not be used for HEDIS health plan reporting.</w:t>
            </w:r>
          </w:p>
          <w:p w14:paraId="75FC14FF" w14:textId="77777777" w:rsidR="001D45D1" w:rsidRPr="005D4222" w:rsidRDefault="001D45D1" w:rsidP="00A53E8C">
            <w:pPr>
              <w:pStyle w:val="Adjustments"/>
              <w:spacing w:before="120"/>
            </w:pPr>
            <w:r w:rsidRPr="005D4222">
              <w:t>Adjustments allowed</w:t>
            </w:r>
          </w:p>
          <w:p w14:paraId="62BE7A03" w14:textId="1B873B31" w:rsidR="001D45D1" w:rsidRPr="005D4222" w:rsidRDefault="001D45D1" w:rsidP="005D6173">
            <w:pPr>
              <w:pStyle w:val="ProcessBullet"/>
              <w:numPr>
                <w:ilvl w:val="0"/>
                <w:numId w:val="98"/>
              </w:numPr>
              <w:tabs>
                <w:tab w:val="left" w:pos="216"/>
              </w:tabs>
              <w:ind w:left="216" w:hanging="216"/>
              <w:rPr>
                <w:b/>
              </w:rPr>
            </w:pPr>
            <w:r w:rsidRPr="005D4222">
              <w:rPr>
                <w:i/>
                <w:iCs/>
              </w:rPr>
              <w:t>Product lines</w:t>
            </w:r>
            <w:r w:rsidRPr="005D4222">
              <w:t xml:space="preserve">. </w:t>
            </w:r>
            <w:r w:rsidRPr="005D4222">
              <w:rPr>
                <w:rFonts w:eastAsia="Arial"/>
              </w:rPr>
              <w:t>Organizations are not required to use product line criteria; product lines may be combined</w:t>
            </w:r>
            <w:r w:rsidR="00E8671F" w:rsidRPr="005D4222">
              <w:rPr>
                <w:rFonts w:eastAsia="Arial"/>
              </w:rPr>
              <w:t>,</w:t>
            </w:r>
            <w:r w:rsidRPr="005D4222">
              <w:rPr>
                <w:rFonts w:eastAsia="Arial"/>
              </w:rPr>
              <w:t xml:space="preserve"> and all (or no) product line criteria may be used.</w:t>
            </w:r>
          </w:p>
          <w:p w14:paraId="405BBD33" w14:textId="77777777" w:rsidR="001D45D1" w:rsidRPr="005D4222" w:rsidRDefault="001D45D1" w:rsidP="005D6173">
            <w:pPr>
              <w:pStyle w:val="ProcessBullet"/>
              <w:numPr>
                <w:ilvl w:val="0"/>
                <w:numId w:val="98"/>
              </w:numPr>
              <w:tabs>
                <w:tab w:val="left" w:pos="216"/>
              </w:tabs>
              <w:ind w:left="216" w:hanging="216"/>
              <w:rPr>
                <w:b/>
              </w:rPr>
            </w:pPr>
            <w:r w:rsidRPr="005D4222">
              <w:rPr>
                <w:i/>
                <w:iCs/>
              </w:rPr>
              <w:t>Attribution.</w:t>
            </w:r>
            <w:r w:rsidRPr="005D4222">
              <w:rPr>
                <w:b/>
                <w:bCs/>
              </w:rPr>
              <w:t xml:space="preserve"> </w:t>
            </w:r>
            <w:r w:rsidRPr="005D4222">
              <w:rPr>
                <w:rFonts w:eastAsia="Arial"/>
              </w:rPr>
              <w:t>Organizations are not required to use enrollment criteria.</w:t>
            </w:r>
          </w:p>
          <w:p w14:paraId="1A762DE3" w14:textId="77777777" w:rsidR="001D45D1" w:rsidRPr="005D4222" w:rsidRDefault="001D45D1" w:rsidP="005D6173">
            <w:pPr>
              <w:pStyle w:val="ProcessBullet"/>
              <w:numPr>
                <w:ilvl w:val="0"/>
                <w:numId w:val="98"/>
              </w:numPr>
              <w:tabs>
                <w:tab w:val="left" w:pos="216"/>
              </w:tabs>
              <w:ind w:left="216" w:hanging="216"/>
              <w:rPr>
                <w:b/>
              </w:rPr>
            </w:pPr>
            <w:r w:rsidRPr="005D4222">
              <w:rPr>
                <w:i/>
                <w:iCs/>
              </w:rPr>
              <w:t>Benefits.</w:t>
            </w:r>
            <w:r w:rsidRPr="005D4222">
              <w:rPr>
                <w:b/>
                <w:bCs/>
              </w:rPr>
              <w:t xml:space="preserve"> </w:t>
            </w:r>
            <w:r w:rsidRPr="005D4222">
              <w:t>Organizations are not required to use a</w:t>
            </w:r>
            <w:r w:rsidRPr="005D4222">
              <w:rPr>
                <w:rFonts w:eastAsia="Arial"/>
              </w:rPr>
              <w:t xml:space="preserve"> benefit.</w:t>
            </w:r>
          </w:p>
          <w:p w14:paraId="42CB2792" w14:textId="77777777" w:rsidR="001D45D1" w:rsidRPr="005D4222" w:rsidRDefault="001D45D1" w:rsidP="005D6173">
            <w:pPr>
              <w:pStyle w:val="ProcessBullet"/>
              <w:numPr>
                <w:ilvl w:val="0"/>
                <w:numId w:val="98"/>
              </w:numPr>
              <w:tabs>
                <w:tab w:val="left" w:pos="216"/>
              </w:tabs>
              <w:ind w:left="216" w:hanging="216"/>
              <w:rPr>
                <w:b/>
              </w:rPr>
            </w:pPr>
            <w:r w:rsidRPr="005D4222">
              <w:rPr>
                <w:i/>
                <w:iCs/>
              </w:rPr>
              <w:t>Other.</w:t>
            </w:r>
            <w:r w:rsidRPr="005D4222">
              <w:t xml:space="preserve"> Organizations may use additional initial population criteria to focus on an area of interest defined by gender, race, ethnicity, socioeconomic or sociodemographic characteristics, geographic region or another characteristic.</w:t>
            </w:r>
            <w:r w:rsidRPr="005D4222">
              <w:rPr>
                <w:b/>
                <w:bCs/>
              </w:rPr>
              <w:t xml:space="preserve">  </w:t>
            </w:r>
          </w:p>
          <w:p w14:paraId="06B9D82C" w14:textId="77777777" w:rsidR="001D45D1" w:rsidRPr="005D4222" w:rsidRDefault="001D45D1" w:rsidP="005D6173">
            <w:pPr>
              <w:pStyle w:val="ProcessBullet"/>
              <w:numPr>
                <w:ilvl w:val="0"/>
                <w:numId w:val="98"/>
              </w:numPr>
              <w:tabs>
                <w:tab w:val="left" w:pos="216"/>
              </w:tabs>
              <w:ind w:left="216" w:hanging="216"/>
              <w:rPr>
                <w:b/>
              </w:rPr>
            </w:pPr>
            <w:r w:rsidRPr="005D4222">
              <w:rPr>
                <w:rFonts w:eastAsia="Arial"/>
                <w:i/>
                <w:iCs/>
              </w:rPr>
              <w:t xml:space="preserve">Exclusions. </w:t>
            </w:r>
            <w:r w:rsidRPr="005D4222">
              <w:rPr>
                <w:rFonts w:eastAsia="Arial"/>
              </w:rPr>
              <w:t xml:space="preserve">Hospice and deceased persons exclusions are not required. </w:t>
            </w:r>
          </w:p>
          <w:p w14:paraId="22A6B214" w14:textId="77777777" w:rsidR="001D45D1" w:rsidRPr="005D4222" w:rsidRDefault="001D45D1" w:rsidP="005D6173">
            <w:pPr>
              <w:pStyle w:val="ProcessBullet"/>
              <w:numPr>
                <w:ilvl w:val="0"/>
                <w:numId w:val="98"/>
              </w:numPr>
              <w:tabs>
                <w:tab w:val="left" w:pos="216"/>
              </w:tabs>
              <w:ind w:left="216" w:hanging="216"/>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700A758A" w14:textId="77777777" w:rsidR="001D45D1" w:rsidRPr="005D4222" w:rsidRDefault="001D45D1" w:rsidP="00A53E8C">
            <w:pPr>
              <w:pStyle w:val="Adjustments"/>
            </w:pPr>
            <w:r w:rsidRPr="005D4222">
              <w:t>Adjustments allowed with limits</w:t>
            </w:r>
          </w:p>
          <w:p w14:paraId="5C4C2BE3" w14:textId="77777777" w:rsidR="001D45D1" w:rsidRPr="005D4222" w:rsidRDefault="001D45D1" w:rsidP="005D6173">
            <w:pPr>
              <w:pStyle w:val="ProcessBullet"/>
              <w:numPr>
                <w:ilvl w:val="0"/>
                <w:numId w:val="98"/>
              </w:numPr>
              <w:tabs>
                <w:tab w:val="left" w:pos="216"/>
              </w:tabs>
              <w:ind w:left="216" w:hanging="216"/>
            </w:pPr>
            <w:r w:rsidRPr="005D4222">
              <w:rPr>
                <w:i/>
                <w:iCs/>
              </w:rPr>
              <w:t>Ages</w:t>
            </w:r>
            <w:r w:rsidRPr="005D4222">
              <w:t>. The age determination dates may be changed (e.g., select, “age as of June 30”). Changing the denominator age range is allowed if the limits are within the specified age range (12 years and older). The denominator age may not be expanded.</w:t>
            </w:r>
          </w:p>
          <w:p w14:paraId="713C8DEF" w14:textId="77777777" w:rsidR="001D45D1" w:rsidRPr="005D4222" w:rsidRDefault="001D45D1" w:rsidP="00A53E8C">
            <w:pPr>
              <w:pStyle w:val="Adjustments"/>
            </w:pPr>
            <w:r w:rsidRPr="005D4222">
              <w:t>Adjustments not allowed</w:t>
            </w:r>
          </w:p>
          <w:p w14:paraId="3B1E0E4C" w14:textId="77777777" w:rsidR="001D45D1" w:rsidRPr="005D4222" w:rsidRDefault="001D45D1" w:rsidP="005D6173">
            <w:pPr>
              <w:pStyle w:val="ProcessBullet"/>
              <w:numPr>
                <w:ilvl w:val="0"/>
                <w:numId w:val="98"/>
              </w:numPr>
              <w:tabs>
                <w:tab w:val="left" w:pos="216"/>
              </w:tabs>
              <w:ind w:left="216" w:hanging="216"/>
              <w:rPr>
                <w:i/>
                <w:iCs/>
              </w:rPr>
            </w:pPr>
            <w:r w:rsidRPr="005D4222">
              <w:rPr>
                <w:i/>
                <w:iCs/>
              </w:rPr>
              <w:t>Initial population:</w:t>
            </w:r>
            <w:r w:rsidRPr="005D4222">
              <w:t xml:space="preserve"> Event. Only events or diagnoses that contain (or map to) codes in the value sets may be used to identify visits with a diagnosis. Value sets and logic may not be changed.</w:t>
            </w:r>
          </w:p>
          <w:p w14:paraId="0B1758D9" w14:textId="77777777" w:rsidR="001D45D1" w:rsidRPr="005D4222" w:rsidRDefault="001D45D1" w:rsidP="005D6173">
            <w:pPr>
              <w:pStyle w:val="ProcessBullet"/>
              <w:numPr>
                <w:ilvl w:val="0"/>
                <w:numId w:val="98"/>
              </w:numPr>
              <w:tabs>
                <w:tab w:val="left" w:pos="216"/>
              </w:tabs>
              <w:ind w:left="216" w:hanging="216"/>
              <w:rPr>
                <w:i/>
                <w:iCs/>
              </w:rPr>
            </w:pPr>
            <w:r w:rsidRPr="005D4222">
              <w:rPr>
                <w:i/>
                <w:iCs/>
              </w:rPr>
              <w:t xml:space="preserve">Exclusions. </w:t>
            </w:r>
            <w:r w:rsidRPr="005D4222">
              <w:t xml:space="preserve">The bipolar disorder, personality disorder, psychotic disorder or pervasive developmental disorder exclusions must be applied. Value sets may not be changed. </w:t>
            </w:r>
          </w:p>
          <w:p w14:paraId="19B82B24" w14:textId="12D653C2" w:rsidR="001D45D1" w:rsidRPr="005D4222" w:rsidRDefault="00DE550E" w:rsidP="005D6173">
            <w:pPr>
              <w:pStyle w:val="ProcessBullet"/>
              <w:numPr>
                <w:ilvl w:val="0"/>
                <w:numId w:val="98"/>
              </w:numPr>
              <w:tabs>
                <w:tab w:val="left" w:pos="216"/>
              </w:tabs>
              <w:spacing w:after="80"/>
              <w:ind w:left="216" w:hanging="216"/>
              <w:rPr>
                <w:b/>
                <w:i/>
              </w:rPr>
            </w:pPr>
            <w:r w:rsidRPr="005D4222">
              <w:rPr>
                <w:i/>
                <w:iCs/>
              </w:rPr>
              <w:t>Numerator.</w:t>
            </w:r>
            <w:r w:rsidR="001D45D1" w:rsidRPr="005D4222">
              <w:t xml:space="preserve"> Value sets, direct reference codes and logic may not be changed.</w:t>
            </w:r>
          </w:p>
        </w:tc>
      </w:tr>
    </w:tbl>
    <w:p w14:paraId="54FB5E84" w14:textId="77777777" w:rsidR="00757684" w:rsidRPr="005D4222" w:rsidRDefault="00757684" w:rsidP="00FF042C">
      <w:pPr>
        <w:pStyle w:val="ECDSBody"/>
        <w:sectPr w:rsidR="00757684" w:rsidRPr="005D4222" w:rsidSect="0074514A">
          <w:headerReference w:type="default" r:id="rId232"/>
          <w:type w:val="nextColumn"/>
          <w:pgSz w:w="12240" w:h="15840" w:code="1"/>
          <w:pgMar w:top="1080" w:right="1080" w:bottom="1080" w:left="1440" w:header="720" w:footer="720" w:gutter="0"/>
          <w:cols w:space="720"/>
          <w:docGrid w:linePitch="360"/>
        </w:sectPr>
      </w:pPr>
    </w:p>
    <w:p w14:paraId="60D4941B" w14:textId="60945776" w:rsidR="00FF042C" w:rsidRPr="005D4222" w:rsidRDefault="005E28E6" w:rsidP="005E28E6">
      <w:pPr>
        <w:pStyle w:val="MeasureTitle"/>
      </w:pPr>
      <w:bookmarkStart w:id="427" w:name="_Toc201813482"/>
      <w:r w:rsidRPr="005D4222">
        <w:lastRenderedPageBreak/>
        <w:t>Unhealthy Alcohol Use Screening and Follow-Up</w:t>
      </w:r>
      <w:r w:rsidR="008A5901" w:rsidRPr="005D4222">
        <w:t xml:space="preserve"> (ASF-E)</w:t>
      </w:r>
      <w:bookmarkEnd w:id="427"/>
    </w:p>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4950"/>
        <w:gridCol w:w="1530"/>
        <w:gridCol w:w="1079"/>
      </w:tblGrid>
      <w:tr w:rsidR="00310280" w:rsidRPr="005D4222" w14:paraId="6653F321" w14:textId="77777777" w:rsidTr="00A53E8C">
        <w:tc>
          <w:tcPr>
            <w:tcW w:w="2157" w:type="dxa"/>
            <w:shd w:val="clear" w:color="auto" w:fill="BFBFBF" w:themeFill="background1" w:themeFillShade="BF"/>
            <w:tcMar>
              <w:top w:w="0" w:type="dxa"/>
              <w:left w:w="86" w:type="dxa"/>
              <w:bottom w:w="43" w:type="dxa"/>
              <w:right w:w="86" w:type="dxa"/>
            </w:tcMar>
            <w:hideMark/>
          </w:tcPr>
          <w:p w14:paraId="6E64EA3A" w14:textId="77777777" w:rsidR="00310280" w:rsidRPr="005D4222" w:rsidRDefault="00310280" w:rsidP="00A53E8C">
            <w:pPr>
              <w:pStyle w:val="ECDSMarginHead"/>
            </w:pPr>
            <w:r w:rsidRPr="005D4222">
              <w:t>Measure title</w:t>
            </w:r>
          </w:p>
        </w:tc>
        <w:tc>
          <w:tcPr>
            <w:tcW w:w="4950" w:type="dxa"/>
            <w:tcMar>
              <w:top w:w="0" w:type="dxa"/>
              <w:left w:w="86" w:type="dxa"/>
              <w:bottom w:w="43" w:type="dxa"/>
              <w:right w:w="86" w:type="dxa"/>
            </w:tcMar>
          </w:tcPr>
          <w:p w14:paraId="307AA663" w14:textId="77777777" w:rsidR="00310280" w:rsidRPr="005D4222" w:rsidRDefault="00310280" w:rsidP="00A53E8C">
            <w:pPr>
              <w:pStyle w:val="ECDSBody"/>
            </w:pPr>
            <w:r w:rsidRPr="005D4222">
              <w:t>Unhealthy Alcohol Use Screening and Follow-Up</w:t>
            </w:r>
            <w:r w:rsidRPr="005D4222">
              <w:rPr>
                <w:b/>
              </w:rPr>
              <w:t>*</w:t>
            </w:r>
          </w:p>
        </w:tc>
        <w:tc>
          <w:tcPr>
            <w:tcW w:w="1530" w:type="dxa"/>
            <w:shd w:val="clear" w:color="auto" w:fill="BFBFBF" w:themeFill="background1" w:themeFillShade="BF"/>
            <w:tcMar>
              <w:top w:w="0" w:type="dxa"/>
              <w:left w:w="86" w:type="dxa"/>
              <w:bottom w:w="43" w:type="dxa"/>
              <w:right w:w="86" w:type="dxa"/>
            </w:tcMar>
          </w:tcPr>
          <w:p w14:paraId="6C4DEC6B" w14:textId="77777777" w:rsidR="00310280" w:rsidRPr="005D4222" w:rsidRDefault="00310280" w:rsidP="00DC1F87">
            <w:pPr>
              <w:pStyle w:val="ECDSMarginHead"/>
            </w:pPr>
            <w:r w:rsidRPr="005D4222">
              <w:t>Measure ID</w:t>
            </w:r>
          </w:p>
        </w:tc>
        <w:tc>
          <w:tcPr>
            <w:tcW w:w="1079" w:type="dxa"/>
            <w:tcMar>
              <w:top w:w="0" w:type="dxa"/>
              <w:left w:w="86" w:type="dxa"/>
              <w:bottom w:w="43" w:type="dxa"/>
              <w:right w:w="86" w:type="dxa"/>
            </w:tcMar>
          </w:tcPr>
          <w:p w14:paraId="0473B784" w14:textId="77777777" w:rsidR="00310280" w:rsidRPr="005D4222" w:rsidRDefault="00310280" w:rsidP="00A53E8C">
            <w:pPr>
              <w:pStyle w:val="ECDSBody"/>
            </w:pPr>
            <w:r w:rsidRPr="005D4222">
              <w:t>ASF-E</w:t>
            </w:r>
          </w:p>
        </w:tc>
      </w:tr>
      <w:tr w:rsidR="00310280" w:rsidRPr="005D4222" w14:paraId="3D4060F5" w14:textId="77777777" w:rsidTr="00A53E8C">
        <w:tc>
          <w:tcPr>
            <w:tcW w:w="2157" w:type="dxa"/>
            <w:shd w:val="clear" w:color="auto" w:fill="BFBFBF" w:themeFill="background1" w:themeFillShade="BF"/>
            <w:tcMar>
              <w:top w:w="0" w:type="dxa"/>
              <w:left w:w="86" w:type="dxa"/>
              <w:bottom w:w="43" w:type="dxa"/>
              <w:right w:w="86" w:type="dxa"/>
            </w:tcMar>
            <w:hideMark/>
          </w:tcPr>
          <w:p w14:paraId="3DA33153" w14:textId="77777777" w:rsidR="00310280" w:rsidRPr="005D4222" w:rsidRDefault="00310280" w:rsidP="00A53E8C">
            <w:pPr>
              <w:pStyle w:val="ECDSMarginHead"/>
            </w:pPr>
            <w:r w:rsidRPr="005D4222">
              <w:t>Description</w:t>
            </w:r>
          </w:p>
        </w:tc>
        <w:tc>
          <w:tcPr>
            <w:tcW w:w="7559" w:type="dxa"/>
            <w:gridSpan w:val="3"/>
            <w:tcMar>
              <w:top w:w="0" w:type="dxa"/>
              <w:left w:w="86" w:type="dxa"/>
              <w:bottom w:w="43" w:type="dxa"/>
              <w:right w:w="86" w:type="dxa"/>
            </w:tcMar>
          </w:tcPr>
          <w:p w14:paraId="38A80C0D" w14:textId="77777777" w:rsidR="00310280" w:rsidRPr="005D4222" w:rsidRDefault="00310280" w:rsidP="00A53E8C">
            <w:pPr>
              <w:pStyle w:val="ECDSBody"/>
            </w:pPr>
            <w:r w:rsidRPr="005D4222">
              <w:t>The percentage of persons 18 years of age and older who were screened for unhealthy alcohol use using a standardized instrument and, if screened positive, received appropriate follow-up care.</w:t>
            </w:r>
          </w:p>
          <w:p w14:paraId="21E332D4" w14:textId="77777777" w:rsidR="00310280" w:rsidRPr="005D4222" w:rsidRDefault="00310280" w:rsidP="00310280">
            <w:pPr>
              <w:pStyle w:val="Bullet"/>
              <w:numPr>
                <w:ilvl w:val="0"/>
                <w:numId w:val="4"/>
              </w:numPr>
              <w:tabs>
                <w:tab w:val="left" w:pos="360"/>
                <w:tab w:val="left" w:pos="576"/>
              </w:tabs>
              <w:ind w:left="576" w:hanging="216"/>
              <w:rPr>
                <w:szCs w:val="21"/>
              </w:rPr>
            </w:pPr>
            <w:r w:rsidRPr="005D4222">
              <w:rPr>
                <w:i/>
                <w:szCs w:val="21"/>
              </w:rPr>
              <w:t>Unhealthy Alcohol Use Screening.</w:t>
            </w:r>
            <w:r w:rsidRPr="005D4222">
              <w:rPr>
                <w:szCs w:val="21"/>
              </w:rPr>
              <w:t xml:space="preserve"> The percentage of persons who had a systematic screening for unhealthy alcohol use.</w:t>
            </w:r>
          </w:p>
          <w:p w14:paraId="2421BC45" w14:textId="77777777" w:rsidR="00310280" w:rsidRPr="005D4222" w:rsidRDefault="00310280" w:rsidP="00310280">
            <w:pPr>
              <w:pStyle w:val="Bullet"/>
              <w:numPr>
                <w:ilvl w:val="0"/>
                <w:numId w:val="4"/>
              </w:numPr>
              <w:tabs>
                <w:tab w:val="left" w:pos="360"/>
                <w:tab w:val="left" w:pos="576"/>
              </w:tabs>
              <w:spacing w:after="80"/>
              <w:ind w:left="576" w:hanging="216"/>
              <w:rPr>
                <w:szCs w:val="21"/>
              </w:rPr>
            </w:pPr>
            <w:r w:rsidRPr="005D4222">
              <w:rPr>
                <w:i/>
                <w:szCs w:val="21"/>
              </w:rPr>
              <w:t xml:space="preserve">Follow-Up Care on Positive Screen. </w:t>
            </w:r>
            <w:r w:rsidRPr="005D4222">
              <w:rPr>
                <w:szCs w:val="21"/>
              </w:rPr>
              <w:t>The percentage of persons receiving brief counseling or other follow-up care within 60 days (2 months) of screening positive for unhealthy alcohol use.</w:t>
            </w:r>
          </w:p>
        </w:tc>
      </w:tr>
      <w:tr w:rsidR="00310280" w:rsidRPr="005D4222" w14:paraId="6F0C107F" w14:textId="77777777" w:rsidTr="00A53E8C">
        <w:tc>
          <w:tcPr>
            <w:tcW w:w="2157" w:type="dxa"/>
            <w:shd w:val="clear" w:color="auto" w:fill="BFBFBF" w:themeFill="background1" w:themeFillShade="BF"/>
            <w:tcMar>
              <w:top w:w="0" w:type="dxa"/>
              <w:left w:w="86" w:type="dxa"/>
              <w:bottom w:w="43" w:type="dxa"/>
              <w:right w:w="86" w:type="dxa"/>
            </w:tcMar>
          </w:tcPr>
          <w:p w14:paraId="69D47230" w14:textId="77777777" w:rsidR="00310280" w:rsidRPr="005D4222" w:rsidRDefault="00310280" w:rsidP="00A53E8C">
            <w:pPr>
              <w:pStyle w:val="ECDSMarginHead"/>
            </w:pPr>
            <w:r w:rsidRPr="005D4222">
              <w:t>Measurement period</w:t>
            </w:r>
          </w:p>
        </w:tc>
        <w:tc>
          <w:tcPr>
            <w:tcW w:w="7559" w:type="dxa"/>
            <w:gridSpan w:val="3"/>
            <w:tcMar>
              <w:top w:w="0" w:type="dxa"/>
              <w:left w:w="86" w:type="dxa"/>
              <w:bottom w:w="43" w:type="dxa"/>
              <w:right w:w="86" w:type="dxa"/>
            </w:tcMar>
          </w:tcPr>
          <w:p w14:paraId="162D9DD1" w14:textId="77777777" w:rsidR="00310280" w:rsidRPr="005D4222" w:rsidRDefault="00310280" w:rsidP="00A53E8C">
            <w:pPr>
              <w:pStyle w:val="ECDSBody"/>
            </w:pPr>
            <w:r w:rsidRPr="005D4222">
              <w:t>January 1–December 31.</w:t>
            </w:r>
          </w:p>
        </w:tc>
      </w:tr>
      <w:tr w:rsidR="00310280" w:rsidRPr="005D4222" w14:paraId="62C0B33C" w14:textId="77777777" w:rsidTr="00A53E8C">
        <w:tc>
          <w:tcPr>
            <w:tcW w:w="2157" w:type="dxa"/>
            <w:shd w:val="clear" w:color="auto" w:fill="BFBFBF" w:themeFill="background1" w:themeFillShade="BF"/>
            <w:tcMar>
              <w:top w:w="0" w:type="dxa"/>
              <w:left w:w="86" w:type="dxa"/>
              <w:bottom w:w="43" w:type="dxa"/>
              <w:right w:w="86" w:type="dxa"/>
            </w:tcMar>
            <w:hideMark/>
          </w:tcPr>
          <w:p w14:paraId="3CE1D378" w14:textId="77777777" w:rsidR="00310280" w:rsidRPr="005D4222" w:rsidRDefault="00310280" w:rsidP="00A53E8C">
            <w:pPr>
              <w:pStyle w:val="ECDSMarginHead"/>
              <w:rPr>
                <w:rFonts w:eastAsia="Arial"/>
              </w:rPr>
            </w:pPr>
            <w:r w:rsidRPr="005D4222">
              <w:rPr>
                <w:rFonts w:eastAsia="Arial"/>
              </w:rPr>
              <w:t>Copyright and disclaimer notice</w:t>
            </w:r>
          </w:p>
        </w:tc>
        <w:tc>
          <w:tcPr>
            <w:tcW w:w="7559" w:type="dxa"/>
            <w:gridSpan w:val="3"/>
            <w:tcMar>
              <w:top w:w="0" w:type="dxa"/>
              <w:left w:w="86" w:type="dxa"/>
              <w:bottom w:w="43" w:type="dxa"/>
              <w:right w:w="86" w:type="dxa"/>
            </w:tcMar>
          </w:tcPr>
          <w:p w14:paraId="3E7A7BD5" w14:textId="77777777" w:rsidR="00310280" w:rsidRPr="005D4222" w:rsidRDefault="00310280" w:rsidP="00A53E8C">
            <w:pPr>
              <w:pStyle w:val="ECDSBody"/>
              <w:ind w:left="92" w:hanging="92"/>
              <w:rPr>
                <w:i/>
                <w:iCs/>
              </w:rPr>
            </w:pPr>
            <w:r w:rsidRPr="005D4222">
              <w:rPr>
                <w:i/>
                <w:iCs/>
              </w:rPr>
              <w:t>*</w:t>
            </w:r>
            <w:r w:rsidRPr="005D4222">
              <w:rPr>
                <w:i/>
                <w:iCs/>
              </w:rPr>
              <w:tab/>
              <w:t>Adapted with financial support from the Substance Abuse and Mental Health Services Administration (SAMHSA) and with permission from the measure developer, the American Medical Association (AMA).</w:t>
            </w:r>
          </w:p>
          <w:p w14:paraId="7BED8107" w14:textId="77777777" w:rsidR="00310280" w:rsidRPr="005D4222" w:rsidRDefault="00310280" w:rsidP="00A53E8C">
            <w:pPr>
              <w:pStyle w:val="ECDSBody"/>
              <w:spacing w:before="80"/>
            </w:pPr>
            <w:r w:rsidRPr="005D4222">
              <w:t xml:space="preserve">Refer to the complete copyright and disclaimer information at the front of this publication. </w:t>
            </w:r>
          </w:p>
          <w:p w14:paraId="617BE3E6" w14:textId="77777777" w:rsidR="00310280" w:rsidRPr="005D4222" w:rsidRDefault="00310280" w:rsidP="00A53E8C">
            <w:pPr>
              <w:pStyle w:val="ECDSBody"/>
              <w:spacing w:before="80"/>
            </w:pPr>
            <w:r w:rsidRPr="005D4222">
              <w:t xml:space="preserve">NCQA website: </w:t>
            </w:r>
            <w:r w:rsidRPr="005D4222">
              <w:rPr>
                <w:u w:val="single"/>
              </w:rPr>
              <w:t>www.ncqa.org</w:t>
            </w:r>
            <w:r w:rsidRPr="005D4222">
              <w:rPr>
                <w:rStyle w:val="Hyperlink"/>
              </w:rPr>
              <w:t>.</w:t>
            </w:r>
            <w:r w:rsidRPr="005D4222">
              <w:t xml:space="preserve"> </w:t>
            </w:r>
          </w:p>
          <w:p w14:paraId="68E2E038" w14:textId="77777777" w:rsidR="00310280" w:rsidRPr="005D4222" w:rsidRDefault="00310280" w:rsidP="00A53E8C">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310280" w:rsidRPr="005D4222" w14:paraId="7306137E" w14:textId="77777777" w:rsidTr="00A53E8C">
        <w:trPr>
          <w:trHeight w:val="655"/>
        </w:trPr>
        <w:tc>
          <w:tcPr>
            <w:tcW w:w="2157" w:type="dxa"/>
            <w:shd w:val="clear" w:color="auto" w:fill="BFBFBF" w:themeFill="background1" w:themeFillShade="BF"/>
            <w:tcMar>
              <w:top w:w="0" w:type="dxa"/>
              <w:left w:w="86" w:type="dxa"/>
              <w:bottom w:w="43" w:type="dxa"/>
              <w:right w:w="86" w:type="dxa"/>
            </w:tcMar>
            <w:hideMark/>
          </w:tcPr>
          <w:p w14:paraId="15A8FE69" w14:textId="77777777" w:rsidR="00310280" w:rsidRPr="005D4222" w:rsidRDefault="00310280" w:rsidP="00A53E8C">
            <w:pPr>
              <w:pStyle w:val="ECDSMarginHead"/>
            </w:pPr>
            <w:r w:rsidRPr="005D4222">
              <w:t>Clinical recommendation statement/ rationale</w:t>
            </w:r>
          </w:p>
        </w:tc>
        <w:tc>
          <w:tcPr>
            <w:tcW w:w="7559" w:type="dxa"/>
            <w:gridSpan w:val="3"/>
            <w:tcMar>
              <w:top w:w="0" w:type="dxa"/>
              <w:left w:w="86" w:type="dxa"/>
              <w:bottom w:w="43" w:type="dxa"/>
              <w:right w:w="86" w:type="dxa"/>
            </w:tcMar>
          </w:tcPr>
          <w:p w14:paraId="0F34AE0E" w14:textId="77777777" w:rsidR="00310280" w:rsidRPr="005D4222" w:rsidRDefault="00310280" w:rsidP="00A53E8C">
            <w:pPr>
              <w:pStyle w:val="ECDSBody"/>
            </w:pPr>
            <w:r w:rsidRPr="005D4222">
              <w:rPr>
                <w:kern w:val="20"/>
              </w:rPr>
              <w:t>The U.S. Preventive Services Task Force recommends that clinicians screen adults aged 18 years or older for alcohol misuse and provide brief behavioral counseling interventions to those who misuse alcohol. (B recommendation).</w:t>
            </w:r>
          </w:p>
        </w:tc>
      </w:tr>
      <w:tr w:rsidR="00310280" w:rsidRPr="005D4222" w14:paraId="0D5A963E" w14:textId="77777777" w:rsidTr="00A53E8C">
        <w:tc>
          <w:tcPr>
            <w:tcW w:w="2157" w:type="dxa"/>
            <w:shd w:val="clear" w:color="auto" w:fill="BFBFBF" w:themeFill="background1" w:themeFillShade="BF"/>
            <w:tcMar>
              <w:top w:w="0" w:type="dxa"/>
              <w:left w:w="86" w:type="dxa"/>
              <w:bottom w:w="43" w:type="dxa"/>
              <w:right w:w="86" w:type="dxa"/>
            </w:tcMar>
          </w:tcPr>
          <w:p w14:paraId="4B26C2C2" w14:textId="77777777" w:rsidR="00310280" w:rsidRPr="005D4222" w:rsidRDefault="00310280" w:rsidP="00A53E8C">
            <w:pPr>
              <w:pStyle w:val="ECDSMarginHead"/>
            </w:pPr>
            <w:r w:rsidRPr="005D4222">
              <w:t>Citations</w:t>
            </w:r>
          </w:p>
        </w:tc>
        <w:tc>
          <w:tcPr>
            <w:tcW w:w="7559" w:type="dxa"/>
            <w:gridSpan w:val="3"/>
            <w:tcMar>
              <w:top w:w="0" w:type="dxa"/>
              <w:left w:w="86" w:type="dxa"/>
              <w:bottom w:w="43" w:type="dxa"/>
              <w:right w:w="86" w:type="dxa"/>
            </w:tcMar>
          </w:tcPr>
          <w:p w14:paraId="290A5B3A" w14:textId="77777777" w:rsidR="00310280" w:rsidRPr="005D4222" w:rsidRDefault="00310280" w:rsidP="00A53E8C">
            <w:pPr>
              <w:pStyle w:val="ECDSBody"/>
            </w:pPr>
            <w:r w:rsidRPr="005D4222">
              <w:t xml:space="preserve">U.S. Preventive Services Task Force. 2018. “Unhealthy Alcohol Use in Adolescents and Adults: Screening and Behavioral Counseling Interventions.” </w:t>
            </w:r>
            <w:r w:rsidRPr="005D4222">
              <w:rPr>
                <w:i/>
                <w:iCs/>
              </w:rPr>
              <w:t>JAMA</w:t>
            </w:r>
            <w:r w:rsidRPr="005D4222">
              <w:t xml:space="preserve"> 320(18):1899–909. doi: 10.1001/jama.2018.16789.</w:t>
            </w:r>
          </w:p>
        </w:tc>
      </w:tr>
      <w:tr w:rsidR="00310280" w:rsidRPr="005D4222" w14:paraId="7BF5252B" w14:textId="77777777" w:rsidTr="00A53E8C">
        <w:tc>
          <w:tcPr>
            <w:tcW w:w="9716"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674277A7" w14:textId="77777777" w:rsidR="00310280" w:rsidRPr="005D4222" w:rsidRDefault="00310280" w:rsidP="00A53E8C">
            <w:pPr>
              <w:pStyle w:val="ECDSMarginHead"/>
            </w:pPr>
            <w:r w:rsidRPr="005D4222">
              <w:t>Characteristics</w:t>
            </w:r>
          </w:p>
        </w:tc>
      </w:tr>
      <w:tr w:rsidR="00310280" w:rsidRPr="005D4222" w14:paraId="2D119F2B" w14:textId="77777777" w:rsidTr="00A53E8C">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069FEB38" w14:textId="77777777" w:rsidR="00310280" w:rsidRPr="005D4222" w:rsidRDefault="00310280" w:rsidP="00310280">
            <w:pPr>
              <w:pStyle w:val="ECDSSubhead"/>
            </w:pPr>
            <w:r w:rsidRPr="005D4222">
              <w:t>Scoring</w:t>
            </w:r>
          </w:p>
        </w:tc>
        <w:tc>
          <w:tcPr>
            <w:tcW w:w="7559"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400F7BEA" w14:textId="77777777" w:rsidR="00310280" w:rsidRPr="005D4222" w:rsidRDefault="00310280" w:rsidP="00A53E8C">
            <w:pPr>
              <w:pStyle w:val="ECDSBody"/>
              <w:spacing w:after="0"/>
            </w:pPr>
            <w:r w:rsidRPr="005D4222">
              <w:t>Proportion.</w:t>
            </w:r>
          </w:p>
        </w:tc>
      </w:tr>
      <w:tr w:rsidR="00310280" w:rsidRPr="005D4222" w14:paraId="5BBC033C"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18140253" w14:textId="77777777" w:rsidR="00310280" w:rsidRPr="005D4222" w:rsidRDefault="00310280" w:rsidP="00310280">
            <w:pPr>
              <w:pStyle w:val="ECDSSubhead"/>
            </w:pPr>
            <w:r w:rsidRPr="005D4222">
              <w:t>Type</w:t>
            </w:r>
          </w:p>
        </w:tc>
        <w:tc>
          <w:tcPr>
            <w:tcW w:w="7559" w:type="dxa"/>
            <w:gridSpan w:val="3"/>
            <w:tcBorders>
              <w:top w:val="nil"/>
              <w:left w:val="single" w:sz="4" w:space="0" w:color="auto"/>
              <w:bottom w:val="nil"/>
              <w:right w:val="single" w:sz="4" w:space="0" w:color="auto"/>
            </w:tcBorders>
            <w:tcMar>
              <w:top w:w="0" w:type="dxa"/>
              <w:left w:w="86" w:type="dxa"/>
              <w:bottom w:w="43" w:type="dxa"/>
              <w:right w:w="86" w:type="dxa"/>
            </w:tcMar>
          </w:tcPr>
          <w:p w14:paraId="52A9EB7D" w14:textId="77777777" w:rsidR="00310280" w:rsidRPr="005D4222" w:rsidRDefault="00310280" w:rsidP="00A53E8C">
            <w:pPr>
              <w:pStyle w:val="ECDSBody"/>
              <w:spacing w:after="0"/>
            </w:pPr>
            <w:r w:rsidRPr="005D4222">
              <w:t>Process.</w:t>
            </w:r>
          </w:p>
        </w:tc>
      </w:tr>
      <w:tr w:rsidR="00310280" w:rsidRPr="005D4222" w14:paraId="2520598B" w14:textId="77777777" w:rsidTr="00310280">
        <w:trPr>
          <w:trHeight w:val="922"/>
        </w:trPr>
        <w:tc>
          <w:tcPr>
            <w:tcW w:w="2157" w:type="dxa"/>
            <w:tcBorders>
              <w:top w:val="nil"/>
              <w:left w:val="single" w:sz="4" w:space="0" w:color="auto"/>
              <w:bottom w:val="nil"/>
              <w:right w:val="single" w:sz="4" w:space="0" w:color="auto"/>
            </w:tcBorders>
            <w:tcMar>
              <w:top w:w="0" w:type="dxa"/>
              <w:left w:w="86" w:type="dxa"/>
              <w:bottom w:w="43" w:type="dxa"/>
              <w:right w:w="86" w:type="dxa"/>
            </w:tcMar>
          </w:tcPr>
          <w:p w14:paraId="56D4F30E" w14:textId="3A6996F3" w:rsidR="00310280" w:rsidRPr="005D4222" w:rsidRDefault="00B51CDC" w:rsidP="00310280">
            <w:pPr>
              <w:pStyle w:val="ECDSSubhead"/>
            </w:pPr>
            <w:r w:rsidRPr="005D4222">
              <w:t>Product lines</w:t>
            </w:r>
          </w:p>
        </w:tc>
        <w:tc>
          <w:tcPr>
            <w:tcW w:w="7559" w:type="dxa"/>
            <w:gridSpan w:val="3"/>
            <w:tcBorders>
              <w:top w:val="nil"/>
              <w:left w:val="single" w:sz="4" w:space="0" w:color="auto"/>
              <w:bottom w:val="nil"/>
              <w:right w:val="single" w:sz="4" w:space="0" w:color="auto"/>
            </w:tcBorders>
            <w:tcMar>
              <w:top w:w="0" w:type="dxa"/>
              <w:left w:w="86" w:type="dxa"/>
              <w:bottom w:w="43" w:type="dxa"/>
              <w:right w:w="86" w:type="dxa"/>
            </w:tcMar>
          </w:tcPr>
          <w:p w14:paraId="427D4D42" w14:textId="77777777" w:rsidR="00310280" w:rsidRPr="005D4222" w:rsidRDefault="00310280" w:rsidP="005D6173">
            <w:pPr>
              <w:pStyle w:val="ProcessBullet"/>
              <w:numPr>
                <w:ilvl w:val="0"/>
                <w:numId w:val="98"/>
              </w:numPr>
              <w:spacing w:before="120"/>
              <w:ind w:left="216" w:hanging="216"/>
            </w:pPr>
            <w:r w:rsidRPr="005D4222">
              <w:t>Commercial.</w:t>
            </w:r>
          </w:p>
          <w:p w14:paraId="5C09A967" w14:textId="77777777" w:rsidR="00310280" w:rsidRPr="005D4222" w:rsidRDefault="00310280" w:rsidP="005D6173">
            <w:pPr>
              <w:pStyle w:val="ProcessBullet"/>
              <w:numPr>
                <w:ilvl w:val="0"/>
                <w:numId w:val="98"/>
              </w:numPr>
              <w:ind w:left="216" w:hanging="216"/>
            </w:pPr>
            <w:r w:rsidRPr="005D4222">
              <w:t xml:space="preserve">Medicaid. </w:t>
            </w:r>
          </w:p>
          <w:p w14:paraId="79B4B8BE" w14:textId="77777777" w:rsidR="00310280" w:rsidRPr="005D4222" w:rsidRDefault="00310280" w:rsidP="005D6173">
            <w:pPr>
              <w:pStyle w:val="ProcessBullet"/>
              <w:numPr>
                <w:ilvl w:val="0"/>
                <w:numId w:val="98"/>
              </w:numPr>
              <w:ind w:left="216" w:hanging="216"/>
            </w:pPr>
            <w:r w:rsidRPr="005D4222">
              <w:t>Medicare.</w:t>
            </w:r>
          </w:p>
        </w:tc>
      </w:tr>
      <w:tr w:rsidR="00310280" w:rsidRPr="005D4222" w14:paraId="67E7EDDD" w14:textId="77777777" w:rsidTr="00310280">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65180189" w14:textId="6C0DE8AB" w:rsidR="00310280" w:rsidRPr="005D4222" w:rsidRDefault="00B51CDC" w:rsidP="00310280">
            <w:pPr>
              <w:pStyle w:val="ECDSSubhead"/>
            </w:pPr>
            <w:r w:rsidRPr="005D4222">
              <w:t>Stratifications</w:t>
            </w:r>
          </w:p>
        </w:tc>
        <w:tc>
          <w:tcPr>
            <w:tcW w:w="7559"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hideMark/>
          </w:tcPr>
          <w:p w14:paraId="64FFCF04" w14:textId="77777777" w:rsidR="00310280" w:rsidRPr="005D4222" w:rsidRDefault="00310280" w:rsidP="00A53E8C">
            <w:pPr>
              <w:pStyle w:val="ECDSBody"/>
              <w:rPr>
                <w:rFonts w:eastAsia="Arial,Arial,Arial,Arial,Arial,A"/>
              </w:rPr>
            </w:pPr>
            <w:r w:rsidRPr="005D4222">
              <w:rPr>
                <w:rFonts w:eastAsia="Arial,Arial,Arial,Arial,Arial,A"/>
              </w:rPr>
              <w:t>Age</w:t>
            </w:r>
            <w:r w:rsidRPr="005D4222">
              <w:t xml:space="preserve"> </w:t>
            </w:r>
            <w:r w:rsidRPr="005D4222">
              <w:rPr>
                <w:rFonts w:eastAsia="Arial,Arial,Arial,Arial,Arial,A"/>
              </w:rPr>
              <w:t>as of the start of the measurement period.</w:t>
            </w:r>
          </w:p>
          <w:p w14:paraId="44B5BC05" w14:textId="77777777" w:rsidR="00310280" w:rsidRPr="005D4222" w:rsidRDefault="00310280" w:rsidP="00310280">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18–44 years.</w:t>
            </w:r>
          </w:p>
          <w:p w14:paraId="0AFAF76B" w14:textId="77777777" w:rsidR="00310280" w:rsidRPr="005D4222" w:rsidRDefault="00310280" w:rsidP="00310280">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45–64 years.</w:t>
            </w:r>
          </w:p>
          <w:p w14:paraId="58F2710D" w14:textId="77777777" w:rsidR="00310280" w:rsidRPr="005D4222" w:rsidRDefault="00310280" w:rsidP="00310280">
            <w:pPr>
              <w:pStyle w:val="Bullet"/>
              <w:numPr>
                <w:ilvl w:val="0"/>
                <w:numId w:val="4"/>
              </w:numPr>
              <w:tabs>
                <w:tab w:val="left" w:pos="360"/>
                <w:tab w:val="left" w:pos="576"/>
              </w:tabs>
              <w:spacing w:after="80"/>
              <w:ind w:left="576" w:hanging="216"/>
              <w:rPr>
                <w:rFonts w:eastAsia="Arial,Arial,Arial,Arial,Arial,A"/>
              </w:rPr>
            </w:pPr>
            <w:r w:rsidRPr="005D4222">
              <w:rPr>
                <w:rFonts w:eastAsia="Arial,Arial,Arial,Arial,Arial,A"/>
              </w:rPr>
              <w:t>65 years and older.</w:t>
            </w:r>
          </w:p>
        </w:tc>
      </w:tr>
      <w:tr w:rsidR="00310280" w:rsidRPr="005D4222" w14:paraId="0F25E25E" w14:textId="77777777" w:rsidTr="00310280">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479D37F0" w14:textId="77777777" w:rsidR="00310280" w:rsidRPr="005D4222" w:rsidRDefault="00310280" w:rsidP="00310280">
            <w:pPr>
              <w:pStyle w:val="ECDSSubhead"/>
            </w:pPr>
            <w:r w:rsidRPr="005D4222">
              <w:lastRenderedPageBreak/>
              <w:t>Risk adjustment</w:t>
            </w:r>
          </w:p>
        </w:tc>
        <w:tc>
          <w:tcPr>
            <w:tcW w:w="7559"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7577C74E" w14:textId="77777777" w:rsidR="00310280" w:rsidRPr="005D4222" w:rsidRDefault="00310280" w:rsidP="00310280">
            <w:pPr>
              <w:pStyle w:val="ECDSBody"/>
              <w:spacing w:after="0"/>
            </w:pPr>
            <w:r w:rsidRPr="005D4222">
              <w:t>None.</w:t>
            </w:r>
          </w:p>
        </w:tc>
      </w:tr>
      <w:tr w:rsidR="00310280" w:rsidRPr="005D4222" w14:paraId="334A1B0F" w14:textId="77777777" w:rsidTr="00310280">
        <w:tc>
          <w:tcPr>
            <w:tcW w:w="2157" w:type="dxa"/>
            <w:tcBorders>
              <w:top w:val="nil"/>
              <w:left w:val="single" w:sz="4" w:space="0" w:color="auto"/>
              <w:bottom w:val="nil"/>
              <w:right w:val="single" w:sz="4" w:space="0" w:color="auto"/>
            </w:tcBorders>
            <w:tcMar>
              <w:top w:w="0" w:type="dxa"/>
              <w:left w:w="86" w:type="dxa"/>
              <w:bottom w:w="43" w:type="dxa"/>
              <w:right w:w="86" w:type="dxa"/>
            </w:tcMar>
          </w:tcPr>
          <w:p w14:paraId="3B69DA55" w14:textId="77777777" w:rsidR="00310280" w:rsidRPr="005D4222" w:rsidRDefault="00310280" w:rsidP="00310280">
            <w:pPr>
              <w:pStyle w:val="ECDSSubhead"/>
            </w:pPr>
            <w:r w:rsidRPr="005D4222">
              <w:t>Improvement notation</w:t>
            </w:r>
          </w:p>
        </w:tc>
        <w:tc>
          <w:tcPr>
            <w:tcW w:w="7559"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66E9D2D5" w14:textId="77777777" w:rsidR="00310280" w:rsidRPr="005D4222" w:rsidRDefault="00310280" w:rsidP="00310280">
            <w:pPr>
              <w:pStyle w:val="ECDSBody"/>
              <w:spacing w:after="0"/>
            </w:pPr>
            <w:r w:rsidRPr="005D4222">
              <w:t>Increased score indicates improvement.</w:t>
            </w:r>
          </w:p>
        </w:tc>
      </w:tr>
      <w:tr w:rsidR="00310280" w:rsidRPr="005D4222" w14:paraId="7B467710" w14:textId="77777777" w:rsidTr="00A53E8C">
        <w:trPr>
          <w:trHeight w:val="633"/>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3CFCD495" w14:textId="77777777" w:rsidR="00310280" w:rsidRPr="005D4222" w:rsidRDefault="00310280" w:rsidP="00310280">
            <w:pPr>
              <w:pStyle w:val="ECDSSubhead"/>
            </w:pPr>
            <w:r w:rsidRPr="005D4222">
              <w:t>Guidance</w:t>
            </w:r>
          </w:p>
        </w:tc>
        <w:tc>
          <w:tcPr>
            <w:tcW w:w="7559"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4A743291" w14:textId="67BB4E90" w:rsidR="00310280" w:rsidRPr="005D4222" w:rsidRDefault="00310280" w:rsidP="00A53E8C">
            <w:pPr>
              <w:pStyle w:val="ECDSBody"/>
            </w:pPr>
            <w:r w:rsidRPr="005D4222">
              <w:rPr>
                <w:b/>
              </w:rPr>
              <w:t>Data collection methodology:</w:t>
            </w:r>
            <w:r w:rsidRPr="005D4222">
              <w:t xml:space="preserve"> ECDS. </w:t>
            </w:r>
            <w:hyperlink w:anchor="General_Guideline_Data_Collection_Method" w:history="1">
              <w:r w:rsidRPr="005D4222">
                <w:rPr>
                  <w:rStyle w:val="Hyperlink"/>
                </w:rPr>
                <w:t xml:space="preserve">Refer to </w:t>
              </w:r>
              <w:r w:rsidRPr="005D4222">
                <w:rPr>
                  <w:rStyle w:val="Hyperlink"/>
                  <w:i/>
                  <w:iCs/>
                </w:rPr>
                <w:t>General Guideline: Data Collection Methods</w:t>
              </w:r>
            </w:hyperlink>
            <w:r w:rsidRPr="005D4222">
              <w:t xml:space="preserve"> for additional information.</w:t>
            </w:r>
          </w:p>
          <w:p w14:paraId="66C4C7BB" w14:textId="77777777" w:rsidR="00310280" w:rsidRPr="005D4222" w:rsidRDefault="00310280" w:rsidP="00A53E8C">
            <w:pPr>
              <w:pStyle w:val="ECDSBody"/>
            </w:pPr>
            <w:r w:rsidRPr="005D4222">
              <w:rPr>
                <w:b/>
              </w:rPr>
              <w:t xml:space="preserve">Date specificity: </w:t>
            </w:r>
            <w:r w:rsidRPr="005D4222">
              <w:t>Dates must be specific enough to determine the event occurred in the period being measured.</w:t>
            </w:r>
          </w:p>
          <w:p w14:paraId="262F2FB8" w14:textId="77777777" w:rsidR="00310280" w:rsidRPr="005D4222" w:rsidRDefault="00310280" w:rsidP="00A53E8C">
            <w:pPr>
              <w:pStyle w:val="ECDSBody"/>
            </w:pPr>
            <w:r w:rsidRPr="005D4222">
              <w:rPr>
                <w:b/>
              </w:rPr>
              <w:t xml:space="preserve">Which services count? </w:t>
            </w:r>
            <w:r w:rsidRPr="005D4222">
              <w:t>When using claims, include all paid, suspended, pending and denied claims.</w:t>
            </w:r>
          </w:p>
        </w:tc>
      </w:tr>
      <w:tr w:rsidR="00310280" w:rsidRPr="005D4222" w14:paraId="51626EED" w14:textId="77777777" w:rsidTr="00A53E8C">
        <w:tc>
          <w:tcPr>
            <w:tcW w:w="9716" w:type="dxa"/>
            <w:gridSpan w:val="4"/>
            <w:tcBorders>
              <w:top w:val="single" w:sz="4" w:space="0" w:color="auto"/>
              <w:bottom w:val="nil"/>
            </w:tcBorders>
            <w:shd w:val="clear" w:color="auto" w:fill="BFBFBF" w:themeFill="background1" w:themeFillShade="BF"/>
            <w:tcMar>
              <w:top w:w="0" w:type="dxa"/>
              <w:left w:w="86" w:type="dxa"/>
              <w:bottom w:w="43" w:type="dxa"/>
              <w:right w:w="86" w:type="dxa"/>
            </w:tcMar>
          </w:tcPr>
          <w:p w14:paraId="59529D1E" w14:textId="77777777" w:rsidR="00310280" w:rsidRPr="005D4222" w:rsidRDefault="00310280" w:rsidP="00A53E8C">
            <w:pPr>
              <w:pStyle w:val="MarginHead"/>
            </w:pPr>
            <w:r w:rsidRPr="005D4222">
              <w:t xml:space="preserve">Definitions </w:t>
            </w:r>
          </w:p>
        </w:tc>
      </w:tr>
      <w:tr w:rsidR="00310280" w:rsidRPr="005D4222" w14:paraId="404100E9" w14:textId="77777777" w:rsidTr="007B5FC3">
        <w:tc>
          <w:tcPr>
            <w:tcW w:w="2157" w:type="dxa"/>
            <w:tcBorders>
              <w:top w:val="single" w:sz="4" w:space="0" w:color="auto"/>
              <w:bottom w:val="nil"/>
            </w:tcBorders>
            <w:tcMar>
              <w:top w:w="0" w:type="dxa"/>
              <w:left w:w="86" w:type="dxa"/>
              <w:bottom w:w="43" w:type="dxa"/>
              <w:right w:w="86" w:type="dxa"/>
            </w:tcMar>
          </w:tcPr>
          <w:p w14:paraId="48464A92" w14:textId="77777777" w:rsidR="00310280" w:rsidRPr="005D4222" w:rsidRDefault="00310280" w:rsidP="00E865B9">
            <w:pPr>
              <w:pStyle w:val="ECDSSubhead"/>
            </w:pPr>
            <w:r w:rsidRPr="005D4222">
              <w:t>Alcohol counseling or other follow-up care</w:t>
            </w:r>
          </w:p>
        </w:tc>
        <w:tc>
          <w:tcPr>
            <w:tcW w:w="7559" w:type="dxa"/>
            <w:gridSpan w:val="3"/>
            <w:tcBorders>
              <w:top w:val="single" w:sz="4" w:space="0" w:color="auto"/>
              <w:bottom w:val="nil"/>
            </w:tcBorders>
            <w:tcMar>
              <w:left w:w="86" w:type="dxa"/>
              <w:bottom w:w="43" w:type="dxa"/>
              <w:right w:w="86" w:type="dxa"/>
            </w:tcMar>
          </w:tcPr>
          <w:p w14:paraId="4BA7A006" w14:textId="77777777" w:rsidR="00310280" w:rsidRPr="005D4222" w:rsidRDefault="00310280" w:rsidP="00A53E8C">
            <w:pPr>
              <w:pStyle w:val="ECDSBody"/>
            </w:pPr>
            <w:r w:rsidRPr="005D4222">
              <w:t>Any of the following on or up to 60 days after the first positive screen:</w:t>
            </w:r>
          </w:p>
          <w:p w14:paraId="78B2EFFA" w14:textId="77777777" w:rsidR="00310280" w:rsidRPr="005D4222" w:rsidRDefault="00310280" w:rsidP="00310280">
            <w:pPr>
              <w:pStyle w:val="Bullet"/>
              <w:numPr>
                <w:ilvl w:val="0"/>
                <w:numId w:val="4"/>
              </w:numPr>
              <w:tabs>
                <w:tab w:val="left" w:pos="360"/>
                <w:tab w:val="left" w:pos="576"/>
              </w:tabs>
              <w:ind w:left="576" w:hanging="216"/>
              <w:rPr>
                <w:kern w:val="20"/>
                <w:szCs w:val="21"/>
              </w:rPr>
            </w:pPr>
            <w:r w:rsidRPr="005D4222">
              <w:rPr>
                <w:kern w:val="20"/>
                <w:szCs w:val="21"/>
              </w:rPr>
              <w:t>Feedback on alcohol use and harms.</w:t>
            </w:r>
          </w:p>
          <w:p w14:paraId="03AD35F2" w14:textId="77777777" w:rsidR="00310280" w:rsidRPr="005D4222" w:rsidRDefault="00310280" w:rsidP="00310280">
            <w:pPr>
              <w:pStyle w:val="Bullet"/>
              <w:numPr>
                <w:ilvl w:val="0"/>
                <w:numId w:val="4"/>
              </w:numPr>
              <w:tabs>
                <w:tab w:val="left" w:pos="360"/>
                <w:tab w:val="left" w:pos="576"/>
              </w:tabs>
              <w:ind w:left="576" w:hanging="216"/>
              <w:rPr>
                <w:kern w:val="20"/>
                <w:szCs w:val="21"/>
              </w:rPr>
            </w:pPr>
            <w:r w:rsidRPr="005D4222">
              <w:rPr>
                <w:kern w:val="20"/>
                <w:szCs w:val="21"/>
              </w:rPr>
              <w:t>Identification of high-risk situations for drinking and coping strategies.</w:t>
            </w:r>
          </w:p>
          <w:p w14:paraId="26FB3C96" w14:textId="77777777" w:rsidR="00310280" w:rsidRPr="005D4222" w:rsidRDefault="00310280" w:rsidP="00310280">
            <w:pPr>
              <w:pStyle w:val="Bullet"/>
              <w:numPr>
                <w:ilvl w:val="0"/>
                <w:numId w:val="4"/>
              </w:numPr>
              <w:tabs>
                <w:tab w:val="left" w:pos="360"/>
                <w:tab w:val="left" w:pos="576"/>
              </w:tabs>
              <w:ind w:left="576" w:hanging="216"/>
              <w:rPr>
                <w:kern w:val="20"/>
                <w:szCs w:val="21"/>
              </w:rPr>
            </w:pPr>
            <w:r w:rsidRPr="005D4222">
              <w:rPr>
                <w:kern w:val="20"/>
                <w:szCs w:val="21"/>
              </w:rPr>
              <w:t>Increase the motivation to reduce drinking.</w:t>
            </w:r>
          </w:p>
          <w:p w14:paraId="0F501EC3" w14:textId="77777777" w:rsidR="00310280" w:rsidRPr="005D4222" w:rsidRDefault="00310280" w:rsidP="00310280">
            <w:pPr>
              <w:pStyle w:val="Bullet"/>
              <w:numPr>
                <w:ilvl w:val="0"/>
                <w:numId w:val="4"/>
              </w:numPr>
              <w:tabs>
                <w:tab w:val="left" w:pos="360"/>
                <w:tab w:val="left" w:pos="576"/>
              </w:tabs>
              <w:ind w:left="576" w:hanging="216"/>
              <w:rPr>
                <w:rFonts w:cs="Arial"/>
                <w:szCs w:val="21"/>
              </w:rPr>
            </w:pPr>
            <w:r w:rsidRPr="005D4222">
              <w:rPr>
                <w:kern w:val="20"/>
                <w:szCs w:val="21"/>
              </w:rPr>
              <w:t>Development of a personal plan to reduce drinking.</w:t>
            </w:r>
          </w:p>
          <w:p w14:paraId="0FB8D145" w14:textId="77777777" w:rsidR="00310280" w:rsidRPr="005D4222" w:rsidRDefault="00310280" w:rsidP="00310280">
            <w:pPr>
              <w:pStyle w:val="Bullet"/>
              <w:numPr>
                <w:ilvl w:val="0"/>
                <w:numId w:val="4"/>
              </w:numPr>
              <w:tabs>
                <w:tab w:val="left" w:pos="360"/>
                <w:tab w:val="left" w:pos="576"/>
              </w:tabs>
              <w:ind w:left="576" w:hanging="216"/>
              <w:rPr>
                <w:rFonts w:cs="Arial"/>
                <w:szCs w:val="21"/>
              </w:rPr>
            </w:pPr>
            <w:r w:rsidRPr="005D4222">
              <w:rPr>
                <w:kern w:val="20"/>
              </w:rPr>
              <w:t>Documentation of receiving alcohol misuse treatment.</w:t>
            </w:r>
          </w:p>
        </w:tc>
      </w:tr>
      <w:tr w:rsidR="00310280" w:rsidRPr="005D4222" w14:paraId="3B36BB22" w14:textId="77777777" w:rsidTr="007B5FC3">
        <w:tc>
          <w:tcPr>
            <w:tcW w:w="2157" w:type="dxa"/>
            <w:tcBorders>
              <w:top w:val="nil"/>
              <w:bottom w:val="nil"/>
            </w:tcBorders>
            <w:tcMar>
              <w:top w:w="0" w:type="dxa"/>
              <w:left w:w="86" w:type="dxa"/>
              <w:bottom w:w="43" w:type="dxa"/>
              <w:right w:w="86" w:type="dxa"/>
            </w:tcMar>
          </w:tcPr>
          <w:p w14:paraId="18CCB101" w14:textId="77777777" w:rsidR="00310280" w:rsidRPr="005D4222" w:rsidRDefault="00310280" w:rsidP="00E865B9">
            <w:pPr>
              <w:pStyle w:val="ECDSSubhead"/>
            </w:pPr>
            <w:r w:rsidRPr="005D4222">
              <w:t>Unhealthy alcohol use screening</w:t>
            </w:r>
          </w:p>
        </w:tc>
        <w:tc>
          <w:tcPr>
            <w:tcW w:w="7559" w:type="dxa"/>
            <w:gridSpan w:val="3"/>
            <w:tcBorders>
              <w:top w:val="nil"/>
              <w:bottom w:val="nil"/>
            </w:tcBorders>
            <w:tcMar>
              <w:left w:w="86" w:type="dxa"/>
              <w:bottom w:w="43" w:type="dxa"/>
              <w:right w:w="86" w:type="dxa"/>
            </w:tcMar>
          </w:tcPr>
          <w:p w14:paraId="7FAF3C57" w14:textId="77777777" w:rsidR="00310280" w:rsidRPr="005D4222" w:rsidRDefault="00310280" w:rsidP="00A53E8C">
            <w:pPr>
              <w:pStyle w:val="ECDSBody"/>
            </w:pPr>
            <w:r w:rsidRPr="005D4222">
              <w:t>A standard assessment instrument that has been normalized and validated for the adult patient population. Eligible screening instruments with thresholds for positive findings include:</w:t>
            </w:r>
          </w:p>
          <w:tbl>
            <w:tblPr>
              <w:tblStyle w:val="TableGrid"/>
              <w:tblW w:w="5000" w:type="pct"/>
              <w:tblLayout w:type="fixed"/>
              <w:tblLook w:val="04A0" w:firstRow="1" w:lastRow="0" w:firstColumn="1" w:lastColumn="0" w:noHBand="0" w:noVBand="1"/>
            </w:tblPr>
            <w:tblGrid>
              <w:gridCol w:w="4047"/>
              <w:gridCol w:w="1620"/>
              <w:gridCol w:w="1710"/>
            </w:tblGrid>
            <w:tr w:rsidR="00310280" w:rsidRPr="005D4222" w14:paraId="21EB6D85" w14:textId="77777777" w:rsidTr="00A53E8C">
              <w:trPr>
                <w:trHeight w:val="255"/>
                <w:tblHeader/>
              </w:trPr>
              <w:tc>
                <w:tcPr>
                  <w:tcW w:w="4047" w:type="dxa"/>
                  <w:tcBorders>
                    <w:top w:val="single" w:sz="4" w:space="0" w:color="auto"/>
                    <w:left w:val="single" w:sz="4" w:space="0" w:color="auto"/>
                    <w:bottom w:val="single" w:sz="4" w:space="0" w:color="auto"/>
                    <w:right w:val="single" w:sz="4" w:space="0" w:color="FFFFFF" w:themeColor="background1"/>
                  </w:tcBorders>
                  <w:shd w:val="clear" w:color="auto" w:fill="000000" w:themeFill="text1"/>
                  <w:tcMar>
                    <w:left w:w="72" w:type="dxa"/>
                    <w:right w:w="72" w:type="dxa"/>
                  </w:tcMar>
                  <w:vAlign w:val="bottom"/>
                  <w:hideMark/>
                </w:tcPr>
                <w:p w14:paraId="00AAD2AA" w14:textId="77777777" w:rsidR="00310280" w:rsidRPr="005D4222" w:rsidRDefault="00310280" w:rsidP="00A53E8C">
                  <w:pPr>
                    <w:pStyle w:val="TableHead"/>
                    <w:rPr>
                      <w:rFonts w:ascii="Arial" w:hAnsi="Arial" w:cs="Arial"/>
                      <w:b w:val="0"/>
                      <w:kern w:val="20"/>
                      <w:sz w:val="20"/>
                    </w:rPr>
                  </w:pPr>
                  <w:r w:rsidRPr="005D4222">
                    <w:rPr>
                      <w:rFonts w:ascii="Arial" w:hAnsi="Arial" w:cs="Arial"/>
                      <w:sz w:val="20"/>
                    </w:rPr>
                    <w:t xml:space="preserve">Screening Instrument </w:t>
                  </w:r>
                </w:p>
              </w:tc>
              <w:tc>
                <w:tcPr>
                  <w:tcW w:w="162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cMar>
                    <w:left w:w="72" w:type="dxa"/>
                    <w:right w:w="72" w:type="dxa"/>
                  </w:tcMar>
                  <w:vAlign w:val="bottom"/>
                  <w:hideMark/>
                </w:tcPr>
                <w:p w14:paraId="34607D61" w14:textId="77777777" w:rsidR="00310280" w:rsidRPr="005D4222" w:rsidRDefault="00310280" w:rsidP="00A53E8C">
                  <w:pPr>
                    <w:pStyle w:val="TableHead"/>
                    <w:rPr>
                      <w:rFonts w:ascii="Arial" w:hAnsi="Arial" w:cs="Arial"/>
                      <w:b w:val="0"/>
                      <w:kern w:val="20"/>
                      <w:sz w:val="20"/>
                    </w:rPr>
                  </w:pPr>
                  <w:r w:rsidRPr="005D4222">
                    <w:rPr>
                      <w:rFonts w:ascii="Arial" w:hAnsi="Arial" w:cs="Arial"/>
                      <w:sz w:val="20"/>
                    </w:rPr>
                    <w:t>Total Score LOINC Codes</w:t>
                  </w:r>
                </w:p>
              </w:tc>
              <w:tc>
                <w:tcPr>
                  <w:tcW w:w="1710" w:type="dxa"/>
                  <w:tcBorders>
                    <w:top w:val="single" w:sz="4" w:space="0" w:color="auto"/>
                    <w:left w:val="single" w:sz="4" w:space="0" w:color="FFFFFF" w:themeColor="background1"/>
                    <w:bottom w:val="single" w:sz="4" w:space="0" w:color="auto"/>
                    <w:right w:val="single" w:sz="4" w:space="0" w:color="auto"/>
                  </w:tcBorders>
                  <w:shd w:val="clear" w:color="auto" w:fill="000000" w:themeFill="text1"/>
                  <w:tcMar>
                    <w:left w:w="72" w:type="dxa"/>
                    <w:right w:w="72" w:type="dxa"/>
                  </w:tcMar>
                  <w:vAlign w:val="bottom"/>
                  <w:hideMark/>
                </w:tcPr>
                <w:p w14:paraId="74B6BFDD" w14:textId="77777777" w:rsidR="00310280" w:rsidRPr="005D4222" w:rsidRDefault="00310280" w:rsidP="00A53E8C">
                  <w:pPr>
                    <w:pStyle w:val="TableHead"/>
                    <w:rPr>
                      <w:rFonts w:ascii="Arial" w:hAnsi="Arial" w:cs="Arial"/>
                      <w:b w:val="0"/>
                      <w:kern w:val="20"/>
                      <w:sz w:val="20"/>
                    </w:rPr>
                  </w:pPr>
                  <w:r w:rsidRPr="005D4222">
                    <w:rPr>
                      <w:rFonts w:ascii="Arial" w:hAnsi="Arial" w:cs="Arial"/>
                      <w:sz w:val="20"/>
                    </w:rPr>
                    <w:t>Positive Finding</w:t>
                  </w:r>
                </w:p>
              </w:tc>
            </w:tr>
            <w:tr w:rsidR="00310280" w:rsidRPr="005D4222" w14:paraId="17549538" w14:textId="77777777" w:rsidTr="00A53E8C">
              <w:trPr>
                <w:trHeight w:val="145"/>
              </w:trPr>
              <w:tc>
                <w:tcPr>
                  <w:tcW w:w="4047"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5FD55CA8" w14:textId="77777777" w:rsidR="00310280" w:rsidRPr="005D4222" w:rsidRDefault="00310280" w:rsidP="00A53E8C">
                  <w:pPr>
                    <w:pStyle w:val="TableParagraph"/>
                    <w:spacing w:before="80" w:after="80"/>
                    <w:rPr>
                      <w:rFonts w:cs="Arial"/>
                      <w:kern w:val="20"/>
                      <w:sz w:val="20"/>
                    </w:rPr>
                  </w:pPr>
                  <w:r w:rsidRPr="005D4222">
                    <w:rPr>
                      <w:rFonts w:cs="Arial"/>
                      <w:kern w:val="20"/>
                      <w:sz w:val="20"/>
                    </w:rPr>
                    <w:t>Alcohol Use Disorders Identification Test (AUDIT) screening instrument</w:t>
                  </w:r>
                </w:p>
              </w:tc>
              <w:tc>
                <w:tcPr>
                  <w:tcW w:w="162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175094F7" w14:textId="77777777" w:rsidR="00310280" w:rsidRPr="005D4222" w:rsidRDefault="00310280" w:rsidP="00A53E8C">
                  <w:pPr>
                    <w:pStyle w:val="TableParagraph"/>
                    <w:spacing w:before="80" w:after="80"/>
                    <w:rPr>
                      <w:rFonts w:cs="Arial"/>
                      <w:kern w:val="20"/>
                      <w:sz w:val="20"/>
                    </w:rPr>
                  </w:pPr>
                  <w:r w:rsidRPr="005D4222">
                    <w:rPr>
                      <w:rFonts w:cs="Arial"/>
                      <w:kern w:val="20"/>
                      <w:sz w:val="20"/>
                    </w:rPr>
                    <w:t>75624-7</w:t>
                  </w:r>
                </w:p>
              </w:tc>
              <w:tc>
                <w:tcPr>
                  <w:tcW w:w="171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096F8BD8" w14:textId="77777777" w:rsidR="00310280" w:rsidRPr="005D4222" w:rsidRDefault="00310280" w:rsidP="00A53E8C">
                  <w:pPr>
                    <w:pStyle w:val="TableParagraph"/>
                    <w:spacing w:before="80" w:after="80"/>
                    <w:rPr>
                      <w:rFonts w:cs="Arial"/>
                      <w:kern w:val="20"/>
                      <w:sz w:val="20"/>
                    </w:rPr>
                  </w:pPr>
                  <w:r w:rsidRPr="005D4222">
                    <w:rPr>
                      <w:rFonts w:cs="Arial"/>
                      <w:kern w:val="20"/>
                      <w:sz w:val="20"/>
                    </w:rPr>
                    <w:t>Total score ≥8</w:t>
                  </w:r>
                </w:p>
              </w:tc>
            </w:tr>
            <w:tr w:rsidR="00310280" w:rsidRPr="005D4222" w14:paraId="2658D9B7" w14:textId="77777777" w:rsidTr="00A53E8C">
              <w:trPr>
                <w:trHeight w:val="69"/>
              </w:trPr>
              <w:tc>
                <w:tcPr>
                  <w:tcW w:w="4047"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22ED3E37" w14:textId="77777777" w:rsidR="00310280" w:rsidRPr="005D4222" w:rsidRDefault="00310280" w:rsidP="00A53E8C">
                  <w:pPr>
                    <w:pStyle w:val="TableParagraph"/>
                    <w:spacing w:before="80" w:after="80"/>
                    <w:rPr>
                      <w:rFonts w:cs="Arial"/>
                      <w:kern w:val="20"/>
                      <w:sz w:val="20"/>
                    </w:rPr>
                  </w:pPr>
                  <w:r w:rsidRPr="005D4222">
                    <w:rPr>
                      <w:rFonts w:cs="Arial"/>
                      <w:kern w:val="20"/>
                      <w:sz w:val="20"/>
                    </w:rPr>
                    <w:t>Alcohol Use Disorders Identification Test Consumption (AUDIT-C) screening instrument</w:t>
                  </w:r>
                </w:p>
              </w:tc>
              <w:tc>
                <w:tcPr>
                  <w:tcW w:w="162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027898A7" w14:textId="77777777" w:rsidR="00310280" w:rsidRPr="005D4222" w:rsidRDefault="00310280" w:rsidP="00A53E8C">
                  <w:pPr>
                    <w:pStyle w:val="TableParagraph"/>
                    <w:spacing w:before="80" w:after="80"/>
                    <w:rPr>
                      <w:rFonts w:cs="Arial"/>
                      <w:kern w:val="20"/>
                      <w:sz w:val="20"/>
                    </w:rPr>
                  </w:pPr>
                  <w:r w:rsidRPr="005D4222">
                    <w:rPr>
                      <w:rFonts w:cs="Arial"/>
                      <w:kern w:val="20"/>
                      <w:sz w:val="20"/>
                    </w:rPr>
                    <w:t>75626-2</w:t>
                  </w:r>
                </w:p>
              </w:tc>
              <w:tc>
                <w:tcPr>
                  <w:tcW w:w="171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6784FBE2" w14:textId="77777777" w:rsidR="00310280" w:rsidRPr="005D4222" w:rsidRDefault="00310280" w:rsidP="00A53E8C">
                  <w:pPr>
                    <w:pStyle w:val="TableParagraph"/>
                    <w:spacing w:before="80" w:after="80"/>
                    <w:rPr>
                      <w:rFonts w:cs="Arial"/>
                      <w:kern w:val="20"/>
                      <w:sz w:val="20"/>
                    </w:rPr>
                  </w:pPr>
                  <w:r w:rsidRPr="005D4222">
                    <w:rPr>
                      <w:rFonts w:cs="Arial"/>
                      <w:kern w:val="20"/>
                      <w:sz w:val="20"/>
                    </w:rPr>
                    <w:t>Total score ≥4 for men</w:t>
                  </w:r>
                </w:p>
                <w:p w14:paraId="73BFF64D" w14:textId="77777777" w:rsidR="00310280" w:rsidRPr="005D4222" w:rsidRDefault="00310280" w:rsidP="00A53E8C">
                  <w:pPr>
                    <w:pStyle w:val="TableParagraph"/>
                    <w:spacing w:before="80" w:after="80"/>
                    <w:rPr>
                      <w:rFonts w:cs="Arial"/>
                      <w:kern w:val="20"/>
                      <w:sz w:val="20"/>
                    </w:rPr>
                  </w:pPr>
                  <w:r w:rsidRPr="005D4222">
                    <w:rPr>
                      <w:rFonts w:cs="Arial"/>
                      <w:kern w:val="20"/>
                      <w:sz w:val="20"/>
                    </w:rPr>
                    <w:t>Total score ≥3 for women</w:t>
                  </w:r>
                </w:p>
              </w:tc>
            </w:tr>
            <w:tr w:rsidR="00310280" w:rsidRPr="005D4222" w14:paraId="0FCA38A1" w14:textId="77777777" w:rsidTr="00A53E8C">
              <w:trPr>
                <w:trHeight w:val="255"/>
              </w:trPr>
              <w:tc>
                <w:tcPr>
                  <w:tcW w:w="4047"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39A51121" w14:textId="77777777" w:rsidR="00310280" w:rsidRPr="005D4222" w:rsidRDefault="00310280" w:rsidP="00A53E8C">
                  <w:pPr>
                    <w:pStyle w:val="TableParagraph"/>
                    <w:spacing w:before="80" w:after="80"/>
                    <w:rPr>
                      <w:rFonts w:cs="Arial"/>
                      <w:kern w:val="20"/>
                      <w:sz w:val="20"/>
                    </w:rPr>
                  </w:pPr>
                  <w:r w:rsidRPr="005D4222">
                    <w:rPr>
                      <w:rFonts w:cs="Arial"/>
                      <w:kern w:val="20"/>
                      <w:sz w:val="20"/>
                    </w:rPr>
                    <w:t>Single-question screen (for men): “How many times in the past year have you had 5 or more drinks in a day?”</w:t>
                  </w:r>
                </w:p>
              </w:tc>
              <w:tc>
                <w:tcPr>
                  <w:tcW w:w="162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0C8EFC0D" w14:textId="77777777" w:rsidR="00310280" w:rsidRPr="005D4222" w:rsidRDefault="00310280" w:rsidP="00A53E8C">
                  <w:pPr>
                    <w:pStyle w:val="TableParagraph"/>
                    <w:spacing w:before="80" w:after="80"/>
                    <w:rPr>
                      <w:rFonts w:cs="Arial"/>
                      <w:kern w:val="20"/>
                      <w:sz w:val="20"/>
                    </w:rPr>
                  </w:pPr>
                  <w:r w:rsidRPr="005D4222">
                    <w:rPr>
                      <w:rFonts w:cs="Arial"/>
                      <w:kern w:val="20"/>
                      <w:sz w:val="20"/>
                    </w:rPr>
                    <w:t>88037-7</w:t>
                  </w:r>
                </w:p>
              </w:tc>
              <w:tc>
                <w:tcPr>
                  <w:tcW w:w="171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64684920" w14:textId="77777777" w:rsidR="00310280" w:rsidRPr="005D4222" w:rsidRDefault="00310280" w:rsidP="00A53E8C">
                  <w:pPr>
                    <w:pStyle w:val="TableParagraph"/>
                    <w:spacing w:before="80" w:after="80"/>
                    <w:rPr>
                      <w:rFonts w:cs="Arial"/>
                      <w:kern w:val="20"/>
                      <w:sz w:val="20"/>
                    </w:rPr>
                  </w:pPr>
                  <w:r w:rsidRPr="005D4222">
                    <w:rPr>
                      <w:rFonts w:cs="Arial"/>
                      <w:kern w:val="20"/>
                      <w:sz w:val="20"/>
                    </w:rPr>
                    <w:t>Response ≥1</w:t>
                  </w:r>
                </w:p>
              </w:tc>
            </w:tr>
            <w:tr w:rsidR="00310280" w:rsidRPr="005D4222" w14:paraId="7295DB96" w14:textId="77777777" w:rsidTr="00A53E8C">
              <w:trPr>
                <w:trHeight w:val="255"/>
              </w:trPr>
              <w:tc>
                <w:tcPr>
                  <w:tcW w:w="4047"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5BEB3075" w14:textId="77777777" w:rsidR="00310280" w:rsidRPr="005D4222" w:rsidRDefault="00310280" w:rsidP="00A53E8C">
                  <w:pPr>
                    <w:pStyle w:val="TableParagraph"/>
                    <w:spacing w:before="80" w:after="80"/>
                    <w:rPr>
                      <w:rFonts w:cs="Arial"/>
                      <w:kern w:val="20"/>
                      <w:sz w:val="20"/>
                    </w:rPr>
                  </w:pPr>
                  <w:r w:rsidRPr="005D4222">
                    <w:rPr>
                      <w:rFonts w:cs="Arial"/>
                      <w:kern w:val="20"/>
                      <w:sz w:val="20"/>
                    </w:rPr>
                    <w:t>Single-question screen (for women and all adults older than 65 years): “How many times in the past year have you had 4 or more drinks in a day?”</w:t>
                  </w:r>
                </w:p>
              </w:tc>
              <w:tc>
                <w:tcPr>
                  <w:tcW w:w="162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68AEECA4" w14:textId="77777777" w:rsidR="00310280" w:rsidRPr="005D4222" w:rsidRDefault="00310280" w:rsidP="00A53E8C">
                  <w:pPr>
                    <w:pStyle w:val="TableParagraph"/>
                    <w:spacing w:before="80" w:after="80"/>
                    <w:rPr>
                      <w:rFonts w:cs="Arial"/>
                      <w:kern w:val="20"/>
                      <w:sz w:val="20"/>
                    </w:rPr>
                  </w:pPr>
                  <w:r w:rsidRPr="005D4222">
                    <w:rPr>
                      <w:rFonts w:cs="Arial"/>
                      <w:kern w:val="20"/>
                      <w:sz w:val="20"/>
                    </w:rPr>
                    <w:t>75889-6</w:t>
                  </w:r>
                </w:p>
              </w:tc>
              <w:tc>
                <w:tcPr>
                  <w:tcW w:w="1710" w:type="dxa"/>
                  <w:tcBorders>
                    <w:top w:val="single" w:sz="4" w:space="0" w:color="auto"/>
                    <w:left w:val="single" w:sz="4" w:space="0" w:color="auto"/>
                    <w:bottom w:val="single" w:sz="4" w:space="0" w:color="auto"/>
                    <w:right w:val="single" w:sz="4" w:space="0" w:color="auto"/>
                  </w:tcBorders>
                  <w:tcMar>
                    <w:left w:w="72" w:type="dxa"/>
                    <w:right w:w="72" w:type="dxa"/>
                  </w:tcMar>
                  <w:hideMark/>
                </w:tcPr>
                <w:p w14:paraId="19B93E40" w14:textId="77777777" w:rsidR="00310280" w:rsidRPr="005D4222" w:rsidRDefault="00310280" w:rsidP="00A53E8C">
                  <w:pPr>
                    <w:pStyle w:val="TableParagraph"/>
                    <w:spacing w:before="80" w:after="80"/>
                    <w:rPr>
                      <w:rFonts w:cs="Arial"/>
                      <w:kern w:val="20"/>
                      <w:sz w:val="20"/>
                    </w:rPr>
                  </w:pPr>
                  <w:r w:rsidRPr="005D4222">
                    <w:rPr>
                      <w:rFonts w:cs="Arial"/>
                      <w:kern w:val="20"/>
                      <w:sz w:val="20"/>
                    </w:rPr>
                    <w:t>Response ≥1</w:t>
                  </w:r>
                </w:p>
              </w:tc>
            </w:tr>
          </w:tbl>
          <w:p w14:paraId="7A160E7D" w14:textId="77777777" w:rsidR="00310280" w:rsidRPr="005D4222" w:rsidRDefault="00310280" w:rsidP="00A53E8C">
            <w:pPr>
              <w:pStyle w:val="MarginHead"/>
              <w:rPr>
                <w:rFonts w:cs="Arial"/>
                <w:sz w:val="21"/>
                <w:highlight w:val="yellow"/>
              </w:rPr>
            </w:pPr>
          </w:p>
        </w:tc>
      </w:tr>
      <w:tr w:rsidR="00310280" w:rsidRPr="005D4222" w14:paraId="466AC5A7" w14:textId="77777777" w:rsidTr="00A53E8C">
        <w:trPr>
          <w:trHeight w:val="320"/>
        </w:trPr>
        <w:tc>
          <w:tcPr>
            <w:tcW w:w="2157" w:type="dxa"/>
            <w:shd w:val="clear" w:color="auto" w:fill="BFBFBF" w:themeFill="background1" w:themeFillShade="BF"/>
            <w:tcMar>
              <w:top w:w="0" w:type="dxa"/>
              <w:left w:w="86" w:type="dxa"/>
              <w:bottom w:w="43" w:type="dxa"/>
              <w:right w:w="86" w:type="dxa"/>
            </w:tcMar>
          </w:tcPr>
          <w:p w14:paraId="3DB5EC95" w14:textId="77777777" w:rsidR="00310280" w:rsidRPr="005D4222" w:rsidRDefault="00310280" w:rsidP="00A53E8C">
            <w:pPr>
              <w:pStyle w:val="MarginHead"/>
            </w:pPr>
            <w:r w:rsidRPr="005D4222">
              <w:t>Initial population</w:t>
            </w:r>
          </w:p>
        </w:tc>
        <w:tc>
          <w:tcPr>
            <w:tcW w:w="7559"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741D2D2" w14:textId="77777777" w:rsidR="00310280" w:rsidRPr="005D4222" w:rsidRDefault="00310280" w:rsidP="00A53E8C">
            <w:pPr>
              <w:pStyle w:val="ECDSBody"/>
            </w:pPr>
            <w:r w:rsidRPr="005D4222">
              <w:rPr>
                <w:i/>
                <w:iCs/>
              </w:rPr>
              <w:t>Measure item count:</w:t>
            </w:r>
            <w:r w:rsidRPr="005D4222">
              <w:t xml:space="preserve"> Person.</w:t>
            </w:r>
          </w:p>
          <w:p w14:paraId="034168BB" w14:textId="4A3BCEAD" w:rsidR="00310280" w:rsidRPr="005D4222" w:rsidRDefault="00F10378" w:rsidP="00A53E8C">
            <w:pPr>
              <w:pStyle w:val="ECDSBody"/>
            </w:pPr>
            <w:r w:rsidRPr="005D4222">
              <w:rPr>
                <w:i/>
                <w:iCs/>
              </w:rPr>
              <w:t>Attribution basis:</w:t>
            </w:r>
            <w:r w:rsidR="00310280" w:rsidRPr="005D4222">
              <w:t xml:space="preserve"> Enrollment.</w:t>
            </w:r>
          </w:p>
          <w:p w14:paraId="7F5B8860" w14:textId="77777777" w:rsidR="00310280" w:rsidRPr="005D4222" w:rsidRDefault="00310280" w:rsidP="00310280">
            <w:pPr>
              <w:pStyle w:val="Bullet"/>
              <w:numPr>
                <w:ilvl w:val="0"/>
                <w:numId w:val="4"/>
              </w:numPr>
              <w:tabs>
                <w:tab w:val="left" w:pos="360"/>
                <w:tab w:val="left" w:pos="576"/>
              </w:tabs>
              <w:ind w:left="576" w:hanging="216"/>
            </w:pPr>
            <w:r w:rsidRPr="005D4222">
              <w:rPr>
                <w:i/>
                <w:iCs/>
              </w:rPr>
              <w:t xml:space="preserve">Benefits: </w:t>
            </w:r>
            <w:r w:rsidRPr="005D4222">
              <w:t>Medical.</w:t>
            </w:r>
          </w:p>
          <w:p w14:paraId="758BBECA" w14:textId="77777777" w:rsidR="00310280" w:rsidRPr="005D4222" w:rsidRDefault="00310280" w:rsidP="00310280">
            <w:pPr>
              <w:pStyle w:val="Bullet"/>
              <w:numPr>
                <w:ilvl w:val="0"/>
                <w:numId w:val="4"/>
              </w:numPr>
              <w:tabs>
                <w:tab w:val="left" w:pos="360"/>
                <w:tab w:val="left" w:pos="576"/>
              </w:tabs>
              <w:spacing w:after="80"/>
              <w:ind w:left="576" w:hanging="216"/>
            </w:pPr>
            <w:r w:rsidRPr="005D4222">
              <w:rPr>
                <w:i/>
              </w:rPr>
              <w:t>Continuous enrollment:</w:t>
            </w:r>
            <w:r w:rsidRPr="005D4222">
              <w:t xml:space="preserve"> The measurement period.</w:t>
            </w:r>
          </w:p>
          <w:p w14:paraId="0D233C27" w14:textId="77777777" w:rsidR="00310280" w:rsidRPr="005D4222" w:rsidRDefault="00310280" w:rsidP="00310280">
            <w:pPr>
              <w:pStyle w:val="Bullet"/>
              <w:numPr>
                <w:ilvl w:val="0"/>
                <w:numId w:val="4"/>
              </w:numPr>
              <w:tabs>
                <w:tab w:val="left" w:pos="360"/>
                <w:tab w:val="left" w:pos="576"/>
              </w:tabs>
              <w:spacing w:before="180"/>
              <w:ind w:left="576" w:hanging="216"/>
            </w:pPr>
            <w:r w:rsidRPr="005D4222">
              <w:rPr>
                <w:i/>
              </w:rPr>
              <w:lastRenderedPageBreak/>
              <w:t xml:space="preserve">Allowable gap: </w:t>
            </w:r>
            <w:r w:rsidRPr="005D4222">
              <w:t>No more than one gap of ≤45 days during the measurement period. No gaps on the last day of the measurement period.</w:t>
            </w:r>
          </w:p>
          <w:p w14:paraId="1BC765E2" w14:textId="77777777" w:rsidR="00310280" w:rsidRPr="005D4222" w:rsidRDefault="00310280" w:rsidP="00A53E8C">
            <w:pPr>
              <w:pStyle w:val="ECDSBody"/>
            </w:pPr>
            <w:r w:rsidRPr="005D4222">
              <w:rPr>
                <w:i/>
                <w:iCs/>
              </w:rPr>
              <w:t>Ages:</w:t>
            </w:r>
            <w:r w:rsidRPr="005D4222">
              <w:t xml:space="preserve"> 18 years of age and older at the start of the measurement period.</w:t>
            </w:r>
          </w:p>
          <w:p w14:paraId="4B9C4E0A" w14:textId="77777777" w:rsidR="00310280" w:rsidRPr="005D4222" w:rsidRDefault="00310280" w:rsidP="00A53E8C">
            <w:pPr>
              <w:pStyle w:val="ECDSBody"/>
            </w:pPr>
            <w:r w:rsidRPr="005D4222">
              <w:rPr>
                <w:i/>
              </w:rPr>
              <w:t>Event:</w:t>
            </w:r>
            <w:r w:rsidRPr="005D4222">
              <w:t xml:space="preserve"> None.</w:t>
            </w:r>
          </w:p>
        </w:tc>
      </w:tr>
      <w:tr w:rsidR="00310280" w:rsidRPr="005D4222" w14:paraId="0EABEBAF" w14:textId="77777777" w:rsidTr="00A53E8C">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92D605A" w14:textId="77777777" w:rsidR="00310280" w:rsidRPr="005D4222" w:rsidRDefault="00310280" w:rsidP="00A53E8C">
            <w:pPr>
              <w:pStyle w:val="MarginHead"/>
              <w:rPr>
                <w:iCs/>
              </w:rPr>
            </w:pPr>
            <w:r w:rsidRPr="005D4222">
              <w:rPr>
                <w:iCs/>
              </w:rPr>
              <w:lastRenderedPageBreak/>
              <w:t xml:space="preserve">Denominator exclusions </w:t>
            </w:r>
          </w:p>
        </w:tc>
        <w:tc>
          <w:tcPr>
            <w:tcW w:w="7559"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CD61784" w14:textId="77777777" w:rsidR="00310280" w:rsidRPr="005D4222" w:rsidRDefault="00310280" w:rsidP="00A53E8C">
            <w:pPr>
              <w:pStyle w:val="ECDSBody"/>
              <w:rPr>
                <w:rFonts w:cs="Segoe UI"/>
                <w:szCs w:val="18"/>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p w14:paraId="2C50ECFC" w14:textId="77777777" w:rsidR="00310280" w:rsidRPr="005D4222" w:rsidRDefault="00310280" w:rsidP="00A53E8C">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37A044B5" w14:textId="77777777" w:rsidR="00310280" w:rsidRPr="005D4222" w:rsidRDefault="00310280" w:rsidP="00A53E8C">
            <w:pPr>
              <w:pStyle w:val="ECDSBody"/>
              <w:rPr>
                <w:rFonts w:eastAsia="Arial,Arial,Arial,Arial,Arial,A"/>
              </w:rPr>
            </w:pPr>
            <w:r w:rsidRPr="005D4222">
              <w:rPr>
                <w:rFonts w:eastAsia="Arial,Arial,Arial,Arial,Arial,A"/>
                <w:b/>
              </w:rPr>
              <w:t xml:space="preserve">Alcohol use disorder. </w:t>
            </w:r>
            <w:r w:rsidRPr="005D4222">
              <w:rPr>
                <w:rFonts w:eastAsia="Arial,Arial,Arial,Arial,Arial,A"/>
                <w:b/>
              </w:rPr>
              <w:br/>
            </w:r>
            <w:r w:rsidRPr="005D4222">
              <w:rPr>
                <w:rFonts w:eastAsia="Arial,Arial,Arial,Arial,Arial,A"/>
              </w:rPr>
              <w:t>Persons with a diagnosis for alcohol use disorder (</w:t>
            </w:r>
            <w:r w:rsidRPr="005D4222">
              <w:rPr>
                <w:rFonts w:eastAsia="Arial,Arial,Arial,Arial,Arial,A"/>
                <w:u w:val="single"/>
              </w:rPr>
              <w:t>Alcohol Use Disorder Value Set</w:t>
            </w:r>
            <w:r w:rsidRPr="005D4222">
              <w:rPr>
                <w:rFonts w:eastAsia="Arial,Arial,Arial,Arial,Arial,A"/>
              </w:rPr>
              <w:t xml:space="preserve">*) that starts during the year prior to the measurement period. </w:t>
            </w:r>
          </w:p>
          <w:p w14:paraId="1A78A055" w14:textId="77777777" w:rsidR="00310280" w:rsidRPr="005D4222" w:rsidRDefault="00310280" w:rsidP="00A53E8C">
            <w:pPr>
              <w:pStyle w:val="ECDSBody"/>
              <w:rPr>
                <w:rFonts w:eastAsia="Arial,Arial,Arial,Arial,Arial,A"/>
              </w:rPr>
            </w:pPr>
            <w:r w:rsidRPr="005D4222">
              <w:rPr>
                <w:rFonts w:eastAsia="Arial,Arial,Arial,Arial,Arial,A"/>
                <w:b/>
              </w:rPr>
              <w:t xml:space="preserve">Dementia. </w:t>
            </w:r>
            <w:r w:rsidRPr="005D4222">
              <w:rPr>
                <w:rFonts w:eastAsia="Arial,Arial,Arial,Arial,Arial,A"/>
                <w:b/>
              </w:rPr>
              <w:br/>
            </w:r>
            <w:r w:rsidRPr="005D4222">
              <w:rPr>
                <w:rFonts w:eastAsia="Arial,Arial,Arial,Arial,Arial,A"/>
              </w:rPr>
              <w:t>Persons with a diagnosis of dementia (</w:t>
            </w:r>
            <w:r w:rsidRPr="005D4222">
              <w:rPr>
                <w:rFonts w:eastAsia="Arial,Arial,Arial,Arial,Arial,A"/>
                <w:u w:val="single"/>
              </w:rPr>
              <w:t>Dementia Value Set</w:t>
            </w:r>
            <w:r w:rsidRPr="005D4222">
              <w:rPr>
                <w:rFonts w:eastAsia="Arial,Arial,Arial,Arial,Arial,A"/>
              </w:rPr>
              <w:t xml:space="preserve">*) any time during the person’s history through the last day of the measurement period. </w:t>
            </w:r>
          </w:p>
          <w:p w14:paraId="20ABA8C9" w14:textId="77777777" w:rsidR="00310280" w:rsidRPr="005D4222" w:rsidRDefault="00310280" w:rsidP="00A53E8C">
            <w:pPr>
              <w:pStyle w:val="ECDSBody"/>
              <w:spacing w:after="0"/>
              <w:rPr>
                <w:rFonts w:eastAsia="Arial,Arial,Arial,Arial,Arial,A"/>
                <w:b/>
                <w:bCs w:val="0"/>
              </w:rPr>
            </w:pPr>
            <w:r w:rsidRPr="005D4222">
              <w:rPr>
                <w:rFonts w:eastAsia="Arial,Arial,Arial,Arial,Arial,A"/>
                <w:b/>
                <w:bCs w:val="0"/>
              </w:rPr>
              <w:t>Coding Guidance</w:t>
            </w:r>
          </w:p>
          <w:p w14:paraId="7476DA91" w14:textId="77777777" w:rsidR="00310280" w:rsidRPr="005D4222" w:rsidRDefault="00310280" w:rsidP="00A53E8C">
            <w:pPr>
              <w:pStyle w:val="ECDSBody"/>
              <w:spacing w:before="0"/>
            </w:pPr>
            <w:r w:rsidRPr="005D4222">
              <w:rPr>
                <w:rFonts w:eastAsia="Arial,Arial,Arial,Arial,Arial,A"/>
              </w:rPr>
              <w:t>*Do not include laboratory claims (claims with POS code 81).</w:t>
            </w:r>
          </w:p>
        </w:tc>
      </w:tr>
      <w:tr w:rsidR="00310280" w:rsidRPr="005D4222" w14:paraId="04E3D36F" w14:textId="77777777" w:rsidTr="00A53E8C">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47D478D" w14:textId="77777777" w:rsidR="00310280" w:rsidRPr="005D4222" w:rsidRDefault="00310280" w:rsidP="00A53E8C">
            <w:pPr>
              <w:pStyle w:val="MarginHead"/>
            </w:pPr>
            <w:r w:rsidRPr="005D4222">
              <w:t>Denominator</w:t>
            </w:r>
          </w:p>
        </w:tc>
        <w:tc>
          <w:tcPr>
            <w:tcW w:w="7559"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52EE828" w14:textId="77777777" w:rsidR="00310280" w:rsidRPr="005D4222" w:rsidRDefault="00310280" w:rsidP="00A53E8C">
            <w:pPr>
              <w:pStyle w:val="ECDSBody"/>
              <w:rPr>
                <w:rFonts w:eastAsia="Arial,Arial,Arial,Arial,Arial,A"/>
              </w:rPr>
            </w:pPr>
            <w:r w:rsidRPr="005D4222">
              <w:rPr>
                <w:b/>
                <w:bCs w:val="0"/>
              </w:rPr>
              <w:t>Denominator 1:</w:t>
            </w:r>
            <w:r w:rsidRPr="005D4222">
              <w:t xml:space="preserve"> </w:t>
            </w:r>
            <w:r w:rsidRPr="005D4222">
              <w:rPr>
                <w:rFonts w:eastAsia="Arial,Arial,Arial,Arial,Arial,A"/>
              </w:rPr>
              <w:t>Initial population minus denominator exclusions.</w:t>
            </w:r>
          </w:p>
          <w:p w14:paraId="738D0ACA" w14:textId="77777777" w:rsidR="00310280" w:rsidRPr="005D4222" w:rsidRDefault="00310280" w:rsidP="00A53E8C">
            <w:pPr>
              <w:pStyle w:val="ECDSBody"/>
              <w:rPr>
                <w:i/>
              </w:rPr>
            </w:pPr>
            <w:r w:rsidRPr="005D4222">
              <w:rPr>
                <w:b/>
                <w:bCs w:val="0"/>
              </w:rPr>
              <w:t>Denominator 2</w:t>
            </w:r>
            <w:r w:rsidRPr="005D4222">
              <w:rPr>
                <w:rFonts w:eastAsia="Arial,Arial,Arial,Arial,Arial,A"/>
                <w:b/>
                <w:bCs w:val="0"/>
              </w:rPr>
              <w:t xml:space="preserve">: </w:t>
            </w:r>
            <w:r w:rsidRPr="005D4222">
              <w:rPr>
                <w:rFonts w:eastAsia="Arial,Arial,Arial,Arial,Arial,A"/>
              </w:rPr>
              <w:t>Persons from numerator 1 with a positive finding for unhealthy alcohol use screening between January 1 and November 1 of the measurement period.</w:t>
            </w:r>
          </w:p>
        </w:tc>
      </w:tr>
      <w:tr w:rsidR="00310280" w:rsidRPr="005D4222" w14:paraId="766DDBFD" w14:textId="77777777" w:rsidTr="00A53E8C">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332FA1B" w14:textId="77777777" w:rsidR="00310280" w:rsidRPr="005D4222" w:rsidRDefault="00310280" w:rsidP="00A53E8C">
            <w:pPr>
              <w:pStyle w:val="MarginHead"/>
            </w:pPr>
            <w:r w:rsidRPr="005D4222">
              <w:t>Numerator</w:t>
            </w:r>
          </w:p>
        </w:tc>
        <w:tc>
          <w:tcPr>
            <w:tcW w:w="7559"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45B19ACD" w14:textId="77777777" w:rsidR="00310280" w:rsidRPr="005D4222" w:rsidRDefault="00310280" w:rsidP="00A53E8C">
            <w:pPr>
              <w:pStyle w:val="ECDSBody"/>
            </w:pPr>
            <w:r w:rsidRPr="005D4222">
              <w:rPr>
                <w:b/>
                <w:bCs w:val="0"/>
              </w:rPr>
              <w:t>Numerator 1: Unhealthy alcohol use screening.</w:t>
            </w:r>
            <w:r w:rsidRPr="005D4222">
              <w:rPr>
                <w:b/>
                <w:bCs w:val="0"/>
              </w:rPr>
              <w:br/>
            </w:r>
            <w:r w:rsidRPr="005D4222">
              <w:t xml:space="preserve">Persons with a documented result for unhealthy alcohol use screening performed between January 1 and November 1 of the measurement period. </w:t>
            </w:r>
          </w:p>
          <w:p w14:paraId="498C7EC4" w14:textId="77777777" w:rsidR="00310280" w:rsidRPr="005D4222" w:rsidRDefault="00310280" w:rsidP="00A53E8C">
            <w:pPr>
              <w:pStyle w:val="ECDSBody"/>
            </w:pPr>
            <w:r w:rsidRPr="005D4222">
              <w:rPr>
                <w:b/>
                <w:bCs w:val="0"/>
              </w:rPr>
              <w:t>Numerator 2: Follow-up care on positive screen.</w:t>
            </w:r>
            <w:r w:rsidRPr="005D4222">
              <w:rPr>
                <w:b/>
                <w:bCs w:val="0"/>
              </w:rPr>
              <w:br/>
            </w:r>
            <w:r w:rsidRPr="005D4222">
              <w:t xml:space="preserve">Persons receiving alcohol counseling or other follow-up care. Either of the following on or up to 60 days after the date of the first positive screen (61 days total) meets criteria: </w:t>
            </w:r>
          </w:p>
          <w:p w14:paraId="2DE80C4E" w14:textId="77777777" w:rsidR="00310280" w:rsidRPr="005D4222" w:rsidRDefault="00310280" w:rsidP="00310280">
            <w:pPr>
              <w:pStyle w:val="Bullet"/>
              <w:numPr>
                <w:ilvl w:val="0"/>
                <w:numId w:val="4"/>
              </w:numPr>
              <w:tabs>
                <w:tab w:val="left" w:pos="360"/>
                <w:tab w:val="left" w:pos="576"/>
              </w:tabs>
              <w:ind w:left="576" w:hanging="216"/>
            </w:pPr>
            <w:r w:rsidRPr="005D4222">
              <w:rPr>
                <w:u w:val="single"/>
              </w:rPr>
              <w:t>Alcohol Counseling or Other Follow Up Care Value Set</w:t>
            </w:r>
            <w:r w:rsidRPr="005D4222">
              <w:t xml:space="preserve">. </w:t>
            </w:r>
          </w:p>
          <w:p w14:paraId="3A2CE3C7" w14:textId="77777777" w:rsidR="00310280" w:rsidRPr="005D4222" w:rsidRDefault="00310280" w:rsidP="00310280">
            <w:pPr>
              <w:pStyle w:val="Bullet"/>
              <w:numPr>
                <w:ilvl w:val="0"/>
                <w:numId w:val="4"/>
              </w:numPr>
              <w:tabs>
                <w:tab w:val="left" w:pos="360"/>
                <w:tab w:val="left" w:pos="576"/>
              </w:tabs>
              <w:ind w:left="576" w:hanging="216"/>
            </w:pPr>
            <w:r w:rsidRPr="005D4222">
              <w:t xml:space="preserve">A diagnosis of encounter for alcohol counseling and surveillance (ICD-10-CM code Z71.41*). </w:t>
            </w:r>
          </w:p>
          <w:p w14:paraId="672B2228" w14:textId="77777777" w:rsidR="00310280" w:rsidRPr="005D4222" w:rsidRDefault="00310280" w:rsidP="00A53E8C">
            <w:pPr>
              <w:pStyle w:val="ECDSBody"/>
              <w:spacing w:after="0"/>
              <w:rPr>
                <w:rFonts w:eastAsia="Arial,Arial,Arial,Arial,Arial,A"/>
                <w:b/>
                <w:bCs w:val="0"/>
              </w:rPr>
            </w:pPr>
            <w:r w:rsidRPr="005D4222">
              <w:rPr>
                <w:rFonts w:eastAsia="Arial,Arial,Arial,Arial,Arial,A"/>
                <w:b/>
                <w:bCs w:val="0"/>
              </w:rPr>
              <w:t>Coding Guidance</w:t>
            </w:r>
          </w:p>
          <w:p w14:paraId="7CCA42B4" w14:textId="77777777" w:rsidR="00310280" w:rsidRPr="005D4222" w:rsidRDefault="00310280" w:rsidP="00A53E8C">
            <w:pPr>
              <w:pStyle w:val="ProcessBullet"/>
              <w:numPr>
                <w:ilvl w:val="0"/>
                <w:numId w:val="0"/>
              </w:numPr>
              <w:spacing w:before="0" w:after="80"/>
              <w:ind w:left="216" w:hanging="216"/>
              <w:rPr>
                <w:rFonts w:eastAsia="Arial,Arial,Arial,Arial,Arial,A"/>
              </w:rPr>
            </w:pPr>
            <w:r w:rsidRPr="005D4222">
              <w:rPr>
                <w:rFonts w:eastAsia="Arial,Arial,Arial,Arial,Arial,A" w:cs="Arial"/>
              </w:rPr>
              <w:t>*Do not include laboratory claims (claims with POS code 81).</w:t>
            </w:r>
          </w:p>
        </w:tc>
      </w:tr>
      <w:tr w:rsidR="00310280" w:rsidRPr="005D4222" w14:paraId="527A9E52"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F9D68A0" w14:textId="77777777" w:rsidR="00310280" w:rsidRPr="005D4222" w:rsidRDefault="00310280" w:rsidP="00A53E8C">
            <w:pPr>
              <w:pStyle w:val="MarginHead"/>
            </w:pPr>
            <w:r w:rsidRPr="005D4222">
              <w:t>Summary of changes</w:t>
            </w:r>
          </w:p>
        </w:tc>
        <w:tc>
          <w:tcPr>
            <w:tcW w:w="7559"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4C3BBBD" w14:textId="77777777" w:rsidR="00310280" w:rsidRPr="005D4222" w:rsidRDefault="00310280" w:rsidP="005D6173">
            <w:pPr>
              <w:pStyle w:val="ProcessBullet"/>
              <w:numPr>
                <w:ilvl w:val="0"/>
                <w:numId w:val="98"/>
              </w:numPr>
              <w:spacing w:before="120"/>
              <w:ind w:left="216" w:hanging="216"/>
              <w:rPr>
                <w:color w:val="000000" w:themeColor="text1"/>
              </w:rPr>
            </w:pPr>
            <w:r w:rsidRPr="005D4222">
              <w:t xml:space="preserve">Removed the definitions of “participation” and “participation period.” </w:t>
            </w:r>
          </w:p>
          <w:p w14:paraId="6405EDA4" w14:textId="77777777" w:rsidR="00310280" w:rsidRPr="005D4222" w:rsidRDefault="00310280" w:rsidP="005D6173">
            <w:pPr>
              <w:pStyle w:val="ProcessBullet"/>
              <w:numPr>
                <w:ilvl w:val="0"/>
                <w:numId w:val="98"/>
              </w:numPr>
              <w:spacing w:after="80"/>
              <w:ind w:left="216" w:hanging="216"/>
            </w:pPr>
            <w:r w:rsidRPr="005D4222">
              <w:t>Removed the SSoR data elements from the data element tables.</w:t>
            </w:r>
          </w:p>
        </w:tc>
      </w:tr>
    </w:tbl>
    <w:p w14:paraId="57D80902" w14:textId="77777777" w:rsidR="00310280" w:rsidRPr="005D4222" w:rsidRDefault="00310280" w:rsidP="00310280">
      <w:pPr>
        <w:spacing w:after="160" w:line="259" w:lineRule="auto"/>
      </w:pPr>
      <w:r w:rsidRPr="005D4222">
        <w:br w:type="page"/>
      </w:r>
    </w:p>
    <w:tbl>
      <w:tblPr>
        <w:tblW w:w="5002"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9"/>
      </w:tblGrid>
      <w:tr w:rsidR="00310280" w:rsidRPr="005D4222" w14:paraId="59006715"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5DE6460" w14:textId="77777777" w:rsidR="00310280" w:rsidRPr="005D4222" w:rsidRDefault="00310280" w:rsidP="00A53E8C">
            <w:pPr>
              <w:pStyle w:val="MarginHead"/>
            </w:pPr>
            <w:r w:rsidRPr="005D4222">
              <w:lastRenderedPageBreak/>
              <w:t>Data element tables</w:t>
            </w:r>
          </w:p>
        </w:tc>
        <w:tc>
          <w:tcPr>
            <w:tcW w:w="7559"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FBD77C4" w14:textId="77777777" w:rsidR="00310280" w:rsidRPr="005D4222" w:rsidRDefault="00310280" w:rsidP="00A53E8C">
            <w:pPr>
              <w:spacing w:before="120"/>
              <w:rPr>
                <w:rFonts w:eastAsia="Arial,Arial,Arial,Arial,Arial,A"/>
                <w:kern w:val="20"/>
              </w:rPr>
            </w:pPr>
            <w:r w:rsidRPr="005D4222">
              <w:t>Organizations that submit HEDIS data to NCQA must provide the following data elements.</w:t>
            </w:r>
          </w:p>
          <w:p w14:paraId="72A85937" w14:textId="77777777" w:rsidR="00310280" w:rsidRPr="005D4222" w:rsidRDefault="00310280" w:rsidP="00A53E8C">
            <w:pPr>
              <w:pStyle w:val="Heading3"/>
              <w:spacing w:before="120"/>
              <w:rPr>
                <w:rFonts w:eastAsia="Arial,Arial,Arial,Arial,Arial,A"/>
                <w:b w:val="0"/>
                <w:bCs w:val="0"/>
                <w:i w:val="0"/>
                <w:iCs/>
                <w:kern w:val="20"/>
                <w:szCs w:val="21"/>
              </w:rPr>
            </w:pPr>
            <w:r w:rsidRPr="005D4222">
              <w:rPr>
                <w:rFonts w:eastAsia="Arial,Arial,Arial,Arial,Arial,A"/>
              </w:rPr>
              <w:t>Table ASF-E-1/2/3: Data Elements for Unhealthy Alcohol Use Screening and Follow-Up</w:t>
            </w:r>
          </w:p>
          <w:tbl>
            <w:tblPr>
              <w:tblW w:w="5000" w:type="pct"/>
              <w:tblLayout w:type="fixed"/>
              <w:tblCellMar>
                <w:left w:w="72" w:type="dxa"/>
                <w:right w:w="72" w:type="dxa"/>
              </w:tblCellMar>
              <w:tblLook w:val="04A0" w:firstRow="1" w:lastRow="0" w:firstColumn="1" w:lastColumn="0" w:noHBand="0" w:noVBand="1"/>
            </w:tblPr>
            <w:tblGrid>
              <w:gridCol w:w="1131"/>
              <w:gridCol w:w="1111"/>
              <w:gridCol w:w="1890"/>
              <w:gridCol w:w="3235"/>
            </w:tblGrid>
            <w:tr w:rsidR="00310280" w:rsidRPr="005D4222" w14:paraId="23FFE6AF" w14:textId="77777777" w:rsidTr="00A53E8C">
              <w:trPr>
                <w:trHeight w:val="234"/>
              </w:trPr>
              <w:tc>
                <w:tcPr>
                  <w:tcW w:w="1131" w:type="dxa"/>
                  <w:tcBorders>
                    <w:top w:val="single" w:sz="8" w:space="0" w:color="auto"/>
                    <w:left w:val="single" w:sz="8" w:space="0" w:color="auto"/>
                    <w:bottom w:val="single" w:sz="8" w:space="0" w:color="auto"/>
                    <w:right w:val="single" w:sz="6" w:space="0" w:color="FFFFFF"/>
                  </w:tcBorders>
                  <w:shd w:val="clear" w:color="auto" w:fill="000000"/>
                  <w:noWrap/>
                  <w:vAlign w:val="center"/>
                  <w:hideMark/>
                </w:tcPr>
                <w:p w14:paraId="3F7389F8" w14:textId="77777777" w:rsidR="00310280" w:rsidRPr="005D4222" w:rsidRDefault="00310280" w:rsidP="00A53E8C">
                  <w:pPr>
                    <w:pStyle w:val="TableHead"/>
                  </w:pPr>
                  <w:r w:rsidRPr="005D4222">
                    <w:t>Metric</w:t>
                  </w:r>
                </w:p>
              </w:tc>
              <w:tc>
                <w:tcPr>
                  <w:tcW w:w="1111" w:type="dxa"/>
                  <w:tcBorders>
                    <w:top w:val="single" w:sz="8" w:space="0" w:color="auto"/>
                    <w:left w:val="single" w:sz="6" w:space="0" w:color="FFFFFF"/>
                    <w:bottom w:val="single" w:sz="4" w:space="0" w:color="auto"/>
                    <w:right w:val="single" w:sz="6" w:space="0" w:color="FFFFFF"/>
                  </w:tcBorders>
                  <w:shd w:val="clear" w:color="auto" w:fill="000000"/>
                  <w:vAlign w:val="center"/>
                  <w:hideMark/>
                </w:tcPr>
                <w:p w14:paraId="4E80B3A7" w14:textId="77777777" w:rsidR="00310280" w:rsidRPr="005D4222" w:rsidRDefault="00310280" w:rsidP="00A53E8C">
                  <w:pPr>
                    <w:pStyle w:val="TableHead"/>
                  </w:pPr>
                  <w:r w:rsidRPr="005D4222">
                    <w:t>Age</w:t>
                  </w:r>
                </w:p>
              </w:tc>
              <w:tc>
                <w:tcPr>
                  <w:tcW w:w="1890" w:type="dxa"/>
                  <w:tcBorders>
                    <w:top w:val="single" w:sz="8" w:space="0" w:color="auto"/>
                    <w:left w:val="single" w:sz="6" w:space="0" w:color="FFFFFF"/>
                    <w:bottom w:val="single" w:sz="8" w:space="0" w:color="auto"/>
                    <w:right w:val="single" w:sz="4" w:space="0" w:color="FFFFFF"/>
                  </w:tcBorders>
                  <w:shd w:val="clear" w:color="auto" w:fill="000000"/>
                  <w:noWrap/>
                  <w:vAlign w:val="center"/>
                  <w:hideMark/>
                </w:tcPr>
                <w:p w14:paraId="3A78EF3A" w14:textId="77777777" w:rsidR="00310280" w:rsidRPr="005D4222" w:rsidRDefault="00310280" w:rsidP="00A53E8C">
                  <w:pPr>
                    <w:pStyle w:val="TableHead"/>
                  </w:pPr>
                  <w:r w:rsidRPr="005D4222">
                    <w:t>Data Element</w:t>
                  </w:r>
                </w:p>
              </w:tc>
              <w:tc>
                <w:tcPr>
                  <w:tcW w:w="3235" w:type="dxa"/>
                  <w:tcBorders>
                    <w:top w:val="single" w:sz="8" w:space="0" w:color="auto"/>
                    <w:left w:val="single" w:sz="4" w:space="0" w:color="FFFFFF"/>
                    <w:bottom w:val="single" w:sz="8" w:space="0" w:color="auto"/>
                    <w:right w:val="single" w:sz="8" w:space="0" w:color="auto"/>
                  </w:tcBorders>
                  <w:shd w:val="clear" w:color="auto" w:fill="000000"/>
                  <w:vAlign w:val="center"/>
                  <w:hideMark/>
                </w:tcPr>
                <w:p w14:paraId="4C7E4A94" w14:textId="77777777" w:rsidR="00310280" w:rsidRPr="005D4222" w:rsidRDefault="00310280" w:rsidP="00A53E8C">
                  <w:pPr>
                    <w:pStyle w:val="TableHead"/>
                  </w:pPr>
                  <w:r w:rsidRPr="005D4222">
                    <w:t>Reporting Instructions</w:t>
                  </w:r>
                </w:p>
              </w:tc>
            </w:tr>
            <w:tr w:rsidR="00310280" w:rsidRPr="005D4222" w14:paraId="3B9ADC26" w14:textId="77777777" w:rsidTr="00A53E8C">
              <w:trPr>
                <w:trHeight w:val="234"/>
              </w:trPr>
              <w:tc>
                <w:tcPr>
                  <w:tcW w:w="1131" w:type="dxa"/>
                  <w:tcBorders>
                    <w:top w:val="nil"/>
                    <w:left w:val="single" w:sz="8" w:space="0" w:color="auto"/>
                    <w:bottom w:val="single" w:sz="4" w:space="0" w:color="auto"/>
                    <w:right w:val="single" w:sz="4" w:space="0" w:color="auto"/>
                  </w:tcBorders>
                  <w:shd w:val="clear" w:color="auto" w:fill="FFFFFF"/>
                  <w:noWrap/>
                  <w:vAlign w:val="center"/>
                  <w:hideMark/>
                </w:tcPr>
                <w:p w14:paraId="2B419607" w14:textId="77777777" w:rsidR="00310280" w:rsidRPr="005D4222" w:rsidRDefault="00310280" w:rsidP="00A53E8C">
                  <w:pPr>
                    <w:pStyle w:val="TableText"/>
                    <w:rPr>
                      <w:kern w:val="20"/>
                      <w:szCs w:val="21"/>
                    </w:rPr>
                  </w:pPr>
                  <w:r w:rsidRPr="005D4222">
                    <w:rPr>
                      <w:kern w:val="20"/>
                      <w:szCs w:val="21"/>
                    </w:rPr>
                    <w:t>Screening</w:t>
                  </w:r>
                </w:p>
              </w:tc>
              <w:tc>
                <w:tcPr>
                  <w:tcW w:w="111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E2544D7" w14:textId="77777777" w:rsidR="00310280" w:rsidRPr="005D4222" w:rsidRDefault="00310280" w:rsidP="00A53E8C">
                  <w:pPr>
                    <w:pStyle w:val="TableText"/>
                    <w:rPr>
                      <w:kern w:val="20"/>
                      <w:szCs w:val="21"/>
                    </w:rPr>
                  </w:pPr>
                  <w:r w:rsidRPr="005D4222">
                    <w:rPr>
                      <w:kern w:val="20"/>
                      <w:szCs w:val="21"/>
                    </w:rPr>
                    <w:t>18-44</w:t>
                  </w:r>
                </w:p>
              </w:tc>
              <w:tc>
                <w:tcPr>
                  <w:tcW w:w="1890" w:type="dxa"/>
                  <w:tcBorders>
                    <w:top w:val="nil"/>
                    <w:left w:val="single" w:sz="4" w:space="0" w:color="auto"/>
                    <w:bottom w:val="single" w:sz="8" w:space="0" w:color="auto"/>
                    <w:right w:val="single" w:sz="8" w:space="0" w:color="auto"/>
                  </w:tcBorders>
                  <w:shd w:val="clear" w:color="auto" w:fill="FFFFFF"/>
                  <w:noWrap/>
                  <w:vAlign w:val="center"/>
                  <w:hideMark/>
                </w:tcPr>
                <w:p w14:paraId="46CEABB8" w14:textId="77777777" w:rsidR="00310280" w:rsidRPr="005D4222" w:rsidRDefault="00310280" w:rsidP="00A53E8C">
                  <w:pPr>
                    <w:pStyle w:val="TableText"/>
                    <w:rPr>
                      <w:kern w:val="20"/>
                      <w:szCs w:val="21"/>
                    </w:rPr>
                  </w:pPr>
                  <w:r w:rsidRPr="005D4222">
                    <w:rPr>
                      <w:kern w:val="20"/>
                      <w:szCs w:val="21"/>
                    </w:rPr>
                    <w:t>InitialPopulation</w:t>
                  </w:r>
                </w:p>
              </w:tc>
              <w:tc>
                <w:tcPr>
                  <w:tcW w:w="3235" w:type="dxa"/>
                  <w:tcBorders>
                    <w:top w:val="nil"/>
                    <w:left w:val="nil"/>
                    <w:bottom w:val="single" w:sz="8" w:space="0" w:color="auto"/>
                    <w:right w:val="single" w:sz="8" w:space="0" w:color="auto"/>
                  </w:tcBorders>
                  <w:shd w:val="clear" w:color="auto" w:fill="FFFFFF"/>
                  <w:vAlign w:val="center"/>
                  <w:hideMark/>
                </w:tcPr>
                <w:p w14:paraId="019E93DB" w14:textId="77777777" w:rsidR="00310280" w:rsidRPr="005D4222" w:rsidRDefault="00310280" w:rsidP="00A53E8C">
                  <w:pPr>
                    <w:pStyle w:val="TableText"/>
                    <w:rPr>
                      <w:kern w:val="20"/>
                      <w:szCs w:val="21"/>
                    </w:rPr>
                  </w:pPr>
                  <w:r w:rsidRPr="005D4222">
                    <w:rPr>
                      <w:kern w:val="20"/>
                      <w:szCs w:val="21"/>
                    </w:rPr>
                    <w:t>For each stratification, repeat per metric</w:t>
                  </w:r>
                </w:p>
              </w:tc>
            </w:tr>
            <w:tr w:rsidR="00310280" w:rsidRPr="005D4222" w14:paraId="0C2C7C12" w14:textId="77777777" w:rsidTr="007B5FC3">
              <w:trPr>
                <w:trHeight w:val="234"/>
              </w:trPr>
              <w:tc>
                <w:tcPr>
                  <w:tcW w:w="113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EFC825C" w14:textId="77777777" w:rsidR="00310280" w:rsidRPr="005D4222" w:rsidRDefault="00310280" w:rsidP="00A53E8C">
                  <w:pPr>
                    <w:pStyle w:val="TableText"/>
                    <w:rPr>
                      <w:kern w:val="20"/>
                      <w:szCs w:val="21"/>
                    </w:rPr>
                  </w:pPr>
                  <w:r w:rsidRPr="005D4222">
                    <w:rPr>
                      <w:kern w:val="20"/>
                      <w:szCs w:val="21"/>
                    </w:rPr>
                    <w:t>FollowUp</w:t>
                  </w:r>
                </w:p>
              </w:tc>
              <w:tc>
                <w:tcPr>
                  <w:tcW w:w="1111" w:type="dxa"/>
                  <w:tcBorders>
                    <w:top w:val="single" w:sz="4" w:space="0" w:color="auto"/>
                    <w:left w:val="nil"/>
                    <w:bottom w:val="single" w:sz="4" w:space="0" w:color="auto"/>
                    <w:right w:val="single" w:sz="4" w:space="0" w:color="auto"/>
                  </w:tcBorders>
                  <w:shd w:val="clear" w:color="auto" w:fill="FFFFFF"/>
                  <w:vAlign w:val="center"/>
                  <w:hideMark/>
                </w:tcPr>
                <w:p w14:paraId="7821DF95" w14:textId="77777777" w:rsidR="00310280" w:rsidRPr="005D4222" w:rsidRDefault="00310280" w:rsidP="00A53E8C">
                  <w:pPr>
                    <w:pStyle w:val="TableText"/>
                    <w:rPr>
                      <w:kern w:val="20"/>
                      <w:szCs w:val="21"/>
                    </w:rPr>
                  </w:pPr>
                  <w:r w:rsidRPr="005D4222">
                    <w:rPr>
                      <w:kern w:val="20"/>
                      <w:szCs w:val="21"/>
                    </w:rPr>
                    <w:t>45-64</w:t>
                  </w:r>
                </w:p>
              </w:tc>
              <w:tc>
                <w:tcPr>
                  <w:tcW w:w="1890" w:type="dxa"/>
                  <w:tcBorders>
                    <w:top w:val="single" w:sz="4" w:space="0" w:color="auto"/>
                    <w:left w:val="single" w:sz="4" w:space="0" w:color="auto"/>
                    <w:bottom w:val="single" w:sz="4" w:space="0" w:color="auto"/>
                    <w:right w:val="single" w:sz="4" w:space="0" w:color="auto"/>
                  </w:tcBorders>
                  <w:noWrap/>
                  <w:vAlign w:val="center"/>
                  <w:hideMark/>
                </w:tcPr>
                <w:p w14:paraId="468B4101" w14:textId="77777777" w:rsidR="00310280" w:rsidRPr="005D4222" w:rsidRDefault="00310280" w:rsidP="00A53E8C">
                  <w:pPr>
                    <w:pStyle w:val="TableText"/>
                    <w:rPr>
                      <w:kern w:val="20"/>
                      <w:szCs w:val="21"/>
                    </w:rPr>
                  </w:pPr>
                  <w:r w:rsidRPr="005D4222">
                    <w:rPr>
                      <w:kern w:val="20"/>
                      <w:szCs w:val="21"/>
                    </w:rPr>
                    <w:t>Exclusions</w:t>
                  </w:r>
                </w:p>
              </w:tc>
              <w:tc>
                <w:tcPr>
                  <w:tcW w:w="3235" w:type="dxa"/>
                  <w:tcBorders>
                    <w:top w:val="nil"/>
                    <w:left w:val="single" w:sz="4" w:space="0" w:color="auto"/>
                    <w:bottom w:val="single" w:sz="8" w:space="0" w:color="auto"/>
                    <w:right w:val="single" w:sz="8" w:space="0" w:color="auto"/>
                  </w:tcBorders>
                  <w:vAlign w:val="center"/>
                  <w:hideMark/>
                </w:tcPr>
                <w:p w14:paraId="6749902A" w14:textId="77777777" w:rsidR="00310280" w:rsidRPr="005D4222" w:rsidRDefault="00310280" w:rsidP="00A53E8C">
                  <w:pPr>
                    <w:pStyle w:val="TableText"/>
                    <w:rPr>
                      <w:kern w:val="20"/>
                      <w:szCs w:val="21"/>
                    </w:rPr>
                  </w:pPr>
                  <w:r w:rsidRPr="005D4222">
                    <w:rPr>
                      <w:kern w:val="20"/>
                      <w:szCs w:val="21"/>
                    </w:rPr>
                    <w:t>For each stratification, repeat per metric</w:t>
                  </w:r>
                </w:p>
              </w:tc>
            </w:tr>
            <w:tr w:rsidR="00310280" w:rsidRPr="005D4222" w14:paraId="05A70774" w14:textId="77777777" w:rsidTr="00A53E8C">
              <w:trPr>
                <w:trHeight w:val="234"/>
              </w:trPr>
              <w:tc>
                <w:tcPr>
                  <w:tcW w:w="1131" w:type="dxa"/>
                  <w:tcBorders>
                    <w:top w:val="single" w:sz="4" w:space="0" w:color="auto"/>
                    <w:left w:val="nil"/>
                    <w:bottom w:val="nil"/>
                    <w:right w:val="single" w:sz="4" w:space="0" w:color="auto"/>
                  </w:tcBorders>
                  <w:shd w:val="clear" w:color="auto" w:fill="FFFFFF"/>
                  <w:noWrap/>
                  <w:vAlign w:val="center"/>
                  <w:hideMark/>
                </w:tcPr>
                <w:p w14:paraId="21A065BB" w14:textId="77777777" w:rsidR="00310280" w:rsidRPr="005D4222" w:rsidRDefault="00310280" w:rsidP="00A53E8C">
                  <w:pPr>
                    <w:pStyle w:val="TableText"/>
                    <w:rPr>
                      <w:kern w:val="20"/>
                      <w:szCs w:val="21"/>
                    </w:rPr>
                  </w:pPr>
                  <w:r w:rsidRPr="005D4222">
                    <w:rPr>
                      <w:kern w:val="20"/>
                      <w:szCs w:val="21"/>
                    </w:rPr>
                    <w:t xml:space="preserve"> </w:t>
                  </w:r>
                </w:p>
              </w:tc>
              <w:tc>
                <w:tcPr>
                  <w:tcW w:w="111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16B6A56" w14:textId="77777777" w:rsidR="00310280" w:rsidRPr="005D4222" w:rsidRDefault="00310280" w:rsidP="00A53E8C">
                  <w:pPr>
                    <w:pStyle w:val="TableText"/>
                    <w:rPr>
                      <w:kern w:val="20"/>
                      <w:szCs w:val="21"/>
                    </w:rPr>
                  </w:pPr>
                  <w:r w:rsidRPr="005D4222">
                    <w:rPr>
                      <w:kern w:val="20"/>
                      <w:szCs w:val="21"/>
                    </w:rPr>
                    <w:t>65+</w:t>
                  </w:r>
                </w:p>
              </w:tc>
              <w:tc>
                <w:tcPr>
                  <w:tcW w:w="1890" w:type="dxa"/>
                  <w:tcBorders>
                    <w:top w:val="single" w:sz="4" w:space="0" w:color="auto"/>
                    <w:left w:val="single" w:sz="4" w:space="0" w:color="auto"/>
                    <w:bottom w:val="single" w:sz="4" w:space="0" w:color="auto"/>
                    <w:right w:val="single" w:sz="4" w:space="0" w:color="auto"/>
                  </w:tcBorders>
                  <w:noWrap/>
                  <w:vAlign w:val="center"/>
                  <w:hideMark/>
                </w:tcPr>
                <w:p w14:paraId="30DB2FF2" w14:textId="77777777" w:rsidR="00310280" w:rsidRPr="005D4222" w:rsidRDefault="00310280" w:rsidP="00A53E8C">
                  <w:pPr>
                    <w:pStyle w:val="TableText"/>
                    <w:rPr>
                      <w:kern w:val="20"/>
                      <w:szCs w:val="21"/>
                    </w:rPr>
                  </w:pPr>
                  <w:r w:rsidRPr="005D4222">
                    <w:rPr>
                      <w:kern w:val="20"/>
                      <w:szCs w:val="21"/>
                    </w:rPr>
                    <w:t>Denominator</w:t>
                  </w:r>
                </w:p>
              </w:tc>
              <w:tc>
                <w:tcPr>
                  <w:tcW w:w="3235" w:type="dxa"/>
                  <w:tcBorders>
                    <w:top w:val="nil"/>
                    <w:left w:val="single" w:sz="4" w:space="0" w:color="auto"/>
                    <w:bottom w:val="single" w:sz="8" w:space="0" w:color="auto"/>
                    <w:right w:val="single" w:sz="8" w:space="0" w:color="auto"/>
                  </w:tcBorders>
                  <w:vAlign w:val="center"/>
                  <w:hideMark/>
                </w:tcPr>
                <w:p w14:paraId="63CB346C" w14:textId="77777777" w:rsidR="00310280" w:rsidRPr="005D4222" w:rsidRDefault="00310280" w:rsidP="00A53E8C">
                  <w:pPr>
                    <w:pStyle w:val="TableText"/>
                    <w:rPr>
                      <w:kern w:val="20"/>
                      <w:szCs w:val="21"/>
                    </w:rPr>
                  </w:pPr>
                  <w:r w:rsidRPr="005D4222">
                    <w:rPr>
                      <w:kern w:val="20"/>
                      <w:szCs w:val="21"/>
                    </w:rPr>
                    <w:t>For each Metric and Stratification</w:t>
                  </w:r>
                </w:p>
              </w:tc>
            </w:tr>
            <w:tr w:rsidR="00310280" w:rsidRPr="005D4222" w14:paraId="1FCBCC8E" w14:textId="77777777" w:rsidTr="007B5FC3">
              <w:trPr>
                <w:trHeight w:val="234"/>
              </w:trPr>
              <w:tc>
                <w:tcPr>
                  <w:tcW w:w="1131" w:type="dxa"/>
                  <w:tcBorders>
                    <w:top w:val="nil"/>
                    <w:left w:val="nil"/>
                    <w:bottom w:val="nil"/>
                    <w:right w:val="single" w:sz="4" w:space="0" w:color="auto"/>
                  </w:tcBorders>
                  <w:shd w:val="clear" w:color="auto" w:fill="FFFFFF"/>
                  <w:noWrap/>
                  <w:vAlign w:val="center"/>
                  <w:hideMark/>
                </w:tcPr>
                <w:p w14:paraId="73D5960C" w14:textId="77777777" w:rsidR="00310280" w:rsidRPr="005D4222" w:rsidRDefault="00310280" w:rsidP="00A53E8C">
                  <w:pPr>
                    <w:pStyle w:val="TableText"/>
                    <w:rPr>
                      <w:kern w:val="20"/>
                      <w:szCs w:val="21"/>
                    </w:rPr>
                  </w:pPr>
                  <w:r w:rsidRPr="005D4222">
                    <w:rPr>
                      <w:kern w:val="20"/>
                      <w:szCs w:val="21"/>
                    </w:rPr>
                    <w:t xml:space="preserve"> </w:t>
                  </w:r>
                </w:p>
              </w:tc>
              <w:tc>
                <w:tcPr>
                  <w:tcW w:w="1111" w:type="dxa"/>
                  <w:tcBorders>
                    <w:top w:val="single" w:sz="4" w:space="0" w:color="auto"/>
                    <w:left w:val="nil"/>
                    <w:bottom w:val="single" w:sz="4" w:space="0" w:color="auto"/>
                    <w:right w:val="single" w:sz="4" w:space="0" w:color="auto"/>
                  </w:tcBorders>
                  <w:shd w:val="clear" w:color="auto" w:fill="D9D9D9"/>
                  <w:vAlign w:val="center"/>
                  <w:hideMark/>
                </w:tcPr>
                <w:p w14:paraId="63EA514E" w14:textId="77777777" w:rsidR="00310280" w:rsidRPr="005D4222" w:rsidRDefault="00310280" w:rsidP="00A53E8C">
                  <w:pPr>
                    <w:pStyle w:val="TableText"/>
                    <w:rPr>
                      <w:kern w:val="20"/>
                      <w:szCs w:val="21"/>
                    </w:rPr>
                  </w:pPr>
                  <w:r w:rsidRPr="005D4222">
                    <w:rPr>
                      <w:kern w:val="20"/>
                      <w:szCs w:val="21"/>
                    </w:rPr>
                    <w:t>Total</w:t>
                  </w:r>
                </w:p>
              </w:tc>
              <w:tc>
                <w:tcPr>
                  <w:tcW w:w="1890" w:type="dxa"/>
                  <w:tcBorders>
                    <w:top w:val="single" w:sz="4" w:space="0" w:color="auto"/>
                    <w:left w:val="single" w:sz="4" w:space="0" w:color="auto"/>
                    <w:bottom w:val="single" w:sz="4" w:space="0" w:color="auto"/>
                    <w:right w:val="single" w:sz="4" w:space="0" w:color="auto"/>
                  </w:tcBorders>
                  <w:noWrap/>
                  <w:vAlign w:val="center"/>
                  <w:hideMark/>
                </w:tcPr>
                <w:p w14:paraId="2F3DFC6C" w14:textId="77777777" w:rsidR="00310280" w:rsidRPr="005D4222" w:rsidRDefault="00310280" w:rsidP="00A53E8C">
                  <w:pPr>
                    <w:pStyle w:val="TableText"/>
                    <w:rPr>
                      <w:kern w:val="20"/>
                      <w:szCs w:val="21"/>
                    </w:rPr>
                  </w:pPr>
                  <w:r w:rsidRPr="005D4222">
                    <w:rPr>
                      <w:kern w:val="20"/>
                      <w:szCs w:val="21"/>
                    </w:rPr>
                    <w:t>Numerator</w:t>
                  </w:r>
                </w:p>
              </w:tc>
              <w:tc>
                <w:tcPr>
                  <w:tcW w:w="3235" w:type="dxa"/>
                  <w:tcBorders>
                    <w:top w:val="single" w:sz="8" w:space="0" w:color="auto"/>
                    <w:left w:val="single" w:sz="4" w:space="0" w:color="auto"/>
                    <w:bottom w:val="single" w:sz="8" w:space="0" w:color="auto"/>
                    <w:right w:val="single" w:sz="8" w:space="0" w:color="auto"/>
                  </w:tcBorders>
                  <w:vAlign w:val="center"/>
                  <w:hideMark/>
                </w:tcPr>
                <w:p w14:paraId="780981F7" w14:textId="77777777" w:rsidR="00310280" w:rsidRPr="005D4222" w:rsidRDefault="00310280" w:rsidP="00A53E8C">
                  <w:pPr>
                    <w:pStyle w:val="TableText"/>
                    <w:rPr>
                      <w:kern w:val="20"/>
                      <w:szCs w:val="21"/>
                    </w:rPr>
                  </w:pPr>
                  <w:r w:rsidRPr="005D4222">
                    <w:rPr>
                      <w:kern w:val="20"/>
                      <w:szCs w:val="21"/>
                    </w:rPr>
                    <w:t>For each Metric and Stratification</w:t>
                  </w:r>
                </w:p>
              </w:tc>
            </w:tr>
            <w:tr w:rsidR="00310280" w:rsidRPr="005D4222" w14:paraId="31B67716" w14:textId="77777777" w:rsidTr="00A53E8C">
              <w:trPr>
                <w:trHeight w:val="234"/>
              </w:trPr>
              <w:tc>
                <w:tcPr>
                  <w:tcW w:w="1131" w:type="dxa"/>
                  <w:shd w:val="clear" w:color="auto" w:fill="FFFFFF"/>
                  <w:noWrap/>
                  <w:vAlign w:val="center"/>
                  <w:hideMark/>
                </w:tcPr>
                <w:p w14:paraId="687325BF" w14:textId="77777777" w:rsidR="00310280" w:rsidRPr="005D4222" w:rsidRDefault="00310280" w:rsidP="00A53E8C">
                  <w:pPr>
                    <w:rPr>
                      <w:rFonts w:ascii="Arial Narrow" w:hAnsi="Arial Narrow"/>
                      <w:kern w:val="20"/>
                    </w:rPr>
                  </w:pPr>
                </w:p>
              </w:tc>
              <w:tc>
                <w:tcPr>
                  <w:tcW w:w="1111" w:type="dxa"/>
                  <w:tcBorders>
                    <w:top w:val="single" w:sz="4" w:space="0" w:color="auto"/>
                    <w:left w:val="nil"/>
                    <w:bottom w:val="nil"/>
                    <w:right w:val="single" w:sz="4" w:space="0" w:color="auto"/>
                  </w:tcBorders>
                  <w:shd w:val="clear" w:color="auto" w:fill="FFFFFF"/>
                  <w:vAlign w:val="center"/>
                </w:tcPr>
                <w:p w14:paraId="247BF923" w14:textId="77777777" w:rsidR="00310280" w:rsidRPr="005D4222" w:rsidRDefault="00310280" w:rsidP="00A53E8C">
                  <w:pPr>
                    <w:pStyle w:val="TableText"/>
                    <w:rPr>
                      <w:kern w:val="20"/>
                      <w:szCs w:val="21"/>
                    </w:rPr>
                  </w:pPr>
                </w:p>
              </w:tc>
              <w:tc>
                <w:tcPr>
                  <w:tcW w:w="1890"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43118B02" w14:textId="77777777" w:rsidR="00310280" w:rsidRPr="005D4222" w:rsidRDefault="00310280" w:rsidP="00A53E8C">
                  <w:pPr>
                    <w:pStyle w:val="TableText"/>
                    <w:rPr>
                      <w:kern w:val="20"/>
                      <w:szCs w:val="21"/>
                    </w:rPr>
                  </w:pPr>
                  <w:r w:rsidRPr="005D4222">
                    <w:rPr>
                      <w:kern w:val="20"/>
                      <w:szCs w:val="21"/>
                    </w:rPr>
                    <w:t>Rate</w:t>
                  </w:r>
                </w:p>
              </w:tc>
              <w:tc>
                <w:tcPr>
                  <w:tcW w:w="3235" w:type="dxa"/>
                  <w:tcBorders>
                    <w:top w:val="single" w:sz="8" w:space="0" w:color="auto"/>
                    <w:left w:val="single" w:sz="4" w:space="0" w:color="auto"/>
                    <w:bottom w:val="single" w:sz="8" w:space="0" w:color="auto"/>
                    <w:right w:val="single" w:sz="8" w:space="0" w:color="auto"/>
                  </w:tcBorders>
                  <w:shd w:val="clear" w:color="auto" w:fill="D9D9D9"/>
                  <w:vAlign w:val="center"/>
                  <w:hideMark/>
                </w:tcPr>
                <w:p w14:paraId="130E96A8" w14:textId="77777777" w:rsidR="00310280" w:rsidRPr="005D4222" w:rsidRDefault="00310280" w:rsidP="00A53E8C">
                  <w:pPr>
                    <w:pStyle w:val="TableText"/>
                    <w:rPr>
                      <w:kern w:val="20"/>
                      <w:szCs w:val="21"/>
                    </w:rPr>
                  </w:pPr>
                  <w:r w:rsidRPr="005D4222">
                    <w:rPr>
                      <w:kern w:val="20"/>
                      <w:szCs w:val="21"/>
                    </w:rPr>
                    <w:t>(Percent)</w:t>
                  </w:r>
                </w:p>
              </w:tc>
            </w:tr>
          </w:tbl>
          <w:p w14:paraId="4003487B" w14:textId="77777777" w:rsidR="00310280" w:rsidRPr="005D4222" w:rsidRDefault="00310280" w:rsidP="00A53E8C">
            <w:pPr>
              <w:pStyle w:val="ProcessDash"/>
              <w:numPr>
                <w:ilvl w:val="0"/>
                <w:numId w:val="0"/>
              </w:numPr>
              <w:rPr>
                <w:color w:val="000000" w:themeColor="text1"/>
                <w:highlight w:val="yellow"/>
              </w:rPr>
            </w:pPr>
          </w:p>
        </w:tc>
      </w:tr>
      <w:tr w:rsidR="00310280" w:rsidRPr="005D4222" w14:paraId="15B88EAE"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F7F66A5" w14:textId="77777777" w:rsidR="00310280" w:rsidRPr="005D4222" w:rsidRDefault="00310280" w:rsidP="00A53E8C">
            <w:pPr>
              <w:pStyle w:val="MarginHead"/>
            </w:pPr>
            <w:r w:rsidRPr="005D4222">
              <w:t>Rules for Allowable Adjustments</w:t>
            </w:r>
          </w:p>
        </w:tc>
        <w:tc>
          <w:tcPr>
            <w:tcW w:w="7559"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591B5DC" w14:textId="77777777" w:rsidR="00310280" w:rsidRPr="005D4222" w:rsidRDefault="00310280" w:rsidP="00A53E8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51FAA4BE" w14:textId="77777777" w:rsidR="00310280" w:rsidRPr="005D4222" w:rsidRDefault="00310280" w:rsidP="00A53E8C">
            <w:pPr>
              <w:pStyle w:val="ECDSBody"/>
              <w:rPr>
                <w:b/>
              </w:rPr>
            </w:pPr>
            <w:r w:rsidRPr="005D4222">
              <w:rPr>
                <w:b/>
              </w:rPr>
              <w:t>Adjusted HEDIS measures may not be used for HEDIS health plan reporting.</w:t>
            </w:r>
          </w:p>
          <w:p w14:paraId="178EF57A" w14:textId="77777777" w:rsidR="00310280" w:rsidRPr="005D4222" w:rsidRDefault="00310280" w:rsidP="00A53E8C">
            <w:pPr>
              <w:pStyle w:val="Adjustments"/>
            </w:pPr>
            <w:r w:rsidRPr="005D4222">
              <w:t>Adjustments allowed</w:t>
            </w:r>
          </w:p>
          <w:p w14:paraId="626C04BD" w14:textId="1B6371C1" w:rsidR="00310280" w:rsidRPr="005D4222" w:rsidRDefault="00310280" w:rsidP="005D6173">
            <w:pPr>
              <w:pStyle w:val="ProcessBullet"/>
              <w:numPr>
                <w:ilvl w:val="0"/>
                <w:numId w:val="98"/>
              </w:numPr>
              <w:ind w:left="216" w:hanging="216"/>
              <w:rPr>
                <w:b/>
              </w:rPr>
            </w:pPr>
            <w:r w:rsidRPr="005D4222">
              <w:rPr>
                <w:i/>
              </w:rPr>
              <w:t>Product lines</w:t>
            </w:r>
            <w:r w:rsidRPr="005D4222">
              <w:t xml:space="preserve">. </w:t>
            </w:r>
            <w:r w:rsidRPr="005D4222">
              <w:rPr>
                <w:rFonts w:eastAsia="Arial"/>
              </w:rPr>
              <w:t>Organizations are not required to use product line criteria; product lines may be combined</w:t>
            </w:r>
            <w:r w:rsidR="00E8671F" w:rsidRPr="005D4222">
              <w:rPr>
                <w:rFonts w:eastAsia="Arial"/>
              </w:rPr>
              <w:t>,</w:t>
            </w:r>
            <w:r w:rsidRPr="005D4222">
              <w:rPr>
                <w:rFonts w:eastAsia="Arial"/>
              </w:rPr>
              <w:t xml:space="preserve"> and all (or no) product line criteria may be used.</w:t>
            </w:r>
          </w:p>
          <w:p w14:paraId="64FEA212" w14:textId="77777777" w:rsidR="00310280" w:rsidRPr="005D4222" w:rsidRDefault="00310280" w:rsidP="005D6173">
            <w:pPr>
              <w:pStyle w:val="ProcessBullet"/>
              <w:numPr>
                <w:ilvl w:val="0"/>
                <w:numId w:val="98"/>
              </w:numPr>
              <w:ind w:left="216" w:hanging="216"/>
              <w:rPr>
                <w:b/>
              </w:rPr>
            </w:pPr>
            <w:r w:rsidRPr="005D4222">
              <w:rPr>
                <w:i/>
              </w:rPr>
              <w:t>Attribution.</w:t>
            </w:r>
            <w:r w:rsidRPr="005D4222">
              <w:rPr>
                <w:b/>
              </w:rPr>
              <w:t xml:space="preserve"> </w:t>
            </w:r>
            <w:r w:rsidRPr="005D4222">
              <w:rPr>
                <w:rFonts w:eastAsia="Arial"/>
              </w:rPr>
              <w:t>Organizations are not required to use enrollment criteria.</w:t>
            </w:r>
          </w:p>
          <w:p w14:paraId="179C7D75" w14:textId="77777777" w:rsidR="00310280" w:rsidRPr="005D4222" w:rsidRDefault="00310280" w:rsidP="005D6173">
            <w:pPr>
              <w:pStyle w:val="ProcessBullet"/>
              <w:numPr>
                <w:ilvl w:val="0"/>
                <w:numId w:val="98"/>
              </w:numPr>
              <w:ind w:left="216" w:hanging="216"/>
              <w:rPr>
                <w:b/>
              </w:rPr>
            </w:pPr>
            <w:r w:rsidRPr="005D4222">
              <w:rPr>
                <w:i/>
              </w:rPr>
              <w:t>Benefits.</w:t>
            </w:r>
            <w:r w:rsidRPr="005D4222">
              <w:rPr>
                <w:b/>
              </w:rPr>
              <w:t xml:space="preserve"> </w:t>
            </w:r>
            <w:r w:rsidRPr="005D4222">
              <w:t>Organizations are not required to use a benefit.</w:t>
            </w:r>
          </w:p>
          <w:p w14:paraId="6985C113" w14:textId="77777777" w:rsidR="00310280" w:rsidRPr="005D4222" w:rsidRDefault="00310280" w:rsidP="005D6173">
            <w:pPr>
              <w:pStyle w:val="ProcessBullet"/>
              <w:numPr>
                <w:ilvl w:val="0"/>
                <w:numId w:val="98"/>
              </w:numPr>
              <w:ind w:left="216" w:hanging="216"/>
              <w:rPr>
                <w:b/>
              </w:rPr>
            </w:pPr>
            <w:r w:rsidRPr="005D4222">
              <w:rPr>
                <w:i/>
              </w:rPr>
              <w:t>Other.</w:t>
            </w:r>
            <w:r w:rsidRPr="005D4222">
              <w:rPr>
                <w:b/>
              </w:rPr>
              <w:t xml:space="preserve"> </w:t>
            </w:r>
            <w:r w:rsidRPr="005D4222">
              <w:rPr>
                <w:bCs/>
              </w:rPr>
              <w:t>Organizations may use additional initial population criteria to focus on an area of interest defined by gender, race, ethnicity, socioeconomic or sociodemographic characteristics, geographic region or another characteristic.</w:t>
            </w:r>
            <w:r w:rsidRPr="005D4222">
              <w:rPr>
                <w:b/>
              </w:rPr>
              <w:t xml:space="preserve">  </w:t>
            </w:r>
          </w:p>
          <w:p w14:paraId="4B4CF25C" w14:textId="77777777" w:rsidR="00310280" w:rsidRPr="005D4222" w:rsidRDefault="00310280" w:rsidP="005D6173">
            <w:pPr>
              <w:pStyle w:val="ProcessBullet"/>
              <w:numPr>
                <w:ilvl w:val="0"/>
                <w:numId w:val="98"/>
              </w:numPr>
              <w:ind w:left="216" w:hanging="216"/>
              <w:rPr>
                <w:b/>
                <w:bCs/>
                <w:i/>
                <w:iCs/>
              </w:rPr>
            </w:pPr>
            <w:r w:rsidRPr="005D4222">
              <w:rPr>
                <w:i/>
                <w:iCs/>
              </w:rPr>
              <w:t>Measurement period adjustments.</w:t>
            </w:r>
            <w:r w:rsidRPr="005D4222">
              <w:t xml:space="preserve"> Organizations may adjust the measurement period.</w:t>
            </w:r>
          </w:p>
          <w:p w14:paraId="61FA81F2" w14:textId="77777777" w:rsidR="00310280" w:rsidRPr="005D4222" w:rsidRDefault="00310280" w:rsidP="005D6173">
            <w:pPr>
              <w:pStyle w:val="ProcessBullet"/>
              <w:numPr>
                <w:ilvl w:val="0"/>
                <w:numId w:val="98"/>
              </w:numPr>
              <w:ind w:left="216" w:hanging="216"/>
              <w:rPr>
                <w:b/>
                <w:i/>
                <w:iCs/>
              </w:rPr>
            </w:pPr>
            <w:r w:rsidRPr="005D4222">
              <w:rPr>
                <w:rFonts w:eastAsia="Arial"/>
                <w:i/>
              </w:rPr>
              <w:t xml:space="preserve">Exclusions: </w:t>
            </w:r>
            <w:r w:rsidRPr="005D4222">
              <w:rPr>
                <w:rFonts w:eastAsia="Arial"/>
              </w:rPr>
              <w:t>Hospice and deceased person exclusions are</w:t>
            </w:r>
            <w:r w:rsidRPr="005D4222">
              <w:t xml:space="preserve"> not required.</w:t>
            </w:r>
          </w:p>
          <w:p w14:paraId="6258088A" w14:textId="77777777" w:rsidR="00310280" w:rsidRPr="005D4222" w:rsidRDefault="00310280" w:rsidP="005D6173">
            <w:pPr>
              <w:pStyle w:val="ProcessBullet"/>
              <w:numPr>
                <w:ilvl w:val="0"/>
                <w:numId w:val="98"/>
              </w:numPr>
              <w:ind w:left="216" w:hanging="216"/>
            </w:pPr>
            <w:r w:rsidRPr="005D4222">
              <w:rPr>
                <w:i/>
                <w:iCs/>
              </w:rPr>
              <w:t>Telehealth</w:t>
            </w:r>
            <w:r w:rsidRPr="005D4222">
              <w:t>.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p w14:paraId="664C77FD" w14:textId="77777777" w:rsidR="00310280" w:rsidRPr="005D4222" w:rsidRDefault="00310280" w:rsidP="00A53E8C">
            <w:pPr>
              <w:pStyle w:val="Adjustments"/>
            </w:pPr>
            <w:r w:rsidRPr="005D4222">
              <w:t>Adjustments allowed with limits</w:t>
            </w:r>
          </w:p>
          <w:p w14:paraId="1EA4074B" w14:textId="77777777" w:rsidR="00310280" w:rsidRPr="005D4222" w:rsidRDefault="00310280" w:rsidP="005D6173">
            <w:pPr>
              <w:pStyle w:val="ProcessBullet"/>
              <w:numPr>
                <w:ilvl w:val="0"/>
                <w:numId w:val="98"/>
              </w:numPr>
              <w:spacing w:after="80"/>
              <w:ind w:left="216" w:hanging="216"/>
              <w:rPr>
                <w:rFonts w:eastAsia="Arial"/>
                <w:kern w:val="20"/>
              </w:rPr>
            </w:pPr>
            <w:r w:rsidRPr="005D4222">
              <w:rPr>
                <w:i/>
              </w:rPr>
              <w:t>Ages</w:t>
            </w:r>
            <w:r w:rsidRPr="005D4222">
              <w:t>. The age determination dates may be changed (e.g., select, “age as of June 30”). Changing the denominator age range is allowed if the limits are within the specified age range (18 years and older). Organizations must consult UPSTSF guidelines when considering whether to expand the age range outside current thresholds.</w:t>
            </w:r>
          </w:p>
        </w:tc>
      </w:tr>
    </w:tbl>
    <w:p w14:paraId="58165CC0" w14:textId="77777777" w:rsidR="00E865B9" w:rsidRPr="005D4222" w:rsidRDefault="00E865B9">
      <w:r w:rsidRPr="005D4222">
        <w:br w:type="page"/>
      </w:r>
    </w:p>
    <w:tbl>
      <w:tblPr>
        <w:tblW w:w="5002"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40" w:type="dxa"/>
          <w:left w:w="15" w:type="dxa"/>
          <w:bottom w:w="40" w:type="dxa"/>
          <w:right w:w="15" w:type="dxa"/>
        </w:tblCellMar>
        <w:tblLook w:val="04A0" w:firstRow="1" w:lastRow="0" w:firstColumn="1" w:lastColumn="0" w:noHBand="0" w:noVBand="1"/>
      </w:tblPr>
      <w:tblGrid>
        <w:gridCol w:w="2157"/>
        <w:gridCol w:w="7559"/>
      </w:tblGrid>
      <w:tr w:rsidR="00310280" w:rsidRPr="005D4222" w14:paraId="7442BE47"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4467928" w14:textId="77777777" w:rsidR="00310280" w:rsidRPr="005D4222" w:rsidRDefault="00310280" w:rsidP="00A53E8C">
            <w:pPr>
              <w:pStyle w:val="MarginHead"/>
            </w:pPr>
          </w:p>
        </w:tc>
        <w:tc>
          <w:tcPr>
            <w:tcW w:w="7559"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EA2EC76" w14:textId="77777777" w:rsidR="00310280" w:rsidRPr="005D4222" w:rsidRDefault="00310280" w:rsidP="005B6A46">
            <w:pPr>
              <w:pStyle w:val="Adjustments"/>
              <w:spacing w:before="120"/>
            </w:pPr>
            <w:r w:rsidRPr="005D4222">
              <w:t>Adjustments not allowed</w:t>
            </w:r>
          </w:p>
          <w:p w14:paraId="4B567183" w14:textId="77777777" w:rsidR="00310280" w:rsidRPr="005D4222" w:rsidRDefault="00310280" w:rsidP="005D6173">
            <w:pPr>
              <w:pStyle w:val="ProcessBullet"/>
              <w:numPr>
                <w:ilvl w:val="0"/>
                <w:numId w:val="98"/>
              </w:numPr>
              <w:ind w:left="216" w:hanging="216"/>
              <w:rPr>
                <w:i/>
                <w:iCs/>
              </w:rPr>
            </w:pPr>
            <w:r w:rsidRPr="005D4222">
              <w:rPr>
                <w:i/>
              </w:rPr>
              <w:t>Initial population:</w:t>
            </w:r>
            <w:r w:rsidRPr="005D4222">
              <w:rPr>
                <w:iCs/>
              </w:rPr>
              <w:t xml:space="preserve"> Event.</w:t>
            </w:r>
            <w:r w:rsidRPr="005D4222">
              <w:rPr>
                <w:i/>
              </w:rPr>
              <w:t xml:space="preserve"> </w:t>
            </w:r>
            <w:r w:rsidRPr="005D4222">
              <w:t>Value sets, medication lists and direct reference codes and logic may not be changed for denominator 2.</w:t>
            </w:r>
          </w:p>
          <w:p w14:paraId="4E4D982A" w14:textId="77777777" w:rsidR="00310280" w:rsidRPr="005D4222" w:rsidRDefault="00310280" w:rsidP="005D6173">
            <w:pPr>
              <w:pStyle w:val="ProcessBullet"/>
              <w:numPr>
                <w:ilvl w:val="0"/>
                <w:numId w:val="98"/>
              </w:numPr>
              <w:ind w:left="216" w:hanging="216"/>
              <w:rPr>
                <w:i/>
              </w:rPr>
            </w:pPr>
            <w:r w:rsidRPr="005D4222">
              <w:rPr>
                <w:i/>
                <w:iCs/>
              </w:rPr>
              <w:t xml:space="preserve">Exclusions. </w:t>
            </w:r>
            <w:r w:rsidRPr="005D4222">
              <w:t xml:space="preserve">The alcohol use disorder and dementia exclusions must be applied. Value sets and logic may not be changed. </w:t>
            </w:r>
          </w:p>
          <w:p w14:paraId="11D35A7A" w14:textId="23BC65A8" w:rsidR="00310280" w:rsidRPr="005D4222" w:rsidRDefault="00DE550E" w:rsidP="005D6173">
            <w:pPr>
              <w:pStyle w:val="ProcessBullet"/>
              <w:numPr>
                <w:ilvl w:val="0"/>
                <w:numId w:val="98"/>
              </w:numPr>
              <w:spacing w:after="80"/>
              <w:ind w:left="216" w:hanging="216"/>
              <w:rPr>
                <w:b/>
                <w:i/>
              </w:rPr>
            </w:pPr>
            <w:r w:rsidRPr="005D4222">
              <w:rPr>
                <w:rFonts w:eastAsia="Arial"/>
                <w:i/>
                <w:iCs/>
                <w:kern w:val="20"/>
              </w:rPr>
              <w:t>Numerator.</w:t>
            </w:r>
            <w:r w:rsidR="00310280" w:rsidRPr="005D4222">
              <w:rPr>
                <w:rFonts w:eastAsia="Arial"/>
                <w:kern w:val="20"/>
              </w:rPr>
              <w:t xml:space="preserve"> Value sets, direct reference codes and logic may not be changed.</w:t>
            </w:r>
          </w:p>
        </w:tc>
      </w:tr>
    </w:tbl>
    <w:p w14:paraId="4249CF06" w14:textId="77777777" w:rsidR="00B92BDC" w:rsidRPr="005D4222" w:rsidRDefault="00B92BDC" w:rsidP="005E28E6">
      <w:pPr>
        <w:pStyle w:val="ECDSBody"/>
        <w:sectPr w:rsidR="00B92BDC" w:rsidRPr="005D4222" w:rsidSect="0074514A">
          <w:headerReference w:type="default" r:id="rId233"/>
          <w:type w:val="nextColumn"/>
          <w:pgSz w:w="12240" w:h="15840" w:code="1"/>
          <w:pgMar w:top="1080" w:right="1080" w:bottom="1080" w:left="1440" w:header="720" w:footer="720" w:gutter="0"/>
          <w:cols w:space="720"/>
          <w:docGrid w:linePitch="360"/>
        </w:sectPr>
      </w:pPr>
    </w:p>
    <w:p w14:paraId="17BCA8F0" w14:textId="469D9027" w:rsidR="005E28E6" w:rsidRPr="005D4222" w:rsidRDefault="00AD5623" w:rsidP="00AD5623">
      <w:pPr>
        <w:pStyle w:val="MeasureTitle"/>
        <w:rPr>
          <w:rFonts w:eastAsia="Arial"/>
        </w:rPr>
      </w:pPr>
      <w:bookmarkStart w:id="428" w:name="_Toc201813483"/>
      <w:r w:rsidRPr="005D4222">
        <w:rPr>
          <w:rFonts w:eastAsia="Arial"/>
        </w:rPr>
        <w:lastRenderedPageBreak/>
        <w:t>Tobacco Use Screening and Cessation Intervention</w:t>
      </w:r>
      <w:r w:rsidR="008A5901" w:rsidRPr="005D4222">
        <w:rPr>
          <w:rFonts w:eastAsia="Arial"/>
        </w:rPr>
        <w:t xml:space="preserve"> (TSC-E)</w:t>
      </w:r>
      <w:bookmarkEnd w:id="428"/>
    </w:p>
    <w:tbl>
      <w:tblPr>
        <w:tblW w:w="4957" w:type="pct"/>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2152"/>
        <w:gridCol w:w="4798"/>
        <w:gridCol w:w="1502"/>
        <w:gridCol w:w="1169"/>
      </w:tblGrid>
      <w:tr w:rsidR="000263AF" w:rsidRPr="005D4222" w14:paraId="191FAA2F" w14:textId="77777777" w:rsidTr="00A53E8C">
        <w:trPr>
          <w:trHeight w:val="396"/>
        </w:trPr>
        <w:tc>
          <w:tcPr>
            <w:tcW w:w="2152" w:type="dxa"/>
            <w:tcBorders>
              <w:top w:val="single" w:sz="6" w:space="0" w:color="auto"/>
              <w:left w:val="single" w:sz="6" w:space="0" w:color="auto"/>
              <w:bottom w:val="single" w:sz="6" w:space="0" w:color="auto"/>
              <w:right w:val="single" w:sz="6" w:space="0" w:color="auto"/>
            </w:tcBorders>
            <w:shd w:val="clear" w:color="auto" w:fill="BEBEBE"/>
            <w:tcMar>
              <w:top w:w="0" w:type="dxa"/>
              <w:left w:w="86" w:type="dxa"/>
              <w:bottom w:w="43" w:type="dxa"/>
              <w:right w:w="86" w:type="dxa"/>
            </w:tcMar>
          </w:tcPr>
          <w:p w14:paraId="70355E89" w14:textId="77777777" w:rsidR="000263AF" w:rsidRPr="005D4222" w:rsidRDefault="000263AF" w:rsidP="00DC1F87">
            <w:pPr>
              <w:pStyle w:val="ECDSMarginHead"/>
              <w:rPr>
                <w:rFonts w:eastAsia="Arial"/>
              </w:rPr>
            </w:pPr>
            <w:r w:rsidRPr="005D4222">
              <w:rPr>
                <w:rFonts w:eastAsia="Arial"/>
              </w:rPr>
              <w:t>Measure title</w:t>
            </w:r>
          </w:p>
        </w:tc>
        <w:tc>
          <w:tcPr>
            <w:tcW w:w="4798" w:type="dxa"/>
            <w:tcBorders>
              <w:top w:val="single" w:sz="6" w:space="0" w:color="auto"/>
              <w:left w:val="single" w:sz="6" w:space="0" w:color="auto"/>
              <w:bottom w:val="single" w:sz="6" w:space="0" w:color="auto"/>
              <w:right w:val="single" w:sz="4" w:space="0" w:color="auto"/>
            </w:tcBorders>
            <w:tcMar>
              <w:top w:w="0" w:type="dxa"/>
              <w:left w:w="86" w:type="dxa"/>
              <w:bottom w:w="43" w:type="dxa"/>
              <w:right w:w="86" w:type="dxa"/>
            </w:tcMar>
          </w:tcPr>
          <w:p w14:paraId="4A7890AD" w14:textId="77777777" w:rsidR="000263AF" w:rsidRPr="005D4222" w:rsidRDefault="000263AF" w:rsidP="00A53E8C">
            <w:pPr>
              <w:pStyle w:val="ECDSBody"/>
              <w:rPr>
                <w:rFonts w:eastAsia="Arial"/>
              </w:rPr>
            </w:pPr>
            <w:r w:rsidRPr="005D4222">
              <w:rPr>
                <w:rFonts w:eastAsia="Arial"/>
              </w:rPr>
              <w:t>Tobacco Use Screening and Cessation Intervention</w:t>
            </w:r>
          </w:p>
        </w:tc>
        <w:tc>
          <w:tcPr>
            <w:tcW w:w="1502" w:type="dxa"/>
            <w:tcBorders>
              <w:top w:val="single" w:sz="6" w:space="0" w:color="auto"/>
              <w:left w:val="single" w:sz="4" w:space="0" w:color="auto"/>
              <w:bottom w:val="single" w:sz="6" w:space="0" w:color="auto"/>
              <w:right w:val="single" w:sz="4" w:space="0" w:color="auto"/>
            </w:tcBorders>
            <w:shd w:val="clear" w:color="auto" w:fill="BFBFBF" w:themeFill="background1" w:themeFillShade="BF"/>
            <w:tcMar>
              <w:left w:w="86" w:type="dxa"/>
              <w:bottom w:w="43" w:type="dxa"/>
              <w:right w:w="86" w:type="dxa"/>
            </w:tcMar>
          </w:tcPr>
          <w:p w14:paraId="0E530DB3" w14:textId="77777777" w:rsidR="000263AF" w:rsidRPr="005D4222" w:rsidRDefault="000263AF" w:rsidP="00DC1F87">
            <w:pPr>
              <w:pStyle w:val="ECDSMarginHead"/>
              <w:rPr>
                <w:rFonts w:eastAsia="Arial"/>
              </w:rPr>
            </w:pPr>
            <w:r w:rsidRPr="005D4222">
              <w:t>Measure ID</w:t>
            </w:r>
          </w:p>
        </w:tc>
        <w:tc>
          <w:tcPr>
            <w:tcW w:w="1169" w:type="dxa"/>
            <w:tcBorders>
              <w:top w:val="single" w:sz="6" w:space="0" w:color="auto"/>
              <w:left w:val="single" w:sz="4" w:space="0" w:color="auto"/>
              <w:bottom w:val="single" w:sz="6" w:space="0" w:color="auto"/>
              <w:right w:val="single" w:sz="6" w:space="0" w:color="auto"/>
            </w:tcBorders>
            <w:tcMar>
              <w:left w:w="86" w:type="dxa"/>
              <w:bottom w:w="43" w:type="dxa"/>
              <w:right w:w="86" w:type="dxa"/>
            </w:tcMar>
          </w:tcPr>
          <w:p w14:paraId="23413F21" w14:textId="77777777" w:rsidR="000263AF" w:rsidRPr="005D4222" w:rsidRDefault="000263AF" w:rsidP="00A53E8C">
            <w:pPr>
              <w:pStyle w:val="ECDSBody"/>
              <w:rPr>
                <w:rFonts w:eastAsia="Arial"/>
              </w:rPr>
            </w:pPr>
            <w:r w:rsidRPr="005D4222">
              <w:rPr>
                <w:rFonts w:eastAsia="Arial"/>
              </w:rPr>
              <w:t>TSC-E</w:t>
            </w:r>
          </w:p>
        </w:tc>
      </w:tr>
      <w:tr w:rsidR="000263AF" w:rsidRPr="005D4222" w14:paraId="71AEB4F5" w14:textId="77777777" w:rsidTr="00A53E8C">
        <w:tc>
          <w:tcPr>
            <w:tcW w:w="2152" w:type="dxa"/>
            <w:tcBorders>
              <w:top w:val="single" w:sz="6" w:space="0" w:color="auto"/>
              <w:left w:val="single" w:sz="6" w:space="0" w:color="auto"/>
              <w:bottom w:val="single" w:sz="6" w:space="0" w:color="auto"/>
              <w:right w:val="single" w:sz="6" w:space="0" w:color="auto"/>
            </w:tcBorders>
            <w:shd w:val="clear" w:color="auto" w:fill="BEBEBE"/>
            <w:tcMar>
              <w:top w:w="0" w:type="dxa"/>
              <w:left w:w="86" w:type="dxa"/>
              <w:bottom w:w="43" w:type="dxa"/>
              <w:right w:w="86" w:type="dxa"/>
            </w:tcMar>
          </w:tcPr>
          <w:p w14:paraId="6ED094B4" w14:textId="77777777" w:rsidR="000263AF" w:rsidRPr="005D4222" w:rsidRDefault="000263AF" w:rsidP="00DC1F87">
            <w:pPr>
              <w:pStyle w:val="ECDSMarginHead"/>
              <w:rPr>
                <w:rFonts w:eastAsia="Arial"/>
              </w:rPr>
            </w:pPr>
            <w:r w:rsidRPr="005D4222">
              <w:rPr>
                <w:rFonts w:eastAsia="Arial"/>
              </w:rPr>
              <w:t>Description</w:t>
            </w:r>
          </w:p>
        </w:tc>
        <w:tc>
          <w:tcPr>
            <w:tcW w:w="7469" w:type="dxa"/>
            <w:gridSpan w:val="3"/>
            <w:tcBorders>
              <w:top w:val="single" w:sz="6" w:space="0" w:color="auto"/>
              <w:left w:val="single" w:sz="6" w:space="0" w:color="auto"/>
              <w:bottom w:val="single" w:sz="6" w:space="0" w:color="auto"/>
              <w:right w:val="single" w:sz="6" w:space="0" w:color="auto"/>
            </w:tcBorders>
            <w:tcMar>
              <w:top w:w="0" w:type="dxa"/>
              <w:left w:w="86" w:type="dxa"/>
              <w:bottom w:w="43" w:type="dxa"/>
              <w:right w:w="86" w:type="dxa"/>
            </w:tcMar>
          </w:tcPr>
          <w:p w14:paraId="52E5B01B" w14:textId="77777777" w:rsidR="000263AF" w:rsidRPr="005D4222" w:rsidRDefault="000263AF" w:rsidP="00A53E8C">
            <w:pPr>
              <w:pStyle w:val="ECDSBody"/>
              <w:rPr>
                <w:rFonts w:eastAsia="Arial"/>
              </w:rPr>
            </w:pPr>
            <w:r w:rsidRPr="005D4222">
              <w:rPr>
                <w:rFonts w:eastAsia="Arial"/>
              </w:rPr>
              <w:t xml:space="preserve">The percentage of persons 12 years of age and older who were screened for commercial tobacco product use at least once during the measurement period, and who received tobacco cessation intervention if identified as a tobacco user. Two rates are reported: </w:t>
            </w:r>
          </w:p>
          <w:p w14:paraId="50A1D93E" w14:textId="7CE0AF0E" w:rsidR="000263AF" w:rsidRPr="005D4222" w:rsidRDefault="00DC1F87" w:rsidP="00DC1F87">
            <w:pPr>
              <w:pStyle w:val="ECDSBody"/>
              <w:tabs>
                <w:tab w:val="clear" w:pos="1368"/>
              </w:tabs>
              <w:spacing w:before="80"/>
              <w:ind w:left="648" w:hanging="288"/>
              <w:rPr>
                <w:rFonts w:eastAsia="Arial"/>
              </w:rPr>
            </w:pPr>
            <w:r w:rsidRPr="005D4222">
              <w:rPr>
                <w:rFonts w:eastAsia="Arial"/>
              </w:rPr>
              <w:t>1.</w:t>
            </w:r>
            <w:r w:rsidRPr="005D4222">
              <w:rPr>
                <w:rFonts w:eastAsia="Arial"/>
              </w:rPr>
              <w:tab/>
            </w:r>
            <w:r w:rsidR="000263AF" w:rsidRPr="005D4222">
              <w:rPr>
                <w:rFonts w:eastAsia="Arial"/>
                <w:i/>
                <w:iCs/>
              </w:rPr>
              <w:t>Tobacco Use Screening.</w:t>
            </w:r>
            <w:r w:rsidR="000263AF" w:rsidRPr="005D4222">
              <w:rPr>
                <w:rFonts w:eastAsia="Arial"/>
              </w:rPr>
              <w:t xml:space="preserve"> The percentage of persons who were screened for tobacco use. </w:t>
            </w:r>
          </w:p>
          <w:p w14:paraId="6C180CC4" w14:textId="5E0D9DAE" w:rsidR="000263AF" w:rsidRPr="005D4222" w:rsidRDefault="00DC1F87" w:rsidP="00DC1F87">
            <w:pPr>
              <w:pStyle w:val="ECDSBody"/>
              <w:tabs>
                <w:tab w:val="clear" w:pos="1368"/>
              </w:tabs>
              <w:spacing w:before="80"/>
              <w:ind w:left="648" w:hanging="288"/>
              <w:rPr>
                <w:rFonts w:eastAsia="Arial"/>
                <w:sz w:val="20"/>
                <w:szCs w:val="20"/>
              </w:rPr>
            </w:pPr>
            <w:r w:rsidRPr="005D4222">
              <w:rPr>
                <w:rFonts w:eastAsia="Arial"/>
              </w:rPr>
              <w:t>2.</w:t>
            </w:r>
            <w:r w:rsidRPr="005D4222">
              <w:rPr>
                <w:rFonts w:eastAsia="Arial"/>
              </w:rPr>
              <w:tab/>
            </w:r>
            <w:r w:rsidR="000263AF" w:rsidRPr="005D4222">
              <w:rPr>
                <w:rFonts w:eastAsia="Arial"/>
                <w:i/>
                <w:iCs/>
              </w:rPr>
              <w:t>Cessation Intervention.</w:t>
            </w:r>
            <w:r w:rsidR="000263AF" w:rsidRPr="005D4222">
              <w:rPr>
                <w:rFonts w:eastAsia="Arial"/>
              </w:rPr>
              <w:t xml:space="preserve"> The percentage of persons who were identified as a tobacco user and who received tobacco cessation intervention.</w:t>
            </w:r>
          </w:p>
        </w:tc>
      </w:tr>
      <w:tr w:rsidR="000263AF" w:rsidRPr="005D4222" w14:paraId="3A5E7CF5" w14:textId="77777777" w:rsidTr="00A53E8C">
        <w:trPr>
          <w:trHeight w:val="360"/>
        </w:trPr>
        <w:tc>
          <w:tcPr>
            <w:tcW w:w="2152" w:type="dxa"/>
            <w:tcBorders>
              <w:top w:val="single" w:sz="6" w:space="0" w:color="auto"/>
              <w:left w:val="single" w:sz="6" w:space="0" w:color="auto"/>
              <w:bottom w:val="single" w:sz="6" w:space="0" w:color="auto"/>
              <w:right w:val="single" w:sz="6" w:space="0" w:color="auto"/>
            </w:tcBorders>
            <w:shd w:val="clear" w:color="auto" w:fill="BEBEBE"/>
            <w:tcMar>
              <w:top w:w="0" w:type="dxa"/>
              <w:left w:w="86" w:type="dxa"/>
              <w:bottom w:w="43" w:type="dxa"/>
              <w:right w:w="86" w:type="dxa"/>
            </w:tcMar>
          </w:tcPr>
          <w:p w14:paraId="566121A6" w14:textId="77777777" w:rsidR="000263AF" w:rsidRPr="005D4222" w:rsidRDefault="000263AF" w:rsidP="00DC1F87">
            <w:pPr>
              <w:pStyle w:val="ECDSMarginHead"/>
              <w:rPr>
                <w:rFonts w:eastAsia="Arial"/>
              </w:rPr>
            </w:pPr>
            <w:r w:rsidRPr="005D4222">
              <w:rPr>
                <w:rFonts w:eastAsia="Arial"/>
              </w:rPr>
              <w:t>Measurement period</w:t>
            </w:r>
          </w:p>
        </w:tc>
        <w:tc>
          <w:tcPr>
            <w:tcW w:w="7469" w:type="dxa"/>
            <w:gridSpan w:val="3"/>
            <w:tcBorders>
              <w:top w:val="single" w:sz="6" w:space="0" w:color="auto"/>
              <w:left w:val="single" w:sz="6" w:space="0" w:color="auto"/>
              <w:bottom w:val="single" w:sz="6" w:space="0" w:color="auto"/>
              <w:right w:val="single" w:sz="6" w:space="0" w:color="auto"/>
            </w:tcBorders>
            <w:tcMar>
              <w:top w:w="0" w:type="dxa"/>
              <w:left w:w="86" w:type="dxa"/>
              <w:bottom w:w="43" w:type="dxa"/>
              <w:right w:w="86" w:type="dxa"/>
            </w:tcMar>
          </w:tcPr>
          <w:p w14:paraId="6754C6E0" w14:textId="77777777" w:rsidR="000263AF" w:rsidRPr="005D4222" w:rsidRDefault="000263AF" w:rsidP="00A53E8C">
            <w:pPr>
              <w:pStyle w:val="ECDSBody"/>
              <w:rPr>
                <w:rFonts w:eastAsia="Arial"/>
              </w:rPr>
            </w:pPr>
            <w:r w:rsidRPr="005D4222">
              <w:rPr>
                <w:rFonts w:eastAsia="Arial"/>
              </w:rPr>
              <w:t>January 1–December 31.</w:t>
            </w:r>
          </w:p>
        </w:tc>
      </w:tr>
      <w:tr w:rsidR="000263AF" w:rsidRPr="005D4222" w14:paraId="31287B3E" w14:textId="77777777" w:rsidTr="00A53E8C">
        <w:trPr>
          <w:trHeight w:val="360"/>
        </w:trPr>
        <w:tc>
          <w:tcPr>
            <w:tcW w:w="2152" w:type="dxa"/>
            <w:tcBorders>
              <w:top w:val="single" w:sz="6" w:space="0" w:color="auto"/>
              <w:left w:val="single" w:sz="6" w:space="0" w:color="auto"/>
              <w:bottom w:val="single" w:sz="6" w:space="0" w:color="auto"/>
              <w:right w:val="single" w:sz="6" w:space="0" w:color="auto"/>
            </w:tcBorders>
            <w:shd w:val="clear" w:color="auto" w:fill="BEBEBE"/>
            <w:tcMar>
              <w:top w:w="0" w:type="dxa"/>
              <w:left w:w="86" w:type="dxa"/>
              <w:bottom w:w="43" w:type="dxa"/>
              <w:right w:w="86" w:type="dxa"/>
            </w:tcMar>
          </w:tcPr>
          <w:p w14:paraId="55EC86F6" w14:textId="77777777" w:rsidR="000263AF" w:rsidRPr="005D4222" w:rsidRDefault="000263AF" w:rsidP="00DC1F87">
            <w:pPr>
              <w:pStyle w:val="ECDSMarginHead"/>
              <w:rPr>
                <w:rFonts w:eastAsia="Arial"/>
              </w:rPr>
            </w:pPr>
            <w:r w:rsidRPr="005D4222">
              <w:rPr>
                <w:rFonts w:eastAsia="Arial"/>
              </w:rPr>
              <w:t>Copyright and disclaimer notice</w:t>
            </w:r>
          </w:p>
        </w:tc>
        <w:tc>
          <w:tcPr>
            <w:tcW w:w="7469" w:type="dxa"/>
            <w:gridSpan w:val="3"/>
            <w:tcBorders>
              <w:top w:val="single" w:sz="6" w:space="0" w:color="auto"/>
              <w:left w:val="single" w:sz="6" w:space="0" w:color="auto"/>
              <w:bottom w:val="single" w:sz="6" w:space="0" w:color="auto"/>
              <w:right w:val="single" w:sz="6" w:space="0" w:color="auto"/>
            </w:tcBorders>
            <w:tcMar>
              <w:top w:w="0" w:type="dxa"/>
              <w:left w:w="86" w:type="dxa"/>
              <w:bottom w:w="43" w:type="dxa"/>
              <w:right w:w="86" w:type="dxa"/>
            </w:tcMar>
          </w:tcPr>
          <w:p w14:paraId="6E0281E7" w14:textId="77777777" w:rsidR="000263AF" w:rsidRPr="005D4222" w:rsidRDefault="000263AF" w:rsidP="00A53E8C">
            <w:pPr>
              <w:pStyle w:val="ECDSBody"/>
              <w:rPr>
                <w:color w:val="000000" w:themeColor="text1"/>
              </w:rPr>
            </w:pPr>
            <w:r w:rsidRPr="005D4222">
              <w:rPr>
                <w:color w:val="000000" w:themeColor="text1"/>
              </w:rPr>
              <w:t xml:space="preserve">Refer to the complete copyright and disclaimer information at the front of this publication.  </w:t>
            </w:r>
          </w:p>
          <w:p w14:paraId="713E6264" w14:textId="77777777" w:rsidR="000263AF" w:rsidRPr="005D4222" w:rsidRDefault="000263AF" w:rsidP="00A53E8C">
            <w:pPr>
              <w:pStyle w:val="ECDSBody"/>
              <w:spacing w:before="80"/>
              <w:rPr>
                <w:color w:val="000000" w:themeColor="text1"/>
              </w:rPr>
            </w:pPr>
            <w:r w:rsidRPr="005D4222">
              <w:rPr>
                <w:color w:val="000000" w:themeColor="text1"/>
              </w:rPr>
              <w:t xml:space="preserve">NCQA website: </w:t>
            </w:r>
            <w:r w:rsidRPr="005D4222">
              <w:rPr>
                <w:sz w:val="20"/>
                <w:szCs w:val="20"/>
                <w:u w:val="single"/>
              </w:rPr>
              <w:t>www.ncqa.org</w:t>
            </w:r>
            <w:r w:rsidRPr="005D4222">
              <w:rPr>
                <w:color w:val="000000" w:themeColor="text1"/>
              </w:rPr>
              <w:t xml:space="preserve">.    </w:t>
            </w:r>
          </w:p>
          <w:p w14:paraId="015190B1" w14:textId="77777777" w:rsidR="000263AF" w:rsidRPr="005D4222" w:rsidRDefault="000263AF" w:rsidP="00A53E8C">
            <w:pPr>
              <w:pStyle w:val="ECDSBody"/>
              <w:spacing w:before="80"/>
              <w:rPr>
                <w:rFonts w:eastAsia="Arial"/>
              </w:rPr>
            </w:pPr>
            <w:r w:rsidRPr="005D4222">
              <w:rPr>
                <w:color w:val="000000" w:themeColor="text1"/>
              </w:rPr>
              <w:t>Submit policy clarification support questions via My NCQA (https://my.ncqa.org).</w:t>
            </w:r>
          </w:p>
        </w:tc>
      </w:tr>
      <w:tr w:rsidR="000263AF" w:rsidRPr="005D4222" w14:paraId="3BFB49C9" w14:textId="77777777" w:rsidTr="00A53E8C">
        <w:trPr>
          <w:trHeight w:val="360"/>
        </w:trPr>
        <w:tc>
          <w:tcPr>
            <w:tcW w:w="2152" w:type="dxa"/>
            <w:tcBorders>
              <w:top w:val="single" w:sz="6" w:space="0" w:color="auto"/>
              <w:left w:val="single" w:sz="6" w:space="0" w:color="auto"/>
              <w:bottom w:val="single" w:sz="6" w:space="0" w:color="auto"/>
              <w:right w:val="single" w:sz="6" w:space="0" w:color="auto"/>
            </w:tcBorders>
            <w:shd w:val="clear" w:color="auto" w:fill="BEBEBE"/>
            <w:tcMar>
              <w:top w:w="0" w:type="dxa"/>
              <w:left w:w="86" w:type="dxa"/>
              <w:bottom w:w="43" w:type="dxa"/>
              <w:right w:w="86" w:type="dxa"/>
            </w:tcMar>
          </w:tcPr>
          <w:p w14:paraId="790CC20D" w14:textId="77777777" w:rsidR="000263AF" w:rsidRPr="005D4222" w:rsidRDefault="000263AF" w:rsidP="00DC1F87">
            <w:pPr>
              <w:pStyle w:val="ECDSMarginHead"/>
              <w:rPr>
                <w:rFonts w:eastAsia="Arial"/>
              </w:rPr>
            </w:pPr>
            <w:r w:rsidRPr="005D4222">
              <w:rPr>
                <w:rFonts w:eastAsia="Arial"/>
              </w:rPr>
              <w:t>Clinical recommendation statement</w:t>
            </w:r>
          </w:p>
        </w:tc>
        <w:tc>
          <w:tcPr>
            <w:tcW w:w="7469" w:type="dxa"/>
            <w:gridSpan w:val="3"/>
            <w:tcBorders>
              <w:top w:val="single" w:sz="6" w:space="0" w:color="auto"/>
              <w:left w:val="single" w:sz="6" w:space="0" w:color="auto"/>
              <w:bottom w:val="single" w:sz="6" w:space="0" w:color="auto"/>
              <w:right w:val="single" w:sz="6" w:space="0" w:color="auto"/>
            </w:tcBorders>
            <w:tcMar>
              <w:top w:w="0" w:type="dxa"/>
              <w:left w:w="86" w:type="dxa"/>
              <w:bottom w:w="43" w:type="dxa"/>
              <w:right w:w="86" w:type="dxa"/>
            </w:tcMar>
          </w:tcPr>
          <w:p w14:paraId="797D71D4" w14:textId="77777777" w:rsidR="000263AF" w:rsidRPr="005D4222" w:rsidRDefault="000263AF" w:rsidP="00A53E8C">
            <w:pPr>
              <w:pStyle w:val="ECDSBody"/>
              <w:rPr>
                <w:rFonts w:eastAsia="Arial"/>
              </w:rPr>
            </w:pPr>
            <w:r w:rsidRPr="005D4222">
              <w:rPr>
                <w:rFonts w:eastAsia="Arial"/>
              </w:rPr>
              <w:t xml:space="preserve">The U.S. Preventive Services Task Force (USPSTF) recommends that clinicians ask all adults about tobacco use, advise them to stop using tobacco and provide behavioral interventions and U.S. Food and Drug Administration (FDA)-approved pharmacotherapy for cessation to nonpregnant adults who use tobacco (Grade A Recommendation) (U.S. Preventive Services Task Force, 2021). </w:t>
            </w:r>
          </w:p>
          <w:p w14:paraId="5C84D969" w14:textId="77777777" w:rsidR="000263AF" w:rsidRPr="005D4222" w:rsidRDefault="000263AF" w:rsidP="00A53E8C">
            <w:pPr>
              <w:pStyle w:val="ECDSBody"/>
              <w:rPr>
                <w:rFonts w:eastAsia="Arial"/>
              </w:rPr>
            </w:pPr>
            <w:r w:rsidRPr="005D4222">
              <w:rPr>
                <w:rFonts w:eastAsia="Arial"/>
              </w:rPr>
              <w:t xml:space="preserve">The USPSTF recommends that clinicians ask all pregnant persons about tobacco use, advise them to stop using tobacco and provide behavioral interventions for cessation to pregnant persons who use tobacco (Grade A Recommendation) (U.S. Preventive Services Task Force, 2021). </w:t>
            </w:r>
          </w:p>
          <w:p w14:paraId="6F9573AC" w14:textId="77777777" w:rsidR="000263AF" w:rsidRPr="005D4222" w:rsidRDefault="000263AF" w:rsidP="00A53E8C">
            <w:pPr>
              <w:pStyle w:val="ECDSBody"/>
              <w:rPr>
                <w:rFonts w:eastAsia="Arial"/>
              </w:rPr>
            </w:pPr>
            <w:r w:rsidRPr="005D4222">
              <w:rPr>
                <w:rFonts w:eastAsia="Arial"/>
              </w:rPr>
              <w:t xml:space="preserve">The USPSTF concludes that the current evidence is insufficient to assess the balance of benefits and harms of pharmacotherapy interventions for tobacco cessation in pregnant women (Grade I Statement) (U.S. Preventive Services Task Force, 2021). </w:t>
            </w:r>
          </w:p>
          <w:p w14:paraId="53838837" w14:textId="77777777" w:rsidR="000263AF" w:rsidRPr="005D4222" w:rsidRDefault="000263AF" w:rsidP="00A53E8C">
            <w:pPr>
              <w:pStyle w:val="ECDSBody"/>
              <w:rPr>
                <w:rFonts w:eastAsia="Arial"/>
              </w:rPr>
            </w:pPr>
            <w:r w:rsidRPr="005D4222">
              <w:rPr>
                <w:rFonts w:eastAsia="Arial"/>
              </w:rPr>
              <w:t>The USPSTF concludes that the current evidence is insufficient to assess the balance of benefits and harms of electronic cigarettes (e-cigarettes) for tobacco cessation in adults, including pregnant persons. The USPSTF recommends that clinicians direct patients who use tobacco to other tobacco cessation interventions with proven effectiveness and established safety (Grade I Statement) (U.S. Preventive Services Task Force, 2021).</w:t>
            </w:r>
          </w:p>
          <w:p w14:paraId="780D9432" w14:textId="77777777" w:rsidR="000263AF" w:rsidRPr="005D4222" w:rsidRDefault="000263AF" w:rsidP="00A53E8C">
            <w:pPr>
              <w:pStyle w:val="ECDSBody"/>
              <w:rPr>
                <w:rFonts w:eastAsia="Arial"/>
              </w:rPr>
            </w:pPr>
            <w:r w:rsidRPr="005D4222">
              <w:rPr>
                <w:rFonts w:eastAsia="Arial"/>
              </w:rPr>
              <w:t xml:space="preserve">The USPSTF recommends that primary care clinicians provide interventions, including education or brief counseling, to prevent initiation of tobacco use among school-aged children and adolescents (Grade B Statement) (U.S. Preventive Services Task Force, 2020).  </w:t>
            </w:r>
          </w:p>
        </w:tc>
      </w:tr>
    </w:tbl>
    <w:p w14:paraId="6D7DC198" w14:textId="77777777" w:rsidR="000263AF" w:rsidRPr="005D4222" w:rsidRDefault="000263AF" w:rsidP="000263AF">
      <w:pPr>
        <w:spacing w:after="160" w:line="279" w:lineRule="auto"/>
      </w:pPr>
      <w:r w:rsidRPr="005D4222">
        <w:br w:type="page"/>
      </w:r>
    </w:p>
    <w:tbl>
      <w:tblPr>
        <w:tblW w:w="5000" w:type="pct"/>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2152"/>
        <w:gridCol w:w="7469"/>
        <w:gridCol w:w="83"/>
      </w:tblGrid>
      <w:tr w:rsidR="000263AF" w:rsidRPr="005D4222" w14:paraId="7F74D24E" w14:textId="77777777" w:rsidTr="00A53E8C">
        <w:trPr>
          <w:gridAfter w:val="1"/>
          <w:wAfter w:w="83" w:type="dxa"/>
          <w:trHeight w:val="360"/>
        </w:trPr>
        <w:tc>
          <w:tcPr>
            <w:tcW w:w="2152" w:type="dxa"/>
            <w:tcBorders>
              <w:top w:val="single" w:sz="6" w:space="0" w:color="auto"/>
              <w:left w:val="single" w:sz="6" w:space="0" w:color="auto"/>
              <w:bottom w:val="single" w:sz="6" w:space="0" w:color="auto"/>
              <w:right w:val="single" w:sz="6" w:space="0" w:color="auto"/>
            </w:tcBorders>
            <w:shd w:val="clear" w:color="auto" w:fill="BEBEBE"/>
            <w:tcMar>
              <w:top w:w="0" w:type="dxa"/>
              <w:left w:w="86" w:type="dxa"/>
              <w:bottom w:w="43" w:type="dxa"/>
              <w:right w:w="86" w:type="dxa"/>
            </w:tcMar>
          </w:tcPr>
          <w:p w14:paraId="0C78CF4B" w14:textId="77777777" w:rsidR="000263AF" w:rsidRPr="005D4222" w:rsidRDefault="000263AF" w:rsidP="00A53E8C">
            <w:pPr>
              <w:pStyle w:val="MarginHead"/>
              <w:rPr>
                <w:rFonts w:eastAsia="Arial"/>
              </w:rPr>
            </w:pPr>
          </w:p>
        </w:tc>
        <w:tc>
          <w:tcPr>
            <w:tcW w:w="7469" w:type="dxa"/>
            <w:tcBorders>
              <w:top w:val="single" w:sz="6" w:space="0" w:color="auto"/>
              <w:left w:val="single" w:sz="6" w:space="0" w:color="auto"/>
              <w:bottom w:val="single" w:sz="6" w:space="0" w:color="auto"/>
              <w:right w:val="single" w:sz="6" w:space="0" w:color="auto"/>
            </w:tcBorders>
            <w:tcMar>
              <w:top w:w="0" w:type="dxa"/>
              <w:left w:w="86" w:type="dxa"/>
              <w:bottom w:w="43" w:type="dxa"/>
              <w:right w:w="86" w:type="dxa"/>
            </w:tcMar>
          </w:tcPr>
          <w:p w14:paraId="11B53974" w14:textId="77777777" w:rsidR="000263AF" w:rsidRPr="005D4222" w:rsidRDefault="000263AF" w:rsidP="00A53E8C">
            <w:pPr>
              <w:pStyle w:val="ECDSBody"/>
              <w:rPr>
                <w:rFonts w:eastAsia="Arial"/>
              </w:rPr>
            </w:pPr>
            <w:r w:rsidRPr="005D4222">
              <w:rPr>
                <w:rFonts w:eastAsia="Arial"/>
              </w:rPr>
              <w:t xml:space="preserve">The USPSTF concludes that the current evidence is insufficient to assess the balance of benefits and harms of primary care—feasible interventions for the cessation of tobacco use among school-aged children and adolescents (Grade I Statement) (U.S. Preventive Services Task Force, 2020). </w:t>
            </w:r>
          </w:p>
          <w:p w14:paraId="7069DC5F" w14:textId="77777777" w:rsidR="000263AF" w:rsidRPr="005D4222" w:rsidRDefault="000263AF" w:rsidP="00A53E8C">
            <w:pPr>
              <w:pStyle w:val="ECDSBody"/>
              <w:rPr>
                <w:rFonts w:eastAsia="Arial"/>
              </w:rPr>
            </w:pPr>
            <w:r w:rsidRPr="005D4222">
              <w:rPr>
                <w:rFonts w:eastAsia="Arial"/>
              </w:rPr>
              <w:t xml:space="preserve">All patients should be asked if they use tobacco and should have their tobacco use status documented on a regular basis. Evidence has shown that clinic screening systems, such as expanding the vital signs to include tobacco use status or the use of other reminder systems such as chart stickers or computer prompts, significantly increase rates of clinician intervention. (Strength of Evidence = A) (U.S. Department of Health and Human Services. Public Health Service, 2008). </w:t>
            </w:r>
          </w:p>
          <w:p w14:paraId="2838226C" w14:textId="77777777" w:rsidR="000263AF" w:rsidRPr="005D4222" w:rsidRDefault="000263AF" w:rsidP="00A53E8C">
            <w:pPr>
              <w:pStyle w:val="ECDSBody"/>
              <w:rPr>
                <w:rFonts w:eastAsia="Arial"/>
              </w:rPr>
            </w:pPr>
            <w:r w:rsidRPr="005D4222">
              <w:rPr>
                <w:rFonts w:eastAsia="Arial"/>
              </w:rPr>
              <w:t xml:space="preserve">All physicians should strongly advise every patient who smokes to quit because evidence shows that physician advice to quit smoking increases abstinence rates. (Strength of Evidence = A) (U.S. Department of Health and Human Services. Public Health Service, 2008). </w:t>
            </w:r>
          </w:p>
          <w:p w14:paraId="0C8D5118" w14:textId="77777777" w:rsidR="000263AF" w:rsidRPr="005D4222" w:rsidRDefault="000263AF" w:rsidP="00A53E8C">
            <w:pPr>
              <w:pStyle w:val="ECDSBody"/>
              <w:rPr>
                <w:rFonts w:eastAsia="Arial"/>
              </w:rPr>
            </w:pPr>
            <w:r w:rsidRPr="005D4222">
              <w:rPr>
                <w:rFonts w:eastAsia="Arial"/>
              </w:rPr>
              <w:t xml:space="preserve">Minimal interventions lasting less than three minutes increase overall tobacco abstinence rates. Every tobacco user should be offered at least a minimal intervention, whether or not he or she is referred to an intensive intervention. (Strength of Evidence = A) (U.S. Department of Health and Human Services. Public Health Service, 2008). </w:t>
            </w:r>
          </w:p>
          <w:p w14:paraId="246CC09D" w14:textId="77777777" w:rsidR="000263AF" w:rsidRPr="005D4222" w:rsidRDefault="000263AF" w:rsidP="00A53E8C">
            <w:pPr>
              <w:pStyle w:val="ECDSBody"/>
              <w:rPr>
                <w:rFonts w:eastAsia="Arial"/>
              </w:rPr>
            </w:pPr>
            <w:r w:rsidRPr="005D4222">
              <w:rPr>
                <w:rFonts w:eastAsia="Arial"/>
              </w:rPr>
              <w:t>The combination of counseling and medication is more effective for smoking cessation than either medication or counseling alone. Therefore, whenever feasible and appropriate, both counseling and medication should be provided to patients trying to quit smoking. (Strength of Evidence = A) (U.S. Department of Health and Human Services. Public Health Service, 2008).</w:t>
            </w:r>
          </w:p>
          <w:p w14:paraId="7B261808" w14:textId="77777777" w:rsidR="000263AF" w:rsidRPr="005D4222" w:rsidRDefault="000263AF" w:rsidP="00A53E8C">
            <w:pPr>
              <w:pStyle w:val="ECDSBody"/>
              <w:rPr>
                <w:rFonts w:eastAsia="Arial"/>
              </w:rPr>
            </w:pPr>
            <w:r w:rsidRPr="005D4222">
              <w:rPr>
                <w:rFonts w:eastAsia="Arial"/>
              </w:rPr>
              <w:t>For adolescents 11 to 17, the American Academy of Pediatrics recommends the ACT method to assess tobacco product use. Ask: Screen for tobacco use with all youth, during every clinical encounter.  Counsel: Advise all youth who use tobacco to quit and have them set a quit date within two weeks. Treat: Link youth to behavioral treatment extenders and prescribe pharmacologic support when indicated. After the visit, follow-up to assess progress and offer support. (American Academy of Pediatrics, 2022).</w:t>
            </w:r>
          </w:p>
        </w:tc>
      </w:tr>
      <w:tr w:rsidR="000263AF" w:rsidRPr="005D4222" w14:paraId="75A00217" w14:textId="77777777" w:rsidTr="00A53E8C">
        <w:trPr>
          <w:gridAfter w:val="1"/>
          <w:wAfter w:w="83" w:type="dxa"/>
          <w:trHeight w:val="3618"/>
        </w:trPr>
        <w:tc>
          <w:tcPr>
            <w:tcW w:w="2152" w:type="dxa"/>
            <w:tcBorders>
              <w:top w:val="single" w:sz="6" w:space="0" w:color="auto"/>
              <w:left w:val="single" w:sz="6" w:space="0" w:color="auto"/>
              <w:bottom w:val="single" w:sz="6" w:space="0" w:color="auto"/>
              <w:right w:val="single" w:sz="6" w:space="0" w:color="auto"/>
            </w:tcBorders>
            <w:shd w:val="clear" w:color="auto" w:fill="BEBEBE"/>
            <w:tcMar>
              <w:top w:w="0" w:type="dxa"/>
              <w:left w:w="86" w:type="dxa"/>
              <w:bottom w:w="43" w:type="dxa"/>
              <w:right w:w="86" w:type="dxa"/>
            </w:tcMar>
          </w:tcPr>
          <w:p w14:paraId="3FB4EDA7" w14:textId="77777777" w:rsidR="000263AF" w:rsidRPr="005D4222" w:rsidRDefault="000263AF" w:rsidP="00DC1F87">
            <w:pPr>
              <w:pStyle w:val="ECDSMarginHead"/>
              <w:rPr>
                <w:rFonts w:eastAsia="Arial"/>
              </w:rPr>
            </w:pPr>
            <w:r w:rsidRPr="005D4222">
              <w:rPr>
                <w:rFonts w:eastAsia="Arial"/>
              </w:rPr>
              <w:t>Citations</w:t>
            </w:r>
          </w:p>
        </w:tc>
        <w:tc>
          <w:tcPr>
            <w:tcW w:w="7469" w:type="dxa"/>
            <w:tcBorders>
              <w:top w:val="single" w:sz="6" w:space="0" w:color="auto"/>
              <w:left w:val="single" w:sz="6" w:space="0" w:color="auto"/>
              <w:bottom w:val="single" w:sz="6" w:space="0" w:color="auto"/>
              <w:right w:val="single" w:sz="6" w:space="0" w:color="auto"/>
            </w:tcBorders>
            <w:tcMar>
              <w:top w:w="0" w:type="dxa"/>
              <w:left w:w="86" w:type="dxa"/>
              <w:bottom w:w="43" w:type="dxa"/>
              <w:right w:w="86" w:type="dxa"/>
            </w:tcMar>
          </w:tcPr>
          <w:p w14:paraId="1B0DE820" w14:textId="77777777" w:rsidR="000263AF" w:rsidRPr="005D4222" w:rsidRDefault="000263AF" w:rsidP="00A53E8C">
            <w:pPr>
              <w:pStyle w:val="ECDSBody"/>
              <w:rPr>
                <w:rFonts w:eastAsia="Arial"/>
              </w:rPr>
            </w:pPr>
            <w:r w:rsidRPr="005D4222">
              <w:rPr>
                <w:rFonts w:eastAsia="Arial"/>
              </w:rPr>
              <w:t xml:space="preserve">US Preventive Services Task Force. 2021. “Interventions for Tobacco Smoking Cessation in Adults, Including Pregnant Persons. US Preventive Services Task Force Recommendation Statement.” </w:t>
            </w:r>
            <w:r w:rsidRPr="005D4222">
              <w:rPr>
                <w:rFonts w:eastAsia="Arial"/>
                <w:i/>
                <w:iCs/>
              </w:rPr>
              <w:t xml:space="preserve">JAMA </w:t>
            </w:r>
            <w:r w:rsidRPr="005D4222">
              <w:rPr>
                <w:rFonts w:eastAsia="Arial"/>
              </w:rPr>
              <w:t>325(3), 265–79. doi:10.1001/jama.2020.25019.</w:t>
            </w:r>
          </w:p>
          <w:p w14:paraId="7F8EDFE6" w14:textId="77777777" w:rsidR="000263AF" w:rsidRPr="005D4222" w:rsidRDefault="000263AF" w:rsidP="00A53E8C">
            <w:pPr>
              <w:pStyle w:val="ECDSBody"/>
              <w:rPr>
                <w:rFonts w:eastAsia="Arial"/>
              </w:rPr>
            </w:pPr>
            <w:r w:rsidRPr="005D4222">
              <w:rPr>
                <w:rFonts w:eastAsia="Arial"/>
              </w:rPr>
              <w:t xml:space="preserve">US Preventive Services Task Force. 2020. “Primary Care Interventions for Prevention and Cessation of Tobacco Use in Children and Adolescents. US Preventive Services Task Force Recommendation Statement.” </w:t>
            </w:r>
            <w:r w:rsidRPr="005D4222">
              <w:rPr>
                <w:rFonts w:eastAsia="Arial"/>
                <w:i/>
                <w:iCs/>
              </w:rPr>
              <w:t>JAMA</w:t>
            </w:r>
            <w:r w:rsidRPr="005D4222">
              <w:rPr>
                <w:rFonts w:eastAsia="Arial"/>
              </w:rPr>
              <w:t xml:space="preserve"> 323(16):1590–8. doi:10.1001/jama.2020.4679. </w:t>
            </w:r>
          </w:p>
          <w:p w14:paraId="27307750" w14:textId="77777777" w:rsidR="000263AF" w:rsidRPr="005D4222" w:rsidRDefault="000263AF" w:rsidP="00A53E8C">
            <w:pPr>
              <w:pStyle w:val="ECDSBody"/>
              <w:rPr>
                <w:rFonts w:eastAsia="Arial"/>
              </w:rPr>
            </w:pPr>
            <w:r w:rsidRPr="005D4222">
              <w:rPr>
                <w:rFonts w:eastAsia="Arial"/>
              </w:rPr>
              <w:t xml:space="preserve">Agency for Healthcare Research and Quality. 2008. </w:t>
            </w:r>
            <w:r w:rsidRPr="005D4222">
              <w:rPr>
                <w:rFonts w:eastAsia="Arial"/>
                <w:i/>
                <w:iCs/>
              </w:rPr>
              <w:t xml:space="preserve">Treating Tobacco Use and Dependence: 2008 Update. </w:t>
            </w:r>
            <w:r w:rsidRPr="005D4222">
              <w:rPr>
                <w:rFonts w:eastAsia="Arial"/>
              </w:rPr>
              <w:t>https://www.ahrq.gov/prevention/guidelines/tobacco/index.html</w:t>
            </w:r>
          </w:p>
          <w:p w14:paraId="095DFC2D" w14:textId="77777777" w:rsidR="000263AF" w:rsidRPr="005B0B00" w:rsidRDefault="000263AF" w:rsidP="00A53E8C">
            <w:pPr>
              <w:pStyle w:val="ECDSBody"/>
              <w:rPr>
                <w:rFonts w:eastAsia="Arial"/>
                <w:lang w:val="fr-FR"/>
              </w:rPr>
            </w:pPr>
            <w:r w:rsidRPr="005D4222">
              <w:rPr>
                <w:rFonts w:eastAsia="Arial"/>
                <w:color w:val="000000" w:themeColor="text1"/>
              </w:rPr>
              <w:t xml:space="preserve">American Academy of Pediatrics. 2022. “Youth Tobacco Use: Considerations for Clinicians.” </w:t>
            </w:r>
            <w:r w:rsidRPr="005B0B00">
              <w:rPr>
                <w:rFonts w:eastAsia="Arial"/>
                <w:i/>
                <w:color w:val="000000" w:themeColor="text1"/>
                <w:lang w:val="fr-FR"/>
              </w:rPr>
              <w:t xml:space="preserve">JAMA. </w:t>
            </w:r>
            <w:r w:rsidRPr="005B0B00">
              <w:rPr>
                <w:rFonts w:eastAsia="Arial"/>
                <w:lang w:val="fr-FR"/>
              </w:rPr>
              <w:t>https://downloads.aap.org/AAP/PDF/AAP_Youth_Tobacco_Cessation_Considerations_for_Clinicians.pdf</w:t>
            </w:r>
          </w:p>
        </w:tc>
      </w:tr>
      <w:tr w:rsidR="000263AF" w:rsidRPr="005D4222" w14:paraId="5BF23262" w14:textId="77777777" w:rsidTr="00DC1F87">
        <w:trPr>
          <w:trHeight w:val="360"/>
        </w:trPr>
        <w:tc>
          <w:tcPr>
            <w:tcW w:w="9704" w:type="dxa"/>
            <w:gridSpan w:val="3"/>
            <w:tcBorders>
              <w:top w:val="single" w:sz="6" w:space="0" w:color="auto"/>
              <w:left w:val="single" w:sz="6" w:space="0" w:color="auto"/>
              <w:bottom w:val="single" w:sz="6" w:space="0" w:color="auto"/>
              <w:right w:val="single" w:sz="6" w:space="0" w:color="auto"/>
            </w:tcBorders>
            <w:shd w:val="clear" w:color="auto" w:fill="BEBEBE"/>
            <w:tcMar>
              <w:top w:w="0" w:type="dxa"/>
              <w:left w:w="86" w:type="dxa"/>
              <w:bottom w:w="43" w:type="dxa"/>
              <w:right w:w="86" w:type="dxa"/>
            </w:tcMar>
          </w:tcPr>
          <w:p w14:paraId="167D31F5" w14:textId="77777777" w:rsidR="000263AF" w:rsidRPr="005D4222" w:rsidRDefault="000263AF" w:rsidP="00DC1F87">
            <w:pPr>
              <w:pStyle w:val="ECDSMarginHead"/>
              <w:rPr>
                <w:rFonts w:eastAsia="Arial"/>
              </w:rPr>
            </w:pPr>
            <w:r w:rsidRPr="005D4222">
              <w:rPr>
                <w:rFonts w:eastAsia="Arial"/>
              </w:rPr>
              <w:lastRenderedPageBreak/>
              <w:t>Characteristics</w:t>
            </w:r>
          </w:p>
        </w:tc>
      </w:tr>
      <w:tr w:rsidR="000263AF" w:rsidRPr="005D4222" w14:paraId="7B5C1B49" w14:textId="77777777" w:rsidTr="00A53E8C">
        <w:trPr>
          <w:trHeight w:val="378"/>
        </w:trPr>
        <w:tc>
          <w:tcPr>
            <w:tcW w:w="2152" w:type="dxa"/>
            <w:tcBorders>
              <w:top w:val="single" w:sz="6" w:space="0" w:color="auto"/>
              <w:left w:val="single" w:sz="6" w:space="0" w:color="auto"/>
              <w:bottom w:val="nil"/>
              <w:right w:val="single" w:sz="6" w:space="0" w:color="auto"/>
            </w:tcBorders>
            <w:tcMar>
              <w:top w:w="0" w:type="dxa"/>
              <w:left w:w="86" w:type="dxa"/>
              <w:bottom w:w="43" w:type="dxa"/>
              <w:right w:w="86" w:type="dxa"/>
            </w:tcMar>
          </w:tcPr>
          <w:p w14:paraId="7583C426" w14:textId="77777777" w:rsidR="000263AF" w:rsidRPr="005D4222" w:rsidRDefault="000263AF" w:rsidP="00DC1F87">
            <w:pPr>
              <w:pStyle w:val="ECDSSubhead"/>
              <w:rPr>
                <w:rFonts w:eastAsia="Arial"/>
              </w:rPr>
            </w:pPr>
            <w:r w:rsidRPr="005D4222">
              <w:rPr>
                <w:rFonts w:eastAsia="Arial"/>
              </w:rPr>
              <w:t>Scoring</w:t>
            </w:r>
          </w:p>
        </w:tc>
        <w:tc>
          <w:tcPr>
            <w:tcW w:w="7552" w:type="dxa"/>
            <w:gridSpan w:val="2"/>
            <w:tcBorders>
              <w:top w:val="single" w:sz="6" w:space="0" w:color="auto"/>
              <w:left w:val="single" w:sz="6" w:space="0" w:color="auto"/>
              <w:bottom w:val="nil"/>
              <w:right w:val="single" w:sz="6" w:space="0" w:color="auto"/>
            </w:tcBorders>
            <w:tcMar>
              <w:top w:w="0" w:type="dxa"/>
              <w:left w:w="86" w:type="dxa"/>
              <w:bottom w:w="43" w:type="dxa"/>
              <w:right w:w="86" w:type="dxa"/>
            </w:tcMar>
            <w:vAlign w:val="center"/>
          </w:tcPr>
          <w:p w14:paraId="5B08CAE2" w14:textId="77777777" w:rsidR="000263AF" w:rsidRPr="005D4222" w:rsidRDefault="000263AF" w:rsidP="00A53E8C">
            <w:pPr>
              <w:pStyle w:val="ECDSBody"/>
              <w:spacing w:after="0"/>
              <w:rPr>
                <w:rFonts w:eastAsia="Arial"/>
              </w:rPr>
            </w:pPr>
            <w:r w:rsidRPr="005D4222">
              <w:rPr>
                <w:rFonts w:eastAsia="Arial"/>
              </w:rPr>
              <w:t>Proportion.</w:t>
            </w:r>
          </w:p>
        </w:tc>
      </w:tr>
      <w:tr w:rsidR="000263AF" w:rsidRPr="005D4222" w14:paraId="1C3EA8F6" w14:textId="77777777" w:rsidTr="00A53E8C">
        <w:trPr>
          <w:trHeight w:val="20"/>
        </w:trPr>
        <w:tc>
          <w:tcPr>
            <w:tcW w:w="2152" w:type="dxa"/>
            <w:tcBorders>
              <w:top w:val="nil"/>
              <w:left w:val="single" w:sz="6" w:space="0" w:color="auto"/>
              <w:bottom w:val="nil"/>
              <w:right w:val="single" w:sz="6" w:space="0" w:color="auto"/>
            </w:tcBorders>
            <w:tcMar>
              <w:top w:w="0" w:type="dxa"/>
              <w:left w:w="86" w:type="dxa"/>
              <w:bottom w:w="43" w:type="dxa"/>
              <w:right w:w="86" w:type="dxa"/>
            </w:tcMar>
          </w:tcPr>
          <w:p w14:paraId="178FC1E6" w14:textId="77777777" w:rsidR="000263AF" w:rsidRPr="005D4222" w:rsidRDefault="000263AF" w:rsidP="00DC1F87">
            <w:pPr>
              <w:pStyle w:val="ECDSSubhead"/>
              <w:rPr>
                <w:rFonts w:eastAsia="Arial"/>
              </w:rPr>
            </w:pPr>
            <w:r w:rsidRPr="005D4222">
              <w:rPr>
                <w:rFonts w:eastAsia="Arial"/>
              </w:rPr>
              <w:t>Type</w:t>
            </w:r>
          </w:p>
        </w:tc>
        <w:tc>
          <w:tcPr>
            <w:tcW w:w="7552" w:type="dxa"/>
            <w:gridSpan w:val="2"/>
            <w:tcBorders>
              <w:top w:val="nil"/>
              <w:left w:val="single" w:sz="6" w:space="0" w:color="auto"/>
              <w:bottom w:val="nil"/>
              <w:right w:val="single" w:sz="6" w:space="0" w:color="auto"/>
            </w:tcBorders>
            <w:tcMar>
              <w:top w:w="0" w:type="dxa"/>
              <w:left w:w="86" w:type="dxa"/>
              <w:bottom w:w="43" w:type="dxa"/>
              <w:right w:w="86" w:type="dxa"/>
            </w:tcMar>
            <w:vAlign w:val="center"/>
          </w:tcPr>
          <w:p w14:paraId="010E4A22" w14:textId="77777777" w:rsidR="000263AF" w:rsidRPr="005D4222" w:rsidRDefault="000263AF" w:rsidP="00A53E8C">
            <w:pPr>
              <w:pStyle w:val="ECDSBody"/>
              <w:spacing w:after="0"/>
              <w:rPr>
                <w:rFonts w:eastAsia="Arial"/>
              </w:rPr>
            </w:pPr>
            <w:r w:rsidRPr="005D4222">
              <w:rPr>
                <w:rFonts w:eastAsia="Arial"/>
              </w:rPr>
              <w:t>Process.</w:t>
            </w:r>
          </w:p>
        </w:tc>
      </w:tr>
      <w:tr w:rsidR="000263AF" w:rsidRPr="005D4222" w14:paraId="5D6DAC70" w14:textId="77777777" w:rsidTr="00A53E8C">
        <w:trPr>
          <w:trHeight w:val="360"/>
        </w:trPr>
        <w:tc>
          <w:tcPr>
            <w:tcW w:w="2152" w:type="dxa"/>
            <w:tcBorders>
              <w:top w:val="nil"/>
              <w:left w:val="single" w:sz="6" w:space="0" w:color="auto"/>
              <w:bottom w:val="nil"/>
              <w:right w:val="single" w:sz="6" w:space="0" w:color="auto"/>
            </w:tcBorders>
            <w:tcMar>
              <w:top w:w="0" w:type="dxa"/>
              <w:left w:w="86" w:type="dxa"/>
              <w:bottom w:w="43" w:type="dxa"/>
              <w:right w:w="86" w:type="dxa"/>
            </w:tcMar>
          </w:tcPr>
          <w:p w14:paraId="2AE49819" w14:textId="127A8293" w:rsidR="000263AF" w:rsidRPr="005D4222" w:rsidRDefault="00B51CDC" w:rsidP="00DC1F87">
            <w:pPr>
              <w:pStyle w:val="ECDSSubhead"/>
              <w:rPr>
                <w:rFonts w:eastAsia="Arial"/>
              </w:rPr>
            </w:pPr>
            <w:r w:rsidRPr="005D4222">
              <w:t>Product lines</w:t>
            </w:r>
          </w:p>
        </w:tc>
        <w:tc>
          <w:tcPr>
            <w:tcW w:w="7552" w:type="dxa"/>
            <w:gridSpan w:val="2"/>
            <w:tcBorders>
              <w:top w:val="nil"/>
              <w:left w:val="single" w:sz="6" w:space="0" w:color="auto"/>
              <w:bottom w:val="nil"/>
              <w:right w:val="single" w:sz="6" w:space="0" w:color="auto"/>
            </w:tcBorders>
            <w:tcMar>
              <w:top w:w="0" w:type="dxa"/>
              <w:left w:w="86" w:type="dxa"/>
              <w:bottom w:w="43" w:type="dxa"/>
              <w:right w:w="86" w:type="dxa"/>
            </w:tcMar>
            <w:vAlign w:val="center"/>
          </w:tcPr>
          <w:p w14:paraId="1EABB4F0" w14:textId="77777777" w:rsidR="000263AF" w:rsidRPr="005D4222" w:rsidRDefault="000263AF" w:rsidP="005D6173">
            <w:pPr>
              <w:pStyle w:val="ProcessBullet"/>
              <w:numPr>
                <w:ilvl w:val="0"/>
                <w:numId w:val="98"/>
              </w:numPr>
              <w:tabs>
                <w:tab w:val="left" w:pos="216"/>
              </w:tabs>
              <w:spacing w:before="40" w:after="40"/>
              <w:ind w:left="216" w:hanging="216"/>
            </w:pPr>
            <w:r w:rsidRPr="005D4222">
              <w:t>Commercial.</w:t>
            </w:r>
          </w:p>
          <w:p w14:paraId="3C491FB6" w14:textId="77777777" w:rsidR="000263AF" w:rsidRPr="005D4222" w:rsidRDefault="000263AF" w:rsidP="005D6173">
            <w:pPr>
              <w:pStyle w:val="ProcessBullet"/>
              <w:numPr>
                <w:ilvl w:val="0"/>
                <w:numId w:val="98"/>
              </w:numPr>
              <w:tabs>
                <w:tab w:val="left" w:pos="216"/>
              </w:tabs>
              <w:spacing w:before="40" w:after="40"/>
              <w:ind w:left="216" w:hanging="216"/>
            </w:pPr>
            <w:r w:rsidRPr="005D4222">
              <w:t>Medicaid.</w:t>
            </w:r>
          </w:p>
          <w:p w14:paraId="5C525402" w14:textId="77777777" w:rsidR="000263AF" w:rsidRPr="005D4222" w:rsidRDefault="000263AF" w:rsidP="005D6173">
            <w:pPr>
              <w:pStyle w:val="ProcessBullet"/>
              <w:numPr>
                <w:ilvl w:val="0"/>
                <w:numId w:val="98"/>
              </w:numPr>
              <w:tabs>
                <w:tab w:val="left" w:pos="216"/>
              </w:tabs>
              <w:spacing w:before="40"/>
              <w:ind w:left="216" w:hanging="216"/>
              <w:rPr>
                <w:sz w:val="20"/>
                <w:szCs w:val="20"/>
              </w:rPr>
            </w:pPr>
            <w:r w:rsidRPr="005D4222">
              <w:t>Medicare.</w:t>
            </w:r>
          </w:p>
        </w:tc>
      </w:tr>
      <w:tr w:rsidR="000263AF" w:rsidRPr="005D4222" w14:paraId="147A4445" w14:textId="77777777" w:rsidTr="00A53E8C">
        <w:trPr>
          <w:trHeight w:val="864"/>
        </w:trPr>
        <w:tc>
          <w:tcPr>
            <w:tcW w:w="2152" w:type="dxa"/>
            <w:tcBorders>
              <w:top w:val="nil"/>
              <w:left w:val="single" w:sz="6" w:space="0" w:color="auto"/>
              <w:bottom w:val="nil"/>
              <w:right w:val="single" w:sz="6" w:space="0" w:color="auto"/>
            </w:tcBorders>
            <w:tcMar>
              <w:top w:w="0" w:type="dxa"/>
              <w:left w:w="86" w:type="dxa"/>
              <w:bottom w:w="43" w:type="dxa"/>
              <w:right w:w="86" w:type="dxa"/>
            </w:tcMar>
          </w:tcPr>
          <w:p w14:paraId="537D2B1D" w14:textId="3CB4CE9D" w:rsidR="000263AF" w:rsidRPr="005D4222" w:rsidRDefault="00B51CDC" w:rsidP="00DC1F87">
            <w:pPr>
              <w:pStyle w:val="ECDSSubhead"/>
              <w:rPr>
                <w:rFonts w:eastAsia="Arial"/>
              </w:rPr>
            </w:pPr>
            <w:r w:rsidRPr="005D4222">
              <w:rPr>
                <w:rFonts w:eastAsia="Arial"/>
              </w:rPr>
              <w:t>Stratifications</w:t>
            </w:r>
          </w:p>
        </w:tc>
        <w:tc>
          <w:tcPr>
            <w:tcW w:w="7552" w:type="dxa"/>
            <w:gridSpan w:val="2"/>
            <w:tcBorders>
              <w:top w:val="nil"/>
              <w:left w:val="single" w:sz="6" w:space="0" w:color="auto"/>
              <w:bottom w:val="nil"/>
              <w:right w:val="single" w:sz="6" w:space="0" w:color="auto"/>
            </w:tcBorders>
            <w:tcMar>
              <w:top w:w="0" w:type="dxa"/>
              <w:left w:w="86" w:type="dxa"/>
              <w:bottom w:w="43" w:type="dxa"/>
              <w:right w:w="86" w:type="dxa"/>
            </w:tcMar>
          </w:tcPr>
          <w:p w14:paraId="03EBDCFE" w14:textId="77777777" w:rsidR="000263AF" w:rsidRPr="005D4222" w:rsidRDefault="000263AF" w:rsidP="00A53E8C">
            <w:pPr>
              <w:pStyle w:val="ECDSBody"/>
              <w:rPr>
                <w:rFonts w:eastAsia="Arial,Arial,Arial,Arial,Arial,A"/>
              </w:rPr>
            </w:pPr>
            <w:r w:rsidRPr="005D4222">
              <w:rPr>
                <w:rFonts w:eastAsia="Arial,Arial,Arial,Arial,Arial,A"/>
              </w:rPr>
              <w:t xml:space="preserve">Age </w:t>
            </w:r>
            <w:r w:rsidRPr="005D4222">
              <w:t>as of the start of the measurement period</w:t>
            </w:r>
            <w:r w:rsidRPr="005D4222">
              <w:rPr>
                <w:rFonts w:eastAsia="Arial,Arial,Arial,Arial,Arial,A"/>
              </w:rPr>
              <w:t>.</w:t>
            </w:r>
          </w:p>
          <w:p w14:paraId="0A89AD81" w14:textId="77777777" w:rsidR="000263AF" w:rsidRPr="005D4222" w:rsidRDefault="000263AF" w:rsidP="000263AF">
            <w:pPr>
              <w:pStyle w:val="Bullet"/>
              <w:numPr>
                <w:ilvl w:val="0"/>
                <w:numId w:val="4"/>
              </w:numPr>
              <w:ind w:left="576" w:hanging="216"/>
              <w:rPr>
                <w:rFonts w:eastAsia="Arial,Arial,Arial,Arial,Arial,A"/>
              </w:rPr>
            </w:pPr>
            <w:r w:rsidRPr="005D4222">
              <w:rPr>
                <w:rFonts w:eastAsia="Arial,Arial,Arial,Arial,Arial,A"/>
              </w:rPr>
              <w:t>12–17 years (commercial and Medicaid only).</w:t>
            </w:r>
          </w:p>
          <w:p w14:paraId="5ED1EE4D" w14:textId="77777777" w:rsidR="000263AF" w:rsidRPr="005D4222" w:rsidRDefault="000263AF" w:rsidP="000263AF">
            <w:pPr>
              <w:pStyle w:val="Bullet"/>
              <w:numPr>
                <w:ilvl w:val="0"/>
                <w:numId w:val="4"/>
              </w:numPr>
              <w:ind w:left="576" w:hanging="216"/>
              <w:rPr>
                <w:rFonts w:eastAsia="Arial,Arial,Arial,Arial,Arial,A"/>
              </w:rPr>
            </w:pPr>
            <w:r w:rsidRPr="005D4222">
              <w:rPr>
                <w:rFonts w:eastAsia="Arial,Arial,Arial,Arial,Arial,A"/>
              </w:rPr>
              <w:t>18–64 years.</w:t>
            </w:r>
          </w:p>
          <w:p w14:paraId="36AFE1E8" w14:textId="12CE504A" w:rsidR="000263AF" w:rsidRPr="005D4222" w:rsidRDefault="000263AF" w:rsidP="000263AF">
            <w:pPr>
              <w:pStyle w:val="Bullet"/>
              <w:numPr>
                <w:ilvl w:val="0"/>
                <w:numId w:val="4"/>
              </w:numPr>
              <w:ind w:left="576" w:hanging="216"/>
              <w:rPr>
                <w:rFonts w:eastAsia="Arial,Arial,Arial,Arial,Arial,A"/>
              </w:rPr>
            </w:pPr>
            <w:r w:rsidRPr="005D4222">
              <w:rPr>
                <w:rFonts w:eastAsia="Arial,Arial,Arial,Arial,Arial,A"/>
              </w:rPr>
              <w:t>65</w:t>
            </w:r>
            <w:r w:rsidR="00062CBA" w:rsidRPr="005D4222">
              <w:rPr>
                <w:rFonts w:eastAsia="Arial,Arial,Arial,Arial,Arial,A"/>
              </w:rPr>
              <w:t xml:space="preserve"> and older</w:t>
            </w:r>
            <w:r w:rsidRPr="005D4222">
              <w:rPr>
                <w:rFonts w:eastAsia="Arial,Arial,Arial,Arial,Arial,A"/>
              </w:rPr>
              <w:t>.</w:t>
            </w:r>
          </w:p>
        </w:tc>
      </w:tr>
      <w:tr w:rsidR="000263AF" w:rsidRPr="005D4222" w14:paraId="7462AD5C" w14:textId="77777777" w:rsidTr="00E02705">
        <w:tc>
          <w:tcPr>
            <w:tcW w:w="2152" w:type="dxa"/>
            <w:tcBorders>
              <w:top w:val="nil"/>
              <w:left w:val="single" w:sz="6" w:space="0" w:color="auto"/>
              <w:bottom w:val="nil"/>
              <w:right w:val="single" w:sz="6" w:space="0" w:color="auto"/>
            </w:tcBorders>
            <w:tcMar>
              <w:top w:w="0" w:type="dxa"/>
              <w:left w:w="86" w:type="dxa"/>
              <w:bottom w:w="43" w:type="dxa"/>
              <w:right w:w="86" w:type="dxa"/>
            </w:tcMar>
          </w:tcPr>
          <w:p w14:paraId="3199CD61" w14:textId="77777777" w:rsidR="000263AF" w:rsidRPr="005D4222" w:rsidRDefault="000263AF" w:rsidP="00E02705">
            <w:pPr>
              <w:pStyle w:val="ECDSSubhead"/>
              <w:rPr>
                <w:rFonts w:eastAsia="Arial"/>
              </w:rPr>
            </w:pPr>
            <w:r w:rsidRPr="005D4222">
              <w:rPr>
                <w:rFonts w:eastAsia="Arial"/>
              </w:rPr>
              <w:t>Risk adjustment</w:t>
            </w:r>
          </w:p>
        </w:tc>
        <w:tc>
          <w:tcPr>
            <w:tcW w:w="7552" w:type="dxa"/>
            <w:gridSpan w:val="2"/>
            <w:tcBorders>
              <w:top w:val="nil"/>
              <w:left w:val="single" w:sz="6" w:space="0" w:color="auto"/>
              <w:bottom w:val="nil"/>
              <w:right w:val="single" w:sz="6" w:space="0" w:color="auto"/>
            </w:tcBorders>
            <w:tcMar>
              <w:top w:w="0" w:type="dxa"/>
              <w:left w:w="86" w:type="dxa"/>
              <w:bottom w:w="43" w:type="dxa"/>
              <w:right w:w="86" w:type="dxa"/>
            </w:tcMar>
          </w:tcPr>
          <w:p w14:paraId="7468D28F" w14:textId="77777777" w:rsidR="000263AF" w:rsidRPr="005D4222" w:rsidRDefault="000263AF" w:rsidP="00E02705">
            <w:pPr>
              <w:pStyle w:val="ECDSBody"/>
              <w:spacing w:after="0"/>
              <w:rPr>
                <w:rFonts w:eastAsia="Arial"/>
              </w:rPr>
            </w:pPr>
            <w:r w:rsidRPr="005D4222">
              <w:rPr>
                <w:rFonts w:eastAsia="Arial"/>
              </w:rPr>
              <w:t>None.</w:t>
            </w:r>
          </w:p>
        </w:tc>
      </w:tr>
      <w:tr w:rsidR="000263AF" w:rsidRPr="005D4222" w14:paraId="6B7A78EC" w14:textId="77777777" w:rsidTr="00E02705">
        <w:tc>
          <w:tcPr>
            <w:tcW w:w="2152" w:type="dxa"/>
            <w:tcBorders>
              <w:top w:val="nil"/>
              <w:left w:val="single" w:sz="6" w:space="0" w:color="auto"/>
              <w:bottom w:val="nil"/>
              <w:right w:val="single" w:sz="6" w:space="0" w:color="auto"/>
            </w:tcBorders>
            <w:tcMar>
              <w:top w:w="0" w:type="dxa"/>
              <w:left w:w="86" w:type="dxa"/>
              <w:bottom w:w="43" w:type="dxa"/>
              <w:right w:w="86" w:type="dxa"/>
            </w:tcMar>
          </w:tcPr>
          <w:p w14:paraId="08A1948B" w14:textId="77777777" w:rsidR="000263AF" w:rsidRPr="005D4222" w:rsidRDefault="000263AF" w:rsidP="00E02705">
            <w:pPr>
              <w:pStyle w:val="ECDSSubhead"/>
              <w:rPr>
                <w:rFonts w:eastAsia="Arial"/>
              </w:rPr>
            </w:pPr>
            <w:r w:rsidRPr="005D4222">
              <w:rPr>
                <w:rFonts w:eastAsia="Arial"/>
              </w:rPr>
              <w:t>Improvement notation</w:t>
            </w:r>
          </w:p>
        </w:tc>
        <w:tc>
          <w:tcPr>
            <w:tcW w:w="7552" w:type="dxa"/>
            <w:gridSpan w:val="2"/>
            <w:tcBorders>
              <w:top w:val="nil"/>
              <w:left w:val="single" w:sz="6" w:space="0" w:color="auto"/>
              <w:bottom w:val="nil"/>
              <w:right w:val="single" w:sz="6" w:space="0" w:color="auto"/>
            </w:tcBorders>
            <w:tcMar>
              <w:top w:w="0" w:type="dxa"/>
              <w:left w:w="86" w:type="dxa"/>
              <w:bottom w:w="43" w:type="dxa"/>
              <w:right w:w="86" w:type="dxa"/>
            </w:tcMar>
          </w:tcPr>
          <w:p w14:paraId="39CC3E30" w14:textId="77777777" w:rsidR="000263AF" w:rsidRPr="005D4222" w:rsidRDefault="000263AF" w:rsidP="00E02705">
            <w:pPr>
              <w:pStyle w:val="ECDSBody"/>
              <w:spacing w:after="0"/>
              <w:rPr>
                <w:rFonts w:eastAsia="Arial"/>
              </w:rPr>
            </w:pPr>
            <w:r w:rsidRPr="005D4222">
              <w:t>Increased score indicates improvement.</w:t>
            </w:r>
          </w:p>
        </w:tc>
      </w:tr>
      <w:tr w:rsidR="000263AF" w:rsidRPr="005D4222" w14:paraId="3F3FF758" w14:textId="77777777" w:rsidTr="00A53E8C">
        <w:trPr>
          <w:trHeight w:val="360"/>
        </w:trPr>
        <w:tc>
          <w:tcPr>
            <w:tcW w:w="2152" w:type="dxa"/>
            <w:tcBorders>
              <w:top w:val="nil"/>
              <w:left w:val="single" w:sz="6" w:space="0" w:color="auto"/>
              <w:bottom w:val="nil"/>
              <w:right w:val="single" w:sz="6" w:space="0" w:color="auto"/>
            </w:tcBorders>
            <w:tcMar>
              <w:top w:w="0" w:type="dxa"/>
              <w:left w:w="86" w:type="dxa"/>
              <w:bottom w:w="43" w:type="dxa"/>
              <w:right w:w="86" w:type="dxa"/>
            </w:tcMar>
          </w:tcPr>
          <w:p w14:paraId="547DEC7F" w14:textId="77777777" w:rsidR="000263AF" w:rsidRPr="005D4222" w:rsidRDefault="000263AF" w:rsidP="00DC1F87">
            <w:pPr>
              <w:pStyle w:val="ECDSSubhead"/>
              <w:rPr>
                <w:rFonts w:eastAsia="Arial"/>
              </w:rPr>
            </w:pPr>
            <w:r w:rsidRPr="005D4222">
              <w:rPr>
                <w:rFonts w:eastAsia="Arial"/>
              </w:rPr>
              <w:t>Guidance</w:t>
            </w:r>
          </w:p>
        </w:tc>
        <w:tc>
          <w:tcPr>
            <w:tcW w:w="7552" w:type="dxa"/>
            <w:gridSpan w:val="2"/>
            <w:tcBorders>
              <w:top w:val="nil"/>
              <w:left w:val="single" w:sz="6" w:space="0" w:color="auto"/>
              <w:bottom w:val="nil"/>
              <w:right w:val="single" w:sz="6" w:space="0" w:color="auto"/>
            </w:tcBorders>
            <w:tcMar>
              <w:top w:w="0" w:type="dxa"/>
              <w:left w:w="86" w:type="dxa"/>
              <w:bottom w:w="43" w:type="dxa"/>
              <w:right w:w="86" w:type="dxa"/>
            </w:tcMar>
          </w:tcPr>
          <w:p w14:paraId="7DE69A3A" w14:textId="3F84EE2F" w:rsidR="000263AF" w:rsidRPr="005D4222" w:rsidRDefault="000263AF" w:rsidP="00A53E8C">
            <w:pPr>
              <w:pStyle w:val="ECDSBody"/>
              <w:rPr>
                <w:rFonts w:eastAsia="Arial"/>
                <w:color w:val="000000" w:themeColor="text1"/>
              </w:rPr>
            </w:pPr>
            <w:r w:rsidRPr="005D4222">
              <w:rPr>
                <w:rFonts w:eastAsia="Arial"/>
                <w:b/>
                <w:color w:val="000000" w:themeColor="text1"/>
              </w:rPr>
              <w:t>Data collection methodology</w:t>
            </w:r>
            <w:r w:rsidRPr="005D4222">
              <w:rPr>
                <w:rFonts w:eastAsia="Arial"/>
                <w:color w:val="000000" w:themeColor="text1"/>
              </w:rPr>
              <w:t xml:space="preserve">: ECDS. Refer to the </w:t>
            </w:r>
            <w:hyperlink w:anchor="General_Guideline_Data_Collection_Method" w:history="1">
              <w:r w:rsidRPr="005D4222">
                <w:rPr>
                  <w:rStyle w:val="Hyperlink"/>
                  <w:rFonts w:eastAsia="Arial"/>
                  <w:i/>
                  <w:iCs/>
                </w:rPr>
                <w:t>General Guideline: Data Collection Methods</w:t>
              </w:r>
            </w:hyperlink>
            <w:r w:rsidRPr="005D4222">
              <w:rPr>
                <w:rFonts w:eastAsia="Arial"/>
                <w:color w:val="000000" w:themeColor="text1"/>
              </w:rPr>
              <w:t xml:space="preserve"> for additional information.</w:t>
            </w:r>
          </w:p>
          <w:p w14:paraId="12B797F6" w14:textId="77777777" w:rsidR="000263AF" w:rsidRPr="005D4222" w:rsidRDefault="000263AF" w:rsidP="00A53E8C">
            <w:pPr>
              <w:pStyle w:val="ECDSBody"/>
              <w:rPr>
                <w:rFonts w:eastAsia="Arial"/>
                <w:color w:val="000000" w:themeColor="text1"/>
              </w:rPr>
            </w:pPr>
            <w:r w:rsidRPr="005D4222">
              <w:rPr>
                <w:rFonts w:eastAsia="Arial"/>
                <w:b/>
                <w:color w:val="000000" w:themeColor="text1"/>
              </w:rPr>
              <w:t>Date specificity:</w:t>
            </w:r>
            <w:r w:rsidRPr="005D4222">
              <w:rPr>
                <w:rFonts w:eastAsia="Arial"/>
                <w:color w:val="000000" w:themeColor="text1"/>
              </w:rPr>
              <w:t xml:space="preserve"> Dates must be specific enough to determine that the event occurred in the period being measured.</w:t>
            </w:r>
          </w:p>
          <w:p w14:paraId="284D79A2" w14:textId="77777777" w:rsidR="000263AF" w:rsidRPr="005D4222" w:rsidRDefault="000263AF" w:rsidP="00A53E8C">
            <w:pPr>
              <w:pStyle w:val="ECDSBody"/>
              <w:rPr>
                <w:rFonts w:eastAsia="Arial"/>
                <w:color w:val="000000" w:themeColor="text1"/>
              </w:rPr>
            </w:pPr>
            <w:r w:rsidRPr="005D4222">
              <w:rPr>
                <w:rFonts w:eastAsia="Arial"/>
                <w:b/>
                <w:color w:val="000000" w:themeColor="text1"/>
              </w:rPr>
              <w:t>Which services count?</w:t>
            </w:r>
            <w:r w:rsidRPr="005D4222">
              <w:rPr>
                <w:rFonts w:eastAsia="Arial"/>
                <w:color w:val="000000" w:themeColor="text1"/>
              </w:rPr>
              <w:t xml:space="preserve"> When using claims, include all paid, suspended, pending and denied claims.</w:t>
            </w:r>
          </w:p>
        </w:tc>
      </w:tr>
      <w:tr w:rsidR="000263AF" w:rsidRPr="005D4222" w14:paraId="7DD2BC20" w14:textId="77777777" w:rsidTr="00A53E8C">
        <w:trPr>
          <w:trHeight w:val="360"/>
        </w:trPr>
        <w:tc>
          <w:tcPr>
            <w:tcW w:w="9704" w:type="dxa"/>
            <w:gridSpan w:val="3"/>
            <w:tcBorders>
              <w:top w:val="single" w:sz="6" w:space="0" w:color="auto"/>
              <w:left w:val="single" w:sz="6" w:space="0" w:color="auto"/>
              <w:bottom w:val="single" w:sz="6" w:space="0" w:color="auto"/>
              <w:right w:val="single" w:sz="6" w:space="0" w:color="auto"/>
            </w:tcBorders>
            <w:shd w:val="clear" w:color="auto" w:fill="BEBEBE"/>
            <w:tcMar>
              <w:top w:w="0" w:type="dxa"/>
              <w:left w:w="86" w:type="dxa"/>
              <w:bottom w:w="43" w:type="dxa"/>
              <w:right w:w="86" w:type="dxa"/>
            </w:tcMar>
          </w:tcPr>
          <w:p w14:paraId="1400CD5A" w14:textId="77777777" w:rsidR="000263AF" w:rsidRPr="005D4222" w:rsidRDefault="000263AF" w:rsidP="00DC1F87">
            <w:pPr>
              <w:pStyle w:val="ECDSMarginHead"/>
              <w:rPr>
                <w:rFonts w:eastAsia="Arial"/>
              </w:rPr>
            </w:pPr>
            <w:r w:rsidRPr="005D4222">
              <w:rPr>
                <w:rFonts w:eastAsia="Arial"/>
              </w:rPr>
              <w:t>Definitions</w:t>
            </w:r>
          </w:p>
        </w:tc>
      </w:tr>
      <w:tr w:rsidR="000263AF" w:rsidRPr="005D4222" w14:paraId="45E35245" w14:textId="77777777" w:rsidTr="00A53E8C">
        <w:trPr>
          <w:trHeight w:val="300"/>
        </w:trPr>
        <w:tc>
          <w:tcPr>
            <w:tcW w:w="2152" w:type="dxa"/>
            <w:tcBorders>
              <w:top w:val="single" w:sz="6" w:space="0" w:color="auto"/>
              <w:left w:val="single" w:sz="6" w:space="0" w:color="auto"/>
              <w:bottom w:val="nil"/>
              <w:right w:val="single" w:sz="6" w:space="0" w:color="auto"/>
            </w:tcBorders>
            <w:shd w:val="clear" w:color="auto" w:fill="FFFFFF" w:themeFill="background1"/>
            <w:tcMar>
              <w:top w:w="0" w:type="dxa"/>
              <w:left w:w="86" w:type="dxa"/>
              <w:bottom w:w="43" w:type="dxa"/>
              <w:right w:w="86" w:type="dxa"/>
            </w:tcMar>
          </w:tcPr>
          <w:p w14:paraId="18880DF1" w14:textId="682E0B9B" w:rsidR="000263AF" w:rsidRPr="005D4222" w:rsidRDefault="00CA5DD5" w:rsidP="00DC1F87">
            <w:pPr>
              <w:pStyle w:val="ECDSSubhead"/>
              <w:rPr>
                <w:rFonts w:eastAsia="Arial"/>
              </w:rPr>
            </w:pPr>
            <w:r w:rsidRPr="005D4222">
              <w:rPr>
                <w:rFonts w:eastAsia="Arial"/>
              </w:rPr>
              <w:t>Positive tobacco user</w:t>
            </w:r>
          </w:p>
        </w:tc>
        <w:tc>
          <w:tcPr>
            <w:tcW w:w="7552" w:type="dxa"/>
            <w:gridSpan w:val="2"/>
            <w:tcBorders>
              <w:top w:val="single" w:sz="6" w:space="0" w:color="auto"/>
              <w:left w:val="single" w:sz="6" w:space="0" w:color="auto"/>
              <w:bottom w:val="nil"/>
              <w:right w:val="single" w:sz="6" w:space="0" w:color="auto"/>
            </w:tcBorders>
            <w:tcMar>
              <w:top w:w="0" w:type="dxa"/>
              <w:left w:w="86" w:type="dxa"/>
              <w:bottom w:w="43" w:type="dxa"/>
              <w:right w:w="86" w:type="dxa"/>
            </w:tcMar>
          </w:tcPr>
          <w:p w14:paraId="368B82D6" w14:textId="77777777" w:rsidR="000263AF" w:rsidRPr="005D4222" w:rsidRDefault="000263AF" w:rsidP="00A53E8C">
            <w:pPr>
              <w:pStyle w:val="ECDSBody"/>
              <w:rPr>
                <w:rFonts w:eastAsia="Arial"/>
                <w:b/>
              </w:rPr>
            </w:pPr>
            <w:r w:rsidRPr="005D4222">
              <w:rPr>
                <w:rFonts w:eastAsia="Arial"/>
              </w:rPr>
              <w:t>Persons who were screened for tobacco use and had a documented positive result. Any of the following meet criteria:</w:t>
            </w:r>
          </w:p>
          <w:p w14:paraId="21270CA2" w14:textId="77777777" w:rsidR="000263AF" w:rsidRPr="005D4222" w:rsidRDefault="000263AF" w:rsidP="000263AF">
            <w:pPr>
              <w:pStyle w:val="Bullet"/>
              <w:numPr>
                <w:ilvl w:val="0"/>
                <w:numId w:val="4"/>
              </w:numPr>
              <w:ind w:left="576" w:hanging="216"/>
              <w:rPr>
                <w:rFonts w:eastAsia="Arial"/>
              </w:rPr>
            </w:pPr>
            <w:r w:rsidRPr="005D4222">
              <w:rPr>
                <w:rFonts w:eastAsia="Arial"/>
                <w:u w:val="single"/>
              </w:rPr>
              <w:t>Tobacco Use Screening Value Set</w:t>
            </w:r>
            <w:r w:rsidRPr="005D4222">
              <w:rPr>
                <w:rFonts w:eastAsia="Arial"/>
              </w:rPr>
              <w:t xml:space="preserve"> </w:t>
            </w:r>
            <w:r w:rsidRPr="005D4222">
              <w:rPr>
                <w:rFonts w:eastAsia="Arial"/>
                <w:b/>
                <w:bCs/>
                <w:i/>
                <w:iCs/>
              </w:rPr>
              <w:t>with</w:t>
            </w:r>
            <w:r w:rsidRPr="005D4222">
              <w:rPr>
                <w:rFonts w:eastAsia="Arial"/>
              </w:rPr>
              <w:t xml:space="preserve"> </w:t>
            </w:r>
            <w:r w:rsidRPr="005D4222">
              <w:rPr>
                <w:rFonts w:eastAsia="Arial"/>
                <w:u w:val="single"/>
              </w:rPr>
              <w:t>Yes Value Set</w:t>
            </w:r>
            <w:r w:rsidRPr="005D4222">
              <w:rPr>
                <w:rFonts w:eastAsia="Arial"/>
              </w:rPr>
              <w:t>.</w:t>
            </w:r>
          </w:p>
          <w:p w14:paraId="721C61DD" w14:textId="77777777" w:rsidR="000263AF" w:rsidRPr="005D4222" w:rsidRDefault="000263AF" w:rsidP="000263AF">
            <w:pPr>
              <w:pStyle w:val="Bullet"/>
              <w:numPr>
                <w:ilvl w:val="0"/>
                <w:numId w:val="4"/>
              </w:numPr>
              <w:ind w:left="576" w:hanging="216"/>
              <w:rPr>
                <w:rFonts w:eastAsia="Arial"/>
                <w:lang w:eastAsia="ja-JP"/>
              </w:rPr>
            </w:pPr>
            <w:r w:rsidRPr="005D4222">
              <w:rPr>
                <w:rFonts w:eastAsia="Arial"/>
              </w:rPr>
              <w:t xml:space="preserve">LOINC code 72166-2 </w:t>
            </w:r>
            <w:r w:rsidRPr="005D4222">
              <w:rPr>
                <w:rFonts w:eastAsia="Arial"/>
                <w:b/>
                <w:bCs/>
                <w:i/>
                <w:iCs/>
              </w:rPr>
              <w:t>with</w:t>
            </w:r>
            <w:r w:rsidRPr="005D4222">
              <w:rPr>
                <w:rFonts w:eastAsia="Arial"/>
              </w:rPr>
              <w:t xml:space="preserve"> </w:t>
            </w:r>
            <w:r w:rsidRPr="005D4222">
              <w:rPr>
                <w:rFonts w:eastAsia="Arial"/>
                <w:u w:val="single"/>
              </w:rPr>
              <w:t>Positive Tobacco Use Status Value Set</w:t>
            </w:r>
            <w:r w:rsidRPr="005D4222">
              <w:rPr>
                <w:rFonts w:eastAsia="Arial"/>
              </w:rPr>
              <w:t>.</w:t>
            </w:r>
          </w:p>
        </w:tc>
      </w:tr>
      <w:tr w:rsidR="000263AF" w:rsidRPr="005D4222" w14:paraId="2ADB4E3D" w14:textId="77777777" w:rsidTr="00A53E8C">
        <w:trPr>
          <w:trHeight w:val="300"/>
        </w:trPr>
        <w:tc>
          <w:tcPr>
            <w:tcW w:w="2152" w:type="dxa"/>
            <w:tcBorders>
              <w:top w:val="nil"/>
              <w:left w:val="single" w:sz="6" w:space="0" w:color="auto"/>
              <w:bottom w:val="single" w:sz="6" w:space="0" w:color="auto"/>
              <w:right w:val="single" w:sz="6" w:space="0" w:color="auto"/>
            </w:tcBorders>
            <w:shd w:val="clear" w:color="auto" w:fill="FFFFFF" w:themeFill="background1"/>
            <w:tcMar>
              <w:top w:w="0" w:type="dxa"/>
              <w:left w:w="86" w:type="dxa"/>
              <w:bottom w:w="43" w:type="dxa"/>
              <w:right w:w="86" w:type="dxa"/>
            </w:tcMar>
          </w:tcPr>
          <w:p w14:paraId="3CD80BFD" w14:textId="5587869B" w:rsidR="000263AF" w:rsidRPr="005D4222" w:rsidRDefault="00CA5DD5" w:rsidP="00DC1F87">
            <w:pPr>
              <w:pStyle w:val="ECDSSubhead"/>
              <w:rPr>
                <w:rFonts w:eastAsia="Arial"/>
              </w:rPr>
            </w:pPr>
            <w:r w:rsidRPr="005D4222">
              <w:rPr>
                <w:rFonts w:eastAsia="Arial"/>
              </w:rPr>
              <w:t>Negative tobacco user</w:t>
            </w:r>
          </w:p>
        </w:tc>
        <w:tc>
          <w:tcPr>
            <w:tcW w:w="7552" w:type="dxa"/>
            <w:gridSpan w:val="2"/>
            <w:tcBorders>
              <w:top w:val="nil"/>
              <w:left w:val="single" w:sz="6" w:space="0" w:color="auto"/>
              <w:bottom w:val="single" w:sz="6" w:space="0" w:color="auto"/>
              <w:right w:val="single" w:sz="6" w:space="0" w:color="auto"/>
            </w:tcBorders>
            <w:tcMar>
              <w:top w:w="0" w:type="dxa"/>
              <w:left w:w="86" w:type="dxa"/>
              <w:bottom w:w="43" w:type="dxa"/>
              <w:right w:w="86" w:type="dxa"/>
            </w:tcMar>
          </w:tcPr>
          <w:p w14:paraId="4750CA77" w14:textId="77777777" w:rsidR="000263AF" w:rsidRPr="005D4222" w:rsidRDefault="000263AF" w:rsidP="00A53E8C">
            <w:pPr>
              <w:pStyle w:val="ECDSBody"/>
              <w:rPr>
                <w:rFonts w:eastAsia="Arial"/>
              </w:rPr>
            </w:pPr>
            <w:r w:rsidRPr="005D4222">
              <w:rPr>
                <w:rFonts w:eastAsia="Arial"/>
              </w:rPr>
              <w:t>Persons who were screened for tobacco use and had a documented negative result. Any of the following meet criteria:</w:t>
            </w:r>
          </w:p>
          <w:p w14:paraId="0174241B" w14:textId="77777777" w:rsidR="000263AF" w:rsidRPr="005D4222" w:rsidRDefault="000263AF" w:rsidP="000263AF">
            <w:pPr>
              <w:pStyle w:val="Bullet"/>
              <w:numPr>
                <w:ilvl w:val="0"/>
                <w:numId w:val="4"/>
              </w:numPr>
              <w:ind w:left="576" w:hanging="216"/>
              <w:rPr>
                <w:rFonts w:eastAsia="Arial"/>
              </w:rPr>
            </w:pPr>
            <w:r w:rsidRPr="005D4222">
              <w:rPr>
                <w:rFonts w:eastAsia="Arial"/>
                <w:u w:val="single"/>
              </w:rPr>
              <w:t>Tobacco Use Screening Value Set</w:t>
            </w:r>
            <w:r w:rsidRPr="005D4222">
              <w:rPr>
                <w:rFonts w:eastAsia="Arial"/>
              </w:rPr>
              <w:t xml:space="preserve"> </w:t>
            </w:r>
            <w:r w:rsidRPr="005D4222">
              <w:rPr>
                <w:rFonts w:eastAsia="Arial"/>
                <w:b/>
                <w:bCs/>
                <w:i/>
                <w:iCs/>
              </w:rPr>
              <w:t>with</w:t>
            </w:r>
            <w:r w:rsidRPr="005D4222">
              <w:rPr>
                <w:rFonts w:eastAsia="Arial"/>
              </w:rPr>
              <w:t xml:space="preserve"> </w:t>
            </w:r>
            <w:r w:rsidRPr="005D4222">
              <w:rPr>
                <w:rFonts w:eastAsia="Arial"/>
                <w:u w:val="single"/>
              </w:rPr>
              <w:t>No Value Set</w:t>
            </w:r>
            <w:r w:rsidRPr="005D4222">
              <w:rPr>
                <w:rFonts w:eastAsia="Arial"/>
              </w:rPr>
              <w:t>.</w:t>
            </w:r>
          </w:p>
          <w:p w14:paraId="5F99D05C" w14:textId="77777777" w:rsidR="000263AF" w:rsidRPr="005D4222" w:rsidRDefault="000263AF" w:rsidP="000263AF">
            <w:pPr>
              <w:pStyle w:val="Bullet"/>
              <w:numPr>
                <w:ilvl w:val="0"/>
                <w:numId w:val="4"/>
              </w:numPr>
              <w:spacing w:after="80"/>
              <w:ind w:left="576" w:hanging="216"/>
              <w:rPr>
                <w:rFonts w:eastAsia="Arial"/>
                <w:lang w:eastAsia="ja-JP"/>
              </w:rPr>
            </w:pPr>
            <w:r w:rsidRPr="005D4222">
              <w:rPr>
                <w:rFonts w:eastAsia="Arial"/>
              </w:rPr>
              <w:t xml:space="preserve">LOINC code 72166-2 </w:t>
            </w:r>
            <w:r w:rsidRPr="005D4222">
              <w:rPr>
                <w:rFonts w:eastAsia="Arial"/>
                <w:b/>
                <w:bCs/>
                <w:i/>
                <w:iCs/>
              </w:rPr>
              <w:t>with</w:t>
            </w:r>
            <w:r w:rsidRPr="005D4222">
              <w:rPr>
                <w:rFonts w:eastAsia="Arial"/>
              </w:rPr>
              <w:t xml:space="preserve"> </w:t>
            </w:r>
            <w:r w:rsidRPr="005D4222">
              <w:rPr>
                <w:rFonts w:eastAsia="Arial"/>
                <w:u w:val="single"/>
              </w:rPr>
              <w:t>Negative Tobacco Use Status Value Set</w:t>
            </w:r>
            <w:r w:rsidRPr="005D4222">
              <w:rPr>
                <w:rFonts w:eastAsia="Arial"/>
              </w:rPr>
              <w:t>.</w:t>
            </w:r>
          </w:p>
        </w:tc>
      </w:tr>
      <w:tr w:rsidR="000263AF" w:rsidRPr="005D4222" w14:paraId="17BA4997" w14:textId="77777777" w:rsidTr="00A53E8C">
        <w:trPr>
          <w:trHeight w:val="300"/>
        </w:trPr>
        <w:tc>
          <w:tcPr>
            <w:tcW w:w="2152" w:type="dxa"/>
            <w:tcBorders>
              <w:top w:val="single" w:sz="6" w:space="0" w:color="auto"/>
              <w:left w:val="single" w:sz="6" w:space="0" w:color="auto"/>
              <w:bottom w:val="single" w:sz="6" w:space="0" w:color="auto"/>
              <w:right w:val="single" w:sz="6" w:space="0" w:color="auto"/>
            </w:tcBorders>
            <w:shd w:val="clear" w:color="auto" w:fill="BEBEBE"/>
            <w:tcMar>
              <w:top w:w="0" w:type="dxa"/>
              <w:left w:w="86" w:type="dxa"/>
              <w:bottom w:w="43" w:type="dxa"/>
              <w:right w:w="86" w:type="dxa"/>
            </w:tcMar>
          </w:tcPr>
          <w:p w14:paraId="3A553FEB" w14:textId="77777777" w:rsidR="000263AF" w:rsidRPr="005D4222" w:rsidRDefault="000263AF" w:rsidP="00DC1F87">
            <w:pPr>
              <w:pStyle w:val="ECDSMarginHead"/>
              <w:rPr>
                <w:rFonts w:eastAsia="Arial"/>
              </w:rPr>
            </w:pPr>
            <w:r w:rsidRPr="005D4222">
              <w:rPr>
                <w:rFonts w:eastAsia="Arial"/>
              </w:rPr>
              <w:t>Initial population</w:t>
            </w:r>
          </w:p>
        </w:tc>
        <w:tc>
          <w:tcPr>
            <w:tcW w:w="7552" w:type="dxa"/>
            <w:gridSpan w:val="2"/>
            <w:tcBorders>
              <w:top w:val="single" w:sz="6" w:space="0" w:color="auto"/>
              <w:left w:val="single" w:sz="6" w:space="0" w:color="auto"/>
              <w:bottom w:val="single" w:sz="6" w:space="0" w:color="auto"/>
              <w:right w:val="single" w:sz="6" w:space="0" w:color="auto"/>
            </w:tcBorders>
            <w:tcMar>
              <w:top w:w="0" w:type="dxa"/>
              <w:left w:w="86" w:type="dxa"/>
              <w:bottom w:w="43" w:type="dxa"/>
              <w:right w:w="86" w:type="dxa"/>
            </w:tcMar>
          </w:tcPr>
          <w:p w14:paraId="7381F854" w14:textId="77777777" w:rsidR="000263AF" w:rsidRPr="005D4222" w:rsidRDefault="000263AF" w:rsidP="00A53E8C">
            <w:pPr>
              <w:pStyle w:val="ECDSBody"/>
            </w:pPr>
            <w:r w:rsidRPr="005D4222">
              <w:rPr>
                <w:i/>
                <w:iCs/>
              </w:rPr>
              <w:t>Measure item count:</w:t>
            </w:r>
            <w:r w:rsidRPr="005D4222">
              <w:t xml:space="preserve"> Person.</w:t>
            </w:r>
          </w:p>
          <w:p w14:paraId="5C20A62D" w14:textId="77777777" w:rsidR="000263AF" w:rsidRPr="005D4222" w:rsidRDefault="000263AF" w:rsidP="00A53E8C">
            <w:pPr>
              <w:pStyle w:val="ECDSBody"/>
            </w:pPr>
            <w:r w:rsidRPr="005D4222">
              <w:rPr>
                <w:bCs w:val="0"/>
                <w:i/>
                <w:iCs/>
              </w:rPr>
              <w:t>Attribution</w:t>
            </w:r>
            <w:r w:rsidRPr="005D4222">
              <w:t>: Enrollment.</w:t>
            </w:r>
          </w:p>
          <w:p w14:paraId="6B93E955" w14:textId="38DB0D8C" w:rsidR="000263AF" w:rsidRPr="005D4222" w:rsidRDefault="000F0DC5" w:rsidP="000263AF">
            <w:pPr>
              <w:pStyle w:val="Bullet"/>
              <w:numPr>
                <w:ilvl w:val="0"/>
                <w:numId w:val="4"/>
              </w:numPr>
              <w:ind w:left="576" w:hanging="216"/>
            </w:pPr>
            <w:r w:rsidRPr="005D4222">
              <w:rPr>
                <w:i/>
              </w:rPr>
              <w:t>Benefits:</w:t>
            </w:r>
            <w:r w:rsidR="000263AF" w:rsidRPr="005D4222">
              <w:t xml:space="preserve"> Medical.</w:t>
            </w:r>
          </w:p>
          <w:p w14:paraId="246B4BAE" w14:textId="77777777" w:rsidR="000263AF" w:rsidRPr="005D4222" w:rsidRDefault="000263AF" w:rsidP="000263AF">
            <w:pPr>
              <w:pStyle w:val="Bullet"/>
              <w:numPr>
                <w:ilvl w:val="0"/>
                <w:numId w:val="4"/>
              </w:numPr>
              <w:ind w:left="576" w:hanging="216"/>
            </w:pPr>
            <w:r w:rsidRPr="005D4222">
              <w:rPr>
                <w:i/>
                <w:iCs/>
              </w:rPr>
              <w:t>Continuous enrollment:</w:t>
            </w:r>
            <w:r w:rsidRPr="005D4222">
              <w:t xml:space="preserve"> 180 days prior to the measurement period through the last day of the measurement period.</w:t>
            </w:r>
          </w:p>
          <w:p w14:paraId="434317F8" w14:textId="77777777" w:rsidR="000263AF" w:rsidRPr="005D4222" w:rsidDel="002D659A" w:rsidRDefault="000263AF" w:rsidP="000263AF">
            <w:pPr>
              <w:pStyle w:val="Bullet"/>
              <w:numPr>
                <w:ilvl w:val="0"/>
                <w:numId w:val="4"/>
              </w:numPr>
              <w:spacing w:after="80"/>
              <w:ind w:left="576" w:hanging="216"/>
            </w:pPr>
            <w:r w:rsidRPr="005D4222">
              <w:rPr>
                <w:i/>
                <w:iCs/>
              </w:rPr>
              <w:t>Allowable gap:</w:t>
            </w:r>
            <w:r w:rsidRPr="005D4222">
              <w:t xml:space="preserve"> No more than one gap of ≤45 days during the continuous enrollment period. No gaps on the last day of the measurement period. </w:t>
            </w:r>
          </w:p>
          <w:p w14:paraId="6A13E162" w14:textId="4C4D1821" w:rsidR="000263AF" w:rsidRPr="005D4222" w:rsidRDefault="000263AF" w:rsidP="005702AC">
            <w:pPr>
              <w:pStyle w:val="ECDSBody"/>
              <w:spacing w:before="180"/>
              <w:rPr>
                <w:rFonts w:eastAsia="Arial"/>
              </w:rPr>
            </w:pPr>
            <w:r w:rsidRPr="005D4222">
              <w:rPr>
                <w:i/>
                <w:iCs/>
              </w:rPr>
              <w:t>Ages:</w:t>
            </w:r>
            <w:r w:rsidRPr="005D4222">
              <w:t xml:space="preserve"> 12 years of age and older at the start of the measurement period.</w:t>
            </w:r>
          </w:p>
        </w:tc>
      </w:tr>
      <w:tr w:rsidR="005702AC" w:rsidRPr="005D4222" w14:paraId="2CFB365C" w14:textId="77777777" w:rsidTr="00A53E8C">
        <w:trPr>
          <w:trHeight w:val="300"/>
        </w:trPr>
        <w:tc>
          <w:tcPr>
            <w:tcW w:w="2152" w:type="dxa"/>
            <w:tcBorders>
              <w:top w:val="single" w:sz="6" w:space="0" w:color="auto"/>
              <w:left w:val="single" w:sz="6" w:space="0" w:color="auto"/>
              <w:bottom w:val="single" w:sz="6" w:space="0" w:color="auto"/>
              <w:right w:val="single" w:sz="6" w:space="0" w:color="auto"/>
            </w:tcBorders>
            <w:shd w:val="clear" w:color="auto" w:fill="BEBEBE"/>
            <w:tcMar>
              <w:top w:w="0" w:type="dxa"/>
              <w:left w:w="86" w:type="dxa"/>
              <w:bottom w:w="43" w:type="dxa"/>
              <w:right w:w="86" w:type="dxa"/>
            </w:tcMar>
          </w:tcPr>
          <w:p w14:paraId="19D5A9A6" w14:textId="77777777" w:rsidR="005702AC" w:rsidRPr="005D4222" w:rsidRDefault="005702AC" w:rsidP="00DC1F87">
            <w:pPr>
              <w:pStyle w:val="ECDSMarginHead"/>
              <w:rPr>
                <w:rFonts w:eastAsia="Arial"/>
              </w:rPr>
            </w:pPr>
          </w:p>
        </w:tc>
        <w:tc>
          <w:tcPr>
            <w:tcW w:w="7552" w:type="dxa"/>
            <w:gridSpan w:val="2"/>
            <w:tcBorders>
              <w:top w:val="single" w:sz="6" w:space="0" w:color="auto"/>
              <w:left w:val="single" w:sz="6" w:space="0" w:color="auto"/>
              <w:bottom w:val="single" w:sz="6" w:space="0" w:color="auto"/>
              <w:right w:val="single" w:sz="6" w:space="0" w:color="auto"/>
            </w:tcBorders>
            <w:tcMar>
              <w:top w:w="0" w:type="dxa"/>
              <w:left w:w="86" w:type="dxa"/>
              <w:bottom w:w="43" w:type="dxa"/>
              <w:right w:w="86" w:type="dxa"/>
            </w:tcMar>
          </w:tcPr>
          <w:p w14:paraId="34DA1242" w14:textId="6E868C7B" w:rsidR="005702AC" w:rsidRPr="005D4222" w:rsidRDefault="005702AC" w:rsidP="00A53E8C">
            <w:pPr>
              <w:pStyle w:val="ECDSBody"/>
              <w:rPr>
                <w:i/>
                <w:iCs/>
              </w:rPr>
            </w:pPr>
            <w:r w:rsidRPr="005D4222">
              <w:rPr>
                <w:i/>
              </w:rPr>
              <w:t xml:space="preserve">Event: </w:t>
            </w:r>
            <w:r w:rsidRPr="005D4222">
              <w:t>None.</w:t>
            </w:r>
          </w:p>
        </w:tc>
      </w:tr>
      <w:tr w:rsidR="000263AF" w:rsidRPr="005D4222" w14:paraId="6A073272" w14:textId="77777777" w:rsidTr="005702AC">
        <w:trPr>
          <w:trHeight w:val="300"/>
        </w:trPr>
        <w:tc>
          <w:tcPr>
            <w:tcW w:w="2152" w:type="dxa"/>
            <w:tcBorders>
              <w:top w:val="single" w:sz="6" w:space="0" w:color="auto"/>
              <w:left w:val="single" w:sz="6" w:space="0" w:color="auto"/>
              <w:bottom w:val="single" w:sz="6" w:space="0" w:color="auto"/>
              <w:right w:val="single" w:sz="6" w:space="0" w:color="auto"/>
            </w:tcBorders>
            <w:shd w:val="clear" w:color="auto" w:fill="BEBEBE"/>
            <w:tcMar>
              <w:top w:w="0" w:type="dxa"/>
              <w:left w:w="86" w:type="dxa"/>
              <w:bottom w:w="43" w:type="dxa"/>
              <w:right w:w="86" w:type="dxa"/>
            </w:tcMar>
          </w:tcPr>
          <w:p w14:paraId="60A5E94A" w14:textId="4C2E0BE9" w:rsidR="000263AF" w:rsidRPr="005D4222" w:rsidRDefault="006B0291" w:rsidP="00DC1F87">
            <w:pPr>
              <w:pStyle w:val="ECDSMarginHead"/>
              <w:rPr>
                <w:rFonts w:eastAsia="Arial"/>
              </w:rPr>
            </w:pPr>
            <w:r w:rsidRPr="005D4222">
              <w:rPr>
                <w:rFonts w:eastAsia="Arial"/>
              </w:rPr>
              <w:t>Denominator e</w:t>
            </w:r>
            <w:r w:rsidR="000263AF" w:rsidRPr="005D4222">
              <w:rPr>
                <w:rFonts w:eastAsia="Arial"/>
              </w:rPr>
              <w:t>xclusions</w:t>
            </w:r>
          </w:p>
        </w:tc>
        <w:tc>
          <w:tcPr>
            <w:tcW w:w="7552" w:type="dxa"/>
            <w:gridSpan w:val="2"/>
            <w:tcBorders>
              <w:top w:val="single" w:sz="6" w:space="0" w:color="auto"/>
              <w:left w:val="single" w:sz="6" w:space="0" w:color="auto"/>
              <w:bottom w:val="single" w:sz="6" w:space="0" w:color="auto"/>
              <w:right w:val="single" w:sz="6" w:space="0" w:color="auto"/>
            </w:tcBorders>
            <w:tcMar>
              <w:top w:w="0" w:type="dxa"/>
              <w:left w:w="86" w:type="dxa"/>
              <w:bottom w:w="43" w:type="dxa"/>
              <w:right w:w="86" w:type="dxa"/>
            </w:tcMar>
          </w:tcPr>
          <w:p w14:paraId="57F3A801" w14:textId="77777777" w:rsidR="000263AF" w:rsidRPr="005D4222" w:rsidRDefault="000263AF" w:rsidP="00A53E8C">
            <w:pPr>
              <w:pStyle w:val="ECDSBody"/>
              <w:rPr>
                <w:rFonts w:eastAsia="Arial,Arial,Arial,Arial,Arial,A"/>
              </w:rPr>
            </w:pPr>
            <w:r w:rsidRPr="005D4222">
              <w:rPr>
                <w:rFonts w:eastAsia="Arial,Arial,Arial,Arial,Arial,A"/>
                <w:b/>
                <w:bCs w:val="0"/>
              </w:rPr>
              <w:t>Persons with a date of death.</w:t>
            </w:r>
            <w:r w:rsidRPr="005D4222">
              <w:rPr>
                <w:rFonts w:eastAsia="Arial,Arial,Arial,Arial,Arial,A"/>
                <w:b/>
                <w:bCs w:val="0"/>
              </w:rPr>
              <w:br/>
            </w:r>
            <w:r w:rsidRPr="005D4222">
              <w:rPr>
                <w:rFonts w:eastAsia="Arial,Arial,Arial,Arial,Arial,A"/>
                <w:kern w:val="24"/>
                <w14:ligatures w14:val="standardContextual"/>
              </w:rPr>
              <w:t>Death in the measurement period, identified u</w:t>
            </w:r>
            <w:r w:rsidRPr="005D4222">
              <w:rPr>
                <w:rFonts w:eastAsia="Arial,Arial,Arial,Arial,Arial,A"/>
              </w:rPr>
              <w:t>sing data sources determined by the organization</w:t>
            </w:r>
            <w:r w:rsidRPr="005D4222">
              <w:t xml:space="preserve">. </w:t>
            </w:r>
            <w:r w:rsidRPr="005D4222">
              <w:rPr>
                <w:rFonts w:eastAsia="Arial,Arial,Arial,Arial,Arial,A"/>
              </w:rPr>
              <w:t>Method and data sources are subject to review during the HEDIS audit.</w:t>
            </w:r>
          </w:p>
          <w:p w14:paraId="39810C53" w14:textId="77777777" w:rsidR="000263AF" w:rsidRPr="005D4222" w:rsidRDefault="000263AF" w:rsidP="00A53E8C">
            <w:pPr>
              <w:pStyle w:val="ECDSBody"/>
              <w:rPr>
                <w:rFonts w:eastAsia="Arial,Arial,Arial,Arial,Arial,A"/>
              </w:rPr>
            </w:pPr>
            <w:r w:rsidRPr="005D4222" w:rsidDel="002D4AA7">
              <w:rPr>
                <w:rFonts w:eastAsia="Arial,Arial,Arial,Arial,Arial,A"/>
                <w:b/>
                <w:bCs w:val="0"/>
              </w:rPr>
              <w:t xml:space="preserve">Persons </w:t>
            </w:r>
            <w:r w:rsidRPr="005D4222">
              <w:rPr>
                <w:rFonts w:eastAsia="Arial,Arial,Arial,Arial,Arial,A"/>
                <w:b/>
                <w:bCs w:val="0"/>
              </w:rPr>
              <w:t>in hospice or using hospice services.</w:t>
            </w:r>
            <w:r w:rsidRPr="005D4222">
              <w:rPr>
                <w:rFonts w:eastAsia="Arial,Arial,Arial,Arial,Arial,A"/>
                <w:b/>
                <w:bCs w:val="0"/>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26C29D74" w14:textId="77777777" w:rsidR="000263AF" w:rsidRPr="005D4222" w:rsidRDefault="000263AF" w:rsidP="00A53E8C">
            <w:pPr>
              <w:pStyle w:val="ECDSBody"/>
              <w:rPr>
                <w:rFonts w:eastAsia="Arial,Arial,Arial,Arial,Arial,A"/>
              </w:rPr>
            </w:pPr>
            <w:r w:rsidRPr="005D4222">
              <w:rPr>
                <w:rFonts w:eastAsia="Arial,Arial,Arial,Arial,Arial,A"/>
                <w:b/>
                <w:bCs w:val="0"/>
              </w:rPr>
              <w:t>Persons receiving palliative care.</w:t>
            </w:r>
            <w:r w:rsidRPr="005D4222">
              <w:rPr>
                <w:rFonts w:eastAsia="Arial,Arial,Arial,Arial,Arial,A"/>
                <w:b/>
                <w:bCs w:val="0"/>
              </w:rPr>
              <w:br/>
            </w:r>
            <w:r w:rsidRPr="005D4222">
              <w:rPr>
                <w:rFonts w:eastAsia="Arial,Arial,Arial,Arial,Arial,A"/>
              </w:rPr>
              <w:t xml:space="preserve">Persons receiving palliative care </w:t>
            </w:r>
            <w:r w:rsidRPr="005D4222">
              <w:rPr>
                <w:rFonts w:eastAsia="Arial,Arial,Arial,Arial,Arial,A"/>
                <w:u w:val="single"/>
              </w:rPr>
              <w:t>(Palliative Care Assessment Value Se</w:t>
            </w:r>
            <w:r w:rsidRPr="005D4222">
              <w:rPr>
                <w:rFonts w:eastAsia="Arial,Arial,Arial,Arial,Arial,A"/>
              </w:rPr>
              <w:t xml:space="preserve">t; </w:t>
            </w:r>
            <w:r w:rsidRPr="005D4222">
              <w:rPr>
                <w:rFonts w:eastAsia="Arial,Arial,Arial,Arial,Arial,A"/>
                <w:u w:val="single"/>
              </w:rPr>
              <w:t>Palliative Care Encounter</w:t>
            </w:r>
            <w:r w:rsidRPr="005D4222">
              <w:rPr>
                <w:rFonts w:eastAsia="Arial,Arial,Arial,Arial,Arial,A"/>
              </w:rPr>
              <w:t xml:space="preserve">; </w:t>
            </w:r>
            <w:r w:rsidRPr="005D4222">
              <w:rPr>
                <w:rFonts w:eastAsia="Arial,Arial,Arial,Arial,Arial,A"/>
                <w:u w:val="single"/>
              </w:rPr>
              <w:t>Palliative Care Intervention Value Set</w:t>
            </w:r>
            <w:r w:rsidRPr="005D4222">
              <w:rPr>
                <w:rFonts w:eastAsia="Arial,Arial,Arial,Arial,Arial,A"/>
              </w:rPr>
              <w:t>) or who had an encounter for palliative care (ICD-10-CM code Z51.5*) any time during the measurement period.</w:t>
            </w:r>
          </w:p>
          <w:p w14:paraId="131F21B1" w14:textId="77777777" w:rsidR="000263AF" w:rsidRPr="005D4222" w:rsidRDefault="000263AF" w:rsidP="00A53E8C">
            <w:pPr>
              <w:pStyle w:val="ECDSBody"/>
              <w:spacing w:after="0"/>
              <w:rPr>
                <w:rFonts w:eastAsia="Arial,Arial,Arial,Arial,Arial,A"/>
                <w:b/>
                <w:bCs w:val="0"/>
              </w:rPr>
            </w:pPr>
            <w:r w:rsidRPr="005D4222">
              <w:rPr>
                <w:rFonts w:eastAsia="Arial,Arial,Arial,Arial,Arial,A"/>
                <w:b/>
                <w:bCs w:val="0"/>
              </w:rPr>
              <w:t>Coding Guidance</w:t>
            </w:r>
          </w:p>
          <w:p w14:paraId="2C5C3FC5" w14:textId="77777777" w:rsidR="000263AF" w:rsidRPr="005D4222" w:rsidRDefault="000263AF" w:rsidP="00A53E8C">
            <w:pPr>
              <w:pStyle w:val="ECDSBody"/>
              <w:spacing w:before="0"/>
              <w:rPr>
                <w:rFonts w:ascii="Arial,Arial,Arial,Arial,Arial,A" w:eastAsia="Arial,Arial,Arial,Arial,Arial,A" w:hAnsi="Arial,Arial,Arial,Arial,Arial,A" w:cs="Arial,Arial,Arial,Arial,Arial,A"/>
              </w:rPr>
            </w:pPr>
            <w:r w:rsidRPr="005D4222">
              <w:rPr>
                <w:rFonts w:eastAsia="Arial,Arial,Arial,Arial,Arial,A"/>
              </w:rPr>
              <w:t>*Do not include laboratory claims (claims with POS code 81).</w:t>
            </w:r>
          </w:p>
        </w:tc>
      </w:tr>
      <w:tr w:rsidR="000263AF" w:rsidRPr="005D4222" w14:paraId="59262C02" w14:textId="77777777" w:rsidTr="00A53E8C">
        <w:trPr>
          <w:trHeight w:val="300"/>
        </w:trPr>
        <w:tc>
          <w:tcPr>
            <w:tcW w:w="2152" w:type="dxa"/>
            <w:tcBorders>
              <w:top w:val="single" w:sz="6" w:space="0" w:color="auto"/>
              <w:left w:val="single" w:sz="6" w:space="0" w:color="auto"/>
              <w:bottom w:val="single" w:sz="6" w:space="0" w:color="auto"/>
              <w:right w:val="single" w:sz="6" w:space="0" w:color="auto"/>
            </w:tcBorders>
            <w:shd w:val="clear" w:color="auto" w:fill="BEBEBE"/>
            <w:tcMar>
              <w:top w:w="0" w:type="dxa"/>
              <w:left w:w="86" w:type="dxa"/>
              <w:bottom w:w="43" w:type="dxa"/>
              <w:right w:w="86" w:type="dxa"/>
            </w:tcMar>
          </w:tcPr>
          <w:p w14:paraId="31271D00" w14:textId="77777777" w:rsidR="000263AF" w:rsidRPr="005D4222" w:rsidRDefault="000263AF" w:rsidP="00DC1F87">
            <w:pPr>
              <w:pStyle w:val="ECDSMarginHead"/>
              <w:rPr>
                <w:rFonts w:eastAsia="Arial"/>
              </w:rPr>
            </w:pPr>
            <w:r w:rsidRPr="005D4222">
              <w:rPr>
                <w:rFonts w:eastAsia="Arial"/>
              </w:rPr>
              <w:t xml:space="preserve">Denominator </w:t>
            </w:r>
          </w:p>
        </w:tc>
        <w:tc>
          <w:tcPr>
            <w:tcW w:w="7552" w:type="dxa"/>
            <w:gridSpan w:val="2"/>
            <w:tcBorders>
              <w:top w:val="single" w:sz="6" w:space="0" w:color="auto"/>
              <w:left w:val="single" w:sz="6" w:space="0" w:color="auto"/>
              <w:bottom w:val="single" w:sz="6" w:space="0" w:color="auto"/>
              <w:right w:val="single" w:sz="6" w:space="0" w:color="auto"/>
            </w:tcBorders>
            <w:tcMar>
              <w:left w:w="86" w:type="dxa"/>
              <w:bottom w:w="43" w:type="dxa"/>
              <w:right w:w="86" w:type="dxa"/>
            </w:tcMar>
          </w:tcPr>
          <w:p w14:paraId="44905DD2" w14:textId="77777777" w:rsidR="000263AF" w:rsidRPr="005D4222" w:rsidRDefault="000263AF" w:rsidP="00A53E8C">
            <w:pPr>
              <w:pStyle w:val="ECDSBody"/>
              <w:rPr>
                <w:rFonts w:eastAsia="Arial,Arial,Arial,Arial,Arial,A"/>
              </w:rPr>
            </w:pPr>
            <w:r w:rsidRPr="005D4222">
              <w:rPr>
                <w:rFonts w:eastAsia="Arial,Arial,Arial,Arial,Arial,A"/>
                <w:b/>
              </w:rPr>
              <w:t>Denominator 1:</w:t>
            </w:r>
            <w:r w:rsidRPr="005D4222">
              <w:rPr>
                <w:rFonts w:eastAsia="Arial,Arial,Arial,Arial,Arial,A"/>
                <w:b/>
                <w:i/>
              </w:rPr>
              <w:t xml:space="preserve"> </w:t>
            </w:r>
            <w:r w:rsidRPr="005D4222">
              <w:rPr>
                <w:rFonts w:eastAsia="Arial,Arial,Arial,Arial,Arial,A"/>
              </w:rPr>
              <w:t>The initial population minus denominator exclusions.</w:t>
            </w:r>
          </w:p>
          <w:p w14:paraId="716C0C70" w14:textId="77777777" w:rsidR="000263AF" w:rsidRPr="005D4222" w:rsidRDefault="000263AF" w:rsidP="00A53E8C">
            <w:pPr>
              <w:pStyle w:val="ECDSBody"/>
              <w:rPr>
                <w:rFonts w:eastAsia="Arial,Arial,Arial,Arial,Arial,A"/>
              </w:rPr>
            </w:pPr>
            <w:r w:rsidRPr="005D4222">
              <w:rPr>
                <w:rFonts w:eastAsia="Arial,Arial,Arial,Arial,Arial,A"/>
                <w:b/>
              </w:rPr>
              <w:t xml:space="preserve">Denominator 2: </w:t>
            </w:r>
            <w:r w:rsidRPr="005D4222">
              <w:rPr>
                <w:rFonts w:eastAsia="Arial,Arial,Arial,Arial,Arial,A"/>
              </w:rPr>
              <w:t xml:space="preserve">Persons from numerator 1 who were identified as a positive tobacco user between January 1 and December 1 of the measurement period. </w:t>
            </w:r>
          </w:p>
        </w:tc>
      </w:tr>
      <w:tr w:rsidR="000263AF" w:rsidRPr="005D4222" w14:paraId="3E04F888" w14:textId="77777777" w:rsidTr="00A53E8C">
        <w:trPr>
          <w:trHeight w:val="300"/>
        </w:trPr>
        <w:tc>
          <w:tcPr>
            <w:tcW w:w="2152" w:type="dxa"/>
            <w:tcBorders>
              <w:top w:val="single" w:sz="6" w:space="0" w:color="auto"/>
              <w:left w:val="single" w:sz="6" w:space="0" w:color="auto"/>
              <w:bottom w:val="single" w:sz="6" w:space="0" w:color="auto"/>
              <w:right w:val="single" w:sz="6" w:space="0" w:color="auto"/>
            </w:tcBorders>
            <w:shd w:val="clear" w:color="auto" w:fill="BEBEBE"/>
            <w:tcMar>
              <w:top w:w="0" w:type="dxa"/>
              <w:left w:w="86" w:type="dxa"/>
              <w:bottom w:w="43" w:type="dxa"/>
              <w:right w:w="86" w:type="dxa"/>
            </w:tcMar>
          </w:tcPr>
          <w:p w14:paraId="2873245E" w14:textId="77777777" w:rsidR="000263AF" w:rsidRPr="005D4222" w:rsidRDefault="000263AF" w:rsidP="00DC1F87">
            <w:pPr>
              <w:pStyle w:val="ECDSMarginHead"/>
              <w:rPr>
                <w:rFonts w:eastAsia="Arial"/>
              </w:rPr>
            </w:pPr>
            <w:r w:rsidRPr="005D4222">
              <w:rPr>
                <w:rFonts w:eastAsia="Arial"/>
              </w:rPr>
              <w:t>Numerator</w:t>
            </w:r>
          </w:p>
        </w:tc>
        <w:tc>
          <w:tcPr>
            <w:tcW w:w="7552" w:type="dxa"/>
            <w:gridSpan w:val="2"/>
            <w:tcBorders>
              <w:top w:val="single" w:sz="6" w:space="0" w:color="auto"/>
              <w:left w:val="single" w:sz="6" w:space="0" w:color="auto"/>
              <w:bottom w:val="single" w:sz="6" w:space="0" w:color="auto"/>
              <w:right w:val="single" w:sz="6" w:space="0" w:color="auto"/>
            </w:tcBorders>
            <w:tcMar>
              <w:left w:w="86" w:type="dxa"/>
              <w:bottom w:w="43" w:type="dxa"/>
              <w:right w:w="86" w:type="dxa"/>
            </w:tcMar>
          </w:tcPr>
          <w:p w14:paraId="6446E33E" w14:textId="728CE508" w:rsidR="000263AF" w:rsidRPr="005D4222" w:rsidRDefault="000263AF" w:rsidP="00A53E8C">
            <w:pPr>
              <w:pStyle w:val="ECDSBody"/>
              <w:rPr>
                <w:rFonts w:eastAsia="Arial"/>
              </w:rPr>
            </w:pPr>
            <w:r w:rsidRPr="005D4222">
              <w:rPr>
                <w:b/>
              </w:rPr>
              <w:t xml:space="preserve">Numerator 1—Tobacco </w:t>
            </w:r>
            <w:r w:rsidR="00B96C88" w:rsidRPr="005D4222">
              <w:rPr>
                <w:b/>
              </w:rPr>
              <w:t>use screening</w:t>
            </w:r>
            <w:r w:rsidRPr="005D4222">
              <w:rPr>
                <w:b/>
              </w:rPr>
              <w:t>.</w:t>
            </w:r>
            <w:r w:rsidRPr="005D4222">
              <w:br/>
            </w:r>
            <w:r w:rsidRPr="005D4222">
              <w:rPr>
                <w:rFonts w:eastAsia="Arial"/>
              </w:rPr>
              <w:t>Persons who were screened for tobacco use and identified as either a positive or negative tobacco user (see Definitions above) during the measurement period.  </w:t>
            </w:r>
          </w:p>
          <w:p w14:paraId="0E88AB1A" w14:textId="7979A761" w:rsidR="000263AF" w:rsidRPr="005D4222" w:rsidRDefault="000263AF" w:rsidP="00A53E8C">
            <w:pPr>
              <w:pStyle w:val="ECDSBody"/>
              <w:rPr>
                <w:rFonts w:eastAsia="Arial"/>
              </w:rPr>
            </w:pPr>
            <w:r w:rsidRPr="005D4222">
              <w:rPr>
                <w:rFonts w:eastAsia="Arial"/>
                <w:b/>
                <w:bCs w:val="0"/>
              </w:rPr>
              <w:t>Numerator 2</w:t>
            </w:r>
            <w:r w:rsidRPr="005D4222">
              <w:rPr>
                <w:b/>
                <w:bCs w:val="0"/>
              </w:rPr>
              <w:t>—</w:t>
            </w:r>
            <w:r w:rsidRPr="005D4222">
              <w:rPr>
                <w:rFonts w:eastAsia="Arial"/>
                <w:b/>
                <w:bCs w:val="0"/>
              </w:rPr>
              <w:t xml:space="preserve">Cessation </w:t>
            </w:r>
            <w:r w:rsidR="00B96C88" w:rsidRPr="005D4222">
              <w:rPr>
                <w:rFonts w:eastAsia="Arial"/>
                <w:b/>
                <w:bCs w:val="0"/>
              </w:rPr>
              <w:t>intervention</w:t>
            </w:r>
            <w:r w:rsidRPr="005D4222">
              <w:rPr>
                <w:rFonts w:eastAsia="Arial"/>
                <w:b/>
                <w:bCs w:val="0"/>
              </w:rPr>
              <w:t>.</w:t>
            </w:r>
            <w:r w:rsidRPr="005D4222">
              <w:rPr>
                <w:rFonts w:eastAsia="Arial"/>
                <w:b/>
                <w:bCs w:val="0"/>
              </w:rPr>
              <w:br/>
            </w:r>
            <w:r w:rsidRPr="005D4222">
              <w:rPr>
                <w:rFonts w:eastAsia="Arial"/>
              </w:rPr>
              <w:t>Persons who received tobacco cessation intervention during the measurement period or 180 days prior to the measurement period. The following meet criteria:</w:t>
            </w:r>
          </w:p>
          <w:p w14:paraId="2C18B54D" w14:textId="77777777" w:rsidR="000263AF" w:rsidRPr="005D4222" w:rsidRDefault="000263AF" w:rsidP="000263AF">
            <w:pPr>
              <w:pStyle w:val="Bullet"/>
              <w:numPr>
                <w:ilvl w:val="0"/>
                <w:numId w:val="4"/>
              </w:numPr>
              <w:ind w:left="576" w:hanging="216"/>
              <w:rPr>
                <w:rFonts w:eastAsia="Arial"/>
                <w:szCs w:val="21"/>
              </w:rPr>
            </w:pPr>
            <w:r w:rsidRPr="005D4222">
              <w:rPr>
                <w:rFonts w:eastAsia="Arial"/>
                <w:szCs w:val="21"/>
              </w:rPr>
              <w:t>Persons 12–17 years of age who received tobacco cessation counseling (</w:t>
            </w:r>
            <w:r w:rsidRPr="005D4222">
              <w:rPr>
                <w:rFonts w:eastAsia="Arial"/>
                <w:szCs w:val="21"/>
                <w:u w:val="single"/>
              </w:rPr>
              <w:t>Tobacco Use Cessation Counseling Value Set</w:t>
            </w:r>
            <w:r w:rsidRPr="005D4222">
              <w:rPr>
                <w:rFonts w:eastAsia="Arial"/>
                <w:szCs w:val="21"/>
              </w:rPr>
              <w:t>; ICD-10-CM code Z71.6*) during the measurement period or in the 180 days prior to the measurement period.   </w:t>
            </w:r>
          </w:p>
          <w:p w14:paraId="4AF00EEF" w14:textId="77777777" w:rsidR="000263AF" w:rsidRPr="005D4222" w:rsidRDefault="000263AF" w:rsidP="000263AF">
            <w:pPr>
              <w:pStyle w:val="Bullet"/>
              <w:numPr>
                <w:ilvl w:val="0"/>
                <w:numId w:val="4"/>
              </w:numPr>
              <w:ind w:left="576" w:hanging="216"/>
              <w:rPr>
                <w:rFonts w:eastAsia="Arial"/>
                <w:szCs w:val="21"/>
              </w:rPr>
            </w:pPr>
            <w:r w:rsidRPr="005D4222">
              <w:rPr>
                <w:rFonts w:eastAsia="Arial"/>
                <w:szCs w:val="21"/>
              </w:rPr>
              <w:t>Persons 18 years of age and older who received tobacco cessation counseling (</w:t>
            </w:r>
            <w:r w:rsidRPr="005D4222">
              <w:rPr>
                <w:rFonts w:eastAsia="Arial"/>
                <w:color w:val="000000" w:themeColor="text1"/>
                <w:szCs w:val="21"/>
                <w:u w:val="single"/>
              </w:rPr>
              <w:t>Tobacco Use Cessation Counseling Value Set</w:t>
            </w:r>
            <w:r w:rsidRPr="005D4222">
              <w:rPr>
                <w:rFonts w:eastAsia="Arial"/>
                <w:szCs w:val="21"/>
              </w:rPr>
              <w:t>; ICD-10-CM code Z71.6*</w:t>
            </w:r>
            <w:r w:rsidRPr="005D4222">
              <w:rPr>
                <w:rFonts w:eastAsia="Arial"/>
                <w:color w:val="000000" w:themeColor="text1"/>
                <w:szCs w:val="21"/>
              </w:rPr>
              <w:t>)</w:t>
            </w:r>
            <w:r w:rsidRPr="005D4222">
              <w:rPr>
                <w:rFonts w:eastAsia="Arial"/>
                <w:szCs w:val="21"/>
              </w:rPr>
              <w:t xml:space="preserve"> or dispensed pharmacotherapy intervention (</w:t>
            </w:r>
            <w:r w:rsidRPr="005D4222">
              <w:rPr>
                <w:rStyle w:val="eop"/>
                <w:rFonts w:eastAsia="Arial" w:cs="Arial"/>
                <w:color w:val="000000" w:themeColor="text1"/>
                <w:szCs w:val="21"/>
                <w:u w:val="single"/>
              </w:rPr>
              <w:t>Tobacco Use Cessation Medications List</w:t>
            </w:r>
            <w:r w:rsidRPr="005D4222">
              <w:rPr>
                <w:rStyle w:val="eop"/>
                <w:rFonts w:eastAsia="Arial" w:cs="Arial"/>
                <w:color w:val="000000" w:themeColor="text1"/>
                <w:szCs w:val="21"/>
              </w:rPr>
              <w:t>)</w:t>
            </w:r>
            <w:r w:rsidRPr="005D4222">
              <w:rPr>
                <w:rStyle w:val="eop"/>
                <w:rFonts w:eastAsia="Arial Narrow" w:cs="Arial"/>
                <w:color w:val="000000" w:themeColor="text1"/>
                <w:szCs w:val="21"/>
              </w:rPr>
              <w:t xml:space="preserve"> </w:t>
            </w:r>
            <w:r w:rsidRPr="005D4222">
              <w:rPr>
                <w:rFonts w:eastAsia="Arial"/>
                <w:szCs w:val="21"/>
              </w:rPr>
              <w:t xml:space="preserve">during the measurement period or 180 days prior to the measurement period.  </w:t>
            </w:r>
          </w:p>
          <w:p w14:paraId="7679B6FF" w14:textId="77777777" w:rsidR="000263AF" w:rsidRPr="005D4222" w:rsidRDefault="000263AF" w:rsidP="00A53E8C">
            <w:pPr>
              <w:pStyle w:val="ECDSBody"/>
              <w:spacing w:after="0"/>
              <w:rPr>
                <w:rFonts w:eastAsia="Arial,Arial,Arial,Arial,Arial,A"/>
                <w:b/>
                <w:bCs w:val="0"/>
              </w:rPr>
            </w:pPr>
            <w:r w:rsidRPr="005D4222">
              <w:rPr>
                <w:rFonts w:eastAsia="Arial,Arial,Arial,Arial,Arial,A"/>
                <w:b/>
                <w:bCs w:val="0"/>
              </w:rPr>
              <w:t>Coding Guidance</w:t>
            </w:r>
          </w:p>
          <w:p w14:paraId="366E3C1D" w14:textId="77777777" w:rsidR="000263AF" w:rsidRPr="005D4222" w:rsidRDefault="000263AF" w:rsidP="000C6B28">
            <w:pPr>
              <w:spacing w:after="80"/>
              <w:rPr>
                <w:rFonts w:eastAsia="Arial" w:cs="Arial"/>
              </w:rPr>
            </w:pPr>
            <w:r w:rsidRPr="005D4222">
              <w:rPr>
                <w:rFonts w:eastAsia="Arial,Arial,Arial,Arial,Arial,A" w:cs="Arial"/>
              </w:rPr>
              <w:t>*Do not include laboratory claims (claims with POS code 81).</w:t>
            </w:r>
          </w:p>
        </w:tc>
      </w:tr>
      <w:tr w:rsidR="000263AF" w:rsidRPr="005D4222" w14:paraId="1AE0C3A9" w14:textId="77777777" w:rsidTr="00A53E8C">
        <w:trPr>
          <w:trHeight w:val="300"/>
        </w:trPr>
        <w:tc>
          <w:tcPr>
            <w:tcW w:w="2152" w:type="dxa"/>
            <w:tcBorders>
              <w:top w:val="single" w:sz="6" w:space="0" w:color="auto"/>
              <w:left w:val="single" w:sz="6" w:space="0" w:color="auto"/>
              <w:bottom w:val="single" w:sz="6" w:space="0" w:color="auto"/>
              <w:right w:val="single" w:sz="6" w:space="0" w:color="auto"/>
            </w:tcBorders>
            <w:shd w:val="clear" w:color="auto" w:fill="BEBEBE"/>
            <w:tcMar>
              <w:top w:w="0" w:type="dxa"/>
              <w:left w:w="86" w:type="dxa"/>
              <w:bottom w:w="43" w:type="dxa"/>
              <w:right w:w="86" w:type="dxa"/>
            </w:tcMar>
          </w:tcPr>
          <w:p w14:paraId="5FBF44A2" w14:textId="77777777" w:rsidR="000263AF" w:rsidRPr="005D4222" w:rsidRDefault="000263AF" w:rsidP="00DC1F87">
            <w:pPr>
              <w:pStyle w:val="ECDSMarginHead"/>
              <w:rPr>
                <w:rFonts w:eastAsia="Arial"/>
              </w:rPr>
            </w:pPr>
            <w:r w:rsidRPr="005D4222">
              <w:rPr>
                <w:rFonts w:eastAsia="Arial"/>
              </w:rPr>
              <w:t>Summary of changes</w:t>
            </w:r>
          </w:p>
        </w:tc>
        <w:tc>
          <w:tcPr>
            <w:tcW w:w="7552" w:type="dxa"/>
            <w:gridSpan w:val="2"/>
            <w:tcBorders>
              <w:top w:val="single" w:sz="6" w:space="0" w:color="auto"/>
              <w:left w:val="single" w:sz="6" w:space="0" w:color="auto"/>
              <w:bottom w:val="single" w:sz="6" w:space="0" w:color="auto"/>
              <w:right w:val="single" w:sz="6" w:space="0" w:color="auto"/>
            </w:tcBorders>
            <w:tcMar>
              <w:left w:w="86" w:type="dxa"/>
              <w:bottom w:w="43" w:type="dxa"/>
              <w:right w:w="86" w:type="dxa"/>
            </w:tcMar>
          </w:tcPr>
          <w:p w14:paraId="47B8E2C7" w14:textId="77777777" w:rsidR="000263AF" w:rsidRPr="005D4222" w:rsidRDefault="000263AF" w:rsidP="005D6173">
            <w:pPr>
              <w:pStyle w:val="ProcessBullet"/>
              <w:numPr>
                <w:ilvl w:val="0"/>
                <w:numId w:val="98"/>
              </w:numPr>
              <w:tabs>
                <w:tab w:val="left" w:pos="216"/>
              </w:tabs>
              <w:spacing w:before="120"/>
              <w:ind w:left="216" w:hanging="216"/>
              <w:rPr>
                <w:b/>
                <w:bCs/>
              </w:rPr>
            </w:pPr>
            <w:r w:rsidRPr="005D4222">
              <w:t xml:space="preserve">This is a first-year measure. </w:t>
            </w:r>
          </w:p>
        </w:tc>
      </w:tr>
    </w:tbl>
    <w:p w14:paraId="1EBB741B" w14:textId="77777777" w:rsidR="005702AC" w:rsidRPr="005D4222" w:rsidRDefault="005702AC">
      <w:r w:rsidRPr="005D4222">
        <w:br w:type="page"/>
      </w:r>
    </w:p>
    <w:tbl>
      <w:tblPr>
        <w:tblW w:w="5000" w:type="pct"/>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2152"/>
        <w:gridCol w:w="7552"/>
      </w:tblGrid>
      <w:tr w:rsidR="000263AF" w:rsidRPr="005D4222" w14:paraId="5AA4058E" w14:textId="77777777" w:rsidTr="00A53E8C">
        <w:trPr>
          <w:trHeight w:val="300"/>
        </w:trPr>
        <w:tc>
          <w:tcPr>
            <w:tcW w:w="2152" w:type="dxa"/>
            <w:tcBorders>
              <w:top w:val="single" w:sz="6" w:space="0" w:color="auto"/>
              <w:left w:val="single" w:sz="6" w:space="0" w:color="auto"/>
              <w:bottom w:val="single" w:sz="6" w:space="0" w:color="auto"/>
              <w:right w:val="single" w:sz="6" w:space="0" w:color="auto"/>
            </w:tcBorders>
            <w:shd w:val="clear" w:color="auto" w:fill="BEBEBE"/>
            <w:tcMar>
              <w:top w:w="0" w:type="dxa"/>
              <w:left w:w="86" w:type="dxa"/>
              <w:bottom w:w="43" w:type="dxa"/>
              <w:right w:w="86" w:type="dxa"/>
            </w:tcMar>
          </w:tcPr>
          <w:p w14:paraId="3BBEFC4B" w14:textId="1DF89B38" w:rsidR="000263AF" w:rsidRPr="005D4222" w:rsidRDefault="000263AF" w:rsidP="00DC1F87">
            <w:pPr>
              <w:pStyle w:val="ECDSMarginHead"/>
              <w:rPr>
                <w:rFonts w:eastAsia="Arial"/>
              </w:rPr>
            </w:pPr>
            <w:r w:rsidRPr="005D4222">
              <w:rPr>
                <w:rFonts w:eastAsia="Arial"/>
              </w:rPr>
              <w:lastRenderedPageBreak/>
              <w:t>Data element</w:t>
            </w:r>
            <w:r w:rsidR="00396D3A" w:rsidRPr="005D4222">
              <w:rPr>
                <w:rFonts w:eastAsia="Arial"/>
              </w:rPr>
              <w:br/>
              <w:t>table</w:t>
            </w:r>
            <w:r w:rsidRPr="005D4222">
              <w:rPr>
                <w:rFonts w:eastAsia="Arial"/>
              </w:rPr>
              <w:t>s</w:t>
            </w:r>
          </w:p>
        </w:tc>
        <w:tc>
          <w:tcPr>
            <w:tcW w:w="7552" w:type="dxa"/>
            <w:tcBorders>
              <w:top w:val="single" w:sz="6" w:space="0" w:color="auto"/>
              <w:left w:val="single" w:sz="6" w:space="0" w:color="auto"/>
              <w:bottom w:val="single" w:sz="6" w:space="0" w:color="auto"/>
              <w:right w:val="single" w:sz="6" w:space="0" w:color="auto"/>
            </w:tcBorders>
            <w:tcMar>
              <w:left w:w="86" w:type="dxa"/>
              <w:bottom w:w="43" w:type="dxa"/>
              <w:right w:w="86" w:type="dxa"/>
            </w:tcMar>
          </w:tcPr>
          <w:p w14:paraId="2ECA2E93" w14:textId="77777777" w:rsidR="00DC3950" w:rsidRPr="005D4222" w:rsidRDefault="00DC3950" w:rsidP="00DC3950">
            <w:pPr>
              <w:pStyle w:val="Heading3"/>
              <w:spacing w:before="120"/>
              <w:rPr>
                <w:rFonts w:eastAsia="Arial" w:cs="Times New Roman"/>
                <w:b w:val="0"/>
                <w:i w:val="0"/>
                <w:sz w:val="21"/>
                <w:szCs w:val="21"/>
              </w:rPr>
            </w:pPr>
            <w:r w:rsidRPr="005D4222">
              <w:rPr>
                <w:rFonts w:eastAsia="Arial" w:cs="Times New Roman"/>
                <w:b w:val="0"/>
                <w:i w:val="0"/>
                <w:sz w:val="21"/>
                <w:szCs w:val="21"/>
              </w:rPr>
              <w:t xml:space="preserve">Organizations that submit HEDIS data to NCQA must provide the following data elements. </w:t>
            </w:r>
          </w:p>
          <w:p w14:paraId="708B5392" w14:textId="77777777" w:rsidR="000263AF" w:rsidRPr="005D4222" w:rsidRDefault="000263AF" w:rsidP="00212974">
            <w:pPr>
              <w:pStyle w:val="Heading3"/>
              <w:spacing w:before="120"/>
              <w:rPr>
                <w:b w:val="0"/>
                <w:bCs w:val="0"/>
                <w:i w:val="0"/>
                <w:iCs/>
                <w:kern w:val="20"/>
              </w:rPr>
            </w:pPr>
            <w:r w:rsidRPr="005D4222">
              <w:t>Table TSC-E-1/2: Data Elements for Tobacco Use Screening and Cessation Intervention</w:t>
            </w:r>
          </w:p>
          <w:tbl>
            <w:tblPr>
              <w:tblW w:w="5000" w:type="pct"/>
              <w:tblLayout w:type="fixed"/>
              <w:tblLook w:val="04A0" w:firstRow="1" w:lastRow="0" w:firstColumn="1" w:lastColumn="0" w:noHBand="0" w:noVBand="1"/>
            </w:tblPr>
            <w:tblGrid>
              <w:gridCol w:w="1648"/>
              <w:gridCol w:w="1043"/>
              <w:gridCol w:w="1440"/>
              <w:gridCol w:w="3229"/>
            </w:tblGrid>
            <w:tr w:rsidR="000263AF" w:rsidRPr="005D4222" w14:paraId="5F0510E2" w14:textId="77777777" w:rsidTr="00DE1AA6">
              <w:tc>
                <w:tcPr>
                  <w:tcW w:w="1648" w:type="dxa"/>
                  <w:tcBorders>
                    <w:top w:val="single" w:sz="8" w:space="0" w:color="auto"/>
                    <w:left w:val="single" w:sz="8" w:space="0" w:color="auto"/>
                    <w:bottom w:val="single" w:sz="4" w:space="0" w:color="auto"/>
                    <w:right w:val="single" w:sz="6" w:space="0" w:color="FFFFFF" w:themeColor="background1"/>
                  </w:tcBorders>
                  <w:shd w:val="clear" w:color="auto" w:fill="000000" w:themeFill="text1"/>
                  <w:noWrap/>
                  <w:tcMar>
                    <w:left w:w="72" w:type="dxa"/>
                    <w:right w:w="72" w:type="dxa"/>
                  </w:tcMar>
                  <w:vAlign w:val="bottom"/>
                  <w:hideMark/>
                </w:tcPr>
                <w:p w14:paraId="2C11FB48" w14:textId="77777777" w:rsidR="000263AF" w:rsidRPr="005D4222" w:rsidRDefault="000263AF" w:rsidP="00A53E8C">
                  <w:pPr>
                    <w:pStyle w:val="TableHead"/>
                    <w:spacing w:before="40" w:after="40"/>
                    <w:rPr>
                      <w:color w:val="auto"/>
                      <w:kern w:val="20"/>
                    </w:rPr>
                  </w:pPr>
                  <w:r w:rsidRPr="005D4222">
                    <w:rPr>
                      <w:color w:val="auto"/>
                      <w:kern w:val="20"/>
                    </w:rPr>
                    <w:t>Metric</w:t>
                  </w:r>
                </w:p>
              </w:tc>
              <w:tc>
                <w:tcPr>
                  <w:tcW w:w="1043" w:type="dxa"/>
                  <w:tcBorders>
                    <w:top w:val="single" w:sz="8" w:space="0" w:color="auto"/>
                    <w:left w:val="single" w:sz="6" w:space="0" w:color="FFFFFF" w:themeColor="background1"/>
                    <w:bottom w:val="single" w:sz="4" w:space="0" w:color="auto"/>
                    <w:right w:val="single" w:sz="6" w:space="0" w:color="FFFFFF" w:themeColor="background1"/>
                  </w:tcBorders>
                  <w:shd w:val="clear" w:color="auto" w:fill="000000" w:themeFill="text1"/>
                  <w:tcMar>
                    <w:left w:w="72" w:type="dxa"/>
                    <w:right w:w="72" w:type="dxa"/>
                  </w:tcMar>
                  <w:vAlign w:val="bottom"/>
                </w:tcPr>
                <w:p w14:paraId="48E1BAB8" w14:textId="77777777" w:rsidR="000263AF" w:rsidRPr="005D4222" w:rsidRDefault="000263AF" w:rsidP="00A53E8C">
                  <w:pPr>
                    <w:pStyle w:val="TableHead"/>
                    <w:spacing w:before="40" w:after="40"/>
                    <w:rPr>
                      <w:color w:val="auto"/>
                      <w:kern w:val="20"/>
                    </w:rPr>
                  </w:pPr>
                  <w:r w:rsidRPr="005D4222">
                    <w:rPr>
                      <w:color w:val="auto"/>
                      <w:kern w:val="20"/>
                    </w:rPr>
                    <w:t>Age</w:t>
                  </w:r>
                </w:p>
              </w:tc>
              <w:tc>
                <w:tcPr>
                  <w:tcW w:w="1440" w:type="dxa"/>
                  <w:tcBorders>
                    <w:top w:val="single" w:sz="8" w:space="0" w:color="auto"/>
                    <w:left w:val="single" w:sz="6" w:space="0" w:color="FFFFFF" w:themeColor="background1"/>
                    <w:bottom w:val="single" w:sz="4" w:space="0" w:color="auto"/>
                    <w:right w:val="single" w:sz="4" w:space="0" w:color="FFFFFF" w:themeColor="background1"/>
                  </w:tcBorders>
                  <w:shd w:val="clear" w:color="auto" w:fill="000000" w:themeFill="text1"/>
                  <w:noWrap/>
                  <w:tcMar>
                    <w:left w:w="72" w:type="dxa"/>
                    <w:right w:w="72" w:type="dxa"/>
                  </w:tcMar>
                  <w:vAlign w:val="bottom"/>
                  <w:hideMark/>
                </w:tcPr>
                <w:p w14:paraId="16C4FC37" w14:textId="77777777" w:rsidR="000263AF" w:rsidRPr="005D4222" w:rsidRDefault="000263AF" w:rsidP="00A53E8C">
                  <w:pPr>
                    <w:pStyle w:val="TableHead"/>
                    <w:spacing w:before="40" w:after="40"/>
                    <w:rPr>
                      <w:color w:val="auto"/>
                      <w:kern w:val="20"/>
                    </w:rPr>
                  </w:pPr>
                  <w:r w:rsidRPr="005D4222">
                    <w:rPr>
                      <w:color w:val="auto"/>
                      <w:kern w:val="20"/>
                    </w:rPr>
                    <w:t>Data Element</w:t>
                  </w:r>
                </w:p>
              </w:tc>
              <w:tc>
                <w:tcPr>
                  <w:tcW w:w="3229" w:type="dxa"/>
                  <w:tcBorders>
                    <w:top w:val="single" w:sz="8" w:space="0" w:color="auto"/>
                    <w:left w:val="single" w:sz="4" w:space="0" w:color="FFFFFF" w:themeColor="background1"/>
                    <w:bottom w:val="single" w:sz="4" w:space="0" w:color="auto"/>
                    <w:right w:val="single" w:sz="8" w:space="0" w:color="auto"/>
                  </w:tcBorders>
                  <w:shd w:val="clear" w:color="auto" w:fill="000000" w:themeFill="text1"/>
                  <w:tcMar>
                    <w:left w:w="72" w:type="dxa"/>
                    <w:right w:w="72" w:type="dxa"/>
                  </w:tcMar>
                  <w:vAlign w:val="bottom"/>
                  <w:hideMark/>
                </w:tcPr>
                <w:p w14:paraId="1E0C7584" w14:textId="77777777" w:rsidR="000263AF" w:rsidRPr="005D4222" w:rsidRDefault="000263AF" w:rsidP="00A53E8C">
                  <w:pPr>
                    <w:pStyle w:val="TableHead"/>
                    <w:spacing w:before="40" w:after="40"/>
                    <w:rPr>
                      <w:color w:val="auto"/>
                      <w:kern w:val="20"/>
                    </w:rPr>
                  </w:pPr>
                  <w:r w:rsidRPr="005D4222">
                    <w:rPr>
                      <w:color w:val="auto"/>
                      <w:kern w:val="20"/>
                    </w:rPr>
                    <w:t>Reporting Instructions</w:t>
                  </w:r>
                </w:p>
              </w:tc>
            </w:tr>
            <w:tr w:rsidR="000263AF" w:rsidRPr="005D4222" w14:paraId="342BC84D" w14:textId="77777777" w:rsidTr="00DE1AA6">
              <w:tc>
                <w:tcPr>
                  <w:tcW w:w="1648"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72" w:type="dxa"/>
                    <w:right w:w="72" w:type="dxa"/>
                  </w:tcMar>
                  <w:hideMark/>
                </w:tcPr>
                <w:p w14:paraId="60659653" w14:textId="77777777" w:rsidR="000263AF" w:rsidRPr="005D4222" w:rsidRDefault="000263AF" w:rsidP="00A53E8C">
                  <w:pPr>
                    <w:pStyle w:val="TableText"/>
                  </w:pPr>
                  <w:r w:rsidRPr="005D4222">
                    <w:t>TobaccoUse</w:t>
                  </w:r>
                </w:p>
              </w:tc>
              <w:tc>
                <w:tcPr>
                  <w:tcW w:w="1043"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3444E165" w14:textId="77777777" w:rsidR="000263AF" w:rsidRPr="005D4222" w:rsidRDefault="000263AF" w:rsidP="00A53E8C">
                  <w:pPr>
                    <w:pStyle w:val="TableText"/>
                  </w:pPr>
                  <w:r w:rsidRPr="005D4222">
                    <w:t>12-17</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72" w:type="dxa"/>
                    <w:right w:w="72" w:type="dxa"/>
                  </w:tcMar>
                  <w:hideMark/>
                </w:tcPr>
                <w:p w14:paraId="5187A11A" w14:textId="77777777" w:rsidR="000263AF" w:rsidRPr="005D4222" w:rsidRDefault="000263AF" w:rsidP="00A53E8C">
                  <w:pPr>
                    <w:pStyle w:val="TableText"/>
                  </w:pPr>
                  <w:r w:rsidRPr="005D4222">
                    <w:t>Benefit</w:t>
                  </w:r>
                </w:p>
              </w:tc>
              <w:tc>
                <w:tcPr>
                  <w:tcW w:w="3229"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5B3C523D" w14:textId="77777777" w:rsidR="000263AF" w:rsidRPr="005D4222" w:rsidRDefault="000263AF" w:rsidP="00A53E8C">
                  <w:pPr>
                    <w:pStyle w:val="TableText"/>
                  </w:pPr>
                  <w:r w:rsidRPr="005D4222">
                    <w:t>Metadata</w:t>
                  </w:r>
                </w:p>
              </w:tc>
            </w:tr>
            <w:tr w:rsidR="000263AF" w:rsidRPr="005D4222" w14:paraId="625D28B4" w14:textId="77777777" w:rsidTr="00DE1AA6">
              <w:tc>
                <w:tcPr>
                  <w:tcW w:w="1648"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72" w:type="dxa"/>
                    <w:right w:w="72" w:type="dxa"/>
                  </w:tcMar>
                </w:tcPr>
                <w:p w14:paraId="0EAFF928" w14:textId="77777777" w:rsidR="000263AF" w:rsidRPr="005D4222" w:rsidRDefault="000263AF" w:rsidP="00A53E8C">
                  <w:pPr>
                    <w:pStyle w:val="TableText"/>
                  </w:pPr>
                  <w:r w:rsidRPr="005D4222">
                    <w:t>Cessation</w:t>
                  </w:r>
                </w:p>
              </w:tc>
              <w:tc>
                <w:tcPr>
                  <w:tcW w:w="1043"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0FF63C71" w14:textId="77777777" w:rsidR="000263AF" w:rsidRPr="005D4222" w:rsidRDefault="000263AF" w:rsidP="00A53E8C">
                  <w:pPr>
                    <w:pStyle w:val="TableText"/>
                  </w:pPr>
                  <w:r w:rsidRPr="005D4222">
                    <w:t>18-64</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72" w:type="dxa"/>
                    <w:right w:w="72" w:type="dxa"/>
                  </w:tcMar>
                </w:tcPr>
                <w:p w14:paraId="74796469" w14:textId="77777777" w:rsidR="000263AF" w:rsidRPr="005D4222" w:rsidRDefault="000263AF" w:rsidP="00A53E8C">
                  <w:pPr>
                    <w:pStyle w:val="TableText"/>
                  </w:pPr>
                  <w:r w:rsidRPr="005D4222">
                    <w:t>InitialPopulation</w:t>
                  </w:r>
                </w:p>
              </w:tc>
              <w:tc>
                <w:tcPr>
                  <w:tcW w:w="3229"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700DF42C" w14:textId="77777777" w:rsidR="000263AF" w:rsidRPr="005D4222" w:rsidRDefault="000263AF" w:rsidP="00A53E8C">
                  <w:pPr>
                    <w:pStyle w:val="TableText"/>
                  </w:pPr>
                  <w:r w:rsidRPr="005D4222">
                    <w:t>For each Stratification, repeat per metric</w:t>
                  </w:r>
                </w:p>
              </w:tc>
            </w:tr>
            <w:tr w:rsidR="000263AF" w:rsidRPr="005D4222" w14:paraId="7D44D122" w14:textId="77777777" w:rsidTr="00DE1AA6">
              <w:tc>
                <w:tcPr>
                  <w:tcW w:w="1648" w:type="dxa"/>
                  <w:tcBorders>
                    <w:top w:val="single" w:sz="4" w:space="0" w:color="auto"/>
                    <w:left w:val="nil"/>
                    <w:bottom w:val="nil"/>
                    <w:right w:val="single" w:sz="4" w:space="0" w:color="auto"/>
                  </w:tcBorders>
                  <w:shd w:val="clear" w:color="auto" w:fill="FFFFFF" w:themeFill="background1"/>
                  <w:noWrap/>
                  <w:tcMar>
                    <w:left w:w="72" w:type="dxa"/>
                    <w:right w:w="72" w:type="dxa"/>
                  </w:tcMar>
                  <w:hideMark/>
                </w:tcPr>
                <w:p w14:paraId="2AEF70D0" w14:textId="77777777" w:rsidR="000263AF" w:rsidRPr="005D4222" w:rsidRDefault="000263AF" w:rsidP="00A53E8C">
                  <w:pPr>
                    <w:pStyle w:val="TableText"/>
                  </w:pPr>
                  <w:r w:rsidRPr="005D4222">
                    <w:t xml:space="preserve"> </w:t>
                  </w:r>
                </w:p>
              </w:tc>
              <w:tc>
                <w:tcPr>
                  <w:tcW w:w="1043"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tcPr>
                <w:p w14:paraId="3EC792DC" w14:textId="77777777" w:rsidR="000263AF" w:rsidRPr="005D4222" w:rsidRDefault="000263AF" w:rsidP="00A53E8C">
                  <w:pPr>
                    <w:pStyle w:val="TableText"/>
                  </w:pPr>
                  <w:r w:rsidRPr="005D4222">
                    <w:t>65+</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72" w:type="dxa"/>
                    <w:right w:w="72" w:type="dxa"/>
                  </w:tcMar>
                </w:tcPr>
                <w:p w14:paraId="0959DDB6" w14:textId="77777777" w:rsidR="000263AF" w:rsidRPr="005D4222" w:rsidRDefault="000263AF" w:rsidP="00A53E8C">
                  <w:pPr>
                    <w:pStyle w:val="TableText"/>
                  </w:pPr>
                  <w:r w:rsidRPr="005D4222">
                    <w:t>Exclusions</w:t>
                  </w:r>
                </w:p>
              </w:tc>
              <w:tc>
                <w:tcPr>
                  <w:tcW w:w="3229"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579B5626" w14:textId="77777777" w:rsidR="000263AF" w:rsidRPr="005D4222" w:rsidRDefault="000263AF" w:rsidP="00A53E8C">
                  <w:pPr>
                    <w:pStyle w:val="TableText"/>
                  </w:pPr>
                  <w:r w:rsidRPr="005D4222">
                    <w:t>For each Stratification, repeat per metric</w:t>
                  </w:r>
                </w:p>
              </w:tc>
            </w:tr>
            <w:tr w:rsidR="000263AF" w:rsidRPr="005D4222" w14:paraId="1BD091D0" w14:textId="77777777" w:rsidTr="00DE1AA6">
              <w:tc>
                <w:tcPr>
                  <w:tcW w:w="1648" w:type="dxa"/>
                  <w:tcBorders>
                    <w:top w:val="nil"/>
                    <w:left w:val="nil"/>
                    <w:bottom w:val="nil"/>
                    <w:right w:val="single" w:sz="4" w:space="0" w:color="auto"/>
                  </w:tcBorders>
                  <w:shd w:val="clear" w:color="auto" w:fill="FFFFFF" w:themeFill="background1"/>
                  <w:noWrap/>
                  <w:tcMar>
                    <w:left w:w="72" w:type="dxa"/>
                    <w:right w:w="72" w:type="dxa"/>
                  </w:tcMar>
                  <w:hideMark/>
                </w:tcPr>
                <w:p w14:paraId="541803AE" w14:textId="77777777" w:rsidR="000263AF" w:rsidRPr="005D4222" w:rsidRDefault="000263AF" w:rsidP="00A53E8C">
                  <w:pPr>
                    <w:pStyle w:val="TableText"/>
                  </w:pPr>
                  <w:r w:rsidRPr="005D4222">
                    <w:t xml:space="preserve"> </w:t>
                  </w:r>
                </w:p>
              </w:tc>
              <w:tc>
                <w:tcPr>
                  <w:tcW w:w="104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tcPr>
                <w:p w14:paraId="38520DA4" w14:textId="77777777" w:rsidR="000263AF" w:rsidRPr="005D4222" w:rsidRDefault="000263AF" w:rsidP="00A53E8C">
                  <w:pPr>
                    <w:pStyle w:val="TableText"/>
                  </w:pPr>
                  <w:r w:rsidRPr="005D4222">
                    <w:t>Total</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72" w:type="dxa"/>
                    <w:right w:w="72" w:type="dxa"/>
                  </w:tcMar>
                </w:tcPr>
                <w:p w14:paraId="3EE227D7" w14:textId="77777777" w:rsidR="000263AF" w:rsidRPr="005D4222" w:rsidRDefault="000263AF" w:rsidP="00A53E8C">
                  <w:pPr>
                    <w:pStyle w:val="TableText"/>
                  </w:pPr>
                  <w:r w:rsidRPr="005D4222">
                    <w:t>Denominator</w:t>
                  </w:r>
                </w:p>
              </w:tc>
              <w:tc>
                <w:tcPr>
                  <w:tcW w:w="3229"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051F4617" w14:textId="77777777" w:rsidR="000263AF" w:rsidRPr="005D4222" w:rsidRDefault="000263AF" w:rsidP="00A53E8C">
                  <w:pPr>
                    <w:pStyle w:val="TableText"/>
                  </w:pPr>
                  <w:r w:rsidRPr="005D4222">
                    <w:t>For each Metric and Stratification</w:t>
                  </w:r>
                </w:p>
              </w:tc>
            </w:tr>
            <w:tr w:rsidR="000263AF" w:rsidRPr="005D4222" w14:paraId="37050E98" w14:textId="77777777" w:rsidTr="00DE1AA6">
              <w:tc>
                <w:tcPr>
                  <w:tcW w:w="1648" w:type="dxa"/>
                  <w:shd w:val="clear" w:color="auto" w:fill="FFFFFF" w:themeFill="background1"/>
                  <w:noWrap/>
                  <w:tcMar>
                    <w:left w:w="72" w:type="dxa"/>
                    <w:right w:w="72" w:type="dxa"/>
                  </w:tcMar>
                  <w:hideMark/>
                </w:tcPr>
                <w:p w14:paraId="2B76878B" w14:textId="77777777" w:rsidR="000263AF" w:rsidRPr="005D4222" w:rsidRDefault="000263AF" w:rsidP="00A53E8C">
                  <w:pPr>
                    <w:pStyle w:val="TableText"/>
                  </w:pPr>
                  <w:r w:rsidRPr="005D4222">
                    <w:t xml:space="preserve"> </w:t>
                  </w:r>
                </w:p>
              </w:tc>
              <w:tc>
                <w:tcPr>
                  <w:tcW w:w="1043" w:type="dxa"/>
                  <w:shd w:val="clear" w:color="auto" w:fill="FFFFFF" w:themeFill="background1"/>
                  <w:tcMar>
                    <w:left w:w="72" w:type="dxa"/>
                    <w:right w:w="72" w:type="dxa"/>
                  </w:tcMar>
                </w:tcPr>
                <w:p w14:paraId="7D3AB510" w14:textId="77777777" w:rsidR="000263AF" w:rsidRPr="005D4222" w:rsidRDefault="000263AF" w:rsidP="00A53E8C">
                  <w:pPr>
                    <w:pStyle w:val="TableText"/>
                  </w:pP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72" w:type="dxa"/>
                    <w:right w:w="72" w:type="dxa"/>
                  </w:tcMar>
                </w:tcPr>
                <w:p w14:paraId="50411149" w14:textId="77777777" w:rsidR="000263AF" w:rsidRPr="005D4222" w:rsidRDefault="000263AF" w:rsidP="00A53E8C">
                  <w:pPr>
                    <w:pStyle w:val="TableText"/>
                  </w:pPr>
                  <w:r w:rsidRPr="005D4222">
                    <w:t>Numerator</w:t>
                  </w:r>
                </w:p>
              </w:tc>
              <w:tc>
                <w:tcPr>
                  <w:tcW w:w="3229" w:type="dxa"/>
                  <w:tcBorders>
                    <w:top w:val="single" w:sz="4" w:space="0" w:color="auto"/>
                    <w:left w:val="single" w:sz="4" w:space="0" w:color="auto"/>
                    <w:bottom w:val="single" w:sz="4" w:space="0" w:color="auto"/>
                    <w:right w:val="single" w:sz="4" w:space="0" w:color="auto"/>
                  </w:tcBorders>
                  <w:shd w:val="clear" w:color="auto" w:fill="FFFFFF" w:themeFill="background1"/>
                  <w:tcMar>
                    <w:left w:w="72" w:type="dxa"/>
                    <w:right w:w="72" w:type="dxa"/>
                  </w:tcMar>
                  <w:hideMark/>
                </w:tcPr>
                <w:p w14:paraId="6B40FBB4" w14:textId="77777777" w:rsidR="000263AF" w:rsidRPr="005D4222" w:rsidRDefault="000263AF" w:rsidP="00A53E8C">
                  <w:pPr>
                    <w:pStyle w:val="TableText"/>
                  </w:pPr>
                  <w:r w:rsidRPr="005D4222">
                    <w:t>For each Metric and Stratification</w:t>
                  </w:r>
                </w:p>
              </w:tc>
            </w:tr>
            <w:tr w:rsidR="000263AF" w:rsidRPr="005D4222" w14:paraId="23A57931" w14:textId="77777777" w:rsidTr="00DE1AA6">
              <w:tc>
                <w:tcPr>
                  <w:tcW w:w="1648" w:type="dxa"/>
                  <w:shd w:val="clear" w:color="auto" w:fill="FFFFFF" w:themeFill="background1"/>
                  <w:noWrap/>
                  <w:tcMar>
                    <w:left w:w="72" w:type="dxa"/>
                    <w:right w:w="72" w:type="dxa"/>
                  </w:tcMar>
                  <w:hideMark/>
                </w:tcPr>
                <w:p w14:paraId="580DADC4" w14:textId="77777777" w:rsidR="000263AF" w:rsidRPr="005D4222" w:rsidRDefault="000263AF" w:rsidP="00A53E8C">
                  <w:pPr>
                    <w:pStyle w:val="TableText"/>
                  </w:pPr>
                  <w:r w:rsidRPr="005D4222">
                    <w:t xml:space="preserve"> </w:t>
                  </w:r>
                </w:p>
              </w:tc>
              <w:tc>
                <w:tcPr>
                  <w:tcW w:w="1043" w:type="dxa"/>
                  <w:tcMar>
                    <w:left w:w="72" w:type="dxa"/>
                    <w:right w:w="72" w:type="dxa"/>
                  </w:tcMar>
                </w:tcPr>
                <w:p w14:paraId="1FD01C29" w14:textId="77777777" w:rsidR="000263AF" w:rsidRPr="005D4222" w:rsidRDefault="000263AF" w:rsidP="00A53E8C">
                  <w:pPr>
                    <w:pStyle w:val="TableText"/>
                  </w:pP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left w:w="72" w:type="dxa"/>
                    <w:right w:w="72" w:type="dxa"/>
                  </w:tcMar>
                </w:tcPr>
                <w:p w14:paraId="0DD51036" w14:textId="77777777" w:rsidR="000263AF" w:rsidRPr="005D4222" w:rsidRDefault="000263AF" w:rsidP="00A53E8C">
                  <w:pPr>
                    <w:pStyle w:val="TableText"/>
                  </w:pPr>
                  <w:r w:rsidRPr="005D4222">
                    <w:t>Rate</w:t>
                  </w:r>
                </w:p>
              </w:tc>
              <w:tc>
                <w:tcPr>
                  <w:tcW w:w="322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72" w:type="dxa"/>
                    <w:right w:w="72" w:type="dxa"/>
                  </w:tcMar>
                  <w:hideMark/>
                </w:tcPr>
                <w:p w14:paraId="41DBADC0" w14:textId="77777777" w:rsidR="000263AF" w:rsidRPr="005D4222" w:rsidRDefault="000263AF" w:rsidP="00A53E8C">
                  <w:pPr>
                    <w:pStyle w:val="TableText"/>
                  </w:pPr>
                  <w:r w:rsidRPr="005D4222">
                    <w:t>(Percent)</w:t>
                  </w:r>
                </w:p>
              </w:tc>
            </w:tr>
          </w:tbl>
          <w:p w14:paraId="1E27097F" w14:textId="77777777" w:rsidR="000263AF" w:rsidRPr="005D4222" w:rsidRDefault="000263AF" w:rsidP="00A53E8C">
            <w:pPr>
              <w:pStyle w:val="Body"/>
              <w:rPr>
                <w:b/>
                <w:bCs/>
                <w:kern w:val="20"/>
              </w:rPr>
            </w:pPr>
          </w:p>
        </w:tc>
      </w:tr>
      <w:tr w:rsidR="000263AF" w:rsidRPr="005D4222" w14:paraId="153D2CD6" w14:textId="77777777" w:rsidTr="00A53E8C">
        <w:trPr>
          <w:trHeight w:val="300"/>
        </w:trPr>
        <w:tc>
          <w:tcPr>
            <w:tcW w:w="2152" w:type="dxa"/>
            <w:tcBorders>
              <w:top w:val="single" w:sz="6" w:space="0" w:color="auto"/>
              <w:left w:val="single" w:sz="6" w:space="0" w:color="auto"/>
              <w:bottom w:val="single" w:sz="6" w:space="0" w:color="auto"/>
              <w:right w:val="single" w:sz="6" w:space="0" w:color="auto"/>
            </w:tcBorders>
            <w:shd w:val="clear" w:color="auto" w:fill="BEBEBE"/>
            <w:tcMar>
              <w:top w:w="75" w:type="dxa"/>
              <w:left w:w="86" w:type="dxa"/>
              <w:bottom w:w="43" w:type="dxa"/>
              <w:right w:w="86" w:type="dxa"/>
            </w:tcMar>
          </w:tcPr>
          <w:p w14:paraId="6176102B" w14:textId="77777777" w:rsidR="000263AF" w:rsidRPr="005D4222" w:rsidRDefault="000263AF" w:rsidP="00DC1F87">
            <w:pPr>
              <w:pStyle w:val="ECDSMarginHead"/>
              <w:rPr>
                <w:rFonts w:eastAsia="Arial"/>
              </w:rPr>
            </w:pPr>
            <w:r w:rsidRPr="005D4222">
              <w:rPr>
                <w:rFonts w:eastAsia="Arial"/>
              </w:rPr>
              <w:t>Rules for Allowable Adjustments</w:t>
            </w:r>
          </w:p>
        </w:tc>
        <w:tc>
          <w:tcPr>
            <w:tcW w:w="7552" w:type="dxa"/>
            <w:tcBorders>
              <w:top w:val="single" w:sz="6" w:space="0" w:color="auto"/>
              <w:left w:val="single" w:sz="6" w:space="0" w:color="auto"/>
              <w:bottom w:val="single" w:sz="6" w:space="0" w:color="auto"/>
              <w:right w:val="single" w:sz="6" w:space="0" w:color="auto"/>
            </w:tcBorders>
            <w:tcMar>
              <w:left w:w="86" w:type="dxa"/>
              <w:bottom w:w="43" w:type="dxa"/>
              <w:right w:w="86" w:type="dxa"/>
            </w:tcMar>
          </w:tcPr>
          <w:p w14:paraId="09573DEE" w14:textId="77777777" w:rsidR="000263AF" w:rsidRPr="005D4222" w:rsidRDefault="000263AF" w:rsidP="00A53E8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72EF940C" w14:textId="77777777" w:rsidR="000263AF" w:rsidRPr="005D4222" w:rsidRDefault="000263AF" w:rsidP="00A53E8C">
            <w:pPr>
              <w:pStyle w:val="ECDSBody"/>
              <w:rPr>
                <w:b/>
                <w:bCs w:val="0"/>
              </w:rPr>
            </w:pPr>
            <w:r w:rsidRPr="005D4222">
              <w:rPr>
                <w:rFonts w:eastAsia="Arial,Arial,Arial,Arial,Arial,A"/>
                <w:b/>
                <w:bCs w:val="0"/>
              </w:rPr>
              <w:t>Adjusted</w:t>
            </w:r>
            <w:r w:rsidRPr="005D4222">
              <w:rPr>
                <w:b/>
                <w:bCs w:val="0"/>
              </w:rPr>
              <w:t xml:space="preserve"> HEDIS measures may not be used for HEDIS health plan reporting.</w:t>
            </w:r>
          </w:p>
          <w:p w14:paraId="6C0F803A" w14:textId="77777777" w:rsidR="000263AF" w:rsidRPr="005D4222" w:rsidRDefault="000263AF" w:rsidP="00A53E8C">
            <w:pPr>
              <w:pStyle w:val="Adjustments"/>
            </w:pPr>
            <w:r w:rsidRPr="005D4222">
              <w:rPr>
                <w:rFonts w:eastAsia="Arial,Arial,Arial,Arial,Arial,A"/>
              </w:rPr>
              <w:t>Adjustments</w:t>
            </w:r>
            <w:r w:rsidRPr="005D4222">
              <w:t xml:space="preserve"> allowed</w:t>
            </w:r>
          </w:p>
          <w:p w14:paraId="29B71241" w14:textId="65794814" w:rsidR="000263AF" w:rsidRPr="005D4222" w:rsidRDefault="000263AF" w:rsidP="005D6173">
            <w:pPr>
              <w:pStyle w:val="ProcessBullet"/>
              <w:numPr>
                <w:ilvl w:val="0"/>
                <w:numId w:val="98"/>
              </w:numPr>
              <w:tabs>
                <w:tab w:val="left" w:pos="216"/>
              </w:tabs>
              <w:ind w:left="216" w:hanging="216"/>
            </w:pPr>
            <w:r w:rsidRPr="005D4222">
              <w:rPr>
                <w:i/>
                <w:iCs/>
              </w:rPr>
              <w:t>Product lines.</w:t>
            </w:r>
            <w:r w:rsidRPr="005D4222">
              <w:t xml:space="preserve"> </w:t>
            </w:r>
            <w:r w:rsidRPr="005D4222">
              <w:rPr>
                <w:rFonts w:eastAsia="Arial"/>
              </w:rPr>
              <w:t>Organizations are not required to use product line criteria; product lines may be combined</w:t>
            </w:r>
            <w:r w:rsidR="00E8671F" w:rsidRPr="005D4222">
              <w:rPr>
                <w:rFonts w:eastAsia="Arial"/>
              </w:rPr>
              <w:t>,</w:t>
            </w:r>
            <w:r w:rsidRPr="005D4222">
              <w:rPr>
                <w:rFonts w:eastAsia="Arial"/>
              </w:rPr>
              <w:t xml:space="preserve"> and all (or no) product line criteria may be used.</w:t>
            </w:r>
          </w:p>
          <w:p w14:paraId="6F4411B7" w14:textId="77777777" w:rsidR="000263AF" w:rsidRPr="005D4222" w:rsidRDefault="000263AF" w:rsidP="005D6173">
            <w:pPr>
              <w:pStyle w:val="ProcessBullet"/>
              <w:numPr>
                <w:ilvl w:val="0"/>
                <w:numId w:val="98"/>
              </w:numPr>
              <w:tabs>
                <w:tab w:val="left" w:pos="216"/>
              </w:tabs>
              <w:ind w:left="216" w:hanging="216"/>
            </w:pPr>
            <w:r w:rsidRPr="005D4222">
              <w:rPr>
                <w:i/>
                <w:iCs/>
              </w:rPr>
              <w:t>Attribution.</w:t>
            </w:r>
            <w:r w:rsidRPr="005D4222">
              <w:t xml:space="preserve"> </w:t>
            </w:r>
            <w:r w:rsidRPr="005D4222">
              <w:rPr>
                <w:rFonts w:eastAsia="Arial"/>
              </w:rPr>
              <w:t>Organizations are not required to use enrollment criteria.</w:t>
            </w:r>
          </w:p>
          <w:p w14:paraId="21688BF9" w14:textId="77777777" w:rsidR="000263AF" w:rsidRPr="005D4222" w:rsidRDefault="000263AF" w:rsidP="005D6173">
            <w:pPr>
              <w:pStyle w:val="ProcessBullet"/>
              <w:numPr>
                <w:ilvl w:val="0"/>
                <w:numId w:val="98"/>
              </w:numPr>
              <w:tabs>
                <w:tab w:val="left" w:pos="216"/>
              </w:tabs>
              <w:ind w:left="216" w:hanging="216"/>
            </w:pPr>
            <w:r w:rsidRPr="005D4222">
              <w:rPr>
                <w:i/>
                <w:iCs/>
              </w:rPr>
              <w:t xml:space="preserve">Benefits. </w:t>
            </w:r>
            <w:r w:rsidRPr="005D4222">
              <w:rPr>
                <w:rFonts w:eastAsia="Arial"/>
              </w:rPr>
              <w:t>Organizations are not required to use a benefit.</w:t>
            </w:r>
          </w:p>
          <w:p w14:paraId="42CE97EA" w14:textId="77777777" w:rsidR="000263AF" w:rsidRPr="005D4222" w:rsidRDefault="000263AF" w:rsidP="005D6173">
            <w:pPr>
              <w:pStyle w:val="ProcessBullet"/>
              <w:numPr>
                <w:ilvl w:val="0"/>
                <w:numId w:val="98"/>
              </w:numPr>
              <w:tabs>
                <w:tab w:val="left" w:pos="216"/>
              </w:tabs>
              <w:ind w:left="216" w:hanging="216"/>
            </w:pPr>
            <w:r w:rsidRPr="005D4222">
              <w:rPr>
                <w:i/>
                <w:iCs/>
              </w:rPr>
              <w:t xml:space="preserve">Other. </w:t>
            </w:r>
            <w:r w:rsidRPr="005D4222">
              <w:rPr>
                <w:rFonts w:eastAsia="Arial"/>
              </w:rPr>
              <w:t>Organizations may use additional initial population criteria to focus on an area of interest defined by gender, race, ethnicity, socioeconomic or sociodemographic characteristics, geographic region or another characteristic.</w:t>
            </w:r>
          </w:p>
          <w:p w14:paraId="0AA6B84A" w14:textId="1534FAE5" w:rsidR="000263AF" w:rsidRPr="005D4222" w:rsidRDefault="000263AF" w:rsidP="005D6173">
            <w:pPr>
              <w:pStyle w:val="ProcessBullet"/>
              <w:numPr>
                <w:ilvl w:val="0"/>
                <w:numId w:val="98"/>
              </w:numPr>
              <w:tabs>
                <w:tab w:val="left" w:pos="216"/>
              </w:tabs>
              <w:ind w:left="216" w:hanging="216"/>
            </w:pPr>
            <w:r w:rsidRPr="005D4222">
              <w:rPr>
                <w:rFonts w:eastAsia="Arial"/>
                <w:i/>
                <w:iCs/>
              </w:rPr>
              <w:t xml:space="preserve">Exclusions. </w:t>
            </w:r>
            <w:r w:rsidR="00486F29" w:rsidRPr="005D4222">
              <w:rPr>
                <w:rFonts w:eastAsia="Arial"/>
              </w:rPr>
              <w:t>The h</w:t>
            </w:r>
            <w:r w:rsidRPr="005D4222">
              <w:rPr>
                <w:rFonts w:eastAsia="Arial"/>
              </w:rPr>
              <w:t>ospice and deceased persons</w:t>
            </w:r>
            <w:r w:rsidRPr="005D4222">
              <w:t xml:space="preserve"> </w:t>
            </w:r>
            <w:r w:rsidRPr="005D4222">
              <w:rPr>
                <w:rFonts w:eastAsia="Arial"/>
              </w:rPr>
              <w:t xml:space="preserve">exclusions are not required. </w:t>
            </w:r>
          </w:p>
          <w:p w14:paraId="38F89EEA" w14:textId="77777777" w:rsidR="000263AF" w:rsidRPr="005D4222" w:rsidRDefault="000263AF" w:rsidP="005D6173">
            <w:pPr>
              <w:pStyle w:val="ProcessBullet"/>
              <w:numPr>
                <w:ilvl w:val="0"/>
                <w:numId w:val="98"/>
              </w:numPr>
              <w:tabs>
                <w:tab w:val="left" w:pos="216"/>
              </w:tabs>
              <w:ind w:left="216" w:hanging="216"/>
            </w:pPr>
            <w:r w:rsidRPr="005D4222">
              <w:rPr>
                <w:i/>
                <w:iCs/>
              </w:rPr>
              <w:t xml:space="preserve">Measurement period adjustments. </w:t>
            </w:r>
            <w:r w:rsidRPr="005D4222">
              <w:t xml:space="preserve">Organizations may adjust the measurement period. </w:t>
            </w:r>
          </w:p>
          <w:p w14:paraId="34F53B0B" w14:textId="77777777" w:rsidR="000263AF" w:rsidRPr="005D4222" w:rsidRDefault="000263AF" w:rsidP="005D6173">
            <w:pPr>
              <w:pStyle w:val="ProcessBullet"/>
              <w:numPr>
                <w:ilvl w:val="0"/>
                <w:numId w:val="98"/>
              </w:numPr>
              <w:tabs>
                <w:tab w:val="left" w:pos="216"/>
              </w:tabs>
              <w:ind w:left="216" w:hanging="216"/>
            </w:pPr>
            <w:r w:rsidRPr="005D4222">
              <w:rPr>
                <w:i/>
                <w:iCs/>
              </w:rPr>
              <w:t xml:space="preserve">Telehealth. </w:t>
            </w:r>
            <w:r w:rsidRPr="005D4222">
              <w:t xml:space="preserve">Services/events that allow the use of synchronous telehealth visits, telephone visits and asynchronous telehealth (e-visits, virtual check-ins) may be stratified to identify services performed via telehealth. </w:t>
            </w:r>
          </w:p>
          <w:p w14:paraId="3EE6EC23" w14:textId="77777777" w:rsidR="000263AF" w:rsidRPr="005D4222" w:rsidRDefault="000263AF" w:rsidP="00A53E8C">
            <w:pPr>
              <w:pStyle w:val="Adjustments"/>
              <w:rPr>
                <w:rFonts w:eastAsia="Arial,Arial,Arial,Arial,Arial,A"/>
              </w:rPr>
            </w:pPr>
            <w:r w:rsidRPr="005D4222">
              <w:rPr>
                <w:rFonts w:eastAsia="Arial,Arial,Arial,Arial,Arial,A"/>
              </w:rPr>
              <w:t>Adjustments allowed with limits</w:t>
            </w:r>
          </w:p>
          <w:p w14:paraId="3BFDDE12" w14:textId="77777777" w:rsidR="000263AF" w:rsidRPr="005D4222" w:rsidRDefault="000263AF" w:rsidP="005D6173">
            <w:pPr>
              <w:pStyle w:val="ProcessBullet"/>
              <w:numPr>
                <w:ilvl w:val="0"/>
                <w:numId w:val="98"/>
              </w:numPr>
              <w:tabs>
                <w:tab w:val="left" w:pos="216"/>
              </w:tabs>
              <w:spacing w:after="80"/>
              <w:ind w:left="216" w:hanging="216"/>
              <w:rPr>
                <w:b/>
                <w:bCs/>
                <w:kern w:val="20"/>
              </w:rPr>
            </w:pPr>
            <w:r w:rsidRPr="005D4222">
              <w:rPr>
                <w:i/>
                <w:iCs/>
              </w:rPr>
              <w:t>Ages.</w:t>
            </w:r>
            <w:r w:rsidRPr="005D4222">
              <w:t xml:space="preserve"> </w:t>
            </w:r>
            <w:r w:rsidRPr="005D4222">
              <w:rPr>
                <w:rFonts w:eastAsia="Arial"/>
              </w:rPr>
              <w:t xml:space="preserve">The age determination dates may be changed (e.g., select, “age 60 as of June 30 of the measurement period”). The ages may not be expanded. </w:t>
            </w:r>
          </w:p>
        </w:tc>
      </w:tr>
    </w:tbl>
    <w:p w14:paraId="0D302A79" w14:textId="77777777" w:rsidR="005702AC" w:rsidRPr="005D4222" w:rsidRDefault="005702AC">
      <w:r w:rsidRPr="005D4222">
        <w:br w:type="page"/>
      </w:r>
    </w:p>
    <w:tbl>
      <w:tblPr>
        <w:tblW w:w="5000" w:type="pct"/>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2152"/>
        <w:gridCol w:w="7552"/>
      </w:tblGrid>
      <w:tr w:rsidR="000263AF" w:rsidRPr="005D4222" w14:paraId="5C213849" w14:textId="77777777" w:rsidTr="00212974">
        <w:trPr>
          <w:trHeight w:val="300"/>
        </w:trPr>
        <w:tc>
          <w:tcPr>
            <w:tcW w:w="2152" w:type="dxa"/>
            <w:tcBorders>
              <w:top w:val="single" w:sz="6" w:space="0" w:color="auto"/>
              <w:left w:val="single" w:sz="6" w:space="0" w:color="auto"/>
              <w:bottom w:val="single" w:sz="6" w:space="0" w:color="auto"/>
              <w:right w:val="single" w:sz="6" w:space="0" w:color="auto"/>
            </w:tcBorders>
            <w:shd w:val="clear" w:color="auto" w:fill="BEBEBE"/>
            <w:tcMar>
              <w:top w:w="0" w:type="dxa"/>
              <w:left w:w="86" w:type="dxa"/>
              <w:bottom w:w="43" w:type="dxa"/>
              <w:right w:w="86" w:type="dxa"/>
            </w:tcMar>
          </w:tcPr>
          <w:p w14:paraId="4C171C20" w14:textId="77777777" w:rsidR="000263AF" w:rsidRPr="005D4222" w:rsidRDefault="000263AF" w:rsidP="00A53E8C">
            <w:pPr>
              <w:pStyle w:val="MarginHead"/>
              <w:rPr>
                <w:rFonts w:eastAsia="Arial"/>
              </w:rPr>
            </w:pPr>
          </w:p>
        </w:tc>
        <w:tc>
          <w:tcPr>
            <w:tcW w:w="7552" w:type="dxa"/>
            <w:tcBorders>
              <w:top w:val="single" w:sz="6" w:space="0" w:color="auto"/>
              <w:left w:val="single" w:sz="6" w:space="0" w:color="auto"/>
              <w:bottom w:val="single" w:sz="6" w:space="0" w:color="auto"/>
              <w:right w:val="single" w:sz="6" w:space="0" w:color="auto"/>
            </w:tcBorders>
            <w:tcMar>
              <w:left w:w="86" w:type="dxa"/>
              <w:bottom w:w="43" w:type="dxa"/>
              <w:right w:w="86" w:type="dxa"/>
            </w:tcMar>
          </w:tcPr>
          <w:p w14:paraId="2D9ED07E" w14:textId="77777777" w:rsidR="000263AF" w:rsidRPr="005D4222" w:rsidRDefault="000263AF" w:rsidP="005702AC">
            <w:pPr>
              <w:pStyle w:val="Adjustments"/>
              <w:spacing w:before="120"/>
            </w:pPr>
            <w:r w:rsidRPr="005D4222">
              <w:rPr>
                <w:rFonts w:eastAsia="Arial,Arial,Arial,Arial,Arial,A"/>
              </w:rPr>
              <w:t>Adjustments</w:t>
            </w:r>
            <w:r w:rsidRPr="005D4222">
              <w:t xml:space="preserve"> not allowed</w:t>
            </w:r>
          </w:p>
          <w:p w14:paraId="40B13595" w14:textId="77777777" w:rsidR="000263AF" w:rsidRPr="005D4222" w:rsidRDefault="000263AF" w:rsidP="005D6173">
            <w:pPr>
              <w:pStyle w:val="ProcessBullet"/>
              <w:numPr>
                <w:ilvl w:val="0"/>
                <w:numId w:val="98"/>
              </w:numPr>
              <w:tabs>
                <w:tab w:val="left" w:pos="216"/>
              </w:tabs>
              <w:ind w:left="216" w:hanging="216"/>
              <w:rPr>
                <w:b/>
                <w:bCs/>
                <w:kern w:val="20"/>
              </w:rPr>
            </w:pPr>
            <w:r w:rsidRPr="005D4222">
              <w:rPr>
                <w:i/>
                <w:iCs/>
                <w:kern w:val="20"/>
              </w:rPr>
              <w:t>Numerators 1 and 2</w:t>
            </w:r>
            <w:r w:rsidRPr="005D4222">
              <w:rPr>
                <w:kern w:val="20"/>
              </w:rPr>
              <w:t xml:space="preserve">. </w:t>
            </w:r>
            <w:r w:rsidRPr="005D4222">
              <w:rPr>
                <w:rFonts w:eastAsia="Arial"/>
              </w:rPr>
              <w:t>Value sets, direct reference codes and logic may not be changed.</w:t>
            </w:r>
          </w:p>
          <w:p w14:paraId="69617DBA" w14:textId="77777777" w:rsidR="000263AF" w:rsidRPr="005D4222" w:rsidRDefault="000263AF" w:rsidP="005D6173">
            <w:pPr>
              <w:pStyle w:val="ProcessBullet"/>
              <w:numPr>
                <w:ilvl w:val="0"/>
                <w:numId w:val="98"/>
              </w:numPr>
              <w:tabs>
                <w:tab w:val="left" w:pos="216"/>
              </w:tabs>
              <w:spacing w:after="80"/>
              <w:ind w:left="216" w:hanging="216"/>
              <w:rPr>
                <w:b/>
                <w:bCs/>
                <w:kern w:val="20"/>
              </w:rPr>
            </w:pPr>
            <w:r w:rsidRPr="005D4222">
              <w:rPr>
                <w:i/>
                <w:iCs/>
              </w:rPr>
              <w:t>Denominator 2.</w:t>
            </w:r>
            <w:r w:rsidRPr="005D4222">
              <w:rPr>
                <w:b/>
                <w:bCs/>
                <w:kern w:val="20"/>
              </w:rPr>
              <w:t xml:space="preserve"> </w:t>
            </w:r>
            <w:r w:rsidRPr="005D4222">
              <w:rPr>
                <w:rFonts w:eastAsia="Arial"/>
              </w:rPr>
              <w:t>Value sets, direct reference codes and logic may not be changed.</w:t>
            </w:r>
          </w:p>
        </w:tc>
      </w:tr>
    </w:tbl>
    <w:p w14:paraId="3BE5D771" w14:textId="77777777" w:rsidR="005702AC" w:rsidRPr="005D4222" w:rsidRDefault="005702AC" w:rsidP="00AD5623">
      <w:pPr>
        <w:pStyle w:val="ECDSBody"/>
        <w:sectPr w:rsidR="005702AC" w:rsidRPr="005D4222" w:rsidSect="0074514A">
          <w:headerReference w:type="default" r:id="rId234"/>
          <w:type w:val="nextColumn"/>
          <w:pgSz w:w="12240" w:h="15840" w:code="1"/>
          <w:pgMar w:top="1080" w:right="1080" w:bottom="1080" w:left="1440" w:header="720" w:footer="720" w:gutter="0"/>
          <w:cols w:space="720"/>
          <w:docGrid w:linePitch="360"/>
        </w:sectPr>
      </w:pPr>
    </w:p>
    <w:p w14:paraId="68C6BBC1" w14:textId="28CD6AFB" w:rsidR="00AD5623" w:rsidRPr="005D4222" w:rsidRDefault="00126373" w:rsidP="00126373">
      <w:pPr>
        <w:pStyle w:val="MeasureTitle"/>
      </w:pPr>
      <w:bookmarkStart w:id="429" w:name="_Toc201813484"/>
      <w:r w:rsidRPr="005D4222">
        <w:lastRenderedPageBreak/>
        <w:t>Adult Immunization Status</w:t>
      </w:r>
      <w:r w:rsidR="008A5901" w:rsidRPr="005D4222">
        <w:t xml:space="preserve"> (AIS-E)</w:t>
      </w:r>
      <w:bookmarkEnd w:id="429"/>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5054"/>
        <w:gridCol w:w="1466"/>
        <w:gridCol w:w="1037"/>
      </w:tblGrid>
      <w:tr w:rsidR="0024491B" w:rsidRPr="005D4222" w14:paraId="482F5246" w14:textId="77777777" w:rsidTr="00212974">
        <w:tc>
          <w:tcPr>
            <w:tcW w:w="2157" w:type="dxa"/>
            <w:shd w:val="clear" w:color="auto" w:fill="BFBFBF" w:themeFill="background1" w:themeFillShade="BF"/>
            <w:tcMar>
              <w:top w:w="0" w:type="dxa"/>
              <w:left w:w="86" w:type="dxa"/>
              <w:bottom w:w="43" w:type="dxa"/>
              <w:right w:w="86" w:type="dxa"/>
            </w:tcMar>
            <w:hideMark/>
          </w:tcPr>
          <w:p w14:paraId="07D89178" w14:textId="77777777" w:rsidR="0024491B" w:rsidRPr="005D4222" w:rsidRDefault="0024491B" w:rsidP="00A53E8C">
            <w:pPr>
              <w:pStyle w:val="ECDSMarginHead"/>
            </w:pPr>
            <w:r w:rsidRPr="005D4222">
              <w:t>Measure title</w:t>
            </w:r>
          </w:p>
        </w:tc>
        <w:tc>
          <w:tcPr>
            <w:tcW w:w="5054" w:type="dxa"/>
            <w:tcMar>
              <w:top w:w="0" w:type="dxa"/>
              <w:left w:w="86" w:type="dxa"/>
              <w:bottom w:w="43" w:type="dxa"/>
              <w:right w:w="86" w:type="dxa"/>
            </w:tcMar>
          </w:tcPr>
          <w:p w14:paraId="1A5159F9" w14:textId="77777777" w:rsidR="0024491B" w:rsidRPr="005D4222" w:rsidRDefault="0024491B" w:rsidP="00A53E8C">
            <w:pPr>
              <w:pStyle w:val="ECDSBody"/>
            </w:pPr>
            <w:r w:rsidRPr="005D4222">
              <w:t>Adult Immunization Status</w:t>
            </w:r>
            <w:r w:rsidRPr="005D4222">
              <w:rPr>
                <w:b/>
              </w:rPr>
              <w:t>*</w:t>
            </w:r>
          </w:p>
        </w:tc>
        <w:tc>
          <w:tcPr>
            <w:tcW w:w="1466" w:type="dxa"/>
            <w:shd w:val="clear" w:color="auto" w:fill="BFBFBF" w:themeFill="background1" w:themeFillShade="BF"/>
            <w:tcMar>
              <w:top w:w="0" w:type="dxa"/>
              <w:left w:w="86" w:type="dxa"/>
              <w:bottom w:w="43" w:type="dxa"/>
              <w:right w:w="86" w:type="dxa"/>
            </w:tcMar>
          </w:tcPr>
          <w:p w14:paraId="3DF573D5" w14:textId="77777777" w:rsidR="0024491B" w:rsidRPr="005D4222" w:rsidRDefault="0024491B" w:rsidP="0024491B">
            <w:pPr>
              <w:pStyle w:val="ECDSMarginHead"/>
            </w:pPr>
            <w:r w:rsidRPr="005D4222">
              <w:t>Measure ID</w:t>
            </w:r>
          </w:p>
        </w:tc>
        <w:tc>
          <w:tcPr>
            <w:tcW w:w="1037" w:type="dxa"/>
            <w:tcMar>
              <w:top w:w="0" w:type="dxa"/>
              <w:left w:w="86" w:type="dxa"/>
              <w:bottom w:w="43" w:type="dxa"/>
              <w:right w:w="86" w:type="dxa"/>
            </w:tcMar>
          </w:tcPr>
          <w:p w14:paraId="0C698C12" w14:textId="77777777" w:rsidR="0024491B" w:rsidRPr="005D4222" w:rsidRDefault="0024491B" w:rsidP="00A53E8C">
            <w:pPr>
              <w:pStyle w:val="ECDSBody"/>
            </w:pPr>
            <w:r w:rsidRPr="005D4222">
              <w:t>AIS-E</w:t>
            </w:r>
          </w:p>
        </w:tc>
      </w:tr>
      <w:tr w:rsidR="0024491B" w:rsidRPr="005D4222" w14:paraId="0FA8A1AF" w14:textId="77777777" w:rsidTr="00212974">
        <w:tc>
          <w:tcPr>
            <w:tcW w:w="2157" w:type="dxa"/>
            <w:shd w:val="clear" w:color="auto" w:fill="BFBFBF" w:themeFill="background1" w:themeFillShade="BF"/>
            <w:tcMar>
              <w:top w:w="0" w:type="dxa"/>
              <w:left w:w="86" w:type="dxa"/>
              <w:bottom w:w="43" w:type="dxa"/>
              <w:right w:w="86" w:type="dxa"/>
            </w:tcMar>
            <w:hideMark/>
          </w:tcPr>
          <w:p w14:paraId="5A74290F" w14:textId="77777777" w:rsidR="0024491B" w:rsidRPr="005D4222" w:rsidRDefault="0024491B" w:rsidP="00A53E8C">
            <w:pPr>
              <w:pStyle w:val="ECDSMarginHead"/>
            </w:pPr>
            <w:r w:rsidRPr="005D4222">
              <w:t>Description</w:t>
            </w:r>
          </w:p>
        </w:tc>
        <w:tc>
          <w:tcPr>
            <w:tcW w:w="7557" w:type="dxa"/>
            <w:gridSpan w:val="3"/>
            <w:tcMar>
              <w:top w:w="0" w:type="dxa"/>
              <w:left w:w="86" w:type="dxa"/>
              <w:bottom w:w="43" w:type="dxa"/>
              <w:right w:w="86" w:type="dxa"/>
            </w:tcMar>
          </w:tcPr>
          <w:p w14:paraId="3558184A" w14:textId="77777777" w:rsidR="0024491B" w:rsidRPr="005D4222" w:rsidRDefault="0024491B" w:rsidP="00A53E8C">
            <w:pPr>
              <w:pStyle w:val="ECDSBody"/>
            </w:pPr>
            <w:r w:rsidRPr="005D4222">
              <w:t>The percentage of persons 19 years of age and older who are up to date on recommended routine vaccines for influenza, tetanus and diphtheria (Td) or tetanus, diphtheria and acellular pertussis (Tdap), zoster, pneumococcal, hepatitis B and coronavirus disease 2019 (COVID-19).</w:t>
            </w:r>
          </w:p>
        </w:tc>
      </w:tr>
      <w:tr w:rsidR="0024491B" w:rsidRPr="005D4222" w14:paraId="6EBE9C27" w14:textId="77777777" w:rsidTr="00212974">
        <w:trPr>
          <w:trHeight w:val="607"/>
        </w:trPr>
        <w:tc>
          <w:tcPr>
            <w:tcW w:w="2157" w:type="dxa"/>
            <w:shd w:val="clear" w:color="auto" w:fill="BFBFBF" w:themeFill="background1" w:themeFillShade="BF"/>
            <w:tcMar>
              <w:top w:w="0" w:type="dxa"/>
              <w:left w:w="86" w:type="dxa"/>
              <w:bottom w:w="43" w:type="dxa"/>
              <w:right w:w="86" w:type="dxa"/>
            </w:tcMar>
          </w:tcPr>
          <w:p w14:paraId="534F5F09" w14:textId="77777777" w:rsidR="0024491B" w:rsidRPr="005D4222" w:rsidRDefault="0024491B" w:rsidP="00A53E8C">
            <w:pPr>
              <w:pStyle w:val="ECDSMarginHead"/>
            </w:pPr>
            <w:r w:rsidRPr="005D4222">
              <w:t>Measurement period</w:t>
            </w:r>
          </w:p>
        </w:tc>
        <w:tc>
          <w:tcPr>
            <w:tcW w:w="7557" w:type="dxa"/>
            <w:gridSpan w:val="3"/>
            <w:tcMar>
              <w:top w:w="0" w:type="dxa"/>
              <w:left w:w="86" w:type="dxa"/>
              <w:bottom w:w="43" w:type="dxa"/>
              <w:right w:w="86" w:type="dxa"/>
            </w:tcMar>
          </w:tcPr>
          <w:p w14:paraId="26FDB968" w14:textId="77777777" w:rsidR="0024491B" w:rsidRPr="005D4222" w:rsidRDefault="0024491B" w:rsidP="00A53E8C">
            <w:pPr>
              <w:pStyle w:val="ECDSBody"/>
            </w:pPr>
            <w:r w:rsidRPr="005D4222">
              <w:t>January 1–December 31.</w:t>
            </w:r>
          </w:p>
        </w:tc>
      </w:tr>
      <w:tr w:rsidR="0024491B" w:rsidRPr="005D4222" w14:paraId="4F4551B0" w14:textId="77777777" w:rsidTr="00212974">
        <w:tc>
          <w:tcPr>
            <w:tcW w:w="2157" w:type="dxa"/>
            <w:shd w:val="clear" w:color="auto" w:fill="BFBFBF" w:themeFill="background1" w:themeFillShade="BF"/>
            <w:tcMar>
              <w:top w:w="0" w:type="dxa"/>
              <w:left w:w="86" w:type="dxa"/>
              <w:bottom w:w="43" w:type="dxa"/>
              <w:right w:w="86" w:type="dxa"/>
            </w:tcMar>
            <w:hideMark/>
          </w:tcPr>
          <w:p w14:paraId="2179680D" w14:textId="77777777" w:rsidR="0024491B" w:rsidRPr="005D4222" w:rsidRDefault="0024491B" w:rsidP="00A53E8C">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49997325" w14:textId="77777777" w:rsidR="0024491B" w:rsidRPr="005D4222" w:rsidRDefault="0024491B" w:rsidP="00A53E8C">
            <w:pPr>
              <w:pStyle w:val="ECDSBody"/>
              <w:ind w:left="92" w:hanging="92"/>
              <w:rPr>
                <w:i/>
                <w:iCs/>
              </w:rPr>
            </w:pPr>
            <w:r w:rsidRPr="005D4222">
              <w:t>*</w:t>
            </w:r>
            <w:r w:rsidRPr="005D4222">
              <w:tab/>
            </w:r>
            <w:r w:rsidRPr="005D4222">
              <w:rPr>
                <w:i/>
                <w:iCs/>
              </w:rPr>
              <w:t>Developed with support from the Department of Health and Human Services (DHHS), Office of the Assistant Secretary for Health (OASH), National Vaccine Program Office (NVPO) and The Hepatitis Education Project.</w:t>
            </w:r>
          </w:p>
          <w:p w14:paraId="1EE323AB" w14:textId="77777777" w:rsidR="0024491B" w:rsidRPr="005D4222" w:rsidRDefault="0024491B" w:rsidP="00A53E8C">
            <w:pPr>
              <w:pStyle w:val="ECDSBody"/>
            </w:pPr>
            <w:r w:rsidRPr="005D4222">
              <w:t xml:space="preserve">Refer to the complete copyright and disclaimer information at the front of this publication. </w:t>
            </w:r>
          </w:p>
          <w:p w14:paraId="0ADC06B4" w14:textId="77777777" w:rsidR="0024491B" w:rsidRPr="005D4222" w:rsidRDefault="0024491B" w:rsidP="00A53E8C">
            <w:pPr>
              <w:pStyle w:val="ECDSBody"/>
              <w:spacing w:before="80"/>
            </w:pPr>
            <w:r w:rsidRPr="005D4222">
              <w:t xml:space="preserve">NCQA website: </w:t>
            </w:r>
            <w:r w:rsidRPr="005D4222">
              <w:rPr>
                <w:u w:val="single"/>
              </w:rPr>
              <w:t>www.ncqa.org</w:t>
            </w:r>
            <w:r w:rsidRPr="005D4222">
              <w:rPr>
                <w:rStyle w:val="Hyperlink"/>
                <w:rFonts w:eastAsiaTheme="majorEastAsia"/>
              </w:rPr>
              <w:t>.</w:t>
            </w:r>
            <w:r w:rsidRPr="005D4222">
              <w:t xml:space="preserve"> </w:t>
            </w:r>
          </w:p>
          <w:p w14:paraId="35F9E7FB" w14:textId="77777777" w:rsidR="0024491B" w:rsidRPr="005D4222" w:rsidRDefault="0024491B" w:rsidP="00A53E8C">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24491B" w:rsidRPr="005D4222" w14:paraId="5B128983" w14:textId="77777777" w:rsidTr="00212974">
        <w:tc>
          <w:tcPr>
            <w:tcW w:w="2157" w:type="dxa"/>
            <w:shd w:val="clear" w:color="auto" w:fill="BFBFBF" w:themeFill="background1" w:themeFillShade="BF"/>
            <w:tcMar>
              <w:top w:w="0" w:type="dxa"/>
              <w:left w:w="86" w:type="dxa"/>
              <w:bottom w:w="43" w:type="dxa"/>
              <w:right w:w="86" w:type="dxa"/>
            </w:tcMar>
            <w:hideMark/>
          </w:tcPr>
          <w:p w14:paraId="315BAE0C" w14:textId="77777777" w:rsidR="0024491B" w:rsidRPr="005D4222" w:rsidRDefault="0024491B" w:rsidP="00A53E8C">
            <w:pPr>
              <w:pStyle w:val="ECDSMarginHead"/>
            </w:pPr>
            <w:r w:rsidRPr="005D4222">
              <w:t>Clinical recommendation statement/ rationale</w:t>
            </w:r>
          </w:p>
        </w:tc>
        <w:tc>
          <w:tcPr>
            <w:tcW w:w="7557" w:type="dxa"/>
            <w:gridSpan w:val="3"/>
            <w:tcMar>
              <w:top w:w="0" w:type="dxa"/>
              <w:left w:w="86" w:type="dxa"/>
              <w:bottom w:w="43" w:type="dxa"/>
              <w:right w:w="86" w:type="dxa"/>
            </w:tcMar>
          </w:tcPr>
          <w:p w14:paraId="2530C56C" w14:textId="77777777" w:rsidR="0024491B" w:rsidRPr="005D4222" w:rsidRDefault="0024491B" w:rsidP="00A53E8C">
            <w:pPr>
              <w:pStyle w:val="ECDSBody"/>
            </w:pPr>
            <w:r w:rsidRPr="005D4222">
              <w:t>The Advisory Committee on Immunization Practices recommends annual influenza vaccination; and tetanus, diphtheria and acellular pertussis (Tdap) and/or tetanus and diphtheria (Td) vaccine; herpes zoster, pneumococcal, hepatitis B and COVID-19 vaccination for adults at various ages.</w:t>
            </w:r>
          </w:p>
        </w:tc>
      </w:tr>
      <w:tr w:rsidR="0024491B" w:rsidRPr="005D4222" w14:paraId="2EB0D929" w14:textId="77777777" w:rsidTr="00212974">
        <w:tc>
          <w:tcPr>
            <w:tcW w:w="2157" w:type="dxa"/>
            <w:shd w:val="clear" w:color="auto" w:fill="BFBFBF" w:themeFill="background1" w:themeFillShade="BF"/>
            <w:tcMar>
              <w:top w:w="0" w:type="dxa"/>
              <w:left w:w="86" w:type="dxa"/>
              <w:bottom w:w="43" w:type="dxa"/>
              <w:right w:w="86" w:type="dxa"/>
            </w:tcMar>
          </w:tcPr>
          <w:p w14:paraId="71325927" w14:textId="77777777" w:rsidR="0024491B" w:rsidRPr="005D4222" w:rsidRDefault="0024491B" w:rsidP="00A53E8C">
            <w:pPr>
              <w:pStyle w:val="ECDSMarginHead"/>
            </w:pPr>
            <w:r w:rsidRPr="005D4222">
              <w:t>Citations</w:t>
            </w:r>
          </w:p>
        </w:tc>
        <w:tc>
          <w:tcPr>
            <w:tcW w:w="7557" w:type="dxa"/>
            <w:gridSpan w:val="3"/>
            <w:tcMar>
              <w:top w:w="0" w:type="dxa"/>
              <w:left w:w="86" w:type="dxa"/>
              <w:bottom w:w="43" w:type="dxa"/>
              <w:right w:w="86" w:type="dxa"/>
            </w:tcMar>
          </w:tcPr>
          <w:p w14:paraId="339322F5" w14:textId="77777777" w:rsidR="0024491B" w:rsidRPr="005D4222" w:rsidRDefault="0024491B" w:rsidP="00A53E8C">
            <w:pPr>
              <w:pStyle w:val="ECDSBody"/>
            </w:pPr>
            <w:r w:rsidRPr="005D4222">
              <w:t xml:space="preserve">Wodi, A.P, A.N. Issa, C.A. Moser, S. Cineas. 2025. “Advisory Committee on Immunization Practices Recommended Immunization Schedule for Adults Aged 19 Years or Older—United States, 2025.” </w:t>
            </w:r>
            <w:r w:rsidRPr="005D4222">
              <w:rPr>
                <w:i/>
                <w:iCs/>
              </w:rPr>
              <w:t xml:space="preserve">MMWR Morb Mortal Wkly Rep </w:t>
            </w:r>
            <w:r w:rsidRPr="005D4222">
              <w:t>74:30–33. doi: http://dx.doi.org/10.15585/mmwr.mm7402a3</w:t>
            </w:r>
          </w:p>
        </w:tc>
      </w:tr>
      <w:tr w:rsidR="0024491B" w:rsidRPr="005D4222" w14:paraId="625CCA45" w14:textId="77777777" w:rsidTr="00212974">
        <w:tc>
          <w:tcPr>
            <w:tcW w:w="9714"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5187D0A9" w14:textId="77777777" w:rsidR="0024491B" w:rsidRPr="005D4222" w:rsidRDefault="0024491B" w:rsidP="00A53E8C">
            <w:pPr>
              <w:pStyle w:val="ECDSMarginHead"/>
            </w:pPr>
            <w:r w:rsidRPr="005D4222">
              <w:t>Characteristics</w:t>
            </w:r>
          </w:p>
        </w:tc>
      </w:tr>
      <w:tr w:rsidR="0024491B" w:rsidRPr="005D4222" w14:paraId="3C26510E" w14:textId="77777777" w:rsidTr="00212974">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1CC8A1F8" w14:textId="77777777" w:rsidR="0024491B" w:rsidRPr="005D4222" w:rsidRDefault="0024491B" w:rsidP="00212974">
            <w:pPr>
              <w:pStyle w:val="ECDSMarginSubhead"/>
              <w:spacing w:after="0"/>
            </w:pPr>
            <w:r w:rsidRPr="005D4222">
              <w:t>Scoring</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57FA65F5" w14:textId="77777777" w:rsidR="0024491B" w:rsidRPr="005D4222" w:rsidRDefault="0024491B" w:rsidP="00212974">
            <w:pPr>
              <w:pStyle w:val="ECDSBody"/>
              <w:spacing w:after="0"/>
            </w:pPr>
            <w:r w:rsidRPr="005D4222">
              <w:t>Proportion.</w:t>
            </w:r>
          </w:p>
        </w:tc>
      </w:tr>
      <w:tr w:rsidR="0024491B" w:rsidRPr="005D4222" w14:paraId="68E8DDFA" w14:textId="77777777" w:rsidTr="00212974">
        <w:tc>
          <w:tcPr>
            <w:tcW w:w="2157" w:type="dxa"/>
            <w:tcBorders>
              <w:top w:val="nil"/>
              <w:left w:val="single" w:sz="4" w:space="0" w:color="auto"/>
              <w:bottom w:val="nil"/>
              <w:right w:val="single" w:sz="4" w:space="0" w:color="auto"/>
            </w:tcBorders>
            <w:tcMar>
              <w:top w:w="0" w:type="dxa"/>
              <w:left w:w="86" w:type="dxa"/>
              <w:bottom w:w="43" w:type="dxa"/>
              <w:right w:w="86" w:type="dxa"/>
            </w:tcMar>
          </w:tcPr>
          <w:p w14:paraId="250052E4" w14:textId="77777777" w:rsidR="0024491B" w:rsidRPr="005D4222" w:rsidRDefault="0024491B" w:rsidP="00212974">
            <w:pPr>
              <w:pStyle w:val="ECDSMarginSubhead"/>
              <w:spacing w:after="0"/>
            </w:pPr>
            <w:r w:rsidRPr="005D4222">
              <w:t>Type</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1878AF46" w14:textId="77777777" w:rsidR="0024491B" w:rsidRPr="005D4222" w:rsidRDefault="0024491B" w:rsidP="00212974">
            <w:pPr>
              <w:pStyle w:val="ECDSBody"/>
              <w:spacing w:after="0"/>
            </w:pPr>
            <w:r w:rsidRPr="005D4222">
              <w:t xml:space="preserve">Process. </w:t>
            </w:r>
          </w:p>
        </w:tc>
      </w:tr>
      <w:tr w:rsidR="0024491B" w:rsidRPr="005D4222" w14:paraId="676AA63A" w14:textId="77777777" w:rsidTr="00212974">
        <w:tc>
          <w:tcPr>
            <w:tcW w:w="2157" w:type="dxa"/>
            <w:tcBorders>
              <w:top w:val="nil"/>
              <w:left w:val="single" w:sz="4" w:space="0" w:color="auto"/>
              <w:bottom w:val="nil"/>
              <w:right w:val="single" w:sz="4" w:space="0" w:color="auto"/>
            </w:tcBorders>
            <w:tcMar>
              <w:top w:w="0" w:type="dxa"/>
              <w:left w:w="86" w:type="dxa"/>
              <w:bottom w:w="43" w:type="dxa"/>
              <w:right w:w="86" w:type="dxa"/>
            </w:tcMar>
          </w:tcPr>
          <w:p w14:paraId="4898BFF3" w14:textId="17A674BC" w:rsidR="0024491B" w:rsidRPr="005D4222" w:rsidRDefault="00B51CDC" w:rsidP="00212974">
            <w:pPr>
              <w:pStyle w:val="ECDSMarginSubhead"/>
              <w:spacing w:after="0"/>
            </w:pPr>
            <w:r w:rsidRPr="005D4222">
              <w:t>Product lines</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270897FC" w14:textId="77777777" w:rsidR="0024491B" w:rsidRPr="005D4222" w:rsidRDefault="0024491B" w:rsidP="005D6173">
            <w:pPr>
              <w:pStyle w:val="ProcessBullet"/>
              <w:numPr>
                <w:ilvl w:val="0"/>
                <w:numId w:val="98"/>
              </w:numPr>
              <w:tabs>
                <w:tab w:val="left" w:pos="216"/>
              </w:tabs>
              <w:spacing w:before="120"/>
              <w:ind w:left="216" w:hanging="216"/>
            </w:pPr>
            <w:r w:rsidRPr="005D4222">
              <w:t>Commercial.</w:t>
            </w:r>
          </w:p>
          <w:p w14:paraId="0FBB55B3" w14:textId="77777777" w:rsidR="0024491B" w:rsidRPr="005D4222" w:rsidRDefault="0024491B" w:rsidP="005D6173">
            <w:pPr>
              <w:pStyle w:val="ProcessBullet"/>
              <w:numPr>
                <w:ilvl w:val="0"/>
                <w:numId w:val="98"/>
              </w:numPr>
              <w:tabs>
                <w:tab w:val="left" w:pos="216"/>
              </w:tabs>
              <w:ind w:left="216" w:hanging="216"/>
            </w:pPr>
            <w:r w:rsidRPr="005D4222">
              <w:t>Medicaid.</w:t>
            </w:r>
          </w:p>
          <w:p w14:paraId="20D35B84" w14:textId="77777777" w:rsidR="0024491B" w:rsidRPr="005D4222" w:rsidRDefault="0024491B" w:rsidP="005D6173">
            <w:pPr>
              <w:pStyle w:val="ProcessBullet"/>
              <w:numPr>
                <w:ilvl w:val="0"/>
                <w:numId w:val="98"/>
              </w:numPr>
              <w:tabs>
                <w:tab w:val="left" w:pos="216"/>
              </w:tabs>
              <w:ind w:left="216" w:hanging="216"/>
            </w:pPr>
            <w:r w:rsidRPr="005D4222">
              <w:t>Medicare.</w:t>
            </w:r>
          </w:p>
        </w:tc>
      </w:tr>
      <w:tr w:rsidR="0024491B" w:rsidRPr="005D4222" w14:paraId="211A10CC" w14:textId="77777777" w:rsidTr="00212974">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0177DFA8" w14:textId="0D0ED366" w:rsidR="0024491B" w:rsidRPr="005D4222" w:rsidRDefault="00B51CDC" w:rsidP="00A53E8C">
            <w:pPr>
              <w:pStyle w:val="ECDSMarginSubhead"/>
            </w:pPr>
            <w:r w:rsidRPr="005D4222">
              <w:t>Stratifications</w:t>
            </w:r>
            <w:r w:rsidR="0024491B" w:rsidRPr="005D4222">
              <w:t xml:space="preserve"> </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hideMark/>
          </w:tcPr>
          <w:p w14:paraId="6ECBE8AD" w14:textId="77777777" w:rsidR="0024491B" w:rsidRPr="005D4222" w:rsidRDefault="0024491B" w:rsidP="00A53E8C">
            <w:pPr>
              <w:pStyle w:val="ECDSBody"/>
              <w:rPr>
                <w:rFonts w:eastAsia="Arial,Arial,Arial,Arial,Arial,A"/>
              </w:rPr>
            </w:pPr>
            <w:r w:rsidRPr="005D4222">
              <w:rPr>
                <w:rFonts w:eastAsia="Arial,Arial,Arial,Arial,Arial,A"/>
              </w:rPr>
              <w:t>Influenza and Td/Tdap: Age a</w:t>
            </w:r>
            <w:r w:rsidRPr="005D4222">
              <w:rPr>
                <w:kern w:val="20"/>
              </w:rPr>
              <w:t>s of the start of the measurement period.</w:t>
            </w:r>
          </w:p>
          <w:p w14:paraId="1FAA1AFA" w14:textId="77777777" w:rsidR="0024491B" w:rsidRPr="005D4222" w:rsidRDefault="0024491B" w:rsidP="0024491B">
            <w:pPr>
              <w:pStyle w:val="Bullet"/>
              <w:numPr>
                <w:ilvl w:val="0"/>
                <w:numId w:val="4"/>
              </w:numPr>
              <w:ind w:left="576" w:hanging="216"/>
              <w:rPr>
                <w:rFonts w:eastAsia="Arial,Arial,Arial,Arial,Arial,A"/>
              </w:rPr>
            </w:pPr>
            <w:r w:rsidRPr="005D4222">
              <w:rPr>
                <w:rFonts w:eastAsia="Arial,Arial,Arial,Arial,Arial,A"/>
              </w:rPr>
              <w:t>19–64 years.</w:t>
            </w:r>
          </w:p>
          <w:p w14:paraId="5BD9BE03" w14:textId="77777777" w:rsidR="0024491B" w:rsidRPr="005D4222" w:rsidRDefault="0024491B" w:rsidP="0024491B">
            <w:pPr>
              <w:pStyle w:val="Bullet"/>
              <w:numPr>
                <w:ilvl w:val="0"/>
                <w:numId w:val="4"/>
              </w:numPr>
              <w:ind w:left="576" w:hanging="216"/>
              <w:rPr>
                <w:rFonts w:eastAsia="Arial,Arial,Arial,Arial,Arial,A"/>
              </w:rPr>
            </w:pPr>
            <w:r w:rsidRPr="005D4222">
              <w:rPr>
                <w:rFonts w:eastAsia="Arial,Arial,Arial,Arial,Arial,A"/>
              </w:rPr>
              <w:t>65 years and older.</w:t>
            </w:r>
          </w:p>
          <w:p w14:paraId="4B5B6716" w14:textId="77777777" w:rsidR="0024491B" w:rsidRPr="005D4222" w:rsidRDefault="0024491B" w:rsidP="00A53E8C">
            <w:pPr>
              <w:pStyle w:val="ECDSBody"/>
              <w:rPr>
                <w:rFonts w:eastAsia="Arial,Arial,Arial,Arial,Arial,A"/>
              </w:rPr>
            </w:pPr>
            <w:r w:rsidRPr="005D4222">
              <w:rPr>
                <w:rFonts w:eastAsia="Arial,Arial,Arial,Arial,Arial,A"/>
              </w:rPr>
              <w:t>Zoster: Age a</w:t>
            </w:r>
            <w:r w:rsidRPr="005D4222">
              <w:t>s of the start of the measurement period</w:t>
            </w:r>
            <w:r w:rsidRPr="005D4222">
              <w:rPr>
                <w:rFonts w:eastAsia="Arial,Arial,Arial,Arial,Arial,A"/>
              </w:rPr>
              <w:t>.</w:t>
            </w:r>
          </w:p>
          <w:p w14:paraId="0C8E8359" w14:textId="77777777" w:rsidR="0024491B" w:rsidRPr="005D4222" w:rsidRDefault="0024491B" w:rsidP="0024491B">
            <w:pPr>
              <w:pStyle w:val="Bullet"/>
              <w:numPr>
                <w:ilvl w:val="0"/>
                <w:numId w:val="4"/>
              </w:numPr>
              <w:ind w:left="576" w:hanging="216"/>
              <w:rPr>
                <w:rFonts w:eastAsia="Arial,Arial,Arial,Arial,Arial,A"/>
              </w:rPr>
            </w:pPr>
            <w:r w:rsidRPr="005D4222">
              <w:rPr>
                <w:rFonts w:eastAsia="Arial,Arial,Arial,Arial,Arial,A"/>
              </w:rPr>
              <w:t>50–64 years.</w:t>
            </w:r>
          </w:p>
          <w:p w14:paraId="5251A454" w14:textId="77777777" w:rsidR="0024491B" w:rsidRPr="005D4222" w:rsidRDefault="0024491B" w:rsidP="0024491B">
            <w:pPr>
              <w:pStyle w:val="Bullet"/>
              <w:numPr>
                <w:ilvl w:val="0"/>
                <w:numId w:val="4"/>
              </w:numPr>
              <w:spacing w:after="80"/>
              <w:ind w:left="576" w:hanging="216"/>
              <w:rPr>
                <w:rFonts w:cs="Arial"/>
                <w:color w:val="000000" w:themeColor="text1"/>
                <w:sz w:val="22"/>
                <w:szCs w:val="22"/>
                <w:lang w:eastAsia="zh-CN"/>
              </w:rPr>
            </w:pPr>
            <w:r w:rsidRPr="005D4222">
              <w:rPr>
                <w:rFonts w:eastAsia="Arial,Arial,Arial,Arial,Arial,A"/>
              </w:rPr>
              <w:t>65 years and older.</w:t>
            </w:r>
          </w:p>
        </w:tc>
      </w:tr>
      <w:tr w:rsidR="0024491B" w:rsidRPr="005D4222" w14:paraId="37C49F19" w14:textId="77777777" w:rsidTr="00212974">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4D936B0A" w14:textId="77777777" w:rsidR="0024491B" w:rsidRPr="005D4222" w:rsidRDefault="0024491B" w:rsidP="00A53E8C">
            <w:pPr>
              <w:pStyle w:val="ECDSMarginSubhead"/>
            </w:pP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tcPr>
          <w:p w14:paraId="2B7E2F12" w14:textId="77777777" w:rsidR="0024491B" w:rsidRPr="005D4222" w:rsidRDefault="0024491B" w:rsidP="00A53E8C">
            <w:pPr>
              <w:pStyle w:val="ECDSBody"/>
              <w:rPr>
                <w:rFonts w:eastAsia="Arial,Arial,Arial,Arial,Arial,A"/>
              </w:rPr>
            </w:pPr>
            <w:r w:rsidRPr="005D4222">
              <w:rPr>
                <w:rFonts w:eastAsia="Arial,Arial,Arial,Arial,Arial,A"/>
              </w:rPr>
              <w:t>Pneumococcal and COVID-19: Age a</w:t>
            </w:r>
            <w:r w:rsidRPr="005D4222">
              <w:t>s of the start of the measurement period</w:t>
            </w:r>
            <w:r w:rsidRPr="005D4222">
              <w:rPr>
                <w:rFonts w:eastAsia="Arial,Arial,Arial,Arial,Arial,A"/>
              </w:rPr>
              <w:t>.</w:t>
            </w:r>
          </w:p>
          <w:p w14:paraId="22E08BD3" w14:textId="77777777" w:rsidR="0024491B" w:rsidRPr="005D4222" w:rsidRDefault="0024491B" w:rsidP="0024491B">
            <w:pPr>
              <w:pStyle w:val="Bullet"/>
              <w:numPr>
                <w:ilvl w:val="0"/>
                <w:numId w:val="4"/>
              </w:numPr>
              <w:ind w:left="576" w:hanging="216"/>
              <w:rPr>
                <w:rFonts w:eastAsia="Arial,Arial,Arial,Arial,Arial,A"/>
              </w:rPr>
            </w:pPr>
            <w:r w:rsidRPr="005D4222">
              <w:rPr>
                <w:rFonts w:eastAsia="Arial,Arial,Arial,Arial,Arial,A"/>
              </w:rPr>
              <w:t>65 years and older.</w:t>
            </w:r>
          </w:p>
          <w:p w14:paraId="1B60DFAB" w14:textId="77777777" w:rsidR="0024491B" w:rsidRPr="005D4222" w:rsidRDefault="0024491B" w:rsidP="00A53E8C">
            <w:pPr>
              <w:pStyle w:val="ECDSBody"/>
              <w:rPr>
                <w:rFonts w:eastAsia="Arial,Arial,Arial,Arial,Arial,A"/>
              </w:rPr>
            </w:pPr>
            <w:r w:rsidRPr="005D4222">
              <w:rPr>
                <w:rFonts w:eastAsia="Arial,Arial,Arial,Arial,Arial,A"/>
              </w:rPr>
              <w:t>Hepatitis B: Age a</w:t>
            </w:r>
            <w:r w:rsidRPr="005D4222">
              <w:t>s of the start of the measurement period</w:t>
            </w:r>
            <w:r w:rsidRPr="005D4222">
              <w:rPr>
                <w:rFonts w:eastAsia="Arial,Arial,Arial,Arial,Arial,A"/>
              </w:rPr>
              <w:t>.</w:t>
            </w:r>
          </w:p>
          <w:p w14:paraId="6E715792" w14:textId="77777777" w:rsidR="0024491B" w:rsidRPr="005D4222" w:rsidRDefault="0024491B" w:rsidP="0024491B">
            <w:pPr>
              <w:pStyle w:val="Bullet"/>
              <w:numPr>
                <w:ilvl w:val="0"/>
                <w:numId w:val="4"/>
              </w:numPr>
              <w:ind w:left="576" w:hanging="216"/>
              <w:rPr>
                <w:rFonts w:eastAsia="Arial,Arial,Arial,Arial,Arial,A"/>
              </w:rPr>
            </w:pPr>
            <w:r w:rsidRPr="005D4222">
              <w:rPr>
                <w:rFonts w:eastAsia="Arial,Arial,Arial,Arial,Arial,A"/>
              </w:rPr>
              <w:t xml:space="preserve">19–30 years. </w:t>
            </w:r>
          </w:p>
          <w:p w14:paraId="0D395B93" w14:textId="77777777" w:rsidR="0024491B" w:rsidRPr="005D4222" w:rsidRDefault="0024491B" w:rsidP="0024491B">
            <w:pPr>
              <w:pStyle w:val="Bullet"/>
              <w:numPr>
                <w:ilvl w:val="0"/>
                <w:numId w:val="4"/>
              </w:numPr>
              <w:ind w:left="576" w:hanging="216"/>
              <w:rPr>
                <w:rFonts w:eastAsia="Arial,Arial,Arial,Arial,Arial,A"/>
              </w:rPr>
            </w:pPr>
            <w:r w:rsidRPr="005D4222">
              <w:rPr>
                <w:rFonts w:eastAsia="Arial,Arial,Arial,Arial,Arial,A"/>
              </w:rPr>
              <w:t>31–59 years.</w:t>
            </w:r>
          </w:p>
          <w:p w14:paraId="6C7AE0A7" w14:textId="4A823ED1" w:rsidR="0024491B" w:rsidRPr="005D4222" w:rsidRDefault="0024491B" w:rsidP="00A53E8C">
            <w:pPr>
              <w:pStyle w:val="ECDSBody"/>
              <w:rPr>
                <w:lang w:eastAsia="zh-CN"/>
              </w:rPr>
            </w:pPr>
            <w:r w:rsidRPr="005D4222">
              <w:rPr>
                <w:lang w:eastAsia="zh-CN"/>
              </w:rPr>
              <w:t xml:space="preserve">Race. (Refer to </w:t>
            </w:r>
            <w:hyperlink w:anchor="GG_Race_and_Ethnicity" w:history="1">
              <w:r w:rsidRPr="005D4222">
                <w:rPr>
                  <w:rStyle w:val="Hyperlink"/>
                  <w:i/>
                  <w:iCs/>
                  <w:lang w:eastAsia="zh-CN"/>
                </w:rPr>
                <w:t>General Guideline: Race and Ethnicity Stratification</w:t>
              </w:r>
            </w:hyperlink>
            <w:r w:rsidRPr="005D4222">
              <w:rPr>
                <w:lang w:eastAsia="zh-CN"/>
              </w:rPr>
              <w:t xml:space="preserve">.) </w:t>
            </w:r>
          </w:p>
          <w:p w14:paraId="41096718" w14:textId="77777777" w:rsidR="0024491B" w:rsidRPr="005D4222" w:rsidRDefault="0024491B" w:rsidP="0024491B">
            <w:pPr>
              <w:pStyle w:val="Bullet"/>
              <w:numPr>
                <w:ilvl w:val="0"/>
                <w:numId w:val="4"/>
              </w:numPr>
              <w:ind w:left="576" w:hanging="216"/>
              <w:rPr>
                <w:lang w:eastAsia="zh-CN"/>
              </w:rPr>
            </w:pPr>
            <w:r w:rsidRPr="005D4222">
              <w:rPr>
                <w:lang w:eastAsia="zh-CN"/>
              </w:rPr>
              <w:t xml:space="preserve">American Indian or Alaska Native. </w:t>
            </w:r>
          </w:p>
          <w:p w14:paraId="20C4EA73" w14:textId="77777777" w:rsidR="0024491B" w:rsidRPr="005D4222" w:rsidRDefault="0024491B" w:rsidP="0024491B">
            <w:pPr>
              <w:pStyle w:val="Bullet"/>
              <w:numPr>
                <w:ilvl w:val="0"/>
                <w:numId w:val="4"/>
              </w:numPr>
              <w:ind w:left="576" w:hanging="216"/>
              <w:rPr>
                <w:lang w:eastAsia="zh-CN"/>
              </w:rPr>
            </w:pPr>
            <w:r w:rsidRPr="005D4222">
              <w:rPr>
                <w:lang w:eastAsia="zh-CN"/>
              </w:rPr>
              <w:t xml:space="preserve">Asian. </w:t>
            </w:r>
          </w:p>
          <w:p w14:paraId="3D62F261" w14:textId="77777777" w:rsidR="0024491B" w:rsidRPr="005D4222" w:rsidRDefault="0024491B" w:rsidP="0024491B">
            <w:pPr>
              <w:pStyle w:val="Bullet"/>
              <w:numPr>
                <w:ilvl w:val="0"/>
                <w:numId w:val="4"/>
              </w:numPr>
              <w:ind w:left="576" w:hanging="216"/>
              <w:rPr>
                <w:lang w:eastAsia="zh-CN"/>
              </w:rPr>
            </w:pPr>
            <w:r w:rsidRPr="005D4222">
              <w:rPr>
                <w:lang w:eastAsia="zh-CN"/>
              </w:rPr>
              <w:t>Black or African American.</w:t>
            </w:r>
          </w:p>
          <w:p w14:paraId="17F93A59" w14:textId="77777777" w:rsidR="0024491B" w:rsidRPr="005D4222" w:rsidRDefault="0024491B" w:rsidP="0024491B">
            <w:pPr>
              <w:pStyle w:val="Bullet"/>
              <w:numPr>
                <w:ilvl w:val="0"/>
                <w:numId w:val="4"/>
              </w:numPr>
              <w:ind w:left="576" w:hanging="216"/>
              <w:rPr>
                <w:lang w:eastAsia="zh-CN"/>
              </w:rPr>
            </w:pPr>
            <w:r w:rsidRPr="005D4222">
              <w:rPr>
                <w:lang w:eastAsia="zh-CN"/>
              </w:rPr>
              <w:t>Middle Eastern or North African.</w:t>
            </w:r>
          </w:p>
          <w:p w14:paraId="4F402A45" w14:textId="77777777" w:rsidR="0024491B" w:rsidRPr="005D4222" w:rsidRDefault="0024491B" w:rsidP="0024491B">
            <w:pPr>
              <w:pStyle w:val="Bullet"/>
              <w:numPr>
                <w:ilvl w:val="0"/>
                <w:numId w:val="4"/>
              </w:numPr>
              <w:ind w:left="576" w:hanging="216"/>
              <w:rPr>
                <w:lang w:eastAsia="zh-CN"/>
              </w:rPr>
            </w:pPr>
            <w:r w:rsidRPr="005D4222">
              <w:rPr>
                <w:lang w:eastAsia="zh-CN"/>
              </w:rPr>
              <w:t>Native Hawaiian or Pacific Islander.</w:t>
            </w:r>
          </w:p>
          <w:p w14:paraId="6BA26CE9" w14:textId="77777777" w:rsidR="0024491B" w:rsidRPr="005D4222" w:rsidRDefault="0024491B" w:rsidP="0024491B">
            <w:pPr>
              <w:pStyle w:val="Bullet"/>
              <w:numPr>
                <w:ilvl w:val="0"/>
                <w:numId w:val="4"/>
              </w:numPr>
              <w:ind w:left="576" w:hanging="216"/>
              <w:rPr>
                <w:lang w:eastAsia="zh-CN"/>
              </w:rPr>
            </w:pPr>
            <w:r w:rsidRPr="005D4222">
              <w:rPr>
                <w:lang w:eastAsia="zh-CN"/>
              </w:rPr>
              <w:t xml:space="preserve">White. </w:t>
            </w:r>
          </w:p>
          <w:p w14:paraId="51390A4C" w14:textId="77777777" w:rsidR="0024491B" w:rsidRPr="005D4222" w:rsidRDefault="0024491B" w:rsidP="0024491B">
            <w:pPr>
              <w:pStyle w:val="Bullet"/>
              <w:numPr>
                <w:ilvl w:val="0"/>
                <w:numId w:val="4"/>
              </w:numPr>
              <w:ind w:left="576" w:hanging="216"/>
              <w:rPr>
                <w:lang w:eastAsia="zh-CN"/>
              </w:rPr>
            </w:pPr>
            <w:r w:rsidRPr="005D4222">
              <w:rPr>
                <w:lang w:eastAsia="zh-CN"/>
              </w:rPr>
              <w:t xml:space="preserve">Some Other Race. </w:t>
            </w:r>
          </w:p>
          <w:p w14:paraId="144CF5EE" w14:textId="77777777" w:rsidR="0024491B" w:rsidRPr="005D4222" w:rsidRDefault="0024491B" w:rsidP="0024491B">
            <w:pPr>
              <w:pStyle w:val="Bullet"/>
              <w:numPr>
                <w:ilvl w:val="0"/>
                <w:numId w:val="4"/>
              </w:numPr>
              <w:ind w:left="576" w:hanging="216"/>
              <w:rPr>
                <w:lang w:eastAsia="zh-CN"/>
              </w:rPr>
            </w:pPr>
            <w:r w:rsidRPr="005D4222">
              <w:rPr>
                <w:lang w:eastAsia="zh-CN"/>
              </w:rPr>
              <w:t xml:space="preserve">Two or More Races. </w:t>
            </w:r>
          </w:p>
          <w:p w14:paraId="678369A6" w14:textId="77777777" w:rsidR="0024491B" w:rsidRPr="005D4222" w:rsidRDefault="0024491B" w:rsidP="0024491B">
            <w:pPr>
              <w:pStyle w:val="Bullet"/>
              <w:numPr>
                <w:ilvl w:val="0"/>
                <w:numId w:val="4"/>
              </w:numPr>
              <w:ind w:left="576" w:hanging="216"/>
              <w:rPr>
                <w:lang w:eastAsia="zh-CN"/>
              </w:rPr>
            </w:pPr>
            <w:r w:rsidRPr="005D4222">
              <w:rPr>
                <w:lang w:eastAsia="zh-CN"/>
              </w:rPr>
              <w:t xml:space="preserve">Asked But No Answer. </w:t>
            </w:r>
          </w:p>
          <w:p w14:paraId="3778FC5E" w14:textId="77777777" w:rsidR="0024491B" w:rsidRPr="005D4222" w:rsidRDefault="0024491B" w:rsidP="0024491B">
            <w:pPr>
              <w:pStyle w:val="Bullet"/>
              <w:numPr>
                <w:ilvl w:val="0"/>
                <w:numId w:val="4"/>
              </w:numPr>
              <w:ind w:left="576" w:hanging="216"/>
              <w:rPr>
                <w:lang w:eastAsia="zh-CN"/>
              </w:rPr>
            </w:pPr>
            <w:r w:rsidRPr="005D4222">
              <w:rPr>
                <w:lang w:eastAsia="zh-CN"/>
              </w:rPr>
              <w:t xml:space="preserve">Unknown. </w:t>
            </w:r>
          </w:p>
          <w:p w14:paraId="37766DAD" w14:textId="24A61C68" w:rsidR="0024491B" w:rsidRPr="005D4222" w:rsidRDefault="0024491B" w:rsidP="00A53E8C">
            <w:pPr>
              <w:pStyle w:val="ECDSBody"/>
              <w:rPr>
                <w:lang w:eastAsia="zh-CN"/>
              </w:rPr>
            </w:pPr>
            <w:r w:rsidRPr="005D4222">
              <w:rPr>
                <w:lang w:eastAsia="zh-CN"/>
              </w:rPr>
              <w:t xml:space="preserve">Ethnicity. (Refer to </w:t>
            </w:r>
            <w:hyperlink w:anchor="GG_Race_and_Ethnicity" w:history="1">
              <w:r w:rsidRPr="005D4222">
                <w:rPr>
                  <w:rStyle w:val="Hyperlink"/>
                  <w:i/>
                  <w:iCs/>
                  <w:lang w:eastAsia="zh-CN"/>
                </w:rPr>
                <w:t>General Guideline: Race and Ethnicity Stratification</w:t>
              </w:r>
            </w:hyperlink>
            <w:r w:rsidRPr="005D4222">
              <w:rPr>
                <w:i/>
                <w:iCs/>
                <w:lang w:eastAsia="zh-CN"/>
              </w:rPr>
              <w:t>.</w:t>
            </w:r>
            <w:r w:rsidRPr="005D4222">
              <w:rPr>
                <w:lang w:eastAsia="zh-CN"/>
              </w:rPr>
              <w:t>)</w:t>
            </w:r>
          </w:p>
          <w:p w14:paraId="555A6348" w14:textId="77777777" w:rsidR="0024491B" w:rsidRPr="005D4222" w:rsidRDefault="0024491B" w:rsidP="0024491B">
            <w:pPr>
              <w:pStyle w:val="Bullet"/>
              <w:numPr>
                <w:ilvl w:val="0"/>
                <w:numId w:val="4"/>
              </w:numPr>
              <w:ind w:left="576" w:hanging="216"/>
              <w:rPr>
                <w:lang w:eastAsia="zh-CN"/>
              </w:rPr>
            </w:pPr>
            <w:r w:rsidRPr="005D4222">
              <w:rPr>
                <w:lang w:eastAsia="zh-CN"/>
              </w:rPr>
              <w:t xml:space="preserve">Hispanic or Latino. </w:t>
            </w:r>
          </w:p>
          <w:p w14:paraId="079FAE68" w14:textId="77777777" w:rsidR="0024491B" w:rsidRPr="005D4222" w:rsidRDefault="0024491B" w:rsidP="0024491B">
            <w:pPr>
              <w:pStyle w:val="Bullet"/>
              <w:numPr>
                <w:ilvl w:val="0"/>
                <w:numId w:val="4"/>
              </w:numPr>
              <w:ind w:left="576" w:hanging="216"/>
              <w:rPr>
                <w:lang w:eastAsia="zh-CN"/>
              </w:rPr>
            </w:pPr>
            <w:r w:rsidRPr="005D4222">
              <w:rPr>
                <w:lang w:eastAsia="zh-CN"/>
              </w:rPr>
              <w:t xml:space="preserve">Not Hispanic or Latino. </w:t>
            </w:r>
          </w:p>
          <w:p w14:paraId="13F278D1" w14:textId="77777777" w:rsidR="0024491B" w:rsidRPr="005D4222" w:rsidRDefault="0024491B" w:rsidP="0024491B">
            <w:pPr>
              <w:pStyle w:val="Bullet"/>
              <w:numPr>
                <w:ilvl w:val="0"/>
                <w:numId w:val="4"/>
              </w:numPr>
              <w:ind w:left="576" w:hanging="216"/>
              <w:rPr>
                <w:lang w:eastAsia="zh-CN"/>
              </w:rPr>
            </w:pPr>
            <w:r w:rsidRPr="005D4222">
              <w:rPr>
                <w:lang w:eastAsia="zh-CN"/>
              </w:rPr>
              <w:t xml:space="preserve">Asked But No Answer. </w:t>
            </w:r>
          </w:p>
          <w:p w14:paraId="5811A3C5" w14:textId="77777777" w:rsidR="0024491B" w:rsidRPr="005D4222" w:rsidRDefault="0024491B" w:rsidP="0024491B">
            <w:pPr>
              <w:pStyle w:val="Bullet"/>
              <w:numPr>
                <w:ilvl w:val="0"/>
                <w:numId w:val="4"/>
              </w:numPr>
              <w:ind w:left="576" w:hanging="216"/>
              <w:rPr>
                <w:rFonts w:eastAsia="Arial,Arial,Arial,Arial,Arial,A"/>
              </w:rPr>
            </w:pPr>
            <w:r w:rsidRPr="005D4222">
              <w:rPr>
                <w:lang w:eastAsia="zh-CN"/>
              </w:rPr>
              <w:t>Unknown.</w:t>
            </w:r>
            <w:r w:rsidRPr="005D4222">
              <w:rPr>
                <w:sz w:val="22"/>
                <w:szCs w:val="22"/>
                <w:lang w:eastAsia="zh-CN"/>
              </w:rPr>
              <w:t xml:space="preserve"> </w:t>
            </w:r>
          </w:p>
        </w:tc>
      </w:tr>
      <w:tr w:rsidR="0024491B" w:rsidRPr="005D4222" w14:paraId="58D1C327" w14:textId="77777777" w:rsidTr="00212974">
        <w:tc>
          <w:tcPr>
            <w:tcW w:w="2157" w:type="dxa"/>
            <w:tcBorders>
              <w:top w:val="nil"/>
              <w:left w:val="single" w:sz="4" w:space="0" w:color="auto"/>
              <w:bottom w:val="nil"/>
              <w:right w:val="single" w:sz="4" w:space="0" w:color="auto"/>
            </w:tcBorders>
            <w:tcMar>
              <w:top w:w="0" w:type="dxa"/>
              <w:left w:w="86" w:type="dxa"/>
              <w:bottom w:w="43" w:type="dxa"/>
              <w:right w:w="86" w:type="dxa"/>
            </w:tcMar>
          </w:tcPr>
          <w:p w14:paraId="0D185674" w14:textId="77777777" w:rsidR="0024491B" w:rsidRPr="005D4222" w:rsidRDefault="0024491B" w:rsidP="0019184E">
            <w:pPr>
              <w:pStyle w:val="ECDSMarginSubhead"/>
              <w:spacing w:after="0"/>
            </w:pPr>
            <w:r w:rsidRPr="005D4222">
              <w:t>Risk adjustment</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79B967D8" w14:textId="77777777" w:rsidR="0024491B" w:rsidRPr="005D4222" w:rsidRDefault="0024491B" w:rsidP="0019184E">
            <w:pPr>
              <w:pStyle w:val="ECDSBody"/>
              <w:spacing w:after="0"/>
            </w:pPr>
            <w:r w:rsidRPr="005D4222">
              <w:t>None.</w:t>
            </w:r>
          </w:p>
        </w:tc>
      </w:tr>
      <w:tr w:rsidR="0024491B" w:rsidRPr="005D4222" w14:paraId="21A94A53" w14:textId="77777777" w:rsidTr="00212974">
        <w:tc>
          <w:tcPr>
            <w:tcW w:w="2157" w:type="dxa"/>
            <w:tcBorders>
              <w:top w:val="nil"/>
              <w:left w:val="single" w:sz="4" w:space="0" w:color="auto"/>
              <w:bottom w:val="nil"/>
              <w:right w:val="single" w:sz="4" w:space="0" w:color="auto"/>
            </w:tcBorders>
            <w:tcMar>
              <w:top w:w="0" w:type="dxa"/>
              <w:left w:w="86" w:type="dxa"/>
              <w:bottom w:w="43" w:type="dxa"/>
              <w:right w:w="86" w:type="dxa"/>
            </w:tcMar>
          </w:tcPr>
          <w:p w14:paraId="02388869" w14:textId="77777777" w:rsidR="0024491B" w:rsidRPr="005D4222" w:rsidRDefault="0024491B" w:rsidP="0019184E">
            <w:pPr>
              <w:pStyle w:val="ECDSMarginSubhead"/>
              <w:spacing w:after="0"/>
            </w:pPr>
            <w:r w:rsidRPr="005D4222">
              <w:t>Improvement notation</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4DD5E46F" w14:textId="77777777" w:rsidR="0024491B" w:rsidRPr="005D4222" w:rsidRDefault="0024491B" w:rsidP="0019184E">
            <w:pPr>
              <w:pStyle w:val="ECDSBody"/>
              <w:spacing w:after="0"/>
            </w:pPr>
            <w:r w:rsidRPr="005D4222">
              <w:t>Increased score indicates improvement.</w:t>
            </w:r>
          </w:p>
        </w:tc>
      </w:tr>
      <w:tr w:rsidR="0024491B" w:rsidRPr="005D4222" w14:paraId="7D384CFB" w14:textId="77777777" w:rsidTr="00212974">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76950E04" w14:textId="77777777" w:rsidR="0024491B" w:rsidRPr="005D4222" w:rsidRDefault="0024491B" w:rsidP="00A53E8C">
            <w:pPr>
              <w:pStyle w:val="ECDSMarginSubhead"/>
            </w:pPr>
            <w:r w:rsidRPr="005D4222">
              <w:t>Guidance</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4F47B4AD" w14:textId="1F4F6BBD" w:rsidR="0024491B" w:rsidRPr="005D4222" w:rsidRDefault="0024491B" w:rsidP="00A53E8C">
            <w:pPr>
              <w:pStyle w:val="ECDSBody"/>
            </w:pPr>
            <w:r w:rsidRPr="005D4222">
              <w:rPr>
                <w:b/>
              </w:rPr>
              <w:t>Data collection methodology</w:t>
            </w:r>
            <w:r w:rsidRPr="005D4222">
              <w:rPr>
                <w:b/>
                <w:bCs w:val="0"/>
              </w:rPr>
              <w:t xml:space="preserve">: </w:t>
            </w:r>
            <w:r w:rsidRPr="005D4222">
              <w:t xml:space="preserve">ECDS. Refer to </w:t>
            </w:r>
            <w:hyperlink w:anchor="General_Guideline_Data_Collection_Method" w:history="1">
              <w:r w:rsidRPr="005D4222">
                <w:rPr>
                  <w:rStyle w:val="Hyperlink"/>
                  <w:i/>
                  <w:iCs/>
                </w:rPr>
                <w:t>General Guideline: Data Collection Methods</w:t>
              </w:r>
            </w:hyperlink>
            <w:r w:rsidRPr="005D4222">
              <w:t xml:space="preserve"> for additional information. </w:t>
            </w:r>
          </w:p>
          <w:p w14:paraId="0CEB2931" w14:textId="77777777" w:rsidR="0024491B" w:rsidRPr="005D4222" w:rsidRDefault="0024491B" w:rsidP="00A53E8C">
            <w:pPr>
              <w:pStyle w:val="ECDSBody"/>
            </w:pPr>
            <w:r w:rsidRPr="005D4222">
              <w:rPr>
                <w:b/>
              </w:rPr>
              <w:t xml:space="preserve">Date specificity: </w:t>
            </w:r>
            <w:r w:rsidRPr="005D4222">
              <w:t>Dates must be specific enough to determine the event occurred in the period being measured.</w:t>
            </w:r>
          </w:p>
          <w:p w14:paraId="3497F632" w14:textId="77777777" w:rsidR="0024491B" w:rsidRPr="005D4222" w:rsidRDefault="0024491B" w:rsidP="00A53E8C">
            <w:pPr>
              <w:pStyle w:val="ECDSBody"/>
            </w:pPr>
            <w:r w:rsidRPr="005D4222">
              <w:rPr>
                <w:b/>
              </w:rPr>
              <w:t xml:space="preserve">Which services count? </w:t>
            </w:r>
            <w:r w:rsidRPr="005D4222">
              <w:t>When using claims, include all paid, suspended, pending and denied claims.</w:t>
            </w:r>
          </w:p>
          <w:p w14:paraId="44CCBB40" w14:textId="77777777" w:rsidR="0024491B" w:rsidRPr="005D4222" w:rsidRDefault="0024491B" w:rsidP="00A53E8C">
            <w:pPr>
              <w:pStyle w:val="ECDSBody"/>
            </w:pPr>
            <w:r w:rsidRPr="005D4222">
              <w:rPr>
                <w:b/>
              </w:rPr>
              <w:t xml:space="preserve">Other guidance: </w:t>
            </w:r>
            <w:r w:rsidRPr="005D4222">
              <w:t>Measure rates are specific to clinical guideline recommendations for the age group included in the rates.</w:t>
            </w:r>
          </w:p>
        </w:tc>
      </w:tr>
      <w:tr w:rsidR="0024491B" w:rsidRPr="005D4222" w14:paraId="792FB755" w14:textId="77777777" w:rsidTr="00212974">
        <w:trPr>
          <w:trHeight w:val="320"/>
        </w:trPr>
        <w:tc>
          <w:tcPr>
            <w:tcW w:w="2157" w:type="dxa"/>
            <w:shd w:val="clear" w:color="auto" w:fill="BFBFBF" w:themeFill="background1" w:themeFillShade="BF"/>
            <w:tcMar>
              <w:top w:w="0" w:type="dxa"/>
              <w:left w:w="86" w:type="dxa"/>
              <w:bottom w:w="43" w:type="dxa"/>
              <w:right w:w="86" w:type="dxa"/>
            </w:tcMar>
          </w:tcPr>
          <w:p w14:paraId="73EE2501" w14:textId="77777777" w:rsidR="0024491B" w:rsidRPr="005D4222" w:rsidRDefault="0024491B" w:rsidP="00A53E8C">
            <w:pPr>
              <w:pStyle w:val="ECDSMarginHead"/>
            </w:pPr>
            <w:r w:rsidRPr="005D4222">
              <w:t xml:space="preserve">Initial population </w:t>
            </w:r>
          </w:p>
        </w:tc>
        <w:tc>
          <w:tcPr>
            <w:tcW w:w="7557"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20E7FE4" w14:textId="77777777" w:rsidR="0024491B" w:rsidRPr="005D4222" w:rsidRDefault="0024491B" w:rsidP="00A53E8C">
            <w:pPr>
              <w:pStyle w:val="ECDSBody"/>
              <w:rPr>
                <w:b/>
              </w:rPr>
            </w:pPr>
            <w:r w:rsidRPr="005D4222">
              <w:rPr>
                <w:i/>
                <w:iCs/>
              </w:rPr>
              <w:t xml:space="preserve">Measure item count: </w:t>
            </w:r>
            <w:r w:rsidRPr="005D4222">
              <w:t>Person.</w:t>
            </w:r>
          </w:p>
          <w:p w14:paraId="514D104A" w14:textId="6519058D" w:rsidR="0024491B" w:rsidRPr="005D4222" w:rsidRDefault="00F10378" w:rsidP="00A53E8C">
            <w:pPr>
              <w:pStyle w:val="ECDSBody"/>
            </w:pPr>
            <w:r w:rsidRPr="005D4222">
              <w:rPr>
                <w:i/>
                <w:iCs/>
              </w:rPr>
              <w:t>Attribution basis:</w:t>
            </w:r>
            <w:r w:rsidR="0024491B" w:rsidRPr="005D4222">
              <w:t xml:space="preserve"> Enrollment.</w:t>
            </w:r>
          </w:p>
          <w:p w14:paraId="1476C525" w14:textId="0C2C55F1" w:rsidR="0024491B" w:rsidRPr="005D4222" w:rsidRDefault="000F0DC5" w:rsidP="0024491B">
            <w:pPr>
              <w:pStyle w:val="Bullet"/>
              <w:numPr>
                <w:ilvl w:val="0"/>
                <w:numId w:val="4"/>
              </w:numPr>
              <w:ind w:left="576" w:hanging="216"/>
              <w:rPr>
                <w:rFonts w:eastAsia="Arial"/>
              </w:rPr>
            </w:pPr>
            <w:r w:rsidRPr="005D4222">
              <w:rPr>
                <w:rFonts w:eastAsia="Arial"/>
                <w:i/>
                <w:iCs/>
              </w:rPr>
              <w:t>Benefits:</w:t>
            </w:r>
            <w:r w:rsidR="0024491B" w:rsidRPr="005D4222">
              <w:rPr>
                <w:rFonts w:eastAsia="Arial"/>
              </w:rPr>
              <w:t xml:space="preserve"> Medical.</w:t>
            </w:r>
          </w:p>
          <w:p w14:paraId="2B75E340" w14:textId="77777777" w:rsidR="0024491B" w:rsidRPr="005D4222" w:rsidRDefault="0024491B" w:rsidP="0024491B">
            <w:pPr>
              <w:pStyle w:val="Bullet"/>
              <w:numPr>
                <w:ilvl w:val="0"/>
                <w:numId w:val="4"/>
              </w:numPr>
              <w:spacing w:after="80"/>
              <w:ind w:left="576" w:hanging="216"/>
              <w:rPr>
                <w:rFonts w:eastAsia="Arial"/>
              </w:rPr>
            </w:pPr>
            <w:r w:rsidRPr="005D4222">
              <w:rPr>
                <w:rFonts w:eastAsia="Arial"/>
                <w:i/>
                <w:iCs/>
              </w:rPr>
              <w:t>Continuous enrollment:</w:t>
            </w:r>
            <w:r w:rsidRPr="005D4222">
              <w:rPr>
                <w:rFonts w:eastAsia="Arial"/>
              </w:rPr>
              <w:t xml:space="preserve"> The measurement period.</w:t>
            </w:r>
          </w:p>
          <w:p w14:paraId="649BDAAD" w14:textId="77777777" w:rsidR="0024491B" w:rsidRPr="005D4222" w:rsidRDefault="0024491B" w:rsidP="0024491B">
            <w:pPr>
              <w:pStyle w:val="Bullet"/>
              <w:numPr>
                <w:ilvl w:val="0"/>
                <w:numId w:val="4"/>
              </w:numPr>
              <w:spacing w:before="180"/>
              <w:ind w:left="576" w:hanging="216"/>
              <w:rPr>
                <w:rFonts w:eastAsia="Arial"/>
              </w:rPr>
            </w:pPr>
            <w:r w:rsidRPr="005D4222">
              <w:rPr>
                <w:rFonts w:eastAsia="Arial"/>
                <w:i/>
                <w:iCs/>
              </w:rPr>
              <w:lastRenderedPageBreak/>
              <w:t>Allowable gap:</w:t>
            </w:r>
            <w:r w:rsidRPr="005D4222">
              <w:rPr>
                <w:rFonts w:eastAsia="Arial"/>
              </w:rPr>
              <w:t xml:space="preserve"> No more than one gap of ≤45 days during the measurement period. No gaps on the last day of the measurement period.  </w:t>
            </w:r>
          </w:p>
          <w:p w14:paraId="4A21032D" w14:textId="77777777" w:rsidR="0024491B" w:rsidRPr="005D4222" w:rsidRDefault="0024491B" w:rsidP="00A53E8C">
            <w:pPr>
              <w:pStyle w:val="ECDSBody"/>
              <w:rPr>
                <w:i/>
              </w:rPr>
            </w:pPr>
            <w:r w:rsidRPr="005D4222">
              <w:rPr>
                <w:i/>
                <w:iCs/>
              </w:rPr>
              <w:t xml:space="preserve">Ages: </w:t>
            </w:r>
          </w:p>
          <w:p w14:paraId="6F83B780" w14:textId="77777777" w:rsidR="0024491B" w:rsidRPr="005D4222" w:rsidRDefault="0024491B" w:rsidP="0024491B">
            <w:pPr>
              <w:pStyle w:val="Bullet"/>
              <w:numPr>
                <w:ilvl w:val="0"/>
                <w:numId w:val="4"/>
              </w:numPr>
              <w:ind w:left="576" w:hanging="216"/>
            </w:pPr>
            <w:r w:rsidRPr="005D4222">
              <w:rPr>
                <w:i/>
                <w:iCs/>
              </w:rPr>
              <w:t>Initial populations 1 and 2:</w:t>
            </w:r>
            <w:r w:rsidRPr="005D4222">
              <w:t xml:space="preserve"> 19 years of age and older at the start of the measurement period.</w:t>
            </w:r>
          </w:p>
          <w:p w14:paraId="2B23A7C1" w14:textId="77777777" w:rsidR="0024491B" w:rsidRPr="005D4222" w:rsidRDefault="0024491B" w:rsidP="0024491B">
            <w:pPr>
              <w:pStyle w:val="Bullet"/>
              <w:numPr>
                <w:ilvl w:val="0"/>
                <w:numId w:val="4"/>
              </w:numPr>
              <w:ind w:left="576" w:hanging="216"/>
            </w:pPr>
            <w:r w:rsidRPr="005D4222">
              <w:rPr>
                <w:i/>
                <w:iCs/>
              </w:rPr>
              <w:t>Initial population 3</w:t>
            </w:r>
            <w:r w:rsidRPr="005D4222">
              <w:t>: 50 years of age and older at the start of the measurement period.</w:t>
            </w:r>
          </w:p>
          <w:p w14:paraId="11E77381" w14:textId="23AAB3CC" w:rsidR="0024491B" w:rsidRPr="005D4222" w:rsidRDefault="0024491B" w:rsidP="0024491B">
            <w:pPr>
              <w:pStyle w:val="Bullet"/>
              <w:numPr>
                <w:ilvl w:val="0"/>
                <w:numId w:val="4"/>
              </w:numPr>
              <w:ind w:left="576" w:hanging="216"/>
            </w:pPr>
            <w:r w:rsidRPr="005D4222">
              <w:rPr>
                <w:i/>
                <w:iCs/>
              </w:rPr>
              <w:t>Initial population</w:t>
            </w:r>
            <w:r w:rsidR="00217FED" w:rsidRPr="005D4222">
              <w:rPr>
                <w:i/>
                <w:iCs/>
              </w:rPr>
              <w:t>s</w:t>
            </w:r>
            <w:r w:rsidRPr="005D4222">
              <w:rPr>
                <w:i/>
                <w:iCs/>
              </w:rPr>
              <w:t xml:space="preserve"> 4 and 6</w:t>
            </w:r>
            <w:r w:rsidRPr="005D4222">
              <w:t>: 65 years of age and older at the start of the measurement period.</w:t>
            </w:r>
          </w:p>
          <w:p w14:paraId="7746CDEA" w14:textId="77777777" w:rsidR="0024491B" w:rsidRPr="005D4222" w:rsidRDefault="0024491B" w:rsidP="0024491B">
            <w:pPr>
              <w:pStyle w:val="Bullet"/>
              <w:numPr>
                <w:ilvl w:val="0"/>
                <w:numId w:val="4"/>
              </w:numPr>
              <w:ind w:left="576" w:hanging="216"/>
            </w:pPr>
            <w:r w:rsidRPr="005D4222">
              <w:rPr>
                <w:i/>
                <w:iCs/>
              </w:rPr>
              <w:t>Initial population 5</w:t>
            </w:r>
            <w:r w:rsidRPr="005D4222">
              <w:t>: 19–59 years of age at the start of the measurement period.</w:t>
            </w:r>
          </w:p>
          <w:p w14:paraId="725670BB" w14:textId="77777777" w:rsidR="0024491B" w:rsidRPr="005D4222" w:rsidRDefault="0024491B" w:rsidP="00A53E8C">
            <w:pPr>
              <w:pStyle w:val="ECDSBody"/>
            </w:pPr>
            <w:r w:rsidRPr="005D4222">
              <w:rPr>
                <w:i/>
                <w:iCs/>
              </w:rPr>
              <w:t>Event:</w:t>
            </w:r>
            <w:r w:rsidRPr="005D4222">
              <w:t xml:space="preserve"> None.</w:t>
            </w:r>
          </w:p>
        </w:tc>
      </w:tr>
      <w:tr w:rsidR="0024491B" w:rsidRPr="005D4222" w14:paraId="3C104645" w14:textId="77777777" w:rsidTr="00212974">
        <w:trPr>
          <w:trHeight w:val="610"/>
        </w:trPr>
        <w:tc>
          <w:tcPr>
            <w:tcW w:w="2157" w:type="dxa"/>
            <w:shd w:val="clear" w:color="auto" w:fill="BFBFBF" w:themeFill="background1" w:themeFillShade="BF"/>
            <w:tcMar>
              <w:top w:w="0" w:type="dxa"/>
              <w:left w:w="86" w:type="dxa"/>
              <w:bottom w:w="43" w:type="dxa"/>
              <w:right w:w="86" w:type="dxa"/>
            </w:tcMar>
          </w:tcPr>
          <w:p w14:paraId="36992C65" w14:textId="77777777" w:rsidR="0024491B" w:rsidRPr="005D4222" w:rsidRDefault="0024491B" w:rsidP="00A53E8C">
            <w:pPr>
              <w:pStyle w:val="ECDSMarginHead"/>
            </w:pPr>
            <w:r w:rsidRPr="005D4222">
              <w:lastRenderedPageBreak/>
              <w:t xml:space="preserve">Denominator exclusions </w:t>
            </w:r>
          </w:p>
        </w:tc>
        <w:tc>
          <w:tcPr>
            <w:tcW w:w="7557" w:type="dxa"/>
            <w:gridSpan w:val="3"/>
            <w:tcMar>
              <w:top w:w="0" w:type="dxa"/>
              <w:left w:w="86" w:type="dxa"/>
              <w:bottom w:w="43" w:type="dxa"/>
              <w:right w:w="86" w:type="dxa"/>
            </w:tcMar>
          </w:tcPr>
          <w:p w14:paraId="2D48E38D" w14:textId="77777777" w:rsidR="0024491B" w:rsidRPr="005D4222" w:rsidRDefault="0024491B" w:rsidP="00A53E8C">
            <w:pPr>
              <w:pStyle w:val="ECDSBody"/>
              <w:rPr>
                <w:rFonts w:cs="Segoe UI"/>
                <w:szCs w:val="18"/>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p w14:paraId="604E6F4A" w14:textId="77777777" w:rsidR="0024491B" w:rsidRPr="005D4222" w:rsidRDefault="0024491B" w:rsidP="00A53E8C">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24491B" w:rsidRPr="005D4222" w14:paraId="344E7A91" w14:textId="77777777" w:rsidTr="00212974">
        <w:tc>
          <w:tcPr>
            <w:tcW w:w="2157" w:type="dxa"/>
            <w:shd w:val="clear" w:color="auto" w:fill="BFBFBF" w:themeFill="background1" w:themeFillShade="BF"/>
            <w:tcMar>
              <w:top w:w="0" w:type="dxa"/>
              <w:left w:w="86" w:type="dxa"/>
              <w:bottom w:w="43" w:type="dxa"/>
              <w:right w:w="86" w:type="dxa"/>
            </w:tcMar>
          </w:tcPr>
          <w:p w14:paraId="57649D7B" w14:textId="77777777" w:rsidR="0024491B" w:rsidRPr="005D4222" w:rsidRDefault="0024491B" w:rsidP="00A53E8C">
            <w:pPr>
              <w:pStyle w:val="ECDSMarginHead"/>
            </w:pPr>
            <w:r w:rsidRPr="005D4222">
              <w:t>Denominator</w:t>
            </w:r>
          </w:p>
        </w:tc>
        <w:tc>
          <w:tcPr>
            <w:tcW w:w="7557" w:type="dxa"/>
            <w:gridSpan w:val="3"/>
            <w:tcMar>
              <w:top w:w="0" w:type="dxa"/>
              <w:left w:w="86" w:type="dxa"/>
              <w:bottom w:w="43" w:type="dxa"/>
              <w:right w:w="86" w:type="dxa"/>
            </w:tcMar>
          </w:tcPr>
          <w:p w14:paraId="49FA5E69" w14:textId="66C06C34" w:rsidR="0024491B" w:rsidRPr="005D4222" w:rsidRDefault="0024491B" w:rsidP="00A53E8C">
            <w:pPr>
              <w:pStyle w:val="ECDSBody"/>
            </w:pPr>
            <w:r w:rsidRPr="005D4222">
              <w:rPr>
                <w:rFonts w:eastAsia="Arial,Arial,Arial,Arial,Arial,A"/>
                <w:b/>
                <w:bCs w:val="0"/>
              </w:rPr>
              <w:t>Denominator 1</w:t>
            </w:r>
            <w:r w:rsidRPr="005D4222">
              <w:rPr>
                <w:b/>
                <w:bCs w:val="0"/>
              </w:rPr>
              <w:t xml:space="preserve"> and </w:t>
            </w:r>
            <w:r w:rsidRPr="005D4222" w:rsidDel="00852BBE">
              <w:rPr>
                <w:b/>
                <w:bCs w:val="0"/>
              </w:rPr>
              <w:t xml:space="preserve">Denominator </w:t>
            </w:r>
            <w:r w:rsidRPr="005D4222">
              <w:rPr>
                <w:b/>
                <w:bCs w:val="0"/>
              </w:rPr>
              <w:t>2: Immunization status—Influenza and Td/Tdap.</w:t>
            </w:r>
            <w:r w:rsidRPr="005D4222">
              <w:br/>
            </w:r>
            <w:r w:rsidRPr="005D4222">
              <w:rPr>
                <w:rFonts w:eastAsia="Arial,Arial,Arial,Arial,Arial,A"/>
              </w:rPr>
              <w:t>The initial population</w:t>
            </w:r>
            <w:r w:rsidR="00217FED" w:rsidRPr="005D4222">
              <w:rPr>
                <w:rFonts w:eastAsia="Arial,Arial,Arial,Arial,Arial,A"/>
              </w:rPr>
              <w:t>s</w:t>
            </w:r>
            <w:r w:rsidRPr="005D4222">
              <w:rPr>
                <w:rFonts w:eastAsia="Arial,Arial,Arial,Arial,Arial,A"/>
              </w:rPr>
              <w:t xml:space="preserve"> 1 and 2 minus denominator exclusions.</w:t>
            </w:r>
          </w:p>
          <w:p w14:paraId="2504BD1C" w14:textId="77777777" w:rsidR="0024491B" w:rsidRPr="005D4222" w:rsidRDefault="0024491B" w:rsidP="00A53E8C">
            <w:pPr>
              <w:pStyle w:val="ECDSBody"/>
              <w:rPr>
                <w:rFonts w:eastAsia="Arial,Arial,Arial,Arial,Arial,A"/>
              </w:rPr>
            </w:pPr>
            <w:r w:rsidRPr="005D4222">
              <w:rPr>
                <w:rFonts w:eastAsia="Arial,Arial,Arial,Arial,Arial,A"/>
                <w:b/>
                <w:bCs w:val="0"/>
              </w:rPr>
              <w:t>Denominator 3:</w:t>
            </w:r>
            <w:r w:rsidRPr="005D4222">
              <w:rPr>
                <w:b/>
                <w:bCs w:val="0"/>
              </w:rPr>
              <w:t xml:space="preserve"> I</w:t>
            </w:r>
            <w:r w:rsidRPr="005D4222">
              <w:rPr>
                <w:rFonts w:eastAsia="Arial,Arial,Arial,Arial,Arial,A"/>
                <w:b/>
                <w:bCs w:val="0"/>
              </w:rPr>
              <w:t>mmunization status—Zoster.</w:t>
            </w:r>
            <w:r w:rsidRPr="005D4222">
              <w:rPr>
                <w:rFonts w:eastAsia="Arial,Arial,Arial,Arial,Arial,A"/>
                <w:b/>
                <w:bCs w:val="0"/>
              </w:rPr>
              <w:br/>
            </w:r>
            <w:r w:rsidRPr="005D4222">
              <w:rPr>
                <w:rFonts w:eastAsia="Arial,Arial,Arial,Arial,Arial,A"/>
              </w:rPr>
              <w:t>The initial population 3 minus denominator exclusions.</w:t>
            </w:r>
          </w:p>
          <w:p w14:paraId="41D7A247" w14:textId="7F03F196" w:rsidR="0024491B" w:rsidRPr="005D4222" w:rsidRDefault="0024491B" w:rsidP="00A53E8C">
            <w:pPr>
              <w:pStyle w:val="ECDSBody"/>
              <w:rPr>
                <w:rFonts w:eastAsia="Arial,Arial,Arial,Arial,Arial,A"/>
              </w:rPr>
            </w:pPr>
            <w:r w:rsidRPr="005D4222">
              <w:rPr>
                <w:rFonts w:eastAsia="Arial,Arial,Arial,Arial,Arial,A"/>
                <w:b/>
                <w:bCs w:val="0"/>
              </w:rPr>
              <w:t>Denominator 4 and Denominator 6: Immunization status—Pneumococcal and COVID-19.</w:t>
            </w:r>
            <w:r w:rsidRPr="005D4222">
              <w:rPr>
                <w:rFonts w:eastAsia="Arial,Arial,Arial,Arial,Arial,A"/>
                <w:b/>
                <w:bCs w:val="0"/>
              </w:rPr>
              <w:br/>
            </w:r>
            <w:r w:rsidRPr="005D4222">
              <w:rPr>
                <w:rFonts w:eastAsia="Arial,Arial,Arial,Arial,Arial,A"/>
              </w:rPr>
              <w:t>The initial population</w:t>
            </w:r>
            <w:r w:rsidR="00217FED" w:rsidRPr="005D4222">
              <w:rPr>
                <w:rFonts w:eastAsia="Arial,Arial,Arial,Arial,Arial,A"/>
              </w:rPr>
              <w:t>s</w:t>
            </w:r>
            <w:r w:rsidRPr="005D4222">
              <w:rPr>
                <w:rFonts w:eastAsia="Arial,Arial,Arial,Arial,Arial,A"/>
              </w:rPr>
              <w:t xml:space="preserve"> 4 and 6 minus denominator exclusions.</w:t>
            </w:r>
          </w:p>
          <w:p w14:paraId="08796619" w14:textId="77777777" w:rsidR="0024491B" w:rsidRPr="005D4222" w:rsidRDefault="0024491B" w:rsidP="00A53E8C">
            <w:pPr>
              <w:pStyle w:val="ECDSBody"/>
              <w:rPr>
                <w:rFonts w:eastAsia="Arial,Arial,Arial,Arial,Arial,A"/>
              </w:rPr>
            </w:pPr>
            <w:r w:rsidRPr="005D4222">
              <w:rPr>
                <w:rFonts w:eastAsia="Arial,Arial,Arial,Arial,Arial,A"/>
                <w:b/>
                <w:bCs w:val="0"/>
              </w:rPr>
              <w:t>Denominator 5:</w:t>
            </w:r>
            <w:r w:rsidRPr="005D4222">
              <w:rPr>
                <w:b/>
                <w:bCs w:val="0"/>
              </w:rPr>
              <w:t xml:space="preserve"> </w:t>
            </w:r>
            <w:r w:rsidRPr="005D4222">
              <w:rPr>
                <w:rFonts w:eastAsia="Arial,Arial,Arial,Arial,Arial,A"/>
                <w:b/>
                <w:bCs w:val="0"/>
              </w:rPr>
              <w:t xml:space="preserve">Immunization status—Hepatitis B. </w:t>
            </w:r>
            <w:r w:rsidRPr="005D4222">
              <w:rPr>
                <w:rFonts w:eastAsia="Arial,Arial,Arial,Arial,Arial,A"/>
                <w:b/>
                <w:bCs w:val="0"/>
              </w:rPr>
              <w:br/>
            </w:r>
            <w:r w:rsidRPr="005D4222">
              <w:rPr>
                <w:rFonts w:eastAsia="Arial,Arial,Arial,Arial,Arial,A"/>
              </w:rPr>
              <w:t>The initial population 5 minus denominator exclusions.</w:t>
            </w:r>
          </w:p>
        </w:tc>
      </w:tr>
      <w:tr w:rsidR="0024491B" w:rsidRPr="005D4222" w14:paraId="00AF14E1" w14:textId="77777777" w:rsidTr="00212974">
        <w:trPr>
          <w:trHeight w:val="503"/>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1C0C9F8" w14:textId="77777777" w:rsidR="0024491B" w:rsidRPr="005D4222" w:rsidRDefault="0024491B" w:rsidP="00A53E8C">
            <w:pPr>
              <w:pStyle w:val="ECDSMarginHead"/>
            </w:pPr>
            <w:r w:rsidRPr="005D4222">
              <w:t xml:space="preserve">Numerator </w:t>
            </w:r>
          </w:p>
        </w:tc>
        <w:tc>
          <w:tcPr>
            <w:tcW w:w="7557"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1C10F8E7" w14:textId="77777777" w:rsidR="0024491B" w:rsidRPr="005D4222" w:rsidRDefault="0024491B" w:rsidP="00A53E8C">
            <w:pPr>
              <w:pStyle w:val="ECDSBody"/>
            </w:pPr>
            <w:r w:rsidRPr="005D4222">
              <w:rPr>
                <w:b/>
                <w:bCs w:val="0"/>
              </w:rPr>
              <w:t xml:space="preserve">Numerator 1: Immunization status—Influenza. </w:t>
            </w:r>
            <w:r w:rsidRPr="005D4222">
              <w:rPr>
                <w:b/>
                <w:bCs w:val="0"/>
              </w:rPr>
              <w:br/>
            </w:r>
            <w:r w:rsidRPr="005D4222">
              <w:t xml:space="preserve">Persons who meet either of the following criteria: </w:t>
            </w:r>
          </w:p>
          <w:p w14:paraId="5229662C" w14:textId="77777777" w:rsidR="0024491B" w:rsidRPr="005D4222" w:rsidRDefault="0024491B" w:rsidP="005D6173">
            <w:pPr>
              <w:pStyle w:val="Bullet"/>
              <w:numPr>
                <w:ilvl w:val="0"/>
                <w:numId w:val="173"/>
              </w:numPr>
              <w:spacing w:before="0"/>
              <w:ind w:left="576" w:hanging="216"/>
            </w:pPr>
            <w:r w:rsidRPr="005D4222">
              <w:t>Received the influenza vaccine (</w:t>
            </w:r>
            <w:r w:rsidRPr="005D4222">
              <w:rPr>
                <w:u w:val="single"/>
              </w:rPr>
              <w:t>Adult Influenza Immunization Value Set</w:t>
            </w:r>
            <w:r w:rsidRPr="005D4222">
              <w:t xml:space="preserve">; </w:t>
            </w:r>
            <w:r w:rsidRPr="005D4222">
              <w:rPr>
                <w:u w:val="single"/>
              </w:rPr>
              <w:t>Adult Influenza Vaccine Procedure Value Set</w:t>
            </w:r>
            <w:r w:rsidRPr="005D4222">
              <w:t xml:space="preserve">; </w:t>
            </w:r>
            <w:r w:rsidRPr="005D4222">
              <w:rPr>
                <w:u w:val="single"/>
              </w:rPr>
              <w:t>Influenza Virus LAIV Immunization Value Set</w:t>
            </w:r>
            <w:r w:rsidRPr="005D4222">
              <w:t xml:space="preserve">; </w:t>
            </w:r>
            <w:r w:rsidRPr="005D4222">
              <w:rPr>
                <w:u w:val="single"/>
              </w:rPr>
              <w:t>Influenza Virus LAIV Vaccine Procedure Value Set</w:t>
            </w:r>
            <w:r w:rsidRPr="005D4222">
              <w:t>) on or between July 1 of the year prior to the measurement period and June 30 of the measurement period.</w:t>
            </w:r>
          </w:p>
          <w:p w14:paraId="19417EED" w14:textId="0E69013E" w:rsidR="0024491B" w:rsidRPr="005D4222" w:rsidRDefault="0024491B" w:rsidP="0024491B">
            <w:pPr>
              <w:pStyle w:val="Bullet"/>
              <w:numPr>
                <w:ilvl w:val="0"/>
                <w:numId w:val="4"/>
              </w:numPr>
              <w:spacing w:after="80"/>
              <w:ind w:left="576" w:hanging="216"/>
            </w:pPr>
            <w:r w:rsidRPr="005D4222">
              <w:t>Had anaphylaxis due to the influenza vaccine (</w:t>
            </w:r>
            <w:r w:rsidR="00A4179C" w:rsidRPr="005D4222">
              <w:t>SNOMED CT</w:t>
            </w:r>
            <w:r w:rsidRPr="005D4222">
              <w:t xml:space="preserve"> code 471361000124100) any time before or during the measurement period. </w:t>
            </w:r>
          </w:p>
        </w:tc>
      </w:tr>
    </w:tbl>
    <w:p w14:paraId="17A6D04B" w14:textId="77777777" w:rsidR="0024491B" w:rsidRPr="005D4222" w:rsidRDefault="0024491B" w:rsidP="0024491B">
      <w:pPr>
        <w:spacing w:after="160" w:line="259" w:lineRule="auto"/>
      </w:pPr>
      <w:r w:rsidRPr="005D4222">
        <w:br w:type="page"/>
      </w:r>
    </w:p>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24491B" w:rsidRPr="005D4222" w14:paraId="607F2E7D" w14:textId="77777777" w:rsidTr="00A53E8C">
        <w:trPr>
          <w:trHeight w:val="503"/>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59181FE" w14:textId="77777777" w:rsidR="0024491B" w:rsidRPr="005D4222" w:rsidRDefault="0024491B"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6A34E8AE" w14:textId="77777777" w:rsidR="0024491B" w:rsidRPr="005D4222" w:rsidRDefault="0024491B" w:rsidP="00A53E8C">
            <w:pPr>
              <w:pStyle w:val="ECDSBody"/>
            </w:pPr>
            <w:r w:rsidRPr="005D4222">
              <w:rPr>
                <w:b/>
                <w:bCs w:val="0"/>
              </w:rPr>
              <w:t>Numerator 2: Immunization status—Td/Tdap.</w:t>
            </w:r>
            <w:r w:rsidRPr="005D4222">
              <w:rPr>
                <w:b/>
                <w:bCs w:val="0"/>
              </w:rPr>
              <w:br/>
            </w:r>
            <w:r w:rsidRPr="005D4222">
              <w:t>Persons who meet any of the following criteria:</w:t>
            </w:r>
          </w:p>
          <w:p w14:paraId="0ACF3B59" w14:textId="4C796048" w:rsidR="0024491B" w:rsidRPr="005D4222" w:rsidRDefault="0024491B" w:rsidP="0024491B">
            <w:pPr>
              <w:pStyle w:val="Bullet"/>
              <w:numPr>
                <w:ilvl w:val="0"/>
                <w:numId w:val="4"/>
              </w:numPr>
              <w:ind w:left="576" w:hanging="216"/>
            </w:pPr>
            <w:r w:rsidRPr="005D4222">
              <w:t>Received at least one Td or Tdap vaccine (</w:t>
            </w:r>
            <w:r w:rsidRPr="005D4222">
              <w:rPr>
                <w:u w:val="single"/>
              </w:rPr>
              <w:t>Td Immunization Value Set</w:t>
            </w:r>
            <w:r w:rsidRPr="005D4222">
              <w:t xml:space="preserve">; CPT code 90714, CVX code 115; CPT code 90715) between 9 years prior to the start of the measurement period and the </w:t>
            </w:r>
            <w:r w:rsidR="00D80100" w:rsidRPr="005D4222">
              <w:t xml:space="preserve">last day </w:t>
            </w:r>
            <w:r w:rsidRPr="005D4222">
              <w:t>of the measurement period.</w:t>
            </w:r>
          </w:p>
          <w:p w14:paraId="4B247A88" w14:textId="77777777" w:rsidR="0024491B" w:rsidRPr="005D4222" w:rsidRDefault="0024491B" w:rsidP="0024491B">
            <w:pPr>
              <w:pStyle w:val="Bullet"/>
              <w:numPr>
                <w:ilvl w:val="0"/>
                <w:numId w:val="4"/>
              </w:numPr>
              <w:ind w:left="576" w:hanging="216"/>
            </w:pPr>
            <w:r w:rsidRPr="005D4222">
              <w:t>Had anaphylaxis due to the diphtheria, tetanus or pertussis vaccine (</w:t>
            </w:r>
            <w:r w:rsidRPr="005D4222">
              <w:rPr>
                <w:u w:val="single"/>
              </w:rPr>
              <w:t>Anaphylaxis Due to Diphtheria, Tetanus or Pertussis Vaccine Value Set</w:t>
            </w:r>
            <w:r w:rsidRPr="005D4222">
              <w:t xml:space="preserve">) </w:t>
            </w:r>
            <w:r w:rsidRPr="005D4222">
              <w:rPr>
                <w:szCs w:val="21"/>
              </w:rPr>
              <w:t>any time before or during the measurement period.</w:t>
            </w:r>
          </w:p>
          <w:p w14:paraId="517D8BE5" w14:textId="77777777" w:rsidR="0024491B" w:rsidRPr="005D4222" w:rsidRDefault="0024491B" w:rsidP="0024491B">
            <w:pPr>
              <w:pStyle w:val="Bullet"/>
              <w:numPr>
                <w:ilvl w:val="0"/>
                <w:numId w:val="4"/>
              </w:numPr>
              <w:ind w:left="576" w:hanging="216"/>
            </w:pPr>
            <w:r w:rsidRPr="005D4222">
              <w:t>Had encephalitis due to the diphtheria, tetanus or pertussis vaccine (</w:t>
            </w:r>
            <w:r w:rsidRPr="005D4222">
              <w:rPr>
                <w:u w:val="single"/>
              </w:rPr>
              <w:t>Encephalitis Due to Diphtheria, Tetanus or Pertussis Vaccine Value Set</w:t>
            </w:r>
            <w:r w:rsidRPr="005D4222">
              <w:t xml:space="preserve">) </w:t>
            </w:r>
            <w:r w:rsidRPr="005D4222">
              <w:rPr>
                <w:szCs w:val="21"/>
              </w:rPr>
              <w:t>any time before or during the measurement period.</w:t>
            </w:r>
          </w:p>
          <w:p w14:paraId="586CBDE3" w14:textId="77777777" w:rsidR="0024491B" w:rsidRPr="005D4222" w:rsidRDefault="0024491B" w:rsidP="00A53E8C">
            <w:pPr>
              <w:pStyle w:val="Body"/>
            </w:pPr>
            <w:r w:rsidRPr="005D4222">
              <w:rPr>
                <w:b/>
                <w:bCs/>
              </w:rPr>
              <w:t xml:space="preserve">Numerator 3: Immunization status—Zoster. </w:t>
            </w:r>
            <w:r w:rsidRPr="005D4222">
              <w:rPr>
                <w:b/>
                <w:bCs/>
              </w:rPr>
              <w:br/>
            </w:r>
            <w:r w:rsidRPr="005D4222">
              <w:t>Persons who meet either of the following criteria:</w:t>
            </w:r>
          </w:p>
          <w:p w14:paraId="5EBD844E" w14:textId="1BD8AD40" w:rsidR="0024491B" w:rsidRPr="005D4222" w:rsidRDefault="0024491B" w:rsidP="005D6173">
            <w:pPr>
              <w:pStyle w:val="Bullet"/>
              <w:numPr>
                <w:ilvl w:val="0"/>
                <w:numId w:val="173"/>
              </w:numPr>
              <w:ind w:left="576" w:hanging="216"/>
            </w:pPr>
            <w:r w:rsidRPr="005D4222">
              <w:t xml:space="preserve">Received two doses of the herpes zoster recombinant vaccine (CVX code 187; CPT code 90750) at least 28 days apart, on October 20, 2017, through the </w:t>
            </w:r>
            <w:r w:rsidR="00D80100" w:rsidRPr="005D4222">
              <w:t xml:space="preserve">last day </w:t>
            </w:r>
            <w:r w:rsidRPr="005D4222">
              <w:t>of the measurement period.</w:t>
            </w:r>
          </w:p>
          <w:p w14:paraId="2789922F" w14:textId="77777777" w:rsidR="0024491B" w:rsidRPr="005D4222" w:rsidRDefault="0024491B" w:rsidP="005D6173">
            <w:pPr>
              <w:pStyle w:val="Bullet"/>
              <w:numPr>
                <w:ilvl w:val="0"/>
                <w:numId w:val="173"/>
              </w:numPr>
              <w:ind w:left="576" w:hanging="216"/>
              <w:rPr>
                <w:b/>
                <w:bCs/>
              </w:rPr>
            </w:pPr>
            <w:r w:rsidRPr="005D4222">
              <w:t>Had anaphylaxis due to the herpes zoster vaccine (</w:t>
            </w:r>
            <w:r w:rsidRPr="005D4222">
              <w:rPr>
                <w:u w:val="single"/>
              </w:rPr>
              <w:t>Anaphylaxis Due to Herpes Zoster Vaccine Value Set</w:t>
            </w:r>
            <w:r w:rsidRPr="005D4222">
              <w:t xml:space="preserve">) any time before or during the measurement period. </w:t>
            </w:r>
          </w:p>
          <w:p w14:paraId="63B9D37D" w14:textId="77777777" w:rsidR="0024491B" w:rsidRPr="005D4222" w:rsidRDefault="0024491B" w:rsidP="00A53E8C">
            <w:pPr>
              <w:pStyle w:val="Body"/>
            </w:pPr>
            <w:r w:rsidRPr="005D4222">
              <w:rPr>
                <w:b/>
              </w:rPr>
              <w:t>Numerator 4: Immunization status—</w:t>
            </w:r>
            <w:r w:rsidRPr="005D4222">
              <w:rPr>
                <w:b/>
                <w:bCs/>
              </w:rPr>
              <w:t>Pneumococcal.</w:t>
            </w:r>
            <w:r w:rsidRPr="005D4222">
              <w:rPr>
                <w:b/>
                <w:bCs/>
              </w:rPr>
              <w:br/>
            </w:r>
            <w:r w:rsidRPr="005D4222">
              <w:t>Persons who meet either of the following criteria:</w:t>
            </w:r>
          </w:p>
          <w:p w14:paraId="6AF34803" w14:textId="77777777" w:rsidR="0024491B" w:rsidRPr="005D4222" w:rsidRDefault="0024491B" w:rsidP="005D6173">
            <w:pPr>
              <w:pStyle w:val="Bullet"/>
              <w:numPr>
                <w:ilvl w:val="0"/>
                <w:numId w:val="173"/>
              </w:numPr>
              <w:ind w:left="576" w:hanging="216"/>
            </w:pPr>
            <w:r w:rsidRPr="005D4222">
              <w:t>Received at least one dose of adult pneumococcal vaccine (</w:t>
            </w:r>
            <w:r w:rsidRPr="005D4222">
              <w:rPr>
                <w:u w:val="single"/>
              </w:rPr>
              <w:t>Adult Pneumococcal Immunization Value Set</w:t>
            </w:r>
            <w:r w:rsidRPr="005D4222">
              <w:t>; </w:t>
            </w:r>
            <w:r w:rsidRPr="005D4222">
              <w:rPr>
                <w:u w:val="single"/>
              </w:rPr>
              <w:t>Adult Pneumococcal Vaccine Procedure Value Set</w:t>
            </w:r>
            <w:r w:rsidRPr="005D4222">
              <w:t>) on or after their 19th birthday</w:t>
            </w:r>
            <w:r w:rsidRPr="005D4222">
              <w:rPr>
                <w:b/>
                <w:bCs/>
                <w:i/>
                <w:iCs/>
              </w:rPr>
              <w:t xml:space="preserve">, </w:t>
            </w:r>
            <w:r w:rsidRPr="005D4222">
              <w:t>any time before or during the measurement period.</w:t>
            </w:r>
          </w:p>
          <w:p w14:paraId="121E809F" w14:textId="4B8819B0" w:rsidR="0024491B" w:rsidRPr="005D4222" w:rsidRDefault="0024491B" w:rsidP="005D6173">
            <w:pPr>
              <w:pStyle w:val="Bullet"/>
              <w:numPr>
                <w:ilvl w:val="0"/>
                <w:numId w:val="173"/>
              </w:numPr>
              <w:ind w:left="576" w:hanging="216"/>
            </w:pPr>
            <w:r w:rsidRPr="005D4222">
              <w:t>Had anaphylaxis due to the pneumococcal vaccine (</w:t>
            </w:r>
            <w:r w:rsidR="00A4179C" w:rsidRPr="005D4222">
              <w:t>SNOMED CT</w:t>
            </w:r>
            <w:r w:rsidRPr="005D4222">
              <w:t xml:space="preserve"> code 471141000124102) any time before or during the measurement period.</w:t>
            </w:r>
          </w:p>
          <w:p w14:paraId="37390C09" w14:textId="77777777" w:rsidR="0024491B" w:rsidRPr="005D4222" w:rsidRDefault="0024491B" w:rsidP="00A53E8C">
            <w:pPr>
              <w:pStyle w:val="Body"/>
            </w:pPr>
            <w:r w:rsidRPr="005D4222">
              <w:rPr>
                <w:b/>
                <w:bCs/>
              </w:rPr>
              <w:t xml:space="preserve">Numerator 5: Immunization status—Hepatitis B. </w:t>
            </w:r>
            <w:r w:rsidRPr="005D4222">
              <w:rPr>
                <w:b/>
                <w:bCs/>
              </w:rPr>
              <w:br/>
            </w:r>
            <w:r w:rsidRPr="005D4222">
              <w:t>Persons who meet any of the following criteria:</w:t>
            </w:r>
          </w:p>
          <w:p w14:paraId="228F788F" w14:textId="77777777" w:rsidR="0024491B" w:rsidRPr="005D4222" w:rsidRDefault="0024491B" w:rsidP="005D6173">
            <w:pPr>
              <w:pStyle w:val="ListParagraph"/>
              <w:numPr>
                <w:ilvl w:val="0"/>
                <w:numId w:val="173"/>
              </w:numPr>
              <w:spacing w:before="80"/>
              <w:ind w:left="576" w:hanging="216"/>
              <w:contextualSpacing w:val="0"/>
            </w:pPr>
            <w:r w:rsidRPr="005D4222">
              <w:t>Received at least three doses of the childhood Hepatitis B vaccine (</w:t>
            </w:r>
            <w:r w:rsidRPr="005D4222">
              <w:rPr>
                <w:rFonts w:eastAsia="Arial,Arial,Arial,Arial,Arial,A"/>
                <w:u w:val="single"/>
              </w:rPr>
              <w:t>Hepatitis B Immunization Value Set</w:t>
            </w:r>
            <w:r w:rsidRPr="005D4222">
              <w:t xml:space="preserve">; </w:t>
            </w:r>
            <w:r w:rsidRPr="005D4222">
              <w:rPr>
                <w:rFonts w:eastAsia="Arial,Arial,Arial,Arial,Arial,A"/>
                <w:u w:val="single"/>
              </w:rPr>
              <w:t>Hepatitis B Vaccine Procedure Value Set</w:t>
            </w:r>
            <w:r w:rsidRPr="005D4222">
              <w:t>)</w:t>
            </w:r>
            <w:r w:rsidRPr="005D4222">
              <w:rPr>
                <w:rFonts w:eastAsia="Arial,Arial,Arial,Arial,Arial,A"/>
              </w:rPr>
              <w:t xml:space="preserve"> </w:t>
            </w:r>
            <w:r w:rsidRPr="005D4222">
              <w:t xml:space="preserve">with different dates of service on or before their 19th birthday. </w:t>
            </w:r>
          </w:p>
          <w:p w14:paraId="7510BDC5" w14:textId="77777777" w:rsidR="0024491B" w:rsidRPr="005D4222" w:rsidRDefault="0024491B" w:rsidP="00212974">
            <w:pPr>
              <w:pStyle w:val="Dash"/>
              <w:rPr>
                <w:rFonts w:eastAsia="Arial,Arial,Arial,Arial,Arial,A"/>
              </w:rPr>
            </w:pPr>
            <w:r w:rsidRPr="005D4222">
              <w:rPr>
                <w:rFonts w:eastAsia="Arial,Arial,Arial,Arial,Arial,A"/>
              </w:rPr>
              <w:t>One of the three vaccinations can be a newborn hepatitis B vaccination (ICD-10-PCS code 3E0234Z) during the 8-day period that begins on the date of birth and ends 7 days after the date of birth.</w:t>
            </w:r>
          </w:p>
          <w:p w14:paraId="1E4D14C5" w14:textId="77777777" w:rsidR="0024491B" w:rsidRPr="005D4222" w:rsidRDefault="0024491B" w:rsidP="005D6173">
            <w:pPr>
              <w:pStyle w:val="ListParagraph"/>
              <w:numPr>
                <w:ilvl w:val="0"/>
                <w:numId w:val="173"/>
              </w:numPr>
              <w:spacing w:before="80"/>
              <w:ind w:left="576" w:hanging="216"/>
              <w:contextualSpacing w:val="0"/>
            </w:pPr>
            <w:r w:rsidRPr="005D4222">
              <w:t>Received Hepatitis B vaccine series on or after their 19th birthday, before or during the measurement period, including either of the following:</w:t>
            </w:r>
          </w:p>
          <w:p w14:paraId="0E229A1E" w14:textId="77777777" w:rsidR="0024491B" w:rsidRPr="005D4222" w:rsidRDefault="0024491B" w:rsidP="00212974">
            <w:pPr>
              <w:pStyle w:val="Dash"/>
              <w:spacing w:after="80"/>
              <w:rPr>
                <w:b/>
                <w:bCs/>
              </w:rPr>
            </w:pPr>
            <w:r w:rsidRPr="005D4222">
              <w:t>At least two doses of the recommended two-dose adult Hepatitis B vaccine (</w:t>
            </w:r>
            <w:r w:rsidRPr="005D4222">
              <w:rPr>
                <w:rFonts w:eastAsia="Arial,Arial,Arial,Arial,Arial,A"/>
                <w:lang w:eastAsia="zh-CN"/>
              </w:rPr>
              <w:t xml:space="preserve">CVX code 189; </w:t>
            </w:r>
            <w:r w:rsidRPr="005D4222">
              <w:rPr>
                <w:rFonts w:eastAsia="Arial,Arial,Arial,Arial,Arial,A"/>
                <w:u w:val="single"/>
              </w:rPr>
              <w:t>Adult Hepatitis B Vaccine Procedure (2 dose) Value Set</w:t>
            </w:r>
            <w:r w:rsidRPr="005D4222">
              <w:t xml:space="preserve">) administered at least 28 days apart; </w:t>
            </w:r>
            <w:r w:rsidRPr="005D4222">
              <w:rPr>
                <w:b/>
                <w:bCs/>
                <w:i/>
                <w:iCs/>
              </w:rPr>
              <w:t>or</w:t>
            </w:r>
          </w:p>
        </w:tc>
      </w:tr>
    </w:tbl>
    <w:p w14:paraId="2244D37E" w14:textId="77777777" w:rsidR="0024491B" w:rsidRPr="005D4222" w:rsidRDefault="0024491B" w:rsidP="0024491B">
      <w:pPr>
        <w:spacing w:after="160" w:line="259" w:lineRule="auto"/>
      </w:pPr>
      <w:r w:rsidRPr="005D4222">
        <w:br w:type="page"/>
      </w:r>
    </w:p>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24491B" w:rsidRPr="005D4222" w14:paraId="2EA6C5AB" w14:textId="77777777" w:rsidTr="00A53E8C">
        <w:trPr>
          <w:trHeight w:val="503"/>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5723CD9" w14:textId="77777777" w:rsidR="0024491B" w:rsidRPr="005D4222" w:rsidRDefault="0024491B"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4A9533E3" w14:textId="77777777" w:rsidR="0024491B" w:rsidRPr="005D4222" w:rsidRDefault="0024491B" w:rsidP="00212974">
            <w:pPr>
              <w:pStyle w:val="Dash"/>
              <w:spacing w:before="80"/>
            </w:pPr>
            <w:r w:rsidRPr="005D4222">
              <w:t>At least three doses of any other recommended adult Hepatitis B vaccine (</w:t>
            </w:r>
            <w:r w:rsidRPr="005D4222">
              <w:rPr>
                <w:rFonts w:eastAsia="Arial,Arial,Arial,Arial,Arial,A"/>
                <w:u w:val="single"/>
              </w:rPr>
              <w:t>Adult Hepatitis B Immunization (3 dose) Value Set;</w:t>
            </w:r>
            <w:r w:rsidRPr="005D4222">
              <w:rPr>
                <w:rFonts w:eastAsia="Arial,Arial,Arial,Arial,Arial,A"/>
              </w:rPr>
              <w:t xml:space="preserve"> </w:t>
            </w:r>
            <w:r w:rsidRPr="005D4222">
              <w:rPr>
                <w:rFonts w:eastAsia="Arial,Arial,Arial,Arial,Arial,A"/>
                <w:u w:val="single"/>
              </w:rPr>
              <w:t>Adult Hepatitis B Vaccine Procedure (3 dose) Value Set</w:t>
            </w:r>
            <w:r w:rsidRPr="005D4222">
              <w:rPr>
                <w:rFonts w:eastAsia="Arial,Arial,Arial,Arial,Arial,A"/>
              </w:rPr>
              <w:t>)</w:t>
            </w:r>
            <w:r w:rsidRPr="005D4222">
              <w:t xml:space="preserve"> administered on different days of service.</w:t>
            </w:r>
          </w:p>
          <w:p w14:paraId="58F46A3F" w14:textId="77777777" w:rsidR="0024491B" w:rsidRPr="005D4222" w:rsidRDefault="0024491B" w:rsidP="005D6173">
            <w:pPr>
              <w:pStyle w:val="Body"/>
              <w:numPr>
                <w:ilvl w:val="0"/>
                <w:numId w:val="173"/>
              </w:numPr>
              <w:spacing w:before="80"/>
              <w:ind w:left="576" w:hanging="216"/>
              <w:rPr>
                <w:i/>
                <w:iCs/>
              </w:rPr>
            </w:pPr>
            <w:r w:rsidRPr="005D4222">
              <w:rPr>
                <w:kern w:val="0"/>
              </w:rPr>
              <w:t xml:space="preserve">Had a hepatitis B surface antigen, hepatitis B surface antibody or total antibody to hepatitis B core antigen test </w:t>
            </w:r>
            <w:r w:rsidRPr="005D4222">
              <w:t xml:space="preserve">with a finding of immunity any time before or during the measurement period, including either of the following: </w:t>
            </w:r>
          </w:p>
          <w:p w14:paraId="339CEA79" w14:textId="77777777" w:rsidR="0024491B" w:rsidRPr="005D4222" w:rsidRDefault="0024491B" w:rsidP="00212974">
            <w:pPr>
              <w:pStyle w:val="Dash"/>
              <w:spacing w:before="80"/>
            </w:pPr>
            <w:r w:rsidRPr="005D4222">
              <w:t>A test (</w:t>
            </w:r>
            <w:r w:rsidRPr="005D4222">
              <w:rPr>
                <w:u w:val="single"/>
              </w:rPr>
              <w:t>Hepatitis B Tests With Threshold of 10 Value Set</w:t>
            </w:r>
            <w:r w:rsidRPr="005D4222">
              <w:t>) with a result greater than 10 mIU/mL.</w:t>
            </w:r>
          </w:p>
          <w:p w14:paraId="25DBF9E7" w14:textId="77777777" w:rsidR="0024491B" w:rsidRPr="005D4222" w:rsidRDefault="0024491B" w:rsidP="00212974">
            <w:pPr>
              <w:pStyle w:val="Dash"/>
              <w:spacing w:before="80"/>
            </w:pPr>
            <w:r w:rsidRPr="005D4222">
              <w:t>A test (</w:t>
            </w:r>
            <w:r w:rsidRPr="005D4222">
              <w:rPr>
                <w:u w:val="single"/>
              </w:rPr>
              <w:t>Hepatitis B Prevaccination Tests Value Set</w:t>
            </w:r>
            <w:r w:rsidRPr="005D4222">
              <w:t>) with a finding of immunity (</w:t>
            </w:r>
            <w:r w:rsidRPr="005D4222">
              <w:rPr>
                <w:u w:val="single"/>
              </w:rPr>
              <w:t>Hepatitis B Immunity Finding Value Set</w:t>
            </w:r>
            <w:r w:rsidRPr="005D4222">
              <w:t>).</w:t>
            </w:r>
          </w:p>
          <w:p w14:paraId="030ED383" w14:textId="77777777" w:rsidR="0024491B" w:rsidRPr="005D4222" w:rsidRDefault="0024491B" w:rsidP="0024491B">
            <w:pPr>
              <w:pStyle w:val="Bullet"/>
              <w:numPr>
                <w:ilvl w:val="0"/>
                <w:numId w:val="4"/>
              </w:numPr>
              <w:ind w:left="576" w:hanging="216"/>
              <w:rPr>
                <w:i/>
                <w:iCs/>
              </w:rPr>
            </w:pPr>
            <w:r w:rsidRPr="005D4222">
              <w:t>History of hepatitis B illness (</w:t>
            </w:r>
            <w:r w:rsidRPr="005D4222">
              <w:rPr>
                <w:u w:val="single"/>
              </w:rPr>
              <w:t>Hepatitis B and History of Hepatitis B Value Set</w:t>
            </w:r>
            <w:r w:rsidRPr="005D4222">
              <w:t xml:space="preserve">*) any time before or during the measurement period. </w:t>
            </w:r>
          </w:p>
          <w:p w14:paraId="6AD4EBBB" w14:textId="77777777" w:rsidR="0024491B" w:rsidRPr="005D4222" w:rsidRDefault="0024491B" w:rsidP="0024491B">
            <w:pPr>
              <w:pStyle w:val="Bullet"/>
              <w:numPr>
                <w:ilvl w:val="0"/>
                <w:numId w:val="4"/>
              </w:numPr>
              <w:ind w:left="576" w:hanging="216"/>
            </w:pPr>
            <w:r w:rsidRPr="005D4222">
              <w:t>Had anaphylaxis due to the hepatitis B vaccine (SNOMED CT code 428321000124101) any time before or during the measurement period.</w:t>
            </w:r>
          </w:p>
          <w:p w14:paraId="0564460C" w14:textId="77777777" w:rsidR="0024491B" w:rsidRPr="005D4222" w:rsidRDefault="0024491B" w:rsidP="00A53E8C">
            <w:pPr>
              <w:pStyle w:val="Body"/>
            </w:pPr>
            <w:r w:rsidRPr="005D4222">
              <w:rPr>
                <w:b/>
              </w:rPr>
              <w:t>Numerator 6: Immunization status—</w:t>
            </w:r>
            <w:r w:rsidRPr="005D4222">
              <w:rPr>
                <w:b/>
                <w:bCs/>
              </w:rPr>
              <w:t>COVID-19.</w:t>
            </w:r>
            <w:r w:rsidRPr="005D4222">
              <w:rPr>
                <w:b/>
                <w:bCs/>
              </w:rPr>
              <w:br/>
            </w:r>
            <w:r w:rsidRPr="005D4222">
              <w:t>Persons who meet either of the following criteria:</w:t>
            </w:r>
          </w:p>
          <w:p w14:paraId="72DFEE22" w14:textId="77777777" w:rsidR="0024491B" w:rsidRPr="005D4222" w:rsidRDefault="0024491B" w:rsidP="0024491B">
            <w:pPr>
              <w:pStyle w:val="Bullet"/>
              <w:numPr>
                <w:ilvl w:val="0"/>
                <w:numId w:val="4"/>
              </w:numPr>
              <w:ind w:left="576" w:hanging="216"/>
            </w:pPr>
            <w:r w:rsidRPr="005D4222">
              <w:t>Received at least one dose of a COVID-19 vaccine (</w:t>
            </w:r>
            <w:r w:rsidRPr="005D4222">
              <w:rPr>
                <w:u w:val="single"/>
              </w:rPr>
              <w:t>Adult COVID19 Immunization Value Set</w:t>
            </w:r>
            <w:r w:rsidRPr="005D4222">
              <w:t xml:space="preserve">; </w:t>
            </w:r>
            <w:r w:rsidRPr="005D4222">
              <w:rPr>
                <w:u w:val="single"/>
              </w:rPr>
              <w:t>Adult COVID19 Vaccine Procedure Value Set</w:t>
            </w:r>
            <w:r w:rsidRPr="005D4222">
              <w:t xml:space="preserve">) that occurred </w:t>
            </w:r>
            <w:r w:rsidRPr="005D4222">
              <w:rPr>
                <w:b/>
              </w:rPr>
              <w:t>both</w:t>
            </w:r>
            <w:r w:rsidRPr="005D4222">
              <w:t xml:space="preserve"> on or between July 1 of the year prior to the measurement period through June 30 of the measurement period </w:t>
            </w:r>
            <w:r w:rsidRPr="005D4222">
              <w:rPr>
                <w:b/>
              </w:rPr>
              <w:t>and</w:t>
            </w:r>
            <w:r w:rsidRPr="005D4222">
              <w:t xml:space="preserve"> on or after their 65th birthday.</w:t>
            </w:r>
          </w:p>
          <w:p w14:paraId="13BF7BE6" w14:textId="77777777" w:rsidR="0024491B" w:rsidRPr="005D4222" w:rsidRDefault="0024491B" w:rsidP="0024491B">
            <w:pPr>
              <w:pStyle w:val="Bullet"/>
              <w:numPr>
                <w:ilvl w:val="0"/>
                <w:numId w:val="4"/>
              </w:numPr>
              <w:ind w:left="576" w:hanging="216"/>
              <w:rPr>
                <w:rFonts w:eastAsia="Arial,Arial,Arial,Arial,Arial,A"/>
              </w:rPr>
            </w:pPr>
            <w:r w:rsidRPr="005D4222">
              <w:t>Had anaphylaxis due to the COVID-19 vaccine (SNOMED CT code 914587451000119107) any time before or during the measurement period.</w:t>
            </w:r>
          </w:p>
          <w:p w14:paraId="3400EF9C" w14:textId="77777777" w:rsidR="0024491B" w:rsidRPr="005D4222" w:rsidRDefault="0024491B" w:rsidP="00A53E8C">
            <w:pPr>
              <w:pStyle w:val="ECDSBody"/>
              <w:spacing w:after="0"/>
              <w:rPr>
                <w:rFonts w:eastAsia="Arial,Arial,Arial,Arial,Arial,A"/>
                <w:b/>
                <w:bCs w:val="0"/>
              </w:rPr>
            </w:pPr>
            <w:r w:rsidRPr="005D4222">
              <w:rPr>
                <w:rFonts w:eastAsia="Arial,Arial,Arial,Arial,Arial,A"/>
                <w:b/>
                <w:bCs w:val="0"/>
              </w:rPr>
              <w:t>Coding Guidance</w:t>
            </w:r>
          </w:p>
          <w:p w14:paraId="22F51156" w14:textId="77777777" w:rsidR="0024491B" w:rsidRPr="005D4222" w:rsidRDefault="0024491B" w:rsidP="00A53E8C">
            <w:pPr>
              <w:pStyle w:val="ECDSBody"/>
              <w:spacing w:before="0"/>
            </w:pPr>
            <w:r w:rsidRPr="005D4222">
              <w:rPr>
                <w:rFonts w:eastAsia="Arial,Arial,Arial,Arial,Arial,A"/>
              </w:rPr>
              <w:t>*Do not include laboratory claims (claims with POS code 81).</w:t>
            </w:r>
          </w:p>
        </w:tc>
      </w:tr>
      <w:tr w:rsidR="0024491B" w:rsidRPr="005D4222" w14:paraId="467671E3"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EF9F827" w14:textId="77777777" w:rsidR="0024491B" w:rsidRPr="005D4222" w:rsidRDefault="0024491B" w:rsidP="00A53E8C">
            <w:pPr>
              <w:pStyle w:val="ECDSMarginHead"/>
            </w:pPr>
            <w:r w:rsidRPr="005D4222">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6B1D17F" w14:textId="77777777" w:rsidR="0024491B" w:rsidRPr="005D4222" w:rsidDel="00A52BD6" w:rsidRDefault="0024491B" w:rsidP="005D6173">
            <w:pPr>
              <w:pStyle w:val="ProcessBullet"/>
              <w:numPr>
                <w:ilvl w:val="0"/>
                <w:numId w:val="98"/>
              </w:numPr>
              <w:tabs>
                <w:tab w:val="left" w:pos="216"/>
              </w:tabs>
              <w:spacing w:before="120"/>
              <w:ind w:left="216" w:hanging="216"/>
            </w:pPr>
            <w:r w:rsidRPr="005D4222" w:rsidDel="00A04A0B">
              <w:t xml:space="preserve">Removed the definitions of </w:t>
            </w:r>
            <w:r w:rsidRPr="005D4222">
              <w:t>“</w:t>
            </w:r>
            <w:r w:rsidRPr="005D4222" w:rsidDel="00A04A0B">
              <w:t>participation</w:t>
            </w:r>
            <w:r w:rsidRPr="005D4222">
              <w:t>”</w:t>
            </w:r>
            <w:r w:rsidRPr="005D4222" w:rsidDel="00A04A0B">
              <w:t xml:space="preserve"> and </w:t>
            </w:r>
            <w:r w:rsidRPr="005D4222">
              <w:t>“</w:t>
            </w:r>
            <w:r w:rsidRPr="005D4222" w:rsidDel="00A04A0B">
              <w:t>participation period.</w:t>
            </w:r>
            <w:r w:rsidRPr="005D4222">
              <w:t>”</w:t>
            </w:r>
            <w:r w:rsidRPr="005D4222" w:rsidDel="00A04A0B">
              <w:t xml:space="preserve"> </w:t>
            </w:r>
          </w:p>
          <w:p w14:paraId="4EBEF377" w14:textId="77777777" w:rsidR="0024491B" w:rsidRPr="005D4222" w:rsidRDefault="0024491B" w:rsidP="005D6173">
            <w:pPr>
              <w:pStyle w:val="ProcessBullet"/>
              <w:numPr>
                <w:ilvl w:val="0"/>
                <w:numId w:val="98"/>
              </w:numPr>
              <w:tabs>
                <w:tab w:val="left" w:pos="216"/>
              </w:tabs>
              <w:ind w:left="216" w:hanging="216"/>
            </w:pPr>
            <w:r w:rsidRPr="005D4222">
              <w:t>Added the COVID-19 indicator for adults 65 and older. This indicator is in first-year status for measurement year 2026.</w:t>
            </w:r>
          </w:p>
          <w:p w14:paraId="0E8EFF84" w14:textId="77777777" w:rsidR="0024491B" w:rsidRPr="005D4222" w:rsidRDefault="0024491B" w:rsidP="005D6173">
            <w:pPr>
              <w:pStyle w:val="ProcessBullet"/>
              <w:numPr>
                <w:ilvl w:val="0"/>
                <w:numId w:val="98"/>
              </w:numPr>
              <w:ind w:left="216" w:hanging="216"/>
            </w:pPr>
            <w:r w:rsidRPr="005D4222">
              <w:t>Updated the citation for clinical recommendation statement and rationale.</w:t>
            </w:r>
          </w:p>
          <w:p w14:paraId="1EED11EB" w14:textId="77777777" w:rsidR="0024491B" w:rsidRPr="005D4222" w:rsidRDefault="0024491B" w:rsidP="005D6173">
            <w:pPr>
              <w:pStyle w:val="ProcessBullet"/>
              <w:numPr>
                <w:ilvl w:val="0"/>
                <w:numId w:val="98"/>
              </w:numPr>
              <w:tabs>
                <w:tab w:val="left" w:pos="216"/>
              </w:tabs>
              <w:ind w:left="216" w:hanging="216"/>
            </w:pPr>
            <w:r w:rsidRPr="005D4222">
              <w:t>Updated the race and ethnicity stratification categories to align with OMB SPD 15 2024.</w:t>
            </w:r>
          </w:p>
          <w:p w14:paraId="07D5293C" w14:textId="77777777" w:rsidR="0024491B" w:rsidRPr="005D4222" w:rsidRDefault="0024491B" w:rsidP="005D6173">
            <w:pPr>
              <w:pStyle w:val="ProcessBullet"/>
              <w:numPr>
                <w:ilvl w:val="0"/>
                <w:numId w:val="98"/>
              </w:numPr>
              <w:tabs>
                <w:tab w:val="left" w:pos="216"/>
              </w:tabs>
              <w:ind w:left="216" w:hanging="216"/>
            </w:pPr>
            <w:r w:rsidRPr="005D4222">
              <w:t>Removed the SSoR data elements from the data element tables.</w:t>
            </w:r>
          </w:p>
          <w:p w14:paraId="179B9381" w14:textId="77777777" w:rsidR="0024491B" w:rsidRPr="005D4222" w:rsidRDefault="0024491B" w:rsidP="005D6173">
            <w:pPr>
              <w:pStyle w:val="ProcessBullet"/>
              <w:numPr>
                <w:ilvl w:val="0"/>
                <w:numId w:val="98"/>
              </w:numPr>
              <w:tabs>
                <w:tab w:val="left" w:pos="216"/>
              </w:tabs>
              <w:spacing w:after="80"/>
              <w:ind w:left="216" w:hanging="216"/>
            </w:pPr>
            <w:r w:rsidRPr="005D4222">
              <w:t>Added instructions on allowable adjustments to the race and ethnicity stratifications.</w:t>
            </w:r>
          </w:p>
        </w:tc>
      </w:tr>
    </w:tbl>
    <w:p w14:paraId="4F59FB8B" w14:textId="77777777" w:rsidR="00212974" w:rsidRPr="005D4222" w:rsidRDefault="00212974">
      <w:r w:rsidRPr="005D4222">
        <w:br w:type="page"/>
      </w:r>
    </w:p>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24491B" w:rsidRPr="005D4222" w14:paraId="36484E9F" w14:textId="77777777" w:rsidTr="00212974">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8FBE9E1" w14:textId="77777777" w:rsidR="0024491B" w:rsidRPr="005D4222" w:rsidRDefault="0024491B" w:rsidP="00A53E8C">
            <w:pPr>
              <w:pStyle w:val="ECDSMarginHead"/>
            </w:pPr>
            <w:r w:rsidRPr="005D4222">
              <w:lastRenderedPageBreak/>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3484378" w14:textId="77777777" w:rsidR="0024491B" w:rsidRPr="005D4222" w:rsidRDefault="0024491B" w:rsidP="00A53E8C">
            <w:pPr>
              <w:pStyle w:val="ECDSBody"/>
            </w:pPr>
            <w:r w:rsidRPr="005D4222">
              <w:t xml:space="preserve">Organizations that submit HEDIS data to NCQA must provide the following data elements. </w:t>
            </w:r>
          </w:p>
          <w:p w14:paraId="06510732" w14:textId="77777777" w:rsidR="0024491B" w:rsidRPr="005D4222" w:rsidRDefault="0024491B" w:rsidP="00A53E8C">
            <w:pPr>
              <w:pStyle w:val="Heading3"/>
              <w:spacing w:before="120"/>
              <w:rPr>
                <w:rFonts w:eastAsia="Arial,Arial,Arial,Arial,Arial,A"/>
                <w:b w:val="0"/>
                <w:i w:val="0"/>
                <w:kern w:val="20"/>
                <w:szCs w:val="21"/>
              </w:rPr>
            </w:pPr>
            <w:r w:rsidRPr="005D4222">
              <w:rPr>
                <w:rFonts w:eastAsia="Arial,Arial,Arial,Arial,Arial,A"/>
              </w:rPr>
              <w:t>Table AIS-E-A:-1/2/3 Data Elements for Adult Immunization Status</w:t>
            </w:r>
          </w:p>
          <w:tbl>
            <w:tblPr>
              <w:tblW w:w="7371" w:type="dxa"/>
              <w:tblLayout w:type="fixed"/>
              <w:tblCellMar>
                <w:left w:w="72" w:type="dxa"/>
                <w:right w:w="72" w:type="dxa"/>
              </w:tblCellMar>
              <w:tblLook w:val="04A0" w:firstRow="1" w:lastRow="0" w:firstColumn="1" w:lastColumn="0" w:noHBand="0" w:noVBand="1"/>
            </w:tblPr>
            <w:tblGrid>
              <w:gridCol w:w="10"/>
              <w:gridCol w:w="1600"/>
              <w:gridCol w:w="989"/>
              <w:gridCol w:w="15"/>
              <w:gridCol w:w="1607"/>
              <w:gridCol w:w="3150"/>
            </w:tblGrid>
            <w:tr w:rsidR="0024491B" w:rsidRPr="005D4222" w14:paraId="10173D8B" w14:textId="77777777" w:rsidTr="00C766F0">
              <w:trPr>
                <w:gridBefore w:val="1"/>
                <w:wBefore w:w="10" w:type="dxa"/>
                <w:tblHeader/>
              </w:trPr>
              <w:tc>
                <w:tcPr>
                  <w:tcW w:w="1600" w:type="dxa"/>
                  <w:tcBorders>
                    <w:top w:val="single" w:sz="8" w:space="0" w:color="auto"/>
                    <w:left w:val="single" w:sz="8" w:space="0" w:color="auto"/>
                    <w:bottom w:val="single" w:sz="8" w:space="0" w:color="auto"/>
                    <w:right w:val="single" w:sz="6" w:space="0" w:color="FFFFFF" w:themeColor="background1"/>
                  </w:tcBorders>
                  <w:shd w:val="clear" w:color="auto" w:fill="000000" w:themeFill="text1"/>
                  <w:noWrap/>
                  <w:vAlign w:val="bottom"/>
                  <w:hideMark/>
                </w:tcPr>
                <w:p w14:paraId="6D8DD045" w14:textId="77777777" w:rsidR="0024491B" w:rsidRPr="005D4222" w:rsidRDefault="0024491B" w:rsidP="00A53E8C">
                  <w:pPr>
                    <w:pStyle w:val="TableHead"/>
                    <w:rPr>
                      <w:color w:val="auto"/>
                      <w:kern w:val="20"/>
                    </w:rPr>
                  </w:pPr>
                  <w:r w:rsidRPr="005D4222">
                    <w:rPr>
                      <w:color w:val="auto"/>
                      <w:kern w:val="20"/>
                    </w:rPr>
                    <w:t>Metric</w:t>
                  </w:r>
                </w:p>
              </w:tc>
              <w:tc>
                <w:tcPr>
                  <w:tcW w:w="1004" w:type="dxa"/>
                  <w:gridSpan w:val="2"/>
                  <w:tcBorders>
                    <w:top w:val="single" w:sz="8" w:space="0" w:color="auto"/>
                    <w:left w:val="single" w:sz="6" w:space="0" w:color="FFFFFF" w:themeColor="background1"/>
                    <w:bottom w:val="single" w:sz="4" w:space="0" w:color="auto"/>
                    <w:right w:val="single" w:sz="6" w:space="0" w:color="FFFFFF" w:themeColor="background1"/>
                  </w:tcBorders>
                  <w:shd w:val="clear" w:color="auto" w:fill="000000" w:themeFill="text1"/>
                  <w:vAlign w:val="bottom"/>
                  <w:hideMark/>
                </w:tcPr>
                <w:p w14:paraId="747BE65B" w14:textId="77777777" w:rsidR="0024491B" w:rsidRPr="005D4222" w:rsidRDefault="0024491B" w:rsidP="00A53E8C">
                  <w:pPr>
                    <w:pStyle w:val="TableHead"/>
                    <w:rPr>
                      <w:bCs/>
                      <w:color w:val="auto"/>
                      <w:kern w:val="20"/>
                    </w:rPr>
                  </w:pPr>
                  <w:r w:rsidRPr="005D4222">
                    <w:rPr>
                      <w:bCs/>
                      <w:color w:val="auto"/>
                      <w:kern w:val="20"/>
                    </w:rPr>
                    <w:t>Age</w:t>
                  </w:r>
                </w:p>
              </w:tc>
              <w:tc>
                <w:tcPr>
                  <w:tcW w:w="1607" w:type="dxa"/>
                  <w:tcBorders>
                    <w:top w:val="single" w:sz="8" w:space="0" w:color="auto"/>
                    <w:left w:val="single" w:sz="6" w:space="0" w:color="FFFFFF" w:themeColor="background1"/>
                    <w:bottom w:val="single" w:sz="4" w:space="0" w:color="auto"/>
                    <w:right w:val="single" w:sz="4" w:space="0" w:color="FFFFFF" w:themeColor="background1"/>
                  </w:tcBorders>
                  <w:shd w:val="clear" w:color="auto" w:fill="000000" w:themeFill="text1"/>
                  <w:noWrap/>
                  <w:vAlign w:val="bottom"/>
                  <w:hideMark/>
                </w:tcPr>
                <w:p w14:paraId="5041395A" w14:textId="77777777" w:rsidR="0024491B" w:rsidRPr="005D4222" w:rsidRDefault="0024491B" w:rsidP="00A53E8C">
                  <w:pPr>
                    <w:pStyle w:val="TableHead"/>
                    <w:rPr>
                      <w:color w:val="auto"/>
                      <w:kern w:val="20"/>
                    </w:rPr>
                  </w:pPr>
                  <w:r w:rsidRPr="005D4222">
                    <w:rPr>
                      <w:color w:val="auto"/>
                      <w:kern w:val="20"/>
                    </w:rPr>
                    <w:t>Data Element</w:t>
                  </w:r>
                </w:p>
              </w:tc>
              <w:tc>
                <w:tcPr>
                  <w:tcW w:w="3150" w:type="dxa"/>
                  <w:tcBorders>
                    <w:top w:val="single" w:sz="8" w:space="0" w:color="auto"/>
                    <w:left w:val="single" w:sz="4" w:space="0" w:color="FFFFFF" w:themeColor="background1"/>
                    <w:bottom w:val="single" w:sz="4" w:space="0" w:color="auto"/>
                    <w:right w:val="single" w:sz="8" w:space="0" w:color="auto"/>
                  </w:tcBorders>
                  <w:shd w:val="clear" w:color="auto" w:fill="000000" w:themeFill="text1"/>
                  <w:vAlign w:val="bottom"/>
                  <w:hideMark/>
                </w:tcPr>
                <w:p w14:paraId="71421B1E" w14:textId="77777777" w:rsidR="0024491B" w:rsidRPr="005D4222" w:rsidRDefault="0024491B" w:rsidP="00A53E8C">
                  <w:pPr>
                    <w:pStyle w:val="TableHead"/>
                    <w:rPr>
                      <w:color w:val="auto"/>
                      <w:kern w:val="20"/>
                    </w:rPr>
                  </w:pPr>
                  <w:r w:rsidRPr="005D4222">
                    <w:rPr>
                      <w:color w:val="auto"/>
                      <w:kern w:val="20"/>
                    </w:rPr>
                    <w:t>Reporting Instructions</w:t>
                  </w:r>
                </w:p>
              </w:tc>
            </w:tr>
            <w:tr w:rsidR="0024491B" w:rsidRPr="005D4222" w14:paraId="1CF0477E" w14:textId="77777777" w:rsidTr="00C766F0">
              <w:trPr>
                <w:gridBefore w:val="1"/>
                <w:wBefore w:w="10" w:type="dxa"/>
              </w:trPr>
              <w:tc>
                <w:tcPr>
                  <w:tcW w:w="1600" w:type="dxa"/>
                  <w:tcBorders>
                    <w:top w:val="nil"/>
                    <w:left w:val="single" w:sz="8" w:space="0" w:color="auto"/>
                    <w:bottom w:val="single" w:sz="4" w:space="0" w:color="auto"/>
                    <w:right w:val="single" w:sz="4" w:space="0" w:color="auto"/>
                  </w:tcBorders>
                  <w:shd w:val="clear" w:color="auto" w:fill="FFFFFF" w:themeFill="background1"/>
                  <w:noWrap/>
                  <w:vAlign w:val="center"/>
                  <w:hideMark/>
                </w:tcPr>
                <w:p w14:paraId="66A0C9D9" w14:textId="77777777" w:rsidR="0024491B" w:rsidRPr="005D4222" w:rsidRDefault="0024491B" w:rsidP="00A53E8C">
                  <w:pPr>
                    <w:pStyle w:val="TableText"/>
                  </w:pPr>
                  <w:r w:rsidRPr="005D4222">
                    <w:t>Influenza</w:t>
                  </w:r>
                </w:p>
              </w:tc>
              <w:tc>
                <w:tcPr>
                  <w:tcW w:w="1004"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416C6731" w14:textId="77777777" w:rsidR="0024491B" w:rsidRPr="005D4222" w:rsidRDefault="0024491B" w:rsidP="00A53E8C">
                  <w:pPr>
                    <w:pStyle w:val="TableText"/>
                  </w:pPr>
                  <w:r w:rsidRPr="005D4222">
                    <w:t>19-64</w:t>
                  </w:r>
                </w:p>
              </w:tc>
              <w:tc>
                <w:tcPr>
                  <w:tcW w:w="1607"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6BFA913" w14:textId="77777777" w:rsidR="0024491B" w:rsidRPr="005D4222" w:rsidRDefault="0024491B" w:rsidP="00A53E8C">
                  <w:pPr>
                    <w:pStyle w:val="TableText"/>
                  </w:pPr>
                  <w:r w:rsidRPr="005D4222">
                    <w:t>InitialPopulation</w:t>
                  </w:r>
                </w:p>
              </w:tc>
              <w:tc>
                <w:tcPr>
                  <w:tcW w:w="31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1C63BC8" w14:textId="77777777" w:rsidR="0024491B" w:rsidRPr="005D4222" w:rsidRDefault="0024491B" w:rsidP="00A53E8C">
                  <w:pPr>
                    <w:pStyle w:val="TableText"/>
                    <w:rPr>
                      <w:highlight w:val="yellow"/>
                    </w:rPr>
                  </w:pPr>
                  <w:r w:rsidRPr="005D4222">
                    <w:t>For each Metric and Stratification</w:t>
                  </w:r>
                </w:p>
              </w:tc>
            </w:tr>
            <w:tr w:rsidR="0024491B" w:rsidRPr="005D4222" w14:paraId="7B28C417" w14:textId="77777777" w:rsidTr="00C766F0">
              <w:trPr>
                <w:gridBefore w:val="1"/>
                <w:wBefore w:w="10" w:type="dxa"/>
              </w:trPr>
              <w:tc>
                <w:tcPr>
                  <w:tcW w:w="16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8F36C76" w14:textId="77777777" w:rsidR="0024491B" w:rsidRPr="005D4222" w:rsidRDefault="0024491B" w:rsidP="00A53E8C">
                  <w:pPr>
                    <w:pStyle w:val="TableText"/>
                  </w:pPr>
                  <w:r w:rsidRPr="005D4222">
                    <w:t>TdTdap</w:t>
                  </w:r>
                </w:p>
              </w:tc>
              <w:tc>
                <w:tcPr>
                  <w:tcW w:w="1004"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3D94D3D8" w14:textId="77777777" w:rsidR="0024491B" w:rsidRPr="005D4222" w:rsidRDefault="0024491B" w:rsidP="00A53E8C">
                  <w:pPr>
                    <w:pStyle w:val="TableText"/>
                  </w:pPr>
                  <w:r w:rsidRPr="005D4222">
                    <w:t>65+</w:t>
                  </w:r>
                </w:p>
              </w:tc>
              <w:tc>
                <w:tcPr>
                  <w:tcW w:w="1607"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18FCB4E" w14:textId="77777777" w:rsidR="0024491B" w:rsidRPr="005D4222" w:rsidRDefault="0024491B" w:rsidP="00A53E8C">
                  <w:pPr>
                    <w:pStyle w:val="TableText"/>
                  </w:pPr>
                  <w:r w:rsidRPr="005D4222">
                    <w:t>Exclusions</w:t>
                  </w:r>
                </w:p>
              </w:tc>
              <w:tc>
                <w:tcPr>
                  <w:tcW w:w="31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4772DE6" w14:textId="77777777" w:rsidR="0024491B" w:rsidRPr="005D4222" w:rsidRDefault="0024491B" w:rsidP="00A53E8C">
                  <w:pPr>
                    <w:pStyle w:val="TableText"/>
                  </w:pPr>
                  <w:r w:rsidRPr="005D4222">
                    <w:t>For each Metric and Stratification</w:t>
                  </w:r>
                </w:p>
              </w:tc>
            </w:tr>
            <w:tr w:rsidR="0024491B" w:rsidRPr="005D4222" w14:paraId="2F250875" w14:textId="77777777" w:rsidTr="00C766F0">
              <w:tc>
                <w:tcPr>
                  <w:tcW w:w="1610" w:type="dxa"/>
                  <w:gridSpan w:val="2"/>
                  <w:tcBorders>
                    <w:top w:val="single" w:sz="4" w:space="0" w:color="auto"/>
                    <w:right w:val="single" w:sz="4" w:space="0" w:color="auto"/>
                  </w:tcBorders>
                  <w:shd w:val="clear" w:color="auto" w:fill="FFFFFF" w:themeFill="background1"/>
                  <w:noWrap/>
                  <w:vAlign w:val="center"/>
                  <w:hideMark/>
                </w:tcPr>
                <w:p w14:paraId="6941C7BF" w14:textId="77777777" w:rsidR="0024491B" w:rsidRPr="005D4222" w:rsidRDefault="0024491B" w:rsidP="00A53E8C">
                  <w:pPr>
                    <w:pStyle w:val="TableText"/>
                    <w:spacing w:before="40" w:after="40"/>
                  </w:pPr>
                </w:p>
              </w:tc>
              <w:tc>
                <w:tcPr>
                  <w:tcW w:w="98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B98CCFF" w14:textId="77777777" w:rsidR="0024491B" w:rsidRPr="005D4222" w:rsidRDefault="0024491B" w:rsidP="00A53E8C">
                  <w:pPr>
                    <w:pStyle w:val="TableText"/>
                    <w:spacing w:before="40" w:after="40"/>
                  </w:pPr>
                  <w:r w:rsidRPr="005D4222">
                    <w:t>Total</w:t>
                  </w:r>
                </w:p>
              </w:tc>
              <w:tc>
                <w:tcPr>
                  <w:tcW w:w="1622"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FFD079C" w14:textId="77777777" w:rsidR="0024491B" w:rsidRPr="005D4222" w:rsidRDefault="0024491B" w:rsidP="00A53E8C">
                  <w:pPr>
                    <w:pStyle w:val="TableText"/>
                    <w:spacing w:before="40" w:after="40"/>
                  </w:pPr>
                  <w:r w:rsidRPr="005D4222">
                    <w:t>Denominator</w:t>
                  </w:r>
                </w:p>
              </w:tc>
              <w:tc>
                <w:tcPr>
                  <w:tcW w:w="31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919D59F" w14:textId="77777777" w:rsidR="0024491B" w:rsidRPr="005D4222" w:rsidRDefault="0024491B" w:rsidP="00A53E8C">
                  <w:pPr>
                    <w:pStyle w:val="TableText"/>
                    <w:spacing w:before="40" w:after="40"/>
                  </w:pPr>
                  <w:r w:rsidRPr="005D4222">
                    <w:t>For each Metric and Stratification</w:t>
                  </w:r>
                </w:p>
              </w:tc>
            </w:tr>
            <w:tr w:rsidR="0024491B" w:rsidRPr="005D4222" w14:paraId="0F4E2340" w14:textId="77777777" w:rsidTr="00C766F0">
              <w:tc>
                <w:tcPr>
                  <w:tcW w:w="1610" w:type="dxa"/>
                  <w:gridSpan w:val="2"/>
                  <w:tcBorders>
                    <w:bottom w:val="single" w:sz="4" w:space="0" w:color="auto"/>
                  </w:tcBorders>
                  <w:shd w:val="clear" w:color="auto" w:fill="FFFFFF" w:themeFill="background1"/>
                  <w:noWrap/>
                  <w:vAlign w:val="center"/>
                </w:tcPr>
                <w:p w14:paraId="3AC24639" w14:textId="77777777" w:rsidR="0024491B" w:rsidRPr="005D4222" w:rsidRDefault="0024491B" w:rsidP="00A53E8C">
                  <w:pPr>
                    <w:pStyle w:val="TableText"/>
                    <w:spacing w:before="40" w:after="40"/>
                  </w:pPr>
                </w:p>
              </w:tc>
              <w:tc>
                <w:tcPr>
                  <w:tcW w:w="989" w:type="dxa"/>
                  <w:tcBorders>
                    <w:top w:val="single" w:sz="4" w:space="0" w:color="auto"/>
                    <w:bottom w:val="single" w:sz="4" w:space="0" w:color="auto"/>
                    <w:right w:val="single" w:sz="4" w:space="0" w:color="auto"/>
                  </w:tcBorders>
                  <w:shd w:val="clear" w:color="auto" w:fill="FFFFFF" w:themeFill="background1"/>
                </w:tcPr>
                <w:p w14:paraId="4A0CCAC1" w14:textId="77777777" w:rsidR="0024491B" w:rsidRPr="005D4222" w:rsidRDefault="0024491B" w:rsidP="00A53E8C">
                  <w:pPr>
                    <w:pStyle w:val="TableText"/>
                    <w:spacing w:before="40" w:after="40"/>
                  </w:pPr>
                </w:p>
              </w:tc>
              <w:tc>
                <w:tcPr>
                  <w:tcW w:w="1622"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7CB23FB" w14:textId="77777777" w:rsidR="0024491B" w:rsidRPr="005D4222" w:rsidRDefault="0024491B" w:rsidP="00A53E8C">
                  <w:pPr>
                    <w:pStyle w:val="TableText"/>
                    <w:spacing w:before="40" w:after="40"/>
                  </w:pPr>
                  <w:r w:rsidRPr="005D4222">
                    <w:t>Numerator</w:t>
                  </w:r>
                </w:p>
              </w:tc>
              <w:tc>
                <w:tcPr>
                  <w:tcW w:w="31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30342A" w14:textId="77777777" w:rsidR="0024491B" w:rsidRPr="005D4222" w:rsidRDefault="0024491B" w:rsidP="00A53E8C">
                  <w:pPr>
                    <w:pStyle w:val="TableText"/>
                    <w:spacing w:before="40" w:after="40"/>
                  </w:pPr>
                  <w:r w:rsidRPr="005D4222">
                    <w:t>For each Metric and Stratification</w:t>
                  </w:r>
                </w:p>
              </w:tc>
            </w:tr>
            <w:tr w:rsidR="0024491B" w:rsidRPr="005D4222" w14:paraId="12AFF380" w14:textId="77777777" w:rsidTr="00C766F0">
              <w:tc>
                <w:tcPr>
                  <w:tcW w:w="1610"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3AB089F" w14:textId="77777777" w:rsidR="0024491B" w:rsidRPr="005D4222" w:rsidRDefault="0024491B" w:rsidP="00A53E8C">
                  <w:pPr>
                    <w:pStyle w:val="TableText"/>
                    <w:spacing w:before="40" w:after="40"/>
                  </w:pPr>
                  <w:r w:rsidRPr="005D4222">
                    <w:t>Zoster</w:t>
                  </w:r>
                </w:p>
              </w:tc>
              <w:tc>
                <w:tcPr>
                  <w:tcW w:w="989" w:type="dxa"/>
                  <w:tcBorders>
                    <w:top w:val="single" w:sz="4" w:space="0" w:color="auto"/>
                    <w:left w:val="single" w:sz="4" w:space="0" w:color="auto"/>
                    <w:bottom w:val="single" w:sz="4" w:space="0" w:color="auto"/>
                    <w:right w:val="single" w:sz="4" w:space="0" w:color="auto"/>
                  </w:tcBorders>
                  <w:shd w:val="clear" w:color="auto" w:fill="FFFFFF" w:themeFill="background1"/>
                </w:tcPr>
                <w:p w14:paraId="13768259" w14:textId="77777777" w:rsidR="0024491B" w:rsidRPr="005D4222" w:rsidRDefault="0024491B" w:rsidP="00A53E8C">
                  <w:pPr>
                    <w:pStyle w:val="TableText"/>
                    <w:spacing w:before="40" w:after="40"/>
                  </w:pPr>
                  <w:r w:rsidRPr="005D4222">
                    <w:t>50-64</w:t>
                  </w:r>
                </w:p>
              </w:tc>
              <w:tc>
                <w:tcPr>
                  <w:tcW w:w="162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47347DB" w14:textId="77777777" w:rsidR="0024491B" w:rsidRPr="005D4222" w:rsidRDefault="0024491B" w:rsidP="00A53E8C">
                  <w:pPr>
                    <w:pStyle w:val="TableText"/>
                    <w:spacing w:before="40" w:after="40"/>
                  </w:pPr>
                  <w:r w:rsidRPr="005D4222">
                    <w:rPr>
                      <w:kern w:val="20"/>
                    </w:rPr>
                    <w:t>Rate</w:t>
                  </w:r>
                </w:p>
              </w:tc>
              <w:tc>
                <w:tcPr>
                  <w:tcW w:w="31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59866E4" w14:textId="77777777" w:rsidR="0024491B" w:rsidRPr="005D4222" w:rsidRDefault="0024491B" w:rsidP="00A53E8C">
                  <w:pPr>
                    <w:pStyle w:val="TableText"/>
                    <w:spacing w:before="40" w:after="40"/>
                  </w:pPr>
                  <w:r w:rsidRPr="005D4222">
                    <w:rPr>
                      <w:kern w:val="20"/>
                    </w:rPr>
                    <w:t>(Percent)</w:t>
                  </w:r>
                </w:p>
              </w:tc>
            </w:tr>
            <w:tr w:rsidR="0024491B" w:rsidRPr="005D4222" w14:paraId="70929087" w14:textId="77777777" w:rsidTr="00752500">
              <w:tc>
                <w:tcPr>
                  <w:tcW w:w="1610" w:type="dxa"/>
                  <w:gridSpan w:val="2"/>
                  <w:tcBorders>
                    <w:top w:val="single" w:sz="4" w:space="0" w:color="auto"/>
                    <w:left w:val="nil"/>
                    <w:bottom w:val="nil"/>
                    <w:right w:val="single" w:sz="4" w:space="0" w:color="auto"/>
                  </w:tcBorders>
                  <w:shd w:val="clear" w:color="auto" w:fill="FFFFFF" w:themeFill="background1"/>
                  <w:noWrap/>
                  <w:vAlign w:val="center"/>
                  <w:hideMark/>
                </w:tcPr>
                <w:p w14:paraId="031D3199" w14:textId="77777777" w:rsidR="0024491B" w:rsidRPr="005D4222" w:rsidRDefault="0024491B" w:rsidP="00A53E8C">
                  <w:pPr>
                    <w:pStyle w:val="TableText"/>
                    <w:spacing w:before="40" w:after="40"/>
                  </w:pPr>
                </w:p>
              </w:tc>
              <w:tc>
                <w:tcPr>
                  <w:tcW w:w="9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204619F" w14:textId="77777777" w:rsidR="0024491B" w:rsidRPr="005D4222" w:rsidRDefault="0024491B" w:rsidP="00A53E8C">
                  <w:pPr>
                    <w:pStyle w:val="TableText"/>
                    <w:spacing w:before="40" w:after="40"/>
                  </w:pPr>
                  <w:r w:rsidRPr="005D4222">
                    <w:t>65+</w:t>
                  </w:r>
                </w:p>
              </w:tc>
              <w:tc>
                <w:tcPr>
                  <w:tcW w:w="1622" w:type="dxa"/>
                  <w:gridSpan w:val="2"/>
                  <w:tcBorders>
                    <w:top w:val="single" w:sz="4" w:space="0" w:color="auto"/>
                    <w:left w:val="single" w:sz="4" w:space="0" w:color="auto"/>
                  </w:tcBorders>
                  <w:noWrap/>
                  <w:vAlign w:val="center"/>
                </w:tcPr>
                <w:p w14:paraId="4D21DC97" w14:textId="77777777" w:rsidR="0024491B" w:rsidRPr="005D4222" w:rsidRDefault="0024491B" w:rsidP="00A53E8C">
                  <w:pPr>
                    <w:pStyle w:val="TableText"/>
                    <w:spacing w:before="40" w:after="40"/>
                  </w:pPr>
                </w:p>
              </w:tc>
              <w:tc>
                <w:tcPr>
                  <w:tcW w:w="3150" w:type="dxa"/>
                  <w:tcBorders>
                    <w:top w:val="single" w:sz="4" w:space="0" w:color="auto"/>
                  </w:tcBorders>
                  <w:vAlign w:val="center"/>
                </w:tcPr>
                <w:p w14:paraId="271876CE" w14:textId="77777777" w:rsidR="0024491B" w:rsidRPr="005D4222" w:rsidRDefault="0024491B" w:rsidP="00A53E8C">
                  <w:pPr>
                    <w:pStyle w:val="TableText"/>
                    <w:spacing w:before="40" w:after="40"/>
                  </w:pPr>
                </w:p>
              </w:tc>
            </w:tr>
            <w:tr w:rsidR="0024491B" w:rsidRPr="005D4222" w14:paraId="6192D094" w14:textId="77777777" w:rsidTr="00752500">
              <w:tc>
                <w:tcPr>
                  <w:tcW w:w="1610" w:type="dxa"/>
                  <w:gridSpan w:val="2"/>
                  <w:tcBorders>
                    <w:top w:val="nil"/>
                    <w:left w:val="nil"/>
                    <w:bottom w:val="nil"/>
                    <w:right w:val="single" w:sz="4" w:space="0" w:color="auto"/>
                  </w:tcBorders>
                  <w:shd w:val="clear" w:color="auto" w:fill="FFFFFF" w:themeFill="background1"/>
                  <w:noWrap/>
                  <w:vAlign w:val="center"/>
                </w:tcPr>
                <w:p w14:paraId="41BF8720" w14:textId="77777777" w:rsidR="0024491B" w:rsidRPr="005D4222" w:rsidRDefault="0024491B" w:rsidP="00A53E8C">
                  <w:pPr>
                    <w:pStyle w:val="TableText"/>
                    <w:spacing w:before="40" w:after="40"/>
                  </w:pPr>
                </w:p>
              </w:tc>
              <w:tc>
                <w:tcPr>
                  <w:tcW w:w="98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BAFA8AB" w14:textId="77777777" w:rsidR="0024491B" w:rsidRPr="005D4222" w:rsidRDefault="0024491B" w:rsidP="00A53E8C">
                  <w:pPr>
                    <w:pStyle w:val="TableText"/>
                    <w:spacing w:before="40" w:after="40"/>
                  </w:pPr>
                  <w:r w:rsidRPr="005D4222">
                    <w:t>Total</w:t>
                  </w:r>
                </w:p>
              </w:tc>
              <w:tc>
                <w:tcPr>
                  <w:tcW w:w="1622" w:type="dxa"/>
                  <w:gridSpan w:val="2"/>
                  <w:noWrap/>
                  <w:vAlign w:val="center"/>
                  <w:hideMark/>
                </w:tcPr>
                <w:p w14:paraId="4CE6A45A" w14:textId="77777777" w:rsidR="0024491B" w:rsidRPr="005D4222" w:rsidRDefault="0024491B" w:rsidP="00A53E8C">
                  <w:pPr>
                    <w:pStyle w:val="TableText"/>
                    <w:spacing w:before="40" w:after="40"/>
                  </w:pPr>
                </w:p>
              </w:tc>
              <w:tc>
                <w:tcPr>
                  <w:tcW w:w="3150" w:type="dxa"/>
                  <w:vAlign w:val="center"/>
                  <w:hideMark/>
                </w:tcPr>
                <w:p w14:paraId="473BF0D4" w14:textId="77777777" w:rsidR="0024491B" w:rsidRPr="005D4222" w:rsidRDefault="0024491B" w:rsidP="00A53E8C">
                  <w:pPr>
                    <w:pStyle w:val="TableText"/>
                    <w:spacing w:before="40" w:after="40"/>
                  </w:pPr>
                </w:p>
              </w:tc>
            </w:tr>
            <w:tr w:rsidR="0024491B" w:rsidRPr="005D4222" w14:paraId="37384CC0" w14:textId="77777777" w:rsidTr="00752500">
              <w:tc>
                <w:tcPr>
                  <w:tcW w:w="1610"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8589641" w14:textId="77777777" w:rsidR="0024491B" w:rsidRPr="005D4222" w:rsidRDefault="0024491B" w:rsidP="00A53E8C">
                  <w:pPr>
                    <w:pStyle w:val="TableText"/>
                    <w:spacing w:before="40" w:after="40"/>
                  </w:pPr>
                  <w:r w:rsidRPr="005D4222">
                    <w:t>Pneumococcal</w:t>
                  </w:r>
                </w:p>
              </w:tc>
              <w:tc>
                <w:tcPr>
                  <w:tcW w:w="989" w:type="dxa"/>
                  <w:tcBorders>
                    <w:top w:val="single" w:sz="4" w:space="0" w:color="auto"/>
                    <w:left w:val="single" w:sz="4" w:space="0" w:color="auto"/>
                    <w:bottom w:val="single" w:sz="4" w:space="0" w:color="auto"/>
                    <w:right w:val="single" w:sz="4" w:space="0" w:color="auto"/>
                  </w:tcBorders>
                  <w:shd w:val="clear" w:color="auto" w:fill="FFFFFF" w:themeFill="background1"/>
                </w:tcPr>
                <w:p w14:paraId="5989294F" w14:textId="77777777" w:rsidR="0024491B" w:rsidRPr="005D4222" w:rsidRDefault="0024491B" w:rsidP="00A53E8C">
                  <w:pPr>
                    <w:pStyle w:val="TableText"/>
                    <w:spacing w:before="40" w:after="40"/>
                  </w:pPr>
                  <w:r w:rsidRPr="005D4222">
                    <w:t>65+</w:t>
                  </w:r>
                </w:p>
              </w:tc>
              <w:tc>
                <w:tcPr>
                  <w:tcW w:w="1622" w:type="dxa"/>
                  <w:gridSpan w:val="2"/>
                  <w:noWrap/>
                  <w:vAlign w:val="center"/>
                  <w:hideMark/>
                </w:tcPr>
                <w:p w14:paraId="7E02928A" w14:textId="77777777" w:rsidR="0024491B" w:rsidRPr="005D4222" w:rsidRDefault="0024491B" w:rsidP="00A53E8C">
                  <w:pPr>
                    <w:pStyle w:val="TableText"/>
                    <w:spacing w:before="40" w:after="40"/>
                  </w:pPr>
                </w:p>
              </w:tc>
              <w:tc>
                <w:tcPr>
                  <w:tcW w:w="3150" w:type="dxa"/>
                  <w:vAlign w:val="center"/>
                  <w:hideMark/>
                </w:tcPr>
                <w:p w14:paraId="43BCA5FA" w14:textId="77777777" w:rsidR="0024491B" w:rsidRPr="005D4222" w:rsidRDefault="0024491B" w:rsidP="00A53E8C">
                  <w:pPr>
                    <w:pStyle w:val="TableText"/>
                    <w:spacing w:before="40" w:after="40"/>
                    <w:rPr>
                      <w:highlight w:val="yellow"/>
                    </w:rPr>
                  </w:pPr>
                </w:p>
              </w:tc>
            </w:tr>
            <w:tr w:rsidR="0024491B" w:rsidRPr="005D4222" w14:paraId="31A5889E" w14:textId="77777777" w:rsidTr="00752500">
              <w:tc>
                <w:tcPr>
                  <w:tcW w:w="1610"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5E52EEE" w14:textId="77777777" w:rsidR="0024491B" w:rsidRPr="005D4222" w:rsidRDefault="0024491B" w:rsidP="00A53E8C">
                  <w:pPr>
                    <w:pStyle w:val="TableText"/>
                    <w:spacing w:before="40" w:after="40"/>
                  </w:pPr>
                  <w:r w:rsidRPr="005D4222">
                    <w:t>COVID-19</w:t>
                  </w:r>
                </w:p>
              </w:tc>
              <w:tc>
                <w:tcPr>
                  <w:tcW w:w="989" w:type="dxa"/>
                  <w:tcBorders>
                    <w:top w:val="single" w:sz="4" w:space="0" w:color="auto"/>
                    <w:left w:val="single" w:sz="4" w:space="0" w:color="auto"/>
                    <w:bottom w:val="single" w:sz="4" w:space="0" w:color="auto"/>
                  </w:tcBorders>
                  <w:shd w:val="clear" w:color="auto" w:fill="FFFFFF" w:themeFill="background1"/>
                </w:tcPr>
                <w:p w14:paraId="44461762" w14:textId="77777777" w:rsidR="0024491B" w:rsidRPr="005D4222" w:rsidRDefault="0024491B" w:rsidP="00A53E8C">
                  <w:pPr>
                    <w:pStyle w:val="TableText"/>
                    <w:spacing w:before="40" w:after="40"/>
                  </w:pPr>
                </w:p>
              </w:tc>
              <w:tc>
                <w:tcPr>
                  <w:tcW w:w="1622" w:type="dxa"/>
                  <w:gridSpan w:val="2"/>
                  <w:tcBorders>
                    <w:left w:val="nil"/>
                  </w:tcBorders>
                  <w:noWrap/>
                  <w:vAlign w:val="center"/>
                </w:tcPr>
                <w:p w14:paraId="4FFBE9E9" w14:textId="77777777" w:rsidR="0024491B" w:rsidRPr="005D4222" w:rsidRDefault="0024491B" w:rsidP="00A53E8C">
                  <w:pPr>
                    <w:pStyle w:val="TableText"/>
                    <w:spacing w:before="40" w:after="40"/>
                  </w:pPr>
                </w:p>
              </w:tc>
              <w:tc>
                <w:tcPr>
                  <w:tcW w:w="3150" w:type="dxa"/>
                  <w:vAlign w:val="center"/>
                </w:tcPr>
                <w:p w14:paraId="0E496B49" w14:textId="77777777" w:rsidR="0024491B" w:rsidRPr="005D4222" w:rsidRDefault="0024491B" w:rsidP="00A53E8C">
                  <w:pPr>
                    <w:pStyle w:val="TableText"/>
                    <w:spacing w:before="40" w:after="40"/>
                    <w:rPr>
                      <w:highlight w:val="yellow"/>
                    </w:rPr>
                  </w:pPr>
                </w:p>
              </w:tc>
            </w:tr>
            <w:tr w:rsidR="0024491B" w:rsidRPr="005D4222" w14:paraId="5E111910" w14:textId="77777777" w:rsidTr="00752500">
              <w:tc>
                <w:tcPr>
                  <w:tcW w:w="1610"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676D89C" w14:textId="77777777" w:rsidR="0024491B" w:rsidRPr="005D4222" w:rsidRDefault="0024491B" w:rsidP="00A53E8C">
                  <w:pPr>
                    <w:pStyle w:val="TableText"/>
                    <w:spacing w:before="40" w:after="40"/>
                  </w:pPr>
                  <w:r w:rsidRPr="005D4222">
                    <w:t>HepatitisB</w:t>
                  </w:r>
                </w:p>
              </w:tc>
              <w:tc>
                <w:tcPr>
                  <w:tcW w:w="989" w:type="dxa"/>
                  <w:tcBorders>
                    <w:top w:val="single" w:sz="4" w:space="0" w:color="auto"/>
                    <w:left w:val="single" w:sz="4" w:space="0" w:color="auto"/>
                    <w:bottom w:val="single" w:sz="4" w:space="0" w:color="auto"/>
                    <w:right w:val="single" w:sz="4" w:space="0" w:color="auto"/>
                  </w:tcBorders>
                  <w:shd w:val="clear" w:color="auto" w:fill="FFFFFF" w:themeFill="background1"/>
                </w:tcPr>
                <w:p w14:paraId="0860AFE4" w14:textId="77777777" w:rsidR="0024491B" w:rsidRPr="005D4222" w:rsidRDefault="0024491B" w:rsidP="00A53E8C">
                  <w:pPr>
                    <w:pStyle w:val="TableText"/>
                    <w:spacing w:before="40" w:after="40"/>
                  </w:pPr>
                  <w:r w:rsidRPr="005D4222">
                    <w:rPr>
                      <w:rFonts w:cs="Arial"/>
                      <w:kern w:val="20"/>
                      <w:szCs w:val="21"/>
                    </w:rPr>
                    <w:t>19-30</w:t>
                  </w:r>
                </w:p>
              </w:tc>
              <w:tc>
                <w:tcPr>
                  <w:tcW w:w="1622" w:type="dxa"/>
                  <w:gridSpan w:val="2"/>
                  <w:tcBorders>
                    <w:left w:val="single" w:sz="4" w:space="0" w:color="auto"/>
                  </w:tcBorders>
                  <w:noWrap/>
                  <w:vAlign w:val="center"/>
                </w:tcPr>
                <w:p w14:paraId="004881CB" w14:textId="77777777" w:rsidR="0024491B" w:rsidRPr="005D4222" w:rsidRDefault="0024491B" w:rsidP="00A53E8C">
                  <w:pPr>
                    <w:pStyle w:val="TableText"/>
                    <w:spacing w:before="40" w:after="40"/>
                  </w:pPr>
                </w:p>
              </w:tc>
              <w:tc>
                <w:tcPr>
                  <w:tcW w:w="3150" w:type="dxa"/>
                  <w:vAlign w:val="center"/>
                </w:tcPr>
                <w:p w14:paraId="78A7F28E" w14:textId="77777777" w:rsidR="0024491B" w:rsidRPr="005D4222" w:rsidRDefault="0024491B" w:rsidP="00A53E8C">
                  <w:pPr>
                    <w:pStyle w:val="TableText"/>
                    <w:spacing w:before="40" w:after="40"/>
                  </w:pPr>
                </w:p>
              </w:tc>
            </w:tr>
            <w:tr w:rsidR="0024491B" w:rsidRPr="005D4222" w14:paraId="60938440" w14:textId="77777777" w:rsidTr="00752500">
              <w:tc>
                <w:tcPr>
                  <w:tcW w:w="1610" w:type="dxa"/>
                  <w:gridSpan w:val="2"/>
                  <w:tcBorders>
                    <w:top w:val="single" w:sz="4" w:space="0" w:color="auto"/>
                    <w:left w:val="nil"/>
                    <w:right w:val="single" w:sz="4" w:space="0" w:color="auto"/>
                  </w:tcBorders>
                  <w:shd w:val="clear" w:color="auto" w:fill="FFFFFF" w:themeFill="background1"/>
                  <w:noWrap/>
                  <w:vAlign w:val="center"/>
                </w:tcPr>
                <w:p w14:paraId="50FB5D31" w14:textId="77777777" w:rsidR="0024491B" w:rsidRPr="005D4222" w:rsidRDefault="0024491B" w:rsidP="00A53E8C">
                  <w:pPr>
                    <w:pStyle w:val="TableText"/>
                    <w:spacing w:before="40" w:after="40"/>
                  </w:pPr>
                </w:p>
              </w:tc>
              <w:tc>
                <w:tcPr>
                  <w:tcW w:w="989" w:type="dxa"/>
                  <w:tcBorders>
                    <w:top w:val="single" w:sz="4" w:space="0" w:color="auto"/>
                    <w:left w:val="single" w:sz="4" w:space="0" w:color="auto"/>
                    <w:bottom w:val="single" w:sz="4" w:space="0" w:color="auto"/>
                    <w:right w:val="single" w:sz="4" w:space="0" w:color="auto"/>
                  </w:tcBorders>
                  <w:shd w:val="clear" w:color="auto" w:fill="FFFFFF" w:themeFill="background1"/>
                </w:tcPr>
                <w:p w14:paraId="56330D98" w14:textId="77777777" w:rsidR="0024491B" w:rsidRPr="005D4222" w:rsidRDefault="0024491B" w:rsidP="00A53E8C">
                  <w:pPr>
                    <w:pStyle w:val="TableText"/>
                    <w:spacing w:before="40" w:after="40"/>
                  </w:pPr>
                  <w:r w:rsidRPr="005D4222">
                    <w:rPr>
                      <w:rFonts w:cs="Arial"/>
                      <w:szCs w:val="21"/>
                    </w:rPr>
                    <w:t>31-59</w:t>
                  </w:r>
                </w:p>
              </w:tc>
              <w:tc>
                <w:tcPr>
                  <w:tcW w:w="1622" w:type="dxa"/>
                  <w:gridSpan w:val="2"/>
                  <w:tcBorders>
                    <w:left w:val="single" w:sz="4" w:space="0" w:color="auto"/>
                  </w:tcBorders>
                  <w:noWrap/>
                  <w:vAlign w:val="center"/>
                </w:tcPr>
                <w:p w14:paraId="7F9D7687" w14:textId="77777777" w:rsidR="0024491B" w:rsidRPr="005D4222" w:rsidRDefault="0024491B" w:rsidP="00A53E8C">
                  <w:pPr>
                    <w:pStyle w:val="TableText"/>
                    <w:spacing w:before="40" w:after="40"/>
                  </w:pPr>
                </w:p>
              </w:tc>
              <w:tc>
                <w:tcPr>
                  <w:tcW w:w="3150" w:type="dxa"/>
                  <w:vAlign w:val="center"/>
                </w:tcPr>
                <w:p w14:paraId="56D911FA" w14:textId="77777777" w:rsidR="0024491B" w:rsidRPr="005D4222" w:rsidRDefault="0024491B" w:rsidP="00A53E8C">
                  <w:pPr>
                    <w:pStyle w:val="TableText"/>
                    <w:spacing w:before="40" w:after="40"/>
                  </w:pPr>
                </w:p>
              </w:tc>
            </w:tr>
            <w:tr w:rsidR="0024491B" w:rsidRPr="005D4222" w14:paraId="4B34663A" w14:textId="77777777" w:rsidTr="00752500">
              <w:tc>
                <w:tcPr>
                  <w:tcW w:w="1610" w:type="dxa"/>
                  <w:gridSpan w:val="2"/>
                  <w:tcBorders>
                    <w:left w:val="nil"/>
                    <w:right w:val="single" w:sz="4" w:space="0" w:color="auto"/>
                  </w:tcBorders>
                  <w:shd w:val="clear" w:color="auto" w:fill="FFFFFF" w:themeFill="background1"/>
                  <w:noWrap/>
                  <w:vAlign w:val="center"/>
                </w:tcPr>
                <w:p w14:paraId="164582B0" w14:textId="77777777" w:rsidR="0024491B" w:rsidRPr="005D4222" w:rsidRDefault="0024491B" w:rsidP="00A53E8C">
                  <w:pPr>
                    <w:pStyle w:val="TableText"/>
                    <w:spacing w:before="40" w:after="40"/>
                  </w:pPr>
                </w:p>
              </w:tc>
              <w:tc>
                <w:tcPr>
                  <w:tcW w:w="98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3B361F3" w14:textId="77777777" w:rsidR="0024491B" w:rsidRPr="005D4222" w:rsidRDefault="0024491B" w:rsidP="00A53E8C">
                  <w:pPr>
                    <w:pStyle w:val="TableText"/>
                    <w:spacing w:before="40" w:after="40"/>
                    <w:rPr>
                      <w:rFonts w:cs="Arial"/>
                      <w:kern w:val="20"/>
                      <w:szCs w:val="21"/>
                    </w:rPr>
                  </w:pPr>
                  <w:r w:rsidRPr="005D4222">
                    <w:rPr>
                      <w:rFonts w:cs="Arial"/>
                      <w:szCs w:val="21"/>
                    </w:rPr>
                    <w:t>T</w:t>
                  </w:r>
                  <w:r w:rsidRPr="005D4222">
                    <w:rPr>
                      <w:rFonts w:eastAsiaTheme="minorEastAsia" w:cs="Arial"/>
                      <w:szCs w:val="21"/>
                    </w:rPr>
                    <w:t>otal</w:t>
                  </w:r>
                </w:p>
              </w:tc>
              <w:tc>
                <w:tcPr>
                  <w:tcW w:w="1622" w:type="dxa"/>
                  <w:gridSpan w:val="2"/>
                  <w:tcBorders>
                    <w:left w:val="single" w:sz="4" w:space="0" w:color="auto"/>
                  </w:tcBorders>
                  <w:noWrap/>
                  <w:vAlign w:val="center"/>
                </w:tcPr>
                <w:p w14:paraId="13C149BF" w14:textId="77777777" w:rsidR="0024491B" w:rsidRPr="005D4222" w:rsidRDefault="0024491B" w:rsidP="00A53E8C">
                  <w:pPr>
                    <w:pStyle w:val="TableText"/>
                    <w:spacing w:before="40" w:after="40"/>
                    <w:rPr>
                      <w:kern w:val="20"/>
                    </w:rPr>
                  </w:pPr>
                </w:p>
              </w:tc>
              <w:tc>
                <w:tcPr>
                  <w:tcW w:w="3150" w:type="dxa"/>
                  <w:vAlign w:val="center"/>
                </w:tcPr>
                <w:p w14:paraId="7936ED24" w14:textId="77777777" w:rsidR="0024491B" w:rsidRPr="005D4222" w:rsidRDefault="0024491B" w:rsidP="00A53E8C">
                  <w:pPr>
                    <w:pStyle w:val="TableText"/>
                    <w:spacing w:before="40" w:after="40"/>
                    <w:rPr>
                      <w:kern w:val="20"/>
                    </w:rPr>
                  </w:pPr>
                </w:p>
              </w:tc>
            </w:tr>
          </w:tbl>
          <w:p w14:paraId="3442AB7E" w14:textId="3A43F3E8" w:rsidR="0024491B" w:rsidRPr="005D4222" w:rsidRDefault="0024491B" w:rsidP="00A53E8C">
            <w:pPr>
              <w:pStyle w:val="Heading3"/>
              <w:rPr>
                <w:rFonts w:eastAsia="Arial"/>
                <w:b w:val="0"/>
                <w:i w:val="0"/>
                <w:kern w:val="20"/>
                <w:szCs w:val="21"/>
              </w:rPr>
            </w:pPr>
            <w:r w:rsidRPr="005D4222">
              <w:rPr>
                <w:rFonts w:eastAsia="Arial"/>
              </w:rPr>
              <w:t xml:space="preserve">Table </w:t>
            </w:r>
            <w:r w:rsidRPr="005D4222">
              <w:rPr>
                <w:rFonts w:eastAsia="Arial"/>
                <w:kern w:val="20"/>
                <w:szCs w:val="21"/>
              </w:rPr>
              <w:t xml:space="preserve">AIS-E-B-1/2/3: Data Elements for Adult Immunization Status: </w:t>
            </w:r>
            <w:r w:rsidR="00B51CDC" w:rsidRPr="005D4222">
              <w:rPr>
                <w:rFonts w:eastAsia="Arial"/>
                <w:kern w:val="20"/>
                <w:szCs w:val="21"/>
              </w:rPr>
              <w:t>Stratifications</w:t>
            </w:r>
            <w:r w:rsidRPr="005D4222">
              <w:rPr>
                <w:rFonts w:eastAsia="Arial"/>
                <w:kern w:val="20"/>
                <w:szCs w:val="21"/>
              </w:rPr>
              <w:t xml:space="preserve"> by Race</w:t>
            </w:r>
          </w:p>
          <w:tbl>
            <w:tblPr>
              <w:tblW w:w="5000" w:type="pct"/>
              <w:tblLayout w:type="fixed"/>
              <w:tblCellMar>
                <w:left w:w="72" w:type="dxa"/>
                <w:right w:w="72" w:type="dxa"/>
              </w:tblCellMar>
              <w:tblLook w:val="04A0" w:firstRow="1" w:lastRow="0" w:firstColumn="1" w:lastColumn="0" w:noHBand="0" w:noVBand="1"/>
            </w:tblPr>
            <w:tblGrid>
              <w:gridCol w:w="1346"/>
              <w:gridCol w:w="2880"/>
              <w:gridCol w:w="1530"/>
              <w:gridCol w:w="1614"/>
            </w:tblGrid>
            <w:tr w:rsidR="0024491B" w:rsidRPr="005D4222" w14:paraId="5003E90E" w14:textId="77777777" w:rsidTr="003A7E2A">
              <w:trPr>
                <w:trHeight w:val="236"/>
              </w:trPr>
              <w:tc>
                <w:tcPr>
                  <w:tcW w:w="1346" w:type="dxa"/>
                  <w:tcBorders>
                    <w:top w:val="single" w:sz="8" w:space="0" w:color="auto"/>
                    <w:left w:val="single" w:sz="4" w:space="0" w:color="auto"/>
                    <w:bottom w:val="single" w:sz="4" w:space="0" w:color="auto"/>
                    <w:right w:val="single" w:sz="6" w:space="0" w:color="FFFFFF" w:themeColor="background1"/>
                  </w:tcBorders>
                  <w:shd w:val="clear" w:color="auto" w:fill="000000" w:themeFill="text1"/>
                  <w:vAlign w:val="bottom"/>
                </w:tcPr>
                <w:p w14:paraId="7CB9D43D" w14:textId="77777777" w:rsidR="0024491B" w:rsidRPr="005D4222" w:rsidRDefault="0024491B" w:rsidP="00A53E8C">
                  <w:pPr>
                    <w:pStyle w:val="TableHead"/>
                    <w:spacing w:before="40" w:after="40"/>
                    <w:rPr>
                      <w:color w:val="auto"/>
                      <w:kern w:val="20"/>
                    </w:rPr>
                  </w:pPr>
                  <w:r w:rsidRPr="005D4222">
                    <w:rPr>
                      <w:color w:val="auto"/>
                      <w:kern w:val="20"/>
                    </w:rPr>
                    <w:t>Metric</w:t>
                  </w:r>
                </w:p>
              </w:tc>
              <w:tc>
                <w:tcPr>
                  <w:tcW w:w="2880" w:type="dxa"/>
                  <w:tcBorders>
                    <w:top w:val="single" w:sz="8" w:space="0" w:color="auto"/>
                    <w:left w:val="single" w:sz="4" w:space="0" w:color="auto"/>
                    <w:bottom w:val="single" w:sz="4" w:space="0" w:color="auto"/>
                    <w:right w:val="single" w:sz="6" w:space="0" w:color="FFFFFF" w:themeColor="background1"/>
                  </w:tcBorders>
                  <w:shd w:val="clear" w:color="auto" w:fill="000000" w:themeFill="text1"/>
                  <w:vAlign w:val="bottom"/>
                  <w:hideMark/>
                </w:tcPr>
                <w:p w14:paraId="001035B4" w14:textId="77777777" w:rsidR="0024491B" w:rsidRPr="005D4222" w:rsidRDefault="0024491B" w:rsidP="00A53E8C">
                  <w:pPr>
                    <w:pStyle w:val="TableHead"/>
                    <w:spacing w:before="40" w:after="40"/>
                    <w:rPr>
                      <w:color w:val="auto"/>
                      <w:kern w:val="20"/>
                    </w:rPr>
                  </w:pPr>
                  <w:r w:rsidRPr="005D4222">
                    <w:rPr>
                      <w:color w:val="auto"/>
                      <w:kern w:val="20"/>
                    </w:rPr>
                    <w:t>Race</w:t>
                  </w:r>
                </w:p>
              </w:tc>
              <w:tc>
                <w:tcPr>
                  <w:tcW w:w="1530" w:type="dxa"/>
                  <w:tcBorders>
                    <w:top w:val="single" w:sz="8" w:space="0" w:color="auto"/>
                    <w:left w:val="single" w:sz="6" w:space="0" w:color="FFFFFF" w:themeColor="background1"/>
                    <w:bottom w:val="single" w:sz="4" w:space="0" w:color="auto"/>
                    <w:right w:val="single" w:sz="4" w:space="0" w:color="FFFFFF" w:themeColor="background1"/>
                  </w:tcBorders>
                  <w:shd w:val="clear" w:color="auto" w:fill="000000" w:themeFill="text1"/>
                  <w:noWrap/>
                  <w:vAlign w:val="bottom"/>
                  <w:hideMark/>
                </w:tcPr>
                <w:p w14:paraId="08E8F284" w14:textId="77777777" w:rsidR="0024491B" w:rsidRPr="005D4222" w:rsidRDefault="0024491B" w:rsidP="00A53E8C">
                  <w:pPr>
                    <w:pStyle w:val="TableHead"/>
                    <w:spacing w:before="40" w:after="40"/>
                    <w:rPr>
                      <w:color w:val="auto"/>
                      <w:kern w:val="20"/>
                    </w:rPr>
                  </w:pPr>
                  <w:r w:rsidRPr="005D4222">
                    <w:rPr>
                      <w:color w:val="auto"/>
                      <w:kern w:val="20"/>
                    </w:rPr>
                    <w:t>Data Element</w:t>
                  </w:r>
                </w:p>
              </w:tc>
              <w:tc>
                <w:tcPr>
                  <w:tcW w:w="1614" w:type="dxa"/>
                  <w:tcBorders>
                    <w:top w:val="single" w:sz="8" w:space="0" w:color="auto"/>
                    <w:left w:val="single" w:sz="4" w:space="0" w:color="FFFFFF" w:themeColor="background1"/>
                    <w:bottom w:val="single" w:sz="4" w:space="0" w:color="auto"/>
                    <w:right w:val="single" w:sz="8" w:space="0" w:color="auto"/>
                  </w:tcBorders>
                  <w:shd w:val="clear" w:color="auto" w:fill="000000" w:themeFill="text1"/>
                  <w:vAlign w:val="bottom"/>
                  <w:hideMark/>
                </w:tcPr>
                <w:p w14:paraId="6BAC674D" w14:textId="77777777" w:rsidR="0024491B" w:rsidRPr="005D4222" w:rsidRDefault="0024491B" w:rsidP="00A53E8C">
                  <w:pPr>
                    <w:pStyle w:val="TableHead"/>
                    <w:spacing w:before="40" w:after="40"/>
                    <w:rPr>
                      <w:color w:val="auto"/>
                      <w:kern w:val="20"/>
                    </w:rPr>
                  </w:pPr>
                  <w:r w:rsidRPr="005D4222">
                    <w:rPr>
                      <w:color w:val="auto"/>
                      <w:kern w:val="20"/>
                    </w:rPr>
                    <w:t>Reporting Instructions</w:t>
                  </w:r>
                </w:p>
              </w:tc>
            </w:tr>
            <w:tr w:rsidR="0024491B" w:rsidRPr="005D4222" w14:paraId="37A5AE98" w14:textId="77777777" w:rsidTr="003A7E2A">
              <w:trPr>
                <w:trHeight w:val="236"/>
              </w:trPr>
              <w:tc>
                <w:tcPr>
                  <w:tcW w:w="1346" w:type="dxa"/>
                  <w:tcBorders>
                    <w:top w:val="single" w:sz="4" w:space="0" w:color="auto"/>
                    <w:left w:val="single" w:sz="4" w:space="0" w:color="auto"/>
                    <w:bottom w:val="single" w:sz="4" w:space="0" w:color="auto"/>
                    <w:right w:val="single" w:sz="4" w:space="0" w:color="auto"/>
                  </w:tcBorders>
                  <w:shd w:val="clear" w:color="auto" w:fill="FFFFFF" w:themeFill="background1"/>
                </w:tcPr>
                <w:p w14:paraId="41109E12" w14:textId="77777777" w:rsidR="0024491B" w:rsidRPr="005D4222" w:rsidRDefault="0024491B" w:rsidP="00A53E8C">
                  <w:pPr>
                    <w:pStyle w:val="TableText"/>
                    <w:spacing w:before="40" w:after="40"/>
                    <w:rPr>
                      <w:kern w:val="20"/>
                    </w:rPr>
                  </w:pPr>
                  <w:r w:rsidRPr="005D4222">
                    <w:rPr>
                      <w:kern w:val="20"/>
                    </w:rPr>
                    <w:t>Influenza</w:t>
                  </w:r>
                </w:p>
              </w:tc>
              <w:tc>
                <w:tcPr>
                  <w:tcW w:w="28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58CE62A" w14:textId="77777777" w:rsidR="0024491B" w:rsidRPr="005D4222" w:rsidRDefault="0024491B" w:rsidP="00A53E8C">
                  <w:pPr>
                    <w:pStyle w:val="TableText"/>
                    <w:spacing w:before="40" w:after="40"/>
                    <w:rPr>
                      <w:kern w:val="20"/>
                    </w:rPr>
                  </w:pPr>
                  <w:r w:rsidRPr="005D4222">
                    <w:rPr>
                      <w:kern w:val="20"/>
                    </w:rPr>
                    <w:t xml:space="preserve">AmericanIndianOrAlaskaNative </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7966B9FD" w14:textId="77777777" w:rsidR="0024491B" w:rsidRPr="005D4222" w:rsidRDefault="0024491B" w:rsidP="00A53E8C">
                  <w:pPr>
                    <w:pStyle w:val="TableText"/>
                    <w:spacing w:before="40" w:after="40"/>
                    <w:rPr>
                      <w:kern w:val="20"/>
                    </w:rPr>
                  </w:pPr>
                  <w:r w:rsidRPr="005D4222">
                    <w:rPr>
                      <w:kern w:val="20"/>
                    </w:rPr>
                    <w:t>InitialPopulation</w:t>
                  </w:r>
                </w:p>
              </w:tc>
              <w:tc>
                <w:tcPr>
                  <w:tcW w:w="161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4FA0BDA" w14:textId="77777777" w:rsidR="0024491B" w:rsidRPr="005D4222" w:rsidRDefault="0024491B" w:rsidP="00A53E8C">
                  <w:pPr>
                    <w:pStyle w:val="TableText"/>
                    <w:spacing w:before="40" w:after="40"/>
                    <w:rPr>
                      <w:kern w:val="20"/>
                    </w:rPr>
                  </w:pPr>
                  <w:r w:rsidRPr="005D4222">
                    <w:rPr>
                      <w:kern w:val="20"/>
                    </w:rPr>
                    <w:t>For each Metric and Stratification</w:t>
                  </w:r>
                </w:p>
              </w:tc>
            </w:tr>
            <w:tr w:rsidR="0024491B" w:rsidRPr="005D4222" w14:paraId="1F311791" w14:textId="77777777" w:rsidTr="003A7E2A">
              <w:trPr>
                <w:trHeight w:val="236"/>
              </w:trPr>
              <w:tc>
                <w:tcPr>
                  <w:tcW w:w="1346" w:type="dxa"/>
                  <w:tcBorders>
                    <w:top w:val="single" w:sz="4" w:space="0" w:color="auto"/>
                    <w:left w:val="single" w:sz="4" w:space="0" w:color="auto"/>
                    <w:bottom w:val="single" w:sz="4" w:space="0" w:color="auto"/>
                    <w:right w:val="single" w:sz="4" w:space="0" w:color="auto"/>
                  </w:tcBorders>
                  <w:shd w:val="clear" w:color="auto" w:fill="FFFFFF" w:themeFill="background1"/>
                </w:tcPr>
                <w:p w14:paraId="6A27D58F" w14:textId="77777777" w:rsidR="0024491B" w:rsidRPr="005D4222" w:rsidRDefault="0024491B" w:rsidP="00A53E8C">
                  <w:pPr>
                    <w:pStyle w:val="TableText"/>
                    <w:spacing w:before="40" w:after="40"/>
                    <w:rPr>
                      <w:kern w:val="20"/>
                    </w:rPr>
                  </w:pPr>
                  <w:r w:rsidRPr="005D4222">
                    <w:rPr>
                      <w:kern w:val="20"/>
                    </w:rPr>
                    <w:t>TdTdap</w:t>
                  </w:r>
                </w:p>
              </w:tc>
              <w:tc>
                <w:tcPr>
                  <w:tcW w:w="28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538AEB6" w14:textId="77777777" w:rsidR="0024491B" w:rsidRPr="005D4222" w:rsidRDefault="0024491B" w:rsidP="00A53E8C">
                  <w:pPr>
                    <w:pStyle w:val="TableText"/>
                    <w:spacing w:before="40" w:after="40"/>
                    <w:rPr>
                      <w:kern w:val="20"/>
                    </w:rPr>
                  </w:pPr>
                  <w:r w:rsidRPr="005D4222">
                    <w:rPr>
                      <w:kern w:val="20"/>
                    </w:rPr>
                    <w:t>Asian</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3A9334D7" w14:textId="77777777" w:rsidR="0024491B" w:rsidRPr="005D4222" w:rsidRDefault="0024491B" w:rsidP="00A53E8C">
                  <w:pPr>
                    <w:pStyle w:val="TableText"/>
                    <w:spacing w:before="40" w:after="40"/>
                    <w:rPr>
                      <w:kern w:val="20"/>
                    </w:rPr>
                  </w:pPr>
                  <w:r w:rsidRPr="005D4222">
                    <w:rPr>
                      <w:kern w:val="20"/>
                    </w:rPr>
                    <w:t>Exclusions</w:t>
                  </w:r>
                </w:p>
              </w:tc>
              <w:tc>
                <w:tcPr>
                  <w:tcW w:w="161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C5EE2D7" w14:textId="77777777" w:rsidR="0024491B" w:rsidRPr="005D4222" w:rsidRDefault="0024491B" w:rsidP="00A53E8C">
                  <w:pPr>
                    <w:pStyle w:val="TableText"/>
                    <w:spacing w:before="40" w:after="40"/>
                    <w:rPr>
                      <w:kern w:val="20"/>
                    </w:rPr>
                  </w:pPr>
                  <w:r w:rsidRPr="005D4222">
                    <w:rPr>
                      <w:kern w:val="20"/>
                    </w:rPr>
                    <w:t>For each Metric and Stratification</w:t>
                  </w:r>
                </w:p>
              </w:tc>
            </w:tr>
            <w:tr w:rsidR="0024491B" w:rsidRPr="005D4222" w14:paraId="3DFC4591" w14:textId="77777777" w:rsidTr="003A7E2A">
              <w:trPr>
                <w:trHeight w:val="236"/>
              </w:trPr>
              <w:tc>
                <w:tcPr>
                  <w:tcW w:w="1346" w:type="dxa"/>
                  <w:tcBorders>
                    <w:top w:val="single" w:sz="4" w:space="0" w:color="auto"/>
                    <w:left w:val="single" w:sz="4" w:space="0" w:color="auto"/>
                    <w:bottom w:val="single" w:sz="4" w:space="0" w:color="auto"/>
                    <w:right w:val="single" w:sz="4" w:space="0" w:color="auto"/>
                  </w:tcBorders>
                  <w:shd w:val="clear" w:color="auto" w:fill="FFFFFF" w:themeFill="background1"/>
                </w:tcPr>
                <w:p w14:paraId="3961D7C3" w14:textId="77777777" w:rsidR="0024491B" w:rsidRPr="005D4222" w:rsidRDefault="0024491B" w:rsidP="00A53E8C">
                  <w:pPr>
                    <w:pStyle w:val="TableText"/>
                    <w:spacing w:before="40" w:after="40"/>
                    <w:rPr>
                      <w:kern w:val="20"/>
                    </w:rPr>
                  </w:pPr>
                  <w:r w:rsidRPr="005D4222">
                    <w:rPr>
                      <w:kern w:val="20"/>
                    </w:rPr>
                    <w:t>Zoster</w:t>
                  </w:r>
                </w:p>
              </w:tc>
              <w:tc>
                <w:tcPr>
                  <w:tcW w:w="28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99F359E" w14:textId="77777777" w:rsidR="0024491B" w:rsidRPr="005D4222" w:rsidRDefault="0024491B" w:rsidP="00A53E8C">
                  <w:pPr>
                    <w:pStyle w:val="TableText"/>
                    <w:spacing w:before="40" w:after="40"/>
                    <w:rPr>
                      <w:kern w:val="20"/>
                    </w:rPr>
                  </w:pPr>
                  <w:r w:rsidRPr="005D4222">
                    <w:rPr>
                      <w:kern w:val="20"/>
                    </w:rPr>
                    <w:t xml:space="preserve">BlackOrAfricanAmerican </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6BD8F02C" w14:textId="77777777" w:rsidR="0024491B" w:rsidRPr="005D4222" w:rsidRDefault="0024491B" w:rsidP="00A53E8C">
                  <w:pPr>
                    <w:pStyle w:val="TableText"/>
                    <w:spacing w:before="40" w:after="40"/>
                    <w:rPr>
                      <w:kern w:val="20"/>
                    </w:rPr>
                  </w:pPr>
                  <w:r w:rsidRPr="005D4222">
                    <w:rPr>
                      <w:kern w:val="20"/>
                    </w:rPr>
                    <w:t>Denominator</w:t>
                  </w:r>
                </w:p>
              </w:tc>
              <w:tc>
                <w:tcPr>
                  <w:tcW w:w="161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C82B8E6" w14:textId="77777777" w:rsidR="0024491B" w:rsidRPr="005D4222" w:rsidRDefault="0024491B" w:rsidP="00A53E8C">
                  <w:pPr>
                    <w:pStyle w:val="TableText"/>
                    <w:spacing w:before="40" w:after="40"/>
                    <w:rPr>
                      <w:kern w:val="20"/>
                    </w:rPr>
                  </w:pPr>
                  <w:r w:rsidRPr="005D4222">
                    <w:rPr>
                      <w:kern w:val="20"/>
                    </w:rPr>
                    <w:t>For each Metric and Stratification</w:t>
                  </w:r>
                </w:p>
              </w:tc>
            </w:tr>
            <w:tr w:rsidR="0024491B" w:rsidRPr="005D4222" w14:paraId="12B06F93" w14:textId="77777777" w:rsidTr="003A7E2A">
              <w:trPr>
                <w:trHeight w:val="236"/>
              </w:trPr>
              <w:tc>
                <w:tcPr>
                  <w:tcW w:w="1346" w:type="dxa"/>
                  <w:tcBorders>
                    <w:top w:val="single" w:sz="4" w:space="0" w:color="auto"/>
                    <w:left w:val="single" w:sz="4" w:space="0" w:color="auto"/>
                    <w:bottom w:val="single" w:sz="4" w:space="0" w:color="auto"/>
                    <w:right w:val="single" w:sz="4" w:space="0" w:color="auto"/>
                  </w:tcBorders>
                  <w:shd w:val="clear" w:color="auto" w:fill="FFFFFF" w:themeFill="background1"/>
                </w:tcPr>
                <w:p w14:paraId="1205A8D1" w14:textId="77777777" w:rsidR="0024491B" w:rsidRPr="005D4222" w:rsidRDefault="0024491B" w:rsidP="00A53E8C">
                  <w:pPr>
                    <w:pStyle w:val="TableText"/>
                    <w:spacing w:before="40" w:after="40"/>
                    <w:rPr>
                      <w:kern w:val="20"/>
                    </w:rPr>
                  </w:pPr>
                  <w:r w:rsidRPr="005D4222">
                    <w:rPr>
                      <w:kern w:val="20"/>
                    </w:rPr>
                    <w:t>Pneumococcal</w:t>
                  </w:r>
                </w:p>
              </w:tc>
              <w:tc>
                <w:tcPr>
                  <w:tcW w:w="2880" w:type="dxa"/>
                  <w:tcBorders>
                    <w:top w:val="single" w:sz="4" w:space="0" w:color="auto"/>
                    <w:left w:val="single" w:sz="4" w:space="0" w:color="auto"/>
                    <w:bottom w:val="single" w:sz="4" w:space="0" w:color="auto"/>
                    <w:right w:val="single" w:sz="4" w:space="0" w:color="auto"/>
                  </w:tcBorders>
                  <w:shd w:val="clear" w:color="auto" w:fill="FFFFFF" w:themeFill="background1"/>
                </w:tcPr>
                <w:p w14:paraId="7E2A04EE" w14:textId="77777777" w:rsidR="0024491B" w:rsidRPr="005D4222" w:rsidRDefault="0024491B" w:rsidP="00A53E8C">
                  <w:pPr>
                    <w:pStyle w:val="TableText"/>
                    <w:spacing w:before="40" w:after="40"/>
                    <w:rPr>
                      <w:kern w:val="20"/>
                    </w:rPr>
                  </w:pPr>
                  <w:r w:rsidRPr="005D4222">
                    <w:rPr>
                      <w:kern w:val="20"/>
                    </w:rPr>
                    <w:t>MiddleEasternOrNorthAfrican</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2D0C28B5" w14:textId="77777777" w:rsidR="0024491B" w:rsidRPr="005D4222" w:rsidRDefault="0024491B" w:rsidP="00A53E8C">
                  <w:pPr>
                    <w:pStyle w:val="TableText"/>
                    <w:spacing w:before="40" w:after="40"/>
                    <w:rPr>
                      <w:kern w:val="20"/>
                    </w:rPr>
                  </w:pPr>
                  <w:r w:rsidRPr="005D4222">
                    <w:rPr>
                      <w:kern w:val="20"/>
                    </w:rPr>
                    <w:t>Numerator</w:t>
                  </w:r>
                </w:p>
              </w:tc>
              <w:tc>
                <w:tcPr>
                  <w:tcW w:w="161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682602D" w14:textId="77777777" w:rsidR="0024491B" w:rsidRPr="005D4222" w:rsidRDefault="0024491B" w:rsidP="00A53E8C">
                  <w:pPr>
                    <w:pStyle w:val="TableText"/>
                    <w:spacing w:before="40" w:after="40"/>
                    <w:rPr>
                      <w:kern w:val="20"/>
                    </w:rPr>
                  </w:pPr>
                  <w:r w:rsidRPr="005D4222">
                    <w:rPr>
                      <w:kern w:val="20"/>
                    </w:rPr>
                    <w:t>For each Metric and Stratification</w:t>
                  </w:r>
                </w:p>
              </w:tc>
            </w:tr>
            <w:tr w:rsidR="0024491B" w:rsidRPr="005D4222" w14:paraId="1DAE6B34" w14:textId="77777777" w:rsidTr="00A53E8C">
              <w:trPr>
                <w:trHeight w:val="236"/>
              </w:trPr>
              <w:tc>
                <w:tcPr>
                  <w:tcW w:w="1346" w:type="dxa"/>
                  <w:tcBorders>
                    <w:top w:val="single" w:sz="4" w:space="0" w:color="auto"/>
                    <w:left w:val="single" w:sz="4" w:space="0" w:color="auto"/>
                    <w:bottom w:val="single" w:sz="4" w:space="0" w:color="auto"/>
                    <w:right w:val="single" w:sz="4" w:space="0" w:color="auto"/>
                  </w:tcBorders>
                  <w:shd w:val="clear" w:color="auto" w:fill="FFFFFF" w:themeFill="background1"/>
                </w:tcPr>
                <w:p w14:paraId="15B509FC" w14:textId="77777777" w:rsidR="0024491B" w:rsidRPr="005D4222" w:rsidRDefault="0024491B" w:rsidP="00A53E8C">
                  <w:pPr>
                    <w:pStyle w:val="TableText"/>
                    <w:spacing w:before="40" w:after="40"/>
                    <w:rPr>
                      <w:kern w:val="20"/>
                    </w:rPr>
                  </w:pPr>
                  <w:r w:rsidRPr="005D4222">
                    <w:rPr>
                      <w:kern w:val="20"/>
                    </w:rPr>
                    <w:t>HepatitisB</w:t>
                  </w:r>
                </w:p>
              </w:tc>
              <w:tc>
                <w:tcPr>
                  <w:tcW w:w="28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D4CC922" w14:textId="77777777" w:rsidR="0024491B" w:rsidRPr="005D4222" w:rsidRDefault="0024491B" w:rsidP="00A53E8C">
                  <w:pPr>
                    <w:pStyle w:val="TableText"/>
                    <w:spacing w:before="40" w:after="40"/>
                    <w:rPr>
                      <w:kern w:val="20"/>
                    </w:rPr>
                  </w:pPr>
                  <w:r w:rsidRPr="005D4222">
                    <w:rPr>
                      <w:kern w:val="20"/>
                    </w:rPr>
                    <w:t xml:space="preserve">NativeHawaiianOrPacificIslander </w:t>
                  </w: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5CD0D38" w14:textId="77777777" w:rsidR="0024491B" w:rsidRPr="005D4222" w:rsidRDefault="0024491B" w:rsidP="00A53E8C">
                  <w:pPr>
                    <w:pStyle w:val="TableText"/>
                    <w:spacing w:before="40" w:after="40"/>
                    <w:rPr>
                      <w:kern w:val="20"/>
                    </w:rPr>
                  </w:pPr>
                  <w:r w:rsidRPr="005D4222">
                    <w:rPr>
                      <w:kern w:val="20"/>
                    </w:rPr>
                    <w:t>Rate</w:t>
                  </w:r>
                </w:p>
              </w:tc>
              <w:tc>
                <w:tcPr>
                  <w:tcW w:w="16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680FE74" w14:textId="77777777" w:rsidR="0024491B" w:rsidRPr="005D4222" w:rsidRDefault="0024491B" w:rsidP="00A53E8C">
                  <w:pPr>
                    <w:pStyle w:val="TableText"/>
                    <w:spacing w:before="40" w:after="40"/>
                    <w:rPr>
                      <w:kern w:val="20"/>
                    </w:rPr>
                  </w:pPr>
                  <w:r w:rsidRPr="005D4222">
                    <w:rPr>
                      <w:kern w:val="20"/>
                    </w:rPr>
                    <w:t>(Percent)</w:t>
                  </w:r>
                </w:p>
              </w:tc>
            </w:tr>
            <w:tr w:rsidR="0024491B" w:rsidRPr="005D4222" w14:paraId="19892AD2" w14:textId="77777777" w:rsidTr="00A53E8C">
              <w:trPr>
                <w:trHeight w:val="236"/>
              </w:trPr>
              <w:tc>
                <w:tcPr>
                  <w:tcW w:w="1346" w:type="dxa"/>
                  <w:tcBorders>
                    <w:top w:val="single" w:sz="4" w:space="0" w:color="auto"/>
                    <w:left w:val="single" w:sz="4" w:space="0" w:color="auto"/>
                    <w:bottom w:val="single" w:sz="4" w:space="0" w:color="auto"/>
                    <w:right w:val="single" w:sz="4" w:space="0" w:color="auto"/>
                  </w:tcBorders>
                  <w:shd w:val="clear" w:color="auto" w:fill="FFFFFF" w:themeFill="background1"/>
                </w:tcPr>
                <w:p w14:paraId="4753732C" w14:textId="77777777" w:rsidR="0024491B" w:rsidRPr="005D4222" w:rsidRDefault="0024491B" w:rsidP="00A53E8C">
                  <w:pPr>
                    <w:pStyle w:val="TableText"/>
                    <w:spacing w:before="40" w:after="40"/>
                  </w:pPr>
                  <w:r w:rsidRPr="005D4222">
                    <w:t>COVID-19</w:t>
                  </w:r>
                </w:p>
              </w:tc>
              <w:tc>
                <w:tcPr>
                  <w:tcW w:w="28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7762B2F" w14:textId="77777777" w:rsidR="0024491B" w:rsidRPr="005D4222" w:rsidRDefault="0024491B" w:rsidP="00A53E8C">
                  <w:pPr>
                    <w:pStyle w:val="TableText"/>
                    <w:spacing w:before="40" w:after="40"/>
                    <w:rPr>
                      <w:kern w:val="20"/>
                    </w:rPr>
                  </w:pPr>
                  <w:r w:rsidRPr="005D4222">
                    <w:rPr>
                      <w:kern w:val="20"/>
                    </w:rPr>
                    <w:t>White</w:t>
                  </w:r>
                </w:p>
              </w:tc>
              <w:tc>
                <w:tcPr>
                  <w:tcW w:w="1530" w:type="dxa"/>
                  <w:tcBorders>
                    <w:top w:val="single" w:sz="4" w:space="0" w:color="auto"/>
                    <w:left w:val="nil"/>
                    <w:bottom w:val="nil"/>
                    <w:right w:val="nil"/>
                  </w:tcBorders>
                  <w:noWrap/>
                </w:tcPr>
                <w:p w14:paraId="3B639FDD" w14:textId="77777777" w:rsidR="0024491B" w:rsidRPr="005D4222" w:rsidRDefault="0024491B" w:rsidP="00A53E8C">
                  <w:pPr>
                    <w:pStyle w:val="TableText"/>
                    <w:spacing w:before="40" w:after="40"/>
                    <w:rPr>
                      <w:kern w:val="20"/>
                    </w:rPr>
                  </w:pPr>
                </w:p>
              </w:tc>
              <w:tc>
                <w:tcPr>
                  <w:tcW w:w="1614" w:type="dxa"/>
                  <w:tcBorders>
                    <w:top w:val="single" w:sz="4" w:space="0" w:color="auto"/>
                    <w:left w:val="nil"/>
                    <w:bottom w:val="nil"/>
                    <w:right w:val="nil"/>
                  </w:tcBorders>
                </w:tcPr>
                <w:p w14:paraId="77F8A970" w14:textId="77777777" w:rsidR="0024491B" w:rsidRPr="005D4222" w:rsidRDefault="0024491B" w:rsidP="00A53E8C">
                  <w:pPr>
                    <w:pStyle w:val="TableText"/>
                    <w:spacing w:before="40" w:after="40"/>
                    <w:rPr>
                      <w:kern w:val="20"/>
                    </w:rPr>
                  </w:pPr>
                </w:p>
              </w:tc>
            </w:tr>
            <w:tr w:rsidR="0024491B" w:rsidRPr="005D4222" w14:paraId="48E7D8A8" w14:textId="77777777" w:rsidTr="00A53E8C">
              <w:trPr>
                <w:trHeight w:val="236"/>
              </w:trPr>
              <w:tc>
                <w:tcPr>
                  <w:tcW w:w="1346" w:type="dxa"/>
                  <w:tcBorders>
                    <w:top w:val="single" w:sz="4" w:space="0" w:color="auto"/>
                    <w:right w:val="single" w:sz="4" w:space="0" w:color="auto"/>
                  </w:tcBorders>
                </w:tcPr>
                <w:p w14:paraId="3E3C7AF4" w14:textId="77777777" w:rsidR="0024491B" w:rsidRPr="005D4222" w:rsidRDefault="0024491B" w:rsidP="00A53E8C">
                  <w:pPr>
                    <w:pStyle w:val="TableText"/>
                    <w:spacing w:before="40" w:after="40"/>
                    <w:rPr>
                      <w:kern w:val="20"/>
                    </w:rPr>
                  </w:pPr>
                </w:p>
              </w:tc>
              <w:tc>
                <w:tcPr>
                  <w:tcW w:w="28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145B31D" w14:textId="77777777" w:rsidR="0024491B" w:rsidRPr="005D4222" w:rsidRDefault="0024491B" w:rsidP="00A53E8C">
                  <w:pPr>
                    <w:pStyle w:val="TableText"/>
                    <w:spacing w:before="40" w:after="40"/>
                    <w:rPr>
                      <w:kern w:val="20"/>
                    </w:rPr>
                  </w:pPr>
                  <w:r w:rsidRPr="005D4222">
                    <w:rPr>
                      <w:kern w:val="20"/>
                    </w:rPr>
                    <w:t>SomeOtherRace</w:t>
                  </w:r>
                </w:p>
              </w:tc>
              <w:tc>
                <w:tcPr>
                  <w:tcW w:w="1530" w:type="dxa"/>
                  <w:noWrap/>
                </w:tcPr>
                <w:p w14:paraId="59F53C85" w14:textId="77777777" w:rsidR="0024491B" w:rsidRPr="005D4222" w:rsidRDefault="0024491B" w:rsidP="00A53E8C">
                  <w:pPr>
                    <w:pStyle w:val="TableText"/>
                    <w:spacing w:before="40" w:after="40"/>
                    <w:rPr>
                      <w:kern w:val="20"/>
                    </w:rPr>
                  </w:pPr>
                </w:p>
              </w:tc>
              <w:tc>
                <w:tcPr>
                  <w:tcW w:w="1614" w:type="dxa"/>
                </w:tcPr>
                <w:p w14:paraId="301FA41E" w14:textId="77777777" w:rsidR="0024491B" w:rsidRPr="005D4222" w:rsidRDefault="0024491B" w:rsidP="00A53E8C">
                  <w:pPr>
                    <w:pStyle w:val="TableText"/>
                    <w:spacing w:before="40" w:after="40"/>
                    <w:rPr>
                      <w:kern w:val="20"/>
                    </w:rPr>
                  </w:pPr>
                </w:p>
              </w:tc>
            </w:tr>
            <w:tr w:rsidR="0024491B" w:rsidRPr="005D4222" w14:paraId="4A0E1D50" w14:textId="77777777" w:rsidTr="00A53E8C">
              <w:trPr>
                <w:trHeight w:val="236"/>
              </w:trPr>
              <w:tc>
                <w:tcPr>
                  <w:tcW w:w="1346" w:type="dxa"/>
                  <w:tcBorders>
                    <w:right w:val="single" w:sz="4" w:space="0" w:color="auto"/>
                  </w:tcBorders>
                  <w:shd w:val="clear" w:color="auto" w:fill="FFFFFF" w:themeFill="background1"/>
                </w:tcPr>
                <w:p w14:paraId="016F82FF" w14:textId="77777777" w:rsidR="0024491B" w:rsidRPr="005D4222" w:rsidRDefault="0024491B" w:rsidP="00A53E8C">
                  <w:pPr>
                    <w:pStyle w:val="TableText"/>
                    <w:spacing w:before="40" w:after="40"/>
                    <w:rPr>
                      <w:kern w:val="20"/>
                    </w:rPr>
                  </w:pPr>
                </w:p>
              </w:tc>
              <w:tc>
                <w:tcPr>
                  <w:tcW w:w="28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E011B92" w14:textId="77777777" w:rsidR="0024491B" w:rsidRPr="005D4222" w:rsidRDefault="0024491B" w:rsidP="00A53E8C">
                  <w:pPr>
                    <w:pStyle w:val="TableText"/>
                    <w:spacing w:before="40" w:after="40"/>
                    <w:rPr>
                      <w:kern w:val="20"/>
                    </w:rPr>
                  </w:pPr>
                  <w:r w:rsidRPr="005D4222">
                    <w:rPr>
                      <w:kern w:val="20"/>
                    </w:rPr>
                    <w:t>TwoOrMoreRaces</w:t>
                  </w:r>
                </w:p>
              </w:tc>
              <w:tc>
                <w:tcPr>
                  <w:tcW w:w="1530" w:type="dxa"/>
                  <w:shd w:val="clear" w:color="auto" w:fill="FFFFFF" w:themeFill="background1"/>
                  <w:noWrap/>
                </w:tcPr>
                <w:p w14:paraId="7B8B8CF3" w14:textId="77777777" w:rsidR="0024491B" w:rsidRPr="005D4222" w:rsidRDefault="0024491B" w:rsidP="00A53E8C">
                  <w:pPr>
                    <w:pStyle w:val="TableText"/>
                    <w:spacing w:before="40" w:after="40"/>
                    <w:rPr>
                      <w:kern w:val="20"/>
                    </w:rPr>
                  </w:pPr>
                </w:p>
              </w:tc>
              <w:tc>
                <w:tcPr>
                  <w:tcW w:w="1614" w:type="dxa"/>
                  <w:shd w:val="clear" w:color="auto" w:fill="FFFFFF" w:themeFill="background1"/>
                </w:tcPr>
                <w:p w14:paraId="33AB349C" w14:textId="77777777" w:rsidR="0024491B" w:rsidRPr="005D4222" w:rsidRDefault="0024491B" w:rsidP="00A53E8C">
                  <w:pPr>
                    <w:pStyle w:val="TableText"/>
                    <w:spacing w:before="40" w:after="40"/>
                    <w:rPr>
                      <w:kern w:val="20"/>
                    </w:rPr>
                  </w:pPr>
                </w:p>
              </w:tc>
            </w:tr>
            <w:tr w:rsidR="0024491B" w:rsidRPr="005D4222" w14:paraId="447C39C7" w14:textId="77777777" w:rsidTr="00A53E8C">
              <w:trPr>
                <w:trHeight w:val="236"/>
              </w:trPr>
              <w:tc>
                <w:tcPr>
                  <w:tcW w:w="1346" w:type="dxa"/>
                  <w:tcBorders>
                    <w:right w:val="single" w:sz="4" w:space="0" w:color="auto"/>
                  </w:tcBorders>
                  <w:shd w:val="clear" w:color="auto" w:fill="FFFFFF" w:themeFill="background1"/>
                </w:tcPr>
                <w:p w14:paraId="1A875B55" w14:textId="77777777" w:rsidR="0024491B" w:rsidRPr="005D4222" w:rsidRDefault="0024491B" w:rsidP="00A53E8C">
                  <w:pPr>
                    <w:pStyle w:val="TableText"/>
                    <w:spacing w:before="40" w:after="40"/>
                    <w:rPr>
                      <w:kern w:val="20"/>
                    </w:rPr>
                  </w:pPr>
                </w:p>
              </w:tc>
              <w:tc>
                <w:tcPr>
                  <w:tcW w:w="28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5C79A7A" w14:textId="77777777" w:rsidR="0024491B" w:rsidRPr="005D4222" w:rsidRDefault="0024491B" w:rsidP="00A53E8C">
                  <w:pPr>
                    <w:pStyle w:val="TableText"/>
                    <w:spacing w:before="40" w:after="40"/>
                    <w:rPr>
                      <w:kern w:val="20"/>
                    </w:rPr>
                  </w:pPr>
                  <w:r w:rsidRPr="005D4222">
                    <w:rPr>
                      <w:kern w:val="20"/>
                    </w:rPr>
                    <w:t>AskedButNoAnswer</w:t>
                  </w:r>
                </w:p>
              </w:tc>
              <w:tc>
                <w:tcPr>
                  <w:tcW w:w="1530" w:type="dxa"/>
                  <w:shd w:val="clear" w:color="auto" w:fill="FFFFFF" w:themeFill="background1"/>
                  <w:noWrap/>
                </w:tcPr>
                <w:p w14:paraId="657E28EA" w14:textId="77777777" w:rsidR="0024491B" w:rsidRPr="005D4222" w:rsidRDefault="0024491B" w:rsidP="00A53E8C">
                  <w:pPr>
                    <w:pStyle w:val="TableText"/>
                    <w:spacing w:before="40" w:after="40"/>
                    <w:rPr>
                      <w:kern w:val="20"/>
                    </w:rPr>
                  </w:pPr>
                </w:p>
              </w:tc>
              <w:tc>
                <w:tcPr>
                  <w:tcW w:w="1614" w:type="dxa"/>
                  <w:shd w:val="clear" w:color="auto" w:fill="FFFFFF" w:themeFill="background1"/>
                </w:tcPr>
                <w:p w14:paraId="33F476BF" w14:textId="77777777" w:rsidR="0024491B" w:rsidRPr="005D4222" w:rsidRDefault="0024491B" w:rsidP="00A53E8C">
                  <w:pPr>
                    <w:pStyle w:val="TableText"/>
                    <w:spacing w:before="40" w:after="40"/>
                    <w:rPr>
                      <w:kern w:val="20"/>
                    </w:rPr>
                  </w:pPr>
                </w:p>
              </w:tc>
            </w:tr>
            <w:tr w:rsidR="0024491B" w:rsidRPr="005D4222" w14:paraId="72F69777" w14:textId="77777777" w:rsidTr="00A53E8C">
              <w:trPr>
                <w:trHeight w:val="236"/>
              </w:trPr>
              <w:tc>
                <w:tcPr>
                  <w:tcW w:w="1346" w:type="dxa"/>
                  <w:tcBorders>
                    <w:right w:val="single" w:sz="4" w:space="0" w:color="auto"/>
                  </w:tcBorders>
                  <w:shd w:val="clear" w:color="auto" w:fill="FFFFFF" w:themeFill="background1"/>
                </w:tcPr>
                <w:p w14:paraId="6CC17091" w14:textId="77777777" w:rsidR="0024491B" w:rsidRPr="005D4222" w:rsidRDefault="0024491B" w:rsidP="00A53E8C">
                  <w:pPr>
                    <w:pStyle w:val="TableText"/>
                    <w:spacing w:before="40" w:after="40"/>
                    <w:rPr>
                      <w:kern w:val="20"/>
                    </w:rPr>
                  </w:pPr>
                </w:p>
              </w:tc>
              <w:tc>
                <w:tcPr>
                  <w:tcW w:w="2880" w:type="dxa"/>
                  <w:tcBorders>
                    <w:top w:val="single" w:sz="4" w:space="0" w:color="auto"/>
                    <w:left w:val="single" w:sz="4" w:space="0" w:color="auto"/>
                    <w:bottom w:val="single" w:sz="4" w:space="0" w:color="auto"/>
                    <w:right w:val="single" w:sz="4" w:space="0" w:color="auto"/>
                  </w:tcBorders>
                  <w:shd w:val="clear" w:color="auto" w:fill="FFFFFF" w:themeFill="background1"/>
                </w:tcPr>
                <w:p w14:paraId="54084C62" w14:textId="77777777" w:rsidR="0024491B" w:rsidRPr="005D4222" w:rsidRDefault="0024491B" w:rsidP="00A53E8C">
                  <w:pPr>
                    <w:pStyle w:val="TableText"/>
                    <w:spacing w:before="40" w:after="40"/>
                    <w:rPr>
                      <w:kern w:val="20"/>
                    </w:rPr>
                  </w:pPr>
                  <w:r w:rsidRPr="005D4222">
                    <w:rPr>
                      <w:kern w:val="20"/>
                    </w:rPr>
                    <w:t>Unknown</w:t>
                  </w:r>
                </w:p>
              </w:tc>
              <w:tc>
                <w:tcPr>
                  <w:tcW w:w="1530" w:type="dxa"/>
                  <w:shd w:val="clear" w:color="auto" w:fill="FFFFFF" w:themeFill="background1"/>
                  <w:noWrap/>
                </w:tcPr>
                <w:p w14:paraId="5D67200B" w14:textId="77777777" w:rsidR="0024491B" w:rsidRPr="005D4222" w:rsidRDefault="0024491B" w:rsidP="00A53E8C">
                  <w:pPr>
                    <w:pStyle w:val="TableText"/>
                    <w:spacing w:before="40" w:after="40"/>
                    <w:rPr>
                      <w:kern w:val="20"/>
                    </w:rPr>
                  </w:pPr>
                </w:p>
              </w:tc>
              <w:tc>
                <w:tcPr>
                  <w:tcW w:w="1614" w:type="dxa"/>
                  <w:shd w:val="clear" w:color="auto" w:fill="FFFFFF" w:themeFill="background1"/>
                </w:tcPr>
                <w:p w14:paraId="58453B08" w14:textId="77777777" w:rsidR="0024491B" w:rsidRPr="005D4222" w:rsidRDefault="0024491B" w:rsidP="00A53E8C">
                  <w:pPr>
                    <w:pStyle w:val="TableText"/>
                    <w:spacing w:before="40" w:after="40"/>
                    <w:rPr>
                      <w:kern w:val="20"/>
                    </w:rPr>
                  </w:pPr>
                </w:p>
              </w:tc>
            </w:tr>
          </w:tbl>
          <w:p w14:paraId="37FE6A7F" w14:textId="390FEA4C" w:rsidR="0024491B" w:rsidRPr="005D4222" w:rsidRDefault="0024491B" w:rsidP="00752500">
            <w:pPr>
              <w:pStyle w:val="Heading3"/>
              <w:spacing w:before="0"/>
            </w:pPr>
            <w:r w:rsidRPr="005D4222">
              <w:rPr>
                <w:rFonts w:eastAsia="Arial"/>
              </w:rPr>
              <w:br w:type="page"/>
            </w:r>
          </w:p>
        </w:tc>
      </w:tr>
    </w:tbl>
    <w:p w14:paraId="17231CAE" w14:textId="77777777" w:rsidR="00212974" w:rsidRPr="005D4222" w:rsidRDefault="00212974">
      <w:r w:rsidRPr="005D4222">
        <w:br w:type="page"/>
      </w:r>
    </w:p>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212974" w:rsidRPr="005D4222" w14:paraId="4CAA4B68"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5DFD2B0" w14:textId="77777777" w:rsidR="00212974" w:rsidRPr="005D4222" w:rsidRDefault="00212974"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E9D005F" w14:textId="4472DDD9" w:rsidR="00212974" w:rsidRPr="005D4222" w:rsidRDefault="00212974" w:rsidP="00212974">
            <w:pPr>
              <w:pStyle w:val="Heading3"/>
              <w:spacing w:before="120"/>
              <w:rPr>
                <w:rFonts w:eastAsia="Arial"/>
                <w:b w:val="0"/>
                <w:i w:val="0"/>
                <w:kern w:val="20"/>
                <w:szCs w:val="21"/>
              </w:rPr>
            </w:pPr>
            <w:r w:rsidRPr="005D4222">
              <w:rPr>
                <w:rFonts w:eastAsia="Arial"/>
                <w:kern w:val="20"/>
                <w:szCs w:val="21"/>
              </w:rPr>
              <w:t xml:space="preserve">Table AIS-E-C-1/2/3: Data Elements for Adult Immunization Status: </w:t>
            </w:r>
            <w:r w:rsidR="00B51CDC" w:rsidRPr="005D4222">
              <w:rPr>
                <w:rFonts w:eastAsia="Arial"/>
                <w:kern w:val="20"/>
                <w:szCs w:val="21"/>
              </w:rPr>
              <w:t>Stratifications</w:t>
            </w:r>
            <w:r w:rsidRPr="005D4222">
              <w:rPr>
                <w:rFonts w:eastAsia="Arial"/>
                <w:kern w:val="20"/>
                <w:szCs w:val="21"/>
              </w:rPr>
              <w:t xml:space="preserve"> by Ethnicity</w:t>
            </w:r>
          </w:p>
          <w:tbl>
            <w:tblPr>
              <w:tblW w:w="5000" w:type="pct"/>
              <w:tblLayout w:type="fixed"/>
              <w:tblCellMar>
                <w:left w:w="72" w:type="dxa"/>
                <w:right w:w="72" w:type="dxa"/>
              </w:tblCellMar>
              <w:tblLook w:val="04A0" w:firstRow="1" w:lastRow="0" w:firstColumn="1" w:lastColumn="0" w:noHBand="0" w:noVBand="1"/>
            </w:tblPr>
            <w:tblGrid>
              <w:gridCol w:w="1526"/>
              <w:gridCol w:w="2070"/>
              <w:gridCol w:w="1530"/>
              <w:gridCol w:w="2244"/>
            </w:tblGrid>
            <w:tr w:rsidR="00212974" w:rsidRPr="005D4222" w14:paraId="3BB82A0D" w14:textId="77777777" w:rsidTr="003A7E2A">
              <w:trPr>
                <w:trHeight w:val="300"/>
              </w:trPr>
              <w:tc>
                <w:tcPr>
                  <w:tcW w:w="1526" w:type="dxa"/>
                  <w:tcBorders>
                    <w:top w:val="single" w:sz="8" w:space="0" w:color="auto"/>
                    <w:left w:val="single" w:sz="4" w:space="0" w:color="auto"/>
                    <w:bottom w:val="single" w:sz="4" w:space="0" w:color="auto"/>
                    <w:right w:val="single" w:sz="6" w:space="0" w:color="FFFFFF" w:themeColor="background1"/>
                  </w:tcBorders>
                  <w:shd w:val="clear" w:color="auto" w:fill="000000" w:themeFill="text1"/>
                  <w:vAlign w:val="bottom"/>
                </w:tcPr>
                <w:p w14:paraId="18243047" w14:textId="77777777" w:rsidR="00212974" w:rsidRPr="005D4222" w:rsidRDefault="00212974" w:rsidP="00212974">
                  <w:pPr>
                    <w:pStyle w:val="TableHead"/>
                    <w:spacing w:before="40" w:after="40"/>
                  </w:pPr>
                  <w:r w:rsidRPr="005D4222">
                    <w:t>Metric</w:t>
                  </w:r>
                </w:p>
              </w:tc>
              <w:tc>
                <w:tcPr>
                  <w:tcW w:w="2070" w:type="dxa"/>
                  <w:tcBorders>
                    <w:top w:val="single" w:sz="8" w:space="0" w:color="auto"/>
                    <w:left w:val="single" w:sz="4" w:space="0" w:color="auto"/>
                    <w:bottom w:val="single" w:sz="4" w:space="0" w:color="auto"/>
                    <w:right w:val="single" w:sz="6" w:space="0" w:color="FFFFFF" w:themeColor="background1"/>
                  </w:tcBorders>
                  <w:shd w:val="clear" w:color="auto" w:fill="000000" w:themeFill="text1"/>
                  <w:vAlign w:val="bottom"/>
                  <w:hideMark/>
                </w:tcPr>
                <w:p w14:paraId="3F5CDFB2" w14:textId="77777777" w:rsidR="00212974" w:rsidRPr="005D4222" w:rsidRDefault="00212974" w:rsidP="00212974">
                  <w:pPr>
                    <w:pStyle w:val="TableHead"/>
                    <w:spacing w:before="40" w:after="40"/>
                  </w:pPr>
                  <w:r w:rsidRPr="005D4222">
                    <w:t>Ethnicity</w:t>
                  </w:r>
                </w:p>
              </w:tc>
              <w:tc>
                <w:tcPr>
                  <w:tcW w:w="1530" w:type="dxa"/>
                  <w:tcBorders>
                    <w:top w:val="single" w:sz="8" w:space="0" w:color="auto"/>
                    <w:left w:val="single" w:sz="6" w:space="0" w:color="FFFFFF" w:themeColor="background1"/>
                    <w:bottom w:val="single" w:sz="4" w:space="0" w:color="auto"/>
                    <w:right w:val="single" w:sz="4" w:space="0" w:color="FFFFFF" w:themeColor="background1"/>
                  </w:tcBorders>
                  <w:shd w:val="clear" w:color="auto" w:fill="000000" w:themeFill="text1"/>
                  <w:noWrap/>
                  <w:vAlign w:val="bottom"/>
                  <w:hideMark/>
                </w:tcPr>
                <w:p w14:paraId="68FE8993" w14:textId="77777777" w:rsidR="00212974" w:rsidRPr="005D4222" w:rsidRDefault="00212974" w:rsidP="00212974">
                  <w:pPr>
                    <w:pStyle w:val="TableHead"/>
                    <w:spacing w:before="40" w:after="40"/>
                  </w:pPr>
                  <w:r w:rsidRPr="005D4222">
                    <w:t>Data Element</w:t>
                  </w:r>
                </w:p>
              </w:tc>
              <w:tc>
                <w:tcPr>
                  <w:tcW w:w="2244" w:type="dxa"/>
                  <w:tcBorders>
                    <w:top w:val="single" w:sz="8" w:space="0" w:color="auto"/>
                    <w:left w:val="single" w:sz="4" w:space="0" w:color="FFFFFF" w:themeColor="background1"/>
                    <w:bottom w:val="single" w:sz="4" w:space="0" w:color="auto"/>
                    <w:right w:val="single" w:sz="8" w:space="0" w:color="auto"/>
                  </w:tcBorders>
                  <w:shd w:val="clear" w:color="auto" w:fill="000000" w:themeFill="text1"/>
                  <w:vAlign w:val="bottom"/>
                  <w:hideMark/>
                </w:tcPr>
                <w:p w14:paraId="07F0CB69" w14:textId="77777777" w:rsidR="00212974" w:rsidRPr="005D4222" w:rsidRDefault="00212974" w:rsidP="00212974">
                  <w:pPr>
                    <w:pStyle w:val="TableHead"/>
                    <w:spacing w:before="40" w:after="40"/>
                  </w:pPr>
                  <w:r w:rsidRPr="005D4222">
                    <w:t>Reporting Instructions</w:t>
                  </w:r>
                </w:p>
              </w:tc>
            </w:tr>
            <w:tr w:rsidR="00212974" w:rsidRPr="005D4222" w14:paraId="37CFF110" w14:textId="77777777" w:rsidTr="003A7E2A">
              <w:trPr>
                <w:trHeight w:val="300"/>
              </w:trPr>
              <w:tc>
                <w:tcPr>
                  <w:tcW w:w="1526" w:type="dxa"/>
                  <w:tcBorders>
                    <w:top w:val="single" w:sz="4" w:space="0" w:color="auto"/>
                    <w:left w:val="single" w:sz="4" w:space="0" w:color="auto"/>
                    <w:bottom w:val="single" w:sz="4" w:space="0" w:color="auto"/>
                    <w:right w:val="single" w:sz="4" w:space="0" w:color="auto"/>
                  </w:tcBorders>
                  <w:shd w:val="clear" w:color="auto" w:fill="FFFFFF" w:themeFill="background1"/>
                </w:tcPr>
                <w:p w14:paraId="23320353" w14:textId="77777777" w:rsidR="00212974" w:rsidRPr="005D4222" w:rsidRDefault="00212974" w:rsidP="00212974">
                  <w:pPr>
                    <w:spacing w:before="40" w:after="40" w:line="216" w:lineRule="auto"/>
                    <w:rPr>
                      <w:rFonts w:ascii="Arial Narrow" w:hAnsi="Arial Narrow"/>
                      <w:kern w:val="20"/>
                      <w:szCs w:val="19"/>
                    </w:rPr>
                  </w:pPr>
                  <w:r w:rsidRPr="005D4222">
                    <w:rPr>
                      <w:rFonts w:ascii="Arial Narrow" w:hAnsi="Arial Narrow"/>
                      <w:kern w:val="20"/>
                      <w:szCs w:val="19"/>
                    </w:rPr>
                    <w:t>Influenza</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0B64F62" w14:textId="77777777" w:rsidR="00212974" w:rsidRPr="005D4222" w:rsidRDefault="00212974" w:rsidP="00212974">
                  <w:pPr>
                    <w:spacing w:before="40" w:after="40" w:line="216" w:lineRule="auto"/>
                    <w:rPr>
                      <w:rFonts w:ascii="Arial Narrow" w:hAnsi="Arial Narrow"/>
                      <w:kern w:val="20"/>
                      <w:szCs w:val="19"/>
                    </w:rPr>
                  </w:pPr>
                  <w:r w:rsidRPr="005D4222">
                    <w:rPr>
                      <w:rFonts w:ascii="Arial Narrow" w:hAnsi="Arial Narrow"/>
                      <w:kern w:val="20"/>
                      <w:szCs w:val="19"/>
                    </w:rPr>
                    <w:t>HispanicOrLatino</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7D104055" w14:textId="77777777" w:rsidR="00212974" w:rsidRPr="005D4222" w:rsidRDefault="00212974" w:rsidP="00212974">
                  <w:pPr>
                    <w:spacing w:before="40" w:after="40" w:line="216" w:lineRule="auto"/>
                    <w:rPr>
                      <w:rFonts w:ascii="Arial Narrow" w:hAnsi="Arial Narrow"/>
                      <w:kern w:val="20"/>
                      <w:szCs w:val="19"/>
                    </w:rPr>
                  </w:pPr>
                  <w:r w:rsidRPr="005D4222">
                    <w:rPr>
                      <w:rFonts w:ascii="Arial Narrow" w:hAnsi="Arial Narrow"/>
                      <w:kern w:val="20"/>
                      <w:szCs w:val="19"/>
                    </w:rPr>
                    <w:t>InitialPopulation</w:t>
                  </w:r>
                </w:p>
              </w:tc>
              <w:tc>
                <w:tcPr>
                  <w:tcW w:w="22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38105FF" w14:textId="77777777" w:rsidR="00212974" w:rsidRPr="005D4222" w:rsidRDefault="00212974" w:rsidP="00212974">
                  <w:pPr>
                    <w:spacing w:before="40" w:after="40" w:line="216" w:lineRule="auto"/>
                    <w:rPr>
                      <w:rFonts w:ascii="Arial Narrow" w:hAnsi="Arial Narrow"/>
                      <w:kern w:val="20"/>
                    </w:rPr>
                  </w:pPr>
                  <w:r w:rsidRPr="005D4222">
                    <w:rPr>
                      <w:rFonts w:ascii="Arial Narrow" w:hAnsi="Arial Narrow"/>
                      <w:kern w:val="20"/>
                    </w:rPr>
                    <w:t>For each Metric and Stratification</w:t>
                  </w:r>
                </w:p>
              </w:tc>
            </w:tr>
            <w:tr w:rsidR="00212974" w:rsidRPr="005D4222" w14:paraId="47087EDC" w14:textId="77777777" w:rsidTr="003A7E2A">
              <w:trPr>
                <w:trHeight w:val="300"/>
              </w:trPr>
              <w:tc>
                <w:tcPr>
                  <w:tcW w:w="1526" w:type="dxa"/>
                  <w:tcBorders>
                    <w:top w:val="single" w:sz="4" w:space="0" w:color="auto"/>
                    <w:left w:val="single" w:sz="4" w:space="0" w:color="auto"/>
                    <w:bottom w:val="single" w:sz="4" w:space="0" w:color="auto"/>
                    <w:right w:val="single" w:sz="4" w:space="0" w:color="auto"/>
                  </w:tcBorders>
                  <w:shd w:val="clear" w:color="auto" w:fill="FFFFFF" w:themeFill="background1"/>
                </w:tcPr>
                <w:p w14:paraId="3F5FBC2B" w14:textId="77777777" w:rsidR="00212974" w:rsidRPr="005D4222" w:rsidRDefault="00212974" w:rsidP="00212974">
                  <w:pPr>
                    <w:spacing w:before="40" w:after="40" w:line="216" w:lineRule="auto"/>
                    <w:rPr>
                      <w:rFonts w:ascii="Arial Narrow" w:hAnsi="Arial Narrow"/>
                      <w:kern w:val="20"/>
                      <w:szCs w:val="19"/>
                    </w:rPr>
                  </w:pPr>
                  <w:r w:rsidRPr="005D4222">
                    <w:rPr>
                      <w:rFonts w:ascii="Arial Narrow" w:hAnsi="Arial Narrow"/>
                      <w:kern w:val="20"/>
                      <w:szCs w:val="19"/>
                    </w:rPr>
                    <w:t>TdTdap</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6C290CA" w14:textId="77777777" w:rsidR="00212974" w:rsidRPr="005D4222" w:rsidRDefault="00212974" w:rsidP="00212974">
                  <w:pPr>
                    <w:spacing w:before="40" w:after="40" w:line="216" w:lineRule="auto"/>
                    <w:rPr>
                      <w:rFonts w:ascii="Arial Narrow" w:hAnsi="Arial Narrow"/>
                      <w:kern w:val="20"/>
                      <w:szCs w:val="19"/>
                    </w:rPr>
                  </w:pPr>
                  <w:r w:rsidRPr="005D4222">
                    <w:rPr>
                      <w:rFonts w:ascii="Arial Narrow" w:hAnsi="Arial Narrow"/>
                      <w:kern w:val="20"/>
                      <w:szCs w:val="19"/>
                    </w:rPr>
                    <w:t>NotHispanicOrLatino</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0139870E" w14:textId="77777777" w:rsidR="00212974" w:rsidRPr="005D4222" w:rsidRDefault="00212974" w:rsidP="00212974">
                  <w:pPr>
                    <w:spacing w:before="40" w:after="40" w:line="216" w:lineRule="auto"/>
                    <w:rPr>
                      <w:rFonts w:ascii="Arial Narrow" w:hAnsi="Arial Narrow"/>
                      <w:kern w:val="20"/>
                      <w:szCs w:val="19"/>
                    </w:rPr>
                  </w:pPr>
                  <w:r w:rsidRPr="005D4222">
                    <w:rPr>
                      <w:rFonts w:ascii="Arial Narrow" w:hAnsi="Arial Narrow"/>
                      <w:kern w:val="20"/>
                      <w:szCs w:val="19"/>
                    </w:rPr>
                    <w:t>Exclusions</w:t>
                  </w:r>
                </w:p>
              </w:tc>
              <w:tc>
                <w:tcPr>
                  <w:tcW w:w="22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6FEC642" w14:textId="77777777" w:rsidR="00212974" w:rsidRPr="005D4222" w:rsidRDefault="00212974" w:rsidP="00212974">
                  <w:pPr>
                    <w:spacing w:before="40" w:after="40" w:line="216" w:lineRule="auto"/>
                    <w:rPr>
                      <w:rFonts w:ascii="Arial Narrow" w:hAnsi="Arial Narrow"/>
                      <w:kern w:val="20"/>
                      <w:szCs w:val="19"/>
                    </w:rPr>
                  </w:pPr>
                  <w:r w:rsidRPr="005D4222">
                    <w:rPr>
                      <w:rFonts w:ascii="Arial Narrow" w:hAnsi="Arial Narrow"/>
                      <w:kern w:val="20"/>
                      <w:szCs w:val="19"/>
                    </w:rPr>
                    <w:t>For each Metric and Stratification</w:t>
                  </w:r>
                </w:p>
              </w:tc>
            </w:tr>
            <w:tr w:rsidR="00212974" w:rsidRPr="005D4222" w14:paraId="5FBCACAB" w14:textId="77777777" w:rsidTr="003A7E2A">
              <w:trPr>
                <w:trHeight w:val="300"/>
              </w:trPr>
              <w:tc>
                <w:tcPr>
                  <w:tcW w:w="1526" w:type="dxa"/>
                  <w:tcBorders>
                    <w:top w:val="single" w:sz="4" w:space="0" w:color="auto"/>
                    <w:left w:val="single" w:sz="4" w:space="0" w:color="auto"/>
                    <w:bottom w:val="single" w:sz="4" w:space="0" w:color="auto"/>
                    <w:right w:val="single" w:sz="4" w:space="0" w:color="auto"/>
                  </w:tcBorders>
                  <w:shd w:val="clear" w:color="auto" w:fill="FFFFFF" w:themeFill="background1"/>
                </w:tcPr>
                <w:p w14:paraId="2BF79BB2" w14:textId="77777777" w:rsidR="00212974" w:rsidRPr="005D4222" w:rsidRDefault="00212974" w:rsidP="00212974">
                  <w:pPr>
                    <w:spacing w:before="40" w:after="40" w:line="216" w:lineRule="auto"/>
                    <w:rPr>
                      <w:rFonts w:ascii="Arial Narrow" w:hAnsi="Arial Narrow"/>
                      <w:kern w:val="20"/>
                      <w:szCs w:val="19"/>
                    </w:rPr>
                  </w:pPr>
                  <w:r w:rsidRPr="005D4222">
                    <w:rPr>
                      <w:rFonts w:ascii="Arial Narrow" w:hAnsi="Arial Narrow"/>
                      <w:kern w:val="20"/>
                      <w:szCs w:val="19"/>
                    </w:rPr>
                    <w:t>Zoster</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51CCEAF" w14:textId="77777777" w:rsidR="00212974" w:rsidRPr="005D4222" w:rsidRDefault="00212974" w:rsidP="00212974">
                  <w:pPr>
                    <w:spacing w:before="40" w:after="40" w:line="216" w:lineRule="auto"/>
                    <w:rPr>
                      <w:rFonts w:ascii="Arial Narrow" w:hAnsi="Arial Narrow"/>
                      <w:kern w:val="20"/>
                      <w:szCs w:val="19"/>
                    </w:rPr>
                  </w:pPr>
                  <w:r w:rsidRPr="005D4222">
                    <w:rPr>
                      <w:rFonts w:ascii="Arial Narrow" w:hAnsi="Arial Narrow"/>
                      <w:kern w:val="20"/>
                      <w:szCs w:val="19"/>
                    </w:rPr>
                    <w:t>AskedButNoAnswer</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4D31F34E" w14:textId="77777777" w:rsidR="00212974" w:rsidRPr="005D4222" w:rsidRDefault="00212974" w:rsidP="00212974">
                  <w:pPr>
                    <w:spacing w:before="40" w:after="40" w:line="216" w:lineRule="auto"/>
                    <w:rPr>
                      <w:rFonts w:ascii="Arial Narrow" w:hAnsi="Arial Narrow"/>
                      <w:kern w:val="20"/>
                    </w:rPr>
                  </w:pPr>
                  <w:r w:rsidRPr="005D4222">
                    <w:rPr>
                      <w:rFonts w:ascii="Arial Narrow" w:hAnsi="Arial Narrow"/>
                      <w:kern w:val="20"/>
                    </w:rPr>
                    <w:t>Denominator</w:t>
                  </w:r>
                </w:p>
              </w:tc>
              <w:tc>
                <w:tcPr>
                  <w:tcW w:w="22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04FC81D" w14:textId="77777777" w:rsidR="00212974" w:rsidRPr="005D4222" w:rsidRDefault="00212974" w:rsidP="00212974">
                  <w:pPr>
                    <w:spacing w:before="40" w:after="40" w:line="216" w:lineRule="auto"/>
                    <w:rPr>
                      <w:rFonts w:ascii="Arial Narrow" w:hAnsi="Arial Narrow"/>
                      <w:kern w:val="20"/>
                      <w:szCs w:val="19"/>
                    </w:rPr>
                  </w:pPr>
                  <w:r w:rsidRPr="005D4222">
                    <w:rPr>
                      <w:rFonts w:ascii="Arial Narrow" w:hAnsi="Arial Narrow"/>
                      <w:kern w:val="20"/>
                      <w:szCs w:val="19"/>
                    </w:rPr>
                    <w:t>For each Metric and Stratification</w:t>
                  </w:r>
                </w:p>
              </w:tc>
            </w:tr>
            <w:tr w:rsidR="00212974" w:rsidRPr="005D4222" w14:paraId="792AF2B0" w14:textId="77777777" w:rsidTr="003A7E2A">
              <w:trPr>
                <w:trHeight w:val="315"/>
              </w:trPr>
              <w:tc>
                <w:tcPr>
                  <w:tcW w:w="1526" w:type="dxa"/>
                  <w:tcBorders>
                    <w:top w:val="single" w:sz="4" w:space="0" w:color="auto"/>
                    <w:left w:val="single" w:sz="4" w:space="0" w:color="auto"/>
                    <w:bottom w:val="single" w:sz="4" w:space="0" w:color="auto"/>
                    <w:right w:val="single" w:sz="4" w:space="0" w:color="auto"/>
                  </w:tcBorders>
                  <w:shd w:val="clear" w:color="auto" w:fill="FFFFFF" w:themeFill="background1"/>
                </w:tcPr>
                <w:p w14:paraId="6438F56F" w14:textId="77777777" w:rsidR="00212974" w:rsidRPr="005D4222" w:rsidRDefault="00212974" w:rsidP="00212974">
                  <w:pPr>
                    <w:spacing w:before="40" w:after="40" w:line="216" w:lineRule="auto"/>
                    <w:rPr>
                      <w:rFonts w:ascii="Arial Narrow" w:hAnsi="Arial Narrow"/>
                      <w:kern w:val="20"/>
                      <w:szCs w:val="19"/>
                    </w:rPr>
                  </w:pPr>
                  <w:r w:rsidRPr="005D4222">
                    <w:rPr>
                      <w:rFonts w:ascii="Arial Narrow" w:hAnsi="Arial Narrow"/>
                      <w:kern w:val="20"/>
                      <w:szCs w:val="19"/>
                    </w:rPr>
                    <w:t>Pneumococcal</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2C90F1" w14:textId="77777777" w:rsidR="00212974" w:rsidRPr="005D4222" w:rsidRDefault="00212974" w:rsidP="00212974">
                  <w:pPr>
                    <w:spacing w:before="40" w:after="40" w:line="216" w:lineRule="auto"/>
                    <w:rPr>
                      <w:rFonts w:ascii="Arial Narrow" w:hAnsi="Arial Narrow"/>
                      <w:kern w:val="20"/>
                      <w:szCs w:val="19"/>
                    </w:rPr>
                  </w:pPr>
                  <w:r w:rsidRPr="005D4222">
                    <w:rPr>
                      <w:rFonts w:ascii="Arial Narrow" w:hAnsi="Arial Narrow"/>
                      <w:kern w:val="20"/>
                      <w:szCs w:val="19"/>
                    </w:rPr>
                    <w:t>Unknown</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60C163C9" w14:textId="77777777" w:rsidR="00212974" w:rsidRPr="005D4222" w:rsidRDefault="00212974" w:rsidP="00212974">
                  <w:pPr>
                    <w:spacing w:before="40" w:after="40" w:line="216" w:lineRule="auto"/>
                    <w:rPr>
                      <w:rFonts w:ascii="Arial Narrow" w:hAnsi="Arial Narrow"/>
                      <w:kern w:val="20"/>
                      <w:szCs w:val="19"/>
                    </w:rPr>
                  </w:pPr>
                  <w:r w:rsidRPr="005D4222">
                    <w:rPr>
                      <w:rFonts w:ascii="Arial Narrow" w:hAnsi="Arial Narrow"/>
                      <w:kern w:val="20"/>
                      <w:szCs w:val="19"/>
                    </w:rPr>
                    <w:t>Numerator</w:t>
                  </w:r>
                </w:p>
              </w:tc>
              <w:tc>
                <w:tcPr>
                  <w:tcW w:w="22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61E0822" w14:textId="77777777" w:rsidR="00212974" w:rsidRPr="005D4222" w:rsidRDefault="00212974" w:rsidP="00212974">
                  <w:pPr>
                    <w:spacing w:before="40" w:after="40" w:line="216" w:lineRule="auto"/>
                    <w:rPr>
                      <w:rFonts w:ascii="Arial Narrow" w:hAnsi="Arial Narrow"/>
                      <w:kern w:val="20"/>
                      <w:szCs w:val="19"/>
                    </w:rPr>
                  </w:pPr>
                  <w:r w:rsidRPr="005D4222">
                    <w:rPr>
                      <w:rFonts w:ascii="Arial Narrow" w:hAnsi="Arial Narrow"/>
                      <w:kern w:val="20"/>
                      <w:szCs w:val="19"/>
                    </w:rPr>
                    <w:t>For each Metric and Stratification</w:t>
                  </w:r>
                </w:p>
              </w:tc>
            </w:tr>
            <w:tr w:rsidR="00212974" w:rsidRPr="005D4222" w14:paraId="3A05CF9B" w14:textId="77777777" w:rsidTr="003A7E2A">
              <w:trPr>
                <w:trHeight w:val="300"/>
              </w:trPr>
              <w:tc>
                <w:tcPr>
                  <w:tcW w:w="1526" w:type="dxa"/>
                  <w:tcBorders>
                    <w:top w:val="single" w:sz="4" w:space="0" w:color="auto"/>
                    <w:left w:val="single" w:sz="4" w:space="0" w:color="auto"/>
                    <w:bottom w:val="single" w:sz="4" w:space="0" w:color="auto"/>
                    <w:right w:val="single" w:sz="4" w:space="0" w:color="auto"/>
                  </w:tcBorders>
                  <w:shd w:val="clear" w:color="auto" w:fill="FFFFFF" w:themeFill="background1"/>
                </w:tcPr>
                <w:p w14:paraId="7FAD5154" w14:textId="77777777" w:rsidR="00212974" w:rsidRPr="005D4222" w:rsidRDefault="00212974" w:rsidP="00212974">
                  <w:pPr>
                    <w:spacing w:before="40" w:after="40" w:line="216" w:lineRule="auto"/>
                    <w:rPr>
                      <w:rFonts w:ascii="Arial Narrow" w:hAnsi="Arial Narrow"/>
                      <w:kern w:val="20"/>
                      <w:szCs w:val="19"/>
                    </w:rPr>
                  </w:pPr>
                  <w:r w:rsidRPr="005D4222">
                    <w:rPr>
                      <w:rFonts w:ascii="Arial Narrow" w:hAnsi="Arial Narrow"/>
                      <w:kern w:val="20"/>
                      <w:szCs w:val="19"/>
                    </w:rPr>
                    <w:t>HepatitisB</w:t>
                  </w:r>
                </w:p>
              </w:tc>
              <w:tc>
                <w:tcPr>
                  <w:tcW w:w="2070" w:type="dxa"/>
                  <w:tcBorders>
                    <w:top w:val="single" w:sz="4" w:space="0" w:color="auto"/>
                    <w:left w:val="single" w:sz="4" w:space="0" w:color="auto"/>
                    <w:right w:val="nil"/>
                  </w:tcBorders>
                  <w:shd w:val="clear" w:color="auto" w:fill="FFFFFF" w:themeFill="background1"/>
                </w:tcPr>
                <w:p w14:paraId="37160C69" w14:textId="77777777" w:rsidR="00212974" w:rsidRPr="005D4222" w:rsidRDefault="00212974" w:rsidP="00212974">
                  <w:pPr>
                    <w:spacing w:before="40" w:after="40" w:line="216" w:lineRule="auto"/>
                    <w:rPr>
                      <w:rFonts w:ascii="Arial Narrow" w:hAnsi="Arial Narrow"/>
                      <w:kern w:val="20"/>
                      <w:szCs w:val="19"/>
                    </w:rPr>
                  </w:pP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3E6EC96" w14:textId="77777777" w:rsidR="00212974" w:rsidRPr="005D4222" w:rsidRDefault="00212974" w:rsidP="00212974">
                  <w:pPr>
                    <w:spacing w:before="40" w:after="40" w:line="216" w:lineRule="auto"/>
                    <w:rPr>
                      <w:rFonts w:ascii="Arial Narrow" w:hAnsi="Arial Narrow"/>
                      <w:kern w:val="20"/>
                      <w:szCs w:val="19"/>
                    </w:rPr>
                  </w:pPr>
                  <w:r w:rsidRPr="005D4222">
                    <w:rPr>
                      <w:rFonts w:ascii="Arial Narrow" w:hAnsi="Arial Narrow"/>
                      <w:kern w:val="20"/>
                      <w:szCs w:val="19"/>
                    </w:rPr>
                    <w:t>Rate</w:t>
                  </w:r>
                </w:p>
              </w:tc>
              <w:tc>
                <w:tcPr>
                  <w:tcW w:w="224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D0F2B88" w14:textId="77777777" w:rsidR="00212974" w:rsidRPr="005D4222" w:rsidRDefault="00212974" w:rsidP="00212974">
                  <w:pPr>
                    <w:spacing w:before="40" w:after="40" w:line="216" w:lineRule="auto"/>
                    <w:rPr>
                      <w:rFonts w:ascii="Arial Narrow" w:hAnsi="Arial Narrow"/>
                      <w:kern w:val="20"/>
                      <w:szCs w:val="19"/>
                    </w:rPr>
                  </w:pPr>
                  <w:r w:rsidRPr="005D4222">
                    <w:rPr>
                      <w:rFonts w:ascii="Arial Narrow" w:hAnsi="Arial Narrow"/>
                      <w:kern w:val="20"/>
                      <w:szCs w:val="19"/>
                    </w:rPr>
                    <w:t>(Percent)</w:t>
                  </w:r>
                </w:p>
              </w:tc>
            </w:tr>
            <w:tr w:rsidR="00212974" w:rsidRPr="005D4222" w14:paraId="0E26289E" w14:textId="77777777" w:rsidTr="00A53E8C">
              <w:trPr>
                <w:trHeight w:val="300"/>
              </w:trPr>
              <w:tc>
                <w:tcPr>
                  <w:tcW w:w="1526" w:type="dxa"/>
                  <w:tcBorders>
                    <w:top w:val="single" w:sz="4" w:space="0" w:color="auto"/>
                    <w:left w:val="single" w:sz="4" w:space="0" w:color="auto"/>
                    <w:bottom w:val="single" w:sz="4" w:space="0" w:color="auto"/>
                    <w:right w:val="single" w:sz="4" w:space="0" w:color="auto"/>
                  </w:tcBorders>
                  <w:shd w:val="clear" w:color="auto" w:fill="FFFFFF" w:themeFill="background1"/>
                </w:tcPr>
                <w:p w14:paraId="0BFA46ED" w14:textId="77777777" w:rsidR="00212974" w:rsidRPr="005D4222" w:rsidRDefault="00212974" w:rsidP="00212974">
                  <w:pPr>
                    <w:spacing w:before="40" w:after="40" w:line="216" w:lineRule="auto"/>
                    <w:rPr>
                      <w:rFonts w:ascii="Arial Narrow" w:hAnsi="Arial Narrow"/>
                      <w:kern w:val="20"/>
                      <w:szCs w:val="19"/>
                    </w:rPr>
                  </w:pPr>
                  <w:r w:rsidRPr="005D4222">
                    <w:rPr>
                      <w:rFonts w:ascii="Arial Narrow" w:hAnsi="Arial Narrow"/>
                      <w:kern w:val="20"/>
                      <w:szCs w:val="19"/>
                    </w:rPr>
                    <w:t>COVID-19</w:t>
                  </w:r>
                </w:p>
              </w:tc>
              <w:tc>
                <w:tcPr>
                  <w:tcW w:w="2070" w:type="dxa"/>
                  <w:tcBorders>
                    <w:left w:val="single" w:sz="4" w:space="0" w:color="auto"/>
                    <w:bottom w:val="nil"/>
                  </w:tcBorders>
                  <w:shd w:val="clear" w:color="auto" w:fill="FFFFFF" w:themeFill="background1"/>
                </w:tcPr>
                <w:p w14:paraId="1B7FAEDE" w14:textId="77777777" w:rsidR="00212974" w:rsidRPr="005D4222" w:rsidRDefault="00212974" w:rsidP="00212974">
                  <w:pPr>
                    <w:spacing w:before="40" w:after="40" w:line="216" w:lineRule="auto"/>
                    <w:rPr>
                      <w:rFonts w:ascii="Arial Narrow" w:hAnsi="Arial Narrow"/>
                      <w:kern w:val="20"/>
                      <w:szCs w:val="19"/>
                    </w:rPr>
                  </w:pPr>
                </w:p>
              </w:tc>
              <w:tc>
                <w:tcPr>
                  <w:tcW w:w="1530" w:type="dxa"/>
                  <w:tcBorders>
                    <w:top w:val="single" w:sz="4" w:space="0" w:color="auto"/>
                  </w:tcBorders>
                  <w:noWrap/>
                </w:tcPr>
                <w:p w14:paraId="0C643A0B" w14:textId="77777777" w:rsidR="00212974" w:rsidRPr="005D4222" w:rsidRDefault="00212974" w:rsidP="00212974">
                  <w:pPr>
                    <w:spacing w:before="40" w:after="40" w:line="216" w:lineRule="auto"/>
                    <w:rPr>
                      <w:rFonts w:ascii="Arial Narrow" w:hAnsi="Arial Narrow"/>
                      <w:kern w:val="20"/>
                      <w:szCs w:val="19"/>
                    </w:rPr>
                  </w:pPr>
                </w:p>
              </w:tc>
              <w:tc>
                <w:tcPr>
                  <w:tcW w:w="2244" w:type="dxa"/>
                  <w:tcBorders>
                    <w:top w:val="single" w:sz="4" w:space="0" w:color="auto"/>
                    <w:left w:val="nil"/>
                  </w:tcBorders>
                </w:tcPr>
                <w:p w14:paraId="7C135EBB" w14:textId="77777777" w:rsidR="00212974" w:rsidRPr="005D4222" w:rsidRDefault="00212974" w:rsidP="00212974">
                  <w:pPr>
                    <w:spacing w:before="40" w:after="40" w:line="216" w:lineRule="auto"/>
                    <w:rPr>
                      <w:rFonts w:ascii="Arial Narrow" w:hAnsi="Arial Narrow"/>
                      <w:kern w:val="20"/>
                      <w:szCs w:val="19"/>
                    </w:rPr>
                  </w:pPr>
                </w:p>
              </w:tc>
            </w:tr>
          </w:tbl>
          <w:p w14:paraId="76A2552B" w14:textId="77777777" w:rsidR="00212974" w:rsidRPr="005D4222" w:rsidRDefault="00212974" w:rsidP="00A53E8C">
            <w:pPr>
              <w:pStyle w:val="ECDSBody"/>
            </w:pPr>
          </w:p>
        </w:tc>
      </w:tr>
      <w:tr w:rsidR="0024491B" w:rsidRPr="005D4222" w14:paraId="5089B26D" w14:textId="77777777" w:rsidTr="00A53E8C">
        <w:tblPrEx>
          <w:tblBorders>
            <w:top w:val="single" w:sz="4" w:space="0" w:color="auto"/>
            <w:bottom w:val="single" w:sz="4" w:space="0" w:color="auto"/>
            <w:right w:val="single" w:sz="4" w:space="0" w:color="auto"/>
            <w:insideH w:val="single" w:sz="4" w:space="0" w:color="auto"/>
            <w:insideV w:val="single" w:sz="4" w:space="0" w:color="auto"/>
          </w:tblBorders>
        </w:tblPrEx>
        <w:trPr>
          <w:trHeight w:val="45"/>
        </w:trPr>
        <w:tc>
          <w:tcPr>
            <w:tcW w:w="2157" w:type="dxa"/>
            <w:shd w:val="clear" w:color="auto" w:fill="BFBFBF" w:themeFill="background1" w:themeFillShade="BF"/>
            <w:tcMar>
              <w:top w:w="0" w:type="dxa"/>
              <w:left w:w="86" w:type="dxa"/>
              <w:bottom w:w="43" w:type="dxa"/>
              <w:right w:w="86" w:type="dxa"/>
            </w:tcMar>
          </w:tcPr>
          <w:p w14:paraId="1B9CBB54" w14:textId="77777777" w:rsidR="0024491B" w:rsidRPr="005D4222" w:rsidRDefault="0024491B" w:rsidP="00A53E8C">
            <w:pPr>
              <w:pStyle w:val="ECDSMarginHead"/>
            </w:pPr>
            <w:r w:rsidRPr="005D4222">
              <w:t>Rules for Allowable Adjustments</w:t>
            </w:r>
          </w:p>
        </w:tc>
        <w:tc>
          <w:tcPr>
            <w:tcW w:w="7557" w:type="dxa"/>
            <w:tcMar>
              <w:top w:w="0" w:type="dxa"/>
              <w:left w:w="86" w:type="dxa"/>
              <w:bottom w:w="43" w:type="dxa"/>
              <w:right w:w="86" w:type="dxa"/>
            </w:tcMar>
          </w:tcPr>
          <w:p w14:paraId="66CB35B1" w14:textId="77777777" w:rsidR="0024491B" w:rsidRPr="005D4222" w:rsidRDefault="0024491B" w:rsidP="00A53E8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1CD7BFA3" w14:textId="77777777" w:rsidR="0024491B" w:rsidRPr="005D4222" w:rsidRDefault="0024491B" w:rsidP="00A53E8C">
            <w:pPr>
              <w:pStyle w:val="ECDSBody"/>
              <w:rPr>
                <w:b/>
              </w:rPr>
            </w:pPr>
            <w:r w:rsidRPr="005D4222">
              <w:rPr>
                <w:b/>
              </w:rPr>
              <w:t>Adjusted HEDIS measures may not be used for HEDIS health plan reporting.</w:t>
            </w:r>
          </w:p>
          <w:p w14:paraId="1BDF9F1E" w14:textId="77777777" w:rsidR="0024491B" w:rsidRPr="005D4222" w:rsidRDefault="0024491B" w:rsidP="00A53E8C">
            <w:pPr>
              <w:pStyle w:val="Adjustments"/>
              <w:rPr>
                <w:b w:val="0"/>
              </w:rPr>
            </w:pPr>
            <w:r w:rsidRPr="005D4222">
              <w:t>Adjustments</w:t>
            </w:r>
            <w:r w:rsidRPr="005D4222">
              <w:rPr>
                <w:bCs/>
              </w:rPr>
              <w:t xml:space="preserve"> a</w:t>
            </w:r>
            <w:r w:rsidRPr="005D4222">
              <w:t>llowed</w:t>
            </w:r>
          </w:p>
          <w:p w14:paraId="6CE7FFA3" w14:textId="392C023C" w:rsidR="0024491B" w:rsidRPr="005D4222" w:rsidRDefault="0024491B" w:rsidP="005D6173">
            <w:pPr>
              <w:pStyle w:val="ProcessBullet"/>
              <w:numPr>
                <w:ilvl w:val="0"/>
                <w:numId w:val="98"/>
              </w:numPr>
              <w:tabs>
                <w:tab w:val="left" w:pos="216"/>
              </w:tabs>
              <w:ind w:left="216" w:hanging="216"/>
            </w:pPr>
            <w:r w:rsidRPr="005D4222">
              <w:rPr>
                <w:i/>
                <w:iCs/>
              </w:rPr>
              <w:t xml:space="preserve">Product lines. </w:t>
            </w:r>
            <w:r w:rsidRPr="005D4222">
              <w:rPr>
                <w:rFonts w:eastAsia="Arial"/>
              </w:rPr>
              <w:t>Organizations are not required to use product line criteria; product lines may be combined</w:t>
            </w:r>
            <w:r w:rsidR="00E8671F" w:rsidRPr="005D4222">
              <w:rPr>
                <w:rFonts w:eastAsia="Arial"/>
              </w:rPr>
              <w:t>,</w:t>
            </w:r>
            <w:r w:rsidRPr="005D4222">
              <w:rPr>
                <w:rFonts w:eastAsia="Arial"/>
              </w:rPr>
              <w:t xml:space="preserve"> and all (or no) product line criteria may be used.</w:t>
            </w:r>
          </w:p>
          <w:p w14:paraId="1B4703D5" w14:textId="77777777" w:rsidR="0024491B" w:rsidRPr="005D4222" w:rsidRDefault="0024491B" w:rsidP="005D6173">
            <w:pPr>
              <w:pStyle w:val="ProcessBullet"/>
              <w:numPr>
                <w:ilvl w:val="0"/>
                <w:numId w:val="98"/>
              </w:numPr>
              <w:tabs>
                <w:tab w:val="left" w:pos="216"/>
              </w:tabs>
              <w:ind w:left="216" w:hanging="216"/>
            </w:pPr>
            <w:r w:rsidRPr="005D4222">
              <w:rPr>
                <w:i/>
                <w:iCs/>
              </w:rPr>
              <w:t>Attribution.</w:t>
            </w:r>
            <w:r w:rsidRPr="005D4222">
              <w:t xml:space="preserve"> Organizations are not required to use enrollment criteria. </w:t>
            </w:r>
          </w:p>
          <w:p w14:paraId="0E6AC059" w14:textId="1E1D1A20" w:rsidR="0024491B" w:rsidRPr="005D4222" w:rsidRDefault="00362E76" w:rsidP="005D6173">
            <w:pPr>
              <w:pStyle w:val="ProcessBullet"/>
              <w:numPr>
                <w:ilvl w:val="0"/>
                <w:numId w:val="98"/>
              </w:numPr>
              <w:tabs>
                <w:tab w:val="left" w:pos="216"/>
              </w:tabs>
              <w:ind w:left="216" w:hanging="216"/>
            </w:pPr>
            <w:r w:rsidRPr="005D4222">
              <w:rPr>
                <w:i/>
                <w:iCs/>
              </w:rPr>
              <w:t>Benefits.</w:t>
            </w:r>
            <w:r w:rsidR="0024491B" w:rsidRPr="005D4222">
              <w:t xml:space="preserve"> Organizations are not required to use a benefit.</w:t>
            </w:r>
          </w:p>
          <w:p w14:paraId="3061D220" w14:textId="226ACCB8" w:rsidR="0024491B" w:rsidRPr="005D4222" w:rsidRDefault="0024491B" w:rsidP="005D6173">
            <w:pPr>
              <w:pStyle w:val="ProcessBullet"/>
              <w:numPr>
                <w:ilvl w:val="0"/>
                <w:numId w:val="98"/>
              </w:numPr>
              <w:tabs>
                <w:tab w:val="left" w:pos="216"/>
              </w:tabs>
              <w:ind w:left="216" w:hanging="216"/>
            </w:pPr>
            <w:r w:rsidRPr="005D4222">
              <w:rPr>
                <w:i/>
                <w:iCs/>
              </w:rPr>
              <w:t>Other.</w:t>
            </w:r>
            <w:r w:rsidRPr="005D4222">
              <w:t xml:space="preserve"> Organizations may use additional initial population criteria to focus on a population of interest such as gender, race and ethnicity, socioeconomic</w:t>
            </w:r>
            <w:r w:rsidR="00D21DDE" w:rsidRPr="005D4222">
              <w:t xml:space="preserve"> or</w:t>
            </w:r>
            <w:r w:rsidRPr="005D4222">
              <w:t xml:space="preserve"> sociodemographic </w:t>
            </w:r>
            <w:r w:rsidR="00F31C68" w:rsidRPr="005D4222">
              <w:t>characteristics</w:t>
            </w:r>
            <w:r w:rsidRPr="005D4222">
              <w:t>, geographic region or another characteristic.</w:t>
            </w:r>
          </w:p>
          <w:p w14:paraId="33C6ED84" w14:textId="77777777" w:rsidR="0024491B" w:rsidRPr="005D4222" w:rsidRDefault="0024491B" w:rsidP="005D6173">
            <w:pPr>
              <w:pStyle w:val="ProcessBullet"/>
              <w:numPr>
                <w:ilvl w:val="0"/>
                <w:numId w:val="98"/>
              </w:numPr>
              <w:tabs>
                <w:tab w:val="left" w:pos="216"/>
              </w:tabs>
              <w:ind w:left="216" w:hanging="216"/>
            </w:pPr>
            <w:r w:rsidRPr="005D4222">
              <w:rPr>
                <w:i/>
                <w:iCs/>
              </w:rPr>
              <w:t>Measurement period adjustments.</w:t>
            </w:r>
            <w:r w:rsidRPr="005D4222">
              <w:t xml:space="preserve"> Organizations may adjust the measurement period. </w:t>
            </w:r>
          </w:p>
          <w:p w14:paraId="7192BD43" w14:textId="77777777" w:rsidR="0024491B" w:rsidRPr="005D4222" w:rsidRDefault="0024491B" w:rsidP="005D6173">
            <w:pPr>
              <w:pStyle w:val="ProcessBullet"/>
              <w:numPr>
                <w:ilvl w:val="0"/>
                <w:numId w:val="98"/>
              </w:numPr>
              <w:tabs>
                <w:tab w:val="left" w:pos="216"/>
              </w:tabs>
              <w:ind w:left="216" w:hanging="216"/>
            </w:pPr>
            <w:r w:rsidRPr="005D4222">
              <w:rPr>
                <w:i/>
                <w:iCs/>
              </w:rPr>
              <w:t>Stratifications:</w:t>
            </w:r>
            <w:r w:rsidRPr="005D4222">
              <w:t xml:space="preserve"> </w:t>
            </w:r>
            <w:r w:rsidRPr="005D4222">
              <w:rPr>
                <w:iCs/>
              </w:rPr>
              <w:t xml:space="preserve">Race and ethnicity stratification. </w:t>
            </w:r>
            <w:r w:rsidRPr="005D4222">
              <w:t>The race and ethnicity stratification is</w:t>
            </w:r>
            <w:r w:rsidRPr="005D4222" w:rsidDel="009607E7">
              <w:t xml:space="preserve"> </w:t>
            </w:r>
            <w:r w:rsidRPr="005D4222">
              <w:t>not required. Organizations may adjust this stratification as needed.</w:t>
            </w:r>
          </w:p>
          <w:p w14:paraId="2573AB27" w14:textId="77777777" w:rsidR="0024491B" w:rsidRPr="005D4222" w:rsidRDefault="0024491B" w:rsidP="005D6173">
            <w:pPr>
              <w:pStyle w:val="ProcessBullet"/>
              <w:numPr>
                <w:ilvl w:val="0"/>
                <w:numId w:val="98"/>
              </w:numPr>
              <w:tabs>
                <w:tab w:val="left" w:pos="216"/>
              </w:tabs>
              <w:ind w:left="216" w:hanging="216"/>
            </w:pPr>
            <w:r w:rsidRPr="005D4222">
              <w:rPr>
                <w:i/>
                <w:iCs/>
              </w:rPr>
              <w:t xml:space="preserve">Exclusions. </w:t>
            </w:r>
            <w:r w:rsidRPr="005D4222">
              <w:t xml:space="preserve">Hospice and deceased persons exclusions are not required. </w:t>
            </w:r>
          </w:p>
          <w:p w14:paraId="2EB0D28A" w14:textId="34697E28" w:rsidR="00212974" w:rsidRPr="005D4222" w:rsidRDefault="0024491B" w:rsidP="005D6173">
            <w:pPr>
              <w:pStyle w:val="ProcessBullet"/>
              <w:numPr>
                <w:ilvl w:val="0"/>
                <w:numId w:val="98"/>
              </w:numPr>
              <w:tabs>
                <w:tab w:val="left" w:pos="216"/>
              </w:tabs>
              <w:spacing w:after="80"/>
              <w:ind w:left="216" w:hanging="216"/>
            </w:pPr>
            <w:r w:rsidRPr="005D4222">
              <w:rPr>
                <w:i/>
                <w:iCs/>
              </w:rPr>
              <w:t xml:space="preserve">Telehealth. </w:t>
            </w:r>
            <w:r w:rsidRPr="005D4222">
              <w:t>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tc>
      </w:tr>
    </w:tbl>
    <w:p w14:paraId="27EF8837" w14:textId="77777777" w:rsidR="00212974" w:rsidRPr="005D4222" w:rsidRDefault="00212974">
      <w:r w:rsidRPr="005D4222">
        <w:br w:type="page"/>
      </w:r>
    </w:p>
    <w:tbl>
      <w:tblPr>
        <w:tblW w:w="5001" w:type="pct"/>
        <w:tblBorders>
          <w:top w:val="single" w:sz="4" w:space="0" w:color="auto"/>
          <w:left w:val="single" w:sz="2" w:space="0" w:color="auto"/>
          <w:bottom w:val="single" w:sz="4" w:space="0" w:color="auto"/>
          <w:right w:val="single" w:sz="4" w:space="0" w:color="auto"/>
          <w:insideH w:val="single" w:sz="4" w:space="0" w:color="auto"/>
          <w:insideV w:val="single" w:sz="4"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212974" w:rsidRPr="005D4222" w14:paraId="0811B016" w14:textId="77777777" w:rsidTr="00A53E8C">
        <w:trPr>
          <w:trHeight w:val="45"/>
        </w:trPr>
        <w:tc>
          <w:tcPr>
            <w:tcW w:w="2157" w:type="dxa"/>
            <w:shd w:val="clear" w:color="auto" w:fill="BFBFBF" w:themeFill="background1" w:themeFillShade="BF"/>
            <w:tcMar>
              <w:top w:w="0" w:type="dxa"/>
              <w:left w:w="86" w:type="dxa"/>
              <w:bottom w:w="43" w:type="dxa"/>
              <w:right w:w="86" w:type="dxa"/>
            </w:tcMar>
          </w:tcPr>
          <w:p w14:paraId="2C116355" w14:textId="77777777" w:rsidR="00212974" w:rsidRPr="005D4222" w:rsidRDefault="00212974" w:rsidP="00A53E8C">
            <w:pPr>
              <w:pStyle w:val="ECDSMarginHead"/>
            </w:pPr>
          </w:p>
        </w:tc>
        <w:tc>
          <w:tcPr>
            <w:tcW w:w="7557" w:type="dxa"/>
            <w:tcMar>
              <w:top w:w="0" w:type="dxa"/>
              <w:left w:w="86" w:type="dxa"/>
              <w:bottom w:w="43" w:type="dxa"/>
              <w:right w:w="86" w:type="dxa"/>
            </w:tcMar>
          </w:tcPr>
          <w:p w14:paraId="53945494" w14:textId="77777777" w:rsidR="00212974" w:rsidRPr="005D4222" w:rsidRDefault="00212974" w:rsidP="00D4650E">
            <w:pPr>
              <w:pStyle w:val="Adjustments"/>
              <w:spacing w:before="120"/>
              <w:rPr>
                <w:b w:val="0"/>
              </w:rPr>
            </w:pPr>
            <w:r w:rsidRPr="005D4222">
              <w:t>Adjustments allowed with limits</w:t>
            </w:r>
          </w:p>
          <w:p w14:paraId="7C7DA394" w14:textId="77777777" w:rsidR="00212974" w:rsidRPr="005D4222" w:rsidRDefault="00212974" w:rsidP="005D6173">
            <w:pPr>
              <w:pStyle w:val="ProcessBullet"/>
              <w:numPr>
                <w:ilvl w:val="0"/>
                <w:numId w:val="98"/>
              </w:numPr>
              <w:tabs>
                <w:tab w:val="left" w:pos="216"/>
              </w:tabs>
              <w:ind w:left="216" w:hanging="216"/>
              <w:rPr>
                <w:b/>
                <w:kern w:val="24"/>
              </w:rPr>
            </w:pPr>
            <w:r w:rsidRPr="005D4222">
              <w:rPr>
                <w:rFonts w:eastAsia="Arial"/>
                <w:i/>
                <w:iCs/>
              </w:rPr>
              <w:t xml:space="preserve">Ages. </w:t>
            </w:r>
            <w:r w:rsidRPr="005D4222">
              <w:rPr>
                <w:rFonts w:eastAsia="Arial"/>
              </w:rPr>
              <w:t>The age determination dates may be changed (e.g., select, “age as of June 30”). Changing the denominator age range is allowed; however, organizations must consult ACIP guidelines when considering whether to expand the age range outside current thresholds.</w:t>
            </w:r>
          </w:p>
          <w:p w14:paraId="7AF96198" w14:textId="77777777" w:rsidR="00212974" w:rsidRPr="005D4222" w:rsidRDefault="00212974" w:rsidP="00212974">
            <w:pPr>
              <w:pStyle w:val="Adjustments"/>
              <w:rPr>
                <w:b w:val="0"/>
              </w:rPr>
            </w:pPr>
            <w:r w:rsidRPr="005D4222">
              <w:t>Adjustments not allowed</w:t>
            </w:r>
          </w:p>
          <w:p w14:paraId="321C706C" w14:textId="5FEC1A41" w:rsidR="00212974" w:rsidRPr="005D4222" w:rsidRDefault="00212974" w:rsidP="005D6173">
            <w:pPr>
              <w:pStyle w:val="ProcessBullet"/>
              <w:numPr>
                <w:ilvl w:val="0"/>
                <w:numId w:val="98"/>
              </w:numPr>
              <w:tabs>
                <w:tab w:val="left" w:pos="216"/>
              </w:tabs>
              <w:spacing w:after="80"/>
              <w:ind w:left="216" w:hanging="216"/>
              <w:rPr>
                <w:b/>
                <w:i/>
              </w:rPr>
            </w:pPr>
            <w:r w:rsidRPr="005D4222">
              <w:rPr>
                <w:i/>
                <w:iCs/>
              </w:rPr>
              <w:t>Numerator.</w:t>
            </w:r>
            <w:r w:rsidRPr="005D4222">
              <w:t xml:space="preserve"> Value sets, direct reference codes and logic may not be changed.</w:t>
            </w:r>
          </w:p>
        </w:tc>
      </w:tr>
    </w:tbl>
    <w:p w14:paraId="34002968" w14:textId="77777777" w:rsidR="00212974" w:rsidRPr="005D4222" w:rsidRDefault="00212974" w:rsidP="00126373">
      <w:pPr>
        <w:pStyle w:val="ECDSBody"/>
        <w:sectPr w:rsidR="00212974" w:rsidRPr="005D4222" w:rsidSect="0074514A">
          <w:headerReference w:type="default" r:id="rId235"/>
          <w:type w:val="nextColumn"/>
          <w:pgSz w:w="12240" w:h="15840" w:code="1"/>
          <w:pgMar w:top="1080" w:right="1080" w:bottom="1080" w:left="1440" w:header="720" w:footer="720" w:gutter="0"/>
          <w:cols w:space="720"/>
          <w:docGrid w:linePitch="360"/>
        </w:sectPr>
      </w:pPr>
    </w:p>
    <w:p w14:paraId="10AB9246" w14:textId="1C980BEE" w:rsidR="00126373" w:rsidRPr="005D4222" w:rsidRDefault="009A14AB" w:rsidP="009A14AB">
      <w:pPr>
        <w:pStyle w:val="MeasureTitle"/>
      </w:pPr>
      <w:bookmarkStart w:id="430" w:name="_Toc201813485"/>
      <w:r w:rsidRPr="005D4222">
        <w:lastRenderedPageBreak/>
        <w:t>Prenatal Immunization Status</w:t>
      </w:r>
      <w:r w:rsidR="008A5901" w:rsidRPr="005D4222">
        <w:t xml:space="preserve"> (PRS-E)</w:t>
      </w:r>
      <w:bookmarkEnd w:id="430"/>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4670"/>
        <w:gridCol w:w="1432"/>
        <w:gridCol w:w="1455"/>
      </w:tblGrid>
      <w:tr w:rsidR="00BD75D6" w:rsidRPr="005D4222" w14:paraId="5051A50D" w14:textId="77777777" w:rsidTr="00A53E8C">
        <w:tc>
          <w:tcPr>
            <w:tcW w:w="2157" w:type="dxa"/>
            <w:shd w:val="clear" w:color="auto" w:fill="BFBFBF" w:themeFill="background1" w:themeFillShade="BF"/>
            <w:tcMar>
              <w:top w:w="0" w:type="dxa"/>
              <w:left w:w="86" w:type="dxa"/>
              <w:bottom w:w="43" w:type="dxa"/>
              <w:right w:w="86" w:type="dxa"/>
            </w:tcMar>
            <w:hideMark/>
          </w:tcPr>
          <w:p w14:paraId="4658929A" w14:textId="77777777" w:rsidR="00BD75D6" w:rsidRPr="005D4222" w:rsidRDefault="00BD75D6" w:rsidP="00A53E8C">
            <w:pPr>
              <w:pStyle w:val="ECDSMarginHead"/>
            </w:pPr>
            <w:r w:rsidRPr="005D4222">
              <w:t>Measure title</w:t>
            </w:r>
          </w:p>
        </w:tc>
        <w:tc>
          <w:tcPr>
            <w:tcW w:w="4670" w:type="dxa"/>
            <w:tcMar>
              <w:top w:w="0" w:type="dxa"/>
              <w:left w:w="86" w:type="dxa"/>
              <w:bottom w:w="43" w:type="dxa"/>
              <w:right w:w="86" w:type="dxa"/>
            </w:tcMar>
          </w:tcPr>
          <w:p w14:paraId="4EFCF5C3" w14:textId="77777777" w:rsidR="00BD75D6" w:rsidRPr="005D4222" w:rsidRDefault="00BD75D6" w:rsidP="00A53E8C">
            <w:pPr>
              <w:pStyle w:val="ECDSBody"/>
            </w:pPr>
            <w:r w:rsidRPr="005D4222">
              <w:t>Prenatal Immunization Status</w:t>
            </w:r>
            <w:r w:rsidRPr="005D4222">
              <w:rPr>
                <w:b/>
              </w:rPr>
              <w:t>*</w:t>
            </w:r>
          </w:p>
        </w:tc>
        <w:tc>
          <w:tcPr>
            <w:tcW w:w="1432" w:type="dxa"/>
            <w:shd w:val="clear" w:color="auto" w:fill="BFBFBF" w:themeFill="background1" w:themeFillShade="BF"/>
            <w:tcMar>
              <w:top w:w="0" w:type="dxa"/>
              <w:left w:w="86" w:type="dxa"/>
              <w:bottom w:w="43" w:type="dxa"/>
              <w:right w:w="86" w:type="dxa"/>
            </w:tcMar>
          </w:tcPr>
          <w:p w14:paraId="596D0F2F" w14:textId="77777777" w:rsidR="00BD75D6" w:rsidRPr="005D4222" w:rsidRDefault="00BD75D6" w:rsidP="00A53E8C">
            <w:pPr>
              <w:pStyle w:val="ECDSMarginHead"/>
            </w:pPr>
            <w:r w:rsidRPr="005D4222">
              <w:t>Measure ID</w:t>
            </w:r>
          </w:p>
        </w:tc>
        <w:tc>
          <w:tcPr>
            <w:tcW w:w="1455" w:type="dxa"/>
            <w:tcMar>
              <w:top w:w="0" w:type="dxa"/>
              <w:left w:w="86" w:type="dxa"/>
              <w:bottom w:w="43" w:type="dxa"/>
              <w:right w:w="86" w:type="dxa"/>
            </w:tcMar>
          </w:tcPr>
          <w:p w14:paraId="47EC53A4" w14:textId="77777777" w:rsidR="00BD75D6" w:rsidRPr="005D4222" w:rsidRDefault="00BD75D6" w:rsidP="00A53E8C">
            <w:pPr>
              <w:pStyle w:val="ECDSBody"/>
            </w:pPr>
            <w:r w:rsidRPr="005D4222">
              <w:t>PRS-E</w:t>
            </w:r>
          </w:p>
        </w:tc>
      </w:tr>
      <w:tr w:rsidR="00BD75D6" w:rsidRPr="005D4222" w14:paraId="581746B4" w14:textId="77777777" w:rsidTr="00A53E8C">
        <w:tc>
          <w:tcPr>
            <w:tcW w:w="2157" w:type="dxa"/>
            <w:shd w:val="clear" w:color="auto" w:fill="BFBFBF" w:themeFill="background1" w:themeFillShade="BF"/>
            <w:tcMar>
              <w:top w:w="0" w:type="dxa"/>
              <w:left w:w="86" w:type="dxa"/>
              <w:bottom w:w="43" w:type="dxa"/>
              <w:right w:w="86" w:type="dxa"/>
            </w:tcMar>
            <w:hideMark/>
          </w:tcPr>
          <w:p w14:paraId="6735C1D5" w14:textId="77777777" w:rsidR="00BD75D6" w:rsidRPr="005D4222" w:rsidRDefault="00BD75D6" w:rsidP="00A53E8C">
            <w:pPr>
              <w:pStyle w:val="ECDSMarginHead"/>
            </w:pPr>
            <w:r w:rsidRPr="005D4222">
              <w:t>Description</w:t>
            </w:r>
          </w:p>
        </w:tc>
        <w:tc>
          <w:tcPr>
            <w:tcW w:w="7557" w:type="dxa"/>
            <w:gridSpan w:val="3"/>
            <w:tcMar>
              <w:top w:w="0" w:type="dxa"/>
              <w:left w:w="86" w:type="dxa"/>
              <w:bottom w:w="43" w:type="dxa"/>
              <w:right w:w="86" w:type="dxa"/>
            </w:tcMar>
          </w:tcPr>
          <w:p w14:paraId="1459E79E" w14:textId="77777777" w:rsidR="00BD75D6" w:rsidRPr="005D4222" w:rsidRDefault="00BD75D6" w:rsidP="00A53E8C">
            <w:pPr>
              <w:pStyle w:val="ECDSBody"/>
            </w:pPr>
            <w:r w:rsidRPr="005D4222">
              <w:t>The percentage of deliveries in the measurement period in which persons received influenza and tetanus, diphtheria toxoids and acellular pertussis (Tdap) vaccinations.</w:t>
            </w:r>
          </w:p>
        </w:tc>
      </w:tr>
      <w:tr w:rsidR="00BD75D6" w:rsidRPr="005D4222" w14:paraId="67F718FB" w14:textId="77777777" w:rsidTr="00A53E8C">
        <w:tc>
          <w:tcPr>
            <w:tcW w:w="2157" w:type="dxa"/>
            <w:shd w:val="clear" w:color="auto" w:fill="BFBFBF" w:themeFill="background1" w:themeFillShade="BF"/>
            <w:tcMar>
              <w:top w:w="0" w:type="dxa"/>
              <w:left w:w="86" w:type="dxa"/>
              <w:bottom w:w="43" w:type="dxa"/>
              <w:right w:w="86" w:type="dxa"/>
            </w:tcMar>
          </w:tcPr>
          <w:p w14:paraId="10004AF9" w14:textId="77777777" w:rsidR="00BD75D6" w:rsidRPr="005D4222" w:rsidRDefault="00BD75D6" w:rsidP="00A53E8C">
            <w:pPr>
              <w:pStyle w:val="ECDSMarginHead"/>
            </w:pPr>
            <w:r w:rsidRPr="005D4222">
              <w:t>Measurement period</w:t>
            </w:r>
          </w:p>
        </w:tc>
        <w:tc>
          <w:tcPr>
            <w:tcW w:w="7557" w:type="dxa"/>
            <w:gridSpan w:val="3"/>
            <w:tcMar>
              <w:top w:w="0" w:type="dxa"/>
              <w:left w:w="86" w:type="dxa"/>
              <w:bottom w:w="43" w:type="dxa"/>
              <w:right w:w="86" w:type="dxa"/>
            </w:tcMar>
          </w:tcPr>
          <w:p w14:paraId="7648F54A" w14:textId="77777777" w:rsidR="00BD75D6" w:rsidRPr="005D4222" w:rsidRDefault="00BD75D6" w:rsidP="00A53E8C">
            <w:pPr>
              <w:pStyle w:val="ECDSBody"/>
            </w:pPr>
            <w:r w:rsidRPr="005D4222">
              <w:t>January 1–December 31.</w:t>
            </w:r>
          </w:p>
        </w:tc>
      </w:tr>
      <w:tr w:rsidR="00BD75D6" w:rsidRPr="005D4222" w14:paraId="1D99F10C" w14:textId="77777777" w:rsidTr="00A53E8C">
        <w:tc>
          <w:tcPr>
            <w:tcW w:w="2157" w:type="dxa"/>
            <w:shd w:val="clear" w:color="auto" w:fill="BFBFBF" w:themeFill="background1" w:themeFillShade="BF"/>
            <w:tcMar>
              <w:top w:w="0" w:type="dxa"/>
              <w:left w:w="86" w:type="dxa"/>
              <w:bottom w:w="43" w:type="dxa"/>
              <w:right w:w="86" w:type="dxa"/>
            </w:tcMar>
            <w:hideMark/>
          </w:tcPr>
          <w:p w14:paraId="0D865431" w14:textId="77777777" w:rsidR="00BD75D6" w:rsidRPr="005D4222" w:rsidRDefault="00BD75D6" w:rsidP="00A53E8C">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75588AB4" w14:textId="77777777" w:rsidR="00BD75D6" w:rsidRPr="005D4222" w:rsidRDefault="00BD75D6" w:rsidP="00A53E8C">
            <w:pPr>
              <w:pStyle w:val="ECDSBody"/>
              <w:ind w:left="92" w:hanging="92"/>
              <w:rPr>
                <w:i/>
                <w:iCs/>
              </w:rPr>
            </w:pPr>
            <w:r w:rsidRPr="005D4222">
              <w:rPr>
                <w:i/>
              </w:rPr>
              <w:t>*</w:t>
            </w:r>
            <w:r w:rsidRPr="005D4222">
              <w:rPr>
                <w:b/>
                <w:i/>
                <w:iCs/>
              </w:rPr>
              <w:tab/>
            </w:r>
            <w:r w:rsidRPr="005D4222">
              <w:rPr>
                <w:i/>
                <w:iCs/>
              </w:rPr>
              <w:t>Developed with support from the Department of Health and Human Services (DHHS), Office of the Assistant Secretary for Health (OASH), National Vaccine Program Office (NVPO).</w:t>
            </w:r>
          </w:p>
          <w:p w14:paraId="60CE105A" w14:textId="77777777" w:rsidR="00BD75D6" w:rsidRPr="005D4222" w:rsidRDefault="00BD75D6" w:rsidP="00A53E8C">
            <w:pPr>
              <w:pStyle w:val="ECDSBody"/>
            </w:pPr>
            <w:r w:rsidRPr="005D4222">
              <w:t xml:space="preserve">Refer to the complete copyright and disclaimer information at the front of this publication. </w:t>
            </w:r>
          </w:p>
          <w:p w14:paraId="5C563B5D" w14:textId="77777777" w:rsidR="00BD75D6" w:rsidRPr="005D4222" w:rsidRDefault="00BD75D6" w:rsidP="00A53E8C">
            <w:pPr>
              <w:pStyle w:val="ECDSBody"/>
              <w:spacing w:before="80"/>
            </w:pPr>
            <w:r w:rsidRPr="005D4222">
              <w:t xml:space="preserve">NCQA website: </w:t>
            </w:r>
            <w:r w:rsidRPr="005D4222">
              <w:rPr>
                <w:u w:val="single"/>
              </w:rPr>
              <w:t>www.ncqa.org</w:t>
            </w:r>
            <w:r w:rsidRPr="005D4222">
              <w:rPr>
                <w:rStyle w:val="Hyperlink"/>
              </w:rPr>
              <w:t>.</w:t>
            </w:r>
            <w:r w:rsidRPr="005D4222">
              <w:t xml:space="preserve"> </w:t>
            </w:r>
          </w:p>
          <w:p w14:paraId="7330437C" w14:textId="77777777" w:rsidR="00BD75D6" w:rsidRPr="005D4222" w:rsidRDefault="00BD75D6" w:rsidP="00A53E8C">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BD75D6" w:rsidRPr="005D4222" w14:paraId="24DB4FB8" w14:textId="77777777" w:rsidTr="00A53E8C">
        <w:tc>
          <w:tcPr>
            <w:tcW w:w="2157" w:type="dxa"/>
            <w:shd w:val="clear" w:color="auto" w:fill="BFBFBF" w:themeFill="background1" w:themeFillShade="BF"/>
            <w:tcMar>
              <w:top w:w="0" w:type="dxa"/>
              <w:left w:w="86" w:type="dxa"/>
              <w:bottom w:w="43" w:type="dxa"/>
              <w:right w:w="86" w:type="dxa"/>
            </w:tcMar>
            <w:hideMark/>
          </w:tcPr>
          <w:p w14:paraId="35C11CB9" w14:textId="77777777" w:rsidR="00BD75D6" w:rsidRPr="005D4222" w:rsidRDefault="00BD75D6" w:rsidP="00A53E8C">
            <w:pPr>
              <w:pStyle w:val="ECDSMarginHead"/>
            </w:pPr>
            <w:r w:rsidRPr="005D4222">
              <w:t>Clinical recommendation statement and rationale</w:t>
            </w:r>
          </w:p>
        </w:tc>
        <w:tc>
          <w:tcPr>
            <w:tcW w:w="7557" w:type="dxa"/>
            <w:gridSpan w:val="3"/>
            <w:tcMar>
              <w:top w:w="0" w:type="dxa"/>
              <w:left w:w="86" w:type="dxa"/>
              <w:bottom w:w="43" w:type="dxa"/>
              <w:right w:w="86" w:type="dxa"/>
            </w:tcMar>
          </w:tcPr>
          <w:p w14:paraId="4C77A3FF" w14:textId="77777777" w:rsidR="00BD75D6" w:rsidRPr="005D4222" w:rsidRDefault="00BD75D6" w:rsidP="00A53E8C">
            <w:pPr>
              <w:pStyle w:val="ECDSBody"/>
            </w:pPr>
            <w:r w:rsidRPr="005D4222">
              <w:rPr>
                <w:kern w:val="20"/>
              </w:rPr>
              <w:t>Advisory Committee on Immunization Practices (ACIP) clinical guidelines recommend that all women who are pregnant or who might be pregnant in the upcoming influenza season receive inactivated influenza vaccines. ACIP also recommends that pregnant women receive one dose of Tdap during each pregnancy, preferably during the early part of gestational weeks 27–36, regardless of prior history of receiving Tdap.</w:t>
            </w:r>
          </w:p>
        </w:tc>
      </w:tr>
      <w:tr w:rsidR="00BD75D6" w:rsidRPr="005D4222" w14:paraId="6AA56749" w14:textId="77777777" w:rsidTr="00A53E8C">
        <w:tc>
          <w:tcPr>
            <w:tcW w:w="2157" w:type="dxa"/>
            <w:shd w:val="clear" w:color="auto" w:fill="BFBFBF" w:themeFill="background1" w:themeFillShade="BF"/>
            <w:tcMar>
              <w:top w:w="0" w:type="dxa"/>
              <w:left w:w="86" w:type="dxa"/>
              <w:bottom w:w="43" w:type="dxa"/>
              <w:right w:w="86" w:type="dxa"/>
            </w:tcMar>
          </w:tcPr>
          <w:p w14:paraId="0C8E16C5" w14:textId="77777777" w:rsidR="00BD75D6" w:rsidRPr="005D4222" w:rsidRDefault="00BD75D6" w:rsidP="00A53E8C">
            <w:pPr>
              <w:pStyle w:val="ECDSMarginHead"/>
            </w:pPr>
            <w:r w:rsidRPr="005D4222">
              <w:t>Citations</w:t>
            </w:r>
          </w:p>
        </w:tc>
        <w:tc>
          <w:tcPr>
            <w:tcW w:w="7557" w:type="dxa"/>
            <w:gridSpan w:val="3"/>
            <w:tcMar>
              <w:top w:w="0" w:type="dxa"/>
              <w:left w:w="86" w:type="dxa"/>
              <w:bottom w:w="43" w:type="dxa"/>
              <w:right w:w="86" w:type="dxa"/>
            </w:tcMar>
          </w:tcPr>
          <w:p w14:paraId="420C3DA3" w14:textId="77777777" w:rsidR="00BD75D6" w:rsidRPr="005D4222" w:rsidRDefault="00BD75D6" w:rsidP="00A53E8C">
            <w:pPr>
              <w:pStyle w:val="ECDSBody"/>
            </w:pPr>
            <w:r w:rsidRPr="005D4222">
              <w:rPr>
                <w:kern w:val="20"/>
              </w:rPr>
              <w:t xml:space="preserve">Wodi, A.P., A.N. Issa, C.A. Moser, S. Cineas. 2025. “Advisory Committee on Immunization Practices Recommended Immunization Schedule for Adults Aged 19 Years or Older—United States, 2025.” </w:t>
            </w:r>
            <w:r w:rsidRPr="005D4222">
              <w:rPr>
                <w:i/>
                <w:iCs/>
                <w:kern w:val="20"/>
              </w:rPr>
              <w:t>MMWR Morb Mortal Wkly Rep</w:t>
            </w:r>
            <w:r w:rsidRPr="005D4222">
              <w:rPr>
                <w:kern w:val="20"/>
              </w:rPr>
              <w:t xml:space="preserve"> 74:30–33. doi: http://dx.doi.org/10.15585/mmwr.mm7402a3</w:t>
            </w:r>
          </w:p>
        </w:tc>
      </w:tr>
      <w:tr w:rsidR="00BD75D6" w:rsidRPr="005D4222" w14:paraId="2FB778A9" w14:textId="77777777" w:rsidTr="00A53E8C">
        <w:tc>
          <w:tcPr>
            <w:tcW w:w="9714"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667849E3" w14:textId="77777777" w:rsidR="00BD75D6" w:rsidRPr="005D4222" w:rsidRDefault="00BD75D6" w:rsidP="00A53E8C">
            <w:pPr>
              <w:pStyle w:val="ECDSMarginHead"/>
            </w:pPr>
            <w:r w:rsidRPr="005D4222">
              <w:t>Characteristics</w:t>
            </w:r>
          </w:p>
        </w:tc>
      </w:tr>
      <w:tr w:rsidR="00BD75D6" w:rsidRPr="005D4222" w14:paraId="379665EA" w14:textId="77777777" w:rsidTr="00A53E8C">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2C9CB427" w14:textId="77777777" w:rsidR="00BD75D6" w:rsidRPr="005D4222" w:rsidRDefault="00BD75D6" w:rsidP="00752500">
            <w:pPr>
              <w:pStyle w:val="ECDSSubhead"/>
            </w:pPr>
            <w:r w:rsidRPr="005D4222">
              <w:t>Scoring</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12B7FDF5" w14:textId="77777777" w:rsidR="00BD75D6" w:rsidRPr="005D4222" w:rsidRDefault="00BD75D6" w:rsidP="00A53E8C">
            <w:pPr>
              <w:pStyle w:val="ECDSBody"/>
              <w:spacing w:after="0"/>
            </w:pPr>
            <w:r w:rsidRPr="005D4222">
              <w:t>Proportion.</w:t>
            </w:r>
          </w:p>
        </w:tc>
      </w:tr>
      <w:tr w:rsidR="00BD75D6" w:rsidRPr="005D4222" w14:paraId="1B0B06E3"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1FD0878B" w14:textId="77777777" w:rsidR="00BD75D6" w:rsidRPr="005D4222" w:rsidRDefault="00BD75D6" w:rsidP="00752500">
            <w:pPr>
              <w:pStyle w:val="ECDSSubhead"/>
            </w:pPr>
            <w:r w:rsidRPr="005D4222">
              <w:t>Type</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1DECA88E" w14:textId="77777777" w:rsidR="00BD75D6" w:rsidRPr="005D4222" w:rsidRDefault="00BD75D6" w:rsidP="00A53E8C">
            <w:pPr>
              <w:pStyle w:val="ECDSBody"/>
              <w:spacing w:after="0"/>
            </w:pPr>
            <w:r w:rsidRPr="005D4222">
              <w:t>Process.</w:t>
            </w:r>
          </w:p>
        </w:tc>
      </w:tr>
      <w:tr w:rsidR="00BD75D6" w:rsidRPr="005D4222" w14:paraId="5E982694" w14:textId="77777777" w:rsidTr="00A53E8C">
        <w:trPr>
          <w:trHeight w:val="300"/>
        </w:trPr>
        <w:tc>
          <w:tcPr>
            <w:tcW w:w="2157" w:type="dxa"/>
            <w:tcBorders>
              <w:top w:val="nil"/>
              <w:left w:val="single" w:sz="4" w:space="0" w:color="auto"/>
              <w:bottom w:val="nil"/>
              <w:right w:val="single" w:sz="4" w:space="0" w:color="auto"/>
            </w:tcBorders>
            <w:tcMar>
              <w:top w:w="0" w:type="dxa"/>
              <w:left w:w="86" w:type="dxa"/>
              <w:bottom w:w="43" w:type="dxa"/>
              <w:right w:w="86" w:type="dxa"/>
            </w:tcMar>
          </w:tcPr>
          <w:p w14:paraId="1113E7E4" w14:textId="37F9ACAE" w:rsidR="00BD75D6" w:rsidRPr="005D4222" w:rsidRDefault="00B51CDC" w:rsidP="00752500">
            <w:pPr>
              <w:pStyle w:val="ECDSSubhead"/>
            </w:pPr>
            <w:r w:rsidRPr="005D4222">
              <w:t>Product lines</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43B3DCDC" w14:textId="77777777" w:rsidR="00BD75D6" w:rsidRPr="005D4222" w:rsidRDefault="00BD75D6" w:rsidP="005D6173">
            <w:pPr>
              <w:pStyle w:val="ProcessBullet"/>
              <w:numPr>
                <w:ilvl w:val="0"/>
                <w:numId w:val="98"/>
              </w:numPr>
              <w:tabs>
                <w:tab w:val="left" w:pos="216"/>
              </w:tabs>
              <w:spacing w:before="120"/>
              <w:ind w:left="216" w:hanging="216"/>
            </w:pPr>
            <w:r w:rsidRPr="005D4222">
              <w:t>Commercial.</w:t>
            </w:r>
          </w:p>
          <w:p w14:paraId="662CC540" w14:textId="77777777" w:rsidR="00BD75D6" w:rsidRPr="005D4222" w:rsidRDefault="00BD75D6" w:rsidP="005D6173">
            <w:pPr>
              <w:pStyle w:val="ProcessBullet"/>
              <w:numPr>
                <w:ilvl w:val="0"/>
                <w:numId w:val="98"/>
              </w:numPr>
              <w:tabs>
                <w:tab w:val="left" w:pos="216"/>
              </w:tabs>
              <w:ind w:left="216" w:hanging="216"/>
            </w:pPr>
            <w:r w:rsidRPr="005D4222">
              <w:t>Medicaid.</w:t>
            </w:r>
          </w:p>
        </w:tc>
      </w:tr>
      <w:tr w:rsidR="00BD75D6" w:rsidRPr="005D4222" w14:paraId="20AA57A6" w14:textId="77777777" w:rsidTr="00A53E8C">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0E0CDF0D" w14:textId="0CDD3969" w:rsidR="00BD75D6" w:rsidRPr="005D4222" w:rsidRDefault="00B51CDC" w:rsidP="00752500">
            <w:pPr>
              <w:pStyle w:val="ECDSSubhead"/>
            </w:pPr>
            <w:r w:rsidRPr="005D4222">
              <w:t>Stratifications</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hideMark/>
          </w:tcPr>
          <w:p w14:paraId="1ED59CB0" w14:textId="36ADFCA8" w:rsidR="00BD75D6" w:rsidRPr="005D4222" w:rsidRDefault="00BD75D6" w:rsidP="00A53E8C">
            <w:pPr>
              <w:pStyle w:val="ECDSBody"/>
              <w:rPr>
                <w:lang w:eastAsia="zh-CN"/>
              </w:rPr>
            </w:pPr>
            <w:r w:rsidRPr="005D4222">
              <w:rPr>
                <w:lang w:eastAsia="zh-CN"/>
              </w:rPr>
              <w:t xml:space="preserve">Race. (Refer to </w:t>
            </w:r>
            <w:hyperlink w:anchor="GG_Race_and_Ethnicity" w:history="1">
              <w:r w:rsidRPr="005D4222">
                <w:rPr>
                  <w:rStyle w:val="Hyperlink"/>
                  <w:i/>
                  <w:iCs/>
                  <w:lang w:eastAsia="zh-CN"/>
                </w:rPr>
                <w:t>General Guideline: Race and Ethnicity Stratification</w:t>
              </w:r>
            </w:hyperlink>
            <w:r w:rsidRPr="005D4222">
              <w:rPr>
                <w:lang w:eastAsia="zh-CN"/>
              </w:rPr>
              <w:t xml:space="preserve">.) </w:t>
            </w:r>
          </w:p>
          <w:p w14:paraId="03E8D0CD" w14:textId="77777777" w:rsidR="00BD75D6" w:rsidRPr="005D4222" w:rsidRDefault="00BD75D6" w:rsidP="00BD75D6">
            <w:pPr>
              <w:pStyle w:val="Bullet"/>
              <w:numPr>
                <w:ilvl w:val="0"/>
                <w:numId w:val="4"/>
              </w:numPr>
              <w:ind w:left="576" w:hanging="216"/>
            </w:pPr>
            <w:r w:rsidRPr="005D4222">
              <w:t>American Indian or Alaska Native.</w:t>
            </w:r>
          </w:p>
          <w:p w14:paraId="159EF92E" w14:textId="77777777" w:rsidR="00BD75D6" w:rsidRPr="005D4222" w:rsidRDefault="00BD75D6" w:rsidP="00BD75D6">
            <w:pPr>
              <w:pStyle w:val="Bullet"/>
              <w:numPr>
                <w:ilvl w:val="0"/>
                <w:numId w:val="4"/>
              </w:numPr>
              <w:ind w:left="576" w:hanging="216"/>
            </w:pPr>
            <w:r w:rsidRPr="005D4222">
              <w:t>Asian.</w:t>
            </w:r>
          </w:p>
          <w:p w14:paraId="0ECA0FBD" w14:textId="77777777" w:rsidR="00BD75D6" w:rsidRPr="005D4222" w:rsidRDefault="00BD75D6" w:rsidP="00BD75D6">
            <w:pPr>
              <w:pStyle w:val="Bullet"/>
              <w:numPr>
                <w:ilvl w:val="0"/>
                <w:numId w:val="4"/>
              </w:numPr>
              <w:ind w:left="576" w:hanging="216"/>
            </w:pPr>
            <w:r w:rsidRPr="005D4222">
              <w:t>Black or African American.</w:t>
            </w:r>
          </w:p>
          <w:p w14:paraId="78CA77B6" w14:textId="77777777" w:rsidR="00BD75D6" w:rsidRPr="005D4222" w:rsidRDefault="00BD75D6" w:rsidP="00BD75D6">
            <w:pPr>
              <w:pStyle w:val="Bullet"/>
              <w:numPr>
                <w:ilvl w:val="0"/>
                <w:numId w:val="4"/>
              </w:numPr>
              <w:ind w:left="576" w:hanging="216"/>
            </w:pPr>
            <w:r w:rsidRPr="005D4222">
              <w:t>Middle Eastern or North African.</w:t>
            </w:r>
          </w:p>
          <w:p w14:paraId="0A5F67D9" w14:textId="77777777" w:rsidR="00BD75D6" w:rsidRPr="005D4222" w:rsidRDefault="00BD75D6" w:rsidP="00BD75D6">
            <w:pPr>
              <w:pStyle w:val="Bullet"/>
              <w:numPr>
                <w:ilvl w:val="0"/>
                <w:numId w:val="4"/>
              </w:numPr>
              <w:ind w:left="576" w:hanging="216"/>
            </w:pPr>
            <w:r w:rsidRPr="005D4222">
              <w:t>Native Hawaiian or Pacific Islander.</w:t>
            </w:r>
          </w:p>
          <w:p w14:paraId="314AE119" w14:textId="125D2D1E" w:rsidR="00526050" w:rsidRPr="005D4222" w:rsidRDefault="00BD75D6" w:rsidP="00526050">
            <w:pPr>
              <w:pStyle w:val="Bullet"/>
              <w:numPr>
                <w:ilvl w:val="0"/>
                <w:numId w:val="4"/>
              </w:numPr>
              <w:spacing w:after="80"/>
              <w:ind w:left="576" w:hanging="216"/>
            </w:pPr>
            <w:r w:rsidRPr="005D4222">
              <w:t>White.</w:t>
            </w:r>
          </w:p>
        </w:tc>
      </w:tr>
      <w:tr w:rsidR="00BD75D6" w:rsidRPr="005D4222" w14:paraId="18D59700" w14:textId="77777777" w:rsidTr="00A53E8C">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41F12D6F" w14:textId="77777777" w:rsidR="00BD75D6" w:rsidRPr="005D4222" w:rsidRDefault="00BD75D6" w:rsidP="00752500">
            <w:pPr>
              <w:pStyle w:val="ECDSSubhead"/>
            </w:pP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tcPr>
          <w:p w14:paraId="6DD8335A" w14:textId="77777777" w:rsidR="00526050" w:rsidRPr="005D4222" w:rsidDel="00425EA2" w:rsidRDefault="00526050" w:rsidP="00526050">
            <w:pPr>
              <w:pStyle w:val="Bullet"/>
              <w:numPr>
                <w:ilvl w:val="0"/>
                <w:numId w:val="4"/>
              </w:numPr>
              <w:ind w:left="576" w:hanging="216"/>
            </w:pPr>
            <w:r w:rsidRPr="005D4222">
              <w:t>Some Other Race.</w:t>
            </w:r>
          </w:p>
          <w:p w14:paraId="1A36EA93" w14:textId="77777777" w:rsidR="00526050" w:rsidRPr="005D4222" w:rsidDel="00084ADE" w:rsidRDefault="00526050" w:rsidP="00526050">
            <w:pPr>
              <w:pStyle w:val="Bullet"/>
              <w:numPr>
                <w:ilvl w:val="0"/>
                <w:numId w:val="4"/>
              </w:numPr>
              <w:ind w:left="576" w:hanging="216"/>
            </w:pPr>
            <w:r w:rsidRPr="005D4222" w:rsidDel="00084ADE">
              <w:t>Two or More Races.</w:t>
            </w:r>
          </w:p>
          <w:p w14:paraId="47D1CC03" w14:textId="77777777" w:rsidR="00526050" w:rsidRPr="005D4222" w:rsidRDefault="00526050" w:rsidP="00526050">
            <w:pPr>
              <w:pStyle w:val="Bullet"/>
              <w:numPr>
                <w:ilvl w:val="0"/>
                <w:numId w:val="4"/>
              </w:numPr>
              <w:ind w:left="576" w:hanging="216"/>
            </w:pPr>
            <w:r w:rsidRPr="005D4222">
              <w:t>Asked But No Answer.</w:t>
            </w:r>
          </w:p>
          <w:p w14:paraId="568C7B49" w14:textId="77777777" w:rsidR="00526050" w:rsidRPr="005D4222" w:rsidRDefault="00526050" w:rsidP="00526050">
            <w:pPr>
              <w:pStyle w:val="Bullet"/>
              <w:numPr>
                <w:ilvl w:val="0"/>
                <w:numId w:val="4"/>
              </w:numPr>
              <w:ind w:left="576" w:hanging="216"/>
            </w:pPr>
            <w:r w:rsidRPr="005D4222">
              <w:t>Unknown.</w:t>
            </w:r>
          </w:p>
          <w:p w14:paraId="5C68C2A8" w14:textId="07B7D885" w:rsidR="00BD75D6" w:rsidRPr="005D4222" w:rsidDel="00D32587" w:rsidRDefault="00BD75D6" w:rsidP="00A53E8C">
            <w:pPr>
              <w:pStyle w:val="ECDSBody"/>
              <w:rPr>
                <w:lang w:eastAsia="zh-CN"/>
              </w:rPr>
            </w:pPr>
            <w:r w:rsidRPr="005D4222">
              <w:rPr>
                <w:lang w:eastAsia="zh-CN"/>
              </w:rPr>
              <w:t>Ethnicity.</w:t>
            </w:r>
            <w:r w:rsidRPr="005D4222" w:rsidDel="00D32587">
              <w:rPr>
                <w:lang w:eastAsia="zh-CN"/>
              </w:rPr>
              <w:t xml:space="preserve"> (Refer to </w:t>
            </w:r>
            <w:hyperlink w:anchor="GG_Race_and_Ethnicity" w:history="1">
              <w:r w:rsidRPr="005D4222" w:rsidDel="00D32587">
                <w:rPr>
                  <w:rStyle w:val="Hyperlink"/>
                  <w:i/>
                  <w:iCs/>
                  <w:lang w:eastAsia="zh-CN"/>
                </w:rPr>
                <w:t>General Guideline: Race and Ethnicity Stratification</w:t>
              </w:r>
            </w:hyperlink>
            <w:r w:rsidRPr="005D4222">
              <w:rPr>
                <w:i/>
                <w:iCs/>
                <w:lang w:eastAsia="zh-CN"/>
              </w:rPr>
              <w:t>.</w:t>
            </w:r>
            <w:r w:rsidRPr="005D4222" w:rsidDel="00D32587">
              <w:rPr>
                <w:lang w:eastAsia="zh-CN"/>
              </w:rPr>
              <w:t>)</w:t>
            </w:r>
          </w:p>
          <w:p w14:paraId="3A007DE0" w14:textId="77777777" w:rsidR="00BD75D6" w:rsidRPr="005D4222" w:rsidDel="00D32587" w:rsidRDefault="00BD75D6" w:rsidP="00BD75D6">
            <w:pPr>
              <w:pStyle w:val="Bullet"/>
              <w:numPr>
                <w:ilvl w:val="0"/>
                <w:numId w:val="4"/>
              </w:numPr>
              <w:ind w:left="576" w:hanging="216"/>
            </w:pPr>
            <w:r w:rsidRPr="005D4222" w:rsidDel="00D32587">
              <w:t>Hispanic or Latino.</w:t>
            </w:r>
          </w:p>
          <w:p w14:paraId="3FE9C1DB" w14:textId="77777777" w:rsidR="00BD75D6" w:rsidRPr="005D4222" w:rsidDel="00D32587" w:rsidRDefault="00BD75D6" w:rsidP="00BD75D6">
            <w:pPr>
              <w:pStyle w:val="Bullet"/>
              <w:numPr>
                <w:ilvl w:val="0"/>
                <w:numId w:val="4"/>
              </w:numPr>
              <w:ind w:left="576" w:hanging="216"/>
            </w:pPr>
            <w:r w:rsidRPr="005D4222" w:rsidDel="00D32587">
              <w:t>Not Hispanic or Latino.</w:t>
            </w:r>
          </w:p>
          <w:p w14:paraId="05BED357" w14:textId="77777777" w:rsidR="00BD75D6" w:rsidRPr="005D4222" w:rsidDel="00D32587" w:rsidRDefault="00BD75D6" w:rsidP="00BD75D6">
            <w:pPr>
              <w:pStyle w:val="Bullet"/>
              <w:numPr>
                <w:ilvl w:val="0"/>
                <w:numId w:val="4"/>
              </w:numPr>
              <w:ind w:left="576" w:hanging="216"/>
            </w:pPr>
            <w:r w:rsidRPr="005D4222" w:rsidDel="00D32587">
              <w:t>Asked But No Answer.</w:t>
            </w:r>
          </w:p>
          <w:p w14:paraId="04BE6FD9" w14:textId="77777777" w:rsidR="00BD75D6" w:rsidRPr="005D4222" w:rsidRDefault="00BD75D6" w:rsidP="00BD75D6">
            <w:pPr>
              <w:pStyle w:val="Bullet"/>
              <w:numPr>
                <w:ilvl w:val="0"/>
                <w:numId w:val="4"/>
              </w:numPr>
              <w:ind w:left="576" w:hanging="216"/>
              <w:rPr>
                <w:lang w:eastAsia="zh-CN"/>
              </w:rPr>
            </w:pPr>
            <w:r w:rsidRPr="005D4222" w:rsidDel="00D32587">
              <w:t>Unknown.</w:t>
            </w:r>
          </w:p>
        </w:tc>
      </w:tr>
      <w:tr w:rsidR="00BD75D6" w:rsidRPr="005D4222" w14:paraId="2FCC8BC7"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550E9332" w14:textId="77777777" w:rsidR="00BD75D6" w:rsidRPr="005D4222" w:rsidRDefault="00BD75D6" w:rsidP="00752500">
            <w:pPr>
              <w:pStyle w:val="ECDSSubhead"/>
            </w:pPr>
            <w:r w:rsidRPr="005D4222">
              <w:t>Risk adjustment</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2B31C7D9" w14:textId="77777777" w:rsidR="00BD75D6" w:rsidRPr="005D4222" w:rsidRDefault="00BD75D6" w:rsidP="00A53E8C">
            <w:pPr>
              <w:pStyle w:val="ECDSBody"/>
              <w:spacing w:after="0"/>
            </w:pPr>
            <w:r w:rsidRPr="005D4222">
              <w:t>None.</w:t>
            </w:r>
          </w:p>
        </w:tc>
      </w:tr>
      <w:tr w:rsidR="00BD75D6" w:rsidRPr="005D4222" w14:paraId="6E8DEB0E"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551B10C2" w14:textId="77777777" w:rsidR="00BD75D6" w:rsidRPr="005D4222" w:rsidRDefault="00BD75D6" w:rsidP="00752500">
            <w:pPr>
              <w:pStyle w:val="ECDSSubhead"/>
            </w:pPr>
            <w:r w:rsidRPr="005D4222">
              <w:t>Improvement notation</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0A5EB68D" w14:textId="77777777" w:rsidR="00BD75D6" w:rsidRPr="005D4222" w:rsidRDefault="00BD75D6" w:rsidP="00A53E8C">
            <w:pPr>
              <w:pStyle w:val="ECDSBody"/>
              <w:spacing w:after="0"/>
            </w:pPr>
            <w:r w:rsidRPr="005D4222">
              <w:rPr>
                <w:iCs/>
              </w:rPr>
              <w:t>Increased score indicates improvement.</w:t>
            </w:r>
          </w:p>
        </w:tc>
      </w:tr>
      <w:tr w:rsidR="00BD75D6" w:rsidRPr="005D4222" w14:paraId="7D9BB2F9" w14:textId="77777777" w:rsidTr="00A53E8C">
        <w:trPr>
          <w:trHeight w:val="633"/>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557F5BE4" w14:textId="77777777" w:rsidR="00BD75D6" w:rsidRPr="005D4222" w:rsidRDefault="00BD75D6" w:rsidP="00752500">
            <w:pPr>
              <w:pStyle w:val="ECDSSubhead"/>
            </w:pPr>
            <w:r w:rsidRPr="005D4222">
              <w:t>Guidance</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11F51193" w14:textId="436E42A7" w:rsidR="00BD75D6" w:rsidRPr="005D4222" w:rsidRDefault="00BD75D6" w:rsidP="00A53E8C">
            <w:pPr>
              <w:pStyle w:val="ECDSBody"/>
            </w:pPr>
            <w:r w:rsidRPr="005D4222">
              <w:rPr>
                <w:b/>
              </w:rPr>
              <w:t>Data collection methodology</w:t>
            </w:r>
            <w:r w:rsidRPr="005D4222">
              <w:rPr>
                <w:b/>
                <w:bCs w:val="0"/>
              </w:rPr>
              <w:t xml:space="preserve">: </w:t>
            </w:r>
            <w:r w:rsidRPr="005D4222">
              <w:t xml:space="preserve">ECDS. Refer to </w:t>
            </w:r>
            <w:hyperlink w:anchor="General_Guideline_Data_Collection_Method" w:history="1">
              <w:r w:rsidRPr="005D4222">
                <w:rPr>
                  <w:rStyle w:val="Hyperlink"/>
                  <w:i/>
                  <w:iCs/>
                </w:rPr>
                <w:t>General Guideline: Data Collection Methods</w:t>
              </w:r>
            </w:hyperlink>
            <w:r w:rsidRPr="005D4222">
              <w:t xml:space="preserve"> for additional information. </w:t>
            </w:r>
          </w:p>
          <w:p w14:paraId="01AFDC6B" w14:textId="77777777" w:rsidR="00BD75D6" w:rsidRPr="005D4222" w:rsidRDefault="00BD75D6" w:rsidP="00A53E8C">
            <w:pPr>
              <w:pStyle w:val="ECDSBody"/>
            </w:pPr>
            <w:r w:rsidRPr="005D4222">
              <w:rPr>
                <w:b/>
              </w:rPr>
              <w:t xml:space="preserve">Date specificity: </w:t>
            </w:r>
            <w:r w:rsidRPr="005D4222">
              <w:t>Dates must be specific enough to determine that the event occurred in the period being measured.</w:t>
            </w:r>
          </w:p>
          <w:p w14:paraId="52A7A832" w14:textId="77777777" w:rsidR="00BD75D6" w:rsidRPr="005D4222" w:rsidRDefault="00BD75D6" w:rsidP="00A53E8C">
            <w:pPr>
              <w:pStyle w:val="ECDSBody"/>
            </w:pPr>
            <w:r w:rsidRPr="005D4222">
              <w:rPr>
                <w:b/>
              </w:rPr>
              <w:t xml:space="preserve">Which services count? </w:t>
            </w:r>
            <w:r w:rsidRPr="005D4222">
              <w:t>When using claims, include all paid, suspended, pending and denied claims.</w:t>
            </w:r>
          </w:p>
          <w:p w14:paraId="04EC7045" w14:textId="77777777" w:rsidR="00BD75D6" w:rsidRPr="005D4222" w:rsidRDefault="00BD75D6" w:rsidP="00A53E8C">
            <w:pPr>
              <w:pStyle w:val="ECDSBody"/>
            </w:pPr>
            <w:r w:rsidRPr="005D4222">
              <w:rPr>
                <w:b/>
              </w:rPr>
              <w:t xml:space="preserve">Other guidance: </w:t>
            </w:r>
            <w:r w:rsidRPr="005D4222">
              <w:t xml:space="preserve">The measure is based on deliveries; therefore, it is possible for denominator to include multiple deliveries for the same person. </w:t>
            </w:r>
          </w:p>
        </w:tc>
      </w:tr>
      <w:tr w:rsidR="00BD75D6" w:rsidRPr="005D4222" w14:paraId="50BFDC21" w14:textId="77777777" w:rsidTr="00A53E8C">
        <w:tc>
          <w:tcPr>
            <w:tcW w:w="9714" w:type="dxa"/>
            <w:gridSpan w:val="4"/>
            <w:tcBorders>
              <w:top w:val="single" w:sz="4" w:space="0" w:color="auto"/>
              <w:bottom w:val="nil"/>
            </w:tcBorders>
            <w:shd w:val="clear" w:color="auto" w:fill="BFBFBF" w:themeFill="background1" w:themeFillShade="BF"/>
            <w:tcMar>
              <w:top w:w="0" w:type="dxa"/>
              <w:left w:w="86" w:type="dxa"/>
              <w:bottom w:w="43" w:type="dxa"/>
              <w:right w:w="86" w:type="dxa"/>
            </w:tcMar>
          </w:tcPr>
          <w:p w14:paraId="592DE53B" w14:textId="77777777" w:rsidR="00BD75D6" w:rsidRPr="005D4222" w:rsidRDefault="00BD75D6" w:rsidP="00A53E8C">
            <w:pPr>
              <w:pStyle w:val="ECDSMarginHead"/>
            </w:pPr>
            <w:r w:rsidRPr="005D4222">
              <w:t xml:space="preserve">Definitions </w:t>
            </w:r>
          </w:p>
        </w:tc>
      </w:tr>
      <w:tr w:rsidR="00BD75D6" w:rsidRPr="005D4222" w14:paraId="0BF3A66B" w14:textId="77777777" w:rsidTr="00A53E8C">
        <w:tc>
          <w:tcPr>
            <w:tcW w:w="2157" w:type="dxa"/>
            <w:tcBorders>
              <w:top w:val="single" w:sz="4" w:space="0" w:color="auto"/>
              <w:bottom w:val="nil"/>
            </w:tcBorders>
            <w:tcMar>
              <w:top w:w="0" w:type="dxa"/>
              <w:left w:w="86" w:type="dxa"/>
              <w:bottom w:w="43" w:type="dxa"/>
              <w:right w:w="86" w:type="dxa"/>
            </w:tcMar>
          </w:tcPr>
          <w:p w14:paraId="6B6CB3B4" w14:textId="77777777" w:rsidR="00BD75D6" w:rsidRPr="005D4222" w:rsidRDefault="00BD75D6" w:rsidP="00526050">
            <w:pPr>
              <w:pStyle w:val="ECDSSubhead"/>
            </w:pPr>
            <w:r w:rsidRPr="005D4222">
              <w:t>Pregnancy episode</w:t>
            </w:r>
          </w:p>
        </w:tc>
        <w:tc>
          <w:tcPr>
            <w:tcW w:w="7557" w:type="dxa"/>
            <w:gridSpan w:val="3"/>
            <w:tcBorders>
              <w:top w:val="single" w:sz="4" w:space="0" w:color="auto"/>
              <w:bottom w:val="nil"/>
            </w:tcBorders>
            <w:tcMar>
              <w:left w:w="86" w:type="dxa"/>
              <w:bottom w:w="43" w:type="dxa"/>
              <w:right w:w="86" w:type="dxa"/>
            </w:tcMar>
          </w:tcPr>
          <w:p w14:paraId="4436F8CD" w14:textId="77777777" w:rsidR="00BD75D6" w:rsidRPr="005D4222" w:rsidRDefault="00BD75D6" w:rsidP="00A53E8C">
            <w:pPr>
              <w:pStyle w:val="ECDSBody"/>
              <w:rPr>
                <w:b/>
                <w:highlight w:val="yellow"/>
              </w:rPr>
            </w:pPr>
            <w:r w:rsidRPr="005D4222">
              <w:t>Calculate pregnancy start date by subtracting the gestational age (in weeks) at the time of delivery from the delivery date. Use the last gestational age assessment or diagnosis within 1 day of the delivery date.</w:t>
            </w:r>
          </w:p>
        </w:tc>
      </w:tr>
      <w:tr w:rsidR="00BD75D6" w:rsidRPr="005D4222" w14:paraId="6750017A" w14:textId="77777777" w:rsidTr="00A53E8C">
        <w:trPr>
          <w:trHeight w:val="320"/>
        </w:trPr>
        <w:tc>
          <w:tcPr>
            <w:tcW w:w="2157" w:type="dxa"/>
            <w:shd w:val="clear" w:color="auto" w:fill="BFBFBF" w:themeFill="background1" w:themeFillShade="BF"/>
            <w:tcMar>
              <w:top w:w="0" w:type="dxa"/>
              <w:left w:w="86" w:type="dxa"/>
              <w:bottom w:w="43" w:type="dxa"/>
              <w:right w:w="86" w:type="dxa"/>
            </w:tcMar>
          </w:tcPr>
          <w:p w14:paraId="1D441776" w14:textId="77777777" w:rsidR="00BD75D6" w:rsidRPr="005D4222" w:rsidRDefault="00BD75D6" w:rsidP="00A53E8C">
            <w:pPr>
              <w:pStyle w:val="ECDSMarginHead"/>
            </w:pPr>
            <w:r w:rsidRPr="005D4222">
              <w:t>Initial population</w:t>
            </w:r>
          </w:p>
        </w:tc>
        <w:tc>
          <w:tcPr>
            <w:tcW w:w="7557"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844D35F" w14:textId="77777777" w:rsidR="00BD75D6" w:rsidRPr="005D4222" w:rsidRDefault="00BD75D6" w:rsidP="00A53E8C">
            <w:pPr>
              <w:pStyle w:val="ECDSBody"/>
            </w:pPr>
            <w:r w:rsidRPr="005D4222">
              <w:rPr>
                <w:i/>
                <w:iCs/>
              </w:rPr>
              <w:t xml:space="preserve">Measure item count: </w:t>
            </w:r>
            <w:r w:rsidRPr="005D4222">
              <w:t>Episode.</w:t>
            </w:r>
          </w:p>
          <w:p w14:paraId="636DC49E" w14:textId="674F979E" w:rsidR="00BD75D6" w:rsidRPr="005D4222" w:rsidRDefault="00F10378" w:rsidP="00A53E8C">
            <w:pPr>
              <w:pStyle w:val="ECDSBody"/>
            </w:pPr>
            <w:r w:rsidRPr="005D4222">
              <w:rPr>
                <w:i/>
                <w:iCs/>
              </w:rPr>
              <w:t>Attribution basis:</w:t>
            </w:r>
            <w:r w:rsidR="00BD75D6" w:rsidRPr="005D4222">
              <w:t xml:space="preserve"> Enrollment.</w:t>
            </w:r>
          </w:p>
          <w:p w14:paraId="051CCAD4" w14:textId="727EA442" w:rsidR="00BD75D6" w:rsidRPr="005D4222" w:rsidRDefault="000F0DC5" w:rsidP="00BD75D6">
            <w:pPr>
              <w:pStyle w:val="Bullet"/>
              <w:numPr>
                <w:ilvl w:val="0"/>
                <w:numId w:val="4"/>
              </w:numPr>
              <w:ind w:left="576" w:hanging="216"/>
            </w:pPr>
            <w:r w:rsidRPr="005D4222">
              <w:rPr>
                <w:i/>
              </w:rPr>
              <w:t>Benefits:</w:t>
            </w:r>
            <w:r w:rsidR="00BD75D6" w:rsidRPr="005D4222">
              <w:t xml:space="preserve"> Medical.</w:t>
            </w:r>
          </w:p>
          <w:p w14:paraId="3C9DC9EF" w14:textId="77777777" w:rsidR="00BD75D6" w:rsidRPr="005D4222" w:rsidRDefault="00BD75D6" w:rsidP="00BD75D6">
            <w:pPr>
              <w:pStyle w:val="Bullet"/>
              <w:numPr>
                <w:ilvl w:val="0"/>
                <w:numId w:val="4"/>
              </w:numPr>
              <w:ind w:left="576" w:hanging="216"/>
            </w:pPr>
            <w:r w:rsidRPr="005D4222">
              <w:rPr>
                <w:i/>
              </w:rPr>
              <w:t xml:space="preserve">Continuous enrollment: </w:t>
            </w:r>
            <w:r w:rsidRPr="005D4222">
              <w:rPr>
                <w:kern w:val="20"/>
              </w:rPr>
              <w:t>From 28 days prior to the delivery date through the delivery date.</w:t>
            </w:r>
          </w:p>
          <w:p w14:paraId="0C58A208" w14:textId="77777777" w:rsidR="00BD75D6" w:rsidRPr="005D4222" w:rsidRDefault="00BD75D6" w:rsidP="00BD75D6">
            <w:pPr>
              <w:pStyle w:val="Bullet"/>
              <w:numPr>
                <w:ilvl w:val="0"/>
                <w:numId w:val="4"/>
              </w:numPr>
              <w:ind w:left="576" w:hanging="216"/>
            </w:pPr>
            <w:r w:rsidRPr="005D4222">
              <w:rPr>
                <w:i/>
                <w:iCs/>
              </w:rPr>
              <w:t>Allowable gap:</w:t>
            </w:r>
            <w:r w:rsidRPr="005D4222">
              <w:t xml:space="preserve"> None.</w:t>
            </w:r>
          </w:p>
          <w:p w14:paraId="3F4CB5F8" w14:textId="77777777" w:rsidR="00BD75D6" w:rsidRPr="005D4222" w:rsidRDefault="00BD75D6" w:rsidP="00A53E8C">
            <w:pPr>
              <w:pStyle w:val="ECDSBody"/>
            </w:pPr>
            <w:r w:rsidRPr="005D4222">
              <w:rPr>
                <w:i/>
              </w:rPr>
              <w:t>Ages:</w:t>
            </w:r>
            <w:r w:rsidRPr="005D4222">
              <w:t xml:space="preserve"> None.</w:t>
            </w:r>
          </w:p>
          <w:p w14:paraId="6070ABD8" w14:textId="77777777" w:rsidR="00526050" w:rsidRPr="005D4222" w:rsidRDefault="00BD75D6" w:rsidP="00A53E8C">
            <w:pPr>
              <w:pStyle w:val="ECDSBody"/>
              <w:rPr>
                <w:b/>
                <w:bCs w:val="0"/>
                <w:kern w:val="20"/>
              </w:rPr>
            </w:pPr>
            <w:r w:rsidRPr="005D4222">
              <w:rPr>
                <w:i/>
              </w:rPr>
              <w:t>Event:</w:t>
            </w:r>
            <w:r w:rsidRPr="005D4222">
              <w:t xml:space="preserve"> </w:t>
            </w:r>
            <w:r w:rsidRPr="005D4222">
              <w:rPr>
                <w:b/>
                <w:bCs w:val="0"/>
                <w:kern w:val="20"/>
              </w:rPr>
              <w:t>Deliveries.</w:t>
            </w:r>
          </w:p>
          <w:p w14:paraId="7CEDB33F" w14:textId="6842A995" w:rsidR="00BD75D6" w:rsidRPr="005D4222" w:rsidRDefault="00BD75D6" w:rsidP="00A53E8C">
            <w:pPr>
              <w:pStyle w:val="ECDSBody"/>
            </w:pPr>
            <w:r w:rsidRPr="005D4222">
              <w:rPr>
                <w:kern w:val="20"/>
              </w:rPr>
              <w:t>Deliveries (</w:t>
            </w:r>
            <w:r w:rsidRPr="005D4222">
              <w:rPr>
                <w:kern w:val="20"/>
                <w:u w:val="single"/>
              </w:rPr>
              <w:t>Deliveries Value Set</w:t>
            </w:r>
            <w:r w:rsidRPr="005D4222">
              <w:rPr>
                <w:kern w:val="20"/>
              </w:rPr>
              <w:t>), in any setting, during the measurement period that h</w:t>
            </w:r>
            <w:r w:rsidRPr="005D4222">
              <w:t>ave a gestational age assessment (</w:t>
            </w:r>
            <w:r w:rsidRPr="005D4222">
              <w:rPr>
                <w:u w:val="single"/>
              </w:rPr>
              <w:t>Weeks of Gestation Value Set</w:t>
            </w:r>
            <w:r w:rsidRPr="005D4222">
              <w:t xml:space="preserve">; value is not null) or gestational age diagnosis within 1 day of the start or end of the delivery. </w:t>
            </w:r>
          </w:p>
          <w:p w14:paraId="46027504" w14:textId="77777777" w:rsidR="00BD75D6" w:rsidRPr="005D4222" w:rsidRDefault="00BD75D6" w:rsidP="00A53E8C">
            <w:pPr>
              <w:pStyle w:val="ECDSBody"/>
              <w:rPr>
                <w:b/>
                <w:bCs w:val="0"/>
              </w:rPr>
            </w:pPr>
            <w:r w:rsidRPr="005D4222">
              <w:t>Determine the delivery date using the date as of the end of the delivery procedure.</w:t>
            </w:r>
          </w:p>
        </w:tc>
      </w:tr>
      <w:tr w:rsidR="00BD75D6" w:rsidRPr="005D4222" w14:paraId="2003CF35" w14:textId="77777777" w:rsidTr="00A53E8C">
        <w:trPr>
          <w:trHeight w:val="320"/>
        </w:trPr>
        <w:tc>
          <w:tcPr>
            <w:tcW w:w="2157" w:type="dxa"/>
            <w:shd w:val="clear" w:color="auto" w:fill="BFBFBF" w:themeFill="background1" w:themeFillShade="BF"/>
            <w:tcMar>
              <w:top w:w="0" w:type="dxa"/>
              <w:left w:w="86" w:type="dxa"/>
              <w:bottom w:w="43" w:type="dxa"/>
              <w:right w:w="86" w:type="dxa"/>
            </w:tcMar>
          </w:tcPr>
          <w:p w14:paraId="03559C29" w14:textId="77777777" w:rsidR="00BD75D6" w:rsidRPr="005D4222" w:rsidRDefault="00BD75D6" w:rsidP="00A53E8C">
            <w:pPr>
              <w:pStyle w:val="ECDSMarginHead"/>
            </w:pPr>
          </w:p>
        </w:tc>
        <w:tc>
          <w:tcPr>
            <w:tcW w:w="7557"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6548785" w14:textId="77777777" w:rsidR="00BD75D6" w:rsidRPr="005D4222" w:rsidRDefault="00BD75D6" w:rsidP="00A53E8C">
            <w:pPr>
              <w:pStyle w:val="ECDSBody"/>
            </w:pPr>
            <w:r w:rsidRPr="005D4222">
              <w:t>A code from any of the following value sets meets criteria for gestational age diagnosis:</w:t>
            </w:r>
          </w:p>
          <w:p w14:paraId="73DFBCC0" w14:textId="77777777" w:rsidR="00BD75D6" w:rsidRPr="005D4222" w:rsidRDefault="00BD75D6" w:rsidP="00BD75D6">
            <w:pPr>
              <w:pStyle w:val="Bullet"/>
              <w:numPr>
                <w:ilvl w:val="0"/>
                <w:numId w:val="4"/>
              </w:numPr>
              <w:ind w:left="576" w:hanging="216"/>
              <w:rPr>
                <w:u w:val="single"/>
              </w:rPr>
            </w:pPr>
            <w:r w:rsidRPr="005D4222">
              <w:rPr>
                <w:u w:val="single"/>
              </w:rPr>
              <w:t>Weeks of Gestation Less Than 37 Value Set</w:t>
            </w:r>
            <w:r w:rsidRPr="005D4222">
              <w:t>.</w:t>
            </w:r>
          </w:p>
          <w:p w14:paraId="6958FDDF" w14:textId="77777777" w:rsidR="00BD75D6" w:rsidRPr="005D4222" w:rsidRDefault="00BD75D6" w:rsidP="00BD75D6">
            <w:pPr>
              <w:pStyle w:val="Bullet"/>
              <w:numPr>
                <w:ilvl w:val="0"/>
                <w:numId w:val="4"/>
              </w:numPr>
              <w:spacing w:after="80"/>
              <w:ind w:left="576" w:hanging="216"/>
              <w:rPr>
                <w:rFonts w:cs="Arial"/>
                <w:b/>
                <w:bCs/>
              </w:rPr>
            </w:pPr>
            <w:r w:rsidRPr="005D4222">
              <w:rPr>
                <w:u w:val="single"/>
              </w:rPr>
              <w:t>37 Weeks Gestation Value Set</w:t>
            </w:r>
            <w:r w:rsidRPr="005D4222">
              <w:t>.</w:t>
            </w:r>
          </w:p>
          <w:p w14:paraId="1610320D" w14:textId="77777777" w:rsidR="00BD75D6" w:rsidRPr="005D4222" w:rsidRDefault="00BD75D6" w:rsidP="00BD75D6">
            <w:pPr>
              <w:pStyle w:val="Bullet"/>
              <w:numPr>
                <w:ilvl w:val="0"/>
                <w:numId w:val="4"/>
              </w:numPr>
              <w:ind w:left="576" w:hanging="216"/>
              <w:rPr>
                <w:u w:val="single"/>
              </w:rPr>
            </w:pPr>
            <w:r w:rsidRPr="005D4222">
              <w:rPr>
                <w:u w:val="single"/>
              </w:rPr>
              <w:t>38 Weeks Gestation Value Set</w:t>
            </w:r>
            <w:r w:rsidRPr="005D4222">
              <w:t>.</w:t>
            </w:r>
          </w:p>
          <w:p w14:paraId="065CCEA1" w14:textId="77777777" w:rsidR="00BD75D6" w:rsidRPr="005D4222" w:rsidRDefault="00BD75D6" w:rsidP="00BD75D6">
            <w:pPr>
              <w:pStyle w:val="Bullet"/>
              <w:numPr>
                <w:ilvl w:val="0"/>
                <w:numId w:val="4"/>
              </w:numPr>
              <w:ind w:left="576" w:hanging="216"/>
              <w:rPr>
                <w:u w:val="single"/>
              </w:rPr>
            </w:pPr>
            <w:r w:rsidRPr="005D4222">
              <w:rPr>
                <w:u w:val="single"/>
              </w:rPr>
              <w:t>39 Weeks Gestation Value Set</w:t>
            </w:r>
            <w:r w:rsidRPr="005D4222">
              <w:t>.</w:t>
            </w:r>
          </w:p>
          <w:p w14:paraId="316FA8EB" w14:textId="77777777" w:rsidR="00BD75D6" w:rsidRPr="005D4222" w:rsidRDefault="00BD75D6" w:rsidP="00BD75D6">
            <w:pPr>
              <w:pStyle w:val="Bullet"/>
              <w:numPr>
                <w:ilvl w:val="0"/>
                <w:numId w:val="4"/>
              </w:numPr>
              <w:spacing w:after="80"/>
              <w:ind w:left="576" w:hanging="216"/>
              <w:rPr>
                <w:rFonts w:cs="Arial"/>
                <w:b/>
                <w:bCs/>
              </w:rPr>
            </w:pPr>
            <w:r w:rsidRPr="005D4222">
              <w:rPr>
                <w:u w:val="single"/>
              </w:rPr>
              <w:t>40 Weeks Gestation Value Set</w:t>
            </w:r>
            <w:r w:rsidRPr="005D4222">
              <w:t>.</w:t>
            </w:r>
          </w:p>
          <w:p w14:paraId="23AFFC37" w14:textId="77777777" w:rsidR="00BD75D6" w:rsidRPr="005D4222" w:rsidRDefault="00BD75D6" w:rsidP="00BD75D6">
            <w:pPr>
              <w:pStyle w:val="Bullet"/>
              <w:numPr>
                <w:ilvl w:val="0"/>
                <w:numId w:val="4"/>
              </w:numPr>
              <w:ind w:left="576" w:hanging="216"/>
              <w:rPr>
                <w:u w:val="single"/>
              </w:rPr>
            </w:pPr>
            <w:r w:rsidRPr="005D4222">
              <w:rPr>
                <w:u w:val="single"/>
              </w:rPr>
              <w:t>41 Weeks Gestation Value Set</w:t>
            </w:r>
            <w:r w:rsidRPr="005D4222">
              <w:t>.</w:t>
            </w:r>
          </w:p>
          <w:p w14:paraId="316B9057" w14:textId="77777777" w:rsidR="00BD75D6" w:rsidRPr="005D4222" w:rsidRDefault="00BD75D6" w:rsidP="00BD75D6">
            <w:pPr>
              <w:pStyle w:val="Bullet"/>
              <w:numPr>
                <w:ilvl w:val="0"/>
                <w:numId w:val="4"/>
              </w:numPr>
              <w:spacing w:after="80"/>
              <w:ind w:left="576" w:hanging="216"/>
              <w:rPr>
                <w:rFonts w:cs="Arial"/>
                <w:b/>
                <w:bCs/>
              </w:rPr>
            </w:pPr>
            <w:r w:rsidRPr="005D4222">
              <w:rPr>
                <w:u w:val="single"/>
              </w:rPr>
              <w:t>42 Weeks Gestation Value Set</w:t>
            </w:r>
            <w:r w:rsidRPr="005D4222">
              <w:t>.</w:t>
            </w:r>
          </w:p>
          <w:p w14:paraId="068D2297" w14:textId="77777777" w:rsidR="00BD75D6" w:rsidRPr="005D4222" w:rsidRDefault="00BD75D6" w:rsidP="00BD75D6">
            <w:pPr>
              <w:pStyle w:val="Bullet"/>
              <w:numPr>
                <w:ilvl w:val="0"/>
                <w:numId w:val="4"/>
              </w:numPr>
              <w:ind w:left="576" w:hanging="216"/>
              <w:rPr>
                <w:kern w:val="20"/>
              </w:rPr>
            </w:pPr>
            <w:r w:rsidRPr="005D4222">
              <w:t>43 weeks gestation (ICD-10-CM code Z3A.49).</w:t>
            </w:r>
          </w:p>
          <w:p w14:paraId="6F74AB2F" w14:textId="77777777" w:rsidR="00BD75D6" w:rsidRPr="005D4222" w:rsidRDefault="00BD75D6" w:rsidP="00A53E8C">
            <w:pPr>
              <w:pStyle w:val="ECDSBody"/>
            </w:pPr>
            <w:r w:rsidRPr="005D4222">
              <w:t>If a person has more than one delivery in a 180-day period, include only the first eligible delivery. Then, if applicable include the next delivery that occurs after the 180-day period. Identify deliveries chronologically, including only one per 180-day period.</w:t>
            </w:r>
          </w:p>
          <w:p w14:paraId="69D809FB" w14:textId="77777777" w:rsidR="00BD75D6" w:rsidRPr="005D4222" w:rsidRDefault="00BD75D6" w:rsidP="00A53E8C">
            <w:pPr>
              <w:pStyle w:val="Note"/>
              <w:spacing w:after="80"/>
              <w:rPr>
                <w:iCs/>
              </w:rPr>
            </w:pPr>
            <w:r w:rsidRPr="005D4222">
              <w:rPr>
                <w:b/>
                <w:bCs/>
              </w:rPr>
              <w:t xml:space="preserve">Note: </w:t>
            </w:r>
            <w:r w:rsidRPr="005D4222">
              <w:t>Removal of multiple deliveries in a 180-day period is based on eligible deliveries. Assess each delivery for exclusions and attribution before removing multiple deliveries in a 180-day period.</w:t>
            </w:r>
          </w:p>
        </w:tc>
      </w:tr>
      <w:tr w:rsidR="00BD75D6" w:rsidRPr="005D4222" w14:paraId="183AAA0D" w14:textId="77777777" w:rsidTr="00A53E8C">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D30E2BE" w14:textId="77777777" w:rsidR="00BD75D6" w:rsidRPr="005D4222" w:rsidRDefault="00BD75D6" w:rsidP="00A53E8C">
            <w:pPr>
              <w:pStyle w:val="ECDSMarginHead"/>
            </w:pPr>
            <w:r w:rsidRPr="005D4222">
              <w:t xml:space="preserve">Denominator exclusions </w:t>
            </w:r>
          </w:p>
        </w:tc>
        <w:tc>
          <w:tcPr>
            <w:tcW w:w="7557"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67777F98" w14:textId="77777777" w:rsidR="00BD75D6" w:rsidRPr="005D4222" w:rsidRDefault="00BD75D6" w:rsidP="00A53E8C">
            <w:pPr>
              <w:pStyle w:val="ECDSBody"/>
              <w:rPr>
                <w:rFonts w:cs="Segoe UI"/>
                <w:szCs w:val="18"/>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p w14:paraId="6E66CB9F" w14:textId="77777777" w:rsidR="00BD75D6" w:rsidRPr="005D4222" w:rsidRDefault="00BD75D6" w:rsidP="00A53E8C">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789E980E" w14:textId="77777777" w:rsidR="00BD75D6" w:rsidRPr="005D4222" w:rsidRDefault="00BD75D6" w:rsidP="00A53E8C">
            <w:pPr>
              <w:pStyle w:val="ECDSBody"/>
            </w:pPr>
            <w:r w:rsidRPr="005D4222">
              <w:rPr>
                <w:rFonts w:eastAsia="Arial,Arial,Arial,Arial,Arial,A"/>
                <w:b/>
              </w:rPr>
              <w:t xml:space="preserve">Deliveries that occur at less than 37 weeks of gestation.  </w:t>
            </w:r>
            <w:r w:rsidRPr="005D4222">
              <w:rPr>
                <w:rFonts w:eastAsia="Arial,Arial,Arial,Arial,Arial,A"/>
                <w:b/>
              </w:rPr>
              <w:br/>
            </w:r>
            <w:r w:rsidRPr="005D4222">
              <w:t>Length of gestation in weeks is identified by one of two methods:</w:t>
            </w:r>
          </w:p>
          <w:p w14:paraId="773C56AE" w14:textId="77777777" w:rsidR="00BD75D6" w:rsidRPr="005D4222" w:rsidRDefault="00BD75D6" w:rsidP="00BD75D6">
            <w:pPr>
              <w:pStyle w:val="Bullet"/>
              <w:numPr>
                <w:ilvl w:val="0"/>
                <w:numId w:val="4"/>
              </w:numPr>
              <w:ind w:left="576" w:hanging="216"/>
            </w:pPr>
            <w:r w:rsidRPr="005D4222">
              <w:t>Gestational age assessment (</w:t>
            </w:r>
            <w:r w:rsidRPr="005D4222">
              <w:rPr>
                <w:u w:val="single"/>
              </w:rPr>
              <w:t>Weeks of Gestation Value Set</w:t>
            </w:r>
            <w:r w:rsidRPr="005D4222">
              <w:t xml:space="preserve">; value &lt;37 weeks), </w:t>
            </w:r>
            <w:r w:rsidRPr="005D4222">
              <w:rPr>
                <w:b/>
                <w:bCs/>
                <w:i/>
                <w:iCs/>
              </w:rPr>
              <w:t>or</w:t>
            </w:r>
          </w:p>
          <w:p w14:paraId="60D64C51" w14:textId="77777777" w:rsidR="00BD75D6" w:rsidRPr="005D4222" w:rsidRDefault="00BD75D6" w:rsidP="00BD75D6">
            <w:pPr>
              <w:pStyle w:val="Bullet"/>
              <w:numPr>
                <w:ilvl w:val="0"/>
                <w:numId w:val="4"/>
              </w:numPr>
              <w:spacing w:after="80"/>
              <w:ind w:left="576" w:hanging="216"/>
            </w:pPr>
            <w:r w:rsidRPr="005D4222">
              <w:t>Gestational age diagnosis (</w:t>
            </w:r>
            <w:r w:rsidRPr="005D4222">
              <w:rPr>
                <w:u w:val="single"/>
              </w:rPr>
              <w:t>Weeks of Gestation Less Than 37 Value Set</w:t>
            </w:r>
            <w:r w:rsidRPr="005D4222">
              <w:t>).</w:t>
            </w:r>
          </w:p>
        </w:tc>
      </w:tr>
      <w:tr w:rsidR="00BD75D6" w:rsidRPr="005D4222" w14:paraId="7CE18758" w14:textId="77777777" w:rsidTr="00A53E8C">
        <w:trPr>
          <w:trHeight w:val="363"/>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D9A7A69" w14:textId="77777777" w:rsidR="00BD75D6" w:rsidRPr="005D4222" w:rsidRDefault="00BD75D6" w:rsidP="00A53E8C">
            <w:pPr>
              <w:pStyle w:val="ECDSMarginHead"/>
            </w:pPr>
            <w:r w:rsidRPr="005D4222">
              <w:t>Denominator</w:t>
            </w:r>
          </w:p>
        </w:tc>
        <w:tc>
          <w:tcPr>
            <w:tcW w:w="7557"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A56BEC6" w14:textId="77777777" w:rsidR="00BD75D6" w:rsidRPr="005D4222" w:rsidRDefault="00BD75D6" w:rsidP="00A53E8C">
            <w:pPr>
              <w:spacing w:before="120" w:after="120"/>
              <w:rPr>
                <w:rFonts w:eastAsia="Arial,Arial,Arial,Arial,Arial,A"/>
              </w:rPr>
            </w:pPr>
            <w:r w:rsidRPr="005D4222">
              <w:rPr>
                <w:rFonts w:eastAsia="Arial,Arial,Arial,Arial,Arial,A"/>
              </w:rPr>
              <w:t>The initial population minus denominator exclusions.</w:t>
            </w:r>
          </w:p>
        </w:tc>
      </w:tr>
      <w:tr w:rsidR="00BD75D6" w:rsidRPr="005D4222" w14:paraId="63B654FF"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3123DDE" w14:textId="77777777" w:rsidR="00BD75D6" w:rsidRPr="005D4222" w:rsidRDefault="00BD75D6" w:rsidP="00A53E8C">
            <w:pPr>
              <w:pStyle w:val="ECDSMarginHead"/>
            </w:pPr>
            <w:r w:rsidRPr="005D4222">
              <w:t>Numerator</w:t>
            </w:r>
          </w:p>
        </w:tc>
        <w:tc>
          <w:tcPr>
            <w:tcW w:w="7557" w:type="dxa"/>
            <w:gridSpan w:val="3"/>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1DDC5414" w14:textId="77777777" w:rsidR="00BD75D6" w:rsidRPr="005D4222" w:rsidRDefault="00BD75D6" w:rsidP="00A53E8C">
            <w:pPr>
              <w:pStyle w:val="Body"/>
              <w:rPr>
                <w:b/>
                <w:bCs/>
                <w:kern w:val="20"/>
              </w:rPr>
            </w:pPr>
            <w:r w:rsidRPr="005D4222">
              <w:rPr>
                <w:b/>
                <w:bCs/>
                <w:kern w:val="20"/>
              </w:rPr>
              <w:t>Numerator 1: Immunization status—Influenza.</w:t>
            </w:r>
          </w:p>
          <w:p w14:paraId="2892426F" w14:textId="77777777" w:rsidR="00BD75D6" w:rsidRPr="005D4222" w:rsidRDefault="00BD75D6" w:rsidP="005D6173">
            <w:pPr>
              <w:pStyle w:val="ProcessBullet"/>
              <w:numPr>
                <w:ilvl w:val="0"/>
                <w:numId w:val="98"/>
              </w:numPr>
              <w:tabs>
                <w:tab w:val="left" w:pos="216"/>
              </w:tabs>
              <w:ind w:left="216" w:hanging="216"/>
              <w:rPr>
                <w:kern w:val="20"/>
              </w:rPr>
            </w:pPr>
            <w:r w:rsidRPr="005D4222">
              <w:rPr>
                <w:kern w:val="20"/>
              </w:rPr>
              <w:t>Deliveries where persons received an adult influenza vaccine (</w:t>
            </w:r>
            <w:r w:rsidRPr="005D4222">
              <w:rPr>
                <w:kern w:val="20"/>
                <w:u w:val="single"/>
              </w:rPr>
              <w:t>Adult Influenza Immunization Value Set</w:t>
            </w:r>
            <w:r w:rsidRPr="005D4222">
              <w:rPr>
                <w:kern w:val="20"/>
              </w:rPr>
              <w:t xml:space="preserve">; </w:t>
            </w:r>
            <w:r w:rsidRPr="005D4222">
              <w:rPr>
                <w:kern w:val="20"/>
                <w:u w:val="single"/>
              </w:rPr>
              <w:t>Adult Influenza Vaccine Procedure Value Set</w:t>
            </w:r>
            <w:r w:rsidRPr="005D4222">
              <w:rPr>
                <w:kern w:val="20"/>
              </w:rPr>
              <w:t xml:space="preserve">) on or between July 1 of the year prior to the measurement period and the delivery date, </w:t>
            </w:r>
            <w:r w:rsidRPr="005D4222">
              <w:rPr>
                <w:b/>
                <w:bCs/>
                <w:i/>
                <w:iCs/>
                <w:kern w:val="20"/>
              </w:rPr>
              <w:t>or</w:t>
            </w:r>
          </w:p>
          <w:p w14:paraId="0E0B5486" w14:textId="77777777" w:rsidR="00BD75D6" w:rsidRPr="005D4222" w:rsidRDefault="00BD75D6" w:rsidP="005D6173">
            <w:pPr>
              <w:pStyle w:val="ProcessBullet"/>
              <w:numPr>
                <w:ilvl w:val="0"/>
                <w:numId w:val="98"/>
              </w:numPr>
              <w:tabs>
                <w:tab w:val="left" w:pos="216"/>
              </w:tabs>
              <w:spacing w:after="80"/>
              <w:ind w:left="216" w:hanging="216"/>
              <w:rPr>
                <w:rFonts w:cs="Arial"/>
                <w:b/>
                <w:bCs/>
                <w:color w:val="000000" w:themeColor="text1"/>
              </w:rPr>
            </w:pPr>
            <w:r w:rsidRPr="005D4222">
              <w:rPr>
                <w:kern w:val="20"/>
              </w:rPr>
              <w:t>Deliveries where persons had anaphylaxis due to the influenza vaccine (SNOMED CT code 471361000124100) on or before the delivery date.</w:t>
            </w:r>
          </w:p>
        </w:tc>
      </w:tr>
    </w:tbl>
    <w:p w14:paraId="64E79CF1" w14:textId="77777777" w:rsidR="00BD75D6" w:rsidRPr="005D4222" w:rsidRDefault="00BD75D6" w:rsidP="00BD75D6">
      <w:pPr>
        <w:spacing w:after="160" w:line="259" w:lineRule="auto"/>
      </w:pPr>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BD75D6" w:rsidRPr="005D4222" w14:paraId="6E61844E"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47CAF61" w14:textId="77777777" w:rsidR="00BD75D6" w:rsidRPr="005D4222" w:rsidRDefault="00BD75D6"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5E60F04E" w14:textId="77777777" w:rsidR="00BD75D6" w:rsidRPr="005D4222" w:rsidRDefault="00BD75D6" w:rsidP="00A53E8C">
            <w:pPr>
              <w:pStyle w:val="ECDSBody"/>
              <w:rPr>
                <w:b/>
                <w:bCs w:val="0"/>
              </w:rPr>
            </w:pPr>
            <w:r w:rsidRPr="005D4222">
              <w:rPr>
                <w:b/>
                <w:bCs w:val="0"/>
              </w:rPr>
              <w:t>Numerator 2: Immunization status—Tdap.</w:t>
            </w:r>
          </w:p>
          <w:p w14:paraId="47EFD8E5" w14:textId="77777777" w:rsidR="00BD75D6" w:rsidRPr="005D4222" w:rsidRDefault="00BD75D6" w:rsidP="005D6173">
            <w:pPr>
              <w:pStyle w:val="ProcessBullet"/>
              <w:numPr>
                <w:ilvl w:val="0"/>
                <w:numId w:val="98"/>
              </w:numPr>
              <w:tabs>
                <w:tab w:val="left" w:pos="216"/>
              </w:tabs>
              <w:ind w:left="216" w:hanging="216"/>
              <w:rPr>
                <w:rFonts w:cs="Arial"/>
                <w:b/>
                <w:bCs/>
                <w:color w:val="000000" w:themeColor="text1"/>
              </w:rPr>
            </w:pPr>
            <w:r w:rsidRPr="005D4222">
              <w:t xml:space="preserve">Deliveries where persons received at least one Tdap vaccine (CVX code 115; CPT code 90715) during the pregnancy (including on the delivery date), </w:t>
            </w:r>
            <w:r w:rsidRPr="005D4222">
              <w:rPr>
                <w:b/>
                <w:bCs/>
                <w:i/>
                <w:iCs/>
              </w:rPr>
              <w:t>or</w:t>
            </w:r>
          </w:p>
          <w:p w14:paraId="5760ACFF" w14:textId="77777777" w:rsidR="00BD75D6" w:rsidRPr="005D4222" w:rsidRDefault="00BD75D6" w:rsidP="005D6173">
            <w:pPr>
              <w:pStyle w:val="ProcessBullet"/>
              <w:numPr>
                <w:ilvl w:val="0"/>
                <w:numId w:val="98"/>
              </w:numPr>
              <w:tabs>
                <w:tab w:val="left" w:pos="216"/>
              </w:tabs>
              <w:ind w:left="216" w:hanging="216"/>
              <w:rPr>
                <w:rFonts w:cs="Arial"/>
                <w:b/>
                <w:bCs/>
                <w:color w:val="000000" w:themeColor="text1"/>
              </w:rPr>
            </w:pPr>
            <w:r w:rsidRPr="005D4222">
              <w:t>Deliveries where persons had either of the following:</w:t>
            </w:r>
          </w:p>
          <w:p w14:paraId="32D98A61" w14:textId="77777777" w:rsidR="00BD75D6" w:rsidRPr="005D4222" w:rsidRDefault="00BD75D6" w:rsidP="00BD75D6">
            <w:pPr>
              <w:pStyle w:val="ProcessDash"/>
              <w:tabs>
                <w:tab w:val="clear" w:pos="432"/>
              </w:tabs>
              <w:spacing w:after="40"/>
              <w:rPr>
                <w:rFonts w:cs="Arial"/>
                <w:b/>
                <w:bCs/>
                <w:color w:val="000000" w:themeColor="text1"/>
              </w:rPr>
            </w:pPr>
            <w:r w:rsidRPr="005D4222">
              <w:t>Anaphylaxis due to the diphtheria, tetanus or pertussis vaccine (</w:t>
            </w:r>
            <w:r w:rsidRPr="005D4222">
              <w:rPr>
                <w:u w:val="single"/>
              </w:rPr>
              <w:t>Anaphylaxis Due to Diphtheria, Tetanus or Pertussis Vaccine Value Set</w:t>
            </w:r>
            <w:r w:rsidRPr="005D4222">
              <w:t>) on or before the delivery date.</w:t>
            </w:r>
          </w:p>
          <w:p w14:paraId="5E9E799D" w14:textId="77777777" w:rsidR="00BD75D6" w:rsidRPr="005D4222" w:rsidRDefault="00BD75D6" w:rsidP="00BD75D6">
            <w:pPr>
              <w:pStyle w:val="ProcessDash"/>
              <w:tabs>
                <w:tab w:val="clear" w:pos="432"/>
              </w:tabs>
              <w:spacing w:after="40"/>
            </w:pPr>
            <w:r w:rsidRPr="005D4222">
              <w:t>Encephalitis due to the diphtheria, tetanus or pertussis vaccine (</w:t>
            </w:r>
            <w:r w:rsidRPr="005D4222">
              <w:rPr>
                <w:u w:val="single"/>
              </w:rPr>
              <w:t>Encephalitis Due to Diphtheria, Tetanus or Pertussis Vaccine Value Set</w:t>
            </w:r>
            <w:r w:rsidRPr="005D4222">
              <w:t>) on or before the delivery date.</w:t>
            </w:r>
          </w:p>
          <w:p w14:paraId="00AC55BA" w14:textId="77777777" w:rsidR="00BD75D6" w:rsidRPr="005D4222" w:rsidRDefault="00BD75D6" w:rsidP="00A53E8C">
            <w:pPr>
              <w:pStyle w:val="ECDSBody"/>
              <w:spacing w:before="180"/>
              <w:rPr>
                <w:kern w:val="20"/>
              </w:rPr>
            </w:pPr>
            <w:r w:rsidRPr="005D4222">
              <w:rPr>
                <w:b/>
                <w:bCs w:val="0"/>
              </w:rPr>
              <w:t>Numerator 3: Immunization status—Combination.</w:t>
            </w:r>
            <w:r w:rsidRPr="005D4222">
              <w:rPr>
                <w:b/>
                <w:bCs w:val="0"/>
              </w:rPr>
              <w:br/>
            </w:r>
            <w:r w:rsidRPr="005D4222">
              <w:rPr>
                <w:rFonts w:eastAsia="Arial,Arial,Arial,Arial,Arial,A"/>
              </w:rPr>
              <w:t>Deliveries that met criteria for numerator 1 and numerator 2.</w:t>
            </w:r>
          </w:p>
        </w:tc>
      </w:tr>
      <w:tr w:rsidR="00BD75D6" w:rsidRPr="005D4222" w14:paraId="62F83CF1"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E1D85F8" w14:textId="77777777" w:rsidR="00BD75D6" w:rsidRPr="005D4222" w:rsidRDefault="00BD75D6" w:rsidP="00A53E8C">
            <w:pPr>
              <w:pStyle w:val="ECDSMarginHead"/>
            </w:pPr>
            <w:r w:rsidRPr="005D4222">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DA9542F" w14:textId="77777777" w:rsidR="00BD75D6" w:rsidRPr="005D4222" w:rsidRDefault="00BD75D6" w:rsidP="005D6173">
            <w:pPr>
              <w:pStyle w:val="ProcessBullet"/>
              <w:numPr>
                <w:ilvl w:val="0"/>
                <w:numId w:val="174"/>
              </w:numPr>
              <w:tabs>
                <w:tab w:val="left" w:pos="216"/>
              </w:tabs>
              <w:spacing w:before="120"/>
            </w:pPr>
            <w:r w:rsidRPr="005D4222">
              <w:t>Updated the citation for the clinical recommendation statement and rationale.</w:t>
            </w:r>
          </w:p>
          <w:p w14:paraId="240F67CB" w14:textId="77777777" w:rsidR="00BD75D6" w:rsidRPr="005D4222" w:rsidRDefault="00BD75D6" w:rsidP="005D6173">
            <w:pPr>
              <w:pStyle w:val="ProcessBullet"/>
              <w:numPr>
                <w:ilvl w:val="0"/>
                <w:numId w:val="98"/>
              </w:numPr>
              <w:tabs>
                <w:tab w:val="left" w:pos="216"/>
              </w:tabs>
              <w:ind w:left="216" w:hanging="216"/>
            </w:pPr>
            <w:r w:rsidRPr="005D4222">
              <w:t>Updated the race and ethnicity stratification categories to align with OMB SPD 15 2024.</w:t>
            </w:r>
          </w:p>
          <w:p w14:paraId="7E0D8C9E" w14:textId="77777777" w:rsidR="00BD75D6" w:rsidRPr="005D4222" w:rsidRDefault="00BD75D6" w:rsidP="005D6173">
            <w:pPr>
              <w:pStyle w:val="ProcessBullet"/>
              <w:numPr>
                <w:ilvl w:val="0"/>
                <w:numId w:val="98"/>
              </w:numPr>
              <w:tabs>
                <w:tab w:val="left" w:pos="216"/>
              </w:tabs>
              <w:ind w:left="216" w:hanging="216"/>
            </w:pPr>
            <w:r w:rsidRPr="005D4222">
              <w:t xml:space="preserve">Removed the definitions of “participation” and “participation period.” </w:t>
            </w:r>
          </w:p>
          <w:p w14:paraId="68D87A3D" w14:textId="77777777" w:rsidR="00BD75D6" w:rsidRPr="005D4222" w:rsidRDefault="00BD75D6" w:rsidP="005D6173">
            <w:pPr>
              <w:pStyle w:val="ProcessBullet"/>
              <w:numPr>
                <w:ilvl w:val="0"/>
                <w:numId w:val="98"/>
              </w:numPr>
              <w:tabs>
                <w:tab w:val="left" w:pos="216"/>
              </w:tabs>
              <w:ind w:left="216" w:hanging="216"/>
            </w:pPr>
            <w:r w:rsidRPr="005D4222">
              <w:t>Removed the SSoR data elements from the data element tables.</w:t>
            </w:r>
          </w:p>
          <w:p w14:paraId="53D66547" w14:textId="77777777" w:rsidR="00BD75D6" w:rsidRPr="005D4222" w:rsidRDefault="00BD75D6" w:rsidP="005D6173">
            <w:pPr>
              <w:pStyle w:val="ProcessBullet"/>
              <w:numPr>
                <w:ilvl w:val="0"/>
                <w:numId w:val="98"/>
              </w:numPr>
              <w:tabs>
                <w:tab w:val="left" w:pos="216"/>
              </w:tabs>
              <w:spacing w:after="80"/>
              <w:ind w:left="216" w:hanging="216"/>
              <w:rPr>
                <w:color w:val="000000" w:themeColor="text1"/>
              </w:rPr>
            </w:pPr>
            <w:r w:rsidRPr="005D4222">
              <w:t>Added instructions on allowable adjustments to the race and ethnicity stratifications.</w:t>
            </w:r>
          </w:p>
        </w:tc>
      </w:tr>
      <w:tr w:rsidR="00BD75D6" w:rsidRPr="005D4222" w14:paraId="45A4B9F8" w14:textId="77777777" w:rsidTr="001E2D0B">
        <w:trPr>
          <w:trHeight w:val="62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846D5D2" w14:textId="77777777" w:rsidR="00BD75D6" w:rsidRPr="005D4222" w:rsidRDefault="00BD75D6" w:rsidP="00A53E8C">
            <w:pPr>
              <w:pStyle w:val="ECDS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0085C531" w14:textId="77777777" w:rsidR="00BD75D6" w:rsidRPr="005D4222" w:rsidRDefault="00BD75D6" w:rsidP="00A53E8C">
            <w:pPr>
              <w:pStyle w:val="ECDSBody"/>
              <w:spacing w:after="0"/>
              <w:rPr>
                <w:rFonts w:eastAsia="Arial,Arial,Arial,Arial,Arial,A"/>
              </w:rPr>
            </w:pPr>
            <w:r w:rsidRPr="005D4222">
              <w:rPr>
                <w:rFonts w:eastAsia="Arial,Arial,Arial,Arial,Arial,A"/>
              </w:rPr>
              <w:t>Organizations that submit data to NCQA must provide the following data elements.</w:t>
            </w:r>
          </w:p>
          <w:p w14:paraId="26EA8B7F" w14:textId="77777777" w:rsidR="00BD75D6" w:rsidRPr="005D4222" w:rsidRDefault="00BD75D6" w:rsidP="00A53E8C">
            <w:pPr>
              <w:pStyle w:val="Heading3"/>
              <w:spacing w:before="120"/>
              <w:rPr>
                <w:rFonts w:eastAsia="Arial,Arial Narrow,Arial,Arial"/>
              </w:rPr>
            </w:pPr>
            <w:r w:rsidRPr="005D4222">
              <w:rPr>
                <w:rFonts w:eastAsia="Arial,Arial,Arial,Arial,Arial,A"/>
              </w:rPr>
              <w:t>Table PRS-E-A-1/2 Data Elements for Prenatal Immunization Status</w:t>
            </w:r>
            <w:r w:rsidRPr="005D4222">
              <w:rPr>
                <w:rFonts w:eastAsia="Arial,Arial Narrow,Arial,Arial"/>
              </w:rPr>
              <w:t xml:space="preserve"> </w:t>
            </w:r>
          </w:p>
          <w:tbl>
            <w:tblPr>
              <w:tblW w:w="5000" w:type="pct"/>
              <w:tblLayout w:type="fixed"/>
              <w:tblLook w:val="04A0" w:firstRow="1" w:lastRow="0" w:firstColumn="1" w:lastColumn="0" w:noHBand="0" w:noVBand="1"/>
            </w:tblPr>
            <w:tblGrid>
              <w:gridCol w:w="2523"/>
              <w:gridCol w:w="2324"/>
              <w:gridCol w:w="2518"/>
            </w:tblGrid>
            <w:tr w:rsidR="00BD75D6" w:rsidRPr="005D4222" w14:paraId="719A8139" w14:textId="77777777" w:rsidTr="00CD356E">
              <w:tc>
                <w:tcPr>
                  <w:tcW w:w="2345" w:type="dxa"/>
                  <w:tcBorders>
                    <w:top w:val="single" w:sz="8" w:space="0" w:color="auto"/>
                    <w:left w:val="single" w:sz="8" w:space="0" w:color="auto"/>
                    <w:bottom w:val="single" w:sz="8" w:space="0" w:color="auto"/>
                    <w:right w:val="single" w:sz="6" w:space="0" w:color="FFFFFF"/>
                  </w:tcBorders>
                  <w:shd w:val="clear" w:color="auto" w:fill="000000"/>
                  <w:noWrap/>
                  <w:tcMar>
                    <w:top w:w="0" w:type="dxa"/>
                    <w:left w:w="108" w:type="dxa"/>
                    <w:bottom w:w="0" w:type="dxa"/>
                    <w:right w:w="108" w:type="dxa"/>
                  </w:tcMar>
                  <w:vAlign w:val="center"/>
                  <w:hideMark/>
                </w:tcPr>
                <w:p w14:paraId="0EF63E70" w14:textId="77777777" w:rsidR="00BD75D6" w:rsidRPr="005D4222" w:rsidRDefault="00BD75D6" w:rsidP="00A53E8C">
                  <w:pPr>
                    <w:pStyle w:val="TableHead"/>
                    <w:spacing w:before="40" w:after="40"/>
                  </w:pPr>
                  <w:r w:rsidRPr="005D4222">
                    <w:t>Metric</w:t>
                  </w:r>
                </w:p>
              </w:tc>
              <w:tc>
                <w:tcPr>
                  <w:tcW w:w="2160" w:type="dxa"/>
                  <w:tcBorders>
                    <w:top w:val="single" w:sz="8" w:space="0" w:color="auto"/>
                    <w:left w:val="single" w:sz="6" w:space="0" w:color="FFFFFF"/>
                    <w:bottom w:val="single" w:sz="4" w:space="0" w:color="auto"/>
                    <w:right w:val="single" w:sz="4" w:space="0" w:color="FFFFFF"/>
                  </w:tcBorders>
                  <w:shd w:val="clear" w:color="auto" w:fill="000000"/>
                  <w:noWrap/>
                  <w:tcMar>
                    <w:top w:w="0" w:type="dxa"/>
                    <w:left w:w="108" w:type="dxa"/>
                    <w:bottom w:w="0" w:type="dxa"/>
                    <w:right w:w="108" w:type="dxa"/>
                  </w:tcMar>
                  <w:vAlign w:val="center"/>
                  <w:hideMark/>
                </w:tcPr>
                <w:p w14:paraId="17C60F9E" w14:textId="77777777" w:rsidR="00BD75D6" w:rsidRPr="005D4222" w:rsidRDefault="00BD75D6" w:rsidP="00A53E8C">
                  <w:pPr>
                    <w:pStyle w:val="TableHead"/>
                    <w:spacing w:before="40" w:after="40"/>
                  </w:pPr>
                  <w:r w:rsidRPr="005D4222">
                    <w:t>Data Element</w:t>
                  </w:r>
                </w:p>
              </w:tc>
              <w:tc>
                <w:tcPr>
                  <w:tcW w:w="2340" w:type="dxa"/>
                  <w:tcBorders>
                    <w:top w:val="single" w:sz="8" w:space="0" w:color="auto"/>
                    <w:left w:val="single" w:sz="4" w:space="0" w:color="FFFFFF"/>
                    <w:bottom w:val="single" w:sz="4" w:space="0" w:color="auto"/>
                    <w:right w:val="single" w:sz="8" w:space="0" w:color="auto"/>
                  </w:tcBorders>
                  <w:shd w:val="clear" w:color="auto" w:fill="000000"/>
                  <w:vAlign w:val="center"/>
                </w:tcPr>
                <w:p w14:paraId="2451CFB8" w14:textId="77777777" w:rsidR="00BD75D6" w:rsidRPr="005D4222" w:rsidRDefault="00BD75D6" w:rsidP="00A53E8C">
                  <w:pPr>
                    <w:pStyle w:val="TableHead"/>
                    <w:spacing w:before="40" w:after="40"/>
                  </w:pPr>
                  <w:r w:rsidRPr="005D4222">
                    <w:t>Reporting Instructions</w:t>
                  </w:r>
                </w:p>
              </w:tc>
            </w:tr>
            <w:tr w:rsidR="00BD75D6" w:rsidRPr="005D4222" w14:paraId="7BED4F04" w14:textId="77777777" w:rsidTr="00CD356E">
              <w:tc>
                <w:tcPr>
                  <w:tcW w:w="2345" w:type="dxa"/>
                  <w:tcBorders>
                    <w:top w:val="nil"/>
                    <w:left w:val="single" w:sz="8" w:space="0" w:color="auto"/>
                    <w:bottom w:val="single" w:sz="4" w:space="0" w:color="auto"/>
                    <w:right w:val="single" w:sz="4" w:space="0" w:color="auto"/>
                  </w:tcBorders>
                  <w:shd w:val="clear" w:color="auto" w:fill="FFFFFF"/>
                  <w:noWrap/>
                  <w:tcMar>
                    <w:top w:w="0" w:type="dxa"/>
                    <w:left w:w="108" w:type="dxa"/>
                    <w:bottom w:w="0" w:type="dxa"/>
                    <w:right w:w="108" w:type="dxa"/>
                  </w:tcMar>
                  <w:vAlign w:val="center"/>
                  <w:hideMark/>
                </w:tcPr>
                <w:p w14:paraId="4F5C52D1" w14:textId="77777777" w:rsidR="00BD75D6" w:rsidRPr="005D4222" w:rsidRDefault="00BD75D6" w:rsidP="00A53E8C">
                  <w:pPr>
                    <w:pStyle w:val="TableText"/>
                    <w:spacing w:before="40" w:after="40"/>
                  </w:pPr>
                  <w:r w:rsidRPr="005D4222">
                    <w:t>Influenza</w:t>
                  </w:r>
                </w:p>
              </w:tc>
              <w:tc>
                <w:tcPr>
                  <w:tcW w:w="216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23E1FBC3" w14:textId="77777777" w:rsidR="00BD75D6" w:rsidRPr="005D4222" w:rsidRDefault="00BD75D6" w:rsidP="00A53E8C">
                  <w:pPr>
                    <w:pStyle w:val="TableText"/>
                    <w:spacing w:before="40" w:after="40"/>
                  </w:pPr>
                  <w:r w:rsidRPr="005D4222">
                    <w:t>InitialPopulation</w:t>
                  </w:r>
                </w:p>
              </w:tc>
              <w:tc>
                <w:tcPr>
                  <w:tcW w:w="2340" w:type="dxa"/>
                  <w:tcBorders>
                    <w:top w:val="single" w:sz="4" w:space="0" w:color="auto"/>
                    <w:left w:val="single" w:sz="4" w:space="0" w:color="auto"/>
                    <w:bottom w:val="single" w:sz="4" w:space="0" w:color="auto"/>
                    <w:right w:val="single" w:sz="4" w:space="0" w:color="auto"/>
                  </w:tcBorders>
                  <w:vAlign w:val="center"/>
                </w:tcPr>
                <w:p w14:paraId="2F842788" w14:textId="77777777" w:rsidR="00BD75D6" w:rsidRPr="005D4222" w:rsidRDefault="00BD75D6" w:rsidP="00A53E8C">
                  <w:pPr>
                    <w:pStyle w:val="TableText"/>
                    <w:spacing w:before="40" w:after="40"/>
                  </w:pPr>
                  <w:r w:rsidRPr="005D4222">
                    <w:t>Repeat per Metric</w:t>
                  </w:r>
                </w:p>
              </w:tc>
            </w:tr>
            <w:tr w:rsidR="00BD75D6" w:rsidRPr="005D4222" w14:paraId="19E354BF" w14:textId="77777777" w:rsidTr="00CD356E">
              <w:tc>
                <w:tcPr>
                  <w:tcW w:w="2345" w:type="dxa"/>
                  <w:tcBorders>
                    <w:top w:val="single" w:sz="4" w:space="0" w:color="auto"/>
                    <w:left w:val="single" w:sz="4" w:space="0" w:color="auto"/>
                    <w:bottom w:val="single" w:sz="4" w:space="0" w:color="auto"/>
                    <w:right w:val="single" w:sz="4" w:space="0" w:color="auto"/>
                  </w:tcBorders>
                  <w:shd w:val="clear" w:color="auto" w:fill="FFFFFF"/>
                  <w:noWrap/>
                  <w:tcMar>
                    <w:top w:w="0" w:type="dxa"/>
                    <w:left w:w="108" w:type="dxa"/>
                    <w:bottom w:w="0" w:type="dxa"/>
                    <w:right w:w="108" w:type="dxa"/>
                  </w:tcMar>
                  <w:vAlign w:val="center"/>
                  <w:hideMark/>
                </w:tcPr>
                <w:p w14:paraId="59FD38A6" w14:textId="77777777" w:rsidR="00BD75D6" w:rsidRPr="005D4222" w:rsidRDefault="00BD75D6" w:rsidP="00A53E8C">
                  <w:pPr>
                    <w:pStyle w:val="TableText"/>
                    <w:spacing w:before="40" w:after="40"/>
                  </w:pPr>
                  <w:r w:rsidRPr="005D4222">
                    <w:t>Tdap</w:t>
                  </w:r>
                </w:p>
              </w:tc>
              <w:tc>
                <w:tcPr>
                  <w:tcW w:w="216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2731D3B" w14:textId="77777777" w:rsidR="00BD75D6" w:rsidRPr="005D4222" w:rsidRDefault="00BD75D6" w:rsidP="00A53E8C">
                  <w:pPr>
                    <w:pStyle w:val="TableText"/>
                    <w:spacing w:before="40" w:after="40"/>
                  </w:pPr>
                  <w:r w:rsidRPr="005D4222">
                    <w:t>Exclusions</w:t>
                  </w:r>
                </w:p>
              </w:tc>
              <w:tc>
                <w:tcPr>
                  <w:tcW w:w="2340" w:type="dxa"/>
                  <w:tcBorders>
                    <w:top w:val="single" w:sz="4" w:space="0" w:color="auto"/>
                    <w:left w:val="single" w:sz="4" w:space="0" w:color="auto"/>
                    <w:bottom w:val="single" w:sz="4" w:space="0" w:color="auto"/>
                    <w:right w:val="single" w:sz="4" w:space="0" w:color="auto"/>
                  </w:tcBorders>
                  <w:vAlign w:val="center"/>
                </w:tcPr>
                <w:p w14:paraId="753553F8" w14:textId="77777777" w:rsidR="00BD75D6" w:rsidRPr="005D4222" w:rsidRDefault="00BD75D6" w:rsidP="00A53E8C">
                  <w:pPr>
                    <w:pStyle w:val="TableText"/>
                    <w:spacing w:before="40" w:after="40"/>
                  </w:pPr>
                  <w:r w:rsidRPr="005D4222">
                    <w:t>Repeat per Metric</w:t>
                  </w:r>
                </w:p>
              </w:tc>
            </w:tr>
            <w:tr w:rsidR="00BD75D6" w:rsidRPr="005D4222" w14:paraId="5C5244FF" w14:textId="77777777" w:rsidTr="00CD356E">
              <w:tc>
                <w:tcPr>
                  <w:tcW w:w="2345" w:type="dxa"/>
                  <w:tcBorders>
                    <w:top w:val="single" w:sz="4" w:space="0" w:color="auto"/>
                    <w:left w:val="single" w:sz="4" w:space="0" w:color="auto"/>
                    <w:bottom w:val="single" w:sz="4" w:space="0" w:color="auto"/>
                    <w:right w:val="single" w:sz="4" w:space="0" w:color="auto"/>
                  </w:tcBorders>
                  <w:shd w:val="clear" w:color="auto" w:fill="FFFFFF"/>
                  <w:noWrap/>
                  <w:tcMar>
                    <w:top w:w="0" w:type="dxa"/>
                    <w:left w:w="108" w:type="dxa"/>
                    <w:bottom w:w="0" w:type="dxa"/>
                    <w:right w:w="108" w:type="dxa"/>
                  </w:tcMar>
                  <w:vAlign w:val="center"/>
                  <w:hideMark/>
                </w:tcPr>
                <w:p w14:paraId="4136DC68" w14:textId="77777777" w:rsidR="00BD75D6" w:rsidRPr="005D4222" w:rsidRDefault="00BD75D6" w:rsidP="00A53E8C">
                  <w:pPr>
                    <w:pStyle w:val="TableText"/>
                    <w:spacing w:before="40" w:after="40"/>
                  </w:pPr>
                  <w:r w:rsidRPr="005D4222">
                    <w:t>Combination</w:t>
                  </w:r>
                </w:p>
              </w:tc>
              <w:tc>
                <w:tcPr>
                  <w:tcW w:w="216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0B26462" w14:textId="77777777" w:rsidR="00BD75D6" w:rsidRPr="005D4222" w:rsidRDefault="00BD75D6" w:rsidP="00A53E8C">
                  <w:pPr>
                    <w:pStyle w:val="TableText"/>
                    <w:spacing w:before="40" w:after="40"/>
                  </w:pPr>
                  <w:r w:rsidRPr="005D4222">
                    <w:t>Denominator</w:t>
                  </w:r>
                </w:p>
              </w:tc>
              <w:tc>
                <w:tcPr>
                  <w:tcW w:w="2340" w:type="dxa"/>
                  <w:tcBorders>
                    <w:top w:val="single" w:sz="4" w:space="0" w:color="auto"/>
                    <w:left w:val="single" w:sz="4" w:space="0" w:color="auto"/>
                    <w:bottom w:val="single" w:sz="4" w:space="0" w:color="auto"/>
                    <w:right w:val="single" w:sz="4" w:space="0" w:color="auto"/>
                  </w:tcBorders>
                  <w:vAlign w:val="center"/>
                </w:tcPr>
                <w:p w14:paraId="06C2054E" w14:textId="77777777" w:rsidR="00BD75D6" w:rsidRPr="005D4222" w:rsidRDefault="00BD75D6" w:rsidP="00A53E8C">
                  <w:pPr>
                    <w:pStyle w:val="TableText"/>
                    <w:spacing w:before="40" w:after="40"/>
                  </w:pPr>
                  <w:r w:rsidRPr="005D4222">
                    <w:t>Repeat per Metric</w:t>
                  </w:r>
                </w:p>
              </w:tc>
            </w:tr>
            <w:tr w:rsidR="00BD75D6" w:rsidRPr="005D4222" w14:paraId="2C66D437" w14:textId="77777777" w:rsidTr="00CD356E">
              <w:tc>
                <w:tcPr>
                  <w:tcW w:w="2345" w:type="dxa"/>
                  <w:tcBorders>
                    <w:top w:val="single" w:sz="4" w:space="0" w:color="auto"/>
                    <w:right w:val="single" w:sz="4" w:space="0" w:color="auto"/>
                  </w:tcBorders>
                  <w:shd w:val="clear" w:color="auto" w:fill="FFFFFF"/>
                  <w:noWrap/>
                  <w:tcMar>
                    <w:top w:w="0" w:type="dxa"/>
                    <w:left w:w="108" w:type="dxa"/>
                    <w:bottom w:w="0" w:type="dxa"/>
                    <w:right w:w="108" w:type="dxa"/>
                  </w:tcMar>
                  <w:vAlign w:val="center"/>
                  <w:hideMark/>
                </w:tcPr>
                <w:p w14:paraId="5B2DC54C" w14:textId="77777777" w:rsidR="00BD75D6" w:rsidRPr="005D4222" w:rsidRDefault="00BD75D6" w:rsidP="00A53E8C">
                  <w:pPr>
                    <w:pStyle w:val="TableText"/>
                    <w:spacing w:before="40" w:after="40"/>
                  </w:pPr>
                  <w:r w:rsidRPr="005D4222">
                    <w:t xml:space="preserve"> </w:t>
                  </w:r>
                </w:p>
              </w:tc>
              <w:tc>
                <w:tcPr>
                  <w:tcW w:w="216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5F6EC93" w14:textId="77777777" w:rsidR="00BD75D6" w:rsidRPr="005D4222" w:rsidRDefault="00BD75D6" w:rsidP="00A53E8C">
                  <w:pPr>
                    <w:pStyle w:val="TableText"/>
                    <w:spacing w:before="40" w:after="40"/>
                  </w:pPr>
                  <w:r w:rsidRPr="005D4222">
                    <w:t>Numerator</w:t>
                  </w:r>
                </w:p>
              </w:tc>
              <w:tc>
                <w:tcPr>
                  <w:tcW w:w="2340" w:type="dxa"/>
                  <w:tcBorders>
                    <w:top w:val="single" w:sz="4" w:space="0" w:color="auto"/>
                    <w:left w:val="single" w:sz="4" w:space="0" w:color="auto"/>
                    <w:bottom w:val="single" w:sz="4" w:space="0" w:color="auto"/>
                    <w:right w:val="single" w:sz="4" w:space="0" w:color="auto"/>
                  </w:tcBorders>
                  <w:vAlign w:val="center"/>
                </w:tcPr>
                <w:p w14:paraId="6CDE6F75" w14:textId="77777777" w:rsidR="00BD75D6" w:rsidRPr="005D4222" w:rsidRDefault="00BD75D6" w:rsidP="00A53E8C">
                  <w:pPr>
                    <w:pStyle w:val="TableText"/>
                    <w:spacing w:before="40" w:after="40"/>
                  </w:pPr>
                  <w:r w:rsidRPr="005D4222">
                    <w:t>For each Metric</w:t>
                  </w:r>
                </w:p>
              </w:tc>
            </w:tr>
            <w:tr w:rsidR="00BD75D6" w:rsidRPr="005D4222" w14:paraId="78516F82" w14:textId="77777777" w:rsidTr="00CD356E">
              <w:tc>
                <w:tcPr>
                  <w:tcW w:w="2345" w:type="dxa"/>
                  <w:tcBorders>
                    <w:right w:val="single" w:sz="4" w:space="0" w:color="auto"/>
                  </w:tcBorders>
                  <w:shd w:val="clear" w:color="auto" w:fill="FFFFFF"/>
                  <w:noWrap/>
                  <w:tcMar>
                    <w:top w:w="0" w:type="dxa"/>
                    <w:left w:w="108" w:type="dxa"/>
                    <w:bottom w:w="0" w:type="dxa"/>
                    <w:right w:w="108" w:type="dxa"/>
                  </w:tcMar>
                  <w:vAlign w:val="center"/>
                  <w:hideMark/>
                </w:tcPr>
                <w:p w14:paraId="7FE80D6E" w14:textId="77777777" w:rsidR="00BD75D6" w:rsidRPr="005D4222" w:rsidRDefault="00BD75D6" w:rsidP="00A53E8C">
                  <w:pPr>
                    <w:pStyle w:val="TableText"/>
                    <w:spacing w:before="40" w:after="40"/>
                  </w:pPr>
                </w:p>
              </w:tc>
              <w:tc>
                <w:tcPr>
                  <w:tcW w:w="2160" w:type="dxa"/>
                  <w:tcBorders>
                    <w:top w:val="single" w:sz="4" w:space="0" w:color="auto"/>
                    <w:left w:val="single" w:sz="4" w:space="0" w:color="auto"/>
                    <w:bottom w:val="single" w:sz="4" w:space="0" w:color="auto"/>
                    <w:right w:val="single" w:sz="4" w:space="0" w:color="auto"/>
                  </w:tcBorders>
                  <w:shd w:val="clear" w:color="auto" w:fill="D9D9D9"/>
                  <w:noWrap/>
                  <w:tcMar>
                    <w:top w:w="0" w:type="dxa"/>
                    <w:left w:w="108" w:type="dxa"/>
                    <w:bottom w:w="0" w:type="dxa"/>
                    <w:right w:w="108" w:type="dxa"/>
                  </w:tcMar>
                  <w:vAlign w:val="center"/>
                </w:tcPr>
                <w:p w14:paraId="045831CC" w14:textId="77777777" w:rsidR="00BD75D6" w:rsidRPr="005D4222" w:rsidRDefault="00BD75D6" w:rsidP="00A53E8C">
                  <w:pPr>
                    <w:pStyle w:val="TableText"/>
                    <w:spacing w:before="40" w:after="40"/>
                  </w:pPr>
                  <w:r w:rsidRPr="005D4222">
                    <w:t>Rate</w:t>
                  </w:r>
                </w:p>
              </w:tc>
              <w:tc>
                <w:tcPr>
                  <w:tcW w:w="2340" w:type="dxa"/>
                  <w:tcBorders>
                    <w:top w:val="single" w:sz="4" w:space="0" w:color="auto"/>
                    <w:left w:val="single" w:sz="4" w:space="0" w:color="auto"/>
                    <w:bottom w:val="single" w:sz="4" w:space="0" w:color="auto"/>
                    <w:right w:val="single" w:sz="4" w:space="0" w:color="auto"/>
                  </w:tcBorders>
                  <w:shd w:val="clear" w:color="auto" w:fill="D9D9D9"/>
                  <w:vAlign w:val="center"/>
                </w:tcPr>
                <w:p w14:paraId="467B03E6" w14:textId="77777777" w:rsidR="00BD75D6" w:rsidRPr="005D4222" w:rsidRDefault="00BD75D6" w:rsidP="00A53E8C">
                  <w:pPr>
                    <w:pStyle w:val="TableText"/>
                    <w:spacing w:before="40" w:after="40"/>
                  </w:pPr>
                  <w:r w:rsidRPr="005D4222">
                    <w:t>(Percent)</w:t>
                  </w:r>
                </w:p>
              </w:tc>
            </w:tr>
          </w:tbl>
          <w:p w14:paraId="672FD013" w14:textId="20AE39F4" w:rsidR="00BD75D6" w:rsidRPr="005D4222" w:rsidRDefault="00BD75D6" w:rsidP="00A53E8C">
            <w:pPr>
              <w:pStyle w:val="Heading3"/>
              <w:rPr>
                <w:kern w:val="20"/>
              </w:rPr>
            </w:pPr>
            <w:r w:rsidRPr="005D4222">
              <w:rPr>
                <w:kern w:val="20"/>
              </w:rPr>
              <w:t xml:space="preserve">Table PRS-E-B-1/2: Data Elements for Prenatal Immunization Status: </w:t>
            </w:r>
            <w:r w:rsidR="00B51CDC" w:rsidRPr="005D4222">
              <w:rPr>
                <w:kern w:val="20"/>
              </w:rPr>
              <w:t>Stratifications</w:t>
            </w:r>
            <w:r w:rsidRPr="005D4222">
              <w:rPr>
                <w:kern w:val="20"/>
              </w:rPr>
              <w:t xml:space="preserve"> by Race </w:t>
            </w:r>
          </w:p>
          <w:tbl>
            <w:tblPr>
              <w:tblW w:w="5000" w:type="pct"/>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150"/>
              <w:gridCol w:w="2803"/>
              <w:gridCol w:w="1440"/>
              <w:gridCol w:w="1976"/>
            </w:tblGrid>
            <w:tr w:rsidR="00BD75D6" w:rsidRPr="005D4222" w14:paraId="7C657026" w14:textId="77777777" w:rsidTr="00A53E8C">
              <w:tc>
                <w:tcPr>
                  <w:tcW w:w="1150" w:type="dxa"/>
                  <w:tcBorders>
                    <w:top w:val="single" w:sz="6" w:space="0" w:color="auto"/>
                    <w:left w:val="single" w:sz="6" w:space="0" w:color="auto"/>
                    <w:bottom w:val="single" w:sz="6" w:space="0" w:color="auto"/>
                    <w:right w:val="single" w:sz="4" w:space="0" w:color="FFFFFF" w:themeColor="background1"/>
                  </w:tcBorders>
                  <w:shd w:val="clear" w:color="auto" w:fill="000000" w:themeFill="text1"/>
                  <w:tcMar>
                    <w:left w:w="86" w:type="dxa"/>
                    <w:right w:w="86" w:type="dxa"/>
                  </w:tcMar>
                  <w:vAlign w:val="bottom"/>
                  <w:hideMark/>
                </w:tcPr>
                <w:p w14:paraId="304E60DD" w14:textId="77777777" w:rsidR="00BD75D6" w:rsidRPr="005D4222" w:rsidRDefault="00BD75D6" w:rsidP="00A53E8C">
                  <w:pPr>
                    <w:pStyle w:val="TableHead"/>
                    <w:spacing w:before="40" w:after="40"/>
                    <w:rPr>
                      <w:rFonts w:ascii="Times New Roman" w:hAnsi="Times New Roman"/>
                      <w:color w:val="FFFFFF"/>
                      <w:kern w:val="20"/>
                      <w:sz w:val="24"/>
                      <w:szCs w:val="24"/>
                    </w:rPr>
                  </w:pPr>
                  <w:r w:rsidRPr="005D4222">
                    <w:rPr>
                      <w:kern w:val="20"/>
                    </w:rPr>
                    <w:t>Metric</w:t>
                  </w:r>
                </w:p>
              </w:tc>
              <w:tc>
                <w:tcPr>
                  <w:tcW w:w="2803" w:type="dxa"/>
                  <w:tcBorders>
                    <w:top w:val="single" w:sz="6" w:space="0" w:color="auto"/>
                    <w:left w:val="single" w:sz="4" w:space="0" w:color="FFFFFF" w:themeColor="background1"/>
                    <w:bottom w:val="single" w:sz="6" w:space="0" w:color="auto"/>
                    <w:right w:val="single" w:sz="6" w:space="0" w:color="FFFFFF" w:themeColor="background1"/>
                  </w:tcBorders>
                  <w:shd w:val="clear" w:color="auto" w:fill="000000" w:themeFill="text1"/>
                  <w:tcMar>
                    <w:left w:w="86" w:type="dxa"/>
                    <w:right w:w="86" w:type="dxa"/>
                  </w:tcMar>
                  <w:vAlign w:val="bottom"/>
                  <w:hideMark/>
                </w:tcPr>
                <w:p w14:paraId="49E6D0B5" w14:textId="77777777" w:rsidR="00BD75D6" w:rsidRPr="005D4222" w:rsidRDefault="00BD75D6" w:rsidP="00A53E8C">
                  <w:pPr>
                    <w:pStyle w:val="TableHead"/>
                    <w:spacing w:before="40" w:after="40"/>
                    <w:rPr>
                      <w:rFonts w:ascii="Times New Roman" w:hAnsi="Times New Roman"/>
                      <w:color w:val="FFFFFF"/>
                      <w:kern w:val="20"/>
                      <w:sz w:val="24"/>
                      <w:szCs w:val="24"/>
                    </w:rPr>
                  </w:pPr>
                  <w:r w:rsidRPr="005D4222">
                    <w:rPr>
                      <w:kern w:val="20"/>
                    </w:rPr>
                    <w:t>Race</w:t>
                  </w:r>
                </w:p>
              </w:tc>
              <w:tc>
                <w:tcPr>
                  <w:tcW w:w="1440" w:type="dxa"/>
                  <w:tcBorders>
                    <w:top w:val="single" w:sz="6" w:space="0" w:color="auto"/>
                    <w:left w:val="single" w:sz="6" w:space="0" w:color="FFFFFF" w:themeColor="background1"/>
                    <w:bottom w:val="single" w:sz="6" w:space="0" w:color="auto"/>
                    <w:right w:val="single" w:sz="6" w:space="0" w:color="FFFFFF" w:themeColor="background1"/>
                  </w:tcBorders>
                  <w:shd w:val="clear" w:color="auto" w:fill="000000" w:themeFill="text1"/>
                  <w:tcMar>
                    <w:left w:w="86" w:type="dxa"/>
                    <w:right w:w="86" w:type="dxa"/>
                  </w:tcMar>
                  <w:vAlign w:val="bottom"/>
                  <w:hideMark/>
                </w:tcPr>
                <w:p w14:paraId="36E1821A" w14:textId="77777777" w:rsidR="00BD75D6" w:rsidRPr="005D4222" w:rsidRDefault="00BD75D6" w:rsidP="00A53E8C">
                  <w:pPr>
                    <w:pStyle w:val="TableHead"/>
                    <w:spacing w:before="40" w:after="40"/>
                    <w:rPr>
                      <w:rFonts w:ascii="Times New Roman" w:hAnsi="Times New Roman"/>
                      <w:color w:val="FFFFFF"/>
                      <w:kern w:val="20"/>
                      <w:sz w:val="24"/>
                      <w:szCs w:val="24"/>
                    </w:rPr>
                  </w:pPr>
                  <w:r w:rsidRPr="005D4222">
                    <w:rPr>
                      <w:kern w:val="20"/>
                    </w:rPr>
                    <w:t>Data Element</w:t>
                  </w:r>
                </w:p>
              </w:tc>
              <w:tc>
                <w:tcPr>
                  <w:tcW w:w="1976" w:type="dxa"/>
                  <w:tcBorders>
                    <w:top w:val="single" w:sz="6" w:space="0" w:color="auto"/>
                    <w:left w:val="single" w:sz="6" w:space="0" w:color="FFFFFF" w:themeColor="background1"/>
                    <w:bottom w:val="single" w:sz="6" w:space="0" w:color="auto"/>
                    <w:right w:val="single" w:sz="6" w:space="0" w:color="auto"/>
                  </w:tcBorders>
                  <w:shd w:val="clear" w:color="auto" w:fill="000000" w:themeFill="text1"/>
                  <w:tcMar>
                    <w:left w:w="86" w:type="dxa"/>
                    <w:right w:w="86" w:type="dxa"/>
                  </w:tcMar>
                  <w:vAlign w:val="bottom"/>
                  <w:hideMark/>
                </w:tcPr>
                <w:p w14:paraId="0448EAD4" w14:textId="77777777" w:rsidR="00BD75D6" w:rsidRPr="005D4222" w:rsidRDefault="00BD75D6" w:rsidP="00A53E8C">
                  <w:pPr>
                    <w:pStyle w:val="TableHead"/>
                    <w:spacing w:before="40" w:after="40"/>
                    <w:rPr>
                      <w:rFonts w:ascii="Times New Roman" w:hAnsi="Times New Roman"/>
                      <w:color w:val="FFFFFF"/>
                      <w:kern w:val="20"/>
                      <w:sz w:val="24"/>
                      <w:szCs w:val="24"/>
                    </w:rPr>
                  </w:pPr>
                  <w:r w:rsidRPr="005D4222">
                    <w:rPr>
                      <w:kern w:val="20"/>
                    </w:rPr>
                    <w:t>Reporting Instructions</w:t>
                  </w:r>
                </w:p>
              </w:tc>
            </w:tr>
            <w:tr w:rsidR="00BD75D6" w:rsidRPr="005D4222" w14:paraId="45C6D290" w14:textId="77777777" w:rsidTr="00A53E8C">
              <w:tc>
                <w:tcPr>
                  <w:tcW w:w="1150"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5A8C574A" w14:textId="77777777" w:rsidR="00BD75D6" w:rsidRPr="005D4222" w:rsidRDefault="00BD75D6" w:rsidP="00A53E8C">
                  <w:pPr>
                    <w:pStyle w:val="TableText"/>
                    <w:spacing w:before="40" w:after="40"/>
                    <w:rPr>
                      <w:rFonts w:ascii="Times New Roman" w:hAnsi="Times New Roman"/>
                      <w:sz w:val="24"/>
                      <w:szCs w:val="24"/>
                    </w:rPr>
                  </w:pPr>
                  <w:r w:rsidRPr="005D4222">
                    <w:t xml:space="preserve">Influenza </w:t>
                  </w:r>
                </w:p>
              </w:tc>
              <w:tc>
                <w:tcPr>
                  <w:tcW w:w="2803"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54FDAAE4" w14:textId="77777777" w:rsidR="00BD75D6" w:rsidRPr="005D4222" w:rsidRDefault="00BD75D6" w:rsidP="00A53E8C">
                  <w:pPr>
                    <w:pStyle w:val="TableText"/>
                    <w:spacing w:before="40" w:after="40"/>
                    <w:rPr>
                      <w:rFonts w:ascii="Times New Roman" w:hAnsi="Times New Roman"/>
                      <w:sz w:val="24"/>
                      <w:szCs w:val="24"/>
                    </w:rPr>
                  </w:pPr>
                  <w:r w:rsidRPr="005D4222">
                    <w:t>AmericanIndianOrAlaskaNative</w:t>
                  </w:r>
                </w:p>
              </w:tc>
              <w:tc>
                <w:tcPr>
                  <w:tcW w:w="1440"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2291D415" w14:textId="77777777" w:rsidR="00BD75D6" w:rsidRPr="005D4222" w:rsidRDefault="00BD75D6" w:rsidP="00A53E8C">
                  <w:pPr>
                    <w:pStyle w:val="TableText"/>
                    <w:spacing w:before="40" w:after="40"/>
                    <w:rPr>
                      <w:rFonts w:ascii="Times New Roman" w:hAnsi="Times New Roman"/>
                      <w:sz w:val="24"/>
                      <w:szCs w:val="24"/>
                    </w:rPr>
                  </w:pPr>
                  <w:r w:rsidRPr="005D4222">
                    <w:t xml:space="preserve">InitialPopulation </w:t>
                  </w:r>
                </w:p>
              </w:tc>
              <w:tc>
                <w:tcPr>
                  <w:tcW w:w="1976" w:type="dxa"/>
                  <w:tcBorders>
                    <w:top w:val="nil"/>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4F81E8A5" w14:textId="77777777" w:rsidR="00BD75D6" w:rsidRPr="005D4222" w:rsidRDefault="00BD75D6" w:rsidP="00A53E8C">
                  <w:pPr>
                    <w:pStyle w:val="TableText"/>
                    <w:spacing w:before="40" w:after="40"/>
                    <w:rPr>
                      <w:rFonts w:ascii="Times New Roman" w:hAnsi="Times New Roman"/>
                      <w:sz w:val="24"/>
                      <w:szCs w:val="24"/>
                    </w:rPr>
                  </w:pPr>
                  <w:r w:rsidRPr="005D4222">
                    <w:t xml:space="preserve">For each Stratification, repeat per Metric </w:t>
                  </w:r>
                </w:p>
              </w:tc>
            </w:tr>
            <w:tr w:rsidR="00BD75D6" w:rsidRPr="005D4222" w14:paraId="3D36FB9A" w14:textId="77777777" w:rsidTr="00A53E8C">
              <w:tc>
                <w:tcPr>
                  <w:tcW w:w="1150"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7788C93B" w14:textId="77777777" w:rsidR="00BD75D6" w:rsidRPr="005D4222" w:rsidRDefault="00BD75D6" w:rsidP="00A53E8C">
                  <w:pPr>
                    <w:pStyle w:val="TableText"/>
                    <w:spacing w:before="40" w:after="40"/>
                    <w:rPr>
                      <w:rFonts w:ascii="Times New Roman" w:hAnsi="Times New Roman"/>
                      <w:sz w:val="24"/>
                      <w:szCs w:val="24"/>
                    </w:rPr>
                  </w:pPr>
                  <w:r w:rsidRPr="005D4222">
                    <w:t xml:space="preserve">Tdap </w:t>
                  </w:r>
                </w:p>
              </w:tc>
              <w:tc>
                <w:tcPr>
                  <w:tcW w:w="2803"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559CE45A" w14:textId="77777777" w:rsidR="00BD75D6" w:rsidRPr="005D4222" w:rsidRDefault="00BD75D6" w:rsidP="00A53E8C">
                  <w:pPr>
                    <w:pStyle w:val="TableText"/>
                    <w:spacing w:before="40" w:after="40"/>
                    <w:rPr>
                      <w:rFonts w:ascii="Times New Roman" w:hAnsi="Times New Roman"/>
                      <w:sz w:val="24"/>
                      <w:szCs w:val="24"/>
                    </w:rPr>
                  </w:pPr>
                  <w:r w:rsidRPr="005D4222">
                    <w:t>Asian</w:t>
                  </w:r>
                </w:p>
              </w:tc>
              <w:tc>
                <w:tcPr>
                  <w:tcW w:w="1440"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7EF13DB6" w14:textId="77777777" w:rsidR="00BD75D6" w:rsidRPr="005D4222" w:rsidRDefault="00BD75D6" w:rsidP="00A53E8C">
                  <w:pPr>
                    <w:pStyle w:val="TableText"/>
                    <w:spacing w:before="40" w:after="40"/>
                    <w:rPr>
                      <w:rFonts w:ascii="Times New Roman" w:hAnsi="Times New Roman"/>
                      <w:sz w:val="24"/>
                      <w:szCs w:val="24"/>
                    </w:rPr>
                  </w:pPr>
                  <w:r w:rsidRPr="005D4222">
                    <w:t xml:space="preserve">Exclusions </w:t>
                  </w:r>
                </w:p>
              </w:tc>
              <w:tc>
                <w:tcPr>
                  <w:tcW w:w="1976" w:type="dxa"/>
                  <w:tcBorders>
                    <w:top w:val="nil"/>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07D97A56" w14:textId="77777777" w:rsidR="00BD75D6" w:rsidRPr="005D4222" w:rsidRDefault="00BD75D6" w:rsidP="00A53E8C">
                  <w:pPr>
                    <w:pStyle w:val="TableText"/>
                    <w:spacing w:before="40" w:after="40"/>
                    <w:rPr>
                      <w:rFonts w:ascii="Times New Roman" w:hAnsi="Times New Roman"/>
                      <w:sz w:val="24"/>
                      <w:szCs w:val="24"/>
                    </w:rPr>
                  </w:pPr>
                  <w:r w:rsidRPr="005D4222">
                    <w:t xml:space="preserve">For each Stratification, repeat per Metric </w:t>
                  </w:r>
                </w:p>
              </w:tc>
            </w:tr>
            <w:tr w:rsidR="00BD75D6" w:rsidRPr="005D4222" w14:paraId="078A2FFD" w14:textId="77777777" w:rsidTr="00A53E8C">
              <w:tc>
                <w:tcPr>
                  <w:tcW w:w="1150"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015F0BEE" w14:textId="77777777" w:rsidR="00BD75D6" w:rsidRPr="005D4222" w:rsidRDefault="00BD75D6" w:rsidP="00A53E8C">
                  <w:pPr>
                    <w:pStyle w:val="TableText"/>
                    <w:spacing w:before="40" w:after="40"/>
                    <w:rPr>
                      <w:rFonts w:ascii="Times New Roman" w:hAnsi="Times New Roman"/>
                      <w:sz w:val="24"/>
                      <w:szCs w:val="24"/>
                    </w:rPr>
                  </w:pPr>
                  <w:r w:rsidRPr="005D4222">
                    <w:t xml:space="preserve">Combination </w:t>
                  </w:r>
                </w:p>
              </w:tc>
              <w:tc>
                <w:tcPr>
                  <w:tcW w:w="2803"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365959CA" w14:textId="77777777" w:rsidR="00BD75D6" w:rsidRPr="005D4222" w:rsidRDefault="00BD75D6" w:rsidP="00A53E8C">
                  <w:pPr>
                    <w:pStyle w:val="TableText"/>
                    <w:spacing w:before="40" w:after="40"/>
                    <w:rPr>
                      <w:rFonts w:ascii="Times New Roman" w:hAnsi="Times New Roman"/>
                      <w:sz w:val="24"/>
                      <w:szCs w:val="24"/>
                    </w:rPr>
                  </w:pPr>
                  <w:r w:rsidRPr="005D4222">
                    <w:t>BlackOrAfricanAmerican</w:t>
                  </w:r>
                </w:p>
              </w:tc>
              <w:tc>
                <w:tcPr>
                  <w:tcW w:w="1440" w:type="dxa"/>
                  <w:tcBorders>
                    <w:top w:val="nil"/>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1CD67A4B" w14:textId="77777777" w:rsidR="00BD75D6" w:rsidRPr="005D4222" w:rsidRDefault="00BD75D6" w:rsidP="00A53E8C">
                  <w:pPr>
                    <w:pStyle w:val="TableText"/>
                    <w:spacing w:before="40" w:after="40"/>
                    <w:rPr>
                      <w:rFonts w:ascii="Times New Roman" w:hAnsi="Times New Roman"/>
                      <w:sz w:val="24"/>
                      <w:szCs w:val="24"/>
                    </w:rPr>
                  </w:pPr>
                  <w:r w:rsidRPr="005D4222">
                    <w:t xml:space="preserve">Denominator </w:t>
                  </w:r>
                </w:p>
              </w:tc>
              <w:tc>
                <w:tcPr>
                  <w:tcW w:w="1976" w:type="dxa"/>
                  <w:tcBorders>
                    <w:top w:val="nil"/>
                    <w:left w:val="single" w:sz="6" w:space="0" w:color="auto"/>
                    <w:bottom w:val="single" w:sz="6" w:space="0" w:color="auto"/>
                    <w:right w:val="single" w:sz="6" w:space="0" w:color="auto"/>
                  </w:tcBorders>
                  <w:shd w:val="clear" w:color="auto" w:fill="FFFFFF" w:themeFill="background1"/>
                  <w:tcMar>
                    <w:left w:w="86" w:type="dxa"/>
                    <w:right w:w="86" w:type="dxa"/>
                  </w:tcMar>
                  <w:hideMark/>
                </w:tcPr>
                <w:p w14:paraId="6B1E615D" w14:textId="77777777" w:rsidR="00BD75D6" w:rsidRPr="005D4222" w:rsidRDefault="00BD75D6" w:rsidP="00A53E8C">
                  <w:pPr>
                    <w:pStyle w:val="TableText"/>
                    <w:spacing w:before="40" w:after="40"/>
                    <w:rPr>
                      <w:rFonts w:ascii="Times New Roman" w:hAnsi="Times New Roman"/>
                      <w:sz w:val="24"/>
                      <w:szCs w:val="24"/>
                    </w:rPr>
                  </w:pPr>
                  <w:r w:rsidRPr="005D4222">
                    <w:t xml:space="preserve">For each Stratification, repeat per Metric </w:t>
                  </w:r>
                </w:p>
              </w:tc>
            </w:tr>
            <w:tr w:rsidR="00BD75D6" w:rsidRPr="005D4222" w14:paraId="78E2BE51" w14:textId="77777777" w:rsidTr="00A53E8C">
              <w:tc>
                <w:tcPr>
                  <w:tcW w:w="1150" w:type="dxa"/>
                  <w:tcBorders>
                    <w:top w:val="nil"/>
                    <w:left w:val="nil"/>
                    <w:bottom w:val="nil"/>
                    <w:right w:val="single" w:sz="6" w:space="0" w:color="auto"/>
                  </w:tcBorders>
                  <w:shd w:val="clear" w:color="auto" w:fill="FFFFFF" w:themeFill="background1"/>
                  <w:tcMar>
                    <w:left w:w="86" w:type="dxa"/>
                    <w:right w:w="86" w:type="dxa"/>
                  </w:tcMar>
                </w:tcPr>
                <w:p w14:paraId="5B5FB27C" w14:textId="77777777" w:rsidR="00BD75D6" w:rsidRPr="005D4222" w:rsidRDefault="00BD75D6" w:rsidP="00A53E8C">
                  <w:pPr>
                    <w:pStyle w:val="TableText"/>
                    <w:spacing w:before="40" w:after="40"/>
                  </w:pPr>
                  <w:r w:rsidRPr="005D4222">
                    <w:t xml:space="preserve"> </w:t>
                  </w:r>
                </w:p>
              </w:tc>
              <w:tc>
                <w:tcPr>
                  <w:tcW w:w="2803"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tcPr>
                <w:p w14:paraId="014F1405" w14:textId="77777777" w:rsidR="00BD75D6" w:rsidRPr="005D4222" w:rsidRDefault="00BD75D6" w:rsidP="00A53E8C">
                  <w:pPr>
                    <w:pStyle w:val="TableText"/>
                    <w:spacing w:before="40" w:after="40"/>
                  </w:pPr>
                  <w:r w:rsidRPr="005D4222">
                    <w:t>MiddleEasternOrNorthAfrican</w:t>
                  </w:r>
                </w:p>
              </w:tc>
              <w:tc>
                <w:tcPr>
                  <w:tcW w:w="1440" w:type="dxa"/>
                  <w:tcBorders>
                    <w:top w:val="single" w:sz="6" w:space="0" w:color="auto"/>
                    <w:left w:val="single" w:sz="6" w:space="0" w:color="auto"/>
                    <w:bottom w:val="single" w:sz="4" w:space="0" w:color="auto"/>
                    <w:right w:val="single" w:sz="6" w:space="0" w:color="auto"/>
                  </w:tcBorders>
                  <w:shd w:val="clear" w:color="auto" w:fill="FFFFFF" w:themeFill="background1"/>
                  <w:tcMar>
                    <w:left w:w="86" w:type="dxa"/>
                    <w:right w:w="86" w:type="dxa"/>
                  </w:tcMar>
                </w:tcPr>
                <w:p w14:paraId="51BFB68B" w14:textId="77777777" w:rsidR="00BD75D6" w:rsidRPr="005D4222" w:rsidRDefault="00BD75D6" w:rsidP="00A53E8C">
                  <w:pPr>
                    <w:pStyle w:val="TableText"/>
                    <w:spacing w:before="40" w:after="40"/>
                  </w:pPr>
                  <w:r w:rsidRPr="005D4222">
                    <w:t>Numerator</w:t>
                  </w:r>
                </w:p>
              </w:tc>
              <w:tc>
                <w:tcPr>
                  <w:tcW w:w="1976" w:type="dxa"/>
                  <w:tcBorders>
                    <w:top w:val="nil"/>
                    <w:left w:val="single" w:sz="6" w:space="0" w:color="auto"/>
                    <w:bottom w:val="single" w:sz="4" w:space="0" w:color="auto"/>
                    <w:right w:val="single" w:sz="6" w:space="0" w:color="auto"/>
                  </w:tcBorders>
                  <w:shd w:val="clear" w:color="auto" w:fill="FFFFFF" w:themeFill="background1"/>
                  <w:tcMar>
                    <w:left w:w="86" w:type="dxa"/>
                    <w:right w:w="86" w:type="dxa"/>
                  </w:tcMar>
                </w:tcPr>
                <w:p w14:paraId="42CACB36" w14:textId="77777777" w:rsidR="00BD75D6" w:rsidRPr="005D4222" w:rsidRDefault="00BD75D6" w:rsidP="00A53E8C">
                  <w:pPr>
                    <w:pStyle w:val="TableText"/>
                    <w:spacing w:before="40" w:after="40"/>
                  </w:pPr>
                  <w:r w:rsidRPr="005D4222">
                    <w:t>For each Metric and Stratification</w:t>
                  </w:r>
                </w:p>
              </w:tc>
            </w:tr>
          </w:tbl>
          <w:p w14:paraId="1149573F" w14:textId="77777777" w:rsidR="00BD75D6" w:rsidRPr="005D4222" w:rsidRDefault="00BD75D6" w:rsidP="00A53E8C">
            <w:pPr>
              <w:pStyle w:val="Heading3"/>
              <w:rPr>
                <w:color w:val="000000" w:themeColor="text1"/>
              </w:rPr>
            </w:pPr>
          </w:p>
        </w:tc>
      </w:tr>
    </w:tbl>
    <w:p w14:paraId="111D6DB6" w14:textId="77777777" w:rsidR="001E2D0B" w:rsidRDefault="001E2D0B"/>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1E2D0B" w:rsidRPr="005D4222" w14:paraId="1768EA52"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5680F47" w14:textId="77777777" w:rsidR="001E2D0B" w:rsidRPr="005D4222" w:rsidRDefault="001E2D0B"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6AF304C" w14:textId="77777777" w:rsidR="001E2D0B" w:rsidRPr="001E2D0B" w:rsidRDefault="001E2D0B" w:rsidP="001E2D0B">
            <w:pPr>
              <w:pStyle w:val="ECDSBody"/>
              <w:spacing w:before="0" w:after="0"/>
              <w:rPr>
                <w:rFonts w:eastAsia="Arial,Arial,Arial,Arial,Arial,A"/>
                <w:sz w:val="10"/>
                <w:szCs w:val="10"/>
              </w:rPr>
            </w:pPr>
          </w:p>
          <w:tbl>
            <w:tblPr>
              <w:tblW w:w="737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253"/>
              <w:gridCol w:w="2701"/>
              <w:gridCol w:w="1440"/>
              <w:gridCol w:w="1976"/>
            </w:tblGrid>
            <w:tr w:rsidR="001E2D0B" w:rsidRPr="005D4222" w14:paraId="1FFC6676" w14:textId="77777777" w:rsidTr="00B069BE">
              <w:tc>
                <w:tcPr>
                  <w:tcW w:w="1253" w:type="dxa"/>
                  <w:tcBorders>
                    <w:top w:val="single" w:sz="6" w:space="0" w:color="auto"/>
                    <w:left w:val="single" w:sz="6" w:space="0" w:color="auto"/>
                    <w:bottom w:val="single" w:sz="6" w:space="0" w:color="auto"/>
                    <w:right w:val="single" w:sz="4" w:space="0" w:color="FFFFFF" w:themeColor="background1"/>
                  </w:tcBorders>
                  <w:shd w:val="clear" w:color="auto" w:fill="000000" w:themeFill="text1"/>
                  <w:tcMar>
                    <w:left w:w="86" w:type="dxa"/>
                    <w:right w:w="86" w:type="dxa"/>
                  </w:tcMar>
                  <w:vAlign w:val="bottom"/>
                  <w:hideMark/>
                </w:tcPr>
                <w:p w14:paraId="2B0C1E71" w14:textId="77777777" w:rsidR="001E2D0B" w:rsidRPr="005D4222" w:rsidRDefault="001E2D0B" w:rsidP="001E2D0B">
                  <w:pPr>
                    <w:pStyle w:val="TableHead"/>
                    <w:spacing w:before="40" w:after="40"/>
                    <w:rPr>
                      <w:rFonts w:ascii="Times New Roman" w:hAnsi="Times New Roman"/>
                      <w:color w:val="FFFFFF"/>
                      <w:kern w:val="20"/>
                      <w:sz w:val="24"/>
                      <w:szCs w:val="24"/>
                    </w:rPr>
                  </w:pPr>
                  <w:r w:rsidRPr="005D4222">
                    <w:rPr>
                      <w:kern w:val="20"/>
                    </w:rPr>
                    <w:t>Metric</w:t>
                  </w:r>
                </w:p>
              </w:tc>
              <w:tc>
                <w:tcPr>
                  <w:tcW w:w="2701" w:type="dxa"/>
                  <w:tcBorders>
                    <w:top w:val="single" w:sz="6" w:space="0" w:color="auto"/>
                    <w:left w:val="single" w:sz="4" w:space="0" w:color="FFFFFF" w:themeColor="background1"/>
                    <w:bottom w:val="single" w:sz="6" w:space="0" w:color="auto"/>
                    <w:right w:val="single" w:sz="6" w:space="0" w:color="FFFFFF" w:themeColor="background1"/>
                  </w:tcBorders>
                  <w:shd w:val="clear" w:color="auto" w:fill="000000" w:themeFill="text1"/>
                  <w:tcMar>
                    <w:left w:w="86" w:type="dxa"/>
                    <w:right w:w="86" w:type="dxa"/>
                  </w:tcMar>
                  <w:vAlign w:val="bottom"/>
                  <w:hideMark/>
                </w:tcPr>
                <w:p w14:paraId="0AF8975E" w14:textId="77777777" w:rsidR="001E2D0B" w:rsidRPr="005D4222" w:rsidRDefault="001E2D0B" w:rsidP="001E2D0B">
                  <w:pPr>
                    <w:pStyle w:val="TableHead"/>
                    <w:spacing w:before="40" w:after="40"/>
                    <w:rPr>
                      <w:rFonts w:ascii="Times New Roman" w:hAnsi="Times New Roman"/>
                      <w:color w:val="FFFFFF"/>
                      <w:kern w:val="20"/>
                      <w:sz w:val="24"/>
                      <w:szCs w:val="24"/>
                    </w:rPr>
                  </w:pPr>
                  <w:r w:rsidRPr="005D4222">
                    <w:rPr>
                      <w:kern w:val="20"/>
                    </w:rPr>
                    <w:t>Race</w:t>
                  </w:r>
                </w:p>
              </w:tc>
              <w:tc>
                <w:tcPr>
                  <w:tcW w:w="1440" w:type="dxa"/>
                  <w:tcBorders>
                    <w:top w:val="single" w:sz="6" w:space="0" w:color="auto"/>
                    <w:left w:val="single" w:sz="6" w:space="0" w:color="FFFFFF" w:themeColor="background1"/>
                    <w:bottom w:val="single" w:sz="6" w:space="0" w:color="auto"/>
                    <w:right w:val="single" w:sz="6" w:space="0" w:color="FFFFFF" w:themeColor="background1"/>
                  </w:tcBorders>
                  <w:shd w:val="clear" w:color="auto" w:fill="000000" w:themeFill="text1"/>
                  <w:tcMar>
                    <w:left w:w="86" w:type="dxa"/>
                    <w:right w:w="86" w:type="dxa"/>
                  </w:tcMar>
                  <w:vAlign w:val="bottom"/>
                  <w:hideMark/>
                </w:tcPr>
                <w:p w14:paraId="7DD39B1B" w14:textId="77777777" w:rsidR="001E2D0B" w:rsidRPr="005D4222" w:rsidRDefault="001E2D0B" w:rsidP="001E2D0B">
                  <w:pPr>
                    <w:pStyle w:val="TableHead"/>
                    <w:spacing w:before="40" w:after="40"/>
                    <w:rPr>
                      <w:rFonts w:ascii="Times New Roman" w:hAnsi="Times New Roman"/>
                      <w:color w:val="FFFFFF"/>
                      <w:kern w:val="20"/>
                      <w:sz w:val="24"/>
                      <w:szCs w:val="24"/>
                    </w:rPr>
                  </w:pPr>
                  <w:r w:rsidRPr="005D4222">
                    <w:rPr>
                      <w:kern w:val="20"/>
                    </w:rPr>
                    <w:t>Data Element</w:t>
                  </w:r>
                </w:p>
              </w:tc>
              <w:tc>
                <w:tcPr>
                  <w:tcW w:w="1976" w:type="dxa"/>
                  <w:tcBorders>
                    <w:top w:val="single" w:sz="6" w:space="0" w:color="auto"/>
                    <w:left w:val="single" w:sz="6" w:space="0" w:color="FFFFFF" w:themeColor="background1"/>
                    <w:bottom w:val="single" w:sz="6" w:space="0" w:color="auto"/>
                    <w:right w:val="single" w:sz="6" w:space="0" w:color="auto"/>
                  </w:tcBorders>
                  <w:shd w:val="clear" w:color="auto" w:fill="000000" w:themeFill="text1"/>
                  <w:tcMar>
                    <w:left w:w="86" w:type="dxa"/>
                    <w:right w:w="86" w:type="dxa"/>
                  </w:tcMar>
                  <w:vAlign w:val="bottom"/>
                  <w:hideMark/>
                </w:tcPr>
                <w:p w14:paraId="39F25039" w14:textId="77777777" w:rsidR="001E2D0B" w:rsidRPr="005D4222" w:rsidRDefault="001E2D0B" w:rsidP="001E2D0B">
                  <w:pPr>
                    <w:pStyle w:val="TableHead"/>
                    <w:spacing w:before="40" w:after="40"/>
                    <w:rPr>
                      <w:rFonts w:ascii="Times New Roman" w:hAnsi="Times New Roman"/>
                      <w:color w:val="FFFFFF"/>
                      <w:kern w:val="20"/>
                      <w:sz w:val="24"/>
                      <w:szCs w:val="24"/>
                    </w:rPr>
                  </w:pPr>
                  <w:r w:rsidRPr="005D4222">
                    <w:rPr>
                      <w:kern w:val="20"/>
                    </w:rPr>
                    <w:t>Reporting Instructions</w:t>
                  </w:r>
                </w:p>
              </w:tc>
            </w:tr>
            <w:tr w:rsidR="001E2D0B" w:rsidRPr="005D4222" w14:paraId="77B98833" w14:textId="77777777" w:rsidTr="00B069BE">
              <w:tc>
                <w:tcPr>
                  <w:tcW w:w="1253" w:type="dxa"/>
                  <w:tcBorders>
                    <w:top w:val="nil"/>
                    <w:left w:val="nil"/>
                    <w:bottom w:val="nil"/>
                    <w:right w:val="single" w:sz="6" w:space="0" w:color="auto"/>
                  </w:tcBorders>
                  <w:shd w:val="clear" w:color="auto" w:fill="FFFFFF" w:themeFill="background1"/>
                  <w:tcMar>
                    <w:left w:w="86" w:type="dxa"/>
                    <w:right w:w="86" w:type="dxa"/>
                  </w:tcMar>
                  <w:hideMark/>
                </w:tcPr>
                <w:p w14:paraId="30F388D9" w14:textId="77777777" w:rsidR="001E2D0B" w:rsidRPr="005D4222" w:rsidRDefault="001E2D0B" w:rsidP="001E2D0B">
                  <w:pPr>
                    <w:pStyle w:val="TableText"/>
                    <w:rPr>
                      <w:rFonts w:ascii="Times New Roman" w:hAnsi="Times New Roman"/>
                      <w:sz w:val="24"/>
                      <w:szCs w:val="24"/>
                    </w:rPr>
                  </w:pPr>
                  <w:r w:rsidRPr="005D4222">
                    <w:t xml:space="preserve"> </w:t>
                  </w:r>
                </w:p>
              </w:tc>
              <w:tc>
                <w:tcPr>
                  <w:tcW w:w="2701" w:type="dxa"/>
                  <w:tcBorders>
                    <w:top w:val="single" w:sz="6" w:space="0" w:color="auto"/>
                    <w:left w:val="single" w:sz="6" w:space="0" w:color="auto"/>
                    <w:bottom w:val="single" w:sz="6" w:space="0" w:color="auto"/>
                    <w:right w:val="single" w:sz="4" w:space="0" w:color="auto"/>
                  </w:tcBorders>
                  <w:shd w:val="clear" w:color="auto" w:fill="FFFFFF" w:themeFill="background1"/>
                  <w:tcMar>
                    <w:left w:w="86" w:type="dxa"/>
                    <w:right w:w="86" w:type="dxa"/>
                  </w:tcMar>
                  <w:hideMark/>
                </w:tcPr>
                <w:p w14:paraId="09D5A75B" w14:textId="77777777" w:rsidR="001E2D0B" w:rsidRPr="005D4222" w:rsidRDefault="001E2D0B" w:rsidP="001E2D0B">
                  <w:pPr>
                    <w:pStyle w:val="TableText"/>
                    <w:rPr>
                      <w:rFonts w:ascii="Times New Roman" w:hAnsi="Times New Roman"/>
                      <w:sz w:val="24"/>
                      <w:szCs w:val="24"/>
                    </w:rPr>
                  </w:pPr>
                  <w:r w:rsidRPr="005D4222">
                    <w:t>NativeHawaiianOrPacificIslander</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86" w:type="dxa"/>
                    <w:right w:w="86" w:type="dxa"/>
                  </w:tcMar>
                  <w:hideMark/>
                </w:tcPr>
                <w:p w14:paraId="6481FC36" w14:textId="77777777" w:rsidR="001E2D0B" w:rsidRPr="005D4222" w:rsidRDefault="001E2D0B" w:rsidP="001E2D0B">
                  <w:pPr>
                    <w:pStyle w:val="TableText"/>
                    <w:rPr>
                      <w:rFonts w:ascii="Times New Roman" w:hAnsi="Times New Roman"/>
                      <w:sz w:val="24"/>
                      <w:szCs w:val="24"/>
                    </w:rPr>
                  </w:pPr>
                  <w:r w:rsidRPr="005D4222">
                    <w:t>Rate</w:t>
                  </w:r>
                </w:p>
              </w:tc>
              <w:tc>
                <w:tcPr>
                  <w:tcW w:w="197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86" w:type="dxa"/>
                    <w:right w:w="86" w:type="dxa"/>
                  </w:tcMar>
                  <w:hideMark/>
                </w:tcPr>
                <w:p w14:paraId="69B59F9F" w14:textId="77777777" w:rsidR="001E2D0B" w:rsidRPr="005D4222" w:rsidRDefault="001E2D0B" w:rsidP="001E2D0B">
                  <w:pPr>
                    <w:pStyle w:val="TableText"/>
                    <w:rPr>
                      <w:rFonts w:ascii="Times New Roman" w:hAnsi="Times New Roman"/>
                      <w:sz w:val="24"/>
                      <w:szCs w:val="24"/>
                    </w:rPr>
                  </w:pPr>
                  <w:r w:rsidRPr="005D4222">
                    <w:t>(Percent)</w:t>
                  </w:r>
                </w:p>
              </w:tc>
            </w:tr>
            <w:tr w:rsidR="001E2D0B" w:rsidRPr="005D4222" w14:paraId="1E86EF4F" w14:textId="77777777" w:rsidTr="00B069BE">
              <w:tc>
                <w:tcPr>
                  <w:tcW w:w="1253" w:type="dxa"/>
                  <w:tcBorders>
                    <w:top w:val="nil"/>
                    <w:left w:val="nil"/>
                    <w:bottom w:val="nil"/>
                    <w:right w:val="single" w:sz="6" w:space="0" w:color="auto"/>
                  </w:tcBorders>
                  <w:shd w:val="clear" w:color="auto" w:fill="FFFFFF" w:themeFill="background1"/>
                  <w:tcMar>
                    <w:left w:w="86" w:type="dxa"/>
                    <w:right w:w="86" w:type="dxa"/>
                  </w:tcMar>
                </w:tcPr>
                <w:p w14:paraId="23AB0CE2" w14:textId="77777777" w:rsidR="001E2D0B" w:rsidRPr="005D4222" w:rsidRDefault="001E2D0B" w:rsidP="001E2D0B">
                  <w:pPr>
                    <w:pStyle w:val="TableText"/>
                  </w:pPr>
                </w:p>
              </w:tc>
              <w:tc>
                <w:tcPr>
                  <w:tcW w:w="2701" w:type="dxa"/>
                  <w:tcBorders>
                    <w:top w:val="single" w:sz="6" w:space="0" w:color="auto"/>
                    <w:left w:val="single" w:sz="6" w:space="0" w:color="auto"/>
                    <w:bottom w:val="single" w:sz="6" w:space="0" w:color="auto"/>
                    <w:right w:val="single" w:sz="4" w:space="0" w:color="auto"/>
                  </w:tcBorders>
                  <w:shd w:val="clear" w:color="auto" w:fill="FFFFFF" w:themeFill="background1"/>
                  <w:tcMar>
                    <w:left w:w="86" w:type="dxa"/>
                    <w:right w:w="86" w:type="dxa"/>
                  </w:tcMar>
                </w:tcPr>
                <w:p w14:paraId="7419F36B" w14:textId="77777777" w:rsidR="001E2D0B" w:rsidRPr="005D4222" w:rsidRDefault="001E2D0B" w:rsidP="001E2D0B">
                  <w:pPr>
                    <w:pStyle w:val="TableText"/>
                  </w:pPr>
                  <w:r w:rsidRPr="005D4222">
                    <w:t>White</w:t>
                  </w:r>
                </w:p>
              </w:tc>
              <w:tc>
                <w:tcPr>
                  <w:tcW w:w="1440" w:type="dxa"/>
                  <w:tcBorders>
                    <w:top w:val="single" w:sz="4" w:space="0" w:color="auto"/>
                    <w:left w:val="single" w:sz="4" w:space="0" w:color="auto"/>
                    <w:bottom w:val="nil"/>
                    <w:right w:val="nil"/>
                  </w:tcBorders>
                  <w:tcMar>
                    <w:left w:w="86" w:type="dxa"/>
                    <w:right w:w="86" w:type="dxa"/>
                  </w:tcMar>
                </w:tcPr>
                <w:p w14:paraId="229C4E5A" w14:textId="77777777" w:rsidR="001E2D0B" w:rsidRPr="005D4222" w:rsidDel="006E6F4C" w:rsidRDefault="001E2D0B" w:rsidP="001E2D0B">
                  <w:pPr>
                    <w:pStyle w:val="TableText"/>
                  </w:pPr>
                </w:p>
              </w:tc>
              <w:tc>
                <w:tcPr>
                  <w:tcW w:w="1976" w:type="dxa"/>
                  <w:tcBorders>
                    <w:top w:val="single" w:sz="4" w:space="0" w:color="auto"/>
                    <w:left w:val="nil"/>
                    <w:bottom w:val="nil"/>
                    <w:right w:val="nil"/>
                  </w:tcBorders>
                  <w:tcMar>
                    <w:left w:w="86" w:type="dxa"/>
                    <w:right w:w="86" w:type="dxa"/>
                  </w:tcMar>
                </w:tcPr>
                <w:p w14:paraId="61769D8C" w14:textId="77777777" w:rsidR="001E2D0B" w:rsidRPr="005D4222" w:rsidRDefault="001E2D0B" w:rsidP="001E2D0B">
                  <w:pPr>
                    <w:pStyle w:val="TableText"/>
                  </w:pPr>
                </w:p>
              </w:tc>
            </w:tr>
            <w:tr w:rsidR="001E2D0B" w:rsidRPr="005D4222" w14:paraId="43901E46" w14:textId="77777777" w:rsidTr="00B069BE">
              <w:tc>
                <w:tcPr>
                  <w:tcW w:w="1253" w:type="dxa"/>
                  <w:tcBorders>
                    <w:top w:val="nil"/>
                    <w:left w:val="nil"/>
                    <w:bottom w:val="nil"/>
                    <w:right w:val="single" w:sz="6" w:space="0" w:color="auto"/>
                  </w:tcBorders>
                  <w:shd w:val="clear" w:color="auto" w:fill="FFFFFF" w:themeFill="background1"/>
                  <w:tcMar>
                    <w:left w:w="86" w:type="dxa"/>
                    <w:right w:w="86" w:type="dxa"/>
                  </w:tcMar>
                </w:tcPr>
                <w:p w14:paraId="39976F4F" w14:textId="77777777" w:rsidR="001E2D0B" w:rsidRPr="005D4222" w:rsidRDefault="001E2D0B" w:rsidP="001E2D0B">
                  <w:pPr>
                    <w:pStyle w:val="TableText"/>
                  </w:pPr>
                </w:p>
              </w:tc>
              <w:tc>
                <w:tcPr>
                  <w:tcW w:w="2701" w:type="dxa"/>
                  <w:tcBorders>
                    <w:top w:val="single" w:sz="6" w:space="0" w:color="auto"/>
                    <w:left w:val="single" w:sz="6" w:space="0" w:color="auto"/>
                    <w:bottom w:val="single" w:sz="6" w:space="0" w:color="auto"/>
                    <w:right w:val="single" w:sz="4" w:space="0" w:color="auto"/>
                  </w:tcBorders>
                  <w:shd w:val="clear" w:color="auto" w:fill="FFFFFF" w:themeFill="background1"/>
                  <w:tcMar>
                    <w:left w:w="86" w:type="dxa"/>
                    <w:right w:w="86" w:type="dxa"/>
                  </w:tcMar>
                </w:tcPr>
                <w:p w14:paraId="0195F9BA" w14:textId="77777777" w:rsidR="001E2D0B" w:rsidRPr="005D4222" w:rsidRDefault="001E2D0B" w:rsidP="001E2D0B">
                  <w:pPr>
                    <w:pStyle w:val="TableText"/>
                  </w:pPr>
                  <w:r w:rsidRPr="005D4222">
                    <w:t>SomeOtherRace</w:t>
                  </w:r>
                </w:p>
              </w:tc>
              <w:tc>
                <w:tcPr>
                  <w:tcW w:w="1440" w:type="dxa"/>
                  <w:tcBorders>
                    <w:top w:val="nil"/>
                    <w:left w:val="single" w:sz="4" w:space="0" w:color="auto"/>
                    <w:bottom w:val="nil"/>
                    <w:right w:val="nil"/>
                  </w:tcBorders>
                  <w:tcMar>
                    <w:left w:w="86" w:type="dxa"/>
                    <w:right w:w="86" w:type="dxa"/>
                  </w:tcMar>
                </w:tcPr>
                <w:p w14:paraId="719A07BE" w14:textId="77777777" w:rsidR="001E2D0B" w:rsidRPr="005D4222" w:rsidDel="006E6F4C" w:rsidRDefault="001E2D0B" w:rsidP="001E2D0B">
                  <w:pPr>
                    <w:pStyle w:val="TableText"/>
                  </w:pPr>
                </w:p>
              </w:tc>
              <w:tc>
                <w:tcPr>
                  <w:tcW w:w="1976" w:type="dxa"/>
                  <w:tcBorders>
                    <w:top w:val="nil"/>
                    <w:left w:val="nil"/>
                    <w:bottom w:val="nil"/>
                    <w:right w:val="nil"/>
                  </w:tcBorders>
                  <w:tcMar>
                    <w:left w:w="86" w:type="dxa"/>
                    <w:right w:w="86" w:type="dxa"/>
                  </w:tcMar>
                </w:tcPr>
                <w:p w14:paraId="3D28068D" w14:textId="77777777" w:rsidR="001E2D0B" w:rsidRPr="005D4222" w:rsidRDefault="001E2D0B" w:rsidP="001E2D0B">
                  <w:pPr>
                    <w:pStyle w:val="TableText"/>
                  </w:pPr>
                </w:p>
              </w:tc>
            </w:tr>
            <w:tr w:rsidR="001E2D0B" w:rsidRPr="005D4222" w14:paraId="0754164B" w14:textId="77777777" w:rsidTr="00B069BE">
              <w:tc>
                <w:tcPr>
                  <w:tcW w:w="1253" w:type="dxa"/>
                  <w:tcBorders>
                    <w:top w:val="nil"/>
                    <w:left w:val="nil"/>
                    <w:bottom w:val="nil"/>
                    <w:right w:val="single" w:sz="6" w:space="0" w:color="auto"/>
                  </w:tcBorders>
                  <w:shd w:val="clear" w:color="auto" w:fill="FFFFFF" w:themeFill="background1"/>
                  <w:tcMar>
                    <w:left w:w="86" w:type="dxa"/>
                    <w:right w:w="86" w:type="dxa"/>
                  </w:tcMar>
                </w:tcPr>
                <w:p w14:paraId="0AE62F1C" w14:textId="77777777" w:rsidR="001E2D0B" w:rsidRPr="005D4222" w:rsidRDefault="001E2D0B" w:rsidP="001E2D0B">
                  <w:pPr>
                    <w:pStyle w:val="TableText"/>
                  </w:pPr>
                </w:p>
              </w:tc>
              <w:tc>
                <w:tcPr>
                  <w:tcW w:w="2701" w:type="dxa"/>
                  <w:tcBorders>
                    <w:top w:val="single" w:sz="6" w:space="0" w:color="auto"/>
                    <w:left w:val="single" w:sz="6" w:space="0" w:color="auto"/>
                    <w:bottom w:val="single" w:sz="6" w:space="0" w:color="auto"/>
                    <w:right w:val="single" w:sz="4" w:space="0" w:color="auto"/>
                  </w:tcBorders>
                  <w:shd w:val="clear" w:color="auto" w:fill="FFFFFF" w:themeFill="background1"/>
                  <w:tcMar>
                    <w:left w:w="86" w:type="dxa"/>
                    <w:right w:w="86" w:type="dxa"/>
                  </w:tcMar>
                </w:tcPr>
                <w:p w14:paraId="3BAA0A2E" w14:textId="77777777" w:rsidR="001E2D0B" w:rsidRPr="005D4222" w:rsidRDefault="001E2D0B" w:rsidP="001E2D0B">
                  <w:pPr>
                    <w:pStyle w:val="TableText"/>
                  </w:pPr>
                  <w:r w:rsidRPr="005D4222">
                    <w:t>TwoOrMoreRaces</w:t>
                  </w:r>
                </w:p>
              </w:tc>
              <w:tc>
                <w:tcPr>
                  <w:tcW w:w="1440" w:type="dxa"/>
                  <w:tcBorders>
                    <w:top w:val="nil"/>
                    <w:left w:val="single" w:sz="4" w:space="0" w:color="auto"/>
                    <w:bottom w:val="nil"/>
                    <w:right w:val="nil"/>
                  </w:tcBorders>
                  <w:tcMar>
                    <w:left w:w="86" w:type="dxa"/>
                    <w:right w:w="86" w:type="dxa"/>
                  </w:tcMar>
                </w:tcPr>
                <w:p w14:paraId="05556BB8" w14:textId="77777777" w:rsidR="001E2D0B" w:rsidRPr="005D4222" w:rsidDel="006E6F4C" w:rsidRDefault="001E2D0B" w:rsidP="001E2D0B">
                  <w:pPr>
                    <w:pStyle w:val="TableText"/>
                  </w:pPr>
                </w:p>
              </w:tc>
              <w:tc>
                <w:tcPr>
                  <w:tcW w:w="1976" w:type="dxa"/>
                  <w:tcBorders>
                    <w:top w:val="nil"/>
                    <w:left w:val="nil"/>
                    <w:bottom w:val="nil"/>
                    <w:right w:val="nil"/>
                  </w:tcBorders>
                  <w:tcMar>
                    <w:left w:w="86" w:type="dxa"/>
                    <w:right w:w="86" w:type="dxa"/>
                  </w:tcMar>
                </w:tcPr>
                <w:p w14:paraId="39121FA0" w14:textId="77777777" w:rsidR="001E2D0B" w:rsidRPr="005D4222" w:rsidRDefault="001E2D0B" w:rsidP="001E2D0B">
                  <w:pPr>
                    <w:pStyle w:val="TableText"/>
                  </w:pPr>
                </w:p>
              </w:tc>
            </w:tr>
            <w:tr w:rsidR="001E2D0B" w:rsidRPr="005D4222" w14:paraId="2E5C4184" w14:textId="77777777" w:rsidTr="00B069BE">
              <w:tc>
                <w:tcPr>
                  <w:tcW w:w="1253" w:type="dxa"/>
                  <w:tcBorders>
                    <w:top w:val="nil"/>
                    <w:left w:val="nil"/>
                    <w:bottom w:val="nil"/>
                    <w:right w:val="single" w:sz="6" w:space="0" w:color="auto"/>
                  </w:tcBorders>
                  <w:shd w:val="clear" w:color="auto" w:fill="FFFFFF" w:themeFill="background1"/>
                  <w:tcMar>
                    <w:left w:w="86" w:type="dxa"/>
                    <w:right w:w="86" w:type="dxa"/>
                  </w:tcMar>
                </w:tcPr>
                <w:p w14:paraId="3FE7F491" w14:textId="77777777" w:rsidR="001E2D0B" w:rsidRPr="005D4222" w:rsidRDefault="001E2D0B" w:rsidP="001E2D0B">
                  <w:pPr>
                    <w:pStyle w:val="TableText"/>
                  </w:pPr>
                </w:p>
              </w:tc>
              <w:tc>
                <w:tcPr>
                  <w:tcW w:w="2701" w:type="dxa"/>
                  <w:tcBorders>
                    <w:top w:val="single" w:sz="6" w:space="0" w:color="auto"/>
                    <w:left w:val="single" w:sz="6" w:space="0" w:color="auto"/>
                    <w:bottom w:val="single" w:sz="6" w:space="0" w:color="auto"/>
                    <w:right w:val="single" w:sz="4" w:space="0" w:color="auto"/>
                  </w:tcBorders>
                  <w:shd w:val="clear" w:color="auto" w:fill="FFFFFF" w:themeFill="background1"/>
                  <w:tcMar>
                    <w:left w:w="86" w:type="dxa"/>
                    <w:right w:w="86" w:type="dxa"/>
                  </w:tcMar>
                </w:tcPr>
                <w:p w14:paraId="409E36CB" w14:textId="77777777" w:rsidR="001E2D0B" w:rsidRPr="005D4222" w:rsidRDefault="001E2D0B" w:rsidP="001E2D0B">
                  <w:pPr>
                    <w:pStyle w:val="TableText"/>
                  </w:pPr>
                  <w:r w:rsidRPr="005D4222">
                    <w:t>AskedButNoAnswer</w:t>
                  </w:r>
                </w:p>
              </w:tc>
              <w:tc>
                <w:tcPr>
                  <w:tcW w:w="1440" w:type="dxa"/>
                  <w:tcBorders>
                    <w:top w:val="nil"/>
                    <w:left w:val="single" w:sz="4" w:space="0" w:color="auto"/>
                    <w:bottom w:val="nil"/>
                    <w:right w:val="nil"/>
                  </w:tcBorders>
                  <w:tcMar>
                    <w:left w:w="86" w:type="dxa"/>
                    <w:right w:w="86" w:type="dxa"/>
                  </w:tcMar>
                </w:tcPr>
                <w:p w14:paraId="10A8D49A" w14:textId="77777777" w:rsidR="001E2D0B" w:rsidRPr="005D4222" w:rsidDel="006E6F4C" w:rsidRDefault="001E2D0B" w:rsidP="001E2D0B">
                  <w:pPr>
                    <w:pStyle w:val="TableText"/>
                  </w:pPr>
                </w:p>
              </w:tc>
              <w:tc>
                <w:tcPr>
                  <w:tcW w:w="1976" w:type="dxa"/>
                  <w:tcBorders>
                    <w:top w:val="nil"/>
                    <w:left w:val="nil"/>
                    <w:bottom w:val="nil"/>
                    <w:right w:val="nil"/>
                  </w:tcBorders>
                  <w:tcMar>
                    <w:left w:w="86" w:type="dxa"/>
                    <w:right w:w="86" w:type="dxa"/>
                  </w:tcMar>
                </w:tcPr>
                <w:p w14:paraId="37F0DD08" w14:textId="77777777" w:rsidR="001E2D0B" w:rsidRPr="005D4222" w:rsidRDefault="001E2D0B" w:rsidP="001E2D0B">
                  <w:pPr>
                    <w:pStyle w:val="TableText"/>
                  </w:pPr>
                </w:p>
              </w:tc>
            </w:tr>
            <w:tr w:rsidR="001E2D0B" w:rsidRPr="005D4222" w14:paraId="02C70A18" w14:textId="77777777" w:rsidTr="00B069BE">
              <w:tc>
                <w:tcPr>
                  <w:tcW w:w="1253" w:type="dxa"/>
                  <w:tcBorders>
                    <w:top w:val="nil"/>
                    <w:left w:val="nil"/>
                    <w:bottom w:val="nil"/>
                    <w:right w:val="single" w:sz="6" w:space="0" w:color="auto"/>
                  </w:tcBorders>
                  <w:shd w:val="clear" w:color="auto" w:fill="FFFFFF" w:themeFill="background1"/>
                  <w:tcMar>
                    <w:left w:w="86" w:type="dxa"/>
                    <w:right w:w="86" w:type="dxa"/>
                  </w:tcMar>
                </w:tcPr>
                <w:p w14:paraId="244A34FB" w14:textId="77777777" w:rsidR="001E2D0B" w:rsidRPr="005D4222" w:rsidRDefault="001E2D0B" w:rsidP="001E2D0B">
                  <w:pPr>
                    <w:pStyle w:val="TableText"/>
                  </w:pPr>
                </w:p>
              </w:tc>
              <w:tc>
                <w:tcPr>
                  <w:tcW w:w="2701" w:type="dxa"/>
                  <w:tcBorders>
                    <w:top w:val="single" w:sz="6" w:space="0" w:color="auto"/>
                    <w:left w:val="single" w:sz="6" w:space="0" w:color="auto"/>
                    <w:bottom w:val="single" w:sz="6" w:space="0" w:color="auto"/>
                    <w:right w:val="single" w:sz="6" w:space="0" w:color="auto"/>
                  </w:tcBorders>
                  <w:shd w:val="clear" w:color="auto" w:fill="FFFFFF" w:themeFill="background1"/>
                  <w:tcMar>
                    <w:left w:w="86" w:type="dxa"/>
                    <w:right w:w="86" w:type="dxa"/>
                  </w:tcMar>
                </w:tcPr>
                <w:p w14:paraId="4DDF345C" w14:textId="77777777" w:rsidR="001E2D0B" w:rsidRPr="005D4222" w:rsidRDefault="001E2D0B" w:rsidP="001E2D0B">
                  <w:pPr>
                    <w:pStyle w:val="TableText"/>
                  </w:pPr>
                  <w:r w:rsidRPr="005D4222">
                    <w:t>Unknown</w:t>
                  </w:r>
                </w:p>
              </w:tc>
              <w:tc>
                <w:tcPr>
                  <w:tcW w:w="1440" w:type="dxa"/>
                  <w:tcBorders>
                    <w:top w:val="nil"/>
                    <w:left w:val="nil"/>
                    <w:bottom w:val="nil"/>
                    <w:right w:val="nil"/>
                  </w:tcBorders>
                  <w:tcMar>
                    <w:left w:w="86" w:type="dxa"/>
                    <w:right w:w="86" w:type="dxa"/>
                  </w:tcMar>
                </w:tcPr>
                <w:p w14:paraId="06E88996" w14:textId="77777777" w:rsidR="001E2D0B" w:rsidRPr="005D4222" w:rsidDel="006E6F4C" w:rsidRDefault="001E2D0B" w:rsidP="001E2D0B">
                  <w:pPr>
                    <w:pStyle w:val="TableText"/>
                  </w:pPr>
                </w:p>
              </w:tc>
              <w:tc>
                <w:tcPr>
                  <w:tcW w:w="1976" w:type="dxa"/>
                  <w:tcBorders>
                    <w:top w:val="nil"/>
                    <w:left w:val="nil"/>
                    <w:bottom w:val="nil"/>
                    <w:right w:val="nil"/>
                  </w:tcBorders>
                  <w:tcMar>
                    <w:left w:w="86" w:type="dxa"/>
                    <w:right w:w="86" w:type="dxa"/>
                  </w:tcMar>
                </w:tcPr>
                <w:p w14:paraId="21F30301" w14:textId="77777777" w:rsidR="001E2D0B" w:rsidRPr="005D4222" w:rsidRDefault="001E2D0B" w:rsidP="001E2D0B">
                  <w:pPr>
                    <w:pStyle w:val="TableText"/>
                  </w:pPr>
                </w:p>
              </w:tc>
            </w:tr>
          </w:tbl>
          <w:p w14:paraId="28DAEE32" w14:textId="77777777" w:rsidR="001E2D0B" w:rsidRPr="005D4222" w:rsidDel="00D14696" w:rsidRDefault="001E2D0B" w:rsidP="001E2D0B">
            <w:pPr>
              <w:pStyle w:val="Heading3"/>
              <w:rPr>
                <w:sz w:val="10"/>
                <w:szCs w:val="10"/>
              </w:rPr>
            </w:pPr>
            <w:r w:rsidRPr="005D4222">
              <w:rPr>
                <w:kern w:val="20"/>
              </w:rPr>
              <w:br w:type="page"/>
            </w:r>
            <w:r w:rsidRPr="005D4222" w:rsidDel="006E6F4C">
              <w:t xml:space="preserve">Table PRS-E-C-1/2: Data Elements for Prenatal Immunization Status: </w:t>
            </w:r>
            <w:r w:rsidRPr="005D4222">
              <w:t>Stratifications</w:t>
            </w:r>
            <w:r w:rsidRPr="005D4222" w:rsidDel="006E6F4C">
              <w:t xml:space="preserve"> by Ethnicity </w:t>
            </w:r>
          </w:p>
          <w:tbl>
            <w:tblPr>
              <w:tblW w:w="5000" w:type="pct"/>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238"/>
              <w:gridCol w:w="1984"/>
              <w:gridCol w:w="1521"/>
              <w:gridCol w:w="2626"/>
            </w:tblGrid>
            <w:tr w:rsidR="001E2D0B" w:rsidRPr="005D4222" w14:paraId="03775F8C" w14:textId="77777777">
              <w:tc>
                <w:tcPr>
                  <w:tcW w:w="1213" w:type="dxa"/>
                  <w:tcBorders>
                    <w:top w:val="single" w:sz="6" w:space="0" w:color="auto"/>
                    <w:left w:val="single" w:sz="6" w:space="0" w:color="auto"/>
                    <w:bottom w:val="single" w:sz="6" w:space="0" w:color="auto"/>
                    <w:right w:val="single" w:sz="4" w:space="0" w:color="FFFFFF" w:themeColor="background1"/>
                  </w:tcBorders>
                  <w:shd w:val="clear" w:color="auto" w:fill="000000"/>
                  <w:tcMar>
                    <w:left w:w="86" w:type="dxa"/>
                    <w:right w:w="86" w:type="dxa"/>
                  </w:tcMar>
                  <w:hideMark/>
                </w:tcPr>
                <w:p w14:paraId="71F0C5D6" w14:textId="77777777" w:rsidR="001E2D0B" w:rsidRPr="005D4222" w:rsidDel="00D14696" w:rsidRDefault="001E2D0B" w:rsidP="001E2D0B">
                  <w:pPr>
                    <w:pStyle w:val="TableHead"/>
                    <w:spacing w:before="40" w:after="40"/>
                  </w:pPr>
                  <w:r w:rsidRPr="005D4222" w:rsidDel="00D14696">
                    <w:t xml:space="preserve">Metric </w:t>
                  </w:r>
                </w:p>
              </w:tc>
              <w:tc>
                <w:tcPr>
                  <w:tcW w:w="1943" w:type="dxa"/>
                  <w:tcBorders>
                    <w:top w:val="single" w:sz="6" w:space="0" w:color="auto"/>
                    <w:left w:val="single" w:sz="4" w:space="0" w:color="FFFFFF" w:themeColor="background1"/>
                    <w:bottom w:val="single" w:sz="6" w:space="0" w:color="auto"/>
                    <w:right w:val="single" w:sz="6" w:space="0" w:color="FFFFFF"/>
                  </w:tcBorders>
                  <w:shd w:val="clear" w:color="auto" w:fill="000000"/>
                  <w:tcMar>
                    <w:left w:w="86" w:type="dxa"/>
                    <w:right w:w="86" w:type="dxa"/>
                  </w:tcMar>
                  <w:hideMark/>
                </w:tcPr>
                <w:p w14:paraId="3CE29323" w14:textId="77777777" w:rsidR="001E2D0B" w:rsidRPr="005D4222" w:rsidDel="00D14696" w:rsidRDefault="001E2D0B" w:rsidP="001E2D0B">
                  <w:pPr>
                    <w:pStyle w:val="TableHead"/>
                    <w:spacing w:before="40" w:after="40"/>
                  </w:pPr>
                  <w:r w:rsidRPr="005D4222" w:rsidDel="00D14696">
                    <w:t xml:space="preserve">Ethnicity </w:t>
                  </w:r>
                </w:p>
              </w:tc>
              <w:tc>
                <w:tcPr>
                  <w:tcW w:w="1489" w:type="dxa"/>
                  <w:tcBorders>
                    <w:top w:val="single" w:sz="6" w:space="0" w:color="auto"/>
                    <w:left w:val="single" w:sz="6" w:space="0" w:color="FFFFFF"/>
                    <w:bottom w:val="single" w:sz="6" w:space="0" w:color="auto"/>
                    <w:right w:val="single" w:sz="6" w:space="0" w:color="FFFFFF"/>
                  </w:tcBorders>
                  <w:shd w:val="clear" w:color="auto" w:fill="000000"/>
                  <w:tcMar>
                    <w:left w:w="86" w:type="dxa"/>
                    <w:right w:w="86" w:type="dxa"/>
                  </w:tcMar>
                  <w:hideMark/>
                </w:tcPr>
                <w:p w14:paraId="5B336ADF" w14:textId="77777777" w:rsidR="001E2D0B" w:rsidRPr="005D4222" w:rsidDel="00D14696" w:rsidRDefault="001E2D0B" w:rsidP="001E2D0B">
                  <w:pPr>
                    <w:pStyle w:val="TableHead"/>
                    <w:spacing w:before="40" w:after="40"/>
                  </w:pPr>
                  <w:r w:rsidRPr="005D4222" w:rsidDel="00D14696">
                    <w:t xml:space="preserve">Data Element </w:t>
                  </w:r>
                </w:p>
              </w:tc>
              <w:tc>
                <w:tcPr>
                  <w:tcW w:w="2571" w:type="dxa"/>
                  <w:tcBorders>
                    <w:top w:val="single" w:sz="6" w:space="0" w:color="auto"/>
                    <w:left w:val="single" w:sz="6" w:space="0" w:color="FFFFFF"/>
                    <w:bottom w:val="single" w:sz="6" w:space="0" w:color="auto"/>
                    <w:right w:val="single" w:sz="6" w:space="0" w:color="auto"/>
                  </w:tcBorders>
                  <w:shd w:val="clear" w:color="auto" w:fill="000000"/>
                  <w:tcMar>
                    <w:left w:w="86" w:type="dxa"/>
                    <w:right w:w="86" w:type="dxa"/>
                  </w:tcMar>
                  <w:hideMark/>
                </w:tcPr>
                <w:p w14:paraId="5E97DFF3" w14:textId="77777777" w:rsidR="001E2D0B" w:rsidRPr="005D4222" w:rsidDel="00D14696" w:rsidRDefault="001E2D0B" w:rsidP="001E2D0B">
                  <w:pPr>
                    <w:pStyle w:val="TableHead"/>
                    <w:spacing w:before="40" w:after="40"/>
                  </w:pPr>
                  <w:r w:rsidRPr="005D4222" w:rsidDel="00D14696">
                    <w:t xml:space="preserve">Reporting Instructions </w:t>
                  </w:r>
                </w:p>
              </w:tc>
            </w:tr>
            <w:tr w:rsidR="001E2D0B" w:rsidRPr="005D4222" w14:paraId="51A00747" w14:textId="77777777">
              <w:tc>
                <w:tcPr>
                  <w:tcW w:w="1213" w:type="dxa"/>
                  <w:tcBorders>
                    <w:top w:val="single" w:sz="6" w:space="0" w:color="auto"/>
                    <w:left w:val="single" w:sz="6" w:space="0" w:color="auto"/>
                    <w:bottom w:val="single" w:sz="6" w:space="0" w:color="auto"/>
                    <w:right w:val="single" w:sz="6" w:space="0" w:color="auto"/>
                  </w:tcBorders>
                  <w:shd w:val="clear" w:color="auto" w:fill="FFFFFF"/>
                  <w:tcMar>
                    <w:left w:w="86" w:type="dxa"/>
                    <w:right w:w="86" w:type="dxa"/>
                  </w:tcMar>
                  <w:hideMark/>
                </w:tcPr>
                <w:p w14:paraId="1599316A" w14:textId="77777777" w:rsidR="001E2D0B" w:rsidRPr="005D4222" w:rsidDel="00D14696" w:rsidRDefault="001E2D0B" w:rsidP="001E2D0B">
                  <w:pPr>
                    <w:pStyle w:val="TableText"/>
                    <w:rPr>
                      <w:b/>
                      <w:bCs/>
                      <w:i/>
                    </w:rPr>
                  </w:pPr>
                  <w:r w:rsidRPr="005D4222" w:rsidDel="00D14696">
                    <w:t xml:space="preserve">Influenza </w:t>
                  </w:r>
                </w:p>
              </w:tc>
              <w:tc>
                <w:tcPr>
                  <w:tcW w:w="1943" w:type="dxa"/>
                  <w:tcBorders>
                    <w:top w:val="single" w:sz="6" w:space="0" w:color="auto"/>
                    <w:left w:val="single" w:sz="6" w:space="0" w:color="auto"/>
                    <w:bottom w:val="single" w:sz="6" w:space="0" w:color="auto"/>
                    <w:right w:val="single" w:sz="6" w:space="0" w:color="auto"/>
                  </w:tcBorders>
                  <w:shd w:val="clear" w:color="auto" w:fill="FFFFFF"/>
                  <w:tcMar>
                    <w:left w:w="86" w:type="dxa"/>
                    <w:right w:w="86" w:type="dxa"/>
                  </w:tcMar>
                  <w:hideMark/>
                </w:tcPr>
                <w:p w14:paraId="310961C9" w14:textId="77777777" w:rsidR="001E2D0B" w:rsidRPr="005D4222" w:rsidDel="00D14696" w:rsidRDefault="001E2D0B" w:rsidP="001E2D0B">
                  <w:pPr>
                    <w:pStyle w:val="TableText"/>
                    <w:rPr>
                      <w:b/>
                      <w:bCs/>
                      <w:i/>
                    </w:rPr>
                  </w:pPr>
                  <w:r w:rsidRPr="005D4222" w:rsidDel="00D14696">
                    <w:t xml:space="preserve">HispanicOrLatino </w:t>
                  </w:r>
                </w:p>
              </w:tc>
              <w:tc>
                <w:tcPr>
                  <w:tcW w:w="1489" w:type="dxa"/>
                  <w:tcBorders>
                    <w:top w:val="single" w:sz="6" w:space="0" w:color="auto"/>
                    <w:left w:val="single" w:sz="6" w:space="0" w:color="auto"/>
                    <w:bottom w:val="single" w:sz="6" w:space="0" w:color="auto"/>
                    <w:right w:val="single" w:sz="6" w:space="0" w:color="auto"/>
                  </w:tcBorders>
                  <w:shd w:val="clear" w:color="auto" w:fill="FFFFFF"/>
                  <w:tcMar>
                    <w:left w:w="86" w:type="dxa"/>
                    <w:right w:w="86" w:type="dxa"/>
                  </w:tcMar>
                  <w:hideMark/>
                </w:tcPr>
                <w:p w14:paraId="4FF9314A" w14:textId="77777777" w:rsidR="001E2D0B" w:rsidRPr="005D4222" w:rsidDel="00D14696" w:rsidRDefault="001E2D0B" w:rsidP="001E2D0B">
                  <w:pPr>
                    <w:pStyle w:val="TableText"/>
                    <w:rPr>
                      <w:b/>
                      <w:bCs/>
                      <w:i/>
                    </w:rPr>
                  </w:pPr>
                  <w:r w:rsidRPr="005D4222" w:rsidDel="00D14696">
                    <w:t xml:space="preserve">InitialPopulation </w:t>
                  </w:r>
                </w:p>
              </w:tc>
              <w:tc>
                <w:tcPr>
                  <w:tcW w:w="2571" w:type="dxa"/>
                  <w:tcBorders>
                    <w:top w:val="nil"/>
                    <w:left w:val="single" w:sz="6" w:space="0" w:color="auto"/>
                    <w:bottom w:val="single" w:sz="6" w:space="0" w:color="auto"/>
                    <w:right w:val="single" w:sz="6" w:space="0" w:color="auto"/>
                  </w:tcBorders>
                  <w:shd w:val="clear" w:color="auto" w:fill="FFFFFF"/>
                  <w:tcMar>
                    <w:left w:w="86" w:type="dxa"/>
                    <w:right w:w="86" w:type="dxa"/>
                  </w:tcMar>
                  <w:hideMark/>
                </w:tcPr>
                <w:p w14:paraId="25E4B27C" w14:textId="77777777" w:rsidR="001E2D0B" w:rsidRPr="005D4222" w:rsidDel="00D14696" w:rsidRDefault="001E2D0B" w:rsidP="001E2D0B">
                  <w:pPr>
                    <w:pStyle w:val="TableText"/>
                    <w:rPr>
                      <w:b/>
                      <w:bCs/>
                      <w:i/>
                    </w:rPr>
                  </w:pPr>
                  <w:r w:rsidRPr="005D4222" w:rsidDel="00D14696">
                    <w:t>For each Stratification, repeat per Metric</w:t>
                  </w:r>
                </w:p>
              </w:tc>
            </w:tr>
            <w:tr w:rsidR="001E2D0B" w:rsidRPr="005D4222" w14:paraId="1BB6C071" w14:textId="77777777">
              <w:tc>
                <w:tcPr>
                  <w:tcW w:w="1213" w:type="dxa"/>
                  <w:tcBorders>
                    <w:top w:val="single" w:sz="6" w:space="0" w:color="auto"/>
                    <w:left w:val="single" w:sz="6" w:space="0" w:color="auto"/>
                    <w:bottom w:val="single" w:sz="6" w:space="0" w:color="auto"/>
                    <w:right w:val="single" w:sz="6" w:space="0" w:color="auto"/>
                  </w:tcBorders>
                  <w:shd w:val="clear" w:color="auto" w:fill="FFFFFF"/>
                  <w:tcMar>
                    <w:left w:w="86" w:type="dxa"/>
                    <w:right w:w="86" w:type="dxa"/>
                  </w:tcMar>
                  <w:hideMark/>
                </w:tcPr>
                <w:p w14:paraId="03440C88" w14:textId="77777777" w:rsidR="001E2D0B" w:rsidRPr="005D4222" w:rsidDel="00D14696" w:rsidRDefault="001E2D0B" w:rsidP="001E2D0B">
                  <w:pPr>
                    <w:pStyle w:val="TableText"/>
                    <w:rPr>
                      <w:b/>
                      <w:bCs/>
                      <w:i/>
                    </w:rPr>
                  </w:pPr>
                  <w:r w:rsidRPr="005D4222" w:rsidDel="00D14696">
                    <w:t xml:space="preserve">Tdap </w:t>
                  </w:r>
                </w:p>
              </w:tc>
              <w:tc>
                <w:tcPr>
                  <w:tcW w:w="1943" w:type="dxa"/>
                  <w:tcBorders>
                    <w:top w:val="single" w:sz="6" w:space="0" w:color="auto"/>
                    <w:left w:val="single" w:sz="6" w:space="0" w:color="auto"/>
                    <w:bottom w:val="single" w:sz="6" w:space="0" w:color="auto"/>
                    <w:right w:val="single" w:sz="6" w:space="0" w:color="auto"/>
                  </w:tcBorders>
                  <w:shd w:val="clear" w:color="auto" w:fill="FFFFFF"/>
                  <w:tcMar>
                    <w:left w:w="86" w:type="dxa"/>
                    <w:right w:w="86" w:type="dxa"/>
                  </w:tcMar>
                  <w:hideMark/>
                </w:tcPr>
                <w:p w14:paraId="64A179CC" w14:textId="77777777" w:rsidR="001E2D0B" w:rsidRPr="005D4222" w:rsidDel="00D14696" w:rsidRDefault="001E2D0B" w:rsidP="001E2D0B">
                  <w:pPr>
                    <w:pStyle w:val="TableText"/>
                    <w:rPr>
                      <w:b/>
                      <w:bCs/>
                      <w:i/>
                    </w:rPr>
                  </w:pPr>
                  <w:r w:rsidRPr="005D4222" w:rsidDel="00D14696">
                    <w:t xml:space="preserve">NotHispanicOrLatino </w:t>
                  </w:r>
                </w:p>
              </w:tc>
              <w:tc>
                <w:tcPr>
                  <w:tcW w:w="1489" w:type="dxa"/>
                  <w:tcBorders>
                    <w:top w:val="single" w:sz="6" w:space="0" w:color="auto"/>
                    <w:left w:val="single" w:sz="6" w:space="0" w:color="auto"/>
                    <w:bottom w:val="single" w:sz="6" w:space="0" w:color="auto"/>
                    <w:right w:val="single" w:sz="6" w:space="0" w:color="auto"/>
                  </w:tcBorders>
                  <w:shd w:val="clear" w:color="auto" w:fill="FFFFFF"/>
                  <w:tcMar>
                    <w:left w:w="86" w:type="dxa"/>
                    <w:right w:w="86" w:type="dxa"/>
                  </w:tcMar>
                  <w:hideMark/>
                </w:tcPr>
                <w:p w14:paraId="21CA7063" w14:textId="77777777" w:rsidR="001E2D0B" w:rsidRPr="005D4222" w:rsidDel="00D14696" w:rsidRDefault="001E2D0B" w:rsidP="001E2D0B">
                  <w:pPr>
                    <w:pStyle w:val="TableText"/>
                    <w:rPr>
                      <w:b/>
                      <w:bCs/>
                      <w:i/>
                    </w:rPr>
                  </w:pPr>
                  <w:r w:rsidRPr="005D4222" w:rsidDel="00D14696">
                    <w:t xml:space="preserve">Exclusions </w:t>
                  </w:r>
                </w:p>
              </w:tc>
              <w:tc>
                <w:tcPr>
                  <w:tcW w:w="2571" w:type="dxa"/>
                  <w:tcBorders>
                    <w:top w:val="nil"/>
                    <w:left w:val="single" w:sz="6" w:space="0" w:color="auto"/>
                    <w:bottom w:val="single" w:sz="6" w:space="0" w:color="auto"/>
                    <w:right w:val="single" w:sz="6" w:space="0" w:color="auto"/>
                  </w:tcBorders>
                  <w:shd w:val="clear" w:color="auto" w:fill="FFFFFF"/>
                  <w:tcMar>
                    <w:left w:w="86" w:type="dxa"/>
                    <w:right w:w="86" w:type="dxa"/>
                  </w:tcMar>
                  <w:hideMark/>
                </w:tcPr>
                <w:p w14:paraId="6E46584F" w14:textId="77777777" w:rsidR="001E2D0B" w:rsidRPr="005D4222" w:rsidDel="00D14696" w:rsidRDefault="001E2D0B" w:rsidP="001E2D0B">
                  <w:pPr>
                    <w:pStyle w:val="TableText"/>
                    <w:rPr>
                      <w:b/>
                      <w:bCs/>
                      <w:i/>
                    </w:rPr>
                  </w:pPr>
                  <w:r w:rsidRPr="005D4222" w:rsidDel="00D14696">
                    <w:t>For each Stratification, repeat per Metric</w:t>
                  </w:r>
                </w:p>
              </w:tc>
            </w:tr>
            <w:tr w:rsidR="001E2D0B" w:rsidRPr="005D4222" w14:paraId="05B662A9" w14:textId="77777777">
              <w:tc>
                <w:tcPr>
                  <w:tcW w:w="1213" w:type="dxa"/>
                  <w:tcBorders>
                    <w:top w:val="single" w:sz="6" w:space="0" w:color="auto"/>
                    <w:left w:val="single" w:sz="6" w:space="0" w:color="auto"/>
                    <w:bottom w:val="single" w:sz="6" w:space="0" w:color="auto"/>
                    <w:right w:val="single" w:sz="6" w:space="0" w:color="auto"/>
                  </w:tcBorders>
                  <w:shd w:val="clear" w:color="auto" w:fill="FFFFFF"/>
                  <w:tcMar>
                    <w:left w:w="86" w:type="dxa"/>
                    <w:right w:w="86" w:type="dxa"/>
                  </w:tcMar>
                  <w:hideMark/>
                </w:tcPr>
                <w:p w14:paraId="4D017EB3" w14:textId="77777777" w:rsidR="001E2D0B" w:rsidRPr="005D4222" w:rsidDel="00D14696" w:rsidRDefault="001E2D0B" w:rsidP="001E2D0B">
                  <w:pPr>
                    <w:pStyle w:val="TableText"/>
                    <w:rPr>
                      <w:b/>
                      <w:bCs/>
                      <w:i/>
                    </w:rPr>
                  </w:pPr>
                  <w:r w:rsidRPr="005D4222" w:rsidDel="00D14696">
                    <w:t xml:space="preserve">Combination </w:t>
                  </w:r>
                </w:p>
              </w:tc>
              <w:tc>
                <w:tcPr>
                  <w:tcW w:w="1943" w:type="dxa"/>
                  <w:tcBorders>
                    <w:top w:val="single" w:sz="6" w:space="0" w:color="auto"/>
                    <w:left w:val="single" w:sz="6" w:space="0" w:color="auto"/>
                    <w:bottom w:val="single" w:sz="6" w:space="0" w:color="auto"/>
                    <w:right w:val="single" w:sz="6" w:space="0" w:color="auto"/>
                  </w:tcBorders>
                  <w:shd w:val="clear" w:color="auto" w:fill="FFFFFF"/>
                  <w:tcMar>
                    <w:left w:w="86" w:type="dxa"/>
                    <w:right w:w="86" w:type="dxa"/>
                  </w:tcMar>
                  <w:hideMark/>
                </w:tcPr>
                <w:p w14:paraId="4D667616" w14:textId="77777777" w:rsidR="001E2D0B" w:rsidRPr="005D4222" w:rsidDel="00D14696" w:rsidRDefault="001E2D0B" w:rsidP="001E2D0B">
                  <w:pPr>
                    <w:pStyle w:val="TableText"/>
                    <w:rPr>
                      <w:b/>
                      <w:bCs/>
                      <w:i/>
                    </w:rPr>
                  </w:pPr>
                  <w:r w:rsidRPr="005D4222" w:rsidDel="00D14696">
                    <w:t>AskedButNoAnswer</w:t>
                  </w:r>
                </w:p>
              </w:tc>
              <w:tc>
                <w:tcPr>
                  <w:tcW w:w="1489" w:type="dxa"/>
                  <w:tcBorders>
                    <w:top w:val="nil"/>
                    <w:left w:val="single" w:sz="6" w:space="0" w:color="auto"/>
                    <w:bottom w:val="single" w:sz="6" w:space="0" w:color="auto"/>
                    <w:right w:val="single" w:sz="6" w:space="0" w:color="auto"/>
                  </w:tcBorders>
                  <w:shd w:val="clear" w:color="auto" w:fill="FFFFFF"/>
                  <w:tcMar>
                    <w:left w:w="86" w:type="dxa"/>
                    <w:right w:w="86" w:type="dxa"/>
                  </w:tcMar>
                  <w:hideMark/>
                </w:tcPr>
                <w:p w14:paraId="6ECD1AC2" w14:textId="77777777" w:rsidR="001E2D0B" w:rsidRPr="005D4222" w:rsidDel="00D14696" w:rsidRDefault="001E2D0B" w:rsidP="001E2D0B">
                  <w:pPr>
                    <w:pStyle w:val="TableText"/>
                    <w:rPr>
                      <w:b/>
                      <w:bCs/>
                      <w:i/>
                    </w:rPr>
                  </w:pPr>
                  <w:r w:rsidRPr="005D4222" w:rsidDel="00D14696">
                    <w:t xml:space="preserve">Denominator </w:t>
                  </w:r>
                </w:p>
              </w:tc>
              <w:tc>
                <w:tcPr>
                  <w:tcW w:w="2571" w:type="dxa"/>
                  <w:tcBorders>
                    <w:top w:val="nil"/>
                    <w:left w:val="single" w:sz="6" w:space="0" w:color="auto"/>
                    <w:bottom w:val="single" w:sz="6" w:space="0" w:color="auto"/>
                    <w:right w:val="single" w:sz="6" w:space="0" w:color="auto"/>
                  </w:tcBorders>
                  <w:shd w:val="clear" w:color="auto" w:fill="FFFFFF"/>
                  <w:tcMar>
                    <w:left w:w="86" w:type="dxa"/>
                    <w:right w:w="86" w:type="dxa"/>
                  </w:tcMar>
                  <w:hideMark/>
                </w:tcPr>
                <w:p w14:paraId="4D886C7A" w14:textId="77777777" w:rsidR="001E2D0B" w:rsidRPr="005D4222" w:rsidDel="00D14696" w:rsidRDefault="001E2D0B" w:rsidP="001E2D0B">
                  <w:pPr>
                    <w:pStyle w:val="TableText"/>
                    <w:rPr>
                      <w:b/>
                      <w:bCs/>
                      <w:i/>
                    </w:rPr>
                  </w:pPr>
                  <w:r w:rsidRPr="005D4222" w:rsidDel="00D14696">
                    <w:t>For each Stratification, repeat per Metric</w:t>
                  </w:r>
                </w:p>
              </w:tc>
            </w:tr>
            <w:tr w:rsidR="001E2D0B" w:rsidRPr="005D4222" w14:paraId="752CEB58" w14:textId="77777777">
              <w:tc>
                <w:tcPr>
                  <w:tcW w:w="1213" w:type="dxa"/>
                  <w:tcBorders>
                    <w:top w:val="single" w:sz="6" w:space="0" w:color="auto"/>
                    <w:left w:val="nil"/>
                    <w:bottom w:val="nil"/>
                    <w:right w:val="single" w:sz="6" w:space="0" w:color="auto"/>
                  </w:tcBorders>
                  <w:shd w:val="clear" w:color="auto" w:fill="FFFFFF"/>
                  <w:tcMar>
                    <w:left w:w="86" w:type="dxa"/>
                    <w:right w:w="86" w:type="dxa"/>
                  </w:tcMar>
                  <w:hideMark/>
                </w:tcPr>
                <w:p w14:paraId="40F394CF" w14:textId="77777777" w:rsidR="001E2D0B" w:rsidRPr="005D4222" w:rsidDel="00D14696" w:rsidRDefault="001E2D0B" w:rsidP="001E2D0B">
                  <w:pPr>
                    <w:pStyle w:val="TableText"/>
                    <w:rPr>
                      <w:b/>
                      <w:bCs/>
                      <w:i/>
                    </w:rPr>
                  </w:pPr>
                  <w:r w:rsidRPr="005D4222" w:rsidDel="00D14696">
                    <w:t xml:space="preserve"> </w:t>
                  </w:r>
                </w:p>
              </w:tc>
              <w:tc>
                <w:tcPr>
                  <w:tcW w:w="1943" w:type="dxa"/>
                  <w:tcBorders>
                    <w:top w:val="single" w:sz="6" w:space="0" w:color="auto"/>
                    <w:left w:val="single" w:sz="6" w:space="0" w:color="auto"/>
                    <w:bottom w:val="single" w:sz="6" w:space="0" w:color="auto"/>
                    <w:right w:val="single" w:sz="6" w:space="0" w:color="auto"/>
                  </w:tcBorders>
                  <w:shd w:val="clear" w:color="auto" w:fill="FFFFFF"/>
                  <w:tcMar>
                    <w:left w:w="86" w:type="dxa"/>
                    <w:right w:w="86" w:type="dxa"/>
                  </w:tcMar>
                  <w:hideMark/>
                </w:tcPr>
                <w:p w14:paraId="5BA09181" w14:textId="77777777" w:rsidR="001E2D0B" w:rsidRPr="005D4222" w:rsidDel="00D14696" w:rsidRDefault="001E2D0B" w:rsidP="001E2D0B">
                  <w:pPr>
                    <w:pStyle w:val="TableText"/>
                    <w:rPr>
                      <w:b/>
                      <w:bCs/>
                      <w:i/>
                    </w:rPr>
                  </w:pPr>
                  <w:r w:rsidRPr="005D4222" w:rsidDel="00D14696">
                    <w:t>Unknown</w:t>
                  </w:r>
                </w:p>
              </w:tc>
              <w:tc>
                <w:tcPr>
                  <w:tcW w:w="1489" w:type="dxa"/>
                  <w:tcBorders>
                    <w:top w:val="single" w:sz="6" w:space="0" w:color="auto"/>
                    <w:left w:val="single" w:sz="6" w:space="0" w:color="auto"/>
                    <w:bottom w:val="single" w:sz="6" w:space="0" w:color="auto"/>
                    <w:right w:val="single" w:sz="6" w:space="0" w:color="auto"/>
                  </w:tcBorders>
                  <w:shd w:val="clear" w:color="auto" w:fill="FFFFFF"/>
                  <w:tcMar>
                    <w:left w:w="86" w:type="dxa"/>
                    <w:right w:w="86" w:type="dxa"/>
                  </w:tcMar>
                  <w:hideMark/>
                </w:tcPr>
                <w:p w14:paraId="39FAE691" w14:textId="77777777" w:rsidR="001E2D0B" w:rsidRPr="005D4222" w:rsidDel="00D14696" w:rsidRDefault="001E2D0B" w:rsidP="001E2D0B">
                  <w:pPr>
                    <w:pStyle w:val="TableText"/>
                    <w:rPr>
                      <w:b/>
                      <w:bCs/>
                      <w:i/>
                    </w:rPr>
                  </w:pPr>
                  <w:r w:rsidRPr="005D4222" w:rsidDel="00D14696">
                    <w:t xml:space="preserve">Numerator </w:t>
                  </w:r>
                </w:p>
              </w:tc>
              <w:tc>
                <w:tcPr>
                  <w:tcW w:w="2571" w:type="dxa"/>
                  <w:tcBorders>
                    <w:top w:val="nil"/>
                    <w:left w:val="single" w:sz="6" w:space="0" w:color="auto"/>
                    <w:bottom w:val="single" w:sz="6" w:space="0" w:color="auto"/>
                    <w:right w:val="single" w:sz="6" w:space="0" w:color="auto"/>
                  </w:tcBorders>
                  <w:shd w:val="clear" w:color="auto" w:fill="FFFFFF"/>
                  <w:tcMar>
                    <w:left w:w="86" w:type="dxa"/>
                    <w:right w:w="86" w:type="dxa"/>
                  </w:tcMar>
                  <w:hideMark/>
                </w:tcPr>
                <w:p w14:paraId="696C274F" w14:textId="77777777" w:rsidR="001E2D0B" w:rsidRPr="005D4222" w:rsidDel="00D14696" w:rsidRDefault="001E2D0B" w:rsidP="001E2D0B">
                  <w:pPr>
                    <w:pStyle w:val="TableText"/>
                    <w:rPr>
                      <w:b/>
                      <w:bCs/>
                      <w:i/>
                    </w:rPr>
                  </w:pPr>
                  <w:r w:rsidRPr="005D4222" w:rsidDel="00D14696">
                    <w:t>For each Metric and Stratification</w:t>
                  </w:r>
                </w:p>
              </w:tc>
            </w:tr>
            <w:tr w:rsidR="001E2D0B" w:rsidRPr="005D4222" w14:paraId="3A7E013A" w14:textId="77777777">
              <w:tc>
                <w:tcPr>
                  <w:tcW w:w="1213" w:type="dxa"/>
                  <w:tcBorders>
                    <w:top w:val="nil"/>
                    <w:left w:val="nil"/>
                    <w:bottom w:val="nil"/>
                    <w:right w:val="nil"/>
                  </w:tcBorders>
                  <w:shd w:val="clear" w:color="auto" w:fill="FFFFFF"/>
                  <w:tcMar>
                    <w:left w:w="86" w:type="dxa"/>
                    <w:right w:w="86" w:type="dxa"/>
                  </w:tcMar>
                  <w:hideMark/>
                </w:tcPr>
                <w:p w14:paraId="574D9384" w14:textId="77777777" w:rsidR="001E2D0B" w:rsidRPr="005D4222" w:rsidDel="00D14696" w:rsidRDefault="001E2D0B" w:rsidP="001E2D0B">
                  <w:pPr>
                    <w:pStyle w:val="TableText"/>
                    <w:rPr>
                      <w:b/>
                      <w:bCs/>
                      <w:i/>
                    </w:rPr>
                  </w:pPr>
                  <w:r w:rsidRPr="005D4222" w:rsidDel="00D14696">
                    <w:t xml:space="preserve"> </w:t>
                  </w:r>
                </w:p>
              </w:tc>
              <w:tc>
                <w:tcPr>
                  <w:tcW w:w="1943" w:type="dxa"/>
                  <w:tcBorders>
                    <w:top w:val="single" w:sz="6" w:space="0" w:color="auto"/>
                    <w:left w:val="nil"/>
                    <w:bottom w:val="nil"/>
                    <w:right w:val="nil"/>
                  </w:tcBorders>
                  <w:shd w:val="clear" w:color="auto" w:fill="FFFFFF"/>
                  <w:tcMar>
                    <w:left w:w="86" w:type="dxa"/>
                    <w:right w:w="86" w:type="dxa"/>
                  </w:tcMar>
                  <w:hideMark/>
                </w:tcPr>
                <w:p w14:paraId="5621153B" w14:textId="77777777" w:rsidR="001E2D0B" w:rsidRPr="005D4222" w:rsidDel="00D14696" w:rsidRDefault="001E2D0B" w:rsidP="001E2D0B">
                  <w:pPr>
                    <w:pStyle w:val="TableText"/>
                    <w:rPr>
                      <w:b/>
                      <w:bCs/>
                      <w:i/>
                    </w:rPr>
                  </w:pPr>
                  <w:r w:rsidRPr="005D4222" w:rsidDel="00D14696">
                    <w:t xml:space="preserve"> </w:t>
                  </w:r>
                </w:p>
              </w:tc>
              <w:tc>
                <w:tcPr>
                  <w:tcW w:w="1489" w:type="dxa"/>
                  <w:tcBorders>
                    <w:top w:val="single" w:sz="6" w:space="0" w:color="auto"/>
                    <w:left w:val="single" w:sz="6" w:space="0" w:color="auto"/>
                    <w:bottom w:val="single" w:sz="6" w:space="0" w:color="auto"/>
                    <w:right w:val="single" w:sz="6" w:space="0" w:color="auto"/>
                  </w:tcBorders>
                  <w:shd w:val="clear" w:color="auto" w:fill="D9D9D9"/>
                  <w:tcMar>
                    <w:left w:w="86" w:type="dxa"/>
                    <w:right w:w="86" w:type="dxa"/>
                  </w:tcMar>
                  <w:hideMark/>
                </w:tcPr>
                <w:p w14:paraId="4E384FF3" w14:textId="77777777" w:rsidR="001E2D0B" w:rsidRPr="005D4222" w:rsidDel="00D14696" w:rsidRDefault="001E2D0B" w:rsidP="001E2D0B">
                  <w:pPr>
                    <w:pStyle w:val="TableText"/>
                    <w:rPr>
                      <w:b/>
                      <w:bCs/>
                      <w:i/>
                    </w:rPr>
                  </w:pPr>
                  <w:r w:rsidRPr="005D4222" w:rsidDel="00D14696">
                    <w:t xml:space="preserve">Rate </w:t>
                  </w:r>
                </w:p>
              </w:tc>
              <w:tc>
                <w:tcPr>
                  <w:tcW w:w="2571" w:type="dxa"/>
                  <w:tcBorders>
                    <w:top w:val="nil"/>
                    <w:left w:val="single" w:sz="6" w:space="0" w:color="auto"/>
                    <w:bottom w:val="single" w:sz="6" w:space="0" w:color="auto"/>
                    <w:right w:val="single" w:sz="6" w:space="0" w:color="auto"/>
                  </w:tcBorders>
                  <w:shd w:val="clear" w:color="auto" w:fill="D9D9D9"/>
                  <w:tcMar>
                    <w:left w:w="86" w:type="dxa"/>
                    <w:right w:w="86" w:type="dxa"/>
                  </w:tcMar>
                  <w:hideMark/>
                </w:tcPr>
                <w:p w14:paraId="615FFD1C" w14:textId="77777777" w:rsidR="001E2D0B" w:rsidRPr="005D4222" w:rsidDel="00D14696" w:rsidRDefault="001E2D0B" w:rsidP="001E2D0B">
                  <w:pPr>
                    <w:pStyle w:val="TableText"/>
                    <w:rPr>
                      <w:b/>
                      <w:bCs/>
                      <w:i/>
                    </w:rPr>
                  </w:pPr>
                  <w:r w:rsidRPr="005D4222" w:rsidDel="00D14696">
                    <w:t xml:space="preserve">(Percent) </w:t>
                  </w:r>
                </w:p>
              </w:tc>
            </w:tr>
          </w:tbl>
          <w:p w14:paraId="641F14AC" w14:textId="77777777" w:rsidR="001E2D0B" w:rsidRPr="005D4222" w:rsidRDefault="001E2D0B" w:rsidP="00A53E8C">
            <w:pPr>
              <w:pStyle w:val="ECDSBody"/>
              <w:spacing w:after="0"/>
              <w:rPr>
                <w:rFonts w:eastAsia="Arial,Arial,Arial,Arial,Arial,A"/>
              </w:rPr>
            </w:pPr>
          </w:p>
        </w:tc>
      </w:tr>
      <w:tr w:rsidR="00BD75D6" w:rsidRPr="005D4222" w14:paraId="5E08A31D"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B7F2DC4" w14:textId="77777777" w:rsidR="00BD75D6" w:rsidRPr="005D4222" w:rsidRDefault="00BD75D6" w:rsidP="00A53E8C">
            <w:pPr>
              <w:pStyle w:val="ECDSMarginHead"/>
            </w:pPr>
            <w:r w:rsidRPr="005D4222">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90BADC4" w14:textId="77777777" w:rsidR="00BD75D6" w:rsidRPr="005D4222" w:rsidRDefault="00BD75D6" w:rsidP="00A53E8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101611D2" w14:textId="77777777" w:rsidR="00BD75D6" w:rsidRPr="005D4222" w:rsidRDefault="00BD75D6" w:rsidP="00A53E8C">
            <w:pPr>
              <w:pStyle w:val="ECDSBody"/>
              <w:rPr>
                <w:rFonts w:eastAsia="Arial,Arial,Arial,Arial,Arial,A"/>
                <w:b/>
              </w:rPr>
            </w:pPr>
            <w:r w:rsidRPr="005D4222">
              <w:rPr>
                <w:rFonts w:eastAsia="Arial,Arial,Arial,Arial,Arial,A"/>
                <w:b/>
              </w:rPr>
              <w:t>Adjusted HEDIS measures may not be used for HEDIS health plan reporting.</w:t>
            </w:r>
          </w:p>
          <w:p w14:paraId="39B6620E" w14:textId="77777777" w:rsidR="00BD75D6" w:rsidRPr="005D4222" w:rsidRDefault="00BD75D6" w:rsidP="00A53E8C">
            <w:pPr>
              <w:pStyle w:val="Adjustments"/>
              <w:rPr>
                <w:rFonts w:eastAsia="Arial,Arial,Arial,Arial,Arial,A"/>
                <w:b w:val="0"/>
              </w:rPr>
            </w:pPr>
            <w:r w:rsidRPr="005D4222">
              <w:rPr>
                <w:rFonts w:eastAsia="Arial,Arial,Arial,Arial,Arial,A"/>
              </w:rPr>
              <w:t>Adjustments allowed</w:t>
            </w:r>
          </w:p>
          <w:p w14:paraId="24DC98D7" w14:textId="0D3FC053" w:rsidR="00BD75D6" w:rsidRPr="005D4222" w:rsidRDefault="00BD75D6" w:rsidP="005D6173">
            <w:pPr>
              <w:pStyle w:val="ProcessBullet"/>
              <w:numPr>
                <w:ilvl w:val="0"/>
                <w:numId w:val="98"/>
              </w:numPr>
              <w:tabs>
                <w:tab w:val="left" w:pos="216"/>
              </w:tabs>
              <w:ind w:left="216" w:hanging="216"/>
              <w:rPr>
                <w:b/>
              </w:rPr>
            </w:pPr>
            <w:r w:rsidRPr="005D4222">
              <w:rPr>
                <w:i/>
                <w:iCs/>
              </w:rPr>
              <w:t>Product lines</w:t>
            </w:r>
            <w:r w:rsidRPr="005D4222">
              <w:t xml:space="preserve">. </w:t>
            </w:r>
            <w:r w:rsidRPr="005D4222">
              <w:rPr>
                <w:rFonts w:eastAsia="Arial"/>
              </w:rPr>
              <w:t>Organizations are not required to use product line criteria; product lines may be combined</w:t>
            </w:r>
            <w:r w:rsidR="00E8671F" w:rsidRPr="005D4222">
              <w:rPr>
                <w:rFonts w:eastAsia="Arial"/>
              </w:rPr>
              <w:t>,</w:t>
            </w:r>
            <w:r w:rsidRPr="005D4222">
              <w:rPr>
                <w:rFonts w:eastAsia="Arial"/>
              </w:rPr>
              <w:t xml:space="preserve"> and all (or no) product line criteria may be used.</w:t>
            </w:r>
          </w:p>
          <w:p w14:paraId="3DE03D35" w14:textId="77777777" w:rsidR="00BD75D6" w:rsidRPr="005D4222" w:rsidRDefault="00BD75D6" w:rsidP="005D6173">
            <w:pPr>
              <w:pStyle w:val="ProcessBullet"/>
              <w:numPr>
                <w:ilvl w:val="0"/>
                <w:numId w:val="98"/>
              </w:numPr>
              <w:tabs>
                <w:tab w:val="left" w:pos="216"/>
              </w:tabs>
              <w:ind w:left="216" w:hanging="216"/>
              <w:rPr>
                <w:b/>
              </w:rPr>
            </w:pPr>
            <w:r w:rsidRPr="005D4222">
              <w:rPr>
                <w:i/>
                <w:iCs/>
              </w:rPr>
              <w:t>Attribution.</w:t>
            </w:r>
            <w:r w:rsidRPr="005D4222">
              <w:rPr>
                <w:b/>
              </w:rPr>
              <w:t xml:space="preserve"> </w:t>
            </w:r>
            <w:r w:rsidRPr="005D4222">
              <w:rPr>
                <w:rFonts w:eastAsia="Arial"/>
              </w:rPr>
              <w:t>Organizations are not required to use enrollment criteria.</w:t>
            </w:r>
          </w:p>
          <w:p w14:paraId="5E98F092" w14:textId="77777777" w:rsidR="00BD75D6" w:rsidRPr="005D4222" w:rsidRDefault="00BD75D6" w:rsidP="005D6173">
            <w:pPr>
              <w:pStyle w:val="ProcessBullet"/>
              <w:numPr>
                <w:ilvl w:val="0"/>
                <w:numId w:val="98"/>
              </w:numPr>
              <w:tabs>
                <w:tab w:val="left" w:pos="216"/>
              </w:tabs>
              <w:ind w:left="216" w:hanging="216"/>
              <w:rPr>
                <w:b/>
              </w:rPr>
            </w:pPr>
            <w:r w:rsidRPr="005D4222">
              <w:rPr>
                <w:i/>
                <w:iCs/>
              </w:rPr>
              <w:t>Benefits.</w:t>
            </w:r>
            <w:r w:rsidRPr="005D4222">
              <w:rPr>
                <w:b/>
              </w:rPr>
              <w:t xml:space="preserve"> </w:t>
            </w:r>
            <w:r w:rsidRPr="005D4222">
              <w:t>Organizations are not required to use a benefit.</w:t>
            </w:r>
          </w:p>
          <w:p w14:paraId="2C51F478" w14:textId="77777777" w:rsidR="00BD75D6" w:rsidRPr="005D4222" w:rsidRDefault="00BD75D6" w:rsidP="005D6173">
            <w:pPr>
              <w:pStyle w:val="ProcessBullet"/>
              <w:numPr>
                <w:ilvl w:val="0"/>
                <w:numId w:val="98"/>
              </w:numPr>
              <w:tabs>
                <w:tab w:val="left" w:pos="216"/>
              </w:tabs>
              <w:ind w:left="216" w:hanging="216"/>
              <w:rPr>
                <w:i/>
                <w:iCs/>
              </w:rPr>
            </w:pPr>
            <w:r w:rsidRPr="005D4222">
              <w:rPr>
                <w:i/>
                <w:iCs/>
              </w:rPr>
              <w:t xml:space="preserve">Other. </w:t>
            </w:r>
            <w:r w:rsidRPr="005D4222">
              <w:rPr>
                <w:rStyle w:val="ProcessBulletChar"/>
              </w:rPr>
              <w:t>Organizations may use additional initial population criteria to focus on an area of interest defined by gender, race, ethnicity, socioeconomic or sociodemographic characteristics, geographic region or another characteristic.</w:t>
            </w:r>
            <w:r w:rsidRPr="005D4222">
              <w:rPr>
                <w:i/>
                <w:iCs/>
              </w:rPr>
              <w:t xml:space="preserve">  </w:t>
            </w:r>
          </w:p>
          <w:p w14:paraId="46D7C0B4" w14:textId="2547C418" w:rsidR="00871C3F" w:rsidRPr="005D4222" w:rsidRDefault="00BD75D6" w:rsidP="005D6173">
            <w:pPr>
              <w:pStyle w:val="ProcessBullet"/>
              <w:numPr>
                <w:ilvl w:val="0"/>
                <w:numId w:val="98"/>
              </w:numPr>
              <w:tabs>
                <w:tab w:val="left" w:pos="216"/>
              </w:tabs>
              <w:spacing w:after="80"/>
              <w:ind w:left="216" w:hanging="216"/>
            </w:pPr>
            <w:r w:rsidRPr="005D4222">
              <w:rPr>
                <w:i/>
                <w:iCs/>
              </w:rPr>
              <w:t>Measurement period adjustments.</w:t>
            </w:r>
            <w:r w:rsidRPr="005D4222">
              <w:t xml:space="preserve"> Organizations may adjust the measurement period. </w:t>
            </w:r>
          </w:p>
        </w:tc>
      </w:tr>
    </w:tbl>
    <w:p w14:paraId="7E8362C3" w14:textId="77777777" w:rsidR="00871C3F" w:rsidRPr="005D4222" w:rsidRDefault="00871C3F"/>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871C3F" w:rsidRPr="005D4222" w14:paraId="538BD7A4"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8676619" w14:textId="77777777" w:rsidR="00871C3F" w:rsidRPr="005D4222" w:rsidRDefault="00871C3F"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6BCE1669" w14:textId="77777777" w:rsidR="00871C3F" w:rsidRPr="005D4222" w:rsidRDefault="00871C3F" w:rsidP="00FB6E8F">
            <w:pPr>
              <w:pStyle w:val="ProcessBullet"/>
              <w:numPr>
                <w:ilvl w:val="0"/>
                <w:numId w:val="98"/>
              </w:numPr>
              <w:tabs>
                <w:tab w:val="left" w:pos="216"/>
              </w:tabs>
              <w:ind w:left="216" w:hanging="216"/>
            </w:pPr>
            <w:r w:rsidRPr="005D4222" w:rsidDel="00152495">
              <w:rPr>
                <w:i/>
                <w:iCs/>
              </w:rPr>
              <w:t>Stratifications:</w:t>
            </w:r>
            <w:r w:rsidRPr="005D4222" w:rsidDel="00152495">
              <w:t xml:space="preserve"> </w:t>
            </w:r>
            <w:r w:rsidRPr="005D4222">
              <w:t>Race and ethnicity stratification. The race and ethnicity stratification is not required. Organizations may adjust this stratification as needed.</w:t>
            </w:r>
          </w:p>
          <w:p w14:paraId="5C3EAC30" w14:textId="77777777" w:rsidR="00871C3F" w:rsidRPr="005D4222" w:rsidRDefault="00871C3F" w:rsidP="005D6173">
            <w:pPr>
              <w:pStyle w:val="ProcessBullet"/>
              <w:numPr>
                <w:ilvl w:val="0"/>
                <w:numId w:val="98"/>
              </w:numPr>
              <w:tabs>
                <w:tab w:val="left" w:pos="216"/>
              </w:tabs>
              <w:ind w:left="216" w:hanging="216"/>
              <w:rPr>
                <w:b/>
                <w:bCs/>
                <w:color w:val="000000" w:themeColor="text1"/>
              </w:rPr>
            </w:pPr>
            <w:r w:rsidRPr="005D4222">
              <w:rPr>
                <w:i/>
                <w:iCs/>
              </w:rPr>
              <w:t>Exclusions.</w:t>
            </w:r>
            <w:r w:rsidRPr="005D4222">
              <w:t xml:space="preserve"> Hospice and deceased persons exclusions are not required. </w:t>
            </w:r>
          </w:p>
          <w:p w14:paraId="6B608986" w14:textId="656759A8" w:rsidR="00871C3F" w:rsidRPr="005D4222" w:rsidRDefault="00871C3F" w:rsidP="005D6173">
            <w:pPr>
              <w:pStyle w:val="ProcessBullet"/>
              <w:numPr>
                <w:ilvl w:val="0"/>
                <w:numId w:val="98"/>
              </w:numPr>
              <w:tabs>
                <w:tab w:val="left" w:pos="216"/>
              </w:tabs>
              <w:ind w:left="216" w:hanging="216"/>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w:t>
            </w:r>
            <w:r w:rsidR="00F45777" w:rsidRPr="005D4222">
              <w:t>events</w:t>
            </w:r>
            <w:r w:rsidRPr="005D4222">
              <w:t>, numerators and exclusions that do not allow the use of telehealth.</w:t>
            </w:r>
          </w:p>
          <w:p w14:paraId="7188BC95" w14:textId="77777777" w:rsidR="00871C3F" w:rsidRPr="005D4222" w:rsidRDefault="00871C3F" w:rsidP="00871C3F">
            <w:pPr>
              <w:pStyle w:val="Adjustments"/>
              <w:rPr>
                <w:rFonts w:eastAsia="Arial,Arial,Arial,Arial,Arial,A"/>
                <w:b w:val="0"/>
              </w:rPr>
            </w:pPr>
            <w:r w:rsidRPr="005D4222">
              <w:rPr>
                <w:rFonts w:eastAsia="Arial,Arial,Arial,Arial,Arial,A"/>
              </w:rPr>
              <w:t>Adjustments allowed with limits</w:t>
            </w:r>
          </w:p>
          <w:p w14:paraId="25B79757" w14:textId="77777777" w:rsidR="00871C3F" w:rsidRPr="005D4222" w:rsidRDefault="00871C3F" w:rsidP="005D6173">
            <w:pPr>
              <w:pStyle w:val="ProcessBullet"/>
              <w:numPr>
                <w:ilvl w:val="0"/>
                <w:numId w:val="98"/>
              </w:numPr>
              <w:tabs>
                <w:tab w:val="left" w:pos="216"/>
              </w:tabs>
              <w:spacing w:after="80"/>
              <w:ind w:left="216" w:hanging="216"/>
            </w:pPr>
            <w:r w:rsidRPr="005D4222">
              <w:rPr>
                <w:rFonts w:eastAsia="Arial"/>
                <w:i/>
                <w:iCs/>
              </w:rPr>
              <w:t xml:space="preserve">Exclusions. </w:t>
            </w:r>
            <w:r w:rsidRPr="005D4222">
              <w:t>Organizations may choose to not exclude deliveries that occurred at less than 37 weeks gestation. Apply exclusions according to specified value sets.</w:t>
            </w:r>
          </w:p>
          <w:p w14:paraId="0F35BE26" w14:textId="77777777" w:rsidR="00871C3F" w:rsidRPr="005D4222" w:rsidRDefault="00871C3F" w:rsidP="00871C3F">
            <w:pPr>
              <w:pStyle w:val="Adjustments"/>
              <w:spacing w:before="120"/>
              <w:rPr>
                <w:rFonts w:eastAsia="Arial,Arial,Arial,Arial,Arial,A"/>
              </w:rPr>
            </w:pPr>
            <w:r w:rsidRPr="005D4222">
              <w:rPr>
                <w:rFonts w:eastAsia="Arial,Arial,Arial,Arial,Arial,A"/>
              </w:rPr>
              <w:t>Adjustments not allowed</w:t>
            </w:r>
          </w:p>
          <w:p w14:paraId="1BCC6D9B" w14:textId="77777777" w:rsidR="00871C3F" w:rsidRPr="005D4222" w:rsidRDefault="00871C3F" w:rsidP="005D6173">
            <w:pPr>
              <w:pStyle w:val="ProcessBullet"/>
              <w:numPr>
                <w:ilvl w:val="0"/>
                <w:numId w:val="98"/>
              </w:numPr>
              <w:spacing w:after="80"/>
              <w:ind w:left="216" w:hanging="216"/>
              <w:rPr>
                <w:i/>
                <w:iCs/>
              </w:rPr>
            </w:pPr>
            <w:r w:rsidRPr="005D4222">
              <w:rPr>
                <w:i/>
                <w:iCs/>
              </w:rPr>
              <w:t>Initial population:</w:t>
            </w:r>
            <w:r w:rsidRPr="005D4222">
              <w:t xml:space="preserve"> Event. </w:t>
            </w:r>
            <w:r w:rsidRPr="005D4222">
              <w:rPr>
                <w:rFonts w:eastAsia="Arial"/>
              </w:rPr>
              <w:t>Only events or diagnoses that contain (or map to) codes in the value sets may be used to identify visits with a diagnosis. The value sets and logic may not be changed.</w:t>
            </w:r>
          </w:p>
          <w:p w14:paraId="61C4BCCC" w14:textId="1BAF5B16" w:rsidR="00871C3F" w:rsidRPr="005D4222" w:rsidRDefault="00DE550E" w:rsidP="005D6173">
            <w:pPr>
              <w:pStyle w:val="ProcessBullet"/>
              <w:numPr>
                <w:ilvl w:val="0"/>
                <w:numId w:val="98"/>
              </w:numPr>
              <w:tabs>
                <w:tab w:val="left" w:pos="216"/>
              </w:tabs>
              <w:spacing w:after="80"/>
              <w:ind w:left="216" w:hanging="216"/>
              <w:rPr>
                <w:b/>
                <w:i/>
              </w:rPr>
            </w:pPr>
            <w:r w:rsidRPr="005D4222">
              <w:rPr>
                <w:rFonts w:eastAsia="Arial"/>
                <w:i/>
                <w:iCs/>
              </w:rPr>
              <w:t>Numerator.</w:t>
            </w:r>
            <w:r w:rsidR="00871C3F" w:rsidRPr="005D4222">
              <w:rPr>
                <w:rFonts w:eastAsia="Arial"/>
              </w:rPr>
              <w:t xml:space="preserve"> Value sets, direct reference codes and logic may not be changed.</w:t>
            </w:r>
          </w:p>
        </w:tc>
      </w:tr>
    </w:tbl>
    <w:p w14:paraId="14F094F6" w14:textId="77777777" w:rsidR="00871C3F" w:rsidRPr="005D4222" w:rsidRDefault="00871C3F" w:rsidP="009A14AB">
      <w:pPr>
        <w:pStyle w:val="ECDSBody"/>
        <w:sectPr w:rsidR="00871C3F" w:rsidRPr="005D4222" w:rsidSect="0074514A">
          <w:headerReference w:type="default" r:id="rId236"/>
          <w:type w:val="nextColumn"/>
          <w:pgSz w:w="12240" w:h="15840" w:code="1"/>
          <w:pgMar w:top="1080" w:right="1080" w:bottom="1080" w:left="1440" w:header="720" w:footer="720" w:gutter="0"/>
          <w:cols w:space="720"/>
          <w:docGrid w:linePitch="360"/>
        </w:sectPr>
      </w:pPr>
    </w:p>
    <w:p w14:paraId="60AA4280" w14:textId="0187262C" w:rsidR="009A14AB" w:rsidRPr="005D4222" w:rsidRDefault="005B71C3" w:rsidP="005B71C3">
      <w:pPr>
        <w:pStyle w:val="MeasureTitle"/>
      </w:pPr>
      <w:bookmarkStart w:id="431" w:name="_Toc201813486"/>
      <w:r w:rsidRPr="005D4222">
        <w:lastRenderedPageBreak/>
        <w:t>Prenatal Depression Screening and Follow-Up</w:t>
      </w:r>
      <w:r w:rsidR="008A5901" w:rsidRPr="005D4222">
        <w:t xml:space="preserve"> (PND-E)</w:t>
      </w:r>
      <w:bookmarkEnd w:id="431"/>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4860"/>
        <w:gridCol w:w="1466"/>
        <w:gridCol w:w="1231"/>
      </w:tblGrid>
      <w:tr w:rsidR="002E6A87" w:rsidRPr="005D4222" w14:paraId="55FEBE53" w14:textId="77777777" w:rsidTr="00A53E8C">
        <w:tc>
          <w:tcPr>
            <w:tcW w:w="2157" w:type="dxa"/>
            <w:shd w:val="clear" w:color="auto" w:fill="BFBFBF" w:themeFill="background1" w:themeFillShade="BF"/>
            <w:tcMar>
              <w:top w:w="0" w:type="dxa"/>
              <w:left w:w="86" w:type="dxa"/>
              <w:bottom w:w="43" w:type="dxa"/>
              <w:right w:w="86" w:type="dxa"/>
            </w:tcMar>
            <w:hideMark/>
          </w:tcPr>
          <w:p w14:paraId="3E1B1366" w14:textId="77777777" w:rsidR="002E6A87" w:rsidRPr="005D4222" w:rsidRDefault="002E6A87" w:rsidP="00A53E8C">
            <w:pPr>
              <w:pStyle w:val="ECDSMarginHead"/>
            </w:pPr>
            <w:r w:rsidRPr="005D4222">
              <w:t>Measure title</w:t>
            </w:r>
          </w:p>
        </w:tc>
        <w:tc>
          <w:tcPr>
            <w:tcW w:w="4860" w:type="dxa"/>
            <w:tcMar>
              <w:top w:w="0" w:type="dxa"/>
              <w:left w:w="86" w:type="dxa"/>
              <w:bottom w:w="43" w:type="dxa"/>
              <w:right w:w="86" w:type="dxa"/>
            </w:tcMar>
          </w:tcPr>
          <w:p w14:paraId="2FC3F5AA" w14:textId="77777777" w:rsidR="002E6A87" w:rsidRPr="005D4222" w:rsidRDefault="002E6A87" w:rsidP="00A53E8C">
            <w:pPr>
              <w:pStyle w:val="ECDSBody"/>
            </w:pPr>
            <w:r w:rsidRPr="005D4222">
              <w:t>Prenatal Depression Screening and Follow-Up</w:t>
            </w:r>
            <w:r w:rsidRPr="005D4222">
              <w:rPr>
                <w:b/>
              </w:rPr>
              <w:t>*</w:t>
            </w:r>
          </w:p>
        </w:tc>
        <w:tc>
          <w:tcPr>
            <w:tcW w:w="1466" w:type="dxa"/>
            <w:shd w:val="clear" w:color="auto" w:fill="BFBFBF" w:themeFill="background1" w:themeFillShade="BF"/>
            <w:tcMar>
              <w:top w:w="0" w:type="dxa"/>
              <w:left w:w="86" w:type="dxa"/>
              <w:bottom w:w="43" w:type="dxa"/>
              <w:right w:w="86" w:type="dxa"/>
            </w:tcMar>
          </w:tcPr>
          <w:p w14:paraId="0BB44AC9" w14:textId="77777777" w:rsidR="002E6A87" w:rsidRPr="005D4222" w:rsidRDefault="002E6A87" w:rsidP="00A53E8C">
            <w:pPr>
              <w:pStyle w:val="ECDSMarginHead"/>
            </w:pPr>
            <w:r w:rsidRPr="005D4222">
              <w:t>Measure ID</w:t>
            </w:r>
          </w:p>
        </w:tc>
        <w:tc>
          <w:tcPr>
            <w:tcW w:w="1231" w:type="dxa"/>
            <w:tcMar>
              <w:top w:w="0" w:type="dxa"/>
              <w:left w:w="86" w:type="dxa"/>
              <w:bottom w:w="43" w:type="dxa"/>
              <w:right w:w="86" w:type="dxa"/>
            </w:tcMar>
          </w:tcPr>
          <w:p w14:paraId="1EA5B433" w14:textId="77777777" w:rsidR="002E6A87" w:rsidRPr="005D4222" w:rsidRDefault="002E6A87" w:rsidP="00A53E8C">
            <w:pPr>
              <w:pStyle w:val="ECDSBody"/>
            </w:pPr>
            <w:r w:rsidRPr="005D4222">
              <w:t>PND-E</w:t>
            </w:r>
          </w:p>
        </w:tc>
      </w:tr>
      <w:tr w:rsidR="002E6A87" w:rsidRPr="005D4222" w14:paraId="5A50D82E" w14:textId="77777777" w:rsidTr="00A53E8C">
        <w:tc>
          <w:tcPr>
            <w:tcW w:w="2157" w:type="dxa"/>
            <w:shd w:val="clear" w:color="auto" w:fill="BFBFBF" w:themeFill="background1" w:themeFillShade="BF"/>
            <w:tcMar>
              <w:top w:w="0" w:type="dxa"/>
              <w:left w:w="86" w:type="dxa"/>
              <w:bottom w:w="43" w:type="dxa"/>
              <w:right w:w="86" w:type="dxa"/>
            </w:tcMar>
            <w:hideMark/>
          </w:tcPr>
          <w:p w14:paraId="28D86007" w14:textId="77777777" w:rsidR="002E6A87" w:rsidRPr="005D4222" w:rsidRDefault="002E6A87" w:rsidP="00A53E8C">
            <w:pPr>
              <w:pStyle w:val="ECDSMarginHead"/>
            </w:pPr>
            <w:r w:rsidRPr="005D4222">
              <w:t>Description</w:t>
            </w:r>
          </w:p>
        </w:tc>
        <w:tc>
          <w:tcPr>
            <w:tcW w:w="7557" w:type="dxa"/>
            <w:gridSpan w:val="3"/>
            <w:tcMar>
              <w:top w:w="0" w:type="dxa"/>
              <w:left w:w="86" w:type="dxa"/>
              <w:bottom w:w="43" w:type="dxa"/>
              <w:right w:w="86" w:type="dxa"/>
            </w:tcMar>
          </w:tcPr>
          <w:p w14:paraId="0FE8B946" w14:textId="77777777" w:rsidR="002E6A87" w:rsidRPr="005D4222" w:rsidRDefault="002E6A87" w:rsidP="00A53E8C">
            <w:pPr>
              <w:pStyle w:val="ECDSBody"/>
            </w:pPr>
            <w:r w:rsidRPr="005D4222">
              <w:t>The percentage of deliveries in which persons were screened for clinical depression while pregnant and, if screened positive, received follow-up care.</w:t>
            </w:r>
          </w:p>
          <w:p w14:paraId="6E1865E7" w14:textId="77777777" w:rsidR="002E6A87" w:rsidRPr="005D4222" w:rsidRDefault="002E6A87" w:rsidP="002E6A87">
            <w:pPr>
              <w:pStyle w:val="Bullet"/>
              <w:numPr>
                <w:ilvl w:val="0"/>
                <w:numId w:val="4"/>
              </w:numPr>
              <w:ind w:left="576" w:hanging="216"/>
            </w:pPr>
            <w:r w:rsidRPr="005D4222">
              <w:rPr>
                <w:i/>
                <w:iCs/>
              </w:rPr>
              <w:t>Depression Screening.</w:t>
            </w:r>
            <w:r w:rsidRPr="005D4222">
              <w:t xml:space="preserve"> The percentage of deliveries in which persons were screened for clinical depression during pregnancy using a standardized instrument.</w:t>
            </w:r>
          </w:p>
          <w:p w14:paraId="390A46F4" w14:textId="77777777" w:rsidR="002E6A87" w:rsidRPr="005D4222" w:rsidRDefault="002E6A87" w:rsidP="002E6A87">
            <w:pPr>
              <w:pStyle w:val="Bullet"/>
              <w:numPr>
                <w:ilvl w:val="0"/>
                <w:numId w:val="4"/>
              </w:numPr>
              <w:spacing w:after="80"/>
              <w:ind w:left="576" w:hanging="216"/>
            </w:pPr>
            <w:r w:rsidRPr="005D4222">
              <w:rPr>
                <w:i/>
                <w:iCs/>
              </w:rPr>
              <w:t>Follow-Up on Positive Screen.</w:t>
            </w:r>
            <w:r w:rsidRPr="005D4222">
              <w:t xml:space="preserve"> The percentage of deliveries in which persons received follow-up care within 30 days of a positive depression screen finding.</w:t>
            </w:r>
          </w:p>
        </w:tc>
      </w:tr>
      <w:tr w:rsidR="002E6A87" w:rsidRPr="005D4222" w14:paraId="67114D30" w14:textId="77777777" w:rsidTr="00A53E8C">
        <w:tc>
          <w:tcPr>
            <w:tcW w:w="2157" w:type="dxa"/>
            <w:shd w:val="clear" w:color="auto" w:fill="BFBFBF" w:themeFill="background1" w:themeFillShade="BF"/>
            <w:tcMar>
              <w:top w:w="0" w:type="dxa"/>
              <w:left w:w="86" w:type="dxa"/>
              <w:bottom w:w="43" w:type="dxa"/>
              <w:right w:w="86" w:type="dxa"/>
            </w:tcMar>
          </w:tcPr>
          <w:p w14:paraId="6A8238DF" w14:textId="77777777" w:rsidR="002E6A87" w:rsidRPr="005D4222" w:rsidRDefault="002E6A87" w:rsidP="00A53E8C">
            <w:pPr>
              <w:pStyle w:val="ECDSMarginHead"/>
            </w:pPr>
            <w:r w:rsidRPr="005D4222">
              <w:t>Measurement period</w:t>
            </w:r>
          </w:p>
        </w:tc>
        <w:tc>
          <w:tcPr>
            <w:tcW w:w="7557" w:type="dxa"/>
            <w:gridSpan w:val="3"/>
            <w:tcMar>
              <w:top w:w="0" w:type="dxa"/>
              <w:left w:w="86" w:type="dxa"/>
              <w:bottom w:w="43" w:type="dxa"/>
              <w:right w:w="86" w:type="dxa"/>
            </w:tcMar>
          </w:tcPr>
          <w:p w14:paraId="20CCACE3" w14:textId="77777777" w:rsidR="002E6A87" w:rsidRPr="005D4222" w:rsidRDefault="002E6A87" w:rsidP="00A53E8C">
            <w:pPr>
              <w:pStyle w:val="ECDSBody"/>
            </w:pPr>
            <w:r w:rsidRPr="005D4222">
              <w:t>January 1–December 31.</w:t>
            </w:r>
          </w:p>
        </w:tc>
      </w:tr>
      <w:tr w:rsidR="002E6A87" w:rsidRPr="005D4222" w14:paraId="453ADEE8" w14:textId="77777777" w:rsidTr="00A53E8C">
        <w:tc>
          <w:tcPr>
            <w:tcW w:w="2157" w:type="dxa"/>
            <w:shd w:val="clear" w:color="auto" w:fill="BFBFBF" w:themeFill="background1" w:themeFillShade="BF"/>
            <w:tcMar>
              <w:top w:w="0" w:type="dxa"/>
              <w:left w:w="86" w:type="dxa"/>
              <w:bottom w:w="43" w:type="dxa"/>
              <w:right w:w="86" w:type="dxa"/>
            </w:tcMar>
            <w:hideMark/>
          </w:tcPr>
          <w:p w14:paraId="1DCB2AA4" w14:textId="77777777" w:rsidR="002E6A87" w:rsidRPr="005D4222" w:rsidRDefault="002E6A87" w:rsidP="00A53E8C">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162FA741" w14:textId="77777777" w:rsidR="002E6A87" w:rsidRPr="005D4222" w:rsidRDefault="002E6A87" w:rsidP="00A53E8C">
            <w:pPr>
              <w:pStyle w:val="ECDSBody"/>
              <w:ind w:left="92" w:hanging="92"/>
              <w:rPr>
                <w:i/>
              </w:rPr>
            </w:pPr>
            <w:r w:rsidRPr="005D4222">
              <w:t>*</w:t>
            </w:r>
            <w:r w:rsidRPr="005D4222">
              <w:rPr>
                <w:i/>
              </w:rPr>
              <w:t xml:space="preserve">Developed with support from the California HealthCare Foundation (CHCF). CHCF works to ensure that people have access to the care they need, when they need it, at a price they can afford. Visit </w:t>
            </w:r>
            <w:r w:rsidRPr="005D4222">
              <w:rPr>
                <w:i/>
                <w:u w:val="single"/>
              </w:rPr>
              <w:t>https://www.chcf.org/</w:t>
            </w:r>
            <w:r w:rsidRPr="005D4222">
              <w:rPr>
                <w:i/>
              </w:rPr>
              <w:t xml:space="preserve"> to learn more. Also supported by the Zoma Foundation.</w:t>
            </w:r>
          </w:p>
          <w:p w14:paraId="3D301BA4" w14:textId="77777777" w:rsidR="002E6A87" w:rsidRPr="005D4222" w:rsidRDefault="002E6A87" w:rsidP="00A53E8C">
            <w:pPr>
              <w:pStyle w:val="ECDSBody"/>
            </w:pPr>
            <w:r w:rsidRPr="005D4222">
              <w:t xml:space="preserve">Refer to the complete copyright and disclaimer information at the front of this publication. </w:t>
            </w:r>
          </w:p>
          <w:p w14:paraId="79A130CD" w14:textId="77777777" w:rsidR="002E6A87" w:rsidRPr="005D4222" w:rsidRDefault="002E6A87" w:rsidP="00A53E8C">
            <w:pPr>
              <w:pStyle w:val="ECDSBody"/>
              <w:spacing w:before="80"/>
            </w:pPr>
            <w:r w:rsidRPr="005D4222">
              <w:t xml:space="preserve">NCQA website: </w:t>
            </w:r>
            <w:r w:rsidRPr="005D4222">
              <w:rPr>
                <w:u w:val="single"/>
              </w:rPr>
              <w:t>www.ncqa.org</w:t>
            </w:r>
            <w:r w:rsidRPr="005D4222">
              <w:rPr>
                <w:rStyle w:val="Hyperlink"/>
              </w:rPr>
              <w:t>.</w:t>
            </w:r>
            <w:r w:rsidRPr="005D4222">
              <w:t xml:space="preserve"> </w:t>
            </w:r>
          </w:p>
          <w:p w14:paraId="37DA1A97" w14:textId="77777777" w:rsidR="002E6A87" w:rsidRPr="005D4222" w:rsidRDefault="002E6A87" w:rsidP="00A53E8C">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2E6A87" w:rsidRPr="005D4222" w14:paraId="327E37E7" w14:textId="77777777" w:rsidTr="00A53E8C">
        <w:trPr>
          <w:trHeight w:val="655"/>
        </w:trPr>
        <w:tc>
          <w:tcPr>
            <w:tcW w:w="2157" w:type="dxa"/>
            <w:shd w:val="clear" w:color="auto" w:fill="BFBFBF" w:themeFill="background1" w:themeFillShade="BF"/>
            <w:tcMar>
              <w:top w:w="0" w:type="dxa"/>
              <w:left w:w="86" w:type="dxa"/>
              <w:bottom w:w="43" w:type="dxa"/>
              <w:right w:w="86" w:type="dxa"/>
            </w:tcMar>
            <w:hideMark/>
          </w:tcPr>
          <w:p w14:paraId="7E865221" w14:textId="77777777" w:rsidR="002E6A87" w:rsidRPr="005D4222" w:rsidRDefault="002E6A87" w:rsidP="00A53E8C">
            <w:pPr>
              <w:pStyle w:val="ECDSMarginHead"/>
            </w:pPr>
            <w:r w:rsidRPr="005D4222">
              <w:t>Clinical recommendation statement/ rationale</w:t>
            </w:r>
          </w:p>
        </w:tc>
        <w:tc>
          <w:tcPr>
            <w:tcW w:w="7557" w:type="dxa"/>
            <w:gridSpan w:val="3"/>
            <w:tcMar>
              <w:top w:w="0" w:type="dxa"/>
              <w:left w:w="86" w:type="dxa"/>
              <w:bottom w:w="43" w:type="dxa"/>
              <w:right w:w="86" w:type="dxa"/>
            </w:tcMar>
          </w:tcPr>
          <w:p w14:paraId="0209B2C1" w14:textId="77777777" w:rsidR="002E6A87" w:rsidRPr="005D4222" w:rsidRDefault="002E6A87" w:rsidP="00A53E8C">
            <w:pPr>
              <w:pStyle w:val="ECDSBody"/>
              <w:rPr>
                <w:kern w:val="20"/>
              </w:rPr>
            </w:pPr>
            <w:r w:rsidRPr="005D4222">
              <w:rPr>
                <w:kern w:val="20"/>
              </w:rPr>
              <w:t>The U.S. Preventive Services Task Force (USPSTF) recommends screening for depression among adolescents and adults, including pregnant and postpartum women. (B recommendation)</w:t>
            </w:r>
          </w:p>
          <w:p w14:paraId="491B45D8" w14:textId="77777777" w:rsidR="002E6A87" w:rsidRPr="005D4222" w:rsidRDefault="002E6A87" w:rsidP="00A53E8C">
            <w:pPr>
              <w:pStyle w:val="ECDSBody"/>
              <w:rPr>
                <w:kern w:val="20"/>
              </w:rPr>
            </w:pPr>
            <w:r w:rsidRPr="005D4222">
              <w:rPr>
                <w:kern w:val="20"/>
              </w:rPr>
              <w:t>The American College of Obstetricians and Gynecologists (ACOG) recommends that clinicians screen patients</w:t>
            </w:r>
            <w:r w:rsidRPr="005D4222">
              <w:t xml:space="preserve"> at the initial prenatal visit, later in pregnancy, and at postpartum visits</w:t>
            </w:r>
            <w:r w:rsidRPr="005D4222" w:rsidDel="00A7723C">
              <w:t xml:space="preserve"> </w:t>
            </w:r>
            <w:r w:rsidRPr="005D4222">
              <w:rPr>
                <w:kern w:val="20"/>
              </w:rPr>
              <w:t>using a standardized, validated tool.</w:t>
            </w:r>
          </w:p>
          <w:p w14:paraId="36533DFF" w14:textId="77777777" w:rsidR="002E6A87" w:rsidRPr="005D4222" w:rsidRDefault="002E6A87" w:rsidP="00A53E8C">
            <w:pPr>
              <w:pStyle w:val="ECDSBody"/>
            </w:pPr>
            <w:r w:rsidRPr="005D4222">
              <w:rPr>
                <w:kern w:val="20"/>
              </w:rPr>
              <w:t>The USPSTF and ACOG also recommend that screening be implemented with adequate systems in place to ensure accurate diagnosis, effective treatment and appropriate follow-up. (B recommendation)</w:t>
            </w:r>
          </w:p>
        </w:tc>
      </w:tr>
      <w:tr w:rsidR="002E6A87" w:rsidRPr="005D4222" w14:paraId="68F545EA" w14:textId="77777777" w:rsidTr="00A53E8C">
        <w:tc>
          <w:tcPr>
            <w:tcW w:w="2157" w:type="dxa"/>
            <w:shd w:val="clear" w:color="auto" w:fill="BFBFBF" w:themeFill="background1" w:themeFillShade="BF"/>
            <w:tcMar>
              <w:top w:w="0" w:type="dxa"/>
              <w:left w:w="86" w:type="dxa"/>
              <w:bottom w:w="43" w:type="dxa"/>
              <w:right w:w="86" w:type="dxa"/>
            </w:tcMar>
          </w:tcPr>
          <w:p w14:paraId="2F3371B6" w14:textId="77777777" w:rsidR="002E6A87" w:rsidRPr="005D4222" w:rsidRDefault="002E6A87" w:rsidP="00A53E8C">
            <w:pPr>
              <w:pStyle w:val="ECDSMarginHead"/>
            </w:pPr>
            <w:r w:rsidRPr="005D4222">
              <w:t>Citations</w:t>
            </w:r>
          </w:p>
        </w:tc>
        <w:tc>
          <w:tcPr>
            <w:tcW w:w="7557" w:type="dxa"/>
            <w:gridSpan w:val="3"/>
            <w:tcMar>
              <w:top w:w="0" w:type="dxa"/>
              <w:left w:w="86" w:type="dxa"/>
              <w:bottom w:w="43" w:type="dxa"/>
              <w:right w:w="86" w:type="dxa"/>
            </w:tcMar>
          </w:tcPr>
          <w:p w14:paraId="639E0FF5" w14:textId="77777777" w:rsidR="002E6A87" w:rsidRPr="005D4222" w:rsidRDefault="002E6A87" w:rsidP="00A53E8C">
            <w:pPr>
              <w:pStyle w:val="ECDSBody"/>
              <w:rPr>
                <w:kern w:val="20"/>
              </w:rPr>
            </w:pPr>
            <w:r w:rsidRPr="005D4222">
              <w:rPr>
                <w:bCs w:val="0"/>
              </w:rPr>
              <w:t xml:space="preserve">American College of Obstetricians and Gynecologists. 2023. “Screening and Diagnosis of Mental Health Conditions During Pregnancy and Postpartum: ACOG Clinical Practice Guideline No. 4.” </w:t>
            </w:r>
            <w:r w:rsidRPr="005D4222">
              <w:rPr>
                <w:bCs w:val="0"/>
                <w:i/>
                <w:iCs/>
              </w:rPr>
              <w:t>Obstet Gynecol</w:t>
            </w:r>
            <w:r w:rsidRPr="005D4222">
              <w:rPr>
                <w:bCs w:val="0"/>
              </w:rPr>
              <w:t xml:space="preserve"> 141.6: 1232–61.</w:t>
            </w:r>
          </w:p>
          <w:p w14:paraId="41D716BA" w14:textId="77777777" w:rsidR="002E6A87" w:rsidRPr="005D4222" w:rsidRDefault="002E6A87" w:rsidP="00A53E8C">
            <w:pPr>
              <w:pStyle w:val="ECDSBody"/>
              <w:rPr>
                <w:kern w:val="20"/>
              </w:rPr>
            </w:pPr>
            <w:r w:rsidRPr="005D4222">
              <w:rPr>
                <w:kern w:val="20"/>
              </w:rPr>
              <w:t xml:space="preserve">U.S. Preventive Services Task Force et al. 2023. “Screening for Depression and Suicide Risk in Adults: U.S. Preventive Task Force Recommendation Statement.” </w:t>
            </w:r>
            <w:r w:rsidRPr="005D4222">
              <w:rPr>
                <w:i/>
                <w:iCs/>
                <w:kern w:val="20"/>
              </w:rPr>
              <w:t xml:space="preserve">JAMA </w:t>
            </w:r>
            <w:r w:rsidRPr="005D4222">
              <w:rPr>
                <w:kern w:val="20"/>
              </w:rPr>
              <w:t>vol. 329,23: 2057–67.</w:t>
            </w:r>
          </w:p>
          <w:p w14:paraId="738FA68C" w14:textId="77777777" w:rsidR="002E6A87" w:rsidRPr="005D4222" w:rsidRDefault="002E6A87" w:rsidP="00A53E8C">
            <w:pPr>
              <w:pStyle w:val="ECDSBody"/>
            </w:pPr>
            <w:r w:rsidRPr="005D4222">
              <w:rPr>
                <w:kern w:val="20"/>
              </w:rPr>
              <w:t>U.S. Preventive Services Task Force et al. 2022. “Screening for Depression and Suicide Risk in Children and Adolescents: U.S. Preventive Task Force Recommendation Statement.”</w:t>
            </w:r>
            <w:r w:rsidRPr="005D4222">
              <w:rPr>
                <w:i/>
                <w:kern w:val="20"/>
              </w:rPr>
              <w:t xml:space="preserve"> </w:t>
            </w:r>
            <w:r w:rsidRPr="005D4222">
              <w:rPr>
                <w:i/>
                <w:iCs/>
                <w:kern w:val="20"/>
              </w:rPr>
              <w:t xml:space="preserve">JAMA </w:t>
            </w:r>
            <w:r w:rsidRPr="005D4222">
              <w:rPr>
                <w:kern w:val="20"/>
              </w:rPr>
              <w:t>vol. 328,15: 1534–42.</w:t>
            </w:r>
          </w:p>
        </w:tc>
      </w:tr>
    </w:tbl>
    <w:p w14:paraId="10C13AE7" w14:textId="77777777" w:rsidR="002E6A87" w:rsidRPr="005D4222" w:rsidRDefault="002E6A87" w:rsidP="002E6A87">
      <w:pPr>
        <w:spacing w:after="160" w:line="259" w:lineRule="auto"/>
      </w:pPr>
      <w:r w:rsidRPr="005D4222">
        <w:br w:type="page"/>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2E6A87" w:rsidRPr="005D4222" w14:paraId="17E35F78" w14:textId="77777777" w:rsidTr="00A53E8C">
        <w:tc>
          <w:tcPr>
            <w:tcW w:w="9714" w:type="dxa"/>
            <w:gridSpan w:val="2"/>
            <w:tcBorders>
              <w:bottom w:val="single" w:sz="4" w:space="0" w:color="auto"/>
            </w:tcBorders>
            <w:shd w:val="clear" w:color="auto" w:fill="BFBFBF" w:themeFill="background1" w:themeFillShade="BF"/>
            <w:tcMar>
              <w:top w:w="0" w:type="dxa"/>
              <w:left w:w="86" w:type="dxa"/>
              <w:bottom w:w="43" w:type="dxa"/>
              <w:right w:w="86" w:type="dxa"/>
            </w:tcMar>
          </w:tcPr>
          <w:p w14:paraId="5FFD6A49" w14:textId="77777777" w:rsidR="002E6A87" w:rsidRPr="005D4222" w:rsidRDefault="002E6A87" w:rsidP="00A53E8C">
            <w:pPr>
              <w:pStyle w:val="ECDSMarginHead"/>
            </w:pPr>
            <w:r w:rsidRPr="005D4222">
              <w:lastRenderedPageBreak/>
              <w:t>Characteristics</w:t>
            </w:r>
          </w:p>
        </w:tc>
      </w:tr>
      <w:tr w:rsidR="002E6A87" w:rsidRPr="005D4222" w14:paraId="6A1D7D1A" w14:textId="77777777" w:rsidTr="00A53E8C">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08D2361F" w14:textId="77777777" w:rsidR="002E6A87" w:rsidRPr="005D4222" w:rsidRDefault="002E6A87" w:rsidP="00A145A2">
            <w:pPr>
              <w:pStyle w:val="ECDSSubhead"/>
            </w:pPr>
            <w:r w:rsidRPr="005D4222">
              <w:t>Scoring</w:t>
            </w:r>
          </w:p>
        </w:tc>
        <w:tc>
          <w:tcPr>
            <w:tcW w:w="7557" w:type="dxa"/>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0372E73B" w14:textId="77777777" w:rsidR="002E6A87" w:rsidRPr="005D4222" w:rsidRDefault="002E6A87" w:rsidP="00A53E8C">
            <w:pPr>
              <w:pStyle w:val="ECDSBody"/>
              <w:spacing w:after="0"/>
            </w:pPr>
            <w:r w:rsidRPr="005D4222">
              <w:t>Proportion.</w:t>
            </w:r>
          </w:p>
        </w:tc>
      </w:tr>
      <w:tr w:rsidR="002E6A87" w:rsidRPr="005D4222" w14:paraId="4487A49E"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085530E8" w14:textId="77777777" w:rsidR="002E6A87" w:rsidRPr="005D4222" w:rsidRDefault="002E6A87" w:rsidP="00A145A2">
            <w:pPr>
              <w:pStyle w:val="ECDSSubhead"/>
            </w:pPr>
            <w:r w:rsidRPr="005D4222">
              <w:t>Type</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4741DB52" w14:textId="77777777" w:rsidR="002E6A87" w:rsidRPr="005D4222" w:rsidRDefault="002E6A87" w:rsidP="00A53E8C">
            <w:pPr>
              <w:pStyle w:val="ECDSBody"/>
              <w:spacing w:after="0"/>
            </w:pPr>
            <w:r w:rsidRPr="005D4222">
              <w:t>Process.</w:t>
            </w:r>
          </w:p>
        </w:tc>
      </w:tr>
      <w:tr w:rsidR="002E6A87" w:rsidRPr="005D4222" w14:paraId="111E9924"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22C31459" w14:textId="23539AC8" w:rsidR="002E6A87" w:rsidRPr="005D4222" w:rsidRDefault="00B51CDC" w:rsidP="00A145A2">
            <w:pPr>
              <w:pStyle w:val="ECDSSubhead"/>
            </w:pPr>
            <w:r w:rsidRPr="005D4222">
              <w:t>Product lines</w:t>
            </w:r>
          </w:p>
        </w:tc>
        <w:tc>
          <w:tcPr>
            <w:tcW w:w="7557" w:type="dxa"/>
            <w:tcBorders>
              <w:top w:val="nil"/>
              <w:left w:val="single" w:sz="4" w:space="0" w:color="auto"/>
              <w:bottom w:val="nil"/>
              <w:right w:val="single" w:sz="4" w:space="0" w:color="auto"/>
            </w:tcBorders>
            <w:tcMar>
              <w:top w:w="0" w:type="dxa"/>
              <w:left w:w="86" w:type="dxa"/>
              <w:bottom w:w="43" w:type="dxa"/>
              <w:right w:w="86" w:type="dxa"/>
            </w:tcMar>
          </w:tcPr>
          <w:p w14:paraId="30F050BB" w14:textId="77777777" w:rsidR="002E6A87" w:rsidRPr="005D4222" w:rsidRDefault="002E6A87" w:rsidP="005D6173">
            <w:pPr>
              <w:pStyle w:val="ProcessBullet"/>
              <w:numPr>
                <w:ilvl w:val="0"/>
                <w:numId w:val="98"/>
              </w:numPr>
              <w:tabs>
                <w:tab w:val="left" w:pos="216"/>
              </w:tabs>
              <w:spacing w:before="120"/>
              <w:ind w:left="216" w:hanging="216"/>
            </w:pPr>
            <w:r w:rsidRPr="005D4222">
              <w:t>Commercial.</w:t>
            </w:r>
          </w:p>
          <w:p w14:paraId="0E55EAD5" w14:textId="77777777" w:rsidR="002E6A87" w:rsidRPr="005D4222" w:rsidRDefault="002E6A87" w:rsidP="005D6173">
            <w:pPr>
              <w:pStyle w:val="ProcessBullet"/>
              <w:numPr>
                <w:ilvl w:val="0"/>
                <w:numId w:val="98"/>
              </w:numPr>
              <w:tabs>
                <w:tab w:val="left" w:pos="216"/>
              </w:tabs>
              <w:ind w:left="216" w:hanging="216"/>
            </w:pPr>
            <w:r w:rsidRPr="005D4222">
              <w:t>Medicaid.</w:t>
            </w:r>
          </w:p>
        </w:tc>
      </w:tr>
      <w:tr w:rsidR="002E6A87" w:rsidRPr="005D4222" w14:paraId="1159953B"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5DE5B08D" w14:textId="04318BC3" w:rsidR="002E6A87" w:rsidRPr="005D4222" w:rsidRDefault="00B51CDC" w:rsidP="00A145A2">
            <w:pPr>
              <w:pStyle w:val="ECDSSubhead"/>
            </w:pPr>
            <w:r w:rsidRPr="005D4222">
              <w:t>Stratifications</w:t>
            </w:r>
            <w:r w:rsidR="002E6A87" w:rsidRPr="005D4222">
              <w:t xml:space="preserve"> </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4FB2ED16" w14:textId="31595900" w:rsidR="002E6A87" w:rsidRPr="005D4222" w:rsidRDefault="002E6A87" w:rsidP="00A53E8C">
            <w:pPr>
              <w:pStyle w:val="ECDSBody"/>
              <w:rPr>
                <w:lang w:eastAsia="zh-CN"/>
              </w:rPr>
            </w:pPr>
            <w:r w:rsidRPr="005D4222">
              <w:rPr>
                <w:lang w:eastAsia="zh-CN"/>
              </w:rPr>
              <w:t xml:space="preserve">Race. (Refer to </w:t>
            </w:r>
            <w:hyperlink w:anchor="GG_Race_and_Ethnicity" w:history="1">
              <w:r w:rsidRPr="005D4222">
                <w:rPr>
                  <w:rStyle w:val="Hyperlink"/>
                  <w:i/>
                  <w:lang w:eastAsia="zh-CN"/>
                </w:rPr>
                <w:t>General Guideline: Race and Ethnicity Stratification</w:t>
              </w:r>
            </w:hyperlink>
            <w:r w:rsidRPr="005D4222">
              <w:rPr>
                <w:lang w:eastAsia="zh-CN"/>
              </w:rPr>
              <w:t xml:space="preserve">.) </w:t>
            </w:r>
          </w:p>
          <w:p w14:paraId="1E3E32FF" w14:textId="77777777" w:rsidR="002E6A87" w:rsidRPr="005D4222" w:rsidRDefault="002E6A87" w:rsidP="002E6A87">
            <w:pPr>
              <w:pStyle w:val="Bullet"/>
              <w:numPr>
                <w:ilvl w:val="0"/>
                <w:numId w:val="4"/>
              </w:numPr>
              <w:ind w:left="576" w:hanging="216"/>
              <w:rPr>
                <w:lang w:eastAsia="zh-CN"/>
              </w:rPr>
            </w:pPr>
            <w:r w:rsidRPr="005D4222">
              <w:rPr>
                <w:lang w:eastAsia="zh-CN"/>
              </w:rPr>
              <w:t xml:space="preserve">American Indian or Alaska Native. </w:t>
            </w:r>
          </w:p>
          <w:p w14:paraId="5337177C" w14:textId="77777777" w:rsidR="002E6A87" w:rsidRPr="005D4222" w:rsidRDefault="002E6A87" w:rsidP="002E6A87">
            <w:pPr>
              <w:pStyle w:val="Bullet"/>
              <w:numPr>
                <w:ilvl w:val="0"/>
                <w:numId w:val="4"/>
              </w:numPr>
              <w:ind w:left="576" w:hanging="216"/>
              <w:rPr>
                <w:lang w:eastAsia="zh-CN"/>
              </w:rPr>
            </w:pPr>
            <w:r w:rsidRPr="005D4222">
              <w:rPr>
                <w:lang w:eastAsia="zh-CN"/>
              </w:rPr>
              <w:t xml:space="preserve">Asian. </w:t>
            </w:r>
          </w:p>
          <w:p w14:paraId="038CC864" w14:textId="77777777" w:rsidR="002E6A87" w:rsidRPr="005D4222" w:rsidRDefault="002E6A87" w:rsidP="002E6A87">
            <w:pPr>
              <w:pStyle w:val="Bullet"/>
              <w:numPr>
                <w:ilvl w:val="0"/>
                <w:numId w:val="4"/>
              </w:numPr>
              <w:ind w:left="576" w:hanging="216"/>
              <w:rPr>
                <w:lang w:eastAsia="zh-CN"/>
              </w:rPr>
            </w:pPr>
            <w:r w:rsidRPr="005D4222">
              <w:rPr>
                <w:lang w:eastAsia="zh-CN"/>
              </w:rPr>
              <w:t>Black or African American.</w:t>
            </w:r>
          </w:p>
          <w:p w14:paraId="4AF05DB9" w14:textId="77777777" w:rsidR="002E6A87" w:rsidRPr="005D4222" w:rsidRDefault="002E6A87" w:rsidP="002E6A87">
            <w:pPr>
              <w:pStyle w:val="Bullet"/>
              <w:numPr>
                <w:ilvl w:val="0"/>
                <w:numId w:val="4"/>
              </w:numPr>
              <w:ind w:left="576" w:hanging="216"/>
              <w:rPr>
                <w:lang w:eastAsia="zh-CN"/>
              </w:rPr>
            </w:pPr>
            <w:r w:rsidRPr="005D4222">
              <w:rPr>
                <w:lang w:eastAsia="zh-CN"/>
              </w:rPr>
              <w:t>Middle Eastern or North African.</w:t>
            </w:r>
          </w:p>
          <w:p w14:paraId="0248614C" w14:textId="77777777" w:rsidR="002E6A87" w:rsidRPr="005D4222" w:rsidRDefault="002E6A87" w:rsidP="002E6A87">
            <w:pPr>
              <w:pStyle w:val="Bullet"/>
              <w:numPr>
                <w:ilvl w:val="0"/>
                <w:numId w:val="4"/>
              </w:numPr>
              <w:ind w:left="576" w:hanging="216"/>
              <w:rPr>
                <w:lang w:eastAsia="zh-CN"/>
              </w:rPr>
            </w:pPr>
            <w:r w:rsidRPr="005D4222">
              <w:rPr>
                <w:lang w:eastAsia="zh-CN"/>
              </w:rPr>
              <w:t>Native Hawaiian or Pacific Islander.</w:t>
            </w:r>
          </w:p>
          <w:p w14:paraId="2DC940FB" w14:textId="77777777" w:rsidR="002E6A87" w:rsidRPr="005D4222" w:rsidRDefault="002E6A87" w:rsidP="002E6A87">
            <w:pPr>
              <w:pStyle w:val="Bullet"/>
              <w:numPr>
                <w:ilvl w:val="0"/>
                <w:numId w:val="4"/>
              </w:numPr>
              <w:ind w:left="576" w:hanging="216"/>
              <w:rPr>
                <w:lang w:eastAsia="zh-CN"/>
              </w:rPr>
            </w:pPr>
            <w:r w:rsidRPr="005D4222">
              <w:rPr>
                <w:lang w:eastAsia="zh-CN"/>
              </w:rPr>
              <w:t xml:space="preserve">White. </w:t>
            </w:r>
          </w:p>
          <w:p w14:paraId="1CCEA2A6" w14:textId="77777777" w:rsidR="002E6A87" w:rsidRPr="005D4222" w:rsidRDefault="002E6A87" w:rsidP="002E6A87">
            <w:pPr>
              <w:pStyle w:val="Bullet"/>
              <w:numPr>
                <w:ilvl w:val="0"/>
                <w:numId w:val="4"/>
              </w:numPr>
              <w:ind w:left="576" w:hanging="216"/>
              <w:rPr>
                <w:lang w:eastAsia="zh-CN"/>
              </w:rPr>
            </w:pPr>
            <w:r w:rsidRPr="005D4222">
              <w:rPr>
                <w:lang w:eastAsia="zh-CN"/>
              </w:rPr>
              <w:t xml:space="preserve">Some Other Race. </w:t>
            </w:r>
          </w:p>
          <w:p w14:paraId="3E426D08" w14:textId="77777777" w:rsidR="002E6A87" w:rsidRPr="005D4222" w:rsidRDefault="002E6A87" w:rsidP="002E6A87">
            <w:pPr>
              <w:pStyle w:val="Bullet"/>
              <w:numPr>
                <w:ilvl w:val="0"/>
                <w:numId w:val="4"/>
              </w:numPr>
              <w:ind w:left="576" w:hanging="216"/>
              <w:rPr>
                <w:lang w:eastAsia="zh-CN"/>
              </w:rPr>
            </w:pPr>
            <w:r w:rsidRPr="005D4222">
              <w:rPr>
                <w:lang w:eastAsia="zh-CN"/>
              </w:rPr>
              <w:t xml:space="preserve">Two or More Races. </w:t>
            </w:r>
          </w:p>
          <w:p w14:paraId="155DA4A0" w14:textId="77777777" w:rsidR="002E6A87" w:rsidRPr="005D4222" w:rsidRDefault="002E6A87" w:rsidP="002E6A87">
            <w:pPr>
              <w:pStyle w:val="Bullet"/>
              <w:numPr>
                <w:ilvl w:val="0"/>
                <w:numId w:val="4"/>
              </w:numPr>
              <w:ind w:left="576" w:hanging="216"/>
              <w:rPr>
                <w:lang w:eastAsia="zh-CN"/>
              </w:rPr>
            </w:pPr>
            <w:r w:rsidRPr="005D4222">
              <w:rPr>
                <w:lang w:eastAsia="zh-CN"/>
              </w:rPr>
              <w:t xml:space="preserve">Asked But No Answer. </w:t>
            </w:r>
          </w:p>
          <w:p w14:paraId="44814400" w14:textId="77777777" w:rsidR="002E6A87" w:rsidRPr="005D4222" w:rsidRDefault="002E6A87" w:rsidP="002E6A87">
            <w:pPr>
              <w:pStyle w:val="Bullet"/>
              <w:numPr>
                <w:ilvl w:val="0"/>
                <w:numId w:val="4"/>
              </w:numPr>
              <w:ind w:left="576" w:hanging="216"/>
              <w:rPr>
                <w:lang w:eastAsia="zh-CN"/>
              </w:rPr>
            </w:pPr>
            <w:r w:rsidRPr="005D4222">
              <w:rPr>
                <w:lang w:eastAsia="zh-CN"/>
              </w:rPr>
              <w:t xml:space="preserve">Unknown. </w:t>
            </w:r>
          </w:p>
          <w:p w14:paraId="2E1A7E7B" w14:textId="03C25584" w:rsidR="002E6A87" w:rsidRPr="005D4222" w:rsidRDefault="002E6A87" w:rsidP="00A53E8C">
            <w:pPr>
              <w:pStyle w:val="ECDSBody"/>
              <w:rPr>
                <w:lang w:eastAsia="zh-CN"/>
              </w:rPr>
            </w:pPr>
            <w:r w:rsidRPr="005D4222">
              <w:rPr>
                <w:lang w:eastAsia="zh-CN"/>
              </w:rPr>
              <w:t xml:space="preserve">Ethnicity. (Refer to </w:t>
            </w:r>
            <w:hyperlink w:anchor="GG_Race_and_Ethnicity" w:history="1">
              <w:r w:rsidRPr="005D4222">
                <w:rPr>
                  <w:rStyle w:val="Hyperlink"/>
                  <w:i/>
                  <w:lang w:eastAsia="zh-CN"/>
                </w:rPr>
                <w:t>General Guideline: Race and Ethnicity Stratification</w:t>
              </w:r>
            </w:hyperlink>
            <w:r w:rsidRPr="005D4222">
              <w:rPr>
                <w:lang w:eastAsia="zh-CN"/>
              </w:rPr>
              <w:t>.)</w:t>
            </w:r>
          </w:p>
          <w:p w14:paraId="4972FD4A" w14:textId="77777777" w:rsidR="002E6A87" w:rsidRPr="005D4222" w:rsidRDefault="002E6A87" w:rsidP="002E6A87">
            <w:pPr>
              <w:pStyle w:val="Bullet"/>
              <w:numPr>
                <w:ilvl w:val="0"/>
                <w:numId w:val="4"/>
              </w:numPr>
              <w:ind w:left="576" w:hanging="216"/>
              <w:rPr>
                <w:lang w:eastAsia="zh-CN"/>
              </w:rPr>
            </w:pPr>
            <w:r w:rsidRPr="005D4222">
              <w:rPr>
                <w:lang w:eastAsia="zh-CN"/>
              </w:rPr>
              <w:t xml:space="preserve">Hispanic or Latino. </w:t>
            </w:r>
          </w:p>
          <w:p w14:paraId="5B6BDA18" w14:textId="77777777" w:rsidR="002E6A87" w:rsidRPr="005D4222" w:rsidRDefault="002E6A87" w:rsidP="002E6A87">
            <w:pPr>
              <w:pStyle w:val="Bullet"/>
              <w:numPr>
                <w:ilvl w:val="0"/>
                <w:numId w:val="4"/>
              </w:numPr>
              <w:ind w:left="576" w:hanging="216"/>
              <w:rPr>
                <w:lang w:eastAsia="zh-CN"/>
              </w:rPr>
            </w:pPr>
            <w:r w:rsidRPr="005D4222">
              <w:rPr>
                <w:lang w:eastAsia="zh-CN"/>
              </w:rPr>
              <w:t xml:space="preserve">Not Hispanic or Latino. </w:t>
            </w:r>
          </w:p>
          <w:p w14:paraId="539ABF3B" w14:textId="77777777" w:rsidR="002E6A87" w:rsidRPr="005D4222" w:rsidRDefault="002E6A87" w:rsidP="002E6A87">
            <w:pPr>
              <w:pStyle w:val="Bullet"/>
              <w:numPr>
                <w:ilvl w:val="0"/>
                <w:numId w:val="4"/>
              </w:numPr>
              <w:ind w:left="576" w:hanging="216"/>
              <w:rPr>
                <w:lang w:eastAsia="zh-CN"/>
              </w:rPr>
            </w:pPr>
            <w:r w:rsidRPr="005D4222">
              <w:rPr>
                <w:lang w:eastAsia="zh-CN"/>
              </w:rPr>
              <w:t xml:space="preserve">Asked But No Answer. </w:t>
            </w:r>
          </w:p>
          <w:p w14:paraId="72A72594" w14:textId="77777777" w:rsidR="002E6A87" w:rsidRPr="005D4222" w:rsidRDefault="002E6A87" w:rsidP="002E6A87">
            <w:pPr>
              <w:pStyle w:val="Bullet"/>
              <w:numPr>
                <w:ilvl w:val="0"/>
                <w:numId w:val="4"/>
              </w:numPr>
              <w:ind w:left="576" w:hanging="216"/>
              <w:rPr>
                <w:lang w:eastAsia="zh-CN"/>
              </w:rPr>
            </w:pPr>
            <w:r w:rsidRPr="005D4222">
              <w:rPr>
                <w:lang w:eastAsia="zh-CN"/>
              </w:rPr>
              <w:t xml:space="preserve">Unknown. </w:t>
            </w:r>
          </w:p>
        </w:tc>
      </w:tr>
      <w:tr w:rsidR="002E6A87" w:rsidRPr="005D4222" w14:paraId="190CC5FA"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34BEB2A7" w14:textId="77777777" w:rsidR="002E6A87" w:rsidRPr="005D4222" w:rsidRDefault="002E6A87" w:rsidP="00A145A2">
            <w:pPr>
              <w:pStyle w:val="ECDSSubhead"/>
            </w:pPr>
            <w:r w:rsidRPr="005D4222">
              <w:t>Risk adjustment</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12D88FAE" w14:textId="77777777" w:rsidR="002E6A87" w:rsidRPr="005D4222" w:rsidRDefault="002E6A87" w:rsidP="00A53E8C">
            <w:pPr>
              <w:pStyle w:val="ECDSBody"/>
              <w:spacing w:after="0"/>
            </w:pPr>
            <w:r w:rsidRPr="005D4222">
              <w:t>None.</w:t>
            </w:r>
          </w:p>
        </w:tc>
      </w:tr>
      <w:tr w:rsidR="002E6A87" w:rsidRPr="005D4222" w14:paraId="2D71BD4B"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1A13D167" w14:textId="77777777" w:rsidR="002E6A87" w:rsidRPr="005D4222" w:rsidRDefault="002E6A87" w:rsidP="00A145A2">
            <w:pPr>
              <w:pStyle w:val="ECDSSubhead"/>
            </w:pPr>
            <w:r w:rsidRPr="005D4222">
              <w:t>Improvement notation</w:t>
            </w:r>
          </w:p>
        </w:tc>
        <w:tc>
          <w:tcPr>
            <w:tcW w:w="7557" w:type="dxa"/>
            <w:tcBorders>
              <w:top w:val="nil"/>
              <w:left w:val="single" w:sz="4" w:space="0" w:color="auto"/>
              <w:bottom w:val="nil"/>
              <w:right w:val="single" w:sz="4" w:space="0" w:color="auto"/>
            </w:tcBorders>
            <w:tcMar>
              <w:top w:w="0" w:type="dxa"/>
              <w:left w:w="86" w:type="dxa"/>
              <w:bottom w:w="43" w:type="dxa"/>
              <w:right w:w="86" w:type="dxa"/>
            </w:tcMar>
            <w:hideMark/>
          </w:tcPr>
          <w:p w14:paraId="05551E22" w14:textId="77777777" w:rsidR="002E6A87" w:rsidRPr="005D4222" w:rsidRDefault="002E6A87" w:rsidP="00A53E8C">
            <w:pPr>
              <w:pStyle w:val="ECDSBody"/>
              <w:spacing w:after="0"/>
            </w:pPr>
            <w:r w:rsidRPr="005D4222">
              <w:t>Increased score indicates improvement.</w:t>
            </w:r>
          </w:p>
        </w:tc>
      </w:tr>
      <w:tr w:rsidR="002E6A87" w:rsidRPr="005D4222" w14:paraId="658D1E0F" w14:textId="77777777" w:rsidTr="00A53E8C">
        <w:trPr>
          <w:trHeight w:val="633"/>
        </w:trPr>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7F77AFE6" w14:textId="77777777" w:rsidR="002E6A87" w:rsidRPr="005D4222" w:rsidRDefault="002E6A87" w:rsidP="00A145A2">
            <w:pPr>
              <w:pStyle w:val="ECDSSubhead"/>
            </w:pPr>
            <w:r w:rsidRPr="005D4222">
              <w:t>Guidance</w:t>
            </w:r>
          </w:p>
        </w:tc>
        <w:tc>
          <w:tcPr>
            <w:tcW w:w="75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2DA3F99A" w14:textId="311284C8" w:rsidR="002E6A87" w:rsidRPr="005D4222" w:rsidRDefault="002E6A87" w:rsidP="00A53E8C">
            <w:pPr>
              <w:pStyle w:val="ECDSBody"/>
            </w:pPr>
            <w:r w:rsidRPr="005D4222">
              <w:rPr>
                <w:b/>
              </w:rPr>
              <w:t>Data collection methodology:</w:t>
            </w:r>
            <w:r w:rsidRPr="005D4222">
              <w:t xml:space="preserve"> ECDS. Refer to </w:t>
            </w:r>
            <w:hyperlink w:anchor="General_Guideline_Data_Collection_Method" w:history="1">
              <w:r w:rsidRPr="005D4222">
                <w:rPr>
                  <w:rStyle w:val="Hyperlink"/>
                  <w:i/>
                </w:rPr>
                <w:t>General Guideline: Data Collection Methods</w:t>
              </w:r>
            </w:hyperlink>
            <w:r w:rsidRPr="005D4222">
              <w:t xml:space="preserve"> for additional information. </w:t>
            </w:r>
          </w:p>
          <w:p w14:paraId="06AB43EB" w14:textId="77777777" w:rsidR="002E6A87" w:rsidRPr="005D4222" w:rsidRDefault="002E6A87" w:rsidP="00A53E8C">
            <w:pPr>
              <w:pStyle w:val="ECDSBody"/>
            </w:pPr>
            <w:r w:rsidRPr="005D4222">
              <w:rPr>
                <w:b/>
              </w:rPr>
              <w:t xml:space="preserve">Date specificity: </w:t>
            </w:r>
            <w:r w:rsidRPr="005D4222">
              <w:t>Dates must be specific enough to determine that the event occurred in the period being measured.</w:t>
            </w:r>
          </w:p>
          <w:p w14:paraId="73593FF9" w14:textId="77777777" w:rsidR="002E6A87" w:rsidRPr="005D4222" w:rsidRDefault="002E6A87" w:rsidP="00A53E8C">
            <w:pPr>
              <w:pStyle w:val="ECDSBody"/>
            </w:pPr>
            <w:r w:rsidRPr="005D4222">
              <w:rPr>
                <w:b/>
              </w:rPr>
              <w:t xml:space="preserve">Which services count? </w:t>
            </w:r>
            <w:r w:rsidRPr="005D4222">
              <w:t>When using claims, include all paid, suspended, pending and denied claims.</w:t>
            </w:r>
          </w:p>
          <w:p w14:paraId="41F816BD" w14:textId="77777777" w:rsidR="002E6A87" w:rsidRPr="005D4222" w:rsidRDefault="002E6A87" w:rsidP="00A53E8C">
            <w:pPr>
              <w:pStyle w:val="ECDSBody"/>
            </w:pPr>
            <w:r w:rsidRPr="005D4222">
              <w:rPr>
                <w:b/>
              </w:rPr>
              <w:t xml:space="preserve">Other guidance: </w:t>
            </w:r>
            <w:r w:rsidRPr="005D4222">
              <w:t>The measure is based on deliveries; therefore, it is possible for denominator to include multiple deliveries for the same person.</w:t>
            </w:r>
          </w:p>
        </w:tc>
      </w:tr>
      <w:tr w:rsidR="002E6A87" w:rsidRPr="005D4222" w14:paraId="7DE2C185" w14:textId="77777777" w:rsidTr="00A53E8C">
        <w:tc>
          <w:tcPr>
            <w:tcW w:w="9714" w:type="dxa"/>
            <w:gridSpan w:val="2"/>
            <w:tcBorders>
              <w:top w:val="single" w:sz="4" w:space="0" w:color="auto"/>
              <w:bottom w:val="nil"/>
            </w:tcBorders>
            <w:shd w:val="clear" w:color="auto" w:fill="BFBFBF" w:themeFill="background1" w:themeFillShade="BF"/>
            <w:tcMar>
              <w:top w:w="0" w:type="dxa"/>
              <w:left w:w="86" w:type="dxa"/>
              <w:bottom w:w="43" w:type="dxa"/>
              <w:right w:w="86" w:type="dxa"/>
            </w:tcMar>
          </w:tcPr>
          <w:p w14:paraId="71C717A3" w14:textId="77777777" w:rsidR="002E6A87" w:rsidRPr="005D4222" w:rsidRDefault="002E6A87" w:rsidP="00A53E8C">
            <w:pPr>
              <w:pStyle w:val="ECDSMarginHead"/>
            </w:pPr>
            <w:bookmarkStart w:id="432" w:name="Definitions"/>
            <w:r w:rsidRPr="005D4222">
              <w:t xml:space="preserve">Definitions </w:t>
            </w:r>
            <w:bookmarkEnd w:id="432"/>
          </w:p>
        </w:tc>
      </w:tr>
      <w:tr w:rsidR="002E6A87" w:rsidRPr="005D4222" w14:paraId="6B3C34DF" w14:textId="77777777" w:rsidTr="007B5FC3">
        <w:tc>
          <w:tcPr>
            <w:tcW w:w="2157" w:type="dxa"/>
            <w:tcBorders>
              <w:top w:val="single" w:sz="4" w:space="0" w:color="auto"/>
              <w:bottom w:val="single" w:sz="4" w:space="0" w:color="auto"/>
            </w:tcBorders>
            <w:tcMar>
              <w:top w:w="0" w:type="dxa"/>
              <w:left w:w="86" w:type="dxa"/>
              <w:bottom w:w="43" w:type="dxa"/>
              <w:right w:w="86" w:type="dxa"/>
            </w:tcMar>
          </w:tcPr>
          <w:p w14:paraId="7F270E83" w14:textId="77777777" w:rsidR="002E6A87" w:rsidRPr="005D4222" w:rsidRDefault="002E6A87" w:rsidP="00A145A2">
            <w:pPr>
              <w:pStyle w:val="ECDSSubhead"/>
            </w:pPr>
            <w:r w:rsidRPr="005D4222">
              <w:t>Pregnancy start date</w:t>
            </w:r>
          </w:p>
        </w:tc>
        <w:tc>
          <w:tcPr>
            <w:tcW w:w="7557" w:type="dxa"/>
            <w:tcBorders>
              <w:top w:val="single" w:sz="4" w:space="0" w:color="auto"/>
              <w:bottom w:val="single" w:sz="4" w:space="0" w:color="auto"/>
            </w:tcBorders>
            <w:tcMar>
              <w:left w:w="86" w:type="dxa"/>
              <w:bottom w:w="43" w:type="dxa"/>
              <w:right w:w="86" w:type="dxa"/>
            </w:tcMar>
          </w:tcPr>
          <w:p w14:paraId="1864B9E5" w14:textId="77777777" w:rsidR="002E6A87" w:rsidRPr="005D4222" w:rsidRDefault="002E6A87" w:rsidP="00A53E8C">
            <w:pPr>
              <w:pStyle w:val="ECDSBody"/>
              <w:rPr>
                <w:kern w:val="20"/>
                <w:highlight w:val="yellow"/>
              </w:rPr>
            </w:pPr>
            <w:r w:rsidRPr="005D4222">
              <w:t>Pregnancy start date is calculated by subtracting the gestational age (in weeks) at the time of delivery from the delivery date. Use the last gestational age assessment or diagnosis within 1 day of the delivery date.</w:t>
            </w:r>
          </w:p>
        </w:tc>
      </w:tr>
    </w:tbl>
    <w:p w14:paraId="7FC52F11" w14:textId="77777777" w:rsidR="002E6A87" w:rsidRPr="005D4222" w:rsidRDefault="002E6A87" w:rsidP="002E6A87"/>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2E6A87" w:rsidRPr="005D4222" w14:paraId="1E849204" w14:textId="77777777" w:rsidTr="007B5FC3">
        <w:tc>
          <w:tcPr>
            <w:tcW w:w="2157" w:type="dxa"/>
            <w:tcBorders>
              <w:top w:val="single" w:sz="4" w:space="0" w:color="auto"/>
              <w:bottom w:val="single" w:sz="4" w:space="0" w:color="auto"/>
            </w:tcBorders>
            <w:tcMar>
              <w:top w:w="0" w:type="dxa"/>
              <w:left w:w="86" w:type="dxa"/>
              <w:bottom w:w="43" w:type="dxa"/>
              <w:right w:w="86" w:type="dxa"/>
            </w:tcMar>
          </w:tcPr>
          <w:p w14:paraId="4AAB9A48" w14:textId="77777777" w:rsidR="002E6A87" w:rsidRPr="005D4222" w:rsidRDefault="002E6A87" w:rsidP="00A145A2">
            <w:pPr>
              <w:pStyle w:val="ECDSSubhead"/>
            </w:pPr>
            <w:r w:rsidRPr="005D4222">
              <w:lastRenderedPageBreak/>
              <w:t>Depression screening instrument</w:t>
            </w:r>
          </w:p>
        </w:tc>
        <w:tc>
          <w:tcPr>
            <w:tcW w:w="7557" w:type="dxa"/>
            <w:tcBorders>
              <w:top w:val="single" w:sz="4" w:space="0" w:color="auto"/>
              <w:bottom w:val="single" w:sz="4" w:space="0" w:color="auto"/>
            </w:tcBorders>
            <w:tcMar>
              <w:left w:w="86" w:type="dxa"/>
              <w:bottom w:w="43" w:type="dxa"/>
              <w:right w:w="86" w:type="dxa"/>
            </w:tcMar>
          </w:tcPr>
          <w:p w14:paraId="344AA6C8" w14:textId="77777777" w:rsidR="002E6A87" w:rsidRPr="005D4222" w:rsidRDefault="002E6A87" w:rsidP="00A53E8C">
            <w:pPr>
              <w:pStyle w:val="ECDSBody"/>
            </w:pPr>
            <w:r w:rsidRPr="005D4222">
              <w:t>A standard assessment instrument normalized and validated for the appropriate patient population. Eligible screening instruments with thresholds for positive findings include:</w:t>
            </w:r>
          </w:p>
          <w:tbl>
            <w:tblPr>
              <w:tblStyle w:val="TableGrid"/>
              <w:tblW w:w="5000" w:type="pct"/>
              <w:tblLayout w:type="fixed"/>
              <w:tblLook w:val="04A0" w:firstRow="1" w:lastRow="0" w:firstColumn="1" w:lastColumn="0" w:noHBand="0" w:noVBand="1"/>
            </w:tblPr>
            <w:tblGrid>
              <w:gridCol w:w="3971"/>
              <w:gridCol w:w="1674"/>
              <w:gridCol w:w="1730"/>
            </w:tblGrid>
            <w:tr w:rsidR="002E6A87" w:rsidRPr="005D4222" w14:paraId="47AECF89" w14:textId="77777777" w:rsidTr="00A53E8C">
              <w:tc>
                <w:tcPr>
                  <w:tcW w:w="5936" w:type="dxa"/>
                  <w:tcBorders>
                    <w:top w:val="single" w:sz="4" w:space="0" w:color="auto"/>
                    <w:left w:val="single" w:sz="4" w:space="0" w:color="auto"/>
                    <w:bottom w:val="single" w:sz="4" w:space="0" w:color="auto"/>
                    <w:right w:val="single" w:sz="4" w:space="0" w:color="FFFFFF" w:themeColor="background1"/>
                  </w:tcBorders>
                  <w:shd w:val="clear" w:color="auto" w:fill="000000" w:themeFill="text1"/>
                  <w:vAlign w:val="bottom"/>
                  <w:hideMark/>
                </w:tcPr>
                <w:p w14:paraId="2EED0C57" w14:textId="77777777" w:rsidR="002E6A87" w:rsidRPr="005D4222" w:rsidRDefault="002E6A87" w:rsidP="00A53E8C">
                  <w:pPr>
                    <w:pStyle w:val="TableHead"/>
                    <w:rPr>
                      <w:rFonts w:ascii="Arial" w:eastAsia="Arial" w:hAnsi="Arial" w:cs="Arial"/>
                      <w:sz w:val="20"/>
                    </w:rPr>
                  </w:pPr>
                  <w:r w:rsidRPr="005D4222">
                    <w:rPr>
                      <w:rFonts w:ascii="Arial" w:eastAsia="Arial" w:hAnsi="Arial" w:cs="Arial"/>
                      <w:sz w:val="20"/>
                    </w:rPr>
                    <w:t xml:space="preserve">Instruments for Adolescents </w:t>
                  </w:r>
                  <w:r w:rsidRPr="005D4222">
                    <w:rPr>
                      <w:rFonts w:ascii="Arial" w:eastAsia="Arial" w:hAnsi="Arial" w:cs="Arial"/>
                      <w:sz w:val="20"/>
                    </w:rPr>
                    <w:br/>
                    <w:t>(≤17 Years)</w:t>
                  </w:r>
                </w:p>
              </w:tc>
              <w:tc>
                <w:tcPr>
                  <w:tcW w:w="243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vAlign w:val="bottom"/>
                  <w:hideMark/>
                </w:tcPr>
                <w:p w14:paraId="56FF3C99" w14:textId="77777777" w:rsidR="002E6A87" w:rsidRPr="005D4222" w:rsidRDefault="002E6A87" w:rsidP="00A53E8C">
                  <w:pPr>
                    <w:pStyle w:val="TableHead"/>
                    <w:rPr>
                      <w:rFonts w:ascii="Arial" w:eastAsia="Arial" w:hAnsi="Arial" w:cs="Arial"/>
                      <w:sz w:val="20"/>
                    </w:rPr>
                  </w:pPr>
                  <w:r w:rsidRPr="005D4222">
                    <w:rPr>
                      <w:rFonts w:ascii="Arial" w:eastAsia="Arial" w:hAnsi="Arial" w:cs="Arial"/>
                      <w:sz w:val="20"/>
                    </w:rPr>
                    <w:t>Total Score LOINC Codes</w:t>
                  </w:r>
                </w:p>
              </w:tc>
              <w:tc>
                <w:tcPr>
                  <w:tcW w:w="2515" w:type="dxa"/>
                  <w:tcBorders>
                    <w:top w:val="single" w:sz="4" w:space="0" w:color="auto"/>
                    <w:left w:val="single" w:sz="4" w:space="0" w:color="FFFFFF" w:themeColor="background1"/>
                    <w:bottom w:val="single" w:sz="4" w:space="0" w:color="auto"/>
                    <w:right w:val="single" w:sz="4" w:space="0" w:color="auto"/>
                  </w:tcBorders>
                  <w:shd w:val="clear" w:color="auto" w:fill="000000" w:themeFill="text1"/>
                  <w:vAlign w:val="bottom"/>
                  <w:hideMark/>
                </w:tcPr>
                <w:p w14:paraId="18C48F01" w14:textId="77777777" w:rsidR="002E6A87" w:rsidRPr="005D4222" w:rsidRDefault="002E6A87" w:rsidP="00A53E8C">
                  <w:pPr>
                    <w:pStyle w:val="TableHead"/>
                    <w:rPr>
                      <w:rFonts w:ascii="Arial" w:eastAsia="Arial" w:hAnsi="Arial" w:cs="Arial"/>
                      <w:sz w:val="20"/>
                    </w:rPr>
                  </w:pPr>
                  <w:r w:rsidRPr="005D4222">
                    <w:rPr>
                      <w:rFonts w:ascii="Arial" w:eastAsia="Arial" w:hAnsi="Arial" w:cs="Arial"/>
                      <w:sz w:val="20"/>
                    </w:rPr>
                    <w:t>Positive Finding</w:t>
                  </w:r>
                </w:p>
              </w:tc>
            </w:tr>
            <w:tr w:rsidR="002E6A87" w:rsidRPr="005D4222" w14:paraId="17725483" w14:textId="77777777" w:rsidTr="00A53E8C">
              <w:tc>
                <w:tcPr>
                  <w:tcW w:w="5936" w:type="dxa"/>
                  <w:tcBorders>
                    <w:top w:val="single" w:sz="4" w:space="0" w:color="auto"/>
                    <w:left w:val="single" w:sz="4" w:space="0" w:color="auto"/>
                    <w:bottom w:val="single" w:sz="4" w:space="0" w:color="auto"/>
                    <w:right w:val="single" w:sz="4" w:space="0" w:color="auto"/>
                  </w:tcBorders>
                  <w:hideMark/>
                </w:tcPr>
                <w:p w14:paraId="185CA120"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Patient Health Questionnaire (PHQ-9)</w:t>
                  </w:r>
                  <w:r w:rsidRPr="005D4222">
                    <w:rPr>
                      <w:rFonts w:ascii="Arial" w:eastAsia="Arial" w:hAnsi="Arial" w:cs="Arial"/>
                      <w:sz w:val="20"/>
                      <w:szCs w:val="20"/>
                      <w:vertAlign w:val="superscript"/>
                    </w:rPr>
                    <w:t>®</w:t>
                  </w:r>
                </w:p>
              </w:tc>
              <w:tc>
                <w:tcPr>
                  <w:tcW w:w="2430" w:type="dxa"/>
                  <w:tcBorders>
                    <w:top w:val="single" w:sz="4" w:space="0" w:color="auto"/>
                    <w:left w:val="single" w:sz="4" w:space="0" w:color="auto"/>
                    <w:bottom w:val="single" w:sz="4" w:space="0" w:color="auto"/>
                    <w:right w:val="single" w:sz="4" w:space="0" w:color="auto"/>
                  </w:tcBorders>
                  <w:hideMark/>
                </w:tcPr>
                <w:p w14:paraId="349E00BF"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44261-6</w:t>
                  </w:r>
                </w:p>
              </w:tc>
              <w:tc>
                <w:tcPr>
                  <w:tcW w:w="2515" w:type="dxa"/>
                  <w:tcBorders>
                    <w:top w:val="single" w:sz="4" w:space="0" w:color="auto"/>
                    <w:left w:val="single" w:sz="4" w:space="0" w:color="auto"/>
                    <w:bottom w:val="single" w:sz="4" w:space="0" w:color="auto"/>
                    <w:right w:val="single" w:sz="4" w:space="0" w:color="auto"/>
                  </w:tcBorders>
                  <w:hideMark/>
                </w:tcPr>
                <w:p w14:paraId="2C8F7B1A"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Total score ≥10</w:t>
                  </w:r>
                </w:p>
              </w:tc>
            </w:tr>
            <w:tr w:rsidR="002E6A87" w:rsidRPr="005D4222" w14:paraId="2C9E505D" w14:textId="77777777" w:rsidTr="00A53E8C">
              <w:tc>
                <w:tcPr>
                  <w:tcW w:w="5936" w:type="dxa"/>
                  <w:tcBorders>
                    <w:top w:val="single" w:sz="4" w:space="0" w:color="auto"/>
                    <w:left w:val="single" w:sz="4" w:space="0" w:color="auto"/>
                    <w:bottom w:val="single" w:sz="4" w:space="0" w:color="auto"/>
                    <w:right w:val="single" w:sz="4" w:space="0" w:color="auto"/>
                  </w:tcBorders>
                  <w:hideMark/>
                </w:tcPr>
                <w:p w14:paraId="1820E4AF"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Patient Health Questionnaire Modified for Teens (PHQ- 9M)</w:t>
                  </w:r>
                  <w:r w:rsidRPr="005D4222">
                    <w:rPr>
                      <w:rFonts w:ascii="Arial" w:eastAsia="Arial" w:hAnsi="Arial" w:cs="Arial"/>
                      <w:sz w:val="20"/>
                      <w:szCs w:val="20"/>
                      <w:vertAlign w:val="superscript"/>
                    </w:rPr>
                    <w:t>®</w:t>
                  </w:r>
                </w:p>
              </w:tc>
              <w:tc>
                <w:tcPr>
                  <w:tcW w:w="2430" w:type="dxa"/>
                  <w:tcBorders>
                    <w:top w:val="single" w:sz="4" w:space="0" w:color="auto"/>
                    <w:left w:val="single" w:sz="4" w:space="0" w:color="auto"/>
                    <w:bottom w:val="single" w:sz="4" w:space="0" w:color="auto"/>
                    <w:right w:val="single" w:sz="4" w:space="0" w:color="auto"/>
                  </w:tcBorders>
                  <w:hideMark/>
                </w:tcPr>
                <w:p w14:paraId="40F1BECD"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89204-2</w:t>
                  </w:r>
                </w:p>
              </w:tc>
              <w:tc>
                <w:tcPr>
                  <w:tcW w:w="2515" w:type="dxa"/>
                  <w:tcBorders>
                    <w:top w:val="single" w:sz="4" w:space="0" w:color="auto"/>
                    <w:left w:val="single" w:sz="4" w:space="0" w:color="auto"/>
                    <w:bottom w:val="single" w:sz="4" w:space="0" w:color="auto"/>
                    <w:right w:val="single" w:sz="4" w:space="0" w:color="auto"/>
                  </w:tcBorders>
                  <w:hideMark/>
                </w:tcPr>
                <w:p w14:paraId="1531A547"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Total score ≥10</w:t>
                  </w:r>
                </w:p>
              </w:tc>
            </w:tr>
            <w:tr w:rsidR="002E6A87" w:rsidRPr="005D4222" w14:paraId="2B9BEDE2" w14:textId="77777777" w:rsidTr="00A53E8C">
              <w:tc>
                <w:tcPr>
                  <w:tcW w:w="5936" w:type="dxa"/>
                  <w:tcBorders>
                    <w:top w:val="single" w:sz="4" w:space="0" w:color="auto"/>
                    <w:left w:val="single" w:sz="4" w:space="0" w:color="auto"/>
                    <w:bottom w:val="single" w:sz="4" w:space="0" w:color="auto"/>
                    <w:right w:val="single" w:sz="4" w:space="0" w:color="auto"/>
                  </w:tcBorders>
                  <w:hideMark/>
                </w:tcPr>
                <w:p w14:paraId="507DC2C5"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 xml:space="preserve">Patient Health Questionnaire-2 </w:t>
                  </w:r>
                  <w:r w:rsidRPr="005D4222">
                    <w:rPr>
                      <w:rFonts w:ascii="Arial" w:eastAsia="Arial" w:hAnsi="Arial" w:cs="Arial"/>
                      <w:sz w:val="20"/>
                      <w:szCs w:val="20"/>
                    </w:rPr>
                    <w:br/>
                    <w:t>(PHQ-2)</w:t>
                  </w:r>
                  <w:r w:rsidRPr="005D4222">
                    <w:rPr>
                      <w:rFonts w:ascii="Arial" w:eastAsia="Arial" w:hAnsi="Arial" w:cs="Arial"/>
                      <w:sz w:val="20"/>
                      <w:szCs w:val="20"/>
                      <w:vertAlign w:val="superscript"/>
                    </w:rPr>
                    <w:t>®1</w:t>
                  </w:r>
                </w:p>
              </w:tc>
              <w:tc>
                <w:tcPr>
                  <w:tcW w:w="2430" w:type="dxa"/>
                  <w:tcBorders>
                    <w:top w:val="single" w:sz="4" w:space="0" w:color="auto"/>
                    <w:left w:val="single" w:sz="4" w:space="0" w:color="auto"/>
                    <w:bottom w:val="single" w:sz="4" w:space="0" w:color="auto"/>
                    <w:right w:val="single" w:sz="4" w:space="0" w:color="auto"/>
                  </w:tcBorders>
                  <w:hideMark/>
                </w:tcPr>
                <w:p w14:paraId="03A5E83F"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55758-7</w:t>
                  </w:r>
                </w:p>
              </w:tc>
              <w:tc>
                <w:tcPr>
                  <w:tcW w:w="2515" w:type="dxa"/>
                  <w:tcBorders>
                    <w:top w:val="single" w:sz="4" w:space="0" w:color="auto"/>
                    <w:left w:val="single" w:sz="4" w:space="0" w:color="auto"/>
                    <w:bottom w:val="single" w:sz="4" w:space="0" w:color="auto"/>
                    <w:right w:val="single" w:sz="4" w:space="0" w:color="auto"/>
                  </w:tcBorders>
                  <w:hideMark/>
                </w:tcPr>
                <w:p w14:paraId="0ECB62DA"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Total score ≥3</w:t>
                  </w:r>
                </w:p>
              </w:tc>
            </w:tr>
            <w:tr w:rsidR="002E6A87" w:rsidRPr="005D4222" w14:paraId="4CBE61FC" w14:textId="77777777" w:rsidTr="00A53E8C">
              <w:tc>
                <w:tcPr>
                  <w:tcW w:w="5936" w:type="dxa"/>
                  <w:tcBorders>
                    <w:top w:val="single" w:sz="4" w:space="0" w:color="auto"/>
                    <w:left w:val="single" w:sz="4" w:space="0" w:color="auto"/>
                    <w:bottom w:val="single" w:sz="4" w:space="0" w:color="auto"/>
                    <w:right w:val="single" w:sz="4" w:space="0" w:color="auto"/>
                  </w:tcBorders>
                  <w:hideMark/>
                </w:tcPr>
                <w:p w14:paraId="1801C2C8"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Beck Depression Inventory—Fast Screen (BDI-FS)</w:t>
                  </w:r>
                  <w:r w:rsidRPr="005D4222">
                    <w:rPr>
                      <w:rFonts w:ascii="Arial" w:eastAsia="Arial" w:hAnsi="Arial" w:cs="Arial"/>
                      <w:sz w:val="20"/>
                      <w:szCs w:val="20"/>
                      <w:vertAlign w:val="superscript"/>
                    </w:rPr>
                    <w:t>®1,2</w:t>
                  </w:r>
                </w:p>
              </w:tc>
              <w:tc>
                <w:tcPr>
                  <w:tcW w:w="2430" w:type="dxa"/>
                  <w:tcBorders>
                    <w:top w:val="single" w:sz="4" w:space="0" w:color="auto"/>
                    <w:left w:val="single" w:sz="4" w:space="0" w:color="auto"/>
                    <w:bottom w:val="single" w:sz="4" w:space="0" w:color="auto"/>
                    <w:right w:val="single" w:sz="4" w:space="0" w:color="auto"/>
                  </w:tcBorders>
                  <w:hideMark/>
                </w:tcPr>
                <w:p w14:paraId="169A37AB"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89208-3</w:t>
                  </w:r>
                </w:p>
              </w:tc>
              <w:tc>
                <w:tcPr>
                  <w:tcW w:w="2515" w:type="dxa"/>
                  <w:tcBorders>
                    <w:top w:val="single" w:sz="4" w:space="0" w:color="auto"/>
                    <w:left w:val="single" w:sz="4" w:space="0" w:color="auto"/>
                    <w:bottom w:val="single" w:sz="4" w:space="0" w:color="auto"/>
                    <w:right w:val="single" w:sz="4" w:space="0" w:color="auto"/>
                  </w:tcBorders>
                  <w:hideMark/>
                </w:tcPr>
                <w:p w14:paraId="355659C3"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Total score ≥8</w:t>
                  </w:r>
                </w:p>
              </w:tc>
            </w:tr>
            <w:tr w:rsidR="002E6A87" w:rsidRPr="005D4222" w14:paraId="087E05B6" w14:textId="77777777" w:rsidTr="00A53E8C">
              <w:tc>
                <w:tcPr>
                  <w:tcW w:w="5936" w:type="dxa"/>
                  <w:tcBorders>
                    <w:top w:val="single" w:sz="4" w:space="0" w:color="auto"/>
                    <w:left w:val="single" w:sz="4" w:space="0" w:color="auto"/>
                    <w:bottom w:val="single" w:sz="4" w:space="0" w:color="auto"/>
                    <w:right w:val="single" w:sz="4" w:space="0" w:color="auto"/>
                  </w:tcBorders>
                  <w:hideMark/>
                </w:tcPr>
                <w:p w14:paraId="3EC1D9B6"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Center for Epidemiologic Studies Depression Scale—Revised (CESD-R)</w:t>
                  </w:r>
                </w:p>
              </w:tc>
              <w:tc>
                <w:tcPr>
                  <w:tcW w:w="2430" w:type="dxa"/>
                  <w:tcBorders>
                    <w:top w:val="single" w:sz="4" w:space="0" w:color="auto"/>
                    <w:left w:val="single" w:sz="4" w:space="0" w:color="auto"/>
                    <w:bottom w:val="single" w:sz="4" w:space="0" w:color="auto"/>
                    <w:right w:val="single" w:sz="4" w:space="0" w:color="auto"/>
                  </w:tcBorders>
                  <w:hideMark/>
                </w:tcPr>
                <w:p w14:paraId="2DC9FACD"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89205-9</w:t>
                  </w:r>
                </w:p>
              </w:tc>
              <w:tc>
                <w:tcPr>
                  <w:tcW w:w="2515" w:type="dxa"/>
                  <w:tcBorders>
                    <w:top w:val="single" w:sz="4" w:space="0" w:color="auto"/>
                    <w:left w:val="single" w:sz="4" w:space="0" w:color="auto"/>
                    <w:bottom w:val="single" w:sz="4" w:space="0" w:color="auto"/>
                    <w:right w:val="single" w:sz="4" w:space="0" w:color="auto"/>
                  </w:tcBorders>
                  <w:hideMark/>
                </w:tcPr>
                <w:p w14:paraId="38A76297"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Total score ≥17</w:t>
                  </w:r>
                </w:p>
              </w:tc>
            </w:tr>
            <w:tr w:rsidR="002E6A87" w:rsidRPr="005D4222" w14:paraId="3B2E9038" w14:textId="77777777" w:rsidTr="00A53E8C">
              <w:tc>
                <w:tcPr>
                  <w:tcW w:w="5936" w:type="dxa"/>
                  <w:tcBorders>
                    <w:top w:val="single" w:sz="4" w:space="0" w:color="auto"/>
                    <w:left w:val="single" w:sz="4" w:space="0" w:color="auto"/>
                    <w:bottom w:val="single" w:sz="4" w:space="0" w:color="auto"/>
                    <w:right w:val="single" w:sz="4" w:space="0" w:color="auto"/>
                  </w:tcBorders>
                  <w:hideMark/>
                </w:tcPr>
                <w:p w14:paraId="65ADDC33"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Edinburgh Postnatal Depression Scale (EPDS)</w:t>
                  </w:r>
                </w:p>
              </w:tc>
              <w:tc>
                <w:tcPr>
                  <w:tcW w:w="2430" w:type="dxa"/>
                  <w:tcBorders>
                    <w:top w:val="single" w:sz="4" w:space="0" w:color="auto"/>
                    <w:left w:val="single" w:sz="4" w:space="0" w:color="auto"/>
                    <w:bottom w:val="single" w:sz="4" w:space="0" w:color="auto"/>
                    <w:right w:val="single" w:sz="4" w:space="0" w:color="auto"/>
                  </w:tcBorders>
                  <w:hideMark/>
                </w:tcPr>
                <w:p w14:paraId="59E57C7F" w14:textId="77777777" w:rsidR="002E6A87" w:rsidRPr="005D4222" w:rsidRDefault="002E6A87" w:rsidP="00A53E8C">
                  <w:pPr>
                    <w:pStyle w:val="TableText"/>
                    <w:rPr>
                      <w:rFonts w:ascii="Arial" w:eastAsia="Arial" w:hAnsi="Arial" w:cs="Arial"/>
                      <w:sz w:val="20"/>
                      <w:szCs w:val="20"/>
                    </w:rPr>
                  </w:pPr>
                  <w:r w:rsidRPr="005D4222">
                    <w:rPr>
                      <w:rFonts w:ascii="Arial" w:hAnsi="Arial" w:cs="Arial"/>
                      <w:sz w:val="20"/>
                      <w:szCs w:val="20"/>
                    </w:rPr>
                    <w:t>99046-5</w:t>
                  </w:r>
                </w:p>
              </w:tc>
              <w:tc>
                <w:tcPr>
                  <w:tcW w:w="2515" w:type="dxa"/>
                  <w:tcBorders>
                    <w:top w:val="single" w:sz="4" w:space="0" w:color="auto"/>
                    <w:left w:val="single" w:sz="4" w:space="0" w:color="auto"/>
                    <w:bottom w:val="single" w:sz="4" w:space="0" w:color="auto"/>
                    <w:right w:val="single" w:sz="4" w:space="0" w:color="auto"/>
                  </w:tcBorders>
                  <w:hideMark/>
                </w:tcPr>
                <w:p w14:paraId="53E60A86"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Total score ≥10</w:t>
                  </w:r>
                </w:p>
              </w:tc>
            </w:tr>
            <w:tr w:rsidR="002E6A87" w:rsidRPr="005D4222" w14:paraId="5E1A70CD" w14:textId="77777777" w:rsidTr="00A53E8C">
              <w:tc>
                <w:tcPr>
                  <w:tcW w:w="5936" w:type="dxa"/>
                  <w:tcBorders>
                    <w:top w:val="single" w:sz="4" w:space="0" w:color="auto"/>
                    <w:left w:val="single" w:sz="4" w:space="0" w:color="auto"/>
                    <w:bottom w:val="single" w:sz="4" w:space="0" w:color="auto"/>
                    <w:right w:val="single" w:sz="4" w:space="0" w:color="auto"/>
                  </w:tcBorders>
                  <w:hideMark/>
                </w:tcPr>
                <w:p w14:paraId="045F9082"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PROMIS Depression</w:t>
                  </w:r>
                </w:p>
              </w:tc>
              <w:tc>
                <w:tcPr>
                  <w:tcW w:w="2430" w:type="dxa"/>
                  <w:tcBorders>
                    <w:top w:val="single" w:sz="4" w:space="0" w:color="auto"/>
                    <w:left w:val="single" w:sz="4" w:space="0" w:color="auto"/>
                    <w:bottom w:val="single" w:sz="4" w:space="0" w:color="auto"/>
                    <w:right w:val="single" w:sz="4" w:space="0" w:color="auto"/>
                  </w:tcBorders>
                  <w:hideMark/>
                </w:tcPr>
                <w:p w14:paraId="61378EBC"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71965-8</w:t>
                  </w:r>
                </w:p>
              </w:tc>
              <w:tc>
                <w:tcPr>
                  <w:tcW w:w="2515" w:type="dxa"/>
                  <w:tcBorders>
                    <w:top w:val="single" w:sz="4" w:space="0" w:color="auto"/>
                    <w:left w:val="single" w:sz="4" w:space="0" w:color="auto"/>
                    <w:bottom w:val="single" w:sz="4" w:space="0" w:color="auto"/>
                    <w:right w:val="single" w:sz="4" w:space="0" w:color="auto"/>
                  </w:tcBorders>
                  <w:hideMark/>
                </w:tcPr>
                <w:p w14:paraId="2B6BB563"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 xml:space="preserve">Total score </w:t>
                  </w:r>
                  <w:r w:rsidRPr="005D4222">
                    <w:rPr>
                      <w:rFonts w:ascii="Arial" w:eastAsia="Arial" w:hAnsi="Arial" w:cs="Arial"/>
                      <w:sz w:val="20"/>
                      <w:szCs w:val="20"/>
                    </w:rPr>
                    <w:br/>
                    <w:t>(T Score) ≥60</w:t>
                  </w:r>
                </w:p>
              </w:tc>
            </w:tr>
          </w:tbl>
          <w:p w14:paraId="37666082" w14:textId="77777777" w:rsidR="002E6A87" w:rsidRPr="005D4222" w:rsidRDefault="002E6A87" w:rsidP="00A53E8C">
            <w:pPr>
              <w:pStyle w:val="TableText"/>
              <w:spacing w:after="40"/>
              <w:rPr>
                <w:rFonts w:ascii="Arial" w:eastAsia="Arial" w:hAnsi="Arial" w:cs="Arial"/>
                <w:sz w:val="18"/>
                <w:szCs w:val="18"/>
              </w:rPr>
            </w:pPr>
            <w:r w:rsidRPr="005D4222">
              <w:rPr>
                <w:rFonts w:ascii="Arial" w:eastAsia="Arial" w:hAnsi="Arial" w:cs="Arial"/>
                <w:sz w:val="18"/>
                <w:szCs w:val="18"/>
                <w:vertAlign w:val="superscript"/>
              </w:rPr>
              <w:t>1</w:t>
            </w:r>
            <w:r w:rsidRPr="005D4222">
              <w:rPr>
                <w:rFonts w:ascii="Arial" w:eastAsia="Arial" w:hAnsi="Arial" w:cs="Arial"/>
                <w:sz w:val="18"/>
                <w:szCs w:val="18"/>
              </w:rPr>
              <w:t>Brief screening instrument. All other instruments are full-length.</w:t>
            </w:r>
          </w:p>
          <w:p w14:paraId="6D91349D" w14:textId="77777777" w:rsidR="002E6A87" w:rsidRPr="005D4222" w:rsidRDefault="002E6A87" w:rsidP="00A53E8C">
            <w:pPr>
              <w:pStyle w:val="TableText"/>
              <w:spacing w:before="0" w:after="240"/>
              <w:rPr>
                <w:rFonts w:ascii="Arial" w:hAnsi="Arial" w:cs="Arial"/>
                <w:b/>
                <w:sz w:val="18"/>
                <w:szCs w:val="18"/>
              </w:rPr>
            </w:pPr>
            <w:r w:rsidRPr="005D4222">
              <w:rPr>
                <w:rFonts w:ascii="Arial" w:hAnsi="Arial" w:cs="Arial"/>
                <w:sz w:val="18"/>
                <w:szCs w:val="18"/>
                <w:vertAlign w:val="superscript"/>
              </w:rPr>
              <w:t>2</w:t>
            </w:r>
            <w:r w:rsidRPr="005D4222">
              <w:rPr>
                <w:rFonts w:ascii="Arial" w:hAnsi="Arial" w:cs="Arial"/>
                <w:sz w:val="18"/>
                <w:szCs w:val="18"/>
              </w:rPr>
              <w:t>Proprietary; there may be a cost or licensing requirement associated with use.</w:t>
            </w:r>
          </w:p>
          <w:tbl>
            <w:tblPr>
              <w:tblStyle w:val="TableGrid"/>
              <w:tblW w:w="5000" w:type="pct"/>
              <w:tblLayout w:type="fixed"/>
              <w:tblLook w:val="04A0" w:firstRow="1" w:lastRow="0" w:firstColumn="1" w:lastColumn="0" w:noHBand="0" w:noVBand="1"/>
            </w:tblPr>
            <w:tblGrid>
              <w:gridCol w:w="3971"/>
              <w:gridCol w:w="1674"/>
              <w:gridCol w:w="1730"/>
            </w:tblGrid>
            <w:tr w:rsidR="002E6A87" w:rsidRPr="005D4222" w14:paraId="1B184C3C" w14:textId="77777777" w:rsidTr="00A53E8C">
              <w:tc>
                <w:tcPr>
                  <w:tcW w:w="5936" w:type="dxa"/>
                  <w:tcBorders>
                    <w:top w:val="single" w:sz="4" w:space="0" w:color="auto"/>
                    <w:left w:val="single" w:sz="4" w:space="0" w:color="auto"/>
                    <w:bottom w:val="single" w:sz="4" w:space="0" w:color="auto"/>
                    <w:right w:val="single" w:sz="4" w:space="0" w:color="FFFFFF" w:themeColor="background1"/>
                  </w:tcBorders>
                  <w:shd w:val="clear" w:color="auto" w:fill="000000" w:themeFill="text1"/>
                  <w:vAlign w:val="bottom"/>
                  <w:hideMark/>
                </w:tcPr>
                <w:p w14:paraId="769C5F9F" w14:textId="77777777" w:rsidR="002E6A87" w:rsidRPr="005D4222" w:rsidRDefault="002E6A87" w:rsidP="00A53E8C">
                  <w:pPr>
                    <w:pStyle w:val="TableHead"/>
                    <w:rPr>
                      <w:rFonts w:ascii="Arial" w:eastAsia="Arial" w:hAnsi="Arial" w:cs="Arial"/>
                      <w:sz w:val="20"/>
                    </w:rPr>
                  </w:pPr>
                  <w:r w:rsidRPr="005D4222">
                    <w:rPr>
                      <w:rFonts w:ascii="Arial" w:eastAsia="Arial" w:hAnsi="Arial" w:cs="Arial"/>
                      <w:sz w:val="20"/>
                    </w:rPr>
                    <w:t>Instruments for Adults (18+ Years)</w:t>
                  </w:r>
                </w:p>
              </w:tc>
              <w:tc>
                <w:tcPr>
                  <w:tcW w:w="243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vAlign w:val="bottom"/>
                  <w:hideMark/>
                </w:tcPr>
                <w:p w14:paraId="680D48E0" w14:textId="77777777" w:rsidR="002E6A87" w:rsidRPr="005D4222" w:rsidRDefault="002E6A87" w:rsidP="00A53E8C">
                  <w:pPr>
                    <w:pStyle w:val="TableHead"/>
                    <w:rPr>
                      <w:rFonts w:ascii="Arial" w:eastAsia="Arial" w:hAnsi="Arial" w:cs="Arial"/>
                      <w:sz w:val="20"/>
                    </w:rPr>
                  </w:pPr>
                  <w:r w:rsidRPr="005D4222">
                    <w:rPr>
                      <w:rFonts w:ascii="Arial" w:eastAsia="Arial" w:hAnsi="Arial" w:cs="Arial"/>
                      <w:sz w:val="20"/>
                    </w:rPr>
                    <w:t>Total Score LOINC Codes</w:t>
                  </w:r>
                </w:p>
              </w:tc>
              <w:tc>
                <w:tcPr>
                  <w:tcW w:w="2515" w:type="dxa"/>
                  <w:tcBorders>
                    <w:top w:val="single" w:sz="4" w:space="0" w:color="auto"/>
                    <w:left w:val="single" w:sz="4" w:space="0" w:color="FFFFFF" w:themeColor="background1"/>
                    <w:bottom w:val="single" w:sz="4" w:space="0" w:color="auto"/>
                    <w:right w:val="single" w:sz="4" w:space="0" w:color="auto"/>
                  </w:tcBorders>
                  <w:shd w:val="clear" w:color="auto" w:fill="000000" w:themeFill="text1"/>
                  <w:vAlign w:val="bottom"/>
                  <w:hideMark/>
                </w:tcPr>
                <w:p w14:paraId="60B1ABCA" w14:textId="77777777" w:rsidR="002E6A87" w:rsidRPr="005D4222" w:rsidRDefault="002E6A87" w:rsidP="00A53E8C">
                  <w:pPr>
                    <w:pStyle w:val="TableHead"/>
                    <w:rPr>
                      <w:rFonts w:ascii="Arial" w:eastAsia="Arial" w:hAnsi="Arial" w:cs="Arial"/>
                      <w:sz w:val="20"/>
                    </w:rPr>
                  </w:pPr>
                  <w:r w:rsidRPr="005D4222">
                    <w:rPr>
                      <w:rFonts w:ascii="Arial" w:eastAsia="Arial" w:hAnsi="Arial" w:cs="Arial"/>
                      <w:sz w:val="20"/>
                    </w:rPr>
                    <w:t>Positive Finding</w:t>
                  </w:r>
                </w:p>
              </w:tc>
            </w:tr>
            <w:tr w:rsidR="002E6A87" w:rsidRPr="005D4222" w14:paraId="13455C3D" w14:textId="77777777" w:rsidTr="00A53E8C">
              <w:tc>
                <w:tcPr>
                  <w:tcW w:w="5936" w:type="dxa"/>
                  <w:tcBorders>
                    <w:top w:val="single" w:sz="4" w:space="0" w:color="auto"/>
                    <w:left w:val="single" w:sz="4" w:space="0" w:color="auto"/>
                    <w:bottom w:val="single" w:sz="4" w:space="0" w:color="auto"/>
                    <w:right w:val="single" w:sz="4" w:space="0" w:color="auto"/>
                  </w:tcBorders>
                  <w:hideMark/>
                </w:tcPr>
                <w:p w14:paraId="0E316A33"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Patient Health Questionnaire (PHQ-9)</w:t>
                  </w:r>
                  <w:r w:rsidRPr="005D4222">
                    <w:rPr>
                      <w:rFonts w:ascii="Arial" w:eastAsia="Arial" w:hAnsi="Arial" w:cs="Arial"/>
                      <w:sz w:val="20"/>
                      <w:szCs w:val="20"/>
                      <w:vertAlign w:val="superscript"/>
                    </w:rPr>
                    <w:t>®</w:t>
                  </w:r>
                </w:p>
              </w:tc>
              <w:tc>
                <w:tcPr>
                  <w:tcW w:w="2430" w:type="dxa"/>
                  <w:tcBorders>
                    <w:top w:val="single" w:sz="4" w:space="0" w:color="auto"/>
                    <w:left w:val="single" w:sz="4" w:space="0" w:color="auto"/>
                    <w:bottom w:val="single" w:sz="4" w:space="0" w:color="auto"/>
                    <w:right w:val="single" w:sz="4" w:space="0" w:color="auto"/>
                  </w:tcBorders>
                  <w:hideMark/>
                </w:tcPr>
                <w:p w14:paraId="18C3D62F"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44261-6</w:t>
                  </w:r>
                </w:p>
              </w:tc>
              <w:tc>
                <w:tcPr>
                  <w:tcW w:w="2515" w:type="dxa"/>
                  <w:tcBorders>
                    <w:top w:val="single" w:sz="4" w:space="0" w:color="auto"/>
                    <w:left w:val="single" w:sz="4" w:space="0" w:color="auto"/>
                    <w:bottom w:val="single" w:sz="4" w:space="0" w:color="auto"/>
                    <w:right w:val="single" w:sz="4" w:space="0" w:color="auto"/>
                  </w:tcBorders>
                  <w:hideMark/>
                </w:tcPr>
                <w:p w14:paraId="2BFC90A2"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Total score ≥10</w:t>
                  </w:r>
                </w:p>
              </w:tc>
            </w:tr>
            <w:tr w:rsidR="002E6A87" w:rsidRPr="005D4222" w14:paraId="4176DA77" w14:textId="77777777" w:rsidTr="00A53E8C">
              <w:tc>
                <w:tcPr>
                  <w:tcW w:w="5936" w:type="dxa"/>
                  <w:tcBorders>
                    <w:top w:val="single" w:sz="4" w:space="0" w:color="auto"/>
                    <w:left w:val="single" w:sz="4" w:space="0" w:color="auto"/>
                    <w:bottom w:val="single" w:sz="4" w:space="0" w:color="auto"/>
                    <w:right w:val="single" w:sz="4" w:space="0" w:color="auto"/>
                  </w:tcBorders>
                  <w:hideMark/>
                </w:tcPr>
                <w:p w14:paraId="66F04B47"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 xml:space="preserve">Patient Health Questionnaire-2 </w:t>
                  </w:r>
                  <w:r w:rsidRPr="005D4222">
                    <w:rPr>
                      <w:rFonts w:ascii="Arial" w:eastAsia="Arial" w:hAnsi="Arial" w:cs="Arial"/>
                      <w:sz w:val="20"/>
                      <w:szCs w:val="20"/>
                    </w:rPr>
                    <w:br/>
                    <w:t>(PHQ-2)</w:t>
                  </w:r>
                  <w:r w:rsidRPr="005D4222">
                    <w:rPr>
                      <w:rFonts w:ascii="Arial" w:eastAsia="Arial" w:hAnsi="Arial" w:cs="Arial"/>
                      <w:sz w:val="20"/>
                      <w:szCs w:val="20"/>
                      <w:vertAlign w:val="superscript"/>
                    </w:rPr>
                    <w:t>®1</w:t>
                  </w:r>
                </w:p>
              </w:tc>
              <w:tc>
                <w:tcPr>
                  <w:tcW w:w="2430" w:type="dxa"/>
                  <w:tcBorders>
                    <w:top w:val="single" w:sz="4" w:space="0" w:color="auto"/>
                    <w:left w:val="single" w:sz="4" w:space="0" w:color="auto"/>
                    <w:bottom w:val="single" w:sz="4" w:space="0" w:color="auto"/>
                    <w:right w:val="single" w:sz="4" w:space="0" w:color="auto"/>
                  </w:tcBorders>
                  <w:hideMark/>
                </w:tcPr>
                <w:p w14:paraId="2B84C8B2"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55758-7</w:t>
                  </w:r>
                </w:p>
              </w:tc>
              <w:tc>
                <w:tcPr>
                  <w:tcW w:w="2515" w:type="dxa"/>
                  <w:tcBorders>
                    <w:top w:val="single" w:sz="4" w:space="0" w:color="auto"/>
                    <w:left w:val="single" w:sz="4" w:space="0" w:color="auto"/>
                    <w:bottom w:val="single" w:sz="4" w:space="0" w:color="auto"/>
                    <w:right w:val="single" w:sz="4" w:space="0" w:color="auto"/>
                  </w:tcBorders>
                  <w:hideMark/>
                </w:tcPr>
                <w:p w14:paraId="20142FB4"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Total score ≥3</w:t>
                  </w:r>
                </w:p>
              </w:tc>
            </w:tr>
            <w:tr w:rsidR="002E6A87" w:rsidRPr="005D4222" w14:paraId="4543ECEF" w14:textId="77777777" w:rsidTr="00A53E8C">
              <w:tc>
                <w:tcPr>
                  <w:tcW w:w="5936" w:type="dxa"/>
                  <w:tcBorders>
                    <w:top w:val="single" w:sz="4" w:space="0" w:color="auto"/>
                    <w:left w:val="single" w:sz="4" w:space="0" w:color="auto"/>
                    <w:bottom w:val="single" w:sz="4" w:space="0" w:color="auto"/>
                    <w:right w:val="single" w:sz="4" w:space="0" w:color="auto"/>
                  </w:tcBorders>
                  <w:hideMark/>
                </w:tcPr>
                <w:p w14:paraId="07A7EB6A"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Beck Depression Inventory—Fast Screen (BDI-FS)</w:t>
                  </w:r>
                  <w:r w:rsidRPr="005D4222">
                    <w:rPr>
                      <w:rFonts w:ascii="Arial" w:eastAsia="Arial" w:hAnsi="Arial" w:cs="Arial"/>
                      <w:sz w:val="20"/>
                      <w:szCs w:val="20"/>
                      <w:vertAlign w:val="superscript"/>
                    </w:rPr>
                    <w:t>®1,2</w:t>
                  </w:r>
                </w:p>
              </w:tc>
              <w:tc>
                <w:tcPr>
                  <w:tcW w:w="2430" w:type="dxa"/>
                  <w:tcBorders>
                    <w:top w:val="single" w:sz="4" w:space="0" w:color="auto"/>
                    <w:left w:val="single" w:sz="4" w:space="0" w:color="auto"/>
                    <w:bottom w:val="single" w:sz="4" w:space="0" w:color="auto"/>
                    <w:right w:val="single" w:sz="4" w:space="0" w:color="auto"/>
                  </w:tcBorders>
                  <w:hideMark/>
                </w:tcPr>
                <w:p w14:paraId="4FFEEF5D"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89208-3</w:t>
                  </w:r>
                </w:p>
              </w:tc>
              <w:tc>
                <w:tcPr>
                  <w:tcW w:w="2515" w:type="dxa"/>
                  <w:tcBorders>
                    <w:top w:val="single" w:sz="4" w:space="0" w:color="auto"/>
                    <w:left w:val="single" w:sz="4" w:space="0" w:color="auto"/>
                    <w:bottom w:val="single" w:sz="4" w:space="0" w:color="auto"/>
                    <w:right w:val="single" w:sz="4" w:space="0" w:color="auto"/>
                  </w:tcBorders>
                  <w:hideMark/>
                </w:tcPr>
                <w:p w14:paraId="0231A2EC"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Total score ≥8</w:t>
                  </w:r>
                </w:p>
              </w:tc>
            </w:tr>
            <w:tr w:rsidR="002E6A87" w:rsidRPr="005D4222" w14:paraId="690E65B4" w14:textId="77777777" w:rsidTr="00A53E8C">
              <w:tc>
                <w:tcPr>
                  <w:tcW w:w="5936" w:type="dxa"/>
                  <w:tcBorders>
                    <w:top w:val="single" w:sz="4" w:space="0" w:color="auto"/>
                    <w:left w:val="single" w:sz="4" w:space="0" w:color="auto"/>
                    <w:bottom w:val="single" w:sz="4" w:space="0" w:color="auto"/>
                    <w:right w:val="single" w:sz="4" w:space="0" w:color="auto"/>
                  </w:tcBorders>
                  <w:hideMark/>
                </w:tcPr>
                <w:p w14:paraId="59E56551"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Beck Depression Inventory (BDI-II)</w:t>
                  </w:r>
                </w:p>
              </w:tc>
              <w:tc>
                <w:tcPr>
                  <w:tcW w:w="2430" w:type="dxa"/>
                  <w:tcBorders>
                    <w:top w:val="single" w:sz="4" w:space="0" w:color="auto"/>
                    <w:left w:val="single" w:sz="4" w:space="0" w:color="auto"/>
                    <w:bottom w:val="single" w:sz="4" w:space="0" w:color="auto"/>
                    <w:right w:val="single" w:sz="4" w:space="0" w:color="auto"/>
                  </w:tcBorders>
                  <w:hideMark/>
                </w:tcPr>
                <w:p w14:paraId="506CB2C3"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89209-1</w:t>
                  </w:r>
                </w:p>
              </w:tc>
              <w:tc>
                <w:tcPr>
                  <w:tcW w:w="2515" w:type="dxa"/>
                  <w:tcBorders>
                    <w:top w:val="single" w:sz="4" w:space="0" w:color="auto"/>
                    <w:left w:val="single" w:sz="4" w:space="0" w:color="auto"/>
                    <w:bottom w:val="single" w:sz="4" w:space="0" w:color="auto"/>
                    <w:right w:val="single" w:sz="4" w:space="0" w:color="auto"/>
                  </w:tcBorders>
                  <w:hideMark/>
                </w:tcPr>
                <w:p w14:paraId="7512B09D"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Total score ≥20</w:t>
                  </w:r>
                </w:p>
              </w:tc>
            </w:tr>
            <w:tr w:rsidR="002E6A87" w:rsidRPr="005D4222" w14:paraId="6984A65B" w14:textId="77777777" w:rsidTr="00A53E8C">
              <w:tc>
                <w:tcPr>
                  <w:tcW w:w="5936" w:type="dxa"/>
                  <w:tcBorders>
                    <w:top w:val="single" w:sz="4" w:space="0" w:color="auto"/>
                    <w:left w:val="single" w:sz="4" w:space="0" w:color="auto"/>
                    <w:bottom w:val="single" w:sz="4" w:space="0" w:color="auto"/>
                    <w:right w:val="single" w:sz="4" w:space="0" w:color="auto"/>
                  </w:tcBorders>
                  <w:hideMark/>
                </w:tcPr>
                <w:p w14:paraId="68608F2B"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Center for Epidemiologic Studies Depression Scale—Revised (CESD-R)</w:t>
                  </w:r>
                </w:p>
              </w:tc>
              <w:tc>
                <w:tcPr>
                  <w:tcW w:w="2430" w:type="dxa"/>
                  <w:tcBorders>
                    <w:top w:val="single" w:sz="4" w:space="0" w:color="auto"/>
                    <w:left w:val="single" w:sz="4" w:space="0" w:color="auto"/>
                    <w:bottom w:val="single" w:sz="4" w:space="0" w:color="auto"/>
                    <w:right w:val="single" w:sz="4" w:space="0" w:color="auto"/>
                  </w:tcBorders>
                  <w:hideMark/>
                </w:tcPr>
                <w:p w14:paraId="5B614A39"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89205-9</w:t>
                  </w:r>
                </w:p>
              </w:tc>
              <w:tc>
                <w:tcPr>
                  <w:tcW w:w="2515" w:type="dxa"/>
                  <w:tcBorders>
                    <w:top w:val="single" w:sz="4" w:space="0" w:color="auto"/>
                    <w:left w:val="single" w:sz="4" w:space="0" w:color="auto"/>
                    <w:bottom w:val="single" w:sz="4" w:space="0" w:color="auto"/>
                    <w:right w:val="single" w:sz="4" w:space="0" w:color="auto"/>
                  </w:tcBorders>
                  <w:hideMark/>
                </w:tcPr>
                <w:p w14:paraId="3E69523C"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Total score ≥17</w:t>
                  </w:r>
                </w:p>
              </w:tc>
            </w:tr>
            <w:tr w:rsidR="002E6A87" w:rsidRPr="005D4222" w14:paraId="1219DA06" w14:textId="77777777" w:rsidTr="00A53E8C">
              <w:tc>
                <w:tcPr>
                  <w:tcW w:w="5936" w:type="dxa"/>
                  <w:tcBorders>
                    <w:top w:val="single" w:sz="4" w:space="0" w:color="auto"/>
                    <w:left w:val="single" w:sz="4" w:space="0" w:color="auto"/>
                    <w:bottom w:val="single" w:sz="4" w:space="0" w:color="auto"/>
                    <w:right w:val="single" w:sz="4" w:space="0" w:color="auto"/>
                  </w:tcBorders>
                  <w:hideMark/>
                </w:tcPr>
                <w:p w14:paraId="20EED3BE"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 xml:space="preserve">Duke Anxiety-Depression Scale </w:t>
                  </w:r>
                  <w:r w:rsidRPr="005D4222">
                    <w:rPr>
                      <w:rFonts w:ascii="Arial" w:eastAsia="Arial" w:hAnsi="Arial" w:cs="Arial"/>
                      <w:sz w:val="20"/>
                      <w:szCs w:val="20"/>
                    </w:rPr>
                    <w:br/>
                    <w:t>(DUKE-AD)</w:t>
                  </w:r>
                  <w:r w:rsidRPr="005D4222">
                    <w:rPr>
                      <w:rFonts w:ascii="Arial" w:eastAsia="Arial" w:hAnsi="Arial" w:cs="Arial"/>
                      <w:sz w:val="20"/>
                      <w:szCs w:val="20"/>
                      <w:vertAlign w:val="superscript"/>
                    </w:rPr>
                    <w:t>®2</w:t>
                  </w:r>
                </w:p>
              </w:tc>
              <w:tc>
                <w:tcPr>
                  <w:tcW w:w="2430" w:type="dxa"/>
                  <w:tcBorders>
                    <w:top w:val="single" w:sz="4" w:space="0" w:color="auto"/>
                    <w:left w:val="single" w:sz="4" w:space="0" w:color="auto"/>
                    <w:bottom w:val="single" w:sz="4" w:space="0" w:color="auto"/>
                    <w:right w:val="single" w:sz="4" w:space="0" w:color="auto"/>
                  </w:tcBorders>
                  <w:hideMark/>
                </w:tcPr>
                <w:p w14:paraId="053DDBF8"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90853-3</w:t>
                  </w:r>
                </w:p>
              </w:tc>
              <w:tc>
                <w:tcPr>
                  <w:tcW w:w="2515" w:type="dxa"/>
                  <w:tcBorders>
                    <w:top w:val="single" w:sz="4" w:space="0" w:color="auto"/>
                    <w:left w:val="single" w:sz="4" w:space="0" w:color="auto"/>
                    <w:bottom w:val="single" w:sz="4" w:space="0" w:color="auto"/>
                    <w:right w:val="single" w:sz="4" w:space="0" w:color="auto"/>
                  </w:tcBorders>
                  <w:hideMark/>
                </w:tcPr>
                <w:p w14:paraId="312C788F"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Total score ≥30</w:t>
                  </w:r>
                </w:p>
              </w:tc>
            </w:tr>
            <w:tr w:rsidR="002E6A87" w:rsidRPr="005D4222" w14:paraId="205D8134" w14:textId="77777777" w:rsidTr="00A53E8C">
              <w:tc>
                <w:tcPr>
                  <w:tcW w:w="5936" w:type="dxa"/>
                  <w:tcBorders>
                    <w:top w:val="single" w:sz="4" w:space="0" w:color="auto"/>
                    <w:left w:val="single" w:sz="4" w:space="0" w:color="auto"/>
                    <w:bottom w:val="single" w:sz="4" w:space="0" w:color="auto"/>
                    <w:right w:val="single" w:sz="4" w:space="0" w:color="auto"/>
                  </w:tcBorders>
                  <w:hideMark/>
                </w:tcPr>
                <w:p w14:paraId="04CDC404"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Edinburgh Postnatal Depression Scale (EPDS)</w:t>
                  </w:r>
                </w:p>
              </w:tc>
              <w:tc>
                <w:tcPr>
                  <w:tcW w:w="2430" w:type="dxa"/>
                  <w:tcBorders>
                    <w:top w:val="single" w:sz="4" w:space="0" w:color="auto"/>
                    <w:left w:val="single" w:sz="4" w:space="0" w:color="auto"/>
                    <w:bottom w:val="single" w:sz="4" w:space="0" w:color="auto"/>
                    <w:right w:val="single" w:sz="4" w:space="0" w:color="auto"/>
                  </w:tcBorders>
                  <w:hideMark/>
                </w:tcPr>
                <w:p w14:paraId="64E58AE4" w14:textId="77777777" w:rsidR="002E6A87" w:rsidRPr="005D4222" w:rsidRDefault="002E6A87" w:rsidP="00A53E8C">
                  <w:pPr>
                    <w:pStyle w:val="TableText"/>
                    <w:rPr>
                      <w:rFonts w:ascii="Arial" w:eastAsia="Arial" w:hAnsi="Arial" w:cs="Arial"/>
                      <w:sz w:val="20"/>
                      <w:szCs w:val="20"/>
                    </w:rPr>
                  </w:pPr>
                  <w:r w:rsidRPr="005D4222">
                    <w:rPr>
                      <w:rFonts w:ascii="Arial" w:hAnsi="Arial" w:cs="Arial"/>
                      <w:sz w:val="20"/>
                      <w:szCs w:val="20"/>
                    </w:rPr>
                    <w:t>99046-5</w:t>
                  </w:r>
                </w:p>
              </w:tc>
              <w:tc>
                <w:tcPr>
                  <w:tcW w:w="2515" w:type="dxa"/>
                  <w:tcBorders>
                    <w:top w:val="single" w:sz="4" w:space="0" w:color="auto"/>
                    <w:left w:val="single" w:sz="4" w:space="0" w:color="auto"/>
                    <w:bottom w:val="single" w:sz="4" w:space="0" w:color="auto"/>
                    <w:right w:val="single" w:sz="4" w:space="0" w:color="auto"/>
                  </w:tcBorders>
                  <w:hideMark/>
                </w:tcPr>
                <w:p w14:paraId="550E4AEE"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Total score ≥10</w:t>
                  </w:r>
                </w:p>
              </w:tc>
            </w:tr>
            <w:tr w:rsidR="002E6A87" w:rsidRPr="005D4222" w14:paraId="146BD409" w14:textId="77777777" w:rsidTr="00A53E8C">
              <w:tc>
                <w:tcPr>
                  <w:tcW w:w="5936" w:type="dxa"/>
                  <w:tcBorders>
                    <w:top w:val="single" w:sz="4" w:space="0" w:color="auto"/>
                    <w:left w:val="single" w:sz="4" w:space="0" w:color="auto"/>
                    <w:bottom w:val="single" w:sz="4" w:space="0" w:color="auto"/>
                    <w:right w:val="single" w:sz="4" w:space="0" w:color="auto"/>
                  </w:tcBorders>
                  <w:hideMark/>
                </w:tcPr>
                <w:p w14:paraId="3E325B38"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My Mood Monitor (M-3)</w:t>
                  </w:r>
                  <w:r w:rsidRPr="005D4222">
                    <w:rPr>
                      <w:rFonts w:ascii="Arial" w:eastAsia="Arial" w:hAnsi="Arial" w:cs="Arial"/>
                      <w:sz w:val="20"/>
                      <w:szCs w:val="20"/>
                      <w:vertAlign w:val="superscript"/>
                    </w:rPr>
                    <w:t>®</w:t>
                  </w:r>
                </w:p>
              </w:tc>
              <w:tc>
                <w:tcPr>
                  <w:tcW w:w="2430" w:type="dxa"/>
                  <w:tcBorders>
                    <w:top w:val="single" w:sz="4" w:space="0" w:color="auto"/>
                    <w:left w:val="single" w:sz="4" w:space="0" w:color="auto"/>
                    <w:bottom w:val="single" w:sz="4" w:space="0" w:color="auto"/>
                    <w:right w:val="single" w:sz="4" w:space="0" w:color="auto"/>
                  </w:tcBorders>
                  <w:hideMark/>
                </w:tcPr>
                <w:p w14:paraId="2CE23715"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71777-7</w:t>
                  </w:r>
                </w:p>
              </w:tc>
              <w:tc>
                <w:tcPr>
                  <w:tcW w:w="2515" w:type="dxa"/>
                  <w:tcBorders>
                    <w:top w:val="single" w:sz="4" w:space="0" w:color="auto"/>
                    <w:left w:val="single" w:sz="4" w:space="0" w:color="auto"/>
                    <w:bottom w:val="single" w:sz="4" w:space="0" w:color="auto"/>
                    <w:right w:val="single" w:sz="4" w:space="0" w:color="auto"/>
                  </w:tcBorders>
                  <w:hideMark/>
                </w:tcPr>
                <w:p w14:paraId="7D67DBE5"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Total score ≥5</w:t>
                  </w:r>
                </w:p>
              </w:tc>
            </w:tr>
            <w:tr w:rsidR="002E6A87" w:rsidRPr="005D4222" w14:paraId="2BBCF4AD" w14:textId="77777777" w:rsidTr="00A53E8C">
              <w:tc>
                <w:tcPr>
                  <w:tcW w:w="5936" w:type="dxa"/>
                  <w:tcBorders>
                    <w:top w:val="single" w:sz="4" w:space="0" w:color="auto"/>
                    <w:left w:val="single" w:sz="4" w:space="0" w:color="auto"/>
                    <w:bottom w:val="single" w:sz="4" w:space="0" w:color="auto"/>
                    <w:right w:val="single" w:sz="4" w:space="0" w:color="auto"/>
                  </w:tcBorders>
                  <w:hideMark/>
                </w:tcPr>
                <w:p w14:paraId="07B209DB"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PROMIS Depression</w:t>
                  </w:r>
                </w:p>
              </w:tc>
              <w:tc>
                <w:tcPr>
                  <w:tcW w:w="2430" w:type="dxa"/>
                  <w:tcBorders>
                    <w:top w:val="single" w:sz="4" w:space="0" w:color="auto"/>
                    <w:left w:val="single" w:sz="4" w:space="0" w:color="auto"/>
                    <w:bottom w:val="single" w:sz="4" w:space="0" w:color="auto"/>
                    <w:right w:val="single" w:sz="4" w:space="0" w:color="auto"/>
                  </w:tcBorders>
                  <w:hideMark/>
                </w:tcPr>
                <w:p w14:paraId="5430CCF5"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71965-8</w:t>
                  </w:r>
                </w:p>
              </w:tc>
              <w:tc>
                <w:tcPr>
                  <w:tcW w:w="2515" w:type="dxa"/>
                  <w:tcBorders>
                    <w:top w:val="single" w:sz="4" w:space="0" w:color="auto"/>
                    <w:left w:val="single" w:sz="4" w:space="0" w:color="auto"/>
                    <w:bottom w:val="single" w:sz="4" w:space="0" w:color="auto"/>
                    <w:right w:val="single" w:sz="4" w:space="0" w:color="auto"/>
                  </w:tcBorders>
                  <w:hideMark/>
                </w:tcPr>
                <w:p w14:paraId="6F33A7E5"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 xml:space="preserve">Total score </w:t>
                  </w:r>
                  <w:r w:rsidRPr="005D4222">
                    <w:rPr>
                      <w:rFonts w:ascii="Arial" w:eastAsia="Arial" w:hAnsi="Arial" w:cs="Arial"/>
                      <w:sz w:val="20"/>
                      <w:szCs w:val="20"/>
                    </w:rPr>
                    <w:br/>
                    <w:t>(T Score) ≥60</w:t>
                  </w:r>
                </w:p>
              </w:tc>
            </w:tr>
            <w:tr w:rsidR="002E6A87" w:rsidRPr="005D4222" w14:paraId="6B945925" w14:textId="77777777" w:rsidTr="00A53E8C">
              <w:trPr>
                <w:trHeight w:val="300"/>
              </w:trPr>
              <w:tc>
                <w:tcPr>
                  <w:tcW w:w="4224" w:type="dxa"/>
                  <w:tcBorders>
                    <w:top w:val="single" w:sz="4" w:space="0" w:color="auto"/>
                    <w:left w:val="single" w:sz="4" w:space="0" w:color="auto"/>
                    <w:bottom w:val="single" w:sz="4" w:space="0" w:color="auto"/>
                    <w:right w:val="single" w:sz="4" w:space="0" w:color="auto"/>
                  </w:tcBorders>
                  <w:hideMark/>
                </w:tcPr>
                <w:p w14:paraId="0B036DB0"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PROMIS Emotional Distress—Depression—Short Form</w:t>
                  </w:r>
                </w:p>
              </w:tc>
              <w:tc>
                <w:tcPr>
                  <w:tcW w:w="1804" w:type="dxa"/>
                  <w:tcBorders>
                    <w:top w:val="single" w:sz="4" w:space="0" w:color="auto"/>
                    <w:left w:val="single" w:sz="4" w:space="0" w:color="auto"/>
                    <w:bottom w:val="single" w:sz="4" w:space="0" w:color="auto"/>
                    <w:right w:val="single" w:sz="4" w:space="0" w:color="auto"/>
                  </w:tcBorders>
                  <w:hideMark/>
                </w:tcPr>
                <w:p w14:paraId="1D93AE70"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77861-3</w:t>
                  </w:r>
                </w:p>
              </w:tc>
              <w:tc>
                <w:tcPr>
                  <w:tcW w:w="1904" w:type="dxa"/>
                  <w:tcBorders>
                    <w:top w:val="single" w:sz="4" w:space="0" w:color="auto"/>
                    <w:left w:val="single" w:sz="4" w:space="0" w:color="auto"/>
                    <w:bottom w:val="single" w:sz="4" w:space="0" w:color="auto"/>
                    <w:right w:val="single" w:sz="4" w:space="0" w:color="auto"/>
                  </w:tcBorders>
                  <w:hideMark/>
                </w:tcPr>
                <w:p w14:paraId="4597CCB0"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 xml:space="preserve">Total score </w:t>
                  </w:r>
                  <w:r w:rsidRPr="005D4222">
                    <w:rPr>
                      <w:rFonts w:ascii="Arial" w:eastAsia="Arial" w:hAnsi="Arial" w:cs="Arial"/>
                      <w:sz w:val="20"/>
                      <w:szCs w:val="20"/>
                    </w:rPr>
                    <w:br/>
                    <w:t>(T Score) ≥60</w:t>
                  </w:r>
                </w:p>
              </w:tc>
            </w:tr>
            <w:tr w:rsidR="002E6A87" w:rsidRPr="005D4222" w14:paraId="7FDDACA8" w14:textId="77777777" w:rsidTr="00A53E8C">
              <w:tc>
                <w:tcPr>
                  <w:tcW w:w="5936" w:type="dxa"/>
                  <w:tcBorders>
                    <w:top w:val="single" w:sz="4" w:space="0" w:color="auto"/>
                    <w:left w:val="single" w:sz="4" w:space="0" w:color="auto"/>
                    <w:bottom w:val="single" w:sz="4" w:space="0" w:color="auto"/>
                    <w:right w:val="single" w:sz="4" w:space="0" w:color="auto"/>
                  </w:tcBorders>
                  <w:hideMark/>
                </w:tcPr>
                <w:p w14:paraId="352CDF25"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Clinically Useful Depression Outcome Scale (CUDOS)</w:t>
                  </w:r>
                </w:p>
              </w:tc>
              <w:tc>
                <w:tcPr>
                  <w:tcW w:w="2430" w:type="dxa"/>
                  <w:tcBorders>
                    <w:top w:val="single" w:sz="4" w:space="0" w:color="auto"/>
                    <w:left w:val="single" w:sz="4" w:space="0" w:color="auto"/>
                    <w:bottom w:val="single" w:sz="4" w:space="0" w:color="auto"/>
                    <w:right w:val="single" w:sz="4" w:space="0" w:color="auto"/>
                  </w:tcBorders>
                  <w:hideMark/>
                </w:tcPr>
                <w:p w14:paraId="15796E47"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90221-3</w:t>
                  </w:r>
                </w:p>
              </w:tc>
              <w:tc>
                <w:tcPr>
                  <w:tcW w:w="2515" w:type="dxa"/>
                  <w:tcBorders>
                    <w:top w:val="single" w:sz="4" w:space="0" w:color="auto"/>
                    <w:left w:val="single" w:sz="4" w:space="0" w:color="auto"/>
                    <w:bottom w:val="single" w:sz="4" w:space="0" w:color="auto"/>
                    <w:right w:val="single" w:sz="4" w:space="0" w:color="auto"/>
                  </w:tcBorders>
                  <w:hideMark/>
                </w:tcPr>
                <w:p w14:paraId="6E88597B" w14:textId="77777777" w:rsidR="002E6A87" w:rsidRPr="005D4222" w:rsidRDefault="002E6A87" w:rsidP="00A53E8C">
                  <w:pPr>
                    <w:pStyle w:val="TableText"/>
                    <w:rPr>
                      <w:rFonts w:ascii="Arial" w:eastAsia="Arial" w:hAnsi="Arial" w:cs="Arial"/>
                      <w:sz w:val="20"/>
                      <w:szCs w:val="20"/>
                    </w:rPr>
                  </w:pPr>
                  <w:r w:rsidRPr="005D4222">
                    <w:rPr>
                      <w:rFonts w:ascii="Arial" w:eastAsia="Arial" w:hAnsi="Arial" w:cs="Arial"/>
                      <w:sz w:val="20"/>
                      <w:szCs w:val="20"/>
                    </w:rPr>
                    <w:t>Total score ≥31</w:t>
                  </w:r>
                </w:p>
              </w:tc>
            </w:tr>
          </w:tbl>
          <w:p w14:paraId="7635954D" w14:textId="77777777" w:rsidR="002E6A87" w:rsidRPr="005D4222" w:rsidRDefault="002E6A87" w:rsidP="00A53E8C">
            <w:pPr>
              <w:pStyle w:val="TableText"/>
              <w:spacing w:after="40"/>
              <w:rPr>
                <w:rFonts w:ascii="Arial" w:eastAsia="Arial" w:hAnsi="Arial" w:cs="Arial"/>
                <w:sz w:val="18"/>
                <w:szCs w:val="18"/>
              </w:rPr>
            </w:pPr>
            <w:r w:rsidRPr="005D4222">
              <w:rPr>
                <w:rFonts w:eastAsia="Arial"/>
                <w:sz w:val="19"/>
                <w:vertAlign w:val="superscript"/>
              </w:rPr>
              <w:t>1</w:t>
            </w:r>
            <w:r w:rsidRPr="005D4222">
              <w:rPr>
                <w:rFonts w:ascii="Arial" w:eastAsia="Arial" w:hAnsi="Arial" w:cs="Arial"/>
                <w:sz w:val="18"/>
                <w:szCs w:val="18"/>
              </w:rPr>
              <w:t>Brief screening instrument. All other instruments are full-length.</w:t>
            </w:r>
          </w:p>
          <w:p w14:paraId="00AD96F3" w14:textId="77777777" w:rsidR="002E6A87" w:rsidRPr="005D4222" w:rsidRDefault="002E6A87" w:rsidP="00A53E8C">
            <w:pPr>
              <w:pStyle w:val="TableText"/>
              <w:spacing w:before="0"/>
              <w:rPr>
                <w:highlight w:val="yellow"/>
              </w:rPr>
            </w:pPr>
            <w:r w:rsidRPr="005D4222">
              <w:rPr>
                <w:rFonts w:ascii="Arial" w:hAnsi="Arial" w:cs="Arial"/>
                <w:sz w:val="18"/>
                <w:szCs w:val="18"/>
                <w:vertAlign w:val="superscript"/>
              </w:rPr>
              <w:t>2</w:t>
            </w:r>
            <w:r w:rsidRPr="005D4222">
              <w:rPr>
                <w:rFonts w:ascii="Arial" w:hAnsi="Arial" w:cs="Arial"/>
                <w:sz w:val="18"/>
                <w:szCs w:val="18"/>
              </w:rPr>
              <w:t>Proprietary; there may be a cost or licensing requirement associated with use.</w:t>
            </w:r>
          </w:p>
        </w:tc>
      </w:tr>
    </w:tbl>
    <w:p w14:paraId="72F5F98A" w14:textId="77777777" w:rsidR="00A145A2" w:rsidRPr="005D4222" w:rsidRDefault="00A145A2"/>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2E6A87" w:rsidRPr="005D4222" w14:paraId="3009412F" w14:textId="77777777" w:rsidTr="00A145A2">
        <w:trPr>
          <w:trHeight w:val="20"/>
        </w:trPr>
        <w:tc>
          <w:tcPr>
            <w:tcW w:w="2157" w:type="dxa"/>
            <w:shd w:val="clear" w:color="auto" w:fill="BFBFBF" w:themeFill="background1" w:themeFillShade="BF"/>
            <w:tcMar>
              <w:top w:w="0" w:type="dxa"/>
              <w:left w:w="86" w:type="dxa"/>
              <w:bottom w:w="43" w:type="dxa"/>
              <w:right w:w="86" w:type="dxa"/>
            </w:tcMar>
          </w:tcPr>
          <w:p w14:paraId="5EE25D99" w14:textId="77777777" w:rsidR="002E6A87" w:rsidRPr="005D4222" w:rsidRDefault="002E6A87" w:rsidP="00A53E8C">
            <w:pPr>
              <w:pStyle w:val="ECDSMarginHead"/>
            </w:pPr>
            <w:r w:rsidRPr="005D4222">
              <w:lastRenderedPageBreak/>
              <w:t>Initial population</w:t>
            </w: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tcPr>
          <w:p w14:paraId="2D2D9A20" w14:textId="77777777" w:rsidR="002E6A87" w:rsidRPr="005D4222" w:rsidRDefault="002E6A87" w:rsidP="00A53E8C">
            <w:pPr>
              <w:pStyle w:val="ECDSBody"/>
            </w:pPr>
            <w:r w:rsidRPr="005D4222">
              <w:rPr>
                <w:i/>
              </w:rPr>
              <w:t>Measure item count:</w:t>
            </w:r>
            <w:r w:rsidRPr="005D4222">
              <w:t xml:space="preserve"> Episode.</w:t>
            </w:r>
          </w:p>
          <w:p w14:paraId="497E9032" w14:textId="7B146E3C" w:rsidR="002E6A87" w:rsidRPr="005D4222" w:rsidRDefault="00F10378" w:rsidP="00A53E8C">
            <w:pPr>
              <w:pStyle w:val="ECDSBody"/>
            </w:pPr>
            <w:r w:rsidRPr="005D4222">
              <w:rPr>
                <w:i/>
                <w:iCs/>
              </w:rPr>
              <w:t>Attribution basis:</w:t>
            </w:r>
            <w:r w:rsidR="002E6A87" w:rsidRPr="005D4222">
              <w:t xml:space="preserve"> Enrollment.</w:t>
            </w:r>
          </w:p>
          <w:p w14:paraId="176EAE73" w14:textId="1977462F" w:rsidR="002E6A87" w:rsidRPr="005D4222" w:rsidRDefault="000F0DC5" w:rsidP="002E6A87">
            <w:pPr>
              <w:pStyle w:val="Bullet"/>
              <w:numPr>
                <w:ilvl w:val="0"/>
                <w:numId w:val="4"/>
              </w:numPr>
              <w:ind w:left="576" w:hanging="216"/>
            </w:pPr>
            <w:r w:rsidRPr="005D4222">
              <w:rPr>
                <w:i/>
              </w:rPr>
              <w:t>Benefits:</w:t>
            </w:r>
            <w:r w:rsidR="002E6A87" w:rsidRPr="005D4222">
              <w:t xml:space="preserve"> Medical.</w:t>
            </w:r>
          </w:p>
          <w:p w14:paraId="0C2734EB" w14:textId="77777777" w:rsidR="002E6A87" w:rsidRPr="005D4222" w:rsidRDefault="002E6A87" w:rsidP="002E6A87">
            <w:pPr>
              <w:pStyle w:val="Bullet"/>
              <w:numPr>
                <w:ilvl w:val="0"/>
                <w:numId w:val="4"/>
              </w:numPr>
              <w:ind w:left="576" w:hanging="216"/>
              <w:rPr>
                <w:rFonts w:cs="Arial"/>
              </w:rPr>
            </w:pPr>
            <w:r w:rsidRPr="005D4222">
              <w:rPr>
                <w:i/>
              </w:rPr>
              <w:t>Continuous enrollment:</w:t>
            </w:r>
            <w:r w:rsidRPr="005D4222">
              <w:t xml:space="preserve"> 28 days prior to t</w:t>
            </w:r>
            <w:r w:rsidRPr="005D4222">
              <w:rPr>
                <w:kern w:val="20"/>
              </w:rPr>
              <w:t xml:space="preserve">he delivery date through the delivery date. </w:t>
            </w:r>
          </w:p>
          <w:p w14:paraId="5725C541" w14:textId="77777777" w:rsidR="002E6A87" w:rsidRPr="005D4222" w:rsidRDefault="002E6A87" w:rsidP="002E6A87">
            <w:pPr>
              <w:pStyle w:val="Bullet"/>
              <w:numPr>
                <w:ilvl w:val="0"/>
                <w:numId w:val="4"/>
              </w:numPr>
              <w:ind w:left="576" w:hanging="216"/>
            </w:pPr>
            <w:r w:rsidRPr="005D4222">
              <w:rPr>
                <w:i/>
              </w:rPr>
              <w:t>Allowable gap:</w:t>
            </w:r>
            <w:r w:rsidRPr="005D4222">
              <w:t xml:space="preserve"> None.</w:t>
            </w:r>
          </w:p>
          <w:p w14:paraId="5F0D3D0E" w14:textId="77777777" w:rsidR="002E6A87" w:rsidRPr="005D4222" w:rsidRDefault="002E6A87" w:rsidP="00A53E8C">
            <w:pPr>
              <w:pStyle w:val="ECDSBody"/>
            </w:pPr>
            <w:r w:rsidRPr="005D4222">
              <w:rPr>
                <w:i/>
              </w:rPr>
              <w:t>Ages:</w:t>
            </w:r>
            <w:r w:rsidRPr="005D4222">
              <w:t xml:space="preserve"> None.</w:t>
            </w:r>
          </w:p>
          <w:p w14:paraId="69C8E5D2" w14:textId="77777777" w:rsidR="00A145A2" w:rsidRPr="005D4222" w:rsidRDefault="002E6A87" w:rsidP="00A53E8C">
            <w:pPr>
              <w:pStyle w:val="ECDSBody"/>
              <w:rPr>
                <w:b/>
                <w:bCs w:val="0"/>
                <w:iCs/>
              </w:rPr>
            </w:pPr>
            <w:r w:rsidRPr="005D4222">
              <w:rPr>
                <w:i/>
              </w:rPr>
              <w:t xml:space="preserve">Event: </w:t>
            </w:r>
            <w:r w:rsidRPr="005D4222">
              <w:rPr>
                <w:b/>
                <w:bCs w:val="0"/>
                <w:iCs/>
              </w:rPr>
              <w:t>Deliveries.</w:t>
            </w:r>
          </w:p>
          <w:p w14:paraId="19EC3840" w14:textId="1703044E" w:rsidR="002E6A87" w:rsidRPr="005D4222" w:rsidRDefault="002E6A87" w:rsidP="00A53E8C">
            <w:pPr>
              <w:pStyle w:val="ECDSBody"/>
            </w:pPr>
            <w:r w:rsidRPr="005D4222">
              <w:rPr>
                <w:kern w:val="20"/>
              </w:rPr>
              <w:t>Deliveries (</w:t>
            </w:r>
            <w:r w:rsidRPr="005D4222">
              <w:rPr>
                <w:kern w:val="20"/>
                <w:u w:val="single"/>
              </w:rPr>
              <w:t>Deliveries Value Set</w:t>
            </w:r>
            <w:r w:rsidRPr="005D4222">
              <w:rPr>
                <w:kern w:val="20"/>
              </w:rPr>
              <w:t>), in any setting, during the measurement period that h</w:t>
            </w:r>
            <w:r w:rsidRPr="005D4222">
              <w:t>ave a gestational age assessment (</w:t>
            </w:r>
            <w:r w:rsidRPr="005D4222">
              <w:rPr>
                <w:u w:val="single"/>
              </w:rPr>
              <w:t>Weeks of Gestation Value Set</w:t>
            </w:r>
            <w:r w:rsidRPr="005D4222">
              <w:t xml:space="preserve">; value is not null) or gestational age diagnosis within 1 day of the start or end of the delivery. </w:t>
            </w:r>
          </w:p>
          <w:p w14:paraId="1636B3E3" w14:textId="77777777" w:rsidR="002E6A87" w:rsidRPr="005D4222" w:rsidRDefault="002E6A87" w:rsidP="00A53E8C">
            <w:pPr>
              <w:pStyle w:val="ECDSBody"/>
            </w:pPr>
            <w:r w:rsidRPr="005D4222">
              <w:t>Determine the delivery date using the date as of the end of the delivery procedure.</w:t>
            </w:r>
          </w:p>
          <w:p w14:paraId="4B9FCDA0" w14:textId="77777777" w:rsidR="002E6A87" w:rsidRPr="005D4222" w:rsidRDefault="002E6A87" w:rsidP="00A53E8C">
            <w:pPr>
              <w:pStyle w:val="ECDSBody"/>
              <w:spacing w:before="0"/>
            </w:pPr>
            <w:r w:rsidRPr="005D4222">
              <w:t>A code from any of the following value sets meets criteria for gestational age diagnosis:</w:t>
            </w:r>
          </w:p>
          <w:p w14:paraId="4CA05BE0" w14:textId="77777777" w:rsidR="002E6A87" w:rsidRPr="005D4222" w:rsidRDefault="002E6A87" w:rsidP="002E6A87">
            <w:pPr>
              <w:pStyle w:val="Bullet"/>
              <w:numPr>
                <w:ilvl w:val="0"/>
                <w:numId w:val="4"/>
              </w:numPr>
              <w:ind w:left="576" w:hanging="216"/>
            </w:pPr>
            <w:r w:rsidRPr="005D4222">
              <w:rPr>
                <w:u w:val="single"/>
              </w:rPr>
              <w:t>Weeks of Gestation Less Than 37 Value Set</w:t>
            </w:r>
            <w:r w:rsidRPr="005D4222">
              <w:t>.</w:t>
            </w:r>
          </w:p>
          <w:p w14:paraId="3EF177AB" w14:textId="77777777" w:rsidR="002E6A87" w:rsidRPr="005D4222" w:rsidRDefault="002E6A87" w:rsidP="002E6A87">
            <w:pPr>
              <w:pStyle w:val="Bullet"/>
              <w:numPr>
                <w:ilvl w:val="0"/>
                <w:numId w:val="4"/>
              </w:numPr>
              <w:ind w:left="576" w:hanging="216"/>
            </w:pPr>
            <w:r w:rsidRPr="005D4222">
              <w:rPr>
                <w:u w:val="single"/>
              </w:rPr>
              <w:t>37 Weeks Gestation Value Set</w:t>
            </w:r>
            <w:r w:rsidRPr="005D4222">
              <w:t>.</w:t>
            </w:r>
          </w:p>
          <w:p w14:paraId="5088A60C" w14:textId="77777777" w:rsidR="002E6A87" w:rsidRPr="005D4222" w:rsidRDefault="002E6A87" w:rsidP="002E6A87">
            <w:pPr>
              <w:pStyle w:val="Bullet"/>
              <w:numPr>
                <w:ilvl w:val="0"/>
                <w:numId w:val="4"/>
              </w:numPr>
              <w:ind w:left="576" w:hanging="216"/>
            </w:pPr>
            <w:r w:rsidRPr="005D4222">
              <w:rPr>
                <w:u w:val="single"/>
              </w:rPr>
              <w:t>38 Weeks Gestation Value Set</w:t>
            </w:r>
            <w:r w:rsidRPr="005D4222">
              <w:t>.</w:t>
            </w:r>
          </w:p>
          <w:p w14:paraId="25570CC7" w14:textId="77777777" w:rsidR="002E6A87" w:rsidRPr="005D4222" w:rsidRDefault="002E6A87" w:rsidP="002E6A87">
            <w:pPr>
              <w:pStyle w:val="Bullet"/>
              <w:numPr>
                <w:ilvl w:val="0"/>
                <w:numId w:val="4"/>
              </w:numPr>
              <w:ind w:left="576" w:hanging="216"/>
            </w:pPr>
            <w:r w:rsidRPr="005D4222">
              <w:rPr>
                <w:u w:val="single"/>
              </w:rPr>
              <w:t>39 Weeks Gestation Value Set</w:t>
            </w:r>
            <w:r w:rsidRPr="005D4222">
              <w:t>.</w:t>
            </w:r>
          </w:p>
          <w:p w14:paraId="1791EFC8" w14:textId="77777777" w:rsidR="002E6A87" w:rsidRPr="005D4222" w:rsidRDefault="002E6A87" w:rsidP="002E6A87">
            <w:pPr>
              <w:pStyle w:val="Bullet"/>
              <w:numPr>
                <w:ilvl w:val="0"/>
                <w:numId w:val="4"/>
              </w:numPr>
              <w:ind w:left="576" w:hanging="216"/>
            </w:pPr>
            <w:r w:rsidRPr="005D4222">
              <w:rPr>
                <w:u w:val="single"/>
              </w:rPr>
              <w:t>40 Weeks Gestation Value Set</w:t>
            </w:r>
            <w:r w:rsidRPr="005D4222">
              <w:t>.</w:t>
            </w:r>
          </w:p>
          <w:p w14:paraId="54A89C0E" w14:textId="77777777" w:rsidR="002E6A87" w:rsidRPr="005D4222" w:rsidRDefault="002E6A87" w:rsidP="002E6A87">
            <w:pPr>
              <w:pStyle w:val="Bullet"/>
              <w:numPr>
                <w:ilvl w:val="0"/>
                <w:numId w:val="4"/>
              </w:numPr>
              <w:ind w:left="576" w:hanging="216"/>
            </w:pPr>
            <w:r w:rsidRPr="005D4222">
              <w:rPr>
                <w:u w:val="single"/>
              </w:rPr>
              <w:t>41 Weeks Gestation Value Set</w:t>
            </w:r>
            <w:r w:rsidRPr="005D4222">
              <w:t>.</w:t>
            </w:r>
          </w:p>
          <w:p w14:paraId="63779B1A" w14:textId="77777777" w:rsidR="002E6A87" w:rsidRPr="005D4222" w:rsidRDefault="002E6A87" w:rsidP="002E6A87">
            <w:pPr>
              <w:pStyle w:val="Bullet"/>
              <w:numPr>
                <w:ilvl w:val="0"/>
                <w:numId w:val="4"/>
              </w:numPr>
              <w:ind w:left="576" w:hanging="216"/>
            </w:pPr>
            <w:r w:rsidRPr="005D4222">
              <w:rPr>
                <w:u w:val="single"/>
              </w:rPr>
              <w:t>42 Weeks Gestation Value Set</w:t>
            </w:r>
            <w:r w:rsidRPr="005D4222">
              <w:t>.</w:t>
            </w:r>
          </w:p>
          <w:p w14:paraId="7E86225D" w14:textId="77777777" w:rsidR="002E6A87" w:rsidRPr="005D4222" w:rsidRDefault="002E6A87" w:rsidP="002E6A87">
            <w:pPr>
              <w:pStyle w:val="Bullet"/>
              <w:numPr>
                <w:ilvl w:val="0"/>
                <w:numId w:val="4"/>
              </w:numPr>
              <w:ind w:left="576" w:hanging="216"/>
              <w:rPr>
                <w:kern w:val="20"/>
              </w:rPr>
            </w:pPr>
            <w:r w:rsidRPr="005D4222">
              <w:t>43 weeks gestation (ICD-10-CM code Z3A.49).</w:t>
            </w:r>
          </w:p>
          <w:p w14:paraId="7AE13587" w14:textId="77777777" w:rsidR="002E6A87" w:rsidRPr="005D4222" w:rsidRDefault="002E6A87" w:rsidP="00A53E8C">
            <w:pPr>
              <w:pStyle w:val="ECDSBody"/>
            </w:pPr>
            <w:r w:rsidRPr="005D4222">
              <w:t>If a person has more than one delivery in a 180-day period, include only the first eligible delivery. Then, if applicable include the next delivery that occurs after the 180-day period. Identify deliveries chronologically, including only one per 180-day period.</w:t>
            </w:r>
          </w:p>
          <w:p w14:paraId="2CCF840A" w14:textId="77777777" w:rsidR="002E6A87" w:rsidRPr="005D4222" w:rsidRDefault="002E6A87" w:rsidP="00A53E8C">
            <w:pPr>
              <w:pStyle w:val="Note"/>
              <w:spacing w:after="80"/>
              <w:rPr>
                <w:rFonts w:cs="Arial"/>
              </w:rPr>
            </w:pPr>
            <w:r w:rsidRPr="005D4222">
              <w:rPr>
                <w:b/>
                <w:bCs/>
              </w:rPr>
              <w:t xml:space="preserve">Note: </w:t>
            </w:r>
            <w:r w:rsidRPr="005D4222">
              <w:t>Removal of multiple deliveries in a 180-day period is based on eligible deliveries. Assess each delivery for exclusions and attribution before removing multiple deliveries in a 180-day period.</w:t>
            </w:r>
          </w:p>
        </w:tc>
      </w:tr>
      <w:tr w:rsidR="002E6A87" w:rsidRPr="005D4222" w14:paraId="1AB124EA" w14:textId="77777777" w:rsidTr="00A145A2">
        <w:trPr>
          <w:trHeight w:val="610"/>
        </w:trPr>
        <w:tc>
          <w:tcPr>
            <w:tcW w:w="2157" w:type="dxa"/>
            <w:shd w:val="clear" w:color="auto" w:fill="BFBFBF" w:themeFill="background1" w:themeFillShade="BF"/>
            <w:tcMar>
              <w:top w:w="0" w:type="dxa"/>
              <w:left w:w="86" w:type="dxa"/>
              <w:bottom w:w="43" w:type="dxa"/>
              <w:right w:w="86" w:type="dxa"/>
            </w:tcMar>
          </w:tcPr>
          <w:p w14:paraId="6E1681D6" w14:textId="77777777" w:rsidR="002E6A87" w:rsidRPr="005D4222" w:rsidRDefault="002E6A87" w:rsidP="00A53E8C">
            <w:pPr>
              <w:pStyle w:val="ECDSMarginHead"/>
            </w:pPr>
            <w:r w:rsidRPr="005D4222">
              <w:t xml:space="preserve">Denominator exclusions </w:t>
            </w:r>
          </w:p>
        </w:tc>
        <w:tc>
          <w:tcPr>
            <w:tcW w:w="7557" w:type="dxa"/>
            <w:tcMar>
              <w:top w:w="0" w:type="dxa"/>
              <w:left w:w="86" w:type="dxa"/>
              <w:bottom w:w="43" w:type="dxa"/>
              <w:right w:w="86" w:type="dxa"/>
            </w:tcMar>
            <w:vAlign w:val="center"/>
          </w:tcPr>
          <w:p w14:paraId="707FDFCE" w14:textId="77777777" w:rsidR="002E6A87" w:rsidRPr="005D4222" w:rsidRDefault="002E6A87" w:rsidP="00A53E8C">
            <w:pPr>
              <w:pStyle w:val="ECDSBody"/>
              <w:rPr>
                <w:rFonts w:cs="Segoe UI"/>
                <w:szCs w:val="18"/>
              </w:rPr>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p w14:paraId="74B9E5C8" w14:textId="77777777" w:rsidR="002E6A87" w:rsidRPr="005D4222" w:rsidRDefault="002E6A87" w:rsidP="00A53E8C">
            <w:pPr>
              <w:pStyle w:val="ECDSBody"/>
              <w:rPr>
                <w:rFonts w:eastAsia="Arial,Arial,Arial,Arial,Arial,A"/>
              </w:rPr>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bl>
    <w:p w14:paraId="2FD569B2" w14:textId="77777777" w:rsidR="002E6A87" w:rsidRPr="005D4222" w:rsidRDefault="002E6A87" w:rsidP="002E6A87">
      <w:pPr>
        <w:spacing w:after="160" w:line="259" w:lineRule="auto"/>
      </w:pPr>
      <w:r w:rsidRPr="005D4222">
        <w:br w:type="page"/>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2E6A87" w:rsidRPr="005D4222" w14:paraId="016DABB0" w14:textId="77777777" w:rsidTr="00A53E8C">
        <w:trPr>
          <w:trHeight w:val="610"/>
        </w:trPr>
        <w:tc>
          <w:tcPr>
            <w:tcW w:w="2157" w:type="dxa"/>
            <w:shd w:val="clear" w:color="auto" w:fill="BFBFBF" w:themeFill="background1" w:themeFillShade="BF"/>
            <w:tcMar>
              <w:top w:w="0" w:type="dxa"/>
              <w:left w:w="86" w:type="dxa"/>
              <w:bottom w:w="43" w:type="dxa"/>
              <w:right w:w="86" w:type="dxa"/>
            </w:tcMar>
          </w:tcPr>
          <w:p w14:paraId="2944A968" w14:textId="77777777" w:rsidR="002E6A87" w:rsidRPr="005D4222" w:rsidRDefault="002E6A87" w:rsidP="00A53E8C">
            <w:pPr>
              <w:pStyle w:val="ECDSMarginHead"/>
            </w:pPr>
          </w:p>
        </w:tc>
        <w:tc>
          <w:tcPr>
            <w:tcW w:w="7557" w:type="dxa"/>
            <w:tcMar>
              <w:top w:w="0" w:type="dxa"/>
              <w:left w:w="86" w:type="dxa"/>
              <w:bottom w:w="43" w:type="dxa"/>
              <w:right w:w="86" w:type="dxa"/>
            </w:tcMar>
            <w:vAlign w:val="center"/>
          </w:tcPr>
          <w:p w14:paraId="4A23C928" w14:textId="77777777" w:rsidR="002E6A87" w:rsidRPr="005D4222" w:rsidRDefault="002E6A87" w:rsidP="00A53E8C">
            <w:pPr>
              <w:pStyle w:val="ECDSBody"/>
            </w:pPr>
            <w:r w:rsidRPr="005D4222">
              <w:rPr>
                <w:b/>
              </w:rPr>
              <w:t xml:space="preserve">Deliveries that occurred at less than 37 weeks gestation. </w:t>
            </w:r>
            <w:r w:rsidRPr="005D4222">
              <w:rPr>
                <w:b/>
              </w:rPr>
              <w:br/>
            </w:r>
            <w:r w:rsidRPr="005D4222">
              <w:t>Length of gestation in weeks is identified by one of two methods:</w:t>
            </w:r>
          </w:p>
          <w:p w14:paraId="59E8DD38" w14:textId="77777777" w:rsidR="002E6A87" w:rsidRPr="005D4222" w:rsidRDefault="002E6A87" w:rsidP="002E6A87">
            <w:pPr>
              <w:pStyle w:val="Bullet"/>
              <w:numPr>
                <w:ilvl w:val="0"/>
                <w:numId w:val="4"/>
              </w:numPr>
              <w:ind w:left="576" w:hanging="216"/>
              <w:rPr>
                <w:b/>
                <w:i/>
              </w:rPr>
            </w:pPr>
            <w:r w:rsidRPr="005D4222">
              <w:t>Gestational age assessment (</w:t>
            </w:r>
            <w:r w:rsidRPr="005D4222">
              <w:rPr>
                <w:u w:val="single"/>
              </w:rPr>
              <w:t>Weeks of Gestation Value Set</w:t>
            </w:r>
            <w:r w:rsidRPr="005D4222">
              <w:t>; value &lt;37 weeks),</w:t>
            </w:r>
            <w:r w:rsidRPr="005D4222">
              <w:rPr>
                <w:b/>
                <w:i/>
              </w:rPr>
              <w:t xml:space="preserve"> or</w:t>
            </w:r>
          </w:p>
          <w:p w14:paraId="557B9771" w14:textId="77777777" w:rsidR="002E6A87" w:rsidRPr="005D4222" w:rsidRDefault="002E6A87" w:rsidP="002E6A87">
            <w:pPr>
              <w:pStyle w:val="Bullet"/>
              <w:numPr>
                <w:ilvl w:val="0"/>
                <w:numId w:val="4"/>
              </w:numPr>
              <w:spacing w:after="80"/>
              <w:ind w:left="576" w:hanging="216"/>
              <w:rPr>
                <w:b/>
                <w:bCs/>
              </w:rPr>
            </w:pPr>
            <w:r w:rsidRPr="005D4222">
              <w:t>Gestational age diagnosis (</w:t>
            </w:r>
            <w:r w:rsidRPr="005D4222">
              <w:rPr>
                <w:u w:val="single"/>
              </w:rPr>
              <w:t>Weeks of Gestation Less Than 37 Value Set</w:t>
            </w:r>
            <w:r w:rsidRPr="005D4222">
              <w:t>).</w:t>
            </w:r>
          </w:p>
        </w:tc>
      </w:tr>
      <w:tr w:rsidR="002E6A87" w:rsidRPr="005D4222" w14:paraId="69572280" w14:textId="77777777" w:rsidTr="00A53E8C">
        <w:trPr>
          <w:trHeight w:val="610"/>
        </w:trPr>
        <w:tc>
          <w:tcPr>
            <w:tcW w:w="2157" w:type="dxa"/>
            <w:shd w:val="clear" w:color="auto" w:fill="BFBFBF" w:themeFill="background1" w:themeFillShade="BF"/>
            <w:tcMar>
              <w:top w:w="0" w:type="dxa"/>
              <w:left w:w="86" w:type="dxa"/>
              <w:bottom w:w="43" w:type="dxa"/>
              <w:right w:w="86" w:type="dxa"/>
            </w:tcMar>
          </w:tcPr>
          <w:p w14:paraId="6760260C" w14:textId="77777777" w:rsidR="002E6A87" w:rsidRPr="005D4222" w:rsidRDefault="002E6A87" w:rsidP="00A53E8C">
            <w:pPr>
              <w:pStyle w:val="ECDSMarginHead"/>
            </w:pPr>
            <w:r w:rsidRPr="005D4222">
              <w:t>Denominator</w:t>
            </w:r>
          </w:p>
        </w:tc>
        <w:tc>
          <w:tcPr>
            <w:tcW w:w="7557" w:type="dxa"/>
            <w:tcMar>
              <w:top w:w="0" w:type="dxa"/>
              <w:left w:w="86" w:type="dxa"/>
              <w:bottom w:w="43" w:type="dxa"/>
              <w:right w:w="86" w:type="dxa"/>
            </w:tcMar>
          </w:tcPr>
          <w:p w14:paraId="6EA09384" w14:textId="77777777" w:rsidR="002E6A87" w:rsidRPr="005D4222" w:rsidRDefault="002E6A87" w:rsidP="00A53E8C">
            <w:pPr>
              <w:pStyle w:val="ECDSBody"/>
              <w:rPr>
                <w:rFonts w:eastAsia="Arial,Arial,Arial,Arial,Arial,A"/>
              </w:rPr>
            </w:pPr>
            <w:r w:rsidRPr="005D4222">
              <w:rPr>
                <w:rFonts w:eastAsia="Arial,Arial,Arial,Arial,Arial,A"/>
                <w:b/>
              </w:rPr>
              <w:t xml:space="preserve">Denominator 1: </w:t>
            </w:r>
            <w:r w:rsidRPr="005D4222">
              <w:rPr>
                <w:rFonts w:eastAsia="Arial,Arial,Arial,Arial,Arial,A"/>
              </w:rPr>
              <w:t>The initial population minus denominator exclusions.</w:t>
            </w:r>
          </w:p>
          <w:p w14:paraId="21482F9B" w14:textId="77777777" w:rsidR="002E6A87" w:rsidRPr="005D4222" w:rsidRDefault="002E6A87" w:rsidP="00A53E8C">
            <w:pPr>
              <w:pStyle w:val="ECDSBody"/>
            </w:pPr>
            <w:r w:rsidRPr="005D4222">
              <w:rPr>
                <w:rFonts w:eastAsia="Arial,Arial,Arial,Arial,Arial,A"/>
                <w:b/>
              </w:rPr>
              <w:t>Denominator 2:</w:t>
            </w:r>
            <w:r w:rsidRPr="005D4222">
              <w:rPr>
                <w:rFonts w:eastAsia="Arial,Arial,Arial,Arial,Arial,A"/>
              </w:rPr>
              <w:t xml:space="preserve"> Deliveries from numerator 1 with a positive finding for depression.</w:t>
            </w:r>
            <w:r w:rsidRPr="005D4222">
              <w:t xml:space="preserve"> </w:t>
            </w:r>
          </w:p>
        </w:tc>
      </w:tr>
      <w:tr w:rsidR="002E6A87" w:rsidRPr="005D4222" w14:paraId="02C95361" w14:textId="77777777" w:rsidTr="00A53E8C">
        <w:tc>
          <w:tcPr>
            <w:tcW w:w="2157" w:type="dxa"/>
            <w:tcBorders>
              <w:top w:val="single" w:sz="2" w:space="0" w:color="auto"/>
              <w:left w:val="single" w:sz="2" w:space="0" w:color="auto"/>
              <w:bottom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4ED3767F" w14:textId="77777777" w:rsidR="002E6A87" w:rsidRPr="005D4222" w:rsidRDefault="002E6A87" w:rsidP="00A53E8C">
            <w:pPr>
              <w:pStyle w:val="ECDSMarginHead"/>
            </w:pPr>
            <w:r w:rsidRPr="005D4222">
              <w:t>Numerator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2175B27E" w14:textId="77777777" w:rsidR="002E6A87" w:rsidRPr="005D4222" w:rsidRDefault="002E6A87" w:rsidP="00A53E8C">
            <w:pPr>
              <w:pStyle w:val="ECDSBody"/>
            </w:pPr>
            <w:r w:rsidRPr="005D4222">
              <w:rPr>
                <w:b/>
              </w:rPr>
              <w:t>Numerator 1</w:t>
            </w:r>
            <w:r w:rsidRPr="005D4222">
              <w:rPr>
                <w:b/>
                <w:bCs w:val="0"/>
              </w:rPr>
              <w:t xml:space="preserve">: </w:t>
            </w:r>
            <w:r w:rsidRPr="005D4222">
              <w:rPr>
                <w:b/>
              </w:rPr>
              <w:t xml:space="preserve">Depression </w:t>
            </w:r>
            <w:r w:rsidRPr="005D4222">
              <w:rPr>
                <w:b/>
                <w:bCs w:val="0"/>
              </w:rPr>
              <w:t>screening.</w:t>
            </w:r>
            <w:r w:rsidRPr="005D4222">
              <w:rPr>
                <w:b/>
                <w:bCs w:val="0"/>
              </w:rPr>
              <w:br/>
            </w:r>
            <w:r w:rsidRPr="005D4222">
              <w:t>Deliveries in which persons had a documented result for depression screening, using an age-appropriate standardized screening instrument performed during pregnancy (on or between pregnancy start date and the delivery date).</w:t>
            </w:r>
          </w:p>
          <w:p w14:paraId="3B4D42C5" w14:textId="77777777" w:rsidR="002E6A87" w:rsidRPr="005D4222" w:rsidRDefault="002E6A87" w:rsidP="002E6A87">
            <w:pPr>
              <w:pStyle w:val="Bullet"/>
              <w:numPr>
                <w:ilvl w:val="0"/>
                <w:numId w:val="4"/>
              </w:numPr>
              <w:ind w:left="576" w:hanging="216"/>
            </w:pPr>
            <w:r w:rsidRPr="005D4222">
              <w:rPr>
                <w:i/>
                <w:iCs/>
              </w:rPr>
              <w:t>Deliveries between January 1 and December 1 of the measurement period:</w:t>
            </w:r>
            <w:r w:rsidRPr="005D4222">
              <w:t xml:space="preserve"> Screening should be performed between the pregnancy start date and the delivery date (including on the delivery date).</w:t>
            </w:r>
          </w:p>
          <w:p w14:paraId="1E0765D9" w14:textId="77777777" w:rsidR="002E6A87" w:rsidRPr="005D4222" w:rsidRDefault="002E6A87" w:rsidP="002E6A87">
            <w:pPr>
              <w:pStyle w:val="Bullet"/>
              <w:numPr>
                <w:ilvl w:val="0"/>
                <w:numId w:val="4"/>
              </w:numPr>
              <w:ind w:left="576" w:hanging="216"/>
            </w:pPr>
            <w:r w:rsidRPr="005D4222">
              <w:rPr>
                <w:i/>
                <w:iCs/>
              </w:rPr>
              <w:t>Deliveries between December 2 and December 31 of the measurement period:</w:t>
            </w:r>
            <w:r w:rsidRPr="005D4222">
              <w:t xml:space="preserve"> Screening should be performed between the pregnancy start date and December 1 of the measurement period.</w:t>
            </w:r>
          </w:p>
          <w:p w14:paraId="1CDAE6FD" w14:textId="77777777" w:rsidR="002E6A87" w:rsidRPr="005D4222" w:rsidRDefault="002E6A87" w:rsidP="00A53E8C">
            <w:pPr>
              <w:pStyle w:val="ECDSBody"/>
              <w:spacing w:before="180"/>
            </w:pPr>
            <w:r w:rsidRPr="005D4222">
              <w:rPr>
                <w:b/>
              </w:rPr>
              <w:t>Numerator 2</w:t>
            </w:r>
            <w:r w:rsidRPr="005D4222">
              <w:rPr>
                <w:b/>
                <w:bCs w:val="0"/>
              </w:rPr>
              <w:t xml:space="preserve">: </w:t>
            </w:r>
            <w:r w:rsidRPr="005D4222">
              <w:rPr>
                <w:b/>
              </w:rPr>
              <w:t>Follow-</w:t>
            </w:r>
            <w:r w:rsidRPr="005D4222">
              <w:rPr>
                <w:b/>
                <w:bCs w:val="0"/>
              </w:rPr>
              <w:t>up</w:t>
            </w:r>
            <w:r w:rsidRPr="005D4222">
              <w:rPr>
                <w:b/>
              </w:rPr>
              <w:t xml:space="preserve"> on </w:t>
            </w:r>
            <w:r w:rsidRPr="005D4222">
              <w:rPr>
                <w:b/>
                <w:bCs w:val="0"/>
              </w:rPr>
              <w:t>positive screen.</w:t>
            </w:r>
            <w:r w:rsidRPr="005D4222">
              <w:rPr>
                <w:b/>
                <w:bCs w:val="0"/>
              </w:rPr>
              <w:br/>
            </w:r>
            <w:r w:rsidRPr="005D4222">
              <w:t>Deliveries in which persons received follow-up care on or up to 30 days after the date of the first positive screen (31 total days).</w:t>
            </w:r>
          </w:p>
          <w:p w14:paraId="14DC3162" w14:textId="77777777" w:rsidR="002E6A87" w:rsidRPr="005D4222" w:rsidRDefault="002E6A87" w:rsidP="00A53E8C">
            <w:pPr>
              <w:pStyle w:val="ECDSBody"/>
            </w:pPr>
            <w:r w:rsidRPr="005D4222">
              <w:t>Any of the following on or up to 30 days after the first positive screen:</w:t>
            </w:r>
          </w:p>
          <w:p w14:paraId="5E5F3C4A" w14:textId="77777777" w:rsidR="002E6A87" w:rsidRPr="005D4222" w:rsidRDefault="002E6A87" w:rsidP="002E6A87">
            <w:pPr>
              <w:pStyle w:val="Bullet"/>
              <w:numPr>
                <w:ilvl w:val="0"/>
                <w:numId w:val="4"/>
              </w:numPr>
              <w:spacing w:after="80"/>
              <w:ind w:left="576" w:hanging="216"/>
              <w:rPr>
                <w:kern w:val="20"/>
              </w:rPr>
            </w:pPr>
            <w:r w:rsidRPr="005D4222">
              <w:t>An outpatient, telephone, e-visit or virtual check-in follow-up visit (</w:t>
            </w:r>
            <w:r w:rsidRPr="005D4222">
              <w:rPr>
                <w:u w:val="single"/>
              </w:rPr>
              <w:t>Follow Up Visit Value Set</w:t>
            </w:r>
            <w:r w:rsidRPr="005D4222">
              <w:t>) with a diagnosis of depression or other behavioral health condition (</w:t>
            </w:r>
            <w:r w:rsidRPr="005D4222">
              <w:rPr>
                <w:u w:val="single"/>
              </w:rPr>
              <w:t>Depression or Other Behavioral Health Condition Value Set</w:t>
            </w:r>
            <w:r w:rsidRPr="005D4222">
              <w:t>).</w:t>
            </w:r>
          </w:p>
          <w:p w14:paraId="0698CBDC" w14:textId="77777777" w:rsidR="002E6A87" w:rsidRPr="005D4222" w:rsidRDefault="002E6A87" w:rsidP="002E6A87">
            <w:pPr>
              <w:pStyle w:val="Bullet"/>
              <w:numPr>
                <w:ilvl w:val="0"/>
                <w:numId w:val="4"/>
              </w:numPr>
              <w:ind w:left="576" w:hanging="216"/>
            </w:pPr>
            <w:r w:rsidRPr="005D4222">
              <w:t>A depression case management encounter (</w:t>
            </w:r>
            <w:r w:rsidRPr="005D4222">
              <w:rPr>
                <w:u w:val="single"/>
              </w:rPr>
              <w:t>Depression Case Management Encounter Value Set</w:t>
            </w:r>
            <w:r w:rsidRPr="005D4222">
              <w:t>) that documents assessment for symptoms of depression (</w:t>
            </w:r>
            <w:r w:rsidRPr="005D4222">
              <w:rPr>
                <w:u w:val="single"/>
              </w:rPr>
              <w:t>Symptoms of Depression Value Set</w:t>
            </w:r>
            <w:r w:rsidRPr="005D4222">
              <w:t>) or a diagnosis of depression or other behavioral health condition (</w:t>
            </w:r>
            <w:r w:rsidRPr="005D4222">
              <w:rPr>
                <w:u w:val="single"/>
              </w:rPr>
              <w:t>Depression or Other Behavioral Health Condition Value Set</w:t>
            </w:r>
            <w:r w:rsidRPr="005D4222">
              <w:t>).</w:t>
            </w:r>
          </w:p>
          <w:p w14:paraId="2ED17CC2" w14:textId="77777777" w:rsidR="002E6A87" w:rsidRPr="005D4222" w:rsidRDefault="002E6A87" w:rsidP="002E6A87">
            <w:pPr>
              <w:pStyle w:val="Bullet"/>
              <w:numPr>
                <w:ilvl w:val="0"/>
                <w:numId w:val="4"/>
              </w:numPr>
              <w:ind w:left="576" w:hanging="216"/>
            </w:pPr>
            <w:r w:rsidRPr="005D4222">
              <w:t>A behavioral health encounter, including assessment, therapy, collaborative care or medication management (</w:t>
            </w:r>
            <w:r w:rsidRPr="005D4222">
              <w:rPr>
                <w:u w:val="single"/>
              </w:rPr>
              <w:t>Behavioral Health Encounter Value Set</w:t>
            </w:r>
            <w:r w:rsidRPr="005D4222">
              <w:t>).</w:t>
            </w:r>
          </w:p>
          <w:p w14:paraId="35ABDD0B" w14:textId="77777777" w:rsidR="002E6A87" w:rsidRPr="005D4222" w:rsidRDefault="002E6A87" w:rsidP="002E6A87">
            <w:pPr>
              <w:numPr>
                <w:ilvl w:val="0"/>
                <w:numId w:val="4"/>
              </w:numPr>
              <w:tabs>
                <w:tab w:val="left" w:pos="360"/>
                <w:tab w:val="left" w:pos="576"/>
              </w:tabs>
              <w:spacing w:before="80"/>
              <w:ind w:left="576" w:hanging="216"/>
              <w:rPr>
                <w:szCs w:val="24"/>
              </w:rPr>
            </w:pPr>
            <w:r w:rsidRPr="005D4222">
              <w:t xml:space="preserve">A diagnosis of encounter for exercise counseling (ICD-10-CM code Z71.82*). </w:t>
            </w:r>
          </w:p>
          <w:p w14:paraId="1D4BBC2D" w14:textId="77777777" w:rsidR="002E6A87" w:rsidRPr="005D4222" w:rsidRDefault="002E6A87" w:rsidP="002E6A87">
            <w:pPr>
              <w:pStyle w:val="Bullet"/>
              <w:numPr>
                <w:ilvl w:val="0"/>
                <w:numId w:val="4"/>
              </w:numPr>
              <w:ind w:left="576" w:hanging="216"/>
              <w:rPr>
                <w:kern w:val="20"/>
              </w:rPr>
            </w:pPr>
            <w:r w:rsidRPr="005D4222">
              <w:t>A dispensed antidepressant medication (</w:t>
            </w:r>
            <w:r w:rsidRPr="005D4222">
              <w:rPr>
                <w:u w:val="single"/>
              </w:rPr>
              <w:t>Antidepressant Medications List</w:t>
            </w:r>
            <w:r w:rsidRPr="005D4222">
              <w:t>).</w:t>
            </w:r>
          </w:p>
          <w:p w14:paraId="7D7EC144" w14:textId="77777777" w:rsidR="002E6A87" w:rsidRPr="005D4222" w:rsidRDefault="002E6A87" w:rsidP="00A53E8C">
            <w:pPr>
              <w:pStyle w:val="ECDSBody"/>
            </w:pPr>
            <w:r w:rsidRPr="005D4222">
              <w:rPr>
                <w:b/>
                <w:i/>
              </w:rPr>
              <w:t>OR</w:t>
            </w:r>
          </w:p>
        </w:tc>
      </w:tr>
    </w:tbl>
    <w:p w14:paraId="00906584" w14:textId="77777777" w:rsidR="002E6A87" w:rsidRPr="005D4222" w:rsidRDefault="002E6A87" w:rsidP="002E6A87">
      <w:pPr>
        <w:spacing w:after="160" w:line="259" w:lineRule="auto"/>
      </w:pPr>
      <w:r w:rsidRPr="005D4222">
        <w:br w:type="page"/>
      </w:r>
    </w:p>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2E6A87" w:rsidRPr="005D4222" w14:paraId="483473BC" w14:textId="77777777" w:rsidTr="00A53E8C">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E93320D" w14:textId="77777777" w:rsidR="002E6A87" w:rsidRPr="005D4222" w:rsidRDefault="002E6A87"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2FF3F6EF" w14:textId="77777777" w:rsidR="002E6A87" w:rsidRPr="005D4222" w:rsidRDefault="002E6A87" w:rsidP="002E6A87">
            <w:pPr>
              <w:pStyle w:val="Bullet"/>
              <w:numPr>
                <w:ilvl w:val="0"/>
                <w:numId w:val="4"/>
              </w:numPr>
              <w:ind w:left="576" w:hanging="216"/>
            </w:pPr>
            <w:r w:rsidRPr="005D4222">
              <w:t>Documentation of additional depression screening on a full-length instrument indicating either no depression or no symptoms that require follow-up (i.e., a negative screen) on the same day as a positive screen on a brief screening instrument.</w:t>
            </w:r>
          </w:p>
          <w:p w14:paraId="3D54E9DE" w14:textId="77777777" w:rsidR="002E6A87" w:rsidRPr="005D4222" w:rsidRDefault="002E6A87" w:rsidP="00F72EF8">
            <w:pPr>
              <w:pStyle w:val="ECDSBody"/>
              <w:spacing w:before="80"/>
              <w:ind w:left="576"/>
            </w:pPr>
            <w:r w:rsidRPr="005D4222">
              <w:rPr>
                <w:i/>
                <w:iCs/>
              </w:rPr>
              <w:t>For</w:t>
            </w:r>
            <w:r w:rsidRPr="005D4222">
              <w:rPr>
                <w:i/>
              </w:rPr>
              <w:t xml:space="preserve"> example,</w:t>
            </w:r>
            <w:r w:rsidRPr="005D4222">
              <w:t xml:space="preserve"> if there is a positive screen resulting from a PHQ-2 score, documentation of a negative finding from a PHQ-9 performed on the same day qualifies as evidence of follow-up.</w:t>
            </w:r>
          </w:p>
          <w:p w14:paraId="7D9CC894" w14:textId="77777777" w:rsidR="002E6A87" w:rsidRPr="005D4222" w:rsidRDefault="002E6A87" w:rsidP="00A53E8C">
            <w:pPr>
              <w:pStyle w:val="ECDSBody"/>
              <w:spacing w:after="0"/>
              <w:rPr>
                <w:rFonts w:eastAsia="Arial,Arial,Arial,Arial,Arial,A"/>
                <w:b/>
                <w:bCs w:val="0"/>
              </w:rPr>
            </w:pPr>
            <w:r w:rsidRPr="005D4222">
              <w:rPr>
                <w:rFonts w:eastAsia="Arial,Arial,Arial,Arial,Arial,A"/>
                <w:b/>
                <w:bCs w:val="0"/>
              </w:rPr>
              <w:t>Coding Guidance</w:t>
            </w:r>
          </w:p>
          <w:p w14:paraId="02C7DB4B" w14:textId="77777777" w:rsidR="002E6A87" w:rsidRPr="005D4222" w:rsidRDefault="002E6A87" w:rsidP="00A145A2">
            <w:pPr>
              <w:pStyle w:val="Note"/>
              <w:spacing w:before="0" w:after="80"/>
              <w:rPr>
                <w:i w:val="0"/>
                <w:iCs/>
              </w:rPr>
            </w:pPr>
            <w:r w:rsidRPr="005D4222">
              <w:rPr>
                <w:rFonts w:eastAsia="Arial,Arial,Arial,Arial,Arial,A" w:cs="Arial"/>
                <w:b/>
                <w:i w:val="0"/>
              </w:rPr>
              <w:t>*</w:t>
            </w:r>
            <w:r w:rsidRPr="005D4222">
              <w:rPr>
                <w:rFonts w:eastAsia="Arial,Arial,Arial,Arial,Arial,A" w:cs="Arial"/>
                <w:i w:val="0"/>
                <w:iCs/>
              </w:rPr>
              <w:t>Do not include laboratory claims (claims with POS code 81).</w:t>
            </w:r>
          </w:p>
        </w:tc>
      </w:tr>
      <w:tr w:rsidR="002E6A87" w:rsidRPr="005D4222" w14:paraId="3F3D696E" w14:textId="77777777" w:rsidTr="00A53E8C">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1F48C293" w14:textId="77777777" w:rsidR="002E6A87" w:rsidRPr="005D4222" w:rsidRDefault="002E6A87" w:rsidP="00A53E8C">
            <w:pPr>
              <w:pStyle w:val="ECDSMarginHead"/>
            </w:pPr>
            <w:r w:rsidRPr="005D4222">
              <w:t>Summary of changes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55D52A0" w14:textId="77777777" w:rsidR="002E6A87" w:rsidRPr="005D4222" w:rsidRDefault="002E6A87" w:rsidP="005D6173">
            <w:pPr>
              <w:pStyle w:val="ProcessBullet"/>
              <w:numPr>
                <w:ilvl w:val="0"/>
                <w:numId w:val="98"/>
              </w:numPr>
              <w:spacing w:before="120"/>
              <w:ind w:left="216" w:hanging="216"/>
            </w:pPr>
            <w:r w:rsidRPr="005D4222">
              <w:t>Updated clinical recommendation language to be consistent with 2023 ACOG clinical practice guidelines.</w:t>
            </w:r>
          </w:p>
          <w:p w14:paraId="28379A12" w14:textId="77777777" w:rsidR="002E6A87" w:rsidRPr="005D4222" w:rsidRDefault="002E6A87" w:rsidP="005D6173">
            <w:pPr>
              <w:pStyle w:val="ProcessBullet"/>
              <w:numPr>
                <w:ilvl w:val="0"/>
                <w:numId w:val="98"/>
              </w:numPr>
              <w:tabs>
                <w:tab w:val="left" w:pos="216"/>
              </w:tabs>
              <w:spacing w:before="60" w:after="80"/>
              <w:ind w:left="216" w:hanging="216"/>
              <w:rPr>
                <w:color w:val="000000" w:themeColor="text1"/>
              </w:rPr>
            </w:pPr>
            <w:r w:rsidRPr="005D4222">
              <w:rPr>
                <w:color w:val="000000" w:themeColor="text1"/>
              </w:rPr>
              <w:t>Updated the race and ethnicity stratification categories to align with OMB SPD 15 2024.</w:t>
            </w:r>
          </w:p>
          <w:p w14:paraId="781E6520" w14:textId="77777777" w:rsidR="002E6A87" w:rsidRPr="005D4222" w:rsidRDefault="002E6A87" w:rsidP="005D6173">
            <w:pPr>
              <w:pStyle w:val="ProcessBullet"/>
              <w:numPr>
                <w:ilvl w:val="0"/>
                <w:numId w:val="98"/>
              </w:numPr>
              <w:tabs>
                <w:tab w:val="left" w:pos="216"/>
              </w:tabs>
              <w:spacing w:before="60"/>
              <w:ind w:left="216" w:hanging="216"/>
            </w:pPr>
            <w:r w:rsidRPr="005D4222">
              <w:t xml:space="preserve">Removed the definitions of “participation” and “participation period.” </w:t>
            </w:r>
          </w:p>
          <w:p w14:paraId="411A6C7E" w14:textId="77777777" w:rsidR="002E6A87" w:rsidRPr="005D4222" w:rsidRDefault="002E6A87" w:rsidP="005D6173">
            <w:pPr>
              <w:pStyle w:val="ProcessBullet"/>
              <w:numPr>
                <w:ilvl w:val="0"/>
                <w:numId w:val="98"/>
              </w:numPr>
              <w:spacing w:before="60"/>
              <w:ind w:left="216" w:hanging="216"/>
            </w:pPr>
            <w:r w:rsidRPr="005D4222">
              <w:t>Added the PROMIS Emotional Distress instrument to the depression screening instruments for adults.</w:t>
            </w:r>
          </w:p>
          <w:p w14:paraId="2DC0FEF5" w14:textId="77777777" w:rsidR="002E6A87" w:rsidRPr="005D4222" w:rsidRDefault="002E6A87" w:rsidP="005D6173">
            <w:pPr>
              <w:pStyle w:val="ProcessBullet"/>
              <w:numPr>
                <w:ilvl w:val="0"/>
                <w:numId w:val="98"/>
              </w:numPr>
              <w:tabs>
                <w:tab w:val="left" w:pos="216"/>
              </w:tabs>
              <w:spacing w:before="60"/>
              <w:ind w:left="216" w:hanging="216"/>
            </w:pPr>
            <w:r w:rsidRPr="005D4222">
              <w:t>Removed the SSoR data elements from the data element tables.</w:t>
            </w:r>
          </w:p>
          <w:p w14:paraId="6001C708" w14:textId="77777777" w:rsidR="002E6A87" w:rsidRPr="005D4222" w:rsidRDefault="002E6A87" w:rsidP="005D6173">
            <w:pPr>
              <w:pStyle w:val="ProcessBullet"/>
              <w:numPr>
                <w:ilvl w:val="0"/>
                <w:numId w:val="98"/>
              </w:numPr>
              <w:tabs>
                <w:tab w:val="left" w:pos="216"/>
              </w:tabs>
              <w:spacing w:before="60" w:after="80"/>
              <w:ind w:left="216" w:hanging="216"/>
              <w:rPr>
                <w:color w:val="000000" w:themeColor="text1"/>
              </w:rPr>
            </w:pPr>
            <w:r w:rsidRPr="005D4222">
              <w:t>Added instructions on allowable adjustments to the race and ethnicity stratifications.</w:t>
            </w:r>
          </w:p>
        </w:tc>
      </w:tr>
      <w:tr w:rsidR="002E6A87" w:rsidRPr="005D4222" w14:paraId="25D06BFD"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2026D8A" w14:textId="77777777" w:rsidR="002E6A87" w:rsidRPr="005D4222" w:rsidRDefault="002E6A87" w:rsidP="00A53E8C">
            <w:pPr>
              <w:pStyle w:val="ECDSMarginHead"/>
            </w:pPr>
            <w:r w:rsidRPr="005D4222">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231130A" w14:textId="77777777" w:rsidR="002E6A87" w:rsidRPr="005D4222" w:rsidRDefault="002E6A87" w:rsidP="00A53E8C">
            <w:pPr>
              <w:pStyle w:val="ECDSBody"/>
            </w:pPr>
            <w:r w:rsidRPr="005D4222">
              <w:t xml:space="preserve">Organizations that submit HEDIS data to NCQA must provide the following data elements. </w:t>
            </w:r>
          </w:p>
          <w:p w14:paraId="4FB41A2F" w14:textId="77777777" w:rsidR="002E6A87" w:rsidRPr="005D4222" w:rsidRDefault="002E6A87" w:rsidP="00A53E8C">
            <w:pPr>
              <w:pStyle w:val="Heading3"/>
              <w:spacing w:before="120"/>
              <w:rPr>
                <w:rFonts w:eastAsia="Arial,Arial,Arial,Arial,Arial,A"/>
              </w:rPr>
            </w:pPr>
            <w:r w:rsidRPr="005D4222">
              <w:rPr>
                <w:rFonts w:eastAsia="Arial,Arial,Arial,Arial,Arial,A"/>
              </w:rPr>
              <w:t>Table PND-E-A-1/2: Data Elements for Prenatal Depression Screening and Follow-Up</w:t>
            </w:r>
          </w:p>
          <w:tbl>
            <w:tblPr>
              <w:tblW w:w="5000" w:type="pct"/>
              <w:tblLayout w:type="fixed"/>
              <w:tblLook w:val="04A0" w:firstRow="1" w:lastRow="0" w:firstColumn="1" w:lastColumn="0" w:noHBand="0" w:noVBand="1"/>
            </w:tblPr>
            <w:tblGrid>
              <w:gridCol w:w="1521"/>
              <w:gridCol w:w="2934"/>
              <w:gridCol w:w="2910"/>
            </w:tblGrid>
            <w:tr w:rsidR="002E6A87" w:rsidRPr="005D4222" w14:paraId="20FFBAEE" w14:textId="77777777" w:rsidTr="00A76F16">
              <w:tc>
                <w:tcPr>
                  <w:tcW w:w="1521" w:type="dxa"/>
                  <w:tcBorders>
                    <w:top w:val="single" w:sz="8" w:space="0" w:color="auto"/>
                    <w:left w:val="single" w:sz="8" w:space="0" w:color="auto"/>
                    <w:bottom w:val="single" w:sz="4" w:space="0" w:color="auto"/>
                    <w:right w:val="single" w:sz="6" w:space="0" w:color="FFFFFF"/>
                  </w:tcBorders>
                  <w:shd w:val="clear" w:color="auto" w:fill="000000"/>
                  <w:noWrap/>
                  <w:tcMar>
                    <w:left w:w="72" w:type="dxa"/>
                    <w:right w:w="72" w:type="dxa"/>
                  </w:tcMar>
                  <w:vAlign w:val="center"/>
                  <w:hideMark/>
                </w:tcPr>
                <w:p w14:paraId="4B5D55B7" w14:textId="77777777" w:rsidR="002E6A87" w:rsidRPr="005D4222" w:rsidRDefault="002E6A87" w:rsidP="00A53E8C">
                  <w:pPr>
                    <w:pStyle w:val="TableHead"/>
                    <w:spacing w:before="40" w:after="40"/>
                    <w:rPr>
                      <w:b w:val="0"/>
                      <w:kern w:val="20"/>
                    </w:rPr>
                  </w:pPr>
                  <w:r w:rsidRPr="005D4222">
                    <w:t>Metric</w:t>
                  </w:r>
                </w:p>
              </w:tc>
              <w:tc>
                <w:tcPr>
                  <w:tcW w:w="2934" w:type="dxa"/>
                  <w:tcBorders>
                    <w:top w:val="single" w:sz="8" w:space="0" w:color="auto"/>
                    <w:left w:val="single" w:sz="6" w:space="0" w:color="FFFFFF"/>
                    <w:bottom w:val="single" w:sz="4" w:space="0" w:color="auto"/>
                    <w:right w:val="single" w:sz="4" w:space="0" w:color="FFFFFF"/>
                  </w:tcBorders>
                  <w:shd w:val="clear" w:color="auto" w:fill="000000"/>
                  <w:noWrap/>
                  <w:tcMar>
                    <w:left w:w="72" w:type="dxa"/>
                    <w:right w:w="72" w:type="dxa"/>
                  </w:tcMar>
                  <w:vAlign w:val="center"/>
                  <w:hideMark/>
                </w:tcPr>
                <w:p w14:paraId="56AE22BF" w14:textId="77777777" w:rsidR="002E6A87" w:rsidRPr="005D4222" w:rsidRDefault="002E6A87" w:rsidP="00A53E8C">
                  <w:pPr>
                    <w:pStyle w:val="TableHead"/>
                    <w:spacing w:before="40" w:after="40"/>
                    <w:rPr>
                      <w:b w:val="0"/>
                      <w:kern w:val="20"/>
                    </w:rPr>
                  </w:pPr>
                  <w:r w:rsidRPr="005D4222">
                    <w:t>Data Element</w:t>
                  </w:r>
                </w:p>
              </w:tc>
              <w:tc>
                <w:tcPr>
                  <w:tcW w:w="2910" w:type="dxa"/>
                  <w:tcBorders>
                    <w:top w:val="single" w:sz="8" w:space="0" w:color="auto"/>
                    <w:left w:val="single" w:sz="4" w:space="0" w:color="FFFFFF"/>
                    <w:bottom w:val="single" w:sz="4" w:space="0" w:color="auto"/>
                    <w:right w:val="single" w:sz="8" w:space="0" w:color="auto"/>
                  </w:tcBorders>
                  <w:shd w:val="clear" w:color="auto" w:fill="000000"/>
                  <w:tcMar>
                    <w:left w:w="72" w:type="dxa"/>
                    <w:right w:w="72" w:type="dxa"/>
                  </w:tcMar>
                  <w:vAlign w:val="center"/>
                  <w:hideMark/>
                </w:tcPr>
                <w:p w14:paraId="7177EE59" w14:textId="77777777" w:rsidR="002E6A87" w:rsidRPr="005D4222" w:rsidRDefault="002E6A87" w:rsidP="00A53E8C">
                  <w:pPr>
                    <w:pStyle w:val="TableHead"/>
                    <w:spacing w:before="40" w:after="40"/>
                    <w:rPr>
                      <w:b w:val="0"/>
                      <w:kern w:val="20"/>
                    </w:rPr>
                  </w:pPr>
                  <w:r w:rsidRPr="005D4222">
                    <w:t>Reporting Instructions</w:t>
                  </w:r>
                </w:p>
              </w:tc>
            </w:tr>
            <w:tr w:rsidR="002E6A87" w:rsidRPr="005D4222" w14:paraId="146FB5D6" w14:textId="77777777" w:rsidTr="00A76F16">
              <w:tc>
                <w:tcPr>
                  <w:tcW w:w="1521" w:type="dxa"/>
                  <w:tcBorders>
                    <w:top w:val="single" w:sz="4" w:space="0" w:color="auto"/>
                    <w:left w:val="single" w:sz="4" w:space="0" w:color="auto"/>
                    <w:bottom w:val="single" w:sz="4" w:space="0" w:color="auto"/>
                    <w:right w:val="single" w:sz="4" w:space="0" w:color="auto"/>
                  </w:tcBorders>
                  <w:shd w:val="clear" w:color="auto" w:fill="FFFFFF"/>
                  <w:noWrap/>
                  <w:tcMar>
                    <w:left w:w="72" w:type="dxa"/>
                    <w:right w:w="72" w:type="dxa"/>
                  </w:tcMar>
                  <w:vAlign w:val="center"/>
                  <w:hideMark/>
                </w:tcPr>
                <w:p w14:paraId="0DB2F3D6" w14:textId="77777777" w:rsidR="002E6A87" w:rsidRPr="005D4222" w:rsidRDefault="002E6A87" w:rsidP="00A53E8C">
                  <w:pPr>
                    <w:pStyle w:val="TableText"/>
                    <w:spacing w:before="40" w:after="40"/>
                  </w:pPr>
                  <w:r w:rsidRPr="005D4222">
                    <w:t>Screening</w:t>
                  </w:r>
                </w:p>
              </w:tc>
              <w:tc>
                <w:tcPr>
                  <w:tcW w:w="2934" w:type="dxa"/>
                  <w:tcBorders>
                    <w:top w:val="single" w:sz="4" w:space="0" w:color="auto"/>
                    <w:left w:val="single" w:sz="4" w:space="0" w:color="auto"/>
                    <w:bottom w:val="single" w:sz="4" w:space="0" w:color="auto"/>
                    <w:right w:val="single" w:sz="4" w:space="0" w:color="auto"/>
                  </w:tcBorders>
                  <w:shd w:val="clear" w:color="auto" w:fill="FFFFFF"/>
                  <w:noWrap/>
                  <w:tcMar>
                    <w:left w:w="72" w:type="dxa"/>
                    <w:right w:w="72" w:type="dxa"/>
                  </w:tcMar>
                  <w:vAlign w:val="center"/>
                  <w:hideMark/>
                </w:tcPr>
                <w:p w14:paraId="25411523" w14:textId="77777777" w:rsidR="002E6A87" w:rsidRPr="005D4222" w:rsidRDefault="002E6A87" w:rsidP="00A53E8C">
                  <w:pPr>
                    <w:pStyle w:val="TableText"/>
                    <w:spacing w:before="40" w:after="40"/>
                  </w:pPr>
                  <w:r w:rsidRPr="005D4222">
                    <w:t>InitialPopulation</w:t>
                  </w:r>
                </w:p>
              </w:tc>
              <w:tc>
                <w:tcPr>
                  <w:tcW w:w="2910"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vAlign w:val="center"/>
                  <w:hideMark/>
                </w:tcPr>
                <w:p w14:paraId="4CD4A2A0" w14:textId="77777777" w:rsidR="002E6A87" w:rsidRPr="005D4222" w:rsidRDefault="002E6A87" w:rsidP="00A53E8C">
                  <w:pPr>
                    <w:pStyle w:val="TableText"/>
                    <w:spacing w:before="40" w:after="40"/>
                  </w:pPr>
                  <w:r w:rsidRPr="005D4222">
                    <w:t>Repeat per Metric</w:t>
                  </w:r>
                </w:p>
              </w:tc>
            </w:tr>
            <w:tr w:rsidR="002E6A87" w:rsidRPr="005D4222" w14:paraId="58D80C18" w14:textId="77777777" w:rsidTr="00A76F16">
              <w:tc>
                <w:tcPr>
                  <w:tcW w:w="1521" w:type="dxa"/>
                  <w:tcBorders>
                    <w:top w:val="single" w:sz="4" w:space="0" w:color="auto"/>
                    <w:left w:val="single" w:sz="4" w:space="0" w:color="auto"/>
                    <w:bottom w:val="single" w:sz="4" w:space="0" w:color="auto"/>
                    <w:right w:val="single" w:sz="4" w:space="0" w:color="auto"/>
                  </w:tcBorders>
                  <w:shd w:val="clear" w:color="auto" w:fill="FFFFFF"/>
                  <w:noWrap/>
                  <w:tcMar>
                    <w:left w:w="72" w:type="dxa"/>
                    <w:right w:w="72" w:type="dxa"/>
                  </w:tcMar>
                  <w:vAlign w:val="center"/>
                  <w:hideMark/>
                </w:tcPr>
                <w:p w14:paraId="1C9F80D3" w14:textId="77777777" w:rsidR="002E6A87" w:rsidRPr="005D4222" w:rsidRDefault="002E6A87" w:rsidP="00A53E8C">
                  <w:pPr>
                    <w:pStyle w:val="TableText"/>
                    <w:spacing w:before="40" w:after="40"/>
                  </w:pPr>
                  <w:r w:rsidRPr="005D4222">
                    <w:t>FollowUp</w:t>
                  </w:r>
                </w:p>
              </w:tc>
              <w:tc>
                <w:tcPr>
                  <w:tcW w:w="2934" w:type="dxa"/>
                  <w:tcBorders>
                    <w:top w:val="single" w:sz="4" w:space="0" w:color="auto"/>
                    <w:left w:val="single" w:sz="4" w:space="0" w:color="auto"/>
                    <w:bottom w:val="single" w:sz="4" w:space="0" w:color="auto"/>
                    <w:right w:val="single" w:sz="4" w:space="0" w:color="auto"/>
                  </w:tcBorders>
                  <w:noWrap/>
                  <w:tcMar>
                    <w:left w:w="72" w:type="dxa"/>
                    <w:right w:w="72" w:type="dxa"/>
                  </w:tcMar>
                  <w:vAlign w:val="center"/>
                  <w:hideMark/>
                </w:tcPr>
                <w:p w14:paraId="2E1DED54" w14:textId="77777777" w:rsidR="002E6A87" w:rsidRPr="005D4222" w:rsidRDefault="002E6A87" w:rsidP="00A53E8C">
                  <w:pPr>
                    <w:pStyle w:val="TableText"/>
                    <w:spacing w:before="40" w:after="40"/>
                  </w:pPr>
                  <w:r w:rsidRPr="005D4222">
                    <w:t>Exclusions</w:t>
                  </w:r>
                </w:p>
              </w:tc>
              <w:tc>
                <w:tcPr>
                  <w:tcW w:w="2910" w:type="dxa"/>
                  <w:tcBorders>
                    <w:top w:val="single" w:sz="4" w:space="0" w:color="auto"/>
                    <w:left w:val="single" w:sz="4" w:space="0" w:color="auto"/>
                    <w:bottom w:val="single" w:sz="4" w:space="0" w:color="auto"/>
                    <w:right w:val="single" w:sz="4" w:space="0" w:color="auto"/>
                  </w:tcBorders>
                  <w:tcMar>
                    <w:left w:w="72" w:type="dxa"/>
                    <w:right w:w="72" w:type="dxa"/>
                  </w:tcMar>
                  <w:vAlign w:val="center"/>
                  <w:hideMark/>
                </w:tcPr>
                <w:p w14:paraId="4D267EB7" w14:textId="77777777" w:rsidR="002E6A87" w:rsidRPr="005D4222" w:rsidRDefault="002E6A87" w:rsidP="00A53E8C">
                  <w:pPr>
                    <w:pStyle w:val="TableText"/>
                    <w:spacing w:before="40" w:after="40"/>
                  </w:pPr>
                  <w:r w:rsidRPr="005D4222">
                    <w:t>Repeat per Metric</w:t>
                  </w:r>
                </w:p>
              </w:tc>
            </w:tr>
            <w:tr w:rsidR="002E6A87" w:rsidRPr="005D4222" w14:paraId="650E9547" w14:textId="77777777" w:rsidTr="00A76F16">
              <w:tc>
                <w:tcPr>
                  <w:tcW w:w="1521" w:type="dxa"/>
                  <w:shd w:val="clear" w:color="auto" w:fill="FFFFFF"/>
                  <w:noWrap/>
                  <w:tcMar>
                    <w:left w:w="72" w:type="dxa"/>
                    <w:right w:w="72" w:type="dxa"/>
                  </w:tcMar>
                  <w:vAlign w:val="center"/>
                  <w:hideMark/>
                </w:tcPr>
                <w:p w14:paraId="7354D7D9" w14:textId="77777777" w:rsidR="002E6A87" w:rsidRPr="005D4222" w:rsidRDefault="002E6A87" w:rsidP="00A53E8C">
                  <w:pPr>
                    <w:pStyle w:val="TableText"/>
                    <w:spacing w:before="40" w:after="40"/>
                  </w:pPr>
                  <w:r w:rsidRPr="005D4222">
                    <w:t xml:space="preserve"> </w:t>
                  </w:r>
                </w:p>
              </w:tc>
              <w:tc>
                <w:tcPr>
                  <w:tcW w:w="2934" w:type="dxa"/>
                  <w:tcBorders>
                    <w:top w:val="single" w:sz="4" w:space="0" w:color="auto"/>
                    <w:left w:val="single" w:sz="4" w:space="0" w:color="auto"/>
                    <w:bottom w:val="single" w:sz="4" w:space="0" w:color="auto"/>
                    <w:right w:val="single" w:sz="4" w:space="0" w:color="auto"/>
                  </w:tcBorders>
                  <w:noWrap/>
                  <w:tcMar>
                    <w:left w:w="72" w:type="dxa"/>
                    <w:right w:w="72" w:type="dxa"/>
                  </w:tcMar>
                  <w:vAlign w:val="center"/>
                  <w:hideMark/>
                </w:tcPr>
                <w:p w14:paraId="18E98596" w14:textId="77777777" w:rsidR="002E6A87" w:rsidRPr="005D4222" w:rsidRDefault="002E6A87" w:rsidP="00A53E8C">
                  <w:pPr>
                    <w:pStyle w:val="TableText"/>
                    <w:spacing w:before="40" w:after="40"/>
                  </w:pPr>
                  <w:r w:rsidRPr="005D4222">
                    <w:t>Denominator</w:t>
                  </w:r>
                </w:p>
              </w:tc>
              <w:tc>
                <w:tcPr>
                  <w:tcW w:w="2910" w:type="dxa"/>
                  <w:tcBorders>
                    <w:top w:val="single" w:sz="4" w:space="0" w:color="auto"/>
                    <w:left w:val="single" w:sz="4" w:space="0" w:color="auto"/>
                    <w:bottom w:val="single" w:sz="4" w:space="0" w:color="auto"/>
                    <w:right w:val="single" w:sz="4" w:space="0" w:color="auto"/>
                  </w:tcBorders>
                  <w:tcMar>
                    <w:left w:w="72" w:type="dxa"/>
                    <w:right w:w="72" w:type="dxa"/>
                  </w:tcMar>
                  <w:vAlign w:val="center"/>
                  <w:hideMark/>
                </w:tcPr>
                <w:p w14:paraId="51B698BE" w14:textId="77777777" w:rsidR="002E6A87" w:rsidRPr="005D4222" w:rsidRDefault="002E6A87" w:rsidP="00A53E8C">
                  <w:pPr>
                    <w:pStyle w:val="TableText"/>
                    <w:spacing w:before="40" w:after="40"/>
                  </w:pPr>
                  <w:r w:rsidRPr="005D4222">
                    <w:t>For each Metric</w:t>
                  </w:r>
                </w:p>
              </w:tc>
            </w:tr>
            <w:tr w:rsidR="002E6A87" w:rsidRPr="005D4222" w14:paraId="1687886B" w14:textId="77777777" w:rsidTr="00A76F16">
              <w:tc>
                <w:tcPr>
                  <w:tcW w:w="1521" w:type="dxa"/>
                  <w:shd w:val="clear" w:color="auto" w:fill="FFFFFF"/>
                  <w:noWrap/>
                  <w:tcMar>
                    <w:left w:w="72" w:type="dxa"/>
                    <w:right w:w="72" w:type="dxa"/>
                  </w:tcMar>
                  <w:vAlign w:val="center"/>
                  <w:hideMark/>
                </w:tcPr>
                <w:p w14:paraId="7B819FFA" w14:textId="77777777" w:rsidR="002E6A87" w:rsidRPr="005D4222" w:rsidRDefault="002E6A87" w:rsidP="00A53E8C">
                  <w:pPr>
                    <w:pStyle w:val="TableText"/>
                    <w:spacing w:before="40" w:after="40"/>
                  </w:pPr>
                  <w:r w:rsidRPr="005D4222">
                    <w:t xml:space="preserve"> </w:t>
                  </w:r>
                </w:p>
              </w:tc>
              <w:tc>
                <w:tcPr>
                  <w:tcW w:w="2934" w:type="dxa"/>
                  <w:tcBorders>
                    <w:top w:val="single" w:sz="4" w:space="0" w:color="auto"/>
                    <w:left w:val="single" w:sz="4" w:space="0" w:color="auto"/>
                    <w:bottom w:val="single" w:sz="4" w:space="0" w:color="auto"/>
                    <w:right w:val="single" w:sz="4" w:space="0" w:color="auto"/>
                  </w:tcBorders>
                  <w:shd w:val="clear" w:color="auto" w:fill="FFFFFF"/>
                  <w:noWrap/>
                  <w:tcMar>
                    <w:left w:w="72" w:type="dxa"/>
                    <w:right w:w="72" w:type="dxa"/>
                  </w:tcMar>
                  <w:vAlign w:val="center"/>
                  <w:hideMark/>
                </w:tcPr>
                <w:p w14:paraId="36E33C32" w14:textId="77777777" w:rsidR="002E6A87" w:rsidRPr="005D4222" w:rsidRDefault="002E6A87" w:rsidP="00A53E8C">
                  <w:pPr>
                    <w:pStyle w:val="TableText"/>
                    <w:spacing w:before="40" w:after="40"/>
                  </w:pPr>
                  <w:r w:rsidRPr="005D4222">
                    <w:t>Numerator</w:t>
                  </w:r>
                </w:p>
              </w:tc>
              <w:tc>
                <w:tcPr>
                  <w:tcW w:w="2910" w:type="dxa"/>
                  <w:tcBorders>
                    <w:top w:val="single" w:sz="4" w:space="0" w:color="auto"/>
                    <w:left w:val="single" w:sz="4" w:space="0" w:color="auto"/>
                    <w:bottom w:val="single" w:sz="4" w:space="0" w:color="auto"/>
                    <w:right w:val="single" w:sz="4" w:space="0" w:color="auto"/>
                  </w:tcBorders>
                  <w:shd w:val="clear" w:color="auto" w:fill="FFFFFF"/>
                  <w:tcMar>
                    <w:left w:w="72" w:type="dxa"/>
                    <w:right w:w="72" w:type="dxa"/>
                  </w:tcMar>
                  <w:vAlign w:val="center"/>
                  <w:hideMark/>
                </w:tcPr>
                <w:p w14:paraId="4689261A" w14:textId="77777777" w:rsidR="002E6A87" w:rsidRPr="005D4222" w:rsidRDefault="002E6A87" w:rsidP="00A53E8C">
                  <w:pPr>
                    <w:pStyle w:val="TableText"/>
                    <w:spacing w:before="40" w:after="40"/>
                  </w:pPr>
                  <w:r w:rsidRPr="005D4222">
                    <w:t>For each Metric</w:t>
                  </w:r>
                </w:p>
              </w:tc>
            </w:tr>
            <w:tr w:rsidR="002E6A87" w:rsidRPr="005D4222" w14:paraId="05A05764" w14:textId="77777777" w:rsidTr="00A76F16">
              <w:tc>
                <w:tcPr>
                  <w:tcW w:w="1521" w:type="dxa"/>
                  <w:tcBorders>
                    <w:top w:val="nil"/>
                    <w:left w:val="nil"/>
                    <w:bottom w:val="nil"/>
                    <w:right w:val="single" w:sz="4" w:space="0" w:color="auto"/>
                  </w:tcBorders>
                  <w:shd w:val="clear" w:color="auto" w:fill="FFFFFF"/>
                  <w:noWrap/>
                  <w:tcMar>
                    <w:left w:w="72" w:type="dxa"/>
                    <w:right w:w="72" w:type="dxa"/>
                  </w:tcMar>
                  <w:vAlign w:val="center"/>
                </w:tcPr>
                <w:p w14:paraId="68892398" w14:textId="77777777" w:rsidR="002E6A87" w:rsidRPr="005D4222" w:rsidRDefault="002E6A87" w:rsidP="00A53E8C">
                  <w:pPr>
                    <w:pStyle w:val="TableText"/>
                    <w:spacing w:before="40" w:after="40"/>
                  </w:pPr>
                </w:p>
              </w:tc>
              <w:tc>
                <w:tcPr>
                  <w:tcW w:w="2934" w:type="dxa"/>
                  <w:tcBorders>
                    <w:top w:val="single" w:sz="4" w:space="0" w:color="auto"/>
                    <w:left w:val="single" w:sz="4" w:space="0" w:color="auto"/>
                    <w:bottom w:val="single" w:sz="4" w:space="0" w:color="auto"/>
                    <w:right w:val="single" w:sz="4" w:space="0" w:color="auto"/>
                  </w:tcBorders>
                  <w:shd w:val="clear" w:color="auto" w:fill="D9D9D9"/>
                  <w:noWrap/>
                  <w:tcMar>
                    <w:left w:w="72" w:type="dxa"/>
                    <w:right w:w="72" w:type="dxa"/>
                  </w:tcMar>
                  <w:vAlign w:val="center"/>
                  <w:hideMark/>
                </w:tcPr>
                <w:p w14:paraId="70277D4B" w14:textId="77777777" w:rsidR="002E6A87" w:rsidRPr="005D4222" w:rsidRDefault="002E6A87" w:rsidP="00A53E8C">
                  <w:pPr>
                    <w:pStyle w:val="TableText"/>
                    <w:spacing w:before="40" w:after="40"/>
                  </w:pPr>
                  <w:r w:rsidRPr="005D4222">
                    <w:t>Rate</w:t>
                  </w:r>
                </w:p>
              </w:tc>
              <w:tc>
                <w:tcPr>
                  <w:tcW w:w="2910" w:type="dxa"/>
                  <w:tcBorders>
                    <w:top w:val="single" w:sz="4" w:space="0" w:color="auto"/>
                    <w:left w:val="single" w:sz="4" w:space="0" w:color="auto"/>
                    <w:bottom w:val="single" w:sz="4" w:space="0" w:color="auto"/>
                    <w:right w:val="single" w:sz="4" w:space="0" w:color="auto"/>
                  </w:tcBorders>
                  <w:shd w:val="clear" w:color="auto" w:fill="D9D9D9"/>
                  <w:tcMar>
                    <w:left w:w="72" w:type="dxa"/>
                    <w:right w:w="72" w:type="dxa"/>
                  </w:tcMar>
                  <w:vAlign w:val="center"/>
                  <w:hideMark/>
                </w:tcPr>
                <w:p w14:paraId="35FEA8D9" w14:textId="77777777" w:rsidR="002E6A87" w:rsidRPr="005D4222" w:rsidRDefault="002E6A87" w:rsidP="00A53E8C">
                  <w:pPr>
                    <w:pStyle w:val="TableText"/>
                    <w:spacing w:before="40" w:after="40"/>
                  </w:pPr>
                  <w:r w:rsidRPr="005D4222">
                    <w:t>(Percent)</w:t>
                  </w:r>
                </w:p>
              </w:tc>
            </w:tr>
          </w:tbl>
          <w:p w14:paraId="73454089" w14:textId="43C46C69" w:rsidR="002E6A87" w:rsidRPr="005D4222" w:rsidRDefault="002E6A87" w:rsidP="00A53E8C">
            <w:pPr>
              <w:pStyle w:val="Heading3"/>
            </w:pPr>
            <w:r w:rsidRPr="005D4222">
              <w:t xml:space="preserve">Table PND-E-B-1/2: Data Elements for Prenatal Depression Screening and Follow-Up: </w:t>
            </w:r>
            <w:r w:rsidR="00B51CDC" w:rsidRPr="005D4222">
              <w:t>Stratifications</w:t>
            </w:r>
            <w:r w:rsidRPr="005D4222">
              <w:t xml:space="preserve"> by Race</w:t>
            </w:r>
          </w:p>
          <w:tbl>
            <w:tblPr>
              <w:tblW w:w="7369" w:type="dxa"/>
              <w:tblInd w:w="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520"/>
              <w:gridCol w:w="2700"/>
              <w:gridCol w:w="1440"/>
              <w:gridCol w:w="1709"/>
            </w:tblGrid>
            <w:tr w:rsidR="002E6A87" w:rsidRPr="005D4222" w14:paraId="6207FFBC" w14:textId="77777777" w:rsidTr="00A76F16">
              <w:tc>
                <w:tcPr>
                  <w:tcW w:w="1520" w:type="dxa"/>
                  <w:tcBorders>
                    <w:top w:val="single" w:sz="6" w:space="0" w:color="auto"/>
                    <w:left w:val="single" w:sz="6" w:space="0" w:color="auto"/>
                    <w:bottom w:val="single" w:sz="6" w:space="0" w:color="auto"/>
                    <w:right w:val="single" w:sz="4" w:space="0" w:color="FFFFFF" w:themeColor="background1"/>
                  </w:tcBorders>
                  <w:shd w:val="clear" w:color="auto" w:fill="000000"/>
                  <w:tcMar>
                    <w:top w:w="0" w:type="dxa"/>
                    <w:left w:w="72" w:type="dxa"/>
                    <w:bottom w:w="0" w:type="dxa"/>
                    <w:right w:w="72" w:type="dxa"/>
                  </w:tcMar>
                  <w:vAlign w:val="bottom"/>
                  <w:hideMark/>
                </w:tcPr>
                <w:p w14:paraId="42C9C43A" w14:textId="77777777" w:rsidR="002E6A87" w:rsidRPr="005D4222" w:rsidRDefault="002E6A87" w:rsidP="00A53E8C">
                  <w:pPr>
                    <w:pStyle w:val="TableHead"/>
                    <w:spacing w:before="40" w:after="40"/>
                  </w:pPr>
                  <w:r w:rsidRPr="005D4222">
                    <w:t>Metric</w:t>
                  </w:r>
                </w:p>
              </w:tc>
              <w:tc>
                <w:tcPr>
                  <w:tcW w:w="2700" w:type="dxa"/>
                  <w:tcBorders>
                    <w:top w:val="single" w:sz="6" w:space="0" w:color="auto"/>
                    <w:left w:val="single" w:sz="4" w:space="0" w:color="FFFFFF" w:themeColor="background1"/>
                    <w:bottom w:val="single" w:sz="6" w:space="0" w:color="auto"/>
                    <w:right w:val="single" w:sz="6" w:space="0" w:color="FFFFFF"/>
                  </w:tcBorders>
                  <w:shd w:val="clear" w:color="auto" w:fill="000000"/>
                  <w:tcMar>
                    <w:top w:w="0" w:type="dxa"/>
                    <w:left w:w="72" w:type="dxa"/>
                    <w:bottom w:w="0" w:type="dxa"/>
                    <w:right w:w="72" w:type="dxa"/>
                  </w:tcMar>
                  <w:vAlign w:val="bottom"/>
                  <w:hideMark/>
                </w:tcPr>
                <w:p w14:paraId="5179B3AB" w14:textId="77777777" w:rsidR="002E6A87" w:rsidRPr="005D4222" w:rsidRDefault="002E6A87" w:rsidP="00A53E8C">
                  <w:pPr>
                    <w:pStyle w:val="TableHead"/>
                    <w:spacing w:before="40" w:after="40"/>
                  </w:pPr>
                  <w:r w:rsidRPr="005D4222">
                    <w:t>Race</w:t>
                  </w:r>
                </w:p>
              </w:tc>
              <w:tc>
                <w:tcPr>
                  <w:tcW w:w="1440" w:type="dxa"/>
                  <w:tcBorders>
                    <w:top w:val="single" w:sz="6" w:space="0" w:color="auto"/>
                    <w:left w:val="single" w:sz="6" w:space="0" w:color="FFFFFF"/>
                    <w:bottom w:val="single" w:sz="6" w:space="0" w:color="auto"/>
                    <w:right w:val="single" w:sz="6" w:space="0" w:color="FFFFFF"/>
                  </w:tcBorders>
                  <w:shd w:val="clear" w:color="auto" w:fill="000000"/>
                  <w:tcMar>
                    <w:top w:w="0" w:type="dxa"/>
                    <w:left w:w="72" w:type="dxa"/>
                    <w:bottom w:w="0" w:type="dxa"/>
                    <w:right w:w="72" w:type="dxa"/>
                  </w:tcMar>
                  <w:vAlign w:val="bottom"/>
                  <w:hideMark/>
                </w:tcPr>
                <w:p w14:paraId="44EE95B7" w14:textId="77777777" w:rsidR="002E6A87" w:rsidRPr="005D4222" w:rsidRDefault="002E6A87" w:rsidP="00A53E8C">
                  <w:pPr>
                    <w:pStyle w:val="TableHead"/>
                    <w:spacing w:before="40" w:after="40"/>
                  </w:pPr>
                  <w:r w:rsidRPr="005D4222">
                    <w:t>Data Element</w:t>
                  </w:r>
                </w:p>
              </w:tc>
              <w:tc>
                <w:tcPr>
                  <w:tcW w:w="1709" w:type="dxa"/>
                  <w:tcBorders>
                    <w:top w:val="single" w:sz="6" w:space="0" w:color="auto"/>
                    <w:left w:val="single" w:sz="6" w:space="0" w:color="FFFFFF"/>
                    <w:bottom w:val="single" w:sz="6" w:space="0" w:color="auto"/>
                    <w:right w:val="single" w:sz="6" w:space="0" w:color="auto"/>
                  </w:tcBorders>
                  <w:shd w:val="clear" w:color="auto" w:fill="000000"/>
                  <w:tcMar>
                    <w:top w:w="0" w:type="dxa"/>
                    <w:left w:w="72" w:type="dxa"/>
                    <w:bottom w:w="0" w:type="dxa"/>
                    <w:right w:w="72" w:type="dxa"/>
                  </w:tcMar>
                  <w:vAlign w:val="bottom"/>
                  <w:hideMark/>
                </w:tcPr>
                <w:p w14:paraId="0FF26B38" w14:textId="77777777" w:rsidR="002E6A87" w:rsidRPr="005D4222" w:rsidRDefault="002E6A87" w:rsidP="00A53E8C">
                  <w:pPr>
                    <w:pStyle w:val="TableHead"/>
                    <w:spacing w:before="40" w:after="40"/>
                  </w:pPr>
                  <w:r w:rsidRPr="005D4222">
                    <w:t>Reporting Instructions</w:t>
                  </w:r>
                </w:p>
              </w:tc>
            </w:tr>
            <w:tr w:rsidR="002E6A87" w:rsidRPr="005D4222" w14:paraId="3442C749" w14:textId="77777777" w:rsidTr="00A76F16">
              <w:tc>
                <w:tcPr>
                  <w:tcW w:w="1520" w:type="dxa"/>
                  <w:tcBorders>
                    <w:top w:val="single" w:sz="6" w:space="0" w:color="auto"/>
                    <w:left w:val="single" w:sz="6" w:space="0" w:color="auto"/>
                    <w:bottom w:val="single" w:sz="6" w:space="0" w:color="auto"/>
                    <w:right w:val="single" w:sz="6" w:space="0" w:color="auto"/>
                  </w:tcBorders>
                  <w:shd w:val="clear" w:color="auto" w:fill="FFFFFF"/>
                  <w:tcMar>
                    <w:top w:w="0" w:type="dxa"/>
                    <w:left w:w="72" w:type="dxa"/>
                    <w:bottom w:w="0" w:type="dxa"/>
                    <w:right w:w="72" w:type="dxa"/>
                  </w:tcMar>
                  <w:hideMark/>
                </w:tcPr>
                <w:p w14:paraId="67EAB892" w14:textId="77777777" w:rsidR="002E6A87" w:rsidRPr="005D4222" w:rsidRDefault="002E6A87" w:rsidP="00A53E8C">
                  <w:pPr>
                    <w:pStyle w:val="TableText"/>
                    <w:spacing w:before="40" w:after="40"/>
                    <w:rPr>
                      <w:rFonts w:ascii="Times New Roman" w:hAnsi="Times New Roman"/>
                      <w:sz w:val="24"/>
                      <w:szCs w:val="24"/>
                    </w:rPr>
                  </w:pPr>
                  <w:r w:rsidRPr="005D4222">
                    <w:t>Screening</w:t>
                  </w:r>
                  <w:r w:rsidRPr="005D4222">
                    <w:rPr>
                      <w:kern w:val="20"/>
                      <w:szCs w:val="21"/>
                    </w:rPr>
                    <w:t xml:space="preserve"> </w:t>
                  </w:r>
                </w:p>
              </w:tc>
              <w:tc>
                <w:tcPr>
                  <w:tcW w:w="2700" w:type="dxa"/>
                  <w:tcBorders>
                    <w:top w:val="single" w:sz="6" w:space="0" w:color="auto"/>
                    <w:left w:val="single" w:sz="6" w:space="0" w:color="auto"/>
                    <w:bottom w:val="single" w:sz="6" w:space="0" w:color="auto"/>
                    <w:right w:val="single" w:sz="6" w:space="0" w:color="auto"/>
                  </w:tcBorders>
                  <w:shd w:val="clear" w:color="auto" w:fill="FFFFFF"/>
                  <w:tcMar>
                    <w:top w:w="0" w:type="dxa"/>
                    <w:left w:w="72" w:type="dxa"/>
                    <w:bottom w:w="0" w:type="dxa"/>
                    <w:right w:w="72" w:type="dxa"/>
                  </w:tcMar>
                  <w:hideMark/>
                </w:tcPr>
                <w:p w14:paraId="32B79ABF" w14:textId="77777777" w:rsidR="002E6A87" w:rsidRPr="005D4222" w:rsidRDefault="002E6A87" w:rsidP="00A53E8C">
                  <w:pPr>
                    <w:pStyle w:val="TableText"/>
                    <w:spacing w:before="40" w:after="40"/>
                    <w:rPr>
                      <w:rFonts w:ascii="Times New Roman" w:hAnsi="Times New Roman"/>
                      <w:sz w:val="24"/>
                      <w:szCs w:val="24"/>
                    </w:rPr>
                  </w:pPr>
                  <w:r w:rsidRPr="005D4222">
                    <w:t>AmericanIndianOrAlaskaNative</w:t>
                  </w:r>
                  <w:r w:rsidRPr="005D4222">
                    <w:rPr>
                      <w:kern w:val="20"/>
                      <w:szCs w:val="21"/>
                    </w:rPr>
                    <w:t xml:space="preserve">  </w:t>
                  </w:r>
                </w:p>
              </w:tc>
              <w:tc>
                <w:tcPr>
                  <w:tcW w:w="1440" w:type="dxa"/>
                  <w:tcBorders>
                    <w:top w:val="single" w:sz="6" w:space="0" w:color="auto"/>
                    <w:left w:val="single" w:sz="6" w:space="0" w:color="auto"/>
                    <w:bottom w:val="single" w:sz="6" w:space="0" w:color="auto"/>
                    <w:right w:val="single" w:sz="6" w:space="0" w:color="auto"/>
                  </w:tcBorders>
                  <w:shd w:val="clear" w:color="auto" w:fill="FFFFFF"/>
                  <w:tcMar>
                    <w:top w:w="0" w:type="dxa"/>
                    <w:left w:w="72" w:type="dxa"/>
                    <w:bottom w:w="0" w:type="dxa"/>
                    <w:right w:w="72" w:type="dxa"/>
                  </w:tcMar>
                  <w:hideMark/>
                </w:tcPr>
                <w:p w14:paraId="48B865D5" w14:textId="77777777" w:rsidR="002E6A87" w:rsidRPr="005D4222" w:rsidRDefault="002E6A87" w:rsidP="00A53E8C">
                  <w:pPr>
                    <w:pStyle w:val="TableText"/>
                    <w:spacing w:before="40" w:after="40"/>
                    <w:rPr>
                      <w:rFonts w:ascii="Times New Roman" w:hAnsi="Times New Roman"/>
                      <w:sz w:val="24"/>
                      <w:szCs w:val="24"/>
                    </w:rPr>
                  </w:pPr>
                  <w:r w:rsidRPr="005D4222">
                    <w:t>InitialPopulation</w:t>
                  </w:r>
                  <w:r w:rsidRPr="005D4222">
                    <w:rPr>
                      <w:kern w:val="20"/>
                      <w:szCs w:val="21"/>
                    </w:rPr>
                    <w:t xml:space="preserve"> </w:t>
                  </w:r>
                </w:p>
              </w:tc>
              <w:tc>
                <w:tcPr>
                  <w:tcW w:w="1709" w:type="dxa"/>
                  <w:tcBorders>
                    <w:top w:val="nil"/>
                    <w:left w:val="single" w:sz="6" w:space="0" w:color="auto"/>
                    <w:bottom w:val="single" w:sz="6" w:space="0" w:color="auto"/>
                    <w:right w:val="single" w:sz="6" w:space="0" w:color="auto"/>
                  </w:tcBorders>
                  <w:shd w:val="clear" w:color="auto" w:fill="FFFFFF"/>
                  <w:tcMar>
                    <w:top w:w="0" w:type="dxa"/>
                    <w:left w:w="72" w:type="dxa"/>
                    <w:bottom w:w="0" w:type="dxa"/>
                    <w:right w:w="72" w:type="dxa"/>
                  </w:tcMar>
                  <w:hideMark/>
                </w:tcPr>
                <w:p w14:paraId="65276B0D" w14:textId="77777777" w:rsidR="002E6A87" w:rsidRPr="005D4222" w:rsidRDefault="002E6A87" w:rsidP="00A53E8C">
                  <w:pPr>
                    <w:pStyle w:val="TableText"/>
                    <w:spacing w:before="40" w:after="40"/>
                    <w:rPr>
                      <w:rFonts w:ascii="Times New Roman" w:hAnsi="Times New Roman"/>
                      <w:sz w:val="24"/>
                      <w:szCs w:val="24"/>
                    </w:rPr>
                  </w:pPr>
                  <w:r w:rsidRPr="005D4222">
                    <w:t>For</w:t>
                  </w:r>
                  <w:r w:rsidRPr="005D4222">
                    <w:rPr>
                      <w:kern w:val="20"/>
                      <w:szCs w:val="21"/>
                    </w:rPr>
                    <w:t xml:space="preserve"> each Stratification, repeat per Metric </w:t>
                  </w:r>
                </w:p>
              </w:tc>
            </w:tr>
            <w:tr w:rsidR="002E6A87" w:rsidRPr="005D4222" w14:paraId="067708EB" w14:textId="77777777" w:rsidTr="00A76F16">
              <w:tc>
                <w:tcPr>
                  <w:tcW w:w="1520" w:type="dxa"/>
                  <w:tcBorders>
                    <w:top w:val="single" w:sz="6" w:space="0" w:color="auto"/>
                    <w:left w:val="single" w:sz="6" w:space="0" w:color="auto"/>
                    <w:bottom w:val="single" w:sz="6" w:space="0" w:color="auto"/>
                    <w:right w:val="single" w:sz="6" w:space="0" w:color="auto"/>
                  </w:tcBorders>
                  <w:shd w:val="clear" w:color="auto" w:fill="FFFFFF"/>
                  <w:tcMar>
                    <w:top w:w="0" w:type="dxa"/>
                    <w:left w:w="72" w:type="dxa"/>
                    <w:bottom w:w="0" w:type="dxa"/>
                    <w:right w:w="72" w:type="dxa"/>
                  </w:tcMar>
                  <w:hideMark/>
                </w:tcPr>
                <w:p w14:paraId="00E41523" w14:textId="77777777" w:rsidR="002E6A87" w:rsidRPr="005D4222" w:rsidRDefault="002E6A87" w:rsidP="00A53E8C">
                  <w:pPr>
                    <w:pStyle w:val="TableText"/>
                    <w:spacing w:before="40" w:after="40"/>
                    <w:rPr>
                      <w:rFonts w:ascii="Times New Roman" w:hAnsi="Times New Roman"/>
                      <w:sz w:val="24"/>
                      <w:szCs w:val="24"/>
                    </w:rPr>
                  </w:pPr>
                  <w:r w:rsidRPr="005D4222">
                    <w:t>FollowUp</w:t>
                  </w:r>
                  <w:r w:rsidRPr="005D4222">
                    <w:rPr>
                      <w:kern w:val="20"/>
                      <w:szCs w:val="21"/>
                    </w:rPr>
                    <w:t xml:space="preserve"> </w:t>
                  </w:r>
                </w:p>
              </w:tc>
              <w:tc>
                <w:tcPr>
                  <w:tcW w:w="2700" w:type="dxa"/>
                  <w:tcBorders>
                    <w:top w:val="single" w:sz="6" w:space="0" w:color="auto"/>
                    <w:left w:val="single" w:sz="6" w:space="0" w:color="auto"/>
                    <w:bottom w:val="single" w:sz="6" w:space="0" w:color="auto"/>
                    <w:right w:val="single" w:sz="6" w:space="0" w:color="auto"/>
                  </w:tcBorders>
                  <w:shd w:val="clear" w:color="auto" w:fill="FFFFFF"/>
                  <w:tcMar>
                    <w:top w:w="0" w:type="dxa"/>
                    <w:left w:w="72" w:type="dxa"/>
                    <w:bottom w:w="0" w:type="dxa"/>
                    <w:right w:w="72" w:type="dxa"/>
                  </w:tcMar>
                  <w:hideMark/>
                </w:tcPr>
                <w:p w14:paraId="490B9C7B" w14:textId="77777777" w:rsidR="002E6A87" w:rsidRPr="005D4222" w:rsidRDefault="002E6A87" w:rsidP="00A53E8C">
                  <w:pPr>
                    <w:pStyle w:val="TableText"/>
                    <w:spacing w:before="40" w:after="40"/>
                    <w:rPr>
                      <w:rFonts w:ascii="Times New Roman" w:hAnsi="Times New Roman"/>
                      <w:sz w:val="24"/>
                      <w:szCs w:val="24"/>
                    </w:rPr>
                  </w:pPr>
                  <w:r w:rsidRPr="005D4222">
                    <w:t>Asian</w:t>
                  </w:r>
                </w:p>
              </w:tc>
              <w:tc>
                <w:tcPr>
                  <w:tcW w:w="1440" w:type="dxa"/>
                  <w:tcBorders>
                    <w:top w:val="single" w:sz="6" w:space="0" w:color="auto"/>
                    <w:left w:val="single" w:sz="6" w:space="0" w:color="auto"/>
                    <w:bottom w:val="single" w:sz="6" w:space="0" w:color="auto"/>
                    <w:right w:val="single" w:sz="6" w:space="0" w:color="auto"/>
                  </w:tcBorders>
                  <w:shd w:val="clear" w:color="auto" w:fill="FFFFFF"/>
                  <w:tcMar>
                    <w:top w:w="0" w:type="dxa"/>
                    <w:left w:w="72" w:type="dxa"/>
                    <w:bottom w:w="0" w:type="dxa"/>
                    <w:right w:w="72" w:type="dxa"/>
                  </w:tcMar>
                  <w:hideMark/>
                </w:tcPr>
                <w:p w14:paraId="5D7F0070" w14:textId="77777777" w:rsidR="002E6A87" w:rsidRPr="005D4222" w:rsidRDefault="002E6A87" w:rsidP="00A53E8C">
                  <w:pPr>
                    <w:pStyle w:val="TableText"/>
                    <w:spacing w:before="40" w:after="40"/>
                    <w:rPr>
                      <w:rFonts w:ascii="Times New Roman" w:hAnsi="Times New Roman"/>
                      <w:sz w:val="24"/>
                      <w:szCs w:val="24"/>
                    </w:rPr>
                  </w:pPr>
                  <w:r w:rsidRPr="005D4222">
                    <w:t>Exclusions</w:t>
                  </w:r>
                  <w:r w:rsidRPr="005D4222">
                    <w:rPr>
                      <w:kern w:val="20"/>
                      <w:szCs w:val="21"/>
                    </w:rPr>
                    <w:t xml:space="preserve"> </w:t>
                  </w:r>
                </w:p>
              </w:tc>
              <w:tc>
                <w:tcPr>
                  <w:tcW w:w="1709" w:type="dxa"/>
                  <w:tcBorders>
                    <w:top w:val="nil"/>
                    <w:left w:val="single" w:sz="6" w:space="0" w:color="auto"/>
                    <w:bottom w:val="single" w:sz="6" w:space="0" w:color="auto"/>
                    <w:right w:val="single" w:sz="6" w:space="0" w:color="auto"/>
                  </w:tcBorders>
                  <w:shd w:val="clear" w:color="auto" w:fill="FFFFFF"/>
                  <w:tcMar>
                    <w:top w:w="0" w:type="dxa"/>
                    <w:left w:w="72" w:type="dxa"/>
                    <w:bottom w:w="0" w:type="dxa"/>
                    <w:right w:w="72" w:type="dxa"/>
                  </w:tcMar>
                  <w:hideMark/>
                </w:tcPr>
                <w:p w14:paraId="6C40A140" w14:textId="77777777" w:rsidR="002E6A87" w:rsidRPr="005D4222" w:rsidRDefault="002E6A87" w:rsidP="00A53E8C">
                  <w:pPr>
                    <w:pStyle w:val="TableText"/>
                    <w:spacing w:before="40" w:after="40"/>
                    <w:rPr>
                      <w:rFonts w:ascii="Times New Roman" w:hAnsi="Times New Roman"/>
                      <w:sz w:val="24"/>
                      <w:szCs w:val="24"/>
                    </w:rPr>
                  </w:pPr>
                  <w:r w:rsidRPr="005D4222">
                    <w:t>For</w:t>
                  </w:r>
                  <w:r w:rsidRPr="005D4222">
                    <w:rPr>
                      <w:kern w:val="20"/>
                      <w:szCs w:val="21"/>
                    </w:rPr>
                    <w:t xml:space="preserve"> each Stratification, repeat per Metric </w:t>
                  </w:r>
                </w:p>
              </w:tc>
            </w:tr>
            <w:tr w:rsidR="002E6A87" w:rsidRPr="005D4222" w14:paraId="2093AC2D" w14:textId="77777777" w:rsidTr="00A76F16">
              <w:tc>
                <w:tcPr>
                  <w:tcW w:w="1520" w:type="dxa"/>
                  <w:tcBorders>
                    <w:top w:val="single" w:sz="6" w:space="0" w:color="auto"/>
                    <w:left w:val="nil"/>
                    <w:bottom w:val="nil"/>
                    <w:right w:val="single" w:sz="6" w:space="0" w:color="auto"/>
                  </w:tcBorders>
                  <w:shd w:val="clear" w:color="auto" w:fill="FFFFFF"/>
                  <w:tcMar>
                    <w:top w:w="0" w:type="dxa"/>
                    <w:left w:w="72" w:type="dxa"/>
                    <w:bottom w:w="0" w:type="dxa"/>
                    <w:right w:w="72" w:type="dxa"/>
                  </w:tcMar>
                  <w:hideMark/>
                </w:tcPr>
                <w:p w14:paraId="1F9DCBCE" w14:textId="77777777" w:rsidR="002E6A87" w:rsidRPr="005D4222" w:rsidRDefault="002E6A87" w:rsidP="00A53E8C">
                  <w:pPr>
                    <w:pStyle w:val="TableText"/>
                    <w:spacing w:before="40" w:after="40"/>
                    <w:rPr>
                      <w:rFonts w:ascii="Times New Roman" w:hAnsi="Times New Roman"/>
                      <w:sz w:val="24"/>
                      <w:szCs w:val="24"/>
                    </w:rPr>
                  </w:pPr>
                  <w:r w:rsidRPr="005D4222">
                    <w:t xml:space="preserve"> </w:t>
                  </w:r>
                </w:p>
              </w:tc>
              <w:tc>
                <w:tcPr>
                  <w:tcW w:w="2700" w:type="dxa"/>
                  <w:tcBorders>
                    <w:top w:val="single" w:sz="6" w:space="0" w:color="auto"/>
                    <w:left w:val="single" w:sz="6" w:space="0" w:color="auto"/>
                    <w:bottom w:val="single" w:sz="6" w:space="0" w:color="auto"/>
                    <w:right w:val="single" w:sz="6" w:space="0" w:color="auto"/>
                  </w:tcBorders>
                  <w:shd w:val="clear" w:color="auto" w:fill="FFFFFF"/>
                  <w:tcMar>
                    <w:top w:w="0" w:type="dxa"/>
                    <w:left w:w="72" w:type="dxa"/>
                    <w:bottom w:w="0" w:type="dxa"/>
                    <w:right w:w="72" w:type="dxa"/>
                  </w:tcMar>
                  <w:hideMark/>
                </w:tcPr>
                <w:p w14:paraId="03A06CAA" w14:textId="77777777" w:rsidR="002E6A87" w:rsidRPr="005D4222" w:rsidRDefault="002E6A87" w:rsidP="00A53E8C">
                  <w:pPr>
                    <w:pStyle w:val="TableText"/>
                    <w:spacing w:before="40" w:after="40"/>
                    <w:rPr>
                      <w:kern w:val="20"/>
                      <w:szCs w:val="21"/>
                    </w:rPr>
                  </w:pPr>
                  <w:r w:rsidRPr="005D4222">
                    <w:t>BlackOrAfricanAmerican</w:t>
                  </w:r>
                  <w:r w:rsidRPr="005D4222">
                    <w:rPr>
                      <w:kern w:val="20"/>
                      <w:szCs w:val="21"/>
                    </w:rPr>
                    <w:t xml:space="preserve"> </w:t>
                  </w:r>
                </w:p>
              </w:tc>
              <w:tc>
                <w:tcPr>
                  <w:tcW w:w="1440" w:type="dxa"/>
                  <w:tcBorders>
                    <w:top w:val="nil"/>
                    <w:left w:val="single" w:sz="6" w:space="0" w:color="auto"/>
                    <w:bottom w:val="single" w:sz="6" w:space="0" w:color="auto"/>
                    <w:right w:val="single" w:sz="6" w:space="0" w:color="auto"/>
                  </w:tcBorders>
                  <w:shd w:val="clear" w:color="auto" w:fill="FFFFFF"/>
                  <w:tcMar>
                    <w:top w:w="0" w:type="dxa"/>
                    <w:left w:w="72" w:type="dxa"/>
                    <w:bottom w:w="0" w:type="dxa"/>
                    <w:right w:w="72" w:type="dxa"/>
                  </w:tcMar>
                  <w:hideMark/>
                </w:tcPr>
                <w:p w14:paraId="3C756C88" w14:textId="77777777" w:rsidR="002E6A87" w:rsidRPr="005D4222" w:rsidRDefault="002E6A87" w:rsidP="00A53E8C">
                  <w:pPr>
                    <w:pStyle w:val="TableText"/>
                    <w:spacing w:before="40" w:after="40"/>
                    <w:rPr>
                      <w:rFonts w:ascii="Times New Roman" w:hAnsi="Times New Roman"/>
                      <w:sz w:val="24"/>
                      <w:szCs w:val="24"/>
                    </w:rPr>
                  </w:pPr>
                  <w:r w:rsidRPr="005D4222">
                    <w:t>Denominator</w:t>
                  </w:r>
                  <w:r w:rsidRPr="005D4222">
                    <w:rPr>
                      <w:kern w:val="20"/>
                      <w:szCs w:val="21"/>
                    </w:rPr>
                    <w:t xml:space="preserve"> </w:t>
                  </w:r>
                </w:p>
              </w:tc>
              <w:tc>
                <w:tcPr>
                  <w:tcW w:w="1709" w:type="dxa"/>
                  <w:tcBorders>
                    <w:top w:val="nil"/>
                    <w:left w:val="single" w:sz="6" w:space="0" w:color="auto"/>
                    <w:bottom w:val="single" w:sz="6" w:space="0" w:color="auto"/>
                    <w:right w:val="single" w:sz="6" w:space="0" w:color="auto"/>
                  </w:tcBorders>
                  <w:shd w:val="clear" w:color="auto" w:fill="FFFFFF"/>
                  <w:tcMar>
                    <w:top w:w="0" w:type="dxa"/>
                    <w:left w:w="72" w:type="dxa"/>
                    <w:bottom w:w="0" w:type="dxa"/>
                    <w:right w:w="72" w:type="dxa"/>
                  </w:tcMar>
                  <w:hideMark/>
                </w:tcPr>
                <w:p w14:paraId="7FD16EC6" w14:textId="77777777" w:rsidR="002E6A87" w:rsidRPr="005D4222" w:rsidRDefault="002E6A87" w:rsidP="00A53E8C">
                  <w:pPr>
                    <w:pStyle w:val="TableText"/>
                    <w:spacing w:before="40" w:after="40"/>
                    <w:rPr>
                      <w:rFonts w:ascii="Times New Roman" w:hAnsi="Times New Roman"/>
                      <w:sz w:val="24"/>
                      <w:szCs w:val="24"/>
                    </w:rPr>
                  </w:pPr>
                  <w:r w:rsidRPr="005D4222">
                    <w:t>For</w:t>
                  </w:r>
                  <w:r w:rsidRPr="005D4222">
                    <w:rPr>
                      <w:kern w:val="20"/>
                      <w:szCs w:val="21"/>
                    </w:rPr>
                    <w:t xml:space="preserve"> each Stratification, repeat per Metric </w:t>
                  </w:r>
                </w:p>
              </w:tc>
            </w:tr>
            <w:tr w:rsidR="002E6A87" w:rsidRPr="005D4222" w14:paraId="325DE350" w14:textId="77777777" w:rsidTr="00A76F16">
              <w:tc>
                <w:tcPr>
                  <w:tcW w:w="1520" w:type="dxa"/>
                  <w:tcBorders>
                    <w:top w:val="nil"/>
                    <w:left w:val="nil"/>
                    <w:bottom w:val="nil"/>
                    <w:right w:val="single" w:sz="6" w:space="0" w:color="auto"/>
                  </w:tcBorders>
                  <w:shd w:val="clear" w:color="auto" w:fill="FFFFFF"/>
                  <w:tcMar>
                    <w:top w:w="0" w:type="dxa"/>
                    <w:left w:w="72" w:type="dxa"/>
                    <w:bottom w:w="0" w:type="dxa"/>
                    <w:right w:w="72" w:type="dxa"/>
                  </w:tcMar>
                  <w:hideMark/>
                </w:tcPr>
                <w:p w14:paraId="5C40F2C4" w14:textId="77777777" w:rsidR="002E6A87" w:rsidRPr="005D4222" w:rsidRDefault="002E6A87" w:rsidP="00A53E8C">
                  <w:pPr>
                    <w:pStyle w:val="TableText"/>
                    <w:spacing w:before="40" w:after="40"/>
                    <w:rPr>
                      <w:rFonts w:ascii="Times New Roman" w:hAnsi="Times New Roman"/>
                      <w:sz w:val="24"/>
                      <w:szCs w:val="24"/>
                    </w:rPr>
                  </w:pPr>
                  <w:r w:rsidRPr="005D4222">
                    <w:t xml:space="preserve"> </w:t>
                  </w:r>
                </w:p>
              </w:tc>
              <w:tc>
                <w:tcPr>
                  <w:tcW w:w="2700" w:type="dxa"/>
                  <w:tcBorders>
                    <w:top w:val="single" w:sz="6" w:space="0" w:color="auto"/>
                    <w:left w:val="single" w:sz="6" w:space="0" w:color="auto"/>
                    <w:bottom w:val="single" w:sz="6" w:space="0" w:color="auto"/>
                    <w:right w:val="single" w:sz="6" w:space="0" w:color="auto"/>
                  </w:tcBorders>
                  <w:shd w:val="clear" w:color="auto" w:fill="FFFFFF"/>
                  <w:tcMar>
                    <w:top w:w="0" w:type="dxa"/>
                    <w:left w:w="72" w:type="dxa"/>
                    <w:bottom w:w="0" w:type="dxa"/>
                    <w:right w:w="72" w:type="dxa"/>
                  </w:tcMar>
                </w:tcPr>
                <w:p w14:paraId="42AE40CA" w14:textId="77777777" w:rsidR="002E6A87" w:rsidRPr="005D4222" w:rsidRDefault="002E6A87" w:rsidP="00A53E8C">
                  <w:pPr>
                    <w:pStyle w:val="TableText"/>
                    <w:spacing w:before="40" w:after="40"/>
                    <w:rPr>
                      <w:rFonts w:ascii="Times New Roman" w:hAnsi="Times New Roman"/>
                      <w:sz w:val="24"/>
                      <w:szCs w:val="24"/>
                    </w:rPr>
                  </w:pPr>
                  <w:r w:rsidRPr="005D4222">
                    <w:t>MiddleEasternOrNorthAfrican</w:t>
                  </w:r>
                </w:p>
              </w:tc>
              <w:tc>
                <w:tcPr>
                  <w:tcW w:w="1440" w:type="dxa"/>
                  <w:tcBorders>
                    <w:top w:val="single" w:sz="6" w:space="0" w:color="auto"/>
                    <w:left w:val="single" w:sz="6" w:space="0" w:color="auto"/>
                    <w:bottom w:val="single" w:sz="6" w:space="0" w:color="auto"/>
                    <w:right w:val="single" w:sz="6" w:space="0" w:color="auto"/>
                  </w:tcBorders>
                  <w:shd w:val="clear" w:color="auto" w:fill="FFFFFF"/>
                  <w:tcMar>
                    <w:top w:w="0" w:type="dxa"/>
                    <w:left w:w="72" w:type="dxa"/>
                    <w:bottom w:w="0" w:type="dxa"/>
                    <w:right w:w="72" w:type="dxa"/>
                  </w:tcMar>
                  <w:hideMark/>
                </w:tcPr>
                <w:p w14:paraId="31F85B54" w14:textId="77777777" w:rsidR="002E6A87" w:rsidRPr="005D4222" w:rsidRDefault="002E6A87" w:rsidP="00A53E8C">
                  <w:pPr>
                    <w:pStyle w:val="TableText"/>
                    <w:spacing w:before="40" w:after="40"/>
                    <w:rPr>
                      <w:rFonts w:ascii="Times New Roman" w:hAnsi="Times New Roman"/>
                      <w:sz w:val="24"/>
                      <w:szCs w:val="24"/>
                    </w:rPr>
                  </w:pPr>
                  <w:r w:rsidRPr="005D4222">
                    <w:t>Numerator</w:t>
                  </w:r>
                  <w:r w:rsidRPr="005D4222">
                    <w:rPr>
                      <w:kern w:val="20"/>
                      <w:szCs w:val="21"/>
                    </w:rPr>
                    <w:t xml:space="preserve"> </w:t>
                  </w:r>
                </w:p>
              </w:tc>
              <w:tc>
                <w:tcPr>
                  <w:tcW w:w="1709" w:type="dxa"/>
                  <w:tcBorders>
                    <w:top w:val="nil"/>
                    <w:left w:val="single" w:sz="6" w:space="0" w:color="auto"/>
                    <w:bottom w:val="single" w:sz="4" w:space="0" w:color="auto"/>
                    <w:right w:val="single" w:sz="6" w:space="0" w:color="auto"/>
                  </w:tcBorders>
                  <w:shd w:val="clear" w:color="auto" w:fill="FFFFFF"/>
                  <w:tcMar>
                    <w:top w:w="0" w:type="dxa"/>
                    <w:left w:w="72" w:type="dxa"/>
                    <w:bottom w:w="0" w:type="dxa"/>
                    <w:right w:w="72" w:type="dxa"/>
                  </w:tcMar>
                  <w:hideMark/>
                </w:tcPr>
                <w:p w14:paraId="1FD4661B" w14:textId="77777777" w:rsidR="002E6A87" w:rsidRPr="005D4222" w:rsidRDefault="002E6A87" w:rsidP="00A53E8C">
                  <w:pPr>
                    <w:pStyle w:val="TableText"/>
                    <w:spacing w:before="40" w:after="40"/>
                    <w:rPr>
                      <w:rFonts w:ascii="Times New Roman" w:hAnsi="Times New Roman"/>
                      <w:sz w:val="24"/>
                      <w:szCs w:val="24"/>
                    </w:rPr>
                  </w:pPr>
                  <w:r w:rsidRPr="005D4222">
                    <w:t>For</w:t>
                  </w:r>
                  <w:r w:rsidRPr="005D4222">
                    <w:rPr>
                      <w:kern w:val="20"/>
                      <w:szCs w:val="21"/>
                    </w:rPr>
                    <w:t xml:space="preserve"> each Metric and Stratification </w:t>
                  </w:r>
                </w:p>
              </w:tc>
            </w:tr>
          </w:tbl>
          <w:p w14:paraId="25A77F6E" w14:textId="77777777" w:rsidR="002E6A87" w:rsidRPr="005D4222" w:rsidRDefault="002E6A87" w:rsidP="00A53E8C">
            <w:pPr>
              <w:pStyle w:val="Heading3"/>
              <w:spacing w:before="0" w:after="0"/>
              <w:rPr>
                <w:color w:val="000000" w:themeColor="text1"/>
                <w:highlight w:val="yellow"/>
              </w:rPr>
            </w:pPr>
            <w:r w:rsidRPr="005D4222">
              <w:br w:type="page"/>
            </w:r>
          </w:p>
        </w:tc>
      </w:tr>
      <w:tr w:rsidR="002E6A87" w:rsidRPr="005D4222" w14:paraId="18B9CCFF"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47CB9842" w14:textId="77777777" w:rsidR="002E6A87" w:rsidRPr="005D4222" w:rsidRDefault="002E6A87"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42E262C" w14:textId="77777777" w:rsidR="00F72EF8" w:rsidRPr="005D4222" w:rsidRDefault="00F72EF8" w:rsidP="00A53E8C">
            <w:pPr>
              <w:rPr>
                <w:sz w:val="10"/>
                <w:szCs w:val="10"/>
              </w:rPr>
            </w:pPr>
          </w:p>
          <w:tbl>
            <w:tblPr>
              <w:tblW w:w="7377"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8"/>
              <w:gridCol w:w="1515"/>
              <w:gridCol w:w="2700"/>
              <w:gridCol w:w="1437"/>
              <w:gridCol w:w="8"/>
              <w:gridCol w:w="1701"/>
              <w:gridCol w:w="8"/>
            </w:tblGrid>
            <w:tr w:rsidR="00F72EF8" w:rsidRPr="005D4222" w14:paraId="6B72F0D7" w14:textId="77777777" w:rsidTr="005A414E">
              <w:trPr>
                <w:gridBefore w:val="1"/>
                <w:wBefore w:w="8" w:type="dxa"/>
              </w:trPr>
              <w:tc>
                <w:tcPr>
                  <w:tcW w:w="1515" w:type="dxa"/>
                  <w:tcBorders>
                    <w:top w:val="single" w:sz="6" w:space="0" w:color="auto"/>
                    <w:left w:val="single" w:sz="6" w:space="0" w:color="auto"/>
                    <w:bottom w:val="single" w:sz="6" w:space="0" w:color="auto"/>
                    <w:right w:val="single" w:sz="4" w:space="0" w:color="FFFFFF" w:themeColor="background1"/>
                  </w:tcBorders>
                  <w:shd w:val="clear" w:color="auto" w:fill="000000"/>
                  <w:tcMar>
                    <w:top w:w="0" w:type="dxa"/>
                    <w:left w:w="72" w:type="dxa"/>
                    <w:bottom w:w="0" w:type="dxa"/>
                    <w:right w:w="72" w:type="dxa"/>
                  </w:tcMar>
                  <w:vAlign w:val="bottom"/>
                  <w:hideMark/>
                </w:tcPr>
                <w:p w14:paraId="4C2C7B73" w14:textId="77777777" w:rsidR="00F72EF8" w:rsidRPr="005D4222" w:rsidRDefault="00F72EF8" w:rsidP="00F72EF8">
                  <w:pPr>
                    <w:pStyle w:val="TableHead"/>
                    <w:spacing w:before="40" w:after="40"/>
                  </w:pPr>
                  <w:r w:rsidRPr="005D4222">
                    <w:t>Metric</w:t>
                  </w:r>
                </w:p>
              </w:tc>
              <w:tc>
                <w:tcPr>
                  <w:tcW w:w="2700" w:type="dxa"/>
                  <w:tcBorders>
                    <w:top w:val="single" w:sz="6" w:space="0" w:color="auto"/>
                    <w:left w:val="single" w:sz="4" w:space="0" w:color="FFFFFF" w:themeColor="background1"/>
                    <w:bottom w:val="single" w:sz="6" w:space="0" w:color="auto"/>
                    <w:right w:val="single" w:sz="6" w:space="0" w:color="FFFFFF"/>
                  </w:tcBorders>
                  <w:shd w:val="clear" w:color="auto" w:fill="000000"/>
                  <w:tcMar>
                    <w:top w:w="0" w:type="dxa"/>
                    <w:left w:w="72" w:type="dxa"/>
                    <w:bottom w:w="0" w:type="dxa"/>
                    <w:right w:w="72" w:type="dxa"/>
                  </w:tcMar>
                  <w:vAlign w:val="bottom"/>
                  <w:hideMark/>
                </w:tcPr>
                <w:p w14:paraId="6188BE05" w14:textId="77777777" w:rsidR="00F72EF8" w:rsidRPr="005D4222" w:rsidRDefault="00F72EF8" w:rsidP="00F72EF8">
                  <w:pPr>
                    <w:pStyle w:val="TableHead"/>
                    <w:spacing w:before="40" w:after="40"/>
                  </w:pPr>
                  <w:r w:rsidRPr="005D4222">
                    <w:t>Race</w:t>
                  </w:r>
                </w:p>
              </w:tc>
              <w:tc>
                <w:tcPr>
                  <w:tcW w:w="1445" w:type="dxa"/>
                  <w:gridSpan w:val="2"/>
                  <w:tcBorders>
                    <w:top w:val="single" w:sz="6" w:space="0" w:color="auto"/>
                    <w:left w:val="single" w:sz="6" w:space="0" w:color="FFFFFF"/>
                    <w:bottom w:val="single" w:sz="6" w:space="0" w:color="auto"/>
                    <w:right w:val="single" w:sz="6" w:space="0" w:color="FFFFFF"/>
                  </w:tcBorders>
                  <w:shd w:val="clear" w:color="auto" w:fill="000000"/>
                  <w:tcMar>
                    <w:top w:w="0" w:type="dxa"/>
                    <w:left w:w="72" w:type="dxa"/>
                    <w:bottom w:w="0" w:type="dxa"/>
                    <w:right w:w="72" w:type="dxa"/>
                  </w:tcMar>
                  <w:vAlign w:val="bottom"/>
                  <w:hideMark/>
                </w:tcPr>
                <w:p w14:paraId="55EEBE73" w14:textId="77777777" w:rsidR="00F72EF8" w:rsidRPr="005D4222" w:rsidRDefault="00F72EF8" w:rsidP="00F72EF8">
                  <w:pPr>
                    <w:pStyle w:val="TableHead"/>
                    <w:spacing w:before="40" w:after="40"/>
                  </w:pPr>
                  <w:r w:rsidRPr="005D4222">
                    <w:t>Data Element</w:t>
                  </w:r>
                </w:p>
              </w:tc>
              <w:tc>
                <w:tcPr>
                  <w:tcW w:w="1709" w:type="dxa"/>
                  <w:gridSpan w:val="2"/>
                  <w:tcBorders>
                    <w:top w:val="single" w:sz="6" w:space="0" w:color="auto"/>
                    <w:left w:val="single" w:sz="6" w:space="0" w:color="FFFFFF"/>
                    <w:bottom w:val="single" w:sz="6" w:space="0" w:color="auto"/>
                    <w:right w:val="single" w:sz="6" w:space="0" w:color="auto"/>
                  </w:tcBorders>
                  <w:shd w:val="clear" w:color="auto" w:fill="000000"/>
                  <w:tcMar>
                    <w:top w:w="0" w:type="dxa"/>
                    <w:left w:w="72" w:type="dxa"/>
                    <w:bottom w:w="0" w:type="dxa"/>
                    <w:right w:w="72" w:type="dxa"/>
                  </w:tcMar>
                  <w:vAlign w:val="bottom"/>
                  <w:hideMark/>
                </w:tcPr>
                <w:p w14:paraId="430D2C8D" w14:textId="77777777" w:rsidR="00F72EF8" w:rsidRPr="005D4222" w:rsidRDefault="00F72EF8" w:rsidP="00F72EF8">
                  <w:pPr>
                    <w:pStyle w:val="TableHead"/>
                    <w:spacing w:before="40" w:after="40"/>
                  </w:pPr>
                  <w:r w:rsidRPr="005D4222">
                    <w:t>Reporting Instructions</w:t>
                  </w:r>
                </w:p>
              </w:tc>
            </w:tr>
            <w:tr w:rsidR="00F72EF8" w:rsidRPr="005D4222" w14:paraId="7D4FBFAD" w14:textId="77777777" w:rsidTr="005A414E">
              <w:trPr>
                <w:gridAfter w:val="1"/>
                <w:wAfter w:w="8" w:type="dxa"/>
              </w:trPr>
              <w:tc>
                <w:tcPr>
                  <w:tcW w:w="1523" w:type="dxa"/>
                  <w:gridSpan w:val="2"/>
                  <w:tcBorders>
                    <w:top w:val="nil"/>
                    <w:left w:val="nil"/>
                    <w:bottom w:val="nil"/>
                    <w:right w:val="single" w:sz="6" w:space="0" w:color="auto"/>
                  </w:tcBorders>
                  <w:shd w:val="clear" w:color="auto" w:fill="FFFFFF"/>
                  <w:tcMar>
                    <w:top w:w="0" w:type="dxa"/>
                    <w:left w:w="72" w:type="dxa"/>
                    <w:bottom w:w="0" w:type="dxa"/>
                    <w:right w:w="72" w:type="dxa"/>
                  </w:tcMar>
                </w:tcPr>
                <w:p w14:paraId="2274211B" w14:textId="77777777" w:rsidR="00F72EF8" w:rsidRPr="005D4222" w:rsidRDefault="00F72EF8" w:rsidP="00F72EF8">
                  <w:pPr>
                    <w:pStyle w:val="TableText"/>
                    <w:spacing w:before="40" w:after="40"/>
                  </w:pPr>
                </w:p>
              </w:tc>
              <w:tc>
                <w:tcPr>
                  <w:tcW w:w="2700" w:type="dxa"/>
                  <w:tcBorders>
                    <w:top w:val="single" w:sz="6" w:space="0" w:color="auto"/>
                    <w:left w:val="single" w:sz="6" w:space="0" w:color="auto"/>
                    <w:bottom w:val="single" w:sz="6" w:space="0" w:color="auto"/>
                    <w:right w:val="single" w:sz="6" w:space="0" w:color="auto"/>
                  </w:tcBorders>
                  <w:shd w:val="clear" w:color="auto" w:fill="FFFFFF"/>
                  <w:tcMar>
                    <w:top w:w="0" w:type="dxa"/>
                    <w:left w:w="72" w:type="dxa"/>
                    <w:bottom w:w="0" w:type="dxa"/>
                    <w:right w:w="72" w:type="dxa"/>
                  </w:tcMar>
                </w:tcPr>
                <w:p w14:paraId="5C26D370" w14:textId="77777777" w:rsidR="00F72EF8" w:rsidRPr="005D4222" w:rsidRDefault="00F72EF8" w:rsidP="00F72EF8">
                  <w:pPr>
                    <w:pStyle w:val="TableText"/>
                    <w:spacing w:before="40" w:after="40"/>
                  </w:pPr>
                  <w:r w:rsidRPr="005D4222">
                    <w:t>NativeHawaiianOrPacificIslander</w:t>
                  </w:r>
                  <w:r w:rsidRPr="005D4222">
                    <w:rPr>
                      <w:kern w:val="20"/>
                      <w:szCs w:val="21"/>
                    </w:rPr>
                    <w:t xml:space="preserve"> </w:t>
                  </w:r>
                </w:p>
              </w:tc>
              <w:tc>
                <w:tcPr>
                  <w:tcW w:w="143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0" w:type="dxa"/>
                    <w:left w:w="72" w:type="dxa"/>
                    <w:bottom w:w="0" w:type="dxa"/>
                    <w:right w:w="72" w:type="dxa"/>
                  </w:tcMar>
                </w:tcPr>
                <w:p w14:paraId="588A463A" w14:textId="77777777" w:rsidR="00F72EF8" w:rsidRPr="005D4222" w:rsidRDefault="00F72EF8" w:rsidP="00F72EF8">
                  <w:pPr>
                    <w:pStyle w:val="TableText"/>
                    <w:spacing w:before="40" w:after="40"/>
                  </w:pPr>
                  <w:r w:rsidRPr="005D4222">
                    <w:t>Rate</w:t>
                  </w:r>
                </w:p>
              </w:tc>
              <w:tc>
                <w:tcPr>
                  <w:tcW w:w="1709" w:type="dxa"/>
                  <w:gridSpan w:val="2"/>
                  <w:tcBorders>
                    <w:top w:val="single" w:sz="4" w:space="0" w:color="auto"/>
                    <w:left w:val="single" w:sz="6" w:space="0" w:color="auto"/>
                    <w:bottom w:val="single" w:sz="6" w:space="0" w:color="auto"/>
                    <w:right w:val="single" w:sz="6" w:space="0" w:color="auto"/>
                  </w:tcBorders>
                  <w:shd w:val="clear" w:color="auto" w:fill="D9D9D9" w:themeFill="background1" w:themeFillShade="D9"/>
                  <w:tcMar>
                    <w:top w:w="0" w:type="dxa"/>
                    <w:left w:w="72" w:type="dxa"/>
                    <w:bottom w:w="0" w:type="dxa"/>
                    <w:right w:w="72" w:type="dxa"/>
                  </w:tcMar>
                </w:tcPr>
                <w:p w14:paraId="4BB51768" w14:textId="77777777" w:rsidR="00F72EF8" w:rsidRPr="005D4222" w:rsidRDefault="00F72EF8" w:rsidP="00F72EF8">
                  <w:pPr>
                    <w:pStyle w:val="TableText"/>
                    <w:spacing w:before="40" w:after="40"/>
                  </w:pPr>
                  <w:r w:rsidRPr="005D4222">
                    <w:t>(Percent)</w:t>
                  </w:r>
                </w:p>
              </w:tc>
            </w:tr>
            <w:tr w:rsidR="00F72EF8" w:rsidRPr="005D4222" w14:paraId="340D8FC1" w14:textId="77777777" w:rsidTr="005A414E">
              <w:trPr>
                <w:gridAfter w:val="1"/>
                <w:wAfter w:w="8" w:type="dxa"/>
              </w:trPr>
              <w:tc>
                <w:tcPr>
                  <w:tcW w:w="1523" w:type="dxa"/>
                  <w:gridSpan w:val="2"/>
                  <w:tcBorders>
                    <w:top w:val="nil"/>
                    <w:left w:val="nil"/>
                    <w:bottom w:val="nil"/>
                    <w:right w:val="single" w:sz="6" w:space="0" w:color="auto"/>
                  </w:tcBorders>
                  <w:shd w:val="clear" w:color="auto" w:fill="FFFFFF"/>
                  <w:tcMar>
                    <w:top w:w="0" w:type="dxa"/>
                    <w:left w:w="72" w:type="dxa"/>
                    <w:bottom w:w="0" w:type="dxa"/>
                    <w:right w:w="72" w:type="dxa"/>
                  </w:tcMar>
                </w:tcPr>
                <w:p w14:paraId="77795A50" w14:textId="77777777" w:rsidR="00F72EF8" w:rsidRPr="005D4222" w:rsidRDefault="00F72EF8" w:rsidP="00F72EF8">
                  <w:pPr>
                    <w:pStyle w:val="TableText"/>
                    <w:spacing w:before="40" w:after="40"/>
                  </w:pPr>
                </w:p>
              </w:tc>
              <w:tc>
                <w:tcPr>
                  <w:tcW w:w="2700" w:type="dxa"/>
                  <w:tcBorders>
                    <w:top w:val="single" w:sz="6" w:space="0" w:color="auto"/>
                    <w:left w:val="single" w:sz="6" w:space="0" w:color="auto"/>
                    <w:bottom w:val="single" w:sz="6" w:space="0" w:color="auto"/>
                    <w:right w:val="single" w:sz="6" w:space="0" w:color="auto"/>
                  </w:tcBorders>
                  <w:shd w:val="clear" w:color="auto" w:fill="FFFFFF"/>
                  <w:tcMar>
                    <w:top w:w="0" w:type="dxa"/>
                    <w:left w:w="72" w:type="dxa"/>
                    <w:bottom w:w="0" w:type="dxa"/>
                    <w:right w:w="72" w:type="dxa"/>
                  </w:tcMar>
                </w:tcPr>
                <w:p w14:paraId="058AA2AE" w14:textId="77777777" w:rsidR="00F72EF8" w:rsidRPr="005D4222" w:rsidRDefault="00F72EF8" w:rsidP="00F72EF8">
                  <w:pPr>
                    <w:pStyle w:val="TableText"/>
                    <w:spacing w:before="40" w:after="40"/>
                  </w:pPr>
                  <w:r w:rsidRPr="005D4222">
                    <w:t>White</w:t>
                  </w:r>
                </w:p>
              </w:tc>
              <w:tc>
                <w:tcPr>
                  <w:tcW w:w="1437" w:type="dxa"/>
                  <w:tcBorders>
                    <w:top w:val="single" w:sz="6" w:space="0" w:color="auto"/>
                    <w:left w:val="single" w:sz="6" w:space="0" w:color="auto"/>
                    <w:bottom w:val="nil"/>
                    <w:right w:val="nil"/>
                  </w:tcBorders>
                  <w:shd w:val="clear" w:color="auto" w:fill="FFFFFF"/>
                  <w:tcMar>
                    <w:top w:w="0" w:type="dxa"/>
                    <w:left w:w="72" w:type="dxa"/>
                    <w:bottom w:w="0" w:type="dxa"/>
                    <w:right w:w="72" w:type="dxa"/>
                  </w:tcMar>
                </w:tcPr>
                <w:p w14:paraId="328FAB2E" w14:textId="77777777" w:rsidR="00F72EF8" w:rsidRPr="005D4222" w:rsidRDefault="00F72EF8" w:rsidP="00F72EF8">
                  <w:pPr>
                    <w:pStyle w:val="TableText"/>
                    <w:spacing w:before="40" w:after="40"/>
                  </w:pPr>
                </w:p>
              </w:tc>
              <w:tc>
                <w:tcPr>
                  <w:tcW w:w="1709" w:type="dxa"/>
                  <w:gridSpan w:val="2"/>
                  <w:tcBorders>
                    <w:top w:val="nil"/>
                    <w:left w:val="nil"/>
                    <w:bottom w:val="nil"/>
                    <w:right w:val="nil"/>
                  </w:tcBorders>
                  <w:shd w:val="clear" w:color="auto" w:fill="FFFFFF"/>
                  <w:tcMar>
                    <w:top w:w="0" w:type="dxa"/>
                    <w:left w:w="72" w:type="dxa"/>
                    <w:bottom w:w="0" w:type="dxa"/>
                    <w:right w:w="72" w:type="dxa"/>
                  </w:tcMar>
                </w:tcPr>
                <w:p w14:paraId="4CA6BF81" w14:textId="77777777" w:rsidR="00F72EF8" w:rsidRPr="005D4222" w:rsidRDefault="00F72EF8" w:rsidP="00F72EF8">
                  <w:pPr>
                    <w:pStyle w:val="TableText"/>
                    <w:spacing w:before="40" w:after="40"/>
                  </w:pPr>
                </w:p>
              </w:tc>
            </w:tr>
            <w:tr w:rsidR="00F72EF8" w:rsidRPr="005D4222" w14:paraId="66E13D13" w14:textId="77777777" w:rsidTr="005A414E">
              <w:trPr>
                <w:gridAfter w:val="1"/>
                <w:wAfter w:w="8" w:type="dxa"/>
              </w:trPr>
              <w:tc>
                <w:tcPr>
                  <w:tcW w:w="1523" w:type="dxa"/>
                  <w:gridSpan w:val="2"/>
                  <w:tcBorders>
                    <w:top w:val="nil"/>
                    <w:left w:val="nil"/>
                    <w:bottom w:val="nil"/>
                    <w:right w:val="single" w:sz="6" w:space="0" w:color="auto"/>
                  </w:tcBorders>
                  <w:shd w:val="clear" w:color="auto" w:fill="FFFFFF"/>
                  <w:tcMar>
                    <w:top w:w="0" w:type="dxa"/>
                    <w:left w:w="72" w:type="dxa"/>
                    <w:bottom w:w="0" w:type="dxa"/>
                    <w:right w:w="72" w:type="dxa"/>
                  </w:tcMar>
                </w:tcPr>
                <w:p w14:paraId="0750BB6E" w14:textId="77777777" w:rsidR="00F72EF8" w:rsidRPr="005D4222" w:rsidRDefault="00F72EF8" w:rsidP="00F72EF8">
                  <w:pPr>
                    <w:pStyle w:val="TableText"/>
                    <w:spacing w:before="40" w:after="40"/>
                  </w:pPr>
                </w:p>
              </w:tc>
              <w:tc>
                <w:tcPr>
                  <w:tcW w:w="2700" w:type="dxa"/>
                  <w:tcBorders>
                    <w:top w:val="single" w:sz="6" w:space="0" w:color="auto"/>
                    <w:left w:val="single" w:sz="6" w:space="0" w:color="auto"/>
                    <w:bottom w:val="single" w:sz="6" w:space="0" w:color="auto"/>
                    <w:right w:val="single" w:sz="6" w:space="0" w:color="auto"/>
                  </w:tcBorders>
                  <w:shd w:val="clear" w:color="auto" w:fill="FFFFFF"/>
                  <w:tcMar>
                    <w:top w:w="0" w:type="dxa"/>
                    <w:left w:w="72" w:type="dxa"/>
                    <w:bottom w:w="0" w:type="dxa"/>
                    <w:right w:w="72" w:type="dxa"/>
                  </w:tcMar>
                </w:tcPr>
                <w:p w14:paraId="3F33160C" w14:textId="77777777" w:rsidR="00F72EF8" w:rsidRPr="005D4222" w:rsidRDefault="00F72EF8" w:rsidP="00F72EF8">
                  <w:pPr>
                    <w:pStyle w:val="TableText"/>
                    <w:spacing w:before="40" w:after="40"/>
                  </w:pPr>
                  <w:r w:rsidRPr="005D4222">
                    <w:t>SomeOtherRace</w:t>
                  </w:r>
                </w:p>
              </w:tc>
              <w:tc>
                <w:tcPr>
                  <w:tcW w:w="1437" w:type="dxa"/>
                  <w:tcBorders>
                    <w:top w:val="nil"/>
                    <w:left w:val="single" w:sz="6" w:space="0" w:color="auto"/>
                    <w:bottom w:val="nil"/>
                    <w:right w:val="nil"/>
                  </w:tcBorders>
                  <w:shd w:val="clear" w:color="auto" w:fill="FFFFFF"/>
                  <w:tcMar>
                    <w:top w:w="0" w:type="dxa"/>
                    <w:left w:w="72" w:type="dxa"/>
                    <w:bottom w:w="0" w:type="dxa"/>
                    <w:right w:w="72" w:type="dxa"/>
                  </w:tcMar>
                </w:tcPr>
                <w:p w14:paraId="25E18ED9" w14:textId="77777777" w:rsidR="00F72EF8" w:rsidRPr="005D4222" w:rsidRDefault="00F72EF8" w:rsidP="00F72EF8">
                  <w:pPr>
                    <w:pStyle w:val="TableText"/>
                    <w:spacing w:before="40" w:after="40"/>
                  </w:pPr>
                </w:p>
              </w:tc>
              <w:tc>
                <w:tcPr>
                  <w:tcW w:w="1709" w:type="dxa"/>
                  <w:gridSpan w:val="2"/>
                  <w:tcBorders>
                    <w:top w:val="nil"/>
                    <w:left w:val="nil"/>
                    <w:bottom w:val="nil"/>
                    <w:right w:val="nil"/>
                  </w:tcBorders>
                  <w:shd w:val="clear" w:color="auto" w:fill="FFFFFF"/>
                  <w:tcMar>
                    <w:top w:w="0" w:type="dxa"/>
                    <w:left w:w="72" w:type="dxa"/>
                    <w:bottom w:w="0" w:type="dxa"/>
                    <w:right w:w="72" w:type="dxa"/>
                  </w:tcMar>
                </w:tcPr>
                <w:p w14:paraId="5931CF0E" w14:textId="77777777" w:rsidR="00F72EF8" w:rsidRPr="005D4222" w:rsidRDefault="00F72EF8" w:rsidP="00F72EF8">
                  <w:pPr>
                    <w:pStyle w:val="TableText"/>
                    <w:spacing w:before="40" w:after="40"/>
                  </w:pPr>
                </w:p>
              </w:tc>
            </w:tr>
            <w:tr w:rsidR="00F72EF8" w:rsidRPr="005D4222" w14:paraId="4B2ADF81" w14:textId="77777777" w:rsidTr="005A414E">
              <w:trPr>
                <w:gridAfter w:val="1"/>
                <w:wAfter w:w="8" w:type="dxa"/>
              </w:trPr>
              <w:tc>
                <w:tcPr>
                  <w:tcW w:w="1523" w:type="dxa"/>
                  <w:gridSpan w:val="2"/>
                  <w:tcBorders>
                    <w:top w:val="nil"/>
                    <w:left w:val="nil"/>
                    <w:bottom w:val="nil"/>
                    <w:right w:val="single" w:sz="6" w:space="0" w:color="auto"/>
                  </w:tcBorders>
                  <w:shd w:val="clear" w:color="auto" w:fill="FFFFFF"/>
                  <w:tcMar>
                    <w:top w:w="0" w:type="dxa"/>
                    <w:left w:w="72" w:type="dxa"/>
                    <w:bottom w:w="0" w:type="dxa"/>
                    <w:right w:w="72" w:type="dxa"/>
                  </w:tcMar>
                </w:tcPr>
                <w:p w14:paraId="69F0FECE" w14:textId="77777777" w:rsidR="00F72EF8" w:rsidRPr="005D4222" w:rsidRDefault="00F72EF8" w:rsidP="00F72EF8">
                  <w:pPr>
                    <w:pStyle w:val="TableText"/>
                    <w:spacing w:before="40" w:after="40"/>
                  </w:pPr>
                </w:p>
              </w:tc>
              <w:tc>
                <w:tcPr>
                  <w:tcW w:w="2700" w:type="dxa"/>
                  <w:tcBorders>
                    <w:top w:val="single" w:sz="6" w:space="0" w:color="auto"/>
                    <w:left w:val="single" w:sz="6" w:space="0" w:color="auto"/>
                    <w:bottom w:val="single" w:sz="6" w:space="0" w:color="auto"/>
                    <w:right w:val="single" w:sz="6" w:space="0" w:color="auto"/>
                  </w:tcBorders>
                  <w:shd w:val="clear" w:color="auto" w:fill="FFFFFF"/>
                  <w:tcMar>
                    <w:top w:w="0" w:type="dxa"/>
                    <w:left w:w="72" w:type="dxa"/>
                    <w:bottom w:w="0" w:type="dxa"/>
                    <w:right w:w="72" w:type="dxa"/>
                  </w:tcMar>
                </w:tcPr>
                <w:p w14:paraId="5D6C1D2B" w14:textId="77777777" w:rsidR="00F72EF8" w:rsidRPr="005D4222" w:rsidRDefault="00F72EF8" w:rsidP="00F72EF8">
                  <w:pPr>
                    <w:pStyle w:val="TableText"/>
                    <w:spacing w:before="40" w:after="40"/>
                  </w:pPr>
                  <w:r w:rsidRPr="005D4222">
                    <w:t>TwoOrMoreRaces</w:t>
                  </w:r>
                </w:p>
              </w:tc>
              <w:tc>
                <w:tcPr>
                  <w:tcW w:w="1437" w:type="dxa"/>
                  <w:tcBorders>
                    <w:top w:val="nil"/>
                    <w:left w:val="single" w:sz="6" w:space="0" w:color="auto"/>
                    <w:bottom w:val="nil"/>
                    <w:right w:val="nil"/>
                  </w:tcBorders>
                  <w:shd w:val="clear" w:color="auto" w:fill="FFFFFF"/>
                  <w:tcMar>
                    <w:top w:w="0" w:type="dxa"/>
                    <w:left w:w="72" w:type="dxa"/>
                    <w:bottom w:w="0" w:type="dxa"/>
                    <w:right w:w="72" w:type="dxa"/>
                  </w:tcMar>
                </w:tcPr>
                <w:p w14:paraId="17A7EFE3" w14:textId="77777777" w:rsidR="00F72EF8" w:rsidRPr="005D4222" w:rsidRDefault="00F72EF8" w:rsidP="00F72EF8">
                  <w:pPr>
                    <w:pStyle w:val="TableText"/>
                    <w:spacing w:before="40" w:after="40"/>
                  </w:pPr>
                </w:p>
              </w:tc>
              <w:tc>
                <w:tcPr>
                  <w:tcW w:w="1709" w:type="dxa"/>
                  <w:gridSpan w:val="2"/>
                  <w:tcBorders>
                    <w:top w:val="nil"/>
                    <w:left w:val="nil"/>
                    <w:bottom w:val="nil"/>
                    <w:right w:val="nil"/>
                  </w:tcBorders>
                  <w:shd w:val="clear" w:color="auto" w:fill="FFFFFF"/>
                  <w:tcMar>
                    <w:top w:w="0" w:type="dxa"/>
                    <w:left w:w="72" w:type="dxa"/>
                    <w:bottom w:w="0" w:type="dxa"/>
                    <w:right w:w="72" w:type="dxa"/>
                  </w:tcMar>
                </w:tcPr>
                <w:p w14:paraId="20AA9535" w14:textId="77777777" w:rsidR="00F72EF8" w:rsidRPr="005D4222" w:rsidRDefault="00F72EF8" w:rsidP="00F72EF8">
                  <w:pPr>
                    <w:pStyle w:val="TableText"/>
                    <w:spacing w:before="40" w:after="40"/>
                  </w:pPr>
                </w:p>
              </w:tc>
            </w:tr>
            <w:tr w:rsidR="00F72EF8" w:rsidRPr="005D4222" w14:paraId="06AE3EF2" w14:textId="77777777" w:rsidTr="005A414E">
              <w:trPr>
                <w:gridAfter w:val="1"/>
                <w:wAfter w:w="8" w:type="dxa"/>
              </w:trPr>
              <w:tc>
                <w:tcPr>
                  <w:tcW w:w="1523" w:type="dxa"/>
                  <w:gridSpan w:val="2"/>
                  <w:tcBorders>
                    <w:top w:val="nil"/>
                    <w:left w:val="nil"/>
                    <w:bottom w:val="nil"/>
                    <w:right w:val="single" w:sz="6" w:space="0" w:color="auto"/>
                  </w:tcBorders>
                  <w:shd w:val="clear" w:color="auto" w:fill="FFFFFF"/>
                  <w:tcMar>
                    <w:top w:w="0" w:type="dxa"/>
                    <w:left w:w="72" w:type="dxa"/>
                    <w:bottom w:w="0" w:type="dxa"/>
                    <w:right w:w="72" w:type="dxa"/>
                  </w:tcMar>
                </w:tcPr>
                <w:p w14:paraId="46CD3C1E" w14:textId="77777777" w:rsidR="00F72EF8" w:rsidRPr="005D4222" w:rsidRDefault="00F72EF8" w:rsidP="00F72EF8">
                  <w:pPr>
                    <w:pStyle w:val="TableText"/>
                    <w:spacing w:before="40" w:after="40"/>
                  </w:pPr>
                </w:p>
              </w:tc>
              <w:tc>
                <w:tcPr>
                  <w:tcW w:w="2700" w:type="dxa"/>
                  <w:tcBorders>
                    <w:top w:val="single" w:sz="6" w:space="0" w:color="auto"/>
                    <w:left w:val="single" w:sz="6" w:space="0" w:color="auto"/>
                    <w:bottom w:val="single" w:sz="6" w:space="0" w:color="auto"/>
                    <w:right w:val="single" w:sz="6" w:space="0" w:color="auto"/>
                  </w:tcBorders>
                  <w:shd w:val="clear" w:color="auto" w:fill="FFFFFF"/>
                  <w:tcMar>
                    <w:top w:w="0" w:type="dxa"/>
                    <w:left w:w="72" w:type="dxa"/>
                    <w:bottom w:w="0" w:type="dxa"/>
                    <w:right w:w="72" w:type="dxa"/>
                  </w:tcMar>
                </w:tcPr>
                <w:p w14:paraId="4A882616" w14:textId="77777777" w:rsidR="00F72EF8" w:rsidRPr="005D4222" w:rsidRDefault="00F72EF8" w:rsidP="00F72EF8">
                  <w:pPr>
                    <w:pStyle w:val="TableText"/>
                    <w:spacing w:before="40" w:after="40"/>
                  </w:pPr>
                  <w:r w:rsidRPr="005D4222">
                    <w:t>AskedButNoAnswer</w:t>
                  </w:r>
                </w:p>
              </w:tc>
              <w:tc>
                <w:tcPr>
                  <w:tcW w:w="1437" w:type="dxa"/>
                  <w:tcBorders>
                    <w:top w:val="nil"/>
                    <w:left w:val="single" w:sz="6" w:space="0" w:color="auto"/>
                    <w:bottom w:val="nil"/>
                    <w:right w:val="nil"/>
                  </w:tcBorders>
                  <w:shd w:val="clear" w:color="auto" w:fill="FFFFFF"/>
                  <w:tcMar>
                    <w:top w:w="0" w:type="dxa"/>
                    <w:left w:w="72" w:type="dxa"/>
                    <w:bottom w:w="0" w:type="dxa"/>
                    <w:right w:w="72" w:type="dxa"/>
                  </w:tcMar>
                </w:tcPr>
                <w:p w14:paraId="6429F601" w14:textId="77777777" w:rsidR="00F72EF8" w:rsidRPr="005D4222" w:rsidRDefault="00F72EF8" w:rsidP="00F72EF8">
                  <w:pPr>
                    <w:pStyle w:val="TableText"/>
                    <w:spacing w:before="40" w:after="40"/>
                  </w:pPr>
                </w:p>
              </w:tc>
              <w:tc>
                <w:tcPr>
                  <w:tcW w:w="1709" w:type="dxa"/>
                  <w:gridSpan w:val="2"/>
                  <w:tcBorders>
                    <w:top w:val="nil"/>
                    <w:left w:val="nil"/>
                    <w:bottom w:val="nil"/>
                    <w:right w:val="nil"/>
                  </w:tcBorders>
                  <w:shd w:val="clear" w:color="auto" w:fill="FFFFFF"/>
                  <w:tcMar>
                    <w:top w:w="0" w:type="dxa"/>
                    <w:left w:w="72" w:type="dxa"/>
                    <w:bottom w:w="0" w:type="dxa"/>
                    <w:right w:w="72" w:type="dxa"/>
                  </w:tcMar>
                </w:tcPr>
                <w:p w14:paraId="38CF604D" w14:textId="77777777" w:rsidR="00F72EF8" w:rsidRPr="005D4222" w:rsidRDefault="00F72EF8" w:rsidP="00F72EF8">
                  <w:pPr>
                    <w:pStyle w:val="TableText"/>
                    <w:spacing w:before="40" w:after="40"/>
                  </w:pPr>
                </w:p>
              </w:tc>
            </w:tr>
            <w:tr w:rsidR="00F72EF8" w:rsidRPr="005D4222" w14:paraId="0BE67FA7" w14:textId="77777777" w:rsidTr="005A414E">
              <w:trPr>
                <w:gridAfter w:val="1"/>
                <w:wAfter w:w="8" w:type="dxa"/>
              </w:trPr>
              <w:tc>
                <w:tcPr>
                  <w:tcW w:w="1523" w:type="dxa"/>
                  <w:gridSpan w:val="2"/>
                  <w:tcBorders>
                    <w:top w:val="nil"/>
                    <w:left w:val="nil"/>
                    <w:bottom w:val="nil"/>
                    <w:right w:val="single" w:sz="6" w:space="0" w:color="auto"/>
                  </w:tcBorders>
                  <w:shd w:val="clear" w:color="auto" w:fill="FFFFFF"/>
                  <w:tcMar>
                    <w:top w:w="0" w:type="dxa"/>
                    <w:left w:w="72" w:type="dxa"/>
                    <w:bottom w:w="0" w:type="dxa"/>
                    <w:right w:w="72" w:type="dxa"/>
                  </w:tcMar>
                </w:tcPr>
                <w:p w14:paraId="65B17CA3" w14:textId="77777777" w:rsidR="00F72EF8" w:rsidRPr="005D4222" w:rsidRDefault="00F72EF8" w:rsidP="00F72EF8">
                  <w:pPr>
                    <w:pStyle w:val="TableText"/>
                    <w:spacing w:before="40" w:after="40"/>
                  </w:pPr>
                </w:p>
              </w:tc>
              <w:tc>
                <w:tcPr>
                  <w:tcW w:w="2700" w:type="dxa"/>
                  <w:tcBorders>
                    <w:top w:val="single" w:sz="6" w:space="0" w:color="auto"/>
                    <w:left w:val="single" w:sz="6" w:space="0" w:color="auto"/>
                    <w:bottom w:val="single" w:sz="6" w:space="0" w:color="auto"/>
                    <w:right w:val="single" w:sz="6" w:space="0" w:color="auto"/>
                  </w:tcBorders>
                  <w:shd w:val="clear" w:color="auto" w:fill="FFFFFF"/>
                  <w:tcMar>
                    <w:top w:w="0" w:type="dxa"/>
                    <w:left w:w="72" w:type="dxa"/>
                    <w:bottom w:w="0" w:type="dxa"/>
                    <w:right w:w="72" w:type="dxa"/>
                  </w:tcMar>
                </w:tcPr>
                <w:p w14:paraId="6507784B" w14:textId="77777777" w:rsidR="00F72EF8" w:rsidRPr="005D4222" w:rsidRDefault="00F72EF8" w:rsidP="00F72EF8">
                  <w:pPr>
                    <w:pStyle w:val="TableText"/>
                    <w:spacing w:before="40" w:after="40"/>
                  </w:pPr>
                  <w:r w:rsidRPr="005D4222">
                    <w:t>Unknown</w:t>
                  </w:r>
                </w:p>
              </w:tc>
              <w:tc>
                <w:tcPr>
                  <w:tcW w:w="1437" w:type="dxa"/>
                  <w:tcBorders>
                    <w:top w:val="nil"/>
                    <w:left w:val="single" w:sz="6" w:space="0" w:color="auto"/>
                    <w:bottom w:val="nil"/>
                    <w:right w:val="nil"/>
                  </w:tcBorders>
                  <w:shd w:val="clear" w:color="auto" w:fill="FFFFFF"/>
                  <w:tcMar>
                    <w:top w:w="0" w:type="dxa"/>
                    <w:left w:w="72" w:type="dxa"/>
                    <w:bottom w:w="0" w:type="dxa"/>
                    <w:right w:w="72" w:type="dxa"/>
                  </w:tcMar>
                </w:tcPr>
                <w:p w14:paraId="6A9EB17B" w14:textId="77777777" w:rsidR="00F72EF8" w:rsidRPr="005D4222" w:rsidRDefault="00F72EF8" w:rsidP="00F72EF8">
                  <w:pPr>
                    <w:pStyle w:val="TableText"/>
                    <w:spacing w:before="40" w:after="40"/>
                  </w:pPr>
                </w:p>
              </w:tc>
              <w:tc>
                <w:tcPr>
                  <w:tcW w:w="1709" w:type="dxa"/>
                  <w:gridSpan w:val="2"/>
                  <w:tcBorders>
                    <w:top w:val="nil"/>
                    <w:left w:val="nil"/>
                    <w:bottom w:val="nil"/>
                    <w:right w:val="nil"/>
                  </w:tcBorders>
                  <w:shd w:val="clear" w:color="auto" w:fill="FFFFFF"/>
                  <w:tcMar>
                    <w:top w:w="0" w:type="dxa"/>
                    <w:left w:w="72" w:type="dxa"/>
                    <w:bottom w:w="0" w:type="dxa"/>
                    <w:right w:w="72" w:type="dxa"/>
                  </w:tcMar>
                </w:tcPr>
                <w:p w14:paraId="650BAC86" w14:textId="77777777" w:rsidR="00F72EF8" w:rsidRPr="005D4222" w:rsidRDefault="00F72EF8" w:rsidP="00F72EF8">
                  <w:pPr>
                    <w:pStyle w:val="TableText"/>
                    <w:spacing w:before="40" w:after="40"/>
                  </w:pPr>
                </w:p>
              </w:tc>
            </w:tr>
          </w:tbl>
          <w:p w14:paraId="6A9D2CEE" w14:textId="00BB75CF" w:rsidR="002E6A87" w:rsidRPr="005D4222" w:rsidRDefault="002E6A87" w:rsidP="00A53E8C">
            <w:pPr>
              <w:pStyle w:val="Heading3"/>
              <w:spacing w:after="40"/>
            </w:pPr>
            <w:r w:rsidRPr="005D4222">
              <w:t xml:space="preserve">Table PND-E-C-1/2: Data Elements for Prenatal Depression Screening and Follow-Up: </w:t>
            </w:r>
            <w:r w:rsidR="00B51CDC" w:rsidRPr="005D4222">
              <w:t>Stratifications</w:t>
            </w:r>
            <w:r w:rsidRPr="005D4222">
              <w:t xml:space="preserve"> by Ethnicity</w:t>
            </w:r>
          </w:p>
          <w:tbl>
            <w:tblPr>
              <w:tblW w:w="7369" w:type="dxa"/>
              <w:tblInd w:w="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520"/>
              <w:gridCol w:w="1980"/>
              <w:gridCol w:w="1800"/>
              <w:gridCol w:w="2069"/>
            </w:tblGrid>
            <w:tr w:rsidR="002E6A87" w:rsidRPr="005D4222" w14:paraId="284B35EC" w14:textId="77777777" w:rsidTr="005A414E">
              <w:trPr>
                <w:trHeight w:val="352"/>
              </w:trPr>
              <w:tc>
                <w:tcPr>
                  <w:tcW w:w="1520" w:type="dxa"/>
                  <w:tcBorders>
                    <w:top w:val="single" w:sz="6" w:space="0" w:color="auto"/>
                    <w:left w:val="single" w:sz="6" w:space="0" w:color="auto"/>
                    <w:bottom w:val="single" w:sz="6" w:space="0" w:color="auto"/>
                    <w:right w:val="single" w:sz="4" w:space="0" w:color="FFFFFF" w:themeColor="background1"/>
                  </w:tcBorders>
                  <w:shd w:val="clear" w:color="auto" w:fill="000000"/>
                  <w:tcMar>
                    <w:top w:w="0" w:type="dxa"/>
                    <w:left w:w="86" w:type="dxa"/>
                    <w:bottom w:w="0" w:type="dxa"/>
                    <w:right w:w="86" w:type="dxa"/>
                  </w:tcMar>
                  <w:vAlign w:val="center"/>
                  <w:hideMark/>
                </w:tcPr>
                <w:p w14:paraId="2AD18CF7" w14:textId="77777777" w:rsidR="002E6A87" w:rsidRPr="005D4222" w:rsidRDefault="002E6A87" w:rsidP="00A53E8C">
                  <w:pPr>
                    <w:pStyle w:val="TableHead"/>
                    <w:spacing w:before="40" w:after="40"/>
                    <w:rPr>
                      <w:rFonts w:ascii="Times New Roman" w:hAnsi="Times New Roman"/>
                      <w:kern w:val="20"/>
                      <w:sz w:val="24"/>
                      <w:szCs w:val="24"/>
                    </w:rPr>
                  </w:pPr>
                  <w:r w:rsidRPr="005D4222">
                    <w:rPr>
                      <w:kern w:val="20"/>
                    </w:rPr>
                    <w:t xml:space="preserve">Metric </w:t>
                  </w:r>
                </w:p>
              </w:tc>
              <w:tc>
                <w:tcPr>
                  <w:tcW w:w="1980" w:type="dxa"/>
                  <w:tcBorders>
                    <w:top w:val="single" w:sz="6" w:space="0" w:color="auto"/>
                    <w:left w:val="single" w:sz="4" w:space="0" w:color="FFFFFF" w:themeColor="background1"/>
                    <w:bottom w:val="single" w:sz="6" w:space="0" w:color="auto"/>
                    <w:right w:val="single" w:sz="6" w:space="0" w:color="FFFFFF"/>
                  </w:tcBorders>
                  <w:shd w:val="clear" w:color="auto" w:fill="000000"/>
                  <w:tcMar>
                    <w:top w:w="0" w:type="dxa"/>
                    <w:left w:w="86" w:type="dxa"/>
                    <w:bottom w:w="0" w:type="dxa"/>
                    <w:right w:w="86" w:type="dxa"/>
                  </w:tcMar>
                  <w:vAlign w:val="center"/>
                  <w:hideMark/>
                </w:tcPr>
                <w:p w14:paraId="4419A5CA" w14:textId="77777777" w:rsidR="002E6A87" w:rsidRPr="005D4222" w:rsidRDefault="002E6A87" w:rsidP="00A53E8C">
                  <w:pPr>
                    <w:pStyle w:val="TableHead"/>
                    <w:spacing w:before="40" w:after="40"/>
                    <w:rPr>
                      <w:rFonts w:ascii="Times New Roman" w:hAnsi="Times New Roman"/>
                      <w:kern w:val="20"/>
                      <w:sz w:val="24"/>
                      <w:szCs w:val="24"/>
                    </w:rPr>
                  </w:pPr>
                  <w:r w:rsidRPr="005D4222">
                    <w:rPr>
                      <w:bCs/>
                      <w:kern w:val="20"/>
                    </w:rPr>
                    <w:t>Ethnicity</w:t>
                  </w:r>
                  <w:r w:rsidRPr="005D4222">
                    <w:rPr>
                      <w:kern w:val="20"/>
                    </w:rPr>
                    <w:t xml:space="preserve"> </w:t>
                  </w:r>
                </w:p>
              </w:tc>
              <w:tc>
                <w:tcPr>
                  <w:tcW w:w="1800" w:type="dxa"/>
                  <w:tcBorders>
                    <w:top w:val="single" w:sz="6" w:space="0" w:color="auto"/>
                    <w:left w:val="single" w:sz="6" w:space="0" w:color="FFFFFF"/>
                    <w:bottom w:val="single" w:sz="6" w:space="0" w:color="auto"/>
                    <w:right w:val="single" w:sz="6" w:space="0" w:color="FFFFFF"/>
                  </w:tcBorders>
                  <w:shd w:val="clear" w:color="auto" w:fill="000000"/>
                  <w:tcMar>
                    <w:top w:w="0" w:type="dxa"/>
                    <w:left w:w="86" w:type="dxa"/>
                    <w:bottom w:w="0" w:type="dxa"/>
                    <w:right w:w="86" w:type="dxa"/>
                  </w:tcMar>
                  <w:vAlign w:val="center"/>
                  <w:hideMark/>
                </w:tcPr>
                <w:p w14:paraId="26FA09DB" w14:textId="77777777" w:rsidR="002E6A87" w:rsidRPr="005D4222" w:rsidRDefault="002E6A87" w:rsidP="00A53E8C">
                  <w:pPr>
                    <w:pStyle w:val="TableHead"/>
                    <w:spacing w:before="40" w:after="40"/>
                    <w:rPr>
                      <w:rFonts w:ascii="Times New Roman" w:hAnsi="Times New Roman"/>
                      <w:kern w:val="20"/>
                      <w:sz w:val="24"/>
                      <w:szCs w:val="24"/>
                    </w:rPr>
                  </w:pPr>
                  <w:r w:rsidRPr="005D4222">
                    <w:rPr>
                      <w:bCs/>
                      <w:kern w:val="20"/>
                    </w:rPr>
                    <w:t>Data Element</w:t>
                  </w:r>
                  <w:r w:rsidRPr="005D4222">
                    <w:rPr>
                      <w:kern w:val="20"/>
                    </w:rPr>
                    <w:t xml:space="preserve"> </w:t>
                  </w:r>
                </w:p>
              </w:tc>
              <w:tc>
                <w:tcPr>
                  <w:tcW w:w="2069" w:type="dxa"/>
                  <w:tcBorders>
                    <w:top w:val="single" w:sz="6" w:space="0" w:color="auto"/>
                    <w:left w:val="single" w:sz="6" w:space="0" w:color="FFFFFF"/>
                    <w:bottom w:val="single" w:sz="6" w:space="0" w:color="auto"/>
                    <w:right w:val="single" w:sz="6" w:space="0" w:color="auto"/>
                  </w:tcBorders>
                  <w:shd w:val="clear" w:color="auto" w:fill="000000"/>
                  <w:tcMar>
                    <w:top w:w="0" w:type="dxa"/>
                    <w:left w:w="86" w:type="dxa"/>
                    <w:bottom w:w="0" w:type="dxa"/>
                    <w:right w:w="86" w:type="dxa"/>
                  </w:tcMar>
                  <w:vAlign w:val="center"/>
                  <w:hideMark/>
                </w:tcPr>
                <w:p w14:paraId="6158D75F" w14:textId="77777777" w:rsidR="002E6A87" w:rsidRPr="005D4222" w:rsidRDefault="002E6A87" w:rsidP="00A53E8C">
                  <w:pPr>
                    <w:pStyle w:val="TableHead"/>
                    <w:spacing w:before="40" w:after="40"/>
                    <w:rPr>
                      <w:rFonts w:ascii="Times New Roman" w:hAnsi="Times New Roman"/>
                      <w:kern w:val="20"/>
                      <w:sz w:val="24"/>
                      <w:szCs w:val="24"/>
                    </w:rPr>
                  </w:pPr>
                  <w:r w:rsidRPr="005D4222">
                    <w:rPr>
                      <w:bCs/>
                      <w:kern w:val="20"/>
                    </w:rPr>
                    <w:t>Reporting Instructions</w:t>
                  </w:r>
                  <w:r w:rsidRPr="005D4222">
                    <w:rPr>
                      <w:kern w:val="20"/>
                    </w:rPr>
                    <w:t xml:space="preserve"> </w:t>
                  </w:r>
                </w:p>
              </w:tc>
            </w:tr>
            <w:tr w:rsidR="002E6A87" w:rsidRPr="005D4222" w14:paraId="08C0AE9F" w14:textId="77777777" w:rsidTr="005A414E">
              <w:trPr>
                <w:trHeight w:val="416"/>
              </w:trPr>
              <w:tc>
                <w:tcPr>
                  <w:tcW w:w="152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vAlign w:val="center"/>
                  <w:hideMark/>
                </w:tcPr>
                <w:p w14:paraId="6860737A" w14:textId="77777777" w:rsidR="002E6A87" w:rsidRPr="005D4222" w:rsidRDefault="002E6A87" w:rsidP="00A53E8C">
                  <w:pPr>
                    <w:pStyle w:val="TableText"/>
                    <w:spacing w:before="40" w:after="40"/>
                    <w:rPr>
                      <w:rFonts w:ascii="Times New Roman" w:hAnsi="Times New Roman"/>
                      <w:kern w:val="20"/>
                      <w:sz w:val="24"/>
                      <w:szCs w:val="24"/>
                    </w:rPr>
                  </w:pPr>
                  <w:r w:rsidRPr="005D4222">
                    <w:rPr>
                      <w:kern w:val="20"/>
                    </w:rPr>
                    <w:t xml:space="preserve">Screening </w:t>
                  </w:r>
                </w:p>
              </w:tc>
              <w:tc>
                <w:tcPr>
                  <w:tcW w:w="198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573AF9DE" w14:textId="77777777" w:rsidR="002E6A87" w:rsidRPr="005D4222" w:rsidRDefault="002E6A87" w:rsidP="00A53E8C">
                  <w:pPr>
                    <w:pStyle w:val="TableText"/>
                    <w:spacing w:before="40" w:after="40"/>
                    <w:rPr>
                      <w:rFonts w:ascii="Times New Roman" w:hAnsi="Times New Roman"/>
                      <w:kern w:val="20"/>
                      <w:sz w:val="24"/>
                      <w:szCs w:val="24"/>
                    </w:rPr>
                  </w:pPr>
                  <w:r w:rsidRPr="005D4222">
                    <w:rPr>
                      <w:kern w:val="20"/>
                    </w:rPr>
                    <w:t xml:space="preserve">HispanicOrLatino </w:t>
                  </w:r>
                </w:p>
              </w:tc>
              <w:tc>
                <w:tcPr>
                  <w:tcW w:w="180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vAlign w:val="center"/>
                  <w:hideMark/>
                </w:tcPr>
                <w:p w14:paraId="0C909EBB" w14:textId="77777777" w:rsidR="002E6A87" w:rsidRPr="005D4222" w:rsidRDefault="002E6A87" w:rsidP="00A53E8C">
                  <w:pPr>
                    <w:pStyle w:val="TableText"/>
                    <w:spacing w:before="40" w:after="40"/>
                    <w:rPr>
                      <w:rFonts w:ascii="Times New Roman" w:hAnsi="Times New Roman"/>
                      <w:kern w:val="20"/>
                      <w:sz w:val="24"/>
                      <w:szCs w:val="24"/>
                    </w:rPr>
                  </w:pPr>
                  <w:r w:rsidRPr="005D4222">
                    <w:rPr>
                      <w:kern w:val="20"/>
                    </w:rPr>
                    <w:t xml:space="preserve">InitialPopulation </w:t>
                  </w:r>
                </w:p>
              </w:tc>
              <w:tc>
                <w:tcPr>
                  <w:tcW w:w="2069" w:type="dxa"/>
                  <w:tcBorders>
                    <w:top w:val="nil"/>
                    <w:left w:val="single" w:sz="6" w:space="0" w:color="auto"/>
                    <w:bottom w:val="single" w:sz="6" w:space="0" w:color="auto"/>
                    <w:right w:val="single" w:sz="6" w:space="0" w:color="auto"/>
                  </w:tcBorders>
                  <w:shd w:val="clear" w:color="auto" w:fill="FFFFFF"/>
                  <w:tcMar>
                    <w:top w:w="0" w:type="dxa"/>
                    <w:left w:w="86" w:type="dxa"/>
                    <w:bottom w:w="0" w:type="dxa"/>
                    <w:right w:w="86" w:type="dxa"/>
                  </w:tcMar>
                  <w:vAlign w:val="center"/>
                  <w:hideMark/>
                </w:tcPr>
                <w:p w14:paraId="232620AF" w14:textId="77777777" w:rsidR="002E6A87" w:rsidRPr="005D4222" w:rsidRDefault="002E6A87" w:rsidP="00A53E8C">
                  <w:pPr>
                    <w:pStyle w:val="TableText"/>
                    <w:spacing w:before="40" w:after="40"/>
                    <w:rPr>
                      <w:rFonts w:ascii="Times New Roman" w:hAnsi="Times New Roman"/>
                      <w:kern w:val="20"/>
                      <w:sz w:val="24"/>
                      <w:szCs w:val="24"/>
                    </w:rPr>
                  </w:pPr>
                  <w:r w:rsidRPr="005D4222">
                    <w:rPr>
                      <w:kern w:val="20"/>
                    </w:rPr>
                    <w:t xml:space="preserve">For each Stratification, repeat per Metric </w:t>
                  </w:r>
                </w:p>
              </w:tc>
            </w:tr>
            <w:tr w:rsidR="002E6A87" w:rsidRPr="005D4222" w14:paraId="3DFF2C20" w14:textId="77777777" w:rsidTr="005A414E">
              <w:trPr>
                <w:trHeight w:val="400"/>
              </w:trPr>
              <w:tc>
                <w:tcPr>
                  <w:tcW w:w="152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vAlign w:val="center"/>
                  <w:hideMark/>
                </w:tcPr>
                <w:p w14:paraId="62F7C374" w14:textId="77777777" w:rsidR="002E6A87" w:rsidRPr="005D4222" w:rsidRDefault="002E6A87" w:rsidP="00A53E8C">
                  <w:pPr>
                    <w:pStyle w:val="TableText"/>
                    <w:spacing w:before="40" w:after="40"/>
                    <w:rPr>
                      <w:rFonts w:ascii="Times New Roman" w:hAnsi="Times New Roman"/>
                      <w:kern w:val="20"/>
                      <w:sz w:val="24"/>
                      <w:szCs w:val="24"/>
                    </w:rPr>
                  </w:pPr>
                  <w:r w:rsidRPr="005D4222">
                    <w:rPr>
                      <w:kern w:val="20"/>
                    </w:rPr>
                    <w:t xml:space="preserve">FollowUp </w:t>
                  </w:r>
                </w:p>
              </w:tc>
              <w:tc>
                <w:tcPr>
                  <w:tcW w:w="198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56123419" w14:textId="77777777" w:rsidR="002E6A87" w:rsidRPr="005D4222" w:rsidRDefault="002E6A87" w:rsidP="00A53E8C">
                  <w:pPr>
                    <w:pStyle w:val="TableText"/>
                    <w:spacing w:before="40" w:after="40"/>
                    <w:rPr>
                      <w:rFonts w:ascii="Times New Roman" w:hAnsi="Times New Roman"/>
                      <w:kern w:val="20"/>
                      <w:sz w:val="24"/>
                      <w:szCs w:val="24"/>
                    </w:rPr>
                  </w:pPr>
                  <w:r w:rsidRPr="005D4222">
                    <w:rPr>
                      <w:kern w:val="20"/>
                    </w:rPr>
                    <w:t xml:space="preserve">NotHispanicOrLatino </w:t>
                  </w:r>
                </w:p>
              </w:tc>
              <w:tc>
                <w:tcPr>
                  <w:tcW w:w="180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vAlign w:val="center"/>
                  <w:hideMark/>
                </w:tcPr>
                <w:p w14:paraId="13657FB2" w14:textId="77777777" w:rsidR="002E6A87" w:rsidRPr="005D4222" w:rsidRDefault="002E6A87" w:rsidP="00A53E8C">
                  <w:pPr>
                    <w:pStyle w:val="TableText"/>
                    <w:spacing w:before="40" w:after="40"/>
                    <w:rPr>
                      <w:rFonts w:ascii="Times New Roman" w:hAnsi="Times New Roman"/>
                      <w:kern w:val="20"/>
                      <w:sz w:val="24"/>
                      <w:szCs w:val="24"/>
                    </w:rPr>
                  </w:pPr>
                  <w:r w:rsidRPr="005D4222">
                    <w:rPr>
                      <w:kern w:val="20"/>
                    </w:rPr>
                    <w:t xml:space="preserve">Exclusions </w:t>
                  </w:r>
                </w:p>
              </w:tc>
              <w:tc>
                <w:tcPr>
                  <w:tcW w:w="2069" w:type="dxa"/>
                  <w:tcBorders>
                    <w:top w:val="nil"/>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37E0969F" w14:textId="77777777" w:rsidR="002E6A87" w:rsidRPr="005D4222" w:rsidRDefault="002E6A87" w:rsidP="00A53E8C">
                  <w:pPr>
                    <w:pStyle w:val="TableText"/>
                    <w:spacing w:before="40" w:after="40"/>
                    <w:rPr>
                      <w:rFonts w:ascii="Times New Roman" w:hAnsi="Times New Roman"/>
                      <w:kern w:val="20"/>
                      <w:sz w:val="24"/>
                      <w:szCs w:val="24"/>
                    </w:rPr>
                  </w:pPr>
                  <w:r w:rsidRPr="005D4222">
                    <w:rPr>
                      <w:kern w:val="20"/>
                    </w:rPr>
                    <w:t xml:space="preserve">For each Stratification, repeat per Metric </w:t>
                  </w:r>
                </w:p>
              </w:tc>
            </w:tr>
            <w:tr w:rsidR="002E6A87" w:rsidRPr="005D4222" w14:paraId="5FD1CADF" w14:textId="77777777" w:rsidTr="005A414E">
              <w:trPr>
                <w:trHeight w:val="432"/>
              </w:trPr>
              <w:tc>
                <w:tcPr>
                  <w:tcW w:w="1520" w:type="dxa"/>
                  <w:tcBorders>
                    <w:top w:val="single" w:sz="6" w:space="0" w:color="auto"/>
                    <w:left w:val="nil"/>
                    <w:bottom w:val="nil"/>
                    <w:right w:val="single" w:sz="6" w:space="0" w:color="auto"/>
                  </w:tcBorders>
                  <w:shd w:val="clear" w:color="auto" w:fill="FFFFFF"/>
                  <w:tcMar>
                    <w:top w:w="0" w:type="dxa"/>
                    <w:left w:w="86" w:type="dxa"/>
                    <w:bottom w:w="0" w:type="dxa"/>
                    <w:right w:w="86" w:type="dxa"/>
                  </w:tcMar>
                  <w:hideMark/>
                </w:tcPr>
                <w:p w14:paraId="014CA3B7" w14:textId="77777777" w:rsidR="002E6A87" w:rsidRPr="005D4222" w:rsidRDefault="002E6A87" w:rsidP="00A53E8C">
                  <w:pPr>
                    <w:pStyle w:val="TableText"/>
                    <w:spacing w:before="40" w:after="40"/>
                    <w:rPr>
                      <w:rFonts w:ascii="Times New Roman" w:hAnsi="Times New Roman"/>
                      <w:kern w:val="20"/>
                      <w:sz w:val="24"/>
                      <w:szCs w:val="24"/>
                    </w:rPr>
                  </w:pPr>
                  <w:r w:rsidRPr="005D4222">
                    <w:rPr>
                      <w:kern w:val="20"/>
                    </w:rPr>
                    <w:t xml:space="preserve"> </w:t>
                  </w:r>
                </w:p>
              </w:tc>
              <w:tc>
                <w:tcPr>
                  <w:tcW w:w="198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74316005" w14:textId="77777777" w:rsidR="002E6A87" w:rsidRPr="005D4222" w:rsidRDefault="002E6A87" w:rsidP="00A53E8C">
                  <w:pPr>
                    <w:pStyle w:val="TableText"/>
                    <w:spacing w:before="40" w:after="40"/>
                    <w:rPr>
                      <w:rFonts w:ascii="Times New Roman" w:hAnsi="Times New Roman"/>
                      <w:kern w:val="20"/>
                      <w:sz w:val="24"/>
                      <w:szCs w:val="24"/>
                    </w:rPr>
                  </w:pPr>
                  <w:r w:rsidRPr="005D4222">
                    <w:rPr>
                      <w:kern w:val="20"/>
                    </w:rPr>
                    <w:t>AskedButNoAnswer</w:t>
                  </w:r>
                </w:p>
              </w:tc>
              <w:tc>
                <w:tcPr>
                  <w:tcW w:w="1800" w:type="dxa"/>
                  <w:tcBorders>
                    <w:top w:val="nil"/>
                    <w:left w:val="single" w:sz="6" w:space="0" w:color="auto"/>
                    <w:bottom w:val="single" w:sz="6" w:space="0" w:color="auto"/>
                    <w:right w:val="single" w:sz="6" w:space="0" w:color="auto"/>
                  </w:tcBorders>
                  <w:shd w:val="clear" w:color="auto" w:fill="FFFFFF"/>
                  <w:tcMar>
                    <w:top w:w="0" w:type="dxa"/>
                    <w:left w:w="86" w:type="dxa"/>
                    <w:bottom w:w="0" w:type="dxa"/>
                    <w:right w:w="86" w:type="dxa"/>
                  </w:tcMar>
                  <w:vAlign w:val="center"/>
                  <w:hideMark/>
                </w:tcPr>
                <w:p w14:paraId="253D9708" w14:textId="77777777" w:rsidR="002E6A87" w:rsidRPr="005D4222" w:rsidRDefault="002E6A87" w:rsidP="00A53E8C">
                  <w:pPr>
                    <w:pStyle w:val="TableText"/>
                    <w:spacing w:before="40" w:after="40"/>
                    <w:rPr>
                      <w:rFonts w:ascii="Times New Roman" w:hAnsi="Times New Roman"/>
                      <w:kern w:val="20"/>
                      <w:sz w:val="24"/>
                      <w:szCs w:val="24"/>
                    </w:rPr>
                  </w:pPr>
                  <w:r w:rsidRPr="005D4222">
                    <w:rPr>
                      <w:kern w:val="20"/>
                    </w:rPr>
                    <w:t xml:space="preserve">Denominator </w:t>
                  </w:r>
                </w:p>
              </w:tc>
              <w:tc>
                <w:tcPr>
                  <w:tcW w:w="2069" w:type="dxa"/>
                  <w:tcBorders>
                    <w:top w:val="nil"/>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46D7CC9F" w14:textId="77777777" w:rsidR="002E6A87" w:rsidRPr="005D4222" w:rsidRDefault="002E6A87" w:rsidP="00A53E8C">
                  <w:pPr>
                    <w:pStyle w:val="TableText"/>
                    <w:spacing w:before="40" w:after="40"/>
                    <w:rPr>
                      <w:rFonts w:ascii="Times New Roman" w:hAnsi="Times New Roman"/>
                      <w:kern w:val="20"/>
                      <w:sz w:val="24"/>
                      <w:szCs w:val="24"/>
                    </w:rPr>
                  </w:pPr>
                  <w:r w:rsidRPr="005D4222">
                    <w:rPr>
                      <w:kern w:val="20"/>
                    </w:rPr>
                    <w:t xml:space="preserve">For each Stratification, repeat per Metric </w:t>
                  </w:r>
                </w:p>
              </w:tc>
            </w:tr>
            <w:tr w:rsidR="002E6A87" w:rsidRPr="005D4222" w14:paraId="121721FD" w14:textId="77777777" w:rsidTr="005A414E">
              <w:trPr>
                <w:trHeight w:val="432"/>
              </w:trPr>
              <w:tc>
                <w:tcPr>
                  <w:tcW w:w="1520" w:type="dxa"/>
                  <w:tcBorders>
                    <w:top w:val="nil"/>
                    <w:left w:val="nil"/>
                    <w:bottom w:val="nil"/>
                    <w:right w:val="single" w:sz="6" w:space="0" w:color="auto"/>
                  </w:tcBorders>
                  <w:shd w:val="clear" w:color="auto" w:fill="FFFFFF"/>
                  <w:tcMar>
                    <w:top w:w="0" w:type="dxa"/>
                    <w:left w:w="86" w:type="dxa"/>
                    <w:bottom w:w="0" w:type="dxa"/>
                    <w:right w:w="86" w:type="dxa"/>
                  </w:tcMar>
                  <w:hideMark/>
                </w:tcPr>
                <w:p w14:paraId="0E60C86C" w14:textId="77777777" w:rsidR="002E6A87" w:rsidRPr="005D4222" w:rsidRDefault="002E6A87" w:rsidP="00A53E8C">
                  <w:pPr>
                    <w:pStyle w:val="TableText"/>
                    <w:spacing w:before="40" w:after="40"/>
                    <w:rPr>
                      <w:rFonts w:ascii="Times New Roman" w:hAnsi="Times New Roman"/>
                      <w:kern w:val="20"/>
                      <w:sz w:val="24"/>
                      <w:szCs w:val="24"/>
                    </w:rPr>
                  </w:pPr>
                  <w:r w:rsidRPr="005D4222">
                    <w:rPr>
                      <w:kern w:val="20"/>
                    </w:rPr>
                    <w:t xml:space="preserve"> </w:t>
                  </w:r>
                </w:p>
              </w:tc>
              <w:tc>
                <w:tcPr>
                  <w:tcW w:w="198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31F590EE" w14:textId="77777777" w:rsidR="002E6A87" w:rsidRPr="005D4222" w:rsidRDefault="002E6A87" w:rsidP="00A53E8C">
                  <w:pPr>
                    <w:pStyle w:val="TableText"/>
                    <w:spacing w:before="40" w:after="40"/>
                    <w:rPr>
                      <w:rFonts w:ascii="Times New Roman" w:hAnsi="Times New Roman"/>
                      <w:kern w:val="20"/>
                      <w:sz w:val="24"/>
                      <w:szCs w:val="24"/>
                    </w:rPr>
                  </w:pPr>
                  <w:r w:rsidRPr="005D4222">
                    <w:rPr>
                      <w:kern w:val="20"/>
                    </w:rPr>
                    <w:t>Unknown</w:t>
                  </w:r>
                </w:p>
              </w:tc>
              <w:tc>
                <w:tcPr>
                  <w:tcW w:w="180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vAlign w:val="center"/>
                  <w:hideMark/>
                </w:tcPr>
                <w:p w14:paraId="34C5CF0E" w14:textId="77777777" w:rsidR="002E6A87" w:rsidRPr="005D4222" w:rsidRDefault="002E6A87" w:rsidP="00A53E8C">
                  <w:pPr>
                    <w:pStyle w:val="TableText"/>
                    <w:spacing w:before="40" w:after="40"/>
                    <w:rPr>
                      <w:rFonts w:ascii="Times New Roman" w:hAnsi="Times New Roman"/>
                      <w:kern w:val="20"/>
                      <w:sz w:val="24"/>
                      <w:szCs w:val="24"/>
                    </w:rPr>
                  </w:pPr>
                  <w:r w:rsidRPr="005D4222">
                    <w:rPr>
                      <w:kern w:val="20"/>
                    </w:rPr>
                    <w:t xml:space="preserve">Numerator </w:t>
                  </w:r>
                </w:p>
              </w:tc>
              <w:tc>
                <w:tcPr>
                  <w:tcW w:w="2069" w:type="dxa"/>
                  <w:tcBorders>
                    <w:top w:val="nil"/>
                    <w:left w:val="single" w:sz="6" w:space="0" w:color="auto"/>
                    <w:bottom w:val="single" w:sz="6" w:space="0" w:color="auto"/>
                    <w:right w:val="single" w:sz="6" w:space="0" w:color="auto"/>
                  </w:tcBorders>
                  <w:shd w:val="clear" w:color="auto" w:fill="FFFFFF"/>
                  <w:tcMar>
                    <w:top w:w="0" w:type="dxa"/>
                    <w:left w:w="86" w:type="dxa"/>
                    <w:bottom w:w="0" w:type="dxa"/>
                    <w:right w:w="86" w:type="dxa"/>
                  </w:tcMar>
                  <w:vAlign w:val="center"/>
                  <w:hideMark/>
                </w:tcPr>
                <w:p w14:paraId="23A528B3" w14:textId="77777777" w:rsidR="002E6A87" w:rsidRPr="005D4222" w:rsidRDefault="002E6A87" w:rsidP="00A53E8C">
                  <w:pPr>
                    <w:pStyle w:val="TableText"/>
                    <w:spacing w:before="40" w:after="40"/>
                    <w:rPr>
                      <w:rFonts w:ascii="Times New Roman" w:hAnsi="Times New Roman"/>
                      <w:kern w:val="20"/>
                      <w:sz w:val="24"/>
                      <w:szCs w:val="24"/>
                    </w:rPr>
                  </w:pPr>
                  <w:r w:rsidRPr="005D4222">
                    <w:rPr>
                      <w:kern w:val="20"/>
                    </w:rPr>
                    <w:t>For each Metric and Stratification</w:t>
                  </w:r>
                </w:p>
              </w:tc>
            </w:tr>
            <w:tr w:rsidR="002E6A87" w:rsidRPr="005D4222" w14:paraId="2FE5121B" w14:textId="77777777" w:rsidTr="005A414E">
              <w:trPr>
                <w:trHeight w:val="432"/>
              </w:trPr>
              <w:tc>
                <w:tcPr>
                  <w:tcW w:w="1520" w:type="dxa"/>
                  <w:tcBorders>
                    <w:top w:val="nil"/>
                    <w:left w:val="nil"/>
                    <w:bottom w:val="nil"/>
                    <w:right w:val="nil"/>
                  </w:tcBorders>
                  <w:shd w:val="clear" w:color="auto" w:fill="FFFFFF"/>
                  <w:tcMar>
                    <w:top w:w="0" w:type="dxa"/>
                    <w:left w:w="86" w:type="dxa"/>
                    <w:bottom w:w="0" w:type="dxa"/>
                    <w:right w:w="86" w:type="dxa"/>
                  </w:tcMar>
                  <w:hideMark/>
                </w:tcPr>
                <w:p w14:paraId="1C7F9AEA" w14:textId="77777777" w:rsidR="002E6A87" w:rsidRPr="005D4222" w:rsidRDefault="002E6A87" w:rsidP="00A53E8C">
                  <w:pPr>
                    <w:pStyle w:val="TableText"/>
                    <w:spacing w:before="40" w:after="40"/>
                    <w:rPr>
                      <w:rFonts w:ascii="Times New Roman" w:hAnsi="Times New Roman"/>
                      <w:kern w:val="20"/>
                      <w:sz w:val="24"/>
                      <w:szCs w:val="24"/>
                    </w:rPr>
                  </w:pPr>
                  <w:r w:rsidRPr="005D4222">
                    <w:rPr>
                      <w:kern w:val="20"/>
                    </w:rPr>
                    <w:t xml:space="preserve"> </w:t>
                  </w:r>
                </w:p>
              </w:tc>
              <w:tc>
                <w:tcPr>
                  <w:tcW w:w="1980" w:type="dxa"/>
                  <w:tcBorders>
                    <w:top w:val="single" w:sz="6" w:space="0" w:color="auto"/>
                    <w:left w:val="nil"/>
                    <w:bottom w:val="nil"/>
                    <w:right w:val="nil"/>
                  </w:tcBorders>
                  <w:shd w:val="clear" w:color="auto" w:fill="FFFFFF"/>
                  <w:tcMar>
                    <w:top w:w="0" w:type="dxa"/>
                    <w:left w:w="86" w:type="dxa"/>
                    <w:bottom w:w="0" w:type="dxa"/>
                    <w:right w:w="86" w:type="dxa"/>
                  </w:tcMar>
                  <w:hideMark/>
                </w:tcPr>
                <w:p w14:paraId="6666B8BB" w14:textId="77777777" w:rsidR="002E6A87" w:rsidRPr="005D4222" w:rsidRDefault="002E6A87" w:rsidP="00A53E8C">
                  <w:pPr>
                    <w:pStyle w:val="TableText"/>
                    <w:spacing w:before="40" w:after="40"/>
                    <w:rPr>
                      <w:rFonts w:ascii="Times New Roman" w:hAnsi="Times New Roman"/>
                      <w:kern w:val="20"/>
                      <w:sz w:val="24"/>
                      <w:szCs w:val="24"/>
                    </w:rPr>
                  </w:pPr>
                  <w:r w:rsidRPr="005D4222">
                    <w:rPr>
                      <w:kern w:val="20"/>
                    </w:rPr>
                    <w:t xml:space="preserve"> </w:t>
                  </w:r>
                </w:p>
              </w:tc>
              <w:tc>
                <w:tcPr>
                  <w:tcW w:w="1800" w:type="dxa"/>
                  <w:tcBorders>
                    <w:top w:val="single" w:sz="6" w:space="0" w:color="auto"/>
                    <w:left w:val="single" w:sz="6" w:space="0" w:color="auto"/>
                    <w:bottom w:val="single" w:sz="6" w:space="0" w:color="auto"/>
                    <w:right w:val="single" w:sz="6" w:space="0" w:color="auto"/>
                  </w:tcBorders>
                  <w:shd w:val="clear" w:color="auto" w:fill="D9D9D9"/>
                  <w:tcMar>
                    <w:top w:w="0" w:type="dxa"/>
                    <w:left w:w="86" w:type="dxa"/>
                    <w:bottom w:w="0" w:type="dxa"/>
                    <w:right w:w="86" w:type="dxa"/>
                  </w:tcMar>
                  <w:vAlign w:val="center"/>
                  <w:hideMark/>
                </w:tcPr>
                <w:p w14:paraId="0DC9C0D8" w14:textId="77777777" w:rsidR="002E6A87" w:rsidRPr="005D4222" w:rsidRDefault="002E6A87" w:rsidP="00A53E8C">
                  <w:pPr>
                    <w:pStyle w:val="TableText"/>
                    <w:spacing w:before="40" w:after="40"/>
                    <w:rPr>
                      <w:rFonts w:ascii="Times New Roman" w:hAnsi="Times New Roman"/>
                      <w:kern w:val="20"/>
                      <w:sz w:val="24"/>
                      <w:szCs w:val="24"/>
                    </w:rPr>
                  </w:pPr>
                  <w:r w:rsidRPr="005D4222">
                    <w:rPr>
                      <w:kern w:val="20"/>
                    </w:rPr>
                    <w:t xml:space="preserve">Rate </w:t>
                  </w:r>
                </w:p>
              </w:tc>
              <w:tc>
                <w:tcPr>
                  <w:tcW w:w="2069" w:type="dxa"/>
                  <w:tcBorders>
                    <w:top w:val="nil"/>
                    <w:left w:val="single" w:sz="6" w:space="0" w:color="auto"/>
                    <w:bottom w:val="single" w:sz="6" w:space="0" w:color="auto"/>
                    <w:right w:val="single" w:sz="6" w:space="0" w:color="auto"/>
                  </w:tcBorders>
                  <w:shd w:val="clear" w:color="auto" w:fill="D9D9D9"/>
                  <w:tcMar>
                    <w:top w:w="0" w:type="dxa"/>
                    <w:left w:w="86" w:type="dxa"/>
                    <w:bottom w:w="0" w:type="dxa"/>
                    <w:right w:w="86" w:type="dxa"/>
                  </w:tcMar>
                  <w:vAlign w:val="center"/>
                  <w:hideMark/>
                </w:tcPr>
                <w:p w14:paraId="0FF7C8F5" w14:textId="77777777" w:rsidR="002E6A87" w:rsidRPr="005D4222" w:rsidRDefault="002E6A87" w:rsidP="00A53E8C">
                  <w:pPr>
                    <w:pStyle w:val="TableText"/>
                    <w:spacing w:before="40" w:after="40"/>
                    <w:rPr>
                      <w:rFonts w:ascii="Times New Roman" w:hAnsi="Times New Roman"/>
                      <w:kern w:val="20"/>
                      <w:sz w:val="24"/>
                      <w:szCs w:val="24"/>
                    </w:rPr>
                  </w:pPr>
                  <w:r w:rsidRPr="005D4222">
                    <w:rPr>
                      <w:kern w:val="20"/>
                    </w:rPr>
                    <w:t xml:space="preserve">(Percent) </w:t>
                  </w:r>
                </w:p>
              </w:tc>
            </w:tr>
          </w:tbl>
          <w:p w14:paraId="01F46B02" w14:textId="77777777" w:rsidR="002E6A87" w:rsidRPr="005D4222" w:rsidRDefault="002E6A87" w:rsidP="00A53E8C">
            <w:pPr>
              <w:pStyle w:val="ECDSBody"/>
            </w:pPr>
          </w:p>
        </w:tc>
      </w:tr>
      <w:tr w:rsidR="002E6A87" w:rsidRPr="005D4222" w14:paraId="152F7D89"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2AFA1EFE" w14:textId="77777777" w:rsidR="002E6A87" w:rsidRPr="005D4222" w:rsidRDefault="002E6A87" w:rsidP="00A53E8C">
            <w:pPr>
              <w:pStyle w:val="ECDSMarginHead"/>
            </w:pPr>
            <w:r w:rsidRPr="005D4222">
              <w:t>Rules for Allowable Adjustments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883C446" w14:textId="77777777" w:rsidR="002E6A87" w:rsidRPr="005D4222" w:rsidRDefault="002E6A87" w:rsidP="00A53E8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520D8EA4" w14:textId="77777777" w:rsidR="002E6A87" w:rsidRPr="005D4222" w:rsidRDefault="002E6A87" w:rsidP="00A53E8C">
            <w:pPr>
              <w:pStyle w:val="ECDSBody"/>
              <w:rPr>
                <w:b/>
              </w:rPr>
            </w:pPr>
            <w:r w:rsidRPr="005D4222">
              <w:rPr>
                <w:b/>
              </w:rPr>
              <w:t>Adjusted HEDIS measures may not be used for HEDIS health plan reporting.</w:t>
            </w:r>
          </w:p>
          <w:p w14:paraId="6D2601EB" w14:textId="77777777" w:rsidR="002E6A87" w:rsidRPr="005D4222" w:rsidRDefault="002E6A87" w:rsidP="00A53E8C">
            <w:pPr>
              <w:pStyle w:val="Adjustments"/>
              <w:rPr>
                <w:b w:val="0"/>
              </w:rPr>
            </w:pPr>
            <w:r w:rsidRPr="005D4222">
              <w:t>Adjustments</w:t>
            </w:r>
            <w:r w:rsidRPr="005D4222">
              <w:rPr>
                <w:bCs/>
              </w:rPr>
              <w:t xml:space="preserve"> a</w:t>
            </w:r>
            <w:r w:rsidRPr="005D4222">
              <w:t>llowed</w:t>
            </w:r>
          </w:p>
          <w:p w14:paraId="66247421" w14:textId="660CEBBF" w:rsidR="002E6A87" w:rsidRPr="005D4222" w:rsidRDefault="002E6A87" w:rsidP="005D6173">
            <w:pPr>
              <w:pStyle w:val="ProcessBullet"/>
              <w:numPr>
                <w:ilvl w:val="0"/>
                <w:numId w:val="98"/>
              </w:numPr>
              <w:tabs>
                <w:tab w:val="left" w:pos="216"/>
              </w:tabs>
              <w:ind w:left="216" w:hanging="216"/>
              <w:rPr>
                <w:b/>
              </w:rPr>
            </w:pPr>
            <w:r w:rsidRPr="005D4222">
              <w:rPr>
                <w:i/>
                <w:iCs/>
              </w:rPr>
              <w:t>Product lines</w:t>
            </w:r>
            <w:r w:rsidRPr="005D4222">
              <w:t xml:space="preserve">. </w:t>
            </w:r>
            <w:r w:rsidRPr="005D4222">
              <w:rPr>
                <w:rFonts w:eastAsia="Arial"/>
              </w:rPr>
              <w:t>Organizations are not required to use product line criteria; product lines may be combined</w:t>
            </w:r>
            <w:r w:rsidR="00E8671F" w:rsidRPr="005D4222">
              <w:rPr>
                <w:rFonts w:eastAsia="Arial"/>
              </w:rPr>
              <w:t>,</w:t>
            </w:r>
            <w:r w:rsidRPr="005D4222">
              <w:rPr>
                <w:rFonts w:eastAsia="Arial"/>
              </w:rPr>
              <w:t xml:space="preserve"> and all (or no) product line criteria may be used.</w:t>
            </w:r>
          </w:p>
          <w:p w14:paraId="1F87F539" w14:textId="77777777" w:rsidR="002E6A87" w:rsidRPr="005D4222" w:rsidRDefault="002E6A87" w:rsidP="005D6173">
            <w:pPr>
              <w:pStyle w:val="ProcessBullet"/>
              <w:numPr>
                <w:ilvl w:val="0"/>
                <w:numId w:val="98"/>
              </w:numPr>
              <w:tabs>
                <w:tab w:val="left" w:pos="216"/>
              </w:tabs>
              <w:ind w:left="216" w:hanging="216"/>
              <w:rPr>
                <w:b/>
              </w:rPr>
            </w:pPr>
            <w:r w:rsidRPr="005D4222">
              <w:rPr>
                <w:i/>
                <w:iCs/>
              </w:rPr>
              <w:t>Attribution.</w:t>
            </w:r>
            <w:r w:rsidRPr="005D4222">
              <w:rPr>
                <w:b/>
              </w:rPr>
              <w:t xml:space="preserve"> </w:t>
            </w:r>
            <w:r w:rsidRPr="005D4222">
              <w:rPr>
                <w:rFonts w:eastAsia="Arial"/>
              </w:rPr>
              <w:t>Organizations are not required to use enrollment criteria.</w:t>
            </w:r>
          </w:p>
          <w:p w14:paraId="3DD76060" w14:textId="77777777" w:rsidR="002E6A87" w:rsidRPr="005D4222" w:rsidRDefault="002E6A87" w:rsidP="005D6173">
            <w:pPr>
              <w:pStyle w:val="ProcessBullet"/>
              <w:numPr>
                <w:ilvl w:val="0"/>
                <w:numId w:val="98"/>
              </w:numPr>
              <w:tabs>
                <w:tab w:val="left" w:pos="216"/>
              </w:tabs>
              <w:ind w:left="216" w:hanging="216"/>
              <w:rPr>
                <w:b/>
              </w:rPr>
            </w:pPr>
            <w:r w:rsidRPr="005D4222">
              <w:rPr>
                <w:i/>
                <w:iCs/>
              </w:rPr>
              <w:t>Benefits.</w:t>
            </w:r>
            <w:r w:rsidRPr="005D4222">
              <w:rPr>
                <w:b/>
              </w:rPr>
              <w:t xml:space="preserve"> </w:t>
            </w:r>
            <w:r w:rsidRPr="005D4222">
              <w:t>Organizations are not required to use a benefit.</w:t>
            </w:r>
          </w:p>
          <w:p w14:paraId="0A992675" w14:textId="77777777" w:rsidR="002E6A87" w:rsidRPr="005D4222" w:rsidRDefault="002E6A87" w:rsidP="005D6173">
            <w:pPr>
              <w:pStyle w:val="ProcessBullet"/>
              <w:numPr>
                <w:ilvl w:val="0"/>
                <w:numId w:val="98"/>
              </w:numPr>
              <w:tabs>
                <w:tab w:val="left" w:pos="216"/>
              </w:tabs>
              <w:ind w:left="216" w:hanging="216"/>
              <w:rPr>
                <w:b/>
              </w:rPr>
            </w:pPr>
            <w:r w:rsidRPr="005D4222">
              <w:rPr>
                <w:i/>
                <w:iCs/>
              </w:rPr>
              <w:t>Other.</w:t>
            </w:r>
            <w:r w:rsidRPr="005D4222">
              <w:rPr>
                <w:b/>
              </w:rPr>
              <w:t xml:space="preserve"> </w:t>
            </w:r>
            <w:r w:rsidRPr="005D4222">
              <w:rPr>
                <w:rFonts w:eastAsia="Arial"/>
              </w:rPr>
              <w:t xml:space="preserve">Organizations may use additional initial population criteria to focus on an area of interest defined by gender, race, ethnicity, socioeconomic or sociodemographic characteristics, geographic region or another characteristic. </w:t>
            </w:r>
          </w:p>
          <w:p w14:paraId="30651957" w14:textId="77777777" w:rsidR="002E6A87" w:rsidRPr="005D4222" w:rsidRDefault="002E6A87" w:rsidP="005D6173">
            <w:pPr>
              <w:pStyle w:val="ProcessBullet"/>
              <w:numPr>
                <w:ilvl w:val="0"/>
                <w:numId w:val="98"/>
              </w:numPr>
              <w:tabs>
                <w:tab w:val="left" w:pos="216"/>
              </w:tabs>
              <w:ind w:left="216" w:hanging="216"/>
              <w:rPr>
                <w:b/>
                <w:bCs/>
                <w:color w:val="000000" w:themeColor="text1"/>
              </w:rPr>
            </w:pPr>
            <w:r w:rsidRPr="005D4222">
              <w:rPr>
                <w:i/>
                <w:iCs/>
              </w:rPr>
              <w:t>Measurement period adjustments.</w:t>
            </w:r>
            <w:r w:rsidRPr="005D4222">
              <w:t xml:space="preserve"> Organizations may adjust the measurement period. </w:t>
            </w:r>
          </w:p>
          <w:p w14:paraId="3189F958" w14:textId="77777777" w:rsidR="002E6A87" w:rsidRPr="005D4222" w:rsidRDefault="002E6A87" w:rsidP="005D6173">
            <w:pPr>
              <w:pStyle w:val="ProcessBullet"/>
              <w:numPr>
                <w:ilvl w:val="0"/>
                <w:numId w:val="98"/>
              </w:numPr>
              <w:tabs>
                <w:tab w:val="left" w:pos="216"/>
              </w:tabs>
              <w:spacing w:after="80"/>
              <w:ind w:left="216" w:hanging="216"/>
              <w:rPr>
                <w:b/>
                <w:bCs/>
              </w:rPr>
            </w:pPr>
            <w:r w:rsidRPr="005D4222">
              <w:rPr>
                <w:i/>
                <w:iCs/>
              </w:rPr>
              <w:t xml:space="preserve">Stratifications: </w:t>
            </w:r>
            <w:r w:rsidRPr="005D4222">
              <w:t>Race and ethnicity stratification. The race and ethnicity stratification is not required. Organizations may adjust this stratification as needed.</w:t>
            </w:r>
          </w:p>
        </w:tc>
      </w:tr>
      <w:tr w:rsidR="002E6A87" w:rsidRPr="005D4222" w14:paraId="7D297389" w14:textId="77777777" w:rsidTr="00A53E8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59EFBF11" w14:textId="77777777" w:rsidR="002E6A87" w:rsidRPr="005D4222" w:rsidRDefault="002E6A87" w:rsidP="00A53E8C">
            <w:pPr>
              <w:pStyle w:val="ECDSMargin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D81E842" w14:textId="77777777" w:rsidR="002E6A87" w:rsidRPr="005D4222" w:rsidRDefault="002E6A87" w:rsidP="005D6173">
            <w:pPr>
              <w:pStyle w:val="ProcessBullet"/>
              <w:numPr>
                <w:ilvl w:val="0"/>
                <w:numId w:val="98"/>
              </w:numPr>
              <w:tabs>
                <w:tab w:val="left" w:pos="216"/>
              </w:tabs>
              <w:spacing w:before="120"/>
              <w:ind w:left="216" w:hanging="216"/>
              <w:rPr>
                <w:b/>
                <w:bCs/>
                <w:color w:val="000000" w:themeColor="text1"/>
              </w:rPr>
            </w:pPr>
            <w:r w:rsidRPr="005D4222">
              <w:rPr>
                <w:i/>
                <w:iCs/>
              </w:rPr>
              <w:t>Exclusions.</w:t>
            </w:r>
            <w:r w:rsidRPr="005D4222">
              <w:t xml:space="preserve"> Hospice and deceased persons exclusions are not required. </w:t>
            </w:r>
          </w:p>
          <w:p w14:paraId="5BB81A32" w14:textId="3AB46609" w:rsidR="002E6A87" w:rsidRPr="005D4222" w:rsidRDefault="002E6A87" w:rsidP="005D6173">
            <w:pPr>
              <w:pStyle w:val="ProcessBullet"/>
              <w:numPr>
                <w:ilvl w:val="0"/>
                <w:numId w:val="98"/>
              </w:numPr>
              <w:tabs>
                <w:tab w:val="left" w:pos="216"/>
              </w:tabs>
              <w:spacing w:after="80"/>
              <w:ind w:left="216" w:hanging="216"/>
              <w:rPr>
                <w:b/>
                <w:bCs/>
              </w:rPr>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w:t>
            </w:r>
            <w:r w:rsidR="00F45777" w:rsidRPr="005D4222">
              <w:t>events</w:t>
            </w:r>
            <w:r w:rsidRPr="005D4222">
              <w:t>, numerators and exclusions that do not allow the use of telehealth.</w:t>
            </w:r>
          </w:p>
          <w:p w14:paraId="40D1D16C" w14:textId="77777777" w:rsidR="002E6A87" w:rsidRPr="005D4222" w:rsidRDefault="002E6A87" w:rsidP="00C44511">
            <w:pPr>
              <w:pStyle w:val="Adjustments"/>
            </w:pPr>
            <w:r w:rsidRPr="005D4222">
              <w:t>Adjustments allowed with limits</w:t>
            </w:r>
          </w:p>
          <w:p w14:paraId="4C5BED3B" w14:textId="77777777" w:rsidR="002E6A87" w:rsidRPr="005D4222" w:rsidRDefault="002E6A87" w:rsidP="005D6173">
            <w:pPr>
              <w:pStyle w:val="ProcessBullet"/>
              <w:numPr>
                <w:ilvl w:val="0"/>
                <w:numId w:val="98"/>
              </w:numPr>
              <w:ind w:left="216" w:hanging="216"/>
            </w:pPr>
            <w:r w:rsidRPr="005D4222">
              <w:rPr>
                <w:i/>
                <w:iCs/>
              </w:rPr>
              <w:t>Exclusions.</w:t>
            </w:r>
            <w:r w:rsidRPr="005D4222">
              <w:t xml:space="preserve"> Organizations may choose to not exclude deliveries that occurred at less than 37 weeks gestation. Apply exclusions according to specified value sets.</w:t>
            </w:r>
          </w:p>
          <w:p w14:paraId="7DA8D7D5" w14:textId="77777777" w:rsidR="002E6A87" w:rsidRPr="005D4222" w:rsidRDefault="002E6A87" w:rsidP="00A53E8C">
            <w:pPr>
              <w:pStyle w:val="Adjustments"/>
            </w:pPr>
            <w:r w:rsidRPr="005D4222">
              <w:t>Adjustments not allowed</w:t>
            </w:r>
          </w:p>
          <w:p w14:paraId="516CF9B1" w14:textId="77777777" w:rsidR="002E6A87" w:rsidRPr="005D4222" w:rsidRDefault="002E6A87" w:rsidP="005D6173">
            <w:pPr>
              <w:pStyle w:val="ProcessBullet"/>
              <w:numPr>
                <w:ilvl w:val="0"/>
                <w:numId w:val="98"/>
              </w:numPr>
              <w:ind w:left="216" w:hanging="216"/>
              <w:rPr>
                <w:i/>
                <w:iCs/>
              </w:rPr>
            </w:pPr>
            <w:r w:rsidRPr="005D4222">
              <w:rPr>
                <w:i/>
                <w:iCs/>
              </w:rPr>
              <w:t>Initial population:</w:t>
            </w:r>
            <w:r w:rsidRPr="005D4222">
              <w:t xml:space="preserve"> Event. </w:t>
            </w:r>
            <w:r w:rsidRPr="005D4222">
              <w:rPr>
                <w:rFonts w:eastAsia="Arial"/>
              </w:rPr>
              <w:t>Value sets, medication lists, direct reference codes and logic may not be changed.</w:t>
            </w:r>
          </w:p>
          <w:p w14:paraId="5CB3EA1E" w14:textId="77777777" w:rsidR="002E6A87" w:rsidRPr="005D4222" w:rsidRDefault="002E6A87" w:rsidP="005D6173">
            <w:pPr>
              <w:pStyle w:val="ProcessBullet"/>
              <w:numPr>
                <w:ilvl w:val="0"/>
                <w:numId w:val="98"/>
              </w:numPr>
              <w:spacing w:after="80"/>
              <w:ind w:left="216" w:hanging="216"/>
              <w:rPr>
                <w:b/>
                <w:i/>
              </w:rPr>
            </w:pPr>
            <w:r w:rsidRPr="005D4222">
              <w:rPr>
                <w:i/>
                <w:iCs/>
              </w:rPr>
              <w:t xml:space="preserve">Numerator. </w:t>
            </w:r>
            <w:r w:rsidRPr="005D4222">
              <w:rPr>
                <w:rFonts w:eastAsia="Arial"/>
              </w:rPr>
              <w:t>Value sets, direct reference codes and logic may not be changed.</w:t>
            </w:r>
          </w:p>
        </w:tc>
      </w:tr>
    </w:tbl>
    <w:p w14:paraId="4A78B0B3" w14:textId="77777777" w:rsidR="00F72EF8" w:rsidRPr="005D4222" w:rsidRDefault="00F72EF8" w:rsidP="005B71C3">
      <w:pPr>
        <w:pStyle w:val="ECDSBody"/>
        <w:sectPr w:rsidR="00F72EF8" w:rsidRPr="005D4222" w:rsidSect="0074514A">
          <w:headerReference w:type="default" r:id="rId237"/>
          <w:type w:val="nextColumn"/>
          <w:pgSz w:w="12240" w:h="15840" w:code="1"/>
          <w:pgMar w:top="1080" w:right="1080" w:bottom="1080" w:left="1440" w:header="720" w:footer="720" w:gutter="0"/>
          <w:cols w:space="720"/>
          <w:docGrid w:linePitch="360"/>
        </w:sectPr>
      </w:pPr>
    </w:p>
    <w:p w14:paraId="2F558F07" w14:textId="3D6FF3D1" w:rsidR="005B71C3" w:rsidRPr="005D4222" w:rsidRDefault="00C97601" w:rsidP="00C97601">
      <w:pPr>
        <w:pStyle w:val="MeasureTitle"/>
      </w:pPr>
      <w:bookmarkStart w:id="433" w:name="_Toc201813487"/>
      <w:r w:rsidRPr="005D4222">
        <w:lastRenderedPageBreak/>
        <w:t>Postpartum Depression Screening and Follow-Up</w:t>
      </w:r>
      <w:r w:rsidR="008A5901" w:rsidRPr="005D4222">
        <w:t xml:space="preserve"> (PDS-E)</w:t>
      </w:r>
      <w:bookmarkEnd w:id="433"/>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5040"/>
        <w:gridCol w:w="1440"/>
        <w:gridCol w:w="1077"/>
      </w:tblGrid>
      <w:tr w:rsidR="00B01AA3" w:rsidRPr="005D4222" w14:paraId="3242EDB8" w14:textId="77777777" w:rsidTr="00A53E8C">
        <w:tc>
          <w:tcPr>
            <w:tcW w:w="2157" w:type="dxa"/>
            <w:shd w:val="clear" w:color="auto" w:fill="BFBFBF" w:themeFill="background1" w:themeFillShade="BF"/>
            <w:tcMar>
              <w:top w:w="0" w:type="dxa"/>
              <w:left w:w="86" w:type="dxa"/>
              <w:bottom w:w="43" w:type="dxa"/>
              <w:right w:w="86" w:type="dxa"/>
            </w:tcMar>
            <w:hideMark/>
          </w:tcPr>
          <w:p w14:paraId="2607434F" w14:textId="77777777" w:rsidR="00B01AA3" w:rsidRPr="005D4222" w:rsidRDefault="00B01AA3" w:rsidP="00A53E8C">
            <w:pPr>
              <w:pStyle w:val="ECDSMarginHead"/>
            </w:pPr>
            <w:r w:rsidRPr="005D4222">
              <w:t>Measure title</w:t>
            </w:r>
          </w:p>
        </w:tc>
        <w:tc>
          <w:tcPr>
            <w:tcW w:w="5040" w:type="dxa"/>
            <w:tcMar>
              <w:top w:w="0" w:type="dxa"/>
              <w:left w:w="86" w:type="dxa"/>
              <w:bottom w:w="43" w:type="dxa"/>
              <w:right w:w="86" w:type="dxa"/>
            </w:tcMar>
          </w:tcPr>
          <w:p w14:paraId="7FADEEA9" w14:textId="77777777" w:rsidR="00B01AA3" w:rsidRPr="005D4222" w:rsidRDefault="00B01AA3" w:rsidP="00A53E8C">
            <w:pPr>
              <w:pStyle w:val="ECDSBody"/>
            </w:pPr>
            <w:r w:rsidRPr="005D4222">
              <w:t>Postpartum Depression Screening and Follow-Up</w:t>
            </w:r>
            <w:r w:rsidRPr="005D4222">
              <w:rPr>
                <w:b/>
              </w:rPr>
              <w:t>*</w:t>
            </w:r>
          </w:p>
        </w:tc>
        <w:tc>
          <w:tcPr>
            <w:tcW w:w="1440" w:type="dxa"/>
            <w:shd w:val="clear" w:color="auto" w:fill="BFBFBF" w:themeFill="background1" w:themeFillShade="BF"/>
            <w:tcMar>
              <w:top w:w="0" w:type="dxa"/>
              <w:left w:w="86" w:type="dxa"/>
              <w:bottom w:w="43" w:type="dxa"/>
              <w:right w:w="86" w:type="dxa"/>
            </w:tcMar>
          </w:tcPr>
          <w:p w14:paraId="4EA9B5BE" w14:textId="77777777" w:rsidR="00B01AA3" w:rsidRPr="005D4222" w:rsidRDefault="00B01AA3" w:rsidP="00B01AA3">
            <w:pPr>
              <w:pStyle w:val="ECDSMarginHead"/>
            </w:pPr>
            <w:r w:rsidRPr="005D4222">
              <w:t>Measure ID</w:t>
            </w:r>
          </w:p>
        </w:tc>
        <w:tc>
          <w:tcPr>
            <w:tcW w:w="1077" w:type="dxa"/>
            <w:tcMar>
              <w:top w:w="0" w:type="dxa"/>
              <w:left w:w="86" w:type="dxa"/>
              <w:bottom w:w="43" w:type="dxa"/>
              <w:right w:w="86" w:type="dxa"/>
            </w:tcMar>
          </w:tcPr>
          <w:p w14:paraId="5FAE06AC" w14:textId="77777777" w:rsidR="00B01AA3" w:rsidRPr="005D4222" w:rsidRDefault="00B01AA3" w:rsidP="00A53E8C">
            <w:pPr>
              <w:pStyle w:val="ECDSBody"/>
            </w:pPr>
            <w:r w:rsidRPr="005D4222">
              <w:t>PDS-E</w:t>
            </w:r>
          </w:p>
        </w:tc>
      </w:tr>
      <w:tr w:rsidR="00B01AA3" w:rsidRPr="005D4222" w14:paraId="43836DA5" w14:textId="77777777" w:rsidTr="00A53E8C">
        <w:tc>
          <w:tcPr>
            <w:tcW w:w="2157" w:type="dxa"/>
            <w:shd w:val="clear" w:color="auto" w:fill="BFBFBF" w:themeFill="background1" w:themeFillShade="BF"/>
            <w:tcMar>
              <w:top w:w="0" w:type="dxa"/>
              <w:left w:w="86" w:type="dxa"/>
              <w:bottom w:w="43" w:type="dxa"/>
              <w:right w:w="86" w:type="dxa"/>
            </w:tcMar>
            <w:hideMark/>
          </w:tcPr>
          <w:p w14:paraId="4CA681A3" w14:textId="77777777" w:rsidR="00B01AA3" w:rsidRPr="005D4222" w:rsidRDefault="00B01AA3" w:rsidP="00A53E8C">
            <w:pPr>
              <w:pStyle w:val="ECDSMarginHead"/>
            </w:pPr>
            <w:r w:rsidRPr="005D4222">
              <w:t>Description</w:t>
            </w:r>
          </w:p>
        </w:tc>
        <w:tc>
          <w:tcPr>
            <w:tcW w:w="7557" w:type="dxa"/>
            <w:gridSpan w:val="3"/>
            <w:tcMar>
              <w:top w:w="0" w:type="dxa"/>
              <w:left w:w="86" w:type="dxa"/>
              <w:bottom w:w="43" w:type="dxa"/>
              <w:right w:w="86" w:type="dxa"/>
            </w:tcMar>
          </w:tcPr>
          <w:p w14:paraId="2AC8233B" w14:textId="77777777" w:rsidR="00B01AA3" w:rsidRPr="005D4222" w:rsidRDefault="00B01AA3" w:rsidP="00A53E8C">
            <w:pPr>
              <w:pStyle w:val="ECDSBody"/>
            </w:pPr>
            <w:r w:rsidRPr="005D4222">
              <w:t>The percentage of deliveries in which persons were screened for clinical depression during the postpartum period, and if screened positive, received follow-up care.</w:t>
            </w:r>
          </w:p>
          <w:p w14:paraId="5AFC602E" w14:textId="77777777" w:rsidR="00B01AA3" w:rsidRPr="005D4222" w:rsidRDefault="00B01AA3" w:rsidP="00B01AA3">
            <w:pPr>
              <w:pStyle w:val="Bullet"/>
              <w:numPr>
                <w:ilvl w:val="0"/>
                <w:numId w:val="4"/>
              </w:numPr>
              <w:tabs>
                <w:tab w:val="left" w:pos="360"/>
                <w:tab w:val="left" w:pos="576"/>
              </w:tabs>
              <w:ind w:left="576" w:hanging="216"/>
            </w:pPr>
            <w:r w:rsidRPr="005D4222">
              <w:rPr>
                <w:i/>
                <w:iCs/>
              </w:rPr>
              <w:t>Depression Screening.</w:t>
            </w:r>
            <w:r w:rsidRPr="005D4222">
              <w:t xml:space="preserve"> The percentage of deliveries in which persons were screened for clinical depression using a standardized instrument during the postpartum period.</w:t>
            </w:r>
          </w:p>
          <w:p w14:paraId="1F02A512" w14:textId="77777777" w:rsidR="00B01AA3" w:rsidRPr="005D4222" w:rsidRDefault="00B01AA3" w:rsidP="00B01AA3">
            <w:pPr>
              <w:pStyle w:val="Bullet"/>
              <w:numPr>
                <w:ilvl w:val="0"/>
                <w:numId w:val="4"/>
              </w:numPr>
              <w:tabs>
                <w:tab w:val="left" w:pos="360"/>
                <w:tab w:val="left" w:pos="576"/>
              </w:tabs>
              <w:spacing w:after="120"/>
              <w:ind w:left="576" w:hanging="216"/>
            </w:pPr>
            <w:r w:rsidRPr="005D4222">
              <w:rPr>
                <w:i/>
                <w:iCs/>
              </w:rPr>
              <w:t>Follow-Up on Positive Screen.</w:t>
            </w:r>
            <w:r w:rsidRPr="005D4222">
              <w:t xml:space="preserve"> The percentage of deliveries in which persons received follow-up care within 30 days of a positive depression screen finding.</w:t>
            </w:r>
          </w:p>
        </w:tc>
      </w:tr>
      <w:tr w:rsidR="00B01AA3" w:rsidRPr="005D4222" w14:paraId="100BABEB" w14:textId="77777777" w:rsidTr="00A53E8C">
        <w:tc>
          <w:tcPr>
            <w:tcW w:w="2157" w:type="dxa"/>
            <w:shd w:val="clear" w:color="auto" w:fill="BFBFBF" w:themeFill="background1" w:themeFillShade="BF"/>
            <w:tcMar>
              <w:top w:w="0" w:type="dxa"/>
              <w:left w:w="86" w:type="dxa"/>
              <w:bottom w:w="43" w:type="dxa"/>
              <w:right w:w="86" w:type="dxa"/>
            </w:tcMar>
          </w:tcPr>
          <w:p w14:paraId="24121F12" w14:textId="77777777" w:rsidR="00B01AA3" w:rsidRPr="005D4222" w:rsidRDefault="00B01AA3" w:rsidP="00A53E8C">
            <w:pPr>
              <w:pStyle w:val="ECDSMarginHead"/>
            </w:pPr>
            <w:r w:rsidRPr="005D4222">
              <w:t>Measurement period</w:t>
            </w:r>
          </w:p>
        </w:tc>
        <w:tc>
          <w:tcPr>
            <w:tcW w:w="7557" w:type="dxa"/>
            <w:gridSpan w:val="3"/>
            <w:tcMar>
              <w:top w:w="0" w:type="dxa"/>
              <w:left w:w="86" w:type="dxa"/>
              <w:bottom w:w="43" w:type="dxa"/>
              <w:right w:w="86" w:type="dxa"/>
            </w:tcMar>
          </w:tcPr>
          <w:p w14:paraId="663EBDFE" w14:textId="77777777" w:rsidR="00B01AA3" w:rsidRPr="005D4222" w:rsidRDefault="00B01AA3" w:rsidP="00A53E8C">
            <w:pPr>
              <w:pStyle w:val="ECDSBody"/>
            </w:pPr>
            <w:r w:rsidRPr="005D4222">
              <w:t>January 1–December 31.</w:t>
            </w:r>
          </w:p>
        </w:tc>
      </w:tr>
      <w:tr w:rsidR="00B01AA3" w:rsidRPr="005D4222" w14:paraId="52616934" w14:textId="77777777" w:rsidTr="00A53E8C">
        <w:tc>
          <w:tcPr>
            <w:tcW w:w="2157" w:type="dxa"/>
            <w:shd w:val="clear" w:color="auto" w:fill="BFBFBF" w:themeFill="background1" w:themeFillShade="BF"/>
            <w:tcMar>
              <w:top w:w="0" w:type="dxa"/>
              <w:left w:w="86" w:type="dxa"/>
              <w:bottom w:w="43" w:type="dxa"/>
              <w:right w:w="86" w:type="dxa"/>
            </w:tcMar>
            <w:hideMark/>
          </w:tcPr>
          <w:p w14:paraId="2ACF0667" w14:textId="77777777" w:rsidR="00B01AA3" w:rsidRPr="005D4222" w:rsidRDefault="00B01AA3" w:rsidP="00A53E8C">
            <w:pPr>
              <w:pStyle w:val="ECDSMarginHead"/>
              <w:rPr>
                <w:rFonts w:eastAsia="Arial"/>
              </w:rPr>
            </w:pPr>
            <w:r w:rsidRPr="005D4222">
              <w:rPr>
                <w:rFonts w:eastAsia="Arial"/>
              </w:rPr>
              <w:t>Copyright and disclaimer notice</w:t>
            </w:r>
          </w:p>
        </w:tc>
        <w:tc>
          <w:tcPr>
            <w:tcW w:w="7557" w:type="dxa"/>
            <w:gridSpan w:val="3"/>
            <w:tcMar>
              <w:top w:w="0" w:type="dxa"/>
              <w:left w:w="86" w:type="dxa"/>
              <w:bottom w:w="43" w:type="dxa"/>
              <w:right w:w="86" w:type="dxa"/>
            </w:tcMar>
          </w:tcPr>
          <w:p w14:paraId="63356173" w14:textId="77777777" w:rsidR="00B01AA3" w:rsidRPr="005D4222" w:rsidRDefault="00B01AA3" w:rsidP="00A53E8C">
            <w:pPr>
              <w:pStyle w:val="ECDSBody"/>
              <w:ind w:left="92" w:hanging="92"/>
              <w:rPr>
                <w:i/>
                <w:iCs/>
              </w:rPr>
            </w:pPr>
            <w:r w:rsidRPr="005D4222">
              <w:rPr>
                <w:i/>
              </w:rPr>
              <w:t>*</w:t>
            </w:r>
            <w:r w:rsidRPr="005D4222">
              <w:rPr>
                <w:i/>
              </w:rPr>
              <w:tab/>
            </w:r>
            <w:r w:rsidRPr="005D4222">
              <w:rPr>
                <w:i/>
                <w:iCs/>
              </w:rPr>
              <w:t xml:space="preserve">Developed with support from the California HealthCare Foundation (CHCF). CHCF works to ensure that people have access to the care they need, when they need it, at a price they can afford. Visit </w:t>
            </w:r>
            <w:r w:rsidRPr="005D4222">
              <w:rPr>
                <w:i/>
                <w:iCs/>
                <w:u w:val="single"/>
              </w:rPr>
              <w:t>https://www.chcf.org/</w:t>
            </w:r>
            <w:r w:rsidRPr="005D4222">
              <w:rPr>
                <w:i/>
                <w:iCs/>
              </w:rPr>
              <w:t xml:space="preserve"> to learn more. Also supported by the Zoma Foundation.</w:t>
            </w:r>
          </w:p>
          <w:p w14:paraId="11E87649" w14:textId="77777777" w:rsidR="00B01AA3" w:rsidRPr="005D4222" w:rsidRDefault="00B01AA3" w:rsidP="00A53E8C">
            <w:pPr>
              <w:pStyle w:val="ECDSBody"/>
            </w:pPr>
            <w:r w:rsidRPr="005D4222">
              <w:t xml:space="preserve">Refer to the complete copyright and disclaimer information at the front of this publication. </w:t>
            </w:r>
          </w:p>
          <w:p w14:paraId="1E0E8B83" w14:textId="77777777" w:rsidR="00B01AA3" w:rsidRPr="005D4222" w:rsidRDefault="00B01AA3" w:rsidP="00A53E8C">
            <w:pPr>
              <w:pStyle w:val="ECDSBody"/>
            </w:pPr>
            <w:r w:rsidRPr="005D4222">
              <w:t xml:space="preserve">NCQA website: </w:t>
            </w:r>
            <w:r w:rsidRPr="005D4222">
              <w:rPr>
                <w:u w:val="single"/>
              </w:rPr>
              <w:t>www.ncqa.org</w:t>
            </w:r>
            <w:r w:rsidRPr="005D4222">
              <w:rPr>
                <w:rStyle w:val="Hyperlink"/>
              </w:rPr>
              <w:t>.</w:t>
            </w:r>
            <w:r w:rsidRPr="005D4222">
              <w:t xml:space="preserve"> </w:t>
            </w:r>
          </w:p>
          <w:p w14:paraId="2F0AF4E3" w14:textId="77777777" w:rsidR="00B01AA3" w:rsidRPr="005D4222" w:rsidRDefault="00B01AA3" w:rsidP="00A53E8C">
            <w:pPr>
              <w:pStyle w:val="ECDSBody"/>
              <w:rPr>
                <w:sz w:val="18"/>
                <w:szCs w:val="18"/>
              </w:rPr>
            </w:pPr>
            <w:r w:rsidRPr="005D4222">
              <w:t>Submit policy clarification support questions via My NCQA (</w:t>
            </w:r>
            <w:r w:rsidRPr="005D4222">
              <w:rPr>
                <w:u w:val="single"/>
              </w:rPr>
              <w:t>https://my.ncqa.org</w:t>
            </w:r>
            <w:r w:rsidRPr="005D4222">
              <w:t>).</w:t>
            </w:r>
          </w:p>
        </w:tc>
      </w:tr>
      <w:tr w:rsidR="00B01AA3" w:rsidRPr="005D4222" w14:paraId="3075B86B" w14:textId="77777777" w:rsidTr="00A53E8C">
        <w:trPr>
          <w:trHeight w:val="655"/>
        </w:trPr>
        <w:tc>
          <w:tcPr>
            <w:tcW w:w="2157" w:type="dxa"/>
            <w:shd w:val="clear" w:color="auto" w:fill="BFBFBF" w:themeFill="background1" w:themeFillShade="BF"/>
            <w:tcMar>
              <w:top w:w="0" w:type="dxa"/>
              <w:left w:w="86" w:type="dxa"/>
              <w:bottom w:w="43" w:type="dxa"/>
              <w:right w:w="86" w:type="dxa"/>
            </w:tcMar>
            <w:hideMark/>
          </w:tcPr>
          <w:p w14:paraId="7E0DC754" w14:textId="77777777" w:rsidR="00B01AA3" w:rsidRPr="005D4222" w:rsidRDefault="00B01AA3" w:rsidP="00A53E8C">
            <w:pPr>
              <w:pStyle w:val="ECDSMarginHead"/>
            </w:pPr>
            <w:r w:rsidRPr="005D4222">
              <w:t>Clinical recommendation statement/</w:t>
            </w:r>
            <w:r w:rsidRPr="005D4222" w:rsidDel="007F2143">
              <w:t xml:space="preserve"> </w:t>
            </w:r>
            <w:r w:rsidRPr="005D4222">
              <w:t>rationale</w:t>
            </w:r>
          </w:p>
        </w:tc>
        <w:tc>
          <w:tcPr>
            <w:tcW w:w="7557" w:type="dxa"/>
            <w:gridSpan w:val="3"/>
            <w:tcMar>
              <w:top w:w="0" w:type="dxa"/>
              <w:left w:w="86" w:type="dxa"/>
              <w:bottom w:w="43" w:type="dxa"/>
              <w:right w:w="86" w:type="dxa"/>
            </w:tcMar>
          </w:tcPr>
          <w:p w14:paraId="71A4E0BE" w14:textId="77777777" w:rsidR="00B01AA3" w:rsidRPr="005D4222" w:rsidRDefault="00B01AA3" w:rsidP="00A53E8C">
            <w:pPr>
              <w:pStyle w:val="ECDSBody"/>
            </w:pPr>
            <w:r w:rsidRPr="005D4222">
              <w:t>The U.S. Preventive Services Task Force (USPSTF) recommends screening for depression among adolescents and adults, including pregnant and postpartum women. (B recommendation)</w:t>
            </w:r>
          </w:p>
          <w:p w14:paraId="5D4EC358" w14:textId="77777777" w:rsidR="00B01AA3" w:rsidRPr="005D4222" w:rsidRDefault="00B01AA3" w:rsidP="00A53E8C">
            <w:pPr>
              <w:pStyle w:val="ECDSBody"/>
            </w:pPr>
            <w:r w:rsidRPr="005D4222">
              <w:t>The American College of Obstetricians and Gynecologists (ACOG) recommends that screening for perinatal depression and anxiety occur at the initial prenatal visit, later in pregnancy, and at postpartum visits with a standardized, validated instrument.</w:t>
            </w:r>
          </w:p>
          <w:p w14:paraId="31A8FD95" w14:textId="77777777" w:rsidR="00B01AA3" w:rsidRPr="005D4222" w:rsidRDefault="00B01AA3" w:rsidP="00A53E8C">
            <w:pPr>
              <w:pStyle w:val="ECDSBody"/>
            </w:pPr>
            <w:r w:rsidRPr="005D4222">
              <w:t>The American Academy of Pediatrics recommends that pediatricians screen mothers for postpartum depression at the infant’s 1-, 2-, 4- and 6-month visits.</w:t>
            </w:r>
          </w:p>
          <w:p w14:paraId="3B150536" w14:textId="77777777" w:rsidR="00B01AA3" w:rsidRPr="005D4222" w:rsidRDefault="00B01AA3" w:rsidP="00A53E8C">
            <w:pPr>
              <w:pStyle w:val="ECDSBody"/>
              <w:rPr>
                <w:b/>
              </w:rPr>
            </w:pPr>
            <w:r w:rsidRPr="005D4222">
              <w:t>The USPSTF and ACOG also recommend that screening be implemented with adequate systems in place to ensure accurate diagnosis, effective treatment and appropriate follow-up. (B recommendation)</w:t>
            </w:r>
          </w:p>
        </w:tc>
      </w:tr>
      <w:tr w:rsidR="00B01AA3" w:rsidRPr="005D4222" w14:paraId="47CB54C1" w14:textId="77777777" w:rsidTr="00A53E8C">
        <w:tc>
          <w:tcPr>
            <w:tcW w:w="2157" w:type="dxa"/>
            <w:shd w:val="clear" w:color="auto" w:fill="BFBFBF" w:themeFill="background1" w:themeFillShade="BF"/>
            <w:tcMar>
              <w:top w:w="0" w:type="dxa"/>
              <w:left w:w="86" w:type="dxa"/>
              <w:bottom w:w="43" w:type="dxa"/>
              <w:right w:w="86" w:type="dxa"/>
            </w:tcMar>
          </w:tcPr>
          <w:p w14:paraId="2F30A582" w14:textId="77777777" w:rsidR="00B01AA3" w:rsidRPr="005D4222" w:rsidRDefault="00B01AA3" w:rsidP="00A53E8C">
            <w:pPr>
              <w:pStyle w:val="ECDSMarginHead"/>
            </w:pPr>
            <w:r w:rsidRPr="005D4222">
              <w:t>Citations</w:t>
            </w:r>
          </w:p>
        </w:tc>
        <w:tc>
          <w:tcPr>
            <w:tcW w:w="7557" w:type="dxa"/>
            <w:gridSpan w:val="3"/>
            <w:tcMar>
              <w:top w:w="0" w:type="dxa"/>
              <w:left w:w="86" w:type="dxa"/>
              <w:bottom w:w="43" w:type="dxa"/>
              <w:right w:w="86" w:type="dxa"/>
            </w:tcMar>
          </w:tcPr>
          <w:p w14:paraId="784A2E63" w14:textId="77777777" w:rsidR="00B01AA3" w:rsidRPr="005D4222" w:rsidRDefault="00B01AA3" w:rsidP="00A53E8C">
            <w:pPr>
              <w:pStyle w:val="ECDSBody"/>
            </w:pPr>
            <w:r w:rsidRPr="005D4222">
              <w:rPr>
                <w:bCs w:val="0"/>
              </w:rPr>
              <w:t xml:space="preserve">American College of Obstetricians and Gynecologists. 2023. “Screening and Diagnosis of Mental Health Conditions During Pregnancy and Postpartum: ACOG Clinical Practice Guideline No. 4.” </w:t>
            </w:r>
            <w:r w:rsidRPr="005D4222">
              <w:rPr>
                <w:bCs w:val="0"/>
                <w:i/>
                <w:iCs/>
              </w:rPr>
              <w:t>Obstet Gynecol</w:t>
            </w:r>
            <w:r w:rsidRPr="005D4222">
              <w:rPr>
                <w:bCs w:val="0"/>
              </w:rPr>
              <w:t xml:space="preserve"> 141.6: 1232–61.</w:t>
            </w:r>
          </w:p>
          <w:p w14:paraId="3033A19A" w14:textId="13A5BCC5" w:rsidR="00B01AA3" w:rsidRPr="005D4222" w:rsidRDefault="00B01AA3" w:rsidP="00B01AA3">
            <w:pPr>
              <w:pStyle w:val="ECDSBody"/>
            </w:pPr>
            <w:r w:rsidRPr="005D4222">
              <w:t xml:space="preserve">Stone, J., &amp; L. Allen. 2021. “Increasing Postpartum Depression Screening in the Pediatric Setting.” </w:t>
            </w:r>
            <w:r w:rsidRPr="005D4222">
              <w:rPr>
                <w:i/>
                <w:iCs/>
              </w:rPr>
              <w:t>Carolina Journal of Interdisciplinary Medicine</w:t>
            </w:r>
            <w:r w:rsidRPr="005D4222">
              <w:t xml:space="preserve"> 1(1), </w:t>
            </w:r>
            <w:r w:rsidRPr="005D4222">
              <w:br/>
              <w:t>43–52. https://doi.org/10.47265/cjim.v1i1.539</w:t>
            </w:r>
          </w:p>
        </w:tc>
      </w:tr>
      <w:tr w:rsidR="00B01AA3" w:rsidRPr="005D4222" w14:paraId="408F7FAC" w14:textId="77777777" w:rsidTr="00A53E8C">
        <w:tc>
          <w:tcPr>
            <w:tcW w:w="2157" w:type="dxa"/>
            <w:shd w:val="clear" w:color="auto" w:fill="BFBFBF" w:themeFill="background1" w:themeFillShade="BF"/>
            <w:tcMar>
              <w:top w:w="0" w:type="dxa"/>
              <w:left w:w="86" w:type="dxa"/>
              <w:bottom w:w="43" w:type="dxa"/>
              <w:right w:w="86" w:type="dxa"/>
            </w:tcMar>
          </w:tcPr>
          <w:p w14:paraId="6E5AAA42" w14:textId="77777777" w:rsidR="00B01AA3" w:rsidRPr="005D4222" w:rsidRDefault="00B01AA3" w:rsidP="00A53E8C">
            <w:pPr>
              <w:pStyle w:val="ECDSMarginHead"/>
            </w:pPr>
          </w:p>
        </w:tc>
        <w:tc>
          <w:tcPr>
            <w:tcW w:w="7557" w:type="dxa"/>
            <w:gridSpan w:val="3"/>
            <w:tcMar>
              <w:top w:w="0" w:type="dxa"/>
              <w:left w:w="86" w:type="dxa"/>
              <w:bottom w:w="43" w:type="dxa"/>
              <w:right w:w="86" w:type="dxa"/>
            </w:tcMar>
          </w:tcPr>
          <w:p w14:paraId="3C0CF3B2" w14:textId="77777777" w:rsidR="00B01AA3" w:rsidRPr="005D4222" w:rsidRDefault="00B01AA3" w:rsidP="00B01AA3">
            <w:pPr>
              <w:pStyle w:val="ECDSBody"/>
            </w:pPr>
            <w:r w:rsidRPr="005D4222">
              <w:t xml:space="preserve">U.S. Preventive Services Task Force et al. 2023. “Screening for Depression and Suicide Risk in Adults: U.S. Preventive Task Force Recommendation Statement.” </w:t>
            </w:r>
            <w:r w:rsidRPr="005D4222">
              <w:rPr>
                <w:i/>
                <w:iCs/>
              </w:rPr>
              <w:t xml:space="preserve">JAMA </w:t>
            </w:r>
            <w:r w:rsidRPr="005D4222">
              <w:t>vol. 329,23: 2057–67.</w:t>
            </w:r>
          </w:p>
          <w:p w14:paraId="2742965F" w14:textId="57EDD60B" w:rsidR="00B01AA3" w:rsidRPr="005D4222" w:rsidRDefault="00B01AA3" w:rsidP="00B01AA3">
            <w:pPr>
              <w:pStyle w:val="ECDSBody"/>
              <w:rPr>
                <w:bCs w:val="0"/>
              </w:rPr>
            </w:pPr>
            <w:r w:rsidRPr="005D4222">
              <w:t xml:space="preserve">U.S. Preventive Services Task Force et al. 2022. “Screening for Depression and Suicide Risk in Children and Adolescents: U.S. Preventive Task Force Recommendation Statement.” </w:t>
            </w:r>
            <w:r w:rsidRPr="005D4222">
              <w:rPr>
                <w:i/>
                <w:iCs/>
              </w:rPr>
              <w:t xml:space="preserve">JAMA </w:t>
            </w:r>
            <w:r w:rsidRPr="005D4222">
              <w:t>vol. 328,15: 1534–42.</w:t>
            </w:r>
          </w:p>
        </w:tc>
      </w:tr>
      <w:tr w:rsidR="00B01AA3" w:rsidRPr="005D4222" w14:paraId="567B2DD6" w14:textId="77777777" w:rsidTr="00A53E8C">
        <w:tc>
          <w:tcPr>
            <w:tcW w:w="9714" w:type="dxa"/>
            <w:gridSpan w:val="4"/>
            <w:tcBorders>
              <w:bottom w:val="single" w:sz="4" w:space="0" w:color="auto"/>
            </w:tcBorders>
            <w:shd w:val="clear" w:color="auto" w:fill="BFBFBF" w:themeFill="background1" w:themeFillShade="BF"/>
            <w:tcMar>
              <w:top w:w="0" w:type="dxa"/>
              <w:left w:w="86" w:type="dxa"/>
              <w:bottom w:w="43" w:type="dxa"/>
              <w:right w:w="86" w:type="dxa"/>
            </w:tcMar>
          </w:tcPr>
          <w:p w14:paraId="5E7F58B6" w14:textId="77777777" w:rsidR="00B01AA3" w:rsidRPr="005D4222" w:rsidRDefault="00B01AA3" w:rsidP="00A53E8C">
            <w:pPr>
              <w:pStyle w:val="ECDSMarginHead"/>
            </w:pPr>
            <w:r w:rsidRPr="005D4222">
              <w:t>Characteristics</w:t>
            </w:r>
          </w:p>
        </w:tc>
      </w:tr>
      <w:tr w:rsidR="00B01AA3" w:rsidRPr="005D4222" w14:paraId="2F469698" w14:textId="77777777" w:rsidTr="00A53E8C">
        <w:tc>
          <w:tcPr>
            <w:tcW w:w="215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4E9A3DE9" w14:textId="77777777" w:rsidR="00B01AA3" w:rsidRPr="005D4222" w:rsidRDefault="00B01AA3" w:rsidP="00B01AA3">
            <w:pPr>
              <w:pStyle w:val="ECDSSubhead"/>
            </w:pPr>
            <w:r w:rsidRPr="005D4222">
              <w:t>Scoring</w:t>
            </w:r>
          </w:p>
        </w:tc>
        <w:tc>
          <w:tcPr>
            <w:tcW w:w="7557"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0E460550" w14:textId="77777777" w:rsidR="00B01AA3" w:rsidRPr="005D4222" w:rsidRDefault="00B01AA3" w:rsidP="00A53E8C">
            <w:pPr>
              <w:pStyle w:val="ECDSBody"/>
              <w:spacing w:after="0"/>
            </w:pPr>
            <w:r w:rsidRPr="005D4222">
              <w:t>Proportion.</w:t>
            </w:r>
          </w:p>
        </w:tc>
      </w:tr>
      <w:tr w:rsidR="00B01AA3" w:rsidRPr="005D4222" w14:paraId="33439C46"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420C1877" w14:textId="77777777" w:rsidR="00B01AA3" w:rsidRPr="005D4222" w:rsidRDefault="00B01AA3" w:rsidP="00B01AA3">
            <w:pPr>
              <w:pStyle w:val="ECDSSubhead"/>
            </w:pPr>
            <w:r w:rsidRPr="005D4222">
              <w:t>Type</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65135F80" w14:textId="77777777" w:rsidR="00B01AA3" w:rsidRPr="005D4222" w:rsidRDefault="00B01AA3" w:rsidP="00A53E8C">
            <w:pPr>
              <w:pStyle w:val="ECDSBody"/>
              <w:spacing w:after="0"/>
            </w:pPr>
            <w:r w:rsidRPr="005D4222">
              <w:t>Process.</w:t>
            </w:r>
          </w:p>
        </w:tc>
      </w:tr>
      <w:tr w:rsidR="00B01AA3" w:rsidRPr="005D4222" w14:paraId="3FE73345"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43CEFD0D" w14:textId="67CF196A" w:rsidR="00B01AA3" w:rsidRPr="005D4222" w:rsidRDefault="00B51CDC" w:rsidP="00B01AA3">
            <w:pPr>
              <w:pStyle w:val="ECDSSubhead"/>
            </w:pPr>
            <w:r w:rsidRPr="005D4222">
              <w:t>Product lines</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tcPr>
          <w:p w14:paraId="76CEAA78" w14:textId="77777777" w:rsidR="00B01AA3" w:rsidRPr="005D4222" w:rsidRDefault="00B01AA3" w:rsidP="00A53E8C">
            <w:pPr>
              <w:pStyle w:val="ProcessBullet"/>
              <w:spacing w:before="120"/>
            </w:pPr>
            <w:r w:rsidRPr="005D4222">
              <w:t>Commercial.</w:t>
            </w:r>
          </w:p>
          <w:p w14:paraId="716EBA1F" w14:textId="77777777" w:rsidR="00B01AA3" w:rsidRPr="005D4222" w:rsidRDefault="00B01AA3" w:rsidP="00A53E8C">
            <w:pPr>
              <w:pStyle w:val="ProcessBullet"/>
            </w:pPr>
            <w:r w:rsidRPr="005D4222">
              <w:t>Medicaid.</w:t>
            </w:r>
          </w:p>
        </w:tc>
      </w:tr>
      <w:tr w:rsidR="00B01AA3" w:rsidRPr="005D4222" w14:paraId="2652AD1C"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23A6A939" w14:textId="5C40BE81" w:rsidR="00B01AA3" w:rsidRPr="005D4222" w:rsidRDefault="00B51CDC" w:rsidP="00B01AA3">
            <w:pPr>
              <w:pStyle w:val="ECDSSubhead"/>
            </w:pPr>
            <w:r w:rsidRPr="005D4222">
              <w:t>Stratifications</w:t>
            </w:r>
            <w:r w:rsidR="00B01AA3" w:rsidRPr="005D4222">
              <w:t xml:space="preserve"> </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4BB6AA4D" w14:textId="3D407465" w:rsidR="00B01AA3" w:rsidRPr="005D4222" w:rsidRDefault="00B01AA3" w:rsidP="00A53E8C">
            <w:pPr>
              <w:pStyle w:val="ECDSBody"/>
              <w:rPr>
                <w:lang w:eastAsia="zh-CN"/>
              </w:rPr>
            </w:pPr>
            <w:r w:rsidRPr="005D4222">
              <w:rPr>
                <w:lang w:eastAsia="zh-CN"/>
              </w:rPr>
              <w:t xml:space="preserve">Race. (Refer to </w:t>
            </w:r>
            <w:hyperlink w:anchor="GG_Race_and_Ethnicity" w:history="1">
              <w:r w:rsidRPr="005D4222">
                <w:rPr>
                  <w:rStyle w:val="Hyperlink"/>
                  <w:i/>
                  <w:iCs/>
                  <w:lang w:eastAsia="zh-CN"/>
                </w:rPr>
                <w:t>General Guideline: Race and Ethnicity Stratification</w:t>
              </w:r>
            </w:hyperlink>
            <w:r w:rsidRPr="005D4222">
              <w:rPr>
                <w:lang w:eastAsia="zh-CN"/>
              </w:rPr>
              <w:t xml:space="preserve">.) </w:t>
            </w:r>
          </w:p>
          <w:p w14:paraId="39B02776" w14:textId="77777777" w:rsidR="00B01AA3" w:rsidRPr="005D4222" w:rsidRDefault="00B01AA3" w:rsidP="00B01AA3">
            <w:pPr>
              <w:pStyle w:val="Bullet"/>
              <w:numPr>
                <w:ilvl w:val="0"/>
                <w:numId w:val="4"/>
              </w:numPr>
              <w:tabs>
                <w:tab w:val="left" w:pos="360"/>
                <w:tab w:val="left" w:pos="576"/>
              </w:tabs>
              <w:ind w:left="576" w:hanging="216"/>
              <w:rPr>
                <w:lang w:eastAsia="zh-CN"/>
              </w:rPr>
            </w:pPr>
            <w:r w:rsidRPr="005D4222">
              <w:rPr>
                <w:lang w:eastAsia="zh-CN"/>
              </w:rPr>
              <w:t xml:space="preserve">American Indian or Alaska Native. </w:t>
            </w:r>
          </w:p>
          <w:p w14:paraId="35E6AB64" w14:textId="77777777" w:rsidR="00B01AA3" w:rsidRPr="005D4222" w:rsidRDefault="00B01AA3" w:rsidP="00B01AA3">
            <w:pPr>
              <w:pStyle w:val="Bullet"/>
              <w:numPr>
                <w:ilvl w:val="0"/>
                <w:numId w:val="4"/>
              </w:numPr>
              <w:tabs>
                <w:tab w:val="left" w:pos="360"/>
                <w:tab w:val="left" w:pos="576"/>
              </w:tabs>
              <w:ind w:left="576" w:hanging="216"/>
              <w:rPr>
                <w:lang w:eastAsia="zh-CN"/>
              </w:rPr>
            </w:pPr>
            <w:r w:rsidRPr="005D4222">
              <w:rPr>
                <w:lang w:eastAsia="zh-CN"/>
              </w:rPr>
              <w:t xml:space="preserve">Asian. </w:t>
            </w:r>
          </w:p>
          <w:p w14:paraId="6D49E6C7" w14:textId="77777777" w:rsidR="00B01AA3" w:rsidRPr="005D4222" w:rsidRDefault="00B01AA3" w:rsidP="00B01AA3">
            <w:pPr>
              <w:pStyle w:val="Bullet"/>
              <w:numPr>
                <w:ilvl w:val="0"/>
                <w:numId w:val="4"/>
              </w:numPr>
              <w:tabs>
                <w:tab w:val="left" w:pos="360"/>
                <w:tab w:val="left" w:pos="576"/>
              </w:tabs>
              <w:ind w:left="576" w:hanging="216"/>
              <w:rPr>
                <w:lang w:eastAsia="zh-CN"/>
              </w:rPr>
            </w:pPr>
            <w:r w:rsidRPr="005D4222">
              <w:rPr>
                <w:lang w:eastAsia="zh-CN"/>
              </w:rPr>
              <w:t>Black or African American.</w:t>
            </w:r>
          </w:p>
          <w:p w14:paraId="47275D20" w14:textId="77777777" w:rsidR="00B01AA3" w:rsidRPr="005D4222" w:rsidRDefault="00B01AA3" w:rsidP="00B01AA3">
            <w:pPr>
              <w:pStyle w:val="Bullet"/>
              <w:numPr>
                <w:ilvl w:val="0"/>
                <w:numId w:val="4"/>
              </w:numPr>
              <w:tabs>
                <w:tab w:val="left" w:pos="360"/>
                <w:tab w:val="left" w:pos="576"/>
              </w:tabs>
              <w:ind w:left="576" w:hanging="216"/>
              <w:rPr>
                <w:lang w:eastAsia="zh-CN"/>
              </w:rPr>
            </w:pPr>
            <w:r w:rsidRPr="005D4222">
              <w:rPr>
                <w:lang w:eastAsia="zh-CN"/>
              </w:rPr>
              <w:t>Middle Eastern or North African.</w:t>
            </w:r>
          </w:p>
          <w:p w14:paraId="4C2C5FC7" w14:textId="77777777" w:rsidR="00B01AA3" w:rsidRPr="005D4222" w:rsidRDefault="00B01AA3" w:rsidP="00B01AA3">
            <w:pPr>
              <w:pStyle w:val="Bullet"/>
              <w:numPr>
                <w:ilvl w:val="0"/>
                <w:numId w:val="4"/>
              </w:numPr>
              <w:tabs>
                <w:tab w:val="left" w:pos="360"/>
                <w:tab w:val="left" w:pos="576"/>
              </w:tabs>
              <w:ind w:left="576" w:hanging="216"/>
              <w:rPr>
                <w:lang w:eastAsia="zh-CN"/>
              </w:rPr>
            </w:pPr>
            <w:r w:rsidRPr="005D4222">
              <w:rPr>
                <w:lang w:eastAsia="zh-CN"/>
              </w:rPr>
              <w:t>Native Hawaiian or Pacific Islander.</w:t>
            </w:r>
          </w:p>
          <w:p w14:paraId="5D633640" w14:textId="77777777" w:rsidR="00B01AA3" w:rsidRPr="005D4222" w:rsidRDefault="00B01AA3" w:rsidP="00B01AA3">
            <w:pPr>
              <w:pStyle w:val="Bullet"/>
              <w:numPr>
                <w:ilvl w:val="0"/>
                <w:numId w:val="4"/>
              </w:numPr>
              <w:tabs>
                <w:tab w:val="left" w:pos="360"/>
                <w:tab w:val="left" w:pos="576"/>
              </w:tabs>
              <w:ind w:left="576" w:hanging="216"/>
              <w:rPr>
                <w:lang w:eastAsia="zh-CN"/>
              </w:rPr>
            </w:pPr>
            <w:r w:rsidRPr="005D4222">
              <w:rPr>
                <w:lang w:eastAsia="zh-CN"/>
              </w:rPr>
              <w:t xml:space="preserve">White. </w:t>
            </w:r>
          </w:p>
          <w:p w14:paraId="422510BD" w14:textId="77777777" w:rsidR="00B01AA3" w:rsidRPr="005D4222" w:rsidRDefault="00B01AA3" w:rsidP="00B01AA3">
            <w:pPr>
              <w:pStyle w:val="Bullet"/>
              <w:numPr>
                <w:ilvl w:val="0"/>
                <w:numId w:val="4"/>
              </w:numPr>
              <w:tabs>
                <w:tab w:val="left" w:pos="360"/>
                <w:tab w:val="left" w:pos="576"/>
              </w:tabs>
              <w:ind w:left="576" w:hanging="216"/>
              <w:rPr>
                <w:lang w:eastAsia="zh-CN"/>
              </w:rPr>
            </w:pPr>
            <w:r w:rsidRPr="005D4222">
              <w:rPr>
                <w:lang w:eastAsia="zh-CN"/>
              </w:rPr>
              <w:t xml:space="preserve">Some Other Race. </w:t>
            </w:r>
          </w:p>
          <w:p w14:paraId="22FFF42F" w14:textId="77777777" w:rsidR="00B01AA3" w:rsidRPr="005D4222" w:rsidRDefault="00B01AA3" w:rsidP="00B01AA3">
            <w:pPr>
              <w:pStyle w:val="Bullet"/>
              <w:numPr>
                <w:ilvl w:val="0"/>
                <w:numId w:val="4"/>
              </w:numPr>
              <w:tabs>
                <w:tab w:val="left" w:pos="360"/>
                <w:tab w:val="left" w:pos="576"/>
              </w:tabs>
              <w:ind w:left="576" w:hanging="216"/>
              <w:rPr>
                <w:lang w:eastAsia="zh-CN"/>
              </w:rPr>
            </w:pPr>
            <w:r w:rsidRPr="005D4222">
              <w:rPr>
                <w:lang w:eastAsia="zh-CN"/>
              </w:rPr>
              <w:t xml:space="preserve">Two or More Races. </w:t>
            </w:r>
          </w:p>
          <w:p w14:paraId="50477A87" w14:textId="77777777" w:rsidR="00B01AA3" w:rsidRPr="005D4222" w:rsidRDefault="00B01AA3" w:rsidP="00B01AA3">
            <w:pPr>
              <w:pStyle w:val="Bullet"/>
              <w:numPr>
                <w:ilvl w:val="0"/>
                <w:numId w:val="4"/>
              </w:numPr>
              <w:tabs>
                <w:tab w:val="left" w:pos="360"/>
                <w:tab w:val="left" w:pos="576"/>
              </w:tabs>
              <w:ind w:left="576" w:hanging="216"/>
              <w:rPr>
                <w:lang w:eastAsia="zh-CN"/>
              </w:rPr>
            </w:pPr>
            <w:r w:rsidRPr="005D4222">
              <w:rPr>
                <w:lang w:eastAsia="zh-CN"/>
              </w:rPr>
              <w:t xml:space="preserve">Asked But No Answer. </w:t>
            </w:r>
          </w:p>
          <w:p w14:paraId="61346382" w14:textId="77777777" w:rsidR="00B01AA3" w:rsidRPr="005D4222" w:rsidRDefault="00B01AA3" w:rsidP="00B01AA3">
            <w:pPr>
              <w:pStyle w:val="Bullet"/>
              <w:numPr>
                <w:ilvl w:val="0"/>
                <w:numId w:val="4"/>
              </w:numPr>
              <w:tabs>
                <w:tab w:val="left" w:pos="360"/>
                <w:tab w:val="left" w:pos="576"/>
              </w:tabs>
              <w:ind w:left="576" w:hanging="216"/>
              <w:rPr>
                <w:lang w:eastAsia="zh-CN"/>
              </w:rPr>
            </w:pPr>
            <w:r w:rsidRPr="005D4222">
              <w:rPr>
                <w:lang w:eastAsia="zh-CN"/>
              </w:rPr>
              <w:t xml:space="preserve">Unknown. </w:t>
            </w:r>
          </w:p>
          <w:p w14:paraId="31DA6398" w14:textId="6406A258" w:rsidR="00B01AA3" w:rsidRPr="005D4222" w:rsidRDefault="00B01AA3" w:rsidP="00A53E8C">
            <w:pPr>
              <w:pStyle w:val="ECDSBody"/>
              <w:rPr>
                <w:lang w:eastAsia="zh-CN"/>
              </w:rPr>
            </w:pPr>
            <w:r w:rsidRPr="005D4222">
              <w:rPr>
                <w:lang w:eastAsia="zh-CN"/>
              </w:rPr>
              <w:t xml:space="preserve">Ethnicity. (Refer to </w:t>
            </w:r>
            <w:hyperlink w:anchor="GG_Race_and_Ethnicity" w:history="1">
              <w:r w:rsidRPr="005D4222">
                <w:rPr>
                  <w:rStyle w:val="Hyperlink"/>
                  <w:i/>
                  <w:iCs/>
                  <w:lang w:eastAsia="zh-CN"/>
                </w:rPr>
                <w:t>General Guideline: Race and Ethnicity Stratification</w:t>
              </w:r>
            </w:hyperlink>
            <w:r w:rsidRPr="005D4222">
              <w:rPr>
                <w:lang w:eastAsia="zh-CN"/>
              </w:rPr>
              <w:t>.)</w:t>
            </w:r>
          </w:p>
          <w:p w14:paraId="222B913E" w14:textId="77777777" w:rsidR="00B01AA3" w:rsidRPr="005D4222" w:rsidRDefault="00B01AA3" w:rsidP="00B01AA3">
            <w:pPr>
              <w:pStyle w:val="Bullet"/>
              <w:numPr>
                <w:ilvl w:val="0"/>
                <w:numId w:val="4"/>
              </w:numPr>
              <w:tabs>
                <w:tab w:val="left" w:pos="360"/>
                <w:tab w:val="left" w:pos="576"/>
              </w:tabs>
              <w:ind w:left="576" w:hanging="216"/>
              <w:rPr>
                <w:lang w:eastAsia="zh-CN"/>
              </w:rPr>
            </w:pPr>
            <w:r w:rsidRPr="005D4222">
              <w:rPr>
                <w:lang w:eastAsia="zh-CN"/>
              </w:rPr>
              <w:t xml:space="preserve">Hispanic or Latino. </w:t>
            </w:r>
          </w:p>
          <w:p w14:paraId="7C6FB4E3" w14:textId="77777777" w:rsidR="00B01AA3" w:rsidRPr="005D4222" w:rsidRDefault="00B01AA3" w:rsidP="00B01AA3">
            <w:pPr>
              <w:pStyle w:val="Bullet"/>
              <w:numPr>
                <w:ilvl w:val="0"/>
                <w:numId w:val="4"/>
              </w:numPr>
              <w:tabs>
                <w:tab w:val="left" w:pos="360"/>
                <w:tab w:val="left" w:pos="576"/>
              </w:tabs>
              <w:ind w:left="576" w:hanging="216"/>
              <w:rPr>
                <w:lang w:eastAsia="zh-CN"/>
              </w:rPr>
            </w:pPr>
            <w:r w:rsidRPr="005D4222">
              <w:rPr>
                <w:lang w:eastAsia="zh-CN"/>
              </w:rPr>
              <w:t xml:space="preserve">Not Hispanic or Latino. </w:t>
            </w:r>
          </w:p>
          <w:p w14:paraId="647B5F99" w14:textId="77777777" w:rsidR="00B01AA3" w:rsidRPr="005D4222" w:rsidRDefault="00B01AA3" w:rsidP="00B01AA3">
            <w:pPr>
              <w:pStyle w:val="Bullet"/>
              <w:numPr>
                <w:ilvl w:val="0"/>
                <w:numId w:val="4"/>
              </w:numPr>
              <w:tabs>
                <w:tab w:val="left" w:pos="360"/>
                <w:tab w:val="left" w:pos="576"/>
              </w:tabs>
              <w:ind w:left="576" w:hanging="216"/>
              <w:rPr>
                <w:lang w:eastAsia="zh-CN"/>
              </w:rPr>
            </w:pPr>
            <w:r w:rsidRPr="005D4222">
              <w:rPr>
                <w:lang w:eastAsia="zh-CN"/>
              </w:rPr>
              <w:t xml:space="preserve">Asked But No Answer. </w:t>
            </w:r>
          </w:p>
          <w:p w14:paraId="6C0F6997" w14:textId="77777777" w:rsidR="00B01AA3" w:rsidRPr="005D4222" w:rsidRDefault="00B01AA3" w:rsidP="00B01AA3">
            <w:pPr>
              <w:pStyle w:val="Bullet"/>
              <w:numPr>
                <w:ilvl w:val="0"/>
                <w:numId w:val="4"/>
              </w:numPr>
              <w:tabs>
                <w:tab w:val="left" w:pos="360"/>
                <w:tab w:val="left" w:pos="576"/>
              </w:tabs>
              <w:ind w:left="576" w:hanging="216"/>
              <w:rPr>
                <w:lang w:eastAsia="zh-CN"/>
              </w:rPr>
            </w:pPr>
            <w:r w:rsidRPr="005D4222">
              <w:rPr>
                <w:lang w:eastAsia="zh-CN"/>
              </w:rPr>
              <w:t xml:space="preserve">Unknown. </w:t>
            </w:r>
            <w:r w:rsidRPr="005D4222">
              <w:rPr>
                <w:rStyle w:val="normaltextrun"/>
                <w:rFonts w:cs="Arial"/>
                <w:i/>
                <w:iCs/>
                <w:color w:val="000000"/>
                <w:sz w:val="20"/>
                <w:shd w:val="clear" w:color="auto" w:fill="FFFFFF"/>
              </w:rPr>
              <w:t xml:space="preserve"> </w:t>
            </w:r>
          </w:p>
        </w:tc>
      </w:tr>
      <w:tr w:rsidR="00B01AA3" w:rsidRPr="005D4222" w14:paraId="452C5227" w14:textId="77777777" w:rsidTr="00A53E8C">
        <w:tc>
          <w:tcPr>
            <w:tcW w:w="2157" w:type="dxa"/>
            <w:tcBorders>
              <w:top w:val="nil"/>
              <w:left w:val="single" w:sz="4" w:space="0" w:color="auto"/>
              <w:bottom w:val="nil"/>
              <w:right w:val="single" w:sz="4" w:space="0" w:color="auto"/>
            </w:tcBorders>
            <w:tcMar>
              <w:top w:w="0" w:type="dxa"/>
              <w:left w:w="86" w:type="dxa"/>
              <w:bottom w:w="43" w:type="dxa"/>
              <w:right w:w="86" w:type="dxa"/>
            </w:tcMar>
          </w:tcPr>
          <w:p w14:paraId="4CC7CA56" w14:textId="77777777" w:rsidR="00B01AA3" w:rsidRPr="005D4222" w:rsidRDefault="00B01AA3" w:rsidP="00B01AA3">
            <w:pPr>
              <w:pStyle w:val="ECDSSubhead"/>
            </w:pPr>
            <w:r w:rsidRPr="005D4222">
              <w:t>Risk adjustment</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27AA23CE" w14:textId="77777777" w:rsidR="00B01AA3" w:rsidRPr="005D4222" w:rsidRDefault="00B01AA3" w:rsidP="00A53E8C">
            <w:pPr>
              <w:pStyle w:val="ECDSBody"/>
              <w:spacing w:after="0"/>
            </w:pPr>
            <w:r w:rsidRPr="005D4222">
              <w:t>None.</w:t>
            </w:r>
          </w:p>
        </w:tc>
      </w:tr>
      <w:tr w:rsidR="00B01AA3" w:rsidRPr="005D4222" w14:paraId="7B6E2216" w14:textId="77777777" w:rsidTr="00D40567">
        <w:tc>
          <w:tcPr>
            <w:tcW w:w="2157" w:type="dxa"/>
            <w:tcBorders>
              <w:top w:val="nil"/>
              <w:left w:val="single" w:sz="4" w:space="0" w:color="auto"/>
              <w:bottom w:val="nil"/>
              <w:right w:val="single" w:sz="4" w:space="0" w:color="auto"/>
            </w:tcBorders>
            <w:tcMar>
              <w:top w:w="0" w:type="dxa"/>
              <w:left w:w="86" w:type="dxa"/>
              <w:bottom w:w="43" w:type="dxa"/>
              <w:right w:w="86" w:type="dxa"/>
            </w:tcMar>
          </w:tcPr>
          <w:p w14:paraId="50588479" w14:textId="77777777" w:rsidR="00B01AA3" w:rsidRPr="005D4222" w:rsidRDefault="00B01AA3" w:rsidP="00B01AA3">
            <w:pPr>
              <w:pStyle w:val="ECDSSubhead"/>
            </w:pPr>
            <w:r w:rsidRPr="005D4222">
              <w:t>Improvement notation</w:t>
            </w:r>
          </w:p>
        </w:tc>
        <w:tc>
          <w:tcPr>
            <w:tcW w:w="7557"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6EDEFBC8" w14:textId="77777777" w:rsidR="00B01AA3" w:rsidRPr="005D4222" w:rsidRDefault="00B01AA3" w:rsidP="00A53E8C">
            <w:pPr>
              <w:pStyle w:val="ECDSBody"/>
              <w:spacing w:after="0"/>
            </w:pPr>
            <w:r w:rsidRPr="005D4222">
              <w:rPr>
                <w:iCs/>
              </w:rPr>
              <w:t>Increased score indicates improvement.</w:t>
            </w:r>
          </w:p>
        </w:tc>
      </w:tr>
      <w:tr w:rsidR="00B01AA3" w:rsidRPr="005D4222" w14:paraId="2E0011CD" w14:textId="77777777" w:rsidTr="00D40567">
        <w:tc>
          <w:tcPr>
            <w:tcW w:w="215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4B1E9EB4" w14:textId="77777777" w:rsidR="00B01AA3" w:rsidRPr="005D4222" w:rsidRDefault="00B01AA3" w:rsidP="00B01AA3">
            <w:pPr>
              <w:pStyle w:val="ECDSSubhead"/>
            </w:pPr>
            <w:r w:rsidRPr="005D4222">
              <w:t>Guidance</w:t>
            </w:r>
          </w:p>
        </w:tc>
        <w:tc>
          <w:tcPr>
            <w:tcW w:w="7557"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70BB2AD7" w14:textId="41B33E6B" w:rsidR="00B01AA3" w:rsidRPr="005D4222" w:rsidRDefault="00B01AA3" w:rsidP="00A53E8C">
            <w:pPr>
              <w:pStyle w:val="ECDSBody"/>
            </w:pPr>
            <w:r w:rsidRPr="005D4222">
              <w:rPr>
                <w:b/>
              </w:rPr>
              <w:t>Data collection methodology</w:t>
            </w:r>
            <w:r w:rsidRPr="005D4222">
              <w:rPr>
                <w:b/>
                <w:bCs w:val="0"/>
              </w:rPr>
              <w:t>:</w:t>
            </w:r>
            <w:r w:rsidRPr="005D4222">
              <w:t xml:space="preserve"> ECDS. Refer to </w:t>
            </w:r>
            <w:hyperlink w:anchor="General_Guideline_Data_Collection_Method" w:history="1">
              <w:r w:rsidRPr="005D4222">
                <w:rPr>
                  <w:rStyle w:val="Hyperlink"/>
                  <w:i/>
                  <w:iCs/>
                </w:rPr>
                <w:t>General Guideline: Data Collection Methods</w:t>
              </w:r>
            </w:hyperlink>
            <w:r w:rsidRPr="005D4222">
              <w:t xml:space="preserve"> for additional information. </w:t>
            </w:r>
          </w:p>
          <w:p w14:paraId="576776EF" w14:textId="77777777" w:rsidR="00B01AA3" w:rsidRPr="005D4222" w:rsidRDefault="00B01AA3" w:rsidP="00A53E8C">
            <w:pPr>
              <w:pStyle w:val="ECDSBody"/>
            </w:pPr>
            <w:r w:rsidRPr="005D4222">
              <w:rPr>
                <w:b/>
              </w:rPr>
              <w:t xml:space="preserve">Date specificity: </w:t>
            </w:r>
            <w:r w:rsidRPr="005D4222">
              <w:t>Dates must be specific enough to determine that the event occurred in the period being measured.</w:t>
            </w:r>
          </w:p>
          <w:p w14:paraId="44F60A90" w14:textId="749C522B" w:rsidR="00B01AA3" w:rsidRPr="005D4222" w:rsidRDefault="00B01AA3" w:rsidP="00D40567">
            <w:pPr>
              <w:pStyle w:val="ECDSBody"/>
            </w:pPr>
            <w:r w:rsidRPr="005D4222">
              <w:rPr>
                <w:b/>
              </w:rPr>
              <w:t xml:space="preserve">Which services count? </w:t>
            </w:r>
            <w:r w:rsidRPr="005D4222">
              <w:t>When using claims, include all paid, suspended, pending and denied claims.</w:t>
            </w:r>
          </w:p>
        </w:tc>
      </w:tr>
    </w:tbl>
    <w:p w14:paraId="2C0932C2" w14:textId="77777777" w:rsidR="00D40567" w:rsidRPr="005D4222" w:rsidRDefault="00D40567"/>
    <w:tbl>
      <w:tblPr>
        <w:tblW w:w="9714" w:type="dxa"/>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D40567" w:rsidRPr="005D4222" w14:paraId="28B76EC9" w14:textId="77777777" w:rsidTr="000B5FEC">
        <w:tc>
          <w:tcPr>
            <w:tcW w:w="21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3C9AEFCA" w14:textId="77777777" w:rsidR="00D40567" w:rsidRPr="005D4222" w:rsidRDefault="00D40567" w:rsidP="00B01AA3">
            <w:pPr>
              <w:pStyle w:val="ECDSSubhead"/>
            </w:pP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EEDED5B" w14:textId="14A1762B" w:rsidR="00D40567" w:rsidRPr="005D4222" w:rsidRDefault="00D40567" w:rsidP="00A53E8C">
            <w:pPr>
              <w:pStyle w:val="ECDSBody"/>
              <w:rPr>
                <w:b/>
              </w:rPr>
            </w:pPr>
            <w:r w:rsidRPr="005D4222">
              <w:rPr>
                <w:b/>
              </w:rPr>
              <w:t xml:space="preserve">Other guidance: </w:t>
            </w:r>
            <w:r w:rsidRPr="005D4222">
              <w:t>The measure is based on deliveries; therefore, it is possible for denominator to include multiple deliveries for the same person.</w:t>
            </w:r>
          </w:p>
        </w:tc>
      </w:tr>
      <w:tr w:rsidR="00B01AA3" w:rsidRPr="005D4222" w14:paraId="0713B1A9" w14:textId="77777777" w:rsidTr="000B5FEC">
        <w:tc>
          <w:tcPr>
            <w:tcW w:w="9714" w:type="dxa"/>
            <w:gridSpan w:val="2"/>
            <w:tcBorders>
              <w:top w:val="single" w:sz="4" w:space="0" w:color="auto"/>
              <w:bottom w:val="single" w:sz="4" w:space="0" w:color="auto"/>
            </w:tcBorders>
            <w:shd w:val="clear" w:color="auto" w:fill="BFBFBF" w:themeFill="background1" w:themeFillShade="BF"/>
            <w:tcMar>
              <w:top w:w="0" w:type="dxa"/>
              <w:left w:w="86" w:type="dxa"/>
              <w:bottom w:w="43" w:type="dxa"/>
              <w:right w:w="86" w:type="dxa"/>
            </w:tcMar>
          </w:tcPr>
          <w:p w14:paraId="357FE8D3" w14:textId="77777777" w:rsidR="00B01AA3" w:rsidRPr="005D4222" w:rsidRDefault="00B01AA3" w:rsidP="00A53E8C">
            <w:pPr>
              <w:pStyle w:val="ECDSMarginHead"/>
            </w:pPr>
            <w:r w:rsidRPr="005D4222">
              <w:t xml:space="preserve">Definitions </w:t>
            </w:r>
          </w:p>
        </w:tc>
      </w:tr>
      <w:tr w:rsidR="00B01AA3" w:rsidRPr="005D4222" w14:paraId="0845AD2D" w14:textId="77777777" w:rsidTr="000B5FEC">
        <w:tc>
          <w:tcPr>
            <w:tcW w:w="2157" w:type="dxa"/>
            <w:tcBorders>
              <w:top w:val="single" w:sz="4" w:space="0" w:color="auto"/>
              <w:bottom w:val="single" w:sz="4" w:space="0" w:color="auto"/>
            </w:tcBorders>
            <w:tcMar>
              <w:top w:w="0" w:type="dxa"/>
              <w:left w:w="86" w:type="dxa"/>
              <w:bottom w:w="43" w:type="dxa"/>
              <w:right w:w="86" w:type="dxa"/>
            </w:tcMar>
          </w:tcPr>
          <w:p w14:paraId="19934D0E" w14:textId="77777777" w:rsidR="00B01AA3" w:rsidRPr="005D4222" w:rsidRDefault="00B01AA3" w:rsidP="00B92C45">
            <w:pPr>
              <w:pStyle w:val="ECDSMarginHead"/>
            </w:pPr>
            <w:r w:rsidRPr="005D4222">
              <w:t>Depression screening instrument</w:t>
            </w:r>
          </w:p>
        </w:tc>
        <w:tc>
          <w:tcPr>
            <w:tcW w:w="7557" w:type="dxa"/>
            <w:tcBorders>
              <w:top w:val="single" w:sz="4" w:space="0" w:color="auto"/>
              <w:bottom w:val="single" w:sz="4" w:space="0" w:color="auto"/>
            </w:tcBorders>
            <w:tcMar>
              <w:left w:w="86" w:type="dxa"/>
              <w:bottom w:w="43" w:type="dxa"/>
              <w:right w:w="86" w:type="dxa"/>
            </w:tcMar>
          </w:tcPr>
          <w:p w14:paraId="42FFCF74" w14:textId="77777777" w:rsidR="00B01AA3" w:rsidRPr="005D4222" w:rsidRDefault="00B01AA3" w:rsidP="00A53E8C">
            <w:pPr>
              <w:pStyle w:val="ECDSBody"/>
            </w:pPr>
            <w:r w:rsidRPr="005D4222">
              <w:t>A standard assessment instrument normalized and validated for the appropriate patient population. Eligible screening instruments with thresholds for positive findings include:</w:t>
            </w:r>
          </w:p>
          <w:tbl>
            <w:tblPr>
              <w:tblW w:w="7369"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306"/>
              <w:gridCol w:w="1620"/>
              <w:gridCol w:w="1443"/>
            </w:tblGrid>
            <w:tr w:rsidR="00B01AA3" w:rsidRPr="005D4222" w14:paraId="209375D7" w14:textId="77777777" w:rsidTr="00A53E8C">
              <w:tc>
                <w:tcPr>
                  <w:tcW w:w="4306" w:type="dxa"/>
                  <w:tcBorders>
                    <w:top w:val="single" w:sz="6" w:space="0" w:color="000000"/>
                    <w:left w:val="single" w:sz="6" w:space="0" w:color="000000"/>
                    <w:bottom w:val="single" w:sz="6" w:space="0" w:color="000000"/>
                    <w:right w:val="single" w:sz="4" w:space="0" w:color="FFFFFF" w:themeColor="background1"/>
                  </w:tcBorders>
                  <w:shd w:val="clear" w:color="auto" w:fill="000000" w:themeFill="text1"/>
                  <w:tcMar>
                    <w:left w:w="72" w:type="dxa"/>
                    <w:right w:w="72" w:type="dxa"/>
                  </w:tcMar>
                  <w:vAlign w:val="bottom"/>
                  <w:hideMark/>
                </w:tcPr>
                <w:p w14:paraId="6AC665E9" w14:textId="77777777" w:rsidR="00B01AA3" w:rsidRPr="005D4222" w:rsidRDefault="00B01AA3" w:rsidP="00A53E8C">
                  <w:pPr>
                    <w:pStyle w:val="TableHead"/>
                    <w:spacing w:before="80" w:after="80"/>
                    <w:rPr>
                      <w:rFonts w:ascii="Arial" w:hAnsi="Arial" w:cs="Arial"/>
                      <w:sz w:val="20"/>
                    </w:rPr>
                  </w:pPr>
                  <w:r w:rsidRPr="005D4222">
                    <w:rPr>
                      <w:rFonts w:ascii="Arial" w:hAnsi="Arial" w:cs="Arial"/>
                      <w:sz w:val="20"/>
                    </w:rPr>
                    <w:t xml:space="preserve">Instruments for Adolescents </w:t>
                  </w:r>
                  <w:r w:rsidRPr="005D4222">
                    <w:rPr>
                      <w:rFonts w:ascii="Arial" w:hAnsi="Arial" w:cs="Arial"/>
                      <w:sz w:val="20"/>
                    </w:rPr>
                    <w:br/>
                    <w:t>(≤17 Years)</w:t>
                  </w:r>
                </w:p>
              </w:tc>
              <w:tc>
                <w:tcPr>
                  <w:tcW w:w="1620" w:type="dxa"/>
                  <w:tcBorders>
                    <w:top w:val="single" w:sz="6" w:space="0" w:color="000000"/>
                    <w:left w:val="single" w:sz="4" w:space="0" w:color="FFFFFF" w:themeColor="background1"/>
                    <w:bottom w:val="single" w:sz="6" w:space="0" w:color="000000"/>
                    <w:right w:val="single" w:sz="4" w:space="0" w:color="FFFFFF" w:themeColor="background1"/>
                  </w:tcBorders>
                  <w:shd w:val="clear" w:color="auto" w:fill="000000" w:themeFill="text1"/>
                  <w:tcMar>
                    <w:left w:w="72" w:type="dxa"/>
                    <w:right w:w="72" w:type="dxa"/>
                  </w:tcMar>
                  <w:vAlign w:val="bottom"/>
                  <w:hideMark/>
                </w:tcPr>
                <w:p w14:paraId="58409481" w14:textId="77777777" w:rsidR="00B01AA3" w:rsidRPr="005D4222" w:rsidRDefault="00B01AA3" w:rsidP="00A53E8C">
                  <w:pPr>
                    <w:pStyle w:val="TableHead"/>
                    <w:spacing w:before="80" w:after="80"/>
                    <w:rPr>
                      <w:rFonts w:ascii="Arial" w:hAnsi="Arial" w:cs="Arial"/>
                      <w:sz w:val="20"/>
                    </w:rPr>
                  </w:pPr>
                  <w:r w:rsidRPr="005D4222">
                    <w:rPr>
                      <w:rFonts w:ascii="Arial" w:hAnsi="Arial" w:cs="Arial"/>
                      <w:sz w:val="20"/>
                    </w:rPr>
                    <w:t>Total Score LOINC Codes</w:t>
                  </w:r>
                </w:p>
              </w:tc>
              <w:tc>
                <w:tcPr>
                  <w:tcW w:w="1443" w:type="dxa"/>
                  <w:tcBorders>
                    <w:top w:val="single" w:sz="6" w:space="0" w:color="000000"/>
                    <w:left w:val="single" w:sz="4" w:space="0" w:color="FFFFFF" w:themeColor="background1"/>
                    <w:bottom w:val="single" w:sz="6" w:space="0" w:color="000000"/>
                    <w:right w:val="single" w:sz="6" w:space="0" w:color="000000"/>
                  </w:tcBorders>
                  <w:shd w:val="clear" w:color="auto" w:fill="000000" w:themeFill="text1"/>
                  <w:tcMar>
                    <w:left w:w="72" w:type="dxa"/>
                    <w:right w:w="72" w:type="dxa"/>
                  </w:tcMar>
                  <w:vAlign w:val="bottom"/>
                  <w:hideMark/>
                </w:tcPr>
                <w:p w14:paraId="408DF241" w14:textId="77777777" w:rsidR="00B01AA3" w:rsidRPr="005D4222" w:rsidRDefault="00B01AA3" w:rsidP="00A53E8C">
                  <w:pPr>
                    <w:pStyle w:val="TableHead"/>
                    <w:spacing w:before="80" w:after="80"/>
                    <w:rPr>
                      <w:rFonts w:ascii="Arial" w:hAnsi="Arial" w:cs="Arial"/>
                      <w:sz w:val="20"/>
                    </w:rPr>
                  </w:pPr>
                  <w:r w:rsidRPr="005D4222">
                    <w:rPr>
                      <w:rFonts w:ascii="Arial" w:hAnsi="Arial" w:cs="Arial"/>
                      <w:sz w:val="20"/>
                    </w:rPr>
                    <w:t>Positive Finding</w:t>
                  </w:r>
                </w:p>
              </w:tc>
            </w:tr>
            <w:tr w:rsidR="00B01AA3" w:rsidRPr="005D4222" w14:paraId="56F44435" w14:textId="77777777" w:rsidTr="00A53E8C">
              <w:tc>
                <w:tcPr>
                  <w:tcW w:w="4306" w:type="dxa"/>
                  <w:tcBorders>
                    <w:top w:val="single" w:sz="6" w:space="0" w:color="000000"/>
                    <w:left w:val="single" w:sz="6" w:space="0" w:color="000000"/>
                    <w:bottom w:val="single" w:sz="6" w:space="0" w:color="000000"/>
                    <w:right w:val="single" w:sz="6" w:space="0" w:color="000000"/>
                  </w:tcBorders>
                  <w:tcMar>
                    <w:left w:w="72" w:type="dxa"/>
                    <w:right w:w="72" w:type="dxa"/>
                  </w:tcMar>
                  <w:hideMark/>
                </w:tcPr>
                <w:p w14:paraId="541C84DB"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Patient Health Questionnaire (PHQ-9)</w:t>
                  </w:r>
                  <w:r w:rsidRPr="005D4222">
                    <w:rPr>
                      <w:rFonts w:ascii="Arial" w:hAnsi="Arial" w:cs="Arial"/>
                      <w:sz w:val="20"/>
                      <w:szCs w:val="20"/>
                      <w:vertAlign w:val="superscript"/>
                    </w:rPr>
                    <w:t>®</w:t>
                  </w:r>
                </w:p>
              </w:tc>
              <w:tc>
                <w:tcPr>
                  <w:tcW w:w="1620" w:type="dxa"/>
                  <w:tcBorders>
                    <w:top w:val="single" w:sz="6" w:space="0" w:color="000000"/>
                    <w:left w:val="single" w:sz="6" w:space="0" w:color="000000"/>
                    <w:bottom w:val="single" w:sz="6" w:space="0" w:color="000000"/>
                    <w:right w:val="single" w:sz="6" w:space="0" w:color="000000"/>
                  </w:tcBorders>
                  <w:tcMar>
                    <w:left w:w="72" w:type="dxa"/>
                    <w:right w:w="72" w:type="dxa"/>
                  </w:tcMar>
                  <w:hideMark/>
                </w:tcPr>
                <w:p w14:paraId="6521B7E6"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44261-6</w:t>
                  </w:r>
                </w:p>
              </w:tc>
              <w:tc>
                <w:tcPr>
                  <w:tcW w:w="1443" w:type="dxa"/>
                  <w:tcBorders>
                    <w:top w:val="single" w:sz="6" w:space="0" w:color="000000"/>
                    <w:left w:val="single" w:sz="6" w:space="0" w:color="000000"/>
                    <w:bottom w:val="single" w:sz="6" w:space="0" w:color="000000"/>
                    <w:right w:val="single" w:sz="6" w:space="0" w:color="000000"/>
                  </w:tcBorders>
                  <w:tcMar>
                    <w:left w:w="72" w:type="dxa"/>
                    <w:right w:w="72" w:type="dxa"/>
                  </w:tcMar>
                  <w:hideMark/>
                </w:tcPr>
                <w:p w14:paraId="5998D370"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Total score ≥10</w:t>
                  </w:r>
                </w:p>
              </w:tc>
            </w:tr>
            <w:tr w:rsidR="00B01AA3" w:rsidRPr="005D4222" w14:paraId="2D23AB75" w14:textId="77777777" w:rsidTr="00A53E8C">
              <w:tc>
                <w:tcPr>
                  <w:tcW w:w="4306" w:type="dxa"/>
                  <w:tcBorders>
                    <w:top w:val="single" w:sz="6" w:space="0" w:color="000000"/>
                    <w:left w:val="single" w:sz="6" w:space="0" w:color="000000"/>
                    <w:bottom w:val="single" w:sz="6" w:space="0" w:color="000000"/>
                    <w:right w:val="single" w:sz="6" w:space="0" w:color="000000"/>
                  </w:tcBorders>
                  <w:tcMar>
                    <w:left w:w="72" w:type="dxa"/>
                    <w:right w:w="72" w:type="dxa"/>
                  </w:tcMar>
                  <w:hideMark/>
                </w:tcPr>
                <w:p w14:paraId="73E97AE5"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Patient Health Questionnaire Modified for Teens (PHQ-9M)</w:t>
                  </w:r>
                  <w:r w:rsidRPr="005D4222">
                    <w:rPr>
                      <w:rFonts w:ascii="Arial" w:hAnsi="Arial" w:cs="Arial"/>
                      <w:sz w:val="20"/>
                      <w:szCs w:val="20"/>
                      <w:vertAlign w:val="superscript"/>
                    </w:rPr>
                    <w:t>®</w:t>
                  </w:r>
                </w:p>
              </w:tc>
              <w:tc>
                <w:tcPr>
                  <w:tcW w:w="1620" w:type="dxa"/>
                  <w:tcBorders>
                    <w:top w:val="single" w:sz="6" w:space="0" w:color="000000"/>
                    <w:left w:val="single" w:sz="6" w:space="0" w:color="000000"/>
                    <w:bottom w:val="single" w:sz="6" w:space="0" w:color="000000"/>
                    <w:right w:val="single" w:sz="6" w:space="0" w:color="000000"/>
                  </w:tcBorders>
                  <w:tcMar>
                    <w:left w:w="72" w:type="dxa"/>
                    <w:right w:w="72" w:type="dxa"/>
                  </w:tcMar>
                  <w:hideMark/>
                </w:tcPr>
                <w:p w14:paraId="5F1C94A2"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89204-2</w:t>
                  </w:r>
                </w:p>
              </w:tc>
              <w:tc>
                <w:tcPr>
                  <w:tcW w:w="1443" w:type="dxa"/>
                  <w:tcBorders>
                    <w:top w:val="single" w:sz="6" w:space="0" w:color="000000"/>
                    <w:left w:val="single" w:sz="6" w:space="0" w:color="000000"/>
                    <w:bottom w:val="single" w:sz="6" w:space="0" w:color="000000"/>
                    <w:right w:val="single" w:sz="6" w:space="0" w:color="000000"/>
                  </w:tcBorders>
                  <w:tcMar>
                    <w:left w:w="72" w:type="dxa"/>
                    <w:right w:w="72" w:type="dxa"/>
                  </w:tcMar>
                  <w:hideMark/>
                </w:tcPr>
                <w:p w14:paraId="667EE4FD"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Total score ≥10</w:t>
                  </w:r>
                </w:p>
              </w:tc>
            </w:tr>
            <w:tr w:rsidR="00B01AA3" w:rsidRPr="005D4222" w14:paraId="73AEB47E" w14:textId="77777777" w:rsidTr="00A53E8C">
              <w:tc>
                <w:tcPr>
                  <w:tcW w:w="4306" w:type="dxa"/>
                  <w:tcBorders>
                    <w:top w:val="single" w:sz="6" w:space="0" w:color="000000"/>
                    <w:left w:val="single" w:sz="6" w:space="0" w:color="000000"/>
                    <w:bottom w:val="single" w:sz="6" w:space="0" w:color="000000"/>
                    <w:right w:val="single" w:sz="6" w:space="0" w:color="000000"/>
                  </w:tcBorders>
                  <w:tcMar>
                    <w:left w:w="72" w:type="dxa"/>
                    <w:right w:w="72" w:type="dxa"/>
                  </w:tcMar>
                  <w:hideMark/>
                </w:tcPr>
                <w:p w14:paraId="4C757069" w14:textId="0484FBE3" w:rsidR="00B01AA3" w:rsidRPr="005D4222" w:rsidRDefault="00B01AA3" w:rsidP="00A53E8C">
                  <w:pPr>
                    <w:pStyle w:val="TableText"/>
                    <w:rPr>
                      <w:rFonts w:ascii="Arial" w:hAnsi="Arial" w:cs="Arial"/>
                      <w:sz w:val="20"/>
                      <w:szCs w:val="20"/>
                    </w:rPr>
                  </w:pPr>
                  <w:r w:rsidRPr="005D4222">
                    <w:rPr>
                      <w:rFonts w:ascii="Arial" w:hAnsi="Arial" w:cs="Arial"/>
                      <w:sz w:val="20"/>
                      <w:szCs w:val="20"/>
                    </w:rPr>
                    <w:t>Patient Health Questionnaire-2 (PHQ-2)</w:t>
                  </w:r>
                  <w:r w:rsidRPr="005D4222">
                    <w:rPr>
                      <w:rFonts w:ascii="Arial" w:hAnsi="Arial" w:cs="Arial"/>
                      <w:sz w:val="20"/>
                      <w:szCs w:val="20"/>
                      <w:vertAlign w:val="superscript"/>
                    </w:rPr>
                    <w:t>®1</w:t>
                  </w:r>
                </w:p>
              </w:tc>
              <w:tc>
                <w:tcPr>
                  <w:tcW w:w="1620" w:type="dxa"/>
                  <w:tcBorders>
                    <w:top w:val="single" w:sz="6" w:space="0" w:color="000000"/>
                    <w:left w:val="single" w:sz="6" w:space="0" w:color="000000"/>
                    <w:bottom w:val="single" w:sz="6" w:space="0" w:color="000000"/>
                    <w:right w:val="single" w:sz="6" w:space="0" w:color="000000"/>
                  </w:tcBorders>
                  <w:tcMar>
                    <w:left w:w="72" w:type="dxa"/>
                    <w:right w:w="72" w:type="dxa"/>
                  </w:tcMar>
                  <w:hideMark/>
                </w:tcPr>
                <w:p w14:paraId="50663BDE"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55758-7</w:t>
                  </w:r>
                </w:p>
              </w:tc>
              <w:tc>
                <w:tcPr>
                  <w:tcW w:w="1443" w:type="dxa"/>
                  <w:tcBorders>
                    <w:top w:val="single" w:sz="6" w:space="0" w:color="000000"/>
                    <w:left w:val="single" w:sz="6" w:space="0" w:color="000000"/>
                    <w:bottom w:val="single" w:sz="6" w:space="0" w:color="000000"/>
                    <w:right w:val="single" w:sz="6" w:space="0" w:color="000000"/>
                  </w:tcBorders>
                  <w:tcMar>
                    <w:left w:w="72" w:type="dxa"/>
                    <w:right w:w="72" w:type="dxa"/>
                  </w:tcMar>
                  <w:hideMark/>
                </w:tcPr>
                <w:p w14:paraId="7D1397AD"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Total score ≥3</w:t>
                  </w:r>
                </w:p>
              </w:tc>
            </w:tr>
            <w:tr w:rsidR="00B01AA3" w:rsidRPr="005D4222" w14:paraId="5786534C" w14:textId="77777777" w:rsidTr="00A53E8C">
              <w:tc>
                <w:tcPr>
                  <w:tcW w:w="4306" w:type="dxa"/>
                  <w:tcBorders>
                    <w:top w:val="single" w:sz="6" w:space="0" w:color="000000"/>
                    <w:left w:val="single" w:sz="6" w:space="0" w:color="000000"/>
                    <w:bottom w:val="single" w:sz="6" w:space="0" w:color="000000"/>
                    <w:right w:val="single" w:sz="6" w:space="0" w:color="000000"/>
                  </w:tcBorders>
                  <w:tcMar>
                    <w:left w:w="72" w:type="dxa"/>
                    <w:right w:w="72" w:type="dxa"/>
                  </w:tcMar>
                  <w:hideMark/>
                </w:tcPr>
                <w:p w14:paraId="104F2E4D" w14:textId="04129E7A" w:rsidR="00B01AA3" w:rsidRPr="005D4222" w:rsidRDefault="00B01AA3" w:rsidP="00A53E8C">
                  <w:pPr>
                    <w:pStyle w:val="TableText"/>
                    <w:rPr>
                      <w:rFonts w:ascii="Arial" w:hAnsi="Arial" w:cs="Arial"/>
                      <w:sz w:val="20"/>
                      <w:szCs w:val="20"/>
                    </w:rPr>
                  </w:pPr>
                  <w:r w:rsidRPr="005D4222">
                    <w:rPr>
                      <w:rFonts w:ascii="Arial" w:hAnsi="Arial" w:cs="Arial"/>
                      <w:sz w:val="20"/>
                      <w:szCs w:val="20"/>
                    </w:rPr>
                    <w:t xml:space="preserve">Beck Depression Inventory-Fast Screen </w:t>
                  </w:r>
                  <w:r w:rsidR="001947AD" w:rsidRPr="005D4222">
                    <w:rPr>
                      <w:rFonts w:ascii="Arial" w:hAnsi="Arial" w:cs="Arial"/>
                      <w:sz w:val="20"/>
                      <w:szCs w:val="20"/>
                    </w:rPr>
                    <w:br/>
                  </w:r>
                  <w:r w:rsidRPr="005D4222">
                    <w:rPr>
                      <w:rFonts w:ascii="Arial" w:hAnsi="Arial" w:cs="Arial"/>
                      <w:sz w:val="20"/>
                      <w:szCs w:val="20"/>
                    </w:rPr>
                    <w:t>(BDI-FS)</w:t>
                  </w:r>
                  <w:r w:rsidRPr="005D4222">
                    <w:rPr>
                      <w:rFonts w:ascii="Arial" w:hAnsi="Arial" w:cs="Arial"/>
                      <w:sz w:val="20"/>
                      <w:szCs w:val="20"/>
                      <w:vertAlign w:val="superscript"/>
                    </w:rPr>
                    <w:t>®1,2</w:t>
                  </w:r>
                </w:p>
              </w:tc>
              <w:tc>
                <w:tcPr>
                  <w:tcW w:w="1620" w:type="dxa"/>
                  <w:tcBorders>
                    <w:top w:val="single" w:sz="6" w:space="0" w:color="000000"/>
                    <w:left w:val="single" w:sz="6" w:space="0" w:color="000000"/>
                    <w:bottom w:val="single" w:sz="6" w:space="0" w:color="000000"/>
                    <w:right w:val="single" w:sz="6" w:space="0" w:color="000000"/>
                  </w:tcBorders>
                  <w:tcMar>
                    <w:left w:w="72" w:type="dxa"/>
                    <w:right w:w="72" w:type="dxa"/>
                  </w:tcMar>
                  <w:hideMark/>
                </w:tcPr>
                <w:p w14:paraId="48B0026F"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89208-3</w:t>
                  </w:r>
                </w:p>
              </w:tc>
              <w:tc>
                <w:tcPr>
                  <w:tcW w:w="1443" w:type="dxa"/>
                  <w:tcBorders>
                    <w:top w:val="single" w:sz="6" w:space="0" w:color="000000"/>
                    <w:left w:val="single" w:sz="6" w:space="0" w:color="000000"/>
                    <w:bottom w:val="single" w:sz="6" w:space="0" w:color="000000"/>
                    <w:right w:val="single" w:sz="6" w:space="0" w:color="000000"/>
                  </w:tcBorders>
                  <w:tcMar>
                    <w:left w:w="72" w:type="dxa"/>
                    <w:right w:w="72" w:type="dxa"/>
                  </w:tcMar>
                  <w:hideMark/>
                </w:tcPr>
                <w:p w14:paraId="235A3A96"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Total score ≥8</w:t>
                  </w:r>
                </w:p>
              </w:tc>
            </w:tr>
            <w:tr w:rsidR="00B01AA3" w:rsidRPr="005D4222" w14:paraId="01C45D5F" w14:textId="77777777" w:rsidTr="00A53E8C">
              <w:tc>
                <w:tcPr>
                  <w:tcW w:w="4306" w:type="dxa"/>
                  <w:tcBorders>
                    <w:top w:val="single" w:sz="6" w:space="0" w:color="000000"/>
                    <w:left w:val="single" w:sz="6" w:space="0" w:color="000000"/>
                    <w:bottom w:val="single" w:sz="6" w:space="0" w:color="000000"/>
                    <w:right w:val="single" w:sz="6" w:space="0" w:color="000000"/>
                  </w:tcBorders>
                  <w:tcMar>
                    <w:left w:w="72" w:type="dxa"/>
                    <w:right w:w="72" w:type="dxa"/>
                  </w:tcMar>
                  <w:hideMark/>
                </w:tcPr>
                <w:p w14:paraId="57367D66"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Center for Epidemiologic Studies Depression Scale—Revised (CESD-R)</w:t>
                  </w:r>
                </w:p>
              </w:tc>
              <w:tc>
                <w:tcPr>
                  <w:tcW w:w="1620" w:type="dxa"/>
                  <w:tcBorders>
                    <w:top w:val="single" w:sz="6" w:space="0" w:color="000000"/>
                    <w:left w:val="single" w:sz="6" w:space="0" w:color="000000"/>
                    <w:bottom w:val="single" w:sz="6" w:space="0" w:color="000000"/>
                    <w:right w:val="single" w:sz="6" w:space="0" w:color="000000"/>
                  </w:tcBorders>
                  <w:tcMar>
                    <w:left w:w="72" w:type="dxa"/>
                    <w:right w:w="72" w:type="dxa"/>
                  </w:tcMar>
                  <w:hideMark/>
                </w:tcPr>
                <w:p w14:paraId="60759662"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89205-9</w:t>
                  </w:r>
                </w:p>
              </w:tc>
              <w:tc>
                <w:tcPr>
                  <w:tcW w:w="1443" w:type="dxa"/>
                  <w:tcBorders>
                    <w:top w:val="single" w:sz="6" w:space="0" w:color="000000"/>
                    <w:left w:val="single" w:sz="6" w:space="0" w:color="000000"/>
                    <w:bottom w:val="single" w:sz="6" w:space="0" w:color="000000"/>
                    <w:right w:val="single" w:sz="6" w:space="0" w:color="000000"/>
                  </w:tcBorders>
                  <w:tcMar>
                    <w:left w:w="72" w:type="dxa"/>
                    <w:right w:w="72" w:type="dxa"/>
                  </w:tcMar>
                  <w:hideMark/>
                </w:tcPr>
                <w:p w14:paraId="1A170FC3"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Total score ≥17</w:t>
                  </w:r>
                </w:p>
              </w:tc>
            </w:tr>
            <w:tr w:rsidR="00B01AA3" w:rsidRPr="005D4222" w14:paraId="15BC4F88" w14:textId="77777777" w:rsidTr="00A53E8C">
              <w:tc>
                <w:tcPr>
                  <w:tcW w:w="4306" w:type="dxa"/>
                  <w:tcBorders>
                    <w:top w:val="single" w:sz="6" w:space="0" w:color="000000"/>
                    <w:left w:val="single" w:sz="6" w:space="0" w:color="000000"/>
                    <w:bottom w:val="single" w:sz="6" w:space="0" w:color="000000"/>
                    <w:right w:val="single" w:sz="6" w:space="0" w:color="000000"/>
                  </w:tcBorders>
                  <w:tcMar>
                    <w:left w:w="72" w:type="dxa"/>
                    <w:right w:w="72" w:type="dxa"/>
                  </w:tcMar>
                  <w:hideMark/>
                </w:tcPr>
                <w:p w14:paraId="653EBB75"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Edinburgh Postnatal Depression Scale (EPDS)</w:t>
                  </w:r>
                </w:p>
              </w:tc>
              <w:tc>
                <w:tcPr>
                  <w:tcW w:w="1620" w:type="dxa"/>
                  <w:tcBorders>
                    <w:top w:val="single" w:sz="6" w:space="0" w:color="000000"/>
                    <w:left w:val="single" w:sz="6" w:space="0" w:color="000000"/>
                    <w:bottom w:val="single" w:sz="6" w:space="0" w:color="000000"/>
                    <w:right w:val="single" w:sz="6" w:space="0" w:color="000000"/>
                  </w:tcBorders>
                  <w:tcMar>
                    <w:left w:w="72" w:type="dxa"/>
                    <w:right w:w="72" w:type="dxa"/>
                  </w:tcMar>
                  <w:hideMark/>
                </w:tcPr>
                <w:p w14:paraId="32AA6F51"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99046-5</w:t>
                  </w:r>
                </w:p>
              </w:tc>
              <w:tc>
                <w:tcPr>
                  <w:tcW w:w="1443" w:type="dxa"/>
                  <w:tcBorders>
                    <w:top w:val="single" w:sz="6" w:space="0" w:color="000000"/>
                    <w:left w:val="single" w:sz="6" w:space="0" w:color="000000"/>
                    <w:bottom w:val="single" w:sz="6" w:space="0" w:color="000000"/>
                    <w:right w:val="single" w:sz="6" w:space="0" w:color="000000"/>
                  </w:tcBorders>
                  <w:tcMar>
                    <w:left w:w="72" w:type="dxa"/>
                    <w:right w:w="72" w:type="dxa"/>
                  </w:tcMar>
                  <w:hideMark/>
                </w:tcPr>
                <w:p w14:paraId="4F7D51EA"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Total score ≥10</w:t>
                  </w:r>
                </w:p>
              </w:tc>
            </w:tr>
            <w:tr w:rsidR="00B01AA3" w:rsidRPr="005D4222" w14:paraId="0658B3B8" w14:textId="77777777" w:rsidTr="00A53E8C">
              <w:tc>
                <w:tcPr>
                  <w:tcW w:w="4306" w:type="dxa"/>
                  <w:tcBorders>
                    <w:top w:val="single" w:sz="6" w:space="0" w:color="000000"/>
                    <w:left w:val="single" w:sz="6" w:space="0" w:color="000000"/>
                    <w:bottom w:val="single" w:sz="6" w:space="0" w:color="000000"/>
                    <w:right w:val="single" w:sz="6" w:space="0" w:color="000000"/>
                  </w:tcBorders>
                  <w:tcMar>
                    <w:left w:w="72" w:type="dxa"/>
                    <w:right w:w="72" w:type="dxa"/>
                  </w:tcMar>
                  <w:hideMark/>
                </w:tcPr>
                <w:p w14:paraId="7443DFDB"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PROMIS Depression</w:t>
                  </w:r>
                </w:p>
              </w:tc>
              <w:tc>
                <w:tcPr>
                  <w:tcW w:w="1620" w:type="dxa"/>
                  <w:tcBorders>
                    <w:top w:val="single" w:sz="6" w:space="0" w:color="000000"/>
                    <w:left w:val="single" w:sz="6" w:space="0" w:color="000000"/>
                    <w:bottom w:val="single" w:sz="6" w:space="0" w:color="000000"/>
                    <w:right w:val="single" w:sz="6" w:space="0" w:color="000000"/>
                  </w:tcBorders>
                  <w:tcMar>
                    <w:left w:w="72" w:type="dxa"/>
                    <w:right w:w="72" w:type="dxa"/>
                  </w:tcMar>
                  <w:hideMark/>
                </w:tcPr>
                <w:p w14:paraId="6AEFD163"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71965-8</w:t>
                  </w:r>
                </w:p>
              </w:tc>
              <w:tc>
                <w:tcPr>
                  <w:tcW w:w="1443" w:type="dxa"/>
                  <w:tcBorders>
                    <w:top w:val="single" w:sz="6" w:space="0" w:color="000000"/>
                    <w:left w:val="single" w:sz="6" w:space="0" w:color="000000"/>
                    <w:bottom w:val="single" w:sz="6" w:space="0" w:color="000000"/>
                    <w:right w:val="single" w:sz="6" w:space="0" w:color="000000"/>
                  </w:tcBorders>
                  <w:tcMar>
                    <w:left w:w="72" w:type="dxa"/>
                    <w:right w:w="72" w:type="dxa"/>
                  </w:tcMar>
                  <w:hideMark/>
                </w:tcPr>
                <w:p w14:paraId="0D40B47C"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 xml:space="preserve">Total score </w:t>
                  </w:r>
                  <w:r w:rsidRPr="005D4222">
                    <w:rPr>
                      <w:rFonts w:ascii="Arial" w:hAnsi="Arial" w:cs="Arial"/>
                      <w:sz w:val="20"/>
                      <w:szCs w:val="20"/>
                    </w:rPr>
                    <w:br/>
                    <w:t>(T Score) ≥60</w:t>
                  </w:r>
                </w:p>
              </w:tc>
            </w:tr>
          </w:tbl>
          <w:p w14:paraId="13F355F0" w14:textId="77777777" w:rsidR="00B01AA3" w:rsidRPr="005D4222" w:rsidRDefault="00B01AA3" w:rsidP="00A53E8C">
            <w:pPr>
              <w:pStyle w:val="TableText"/>
              <w:spacing w:after="40"/>
              <w:rPr>
                <w:rFonts w:ascii="Arial" w:hAnsi="Arial" w:cs="Arial"/>
                <w:sz w:val="18"/>
                <w:szCs w:val="18"/>
              </w:rPr>
            </w:pPr>
            <w:r w:rsidRPr="005D4222">
              <w:rPr>
                <w:rFonts w:ascii="Arial" w:hAnsi="Arial" w:cs="Arial"/>
                <w:sz w:val="18"/>
                <w:szCs w:val="18"/>
                <w:vertAlign w:val="superscript"/>
              </w:rPr>
              <w:t>1</w:t>
            </w:r>
            <w:r w:rsidRPr="005D4222">
              <w:rPr>
                <w:rFonts w:ascii="Arial" w:hAnsi="Arial" w:cs="Arial"/>
                <w:sz w:val="18"/>
                <w:szCs w:val="18"/>
              </w:rPr>
              <w:t>Brief screening instrument. All other instruments are full-length.</w:t>
            </w:r>
          </w:p>
          <w:p w14:paraId="7934A596" w14:textId="77777777" w:rsidR="00B01AA3" w:rsidRPr="005D4222" w:rsidRDefault="00B01AA3" w:rsidP="00A53E8C">
            <w:pPr>
              <w:pStyle w:val="TableText"/>
              <w:spacing w:before="40" w:after="240"/>
              <w:rPr>
                <w:rFonts w:ascii="Arial" w:hAnsi="Arial" w:cs="Arial"/>
                <w:sz w:val="18"/>
                <w:szCs w:val="18"/>
              </w:rPr>
            </w:pPr>
            <w:r w:rsidRPr="005D4222">
              <w:rPr>
                <w:rFonts w:ascii="Arial" w:hAnsi="Arial" w:cs="Arial"/>
                <w:sz w:val="18"/>
                <w:szCs w:val="18"/>
                <w:vertAlign w:val="superscript"/>
              </w:rPr>
              <w:t>2</w:t>
            </w:r>
            <w:r w:rsidRPr="005D4222">
              <w:rPr>
                <w:rFonts w:ascii="Arial" w:hAnsi="Arial" w:cs="Arial"/>
                <w:sz w:val="18"/>
                <w:szCs w:val="18"/>
              </w:rPr>
              <w:t>Proprietary; may have cost or licensing requirement associated with use.</w:t>
            </w:r>
          </w:p>
          <w:tbl>
            <w:tblPr>
              <w:tblW w:w="5000" w:type="pct"/>
              <w:tblInd w:w="7"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firstRow="1" w:lastRow="1" w:firstColumn="1" w:lastColumn="1" w:noHBand="0" w:noVBand="0"/>
            </w:tblPr>
            <w:tblGrid>
              <w:gridCol w:w="4367"/>
              <w:gridCol w:w="1559"/>
              <w:gridCol w:w="1443"/>
            </w:tblGrid>
            <w:tr w:rsidR="00B01AA3" w:rsidRPr="005D4222" w14:paraId="6811B007" w14:textId="77777777" w:rsidTr="000560C5">
              <w:trPr>
                <w:trHeight w:val="326"/>
              </w:trPr>
              <w:tc>
                <w:tcPr>
                  <w:tcW w:w="4367" w:type="dxa"/>
                  <w:tcBorders>
                    <w:top w:val="single" w:sz="4" w:space="0" w:color="auto"/>
                    <w:left w:val="single" w:sz="6" w:space="0" w:color="000000" w:themeColor="text1"/>
                    <w:bottom w:val="single" w:sz="6" w:space="0" w:color="000000" w:themeColor="text1"/>
                    <w:right w:val="single" w:sz="4" w:space="0" w:color="FFFFFF" w:themeColor="background1"/>
                  </w:tcBorders>
                  <w:shd w:val="clear" w:color="auto" w:fill="000000" w:themeFill="text1"/>
                  <w:tcMar>
                    <w:left w:w="72" w:type="dxa"/>
                    <w:right w:w="72" w:type="dxa"/>
                  </w:tcMar>
                  <w:vAlign w:val="bottom"/>
                  <w:hideMark/>
                </w:tcPr>
                <w:p w14:paraId="73C15DAE" w14:textId="77777777" w:rsidR="00B01AA3" w:rsidRPr="005D4222" w:rsidRDefault="00B01AA3" w:rsidP="00A53E8C">
                  <w:pPr>
                    <w:pStyle w:val="TableHead"/>
                    <w:spacing w:before="80" w:after="80"/>
                    <w:rPr>
                      <w:rFonts w:ascii="Arial" w:hAnsi="Arial" w:cs="Arial"/>
                      <w:sz w:val="20"/>
                    </w:rPr>
                  </w:pPr>
                  <w:r w:rsidRPr="005D4222">
                    <w:rPr>
                      <w:rFonts w:ascii="Arial" w:hAnsi="Arial" w:cs="Arial"/>
                      <w:sz w:val="20"/>
                    </w:rPr>
                    <w:t>Instruments for Adults (18+ Years)</w:t>
                  </w:r>
                </w:p>
              </w:tc>
              <w:tc>
                <w:tcPr>
                  <w:tcW w:w="1559" w:type="dxa"/>
                  <w:tcBorders>
                    <w:top w:val="single" w:sz="4" w:space="0" w:color="auto"/>
                    <w:left w:val="single" w:sz="4" w:space="0" w:color="FFFFFF" w:themeColor="background1"/>
                    <w:bottom w:val="single" w:sz="6" w:space="0" w:color="000000" w:themeColor="text1"/>
                    <w:right w:val="single" w:sz="4" w:space="0" w:color="FFFFFF" w:themeColor="background1"/>
                  </w:tcBorders>
                  <w:shd w:val="clear" w:color="auto" w:fill="000000" w:themeFill="text1"/>
                  <w:tcMar>
                    <w:left w:w="72" w:type="dxa"/>
                    <w:right w:w="72" w:type="dxa"/>
                  </w:tcMar>
                  <w:vAlign w:val="bottom"/>
                  <w:hideMark/>
                </w:tcPr>
                <w:p w14:paraId="5C33D585" w14:textId="77777777" w:rsidR="00B01AA3" w:rsidRPr="005D4222" w:rsidRDefault="00B01AA3" w:rsidP="00A53E8C">
                  <w:pPr>
                    <w:pStyle w:val="TableHead"/>
                    <w:spacing w:before="80" w:after="80"/>
                    <w:rPr>
                      <w:rFonts w:ascii="Arial" w:hAnsi="Arial" w:cs="Arial"/>
                      <w:sz w:val="20"/>
                    </w:rPr>
                  </w:pPr>
                  <w:r w:rsidRPr="005D4222">
                    <w:rPr>
                      <w:rFonts w:ascii="Arial" w:hAnsi="Arial" w:cs="Arial"/>
                      <w:sz w:val="20"/>
                    </w:rPr>
                    <w:t>Total Score LOINC Codes</w:t>
                  </w:r>
                </w:p>
              </w:tc>
              <w:tc>
                <w:tcPr>
                  <w:tcW w:w="1443" w:type="dxa"/>
                  <w:tcBorders>
                    <w:top w:val="single" w:sz="4" w:space="0" w:color="auto"/>
                    <w:left w:val="single" w:sz="4" w:space="0" w:color="FFFFFF" w:themeColor="background1"/>
                    <w:bottom w:val="single" w:sz="6" w:space="0" w:color="000000" w:themeColor="text1"/>
                    <w:right w:val="single" w:sz="6" w:space="0" w:color="000000" w:themeColor="text1"/>
                  </w:tcBorders>
                  <w:shd w:val="clear" w:color="auto" w:fill="000000" w:themeFill="text1"/>
                  <w:tcMar>
                    <w:left w:w="72" w:type="dxa"/>
                    <w:right w:w="72" w:type="dxa"/>
                  </w:tcMar>
                  <w:vAlign w:val="bottom"/>
                  <w:hideMark/>
                </w:tcPr>
                <w:p w14:paraId="4B932C27" w14:textId="77777777" w:rsidR="00B01AA3" w:rsidRPr="005D4222" w:rsidRDefault="00B01AA3" w:rsidP="00A53E8C">
                  <w:pPr>
                    <w:pStyle w:val="TableHead"/>
                    <w:spacing w:before="80" w:after="80"/>
                    <w:rPr>
                      <w:rFonts w:ascii="Arial" w:hAnsi="Arial" w:cs="Arial"/>
                      <w:sz w:val="20"/>
                    </w:rPr>
                  </w:pPr>
                  <w:r w:rsidRPr="005D4222">
                    <w:rPr>
                      <w:rFonts w:ascii="Arial" w:hAnsi="Arial" w:cs="Arial"/>
                      <w:sz w:val="20"/>
                    </w:rPr>
                    <w:t>Positive Finding</w:t>
                  </w:r>
                </w:p>
              </w:tc>
            </w:tr>
            <w:tr w:rsidR="00B01AA3" w:rsidRPr="005D4222" w14:paraId="57FCE34B" w14:textId="77777777" w:rsidTr="000560C5">
              <w:trPr>
                <w:trHeight w:val="371"/>
              </w:trPr>
              <w:tc>
                <w:tcPr>
                  <w:tcW w:w="43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hideMark/>
                </w:tcPr>
                <w:p w14:paraId="099AF0E9"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Patient Health Questionnaire (PHQ-9)</w:t>
                  </w:r>
                  <w:r w:rsidRPr="005D4222">
                    <w:rPr>
                      <w:rFonts w:ascii="Arial" w:hAnsi="Arial" w:cs="Arial"/>
                      <w:sz w:val="20"/>
                      <w:szCs w:val="20"/>
                      <w:vertAlign w:val="superscript"/>
                    </w:rPr>
                    <w:t>®</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hideMark/>
                </w:tcPr>
                <w:p w14:paraId="1818D17F"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44261-6</w:t>
                  </w:r>
                </w:p>
              </w:tc>
              <w:tc>
                <w:tcPr>
                  <w:tcW w:w="14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hideMark/>
                </w:tcPr>
                <w:p w14:paraId="0B29A71E"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Total score ≥10</w:t>
                  </w:r>
                </w:p>
              </w:tc>
            </w:tr>
            <w:tr w:rsidR="00B01AA3" w:rsidRPr="005D4222" w14:paraId="1A79203A" w14:textId="77777777" w:rsidTr="000560C5">
              <w:trPr>
                <w:trHeight w:val="371"/>
              </w:trPr>
              <w:tc>
                <w:tcPr>
                  <w:tcW w:w="43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hideMark/>
                </w:tcPr>
                <w:p w14:paraId="1BA89355"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Patient Health Questionnaire-2 (PHQ-2)</w:t>
                  </w:r>
                  <w:r w:rsidRPr="005D4222">
                    <w:rPr>
                      <w:rFonts w:ascii="Arial" w:hAnsi="Arial" w:cs="Arial"/>
                      <w:sz w:val="20"/>
                      <w:szCs w:val="20"/>
                      <w:vertAlign w:val="superscript"/>
                    </w:rPr>
                    <w:t>®1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hideMark/>
                </w:tcPr>
                <w:p w14:paraId="2D28EA9D"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55758-7</w:t>
                  </w:r>
                </w:p>
              </w:tc>
              <w:tc>
                <w:tcPr>
                  <w:tcW w:w="14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hideMark/>
                </w:tcPr>
                <w:p w14:paraId="15BD4E7F"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Total score ≥3</w:t>
                  </w:r>
                </w:p>
              </w:tc>
            </w:tr>
            <w:tr w:rsidR="00B01AA3" w:rsidRPr="005D4222" w14:paraId="39E5E7D4" w14:textId="77777777" w:rsidTr="000560C5">
              <w:trPr>
                <w:trHeight w:val="371"/>
              </w:trPr>
              <w:tc>
                <w:tcPr>
                  <w:tcW w:w="43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hideMark/>
                </w:tcPr>
                <w:p w14:paraId="33D60C7D" w14:textId="7CBFDED8" w:rsidR="00B01AA3" w:rsidRPr="005D4222" w:rsidRDefault="00B01AA3" w:rsidP="00A53E8C">
                  <w:pPr>
                    <w:pStyle w:val="TableText"/>
                    <w:rPr>
                      <w:rFonts w:ascii="Arial" w:hAnsi="Arial" w:cs="Arial"/>
                      <w:sz w:val="20"/>
                      <w:szCs w:val="20"/>
                    </w:rPr>
                  </w:pPr>
                  <w:r w:rsidRPr="005D4222">
                    <w:rPr>
                      <w:rFonts w:ascii="Arial" w:hAnsi="Arial" w:cs="Arial"/>
                      <w:sz w:val="20"/>
                      <w:szCs w:val="20"/>
                    </w:rPr>
                    <w:t xml:space="preserve">Beck Depression Inventory-Fast Screen </w:t>
                  </w:r>
                  <w:r w:rsidR="006D7EDC" w:rsidRPr="005D4222">
                    <w:rPr>
                      <w:rFonts w:ascii="Arial" w:hAnsi="Arial" w:cs="Arial"/>
                      <w:sz w:val="20"/>
                      <w:szCs w:val="20"/>
                    </w:rPr>
                    <w:br/>
                  </w:r>
                  <w:r w:rsidRPr="005D4222">
                    <w:rPr>
                      <w:rFonts w:ascii="Arial" w:hAnsi="Arial" w:cs="Arial"/>
                      <w:sz w:val="20"/>
                      <w:szCs w:val="20"/>
                    </w:rPr>
                    <w:t>(BDI-FS)</w:t>
                  </w:r>
                  <w:r w:rsidRPr="005D4222">
                    <w:rPr>
                      <w:rFonts w:ascii="Arial" w:hAnsi="Arial" w:cs="Arial"/>
                      <w:sz w:val="20"/>
                      <w:szCs w:val="20"/>
                      <w:vertAlign w:val="superscript"/>
                    </w:rPr>
                    <w:t>®1,2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hideMark/>
                </w:tcPr>
                <w:p w14:paraId="35A9F2D3"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89208-3</w:t>
                  </w:r>
                </w:p>
              </w:tc>
              <w:tc>
                <w:tcPr>
                  <w:tcW w:w="14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hideMark/>
                </w:tcPr>
                <w:p w14:paraId="53D55335"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Total score ≥8</w:t>
                  </w:r>
                </w:p>
              </w:tc>
            </w:tr>
            <w:tr w:rsidR="00B01AA3" w:rsidRPr="005D4222" w14:paraId="6C635ABD" w14:textId="77777777" w:rsidTr="000560C5">
              <w:trPr>
                <w:trHeight w:val="371"/>
              </w:trPr>
              <w:tc>
                <w:tcPr>
                  <w:tcW w:w="43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hideMark/>
                </w:tcPr>
                <w:p w14:paraId="43FB861C"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Beck Depression Inventory (BDI-II)</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hideMark/>
                </w:tcPr>
                <w:p w14:paraId="2354AEB3"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89209-1</w:t>
                  </w:r>
                </w:p>
              </w:tc>
              <w:tc>
                <w:tcPr>
                  <w:tcW w:w="14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hideMark/>
                </w:tcPr>
                <w:p w14:paraId="02BECA4B"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Total score ≥20</w:t>
                  </w:r>
                </w:p>
              </w:tc>
            </w:tr>
            <w:tr w:rsidR="00B01AA3" w:rsidRPr="005D4222" w14:paraId="22FE47A7" w14:textId="77777777" w:rsidTr="000560C5">
              <w:trPr>
                <w:trHeight w:val="371"/>
              </w:trPr>
              <w:tc>
                <w:tcPr>
                  <w:tcW w:w="43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hideMark/>
                </w:tcPr>
                <w:p w14:paraId="3A9CE70B"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Center for Epidemiologic Studies Depression Scale—Revised (CESD-R)</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hideMark/>
                </w:tcPr>
                <w:p w14:paraId="30586E6F"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89205-9</w:t>
                  </w:r>
                </w:p>
              </w:tc>
              <w:tc>
                <w:tcPr>
                  <w:tcW w:w="14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hideMark/>
                </w:tcPr>
                <w:p w14:paraId="4B915F35"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Total score ≥17</w:t>
                  </w:r>
                </w:p>
              </w:tc>
            </w:tr>
            <w:tr w:rsidR="00B01AA3" w:rsidRPr="005D4222" w14:paraId="58555E8F" w14:textId="77777777" w:rsidTr="000560C5">
              <w:trPr>
                <w:trHeight w:val="371"/>
              </w:trPr>
              <w:tc>
                <w:tcPr>
                  <w:tcW w:w="43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hideMark/>
                </w:tcPr>
                <w:p w14:paraId="100F8B84" w14:textId="67D50B30" w:rsidR="00B01AA3" w:rsidRPr="005D4222" w:rsidRDefault="00B01AA3" w:rsidP="00A53E8C">
                  <w:pPr>
                    <w:pStyle w:val="TableText"/>
                    <w:rPr>
                      <w:rFonts w:ascii="Arial" w:hAnsi="Arial" w:cs="Arial"/>
                      <w:sz w:val="20"/>
                      <w:szCs w:val="20"/>
                    </w:rPr>
                  </w:pPr>
                  <w:r w:rsidRPr="005D4222">
                    <w:rPr>
                      <w:rFonts w:ascii="Arial" w:hAnsi="Arial" w:cs="Arial"/>
                      <w:sz w:val="20"/>
                      <w:szCs w:val="20"/>
                    </w:rPr>
                    <w:t>Duke Anxiety-Depression Scale (DUKE-AD)</w:t>
                  </w:r>
                  <w:r w:rsidRPr="005D4222">
                    <w:rPr>
                      <w:rFonts w:ascii="Arial" w:hAnsi="Arial" w:cs="Arial"/>
                      <w:sz w:val="20"/>
                      <w:szCs w:val="20"/>
                      <w:vertAlign w:val="superscript"/>
                    </w:rPr>
                    <w:t>®2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hideMark/>
                </w:tcPr>
                <w:p w14:paraId="3F68031F"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90853-3</w:t>
                  </w:r>
                </w:p>
              </w:tc>
              <w:tc>
                <w:tcPr>
                  <w:tcW w:w="14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hideMark/>
                </w:tcPr>
                <w:p w14:paraId="144C90A2"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Total score ≥30</w:t>
                  </w:r>
                </w:p>
              </w:tc>
            </w:tr>
            <w:tr w:rsidR="00B01AA3" w:rsidRPr="005D4222" w14:paraId="6100EEE7" w14:textId="77777777" w:rsidTr="000560C5">
              <w:trPr>
                <w:trHeight w:val="371"/>
              </w:trPr>
              <w:tc>
                <w:tcPr>
                  <w:tcW w:w="43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hideMark/>
                </w:tcPr>
                <w:p w14:paraId="5E196745"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Edinburgh Postnatal Depression Scale (EPDS)</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hideMark/>
                </w:tcPr>
                <w:p w14:paraId="0F9B9B4F"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99046-5</w:t>
                  </w:r>
                </w:p>
              </w:tc>
              <w:tc>
                <w:tcPr>
                  <w:tcW w:w="14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hideMark/>
                </w:tcPr>
                <w:p w14:paraId="5FA1E5FC"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Total score ≥10</w:t>
                  </w:r>
                </w:p>
              </w:tc>
            </w:tr>
            <w:tr w:rsidR="00B01AA3" w:rsidRPr="005D4222" w14:paraId="2796A09D" w14:textId="77777777" w:rsidTr="000560C5">
              <w:trPr>
                <w:trHeight w:val="371"/>
              </w:trPr>
              <w:tc>
                <w:tcPr>
                  <w:tcW w:w="43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hideMark/>
                </w:tcPr>
                <w:p w14:paraId="7BDA0582"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My Mood Monitor (M-3)</w:t>
                  </w:r>
                  <w:r w:rsidRPr="005D4222">
                    <w:rPr>
                      <w:rFonts w:ascii="Arial" w:hAnsi="Arial" w:cs="Arial"/>
                      <w:sz w:val="20"/>
                      <w:szCs w:val="20"/>
                      <w:vertAlign w:val="superscript"/>
                    </w:rPr>
                    <w:t>®</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hideMark/>
                </w:tcPr>
                <w:p w14:paraId="76123426"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71777-7</w:t>
                  </w:r>
                </w:p>
              </w:tc>
              <w:tc>
                <w:tcPr>
                  <w:tcW w:w="14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hideMark/>
                </w:tcPr>
                <w:p w14:paraId="3367939C" w14:textId="77777777" w:rsidR="00B01AA3" w:rsidRPr="005D4222" w:rsidRDefault="00B01AA3" w:rsidP="00A53E8C">
                  <w:pPr>
                    <w:pStyle w:val="TableText"/>
                    <w:rPr>
                      <w:rFonts w:ascii="Arial" w:hAnsi="Arial" w:cs="Arial"/>
                      <w:sz w:val="20"/>
                      <w:szCs w:val="20"/>
                    </w:rPr>
                  </w:pPr>
                  <w:r w:rsidRPr="005D4222">
                    <w:rPr>
                      <w:rFonts w:ascii="Arial" w:hAnsi="Arial" w:cs="Arial"/>
                      <w:sz w:val="20"/>
                      <w:szCs w:val="20"/>
                    </w:rPr>
                    <w:t>Total score ≥5</w:t>
                  </w:r>
                </w:p>
              </w:tc>
            </w:tr>
            <w:tr w:rsidR="001842DF" w:rsidRPr="005D4222" w14:paraId="18649CD1" w14:textId="77777777" w:rsidTr="000560C5">
              <w:trPr>
                <w:trHeight w:val="371"/>
              </w:trPr>
              <w:tc>
                <w:tcPr>
                  <w:tcW w:w="43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tcPr>
                <w:p w14:paraId="4B5F470E" w14:textId="787A86F6" w:rsidR="001842DF" w:rsidRPr="005D4222" w:rsidRDefault="001842DF" w:rsidP="001842DF">
                  <w:pPr>
                    <w:pStyle w:val="TableText"/>
                    <w:rPr>
                      <w:rFonts w:ascii="Arial" w:hAnsi="Arial" w:cs="Arial"/>
                      <w:sz w:val="20"/>
                      <w:szCs w:val="20"/>
                    </w:rPr>
                  </w:pPr>
                  <w:r w:rsidRPr="005D4222">
                    <w:rPr>
                      <w:rFonts w:ascii="Arial" w:hAnsi="Arial" w:cs="Arial"/>
                      <w:sz w:val="20"/>
                      <w:szCs w:val="20"/>
                    </w:rPr>
                    <w:t>PROMIS Depression</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tcPr>
                <w:p w14:paraId="2135BCA7" w14:textId="0F988A99" w:rsidR="001842DF" w:rsidRPr="005D4222" w:rsidRDefault="001842DF" w:rsidP="001842DF">
                  <w:pPr>
                    <w:pStyle w:val="TableText"/>
                    <w:rPr>
                      <w:rFonts w:ascii="Arial" w:hAnsi="Arial" w:cs="Arial"/>
                      <w:sz w:val="20"/>
                      <w:szCs w:val="20"/>
                    </w:rPr>
                  </w:pPr>
                  <w:r w:rsidRPr="005D4222">
                    <w:rPr>
                      <w:rFonts w:ascii="Arial" w:hAnsi="Arial" w:cs="Arial"/>
                      <w:sz w:val="20"/>
                      <w:szCs w:val="20"/>
                    </w:rPr>
                    <w:t>71965-8</w:t>
                  </w:r>
                </w:p>
              </w:tc>
              <w:tc>
                <w:tcPr>
                  <w:tcW w:w="14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tcPr>
                <w:p w14:paraId="259320F8" w14:textId="6A09D38A" w:rsidR="001842DF" w:rsidRPr="005D4222" w:rsidRDefault="001842DF" w:rsidP="001842DF">
                  <w:pPr>
                    <w:pStyle w:val="TableText"/>
                    <w:rPr>
                      <w:rFonts w:ascii="Arial" w:hAnsi="Arial" w:cs="Arial"/>
                      <w:sz w:val="20"/>
                      <w:szCs w:val="20"/>
                    </w:rPr>
                  </w:pPr>
                  <w:r w:rsidRPr="005D4222">
                    <w:rPr>
                      <w:rFonts w:ascii="Arial" w:hAnsi="Arial" w:cs="Arial"/>
                      <w:sz w:val="20"/>
                      <w:szCs w:val="20"/>
                    </w:rPr>
                    <w:t xml:space="preserve">Total score </w:t>
                  </w:r>
                  <w:r w:rsidRPr="005D4222">
                    <w:rPr>
                      <w:rFonts w:ascii="Arial" w:hAnsi="Arial" w:cs="Arial"/>
                      <w:sz w:val="20"/>
                      <w:szCs w:val="20"/>
                    </w:rPr>
                    <w:br/>
                    <w:t>(T Score) ≥60</w:t>
                  </w:r>
                </w:p>
              </w:tc>
            </w:tr>
          </w:tbl>
          <w:p w14:paraId="463C0982" w14:textId="1AAB2177" w:rsidR="00B01AA3" w:rsidRPr="005D4222" w:rsidRDefault="00B01AA3" w:rsidP="00A53E8C">
            <w:pPr>
              <w:pStyle w:val="TableText"/>
              <w:spacing w:before="0"/>
              <w:rPr>
                <w:highlight w:val="yellow"/>
              </w:rPr>
            </w:pPr>
          </w:p>
        </w:tc>
      </w:tr>
    </w:tbl>
    <w:p w14:paraId="3916617F" w14:textId="77777777" w:rsidR="00E73EEC" w:rsidRDefault="00E73EEC"/>
    <w:tbl>
      <w:tblPr>
        <w:tblW w:w="9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57"/>
      </w:tblGrid>
      <w:tr w:rsidR="00A81919" w:rsidRPr="005D4222" w14:paraId="41C8E94E" w14:textId="77777777" w:rsidTr="00E73EEC">
        <w:tc>
          <w:tcPr>
            <w:tcW w:w="2157" w:type="dxa"/>
            <w:tcBorders>
              <w:top w:val="single" w:sz="4" w:space="0" w:color="auto"/>
              <w:bottom w:val="single" w:sz="4" w:space="0" w:color="auto"/>
            </w:tcBorders>
            <w:tcMar>
              <w:top w:w="0" w:type="dxa"/>
              <w:left w:w="86" w:type="dxa"/>
              <w:bottom w:w="43" w:type="dxa"/>
              <w:right w:w="86" w:type="dxa"/>
            </w:tcMar>
          </w:tcPr>
          <w:p w14:paraId="4B991B3D" w14:textId="77777777" w:rsidR="00A81919" w:rsidRPr="005D4222" w:rsidRDefault="00A81919" w:rsidP="00A53E8C">
            <w:pPr>
              <w:pStyle w:val="MarginHead"/>
            </w:pPr>
          </w:p>
        </w:tc>
        <w:tc>
          <w:tcPr>
            <w:tcW w:w="7557" w:type="dxa"/>
            <w:tcBorders>
              <w:top w:val="single" w:sz="4" w:space="0" w:color="auto"/>
              <w:bottom w:val="single" w:sz="4" w:space="0" w:color="auto"/>
            </w:tcBorders>
            <w:tcMar>
              <w:left w:w="86" w:type="dxa"/>
              <w:bottom w:w="43" w:type="dxa"/>
              <w:right w:w="86" w:type="dxa"/>
            </w:tcMar>
          </w:tcPr>
          <w:p w14:paraId="327D4911" w14:textId="77777777" w:rsidR="00A81919" w:rsidRDefault="00A81919" w:rsidP="00E73EEC">
            <w:pPr>
              <w:pStyle w:val="ECDSBody"/>
              <w:spacing w:before="0" w:after="0"/>
              <w:rPr>
                <w:sz w:val="10"/>
                <w:szCs w:val="10"/>
              </w:rPr>
            </w:pPr>
          </w:p>
          <w:tbl>
            <w:tblPr>
              <w:tblW w:w="7391"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firstRow="1" w:lastRow="1" w:firstColumn="1" w:lastColumn="1" w:noHBand="0" w:noVBand="0"/>
            </w:tblPr>
            <w:tblGrid>
              <w:gridCol w:w="4381"/>
              <w:gridCol w:w="8"/>
              <w:gridCol w:w="1559"/>
              <w:gridCol w:w="55"/>
              <w:gridCol w:w="8"/>
              <w:gridCol w:w="1372"/>
              <w:gridCol w:w="8"/>
            </w:tblGrid>
            <w:tr w:rsidR="00E73EEC" w:rsidRPr="005D4222" w14:paraId="5B3BC4C1" w14:textId="77777777" w:rsidTr="000560C5">
              <w:trPr>
                <w:trHeight w:val="326"/>
              </w:trPr>
              <w:tc>
                <w:tcPr>
                  <w:tcW w:w="4389" w:type="dxa"/>
                  <w:gridSpan w:val="2"/>
                  <w:tcBorders>
                    <w:top w:val="single" w:sz="4" w:space="0" w:color="auto"/>
                    <w:left w:val="single" w:sz="6" w:space="0" w:color="000000" w:themeColor="text1"/>
                    <w:bottom w:val="single" w:sz="6" w:space="0" w:color="000000" w:themeColor="text1"/>
                    <w:right w:val="single" w:sz="4" w:space="0" w:color="FFFFFF" w:themeColor="background1"/>
                  </w:tcBorders>
                  <w:shd w:val="clear" w:color="auto" w:fill="000000" w:themeFill="text1"/>
                  <w:tcMar>
                    <w:left w:w="72" w:type="dxa"/>
                    <w:right w:w="72" w:type="dxa"/>
                  </w:tcMar>
                  <w:vAlign w:val="bottom"/>
                  <w:hideMark/>
                </w:tcPr>
                <w:p w14:paraId="52A56464" w14:textId="77777777" w:rsidR="00E73EEC" w:rsidRPr="005D4222" w:rsidRDefault="00E73EEC" w:rsidP="00E73EEC">
                  <w:pPr>
                    <w:pStyle w:val="TableHead"/>
                    <w:spacing w:before="80" w:after="80"/>
                    <w:rPr>
                      <w:rFonts w:ascii="Arial" w:hAnsi="Arial" w:cs="Arial"/>
                      <w:sz w:val="20"/>
                    </w:rPr>
                  </w:pPr>
                  <w:r w:rsidRPr="005D4222">
                    <w:rPr>
                      <w:rFonts w:ascii="Arial" w:hAnsi="Arial" w:cs="Arial"/>
                      <w:sz w:val="20"/>
                    </w:rPr>
                    <w:t>Instruments for Adults (18+ years)</w:t>
                  </w:r>
                </w:p>
              </w:tc>
              <w:tc>
                <w:tcPr>
                  <w:tcW w:w="1622" w:type="dxa"/>
                  <w:gridSpan w:val="3"/>
                  <w:tcBorders>
                    <w:top w:val="single" w:sz="4" w:space="0" w:color="auto"/>
                    <w:left w:val="single" w:sz="4" w:space="0" w:color="FFFFFF" w:themeColor="background1"/>
                    <w:bottom w:val="single" w:sz="6" w:space="0" w:color="000000" w:themeColor="text1"/>
                    <w:right w:val="single" w:sz="4" w:space="0" w:color="FFFFFF" w:themeColor="background1"/>
                  </w:tcBorders>
                  <w:shd w:val="clear" w:color="auto" w:fill="000000" w:themeFill="text1"/>
                  <w:tcMar>
                    <w:left w:w="72" w:type="dxa"/>
                    <w:right w:w="72" w:type="dxa"/>
                  </w:tcMar>
                  <w:vAlign w:val="bottom"/>
                  <w:hideMark/>
                </w:tcPr>
                <w:p w14:paraId="2E09212D" w14:textId="77777777" w:rsidR="00E73EEC" w:rsidRPr="005D4222" w:rsidRDefault="00E73EEC" w:rsidP="00E73EEC">
                  <w:pPr>
                    <w:pStyle w:val="TableHead"/>
                    <w:spacing w:before="80" w:after="80"/>
                    <w:rPr>
                      <w:rFonts w:ascii="Arial" w:hAnsi="Arial" w:cs="Arial"/>
                      <w:sz w:val="20"/>
                    </w:rPr>
                  </w:pPr>
                  <w:r w:rsidRPr="005D4222">
                    <w:rPr>
                      <w:rFonts w:ascii="Arial" w:hAnsi="Arial" w:cs="Arial"/>
                      <w:sz w:val="20"/>
                    </w:rPr>
                    <w:t>Total Score LOINC Codes</w:t>
                  </w:r>
                </w:p>
              </w:tc>
              <w:tc>
                <w:tcPr>
                  <w:tcW w:w="1380" w:type="dxa"/>
                  <w:gridSpan w:val="2"/>
                  <w:tcBorders>
                    <w:top w:val="single" w:sz="4" w:space="0" w:color="auto"/>
                    <w:left w:val="single" w:sz="4" w:space="0" w:color="FFFFFF" w:themeColor="background1"/>
                    <w:bottom w:val="single" w:sz="6" w:space="0" w:color="000000" w:themeColor="text1"/>
                    <w:right w:val="single" w:sz="6" w:space="0" w:color="000000" w:themeColor="text1"/>
                  </w:tcBorders>
                  <w:shd w:val="clear" w:color="auto" w:fill="000000" w:themeFill="text1"/>
                  <w:tcMar>
                    <w:left w:w="72" w:type="dxa"/>
                    <w:right w:w="72" w:type="dxa"/>
                  </w:tcMar>
                  <w:vAlign w:val="bottom"/>
                  <w:hideMark/>
                </w:tcPr>
                <w:p w14:paraId="2F4A94D0" w14:textId="77777777" w:rsidR="00E73EEC" w:rsidRPr="005D4222" w:rsidRDefault="00E73EEC" w:rsidP="00E73EEC">
                  <w:pPr>
                    <w:pStyle w:val="TableHead"/>
                    <w:spacing w:before="80" w:after="80"/>
                    <w:rPr>
                      <w:rFonts w:ascii="Arial" w:hAnsi="Arial" w:cs="Arial"/>
                      <w:sz w:val="20"/>
                    </w:rPr>
                  </w:pPr>
                  <w:r w:rsidRPr="005D4222">
                    <w:rPr>
                      <w:rFonts w:ascii="Arial" w:hAnsi="Arial" w:cs="Arial"/>
                      <w:sz w:val="20"/>
                    </w:rPr>
                    <w:t>Positive Finding</w:t>
                  </w:r>
                </w:p>
              </w:tc>
            </w:tr>
            <w:tr w:rsidR="00E73EEC" w:rsidRPr="005D4222" w14:paraId="7C677921" w14:textId="77777777" w:rsidTr="000560C5">
              <w:trPr>
                <w:trHeight w:val="371"/>
              </w:trPr>
              <w:tc>
                <w:tcPr>
                  <w:tcW w:w="438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tcPr>
                <w:p w14:paraId="33610E03" w14:textId="77777777" w:rsidR="00E73EEC" w:rsidRPr="005D4222" w:rsidRDefault="00E73EEC" w:rsidP="00E73EEC">
                  <w:pPr>
                    <w:pStyle w:val="TableText"/>
                    <w:rPr>
                      <w:rFonts w:ascii="Arial" w:hAnsi="Arial" w:cs="Arial"/>
                      <w:sz w:val="20"/>
                      <w:szCs w:val="20"/>
                    </w:rPr>
                  </w:pPr>
                  <w:r w:rsidRPr="005D4222">
                    <w:rPr>
                      <w:rFonts w:ascii="Arial" w:eastAsia="Arial Narrow" w:hAnsi="Arial" w:cs="Arial"/>
                      <w:sz w:val="20"/>
                      <w:szCs w:val="20"/>
                    </w:rPr>
                    <w:t>PROMIS Emotional Distress—Depression—Short Form</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tcPr>
                <w:p w14:paraId="2D63494E" w14:textId="77777777" w:rsidR="00E73EEC" w:rsidRPr="005D4222" w:rsidRDefault="00E73EEC" w:rsidP="00E73EEC">
                  <w:pPr>
                    <w:pStyle w:val="TableText"/>
                    <w:rPr>
                      <w:rFonts w:ascii="Arial" w:hAnsi="Arial" w:cs="Arial"/>
                      <w:sz w:val="20"/>
                      <w:szCs w:val="20"/>
                    </w:rPr>
                  </w:pPr>
                  <w:r w:rsidRPr="005D4222">
                    <w:rPr>
                      <w:rFonts w:ascii="Arial" w:eastAsia="Arial Narrow" w:hAnsi="Arial" w:cs="Arial"/>
                      <w:sz w:val="20"/>
                      <w:szCs w:val="20"/>
                    </w:rPr>
                    <w:t>77861-3</w:t>
                  </w:r>
                </w:p>
              </w:tc>
              <w:tc>
                <w:tcPr>
                  <w:tcW w:w="1443"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tcPr>
                <w:p w14:paraId="5500025C" w14:textId="77777777" w:rsidR="00E73EEC" w:rsidRPr="005D4222" w:rsidRDefault="00E73EEC" w:rsidP="00E73EEC">
                  <w:pPr>
                    <w:pStyle w:val="TableText"/>
                    <w:rPr>
                      <w:rFonts w:ascii="Arial" w:hAnsi="Arial" w:cs="Arial"/>
                      <w:sz w:val="20"/>
                      <w:szCs w:val="20"/>
                    </w:rPr>
                  </w:pPr>
                  <w:r w:rsidRPr="005D4222">
                    <w:rPr>
                      <w:rFonts w:ascii="Arial" w:eastAsia="Arial Narrow" w:hAnsi="Arial" w:cs="Arial"/>
                      <w:sz w:val="20"/>
                      <w:szCs w:val="20"/>
                    </w:rPr>
                    <w:t xml:space="preserve">Total score </w:t>
                  </w:r>
                  <w:r w:rsidRPr="005D4222">
                    <w:rPr>
                      <w:rFonts w:ascii="Arial" w:eastAsia="Arial Narrow" w:hAnsi="Arial" w:cs="Arial"/>
                      <w:sz w:val="20"/>
                      <w:szCs w:val="20"/>
                    </w:rPr>
                    <w:br/>
                    <w:t>(T Score) ≥60</w:t>
                  </w:r>
                </w:p>
              </w:tc>
            </w:tr>
            <w:tr w:rsidR="00E73EEC" w:rsidRPr="005D4222" w14:paraId="179803EA" w14:textId="77777777" w:rsidTr="000560C5">
              <w:trPr>
                <w:gridAfter w:val="1"/>
                <w:wAfter w:w="8" w:type="dxa"/>
                <w:trHeight w:val="371"/>
              </w:trPr>
              <w:tc>
                <w:tcPr>
                  <w:tcW w:w="438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hideMark/>
                </w:tcPr>
                <w:p w14:paraId="1EF80E1C" w14:textId="77777777" w:rsidR="00E73EEC" w:rsidRPr="005D4222" w:rsidRDefault="00E73EEC" w:rsidP="00E73EEC">
                  <w:pPr>
                    <w:pStyle w:val="TableText"/>
                    <w:rPr>
                      <w:rFonts w:ascii="Arial" w:hAnsi="Arial" w:cs="Arial"/>
                      <w:sz w:val="20"/>
                      <w:szCs w:val="20"/>
                    </w:rPr>
                  </w:pPr>
                  <w:r w:rsidRPr="005D4222">
                    <w:rPr>
                      <w:rFonts w:ascii="Arial" w:hAnsi="Arial" w:cs="Arial"/>
                      <w:sz w:val="20"/>
                      <w:szCs w:val="20"/>
                    </w:rPr>
                    <w:t>Clinically Useful Depression Outcome Scale (CUDOS)</w:t>
                  </w:r>
                </w:p>
              </w:tc>
              <w:tc>
                <w:tcPr>
                  <w:tcW w:w="162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hideMark/>
                </w:tcPr>
                <w:p w14:paraId="2D421486" w14:textId="77777777" w:rsidR="00E73EEC" w:rsidRPr="005D4222" w:rsidRDefault="00E73EEC" w:rsidP="00E73EEC">
                  <w:pPr>
                    <w:pStyle w:val="TableText"/>
                    <w:rPr>
                      <w:rFonts w:ascii="Arial" w:hAnsi="Arial" w:cs="Arial"/>
                      <w:sz w:val="20"/>
                      <w:szCs w:val="20"/>
                    </w:rPr>
                  </w:pPr>
                  <w:r w:rsidRPr="005D4222">
                    <w:rPr>
                      <w:rFonts w:ascii="Arial" w:hAnsi="Arial" w:cs="Arial"/>
                      <w:sz w:val="20"/>
                      <w:szCs w:val="20"/>
                    </w:rPr>
                    <w:t>90221-3</w:t>
                  </w:r>
                </w:p>
              </w:tc>
              <w:tc>
                <w:tcPr>
                  <w:tcW w:w="138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72" w:type="dxa"/>
                    <w:right w:w="72" w:type="dxa"/>
                  </w:tcMar>
                  <w:hideMark/>
                </w:tcPr>
                <w:p w14:paraId="5B1A360A" w14:textId="77777777" w:rsidR="00E73EEC" w:rsidRPr="005D4222" w:rsidRDefault="00E73EEC" w:rsidP="00E73EEC">
                  <w:pPr>
                    <w:pStyle w:val="TableText"/>
                    <w:rPr>
                      <w:rFonts w:ascii="Arial" w:hAnsi="Arial" w:cs="Arial"/>
                      <w:sz w:val="20"/>
                      <w:szCs w:val="20"/>
                    </w:rPr>
                  </w:pPr>
                  <w:r w:rsidRPr="005D4222">
                    <w:rPr>
                      <w:rFonts w:ascii="Arial" w:hAnsi="Arial" w:cs="Arial"/>
                      <w:sz w:val="20"/>
                      <w:szCs w:val="20"/>
                    </w:rPr>
                    <w:t>Total score ≥31</w:t>
                  </w:r>
                </w:p>
              </w:tc>
            </w:tr>
          </w:tbl>
          <w:p w14:paraId="3DDAD929" w14:textId="77777777" w:rsidR="00E73EEC" w:rsidRPr="005D4222" w:rsidRDefault="00E73EEC" w:rsidP="007510EA">
            <w:pPr>
              <w:pStyle w:val="TableText"/>
              <w:spacing w:after="0"/>
              <w:rPr>
                <w:rFonts w:ascii="Arial" w:hAnsi="Arial" w:cs="Arial"/>
                <w:sz w:val="18"/>
                <w:szCs w:val="18"/>
              </w:rPr>
            </w:pPr>
            <w:r w:rsidRPr="005D4222">
              <w:rPr>
                <w:rFonts w:ascii="Arial" w:hAnsi="Arial" w:cs="Arial"/>
                <w:sz w:val="18"/>
                <w:szCs w:val="18"/>
                <w:vertAlign w:val="superscript"/>
              </w:rPr>
              <w:t>1</w:t>
            </w:r>
            <w:r w:rsidRPr="005D4222">
              <w:rPr>
                <w:rFonts w:ascii="Arial" w:hAnsi="Arial" w:cs="Arial"/>
                <w:sz w:val="18"/>
                <w:szCs w:val="18"/>
              </w:rPr>
              <w:t>Brief screening instrument. All other instruments are full-length.</w:t>
            </w:r>
          </w:p>
          <w:p w14:paraId="4BB6E055" w14:textId="0FC9D9BB" w:rsidR="00E73EEC" w:rsidRPr="00E73EEC" w:rsidRDefault="00E73EEC" w:rsidP="007510EA">
            <w:pPr>
              <w:pStyle w:val="ECDSBody"/>
              <w:spacing w:before="0"/>
              <w:rPr>
                <w:sz w:val="10"/>
                <w:szCs w:val="10"/>
              </w:rPr>
            </w:pPr>
            <w:r w:rsidRPr="005D4222">
              <w:rPr>
                <w:sz w:val="18"/>
                <w:szCs w:val="18"/>
                <w:vertAlign w:val="superscript"/>
              </w:rPr>
              <w:t>2</w:t>
            </w:r>
            <w:r w:rsidRPr="005D4222">
              <w:rPr>
                <w:sz w:val="18"/>
                <w:szCs w:val="18"/>
              </w:rPr>
              <w:t>Proprietary; may have cost or licensing requirement associated with use.</w:t>
            </w:r>
          </w:p>
        </w:tc>
      </w:tr>
      <w:tr w:rsidR="00B01AA3" w:rsidRPr="005D4222" w14:paraId="5F078B05" w14:textId="77777777" w:rsidTr="00E73EEC">
        <w:trPr>
          <w:trHeight w:val="320"/>
        </w:trPr>
        <w:tc>
          <w:tcPr>
            <w:tcW w:w="2157" w:type="dxa"/>
            <w:shd w:val="clear" w:color="auto" w:fill="BFBFBF" w:themeFill="background1" w:themeFillShade="BF"/>
            <w:tcMar>
              <w:top w:w="0" w:type="dxa"/>
              <w:left w:w="86" w:type="dxa"/>
              <w:bottom w:w="43" w:type="dxa"/>
              <w:right w:w="86" w:type="dxa"/>
            </w:tcMar>
          </w:tcPr>
          <w:p w14:paraId="74114EDE" w14:textId="77777777" w:rsidR="00B01AA3" w:rsidRPr="005D4222" w:rsidRDefault="00B01AA3" w:rsidP="00A53E8C">
            <w:pPr>
              <w:pStyle w:val="ECDSMarginHead"/>
            </w:pPr>
            <w:r w:rsidRPr="005D4222">
              <w:t>Initial population</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70B8B57" w14:textId="77777777" w:rsidR="00B01AA3" w:rsidRPr="005D4222" w:rsidRDefault="00B01AA3" w:rsidP="00A53E8C">
            <w:pPr>
              <w:pStyle w:val="ECDSBody"/>
            </w:pPr>
            <w:r w:rsidRPr="005D4222">
              <w:rPr>
                <w:i/>
                <w:iCs/>
              </w:rPr>
              <w:t xml:space="preserve">Measure item count: </w:t>
            </w:r>
            <w:r w:rsidRPr="005D4222">
              <w:t>Episode.</w:t>
            </w:r>
          </w:p>
          <w:p w14:paraId="70ED69A3" w14:textId="0E28A062" w:rsidR="00B01AA3" w:rsidRPr="005D4222" w:rsidRDefault="00F10378" w:rsidP="00A53E8C">
            <w:pPr>
              <w:pStyle w:val="ECDSBody"/>
            </w:pPr>
            <w:r w:rsidRPr="005D4222">
              <w:rPr>
                <w:i/>
                <w:iCs/>
              </w:rPr>
              <w:t>Attribution basis:</w:t>
            </w:r>
            <w:r w:rsidR="00B01AA3" w:rsidRPr="005D4222">
              <w:rPr>
                <w:i/>
                <w:iCs/>
              </w:rPr>
              <w:t xml:space="preserve"> </w:t>
            </w:r>
            <w:r w:rsidR="00B01AA3" w:rsidRPr="005D4222">
              <w:t>Enrollment.</w:t>
            </w:r>
          </w:p>
          <w:p w14:paraId="5EFA74AB" w14:textId="288ADB3D" w:rsidR="00B01AA3" w:rsidRPr="005D4222" w:rsidRDefault="000F0DC5" w:rsidP="00B01AA3">
            <w:pPr>
              <w:pStyle w:val="Bullet"/>
              <w:numPr>
                <w:ilvl w:val="0"/>
                <w:numId w:val="4"/>
              </w:numPr>
              <w:tabs>
                <w:tab w:val="left" w:pos="360"/>
                <w:tab w:val="left" w:pos="576"/>
              </w:tabs>
              <w:ind w:left="576" w:hanging="216"/>
            </w:pPr>
            <w:r w:rsidRPr="005D4222">
              <w:rPr>
                <w:i/>
              </w:rPr>
              <w:t>Benefits:</w:t>
            </w:r>
            <w:r w:rsidR="00B01AA3" w:rsidRPr="005D4222">
              <w:t xml:space="preserve"> Medical.</w:t>
            </w:r>
          </w:p>
          <w:p w14:paraId="495AB809" w14:textId="77777777" w:rsidR="00B01AA3" w:rsidRPr="005D4222" w:rsidRDefault="00B01AA3" w:rsidP="00B01AA3">
            <w:pPr>
              <w:pStyle w:val="Bullet"/>
              <w:numPr>
                <w:ilvl w:val="0"/>
                <w:numId w:val="4"/>
              </w:numPr>
              <w:tabs>
                <w:tab w:val="left" w:pos="360"/>
                <w:tab w:val="left" w:pos="576"/>
              </w:tabs>
              <w:ind w:left="576" w:hanging="216"/>
            </w:pPr>
            <w:r w:rsidRPr="005D4222">
              <w:rPr>
                <w:i/>
              </w:rPr>
              <w:t>Continuous enrollment:</w:t>
            </w:r>
            <w:r w:rsidRPr="005D4222">
              <w:t xml:space="preserve"> </w:t>
            </w:r>
            <w:r w:rsidRPr="005D4222">
              <w:rPr>
                <w:kern w:val="20"/>
              </w:rPr>
              <w:t xml:space="preserve">The delivery date through 60 days following the delivery date. </w:t>
            </w:r>
          </w:p>
          <w:p w14:paraId="38530B09" w14:textId="77777777" w:rsidR="00B01AA3" w:rsidRPr="005D4222" w:rsidRDefault="00B01AA3" w:rsidP="00B01AA3">
            <w:pPr>
              <w:pStyle w:val="Bullet"/>
              <w:numPr>
                <w:ilvl w:val="0"/>
                <w:numId w:val="4"/>
              </w:numPr>
              <w:tabs>
                <w:tab w:val="left" w:pos="360"/>
                <w:tab w:val="left" w:pos="576"/>
              </w:tabs>
              <w:ind w:left="576" w:hanging="216"/>
            </w:pPr>
            <w:r w:rsidRPr="005D4222">
              <w:rPr>
                <w:i/>
              </w:rPr>
              <w:t>Allowable gap:</w:t>
            </w:r>
            <w:r w:rsidRPr="005D4222">
              <w:t xml:space="preserve"> None.</w:t>
            </w:r>
          </w:p>
          <w:p w14:paraId="64DB22F9" w14:textId="77777777" w:rsidR="00B01AA3" w:rsidRPr="005D4222" w:rsidRDefault="00B01AA3" w:rsidP="00300DE5">
            <w:pPr>
              <w:pStyle w:val="Body"/>
              <w:spacing w:before="120"/>
            </w:pPr>
            <w:r w:rsidRPr="005D4222">
              <w:rPr>
                <w:rFonts w:cs="Arial"/>
                <w:i/>
              </w:rPr>
              <w:t>Ages:</w:t>
            </w:r>
            <w:r w:rsidRPr="005D4222">
              <w:rPr>
                <w:rFonts w:cs="Arial"/>
              </w:rPr>
              <w:t xml:space="preserve"> </w:t>
            </w:r>
            <w:r w:rsidRPr="005D4222">
              <w:t>None.</w:t>
            </w:r>
          </w:p>
          <w:p w14:paraId="30B55F4C" w14:textId="77777777" w:rsidR="00D40567" w:rsidRPr="005D4222" w:rsidRDefault="00B01AA3" w:rsidP="00300DE5">
            <w:pPr>
              <w:pStyle w:val="Body"/>
              <w:spacing w:before="120"/>
              <w:rPr>
                <w:b/>
                <w:bCs/>
              </w:rPr>
            </w:pPr>
            <w:r w:rsidRPr="005D4222">
              <w:rPr>
                <w:i/>
              </w:rPr>
              <w:t>Event:</w:t>
            </w:r>
            <w:r w:rsidRPr="005D4222">
              <w:t xml:space="preserve"> </w:t>
            </w:r>
            <w:r w:rsidRPr="005D4222">
              <w:rPr>
                <w:b/>
                <w:bCs/>
              </w:rPr>
              <w:t>Deliveries.</w:t>
            </w:r>
          </w:p>
          <w:p w14:paraId="45D987F8" w14:textId="1EE0CA16" w:rsidR="00B01AA3" w:rsidRPr="005D4222" w:rsidRDefault="00B01AA3" w:rsidP="00D40567">
            <w:pPr>
              <w:pStyle w:val="Body"/>
              <w:spacing w:before="80"/>
              <w:rPr>
                <w:kern w:val="20"/>
              </w:rPr>
            </w:pPr>
            <w:r w:rsidRPr="005D4222">
              <w:rPr>
                <w:kern w:val="20"/>
              </w:rPr>
              <w:t>Deliveries (</w:t>
            </w:r>
            <w:r w:rsidRPr="005D4222">
              <w:rPr>
                <w:kern w:val="20"/>
                <w:u w:val="single"/>
              </w:rPr>
              <w:t>Deliveries Value Set</w:t>
            </w:r>
            <w:r w:rsidRPr="005D4222">
              <w:rPr>
                <w:kern w:val="20"/>
              </w:rPr>
              <w:t xml:space="preserve">), in any setting, during September 8 of the year prior to the measurement period through September 7 of the measurement period. </w:t>
            </w:r>
            <w:r w:rsidRPr="005D4222">
              <w:t>Determine the delivery date using the date as of the end of the delivery.</w:t>
            </w:r>
          </w:p>
          <w:p w14:paraId="454202F2" w14:textId="77777777" w:rsidR="00B01AA3" w:rsidRPr="005D4222" w:rsidRDefault="00B01AA3" w:rsidP="00A53E8C">
            <w:pPr>
              <w:pStyle w:val="Bullet"/>
              <w:numPr>
                <w:ilvl w:val="0"/>
                <w:numId w:val="0"/>
              </w:numPr>
            </w:pPr>
            <w:r w:rsidRPr="005D4222">
              <w:t>If a person has more than one delivery in a 180-day period, include only the first eligible delivery. Then, if applicable include the next delivery that occurs after the 180-day period. Identify deliveries chronologically, including only one per 180-day period.</w:t>
            </w:r>
          </w:p>
          <w:p w14:paraId="1077CD31" w14:textId="77777777" w:rsidR="00B01AA3" w:rsidRPr="005D4222" w:rsidRDefault="00B01AA3" w:rsidP="00A53E8C">
            <w:pPr>
              <w:pStyle w:val="Note"/>
              <w:spacing w:after="80"/>
            </w:pPr>
            <w:r w:rsidRPr="005D4222">
              <w:rPr>
                <w:b/>
                <w:bCs/>
              </w:rPr>
              <w:t xml:space="preserve">Note: </w:t>
            </w:r>
            <w:r w:rsidRPr="005D4222">
              <w:t>Removal of multiple deliveries in a 180-day period is based on eligible deliveries. Assess each delivery for exclusions and attribution before removing multiple deliveries in a 180-day period.</w:t>
            </w:r>
          </w:p>
        </w:tc>
      </w:tr>
      <w:tr w:rsidR="006439AD" w:rsidRPr="005D4222" w14:paraId="649B94DF" w14:textId="77777777" w:rsidTr="00E73EEC">
        <w:tc>
          <w:tcPr>
            <w:tcW w:w="2157" w:type="dxa"/>
            <w:tcBorders>
              <w:top w:val="single" w:sz="2"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F6D1DD3" w14:textId="77777777" w:rsidR="00B01AA3" w:rsidRPr="005D4222" w:rsidRDefault="00B01AA3" w:rsidP="00A53E8C">
            <w:pPr>
              <w:pStyle w:val="ECDSMarginHead"/>
            </w:pPr>
            <w:r w:rsidRPr="005D4222">
              <w:t xml:space="preserve">Denominator exclusions </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vAlign w:val="center"/>
          </w:tcPr>
          <w:p w14:paraId="581E0DC7" w14:textId="77777777" w:rsidR="00B01AA3" w:rsidRPr="005D4222" w:rsidRDefault="00B01AA3" w:rsidP="00A53E8C">
            <w:pPr>
              <w:pStyle w:val="ECDSBody"/>
            </w:pPr>
            <w:r w:rsidRPr="005D4222">
              <w:rPr>
                <w:b/>
              </w:rPr>
              <w:t>Persons with a date of death.</w:t>
            </w:r>
            <w:r w:rsidRPr="005D4222">
              <w:rPr>
                <w:b/>
              </w:rPr>
              <w:br/>
            </w:r>
            <w:r w:rsidRPr="005D4222">
              <w:t>Death in the measurement period, identified using data sources determined by the organization. Method and data sources are subject to review during the HEDIS audit. </w:t>
            </w:r>
          </w:p>
          <w:p w14:paraId="14037B3D" w14:textId="77777777" w:rsidR="00B01AA3" w:rsidRPr="005D4222" w:rsidRDefault="00B01AA3" w:rsidP="00A53E8C">
            <w:pPr>
              <w:pStyle w:val="ECDSBody"/>
            </w:pPr>
            <w:r w:rsidRPr="005D4222">
              <w:rPr>
                <w:rFonts w:eastAsia="Arial,Arial,Arial,Arial,Arial,A"/>
                <w:b/>
              </w:rPr>
              <w:t>Persons in hospice or using hospice services.</w:t>
            </w:r>
            <w:r w:rsidRPr="005D4222">
              <w:rPr>
                <w:rFonts w:eastAsia="Arial,Arial,Arial,Arial,Arial,A"/>
                <w:b/>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tc>
      </w:tr>
      <w:tr w:rsidR="006439AD" w:rsidRPr="005D4222" w14:paraId="2FB8A6E2" w14:textId="77777777" w:rsidTr="00E73EEC">
        <w:trPr>
          <w:trHeight w:val="417"/>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3FAB1451" w14:textId="77777777" w:rsidR="00B01AA3" w:rsidRPr="005D4222" w:rsidRDefault="00B01AA3" w:rsidP="00A53E8C">
            <w:pPr>
              <w:pStyle w:val="ECDSMarginHead"/>
            </w:pPr>
            <w:r w:rsidRPr="005D4222">
              <w:t>Denominator</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1373115" w14:textId="77777777" w:rsidR="00B01AA3" w:rsidRPr="005D4222" w:rsidRDefault="00B01AA3" w:rsidP="00A53E8C">
            <w:pPr>
              <w:pStyle w:val="ECDSBody"/>
              <w:rPr>
                <w:rFonts w:eastAsia="Arial,Arial,Arial,Arial,Arial,A"/>
                <w:bCs w:val="0"/>
              </w:rPr>
            </w:pPr>
            <w:r w:rsidRPr="005D4222">
              <w:rPr>
                <w:rFonts w:eastAsia="Arial,Arial,Arial,Arial,Arial,A"/>
                <w:b/>
              </w:rPr>
              <w:t xml:space="preserve">Denominator 1: </w:t>
            </w:r>
            <w:r w:rsidRPr="005D4222">
              <w:rPr>
                <w:rFonts w:eastAsia="Arial,Arial,Arial,Arial,Arial,A"/>
                <w:bCs w:val="0"/>
              </w:rPr>
              <w:t>The initial population minus denominator exclusions.</w:t>
            </w:r>
          </w:p>
          <w:p w14:paraId="5D62BB4F" w14:textId="77777777" w:rsidR="00B01AA3" w:rsidRPr="005D4222" w:rsidRDefault="00B01AA3" w:rsidP="00A53E8C">
            <w:pPr>
              <w:pStyle w:val="ECDSBody"/>
              <w:rPr>
                <w:rFonts w:eastAsia="Arial,Arial,Arial,Arial,Arial,A"/>
                <w:bCs w:val="0"/>
              </w:rPr>
            </w:pPr>
            <w:r w:rsidRPr="005D4222">
              <w:rPr>
                <w:rFonts w:eastAsia="Arial,Arial,Arial,Arial,Arial,A"/>
                <w:b/>
              </w:rPr>
              <w:t>Denominator 2:</w:t>
            </w:r>
            <w:r w:rsidRPr="005D4222">
              <w:rPr>
                <w:rFonts w:eastAsia="Arial,Arial,Arial,Arial,Arial,A"/>
                <w:b/>
                <w:i/>
                <w:iCs/>
              </w:rPr>
              <w:t xml:space="preserve"> </w:t>
            </w:r>
            <w:r w:rsidRPr="005D4222">
              <w:rPr>
                <w:rFonts w:eastAsia="Arial,Arial,Arial,Arial,Arial,A"/>
                <w:bCs w:val="0"/>
              </w:rPr>
              <w:t xml:space="preserve">All deliveries from numerator 1 with a positive finding for depression during the 7–84 days following the date of delivery. </w:t>
            </w:r>
          </w:p>
        </w:tc>
      </w:tr>
      <w:tr w:rsidR="006439AD" w:rsidRPr="005D4222" w14:paraId="19EB72C4" w14:textId="77777777" w:rsidTr="00E73EEC">
        <w:tc>
          <w:tcPr>
            <w:tcW w:w="2157"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59E6F621" w14:textId="77777777" w:rsidR="003E60F6" w:rsidRPr="005D4222" w:rsidRDefault="003E60F6" w:rsidP="00A53E8C">
            <w:pPr>
              <w:pStyle w:val="ECDSMarginHead"/>
            </w:pPr>
            <w:r w:rsidRPr="005D4222">
              <w:t>Numerator</w:t>
            </w: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vAlign w:val="center"/>
          </w:tcPr>
          <w:p w14:paraId="01D31579" w14:textId="1D9FD952" w:rsidR="003E60F6" w:rsidRPr="005D4222" w:rsidRDefault="003E60F6" w:rsidP="00E73EEC">
            <w:pPr>
              <w:pStyle w:val="ECDSBody"/>
            </w:pPr>
            <w:r w:rsidRPr="005D4222">
              <w:rPr>
                <w:b/>
                <w:bCs w:val="0"/>
              </w:rPr>
              <w:t>Numerator 1: Depression screening.</w:t>
            </w:r>
            <w:r w:rsidRPr="005D4222">
              <w:rPr>
                <w:b/>
                <w:bCs w:val="0"/>
              </w:rPr>
              <w:br/>
            </w:r>
            <w:r w:rsidRPr="005D4222">
              <w:t>Deliveries in which persons had a documented result for depression screening, using an age-appropriate standardized instrument, performed during the 7–84 days following the delivery date.</w:t>
            </w:r>
          </w:p>
        </w:tc>
      </w:tr>
      <w:tr w:rsidR="006439AD" w:rsidRPr="005D4222" w14:paraId="2F702FB8" w14:textId="77777777" w:rsidTr="00E73EEC">
        <w:tc>
          <w:tcPr>
            <w:tcW w:w="2157"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6C1FFF72" w14:textId="77777777" w:rsidR="00B455C0" w:rsidRPr="005D4222" w:rsidRDefault="00B455C0" w:rsidP="00A53E8C">
            <w:pPr>
              <w:pStyle w:val="ECDSMarginHead"/>
            </w:pP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vAlign w:val="center"/>
          </w:tcPr>
          <w:p w14:paraId="7AFF8F6E" w14:textId="2976C9B1" w:rsidR="00B455C0" w:rsidRPr="005D4222" w:rsidRDefault="00E73EEC" w:rsidP="00B455C0">
            <w:pPr>
              <w:pStyle w:val="Bullet"/>
              <w:numPr>
                <w:ilvl w:val="0"/>
                <w:numId w:val="0"/>
              </w:numPr>
              <w:tabs>
                <w:tab w:val="left" w:pos="1"/>
              </w:tabs>
              <w:ind w:left="1"/>
            </w:pPr>
            <w:r w:rsidRPr="005D4222">
              <w:t xml:space="preserve">Depression screening captured in health risk assessments or other types of health assessments are allowed if the questions align with a specific instrument </w:t>
            </w:r>
            <w:r w:rsidR="00B455C0" w:rsidRPr="005D4222">
              <w:t>that is validated for depression screening. For example, if a health risk assessment includes questions from the PHQ-2, it counts as screening if the person answered the questions and a total score is calculated.</w:t>
            </w:r>
          </w:p>
          <w:p w14:paraId="392E632D" w14:textId="7A7C2C5D" w:rsidR="00B455C0" w:rsidRPr="005D4222" w:rsidRDefault="00B455C0" w:rsidP="00B455C0">
            <w:pPr>
              <w:pStyle w:val="ECDSBody"/>
            </w:pPr>
            <w:r w:rsidRPr="005D4222">
              <w:rPr>
                <w:b/>
                <w:bCs w:val="0"/>
              </w:rPr>
              <w:t>Numerator 2: Follow-up on positive screen.</w:t>
            </w:r>
            <w:r w:rsidRPr="005D4222">
              <w:rPr>
                <w:b/>
                <w:bCs w:val="0"/>
              </w:rPr>
              <w:br/>
            </w:r>
            <w:r w:rsidRPr="005D4222">
              <w:t xml:space="preserve">Deliveries in which </w:t>
            </w:r>
            <w:r w:rsidR="002B5FBD" w:rsidRPr="005D4222">
              <w:t>persons</w:t>
            </w:r>
            <w:r w:rsidRPr="005D4222">
              <w:t xml:space="preserve"> received follow-up care on or up to 30 days after the date of the first positive screen (31 total days).</w:t>
            </w:r>
          </w:p>
          <w:p w14:paraId="439F84B2" w14:textId="77777777" w:rsidR="00B455C0" w:rsidRPr="005D4222" w:rsidRDefault="00B455C0" w:rsidP="00B455C0">
            <w:pPr>
              <w:pStyle w:val="ECDSBody"/>
            </w:pPr>
            <w:r w:rsidRPr="005D4222">
              <w:t>Any of the following on or up to 30 days after the first positive screen:</w:t>
            </w:r>
          </w:p>
          <w:p w14:paraId="59B28837" w14:textId="77777777" w:rsidR="00B455C0" w:rsidRPr="005D4222" w:rsidRDefault="00B455C0" w:rsidP="00B455C0">
            <w:pPr>
              <w:pStyle w:val="Bullet"/>
              <w:numPr>
                <w:ilvl w:val="0"/>
                <w:numId w:val="4"/>
              </w:numPr>
              <w:tabs>
                <w:tab w:val="left" w:pos="360"/>
                <w:tab w:val="left" w:pos="576"/>
              </w:tabs>
              <w:ind w:left="576" w:hanging="216"/>
            </w:pPr>
            <w:r w:rsidRPr="005D4222">
              <w:t>An outpatient, telephone, e-visit or virtual check-in follow-up visit (</w:t>
            </w:r>
            <w:r w:rsidRPr="005D4222">
              <w:rPr>
                <w:u w:val="single"/>
              </w:rPr>
              <w:t>Follow Up Visit Value Set</w:t>
            </w:r>
            <w:r w:rsidRPr="005D4222">
              <w:t>) with a diagnosis of depression or other behavioral health condition (</w:t>
            </w:r>
            <w:r w:rsidRPr="005D4222">
              <w:rPr>
                <w:u w:val="single"/>
              </w:rPr>
              <w:t>Depression or Other Behavioral Health Condition Value Set</w:t>
            </w:r>
            <w:r w:rsidRPr="005D4222">
              <w:t>).</w:t>
            </w:r>
          </w:p>
          <w:p w14:paraId="312080DF" w14:textId="77777777" w:rsidR="00B455C0" w:rsidRPr="005D4222" w:rsidRDefault="00B455C0" w:rsidP="00B455C0">
            <w:pPr>
              <w:pStyle w:val="Bullet"/>
              <w:numPr>
                <w:ilvl w:val="0"/>
                <w:numId w:val="4"/>
              </w:numPr>
              <w:tabs>
                <w:tab w:val="left" w:pos="360"/>
                <w:tab w:val="left" w:pos="576"/>
              </w:tabs>
              <w:ind w:left="576" w:hanging="216"/>
            </w:pPr>
            <w:r w:rsidRPr="005D4222">
              <w:t>A depression case management encounter (</w:t>
            </w:r>
            <w:r w:rsidRPr="005D4222">
              <w:rPr>
                <w:u w:val="single"/>
              </w:rPr>
              <w:t>Depression Case Management Encounter Value Set</w:t>
            </w:r>
            <w:r w:rsidRPr="005D4222">
              <w:t>) that documents assessment for symptoms of depression (</w:t>
            </w:r>
            <w:r w:rsidRPr="005D4222">
              <w:rPr>
                <w:u w:val="single"/>
              </w:rPr>
              <w:t>Symptoms of Depression Value Set</w:t>
            </w:r>
            <w:r w:rsidRPr="005D4222">
              <w:t>) or a diagnosis of depression or other behavioral health condition (</w:t>
            </w:r>
            <w:r w:rsidRPr="005D4222">
              <w:rPr>
                <w:u w:val="single"/>
              </w:rPr>
              <w:t>Depression or Other Behavioral Health Condition Value Set</w:t>
            </w:r>
            <w:r w:rsidRPr="005D4222">
              <w:t>).</w:t>
            </w:r>
          </w:p>
          <w:p w14:paraId="46FCAB26" w14:textId="77777777" w:rsidR="00B455C0" w:rsidRPr="005D4222" w:rsidRDefault="00B455C0" w:rsidP="00B455C0">
            <w:pPr>
              <w:pStyle w:val="Bullet"/>
              <w:numPr>
                <w:ilvl w:val="0"/>
                <w:numId w:val="4"/>
              </w:numPr>
              <w:tabs>
                <w:tab w:val="left" w:pos="360"/>
                <w:tab w:val="left" w:pos="576"/>
              </w:tabs>
              <w:ind w:left="576" w:hanging="216"/>
            </w:pPr>
            <w:r w:rsidRPr="005D4222">
              <w:t>A behavioral health encounter, including assessment, therapy, collaborative care or medication management (</w:t>
            </w:r>
            <w:r w:rsidRPr="005D4222">
              <w:rPr>
                <w:u w:val="single"/>
              </w:rPr>
              <w:t>Behavioral Health Encounter Value Set</w:t>
            </w:r>
            <w:r w:rsidRPr="005D4222">
              <w:t>).</w:t>
            </w:r>
          </w:p>
          <w:p w14:paraId="663EBD39" w14:textId="77777777" w:rsidR="00B455C0" w:rsidRPr="005D4222" w:rsidRDefault="00B455C0" w:rsidP="00B455C0">
            <w:pPr>
              <w:numPr>
                <w:ilvl w:val="0"/>
                <w:numId w:val="4"/>
              </w:numPr>
              <w:tabs>
                <w:tab w:val="left" w:pos="360"/>
                <w:tab w:val="left" w:pos="576"/>
              </w:tabs>
              <w:spacing w:before="80"/>
              <w:ind w:left="576" w:hanging="216"/>
              <w:rPr>
                <w:szCs w:val="24"/>
              </w:rPr>
            </w:pPr>
            <w:r w:rsidRPr="005D4222">
              <w:t xml:space="preserve">A diagnosis of encounter for exercise counseling (ICD-10-CM code Z71.82*). </w:t>
            </w:r>
          </w:p>
          <w:p w14:paraId="0FEE2D8B" w14:textId="77777777" w:rsidR="00B455C0" w:rsidRPr="005D4222" w:rsidRDefault="00B455C0" w:rsidP="00B455C0">
            <w:pPr>
              <w:pStyle w:val="Bullet"/>
              <w:numPr>
                <w:ilvl w:val="0"/>
                <w:numId w:val="4"/>
              </w:numPr>
              <w:tabs>
                <w:tab w:val="left" w:pos="360"/>
                <w:tab w:val="left" w:pos="576"/>
              </w:tabs>
              <w:spacing w:after="80"/>
              <w:ind w:left="576" w:hanging="216"/>
            </w:pPr>
            <w:r w:rsidRPr="005D4222">
              <w:t>A dispensed antidepressant medication (</w:t>
            </w:r>
            <w:r w:rsidRPr="005D4222">
              <w:rPr>
                <w:u w:val="single"/>
              </w:rPr>
              <w:t>Antidepressant Medications List</w:t>
            </w:r>
            <w:r w:rsidRPr="005D4222">
              <w:t>).</w:t>
            </w:r>
          </w:p>
          <w:p w14:paraId="3F55EE4F" w14:textId="77777777" w:rsidR="00B455C0" w:rsidRPr="005D4222" w:rsidRDefault="00B455C0" w:rsidP="00B455C0">
            <w:pPr>
              <w:pStyle w:val="Body"/>
              <w:spacing w:before="0"/>
              <w:rPr>
                <w:b/>
                <w:bCs/>
                <w:i/>
                <w:iCs/>
              </w:rPr>
            </w:pPr>
            <w:r w:rsidRPr="005D4222">
              <w:rPr>
                <w:b/>
                <w:bCs/>
                <w:i/>
                <w:iCs/>
              </w:rPr>
              <w:t>OR</w:t>
            </w:r>
          </w:p>
          <w:p w14:paraId="5EA42B1B" w14:textId="77777777" w:rsidR="00B455C0" w:rsidRPr="005D4222" w:rsidRDefault="00B455C0" w:rsidP="00B455C0">
            <w:pPr>
              <w:pStyle w:val="Bullet"/>
              <w:numPr>
                <w:ilvl w:val="0"/>
                <w:numId w:val="4"/>
              </w:numPr>
              <w:tabs>
                <w:tab w:val="left" w:pos="360"/>
                <w:tab w:val="left" w:pos="576"/>
              </w:tabs>
              <w:spacing w:before="0" w:after="80"/>
              <w:ind w:left="576" w:hanging="216"/>
            </w:pPr>
            <w:r w:rsidRPr="005D4222">
              <w:t>Documentation of additional depression screening on a full-length instrument indicating either no depression or no symptoms that require follow-up (i.e., a negative screen) on the same day as a positive screen on a brief screening instrument.</w:t>
            </w:r>
          </w:p>
          <w:p w14:paraId="5B16A5EA" w14:textId="77777777" w:rsidR="00B455C0" w:rsidRPr="005D4222" w:rsidRDefault="00B455C0" w:rsidP="00B455C0">
            <w:pPr>
              <w:pStyle w:val="Dash"/>
              <w:tabs>
                <w:tab w:val="left" w:pos="576"/>
                <w:tab w:val="left" w:pos="792"/>
              </w:tabs>
            </w:pPr>
            <w:r w:rsidRPr="005D4222">
              <w:rPr>
                <w:i/>
                <w:iCs/>
              </w:rPr>
              <w:t>For example,</w:t>
            </w:r>
            <w:r w:rsidRPr="005D4222">
              <w:t xml:space="preserve"> if there is a positive screen resulting from a PHQ-2 score, documentation of a negative finding from a PHQ-9 performed on the same day qualifies as evidence of follow-up.</w:t>
            </w:r>
          </w:p>
          <w:p w14:paraId="0EE7EC8F" w14:textId="77777777" w:rsidR="00B455C0" w:rsidRPr="005D4222" w:rsidRDefault="00B455C0" w:rsidP="00B455C0">
            <w:pPr>
              <w:pStyle w:val="ECDSBody"/>
              <w:spacing w:after="0"/>
              <w:rPr>
                <w:rFonts w:eastAsia="Arial,Arial,Arial,Arial,Arial,A"/>
                <w:b/>
                <w:bCs w:val="0"/>
              </w:rPr>
            </w:pPr>
            <w:r w:rsidRPr="005D4222">
              <w:rPr>
                <w:rFonts w:eastAsia="Arial,Arial,Arial,Arial,Arial,A"/>
                <w:b/>
                <w:bCs w:val="0"/>
              </w:rPr>
              <w:t>Coding Guidance</w:t>
            </w:r>
          </w:p>
          <w:p w14:paraId="2297AA62" w14:textId="726AE8A9" w:rsidR="00B455C0" w:rsidRPr="005D4222" w:rsidRDefault="00B455C0" w:rsidP="00B455C0">
            <w:pPr>
              <w:pStyle w:val="ECDSBody"/>
              <w:spacing w:before="0"/>
              <w:rPr>
                <w:b/>
                <w:bCs w:val="0"/>
              </w:rPr>
            </w:pPr>
            <w:r w:rsidRPr="005D4222">
              <w:rPr>
                <w:rFonts w:eastAsia="Arial,Arial,Arial,Arial,Arial,A"/>
              </w:rPr>
              <w:t>*Do not include laboratory claims (claims with POS code 81).</w:t>
            </w:r>
          </w:p>
        </w:tc>
      </w:tr>
      <w:tr w:rsidR="00B455C0" w:rsidRPr="005D4222" w14:paraId="79959D8D" w14:textId="77777777" w:rsidTr="00E73EEC">
        <w:tc>
          <w:tcPr>
            <w:tcW w:w="2157"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7FA16233" w14:textId="77777777" w:rsidR="00B455C0" w:rsidRPr="005D4222" w:rsidRDefault="00B455C0" w:rsidP="00A53E8C">
            <w:pPr>
              <w:pStyle w:val="ECDSMarginHead"/>
            </w:pPr>
            <w:r w:rsidRPr="005D4222">
              <w:t>Summary of changes</w:t>
            </w: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tcPr>
          <w:p w14:paraId="6D414B9D" w14:textId="77777777" w:rsidR="00B455C0" w:rsidRPr="005D4222" w:rsidRDefault="00B455C0" w:rsidP="00A53E8C">
            <w:pPr>
              <w:pStyle w:val="ProcessBullet"/>
              <w:spacing w:before="120"/>
            </w:pPr>
            <w:r w:rsidRPr="005D4222">
              <w:rPr>
                <w:rFonts w:eastAsia="Arial"/>
              </w:rPr>
              <w:t>Updated clinical recommendation language to be consistent with 2023 ACOG clinical practice guidelines</w:t>
            </w:r>
            <w:r w:rsidRPr="005D4222">
              <w:t>.</w:t>
            </w:r>
          </w:p>
          <w:p w14:paraId="7CFEC76F" w14:textId="77777777" w:rsidR="00B455C0" w:rsidRPr="005D4222" w:rsidRDefault="00B455C0" w:rsidP="003E60F6">
            <w:pPr>
              <w:pStyle w:val="ProcessBullet"/>
              <w:spacing w:after="80"/>
              <w:rPr>
                <w:color w:val="000000" w:themeColor="text1"/>
              </w:rPr>
            </w:pPr>
            <w:r w:rsidRPr="005D4222">
              <w:t>Updated the race and ethnicity stratification categories to align with OMB SPD 15 2024.</w:t>
            </w:r>
          </w:p>
          <w:p w14:paraId="279052E4" w14:textId="77777777" w:rsidR="00B455C0" w:rsidRPr="005D4222" w:rsidRDefault="00B455C0" w:rsidP="003E60F6">
            <w:pPr>
              <w:pStyle w:val="ProcessBullet"/>
              <w:spacing w:before="60" w:after="80"/>
            </w:pPr>
            <w:r w:rsidRPr="005D4222">
              <w:t xml:space="preserve">Removed the definitions of “participation” and “participation period.” </w:t>
            </w:r>
          </w:p>
          <w:p w14:paraId="66C8C779" w14:textId="77777777" w:rsidR="00B455C0" w:rsidRPr="005D4222" w:rsidRDefault="00B455C0" w:rsidP="003E60F6">
            <w:pPr>
              <w:pStyle w:val="ProcessBullet"/>
              <w:spacing w:before="60"/>
            </w:pPr>
            <w:r w:rsidRPr="005D4222">
              <w:t>Added the PROMIS Emotional Distress instrument to the depression screening instrument for adults.</w:t>
            </w:r>
          </w:p>
          <w:p w14:paraId="3F995435" w14:textId="77777777" w:rsidR="00B455C0" w:rsidRPr="005D4222" w:rsidRDefault="00B455C0" w:rsidP="003E60F6">
            <w:pPr>
              <w:pStyle w:val="ProcessBullet"/>
              <w:spacing w:before="60" w:after="80"/>
              <w:rPr>
                <w:color w:val="000000" w:themeColor="text1"/>
              </w:rPr>
            </w:pPr>
            <w:r w:rsidRPr="005D4222">
              <w:t>Removed the SSoR data elements from the data element tables.</w:t>
            </w:r>
          </w:p>
          <w:p w14:paraId="27D6E17F" w14:textId="78405AA1" w:rsidR="00B455C0" w:rsidRPr="005D4222" w:rsidRDefault="00B455C0" w:rsidP="003E60F6">
            <w:pPr>
              <w:pStyle w:val="ProcessBullet"/>
              <w:spacing w:before="60" w:after="80"/>
            </w:pPr>
            <w:r w:rsidRPr="005D4222">
              <w:t>Added instructions on allowable adjustments to the race and ethnicity stratifications.</w:t>
            </w:r>
          </w:p>
        </w:tc>
      </w:tr>
      <w:tr w:rsidR="006439AD" w:rsidRPr="005D4222" w14:paraId="717B122F" w14:textId="77777777" w:rsidTr="00E73EEC">
        <w:trPr>
          <w:trHeight w:val="45"/>
        </w:trPr>
        <w:tc>
          <w:tcPr>
            <w:tcW w:w="2157"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BCA10F2" w14:textId="77777777" w:rsidR="00B01AA3" w:rsidRPr="005D4222" w:rsidRDefault="00B01AA3" w:rsidP="00A53E8C">
            <w:pPr>
              <w:pStyle w:val="ECDSMarginHead"/>
            </w:pPr>
            <w:r w:rsidRPr="005D4222">
              <w:lastRenderedPageBreak/>
              <w:t>Data element tables</w:t>
            </w:r>
          </w:p>
        </w:tc>
        <w:tc>
          <w:tcPr>
            <w:tcW w:w="7557"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11F91552" w14:textId="77777777" w:rsidR="00B01AA3" w:rsidRPr="005D4222" w:rsidRDefault="00B01AA3" w:rsidP="00A53E8C">
            <w:pPr>
              <w:pStyle w:val="ECDSBody"/>
            </w:pPr>
            <w:r w:rsidRPr="005D4222">
              <w:t xml:space="preserve">Organizations that submit HEDIS data to NCQA must provide the following data elements. </w:t>
            </w:r>
          </w:p>
          <w:p w14:paraId="1BB39294" w14:textId="77777777" w:rsidR="00B01AA3" w:rsidRPr="005D4222" w:rsidRDefault="00B01AA3" w:rsidP="00A53E8C">
            <w:pPr>
              <w:pStyle w:val="Heading3"/>
              <w:spacing w:before="120"/>
              <w:rPr>
                <w:rFonts w:eastAsia="Arial,Arial,Arial,Arial,Arial,A"/>
              </w:rPr>
            </w:pPr>
            <w:r w:rsidRPr="005D4222">
              <w:rPr>
                <w:rFonts w:eastAsia="Arial,Arial,Arial,Arial,Arial,A"/>
              </w:rPr>
              <w:t xml:space="preserve">Table PDS-E-A-1/2: Data Elements for Postpartum Depression Screening and </w:t>
            </w:r>
            <w:r w:rsidRPr="005D4222">
              <w:rPr>
                <w:rFonts w:eastAsia="Arial,Arial,Arial,Arial,Arial,A"/>
              </w:rPr>
              <w:br/>
              <w:t>Follow-Up</w:t>
            </w:r>
          </w:p>
          <w:tbl>
            <w:tblPr>
              <w:tblW w:w="5000" w:type="pct"/>
              <w:tblLayout w:type="fixed"/>
              <w:tblLook w:val="04A0" w:firstRow="1" w:lastRow="0" w:firstColumn="1" w:lastColumn="0" w:noHBand="0" w:noVBand="1"/>
            </w:tblPr>
            <w:tblGrid>
              <w:gridCol w:w="1521"/>
              <w:gridCol w:w="3001"/>
              <w:gridCol w:w="2843"/>
            </w:tblGrid>
            <w:tr w:rsidR="00B01AA3" w:rsidRPr="005D4222" w14:paraId="4322A2A6" w14:textId="77777777" w:rsidTr="00AF2DA4">
              <w:tc>
                <w:tcPr>
                  <w:tcW w:w="1521" w:type="dxa"/>
                  <w:tcBorders>
                    <w:top w:val="single" w:sz="8" w:space="0" w:color="auto"/>
                    <w:left w:val="single" w:sz="8" w:space="0" w:color="auto"/>
                    <w:bottom w:val="single" w:sz="4" w:space="0" w:color="auto"/>
                    <w:right w:val="single" w:sz="6" w:space="0" w:color="FFFFFF" w:themeColor="background1"/>
                  </w:tcBorders>
                  <w:shd w:val="clear" w:color="auto" w:fill="000000"/>
                  <w:noWrap/>
                  <w:vAlign w:val="center"/>
                  <w:hideMark/>
                </w:tcPr>
                <w:p w14:paraId="530AFC8D" w14:textId="77777777" w:rsidR="00B01AA3" w:rsidRPr="005D4222" w:rsidRDefault="00B01AA3" w:rsidP="00A53E8C">
                  <w:pPr>
                    <w:pStyle w:val="TableHead"/>
                    <w:spacing w:before="40" w:after="40"/>
                    <w:rPr>
                      <w:color w:val="auto"/>
                      <w:kern w:val="20"/>
                    </w:rPr>
                  </w:pPr>
                  <w:r w:rsidRPr="005D4222">
                    <w:rPr>
                      <w:color w:val="auto"/>
                      <w:kern w:val="20"/>
                    </w:rPr>
                    <w:t>Metric</w:t>
                  </w:r>
                </w:p>
              </w:tc>
              <w:tc>
                <w:tcPr>
                  <w:tcW w:w="3001" w:type="dxa"/>
                  <w:tcBorders>
                    <w:top w:val="single" w:sz="8" w:space="0" w:color="auto"/>
                    <w:left w:val="single" w:sz="6" w:space="0" w:color="FFFFFF" w:themeColor="background1"/>
                    <w:bottom w:val="single" w:sz="4" w:space="0" w:color="auto"/>
                    <w:right w:val="single" w:sz="4" w:space="0" w:color="FFFFFF" w:themeColor="background1"/>
                  </w:tcBorders>
                  <w:shd w:val="clear" w:color="auto" w:fill="000000"/>
                  <w:noWrap/>
                  <w:vAlign w:val="center"/>
                  <w:hideMark/>
                </w:tcPr>
                <w:p w14:paraId="67877D52" w14:textId="77777777" w:rsidR="00B01AA3" w:rsidRPr="005D4222" w:rsidRDefault="00B01AA3" w:rsidP="00A53E8C">
                  <w:pPr>
                    <w:pStyle w:val="TableHead"/>
                    <w:spacing w:before="40" w:after="40"/>
                    <w:rPr>
                      <w:color w:val="auto"/>
                      <w:kern w:val="20"/>
                    </w:rPr>
                  </w:pPr>
                  <w:r w:rsidRPr="005D4222">
                    <w:rPr>
                      <w:color w:val="auto"/>
                      <w:kern w:val="20"/>
                    </w:rPr>
                    <w:t>Data Element</w:t>
                  </w:r>
                </w:p>
              </w:tc>
              <w:tc>
                <w:tcPr>
                  <w:tcW w:w="2843" w:type="dxa"/>
                  <w:tcBorders>
                    <w:top w:val="single" w:sz="8" w:space="0" w:color="auto"/>
                    <w:left w:val="single" w:sz="4" w:space="0" w:color="FFFFFF" w:themeColor="background1"/>
                    <w:bottom w:val="single" w:sz="4" w:space="0" w:color="auto"/>
                    <w:right w:val="single" w:sz="8" w:space="0" w:color="auto"/>
                  </w:tcBorders>
                  <w:shd w:val="clear" w:color="auto" w:fill="000000"/>
                  <w:vAlign w:val="center"/>
                  <w:hideMark/>
                </w:tcPr>
                <w:p w14:paraId="53DF934C" w14:textId="77777777" w:rsidR="00B01AA3" w:rsidRPr="005D4222" w:rsidRDefault="00B01AA3" w:rsidP="00A53E8C">
                  <w:pPr>
                    <w:pStyle w:val="TableHead"/>
                    <w:spacing w:before="40" w:after="40"/>
                    <w:rPr>
                      <w:color w:val="auto"/>
                      <w:kern w:val="20"/>
                    </w:rPr>
                  </w:pPr>
                  <w:r w:rsidRPr="005D4222">
                    <w:rPr>
                      <w:color w:val="auto"/>
                      <w:kern w:val="20"/>
                    </w:rPr>
                    <w:t>Reporting Instructions</w:t>
                  </w:r>
                </w:p>
              </w:tc>
            </w:tr>
            <w:tr w:rsidR="00B01AA3" w:rsidRPr="005D4222" w14:paraId="5092A4BA" w14:textId="77777777" w:rsidTr="00AF2DA4">
              <w:tc>
                <w:tcPr>
                  <w:tcW w:w="152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2C6A48E" w14:textId="77777777" w:rsidR="00B01AA3" w:rsidRPr="005D4222" w:rsidRDefault="00B01AA3" w:rsidP="00A53E8C">
                  <w:pPr>
                    <w:pStyle w:val="TableText"/>
                    <w:spacing w:before="40" w:after="40"/>
                    <w:rPr>
                      <w:kern w:val="20"/>
                    </w:rPr>
                  </w:pPr>
                  <w:r w:rsidRPr="005D4222">
                    <w:rPr>
                      <w:kern w:val="20"/>
                    </w:rPr>
                    <w:t>Screening</w:t>
                  </w:r>
                </w:p>
              </w:tc>
              <w:tc>
                <w:tcPr>
                  <w:tcW w:w="300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9A3A4CB" w14:textId="77777777" w:rsidR="00B01AA3" w:rsidRPr="005D4222" w:rsidRDefault="00B01AA3" w:rsidP="00A53E8C">
                  <w:pPr>
                    <w:pStyle w:val="TableText"/>
                    <w:spacing w:before="40" w:after="40"/>
                    <w:rPr>
                      <w:kern w:val="20"/>
                    </w:rPr>
                  </w:pPr>
                  <w:r w:rsidRPr="005D4222">
                    <w:rPr>
                      <w:kern w:val="20"/>
                    </w:rPr>
                    <w:t>InitialPopulation</w:t>
                  </w:r>
                </w:p>
              </w:tc>
              <w:tc>
                <w:tcPr>
                  <w:tcW w:w="284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5F5C4FB" w14:textId="77777777" w:rsidR="00B01AA3" w:rsidRPr="005D4222" w:rsidRDefault="00B01AA3" w:rsidP="00A53E8C">
                  <w:pPr>
                    <w:pStyle w:val="TableText"/>
                    <w:spacing w:before="40" w:after="40"/>
                    <w:rPr>
                      <w:kern w:val="20"/>
                    </w:rPr>
                  </w:pPr>
                  <w:r w:rsidRPr="005D4222">
                    <w:rPr>
                      <w:kern w:val="20"/>
                    </w:rPr>
                    <w:t>Repeat per Metric</w:t>
                  </w:r>
                </w:p>
              </w:tc>
            </w:tr>
            <w:tr w:rsidR="00B01AA3" w:rsidRPr="005D4222" w14:paraId="31DAAD9A" w14:textId="77777777" w:rsidTr="00AF2DA4">
              <w:tc>
                <w:tcPr>
                  <w:tcW w:w="152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4C661B8" w14:textId="77777777" w:rsidR="00B01AA3" w:rsidRPr="005D4222" w:rsidRDefault="00B01AA3" w:rsidP="00A53E8C">
                  <w:pPr>
                    <w:pStyle w:val="TableText"/>
                    <w:spacing w:before="40" w:after="40"/>
                    <w:rPr>
                      <w:kern w:val="20"/>
                    </w:rPr>
                  </w:pPr>
                  <w:r w:rsidRPr="005D4222">
                    <w:rPr>
                      <w:kern w:val="20"/>
                    </w:rPr>
                    <w:t>FollowUp</w:t>
                  </w:r>
                </w:p>
              </w:tc>
              <w:tc>
                <w:tcPr>
                  <w:tcW w:w="3001" w:type="dxa"/>
                  <w:tcBorders>
                    <w:top w:val="single" w:sz="4" w:space="0" w:color="auto"/>
                    <w:left w:val="single" w:sz="4" w:space="0" w:color="auto"/>
                    <w:bottom w:val="single" w:sz="4" w:space="0" w:color="auto"/>
                    <w:right w:val="single" w:sz="4" w:space="0" w:color="auto"/>
                  </w:tcBorders>
                  <w:noWrap/>
                  <w:vAlign w:val="center"/>
                  <w:hideMark/>
                </w:tcPr>
                <w:p w14:paraId="699F83C4" w14:textId="77777777" w:rsidR="00B01AA3" w:rsidRPr="005D4222" w:rsidRDefault="00B01AA3" w:rsidP="00A53E8C">
                  <w:pPr>
                    <w:pStyle w:val="TableText"/>
                    <w:spacing w:before="40" w:after="40"/>
                    <w:rPr>
                      <w:kern w:val="20"/>
                    </w:rPr>
                  </w:pPr>
                  <w:r w:rsidRPr="005D4222">
                    <w:rPr>
                      <w:kern w:val="20"/>
                    </w:rPr>
                    <w:t>Exclusions</w:t>
                  </w:r>
                </w:p>
              </w:tc>
              <w:tc>
                <w:tcPr>
                  <w:tcW w:w="2843" w:type="dxa"/>
                  <w:tcBorders>
                    <w:top w:val="single" w:sz="4" w:space="0" w:color="auto"/>
                    <w:left w:val="single" w:sz="4" w:space="0" w:color="auto"/>
                    <w:bottom w:val="single" w:sz="4" w:space="0" w:color="auto"/>
                    <w:right w:val="single" w:sz="4" w:space="0" w:color="auto"/>
                  </w:tcBorders>
                  <w:vAlign w:val="center"/>
                  <w:hideMark/>
                </w:tcPr>
                <w:p w14:paraId="278EF1B0" w14:textId="77777777" w:rsidR="00B01AA3" w:rsidRPr="005D4222" w:rsidRDefault="00B01AA3" w:rsidP="00A53E8C">
                  <w:pPr>
                    <w:pStyle w:val="TableText"/>
                    <w:spacing w:before="40" w:after="40"/>
                    <w:rPr>
                      <w:kern w:val="20"/>
                    </w:rPr>
                  </w:pPr>
                  <w:r w:rsidRPr="005D4222">
                    <w:rPr>
                      <w:kern w:val="20"/>
                    </w:rPr>
                    <w:t>Repeat per Metric</w:t>
                  </w:r>
                </w:p>
              </w:tc>
            </w:tr>
            <w:tr w:rsidR="00B01AA3" w:rsidRPr="005D4222" w14:paraId="0B2FFC2F" w14:textId="77777777" w:rsidTr="00AF2DA4">
              <w:tc>
                <w:tcPr>
                  <w:tcW w:w="1521" w:type="dxa"/>
                  <w:tcBorders>
                    <w:top w:val="single" w:sz="4" w:space="0" w:color="auto"/>
                    <w:left w:val="nil"/>
                    <w:bottom w:val="nil"/>
                    <w:right w:val="single" w:sz="4" w:space="0" w:color="auto"/>
                  </w:tcBorders>
                  <w:shd w:val="clear" w:color="auto" w:fill="FFFFFF"/>
                  <w:noWrap/>
                  <w:vAlign w:val="center"/>
                  <w:hideMark/>
                </w:tcPr>
                <w:p w14:paraId="2D42BD6B" w14:textId="77777777" w:rsidR="00B01AA3" w:rsidRPr="005D4222" w:rsidRDefault="00B01AA3" w:rsidP="00A53E8C">
                  <w:pPr>
                    <w:spacing w:before="40" w:after="40"/>
                    <w:rPr>
                      <w:kern w:val="20"/>
                    </w:rPr>
                  </w:pPr>
                </w:p>
              </w:tc>
              <w:tc>
                <w:tcPr>
                  <w:tcW w:w="3001" w:type="dxa"/>
                  <w:tcBorders>
                    <w:top w:val="single" w:sz="4" w:space="0" w:color="auto"/>
                    <w:left w:val="single" w:sz="4" w:space="0" w:color="auto"/>
                    <w:bottom w:val="single" w:sz="4" w:space="0" w:color="auto"/>
                    <w:right w:val="single" w:sz="4" w:space="0" w:color="auto"/>
                  </w:tcBorders>
                  <w:noWrap/>
                  <w:vAlign w:val="center"/>
                  <w:hideMark/>
                </w:tcPr>
                <w:p w14:paraId="74698EDB" w14:textId="77777777" w:rsidR="00B01AA3" w:rsidRPr="005D4222" w:rsidRDefault="00B01AA3" w:rsidP="00A53E8C">
                  <w:pPr>
                    <w:pStyle w:val="TableText"/>
                    <w:spacing w:before="40" w:after="40"/>
                    <w:rPr>
                      <w:kern w:val="20"/>
                    </w:rPr>
                  </w:pPr>
                  <w:r w:rsidRPr="005D4222">
                    <w:rPr>
                      <w:kern w:val="20"/>
                    </w:rPr>
                    <w:t>Denominator</w:t>
                  </w:r>
                </w:p>
              </w:tc>
              <w:tc>
                <w:tcPr>
                  <w:tcW w:w="2843" w:type="dxa"/>
                  <w:tcBorders>
                    <w:top w:val="single" w:sz="4" w:space="0" w:color="auto"/>
                    <w:left w:val="single" w:sz="4" w:space="0" w:color="auto"/>
                    <w:bottom w:val="single" w:sz="4" w:space="0" w:color="auto"/>
                    <w:right w:val="single" w:sz="4" w:space="0" w:color="auto"/>
                  </w:tcBorders>
                  <w:vAlign w:val="center"/>
                  <w:hideMark/>
                </w:tcPr>
                <w:p w14:paraId="109A515C" w14:textId="77777777" w:rsidR="00B01AA3" w:rsidRPr="005D4222" w:rsidRDefault="00B01AA3" w:rsidP="00A53E8C">
                  <w:pPr>
                    <w:pStyle w:val="TableText"/>
                    <w:spacing w:before="40" w:after="40"/>
                    <w:rPr>
                      <w:kern w:val="20"/>
                    </w:rPr>
                  </w:pPr>
                  <w:r w:rsidRPr="005D4222">
                    <w:rPr>
                      <w:kern w:val="20"/>
                    </w:rPr>
                    <w:t>For each Metric</w:t>
                  </w:r>
                </w:p>
              </w:tc>
            </w:tr>
            <w:tr w:rsidR="00B01AA3" w:rsidRPr="005D4222" w14:paraId="1A9B1382" w14:textId="77777777" w:rsidTr="00AF2DA4">
              <w:tc>
                <w:tcPr>
                  <w:tcW w:w="1521" w:type="dxa"/>
                  <w:tcBorders>
                    <w:top w:val="nil"/>
                    <w:left w:val="nil"/>
                    <w:bottom w:val="nil"/>
                    <w:right w:val="single" w:sz="4" w:space="0" w:color="auto"/>
                  </w:tcBorders>
                  <w:shd w:val="clear" w:color="auto" w:fill="FFFFFF"/>
                  <w:noWrap/>
                  <w:vAlign w:val="center"/>
                  <w:hideMark/>
                </w:tcPr>
                <w:p w14:paraId="4AEA4EAC" w14:textId="77777777" w:rsidR="00B01AA3" w:rsidRPr="005D4222" w:rsidRDefault="00B01AA3" w:rsidP="00A53E8C">
                  <w:pPr>
                    <w:pStyle w:val="TableText"/>
                    <w:spacing w:before="40" w:after="40"/>
                    <w:rPr>
                      <w:kern w:val="20"/>
                    </w:rPr>
                  </w:pPr>
                </w:p>
              </w:tc>
              <w:tc>
                <w:tcPr>
                  <w:tcW w:w="300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9D8EDC9" w14:textId="77777777" w:rsidR="00B01AA3" w:rsidRPr="005D4222" w:rsidRDefault="00B01AA3" w:rsidP="00A53E8C">
                  <w:pPr>
                    <w:pStyle w:val="TableText"/>
                    <w:spacing w:before="40" w:after="40"/>
                    <w:rPr>
                      <w:kern w:val="20"/>
                    </w:rPr>
                  </w:pPr>
                  <w:r w:rsidRPr="005D4222">
                    <w:rPr>
                      <w:kern w:val="20"/>
                    </w:rPr>
                    <w:t>Numerator</w:t>
                  </w:r>
                </w:p>
              </w:tc>
              <w:tc>
                <w:tcPr>
                  <w:tcW w:w="284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226EE92" w14:textId="77777777" w:rsidR="00B01AA3" w:rsidRPr="005D4222" w:rsidRDefault="00B01AA3" w:rsidP="00A53E8C">
                  <w:pPr>
                    <w:pStyle w:val="TableText"/>
                    <w:spacing w:before="40" w:after="40"/>
                    <w:rPr>
                      <w:kern w:val="20"/>
                    </w:rPr>
                  </w:pPr>
                  <w:r w:rsidRPr="005D4222">
                    <w:rPr>
                      <w:kern w:val="20"/>
                    </w:rPr>
                    <w:t>For each Metric</w:t>
                  </w:r>
                </w:p>
              </w:tc>
            </w:tr>
            <w:tr w:rsidR="00B01AA3" w:rsidRPr="005D4222" w14:paraId="4807F4BE" w14:textId="77777777" w:rsidTr="00AF2DA4">
              <w:tc>
                <w:tcPr>
                  <w:tcW w:w="1521" w:type="dxa"/>
                  <w:shd w:val="clear" w:color="auto" w:fill="FFFFFF"/>
                  <w:noWrap/>
                  <w:vAlign w:val="center"/>
                  <w:hideMark/>
                </w:tcPr>
                <w:p w14:paraId="4A482C1B" w14:textId="77777777" w:rsidR="00B01AA3" w:rsidRPr="005D4222" w:rsidRDefault="00B01AA3" w:rsidP="00A53E8C">
                  <w:pPr>
                    <w:pStyle w:val="TableText"/>
                    <w:spacing w:before="40" w:after="40"/>
                    <w:rPr>
                      <w:kern w:val="20"/>
                    </w:rPr>
                  </w:pPr>
                  <w:r w:rsidRPr="005D4222">
                    <w:rPr>
                      <w:kern w:val="20"/>
                    </w:rPr>
                    <w:t xml:space="preserve"> </w:t>
                  </w:r>
                </w:p>
              </w:tc>
              <w:tc>
                <w:tcPr>
                  <w:tcW w:w="3001"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DD0E565" w14:textId="77777777" w:rsidR="00B01AA3" w:rsidRPr="005D4222" w:rsidRDefault="00B01AA3" w:rsidP="00A53E8C">
                  <w:pPr>
                    <w:pStyle w:val="TableText"/>
                    <w:spacing w:before="40" w:after="40"/>
                    <w:rPr>
                      <w:kern w:val="20"/>
                    </w:rPr>
                  </w:pPr>
                  <w:r w:rsidRPr="005D4222">
                    <w:rPr>
                      <w:kern w:val="20"/>
                    </w:rPr>
                    <w:t>Rate</w:t>
                  </w:r>
                </w:p>
              </w:tc>
              <w:tc>
                <w:tcPr>
                  <w:tcW w:w="2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FD2882" w14:textId="77777777" w:rsidR="00B01AA3" w:rsidRPr="005D4222" w:rsidRDefault="00B01AA3" w:rsidP="00A53E8C">
                  <w:pPr>
                    <w:pStyle w:val="TableText"/>
                    <w:spacing w:before="40" w:after="40"/>
                    <w:rPr>
                      <w:kern w:val="20"/>
                    </w:rPr>
                  </w:pPr>
                  <w:r w:rsidRPr="005D4222">
                    <w:rPr>
                      <w:kern w:val="20"/>
                    </w:rPr>
                    <w:t>(Percent)</w:t>
                  </w:r>
                </w:p>
              </w:tc>
            </w:tr>
          </w:tbl>
          <w:p w14:paraId="7444FDFA" w14:textId="3C7F5B3B" w:rsidR="00B01AA3" w:rsidRPr="005D4222" w:rsidRDefault="00B01AA3" w:rsidP="000B5FEC">
            <w:pPr>
              <w:pStyle w:val="Heading3"/>
              <w:spacing w:before="120"/>
            </w:pPr>
            <w:r w:rsidRPr="005D4222">
              <w:t xml:space="preserve">Table PDS-E-B-1/2: Data Elements for Postpartum Depression Screening and Follow-Up: </w:t>
            </w:r>
            <w:r w:rsidR="00B51CDC" w:rsidRPr="005D4222">
              <w:t>Stratifications</w:t>
            </w:r>
            <w:r w:rsidRPr="005D4222">
              <w:t xml:space="preserve"> by Race </w:t>
            </w:r>
          </w:p>
          <w:tbl>
            <w:tblPr>
              <w:tblW w:w="7369" w:type="dxa"/>
              <w:tblInd w:w="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520"/>
              <w:gridCol w:w="2790"/>
              <w:gridCol w:w="1530"/>
              <w:gridCol w:w="1529"/>
            </w:tblGrid>
            <w:tr w:rsidR="00B01AA3" w:rsidRPr="005D4222" w14:paraId="6EF3EFEA" w14:textId="77777777" w:rsidTr="00AF2DA4">
              <w:trPr>
                <w:trHeight w:val="235"/>
              </w:trPr>
              <w:tc>
                <w:tcPr>
                  <w:tcW w:w="1520" w:type="dxa"/>
                  <w:tcBorders>
                    <w:top w:val="single" w:sz="6" w:space="0" w:color="auto"/>
                    <w:left w:val="single" w:sz="6" w:space="0" w:color="auto"/>
                    <w:bottom w:val="single" w:sz="6" w:space="0" w:color="auto"/>
                    <w:right w:val="single" w:sz="4" w:space="0" w:color="FFFFFF" w:themeColor="background1"/>
                  </w:tcBorders>
                  <w:shd w:val="clear" w:color="auto" w:fill="000000"/>
                  <w:tcMar>
                    <w:top w:w="0" w:type="dxa"/>
                    <w:left w:w="86" w:type="dxa"/>
                    <w:bottom w:w="0" w:type="dxa"/>
                    <w:right w:w="86" w:type="dxa"/>
                  </w:tcMar>
                  <w:vAlign w:val="bottom"/>
                  <w:hideMark/>
                </w:tcPr>
                <w:p w14:paraId="15D061AD" w14:textId="77777777" w:rsidR="00B01AA3" w:rsidRPr="005D4222" w:rsidRDefault="00B01AA3" w:rsidP="00A53E8C">
                  <w:pPr>
                    <w:pStyle w:val="TableHead"/>
                    <w:spacing w:before="40" w:after="40"/>
                    <w:rPr>
                      <w:rFonts w:ascii="Times New Roman" w:hAnsi="Times New Roman"/>
                      <w:color w:val="FFFFFF"/>
                      <w:kern w:val="20"/>
                      <w:sz w:val="24"/>
                      <w:szCs w:val="24"/>
                    </w:rPr>
                  </w:pPr>
                  <w:r w:rsidRPr="005D4222">
                    <w:rPr>
                      <w:kern w:val="20"/>
                    </w:rPr>
                    <w:t>Metric</w:t>
                  </w:r>
                </w:p>
              </w:tc>
              <w:tc>
                <w:tcPr>
                  <w:tcW w:w="2790" w:type="dxa"/>
                  <w:tcBorders>
                    <w:top w:val="single" w:sz="6" w:space="0" w:color="auto"/>
                    <w:left w:val="single" w:sz="4" w:space="0" w:color="FFFFFF" w:themeColor="background1"/>
                    <w:bottom w:val="single" w:sz="6" w:space="0" w:color="auto"/>
                    <w:right w:val="single" w:sz="6" w:space="0" w:color="FFFFFF"/>
                  </w:tcBorders>
                  <w:shd w:val="clear" w:color="auto" w:fill="000000"/>
                  <w:tcMar>
                    <w:top w:w="0" w:type="dxa"/>
                    <w:left w:w="86" w:type="dxa"/>
                    <w:bottom w:w="0" w:type="dxa"/>
                    <w:right w:w="86" w:type="dxa"/>
                  </w:tcMar>
                  <w:vAlign w:val="bottom"/>
                  <w:hideMark/>
                </w:tcPr>
                <w:p w14:paraId="763FD514" w14:textId="77777777" w:rsidR="00B01AA3" w:rsidRPr="005D4222" w:rsidRDefault="00B01AA3" w:rsidP="00A53E8C">
                  <w:pPr>
                    <w:pStyle w:val="TableHead"/>
                    <w:spacing w:before="40" w:after="40"/>
                    <w:rPr>
                      <w:rFonts w:ascii="Times New Roman" w:hAnsi="Times New Roman"/>
                      <w:color w:val="FFFFFF"/>
                      <w:kern w:val="20"/>
                      <w:sz w:val="24"/>
                      <w:szCs w:val="24"/>
                    </w:rPr>
                  </w:pPr>
                  <w:r w:rsidRPr="005D4222">
                    <w:rPr>
                      <w:kern w:val="20"/>
                    </w:rPr>
                    <w:t>Race</w:t>
                  </w:r>
                </w:p>
              </w:tc>
              <w:tc>
                <w:tcPr>
                  <w:tcW w:w="1530" w:type="dxa"/>
                  <w:tcBorders>
                    <w:top w:val="single" w:sz="6" w:space="0" w:color="auto"/>
                    <w:left w:val="single" w:sz="6" w:space="0" w:color="FFFFFF"/>
                    <w:bottom w:val="single" w:sz="6" w:space="0" w:color="auto"/>
                    <w:right w:val="single" w:sz="6" w:space="0" w:color="FFFFFF"/>
                  </w:tcBorders>
                  <w:shd w:val="clear" w:color="auto" w:fill="000000"/>
                  <w:tcMar>
                    <w:top w:w="0" w:type="dxa"/>
                    <w:left w:w="86" w:type="dxa"/>
                    <w:bottom w:w="0" w:type="dxa"/>
                    <w:right w:w="86" w:type="dxa"/>
                  </w:tcMar>
                  <w:vAlign w:val="bottom"/>
                  <w:hideMark/>
                </w:tcPr>
                <w:p w14:paraId="09DE590E" w14:textId="77777777" w:rsidR="00B01AA3" w:rsidRPr="005D4222" w:rsidRDefault="00B01AA3" w:rsidP="00A53E8C">
                  <w:pPr>
                    <w:pStyle w:val="TableHead"/>
                    <w:spacing w:before="40" w:after="40"/>
                    <w:rPr>
                      <w:rFonts w:ascii="Times New Roman" w:hAnsi="Times New Roman"/>
                      <w:color w:val="FFFFFF"/>
                      <w:kern w:val="20"/>
                      <w:sz w:val="24"/>
                      <w:szCs w:val="24"/>
                    </w:rPr>
                  </w:pPr>
                  <w:r w:rsidRPr="005D4222">
                    <w:rPr>
                      <w:kern w:val="20"/>
                    </w:rPr>
                    <w:t>Data Element</w:t>
                  </w:r>
                </w:p>
              </w:tc>
              <w:tc>
                <w:tcPr>
                  <w:tcW w:w="1529" w:type="dxa"/>
                  <w:tcBorders>
                    <w:top w:val="single" w:sz="6" w:space="0" w:color="auto"/>
                    <w:left w:val="single" w:sz="6" w:space="0" w:color="FFFFFF"/>
                    <w:bottom w:val="single" w:sz="6" w:space="0" w:color="auto"/>
                    <w:right w:val="single" w:sz="6" w:space="0" w:color="auto"/>
                  </w:tcBorders>
                  <w:shd w:val="clear" w:color="auto" w:fill="000000"/>
                  <w:tcMar>
                    <w:top w:w="0" w:type="dxa"/>
                    <w:left w:w="86" w:type="dxa"/>
                    <w:bottom w:w="0" w:type="dxa"/>
                    <w:right w:w="86" w:type="dxa"/>
                  </w:tcMar>
                  <w:vAlign w:val="bottom"/>
                  <w:hideMark/>
                </w:tcPr>
                <w:p w14:paraId="320B1A12" w14:textId="77777777" w:rsidR="00B01AA3" w:rsidRPr="005D4222" w:rsidRDefault="00B01AA3" w:rsidP="00A53E8C">
                  <w:pPr>
                    <w:pStyle w:val="TableHead"/>
                    <w:spacing w:before="40" w:after="40"/>
                    <w:rPr>
                      <w:rFonts w:ascii="Times New Roman" w:hAnsi="Times New Roman"/>
                      <w:color w:val="FFFFFF"/>
                      <w:kern w:val="20"/>
                      <w:sz w:val="24"/>
                      <w:szCs w:val="24"/>
                    </w:rPr>
                  </w:pPr>
                  <w:r w:rsidRPr="005D4222">
                    <w:rPr>
                      <w:kern w:val="20"/>
                    </w:rPr>
                    <w:t>Reporting Instructions</w:t>
                  </w:r>
                </w:p>
              </w:tc>
            </w:tr>
            <w:tr w:rsidR="00B01AA3" w:rsidRPr="005D4222" w14:paraId="392F9011" w14:textId="77777777" w:rsidTr="00AF2DA4">
              <w:trPr>
                <w:trHeight w:val="235"/>
              </w:trPr>
              <w:tc>
                <w:tcPr>
                  <w:tcW w:w="152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1F47D9DF"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 xml:space="preserve">Screening </w:t>
                  </w:r>
                </w:p>
              </w:tc>
              <w:tc>
                <w:tcPr>
                  <w:tcW w:w="279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227E0F37"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 xml:space="preserve">AmericanIndianOrAlaskaNative </w:t>
                  </w:r>
                </w:p>
              </w:tc>
              <w:tc>
                <w:tcPr>
                  <w:tcW w:w="153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591A643B"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 xml:space="preserve">InitialPopulation </w:t>
                  </w:r>
                </w:p>
              </w:tc>
              <w:tc>
                <w:tcPr>
                  <w:tcW w:w="1529" w:type="dxa"/>
                  <w:tcBorders>
                    <w:top w:val="nil"/>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64840E90"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For each Stratification, repeat per Metric</w:t>
                  </w:r>
                </w:p>
              </w:tc>
            </w:tr>
            <w:tr w:rsidR="00B01AA3" w:rsidRPr="005D4222" w14:paraId="646B7F3B" w14:textId="77777777" w:rsidTr="00AF2DA4">
              <w:trPr>
                <w:trHeight w:val="235"/>
              </w:trPr>
              <w:tc>
                <w:tcPr>
                  <w:tcW w:w="152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70B6A946"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 xml:space="preserve">FollowUp </w:t>
                  </w:r>
                </w:p>
              </w:tc>
              <w:tc>
                <w:tcPr>
                  <w:tcW w:w="279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2A88DF1D"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Asian</w:t>
                  </w:r>
                </w:p>
              </w:tc>
              <w:tc>
                <w:tcPr>
                  <w:tcW w:w="153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5FE4189A"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 xml:space="preserve">Exclusions </w:t>
                  </w:r>
                </w:p>
              </w:tc>
              <w:tc>
                <w:tcPr>
                  <w:tcW w:w="1529" w:type="dxa"/>
                  <w:tcBorders>
                    <w:top w:val="nil"/>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4C90A735"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For each Stratification, repeat per Metric</w:t>
                  </w:r>
                </w:p>
              </w:tc>
            </w:tr>
            <w:tr w:rsidR="00B01AA3" w:rsidRPr="005D4222" w14:paraId="1C9DCBD0" w14:textId="77777777" w:rsidTr="00AF2DA4">
              <w:trPr>
                <w:trHeight w:val="235"/>
              </w:trPr>
              <w:tc>
                <w:tcPr>
                  <w:tcW w:w="1520" w:type="dxa"/>
                  <w:tcBorders>
                    <w:top w:val="single" w:sz="6" w:space="0" w:color="auto"/>
                    <w:left w:val="nil"/>
                    <w:bottom w:val="nil"/>
                    <w:right w:val="single" w:sz="6" w:space="0" w:color="auto"/>
                  </w:tcBorders>
                  <w:shd w:val="clear" w:color="auto" w:fill="FFFFFF"/>
                  <w:tcMar>
                    <w:top w:w="0" w:type="dxa"/>
                    <w:left w:w="86" w:type="dxa"/>
                    <w:bottom w:w="0" w:type="dxa"/>
                    <w:right w:w="86" w:type="dxa"/>
                  </w:tcMar>
                  <w:hideMark/>
                </w:tcPr>
                <w:p w14:paraId="0AFCF89E"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 xml:space="preserve"> </w:t>
                  </w:r>
                </w:p>
              </w:tc>
              <w:tc>
                <w:tcPr>
                  <w:tcW w:w="279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25DA7461" w14:textId="77777777" w:rsidR="00B01AA3" w:rsidRPr="005D4222" w:rsidRDefault="00B01AA3" w:rsidP="00A53E8C">
                  <w:pPr>
                    <w:pStyle w:val="TableText"/>
                    <w:spacing w:before="40" w:after="40"/>
                    <w:rPr>
                      <w:kern w:val="20"/>
                    </w:rPr>
                  </w:pPr>
                  <w:r w:rsidRPr="005D4222">
                    <w:rPr>
                      <w:kern w:val="20"/>
                    </w:rPr>
                    <w:t xml:space="preserve">BlackOrAfricanAmerican </w:t>
                  </w:r>
                </w:p>
              </w:tc>
              <w:tc>
                <w:tcPr>
                  <w:tcW w:w="1530" w:type="dxa"/>
                  <w:tcBorders>
                    <w:top w:val="nil"/>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48AF82CE"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 xml:space="preserve">Denominator </w:t>
                  </w:r>
                </w:p>
              </w:tc>
              <w:tc>
                <w:tcPr>
                  <w:tcW w:w="1529" w:type="dxa"/>
                  <w:tcBorders>
                    <w:top w:val="nil"/>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103A0350"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 xml:space="preserve">For each Stratification, repeat per Metric </w:t>
                  </w:r>
                </w:p>
              </w:tc>
            </w:tr>
            <w:tr w:rsidR="00B01AA3" w:rsidRPr="005D4222" w14:paraId="5F14C136" w14:textId="77777777" w:rsidTr="00AF2DA4">
              <w:trPr>
                <w:trHeight w:val="235"/>
              </w:trPr>
              <w:tc>
                <w:tcPr>
                  <w:tcW w:w="1520" w:type="dxa"/>
                  <w:tcBorders>
                    <w:top w:val="nil"/>
                    <w:left w:val="nil"/>
                    <w:bottom w:val="nil"/>
                    <w:right w:val="single" w:sz="6" w:space="0" w:color="auto"/>
                  </w:tcBorders>
                  <w:shd w:val="clear" w:color="auto" w:fill="FFFFFF"/>
                  <w:tcMar>
                    <w:top w:w="0" w:type="dxa"/>
                    <w:left w:w="86" w:type="dxa"/>
                    <w:bottom w:w="0" w:type="dxa"/>
                    <w:right w:w="86" w:type="dxa"/>
                  </w:tcMar>
                  <w:hideMark/>
                </w:tcPr>
                <w:p w14:paraId="6CA0A36E"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 xml:space="preserve"> </w:t>
                  </w:r>
                </w:p>
              </w:tc>
              <w:tc>
                <w:tcPr>
                  <w:tcW w:w="279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tcPr>
                <w:p w14:paraId="69AAADFE"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MiddleEasternOrNorthAfrican</w:t>
                  </w:r>
                </w:p>
              </w:tc>
              <w:tc>
                <w:tcPr>
                  <w:tcW w:w="153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53E1CD01"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 xml:space="preserve">Numerator </w:t>
                  </w:r>
                </w:p>
              </w:tc>
              <w:tc>
                <w:tcPr>
                  <w:tcW w:w="1529" w:type="dxa"/>
                  <w:tcBorders>
                    <w:top w:val="nil"/>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18827024"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 xml:space="preserve">For each Metric and Stratification </w:t>
                  </w:r>
                </w:p>
              </w:tc>
            </w:tr>
            <w:tr w:rsidR="00B01AA3" w:rsidRPr="005D4222" w14:paraId="4E404BA2" w14:textId="77777777" w:rsidTr="00AF2DA4">
              <w:trPr>
                <w:trHeight w:val="235"/>
              </w:trPr>
              <w:tc>
                <w:tcPr>
                  <w:tcW w:w="1520" w:type="dxa"/>
                  <w:tcBorders>
                    <w:top w:val="nil"/>
                    <w:left w:val="nil"/>
                    <w:bottom w:val="nil"/>
                    <w:right w:val="single" w:sz="6" w:space="0" w:color="auto"/>
                  </w:tcBorders>
                  <w:shd w:val="clear" w:color="auto" w:fill="FFFFFF"/>
                  <w:tcMar>
                    <w:top w:w="0" w:type="dxa"/>
                    <w:left w:w="86" w:type="dxa"/>
                    <w:bottom w:w="0" w:type="dxa"/>
                    <w:right w:w="86" w:type="dxa"/>
                  </w:tcMar>
                  <w:hideMark/>
                </w:tcPr>
                <w:p w14:paraId="3A450DEF"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 xml:space="preserve"> </w:t>
                  </w:r>
                </w:p>
              </w:tc>
              <w:tc>
                <w:tcPr>
                  <w:tcW w:w="279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06345116"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 xml:space="preserve">NativeHawaiianOrPacificIslander </w:t>
                  </w:r>
                </w:p>
              </w:tc>
              <w:tc>
                <w:tcPr>
                  <w:tcW w:w="1530" w:type="dxa"/>
                  <w:tcBorders>
                    <w:top w:val="single" w:sz="6" w:space="0" w:color="auto"/>
                    <w:left w:val="single" w:sz="6" w:space="0" w:color="auto"/>
                    <w:bottom w:val="single" w:sz="6" w:space="0" w:color="auto"/>
                    <w:right w:val="single" w:sz="6" w:space="0" w:color="auto"/>
                  </w:tcBorders>
                  <w:shd w:val="clear" w:color="auto" w:fill="D9D9D9"/>
                  <w:tcMar>
                    <w:top w:w="0" w:type="dxa"/>
                    <w:left w:w="86" w:type="dxa"/>
                    <w:bottom w:w="0" w:type="dxa"/>
                    <w:right w:w="86" w:type="dxa"/>
                  </w:tcMar>
                  <w:hideMark/>
                </w:tcPr>
                <w:p w14:paraId="20176281"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 xml:space="preserve">Rate </w:t>
                  </w:r>
                </w:p>
              </w:tc>
              <w:tc>
                <w:tcPr>
                  <w:tcW w:w="1529" w:type="dxa"/>
                  <w:tcBorders>
                    <w:top w:val="single" w:sz="6" w:space="0" w:color="auto"/>
                    <w:left w:val="single" w:sz="6" w:space="0" w:color="auto"/>
                    <w:bottom w:val="single" w:sz="6" w:space="0" w:color="auto"/>
                    <w:right w:val="single" w:sz="6" w:space="0" w:color="auto"/>
                  </w:tcBorders>
                  <w:shd w:val="clear" w:color="auto" w:fill="D9D9D9"/>
                  <w:tcMar>
                    <w:top w:w="0" w:type="dxa"/>
                    <w:left w:w="86" w:type="dxa"/>
                    <w:bottom w:w="0" w:type="dxa"/>
                    <w:right w:w="86" w:type="dxa"/>
                  </w:tcMar>
                  <w:hideMark/>
                </w:tcPr>
                <w:p w14:paraId="3C2ABA77"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 xml:space="preserve">(Percent) </w:t>
                  </w:r>
                </w:p>
              </w:tc>
            </w:tr>
            <w:tr w:rsidR="00B01AA3" w:rsidRPr="005D4222" w14:paraId="2B30447A" w14:textId="77777777" w:rsidTr="00AF2DA4">
              <w:trPr>
                <w:trHeight w:val="235"/>
              </w:trPr>
              <w:tc>
                <w:tcPr>
                  <w:tcW w:w="1520" w:type="dxa"/>
                  <w:tcBorders>
                    <w:top w:val="nil"/>
                    <w:left w:val="nil"/>
                    <w:bottom w:val="nil"/>
                    <w:right w:val="single" w:sz="6" w:space="0" w:color="auto"/>
                  </w:tcBorders>
                  <w:shd w:val="clear" w:color="auto" w:fill="FFFFFF"/>
                  <w:tcMar>
                    <w:top w:w="0" w:type="dxa"/>
                    <w:left w:w="86" w:type="dxa"/>
                    <w:bottom w:w="0" w:type="dxa"/>
                    <w:right w:w="86" w:type="dxa"/>
                  </w:tcMar>
                  <w:hideMark/>
                </w:tcPr>
                <w:p w14:paraId="13A26EFB"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 xml:space="preserve"> </w:t>
                  </w:r>
                </w:p>
              </w:tc>
              <w:tc>
                <w:tcPr>
                  <w:tcW w:w="279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59884097"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 xml:space="preserve">White </w:t>
                  </w:r>
                </w:p>
              </w:tc>
              <w:tc>
                <w:tcPr>
                  <w:tcW w:w="1530" w:type="dxa"/>
                  <w:tcBorders>
                    <w:top w:val="single" w:sz="6" w:space="0" w:color="auto"/>
                    <w:left w:val="nil"/>
                    <w:bottom w:val="nil"/>
                    <w:right w:val="nil"/>
                  </w:tcBorders>
                  <w:tcMar>
                    <w:top w:w="0" w:type="dxa"/>
                    <w:left w:w="86" w:type="dxa"/>
                    <w:bottom w:w="0" w:type="dxa"/>
                    <w:right w:w="86" w:type="dxa"/>
                  </w:tcMar>
                  <w:hideMark/>
                </w:tcPr>
                <w:p w14:paraId="5B22BD8A"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 xml:space="preserve"> </w:t>
                  </w:r>
                </w:p>
              </w:tc>
              <w:tc>
                <w:tcPr>
                  <w:tcW w:w="1529" w:type="dxa"/>
                  <w:tcBorders>
                    <w:top w:val="single" w:sz="6" w:space="0" w:color="auto"/>
                    <w:left w:val="nil"/>
                    <w:bottom w:val="nil"/>
                    <w:right w:val="nil"/>
                  </w:tcBorders>
                  <w:tcMar>
                    <w:top w:w="0" w:type="dxa"/>
                    <w:left w:w="86" w:type="dxa"/>
                    <w:bottom w:w="0" w:type="dxa"/>
                    <w:right w:w="86" w:type="dxa"/>
                  </w:tcMar>
                  <w:hideMark/>
                </w:tcPr>
                <w:p w14:paraId="5ECE4B6C"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 xml:space="preserve"> </w:t>
                  </w:r>
                </w:p>
              </w:tc>
            </w:tr>
            <w:tr w:rsidR="00B01AA3" w:rsidRPr="005D4222" w14:paraId="790080F9" w14:textId="77777777" w:rsidTr="00AF2DA4">
              <w:trPr>
                <w:trHeight w:val="235"/>
              </w:trPr>
              <w:tc>
                <w:tcPr>
                  <w:tcW w:w="1520" w:type="dxa"/>
                  <w:tcBorders>
                    <w:top w:val="nil"/>
                    <w:left w:val="nil"/>
                    <w:bottom w:val="nil"/>
                    <w:right w:val="single" w:sz="6" w:space="0" w:color="auto"/>
                  </w:tcBorders>
                  <w:tcMar>
                    <w:top w:w="0" w:type="dxa"/>
                    <w:left w:w="86" w:type="dxa"/>
                    <w:bottom w:w="0" w:type="dxa"/>
                    <w:right w:w="86" w:type="dxa"/>
                  </w:tcMar>
                  <w:hideMark/>
                </w:tcPr>
                <w:p w14:paraId="75BFD8C7"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 xml:space="preserve"> </w:t>
                  </w:r>
                </w:p>
              </w:tc>
              <w:tc>
                <w:tcPr>
                  <w:tcW w:w="279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5BEC500A"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 xml:space="preserve">SomeOtherRace </w:t>
                  </w:r>
                </w:p>
              </w:tc>
              <w:tc>
                <w:tcPr>
                  <w:tcW w:w="1530" w:type="dxa"/>
                  <w:tcBorders>
                    <w:top w:val="nil"/>
                    <w:left w:val="nil"/>
                    <w:bottom w:val="nil"/>
                    <w:right w:val="nil"/>
                  </w:tcBorders>
                  <w:tcMar>
                    <w:top w:w="0" w:type="dxa"/>
                    <w:left w:w="86" w:type="dxa"/>
                    <w:bottom w:w="0" w:type="dxa"/>
                    <w:right w:w="86" w:type="dxa"/>
                  </w:tcMar>
                  <w:hideMark/>
                </w:tcPr>
                <w:p w14:paraId="13C77251"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 xml:space="preserve"> </w:t>
                  </w:r>
                </w:p>
              </w:tc>
              <w:tc>
                <w:tcPr>
                  <w:tcW w:w="1529" w:type="dxa"/>
                  <w:tcBorders>
                    <w:top w:val="nil"/>
                    <w:left w:val="nil"/>
                    <w:bottom w:val="nil"/>
                    <w:right w:val="nil"/>
                  </w:tcBorders>
                  <w:tcMar>
                    <w:top w:w="0" w:type="dxa"/>
                    <w:left w:w="86" w:type="dxa"/>
                    <w:bottom w:w="0" w:type="dxa"/>
                    <w:right w:w="86" w:type="dxa"/>
                  </w:tcMar>
                  <w:hideMark/>
                </w:tcPr>
                <w:p w14:paraId="6579495E" w14:textId="77777777" w:rsidR="00B01AA3" w:rsidRPr="005D4222" w:rsidRDefault="00B01AA3" w:rsidP="00A53E8C">
                  <w:pPr>
                    <w:pStyle w:val="TableText"/>
                    <w:spacing w:before="40" w:after="40"/>
                    <w:rPr>
                      <w:rFonts w:ascii="Times New Roman" w:hAnsi="Times New Roman"/>
                      <w:kern w:val="20"/>
                      <w:sz w:val="20"/>
                    </w:rPr>
                  </w:pPr>
                  <w:r w:rsidRPr="005D4222">
                    <w:rPr>
                      <w:kern w:val="20"/>
                    </w:rPr>
                    <w:t xml:space="preserve"> </w:t>
                  </w:r>
                </w:p>
              </w:tc>
            </w:tr>
            <w:tr w:rsidR="00B01AA3" w:rsidRPr="005D4222" w14:paraId="402A80AA" w14:textId="77777777" w:rsidTr="00AF2DA4">
              <w:trPr>
                <w:trHeight w:val="235"/>
              </w:trPr>
              <w:tc>
                <w:tcPr>
                  <w:tcW w:w="1520" w:type="dxa"/>
                  <w:tcBorders>
                    <w:top w:val="nil"/>
                    <w:left w:val="nil"/>
                    <w:bottom w:val="nil"/>
                    <w:right w:val="single" w:sz="6" w:space="0" w:color="auto"/>
                  </w:tcBorders>
                  <w:shd w:val="clear" w:color="auto" w:fill="FFFFFF"/>
                  <w:tcMar>
                    <w:top w:w="0" w:type="dxa"/>
                    <w:left w:w="86" w:type="dxa"/>
                    <w:bottom w:w="0" w:type="dxa"/>
                    <w:right w:w="86" w:type="dxa"/>
                  </w:tcMar>
                  <w:hideMark/>
                </w:tcPr>
                <w:p w14:paraId="2360CAE4"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 xml:space="preserve"> </w:t>
                  </w:r>
                </w:p>
              </w:tc>
              <w:tc>
                <w:tcPr>
                  <w:tcW w:w="2790" w:type="dxa"/>
                  <w:tcBorders>
                    <w:top w:val="single" w:sz="6" w:space="0" w:color="auto"/>
                    <w:left w:val="single" w:sz="6" w:space="0" w:color="auto"/>
                    <w:bottom w:val="single" w:sz="6" w:space="0" w:color="auto"/>
                    <w:right w:val="single" w:sz="6" w:space="0" w:color="auto"/>
                  </w:tcBorders>
                  <w:tcMar>
                    <w:top w:w="0" w:type="dxa"/>
                    <w:left w:w="86" w:type="dxa"/>
                    <w:bottom w:w="0" w:type="dxa"/>
                    <w:right w:w="86" w:type="dxa"/>
                  </w:tcMar>
                  <w:hideMark/>
                </w:tcPr>
                <w:p w14:paraId="53545F2C"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 xml:space="preserve">TwoOrMoreRaces </w:t>
                  </w:r>
                </w:p>
              </w:tc>
              <w:tc>
                <w:tcPr>
                  <w:tcW w:w="1530" w:type="dxa"/>
                  <w:tcBorders>
                    <w:top w:val="nil"/>
                    <w:left w:val="nil"/>
                    <w:bottom w:val="nil"/>
                    <w:right w:val="nil"/>
                  </w:tcBorders>
                  <w:shd w:val="clear" w:color="auto" w:fill="FFFFFF"/>
                  <w:tcMar>
                    <w:top w:w="0" w:type="dxa"/>
                    <w:left w:w="86" w:type="dxa"/>
                    <w:bottom w:w="0" w:type="dxa"/>
                    <w:right w:w="86" w:type="dxa"/>
                  </w:tcMar>
                  <w:hideMark/>
                </w:tcPr>
                <w:p w14:paraId="66D40CB9"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 xml:space="preserve"> </w:t>
                  </w:r>
                </w:p>
              </w:tc>
              <w:tc>
                <w:tcPr>
                  <w:tcW w:w="1529" w:type="dxa"/>
                  <w:tcBorders>
                    <w:top w:val="nil"/>
                    <w:left w:val="nil"/>
                    <w:bottom w:val="nil"/>
                    <w:right w:val="nil"/>
                  </w:tcBorders>
                  <w:shd w:val="clear" w:color="auto" w:fill="FFFFFF"/>
                  <w:tcMar>
                    <w:top w:w="0" w:type="dxa"/>
                    <w:left w:w="86" w:type="dxa"/>
                    <w:bottom w:w="0" w:type="dxa"/>
                    <w:right w:w="86" w:type="dxa"/>
                  </w:tcMar>
                  <w:hideMark/>
                </w:tcPr>
                <w:p w14:paraId="6FF90B11"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 xml:space="preserve"> </w:t>
                  </w:r>
                </w:p>
              </w:tc>
            </w:tr>
            <w:tr w:rsidR="00B01AA3" w:rsidRPr="005D4222" w14:paraId="6EE8DA2F" w14:textId="77777777" w:rsidTr="00AF2DA4">
              <w:trPr>
                <w:trHeight w:val="235"/>
              </w:trPr>
              <w:tc>
                <w:tcPr>
                  <w:tcW w:w="1520" w:type="dxa"/>
                  <w:tcBorders>
                    <w:top w:val="nil"/>
                    <w:left w:val="nil"/>
                    <w:bottom w:val="nil"/>
                    <w:right w:val="single" w:sz="6" w:space="0" w:color="auto"/>
                  </w:tcBorders>
                  <w:shd w:val="clear" w:color="auto" w:fill="FFFFFF"/>
                  <w:tcMar>
                    <w:top w:w="0" w:type="dxa"/>
                    <w:left w:w="86" w:type="dxa"/>
                    <w:bottom w:w="0" w:type="dxa"/>
                    <w:right w:w="86" w:type="dxa"/>
                  </w:tcMar>
                  <w:hideMark/>
                </w:tcPr>
                <w:p w14:paraId="3996CC68"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 xml:space="preserve"> </w:t>
                  </w:r>
                </w:p>
              </w:tc>
              <w:tc>
                <w:tcPr>
                  <w:tcW w:w="279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692C72AB"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AskedButNoAnswer</w:t>
                  </w:r>
                </w:p>
              </w:tc>
              <w:tc>
                <w:tcPr>
                  <w:tcW w:w="1530" w:type="dxa"/>
                  <w:tcBorders>
                    <w:top w:val="nil"/>
                    <w:left w:val="nil"/>
                    <w:bottom w:val="nil"/>
                    <w:right w:val="nil"/>
                  </w:tcBorders>
                  <w:shd w:val="clear" w:color="auto" w:fill="FFFFFF"/>
                  <w:tcMar>
                    <w:top w:w="0" w:type="dxa"/>
                    <w:left w:w="86" w:type="dxa"/>
                    <w:bottom w:w="0" w:type="dxa"/>
                    <w:right w:w="86" w:type="dxa"/>
                  </w:tcMar>
                  <w:hideMark/>
                </w:tcPr>
                <w:p w14:paraId="6937EF7F"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 xml:space="preserve"> </w:t>
                  </w:r>
                </w:p>
              </w:tc>
              <w:tc>
                <w:tcPr>
                  <w:tcW w:w="1529" w:type="dxa"/>
                  <w:tcBorders>
                    <w:top w:val="nil"/>
                    <w:left w:val="nil"/>
                    <w:bottom w:val="nil"/>
                    <w:right w:val="nil"/>
                  </w:tcBorders>
                  <w:shd w:val="clear" w:color="auto" w:fill="FFFFFF"/>
                  <w:tcMar>
                    <w:top w:w="0" w:type="dxa"/>
                    <w:left w:w="86" w:type="dxa"/>
                    <w:bottom w:w="0" w:type="dxa"/>
                    <w:right w:w="86" w:type="dxa"/>
                  </w:tcMar>
                  <w:hideMark/>
                </w:tcPr>
                <w:p w14:paraId="21EBD220" w14:textId="77777777" w:rsidR="00B01AA3" w:rsidRPr="005D4222" w:rsidRDefault="00B01AA3" w:rsidP="00A53E8C">
                  <w:pPr>
                    <w:pStyle w:val="TableText"/>
                    <w:spacing w:before="40" w:after="40"/>
                    <w:rPr>
                      <w:rFonts w:ascii="Times New Roman" w:hAnsi="Times New Roman"/>
                      <w:kern w:val="20"/>
                      <w:sz w:val="24"/>
                      <w:szCs w:val="24"/>
                    </w:rPr>
                  </w:pPr>
                  <w:r w:rsidRPr="005D4222">
                    <w:rPr>
                      <w:kern w:val="20"/>
                    </w:rPr>
                    <w:t xml:space="preserve"> </w:t>
                  </w:r>
                </w:p>
              </w:tc>
            </w:tr>
            <w:tr w:rsidR="00B01AA3" w:rsidRPr="005D4222" w14:paraId="382BDB0A" w14:textId="77777777" w:rsidTr="00AF2DA4">
              <w:trPr>
                <w:trHeight w:val="235"/>
              </w:trPr>
              <w:tc>
                <w:tcPr>
                  <w:tcW w:w="1520" w:type="dxa"/>
                  <w:tcBorders>
                    <w:top w:val="nil"/>
                    <w:left w:val="nil"/>
                    <w:bottom w:val="nil"/>
                    <w:right w:val="single" w:sz="6" w:space="0" w:color="auto"/>
                  </w:tcBorders>
                  <w:shd w:val="clear" w:color="auto" w:fill="FFFFFF"/>
                  <w:tcMar>
                    <w:top w:w="0" w:type="dxa"/>
                    <w:left w:w="86" w:type="dxa"/>
                    <w:bottom w:w="0" w:type="dxa"/>
                    <w:right w:w="86" w:type="dxa"/>
                  </w:tcMar>
                </w:tcPr>
                <w:p w14:paraId="76071EA1" w14:textId="77777777" w:rsidR="00B01AA3" w:rsidRPr="005D4222" w:rsidRDefault="00B01AA3" w:rsidP="00A53E8C">
                  <w:pPr>
                    <w:pStyle w:val="TableText"/>
                    <w:spacing w:before="40" w:after="40"/>
                    <w:rPr>
                      <w:kern w:val="20"/>
                    </w:rPr>
                  </w:pPr>
                </w:p>
              </w:tc>
              <w:tc>
                <w:tcPr>
                  <w:tcW w:w="279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tcPr>
                <w:p w14:paraId="0A2EF383" w14:textId="77777777" w:rsidR="00B01AA3" w:rsidRPr="005D4222" w:rsidRDefault="00B01AA3" w:rsidP="00A53E8C">
                  <w:pPr>
                    <w:pStyle w:val="TableText"/>
                    <w:spacing w:before="40" w:after="40"/>
                    <w:rPr>
                      <w:kern w:val="20"/>
                    </w:rPr>
                  </w:pPr>
                  <w:r w:rsidRPr="005D4222">
                    <w:rPr>
                      <w:kern w:val="20"/>
                    </w:rPr>
                    <w:t>Unknown</w:t>
                  </w:r>
                </w:p>
              </w:tc>
              <w:tc>
                <w:tcPr>
                  <w:tcW w:w="1530" w:type="dxa"/>
                  <w:tcBorders>
                    <w:top w:val="nil"/>
                    <w:left w:val="nil"/>
                    <w:bottom w:val="nil"/>
                    <w:right w:val="nil"/>
                  </w:tcBorders>
                  <w:shd w:val="clear" w:color="auto" w:fill="FFFFFF"/>
                  <w:tcMar>
                    <w:top w:w="0" w:type="dxa"/>
                    <w:left w:w="86" w:type="dxa"/>
                    <w:bottom w:w="0" w:type="dxa"/>
                    <w:right w:w="86" w:type="dxa"/>
                  </w:tcMar>
                </w:tcPr>
                <w:p w14:paraId="4640A728" w14:textId="77777777" w:rsidR="00B01AA3" w:rsidRPr="005D4222" w:rsidRDefault="00B01AA3" w:rsidP="00A53E8C">
                  <w:pPr>
                    <w:pStyle w:val="TableText"/>
                    <w:spacing w:before="40" w:after="40"/>
                    <w:rPr>
                      <w:kern w:val="20"/>
                    </w:rPr>
                  </w:pPr>
                </w:p>
              </w:tc>
              <w:tc>
                <w:tcPr>
                  <w:tcW w:w="1529" w:type="dxa"/>
                  <w:tcBorders>
                    <w:top w:val="nil"/>
                    <w:left w:val="nil"/>
                    <w:bottom w:val="nil"/>
                    <w:right w:val="nil"/>
                  </w:tcBorders>
                  <w:shd w:val="clear" w:color="auto" w:fill="FFFFFF"/>
                  <w:tcMar>
                    <w:top w:w="0" w:type="dxa"/>
                    <w:left w:w="86" w:type="dxa"/>
                    <w:bottom w:w="0" w:type="dxa"/>
                    <w:right w:w="86" w:type="dxa"/>
                  </w:tcMar>
                </w:tcPr>
                <w:p w14:paraId="395976B5" w14:textId="77777777" w:rsidR="00B01AA3" w:rsidRPr="005D4222" w:rsidRDefault="00B01AA3" w:rsidP="00A53E8C">
                  <w:pPr>
                    <w:pStyle w:val="TableText"/>
                    <w:spacing w:before="40" w:after="40"/>
                    <w:rPr>
                      <w:kern w:val="20"/>
                    </w:rPr>
                  </w:pPr>
                </w:p>
              </w:tc>
            </w:tr>
          </w:tbl>
          <w:p w14:paraId="2A6B1F65" w14:textId="142CFD76" w:rsidR="00B678FA" w:rsidRPr="005D4222" w:rsidRDefault="00B01AA3" w:rsidP="00B678FA">
            <w:pPr>
              <w:pStyle w:val="Heading3"/>
              <w:spacing w:before="120"/>
            </w:pPr>
            <w:r w:rsidRPr="005D4222">
              <w:rPr>
                <w:b w:val="0"/>
                <w:bCs w:val="0"/>
                <w:i w:val="0"/>
              </w:rPr>
              <w:br w:type="page"/>
            </w:r>
            <w:r w:rsidR="00B678FA" w:rsidRPr="005D4222">
              <w:t>Table PDS-E-C</w:t>
            </w:r>
            <w:r w:rsidR="00B678FA" w:rsidRPr="005D4222">
              <w:rPr>
                <w:strike/>
              </w:rPr>
              <w:t>-</w:t>
            </w:r>
            <w:r w:rsidR="00B678FA" w:rsidRPr="005D4222">
              <w:t xml:space="preserve">1/2: Data Elements for Postpartum Depression Screening and Follow-Up: </w:t>
            </w:r>
            <w:r w:rsidR="00B51CDC" w:rsidRPr="005D4222">
              <w:t>Stratifications</w:t>
            </w:r>
            <w:r w:rsidR="00B678FA" w:rsidRPr="005D4222">
              <w:t xml:space="preserve"> by Ethnicity </w:t>
            </w:r>
          </w:p>
          <w:tbl>
            <w:tblPr>
              <w:tblW w:w="7369" w:type="dxa"/>
              <w:tblInd w:w="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520"/>
              <w:gridCol w:w="2070"/>
              <w:gridCol w:w="1800"/>
              <w:gridCol w:w="1979"/>
            </w:tblGrid>
            <w:tr w:rsidR="00B678FA" w:rsidRPr="005D4222" w14:paraId="1B47197B" w14:textId="77777777" w:rsidTr="00AF2DA4">
              <w:trPr>
                <w:trHeight w:val="220"/>
              </w:trPr>
              <w:tc>
                <w:tcPr>
                  <w:tcW w:w="1520" w:type="dxa"/>
                  <w:tcBorders>
                    <w:top w:val="single" w:sz="6" w:space="0" w:color="auto"/>
                    <w:left w:val="single" w:sz="6" w:space="0" w:color="auto"/>
                    <w:bottom w:val="single" w:sz="6" w:space="0" w:color="auto"/>
                    <w:right w:val="single" w:sz="4" w:space="0" w:color="FFFFFF" w:themeColor="background1"/>
                  </w:tcBorders>
                  <w:shd w:val="clear" w:color="auto" w:fill="000000"/>
                  <w:tcMar>
                    <w:top w:w="0" w:type="dxa"/>
                    <w:left w:w="86" w:type="dxa"/>
                    <w:bottom w:w="0" w:type="dxa"/>
                    <w:right w:w="86" w:type="dxa"/>
                  </w:tcMar>
                  <w:vAlign w:val="bottom"/>
                  <w:hideMark/>
                </w:tcPr>
                <w:p w14:paraId="6AA03B2F" w14:textId="77777777" w:rsidR="00B678FA" w:rsidRPr="005D4222" w:rsidRDefault="00B678FA" w:rsidP="00B678FA">
                  <w:pPr>
                    <w:pStyle w:val="TableHead"/>
                    <w:spacing w:before="40" w:after="40"/>
                    <w:rPr>
                      <w:rFonts w:ascii="Times New Roman" w:hAnsi="Times New Roman"/>
                      <w:kern w:val="20"/>
                      <w:sz w:val="24"/>
                      <w:szCs w:val="24"/>
                    </w:rPr>
                  </w:pPr>
                  <w:r w:rsidRPr="005D4222">
                    <w:rPr>
                      <w:kern w:val="20"/>
                    </w:rPr>
                    <w:t>Metric</w:t>
                  </w:r>
                </w:p>
              </w:tc>
              <w:tc>
                <w:tcPr>
                  <w:tcW w:w="2070" w:type="dxa"/>
                  <w:tcBorders>
                    <w:top w:val="single" w:sz="6" w:space="0" w:color="auto"/>
                    <w:left w:val="single" w:sz="4" w:space="0" w:color="FFFFFF" w:themeColor="background1"/>
                    <w:bottom w:val="single" w:sz="6" w:space="0" w:color="auto"/>
                    <w:right w:val="single" w:sz="6" w:space="0" w:color="FFFFFF"/>
                  </w:tcBorders>
                  <w:shd w:val="clear" w:color="auto" w:fill="000000"/>
                  <w:tcMar>
                    <w:top w:w="0" w:type="dxa"/>
                    <w:left w:w="86" w:type="dxa"/>
                    <w:bottom w:w="0" w:type="dxa"/>
                    <w:right w:w="86" w:type="dxa"/>
                  </w:tcMar>
                  <w:vAlign w:val="bottom"/>
                  <w:hideMark/>
                </w:tcPr>
                <w:p w14:paraId="200B5D95" w14:textId="77777777" w:rsidR="00B678FA" w:rsidRPr="005D4222" w:rsidRDefault="00B678FA" w:rsidP="00B678FA">
                  <w:pPr>
                    <w:pStyle w:val="TableHead"/>
                    <w:spacing w:before="40" w:after="40"/>
                    <w:rPr>
                      <w:rFonts w:ascii="Times New Roman" w:hAnsi="Times New Roman"/>
                      <w:kern w:val="20"/>
                      <w:sz w:val="24"/>
                      <w:szCs w:val="24"/>
                    </w:rPr>
                  </w:pPr>
                  <w:r w:rsidRPr="005D4222">
                    <w:rPr>
                      <w:bCs/>
                      <w:kern w:val="20"/>
                    </w:rPr>
                    <w:t>Ethnicity</w:t>
                  </w:r>
                </w:p>
              </w:tc>
              <w:tc>
                <w:tcPr>
                  <w:tcW w:w="1800" w:type="dxa"/>
                  <w:tcBorders>
                    <w:top w:val="single" w:sz="6" w:space="0" w:color="auto"/>
                    <w:left w:val="single" w:sz="6" w:space="0" w:color="FFFFFF"/>
                    <w:bottom w:val="single" w:sz="6" w:space="0" w:color="auto"/>
                    <w:right w:val="single" w:sz="6" w:space="0" w:color="FFFFFF"/>
                  </w:tcBorders>
                  <w:shd w:val="clear" w:color="auto" w:fill="000000"/>
                  <w:tcMar>
                    <w:top w:w="0" w:type="dxa"/>
                    <w:left w:w="86" w:type="dxa"/>
                    <w:bottom w:w="0" w:type="dxa"/>
                    <w:right w:w="86" w:type="dxa"/>
                  </w:tcMar>
                  <w:vAlign w:val="bottom"/>
                  <w:hideMark/>
                </w:tcPr>
                <w:p w14:paraId="6F11D8FE" w14:textId="77777777" w:rsidR="00B678FA" w:rsidRPr="005D4222" w:rsidRDefault="00B678FA" w:rsidP="00B678FA">
                  <w:pPr>
                    <w:pStyle w:val="TableHead"/>
                    <w:spacing w:before="40" w:after="40"/>
                    <w:rPr>
                      <w:rFonts w:ascii="Times New Roman" w:hAnsi="Times New Roman"/>
                      <w:kern w:val="20"/>
                      <w:sz w:val="24"/>
                      <w:szCs w:val="24"/>
                    </w:rPr>
                  </w:pPr>
                  <w:r w:rsidRPr="005D4222">
                    <w:rPr>
                      <w:bCs/>
                      <w:kern w:val="20"/>
                    </w:rPr>
                    <w:t>Data Element</w:t>
                  </w:r>
                </w:p>
              </w:tc>
              <w:tc>
                <w:tcPr>
                  <w:tcW w:w="1979" w:type="dxa"/>
                  <w:tcBorders>
                    <w:top w:val="single" w:sz="6" w:space="0" w:color="auto"/>
                    <w:left w:val="single" w:sz="6" w:space="0" w:color="FFFFFF"/>
                    <w:bottom w:val="single" w:sz="6" w:space="0" w:color="auto"/>
                    <w:right w:val="single" w:sz="6" w:space="0" w:color="auto"/>
                  </w:tcBorders>
                  <w:shd w:val="clear" w:color="auto" w:fill="000000"/>
                  <w:tcMar>
                    <w:top w:w="0" w:type="dxa"/>
                    <w:left w:w="86" w:type="dxa"/>
                    <w:bottom w:w="0" w:type="dxa"/>
                    <w:right w:w="86" w:type="dxa"/>
                  </w:tcMar>
                  <w:vAlign w:val="bottom"/>
                  <w:hideMark/>
                </w:tcPr>
                <w:p w14:paraId="1ABE8D80" w14:textId="77777777" w:rsidR="00B678FA" w:rsidRPr="005D4222" w:rsidRDefault="00B678FA" w:rsidP="00B678FA">
                  <w:pPr>
                    <w:pStyle w:val="TableHead"/>
                    <w:spacing w:before="40" w:after="40"/>
                    <w:rPr>
                      <w:rFonts w:ascii="Times New Roman" w:hAnsi="Times New Roman"/>
                      <w:kern w:val="20"/>
                      <w:sz w:val="24"/>
                      <w:szCs w:val="24"/>
                    </w:rPr>
                  </w:pPr>
                  <w:r w:rsidRPr="005D4222">
                    <w:rPr>
                      <w:bCs/>
                      <w:kern w:val="20"/>
                    </w:rPr>
                    <w:t>Reporting Instructions</w:t>
                  </w:r>
                </w:p>
              </w:tc>
            </w:tr>
            <w:tr w:rsidR="00B678FA" w:rsidRPr="005D4222" w14:paraId="7DEE4C51" w14:textId="77777777" w:rsidTr="00AF2DA4">
              <w:trPr>
                <w:trHeight w:val="220"/>
              </w:trPr>
              <w:tc>
                <w:tcPr>
                  <w:tcW w:w="152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vAlign w:val="center"/>
                  <w:hideMark/>
                </w:tcPr>
                <w:p w14:paraId="11A93D15" w14:textId="77777777" w:rsidR="00B678FA" w:rsidRPr="005D4222" w:rsidRDefault="00B678FA" w:rsidP="00B678FA">
                  <w:pPr>
                    <w:pStyle w:val="TableText"/>
                    <w:spacing w:before="40" w:after="40"/>
                    <w:rPr>
                      <w:rFonts w:ascii="Times New Roman" w:hAnsi="Times New Roman"/>
                      <w:kern w:val="20"/>
                      <w:sz w:val="24"/>
                      <w:szCs w:val="24"/>
                    </w:rPr>
                  </w:pPr>
                  <w:r w:rsidRPr="005D4222">
                    <w:rPr>
                      <w:kern w:val="20"/>
                    </w:rPr>
                    <w:t xml:space="preserve">Screening </w:t>
                  </w:r>
                </w:p>
              </w:tc>
              <w:tc>
                <w:tcPr>
                  <w:tcW w:w="207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2499075A" w14:textId="77777777" w:rsidR="00B678FA" w:rsidRPr="005D4222" w:rsidRDefault="00B678FA" w:rsidP="00B678FA">
                  <w:pPr>
                    <w:pStyle w:val="TableText"/>
                    <w:spacing w:before="40" w:after="40"/>
                    <w:rPr>
                      <w:rFonts w:ascii="Times New Roman" w:hAnsi="Times New Roman"/>
                      <w:kern w:val="20"/>
                      <w:sz w:val="24"/>
                      <w:szCs w:val="24"/>
                    </w:rPr>
                  </w:pPr>
                  <w:r w:rsidRPr="005D4222">
                    <w:rPr>
                      <w:kern w:val="20"/>
                    </w:rPr>
                    <w:t xml:space="preserve">HispanicOrLatino </w:t>
                  </w:r>
                </w:p>
              </w:tc>
              <w:tc>
                <w:tcPr>
                  <w:tcW w:w="180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vAlign w:val="center"/>
                  <w:hideMark/>
                </w:tcPr>
                <w:p w14:paraId="1DBBCE6E" w14:textId="77777777" w:rsidR="00B678FA" w:rsidRPr="005D4222" w:rsidRDefault="00B678FA" w:rsidP="00B678FA">
                  <w:pPr>
                    <w:pStyle w:val="TableText"/>
                    <w:spacing w:before="40" w:after="40"/>
                    <w:rPr>
                      <w:rFonts w:ascii="Times New Roman" w:hAnsi="Times New Roman"/>
                      <w:kern w:val="20"/>
                      <w:sz w:val="24"/>
                      <w:szCs w:val="24"/>
                    </w:rPr>
                  </w:pPr>
                  <w:r w:rsidRPr="005D4222">
                    <w:rPr>
                      <w:kern w:val="20"/>
                    </w:rPr>
                    <w:t xml:space="preserve">InitialPopulation </w:t>
                  </w:r>
                </w:p>
              </w:tc>
              <w:tc>
                <w:tcPr>
                  <w:tcW w:w="1979" w:type="dxa"/>
                  <w:tcBorders>
                    <w:top w:val="nil"/>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48EB176B" w14:textId="77777777" w:rsidR="00B678FA" w:rsidRPr="005D4222" w:rsidRDefault="00B678FA" w:rsidP="00B678FA">
                  <w:pPr>
                    <w:pStyle w:val="TableText"/>
                    <w:spacing w:before="40" w:after="40"/>
                    <w:rPr>
                      <w:rFonts w:ascii="Times New Roman" w:hAnsi="Times New Roman"/>
                      <w:kern w:val="20"/>
                      <w:sz w:val="24"/>
                      <w:szCs w:val="24"/>
                    </w:rPr>
                  </w:pPr>
                  <w:r w:rsidRPr="005D4222">
                    <w:rPr>
                      <w:kern w:val="20"/>
                    </w:rPr>
                    <w:t xml:space="preserve">For each Stratification, repeat per Metric </w:t>
                  </w:r>
                </w:p>
              </w:tc>
            </w:tr>
            <w:tr w:rsidR="00B678FA" w:rsidRPr="005D4222" w14:paraId="39220575" w14:textId="77777777" w:rsidTr="00AF2DA4">
              <w:trPr>
                <w:trHeight w:val="220"/>
              </w:trPr>
              <w:tc>
                <w:tcPr>
                  <w:tcW w:w="152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vAlign w:val="center"/>
                  <w:hideMark/>
                </w:tcPr>
                <w:p w14:paraId="39F2C792" w14:textId="77777777" w:rsidR="00B678FA" w:rsidRPr="005D4222" w:rsidRDefault="00B678FA" w:rsidP="00B678FA">
                  <w:pPr>
                    <w:pStyle w:val="TableText"/>
                    <w:spacing w:before="40" w:after="40"/>
                    <w:rPr>
                      <w:rFonts w:ascii="Times New Roman" w:hAnsi="Times New Roman"/>
                      <w:kern w:val="20"/>
                      <w:sz w:val="24"/>
                      <w:szCs w:val="24"/>
                    </w:rPr>
                  </w:pPr>
                  <w:r w:rsidRPr="005D4222">
                    <w:rPr>
                      <w:kern w:val="20"/>
                    </w:rPr>
                    <w:t xml:space="preserve">FollowUp </w:t>
                  </w:r>
                </w:p>
              </w:tc>
              <w:tc>
                <w:tcPr>
                  <w:tcW w:w="207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31DF0787" w14:textId="77777777" w:rsidR="00B678FA" w:rsidRPr="005D4222" w:rsidRDefault="00B678FA" w:rsidP="00B678FA">
                  <w:pPr>
                    <w:pStyle w:val="TableText"/>
                    <w:spacing w:before="40" w:after="40"/>
                    <w:rPr>
                      <w:rFonts w:ascii="Times New Roman" w:hAnsi="Times New Roman"/>
                      <w:kern w:val="20"/>
                      <w:sz w:val="24"/>
                      <w:szCs w:val="24"/>
                    </w:rPr>
                  </w:pPr>
                  <w:r w:rsidRPr="005D4222">
                    <w:rPr>
                      <w:kern w:val="20"/>
                    </w:rPr>
                    <w:t xml:space="preserve">NotHispanicOrLatino </w:t>
                  </w:r>
                </w:p>
              </w:tc>
              <w:tc>
                <w:tcPr>
                  <w:tcW w:w="180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vAlign w:val="center"/>
                  <w:hideMark/>
                </w:tcPr>
                <w:p w14:paraId="54309790" w14:textId="77777777" w:rsidR="00B678FA" w:rsidRPr="005D4222" w:rsidRDefault="00B678FA" w:rsidP="00B678FA">
                  <w:pPr>
                    <w:pStyle w:val="TableText"/>
                    <w:spacing w:before="40" w:after="40"/>
                    <w:rPr>
                      <w:rFonts w:ascii="Times New Roman" w:hAnsi="Times New Roman"/>
                      <w:kern w:val="20"/>
                      <w:sz w:val="24"/>
                      <w:szCs w:val="24"/>
                    </w:rPr>
                  </w:pPr>
                  <w:r w:rsidRPr="005D4222">
                    <w:rPr>
                      <w:kern w:val="20"/>
                    </w:rPr>
                    <w:t xml:space="preserve">Exclusions </w:t>
                  </w:r>
                </w:p>
              </w:tc>
              <w:tc>
                <w:tcPr>
                  <w:tcW w:w="1979" w:type="dxa"/>
                  <w:tcBorders>
                    <w:top w:val="nil"/>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67336120" w14:textId="77777777" w:rsidR="00B678FA" w:rsidRPr="005D4222" w:rsidRDefault="00B678FA" w:rsidP="00B678FA">
                  <w:pPr>
                    <w:pStyle w:val="TableText"/>
                    <w:spacing w:before="40" w:after="40"/>
                    <w:rPr>
                      <w:rFonts w:ascii="Times New Roman" w:hAnsi="Times New Roman"/>
                      <w:kern w:val="20"/>
                      <w:sz w:val="24"/>
                      <w:szCs w:val="24"/>
                    </w:rPr>
                  </w:pPr>
                  <w:r w:rsidRPr="005D4222">
                    <w:rPr>
                      <w:kern w:val="20"/>
                    </w:rPr>
                    <w:t xml:space="preserve">For each Stratification, repeat per Metric </w:t>
                  </w:r>
                </w:p>
              </w:tc>
            </w:tr>
            <w:tr w:rsidR="00B678FA" w:rsidRPr="005D4222" w14:paraId="5A780E7B" w14:textId="77777777" w:rsidTr="00AF2DA4">
              <w:trPr>
                <w:trHeight w:val="220"/>
              </w:trPr>
              <w:tc>
                <w:tcPr>
                  <w:tcW w:w="1520" w:type="dxa"/>
                  <w:tcBorders>
                    <w:top w:val="single" w:sz="6" w:space="0" w:color="auto"/>
                    <w:left w:val="nil"/>
                    <w:bottom w:val="nil"/>
                    <w:right w:val="single" w:sz="6" w:space="0" w:color="auto"/>
                  </w:tcBorders>
                  <w:shd w:val="clear" w:color="auto" w:fill="FFFFFF"/>
                  <w:tcMar>
                    <w:top w:w="0" w:type="dxa"/>
                    <w:left w:w="86" w:type="dxa"/>
                    <w:bottom w:w="0" w:type="dxa"/>
                    <w:right w:w="86" w:type="dxa"/>
                  </w:tcMar>
                  <w:hideMark/>
                </w:tcPr>
                <w:p w14:paraId="69382481" w14:textId="77777777" w:rsidR="00B678FA" w:rsidRPr="005D4222" w:rsidRDefault="00B678FA" w:rsidP="00B678FA">
                  <w:pPr>
                    <w:pStyle w:val="TableText"/>
                    <w:spacing w:before="40" w:after="40"/>
                    <w:rPr>
                      <w:rFonts w:ascii="Times New Roman" w:hAnsi="Times New Roman"/>
                      <w:kern w:val="20"/>
                      <w:sz w:val="24"/>
                      <w:szCs w:val="24"/>
                    </w:rPr>
                  </w:pPr>
                  <w:r w:rsidRPr="005D4222">
                    <w:rPr>
                      <w:kern w:val="20"/>
                    </w:rPr>
                    <w:t xml:space="preserve"> </w:t>
                  </w:r>
                </w:p>
              </w:tc>
              <w:tc>
                <w:tcPr>
                  <w:tcW w:w="207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29DD6240" w14:textId="77777777" w:rsidR="00B678FA" w:rsidRPr="005D4222" w:rsidRDefault="00B678FA" w:rsidP="00B678FA">
                  <w:pPr>
                    <w:pStyle w:val="TableText"/>
                    <w:spacing w:before="40" w:after="40"/>
                    <w:rPr>
                      <w:rFonts w:ascii="Times New Roman" w:hAnsi="Times New Roman"/>
                      <w:kern w:val="20"/>
                      <w:sz w:val="24"/>
                      <w:szCs w:val="24"/>
                    </w:rPr>
                  </w:pPr>
                  <w:r w:rsidRPr="005D4222">
                    <w:rPr>
                      <w:kern w:val="20"/>
                    </w:rPr>
                    <w:t>AskedButNoAnswer</w:t>
                  </w:r>
                </w:p>
              </w:tc>
              <w:tc>
                <w:tcPr>
                  <w:tcW w:w="1800" w:type="dxa"/>
                  <w:tcBorders>
                    <w:top w:val="nil"/>
                    <w:left w:val="single" w:sz="6" w:space="0" w:color="auto"/>
                    <w:bottom w:val="single" w:sz="6" w:space="0" w:color="auto"/>
                    <w:right w:val="single" w:sz="6" w:space="0" w:color="auto"/>
                  </w:tcBorders>
                  <w:shd w:val="clear" w:color="auto" w:fill="FFFFFF"/>
                  <w:tcMar>
                    <w:top w:w="0" w:type="dxa"/>
                    <w:left w:w="86" w:type="dxa"/>
                    <w:bottom w:w="0" w:type="dxa"/>
                    <w:right w:w="86" w:type="dxa"/>
                  </w:tcMar>
                  <w:vAlign w:val="center"/>
                  <w:hideMark/>
                </w:tcPr>
                <w:p w14:paraId="2D0EEE9E" w14:textId="77777777" w:rsidR="00B678FA" w:rsidRPr="005D4222" w:rsidRDefault="00B678FA" w:rsidP="00B678FA">
                  <w:pPr>
                    <w:pStyle w:val="TableText"/>
                    <w:spacing w:before="40" w:after="40"/>
                    <w:rPr>
                      <w:rFonts w:ascii="Times New Roman" w:hAnsi="Times New Roman"/>
                      <w:kern w:val="20"/>
                      <w:sz w:val="24"/>
                      <w:szCs w:val="24"/>
                    </w:rPr>
                  </w:pPr>
                  <w:r w:rsidRPr="005D4222">
                    <w:rPr>
                      <w:kern w:val="20"/>
                    </w:rPr>
                    <w:t xml:space="preserve">Denominator </w:t>
                  </w:r>
                </w:p>
              </w:tc>
              <w:tc>
                <w:tcPr>
                  <w:tcW w:w="1979" w:type="dxa"/>
                  <w:tcBorders>
                    <w:top w:val="nil"/>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30E4F42C" w14:textId="77777777" w:rsidR="00B678FA" w:rsidRPr="005D4222" w:rsidRDefault="00B678FA" w:rsidP="00B678FA">
                  <w:pPr>
                    <w:pStyle w:val="TableText"/>
                    <w:spacing w:before="40" w:after="40"/>
                    <w:rPr>
                      <w:rFonts w:ascii="Times New Roman" w:hAnsi="Times New Roman"/>
                      <w:kern w:val="20"/>
                      <w:sz w:val="24"/>
                      <w:szCs w:val="24"/>
                    </w:rPr>
                  </w:pPr>
                  <w:r w:rsidRPr="005D4222">
                    <w:rPr>
                      <w:kern w:val="20"/>
                    </w:rPr>
                    <w:t>For each Stratification, repeat per Metric</w:t>
                  </w:r>
                </w:p>
              </w:tc>
            </w:tr>
            <w:tr w:rsidR="00B678FA" w:rsidRPr="005D4222" w14:paraId="7FD38082" w14:textId="77777777" w:rsidTr="00AF2DA4">
              <w:trPr>
                <w:trHeight w:val="220"/>
              </w:trPr>
              <w:tc>
                <w:tcPr>
                  <w:tcW w:w="1520" w:type="dxa"/>
                  <w:tcBorders>
                    <w:top w:val="nil"/>
                    <w:left w:val="nil"/>
                    <w:bottom w:val="nil"/>
                    <w:right w:val="single" w:sz="6" w:space="0" w:color="auto"/>
                  </w:tcBorders>
                  <w:shd w:val="clear" w:color="auto" w:fill="FFFFFF"/>
                  <w:tcMar>
                    <w:top w:w="0" w:type="dxa"/>
                    <w:left w:w="86" w:type="dxa"/>
                    <w:bottom w:w="0" w:type="dxa"/>
                    <w:right w:w="86" w:type="dxa"/>
                  </w:tcMar>
                  <w:hideMark/>
                </w:tcPr>
                <w:p w14:paraId="4AD05DFF" w14:textId="77777777" w:rsidR="00B678FA" w:rsidRPr="005D4222" w:rsidRDefault="00B678FA" w:rsidP="00B678FA">
                  <w:pPr>
                    <w:pStyle w:val="TableText"/>
                    <w:spacing w:before="40" w:after="40"/>
                    <w:rPr>
                      <w:rFonts w:ascii="Times New Roman" w:hAnsi="Times New Roman"/>
                      <w:kern w:val="20"/>
                      <w:sz w:val="24"/>
                      <w:szCs w:val="24"/>
                    </w:rPr>
                  </w:pPr>
                  <w:r w:rsidRPr="005D4222">
                    <w:rPr>
                      <w:kern w:val="20"/>
                    </w:rPr>
                    <w:t xml:space="preserve"> </w:t>
                  </w:r>
                </w:p>
              </w:tc>
              <w:tc>
                <w:tcPr>
                  <w:tcW w:w="207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hideMark/>
                </w:tcPr>
                <w:p w14:paraId="36B2ED42" w14:textId="77777777" w:rsidR="00B678FA" w:rsidRPr="005D4222" w:rsidRDefault="00B678FA" w:rsidP="00B678FA">
                  <w:pPr>
                    <w:pStyle w:val="TableText"/>
                    <w:spacing w:before="40" w:after="40"/>
                    <w:rPr>
                      <w:rFonts w:ascii="Times New Roman" w:hAnsi="Times New Roman"/>
                      <w:kern w:val="20"/>
                      <w:sz w:val="24"/>
                      <w:szCs w:val="24"/>
                    </w:rPr>
                  </w:pPr>
                  <w:r w:rsidRPr="005D4222">
                    <w:rPr>
                      <w:kern w:val="20"/>
                    </w:rPr>
                    <w:t>Unknown</w:t>
                  </w:r>
                </w:p>
              </w:tc>
              <w:tc>
                <w:tcPr>
                  <w:tcW w:w="1800" w:type="dxa"/>
                  <w:tcBorders>
                    <w:top w:val="single" w:sz="6" w:space="0" w:color="auto"/>
                    <w:left w:val="single" w:sz="6" w:space="0" w:color="auto"/>
                    <w:bottom w:val="single" w:sz="6" w:space="0" w:color="auto"/>
                    <w:right w:val="single" w:sz="6" w:space="0" w:color="auto"/>
                  </w:tcBorders>
                  <w:shd w:val="clear" w:color="auto" w:fill="FFFFFF"/>
                  <w:tcMar>
                    <w:top w:w="0" w:type="dxa"/>
                    <w:left w:w="86" w:type="dxa"/>
                    <w:bottom w:w="0" w:type="dxa"/>
                    <w:right w:w="86" w:type="dxa"/>
                  </w:tcMar>
                  <w:vAlign w:val="center"/>
                  <w:hideMark/>
                </w:tcPr>
                <w:p w14:paraId="0944CCDB" w14:textId="77777777" w:rsidR="00B678FA" w:rsidRPr="005D4222" w:rsidRDefault="00B678FA" w:rsidP="00B678FA">
                  <w:pPr>
                    <w:pStyle w:val="TableText"/>
                    <w:spacing w:before="40" w:after="40"/>
                    <w:rPr>
                      <w:rFonts w:ascii="Times New Roman" w:hAnsi="Times New Roman"/>
                      <w:kern w:val="20"/>
                      <w:sz w:val="24"/>
                      <w:szCs w:val="24"/>
                    </w:rPr>
                  </w:pPr>
                  <w:r w:rsidRPr="005D4222">
                    <w:rPr>
                      <w:kern w:val="20"/>
                    </w:rPr>
                    <w:t xml:space="preserve">Numerator </w:t>
                  </w:r>
                </w:p>
              </w:tc>
              <w:tc>
                <w:tcPr>
                  <w:tcW w:w="1979" w:type="dxa"/>
                  <w:tcBorders>
                    <w:top w:val="nil"/>
                    <w:left w:val="single" w:sz="6" w:space="0" w:color="auto"/>
                    <w:bottom w:val="single" w:sz="6" w:space="0" w:color="auto"/>
                    <w:right w:val="single" w:sz="6" w:space="0" w:color="auto"/>
                  </w:tcBorders>
                  <w:shd w:val="clear" w:color="auto" w:fill="FFFFFF"/>
                  <w:tcMar>
                    <w:top w:w="0" w:type="dxa"/>
                    <w:left w:w="86" w:type="dxa"/>
                    <w:bottom w:w="0" w:type="dxa"/>
                    <w:right w:w="86" w:type="dxa"/>
                  </w:tcMar>
                  <w:vAlign w:val="center"/>
                  <w:hideMark/>
                </w:tcPr>
                <w:p w14:paraId="2F7392CD" w14:textId="77777777" w:rsidR="00B678FA" w:rsidRPr="005D4222" w:rsidRDefault="00B678FA" w:rsidP="00B678FA">
                  <w:pPr>
                    <w:pStyle w:val="TableText"/>
                    <w:spacing w:before="40" w:after="40"/>
                    <w:rPr>
                      <w:rFonts w:ascii="Times New Roman" w:hAnsi="Times New Roman"/>
                      <w:kern w:val="20"/>
                      <w:sz w:val="24"/>
                      <w:szCs w:val="24"/>
                    </w:rPr>
                  </w:pPr>
                  <w:r w:rsidRPr="005D4222">
                    <w:rPr>
                      <w:kern w:val="20"/>
                    </w:rPr>
                    <w:t xml:space="preserve">For each Metric and Stratification </w:t>
                  </w:r>
                </w:p>
              </w:tc>
            </w:tr>
            <w:tr w:rsidR="00B678FA" w:rsidRPr="005D4222" w14:paraId="2ECE2F06" w14:textId="77777777" w:rsidTr="00AF2DA4">
              <w:trPr>
                <w:trHeight w:val="220"/>
              </w:trPr>
              <w:tc>
                <w:tcPr>
                  <w:tcW w:w="1520" w:type="dxa"/>
                  <w:tcBorders>
                    <w:top w:val="nil"/>
                    <w:left w:val="nil"/>
                    <w:bottom w:val="nil"/>
                    <w:right w:val="nil"/>
                  </w:tcBorders>
                  <w:shd w:val="clear" w:color="auto" w:fill="FFFFFF"/>
                  <w:tcMar>
                    <w:top w:w="0" w:type="dxa"/>
                    <w:left w:w="86" w:type="dxa"/>
                    <w:bottom w:w="0" w:type="dxa"/>
                    <w:right w:w="86" w:type="dxa"/>
                  </w:tcMar>
                  <w:hideMark/>
                </w:tcPr>
                <w:p w14:paraId="6FF60AB6" w14:textId="77777777" w:rsidR="00B678FA" w:rsidRPr="005D4222" w:rsidRDefault="00B678FA" w:rsidP="00B678FA">
                  <w:pPr>
                    <w:pStyle w:val="TableText"/>
                    <w:spacing w:before="40" w:after="40"/>
                    <w:rPr>
                      <w:rFonts w:ascii="Times New Roman" w:hAnsi="Times New Roman"/>
                      <w:kern w:val="20"/>
                      <w:sz w:val="24"/>
                      <w:szCs w:val="24"/>
                    </w:rPr>
                  </w:pPr>
                  <w:r w:rsidRPr="005D4222">
                    <w:rPr>
                      <w:kern w:val="20"/>
                    </w:rPr>
                    <w:t xml:space="preserve"> </w:t>
                  </w:r>
                </w:p>
              </w:tc>
              <w:tc>
                <w:tcPr>
                  <w:tcW w:w="2070" w:type="dxa"/>
                  <w:tcBorders>
                    <w:top w:val="single" w:sz="6" w:space="0" w:color="auto"/>
                    <w:left w:val="nil"/>
                    <w:bottom w:val="nil"/>
                    <w:right w:val="nil"/>
                  </w:tcBorders>
                  <w:shd w:val="clear" w:color="auto" w:fill="FFFFFF"/>
                  <w:tcMar>
                    <w:top w:w="0" w:type="dxa"/>
                    <w:left w:w="86" w:type="dxa"/>
                    <w:bottom w:w="0" w:type="dxa"/>
                    <w:right w:w="86" w:type="dxa"/>
                  </w:tcMar>
                  <w:hideMark/>
                </w:tcPr>
                <w:p w14:paraId="4D05E253" w14:textId="77777777" w:rsidR="00B678FA" w:rsidRPr="005D4222" w:rsidRDefault="00B678FA" w:rsidP="00B678FA">
                  <w:pPr>
                    <w:pStyle w:val="TableText"/>
                    <w:spacing w:before="40" w:after="40"/>
                    <w:rPr>
                      <w:rFonts w:ascii="Times New Roman" w:hAnsi="Times New Roman"/>
                      <w:kern w:val="20"/>
                      <w:sz w:val="24"/>
                      <w:szCs w:val="24"/>
                    </w:rPr>
                  </w:pPr>
                  <w:r w:rsidRPr="005D4222">
                    <w:rPr>
                      <w:kern w:val="20"/>
                    </w:rPr>
                    <w:t xml:space="preserve"> </w:t>
                  </w:r>
                </w:p>
              </w:tc>
              <w:tc>
                <w:tcPr>
                  <w:tcW w:w="1800" w:type="dxa"/>
                  <w:tcBorders>
                    <w:top w:val="single" w:sz="6" w:space="0" w:color="auto"/>
                    <w:left w:val="single" w:sz="6" w:space="0" w:color="auto"/>
                    <w:bottom w:val="single" w:sz="6" w:space="0" w:color="auto"/>
                    <w:right w:val="single" w:sz="6" w:space="0" w:color="auto"/>
                  </w:tcBorders>
                  <w:shd w:val="clear" w:color="auto" w:fill="D9D9D9"/>
                  <w:tcMar>
                    <w:top w:w="0" w:type="dxa"/>
                    <w:left w:w="86" w:type="dxa"/>
                    <w:bottom w:w="0" w:type="dxa"/>
                    <w:right w:w="86" w:type="dxa"/>
                  </w:tcMar>
                  <w:vAlign w:val="center"/>
                  <w:hideMark/>
                </w:tcPr>
                <w:p w14:paraId="75C86DE1" w14:textId="77777777" w:rsidR="00B678FA" w:rsidRPr="005D4222" w:rsidRDefault="00B678FA" w:rsidP="00B678FA">
                  <w:pPr>
                    <w:pStyle w:val="TableText"/>
                    <w:spacing w:before="40" w:after="40"/>
                    <w:rPr>
                      <w:rFonts w:ascii="Times New Roman" w:hAnsi="Times New Roman"/>
                      <w:kern w:val="20"/>
                      <w:sz w:val="24"/>
                      <w:szCs w:val="24"/>
                    </w:rPr>
                  </w:pPr>
                  <w:r w:rsidRPr="005D4222">
                    <w:rPr>
                      <w:kern w:val="20"/>
                    </w:rPr>
                    <w:t xml:space="preserve">Rate </w:t>
                  </w:r>
                </w:p>
              </w:tc>
              <w:tc>
                <w:tcPr>
                  <w:tcW w:w="1979" w:type="dxa"/>
                  <w:tcBorders>
                    <w:top w:val="nil"/>
                    <w:left w:val="single" w:sz="6" w:space="0" w:color="auto"/>
                    <w:bottom w:val="single" w:sz="6" w:space="0" w:color="auto"/>
                    <w:right w:val="single" w:sz="6" w:space="0" w:color="auto"/>
                  </w:tcBorders>
                  <w:shd w:val="clear" w:color="auto" w:fill="D9D9D9"/>
                  <w:tcMar>
                    <w:top w:w="0" w:type="dxa"/>
                    <w:left w:w="86" w:type="dxa"/>
                    <w:bottom w:w="0" w:type="dxa"/>
                    <w:right w:w="86" w:type="dxa"/>
                  </w:tcMar>
                  <w:vAlign w:val="center"/>
                  <w:hideMark/>
                </w:tcPr>
                <w:p w14:paraId="252C47E0" w14:textId="77777777" w:rsidR="00B678FA" w:rsidRPr="005D4222" w:rsidRDefault="00B678FA" w:rsidP="00B678FA">
                  <w:pPr>
                    <w:pStyle w:val="TableText"/>
                    <w:spacing w:before="40" w:after="40"/>
                    <w:rPr>
                      <w:rFonts w:ascii="Times New Roman" w:hAnsi="Times New Roman"/>
                      <w:kern w:val="20"/>
                      <w:sz w:val="24"/>
                      <w:szCs w:val="24"/>
                    </w:rPr>
                  </w:pPr>
                  <w:r w:rsidRPr="005D4222">
                    <w:rPr>
                      <w:kern w:val="20"/>
                    </w:rPr>
                    <w:t xml:space="preserve">(Percent) </w:t>
                  </w:r>
                </w:p>
              </w:tc>
            </w:tr>
          </w:tbl>
          <w:p w14:paraId="057EEDF2" w14:textId="24984800" w:rsidR="00B01AA3" w:rsidRPr="005D4222" w:rsidRDefault="00B01AA3" w:rsidP="00A53E8C">
            <w:pPr>
              <w:pStyle w:val="Heading3"/>
              <w:spacing w:before="0"/>
              <w:rPr>
                <w:color w:val="000000" w:themeColor="text1"/>
                <w:highlight w:val="yellow"/>
              </w:rPr>
            </w:pPr>
          </w:p>
        </w:tc>
      </w:tr>
      <w:tr w:rsidR="000B5FEC" w:rsidRPr="005D4222" w14:paraId="1A53225E" w14:textId="77777777" w:rsidTr="00E73EEC">
        <w:trPr>
          <w:trHeight w:val="9812"/>
        </w:trPr>
        <w:tc>
          <w:tcPr>
            <w:tcW w:w="2157" w:type="dxa"/>
            <w:tcBorders>
              <w:top w:val="single" w:sz="4" w:space="0" w:color="auto"/>
              <w:left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7F1ECB99" w14:textId="77777777" w:rsidR="000B5FEC" w:rsidRPr="005D4222" w:rsidRDefault="000B5FEC" w:rsidP="00A53E8C">
            <w:pPr>
              <w:pStyle w:val="ECDSMarginHead"/>
            </w:pPr>
            <w:r w:rsidRPr="005D4222">
              <w:lastRenderedPageBreak/>
              <w:t>Rules for Allowable Adjustments</w:t>
            </w:r>
          </w:p>
        </w:tc>
        <w:tc>
          <w:tcPr>
            <w:tcW w:w="7557" w:type="dxa"/>
            <w:tcBorders>
              <w:top w:val="single" w:sz="4" w:space="0" w:color="auto"/>
              <w:left w:val="single" w:sz="4" w:space="0" w:color="auto"/>
              <w:right w:val="single" w:sz="4" w:space="0" w:color="auto"/>
            </w:tcBorders>
            <w:tcMar>
              <w:top w:w="0" w:type="dxa"/>
              <w:left w:w="86" w:type="dxa"/>
              <w:bottom w:w="43" w:type="dxa"/>
              <w:right w:w="86" w:type="dxa"/>
            </w:tcMar>
          </w:tcPr>
          <w:p w14:paraId="5B759DDF" w14:textId="77777777" w:rsidR="000B5FEC" w:rsidRPr="005D4222" w:rsidRDefault="000B5FEC" w:rsidP="00A53E8C">
            <w:pPr>
              <w:pStyle w:val="ECDSBody"/>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p w14:paraId="4A36666D" w14:textId="77777777" w:rsidR="000B5FEC" w:rsidRPr="005D4222" w:rsidRDefault="000B5FEC" w:rsidP="00A53E8C">
            <w:pPr>
              <w:pStyle w:val="ECDSBody"/>
              <w:rPr>
                <w:b/>
              </w:rPr>
            </w:pPr>
            <w:r w:rsidRPr="005D4222">
              <w:rPr>
                <w:b/>
              </w:rPr>
              <w:t>Adjusted HEDIS measures may not be used for HEDIS health plan reporting.</w:t>
            </w:r>
          </w:p>
          <w:p w14:paraId="24044B73" w14:textId="77777777" w:rsidR="000B5FEC" w:rsidRPr="005D4222" w:rsidRDefault="000B5FEC" w:rsidP="00A53E8C">
            <w:pPr>
              <w:pStyle w:val="Adjustments"/>
            </w:pPr>
            <w:r w:rsidRPr="005D4222">
              <w:t>Adjustments</w:t>
            </w:r>
            <w:r w:rsidRPr="005D4222">
              <w:rPr>
                <w:bCs/>
              </w:rPr>
              <w:t xml:space="preserve"> a</w:t>
            </w:r>
            <w:r w:rsidRPr="005D4222">
              <w:t>llowed</w:t>
            </w:r>
          </w:p>
          <w:p w14:paraId="53CF4B2D" w14:textId="208931B1" w:rsidR="000B5FEC" w:rsidRPr="005D4222" w:rsidRDefault="000B5FEC" w:rsidP="00A53E8C">
            <w:pPr>
              <w:pStyle w:val="ProcessBullet"/>
            </w:pPr>
            <w:r w:rsidRPr="005D4222">
              <w:rPr>
                <w:i/>
                <w:iCs/>
              </w:rPr>
              <w:t>Product lines</w:t>
            </w:r>
            <w:r w:rsidRPr="005D4222">
              <w:t xml:space="preserve">. </w:t>
            </w:r>
            <w:r w:rsidRPr="005D4222">
              <w:rPr>
                <w:rFonts w:eastAsia="Arial"/>
              </w:rPr>
              <w:t>Organizations are not required to use product line criteria; product lines may be combined</w:t>
            </w:r>
            <w:r w:rsidR="00E8671F" w:rsidRPr="005D4222">
              <w:rPr>
                <w:rFonts w:eastAsia="Arial"/>
              </w:rPr>
              <w:t>,</w:t>
            </w:r>
            <w:r w:rsidRPr="005D4222">
              <w:rPr>
                <w:rFonts w:eastAsia="Arial"/>
              </w:rPr>
              <w:t xml:space="preserve"> and all (or no) product line criteria may be used.</w:t>
            </w:r>
          </w:p>
          <w:p w14:paraId="5283D35D" w14:textId="77777777" w:rsidR="000B5FEC" w:rsidRPr="005D4222" w:rsidRDefault="000B5FEC" w:rsidP="00A53E8C">
            <w:pPr>
              <w:pStyle w:val="ProcessBullet"/>
            </w:pPr>
            <w:r w:rsidRPr="005D4222">
              <w:rPr>
                <w:i/>
                <w:iCs/>
              </w:rPr>
              <w:t>Attribution</w:t>
            </w:r>
            <w:r w:rsidRPr="005D4222">
              <w:t>. Organizations are not required to use enrollment criteria. </w:t>
            </w:r>
          </w:p>
          <w:p w14:paraId="265084B5" w14:textId="4CC82CED" w:rsidR="000B5FEC" w:rsidRPr="005D4222" w:rsidRDefault="00BC5A58" w:rsidP="00A53E8C">
            <w:pPr>
              <w:pStyle w:val="ProcessBullet"/>
            </w:pPr>
            <w:r w:rsidRPr="005D4222">
              <w:rPr>
                <w:i/>
                <w:iCs/>
              </w:rPr>
              <w:t>Benefits.</w:t>
            </w:r>
            <w:r w:rsidR="000B5FEC" w:rsidRPr="005D4222">
              <w:t xml:space="preserve"> Organizations are not required to use a benefit.</w:t>
            </w:r>
          </w:p>
          <w:p w14:paraId="79FFD922" w14:textId="77777777" w:rsidR="000B5FEC" w:rsidRPr="005D4222" w:rsidRDefault="000B5FEC" w:rsidP="00A53E8C">
            <w:pPr>
              <w:pStyle w:val="ProcessBullet"/>
              <w:tabs>
                <w:tab w:val="left" w:pos="216"/>
              </w:tabs>
              <w:rPr>
                <w:b/>
                <w:bCs/>
                <w:color w:val="000000" w:themeColor="text1"/>
              </w:rPr>
            </w:pPr>
            <w:r w:rsidRPr="005D4222">
              <w:rPr>
                <w:i/>
                <w:iCs/>
              </w:rPr>
              <w:t>Other</w:t>
            </w:r>
            <w:r w:rsidRPr="005D4222">
              <w:t>. Organizations may use additional initial population criteria to focus on an area of interest defined by gender, race, ethnicity, socioeconomic or sociodemographic characteristics, geographic region or another characteristic.</w:t>
            </w:r>
          </w:p>
          <w:p w14:paraId="6739F532" w14:textId="77777777" w:rsidR="000B5FEC" w:rsidRPr="005D4222" w:rsidRDefault="000B5FEC" w:rsidP="00A53E8C">
            <w:pPr>
              <w:pStyle w:val="ProcessBullet"/>
            </w:pPr>
            <w:r w:rsidRPr="005D4222">
              <w:rPr>
                <w:i/>
                <w:iCs/>
              </w:rPr>
              <w:t>Measurement period adjustments</w:t>
            </w:r>
            <w:r w:rsidRPr="005D4222">
              <w:t xml:space="preserve">. Organizations may adjust the measurement period. </w:t>
            </w:r>
          </w:p>
          <w:p w14:paraId="35806524" w14:textId="77777777" w:rsidR="000B5FEC" w:rsidRPr="005D4222" w:rsidRDefault="000B5FEC" w:rsidP="00A53E8C">
            <w:pPr>
              <w:pStyle w:val="ProcessBullet"/>
            </w:pPr>
            <w:r w:rsidRPr="005D4222">
              <w:rPr>
                <w:i/>
                <w:iCs/>
              </w:rPr>
              <w:t xml:space="preserve">Stratifications: </w:t>
            </w:r>
            <w:r w:rsidRPr="005D4222">
              <w:t>Race and ethnicity stratification. The race and ethnicity stratification is not required. Organizations may adjust this stratification as needed.</w:t>
            </w:r>
          </w:p>
          <w:p w14:paraId="19B4F816" w14:textId="77777777" w:rsidR="000B5FEC" w:rsidRPr="005D4222" w:rsidRDefault="000B5FEC" w:rsidP="00A53E8C">
            <w:pPr>
              <w:pStyle w:val="ProcessBullet"/>
            </w:pPr>
            <w:r w:rsidRPr="005D4222">
              <w:rPr>
                <w:i/>
                <w:iCs/>
              </w:rPr>
              <w:t>Exclusions</w:t>
            </w:r>
            <w:r w:rsidRPr="005D4222">
              <w:t xml:space="preserve">. Hospice and deceased persons exclusions are not required. </w:t>
            </w:r>
          </w:p>
          <w:p w14:paraId="5484ED6F" w14:textId="5A808427" w:rsidR="000B5FEC" w:rsidRPr="005D4222" w:rsidRDefault="000B5FEC" w:rsidP="00D40567">
            <w:pPr>
              <w:pStyle w:val="ProcessBullet"/>
              <w:spacing w:after="80"/>
              <w:rPr>
                <w:b/>
                <w:bCs/>
              </w:rPr>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w:t>
            </w:r>
            <w:r w:rsidR="00F45777" w:rsidRPr="005D4222">
              <w:t>events</w:t>
            </w:r>
            <w:r w:rsidRPr="005D4222">
              <w:t>, numerators and exclusions that do not allow the use of telehealth.</w:t>
            </w:r>
          </w:p>
          <w:p w14:paraId="0A959D56" w14:textId="77777777" w:rsidR="000B5FEC" w:rsidRPr="005D4222" w:rsidRDefault="000B5FEC" w:rsidP="00DA23D0">
            <w:pPr>
              <w:pStyle w:val="Adjustments"/>
              <w:spacing w:before="120"/>
            </w:pPr>
            <w:r w:rsidRPr="005D4222">
              <w:t>Adjustments not allowed</w:t>
            </w:r>
          </w:p>
          <w:p w14:paraId="28C18FD6" w14:textId="77777777" w:rsidR="000B5FEC" w:rsidRPr="005D4222" w:rsidRDefault="000B5FEC" w:rsidP="00D40567">
            <w:pPr>
              <w:pStyle w:val="ProcessBullet"/>
              <w:spacing w:after="80"/>
              <w:rPr>
                <w:i/>
                <w:iCs/>
              </w:rPr>
            </w:pPr>
            <w:r w:rsidRPr="005D4222">
              <w:rPr>
                <w:i/>
                <w:iCs/>
              </w:rPr>
              <w:t>Initial population:</w:t>
            </w:r>
            <w:r w:rsidRPr="005D4222">
              <w:t xml:space="preserve"> Event. </w:t>
            </w:r>
            <w:r w:rsidRPr="005D4222">
              <w:rPr>
                <w:rFonts w:eastAsia="Arial"/>
              </w:rPr>
              <w:t xml:space="preserve">Only events or diagnoses that contain (or map to) codes in the value sets may be used to identify visits with a diagnosis. The value sets, medication lists and logic may not be changed. </w:t>
            </w:r>
          </w:p>
          <w:p w14:paraId="36EF6DC6" w14:textId="2696CB8E" w:rsidR="000B5FEC" w:rsidRPr="005D4222" w:rsidRDefault="00DE550E" w:rsidP="000B5FEC">
            <w:pPr>
              <w:pStyle w:val="ProcessBullet"/>
              <w:spacing w:after="80"/>
              <w:rPr>
                <w:b/>
                <w:bCs/>
              </w:rPr>
            </w:pPr>
            <w:r w:rsidRPr="005D4222">
              <w:rPr>
                <w:rFonts w:eastAsia="Arial"/>
                <w:i/>
                <w:iCs/>
              </w:rPr>
              <w:t>Numerator.</w:t>
            </w:r>
            <w:r w:rsidR="000B5FEC" w:rsidRPr="005D4222">
              <w:rPr>
                <w:rFonts w:eastAsia="Arial"/>
              </w:rPr>
              <w:t xml:space="preserve"> Value sets, direct reference codes and logic may not be changed.</w:t>
            </w:r>
          </w:p>
        </w:tc>
      </w:tr>
    </w:tbl>
    <w:p w14:paraId="6E4055D9" w14:textId="77777777" w:rsidR="00D40567" w:rsidRPr="005D4222" w:rsidRDefault="00D40567" w:rsidP="00C97601">
      <w:pPr>
        <w:pStyle w:val="ECDSBody"/>
        <w:sectPr w:rsidR="00D40567" w:rsidRPr="005D4222" w:rsidSect="0074514A">
          <w:headerReference w:type="default" r:id="rId238"/>
          <w:type w:val="nextColumn"/>
          <w:pgSz w:w="12240" w:h="15840" w:code="1"/>
          <w:pgMar w:top="1080" w:right="1080" w:bottom="1080" w:left="1440" w:header="720" w:footer="720" w:gutter="0"/>
          <w:cols w:space="720"/>
          <w:docGrid w:linePitch="360"/>
        </w:sectPr>
      </w:pPr>
    </w:p>
    <w:p w14:paraId="04701893" w14:textId="03B51906" w:rsidR="00C97601" w:rsidRPr="005D4222" w:rsidRDefault="007552EF" w:rsidP="007552EF">
      <w:pPr>
        <w:pStyle w:val="MeasureTitle"/>
      </w:pPr>
      <w:bookmarkStart w:id="434" w:name="_Toc201813488"/>
      <w:r w:rsidRPr="005D4222">
        <w:lastRenderedPageBreak/>
        <w:t>Social Need Screening and Intervention</w:t>
      </w:r>
      <w:r w:rsidR="008A5901" w:rsidRPr="005D4222">
        <w:t xml:space="preserve"> (SNS-E)</w:t>
      </w:r>
      <w:bookmarkEnd w:id="434"/>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067"/>
        <w:gridCol w:w="5220"/>
        <w:gridCol w:w="1462"/>
        <w:gridCol w:w="968"/>
      </w:tblGrid>
      <w:tr w:rsidR="00F75C9A" w:rsidRPr="005D4222" w14:paraId="230A3149" w14:textId="77777777" w:rsidTr="00A53E8C">
        <w:tc>
          <w:tcPr>
            <w:tcW w:w="2067" w:type="dxa"/>
            <w:shd w:val="clear" w:color="auto" w:fill="BFBFBF" w:themeFill="background1" w:themeFillShade="BF"/>
            <w:tcMar>
              <w:top w:w="0" w:type="dxa"/>
              <w:left w:w="86" w:type="dxa"/>
              <w:bottom w:w="43" w:type="dxa"/>
              <w:right w:w="86" w:type="dxa"/>
            </w:tcMar>
          </w:tcPr>
          <w:p w14:paraId="4898C7BB" w14:textId="77777777" w:rsidR="00F75C9A" w:rsidRPr="005D4222" w:rsidRDefault="00F75C9A" w:rsidP="00A53E8C">
            <w:pPr>
              <w:pStyle w:val="ECDSMarginHead"/>
            </w:pPr>
            <w:r w:rsidRPr="005D4222">
              <w:t>Measure title</w:t>
            </w:r>
          </w:p>
        </w:tc>
        <w:tc>
          <w:tcPr>
            <w:tcW w:w="5220" w:type="dxa"/>
            <w:tcMar>
              <w:top w:w="0" w:type="dxa"/>
              <w:left w:w="86" w:type="dxa"/>
              <w:bottom w:w="43" w:type="dxa"/>
              <w:right w:w="86" w:type="dxa"/>
            </w:tcMar>
          </w:tcPr>
          <w:p w14:paraId="2833309E" w14:textId="77777777" w:rsidR="00F75C9A" w:rsidRPr="005D4222" w:rsidRDefault="00F75C9A" w:rsidP="00A53E8C">
            <w:pPr>
              <w:pStyle w:val="ECDSBody"/>
            </w:pPr>
            <w:r w:rsidRPr="005D4222">
              <w:t>Social Need Screening and Intervention</w:t>
            </w:r>
          </w:p>
        </w:tc>
        <w:tc>
          <w:tcPr>
            <w:tcW w:w="1462" w:type="dxa"/>
            <w:shd w:val="clear" w:color="auto" w:fill="BFBFBF" w:themeFill="background1" w:themeFillShade="BF"/>
          </w:tcPr>
          <w:p w14:paraId="4EDCF583" w14:textId="77777777" w:rsidR="00F75C9A" w:rsidRPr="005D4222" w:rsidRDefault="00F75C9A" w:rsidP="00A53E8C">
            <w:pPr>
              <w:pStyle w:val="ECDSMarginHead"/>
            </w:pPr>
            <w:r w:rsidRPr="005D4222">
              <w:t>Measure ID</w:t>
            </w:r>
          </w:p>
        </w:tc>
        <w:tc>
          <w:tcPr>
            <w:tcW w:w="968" w:type="dxa"/>
          </w:tcPr>
          <w:p w14:paraId="0DC393CF" w14:textId="77777777" w:rsidR="00F75C9A" w:rsidRPr="005D4222" w:rsidRDefault="00F75C9A" w:rsidP="00A53E8C">
            <w:pPr>
              <w:pStyle w:val="ECDSBody"/>
            </w:pPr>
            <w:r w:rsidRPr="005D4222">
              <w:t>SNS-E</w:t>
            </w:r>
          </w:p>
        </w:tc>
      </w:tr>
      <w:tr w:rsidR="00F75C9A" w:rsidRPr="005D4222" w14:paraId="2CC3A1A1" w14:textId="77777777" w:rsidTr="00A53E8C">
        <w:tc>
          <w:tcPr>
            <w:tcW w:w="2067" w:type="dxa"/>
            <w:shd w:val="clear" w:color="auto" w:fill="BFBFBF" w:themeFill="background1" w:themeFillShade="BF"/>
            <w:tcMar>
              <w:top w:w="0" w:type="dxa"/>
              <w:left w:w="86" w:type="dxa"/>
              <w:bottom w:w="43" w:type="dxa"/>
              <w:right w:w="86" w:type="dxa"/>
            </w:tcMar>
            <w:hideMark/>
          </w:tcPr>
          <w:p w14:paraId="59118320" w14:textId="77777777" w:rsidR="00F75C9A" w:rsidRPr="005D4222" w:rsidRDefault="00F75C9A" w:rsidP="00A53E8C">
            <w:pPr>
              <w:pStyle w:val="ECDSMarginHead"/>
            </w:pPr>
            <w:r w:rsidRPr="005D4222">
              <w:t>Description</w:t>
            </w:r>
          </w:p>
        </w:tc>
        <w:tc>
          <w:tcPr>
            <w:tcW w:w="7650" w:type="dxa"/>
            <w:gridSpan w:val="3"/>
            <w:tcMar>
              <w:top w:w="0" w:type="dxa"/>
              <w:left w:w="86" w:type="dxa"/>
              <w:bottom w:w="43" w:type="dxa"/>
              <w:right w:w="86" w:type="dxa"/>
            </w:tcMar>
          </w:tcPr>
          <w:p w14:paraId="0FE05904" w14:textId="77777777" w:rsidR="00F75C9A" w:rsidRPr="005D4222" w:rsidRDefault="00F75C9A" w:rsidP="00A53E8C">
            <w:pPr>
              <w:pStyle w:val="ECDSBody"/>
            </w:pPr>
            <w:r w:rsidRPr="005D4222">
              <w:t>The percentage of persons who were screened using prespecified instruments, or assessed by a provider, for unmet food, housing and transportation needs at least once during the measurement period, and the percentage of persons with a positive screen or identified need for food, housing or transportation who received an intervention corresponding to the positive screen or identified need within 30 days.</w:t>
            </w:r>
          </w:p>
        </w:tc>
      </w:tr>
      <w:tr w:rsidR="00F75C9A" w:rsidRPr="005D4222" w14:paraId="1E7A1471" w14:textId="77777777" w:rsidTr="00A53E8C">
        <w:tc>
          <w:tcPr>
            <w:tcW w:w="2067" w:type="dxa"/>
            <w:shd w:val="clear" w:color="auto" w:fill="BFBFBF" w:themeFill="background1" w:themeFillShade="BF"/>
            <w:tcMar>
              <w:top w:w="0" w:type="dxa"/>
              <w:left w:w="86" w:type="dxa"/>
              <w:bottom w:w="43" w:type="dxa"/>
              <w:right w:w="86" w:type="dxa"/>
            </w:tcMar>
          </w:tcPr>
          <w:p w14:paraId="681C79A6" w14:textId="77777777" w:rsidR="00F75C9A" w:rsidRPr="005D4222" w:rsidRDefault="00F75C9A" w:rsidP="00A53E8C">
            <w:pPr>
              <w:pStyle w:val="ECDSMarginHead"/>
            </w:pPr>
            <w:r w:rsidRPr="005D4222">
              <w:t>Measurement period</w:t>
            </w:r>
          </w:p>
        </w:tc>
        <w:tc>
          <w:tcPr>
            <w:tcW w:w="7650" w:type="dxa"/>
            <w:gridSpan w:val="3"/>
            <w:tcMar>
              <w:top w:w="0" w:type="dxa"/>
              <w:left w:w="86" w:type="dxa"/>
              <w:bottom w:w="43" w:type="dxa"/>
              <w:right w:w="86" w:type="dxa"/>
            </w:tcMar>
          </w:tcPr>
          <w:p w14:paraId="2773BF2E" w14:textId="77777777" w:rsidR="00F75C9A" w:rsidRPr="005D4222" w:rsidRDefault="00F75C9A" w:rsidP="00A53E8C">
            <w:pPr>
              <w:pStyle w:val="ECDSBody"/>
            </w:pPr>
            <w:r w:rsidRPr="005D4222">
              <w:t>January 1–December 31.</w:t>
            </w:r>
          </w:p>
        </w:tc>
      </w:tr>
      <w:tr w:rsidR="00F75C9A" w:rsidRPr="005D4222" w14:paraId="61FED3E9" w14:textId="77777777" w:rsidTr="00A53E8C">
        <w:tc>
          <w:tcPr>
            <w:tcW w:w="2067" w:type="dxa"/>
            <w:shd w:val="clear" w:color="auto" w:fill="BFBFBF" w:themeFill="background1" w:themeFillShade="BF"/>
            <w:tcMar>
              <w:top w:w="0" w:type="dxa"/>
              <w:left w:w="86" w:type="dxa"/>
              <w:bottom w:w="43" w:type="dxa"/>
              <w:right w:w="86" w:type="dxa"/>
            </w:tcMar>
            <w:hideMark/>
          </w:tcPr>
          <w:p w14:paraId="4C6EE687" w14:textId="77777777" w:rsidR="00F75C9A" w:rsidRPr="005D4222" w:rsidRDefault="00F75C9A" w:rsidP="00A53E8C">
            <w:pPr>
              <w:pStyle w:val="ECDSMarginHead"/>
              <w:rPr>
                <w:rFonts w:eastAsia="Arial"/>
              </w:rPr>
            </w:pPr>
            <w:r w:rsidRPr="005D4222">
              <w:rPr>
                <w:rFonts w:eastAsia="Arial"/>
              </w:rPr>
              <w:t>Copyright and disclaimer notice</w:t>
            </w:r>
          </w:p>
        </w:tc>
        <w:tc>
          <w:tcPr>
            <w:tcW w:w="7650" w:type="dxa"/>
            <w:gridSpan w:val="3"/>
            <w:tcMar>
              <w:top w:w="0" w:type="dxa"/>
              <w:left w:w="86" w:type="dxa"/>
              <w:bottom w:w="43" w:type="dxa"/>
              <w:right w:w="86" w:type="dxa"/>
            </w:tcMar>
          </w:tcPr>
          <w:p w14:paraId="558E9AB7" w14:textId="77777777" w:rsidR="00F75C9A" w:rsidRPr="005D4222" w:rsidRDefault="00F75C9A" w:rsidP="00A53E8C">
            <w:pPr>
              <w:pStyle w:val="ECDSBody"/>
            </w:pPr>
            <w:r w:rsidRPr="005D4222">
              <w:t xml:space="preserve">Refer to the complete copyright and disclaimer information at the front of this publication. </w:t>
            </w:r>
          </w:p>
          <w:p w14:paraId="5AD237DE" w14:textId="77777777" w:rsidR="00F75C9A" w:rsidRPr="005D4222" w:rsidRDefault="00F75C9A" w:rsidP="00A53E8C">
            <w:pPr>
              <w:pStyle w:val="ECDSBody"/>
              <w:spacing w:before="80"/>
            </w:pPr>
            <w:r w:rsidRPr="005D4222">
              <w:t xml:space="preserve">NCQA website: </w:t>
            </w:r>
            <w:r w:rsidRPr="005D4222">
              <w:rPr>
                <w:u w:val="single"/>
              </w:rPr>
              <w:t>www.ncqa.org</w:t>
            </w:r>
            <w:r w:rsidRPr="005D4222">
              <w:t xml:space="preserve">.  </w:t>
            </w:r>
          </w:p>
          <w:p w14:paraId="4DB6343D" w14:textId="77777777" w:rsidR="00F75C9A" w:rsidRPr="005D4222" w:rsidRDefault="00F75C9A" w:rsidP="00A53E8C">
            <w:pPr>
              <w:pStyle w:val="ECDSBody"/>
              <w:spacing w:before="80"/>
              <w:rPr>
                <w:sz w:val="18"/>
                <w:szCs w:val="18"/>
              </w:rPr>
            </w:pPr>
            <w:r w:rsidRPr="005D4222">
              <w:t>Submit policy clarification support questions via My NCQA (</w:t>
            </w:r>
            <w:r w:rsidRPr="005D4222">
              <w:rPr>
                <w:u w:val="single"/>
              </w:rPr>
              <w:t>https://my.ncqa.org</w:t>
            </w:r>
            <w:r w:rsidRPr="005D4222">
              <w:t>).</w:t>
            </w:r>
          </w:p>
        </w:tc>
      </w:tr>
      <w:tr w:rsidR="00F75C9A" w:rsidRPr="005D4222" w14:paraId="5C19FD35" w14:textId="77777777" w:rsidTr="00A53E8C">
        <w:trPr>
          <w:trHeight w:val="655"/>
        </w:trPr>
        <w:tc>
          <w:tcPr>
            <w:tcW w:w="2067" w:type="dxa"/>
            <w:shd w:val="clear" w:color="auto" w:fill="BFBFBF" w:themeFill="background1" w:themeFillShade="BF"/>
            <w:tcMar>
              <w:top w:w="0" w:type="dxa"/>
              <w:left w:w="86" w:type="dxa"/>
              <w:bottom w:w="43" w:type="dxa"/>
              <w:right w:w="86" w:type="dxa"/>
            </w:tcMar>
            <w:hideMark/>
          </w:tcPr>
          <w:p w14:paraId="081483FD" w14:textId="77777777" w:rsidR="00F75C9A" w:rsidRPr="005D4222" w:rsidRDefault="00F75C9A" w:rsidP="00A53E8C">
            <w:pPr>
              <w:pStyle w:val="ECDSMarginHead"/>
            </w:pPr>
            <w:r w:rsidRPr="005D4222">
              <w:t>Clinical recommendation statement/ rationale</w:t>
            </w:r>
          </w:p>
        </w:tc>
        <w:tc>
          <w:tcPr>
            <w:tcW w:w="7650" w:type="dxa"/>
            <w:gridSpan w:val="3"/>
            <w:tcMar>
              <w:top w:w="0" w:type="dxa"/>
              <w:left w:w="86" w:type="dxa"/>
              <w:bottom w:w="43" w:type="dxa"/>
              <w:right w:w="86" w:type="dxa"/>
            </w:tcMar>
          </w:tcPr>
          <w:p w14:paraId="16183B6F" w14:textId="77777777" w:rsidR="00F75C9A" w:rsidRPr="005D4222" w:rsidRDefault="00F75C9A" w:rsidP="00A53E8C">
            <w:pPr>
              <w:pStyle w:val="ECDSBody"/>
            </w:pPr>
            <w:r w:rsidRPr="005D4222">
              <w:t>The American Academy of Family Physicians urges health insurers and payers to provide appropriate payment to support health care practices to identify, monitor, assess and address social determinants of health.  </w:t>
            </w:r>
          </w:p>
          <w:p w14:paraId="3AACBF7B" w14:textId="77777777" w:rsidR="00F75C9A" w:rsidRPr="005D4222" w:rsidRDefault="00F75C9A" w:rsidP="00A53E8C">
            <w:pPr>
              <w:pStyle w:val="ECDSBody"/>
            </w:pPr>
            <w:r w:rsidRPr="005D4222">
              <w:t>The American Academy of Pediatrics recommends surveillance for risk factors related to social determinants of health during all patient encounters. </w:t>
            </w:r>
          </w:p>
          <w:p w14:paraId="103AA754" w14:textId="77777777" w:rsidR="00F75C9A" w:rsidRPr="005D4222" w:rsidRDefault="00F75C9A" w:rsidP="00A53E8C">
            <w:pPr>
              <w:pStyle w:val="ECDSBody"/>
            </w:pPr>
            <w:r w:rsidRPr="005D4222">
              <w:t>The American Diabetes Association recommends assessing food insecurity, housing insecurity/homelessness, financial barriers and social capital/social community support to inform treatment decisions, with referral to appropriate local community resources.  </w:t>
            </w:r>
          </w:p>
          <w:p w14:paraId="35320C98" w14:textId="77777777" w:rsidR="00F75C9A" w:rsidRPr="005D4222" w:rsidRDefault="00F75C9A" w:rsidP="00A53E8C">
            <w:pPr>
              <w:pStyle w:val="ECDSBody"/>
              <w:rPr>
                <w:rFonts w:ascii="Segoe UI" w:hAnsi="Segoe UI" w:cs="Segoe UI"/>
                <w:sz w:val="18"/>
                <w:szCs w:val="18"/>
              </w:rPr>
            </w:pPr>
            <w:r w:rsidRPr="005D4222">
              <w:t xml:space="preserve">The United States Preventive Services Task Force (USPSTF) found insufficient evidence to determine the impact of screening for food insecurity in primary care settings. The Task Force did not review evidence for other social needs. </w:t>
            </w:r>
          </w:p>
        </w:tc>
      </w:tr>
      <w:tr w:rsidR="00F75C9A" w:rsidRPr="005D4222" w14:paraId="7869C1D9" w14:textId="77777777" w:rsidTr="00A53E8C">
        <w:tc>
          <w:tcPr>
            <w:tcW w:w="2067" w:type="dxa"/>
            <w:shd w:val="clear" w:color="auto" w:fill="BFBFBF" w:themeFill="background1" w:themeFillShade="BF"/>
            <w:tcMar>
              <w:top w:w="0" w:type="dxa"/>
              <w:left w:w="86" w:type="dxa"/>
              <w:bottom w:w="43" w:type="dxa"/>
              <w:right w:w="86" w:type="dxa"/>
            </w:tcMar>
          </w:tcPr>
          <w:p w14:paraId="6C13B9DC" w14:textId="77777777" w:rsidR="00F75C9A" w:rsidRPr="005D4222" w:rsidRDefault="00F75C9A" w:rsidP="00A53E8C">
            <w:pPr>
              <w:pStyle w:val="ECDSMarginHead"/>
            </w:pPr>
            <w:r w:rsidRPr="005D4222">
              <w:t>Citations</w:t>
            </w:r>
          </w:p>
        </w:tc>
        <w:tc>
          <w:tcPr>
            <w:tcW w:w="7650" w:type="dxa"/>
            <w:gridSpan w:val="3"/>
            <w:tcBorders>
              <w:right w:val="single" w:sz="4" w:space="0" w:color="auto"/>
            </w:tcBorders>
            <w:tcMar>
              <w:top w:w="0" w:type="dxa"/>
              <w:left w:w="86" w:type="dxa"/>
              <w:bottom w:w="43" w:type="dxa"/>
              <w:right w:w="86" w:type="dxa"/>
            </w:tcMar>
          </w:tcPr>
          <w:p w14:paraId="4BCE246F" w14:textId="77777777" w:rsidR="00F75C9A" w:rsidRPr="005D4222" w:rsidRDefault="00F75C9A" w:rsidP="00A53E8C">
            <w:pPr>
              <w:pStyle w:val="ECDSBody"/>
            </w:pPr>
            <w:r w:rsidRPr="005D4222">
              <w:t>American Academy of Family Physicians. 2019. “Advancing Health Equity by Addressing the Social Determinants of Health in Family Medicine (Position Paper).” https://www.aafp.org/about/policies/all/social-determinants-health-family-medicine-position-paper.html </w:t>
            </w:r>
          </w:p>
          <w:p w14:paraId="3E588560" w14:textId="77777777" w:rsidR="00F75C9A" w:rsidRPr="00CA76B0" w:rsidRDefault="00F75C9A" w:rsidP="00A53E8C">
            <w:pPr>
              <w:pStyle w:val="ECDSBody"/>
              <w:rPr>
                <w:lang w:val="fr-FR"/>
              </w:rPr>
            </w:pPr>
            <w:r w:rsidRPr="005D4222">
              <w:t xml:space="preserve">American Academy of Pediatrics. 2016. “Poverty and Child Health in the United States.” </w:t>
            </w:r>
            <w:r w:rsidRPr="005D4222">
              <w:br/>
            </w:r>
            <w:r w:rsidRPr="00CA76B0">
              <w:rPr>
                <w:lang w:val="fr-FR"/>
              </w:rPr>
              <w:t>https://pediatrics.aappublications.org/content/137/4/e20160339#sec-12 </w:t>
            </w:r>
          </w:p>
          <w:p w14:paraId="65017F8D" w14:textId="77777777" w:rsidR="00F75C9A" w:rsidRPr="005D4222" w:rsidRDefault="00F75C9A" w:rsidP="00A53E8C">
            <w:pPr>
              <w:pStyle w:val="ECDSBody"/>
            </w:pPr>
            <w:r w:rsidRPr="00CA76B0">
              <w:rPr>
                <w:lang w:val="fr-FR"/>
              </w:rPr>
              <w:t xml:space="preserve">American Diabetes Association. </w:t>
            </w:r>
            <w:r w:rsidRPr="005D4222">
              <w:t>2022. “Standards of Medical Care in Diabetes-2022.”</w:t>
            </w:r>
            <w:r w:rsidRPr="005D4222">
              <w:rPr>
                <w:i/>
                <w:iCs/>
              </w:rPr>
              <w:t xml:space="preserve"> Diabetes Care</w:t>
            </w:r>
            <w:r w:rsidRPr="005D4222">
              <w:t xml:space="preserve"> 45(Suppl 1)  S4–7. doi:10.2337/dc22-Srev </w:t>
            </w:r>
          </w:p>
          <w:p w14:paraId="05872F99" w14:textId="77777777" w:rsidR="00F75C9A" w:rsidRPr="005D4222" w:rsidRDefault="00F75C9A" w:rsidP="00A53E8C">
            <w:pPr>
              <w:pStyle w:val="ECDSBody"/>
            </w:pPr>
            <w:r w:rsidRPr="005D4222">
              <w:t xml:space="preserve">US Preventive Services Task Force. 2025. “Screening for Food Insecurity: US Preventive Services Task Force Recommendation Statement.” </w:t>
            </w:r>
            <w:r w:rsidRPr="005D4222">
              <w:rPr>
                <w:i/>
                <w:iCs/>
              </w:rPr>
              <w:t xml:space="preserve">JAMA. </w:t>
            </w:r>
            <w:r w:rsidRPr="005D4222">
              <w:t>doi:10.1001/jama.2025.0879</w:t>
            </w:r>
          </w:p>
          <w:p w14:paraId="2E39BF39" w14:textId="77777777" w:rsidR="00F75C9A" w:rsidRPr="005D4222" w:rsidRDefault="00F75C9A" w:rsidP="00A53E8C">
            <w:pPr>
              <w:pStyle w:val="ECDSBody"/>
              <w:rPr>
                <w:rFonts w:ascii="Segoe UI" w:hAnsi="Segoe UI" w:cs="Segoe UI"/>
                <w:sz w:val="18"/>
                <w:szCs w:val="18"/>
              </w:rPr>
            </w:pPr>
            <w:r w:rsidRPr="005D4222">
              <w:t>The Gravity Project. “Terminology Workstream Dashboard.” The Gravity Project Confluence, n.d. https://confluence.hl7.org/display/GRAV/Terminology+Workstream+Dashboard</w:t>
            </w:r>
          </w:p>
        </w:tc>
      </w:tr>
      <w:tr w:rsidR="00F75C9A" w:rsidRPr="005D4222" w14:paraId="61E571AA" w14:textId="77777777" w:rsidTr="00A53E8C">
        <w:tc>
          <w:tcPr>
            <w:tcW w:w="9717" w:type="dxa"/>
            <w:gridSpan w:val="4"/>
            <w:tcBorders>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59C12641" w14:textId="77777777" w:rsidR="00F75C9A" w:rsidRPr="005D4222" w:rsidRDefault="00F75C9A" w:rsidP="00A53E8C">
            <w:pPr>
              <w:pStyle w:val="ECDSMarginHead"/>
            </w:pPr>
            <w:r w:rsidRPr="005D4222">
              <w:lastRenderedPageBreak/>
              <w:t>Characteristics</w:t>
            </w:r>
          </w:p>
        </w:tc>
      </w:tr>
      <w:tr w:rsidR="00F75C9A" w:rsidRPr="005D4222" w14:paraId="1F1DE7EB" w14:textId="77777777" w:rsidTr="00A53E8C">
        <w:tc>
          <w:tcPr>
            <w:tcW w:w="2067" w:type="dxa"/>
            <w:tcBorders>
              <w:top w:val="single" w:sz="4" w:space="0" w:color="auto"/>
              <w:left w:val="single" w:sz="4" w:space="0" w:color="auto"/>
              <w:bottom w:val="nil"/>
              <w:right w:val="single" w:sz="4" w:space="0" w:color="auto"/>
            </w:tcBorders>
            <w:tcMar>
              <w:top w:w="0" w:type="dxa"/>
              <w:left w:w="86" w:type="dxa"/>
              <w:bottom w:w="43" w:type="dxa"/>
              <w:right w:w="86" w:type="dxa"/>
            </w:tcMar>
          </w:tcPr>
          <w:p w14:paraId="3A466FBC" w14:textId="77777777" w:rsidR="00F75C9A" w:rsidRPr="005D4222" w:rsidRDefault="00F75C9A" w:rsidP="00BD378D">
            <w:pPr>
              <w:pStyle w:val="ECDSMarginSubhead"/>
              <w:spacing w:after="0"/>
            </w:pPr>
            <w:r w:rsidRPr="005D4222">
              <w:t>Scoring</w:t>
            </w:r>
          </w:p>
        </w:tc>
        <w:tc>
          <w:tcPr>
            <w:tcW w:w="7650" w:type="dxa"/>
            <w:gridSpan w:val="3"/>
            <w:tcBorders>
              <w:top w:val="single" w:sz="4" w:space="0" w:color="auto"/>
              <w:left w:val="single" w:sz="4" w:space="0" w:color="auto"/>
              <w:bottom w:val="nil"/>
              <w:right w:val="single" w:sz="4" w:space="0" w:color="auto"/>
            </w:tcBorders>
            <w:tcMar>
              <w:top w:w="0" w:type="dxa"/>
              <w:left w:w="86" w:type="dxa"/>
              <w:bottom w:w="43" w:type="dxa"/>
              <w:right w:w="86" w:type="dxa"/>
            </w:tcMar>
            <w:hideMark/>
          </w:tcPr>
          <w:p w14:paraId="3B394521" w14:textId="77777777" w:rsidR="00F75C9A" w:rsidRPr="005D4222" w:rsidRDefault="00F75C9A" w:rsidP="00BD378D">
            <w:pPr>
              <w:pStyle w:val="ECDSBody"/>
              <w:spacing w:after="0"/>
            </w:pPr>
            <w:r w:rsidRPr="005D4222">
              <w:t>Proportion.</w:t>
            </w:r>
          </w:p>
        </w:tc>
      </w:tr>
      <w:tr w:rsidR="00F75C9A" w:rsidRPr="005D4222" w14:paraId="212289C1" w14:textId="77777777" w:rsidTr="00A53E8C">
        <w:tc>
          <w:tcPr>
            <w:tcW w:w="2067" w:type="dxa"/>
            <w:tcBorders>
              <w:top w:val="nil"/>
              <w:left w:val="single" w:sz="4" w:space="0" w:color="auto"/>
              <w:bottom w:val="nil"/>
              <w:right w:val="single" w:sz="4" w:space="0" w:color="auto"/>
            </w:tcBorders>
            <w:tcMar>
              <w:top w:w="0" w:type="dxa"/>
              <w:left w:w="86" w:type="dxa"/>
              <w:bottom w:w="43" w:type="dxa"/>
              <w:right w:w="86" w:type="dxa"/>
            </w:tcMar>
          </w:tcPr>
          <w:p w14:paraId="5956EF8C" w14:textId="77777777" w:rsidR="00F75C9A" w:rsidRPr="005D4222" w:rsidRDefault="00F75C9A" w:rsidP="00BD378D">
            <w:pPr>
              <w:pStyle w:val="ECDSMarginSubhead"/>
              <w:spacing w:after="0"/>
            </w:pPr>
            <w:r w:rsidRPr="005D4222">
              <w:t>Type</w:t>
            </w:r>
          </w:p>
        </w:tc>
        <w:tc>
          <w:tcPr>
            <w:tcW w:w="7650" w:type="dxa"/>
            <w:gridSpan w:val="3"/>
            <w:tcBorders>
              <w:top w:val="nil"/>
              <w:left w:val="single" w:sz="4" w:space="0" w:color="auto"/>
              <w:bottom w:val="nil"/>
              <w:right w:val="single" w:sz="4" w:space="0" w:color="auto"/>
            </w:tcBorders>
            <w:tcMar>
              <w:top w:w="0" w:type="dxa"/>
              <w:left w:w="86" w:type="dxa"/>
              <w:bottom w:w="43" w:type="dxa"/>
              <w:right w:w="86" w:type="dxa"/>
            </w:tcMar>
          </w:tcPr>
          <w:p w14:paraId="7730AB24" w14:textId="77777777" w:rsidR="00F75C9A" w:rsidRPr="005D4222" w:rsidRDefault="00F75C9A" w:rsidP="00BD378D">
            <w:pPr>
              <w:pStyle w:val="ECDSBody"/>
              <w:spacing w:after="0"/>
            </w:pPr>
            <w:r w:rsidRPr="005D4222">
              <w:t xml:space="preserve">Process. </w:t>
            </w:r>
          </w:p>
        </w:tc>
      </w:tr>
      <w:tr w:rsidR="00F75C9A" w:rsidRPr="005D4222" w14:paraId="398E5FD5" w14:textId="77777777" w:rsidTr="00A53E8C">
        <w:tc>
          <w:tcPr>
            <w:tcW w:w="2067" w:type="dxa"/>
            <w:tcBorders>
              <w:top w:val="nil"/>
              <w:left w:val="single" w:sz="4" w:space="0" w:color="auto"/>
              <w:bottom w:val="nil"/>
              <w:right w:val="single" w:sz="4" w:space="0" w:color="auto"/>
            </w:tcBorders>
            <w:tcMar>
              <w:top w:w="0" w:type="dxa"/>
              <w:left w:w="86" w:type="dxa"/>
              <w:bottom w:w="43" w:type="dxa"/>
              <w:right w:w="86" w:type="dxa"/>
            </w:tcMar>
          </w:tcPr>
          <w:p w14:paraId="450B6663" w14:textId="4EBA5F47" w:rsidR="00F75C9A" w:rsidRPr="005D4222" w:rsidRDefault="00B51CDC" w:rsidP="00BD378D">
            <w:pPr>
              <w:pStyle w:val="ECDSMarginSubhead"/>
              <w:spacing w:after="0"/>
            </w:pPr>
            <w:r w:rsidRPr="005D4222">
              <w:t>Product lines</w:t>
            </w:r>
          </w:p>
        </w:tc>
        <w:tc>
          <w:tcPr>
            <w:tcW w:w="7650" w:type="dxa"/>
            <w:gridSpan w:val="3"/>
            <w:tcBorders>
              <w:top w:val="nil"/>
              <w:left w:val="single" w:sz="4" w:space="0" w:color="auto"/>
              <w:bottom w:val="nil"/>
              <w:right w:val="single" w:sz="4" w:space="0" w:color="auto"/>
            </w:tcBorders>
            <w:tcMar>
              <w:top w:w="0" w:type="dxa"/>
              <w:left w:w="86" w:type="dxa"/>
              <w:bottom w:w="43" w:type="dxa"/>
              <w:right w:w="86" w:type="dxa"/>
            </w:tcMar>
          </w:tcPr>
          <w:p w14:paraId="6163C36C" w14:textId="77777777" w:rsidR="00F75C9A" w:rsidRPr="005D4222" w:rsidRDefault="00F75C9A" w:rsidP="005D6173">
            <w:pPr>
              <w:pStyle w:val="ProcessBullet"/>
              <w:numPr>
                <w:ilvl w:val="0"/>
                <w:numId w:val="175"/>
              </w:numPr>
              <w:tabs>
                <w:tab w:val="left" w:pos="216"/>
              </w:tabs>
              <w:spacing w:before="120"/>
              <w:ind w:left="216" w:hanging="216"/>
            </w:pPr>
            <w:r w:rsidRPr="005D4222">
              <w:t>Commercial.</w:t>
            </w:r>
          </w:p>
          <w:p w14:paraId="4B4CEFCF" w14:textId="77777777" w:rsidR="00F75C9A" w:rsidRPr="005D4222" w:rsidRDefault="00F75C9A" w:rsidP="005D6173">
            <w:pPr>
              <w:pStyle w:val="ProcessBullet"/>
              <w:numPr>
                <w:ilvl w:val="0"/>
                <w:numId w:val="175"/>
              </w:numPr>
              <w:tabs>
                <w:tab w:val="left" w:pos="216"/>
              </w:tabs>
              <w:ind w:left="216" w:hanging="216"/>
            </w:pPr>
            <w:r w:rsidRPr="005D4222">
              <w:t>Medicaid.</w:t>
            </w:r>
          </w:p>
          <w:p w14:paraId="6198AF6A" w14:textId="77777777" w:rsidR="00F75C9A" w:rsidRPr="005D4222" w:rsidRDefault="00F75C9A" w:rsidP="005D6173">
            <w:pPr>
              <w:pStyle w:val="ProcessBullet"/>
              <w:numPr>
                <w:ilvl w:val="0"/>
                <w:numId w:val="175"/>
              </w:numPr>
              <w:tabs>
                <w:tab w:val="left" w:pos="216"/>
              </w:tabs>
              <w:ind w:left="216" w:hanging="216"/>
            </w:pPr>
            <w:r w:rsidRPr="005D4222">
              <w:t>Medicare.</w:t>
            </w:r>
          </w:p>
        </w:tc>
      </w:tr>
      <w:tr w:rsidR="00F75C9A" w:rsidRPr="005D4222" w14:paraId="564339EB" w14:textId="77777777" w:rsidTr="00A53E8C">
        <w:tc>
          <w:tcPr>
            <w:tcW w:w="2067" w:type="dxa"/>
            <w:tcBorders>
              <w:top w:val="nil"/>
              <w:left w:val="single" w:sz="4" w:space="0" w:color="auto"/>
              <w:bottom w:val="nil"/>
              <w:right w:val="single" w:sz="4" w:space="0" w:color="auto"/>
            </w:tcBorders>
            <w:tcMar>
              <w:top w:w="0" w:type="dxa"/>
              <w:left w:w="86" w:type="dxa"/>
              <w:bottom w:w="43" w:type="dxa"/>
              <w:right w:w="86" w:type="dxa"/>
            </w:tcMar>
          </w:tcPr>
          <w:p w14:paraId="25FF3E8E" w14:textId="6A89AB65" w:rsidR="00F75C9A" w:rsidRPr="005D4222" w:rsidRDefault="00B51CDC" w:rsidP="00BD378D">
            <w:pPr>
              <w:pStyle w:val="ECDSMarginSubhead"/>
              <w:spacing w:after="0"/>
            </w:pPr>
            <w:r w:rsidRPr="005D4222">
              <w:t>Stratifications</w:t>
            </w:r>
            <w:r w:rsidR="00F75C9A" w:rsidRPr="005D4222">
              <w:t xml:space="preserve"> </w:t>
            </w:r>
          </w:p>
        </w:tc>
        <w:tc>
          <w:tcPr>
            <w:tcW w:w="7650"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4C0F8EB3" w14:textId="77777777" w:rsidR="00F75C9A" w:rsidRPr="005D4222" w:rsidRDefault="00F75C9A" w:rsidP="00BD378D">
            <w:pPr>
              <w:pStyle w:val="ECDSBody"/>
              <w:spacing w:after="0"/>
              <w:rPr>
                <w:rFonts w:eastAsia="Arial,Arial,Arial,Arial,Arial,A"/>
              </w:rPr>
            </w:pPr>
            <w:r w:rsidRPr="005D4222">
              <w:rPr>
                <w:rFonts w:eastAsia="Arial,Arial,Arial,Arial,Arial,A"/>
              </w:rPr>
              <w:t xml:space="preserve">Age </w:t>
            </w:r>
            <w:r w:rsidRPr="005D4222">
              <w:t>as of the start of the measurement period</w:t>
            </w:r>
            <w:r w:rsidRPr="005D4222">
              <w:rPr>
                <w:rFonts w:eastAsia="Arial,Arial,Arial,Arial,Arial,A"/>
              </w:rPr>
              <w:t>.</w:t>
            </w:r>
          </w:p>
          <w:p w14:paraId="0BE23CF3" w14:textId="77777777" w:rsidR="00F75C9A" w:rsidRPr="005D4222" w:rsidRDefault="00F75C9A" w:rsidP="00BD378D">
            <w:pPr>
              <w:pStyle w:val="Bullet"/>
              <w:numPr>
                <w:ilvl w:val="0"/>
                <w:numId w:val="4"/>
              </w:numPr>
              <w:tabs>
                <w:tab w:val="left" w:pos="360"/>
                <w:tab w:val="left" w:pos="576"/>
              </w:tabs>
              <w:ind w:left="576" w:hanging="216"/>
              <w:rPr>
                <w:rFonts w:eastAsia="Arial,Arial,Arial,Arial,Arial,A"/>
              </w:rPr>
            </w:pPr>
            <w:r w:rsidRPr="005D4222">
              <w:rPr>
                <w:rFonts w:eastAsia="Arial,Arial,Arial,Arial,Arial,A" w:cs="Arial"/>
              </w:rPr>
              <w:t>≤</w:t>
            </w:r>
            <w:r w:rsidRPr="005D4222">
              <w:rPr>
                <w:rFonts w:eastAsia="Arial,Arial,Arial,Arial,Arial,A"/>
              </w:rPr>
              <w:t>17 years.</w:t>
            </w:r>
          </w:p>
          <w:p w14:paraId="0148FA8B" w14:textId="77777777" w:rsidR="00F75C9A" w:rsidRPr="005D4222" w:rsidRDefault="00F75C9A" w:rsidP="00BD378D">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18–64 years.</w:t>
            </w:r>
          </w:p>
          <w:p w14:paraId="67C045D0" w14:textId="77777777" w:rsidR="00F75C9A" w:rsidRPr="005D4222" w:rsidRDefault="00F75C9A" w:rsidP="00BD378D">
            <w:pPr>
              <w:pStyle w:val="Bullet"/>
              <w:numPr>
                <w:ilvl w:val="0"/>
                <w:numId w:val="4"/>
              </w:numPr>
              <w:tabs>
                <w:tab w:val="left" w:pos="360"/>
                <w:tab w:val="left" w:pos="576"/>
              </w:tabs>
              <w:ind w:left="576" w:hanging="216"/>
              <w:rPr>
                <w:rFonts w:eastAsia="Arial,Arial,Arial,Arial,Arial,A"/>
              </w:rPr>
            </w:pPr>
            <w:r w:rsidRPr="005D4222">
              <w:rPr>
                <w:rFonts w:eastAsia="Arial,Arial,Arial,Arial,Arial,A"/>
              </w:rPr>
              <w:t xml:space="preserve">65 years and older. </w:t>
            </w:r>
          </w:p>
        </w:tc>
      </w:tr>
      <w:tr w:rsidR="00F75C9A" w:rsidRPr="005D4222" w14:paraId="3D43ECFF" w14:textId="77777777" w:rsidTr="00A53E8C">
        <w:tc>
          <w:tcPr>
            <w:tcW w:w="2067" w:type="dxa"/>
            <w:tcBorders>
              <w:top w:val="nil"/>
              <w:left w:val="single" w:sz="4" w:space="0" w:color="auto"/>
              <w:bottom w:val="nil"/>
              <w:right w:val="single" w:sz="4" w:space="0" w:color="auto"/>
            </w:tcBorders>
            <w:tcMar>
              <w:top w:w="0" w:type="dxa"/>
              <w:left w:w="86" w:type="dxa"/>
              <w:bottom w:w="43" w:type="dxa"/>
              <w:right w:w="86" w:type="dxa"/>
            </w:tcMar>
          </w:tcPr>
          <w:p w14:paraId="6C11CD40" w14:textId="77777777" w:rsidR="00F75C9A" w:rsidRPr="005D4222" w:rsidRDefault="00F75C9A" w:rsidP="00BD378D">
            <w:pPr>
              <w:pStyle w:val="ECDSMarginSubhead"/>
              <w:spacing w:after="0"/>
            </w:pPr>
            <w:r w:rsidRPr="005D4222">
              <w:t>Risk adjustment</w:t>
            </w:r>
          </w:p>
        </w:tc>
        <w:tc>
          <w:tcPr>
            <w:tcW w:w="7650"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01FC0B23" w14:textId="77777777" w:rsidR="00F75C9A" w:rsidRPr="005D4222" w:rsidRDefault="00F75C9A" w:rsidP="00BD378D">
            <w:pPr>
              <w:pStyle w:val="ECDSBody"/>
              <w:spacing w:after="0"/>
            </w:pPr>
            <w:r w:rsidRPr="005D4222">
              <w:t>None.</w:t>
            </w:r>
          </w:p>
        </w:tc>
      </w:tr>
      <w:tr w:rsidR="00F75C9A" w:rsidRPr="005D4222" w14:paraId="7F13267F" w14:textId="77777777" w:rsidTr="00A53E8C">
        <w:tc>
          <w:tcPr>
            <w:tcW w:w="2067" w:type="dxa"/>
            <w:tcBorders>
              <w:top w:val="nil"/>
              <w:left w:val="single" w:sz="4" w:space="0" w:color="auto"/>
              <w:bottom w:val="nil"/>
              <w:right w:val="single" w:sz="4" w:space="0" w:color="auto"/>
            </w:tcBorders>
            <w:tcMar>
              <w:top w:w="0" w:type="dxa"/>
              <w:left w:w="86" w:type="dxa"/>
              <w:bottom w:w="43" w:type="dxa"/>
              <w:right w:w="86" w:type="dxa"/>
            </w:tcMar>
          </w:tcPr>
          <w:p w14:paraId="71E7BDB7" w14:textId="77777777" w:rsidR="00F75C9A" w:rsidRPr="005D4222" w:rsidRDefault="00F75C9A" w:rsidP="00BD378D">
            <w:pPr>
              <w:pStyle w:val="ECDSMarginSubhead"/>
              <w:spacing w:after="0"/>
            </w:pPr>
            <w:r w:rsidRPr="005D4222">
              <w:t>Improvement notation</w:t>
            </w:r>
          </w:p>
        </w:tc>
        <w:tc>
          <w:tcPr>
            <w:tcW w:w="7650" w:type="dxa"/>
            <w:gridSpan w:val="3"/>
            <w:tcBorders>
              <w:top w:val="nil"/>
              <w:left w:val="single" w:sz="4" w:space="0" w:color="auto"/>
              <w:bottom w:val="nil"/>
              <w:right w:val="single" w:sz="4" w:space="0" w:color="auto"/>
            </w:tcBorders>
            <w:tcMar>
              <w:top w:w="0" w:type="dxa"/>
              <w:left w:w="86" w:type="dxa"/>
              <w:bottom w:w="43" w:type="dxa"/>
              <w:right w:w="86" w:type="dxa"/>
            </w:tcMar>
            <w:hideMark/>
          </w:tcPr>
          <w:p w14:paraId="62660678" w14:textId="77777777" w:rsidR="00F75C9A" w:rsidRPr="005D4222" w:rsidRDefault="00F75C9A" w:rsidP="00BD378D">
            <w:pPr>
              <w:pStyle w:val="ECDSBody"/>
              <w:spacing w:after="0"/>
            </w:pPr>
            <w:r w:rsidRPr="005D4222">
              <w:t>Increased score indicates improvement.</w:t>
            </w:r>
          </w:p>
        </w:tc>
      </w:tr>
      <w:tr w:rsidR="00F75C9A" w:rsidRPr="005D4222" w14:paraId="5E7E5720" w14:textId="77777777" w:rsidTr="00A53E8C">
        <w:tc>
          <w:tcPr>
            <w:tcW w:w="2067" w:type="dxa"/>
            <w:tcBorders>
              <w:top w:val="nil"/>
              <w:left w:val="single" w:sz="4" w:space="0" w:color="auto"/>
              <w:bottom w:val="single" w:sz="4" w:space="0" w:color="auto"/>
              <w:right w:val="single" w:sz="4" w:space="0" w:color="auto"/>
            </w:tcBorders>
            <w:tcMar>
              <w:top w:w="0" w:type="dxa"/>
              <w:left w:w="86" w:type="dxa"/>
              <w:bottom w:w="43" w:type="dxa"/>
              <w:right w:w="86" w:type="dxa"/>
            </w:tcMar>
          </w:tcPr>
          <w:p w14:paraId="1CB8CE79" w14:textId="77777777" w:rsidR="00F75C9A" w:rsidRPr="005D4222" w:rsidRDefault="00F75C9A" w:rsidP="00A53E8C">
            <w:pPr>
              <w:pStyle w:val="ECDSMarginSubhead"/>
            </w:pPr>
            <w:r w:rsidRPr="005D4222">
              <w:t>Guidance</w:t>
            </w:r>
          </w:p>
        </w:tc>
        <w:tc>
          <w:tcPr>
            <w:tcW w:w="7650" w:type="dxa"/>
            <w:gridSpan w:val="3"/>
            <w:tcBorders>
              <w:top w:val="nil"/>
              <w:left w:val="single" w:sz="4" w:space="0" w:color="auto"/>
              <w:bottom w:val="single" w:sz="4" w:space="0" w:color="auto"/>
              <w:right w:val="single" w:sz="4" w:space="0" w:color="auto"/>
            </w:tcBorders>
            <w:tcMar>
              <w:top w:w="0" w:type="dxa"/>
              <w:left w:w="86" w:type="dxa"/>
              <w:bottom w:w="43" w:type="dxa"/>
              <w:right w:w="86" w:type="dxa"/>
            </w:tcMar>
          </w:tcPr>
          <w:p w14:paraId="78D5C701" w14:textId="5E475F5C" w:rsidR="00F75C9A" w:rsidRPr="005D4222" w:rsidRDefault="00F75C9A" w:rsidP="00A53E8C">
            <w:pPr>
              <w:pStyle w:val="ECDSBody"/>
            </w:pPr>
            <w:r w:rsidRPr="005D4222">
              <w:rPr>
                <w:b/>
              </w:rPr>
              <w:t>Data collection methodology</w:t>
            </w:r>
            <w:r w:rsidRPr="005D4222">
              <w:rPr>
                <w:b/>
                <w:bCs w:val="0"/>
              </w:rPr>
              <w:t>:</w:t>
            </w:r>
            <w:r w:rsidRPr="005D4222">
              <w:t xml:space="preserve"> ECDS. Refer to </w:t>
            </w:r>
            <w:hyperlink w:anchor="General_Guideline_Data_Collection_Method" w:history="1">
              <w:r w:rsidRPr="005D4222">
                <w:rPr>
                  <w:rStyle w:val="Hyperlink"/>
                  <w:i/>
                  <w:iCs/>
                </w:rPr>
                <w:t>General Guideline: Data Collection Methods</w:t>
              </w:r>
            </w:hyperlink>
            <w:r w:rsidRPr="005D4222">
              <w:t xml:space="preserve"> for additional information. </w:t>
            </w:r>
          </w:p>
          <w:p w14:paraId="3C406368" w14:textId="77777777" w:rsidR="00F75C9A" w:rsidRPr="005D4222" w:rsidRDefault="00F75C9A" w:rsidP="00A53E8C">
            <w:pPr>
              <w:pStyle w:val="ECDSBody"/>
            </w:pPr>
            <w:r w:rsidRPr="005D4222">
              <w:rPr>
                <w:b/>
              </w:rPr>
              <w:t xml:space="preserve">Date specificity: </w:t>
            </w:r>
            <w:r w:rsidRPr="005D4222">
              <w:t>Dates must be specific enough to determine the event occurred in the period being measured.</w:t>
            </w:r>
          </w:p>
          <w:p w14:paraId="0D3251F2" w14:textId="77777777" w:rsidR="00F75C9A" w:rsidRPr="005D4222" w:rsidRDefault="00F75C9A" w:rsidP="00A53E8C">
            <w:pPr>
              <w:pStyle w:val="ECDSBody"/>
            </w:pPr>
            <w:r w:rsidRPr="005D4222">
              <w:rPr>
                <w:b/>
              </w:rPr>
              <w:t xml:space="preserve">What services count? </w:t>
            </w:r>
            <w:r w:rsidRPr="005D4222">
              <w:t>When using claims, include all paid, suspended, pending and denied claims.</w:t>
            </w:r>
          </w:p>
        </w:tc>
      </w:tr>
      <w:tr w:rsidR="00F75C9A" w:rsidRPr="005D4222" w14:paraId="731BFCBD" w14:textId="77777777" w:rsidTr="00A53E8C">
        <w:tc>
          <w:tcPr>
            <w:tcW w:w="9717" w:type="dxa"/>
            <w:gridSpan w:val="4"/>
            <w:tcBorders>
              <w:top w:val="single" w:sz="4" w:space="0" w:color="auto"/>
              <w:bottom w:val="single" w:sz="4" w:space="0" w:color="auto"/>
              <w:right w:val="single" w:sz="4" w:space="0" w:color="auto"/>
            </w:tcBorders>
            <w:shd w:val="clear" w:color="auto" w:fill="BFBFBF" w:themeFill="background1" w:themeFillShade="BF"/>
            <w:tcMar>
              <w:top w:w="0" w:type="dxa"/>
              <w:left w:w="86" w:type="dxa"/>
              <w:bottom w:w="43" w:type="dxa"/>
              <w:right w:w="86" w:type="dxa"/>
            </w:tcMar>
          </w:tcPr>
          <w:p w14:paraId="2FE158E4" w14:textId="77777777" w:rsidR="00F75C9A" w:rsidRPr="005D4222" w:rsidRDefault="00F75C9A" w:rsidP="00A53E8C">
            <w:pPr>
              <w:pStyle w:val="ECDSMarginHead"/>
            </w:pPr>
            <w:r w:rsidRPr="005D4222">
              <w:t xml:space="preserve">Definitions </w:t>
            </w:r>
          </w:p>
        </w:tc>
      </w:tr>
      <w:tr w:rsidR="00F75C9A" w:rsidRPr="005D4222" w14:paraId="3B5EF304" w14:textId="77777777" w:rsidTr="00A53E8C">
        <w:tc>
          <w:tcPr>
            <w:tcW w:w="2067" w:type="dxa"/>
            <w:tcBorders>
              <w:top w:val="single" w:sz="4" w:space="0" w:color="auto"/>
              <w:bottom w:val="nil"/>
            </w:tcBorders>
            <w:tcMar>
              <w:top w:w="0" w:type="dxa"/>
              <w:left w:w="86" w:type="dxa"/>
              <w:bottom w:w="43" w:type="dxa"/>
              <w:right w:w="86" w:type="dxa"/>
            </w:tcMar>
          </w:tcPr>
          <w:p w14:paraId="13BBDDAB" w14:textId="77777777" w:rsidR="00F75C9A" w:rsidRPr="005D4222" w:rsidRDefault="00F75C9A" w:rsidP="00BD378D">
            <w:pPr>
              <w:pStyle w:val="ECDSMarginSubhead"/>
              <w:spacing w:after="0"/>
            </w:pPr>
            <w:r w:rsidRPr="005D4222">
              <w:t>Food insecurity</w:t>
            </w:r>
          </w:p>
        </w:tc>
        <w:tc>
          <w:tcPr>
            <w:tcW w:w="7650" w:type="dxa"/>
            <w:gridSpan w:val="3"/>
            <w:tcBorders>
              <w:top w:val="single" w:sz="4" w:space="0" w:color="auto"/>
              <w:bottom w:val="nil"/>
            </w:tcBorders>
            <w:tcMar>
              <w:left w:w="86" w:type="dxa"/>
              <w:bottom w:w="43" w:type="dxa"/>
              <w:right w:w="86" w:type="dxa"/>
            </w:tcMar>
          </w:tcPr>
          <w:p w14:paraId="2933981A" w14:textId="77777777" w:rsidR="00F75C9A" w:rsidRPr="005D4222" w:rsidRDefault="00F75C9A" w:rsidP="00BD378D">
            <w:pPr>
              <w:pStyle w:val="ECDSBody"/>
              <w:spacing w:after="0"/>
            </w:pPr>
            <w:r w:rsidRPr="005D4222">
              <w:t>Uncertain, limited or unstable access to food that is adequate in quantity and in nutritional quality, culturally acceptable, safe and acquired in socially acceptable ways.</w:t>
            </w:r>
          </w:p>
        </w:tc>
      </w:tr>
      <w:tr w:rsidR="00F75C9A" w:rsidRPr="005D4222" w14:paraId="31663C78" w14:textId="77777777" w:rsidTr="00A53E8C">
        <w:tc>
          <w:tcPr>
            <w:tcW w:w="2067" w:type="dxa"/>
            <w:tcBorders>
              <w:top w:val="nil"/>
              <w:bottom w:val="nil"/>
            </w:tcBorders>
            <w:tcMar>
              <w:top w:w="0" w:type="dxa"/>
              <w:left w:w="86" w:type="dxa"/>
              <w:bottom w:w="43" w:type="dxa"/>
              <w:right w:w="86" w:type="dxa"/>
            </w:tcMar>
          </w:tcPr>
          <w:p w14:paraId="449DA490" w14:textId="77777777" w:rsidR="00F75C9A" w:rsidRPr="005D4222" w:rsidRDefault="00F75C9A" w:rsidP="00BD378D">
            <w:pPr>
              <w:pStyle w:val="ECDSMarginSubhead"/>
              <w:spacing w:after="0"/>
            </w:pPr>
            <w:r w:rsidRPr="005D4222">
              <w:t>Housing instability</w:t>
            </w:r>
          </w:p>
        </w:tc>
        <w:tc>
          <w:tcPr>
            <w:tcW w:w="7650" w:type="dxa"/>
            <w:gridSpan w:val="3"/>
            <w:tcBorders>
              <w:top w:val="nil"/>
              <w:bottom w:val="nil"/>
            </w:tcBorders>
            <w:tcMar>
              <w:left w:w="86" w:type="dxa"/>
              <w:bottom w:w="43" w:type="dxa"/>
              <w:right w:w="86" w:type="dxa"/>
            </w:tcMar>
          </w:tcPr>
          <w:p w14:paraId="6EBF066B" w14:textId="77777777" w:rsidR="00F75C9A" w:rsidRPr="005D4222" w:rsidRDefault="00F75C9A" w:rsidP="00BD378D">
            <w:pPr>
              <w:pStyle w:val="ECDSBody"/>
              <w:spacing w:after="0"/>
            </w:pPr>
            <w:r w:rsidRPr="005D4222">
              <w:t>Currently consistently housed, however may have experienced any of the following circumstances in the past 365 days: being behind on rent or mortgage, multiple moves, cost burden or risk of eviction.</w:t>
            </w:r>
          </w:p>
        </w:tc>
      </w:tr>
      <w:tr w:rsidR="00F75C9A" w:rsidRPr="005D4222" w14:paraId="4C991F76" w14:textId="77777777" w:rsidTr="00A53E8C">
        <w:tc>
          <w:tcPr>
            <w:tcW w:w="2067" w:type="dxa"/>
            <w:tcBorders>
              <w:top w:val="nil"/>
              <w:bottom w:val="nil"/>
            </w:tcBorders>
            <w:tcMar>
              <w:top w:w="0" w:type="dxa"/>
              <w:left w:w="86" w:type="dxa"/>
              <w:bottom w:w="43" w:type="dxa"/>
              <w:right w:w="86" w:type="dxa"/>
            </w:tcMar>
          </w:tcPr>
          <w:p w14:paraId="3A2A9C57" w14:textId="77777777" w:rsidR="00F75C9A" w:rsidRPr="005D4222" w:rsidRDefault="00F75C9A" w:rsidP="00BD378D">
            <w:pPr>
              <w:pStyle w:val="ECDSMarginSubhead"/>
              <w:spacing w:after="0"/>
            </w:pPr>
            <w:r w:rsidRPr="005D4222">
              <w:t>Homelessness</w:t>
            </w:r>
          </w:p>
        </w:tc>
        <w:tc>
          <w:tcPr>
            <w:tcW w:w="7650" w:type="dxa"/>
            <w:gridSpan w:val="3"/>
            <w:tcBorders>
              <w:top w:val="nil"/>
              <w:bottom w:val="nil"/>
            </w:tcBorders>
            <w:tcMar>
              <w:left w:w="86" w:type="dxa"/>
              <w:bottom w:w="43" w:type="dxa"/>
              <w:right w:w="86" w:type="dxa"/>
            </w:tcMar>
          </w:tcPr>
          <w:p w14:paraId="0FBC79CB" w14:textId="77777777" w:rsidR="00F75C9A" w:rsidRPr="005D4222" w:rsidRDefault="00F75C9A" w:rsidP="00BD378D">
            <w:pPr>
              <w:pStyle w:val="ECDSBody"/>
              <w:spacing w:after="0"/>
            </w:pPr>
            <w:r w:rsidRPr="005D4222">
              <w:t>Currently living in an environment that is not meant for permanent human habitation (e.g., car, park, sidewalk, abandoned building, on the street), not having a consistent place to sleep at night, or because of economic difficulties, currently living in a shelter, motel, temporary or transitional living situation.</w:t>
            </w:r>
          </w:p>
        </w:tc>
      </w:tr>
      <w:tr w:rsidR="00F75C9A" w:rsidRPr="005D4222" w14:paraId="32A92721" w14:textId="77777777" w:rsidTr="00A53E8C">
        <w:tc>
          <w:tcPr>
            <w:tcW w:w="2067" w:type="dxa"/>
            <w:tcBorders>
              <w:top w:val="nil"/>
              <w:bottom w:val="nil"/>
            </w:tcBorders>
            <w:tcMar>
              <w:top w:w="0" w:type="dxa"/>
              <w:left w:w="86" w:type="dxa"/>
              <w:bottom w:w="43" w:type="dxa"/>
              <w:right w:w="86" w:type="dxa"/>
            </w:tcMar>
          </w:tcPr>
          <w:p w14:paraId="2958CCFB" w14:textId="77777777" w:rsidR="00F75C9A" w:rsidRPr="005D4222" w:rsidRDefault="00F75C9A" w:rsidP="00BD378D">
            <w:pPr>
              <w:pStyle w:val="ECDSMarginSubhead"/>
              <w:spacing w:after="0"/>
            </w:pPr>
            <w:r w:rsidRPr="005D4222">
              <w:t>Housing inadequacy</w:t>
            </w:r>
          </w:p>
        </w:tc>
        <w:tc>
          <w:tcPr>
            <w:tcW w:w="7650" w:type="dxa"/>
            <w:gridSpan w:val="3"/>
            <w:tcBorders>
              <w:top w:val="nil"/>
              <w:bottom w:val="nil"/>
            </w:tcBorders>
            <w:tcMar>
              <w:left w:w="86" w:type="dxa"/>
              <w:bottom w:w="43" w:type="dxa"/>
              <w:right w:w="86" w:type="dxa"/>
            </w:tcMar>
          </w:tcPr>
          <w:p w14:paraId="4EBC8E3A" w14:textId="77777777" w:rsidR="00F75C9A" w:rsidRPr="005D4222" w:rsidRDefault="00F75C9A" w:rsidP="00BD378D">
            <w:pPr>
              <w:pStyle w:val="ECDSBody"/>
              <w:spacing w:after="0"/>
            </w:pPr>
            <w:r w:rsidRPr="005D4222">
              <w:t>Housing does not meet habitability standards.</w:t>
            </w:r>
          </w:p>
        </w:tc>
      </w:tr>
      <w:tr w:rsidR="00F75C9A" w:rsidRPr="005D4222" w14:paraId="12F9E8FC" w14:textId="77777777" w:rsidTr="00A53E8C">
        <w:tc>
          <w:tcPr>
            <w:tcW w:w="2067" w:type="dxa"/>
            <w:tcBorders>
              <w:top w:val="nil"/>
              <w:bottom w:val="single" w:sz="4" w:space="0" w:color="auto"/>
            </w:tcBorders>
            <w:tcMar>
              <w:top w:w="0" w:type="dxa"/>
              <w:left w:w="86" w:type="dxa"/>
              <w:bottom w:w="43" w:type="dxa"/>
              <w:right w:w="86" w:type="dxa"/>
            </w:tcMar>
          </w:tcPr>
          <w:p w14:paraId="1E4EF196" w14:textId="77777777" w:rsidR="00F75C9A" w:rsidRPr="005D4222" w:rsidRDefault="00F75C9A" w:rsidP="00A53E8C">
            <w:pPr>
              <w:pStyle w:val="ECDSMarginSubhead"/>
            </w:pPr>
            <w:r w:rsidRPr="005D4222">
              <w:t>Transportation insecurity</w:t>
            </w:r>
          </w:p>
        </w:tc>
        <w:tc>
          <w:tcPr>
            <w:tcW w:w="7650" w:type="dxa"/>
            <w:gridSpan w:val="3"/>
            <w:tcBorders>
              <w:top w:val="nil"/>
              <w:bottom w:val="single" w:sz="4" w:space="0" w:color="auto"/>
            </w:tcBorders>
            <w:tcMar>
              <w:left w:w="86" w:type="dxa"/>
              <w:bottom w:w="43" w:type="dxa"/>
              <w:right w:w="86" w:type="dxa"/>
            </w:tcMar>
          </w:tcPr>
          <w:p w14:paraId="5596BDBD" w14:textId="77777777" w:rsidR="00F75C9A" w:rsidRPr="005D4222" w:rsidRDefault="00F75C9A" w:rsidP="00A53E8C">
            <w:pPr>
              <w:pStyle w:val="ECDSBody"/>
            </w:pPr>
            <w:r w:rsidRPr="005D4222">
              <w:t>Uncertain, limited or no access to safe, reliable, accessible, affordable and socially acceptable transportation infrastructure and modalities necessary for maintaining one’s health, well-being or livelihood.</w:t>
            </w:r>
          </w:p>
        </w:tc>
      </w:tr>
    </w:tbl>
    <w:p w14:paraId="78A039F1" w14:textId="77777777" w:rsidR="00F75C9A" w:rsidRPr="005D4222" w:rsidRDefault="00F75C9A" w:rsidP="00F75C9A">
      <w:pPr>
        <w:spacing w:after="160" w:line="259" w:lineRule="auto"/>
      </w:pPr>
      <w:r w:rsidRPr="005D4222">
        <w:br w:type="page"/>
      </w:r>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067"/>
        <w:gridCol w:w="7650"/>
      </w:tblGrid>
      <w:tr w:rsidR="00F75C9A" w:rsidRPr="005D4222" w14:paraId="7D0130B1" w14:textId="77777777" w:rsidTr="00A53E8C">
        <w:tc>
          <w:tcPr>
            <w:tcW w:w="2067" w:type="dxa"/>
            <w:tcBorders>
              <w:top w:val="single" w:sz="4" w:space="0" w:color="auto"/>
              <w:bottom w:val="single" w:sz="4" w:space="0" w:color="auto"/>
            </w:tcBorders>
            <w:tcMar>
              <w:top w:w="0" w:type="dxa"/>
              <w:left w:w="86" w:type="dxa"/>
              <w:bottom w:w="43" w:type="dxa"/>
              <w:right w:w="86" w:type="dxa"/>
            </w:tcMar>
          </w:tcPr>
          <w:p w14:paraId="35DBDBD2" w14:textId="77777777" w:rsidR="00F75C9A" w:rsidRPr="005D4222" w:rsidRDefault="00F75C9A" w:rsidP="00A53E8C">
            <w:pPr>
              <w:pStyle w:val="ECDSMarginSubhead"/>
            </w:pPr>
            <w:r w:rsidRPr="005D4222">
              <w:lastRenderedPageBreak/>
              <w:t>Food insecurity screening instruments</w:t>
            </w:r>
          </w:p>
        </w:tc>
        <w:tc>
          <w:tcPr>
            <w:tcW w:w="7650" w:type="dxa"/>
            <w:tcBorders>
              <w:top w:val="single" w:sz="4" w:space="0" w:color="auto"/>
              <w:bottom w:val="single" w:sz="4" w:space="0" w:color="auto"/>
            </w:tcBorders>
            <w:tcMar>
              <w:left w:w="86" w:type="dxa"/>
              <w:bottom w:w="43" w:type="dxa"/>
              <w:right w:w="86" w:type="dxa"/>
            </w:tcMar>
          </w:tcPr>
          <w:p w14:paraId="4E8CD823" w14:textId="77777777" w:rsidR="00F75C9A" w:rsidRPr="005D4222" w:rsidRDefault="00F75C9A" w:rsidP="00A53E8C">
            <w:pPr>
              <w:pStyle w:val="ECDSBody"/>
            </w:pPr>
            <w:r w:rsidRPr="005D4222">
              <w:t>Eligible screening instruments with thresholds for positive findings include:</w:t>
            </w:r>
          </w:p>
          <w:tbl>
            <w:tblPr>
              <w:tblStyle w:val="TableGrid"/>
              <w:tblW w:w="5000" w:type="pct"/>
              <w:tblLayout w:type="fixed"/>
              <w:tblLook w:val="04A0" w:firstRow="1" w:lastRow="0" w:firstColumn="1" w:lastColumn="0" w:noHBand="0" w:noVBand="1"/>
            </w:tblPr>
            <w:tblGrid>
              <w:gridCol w:w="4277"/>
              <w:gridCol w:w="1549"/>
              <w:gridCol w:w="1642"/>
            </w:tblGrid>
            <w:tr w:rsidR="00F75C9A" w:rsidRPr="005D4222" w14:paraId="21276D5D" w14:textId="77777777" w:rsidTr="00A53E8C">
              <w:trPr>
                <w:trHeight w:val="553"/>
              </w:trPr>
              <w:tc>
                <w:tcPr>
                  <w:tcW w:w="4277" w:type="dxa"/>
                  <w:tcBorders>
                    <w:top w:val="single" w:sz="4" w:space="0" w:color="auto"/>
                    <w:left w:val="single" w:sz="4" w:space="0" w:color="auto"/>
                    <w:bottom w:val="single" w:sz="4" w:space="0" w:color="auto"/>
                    <w:right w:val="single" w:sz="4" w:space="0" w:color="FFFFFF" w:themeColor="background1"/>
                  </w:tcBorders>
                  <w:shd w:val="clear" w:color="auto" w:fill="000000" w:themeFill="text1"/>
                  <w:tcMar>
                    <w:top w:w="0" w:type="dxa"/>
                    <w:left w:w="72" w:type="dxa"/>
                    <w:bottom w:w="0" w:type="dxa"/>
                    <w:right w:w="72" w:type="dxa"/>
                  </w:tcMar>
                  <w:vAlign w:val="bottom"/>
                  <w:hideMark/>
                </w:tcPr>
                <w:p w14:paraId="0C4C902F" w14:textId="77777777" w:rsidR="00F75C9A" w:rsidRPr="005D4222" w:rsidRDefault="00F75C9A" w:rsidP="00A53E8C">
                  <w:pPr>
                    <w:pStyle w:val="TableHead"/>
                    <w:spacing w:before="80" w:after="80"/>
                    <w:rPr>
                      <w:rFonts w:ascii="Arial" w:hAnsi="Arial" w:cs="Arial"/>
                      <w:sz w:val="20"/>
                    </w:rPr>
                  </w:pPr>
                  <w:r w:rsidRPr="005D4222">
                    <w:rPr>
                      <w:rFonts w:ascii="Arial" w:hAnsi="Arial" w:cs="Arial"/>
                      <w:sz w:val="20"/>
                    </w:rPr>
                    <w:t>Food Insecurity Instruments</w:t>
                  </w:r>
                </w:p>
              </w:tc>
              <w:tc>
                <w:tcPr>
                  <w:tcW w:w="1549"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cMar>
                    <w:top w:w="0" w:type="dxa"/>
                    <w:left w:w="72" w:type="dxa"/>
                    <w:bottom w:w="0" w:type="dxa"/>
                    <w:right w:w="72" w:type="dxa"/>
                  </w:tcMar>
                  <w:vAlign w:val="bottom"/>
                  <w:hideMark/>
                </w:tcPr>
                <w:p w14:paraId="704409E7" w14:textId="77777777" w:rsidR="00F75C9A" w:rsidRPr="005D4222" w:rsidRDefault="00F75C9A" w:rsidP="00A53E8C">
                  <w:pPr>
                    <w:pStyle w:val="TableHead"/>
                    <w:spacing w:before="80" w:after="80"/>
                    <w:rPr>
                      <w:rFonts w:ascii="Arial" w:hAnsi="Arial" w:cs="Arial"/>
                      <w:sz w:val="20"/>
                    </w:rPr>
                  </w:pPr>
                  <w:r w:rsidRPr="005D4222">
                    <w:rPr>
                      <w:rFonts w:ascii="Arial" w:hAnsi="Arial" w:cs="Arial"/>
                      <w:sz w:val="20"/>
                    </w:rPr>
                    <w:t>Screening Item LOINC Codes</w:t>
                  </w:r>
                </w:p>
              </w:tc>
              <w:tc>
                <w:tcPr>
                  <w:tcW w:w="1642" w:type="dxa"/>
                  <w:tcBorders>
                    <w:top w:val="single" w:sz="4" w:space="0" w:color="auto"/>
                    <w:left w:val="single" w:sz="4" w:space="0" w:color="FFFFFF" w:themeColor="background1"/>
                    <w:bottom w:val="single" w:sz="4" w:space="0" w:color="auto"/>
                    <w:right w:val="single" w:sz="4" w:space="0" w:color="auto"/>
                  </w:tcBorders>
                  <w:shd w:val="clear" w:color="auto" w:fill="000000" w:themeFill="text1"/>
                  <w:tcMar>
                    <w:top w:w="0" w:type="dxa"/>
                    <w:left w:w="72" w:type="dxa"/>
                    <w:bottom w:w="0" w:type="dxa"/>
                    <w:right w:w="72" w:type="dxa"/>
                  </w:tcMar>
                  <w:vAlign w:val="bottom"/>
                  <w:hideMark/>
                </w:tcPr>
                <w:p w14:paraId="7D3CD0E9" w14:textId="77777777" w:rsidR="00F75C9A" w:rsidRPr="005D4222" w:rsidRDefault="00F75C9A" w:rsidP="00A53E8C">
                  <w:pPr>
                    <w:pStyle w:val="TableHead"/>
                    <w:spacing w:before="80" w:after="80"/>
                    <w:rPr>
                      <w:rFonts w:ascii="Arial" w:hAnsi="Arial" w:cs="Arial"/>
                      <w:sz w:val="20"/>
                    </w:rPr>
                  </w:pPr>
                  <w:r w:rsidRPr="005D4222">
                    <w:rPr>
                      <w:rFonts w:ascii="Arial" w:hAnsi="Arial" w:cs="Arial"/>
                      <w:sz w:val="20"/>
                    </w:rPr>
                    <w:t>Positive Finding LOINC Codes</w:t>
                  </w:r>
                </w:p>
              </w:tc>
            </w:tr>
            <w:tr w:rsidR="00F75C9A" w:rsidRPr="005D4222" w14:paraId="0DD1D61C" w14:textId="77777777" w:rsidTr="00A53E8C">
              <w:trPr>
                <w:trHeight w:val="589"/>
              </w:trPr>
              <w:tc>
                <w:tcPr>
                  <w:tcW w:w="4277" w:type="dxa"/>
                  <w:vMerge w:val="restart"/>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009B3FDD"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Accountable Health Communities (AHC) Health-Related Social Needs (HRSN) Screening Tool</w:t>
                  </w:r>
                </w:p>
              </w:tc>
              <w:tc>
                <w:tcPr>
                  <w:tcW w:w="1549"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5EEDA1CD"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88122-7</w:t>
                  </w:r>
                </w:p>
              </w:tc>
              <w:tc>
                <w:tcPr>
                  <w:tcW w:w="1642"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5D652F3B"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LA28397-0</w:t>
                  </w:r>
                  <w:r w:rsidRPr="005D4222">
                    <w:rPr>
                      <w:rFonts w:ascii="Arial" w:hAnsi="Arial" w:cs="Arial"/>
                      <w:sz w:val="20"/>
                      <w:szCs w:val="20"/>
                    </w:rPr>
                    <w:br/>
                    <w:t>LA6729-3</w:t>
                  </w:r>
                </w:p>
              </w:tc>
            </w:tr>
            <w:tr w:rsidR="00F75C9A" w:rsidRPr="005D4222" w14:paraId="33D5EFAB" w14:textId="77777777" w:rsidTr="00A53E8C">
              <w:trPr>
                <w:trHeight w:val="144"/>
              </w:trPr>
              <w:tc>
                <w:tcPr>
                  <w:tcW w:w="4277" w:type="dxa"/>
                  <w:vMerge/>
                  <w:tcBorders>
                    <w:top w:val="single" w:sz="4" w:space="0" w:color="auto"/>
                    <w:left w:val="single" w:sz="4" w:space="0" w:color="auto"/>
                    <w:bottom w:val="single" w:sz="4" w:space="0" w:color="auto"/>
                    <w:right w:val="single" w:sz="4" w:space="0" w:color="auto"/>
                  </w:tcBorders>
                  <w:hideMark/>
                </w:tcPr>
                <w:p w14:paraId="460FA452" w14:textId="77777777" w:rsidR="00F75C9A" w:rsidRPr="005D4222" w:rsidRDefault="00F75C9A" w:rsidP="00A53E8C">
                  <w:pPr>
                    <w:pStyle w:val="TableText"/>
                    <w:rPr>
                      <w:rFonts w:ascii="Arial" w:hAnsi="Arial" w:cs="Arial"/>
                      <w:sz w:val="20"/>
                      <w:szCs w:val="20"/>
                    </w:rPr>
                  </w:pPr>
                </w:p>
              </w:tc>
              <w:tc>
                <w:tcPr>
                  <w:tcW w:w="1549"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611FC7D0"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88123-5</w:t>
                  </w:r>
                </w:p>
              </w:tc>
              <w:tc>
                <w:tcPr>
                  <w:tcW w:w="1642"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1B41513A"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LA28397-0</w:t>
                  </w:r>
                  <w:r w:rsidRPr="005D4222">
                    <w:rPr>
                      <w:rFonts w:ascii="Arial" w:hAnsi="Arial" w:cs="Arial"/>
                      <w:sz w:val="20"/>
                      <w:szCs w:val="20"/>
                    </w:rPr>
                    <w:br/>
                    <w:t>LA6729-3</w:t>
                  </w:r>
                </w:p>
              </w:tc>
            </w:tr>
            <w:tr w:rsidR="00F75C9A" w:rsidRPr="005D4222" w14:paraId="7945E854" w14:textId="77777777" w:rsidTr="00A53E8C">
              <w:trPr>
                <w:trHeight w:val="589"/>
              </w:trPr>
              <w:tc>
                <w:tcPr>
                  <w:tcW w:w="4277" w:type="dxa"/>
                  <w:vMerge w:val="restart"/>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3158458B"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American Academy of Family Physicians (AAFP) Social Needs Screening Tool</w:t>
                  </w:r>
                </w:p>
              </w:tc>
              <w:tc>
                <w:tcPr>
                  <w:tcW w:w="1549"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2270B7D8"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88122-7</w:t>
                  </w:r>
                </w:p>
              </w:tc>
              <w:tc>
                <w:tcPr>
                  <w:tcW w:w="1642"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5949A4D8"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LA28397-0</w:t>
                  </w:r>
                  <w:r w:rsidRPr="005D4222">
                    <w:rPr>
                      <w:rFonts w:ascii="Arial" w:hAnsi="Arial" w:cs="Arial"/>
                      <w:sz w:val="20"/>
                      <w:szCs w:val="20"/>
                    </w:rPr>
                    <w:br/>
                    <w:t>LA6729-3</w:t>
                  </w:r>
                </w:p>
              </w:tc>
            </w:tr>
            <w:tr w:rsidR="00F75C9A" w:rsidRPr="005D4222" w14:paraId="7FDE8832" w14:textId="77777777" w:rsidTr="00A53E8C">
              <w:trPr>
                <w:trHeight w:val="144"/>
              </w:trPr>
              <w:tc>
                <w:tcPr>
                  <w:tcW w:w="4277" w:type="dxa"/>
                  <w:vMerge/>
                  <w:tcBorders>
                    <w:top w:val="single" w:sz="4" w:space="0" w:color="auto"/>
                    <w:left w:val="single" w:sz="4" w:space="0" w:color="auto"/>
                    <w:bottom w:val="single" w:sz="4" w:space="0" w:color="auto"/>
                    <w:right w:val="single" w:sz="4" w:space="0" w:color="auto"/>
                  </w:tcBorders>
                  <w:hideMark/>
                </w:tcPr>
                <w:p w14:paraId="09EED402" w14:textId="77777777" w:rsidR="00F75C9A" w:rsidRPr="005D4222" w:rsidRDefault="00F75C9A" w:rsidP="00A53E8C">
                  <w:pPr>
                    <w:pStyle w:val="TableText"/>
                    <w:rPr>
                      <w:rFonts w:ascii="Arial" w:hAnsi="Arial" w:cs="Arial"/>
                      <w:sz w:val="20"/>
                      <w:szCs w:val="20"/>
                    </w:rPr>
                  </w:pPr>
                </w:p>
              </w:tc>
              <w:tc>
                <w:tcPr>
                  <w:tcW w:w="1549"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2A47FD03"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88123-5</w:t>
                  </w:r>
                </w:p>
              </w:tc>
              <w:tc>
                <w:tcPr>
                  <w:tcW w:w="1642"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26C21CFB"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LA28397-0</w:t>
                  </w:r>
                  <w:r w:rsidRPr="005D4222">
                    <w:rPr>
                      <w:rFonts w:ascii="Arial" w:hAnsi="Arial" w:cs="Arial"/>
                      <w:sz w:val="20"/>
                      <w:szCs w:val="20"/>
                    </w:rPr>
                    <w:br/>
                    <w:t>LA6729-3</w:t>
                  </w:r>
                </w:p>
              </w:tc>
            </w:tr>
            <w:tr w:rsidR="00F75C9A" w:rsidRPr="005D4222" w14:paraId="4781A27F" w14:textId="77777777" w:rsidTr="00A53E8C">
              <w:trPr>
                <w:trHeight w:val="589"/>
              </w:trPr>
              <w:tc>
                <w:tcPr>
                  <w:tcW w:w="4277" w:type="dxa"/>
                  <w:vMerge w:val="restart"/>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171BDD27"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American Academy of Family Physicians (AAFP) Social Needs Screening Tool—</w:t>
                  </w:r>
                  <w:r w:rsidRPr="005D4222">
                    <w:rPr>
                      <w:rFonts w:ascii="Arial" w:hAnsi="Arial" w:cs="Arial"/>
                      <w:sz w:val="20"/>
                      <w:szCs w:val="20"/>
                    </w:rPr>
                    <w:br/>
                    <w:t>short form</w:t>
                  </w:r>
                </w:p>
              </w:tc>
              <w:tc>
                <w:tcPr>
                  <w:tcW w:w="1549"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22FFE5BB"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88122-7</w:t>
                  </w:r>
                </w:p>
              </w:tc>
              <w:tc>
                <w:tcPr>
                  <w:tcW w:w="1642"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4E1CF220"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LA28397-0</w:t>
                  </w:r>
                  <w:r w:rsidRPr="005D4222">
                    <w:rPr>
                      <w:rFonts w:ascii="Arial" w:hAnsi="Arial" w:cs="Arial"/>
                      <w:sz w:val="20"/>
                      <w:szCs w:val="20"/>
                    </w:rPr>
                    <w:br/>
                    <w:t>LA6729-3</w:t>
                  </w:r>
                </w:p>
              </w:tc>
            </w:tr>
            <w:tr w:rsidR="00F75C9A" w:rsidRPr="005D4222" w14:paraId="07C8FF94" w14:textId="77777777" w:rsidTr="00A53E8C">
              <w:trPr>
                <w:trHeight w:val="144"/>
              </w:trPr>
              <w:tc>
                <w:tcPr>
                  <w:tcW w:w="4277" w:type="dxa"/>
                  <w:vMerge/>
                  <w:tcBorders>
                    <w:top w:val="single" w:sz="4" w:space="0" w:color="auto"/>
                    <w:left w:val="single" w:sz="4" w:space="0" w:color="auto"/>
                    <w:bottom w:val="single" w:sz="4" w:space="0" w:color="auto"/>
                    <w:right w:val="single" w:sz="4" w:space="0" w:color="auto"/>
                  </w:tcBorders>
                  <w:hideMark/>
                </w:tcPr>
                <w:p w14:paraId="5343B90D" w14:textId="77777777" w:rsidR="00F75C9A" w:rsidRPr="005D4222" w:rsidRDefault="00F75C9A" w:rsidP="00A53E8C">
                  <w:pPr>
                    <w:pStyle w:val="TableText"/>
                    <w:rPr>
                      <w:rFonts w:ascii="Arial" w:hAnsi="Arial" w:cs="Arial"/>
                      <w:sz w:val="20"/>
                      <w:szCs w:val="20"/>
                    </w:rPr>
                  </w:pPr>
                </w:p>
              </w:tc>
              <w:tc>
                <w:tcPr>
                  <w:tcW w:w="1549"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681F1C89"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88123-5</w:t>
                  </w:r>
                </w:p>
              </w:tc>
              <w:tc>
                <w:tcPr>
                  <w:tcW w:w="1642"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0C96946E"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LA28397-0</w:t>
                  </w:r>
                  <w:r w:rsidRPr="005D4222">
                    <w:rPr>
                      <w:rFonts w:ascii="Arial" w:hAnsi="Arial" w:cs="Arial"/>
                      <w:sz w:val="20"/>
                      <w:szCs w:val="20"/>
                    </w:rPr>
                    <w:br/>
                    <w:t>LA6729-3</w:t>
                  </w:r>
                </w:p>
              </w:tc>
            </w:tr>
            <w:tr w:rsidR="00F75C9A" w:rsidRPr="005D4222" w14:paraId="2D1D66EA" w14:textId="77777777" w:rsidTr="00A53E8C">
              <w:trPr>
                <w:trHeight w:val="380"/>
              </w:trPr>
              <w:tc>
                <w:tcPr>
                  <w:tcW w:w="4277"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45018C69"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Health Leads Screening Panel</w:t>
                  </w:r>
                  <w:r w:rsidRPr="005D4222">
                    <w:rPr>
                      <w:rFonts w:ascii="Arial" w:hAnsi="Arial" w:cs="Arial"/>
                      <w:sz w:val="20"/>
                      <w:szCs w:val="20"/>
                      <w:vertAlign w:val="superscript"/>
                    </w:rPr>
                    <w:t>®1</w:t>
                  </w:r>
                </w:p>
              </w:tc>
              <w:tc>
                <w:tcPr>
                  <w:tcW w:w="1549"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67746219"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95251-5</w:t>
                  </w:r>
                </w:p>
              </w:tc>
              <w:tc>
                <w:tcPr>
                  <w:tcW w:w="1642"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76E43DA2"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LA33-6</w:t>
                  </w:r>
                </w:p>
              </w:tc>
            </w:tr>
            <w:tr w:rsidR="00F75C9A" w:rsidRPr="005D4222" w14:paraId="00D81951" w14:textId="77777777" w:rsidTr="00A53E8C">
              <w:trPr>
                <w:trHeight w:val="380"/>
              </w:trPr>
              <w:tc>
                <w:tcPr>
                  <w:tcW w:w="4277"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5C01EA9C"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Hunger Vital Sign™</w:t>
                  </w:r>
                  <w:r w:rsidRPr="005D4222">
                    <w:rPr>
                      <w:rFonts w:ascii="Arial" w:hAnsi="Arial" w:cs="Arial"/>
                      <w:sz w:val="20"/>
                      <w:szCs w:val="20"/>
                      <w:vertAlign w:val="superscript"/>
                    </w:rPr>
                    <w:t>1</w:t>
                  </w:r>
                  <w:r w:rsidRPr="005D4222">
                    <w:rPr>
                      <w:rFonts w:ascii="Arial" w:hAnsi="Arial" w:cs="Arial"/>
                      <w:sz w:val="20"/>
                      <w:szCs w:val="20"/>
                    </w:rPr>
                    <w:t xml:space="preserve"> (HVS)</w:t>
                  </w:r>
                </w:p>
              </w:tc>
              <w:tc>
                <w:tcPr>
                  <w:tcW w:w="1549"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50924713"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88124-3</w:t>
                  </w:r>
                </w:p>
              </w:tc>
              <w:tc>
                <w:tcPr>
                  <w:tcW w:w="1642"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16BD8D08"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LA19952-3</w:t>
                  </w:r>
                </w:p>
              </w:tc>
            </w:tr>
            <w:tr w:rsidR="00F75C9A" w:rsidRPr="005D4222" w14:paraId="7B7CE2F9" w14:textId="77777777" w:rsidTr="00A53E8C">
              <w:trPr>
                <w:trHeight w:val="589"/>
              </w:trPr>
              <w:tc>
                <w:tcPr>
                  <w:tcW w:w="4277"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7D4FEEBF"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Protocol for Responding to and Assessing Patients' Assets, Risks and Experiences [PRAPARE]</w:t>
                  </w:r>
                  <w:r w:rsidRPr="005D4222">
                    <w:rPr>
                      <w:rFonts w:ascii="Arial" w:hAnsi="Arial" w:cs="Arial"/>
                      <w:sz w:val="20"/>
                      <w:szCs w:val="20"/>
                      <w:vertAlign w:val="superscript"/>
                    </w:rPr>
                    <w:t>®1</w:t>
                  </w:r>
                </w:p>
              </w:tc>
              <w:tc>
                <w:tcPr>
                  <w:tcW w:w="1549"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7E8709AC"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93031-3</w:t>
                  </w:r>
                </w:p>
              </w:tc>
              <w:tc>
                <w:tcPr>
                  <w:tcW w:w="1642"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1D8B13A2"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LA30125-1</w:t>
                  </w:r>
                </w:p>
              </w:tc>
            </w:tr>
            <w:tr w:rsidR="00F75C9A" w:rsidRPr="005D4222" w14:paraId="76439DDB" w14:textId="77777777" w:rsidTr="00A53E8C">
              <w:trPr>
                <w:trHeight w:val="380"/>
              </w:trPr>
              <w:tc>
                <w:tcPr>
                  <w:tcW w:w="4277" w:type="dxa"/>
                  <w:vMerge w:val="restart"/>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011C6259"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Safe Environment for Every Kid (SEEK)</w:t>
                  </w:r>
                  <w:r w:rsidRPr="005D4222">
                    <w:rPr>
                      <w:rFonts w:ascii="Arial" w:hAnsi="Arial" w:cs="Arial"/>
                      <w:sz w:val="20"/>
                      <w:szCs w:val="20"/>
                      <w:vertAlign w:val="superscript"/>
                    </w:rPr>
                    <w:t>®1</w:t>
                  </w:r>
                </w:p>
              </w:tc>
              <w:tc>
                <w:tcPr>
                  <w:tcW w:w="1549"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38F5956C"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95400-8</w:t>
                  </w:r>
                </w:p>
              </w:tc>
              <w:tc>
                <w:tcPr>
                  <w:tcW w:w="1642"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407226B4"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LA33-6</w:t>
                  </w:r>
                </w:p>
              </w:tc>
            </w:tr>
            <w:tr w:rsidR="00F75C9A" w:rsidRPr="005D4222" w14:paraId="744A3B26" w14:textId="77777777" w:rsidTr="00A53E8C">
              <w:trPr>
                <w:trHeight w:val="144"/>
              </w:trPr>
              <w:tc>
                <w:tcPr>
                  <w:tcW w:w="4277" w:type="dxa"/>
                  <w:vMerge/>
                  <w:tcBorders>
                    <w:top w:val="single" w:sz="4" w:space="0" w:color="auto"/>
                    <w:left w:val="single" w:sz="4" w:space="0" w:color="auto"/>
                    <w:bottom w:val="single" w:sz="4" w:space="0" w:color="auto"/>
                    <w:right w:val="single" w:sz="4" w:space="0" w:color="auto"/>
                  </w:tcBorders>
                  <w:hideMark/>
                </w:tcPr>
                <w:p w14:paraId="1B0BCBED" w14:textId="77777777" w:rsidR="00F75C9A" w:rsidRPr="005D4222" w:rsidRDefault="00F75C9A" w:rsidP="00A53E8C">
                  <w:pPr>
                    <w:pStyle w:val="TableText"/>
                    <w:rPr>
                      <w:rFonts w:ascii="Arial" w:hAnsi="Arial" w:cs="Arial"/>
                      <w:sz w:val="20"/>
                      <w:szCs w:val="20"/>
                    </w:rPr>
                  </w:pPr>
                </w:p>
              </w:tc>
              <w:tc>
                <w:tcPr>
                  <w:tcW w:w="1549"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2E9B1632"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95399-2</w:t>
                  </w:r>
                </w:p>
              </w:tc>
              <w:tc>
                <w:tcPr>
                  <w:tcW w:w="1642"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0EAF4081"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LA33-6</w:t>
                  </w:r>
                </w:p>
              </w:tc>
            </w:tr>
            <w:tr w:rsidR="00F75C9A" w:rsidRPr="005D4222" w14:paraId="206D2191" w14:textId="77777777" w:rsidTr="00A53E8C">
              <w:trPr>
                <w:trHeight w:val="144"/>
              </w:trPr>
              <w:tc>
                <w:tcPr>
                  <w:tcW w:w="4277" w:type="dxa"/>
                  <w:tcBorders>
                    <w:top w:val="single" w:sz="4" w:space="0" w:color="auto"/>
                    <w:left w:val="single" w:sz="4" w:space="0" w:color="auto"/>
                    <w:bottom w:val="single" w:sz="4" w:space="0" w:color="auto"/>
                    <w:right w:val="single" w:sz="4" w:space="0" w:color="auto"/>
                  </w:tcBorders>
                </w:tcPr>
                <w:p w14:paraId="5ECC1A0A"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U.S. Household Food Security Survey [U.S. FSS]</w:t>
                  </w:r>
                </w:p>
              </w:tc>
              <w:tc>
                <w:tcPr>
                  <w:tcW w:w="1549"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570FC793"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95264-8</w:t>
                  </w:r>
                </w:p>
              </w:tc>
              <w:tc>
                <w:tcPr>
                  <w:tcW w:w="1642"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1368395B"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LA30985-8</w:t>
                  </w:r>
                  <w:r w:rsidRPr="005D4222">
                    <w:rPr>
                      <w:rFonts w:ascii="Arial" w:hAnsi="Arial" w:cs="Arial"/>
                      <w:sz w:val="20"/>
                      <w:szCs w:val="20"/>
                    </w:rPr>
                    <w:br/>
                    <w:t>LA30986-6</w:t>
                  </w:r>
                </w:p>
              </w:tc>
            </w:tr>
            <w:tr w:rsidR="00F75C9A" w:rsidRPr="005D4222" w14:paraId="23562F08" w14:textId="77777777" w:rsidTr="00A53E8C">
              <w:trPr>
                <w:trHeight w:val="144"/>
              </w:trPr>
              <w:tc>
                <w:tcPr>
                  <w:tcW w:w="4277" w:type="dxa"/>
                  <w:tcBorders>
                    <w:top w:val="single" w:sz="4" w:space="0" w:color="auto"/>
                    <w:left w:val="single" w:sz="4" w:space="0" w:color="auto"/>
                    <w:bottom w:val="single" w:sz="4" w:space="0" w:color="auto"/>
                    <w:right w:val="single" w:sz="4" w:space="0" w:color="auto"/>
                  </w:tcBorders>
                </w:tcPr>
                <w:p w14:paraId="15AD726C"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U.S. Adult Food Security Survey [U.S. FSS]</w:t>
                  </w:r>
                </w:p>
              </w:tc>
              <w:tc>
                <w:tcPr>
                  <w:tcW w:w="1549"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3A0B5C4C"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95264-8</w:t>
                  </w:r>
                </w:p>
              </w:tc>
              <w:tc>
                <w:tcPr>
                  <w:tcW w:w="1642"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60E098E3"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LA30985-8</w:t>
                  </w:r>
                  <w:r w:rsidRPr="005D4222">
                    <w:rPr>
                      <w:rFonts w:ascii="Arial" w:hAnsi="Arial" w:cs="Arial"/>
                      <w:sz w:val="20"/>
                      <w:szCs w:val="20"/>
                    </w:rPr>
                    <w:br/>
                    <w:t>LA30986-6</w:t>
                  </w:r>
                </w:p>
              </w:tc>
            </w:tr>
            <w:tr w:rsidR="00F75C9A" w:rsidRPr="005D4222" w14:paraId="68AB864B" w14:textId="77777777" w:rsidTr="00A53E8C">
              <w:trPr>
                <w:trHeight w:val="144"/>
              </w:trPr>
              <w:tc>
                <w:tcPr>
                  <w:tcW w:w="4277" w:type="dxa"/>
                  <w:tcBorders>
                    <w:top w:val="single" w:sz="4" w:space="0" w:color="auto"/>
                    <w:left w:val="single" w:sz="4" w:space="0" w:color="auto"/>
                    <w:bottom w:val="single" w:sz="4" w:space="0" w:color="auto"/>
                    <w:right w:val="single" w:sz="4" w:space="0" w:color="auto"/>
                  </w:tcBorders>
                </w:tcPr>
                <w:p w14:paraId="3C571555"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U.S. Child Food Security Survey [U.S. FSS]</w:t>
                  </w:r>
                </w:p>
              </w:tc>
              <w:tc>
                <w:tcPr>
                  <w:tcW w:w="1549"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73DA2608"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95264-8</w:t>
                  </w:r>
                </w:p>
              </w:tc>
              <w:tc>
                <w:tcPr>
                  <w:tcW w:w="1642"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12F1FE0A"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LA30985-8</w:t>
                  </w:r>
                  <w:r w:rsidRPr="005D4222">
                    <w:rPr>
                      <w:rFonts w:ascii="Arial" w:hAnsi="Arial" w:cs="Arial"/>
                      <w:sz w:val="20"/>
                      <w:szCs w:val="20"/>
                    </w:rPr>
                    <w:br/>
                    <w:t>LA30986-6</w:t>
                  </w:r>
                </w:p>
              </w:tc>
            </w:tr>
            <w:tr w:rsidR="00F75C9A" w:rsidRPr="005D4222" w14:paraId="7220837F" w14:textId="77777777" w:rsidTr="00A53E8C">
              <w:trPr>
                <w:trHeight w:val="144"/>
              </w:trPr>
              <w:tc>
                <w:tcPr>
                  <w:tcW w:w="4277" w:type="dxa"/>
                  <w:tcBorders>
                    <w:top w:val="single" w:sz="4" w:space="0" w:color="auto"/>
                    <w:left w:val="single" w:sz="4" w:space="0" w:color="auto"/>
                    <w:bottom w:val="single" w:sz="4" w:space="0" w:color="auto"/>
                    <w:right w:val="single" w:sz="4" w:space="0" w:color="auto"/>
                  </w:tcBorders>
                </w:tcPr>
                <w:p w14:paraId="174BE216"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U.S. Household Food Security Survey–Six-Item Short Form [U.S. FSS]</w:t>
                  </w:r>
                </w:p>
              </w:tc>
              <w:tc>
                <w:tcPr>
                  <w:tcW w:w="1549"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552D1C9D"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95264-8</w:t>
                  </w:r>
                </w:p>
              </w:tc>
              <w:tc>
                <w:tcPr>
                  <w:tcW w:w="1642"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3EAF9CD6"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LA30985-8</w:t>
                  </w:r>
                  <w:r w:rsidRPr="005D4222">
                    <w:rPr>
                      <w:rFonts w:ascii="Arial" w:hAnsi="Arial" w:cs="Arial"/>
                      <w:sz w:val="20"/>
                      <w:szCs w:val="20"/>
                    </w:rPr>
                    <w:br/>
                    <w:t>LA30986-6</w:t>
                  </w:r>
                </w:p>
              </w:tc>
            </w:tr>
            <w:tr w:rsidR="00F75C9A" w:rsidRPr="005D4222" w14:paraId="0B385F3D" w14:textId="77777777" w:rsidTr="00A53E8C">
              <w:trPr>
                <w:trHeight w:val="144"/>
              </w:trPr>
              <w:tc>
                <w:tcPr>
                  <w:tcW w:w="4277" w:type="dxa"/>
                  <w:tcBorders>
                    <w:top w:val="single" w:sz="4" w:space="0" w:color="auto"/>
                    <w:left w:val="single" w:sz="4" w:space="0" w:color="auto"/>
                    <w:bottom w:val="single" w:sz="4" w:space="0" w:color="auto"/>
                    <w:right w:val="single" w:sz="4" w:space="0" w:color="auto"/>
                  </w:tcBorders>
                </w:tcPr>
                <w:p w14:paraId="6461A375"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We Care Survey</w:t>
                  </w:r>
                </w:p>
              </w:tc>
              <w:tc>
                <w:tcPr>
                  <w:tcW w:w="1549"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10C8B751"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96434-6</w:t>
                  </w:r>
                </w:p>
              </w:tc>
              <w:tc>
                <w:tcPr>
                  <w:tcW w:w="1642"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7F2D62E8"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LA32-8</w:t>
                  </w:r>
                </w:p>
              </w:tc>
            </w:tr>
            <w:tr w:rsidR="00F75C9A" w:rsidRPr="005D4222" w14:paraId="6A720FE6" w14:textId="77777777" w:rsidTr="00A53E8C">
              <w:trPr>
                <w:trHeight w:val="144"/>
              </w:trPr>
              <w:tc>
                <w:tcPr>
                  <w:tcW w:w="4277" w:type="dxa"/>
                  <w:tcBorders>
                    <w:top w:val="single" w:sz="4" w:space="0" w:color="auto"/>
                    <w:left w:val="single" w:sz="4" w:space="0" w:color="auto"/>
                    <w:bottom w:val="single" w:sz="4" w:space="0" w:color="auto"/>
                    <w:right w:val="single" w:sz="4" w:space="0" w:color="auto"/>
                  </w:tcBorders>
                </w:tcPr>
                <w:p w14:paraId="0CAA4B81"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WellRx Questionnaire</w:t>
                  </w:r>
                </w:p>
              </w:tc>
              <w:tc>
                <w:tcPr>
                  <w:tcW w:w="1549"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7C1F4B02"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93668-2</w:t>
                  </w:r>
                </w:p>
              </w:tc>
              <w:tc>
                <w:tcPr>
                  <w:tcW w:w="1642"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578D7FF0"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LA33-6</w:t>
                  </w:r>
                </w:p>
              </w:tc>
            </w:tr>
          </w:tbl>
          <w:p w14:paraId="34D8D21B" w14:textId="77777777" w:rsidR="00F75C9A" w:rsidRPr="005D4222" w:rsidRDefault="00F75C9A" w:rsidP="00A53E8C">
            <w:pPr>
              <w:pStyle w:val="TableText"/>
              <w:spacing w:before="120"/>
              <w:rPr>
                <w:rFonts w:ascii="Arial" w:hAnsi="Arial" w:cs="Arial"/>
                <w:sz w:val="18"/>
                <w:szCs w:val="18"/>
                <w:shd w:val="clear" w:color="auto" w:fill="FFFFFF"/>
              </w:rPr>
            </w:pPr>
            <w:r w:rsidRPr="005D4222">
              <w:rPr>
                <w:rFonts w:cs="Arial"/>
                <w:sz w:val="18"/>
                <w:szCs w:val="18"/>
                <w:shd w:val="clear" w:color="auto" w:fill="FFFFFF"/>
                <w:vertAlign w:val="superscript"/>
              </w:rPr>
              <w:t>1</w:t>
            </w:r>
            <w:r w:rsidRPr="005D4222">
              <w:rPr>
                <w:rStyle w:val="TableTextChar"/>
                <w:rFonts w:ascii="Arial" w:hAnsi="Arial" w:cs="Arial"/>
                <w:sz w:val="18"/>
                <w:szCs w:val="18"/>
              </w:rPr>
              <w:t>Proprietary; may be cost or licensing requirement associated with use.</w:t>
            </w:r>
          </w:p>
        </w:tc>
      </w:tr>
    </w:tbl>
    <w:p w14:paraId="2EA44EAE" w14:textId="77777777" w:rsidR="00F75C9A" w:rsidRPr="005D4222" w:rsidRDefault="00F75C9A" w:rsidP="00F75C9A">
      <w:pPr>
        <w:spacing w:after="160" w:line="259" w:lineRule="auto"/>
      </w:pPr>
      <w:r w:rsidRPr="005D4222">
        <w:br w:type="page"/>
      </w:r>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7"/>
        <w:gridCol w:w="7560"/>
      </w:tblGrid>
      <w:tr w:rsidR="00F75C9A" w:rsidRPr="005D4222" w14:paraId="7EAC877E" w14:textId="77777777" w:rsidTr="00A53E8C">
        <w:tc>
          <w:tcPr>
            <w:tcW w:w="2157" w:type="dxa"/>
            <w:tcBorders>
              <w:top w:val="single" w:sz="4" w:space="0" w:color="auto"/>
              <w:bottom w:val="single" w:sz="4" w:space="0" w:color="auto"/>
            </w:tcBorders>
            <w:tcMar>
              <w:top w:w="0" w:type="dxa"/>
              <w:left w:w="86" w:type="dxa"/>
              <w:bottom w:w="43" w:type="dxa"/>
              <w:right w:w="86" w:type="dxa"/>
            </w:tcMar>
          </w:tcPr>
          <w:p w14:paraId="706B3CAE" w14:textId="77777777" w:rsidR="00F75C9A" w:rsidRPr="005D4222" w:rsidRDefault="00F75C9A" w:rsidP="00A53E8C">
            <w:pPr>
              <w:pStyle w:val="ECDSMarginSubhead"/>
              <w:rPr>
                <w:sz w:val="21"/>
                <w:szCs w:val="21"/>
              </w:rPr>
            </w:pPr>
            <w:r w:rsidRPr="005D4222">
              <w:rPr>
                <w:sz w:val="21"/>
                <w:szCs w:val="21"/>
              </w:rPr>
              <w:lastRenderedPageBreak/>
              <w:t xml:space="preserve">Housing instability, homelessness </w:t>
            </w:r>
            <w:r w:rsidRPr="005D4222">
              <w:rPr>
                <w:sz w:val="21"/>
                <w:szCs w:val="21"/>
              </w:rPr>
              <w:br/>
              <w:t>and housing inadequacy screening instruments</w:t>
            </w:r>
          </w:p>
        </w:tc>
        <w:tc>
          <w:tcPr>
            <w:tcW w:w="7560" w:type="dxa"/>
            <w:tcBorders>
              <w:top w:val="single" w:sz="4" w:space="0" w:color="auto"/>
              <w:bottom w:val="single" w:sz="4" w:space="0" w:color="auto"/>
            </w:tcBorders>
            <w:tcMar>
              <w:left w:w="86" w:type="dxa"/>
              <w:bottom w:w="43" w:type="dxa"/>
              <w:right w:w="86" w:type="dxa"/>
            </w:tcMar>
          </w:tcPr>
          <w:p w14:paraId="5D03C663" w14:textId="77777777" w:rsidR="00F75C9A" w:rsidRPr="005D4222" w:rsidRDefault="00F75C9A" w:rsidP="00A53E8C">
            <w:pPr>
              <w:pStyle w:val="ECDSBody"/>
            </w:pPr>
            <w:r w:rsidRPr="005D4222">
              <w:t>Eligible screening instruments with thresholds for positive findings include:</w:t>
            </w:r>
          </w:p>
          <w:tbl>
            <w:tblPr>
              <w:tblStyle w:val="TableGrid"/>
              <w:tblW w:w="5000" w:type="pct"/>
              <w:tblLayout w:type="fixed"/>
              <w:tblLook w:val="04A0" w:firstRow="1" w:lastRow="0" w:firstColumn="1" w:lastColumn="0" w:noHBand="0" w:noVBand="1"/>
            </w:tblPr>
            <w:tblGrid>
              <w:gridCol w:w="4226"/>
              <w:gridCol w:w="1530"/>
              <w:gridCol w:w="1622"/>
            </w:tblGrid>
            <w:tr w:rsidR="00F75C9A" w:rsidRPr="005D4222" w14:paraId="0F14AD33" w14:textId="77777777" w:rsidTr="00A53E8C">
              <w:trPr>
                <w:trHeight w:val="538"/>
              </w:trPr>
              <w:tc>
                <w:tcPr>
                  <w:tcW w:w="4226" w:type="dxa"/>
                  <w:tcBorders>
                    <w:top w:val="single" w:sz="4" w:space="0" w:color="auto"/>
                    <w:left w:val="single" w:sz="4" w:space="0" w:color="auto"/>
                    <w:bottom w:val="single" w:sz="4" w:space="0" w:color="auto"/>
                    <w:right w:val="single" w:sz="4" w:space="0" w:color="FFFFFF" w:themeColor="background1"/>
                  </w:tcBorders>
                  <w:shd w:val="clear" w:color="auto" w:fill="000000" w:themeFill="text1"/>
                  <w:tcMar>
                    <w:top w:w="0" w:type="dxa"/>
                    <w:left w:w="72" w:type="dxa"/>
                    <w:bottom w:w="0" w:type="dxa"/>
                    <w:right w:w="72" w:type="dxa"/>
                  </w:tcMar>
                  <w:vAlign w:val="bottom"/>
                  <w:hideMark/>
                </w:tcPr>
                <w:p w14:paraId="74DEA272" w14:textId="77777777" w:rsidR="00F75C9A" w:rsidRPr="005D4222" w:rsidRDefault="00F75C9A" w:rsidP="00A53E8C">
                  <w:pPr>
                    <w:pStyle w:val="TableHead"/>
                    <w:spacing w:before="80" w:after="80"/>
                    <w:rPr>
                      <w:rFonts w:ascii="Arial" w:hAnsi="Arial" w:cs="Arial"/>
                      <w:sz w:val="20"/>
                    </w:rPr>
                  </w:pPr>
                  <w:r w:rsidRPr="005D4222">
                    <w:rPr>
                      <w:rFonts w:ascii="Arial" w:hAnsi="Arial" w:cs="Arial"/>
                      <w:sz w:val="20"/>
                    </w:rPr>
                    <w:t>Housing Instability and Homelessness Instruments</w:t>
                  </w:r>
                </w:p>
              </w:tc>
              <w:tc>
                <w:tcPr>
                  <w:tcW w:w="153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cMar>
                    <w:top w:w="0" w:type="dxa"/>
                    <w:left w:w="72" w:type="dxa"/>
                    <w:bottom w:w="0" w:type="dxa"/>
                    <w:right w:w="72" w:type="dxa"/>
                  </w:tcMar>
                  <w:vAlign w:val="bottom"/>
                  <w:hideMark/>
                </w:tcPr>
                <w:p w14:paraId="1C0AF17E" w14:textId="77777777" w:rsidR="00F75C9A" w:rsidRPr="005D4222" w:rsidRDefault="00F75C9A" w:rsidP="00A53E8C">
                  <w:pPr>
                    <w:pStyle w:val="TableHead"/>
                    <w:spacing w:before="80" w:after="80"/>
                    <w:rPr>
                      <w:rFonts w:ascii="Arial" w:hAnsi="Arial" w:cs="Arial"/>
                      <w:sz w:val="20"/>
                    </w:rPr>
                  </w:pPr>
                  <w:r w:rsidRPr="005D4222">
                    <w:rPr>
                      <w:rFonts w:ascii="Arial" w:hAnsi="Arial" w:cs="Arial"/>
                      <w:sz w:val="20"/>
                    </w:rPr>
                    <w:t>Screening Item LOINC Codes</w:t>
                  </w:r>
                </w:p>
              </w:tc>
              <w:tc>
                <w:tcPr>
                  <w:tcW w:w="1622" w:type="dxa"/>
                  <w:tcBorders>
                    <w:top w:val="single" w:sz="4" w:space="0" w:color="auto"/>
                    <w:left w:val="single" w:sz="4" w:space="0" w:color="FFFFFF" w:themeColor="background1"/>
                    <w:bottom w:val="single" w:sz="4" w:space="0" w:color="auto"/>
                    <w:right w:val="single" w:sz="4" w:space="0" w:color="auto"/>
                  </w:tcBorders>
                  <w:shd w:val="clear" w:color="auto" w:fill="000000" w:themeFill="text1"/>
                  <w:tcMar>
                    <w:top w:w="0" w:type="dxa"/>
                    <w:left w:w="72" w:type="dxa"/>
                    <w:bottom w:w="0" w:type="dxa"/>
                    <w:right w:w="72" w:type="dxa"/>
                  </w:tcMar>
                  <w:vAlign w:val="bottom"/>
                  <w:hideMark/>
                </w:tcPr>
                <w:p w14:paraId="6ADF2ED6" w14:textId="77777777" w:rsidR="00F75C9A" w:rsidRPr="005D4222" w:rsidRDefault="00F75C9A" w:rsidP="00A53E8C">
                  <w:pPr>
                    <w:pStyle w:val="TableHead"/>
                    <w:spacing w:before="80" w:after="80"/>
                    <w:rPr>
                      <w:rFonts w:ascii="Arial" w:hAnsi="Arial" w:cs="Arial"/>
                      <w:sz w:val="20"/>
                    </w:rPr>
                  </w:pPr>
                  <w:r w:rsidRPr="005D4222">
                    <w:rPr>
                      <w:rFonts w:ascii="Arial" w:hAnsi="Arial" w:cs="Arial"/>
                      <w:sz w:val="20"/>
                    </w:rPr>
                    <w:t>Positive Finding LOINC Codes</w:t>
                  </w:r>
                </w:p>
              </w:tc>
            </w:tr>
            <w:tr w:rsidR="00F75C9A" w:rsidRPr="005D4222" w14:paraId="3C4A32F1" w14:textId="77777777" w:rsidTr="00A53E8C">
              <w:trPr>
                <w:trHeight w:val="572"/>
              </w:trPr>
              <w:tc>
                <w:tcPr>
                  <w:tcW w:w="4226"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27452EE8"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Accountable Health Communities (AHC) Health-Related Social Needs (HRSN) Screening Tool</w:t>
                  </w:r>
                </w:p>
              </w:tc>
              <w:tc>
                <w:tcPr>
                  <w:tcW w:w="1530"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242548A9"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71802-3</w:t>
                  </w:r>
                </w:p>
              </w:tc>
              <w:tc>
                <w:tcPr>
                  <w:tcW w:w="1622"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45612EB8"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LA31994-9</w:t>
                  </w:r>
                  <w:r w:rsidRPr="005D4222">
                    <w:rPr>
                      <w:rFonts w:ascii="Arial" w:hAnsi="Arial" w:cs="Arial"/>
                      <w:sz w:val="20"/>
                      <w:szCs w:val="20"/>
                    </w:rPr>
                    <w:br/>
                    <w:t>LA31995-6</w:t>
                  </w:r>
                </w:p>
              </w:tc>
            </w:tr>
            <w:tr w:rsidR="00F75C9A" w:rsidRPr="005D4222" w14:paraId="608597A4" w14:textId="77777777" w:rsidTr="00A53E8C">
              <w:trPr>
                <w:trHeight w:val="370"/>
              </w:trPr>
              <w:tc>
                <w:tcPr>
                  <w:tcW w:w="4226"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05912930"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American Academy of Family Physicians (AAFP) Social Needs Screening Tool</w:t>
                  </w:r>
                </w:p>
              </w:tc>
              <w:tc>
                <w:tcPr>
                  <w:tcW w:w="1530"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2CE5BD8D"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99550-6</w:t>
                  </w:r>
                </w:p>
              </w:tc>
              <w:tc>
                <w:tcPr>
                  <w:tcW w:w="1622"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04A59D06"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LA33-6</w:t>
                  </w:r>
                </w:p>
              </w:tc>
            </w:tr>
            <w:tr w:rsidR="00F75C9A" w:rsidRPr="005D4222" w14:paraId="4C841444" w14:textId="77777777" w:rsidTr="00A53E8C">
              <w:trPr>
                <w:trHeight w:val="572"/>
              </w:trPr>
              <w:tc>
                <w:tcPr>
                  <w:tcW w:w="4226"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00174BB8" w14:textId="6B322D43" w:rsidR="00F75C9A" w:rsidRPr="005D4222" w:rsidRDefault="00F75C9A" w:rsidP="00A53E8C">
                  <w:pPr>
                    <w:pStyle w:val="TableText"/>
                    <w:rPr>
                      <w:rFonts w:ascii="Arial" w:hAnsi="Arial" w:cs="Arial"/>
                      <w:sz w:val="20"/>
                      <w:szCs w:val="20"/>
                    </w:rPr>
                  </w:pPr>
                  <w:r w:rsidRPr="005D4222">
                    <w:rPr>
                      <w:rFonts w:ascii="Arial" w:hAnsi="Arial" w:cs="Arial"/>
                      <w:sz w:val="20"/>
                      <w:szCs w:val="20"/>
                    </w:rPr>
                    <w:t>American Academy of Family Physicians (AAFP) Social Needs Screening Tool—</w:t>
                  </w:r>
                  <w:r w:rsidR="002E5EE2" w:rsidRPr="005D4222">
                    <w:rPr>
                      <w:rFonts w:ascii="Arial" w:hAnsi="Arial" w:cs="Arial"/>
                      <w:sz w:val="20"/>
                      <w:szCs w:val="20"/>
                    </w:rPr>
                    <w:br/>
                  </w:r>
                  <w:r w:rsidRPr="005D4222">
                    <w:rPr>
                      <w:rFonts w:ascii="Arial" w:hAnsi="Arial" w:cs="Arial"/>
                      <w:sz w:val="20"/>
                      <w:szCs w:val="20"/>
                    </w:rPr>
                    <w:t>short form</w:t>
                  </w:r>
                </w:p>
              </w:tc>
              <w:tc>
                <w:tcPr>
                  <w:tcW w:w="1530"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18C07CDB"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71802-3</w:t>
                  </w:r>
                </w:p>
              </w:tc>
              <w:tc>
                <w:tcPr>
                  <w:tcW w:w="1622"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2B829B14"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LA31994-9</w:t>
                  </w:r>
                  <w:r w:rsidRPr="005D4222">
                    <w:rPr>
                      <w:rFonts w:ascii="Arial" w:hAnsi="Arial" w:cs="Arial"/>
                      <w:sz w:val="20"/>
                      <w:szCs w:val="20"/>
                    </w:rPr>
                    <w:br/>
                    <w:t>LA31995-6</w:t>
                  </w:r>
                </w:p>
              </w:tc>
            </w:tr>
            <w:tr w:rsidR="00F75C9A" w:rsidRPr="005D4222" w14:paraId="219231C1" w14:textId="77777777" w:rsidTr="00A53E8C">
              <w:trPr>
                <w:trHeight w:val="370"/>
              </w:trPr>
              <w:tc>
                <w:tcPr>
                  <w:tcW w:w="4226" w:type="dxa"/>
                  <w:vMerge w:val="restart"/>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020A5FB4"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Children’s Health Watch Housing Stability Vital Signs™</w:t>
                  </w:r>
                  <w:r w:rsidRPr="005D4222">
                    <w:rPr>
                      <w:rFonts w:ascii="Arial" w:hAnsi="Arial" w:cs="Arial"/>
                      <w:sz w:val="20"/>
                      <w:szCs w:val="20"/>
                      <w:vertAlign w:val="superscript"/>
                    </w:rPr>
                    <w:t>1</w:t>
                  </w:r>
                </w:p>
              </w:tc>
              <w:tc>
                <w:tcPr>
                  <w:tcW w:w="1530"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63063E8D"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98976-4</w:t>
                  </w:r>
                </w:p>
              </w:tc>
              <w:tc>
                <w:tcPr>
                  <w:tcW w:w="1622"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019A8FFB"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LA33-6</w:t>
                  </w:r>
                </w:p>
              </w:tc>
            </w:tr>
            <w:tr w:rsidR="00F75C9A" w:rsidRPr="005D4222" w14:paraId="72A60332" w14:textId="77777777" w:rsidTr="00A53E8C">
              <w:trPr>
                <w:trHeight w:val="140"/>
              </w:trPr>
              <w:tc>
                <w:tcPr>
                  <w:tcW w:w="4226" w:type="dxa"/>
                  <w:vMerge/>
                  <w:hideMark/>
                </w:tcPr>
                <w:p w14:paraId="008B7AFB" w14:textId="77777777" w:rsidR="00F75C9A" w:rsidRPr="005D4222" w:rsidRDefault="00F75C9A" w:rsidP="00A53E8C">
                  <w:pPr>
                    <w:pStyle w:val="TableText"/>
                    <w:rPr>
                      <w:rFonts w:ascii="Arial" w:hAnsi="Arial" w:cs="Arial"/>
                      <w:sz w:val="20"/>
                      <w:szCs w:val="20"/>
                    </w:rPr>
                  </w:pPr>
                </w:p>
              </w:tc>
              <w:tc>
                <w:tcPr>
                  <w:tcW w:w="1530"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01F9A134"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98977-2</w:t>
                  </w:r>
                </w:p>
              </w:tc>
              <w:tc>
                <w:tcPr>
                  <w:tcW w:w="1622"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60A9F196"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≥2</w:t>
                  </w:r>
                </w:p>
              </w:tc>
            </w:tr>
            <w:tr w:rsidR="00F75C9A" w:rsidRPr="005D4222" w14:paraId="7248F684" w14:textId="77777777" w:rsidTr="00A53E8C">
              <w:trPr>
                <w:trHeight w:val="140"/>
              </w:trPr>
              <w:tc>
                <w:tcPr>
                  <w:tcW w:w="4226" w:type="dxa"/>
                  <w:vMerge/>
                  <w:hideMark/>
                </w:tcPr>
                <w:p w14:paraId="65D57A17" w14:textId="77777777" w:rsidR="00F75C9A" w:rsidRPr="005D4222" w:rsidRDefault="00F75C9A" w:rsidP="00A53E8C">
                  <w:pPr>
                    <w:pStyle w:val="TableText"/>
                    <w:rPr>
                      <w:rFonts w:ascii="Arial" w:hAnsi="Arial" w:cs="Arial"/>
                      <w:sz w:val="20"/>
                      <w:szCs w:val="20"/>
                    </w:rPr>
                  </w:pPr>
                </w:p>
              </w:tc>
              <w:tc>
                <w:tcPr>
                  <w:tcW w:w="1530"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49B9B7F8"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98978-0</w:t>
                  </w:r>
                </w:p>
              </w:tc>
              <w:tc>
                <w:tcPr>
                  <w:tcW w:w="1622"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74D38958"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LA33-6</w:t>
                  </w:r>
                </w:p>
              </w:tc>
            </w:tr>
            <w:tr w:rsidR="00F75C9A" w:rsidRPr="005D4222" w14:paraId="0CEDEA4E" w14:textId="77777777" w:rsidTr="00A53E8C">
              <w:trPr>
                <w:trHeight w:val="370"/>
              </w:trPr>
              <w:tc>
                <w:tcPr>
                  <w:tcW w:w="4226"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74262867"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Health Leads Screening Panel</w:t>
                  </w:r>
                  <w:r w:rsidRPr="005D4222">
                    <w:rPr>
                      <w:rFonts w:ascii="Arial" w:hAnsi="Arial" w:cs="Arial"/>
                      <w:sz w:val="20"/>
                      <w:szCs w:val="20"/>
                      <w:vertAlign w:val="superscript"/>
                    </w:rPr>
                    <w:t>®1</w:t>
                  </w:r>
                </w:p>
              </w:tc>
              <w:tc>
                <w:tcPr>
                  <w:tcW w:w="1530"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76E8DA65"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99550-6</w:t>
                  </w:r>
                </w:p>
              </w:tc>
              <w:tc>
                <w:tcPr>
                  <w:tcW w:w="1622"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5E0F52F2"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LA33-6</w:t>
                  </w:r>
                </w:p>
              </w:tc>
            </w:tr>
            <w:tr w:rsidR="00F75C9A" w:rsidRPr="005D4222" w14:paraId="38C9C4F6" w14:textId="77777777" w:rsidTr="00A53E8C">
              <w:trPr>
                <w:trHeight w:val="359"/>
              </w:trPr>
              <w:tc>
                <w:tcPr>
                  <w:tcW w:w="4226" w:type="dxa"/>
                  <w:vMerge w:val="restart"/>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1E426464"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Protocol for Responding to and Assessing Patients' Assets, Risks and Experiences [PRAPARE]</w:t>
                  </w:r>
                  <w:r w:rsidRPr="005D4222">
                    <w:rPr>
                      <w:rFonts w:ascii="Arial" w:hAnsi="Arial" w:cs="Arial"/>
                      <w:sz w:val="20"/>
                      <w:szCs w:val="20"/>
                      <w:vertAlign w:val="superscript"/>
                    </w:rPr>
                    <w:t>®1</w:t>
                  </w:r>
                </w:p>
              </w:tc>
              <w:tc>
                <w:tcPr>
                  <w:tcW w:w="1530"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741210B0"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93033-9</w:t>
                  </w:r>
                </w:p>
              </w:tc>
              <w:tc>
                <w:tcPr>
                  <w:tcW w:w="1622"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74173143"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LA33-6</w:t>
                  </w:r>
                </w:p>
              </w:tc>
            </w:tr>
            <w:tr w:rsidR="00F75C9A" w:rsidRPr="005D4222" w14:paraId="0931E0E0" w14:textId="77777777" w:rsidTr="00A53E8C">
              <w:trPr>
                <w:trHeight w:val="140"/>
              </w:trPr>
              <w:tc>
                <w:tcPr>
                  <w:tcW w:w="4226" w:type="dxa"/>
                  <w:vMerge/>
                  <w:hideMark/>
                </w:tcPr>
                <w:p w14:paraId="2F95E151" w14:textId="77777777" w:rsidR="00F75C9A" w:rsidRPr="005D4222" w:rsidRDefault="00F75C9A" w:rsidP="00A53E8C">
                  <w:pPr>
                    <w:pStyle w:val="TableText"/>
                    <w:rPr>
                      <w:rFonts w:ascii="Arial" w:hAnsi="Arial" w:cs="Arial"/>
                      <w:sz w:val="20"/>
                      <w:szCs w:val="20"/>
                    </w:rPr>
                  </w:pPr>
                </w:p>
              </w:tc>
              <w:tc>
                <w:tcPr>
                  <w:tcW w:w="1530"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23F1B300"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71802-3</w:t>
                  </w:r>
                </w:p>
              </w:tc>
              <w:tc>
                <w:tcPr>
                  <w:tcW w:w="1622"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0A6CC0EC"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LA30190-5</w:t>
                  </w:r>
                </w:p>
              </w:tc>
            </w:tr>
            <w:tr w:rsidR="00F75C9A" w:rsidRPr="005D4222" w14:paraId="683CA9E7" w14:textId="77777777" w:rsidTr="00A53E8C">
              <w:trPr>
                <w:trHeight w:val="359"/>
              </w:trPr>
              <w:tc>
                <w:tcPr>
                  <w:tcW w:w="4226" w:type="dxa"/>
                  <w:tcBorders>
                    <w:top w:val="single" w:sz="4" w:space="0" w:color="auto"/>
                    <w:left w:val="single" w:sz="4" w:space="0" w:color="auto"/>
                    <w:bottom w:val="single" w:sz="4" w:space="0" w:color="auto"/>
                    <w:right w:val="single" w:sz="4" w:space="0" w:color="auto"/>
                  </w:tcBorders>
                </w:tcPr>
                <w:p w14:paraId="598C9B42"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We Care Survey</w:t>
                  </w:r>
                </w:p>
              </w:tc>
              <w:tc>
                <w:tcPr>
                  <w:tcW w:w="1530"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022D216D"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96441-1</w:t>
                  </w:r>
                </w:p>
              </w:tc>
              <w:tc>
                <w:tcPr>
                  <w:tcW w:w="1622"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1867FC09"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LA33-6</w:t>
                  </w:r>
                </w:p>
              </w:tc>
            </w:tr>
            <w:tr w:rsidR="00F75C9A" w:rsidRPr="005D4222" w14:paraId="5D099140" w14:textId="77777777" w:rsidTr="00A53E8C">
              <w:trPr>
                <w:trHeight w:val="370"/>
              </w:trPr>
              <w:tc>
                <w:tcPr>
                  <w:tcW w:w="4226" w:type="dxa"/>
                  <w:tcBorders>
                    <w:top w:val="single" w:sz="4" w:space="0" w:color="auto"/>
                    <w:left w:val="single" w:sz="4" w:space="0" w:color="auto"/>
                    <w:bottom w:val="single" w:sz="4" w:space="0" w:color="auto"/>
                    <w:right w:val="single" w:sz="4" w:space="0" w:color="auto"/>
                  </w:tcBorders>
                </w:tcPr>
                <w:p w14:paraId="7A4F0271"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WellRx Questionnaire</w:t>
                  </w:r>
                </w:p>
              </w:tc>
              <w:tc>
                <w:tcPr>
                  <w:tcW w:w="1530"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441DAF19"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93669-0</w:t>
                  </w:r>
                </w:p>
              </w:tc>
              <w:tc>
                <w:tcPr>
                  <w:tcW w:w="1622"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41D32A46"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LA33-6</w:t>
                  </w:r>
                </w:p>
              </w:tc>
            </w:tr>
          </w:tbl>
          <w:p w14:paraId="53162B93" w14:textId="77777777" w:rsidR="00F75C9A" w:rsidRPr="005D4222" w:rsidRDefault="00F75C9A" w:rsidP="00A53E8C">
            <w:pPr>
              <w:pStyle w:val="TableText"/>
              <w:spacing w:after="0"/>
              <w:rPr>
                <w:rFonts w:ascii="Arial" w:hAnsi="Arial" w:cs="Arial"/>
                <w:kern w:val="20"/>
                <w:sz w:val="18"/>
                <w:szCs w:val="18"/>
              </w:rPr>
            </w:pPr>
            <w:r w:rsidRPr="005D4222">
              <w:rPr>
                <w:rFonts w:ascii="Arial" w:hAnsi="Arial" w:cs="Arial"/>
                <w:sz w:val="18"/>
                <w:szCs w:val="18"/>
                <w:shd w:val="clear" w:color="auto" w:fill="FFFFFF"/>
                <w:vertAlign w:val="superscript"/>
              </w:rPr>
              <w:t>1</w:t>
            </w:r>
            <w:r w:rsidRPr="005D4222">
              <w:rPr>
                <w:rFonts w:ascii="Arial" w:hAnsi="Arial" w:cs="Arial"/>
                <w:sz w:val="18"/>
                <w:szCs w:val="18"/>
                <w:shd w:val="clear" w:color="auto" w:fill="FFFFFF"/>
              </w:rPr>
              <w:t>Proprietary; may be cost or licensing requirement associated with use.</w:t>
            </w:r>
          </w:p>
          <w:p w14:paraId="149292C0" w14:textId="77777777" w:rsidR="00F75C9A" w:rsidRPr="005D4222" w:rsidRDefault="00F75C9A" w:rsidP="00A53E8C">
            <w:pPr>
              <w:pStyle w:val="TableText"/>
              <w:spacing w:before="0" w:after="0"/>
              <w:rPr>
                <w:rFonts w:ascii="Arial" w:hAnsi="Arial" w:cs="Arial"/>
                <w:szCs w:val="21"/>
                <w:shd w:val="clear" w:color="auto" w:fill="FFFFFF"/>
              </w:rPr>
            </w:pPr>
          </w:p>
          <w:tbl>
            <w:tblPr>
              <w:tblStyle w:val="TableGrid"/>
              <w:tblW w:w="5000" w:type="pct"/>
              <w:tblLayout w:type="fixed"/>
              <w:tblLook w:val="04A0" w:firstRow="1" w:lastRow="0" w:firstColumn="1" w:lastColumn="0" w:noHBand="0" w:noVBand="1"/>
            </w:tblPr>
            <w:tblGrid>
              <w:gridCol w:w="4228"/>
              <w:gridCol w:w="1530"/>
              <w:gridCol w:w="1620"/>
            </w:tblGrid>
            <w:tr w:rsidR="00F75C9A" w:rsidRPr="005D4222" w14:paraId="3977BF88" w14:textId="77777777" w:rsidTr="00A53E8C">
              <w:trPr>
                <w:trHeight w:val="535"/>
              </w:trPr>
              <w:tc>
                <w:tcPr>
                  <w:tcW w:w="4228" w:type="dxa"/>
                  <w:tcBorders>
                    <w:top w:val="single" w:sz="4" w:space="0" w:color="auto"/>
                    <w:left w:val="single" w:sz="4" w:space="0" w:color="auto"/>
                    <w:bottom w:val="single" w:sz="4" w:space="0" w:color="auto"/>
                    <w:right w:val="single" w:sz="4" w:space="0" w:color="FFFFFF" w:themeColor="background1"/>
                  </w:tcBorders>
                  <w:shd w:val="clear" w:color="auto" w:fill="000000" w:themeFill="text1"/>
                  <w:tcMar>
                    <w:top w:w="0" w:type="dxa"/>
                    <w:left w:w="72" w:type="dxa"/>
                    <w:bottom w:w="0" w:type="dxa"/>
                    <w:right w:w="72" w:type="dxa"/>
                  </w:tcMar>
                  <w:vAlign w:val="bottom"/>
                </w:tcPr>
                <w:p w14:paraId="56149C40" w14:textId="77777777" w:rsidR="00F75C9A" w:rsidRPr="005D4222" w:rsidRDefault="00F75C9A" w:rsidP="00A53E8C">
                  <w:pPr>
                    <w:pStyle w:val="TableHead"/>
                    <w:rPr>
                      <w:rFonts w:ascii="Arial" w:hAnsi="Arial" w:cs="Arial"/>
                      <w:sz w:val="20"/>
                    </w:rPr>
                  </w:pPr>
                  <w:r w:rsidRPr="005D4222">
                    <w:rPr>
                      <w:rFonts w:ascii="Arial" w:hAnsi="Arial" w:cs="Arial"/>
                      <w:sz w:val="20"/>
                    </w:rPr>
                    <w:t>Housing Inadequacy Instruments</w:t>
                  </w:r>
                </w:p>
              </w:tc>
              <w:tc>
                <w:tcPr>
                  <w:tcW w:w="153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cMar>
                    <w:top w:w="0" w:type="dxa"/>
                    <w:left w:w="72" w:type="dxa"/>
                    <w:bottom w:w="0" w:type="dxa"/>
                    <w:right w:w="72" w:type="dxa"/>
                  </w:tcMar>
                  <w:vAlign w:val="bottom"/>
                </w:tcPr>
                <w:p w14:paraId="6FBB2E8B" w14:textId="77777777" w:rsidR="00F75C9A" w:rsidRPr="005D4222" w:rsidRDefault="00F75C9A" w:rsidP="00A53E8C">
                  <w:pPr>
                    <w:pStyle w:val="TableHead"/>
                    <w:rPr>
                      <w:rFonts w:ascii="Arial" w:hAnsi="Arial" w:cs="Arial"/>
                      <w:sz w:val="20"/>
                    </w:rPr>
                  </w:pPr>
                  <w:r w:rsidRPr="005D4222">
                    <w:rPr>
                      <w:rFonts w:ascii="Arial" w:hAnsi="Arial" w:cs="Arial"/>
                      <w:sz w:val="20"/>
                    </w:rPr>
                    <w:t>Screening Item LOINC Codes</w:t>
                  </w:r>
                </w:p>
              </w:tc>
              <w:tc>
                <w:tcPr>
                  <w:tcW w:w="1620" w:type="dxa"/>
                  <w:tcBorders>
                    <w:top w:val="single" w:sz="4" w:space="0" w:color="auto"/>
                    <w:left w:val="single" w:sz="4" w:space="0" w:color="FFFFFF" w:themeColor="background1"/>
                    <w:bottom w:val="single" w:sz="4" w:space="0" w:color="auto"/>
                    <w:right w:val="single" w:sz="4" w:space="0" w:color="auto"/>
                  </w:tcBorders>
                  <w:shd w:val="clear" w:color="auto" w:fill="000000" w:themeFill="text1"/>
                  <w:tcMar>
                    <w:top w:w="0" w:type="dxa"/>
                    <w:left w:w="72" w:type="dxa"/>
                    <w:bottom w:w="0" w:type="dxa"/>
                    <w:right w:w="72" w:type="dxa"/>
                  </w:tcMar>
                  <w:vAlign w:val="bottom"/>
                </w:tcPr>
                <w:p w14:paraId="7AF58EE4" w14:textId="77777777" w:rsidR="00F75C9A" w:rsidRPr="005D4222" w:rsidRDefault="00F75C9A" w:rsidP="00A53E8C">
                  <w:pPr>
                    <w:pStyle w:val="TableHead"/>
                    <w:rPr>
                      <w:rFonts w:ascii="Arial" w:hAnsi="Arial" w:cs="Arial"/>
                      <w:sz w:val="20"/>
                    </w:rPr>
                  </w:pPr>
                  <w:r w:rsidRPr="005D4222">
                    <w:rPr>
                      <w:rFonts w:ascii="Arial" w:hAnsi="Arial" w:cs="Arial"/>
                      <w:sz w:val="20"/>
                    </w:rPr>
                    <w:t>Positive Finding LOINC Codes</w:t>
                  </w:r>
                </w:p>
              </w:tc>
            </w:tr>
            <w:tr w:rsidR="00F75C9A" w:rsidRPr="005D4222" w14:paraId="1D7E9B21" w14:textId="77777777" w:rsidTr="00A53E8C">
              <w:trPr>
                <w:trHeight w:val="1628"/>
              </w:trPr>
              <w:tc>
                <w:tcPr>
                  <w:tcW w:w="4228"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41FBA43D"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Accountable Health Communities (AHC) Health-Related Social Needs (HRSN) Screening Tool</w:t>
                  </w:r>
                </w:p>
              </w:tc>
              <w:tc>
                <w:tcPr>
                  <w:tcW w:w="1530"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6DD89E36"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96778-6</w:t>
                  </w:r>
                </w:p>
              </w:tc>
              <w:tc>
                <w:tcPr>
                  <w:tcW w:w="1620"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2A3A6698"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LA31996-4</w:t>
                  </w:r>
                  <w:r w:rsidRPr="005D4222">
                    <w:rPr>
                      <w:rFonts w:ascii="Arial" w:hAnsi="Arial" w:cs="Arial"/>
                      <w:sz w:val="20"/>
                      <w:szCs w:val="20"/>
                    </w:rPr>
                    <w:br/>
                    <w:t>LA28580-1</w:t>
                  </w:r>
                  <w:r w:rsidRPr="005D4222">
                    <w:rPr>
                      <w:rFonts w:ascii="Arial" w:hAnsi="Arial" w:cs="Arial"/>
                      <w:sz w:val="20"/>
                      <w:szCs w:val="20"/>
                    </w:rPr>
                    <w:br/>
                    <w:t>LA31997-2</w:t>
                  </w:r>
                  <w:r w:rsidRPr="005D4222">
                    <w:rPr>
                      <w:rFonts w:ascii="Arial" w:hAnsi="Arial" w:cs="Arial"/>
                      <w:sz w:val="20"/>
                      <w:szCs w:val="20"/>
                    </w:rPr>
                    <w:br/>
                    <w:t>LA31998-0</w:t>
                  </w:r>
                  <w:r w:rsidRPr="005D4222">
                    <w:rPr>
                      <w:rFonts w:ascii="Arial" w:hAnsi="Arial" w:cs="Arial"/>
                      <w:sz w:val="20"/>
                      <w:szCs w:val="20"/>
                    </w:rPr>
                    <w:br/>
                    <w:t>LA31999-8</w:t>
                  </w:r>
                  <w:r w:rsidRPr="005D4222">
                    <w:rPr>
                      <w:rFonts w:ascii="Arial" w:hAnsi="Arial" w:cs="Arial"/>
                      <w:sz w:val="20"/>
                      <w:szCs w:val="20"/>
                    </w:rPr>
                    <w:br/>
                    <w:t>LA32000-4</w:t>
                  </w:r>
                  <w:r w:rsidRPr="005D4222">
                    <w:rPr>
                      <w:rFonts w:ascii="Arial" w:hAnsi="Arial" w:cs="Arial"/>
                      <w:sz w:val="20"/>
                      <w:szCs w:val="20"/>
                    </w:rPr>
                    <w:br/>
                    <w:t>LA32001-2</w:t>
                  </w:r>
                </w:p>
              </w:tc>
            </w:tr>
            <w:tr w:rsidR="00F75C9A" w:rsidRPr="005D4222" w14:paraId="1B707ACB" w14:textId="77777777" w:rsidTr="00A53E8C">
              <w:trPr>
                <w:trHeight w:val="1628"/>
              </w:trPr>
              <w:tc>
                <w:tcPr>
                  <w:tcW w:w="4228"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1D120686"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American Academy of Family Physicians (AAFP) Social Needs Screening Tool</w:t>
                  </w:r>
                </w:p>
              </w:tc>
              <w:tc>
                <w:tcPr>
                  <w:tcW w:w="1530"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57910BBC"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96778-6</w:t>
                  </w:r>
                </w:p>
              </w:tc>
              <w:tc>
                <w:tcPr>
                  <w:tcW w:w="1620"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727C08F4" w14:textId="77777777" w:rsidR="00F75C9A" w:rsidRPr="005D4222" w:rsidRDefault="00F75C9A" w:rsidP="00A53E8C">
                  <w:pPr>
                    <w:pStyle w:val="TableText"/>
                    <w:rPr>
                      <w:rFonts w:ascii="Arial" w:hAnsi="Arial" w:cs="Arial"/>
                      <w:sz w:val="20"/>
                      <w:szCs w:val="20"/>
                    </w:rPr>
                  </w:pPr>
                  <w:r w:rsidRPr="005D4222">
                    <w:rPr>
                      <w:rFonts w:ascii="Arial" w:hAnsi="Arial" w:cs="Arial"/>
                      <w:sz w:val="20"/>
                      <w:szCs w:val="20"/>
                    </w:rPr>
                    <w:t>LA32691-0</w:t>
                  </w:r>
                  <w:r w:rsidRPr="005D4222">
                    <w:rPr>
                      <w:rFonts w:ascii="Arial" w:hAnsi="Arial" w:cs="Arial"/>
                      <w:sz w:val="20"/>
                      <w:szCs w:val="20"/>
                    </w:rPr>
                    <w:br/>
                    <w:t>LA28580-1</w:t>
                  </w:r>
                  <w:r w:rsidRPr="005D4222">
                    <w:rPr>
                      <w:rFonts w:ascii="Arial" w:hAnsi="Arial" w:cs="Arial"/>
                      <w:sz w:val="20"/>
                      <w:szCs w:val="20"/>
                    </w:rPr>
                    <w:br/>
                    <w:t>LA32693-6</w:t>
                  </w:r>
                  <w:r w:rsidRPr="005D4222">
                    <w:rPr>
                      <w:rFonts w:ascii="Arial" w:hAnsi="Arial" w:cs="Arial"/>
                      <w:sz w:val="20"/>
                      <w:szCs w:val="20"/>
                    </w:rPr>
                    <w:br/>
                    <w:t>LA32694-4</w:t>
                  </w:r>
                  <w:r w:rsidRPr="005D4222">
                    <w:rPr>
                      <w:rFonts w:ascii="Arial" w:hAnsi="Arial" w:cs="Arial"/>
                      <w:sz w:val="20"/>
                      <w:szCs w:val="20"/>
                    </w:rPr>
                    <w:br/>
                    <w:t>LA32695-1</w:t>
                  </w:r>
                  <w:r w:rsidRPr="005D4222">
                    <w:rPr>
                      <w:rFonts w:ascii="Arial" w:hAnsi="Arial" w:cs="Arial"/>
                      <w:sz w:val="20"/>
                      <w:szCs w:val="20"/>
                    </w:rPr>
                    <w:br/>
                    <w:t>LA32696-9</w:t>
                  </w:r>
                  <w:r w:rsidRPr="005D4222">
                    <w:rPr>
                      <w:rFonts w:ascii="Arial" w:hAnsi="Arial" w:cs="Arial"/>
                      <w:sz w:val="20"/>
                      <w:szCs w:val="20"/>
                    </w:rPr>
                    <w:br/>
                    <w:t>LA32001-2</w:t>
                  </w:r>
                </w:p>
              </w:tc>
            </w:tr>
            <w:tr w:rsidR="00BD378D" w:rsidRPr="005D4222" w14:paraId="084EE0EA" w14:textId="77777777" w:rsidTr="00A53E8C">
              <w:trPr>
                <w:trHeight w:val="1628"/>
              </w:trPr>
              <w:tc>
                <w:tcPr>
                  <w:tcW w:w="4228"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624CCA52" w14:textId="7EFF669C" w:rsidR="00BD378D" w:rsidRPr="005D4222" w:rsidRDefault="00BD378D" w:rsidP="00BD378D">
                  <w:pPr>
                    <w:pStyle w:val="TableText"/>
                    <w:rPr>
                      <w:rFonts w:ascii="Arial" w:hAnsi="Arial" w:cs="Arial"/>
                      <w:sz w:val="20"/>
                      <w:szCs w:val="20"/>
                    </w:rPr>
                  </w:pPr>
                  <w:r w:rsidRPr="005D4222">
                    <w:rPr>
                      <w:rFonts w:ascii="Arial" w:hAnsi="Arial" w:cs="Arial"/>
                      <w:sz w:val="20"/>
                      <w:szCs w:val="20"/>
                    </w:rPr>
                    <w:t>American Academy of Family Physicians (AAFP) Social Needs Screening Tool—</w:t>
                  </w:r>
                  <w:r w:rsidR="002E5EE2" w:rsidRPr="005D4222">
                    <w:rPr>
                      <w:rFonts w:ascii="Arial" w:hAnsi="Arial" w:cs="Arial"/>
                      <w:sz w:val="20"/>
                      <w:szCs w:val="20"/>
                    </w:rPr>
                    <w:br/>
                  </w:r>
                  <w:r w:rsidRPr="005D4222">
                    <w:rPr>
                      <w:rFonts w:ascii="Arial" w:hAnsi="Arial" w:cs="Arial"/>
                      <w:sz w:val="20"/>
                      <w:szCs w:val="20"/>
                    </w:rPr>
                    <w:t>short form</w:t>
                  </w:r>
                </w:p>
              </w:tc>
              <w:tc>
                <w:tcPr>
                  <w:tcW w:w="1530"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36FA88A0" w14:textId="313E4660" w:rsidR="00BD378D" w:rsidRPr="005D4222" w:rsidRDefault="00BD378D" w:rsidP="00BD378D">
                  <w:pPr>
                    <w:pStyle w:val="TableText"/>
                    <w:rPr>
                      <w:rFonts w:ascii="Arial" w:hAnsi="Arial" w:cs="Arial"/>
                      <w:sz w:val="20"/>
                      <w:szCs w:val="20"/>
                    </w:rPr>
                  </w:pPr>
                  <w:r w:rsidRPr="005D4222">
                    <w:rPr>
                      <w:rFonts w:ascii="Arial" w:hAnsi="Arial" w:cs="Arial"/>
                      <w:sz w:val="20"/>
                      <w:szCs w:val="20"/>
                    </w:rPr>
                    <w:t>96778-6</w:t>
                  </w:r>
                </w:p>
              </w:tc>
              <w:tc>
                <w:tcPr>
                  <w:tcW w:w="1620"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44583DFD" w14:textId="3D1EAF49" w:rsidR="00BD378D" w:rsidRPr="005D4222" w:rsidRDefault="00BD378D" w:rsidP="00BD378D">
                  <w:pPr>
                    <w:pStyle w:val="TableText"/>
                    <w:rPr>
                      <w:rFonts w:ascii="Arial" w:hAnsi="Arial" w:cs="Arial"/>
                      <w:sz w:val="20"/>
                      <w:szCs w:val="20"/>
                    </w:rPr>
                  </w:pPr>
                  <w:r w:rsidRPr="005D4222">
                    <w:rPr>
                      <w:rFonts w:ascii="Arial" w:hAnsi="Arial" w:cs="Arial"/>
                      <w:sz w:val="20"/>
                      <w:szCs w:val="20"/>
                    </w:rPr>
                    <w:t>LA31996-4</w:t>
                  </w:r>
                  <w:r w:rsidRPr="005D4222">
                    <w:rPr>
                      <w:rFonts w:ascii="Arial" w:hAnsi="Arial" w:cs="Arial"/>
                      <w:sz w:val="20"/>
                      <w:szCs w:val="20"/>
                    </w:rPr>
                    <w:br/>
                    <w:t>LA28580-1</w:t>
                  </w:r>
                  <w:r w:rsidRPr="005D4222">
                    <w:rPr>
                      <w:rFonts w:ascii="Arial" w:hAnsi="Arial" w:cs="Arial"/>
                      <w:sz w:val="20"/>
                      <w:szCs w:val="20"/>
                    </w:rPr>
                    <w:br/>
                    <w:t>LA31997-2</w:t>
                  </w:r>
                  <w:r w:rsidRPr="005D4222">
                    <w:rPr>
                      <w:rFonts w:ascii="Arial" w:hAnsi="Arial" w:cs="Arial"/>
                      <w:sz w:val="20"/>
                      <w:szCs w:val="20"/>
                    </w:rPr>
                    <w:br/>
                    <w:t>LA31998-0</w:t>
                  </w:r>
                  <w:r w:rsidRPr="005D4222">
                    <w:rPr>
                      <w:rFonts w:ascii="Arial" w:hAnsi="Arial" w:cs="Arial"/>
                      <w:sz w:val="20"/>
                      <w:szCs w:val="20"/>
                    </w:rPr>
                    <w:br/>
                    <w:t>LA31999-8</w:t>
                  </w:r>
                  <w:r w:rsidRPr="005D4222">
                    <w:rPr>
                      <w:rFonts w:ascii="Arial" w:hAnsi="Arial" w:cs="Arial"/>
                      <w:sz w:val="20"/>
                      <w:szCs w:val="20"/>
                    </w:rPr>
                    <w:br/>
                    <w:t>LA32000-4</w:t>
                  </w:r>
                  <w:r w:rsidRPr="005D4222">
                    <w:rPr>
                      <w:rFonts w:ascii="Arial" w:hAnsi="Arial" w:cs="Arial"/>
                      <w:sz w:val="20"/>
                      <w:szCs w:val="20"/>
                    </w:rPr>
                    <w:br/>
                    <w:t>LA32001-2</w:t>
                  </w:r>
                </w:p>
              </w:tc>
            </w:tr>
          </w:tbl>
          <w:p w14:paraId="452384DA" w14:textId="77777777" w:rsidR="00F75C9A" w:rsidRPr="005D4222" w:rsidRDefault="00F75C9A" w:rsidP="00A53E8C">
            <w:pPr>
              <w:pStyle w:val="TableText"/>
              <w:spacing w:before="0" w:after="0"/>
              <w:rPr>
                <w:rFonts w:ascii="Arial" w:hAnsi="Arial" w:cs="Arial"/>
                <w:szCs w:val="21"/>
                <w:shd w:val="clear" w:color="auto" w:fill="FFFFFF"/>
              </w:rPr>
            </w:pPr>
          </w:p>
        </w:tc>
      </w:tr>
    </w:tbl>
    <w:p w14:paraId="3E680EEA" w14:textId="77777777" w:rsidR="00F75C9A" w:rsidRPr="005D4222" w:rsidRDefault="00F75C9A" w:rsidP="00F75C9A">
      <w:pPr>
        <w:spacing w:after="160" w:line="259" w:lineRule="auto"/>
      </w:pPr>
      <w:r w:rsidRPr="005D4222">
        <w:br w:type="page"/>
      </w:r>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45"/>
        <w:gridCol w:w="7572"/>
      </w:tblGrid>
      <w:tr w:rsidR="00F75C9A" w:rsidRPr="005D4222" w14:paraId="7050461D" w14:textId="77777777" w:rsidTr="00BD378D">
        <w:tc>
          <w:tcPr>
            <w:tcW w:w="2145" w:type="dxa"/>
            <w:tcBorders>
              <w:top w:val="single" w:sz="4" w:space="0" w:color="auto"/>
              <w:bottom w:val="nil"/>
            </w:tcBorders>
            <w:tcMar>
              <w:top w:w="86" w:type="dxa"/>
              <w:left w:w="86" w:type="dxa"/>
              <w:bottom w:w="43" w:type="dxa"/>
              <w:right w:w="86" w:type="dxa"/>
            </w:tcMar>
          </w:tcPr>
          <w:p w14:paraId="3910F7C8" w14:textId="77777777" w:rsidR="00F75C9A" w:rsidRPr="005D4222" w:rsidRDefault="00F75C9A" w:rsidP="00A53E8C">
            <w:pPr>
              <w:pStyle w:val="ECDSMarginSubhead"/>
              <w:rPr>
                <w:sz w:val="21"/>
                <w:szCs w:val="21"/>
              </w:rPr>
            </w:pPr>
          </w:p>
        </w:tc>
        <w:tc>
          <w:tcPr>
            <w:tcW w:w="7572" w:type="dxa"/>
            <w:tcBorders>
              <w:top w:val="single" w:sz="4" w:space="0" w:color="auto"/>
              <w:bottom w:val="nil"/>
            </w:tcBorders>
            <w:tcMar>
              <w:left w:w="86" w:type="dxa"/>
              <w:bottom w:w="43" w:type="dxa"/>
              <w:right w:w="86" w:type="dxa"/>
            </w:tcMar>
          </w:tcPr>
          <w:p w14:paraId="5AFE8627" w14:textId="77777777" w:rsidR="00F75C9A" w:rsidRPr="005D4222" w:rsidRDefault="00F75C9A" w:rsidP="00A53E8C">
            <w:pPr>
              <w:rPr>
                <w:sz w:val="10"/>
                <w:szCs w:val="10"/>
              </w:rPr>
            </w:pPr>
          </w:p>
          <w:tbl>
            <w:tblPr>
              <w:tblStyle w:val="TableGrid"/>
              <w:tblW w:w="5000" w:type="pct"/>
              <w:tblLayout w:type="fixed"/>
              <w:tblLook w:val="04A0" w:firstRow="1" w:lastRow="0" w:firstColumn="1" w:lastColumn="0" w:noHBand="0" w:noVBand="1"/>
            </w:tblPr>
            <w:tblGrid>
              <w:gridCol w:w="4234"/>
              <w:gridCol w:w="1533"/>
              <w:gridCol w:w="1623"/>
            </w:tblGrid>
            <w:tr w:rsidR="00F75C9A" w:rsidRPr="005D4222" w14:paraId="22E45A18" w14:textId="77777777" w:rsidTr="00A53E8C">
              <w:trPr>
                <w:trHeight w:val="535"/>
              </w:trPr>
              <w:tc>
                <w:tcPr>
                  <w:tcW w:w="4234" w:type="dxa"/>
                  <w:tcBorders>
                    <w:top w:val="single" w:sz="4" w:space="0" w:color="auto"/>
                    <w:left w:val="single" w:sz="4" w:space="0" w:color="auto"/>
                    <w:bottom w:val="single" w:sz="4" w:space="0" w:color="auto"/>
                    <w:right w:val="single" w:sz="4" w:space="0" w:color="FFFFFF" w:themeColor="background1"/>
                  </w:tcBorders>
                  <w:shd w:val="clear" w:color="auto" w:fill="000000" w:themeFill="text1"/>
                  <w:tcMar>
                    <w:top w:w="0" w:type="dxa"/>
                    <w:left w:w="72" w:type="dxa"/>
                    <w:bottom w:w="0" w:type="dxa"/>
                    <w:right w:w="72" w:type="dxa"/>
                  </w:tcMar>
                  <w:vAlign w:val="bottom"/>
                </w:tcPr>
                <w:p w14:paraId="716D5F7B" w14:textId="77777777" w:rsidR="00F75C9A" w:rsidRPr="005D4222" w:rsidRDefault="00F75C9A" w:rsidP="00BD378D">
                  <w:pPr>
                    <w:pStyle w:val="TableHead"/>
                    <w:spacing w:before="40" w:after="40"/>
                    <w:rPr>
                      <w:rFonts w:ascii="Arial" w:hAnsi="Arial" w:cs="Arial"/>
                      <w:sz w:val="20"/>
                    </w:rPr>
                  </w:pPr>
                  <w:r w:rsidRPr="005D4222">
                    <w:rPr>
                      <w:rFonts w:ascii="Arial" w:hAnsi="Arial" w:cs="Arial"/>
                      <w:sz w:val="20"/>
                    </w:rPr>
                    <w:t>Housing Inadequacy Instruments</w:t>
                  </w:r>
                </w:p>
              </w:tc>
              <w:tc>
                <w:tcPr>
                  <w:tcW w:w="153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cMar>
                    <w:top w:w="0" w:type="dxa"/>
                    <w:left w:w="72" w:type="dxa"/>
                    <w:bottom w:w="0" w:type="dxa"/>
                    <w:right w:w="72" w:type="dxa"/>
                  </w:tcMar>
                  <w:vAlign w:val="bottom"/>
                </w:tcPr>
                <w:p w14:paraId="0BF4DF4F" w14:textId="77777777" w:rsidR="00F75C9A" w:rsidRPr="005D4222" w:rsidRDefault="00F75C9A" w:rsidP="00BD378D">
                  <w:pPr>
                    <w:pStyle w:val="TableHead"/>
                    <w:spacing w:before="40" w:after="40"/>
                    <w:rPr>
                      <w:rFonts w:ascii="Arial" w:hAnsi="Arial" w:cs="Arial"/>
                      <w:sz w:val="20"/>
                    </w:rPr>
                  </w:pPr>
                  <w:r w:rsidRPr="005D4222">
                    <w:rPr>
                      <w:rFonts w:ascii="Arial" w:hAnsi="Arial" w:cs="Arial"/>
                      <w:sz w:val="20"/>
                    </w:rPr>
                    <w:t>Screening Item LOINC Codes</w:t>
                  </w:r>
                </w:p>
              </w:tc>
              <w:tc>
                <w:tcPr>
                  <w:tcW w:w="1623" w:type="dxa"/>
                  <w:tcBorders>
                    <w:top w:val="single" w:sz="4" w:space="0" w:color="auto"/>
                    <w:left w:val="single" w:sz="4" w:space="0" w:color="FFFFFF" w:themeColor="background1"/>
                    <w:bottom w:val="single" w:sz="4" w:space="0" w:color="auto"/>
                    <w:right w:val="single" w:sz="4" w:space="0" w:color="auto"/>
                  </w:tcBorders>
                  <w:shd w:val="clear" w:color="auto" w:fill="000000" w:themeFill="text1"/>
                  <w:tcMar>
                    <w:top w:w="0" w:type="dxa"/>
                    <w:left w:w="72" w:type="dxa"/>
                    <w:bottom w:w="0" w:type="dxa"/>
                    <w:right w:w="72" w:type="dxa"/>
                  </w:tcMar>
                  <w:vAlign w:val="bottom"/>
                </w:tcPr>
                <w:p w14:paraId="4C278349" w14:textId="77777777" w:rsidR="00F75C9A" w:rsidRPr="005D4222" w:rsidRDefault="00F75C9A" w:rsidP="00BD378D">
                  <w:pPr>
                    <w:pStyle w:val="TableHead"/>
                    <w:spacing w:before="40" w:after="40"/>
                    <w:rPr>
                      <w:rFonts w:ascii="Arial" w:hAnsi="Arial" w:cs="Arial"/>
                      <w:sz w:val="20"/>
                    </w:rPr>
                  </w:pPr>
                  <w:r w:rsidRPr="005D4222">
                    <w:rPr>
                      <w:rFonts w:ascii="Arial" w:hAnsi="Arial" w:cs="Arial"/>
                      <w:sz w:val="20"/>
                    </w:rPr>
                    <w:t>Positive Finding LOINC Codes</w:t>
                  </w:r>
                </w:p>
              </w:tc>
            </w:tr>
            <w:tr w:rsidR="00F75C9A" w:rsidRPr="005D4222" w14:paraId="36CB17EB" w14:textId="77777777" w:rsidTr="00A53E8C">
              <w:trPr>
                <w:trHeight w:val="367"/>
              </w:trPr>
              <w:tc>
                <w:tcPr>
                  <w:tcW w:w="4234" w:type="dxa"/>
                  <w:vMerge w:val="restart"/>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7C152D1E" w14:textId="77777777" w:rsidR="00F75C9A" w:rsidRPr="005D4222" w:rsidRDefault="00F75C9A" w:rsidP="00BD378D">
                  <w:pPr>
                    <w:pStyle w:val="TableText"/>
                    <w:spacing w:before="40" w:after="40"/>
                    <w:rPr>
                      <w:rFonts w:ascii="Arial" w:hAnsi="Arial" w:cs="Arial"/>
                      <w:sz w:val="20"/>
                      <w:szCs w:val="20"/>
                    </w:rPr>
                  </w:pPr>
                  <w:r w:rsidRPr="005D4222">
                    <w:rPr>
                      <w:rFonts w:ascii="Arial" w:hAnsi="Arial" w:cs="Arial"/>
                      <w:sz w:val="20"/>
                      <w:szCs w:val="20"/>
                    </w:rPr>
                    <w:t>Norwalk Community Health Center Screening Tool [NCHC]</w:t>
                  </w:r>
                </w:p>
              </w:tc>
              <w:tc>
                <w:tcPr>
                  <w:tcW w:w="1533"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5370E54A" w14:textId="77777777" w:rsidR="00F75C9A" w:rsidRPr="005D4222" w:rsidRDefault="00F75C9A" w:rsidP="00BD378D">
                  <w:pPr>
                    <w:pStyle w:val="TableText"/>
                    <w:spacing w:before="40" w:after="40"/>
                    <w:rPr>
                      <w:rFonts w:ascii="Arial" w:hAnsi="Arial" w:cs="Arial"/>
                      <w:sz w:val="20"/>
                      <w:szCs w:val="20"/>
                    </w:rPr>
                  </w:pPr>
                  <w:r w:rsidRPr="005D4222">
                    <w:rPr>
                      <w:rFonts w:ascii="Arial" w:hAnsi="Arial" w:cs="Arial"/>
                      <w:sz w:val="20"/>
                      <w:szCs w:val="20"/>
                    </w:rPr>
                    <w:t>99134-9</w:t>
                  </w:r>
                </w:p>
              </w:tc>
              <w:tc>
                <w:tcPr>
                  <w:tcW w:w="1623"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2D19186F" w14:textId="77777777" w:rsidR="00F75C9A" w:rsidRPr="005D4222" w:rsidRDefault="00F75C9A" w:rsidP="00BD378D">
                  <w:pPr>
                    <w:pStyle w:val="TableText"/>
                    <w:spacing w:before="40" w:after="40"/>
                    <w:rPr>
                      <w:rFonts w:ascii="Arial" w:hAnsi="Arial" w:cs="Arial"/>
                      <w:sz w:val="20"/>
                      <w:szCs w:val="20"/>
                    </w:rPr>
                  </w:pPr>
                  <w:r w:rsidRPr="005D4222">
                    <w:rPr>
                      <w:rFonts w:ascii="Arial" w:hAnsi="Arial" w:cs="Arial"/>
                      <w:sz w:val="20"/>
                      <w:szCs w:val="20"/>
                    </w:rPr>
                    <w:t>LA33-6</w:t>
                  </w:r>
                </w:p>
              </w:tc>
            </w:tr>
            <w:tr w:rsidR="00F75C9A" w:rsidRPr="005D4222" w14:paraId="6599A0E0" w14:textId="77777777" w:rsidTr="00A53E8C">
              <w:trPr>
                <w:trHeight w:val="139"/>
              </w:trPr>
              <w:tc>
                <w:tcPr>
                  <w:tcW w:w="4234" w:type="dxa"/>
                  <w:vMerge/>
                  <w:tcBorders>
                    <w:top w:val="single" w:sz="4" w:space="0" w:color="auto"/>
                    <w:left w:val="single" w:sz="4" w:space="0" w:color="auto"/>
                    <w:bottom w:val="single" w:sz="4" w:space="0" w:color="auto"/>
                    <w:right w:val="single" w:sz="4" w:space="0" w:color="auto"/>
                  </w:tcBorders>
                  <w:hideMark/>
                </w:tcPr>
                <w:p w14:paraId="286151B0" w14:textId="77777777" w:rsidR="00F75C9A" w:rsidRPr="005D4222" w:rsidRDefault="00F75C9A" w:rsidP="00BD378D">
                  <w:pPr>
                    <w:pStyle w:val="TableText"/>
                    <w:spacing w:before="40" w:after="40"/>
                    <w:rPr>
                      <w:rFonts w:ascii="Arial" w:hAnsi="Arial" w:cs="Arial"/>
                      <w:sz w:val="20"/>
                      <w:szCs w:val="20"/>
                    </w:rPr>
                  </w:pPr>
                </w:p>
              </w:tc>
              <w:tc>
                <w:tcPr>
                  <w:tcW w:w="1533"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38879312" w14:textId="77777777" w:rsidR="00F75C9A" w:rsidRPr="005D4222" w:rsidRDefault="00F75C9A" w:rsidP="00BD378D">
                  <w:pPr>
                    <w:pStyle w:val="TableText"/>
                    <w:spacing w:before="40" w:after="40"/>
                    <w:rPr>
                      <w:rFonts w:ascii="Arial" w:hAnsi="Arial" w:cs="Arial"/>
                      <w:sz w:val="20"/>
                      <w:szCs w:val="20"/>
                    </w:rPr>
                  </w:pPr>
                  <w:r w:rsidRPr="005D4222">
                    <w:rPr>
                      <w:rFonts w:ascii="Arial" w:hAnsi="Arial" w:cs="Arial"/>
                      <w:sz w:val="20"/>
                      <w:szCs w:val="20"/>
                    </w:rPr>
                    <w:t>99135-6</w:t>
                  </w:r>
                </w:p>
              </w:tc>
              <w:tc>
                <w:tcPr>
                  <w:tcW w:w="1623"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4421F3FA" w14:textId="77777777" w:rsidR="00F75C9A" w:rsidRPr="005D4222" w:rsidRDefault="00F75C9A" w:rsidP="00BD378D">
                  <w:pPr>
                    <w:pStyle w:val="TableText"/>
                    <w:spacing w:before="40" w:after="40"/>
                    <w:rPr>
                      <w:rFonts w:ascii="Arial" w:hAnsi="Arial" w:cs="Arial"/>
                      <w:sz w:val="20"/>
                      <w:szCs w:val="20"/>
                    </w:rPr>
                  </w:pPr>
                  <w:r w:rsidRPr="005D4222">
                    <w:rPr>
                      <w:rFonts w:ascii="Arial" w:hAnsi="Arial" w:cs="Arial"/>
                      <w:sz w:val="20"/>
                      <w:szCs w:val="20"/>
                    </w:rPr>
                    <w:t>LA31996-4</w:t>
                  </w:r>
                  <w:r w:rsidRPr="005D4222">
                    <w:rPr>
                      <w:rFonts w:ascii="Arial" w:hAnsi="Arial" w:cs="Arial"/>
                      <w:sz w:val="20"/>
                      <w:szCs w:val="20"/>
                    </w:rPr>
                    <w:br/>
                    <w:t>LA28580-1</w:t>
                  </w:r>
                  <w:r w:rsidRPr="005D4222">
                    <w:rPr>
                      <w:rFonts w:ascii="Arial" w:hAnsi="Arial" w:cs="Arial"/>
                      <w:sz w:val="20"/>
                      <w:szCs w:val="20"/>
                    </w:rPr>
                    <w:br/>
                    <w:t>LA31997-2</w:t>
                  </w:r>
                  <w:r w:rsidRPr="005D4222">
                    <w:rPr>
                      <w:rFonts w:ascii="Arial" w:hAnsi="Arial" w:cs="Arial"/>
                      <w:sz w:val="20"/>
                      <w:szCs w:val="20"/>
                    </w:rPr>
                    <w:br/>
                    <w:t>LA31998-0</w:t>
                  </w:r>
                  <w:r w:rsidRPr="005D4222">
                    <w:rPr>
                      <w:rFonts w:ascii="Arial" w:hAnsi="Arial" w:cs="Arial"/>
                      <w:sz w:val="20"/>
                      <w:szCs w:val="20"/>
                    </w:rPr>
                    <w:br/>
                    <w:t>LA31999-8</w:t>
                  </w:r>
                  <w:r w:rsidRPr="005D4222">
                    <w:rPr>
                      <w:rFonts w:ascii="Arial" w:hAnsi="Arial" w:cs="Arial"/>
                      <w:sz w:val="20"/>
                      <w:szCs w:val="20"/>
                    </w:rPr>
                    <w:br/>
                    <w:t>LA32000-4</w:t>
                  </w:r>
                  <w:r w:rsidRPr="005D4222">
                    <w:rPr>
                      <w:rFonts w:ascii="Arial" w:hAnsi="Arial" w:cs="Arial"/>
                      <w:sz w:val="20"/>
                      <w:szCs w:val="20"/>
                    </w:rPr>
                    <w:br/>
                    <w:t>LA32001-2</w:t>
                  </w:r>
                </w:p>
              </w:tc>
            </w:tr>
          </w:tbl>
          <w:p w14:paraId="51BD9029" w14:textId="77777777" w:rsidR="00F75C9A" w:rsidRPr="005D4222" w:rsidRDefault="00F75C9A" w:rsidP="00A53E8C">
            <w:pPr>
              <w:pStyle w:val="ECDSBody"/>
              <w:spacing w:after="0"/>
              <w:rPr>
                <w:sz w:val="18"/>
                <w:szCs w:val="18"/>
              </w:rPr>
            </w:pPr>
            <w:r w:rsidRPr="005D4222">
              <w:rPr>
                <w:sz w:val="18"/>
                <w:szCs w:val="18"/>
                <w:shd w:val="clear" w:color="auto" w:fill="FFFFFF"/>
                <w:vertAlign w:val="superscript"/>
              </w:rPr>
              <w:t>1</w:t>
            </w:r>
            <w:r w:rsidRPr="005D4222">
              <w:rPr>
                <w:rStyle w:val="TableTextChar"/>
                <w:sz w:val="18"/>
                <w:szCs w:val="18"/>
              </w:rPr>
              <w:t>Proprietary; may be cost or licensing requirement associated with use.</w:t>
            </w:r>
          </w:p>
        </w:tc>
      </w:tr>
      <w:tr w:rsidR="00F75C9A" w:rsidRPr="005D4222" w14:paraId="6B9308EF" w14:textId="77777777" w:rsidTr="00BD378D">
        <w:tc>
          <w:tcPr>
            <w:tcW w:w="2145" w:type="dxa"/>
            <w:tcBorders>
              <w:top w:val="nil"/>
              <w:bottom w:val="single" w:sz="4" w:space="0" w:color="auto"/>
            </w:tcBorders>
            <w:tcMar>
              <w:top w:w="0" w:type="dxa"/>
              <w:left w:w="86" w:type="dxa"/>
              <w:bottom w:w="43" w:type="dxa"/>
              <w:right w:w="86" w:type="dxa"/>
            </w:tcMar>
          </w:tcPr>
          <w:p w14:paraId="529EC2D7" w14:textId="77777777" w:rsidR="00F75C9A" w:rsidRPr="005D4222" w:rsidRDefault="00F75C9A" w:rsidP="00BD378D">
            <w:pPr>
              <w:pStyle w:val="ECDSSubhead"/>
            </w:pPr>
            <w:r w:rsidRPr="005D4222">
              <w:t>Transportation insecurity screening instruments</w:t>
            </w:r>
          </w:p>
        </w:tc>
        <w:tc>
          <w:tcPr>
            <w:tcW w:w="7572" w:type="dxa"/>
            <w:tcBorders>
              <w:top w:val="nil"/>
              <w:bottom w:val="single" w:sz="4" w:space="0" w:color="auto"/>
            </w:tcBorders>
            <w:tcMar>
              <w:left w:w="86" w:type="dxa"/>
              <w:bottom w:w="43" w:type="dxa"/>
              <w:right w:w="86" w:type="dxa"/>
            </w:tcMar>
          </w:tcPr>
          <w:p w14:paraId="2FA59922" w14:textId="77777777" w:rsidR="00F75C9A" w:rsidRPr="005D4222" w:rsidRDefault="00F75C9A" w:rsidP="00A53E8C">
            <w:pPr>
              <w:pStyle w:val="ECDSBody"/>
            </w:pPr>
            <w:r w:rsidRPr="005D4222">
              <w:t>Eligible screening instruments with thresholds for positive findings include:</w:t>
            </w:r>
          </w:p>
          <w:tbl>
            <w:tblPr>
              <w:tblStyle w:val="TableGrid"/>
              <w:tblW w:w="5000" w:type="pct"/>
              <w:tblLayout w:type="fixed"/>
              <w:tblLook w:val="04A0" w:firstRow="1" w:lastRow="0" w:firstColumn="1" w:lastColumn="0" w:noHBand="0" w:noVBand="1"/>
            </w:tblPr>
            <w:tblGrid>
              <w:gridCol w:w="4234"/>
              <w:gridCol w:w="1533"/>
              <w:gridCol w:w="1623"/>
            </w:tblGrid>
            <w:tr w:rsidR="00F75C9A" w:rsidRPr="005D4222" w14:paraId="57A0DE28" w14:textId="77777777" w:rsidTr="00A53E8C">
              <w:trPr>
                <w:trHeight w:val="529"/>
              </w:trPr>
              <w:tc>
                <w:tcPr>
                  <w:tcW w:w="4234" w:type="dxa"/>
                  <w:tcBorders>
                    <w:top w:val="single" w:sz="4" w:space="0" w:color="auto"/>
                    <w:left w:val="single" w:sz="4" w:space="0" w:color="auto"/>
                    <w:bottom w:val="single" w:sz="4" w:space="0" w:color="auto"/>
                    <w:right w:val="single" w:sz="4" w:space="0" w:color="FFFFFF" w:themeColor="background1"/>
                  </w:tcBorders>
                  <w:shd w:val="clear" w:color="auto" w:fill="000000" w:themeFill="text1"/>
                  <w:tcMar>
                    <w:top w:w="0" w:type="dxa"/>
                    <w:left w:w="72" w:type="dxa"/>
                    <w:bottom w:w="0" w:type="dxa"/>
                    <w:right w:w="72" w:type="dxa"/>
                  </w:tcMar>
                  <w:vAlign w:val="bottom"/>
                  <w:hideMark/>
                </w:tcPr>
                <w:p w14:paraId="7EF07DD2" w14:textId="77777777" w:rsidR="00F75C9A" w:rsidRPr="005D4222" w:rsidRDefault="00F75C9A" w:rsidP="00BD378D">
                  <w:pPr>
                    <w:pStyle w:val="TableHead"/>
                    <w:spacing w:before="40" w:after="40"/>
                    <w:rPr>
                      <w:rFonts w:ascii="Arial" w:hAnsi="Arial" w:cs="Arial"/>
                      <w:sz w:val="20"/>
                    </w:rPr>
                  </w:pPr>
                  <w:r w:rsidRPr="005D4222">
                    <w:rPr>
                      <w:rFonts w:ascii="Arial" w:hAnsi="Arial" w:cs="Arial"/>
                      <w:sz w:val="20"/>
                    </w:rPr>
                    <w:t>Transportation Insecurity Instruments</w:t>
                  </w:r>
                </w:p>
              </w:tc>
              <w:tc>
                <w:tcPr>
                  <w:tcW w:w="153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cMar>
                    <w:top w:w="0" w:type="dxa"/>
                    <w:left w:w="72" w:type="dxa"/>
                    <w:bottom w:w="0" w:type="dxa"/>
                    <w:right w:w="72" w:type="dxa"/>
                  </w:tcMar>
                  <w:vAlign w:val="bottom"/>
                  <w:hideMark/>
                </w:tcPr>
                <w:p w14:paraId="6B17E4A3" w14:textId="77777777" w:rsidR="00F75C9A" w:rsidRPr="005D4222" w:rsidRDefault="00F75C9A" w:rsidP="00BD378D">
                  <w:pPr>
                    <w:pStyle w:val="TableHead"/>
                    <w:spacing w:before="40" w:after="40"/>
                    <w:rPr>
                      <w:rFonts w:ascii="Arial" w:hAnsi="Arial" w:cs="Arial"/>
                      <w:sz w:val="20"/>
                    </w:rPr>
                  </w:pPr>
                  <w:r w:rsidRPr="005D4222">
                    <w:rPr>
                      <w:rFonts w:ascii="Arial" w:hAnsi="Arial" w:cs="Arial"/>
                      <w:sz w:val="20"/>
                    </w:rPr>
                    <w:t>Screening Item LOINC Codes</w:t>
                  </w:r>
                </w:p>
              </w:tc>
              <w:tc>
                <w:tcPr>
                  <w:tcW w:w="1623" w:type="dxa"/>
                  <w:tcBorders>
                    <w:top w:val="single" w:sz="4" w:space="0" w:color="auto"/>
                    <w:left w:val="single" w:sz="4" w:space="0" w:color="FFFFFF" w:themeColor="background1"/>
                    <w:bottom w:val="single" w:sz="4" w:space="0" w:color="auto"/>
                    <w:right w:val="single" w:sz="4" w:space="0" w:color="auto"/>
                  </w:tcBorders>
                  <w:shd w:val="clear" w:color="auto" w:fill="000000" w:themeFill="text1"/>
                  <w:tcMar>
                    <w:top w:w="0" w:type="dxa"/>
                    <w:left w:w="72" w:type="dxa"/>
                    <w:bottom w:w="0" w:type="dxa"/>
                    <w:right w:w="72" w:type="dxa"/>
                  </w:tcMar>
                  <w:vAlign w:val="bottom"/>
                  <w:hideMark/>
                </w:tcPr>
                <w:p w14:paraId="0EAB2B18" w14:textId="77777777" w:rsidR="00F75C9A" w:rsidRPr="005D4222" w:rsidRDefault="00F75C9A" w:rsidP="00BD378D">
                  <w:pPr>
                    <w:pStyle w:val="TableHead"/>
                    <w:spacing w:before="40" w:after="40"/>
                    <w:rPr>
                      <w:rFonts w:ascii="Arial" w:hAnsi="Arial" w:cs="Arial"/>
                      <w:sz w:val="20"/>
                    </w:rPr>
                  </w:pPr>
                  <w:r w:rsidRPr="005D4222">
                    <w:rPr>
                      <w:rFonts w:ascii="Arial" w:hAnsi="Arial" w:cs="Arial"/>
                      <w:sz w:val="20"/>
                    </w:rPr>
                    <w:t>Positive Finding LOINC Codes</w:t>
                  </w:r>
                </w:p>
              </w:tc>
            </w:tr>
            <w:tr w:rsidR="00F75C9A" w:rsidRPr="005D4222" w14:paraId="17430E77" w14:textId="77777777" w:rsidTr="00A53E8C">
              <w:trPr>
                <w:trHeight w:val="562"/>
              </w:trPr>
              <w:tc>
                <w:tcPr>
                  <w:tcW w:w="4234"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51778556" w14:textId="77777777" w:rsidR="00F75C9A" w:rsidRPr="005D4222" w:rsidRDefault="00F75C9A" w:rsidP="00BD378D">
                  <w:pPr>
                    <w:pStyle w:val="TableText"/>
                    <w:spacing w:before="40" w:after="40"/>
                    <w:rPr>
                      <w:rFonts w:ascii="Arial" w:hAnsi="Arial" w:cs="Arial"/>
                      <w:sz w:val="20"/>
                      <w:szCs w:val="20"/>
                    </w:rPr>
                  </w:pPr>
                  <w:r w:rsidRPr="005D4222">
                    <w:rPr>
                      <w:rFonts w:ascii="Arial" w:hAnsi="Arial" w:cs="Arial"/>
                      <w:sz w:val="20"/>
                      <w:szCs w:val="20"/>
                    </w:rPr>
                    <w:t>Accountable Health Communities (AHC) Health-Related Social Needs (HRSN) Screening Tool</w:t>
                  </w:r>
                </w:p>
              </w:tc>
              <w:tc>
                <w:tcPr>
                  <w:tcW w:w="1533"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71432827" w14:textId="77777777" w:rsidR="00F75C9A" w:rsidRPr="005D4222" w:rsidRDefault="00F75C9A" w:rsidP="00BD378D">
                  <w:pPr>
                    <w:pStyle w:val="TableText"/>
                    <w:spacing w:before="40" w:after="40"/>
                    <w:rPr>
                      <w:rFonts w:ascii="Arial" w:hAnsi="Arial" w:cs="Arial"/>
                      <w:sz w:val="20"/>
                      <w:szCs w:val="20"/>
                    </w:rPr>
                  </w:pPr>
                  <w:r w:rsidRPr="005D4222">
                    <w:rPr>
                      <w:rFonts w:ascii="Arial" w:hAnsi="Arial" w:cs="Arial"/>
                      <w:sz w:val="20"/>
                      <w:szCs w:val="20"/>
                    </w:rPr>
                    <w:t>93030-5</w:t>
                  </w:r>
                </w:p>
              </w:tc>
              <w:tc>
                <w:tcPr>
                  <w:tcW w:w="1623"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3868604C" w14:textId="77777777" w:rsidR="00F75C9A" w:rsidRPr="005D4222" w:rsidRDefault="00F75C9A" w:rsidP="00BD378D">
                  <w:pPr>
                    <w:pStyle w:val="TableText"/>
                    <w:spacing w:before="40" w:after="40"/>
                    <w:rPr>
                      <w:rFonts w:ascii="Arial" w:hAnsi="Arial" w:cs="Arial"/>
                      <w:sz w:val="20"/>
                      <w:szCs w:val="20"/>
                    </w:rPr>
                  </w:pPr>
                  <w:r w:rsidRPr="005D4222">
                    <w:rPr>
                      <w:rFonts w:ascii="Arial" w:hAnsi="Arial" w:cs="Arial"/>
                      <w:sz w:val="20"/>
                      <w:szCs w:val="20"/>
                    </w:rPr>
                    <w:t>LA33-6</w:t>
                  </w:r>
                </w:p>
              </w:tc>
            </w:tr>
            <w:tr w:rsidR="00F75C9A" w:rsidRPr="005D4222" w14:paraId="213073CA" w14:textId="77777777" w:rsidTr="00A53E8C">
              <w:trPr>
                <w:trHeight w:val="363"/>
              </w:trPr>
              <w:tc>
                <w:tcPr>
                  <w:tcW w:w="4234"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028EB052" w14:textId="77777777" w:rsidR="00F75C9A" w:rsidRPr="005D4222" w:rsidRDefault="00F75C9A" w:rsidP="00BD378D">
                  <w:pPr>
                    <w:pStyle w:val="TableText"/>
                    <w:spacing w:before="40" w:after="40"/>
                    <w:rPr>
                      <w:rFonts w:ascii="Arial" w:hAnsi="Arial" w:cs="Arial"/>
                      <w:sz w:val="20"/>
                      <w:szCs w:val="20"/>
                    </w:rPr>
                  </w:pPr>
                  <w:r w:rsidRPr="005D4222">
                    <w:rPr>
                      <w:rFonts w:ascii="Arial" w:hAnsi="Arial" w:cs="Arial"/>
                      <w:sz w:val="20"/>
                      <w:szCs w:val="20"/>
                    </w:rPr>
                    <w:t>American Academy of Family Physicians (AAFP) Social Needs Screening Tool</w:t>
                  </w:r>
                </w:p>
              </w:tc>
              <w:tc>
                <w:tcPr>
                  <w:tcW w:w="1533"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370ED909" w14:textId="77777777" w:rsidR="00F75C9A" w:rsidRPr="005D4222" w:rsidRDefault="00F75C9A" w:rsidP="00BD378D">
                  <w:pPr>
                    <w:pStyle w:val="TableText"/>
                    <w:spacing w:before="40" w:after="40"/>
                    <w:rPr>
                      <w:rFonts w:ascii="Arial" w:hAnsi="Arial" w:cs="Arial"/>
                      <w:sz w:val="20"/>
                      <w:szCs w:val="20"/>
                    </w:rPr>
                  </w:pPr>
                  <w:r w:rsidRPr="005D4222">
                    <w:rPr>
                      <w:rFonts w:ascii="Arial" w:hAnsi="Arial" w:cs="Arial"/>
                      <w:sz w:val="20"/>
                      <w:szCs w:val="20"/>
                    </w:rPr>
                    <w:t>99594-4</w:t>
                  </w:r>
                </w:p>
              </w:tc>
              <w:tc>
                <w:tcPr>
                  <w:tcW w:w="1623"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4FA8FE4B" w14:textId="77777777" w:rsidR="00F75C9A" w:rsidRPr="005D4222" w:rsidRDefault="00F75C9A" w:rsidP="00BD378D">
                  <w:pPr>
                    <w:pStyle w:val="TableText"/>
                    <w:spacing w:before="40" w:after="40"/>
                    <w:rPr>
                      <w:rFonts w:ascii="Arial" w:hAnsi="Arial" w:cs="Arial"/>
                      <w:sz w:val="20"/>
                      <w:szCs w:val="20"/>
                    </w:rPr>
                  </w:pPr>
                  <w:r w:rsidRPr="005D4222">
                    <w:rPr>
                      <w:rFonts w:ascii="Arial" w:hAnsi="Arial" w:cs="Arial"/>
                      <w:sz w:val="20"/>
                      <w:szCs w:val="20"/>
                    </w:rPr>
                    <w:t>LA33-6</w:t>
                  </w:r>
                </w:p>
              </w:tc>
            </w:tr>
            <w:tr w:rsidR="00F75C9A" w:rsidRPr="005D4222" w14:paraId="44631077" w14:textId="77777777" w:rsidTr="00A53E8C">
              <w:trPr>
                <w:trHeight w:val="562"/>
              </w:trPr>
              <w:tc>
                <w:tcPr>
                  <w:tcW w:w="4234"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5AD6DF7A" w14:textId="271077DE" w:rsidR="00F75C9A" w:rsidRPr="005D4222" w:rsidRDefault="00F75C9A" w:rsidP="00BD378D">
                  <w:pPr>
                    <w:pStyle w:val="TableText"/>
                    <w:spacing w:before="40" w:after="40"/>
                    <w:rPr>
                      <w:rFonts w:ascii="Arial" w:hAnsi="Arial" w:cs="Arial"/>
                      <w:sz w:val="20"/>
                      <w:szCs w:val="20"/>
                    </w:rPr>
                  </w:pPr>
                  <w:r w:rsidRPr="005D4222">
                    <w:rPr>
                      <w:rFonts w:ascii="Arial" w:hAnsi="Arial" w:cs="Arial"/>
                      <w:sz w:val="20"/>
                      <w:szCs w:val="20"/>
                    </w:rPr>
                    <w:t>American Academy of Family Physicians (AAFP) Social Needs Screening Tool—</w:t>
                  </w:r>
                  <w:r w:rsidR="002E5EE2" w:rsidRPr="005D4222">
                    <w:rPr>
                      <w:rFonts w:ascii="Arial" w:hAnsi="Arial" w:cs="Arial"/>
                      <w:sz w:val="20"/>
                      <w:szCs w:val="20"/>
                    </w:rPr>
                    <w:br/>
                  </w:r>
                  <w:r w:rsidRPr="005D4222">
                    <w:rPr>
                      <w:rFonts w:ascii="Arial" w:hAnsi="Arial" w:cs="Arial"/>
                      <w:sz w:val="20"/>
                      <w:szCs w:val="20"/>
                    </w:rPr>
                    <w:t>short form</w:t>
                  </w:r>
                </w:p>
              </w:tc>
              <w:tc>
                <w:tcPr>
                  <w:tcW w:w="1533"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00483606" w14:textId="77777777" w:rsidR="00F75C9A" w:rsidRPr="005D4222" w:rsidRDefault="00F75C9A" w:rsidP="00BD378D">
                  <w:pPr>
                    <w:pStyle w:val="TableText"/>
                    <w:spacing w:before="40" w:after="40"/>
                    <w:rPr>
                      <w:rFonts w:ascii="Arial" w:hAnsi="Arial" w:cs="Arial"/>
                      <w:sz w:val="20"/>
                      <w:szCs w:val="20"/>
                    </w:rPr>
                  </w:pPr>
                  <w:r w:rsidRPr="005D4222">
                    <w:rPr>
                      <w:rFonts w:ascii="Arial" w:hAnsi="Arial" w:cs="Arial"/>
                      <w:sz w:val="20"/>
                      <w:szCs w:val="20"/>
                    </w:rPr>
                    <w:t>99594-4</w:t>
                  </w:r>
                </w:p>
              </w:tc>
              <w:tc>
                <w:tcPr>
                  <w:tcW w:w="1623"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6D4D2A77" w14:textId="77777777" w:rsidR="00F75C9A" w:rsidRPr="005D4222" w:rsidRDefault="00F75C9A" w:rsidP="00BD378D">
                  <w:pPr>
                    <w:pStyle w:val="TableText"/>
                    <w:spacing w:before="40" w:after="40"/>
                    <w:rPr>
                      <w:rFonts w:ascii="Arial" w:hAnsi="Arial" w:cs="Arial"/>
                      <w:sz w:val="20"/>
                      <w:szCs w:val="20"/>
                    </w:rPr>
                  </w:pPr>
                  <w:r w:rsidRPr="005D4222">
                    <w:rPr>
                      <w:rFonts w:ascii="Arial" w:hAnsi="Arial" w:cs="Arial"/>
                      <w:sz w:val="20"/>
                      <w:szCs w:val="20"/>
                    </w:rPr>
                    <w:t>LA33093-8</w:t>
                  </w:r>
                  <w:r w:rsidRPr="005D4222">
                    <w:rPr>
                      <w:rFonts w:ascii="Arial" w:hAnsi="Arial" w:cs="Arial"/>
                      <w:sz w:val="20"/>
                      <w:szCs w:val="20"/>
                    </w:rPr>
                    <w:br/>
                    <w:t>LA30134-3</w:t>
                  </w:r>
                </w:p>
              </w:tc>
            </w:tr>
            <w:tr w:rsidR="00F75C9A" w:rsidRPr="005D4222" w14:paraId="71D602EE" w14:textId="77777777" w:rsidTr="00A53E8C">
              <w:trPr>
                <w:trHeight w:val="562"/>
              </w:trPr>
              <w:tc>
                <w:tcPr>
                  <w:tcW w:w="4234"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277B8969" w14:textId="77777777" w:rsidR="00F75C9A" w:rsidRPr="005D4222" w:rsidRDefault="00F75C9A" w:rsidP="00BD378D">
                  <w:pPr>
                    <w:pStyle w:val="TableText"/>
                    <w:spacing w:before="40" w:after="40"/>
                    <w:rPr>
                      <w:rFonts w:ascii="Arial" w:hAnsi="Arial" w:cs="Arial"/>
                      <w:sz w:val="20"/>
                      <w:szCs w:val="20"/>
                    </w:rPr>
                  </w:pPr>
                  <w:r w:rsidRPr="005D4222">
                    <w:rPr>
                      <w:rFonts w:ascii="Arial" w:hAnsi="Arial" w:cs="Arial"/>
                      <w:sz w:val="20"/>
                      <w:szCs w:val="20"/>
                    </w:rPr>
                    <w:t>Comprehensive Universal Behavior Screen (CUBS)</w:t>
                  </w:r>
                </w:p>
              </w:tc>
              <w:tc>
                <w:tcPr>
                  <w:tcW w:w="1533"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4953555D" w14:textId="77777777" w:rsidR="00F75C9A" w:rsidRPr="005D4222" w:rsidRDefault="00F75C9A" w:rsidP="00BD378D">
                  <w:pPr>
                    <w:pStyle w:val="TableText"/>
                    <w:spacing w:before="40" w:after="40"/>
                    <w:rPr>
                      <w:rFonts w:ascii="Arial" w:hAnsi="Arial" w:cs="Arial"/>
                      <w:sz w:val="20"/>
                      <w:szCs w:val="20"/>
                    </w:rPr>
                  </w:pPr>
                  <w:r w:rsidRPr="005D4222">
                    <w:rPr>
                      <w:rFonts w:ascii="Arial" w:hAnsi="Arial" w:cs="Arial"/>
                      <w:sz w:val="20"/>
                      <w:szCs w:val="20"/>
                    </w:rPr>
                    <w:t>89569-8</w:t>
                  </w:r>
                </w:p>
              </w:tc>
              <w:tc>
                <w:tcPr>
                  <w:tcW w:w="1623"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1CFEB0EC" w14:textId="77777777" w:rsidR="00F75C9A" w:rsidRPr="005D4222" w:rsidRDefault="00F75C9A" w:rsidP="00BD378D">
                  <w:pPr>
                    <w:pStyle w:val="TableText"/>
                    <w:spacing w:before="40" w:after="40"/>
                    <w:rPr>
                      <w:rFonts w:ascii="Arial" w:hAnsi="Arial" w:cs="Arial"/>
                      <w:sz w:val="20"/>
                      <w:szCs w:val="20"/>
                    </w:rPr>
                  </w:pPr>
                  <w:r w:rsidRPr="005D4222">
                    <w:rPr>
                      <w:rFonts w:ascii="Arial" w:hAnsi="Arial" w:cs="Arial"/>
                      <w:sz w:val="20"/>
                      <w:szCs w:val="20"/>
                    </w:rPr>
                    <w:t>LA29232-8</w:t>
                  </w:r>
                  <w:r w:rsidRPr="005D4222">
                    <w:rPr>
                      <w:rFonts w:ascii="Arial" w:hAnsi="Arial" w:cs="Arial"/>
                      <w:sz w:val="20"/>
                      <w:szCs w:val="20"/>
                    </w:rPr>
                    <w:br/>
                    <w:t>LA29233-6</w:t>
                  </w:r>
                  <w:r w:rsidRPr="005D4222">
                    <w:rPr>
                      <w:rFonts w:ascii="Arial" w:hAnsi="Arial" w:cs="Arial"/>
                      <w:sz w:val="20"/>
                      <w:szCs w:val="20"/>
                    </w:rPr>
                    <w:br/>
                    <w:t>LA29234-4</w:t>
                  </w:r>
                </w:p>
              </w:tc>
            </w:tr>
            <w:tr w:rsidR="00F75C9A" w:rsidRPr="005D4222" w14:paraId="0301C92A" w14:textId="77777777" w:rsidTr="00A53E8C">
              <w:trPr>
                <w:trHeight w:val="562"/>
              </w:trPr>
              <w:tc>
                <w:tcPr>
                  <w:tcW w:w="4234"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3A3B6351" w14:textId="77777777" w:rsidR="00F75C9A" w:rsidRPr="005D4222" w:rsidRDefault="00F75C9A" w:rsidP="00BD378D">
                  <w:pPr>
                    <w:pStyle w:val="TableText"/>
                    <w:spacing w:before="40" w:after="40"/>
                    <w:rPr>
                      <w:rFonts w:ascii="Arial" w:hAnsi="Arial" w:cs="Arial"/>
                      <w:sz w:val="20"/>
                      <w:szCs w:val="20"/>
                    </w:rPr>
                  </w:pPr>
                  <w:r w:rsidRPr="005D4222">
                    <w:rPr>
                      <w:rFonts w:ascii="Arial" w:hAnsi="Arial" w:cs="Arial"/>
                      <w:sz w:val="20"/>
                      <w:szCs w:val="20"/>
                    </w:rPr>
                    <w:t>Health Leads Screening Panel</w:t>
                  </w:r>
                  <w:r w:rsidRPr="005D4222">
                    <w:rPr>
                      <w:rFonts w:ascii="Arial" w:hAnsi="Arial" w:cs="Arial"/>
                      <w:sz w:val="20"/>
                      <w:szCs w:val="20"/>
                      <w:vertAlign w:val="superscript"/>
                    </w:rPr>
                    <w:t>®1</w:t>
                  </w:r>
                </w:p>
              </w:tc>
              <w:tc>
                <w:tcPr>
                  <w:tcW w:w="1533"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135DE1D6" w14:textId="77777777" w:rsidR="00F75C9A" w:rsidRPr="005D4222" w:rsidRDefault="00F75C9A" w:rsidP="00BD378D">
                  <w:pPr>
                    <w:pStyle w:val="TableText"/>
                    <w:spacing w:before="40" w:after="40"/>
                    <w:rPr>
                      <w:rFonts w:ascii="Arial" w:hAnsi="Arial" w:cs="Arial"/>
                      <w:sz w:val="20"/>
                      <w:szCs w:val="20"/>
                    </w:rPr>
                  </w:pPr>
                  <w:r w:rsidRPr="005D4222">
                    <w:rPr>
                      <w:rFonts w:ascii="Arial" w:hAnsi="Arial" w:cs="Arial"/>
                      <w:sz w:val="20"/>
                      <w:szCs w:val="20"/>
                    </w:rPr>
                    <w:t>99553-0</w:t>
                  </w:r>
                </w:p>
              </w:tc>
              <w:tc>
                <w:tcPr>
                  <w:tcW w:w="1623"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13AD8631" w14:textId="77777777" w:rsidR="00F75C9A" w:rsidRPr="005D4222" w:rsidRDefault="00F75C9A" w:rsidP="00BD378D">
                  <w:pPr>
                    <w:pStyle w:val="TableText"/>
                    <w:spacing w:before="40" w:after="40"/>
                    <w:rPr>
                      <w:rFonts w:ascii="Arial" w:hAnsi="Arial" w:cs="Arial"/>
                      <w:sz w:val="20"/>
                      <w:szCs w:val="20"/>
                    </w:rPr>
                  </w:pPr>
                  <w:r w:rsidRPr="005D4222">
                    <w:rPr>
                      <w:rFonts w:ascii="Arial" w:hAnsi="Arial" w:cs="Arial"/>
                      <w:sz w:val="20"/>
                      <w:szCs w:val="20"/>
                    </w:rPr>
                    <w:t>LA33-6</w:t>
                  </w:r>
                </w:p>
              </w:tc>
            </w:tr>
            <w:tr w:rsidR="00F75C9A" w:rsidRPr="005D4222" w14:paraId="3B4CF530" w14:textId="77777777" w:rsidTr="00A53E8C">
              <w:trPr>
                <w:trHeight w:val="562"/>
              </w:trPr>
              <w:tc>
                <w:tcPr>
                  <w:tcW w:w="4234"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768F0F0B" w14:textId="77777777" w:rsidR="00F75C9A" w:rsidRPr="005D4222" w:rsidRDefault="00F75C9A" w:rsidP="00BD378D">
                  <w:pPr>
                    <w:pStyle w:val="TableText"/>
                    <w:spacing w:before="40" w:after="40"/>
                    <w:rPr>
                      <w:rFonts w:ascii="Arial" w:hAnsi="Arial" w:cs="Arial"/>
                      <w:sz w:val="20"/>
                      <w:szCs w:val="20"/>
                    </w:rPr>
                  </w:pPr>
                  <w:r w:rsidRPr="005D4222">
                    <w:rPr>
                      <w:rFonts w:ascii="Arial" w:hAnsi="Arial" w:cs="Arial"/>
                      <w:sz w:val="20"/>
                      <w:szCs w:val="20"/>
                    </w:rPr>
                    <w:t>Inpatient Rehabilitation Facility—Patient Assessment Instrument (IRF-PAI)—version 4.0 [CMS Assessment]</w:t>
                  </w:r>
                </w:p>
              </w:tc>
              <w:tc>
                <w:tcPr>
                  <w:tcW w:w="1533"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69412171" w14:textId="77777777" w:rsidR="00F75C9A" w:rsidRPr="005D4222" w:rsidRDefault="00F75C9A" w:rsidP="00BD378D">
                  <w:pPr>
                    <w:pStyle w:val="TableText"/>
                    <w:spacing w:before="40" w:after="40"/>
                    <w:rPr>
                      <w:rFonts w:ascii="Arial" w:hAnsi="Arial" w:cs="Arial"/>
                      <w:sz w:val="20"/>
                      <w:szCs w:val="20"/>
                    </w:rPr>
                  </w:pPr>
                  <w:r w:rsidRPr="005D4222">
                    <w:rPr>
                      <w:rFonts w:ascii="Arial" w:hAnsi="Arial" w:cs="Arial"/>
                      <w:kern w:val="20"/>
                      <w:sz w:val="20"/>
                      <w:szCs w:val="20"/>
                    </w:rPr>
                    <w:t>101351-5</w:t>
                  </w:r>
                </w:p>
              </w:tc>
              <w:tc>
                <w:tcPr>
                  <w:tcW w:w="1623"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02ACD3FB" w14:textId="77777777" w:rsidR="00F75C9A" w:rsidRPr="005D4222" w:rsidRDefault="00F75C9A" w:rsidP="00BD378D">
                  <w:pPr>
                    <w:pStyle w:val="TableText"/>
                    <w:spacing w:before="40" w:after="40"/>
                    <w:rPr>
                      <w:rFonts w:ascii="Arial" w:hAnsi="Arial" w:cs="Arial"/>
                      <w:sz w:val="20"/>
                      <w:szCs w:val="20"/>
                    </w:rPr>
                  </w:pPr>
                  <w:r w:rsidRPr="005D4222">
                    <w:rPr>
                      <w:rFonts w:ascii="Arial" w:hAnsi="Arial" w:cs="Arial"/>
                      <w:sz w:val="20"/>
                      <w:szCs w:val="20"/>
                    </w:rPr>
                    <w:t>LA30133-5</w:t>
                  </w:r>
                  <w:r w:rsidRPr="005D4222">
                    <w:rPr>
                      <w:rFonts w:ascii="Arial" w:hAnsi="Arial" w:cs="Arial"/>
                      <w:sz w:val="20"/>
                      <w:szCs w:val="20"/>
                    </w:rPr>
                    <w:br/>
                    <w:t>LA30134-3</w:t>
                  </w:r>
                </w:p>
              </w:tc>
            </w:tr>
            <w:tr w:rsidR="00F75C9A" w:rsidRPr="005D4222" w14:paraId="0724B7EE" w14:textId="77777777" w:rsidTr="00A53E8C">
              <w:trPr>
                <w:trHeight w:val="562"/>
              </w:trPr>
              <w:tc>
                <w:tcPr>
                  <w:tcW w:w="4234"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12670457" w14:textId="77777777" w:rsidR="00F75C9A" w:rsidRPr="005D4222" w:rsidRDefault="00F75C9A" w:rsidP="00BD378D">
                  <w:pPr>
                    <w:pStyle w:val="TableText"/>
                    <w:spacing w:before="40" w:after="40"/>
                    <w:rPr>
                      <w:rFonts w:ascii="Arial" w:hAnsi="Arial" w:cs="Arial"/>
                      <w:sz w:val="20"/>
                      <w:szCs w:val="20"/>
                    </w:rPr>
                  </w:pPr>
                  <w:r w:rsidRPr="005D4222">
                    <w:rPr>
                      <w:rFonts w:ascii="Arial" w:hAnsi="Arial" w:cs="Arial"/>
                      <w:sz w:val="20"/>
                      <w:szCs w:val="20"/>
                    </w:rPr>
                    <w:t>Outcome and assessment information set (OASIS) form—version E—Discharge from Agency [CMS Assessment]</w:t>
                  </w:r>
                </w:p>
              </w:tc>
              <w:tc>
                <w:tcPr>
                  <w:tcW w:w="1533"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151E362E" w14:textId="77777777" w:rsidR="00F75C9A" w:rsidRPr="005D4222" w:rsidRDefault="00F75C9A" w:rsidP="00BD378D">
                  <w:pPr>
                    <w:pStyle w:val="TableText"/>
                    <w:spacing w:before="40" w:after="40"/>
                    <w:rPr>
                      <w:rFonts w:ascii="Arial" w:hAnsi="Arial" w:cs="Arial"/>
                      <w:kern w:val="20"/>
                      <w:sz w:val="20"/>
                      <w:szCs w:val="20"/>
                    </w:rPr>
                  </w:pPr>
                  <w:r w:rsidRPr="005D4222">
                    <w:rPr>
                      <w:rFonts w:ascii="Arial" w:hAnsi="Arial" w:cs="Arial"/>
                      <w:kern w:val="20"/>
                      <w:sz w:val="20"/>
                      <w:szCs w:val="20"/>
                    </w:rPr>
                    <w:t>101351-5</w:t>
                  </w:r>
                </w:p>
              </w:tc>
              <w:tc>
                <w:tcPr>
                  <w:tcW w:w="1623"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43113B82" w14:textId="77777777" w:rsidR="00F75C9A" w:rsidRPr="005D4222" w:rsidRDefault="00F75C9A" w:rsidP="00BD378D">
                  <w:pPr>
                    <w:pStyle w:val="TableText"/>
                    <w:spacing w:before="40" w:after="40"/>
                    <w:rPr>
                      <w:rFonts w:ascii="Arial" w:hAnsi="Arial" w:cs="Arial"/>
                      <w:sz w:val="20"/>
                      <w:szCs w:val="20"/>
                    </w:rPr>
                  </w:pPr>
                  <w:r w:rsidRPr="005D4222">
                    <w:rPr>
                      <w:rFonts w:ascii="Arial" w:hAnsi="Arial" w:cs="Arial"/>
                      <w:sz w:val="20"/>
                      <w:szCs w:val="20"/>
                    </w:rPr>
                    <w:t>LA30133-5</w:t>
                  </w:r>
                  <w:r w:rsidRPr="005D4222">
                    <w:rPr>
                      <w:rFonts w:ascii="Arial" w:hAnsi="Arial" w:cs="Arial"/>
                      <w:sz w:val="20"/>
                      <w:szCs w:val="20"/>
                    </w:rPr>
                    <w:br/>
                    <w:t>LA30134-3</w:t>
                  </w:r>
                </w:p>
              </w:tc>
            </w:tr>
            <w:tr w:rsidR="00BD378D" w:rsidRPr="005D4222" w14:paraId="15DD920C" w14:textId="77777777" w:rsidTr="00BD378D">
              <w:trPr>
                <w:trHeight w:val="562"/>
              </w:trPr>
              <w:tc>
                <w:tcPr>
                  <w:tcW w:w="4234"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2B84562E" w14:textId="2856AC56" w:rsidR="00BD378D" w:rsidRPr="005D4222" w:rsidRDefault="00BD378D" w:rsidP="00BD378D">
                  <w:pPr>
                    <w:pStyle w:val="TableText"/>
                    <w:spacing w:before="40" w:after="40"/>
                    <w:rPr>
                      <w:rFonts w:ascii="Arial" w:hAnsi="Arial" w:cs="Arial"/>
                      <w:sz w:val="20"/>
                      <w:szCs w:val="20"/>
                    </w:rPr>
                  </w:pPr>
                  <w:r w:rsidRPr="005D4222">
                    <w:rPr>
                      <w:rFonts w:ascii="Arial" w:hAnsi="Arial" w:cs="Arial"/>
                      <w:sz w:val="20"/>
                      <w:szCs w:val="20"/>
                    </w:rPr>
                    <w:t>Outcome and assessment information set (OASIS) form—version E—Resumption of Care [CMS Assessment]</w:t>
                  </w:r>
                </w:p>
              </w:tc>
              <w:tc>
                <w:tcPr>
                  <w:tcW w:w="1533"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0EEAE45A" w14:textId="201E1EA2" w:rsidR="00BD378D" w:rsidRPr="005D4222" w:rsidRDefault="00BD378D" w:rsidP="00BD378D">
                  <w:pPr>
                    <w:pStyle w:val="TableText"/>
                    <w:spacing w:before="40" w:after="40"/>
                    <w:rPr>
                      <w:rFonts w:ascii="Arial" w:hAnsi="Arial" w:cs="Arial"/>
                      <w:kern w:val="20"/>
                      <w:sz w:val="20"/>
                      <w:szCs w:val="20"/>
                    </w:rPr>
                  </w:pPr>
                  <w:r w:rsidRPr="005D4222">
                    <w:rPr>
                      <w:rFonts w:ascii="Arial" w:hAnsi="Arial" w:cs="Arial"/>
                      <w:kern w:val="20"/>
                      <w:sz w:val="20"/>
                      <w:szCs w:val="20"/>
                    </w:rPr>
                    <w:t>101351-5</w:t>
                  </w:r>
                </w:p>
              </w:tc>
              <w:tc>
                <w:tcPr>
                  <w:tcW w:w="1623"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6447142B" w14:textId="3E89F9F4" w:rsidR="00BD378D" w:rsidRPr="005D4222" w:rsidRDefault="00BD378D" w:rsidP="00BD378D">
                  <w:pPr>
                    <w:pStyle w:val="TableText"/>
                    <w:spacing w:before="40" w:after="40"/>
                    <w:rPr>
                      <w:rFonts w:ascii="Arial" w:hAnsi="Arial" w:cs="Arial"/>
                      <w:sz w:val="20"/>
                      <w:szCs w:val="20"/>
                    </w:rPr>
                  </w:pPr>
                  <w:r w:rsidRPr="005D4222">
                    <w:rPr>
                      <w:rFonts w:ascii="Arial" w:hAnsi="Arial" w:cs="Arial"/>
                      <w:sz w:val="20"/>
                      <w:szCs w:val="20"/>
                    </w:rPr>
                    <w:t>LA30133-5</w:t>
                  </w:r>
                  <w:r w:rsidRPr="005D4222">
                    <w:rPr>
                      <w:rFonts w:ascii="Arial" w:hAnsi="Arial" w:cs="Arial"/>
                      <w:sz w:val="20"/>
                      <w:szCs w:val="20"/>
                    </w:rPr>
                    <w:br/>
                    <w:t>LA30134-3</w:t>
                  </w:r>
                </w:p>
              </w:tc>
            </w:tr>
            <w:tr w:rsidR="00BD378D" w:rsidRPr="005D4222" w14:paraId="4C18812B" w14:textId="77777777" w:rsidTr="00A53E8C">
              <w:trPr>
                <w:trHeight w:val="562"/>
              </w:trPr>
              <w:tc>
                <w:tcPr>
                  <w:tcW w:w="4234"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7BB8A608" w14:textId="712B2543" w:rsidR="00BD378D" w:rsidRPr="005D4222" w:rsidRDefault="00BD378D" w:rsidP="00BD378D">
                  <w:pPr>
                    <w:pStyle w:val="TableText"/>
                    <w:spacing w:before="40" w:after="40"/>
                    <w:rPr>
                      <w:rFonts w:ascii="Arial" w:hAnsi="Arial" w:cs="Arial"/>
                      <w:sz w:val="20"/>
                      <w:szCs w:val="20"/>
                    </w:rPr>
                  </w:pPr>
                  <w:r w:rsidRPr="005D4222">
                    <w:rPr>
                      <w:rFonts w:ascii="Arial" w:hAnsi="Arial" w:cs="Arial"/>
                      <w:sz w:val="20"/>
                      <w:szCs w:val="20"/>
                    </w:rPr>
                    <w:t>Outcome and assessment information set (OASIS) form—version E—Start of Care [CMS Assessment]</w:t>
                  </w:r>
                </w:p>
              </w:tc>
              <w:tc>
                <w:tcPr>
                  <w:tcW w:w="1533"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75C66FB9" w14:textId="1F416EA8" w:rsidR="00BD378D" w:rsidRPr="005D4222" w:rsidRDefault="00BD378D" w:rsidP="00BD378D">
                  <w:pPr>
                    <w:pStyle w:val="TableText"/>
                    <w:spacing w:before="40" w:after="40"/>
                    <w:rPr>
                      <w:rFonts w:ascii="Arial" w:hAnsi="Arial" w:cs="Arial"/>
                      <w:kern w:val="20"/>
                      <w:sz w:val="20"/>
                      <w:szCs w:val="20"/>
                    </w:rPr>
                  </w:pPr>
                  <w:r w:rsidRPr="005D4222">
                    <w:rPr>
                      <w:rFonts w:ascii="Arial" w:hAnsi="Arial" w:cs="Arial"/>
                      <w:kern w:val="20"/>
                      <w:sz w:val="20"/>
                      <w:szCs w:val="20"/>
                    </w:rPr>
                    <w:t>101351-5</w:t>
                  </w:r>
                </w:p>
              </w:tc>
              <w:tc>
                <w:tcPr>
                  <w:tcW w:w="1623"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58B8FEEC" w14:textId="2C3EEB7D" w:rsidR="00BD378D" w:rsidRPr="005D4222" w:rsidRDefault="00BD378D" w:rsidP="00BD378D">
                  <w:pPr>
                    <w:pStyle w:val="TableText"/>
                    <w:spacing w:before="40" w:after="40"/>
                    <w:rPr>
                      <w:rFonts w:ascii="Arial" w:hAnsi="Arial" w:cs="Arial"/>
                      <w:sz w:val="20"/>
                      <w:szCs w:val="20"/>
                    </w:rPr>
                  </w:pPr>
                  <w:r w:rsidRPr="005D4222">
                    <w:rPr>
                      <w:rFonts w:ascii="Arial" w:hAnsi="Arial" w:cs="Arial"/>
                      <w:sz w:val="20"/>
                      <w:szCs w:val="20"/>
                    </w:rPr>
                    <w:t>LA30133-5</w:t>
                  </w:r>
                  <w:r w:rsidRPr="005D4222">
                    <w:rPr>
                      <w:rFonts w:ascii="Arial" w:hAnsi="Arial" w:cs="Arial"/>
                      <w:sz w:val="20"/>
                      <w:szCs w:val="20"/>
                    </w:rPr>
                    <w:br/>
                    <w:t>LA30134-3</w:t>
                  </w:r>
                </w:p>
              </w:tc>
            </w:tr>
            <w:tr w:rsidR="00BD378D" w:rsidRPr="005D4222" w14:paraId="74703A16" w14:textId="77777777" w:rsidTr="00A53E8C">
              <w:trPr>
                <w:trHeight w:val="562"/>
              </w:trPr>
              <w:tc>
                <w:tcPr>
                  <w:tcW w:w="4234"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3E856515" w14:textId="6B9DC1E1" w:rsidR="00BD378D" w:rsidRPr="005D4222" w:rsidRDefault="00BD378D" w:rsidP="00BD378D">
                  <w:pPr>
                    <w:pStyle w:val="TableText"/>
                    <w:spacing w:before="40" w:after="40"/>
                    <w:rPr>
                      <w:rFonts w:ascii="Arial" w:hAnsi="Arial" w:cs="Arial"/>
                      <w:sz w:val="20"/>
                      <w:szCs w:val="20"/>
                    </w:rPr>
                  </w:pPr>
                  <w:r w:rsidRPr="005D4222">
                    <w:rPr>
                      <w:rFonts w:ascii="Arial" w:hAnsi="Arial" w:cs="Arial"/>
                      <w:sz w:val="20"/>
                      <w:szCs w:val="20"/>
                    </w:rPr>
                    <w:t>Protocol for Responding to and Assessing Patients’ Assets, Risks and Experiences [PRAPARE]</w:t>
                  </w:r>
                  <w:r w:rsidRPr="005D4222">
                    <w:rPr>
                      <w:rFonts w:ascii="Arial" w:hAnsi="Arial" w:cs="Arial"/>
                      <w:sz w:val="20"/>
                      <w:szCs w:val="20"/>
                      <w:vertAlign w:val="superscript"/>
                    </w:rPr>
                    <w:t>®1</w:t>
                  </w:r>
                </w:p>
              </w:tc>
              <w:tc>
                <w:tcPr>
                  <w:tcW w:w="1533"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1E83ABAD" w14:textId="1E23C967" w:rsidR="00BD378D" w:rsidRPr="005D4222" w:rsidRDefault="00BD378D" w:rsidP="00BD378D">
                  <w:pPr>
                    <w:pStyle w:val="TableText"/>
                    <w:spacing w:before="40" w:after="40"/>
                    <w:rPr>
                      <w:rFonts w:ascii="Arial" w:hAnsi="Arial" w:cs="Arial"/>
                      <w:kern w:val="20"/>
                      <w:sz w:val="20"/>
                      <w:szCs w:val="20"/>
                    </w:rPr>
                  </w:pPr>
                  <w:r w:rsidRPr="005D4222">
                    <w:rPr>
                      <w:rFonts w:ascii="Arial" w:hAnsi="Arial" w:cs="Arial"/>
                      <w:sz w:val="20"/>
                      <w:szCs w:val="20"/>
                    </w:rPr>
                    <w:t>93030-5</w:t>
                  </w:r>
                </w:p>
              </w:tc>
              <w:tc>
                <w:tcPr>
                  <w:tcW w:w="1623"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3C5DC58B" w14:textId="5DF24736" w:rsidR="00BD378D" w:rsidRPr="005D4222" w:rsidRDefault="00BD378D" w:rsidP="00BD378D">
                  <w:pPr>
                    <w:pStyle w:val="TableText"/>
                    <w:spacing w:before="40" w:after="40"/>
                    <w:rPr>
                      <w:rFonts w:ascii="Arial" w:hAnsi="Arial" w:cs="Arial"/>
                      <w:sz w:val="20"/>
                      <w:szCs w:val="20"/>
                    </w:rPr>
                  </w:pPr>
                  <w:r w:rsidRPr="005D4222">
                    <w:rPr>
                      <w:rFonts w:ascii="Arial" w:hAnsi="Arial" w:cs="Arial"/>
                      <w:sz w:val="20"/>
                      <w:szCs w:val="20"/>
                    </w:rPr>
                    <w:t>LA30133-5</w:t>
                  </w:r>
                  <w:r w:rsidRPr="005D4222">
                    <w:rPr>
                      <w:rFonts w:ascii="Arial" w:hAnsi="Arial" w:cs="Arial"/>
                      <w:sz w:val="20"/>
                      <w:szCs w:val="20"/>
                    </w:rPr>
                    <w:br/>
                    <w:t>LA30134-3</w:t>
                  </w:r>
                </w:p>
              </w:tc>
            </w:tr>
            <w:tr w:rsidR="00BD378D" w:rsidRPr="005D4222" w14:paraId="0FB0E5BF" w14:textId="77777777" w:rsidTr="00A53E8C">
              <w:trPr>
                <w:trHeight w:val="562"/>
              </w:trPr>
              <w:tc>
                <w:tcPr>
                  <w:tcW w:w="4234"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4BC3FBC5" w14:textId="149BEED8" w:rsidR="00BD378D" w:rsidRPr="005D4222" w:rsidRDefault="00BD378D" w:rsidP="00BD378D">
                  <w:pPr>
                    <w:pStyle w:val="TableText"/>
                    <w:spacing w:before="40" w:after="40"/>
                    <w:rPr>
                      <w:rFonts w:ascii="Arial" w:hAnsi="Arial" w:cs="Arial"/>
                      <w:sz w:val="20"/>
                      <w:szCs w:val="20"/>
                    </w:rPr>
                  </w:pPr>
                  <w:r w:rsidRPr="005D4222">
                    <w:rPr>
                      <w:rFonts w:ascii="Arial" w:hAnsi="Arial" w:cs="Arial"/>
                      <w:sz w:val="20"/>
                      <w:szCs w:val="20"/>
                    </w:rPr>
                    <w:t>PROMIS</w:t>
                  </w:r>
                  <w:r w:rsidRPr="005D4222">
                    <w:rPr>
                      <w:rFonts w:ascii="Arial" w:hAnsi="Arial" w:cs="Arial"/>
                      <w:sz w:val="20"/>
                      <w:szCs w:val="20"/>
                      <w:vertAlign w:val="superscript"/>
                    </w:rPr>
                    <w:t>®1</w:t>
                  </w:r>
                </w:p>
              </w:tc>
              <w:tc>
                <w:tcPr>
                  <w:tcW w:w="1533"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389E7FDF" w14:textId="3D2688B2" w:rsidR="00BD378D" w:rsidRPr="005D4222" w:rsidRDefault="00BD378D" w:rsidP="00BD378D">
                  <w:pPr>
                    <w:pStyle w:val="TableText"/>
                    <w:spacing w:before="40" w:after="40"/>
                    <w:rPr>
                      <w:rFonts w:ascii="Arial" w:hAnsi="Arial" w:cs="Arial"/>
                      <w:sz w:val="20"/>
                      <w:szCs w:val="20"/>
                    </w:rPr>
                  </w:pPr>
                  <w:r w:rsidRPr="005D4222">
                    <w:rPr>
                      <w:rFonts w:ascii="Arial" w:hAnsi="Arial" w:cs="Arial"/>
                      <w:sz w:val="20"/>
                      <w:szCs w:val="20"/>
                    </w:rPr>
                    <w:t>92358-1</w:t>
                  </w:r>
                </w:p>
              </w:tc>
              <w:tc>
                <w:tcPr>
                  <w:tcW w:w="1623"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339C568B" w14:textId="0A56DF4C" w:rsidR="00BD378D" w:rsidRPr="005D4222" w:rsidRDefault="00BD378D" w:rsidP="00BD378D">
                  <w:pPr>
                    <w:pStyle w:val="TableText"/>
                    <w:spacing w:before="40" w:after="40"/>
                    <w:rPr>
                      <w:rFonts w:ascii="Arial" w:hAnsi="Arial" w:cs="Arial"/>
                      <w:sz w:val="20"/>
                      <w:szCs w:val="20"/>
                    </w:rPr>
                  </w:pPr>
                  <w:r w:rsidRPr="005D4222">
                    <w:rPr>
                      <w:rFonts w:ascii="Arial" w:hAnsi="Arial" w:cs="Arial"/>
                      <w:sz w:val="20"/>
                      <w:szCs w:val="20"/>
                    </w:rPr>
                    <w:t>LA30024-6</w:t>
                  </w:r>
                  <w:r w:rsidRPr="005D4222">
                    <w:rPr>
                      <w:rFonts w:ascii="Arial" w:hAnsi="Arial" w:cs="Arial"/>
                      <w:sz w:val="20"/>
                      <w:szCs w:val="20"/>
                    </w:rPr>
                    <w:br/>
                    <w:t>LA30026-1</w:t>
                  </w:r>
                  <w:r w:rsidRPr="005D4222">
                    <w:rPr>
                      <w:rFonts w:ascii="Arial" w:hAnsi="Arial" w:cs="Arial"/>
                      <w:sz w:val="20"/>
                      <w:szCs w:val="20"/>
                    </w:rPr>
                    <w:br/>
                    <w:t>LA30027-9</w:t>
                  </w:r>
                </w:p>
              </w:tc>
            </w:tr>
            <w:tr w:rsidR="00BD378D" w:rsidRPr="005D4222" w14:paraId="0167CB72" w14:textId="77777777" w:rsidTr="002E5EE2">
              <w:tc>
                <w:tcPr>
                  <w:tcW w:w="4234"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5BD8213C" w14:textId="6A243248" w:rsidR="00BD378D" w:rsidRPr="005D4222" w:rsidRDefault="00BD378D" w:rsidP="00BD378D">
                  <w:pPr>
                    <w:pStyle w:val="TableText"/>
                    <w:spacing w:before="40" w:after="40"/>
                    <w:rPr>
                      <w:rFonts w:ascii="Arial" w:hAnsi="Arial" w:cs="Arial"/>
                      <w:sz w:val="20"/>
                      <w:szCs w:val="20"/>
                    </w:rPr>
                  </w:pPr>
                  <w:r w:rsidRPr="005D4222">
                    <w:rPr>
                      <w:rFonts w:ascii="Arial" w:hAnsi="Arial" w:cs="Arial"/>
                      <w:sz w:val="20"/>
                      <w:szCs w:val="20"/>
                    </w:rPr>
                    <w:t>WellRx Questionnaire</w:t>
                  </w:r>
                </w:p>
              </w:tc>
              <w:tc>
                <w:tcPr>
                  <w:tcW w:w="1533"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0D7FE593" w14:textId="09A9D604" w:rsidR="00BD378D" w:rsidRPr="005D4222" w:rsidRDefault="00BD378D" w:rsidP="00BD378D">
                  <w:pPr>
                    <w:pStyle w:val="TableText"/>
                    <w:spacing w:before="40" w:after="40"/>
                    <w:rPr>
                      <w:rFonts w:ascii="Arial" w:hAnsi="Arial" w:cs="Arial"/>
                      <w:sz w:val="20"/>
                      <w:szCs w:val="20"/>
                    </w:rPr>
                  </w:pPr>
                  <w:r w:rsidRPr="005D4222">
                    <w:rPr>
                      <w:rFonts w:ascii="Arial" w:hAnsi="Arial" w:cs="Arial"/>
                      <w:sz w:val="20"/>
                      <w:szCs w:val="20"/>
                    </w:rPr>
                    <w:t>93671-6</w:t>
                  </w:r>
                </w:p>
              </w:tc>
              <w:tc>
                <w:tcPr>
                  <w:tcW w:w="1623"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tcPr>
                <w:p w14:paraId="7E96FCA9" w14:textId="53841378" w:rsidR="00BD378D" w:rsidRPr="005D4222" w:rsidRDefault="00BD378D" w:rsidP="00BD378D">
                  <w:pPr>
                    <w:pStyle w:val="TableText"/>
                    <w:spacing w:before="40" w:after="40"/>
                    <w:rPr>
                      <w:rFonts w:ascii="Arial" w:hAnsi="Arial" w:cs="Arial"/>
                      <w:sz w:val="20"/>
                      <w:szCs w:val="20"/>
                    </w:rPr>
                  </w:pPr>
                  <w:r w:rsidRPr="005D4222">
                    <w:rPr>
                      <w:rFonts w:ascii="Arial" w:hAnsi="Arial" w:cs="Arial"/>
                      <w:sz w:val="20"/>
                      <w:szCs w:val="20"/>
                    </w:rPr>
                    <w:t>LA33-6</w:t>
                  </w:r>
                </w:p>
              </w:tc>
            </w:tr>
          </w:tbl>
          <w:p w14:paraId="26B0E6CD" w14:textId="316F6C11" w:rsidR="00F75C9A" w:rsidRPr="005D4222" w:rsidRDefault="00BD378D" w:rsidP="00BD378D">
            <w:pPr>
              <w:pStyle w:val="TableText"/>
            </w:pPr>
            <w:r w:rsidRPr="005D4222">
              <w:rPr>
                <w:rFonts w:ascii="Arial" w:hAnsi="Arial" w:cs="Arial"/>
                <w:sz w:val="18"/>
                <w:szCs w:val="18"/>
                <w:vertAlign w:val="superscript"/>
              </w:rPr>
              <w:t>1</w:t>
            </w:r>
            <w:r w:rsidRPr="005D4222">
              <w:rPr>
                <w:rFonts w:ascii="Arial" w:hAnsi="Arial" w:cs="Arial"/>
                <w:sz w:val="18"/>
                <w:szCs w:val="18"/>
              </w:rPr>
              <w:t>Proprietary; may be cost or licensing requirement associated with use.</w:t>
            </w:r>
          </w:p>
        </w:tc>
      </w:tr>
      <w:tr w:rsidR="00F75C9A" w:rsidRPr="005D4222" w14:paraId="1404FF93" w14:textId="77777777" w:rsidTr="00BD378D">
        <w:tblPrEx>
          <w:tblBorders>
            <w:top w:val="single" w:sz="4" w:space="0" w:color="auto"/>
            <w:bottom w:val="single" w:sz="4" w:space="0" w:color="auto"/>
          </w:tblBorders>
        </w:tblPrEx>
        <w:tc>
          <w:tcPr>
            <w:tcW w:w="2145" w:type="dxa"/>
            <w:tcBorders>
              <w:bottom w:val="nil"/>
            </w:tcBorders>
            <w:tcMar>
              <w:top w:w="0" w:type="dxa"/>
              <w:left w:w="86" w:type="dxa"/>
              <w:bottom w:w="43" w:type="dxa"/>
              <w:right w:w="86" w:type="dxa"/>
            </w:tcMar>
          </w:tcPr>
          <w:p w14:paraId="3112EDF3" w14:textId="77777777" w:rsidR="00F75C9A" w:rsidRPr="005D4222" w:rsidRDefault="00F75C9A" w:rsidP="00A53E8C">
            <w:pPr>
              <w:pStyle w:val="MarginHead"/>
              <w:spacing w:before="0"/>
              <w:rPr>
                <w:rFonts w:cs="Arial"/>
                <w:szCs w:val="22"/>
              </w:rPr>
            </w:pPr>
          </w:p>
        </w:tc>
        <w:tc>
          <w:tcPr>
            <w:tcW w:w="7572" w:type="dxa"/>
            <w:tcBorders>
              <w:bottom w:val="nil"/>
            </w:tcBorders>
            <w:tcMar>
              <w:left w:w="86" w:type="dxa"/>
              <w:bottom w:w="43" w:type="dxa"/>
              <w:right w:w="86" w:type="dxa"/>
            </w:tcMar>
          </w:tcPr>
          <w:p w14:paraId="2A3E0BEF" w14:textId="77777777" w:rsidR="00F75C9A" w:rsidRPr="005D4222" w:rsidRDefault="00F75C9A" w:rsidP="00BD378D">
            <w:pPr>
              <w:pStyle w:val="ECDSBody"/>
            </w:pPr>
            <w:r w:rsidRPr="005D4222">
              <w:t>NCQA recognizes that organizations might need to adapt or modify instruments to meet the needs of their membership. To clarify:</w:t>
            </w:r>
          </w:p>
          <w:p w14:paraId="295CAB03" w14:textId="77777777" w:rsidR="00F75C9A" w:rsidRPr="005D4222" w:rsidRDefault="00F75C9A" w:rsidP="00BD378D">
            <w:pPr>
              <w:pStyle w:val="Bullet"/>
              <w:numPr>
                <w:ilvl w:val="0"/>
                <w:numId w:val="4"/>
              </w:numPr>
              <w:tabs>
                <w:tab w:val="left" w:pos="360"/>
                <w:tab w:val="left" w:pos="576"/>
              </w:tabs>
              <w:ind w:left="576" w:hanging="216"/>
            </w:pPr>
            <w:r w:rsidRPr="005D4222">
              <w:t>The SNS-E measure specification does not prohibit cultural adaptations or linguistic translations from being counted toward the measure’s screening numerators.</w:t>
            </w:r>
          </w:p>
          <w:p w14:paraId="63196E1A" w14:textId="77777777" w:rsidR="00F75C9A" w:rsidRPr="005D4222" w:rsidRDefault="00F75C9A" w:rsidP="00BD378D">
            <w:pPr>
              <w:pStyle w:val="Bullet"/>
              <w:numPr>
                <w:ilvl w:val="0"/>
                <w:numId w:val="4"/>
              </w:numPr>
              <w:tabs>
                <w:tab w:val="left" w:pos="360"/>
                <w:tab w:val="left" w:pos="576"/>
              </w:tabs>
              <w:ind w:left="576" w:hanging="216"/>
            </w:pPr>
            <w:r w:rsidRPr="005D4222">
              <w:t>The Regenstrief Institute, which maintains the LOINC database, has indicated that LOINC codes are not developed at the level of granularity that distinguishes between original and adapted or translated instruments.</w:t>
            </w:r>
          </w:p>
          <w:p w14:paraId="61A1B761" w14:textId="77777777" w:rsidR="00F75C9A" w:rsidRPr="005D4222" w:rsidRDefault="00F75C9A" w:rsidP="00BD378D">
            <w:pPr>
              <w:pStyle w:val="ECDSBody"/>
              <w:spacing w:after="0"/>
            </w:pPr>
            <w:r w:rsidRPr="005D4222">
              <w:t>Tool developers have varying policies with regard to cultural adaptation and translations; some state that users may adapt screening instruments, others state that organizations must obtain permission first. NCQA urges organizations to refer to the tool developer for information about adaptations or translations that are available or allowed.</w:t>
            </w:r>
          </w:p>
        </w:tc>
      </w:tr>
      <w:tr w:rsidR="00F75C9A" w:rsidRPr="005D4222" w14:paraId="4BA48EA2" w14:textId="77777777" w:rsidTr="00BD378D">
        <w:tc>
          <w:tcPr>
            <w:tcW w:w="2145" w:type="dxa"/>
            <w:tcBorders>
              <w:top w:val="nil"/>
              <w:bottom w:val="single" w:sz="4" w:space="0" w:color="auto"/>
            </w:tcBorders>
            <w:tcMar>
              <w:top w:w="0" w:type="dxa"/>
              <w:left w:w="86" w:type="dxa"/>
              <w:bottom w:w="43" w:type="dxa"/>
              <w:right w:w="86" w:type="dxa"/>
            </w:tcMar>
          </w:tcPr>
          <w:p w14:paraId="1ECD5D22" w14:textId="77777777" w:rsidR="00F75C9A" w:rsidRPr="005D4222" w:rsidRDefault="00F75C9A" w:rsidP="00A53E8C">
            <w:pPr>
              <w:pStyle w:val="MarginHead"/>
              <w:rPr>
                <w:rFonts w:cs="Arial"/>
                <w:szCs w:val="22"/>
              </w:rPr>
            </w:pPr>
            <w:r w:rsidRPr="005D4222">
              <w:rPr>
                <w:rFonts w:cs="Arial"/>
                <w:szCs w:val="22"/>
              </w:rPr>
              <w:t>Interventions</w:t>
            </w:r>
          </w:p>
        </w:tc>
        <w:tc>
          <w:tcPr>
            <w:tcW w:w="7572" w:type="dxa"/>
            <w:tcBorders>
              <w:top w:val="nil"/>
              <w:bottom w:val="single" w:sz="4" w:space="0" w:color="auto"/>
            </w:tcBorders>
            <w:tcMar>
              <w:left w:w="86" w:type="dxa"/>
              <w:bottom w:w="43" w:type="dxa"/>
              <w:right w:w="86" w:type="dxa"/>
            </w:tcMar>
          </w:tcPr>
          <w:p w14:paraId="477A93B4" w14:textId="77777777" w:rsidR="00F75C9A" w:rsidRPr="005D4222" w:rsidRDefault="00F75C9A" w:rsidP="00A53E8C">
            <w:pPr>
              <w:pStyle w:val="ECDSBody"/>
            </w:pPr>
            <w:r w:rsidRPr="005D4222">
              <w:t>An intervention corresponding to the type of need identified on or up to 30 days after the date of the first positive screening during the measurement period.</w:t>
            </w:r>
          </w:p>
          <w:p w14:paraId="44813CA1" w14:textId="77777777" w:rsidR="00F75C9A" w:rsidRPr="005D4222" w:rsidRDefault="00F75C9A" w:rsidP="00F75C9A">
            <w:pPr>
              <w:pStyle w:val="Bullet"/>
              <w:numPr>
                <w:ilvl w:val="0"/>
                <w:numId w:val="4"/>
              </w:numPr>
              <w:tabs>
                <w:tab w:val="left" w:pos="360"/>
                <w:tab w:val="left" w:pos="576"/>
              </w:tabs>
              <w:ind w:left="576" w:hanging="216"/>
            </w:pPr>
            <w:r w:rsidRPr="005D4222">
              <w:t>An identified food need or positive food insecurity screen finding must be met by a food insecurity intervention.</w:t>
            </w:r>
          </w:p>
          <w:p w14:paraId="2CFFB6F8" w14:textId="77777777" w:rsidR="00F75C9A" w:rsidRPr="005D4222" w:rsidRDefault="00F75C9A" w:rsidP="00F75C9A">
            <w:pPr>
              <w:pStyle w:val="Bullet"/>
              <w:numPr>
                <w:ilvl w:val="0"/>
                <w:numId w:val="4"/>
              </w:numPr>
              <w:tabs>
                <w:tab w:val="left" w:pos="360"/>
                <w:tab w:val="left" w:pos="576"/>
              </w:tabs>
              <w:ind w:left="576" w:hanging="216"/>
            </w:pPr>
            <w:r w:rsidRPr="005D4222">
              <w:t>An identified housing instability or homelessness need, or positive housing instability or homelessness screen finding, must be met by a housing instability or homelessness intervention.</w:t>
            </w:r>
          </w:p>
          <w:p w14:paraId="691B10B2" w14:textId="77777777" w:rsidR="00F75C9A" w:rsidRPr="005D4222" w:rsidDel="00085116" w:rsidRDefault="00F75C9A" w:rsidP="00F75C9A">
            <w:pPr>
              <w:pStyle w:val="Bullet"/>
              <w:numPr>
                <w:ilvl w:val="0"/>
                <w:numId w:val="4"/>
              </w:numPr>
              <w:tabs>
                <w:tab w:val="left" w:pos="360"/>
                <w:tab w:val="left" w:pos="576"/>
              </w:tabs>
              <w:ind w:left="576" w:hanging="216"/>
            </w:pPr>
            <w:r w:rsidRPr="005D4222">
              <w:t>An identified housing inadequacy need or positive housing inadequacy screen finding must be met by a housing inadequacy intervention.</w:t>
            </w:r>
          </w:p>
          <w:p w14:paraId="4E5C7D3E" w14:textId="77777777" w:rsidR="00F75C9A" w:rsidRPr="005D4222" w:rsidRDefault="00F75C9A" w:rsidP="00F75C9A">
            <w:pPr>
              <w:pStyle w:val="Bullet"/>
              <w:numPr>
                <w:ilvl w:val="0"/>
                <w:numId w:val="4"/>
              </w:numPr>
              <w:tabs>
                <w:tab w:val="left" w:pos="360"/>
                <w:tab w:val="left" w:pos="576"/>
              </w:tabs>
              <w:ind w:left="576" w:hanging="216"/>
            </w:pPr>
            <w:r w:rsidRPr="005D4222">
              <w:t>An identified transportation need or positive transportation insecurity screen finding must be met by a transportation insecurity intervention.</w:t>
            </w:r>
          </w:p>
          <w:p w14:paraId="4D3D81AC" w14:textId="77777777" w:rsidR="00F75C9A" w:rsidRPr="005D4222" w:rsidRDefault="00F75C9A" w:rsidP="00A53E8C">
            <w:pPr>
              <w:pStyle w:val="ECDSBody"/>
              <w:rPr>
                <w:b/>
                <w:highlight w:val="yellow"/>
              </w:rPr>
            </w:pPr>
            <w:r w:rsidRPr="005D4222">
              <w:t>Interventions may include assistance, counseling, coordination, education, evaluation of eligibility, provision or referral.</w:t>
            </w:r>
          </w:p>
        </w:tc>
      </w:tr>
      <w:tr w:rsidR="00F75C9A" w:rsidRPr="005D4222" w14:paraId="584263AB" w14:textId="77777777" w:rsidTr="00BD378D">
        <w:trPr>
          <w:trHeight w:val="320"/>
        </w:trPr>
        <w:tc>
          <w:tcPr>
            <w:tcW w:w="2145" w:type="dxa"/>
            <w:tcBorders>
              <w:top w:val="single" w:sz="2" w:space="0" w:color="auto"/>
              <w:bottom w:val="single" w:sz="2" w:space="0" w:color="auto"/>
            </w:tcBorders>
            <w:shd w:val="clear" w:color="auto" w:fill="BFBFBF" w:themeFill="background1" w:themeFillShade="BF"/>
            <w:tcMar>
              <w:top w:w="0" w:type="dxa"/>
              <w:left w:w="86" w:type="dxa"/>
              <w:bottom w:w="43" w:type="dxa"/>
              <w:right w:w="86" w:type="dxa"/>
            </w:tcMar>
          </w:tcPr>
          <w:p w14:paraId="0300ACF4" w14:textId="77777777" w:rsidR="00F75C9A" w:rsidRPr="005D4222" w:rsidRDefault="00F75C9A" w:rsidP="00A53E8C">
            <w:pPr>
              <w:pStyle w:val="ECDSMarginHead"/>
            </w:pPr>
            <w:r w:rsidRPr="005D4222">
              <w:t>Initial population</w:t>
            </w:r>
          </w:p>
        </w:tc>
        <w:tc>
          <w:tcPr>
            <w:tcW w:w="7572"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4BF7C6C9" w14:textId="77777777" w:rsidR="00F75C9A" w:rsidRPr="005D4222" w:rsidRDefault="00F75C9A" w:rsidP="00A53E8C">
            <w:pPr>
              <w:pStyle w:val="ECDSBody"/>
            </w:pPr>
            <w:r w:rsidRPr="005D4222">
              <w:rPr>
                <w:i/>
                <w:iCs/>
              </w:rPr>
              <w:t>Measure item count:</w:t>
            </w:r>
            <w:r w:rsidRPr="005D4222">
              <w:t xml:space="preserve"> Person.</w:t>
            </w:r>
          </w:p>
          <w:p w14:paraId="7B91E50F" w14:textId="77777777" w:rsidR="00F75C9A" w:rsidRPr="005D4222" w:rsidRDefault="00F75C9A" w:rsidP="00A53E8C">
            <w:pPr>
              <w:pStyle w:val="ECDSBody"/>
            </w:pPr>
            <w:r w:rsidRPr="005D4222">
              <w:rPr>
                <w:i/>
              </w:rPr>
              <w:t>Attribution basis:</w:t>
            </w:r>
            <w:r w:rsidRPr="005D4222">
              <w:t xml:space="preserve"> Enrollment.</w:t>
            </w:r>
          </w:p>
          <w:p w14:paraId="270D71B4" w14:textId="77777777" w:rsidR="00F75C9A" w:rsidRPr="005D4222" w:rsidRDefault="00F75C9A" w:rsidP="00F75C9A">
            <w:pPr>
              <w:pStyle w:val="Bullet"/>
              <w:numPr>
                <w:ilvl w:val="0"/>
                <w:numId w:val="4"/>
              </w:numPr>
              <w:tabs>
                <w:tab w:val="left" w:pos="360"/>
                <w:tab w:val="left" w:pos="576"/>
              </w:tabs>
              <w:ind w:left="576" w:hanging="216"/>
            </w:pPr>
            <w:r w:rsidRPr="005D4222">
              <w:rPr>
                <w:i/>
                <w:iCs/>
              </w:rPr>
              <w:t>Benefits:</w:t>
            </w:r>
            <w:r w:rsidRPr="005D4222">
              <w:t xml:space="preserve"> Medical.</w:t>
            </w:r>
          </w:p>
          <w:p w14:paraId="49CFC69B" w14:textId="77777777" w:rsidR="00F75C9A" w:rsidRPr="005D4222" w:rsidRDefault="00F75C9A" w:rsidP="00F75C9A">
            <w:pPr>
              <w:pStyle w:val="Bullet"/>
              <w:numPr>
                <w:ilvl w:val="0"/>
                <w:numId w:val="4"/>
              </w:numPr>
              <w:tabs>
                <w:tab w:val="left" w:pos="360"/>
                <w:tab w:val="left" w:pos="576"/>
              </w:tabs>
              <w:spacing w:after="80"/>
              <w:ind w:left="576" w:hanging="216"/>
            </w:pPr>
            <w:r w:rsidRPr="005D4222">
              <w:rPr>
                <w:i/>
              </w:rPr>
              <w:t>Continuous enrollment:</w:t>
            </w:r>
            <w:r w:rsidRPr="005D4222">
              <w:t xml:space="preserve"> </w:t>
            </w:r>
            <w:r w:rsidRPr="005D4222">
              <w:rPr>
                <w:kern w:val="20"/>
              </w:rPr>
              <w:t>The measurement period.</w:t>
            </w:r>
          </w:p>
          <w:p w14:paraId="4302F556" w14:textId="77777777" w:rsidR="00F75C9A" w:rsidRPr="005D4222" w:rsidRDefault="00F75C9A" w:rsidP="00F75C9A">
            <w:pPr>
              <w:pStyle w:val="Bullet"/>
              <w:numPr>
                <w:ilvl w:val="0"/>
                <w:numId w:val="4"/>
              </w:numPr>
              <w:tabs>
                <w:tab w:val="left" w:pos="360"/>
                <w:tab w:val="left" w:pos="576"/>
              </w:tabs>
              <w:ind w:left="576" w:hanging="216"/>
            </w:pPr>
            <w:r w:rsidRPr="005D4222">
              <w:rPr>
                <w:i/>
              </w:rPr>
              <w:t xml:space="preserve">Allowable gap: </w:t>
            </w:r>
            <w:r w:rsidRPr="005D4222">
              <w:t xml:space="preserve">No more than one gap of ≤45 days during the measurement period. No gaps on the last day of the measurement period.  </w:t>
            </w:r>
          </w:p>
          <w:p w14:paraId="638AB397" w14:textId="02AEEEC0" w:rsidR="00F75C9A" w:rsidRPr="005D4222" w:rsidRDefault="00F75C9A" w:rsidP="00A53E8C">
            <w:pPr>
              <w:pStyle w:val="ECDSBody"/>
            </w:pPr>
            <w:r w:rsidRPr="005D4222">
              <w:rPr>
                <w:i/>
              </w:rPr>
              <w:t>Ages:</w:t>
            </w:r>
            <w:r w:rsidRPr="005D4222">
              <w:t xml:space="preserve"> 0+ </w:t>
            </w:r>
            <w:r w:rsidR="0029241D" w:rsidRPr="005D4222">
              <w:t xml:space="preserve">years of age </w:t>
            </w:r>
            <w:r w:rsidRPr="005D4222">
              <w:t>as of the start of the measurement period.</w:t>
            </w:r>
          </w:p>
          <w:p w14:paraId="5B188F68" w14:textId="77777777" w:rsidR="00F75C9A" w:rsidRPr="005D4222" w:rsidRDefault="00F75C9A" w:rsidP="00A53E8C">
            <w:pPr>
              <w:pStyle w:val="ECDSBody"/>
              <w:rPr>
                <w:highlight w:val="yellow"/>
              </w:rPr>
            </w:pPr>
            <w:r w:rsidRPr="005D4222">
              <w:rPr>
                <w:i/>
              </w:rPr>
              <w:t>Event:</w:t>
            </w:r>
            <w:r w:rsidRPr="005D4222">
              <w:t xml:space="preserve"> None.</w:t>
            </w:r>
          </w:p>
        </w:tc>
      </w:tr>
      <w:tr w:rsidR="00F75C9A" w:rsidRPr="005D4222" w14:paraId="752CCA5F" w14:textId="77777777" w:rsidTr="00BD378D">
        <w:trPr>
          <w:trHeight w:val="610"/>
        </w:trPr>
        <w:tc>
          <w:tcPr>
            <w:tcW w:w="2145" w:type="dxa"/>
            <w:tcBorders>
              <w:top w:val="single" w:sz="2" w:space="0" w:color="auto"/>
              <w:bottom w:val="single" w:sz="2" w:space="0" w:color="auto"/>
            </w:tcBorders>
            <w:shd w:val="clear" w:color="auto" w:fill="BFBFBF" w:themeFill="background1" w:themeFillShade="BF"/>
            <w:tcMar>
              <w:top w:w="0" w:type="dxa"/>
              <w:left w:w="86" w:type="dxa"/>
              <w:bottom w:w="43" w:type="dxa"/>
              <w:right w:w="86" w:type="dxa"/>
            </w:tcMar>
          </w:tcPr>
          <w:p w14:paraId="05F67DA0" w14:textId="77777777" w:rsidR="00F75C9A" w:rsidRPr="005D4222" w:rsidRDefault="00F75C9A" w:rsidP="00A53E8C">
            <w:pPr>
              <w:pStyle w:val="ECDSMarginHead"/>
            </w:pPr>
            <w:r w:rsidRPr="005D4222">
              <w:t xml:space="preserve">Denominator exclusions </w:t>
            </w:r>
          </w:p>
        </w:tc>
        <w:tc>
          <w:tcPr>
            <w:tcW w:w="7572" w:type="dxa"/>
            <w:tcBorders>
              <w:top w:val="single" w:sz="2" w:space="0" w:color="auto"/>
              <w:bottom w:val="single" w:sz="2" w:space="0" w:color="auto"/>
            </w:tcBorders>
            <w:tcMar>
              <w:top w:w="0" w:type="dxa"/>
              <w:left w:w="86" w:type="dxa"/>
              <w:bottom w:w="43" w:type="dxa"/>
              <w:right w:w="86" w:type="dxa"/>
            </w:tcMar>
            <w:vAlign w:val="center"/>
          </w:tcPr>
          <w:p w14:paraId="662D5BEF" w14:textId="77963928" w:rsidR="00BD378D" w:rsidRPr="005D4222" w:rsidRDefault="00F75C9A" w:rsidP="00BD378D">
            <w:pPr>
              <w:pStyle w:val="ECDSBody"/>
              <w:rPr>
                <w:rFonts w:eastAsia="Arial,Arial,Arial,Arial,Arial,A"/>
              </w:rPr>
            </w:pPr>
            <w:r w:rsidRPr="005D4222">
              <w:rPr>
                <w:b/>
                <w:bCs w:val="0"/>
              </w:rPr>
              <w:t>Persons with a date of death.</w:t>
            </w:r>
            <w:r w:rsidRPr="005D4222">
              <w:rPr>
                <w:b/>
                <w:bCs w:val="0"/>
              </w:rPr>
              <w:br/>
            </w:r>
            <w:r w:rsidRPr="005D4222">
              <w:t>Death in the measurement period, identified using data sources determined by the organization. Method and data sources are subject to review during the HEDIS audit.</w:t>
            </w:r>
          </w:p>
        </w:tc>
      </w:tr>
    </w:tbl>
    <w:p w14:paraId="5C57B6F0" w14:textId="77777777" w:rsidR="00BD378D" w:rsidRPr="005D4222" w:rsidRDefault="00BD378D">
      <w:r w:rsidRPr="005D4222">
        <w:br w:type="page"/>
      </w:r>
    </w:p>
    <w:tbl>
      <w:tblPr>
        <w:tblW w:w="9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45"/>
        <w:gridCol w:w="7572"/>
      </w:tblGrid>
      <w:tr w:rsidR="00BD378D" w:rsidRPr="005D4222" w14:paraId="5647502B" w14:textId="77777777" w:rsidTr="00BD378D">
        <w:tc>
          <w:tcPr>
            <w:tcW w:w="2145" w:type="dxa"/>
            <w:tcBorders>
              <w:top w:val="single" w:sz="2" w:space="0" w:color="auto"/>
              <w:bottom w:val="single" w:sz="2" w:space="0" w:color="auto"/>
            </w:tcBorders>
            <w:shd w:val="clear" w:color="auto" w:fill="BFBFBF" w:themeFill="background1" w:themeFillShade="BF"/>
            <w:tcMar>
              <w:top w:w="0" w:type="dxa"/>
              <w:left w:w="86" w:type="dxa"/>
              <w:bottom w:w="43" w:type="dxa"/>
              <w:right w:w="86" w:type="dxa"/>
            </w:tcMar>
          </w:tcPr>
          <w:p w14:paraId="0090064F" w14:textId="77777777" w:rsidR="00BD378D" w:rsidRPr="005D4222" w:rsidRDefault="00BD378D" w:rsidP="00A53E8C">
            <w:pPr>
              <w:pStyle w:val="ECDSMarginHead"/>
            </w:pPr>
          </w:p>
        </w:tc>
        <w:tc>
          <w:tcPr>
            <w:tcW w:w="7572" w:type="dxa"/>
            <w:tcBorders>
              <w:top w:val="single" w:sz="2" w:space="0" w:color="auto"/>
              <w:bottom w:val="single" w:sz="2" w:space="0" w:color="auto"/>
            </w:tcBorders>
            <w:tcMar>
              <w:top w:w="0" w:type="dxa"/>
              <w:left w:w="86" w:type="dxa"/>
              <w:bottom w:w="43" w:type="dxa"/>
              <w:right w:w="86" w:type="dxa"/>
            </w:tcMar>
            <w:vAlign w:val="center"/>
          </w:tcPr>
          <w:p w14:paraId="33A2C201" w14:textId="77777777" w:rsidR="00BD378D" w:rsidRPr="005D4222" w:rsidRDefault="00BD378D" w:rsidP="00BD378D">
            <w:pPr>
              <w:pStyle w:val="ECDSBody"/>
              <w:rPr>
                <w:rFonts w:eastAsia="Arial,Arial,Arial,Arial,Arial,A"/>
              </w:rPr>
            </w:pPr>
            <w:r w:rsidRPr="005D4222">
              <w:rPr>
                <w:rFonts w:eastAsia="Arial,Arial,Arial,Arial,Arial,A"/>
                <w:b/>
                <w:bCs w:val="0"/>
              </w:rPr>
              <w:t>Persons in hospice or using hospice services.</w:t>
            </w:r>
            <w:r w:rsidRPr="005D4222">
              <w:rPr>
                <w:rFonts w:eastAsia="Arial,Arial,Arial,Arial,Arial,A"/>
                <w:b/>
                <w:bCs w:val="0"/>
              </w:rPr>
              <w:br/>
            </w:r>
            <w:r w:rsidRPr="005D4222">
              <w:rPr>
                <w:rFonts w:eastAsia="Arial,Arial,Arial,Arial,Arial,A"/>
              </w:rPr>
              <w:t>Persons who use hospice services (</w:t>
            </w:r>
            <w:r w:rsidRPr="005D4222">
              <w:rPr>
                <w:rFonts w:eastAsia="Arial,Arial,Arial,Arial,Arial,A"/>
                <w:u w:val="single"/>
              </w:rPr>
              <w:t>Hospice Encounter Value Set</w:t>
            </w:r>
            <w:r w:rsidRPr="005D4222">
              <w:rPr>
                <w:rFonts w:eastAsia="Arial,Arial,Arial,Arial,Arial,A"/>
              </w:rPr>
              <w:t xml:space="preserve">; </w:t>
            </w:r>
            <w:r w:rsidRPr="005D4222">
              <w:rPr>
                <w:rFonts w:eastAsia="Arial,Arial,Arial,Arial,Arial,A"/>
                <w:u w:val="single"/>
              </w:rPr>
              <w:t>Hospice Intervention Value Set</w:t>
            </w:r>
            <w:r w:rsidRPr="005D4222">
              <w:rPr>
                <w:rFonts w:eastAsia="Arial,Arial,Arial,Arial,Arial,A"/>
              </w:rPr>
              <w:t>) or elect to use a hospice benefit any time during the measurement period. Organizations that use the Monthly Membership Detail Data File to identify these persons must use only the run date of the file.</w:t>
            </w:r>
          </w:p>
          <w:p w14:paraId="05F96D52" w14:textId="77777777" w:rsidR="00BD378D" w:rsidRPr="005D4222" w:rsidRDefault="00BD378D" w:rsidP="00BD378D">
            <w:pPr>
              <w:pStyle w:val="ECDSBody"/>
              <w:rPr>
                <w:rStyle w:val="normaltextrun"/>
                <w:kern w:val="24"/>
                <w14:ligatures w14:val="standardContextual"/>
              </w:rPr>
            </w:pPr>
            <w:r w:rsidRPr="005D4222">
              <w:rPr>
                <w:rStyle w:val="normaltextrun"/>
                <w:b/>
                <w:color w:val="000000" w:themeColor="text1"/>
              </w:rPr>
              <w:t xml:space="preserve">Medicare enrollees </w:t>
            </w:r>
            <w:r w:rsidRPr="005D4222">
              <w:rPr>
                <w:rStyle w:val="normaltextrun"/>
                <w:b/>
                <w:color w:val="000000"/>
                <w:shd w:val="clear" w:color="auto" w:fill="FFFFFF"/>
              </w:rPr>
              <w:t>in an institutional SNP (I-SNP) or living long-term in an institution (LTI).</w:t>
            </w:r>
          </w:p>
          <w:p w14:paraId="4CE384CE" w14:textId="77777777" w:rsidR="00BD378D" w:rsidRPr="005D4222" w:rsidRDefault="00BD378D" w:rsidP="005D6173">
            <w:pPr>
              <w:pStyle w:val="ProcessBullet"/>
              <w:numPr>
                <w:ilvl w:val="0"/>
                <w:numId w:val="98"/>
              </w:numPr>
              <w:tabs>
                <w:tab w:val="left" w:pos="216"/>
              </w:tabs>
              <w:ind w:left="216" w:hanging="216"/>
              <w:rPr>
                <w:rFonts w:cs="Arial"/>
              </w:rPr>
            </w:pPr>
            <w:r w:rsidRPr="005D4222">
              <w:t>Enrolled in an Institutional SNP (I-SNP) any time during the measurement period.</w:t>
            </w:r>
          </w:p>
          <w:p w14:paraId="304EB375" w14:textId="1442764D" w:rsidR="00BD378D" w:rsidRPr="005D4222" w:rsidRDefault="00BD378D" w:rsidP="005D6173">
            <w:pPr>
              <w:pStyle w:val="ProcessBullet"/>
              <w:numPr>
                <w:ilvl w:val="0"/>
                <w:numId w:val="98"/>
              </w:numPr>
              <w:tabs>
                <w:tab w:val="left" w:pos="216"/>
              </w:tabs>
              <w:spacing w:after="80"/>
              <w:ind w:left="216" w:hanging="216"/>
              <w:rPr>
                <w:rFonts w:eastAsia="Arial,Arial,Arial,Arial,Arial,A"/>
              </w:rPr>
            </w:pPr>
            <w:r w:rsidRPr="005D4222">
              <w:t>Living long-term in an institution any time during the measurement period as identified by the LTI flag in the Monthly Membership Detail Data File. Use the run date of the file to determine if a member had an LTI flag during the measurement period.</w:t>
            </w:r>
          </w:p>
        </w:tc>
      </w:tr>
      <w:tr w:rsidR="00F75C9A" w:rsidRPr="005D4222" w14:paraId="1F14639C" w14:textId="77777777" w:rsidTr="00BD378D">
        <w:trPr>
          <w:trHeight w:val="610"/>
        </w:trPr>
        <w:tc>
          <w:tcPr>
            <w:tcW w:w="2145" w:type="dxa"/>
            <w:tcBorders>
              <w:top w:val="single" w:sz="2" w:space="0" w:color="auto"/>
              <w:bottom w:val="single" w:sz="2" w:space="0" w:color="auto"/>
            </w:tcBorders>
            <w:shd w:val="clear" w:color="auto" w:fill="BFBFBF" w:themeFill="background1" w:themeFillShade="BF"/>
            <w:tcMar>
              <w:top w:w="0" w:type="dxa"/>
              <w:left w:w="86" w:type="dxa"/>
              <w:bottom w:w="43" w:type="dxa"/>
              <w:right w:w="86" w:type="dxa"/>
            </w:tcMar>
          </w:tcPr>
          <w:p w14:paraId="525C8397" w14:textId="77777777" w:rsidR="00F75C9A" w:rsidRPr="005D4222" w:rsidRDefault="00F75C9A" w:rsidP="00A53E8C">
            <w:pPr>
              <w:pStyle w:val="ECDSMarginHead"/>
            </w:pPr>
            <w:r w:rsidRPr="005D4222">
              <w:t>Denominator</w:t>
            </w:r>
          </w:p>
        </w:tc>
        <w:tc>
          <w:tcPr>
            <w:tcW w:w="7572" w:type="dxa"/>
            <w:tcBorders>
              <w:top w:val="single" w:sz="2" w:space="0" w:color="auto"/>
              <w:bottom w:val="single" w:sz="2" w:space="0" w:color="auto"/>
            </w:tcBorders>
            <w:tcMar>
              <w:top w:w="0" w:type="dxa"/>
              <w:left w:w="86" w:type="dxa"/>
              <w:bottom w:w="43" w:type="dxa"/>
              <w:right w:w="86" w:type="dxa"/>
            </w:tcMar>
          </w:tcPr>
          <w:p w14:paraId="4231130B" w14:textId="77777777" w:rsidR="00F75C9A" w:rsidRPr="005D4222" w:rsidRDefault="00F75C9A" w:rsidP="00A53E8C">
            <w:pPr>
              <w:pStyle w:val="ECDSBody"/>
              <w:rPr>
                <w:rFonts w:eastAsia="Arial,Arial,Arial,Arial,Arial,A"/>
                <w:bCs w:val="0"/>
              </w:rPr>
            </w:pPr>
            <w:r w:rsidRPr="005D4222">
              <w:rPr>
                <w:b/>
                <w:kern w:val="20"/>
              </w:rPr>
              <w:t xml:space="preserve">Denominators 1, 3, 5: </w:t>
            </w:r>
            <w:r w:rsidRPr="005D4222">
              <w:rPr>
                <w:rFonts w:eastAsia="Arial,Arial,Arial,Arial,Arial,A"/>
                <w:bCs w:val="0"/>
              </w:rPr>
              <w:t xml:space="preserve">The initial population minus denominator exclusions. </w:t>
            </w:r>
          </w:p>
          <w:p w14:paraId="6FB46901" w14:textId="77777777" w:rsidR="00F75C9A" w:rsidRPr="005D4222" w:rsidRDefault="00F75C9A" w:rsidP="00A53E8C">
            <w:pPr>
              <w:pStyle w:val="ECDSBody"/>
              <w:rPr>
                <w:rFonts w:eastAsia="Arial,Arial,Arial,Arial,Arial,A"/>
              </w:rPr>
            </w:pPr>
            <w:r w:rsidRPr="005D4222">
              <w:rPr>
                <w:rFonts w:eastAsia="Arial,Arial,Arial,Arial,Arial,A"/>
                <w:b/>
              </w:rPr>
              <w:t xml:space="preserve">Denominator 2: </w:t>
            </w:r>
            <w:r w:rsidRPr="005D4222">
              <w:rPr>
                <w:rFonts w:eastAsia="Arial,Arial,Arial,Arial,Arial,A"/>
              </w:rPr>
              <w:t>All persons in numerator 1 with an identified food need (</w:t>
            </w:r>
            <w:r w:rsidRPr="005D4222">
              <w:rPr>
                <w:rFonts w:eastAsia="Arial,Arial,Arial,Arial,Arial,A"/>
                <w:u w:val="single"/>
              </w:rPr>
              <w:t>Food Insecurity Value Set</w:t>
            </w:r>
            <w:r w:rsidRPr="005D4222">
              <w:rPr>
                <w:rFonts w:eastAsia="Arial,Arial,Arial,Arial,Arial,A"/>
              </w:rPr>
              <w:t>), or a positive food insecurity screen finding, between January 1 and December 1 of the measurement period.</w:t>
            </w:r>
          </w:p>
          <w:p w14:paraId="772D4DA9" w14:textId="6E51054F" w:rsidR="00F75C9A" w:rsidRPr="005D4222" w:rsidRDefault="00F75C9A" w:rsidP="00A53E8C">
            <w:pPr>
              <w:pStyle w:val="ECDSBody"/>
              <w:rPr>
                <w:rFonts w:eastAsia="Arial,Arial,Arial,Arial,Arial,A"/>
                <w:bCs w:val="0"/>
              </w:rPr>
            </w:pPr>
            <w:r w:rsidRPr="005D4222">
              <w:rPr>
                <w:rFonts w:eastAsia="Arial,Arial,Arial,Arial,Arial,A"/>
                <w:b/>
              </w:rPr>
              <w:t>Denominator 4:</w:t>
            </w:r>
            <w:r w:rsidRPr="005D4222">
              <w:rPr>
                <w:rFonts w:eastAsia="Arial,Arial,Arial,Arial,Arial,A"/>
                <w:b/>
                <w:i/>
                <w:iCs/>
              </w:rPr>
              <w:t xml:space="preserve"> </w:t>
            </w:r>
            <w:r w:rsidRPr="005D4222">
              <w:rPr>
                <w:rFonts w:eastAsia="Arial,Arial,Arial,Arial,Arial,A"/>
                <w:bCs w:val="0"/>
              </w:rPr>
              <w:t xml:space="preserve">All persons in numerator 3 with an identified </w:t>
            </w:r>
            <w:r w:rsidRPr="005D4222">
              <w:rPr>
                <w:bCs w:val="0"/>
                <w:kern w:val="20"/>
              </w:rPr>
              <w:t xml:space="preserve">housing </w:t>
            </w:r>
            <w:r w:rsidRPr="005D4222">
              <w:rPr>
                <w:rFonts w:eastAsia="Arial,Arial,Arial,Arial,Arial,A"/>
                <w:bCs w:val="0"/>
              </w:rPr>
              <w:t>need (</w:t>
            </w:r>
            <w:r w:rsidRPr="005D4222">
              <w:rPr>
                <w:rFonts w:eastAsia="Arial,Arial,Arial,Arial,Arial,A"/>
                <w:bCs w:val="0"/>
                <w:u w:val="single"/>
              </w:rPr>
              <w:t>Housing Instability Value Set</w:t>
            </w:r>
            <w:r w:rsidRPr="005D4222">
              <w:rPr>
                <w:rFonts w:eastAsia="Arial,Arial,Arial,Arial,Arial,A"/>
                <w:bCs w:val="0"/>
              </w:rPr>
              <w:t xml:space="preserve">; </w:t>
            </w:r>
            <w:r w:rsidRPr="005D4222">
              <w:rPr>
                <w:rFonts w:eastAsia="Arial,Arial,Arial,Arial,Arial,A"/>
                <w:bCs w:val="0"/>
                <w:u w:val="single"/>
              </w:rPr>
              <w:t>Homelessness Value Set</w:t>
            </w:r>
            <w:r w:rsidRPr="005D4222">
              <w:rPr>
                <w:rFonts w:eastAsia="Arial,Arial,Arial,Arial,Arial,A"/>
                <w:bCs w:val="0"/>
              </w:rPr>
              <w:t xml:space="preserve">; </w:t>
            </w:r>
            <w:r w:rsidRPr="005D4222">
              <w:rPr>
                <w:rFonts w:eastAsia="Arial,Arial,Arial,Arial,Arial,A"/>
                <w:bCs w:val="0"/>
                <w:u w:val="single"/>
              </w:rPr>
              <w:t>Housing Inadequacy Value Set</w:t>
            </w:r>
            <w:r w:rsidRPr="005D4222">
              <w:rPr>
                <w:rFonts w:eastAsia="Arial,Arial,Arial,Arial,Arial,A"/>
                <w:bCs w:val="0"/>
              </w:rPr>
              <w:t xml:space="preserve">) or a </w:t>
            </w:r>
            <w:r w:rsidR="00CA76B0" w:rsidRPr="005D4222">
              <w:rPr>
                <w:rFonts w:eastAsia="Arial,Arial,Arial,Arial,Arial,A"/>
                <w:bCs w:val="0"/>
              </w:rPr>
              <w:t xml:space="preserve">positive </w:t>
            </w:r>
            <w:r w:rsidRPr="005D4222">
              <w:rPr>
                <w:rFonts w:eastAsia="Arial,Arial,Arial,Arial,Arial,A"/>
                <w:bCs w:val="0"/>
              </w:rPr>
              <w:t xml:space="preserve">housing </w:t>
            </w:r>
            <w:r w:rsidRPr="005D4222">
              <w:rPr>
                <w:bCs w:val="0"/>
              </w:rPr>
              <w:t>instability,</w:t>
            </w:r>
            <w:r w:rsidRPr="005D4222">
              <w:rPr>
                <w:rFonts w:eastAsia="Arial,Arial,Arial,Arial,Arial,A"/>
                <w:bCs w:val="0"/>
              </w:rPr>
              <w:t xml:space="preserve"> homelessness or housing inadequacy screen finding, between January 1 and December 1 of the measurement period.</w:t>
            </w:r>
          </w:p>
          <w:p w14:paraId="200947CE" w14:textId="77777777" w:rsidR="00F75C9A" w:rsidRPr="005D4222" w:rsidRDefault="00F75C9A" w:rsidP="00A53E8C">
            <w:pPr>
              <w:pStyle w:val="ECDSBody"/>
              <w:rPr>
                <w:rFonts w:eastAsia="Arial,Arial,Arial,Arial,Arial,A"/>
                <w:b/>
              </w:rPr>
            </w:pPr>
            <w:r w:rsidRPr="005D4222">
              <w:rPr>
                <w:rFonts w:eastAsia="Arial,Arial,Arial,Arial,Arial,A"/>
                <w:b/>
              </w:rPr>
              <w:t>Denominator 6:</w:t>
            </w:r>
            <w:r w:rsidRPr="005D4222">
              <w:rPr>
                <w:rFonts w:eastAsia="Arial,Arial,Arial,Arial,Arial,A"/>
                <w:bCs w:val="0"/>
                <w:i/>
                <w:iCs/>
              </w:rPr>
              <w:t xml:space="preserve"> </w:t>
            </w:r>
            <w:r w:rsidRPr="005D4222">
              <w:rPr>
                <w:rFonts w:eastAsia="Arial,Arial,Arial,Arial,Arial,A"/>
                <w:bCs w:val="0"/>
              </w:rPr>
              <w:t>All persons in numerator 5 with an identified transportation need (ICD10CM code Z59.82), or</w:t>
            </w:r>
            <w:r w:rsidRPr="005D4222" w:rsidDel="00CC5543">
              <w:rPr>
                <w:rFonts w:eastAsia="Arial,Arial,Arial,Arial,Arial,A"/>
                <w:bCs w:val="0"/>
              </w:rPr>
              <w:t xml:space="preserve"> </w:t>
            </w:r>
            <w:r w:rsidRPr="005D4222">
              <w:rPr>
                <w:rFonts w:eastAsia="Arial,Arial,Arial,Arial,Arial,A"/>
                <w:bCs w:val="0"/>
              </w:rPr>
              <w:t>a positive transportation insecurity screen finding, between January 1 and December 1 of the measurement period.</w:t>
            </w:r>
          </w:p>
        </w:tc>
      </w:tr>
      <w:tr w:rsidR="00F75C9A" w:rsidRPr="005D4222" w14:paraId="1873DF46" w14:textId="77777777" w:rsidTr="00BD378D">
        <w:tc>
          <w:tcPr>
            <w:tcW w:w="2145"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6C3E0CDE" w14:textId="77777777" w:rsidR="00F75C9A" w:rsidRPr="005D4222" w:rsidRDefault="00F75C9A" w:rsidP="00A53E8C">
            <w:pPr>
              <w:pStyle w:val="ECDSMarginHead"/>
            </w:pPr>
            <w:r w:rsidRPr="005D4222">
              <w:t xml:space="preserve">Numerator </w:t>
            </w:r>
          </w:p>
        </w:tc>
        <w:tc>
          <w:tcPr>
            <w:tcW w:w="7572"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399C80A" w14:textId="77777777" w:rsidR="00F75C9A" w:rsidRPr="005D4222" w:rsidRDefault="00F75C9A" w:rsidP="00A53E8C">
            <w:pPr>
              <w:pStyle w:val="ECDSBody"/>
            </w:pPr>
            <w:r w:rsidRPr="005D4222">
              <w:rPr>
                <w:b/>
                <w:bCs w:val="0"/>
              </w:rPr>
              <w:t>Numerator 1: Food screening.</w:t>
            </w:r>
            <w:r w:rsidRPr="005D4222">
              <w:rPr>
                <w:b/>
                <w:bCs w:val="0"/>
              </w:rPr>
              <w:br/>
            </w:r>
            <w:r w:rsidRPr="005D4222">
              <w:t>Persons in denominator 1 with a documented result for food insecurity screening, or assessment by a provider (HCPCS code G0136), performed between January 1 and December 1 of the measurement period.</w:t>
            </w:r>
          </w:p>
          <w:p w14:paraId="6064DE4C" w14:textId="77777777" w:rsidR="00BD378D" w:rsidRPr="005D4222" w:rsidRDefault="00BD378D" w:rsidP="00BD378D">
            <w:pPr>
              <w:pStyle w:val="ECDSBody"/>
              <w:rPr>
                <w:rFonts w:eastAsia="Arial,Arial,Arial,Arial,Arial,A"/>
              </w:rPr>
            </w:pPr>
            <w:r w:rsidRPr="005D4222">
              <w:rPr>
                <w:b/>
              </w:rPr>
              <w:t>Numerator 2: Food intervention.</w:t>
            </w:r>
            <w:r w:rsidRPr="005D4222">
              <w:br/>
              <w:t>Persons in denominator 2 who received a food insecurity intervention (</w:t>
            </w:r>
            <w:r w:rsidRPr="005D4222">
              <w:rPr>
                <w:u w:val="single"/>
              </w:rPr>
              <w:t>Food Insecurity Procedures Value Set</w:t>
            </w:r>
            <w:r w:rsidRPr="005D4222">
              <w:t>) on or up to 30 days after the date of the first food need identified or positive food insecurity screen (31 days total).</w:t>
            </w:r>
          </w:p>
          <w:p w14:paraId="18B0F595" w14:textId="77777777" w:rsidR="00BD378D" w:rsidRPr="005D4222" w:rsidRDefault="00BD378D" w:rsidP="00BD378D">
            <w:pPr>
              <w:pStyle w:val="ECDSBody"/>
              <w:rPr>
                <w:rFonts w:eastAsia="Arial,Arial,Arial,Arial,Arial,A"/>
              </w:rPr>
            </w:pPr>
            <w:r w:rsidRPr="005D4222">
              <w:rPr>
                <w:b/>
                <w:bCs w:val="0"/>
              </w:rPr>
              <w:t>Numerator 3: Housing screening.</w:t>
            </w:r>
            <w:r w:rsidRPr="005D4222">
              <w:rPr>
                <w:b/>
                <w:bCs w:val="0"/>
              </w:rPr>
              <w:br/>
            </w:r>
            <w:r w:rsidRPr="005D4222">
              <w:t>Persons in denominator 3 with a documented result for housing instability, homelessness or housing inadequacy screening, or assessment by a provider (HCPCS code G0136), performed between January 1 and December 1 of the measurement period.</w:t>
            </w:r>
          </w:p>
          <w:p w14:paraId="57CA2527" w14:textId="77777777" w:rsidR="00BD378D" w:rsidRPr="005D4222" w:rsidRDefault="00BD378D" w:rsidP="00BD378D">
            <w:pPr>
              <w:pStyle w:val="ECDSBody"/>
            </w:pPr>
            <w:r w:rsidRPr="005D4222">
              <w:rPr>
                <w:b/>
                <w:bCs w:val="0"/>
              </w:rPr>
              <w:t>Numerator 4: Housing intervention.</w:t>
            </w:r>
            <w:r w:rsidRPr="005D4222">
              <w:rPr>
                <w:b/>
                <w:bCs w:val="0"/>
              </w:rPr>
              <w:br/>
            </w:r>
            <w:r w:rsidRPr="005D4222">
              <w:t>Persons in denominator 4 who received an intervention corresponding to the type of housing need identified on or up to 30 days after the date of the first housing need identified or positive housing screen (31 days total).</w:t>
            </w:r>
          </w:p>
          <w:p w14:paraId="23809F81" w14:textId="18020CD9" w:rsidR="00BD378D" w:rsidRPr="005D4222" w:rsidRDefault="00BD378D" w:rsidP="00BD378D">
            <w:pPr>
              <w:pStyle w:val="Bullet"/>
              <w:numPr>
                <w:ilvl w:val="0"/>
                <w:numId w:val="4"/>
              </w:numPr>
              <w:tabs>
                <w:tab w:val="left" w:pos="360"/>
                <w:tab w:val="left" w:pos="576"/>
              </w:tabs>
              <w:spacing w:after="80"/>
              <w:ind w:left="576" w:hanging="216"/>
            </w:pPr>
            <w:r w:rsidRPr="005D4222">
              <w:t>Housing Instability Intervention (</w:t>
            </w:r>
            <w:r w:rsidRPr="005D4222">
              <w:rPr>
                <w:u w:val="single"/>
              </w:rPr>
              <w:t>Housing Instability Procedures Value Set</w:t>
            </w:r>
            <w:r w:rsidRPr="005D4222">
              <w:t>).</w:t>
            </w:r>
          </w:p>
        </w:tc>
      </w:tr>
    </w:tbl>
    <w:p w14:paraId="304937E1" w14:textId="77777777" w:rsidR="00F75C9A" w:rsidRPr="005D4222" w:rsidRDefault="00F75C9A" w:rsidP="00F75C9A"/>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45"/>
        <w:gridCol w:w="11"/>
        <w:gridCol w:w="7558"/>
      </w:tblGrid>
      <w:tr w:rsidR="00F75C9A" w:rsidRPr="005D4222" w14:paraId="231FA554" w14:textId="77777777" w:rsidTr="00A53E8C">
        <w:tc>
          <w:tcPr>
            <w:tcW w:w="2145"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3F1761A" w14:textId="77777777" w:rsidR="00F75C9A" w:rsidRPr="005D4222" w:rsidRDefault="00F75C9A" w:rsidP="00A53E8C">
            <w:pPr>
              <w:pStyle w:val="ECDSMarginHead"/>
            </w:pPr>
          </w:p>
        </w:tc>
        <w:tc>
          <w:tcPr>
            <w:tcW w:w="7569" w:type="dxa"/>
            <w:gridSpan w:val="2"/>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FF96217" w14:textId="77777777" w:rsidR="00F75C9A" w:rsidRPr="005D4222" w:rsidRDefault="00F75C9A" w:rsidP="00F75C9A">
            <w:pPr>
              <w:pStyle w:val="Bullet"/>
              <w:numPr>
                <w:ilvl w:val="0"/>
                <w:numId w:val="4"/>
              </w:numPr>
              <w:tabs>
                <w:tab w:val="left" w:pos="360"/>
                <w:tab w:val="left" w:pos="576"/>
              </w:tabs>
              <w:ind w:left="576" w:hanging="216"/>
            </w:pPr>
            <w:r w:rsidRPr="005D4222">
              <w:t>Homelessness Intervention (</w:t>
            </w:r>
            <w:r w:rsidRPr="005D4222">
              <w:rPr>
                <w:u w:val="single"/>
              </w:rPr>
              <w:t>Homelessness Procedures Value Set</w:t>
            </w:r>
            <w:r w:rsidRPr="005D4222">
              <w:t>).</w:t>
            </w:r>
          </w:p>
          <w:p w14:paraId="0D34D45E" w14:textId="77777777" w:rsidR="00F75C9A" w:rsidRPr="005D4222" w:rsidRDefault="00F75C9A" w:rsidP="00F75C9A">
            <w:pPr>
              <w:pStyle w:val="Bullet"/>
              <w:numPr>
                <w:ilvl w:val="0"/>
                <w:numId w:val="4"/>
              </w:numPr>
              <w:tabs>
                <w:tab w:val="left" w:pos="360"/>
                <w:tab w:val="left" w:pos="576"/>
              </w:tabs>
              <w:ind w:left="576" w:hanging="216"/>
            </w:pPr>
            <w:r w:rsidRPr="005D4222">
              <w:t>Housing Inadequacy Intervention (</w:t>
            </w:r>
            <w:r w:rsidRPr="005D4222">
              <w:rPr>
                <w:u w:val="single"/>
              </w:rPr>
              <w:t>Housing Inadequacy Procedures Value Set</w:t>
            </w:r>
            <w:r w:rsidRPr="005D4222">
              <w:t>).</w:t>
            </w:r>
          </w:p>
          <w:p w14:paraId="3EC3CB01" w14:textId="77777777" w:rsidR="00F75C9A" w:rsidRPr="005D4222" w:rsidRDefault="00F75C9A" w:rsidP="00A53E8C">
            <w:pPr>
              <w:pStyle w:val="ECDSBody"/>
              <w:rPr>
                <w:i/>
                <w:iCs/>
                <w:color w:val="000000" w:themeColor="text1"/>
              </w:rPr>
            </w:pPr>
            <w:r w:rsidRPr="005D4222">
              <w:rPr>
                <w:b/>
                <w:bCs w:val="0"/>
              </w:rPr>
              <w:t>Numerator 5: Transportation screening.</w:t>
            </w:r>
            <w:r w:rsidRPr="005D4222">
              <w:rPr>
                <w:b/>
                <w:bCs w:val="0"/>
              </w:rPr>
              <w:br/>
            </w:r>
            <w:r w:rsidRPr="005D4222">
              <w:t>Persons in denominator 5 with a documented result for transportation insecurity screening, or assessment by a provider (HCPCS code G0136), performed between January 1 and December 1 of the measurement period.</w:t>
            </w:r>
          </w:p>
          <w:p w14:paraId="784FA952" w14:textId="77777777" w:rsidR="00F75C9A" w:rsidRPr="005D4222" w:rsidRDefault="00F75C9A" w:rsidP="00A53E8C">
            <w:pPr>
              <w:pStyle w:val="ECDSBody"/>
              <w:rPr>
                <w:b/>
                <w:bCs w:val="0"/>
              </w:rPr>
            </w:pPr>
            <w:r w:rsidRPr="005D4222">
              <w:rPr>
                <w:b/>
                <w:bCs w:val="0"/>
              </w:rPr>
              <w:t>Numerator 6: Transportation intervention.</w:t>
            </w:r>
            <w:r w:rsidRPr="005D4222">
              <w:rPr>
                <w:b/>
                <w:bCs w:val="0"/>
              </w:rPr>
              <w:br/>
            </w:r>
            <w:r w:rsidRPr="005D4222">
              <w:t>Persons in denominator 6 who received a transportation insecurity intervention (</w:t>
            </w:r>
            <w:r w:rsidRPr="005D4222">
              <w:rPr>
                <w:u w:val="single"/>
              </w:rPr>
              <w:t>Transportation Insecurity Procedures Value Set</w:t>
            </w:r>
            <w:r w:rsidRPr="005D4222">
              <w:t>) on or up to 30 days after the date of the first transportation need identified or positive transportation screen (31 days total).</w:t>
            </w:r>
          </w:p>
        </w:tc>
      </w:tr>
      <w:tr w:rsidR="00F75C9A" w:rsidRPr="005D4222" w14:paraId="182BA92C" w14:textId="77777777" w:rsidTr="00A53E8C">
        <w:tc>
          <w:tcPr>
            <w:tcW w:w="2156" w:type="dxa"/>
            <w:gridSpan w:val="2"/>
            <w:tcBorders>
              <w:top w:val="single" w:sz="4" w:space="0" w:color="auto"/>
              <w:left w:val="single" w:sz="2" w:space="0" w:color="auto"/>
              <w:bottom w:val="single" w:sz="2" w:space="0" w:color="auto"/>
              <w:right w:val="single" w:sz="2" w:space="0" w:color="auto"/>
            </w:tcBorders>
            <w:shd w:val="clear" w:color="auto" w:fill="BFBFBF" w:themeFill="background1" w:themeFillShade="BF"/>
            <w:tcMar>
              <w:top w:w="0" w:type="dxa"/>
              <w:left w:w="86" w:type="dxa"/>
              <w:bottom w:w="43" w:type="dxa"/>
              <w:right w:w="86" w:type="dxa"/>
            </w:tcMar>
          </w:tcPr>
          <w:p w14:paraId="101648C8" w14:textId="77777777" w:rsidR="00F75C9A" w:rsidRPr="005D4222" w:rsidRDefault="00F75C9A" w:rsidP="00A53E8C">
            <w:pPr>
              <w:pStyle w:val="ECDSMarginHead"/>
            </w:pPr>
            <w:r w:rsidRPr="005D4222">
              <w:t>Summary of changes</w:t>
            </w:r>
          </w:p>
        </w:tc>
        <w:tc>
          <w:tcPr>
            <w:tcW w:w="7558" w:type="dxa"/>
            <w:tcBorders>
              <w:top w:val="single" w:sz="4" w:space="0" w:color="auto"/>
              <w:left w:val="single" w:sz="4" w:space="0" w:color="auto"/>
              <w:bottom w:val="single" w:sz="2" w:space="0" w:color="auto"/>
              <w:right w:val="single" w:sz="4" w:space="0" w:color="auto"/>
            </w:tcBorders>
            <w:tcMar>
              <w:top w:w="0" w:type="dxa"/>
              <w:left w:w="86" w:type="dxa"/>
              <w:bottom w:w="43" w:type="dxa"/>
              <w:right w:w="86" w:type="dxa"/>
            </w:tcMar>
          </w:tcPr>
          <w:p w14:paraId="41F2DC26" w14:textId="77777777" w:rsidR="00F75C9A" w:rsidRPr="005D4222" w:rsidRDefault="00F75C9A" w:rsidP="005D6173">
            <w:pPr>
              <w:pStyle w:val="ProcessBullet"/>
              <w:numPr>
                <w:ilvl w:val="0"/>
                <w:numId w:val="98"/>
              </w:numPr>
              <w:tabs>
                <w:tab w:val="left" w:pos="216"/>
              </w:tabs>
              <w:spacing w:before="120"/>
              <w:ind w:left="216" w:hanging="216"/>
            </w:pPr>
            <w:r w:rsidRPr="005D4222">
              <w:t xml:space="preserve">Removed the definitions of “participation” and “participation period.” </w:t>
            </w:r>
          </w:p>
          <w:p w14:paraId="1CF48030" w14:textId="77777777" w:rsidR="00F75C9A" w:rsidRPr="005D4222" w:rsidRDefault="00F75C9A" w:rsidP="005D6173">
            <w:pPr>
              <w:pStyle w:val="ProcessBullet"/>
              <w:numPr>
                <w:ilvl w:val="0"/>
                <w:numId w:val="98"/>
              </w:numPr>
              <w:ind w:left="216" w:hanging="216"/>
            </w:pPr>
            <w:r w:rsidRPr="005D4222">
              <w:t xml:space="preserve">Added provider assessments to the screening numerators 1, 3 and 5. </w:t>
            </w:r>
          </w:p>
          <w:p w14:paraId="6AE677DE" w14:textId="77777777" w:rsidR="00F75C9A" w:rsidRPr="005D4222" w:rsidRDefault="00F75C9A" w:rsidP="005D6173">
            <w:pPr>
              <w:pStyle w:val="ProcessBullet"/>
              <w:numPr>
                <w:ilvl w:val="0"/>
                <w:numId w:val="98"/>
              </w:numPr>
              <w:ind w:left="216" w:hanging="216"/>
            </w:pPr>
            <w:r w:rsidRPr="005D4222">
              <w:t xml:space="preserve">Added an additional method for identifying positive needs in denominators 2, 4 and 6.  </w:t>
            </w:r>
          </w:p>
          <w:p w14:paraId="269175F6" w14:textId="77777777" w:rsidR="00F75C9A" w:rsidRPr="005D4222" w:rsidRDefault="00F75C9A" w:rsidP="005D6173">
            <w:pPr>
              <w:pStyle w:val="ProcessBullet"/>
              <w:numPr>
                <w:ilvl w:val="0"/>
                <w:numId w:val="98"/>
              </w:numPr>
              <w:tabs>
                <w:tab w:val="left" w:pos="216"/>
              </w:tabs>
              <w:ind w:left="216" w:hanging="216"/>
              <w:rPr>
                <w:color w:val="000000" w:themeColor="text1"/>
              </w:rPr>
            </w:pPr>
            <w:r w:rsidRPr="005D4222">
              <w:rPr>
                <w:color w:val="000000" w:themeColor="text1"/>
              </w:rPr>
              <w:t xml:space="preserve">Removed health risk and behavior assessments from interventions in numerators 2, 4 and 6. </w:t>
            </w:r>
          </w:p>
          <w:p w14:paraId="35673104" w14:textId="77777777" w:rsidR="00F75C9A" w:rsidRPr="005D4222" w:rsidRDefault="00F75C9A" w:rsidP="005D6173">
            <w:pPr>
              <w:pStyle w:val="ProcessBullet"/>
              <w:numPr>
                <w:ilvl w:val="0"/>
                <w:numId w:val="98"/>
              </w:numPr>
              <w:tabs>
                <w:tab w:val="left" w:pos="216"/>
              </w:tabs>
              <w:ind w:left="216" w:hanging="216"/>
              <w:rPr>
                <w:color w:val="000000" w:themeColor="text1"/>
              </w:rPr>
            </w:pPr>
            <w:r w:rsidRPr="005D4222">
              <w:rPr>
                <w:color w:val="000000" w:themeColor="text1"/>
              </w:rPr>
              <w:t>Added community health integration service and principal navigator service codes to the intervention numerators.</w:t>
            </w:r>
          </w:p>
          <w:p w14:paraId="52D02757" w14:textId="77777777" w:rsidR="00F75C9A" w:rsidRPr="005D4222" w:rsidRDefault="00F75C9A" w:rsidP="005D6173">
            <w:pPr>
              <w:pStyle w:val="ProcessBullet"/>
              <w:numPr>
                <w:ilvl w:val="0"/>
                <w:numId w:val="98"/>
              </w:numPr>
              <w:ind w:left="216" w:hanging="216"/>
            </w:pPr>
            <w:r w:rsidRPr="005D4222">
              <w:rPr>
                <w:color w:val="000000" w:themeColor="text1"/>
              </w:rPr>
              <w:t xml:space="preserve">Removed the age requirement for exclusion of Medicare enrollees in an </w:t>
            </w:r>
            <w:r w:rsidRPr="005D4222">
              <w:rPr>
                <w:color w:val="000000" w:themeColor="text1"/>
              </w:rPr>
              <w:br/>
              <w:t>institutional SNP (I-SNP) or living long-term in an institution (LTI).</w:t>
            </w:r>
          </w:p>
          <w:p w14:paraId="168219FC" w14:textId="77777777" w:rsidR="00F75C9A" w:rsidRPr="005D4222" w:rsidRDefault="00F75C9A" w:rsidP="005D6173">
            <w:pPr>
              <w:pStyle w:val="ProcessBullet"/>
              <w:numPr>
                <w:ilvl w:val="0"/>
                <w:numId w:val="98"/>
              </w:numPr>
              <w:tabs>
                <w:tab w:val="left" w:pos="216"/>
              </w:tabs>
              <w:spacing w:after="80"/>
              <w:ind w:left="216" w:hanging="216"/>
            </w:pPr>
            <w:r w:rsidRPr="005D4222">
              <w:t>Removed the SSoR exclusions data elements from the data element tables.</w:t>
            </w:r>
          </w:p>
        </w:tc>
      </w:tr>
      <w:tr w:rsidR="00F75C9A" w:rsidRPr="005D4222" w14:paraId="09C1F92D" w14:textId="77777777" w:rsidTr="00A53E8C">
        <w:tc>
          <w:tcPr>
            <w:tcW w:w="2156" w:type="dxa"/>
            <w:gridSpan w:val="2"/>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8538699" w14:textId="77777777" w:rsidR="00F75C9A" w:rsidRPr="005D4222" w:rsidRDefault="00F75C9A" w:rsidP="00A53E8C">
            <w:pPr>
              <w:pStyle w:val="ECDSMarginHead"/>
            </w:pPr>
            <w:r w:rsidRPr="005D4222">
              <w:t>Data element tables</w:t>
            </w:r>
          </w:p>
        </w:tc>
        <w:tc>
          <w:tcPr>
            <w:tcW w:w="7558"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759EF816" w14:textId="77777777" w:rsidR="00DC3950" w:rsidRPr="005D4222" w:rsidRDefault="00DC3950" w:rsidP="00DC3950">
            <w:pPr>
              <w:pStyle w:val="Heading3"/>
              <w:spacing w:before="120"/>
              <w:rPr>
                <w:rFonts w:eastAsia="Arial" w:cs="Times New Roman"/>
                <w:b w:val="0"/>
                <w:i w:val="0"/>
                <w:sz w:val="21"/>
                <w:szCs w:val="21"/>
              </w:rPr>
            </w:pPr>
            <w:r w:rsidRPr="005D4222">
              <w:rPr>
                <w:rFonts w:eastAsia="Arial" w:cs="Times New Roman"/>
                <w:b w:val="0"/>
                <w:i w:val="0"/>
                <w:sz w:val="21"/>
                <w:szCs w:val="21"/>
              </w:rPr>
              <w:t xml:space="preserve">Organizations that submit HEDIS data to NCQA must provide the following data elements. </w:t>
            </w:r>
          </w:p>
          <w:p w14:paraId="6DF8A92A" w14:textId="043FFB2F" w:rsidR="00F75C9A" w:rsidRPr="005D4222" w:rsidRDefault="00F75C9A" w:rsidP="00A53E8C">
            <w:pPr>
              <w:pStyle w:val="Heading3"/>
              <w:spacing w:before="120"/>
            </w:pPr>
            <w:r w:rsidRPr="005D4222">
              <w:t>Table SNS-E-</w:t>
            </w:r>
            <w:r w:rsidR="00C1217E" w:rsidRPr="005D4222">
              <w:t>1/2/3</w:t>
            </w:r>
            <w:r w:rsidRPr="005D4222">
              <w:t xml:space="preserve">: Metadata Elements for </w:t>
            </w:r>
            <w:r w:rsidRPr="005D4222">
              <w:rPr>
                <w:rFonts w:eastAsia="Arial,Arial,Arial,Arial,Arial,A"/>
              </w:rPr>
              <w:t>Social Need Screening and Intervention</w:t>
            </w:r>
          </w:p>
          <w:tbl>
            <w:tblPr>
              <w:tblW w:w="5000" w:type="pct"/>
              <w:tblLayout w:type="fixed"/>
              <w:tblLook w:val="04A0" w:firstRow="1" w:lastRow="0" w:firstColumn="1" w:lastColumn="0" w:noHBand="0" w:noVBand="1"/>
            </w:tblPr>
            <w:tblGrid>
              <w:gridCol w:w="2436"/>
              <w:gridCol w:w="720"/>
              <w:gridCol w:w="1440"/>
              <w:gridCol w:w="2780"/>
            </w:tblGrid>
            <w:tr w:rsidR="00F75C9A" w:rsidRPr="005D4222" w14:paraId="0FDEB4FC" w14:textId="77777777" w:rsidTr="00A53E8C">
              <w:trPr>
                <w:trHeight w:val="335"/>
              </w:trPr>
              <w:tc>
                <w:tcPr>
                  <w:tcW w:w="2437" w:type="dxa"/>
                  <w:tcBorders>
                    <w:top w:val="single" w:sz="4" w:space="0" w:color="auto"/>
                    <w:left w:val="single" w:sz="4" w:space="0" w:color="auto"/>
                    <w:bottom w:val="single" w:sz="4" w:space="0" w:color="auto"/>
                    <w:right w:val="single" w:sz="4" w:space="0" w:color="FFFFFF" w:themeColor="background1"/>
                  </w:tcBorders>
                  <w:shd w:val="clear" w:color="auto" w:fill="000000" w:themeFill="text1"/>
                  <w:noWrap/>
                  <w:tcMar>
                    <w:left w:w="86" w:type="dxa"/>
                    <w:right w:w="86" w:type="dxa"/>
                  </w:tcMar>
                  <w:vAlign w:val="center"/>
                  <w:hideMark/>
                </w:tcPr>
                <w:p w14:paraId="777E90EA" w14:textId="77777777" w:rsidR="00F75C9A" w:rsidRPr="005D4222" w:rsidRDefault="00F75C9A" w:rsidP="00A53E8C">
                  <w:pPr>
                    <w:pStyle w:val="TableHead"/>
                    <w:rPr>
                      <w:color w:val="auto"/>
                      <w:kern w:val="20"/>
                    </w:rPr>
                  </w:pPr>
                  <w:r w:rsidRPr="005D4222">
                    <w:rPr>
                      <w:color w:val="auto"/>
                      <w:kern w:val="20"/>
                    </w:rPr>
                    <w:t>Metric</w:t>
                  </w:r>
                </w:p>
              </w:tc>
              <w:tc>
                <w:tcPr>
                  <w:tcW w:w="72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cMar>
                    <w:left w:w="86" w:type="dxa"/>
                    <w:right w:w="86" w:type="dxa"/>
                  </w:tcMar>
                  <w:hideMark/>
                </w:tcPr>
                <w:p w14:paraId="4D8A4722" w14:textId="77777777" w:rsidR="00F75C9A" w:rsidRPr="005D4222" w:rsidRDefault="00F75C9A" w:rsidP="00A53E8C">
                  <w:pPr>
                    <w:pStyle w:val="TableHead"/>
                    <w:rPr>
                      <w:color w:val="auto"/>
                      <w:kern w:val="20"/>
                    </w:rPr>
                  </w:pPr>
                  <w:r w:rsidRPr="005D4222">
                    <w:rPr>
                      <w:color w:val="auto"/>
                      <w:kern w:val="20"/>
                    </w:rPr>
                    <w:t>Age</w:t>
                  </w:r>
                </w:p>
              </w:tc>
              <w:tc>
                <w:tcPr>
                  <w:tcW w:w="144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noWrap/>
                  <w:tcMar>
                    <w:left w:w="86" w:type="dxa"/>
                    <w:right w:w="86" w:type="dxa"/>
                  </w:tcMar>
                  <w:vAlign w:val="center"/>
                  <w:hideMark/>
                </w:tcPr>
                <w:p w14:paraId="4CD7D35E" w14:textId="77777777" w:rsidR="00F75C9A" w:rsidRPr="005D4222" w:rsidRDefault="00F75C9A" w:rsidP="00A53E8C">
                  <w:pPr>
                    <w:pStyle w:val="TableHead"/>
                    <w:rPr>
                      <w:color w:val="auto"/>
                      <w:kern w:val="20"/>
                    </w:rPr>
                  </w:pPr>
                  <w:r w:rsidRPr="005D4222">
                    <w:rPr>
                      <w:color w:val="auto"/>
                      <w:kern w:val="20"/>
                    </w:rPr>
                    <w:t>Data Element</w:t>
                  </w:r>
                </w:p>
              </w:tc>
              <w:tc>
                <w:tcPr>
                  <w:tcW w:w="2781" w:type="dxa"/>
                  <w:tcBorders>
                    <w:top w:val="single" w:sz="4" w:space="0" w:color="auto"/>
                    <w:left w:val="single" w:sz="4" w:space="0" w:color="FFFFFF" w:themeColor="background1"/>
                    <w:bottom w:val="single" w:sz="4" w:space="0" w:color="auto"/>
                    <w:right w:val="single" w:sz="4" w:space="0" w:color="auto"/>
                  </w:tcBorders>
                  <w:shd w:val="clear" w:color="auto" w:fill="000000" w:themeFill="text1"/>
                  <w:tcMar>
                    <w:left w:w="86" w:type="dxa"/>
                    <w:right w:w="86" w:type="dxa"/>
                  </w:tcMar>
                  <w:vAlign w:val="center"/>
                  <w:hideMark/>
                </w:tcPr>
                <w:p w14:paraId="0ED4AC32" w14:textId="77777777" w:rsidR="00F75C9A" w:rsidRPr="005D4222" w:rsidRDefault="00F75C9A" w:rsidP="00A53E8C">
                  <w:pPr>
                    <w:pStyle w:val="TableHead"/>
                    <w:rPr>
                      <w:color w:val="auto"/>
                      <w:kern w:val="20"/>
                    </w:rPr>
                  </w:pPr>
                  <w:r w:rsidRPr="005D4222">
                    <w:rPr>
                      <w:color w:val="auto"/>
                      <w:kern w:val="20"/>
                    </w:rPr>
                    <w:t>Reporting Instructions</w:t>
                  </w:r>
                </w:p>
              </w:tc>
            </w:tr>
            <w:tr w:rsidR="00F75C9A" w:rsidRPr="005D4222" w14:paraId="64EB2C8D" w14:textId="77777777" w:rsidTr="00A53E8C">
              <w:trPr>
                <w:trHeight w:val="335"/>
              </w:trPr>
              <w:tc>
                <w:tcPr>
                  <w:tcW w:w="2437"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86" w:type="dxa"/>
                    <w:right w:w="86" w:type="dxa"/>
                  </w:tcMar>
                  <w:hideMark/>
                </w:tcPr>
                <w:p w14:paraId="6DD1F193" w14:textId="77777777" w:rsidR="00F75C9A" w:rsidRPr="005D4222" w:rsidRDefault="00F75C9A" w:rsidP="00A53E8C">
                  <w:pPr>
                    <w:pStyle w:val="TableText"/>
                    <w:spacing w:before="40"/>
                    <w:rPr>
                      <w:kern w:val="20"/>
                      <w:szCs w:val="21"/>
                    </w:rPr>
                  </w:pPr>
                  <w:r w:rsidRPr="005D4222">
                    <w:rPr>
                      <w:kern w:val="20"/>
                      <w:szCs w:val="21"/>
                    </w:rPr>
                    <w:t>FoodScreening</w:t>
                  </w:r>
                  <w:r w:rsidRPr="005D4222">
                    <w:rPr>
                      <w:b/>
                      <w:bCs/>
                      <w:kern w:val="20"/>
                      <w:szCs w:val="21"/>
                    </w:rPr>
                    <w:t>*</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tcMar>
                    <w:left w:w="86" w:type="dxa"/>
                    <w:right w:w="86" w:type="dxa"/>
                  </w:tcMar>
                  <w:hideMark/>
                </w:tcPr>
                <w:p w14:paraId="2A2D7FED" w14:textId="77777777" w:rsidR="00F75C9A" w:rsidRPr="005D4222" w:rsidRDefault="00F75C9A" w:rsidP="00A53E8C">
                  <w:pPr>
                    <w:pStyle w:val="TableText"/>
                    <w:spacing w:before="40"/>
                    <w:rPr>
                      <w:kern w:val="20"/>
                      <w:szCs w:val="21"/>
                    </w:rPr>
                  </w:pPr>
                  <w:r w:rsidRPr="005D4222">
                    <w:rPr>
                      <w:kern w:val="20"/>
                      <w:szCs w:val="21"/>
                    </w:rPr>
                    <w:t>0-17</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86" w:type="dxa"/>
                    <w:right w:w="86" w:type="dxa"/>
                  </w:tcMar>
                  <w:hideMark/>
                </w:tcPr>
                <w:p w14:paraId="2E9173C0" w14:textId="77777777" w:rsidR="00F75C9A" w:rsidRPr="005D4222" w:rsidRDefault="00F75C9A" w:rsidP="00A53E8C">
                  <w:pPr>
                    <w:pStyle w:val="TableText"/>
                    <w:spacing w:before="40"/>
                    <w:rPr>
                      <w:kern w:val="20"/>
                      <w:szCs w:val="21"/>
                    </w:rPr>
                  </w:pPr>
                  <w:r w:rsidRPr="005D4222">
                    <w:rPr>
                      <w:kern w:val="20"/>
                      <w:szCs w:val="21"/>
                    </w:rPr>
                    <w:t>InitialPopulation</w:t>
                  </w:r>
                </w:p>
              </w:tc>
              <w:tc>
                <w:tcPr>
                  <w:tcW w:w="2781" w:type="dxa"/>
                  <w:tcBorders>
                    <w:top w:val="single" w:sz="4" w:space="0" w:color="auto"/>
                    <w:left w:val="single" w:sz="4" w:space="0" w:color="auto"/>
                    <w:bottom w:val="single" w:sz="4" w:space="0" w:color="auto"/>
                    <w:right w:val="single" w:sz="4" w:space="0" w:color="auto"/>
                  </w:tcBorders>
                  <w:shd w:val="clear" w:color="auto" w:fill="FFFFFF" w:themeFill="background1"/>
                  <w:tcMar>
                    <w:left w:w="86" w:type="dxa"/>
                    <w:right w:w="86" w:type="dxa"/>
                  </w:tcMar>
                  <w:hideMark/>
                </w:tcPr>
                <w:p w14:paraId="1D125FA0" w14:textId="77777777" w:rsidR="00F75C9A" w:rsidRPr="005D4222" w:rsidRDefault="00F75C9A" w:rsidP="00A53E8C">
                  <w:pPr>
                    <w:pStyle w:val="TableText"/>
                    <w:spacing w:before="40"/>
                    <w:rPr>
                      <w:kern w:val="20"/>
                      <w:szCs w:val="21"/>
                    </w:rPr>
                  </w:pPr>
                  <w:r w:rsidRPr="005D4222">
                    <w:rPr>
                      <w:kern w:val="20"/>
                      <w:szCs w:val="21"/>
                    </w:rPr>
                    <w:t>For each Metric and Stratification</w:t>
                  </w:r>
                </w:p>
              </w:tc>
            </w:tr>
            <w:tr w:rsidR="00F75C9A" w:rsidRPr="005D4222" w14:paraId="5FE2EEA0" w14:textId="77777777" w:rsidTr="00A53E8C">
              <w:trPr>
                <w:trHeight w:val="335"/>
              </w:trPr>
              <w:tc>
                <w:tcPr>
                  <w:tcW w:w="2437"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86" w:type="dxa"/>
                    <w:right w:w="86" w:type="dxa"/>
                  </w:tcMar>
                  <w:hideMark/>
                </w:tcPr>
                <w:p w14:paraId="2D191C9A" w14:textId="77777777" w:rsidR="00F75C9A" w:rsidRPr="005D4222" w:rsidRDefault="00F75C9A" w:rsidP="00A53E8C">
                  <w:pPr>
                    <w:pStyle w:val="TableText"/>
                    <w:spacing w:before="40"/>
                    <w:rPr>
                      <w:kern w:val="20"/>
                      <w:szCs w:val="21"/>
                    </w:rPr>
                  </w:pPr>
                  <w:r w:rsidRPr="005D4222">
                    <w:rPr>
                      <w:kern w:val="20"/>
                      <w:szCs w:val="21"/>
                    </w:rPr>
                    <w:t xml:space="preserve">FoodIntervention </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tcMar>
                    <w:left w:w="86" w:type="dxa"/>
                    <w:right w:w="86" w:type="dxa"/>
                  </w:tcMar>
                  <w:hideMark/>
                </w:tcPr>
                <w:p w14:paraId="376B11B1" w14:textId="77777777" w:rsidR="00F75C9A" w:rsidRPr="005D4222" w:rsidRDefault="00F75C9A" w:rsidP="00A53E8C">
                  <w:pPr>
                    <w:pStyle w:val="TableText"/>
                    <w:spacing w:before="40"/>
                    <w:rPr>
                      <w:kern w:val="20"/>
                      <w:szCs w:val="21"/>
                    </w:rPr>
                  </w:pPr>
                  <w:r w:rsidRPr="005D4222">
                    <w:rPr>
                      <w:kern w:val="20"/>
                      <w:szCs w:val="21"/>
                    </w:rPr>
                    <w:t>18-64</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86" w:type="dxa"/>
                    <w:right w:w="86" w:type="dxa"/>
                  </w:tcMar>
                  <w:hideMark/>
                </w:tcPr>
                <w:p w14:paraId="219293A9" w14:textId="77777777" w:rsidR="00F75C9A" w:rsidRPr="005D4222" w:rsidRDefault="00F75C9A" w:rsidP="00A53E8C">
                  <w:pPr>
                    <w:pStyle w:val="TableText"/>
                    <w:spacing w:before="40"/>
                    <w:rPr>
                      <w:kern w:val="20"/>
                      <w:szCs w:val="21"/>
                    </w:rPr>
                  </w:pPr>
                  <w:r w:rsidRPr="005D4222">
                    <w:rPr>
                      <w:kern w:val="20"/>
                      <w:szCs w:val="21"/>
                    </w:rPr>
                    <w:t>Exclusions</w:t>
                  </w:r>
                </w:p>
              </w:tc>
              <w:tc>
                <w:tcPr>
                  <w:tcW w:w="2781" w:type="dxa"/>
                  <w:tcBorders>
                    <w:top w:val="single" w:sz="4" w:space="0" w:color="auto"/>
                    <w:left w:val="single" w:sz="4" w:space="0" w:color="auto"/>
                    <w:bottom w:val="single" w:sz="4" w:space="0" w:color="auto"/>
                    <w:right w:val="single" w:sz="4" w:space="0" w:color="auto"/>
                  </w:tcBorders>
                  <w:shd w:val="clear" w:color="auto" w:fill="FFFFFF" w:themeFill="background1"/>
                  <w:tcMar>
                    <w:left w:w="86" w:type="dxa"/>
                    <w:right w:w="86" w:type="dxa"/>
                  </w:tcMar>
                  <w:hideMark/>
                </w:tcPr>
                <w:p w14:paraId="0F378480" w14:textId="77777777" w:rsidR="00F75C9A" w:rsidRPr="005D4222" w:rsidRDefault="00F75C9A" w:rsidP="00A53E8C">
                  <w:pPr>
                    <w:pStyle w:val="TableText"/>
                    <w:spacing w:before="40"/>
                    <w:rPr>
                      <w:kern w:val="20"/>
                      <w:szCs w:val="21"/>
                    </w:rPr>
                  </w:pPr>
                  <w:r w:rsidRPr="005D4222">
                    <w:rPr>
                      <w:kern w:val="20"/>
                      <w:szCs w:val="21"/>
                    </w:rPr>
                    <w:t>For each Metric and Stratification</w:t>
                  </w:r>
                </w:p>
              </w:tc>
            </w:tr>
            <w:tr w:rsidR="00F75C9A" w:rsidRPr="005D4222" w14:paraId="2CD7A1AC" w14:textId="77777777" w:rsidTr="00A53E8C">
              <w:trPr>
                <w:trHeight w:val="335"/>
              </w:trPr>
              <w:tc>
                <w:tcPr>
                  <w:tcW w:w="2437"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86" w:type="dxa"/>
                    <w:right w:w="86" w:type="dxa"/>
                  </w:tcMar>
                  <w:hideMark/>
                </w:tcPr>
                <w:p w14:paraId="1FE95EF2" w14:textId="77777777" w:rsidR="00F75C9A" w:rsidRPr="005D4222" w:rsidRDefault="00F75C9A" w:rsidP="00A53E8C">
                  <w:pPr>
                    <w:pStyle w:val="TableText"/>
                    <w:spacing w:before="40"/>
                    <w:rPr>
                      <w:kern w:val="20"/>
                      <w:szCs w:val="21"/>
                    </w:rPr>
                  </w:pPr>
                  <w:r w:rsidRPr="005D4222">
                    <w:rPr>
                      <w:kern w:val="20"/>
                      <w:szCs w:val="21"/>
                    </w:rPr>
                    <w:t>HousingScreening</w:t>
                  </w:r>
                  <w:r w:rsidRPr="005D4222">
                    <w:rPr>
                      <w:b/>
                      <w:bCs/>
                      <w:kern w:val="20"/>
                      <w:szCs w:val="21"/>
                    </w:rPr>
                    <w:t>*</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tcMar>
                    <w:left w:w="86" w:type="dxa"/>
                    <w:right w:w="86" w:type="dxa"/>
                  </w:tcMar>
                  <w:hideMark/>
                </w:tcPr>
                <w:p w14:paraId="56EC3631" w14:textId="77777777" w:rsidR="00F75C9A" w:rsidRPr="005D4222" w:rsidRDefault="00F75C9A" w:rsidP="00A53E8C">
                  <w:pPr>
                    <w:pStyle w:val="TableText"/>
                    <w:spacing w:before="40"/>
                    <w:rPr>
                      <w:kern w:val="20"/>
                      <w:szCs w:val="21"/>
                    </w:rPr>
                  </w:pPr>
                  <w:r w:rsidRPr="005D4222">
                    <w:rPr>
                      <w:kern w:val="20"/>
                      <w:szCs w:val="21"/>
                    </w:rPr>
                    <w:t>65+</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86" w:type="dxa"/>
                    <w:right w:w="86" w:type="dxa"/>
                  </w:tcMar>
                  <w:hideMark/>
                </w:tcPr>
                <w:p w14:paraId="3EE7CC32" w14:textId="77777777" w:rsidR="00F75C9A" w:rsidRPr="005D4222" w:rsidRDefault="00F75C9A" w:rsidP="00A53E8C">
                  <w:pPr>
                    <w:pStyle w:val="TableText"/>
                    <w:spacing w:before="40"/>
                    <w:rPr>
                      <w:kern w:val="20"/>
                      <w:szCs w:val="21"/>
                    </w:rPr>
                  </w:pPr>
                  <w:r w:rsidRPr="005D4222">
                    <w:rPr>
                      <w:kern w:val="20"/>
                      <w:szCs w:val="21"/>
                    </w:rPr>
                    <w:t>Denominator</w:t>
                  </w:r>
                </w:p>
              </w:tc>
              <w:tc>
                <w:tcPr>
                  <w:tcW w:w="2781" w:type="dxa"/>
                  <w:tcBorders>
                    <w:top w:val="single" w:sz="4" w:space="0" w:color="auto"/>
                    <w:left w:val="single" w:sz="4" w:space="0" w:color="auto"/>
                    <w:bottom w:val="single" w:sz="4" w:space="0" w:color="auto"/>
                    <w:right w:val="single" w:sz="4" w:space="0" w:color="auto"/>
                  </w:tcBorders>
                  <w:shd w:val="clear" w:color="auto" w:fill="FFFFFF" w:themeFill="background1"/>
                  <w:tcMar>
                    <w:left w:w="86" w:type="dxa"/>
                    <w:right w:w="86" w:type="dxa"/>
                  </w:tcMar>
                  <w:hideMark/>
                </w:tcPr>
                <w:p w14:paraId="5D915E33" w14:textId="77777777" w:rsidR="00F75C9A" w:rsidRPr="005D4222" w:rsidRDefault="00F75C9A" w:rsidP="00A53E8C">
                  <w:pPr>
                    <w:pStyle w:val="TableText"/>
                    <w:spacing w:before="40"/>
                    <w:rPr>
                      <w:kern w:val="20"/>
                      <w:szCs w:val="21"/>
                    </w:rPr>
                  </w:pPr>
                  <w:r w:rsidRPr="005D4222">
                    <w:rPr>
                      <w:kern w:val="20"/>
                      <w:szCs w:val="21"/>
                    </w:rPr>
                    <w:t>For each Metric and Stratification</w:t>
                  </w:r>
                </w:p>
              </w:tc>
            </w:tr>
            <w:tr w:rsidR="00F75C9A" w:rsidRPr="005D4222" w14:paraId="2536BF66" w14:textId="77777777" w:rsidTr="00A53E8C">
              <w:trPr>
                <w:trHeight w:val="335"/>
              </w:trPr>
              <w:tc>
                <w:tcPr>
                  <w:tcW w:w="2437"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86" w:type="dxa"/>
                    <w:right w:w="86" w:type="dxa"/>
                  </w:tcMar>
                  <w:hideMark/>
                </w:tcPr>
                <w:p w14:paraId="67620079" w14:textId="77777777" w:rsidR="00F75C9A" w:rsidRPr="005D4222" w:rsidRDefault="00F75C9A" w:rsidP="00A53E8C">
                  <w:pPr>
                    <w:pStyle w:val="TableText"/>
                    <w:spacing w:before="40"/>
                    <w:rPr>
                      <w:kern w:val="20"/>
                      <w:szCs w:val="21"/>
                    </w:rPr>
                  </w:pPr>
                  <w:r w:rsidRPr="005D4222">
                    <w:rPr>
                      <w:kern w:val="20"/>
                      <w:szCs w:val="21"/>
                    </w:rPr>
                    <w:t>HousingIntervention</w:t>
                  </w:r>
                </w:p>
              </w:tc>
              <w:tc>
                <w:tcPr>
                  <w:tcW w:w="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86" w:type="dxa"/>
                    <w:right w:w="86" w:type="dxa"/>
                  </w:tcMar>
                  <w:hideMark/>
                </w:tcPr>
                <w:p w14:paraId="35B91C9E" w14:textId="77777777" w:rsidR="00F75C9A" w:rsidRPr="005D4222" w:rsidRDefault="00F75C9A" w:rsidP="00A53E8C">
                  <w:pPr>
                    <w:pStyle w:val="TableText"/>
                    <w:spacing w:before="40"/>
                  </w:pPr>
                  <w:r w:rsidRPr="005D4222">
                    <w:rPr>
                      <w:kern w:val="20"/>
                    </w:rPr>
                    <w:t>Total</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86" w:type="dxa"/>
                    <w:right w:w="86" w:type="dxa"/>
                  </w:tcMar>
                  <w:hideMark/>
                </w:tcPr>
                <w:p w14:paraId="198B9A24" w14:textId="77777777" w:rsidR="00F75C9A" w:rsidRPr="005D4222" w:rsidRDefault="00F75C9A" w:rsidP="00A53E8C">
                  <w:pPr>
                    <w:pStyle w:val="TableText"/>
                    <w:spacing w:before="40"/>
                    <w:rPr>
                      <w:kern w:val="20"/>
                      <w:szCs w:val="21"/>
                    </w:rPr>
                  </w:pPr>
                  <w:r w:rsidRPr="005D4222">
                    <w:rPr>
                      <w:kern w:val="20"/>
                      <w:szCs w:val="21"/>
                    </w:rPr>
                    <w:t>Numerator</w:t>
                  </w:r>
                </w:p>
              </w:tc>
              <w:tc>
                <w:tcPr>
                  <w:tcW w:w="2781" w:type="dxa"/>
                  <w:tcBorders>
                    <w:top w:val="single" w:sz="4" w:space="0" w:color="auto"/>
                    <w:left w:val="single" w:sz="4" w:space="0" w:color="auto"/>
                    <w:bottom w:val="single" w:sz="4" w:space="0" w:color="auto"/>
                    <w:right w:val="single" w:sz="4" w:space="0" w:color="auto"/>
                  </w:tcBorders>
                  <w:shd w:val="clear" w:color="auto" w:fill="FFFFFF" w:themeFill="background1"/>
                  <w:tcMar>
                    <w:left w:w="86" w:type="dxa"/>
                    <w:right w:w="86" w:type="dxa"/>
                  </w:tcMar>
                  <w:hideMark/>
                </w:tcPr>
                <w:p w14:paraId="1BA50829" w14:textId="77777777" w:rsidR="00F75C9A" w:rsidRPr="005D4222" w:rsidRDefault="00F75C9A" w:rsidP="00A53E8C">
                  <w:pPr>
                    <w:pStyle w:val="TableText"/>
                    <w:spacing w:before="40"/>
                    <w:rPr>
                      <w:kern w:val="20"/>
                      <w:szCs w:val="21"/>
                    </w:rPr>
                  </w:pPr>
                  <w:r w:rsidRPr="005D4222">
                    <w:rPr>
                      <w:kern w:val="20"/>
                      <w:szCs w:val="21"/>
                    </w:rPr>
                    <w:t>For each Metric and Stratification</w:t>
                  </w:r>
                  <w:r w:rsidRPr="005D4222" w:rsidDel="00A72008">
                    <w:rPr>
                      <w:kern w:val="20"/>
                      <w:szCs w:val="21"/>
                    </w:rPr>
                    <w:t xml:space="preserve"> </w:t>
                  </w:r>
                </w:p>
              </w:tc>
            </w:tr>
            <w:tr w:rsidR="00F75C9A" w:rsidRPr="005D4222" w14:paraId="38B26B2C" w14:textId="77777777" w:rsidTr="00A53E8C">
              <w:trPr>
                <w:trHeight w:val="335"/>
              </w:trPr>
              <w:tc>
                <w:tcPr>
                  <w:tcW w:w="2437"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86" w:type="dxa"/>
                    <w:right w:w="86" w:type="dxa"/>
                  </w:tcMar>
                  <w:hideMark/>
                </w:tcPr>
                <w:p w14:paraId="40596FDD" w14:textId="77777777" w:rsidR="00F75C9A" w:rsidRPr="005D4222" w:rsidRDefault="00F75C9A" w:rsidP="00A53E8C">
                  <w:pPr>
                    <w:pStyle w:val="TableText"/>
                    <w:spacing w:before="40"/>
                    <w:rPr>
                      <w:kern w:val="20"/>
                      <w:szCs w:val="21"/>
                    </w:rPr>
                  </w:pPr>
                  <w:r w:rsidRPr="005D4222">
                    <w:rPr>
                      <w:kern w:val="20"/>
                      <w:szCs w:val="21"/>
                    </w:rPr>
                    <w:t>TransportationScreening</w:t>
                  </w:r>
                  <w:r w:rsidRPr="005D4222">
                    <w:rPr>
                      <w:b/>
                      <w:bCs/>
                      <w:kern w:val="20"/>
                      <w:szCs w:val="21"/>
                    </w:rPr>
                    <w:t>*</w:t>
                  </w:r>
                </w:p>
              </w:tc>
              <w:tc>
                <w:tcPr>
                  <w:tcW w:w="720" w:type="dxa"/>
                  <w:tcBorders>
                    <w:top w:val="single" w:sz="4" w:space="0" w:color="auto"/>
                    <w:left w:val="single" w:sz="4" w:space="0" w:color="auto"/>
                    <w:bottom w:val="nil"/>
                    <w:right w:val="single" w:sz="4" w:space="0" w:color="auto"/>
                  </w:tcBorders>
                  <w:tcMar>
                    <w:left w:w="86" w:type="dxa"/>
                    <w:right w:w="86" w:type="dxa"/>
                  </w:tcMar>
                </w:tcPr>
                <w:p w14:paraId="422559E3" w14:textId="77777777" w:rsidR="00F75C9A" w:rsidRPr="005D4222" w:rsidRDefault="00F75C9A" w:rsidP="00A53E8C">
                  <w:pPr>
                    <w:pStyle w:val="TableText"/>
                    <w:spacing w:before="40"/>
                    <w:rPr>
                      <w:kern w:val="20"/>
                      <w:szCs w:val="21"/>
                    </w:rPr>
                  </w:pPr>
                </w:p>
              </w:tc>
              <w:tc>
                <w:tcPr>
                  <w:tcW w:w="1440" w:type="dxa"/>
                  <w:tcBorders>
                    <w:top w:val="single" w:sz="4" w:space="0" w:color="auto"/>
                    <w:left w:val="single" w:sz="4" w:space="0" w:color="auto"/>
                    <w:right w:val="single" w:sz="4" w:space="0" w:color="auto"/>
                  </w:tcBorders>
                  <w:shd w:val="clear" w:color="auto" w:fill="D9D9D9" w:themeFill="background1" w:themeFillShade="D9"/>
                  <w:noWrap/>
                  <w:tcMar>
                    <w:left w:w="86" w:type="dxa"/>
                    <w:right w:w="86" w:type="dxa"/>
                  </w:tcMar>
                  <w:hideMark/>
                </w:tcPr>
                <w:p w14:paraId="2DF622D2" w14:textId="77777777" w:rsidR="00F75C9A" w:rsidRPr="005D4222" w:rsidRDefault="00F75C9A" w:rsidP="00A53E8C">
                  <w:pPr>
                    <w:pStyle w:val="TableText"/>
                    <w:spacing w:before="40"/>
                    <w:rPr>
                      <w:kern w:val="20"/>
                      <w:szCs w:val="21"/>
                    </w:rPr>
                  </w:pPr>
                  <w:r w:rsidRPr="005D4222">
                    <w:rPr>
                      <w:kern w:val="20"/>
                      <w:szCs w:val="21"/>
                    </w:rPr>
                    <w:t>Rate</w:t>
                  </w:r>
                </w:p>
              </w:tc>
              <w:tc>
                <w:tcPr>
                  <w:tcW w:w="278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86" w:type="dxa"/>
                    <w:right w:w="86" w:type="dxa"/>
                  </w:tcMar>
                  <w:hideMark/>
                </w:tcPr>
                <w:p w14:paraId="56A2A575" w14:textId="77777777" w:rsidR="00F75C9A" w:rsidRPr="005D4222" w:rsidRDefault="00F75C9A" w:rsidP="00A53E8C">
                  <w:pPr>
                    <w:pStyle w:val="TableText"/>
                    <w:spacing w:before="40"/>
                    <w:rPr>
                      <w:kern w:val="20"/>
                      <w:szCs w:val="21"/>
                    </w:rPr>
                  </w:pPr>
                  <w:r w:rsidRPr="005D4222">
                    <w:rPr>
                      <w:kern w:val="20"/>
                      <w:szCs w:val="21"/>
                    </w:rPr>
                    <w:t>(Percent)</w:t>
                  </w:r>
                </w:p>
              </w:tc>
            </w:tr>
            <w:tr w:rsidR="00F75C9A" w:rsidRPr="005D4222" w14:paraId="3C7ED9B9" w14:textId="77777777" w:rsidTr="00A53E8C">
              <w:trPr>
                <w:trHeight w:val="269"/>
              </w:trPr>
              <w:tc>
                <w:tcPr>
                  <w:tcW w:w="2437" w:type="dxa"/>
                  <w:tcBorders>
                    <w:top w:val="single" w:sz="4" w:space="0" w:color="auto"/>
                    <w:left w:val="single" w:sz="4" w:space="0" w:color="auto"/>
                    <w:bottom w:val="single" w:sz="4" w:space="0" w:color="auto"/>
                    <w:right w:val="single" w:sz="4" w:space="0" w:color="auto"/>
                  </w:tcBorders>
                  <w:shd w:val="clear" w:color="auto" w:fill="FFFFFF" w:themeFill="background1"/>
                  <w:noWrap/>
                  <w:tcMar>
                    <w:left w:w="86" w:type="dxa"/>
                    <w:right w:w="86" w:type="dxa"/>
                  </w:tcMar>
                  <w:hideMark/>
                </w:tcPr>
                <w:p w14:paraId="2FC63F84" w14:textId="77777777" w:rsidR="00F75C9A" w:rsidRPr="005D4222" w:rsidRDefault="00F75C9A" w:rsidP="00A53E8C">
                  <w:pPr>
                    <w:pStyle w:val="TableText"/>
                    <w:spacing w:before="40"/>
                    <w:rPr>
                      <w:kern w:val="20"/>
                      <w:szCs w:val="21"/>
                    </w:rPr>
                  </w:pPr>
                  <w:r w:rsidRPr="005D4222">
                    <w:rPr>
                      <w:kern w:val="20"/>
                      <w:szCs w:val="21"/>
                    </w:rPr>
                    <w:t>TransportationIntervention</w:t>
                  </w:r>
                </w:p>
              </w:tc>
              <w:tc>
                <w:tcPr>
                  <w:tcW w:w="720" w:type="dxa"/>
                  <w:tcBorders>
                    <w:top w:val="nil"/>
                    <w:left w:val="single" w:sz="4" w:space="0" w:color="auto"/>
                    <w:bottom w:val="nil"/>
                  </w:tcBorders>
                  <w:tcMar>
                    <w:left w:w="86" w:type="dxa"/>
                    <w:right w:w="86" w:type="dxa"/>
                  </w:tcMar>
                </w:tcPr>
                <w:p w14:paraId="637F7E32" w14:textId="77777777" w:rsidR="00F75C9A" w:rsidRPr="005D4222" w:rsidRDefault="00F75C9A" w:rsidP="00A53E8C">
                  <w:pPr>
                    <w:pStyle w:val="TableText"/>
                    <w:spacing w:before="40"/>
                    <w:rPr>
                      <w:kern w:val="20"/>
                      <w:szCs w:val="21"/>
                    </w:rPr>
                  </w:pPr>
                </w:p>
              </w:tc>
              <w:tc>
                <w:tcPr>
                  <w:tcW w:w="1440" w:type="dxa"/>
                  <w:tcBorders>
                    <w:top w:val="single" w:sz="4" w:space="0" w:color="auto"/>
                  </w:tcBorders>
                  <w:noWrap/>
                  <w:tcMar>
                    <w:left w:w="86" w:type="dxa"/>
                    <w:right w:w="86" w:type="dxa"/>
                  </w:tcMar>
                </w:tcPr>
                <w:p w14:paraId="2D193CCD" w14:textId="77777777" w:rsidR="00F75C9A" w:rsidRPr="005D4222" w:rsidRDefault="00F75C9A" w:rsidP="00A53E8C">
                  <w:pPr>
                    <w:pStyle w:val="TableText"/>
                    <w:spacing w:before="40"/>
                    <w:rPr>
                      <w:kern w:val="20"/>
                      <w:szCs w:val="21"/>
                    </w:rPr>
                  </w:pPr>
                </w:p>
              </w:tc>
              <w:tc>
                <w:tcPr>
                  <w:tcW w:w="2781" w:type="dxa"/>
                  <w:tcBorders>
                    <w:top w:val="single" w:sz="4" w:space="0" w:color="auto"/>
                  </w:tcBorders>
                  <w:tcMar>
                    <w:left w:w="86" w:type="dxa"/>
                    <w:right w:w="86" w:type="dxa"/>
                  </w:tcMar>
                </w:tcPr>
                <w:p w14:paraId="3C3E48E2" w14:textId="77777777" w:rsidR="00F75C9A" w:rsidRPr="005D4222" w:rsidRDefault="00F75C9A" w:rsidP="00A53E8C">
                  <w:pPr>
                    <w:pStyle w:val="TableText"/>
                    <w:spacing w:before="40"/>
                    <w:rPr>
                      <w:kern w:val="20"/>
                      <w:szCs w:val="21"/>
                    </w:rPr>
                  </w:pPr>
                </w:p>
              </w:tc>
            </w:tr>
          </w:tbl>
          <w:p w14:paraId="69735CF4" w14:textId="77777777" w:rsidR="00F75C9A" w:rsidRPr="005D4222" w:rsidRDefault="00F75C9A" w:rsidP="00A53E8C">
            <w:pPr>
              <w:spacing w:before="120" w:after="80"/>
              <w:ind w:left="86" w:hanging="86"/>
              <w:rPr>
                <w:kern w:val="20"/>
              </w:rPr>
            </w:pPr>
            <w:r w:rsidRPr="005D4222">
              <w:rPr>
                <w:b/>
                <w:i/>
                <w:kern w:val="20"/>
              </w:rPr>
              <w:t>*</w:t>
            </w:r>
            <w:r w:rsidRPr="005D4222">
              <w:rPr>
                <w:b/>
                <w:i/>
                <w:kern w:val="20"/>
              </w:rPr>
              <w:tab/>
            </w:r>
            <w:r w:rsidRPr="005D4222">
              <w:rPr>
                <w:rStyle w:val="TableTextChar"/>
              </w:rPr>
              <w:t>These metrics share an initial population. Repeat the initial population, denominator and exclusions data elements for all three screening metrics.</w:t>
            </w:r>
          </w:p>
        </w:tc>
      </w:tr>
      <w:tr w:rsidR="00F75C9A" w:rsidRPr="005D4222" w14:paraId="13A9EC7B" w14:textId="77777777" w:rsidTr="00A53E8C">
        <w:tc>
          <w:tcPr>
            <w:tcW w:w="2156" w:type="dxa"/>
            <w:gridSpan w:val="2"/>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7180E27A" w14:textId="77777777" w:rsidR="00F75C9A" w:rsidRPr="005D4222" w:rsidRDefault="00F75C9A" w:rsidP="00A53E8C">
            <w:pPr>
              <w:pStyle w:val="ECDSMarginHead"/>
            </w:pPr>
            <w:r w:rsidRPr="005D4222">
              <w:t>Rules for Allowable Adjustments</w:t>
            </w:r>
          </w:p>
        </w:tc>
        <w:tc>
          <w:tcPr>
            <w:tcW w:w="7558"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53C04F2A" w14:textId="5F3405A5" w:rsidR="00BD378D" w:rsidRPr="005D4222" w:rsidRDefault="00F75C9A" w:rsidP="00BD378D">
            <w:pPr>
              <w:pStyle w:val="ECDSBody"/>
              <w:rPr>
                <w:i/>
                <w:iCs/>
              </w:rPr>
            </w:pPr>
            <w:r w:rsidRPr="005D4222">
              <w:rPr>
                <w:b/>
                <w:i/>
              </w:rPr>
              <w:t>Copyright and use:</w:t>
            </w:r>
            <w:r w:rsidRPr="005D4222">
              <w:t xml:space="preserv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p>
        </w:tc>
      </w:tr>
    </w:tbl>
    <w:p w14:paraId="78E1E593" w14:textId="77777777" w:rsidR="00F75C9A" w:rsidRPr="005D4222" w:rsidRDefault="00F75C9A" w:rsidP="00F75C9A"/>
    <w:tbl>
      <w:tblPr>
        <w:tblW w:w="500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6" w:type="dxa"/>
          <w:bottom w:w="40" w:type="dxa"/>
          <w:right w:w="86" w:type="dxa"/>
        </w:tblCellMar>
        <w:tblLook w:val="04A0" w:firstRow="1" w:lastRow="0" w:firstColumn="1" w:lastColumn="0" w:noHBand="0" w:noVBand="1"/>
      </w:tblPr>
      <w:tblGrid>
        <w:gridCol w:w="2156"/>
        <w:gridCol w:w="7558"/>
      </w:tblGrid>
      <w:tr w:rsidR="00F75C9A" w:rsidRPr="005D4222" w14:paraId="6136E097" w14:textId="77777777" w:rsidTr="00A53E8C">
        <w:tc>
          <w:tcPr>
            <w:tcW w:w="2156" w:type="dxa"/>
            <w:tcBorders>
              <w:top w:val="single" w:sz="4" w:space="0" w:color="auto"/>
              <w:left w:val="single" w:sz="2" w:space="0" w:color="auto"/>
              <w:bottom w:val="single" w:sz="4" w:space="0" w:color="auto"/>
              <w:right w:val="single" w:sz="2" w:space="0" w:color="auto"/>
            </w:tcBorders>
            <w:shd w:val="clear" w:color="auto" w:fill="BFBFBF" w:themeFill="background1" w:themeFillShade="BF"/>
            <w:tcMar>
              <w:top w:w="0" w:type="dxa"/>
              <w:left w:w="86" w:type="dxa"/>
              <w:bottom w:w="43" w:type="dxa"/>
              <w:right w:w="86" w:type="dxa"/>
            </w:tcMar>
          </w:tcPr>
          <w:p w14:paraId="0D312FC4" w14:textId="77777777" w:rsidR="00F75C9A" w:rsidRPr="005D4222" w:rsidRDefault="00F75C9A" w:rsidP="00A53E8C">
            <w:pPr>
              <w:pStyle w:val="ECDSMarginHead"/>
            </w:pPr>
          </w:p>
        </w:tc>
        <w:tc>
          <w:tcPr>
            <w:tcW w:w="7558" w:type="dxa"/>
            <w:tcBorders>
              <w:top w:val="single" w:sz="4" w:space="0" w:color="auto"/>
              <w:left w:val="single" w:sz="4" w:space="0" w:color="auto"/>
              <w:bottom w:val="single" w:sz="4" w:space="0" w:color="auto"/>
              <w:right w:val="single" w:sz="4" w:space="0" w:color="auto"/>
            </w:tcBorders>
            <w:tcMar>
              <w:top w:w="0" w:type="dxa"/>
              <w:left w:w="86" w:type="dxa"/>
              <w:bottom w:w="43" w:type="dxa"/>
              <w:right w:w="86" w:type="dxa"/>
            </w:tcMar>
          </w:tcPr>
          <w:p w14:paraId="2C9E7800" w14:textId="77777777" w:rsidR="00BD378D" w:rsidRPr="005D4222" w:rsidRDefault="00BD378D" w:rsidP="00BD378D">
            <w:pPr>
              <w:pStyle w:val="ECDSBody"/>
              <w:rPr>
                <w:b/>
              </w:rPr>
            </w:pPr>
            <w:r w:rsidRPr="005D4222">
              <w:rPr>
                <w:rFonts w:eastAsia="Arial,Arial,Arial,Arial,Arial,A"/>
                <w:b/>
              </w:rPr>
              <w:t>Adjusted</w:t>
            </w:r>
            <w:r w:rsidRPr="005D4222">
              <w:rPr>
                <w:b/>
              </w:rPr>
              <w:t xml:space="preserve"> HEDIS measures may not be used for HEDIS health plan reporting.</w:t>
            </w:r>
          </w:p>
          <w:p w14:paraId="566E627A" w14:textId="77777777" w:rsidR="00BD378D" w:rsidRPr="005D4222" w:rsidRDefault="00BD378D" w:rsidP="00BD378D">
            <w:pPr>
              <w:pStyle w:val="Adjustments"/>
              <w:rPr>
                <w:b w:val="0"/>
              </w:rPr>
            </w:pPr>
            <w:r w:rsidRPr="005D4222">
              <w:rPr>
                <w:rFonts w:eastAsia="Arial,Arial,Arial,Arial,Arial,A"/>
              </w:rPr>
              <w:t>Adjustments</w:t>
            </w:r>
            <w:r w:rsidRPr="005D4222">
              <w:t xml:space="preserve"> allowed</w:t>
            </w:r>
          </w:p>
          <w:p w14:paraId="63C4D14A" w14:textId="3176B2EE" w:rsidR="00BD378D" w:rsidRPr="005D4222" w:rsidRDefault="00BD378D" w:rsidP="005D6173">
            <w:pPr>
              <w:pStyle w:val="ProcessBullet"/>
              <w:numPr>
                <w:ilvl w:val="0"/>
                <w:numId w:val="98"/>
              </w:numPr>
              <w:tabs>
                <w:tab w:val="left" w:pos="216"/>
              </w:tabs>
              <w:spacing w:after="80"/>
              <w:ind w:left="216" w:hanging="216"/>
              <w:rPr>
                <w:i/>
                <w:iCs/>
              </w:rPr>
            </w:pPr>
            <w:r w:rsidRPr="005D4222">
              <w:rPr>
                <w:i/>
                <w:iCs/>
              </w:rPr>
              <w:t>Product lines</w:t>
            </w:r>
            <w:r w:rsidRPr="005D4222">
              <w:t xml:space="preserve">. </w:t>
            </w:r>
            <w:r w:rsidRPr="005D4222">
              <w:rPr>
                <w:rFonts w:eastAsia="Arial"/>
              </w:rPr>
              <w:t>Organizations are not required to use product line criteria; product lines may be combined</w:t>
            </w:r>
            <w:r w:rsidR="00E8671F" w:rsidRPr="005D4222">
              <w:rPr>
                <w:rFonts w:eastAsia="Arial"/>
              </w:rPr>
              <w:t>,</w:t>
            </w:r>
            <w:r w:rsidRPr="005D4222">
              <w:rPr>
                <w:rFonts w:eastAsia="Arial"/>
              </w:rPr>
              <w:t xml:space="preserve"> and all (or no) product line criteria may be used.</w:t>
            </w:r>
          </w:p>
          <w:p w14:paraId="109DDE1A" w14:textId="77777777" w:rsidR="00BD378D" w:rsidRPr="005D4222" w:rsidRDefault="00BD378D" w:rsidP="005D6173">
            <w:pPr>
              <w:pStyle w:val="ProcessBullet"/>
              <w:numPr>
                <w:ilvl w:val="0"/>
                <w:numId w:val="98"/>
              </w:numPr>
              <w:ind w:left="216" w:hanging="216"/>
              <w:rPr>
                <w:b/>
                <w:bCs/>
              </w:rPr>
            </w:pPr>
            <w:r w:rsidRPr="005D4222">
              <w:rPr>
                <w:i/>
                <w:iCs/>
              </w:rPr>
              <w:t>Ages.</w:t>
            </w:r>
            <w:r w:rsidRPr="005D4222">
              <w:t xml:space="preserve"> </w:t>
            </w:r>
            <w:r w:rsidRPr="005D4222">
              <w:rPr>
                <w:rFonts w:eastAsia="Arial"/>
              </w:rPr>
              <w:t>The age determination dates may be changed (e.g., select, “age 60 as of June 30 of the measurement period”).</w:t>
            </w:r>
          </w:p>
          <w:p w14:paraId="135E333C" w14:textId="77777777" w:rsidR="00BD378D" w:rsidRPr="005D4222" w:rsidRDefault="00BD378D" w:rsidP="005D6173">
            <w:pPr>
              <w:pStyle w:val="ProcessBullet"/>
              <w:numPr>
                <w:ilvl w:val="0"/>
                <w:numId w:val="98"/>
              </w:numPr>
              <w:ind w:left="216" w:hanging="216"/>
              <w:rPr>
                <w:b/>
              </w:rPr>
            </w:pPr>
            <w:r w:rsidRPr="005D4222">
              <w:rPr>
                <w:i/>
              </w:rPr>
              <w:t>Attribution.</w:t>
            </w:r>
            <w:r w:rsidRPr="005D4222">
              <w:rPr>
                <w:b/>
              </w:rPr>
              <w:t xml:space="preserve"> </w:t>
            </w:r>
            <w:r w:rsidRPr="005D4222">
              <w:rPr>
                <w:rFonts w:eastAsia="Arial"/>
              </w:rPr>
              <w:t>Organizations are not required to use enrollment criteria.</w:t>
            </w:r>
          </w:p>
          <w:p w14:paraId="1FE04995" w14:textId="77777777" w:rsidR="00BD378D" w:rsidRPr="005D4222" w:rsidRDefault="00BD378D" w:rsidP="005D6173">
            <w:pPr>
              <w:pStyle w:val="ProcessBullet"/>
              <w:numPr>
                <w:ilvl w:val="0"/>
                <w:numId w:val="98"/>
              </w:numPr>
              <w:ind w:left="216" w:hanging="216"/>
              <w:rPr>
                <w:i/>
                <w:iCs/>
              </w:rPr>
            </w:pPr>
            <w:r w:rsidRPr="005D4222">
              <w:rPr>
                <w:i/>
              </w:rPr>
              <w:t>Benef</w:t>
            </w:r>
            <w:r w:rsidRPr="005D4222">
              <w:rPr>
                <w:i/>
                <w:iCs/>
              </w:rPr>
              <w:t xml:space="preserve">its. </w:t>
            </w:r>
            <w:r w:rsidRPr="005D4222">
              <w:rPr>
                <w:rFonts w:eastAsia="Arial"/>
              </w:rPr>
              <w:t>Organizations are not required to use a benefit.</w:t>
            </w:r>
          </w:p>
          <w:p w14:paraId="7A73A939" w14:textId="77777777" w:rsidR="00BD378D" w:rsidRPr="005D4222" w:rsidRDefault="00BD378D" w:rsidP="005D6173">
            <w:pPr>
              <w:pStyle w:val="ProcessBullet"/>
              <w:numPr>
                <w:ilvl w:val="0"/>
                <w:numId w:val="98"/>
              </w:numPr>
              <w:ind w:left="216" w:hanging="216"/>
              <w:rPr>
                <w:i/>
                <w:iCs/>
              </w:rPr>
            </w:pPr>
            <w:r w:rsidRPr="005D4222">
              <w:rPr>
                <w:i/>
              </w:rPr>
              <w:t xml:space="preserve">Other. </w:t>
            </w:r>
            <w:r w:rsidRPr="005D4222">
              <w:rPr>
                <w:rFonts w:eastAsia="Arial"/>
              </w:rPr>
              <w:t>Organizations may use additional initial population criteria to focus on an area of interest defined by gender, race, ethnicity, socioeconomic or sociodemographic characteristics, geographic region or another characteristic.</w:t>
            </w:r>
          </w:p>
          <w:p w14:paraId="422FF694" w14:textId="77777777" w:rsidR="00BD378D" w:rsidRPr="005D4222" w:rsidRDefault="00BD378D" w:rsidP="005D6173">
            <w:pPr>
              <w:pStyle w:val="ProcessBullet"/>
              <w:numPr>
                <w:ilvl w:val="0"/>
                <w:numId w:val="98"/>
              </w:numPr>
              <w:ind w:left="216" w:hanging="216"/>
              <w:rPr>
                <w:b/>
              </w:rPr>
            </w:pPr>
            <w:r w:rsidRPr="005D4222">
              <w:rPr>
                <w:rFonts w:eastAsia="Arial"/>
                <w:i/>
              </w:rPr>
              <w:t>Exclusion</w:t>
            </w:r>
            <w:r w:rsidRPr="005D4222">
              <w:rPr>
                <w:rFonts w:eastAsia="Arial"/>
                <w:i/>
                <w:iCs/>
              </w:rPr>
              <w:t>.</w:t>
            </w:r>
            <w:r w:rsidRPr="005D4222">
              <w:rPr>
                <w:rFonts w:eastAsia="Arial"/>
                <w:i/>
              </w:rPr>
              <w:t xml:space="preserve"> </w:t>
            </w:r>
            <w:r w:rsidRPr="005D4222">
              <w:rPr>
                <w:rFonts w:eastAsia="Arial"/>
              </w:rPr>
              <w:t>Hospice, deceased persons, I-SNP and LTI exclusions are not required.</w:t>
            </w:r>
            <w:r w:rsidRPr="005D4222">
              <w:rPr>
                <w:rFonts w:eastAsia="Arial"/>
                <w:i/>
              </w:rPr>
              <w:t xml:space="preserve"> </w:t>
            </w:r>
          </w:p>
          <w:p w14:paraId="451363CE" w14:textId="77777777" w:rsidR="00BD378D" w:rsidRPr="005D4222" w:rsidRDefault="00BD378D" w:rsidP="005D6173">
            <w:pPr>
              <w:pStyle w:val="ProcessBullet"/>
              <w:numPr>
                <w:ilvl w:val="0"/>
                <w:numId w:val="98"/>
              </w:numPr>
              <w:spacing w:after="80"/>
              <w:ind w:left="216" w:hanging="216"/>
              <w:rPr>
                <w:i/>
                <w:iCs/>
              </w:rPr>
            </w:pPr>
            <w:r w:rsidRPr="005D4222">
              <w:rPr>
                <w:i/>
                <w:iCs/>
              </w:rPr>
              <w:t>Measurement period adjustments.</w:t>
            </w:r>
            <w:r w:rsidRPr="005D4222">
              <w:t xml:space="preserve"> Organizations may adjust the measurement period. </w:t>
            </w:r>
          </w:p>
          <w:p w14:paraId="13E8C016" w14:textId="6AA3F97D" w:rsidR="00BD378D" w:rsidRPr="005D4222" w:rsidRDefault="00BD378D" w:rsidP="005D6173">
            <w:pPr>
              <w:pStyle w:val="ProcessBullet"/>
              <w:numPr>
                <w:ilvl w:val="0"/>
                <w:numId w:val="98"/>
              </w:numPr>
              <w:spacing w:after="80"/>
              <w:ind w:left="216" w:hanging="216"/>
              <w:rPr>
                <w:i/>
                <w:iCs/>
              </w:rPr>
            </w:pPr>
            <w:r w:rsidRPr="005D4222">
              <w:rPr>
                <w:i/>
                <w:iCs/>
              </w:rPr>
              <w:t>Telehealth.</w:t>
            </w:r>
            <w:r w:rsidRPr="005D4222">
              <w:t xml:space="preserve"> Services/events that allow the use of synchronous telehealth visits, telephone visits and asynchronous telehealth (e-visits, virtual check-ins) may be stratified to identify services performed via telehealth. This adjustment is not allowed for </w:t>
            </w:r>
            <w:r w:rsidR="00F45777" w:rsidRPr="005D4222">
              <w:t>events</w:t>
            </w:r>
            <w:r w:rsidRPr="005D4222">
              <w:t>, numerators and exclusions that do not allow the use of telehealth.</w:t>
            </w:r>
          </w:p>
          <w:p w14:paraId="33023351" w14:textId="77777777" w:rsidR="00F75C9A" w:rsidRPr="005D4222" w:rsidRDefault="00F75C9A" w:rsidP="00A53E8C">
            <w:pPr>
              <w:pStyle w:val="Adjustments"/>
            </w:pPr>
            <w:r w:rsidRPr="005D4222">
              <w:rPr>
                <w:rFonts w:eastAsia="Arial,Arial,Arial,Arial,Arial,A"/>
              </w:rPr>
              <w:t>Adjustments</w:t>
            </w:r>
            <w:r w:rsidRPr="005D4222">
              <w:t xml:space="preserve"> not allowed</w:t>
            </w:r>
          </w:p>
          <w:p w14:paraId="6E7A961E" w14:textId="77777777" w:rsidR="00F75C9A" w:rsidRPr="005D4222" w:rsidRDefault="00F75C9A" w:rsidP="005D6173">
            <w:pPr>
              <w:pStyle w:val="ProcessBullet"/>
              <w:numPr>
                <w:ilvl w:val="0"/>
                <w:numId w:val="98"/>
              </w:numPr>
              <w:spacing w:after="80"/>
              <w:ind w:left="216" w:hanging="216"/>
              <w:rPr>
                <w:b/>
                <w:i/>
              </w:rPr>
            </w:pPr>
            <w:r w:rsidRPr="005D4222">
              <w:rPr>
                <w:i/>
                <w:iCs/>
              </w:rPr>
              <w:t>Initial population:</w:t>
            </w:r>
            <w:r w:rsidRPr="005D4222">
              <w:t xml:space="preserve"> Event. </w:t>
            </w:r>
            <w:r w:rsidRPr="005D4222">
              <w:rPr>
                <w:rFonts w:eastAsia="Arial"/>
              </w:rPr>
              <w:t>Value sets, direct reference codes and logic may not be changed.</w:t>
            </w:r>
          </w:p>
          <w:p w14:paraId="76777E58" w14:textId="0BB0CC34" w:rsidR="00F75C9A" w:rsidRPr="005D4222" w:rsidRDefault="00593091" w:rsidP="005D6173">
            <w:pPr>
              <w:pStyle w:val="ProcessBullet"/>
              <w:numPr>
                <w:ilvl w:val="0"/>
                <w:numId w:val="98"/>
              </w:numPr>
              <w:spacing w:after="80"/>
              <w:ind w:left="216" w:hanging="216"/>
              <w:rPr>
                <w:b/>
                <w:i/>
              </w:rPr>
            </w:pPr>
            <w:r w:rsidRPr="005D4222">
              <w:rPr>
                <w:i/>
                <w:iCs/>
              </w:rPr>
              <w:t>Numerator.</w:t>
            </w:r>
            <w:r w:rsidR="00A31ACA" w:rsidRPr="005D4222">
              <w:rPr>
                <w:b/>
                <w:i/>
              </w:rPr>
              <w:t xml:space="preserve"> </w:t>
            </w:r>
            <w:r w:rsidR="00A31ACA" w:rsidRPr="005D4222">
              <w:rPr>
                <w:bCs/>
                <w:iCs/>
              </w:rPr>
              <w:t>Value sets, direct reference codes and logic may not be changed.</w:t>
            </w:r>
          </w:p>
        </w:tc>
      </w:tr>
    </w:tbl>
    <w:p w14:paraId="62C1183B" w14:textId="77777777" w:rsidR="00BD378D" w:rsidRPr="005D4222" w:rsidRDefault="00BD378D" w:rsidP="007552EF">
      <w:pPr>
        <w:pStyle w:val="ECDSBody"/>
        <w:sectPr w:rsidR="00BD378D" w:rsidRPr="005D4222" w:rsidSect="0074514A">
          <w:headerReference w:type="default" r:id="rId239"/>
          <w:type w:val="nextColumn"/>
          <w:pgSz w:w="12240" w:h="15840" w:code="1"/>
          <w:pgMar w:top="1080" w:right="1080" w:bottom="1080" w:left="1440" w:header="720" w:footer="720" w:gutter="0"/>
          <w:cols w:space="720"/>
          <w:docGrid w:linePitch="360"/>
        </w:sectPr>
      </w:pPr>
    </w:p>
    <w:p w14:paraId="711D6724" w14:textId="49463EB5" w:rsidR="00D274D2" w:rsidRPr="005D4222" w:rsidRDefault="00D274D2" w:rsidP="00D274D2">
      <w:pPr>
        <w:pStyle w:val="Breakpage"/>
        <w:rPr>
          <w:kern w:val="20"/>
        </w:rPr>
      </w:pPr>
      <w:bookmarkStart w:id="435" w:name="_Toc74830482"/>
      <w:bookmarkStart w:id="436" w:name="_Toc171403054"/>
      <w:bookmarkStart w:id="437" w:name="_Toc201813489"/>
      <w:bookmarkStart w:id="438" w:name="BCR"/>
      <w:r w:rsidRPr="005D4222">
        <w:rPr>
          <w:kern w:val="20"/>
        </w:rPr>
        <w:lastRenderedPageBreak/>
        <w:t>Health Plan Descriptive Information</w:t>
      </w:r>
      <w:bookmarkEnd w:id="435"/>
      <w:bookmarkEnd w:id="436"/>
      <w:bookmarkEnd w:id="437"/>
      <w:r w:rsidR="00E3369D">
        <w:rPr>
          <w:kern w:val="20"/>
        </w:rPr>
        <w:t xml:space="preserve"> Measures</w:t>
      </w:r>
      <w:r w:rsidRPr="005D4222">
        <w:rPr>
          <w:kern w:val="20"/>
        </w:rPr>
        <w:t xml:space="preserve"> </w:t>
      </w:r>
    </w:p>
    <w:p w14:paraId="100AD262" w14:textId="77777777" w:rsidR="00D274D2" w:rsidRPr="005D4222" w:rsidRDefault="00D274D2" w:rsidP="00D274D2">
      <w:pPr>
        <w:jc w:val="right"/>
        <w:rPr>
          <w:b/>
          <w:bCs/>
          <w:kern w:val="20"/>
        </w:rPr>
        <w:sectPr w:rsidR="00D274D2" w:rsidRPr="005D4222" w:rsidSect="0074514A">
          <w:headerReference w:type="even" r:id="rId240"/>
          <w:headerReference w:type="default" r:id="rId241"/>
          <w:footerReference w:type="even" r:id="rId242"/>
          <w:footerReference w:type="default" r:id="rId243"/>
          <w:headerReference w:type="first" r:id="rId244"/>
          <w:footerReference w:type="first" r:id="rId245"/>
          <w:type w:val="nextColumn"/>
          <w:pgSz w:w="12240" w:h="15840" w:code="1"/>
          <w:pgMar w:top="1080" w:right="1080" w:bottom="1080" w:left="1440" w:header="720" w:footer="720" w:gutter="0"/>
          <w:cols w:space="720"/>
        </w:sectPr>
      </w:pPr>
      <w:r w:rsidRPr="005D4222">
        <w:rPr>
          <w:b/>
          <w:bCs/>
          <w:kern w:val="20"/>
        </w:rPr>
        <w:t xml:space="preserve"> </w:t>
      </w:r>
    </w:p>
    <w:p w14:paraId="0A35A849" w14:textId="77777777" w:rsidR="00D274D2" w:rsidRPr="005D4222" w:rsidRDefault="00D274D2" w:rsidP="00D274D2">
      <w:pPr>
        <w:pStyle w:val="Heading2"/>
        <w:rPr>
          <w:kern w:val="20"/>
        </w:rPr>
      </w:pPr>
      <w:bookmarkStart w:id="439" w:name="Enrollment_Product_Line_ENP"/>
      <w:bookmarkStart w:id="440" w:name="_Toc400546214"/>
      <w:bookmarkStart w:id="441" w:name="_Toc74830483"/>
      <w:bookmarkStart w:id="442" w:name="_Toc171403055"/>
      <w:bookmarkStart w:id="443" w:name="_Toc201813490"/>
      <w:bookmarkStart w:id="444" w:name="ENP"/>
      <w:bookmarkEnd w:id="438"/>
      <w:r w:rsidRPr="005D4222">
        <w:rPr>
          <w:kern w:val="20"/>
        </w:rPr>
        <w:lastRenderedPageBreak/>
        <w:t>Enrollment by Product Line</w:t>
      </w:r>
      <w:bookmarkEnd w:id="439"/>
      <w:r w:rsidRPr="005D4222">
        <w:rPr>
          <w:kern w:val="20"/>
        </w:rPr>
        <w:t xml:space="preserve"> (ENP)</w:t>
      </w:r>
      <w:bookmarkEnd w:id="440"/>
      <w:bookmarkEnd w:id="441"/>
      <w:bookmarkEnd w:id="442"/>
      <w:bookmarkEnd w:id="443"/>
    </w:p>
    <w:bookmarkEnd w:id="444"/>
    <w:p w14:paraId="4785B237" w14:textId="77777777" w:rsidR="00D274D2" w:rsidRPr="005D4222" w:rsidRDefault="00D274D2" w:rsidP="00D274D2">
      <w:pPr>
        <w:pStyle w:val="SOC"/>
        <w:rPr>
          <w:kern w:val="20"/>
        </w:rPr>
      </w:pPr>
      <w:r w:rsidRPr="005D4222">
        <w:rPr>
          <w:kern w:val="20"/>
        </w:rPr>
        <w:t>Summary of Changes to HEDIS MY 2026</w:t>
      </w:r>
    </w:p>
    <w:p w14:paraId="6F12BC92" w14:textId="77777777" w:rsidR="00D274D2" w:rsidRPr="005D4222" w:rsidRDefault="00D274D2" w:rsidP="005D6173">
      <w:pPr>
        <w:pStyle w:val="ProcessBullet"/>
        <w:numPr>
          <w:ilvl w:val="0"/>
          <w:numId w:val="134"/>
        </w:numPr>
        <w:tabs>
          <w:tab w:val="left" w:pos="216"/>
        </w:tabs>
        <w:spacing w:before="120"/>
        <w:ind w:left="216" w:hanging="216"/>
        <w:rPr>
          <w:rFonts w:cs="Arial"/>
          <w:kern w:val="20"/>
          <w:szCs w:val="21"/>
          <w:shd w:val="clear" w:color="auto" w:fill="FFFFFF"/>
        </w:rPr>
      </w:pPr>
      <w:r w:rsidRPr="005D4222">
        <w:rPr>
          <w:rFonts w:cs="Arial"/>
          <w:kern w:val="20"/>
          <w:szCs w:val="21"/>
          <w:shd w:val="clear" w:color="auto" w:fill="FFFFFF"/>
        </w:rPr>
        <w:t>No changes to this measure.</w:t>
      </w:r>
    </w:p>
    <w:p w14:paraId="3CD93004" w14:textId="4918891E" w:rsidR="00D274D2" w:rsidRPr="005D4222" w:rsidRDefault="002B51D3" w:rsidP="002B51D3">
      <w:pPr>
        <w:pStyle w:val="ReverseHead"/>
      </w:pPr>
      <w:r w:rsidRPr="005D4222">
        <w:rPr>
          <w:bCs/>
          <w:color w:val="auto"/>
          <w:kern w:val="20"/>
        </w:rPr>
        <w:t>Description</w:t>
      </w:r>
    </w:p>
    <w:p w14:paraId="7313D068" w14:textId="77777777" w:rsidR="00D274D2" w:rsidRPr="005D4222" w:rsidRDefault="00D274D2" w:rsidP="00D274D2">
      <w:pPr>
        <w:pStyle w:val="Body"/>
        <w:rPr>
          <w:kern w:val="20"/>
        </w:rPr>
      </w:pPr>
      <w:r w:rsidRPr="005D4222">
        <w:rPr>
          <w:kern w:val="20"/>
        </w:rPr>
        <w:t>The total number of members enrolled in the product line, stratified by age.</w:t>
      </w:r>
    </w:p>
    <w:p w14:paraId="5A2F2682" w14:textId="140CE325" w:rsidR="00D274D2" w:rsidRPr="005D4222" w:rsidRDefault="009927F4" w:rsidP="009927F4">
      <w:pPr>
        <w:pStyle w:val="ReverseHead"/>
      </w:pPr>
      <w:r w:rsidRPr="005D4222">
        <w:rPr>
          <w:bCs/>
          <w:color w:val="auto"/>
          <w:kern w:val="20"/>
        </w:rPr>
        <w:t>Calculations</w:t>
      </w:r>
    </w:p>
    <w:tbl>
      <w:tblPr>
        <w:tblW w:w="9864" w:type="dxa"/>
        <w:tblLayout w:type="fixed"/>
        <w:tblLook w:val="0000" w:firstRow="0" w:lastRow="0" w:firstColumn="0" w:lastColumn="0" w:noHBand="0" w:noVBand="0"/>
      </w:tblPr>
      <w:tblGrid>
        <w:gridCol w:w="2160"/>
        <w:gridCol w:w="7704"/>
      </w:tblGrid>
      <w:tr w:rsidR="00D274D2" w:rsidRPr="005D4222" w14:paraId="43945037" w14:textId="77777777" w:rsidTr="00A53E8C">
        <w:tc>
          <w:tcPr>
            <w:tcW w:w="2160" w:type="dxa"/>
          </w:tcPr>
          <w:p w14:paraId="5DE52576" w14:textId="47137A90" w:rsidR="00D274D2" w:rsidRPr="005D4222" w:rsidRDefault="00B51CDC" w:rsidP="00A53E8C">
            <w:pPr>
              <w:pStyle w:val="MarginSubhead"/>
              <w:rPr>
                <w:kern w:val="20"/>
              </w:rPr>
            </w:pPr>
            <w:r w:rsidRPr="005D4222">
              <w:rPr>
                <w:kern w:val="20"/>
              </w:rPr>
              <w:t>Product lines</w:t>
            </w:r>
          </w:p>
        </w:tc>
        <w:tc>
          <w:tcPr>
            <w:tcW w:w="7704" w:type="dxa"/>
          </w:tcPr>
          <w:p w14:paraId="3ADB10B6" w14:textId="77777777" w:rsidR="00D274D2" w:rsidRPr="005D4222" w:rsidRDefault="00D274D2" w:rsidP="00A53E8C">
            <w:pPr>
              <w:pStyle w:val="Body"/>
              <w:rPr>
                <w:i/>
                <w:iCs/>
                <w:kern w:val="20"/>
              </w:rPr>
            </w:pPr>
            <w:r w:rsidRPr="005D4222">
              <w:rPr>
                <w:kern w:val="20"/>
              </w:rPr>
              <w:t>Report the following tables for each applicable product line, stratified by age:</w:t>
            </w:r>
          </w:p>
          <w:p w14:paraId="011CDEBA" w14:textId="77777777" w:rsidR="00D274D2" w:rsidRPr="005D4222" w:rsidRDefault="00D274D2" w:rsidP="00D274D2">
            <w:pPr>
              <w:pStyle w:val="Bullet"/>
              <w:numPr>
                <w:ilvl w:val="0"/>
                <w:numId w:val="4"/>
              </w:numPr>
              <w:tabs>
                <w:tab w:val="left" w:pos="360"/>
                <w:tab w:val="left" w:pos="576"/>
                <w:tab w:val="left" w:pos="1959"/>
              </w:tabs>
              <w:ind w:left="576" w:hanging="216"/>
              <w:rPr>
                <w:kern w:val="20"/>
              </w:rPr>
            </w:pPr>
            <w:r w:rsidRPr="005D4222">
              <w:rPr>
                <w:kern w:val="20"/>
              </w:rPr>
              <w:t>Table ENP-1</w:t>
            </w:r>
            <w:r w:rsidRPr="005D4222">
              <w:rPr>
                <w:kern w:val="20"/>
              </w:rPr>
              <w:tab/>
              <w:t>Medicaid.</w:t>
            </w:r>
          </w:p>
          <w:p w14:paraId="4B99396C" w14:textId="77777777" w:rsidR="00D274D2" w:rsidRPr="005D4222" w:rsidRDefault="00D274D2" w:rsidP="00D274D2">
            <w:pPr>
              <w:pStyle w:val="Bullet"/>
              <w:numPr>
                <w:ilvl w:val="0"/>
                <w:numId w:val="4"/>
              </w:numPr>
              <w:tabs>
                <w:tab w:val="left" w:pos="360"/>
                <w:tab w:val="left" w:pos="576"/>
                <w:tab w:val="left" w:pos="1959"/>
              </w:tabs>
              <w:ind w:left="576" w:hanging="216"/>
              <w:rPr>
                <w:kern w:val="20"/>
              </w:rPr>
            </w:pPr>
            <w:r w:rsidRPr="005D4222">
              <w:rPr>
                <w:kern w:val="20"/>
              </w:rPr>
              <w:t>Table ENP-2</w:t>
            </w:r>
            <w:r w:rsidRPr="005D4222">
              <w:rPr>
                <w:kern w:val="20"/>
              </w:rPr>
              <w:tab/>
              <w:t>Commercial.</w:t>
            </w:r>
          </w:p>
          <w:p w14:paraId="503CB263" w14:textId="77777777" w:rsidR="00D274D2" w:rsidRPr="005D4222" w:rsidRDefault="00D274D2" w:rsidP="00D274D2">
            <w:pPr>
              <w:pStyle w:val="Bullet"/>
              <w:numPr>
                <w:ilvl w:val="0"/>
                <w:numId w:val="4"/>
              </w:numPr>
              <w:tabs>
                <w:tab w:val="left" w:pos="360"/>
                <w:tab w:val="left" w:pos="576"/>
                <w:tab w:val="left" w:pos="1959"/>
              </w:tabs>
              <w:ind w:left="576" w:hanging="216"/>
              <w:rPr>
                <w:kern w:val="20"/>
              </w:rPr>
            </w:pPr>
            <w:r w:rsidRPr="005D4222">
              <w:rPr>
                <w:kern w:val="20"/>
              </w:rPr>
              <w:t>Table ENP-3</w:t>
            </w:r>
            <w:r w:rsidRPr="005D4222">
              <w:rPr>
                <w:kern w:val="20"/>
              </w:rPr>
              <w:tab/>
              <w:t>Medicare.</w:t>
            </w:r>
          </w:p>
        </w:tc>
      </w:tr>
      <w:tr w:rsidR="00D274D2" w:rsidRPr="005D4222" w14:paraId="14DDD2AC" w14:textId="77777777" w:rsidTr="00A53E8C">
        <w:tc>
          <w:tcPr>
            <w:tcW w:w="2160" w:type="dxa"/>
          </w:tcPr>
          <w:p w14:paraId="2BD61610" w14:textId="77777777" w:rsidR="00D274D2" w:rsidRPr="005D4222" w:rsidRDefault="00D274D2" w:rsidP="00A53E8C">
            <w:pPr>
              <w:pStyle w:val="MarginSubhead"/>
              <w:rPr>
                <w:kern w:val="20"/>
              </w:rPr>
            </w:pPr>
            <w:r w:rsidRPr="005D4222">
              <w:rPr>
                <w:kern w:val="20"/>
              </w:rPr>
              <w:t>Member months</w:t>
            </w:r>
          </w:p>
        </w:tc>
        <w:tc>
          <w:tcPr>
            <w:tcW w:w="7704" w:type="dxa"/>
          </w:tcPr>
          <w:p w14:paraId="4F19339C" w14:textId="77777777" w:rsidR="00D274D2" w:rsidRPr="005D4222" w:rsidRDefault="00D274D2" w:rsidP="00A53E8C">
            <w:pPr>
              <w:pStyle w:val="Body"/>
              <w:rPr>
                <w:kern w:val="20"/>
              </w:rPr>
            </w:pPr>
            <w:r w:rsidRPr="005D4222">
              <w:rPr>
                <w:kern w:val="20"/>
              </w:rPr>
              <w:t>For each product line, report all member months for the measurement year. IDSS will convert these to member years. Member months are a member’s “contribution” to the total yearly membership.</w:t>
            </w:r>
          </w:p>
        </w:tc>
      </w:tr>
      <w:tr w:rsidR="00D274D2" w:rsidRPr="005D4222" w14:paraId="09FBA727" w14:textId="77777777" w:rsidTr="00A53E8C">
        <w:tc>
          <w:tcPr>
            <w:tcW w:w="2160" w:type="dxa"/>
          </w:tcPr>
          <w:p w14:paraId="1CE7D2A6" w14:textId="77777777" w:rsidR="00D274D2" w:rsidRPr="005D4222" w:rsidRDefault="00D274D2" w:rsidP="00A53E8C">
            <w:pPr>
              <w:pStyle w:val="MarginSubhead"/>
              <w:jc w:val="right"/>
              <w:rPr>
                <w:i/>
                <w:iCs/>
                <w:kern w:val="20"/>
              </w:rPr>
            </w:pPr>
            <w:r w:rsidRPr="005D4222">
              <w:rPr>
                <w:i/>
                <w:iCs/>
                <w:kern w:val="20"/>
              </w:rPr>
              <w:t>Step 1</w:t>
            </w:r>
          </w:p>
        </w:tc>
        <w:tc>
          <w:tcPr>
            <w:tcW w:w="7704" w:type="dxa"/>
          </w:tcPr>
          <w:p w14:paraId="0488ECB2" w14:textId="77777777" w:rsidR="00D274D2" w:rsidRPr="005D4222" w:rsidRDefault="00D274D2" w:rsidP="00A53E8C">
            <w:pPr>
              <w:pStyle w:val="Body"/>
              <w:rPr>
                <w:kern w:val="20"/>
              </w:rPr>
            </w:pPr>
            <w:r w:rsidRPr="005D4222">
              <w:rPr>
                <w:kern w:val="20"/>
              </w:rPr>
              <w:t>Determine member months using a specified day of each month (e.g., the 15th or the last day of the month), to be determined according to the organization’s administrative processes. The day selected must be consistent from member to member, month to month and from year to year. For example</w:t>
            </w:r>
            <w:r w:rsidRPr="005D4222">
              <w:rPr>
                <w:i/>
                <w:iCs/>
                <w:kern w:val="20"/>
              </w:rPr>
              <w:t xml:space="preserve">, </w:t>
            </w:r>
            <w:r w:rsidRPr="005D4222">
              <w:rPr>
                <w:kern w:val="20"/>
              </w:rPr>
              <w:t xml:space="preserve">if the organization tallies membership on the 15th of the month, a member who is enrolled in the organization on January 15 contributes 1 member month in January. </w:t>
            </w:r>
          </w:p>
          <w:p w14:paraId="13ED1998" w14:textId="77777777" w:rsidR="00D274D2" w:rsidRPr="005D4222" w:rsidRDefault="00D274D2" w:rsidP="00A53E8C">
            <w:pPr>
              <w:pStyle w:val="Body"/>
              <w:spacing w:before="120"/>
              <w:rPr>
                <w:kern w:val="20"/>
              </w:rPr>
            </w:pPr>
            <w:r w:rsidRPr="005D4222">
              <w:rPr>
                <w:i/>
                <w:iCs/>
                <w:kern w:val="20"/>
              </w:rPr>
              <w:t xml:space="preserve">Retroactive enrollment. </w:t>
            </w:r>
            <w:r w:rsidRPr="005D4222">
              <w:rPr>
                <w:kern w:val="20"/>
              </w:rPr>
              <w:t>The organization may include any months in which members were enrolled retrospectively and for which the organization received a retroactive capitation payment.</w:t>
            </w:r>
          </w:p>
        </w:tc>
      </w:tr>
      <w:tr w:rsidR="00D274D2" w:rsidRPr="005D4222" w14:paraId="605E298A" w14:textId="77777777" w:rsidTr="00A53E8C">
        <w:tc>
          <w:tcPr>
            <w:tcW w:w="2160" w:type="dxa"/>
          </w:tcPr>
          <w:p w14:paraId="164828DC" w14:textId="77777777" w:rsidR="00D274D2" w:rsidRPr="005D4222" w:rsidRDefault="00D274D2" w:rsidP="00A53E8C">
            <w:pPr>
              <w:pStyle w:val="MarginSubhead"/>
              <w:jc w:val="right"/>
              <w:rPr>
                <w:i/>
                <w:iCs/>
                <w:kern w:val="20"/>
              </w:rPr>
            </w:pPr>
            <w:r w:rsidRPr="005D4222">
              <w:rPr>
                <w:i/>
                <w:iCs/>
                <w:kern w:val="20"/>
              </w:rPr>
              <w:t>Step 2</w:t>
            </w:r>
          </w:p>
        </w:tc>
        <w:tc>
          <w:tcPr>
            <w:tcW w:w="7704" w:type="dxa"/>
          </w:tcPr>
          <w:p w14:paraId="69544168" w14:textId="77777777" w:rsidR="00D274D2" w:rsidRPr="005D4222" w:rsidRDefault="00D274D2" w:rsidP="00A53E8C">
            <w:pPr>
              <w:pStyle w:val="Body"/>
              <w:rPr>
                <w:kern w:val="20"/>
              </w:rPr>
            </w:pPr>
            <w:r w:rsidRPr="005D4222">
              <w:rPr>
                <w:kern w:val="20"/>
                <w:szCs w:val="21"/>
              </w:rPr>
              <w:t>Use the member’s age on the specified day of each month to determine the age group to which member months will be contributed. For example, if an organization tallies membership on the 15th of each month, a member who turns 25 on April 3 and is enrolled for the entire year contributes 3 member months (January, February, March) to the 20–24 age category and 9 member months to the 25–29 age category.</w:t>
            </w:r>
          </w:p>
        </w:tc>
      </w:tr>
      <w:tr w:rsidR="00D274D2" w:rsidRPr="005D4222" w14:paraId="57282F64" w14:textId="77777777" w:rsidTr="00A53E8C">
        <w:tc>
          <w:tcPr>
            <w:tcW w:w="2160" w:type="dxa"/>
          </w:tcPr>
          <w:p w14:paraId="176C8F84" w14:textId="77777777" w:rsidR="00D274D2" w:rsidRPr="005D4222" w:rsidRDefault="00D274D2" w:rsidP="00A53E8C">
            <w:pPr>
              <w:pStyle w:val="MarginSubhead"/>
              <w:ind w:left="504" w:hanging="504"/>
              <w:jc w:val="right"/>
              <w:rPr>
                <w:i/>
                <w:iCs/>
                <w:kern w:val="20"/>
              </w:rPr>
            </w:pPr>
            <w:r w:rsidRPr="005D4222">
              <w:rPr>
                <w:i/>
                <w:iCs/>
                <w:kern w:val="20"/>
              </w:rPr>
              <w:t>Medicaid—</w:t>
            </w:r>
            <w:r w:rsidRPr="005D4222">
              <w:rPr>
                <w:kern w:val="20"/>
              </w:rPr>
              <w:br/>
            </w:r>
            <w:r w:rsidRPr="005D4222">
              <w:rPr>
                <w:i/>
                <w:iCs/>
                <w:kern w:val="20"/>
              </w:rPr>
              <w:t xml:space="preserve">Table ENP-1 </w:t>
            </w:r>
          </w:p>
        </w:tc>
        <w:tc>
          <w:tcPr>
            <w:tcW w:w="7704" w:type="dxa"/>
          </w:tcPr>
          <w:p w14:paraId="3ACA8283" w14:textId="77777777" w:rsidR="00D274D2" w:rsidRPr="005D4222" w:rsidRDefault="00D274D2" w:rsidP="00A53E8C">
            <w:pPr>
              <w:pStyle w:val="Body"/>
              <w:rPr>
                <w:kern w:val="20"/>
              </w:rPr>
            </w:pPr>
            <w:r w:rsidRPr="005D4222">
              <w:rPr>
                <w:kern w:val="20"/>
              </w:rPr>
              <w:t xml:space="preserve">Include all Medicaid members enrolled in the organization who receive Medicaid benefits, including those who receive a restricted benefits package smaller in scope than the other Medicaid members enrolled in the same organization. A </w:t>
            </w:r>
            <w:r w:rsidRPr="005D4222">
              <w:rPr>
                <w:b/>
                <w:bCs/>
                <w:kern w:val="20"/>
              </w:rPr>
              <w:t>restricted benefits package</w:t>
            </w:r>
            <w:r w:rsidRPr="005D4222">
              <w:rPr>
                <w:kern w:val="20"/>
              </w:rPr>
              <w:t xml:space="preserve"> meets one of the following criteria:</w:t>
            </w:r>
          </w:p>
          <w:p w14:paraId="05FDA0FA" w14:textId="77777777" w:rsidR="00D274D2" w:rsidRPr="005D4222" w:rsidRDefault="00D274D2" w:rsidP="00D274D2">
            <w:pPr>
              <w:pStyle w:val="Bullet"/>
              <w:numPr>
                <w:ilvl w:val="0"/>
                <w:numId w:val="4"/>
              </w:numPr>
              <w:tabs>
                <w:tab w:val="left" w:pos="360"/>
                <w:tab w:val="left" w:pos="576"/>
              </w:tabs>
              <w:ind w:left="576" w:hanging="216"/>
              <w:rPr>
                <w:i/>
                <w:iCs/>
                <w:kern w:val="20"/>
              </w:rPr>
            </w:pPr>
            <w:r w:rsidRPr="005D4222">
              <w:rPr>
                <w:kern w:val="20"/>
              </w:rPr>
              <w:t>Pregnant members whose Medicaid eligibility is based on poverty-related coverage and whose Medicaid benefits are restricted to services related to pregnancy and other conditions that may complicate pregnancy.</w:t>
            </w:r>
          </w:p>
          <w:p w14:paraId="6E1551F0" w14:textId="77777777" w:rsidR="00D274D2" w:rsidRPr="005D4222" w:rsidRDefault="00D274D2" w:rsidP="00D274D2">
            <w:pPr>
              <w:pStyle w:val="Bullet"/>
              <w:numPr>
                <w:ilvl w:val="0"/>
                <w:numId w:val="4"/>
              </w:numPr>
              <w:tabs>
                <w:tab w:val="left" w:pos="360"/>
                <w:tab w:val="left" w:pos="576"/>
              </w:tabs>
              <w:ind w:left="576" w:hanging="216"/>
              <w:rPr>
                <w:i/>
                <w:iCs/>
                <w:kern w:val="20"/>
              </w:rPr>
            </w:pPr>
            <w:r w:rsidRPr="005D4222">
              <w:rPr>
                <w:kern w:val="20"/>
              </w:rPr>
              <w:t>Other members whose benefits are limited (e.g., emergency services).</w:t>
            </w:r>
          </w:p>
          <w:p w14:paraId="42F54A17" w14:textId="77777777" w:rsidR="00D274D2" w:rsidRPr="005D4222" w:rsidRDefault="00D274D2" w:rsidP="00A53E8C">
            <w:pPr>
              <w:pStyle w:val="Body"/>
              <w:rPr>
                <w:i/>
                <w:iCs/>
                <w:kern w:val="20"/>
              </w:rPr>
            </w:pPr>
            <w:r w:rsidRPr="005D4222">
              <w:rPr>
                <w:kern w:val="20"/>
              </w:rPr>
              <w:t>Include members in either of these two groups in this category.</w:t>
            </w:r>
          </w:p>
        </w:tc>
      </w:tr>
    </w:tbl>
    <w:p w14:paraId="3BAF03C4" w14:textId="77777777" w:rsidR="00D274D2" w:rsidRPr="005D4222" w:rsidRDefault="00D274D2" w:rsidP="00D274D2">
      <w:pPr>
        <w:keepNext/>
        <w:spacing w:before="240" w:after="60"/>
        <w:outlineLvl w:val="2"/>
        <w:rPr>
          <w:rFonts w:cs="Arial"/>
          <w:b/>
          <w:iCs/>
          <w:kern w:val="20"/>
          <w:sz w:val="18"/>
          <w:szCs w:val="18"/>
        </w:rPr>
      </w:pPr>
      <w:r w:rsidRPr="005D4222">
        <w:rPr>
          <w:rFonts w:cs="Arial"/>
          <w:b/>
          <w:i/>
          <w:iCs/>
          <w:kern w:val="20"/>
          <w:sz w:val="18"/>
          <w:szCs w:val="18"/>
        </w:rPr>
        <w:lastRenderedPageBreak/>
        <w:t>Table ENP-1/2/3: Data Elements for Enrollment by Product Line</w:t>
      </w:r>
    </w:p>
    <w:tbl>
      <w:tblPr>
        <w:tblW w:w="648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207"/>
        <w:gridCol w:w="1240"/>
        <w:gridCol w:w="1639"/>
        <w:gridCol w:w="2394"/>
      </w:tblGrid>
      <w:tr w:rsidR="004E7974" w:rsidRPr="005D4222" w14:paraId="5D8E2DC0" w14:textId="77777777" w:rsidTr="00A53E8C">
        <w:trPr>
          <w:tblHeader/>
        </w:trPr>
        <w:tc>
          <w:tcPr>
            <w:tcW w:w="0" w:type="auto"/>
            <w:tcBorders>
              <w:top w:val="single" w:sz="4" w:space="0" w:color="000000"/>
              <w:left w:val="single" w:sz="4" w:space="0" w:color="000000"/>
              <w:bottom w:val="single" w:sz="4" w:space="0" w:color="000000"/>
              <w:right w:val="single" w:sz="4" w:space="0" w:color="FFFFFF"/>
            </w:tcBorders>
            <w:shd w:val="clear" w:color="auto" w:fill="000000"/>
          </w:tcPr>
          <w:p w14:paraId="44305A62" w14:textId="77777777" w:rsidR="00D274D2" w:rsidRPr="005D4222" w:rsidRDefault="00D274D2" w:rsidP="00A53E8C">
            <w:pPr>
              <w:pStyle w:val="TableHead"/>
              <w:rPr>
                <w:color w:val="auto"/>
                <w:kern w:val="20"/>
              </w:rPr>
            </w:pPr>
            <w:r w:rsidRPr="005D4222">
              <w:rPr>
                <w:color w:val="auto"/>
                <w:kern w:val="20"/>
              </w:rPr>
              <w:t>Metric</w:t>
            </w:r>
          </w:p>
        </w:tc>
        <w:tc>
          <w:tcPr>
            <w:tcW w:w="0" w:type="auto"/>
            <w:tcBorders>
              <w:top w:val="single" w:sz="4" w:space="0" w:color="000000"/>
              <w:left w:val="single" w:sz="4" w:space="0" w:color="FFFFFF"/>
              <w:bottom w:val="single" w:sz="4" w:space="0" w:color="000000"/>
              <w:right w:val="single" w:sz="4" w:space="0" w:color="FFFFFF"/>
            </w:tcBorders>
            <w:shd w:val="clear" w:color="auto" w:fill="000000"/>
          </w:tcPr>
          <w:p w14:paraId="0E0835D3" w14:textId="77777777" w:rsidR="00D274D2" w:rsidRPr="005D4222" w:rsidRDefault="00D274D2" w:rsidP="00A53E8C">
            <w:pPr>
              <w:pStyle w:val="TableHead"/>
              <w:rPr>
                <w:color w:val="auto"/>
                <w:kern w:val="20"/>
              </w:rPr>
            </w:pPr>
            <w:r w:rsidRPr="005D4222">
              <w:rPr>
                <w:color w:val="auto"/>
                <w:kern w:val="20"/>
              </w:rPr>
              <w:t>Age</w:t>
            </w:r>
          </w:p>
        </w:tc>
        <w:tc>
          <w:tcPr>
            <w:tcW w:w="0" w:type="auto"/>
            <w:tcBorders>
              <w:top w:val="single" w:sz="4" w:space="0" w:color="000000"/>
              <w:left w:val="single" w:sz="4" w:space="0" w:color="FFFFFF"/>
              <w:bottom w:val="single" w:sz="4" w:space="0" w:color="000000"/>
              <w:right w:val="single" w:sz="4" w:space="0" w:color="FFFFFF"/>
            </w:tcBorders>
            <w:shd w:val="clear" w:color="auto" w:fill="000000"/>
          </w:tcPr>
          <w:p w14:paraId="6C05996B" w14:textId="77777777" w:rsidR="00D274D2" w:rsidRPr="005D4222" w:rsidRDefault="00D274D2" w:rsidP="00A53E8C">
            <w:pPr>
              <w:pStyle w:val="TableHead"/>
              <w:rPr>
                <w:color w:val="auto"/>
                <w:kern w:val="20"/>
              </w:rPr>
            </w:pPr>
            <w:r w:rsidRPr="005D4222">
              <w:rPr>
                <w:color w:val="auto"/>
                <w:kern w:val="20"/>
              </w:rPr>
              <w:t>Data Element</w:t>
            </w:r>
          </w:p>
        </w:tc>
        <w:tc>
          <w:tcPr>
            <w:tcW w:w="0" w:type="auto"/>
            <w:tcBorders>
              <w:top w:val="single" w:sz="4" w:space="0" w:color="000000"/>
              <w:left w:val="single" w:sz="4" w:space="0" w:color="FFFFFF"/>
              <w:bottom w:val="single" w:sz="4" w:space="0" w:color="000000"/>
              <w:right w:val="single" w:sz="4" w:space="0" w:color="000000"/>
            </w:tcBorders>
            <w:shd w:val="clear" w:color="auto" w:fill="000000"/>
          </w:tcPr>
          <w:p w14:paraId="2DDB9FCC" w14:textId="77777777" w:rsidR="00D274D2" w:rsidRPr="005D4222" w:rsidRDefault="00D274D2" w:rsidP="00A53E8C">
            <w:pPr>
              <w:pStyle w:val="TableHead"/>
              <w:rPr>
                <w:color w:val="auto"/>
                <w:kern w:val="20"/>
              </w:rPr>
            </w:pPr>
            <w:r w:rsidRPr="005D4222">
              <w:rPr>
                <w:color w:val="auto"/>
                <w:kern w:val="20"/>
              </w:rPr>
              <w:t>Reporting Instructions</w:t>
            </w:r>
          </w:p>
        </w:tc>
      </w:tr>
      <w:tr w:rsidR="00D274D2" w:rsidRPr="005D4222" w14:paraId="7A3DB177" w14:textId="77777777" w:rsidTr="00A53E8C">
        <w:tc>
          <w:tcPr>
            <w:tcW w:w="0" w:type="auto"/>
            <w:tcBorders>
              <w:top w:val="single" w:sz="4" w:space="0" w:color="000000"/>
              <w:left w:val="single" w:sz="4" w:space="0" w:color="auto"/>
              <w:bottom w:val="single" w:sz="4" w:space="0" w:color="auto"/>
              <w:right w:val="single" w:sz="4" w:space="0" w:color="auto"/>
            </w:tcBorders>
          </w:tcPr>
          <w:p w14:paraId="327DF405" w14:textId="77777777" w:rsidR="00D274D2" w:rsidRPr="005D4222" w:rsidRDefault="00D274D2" w:rsidP="00A53E8C">
            <w:pPr>
              <w:pStyle w:val="TableText"/>
            </w:pPr>
            <w:r w:rsidRPr="005D4222">
              <w:t>Enrollment</w:t>
            </w:r>
          </w:p>
        </w:tc>
        <w:tc>
          <w:tcPr>
            <w:tcW w:w="0" w:type="auto"/>
            <w:tcBorders>
              <w:top w:val="single" w:sz="4" w:space="0" w:color="000000"/>
              <w:left w:val="single" w:sz="4" w:space="0" w:color="auto"/>
              <w:bottom w:val="single" w:sz="4" w:space="0" w:color="auto"/>
              <w:right w:val="single" w:sz="4" w:space="0" w:color="auto"/>
            </w:tcBorders>
          </w:tcPr>
          <w:p w14:paraId="2507326B" w14:textId="77777777" w:rsidR="00D274D2" w:rsidRPr="005D4222" w:rsidRDefault="00D274D2" w:rsidP="00A53E8C">
            <w:pPr>
              <w:pStyle w:val="TableText"/>
            </w:pPr>
            <w:r w:rsidRPr="005D4222">
              <w:t>LessThan1</w:t>
            </w:r>
          </w:p>
        </w:tc>
        <w:tc>
          <w:tcPr>
            <w:tcW w:w="0" w:type="auto"/>
            <w:tcBorders>
              <w:top w:val="single" w:sz="4" w:space="0" w:color="000000"/>
              <w:left w:val="single" w:sz="4" w:space="0" w:color="auto"/>
              <w:bottom w:val="single" w:sz="4" w:space="0" w:color="000000"/>
              <w:right w:val="single" w:sz="4" w:space="0" w:color="auto"/>
            </w:tcBorders>
          </w:tcPr>
          <w:p w14:paraId="2025FB1B" w14:textId="77777777" w:rsidR="00D274D2" w:rsidRPr="005D4222" w:rsidRDefault="00D274D2" w:rsidP="00A53E8C">
            <w:pPr>
              <w:pStyle w:val="TableText"/>
            </w:pPr>
            <w:r w:rsidRPr="005D4222">
              <w:t>MemberMonths</w:t>
            </w:r>
          </w:p>
        </w:tc>
        <w:tc>
          <w:tcPr>
            <w:tcW w:w="0" w:type="auto"/>
            <w:tcBorders>
              <w:top w:val="single" w:sz="4" w:space="0" w:color="000000"/>
              <w:left w:val="single" w:sz="4" w:space="0" w:color="auto"/>
              <w:bottom w:val="single" w:sz="4" w:space="0" w:color="000000"/>
              <w:right w:val="single" w:sz="4" w:space="0" w:color="auto"/>
            </w:tcBorders>
          </w:tcPr>
          <w:p w14:paraId="6C1EF22E" w14:textId="77777777" w:rsidR="00D274D2" w:rsidRPr="005D4222" w:rsidRDefault="00D274D2" w:rsidP="00A53E8C">
            <w:pPr>
              <w:pStyle w:val="TableText"/>
              <w:rPr>
                <w:rFonts w:eastAsia="Wingdings"/>
              </w:rPr>
            </w:pPr>
            <w:r w:rsidRPr="005D4222">
              <w:rPr>
                <w:rFonts w:eastAsia="Wingdings"/>
              </w:rPr>
              <w:t>For each Stratification</w:t>
            </w:r>
          </w:p>
        </w:tc>
      </w:tr>
      <w:tr w:rsidR="004E7974" w:rsidRPr="005D4222" w14:paraId="6525A458" w14:textId="77777777" w:rsidTr="00A53E8C">
        <w:tc>
          <w:tcPr>
            <w:tcW w:w="0" w:type="auto"/>
            <w:tcBorders>
              <w:top w:val="single" w:sz="4" w:space="0" w:color="auto"/>
              <w:left w:val="nil"/>
              <w:bottom w:val="nil"/>
              <w:right w:val="single" w:sz="4" w:space="0" w:color="auto"/>
            </w:tcBorders>
            <w:shd w:val="clear" w:color="auto" w:fill="FFFFFF"/>
          </w:tcPr>
          <w:p w14:paraId="2BCE0BA8" w14:textId="77777777" w:rsidR="00D274D2" w:rsidRPr="005D4222" w:rsidRDefault="00D274D2" w:rsidP="00A53E8C">
            <w:pPr>
              <w:pStyle w:val="TableText"/>
            </w:pPr>
          </w:p>
        </w:tc>
        <w:tc>
          <w:tcPr>
            <w:tcW w:w="0" w:type="auto"/>
            <w:tcBorders>
              <w:top w:val="single" w:sz="4" w:space="0" w:color="auto"/>
              <w:left w:val="single" w:sz="4" w:space="0" w:color="auto"/>
              <w:bottom w:val="single" w:sz="4" w:space="0" w:color="000000"/>
              <w:right w:val="single" w:sz="4" w:space="0" w:color="000000"/>
            </w:tcBorders>
            <w:shd w:val="clear" w:color="auto" w:fill="FFFFFF"/>
          </w:tcPr>
          <w:p w14:paraId="1AA1F563" w14:textId="77777777" w:rsidR="00D274D2" w:rsidRPr="005D4222" w:rsidRDefault="00D274D2" w:rsidP="00A53E8C">
            <w:pPr>
              <w:pStyle w:val="TableText"/>
            </w:pPr>
            <w:r w:rsidRPr="005D4222">
              <w:t>1-4</w:t>
            </w:r>
          </w:p>
        </w:tc>
        <w:tc>
          <w:tcPr>
            <w:tcW w:w="0" w:type="auto"/>
            <w:tcBorders>
              <w:top w:val="single" w:sz="4" w:space="0" w:color="000000"/>
              <w:left w:val="single" w:sz="4" w:space="0" w:color="000000"/>
              <w:bottom w:val="single" w:sz="4" w:space="0" w:color="000000"/>
              <w:right w:val="single" w:sz="4" w:space="0" w:color="000000"/>
            </w:tcBorders>
            <w:shd w:val="clear" w:color="auto" w:fill="D9D9D9"/>
          </w:tcPr>
          <w:p w14:paraId="524FAA22" w14:textId="77777777" w:rsidR="00D274D2" w:rsidRPr="005D4222" w:rsidRDefault="00D274D2" w:rsidP="00A53E8C">
            <w:pPr>
              <w:pStyle w:val="TableText"/>
            </w:pPr>
            <w:r w:rsidRPr="005D4222">
              <w:t>Rate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Pr>
          <w:p w14:paraId="553ECC04" w14:textId="77777777" w:rsidR="00D274D2" w:rsidRPr="005D4222" w:rsidRDefault="00D274D2" w:rsidP="00A53E8C">
            <w:pPr>
              <w:pStyle w:val="TableText"/>
              <w:rPr>
                <w:rFonts w:eastAsia="Wingdings"/>
              </w:rPr>
            </w:pPr>
            <w:r w:rsidRPr="005D4222">
              <w:rPr>
                <w:rFonts w:eastAsia="Wingdings"/>
              </w:rPr>
              <w:t>(Member Years)</w:t>
            </w:r>
          </w:p>
        </w:tc>
      </w:tr>
      <w:tr w:rsidR="004E7974" w:rsidRPr="005D4222" w14:paraId="5B22F5EE" w14:textId="77777777" w:rsidTr="00A53E8C">
        <w:tc>
          <w:tcPr>
            <w:tcW w:w="0" w:type="auto"/>
            <w:tcBorders>
              <w:top w:val="nil"/>
              <w:left w:val="nil"/>
              <w:bottom w:val="nil"/>
              <w:right w:val="single" w:sz="4" w:space="0" w:color="000000"/>
            </w:tcBorders>
            <w:shd w:val="clear" w:color="auto" w:fill="FFFFFF"/>
          </w:tcPr>
          <w:p w14:paraId="701EBD93" w14:textId="77777777" w:rsidR="00D274D2" w:rsidRPr="005D4222" w:rsidRDefault="00D274D2" w:rsidP="00A53E8C">
            <w:pPr>
              <w:pStyle w:val="TableText"/>
            </w:pP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65BA909" w14:textId="77777777" w:rsidR="00D274D2" w:rsidRPr="005D4222" w:rsidRDefault="00D274D2" w:rsidP="00A53E8C">
            <w:pPr>
              <w:pStyle w:val="TableText"/>
            </w:pPr>
            <w:r w:rsidRPr="005D4222">
              <w:t>5-9</w:t>
            </w:r>
          </w:p>
        </w:tc>
        <w:tc>
          <w:tcPr>
            <w:tcW w:w="0" w:type="auto"/>
            <w:tcBorders>
              <w:top w:val="single" w:sz="4" w:space="0" w:color="000000"/>
              <w:left w:val="single" w:sz="4" w:space="0" w:color="000000"/>
              <w:bottom w:val="nil"/>
              <w:right w:val="nil"/>
            </w:tcBorders>
            <w:shd w:val="clear" w:color="auto" w:fill="FFFFFF"/>
          </w:tcPr>
          <w:p w14:paraId="6570A931" w14:textId="77777777" w:rsidR="00D274D2" w:rsidRPr="005D4222" w:rsidRDefault="00D274D2" w:rsidP="00A53E8C">
            <w:pPr>
              <w:pStyle w:val="TableText"/>
            </w:pPr>
          </w:p>
        </w:tc>
        <w:tc>
          <w:tcPr>
            <w:tcW w:w="0" w:type="auto"/>
            <w:tcBorders>
              <w:top w:val="single" w:sz="4" w:space="0" w:color="000000"/>
              <w:left w:val="nil"/>
              <w:bottom w:val="nil"/>
              <w:right w:val="nil"/>
            </w:tcBorders>
            <w:shd w:val="clear" w:color="auto" w:fill="FFFFFF"/>
          </w:tcPr>
          <w:p w14:paraId="2E179E5C" w14:textId="77777777" w:rsidR="00D274D2" w:rsidRPr="005D4222" w:rsidRDefault="00D274D2" w:rsidP="00A53E8C">
            <w:pPr>
              <w:pStyle w:val="TableText"/>
              <w:rPr>
                <w:rFonts w:eastAsia="Wingdings"/>
              </w:rPr>
            </w:pPr>
          </w:p>
        </w:tc>
      </w:tr>
      <w:tr w:rsidR="00647433" w:rsidRPr="005D4222" w14:paraId="4F134E3F" w14:textId="77777777" w:rsidTr="00A53E8C">
        <w:tc>
          <w:tcPr>
            <w:tcW w:w="0" w:type="auto"/>
            <w:tcBorders>
              <w:top w:val="nil"/>
              <w:left w:val="nil"/>
              <w:bottom w:val="nil"/>
              <w:right w:val="single" w:sz="4" w:space="0" w:color="000000"/>
            </w:tcBorders>
            <w:shd w:val="clear" w:color="auto" w:fill="FFFFFF"/>
          </w:tcPr>
          <w:p w14:paraId="67418260" w14:textId="77777777" w:rsidR="00D274D2" w:rsidRPr="005D4222" w:rsidRDefault="00D274D2" w:rsidP="00A53E8C">
            <w:pPr>
              <w:pStyle w:val="TableText"/>
            </w:pP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73391B0" w14:textId="77777777" w:rsidR="00D274D2" w:rsidRPr="005D4222" w:rsidRDefault="00D274D2" w:rsidP="00A53E8C">
            <w:pPr>
              <w:pStyle w:val="TableText"/>
            </w:pPr>
            <w:r w:rsidRPr="005D4222">
              <w:t>10-14</w:t>
            </w:r>
          </w:p>
        </w:tc>
        <w:tc>
          <w:tcPr>
            <w:tcW w:w="0" w:type="auto"/>
            <w:tcBorders>
              <w:top w:val="nil"/>
              <w:left w:val="nil"/>
              <w:bottom w:val="nil"/>
              <w:right w:val="nil"/>
            </w:tcBorders>
            <w:shd w:val="clear" w:color="auto" w:fill="FFFFFF"/>
          </w:tcPr>
          <w:p w14:paraId="7068ED98" w14:textId="77777777" w:rsidR="00D274D2" w:rsidRPr="005D4222" w:rsidRDefault="00D274D2" w:rsidP="00A53E8C">
            <w:pPr>
              <w:pStyle w:val="TableText"/>
            </w:pPr>
          </w:p>
        </w:tc>
        <w:tc>
          <w:tcPr>
            <w:tcW w:w="0" w:type="auto"/>
            <w:tcBorders>
              <w:top w:val="nil"/>
              <w:left w:val="nil"/>
              <w:bottom w:val="nil"/>
              <w:right w:val="nil"/>
            </w:tcBorders>
            <w:shd w:val="clear" w:color="auto" w:fill="FFFFFF"/>
          </w:tcPr>
          <w:p w14:paraId="046FC633" w14:textId="77777777" w:rsidR="00D274D2" w:rsidRPr="005D4222" w:rsidRDefault="00D274D2" w:rsidP="00A53E8C">
            <w:pPr>
              <w:pStyle w:val="TableText"/>
              <w:rPr>
                <w:rFonts w:eastAsia="Wingdings"/>
              </w:rPr>
            </w:pPr>
          </w:p>
        </w:tc>
      </w:tr>
      <w:tr w:rsidR="00647433" w:rsidRPr="005D4222" w14:paraId="2B3B3FA4" w14:textId="77777777" w:rsidTr="00A53E8C">
        <w:tc>
          <w:tcPr>
            <w:tcW w:w="0" w:type="auto"/>
            <w:tcBorders>
              <w:top w:val="nil"/>
              <w:left w:val="nil"/>
              <w:bottom w:val="nil"/>
              <w:right w:val="single" w:sz="4" w:space="0" w:color="000000"/>
            </w:tcBorders>
            <w:shd w:val="clear" w:color="auto" w:fill="FFFFFF"/>
          </w:tcPr>
          <w:p w14:paraId="32AD97CF" w14:textId="77777777" w:rsidR="00D274D2" w:rsidRPr="005D4222" w:rsidRDefault="00D274D2" w:rsidP="00A53E8C">
            <w:pPr>
              <w:pStyle w:val="TableText"/>
            </w:pP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8A5C0A2" w14:textId="77777777" w:rsidR="00D274D2" w:rsidRPr="005D4222" w:rsidRDefault="00D274D2" w:rsidP="00A53E8C">
            <w:pPr>
              <w:pStyle w:val="TableText"/>
            </w:pPr>
            <w:r w:rsidRPr="005D4222">
              <w:t>15-17</w:t>
            </w:r>
          </w:p>
        </w:tc>
        <w:tc>
          <w:tcPr>
            <w:tcW w:w="0" w:type="auto"/>
            <w:tcBorders>
              <w:top w:val="nil"/>
              <w:left w:val="nil"/>
              <w:bottom w:val="nil"/>
              <w:right w:val="nil"/>
            </w:tcBorders>
            <w:shd w:val="clear" w:color="auto" w:fill="FFFFFF"/>
          </w:tcPr>
          <w:p w14:paraId="19DBD7ED" w14:textId="77777777" w:rsidR="00D274D2" w:rsidRPr="005D4222" w:rsidRDefault="00D274D2" w:rsidP="00A53E8C">
            <w:pPr>
              <w:pStyle w:val="TableText"/>
            </w:pPr>
          </w:p>
        </w:tc>
        <w:tc>
          <w:tcPr>
            <w:tcW w:w="0" w:type="auto"/>
            <w:tcBorders>
              <w:top w:val="nil"/>
              <w:left w:val="nil"/>
              <w:bottom w:val="nil"/>
              <w:right w:val="nil"/>
            </w:tcBorders>
            <w:shd w:val="clear" w:color="auto" w:fill="FFFFFF"/>
          </w:tcPr>
          <w:p w14:paraId="21F7671B" w14:textId="77777777" w:rsidR="00D274D2" w:rsidRPr="005D4222" w:rsidRDefault="00D274D2" w:rsidP="00A53E8C">
            <w:pPr>
              <w:pStyle w:val="TableText"/>
              <w:rPr>
                <w:rFonts w:eastAsia="Wingdings"/>
              </w:rPr>
            </w:pPr>
          </w:p>
        </w:tc>
      </w:tr>
      <w:tr w:rsidR="00647433" w:rsidRPr="005D4222" w14:paraId="36A632EC" w14:textId="77777777" w:rsidTr="00A53E8C">
        <w:tc>
          <w:tcPr>
            <w:tcW w:w="0" w:type="auto"/>
            <w:tcBorders>
              <w:top w:val="nil"/>
              <w:left w:val="nil"/>
              <w:bottom w:val="nil"/>
              <w:right w:val="single" w:sz="4" w:space="0" w:color="000000"/>
            </w:tcBorders>
            <w:shd w:val="clear" w:color="auto" w:fill="FFFFFF"/>
          </w:tcPr>
          <w:p w14:paraId="1B053F56" w14:textId="77777777" w:rsidR="00D274D2" w:rsidRPr="005D4222" w:rsidRDefault="00D274D2" w:rsidP="00A53E8C">
            <w:pPr>
              <w:pStyle w:val="TableText"/>
            </w:pP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35B8808" w14:textId="77777777" w:rsidR="00D274D2" w:rsidRPr="005D4222" w:rsidRDefault="00D274D2" w:rsidP="00A53E8C">
            <w:pPr>
              <w:pStyle w:val="TableText"/>
            </w:pPr>
            <w:r w:rsidRPr="005D4222">
              <w:t>18-19</w:t>
            </w:r>
          </w:p>
        </w:tc>
        <w:tc>
          <w:tcPr>
            <w:tcW w:w="0" w:type="auto"/>
            <w:tcBorders>
              <w:top w:val="nil"/>
              <w:left w:val="nil"/>
              <w:bottom w:val="nil"/>
              <w:right w:val="nil"/>
            </w:tcBorders>
            <w:shd w:val="clear" w:color="auto" w:fill="FFFFFF"/>
          </w:tcPr>
          <w:p w14:paraId="597E60D0" w14:textId="77777777" w:rsidR="00D274D2" w:rsidRPr="005D4222" w:rsidRDefault="00D274D2" w:rsidP="00A53E8C">
            <w:pPr>
              <w:pStyle w:val="TableText"/>
            </w:pPr>
          </w:p>
        </w:tc>
        <w:tc>
          <w:tcPr>
            <w:tcW w:w="0" w:type="auto"/>
            <w:tcBorders>
              <w:top w:val="nil"/>
              <w:left w:val="nil"/>
              <w:bottom w:val="nil"/>
              <w:right w:val="nil"/>
            </w:tcBorders>
            <w:shd w:val="clear" w:color="auto" w:fill="FFFFFF"/>
          </w:tcPr>
          <w:p w14:paraId="6054F775" w14:textId="77777777" w:rsidR="00D274D2" w:rsidRPr="005D4222" w:rsidRDefault="00D274D2" w:rsidP="00A53E8C">
            <w:pPr>
              <w:pStyle w:val="TableText"/>
              <w:rPr>
                <w:rFonts w:eastAsia="Wingdings"/>
              </w:rPr>
            </w:pPr>
          </w:p>
        </w:tc>
      </w:tr>
      <w:tr w:rsidR="00647433" w:rsidRPr="005D4222" w14:paraId="2F8D0488" w14:textId="77777777" w:rsidTr="00A53E8C">
        <w:tc>
          <w:tcPr>
            <w:tcW w:w="0" w:type="auto"/>
            <w:tcBorders>
              <w:top w:val="nil"/>
              <w:left w:val="nil"/>
              <w:bottom w:val="nil"/>
              <w:right w:val="single" w:sz="4" w:space="0" w:color="000000"/>
            </w:tcBorders>
            <w:shd w:val="clear" w:color="auto" w:fill="FFFFFF"/>
          </w:tcPr>
          <w:p w14:paraId="20FC6566" w14:textId="77777777" w:rsidR="00D274D2" w:rsidRPr="005D4222" w:rsidRDefault="00D274D2" w:rsidP="00A53E8C">
            <w:pPr>
              <w:pStyle w:val="TableText"/>
            </w:pP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DCAAF7B" w14:textId="77777777" w:rsidR="00D274D2" w:rsidRPr="005D4222" w:rsidRDefault="00D274D2" w:rsidP="00A53E8C">
            <w:pPr>
              <w:pStyle w:val="TableText"/>
            </w:pPr>
            <w:r w:rsidRPr="005D4222">
              <w:t>20-24</w:t>
            </w:r>
          </w:p>
        </w:tc>
        <w:tc>
          <w:tcPr>
            <w:tcW w:w="0" w:type="auto"/>
            <w:tcBorders>
              <w:top w:val="nil"/>
              <w:left w:val="nil"/>
              <w:bottom w:val="nil"/>
              <w:right w:val="nil"/>
            </w:tcBorders>
            <w:shd w:val="clear" w:color="auto" w:fill="FFFFFF"/>
          </w:tcPr>
          <w:p w14:paraId="33BAC8B7" w14:textId="77777777" w:rsidR="00D274D2" w:rsidRPr="005D4222" w:rsidRDefault="00D274D2" w:rsidP="00A53E8C">
            <w:pPr>
              <w:pStyle w:val="TableText"/>
            </w:pPr>
          </w:p>
        </w:tc>
        <w:tc>
          <w:tcPr>
            <w:tcW w:w="0" w:type="auto"/>
            <w:tcBorders>
              <w:top w:val="nil"/>
              <w:left w:val="nil"/>
              <w:bottom w:val="nil"/>
              <w:right w:val="nil"/>
            </w:tcBorders>
            <w:shd w:val="clear" w:color="auto" w:fill="FFFFFF"/>
          </w:tcPr>
          <w:p w14:paraId="1FB2F5D1" w14:textId="77777777" w:rsidR="00D274D2" w:rsidRPr="005D4222" w:rsidRDefault="00D274D2" w:rsidP="00A53E8C">
            <w:pPr>
              <w:pStyle w:val="TableText"/>
              <w:rPr>
                <w:rFonts w:eastAsia="Wingdings"/>
              </w:rPr>
            </w:pPr>
          </w:p>
        </w:tc>
      </w:tr>
      <w:tr w:rsidR="00647433" w:rsidRPr="005D4222" w14:paraId="62A3FDB3" w14:textId="77777777" w:rsidTr="00A53E8C">
        <w:tc>
          <w:tcPr>
            <w:tcW w:w="0" w:type="auto"/>
            <w:tcBorders>
              <w:top w:val="nil"/>
              <w:left w:val="nil"/>
              <w:bottom w:val="nil"/>
              <w:right w:val="single" w:sz="4" w:space="0" w:color="000000"/>
            </w:tcBorders>
            <w:shd w:val="clear" w:color="auto" w:fill="FFFFFF"/>
          </w:tcPr>
          <w:p w14:paraId="4FF39253" w14:textId="77777777" w:rsidR="00D274D2" w:rsidRPr="005D4222" w:rsidRDefault="00D274D2" w:rsidP="00A53E8C">
            <w:pPr>
              <w:pStyle w:val="TableText"/>
            </w:pP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E41477A" w14:textId="77777777" w:rsidR="00D274D2" w:rsidRPr="005D4222" w:rsidRDefault="00D274D2" w:rsidP="00A53E8C">
            <w:pPr>
              <w:pStyle w:val="TableText"/>
            </w:pPr>
            <w:r w:rsidRPr="005D4222">
              <w:t>25-29</w:t>
            </w:r>
          </w:p>
        </w:tc>
        <w:tc>
          <w:tcPr>
            <w:tcW w:w="0" w:type="auto"/>
            <w:tcBorders>
              <w:top w:val="nil"/>
              <w:left w:val="nil"/>
              <w:bottom w:val="nil"/>
              <w:right w:val="nil"/>
            </w:tcBorders>
            <w:shd w:val="clear" w:color="auto" w:fill="FFFFFF"/>
          </w:tcPr>
          <w:p w14:paraId="395FFE8B" w14:textId="77777777" w:rsidR="00D274D2" w:rsidRPr="005D4222" w:rsidRDefault="00D274D2" w:rsidP="00A53E8C">
            <w:pPr>
              <w:pStyle w:val="TableText"/>
            </w:pPr>
          </w:p>
        </w:tc>
        <w:tc>
          <w:tcPr>
            <w:tcW w:w="0" w:type="auto"/>
            <w:tcBorders>
              <w:top w:val="nil"/>
              <w:left w:val="nil"/>
              <w:bottom w:val="nil"/>
              <w:right w:val="nil"/>
            </w:tcBorders>
            <w:shd w:val="clear" w:color="auto" w:fill="FFFFFF"/>
          </w:tcPr>
          <w:p w14:paraId="32B4F190" w14:textId="77777777" w:rsidR="00D274D2" w:rsidRPr="005D4222" w:rsidRDefault="00D274D2" w:rsidP="00A53E8C">
            <w:pPr>
              <w:pStyle w:val="TableText"/>
              <w:rPr>
                <w:rFonts w:eastAsia="Wingdings"/>
              </w:rPr>
            </w:pPr>
          </w:p>
        </w:tc>
      </w:tr>
      <w:tr w:rsidR="00647433" w:rsidRPr="005D4222" w14:paraId="54B2FEEE" w14:textId="77777777" w:rsidTr="00A53E8C">
        <w:tc>
          <w:tcPr>
            <w:tcW w:w="0" w:type="auto"/>
            <w:tcBorders>
              <w:top w:val="nil"/>
              <w:left w:val="nil"/>
              <w:bottom w:val="nil"/>
              <w:right w:val="single" w:sz="4" w:space="0" w:color="000000"/>
            </w:tcBorders>
            <w:shd w:val="clear" w:color="auto" w:fill="FFFFFF"/>
          </w:tcPr>
          <w:p w14:paraId="48489471" w14:textId="77777777" w:rsidR="00D274D2" w:rsidRPr="005D4222" w:rsidRDefault="00D274D2" w:rsidP="00A53E8C">
            <w:pPr>
              <w:pStyle w:val="TableText"/>
            </w:pP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37399C8" w14:textId="77777777" w:rsidR="00D274D2" w:rsidRPr="005D4222" w:rsidRDefault="00D274D2" w:rsidP="00A53E8C">
            <w:pPr>
              <w:pStyle w:val="TableText"/>
            </w:pPr>
            <w:r w:rsidRPr="005D4222">
              <w:t>30-34</w:t>
            </w:r>
          </w:p>
        </w:tc>
        <w:tc>
          <w:tcPr>
            <w:tcW w:w="0" w:type="auto"/>
            <w:tcBorders>
              <w:top w:val="nil"/>
              <w:left w:val="nil"/>
              <w:bottom w:val="nil"/>
              <w:right w:val="nil"/>
            </w:tcBorders>
            <w:shd w:val="clear" w:color="auto" w:fill="FFFFFF"/>
          </w:tcPr>
          <w:p w14:paraId="24DF4242" w14:textId="77777777" w:rsidR="00D274D2" w:rsidRPr="005D4222" w:rsidRDefault="00D274D2" w:rsidP="00A53E8C">
            <w:pPr>
              <w:pStyle w:val="TableText"/>
            </w:pPr>
          </w:p>
        </w:tc>
        <w:tc>
          <w:tcPr>
            <w:tcW w:w="0" w:type="auto"/>
            <w:tcBorders>
              <w:top w:val="nil"/>
              <w:left w:val="nil"/>
              <w:bottom w:val="nil"/>
              <w:right w:val="nil"/>
            </w:tcBorders>
            <w:shd w:val="clear" w:color="auto" w:fill="FFFFFF"/>
          </w:tcPr>
          <w:p w14:paraId="23FDA516" w14:textId="77777777" w:rsidR="00D274D2" w:rsidRPr="005D4222" w:rsidRDefault="00D274D2" w:rsidP="00A53E8C">
            <w:pPr>
              <w:pStyle w:val="TableText"/>
              <w:rPr>
                <w:rFonts w:eastAsia="Wingdings"/>
              </w:rPr>
            </w:pPr>
          </w:p>
        </w:tc>
      </w:tr>
      <w:tr w:rsidR="00647433" w:rsidRPr="005D4222" w14:paraId="0AD1F8D4" w14:textId="77777777" w:rsidTr="00A53E8C">
        <w:tc>
          <w:tcPr>
            <w:tcW w:w="0" w:type="auto"/>
            <w:tcBorders>
              <w:top w:val="nil"/>
              <w:left w:val="nil"/>
              <w:bottom w:val="nil"/>
              <w:right w:val="single" w:sz="4" w:space="0" w:color="000000"/>
            </w:tcBorders>
            <w:shd w:val="clear" w:color="auto" w:fill="FFFFFF"/>
          </w:tcPr>
          <w:p w14:paraId="71EAC44E" w14:textId="77777777" w:rsidR="00D274D2" w:rsidRPr="005D4222" w:rsidRDefault="00D274D2" w:rsidP="00A53E8C">
            <w:pPr>
              <w:pStyle w:val="TableText"/>
            </w:pP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679C7FD" w14:textId="77777777" w:rsidR="00D274D2" w:rsidRPr="005D4222" w:rsidRDefault="00D274D2" w:rsidP="00A53E8C">
            <w:pPr>
              <w:pStyle w:val="TableText"/>
            </w:pPr>
            <w:r w:rsidRPr="005D4222">
              <w:t>35-39</w:t>
            </w:r>
          </w:p>
        </w:tc>
        <w:tc>
          <w:tcPr>
            <w:tcW w:w="0" w:type="auto"/>
            <w:tcBorders>
              <w:top w:val="nil"/>
              <w:left w:val="nil"/>
              <w:bottom w:val="nil"/>
              <w:right w:val="nil"/>
            </w:tcBorders>
            <w:shd w:val="clear" w:color="auto" w:fill="FFFFFF"/>
          </w:tcPr>
          <w:p w14:paraId="18FA253B" w14:textId="77777777" w:rsidR="00D274D2" w:rsidRPr="005D4222" w:rsidRDefault="00D274D2" w:rsidP="00A53E8C">
            <w:pPr>
              <w:pStyle w:val="TableText"/>
            </w:pPr>
          </w:p>
        </w:tc>
        <w:tc>
          <w:tcPr>
            <w:tcW w:w="0" w:type="auto"/>
            <w:tcBorders>
              <w:top w:val="nil"/>
              <w:left w:val="nil"/>
              <w:bottom w:val="nil"/>
              <w:right w:val="nil"/>
            </w:tcBorders>
            <w:shd w:val="clear" w:color="auto" w:fill="FFFFFF"/>
          </w:tcPr>
          <w:p w14:paraId="4F7306A0" w14:textId="77777777" w:rsidR="00D274D2" w:rsidRPr="005D4222" w:rsidRDefault="00D274D2" w:rsidP="00A53E8C">
            <w:pPr>
              <w:pStyle w:val="TableText"/>
              <w:rPr>
                <w:rFonts w:eastAsia="Wingdings"/>
              </w:rPr>
            </w:pPr>
          </w:p>
        </w:tc>
      </w:tr>
      <w:tr w:rsidR="00647433" w:rsidRPr="005D4222" w14:paraId="275F4817" w14:textId="77777777" w:rsidTr="00A53E8C">
        <w:tc>
          <w:tcPr>
            <w:tcW w:w="0" w:type="auto"/>
            <w:tcBorders>
              <w:top w:val="nil"/>
              <w:left w:val="nil"/>
              <w:bottom w:val="nil"/>
              <w:right w:val="single" w:sz="4" w:space="0" w:color="000000"/>
            </w:tcBorders>
            <w:shd w:val="clear" w:color="auto" w:fill="FFFFFF"/>
          </w:tcPr>
          <w:p w14:paraId="3443822E" w14:textId="77777777" w:rsidR="00D274D2" w:rsidRPr="005D4222" w:rsidRDefault="00D274D2" w:rsidP="00A53E8C">
            <w:pPr>
              <w:pStyle w:val="TableText"/>
            </w:pP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CE5FC26" w14:textId="77777777" w:rsidR="00D274D2" w:rsidRPr="005D4222" w:rsidRDefault="00D274D2" w:rsidP="00A53E8C">
            <w:pPr>
              <w:pStyle w:val="TableText"/>
            </w:pPr>
            <w:r w:rsidRPr="005D4222">
              <w:t>40-44</w:t>
            </w:r>
          </w:p>
        </w:tc>
        <w:tc>
          <w:tcPr>
            <w:tcW w:w="0" w:type="auto"/>
            <w:tcBorders>
              <w:top w:val="nil"/>
              <w:left w:val="nil"/>
              <w:bottom w:val="nil"/>
              <w:right w:val="nil"/>
            </w:tcBorders>
            <w:shd w:val="clear" w:color="auto" w:fill="FFFFFF"/>
          </w:tcPr>
          <w:p w14:paraId="3E0704B0" w14:textId="77777777" w:rsidR="00D274D2" w:rsidRPr="005D4222" w:rsidRDefault="00D274D2" w:rsidP="00A53E8C">
            <w:pPr>
              <w:pStyle w:val="TableText"/>
            </w:pPr>
          </w:p>
        </w:tc>
        <w:tc>
          <w:tcPr>
            <w:tcW w:w="0" w:type="auto"/>
            <w:tcBorders>
              <w:top w:val="nil"/>
              <w:left w:val="nil"/>
              <w:bottom w:val="nil"/>
              <w:right w:val="nil"/>
            </w:tcBorders>
            <w:shd w:val="clear" w:color="auto" w:fill="FFFFFF"/>
          </w:tcPr>
          <w:p w14:paraId="2E4BA756" w14:textId="77777777" w:rsidR="00D274D2" w:rsidRPr="005D4222" w:rsidRDefault="00D274D2" w:rsidP="00A53E8C">
            <w:pPr>
              <w:pStyle w:val="TableText"/>
              <w:rPr>
                <w:rFonts w:eastAsia="Wingdings"/>
              </w:rPr>
            </w:pPr>
          </w:p>
        </w:tc>
      </w:tr>
      <w:tr w:rsidR="00647433" w:rsidRPr="005D4222" w14:paraId="31D32366" w14:textId="77777777" w:rsidTr="00A53E8C">
        <w:tc>
          <w:tcPr>
            <w:tcW w:w="0" w:type="auto"/>
            <w:tcBorders>
              <w:top w:val="nil"/>
              <w:left w:val="nil"/>
              <w:bottom w:val="nil"/>
              <w:right w:val="single" w:sz="4" w:space="0" w:color="000000"/>
            </w:tcBorders>
            <w:shd w:val="clear" w:color="auto" w:fill="FFFFFF"/>
          </w:tcPr>
          <w:p w14:paraId="0D5D5687" w14:textId="77777777" w:rsidR="00D274D2" w:rsidRPr="005D4222" w:rsidRDefault="00D274D2" w:rsidP="00A53E8C">
            <w:pPr>
              <w:pStyle w:val="TableText"/>
            </w:pP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0CD270C" w14:textId="77777777" w:rsidR="00D274D2" w:rsidRPr="005D4222" w:rsidRDefault="00D274D2" w:rsidP="00A53E8C">
            <w:pPr>
              <w:pStyle w:val="TableText"/>
            </w:pPr>
            <w:r w:rsidRPr="005D4222">
              <w:t>45-49</w:t>
            </w:r>
          </w:p>
        </w:tc>
        <w:tc>
          <w:tcPr>
            <w:tcW w:w="0" w:type="auto"/>
            <w:tcBorders>
              <w:top w:val="nil"/>
              <w:left w:val="nil"/>
              <w:bottom w:val="nil"/>
              <w:right w:val="nil"/>
            </w:tcBorders>
            <w:shd w:val="clear" w:color="auto" w:fill="FFFFFF"/>
          </w:tcPr>
          <w:p w14:paraId="695FE56D" w14:textId="77777777" w:rsidR="00D274D2" w:rsidRPr="005D4222" w:rsidRDefault="00D274D2" w:rsidP="00A53E8C">
            <w:pPr>
              <w:pStyle w:val="TableText"/>
            </w:pPr>
          </w:p>
        </w:tc>
        <w:tc>
          <w:tcPr>
            <w:tcW w:w="0" w:type="auto"/>
            <w:tcBorders>
              <w:top w:val="nil"/>
              <w:left w:val="nil"/>
              <w:bottom w:val="nil"/>
              <w:right w:val="nil"/>
            </w:tcBorders>
            <w:shd w:val="clear" w:color="auto" w:fill="FFFFFF"/>
          </w:tcPr>
          <w:p w14:paraId="1EF18049" w14:textId="77777777" w:rsidR="00D274D2" w:rsidRPr="005D4222" w:rsidRDefault="00D274D2" w:rsidP="00A53E8C">
            <w:pPr>
              <w:pStyle w:val="TableText"/>
              <w:rPr>
                <w:rFonts w:eastAsia="Wingdings"/>
              </w:rPr>
            </w:pPr>
          </w:p>
        </w:tc>
      </w:tr>
      <w:tr w:rsidR="00647433" w:rsidRPr="005D4222" w14:paraId="7F6374D3" w14:textId="77777777" w:rsidTr="00A53E8C">
        <w:tc>
          <w:tcPr>
            <w:tcW w:w="0" w:type="auto"/>
            <w:tcBorders>
              <w:top w:val="nil"/>
              <w:left w:val="nil"/>
              <w:bottom w:val="nil"/>
              <w:right w:val="single" w:sz="4" w:space="0" w:color="000000"/>
            </w:tcBorders>
            <w:shd w:val="clear" w:color="auto" w:fill="FFFFFF"/>
          </w:tcPr>
          <w:p w14:paraId="0C01C059" w14:textId="77777777" w:rsidR="00D274D2" w:rsidRPr="005D4222" w:rsidRDefault="00D274D2" w:rsidP="00A53E8C">
            <w:pPr>
              <w:pStyle w:val="TableText"/>
            </w:pP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A3CC3F7" w14:textId="77777777" w:rsidR="00D274D2" w:rsidRPr="005D4222" w:rsidRDefault="00D274D2" w:rsidP="00A53E8C">
            <w:pPr>
              <w:pStyle w:val="TableText"/>
            </w:pPr>
            <w:r w:rsidRPr="005D4222">
              <w:t>50-54</w:t>
            </w:r>
          </w:p>
        </w:tc>
        <w:tc>
          <w:tcPr>
            <w:tcW w:w="0" w:type="auto"/>
            <w:tcBorders>
              <w:top w:val="nil"/>
              <w:left w:val="nil"/>
              <w:bottom w:val="nil"/>
              <w:right w:val="nil"/>
            </w:tcBorders>
            <w:shd w:val="clear" w:color="auto" w:fill="FFFFFF"/>
          </w:tcPr>
          <w:p w14:paraId="4836A5F5" w14:textId="77777777" w:rsidR="00D274D2" w:rsidRPr="005D4222" w:rsidRDefault="00D274D2" w:rsidP="00A53E8C">
            <w:pPr>
              <w:pStyle w:val="TableText"/>
            </w:pPr>
          </w:p>
        </w:tc>
        <w:tc>
          <w:tcPr>
            <w:tcW w:w="0" w:type="auto"/>
            <w:tcBorders>
              <w:top w:val="nil"/>
              <w:left w:val="nil"/>
              <w:bottom w:val="nil"/>
              <w:right w:val="nil"/>
            </w:tcBorders>
            <w:shd w:val="clear" w:color="auto" w:fill="FFFFFF"/>
          </w:tcPr>
          <w:p w14:paraId="73898FED" w14:textId="77777777" w:rsidR="00D274D2" w:rsidRPr="005D4222" w:rsidRDefault="00D274D2" w:rsidP="00A53E8C">
            <w:pPr>
              <w:pStyle w:val="TableText"/>
              <w:rPr>
                <w:rFonts w:eastAsia="Wingdings"/>
              </w:rPr>
            </w:pPr>
          </w:p>
        </w:tc>
      </w:tr>
      <w:tr w:rsidR="00647433" w:rsidRPr="005D4222" w14:paraId="36C35252" w14:textId="77777777" w:rsidTr="00A53E8C">
        <w:tc>
          <w:tcPr>
            <w:tcW w:w="0" w:type="auto"/>
            <w:tcBorders>
              <w:top w:val="nil"/>
              <w:left w:val="nil"/>
              <w:bottom w:val="nil"/>
              <w:right w:val="single" w:sz="4" w:space="0" w:color="000000"/>
            </w:tcBorders>
            <w:shd w:val="clear" w:color="auto" w:fill="FFFFFF"/>
          </w:tcPr>
          <w:p w14:paraId="2585BB10" w14:textId="77777777" w:rsidR="00D274D2" w:rsidRPr="005D4222" w:rsidRDefault="00D274D2" w:rsidP="00A53E8C">
            <w:pPr>
              <w:pStyle w:val="TableText"/>
            </w:pP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6662AC2" w14:textId="77777777" w:rsidR="00D274D2" w:rsidRPr="005D4222" w:rsidRDefault="00D274D2" w:rsidP="00A53E8C">
            <w:pPr>
              <w:pStyle w:val="TableText"/>
            </w:pPr>
            <w:r w:rsidRPr="005D4222">
              <w:t>55-59</w:t>
            </w:r>
          </w:p>
        </w:tc>
        <w:tc>
          <w:tcPr>
            <w:tcW w:w="0" w:type="auto"/>
            <w:tcBorders>
              <w:top w:val="nil"/>
              <w:left w:val="nil"/>
              <w:bottom w:val="nil"/>
              <w:right w:val="nil"/>
            </w:tcBorders>
            <w:shd w:val="clear" w:color="auto" w:fill="FFFFFF"/>
          </w:tcPr>
          <w:p w14:paraId="68831510" w14:textId="77777777" w:rsidR="00D274D2" w:rsidRPr="005D4222" w:rsidRDefault="00D274D2" w:rsidP="00A53E8C">
            <w:pPr>
              <w:pStyle w:val="TableText"/>
            </w:pPr>
          </w:p>
        </w:tc>
        <w:tc>
          <w:tcPr>
            <w:tcW w:w="0" w:type="auto"/>
            <w:tcBorders>
              <w:top w:val="nil"/>
              <w:left w:val="nil"/>
              <w:bottom w:val="nil"/>
              <w:right w:val="nil"/>
            </w:tcBorders>
            <w:shd w:val="clear" w:color="auto" w:fill="FFFFFF"/>
          </w:tcPr>
          <w:p w14:paraId="07CBF6AF" w14:textId="77777777" w:rsidR="00D274D2" w:rsidRPr="005D4222" w:rsidRDefault="00D274D2" w:rsidP="00A53E8C">
            <w:pPr>
              <w:pStyle w:val="TableText"/>
              <w:rPr>
                <w:rFonts w:eastAsia="Wingdings"/>
              </w:rPr>
            </w:pPr>
          </w:p>
        </w:tc>
      </w:tr>
      <w:tr w:rsidR="00647433" w:rsidRPr="005D4222" w14:paraId="166829C0" w14:textId="77777777" w:rsidTr="00A53E8C">
        <w:tc>
          <w:tcPr>
            <w:tcW w:w="0" w:type="auto"/>
            <w:tcBorders>
              <w:top w:val="nil"/>
              <w:left w:val="nil"/>
              <w:bottom w:val="nil"/>
              <w:right w:val="single" w:sz="4" w:space="0" w:color="000000"/>
            </w:tcBorders>
            <w:shd w:val="clear" w:color="auto" w:fill="FFFFFF"/>
          </w:tcPr>
          <w:p w14:paraId="7E39D6D9" w14:textId="77777777" w:rsidR="00D274D2" w:rsidRPr="005D4222" w:rsidRDefault="00D274D2" w:rsidP="00A53E8C">
            <w:pPr>
              <w:pStyle w:val="TableText"/>
            </w:pP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BF4327B" w14:textId="77777777" w:rsidR="00D274D2" w:rsidRPr="005D4222" w:rsidRDefault="00D274D2" w:rsidP="00A53E8C">
            <w:pPr>
              <w:pStyle w:val="TableText"/>
            </w:pPr>
            <w:r w:rsidRPr="005D4222">
              <w:t>60-64</w:t>
            </w:r>
          </w:p>
        </w:tc>
        <w:tc>
          <w:tcPr>
            <w:tcW w:w="0" w:type="auto"/>
            <w:tcBorders>
              <w:top w:val="nil"/>
              <w:left w:val="nil"/>
              <w:bottom w:val="nil"/>
              <w:right w:val="nil"/>
            </w:tcBorders>
            <w:shd w:val="clear" w:color="auto" w:fill="FFFFFF"/>
          </w:tcPr>
          <w:p w14:paraId="32413EAC" w14:textId="77777777" w:rsidR="00D274D2" w:rsidRPr="005D4222" w:rsidRDefault="00D274D2" w:rsidP="00A53E8C">
            <w:pPr>
              <w:pStyle w:val="TableText"/>
            </w:pPr>
          </w:p>
        </w:tc>
        <w:tc>
          <w:tcPr>
            <w:tcW w:w="0" w:type="auto"/>
            <w:tcBorders>
              <w:top w:val="nil"/>
              <w:left w:val="nil"/>
              <w:bottom w:val="nil"/>
              <w:right w:val="nil"/>
            </w:tcBorders>
            <w:shd w:val="clear" w:color="auto" w:fill="FFFFFF"/>
          </w:tcPr>
          <w:p w14:paraId="0C0E29D9" w14:textId="77777777" w:rsidR="00D274D2" w:rsidRPr="005D4222" w:rsidRDefault="00D274D2" w:rsidP="00A53E8C">
            <w:pPr>
              <w:pStyle w:val="TableText"/>
              <w:rPr>
                <w:rFonts w:eastAsia="Wingdings"/>
              </w:rPr>
            </w:pPr>
          </w:p>
        </w:tc>
      </w:tr>
      <w:tr w:rsidR="00647433" w:rsidRPr="005D4222" w14:paraId="7E467D9B" w14:textId="77777777" w:rsidTr="00A53E8C">
        <w:tc>
          <w:tcPr>
            <w:tcW w:w="0" w:type="auto"/>
            <w:tcBorders>
              <w:top w:val="nil"/>
              <w:left w:val="nil"/>
              <w:bottom w:val="nil"/>
              <w:right w:val="single" w:sz="4" w:space="0" w:color="000000"/>
            </w:tcBorders>
            <w:shd w:val="clear" w:color="auto" w:fill="FFFFFF"/>
          </w:tcPr>
          <w:p w14:paraId="35165BE7" w14:textId="77777777" w:rsidR="00D274D2" w:rsidRPr="005D4222" w:rsidRDefault="00D274D2" w:rsidP="00A53E8C">
            <w:pPr>
              <w:pStyle w:val="TableText"/>
            </w:pP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5D08CC1" w14:textId="77777777" w:rsidR="00D274D2" w:rsidRPr="005D4222" w:rsidRDefault="00D274D2" w:rsidP="00A53E8C">
            <w:pPr>
              <w:pStyle w:val="TableText"/>
            </w:pPr>
            <w:r w:rsidRPr="005D4222">
              <w:t>65-69</w:t>
            </w:r>
          </w:p>
        </w:tc>
        <w:tc>
          <w:tcPr>
            <w:tcW w:w="0" w:type="auto"/>
            <w:tcBorders>
              <w:top w:val="nil"/>
              <w:left w:val="nil"/>
              <w:bottom w:val="nil"/>
              <w:right w:val="nil"/>
            </w:tcBorders>
            <w:shd w:val="clear" w:color="auto" w:fill="FFFFFF"/>
          </w:tcPr>
          <w:p w14:paraId="1CB487CE" w14:textId="77777777" w:rsidR="00D274D2" w:rsidRPr="005D4222" w:rsidRDefault="00D274D2" w:rsidP="00A53E8C">
            <w:pPr>
              <w:pStyle w:val="TableText"/>
            </w:pPr>
          </w:p>
        </w:tc>
        <w:tc>
          <w:tcPr>
            <w:tcW w:w="0" w:type="auto"/>
            <w:tcBorders>
              <w:top w:val="nil"/>
              <w:left w:val="nil"/>
              <w:bottom w:val="nil"/>
              <w:right w:val="nil"/>
            </w:tcBorders>
            <w:shd w:val="clear" w:color="auto" w:fill="FFFFFF"/>
          </w:tcPr>
          <w:p w14:paraId="54CAAC72" w14:textId="77777777" w:rsidR="00D274D2" w:rsidRPr="005D4222" w:rsidRDefault="00D274D2" w:rsidP="00A53E8C">
            <w:pPr>
              <w:pStyle w:val="TableText"/>
              <w:rPr>
                <w:rFonts w:eastAsia="Wingdings"/>
              </w:rPr>
            </w:pPr>
          </w:p>
        </w:tc>
      </w:tr>
      <w:tr w:rsidR="00647433" w:rsidRPr="005D4222" w14:paraId="1DEFBE81" w14:textId="77777777" w:rsidTr="00A53E8C">
        <w:tc>
          <w:tcPr>
            <w:tcW w:w="0" w:type="auto"/>
            <w:tcBorders>
              <w:top w:val="nil"/>
              <w:left w:val="nil"/>
              <w:bottom w:val="nil"/>
              <w:right w:val="single" w:sz="4" w:space="0" w:color="000000"/>
            </w:tcBorders>
            <w:shd w:val="clear" w:color="auto" w:fill="FFFFFF"/>
          </w:tcPr>
          <w:p w14:paraId="714DAE99" w14:textId="77777777" w:rsidR="00D274D2" w:rsidRPr="005D4222" w:rsidRDefault="00D274D2" w:rsidP="00A53E8C">
            <w:pPr>
              <w:pStyle w:val="TableText"/>
            </w:pP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C301732" w14:textId="77777777" w:rsidR="00D274D2" w:rsidRPr="005D4222" w:rsidRDefault="00D274D2" w:rsidP="00A53E8C">
            <w:pPr>
              <w:pStyle w:val="TableText"/>
            </w:pPr>
            <w:r w:rsidRPr="005D4222">
              <w:t>70-74</w:t>
            </w:r>
          </w:p>
        </w:tc>
        <w:tc>
          <w:tcPr>
            <w:tcW w:w="0" w:type="auto"/>
            <w:tcBorders>
              <w:top w:val="nil"/>
              <w:left w:val="nil"/>
              <w:bottom w:val="nil"/>
              <w:right w:val="nil"/>
            </w:tcBorders>
            <w:shd w:val="clear" w:color="auto" w:fill="FFFFFF"/>
          </w:tcPr>
          <w:p w14:paraId="6BF6BD7E" w14:textId="77777777" w:rsidR="00D274D2" w:rsidRPr="005D4222" w:rsidRDefault="00D274D2" w:rsidP="00A53E8C">
            <w:pPr>
              <w:pStyle w:val="TableText"/>
            </w:pPr>
          </w:p>
        </w:tc>
        <w:tc>
          <w:tcPr>
            <w:tcW w:w="0" w:type="auto"/>
            <w:tcBorders>
              <w:top w:val="nil"/>
              <w:left w:val="nil"/>
              <w:bottom w:val="nil"/>
              <w:right w:val="nil"/>
            </w:tcBorders>
            <w:shd w:val="clear" w:color="auto" w:fill="FFFFFF"/>
          </w:tcPr>
          <w:p w14:paraId="73D06CED" w14:textId="77777777" w:rsidR="00D274D2" w:rsidRPr="005D4222" w:rsidRDefault="00D274D2" w:rsidP="00A53E8C">
            <w:pPr>
              <w:pStyle w:val="TableText"/>
              <w:rPr>
                <w:rFonts w:eastAsia="Wingdings"/>
              </w:rPr>
            </w:pPr>
          </w:p>
        </w:tc>
      </w:tr>
      <w:tr w:rsidR="00647433" w:rsidRPr="005D4222" w14:paraId="23ECF9DA" w14:textId="77777777" w:rsidTr="00A53E8C">
        <w:tc>
          <w:tcPr>
            <w:tcW w:w="0" w:type="auto"/>
            <w:tcBorders>
              <w:top w:val="nil"/>
              <w:left w:val="nil"/>
              <w:bottom w:val="nil"/>
              <w:right w:val="single" w:sz="4" w:space="0" w:color="000000"/>
            </w:tcBorders>
            <w:shd w:val="clear" w:color="auto" w:fill="FFFFFF"/>
          </w:tcPr>
          <w:p w14:paraId="116C1ED4" w14:textId="77777777" w:rsidR="00D274D2" w:rsidRPr="005D4222" w:rsidRDefault="00D274D2" w:rsidP="00A53E8C">
            <w:pPr>
              <w:pStyle w:val="TableText"/>
            </w:pP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BE754D3" w14:textId="77777777" w:rsidR="00D274D2" w:rsidRPr="005D4222" w:rsidRDefault="00D274D2" w:rsidP="00A53E8C">
            <w:pPr>
              <w:pStyle w:val="TableText"/>
            </w:pPr>
            <w:r w:rsidRPr="005D4222">
              <w:t>75-79</w:t>
            </w:r>
          </w:p>
        </w:tc>
        <w:tc>
          <w:tcPr>
            <w:tcW w:w="0" w:type="auto"/>
            <w:tcBorders>
              <w:top w:val="nil"/>
              <w:left w:val="nil"/>
              <w:bottom w:val="nil"/>
              <w:right w:val="nil"/>
            </w:tcBorders>
            <w:shd w:val="clear" w:color="auto" w:fill="FFFFFF"/>
          </w:tcPr>
          <w:p w14:paraId="74AE0A20" w14:textId="77777777" w:rsidR="00D274D2" w:rsidRPr="005D4222" w:rsidRDefault="00D274D2" w:rsidP="00A53E8C">
            <w:pPr>
              <w:pStyle w:val="TableText"/>
            </w:pPr>
          </w:p>
        </w:tc>
        <w:tc>
          <w:tcPr>
            <w:tcW w:w="0" w:type="auto"/>
            <w:tcBorders>
              <w:top w:val="nil"/>
              <w:left w:val="nil"/>
              <w:bottom w:val="nil"/>
              <w:right w:val="nil"/>
            </w:tcBorders>
            <w:shd w:val="clear" w:color="auto" w:fill="FFFFFF"/>
          </w:tcPr>
          <w:p w14:paraId="53C767FB" w14:textId="77777777" w:rsidR="00D274D2" w:rsidRPr="005D4222" w:rsidRDefault="00D274D2" w:rsidP="00A53E8C">
            <w:pPr>
              <w:pStyle w:val="TableText"/>
              <w:rPr>
                <w:rFonts w:eastAsia="Wingdings"/>
              </w:rPr>
            </w:pPr>
          </w:p>
        </w:tc>
      </w:tr>
      <w:tr w:rsidR="00647433" w:rsidRPr="005D4222" w14:paraId="2AC0B8CF" w14:textId="77777777" w:rsidTr="00A53E8C">
        <w:tc>
          <w:tcPr>
            <w:tcW w:w="0" w:type="auto"/>
            <w:tcBorders>
              <w:top w:val="nil"/>
              <w:left w:val="nil"/>
              <w:bottom w:val="nil"/>
              <w:right w:val="single" w:sz="4" w:space="0" w:color="000000"/>
            </w:tcBorders>
            <w:shd w:val="clear" w:color="auto" w:fill="FFFFFF"/>
          </w:tcPr>
          <w:p w14:paraId="5539E8BA" w14:textId="77777777" w:rsidR="00D274D2" w:rsidRPr="005D4222" w:rsidRDefault="00D274D2" w:rsidP="00A53E8C">
            <w:pPr>
              <w:pStyle w:val="TableText"/>
            </w:pP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9A1FAD1" w14:textId="77777777" w:rsidR="00D274D2" w:rsidRPr="005D4222" w:rsidRDefault="00D274D2" w:rsidP="00A53E8C">
            <w:pPr>
              <w:pStyle w:val="TableText"/>
            </w:pPr>
            <w:r w:rsidRPr="005D4222">
              <w:t>80-84</w:t>
            </w:r>
          </w:p>
        </w:tc>
        <w:tc>
          <w:tcPr>
            <w:tcW w:w="0" w:type="auto"/>
            <w:tcBorders>
              <w:top w:val="nil"/>
              <w:left w:val="nil"/>
              <w:bottom w:val="nil"/>
              <w:right w:val="nil"/>
            </w:tcBorders>
            <w:shd w:val="clear" w:color="auto" w:fill="FFFFFF"/>
          </w:tcPr>
          <w:p w14:paraId="461FF632" w14:textId="77777777" w:rsidR="00D274D2" w:rsidRPr="005D4222" w:rsidRDefault="00D274D2" w:rsidP="00A53E8C">
            <w:pPr>
              <w:pStyle w:val="TableText"/>
            </w:pPr>
          </w:p>
        </w:tc>
        <w:tc>
          <w:tcPr>
            <w:tcW w:w="0" w:type="auto"/>
            <w:tcBorders>
              <w:top w:val="nil"/>
              <w:left w:val="nil"/>
              <w:bottom w:val="nil"/>
              <w:right w:val="nil"/>
            </w:tcBorders>
            <w:shd w:val="clear" w:color="auto" w:fill="FFFFFF"/>
          </w:tcPr>
          <w:p w14:paraId="5334C6F0" w14:textId="77777777" w:rsidR="00D274D2" w:rsidRPr="005D4222" w:rsidRDefault="00D274D2" w:rsidP="00A53E8C">
            <w:pPr>
              <w:pStyle w:val="TableText"/>
              <w:rPr>
                <w:rFonts w:eastAsia="Wingdings"/>
              </w:rPr>
            </w:pPr>
          </w:p>
        </w:tc>
      </w:tr>
      <w:tr w:rsidR="00647433" w:rsidRPr="005D4222" w14:paraId="22B04141" w14:textId="77777777" w:rsidTr="00A53E8C">
        <w:tc>
          <w:tcPr>
            <w:tcW w:w="0" w:type="auto"/>
            <w:tcBorders>
              <w:top w:val="nil"/>
              <w:left w:val="nil"/>
              <w:bottom w:val="nil"/>
              <w:right w:val="single" w:sz="4" w:space="0" w:color="000000"/>
            </w:tcBorders>
            <w:shd w:val="clear" w:color="auto" w:fill="FFFFFF"/>
          </w:tcPr>
          <w:p w14:paraId="3E7EABF3" w14:textId="77777777" w:rsidR="00D274D2" w:rsidRPr="005D4222" w:rsidRDefault="00D274D2" w:rsidP="00A53E8C">
            <w:pPr>
              <w:pStyle w:val="TableText"/>
            </w:pP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C975F73" w14:textId="77777777" w:rsidR="00D274D2" w:rsidRPr="005D4222" w:rsidRDefault="00D274D2" w:rsidP="00A53E8C">
            <w:pPr>
              <w:pStyle w:val="TableText"/>
            </w:pPr>
            <w:r w:rsidRPr="005D4222">
              <w:t>85-89</w:t>
            </w:r>
          </w:p>
        </w:tc>
        <w:tc>
          <w:tcPr>
            <w:tcW w:w="0" w:type="auto"/>
            <w:tcBorders>
              <w:top w:val="nil"/>
              <w:left w:val="nil"/>
              <w:bottom w:val="nil"/>
              <w:right w:val="nil"/>
            </w:tcBorders>
            <w:shd w:val="clear" w:color="auto" w:fill="FFFFFF"/>
          </w:tcPr>
          <w:p w14:paraId="76356DE7" w14:textId="77777777" w:rsidR="00D274D2" w:rsidRPr="005D4222" w:rsidRDefault="00D274D2" w:rsidP="00A53E8C">
            <w:pPr>
              <w:pStyle w:val="TableText"/>
            </w:pPr>
          </w:p>
        </w:tc>
        <w:tc>
          <w:tcPr>
            <w:tcW w:w="0" w:type="auto"/>
            <w:tcBorders>
              <w:top w:val="nil"/>
              <w:left w:val="nil"/>
              <w:bottom w:val="nil"/>
              <w:right w:val="nil"/>
            </w:tcBorders>
            <w:shd w:val="clear" w:color="auto" w:fill="FFFFFF"/>
          </w:tcPr>
          <w:p w14:paraId="7AC640C8" w14:textId="77777777" w:rsidR="00D274D2" w:rsidRPr="005D4222" w:rsidRDefault="00D274D2" w:rsidP="00A53E8C">
            <w:pPr>
              <w:pStyle w:val="TableText"/>
              <w:rPr>
                <w:rFonts w:eastAsia="Wingdings"/>
              </w:rPr>
            </w:pPr>
          </w:p>
        </w:tc>
      </w:tr>
      <w:tr w:rsidR="00647433" w:rsidRPr="005D4222" w14:paraId="19284592" w14:textId="77777777" w:rsidTr="00A53E8C">
        <w:tc>
          <w:tcPr>
            <w:tcW w:w="0" w:type="auto"/>
            <w:tcBorders>
              <w:top w:val="nil"/>
              <w:left w:val="nil"/>
              <w:bottom w:val="nil"/>
              <w:right w:val="single" w:sz="4" w:space="0" w:color="000000"/>
            </w:tcBorders>
            <w:shd w:val="clear" w:color="auto" w:fill="FFFFFF"/>
          </w:tcPr>
          <w:p w14:paraId="5EC4132F" w14:textId="77777777" w:rsidR="00D274D2" w:rsidRPr="005D4222" w:rsidRDefault="00D274D2" w:rsidP="00A53E8C">
            <w:pPr>
              <w:pStyle w:val="TableText"/>
            </w:pP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320D13C" w14:textId="77777777" w:rsidR="00D274D2" w:rsidRPr="005D4222" w:rsidRDefault="00D274D2" w:rsidP="00A53E8C">
            <w:pPr>
              <w:pStyle w:val="TableText"/>
            </w:pPr>
            <w:r w:rsidRPr="005D4222">
              <w:t>90+</w:t>
            </w:r>
          </w:p>
        </w:tc>
        <w:tc>
          <w:tcPr>
            <w:tcW w:w="0" w:type="auto"/>
            <w:tcBorders>
              <w:top w:val="nil"/>
              <w:left w:val="nil"/>
              <w:bottom w:val="nil"/>
              <w:right w:val="nil"/>
            </w:tcBorders>
            <w:shd w:val="clear" w:color="auto" w:fill="FFFFFF"/>
          </w:tcPr>
          <w:p w14:paraId="3D07B87F" w14:textId="77777777" w:rsidR="00D274D2" w:rsidRPr="005D4222" w:rsidRDefault="00D274D2" w:rsidP="00A53E8C">
            <w:pPr>
              <w:pStyle w:val="TableText"/>
            </w:pPr>
          </w:p>
        </w:tc>
        <w:tc>
          <w:tcPr>
            <w:tcW w:w="0" w:type="auto"/>
            <w:tcBorders>
              <w:top w:val="nil"/>
              <w:left w:val="nil"/>
              <w:bottom w:val="nil"/>
              <w:right w:val="nil"/>
            </w:tcBorders>
            <w:shd w:val="clear" w:color="auto" w:fill="FFFFFF"/>
          </w:tcPr>
          <w:p w14:paraId="6C3DC7D6" w14:textId="77777777" w:rsidR="00D274D2" w:rsidRPr="005D4222" w:rsidRDefault="00D274D2" w:rsidP="00A53E8C">
            <w:pPr>
              <w:pStyle w:val="TableText"/>
              <w:rPr>
                <w:rFonts w:eastAsia="Wingdings"/>
              </w:rPr>
            </w:pPr>
          </w:p>
        </w:tc>
      </w:tr>
      <w:tr w:rsidR="00647433" w:rsidRPr="005D4222" w14:paraId="3477059B" w14:textId="77777777" w:rsidTr="00A53E8C">
        <w:tc>
          <w:tcPr>
            <w:tcW w:w="0" w:type="auto"/>
            <w:tcBorders>
              <w:top w:val="nil"/>
              <w:left w:val="nil"/>
              <w:bottom w:val="nil"/>
              <w:right w:val="single" w:sz="4" w:space="0" w:color="000000"/>
            </w:tcBorders>
            <w:shd w:val="clear" w:color="auto" w:fill="FFFFFF"/>
          </w:tcPr>
          <w:p w14:paraId="3901AA03" w14:textId="77777777" w:rsidR="00D274D2" w:rsidRPr="005D4222" w:rsidRDefault="00D274D2" w:rsidP="00A53E8C">
            <w:pPr>
              <w:pStyle w:val="TableText"/>
            </w:pP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FE402DE" w14:textId="77777777" w:rsidR="00D274D2" w:rsidRPr="005D4222" w:rsidRDefault="00D274D2" w:rsidP="00A53E8C">
            <w:pPr>
              <w:pStyle w:val="TableText"/>
            </w:pPr>
            <w:r w:rsidRPr="005D4222">
              <w:t>Unknown</w:t>
            </w:r>
          </w:p>
        </w:tc>
        <w:tc>
          <w:tcPr>
            <w:tcW w:w="0" w:type="auto"/>
            <w:tcBorders>
              <w:top w:val="nil"/>
              <w:left w:val="nil"/>
              <w:bottom w:val="nil"/>
              <w:right w:val="nil"/>
            </w:tcBorders>
            <w:shd w:val="clear" w:color="auto" w:fill="FFFFFF"/>
          </w:tcPr>
          <w:p w14:paraId="394EC6F4" w14:textId="77777777" w:rsidR="00D274D2" w:rsidRPr="005D4222" w:rsidRDefault="00D274D2" w:rsidP="00A53E8C">
            <w:pPr>
              <w:pStyle w:val="TableText"/>
            </w:pPr>
          </w:p>
        </w:tc>
        <w:tc>
          <w:tcPr>
            <w:tcW w:w="0" w:type="auto"/>
            <w:tcBorders>
              <w:top w:val="nil"/>
              <w:left w:val="nil"/>
              <w:bottom w:val="nil"/>
              <w:right w:val="nil"/>
            </w:tcBorders>
            <w:shd w:val="clear" w:color="auto" w:fill="FFFFFF"/>
          </w:tcPr>
          <w:p w14:paraId="1E336359" w14:textId="77777777" w:rsidR="00D274D2" w:rsidRPr="005D4222" w:rsidRDefault="00D274D2" w:rsidP="00A53E8C">
            <w:pPr>
              <w:pStyle w:val="TableText"/>
              <w:rPr>
                <w:rFonts w:eastAsia="Wingdings"/>
              </w:rPr>
            </w:pPr>
          </w:p>
        </w:tc>
      </w:tr>
      <w:tr w:rsidR="00647433" w:rsidRPr="005D4222" w14:paraId="096272A8" w14:textId="77777777" w:rsidTr="00A53E8C">
        <w:tc>
          <w:tcPr>
            <w:tcW w:w="0" w:type="auto"/>
            <w:tcBorders>
              <w:top w:val="nil"/>
              <w:left w:val="nil"/>
              <w:bottom w:val="nil"/>
              <w:right w:val="single" w:sz="4" w:space="0" w:color="000000"/>
            </w:tcBorders>
            <w:shd w:val="clear" w:color="auto" w:fill="FFFFFF"/>
          </w:tcPr>
          <w:p w14:paraId="551ECE98" w14:textId="77777777" w:rsidR="00D274D2" w:rsidRPr="005D4222" w:rsidRDefault="00D274D2" w:rsidP="00A53E8C">
            <w:pPr>
              <w:pStyle w:val="TableText"/>
            </w:pPr>
          </w:p>
        </w:tc>
        <w:tc>
          <w:tcPr>
            <w:tcW w:w="0" w:type="auto"/>
            <w:tcBorders>
              <w:top w:val="single" w:sz="4" w:space="0" w:color="000000"/>
              <w:left w:val="single" w:sz="4" w:space="0" w:color="000000"/>
              <w:bottom w:val="single" w:sz="4" w:space="0" w:color="000000"/>
              <w:right w:val="single" w:sz="4" w:space="0" w:color="000000"/>
            </w:tcBorders>
            <w:shd w:val="clear" w:color="auto" w:fill="D9D9D9"/>
          </w:tcPr>
          <w:p w14:paraId="19E87B68" w14:textId="77777777" w:rsidR="00D274D2" w:rsidRPr="005D4222" w:rsidRDefault="00D274D2" w:rsidP="00A53E8C">
            <w:pPr>
              <w:pStyle w:val="TableText"/>
            </w:pPr>
            <w:r w:rsidRPr="005D4222">
              <w:t>Total</w:t>
            </w:r>
          </w:p>
        </w:tc>
        <w:tc>
          <w:tcPr>
            <w:tcW w:w="0" w:type="auto"/>
            <w:tcBorders>
              <w:top w:val="nil"/>
              <w:left w:val="nil"/>
              <w:bottom w:val="nil"/>
              <w:right w:val="nil"/>
            </w:tcBorders>
            <w:shd w:val="clear" w:color="auto" w:fill="FFFFFF"/>
          </w:tcPr>
          <w:p w14:paraId="06D304A0" w14:textId="77777777" w:rsidR="00D274D2" w:rsidRPr="005D4222" w:rsidRDefault="00D274D2" w:rsidP="00A53E8C">
            <w:pPr>
              <w:pStyle w:val="TableText"/>
            </w:pPr>
          </w:p>
        </w:tc>
        <w:tc>
          <w:tcPr>
            <w:tcW w:w="0" w:type="auto"/>
            <w:tcBorders>
              <w:top w:val="nil"/>
              <w:left w:val="nil"/>
              <w:bottom w:val="nil"/>
              <w:right w:val="nil"/>
            </w:tcBorders>
            <w:shd w:val="clear" w:color="auto" w:fill="FFFFFF"/>
          </w:tcPr>
          <w:p w14:paraId="6865184F" w14:textId="77777777" w:rsidR="00D274D2" w:rsidRPr="005D4222" w:rsidRDefault="00D274D2" w:rsidP="00A53E8C">
            <w:pPr>
              <w:pStyle w:val="TableText"/>
              <w:rPr>
                <w:rFonts w:eastAsia="Wingdings"/>
              </w:rPr>
            </w:pPr>
          </w:p>
        </w:tc>
      </w:tr>
    </w:tbl>
    <w:p w14:paraId="20D55659" w14:textId="77777777" w:rsidR="00D274D2" w:rsidRPr="005D4222" w:rsidRDefault="00D274D2" w:rsidP="00D274D2">
      <w:pPr>
        <w:pStyle w:val="TableHeadNotCondensed"/>
        <w:spacing w:before="0"/>
        <w:rPr>
          <w:i/>
          <w:iCs/>
          <w:kern w:val="20"/>
          <w:szCs w:val="18"/>
        </w:rPr>
      </w:pPr>
    </w:p>
    <w:p w14:paraId="335E5A77" w14:textId="77777777" w:rsidR="00D274D2" w:rsidRPr="005D4222" w:rsidRDefault="00D274D2" w:rsidP="00D274D2">
      <w:pPr>
        <w:pStyle w:val="Heading3"/>
        <w:spacing w:before="0"/>
        <w:rPr>
          <w:kern w:val="20"/>
        </w:rPr>
        <w:sectPr w:rsidR="00D274D2" w:rsidRPr="005D4222" w:rsidSect="0074514A">
          <w:headerReference w:type="even" r:id="rId246"/>
          <w:headerReference w:type="default" r:id="rId247"/>
          <w:footerReference w:type="default" r:id="rId248"/>
          <w:type w:val="nextColumn"/>
          <w:pgSz w:w="12240" w:h="15840" w:code="1"/>
          <w:pgMar w:top="1080" w:right="1080" w:bottom="1080" w:left="1440" w:header="720" w:footer="720" w:gutter="0"/>
          <w:cols w:space="720"/>
        </w:sectPr>
      </w:pPr>
    </w:p>
    <w:p w14:paraId="45C161AB" w14:textId="77777777" w:rsidR="00D274D2" w:rsidRPr="005D4222" w:rsidRDefault="00D274D2" w:rsidP="00D274D2">
      <w:pPr>
        <w:pStyle w:val="Heading2"/>
        <w:rPr>
          <w:kern w:val="20"/>
          <w:szCs w:val="28"/>
        </w:rPr>
      </w:pPr>
      <w:bookmarkStart w:id="445" w:name="Language_Diversity_LDM"/>
      <w:bookmarkStart w:id="446" w:name="_Toc400546217"/>
      <w:bookmarkStart w:id="447" w:name="_Toc74830484"/>
      <w:bookmarkStart w:id="448" w:name="_Toc171403056"/>
      <w:bookmarkStart w:id="449" w:name="_Toc201813491"/>
      <w:bookmarkStart w:id="450" w:name="LDM"/>
      <w:r w:rsidRPr="005D4222">
        <w:rPr>
          <w:kern w:val="20"/>
        </w:rPr>
        <w:lastRenderedPageBreak/>
        <w:t xml:space="preserve">Language </w:t>
      </w:r>
      <w:r w:rsidRPr="005D4222">
        <w:t>Description</w:t>
      </w:r>
      <w:r w:rsidRPr="005D4222">
        <w:rPr>
          <w:kern w:val="20"/>
        </w:rPr>
        <w:t xml:space="preserve"> of Membership</w:t>
      </w:r>
      <w:bookmarkEnd w:id="445"/>
      <w:r w:rsidRPr="005D4222">
        <w:rPr>
          <w:kern w:val="20"/>
        </w:rPr>
        <w:t xml:space="preserve"> (LDM)</w:t>
      </w:r>
      <w:bookmarkEnd w:id="446"/>
      <w:bookmarkEnd w:id="447"/>
      <w:bookmarkEnd w:id="448"/>
      <w:bookmarkEnd w:id="449"/>
    </w:p>
    <w:bookmarkEnd w:id="450"/>
    <w:p w14:paraId="26CCC02E" w14:textId="77777777" w:rsidR="00D274D2" w:rsidRPr="005D4222" w:rsidRDefault="00D274D2" w:rsidP="00D274D2">
      <w:pPr>
        <w:pStyle w:val="SOC"/>
        <w:tabs>
          <w:tab w:val="left" w:pos="6015"/>
        </w:tabs>
        <w:rPr>
          <w:i/>
          <w:iCs/>
          <w:kern w:val="20"/>
        </w:rPr>
      </w:pPr>
      <w:r w:rsidRPr="005D4222">
        <w:rPr>
          <w:kern w:val="20"/>
        </w:rPr>
        <w:t>Summary of Changes to HEDIS MY 2026</w:t>
      </w:r>
    </w:p>
    <w:p w14:paraId="17F55D22" w14:textId="77777777" w:rsidR="00D274D2" w:rsidRPr="005D4222" w:rsidRDefault="00D274D2" w:rsidP="005D6173">
      <w:pPr>
        <w:pStyle w:val="ProcessBullet"/>
        <w:numPr>
          <w:ilvl w:val="0"/>
          <w:numId w:val="134"/>
        </w:numPr>
        <w:tabs>
          <w:tab w:val="left" w:pos="216"/>
        </w:tabs>
        <w:spacing w:before="120"/>
        <w:ind w:left="216" w:hanging="216"/>
        <w:rPr>
          <w:kern w:val="20"/>
        </w:rPr>
      </w:pPr>
      <w:r w:rsidRPr="005D4222">
        <w:rPr>
          <w:kern w:val="20"/>
        </w:rPr>
        <w:t>Updated the measure title.</w:t>
      </w:r>
    </w:p>
    <w:p w14:paraId="3B02B293" w14:textId="59854285" w:rsidR="00D274D2" w:rsidRPr="005D4222" w:rsidRDefault="002B51D3" w:rsidP="002B51D3">
      <w:pPr>
        <w:pStyle w:val="ReverseHead"/>
      </w:pPr>
      <w:r w:rsidRPr="005D4222">
        <w:rPr>
          <w:bCs/>
          <w:color w:val="auto"/>
          <w:kern w:val="20"/>
        </w:rPr>
        <w:t>Description</w:t>
      </w:r>
    </w:p>
    <w:p w14:paraId="71898758" w14:textId="77777777" w:rsidR="00D274D2" w:rsidRPr="005D4222" w:rsidRDefault="00D274D2" w:rsidP="00D274D2">
      <w:pPr>
        <w:pStyle w:val="Body"/>
        <w:rPr>
          <w:rFonts w:eastAsia="Arial" w:cs="Arial"/>
          <w:kern w:val="20"/>
        </w:rPr>
      </w:pPr>
      <w:r w:rsidRPr="005D4222">
        <w:rPr>
          <w:rFonts w:eastAsia="Arial" w:cs="Arial"/>
          <w:kern w:val="20"/>
        </w:rPr>
        <w:t xml:space="preserve">An unduplicated count and </w:t>
      </w:r>
      <w:r w:rsidRPr="005D4222" w:rsidDel="00EC2155">
        <w:rPr>
          <w:rFonts w:eastAsia="Arial" w:cs="Arial"/>
          <w:kern w:val="20"/>
        </w:rPr>
        <w:t xml:space="preserve">percentage </w:t>
      </w:r>
      <w:r w:rsidRPr="005D4222">
        <w:rPr>
          <w:rFonts w:eastAsia="Arial" w:cs="Arial"/>
          <w:kern w:val="20"/>
        </w:rPr>
        <w:t xml:space="preserve">of members enrolled at any time during the measurement year by spoken language preferred for health care and preferred language for written materials. </w:t>
      </w:r>
    </w:p>
    <w:p w14:paraId="441A21EC" w14:textId="28894DAA" w:rsidR="00D274D2" w:rsidRPr="005D4222" w:rsidRDefault="009927F4" w:rsidP="009927F4">
      <w:pPr>
        <w:pStyle w:val="ReverseHead"/>
      </w:pPr>
      <w:r w:rsidRPr="005D4222">
        <w:rPr>
          <w:bCs/>
          <w:color w:val="auto"/>
          <w:kern w:val="20"/>
        </w:rPr>
        <w:t>Calculations</w:t>
      </w:r>
    </w:p>
    <w:tbl>
      <w:tblPr>
        <w:tblW w:w="9792" w:type="dxa"/>
        <w:tblLayout w:type="fixed"/>
        <w:tblLook w:val="0000" w:firstRow="0" w:lastRow="0" w:firstColumn="0" w:lastColumn="0" w:noHBand="0" w:noVBand="0"/>
      </w:tblPr>
      <w:tblGrid>
        <w:gridCol w:w="2160"/>
        <w:gridCol w:w="7632"/>
      </w:tblGrid>
      <w:tr w:rsidR="00D274D2" w:rsidRPr="005D4222" w14:paraId="034602EA" w14:textId="77777777" w:rsidTr="00A53E8C">
        <w:tc>
          <w:tcPr>
            <w:tcW w:w="2160" w:type="dxa"/>
          </w:tcPr>
          <w:p w14:paraId="39942464" w14:textId="353A2016" w:rsidR="00D274D2" w:rsidRPr="005D4222" w:rsidRDefault="00B51CDC" w:rsidP="00A53E8C">
            <w:pPr>
              <w:pStyle w:val="MarginSubhead"/>
              <w:rPr>
                <w:rFonts w:eastAsia="Arial" w:cs="Arial"/>
                <w:kern w:val="20"/>
              </w:rPr>
            </w:pPr>
            <w:r w:rsidRPr="005D4222">
              <w:rPr>
                <w:rFonts w:eastAsia="Arial" w:cs="Arial"/>
                <w:kern w:val="20"/>
              </w:rPr>
              <w:t>Product lines</w:t>
            </w:r>
          </w:p>
        </w:tc>
        <w:tc>
          <w:tcPr>
            <w:tcW w:w="7632" w:type="dxa"/>
          </w:tcPr>
          <w:p w14:paraId="0344D903" w14:textId="77777777" w:rsidR="00D274D2" w:rsidRPr="005D4222" w:rsidRDefault="00D274D2" w:rsidP="00A53E8C">
            <w:pPr>
              <w:pStyle w:val="Body"/>
              <w:rPr>
                <w:kern w:val="20"/>
              </w:rPr>
            </w:pPr>
            <w:r w:rsidRPr="005D4222">
              <w:rPr>
                <w:kern w:val="20"/>
              </w:rPr>
              <w:t>Commercial, Medicaid, Medicare (report each product line separately).</w:t>
            </w:r>
          </w:p>
        </w:tc>
      </w:tr>
      <w:tr w:rsidR="00D274D2" w:rsidRPr="005D4222" w14:paraId="7E406B97" w14:textId="77777777" w:rsidTr="00A53E8C">
        <w:tc>
          <w:tcPr>
            <w:tcW w:w="2160" w:type="dxa"/>
          </w:tcPr>
          <w:p w14:paraId="2FEA6EAD" w14:textId="77777777" w:rsidR="00D274D2" w:rsidRPr="005D4222" w:rsidRDefault="00D274D2" w:rsidP="00A53E8C">
            <w:pPr>
              <w:pStyle w:val="MarginSubhead"/>
              <w:rPr>
                <w:rFonts w:eastAsia="Arial" w:cs="Arial"/>
                <w:kern w:val="20"/>
              </w:rPr>
            </w:pPr>
            <w:r w:rsidRPr="005D4222">
              <w:rPr>
                <w:rFonts w:eastAsia="Arial" w:cs="Arial"/>
                <w:kern w:val="20"/>
              </w:rPr>
              <w:t>Table instructions</w:t>
            </w:r>
          </w:p>
        </w:tc>
        <w:tc>
          <w:tcPr>
            <w:tcW w:w="7632" w:type="dxa"/>
          </w:tcPr>
          <w:p w14:paraId="4FA4BF01" w14:textId="77777777" w:rsidR="00D274D2" w:rsidRPr="005D4222" w:rsidRDefault="00D274D2" w:rsidP="00A53E8C">
            <w:pPr>
              <w:pStyle w:val="Body"/>
              <w:rPr>
                <w:rFonts w:eastAsia="Arial" w:cs="Arial"/>
                <w:i/>
                <w:iCs/>
                <w:kern w:val="20"/>
              </w:rPr>
            </w:pPr>
            <w:r w:rsidRPr="005D4222">
              <w:rPr>
                <w:kern w:val="20"/>
              </w:rPr>
              <w:t xml:space="preserve">Report the number of members for whom the organization has information about spoken language preferred for health care and for written materials for each population. If </w:t>
            </w:r>
            <w:r w:rsidRPr="005D4222" w:rsidDel="00F57049">
              <w:rPr>
                <w:kern w:val="20"/>
              </w:rPr>
              <w:t xml:space="preserve">any of </w:t>
            </w:r>
            <w:r w:rsidRPr="005D4222" w:rsidDel="00776830">
              <w:rPr>
                <w:kern w:val="20"/>
              </w:rPr>
              <w:t>these data</w:t>
            </w:r>
            <w:r w:rsidRPr="005D4222">
              <w:rPr>
                <w:kern w:val="20"/>
              </w:rPr>
              <w:t xml:space="preserve"> </w:t>
            </w:r>
            <w:r w:rsidRPr="005D4222" w:rsidDel="00776830">
              <w:rPr>
                <w:kern w:val="20"/>
              </w:rPr>
              <w:t>are</w:t>
            </w:r>
            <w:r w:rsidRPr="005D4222">
              <w:rPr>
                <w:kern w:val="20"/>
              </w:rPr>
              <w:t xml:space="preserve"> unknown or unavailable, report as “Unknown.”</w:t>
            </w:r>
          </w:p>
        </w:tc>
      </w:tr>
      <w:tr w:rsidR="00D274D2" w:rsidRPr="005D4222" w14:paraId="4034A211" w14:textId="77777777" w:rsidTr="00A53E8C">
        <w:tc>
          <w:tcPr>
            <w:tcW w:w="2160" w:type="dxa"/>
          </w:tcPr>
          <w:p w14:paraId="086C8515" w14:textId="77777777" w:rsidR="00D274D2" w:rsidRPr="005D4222" w:rsidRDefault="00D274D2" w:rsidP="00A53E8C">
            <w:pPr>
              <w:pStyle w:val="MarginSubhead"/>
              <w:rPr>
                <w:kern w:val="20"/>
              </w:rPr>
            </w:pPr>
            <w:r w:rsidRPr="005D4222">
              <w:rPr>
                <w:kern w:val="20"/>
              </w:rPr>
              <w:t>Data source</w:t>
            </w:r>
          </w:p>
        </w:tc>
        <w:tc>
          <w:tcPr>
            <w:tcW w:w="7632" w:type="dxa"/>
          </w:tcPr>
          <w:p w14:paraId="463A289B" w14:textId="77777777" w:rsidR="00D274D2" w:rsidRPr="005D4222" w:rsidRDefault="00D274D2" w:rsidP="00A53E8C">
            <w:pPr>
              <w:pStyle w:val="Body"/>
              <w:rPr>
                <w:rFonts w:eastAsia="Arial" w:cs="Arial"/>
                <w:kern w:val="20"/>
              </w:rPr>
            </w:pPr>
            <w:r w:rsidRPr="005D4222">
              <w:rPr>
                <w:rFonts w:eastAsia="Arial" w:cs="Arial"/>
                <w:kern w:val="20"/>
              </w:rPr>
              <w:t>Report the number</w:t>
            </w:r>
            <w:r w:rsidRPr="005D4222" w:rsidDel="00EC2155">
              <w:rPr>
                <w:rFonts w:eastAsia="Arial" w:cs="Arial"/>
                <w:kern w:val="20"/>
              </w:rPr>
              <w:t xml:space="preserve"> </w:t>
            </w:r>
            <w:r w:rsidRPr="005D4222">
              <w:rPr>
                <w:rFonts w:eastAsia="Arial" w:cs="Arial"/>
                <w:kern w:val="20"/>
              </w:rPr>
              <w:t xml:space="preserve">of members for whom data have been collected from each data source for each of the three indicators: spoken language preferred for health care, preferred language for written materials, and other language needs. Data sources include data the organization has collected directly from </w:t>
            </w:r>
            <w:r w:rsidRPr="005D4222">
              <w:rPr>
                <w:kern w:val="20"/>
              </w:rPr>
              <w:t>i</w:t>
            </w:r>
            <w:r w:rsidRPr="005D4222">
              <w:rPr>
                <w:rFonts w:eastAsia="Arial" w:cs="Arial"/>
                <w:kern w:val="20"/>
              </w:rPr>
              <w:t xml:space="preserve">ts members (e.g., enrollment forms, surveys, health risk assessments, disease management registries) or from enrollment information furnished by state Medicaid agencies or other third-party sources. </w:t>
            </w:r>
          </w:p>
        </w:tc>
      </w:tr>
      <w:tr w:rsidR="00D274D2" w:rsidRPr="005D4222" w14:paraId="1BD7DFE9" w14:textId="77777777" w:rsidTr="00A53E8C">
        <w:trPr>
          <w:trHeight w:val="720"/>
        </w:trPr>
        <w:tc>
          <w:tcPr>
            <w:tcW w:w="2160" w:type="dxa"/>
          </w:tcPr>
          <w:p w14:paraId="3E3A4543" w14:textId="77777777" w:rsidR="00D274D2" w:rsidRPr="005D4222" w:rsidRDefault="00D274D2" w:rsidP="00A53E8C">
            <w:pPr>
              <w:pStyle w:val="MarginSubhead"/>
              <w:rPr>
                <w:kern w:val="20"/>
              </w:rPr>
            </w:pPr>
            <w:r w:rsidRPr="005D4222">
              <w:rPr>
                <w:kern w:val="20"/>
              </w:rPr>
              <w:t>Spoken language preferred for health care</w:t>
            </w:r>
          </w:p>
        </w:tc>
        <w:tc>
          <w:tcPr>
            <w:tcW w:w="7632" w:type="dxa"/>
          </w:tcPr>
          <w:p w14:paraId="5C7FE212" w14:textId="77777777" w:rsidR="00D274D2" w:rsidRPr="005D4222" w:rsidRDefault="00D274D2" w:rsidP="00A53E8C">
            <w:pPr>
              <w:pStyle w:val="Body"/>
              <w:rPr>
                <w:kern w:val="20"/>
              </w:rPr>
            </w:pPr>
            <w:r w:rsidRPr="005D4222">
              <w:rPr>
                <w:kern w:val="20"/>
              </w:rPr>
              <w:t xml:space="preserve">Enter the </w:t>
            </w:r>
            <w:r w:rsidRPr="005D4222">
              <w:rPr>
                <w:rFonts w:eastAsia="Arial" w:cs="Arial"/>
                <w:kern w:val="20"/>
              </w:rPr>
              <w:t xml:space="preserve">number </w:t>
            </w:r>
            <w:r w:rsidRPr="005D4222">
              <w:rPr>
                <w:kern w:val="20"/>
              </w:rPr>
              <w:t xml:space="preserve">of members with data from each data source in Table </w:t>
            </w:r>
            <w:r w:rsidRPr="005D4222">
              <w:rPr>
                <w:kern w:val="20"/>
              </w:rPr>
              <w:br/>
              <w:t xml:space="preserve">LDM-A-1/2/3. Identify the category (English/non-English) for preferred language for health care, unknown and declined in Table LDM-B-1/2/3. </w:t>
            </w:r>
          </w:p>
          <w:p w14:paraId="3110B85D" w14:textId="77777777" w:rsidR="00D274D2" w:rsidRPr="005D4222" w:rsidRDefault="00D274D2" w:rsidP="00A53E8C">
            <w:pPr>
              <w:pStyle w:val="Body"/>
              <w:rPr>
                <w:rFonts w:eastAsia="Arial" w:cs="Arial"/>
                <w:kern w:val="20"/>
              </w:rPr>
            </w:pPr>
            <w:r w:rsidRPr="005D4222">
              <w:rPr>
                <w:rFonts w:eastAsia="Arial" w:cs="Arial"/>
                <w:b/>
                <w:bCs/>
                <w:kern w:val="20"/>
              </w:rPr>
              <w:t xml:space="preserve">Data collection guidance. </w:t>
            </w:r>
            <w:r w:rsidRPr="005D4222">
              <w:rPr>
                <w:rFonts w:eastAsia="Arial" w:cs="Arial"/>
                <w:kern w:val="20"/>
              </w:rPr>
              <w:t>This information can be gathered through questions such as:</w:t>
            </w:r>
          </w:p>
          <w:p w14:paraId="697D89DF" w14:textId="77777777" w:rsidR="00D274D2" w:rsidRPr="005D4222" w:rsidRDefault="00D274D2" w:rsidP="00A53E8C">
            <w:pPr>
              <w:pStyle w:val="Body"/>
              <w:spacing w:before="120"/>
              <w:rPr>
                <w:rFonts w:eastAsia="Arial" w:cs="Arial"/>
                <w:i/>
                <w:iCs/>
                <w:kern w:val="20"/>
              </w:rPr>
            </w:pPr>
            <w:r w:rsidRPr="005D4222">
              <w:rPr>
                <w:rFonts w:eastAsia="Arial" w:cs="Arial"/>
                <w:i/>
                <w:iCs/>
                <w:kern w:val="20"/>
              </w:rPr>
              <w:t>What language do you feel most comfortable speaking with your clinician or health care provider?</w:t>
            </w:r>
          </w:p>
          <w:p w14:paraId="101F11CC" w14:textId="77777777" w:rsidR="00D274D2" w:rsidRPr="005D4222" w:rsidRDefault="00D274D2" w:rsidP="00A53E8C">
            <w:pPr>
              <w:pStyle w:val="Body"/>
              <w:spacing w:before="120"/>
              <w:rPr>
                <w:rFonts w:eastAsia="Arial" w:cs="Arial"/>
                <w:i/>
                <w:iCs/>
                <w:kern w:val="20"/>
              </w:rPr>
            </w:pPr>
            <w:r w:rsidRPr="005D4222">
              <w:rPr>
                <w:rFonts w:eastAsia="Arial" w:cs="Arial"/>
                <w:i/>
                <w:iCs/>
                <w:kern w:val="20"/>
              </w:rPr>
              <w:t xml:space="preserve">What language do you feel most comfortable speaking with your doctor or nurse? </w:t>
            </w:r>
          </w:p>
          <w:p w14:paraId="12FA7429" w14:textId="77777777" w:rsidR="00D274D2" w:rsidRPr="005D4222" w:rsidRDefault="00D274D2" w:rsidP="00A53E8C">
            <w:pPr>
              <w:pStyle w:val="Body"/>
              <w:spacing w:before="120"/>
              <w:rPr>
                <w:rFonts w:eastAsia="Arial" w:cs="Arial"/>
                <w:i/>
                <w:iCs/>
                <w:kern w:val="20"/>
              </w:rPr>
            </w:pPr>
            <w:r w:rsidRPr="005D4222">
              <w:rPr>
                <w:rFonts w:eastAsia="Arial" w:cs="Arial"/>
                <w:i/>
                <w:iCs/>
                <w:kern w:val="20"/>
              </w:rPr>
              <w:t xml:space="preserve">In what language do you prefer to receive your medical care? </w:t>
            </w:r>
          </w:p>
          <w:p w14:paraId="2D471373" w14:textId="77777777" w:rsidR="00D274D2" w:rsidRPr="005D4222" w:rsidRDefault="00D274D2" w:rsidP="00A53E8C">
            <w:pPr>
              <w:pStyle w:val="Body"/>
              <w:spacing w:before="120"/>
              <w:rPr>
                <w:rFonts w:eastAsia="Arial" w:cs="Arial"/>
                <w:i/>
                <w:iCs/>
                <w:kern w:val="20"/>
              </w:rPr>
            </w:pPr>
            <w:r w:rsidRPr="005D4222">
              <w:rPr>
                <w:rFonts w:eastAsia="Arial" w:cs="Arial"/>
                <w:i/>
                <w:iCs/>
                <w:kern w:val="20"/>
              </w:rPr>
              <w:t xml:space="preserve">In what language do you want us to speak to you? </w:t>
            </w:r>
          </w:p>
          <w:p w14:paraId="1AC1F25B" w14:textId="77777777" w:rsidR="00D274D2" w:rsidRPr="005D4222" w:rsidRDefault="00D274D2" w:rsidP="00A53E8C">
            <w:pPr>
              <w:pStyle w:val="Body"/>
              <w:spacing w:before="120"/>
              <w:rPr>
                <w:rFonts w:eastAsia="Arial" w:cs="Arial"/>
                <w:i/>
                <w:iCs/>
                <w:kern w:val="20"/>
              </w:rPr>
            </w:pPr>
            <w:r w:rsidRPr="005D4222">
              <w:rPr>
                <w:rFonts w:eastAsia="Arial" w:cs="Arial"/>
                <w:i/>
                <w:iCs/>
                <w:kern w:val="20"/>
              </w:rPr>
              <w:t>What language do you prefer to speak when you come to the medical center?</w:t>
            </w:r>
          </w:p>
          <w:p w14:paraId="1D7B3CCA" w14:textId="77777777" w:rsidR="00D274D2" w:rsidRPr="005D4222" w:rsidRDefault="00D274D2" w:rsidP="00A53E8C">
            <w:pPr>
              <w:pStyle w:val="Body"/>
              <w:spacing w:before="120"/>
              <w:rPr>
                <w:kern w:val="20"/>
              </w:rPr>
            </w:pPr>
            <w:r w:rsidRPr="005D4222">
              <w:rPr>
                <w:rFonts w:eastAsia="Arial" w:cs="Arial"/>
                <w:i/>
                <w:iCs/>
                <w:kern w:val="20"/>
              </w:rPr>
              <w:t xml:space="preserve">What language do you feel most comfortable speaking? </w:t>
            </w:r>
          </w:p>
        </w:tc>
      </w:tr>
      <w:tr w:rsidR="00D274D2" w:rsidRPr="005D4222" w14:paraId="2E003E84" w14:textId="77777777" w:rsidTr="00A53E8C">
        <w:tc>
          <w:tcPr>
            <w:tcW w:w="2160" w:type="dxa"/>
          </w:tcPr>
          <w:p w14:paraId="43B5AEE8" w14:textId="77777777" w:rsidR="00D274D2" w:rsidRPr="005D4222" w:rsidRDefault="00D274D2" w:rsidP="00A53E8C">
            <w:pPr>
              <w:pStyle w:val="MarginSubhead"/>
              <w:rPr>
                <w:rFonts w:eastAsia="Arial" w:cs="Arial"/>
                <w:kern w:val="20"/>
              </w:rPr>
            </w:pPr>
            <w:r w:rsidRPr="005D4222">
              <w:rPr>
                <w:rFonts w:eastAsia="Arial" w:cs="Arial"/>
                <w:kern w:val="20"/>
              </w:rPr>
              <w:t>Preferred language for written materials</w:t>
            </w:r>
          </w:p>
        </w:tc>
        <w:tc>
          <w:tcPr>
            <w:tcW w:w="7632" w:type="dxa"/>
          </w:tcPr>
          <w:p w14:paraId="2C03DC24" w14:textId="77777777" w:rsidR="00D274D2" w:rsidRPr="005D4222" w:rsidRDefault="00D274D2" w:rsidP="00A53E8C">
            <w:pPr>
              <w:pStyle w:val="Body"/>
              <w:rPr>
                <w:kern w:val="20"/>
              </w:rPr>
            </w:pPr>
            <w:r w:rsidRPr="005D4222">
              <w:rPr>
                <w:kern w:val="20"/>
              </w:rPr>
              <w:t xml:space="preserve">Enter the </w:t>
            </w:r>
            <w:r w:rsidRPr="005D4222">
              <w:rPr>
                <w:rFonts w:eastAsia="Arial" w:cs="Arial"/>
                <w:kern w:val="20"/>
              </w:rPr>
              <w:t xml:space="preserve">number </w:t>
            </w:r>
            <w:r w:rsidRPr="005D4222">
              <w:rPr>
                <w:kern w:val="20"/>
              </w:rPr>
              <w:t xml:space="preserve">of members with data from each data source in Table LDM-A-1/2/3. Identify the category (English/non-English) for preferred language for written materials, unknown and declined in Table LDM-B-1/2/3. </w:t>
            </w:r>
          </w:p>
          <w:p w14:paraId="2B210D19" w14:textId="77777777" w:rsidR="00D274D2" w:rsidRPr="005D4222" w:rsidRDefault="00D274D2" w:rsidP="00A53E8C">
            <w:pPr>
              <w:pStyle w:val="Body"/>
              <w:spacing w:before="120"/>
              <w:rPr>
                <w:i/>
                <w:iCs/>
                <w:kern w:val="20"/>
              </w:rPr>
            </w:pPr>
          </w:p>
        </w:tc>
      </w:tr>
    </w:tbl>
    <w:p w14:paraId="5A6B1DE6" w14:textId="77777777" w:rsidR="00D274D2" w:rsidRPr="005D4222" w:rsidRDefault="00D274D2" w:rsidP="00D274D2">
      <w:pPr>
        <w:rPr>
          <w:kern w:val="20"/>
        </w:rPr>
      </w:pPr>
    </w:p>
    <w:tbl>
      <w:tblPr>
        <w:tblW w:w="9792" w:type="dxa"/>
        <w:tblLayout w:type="fixed"/>
        <w:tblLook w:val="0000" w:firstRow="0" w:lastRow="0" w:firstColumn="0" w:lastColumn="0" w:noHBand="0" w:noVBand="0"/>
      </w:tblPr>
      <w:tblGrid>
        <w:gridCol w:w="2160"/>
        <w:gridCol w:w="7632"/>
      </w:tblGrid>
      <w:tr w:rsidR="00D274D2" w:rsidRPr="005D4222" w14:paraId="3E55B36A" w14:textId="77777777" w:rsidTr="00A53E8C">
        <w:tc>
          <w:tcPr>
            <w:tcW w:w="2160" w:type="dxa"/>
          </w:tcPr>
          <w:p w14:paraId="5A66F97D" w14:textId="77777777" w:rsidR="00D274D2" w:rsidRPr="005D4222" w:rsidRDefault="00D274D2" w:rsidP="00A53E8C">
            <w:pPr>
              <w:pStyle w:val="MarginSubhead"/>
              <w:rPr>
                <w:rFonts w:eastAsia="Arial" w:cs="Arial"/>
                <w:kern w:val="20"/>
              </w:rPr>
            </w:pPr>
          </w:p>
        </w:tc>
        <w:tc>
          <w:tcPr>
            <w:tcW w:w="7632" w:type="dxa"/>
          </w:tcPr>
          <w:p w14:paraId="3B7E10B2" w14:textId="77777777" w:rsidR="00D274D2" w:rsidRPr="005D4222" w:rsidRDefault="00D274D2" w:rsidP="00A53E8C">
            <w:pPr>
              <w:pStyle w:val="Body"/>
              <w:spacing w:before="0"/>
              <w:rPr>
                <w:kern w:val="20"/>
              </w:rPr>
            </w:pPr>
            <w:r w:rsidRPr="005D4222">
              <w:rPr>
                <w:b/>
                <w:bCs/>
                <w:kern w:val="20"/>
              </w:rPr>
              <w:t>Data collection guidance.</w:t>
            </w:r>
            <w:r w:rsidRPr="005D4222">
              <w:rPr>
                <w:kern w:val="20"/>
              </w:rPr>
              <w:t xml:space="preserve"> This information can be gathered through questions such as:</w:t>
            </w:r>
          </w:p>
          <w:p w14:paraId="6E533FCC" w14:textId="77777777" w:rsidR="00D274D2" w:rsidRPr="005D4222" w:rsidRDefault="00D274D2" w:rsidP="00A53E8C">
            <w:pPr>
              <w:pStyle w:val="Body"/>
              <w:spacing w:before="120"/>
              <w:rPr>
                <w:i/>
                <w:iCs/>
                <w:kern w:val="20"/>
              </w:rPr>
            </w:pPr>
            <w:r w:rsidRPr="005D4222">
              <w:rPr>
                <w:i/>
                <w:iCs/>
                <w:kern w:val="20"/>
              </w:rPr>
              <w:t>In which language would you feel most comfortable reading health care information?</w:t>
            </w:r>
          </w:p>
          <w:p w14:paraId="0AC36BB9" w14:textId="77777777" w:rsidR="00D274D2" w:rsidRPr="005D4222" w:rsidRDefault="00D274D2" w:rsidP="00A53E8C">
            <w:pPr>
              <w:pStyle w:val="Body"/>
              <w:spacing w:before="120"/>
              <w:rPr>
                <w:i/>
                <w:iCs/>
                <w:kern w:val="20"/>
              </w:rPr>
            </w:pPr>
            <w:r w:rsidRPr="005D4222">
              <w:rPr>
                <w:i/>
                <w:iCs/>
                <w:kern w:val="20"/>
              </w:rPr>
              <w:t>In which language would you feel most comfortable reading medical or health care instructions?</w:t>
            </w:r>
          </w:p>
          <w:p w14:paraId="0608605E" w14:textId="77777777" w:rsidR="00D274D2" w:rsidRPr="005D4222" w:rsidRDefault="00D274D2" w:rsidP="00A53E8C">
            <w:pPr>
              <w:pStyle w:val="Body"/>
              <w:spacing w:before="120"/>
              <w:rPr>
                <w:i/>
                <w:iCs/>
                <w:kern w:val="20"/>
              </w:rPr>
            </w:pPr>
            <w:r w:rsidRPr="005D4222">
              <w:rPr>
                <w:i/>
                <w:iCs/>
                <w:kern w:val="20"/>
              </w:rPr>
              <w:t>What language should we write [to] you in?</w:t>
            </w:r>
          </w:p>
          <w:p w14:paraId="0A65A68E" w14:textId="77777777" w:rsidR="00D274D2" w:rsidRPr="005D4222" w:rsidRDefault="00D274D2" w:rsidP="00A53E8C">
            <w:pPr>
              <w:pStyle w:val="Body"/>
              <w:spacing w:before="120"/>
              <w:rPr>
                <w:i/>
                <w:iCs/>
                <w:kern w:val="20"/>
              </w:rPr>
            </w:pPr>
            <w:r w:rsidRPr="005D4222">
              <w:rPr>
                <w:i/>
                <w:iCs/>
                <w:kern w:val="20"/>
              </w:rPr>
              <w:t>What is your preferred written language?</w:t>
            </w:r>
          </w:p>
          <w:p w14:paraId="78B35619" w14:textId="77777777" w:rsidR="00D274D2" w:rsidRPr="005D4222" w:rsidRDefault="00D274D2" w:rsidP="00A53E8C">
            <w:pPr>
              <w:pStyle w:val="Body"/>
              <w:spacing w:before="120"/>
              <w:rPr>
                <w:i/>
                <w:iCs/>
                <w:kern w:val="20"/>
              </w:rPr>
            </w:pPr>
            <w:r w:rsidRPr="005D4222">
              <w:rPr>
                <w:i/>
                <w:iCs/>
                <w:kern w:val="20"/>
              </w:rPr>
              <w:t>In what language do you prefer to read health-related materials?</w:t>
            </w:r>
          </w:p>
          <w:p w14:paraId="12FAE5FC" w14:textId="77777777" w:rsidR="00D274D2" w:rsidRPr="005D4222" w:rsidRDefault="00D274D2" w:rsidP="00A53E8C">
            <w:pPr>
              <w:pStyle w:val="Body"/>
              <w:spacing w:before="120"/>
              <w:rPr>
                <w:kern w:val="20"/>
              </w:rPr>
            </w:pPr>
            <w:r w:rsidRPr="005D4222">
              <w:rPr>
                <w:i/>
                <w:iCs/>
                <w:kern w:val="20"/>
              </w:rPr>
              <w:t>What language do you prefer for written materials?</w:t>
            </w:r>
          </w:p>
        </w:tc>
      </w:tr>
      <w:tr w:rsidR="00D274D2" w:rsidRPr="005D4222" w14:paraId="1F21EE1A" w14:textId="77777777" w:rsidTr="00A53E8C">
        <w:tc>
          <w:tcPr>
            <w:tcW w:w="2160" w:type="dxa"/>
          </w:tcPr>
          <w:p w14:paraId="78D0AC31" w14:textId="77777777" w:rsidR="00D274D2" w:rsidRPr="005D4222" w:rsidRDefault="00D274D2" w:rsidP="00A53E8C">
            <w:pPr>
              <w:pStyle w:val="MarginSubhead"/>
              <w:rPr>
                <w:rFonts w:eastAsia="Arial" w:cs="Arial"/>
                <w:kern w:val="20"/>
              </w:rPr>
            </w:pPr>
            <w:r w:rsidRPr="005D4222">
              <w:rPr>
                <w:rFonts w:eastAsia="Arial" w:cs="Arial"/>
                <w:kern w:val="20"/>
              </w:rPr>
              <w:t>Other language needs</w:t>
            </w:r>
          </w:p>
        </w:tc>
        <w:tc>
          <w:tcPr>
            <w:tcW w:w="7632" w:type="dxa"/>
          </w:tcPr>
          <w:p w14:paraId="786AC6F6" w14:textId="77777777" w:rsidR="00D274D2" w:rsidRPr="005D4222" w:rsidRDefault="00D274D2" w:rsidP="00A53E8C">
            <w:pPr>
              <w:pStyle w:val="Body"/>
              <w:rPr>
                <w:kern w:val="20"/>
              </w:rPr>
            </w:pPr>
            <w:r w:rsidRPr="005D4222">
              <w:rPr>
                <w:kern w:val="20"/>
              </w:rPr>
              <w:t xml:space="preserve">Enter the </w:t>
            </w:r>
            <w:r w:rsidRPr="005D4222">
              <w:rPr>
                <w:rFonts w:eastAsia="Arial" w:cs="Arial"/>
                <w:kern w:val="20"/>
              </w:rPr>
              <w:t xml:space="preserve">number </w:t>
            </w:r>
            <w:r w:rsidRPr="005D4222">
              <w:rPr>
                <w:kern w:val="20"/>
              </w:rPr>
              <w:t>of members with data from each data source in Table LDM-A-1/2/3. Identify the category (English/non-English) for any “Other Language Needs,” “Unknown” and “Declined” in Table LDM-B-1/2/3.</w:t>
            </w:r>
          </w:p>
          <w:p w14:paraId="335FD29D" w14:textId="77777777" w:rsidR="00D274D2" w:rsidRPr="005D4222" w:rsidRDefault="00D274D2" w:rsidP="00A53E8C">
            <w:pPr>
              <w:pStyle w:val="Body"/>
              <w:rPr>
                <w:rFonts w:eastAsia="Arial" w:cs="Arial"/>
                <w:kern w:val="20"/>
              </w:rPr>
            </w:pPr>
            <w:r w:rsidRPr="005D4222">
              <w:rPr>
                <w:rFonts w:eastAsia="Arial" w:cs="Arial"/>
                <w:b/>
                <w:bCs/>
                <w:kern w:val="20"/>
              </w:rPr>
              <w:t>Data collection guidance.</w:t>
            </w:r>
            <w:r w:rsidRPr="005D4222">
              <w:rPr>
                <w:rFonts w:eastAsia="Arial" w:cs="Arial"/>
                <w:kern w:val="20"/>
              </w:rPr>
              <w:t xml:space="preserve"> This category captures data collected from questions that cannot be mapped to any of the categories above, such as:</w:t>
            </w:r>
          </w:p>
          <w:p w14:paraId="7E1FA5A0" w14:textId="77777777" w:rsidR="00D274D2" w:rsidRPr="005D4222" w:rsidRDefault="00D274D2" w:rsidP="00A53E8C">
            <w:pPr>
              <w:pStyle w:val="Body"/>
              <w:spacing w:before="120"/>
              <w:rPr>
                <w:i/>
                <w:iCs/>
                <w:kern w:val="20"/>
              </w:rPr>
            </w:pPr>
            <w:r w:rsidRPr="005D4222">
              <w:rPr>
                <w:i/>
                <w:iCs/>
                <w:kern w:val="20"/>
              </w:rPr>
              <w:t>What is the primary language spoken at home?</w:t>
            </w:r>
          </w:p>
        </w:tc>
      </w:tr>
    </w:tbl>
    <w:p w14:paraId="73B82266" w14:textId="77777777" w:rsidR="00D274D2" w:rsidRPr="005D4222" w:rsidRDefault="00D274D2" w:rsidP="00D274D2">
      <w:pPr>
        <w:pStyle w:val="SubHeadNoTOC"/>
      </w:pPr>
      <w:r w:rsidRPr="005D4222">
        <w:rPr>
          <w:bCs/>
          <w:i/>
          <w:kern w:val="20"/>
        </w:rPr>
        <w:t>Note</w:t>
      </w:r>
    </w:p>
    <w:p w14:paraId="7A0CA3C7" w14:textId="77777777" w:rsidR="00D274D2" w:rsidRPr="005D4222" w:rsidRDefault="00D274D2" w:rsidP="005D6173">
      <w:pPr>
        <w:pStyle w:val="ProcessBullet"/>
        <w:numPr>
          <w:ilvl w:val="0"/>
          <w:numId w:val="134"/>
        </w:numPr>
        <w:tabs>
          <w:tab w:val="left" w:pos="216"/>
        </w:tabs>
        <w:spacing w:before="120"/>
        <w:ind w:left="216" w:hanging="216"/>
        <w:rPr>
          <w:kern w:val="20"/>
        </w:rPr>
      </w:pPr>
      <w:r w:rsidRPr="005D4222">
        <w:rPr>
          <w:i/>
          <w:iCs/>
          <w:kern w:val="20"/>
        </w:rPr>
        <w:t xml:space="preserve">It is considered “best practice” to collect data directly from members because this method reflects members’ self-identification. If data collected directly are not available, third-party data collected directly by another entity (e.g., the state or CMS) are desired. </w:t>
      </w:r>
    </w:p>
    <w:p w14:paraId="51F40BE4" w14:textId="77777777" w:rsidR="00D274D2" w:rsidRPr="005D4222" w:rsidRDefault="00D274D2" w:rsidP="005D6173">
      <w:pPr>
        <w:pStyle w:val="ProcessBullet"/>
        <w:numPr>
          <w:ilvl w:val="0"/>
          <w:numId w:val="134"/>
        </w:numPr>
        <w:tabs>
          <w:tab w:val="left" w:pos="216"/>
        </w:tabs>
        <w:ind w:left="216" w:hanging="216"/>
        <w:rPr>
          <w:i/>
          <w:iCs/>
          <w:kern w:val="20"/>
        </w:rPr>
      </w:pPr>
      <w:r w:rsidRPr="005D4222">
        <w:rPr>
          <w:i/>
          <w:iCs/>
          <w:kern w:val="20"/>
        </w:rPr>
        <w:t>Indirect data may not be used when reporting this measure</w:t>
      </w:r>
      <w:r w:rsidRPr="005D4222">
        <w:rPr>
          <w:kern w:val="20"/>
        </w:rPr>
        <w:t>.</w:t>
      </w:r>
      <w:r w:rsidRPr="005D4222">
        <w:rPr>
          <w:i/>
          <w:iCs/>
          <w:kern w:val="20"/>
        </w:rPr>
        <w:t xml:space="preserve"> Table LDM-B-1/2/3 is reported using the total unduplicated count of members; report any data not collected using a direct method in the “Unknown” category.</w:t>
      </w:r>
    </w:p>
    <w:p w14:paraId="1A791ABF" w14:textId="77777777" w:rsidR="00D274D2" w:rsidRPr="005D4222" w:rsidRDefault="00D274D2" w:rsidP="005D6173">
      <w:pPr>
        <w:pStyle w:val="ProcessBullet"/>
        <w:numPr>
          <w:ilvl w:val="0"/>
          <w:numId w:val="134"/>
        </w:numPr>
        <w:tabs>
          <w:tab w:val="left" w:pos="216"/>
        </w:tabs>
        <w:ind w:left="216" w:hanging="216"/>
        <w:rPr>
          <w:i/>
          <w:iCs/>
          <w:kern w:val="20"/>
        </w:rPr>
      </w:pPr>
      <w:r w:rsidRPr="005D4222">
        <w:rPr>
          <w:i/>
          <w:iCs/>
          <w:kern w:val="20"/>
        </w:rPr>
        <w:t>When multiple sources of data are used, there may be disagreements in the data collected. In such a case, use a logical process that considers the relative accuracy of each data source to resolve the difference. For example, one way to use a stepwise logic for any data disagreement is to:</w:t>
      </w:r>
    </w:p>
    <w:p w14:paraId="3303E0F6" w14:textId="77777777" w:rsidR="00D274D2" w:rsidRPr="005D4222" w:rsidRDefault="00D274D2" w:rsidP="00D274D2">
      <w:pPr>
        <w:pStyle w:val="ProcessDash"/>
        <w:tabs>
          <w:tab w:val="clear" w:pos="432"/>
        </w:tabs>
        <w:spacing w:before="30"/>
        <w:rPr>
          <w:i/>
          <w:iCs/>
          <w:kern w:val="20"/>
        </w:rPr>
      </w:pPr>
      <w:r w:rsidRPr="005D4222">
        <w:rPr>
          <w:i/>
          <w:iCs/>
          <w:kern w:val="20"/>
        </w:rPr>
        <w:t>Select specific categories over nonspecific categories.</w:t>
      </w:r>
    </w:p>
    <w:p w14:paraId="36DA1376" w14:textId="77777777" w:rsidR="00D274D2" w:rsidRPr="005D4222" w:rsidRDefault="00D274D2" w:rsidP="00D274D2">
      <w:pPr>
        <w:pStyle w:val="ProcessDash"/>
        <w:tabs>
          <w:tab w:val="clear" w:pos="432"/>
        </w:tabs>
        <w:spacing w:before="30"/>
        <w:rPr>
          <w:i/>
          <w:iCs/>
          <w:kern w:val="20"/>
        </w:rPr>
      </w:pPr>
      <w:r w:rsidRPr="005D4222">
        <w:rPr>
          <w:i/>
          <w:iCs/>
          <w:kern w:val="20"/>
        </w:rPr>
        <w:t>Select the most frequently or consistently reported category over less frequently reported categories.</w:t>
      </w:r>
    </w:p>
    <w:p w14:paraId="67296464" w14:textId="77777777" w:rsidR="00D274D2" w:rsidRPr="005D4222" w:rsidRDefault="00D274D2" w:rsidP="00D274D2">
      <w:pPr>
        <w:pStyle w:val="ProcessDash"/>
        <w:tabs>
          <w:tab w:val="clear" w:pos="432"/>
        </w:tabs>
        <w:spacing w:before="30"/>
        <w:rPr>
          <w:i/>
          <w:iCs/>
          <w:kern w:val="20"/>
        </w:rPr>
      </w:pPr>
      <w:r w:rsidRPr="005D4222">
        <w:rPr>
          <w:i/>
          <w:iCs/>
          <w:kern w:val="20"/>
        </w:rPr>
        <w:t>Data sources might also be prioritized after an analysis of the reliability of the different data sources.</w:t>
      </w:r>
    </w:p>
    <w:p w14:paraId="39FD37F4" w14:textId="77777777" w:rsidR="00D274D2" w:rsidRPr="005D4222" w:rsidRDefault="00D274D2" w:rsidP="00D274D2">
      <w:pPr>
        <w:keepNext/>
        <w:spacing w:before="240" w:after="60"/>
        <w:outlineLvl w:val="2"/>
        <w:rPr>
          <w:rFonts w:cs="Arial"/>
          <w:b/>
          <w:i/>
          <w:iCs/>
          <w:kern w:val="20"/>
          <w:sz w:val="18"/>
          <w:szCs w:val="18"/>
        </w:rPr>
      </w:pPr>
      <w:r w:rsidRPr="005D4222">
        <w:rPr>
          <w:rFonts w:cs="Arial"/>
          <w:b/>
          <w:i/>
          <w:iCs/>
          <w:kern w:val="20"/>
          <w:sz w:val="18"/>
          <w:szCs w:val="18"/>
        </w:rPr>
        <w:t>Table LDM-A-1/2/3: Percentage of Members With Language Value From Each Data Source</w:t>
      </w:r>
    </w:p>
    <w:tbl>
      <w:tblPr>
        <w:tblW w:w="0" w:type="auto"/>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23"/>
        <w:gridCol w:w="1796"/>
        <w:gridCol w:w="1355"/>
        <w:gridCol w:w="2699"/>
      </w:tblGrid>
      <w:tr w:rsidR="006439AD" w:rsidRPr="005D4222" w14:paraId="156DA99A" w14:textId="77777777" w:rsidTr="00A53E8C">
        <w:tc>
          <w:tcPr>
            <w:tcW w:w="1623" w:type="dxa"/>
            <w:tcBorders>
              <w:top w:val="single" w:sz="4" w:space="0" w:color="000000"/>
              <w:left w:val="single" w:sz="4" w:space="0" w:color="000000"/>
              <w:bottom w:val="single" w:sz="4" w:space="0" w:color="000000"/>
              <w:right w:val="single" w:sz="4" w:space="0" w:color="FFFFFF"/>
            </w:tcBorders>
            <w:shd w:val="clear" w:color="auto" w:fill="000000"/>
          </w:tcPr>
          <w:p w14:paraId="42586D7F" w14:textId="77777777" w:rsidR="00D274D2" w:rsidRPr="005D4222" w:rsidRDefault="00D274D2" w:rsidP="00A53E8C">
            <w:pPr>
              <w:pStyle w:val="TableHead"/>
              <w:rPr>
                <w:color w:val="auto"/>
                <w:kern w:val="20"/>
              </w:rPr>
            </w:pPr>
            <w:r w:rsidRPr="005D4222">
              <w:rPr>
                <w:color w:val="auto"/>
                <w:kern w:val="20"/>
              </w:rPr>
              <w:t>Metric</w:t>
            </w:r>
          </w:p>
        </w:tc>
        <w:tc>
          <w:tcPr>
            <w:tcW w:w="1796" w:type="dxa"/>
            <w:tcBorders>
              <w:top w:val="single" w:sz="4" w:space="0" w:color="000000"/>
              <w:left w:val="single" w:sz="4" w:space="0" w:color="FFFFFF"/>
              <w:bottom w:val="single" w:sz="4" w:space="0" w:color="000000"/>
              <w:right w:val="single" w:sz="4" w:space="0" w:color="FFFFFF"/>
            </w:tcBorders>
            <w:shd w:val="clear" w:color="auto" w:fill="000000"/>
          </w:tcPr>
          <w:p w14:paraId="556D8384" w14:textId="77777777" w:rsidR="00D274D2" w:rsidRPr="005D4222" w:rsidRDefault="00D274D2" w:rsidP="00A53E8C">
            <w:pPr>
              <w:pStyle w:val="TableHead"/>
              <w:rPr>
                <w:color w:val="auto"/>
                <w:kern w:val="20"/>
              </w:rPr>
            </w:pPr>
            <w:r w:rsidRPr="005D4222">
              <w:rPr>
                <w:color w:val="auto"/>
                <w:kern w:val="20"/>
              </w:rPr>
              <w:t>Source</w:t>
            </w:r>
          </w:p>
        </w:tc>
        <w:tc>
          <w:tcPr>
            <w:tcW w:w="1355" w:type="dxa"/>
            <w:tcBorders>
              <w:top w:val="single" w:sz="4" w:space="0" w:color="000000"/>
              <w:left w:val="single" w:sz="4" w:space="0" w:color="FFFFFF"/>
              <w:bottom w:val="single" w:sz="4" w:space="0" w:color="000000"/>
              <w:right w:val="single" w:sz="4" w:space="0" w:color="FFFFFF"/>
            </w:tcBorders>
            <w:shd w:val="clear" w:color="auto" w:fill="000000"/>
          </w:tcPr>
          <w:p w14:paraId="655B4BBF" w14:textId="77777777" w:rsidR="00D274D2" w:rsidRPr="005D4222" w:rsidRDefault="00D274D2" w:rsidP="00A53E8C">
            <w:pPr>
              <w:pStyle w:val="TableHead"/>
              <w:rPr>
                <w:color w:val="auto"/>
                <w:kern w:val="20"/>
              </w:rPr>
            </w:pPr>
            <w:r w:rsidRPr="005D4222">
              <w:rPr>
                <w:color w:val="auto"/>
                <w:kern w:val="20"/>
              </w:rPr>
              <w:t>Data Element</w:t>
            </w:r>
          </w:p>
        </w:tc>
        <w:tc>
          <w:tcPr>
            <w:tcW w:w="2699" w:type="dxa"/>
            <w:tcBorders>
              <w:top w:val="single" w:sz="4" w:space="0" w:color="000000"/>
              <w:left w:val="single" w:sz="4" w:space="0" w:color="FFFFFF"/>
              <w:bottom w:val="single" w:sz="4" w:space="0" w:color="000000"/>
              <w:right w:val="single" w:sz="4" w:space="0" w:color="000000"/>
            </w:tcBorders>
            <w:shd w:val="clear" w:color="auto" w:fill="000000"/>
          </w:tcPr>
          <w:p w14:paraId="7A75D4B2" w14:textId="77777777" w:rsidR="00D274D2" w:rsidRPr="005D4222" w:rsidRDefault="00D274D2" w:rsidP="00A53E8C">
            <w:pPr>
              <w:pStyle w:val="TableHead"/>
              <w:rPr>
                <w:color w:val="auto"/>
                <w:kern w:val="20"/>
              </w:rPr>
            </w:pPr>
            <w:r w:rsidRPr="005D4222">
              <w:rPr>
                <w:color w:val="auto"/>
                <w:kern w:val="20"/>
              </w:rPr>
              <w:t>Reporting Instructions</w:t>
            </w:r>
          </w:p>
        </w:tc>
      </w:tr>
      <w:tr w:rsidR="00D274D2" w:rsidRPr="005D4222" w14:paraId="75320F57" w14:textId="77777777" w:rsidTr="00A53E8C">
        <w:tc>
          <w:tcPr>
            <w:tcW w:w="1623" w:type="dxa"/>
            <w:tcBorders>
              <w:top w:val="single" w:sz="4" w:space="0" w:color="000000"/>
              <w:left w:val="single" w:sz="4" w:space="0" w:color="000000"/>
              <w:bottom w:val="single" w:sz="4" w:space="0" w:color="000000"/>
              <w:right w:val="single" w:sz="4" w:space="0" w:color="000000"/>
            </w:tcBorders>
          </w:tcPr>
          <w:p w14:paraId="2B103304" w14:textId="77777777" w:rsidR="00D274D2" w:rsidRPr="005D4222" w:rsidRDefault="00D274D2" w:rsidP="00A53E8C">
            <w:pPr>
              <w:pStyle w:val="TableText"/>
              <w:rPr>
                <w:kern w:val="20"/>
              </w:rPr>
            </w:pPr>
            <w:r w:rsidRPr="005D4222">
              <w:rPr>
                <w:kern w:val="20"/>
              </w:rPr>
              <w:t>SpokenSource</w:t>
            </w:r>
          </w:p>
        </w:tc>
        <w:tc>
          <w:tcPr>
            <w:tcW w:w="1796" w:type="dxa"/>
            <w:tcBorders>
              <w:top w:val="single" w:sz="4" w:space="0" w:color="000000"/>
              <w:left w:val="single" w:sz="4" w:space="0" w:color="000000"/>
              <w:bottom w:val="single" w:sz="4" w:space="0" w:color="auto"/>
              <w:right w:val="single" w:sz="4" w:space="0" w:color="auto"/>
            </w:tcBorders>
          </w:tcPr>
          <w:p w14:paraId="2781F187" w14:textId="77777777" w:rsidR="00D274D2" w:rsidRPr="005D4222" w:rsidRDefault="00D274D2" w:rsidP="00A53E8C">
            <w:pPr>
              <w:pStyle w:val="TableText"/>
              <w:rPr>
                <w:kern w:val="20"/>
              </w:rPr>
            </w:pPr>
            <w:r w:rsidRPr="005D4222">
              <w:rPr>
                <w:kern w:val="20"/>
              </w:rPr>
              <w:t>CmsStateDatabases</w:t>
            </w:r>
          </w:p>
        </w:tc>
        <w:tc>
          <w:tcPr>
            <w:tcW w:w="1355" w:type="dxa"/>
            <w:tcBorders>
              <w:top w:val="single" w:sz="4" w:space="0" w:color="000000"/>
              <w:left w:val="single" w:sz="4" w:space="0" w:color="auto"/>
              <w:bottom w:val="single" w:sz="4" w:space="0" w:color="000000"/>
              <w:right w:val="single" w:sz="4" w:space="0" w:color="auto"/>
            </w:tcBorders>
          </w:tcPr>
          <w:p w14:paraId="3F1B900D" w14:textId="77777777" w:rsidR="00D274D2" w:rsidRPr="005D4222" w:rsidRDefault="00D274D2" w:rsidP="00A53E8C">
            <w:pPr>
              <w:pStyle w:val="TableText"/>
              <w:rPr>
                <w:kern w:val="20"/>
              </w:rPr>
            </w:pPr>
            <w:r w:rsidRPr="005D4222">
              <w:rPr>
                <w:kern w:val="20"/>
              </w:rPr>
              <w:t>MemberCount</w:t>
            </w:r>
          </w:p>
        </w:tc>
        <w:tc>
          <w:tcPr>
            <w:tcW w:w="2699" w:type="dxa"/>
            <w:tcBorders>
              <w:top w:val="single" w:sz="4" w:space="0" w:color="000000"/>
              <w:left w:val="single" w:sz="4" w:space="0" w:color="auto"/>
              <w:bottom w:val="single" w:sz="4" w:space="0" w:color="000000"/>
              <w:right w:val="single" w:sz="4" w:space="0" w:color="auto"/>
            </w:tcBorders>
          </w:tcPr>
          <w:p w14:paraId="1F720B8E" w14:textId="77777777" w:rsidR="00D274D2" w:rsidRPr="005D4222" w:rsidRDefault="00D274D2" w:rsidP="00A53E8C">
            <w:pPr>
              <w:pStyle w:val="TableText"/>
              <w:rPr>
                <w:rFonts w:eastAsia="Wingdings"/>
                <w:kern w:val="20"/>
              </w:rPr>
            </w:pPr>
            <w:r w:rsidRPr="005D4222">
              <w:rPr>
                <w:rFonts w:eastAsia="Wingdings"/>
                <w:kern w:val="20"/>
              </w:rPr>
              <w:t>For each Metric and Source</w:t>
            </w:r>
          </w:p>
        </w:tc>
      </w:tr>
      <w:tr w:rsidR="006439AD" w:rsidRPr="005D4222" w14:paraId="6F34CF64" w14:textId="77777777" w:rsidTr="00A53E8C">
        <w:tc>
          <w:tcPr>
            <w:tcW w:w="1623" w:type="dxa"/>
            <w:tcBorders>
              <w:top w:val="single" w:sz="4" w:space="0" w:color="000000"/>
              <w:left w:val="single" w:sz="4" w:space="0" w:color="000000"/>
              <w:bottom w:val="single" w:sz="4" w:space="0" w:color="000000"/>
              <w:right w:val="single" w:sz="4" w:space="0" w:color="000000"/>
            </w:tcBorders>
            <w:shd w:val="clear" w:color="auto" w:fill="FFFFFF"/>
          </w:tcPr>
          <w:p w14:paraId="1C8364C2" w14:textId="77777777" w:rsidR="00D274D2" w:rsidRPr="005D4222" w:rsidRDefault="00D274D2" w:rsidP="00A53E8C">
            <w:pPr>
              <w:pStyle w:val="TableText"/>
              <w:rPr>
                <w:kern w:val="20"/>
              </w:rPr>
            </w:pPr>
            <w:r w:rsidRPr="005D4222">
              <w:rPr>
                <w:kern w:val="20"/>
              </w:rPr>
              <w:t>WrittenSource</w:t>
            </w:r>
          </w:p>
        </w:tc>
        <w:tc>
          <w:tcPr>
            <w:tcW w:w="1796" w:type="dxa"/>
            <w:tcBorders>
              <w:top w:val="single" w:sz="4" w:space="0" w:color="auto"/>
              <w:left w:val="single" w:sz="4" w:space="0" w:color="000000"/>
              <w:bottom w:val="single" w:sz="4" w:space="0" w:color="000000"/>
              <w:right w:val="single" w:sz="4" w:space="0" w:color="000000"/>
            </w:tcBorders>
            <w:shd w:val="clear" w:color="auto" w:fill="FFFFFF"/>
          </w:tcPr>
          <w:p w14:paraId="77BD2C88" w14:textId="77777777" w:rsidR="00D274D2" w:rsidRPr="005D4222" w:rsidRDefault="00D274D2" w:rsidP="00A53E8C">
            <w:pPr>
              <w:pStyle w:val="TableText"/>
              <w:rPr>
                <w:kern w:val="20"/>
              </w:rPr>
            </w:pPr>
            <w:r w:rsidRPr="005D4222">
              <w:rPr>
                <w:kern w:val="20"/>
              </w:rPr>
              <w:t>HealthPlanDirect</w:t>
            </w:r>
          </w:p>
        </w:tc>
        <w:tc>
          <w:tcPr>
            <w:tcW w:w="1355" w:type="dxa"/>
            <w:tcBorders>
              <w:top w:val="single" w:sz="4" w:space="0" w:color="000000"/>
              <w:left w:val="single" w:sz="4" w:space="0" w:color="000000"/>
              <w:bottom w:val="single" w:sz="4" w:space="0" w:color="000000"/>
              <w:right w:val="single" w:sz="4" w:space="0" w:color="000000"/>
            </w:tcBorders>
            <w:shd w:val="clear" w:color="auto" w:fill="D9D9D9"/>
          </w:tcPr>
          <w:p w14:paraId="2F62573E" w14:textId="77777777" w:rsidR="00D274D2" w:rsidRPr="005D4222" w:rsidRDefault="00D274D2" w:rsidP="00A53E8C">
            <w:pPr>
              <w:pStyle w:val="TableText"/>
              <w:rPr>
                <w:kern w:val="20"/>
              </w:rPr>
            </w:pPr>
            <w:r w:rsidRPr="005D4222">
              <w:rPr>
                <w:kern w:val="20"/>
              </w:rPr>
              <w:t xml:space="preserve">Rate </w:t>
            </w:r>
          </w:p>
        </w:tc>
        <w:tc>
          <w:tcPr>
            <w:tcW w:w="2699" w:type="dxa"/>
            <w:tcBorders>
              <w:top w:val="single" w:sz="4" w:space="0" w:color="000000"/>
              <w:left w:val="single" w:sz="4" w:space="0" w:color="000000"/>
              <w:bottom w:val="single" w:sz="4" w:space="0" w:color="000000"/>
              <w:right w:val="single" w:sz="4" w:space="0" w:color="000000"/>
            </w:tcBorders>
            <w:shd w:val="clear" w:color="auto" w:fill="D9D9D9"/>
          </w:tcPr>
          <w:p w14:paraId="6AB9A67C" w14:textId="77777777" w:rsidR="00D274D2" w:rsidRPr="005D4222" w:rsidRDefault="00D274D2" w:rsidP="00A53E8C">
            <w:pPr>
              <w:pStyle w:val="TableText"/>
              <w:rPr>
                <w:rFonts w:eastAsia="Wingdings"/>
                <w:kern w:val="20"/>
              </w:rPr>
            </w:pPr>
            <w:r w:rsidRPr="005D4222">
              <w:rPr>
                <w:rFonts w:eastAsia="Wingdings"/>
                <w:kern w:val="20"/>
              </w:rPr>
              <w:t>(Percent)</w:t>
            </w:r>
          </w:p>
        </w:tc>
      </w:tr>
      <w:tr w:rsidR="006439AD" w:rsidRPr="005D4222" w14:paraId="6F266540" w14:textId="77777777" w:rsidTr="00A53E8C">
        <w:tc>
          <w:tcPr>
            <w:tcW w:w="1623" w:type="dxa"/>
            <w:tcBorders>
              <w:top w:val="single" w:sz="4" w:space="0" w:color="000000"/>
              <w:left w:val="single" w:sz="4" w:space="0" w:color="000000"/>
              <w:bottom w:val="single" w:sz="4" w:space="0" w:color="000000"/>
              <w:right w:val="single" w:sz="4" w:space="0" w:color="000000"/>
            </w:tcBorders>
            <w:shd w:val="clear" w:color="auto" w:fill="FFFFFF"/>
          </w:tcPr>
          <w:p w14:paraId="58052231" w14:textId="77777777" w:rsidR="00D274D2" w:rsidRPr="005D4222" w:rsidRDefault="00D274D2" w:rsidP="00A53E8C">
            <w:pPr>
              <w:pStyle w:val="TableText"/>
              <w:rPr>
                <w:kern w:val="20"/>
              </w:rPr>
            </w:pPr>
            <w:r w:rsidRPr="005D4222">
              <w:rPr>
                <w:kern w:val="20"/>
              </w:rPr>
              <w:t>OtherSource</w:t>
            </w:r>
          </w:p>
        </w:tc>
        <w:tc>
          <w:tcPr>
            <w:tcW w:w="1796" w:type="dxa"/>
            <w:tcBorders>
              <w:top w:val="single" w:sz="4" w:space="0" w:color="000000"/>
              <w:left w:val="single" w:sz="4" w:space="0" w:color="000000"/>
              <w:bottom w:val="single" w:sz="4" w:space="0" w:color="000000"/>
              <w:right w:val="single" w:sz="4" w:space="0" w:color="000000"/>
            </w:tcBorders>
            <w:shd w:val="clear" w:color="auto" w:fill="FFFFFF"/>
          </w:tcPr>
          <w:p w14:paraId="57FD9D2C" w14:textId="77777777" w:rsidR="00D274D2" w:rsidRPr="005D4222" w:rsidRDefault="00D274D2" w:rsidP="00A53E8C">
            <w:pPr>
              <w:pStyle w:val="TableText"/>
              <w:rPr>
                <w:kern w:val="20"/>
              </w:rPr>
            </w:pPr>
            <w:r w:rsidRPr="005D4222">
              <w:rPr>
                <w:kern w:val="20"/>
              </w:rPr>
              <w:t>Other3rdParty</w:t>
            </w:r>
          </w:p>
        </w:tc>
        <w:tc>
          <w:tcPr>
            <w:tcW w:w="1355" w:type="dxa"/>
            <w:tcBorders>
              <w:top w:val="single" w:sz="4" w:space="0" w:color="000000"/>
              <w:left w:val="single" w:sz="4" w:space="0" w:color="000000"/>
              <w:bottom w:val="nil"/>
              <w:right w:val="nil"/>
            </w:tcBorders>
            <w:shd w:val="clear" w:color="auto" w:fill="FFFFFF"/>
          </w:tcPr>
          <w:p w14:paraId="378385FD" w14:textId="77777777" w:rsidR="00D274D2" w:rsidRPr="005D4222" w:rsidRDefault="00D274D2" w:rsidP="00A53E8C">
            <w:pPr>
              <w:pStyle w:val="TableText"/>
              <w:rPr>
                <w:kern w:val="20"/>
              </w:rPr>
            </w:pPr>
          </w:p>
        </w:tc>
        <w:tc>
          <w:tcPr>
            <w:tcW w:w="2699" w:type="dxa"/>
            <w:tcBorders>
              <w:top w:val="single" w:sz="4" w:space="0" w:color="000000"/>
              <w:left w:val="nil"/>
              <w:bottom w:val="nil"/>
              <w:right w:val="nil"/>
            </w:tcBorders>
            <w:shd w:val="clear" w:color="auto" w:fill="FFFFFF"/>
          </w:tcPr>
          <w:p w14:paraId="4BB80F0E" w14:textId="77777777" w:rsidR="00D274D2" w:rsidRPr="005D4222" w:rsidRDefault="00D274D2" w:rsidP="00A53E8C">
            <w:pPr>
              <w:pStyle w:val="TableText"/>
              <w:rPr>
                <w:rFonts w:eastAsia="Wingdings"/>
                <w:kern w:val="20"/>
              </w:rPr>
            </w:pPr>
          </w:p>
        </w:tc>
      </w:tr>
    </w:tbl>
    <w:p w14:paraId="2F0727EF" w14:textId="77777777" w:rsidR="00D274D2" w:rsidRPr="005D4222" w:rsidRDefault="00D274D2" w:rsidP="00D274D2">
      <w:pPr>
        <w:pStyle w:val="Note"/>
        <w:rPr>
          <w:kern w:val="20"/>
        </w:rPr>
      </w:pPr>
      <w:r w:rsidRPr="005D4222">
        <w:rPr>
          <w:b/>
          <w:bCs/>
          <w:kern w:val="20"/>
        </w:rPr>
        <w:t>Note:</w:t>
      </w:r>
      <w:r w:rsidRPr="005D4222">
        <w:rPr>
          <w:kern w:val="20"/>
        </w:rPr>
        <w:t xml:space="preserve"> Include members who decline to provide language information. The “Declined” </w:t>
      </w:r>
      <w:r w:rsidRPr="005D4222">
        <w:rPr>
          <w:kern w:val="20"/>
        </w:rPr>
        <w:br/>
        <w:t xml:space="preserve">category is included because it indicates that the organization asked about the member’s </w:t>
      </w:r>
      <w:r w:rsidRPr="005D4222">
        <w:rPr>
          <w:kern w:val="20"/>
        </w:rPr>
        <w:br/>
        <w:t>language needs.</w:t>
      </w:r>
      <w:r w:rsidRPr="005D4222">
        <w:rPr>
          <w:kern w:val="20"/>
        </w:rPr>
        <w:br w:type="page"/>
      </w:r>
    </w:p>
    <w:p w14:paraId="4093D404" w14:textId="77777777" w:rsidR="00D274D2" w:rsidRPr="005D4222" w:rsidRDefault="00D274D2" w:rsidP="00D274D2">
      <w:pPr>
        <w:keepNext/>
        <w:spacing w:before="240" w:after="60"/>
        <w:outlineLvl w:val="2"/>
        <w:rPr>
          <w:rFonts w:cs="Arial"/>
          <w:b/>
          <w:i/>
          <w:iCs/>
          <w:kern w:val="20"/>
          <w:sz w:val="18"/>
          <w:szCs w:val="18"/>
        </w:rPr>
      </w:pPr>
      <w:r w:rsidRPr="005D4222">
        <w:rPr>
          <w:rFonts w:cs="Arial"/>
          <w:b/>
          <w:i/>
          <w:iCs/>
          <w:kern w:val="20"/>
          <w:sz w:val="18"/>
          <w:szCs w:val="18"/>
        </w:rPr>
        <w:lastRenderedPageBreak/>
        <w:t>Table LDM-B-1/2/3: Preferred Language Data</w:t>
      </w:r>
    </w:p>
    <w:tbl>
      <w:tblPr>
        <w:tblW w:w="0" w:type="auto"/>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27"/>
        <w:gridCol w:w="1800"/>
        <w:gridCol w:w="1350"/>
        <w:gridCol w:w="2693"/>
      </w:tblGrid>
      <w:tr w:rsidR="006439AD" w:rsidRPr="005D4222" w14:paraId="6559339D" w14:textId="77777777" w:rsidTr="00A53E8C">
        <w:tc>
          <w:tcPr>
            <w:tcW w:w="1627" w:type="dxa"/>
            <w:tcBorders>
              <w:top w:val="single" w:sz="4" w:space="0" w:color="000000"/>
              <w:left w:val="single" w:sz="4" w:space="0" w:color="000000"/>
              <w:bottom w:val="single" w:sz="4" w:space="0" w:color="000000"/>
              <w:right w:val="single" w:sz="4" w:space="0" w:color="FFFFFF"/>
            </w:tcBorders>
            <w:shd w:val="clear" w:color="auto" w:fill="000000"/>
          </w:tcPr>
          <w:p w14:paraId="02396F47" w14:textId="77777777" w:rsidR="00D274D2" w:rsidRPr="005D4222" w:rsidRDefault="00D274D2" w:rsidP="00A53E8C">
            <w:pPr>
              <w:pStyle w:val="TableHead"/>
              <w:rPr>
                <w:color w:val="auto"/>
                <w:kern w:val="20"/>
              </w:rPr>
            </w:pPr>
            <w:r w:rsidRPr="005D4222">
              <w:rPr>
                <w:color w:val="auto"/>
                <w:kern w:val="20"/>
              </w:rPr>
              <w:t>Metric</w:t>
            </w:r>
          </w:p>
        </w:tc>
        <w:tc>
          <w:tcPr>
            <w:tcW w:w="1800" w:type="dxa"/>
            <w:tcBorders>
              <w:top w:val="single" w:sz="4" w:space="0" w:color="000000"/>
              <w:left w:val="single" w:sz="4" w:space="0" w:color="FFFFFF"/>
              <w:bottom w:val="single" w:sz="4" w:space="0" w:color="000000"/>
              <w:right w:val="single" w:sz="4" w:space="0" w:color="FFFFFF"/>
            </w:tcBorders>
            <w:shd w:val="clear" w:color="auto" w:fill="000000"/>
          </w:tcPr>
          <w:p w14:paraId="706EB7C1" w14:textId="77777777" w:rsidR="00D274D2" w:rsidRPr="005D4222" w:rsidRDefault="00D274D2" w:rsidP="00A53E8C">
            <w:pPr>
              <w:pStyle w:val="TableHead"/>
              <w:rPr>
                <w:color w:val="auto"/>
                <w:kern w:val="20"/>
              </w:rPr>
            </w:pPr>
            <w:r w:rsidRPr="005D4222">
              <w:rPr>
                <w:color w:val="auto"/>
                <w:kern w:val="20"/>
              </w:rPr>
              <w:t>Language</w:t>
            </w:r>
          </w:p>
        </w:tc>
        <w:tc>
          <w:tcPr>
            <w:tcW w:w="1350" w:type="dxa"/>
            <w:tcBorders>
              <w:top w:val="single" w:sz="4" w:space="0" w:color="000000"/>
              <w:left w:val="single" w:sz="4" w:space="0" w:color="FFFFFF"/>
              <w:bottom w:val="single" w:sz="4" w:space="0" w:color="000000"/>
              <w:right w:val="single" w:sz="4" w:space="0" w:color="FFFFFF"/>
            </w:tcBorders>
            <w:shd w:val="clear" w:color="auto" w:fill="000000"/>
          </w:tcPr>
          <w:p w14:paraId="628C5376" w14:textId="77777777" w:rsidR="00D274D2" w:rsidRPr="005D4222" w:rsidRDefault="00D274D2" w:rsidP="00A53E8C">
            <w:pPr>
              <w:pStyle w:val="TableHead"/>
              <w:rPr>
                <w:color w:val="auto"/>
                <w:kern w:val="20"/>
              </w:rPr>
            </w:pPr>
            <w:r w:rsidRPr="005D4222">
              <w:rPr>
                <w:color w:val="auto"/>
                <w:kern w:val="20"/>
              </w:rPr>
              <w:t>Data Element</w:t>
            </w:r>
          </w:p>
        </w:tc>
        <w:tc>
          <w:tcPr>
            <w:tcW w:w="2693" w:type="dxa"/>
            <w:tcBorders>
              <w:top w:val="single" w:sz="4" w:space="0" w:color="000000"/>
              <w:left w:val="single" w:sz="4" w:space="0" w:color="FFFFFF"/>
              <w:bottom w:val="single" w:sz="4" w:space="0" w:color="000000"/>
              <w:right w:val="single" w:sz="4" w:space="0" w:color="000000"/>
            </w:tcBorders>
            <w:shd w:val="clear" w:color="auto" w:fill="000000"/>
          </w:tcPr>
          <w:p w14:paraId="3C6AB973" w14:textId="77777777" w:rsidR="00D274D2" w:rsidRPr="005D4222" w:rsidRDefault="00D274D2" w:rsidP="00A53E8C">
            <w:pPr>
              <w:pStyle w:val="TableHead"/>
              <w:rPr>
                <w:color w:val="auto"/>
                <w:kern w:val="20"/>
              </w:rPr>
            </w:pPr>
            <w:r w:rsidRPr="005D4222">
              <w:rPr>
                <w:color w:val="auto"/>
                <w:kern w:val="20"/>
              </w:rPr>
              <w:t>Reporting Instructions</w:t>
            </w:r>
          </w:p>
        </w:tc>
      </w:tr>
      <w:tr w:rsidR="00D274D2" w:rsidRPr="005D4222" w14:paraId="4693D500" w14:textId="77777777" w:rsidTr="00A53E8C">
        <w:tc>
          <w:tcPr>
            <w:tcW w:w="1627" w:type="dxa"/>
            <w:tcBorders>
              <w:top w:val="single" w:sz="4" w:space="0" w:color="000000"/>
              <w:left w:val="single" w:sz="4" w:space="0" w:color="000000"/>
              <w:bottom w:val="single" w:sz="4" w:space="0" w:color="000000"/>
              <w:right w:val="single" w:sz="4" w:space="0" w:color="000000"/>
            </w:tcBorders>
          </w:tcPr>
          <w:p w14:paraId="2A1DE8C6" w14:textId="77777777" w:rsidR="00D274D2" w:rsidRPr="005D4222" w:rsidRDefault="00D274D2" w:rsidP="00A53E8C">
            <w:pPr>
              <w:pStyle w:val="TableText"/>
              <w:rPr>
                <w:kern w:val="20"/>
              </w:rPr>
            </w:pPr>
            <w:r w:rsidRPr="005D4222">
              <w:rPr>
                <w:kern w:val="20"/>
              </w:rPr>
              <w:t>SpokenPreferred</w:t>
            </w:r>
          </w:p>
        </w:tc>
        <w:tc>
          <w:tcPr>
            <w:tcW w:w="1800" w:type="dxa"/>
            <w:tcBorders>
              <w:top w:val="single" w:sz="4" w:space="0" w:color="000000"/>
              <w:left w:val="single" w:sz="4" w:space="0" w:color="000000"/>
              <w:bottom w:val="single" w:sz="4" w:space="0" w:color="auto"/>
              <w:right w:val="single" w:sz="4" w:space="0" w:color="auto"/>
            </w:tcBorders>
          </w:tcPr>
          <w:p w14:paraId="5877CC7E" w14:textId="77777777" w:rsidR="00D274D2" w:rsidRPr="005D4222" w:rsidRDefault="00D274D2" w:rsidP="00A53E8C">
            <w:pPr>
              <w:pStyle w:val="TableText"/>
              <w:rPr>
                <w:kern w:val="20"/>
              </w:rPr>
            </w:pPr>
            <w:r w:rsidRPr="005D4222">
              <w:rPr>
                <w:kern w:val="20"/>
              </w:rPr>
              <w:t>English</w:t>
            </w:r>
          </w:p>
        </w:tc>
        <w:tc>
          <w:tcPr>
            <w:tcW w:w="1350" w:type="dxa"/>
            <w:tcBorders>
              <w:top w:val="single" w:sz="4" w:space="0" w:color="000000"/>
              <w:left w:val="single" w:sz="4" w:space="0" w:color="auto"/>
              <w:bottom w:val="single" w:sz="4" w:space="0" w:color="000000"/>
              <w:right w:val="single" w:sz="4" w:space="0" w:color="auto"/>
            </w:tcBorders>
          </w:tcPr>
          <w:p w14:paraId="06ECF271" w14:textId="77777777" w:rsidR="00D274D2" w:rsidRPr="005D4222" w:rsidRDefault="00D274D2" w:rsidP="00A53E8C">
            <w:pPr>
              <w:pStyle w:val="TableText"/>
              <w:rPr>
                <w:kern w:val="20"/>
              </w:rPr>
            </w:pPr>
            <w:r w:rsidRPr="005D4222">
              <w:rPr>
                <w:kern w:val="20"/>
              </w:rPr>
              <w:t>MemberCount</w:t>
            </w:r>
          </w:p>
        </w:tc>
        <w:tc>
          <w:tcPr>
            <w:tcW w:w="2693" w:type="dxa"/>
            <w:tcBorders>
              <w:top w:val="single" w:sz="4" w:space="0" w:color="000000"/>
              <w:left w:val="single" w:sz="4" w:space="0" w:color="auto"/>
              <w:bottom w:val="single" w:sz="4" w:space="0" w:color="000000"/>
              <w:right w:val="single" w:sz="4" w:space="0" w:color="auto"/>
            </w:tcBorders>
          </w:tcPr>
          <w:p w14:paraId="4B1D8568" w14:textId="77777777" w:rsidR="00D274D2" w:rsidRPr="005D4222" w:rsidRDefault="00D274D2" w:rsidP="00A53E8C">
            <w:pPr>
              <w:pStyle w:val="TableText"/>
              <w:rPr>
                <w:rFonts w:eastAsia="Wingdings"/>
                <w:kern w:val="20"/>
              </w:rPr>
            </w:pPr>
            <w:r w:rsidRPr="005D4222">
              <w:rPr>
                <w:rFonts w:eastAsia="Wingdings"/>
                <w:kern w:val="20"/>
              </w:rPr>
              <w:t>For each Metric and Language</w:t>
            </w:r>
          </w:p>
        </w:tc>
      </w:tr>
      <w:tr w:rsidR="006439AD" w:rsidRPr="005D4222" w14:paraId="6D5322C1" w14:textId="77777777" w:rsidTr="00A53E8C">
        <w:tc>
          <w:tcPr>
            <w:tcW w:w="1627" w:type="dxa"/>
            <w:tcBorders>
              <w:top w:val="single" w:sz="4" w:space="0" w:color="000000"/>
              <w:left w:val="single" w:sz="4" w:space="0" w:color="000000"/>
              <w:bottom w:val="single" w:sz="4" w:space="0" w:color="000000"/>
              <w:right w:val="single" w:sz="4" w:space="0" w:color="000000"/>
            </w:tcBorders>
            <w:shd w:val="clear" w:color="auto" w:fill="FFFFFF"/>
          </w:tcPr>
          <w:p w14:paraId="305F4242" w14:textId="77777777" w:rsidR="00D274D2" w:rsidRPr="005D4222" w:rsidRDefault="00D274D2" w:rsidP="00A53E8C">
            <w:pPr>
              <w:pStyle w:val="TableText"/>
              <w:rPr>
                <w:kern w:val="20"/>
              </w:rPr>
            </w:pPr>
            <w:r w:rsidRPr="005D4222">
              <w:rPr>
                <w:kern w:val="20"/>
              </w:rPr>
              <w:t>WrittenPreferred</w:t>
            </w:r>
          </w:p>
        </w:tc>
        <w:tc>
          <w:tcPr>
            <w:tcW w:w="1800" w:type="dxa"/>
            <w:tcBorders>
              <w:top w:val="single" w:sz="4" w:space="0" w:color="auto"/>
              <w:left w:val="single" w:sz="4" w:space="0" w:color="000000"/>
              <w:bottom w:val="single" w:sz="4" w:space="0" w:color="000000"/>
              <w:right w:val="single" w:sz="4" w:space="0" w:color="000000"/>
            </w:tcBorders>
            <w:shd w:val="clear" w:color="auto" w:fill="FFFFFF"/>
          </w:tcPr>
          <w:p w14:paraId="517DAEF9" w14:textId="77777777" w:rsidR="00D274D2" w:rsidRPr="005D4222" w:rsidRDefault="00D274D2" w:rsidP="00A53E8C">
            <w:pPr>
              <w:pStyle w:val="TableText"/>
              <w:rPr>
                <w:kern w:val="20"/>
              </w:rPr>
            </w:pPr>
            <w:r w:rsidRPr="005D4222">
              <w:rPr>
                <w:kern w:val="20"/>
              </w:rPr>
              <w:t>NonEnglish</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cPr>
          <w:p w14:paraId="5DAE6DDB" w14:textId="77777777" w:rsidR="00D274D2" w:rsidRPr="005D4222" w:rsidRDefault="00D274D2" w:rsidP="00A53E8C">
            <w:pPr>
              <w:pStyle w:val="TableText"/>
              <w:rPr>
                <w:kern w:val="20"/>
              </w:rPr>
            </w:pPr>
            <w:r w:rsidRPr="005D4222">
              <w:rPr>
                <w:kern w:val="20"/>
              </w:rPr>
              <w:t xml:space="preserve">Rate </w:t>
            </w:r>
          </w:p>
        </w:tc>
        <w:tc>
          <w:tcPr>
            <w:tcW w:w="2693" w:type="dxa"/>
            <w:tcBorders>
              <w:top w:val="single" w:sz="4" w:space="0" w:color="000000"/>
              <w:left w:val="single" w:sz="4" w:space="0" w:color="000000"/>
              <w:bottom w:val="single" w:sz="4" w:space="0" w:color="000000"/>
              <w:right w:val="single" w:sz="4" w:space="0" w:color="000000"/>
            </w:tcBorders>
            <w:shd w:val="clear" w:color="auto" w:fill="D9D9D9"/>
          </w:tcPr>
          <w:p w14:paraId="07B95DE1" w14:textId="77777777" w:rsidR="00D274D2" w:rsidRPr="005D4222" w:rsidRDefault="00D274D2" w:rsidP="00A53E8C">
            <w:pPr>
              <w:pStyle w:val="TableText"/>
              <w:rPr>
                <w:rFonts w:eastAsia="Wingdings"/>
                <w:kern w:val="20"/>
              </w:rPr>
            </w:pPr>
            <w:r w:rsidRPr="005D4222">
              <w:rPr>
                <w:rFonts w:eastAsia="Wingdings"/>
                <w:kern w:val="20"/>
              </w:rPr>
              <w:t>(Percent)</w:t>
            </w:r>
          </w:p>
        </w:tc>
      </w:tr>
      <w:tr w:rsidR="004E7974" w:rsidRPr="005D4222" w14:paraId="40571AED" w14:textId="77777777" w:rsidTr="00A53E8C">
        <w:tc>
          <w:tcPr>
            <w:tcW w:w="1627" w:type="dxa"/>
            <w:tcBorders>
              <w:top w:val="single" w:sz="4" w:space="0" w:color="000000"/>
              <w:left w:val="single" w:sz="4" w:space="0" w:color="000000"/>
              <w:bottom w:val="single" w:sz="4" w:space="0" w:color="auto"/>
              <w:right w:val="single" w:sz="4" w:space="0" w:color="000000"/>
            </w:tcBorders>
            <w:shd w:val="clear" w:color="auto" w:fill="FFFFFF"/>
          </w:tcPr>
          <w:p w14:paraId="296931C9" w14:textId="77777777" w:rsidR="00D274D2" w:rsidRPr="005D4222" w:rsidRDefault="00D274D2" w:rsidP="00A53E8C">
            <w:pPr>
              <w:pStyle w:val="TableText"/>
              <w:rPr>
                <w:kern w:val="20"/>
              </w:rPr>
            </w:pPr>
            <w:r w:rsidRPr="005D4222">
              <w:rPr>
                <w:kern w:val="20"/>
              </w:rPr>
              <w:t>OtherPreferred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Pr>
          <w:p w14:paraId="43A7C69C" w14:textId="77777777" w:rsidR="00D274D2" w:rsidRPr="005D4222" w:rsidRDefault="00D274D2" w:rsidP="00A53E8C">
            <w:pPr>
              <w:pStyle w:val="TableText"/>
              <w:rPr>
                <w:kern w:val="20"/>
              </w:rPr>
            </w:pPr>
            <w:r w:rsidRPr="005D4222">
              <w:rPr>
                <w:kern w:val="20"/>
              </w:rPr>
              <w:t>Unknown</w:t>
            </w:r>
          </w:p>
        </w:tc>
        <w:tc>
          <w:tcPr>
            <w:tcW w:w="1350" w:type="dxa"/>
            <w:tcBorders>
              <w:top w:val="single" w:sz="4" w:space="0" w:color="000000"/>
              <w:left w:val="single" w:sz="4" w:space="0" w:color="000000"/>
              <w:bottom w:val="nil"/>
              <w:right w:val="nil"/>
            </w:tcBorders>
            <w:shd w:val="clear" w:color="auto" w:fill="FFFFFF"/>
          </w:tcPr>
          <w:p w14:paraId="167B194E" w14:textId="77777777" w:rsidR="00D274D2" w:rsidRPr="005D4222" w:rsidRDefault="00D274D2" w:rsidP="00A53E8C">
            <w:pPr>
              <w:pStyle w:val="TableText"/>
              <w:rPr>
                <w:kern w:val="20"/>
              </w:rPr>
            </w:pPr>
          </w:p>
        </w:tc>
        <w:tc>
          <w:tcPr>
            <w:tcW w:w="2693" w:type="dxa"/>
            <w:tcBorders>
              <w:top w:val="single" w:sz="4" w:space="0" w:color="000000"/>
              <w:left w:val="nil"/>
              <w:bottom w:val="nil"/>
              <w:right w:val="nil"/>
            </w:tcBorders>
            <w:shd w:val="clear" w:color="auto" w:fill="FFFFFF"/>
          </w:tcPr>
          <w:p w14:paraId="0B867585" w14:textId="77777777" w:rsidR="00D274D2" w:rsidRPr="005D4222" w:rsidRDefault="00D274D2" w:rsidP="00A53E8C">
            <w:pPr>
              <w:pStyle w:val="TableText"/>
              <w:rPr>
                <w:rFonts w:eastAsia="Wingdings"/>
                <w:kern w:val="20"/>
              </w:rPr>
            </w:pPr>
          </w:p>
        </w:tc>
      </w:tr>
      <w:tr w:rsidR="004E7974" w:rsidRPr="005D4222" w14:paraId="6A9CCDC3" w14:textId="77777777" w:rsidTr="00A53E8C">
        <w:tc>
          <w:tcPr>
            <w:tcW w:w="1627" w:type="dxa"/>
            <w:tcBorders>
              <w:top w:val="single" w:sz="4" w:space="0" w:color="auto"/>
              <w:left w:val="nil"/>
              <w:bottom w:val="nil"/>
              <w:right w:val="single" w:sz="4" w:space="0" w:color="auto"/>
            </w:tcBorders>
            <w:shd w:val="clear" w:color="auto" w:fill="FFFFFF"/>
          </w:tcPr>
          <w:p w14:paraId="68B0C4FF" w14:textId="77777777" w:rsidR="00D274D2" w:rsidRPr="005D4222" w:rsidRDefault="00D274D2" w:rsidP="00A53E8C">
            <w:pPr>
              <w:pStyle w:val="TableText"/>
              <w:rPr>
                <w:kern w:val="20"/>
              </w:rPr>
            </w:pPr>
          </w:p>
        </w:tc>
        <w:tc>
          <w:tcPr>
            <w:tcW w:w="1800" w:type="dxa"/>
            <w:tcBorders>
              <w:top w:val="single" w:sz="4" w:space="0" w:color="000000"/>
              <w:left w:val="single" w:sz="4" w:space="0" w:color="auto"/>
              <w:bottom w:val="single" w:sz="4" w:space="0" w:color="000000"/>
              <w:right w:val="single" w:sz="4" w:space="0" w:color="000000"/>
            </w:tcBorders>
            <w:shd w:val="clear" w:color="auto" w:fill="FFFFFF"/>
          </w:tcPr>
          <w:p w14:paraId="60824EBD" w14:textId="77777777" w:rsidR="00D274D2" w:rsidRPr="005D4222" w:rsidRDefault="00D274D2" w:rsidP="00A53E8C">
            <w:pPr>
              <w:pStyle w:val="TableText"/>
              <w:rPr>
                <w:kern w:val="20"/>
              </w:rPr>
            </w:pPr>
            <w:r w:rsidRPr="005D4222">
              <w:rPr>
                <w:kern w:val="20"/>
              </w:rPr>
              <w:t>Declined</w:t>
            </w:r>
          </w:p>
        </w:tc>
        <w:tc>
          <w:tcPr>
            <w:tcW w:w="1350" w:type="dxa"/>
            <w:tcBorders>
              <w:top w:val="nil"/>
              <w:left w:val="single" w:sz="4" w:space="0" w:color="000000"/>
              <w:bottom w:val="nil"/>
              <w:right w:val="nil"/>
            </w:tcBorders>
            <w:shd w:val="clear" w:color="auto" w:fill="FFFFFF"/>
          </w:tcPr>
          <w:p w14:paraId="02139C47" w14:textId="77777777" w:rsidR="00D274D2" w:rsidRPr="005D4222" w:rsidRDefault="00D274D2" w:rsidP="00A53E8C">
            <w:pPr>
              <w:pStyle w:val="TableText"/>
              <w:rPr>
                <w:kern w:val="20"/>
              </w:rPr>
            </w:pPr>
          </w:p>
        </w:tc>
        <w:tc>
          <w:tcPr>
            <w:tcW w:w="2693" w:type="dxa"/>
            <w:tcBorders>
              <w:top w:val="nil"/>
              <w:left w:val="nil"/>
              <w:bottom w:val="nil"/>
              <w:right w:val="nil"/>
            </w:tcBorders>
            <w:shd w:val="clear" w:color="auto" w:fill="FFFFFF"/>
          </w:tcPr>
          <w:p w14:paraId="455F0DAF" w14:textId="77777777" w:rsidR="00D274D2" w:rsidRPr="005D4222" w:rsidRDefault="00D274D2" w:rsidP="00A53E8C">
            <w:pPr>
              <w:pStyle w:val="TableText"/>
              <w:rPr>
                <w:rFonts w:eastAsia="Wingdings"/>
                <w:kern w:val="20"/>
              </w:rPr>
            </w:pPr>
          </w:p>
        </w:tc>
      </w:tr>
      <w:tr w:rsidR="004E7974" w:rsidRPr="005D4222" w14:paraId="1AC205BD" w14:textId="77777777" w:rsidTr="00A53E8C">
        <w:tc>
          <w:tcPr>
            <w:tcW w:w="1627" w:type="dxa"/>
            <w:tcBorders>
              <w:top w:val="nil"/>
              <w:left w:val="nil"/>
              <w:bottom w:val="nil"/>
              <w:right w:val="single" w:sz="4" w:space="0" w:color="000000"/>
            </w:tcBorders>
            <w:shd w:val="clear" w:color="auto" w:fill="FFFFFF"/>
          </w:tcPr>
          <w:p w14:paraId="1C8EA4DB" w14:textId="77777777" w:rsidR="00D274D2" w:rsidRPr="005D4222" w:rsidRDefault="00D274D2" w:rsidP="00A53E8C">
            <w:pPr>
              <w:pStyle w:val="TableText"/>
              <w:rPr>
                <w:kern w:val="20"/>
              </w:rPr>
            </w:pPr>
          </w:p>
        </w:tc>
        <w:tc>
          <w:tcPr>
            <w:tcW w:w="1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757386E" w14:textId="77777777" w:rsidR="00D274D2" w:rsidRPr="005D4222" w:rsidRDefault="00D274D2" w:rsidP="00A53E8C">
            <w:pPr>
              <w:pStyle w:val="TableText"/>
              <w:rPr>
                <w:kern w:val="20"/>
              </w:rPr>
            </w:pPr>
            <w:r w:rsidRPr="005D4222">
              <w:rPr>
                <w:kern w:val="20"/>
              </w:rPr>
              <w:t>TotalKnown</w:t>
            </w:r>
          </w:p>
        </w:tc>
        <w:tc>
          <w:tcPr>
            <w:tcW w:w="1350" w:type="dxa"/>
            <w:tcBorders>
              <w:top w:val="nil"/>
              <w:left w:val="single" w:sz="4" w:space="0" w:color="000000"/>
              <w:bottom w:val="nil"/>
              <w:right w:val="nil"/>
            </w:tcBorders>
            <w:shd w:val="clear" w:color="auto" w:fill="FFFFFF"/>
          </w:tcPr>
          <w:p w14:paraId="581CA9C1" w14:textId="77777777" w:rsidR="00D274D2" w:rsidRPr="005D4222" w:rsidRDefault="00D274D2" w:rsidP="00A53E8C">
            <w:pPr>
              <w:pStyle w:val="TableText"/>
              <w:rPr>
                <w:kern w:val="20"/>
              </w:rPr>
            </w:pPr>
          </w:p>
        </w:tc>
        <w:tc>
          <w:tcPr>
            <w:tcW w:w="2693" w:type="dxa"/>
            <w:tcBorders>
              <w:top w:val="nil"/>
              <w:left w:val="nil"/>
              <w:bottom w:val="nil"/>
              <w:right w:val="nil"/>
            </w:tcBorders>
            <w:shd w:val="clear" w:color="auto" w:fill="FFFFFF"/>
          </w:tcPr>
          <w:p w14:paraId="5EA92A20" w14:textId="77777777" w:rsidR="00D274D2" w:rsidRPr="005D4222" w:rsidRDefault="00D274D2" w:rsidP="00A53E8C">
            <w:pPr>
              <w:pStyle w:val="TableText"/>
              <w:rPr>
                <w:rFonts w:eastAsia="Wingdings"/>
                <w:kern w:val="20"/>
              </w:rPr>
            </w:pPr>
          </w:p>
        </w:tc>
      </w:tr>
    </w:tbl>
    <w:p w14:paraId="2062DDA8" w14:textId="77777777" w:rsidR="00D274D2" w:rsidRPr="005D4222" w:rsidRDefault="00D274D2" w:rsidP="00D274D2">
      <w:pPr>
        <w:pStyle w:val="Note"/>
        <w:rPr>
          <w:kern w:val="20"/>
        </w:rPr>
      </w:pPr>
      <w:r w:rsidRPr="005D4222">
        <w:rPr>
          <w:b/>
          <w:kern w:val="20"/>
        </w:rPr>
        <w:t>Notes:</w:t>
      </w:r>
      <w:r w:rsidRPr="005D4222">
        <w:rPr>
          <w:kern w:val="20"/>
        </w:rPr>
        <w:t xml:space="preserve"> </w:t>
      </w:r>
    </w:p>
    <w:p w14:paraId="0BDE4024" w14:textId="77777777" w:rsidR="00D274D2" w:rsidRPr="005D4222" w:rsidRDefault="00D274D2" w:rsidP="00D274D2">
      <w:pPr>
        <w:pStyle w:val="ProcessBullet"/>
        <w:rPr>
          <w:i/>
          <w:iCs/>
          <w:sz w:val="20"/>
          <w:szCs w:val="20"/>
        </w:rPr>
      </w:pPr>
      <w:r w:rsidRPr="005D4222">
        <w:rPr>
          <w:i/>
          <w:iCs/>
          <w:sz w:val="20"/>
          <w:szCs w:val="20"/>
        </w:rPr>
        <w:t xml:space="preserve">The sum of the member counts (English + Non-English + Unknown + Declined) </w:t>
      </w:r>
      <w:r w:rsidRPr="005D4222">
        <w:rPr>
          <w:i/>
          <w:iCs/>
          <w:sz w:val="20"/>
          <w:szCs w:val="20"/>
        </w:rPr>
        <w:br/>
        <w:t>for each metric must be the same for all three metrics in Table LDM-B-1/2/3.</w:t>
      </w:r>
    </w:p>
    <w:p w14:paraId="684F4AD7" w14:textId="77777777" w:rsidR="00D274D2" w:rsidRPr="005D4222" w:rsidRDefault="00D274D2" w:rsidP="00D274D2">
      <w:pPr>
        <w:pStyle w:val="ProcessBullet"/>
        <w:rPr>
          <w:i/>
          <w:iCs/>
          <w:sz w:val="20"/>
          <w:szCs w:val="20"/>
        </w:rPr>
        <w:sectPr w:rsidR="00D274D2" w:rsidRPr="005D4222" w:rsidSect="0074514A">
          <w:headerReference w:type="even" r:id="rId249"/>
          <w:headerReference w:type="default" r:id="rId250"/>
          <w:footerReference w:type="even" r:id="rId251"/>
          <w:headerReference w:type="first" r:id="rId252"/>
          <w:footerReference w:type="first" r:id="rId253"/>
          <w:type w:val="nextColumn"/>
          <w:pgSz w:w="12240" w:h="15840" w:code="1"/>
          <w:pgMar w:top="1080" w:right="1080" w:bottom="1080" w:left="1440" w:header="720" w:footer="720" w:gutter="0"/>
          <w:cols w:space="720"/>
        </w:sectPr>
      </w:pPr>
      <w:r w:rsidRPr="005D4222">
        <w:rPr>
          <w:i/>
          <w:iCs/>
          <w:sz w:val="20"/>
          <w:szCs w:val="20"/>
        </w:rPr>
        <w:t>The Total Known count is the sum of English, non-English and Declined language for each metric and represents the count of members for whom preferred language data is available for each metric.</w:t>
      </w:r>
    </w:p>
    <w:p w14:paraId="44F708ED" w14:textId="7678AD23" w:rsidR="00D274D2" w:rsidRPr="005D4222" w:rsidRDefault="00D274D2" w:rsidP="00D274D2">
      <w:pPr>
        <w:pStyle w:val="Heading2"/>
        <w:rPr>
          <w:kern w:val="20"/>
        </w:rPr>
      </w:pPr>
      <w:bookmarkStart w:id="451" w:name="Race_Ethnicity_Diversity_RDM"/>
      <w:bookmarkStart w:id="452" w:name="_Toc400546218"/>
      <w:bookmarkStart w:id="453" w:name="_Toc74830485"/>
      <w:bookmarkStart w:id="454" w:name="_Toc171403057"/>
      <w:bookmarkStart w:id="455" w:name="_Toc201813492"/>
      <w:bookmarkStart w:id="456" w:name="RDM"/>
      <w:r w:rsidRPr="005D4222">
        <w:rPr>
          <w:kern w:val="20"/>
        </w:rPr>
        <w:lastRenderedPageBreak/>
        <w:t xml:space="preserve">Race/Ethnicity </w:t>
      </w:r>
      <w:r w:rsidRPr="005D4222">
        <w:t>Description</w:t>
      </w:r>
      <w:bookmarkEnd w:id="451"/>
      <w:r w:rsidRPr="005D4222">
        <w:rPr>
          <w:kern w:val="20"/>
        </w:rPr>
        <w:t xml:space="preserve"> of Membership (RDM)</w:t>
      </w:r>
      <w:bookmarkEnd w:id="452"/>
      <w:bookmarkEnd w:id="453"/>
      <w:bookmarkEnd w:id="454"/>
      <w:bookmarkEnd w:id="455"/>
    </w:p>
    <w:bookmarkEnd w:id="456"/>
    <w:p w14:paraId="541E3860" w14:textId="77777777" w:rsidR="00D274D2" w:rsidRPr="005D4222" w:rsidRDefault="00D274D2" w:rsidP="00D274D2">
      <w:pPr>
        <w:pStyle w:val="SOC"/>
        <w:rPr>
          <w:i/>
          <w:iCs/>
          <w:kern w:val="20"/>
        </w:rPr>
      </w:pPr>
      <w:r w:rsidRPr="005D4222">
        <w:rPr>
          <w:kern w:val="20"/>
        </w:rPr>
        <w:t>Summary of Changes to HEDIS MY 2026</w:t>
      </w:r>
    </w:p>
    <w:p w14:paraId="26659145" w14:textId="77777777" w:rsidR="00D274D2" w:rsidRPr="005D4222" w:rsidRDefault="00D274D2" w:rsidP="005D6173">
      <w:pPr>
        <w:pStyle w:val="ProcessBullet"/>
        <w:numPr>
          <w:ilvl w:val="0"/>
          <w:numId w:val="134"/>
        </w:numPr>
        <w:tabs>
          <w:tab w:val="left" w:pos="216"/>
        </w:tabs>
        <w:spacing w:before="120"/>
        <w:ind w:left="216" w:hanging="216"/>
        <w:rPr>
          <w:kern w:val="20"/>
        </w:rPr>
      </w:pPr>
      <w:r w:rsidRPr="005D4222">
        <w:t>Updated the measure title.</w:t>
      </w:r>
    </w:p>
    <w:p w14:paraId="2182C81A" w14:textId="77777777" w:rsidR="00D274D2" w:rsidRPr="005D4222" w:rsidRDefault="00D274D2" w:rsidP="005D6173">
      <w:pPr>
        <w:pStyle w:val="ProcessBullet"/>
        <w:numPr>
          <w:ilvl w:val="0"/>
          <w:numId w:val="134"/>
        </w:numPr>
        <w:tabs>
          <w:tab w:val="left" w:pos="216"/>
        </w:tabs>
        <w:ind w:left="216" w:hanging="216"/>
      </w:pPr>
      <w:r w:rsidRPr="005D4222">
        <w:t>Updated the race and ethnicity stratification categories to align with OMB SPD 15 2024.</w:t>
      </w:r>
    </w:p>
    <w:p w14:paraId="31436497" w14:textId="756CEB7F" w:rsidR="00D274D2" w:rsidRPr="005D4222" w:rsidRDefault="002B51D3" w:rsidP="002B51D3">
      <w:pPr>
        <w:pStyle w:val="ReverseHead"/>
      </w:pPr>
      <w:r w:rsidRPr="005D4222">
        <w:rPr>
          <w:bCs/>
          <w:color w:val="auto"/>
          <w:kern w:val="20"/>
        </w:rPr>
        <w:t>Description</w:t>
      </w:r>
    </w:p>
    <w:p w14:paraId="0176B1DA" w14:textId="77777777" w:rsidR="00D274D2" w:rsidRPr="005D4222" w:rsidRDefault="00D274D2" w:rsidP="00D274D2">
      <w:pPr>
        <w:pStyle w:val="Body"/>
        <w:rPr>
          <w:kern w:val="20"/>
        </w:rPr>
      </w:pPr>
      <w:r w:rsidRPr="005D4222">
        <w:rPr>
          <w:kern w:val="20"/>
        </w:rPr>
        <w:t>An unduplicated count and percentage of members enrolled any time during the measurement year, by race and ethnicity.</w:t>
      </w:r>
    </w:p>
    <w:p w14:paraId="4191A620" w14:textId="0BA8A6B5" w:rsidR="00D274D2" w:rsidRPr="005D4222" w:rsidRDefault="009927F4" w:rsidP="009927F4">
      <w:pPr>
        <w:pStyle w:val="ReverseHead"/>
      </w:pPr>
      <w:r w:rsidRPr="005D4222">
        <w:rPr>
          <w:bCs/>
          <w:color w:val="auto"/>
          <w:kern w:val="20"/>
        </w:rPr>
        <w:t>Calculations</w:t>
      </w:r>
    </w:p>
    <w:tbl>
      <w:tblPr>
        <w:tblW w:w="9792" w:type="dxa"/>
        <w:tblLayout w:type="fixed"/>
        <w:tblLook w:val="0000" w:firstRow="0" w:lastRow="0" w:firstColumn="0" w:lastColumn="0" w:noHBand="0" w:noVBand="0"/>
      </w:tblPr>
      <w:tblGrid>
        <w:gridCol w:w="2160"/>
        <w:gridCol w:w="7632"/>
      </w:tblGrid>
      <w:tr w:rsidR="00D274D2" w:rsidRPr="005D4222" w14:paraId="0890932C" w14:textId="77777777" w:rsidTr="00A53E8C">
        <w:tc>
          <w:tcPr>
            <w:tcW w:w="2160" w:type="dxa"/>
          </w:tcPr>
          <w:p w14:paraId="0B9F00BB" w14:textId="40516D4C" w:rsidR="00D274D2" w:rsidRPr="005D4222" w:rsidRDefault="00B51CDC" w:rsidP="00A53E8C">
            <w:pPr>
              <w:pStyle w:val="MarginSubhead"/>
              <w:rPr>
                <w:rFonts w:eastAsia="Arial" w:cs="Arial"/>
                <w:kern w:val="20"/>
              </w:rPr>
            </w:pPr>
            <w:r w:rsidRPr="005D4222">
              <w:rPr>
                <w:rFonts w:eastAsia="Arial" w:cs="Arial"/>
                <w:kern w:val="20"/>
              </w:rPr>
              <w:t>Product lines</w:t>
            </w:r>
          </w:p>
        </w:tc>
        <w:tc>
          <w:tcPr>
            <w:tcW w:w="7632" w:type="dxa"/>
          </w:tcPr>
          <w:p w14:paraId="6DEBC279" w14:textId="77777777" w:rsidR="00D274D2" w:rsidRPr="005D4222" w:rsidRDefault="00D274D2" w:rsidP="00A53E8C">
            <w:pPr>
              <w:pStyle w:val="Body"/>
              <w:rPr>
                <w:kern w:val="20"/>
              </w:rPr>
            </w:pPr>
            <w:r w:rsidRPr="005D4222">
              <w:rPr>
                <w:kern w:val="20"/>
              </w:rPr>
              <w:t>Commercial, Medicaid, Medicare (report each product line separately).</w:t>
            </w:r>
          </w:p>
        </w:tc>
      </w:tr>
      <w:tr w:rsidR="00D274D2" w:rsidRPr="005D4222" w14:paraId="7F4C21F5" w14:textId="77777777" w:rsidTr="00A53E8C">
        <w:tc>
          <w:tcPr>
            <w:tcW w:w="2160" w:type="dxa"/>
          </w:tcPr>
          <w:p w14:paraId="2D6AB229" w14:textId="77777777" w:rsidR="00D274D2" w:rsidRPr="005D4222" w:rsidRDefault="00D274D2" w:rsidP="00A53E8C">
            <w:pPr>
              <w:pStyle w:val="MarginSubhead"/>
              <w:rPr>
                <w:rFonts w:eastAsia="Arial" w:cs="Arial"/>
                <w:kern w:val="20"/>
              </w:rPr>
            </w:pPr>
            <w:r w:rsidRPr="005D4222">
              <w:rPr>
                <w:rFonts w:eastAsia="Arial" w:cs="Arial"/>
                <w:kern w:val="20"/>
              </w:rPr>
              <w:t>Table instructions</w:t>
            </w:r>
          </w:p>
        </w:tc>
        <w:tc>
          <w:tcPr>
            <w:tcW w:w="7632" w:type="dxa"/>
          </w:tcPr>
          <w:p w14:paraId="7141AB0E" w14:textId="77777777" w:rsidR="00D274D2" w:rsidRPr="005D4222" w:rsidRDefault="00D274D2" w:rsidP="00A53E8C">
            <w:pPr>
              <w:pStyle w:val="Body"/>
              <w:rPr>
                <w:kern w:val="20"/>
              </w:rPr>
            </w:pPr>
            <w:r w:rsidRPr="005D4222">
              <w:rPr>
                <w:kern w:val="20"/>
              </w:rPr>
              <w:t>Report the number of members by race/ethnicity for the population in each reporting category</w:t>
            </w:r>
            <w:r w:rsidRPr="005D4222" w:rsidDel="00133FF7">
              <w:rPr>
                <w:kern w:val="20"/>
              </w:rPr>
              <w:t>.</w:t>
            </w:r>
          </w:p>
        </w:tc>
      </w:tr>
      <w:tr w:rsidR="00D274D2" w:rsidRPr="005D4222" w14:paraId="7F71AEF6" w14:textId="77777777" w:rsidTr="00A53E8C">
        <w:trPr>
          <w:trHeight w:val="720"/>
        </w:trPr>
        <w:tc>
          <w:tcPr>
            <w:tcW w:w="2160" w:type="dxa"/>
          </w:tcPr>
          <w:p w14:paraId="26BFA72C" w14:textId="77777777" w:rsidR="00D274D2" w:rsidRPr="005D4222" w:rsidRDefault="00D274D2" w:rsidP="00A53E8C">
            <w:pPr>
              <w:pStyle w:val="MarginSubhead"/>
              <w:rPr>
                <w:kern w:val="20"/>
              </w:rPr>
            </w:pPr>
            <w:r w:rsidRPr="005D4222">
              <w:rPr>
                <w:kern w:val="20"/>
              </w:rPr>
              <w:t>Data source</w:t>
            </w:r>
          </w:p>
        </w:tc>
        <w:tc>
          <w:tcPr>
            <w:tcW w:w="7632" w:type="dxa"/>
          </w:tcPr>
          <w:p w14:paraId="217CFD81" w14:textId="77777777" w:rsidR="00D274D2" w:rsidRPr="005D4222" w:rsidRDefault="00D274D2" w:rsidP="00A53E8C">
            <w:pPr>
              <w:pStyle w:val="Body"/>
              <w:rPr>
                <w:kern w:val="20"/>
              </w:rPr>
            </w:pPr>
            <w:r w:rsidRPr="005D4222">
              <w:rPr>
                <w:kern w:val="20"/>
              </w:rPr>
              <w:t xml:space="preserve">Report the number of members for whom data have been collected from each data source for race and ethnicity. Data sources </w:t>
            </w:r>
            <w:r w:rsidRPr="005D4222">
              <w:t xml:space="preserve">must fall into one of four types (direct, imputed, unknown, no data), and </w:t>
            </w:r>
            <w:r w:rsidRPr="005D4222">
              <w:rPr>
                <w:kern w:val="20"/>
              </w:rPr>
              <w:t>include data collected directly from members (</w:t>
            </w:r>
            <w:r w:rsidRPr="005D4222">
              <w:t>such as self-reported data collected by the health plan), data collected via state enrollment files or CMS databases and data collected from other sources (e.g., HIEs</w:t>
            </w:r>
            <w:r w:rsidRPr="005D4222">
              <w:rPr>
                <w:kern w:val="20"/>
              </w:rPr>
              <w:t xml:space="preserve"> </w:t>
            </w:r>
            <w:r w:rsidRPr="005D4222">
              <w:t>and clinical feeds).</w:t>
            </w:r>
            <w:r w:rsidRPr="005D4222">
              <w:rPr>
                <w:kern w:val="20"/>
              </w:rPr>
              <w:t xml:space="preserve"> </w:t>
            </w:r>
          </w:p>
          <w:p w14:paraId="53161262" w14:textId="77777777" w:rsidR="00D274D2" w:rsidRPr="005D4222" w:rsidRDefault="00D274D2" w:rsidP="00A53E8C">
            <w:pPr>
              <w:pStyle w:val="Body"/>
            </w:pPr>
            <w:r w:rsidRPr="005D4222">
              <w:t xml:space="preserve">Imputed </w:t>
            </w:r>
            <w:r w:rsidRPr="005D4222">
              <w:rPr>
                <w:kern w:val="20"/>
              </w:rPr>
              <w:t xml:space="preserve">data </w:t>
            </w:r>
            <w:r w:rsidRPr="005D4222">
              <w:t xml:space="preserve">include information </w:t>
            </w:r>
            <w:r w:rsidRPr="005D4222">
              <w:rPr>
                <w:kern w:val="20"/>
              </w:rPr>
              <w:t>generated through imputation</w:t>
            </w:r>
            <w:r w:rsidRPr="005D4222">
              <w:t xml:space="preserve"> methods such as surname analysis or geocoding. Unknown data include</w:t>
            </w:r>
            <w:r w:rsidRPr="005D4222">
              <w:rPr>
                <w:kern w:val="20"/>
              </w:rPr>
              <w:t xml:space="preserve"> data </w:t>
            </w:r>
            <w:r w:rsidRPr="005D4222">
              <w:t xml:space="preserve">for which there is a recorded race or ethnicity value but no recorded source. “No data” reflects instances in which both the race or ethnicity value </w:t>
            </w:r>
            <w:r w:rsidRPr="005D4222">
              <w:rPr>
                <w:i/>
                <w:iCs/>
              </w:rPr>
              <w:t xml:space="preserve">and </w:t>
            </w:r>
            <w:r w:rsidRPr="005D4222">
              <w:t>the source are missing.</w:t>
            </w:r>
          </w:p>
          <w:p w14:paraId="10CC0F3F" w14:textId="77777777" w:rsidR="00D274D2" w:rsidRPr="005D4222" w:rsidRDefault="00D274D2" w:rsidP="00A53E8C">
            <w:pPr>
              <w:pStyle w:val="Body"/>
              <w:rPr>
                <w:kern w:val="20"/>
              </w:rPr>
            </w:pPr>
            <w:r w:rsidRPr="005D4222">
              <w:rPr>
                <w:rFonts w:eastAsia="Arial" w:cs="Arial"/>
                <w:kern w:val="20"/>
              </w:rPr>
              <w:t>Table RDM-B-1/2/3 reports the percentage of each race (e.g., White, Black or African American) within each ethnicity (e.g., Hispanic or Latino, Not Hispanic or Latino) category.</w:t>
            </w:r>
          </w:p>
        </w:tc>
      </w:tr>
    </w:tbl>
    <w:p w14:paraId="475213B8" w14:textId="77777777" w:rsidR="00D274D2" w:rsidRPr="005D4222" w:rsidRDefault="00D274D2" w:rsidP="00A11BD6">
      <w:pPr>
        <w:pStyle w:val="ReverseHead"/>
      </w:pPr>
      <w:bookmarkStart w:id="457" w:name="_Toc201327776"/>
      <w:r w:rsidRPr="005D4222">
        <w:t>Reporting Category Definitions</w:t>
      </w:r>
      <w:bookmarkEnd w:id="457"/>
    </w:p>
    <w:p w14:paraId="32CB5987" w14:textId="68494EB8" w:rsidR="00D274D2" w:rsidRPr="005D4222" w:rsidRDefault="00D274D2" w:rsidP="00D274D2">
      <w:pPr>
        <w:pStyle w:val="Body"/>
        <w:rPr>
          <w:kern w:val="20"/>
        </w:rPr>
      </w:pPr>
      <w:r w:rsidRPr="005D4222">
        <w:rPr>
          <w:kern w:val="20"/>
        </w:rPr>
        <w:t xml:space="preserve">Refer to </w:t>
      </w:r>
      <w:hyperlink w:anchor="GG_Race_and_Ethnicity" w:history="1">
        <w:r w:rsidR="001E67F5" w:rsidRPr="005D4222">
          <w:rPr>
            <w:rStyle w:val="Hyperlink"/>
            <w:i/>
            <w:kern w:val="20"/>
          </w:rPr>
          <w:t xml:space="preserve">General Guideline: Race and Ethnicity Stratification </w:t>
        </w:r>
      </w:hyperlink>
      <w:r w:rsidRPr="005D4222">
        <w:rPr>
          <w:kern w:val="20"/>
        </w:rPr>
        <w:t xml:space="preserve">for instructions on determining race reporting category and determining ethnicity reporting category. When using the combined race/ethnicity data format for collection or if using CMS as the data source, refer to </w:t>
      </w:r>
      <w:r w:rsidRPr="005D4222">
        <w:rPr>
          <w:i/>
          <w:kern w:val="20"/>
        </w:rPr>
        <w:t>General Guideline: Race and Ethnicity</w:t>
      </w:r>
      <w:r w:rsidR="001E67F5" w:rsidRPr="005D4222">
        <w:rPr>
          <w:i/>
          <w:kern w:val="20"/>
        </w:rPr>
        <w:t xml:space="preserve"> Stratification</w:t>
      </w:r>
      <w:r w:rsidRPr="005D4222">
        <w:rPr>
          <w:kern w:val="20"/>
        </w:rPr>
        <w:t xml:space="preserve">, Table RES-A-1/2/3 and Table RES-B-1/2/3 for a crosswalk of reporting categories. </w:t>
      </w:r>
      <w:r w:rsidRPr="005D4222">
        <w:rPr>
          <w:rFonts w:cs="Arial"/>
          <w:kern w:val="20"/>
          <w:szCs w:val="21"/>
        </w:rPr>
        <w:t xml:space="preserve">Refer to Tables RES-C-1/2/3 and RES-D-1/2/3 for the value sets and direct reference codes that must be </w:t>
      </w:r>
      <w:r w:rsidRPr="005D4222">
        <w:rPr>
          <w:rFonts w:cs="Arial"/>
          <w:kern w:val="20"/>
          <w:szCs w:val="21"/>
        </w:rPr>
        <w:br/>
        <w:t>used to report the measure. Organizations that do not use these codes must map race and ethnicity data to them.</w:t>
      </w:r>
    </w:p>
    <w:tbl>
      <w:tblPr>
        <w:tblW w:w="9792" w:type="dxa"/>
        <w:tblLayout w:type="fixed"/>
        <w:tblLook w:val="0000" w:firstRow="0" w:lastRow="0" w:firstColumn="0" w:lastColumn="0" w:noHBand="0" w:noVBand="0"/>
      </w:tblPr>
      <w:tblGrid>
        <w:gridCol w:w="2145"/>
        <w:gridCol w:w="15"/>
        <w:gridCol w:w="7560"/>
        <w:gridCol w:w="72"/>
      </w:tblGrid>
      <w:tr w:rsidR="00D274D2" w:rsidRPr="005D4222" w:rsidDel="008F2175" w14:paraId="130E86D2" w14:textId="77777777" w:rsidTr="00A53E8C">
        <w:tc>
          <w:tcPr>
            <w:tcW w:w="2160" w:type="dxa"/>
            <w:gridSpan w:val="2"/>
          </w:tcPr>
          <w:p w14:paraId="3E366829" w14:textId="355D4670" w:rsidR="00D274D2" w:rsidRPr="005D4222" w:rsidDel="008F2175" w:rsidRDefault="00D274D2" w:rsidP="00A53E8C">
            <w:pPr>
              <w:pStyle w:val="MarginSubhead"/>
              <w:rPr>
                <w:kern w:val="20"/>
              </w:rPr>
            </w:pPr>
            <w:r w:rsidRPr="005D4222">
              <w:rPr>
                <w:kern w:val="20"/>
              </w:rPr>
              <w:t>Reporting categories for race</w:t>
            </w:r>
          </w:p>
        </w:tc>
        <w:tc>
          <w:tcPr>
            <w:tcW w:w="7632" w:type="dxa"/>
            <w:gridSpan w:val="2"/>
          </w:tcPr>
          <w:p w14:paraId="4846B7BF" w14:textId="77777777" w:rsidR="00D274D2" w:rsidRPr="005D4222" w:rsidRDefault="00D274D2" w:rsidP="005D6173">
            <w:pPr>
              <w:pStyle w:val="ProcessBullet"/>
              <w:numPr>
                <w:ilvl w:val="0"/>
                <w:numId w:val="134"/>
              </w:numPr>
              <w:tabs>
                <w:tab w:val="left" w:pos="216"/>
              </w:tabs>
              <w:spacing w:before="180"/>
              <w:ind w:left="216" w:hanging="216"/>
            </w:pPr>
            <w:r w:rsidRPr="005D4222">
              <w:t>American Indian or Alaska Native.</w:t>
            </w:r>
          </w:p>
          <w:p w14:paraId="5C0405D5" w14:textId="77777777" w:rsidR="00D274D2" w:rsidRPr="005D4222" w:rsidRDefault="00D274D2" w:rsidP="005D6173">
            <w:pPr>
              <w:pStyle w:val="ProcessBullet"/>
              <w:numPr>
                <w:ilvl w:val="0"/>
                <w:numId w:val="134"/>
              </w:numPr>
              <w:tabs>
                <w:tab w:val="left" w:pos="216"/>
              </w:tabs>
              <w:spacing w:before="40"/>
              <w:ind w:left="216" w:hanging="216"/>
            </w:pPr>
            <w:r w:rsidRPr="005D4222">
              <w:t>Asian.</w:t>
            </w:r>
          </w:p>
          <w:p w14:paraId="2160A85A" w14:textId="77777777" w:rsidR="00D274D2" w:rsidRPr="005D4222" w:rsidRDefault="00D274D2" w:rsidP="005D6173">
            <w:pPr>
              <w:pStyle w:val="ProcessBullet"/>
              <w:numPr>
                <w:ilvl w:val="0"/>
                <w:numId w:val="134"/>
              </w:numPr>
              <w:tabs>
                <w:tab w:val="left" w:pos="216"/>
              </w:tabs>
              <w:spacing w:before="40"/>
              <w:ind w:left="216" w:hanging="216"/>
            </w:pPr>
            <w:r w:rsidRPr="005D4222">
              <w:t>Black or African American.</w:t>
            </w:r>
          </w:p>
          <w:p w14:paraId="142754B9" w14:textId="77777777" w:rsidR="00D274D2" w:rsidRPr="005D4222" w:rsidRDefault="00D274D2" w:rsidP="005D6173">
            <w:pPr>
              <w:pStyle w:val="ProcessBullet"/>
              <w:numPr>
                <w:ilvl w:val="0"/>
                <w:numId w:val="134"/>
              </w:numPr>
              <w:tabs>
                <w:tab w:val="left" w:pos="216"/>
              </w:tabs>
              <w:spacing w:before="40"/>
              <w:ind w:left="216" w:hanging="216"/>
            </w:pPr>
            <w:r w:rsidRPr="005D4222">
              <w:t>Middle Eastern or North African.</w:t>
            </w:r>
          </w:p>
          <w:p w14:paraId="6FC27BA6" w14:textId="2C90217A" w:rsidR="00D274D2" w:rsidRPr="005D4222" w:rsidDel="008F2175" w:rsidRDefault="00D274D2" w:rsidP="005D6173">
            <w:pPr>
              <w:pStyle w:val="ProcessBullet"/>
              <w:numPr>
                <w:ilvl w:val="0"/>
                <w:numId w:val="134"/>
              </w:numPr>
              <w:tabs>
                <w:tab w:val="left" w:pos="216"/>
              </w:tabs>
              <w:spacing w:before="40"/>
              <w:ind w:left="216" w:hanging="216"/>
            </w:pPr>
            <w:r w:rsidRPr="005D4222">
              <w:lastRenderedPageBreak/>
              <w:t>Native Hawaiian or Pacific Islander.</w:t>
            </w:r>
          </w:p>
        </w:tc>
      </w:tr>
      <w:tr w:rsidR="00D274D2" w:rsidRPr="005D4222" w:rsidDel="008F2175" w14:paraId="6D3080E0" w14:textId="77777777" w:rsidTr="00A53E8C">
        <w:tc>
          <w:tcPr>
            <w:tcW w:w="2160" w:type="dxa"/>
            <w:gridSpan w:val="2"/>
          </w:tcPr>
          <w:p w14:paraId="351D37D5" w14:textId="77777777" w:rsidR="00D274D2" w:rsidRPr="005D4222" w:rsidRDefault="00D274D2" w:rsidP="00A53E8C">
            <w:pPr>
              <w:pStyle w:val="MarginSubhead"/>
              <w:rPr>
                <w:kern w:val="20"/>
              </w:rPr>
            </w:pPr>
          </w:p>
        </w:tc>
        <w:tc>
          <w:tcPr>
            <w:tcW w:w="7632" w:type="dxa"/>
            <w:gridSpan w:val="2"/>
          </w:tcPr>
          <w:p w14:paraId="667A6A94" w14:textId="77777777" w:rsidR="00D274D2" w:rsidRPr="005D4222" w:rsidRDefault="00D274D2" w:rsidP="005D6173">
            <w:pPr>
              <w:pStyle w:val="ProcessBullet"/>
              <w:numPr>
                <w:ilvl w:val="0"/>
                <w:numId w:val="134"/>
              </w:numPr>
              <w:tabs>
                <w:tab w:val="left" w:pos="216"/>
              </w:tabs>
              <w:spacing w:before="0"/>
              <w:ind w:left="216" w:hanging="216"/>
            </w:pPr>
            <w:r w:rsidRPr="005D4222">
              <w:t>White.</w:t>
            </w:r>
          </w:p>
          <w:p w14:paraId="0157932A" w14:textId="77777777" w:rsidR="00D274D2" w:rsidRPr="005D4222" w:rsidRDefault="00D274D2" w:rsidP="005D6173">
            <w:pPr>
              <w:pStyle w:val="ProcessBullet"/>
              <w:numPr>
                <w:ilvl w:val="0"/>
                <w:numId w:val="134"/>
              </w:numPr>
              <w:tabs>
                <w:tab w:val="left" w:pos="216"/>
              </w:tabs>
              <w:spacing w:before="40"/>
              <w:ind w:left="216" w:hanging="216"/>
            </w:pPr>
            <w:r w:rsidRPr="005D4222">
              <w:t>Some Other Race.</w:t>
            </w:r>
          </w:p>
          <w:p w14:paraId="17B55088" w14:textId="77777777" w:rsidR="00D274D2" w:rsidRPr="005D4222" w:rsidRDefault="00D274D2" w:rsidP="005D6173">
            <w:pPr>
              <w:pStyle w:val="ProcessBullet"/>
              <w:numPr>
                <w:ilvl w:val="0"/>
                <w:numId w:val="134"/>
              </w:numPr>
              <w:tabs>
                <w:tab w:val="left" w:pos="216"/>
              </w:tabs>
              <w:spacing w:before="40"/>
              <w:ind w:left="216" w:hanging="216"/>
            </w:pPr>
            <w:r w:rsidRPr="005D4222">
              <w:t>Two or More Races.</w:t>
            </w:r>
          </w:p>
          <w:p w14:paraId="21DF3392" w14:textId="77777777" w:rsidR="00D274D2" w:rsidRPr="005D4222" w:rsidRDefault="00D274D2" w:rsidP="005D6173">
            <w:pPr>
              <w:pStyle w:val="ProcessBullet"/>
              <w:numPr>
                <w:ilvl w:val="0"/>
                <w:numId w:val="134"/>
              </w:numPr>
              <w:tabs>
                <w:tab w:val="left" w:pos="216"/>
              </w:tabs>
              <w:spacing w:before="0"/>
              <w:ind w:left="216" w:hanging="216"/>
            </w:pPr>
            <w:r w:rsidRPr="005D4222">
              <w:t xml:space="preserve">Asked But No Answer </w:t>
            </w:r>
          </w:p>
          <w:p w14:paraId="3CF3B9ED" w14:textId="6A02E515" w:rsidR="00D274D2" w:rsidRPr="005D4222" w:rsidRDefault="00D274D2" w:rsidP="005D6173">
            <w:pPr>
              <w:pStyle w:val="ProcessBullet"/>
              <w:numPr>
                <w:ilvl w:val="0"/>
                <w:numId w:val="134"/>
              </w:numPr>
              <w:tabs>
                <w:tab w:val="left" w:pos="216"/>
              </w:tabs>
              <w:spacing w:before="40"/>
              <w:ind w:left="216" w:hanging="216"/>
            </w:pPr>
            <w:r w:rsidRPr="005D4222">
              <w:t>Unknown.</w:t>
            </w:r>
          </w:p>
        </w:tc>
      </w:tr>
      <w:tr w:rsidR="00D274D2" w:rsidRPr="005D4222" w:rsidDel="008F2175" w14:paraId="0661DD02" w14:textId="77777777" w:rsidTr="00A53E8C">
        <w:trPr>
          <w:gridAfter w:val="1"/>
          <w:wAfter w:w="72" w:type="dxa"/>
        </w:trPr>
        <w:tc>
          <w:tcPr>
            <w:tcW w:w="2145" w:type="dxa"/>
          </w:tcPr>
          <w:p w14:paraId="2F56CEFA" w14:textId="77777777" w:rsidR="00D274D2" w:rsidRPr="005D4222" w:rsidRDefault="00D274D2" w:rsidP="00A53E8C">
            <w:pPr>
              <w:pStyle w:val="MarginSubhead"/>
              <w:rPr>
                <w:kern w:val="20"/>
              </w:rPr>
            </w:pPr>
            <w:r w:rsidRPr="005D4222">
              <w:rPr>
                <w:kern w:val="20"/>
              </w:rPr>
              <w:t>Reporting categories for ethnicity</w:t>
            </w:r>
          </w:p>
        </w:tc>
        <w:tc>
          <w:tcPr>
            <w:tcW w:w="7575" w:type="dxa"/>
            <w:gridSpan w:val="2"/>
          </w:tcPr>
          <w:p w14:paraId="304F1880" w14:textId="77777777" w:rsidR="00D274D2" w:rsidRPr="005D4222" w:rsidRDefault="00D274D2" w:rsidP="005D6173">
            <w:pPr>
              <w:pStyle w:val="ProcessBullet"/>
              <w:numPr>
                <w:ilvl w:val="0"/>
                <w:numId w:val="134"/>
              </w:numPr>
              <w:tabs>
                <w:tab w:val="left" w:pos="216"/>
              </w:tabs>
              <w:spacing w:before="180"/>
              <w:ind w:left="216" w:hanging="216"/>
            </w:pPr>
            <w:r w:rsidRPr="005D4222">
              <w:t>Hispanic or Latino.</w:t>
            </w:r>
          </w:p>
          <w:p w14:paraId="656BAB82" w14:textId="77777777" w:rsidR="00D274D2" w:rsidRPr="005D4222" w:rsidRDefault="00D274D2" w:rsidP="005D6173">
            <w:pPr>
              <w:pStyle w:val="ProcessBullet"/>
              <w:numPr>
                <w:ilvl w:val="0"/>
                <w:numId w:val="134"/>
              </w:numPr>
              <w:tabs>
                <w:tab w:val="left" w:pos="216"/>
              </w:tabs>
              <w:spacing w:before="40"/>
              <w:ind w:left="216" w:hanging="216"/>
            </w:pPr>
            <w:r w:rsidRPr="005D4222">
              <w:t>Not Hispanic or Latino.</w:t>
            </w:r>
          </w:p>
          <w:p w14:paraId="6E9F7F3A" w14:textId="77777777" w:rsidR="00D274D2" w:rsidRPr="005D4222" w:rsidRDefault="00D274D2" w:rsidP="005D6173">
            <w:pPr>
              <w:pStyle w:val="ProcessBullet"/>
              <w:numPr>
                <w:ilvl w:val="0"/>
                <w:numId w:val="134"/>
              </w:numPr>
              <w:tabs>
                <w:tab w:val="left" w:pos="216"/>
              </w:tabs>
              <w:spacing w:before="40"/>
              <w:ind w:left="216" w:hanging="216"/>
            </w:pPr>
            <w:r w:rsidRPr="005D4222">
              <w:t>Asked But No Answer.</w:t>
            </w:r>
          </w:p>
          <w:p w14:paraId="77E0CE93" w14:textId="77777777" w:rsidR="00D274D2" w:rsidRPr="005D4222" w:rsidRDefault="00D274D2" w:rsidP="005D6173">
            <w:pPr>
              <w:pStyle w:val="ProcessBullet"/>
              <w:numPr>
                <w:ilvl w:val="0"/>
                <w:numId w:val="134"/>
              </w:numPr>
              <w:tabs>
                <w:tab w:val="left" w:pos="216"/>
              </w:tabs>
              <w:spacing w:before="40"/>
              <w:ind w:left="216" w:hanging="216"/>
            </w:pPr>
            <w:r w:rsidRPr="005D4222">
              <w:t>Unknown.</w:t>
            </w:r>
          </w:p>
        </w:tc>
      </w:tr>
    </w:tbl>
    <w:p w14:paraId="73685616" w14:textId="77777777" w:rsidR="00D274D2" w:rsidRPr="005D4222" w:rsidRDefault="00D274D2" w:rsidP="00D274D2">
      <w:pPr>
        <w:pStyle w:val="SubHeadNoTOC"/>
      </w:pPr>
      <w:r w:rsidRPr="005D4222">
        <w:rPr>
          <w:bCs/>
          <w:i/>
          <w:kern w:val="20"/>
        </w:rPr>
        <w:t>Note</w:t>
      </w:r>
    </w:p>
    <w:p w14:paraId="04BB8B53" w14:textId="77777777" w:rsidR="00D274D2" w:rsidRPr="005D4222" w:rsidDel="00D9014A" w:rsidRDefault="00D274D2" w:rsidP="005D6173">
      <w:pPr>
        <w:pStyle w:val="ProcessBullet"/>
        <w:numPr>
          <w:ilvl w:val="0"/>
          <w:numId w:val="176"/>
        </w:numPr>
        <w:tabs>
          <w:tab w:val="left" w:pos="216"/>
        </w:tabs>
        <w:spacing w:before="120"/>
        <w:ind w:left="216" w:hanging="216"/>
        <w:rPr>
          <w:i/>
          <w:iCs/>
          <w:kern w:val="20"/>
        </w:rPr>
      </w:pPr>
      <w:r w:rsidRPr="005D4222">
        <w:rPr>
          <w:i/>
          <w:kern w:val="20"/>
        </w:rPr>
        <w:t xml:space="preserve">It is considered best practice to collect data directly from members because this method reflects members’ self-identification. If data collected directly by the health plan are not available, third-party data collected directly by another entity (e.g., the state, CMS, HIE or clinical feeds) are desired. </w:t>
      </w:r>
      <w:r w:rsidRPr="005D4222">
        <w:rPr>
          <w:i/>
          <w:iCs/>
          <w:kern w:val="20"/>
        </w:rPr>
        <w:t>When multiple sources of data are used for race and ethnicity, disagreements in the data collected may exist. When disagreements exist, data sources should be prioritized based on an evaluation of anticipated accuracy. This includes use of specific categories over nonspecific categories, most frequent or consistently reported category, and selection of data with clear provenance (source, method of collection) over data without clear provenance.</w:t>
      </w:r>
      <w:r w:rsidRPr="005D4222" w:rsidDel="00D9014A">
        <w:rPr>
          <w:i/>
          <w:kern w:val="20"/>
        </w:rPr>
        <w:t xml:space="preserve"> </w:t>
      </w:r>
    </w:p>
    <w:p w14:paraId="29DC900C" w14:textId="77777777" w:rsidR="00D274D2" w:rsidRPr="005D4222" w:rsidRDefault="00D274D2" w:rsidP="005D6173">
      <w:pPr>
        <w:pStyle w:val="ProcessBullet"/>
        <w:numPr>
          <w:ilvl w:val="0"/>
          <w:numId w:val="176"/>
        </w:numPr>
        <w:tabs>
          <w:tab w:val="left" w:pos="216"/>
        </w:tabs>
        <w:ind w:left="216" w:hanging="216"/>
        <w:rPr>
          <w:i/>
          <w:iCs/>
          <w:kern w:val="20"/>
        </w:rPr>
      </w:pPr>
      <w:r w:rsidRPr="005D4222">
        <w:rPr>
          <w:i/>
          <w:iCs/>
          <w:kern w:val="20"/>
        </w:rPr>
        <w:t>If detailed ethnicity information is collected, these data must be aggregated and reported in the OMB categories provided. If a combined race/ethnicity category question is used to collect data, data must be disaggregated and race and ethnicity categories must be reported separately.</w:t>
      </w:r>
    </w:p>
    <w:p w14:paraId="0D8EEC3D" w14:textId="77777777" w:rsidR="00D274D2" w:rsidRPr="005D4222" w:rsidRDefault="00D274D2" w:rsidP="005D6173">
      <w:pPr>
        <w:pStyle w:val="ProcessBullet"/>
        <w:numPr>
          <w:ilvl w:val="0"/>
          <w:numId w:val="176"/>
        </w:numPr>
        <w:tabs>
          <w:tab w:val="left" w:pos="216"/>
        </w:tabs>
        <w:ind w:left="216" w:hanging="216"/>
        <w:rPr>
          <w:i/>
          <w:iCs/>
          <w:kern w:val="20"/>
        </w:rPr>
      </w:pPr>
      <w:r w:rsidRPr="005D4222">
        <w:rPr>
          <w:i/>
          <w:iCs/>
          <w:kern w:val="20"/>
        </w:rPr>
        <w:t>NCQA recommends the mapping strategy in Tables RES-A-1/2/3 and RES-B-1/2/3 based on research on the sensitivity and specificity of CMS data, expert input and lessons from data collection learning initiatives. This crosswalk is a guide only. If organizations have more accurate race or ethnicity information, they may overwrite these data and code race or ethnicity to the more accurate categories. However, data must be reported using the defined HEDIS categories.</w:t>
      </w:r>
    </w:p>
    <w:p w14:paraId="3F098566" w14:textId="77777777" w:rsidR="00D274D2" w:rsidRPr="005D4222" w:rsidRDefault="00D274D2" w:rsidP="005D6173">
      <w:pPr>
        <w:pStyle w:val="ProcessBullet"/>
        <w:numPr>
          <w:ilvl w:val="0"/>
          <w:numId w:val="176"/>
        </w:numPr>
        <w:tabs>
          <w:tab w:val="left" w:pos="216"/>
        </w:tabs>
        <w:ind w:left="216" w:hanging="216"/>
        <w:rPr>
          <w:i/>
          <w:iCs/>
          <w:kern w:val="20"/>
        </w:rPr>
      </w:pPr>
      <w:r w:rsidRPr="005D4222">
        <w:rPr>
          <w:rFonts w:cs="Arial"/>
          <w:i/>
          <w:kern w:val="20"/>
          <w:szCs w:val="21"/>
        </w:rPr>
        <w:t>Data on race and data on ethnicity may come from different categories of data source (direct, imputed,</w:t>
      </w:r>
      <w:r w:rsidRPr="005D4222">
        <w:rPr>
          <w:rFonts w:cs="Arial"/>
          <w:i/>
          <w:iCs/>
          <w:kern w:val="20"/>
          <w:szCs w:val="21"/>
        </w:rPr>
        <w:t xml:space="preserve"> unknown and no data).</w:t>
      </w:r>
      <w:r w:rsidRPr="005D4222">
        <w:rPr>
          <w:rFonts w:cs="Arial"/>
          <w:i/>
          <w:kern w:val="20"/>
          <w:szCs w:val="21"/>
        </w:rPr>
        <w:t xml:space="preserve"> In such cases, report using the data category that applies to that data element (race, ethnicity). If the same category of information is received from two different data sources, prioritize data sources based on the </w:t>
      </w:r>
      <w:r w:rsidRPr="005D4222">
        <w:rPr>
          <w:rFonts w:cs="Arial"/>
          <w:i/>
          <w:iCs/>
          <w:kern w:val="20"/>
          <w:szCs w:val="21"/>
        </w:rPr>
        <w:t>first bullet</w:t>
      </w:r>
      <w:r w:rsidRPr="005D4222">
        <w:rPr>
          <w:rFonts w:cs="Arial"/>
          <w:i/>
          <w:kern w:val="20"/>
          <w:szCs w:val="21"/>
        </w:rPr>
        <w:t xml:space="preserve"> above.</w:t>
      </w:r>
    </w:p>
    <w:p w14:paraId="6B4F7E75" w14:textId="77777777" w:rsidR="00D274D2" w:rsidRPr="005D4222" w:rsidRDefault="00D274D2" w:rsidP="00D274D2">
      <w:pPr>
        <w:keepNext/>
        <w:spacing w:before="240" w:after="60"/>
        <w:ind w:left="1710" w:hanging="1710"/>
        <w:outlineLvl w:val="2"/>
        <w:rPr>
          <w:rFonts w:cs="Arial"/>
          <w:b/>
          <w:i/>
          <w:kern w:val="20"/>
          <w:sz w:val="18"/>
          <w:szCs w:val="18"/>
        </w:rPr>
      </w:pPr>
      <w:r w:rsidRPr="005D4222">
        <w:rPr>
          <w:rFonts w:cs="Arial"/>
          <w:b/>
          <w:i/>
          <w:iCs/>
          <w:kern w:val="20"/>
          <w:sz w:val="18"/>
          <w:szCs w:val="18"/>
        </w:rPr>
        <w:t>Table RDM-A-1/2/3:</w:t>
      </w:r>
      <w:r w:rsidRPr="005D4222">
        <w:rPr>
          <w:kern w:val="20"/>
        </w:rPr>
        <w:tab/>
      </w:r>
      <w:r w:rsidRPr="005D4222">
        <w:rPr>
          <w:rFonts w:cs="Arial"/>
          <w:b/>
          <w:i/>
          <w:iCs/>
          <w:kern w:val="20"/>
          <w:sz w:val="18"/>
          <w:szCs w:val="18"/>
        </w:rPr>
        <w:t xml:space="preserve">Percentage of Members for Whom the Organization Has </w:t>
      </w:r>
      <w:r w:rsidRPr="005D4222">
        <w:rPr>
          <w:kern w:val="20"/>
        </w:rPr>
        <w:br/>
      </w:r>
      <w:r w:rsidRPr="005D4222">
        <w:rPr>
          <w:rFonts w:cs="Arial"/>
          <w:b/>
          <w:i/>
          <w:iCs/>
          <w:kern w:val="20"/>
          <w:sz w:val="18"/>
          <w:szCs w:val="18"/>
        </w:rPr>
        <w:t>Race/Ethnicity Information by Data Source</w:t>
      </w:r>
    </w:p>
    <w:tbl>
      <w:tblPr>
        <w:tblW w:w="720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487"/>
        <w:gridCol w:w="1871"/>
        <w:gridCol w:w="1377"/>
        <w:gridCol w:w="2465"/>
      </w:tblGrid>
      <w:tr w:rsidR="004E7974" w:rsidRPr="005D4222" w14:paraId="5D5155C2" w14:textId="77777777" w:rsidTr="00A53E8C">
        <w:tc>
          <w:tcPr>
            <w:tcW w:w="0" w:type="auto"/>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000000" w:themeFill="text1"/>
          </w:tcPr>
          <w:p w14:paraId="63B337A0" w14:textId="77777777" w:rsidR="00D274D2" w:rsidRPr="005D4222" w:rsidRDefault="00D274D2" w:rsidP="00A53E8C">
            <w:pPr>
              <w:pStyle w:val="TableHead"/>
              <w:rPr>
                <w:color w:val="auto"/>
                <w:kern w:val="20"/>
              </w:rPr>
            </w:pPr>
            <w:r w:rsidRPr="005D4222">
              <w:rPr>
                <w:color w:val="auto"/>
                <w:kern w:val="20"/>
              </w:rPr>
              <w:t>Metric</w:t>
            </w:r>
          </w:p>
        </w:tc>
        <w:tc>
          <w:tcPr>
            <w:tcW w:w="0" w:type="auto"/>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Pr>
          <w:p w14:paraId="6D69EF55" w14:textId="77777777" w:rsidR="00D274D2" w:rsidRPr="005D4222" w:rsidRDefault="00D274D2" w:rsidP="00A53E8C">
            <w:pPr>
              <w:pStyle w:val="TableHead"/>
              <w:rPr>
                <w:color w:val="auto"/>
                <w:kern w:val="20"/>
              </w:rPr>
            </w:pPr>
            <w:r w:rsidRPr="005D4222">
              <w:rPr>
                <w:color w:val="auto"/>
                <w:kern w:val="20"/>
              </w:rPr>
              <w:t>Source</w:t>
            </w:r>
          </w:p>
        </w:tc>
        <w:tc>
          <w:tcPr>
            <w:tcW w:w="0" w:type="auto"/>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Pr>
          <w:p w14:paraId="140F7389" w14:textId="77777777" w:rsidR="00D274D2" w:rsidRPr="005D4222" w:rsidRDefault="00D274D2" w:rsidP="00A53E8C">
            <w:pPr>
              <w:pStyle w:val="TableHead"/>
              <w:rPr>
                <w:color w:val="auto"/>
                <w:kern w:val="20"/>
              </w:rPr>
            </w:pPr>
            <w:r w:rsidRPr="005D4222">
              <w:rPr>
                <w:color w:val="auto"/>
                <w:kern w:val="20"/>
              </w:rPr>
              <w:t>Data Element</w:t>
            </w:r>
          </w:p>
        </w:tc>
        <w:tc>
          <w:tcPr>
            <w:tcW w:w="0" w:type="auto"/>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tcPr>
          <w:p w14:paraId="2FD018BA" w14:textId="77777777" w:rsidR="00D274D2" w:rsidRPr="005D4222" w:rsidRDefault="00D274D2" w:rsidP="00A53E8C">
            <w:pPr>
              <w:pStyle w:val="TableHead"/>
              <w:rPr>
                <w:color w:val="auto"/>
                <w:kern w:val="20"/>
              </w:rPr>
            </w:pPr>
            <w:r w:rsidRPr="005D4222">
              <w:rPr>
                <w:color w:val="auto"/>
                <w:kern w:val="20"/>
              </w:rPr>
              <w:t>Reporting Instructions</w:t>
            </w:r>
          </w:p>
        </w:tc>
      </w:tr>
      <w:tr w:rsidR="00D274D2" w:rsidRPr="005D4222" w14:paraId="74057EAE" w14:textId="77777777" w:rsidTr="00A53E8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53EA8A" w14:textId="77777777" w:rsidR="00D274D2" w:rsidRPr="005D4222" w:rsidRDefault="00D274D2" w:rsidP="00A53E8C">
            <w:pPr>
              <w:pStyle w:val="TableText"/>
              <w:rPr>
                <w:kern w:val="20"/>
              </w:rPr>
            </w:pPr>
            <w:r w:rsidRPr="005D4222">
              <w:rPr>
                <w:kern w:val="20"/>
              </w:rPr>
              <w:t>RaceSource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597BA8" w14:textId="77777777" w:rsidR="00D274D2" w:rsidRPr="005D4222" w:rsidRDefault="00D274D2" w:rsidP="00A53E8C">
            <w:pPr>
              <w:pStyle w:val="TableText"/>
              <w:rPr>
                <w:kern w:val="20"/>
              </w:rPr>
            </w:pPr>
            <w:r w:rsidRPr="005D4222">
              <w:rPr>
                <w:kern w:val="20"/>
              </w:rPr>
              <w:t xml:space="preserve">HealthPlanCollected </w:t>
            </w:r>
          </w:p>
        </w:tc>
        <w:tc>
          <w:tcPr>
            <w:tcW w:w="0" w:type="auto"/>
            <w:tcBorders>
              <w:top w:val="single" w:sz="4" w:space="0" w:color="000000" w:themeColor="text1"/>
              <w:left w:val="single" w:sz="4" w:space="0" w:color="000000" w:themeColor="text1"/>
              <w:bottom w:val="single" w:sz="4" w:space="0" w:color="000000" w:themeColor="text1"/>
              <w:right w:val="single" w:sz="4" w:space="0" w:color="auto"/>
            </w:tcBorders>
          </w:tcPr>
          <w:p w14:paraId="6DE9DFD4" w14:textId="77777777" w:rsidR="00D274D2" w:rsidRPr="005D4222" w:rsidRDefault="00D274D2" w:rsidP="00A53E8C">
            <w:pPr>
              <w:pStyle w:val="TableText"/>
              <w:rPr>
                <w:kern w:val="20"/>
              </w:rPr>
            </w:pPr>
            <w:r w:rsidRPr="005D4222">
              <w:rPr>
                <w:kern w:val="20"/>
              </w:rPr>
              <w:t>MemberCount</w:t>
            </w:r>
          </w:p>
        </w:tc>
        <w:tc>
          <w:tcPr>
            <w:tcW w:w="0" w:type="auto"/>
            <w:tcBorders>
              <w:top w:val="single" w:sz="4" w:space="0" w:color="000000" w:themeColor="text1"/>
              <w:left w:val="single" w:sz="4" w:space="0" w:color="auto"/>
              <w:bottom w:val="single" w:sz="4" w:space="0" w:color="000000" w:themeColor="text1"/>
              <w:right w:val="single" w:sz="4" w:space="0" w:color="auto"/>
            </w:tcBorders>
          </w:tcPr>
          <w:p w14:paraId="403CB556" w14:textId="77777777" w:rsidR="00D274D2" w:rsidRPr="005D4222" w:rsidRDefault="00D274D2" w:rsidP="00A53E8C">
            <w:pPr>
              <w:pStyle w:val="TableText"/>
              <w:rPr>
                <w:rFonts w:eastAsia="Wingdings"/>
                <w:kern w:val="20"/>
              </w:rPr>
            </w:pPr>
            <w:r w:rsidRPr="005D4222">
              <w:rPr>
                <w:rFonts w:eastAsia="Wingdings"/>
                <w:kern w:val="20"/>
              </w:rPr>
              <w:t>For each Metric and Source</w:t>
            </w:r>
          </w:p>
        </w:tc>
      </w:tr>
      <w:tr w:rsidR="006439AD" w:rsidRPr="005D4222" w14:paraId="2019D21B" w14:textId="77777777" w:rsidTr="00A53E8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1D9BC45" w14:textId="77777777" w:rsidR="00D274D2" w:rsidRPr="005D4222" w:rsidRDefault="00D274D2" w:rsidP="00A53E8C">
            <w:pPr>
              <w:pStyle w:val="TableText"/>
              <w:rPr>
                <w:kern w:val="20"/>
              </w:rPr>
            </w:pPr>
            <w:r w:rsidRPr="005D4222">
              <w:rPr>
                <w:kern w:val="20"/>
              </w:rPr>
              <w:t>EthnicitySource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9185BA3" w14:textId="77777777" w:rsidR="00D274D2" w:rsidRPr="005D4222" w:rsidRDefault="00D274D2" w:rsidP="00A53E8C">
            <w:pPr>
              <w:pStyle w:val="TableText"/>
              <w:rPr>
                <w:kern w:val="20"/>
              </w:rPr>
            </w:pPr>
            <w:r w:rsidRPr="005D4222">
              <w:rPr>
                <w:kern w:val="20"/>
              </w:rPr>
              <w:t>EnrollmentFiles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6805B5F" w14:textId="77777777" w:rsidR="00D274D2" w:rsidRPr="005D4222" w:rsidRDefault="00D274D2" w:rsidP="00A53E8C">
            <w:pPr>
              <w:pStyle w:val="TableText"/>
              <w:rPr>
                <w:kern w:val="20"/>
              </w:rPr>
            </w:pPr>
            <w:r w:rsidRPr="005D4222">
              <w:rPr>
                <w:kern w:val="20"/>
              </w:rPr>
              <w:t xml:space="preserve">Rate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53E3F93" w14:textId="77777777" w:rsidR="00D274D2" w:rsidRPr="005D4222" w:rsidRDefault="00D274D2" w:rsidP="00A53E8C">
            <w:pPr>
              <w:pStyle w:val="TableText"/>
              <w:rPr>
                <w:rFonts w:eastAsia="Wingdings"/>
                <w:kern w:val="20"/>
              </w:rPr>
            </w:pPr>
            <w:r w:rsidRPr="005D4222">
              <w:rPr>
                <w:rFonts w:eastAsia="Wingdings"/>
                <w:kern w:val="20"/>
              </w:rPr>
              <w:t>(Percent)</w:t>
            </w:r>
          </w:p>
        </w:tc>
      </w:tr>
      <w:tr w:rsidR="004E7974" w:rsidRPr="005D4222" w14:paraId="735E8418" w14:textId="77777777" w:rsidTr="00A53E8C">
        <w:tc>
          <w:tcPr>
            <w:tcW w:w="0" w:type="auto"/>
            <w:tcBorders>
              <w:top w:val="single" w:sz="4" w:space="0" w:color="000000" w:themeColor="text1"/>
              <w:left w:val="nil"/>
              <w:bottom w:val="nil"/>
              <w:right w:val="single" w:sz="4" w:space="0" w:color="000000" w:themeColor="text1"/>
            </w:tcBorders>
            <w:shd w:val="clear" w:color="auto" w:fill="FFFFFF" w:themeFill="background1"/>
          </w:tcPr>
          <w:p w14:paraId="199E1846" w14:textId="77777777" w:rsidR="00D274D2" w:rsidRPr="005D4222" w:rsidRDefault="00D274D2" w:rsidP="00A53E8C">
            <w:pPr>
              <w:pStyle w:val="TableText"/>
              <w:rPr>
                <w:kern w:val="20"/>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115ED53" w14:textId="77777777" w:rsidR="00D274D2" w:rsidRPr="005D4222" w:rsidRDefault="00D274D2" w:rsidP="00A53E8C">
            <w:pPr>
              <w:pStyle w:val="TableText"/>
              <w:rPr>
                <w:kern w:val="20"/>
              </w:rPr>
            </w:pPr>
            <w:r w:rsidRPr="005D4222">
              <w:rPr>
                <w:kern w:val="20"/>
              </w:rPr>
              <w:t>Other</w:t>
            </w:r>
          </w:p>
        </w:tc>
        <w:tc>
          <w:tcPr>
            <w:tcW w:w="0" w:type="auto"/>
            <w:tcBorders>
              <w:top w:val="single" w:sz="4" w:space="0" w:color="000000" w:themeColor="text1"/>
              <w:left w:val="single" w:sz="4" w:space="0" w:color="000000" w:themeColor="text1"/>
              <w:bottom w:val="nil"/>
              <w:right w:val="nil"/>
            </w:tcBorders>
            <w:shd w:val="clear" w:color="auto" w:fill="FFFFFF" w:themeFill="background1"/>
          </w:tcPr>
          <w:p w14:paraId="213E7653" w14:textId="77777777" w:rsidR="00D274D2" w:rsidRPr="005D4222" w:rsidRDefault="00D274D2" w:rsidP="00A53E8C">
            <w:pPr>
              <w:pStyle w:val="TableText"/>
              <w:rPr>
                <w:kern w:val="20"/>
              </w:rPr>
            </w:pPr>
          </w:p>
        </w:tc>
        <w:tc>
          <w:tcPr>
            <w:tcW w:w="0" w:type="auto"/>
            <w:tcBorders>
              <w:top w:val="single" w:sz="4" w:space="0" w:color="000000" w:themeColor="text1"/>
              <w:left w:val="nil"/>
              <w:bottom w:val="nil"/>
              <w:right w:val="nil"/>
            </w:tcBorders>
            <w:shd w:val="clear" w:color="auto" w:fill="FFFFFF" w:themeFill="background1"/>
          </w:tcPr>
          <w:p w14:paraId="744E1A94" w14:textId="77777777" w:rsidR="00D274D2" w:rsidRPr="005D4222" w:rsidRDefault="00D274D2" w:rsidP="00A53E8C">
            <w:pPr>
              <w:pStyle w:val="TableText"/>
              <w:rPr>
                <w:rFonts w:eastAsia="Wingdings"/>
                <w:kern w:val="20"/>
              </w:rPr>
            </w:pPr>
          </w:p>
        </w:tc>
      </w:tr>
      <w:tr w:rsidR="004E7974" w:rsidRPr="005D4222" w14:paraId="31541BFA" w14:textId="77777777" w:rsidTr="00A53E8C">
        <w:tc>
          <w:tcPr>
            <w:tcW w:w="0" w:type="auto"/>
            <w:tcBorders>
              <w:top w:val="nil"/>
              <w:left w:val="nil"/>
              <w:bottom w:val="nil"/>
              <w:right w:val="single" w:sz="4" w:space="0" w:color="000000" w:themeColor="text1"/>
            </w:tcBorders>
            <w:shd w:val="clear" w:color="auto" w:fill="FFFFFF" w:themeFill="background1"/>
          </w:tcPr>
          <w:p w14:paraId="0BFE6EF4" w14:textId="77777777" w:rsidR="00D274D2" w:rsidRPr="005D4222" w:rsidRDefault="00D274D2" w:rsidP="00A53E8C">
            <w:pPr>
              <w:pStyle w:val="TableText"/>
              <w:rPr>
                <w:kern w:val="20"/>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AF33F36" w14:textId="77777777" w:rsidR="00D274D2" w:rsidRPr="005D4222" w:rsidRDefault="00D274D2" w:rsidP="00A53E8C">
            <w:pPr>
              <w:pStyle w:val="TableText"/>
              <w:rPr>
                <w:kern w:val="20"/>
              </w:rPr>
            </w:pPr>
            <w:r w:rsidRPr="005D4222">
              <w:rPr>
                <w:kern w:val="20"/>
              </w:rPr>
              <w:t>DirectTotal</w:t>
            </w:r>
          </w:p>
        </w:tc>
        <w:tc>
          <w:tcPr>
            <w:tcW w:w="0" w:type="auto"/>
            <w:tcBorders>
              <w:top w:val="nil"/>
              <w:left w:val="single" w:sz="4" w:space="0" w:color="000000" w:themeColor="text1"/>
              <w:bottom w:val="nil"/>
              <w:right w:val="nil"/>
            </w:tcBorders>
            <w:shd w:val="clear" w:color="auto" w:fill="FFFFFF" w:themeFill="background1"/>
          </w:tcPr>
          <w:p w14:paraId="20CCD9C7" w14:textId="77777777" w:rsidR="00D274D2" w:rsidRPr="005D4222" w:rsidRDefault="00D274D2" w:rsidP="00A53E8C">
            <w:pPr>
              <w:pStyle w:val="TableText"/>
              <w:rPr>
                <w:kern w:val="20"/>
              </w:rPr>
            </w:pPr>
          </w:p>
        </w:tc>
        <w:tc>
          <w:tcPr>
            <w:tcW w:w="0" w:type="auto"/>
            <w:tcBorders>
              <w:top w:val="nil"/>
              <w:left w:val="nil"/>
              <w:bottom w:val="nil"/>
              <w:right w:val="nil"/>
            </w:tcBorders>
            <w:shd w:val="clear" w:color="auto" w:fill="FFFFFF" w:themeFill="background1"/>
          </w:tcPr>
          <w:p w14:paraId="6DCB74FE" w14:textId="77777777" w:rsidR="00D274D2" w:rsidRPr="005D4222" w:rsidRDefault="00D274D2" w:rsidP="00A53E8C">
            <w:pPr>
              <w:pStyle w:val="TableText"/>
              <w:rPr>
                <w:rFonts w:eastAsia="Wingdings"/>
                <w:kern w:val="20"/>
              </w:rPr>
            </w:pPr>
          </w:p>
        </w:tc>
      </w:tr>
      <w:tr w:rsidR="004E7974" w:rsidRPr="005D4222" w14:paraId="0C9923D8" w14:textId="77777777" w:rsidTr="00A53E8C">
        <w:tc>
          <w:tcPr>
            <w:tcW w:w="0" w:type="auto"/>
            <w:tcBorders>
              <w:top w:val="nil"/>
              <w:left w:val="nil"/>
              <w:bottom w:val="nil"/>
              <w:right w:val="single" w:sz="4" w:space="0" w:color="000000" w:themeColor="text1"/>
            </w:tcBorders>
            <w:shd w:val="clear" w:color="auto" w:fill="FFFFFF" w:themeFill="background1"/>
          </w:tcPr>
          <w:p w14:paraId="02C20849" w14:textId="77777777" w:rsidR="00D274D2" w:rsidRPr="005D4222" w:rsidRDefault="00D274D2" w:rsidP="00A53E8C">
            <w:pPr>
              <w:pStyle w:val="TableText"/>
              <w:rPr>
                <w:kern w:val="20"/>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8C4906A" w14:textId="77777777" w:rsidR="00D274D2" w:rsidRPr="005D4222" w:rsidRDefault="00D274D2" w:rsidP="00A53E8C">
            <w:pPr>
              <w:pStyle w:val="TableText"/>
              <w:rPr>
                <w:kern w:val="20"/>
              </w:rPr>
            </w:pPr>
            <w:r w:rsidRPr="005D4222">
              <w:rPr>
                <w:kern w:val="20"/>
              </w:rPr>
              <w:t>Imputed</w:t>
            </w:r>
          </w:p>
        </w:tc>
        <w:tc>
          <w:tcPr>
            <w:tcW w:w="0" w:type="auto"/>
            <w:tcBorders>
              <w:top w:val="nil"/>
              <w:left w:val="single" w:sz="4" w:space="0" w:color="000000" w:themeColor="text1"/>
              <w:bottom w:val="nil"/>
              <w:right w:val="nil"/>
            </w:tcBorders>
            <w:shd w:val="clear" w:color="auto" w:fill="FFFFFF" w:themeFill="background1"/>
          </w:tcPr>
          <w:p w14:paraId="57E51FAE" w14:textId="77777777" w:rsidR="00D274D2" w:rsidRPr="005D4222" w:rsidRDefault="00D274D2" w:rsidP="00A53E8C">
            <w:pPr>
              <w:pStyle w:val="TableText"/>
              <w:rPr>
                <w:kern w:val="20"/>
              </w:rPr>
            </w:pPr>
          </w:p>
        </w:tc>
        <w:tc>
          <w:tcPr>
            <w:tcW w:w="0" w:type="auto"/>
            <w:tcBorders>
              <w:top w:val="nil"/>
              <w:left w:val="nil"/>
              <w:bottom w:val="nil"/>
              <w:right w:val="nil"/>
            </w:tcBorders>
            <w:shd w:val="clear" w:color="auto" w:fill="FFFFFF" w:themeFill="background1"/>
          </w:tcPr>
          <w:p w14:paraId="0BFD39A5" w14:textId="77777777" w:rsidR="00D274D2" w:rsidRPr="005D4222" w:rsidRDefault="00D274D2" w:rsidP="00A53E8C">
            <w:pPr>
              <w:pStyle w:val="TableText"/>
              <w:rPr>
                <w:rFonts w:eastAsia="Wingdings"/>
                <w:kern w:val="20"/>
              </w:rPr>
            </w:pPr>
          </w:p>
        </w:tc>
      </w:tr>
      <w:tr w:rsidR="004E7974" w:rsidRPr="005D4222" w14:paraId="6BB85D49" w14:textId="77777777" w:rsidTr="00A53E8C">
        <w:tc>
          <w:tcPr>
            <w:tcW w:w="0" w:type="auto"/>
            <w:tcBorders>
              <w:top w:val="nil"/>
              <w:left w:val="nil"/>
              <w:bottom w:val="nil"/>
              <w:right w:val="single" w:sz="4" w:space="0" w:color="000000" w:themeColor="text1"/>
            </w:tcBorders>
            <w:shd w:val="clear" w:color="auto" w:fill="FFFFFF" w:themeFill="background1"/>
          </w:tcPr>
          <w:p w14:paraId="6A00D215" w14:textId="77777777" w:rsidR="00D274D2" w:rsidRPr="005D4222" w:rsidRDefault="00D274D2" w:rsidP="00A53E8C">
            <w:pPr>
              <w:pStyle w:val="TableText"/>
              <w:rPr>
                <w:kern w:val="20"/>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C886DCF" w14:textId="77777777" w:rsidR="00D274D2" w:rsidRPr="005D4222" w:rsidRDefault="00D274D2" w:rsidP="00A53E8C">
            <w:pPr>
              <w:pStyle w:val="TableText"/>
              <w:rPr>
                <w:kern w:val="20"/>
              </w:rPr>
            </w:pPr>
            <w:r w:rsidRPr="005D4222">
              <w:rPr>
                <w:kern w:val="20"/>
              </w:rPr>
              <w:t>Unknown</w:t>
            </w:r>
          </w:p>
        </w:tc>
        <w:tc>
          <w:tcPr>
            <w:tcW w:w="0" w:type="auto"/>
            <w:tcBorders>
              <w:top w:val="nil"/>
              <w:left w:val="single" w:sz="4" w:space="0" w:color="000000" w:themeColor="text1"/>
              <w:bottom w:val="nil"/>
              <w:right w:val="nil"/>
            </w:tcBorders>
            <w:shd w:val="clear" w:color="auto" w:fill="FFFFFF" w:themeFill="background1"/>
          </w:tcPr>
          <w:p w14:paraId="58E9738B" w14:textId="77777777" w:rsidR="00D274D2" w:rsidRPr="005D4222" w:rsidRDefault="00D274D2" w:rsidP="00A53E8C">
            <w:pPr>
              <w:pStyle w:val="TableText"/>
              <w:rPr>
                <w:kern w:val="20"/>
              </w:rPr>
            </w:pPr>
          </w:p>
        </w:tc>
        <w:tc>
          <w:tcPr>
            <w:tcW w:w="0" w:type="auto"/>
            <w:tcBorders>
              <w:top w:val="nil"/>
              <w:left w:val="nil"/>
              <w:bottom w:val="nil"/>
              <w:right w:val="nil"/>
            </w:tcBorders>
            <w:shd w:val="clear" w:color="auto" w:fill="FFFFFF" w:themeFill="background1"/>
          </w:tcPr>
          <w:p w14:paraId="0F027111" w14:textId="77777777" w:rsidR="00D274D2" w:rsidRPr="005D4222" w:rsidRDefault="00D274D2" w:rsidP="00A53E8C">
            <w:pPr>
              <w:pStyle w:val="TableText"/>
              <w:rPr>
                <w:rFonts w:eastAsia="Wingdings"/>
                <w:kern w:val="20"/>
              </w:rPr>
            </w:pPr>
          </w:p>
        </w:tc>
      </w:tr>
      <w:tr w:rsidR="004E7974" w:rsidRPr="005D4222" w14:paraId="387594D7" w14:textId="77777777" w:rsidTr="00A53E8C">
        <w:tc>
          <w:tcPr>
            <w:tcW w:w="0" w:type="auto"/>
            <w:tcBorders>
              <w:top w:val="nil"/>
              <w:left w:val="nil"/>
              <w:bottom w:val="nil"/>
              <w:right w:val="single" w:sz="4" w:space="0" w:color="000000" w:themeColor="text1"/>
            </w:tcBorders>
            <w:shd w:val="clear" w:color="auto" w:fill="FFFFFF" w:themeFill="background1"/>
          </w:tcPr>
          <w:p w14:paraId="1ADF97A2" w14:textId="77777777" w:rsidR="00D274D2" w:rsidRPr="005D4222" w:rsidRDefault="00D274D2" w:rsidP="00A53E8C">
            <w:pPr>
              <w:pStyle w:val="TableText"/>
              <w:rPr>
                <w:kern w:val="20"/>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EC8DABA" w14:textId="77777777" w:rsidR="00D274D2" w:rsidRPr="005D4222" w:rsidRDefault="00D274D2" w:rsidP="00A53E8C">
            <w:pPr>
              <w:pStyle w:val="TableText"/>
              <w:rPr>
                <w:kern w:val="20"/>
              </w:rPr>
            </w:pPr>
            <w:r w:rsidRPr="005D4222">
              <w:rPr>
                <w:kern w:val="20"/>
              </w:rPr>
              <w:t>NoData</w:t>
            </w:r>
          </w:p>
        </w:tc>
        <w:tc>
          <w:tcPr>
            <w:tcW w:w="0" w:type="auto"/>
            <w:tcBorders>
              <w:top w:val="nil"/>
              <w:left w:val="single" w:sz="4" w:space="0" w:color="000000" w:themeColor="text1"/>
              <w:bottom w:val="nil"/>
              <w:right w:val="nil"/>
            </w:tcBorders>
            <w:shd w:val="clear" w:color="auto" w:fill="FFFFFF" w:themeFill="background1"/>
          </w:tcPr>
          <w:p w14:paraId="4A7BBFE0" w14:textId="77777777" w:rsidR="00D274D2" w:rsidRPr="005D4222" w:rsidRDefault="00D274D2" w:rsidP="00A53E8C">
            <w:pPr>
              <w:pStyle w:val="TableText"/>
              <w:rPr>
                <w:kern w:val="20"/>
              </w:rPr>
            </w:pPr>
          </w:p>
        </w:tc>
        <w:tc>
          <w:tcPr>
            <w:tcW w:w="0" w:type="auto"/>
            <w:tcBorders>
              <w:top w:val="nil"/>
              <w:left w:val="nil"/>
              <w:bottom w:val="nil"/>
              <w:right w:val="nil"/>
            </w:tcBorders>
            <w:shd w:val="clear" w:color="auto" w:fill="FFFFFF" w:themeFill="background1"/>
          </w:tcPr>
          <w:p w14:paraId="087CD7F5" w14:textId="77777777" w:rsidR="00D274D2" w:rsidRPr="005D4222" w:rsidRDefault="00D274D2" w:rsidP="00A53E8C">
            <w:pPr>
              <w:pStyle w:val="TableText"/>
              <w:rPr>
                <w:rFonts w:eastAsia="Wingdings"/>
                <w:kern w:val="20"/>
              </w:rPr>
            </w:pPr>
          </w:p>
        </w:tc>
      </w:tr>
    </w:tbl>
    <w:p w14:paraId="11DBD6D9" w14:textId="77777777" w:rsidR="00D274D2" w:rsidRPr="005D4222" w:rsidRDefault="00D274D2" w:rsidP="00D274D2">
      <w:pPr>
        <w:pBdr>
          <w:bottom w:val="single" w:sz="6" w:space="2" w:color="auto"/>
        </w:pBdr>
        <w:spacing w:before="280"/>
        <w:rPr>
          <w:b/>
          <w:i/>
          <w:iCs/>
          <w:kern w:val="20"/>
          <w:sz w:val="22"/>
        </w:rPr>
      </w:pPr>
      <w:r w:rsidRPr="005D4222">
        <w:rPr>
          <w:b/>
          <w:i/>
          <w:iCs/>
          <w:kern w:val="20"/>
          <w:sz w:val="22"/>
        </w:rPr>
        <w:br w:type="page"/>
      </w:r>
    </w:p>
    <w:p w14:paraId="39CDF509" w14:textId="77777777" w:rsidR="00D274D2" w:rsidRPr="005D4222" w:rsidRDefault="00D274D2" w:rsidP="00D274D2">
      <w:pPr>
        <w:pStyle w:val="SubHeadNoTOC"/>
      </w:pPr>
      <w:r w:rsidRPr="005D4222">
        <w:rPr>
          <w:bCs/>
          <w:i/>
          <w:kern w:val="20"/>
        </w:rPr>
        <w:lastRenderedPageBreak/>
        <w:t>Note</w:t>
      </w:r>
      <w:r w:rsidRPr="005D4222">
        <w:rPr>
          <w:i/>
          <w:kern w:val="20"/>
        </w:rPr>
        <w:t xml:space="preserve"> </w:t>
      </w:r>
    </w:p>
    <w:p w14:paraId="2D3E2892" w14:textId="77777777" w:rsidR="00D274D2" w:rsidRPr="005D4222" w:rsidRDefault="00D274D2" w:rsidP="005D6173">
      <w:pPr>
        <w:pStyle w:val="ProcessBullet"/>
        <w:numPr>
          <w:ilvl w:val="0"/>
          <w:numId w:val="134"/>
        </w:numPr>
        <w:tabs>
          <w:tab w:val="left" w:pos="216"/>
        </w:tabs>
        <w:spacing w:before="120"/>
        <w:ind w:left="216" w:hanging="216"/>
        <w:rPr>
          <w:i/>
          <w:iCs/>
          <w:kern w:val="20"/>
        </w:rPr>
      </w:pPr>
      <w:r w:rsidRPr="005D4222">
        <w:rPr>
          <w:i/>
          <w:iCs/>
          <w:kern w:val="20"/>
        </w:rPr>
        <w:t xml:space="preserve">Percentages include the sum of all race and ethnicity response options, which does not include “Unknown.” The “Asked But No Answer” response option is included in the Direct Data Collection Method percentages because it indicates that the organization asked about the member’s race/ ethnicity. The “Asked But No Answer” category is </w:t>
      </w:r>
      <w:r w:rsidRPr="005D4222">
        <w:rPr>
          <w:i/>
          <w:iCs/>
        </w:rPr>
        <w:t>only</w:t>
      </w:r>
      <w:r w:rsidRPr="005D4222">
        <w:rPr>
          <w:i/>
          <w:iCs/>
          <w:kern w:val="20"/>
        </w:rPr>
        <w:t xml:space="preserve"> reported using</w:t>
      </w:r>
      <w:r w:rsidRPr="005D4222">
        <w:rPr>
          <w:i/>
          <w:iCs/>
        </w:rPr>
        <w:t xml:space="preserve"> direct</w:t>
      </w:r>
      <w:r w:rsidRPr="005D4222">
        <w:rPr>
          <w:i/>
          <w:iCs/>
          <w:kern w:val="20"/>
        </w:rPr>
        <w:t xml:space="preserve"> data. “Unknown” includes members for whom the organization did not obtain race/ethnicity information and for whom the organization did not receive a declined response (i.e., “Asked But No Answer”). </w:t>
      </w:r>
      <w:r w:rsidRPr="005D4222">
        <w:rPr>
          <w:i/>
          <w:iCs/>
        </w:rPr>
        <w:t>The “Unknown” category is only reported using the no data category for data source, as “unknown” values cannot be attributed to a particular data source.</w:t>
      </w:r>
    </w:p>
    <w:p w14:paraId="44A73BC3" w14:textId="77777777" w:rsidR="00D274D2" w:rsidRPr="005D4222" w:rsidRDefault="00D274D2" w:rsidP="005D6173">
      <w:pPr>
        <w:pStyle w:val="ProcessBullet"/>
        <w:numPr>
          <w:ilvl w:val="0"/>
          <w:numId w:val="134"/>
        </w:numPr>
        <w:tabs>
          <w:tab w:val="left" w:pos="216"/>
        </w:tabs>
        <w:ind w:left="216" w:hanging="216"/>
        <w:rPr>
          <w:rFonts w:eastAsia="Arial"/>
          <w:i/>
          <w:iCs/>
          <w:kern w:val="20"/>
        </w:rPr>
      </w:pPr>
      <w:r w:rsidRPr="005D4222">
        <w:rPr>
          <w:i/>
          <w:iCs/>
          <w:kern w:val="20"/>
        </w:rPr>
        <w:t>The DirectTotal count is the sum of HealthPlan</w:t>
      </w:r>
      <w:r w:rsidRPr="005D4222">
        <w:rPr>
          <w:i/>
          <w:iCs/>
        </w:rPr>
        <w:t>Collected</w:t>
      </w:r>
      <w:r w:rsidRPr="005D4222">
        <w:rPr>
          <w:i/>
          <w:iCs/>
          <w:kern w:val="20"/>
        </w:rPr>
        <w:t xml:space="preserve">, </w:t>
      </w:r>
      <w:r w:rsidRPr="005D4222">
        <w:rPr>
          <w:i/>
          <w:iCs/>
        </w:rPr>
        <w:t xml:space="preserve">EnrollmentFiles </w:t>
      </w:r>
      <w:r w:rsidRPr="005D4222">
        <w:rPr>
          <w:i/>
          <w:iCs/>
          <w:kern w:val="20"/>
        </w:rPr>
        <w:t>and Other.</w:t>
      </w:r>
    </w:p>
    <w:p w14:paraId="5EAC6FB2" w14:textId="77777777" w:rsidR="00D274D2" w:rsidRPr="005D4222" w:rsidRDefault="00D274D2" w:rsidP="005D6173">
      <w:pPr>
        <w:pStyle w:val="ProcessBullet"/>
        <w:numPr>
          <w:ilvl w:val="0"/>
          <w:numId w:val="134"/>
        </w:numPr>
        <w:tabs>
          <w:tab w:val="left" w:pos="216"/>
        </w:tabs>
        <w:ind w:left="216" w:hanging="216"/>
        <w:rPr>
          <w:i/>
          <w:iCs/>
          <w:kern w:val="20"/>
        </w:rPr>
      </w:pPr>
      <w:r w:rsidRPr="005D4222">
        <w:rPr>
          <w:i/>
          <w:iCs/>
          <w:kern w:val="20"/>
        </w:rPr>
        <w:t xml:space="preserve">The total member counts (DirectTotal + </w:t>
      </w:r>
      <w:r w:rsidRPr="005D4222">
        <w:rPr>
          <w:i/>
          <w:iCs/>
        </w:rPr>
        <w:t xml:space="preserve">Imputed </w:t>
      </w:r>
      <w:r w:rsidRPr="005D4222">
        <w:rPr>
          <w:i/>
          <w:iCs/>
          <w:kern w:val="20"/>
        </w:rPr>
        <w:t>+ Unknown + No Data) for the Source of Race Information table must be identical to the total member count for the Source of Ethnicity Information table and the total member count for Table RDM-B-1/2/3.</w:t>
      </w:r>
    </w:p>
    <w:p w14:paraId="1845E0EC" w14:textId="77777777" w:rsidR="00D274D2" w:rsidRPr="005D4222" w:rsidRDefault="00D274D2" w:rsidP="005D6173">
      <w:pPr>
        <w:pStyle w:val="ProcessBullet"/>
        <w:numPr>
          <w:ilvl w:val="0"/>
          <w:numId w:val="134"/>
        </w:numPr>
        <w:tabs>
          <w:tab w:val="left" w:pos="216"/>
        </w:tabs>
        <w:ind w:left="216" w:hanging="216"/>
        <w:rPr>
          <w:i/>
          <w:iCs/>
          <w:kern w:val="20"/>
        </w:rPr>
      </w:pPr>
      <w:r w:rsidRPr="005D4222">
        <w:rPr>
          <w:i/>
          <w:iCs/>
          <w:kern w:val="20"/>
        </w:rPr>
        <w:t>The HealthPlanCollected data source category within DirectTotal includes gold-standard, member self-reported data that are collected in house by the health plan, which in this case has full control over the method by which the data are obtained (i.e., the member self-reported data sources do not capture data obtained through an intermediary or third party organization).</w:t>
      </w:r>
    </w:p>
    <w:p w14:paraId="4BD28EBB" w14:textId="77777777" w:rsidR="00D274D2" w:rsidRPr="005D4222" w:rsidRDefault="00D274D2" w:rsidP="005D6173">
      <w:pPr>
        <w:pStyle w:val="ProcessBullet"/>
        <w:numPr>
          <w:ilvl w:val="0"/>
          <w:numId w:val="134"/>
        </w:numPr>
        <w:tabs>
          <w:tab w:val="left" w:pos="216"/>
        </w:tabs>
        <w:ind w:left="216" w:hanging="216"/>
        <w:rPr>
          <w:i/>
          <w:iCs/>
          <w:kern w:val="20"/>
        </w:rPr>
      </w:pPr>
      <w:r w:rsidRPr="005D4222">
        <w:rPr>
          <w:i/>
          <w:iCs/>
          <w:kern w:val="20"/>
        </w:rPr>
        <w:t xml:space="preserve">“Unknown” data source category includes data for which the plan has a recorded race or ethnicity value but no recorded source (i.e., cases where an organization has a race or ethnicity value on file from a legacy system, but does not know the source). </w:t>
      </w:r>
    </w:p>
    <w:p w14:paraId="67BA8355" w14:textId="77777777" w:rsidR="00D274D2" w:rsidRPr="005D4222" w:rsidRDefault="00D274D2" w:rsidP="005D6173">
      <w:pPr>
        <w:pStyle w:val="ProcessBullet"/>
        <w:numPr>
          <w:ilvl w:val="0"/>
          <w:numId w:val="134"/>
        </w:numPr>
        <w:tabs>
          <w:tab w:val="left" w:pos="216"/>
        </w:tabs>
        <w:ind w:left="216" w:hanging="216"/>
        <w:rPr>
          <w:i/>
          <w:iCs/>
          <w:kern w:val="20"/>
        </w:rPr>
      </w:pPr>
      <w:r w:rsidRPr="005D4222">
        <w:rPr>
          <w:i/>
          <w:iCs/>
        </w:rPr>
        <w:t xml:space="preserve">Any data reported via the no data category reflects instances where the organization did not obtain race or ethnicity information and did not obtain source information. </w:t>
      </w:r>
    </w:p>
    <w:p w14:paraId="794D4731" w14:textId="77777777" w:rsidR="00D274D2" w:rsidRPr="005D4222" w:rsidRDefault="00D274D2" w:rsidP="005D6173">
      <w:pPr>
        <w:pStyle w:val="ProcessBullet"/>
        <w:numPr>
          <w:ilvl w:val="0"/>
          <w:numId w:val="134"/>
        </w:numPr>
        <w:tabs>
          <w:tab w:val="left" w:pos="216"/>
        </w:tabs>
        <w:ind w:left="216" w:hanging="216"/>
        <w:rPr>
          <w:i/>
          <w:iCs/>
          <w:kern w:val="20"/>
        </w:rPr>
      </w:pPr>
      <w:r w:rsidRPr="005D4222">
        <w:rPr>
          <w:i/>
          <w:iCs/>
          <w:kern w:val="20"/>
        </w:rPr>
        <w:t>Prioritize data sources as specified in the measure.</w:t>
      </w:r>
    </w:p>
    <w:p w14:paraId="24B1118C" w14:textId="77777777" w:rsidR="00D274D2" w:rsidRPr="005D4222" w:rsidRDefault="00D274D2" w:rsidP="00D274D2">
      <w:pPr>
        <w:keepNext/>
        <w:spacing w:before="240" w:after="60"/>
        <w:outlineLvl w:val="2"/>
        <w:rPr>
          <w:rFonts w:cs="Arial"/>
          <w:b/>
          <w:i/>
          <w:kern w:val="20"/>
          <w:sz w:val="18"/>
          <w:szCs w:val="18"/>
        </w:rPr>
      </w:pPr>
      <w:r w:rsidRPr="005D4222">
        <w:rPr>
          <w:rFonts w:cs="Arial"/>
          <w:b/>
          <w:i/>
          <w:iCs/>
          <w:kern w:val="20"/>
          <w:sz w:val="18"/>
          <w:szCs w:val="18"/>
        </w:rPr>
        <w:t>Table RDM-B-1/2/3: Race/Ethnicity Categories Reported</w:t>
      </w:r>
    </w:p>
    <w:tbl>
      <w:tblPr>
        <w:tblW w:w="980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8" w:type="dxa"/>
          <w:right w:w="58" w:type="dxa"/>
        </w:tblCellMar>
        <w:tblLook w:val="0000" w:firstRow="0" w:lastRow="0" w:firstColumn="0" w:lastColumn="0" w:noHBand="0" w:noVBand="0"/>
      </w:tblPr>
      <w:tblGrid>
        <w:gridCol w:w="1169"/>
        <w:gridCol w:w="3146"/>
        <w:gridCol w:w="1980"/>
        <w:gridCol w:w="1440"/>
        <w:gridCol w:w="2070"/>
      </w:tblGrid>
      <w:tr w:rsidR="00D274D2" w:rsidRPr="005D4222" w14:paraId="33FEE52B" w14:textId="77777777" w:rsidTr="00A53E8C">
        <w:tc>
          <w:tcPr>
            <w:tcW w:w="1169" w:type="dxa"/>
            <w:tcBorders>
              <w:top w:val="single" w:sz="4" w:space="0" w:color="000000" w:themeColor="text1"/>
              <w:left w:val="single" w:sz="4" w:space="0" w:color="auto"/>
              <w:bottom w:val="single" w:sz="4" w:space="0" w:color="auto"/>
              <w:right w:val="single" w:sz="4" w:space="0" w:color="FFFFFF" w:themeColor="background1"/>
            </w:tcBorders>
            <w:shd w:val="clear" w:color="auto" w:fill="000000" w:themeFill="text1"/>
          </w:tcPr>
          <w:p w14:paraId="37FAED52" w14:textId="77777777" w:rsidR="00D274D2" w:rsidRPr="005D4222" w:rsidRDefault="00D274D2" w:rsidP="00A53E8C">
            <w:pPr>
              <w:pStyle w:val="TableHead"/>
              <w:rPr>
                <w:color w:val="auto"/>
                <w:kern w:val="20"/>
              </w:rPr>
            </w:pPr>
            <w:r w:rsidRPr="005D4222">
              <w:rPr>
                <w:color w:val="auto"/>
                <w:kern w:val="20"/>
              </w:rPr>
              <w:t>Metric</w:t>
            </w:r>
          </w:p>
        </w:tc>
        <w:tc>
          <w:tcPr>
            <w:tcW w:w="3146" w:type="dxa"/>
            <w:tcBorders>
              <w:top w:val="single" w:sz="4" w:space="0" w:color="000000" w:themeColor="text1"/>
              <w:left w:val="single" w:sz="4" w:space="0" w:color="FFFFFF" w:themeColor="background1"/>
              <w:bottom w:val="single" w:sz="4" w:space="0" w:color="auto"/>
              <w:right w:val="single" w:sz="4" w:space="0" w:color="FFFFFF" w:themeColor="background1"/>
            </w:tcBorders>
            <w:shd w:val="clear" w:color="auto" w:fill="000000" w:themeFill="text1"/>
          </w:tcPr>
          <w:p w14:paraId="306F24E1" w14:textId="77777777" w:rsidR="00D274D2" w:rsidRPr="005D4222" w:rsidRDefault="00D274D2" w:rsidP="00A53E8C">
            <w:pPr>
              <w:pStyle w:val="TableHead"/>
              <w:rPr>
                <w:color w:val="auto"/>
                <w:kern w:val="20"/>
              </w:rPr>
            </w:pPr>
            <w:r w:rsidRPr="005D4222">
              <w:rPr>
                <w:color w:val="auto"/>
                <w:kern w:val="20"/>
              </w:rPr>
              <w:t>Race</w:t>
            </w:r>
          </w:p>
        </w:tc>
        <w:tc>
          <w:tcPr>
            <w:tcW w:w="198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Pr>
          <w:p w14:paraId="32E68728" w14:textId="77777777" w:rsidR="00D274D2" w:rsidRPr="005D4222" w:rsidRDefault="00D274D2" w:rsidP="00A53E8C">
            <w:pPr>
              <w:pStyle w:val="TableHead"/>
              <w:rPr>
                <w:color w:val="auto"/>
                <w:kern w:val="20"/>
              </w:rPr>
            </w:pPr>
            <w:r w:rsidRPr="005D4222">
              <w:rPr>
                <w:color w:val="auto"/>
                <w:kern w:val="20"/>
              </w:rPr>
              <w:t>Ethnicity</w:t>
            </w:r>
          </w:p>
        </w:tc>
        <w:tc>
          <w:tcPr>
            <w:tcW w:w="144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000000" w:themeFill="text1"/>
          </w:tcPr>
          <w:p w14:paraId="50DBE4F1" w14:textId="77777777" w:rsidR="00D274D2" w:rsidRPr="005D4222" w:rsidRDefault="00D274D2" w:rsidP="00A53E8C">
            <w:pPr>
              <w:pStyle w:val="TableHead"/>
              <w:rPr>
                <w:color w:val="auto"/>
                <w:kern w:val="20"/>
              </w:rPr>
            </w:pPr>
            <w:r w:rsidRPr="005D4222">
              <w:rPr>
                <w:color w:val="auto"/>
                <w:kern w:val="20"/>
              </w:rPr>
              <w:t>Data Element</w:t>
            </w:r>
          </w:p>
        </w:tc>
        <w:tc>
          <w:tcPr>
            <w:tcW w:w="2070"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000000" w:themeFill="text1"/>
          </w:tcPr>
          <w:p w14:paraId="1EEAE278" w14:textId="77777777" w:rsidR="00D274D2" w:rsidRPr="005D4222" w:rsidRDefault="00D274D2" w:rsidP="00A53E8C">
            <w:pPr>
              <w:pStyle w:val="TableHead"/>
              <w:rPr>
                <w:color w:val="auto"/>
                <w:kern w:val="20"/>
              </w:rPr>
            </w:pPr>
            <w:r w:rsidRPr="005D4222">
              <w:rPr>
                <w:color w:val="auto"/>
                <w:kern w:val="20"/>
              </w:rPr>
              <w:t>Reporting Instructions</w:t>
            </w:r>
          </w:p>
        </w:tc>
      </w:tr>
      <w:tr w:rsidR="00D274D2" w:rsidRPr="005D4222" w14:paraId="5CD2C4EC" w14:textId="77777777" w:rsidTr="00A53E8C">
        <w:tc>
          <w:tcPr>
            <w:tcW w:w="1169" w:type="dxa"/>
            <w:tcBorders>
              <w:top w:val="single" w:sz="4" w:space="0" w:color="auto"/>
              <w:left w:val="single" w:sz="4" w:space="0" w:color="auto"/>
              <w:bottom w:val="single" w:sz="4" w:space="0" w:color="auto"/>
              <w:right w:val="single" w:sz="4" w:space="0" w:color="auto"/>
            </w:tcBorders>
          </w:tcPr>
          <w:p w14:paraId="54AA78B6" w14:textId="77777777" w:rsidR="00D274D2" w:rsidRPr="005D4222" w:rsidRDefault="00D274D2" w:rsidP="00A53E8C">
            <w:pPr>
              <w:pStyle w:val="TableText"/>
              <w:rPr>
                <w:kern w:val="20"/>
              </w:rPr>
            </w:pPr>
            <w:r w:rsidRPr="005D4222">
              <w:rPr>
                <w:kern w:val="20"/>
              </w:rPr>
              <w:t>RaceEthnicity</w:t>
            </w:r>
          </w:p>
        </w:tc>
        <w:tc>
          <w:tcPr>
            <w:tcW w:w="3146" w:type="dxa"/>
            <w:tcBorders>
              <w:top w:val="single" w:sz="4" w:space="0" w:color="auto"/>
              <w:left w:val="single" w:sz="4" w:space="0" w:color="auto"/>
              <w:bottom w:val="single" w:sz="4" w:space="0" w:color="auto"/>
              <w:right w:val="single" w:sz="4" w:space="0" w:color="auto"/>
            </w:tcBorders>
          </w:tcPr>
          <w:p w14:paraId="2AE5D302" w14:textId="77777777" w:rsidR="00D274D2" w:rsidRPr="005D4222" w:rsidRDefault="00D274D2" w:rsidP="00A53E8C">
            <w:pPr>
              <w:pStyle w:val="TableText"/>
              <w:rPr>
                <w:kern w:val="20"/>
              </w:rPr>
            </w:pPr>
            <w:r w:rsidRPr="005D4222">
              <w:rPr>
                <w:kern w:val="20"/>
              </w:rPr>
              <w:t>AmericanIndianOrAlaskaNative</w:t>
            </w:r>
          </w:p>
        </w:tc>
        <w:tc>
          <w:tcPr>
            <w:tcW w:w="1980" w:type="dxa"/>
            <w:tcBorders>
              <w:top w:val="single" w:sz="4" w:space="0" w:color="000000" w:themeColor="text1"/>
              <w:left w:val="single" w:sz="4" w:space="0" w:color="auto"/>
              <w:bottom w:val="single" w:sz="4" w:space="0" w:color="000000" w:themeColor="text1"/>
              <w:right w:val="single" w:sz="4" w:space="0" w:color="auto"/>
            </w:tcBorders>
          </w:tcPr>
          <w:p w14:paraId="4DDCB4FD" w14:textId="77777777" w:rsidR="00D274D2" w:rsidRPr="005D4222" w:rsidRDefault="00D274D2" w:rsidP="00A53E8C">
            <w:pPr>
              <w:pStyle w:val="TableText"/>
              <w:rPr>
                <w:kern w:val="20"/>
              </w:rPr>
            </w:pPr>
            <w:r w:rsidRPr="005D4222">
              <w:rPr>
                <w:kern w:val="20"/>
              </w:rPr>
              <w:t>HispanicOrLatino</w:t>
            </w:r>
          </w:p>
        </w:tc>
        <w:tc>
          <w:tcPr>
            <w:tcW w:w="1440" w:type="dxa"/>
            <w:tcBorders>
              <w:top w:val="single" w:sz="4" w:space="0" w:color="000000" w:themeColor="text1"/>
              <w:left w:val="single" w:sz="4" w:space="0" w:color="auto"/>
              <w:bottom w:val="single" w:sz="4" w:space="0" w:color="000000" w:themeColor="text1"/>
              <w:right w:val="single" w:sz="4" w:space="0" w:color="auto"/>
            </w:tcBorders>
          </w:tcPr>
          <w:p w14:paraId="27182FC5" w14:textId="77777777" w:rsidR="00D274D2" w:rsidRPr="005D4222" w:rsidRDefault="00D274D2" w:rsidP="00A53E8C">
            <w:pPr>
              <w:pStyle w:val="TableText"/>
              <w:rPr>
                <w:kern w:val="20"/>
              </w:rPr>
            </w:pPr>
            <w:r w:rsidRPr="005D4222">
              <w:rPr>
                <w:kern w:val="20"/>
              </w:rPr>
              <w:t>MemberCount</w:t>
            </w:r>
          </w:p>
        </w:tc>
        <w:tc>
          <w:tcPr>
            <w:tcW w:w="2070" w:type="dxa"/>
            <w:tcBorders>
              <w:top w:val="single" w:sz="4" w:space="0" w:color="000000" w:themeColor="text1"/>
              <w:left w:val="single" w:sz="4" w:space="0" w:color="auto"/>
              <w:bottom w:val="single" w:sz="4" w:space="0" w:color="000000" w:themeColor="text1"/>
              <w:right w:val="single" w:sz="4" w:space="0" w:color="auto"/>
            </w:tcBorders>
          </w:tcPr>
          <w:p w14:paraId="65ED5495" w14:textId="77777777" w:rsidR="00D274D2" w:rsidRPr="005D4222" w:rsidRDefault="00D274D2" w:rsidP="00A53E8C">
            <w:pPr>
              <w:pStyle w:val="TableText"/>
              <w:rPr>
                <w:rFonts w:eastAsia="Wingdings"/>
                <w:kern w:val="20"/>
              </w:rPr>
            </w:pPr>
            <w:r w:rsidRPr="005D4222">
              <w:rPr>
                <w:rFonts w:eastAsia="Wingdings"/>
                <w:kern w:val="20"/>
              </w:rPr>
              <w:t>For each Stratification</w:t>
            </w:r>
          </w:p>
        </w:tc>
      </w:tr>
      <w:tr w:rsidR="00D274D2" w:rsidRPr="005D4222" w14:paraId="2659D08B" w14:textId="77777777" w:rsidTr="007B5FC3">
        <w:tc>
          <w:tcPr>
            <w:tcW w:w="1169" w:type="dxa"/>
            <w:tcBorders>
              <w:top w:val="single" w:sz="4" w:space="0" w:color="auto"/>
              <w:left w:val="nil"/>
              <w:bottom w:val="nil"/>
              <w:right w:val="single" w:sz="4" w:space="0" w:color="auto"/>
            </w:tcBorders>
          </w:tcPr>
          <w:p w14:paraId="1CD9880C" w14:textId="77777777" w:rsidR="00D274D2" w:rsidRPr="005D4222" w:rsidRDefault="00D274D2" w:rsidP="00A53E8C">
            <w:pPr>
              <w:pStyle w:val="TableText"/>
              <w:rPr>
                <w:kern w:val="20"/>
              </w:rPr>
            </w:pPr>
          </w:p>
        </w:tc>
        <w:tc>
          <w:tcPr>
            <w:tcW w:w="3146" w:type="dxa"/>
            <w:tcBorders>
              <w:top w:val="single" w:sz="4" w:space="0" w:color="auto"/>
              <w:left w:val="single" w:sz="4" w:space="0" w:color="auto"/>
              <w:bottom w:val="single" w:sz="4" w:space="0" w:color="auto"/>
              <w:right w:val="single" w:sz="4" w:space="0" w:color="auto"/>
            </w:tcBorders>
            <w:shd w:val="clear" w:color="auto" w:fill="FFFFFF" w:themeFill="background1"/>
          </w:tcPr>
          <w:p w14:paraId="604506EE" w14:textId="77777777" w:rsidR="00D274D2" w:rsidRPr="005D4222" w:rsidRDefault="00D274D2" w:rsidP="00A53E8C">
            <w:pPr>
              <w:pStyle w:val="TableText"/>
              <w:rPr>
                <w:kern w:val="20"/>
              </w:rPr>
            </w:pPr>
            <w:r w:rsidRPr="005D4222">
              <w:rPr>
                <w:kern w:val="20"/>
              </w:rPr>
              <w:t>Asian</w:t>
            </w:r>
          </w:p>
        </w:tc>
        <w:tc>
          <w:tcPr>
            <w:tcW w:w="1980"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FFFFFF" w:themeFill="background1"/>
          </w:tcPr>
          <w:p w14:paraId="5327B8BE" w14:textId="77777777" w:rsidR="00D274D2" w:rsidRPr="005D4222" w:rsidRDefault="00D274D2" w:rsidP="00A53E8C">
            <w:pPr>
              <w:pStyle w:val="TableText"/>
              <w:rPr>
                <w:kern w:val="20"/>
              </w:rPr>
            </w:pPr>
            <w:r w:rsidRPr="005D4222">
              <w:rPr>
                <w:kern w:val="20"/>
              </w:rPr>
              <w:t>NotHispanicOrLatino</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5E73A86" w14:textId="77777777" w:rsidR="00D274D2" w:rsidRPr="005D4222" w:rsidRDefault="00D274D2" w:rsidP="00A53E8C">
            <w:pPr>
              <w:pStyle w:val="TableText"/>
              <w:rPr>
                <w:kern w:val="20"/>
              </w:rPr>
            </w:pPr>
            <w:r w:rsidRPr="005D4222">
              <w:rPr>
                <w:kern w:val="20"/>
              </w:rPr>
              <w:t xml:space="preserve">Rate </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2BCF6EF" w14:textId="77777777" w:rsidR="00D274D2" w:rsidRPr="005D4222" w:rsidRDefault="00D274D2" w:rsidP="00A53E8C">
            <w:pPr>
              <w:pStyle w:val="TableText"/>
              <w:rPr>
                <w:rFonts w:eastAsia="Wingdings"/>
                <w:kern w:val="20"/>
              </w:rPr>
            </w:pPr>
            <w:r w:rsidRPr="005D4222">
              <w:rPr>
                <w:rFonts w:eastAsia="Wingdings"/>
                <w:kern w:val="20"/>
              </w:rPr>
              <w:t>(Percent)</w:t>
            </w:r>
          </w:p>
        </w:tc>
      </w:tr>
      <w:tr w:rsidR="00D274D2" w:rsidRPr="005D4222" w14:paraId="61261370" w14:textId="77777777" w:rsidTr="007B5FC3">
        <w:tc>
          <w:tcPr>
            <w:tcW w:w="1169" w:type="dxa"/>
            <w:tcBorders>
              <w:top w:val="nil"/>
              <w:left w:val="nil"/>
              <w:bottom w:val="nil"/>
              <w:right w:val="single" w:sz="4" w:space="0" w:color="auto"/>
            </w:tcBorders>
          </w:tcPr>
          <w:p w14:paraId="5EA2344C" w14:textId="77777777" w:rsidR="00D274D2" w:rsidRPr="005D4222" w:rsidRDefault="00D274D2" w:rsidP="00A53E8C">
            <w:pPr>
              <w:pStyle w:val="TableText"/>
              <w:rPr>
                <w:kern w:val="20"/>
              </w:rPr>
            </w:pPr>
          </w:p>
        </w:tc>
        <w:tc>
          <w:tcPr>
            <w:tcW w:w="3146" w:type="dxa"/>
            <w:tcBorders>
              <w:top w:val="single" w:sz="4" w:space="0" w:color="auto"/>
              <w:left w:val="single" w:sz="4" w:space="0" w:color="auto"/>
              <w:bottom w:val="single" w:sz="4" w:space="0" w:color="auto"/>
              <w:right w:val="single" w:sz="4" w:space="0" w:color="auto"/>
            </w:tcBorders>
            <w:shd w:val="clear" w:color="auto" w:fill="FFFFFF" w:themeFill="background1"/>
          </w:tcPr>
          <w:p w14:paraId="0FBD2340" w14:textId="77777777" w:rsidR="00D274D2" w:rsidRPr="005D4222" w:rsidRDefault="00D274D2" w:rsidP="00A53E8C">
            <w:pPr>
              <w:pStyle w:val="TableText"/>
              <w:rPr>
                <w:kern w:val="20"/>
              </w:rPr>
            </w:pPr>
            <w:r w:rsidRPr="005D4222">
              <w:rPr>
                <w:kern w:val="20"/>
              </w:rPr>
              <w:t>BlackOrAfricanAmerican</w:t>
            </w:r>
            <w:r w:rsidRPr="005D4222" w:rsidDel="004D5CF1">
              <w:rPr>
                <w:kern w:val="20"/>
              </w:rPr>
              <w:t xml:space="preserve"> </w:t>
            </w:r>
          </w:p>
        </w:tc>
        <w:tc>
          <w:tcPr>
            <w:tcW w:w="1980"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FFFFFF" w:themeFill="background1"/>
          </w:tcPr>
          <w:p w14:paraId="65FE0758" w14:textId="77777777" w:rsidR="00D274D2" w:rsidRPr="005D4222" w:rsidRDefault="00D274D2" w:rsidP="00A53E8C">
            <w:pPr>
              <w:pStyle w:val="TableText"/>
              <w:rPr>
                <w:kern w:val="20"/>
              </w:rPr>
            </w:pPr>
            <w:r w:rsidRPr="005D4222">
              <w:rPr>
                <w:kern w:val="20"/>
              </w:rPr>
              <w:t>AskedButNoAnswer</w:t>
            </w:r>
          </w:p>
        </w:tc>
        <w:tc>
          <w:tcPr>
            <w:tcW w:w="1440" w:type="dxa"/>
            <w:tcBorders>
              <w:top w:val="single" w:sz="4" w:space="0" w:color="000000" w:themeColor="text1"/>
              <w:left w:val="single" w:sz="4" w:space="0" w:color="000000" w:themeColor="text1"/>
              <w:bottom w:val="nil"/>
              <w:right w:val="nil"/>
            </w:tcBorders>
            <w:shd w:val="clear" w:color="auto" w:fill="FFFFFF" w:themeFill="background1"/>
          </w:tcPr>
          <w:p w14:paraId="5D6CA48B" w14:textId="77777777" w:rsidR="00D274D2" w:rsidRPr="005D4222" w:rsidRDefault="00D274D2" w:rsidP="00A53E8C">
            <w:pPr>
              <w:pStyle w:val="TableText"/>
              <w:rPr>
                <w:kern w:val="20"/>
              </w:rPr>
            </w:pPr>
          </w:p>
        </w:tc>
        <w:tc>
          <w:tcPr>
            <w:tcW w:w="2070" w:type="dxa"/>
            <w:tcBorders>
              <w:top w:val="single" w:sz="4" w:space="0" w:color="000000" w:themeColor="text1"/>
              <w:left w:val="nil"/>
              <w:bottom w:val="nil"/>
              <w:right w:val="nil"/>
            </w:tcBorders>
            <w:shd w:val="clear" w:color="auto" w:fill="FFFFFF" w:themeFill="background1"/>
          </w:tcPr>
          <w:p w14:paraId="2BF13FB7" w14:textId="77777777" w:rsidR="00D274D2" w:rsidRPr="005D4222" w:rsidRDefault="00D274D2" w:rsidP="00A53E8C">
            <w:pPr>
              <w:pStyle w:val="TableText"/>
              <w:rPr>
                <w:rFonts w:eastAsia="Wingdings"/>
                <w:kern w:val="20"/>
              </w:rPr>
            </w:pPr>
          </w:p>
        </w:tc>
      </w:tr>
      <w:tr w:rsidR="00D274D2" w:rsidRPr="005D4222" w14:paraId="160E8428" w14:textId="77777777" w:rsidTr="007B5FC3">
        <w:tc>
          <w:tcPr>
            <w:tcW w:w="1169" w:type="dxa"/>
            <w:tcBorders>
              <w:top w:val="nil"/>
              <w:left w:val="nil"/>
              <w:bottom w:val="nil"/>
              <w:right w:val="single" w:sz="4" w:space="0" w:color="auto"/>
            </w:tcBorders>
          </w:tcPr>
          <w:p w14:paraId="0CC4A63A" w14:textId="77777777" w:rsidR="00D274D2" w:rsidRPr="005D4222" w:rsidRDefault="00D274D2" w:rsidP="00A53E8C">
            <w:pPr>
              <w:pStyle w:val="TableText"/>
              <w:rPr>
                <w:kern w:val="20"/>
              </w:rPr>
            </w:pPr>
          </w:p>
        </w:tc>
        <w:tc>
          <w:tcPr>
            <w:tcW w:w="3146" w:type="dxa"/>
            <w:tcBorders>
              <w:top w:val="single" w:sz="4" w:space="0" w:color="auto"/>
              <w:left w:val="single" w:sz="4" w:space="0" w:color="auto"/>
              <w:bottom w:val="single" w:sz="4" w:space="0" w:color="auto"/>
              <w:right w:val="single" w:sz="4" w:space="0" w:color="auto"/>
            </w:tcBorders>
            <w:shd w:val="clear" w:color="auto" w:fill="FFFFFF" w:themeFill="background1"/>
          </w:tcPr>
          <w:p w14:paraId="6F29C02E" w14:textId="77777777" w:rsidR="00D274D2" w:rsidRPr="005D4222" w:rsidRDefault="00D274D2" w:rsidP="00A53E8C">
            <w:pPr>
              <w:pStyle w:val="TableText"/>
              <w:rPr>
                <w:kern w:val="20"/>
              </w:rPr>
            </w:pPr>
            <w:r w:rsidRPr="005D4222">
              <w:rPr>
                <w:kern w:val="20"/>
              </w:rPr>
              <w:t>MiddleEasternOrNorthAfrican</w:t>
            </w:r>
          </w:p>
        </w:tc>
        <w:tc>
          <w:tcPr>
            <w:tcW w:w="1980"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FFFFFF" w:themeFill="background1"/>
          </w:tcPr>
          <w:p w14:paraId="2FBE9EFF" w14:textId="77777777" w:rsidR="00D274D2" w:rsidRPr="005D4222" w:rsidRDefault="00D274D2" w:rsidP="00A53E8C">
            <w:pPr>
              <w:pStyle w:val="TableText"/>
              <w:rPr>
                <w:kern w:val="20"/>
              </w:rPr>
            </w:pPr>
            <w:r w:rsidRPr="005D4222">
              <w:rPr>
                <w:kern w:val="20"/>
              </w:rPr>
              <w:t>Unknown</w:t>
            </w:r>
          </w:p>
        </w:tc>
        <w:tc>
          <w:tcPr>
            <w:tcW w:w="1440" w:type="dxa"/>
            <w:tcBorders>
              <w:top w:val="nil"/>
              <w:left w:val="single" w:sz="4" w:space="0" w:color="000000" w:themeColor="text1"/>
              <w:bottom w:val="nil"/>
              <w:right w:val="nil"/>
            </w:tcBorders>
            <w:shd w:val="clear" w:color="auto" w:fill="FFFFFF" w:themeFill="background1"/>
          </w:tcPr>
          <w:p w14:paraId="3EE660E6" w14:textId="77777777" w:rsidR="00D274D2" w:rsidRPr="005D4222" w:rsidRDefault="00D274D2" w:rsidP="00A53E8C">
            <w:pPr>
              <w:pStyle w:val="TableText"/>
              <w:rPr>
                <w:kern w:val="20"/>
              </w:rPr>
            </w:pPr>
          </w:p>
        </w:tc>
        <w:tc>
          <w:tcPr>
            <w:tcW w:w="2070" w:type="dxa"/>
            <w:tcBorders>
              <w:top w:val="nil"/>
              <w:left w:val="nil"/>
              <w:bottom w:val="nil"/>
              <w:right w:val="nil"/>
            </w:tcBorders>
            <w:shd w:val="clear" w:color="auto" w:fill="FFFFFF" w:themeFill="background1"/>
          </w:tcPr>
          <w:p w14:paraId="27201D3D" w14:textId="77777777" w:rsidR="00D274D2" w:rsidRPr="005D4222" w:rsidRDefault="00D274D2" w:rsidP="00A53E8C">
            <w:pPr>
              <w:pStyle w:val="TableText"/>
              <w:rPr>
                <w:rFonts w:eastAsia="Wingdings"/>
                <w:kern w:val="20"/>
              </w:rPr>
            </w:pPr>
          </w:p>
        </w:tc>
      </w:tr>
      <w:tr w:rsidR="00D274D2" w:rsidRPr="005D4222" w14:paraId="7ED9B15F" w14:textId="77777777" w:rsidTr="007B5FC3">
        <w:tc>
          <w:tcPr>
            <w:tcW w:w="1169" w:type="dxa"/>
            <w:tcBorders>
              <w:top w:val="nil"/>
              <w:left w:val="nil"/>
              <w:bottom w:val="nil"/>
              <w:right w:val="single" w:sz="4" w:space="0" w:color="auto"/>
            </w:tcBorders>
          </w:tcPr>
          <w:p w14:paraId="45F0A196" w14:textId="77777777" w:rsidR="00D274D2" w:rsidRPr="005D4222" w:rsidRDefault="00D274D2" w:rsidP="00A53E8C">
            <w:pPr>
              <w:pStyle w:val="TableText"/>
              <w:rPr>
                <w:kern w:val="20"/>
              </w:rPr>
            </w:pPr>
          </w:p>
        </w:tc>
        <w:tc>
          <w:tcPr>
            <w:tcW w:w="3146" w:type="dxa"/>
            <w:tcBorders>
              <w:top w:val="single" w:sz="4" w:space="0" w:color="auto"/>
              <w:left w:val="single" w:sz="4" w:space="0" w:color="auto"/>
              <w:bottom w:val="single" w:sz="4" w:space="0" w:color="auto"/>
              <w:right w:val="single" w:sz="4" w:space="0" w:color="auto"/>
            </w:tcBorders>
            <w:shd w:val="clear" w:color="auto" w:fill="FFFFFF" w:themeFill="background1"/>
          </w:tcPr>
          <w:p w14:paraId="3B73D407" w14:textId="77777777" w:rsidR="00D274D2" w:rsidRPr="005D4222" w:rsidRDefault="00D274D2" w:rsidP="00A53E8C">
            <w:pPr>
              <w:pStyle w:val="TableText"/>
              <w:rPr>
                <w:kern w:val="20"/>
              </w:rPr>
            </w:pPr>
            <w:r w:rsidRPr="005D4222">
              <w:rPr>
                <w:kern w:val="20"/>
              </w:rPr>
              <w:t>NativeHawaiianOrPacificIslander</w:t>
            </w:r>
            <w:r w:rsidRPr="005D4222" w:rsidDel="004D5CF1">
              <w:rPr>
                <w:kern w:val="20"/>
              </w:rPr>
              <w:t xml:space="preserve"> </w:t>
            </w:r>
          </w:p>
        </w:tc>
        <w:tc>
          <w:tcPr>
            <w:tcW w:w="1980"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D9D9D9" w:themeFill="background1" w:themeFillShade="D9"/>
          </w:tcPr>
          <w:p w14:paraId="6599F6E5" w14:textId="77777777" w:rsidR="00D274D2" w:rsidRPr="005D4222" w:rsidRDefault="00D274D2" w:rsidP="00A53E8C">
            <w:pPr>
              <w:pStyle w:val="TableText"/>
              <w:rPr>
                <w:kern w:val="20"/>
              </w:rPr>
            </w:pPr>
            <w:r w:rsidRPr="005D4222">
              <w:rPr>
                <w:kern w:val="20"/>
              </w:rPr>
              <w:t>Total</w:t>
            </w:r>
          </w:p>
        </w:tc>
        <w:tc>
          <w:tcPr>
            <w:tcW w:w="1440" w:type="dxa"/>
            <w:tcBorders>
              <w:top w:val="nil"/>
              <w:left w:val="single" w:sz="4" w:space="0" w:color="000000" w:themeColor="text1"/>
              <w:bottom w:val="nil"/>
              <w:right w:val="nil"/>
            </w:tcBorders>
            <w:shd w:val="clear" w:color="auto" w:fill="FFFFFF" w:themeFill="background1"/>
          </w:tcPr>
          <w:p w14:paraId="5EA18DAD" w14:textId="77777777" w:rsidR="00D274D2" w:rsidRPr="005D4222" w:rsidRDefault="00D274D2" w:rsidP="00A53E8C">
            <w:pPr>
              <w:pStyle w:val="TableText"/>
              <w:rPr>
                <w:kern w:val="20"/>
              </w:rPr>
            </w:pPr>
          </w:p>
        </w:tc>
        <w:tc>
          <w:tcPr>
            <w:tcW w:w="2070" w:type="dxa"/>
            <w:tcBorders>
              <w:top w:val="nil"/>
              <w:left w:val="nil"/>
              <w:bottom w:val="nil"/>
              <w:right w:val="nil"/>
            </w:tcBorders>
            <w:shd w:val="clear" w:color="auto" w:fill="FFFFFF" w:themeFill="background1"/>
          </w:tcPr>
          <w:p w14:paraId="76C5018F" w14:textId="77777777" w:rsidR="00D274D2" w:rsidRPr="005D4222" w:rsidRDefault="00D274D2" w:rsidP="00A53E8C">
            <w:pPr>
              <w:pStyle w:val="TableText"/>
              <w:rPr>
                <w:rFonts w:eastAsia="Wingdings"/>
                <w:kern w:val="20"/>
              </w:rPr>
            </w:pPr>
          </w:p>
        </w:tc>
      </w:tr>
      <w:tr w:rsidR="00D274D2" w:rsidRPr="005D4222" w14:paraId="76A4BD8A" w14:textId="77777777" w:rsidTr="007B5FC3">
        <w:tc>
          <w:tcPr>
            <w:tcW w:w="1169" w:type="dxa"/>
            <w:tcBorders>
              <w:top w:val="nil"/>
              <w:left w:val="nil"/>
              <w:bottom w:val="nil"/>
              <w:right w:val="single" w:sz="4" w:space="0" w:color="auto"/>
            </w:tcBorders>
          </w:tcPr>
          <w:p w14:paraId="00769568" w14:textId="77777777" w:rsidR="00D274D2" w:rsidRPr="005D4222" w:rsidRDefault="00D274D2" w:rsidP="00A53E8C">
            <w:pPr>
              <w:pStyle w:val="TableText"/>
              <w:rPr>
                <w:kern w:val="20"/>
              </w:rPr>
            </w:pPr>
          </w:p>
        </w:tc>
        <w:tc>
          <w:tcPr>
            <w:tcW w:w="3146" w:type="dxa"/>
            <w:tcBorders>
              <w:top w:val="single" w:sz="4" w:space="0" w:color="auto"/>
              <w:left w:val="single" w:sz="4" w:space="0" w:color="auto"/>
              <w:bottom w:val="single" w:sz="4" w:space="0" w:color="auto"/>
              <w:right w:val="single" w:sz="4" w:space="0" w:color="auto"/>
            </w:tcBorders>
            <w:shd w:val="clear" w:color="auto" w:fill="FFFFFF" w:themeFill="background1"/>
          </w:tcPr>
          <w:p w14:paraId="604E6F0D" w14:textId="77777777" w:rsidR="00D274D2" w:rsidRPr="005D4222" w:rsidRDefault="00D274D2" w:rsidP="00A53E8C">
            <w:pPr>
              <w:pStyle w:val="TableText"/>
              <w:rPr>
                <w:kern w:val="20"/>
              </w:rPr>
            </w:pPr>
            <w:r w:rsidRPr="005D4222">
              <w:rPr>
                <w:kern w:val="20"/>
              </w:rPr>
              <w:t>White</w:t>
            </w:r>
          </w:p>
        </w:tc>
        <w:tc>
          <w:tcPr>
            <w:tcW w:w="1980" w:type="dxa"/>
            <w:tcBorders>
              <w:top w:val="single" w:sz="4" w:space="0" w:color="000000" w:themeColor="text1"/>
              <w:left w:val="single" w:sz="4" w:space="0" w:color="auto"/>
              <w:bottom w:val="nil"/>
              <w:right w:val="nil"/>
            </w:tcBorders>
            <w:shd w:val="clear" w:color="auto" w:fill="FFFFFF" w:themeFill="background1"/>
          </w:tcPr>
          <w:p w14:paraId="3C072F60" w14:textId="77777777" w:rsidR="00D274D2" w:rsidRPr="005D4222" w:rsidRDefault="00D274D2" w:rsidP="00A53E8C">
            <w:pPr>
              <w:pStyle w:val="TableText"/>
              <w:rPr>
                <w:kern w:val="20"/>
              </w:rPr>
            </w:pPr>
          </w:p>
        </w:tc>
        <w:tc>
          <w:tcPr>
            <w:tcW w:w="1440" w:type="dxa"/>
            <w:tcBorders>
              <w:top w:val="nil"/>
              <w:left w:val="nil"/>
              <w:bottom w:val="nil"/>
              <w:right w:val="nil"/>
            </w:tcBorders>
            <w:shd w:val="clear" w:color="auto" w:fill="FFFFFF" w:themeFill="background1"/>
          </w:tcPr>
          <w:p w14:paraId="7AB13928" w14:textId="77777777" w:rsidR="00D274D2" w:rsidRPr="005D4222" w:rsidRDefault="00D274D2" w:rsidP="00A53E8C">
            <w:pPr>
              <w:pStyle w:val="TableText"/>
              <w:rPr>
                <w:kern w:val="20"/>
              </w:rPr>
            </w:pPr>
          </w:p>
        </w:tc>
        <w:tc>
          <w:tcPr>
            <w:tcW w:w="2070" w:type="dxa"/>
            <w:tcBorders>
              <w:top w:val="nil"/>
              <w:left w:val="nil"/>
              <w:bottom w:val="nil"/>
              <w:right w:val="nil"/>
            </w:tcBorders>
            <w:shd w:val="clear" w:color="auto" w:fill="FFFFFF" w:themeFill="background1"/>
          </w:tcPr>
          <w:p w14:paraId="7BEAB813" w14:textId="77777777" w:rsidR="00D274D2" w:rsidRPr="005D4222" w:rsidRDefault="00D274D2" w:rsidP="00A53E8C">
            <w:pPr>
              <w:pStyle w:val="TableText"/>
              <w:rPr>
                <w:rFonts w:eastAsia="Wingdings"/>
                <w:kern w:val="20"/>
              </w:rPr>
            </w:pPr>
          </w:p>
        </w:tc>
      </w:tr>
      <w:tr w:rsidR="00D274D2" w:rsidRPr="005D4222" w14:paraId="3750F7CC" w14:textId="77777777" w:rsidTr="007B5FC3">
        <w:tc>
          <w:tcPr>
            <w:tcW w:w="1169" w:type="dxa"/>
            <w:tcBorders>
              <w:top w:val="nil"/>
              <w:left w:val="nil"/>
              <w:bottom w:val="nil"/>
              <w:right w:val="single" w:sz="4" w:space="0" w:color="auto"/>
            </w:tcBorders>
          </w:tcPr>
          <w:p w14:paraId="29085517" w14:textId="77777777" w:rsidR="00D274D2" w:rsidRPr="005D4222" w:rsidRDefault="00D274D2" w:rsidP="00A53E8C">
            <w:pPr>
              <w:pStyle w:val="TableText"/>
              <w:rPr>
                <w:kern w:val="20"/>
              </w:rPr>
            </w:pPr>
          </w:p>
        </w:tc>
        <w:tc>
          <w:tcPr>
            <w:tcW w:w="3146" w:type="dxa"/>
            <w:tcBorders>
              <w:top w:val="single" w:sz="4" w:space="0" w:color="auto"/>
              <w:left w:val="single" w:sz="4" w:space="0" w:color="auto"/>
              <w:bottom w:val="single" w:sz="4" w:space="0" w:color="auto"/>
              <w:right w:val="single" w:sz="4" w:space="0" w:color="auto"/>
            </w:tcBorders>
            <w:shd w:val="clear" w:color="auto" w:fill="FFFFFF" w:themeFill="background1"/>
          </w:tcPr>
          <w:p w14:paraId="3FB513DE" w14:textId="77777777" w:rsidR="00D274D2" w:rsidRPr="005D4222" w:rsidRDefault="00D274D2" w:rsidP="00A53E8C">
            <w:pPr>
              <w:pStyle w:val="TableText"/>
              <w:rPr>
                <w:kern w:val="20"/>
              </w:rPr>
            </w:pPr>
            <w:r w:rsidRPr="005D4222">
              <w:rPr>
                <w:kern w:val="20"/>
              </w:rPr>
              <w:t>SomeOtherRace</w:t>
            </w:r>
          </w:p>
        </w:tc>
        <w:tc>
          <w:tcPr>
            <w:tcW w:w="1980" w:type="dxa"/>
            <w:tcBorders>
              <w:top w:val="nil"/>
              <w:left w:val="single" w:sz="4" w:space="0" w:color="auto"/>
              <w:bottom w:val="nil"/>
              <w:right w:val="nil"/>
            </w:tcBorders>
            <w:shd w:val="clear" w:color="auto" w:fill="FFFFFF" w:themeFill="background1"/>
          </w:tcPr>
          <w:p w14:paraId="20C8148D" w14:textId="77777777" w:rsidR="00D274D2" w:rsidRPr="005D4222" w:rsidRDefault="00D274D2" w:rsidP="00A53E8C">
            <w:pPr>
              <w:pStyle w:val="TableText"/>
              <w:rPr>
                <w:kern w:val="20"/>
              </w:rPr>
            </w:pPr>
          </w:p>
        </w:tc>
        <w:tc>
          <w:tcPr>
            <w:tcW w:w="1440" w:type="dxa"/>
            <w:tcBorders>
              <w:top w:val="nil"/>
              <w:left w:val="nil"/>
              <w:bottom w:val="nil"/>
              <w:right w:val="nil"/>
            </w:tcBorders>
            <w:shd w:val="clear" w:color="auto" w:fill="FFFFFF" w:themeFill="background1"/>
          </w:tcPr>
          <w:p w14:paraId="36C92417" w14:textId="77777777" w:rsidR="00D274D2" w:rsidRPr="005D4222" w:rsidRDefault="00D274D2" w:rsidP="00A53E8C">
            <w:pPr>
              <w:pStyle w:val="TableText"/>
              <w:rPr>
                <w:kern w:val="20"/>
              </w:rPr>
            </w:pPr>
          </w:p>
        </w:tc>
        <w:tc>
          <w:tcPr>
            <w:tcW w:w="2070" w:type="dxa"/>
            <w:tcBorders>
              <w:top w:val="nil"/>
              <w:left w:val="nil"/>
              <w:bottom w:val="nil"/>
              <w:right w:val="nil"/>
            </w:tcBorders>
            <w:shd w:val="clear" w:color="auto" w:fill="FFFFFF" w:themeFill="background1"/>
          </w:tcPr>
          <w:p w14:paraId="5D7A490A" w14:textId="77777777" w:rsidR="00D274D2" w:rsidRPr="005D4222" w:rsidRDefault="00D274D2" w:rsidP="00A53E8C">
            <w:pPr>
              <w:pStyle w:val="TableText"/>
              <w:rPr>
                <w:rFonts w:eastAsia="Wingdings"/>
                <w:kern w:val="20"/>
              </w:rPr>
            </w:pPr>
          </w:p>
        </w:tc>
      </w:tr>
      <w:tr w:rsidR="00D274D2" w:rsidRPr="005D4222" w14:paraId="264D79FF" w14:textId="77777777" w:rsidTr="007B5FC3">
        <w:tc>
          <w:tcPr>
            <w:tcW w:w="1169" w:type="dxa"/>
            <w:tcBorders>
              <w:top w:val="nil"/>
              <w:left w:val="nil"/>
              <w:bottom w:val="nil"/>
              <w:right w:val="single" w:sz="4" w:space="0" w:color="auto"/>
            </w:tcBorders>
          </w:tcPr>
          <w:p w14:paraId="383F2DEB" w14:textId="77777777" w:rsidR="00D274D2" w:rsidRPr="005D4222" w:rsidRDefault="00D274D2" w:rsidP="00A53E8C">
            <w:pPr>
              <w:pStyle w:val="TableText"/>
              <w:rPr>
                <w:kern w:val="20"/>
              </w:rPr>
            </w:pPr>
          </w:p>
        </w:tc>
        <w:tc>
          <w:tcPr>
            <w:tcW w:w="3146" w:type="dxa"/>
            <w:tcBorders>
              <w:top w:val="single" w:sz="4" w:space="0" w:color="auto"/>
              <w:left w:val="single" w:sz="4" w:space="0" w:color="auto"/>
              <w:bottom w:val="single" w:sz="4" w:space="0" w:color="auto"/>
              <w:right w:val="single" w:sz="4" w:space="0" w:color="auto"/>
            </w:tcBorders>
            <w:shd w:val="clear" w:color="auto" w:fill="FFFFFF" w:themeFill="background1"/>
          </w:tcPr>
          <w:p w14:paraId="6AD15DEB" w14:textId="77777777" w:rsidR="00D274D2" w:rsidRPr="005D4222" w:rsidRDefault="00D274D2" w:rsidP="00A53E8C">
            <w:pPr>
              <w:pStyle w:val="TableText"/>
              <w:rPr>
                <w:kern w:val="20"/>
              </w:rPr>
            </w:pPr>
            <w:r w:rsidRPr="005D4222">
              <w:rPr>
                <w:kern w:val="20"/>
              </w:rPr>
              <w:t>TwoOrMoreRaces</w:t>
            </w:r>
          </w:p>
        </w:tc>
        <w:tc>
          <w:tcPr>
            <w:tcW w:w="1980" w:type="dxa"/>
            <w:tcBorders>
              <w:top w:val="nil"/>
              <w:left w:val="single" w:sz="4" w:space="0" w:color="auto"/>
              <w:bottom w:val="nil"/>
              <w:right w:val="nil"/>
            </w:tcBorders>
            <w:shd w:val="clear" w:color="auto" w:fill="FFFFFF" w:themeFill="background1"/>
          </w:tcPr>
          <w:p w14:paraId="7D0D007F" w14:textId="77777777" w:rsidR="00D274D2" w:rsidRPr="005D4222" w:rsidRDefault="00D274D2" w:rsidP="00A53E8C">
            <w:pPr>
              <w:pStyle w:val="TableText"/>
              <w:rPr>
                <w:kern w:val="20"/>
              </w:rPr>
            </w:pPr>
          </w:p>
        </w:tc>
        <w:tc>
          <w:tcPr>
            <w:tcW w:w="1440" w:type="dxa"/>
            <w:tcBorders>
              <w:top w:val="nil"/>
              <w:left w:val="nil"/>
              <w:bottom w:val="nil"/>
              <w:right w:val="nil"/>
            </w:tcBorders>
            <w:shd w:val="clear" w:color="auto" w:fill="FFFFFF" w:themeFill="background1"/>
          </w:tcPr>
          <w:p w14:paraId="76D8F95A" w14:textId="77777777" w:rsidR="00D274D2" w:rsidRPr="005D4222" w:rsidRDefault="00D274D2" w:rsidP="00A53E8C">
            <w:pPr>
              <w:pStyle w:val="TableText"/>
              <w:rPr>
                <w:kern w:val="20"/>
              </w:rPr>
            </w:pPr>
          </w:p>
        </w:tc>
        <w:tc>
          <w:tcPr>
            <w:tcW w:w="2070" w:type="dxa"/>
            <w:tcBorders>
              <w:top w:val="nil"/>
              <w:left w:val="nil"/>
              <w:bottom w:val="nil"/>
              <w:right w:val="nil"/>
            </w:tcBorders>
            <w:shd w:val="clear" w:color="auto" w:fill="FFFFFF" w:themeFill="background1"/>
          </w:tcPr>
          <w:p w14:paraId="7CE2DD37" w14:textId="77777777" w:rsidR="00D274D2" w:rsidRPr="005D4222" w:rsidRDefault="00D274D2" w:rsidP="00A53E8C">
            <w:pPr>
              <w:pStyle w:val="TableText"/>
              <w:rPr>
                <w:rFonts w:eastAsia="Wingdings"/>
                <w:kern w:val="20"/>
              </w:rPr>
            </w:pPr>
          </w:p>
        </w:tc>
      </w:tr>
      <w:tr w:rsidR="00D274D2" w:rsidRPr="005D4222" w14:paraId="40C893A2" w14:textId="77777777" w:rsidTr="007B5FC3">
        <w:tc>
          <w:tcPr>
            <w:tcW w:w="1169" w:type="dxa"/>
            <w:tcBorders>
              <w:top w:val="nil"/>
              <w:left w:val="nil"/>
              <w:bottom w:val="nil"/>
              <w:right w:val="single" w:sz="4" w:space="0" w:color="auto"/>
            </w:tcBorders>
          </w:tcPr>
          <w:p w14:paraId="054DFE96" w14:textId="77777777" w:rsidR="00D274D2" w:rsidRPr="005D4222" w:rsidRDefault="00D274D2" w:rsidP="00A53E8C">
            <w:pPr>
              <w:pStyle w:val="TableText"/>
              <w:rPr>
                <w:kern w:val="20"/>
              </w:rPr>
            </w:pPr>
          </w:p>
        </w:tc>
        <w:tc>
          <w:tcPr>
            <w:tcW w:w="3146" w:type="dxa"/>
            <w:tcBorders>
              <w:top w:val="single" w:sz="4" w:space="0" w:color="auto"/>
              <w:left w:val="single" w:sz="4" w:space="0" w:color="auto"/>
              <w:bottom w:val="single" w:sz="4" w:space="0" w:color="auto"/>
              <w:right w:val="single" w:sz="4" w:space="0" w:color="auto"/>
            </w:tcBorders>
            <w:shd w:val="clear" w:color="auto" w:fill="FFFFFF" w:themeFill="background1"/>
          </w:tcPr>
          <w:p w14:paraId="1C2C76E5" w14:textId="77777777" w:rsidR="00D274D2" w:rsidRPr="005D4222" w:rsidRDefault="00D274D2" w:rsidP="00A53E8C">
            <w:pPr>
              <w:pStyle w:val="TableText"/>
              <w:rPr>
                <w:kern w:val="20"/>
              </w:rPr>
            </w:pPr>
            <w:r w:rsidRPr="005D4222">
              <w:rPr>
                <w:kern w:val="20"/>
              </w:rPr>
              <w:t>AskedButNoAnswer</w:t>
            </w:r>
          </w:p>
        </w:tc>
        <w:tc>
          <w:tcPr>
            <w:tcW w:w="1980" w:type="dxa"/>
            <w:tcBorders>
              <w:top w:val="nil"/>
              <w:left w:val="single" w:sz="4" w:space="0" w:color="auto"/>
              <w:bottom w:val="nil"/>
              <w:right w:val="nil"/>
            </w:tcBorders>
            <w:shd w:val="clear" w:color="auto" w:fill="FFFFFF" w:themeFill="background1"/>
          </w:tcPr>
          <w:p w14:paraId="70D9DDB8" w14:textId="77777777" w:rsidR="00D274D2" w:rsidRPr="005D4222" w:rsidRDefault="00D274D2" w:rsidP="00A53E8C">
            <w:pPr>
              <w:pStyle w:val="TableText"/>
              <w:rPr>
                <w:kern w:val="20"/>
              </w:rPr>
            </w:pPr>
          </w:p>
        </w:tc>
        <w:tc>
          <w:tcPr>
            <w:tcW w:w="1440" w:type="dxa"/>
            <w:tcBorders>
              <w:top w:val="nil"/>
              <w:left w:val="nil"/>
              <w:bottom w:val="nil"/>
              <w:right w:val="nil"/>
            </w:tcBorders>
            <w:shd w:val="clear" w:color="auto" w:fill="FFFFFF" w:themeFill="background1"/>
          </w:tcPr>
          <w:p w14:paraId="711BD453" w14:textId="77777777" w:rsidR="00D274D2" w:rsidRPr="005D4222" w:rsidRDefault="00D274D2" w:rsidP="00A53E8C">
            <w:pPr>
              <w:pStyle w:val="TableText"/>
              <w:rPr>
                <w:kern w:val="20"/>
              </w:rPr>
            </w:pPr>
          </w:p>
        </w:tc>
        <w:tc>
          <w:tcPr>
            <w:tcW w:w="2070" w:type="dxa"/>
            <w:tcBorders>
              <w:top w:val="nil"/>
              <w:left w:val="nil"/>
              <w:bottom w:val="nil"/>
              <w:right w:val="nil"/>
            </w:tcBorders>
            <w:shd w:val="clear" w:color="auto" w:fill="FFFFFF" w:themeFill="background1"/>
          </w:tcPr>
          <w:p w14:paraId="53AD775A" w14:textId="77777777" w:rsidR="00D274D2" w:rsidRPr="005D4222" w:rsidRDefault="00D274D2" w:rsidP="00A53E8C">
            <w:pPr>
              <w:pStyle w:val="TableText"/>
              <w:rPr>
                <w:rFonts w:eastAsia="Wingdings"/>
                <w:kern w:val="20"/>
              </w:rPr>
            </w:pPr>
          </w:p>
        </w:tc>
      </w:tr>
      <w:tr w:rsidR="00D274D2" w:rsidRPr="005D4222" w14:paraId="341A92F3" w14:textId="77777777" w:rsidTr="007B5FC3">
        <w:trPr>
          <w:trHeight w:val="170"/>
        </w:trPr>
        <w:tc>
          <w:tcPr>
            <w:tcW w:w="1169" w:type="dxa"/>
            <w:tcBorders>
              <w:top w:val="nil"/>
              <w:left w:val="nil"/>
              <w:bottom w:val="nil"/>
              <w:right w:val="single" w:sz="4" w:space="0" w:color="auto"/>
            </w:tcBorders>
          </w:tcPr>
          <w:p w14:paraId="69D482D1" w14:textId="77777777" w:rsidR="00D274D2" w:rsidRPr="005D4222" w:rsidRDefault="00D274D2" w:rsidP="00A53E8C">
            <w:pPr>
              <w:pStyle w:val="TableText"/>
              <w:rPr>
                <w:kern w:val="20"/>
              </w:rPr>
            </w:pPr>
          </w:p>
        </w:tc>
        <w:tc>
          <w:tcPr>
            <w:tcW w:w="3146" w:type="dxa"/>
            <w:tcBorders>
              <w:top w:val="single" w:sz="4" w:space="0" w:color="auto"/>
              <w:left w:val="single" w:sz="4" w:space="0" w:color="auto"/>
              <w:bottom w:val="single" w:sz="4" w:space="0" w:color="auto"/>
              <w:right w:val="single" w:sz="4" w:space="0" w:color="auto"/>
            </w:tcBorders>
            <w:shd w:val="clear" w:color="auto" w:fill="FFFFFF" w:themeFill="background1"/>
          </w:tcPr>
          <w:p w14:paraId="18AB8B62" w14:textId="77777777" w:rsidR="00D274D2" w:rsidRPr="005D4222" w:rsidRDefault="00D274D2" w:rsidP="00A53E8C">
            <w:pPr>
              <w:pStyle w:val="TableText"/>
              <w:rPr>
                <w:kern w:val="20"/>
              </w:rPr>
            </w:pPr>
            <w:r w:rsidRPr="005D4222">
              <w:rPr>
                <w:kern w:val="20"/>
              </w:rPr>
              <w:t>Unknown</w:t>
            </w:r>
          </w:p>
        </w:tc>
        <w:tc>
          <w:tcPr>
            <w:tcW w:w="1980" w:type="dxa"/>
            <w:tcBorders>
              <w:top w:val="nil"/>
              <w:left w:val="single" w:sz="4" w:space="0" w:color="auto"/>
              <w:bottom w:val="nil"/>
              <w:right w:val="nil"/>
            </w:tcBorders>
            <w:shd w:val="clear" w:color="auto" w:fill="FFFFFF" w:themeFill="background1"/>
          </w:tcPr>
          <w:p w14:paraId="080EE0F5" w14:textId="77777777" w:rsidR="00D274D2" w:rsidRPr="005D4222" w:rsidRDefault="00D274D2" w:rsidP="00A53E8C">
            <w:pPr>
              <w:pStyle w:val="TableText"/>
              <w:rPr>
                <w:kern w:val="20"/>
              </w:rPr>
            </w:pPr>
          </w:p>
        </w:tc>
        <w:tc>
          <w:tcPr>
            <w:tcW w:w="1440" w:type="dxa"/>
            <w:tcBorders>
              <w:top w:val="nil"/>
              <w:left w:val="nil"/>
              <w:bottom w:val="nil"/>
              <w:right w:val="nil"/>
            </w:tcBorders>
            <w:shd w:val="clear" w:color="auto" w:fill="FFFFFF" w:themeFill="background1"/>
          </w:tcPr>
          <w:p w14:paraId="3DD8CCE1" w14:textId="77777777" w:rsidR="00D274D2" w:rsidRPr="005D4222" w:rsidRDefault="00D274D2" w:rsidP="00A53E8C">
            <w:pPr>
              <w:pStyle w:val="TableText"/>
              <w:rPr>
                <w:kern w:val="20"/>
              </w:rPr>
            </w:pPr>
          </w:p>
        </w:tc>
        <w:tc>
          <w:tcPr>
            <w:tcW w:w="2070" w:type="dxa"/>
            <w:tcBorders>
              <w:top w:val="nil"/>
              <w:left w:val="nil"/>
              <w:bottom w:val="nil"/>
              <w:right w:val="nil"/>
            </w:tcBorders>
            <w:shd w:val="clear" w:color="auto" w:fill="FFFFFF" w:themeFill="background1"/>
          </w:tcPr>
          <w:p w14:paraId="41389E38" w14:textId="77777777" w:rsidR="00D274D2" w:rsidRPr="005D4222" w:rsidRDefault="00D274D2" w:rsidP="00A53E8C">
            <w:pPr>
              <w:pStyle w:val="TableText"/>
              <w:rPr>
                <w:rFonts w:eastAsia="Wingdings"/>
                <w:kern w:val="20"/>
              </w:rPr>
            </w:pPr>
          </w:p>
        </w:tc>
      </w:tr>
      <w:tr w:rsidR="00D274D2" w:rsidRPr="005D4222" w14:paraId="16E5ED97" w14:textId="77777777" w:rsidTr="007B5FC3">
        <w:trPr>
          <w:trHeight w:val="170"/>
        </w:trPr>
        <w:tc>
          <w:tcPr>
            <w:tcW w:w="1169" w:type="dxa"/>
            <w:tcBorders>
              <w:top w:val="nil"/>
              <w:left w:val="nil"/>
              <w:bottom w:val="nil"/>
              <w:right w:val="single" w:sz="4" w:space="0" w:color="auto"/>
            </w:tcBorders>
          </w:tcPr>
          <w:p w14:paraId="7A844E7D" w14:textId="77777777" w:rsidR="00D274D2" w:rsidRPr="005D4222" w:rsidRDefault="00D274D2" w:rsidP="00A53E8C">
            <w:pPr>
              <w:pStyle w:val="TableText"/>
              <w:rPr>
                <w:kern w:val="20"/>
              </w:rPr>
            </w:pPr>
          </w:p>
        </w:tc>
        <w:tc>
          <w:tcPr>
            <w:tcW w:w="314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0C405ED" w14:textId="77777777" w:rsidR="00D274D2" w:rsidRPr="005D4222" w:rsidRDefault="00D274D2" w:rsidP="00A53E8C">
            <w:pPr>
              <w:pStyle w:val="TableText"/>
              <w:rPr>
                <w:kern w:val="20"/>
              </w:rPr>
            </w:pPr>
            <w:r w:rsidRPr="005D4222">
              <w:rPr>
                <w:kern w:val="20"/>
              </w:rPr>
              <w:t>Total</w:t>
            </w:r>
          </w:p>
        </w:tc>
        <w:tc>
          <w:tcPr>
            <w:tcW w:w="1980" w:type="dxa"/>
            <w:tcBorders>
              <w:top w:val="nil"/>
              <w:left w:val="single" w:sz="4" w:space="0" w:color="auto"/>
              <w:bottom w:val="nil"/>
              <w:right w:val="nil"/>
            </w:tcBorders>
            <w:shd w:val="clear" w:color="auto" w:fill="FFFFFF" w:themeFill="background1"/>
          </w:tcPr>
          <w:p w14:paraId="3B2419F5" w14:textId="77777777" w:rsidR="00D274D2" w:rsidRPr="005D4222" w:rsidRDefault="00D274D2" w:rsidP="00A53E8C">
            <w:pPr>
              <w:pStyle w:val="TableText"/>
              <w:rPr>
                <w:kern w:val="20"/>
              </w:rPr>
            </w:pPr>
          </w:p>
        </w:tc>
        <w:tc>
          <w:tcPr>
            <w:tcW w:w="1440" w:type="dxa"/>
            <w:tcBorders>
              <w:top w:val="nil"/>
              <w:left w:val="nil"/>
              <w:bottom w:val="nil"/>
              <w:right w:val="nil"/>
            </w:tcBorders>
            <w:shd w:val="clear" w:color="auto" w:fill="FFFFFF" w:themeFill="background1"/>
          </w:tcPr>
          <w:p w14:paraId="7304A311" w14:textId="77777777" w:rsidR="00D274D2" w:rsidRPr="005D4222" w:rsidRDefault="00D274D2" w:rsidP="00A53E8C">
            <w:pPr>
              <w:pStyle w:val="TableText"/>
              <w:rPr>
                <w:kern w:val="20"/>
              </w:rPr>
            </w:pPr>
          </w:p>
        </w:tc>
        <w:tc>
          <w:tcPr>
            <w:tcW w:w="2070" w:type="dxa"/>
            <w:tcBorders>
              <w:top w:val="nil"/>
              <w:left w:val="nil"/>
              <w:bottom w:val="nil"/>
              <w:right w:val="nil"/>
            </w:tcBorders>
            <w:shd w:val="clear" w:color="auto" w:fill="FFFFFF" w:themeFill="background1"/>
          </w:tcPr>
          <w:p w14:paraId="13F0C5EE" w14:textId="77777777" w:rsidR="00D274D2" w:rsidRPr="005D4222" w:rsidRDefault="00D274D2" w:rsidP="00A53E8C">
            <w:pPr>
              <w:pStyle w:val="TableText"/>
              <w:rPr>
                <w:rFonts w:eastAsia="Wingdings"/>
                <w:kern w:val="20"/>
              </w:rPr>
            </w:pPr>
          </w:p>
        </w:tc>
      </w:tr>
    </w:tbl>
    <w:p w14:paraId="498E0CFF" w14:textId="77777777" w:rsidR="00AA73E6" w:rsidRPr="005D4222" w:rsidRDefault="00AA73E6" w:rsidP="003F38C3">
      <w:pPr>
        <w:sectPr w:rsidR="00AA73E6" w:rsidRPr="005D4222" w:rsidSect="0074514A">
          <w:headerReference w:type="even" r:id="rId254"/>
          <w:headerReference w:type="default" r:id="rId255"/>
          <w:footerReference w:type="even" r:id="rId256"/>
          <w:headerReference w:type="first" r:id="rId257"/>
          <w:footerReference w:type="first" r:id="rId258"/>
          <w:type w:val="nextColumn"/>
          <w:pgSz w:w="12240" w:h="15840" w:code="1"/>
          <w:pgMar w:top="1080" w:right="1080" w:bottom="1080" w:left="1440" w:header="720" w:footer="720" w:gutter="0"/>
          <w:cols w:space="720"/>
        </w:sectPr>
      </w:pPr>
    </w:p>
    <w:p w14:paraId="624C61AA" w14:textId="77777777" w:rsidR="003F38C3" w:rsidRPr="005D4222" w:rsidRDefault="005E6923" w:rsidP="005E6923">
      <w:pPr>
        <w:pStyle w:val="MeasureTitle"/>
        <w:rPr>
          <w:rFonts w:cs="Arial"/>
          <w:bCs/>
          <w:iCs/>
          <w:szCs w:val="28"/>
        </w:rPr>
      </w:pPr>
      <w:bookmarkStart w:id="458" w:name="_Toc201813493"/>
      <w:r w:rsidRPr="005D4222">
        <w:rPr>
          <w:rFonts w:cs="Arial"/>
          <w:bCs/>
          <w:iCs/>
          <w:szCs w:val="28"/>
        </w:rPr>
        <w:lastRenderedPageBreak/>
        <w:t>Disability Description of Membership (DDM)</w:t>
      </w:r>
      <w:bookmarkEnd w:id="458"/>
    </w:p>
    <w:p w14:paraId="061A860F" w14:textId="77777777" w:rsidR="00332F44" w:rsidRPr="005D4222" w:rsidRDefault="00332F44" w:rsidP="00332F44">
      <w:pPr>
        <w:pStyle w:val="SOC"/>
        <w:rPr>
          <w:kern w:val="20"/>
        </w:rPr>
      </w:pPr>
      <w:r w:rsidRPr="005D4222">
        <w:rPr>
          <w:kern w:val="20"/>
        </w:rPr>
        <w:t>Summary of Changes to HEDIS MY 2026</w:t>
      </w:r>
    </w:p>
    <w:p w14:paraId="42959D7A" w14:textId="77777777" w:rsidR="00332F44" w:rsidRPr="005D4222" w:rsidRDefault="00332F44" w:rsidP="00332F44">
      <w:pPr>
        <w:pStyle w:val="ProcessBullet"/>
        <w:numPr>
          <w:ilvl w:val="0"/>
          <w:numId w:val="134"/>
        </w:numPr>
        <w:tabs>
          <w:tab w:val="left" w:pos="216"/>
        </w:tabs>
        <w:spacing w:before="120"/>
        <w:ind w:left="216" w:hanging="216"/>
        <w:rPr>
          <w:rFonts w:cs="Arial"/>
          <w:kern w:val="20"/>
          <w:szCs w:val="21"/>
          <w:shd w:val="clear" w:color="auto" w:fill="FFFFFF"/>
        </w:rPr>
      </w:pPr>
      <w:r w:rsidRPr="005D4222">
        <w:rPr>
          <w:rFonts w:cs="Arial"/>
          <w:kern w:val="20"/>
          <w:szCs w:val="21"/>
          <w:shd w:val="clear" w:color="auto" w:fill="FFFFFF"/>
        </w:rPr>
        <w:t>This is a first-year measure.</w:t>
      </w:r>
    </w:p>
    <w:p w14:paraId="00C73BB9" w14:textId="77777777" w:rsidR="00332F44" w:rsidRPr="005D4222" w:rsidRDefault="00332F44" w:rsidP="002B2954">
      <w:pPr>
        <w:pStyle w:val="ReverseHead"/>
        <w:rPr>
          <w:rFonts w:ascii="Segoe UI" w:hAnsi="Segoe UI" w:cs="Segoe UI"/>
          <w:sz w:val="20"/>
        </w:rPr>
      </w:pPr>
      <w:r w:rsidRPr="005D4222">
        <w:rPr>
          <w:rFonts w:eastAsiaTheme="majorEastAsia"/>
          <w:shd w:val="clear" w:color="auto" w:fill="000000"/>
        </w:rPr>
        <w:t>Description</w:t>
      </w:r>
      <w:r w:rsidRPr="005D4222">
        <w:rPr>
          <w:rStyle w:val="eop"/>
          <w:rFonts w:eastAsiaTheme="majorEastAsia" w:cs="Arial"/>
          <w:szCs w:val="22"/>
        </w:rPr>
        <w:t xml:space="preserve"> </w:t>
      </w:r>
    </w:p>
    <w:p w14:paraId="764AD8FB" w14:textId="77777777" w:rsidR="00332F44" w:rsidRPr="005D4222" w:rsidRDefault="00332F44" w:rsidP="00332F44">
      <w:pPr>
        <w:pStyle w:val="Body"/>
        <w:rPr>
          <w:rFonts w:eastAsiaTheme="minorEastAsia" w:cs="Arial"/>
        </w:rPr>
      </w:pPr>
      <w:r w:rsidRPr="005D4222">
        <w:rPr>
          <w:rFonts w:cs="Arial"/>
        </w:rPr>
        <w:t xml:space="preserve">An unduplicated count and percentage of </w:t>
      </w:r>
      <w:r w:rsidRPr="005D4222">
        <w:rPr>
          <w:rFonts w:eastAsiaTheme="minorEastAsia" w:cs="Arial"/>
        </w:rPr>
        <w:t xml:space="preserve">members enrolled at any time during the measurement year, by disability status and disability status source. </w:t>
      </w:r>
    </w:p>
    <w:p w14:paraId="30731EE7" w14:textId="77777777" w:rsidR="00332F44" w:rsidRPr="005D4222" w:rsidRDefault="00332F44" w:rsidP="002B2954">
      <w:pPr>
        <w:pStyle w:val="ReverseHead"/>
        <w:rPr>
          <w:rFonts w:eastAsiaTheme="minorEastAsia"/>
        </w:rPr>
      </w:pPr>
      <w:r w:rsidRPr="005D4222">
        <w:rPr>
          <w:rFonts w:eastAsiaTheme="minorEastAsia"/>
        </w:rPr>
        <w:t>Calculations</w:t>
      </w:r>
    </w:p>
    <w:tbl>
      <w:tblPr>
        <w:tblW w:w="9900" w:type="dxa"/>
        <w:tblInd w:w="-90" w:type="dxa"/>
        <w:tblLayout w:type="fixed"/>
        <w:tblLook w:val="0000" w:firstRow="0" w:lastRow="0" w:firstColumn="0" w:lastColumn="0" w:noHBand="0" w:noVBand="0"/>
      </w:tblPr>
      <w:tblGrid>
        <w:gridCol w:w="2160"/>
        <w:gridCol w:w="7740"/>
      </w:tblGrid>
      <w:tr w:rsidR="00332F44" w:rsidRPr="005D4222" w14:paraId="6EF27B72" w14:textId="77777777" w:rsidTr="003C0FF9">
        <w:tc>
          <w:tcPr>
            <w:tcW w:w="2160" w:type="dxa"/>
          </w:tcPr>
          <w:p w14:paraId="4B7563C0" w14:textId="141D4A57" w:rsidR="00332F44" w:rsidRPr="005D4222" w:rsidRDefault="00B51CDC" w:rsidP="003C0FF9">
            <w:pPr>
              <w:pStyle w:val="MarginSubhead"/>
              <w:rPr>
                <w:rFonts w:eastAsiaTheme="minorEastAsia" w:cs="Arial"/>
                <w:szCs w:val="21"/>
              </w:rPr>
            </w:pPr>
            <w:r w:rsidRPr="005D4222">
              <w:rPr>
                <w:rFonts w:eastAsiaTheme="minorEastAsia" w:cs="Arial"/>
                <w:szCs w:val="21"/>
              </w:rPr>
              <w:t>Product lines</w:t>
            </w:r>
          </w:p>
        </w:tc>
        <w:tc>
          <w:tcPr>
            <w:tcW w:w="7740" w:type="dxa"/>
          </w:tcPr>
          <w:p w14:paraId="7180A2CD" w14:textId="77777777" w:rsidR="00332F44" w:rsidRPr="005D4222" w:rsidRDefault="00332F44" w:rsidP="003C0FF9">
            <w:pPr>
              <w:pStyle w:val="Body"/>
              <w:rPr>
                <w:rFonts w:eastAsiaTheme="minorEastAsia" w:cs="Arial"/>
                <w:szCs w:val="21"/>
              </w:rPr>
            </w:pPr>
            <w:r w:rsidRPr="005D4222">
              <w:rPr>
                <w:rFonts w:eastAsiaTheme="minorEastAsia" w:cs="Arial"/>
                <w:szCs w:val="21"/>
              </w:rPr>
              <w:t>Commercial, Medicaid, Medicare (report each product line separately).</w:t>
            </w:r>
          </w:p>
        </w:tc>
      </w:tr>
      <w:tr w:rsidR="00332F44" w:rsidRPr="005D4222" w14:paraId="5BCB41F5" w14:textId="77777777" w:rsidTr="003C0FF9">
        <w:tc>
          <w:tcPr>
            <w:tcW w:w="2160" w:type="dxa"/>
          </w:tcPr>
          <w:p w14:paraId="6776B0AF" w14:textId="77777777" w:rsidR="00332F44" w:rsidRPr="005D4222" w:rsidRDefault="00332F44" w:rsidP="003C0FF9">
            <w:pPr>
              <w:pStyle w:val="MarginSubhead"/>
              <w:rPr>
                <w:rFonts w:eastAsiaTheme="minorEastAsia" w:cs="Arial"/>
                <w:szCs w:val="21"/>
              </w:rPr>
            </w:pPr>
            <w:r w:rsidRPr="005D4222">
              <w:rPr>
                <w:rFonts w:eastAsiaTheme="minorEastAsia" w:cs="Arial"/>
                <w:szCs w:val="21"/>
              </w:rPr>
              <w:t>Table instructions</w:t>
            </w:r>
          </w:p>
        </w:tc>
        <w:tc>
          <w:tcPr>
            <w:tcW w:w="7740" w:type="dxa"/>
          </w:tcPr>
          <w:p w14:paraId="4F65158C" w14:textId="77777777" w:rsidR="00332F44" w:rsidRPr="005D4222" w:rsidRDefault="00332F44" w:rsidP="003C0FF9">
            <w:pPr>
              <w:pStyle w:val="Body"/>
              <w:rPr>
                <w:rFonts w:eastAsiaTheme="minorEastAsia" w:cs="Arial"/>
              </w:rPr>
            </w:pPr>
            <w:r w:rsidRPr="005D4222">
              <w:rPr>
                <w:rFonts w:eastAsiaTheme="minorEastAsia" w:cs="Arial"/>
                <w:b/>
              </w:rPr>
              <w:t>Table DDM-1/2/3</w:t>
            </w:r>
          </w:p>
          <w:p w14:paraId="73F86BE1" w14:textId="77777777" w:rsidR="00332F44" w:rsidRPr="005D4222" w:rsidRDefault="00332F44" w:rsidP="003C0FF9">
            <w:pPr>
              <w:pStyle w:val="Body"/>
              <w:spacing w:before="80"/>
              <w:rPr>
                <w:rFonts w:eastAsiaTheme="minorEastAsia" w:cs="Arial"/>
              </w:rPr>
            </w:pPr>
            <w:r w:rsidRPr="005D4222">
              <w:rPr>
                <w:rFonts w:eastAsiaTheme="minorEastAsia" w:cs="Arial"/>
              </w:rPr>
              <w:t>Report the number of members by disability status and the source from which those data were obtained (i.e., the disability status source), including reporting disability status information sourced from:</w:t>
            </w:r>
          </w:p>
          <w:p w14:paraId="1C4F96A5" w14:textId="77777777" w:rsidR="00332F44" w:rsidRPr="005D4222" w:rsidRDefault="00332F44" w:rsidP="00332F44">
            <w:pPr>
              <w:pStyle w:val="Bullet"/>
              <w:numPr>
                <w:ilvl w:val="0"/>
                <w:numId w:val="4"/>
              </w:numPr>
              <w:ind w:left="576" w:hanging="216"/>
              <w:rPr>
                <w:rFonts w:eastAsiaTheme="minorEastAsia" w:cs="Arial"/>
              </w:rPr>
            </w:pPr>
            <w:r w:rsidRPr="005D4222">
              <w:rPr>
                <w:rFonts w:eastAsiaTheme="minorEastAsia" w:cs="Arial"/>
              </w:rPr>
              <w:t>Self-reported questionnaires</w:t>
            </w:r>
            <w:r w:rsidRPr="005D4222">
              <w:rPr>
                <w:rFonts w:eastAsiaTheme="minorEastAsia"/>
              </w:rPr>
              <w:t>.</w:t>
            </w:r>
          </w:p>
          <w:p w14:paraId="3452EDD1" w14:textId="77777777" w:rsidR="00332F44" w:rsidRPr="005D4222" w:rsidRDefault="00332F44" w:rsidP="00332F44">
            <w:pPr>
              <w:pStyle w:val="Bullet"/>
              <w:numPr>
                <w:ilvl w:val="0"/>
                <w:numId w:val="4"/>
              </w:numPr>
              <w:ind w:left="576" w:hanging="216"/>
              <w:rPr>
                <w:rFonts w:eastAsiaTheme="minorEastAsia" w:cs="Arial"/>
              </w:rPr>
            </w:pPr>
            <w:r w:rsidRPr="005D4222">
              <w:rPr>
                <w:rFonts w:eastAsiaTheme="minorEastAsia" w:cs="Arial"/>
              </w:rPr>
              <w:t xml:space="preserve">Self-reported </w:t>
            </w:r>
            <w:bookmarkStart w:id="459" w:name="_Int_SLgevQwZ"/>
            <w:r w:rsidRPr="005D4222">
              <w:rPr>
                <w:rFonts w:eastAsiaTheme="minorEastAsia" w:cs="Arial"/>
              </w:rPr>
              <w:t>accommodations</w:t>
            </w:r>
            <w:bookmarkEnd w:id="459"/>
            <w:r w:rsidRPr="005D4222">
              <w:rPr>
                <w:rFonts w:eastAsiaTheme="minorEastAsia"/>
              </w:rPr>
              <w:t>.</w:t>
            </w:r>
            <w:r w:rsidRPr="005D4222">
              <w:rPr>
                <w:rFonts w:eastAsiaTheme="minorEastAsia" w:cs="Arial"/>
              </w:rPr>
              <w:t xml:space="preserve"> </w:t>
            </w:r>
          </w:p>
          <w:p w14:paraId="6C7A3567" w14:textId="77777777" w:rsidR="00332F44" w:rsidRPr="005D4222" w:rsidRDefault="00332F44" w:rsidP="00332F44">
            <w:pPr>
              <w:pStyle w:val="Bullet"/>
              <w:numPr>
                <w:ilvl w:val="0"/>
                <w:numId w:val="4"/>
              </w:numPr>
              <w:ind w:left="576" w:hanging="216"/>
              <w:rPr>
                <w:rFonts w:eastAsiaTheme="minorEastAsia" w:cs="Arial"/>
              </w:rPr>
            </w:pPr>
            <w:r w:rsidRPr="005D4222">
              <w:rPr>
                <w:rFonts w:eastAsiaTheme="minorEastAsia" w:cs="Arial"/>
              </w:rPr>
              <w:t xml:space="preserve">Obtained enrollment status/eligibility criteria. </w:t>
            </w:r>
          </w:p>
          <w:p w14:paraId="275F9F63" w14:textId="77777777" w:rsidR="00332F44" w:rsidRPr="005D4222" w:rsidRDefault="00332F44" w:rsidP="003C0FF9">
            <w:pPr>
              <w:pStyle w:val="Body"/>
              <w:rPr>
                <w:rFonts w:eastAsiaTheme="minorEastAsia" w:cs="Arial"/>
              </w:rPr>
            </w:pPr>
            <w:r w:rsidRPr="005D4222">
              <w:rPr>
                <w:rFonts w:eastAsiaTheme="minorEastAsia" w:cs="Arial"/>
              </w:rPr>
              <w:t xml:space="preserve">For members whose disability status is not collected or not documented, report in “Missing” under </w:t>
            </w:r>
            <w:r w:rsidRPr="005D4222">
              <w:rPr>
                <w:rFonts w:eastAsiaTheme="minorEastAsia" w:cs="Arial"/>
                <w:i/>
                <w:iCs/>
              </w:rPr>
              <w:t>Disability Status</w:t>
            </w:r>
            <w:r w:rsidRPr="005D4222">
              <w:rPr>
                <w:rFonts w:eastAsiaTheme="minorEastAsia" w:cs="Arial"/>
              </w:rPr>
              <w:t xml:space="preserve"> and “No Data” under </w:t>
            </w:r>
            <w:r w:rsidRPr="005D4222">
              <w:rPr>
                <w:rFonts w:eastAsiaTheme="minorEastAsia" w:cs="Arial"/>
                <w:i/>
                <w:iCs/>
              </w:rPr>
              <w:t>Disability Status</w:t>
            </w:r>
            <w:r w:rsidRPr="005D4222">
              <w:rPr>
                <w:rFonts w:eastAsiaTheme="minorEastAsia" w:cs="Arial"/>
              </w:rPr>
              <w:t xml:space="preserve"> </w:t>
            </w:r>
            <w:r w:rsidRPr="005D4222">
              <w:rPr>
                <w:rFonts w:eastAsiaTheme="minorEastAsia" w:cs="Arial"/>
                <w:i/>
                <w:iCs/>
              </w:rPr>
              <w:t>Source</w:t>
            </w:r>
            <w:r w:rsidRPr="005D4222">
              <w:rPr>
                <w:rFonts w:eastAsiaTheme="minorEastAsia" w:cs="Arial"/>
              </w:rPr>
              <w:t xml:space="preserve">. </w:t>
            </w:r>
          </w:p>
          <w:p w14:paraId="1A727342" w14:textId="77777777" w:rsidR="00332F44" w:rsidRPr="005D4222" w:rsidRDefault="00332F44" w:rsidP="003C0FF9">
            <w:pPr>
              <w:pStyle w:val="Body"/>
              <w:rPr>
                <w:rFonts w:eastAsiaTheme="minorEastAsia" w:cs="Arial"/>
              </w:rPr>
            </w:pPr>
            <w:r w:rsidRPr="005D4222">
              <w:rPr>
                <w:rFonts w:eastAsiaTheme="minorEastAsia" w:cs="Arial"/>
              </w:rPr>
              <w:t xml:space="preserve">For members whose disability status is known, but the disability status source is not traceable, include under the appropriate </w:t>
            </w:r>
            <w:r w:rsidRPr="005D4222">
              <w:rPr>
                <w:rFonts w:eastAsiaTheme="minorEastAsia" w:cs="Arial"/>
                <w:i/>
                <w:iCs/>
              </w:rPr>
              <w:t>Disability Status</w:t>
            </w:r>
            <w:r w:rsidRPr="005D4222">
              <w:rPr>
                <w:rFonts w:eastAsiaTheme="minorEastAsia" w:cs="Arial"/>
              </w:rPr>
              <w:t xml:space="preserve"> and “Unknown” under </w:t>
            </w:r>
            <w:r w:rsidRPr="005D4222">
              <w:rPr>
                <w:rFonts w:eastAsiaTheme="minorEastAsia" w:cs="Arial"/>
                <w:i/>
                <w:iCs/>
              </w:rPr>
              <w:t>Disability</w:t>
            </w:r>
            <w:r w:rsidRPr="005D4222">
              <w:rPr>
                <w:rFonts w:eastAsiaTheme="minorEastAsia" w:cs="Arial"/>
              </w:rPr>
              <w:t xml:space="preserve"> </w:t>
            </w:r>
            <w:r w:rsidRPr="005D4222">
              <w:rPr>
                <w:rFonts w:eastAsiaTheme="minorEastAsia" w:cs="Arial"/>
                <w:i/>
                <w:iCs/>
              </w:rPr>
              <w:t>Status Source</w:t>
            </w:r>
            <w:r w:rsidRPr="005D4222">
              <w:rPr>
                <w:rFonts w:eastAsiaTheme="minorEastAsia" w:cs="Arial"/>
              </w:rPr>
              <w:t xml:space="preserve">. </w:t>
            </w:r>
          </w:p>
          <w:p w14:paraId="33BC59BC" w14:textId="77777777" w:rsidR="00332F44" w:rsidRPr="005D4222" w:rsidRDefault="00332F44" w:rsidP="003C0FF9">
            <w:pPr>
              <w:pStyle w:val="Body"/>
              <w:rPr>
                <w:rFonts w:eastAsiaTheme="minorEastAsia" w:cs="Arial"/>
              </w:rPr>
            </w:pPr>
            <w:r w:rsidRPr="005D4222">
              <w:rPr>
                <w:rFonts w:eastAsiaTheme="minorEastAsia" w:cs="Arial"/>
              </w:rPr>
              <w:t xml:space="preserve">Report non-disabled members under “Not Disabled” </w:t>
            </w:r>
            <w:r w:rsidRPr="005D4222">
              <w:rPr>
                <w:rFonts w:eastAsiaTheme="minorEastAsia" w:cs="Arial"/>
                <w:i/>
                <w:iCs/>
              </w:rPr>
              <w:t>Disability Status</w:t>
            </w:r>
            <w:r w:rsidRPr="005D4222">
              <w:rPr>
                <w:rFonts w:eastAsiaTheme="minorEastAsia" w:cs="Arial"/>
              </w:rPr>
              <w:t xml:space="preserve"> category.</w:t>
            </w:r>
          </w:p>
        </w:tc>
      </w:tr>
      <w:tr w:rsidR="00332F44" w:rsidRPr="005D4222" w14:paraId="38F4C7F4" w14:textId="77777777" w:rsidTr="003C0FF9">
        <w:trPr>
          <w:trHeight w:val="720"/>
        </w:trPr>
        <w:tc>
          <w:tcPr>
            <w:tcW w:w="2160" w:type="dxa"/>
          </w:tcPr>
          <w:p w14:paraId="1FAE4AD8" w14:textId="77777777" w:rsidR="00332F44" w:rsidRPr="005D4222" w:rsidRDefault="00332F44" w:rsidP="003C0FF9">
            <w:pPr>
              <w:pStyle w:val="MarginSubhead"/>
              <w:rPr>
                <w:rFonts w:eastAsiaTheme="minorEastAsia" w:cs="Arial"/>
              </w:rPr>
            </w:pPr>
            <w:r w:rsidRPr="005D4222">
              <w:rPr>
                <w:rFonts w:eastAsiaTheme="minorEastAsia" w:cs="Arial"/>
              </w:rPr>
              <w:t>Disability status source</w:t>
            </w:r>
          </w:p>
        </w:tc>
        <w:tc>
          <w:tcPr>
            <w:tcW w:w="7740" w:type="dxa"/>
          </w:tcPr>
          <w:p w14:paraId="7C79F717" w14:textId="77777777" w:rsidR="00332F44" w:rsidRPr="005D4222" w:rsidRDefault="00332F44" w:rsidP="003C0FF9">
            <w:pPr>
              <w:pStyle w:val="Body"/>
              <w:rPr>
                <w:rFonts w:eastAsiaTheme="minorEastAsia" w:cs="Arial"/>
              </w:rPr>
            </w:pPr>
            <w:r w:rsidRPr="005D4222">
              <w:rPr>
                <w:rFonts w:eastAsiaTheme="minorEastAsia" w:cs="Arial"/>
              </w:rPr>
              <w:t xml:space="preserve">Report the number of members for whom data has been collected from each source for disability status. Disability status sources must fall into one of the following types: self-reported questionnaire, self-reported accommodations, enrollment status, unknown, no data. </w:t>
            </w:r>
          </w:p>
          <w:p w14:paraId="6E091727" w14:textId="77777777" w:rsidR="00332F44" w:rsidRPr="005D4222" w:rsidRDefault="00332F44" w:rsidP="00332F44">
            <w:pPr>
              <w:pStyle w:val="Bullet"/>
              <w:numPr>
                <w:ilvl w:val="0"/>
                <w:numId w:val="4"/>
              </w:numPr>
              <w:ind w:left="576" w:hanging="216"/>
              <w:rPr>
                <w:rFonts w:eastAsiaTheme="minorEastAsia"/>
              </w:rPr>
            </w:pPr>
            <w:r w:rsidRPr="005D4222">
              <w:rPr>
                <w:rFonts w:eastAsiaTheme="minorEastAsia"/>
                <w:i/>
                <w:iCs/>
              </w:rPr>
              <w:t>Self-Reported Questionnaire.</w:t>
            </w:r>
            <w:r w:rsidRPr="005D4222">
              <w:rPr>
                <w:rFonts w:eastAsiaTheme="minorEastAsia"/>
                <w:i/>
              </w:rPr>
              <w:t xml:space="preserve"> </w:t>
            </w:r>
            <w:r w:rsidRPr="005D4222">
              <w:rPr>
                <w:rFonts w:eastAsiaTheme="minorEastAsia"/>
              </w:rPr>
              <w:t>Includes data that the organization has collected directly from members; for example, through surveys, health risk assessments or case management systems. Questionnaires may include, but are not limited to, the American Community Survey Six-item (ACS-6) Disability Questions and the Washington Group Short Set (WG-SS) on Disability</w:t>
            </w:r>
            <w:r w:rsidRPr="005D4222" w:rsidDel="00B424D6">
              <w:rPr>
                <w:rFonts w:eastAsiaTheme="minorEastAsia"/>
              </w:rPr>
              <w:t>.</w:t>
            </w:r>
            <w:r w:rsidRPr="005D4222">
              <w:rPr>
                <w:rFonts w:eastAsiaTheme="minorEastAsia"/>
              </w:rPr>
              <w:t xml:space="preserve"> LOINC codes may be used to report this source category and disability type. </w:t>
            </w:r>
          </w:p>
          <w:p w14:paraId="6DCA1F49" w14:textId="77777777" w:rsidR="00332F44" w:rsidRPr="005D4222" w:rsidRDefault="00332F44" w:rsidP="00332F44">
            <w:pPr>
              <w:pStyle w:val="Bullet"/>
              <w:numPr>
                <w:ilvl w:val="0"/>
                <w:numId w:val="4"/>
              </w:numPr>
              <w:ind w:left="576" w:hanging="216"/>
              <w:rPr>
                <w:rFonts w:eastAsiaTheme="minorEastAsia"/>
              </w:rPr>
            </w:pPr>
            <w:r w:rsidRPr="005D4222">
              <w:rPr>
                <w:rFonts w:eastAsiaTheme="minorEastAsia"/>
                <w:i/>
                <w:iCs/>
              </w:rPr>
              <w:t>Self-Reported Accommodations.</w:t>
            </w:r>
            <w:r w:rsidRPr="005D4222">
              <w:rPr>
                <w:rFonts w:eastAsiaTheme="minorEastAsia"/>
              </w:rPr>
              <w:t xml:space="preserve"> Organizations may collect information on accommodations requested by members. These may include, but are not limited to: wheelchair access, braille materials, text magnifiers, materials in large print, audio recordings of materials, sign language interpreters, audio described content, communication cards/boards, alternative communication devices, text-to-speech or speech-to-text applications, </w:t>
            </w:r>
            <w:r w:rsidRPr="005D4222">
              <w:rPr>
                <w:rFonts w:eastAsiaTheme="minorEastAsia"/>
              </w:rPr>
              <w:lastRenderedPageBreak/>
              <w:t xml:space="preserve">voice amplifiers, Communication Access Real Time Translation (CART), low stimulation environments, sensory fidgets, appointment time accommodations. </w:t>
            </w:r>
          </w:p>
          <w:p w14:paraId="7E1F37EA" w14:textId="77777777" w:rsidR="00332F44" w:rsidRPr="005D4222" w:rsidRDefault="00332F44" w:rsidP="00332F44">
            <w:pPr>
              <w:pStyle w:val="Bullet"/>
              <w:numPr>
                <w:ilvl w:val="0"/>
                <w:numId w:val="4"/>
              </w:numPr>
              <w:ind w:left="576" w:hanging="216"/>
              <w:rPr>
                <w:rFonts w:eastAsiaTheme="minorEastAsia"/>
              </w:rPr>
            </w:pPr>
            <w:r w:rsidRPr="005D4222">
              <w:rPr>
                <w:rFonts w:eastAsiaTheme="minorEastAsia"/>
                <w:i/>
                <w:iCs/>
              </w:rPr>
              <w:t>Enrollment Status:</w:t>
            </w:r>
            <w:r w:rsidRPr="005D4222">
              <w:rPr>
                <w:rFonts w:eastAsiaTheme="minorEastAsia"/>
              </w:rPr>
              <w:t xml:space="preserve"> Enrollment information furnished by state Medicaid agencies, patient enrollment information in claims. </w:t>
            </w:r>
          </w:p>
          <w:p w14:paraId="0EB10AB7" w14:textId="77777777" w:rsidR="00332F44" w:rsidRPr="005D4222" w:rsidRDefault="00332F44" w:rsidP="00332F44">
            <w:pPr>
              <w:pStyle w:val="Bullet"/>
              <w:numPr>
                <w:ilvl w:val="0"/>
                <w:numId w:val="4"/>
              </w:numPr>
              <w:ind w:left="576" w:hanging="216"/>
              <w:rPr>
                <w:rFonts w:eastAsiaTheme="minorEastAsia"/>
              </w:rPr>
            </w:pPr>
            <w:r w:rsidRPr="005D4222">
              <w:rPr>
                <w:rFonts w:eastAsiaTheme="minorEastAsia"/>
                <w:i/>
                <w:iCs/>
              </w:rPr>
              <w:t>Unknown:</w:t>
            </w:r>
            <w:r w:rsidRPr="005D4222">
              <w:rPr>
                <w:rFonts w:eastAsiaTheme="minorEastAsia"/>
              </w:rPr>
              <w:t xml:space="preserve"> When the reported disability status value is known, but the source is unknown (i.e., there is a disability status value on file from a legacy system, but the organization does not know the source).</w:t>
            </w:r>
          </w:p>
        </w:tc>
      </w:tr>
    </w:tbl>
    <w:p w14:paraId="21A79B55" w14:textId="77777777" w:rsidR="00332F44" w:rsidRPr="005D4222" w:rsidRDefault="00332F44" w:rsidP="002B2954">
      <w:pPr>
        <w:pStyle w:val="SubHeadNoTOC"/>
        <w:rPr>
          <w:rFonts w:eastAsiaTheme="minorEastAsia"/>
          <w:i/>
        </w:rPr>
      </w:pPr>
      <w:bookmarkStart w:id="460" w:name="_Toc201813342"/>
      <w:r w:rsidRPr="005D4222">
        <w:rPr>
          <w:rFonts w:eastAsiaTheme="minorEastAsia"/>
          <w:i/>
        </w:rPr>
        <w:lastRenderedPageBreak/>
        <w:t>Notes</w:t>
      </w:r>
      <w:bookmarkEnd w:id="460"/>
    </w:p>
    <w:p w14:paraId="35FECE7E" w14:textId="77777777" w:rsidR="00332F44" w:rsidRPr="005D4222" w:rsidRDefault="00332F44" w:rsidP="00332F44">
      <w:pPr>
        <w:pStyle w:val="ProcessBullet"/>
        <w:numPr>
          <w:ilvl w:val="0"/>
          <w:numId w:val="134"/>
        </w:numPr>
        <w:tabs>
          <w:tab w:val="left" w:pos="216"/>
        </w:tabs>
        <w:ind w:left="216" w:hanging="216"/>
        <w:rPr>
          <w:rFonts w:eastAsiaTheme="minorEastAsia" w:cs="Arial"/>
          <w:i/>
          <w:iCs/>
        </w:rPr>
      </w:pPr>
      <w:r w:rsidRPr="005D4222">
        <w:rPr>
          <w:rFonts w:eastAsiaTheme="minorEastAsia" w:cs="Arial"/>
          <w:i/>
          <w:iCs/>
        </w:rPr>
        <w:t xml:space="preserve">It is considered “best practice” to collect data directly from members, because this method reflects members’ self-identification. If self-reported data from a questionnaire </w:t>
      </w:r>
      <w:r w:rsidRPr="005D4222">
        <w:rPr>
          <w:rFonts w:eastAsiaTheme="minorEastAsia" w:cs="Arial"/>
          <w:i/>
        </w:rPr>
        <w:t xml:space="preserve">are </w:t>
      </w:r>
      <w:r w:rsidRPr="005D4222">
        <w:rPr>
          <w:rFonts w:eastAsiaTheme="minorEastAsia" w:cs="Arial"/>
          <w:i/>
          <w:iCs/>
        </w:rPr>
        <w:t xml:space="preserve">not available, disability status may be identified by the proxy of accommodation requests. If self-reported accommodations are not available, third-party data collected directly by another entity, such as the state or CMS, are desired. If multiple disability statuses are identified for a single member, report disability status source according to the following hierarchy: self-reported questionnaire, self-reported accommodations, enrollment status. </w:t>
      </w:r>
    </w:p>
    <w:p w14:paraId="0B447D9C" w14:textId="77777777" w:rsidR="00332F44" w:rsidRPr="005D4222" w:rsidRDefault="00332F44" w:rsidP="00332F44">
      <w:pPr>
        <w:pStyle w:val="ProcessBullet"/>
        <w:numPr>
          <w:ilvl w:val="0"/>
          <w:numId w:val="134"/>
        </w:numPr>
        <w:tabs>
          <w:tab w:val="left" w:pos="216"/>
        </w:tabs>
        <w:ind w:left="216" w:hanging="216"/>
        <w:rPr>
          <w:rFonts w:eastAsiaTheme="minorEastAsia" w:cs="Arial"/>
          <w:i/>
        </w:rPr>
      </w:pPr>
      <w:r w:rsidRPr="005D4222">
        <w:rPr>
          <w:rFonts w:eastAsiaTheme="minorEastAsia" w:cs="Arial"/>
          <w:i/>
        </w:rPr>
        <w:t xml:space="preserve">When multiple sources of data are used, there may be disagreements in the data collected. To resolve a disagreement, </w:t>
      </w:r>
      <w:r w:rsidRPr="005D4222">
        <w:rPr>
          <w:rFonts w:eastAsiaTheme="minorEastAsia" w:cs="Arial"/>
          <w:i/>
          <w:iCs/>
        </w:rPr>
        <w:t>the</w:t>
      </w:r>
      <w:r w:rsidRPr="005D4222">
        <w:rPr>
          <w:rFonts w:eastAsiaTheme="minorEastAsia" w:cs="Arial"/>
          <w:i/>
        </w:rPr>
        <w:t xml:space="preserve"> organization should use a logical process that considers the relative accuracy of each status source</w:t>
      </w:r>
      <w:r w:rsidRPr="005D4222">
        <w:rPr>
          <w:rFonts w:eastAsiaTheme="minorEastAsia" w:cs="Arial"/>
          <w:i/>
          <w:iCs/>
        </w:rPr>
        <w:t xml:space="preserve"> but does not undercount the disability population. </w:t>
      </w:r>
    </w:p>
    <w:p w14:paraId="5D93883C" w14:textId="77777777" w:rsidR="00332F44" w:rsidRPr="005D4222" w:rsidRDefault="00332F44" w:rsidP="00332F44">
      <w:pPr>
        <w:pStyle w:val="ProcessDash"/>
        <w:rPr>
          <w:rFonts w:eastAsiaTheme="minorEastAsia" w:cs="Arial"/>
          <w:i/>
          <w:iCs/>
        </w:rPr>
      </w:pPr>
      <w:r w:rsidRPr="005D4222">
        <w:rPr>
          <w:rFonts w:eastAsiaTheme="minorEastAsia" w:cs="Arial"/>
          <w:i/>
          <w:iCs/>
        </w:rPr>
        <w:t xml:space="preserve">If a member’s disability status is “disabled” according to any source, this member counts as disabled regardless of if another status source suggests “not disabled”. </w:t>
      </w:r>
    </w:p>
    <w:p w14:paraId="7FDE5955" w14:textId="77777777" w:rsidR="00332F44" w:rsidRPr="005D4222" w:rsidRDefault="00332F44" w:rsidP="00332F44">
      <w:pPr>
        <w:pStyle w:val="Heading3"/>
        <w:ind w:left="1710" w:hanging="1710"/>
        <w:rPr>
          <w:b w:val="0"/>
          <w:bCs w:val="0"/>
          <w:i w:val="0"/>
        </w:rPr>
      </w:pPr>
      <w:r w:rsidRPr="005D4222">
        <w:t>Table DDM-1/2/3:</w:t>
      </w:r>
      <w:r w:rsidRPr="005D4222">
        <w:tab/>
        <w:t xml:space="preserve">Data Elements for </w:t>
      </w:r>
      <w:r w:rsidRPr="005D4222">
        <w:rPr>
          <w:iCs/>
          <w:szCs w:val="28"/>
        </w:rPr>
        <w:t xml:space="preserve">Disability Description of Membership </w:t>
      </w:r>
    </w:p>
    <w:tbl>
      <w:tblPr>
        <w:tblW w:w="5000" w:type="pct"/>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59"/>
        <w:gridCol w:w="1589"/>
        <w:gridCol w:w="2641"/>
        <w:gridCol w:w="1659"/>
        <w:gridCol w:w="1952"/>
      </w:tblGrid>
      <w:tr w:rsidR="00332F44" w:rsidRPr="005D4222" w14:paraId="1F5BDB62" w14:textId="77777777" w:rsidTr="003C0FF9">
        <w:trPr>
          <w:trHeight w:val="300"/>
        </w:trPr>
        <w:tc>
          <w:tcPr>
            <w:tcW w:w="1859" w:type="dxa"/>
            <w:tcBorders>
              <w:top w:val="single" w:sz="8" w:space="0" w:color="000000" w:themeColor="text1"/>
              <w:left w:val="single" w:sz="8" w:space="0" w:color="000000" w:themeColor="text1"/>
              <w:bottom w:val="single" w:sz="8" w:space="0" w:color="000000" w:themeColor="text1"/>
              <w:right w:val="single" w:sz="8" w:space="0" w:color="FFFFFF" w:themeColor="background1"/>
            </w:tcBorders>
            <w:shd w:val="clear" w:color="auto" w:fill="000000" w:themeFill="text1"/>
            <w:vAlign w:val="bottom"/>
          </w:tcPr>
          <w:p w14:paraId="10161588" w14:textId="77777777" w:rsidR="00332F44" w:rsidRPr="005D4222" w:rsidRDefault="00332F44" w:rsidP="003C0FF9">
            <w:pPr>
              <w:pStyle w:val="TableHead"/>
              <w:rPr>
                <w:rFonts w:eastAsia="Arial Narrow"/>
              </w:rPr>
            </w:pPr>
            <w:r w:rsidRPr="005D4222">
              <w:rPr>
                <w:rFonts w:eastAsia="Arial Narrow"/>
              </w:rPr>
              <w:t>Metric</w:t>
            </w:r>
          </w:p>
        </w:tc>
        <w:tc>
          <w:tcPr>
            <w:tcW w:w="1589"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000000" w:themeFill="text1"/>
            <w:vAlign w:val="bottom"/>
          </w:tcPr>
          <w:p w14:paraId="3A44BB6D" w14:textId="77777777" w:rsidR="00332F44" w:rsidRPr="005D4222" w:rsidRDefault="00332F44" w:rsidP="003C0FF9">
            <w:pPr>
              <w:pStyle w:val="TableHead"/>
              <w:rPr>
                <w:rFonts w:eastAsia="Arial Narrow"/>
              </w:rPr>
            </w:pPr>
            <w:r w:rsidRPr="005D4222">
              <w:rPr>
                <w:rFonts w:eastAsia="Arial Narrow"/>
              </w:rPr>
              <w:t>DisabilityStatus</w:t>
            </w:r>
          </w:p>
        </w:tc>
        <w:tc>
          <w:tcPr>
            <w:tcW w:w="2641"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000000" w:themeFill="text1"/>
            <w:vAlign w:val="bottom"/>
          </w:tcPr>
          <w:p w14:paraId="79D72733" w14:textId="77777777" w:rsidR="00332F44" w:rsidRPr="005D4222" w:rsidRDefault="00332F44" w:rsidP="003C0FF9">
            <w:pPr>
              <w:pStyle w:val="TableHead"/>
              <w:rPr>
                <w:rFonts w:eastAsia="Arial Narrow"/>
              </w:rPr>
            </w:pPr>
            <w:r w:rsidRPr="005D4222">
              <w:rPr>
                <w:rFonts w:eastAsia="Arial Narrow"/>
              </w:rPr>
              <w:t>DisabilityStatusSource</w:t>
            </w:r>
          </w:p>
        </w:tc>
        <w:tc>
          <w:tcPr>
            <w:tcW w:w="1659"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000000" w:themeFill="text1"/>
            <w:vAlign w:val="bottom"/>
          </w:tcPr>
          <w:p w14:paraId="4E07D13A" w14:textId="77777777" w:rsidR="00332F44" w:rsidRPr="005D4222" w:rsidRDefault="00332F44" w:rsidP="003C0FF9">
            <w:pPr>
              <w:pStyle w:val="TableHead"/>
              <w:rPr>
                <w:rFonts w:eastAsia="Arial Narrow"/>
              </w:rPr>
            </w:pPr>
            <w:r w:rsidRPr="005D4222">
              <w:rPr>
                <w:rFonts w:eastAsia="Arial Narrow"/>
              </w:rPr>
              <w:t>Data Element</w:t>
            </w:r>
          </w:p>
        </w:tc>
        <w:tc>
          <w:tcPr>
            <w:tcW w:w="1952" w:type="dxa"/>
            <w:tcBorders>
              <w:top w:val="single" w:sz="8" w:space="0" w:color="000000" w:themeColor="text1"/>
              <w:left w:val="single" w:sz="8" w:space="0" w:color="FFFFFF" w:themeColor="background1"/>
              <w:bottom w:val="single" w:sz="8" w:space="0" w:color="000000" w:themeColor="text1"/>
              <w:right w:val="single" w:sz="8" w:space="0" w:color="000000" w:themeColor="text1"/>
            </w:tcBorders>
            <w:shd w:val="clear" w:color="auto" w:fill="000000" w:themeFill="text1"/>
            <w:vAlign w:val="bottom"/>
          </w:tcPr>
          <w:p w14:paraId="1CF28819" w14:textId="77777777" w:rsidR="00332F44" w:rsidRPr="005D4222" w:rsidRDefault="00332F44" w:rsidP="003C0FF9">
            <w:pPr>
              <w:pStyle w:val="TableHead"/>
              <w:rPr>
                <w:rFonts w:eastAsia="Arial Narrow"/>
              </w:rPr>
            </w:pPr>
            <w:r w:rsidRPr="005D4222">
              <w:rPr>
                <w:rFonts w:eastAsia="Arial Narrow"/>
              </w:rPr>
              <w:t>Reporting Instructions</w:t>
            </w:r>
          </w:p>
        </w:tc>
      </w:tr>
      <w:tr w:rsidR="00332F44" w:rsidRPr="005D4222" w14:paraId="278ED1FC" w14:textId="77777777" w:rsidTr="003C0FF9">
        <w:trPr>
          <w:trHeight w:val="300"/>
        </w:trPr>
        <w:tc>
          <w:tcPr>
            <w:tcW w:w="185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FC1033" w14:textId="77777777" w:rsidR="00332F44" w:rsidRPr="005D4222" w:rsidRDefault="00332F44" w:rsidP="003C0FF9">
            <w:pPr>
              <w:pStyle w:val="TableText"/>
            </w:pPr>
            <w:r w:rsidRPr="005D4222">
              <w:t xml:space="preserve">DisabilityAndSource </w:t>
            </w:r>
          </w:p>
        </w:tc>
        <w:tc>
          <w:tcPr>
            <w:tcW w:w="158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0646F2" w14:textId="77777777" w:rsidR="00332F44" w:rsidRPr="005D4222" w:rsidRDefault="00332F44" w:rsidP="003C0FF9">
            <w:pPr>
              <w:pStyle w:val="TableText"/>
            </w:pPr>
            <w:r w:rsidRPr="005D4222">
              <w:t>Disabled</w:t>
            </w:r>
          </w:p>
        </w:tc>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DCAAA0" w14:textId="77777777" w:rsidR="00332F44" w:rsidRPr="005D4222" w:rsidRDefault="00332F44" w:rsidP="003C0FF9">
            <w:pPr>
              <w:pStyle w:val="TableText"/>
            </w:pPr>
            <w:r w:rsidRPr="005D4222">
              <w:t>SelfReportedQuestionnaire</w:t>
            </w:r>
          </w:p>
        </w:tc>
        <w:tc>
          <w:tcPr>
            <w:tcW w:w="1659" w:type="dxa"/>
            <w:tcBorders>
              <w:top w:val="single" w:sz="8" w:space="0" w:color="000000" w:themeColor="text1"/>
              <w:left w:val="single" w:sz="8" w:space="0" w:color="000000" w:themeColor="text1"/>
              <w:bottom w:val="single" w:sz="2" w:space="0" w:color="000000" w:themeColor="text1"/>
              <w:right w:val="single" w:sz="8" w:space="0" w:color="auto"/>
            </w:tcBorders>
          </w:tcPr>
          <w:p w14:paraId="798A8780" w14:textId="77777777" w:rsidR="00332F44" w:rsidRPr="005D4222" w:rsidRDefault="00332F44" w:rsidP="003C0FF9">
            <w:pPr>
              <w:pStyle w:val="TableText"/>
            </w:pPr>
            <w:r w:rsidRPr="005D4222">
              <w:t>MemberCount</w:t>
            </w:r>
            <w:r w:rsidRPr="005D4222">
              <w:rPr>
                <w:b/>
                <w:bCs/>
              </w:rPr>
              <w:t>***</w:t>
            </w:r>
            <w:r w:rsidRPr="005D4222">
              <w:t xml:space="preserve"> </w:t>
            </w:r>
          </w:p>
        </w:tc>
        <w:tc>
          <w:tcPr>
            <w:tcW w:w="1952" w:type="dxa"/>
            <w:tcBorders>
              <w:top w:val="single" w:sz="8" w:space="0" w:color="000000" w:themeColor="text1"/>
              <w:left w:val="single" w:sz="8" w:space="0" w:color="auto"/>
              <w:bottom w:val="single" w:sz="2" w:space="0" w:color="000000" w:themeColor="text1"/>
              <w:right w:val="single" w:sz="8" w:space="0" w:color="auto"/>
            </w:tcBorders>
          </w:tcPr>
          <w:p w14:paraId="527D2F5D" w14:textId="77777777" w:rsidR="00332F44" w:rsidRPr="005D4222" w:rsidRDefault="00332F44" w:rsidP="003C0FF9">
            <w:pPr>
              <w:pStyle w:val="TableText"/>
            </w:pPr>
            <w:r w:rsidRPr="005D4222">
              <w:t>For each Stratification</w:t>
            </w:r>
          </w:p>
        </w:tc>
      </w:tr>
      <w:tr w:rsidR="00332F44" w:rsidRPr="005D4222" w14:paraId="5232D1B8" w14:textId="77777777" w:rsidTr="003C0FF9">
        <w:trPr>
          <w:trHeight w:val="360"/>
        </w:trPr>
        <w:tc>
          <w:tcPr>
            <w:tcW w:w="1859" w:type="dxa"/>
            <w:tcBorders>
              <w:top w:val="nil"/>
              <w:left w:val="nil"/>
              <w:bottom w:val="nil"/>
              <w:right w:val="single" w:sz="8" w:space="0" w:color="000000" w:themeColor="text1"/>
            </w:tcBorders>
            <w:shd w:val="clear" w:color="auto" w:fill="FFFFFF" w:themeFill="background1"/>
          </w:tcPr>
          <w:p w14:paraId="2D1A8A2A" w14:textId="77777777" w:rsidR="00332F44" w:rsidRPr="005D4222" w:rsidRDefault="00332F44" w:rsidP="003C0FF9">
            <w:pPr>
              <w:pStyle w:val="TableText"/>
            </w:pPr>
          </w:p>
        </w:tc>
        <w:tc>
          <w:tcPr>
            <w:tcW w:w="15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Pr>
          <w:p w14:paraId="6E332A06" w14:textId="77777777" w:rsidR="00332F44" w:rsidRPr="005D4222" w:rsidRDefault="00332F44" w:rsidP="003C0FF9">
            <w:pPr>
              <w:pStyle w:val="TableText"/>
            </w:pPr>
            <w:r w:rsidRPr="005D4222">
              <w:t>Not Disabled</w:t>
            </w:r>
          </w:p>
        </w:tc>
        <w:tc>
          <w:tcPr>
            <w:tcW w:w="2641" w:type="dxa"/>
            <w:tcBorders>
              <w:top w:val="single" w:sz="8" w:space="0" w:color="000000" w:themeColor="text1"/>
              <w:left w:val="single" w:sz="8" w:space="0" w:color="000000" w:themeColor="text1"/>
              <w:bottom w:val="single" w:sz="8" w:space="0" w:color="000000" w:themeColor="text1"/>
              <w:right w:val="single" w:sz="2" w:space="0" w:color="000000" w:themeColor="text1"/>
            </w:tcBorders>
            <w:shd w:val="clear" w:color="auto" w:fill="FFFFFF" w:themeFill="background1"/>
          </w:tcPr>
          <w:p w14:paraId="3BE00DEF" w14:textId="77777777" w:rsidR="00332F44" w:rsidRPr="005D4222" w:rsidRDefault="00332F44" w:rsidP="003C0FF9">
            <w:pPr>
              <w:pStyle w:val="TableText"/>
            </w:pPr>
            <w:r w:rsidRPr="005D4222">
              <w:t>SelfReportedAccommodations</w:t>
            </w:r>
          </w:p>
        </w:tc>
        <w:tc>
          <w:tcPr>
            <w:tcW w:w="1659" w:type="dxa"/>
            <w:tcBorders>
              <w:top w:val="single" w:sz="2" w:space="0" w:color="000000" w:themeColor="text1"/>
              <w:left w:val="single" w:sz="2" w:space="0" w:color="000000" w:themeColor="text1"/>
              <w:bottom w:val="single" w:sz="4" w:space="0" w:color="auto"/>
              <w:right w:val="single" w:sz="4" w:space="0" w:color="auto"/>
            </w:tcBorders>
            <w:shd w:val="clear" w:color="auto" w:fill="BFBFBF" w:themeFill="background1" w:themeFillShade="BF"/>
          </w:tcPr>
          <w:p w14:paraId="1D835714" w14:textId="77777777" w:rsidR="00332F44" w:rsidRPr="005D4222" w:rsidRDefault="00332F44" w:rsidP="003C0FF9">
            <w:pPr>
              <w:pStyle w:val="TableText"/>
            </w:pPr>
            <w:r w:rsidRPr="005D4222">
              <w:t>Rate</w:t>
            </w:r>
          </w:p>
        </w:tc>
        <w:tc>
          <w:tcPr>
            <w:tcW w:w="1952" w:type="dxa"/>
            <w:tcBorders>
              <w:top w:val="single" w:sz="2" w:space="0" w:color="000000" w:themeColor="text1"/>
              <w:left w:val="single" w:sz="4" w:space="0" w:color="auto"/>
              <w:bottom w:val="single" w:sz="4" w:space="0" w:color="auto"/>
              <w:right w:val="single" w:sz="4" w:space="0" w:color="auto"/>
            </w:tcBorders>
            <w:shd w:val="clear" w:color="auto" w:fill="BFBFBF" w:themeFill="background1" w:themeFillShade="BF"/>
          </w:tcPr>
          <w:p w14:paraId="52B05828" w14:textId="77777777" w:rsidR="00332F44" w:rsidRPr="005D4222" w:rsidRDefault="00332F44" w:rsidP="003C0FF9">
            <w:pPr>
              <w:pStyle w:val="TableText"/>
            </w:pPr>
            <w:r w:rsidRPr="005D4222">
              <w:t>(Percent)</w:t>
            </w:r>
          </w:p>
        </w:tc>
      </w:tr>
      <w:tr w:rsidR="00332F44" w:rsidRPr="005D4222" w14:paraId="459E7AA1" w14:textId="77777777" w:rsidTr="003C0FF9">
        <w:trPr>
          <w:trHeight w:val="360"/>
        </w:trPr>
        <w:tc>
          <w:tcPr>
            <w:tcW w:w="1859" w:type="dxa"/>
            <w:tcBorders>
              <w:top w:val="nil"/>
              <w:left w:val="nil"/>
              <w:bottom w:val="nil"/>
              <w:right w:val="single" w:sz="8" w:space="0" w:color="000000" w:themeColor="text1"/>
            </w:tcBorders>
            <w:shd w:val="clear" w:color="auto" w:fill="FFFFFF" w:themeFill="background1"/>
          </w:tcPr>
          <w:p w14:paraId="02A45BDC" w14:textId="77777777" w:rsidR="00332F44" w:rsidRPr="005D4222" w:rsidRDefault="00332F44" w:rsidP="003C0FF9">
            <w:pPr>
              <w:pStyle w:val="TableText"/>
            </w:pPr>
            <w:r w:rsidRPr="005D4222">
              <w:t xml:space="preserve"> </w:t>
            </w:r>
          </w:p>
        </w:tc>
        <w:tc>
          <w:tcPr>
            <w:tcW w:w="15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Pr>
          <w:p w14:paraId="7664BC7E" w14:textId="77777777" w:rsidR="00332F44" w:rsidRPr="005D4222" w:rsidRDefault="00332F44" w:rsidP="003C0FF9">
            <w:pPr>
              <w:pStyle w:val="TableText"/>
            </w:pPr>
            <w:r w:rsidRPr="005D4222">
              <w:t>Missing</w:t>
            </w:r>
          </w:p>
        </w:tc>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Pr>
          <w:p w14:paraId="11A0291C" w14:textId="77777777" w:rsidR="00332F44" w:rsidRPr="005D4222" w:rsidRDefault="00332F44" w:rsidP="003C0FF9">
            <w:pPr>
              <w:pStyle w:val="TableText"/>
            </w:pPr>
            <w:r w:rsidRPr="005D4222">
              <w:t>EnrollmentStatus</w:t>
            </w:r>
          </w:p>
        </w:tc>
        <w:tc>
          <w:tcPr>
            <w:tcW w:w="1659" w:type="dxa"/>
            <w:tcBorders>
              <w:top w:val="single" w:sz="4" w:space="0" w:color="auto"/>
              <w:left w:val="single" w:sz="8" w:space="0" w:color="auto"/>
              <w:bottom w:val="nil"/>
              <w:right w:val="nil"/>
            </w:tcBorders>
            <w:shd w:val="clear" w:color="auto" w:fill="FFFFFF" w:themeFill="background1"/>
          </w:tcPr>
          <w:p w14:paraId="4855E0FA" w14:textId="77777777" w:rsidR="00332F44" w:rsidRPr="005D4222" w:rsidRDefault="00332F44" w:rsidP="003C0FF9">
            <w:pPr>
              <w:pStyle w:val="TableText"/>
            </w:pPr>
            <w:r w:rsidRPr="005D4222">
              <w:t xml:space="preserve"> </w:t>
            </w:r>
          </w:p>
        </w:tc>
        <w:tc>
          <w:tcPr>
            <w:tcW w:w="1952" w:type="dxa"/>
            <w:tcBorders>
              <w:top w:val="single" w:sz="4" w:space="0" w:color="auto"/>
              <w:left w:val="nil"/>
              <w:bottom w:val="nil"/>
              <w:right w:val="nil"/>
            </w:tcBorders>
            <w:shd w:val="clear" w:color="auto" w:fill="FFFFFF" w:themeFill="background1"/>
          </w:tcPr>
          <w:p w14:paraId="21A4AD71" w14:textId="77777777" w:rsidR="00332F44" w:rsidRPr="005D4222" w:rsidRDefault="00332F44" w:rsidP="003C0FF9">
            <w:pPr>
              <w:pStyle w:val="TableText"/>
            </w:pPr>
          </w:p>
        </w:tc>
      </w:tr>
      <w:tr w:rsidR="00332F44" w:rsidRPr="005D4222" w14:paraId="3C2116C7" w14:textId="77777777" w:rsidTr="003C0FF9">
        <w:trPr>
          <w:trHeight w:val="300"/>
        </w:trPr>
        <w:tc>
          <w:tcPr>
            <w:tcW w:w="1859" w:type="dxa"/>
            <w:tcBorders>
              <w:top w:val="nil"/>
              <w:left w:val="nil"/>
              <w:bottom w:val="nil"/>
              <w:right w:val="single" w:sz="8" w:space="0" w:color="000000" w:themeColor="text1"/>
            </w:tcBorders>
            <w:shd w:val="clear" w:color="auto" w:fill="FFFFFF" w:themeFill="background1"/>
          </w:tcPr>
          <w:p w14:paraId="6BD33D44" w14:textId="77777777" w:rsidR="00332F44" w:rsidRPr="005D4222" w:rsidRDefault="00332F44" w:rsidP="003C0FF9">
            <w:pPr>
              <w:pStyle w:val="TableText"/>
            </w:pPr>
            <w:r w:rsidRPr="005D4222">
              <w:t xml:space="preserve"> </w:t>
            </w:r>
          </w:p>
        </w:tc>
        <w:tc>
          <w:tcPr>
            <w:tcW w:w="15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21E23E2F" w14:textId="77777777" w:rsidR="00332F44" w:rsidRPr="005D4222" w:rsidRDefault="00332F44" w:rsidP="003C0FF9">
            <w:pPr>
              <w:pStyle w:val="TableText"/>
            </w:pPr>
            <w:r w:rsidRPr="005D4222">
              <w:t>Total</w:t>
            </w:r>
          </w:p>
        </w:tc>
        <w:tc>
          <w:tcPr>
            <w:tcW w:w="2641" w:type="dxa"/>
            <w:tcBorders>
              <w:top w:val="single" w:sz="8" w:space="0" w:color="000000" w:themeColor="text1"/>
              <w:left w:val="single" w:sz="8" w:space="0" w:color="000000" w:themeColor="text1"/>
              <w:bottom w:val="single" w:sz="8" w:space="0" w:color="000000" w:themeColor="text1"/>
              <w:right w:val="single" w:sz="8" w:space="0" w:color="auto"/>
            </w:tcBorders>
            <w:shd w:val="clear" w:color="auto" w:fill="FFFFFF" w:themeFill="background1"/>
          </w:tcPr>
          <w:p w14:paraId="7F785AE0" w14:textId="77777777" w:rsidR="00332F44" w:rsidRPr="005D4222" w:rsidRDefault="00332F44" w:rsidP="003C0FF9">
            <w:pPr>
              <w:pStyle w:val="TableText"/>
            </w:pPr>
            <w:r w:rsidRPr="005D4222">
              <w:t>Unknown</w:t>
            </w:r>
            <w:r w:rsidRPr="005D4222">
              <w:rPr>
                <w:b/>
                <w:bCs/>
              </w:rPr>
              <w:t>*</w:t>
            </w:r>
          </w:p>
        </w:tc>
        <w:tc>
          <w:tcPr>
            <w:tcW w:w="1659" w:type="dxa"/>
            <w:tcBorders>
              <w:top w:val="nil"/>
              <w:left w:val="single" w:sz="8" w:space="0" w:color="auto"/>
              <w:bottom w:val="nil"/>
              <w:right w:val="nil"/>
            </w:tcBorders>
            <w:shd w:val="clear" w:color="auto" w:fill="FFFFFF" w:themeFill="background1"/>
          </w:tcPr>
          <w:p w14:paraId="4743405B" w14:textId="77777777" w:rsidR="00332F44" w:rsidRPr="005D4222" w:rsidRDefault="00332F44" w:rsidP="003C0FF9">
            <w:pPr>
              <w:pStyle w:val="TableText"/>
            </w:pPr>
            <w:r w:rsidRPr="005D4222">
              <w:t xml:space="preserve"> </w:t>
            </w:r>
          </w:p>
        </w:tc>
        <w:tc>
          <w:tcPr>
            <w:tcW w:w="1952" w:type="dxa"/>
            <w:tcBorders>
              <w:top w:val="nil"/>
              <w:left w:val="nil"/>
              <w:bottom w:val="nil"/>
              <w:right w:val="nil"/>
            </w:tcBorders>
          </w:tcPr>
          <w:p w14:paraId="7A08BBFF" w14:textId="77777777" w:rsidR="00332F44" w:rsidRPr="005D4222" w:rsidRDefault="00332F44" w:rsidP="003C0FF9">
            <w:pPr>
              <w:pStyle w:val="TableText"/>
            </w:pPr>
          </w:p>
        </w:tc>
      </w:tr>
      <w:tr w:rsidR="00332F44" w:rsidRPr="005D4222" w14:paraId="64031102" w14:textId="77777777" w:rsidTr="003C0FF9">
        <w:trPr>
          <w:trHeight w:val="300"/>
        </w:trPr>
        <w:tc>
          <w:tcPr>
            <w:tcW w:w="1859" w:type="dxa"/>
            <w:tcBorders>
              <w:top w:val="nil"/>
              <w:left w:val="nil"/>
              <w:bottom w:val="nil"/>
              <w:right w:val="nil"/>
            </w:tcBorders>
            <w:shd w:val="clear" w:color="auto" w:fill="FFFFFF" w:themeFill="background1"/>
          </w:tcPr>
          <w:p w14:paraId="5C73B4EC" w14:textId="77777777" w:rsidR="00332F44" w:rsidRPr="005D4222" w:rsidRDefault="00332F44" w:rsidP="003C0FF9">
            <w:pPr>
              <w:pStyle w:val="TableText"/>
            </w:pPr>
          </w:p>
        </w:tc>
        <w:tc>
          <w:tcPr>
            <w:tcW w:w="1589" w:type="dxa"/>
            <w:tcBorders>
              <w:top w:val="single" w:sz="8" w:space="0" w:color="000000" w:themeColor="text1"/>
              <w:left w:val="nil"/>
              <w:bottom w:val="nil"/>
              <w:right w:val="single" w:sz="8" w:space="0" w:color="000000" w:themeColor="text1"/>
            </w:tcBorders>
            <w:shd w:val="clear" w:color="auto" w:fill="FFFFFF" w:themeFill="background1"/>
          </w:tcPr>
          <w:p w14:paraId="5DF09966" w14:textId="77777777" w:rsidR="00332F44" w:rsidRPr="005D4222" w:rsidRDefault="00332F44" w:rsidP="003C0FF9">
            <w:pPr>
              <w:pStyle w:val="TableText"/>
            </w:pPr>
          </w:p>
        </w:tc>
        <w:tc>
          <w:tcPr>
            <w:tcW w:w="2641" w:type="dxa"/>
            <w:tcBorders>
              <w:top w:val="single" w:sz="8" w:space="0" w:color="000000" w:themeColor="text1"/>
              <w:left w:val="single" w:sz="8" w:space="0" w:color="000000" w:themeColor="text1"/>
              <w:bottom w:val="single" w:sz="8" w:space="0" w:color="auto"/>
              <w:right w:val="single" w:sz="8" w:space="0" w:color="auto"/>
            </w:tcBorders>
            <w:shd w:val="clear" w:color="auto" w:fill="FFFFFF" w:themeFill="background1"/>
          </w:tcPr>
          <w:p w14:paraId="7239CBD2" w14:textId="77777777" w:rsidR="00332F44" w:rsidRPr="005D4222" w:rsidRDefault="00332F44" w:rsidP="003C0FF9">
            <w:pPr>
              <w:pStyle w:val="TableText"/>
            </w:pPr>
            <w:r w:rsidRPr="005D4222">
              <w:t>NoData</w:t>
            </w:r>
            <w:r w:rsidRPr="005D4222">
              <w:rPr>
                <w:b/>
                <w:bCs/>
              </w:rPr>
              <w:t>**</w:t>
            </w:r>
          </w:p>
        </w:tc>
        <w:tc>
          <w:tcPr>
            <w:tcW w:w="1659" w:type="dxa"/>
            <w:tcBorders>
              <w:top w:val="nil"/>
              <w:left w:val="single" w:sz="8" w:space="0" w:color="auto"/>
              <w:bottom w:val="nil"/>
              <w:right w:val="nil"/>
            </w:tcBorders>
            <w:shd w:val="clear" w:color="auto" w:fill="FFFFFF" w:themeFill="background1"/>
          </w:tcPr>
          <w:p w14:paraId="2E4D3B77" w14:textId="77777777" w:rsidR="00332F44" w:rsidRPr="005D4222" w:rsidRDefault="00332F44" w:rsidP="003C0FF9">
            <w:pPr>
              <w:pStyle w:val="TableText"/>
            </w:pPr>
          </w:p>
        </w:tc>
        <w:tc>
          <w:tcPr>
            <w:tcW w:w="1952" w:type="dxa"/>
            <w:tcBorders>
              <w:top w:val="nil"/>
              <w:left w:val="nil"/>
              <w:bottom w:val="nil"/>
              <w:right w:val="nil"/>
            </w:tcBorders>
          </w:tcPr>
          <w:p w14:paraId="63EF0797" w14:textId="77777777" w:rsidR="00332F44" w:rsidRPr="005D4222" w:rsidRDefault="00332F44" w:rsidP="003C0FF9">
            <w:pPr>
              <w:pStyle w:val="TableText"/>
            </w:pPr>
          </w:p>
        </w:tc>
      </w:tr>
      <w:tr w:rsidR="00332F44" w:rsidRPr="005D4222" w14:paraId="4B768DF3" w14:textId="77777777" w:rsidTr="003C0FF9">
        <w:trPr>
          <w:trHeight w:val="300"/>
        </w:trPr>
        <w:tc>
          <w:tcPr>
            <w:tcW w:w="1859" w:type="dxa"/>
            <w:tcBorders>
              <w:top w:val="nil"/>
              <w:left w:val="nil"/>
              <w:bottom w:val="nil"/>
              <w:right w:val="nil"/>
            </w:tcBorders>
            <w:shd w:val="clear" w:color="auto" w:fill="FFFFFF" w:themeFill="background1"/>
          </w:tcPr>
          <w:p w14:paraId="64B05BCE" w14:textId="77777777" w:rsidR="00332F44" w:rsidRPr="005D4222" w:rsidRDefault="00332F44" w:rsidP="003C0FF9">
            <w:pPr>
              <w:pStyle w:val="TableText"/>
            </w:pPr>
          </w:p>
        </w:tc>
        <w:tc>
          <w:tcPr>
            <w:tcW w:w="1589" w:type="dxa"/>
            <w:tcBorders>
              <w:top w:val="nil"/>
              <w:left w:val="nil"/>
              <w:bottom w:val="nil"/>
              <w:right w:val="single" w:sz="8" w:space="0" w:color="000000" w:themeColor="text1"/>
            </w:tcBorders>
          </w:tcPr>
          <w:p w14:paraId="5CBEE51F" w14:textId="77777777" w:rsidR="00332F44" w:rsidRPr="005D4222" w:rsidRDefault="00332F44" w:rsidP="003C0FF9">
            <w:pPr>
              <w:pStyle w:val="TableText"/>
            </w:pPr>
          </w:p>
        </w:tc>
        <w:tc>
          <w:tcPr>
            <w:tcW w:w="2641" w:type="dxa"/>
            <w:tcBorders>
              <w:top w:val="single" w:sz="8" w:space="0" w:color="auto"/>
              <w:left w:val="single" w:sz="8" w:space="0" w:color="000000" w:themeColor="text1"/>
              <w:bottom w:val="single" w:sz="8" w:space="0" w:color="auto"/>
              <w:right w:val="single" w:sz="8" w:space="0" w:color="auto"/>
            </w:tcBorders>
            <w:shd w:val="clear" w:color="auto" w:fill="BFBFBF" w:themeFill="background1" w:themeFillShade="BF"/>
          </w:tcPr>
          <w:p w14:paraId="2268B6B2" w14:textId="77777777" w:rsidR="00332F44" w:rsidRPr="005D4222" w:rsidRDefault="00332F44" w:rsidP="003C0FF9">
            <w:pPr>
              <w:pStyle w:val="TableText"/>
            </w:pPr>
            <w:r w:rsidRPr="005D4222">
              <w:t>Total</w:t>
            </w:r>
          </w:p>
        </w:tc>
        <w:tc>
          <w:tcPr>
            <w:tcW w:w="1659" w:type="dxa"/>
            <w:tcBorders>
              <w:top w:val="nil"/>
              <w:left w:val="single" w:sz="8" w:space="0" w:color="auto"/>
              <w:bottom w:val="nil"/>
              <w:right w:val="nil"/>
            </w:tcBorders>
            <w:shd w:val="clear" w:color="auto" w:fill="FFFFFF" w:themeFill="background1"/>
          </w:tcPr>
          <w:p w14:paraId="26359BBD" w14:textId="77777777" w:rsidR="00332F44" w:rsidRPr="005D4222" w:rsidRDefault="00332F44" w:rsidP="003C0FF9">
            <w:pPr>
              <w:pStyle w:val="TableText"/>
            </w:pPr>
          </w:p>
        </w:tc>
        <w:tc>
          <w:tcPr>
            <w:tcW w:w="1952" w:type="dxa"/>
            <w:tcBorders>
              <w:top w:val="nil"/>
              <w:left w:val="nil"/>
              <w:bottom w:val="nil"/>
              <w:right w:val="nil"/>
            </w:tcBorders>
          </w:tcPr>
          <w:p w14:paraId="71A469AA" w14:textId="77777777" w:rsidR="00332F44" w:rsidRPr="005D4222" w:rsidRDefault="00332F44" w:rsidP="003C0FF9">
            <w:pPr>
              <w:pStyle w:val="TableText"/>
            </w:pPr>
          </w:p>
        </w:tc>
      </w:tr>
    </w:tbl>
    <w:p w14:paraId="486D14D7" w14:textId="78BF5952" w:rsidR="00332F44" w:rsidRPr="005D4222" w:rsidRDefault="00332F44" w:rsidP="001017E0">
      <w:pPr>
        <w:pStyle w:val="TableText"/>
        <w:spacing w:before="120"/>
        <w:ind w:left="230" w:hanging="86"/>
        <w:rPr>
          <w:rFonts w:eastAsia="Arial Narrow"/>
        </w:rPr>
      </w:pPr>
      <w:r w:rsidRPr="005D4222">
        <w:rPr>
          <w:rFonts w:eastAsia="Arial Narrow"/>
          <w:b/>
          <w:bCs/>
        </w:rPr>
        <w:t>*</w:t>
      </w:r>
      <w:r w:rsidRPr="005D4222">
        <w:tab/>
      </w:r>
      <w:r w:rsidRPr="005D4222">
        <w:rPr>
          <w:rFonts w:eastAsia="Arial Narrow"/>
        </w:rPr>
        <w:t>Source = “Unknown” is only reported for members who have DisabilityStatus = “Disabled” or DisabilityStatus = “NotDisabled,” but the Disability Status Source</w:t>
      </w:r>
      <w:r w:rsidRPr="005D4222" w:rsidDel="004D0107">
        <w:rPr>
          <w:rFonts w:eastAsia="Arial Narrow"/>
        </w:rPr>
        <w:t xml:space="preserve"> </w:t>
      </w:r>
      <w:r w:rsidRPr="005D4222">
        <w:rPr>
          <w:rFonts w:eastAsia="Arial Narrow"/>
        </w:rPr>
        <w:t xml:space="preserve">is unknown. </w:t>
      </w:r>
    </w:p>
    <w:p w14:paraId="1BC56861" w14:textId="5FD2958C" w:rsidR="00332F44" w:rsidRPr="005D4222" w:rsidRDefault="00332F44" w:rsidP="00332F44">
      <w:pPr>
        <w:pStyle w:val="TableText"/>
        <w:ind w:left="270" w:hanging="198"/>
        <w:rPr>
          <w:rFonts w:eastAsia="Arial Narrow"/>
        </w:rPr>
      </w:pPr>
      <w:r w:rsidRPr="005D4222">
        <w:rPr>
          <w:rFonts w:eastAsia="Arial Narrow"/>
          <w:b/>
          <w:bCs/>
        </w:rPr>
        <w:t>**</w:t>
      </w:r>
      <w:r w:rsidRPr="005D4222">
        <w:rPr>
          <w:rFonts w:eastAsia="Arial Narrow"/>
        </w:rPr>
        <w:tab/>
        <w:t xml:space="preserve">DisabilityStatus = “Missing” is only reported for members with DisabilityStatusSource = “NoData” and DisabilityStatusSource = “NoData” is only reported for DisabilityStatus = “Missing” </w:t>
      </w:r>
    </w:p>
    <w:p w14:paraId="7F4216C5" w14:textId="2CC01851" w:rsidR="00332F44" w:rsidRPr="005D4222" w:rsidRDefault="00332F44" w:rsidP="002A69FB">
      <w:pPr>
        <w:pStyle w:val="TableText"/>
        <w:ind w:left="256" w:hanging="198"/>
        <w:rPr>
          <w:rFonts w:eastAsia="Arial Narrow"/>
        </w:rPr>
      </w:pPr>
      <w:r w:rsidRPr="005D4222">
        <w:rPr>
          <w:rFonts w:eastAsia="Arial Narrow"/>
          <w:b/>
          <w:bCs/>
        </w:rPr>
        <w:t>***</w:t>
      </w:r>
      <w:r w:rsidRPr="005D4222">
        <w:rPr>
          <w:rFonts w:eastAsia="Arial Narrow"/>
        </w:rPr>
        <w:t xml:space="preserve">MemberCount numbers in Table DDM-A-1/2/3 are mutually exclusive and will add up to 100% of the health plan population. </w:t>
      </w:r>
    </w:p>
    <w:p w14:paraId="67D5C5A1" w14:textId="77777777" w:rsidR="005E6923" w:rsidRPr="005D4222" w:rsidRDefault="005E6923" w:rsidP="005E6923">
      <w:pPr>
        <w:pStyle w:val="MeasureTitle"/>
        <w:rPr>
          <w:rFonts w:cs="Arial"/>
          <w:bCs/>
          <w:iCs/>
          <w:szCs w:val="28"/>
        </w:rPr>
      </w:pPr>
    </w:p>
    <w:p w14:paraId="363D1E8D" w14:textId="77777777" w:rsidR="003F38C3" w:rsidRPr="005D4222" w:rsidRDefault="003F38C3" w:rsidP="005E6923">
      <w:pPr>
        <w:pStyle w:val="ECDSBody"/>
        <w:sectPr w:rsidR="003F38C3" w:rsidRPr="005D4222" w:rsidSect="0074514A">
          <w:headerReference w:type="default" r:id="rId259"/>
          <w:type w:val="nextColumn"/>
          <w:pgSz w:w="12240" w:h="15840" w:code="1"/>
          <w:pgMar w:top="1080" w:right="1080" w:bottom="1080" w:left="1440" w:header="720" w:footer="720" w:gutter="0"/>
          <w:cols w:space="720"/>
        </w:sectPr>
      </w:pPr>
    </w:p>
    <w:p w14:paraId="2BA4C5E8" w14:textId="77777777" w:rsidR="003D7F41" w:rsidRPr="005D4222" w:rsidRDefault="003D7F41" w:rsidP="003D7F41">
      <w:pPr>
        <w:jc w:val="right"/>
        <w:rPr>
          <w:b/>
          <w:bCs/>
          <w:sz w:val="48"/>
          <w:szCs w:val="48"/>
        </w:rPr>
      </w:pPr>
      <w:bookmarkStart w:id="461" w:name="Appendix_1"/>
      <w:r w:rsidRPr="005D4222">
        <w:rPr>
          <w:b/>
          <w:bCs/>
          <w:sz w:val="48"/>
          <w:szCs w:val="48"/>
        </w:rPr>
        <w:lastRenderedPageBreak/>
        <w:t>Appendix 1</w:t>
      </w:r>
      <w:bookmarkEnd w:id="461"/>
    </w:p>
    <w:p w14:paraId="6B49156B" w14:textId="77777777" w:rsidR="003D7F41" w:rsidRPr="005D4222" w:rsidRDefault="003D7F41" w:rsidP="003D7F41">
      <w:pPr>
        <w:jc w:val="right"/>
        <w:rPr>
          <w:b/>
          <w:bCs/>
          <w:sz w:val="48"/>
          <w:szCs w:val="48"/>
        </w:rPr>
      </w:pPr>
    </w:p>
    <w:p w14:paraId="6DC7964A" w14:textId="77777777" w:rsidR="003D7F41" w:rsidRPr="005D4222" w:rsidRDefault="003D7F41" w:rsidP="003D7F41">
      <w:pPr>
        <w:jc w:val="right"/>
        <w:rPr>
          <w:b/>
          <w:bCs/>
          <w:sz w:val="48"/>
          <w:szCs w:val="48"/>
        </w:rPr>
      </w:pPr>
      <w:r w:rsidRPr="005D4222">
        <w:rPr>
          <w:b/>
          <w:bCs/>
          <w:sz w:val="48"/>
          <w:szCs w:val="48"/>
        </w:rPr>
        <w:t>Glossary</w:t>
      </w:r>
    </w:p>
    <w:p w14:paraId="1CDD8ECB" w14:textId="77777777" w:rsidR="003D7F41" w:rsidRPr="005D4222" w:rsidRDefault="003D7F41" w:rsidP="003D7F41">
      <w:pPr>
        <w:pStyle w:val="Breakpage"/>
        <w:sectPr w:rsidR="003D7F41" w:rsidRPr="005D4222" w:rsidSect="0074514A">
          <w:headerReference w:type="default" r:id="rId260"/>
          <w:footerReference w:type="default" r:id="rId261"/>
          <w:type w:val="nextColumn"/>
          <w:pgSz w:w="12240" w:h="15840" w:code="1"/>
          <w:pgMar w:top="1080" w:right="1080" w:bottom="1080" w:left="1440" w:header="720" w:footer="720" w:gutter="0"/>
          <w:cols w:space="720"/>
        </w:sectPr>
      </w:pPr>
    </w:p>
    <w:p w14:paraId="7ABBC999" w14:textId="77777777" w:rsidR="003D7F41" w:rsidRPr="005D4222" w:rsidRDefault="003D7F41" w:rsidP="003D7F41">
      <w:pPr>
        <w:jc w:val="center"/>
        <w:rPr>
          <w:b/>
          <w:bCs/>
          <w:sz w:val="32"/>
          <w:szCs w:val="32"/>
        </w:rPr>
      </w:pPr>
      <w:r w:rsidRPr="005D4222">
        <w:rPr>
          <w:b/>
          <w:bCs/>
          <w:sz w:val="32"/>
          <w:szCs w:val="32"/>
        </w:rPr>
        <w:lastRenderedPageBreak/>
        <w:t>APPENDIX 1</w:t>
      </w:r>
    </w:p>
    <w:p w14:paraId="1131FA35" w14:textId="77777777" w:rsidR="003D7F41" w:rsidRPr="005D4222" w:rsidRDefault="003D7F41" w:rsidP="003D7F41">
      <w:pPr>
        <w:spacing w:before="120" w:after="360"/>
        <w:jc w:val="center"/>
        <w:rPr>
          <w:b/>
          <w:bCs/>
          <w:sz w:val="28"/>
          <w:szCs w:val="28"/>
        </w:rPr>
      </w:pPr>
      <w:bookmarkStart w:id="462" w:name="Appendix3"/>
      <w:bookmarkEnd w:id="462"/>
      <w:r w:rsidRPr="005D4222">
        <w:rPr>
          <w:b/>
          <w:bCs/>
          <w:sz w:val="28"/>
          <w:szCs w:val="28"/>
        </w:rPr>
        <w:t>GLOSSARY</w:t>
      </w:r>
    </w:p>
    <w:tbl>
      <w:tblPr>
        <w:tblW w:w="9750" w:type="dxa"/>
        <w:tblLayout w:type="fixed"/>
        <w:tblLook w:val="04A0" w:firstRow="1" w:lastRow="0" w:firstColumn="1" w:lastColumn="0" w:noHBand="0" w:noVBand="1"/>
      </w:tblPr>
      <w:tblGrid>
        <w:gridCol w:w="2160"/>
        <w:gridCol w:w="7590"/>
      </w:tblGrid>
      <w:tr w:rsidR="003D7F41" w:rsidRPr="005D4222" w14:paraId="5C8ED961" w14:textId="77777777" w:rsidTr="00A53E8C">
        <w:tc>
          <w:tcPr>
            <w:tcW w:w="2160" w:type="dxa"/>
            <w:tcBorders>
              <w:top w:val="nil"/>
              <w:left w:val="nil"/>
              <w:bottom w:val="single" w:sz="4" w:space="0" w:color="808080" w:themeColor="background1" w:themeShade="80"/>
              <w:right w:val="nil"/>
            </w:tcBorders>
            <w:tcMar>
              <w:top w:w="0" w:type="dxa"/>
              <w:left w:w="0" w:type="dxa"/>
              <w:bottom w:w="0" w:type="dxa"/>
              <w:right w:w="115" w:type="dxa"/>
            </w:tcMar>
            <w:hideMark/>
          </w:tcPr>
          <w:p w14:paraId="45586E0A" w14:textId="77777777" w:rsidR="003D7F41" w:rsidRPr="005D4222" w:rsidRDefault="003D7F41" w:rsidP="00A53E8C">
            <w:pPr>
              <w:pStyle w:val="MarginSubhead"/>
              <w:spacing w:before="0" w:after="60"/>
              <w:ind w:left="0"/>
              <w:rPr>
                <w:rFonts w:cs="Arial"/>
              </w:rPr>
            </w:pPr>
            <w:r w:rsidRPr="005D4222">
              <w:rPr>
                <w:rFonts w:cs="Arial"/>
              </w:rPr>
              <w:t>access</w:t>
            </w:r>
          </w:p>
        </w:tc>
        <w:tc>
          <w:tcPr>
            <w:tcW w:w="7590" w:type="dxa"/>
            <w:tcBorders>
              <w:top w:val="nil"/>
              <w:left w:val="nil"/>
              <w:bottom w:val="single" w:sz="4" w:space="0" w:color="808080" w:themeColor="background1" w:themeShade="80"/>
              <w:right w:val="nil"/>
            </w:tcBorders>
            <w:hideMark/>
          </w:tcPr>
          <w:p w14:paraId="6C82449B" w14:textId="77777777" w:rsidR="003D7F41" w:rsidRPr="005D4222" w:rsidRDefault="003D7F41" w:rsidP="00A53E8C">
            <w:pPr>
              <w:pStyle w:val="Body"/>
              <w:spacing w:before="0" w:after="60"/>
              <w:rPr>
                <w:rFonts w:cs="Arial"/>
                <w:szCs w:val="21"/>
              </w:rPr>
            </w:pPr>
            <w:r w:rsidRPr="005D4222">
              <w:rPr>
                <w:rFonts w:cs="Arial"/>
                <w:szCs w:val="21"/>
              </w:rPr>
              <w:t>A patient’s ability to obtain medical care. Ease of access is determined by components such as availability of medical services and their acceptability to the patient, location of health care facilities, transportation, hours of operation and affordability of care.</w:t>
            </w:r>
          </w:p>
        </w:tc>
      </w:tr>
      <w:tr w:rsidR="003D7F41" w:rsidRPr="005D4222" w14:paraId="557D4CDE"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6F364DCE" w14:textId="77777777" w:rsidR="003D7F41" w:rsidRPr="005D4222" w:rsidRDefault="003D7F41" w:rsidP="00A53E8C">
            <w:pPr>
              <w:pStyle w:val="MarginSubhead"/>
              <w:spacing w:after="60"/>
              <w:ind w:left="0"/>
              <w:rPr>
                <w:rFonts w:cs="Arial"/>
              </w:rPr>
            </w:pPr>
            <w:r w:rsidRPr="005D4222">
              <w:rPr>
                <w:rFonts w:cs="Arial"/>
              </w:rPr>
              <w:t>accreditation</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1153C370" w14:textId="77777777" w:rsidR="003D7F41" w:rsidRPr="005D4222" w:rsidRDefault="003D7F41" w:rsidP="00A53E8C">
            <w:pPr>
              <w:pStyle w:val="Body"/>
              <w:spacing w:after="60"/>
              <w:rPr>
                <w:rFonts w:cs="Arial"/>
                <w:szCs w:val="21"/>
              </w:rPr>
            </w:pPr>
            <w:r w:rsidRPr="005D4222">
              <w:rPr>
                <w:rFonts w:cs="Arial"/>
                <w:szCs w:val="21"/>
              </w:rPr>
              <w:t xml:space="preserve">An official authorization or designation to an organization determined by compliance with a set of industry-derived standards. </w:t>
            </w:r>
          </w:p>
        </w:tc>
      </w:tr>
      <w:tr w:rsidR="003D7F41" w:rsidRPr="005D4222" w14:paraId="592C5A63"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42FACECB" w14:textId="77777777" w:rsidR="003D7F41" w:rsidRPr="005D4222" w:rsidRDefault="003D7F41" w:rsidP="00A53E8C">
            <w:pPr>
              <w:pStyle w:val="MarginSubhead"/>
              <w:spacing w:after="60"/>
              <w:ind w:left="0"/>
              <w:rPr>
                <w:rFonts w:cs="Arial"/>
              </w:rPr>
            </w:pPr>
            <w:r w:rsidRPr="005D4222">
              <w:rPr>
                <w:rFonts w:cs="Arial"/>
              </w:rPr>
              <w:t>accuracy</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2ADC1C09" w14:textId="77777777" w:rsidR="003D7F41" w:rsidRPr="005D4222" w:rsidRDefault="003D7F41" w:rsidP="00A53E8C">
            <w:pPr>
              <w:pStyle w:val="Body"/>
              <w:spacing w:after="60"/>
              <w:rPr>
                <w:rFonts w:cs="Arial"/>
                <w:szCs w:val="21"/>
              </w:rPr>
            </w:pPr>
            <w:r w:rsidRPr="005D4222">
              <w:rPr>
                <w:rFonts w:cs="Arial"/>
                <w:szCs w:val="21"/>
              </w:rPr>
              <w:t xml:space="preserve">The extent to which recorded data (on medical records, forms and computer databases) are error-free and reflect defining events. </w:t>
            </w:r>
          </w:p>
        </w:tc>
      </w:tr>
      <w:tr w:rsidR="003D7F41" w:rsidRPr="005D4222" w14:paraId="22A53A60"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15946EFF" w14:textId="77777777" w:rsidR="003D7F41" w:rsidRPr="005D4222" w:rsidRDefault="003D7F41" w:rsidP="00A53E8C">
            <w:pPr>
              <w:pStyle w:val="MarginSubhead"/>
              <w:spacing w:after="60"/>
              <w:ind w:left="0"/>
              <w:rPr>
                <w:rFonts w:cs="Arial"/>
              </w:rPr>
            </w:pPr>
            <w:r w:rsidRPr="005D4222">
              <w:rPr>
                <w:rFonts w:cs="Arial"/>
              </w:rPr>
              <w:t xml:space="preserve">acute care </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7A72D6BE" w14:textId="77777777" w:rsidR="003D7F41" w:rsidRPr="005D4222" w:rsidRDefault="003D7F41" w:rsidP="00A53E8C">
            <w:pPr>
              <w:pStyle w:val="Body"/>
              <w:spacing w:after="60"/>
              <w:rPr>
                <w:rFonts w:cs="Arial"/>
                <w:szCs w:val="21"/>
              </w:rPr>
            </w:pPr>
            <w:r w:rsidRPr="005D4222">
              <w:rPr>
                <w:rFonts w:cs="Arial"/>
                <w:szCs w:val="21"/>
              </w:rPr>
              <w:t xml:space="preserve">Treatment of a short-term or episodic illness; treatment of an exacerbated chronic condition. </w:t>
            </w:r>
          </w:p>
        </w:tc>
      </w:tr>
      <w:tr w:rsidR="003D7F41" w:rsidRPr="005D4222" w14:paraId="4C263224"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37BD3863" w14:textId="77777777" w:rsidR="003D7F41" w:rsidRPr="005D4222" w:rsidRDefault="003D7F41" w:rsidP="00A53E8C">
            <w:pPr>
              <w:pStyle w:val="MarginSubhead"/>
              <w:spacing w:after="60"/>
              <w:ind w:left="0"/>
              <w:rPr>
                <w:rFonts w:cs="Arial"/>
              </w:rPr>
            </w:pPr>
            <w:r w:rsidRPr="005D4222">
              <w:rPr>
                <w:rFonts w:cs="Arial"/>
              </w:rPr>
              <w:t>administrative database</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7128FAB0" w14:textId="77777777" w:rsidR="003D7F41" w:rsidRPr="005D4222" w:rsidRDefault="003D7F41" w:rsidP="00A53E8C">
            <w:pPr>
              <w:pStyle w:val="Body"/>
              <w:spacing w:after="60"/>
              <w:rPr>
                <w:rFonts w:cs="Arial"/>
                <w:szCs w:val="21"/>
              </w:rPr>
            </w:pPr>
            <w:r w:rsidRPr="005D4222">
              <w:rPr>
                <w:rFonts w:cs="Arial"/>
                <w:szCs w:val="21"/>
              </w:rPr>
              <w:t xml:space="preserve">Automated data, including claims and encounter systems used by an organization to manage delivery of health services to members. </w:t>
            </w:r>
          </w:p>
        </w:tc>
      </w:tr>
      <w:tr w:rsidR="003D7F41" w:rsidRPr="005D4222" w14:paraId="1C0AC059"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705E60D3" w14:textId="77777777" w:rsidR="003D7F41" w:rsidRPr="005D4222" w:rsidRDefault="003D7F41" w:rsidP="00A53E8C">
            <w:pPr>
              <w:pStyle w:val="MarginSubhead"/>
              <w:spacing w:after="60"/>
              <w:ind w:left="0"/>
              <w:rPr>
                <w:rFonts w:cs="Arial"/>
              </w:rPr>
            </w:pPr>
            <w:r w:rsidRPr="005D4222">
              <w:rPr>
                <w:rFonts w:cs="Arial"/>
              </w:rPr>
              <w:t>Administrative Method</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6FB55F02" w14:textId="77777777" w:rsidR="003D7F41" w:rsidRPr="005D4222" w:rsidRDefault="003D7F41" w:rsidP="00A53E8C">
            <w:pPr>
              <w:pStyle w:val="Body"/>
              <w:spacing w:after="60"/>
              <w:rPr>
                <w:rFonts w:cs="Arial"/>
                <w:szCs w:val="21"/>
              </w:rPr>
            </w:pPr>
            <w:r w:rsidRPr="005D4222">
              <w:rPr>
                <w:rFonts w:cs="Arial"/>
                <w:szCs w:val="21"/>
              </w:rPr>
              <w:t xml:space="preserve">An organization must identify a measure’s denominator and numerator, using transaction data or other administrative databases. The denominator comprises all eligible members. </w:t>
            </w:r>
            <w:r w:rsidRPr="005D4222">
              <w:rPr>
                <w:rFonts w:cs="Arial"/>
                <w:i/>
                <w:iCs/>
                <w:szCs w:val="21"/>
              </w:rPr>
              <w:t>See</w:t>
            </w:r>
            <w:r w:rsidRPr="005D4222">
              <w:rPr>
                <w:rFonts w:cs="Arial"/>
                <w:szCs w:val="21"/>
              </w:rPr>
              <w:t xml:space="preserve"> </w:t>
            </w:r>
            <w:r w:rsidRPr="005D4222">
              <w:t>initial population</w:t>
            </w:r>
            <w:r w:rsidRPr="005D4222">
              <w:rPr>
                <w:rFonts w:cs="Arial"/>
                <w:szCs w:val="21"/>
              </w:rPr>
              <w:t xml:space="preserve">. The organization reports a rate based on all members who meet the denominator criteria and who are found through administrative data to have received a particular service. </w:t>
            </w:r>
          </w:p>
        </w:tc>
      </w:tr>
      <w:tr w:rsidR="003D7F41" w:rsidRPr="005D4222" w14:paraId="1E447AF7"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tcPr>
          <w:p w14:paraId="6381CA1B" w14:textId="77777777" w:rsidR="003D7F41" w:rsidRPr="005D4222" w:rsidRDefault="003D7F41" w:rsidP="00A53E8C">
            <w:pPr>
              <w:pStyle w:val="MarginSubhead"/>
              <w:spacing w:after="60"/>
              <w:ind w:left="0"/>
              <w:rPr>
                <w:rFonts w:cs="Arial"/>
              </w:rPr>
            </w:pPr>
            <w:r w:rsidRPr="005D4222">
              <w:rPr>
                <w:rFonts w:cs="Arial"/>
              </w:rPr>
              <w:t>algorithm</w:t>
            </w:r>
          </w:p>
        </w:tc>
        <w:tc>
          <w:tcPr>
            <w:tcW w:w="7590" w:type="dxa"/>
            <w:tcBorders>
              <w:top w:val="single" w:sz="4" w:space="0" w:color="808080" w:themeColor="background1" w:themeShade="80"/>
              <w:left w:val="nil"/>
              <w:bottom w:val="single" w:sz="4" w:space="0" w:color="808080" w:themeColor="background1" w:themeShade="80"/>
              <w:right w:val="nil"/>
            </w:tcBorders>
          </w:tcPr>
          <w:p w14:paraId="05335B5C" w14:textId="77777777" w:rsidR="003D7F41" w:rsidRPr="005D4222" w:rsidRDefault="003D7F41" w:rsidP="00A53E8C">
            <w:pPr>
              <w:pStyle w:val="Body"/>
              <w:spacing w:after="60"/>
              <w:rPr>
                <w:rFonts w:cs="Arial"/>
                <w:szCs w:val="21"/>
              </w:rPr>
            </w:pPr>
            <w:r w:rsidRPr="005D4222">
              <w:rPr>
                <w:rFonts w:cs="Arial"/>
                <w:szCs w:val="21"/>
              </w:rPr>
              <w:t xml:space="preserve">A method used to create a calculated result. For example, algorithms are used to combine medical record results with administrative results to produce a measure’s rate. </w:t>
            </w:r>
          </w:p>
        </w:tc>
      </w:tr>
      <w:tr w:rsidR="003D7F41" w:rsidRPr="005D4222" w14:paraId="2802D945" w14:textId="77777777" w:rsidTr="00A53E8C">
        <w:tc>
          <w:tcPr>
            <w:tcW w:w="2160" w:type="dxa"/>
            <w:tcBorders>
              <w:top w:val="dotted" w:sz="6" w:space="0" w:color="auto"/>
              <w:left w:val="nil"/>
              <w:bottom w:val="single" w:sz="4" w:space="0" w:color="808080" w:themeColor="background1" w:themeShade="80"/>
              <w:right w:val="nil"/>
            </w:tcBorders>
            <w:tcMar>
              <w:top w:w="0" w:type="dxa"/>
              <w:left w:w="0" w:type="dxa"/>
              <w:bottom w:w="0" w:type="dxa"/>
              <w:right w:w="115" w:type="dxa"/>
            </w:tcMar>
            <w:hideMark/>
          </w:tcPr>
          <w:p w14:paraId="442E2574" w14:textId="77777777" w:rsidR="003D7F41" w:rsidRPr="005D4222" w:rsidRDefault="003D7F41" w:rsidP="00A53E8C">
            <w:pPr>
              <w:pStyle w:val="MarginSubhead"/>
              <w:spacing w:after="60"/>
              <w:ind w:left="0"/>
              <w:rPr>
                <w:rFonts w:cs="Arial"/>
              </w:rPr>
            </w:pPr>
            <w:r w:rsidRPr="005D4222">
              <w:rPr>
                <w:rFonts w:cs="Arial"/>
              </w:rPr>
              <w:t>ambulatory care</w:t>
            </w:r>
          </w:p>
        </w:tc>
        <w:tc>
          <w:tcPr>
            <w:tcW w:w="7590" w:type="dxa"/>
            <w:tcBorders>
              <w:top w:val="dotted" w:sz="6" w:space="0" w:color="auto"/>
              <w:left w:val="nil"/>
              <w:bottom w:val="single" w:sz="4" w:space="0" w:color="808080" w:themeColor="background1" w:themeShade="80"/>
              <w:right w:val="nil"/>
            </w:tcBorders>
            <w:hideMark/>
          </w:tcPr>
          <w:p w14:paraId="395FB72C" w14:textId="77777777" w:rsidR="003D7F41" w:rsidRPr="005D4222" w:rsidRDefault="003D7F41" w:rsidP="00A53E8C">
            <w:pPr>
              <w:pStyle w:val="Body"/>
              <w:spacing w:after="60"/>
              <w:rPr>
                <w:rFonts w:cs="Arial"/>
                <w:szCs w:val="21"/>
              </w:rPr>
            </w:pPr>
            <w:r w:rsidRPr="005D4222">
              <w:rPr>
                <w:rFonts w:cs="Arial"/>
                <w:szCs w:val="21"/>
              </w:rPr>
              <w:t>Outpatient health care services that do not require hospitalization, such as those delivered at a physician’s office, clinic, medical or surgical center or outpatient facility.</w:t>
            </w:r>
          </w:p>
        </w:tc>
      </w:tr>
      <w:tr w:rsidR="003D7F41" w:rsidRPr="005D4222" w14:paraId="205BEECD"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1055EE15" w14:textId="77777777" w:rsidR="003D7F41" w:rsidRPr="005D4222" w:rsidRDefault="003D7F41" w:rsidP="00A53E8C">
            <w:pPr>
              <w:pStyle w:val="MarginSubhead"/>
              <w:spacing w:after="60"/>
              <w:ind w:left="0"/>
              <w:rPr>
                <w:rFonts w:cs="Arial"/>
              </w:rPr>
            </w:pPr>
            <w:r w:rsidRPr="005D4222">
              <w:rPr>
                <w:rFonts w:cs="Arial"/>
              </w:rPr>
              <w:t>attestation</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4B9B5014" w14:textId="77777777" w:rsidR="003D7F41" w:rsidRPr="005D4222" w:rsidRDefault="003D7F41" w:rsidP="00A53E8C">
            <w:pPr>
              <w:pStyle w:val="Body"/>
              <w:spacing w:after="60"/>
              <w:rPr>
                <w:rFonts w:cs="Arial"/>
                <w:szCs w:val="21"/>
              </w:rPr>
            </w:pPr>
            <w:r w:rsidRPr="005D4222">
              <w:rPr>
                <w:rFonts w:cs="Arial"/>
                <w:szCs w:val="21"/>
              </w:rPr>
              <w:t xml:space="preserve">A statement ensuring the validity of a report or document (e.g., practitioner attestation). </w:t>
            </w:r>
          </w:p>
        </w:tc>
      </w:tr>
      <w:tr w:rsidR="003D7F41" w:rsidRPr="005D4222" w14:paraId="25FEB08B"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tcPr>
          <w:p w14:paraId="01E4F8A8" w14:textId="77777777" w:rsidR="003D7F41" w:rsidRPr="005D4222" w:rsidRDefault="003D7F41" w:rsidP="00A53E8C">
            <w:pPr>
              <w:pStyle w:val="MarginSubhead"/>
              <w:spacing w:after="60"/>
              <w:ind w:left="0"/>
              <w:rPr>
                <w:rFonts w:cs="Arial"/>
              </w:rPr>
            </w:pPr>
            <w:r w:rsidRPr="005D4222">
              <w:rPr>
                <w:rFonts w:cs="Arial"/>
                <w:bCs/>
              </w:rPr>
              <w:t>attribution basis</w:t>
            </w:r>
          </w:p>
        </w:tc>
        <w:tc>
          <w:tcPr>
            <w:tcW w:w="7590" w:type="dxa"/>
            <w:tcBorders>
              <w:top w:val="single" w:sz="4" w:space="0" w:color="808080" w:themeColor="background1" w:themeShade="80"/>
              <w:left w:val="nil"/>
              <w:bottom w:val="single" w:sz="4" w:space="0" w:color="808080" w:themeColor="background1" w:themeShade="80"/>
              <w:right w:val="nil"/>
            </w:tcBorders>
          </w:tcPr>
          <w:p w14:paraId="4823F1C3" w14:textId="77777777" w:rsidR="003D7F41" w:rsidRPr="005D4222" w:rsidRDefault="003D7F41" w:rsidP="00A53E8C">
            <w:pPr>
              <w:pStyle w:val="Body"/>
              <w:spacing w:after="60"/>
              <w:rPr>
                <w:rFonts w:cs="Arial"/>
                <w:szCs w:val="21"/>
              </w:rPr>
            </w:pPr>
            <w:r w:rsidRPr="005D4222">
              <w:rPr>
                <w:rFonts w:cs="Arial"/>
                <w:szCs w:val="21"/>
              </w:rPr>
              <w:t>Health plan enrollment requirements for members to be included in a measure's initial population. Includes continuous enrollment and allowable gaps criteria.</w:t>
            </w:r>
          </w:p>
        </w:tc>
      </w:tr>
      <w:tr w:rsidR="003D7F41" w:rsidRPr="005D4222" w14:paraId="69D3C40D"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36C781CA" w14:textId="77777777" w:rsidR="003D7F41" w:rsidRPr="005D4222" w:rsidRDefault="003D7F41" w:rsidP="00A53E8C">
            <w:pPr>
              <w:pStyle w:val="MarginSubhead"/>
              <w:spacing w:after="60"/>
              <w:ind w:left="0"/>
              <w:rPr>
                <w:rFonts w:cs="Arial"/>
              </w:rPr>
            </w:pPr>
            <w:r w:rsidRPr="005D4222">
              <w:rPr>
                <w:rFonts w:cs="Arial"/>
              </w:rPr>
              <w:t>audit</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1ECAEC31" w14:textId="77777777" w:rsidR="003D7F41" w:rsidRPr="005D4222" w:rsidRDefault="003D7F41" w:rsidP="00A53E8C">
            <w:pPr>
              <w:pStyle w:val="Body"/>
              <w:spacing w:after="60"/>
              <w:rPr>
                <w:rFonts w:cs="Arial"/>
                <w:szCs w:val="21"/>
              </w:rPr>
            </w:pPr>
            <w:r w:rsidRPr="005D4222">
              <w:rPr>
                <w:rFonts w:cs="Arial"/>
                <w:szCs w:val="21"/>
              </w:rPr>
              <w:t>A systemic investigation of procedures and operations that determine conformity with prescribed criteria.</w:t>
            </w:r>
          </w:p>
        </w:tc>
      </w:tr>
      <w:tr w:rsidR="003D7F41" w:rsidRPr="005D4222" w14:paraId="60B31F6B"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7C152606" w14:textId="77777777" w:rsidR="003D7F41" w:rsidRPr="005D4222" w:rsidRDefault="003D7F41" w:rsidP="00A53E8C">
            <w:pPr>
              <w:pStyle w:val="MarginSubhead"/>
              <w:spacing w:after="60"/>
              <w:ind w:left="0"/>
              <w:rPr>
                <w:rFonts w:cs="Arial"/>
              </w:rPr>
            </w:pPr>
            <w:r w:rsidRPr="005D4222">
              <w:rPr>
                <w:rFonts w:cs="Arial"/>
              </w:rPr>
              <w:t>audit results</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5260A552" w14:textId="77777777" w:rsidR="003D7F41" w:rsidRPr="005D4222" w:rsidRDefault="003D7F41" w:rsidP="00A53E8C">
            <w:pPr>
              <w:pStyle w:val="Body"/>
              <w:spacing w:after="60"/>
              <w:rPr>
                <w:rFonts w:cs="Arial"/>
                <w:szCs w:val="21"/>
              </w:rPr>
            </w:pPr>
            <w:r w:rsidRPr="005D4222">
              <w:rPr>
                <w:rFonts w:cs="Arial"/>
                <w:szCs w:val="21"/>
              </w:rPr>
              <w:t>Designations that are assigned by the HEDIS Compliance Auditor indicating the report status of each measure.</w:t>
            </w:r>
          </w:p>
        </w:tc>
      </w:tr>
      <w:tr w:rsidR="003D7F41" w:rsidRPr="005D4222" w14:paraId="096A87F2" w14:textId="77777777" w:rsidTr="00A53E8C">
        <w:tc>
          <w:tcPr>
            <w:tcW w:w="2160" w:type="dxa"/>
            <w:tcBorders>
              <w:top w:val="single" w:sz="4" w:space="0" w:color="808080" w:themeColor="background1" w:themeShade="80"/>
              <w:left w:val="nil"/>
              <w:right w:val="nil"/>
            </w:tcBorders>
            <w:tcMar>
              <w:top w:w="0" w:type="dxa"/>
              <w:left w:w="0" w:type="dxa"/>
              <w:bottom w:w="0" w:type="dxa"/>
              <w:right w:w="115" w:type="dxa"/>
            </w:tcMar>
            <w:hideMark/>
          </w:tcPr>
          <w:p w14:paraId="52C92389" w14:textId="77777777" w:rsidR="003D7F41" w:rsidRPr="005D4222" w:rsidRDefault="003D7F41" w:rsidP="00A53E8C">
            <w:pPr>
              <w:pStyle w:val="MarginSubhead"/>
              <w:spacing w:after="60"/>
              <w:ind w:left="0"/>
              <w:rPr>
                <w:rFonts w:cs="Arial"/>
              </w:rPr>
            </w:pPr>
            <w:r w:rsidRPr="005D4222">
              <w:rPr>
                <w:rFonts w:cs="Arial"/>
              </w:rPr>
              <w:t>benchmark</w:t>
            </w:r>
          </w:p>
        </w:tc>
        <w:tc>
          <w:tcPr>
            <w:tcW w:w="7590" w:type="dxa"/>
            <w:tcBorders>
              <w:top w:val="single" w:sz="4" w:space="0" w:color="808080" w:themeColor="background1" w:themeShade="80"/>
              <w:left w:val="nil"/>
              <w:right w:val="nil"/>
            </w:tcBorders>
            <w:hideMark/>
          </w:tcPr>
          <w:p w14:paraId="09652C8B" w14:textId="77777777" w:rsidR="003D7F41" w:rsidRPr="005D4222" w:rsidRDefault="003D7F41" w:rsidP="00A53E8C">
            <w:pPr>
              <w:pStyle w:val="Body"/>
              <w:spacing w:after="60"/>
              <w:rPr>
                <w:rFonts w:cs="Arial"/>
                <w:szCs w:val="21"/>
              </w:rPr>
            </w:pPr>
            <w:r w:rsidRPr="005D4222">
              <w:rPr>
                <w:rFonts w:cs="Arial"/>
                <w:szCs w:val="21"/>
              </w:rPr>
              <w:t>National, state and regional averages among organizations submitting data to NCQA. Benchmark data come from accredited and nonaccredited organizations and consist of reporting measures publicly and privately.</w:t>
            </w:r>
          </w:p>
        </w:tc>
      </w:tr>
    </w:tbl>
    <w:p w14:paraId="56EE1246" w14:textId="77777777" w:rsidR="003D7F41" w:rsidRPr="005D4222" w:rsidRDefault="003D7F41" w:rsidP="003D7F41"/>
    <w:p w14:paraId="063FEC96" w14:textId="77777777" w:rsidR="003D7F41" w:rsidRPr="005D4222" w:rsidRDefault="003D7F41" w:rsidP="003D7F41">
      <w:pPr>
        <w:sectPr w:rsidR="003D7F41" w:rsidRPr="005D4222" w:rsidSect="0074514A">
          <w:headerReference w:type="even" r:id="rId262"/>
          <w:headerReference w:type="default" r:id="rId263"/>
          <w:footerReference w:type="even" r:id="rId264"/>
          <w:footerReference w:type="default" r:id="rId265"/>
          <w:footnotePr>
            <w:numStart w:val="2"/>
          </w:footnotePr>
          <w:endnotePr>
            <w:numFmt w:val="decimal"/>
            <w:numStart w:val="4"/>
          </w:endnotePr>
          <w:type w:val="nextColumn"/>
          <w:pgSz w:w="12240" w:h="15840" w:code="1"/>
          <w:pgMar w:top="1080" w:right="1080" w:bottom="1080" w:left="1440" w:header="720" w:footer="720" w:gutter="0"/>
          <w:pgNumType w:start="1"/>
          <w:cols w:space="720"/>
        </w:sectPr>
      </w:pPr>
    </w:p>
    <w:tbl>
      <w:tblPr>
        <w:tblW w:w="9750" w:type="dxa"/>
        <w:tblLayout w:type="fixed"/>
        <w:tblLook w:val="04A0" w:firstRow="1" w:lastRow="0" w:firstColumn="1" w:lastColumn="0" w:noHBand="0" w:noVBand="1"/>
      </w:tblPr>
      <w:tblGrid>
        <w:gridCol w:w="2160"/>
        <w:gridCol w:w="7590"/>
      </w:tblGrid>
      <w:tr w:rsidR="003D7F41" w:rsidRPr="005D4222" w14:paraId="374CD891" w14:textId="77777777" w:rsidTr="00A53E8C">
        <w:tc>
          <w:tcPr>
            <w:tcW w:w="2160" w:type="dxa"/>
            <w:tcBorders>
              <w:top w:val="nil"/>
              <w:left w:val="nil"/>
              <w:bottom w:val="single" w:sz="4" w:space="0" w:color="808080" w:themeColor="background1" w:themeShade="80"/>
              <w:right w:val="nil"/>
            </w:tcBorders>
            <w:tcMar>
              <w:top w:w="0" w:type="dxa"/>
              <w:left w:w="0" w:type="dxa"/>
              <w:bottom w:w="0" w:type="dxa"/>
              <w:right w:w="115" w:type="dxa"/>
            </w:tcMar>
            <w:hideMark/>
          </w:tcPr>
          <w:p w14:paraId="5D63F235" w14:textId="77777777" w:rsidR="003D7F41" w:rsidRPr="005D4222" w:rsidRDefault="003D7F41" w:rsidP="00A53E8C">
            <w:pPr>
              <w:pStyle w:val="MarginSubhead"/>
              <w:spacing w:before="0" w:after="60"/>
              <w:ind w:left="0"/>
              <w:rPr>
                <w:rFonts w:cs="Arial"/>
              </w:rPr>
            </w:pPr>
            <w:r w:rsidRPr="005D4222">
              <w:rPr>
                <w:rFonts w:cs="Arial"/>
              </w:rPr>
              <w:lastRenderedPageBreak/>
              <w:t xml:space="preserve">bias </w:t>
            </w:r>
            <w:r w:rsidRPr="005D4222">
              <w:rPr>
                <w:rFonts w:cs="Arial"/>
              </w:rPr>
              <w:br/>
              <w:t>(degree of bias)</w:t>
            </w:r>
          </w:p>
        </w:tc>
        <w:tc>
          <w:tcPr>
            <w:tcW w:w="7590" w:type="dxa"/>
            <w:tcBorders>
              <w:top w:val="nil"/>
              <w:left w:val="nil"/>
              <w:bottom w:val="single" w:sz="4" w:space="0" w:color="808080" w:themeColor="background1" w:themeShade="80"/>
              <w:right w:val="nil"/>
            </w:tcBorders>
            <w:hideMark/>
          </w:tcPr>
          <w:p w14:paraId="5E4FD28A" w14:textId="77777777" w:rsidR="003D7F41" w:rsidRPr="005D4222" w:rsidRDefault="003D7F41" w:rsidP="00A53E8C">
            <w:pPr>
              <w:pStyle w:val="Body"/>
              <w:spacing w:before="0" w:after="60"/>
              <w:rPr>
                <w:rFonts w:cs="Arial"/>
                <w:szCs w:val="21"/>
              </w:rPr>
            </w:pPr>
            <w:r w:rsidRPr="005D4222">
              <w:rPr>
                <w:rFonts w:cs="Arial"/>
                <w:szCs w:val="21"/>
              </w:rPr>
              <w:t xml:space="preserve">Degree of error. HEDIS rate measures are reported using a 95% confidence interval. A greater than 5% error in the reported rate is considered materially biased and receives a </w:t>
            </w:r>
            <w:r w:rsidRPr="005D4222">
              <w:rPr>
                <w:rFonts w:cs="Arial"/>
                <w:iCs/>
                <w:szCs w:val="21"/>
              </w:rPr>
              <w:t>Biased Rate (BR) designation. For non-rate based measures, the error is greater than 10% for material bias and BR</w:t>
            </w:r>
            <w:r w:rsidRPr="005D4222">
              <w:rPr>
                <w:rFonts w:cs="Arial"/>
                <w:i/>
                <w:szCs w:val="21"/>
              </w:rPr>
              <w:t xml:space="preserve"> </w:t>
            </w:r>
            <w:r w:rsidRPr="005D4222">
              <w:rPr>
                <w:rFonts w:cs="Arial"/>
                <w:szCs w:val="21"/>
              </w:rPr>
              <w:t xml:space="preserve">designation. </w:t>
            </w:r>
          </w:p>
        </w:tc>
      </w:tr>
      <w:tr w:rsidR="003D7F41" w:rsidRPr="005D4222" w14:paraId="4D2E6F4E"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1A1D03C0" w14:textId="77777777" w:rsidR="003D7F41" w:rsidRPr="005D4222" w:rsidRDefault="003D7F41" w:rsidP="00A53E8C">
            <w:pPr>
              <w:pStyle w:val="MarginSubhead"/>
              <w:spacing w:after="60"/>
              <w:ind w:left="0"/>
              <w:rPr>
                <w:rFonts w:cs="Arial"/>
              </w:rPr>
            </w:pPr>
            <w:r w:rsidRPr="005D4222">
              <w:rPr>
                <w:rFonts w:cs="Arial"/>
              </w:rPr>
              <w:t>bundling</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6625A4C1" w14:textId="77777777" w:rsidR="003D7F41" w:rsidRPr="005D4222" w:rsidRDefault="003D7F41" w:rsidP="00A53E8C">
            <w:pPr>
              <w:pStyle w:val="Body"/>
              <w:spacing w:after="60"/>
              <w:rPr>
                <w:rFonts w:cs="Arial"/>
                <w:szCs w:val="21"/>
              </w:rPr>
            </w:pPr>
            <w:r w:rsidRPr="005D4222">
              <w:rPr>
                <w:rFonts w:cs="Arial"/>
                <w:szCs w:val="21"/>
              </w:rPr>
              <w:t>The organization accepts a single code as representative of several services or encounters. For example, prenatal care visits are bundled with delivery, or all hospital services may be under the revenue code for room and board.</w:t>
            </w:r>
          </w:p>
        </w:tc>
      </w:tr>
      <w:tr w:rsidR="003D7F41" w:rsidRPr="005D4222" w14:paraId="4E6CE727"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0970F275" w14:textId="77777777" w:rsidR="003D7F41" w:rsidRPr="005D4222" w:rsidRDefault="003D7F41" w:rsidP="00A53E8C">
            <w:pPr>
              <w:pStyle w:val="MarginSubhead"/>
              <w:spacing w:after="60"/>
              <w:ind w:left="0"/>
              <w:rPr>
                <w:rFonts w:cs="Arial"/>
              </w:rPr>
            </w:pPr>
            <w:r w:rsidRPr="005D4222">
              <w:rPr>
                <w:rFonts w:cs="Arial"/>
              </w:rPr>
              <w:t>CAHPS</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4D12344A" w14:textId="77777777" w:rsidR="003D7F41" w:rsidRPr="005D4222" w:rsidRDefault="003D7F41" w:rsidP="00A53E8C">
            <w:pPr>
              <w:pStyle w:val="Body"/>
              <w:spacing w:after="60"/>
              <w:rPr>
                <w:rFonts w:cs="Arial"/>
                <w:szCs w:val="21"/>
              </w:rPr>
            </w:pPr>
            <w:r w:rsidRPr="005D4222">
              <w:rPr>
                <w:rFonts w:cs="Arial"/>
                <w:szCs w:val="21"/>
              </w:rPr>
              <w:t>Consumer Assessment of Healthcare Providers and Systems. The CAHPS Program is overseen by the Agency for Healthcare Research and Quality (AHRQ) and includes a number of survey products designed to capture consumer experience across different levels of the health care system. NCQA uses adult and child versions of the CAHPS Health Plan Survey for HEDIS and refers to them as the</w:t>
            </w:r>
            <w:r w:rsidRPr="005D4222">
              <w:rPr>
                <w:rFonts w:cs="Arial"/>
                <w:i/>
                <w:szCs w:val="21"/>
              </w:rPr>
              <w:t xml:space="preserve"> CAHPS Health Plan Survey, Adult Version</w:t>
            </w:r>
            <w:r w:rsidRPr="005D4222">
              <w:rPr>
                <w:rFonts w:cs="Arial"/>
                <w:szCs w:val="21"/>
              </w:rPr>
              <w:t xml:space="preserve"> and </w:t>
            </w:r>
            <w:r w:rsidRPr="005D4222">
              <w:rPr>
                <w:rFonts w:cs="Arial"/>
                <w:i/>
                <w:szCs w:val="21"/>
              </w:rPr>
              <w:t xml:space="preserve">CAHPS Health Plan Survey, Child Version. </w:t>
            </w:r>
          </w:p>
        </w:tc>
      </w:tr>
      <w:tr w:rsidR="003D7F41" w:rsidRPr="005D4222" w14:paraId="104DFD19"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42ECAF11" w14:textId="77777777" w:rsidR="003D7F41" w:rsidRPr="005D4222" w:rsidRDefault="003D7F41" w:rsidP="00A53E8C">
            <w:pPr>
              <w:pStyle w:val="MarginSubhead"/>
              <w:spacing w:after="60"/>
              <w:ind w:left="0"/>
              <w:rPr>
                <w:rFonts w:cs="Arial"/>
              </w:rPr>
            </w:pPr>
            <w:r w:rsidRPr="005D4222">
              <w:rPr>
                <w:rFonts w:cs="Arial"/>
              </w:rPr>
              <w:t>capitation</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0D04E83C" w14:textId="77777777" w:rsidR="003D7F41" w:rsidRPr="005D4222" w:rsidRDefault="003D7F41" w:rsidP="00A53E8C">
            <w:pPr>
              <w:pStyle w:val="Body"/>
              <w:spacing w:after="60"/>
              <w:rPr>
                <w:rFonts w:cs="Arial"/>
                <w:szCs w:val="21"/>
              </w:rPr>
            </w:pPr>
            <w:r w:rsidRPr="005D4222">
              <w:rPr>
                <w:rFonts w:cs="Arial"/>
                <w:szCs w:val="21"/>
              </w:rPr>
              <w:t>A set amount of money received or paid and based on membership rather than services delivered. Generally refers to a negotiated, per capita rate to be paid periodically (usually monthly) by an organization to a provider.</w:t>
            </w:r>
          </w:p>
        </w:tc>
      </w:tr>
      <w:tr w:rsidR="003D7F41" w:rsidRPr="005D4222" w14:paraId="7757C44E"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1AF35D82" w14:textId="77777777" w:rsidR="003D7F41" w:rsidRPr="005D4222" w:rsidRDefault="003D7F41" w:rsidP="00A53E8C">
            <w:pPr>
              <w:pStyle w:val="MarginSubhead"/>
              <w:spacing w:after="60"/>
              <w:ind w:left="0"/>
              <w:rPr>
                <w:rFonts w:cs="Arial"/>
              </w:rPr>
            </w:pPr>
            <w:r w:rsidRPr="005D4222">
              <w:rPr>
                <w:rFonts w:cs="Arial"/>
              </w:rPr>
              <w:t>carve out</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05570B43" w14:textId="77777777" w:rsidR="003D7F41" w:rsidRPr="005D4222" w:rsidRDefault="003D7F41" w:rsidP="00A53E8C">
            <w:pPr>
              <w:pStyle w:val="Body"/>
              <w:spacing w:after="60"/>
              <w:rPr>
                <w:rFonts w:cs="Arial"/>
                <w:szCs w:val="21"/>
              </w:rPr>
            </w:pPr>
            <w:r w:rsidRPr="005D4222">
              <w:rPr>
                <w:rFonts w:cs="Arial"/>
                <w:szCs w:val="21"/>
              </w:rPr>
              <w:t>An organization sponsor (e.g., employer or purchaser) contracts for a service or function (e.g., mental health or laboratory) to be performed by an entity other than the organization.</w:t>
            </w:r>
          </w:p>
        </w:tc>
      </w:tr>
      <w:tr w:rsidR="003D7F41" w:rsidRPr="005D4222" w14:paraId="6C7F47C6"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7D12E2A9" w14:textId="77777777" w:rsidR="003D7F41" w:rsidRPr="005D4222" w:rsidRDefault="003D7F41" w:rsidP="00A53E8C">
            <w:pPr>
              <w:pStyle w:val="MarginSubhead"/>
              <w:spacing w:after="60"/>
              <w:ind w:left="0"/>
              <w:rPr>
                <w:rFonts w:cs="Arial"/>
              </w:rPr>
            </w:pPr>
            <w:r w:rsidRPr="005D4222">
              <w:rPr>
                <w:rFonts w:cs="Arial"/>
              </w:rPr>
              <w:t>chronic care</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588E7730" w14:textId="77777777" w:rsidR="003D7F41" w:rsidRPr="005D4222" w:rsidRDefault="003D7F41" w:rsidP="00A53E8C">
            <w:pPr>
              <w:pStyle w:val="Body"/>
              <w:spacing w:after="60"/>
              <w:rPr>
                <w:rFonts w:cs="Arial"/>
                <w:szCs w:val="21"/>
              </w:rPr>
            </w:pPr>
            <w:r w:rsidRPr="005D4222">
              <w:rPr>
                <w:rFonts w:cs="Arial"/>
                <w:szCs w:val="21"/>
              </w:rPr>
              <w:t>A general description of a medical condition from which a person may suffer periodically or continuously, as opposed to a condition that can be healed with treatment.</w:t>
            </w:r>
          </w:p>
        </w:tc>
      </w:tr>
      <w:tr w:rsidR="003D7F41" w:rsidRPr="005D4222" w14:paraId="661216C8"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69F160E0" w14:textId="77777777" w:rsidR="003D7F41" w:rsidRPr="005D4222" w:rsidRDefault="003D7F41" w:rsidP="00A53E8C">
            <w:pPr>
              <w:pStyle w:val="MarginSubhead"/>
              <w:spacing w:after="60"/>
              <w:ind w:left="0"/>
              <w:rPr>
                <w:rFonts w:cs="Arial"/>
              </w:rPr>
            </w:pPr>
            <w:r w:rsidRPr="005D4222">
              <w:rPr>
                <w:rFonts w:cs="Arial"/>
              </w:rPr>
              <w:t xml:space="preserve">claim audit/ </w:t>
            </w:r>
            <w:r w:rsidRPr="005D4222">
              <w:rPr>
                <w:rFonts w:cs="Arial"/>
              </w:rPr>
              <w:br/>
              <w:t>error rate</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6C1E6B95" w14:textId="77777777" w:rsidR="003D7F41" w:rsidRPr="005D4222" w:rsidRDefault="003D7F41" w:rsidP="00A53E8C">
            <w:pPr>
              <w:pStyle w:val="Body"/>
              <w:spacing w:after="60"/>
              <w:rPr>
                <w:rFonts w:cs="Arial"/>
                <w:szCs w:val="21"/>
              </w:rPr>
            </w:pPr>
            <w:r w:rsidRPr="005D4222">
              <w:rPr>
                <w:rFonts w:cs="Arial"/>
                <w:szCs w:val="21"/>
              </w:rPr>
              <w:t xml:space="preserve">A rate that indicates the reliability of a claims processing system. Most organizations review a sample of processed claims to compute an error rate, usually expressed as financial and nonfinancial. </w:t>
            </w:r>
          </w:p>
        </w:tc>
      </w:tr>
      <w:tr w:rsidR="003D7F41" w:rsidRPr="005D4222" w14:paraId="4BAB1ACA"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5F00E6F9" w14:textId="77777777" w:rsidR="003D7F41" w:rsidRPr="005D4222" w:rsidRDefault="003D7F41" w:rsidP="00A53E8C">
            <w:pPr>
              <w:pStyle w:val="MarginSubhead"/>
              <w:spacing w:after="60"/>
              <w:ind w:left="0"/>
              <w:rPr>
                <w:rFonts w:cs="Arial"/>
              </w:rPr>
            </w:pPr>
            <w:r w:rsidRPr="005D4222">
              <w:rPr>
                <w:rFonts w:cs="Arial"/>
              </w:rPr>
              <w:t>claim-dependent denominator</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40A9C303" w14:textId="77777777" w:rsidR="003D7F41" w:rsidRPr="005D4222" w:rsidRDefault="003D7F41" w:rsidP="00A53E8C">
            <w:pPr>
              <w:pStyle w:val="Body"/>
              <w:spacing w:after="60"/>
              <w:rPr>
                <w:rFonts w:cs="Arial"/>
              </w:rPr>
            </w:pPr>
            <w:r w:rsidRPr="005D4222">
              <w:rPr>
                <w:rFonts w:cs="Arial"/>
              </w:rPr>
              <w:t xml:space="preserve">To determine the denominator through claims data (e.g., diabetic members are identified by claims showing diagnoses for diabetes or dispensing insulin). </w:t>
            </w:r>
          </w:p>
        </w:tc>
      </w:tr>
      <w:tr w:rsidR="003D7F41" w:rsidRPr="005D4222" w14:paraId="3762A696"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7E2F82E8" w14:textId="77777777" w:rsidR="003D7F41" w:rsidRPr="005D4222" w:rsidRDefault="003D7F41" w:rsidP="00A53E8C">
            <w:pPr>
              <w:pStyle w:val="MarginSubhead"/>
              <w:spacing w:after="60"/>
              <w:ind w:left="0"/>
              <w:rPr>
                <w:rFonts w:cs="Arial"/>
              </w:rPr>
            </w:pPr>
            <w:r w:rsidRPr="005D4222">
              <w:rPr>
                <w:rFonts w:cs="Arial"/>
              </w:rPr>
              <w:t>concurrent audit</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7FBE0214" w14:textId="77777777" w:rsidR="003D7F41" w:rsidRPr="005D4222" w:rsidRDefault="003D7F41" w:rsidP="00A53E8C">
            <w:pPr>
              <w:pStyle w:val="Body"/>
              <w:spacing w:after="60"/>
              <w:rPr>
                <w:rFonts w:cs="Arial"/>
                <w:szCs w:val="21"/>
              </w:rPr>
            </w:pPr>
            <w:r w:rsidRPr="005D4222">
              <w:rPr>
                <w:rFonts w:cs="Arial"/>
                <w:szCs w:val="21"/>
              </w:rPr>
              <w:t xml:space="preserve">Evaluation of methods and data during the data collection period. HEDIS Compliance Audits take place during data collection, allowing organizations to correct errors before data are reported. </w:t>
            </w:r>
          </w:p>
        </w:tc>
      </w:tr>
      <w:tr w:rsidR="003D7F41" w:rsidRPr="005D4222" w14:paraId="391011BD"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5E9DA2EE" w14:textId="77777777" w:rsidR="003D7F41" w:rsidRPr="005D4222" w:rsidRDefault="003D7F41" w:rsidP="00A53E8C">
            <w:pPr>
              <w:pStyle w:val="MarginSubhead"/>
              <w:spacing w:after="60"/>
              <w:ind w:left="0"/>
              <w:rPr>
                <w:rFonts w:cs="Arial"/>
              </w:rPr>
            </w:pPr>
            <w:r w:rsidRPr="005D4222">
              <w:rPr>
                <w:rFonts w:cs="Arial"/>
              </w:rPr>
              <w:t>confidence level</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60806784" w14:textId="77777777" w:rsidR="003D7F41" w:rsidRPr="005D4222" w:rsidRDefault="003D7F41" w:rsidP="00A53E8C">
            <w:pPr>
              <w:pStyle w:val="Body"/>
              <w:spacing w:after="60"/>
              <w:rPr>
                <w:rFonts w:cs="Arial"/>
                <w:szCs w:val="21"/>
              </w:rPr>
            </w:pPr>
            <w:r w:rsidRPr="005D4222">
              <w:rPr>
                <w:rFonts w:cs="Arial"/>
                <w:szCs w:val="21"/>
              </w:rPr>
              <w:t>The degree of confidence, expressed as a percentage, that a reported number’s true value is between the lower and upper range specified.</w:t>
            </w:r>
          </w:p>
        </w:tc>
      </w:tr>
      <w:tr w:rsidR="003D7F41" w:rsidRPr="005D4222" w14:paraId="6679C0F2"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388550E2" w14:textId="77777777" w:rsidR="003D7F41" w:rsidRPr="005D4222" w:rsidRDefault="003D7F41" w:rsidP="00A53E8C">
            <w:pPr>
              <w:pStyle w:val="MarginSubhead"/>
              <w:spacing w:after="60"/>
              <w:ind w:left="0"/>
              <w:rPr>
                <w:rFonts w:cs="Arial"/>
              </w:rPr>
            </w:pPr>
            <w:r w:rsidRPr="005D4222">
              <w:rPr>
                <w:rFonts w:cs="Arial"/>
              </w:rPr>
              <w:t>continuous enrollment</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6D7CC40B" w14:textId="77777777" w:rsidR="003D7F41" w:rsidRPr="005D4222" w:rsidRDefault="003D7F41" w:rsidP="00A53E8C">
            <w:pPr>
              <w:pStyle w:val="Body"/>
              <w:spacing w:after="60"/>
              <w:rPr>
                <w:rFonts w:cs="Arial"/>
                <w:szCs w:val="21"/>
              </w:rPr>
            </w:pPr>
            <w:r w:rsidRPr="005D4222">
              <w:rPr>
                <w:rFonts w:cs="Arial"/>
                <w:szCs w:val="21"/>
              </w:rPr>
              <w:t xml:space="preserve">The minimum amount of time, including allowed gaps, that a member must be enrolled in an organization to be eligible for a measure. </w:t>
            </w:r>
          </w:p>
        </w:tc>
      </w:tr>
      <w:tr w:rsidR="003D7F41" w:rsidRPr="005D4222" w14:paraId="4A26960C"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67EBF3EE" w14:textId="77777777" w:rsidR="003D7F41" w:rsidRPr="005D4222" w:rsidRDefault="003D7F41" w:rsidP="00A53E8C">
            <w:pPr>
              <w:pStyle w:val="MarginSubhead"/>
              <w:spacing w:after="60"/>
              <w:ind w:left="0"/>
              <w:rPr>
                <w:rFonts w:cs="Arial"/>
              </w:rPr>
            </w:pPr>
            <w:r w:rsidRPr="005D4222">
              <w:rPr>
                <w:rFonts w:cs="Arial"/>
              </w:rPr>
              <w:t>copayment</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61F9E081" w14:textId="77777777" w:rsidR="003D7F41" w:rsidRPr="005D4222" w:rsidRDefault="003D7F41" w:rsidP="00A53E8C">
            <w:pPr>
              <w:pStyle w:val="Body"/>
              <w:spacing w:after="60"/>
              <w:rPr>
                <w:rFonts w:cs="Arial"/>
                <w:szCs w:val="21"/>
              </w:rPr>
            </w:pPr>
            <w:r w:rsidRPr="005D4222">
              <w:rPr>
                <w:rFonts w:cs="Arial"/>
                <w:szCs w:val="21"/>
              </w:rPr>
              <w:t>A fixed payment paid by a patient at each visit to an organization clinician or when receiving covered services in a health plan.</w:t>
            </w:r>
          </w:p>
        </w:tc>
      </w:tr>
      <w:tr w:rsidR="003D7F41" w:rsidRPr="005D4222" w14:paraId="39FD58FD" w14:textId="77777777" w:rsidTr="00A53E8C">
        <w:tc>
          <w:tcPr>
            <w:tcW w:w="2160" w:type="dxa"/>
            <w:tcBorders>
              <w:top w:val="single" w:sz="4" w:space="0" w:color="808080" w:themeColor="background1" w:themeShade="80"/>
              <w:left w:val="nil"/>
              <w:right w:val="nil"/>
            </w:tcBorders>
            <w:tcMar>
              <w:top w:w="0" w:type="dxa"/>
              <w:left w:w="0" w:type="dxa"/>
              <w:bottom w:w="0" w:type="dxa"/>
              <w:right w:w="115" w:type="dxa"/>
            </w:tcMar>
            <w:hideMark/>
          </w:tcPr>
          <w:p w14:paraId="45571463" w14:textId="77777777" w:rsidR="003D7F41" w:rsidRPr="005D4222" w:rsidRDefault="003D7F41" w:rsidP="00A53E8C">
            <w:pPr>
              <w:pStyle w:val="MarginSubhead"/>
              <w:spacing w:after="60"/>
              <w:ind w:left="0"/>
              <w:rPr>
                <w:rFonts w:cs="Arial"/>
              </w:rPr>
            </w:pPr>
            <w:r w:rsidRPr="005D4222">
              <w:rPr>
                <w:rFonts w:cs="Arial"/>
              </w:rPr>
              <w:t>corrective action</w:t>
            </w:r>
          </w:p>
        </w:tc>
        <w:tc>
          <w:tcPr>
            <w:tcW w:w="7590" w:type="dxa"/>
            <w:tcBorders>
              <w:top w:val="single" w:sz="4" w:space="0" w:color="808080" w:themeColor="background1" w:themeShade="80"/>
              <w:left w:val="nil"/>
              <w:right w:val="nil"/>
            </w:tcBorders>
            <w:hideMark/>
          </w:tcPr>
          <w:p w14:paraId="38B6057D" w14:textId="77777777" w:rsidR="003D7F41" w:rsidRPr="005D4222" w:rsidRDefault="003D7F41" w:rsidP="00A53E8C">
            <w:pPr>
              <w:pStyle w:val="Body"/>
              <w:spacing w:after="60"/>
              <w:rPr>
                <w:rFonts w:cs="Arial"/>
                <w:szCs w:val="21"/>
              </w:rPr>
            </w:pPr>
            <w:r w:rsidRPr="005D4222">
              <w:rPr>
                <w:rFonts w:cs="Arial"/>
                <w:szCs w:val="21"/>
              </w:rPr>
              <w:t xml:space="preserve">An activity an organization completes between the onsite visit and data submission to correct problems that may result in a Biased Rate (BR) designation. </w:t>
            </w:r>
          </w:p>
        </w:tc>
      </w:tr>
    </w:tbl>
    <w:p w14:paraId="474BADD0" w14:textId="77777777" w:rsidR="003D7F41" w:rsidRPr="005D4222" w:rsidRDefault="003D7F41" w:rsidP="003D7F41"/>
    <w:tbl>
      <w:tblPr>
        <w:tblW w:w="9750" w:type="dxa"/>
        <w:tblLayout w:type="fixed"/>
        <w:tblLook w:val="04A0" w:firstRow="1" w:lastRow="0" w:firstColumn="1" w:lastColumn="0" w:noHBand="0" w:noVBand="1"/>
      </w:tblPr>
      <w:tblGrid>
        <w:gridCol w:w="2160"/>
        <w:gridCol w:w="7590"/>
      </w:tblGrid>
      <w:tr w:rsidR="003D7F41" w:rsidRPr="005D4222" w14:paraId="3F23A0A3" w14:textId="77777777" w:rsidTr="00A53E8C">
        <w:tc>
          <w:tcPr>
            <w:tcW w:w="2160" w:type="dxa"/>
            <w:tcBorders>
              <w:left w:val="nil"/>
              <w:bottom w:val="single" w:sz="4" w:space="0" w:color="808080" w:themeColor="background1" w:themeShade="80"/>
              <w:right w:val="nil"/>
            </w:tcBorders>
            <w:tcMar>
              <w:top w:w="0" w:type="dxa"/>
              <w:left w:w="0" w:type="dxa"/>
              <w:bottom w:w="0" w:type="dxa"/>
              <w:right w:w="115" w:type="dxa"/>
            </w:tcMar>
            <w:hideMark/>
          </w:tcPr>
          <w:p w14:paraId="3D57DE7A" w14:textId="77777777" w:rsidR="003D7F41" w:rsidRPr="005D4222" w:rsidRDefault="003D7F41" w:rsidP="00A53E8C">
            <w:pPr>
              <w:pStyle w:val="MarginSubhead"/>
              <w:spacing w:before="0" w:after="60"/>
              <w:ind w:left="0"/>
              <w:rPr>
                <w:rFonts w:cs="Arial"/>
              </w:rPr>
            </w:pPr>
            <w:r w:rsidRPr="005D4222">
              <w:rPr>
                <w:rFonts w:cs="Arial"/>
              </w:rPr>
              <w:lastRenderedPageBreak/>
              <w:t>CPM</w:t>
            </w:r>
          </w:p>
        </w:tc>
        <w:tc>
          <w:tcPr>
            <w:tcW w:w="7590" w:type="dxa"/>
            <w:tcBorders>
              <w:left w:val="nil"/>
              <w:bottom w:val="single" w:sz="4" w:space="0" w:color="808080" w:themeColor="background1" w:themeShade="80"/>
              <w:right w:val="nil"/>
            </w:tcBorders>
            <w:hideMark/>
          </w:tcPr>
          <w:p w14:paraId="6EFEC6F5" w14:textId="77777777" w:rsidR="003D7F41" w:rsidRPr="005D4222" w:rsidRDefault="003D7F41" w:rsidP="00A53E8C">
            <w:pPr>
              <w:pStyle w:val="Body"/>
              <w:spacing w:before="0" w:after="60"/>
              <w:rPr>
                <w:rFonts w:cs="Arial"/>
                <w:szCs w:val="21"/>
              </w:rPr>
            </w:pPr>
            <w:r w:rsidRPr="005D4222">
              <w:rPr>
                <w:rFonts w:cs="Arial"/>
                <w:szCs w:val="21"/>
              </w:rPr>
              <w:t xml:space="preserve">Committee on Performance Measurement. This committee decides the measures included in HEDIS and content or changes to these measures. </w:t>
            </w:r>
          </w:p>
        </w:tc>
      </w:tr>
      <w:tr w:rsidR="003D7F41" w:rsidRPr="005D4222" w14:paraId="24FD950D"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54D65BF7" w14:textId="77777777" w:rsidR="003D7F41" w:rsidRPr="005D4222" w:rsidRDefault="003D7F41" w:rsidP="00A53E8C">
            <w:pPr>
              <w:pStyle w:val="MarginSubhead"/>
              <w:spacing w:after="60"/>
              <w:ind w:left="0"/>
              <w:rPr>
                <w:rFonts w:cs="Arial"/>
              </w:rPr>
            </w:pPr>
            <w:r w:rsidRPr="005D4222">
              <w:rPr>
                <w:rFonts w:cs="Arial"/>
              </w:rPr>
              <w:t>CQL</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3E92E8E6" w14:textId="77777777" w:rsidR="003D7F41" w:rsidRPr="005D4222" w:rsidRDefault="003D7F41" w:rsidP="00A53E8C">
            <w:pPr>
              <w:pStyle w:val="Body"/>
              <w:spacing w:after="60"/>
              <w:rPr>
                <w:rFonts w:cs="Arial"/>
                <w:szCs w:val="21"/>
              </w:rPr>
            </w:pPr>
            <w:hyperlink r:id="rId266" w:history="1">
              <w:r w:rsidRPr="005D4222">
                <w:rPr>
                  <w:rStyle w:val="Hyperlink"/>
                  <w:rFonts w:cs="Arial"/>
                  <w:color w:val="0070C0"/>
                </w:rPr>
                <w:t>Clinical Quality Language</w:t>
              </w:r>
            </w:hyperlink>
            <w:r w:rsidRPr="005D4222">
              <w:rPr>
                <w:rFonts w:cs="Arial"/>
              </w:rPr>
              <w:t>. A Health Level Seven International</w:t>
            </w:r>
            <w:r w:rsidRPr="005D4222">
              <w:rPr>
                <w:rFonts w:cs="Arial"/>
                <w:vertAlign w:val="superscript"/>
              </w:rPr>
              <w:t>®</w:t>
            </w:r>
            <w:r w:rsidRPr="005D4222">
              <w:rPr>
                <w:rFonts w:cs="Arial"/>
              </w:rPr>
              <w:t xml:space="preserve"> (HL7</w:t>
            </w:r>
            <w:r w:rsidRPr="005D4222">
              <w:rPr>
                <w:rFonts w:cs="Arial"/>
                <w:vertAlign w:val="superscript"/>
              </w:rPr>
              <w:t>®</w:t>
            </w:r>
            <w:r w:rsidRPr="005D4222">
              <w:rPr>
                <w:rFonts w:cs="Arial"/>
              </w:rPr>
              <w:t xml:space="preserve">) domain-specific language focused on clinical quality and targeted at measure authors. The CQL specification describes a machine-readable canonical representation, </w:t>
            </w:r>
            <w:hyperlink w:anchor="ELM" w:history="1">
              <w:r w:rsidRPr="005D4222">
                <w:rPr>
                  <w:rStyle w:val="Hyperlink"/>
                  <w:rFonts w:cs="Arial"/>
                  <w:color w:val="0070C0"/>
                </w:rPr>
                <w:t>ELM</w:t>
              </w:r>
            </w:hyperlink>
            <w:r w:rsidRPr="005D4222">
              <w:rPr>
                <w:rFonts w:cs="Arial"/>
              </w:rPr>
              <w:t>, that is designed to enable sharing of clinical knowledge.</w:t>
            </w:r>
            <w:r w:rsidRPr="005D4222">
              <w:rPr>
                <w:rFonts w:cs="Arial"/>
                <w:szCs w:val="21"/>
              </w:rPr>
              <w:t xml:space="preserve"> </w:t>
            </w:r>
          </w:p>
        </w:tc>
      </w:tr>
      <w:tr w:rsidR="003D7F41" w:rsidRPr="005D4222" w14:paraId="19ECF6D1"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2F4BD0DE" w14:textId="77777777" w:rsidR="003D7F41" w:rsidRPr="005D4222" w:rsidRDefault="003D7F41" w:rsidP="00A53E8C">
            <w:pPr>
              <w:pStyle w:val="MarginSubhead"/>
              <w:spacing w:after="60"/>
              <w:ind w:left="0"/>
              <w:rPr>
                <w:rFonts w:cs="Arial"/>
              </w:rPr>
            </w:pPr>
            <w:r w:rsidRPr="005D4222">
              <w:rPr>
                <w:rFonts w:cs="Arial"/>
              </w:rPr>
              <w:t>database</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0A989085" w14:textId="77777777" w:rsidR="003D7F41" w:rsidRPr="005D4222" w:rsidRDefault="003D7F41" w:rsidP="00A53E8C">
            <w:pPr>
              <w:pStyle w:val="Body"/>
              <w:spacing w:after="60"/>
              <w:rPr>
                <w:rFonts w:cs="Arial"/>
                <w:szCs w:val="21"/>
              </w:rPr>
            </w:pPr>
            <w:r w:rsidRPr="005D4222">
              <w:rPr>
                <w:rFonts w:cs="Arial"/>
                <w:szCs w:val="21"/>
              </w:rPr>
              <w:t>Data collected and organized in a computer file for ease of expansion, updating and retrieval.</w:t>
            </w:r>
          </w:p>
        </w:tc>
      </w:tr>
      <w:tr w:rsidR="003D7F41" w:rsidRPr="005D4222" w14:paraId="1FFE8A27"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32C561C1" w14:textId="77777777" w:rsidR="003D7F41" w:rsidRPr="005D4222" w:rsidRDefault="003D7F41" w:rsidP="00A53E8C">
            <w:pPr>
              <w:pStyle w:val="MarginSubhead"/>
              <w:spacing w:after="60"/>
              <w:ind w:left="0"/>
              <w:rPr>
                <w:rFonts w:cs="Arial"/>
              </w:rPr>
            </w:pPr>
            <w:r w:rsidRPr="005D4222">
              <w:rPr>
                <w:rFonts w:cs="Arial"/>
              </w:rPr>
              <w:t>data collection method</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5943FAEF" w14:textId="77777777" w:rsidR="003D7F41" w:rsidRPr="005D4222" w:rsidRDefault="003D7F41" w:rsidP="00A53E8C">
            <w:pPr>
              <w:pStyle w:val="Body"/>
              <w:spacing w:after="60"/>
              <w:rPr>
                <w:rFonts w:cs="Arial"/>
                <w:szCs w:val="21"/>
              </w:rPr>
            </w:pPr>
            <w:r w:rsidRPr="005D4222">
              <w:rPr>
                <w:rFonts w:cs="Arial"/>
                <w:szCs w:val="21"/>
              </w:rPr>
              <w:t>Data collection methods used in HEDIS are the Administrative Method (A), which includes claims and encounter data; the Hybrid Method (H), which combines claims/encounter data and chart (medical record) review data; Electronic Clinical Data Systems (ECDS), which includes data from electronic databases; and survey data collected through the CAHPS survey.</w:t>
            </w:r>
          </w:p>
        </w:tc>
      </w:tr>
      <w:tr w:rsidR="003D7F41" w:rsidRPr="005D4222" w14:paraId="5150DF6C"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0306C028" w14:textId="77777777" w:rsidR="003D7F41" w:rsidRPr="005D4222" w:rsidRDefault="003D7F41" w:rsidP="00A53E8C">
            <w:pPr>
              <w:pStyle w:val="MarginSubhead"/>
              <w:spacing w:after="60"/>
              <w:ind w:left="0"/>
              <w:rPr>
                <w:rFonts w:cs="Arial"/>
              </w:rPr>
            </w:pPr>
            <w:r w:rsidRPr="005D4222">
              <w:rPr>
                <w:rFonts w:cs="Arial"/>
              </w:rPr>
              <w:t>data completeness</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350664AC" w14:textId="77777777" w:rsidR="003D7F41" w:rsidRPr="005D4222" w:rsidRDefault="003D7F41" w:rsidP="00A53E8C">
            <w:pPr>
              <w:pStyle w:val="Body"/>
              <w:spacing w:after="60"/>
              <w:rPr>
                <w:rFonts w:cs="Arial"/>
                <w:szCs w:val="21"/>
              </w:rPr>
            </w:pPr>
            <w:r w:rsidRPr="005D4222">
              <w:rPr>
                <w:rFonts w:cs="Arial"/>
                <w:szCs w:val="21"/>
              </w:rPr>
              <w:t xml:space="preserve">Determination or evaluation of missing data. Data-completeness issues must be quantified and </w:t>
            </w:r>
            <w:r w:rsidRPr="005D4222">
              <w:rPr>
                <w:rFonts w:cs="Arial"/>
                <w:iCs/>
                <w:szCs w:val="21"/>
              </w:rPr>
              <w:t>Biased Rate (BR)</w:t>
            </w:r>
            <w:r w:rsidRPr="005D4222">
              <w:rPr>
                <w:rFonts w:cs="Arial"/>
                <w:i/>
                <w:szCs w:val="21"/>
              </w:rPr>
              <w:t xml:space="preserve"> </w:t>
            </w:r>
            <w:r w:rsidRPr="005D4222">
              <w:rPr>
                <w:rFonts w:cs="Arial"/>
                <w:szCs w:val="21"/>
              </w:rPr>
              <w:t xml:space="preserve">designations must be supported by determination of material bias. </w:t>
            </w:r>
          </w:p>
        </w:tc>
      </w:tr>
      <w:tr w:rsidR="003D7F41" w:rsidRPr="005D4222" w14:paraId="16516D16"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269800E9" w14:textId="77777777" w:rsidR="003D7F41" w:rsidRPr="005D4222" w:rsidRDefault="003D7F41" w:rsidP="00A53E8C">
            <w:pPr>
              <w:pStyle w:val="MarginSubhead"/>
              <w:spacing w:after="60"/>
              <w:ind w:left="0"/>
              <w:rPr>
                <w:rFonts w:cs="Arial"/>
              </w:rPr>
            </w:pPr>
            <w:r w:rsidRPr="005D4222">
              <w:rPr>
                <w:rFonts w:cs="Arial"/>
              </w:rPr>
              <w:t>data completeness assessment</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3067B9D8" w14:textId="77777777" w:rsidR="003D7F41" w:rsidRPr="005D4222" w:rsidRDefault="003D7F41" w:rsidP="00A53E8C">
            <w:pPr>
              <w:pStyle w:val="Body"/>
              <w:spacing w:after="60"/>
              <w:rPr>
                <w:rFonts w:cs="Arial"/>
                <w:szCs w:val="21"/>
              </w:rPr>
            </w:pPr>
            <w:r w:rsidRPr="005D4222">
              <w:rPr>
                <w:rFonts w:cs="Arial"/>
                <w:szCs w:val="21"/>
              </w:rPr>
              <w:t xml:space="preserve">An assessment of the effect of claim lag and encounter data submission rates on organization data completeness. </w:t>
            </w:r>
          </w:p>
        </w:tc>
      </w:tr>
      <w:tr w:rsidR="003D7F41" w:rsidRPr="005D4222" w14:paraId="25622589"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4CD2A1C2" w14:textId="77777777" w:rsidR="003D7F41" w:rsidRPr="005D4222" w:rsidRDefault="003D7F41" w:rsidP="00A53E8C">
            <w:pPr>
              <w:pStyle w:val="MarginSubhead"/>
              <w:spacing w:after="60"/>
              <w:ind w:left="0"/>
              <w:rPr>
                <w:rFonts w:cs="Arial"/>
              </w:rPr>
            </w:pPr>
            <w:r w:rsidRPr="005D4222">
              <w:rPr>
                <w:rFonts w:cs="Arial"/>
              </w:rPr>
              <w:t>data consolidation</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4794753B" w14:textId="77777777" w:rsidR="003D7F41" w:rsidRPr="005D4222" w:rsidRDefault="003D7F41" w:rsidP="00A53E8C">
            <w:pPr>
              <w:pStyle w:val="Body"/>
              <w:spacing w:after="60"/>
              <w:rPr>
                <w:rFonts w:cs="Arial"/>
                <w:szCs w:val="21"/>
              </w:rPr>
            </w:pPr>
            <w:r w:rsidRPr="005D4222">
              <w:rPr>
                <w:rFonts w:cs="Arial"/>
                <w:szCs w:val="21"/>
              </w:rPr>
              <w:t xml:space="preserve">A combination of data from multiple sources, such as multiple electronic sources or electronic and medical record sources. </w:t>
            </w:r>
          </w:p>
        </w:tc>
      </w:tr>
      <w:tr w:rsidR="003D7F41" w:rsidRPr="005D4222" w14:paraId="4F63A47F"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4146CF16" w14:textId="77777777" w:rsidR="003D7F41" w:rsidRPr="005D4222" w:rsidRDefault="003D7F41" w:rsidP="00A53E8C">
            <w:pPr>
              <w:pStyle w:val="MarginSubhead"/>
              <w:spacing w:after="60"/>
              <w:ind w:left="0"/>
              <w:rPr>
                <w:rFonts w:cs="Arial"/>
              </w:rPr>
            </w:pPr>
            <w:r w:rsidRPr="005D4222">
              <w:rPr>
                <w:rFonts w:cs="Arial"/>
              </w:rPr>
              <w:t>data extraction</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5483626C" w14:textId="77777777" w:rsidR="003D7F41" w:rsidRPr="005D4222" w:rsidRDefault="003D7F41" w:rsidP="00A53E8C">
            <w:pPr>
              <w:pStyle w:val="Body"/>
              <w:spacing w:after="60"/>
              <w:rPr>
                <w:rFonts w:cs="Arial"/>
                <w:szCs w:val="21"/>
              </w:rPr>
            </w:pPr>
            <w:r w:rsidRPr="005D4222">
              <w:rPr>
                <w:rFonts w:cs="Arial"/>
                <w:szCs w:val="21"/>
              </w:rPr>
              <w:t xml:space="preserve">Collecting data from medical records or from electronic and automated systems. </w:t>
            </w:r>
          </w:p>
        </w:tc>
      </w:tr>
      <w:tr w:rsidR="003D7F41" w:rsidRPr="005D4222" w14:paraId="45D936D3"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3CAA7F1E" w14:textId="77777777" w:rsidR="003D7F41" w:rsidRPr="005D4222" w:rsidRDefault="003D7F41" w:rsidP="00A53E8C">
            <w:pPr>
              <w:pStyle w:val="MarginSubhead"/>
              <w:spacing w:after="60"/>
              <w:ind w:left="0"/>
              <w:rPr>
                <w:rFonts w:cs="Arial"/>
              </w:rPr>
            </w:pPr>
            <w:r w:rsidRPr="005D4222">
              <w:rPr>
                <w:rFonts w:cs="Arial"/>
              </w:rPr>
              <w:t>data integration</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73DB79B6" w14:textId="77777777" w:rsidR="003D7F41" w:rsidRPr="005D4222" w:rsidRDefault="003D7F41" w:rsidP="00A53E8C">
            <w:pPr>
              <w:pStyle w:val="Body"/>
              <w:spacing w:after="60"/>
              <w:rPr>
                <w:rFonts w:cs="Arial"/>
                <w:szCs w:val="21"/>
              </w:rPr>
            </w:pPr>
            <w:r w:rsidRPr="005D4222">
              <w:rPr>
                <w:rFonts w:cs="Arial"/>
                <w:szCs w:val="21"/>
              </w:rPr>
              <w:t xml:space="preserve">Combining data from multiple sources, with additional steps to ensure that duplicate data are removed and the remaining data are refined. </w:t>
            </w:r>
          </w:p>
        </w:tc>
      </w:tr>
      <w:tr w:rsidR="003D7F41" w:rsidRPr="005D4222" w14:paraId="4EBD11ED"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3919124C" w14:textId="77777777" w:rsidR="003D7F41" w:rsidRPr="005D4222" w:rsidRDefault="003D7F41" w:rsidP="00A53E8C">
            <w:pPr>
              <w:pStyle w:val="MarginSubhead"/>
              <w:spacing w:after="60"/>
              <w:ind w:left="0"/>
              <w:rPr>
                <w:rFonts w:cs="Arial"/>
              </w:rPr>
            </w:pPr>
            <w:r w:rsidRPr="005D4222">
              <w:rPr>
                <w:rFonts w:cs="Arial"/>
              </w:rPr>
              <w:t>data integrity</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11DFB8B1" w14:textId="77777777" w:rsidR="003D7F41" w:rsidRPr="005D4222" w:rsidRDefault="003D7F41" w:rsidP="00A53E8C">
            <w:pPr>
              <w:pStyle w:val="Body"/>
              <w:spacing w:after="60"/>
              <w:rPr>
                <w:rFonts w:cs="Arial"/>
                <w:szCs w:val="21"/>
              </w:rPr>
            </w:pPr>
            <w:r w:rsidRPr="005D4222">
              <w:rPr>
                <w:rFonts w:cs="Arial"/>
                <w:szCs w:val="21"/>
              </w:rPr>
              <w:t>Data that have not been altered or destroyed.</w:t>
            </w:r>
          </w:p>
        </w:tc>
      </w:tr>
      <w:tr w:rsidR="003D7F41" w:rsidRPr="005D4222" w14:paraId="175FACE5"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466590B5" w14:textId="77777777" w:rsidR="003D7F41" w:rsidRPr="005D4222" w:rsidRDefault="003D7F41" w:rsidP="00A53E8C">
            <w:pPr>
              <w:pStyle w:val="MarginSubhead"/>
              <w:spacing w:after="60"/>
              <w:ind w:left="0"/>
              <w:rPr>
                <w:rFonts w:cs="Arial"/>
              </w:rPr>
            </w:pPr>
            <w:r w:rsidRPr="005D4222">
              <w:rPr>
                <w:rFonts w:cs="Arial"/>
              </w:rPr>
              <w:t>data reliability</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416D40E7" w14:textId="77777777" w:rsidR="003D7F41" w:rsidRPr="005D4222" w:rsidRDefault="003D7F41" w:rsidP="00A53E8C">
            <w:pPr>
              <w:pStyle w:val="Body"/>
              <w:spacing w:after="60"/>
              <w:rPr>
                <w:rFonts w:cs="Arial"/>
                <w:szCs w:val="21"/>
              </w:rPr>
            </w:pPr>
            <w:r w:rsidRPr="005D4222">
              <w:rPr>
                <w:rFonts w:cs="Arial"/>
                <w:szCs w:val="21"/>
              </w:rPr>
              <w:t>A measure of data consistency based on reproducibility and an estimation of measurement error.</w:t>
            </w:r>
          </w:p>
        </w:tc>
      </w:tr>
      <w:tr w:rsidR="00B96A6D" w:rsidRPr="005D4222" w14:paraId="7B1B1CA9"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tcPr>
          <w:p w14:paraId="3996ADCD" w14:textId="023D4832" w:rsidR="00B96A6D" w:rsidRPr="005D4222" w:rsidRDefault="00B96A6D" w:rsidP="00B96A6D">
            <w:pPr>
              <w:pStyle w:val="MarginSubhead"/>
              <w:spacing w:after="60"/>
              <w:ind w:left="0"/>
              <w:rPr>
                <w:rFonts w:cs="Arial"/>
              </w:rPr>
            </w:pPr>
            <w:r w:rsidRPr="005D4222">
              <w:rPr>
                <w:rFonts w:cs="Arial"/>
              </w:rPr>
              <w:t>deductible</w:t>
            </w:r>
          </w:p>
        </w:tc>
        <w:tc>
          <w:tcPr>
            <w:tcW w:w="7590" w:type="dxa"/>
            <w:tcBorders>
              <w:top w:val="single" w:sz="4" w:space="0" w:color="808080" w:themeColor="background1" w:themeShade="80"/>
              <w:left w:val="nil"/>
              <w:bottom w:val="single" w:sz="4" w:space="0" w:color="808080" w:themeColor="background1" w:themeShade="80"/>
              <w:right w:val="nil"/>
            </w:tcBorders>
          </w:tcPr>
          <w:p w14:paraId="64967533" w14:textId="04075D8A" w:rsidR="00B96A6D" w:rsidRPr="005D4222" w:rsidRDefault="00B96A6D" w:rsidP="00B96A6D">
            <w:pPr>
              <w:pStyle w:val="Body"/>
              <w:spacing w:after="60"/>
              <w:rPr>
                <w:rFonts w:cs="Arial"/>
                <w:szCs w:val="21"/>
              </w:rPr>
            </w:pPr>
            <w:r w:rsidRPr="005D4222">
              <w:rPr>
                <w:rFonts w:cs="Arial"/>
                <w:szCs w:val="21"/>
              </w:rPr>
              <w:t>A fixed amount a patient must pay each year before an insurer will begin covering any part of the cost of care.</w:t>
            </w:r>
          </w:p>
        </w:tc>
      </w:tr>
      <w:tr w:rsidR="00B96A6D" w:rsidRPr="005D4222" w14:paraId="3D9E3802" w14:textId="77777777" w:rsidTr="00A53E8C">
        <w:tc>
          <w:tcPr>
            <w:tcW w:w="2160" w:type="dxa"/>
            <w:tcBorders>
              <w:left w:val="nil"/>
              <w:bottom w:val="single" w:sz="4" w:space="0" w:color="808080" w:themeColor="background1" w:themeShade="80"/>
              <w:right w:val="nil"/>
            </w:tcBorders>
            <w:tcMar>
              <w:top w:w="0" w:type="dxa"/>
              <w:left w:w="0" w:type="dxa"/>
              <w:bottom w:w="0" w:type="dxa"/>
              <w:right w:w="115" w:type="dxa"/>
            </w:tcMar>
            <w:hideMark/>
          </w:tcPr>
          <w:p w14:paraId="008E6595" w14:textId="77777777" w:rsidR="00B96A6D" w:rsidRPr="005D4222" w:rsidRDefault="00B96A6D" w:rsidP="00B96A6D">
            <w:pPr>
              <w:pStyle w:val="MarginSubhead"/>
              <w:spacing w:after="60"/>
              <w:ind w:left="0"/>
              <w:rPr>
                <w:rFonts w:cs="Arial"/>
              </w:rPr>
            </w:pPr>
            <w:r w:rsidRPr="005D4222">
              <w:rPr>
                <w:rFonts w:cs="Arial"/>
              </w:rPr>
              <w:t>delegation</w:t>
            </w:r>
          </w:p>
        </w:tc>
        <w:tc>
          <w:tcPr>
            <w:tcW w:w="7590" w:type="dxa"/>
            <w:tcBorders>
              <w:left w:val="nil"/>
              <w:bottom w:val="single" w:sz="4" w:space="0" w:color="808080" w:themeColor="background1" w:themeShade="80"/>
              <w:right w:val="nil"/>
            </w:tcBorders>
            <w:hideMark/>
          </w:tcPr>
          <w:p w14:paraId="71DBA62B" w14:textId="77777777" w:rsidR="00B96A6D" w:rsidRPr="005D4222" w:rsidRDefault="00B96A6D" w:rsidP="00B96A6D">
            <w:pPr>
              <w:pStyle w:val="Body"/>
              <w:spacing w:after="60"/>
            </w:pPr>
            <w:r w:rsidRPr="005D4222">
              <w:t>An organization gives another entity the authority to perform certain functions on its behalf, such as providing mental health care and laboratory and vision services.</w:t>
            </w:r>
            <w:r w:rsidRPr="005D4222">
              <w:rPr>
                <w:rFonts w:cs="Arial"/>
                <w:szCs w:val="21"/>
              </w:rPr>
              <w:t xml:space="preserve"> Delegation may also include service functions such as claims processing and call center functions.</w:t>
            </w:r>
            <w:r w:rsidRPr="005D4222">
              <w:t xml:space="preserve"> Although the organization may delegate the authority to perform a function, it may not delegate the responsibility for ensuring that the function is performed appropriately. </w:t>
            </w:r>
          </w:p>
          <w:p w14:paraId="1282C3CD" w14:textId="77777777" w:rsidR="00B96A6D" w:rsidRPr="005D4222" w:rsidRDefault="00B96A6D" w:rsidP="00B96A6D">
            <w:pPr>
              <w:pStyle w:val="Body"/>
              <w:spacing w:after="60"/>
              <w:rPr>
                <w:rFonts w:cs="Arial"/>
                <w:szCs w:val="21"/>
              </w:rPr>
            </w:pPr>
            <w:r w:rsidRPr="005D4222" w:rsidDel="00407BD9">
              <w:rPr>
                <w:rFonts w:cs="Arial"/>
                <w:szCs w:val="21"/>
              </w:rPr>
              <w:t>D</w:t>
            </w:r>
            <w:r w:rsidRPr="005D4222">
              <w:rPr>
                <w:rFonts w:cs="Arial"/>
                <w:szCs w:val="21"/>
              </w:rPr>
              <w:t>elegates of NCQA-Accredited health plans may also perform credentialing, utilization management</w:t>
            </w:r>
            <w:r w:rsidRPr="005D4222" w:rsidDel="00407BD9">
              <w:rPr>
                <w:rFonts w:cs="Arial"/>
                <w:szCs w:val="21"/>
              </w:rPr>
              <w:t xml:space="preserve"> </w:t>
            </w:r>
            <w:r w:rsidRPr="005D4222">
              <w:rPr>
                <w:rFonts w:cs="Arial"/>
                <w:szCs w:val="21"/>
              </w:rPr>
              <w:t>and quality improvement</w:t>
            </w:r>
            <w:r w:rsidRPr="005D4222" w:rsidDel="00407BD9">
              <w:rPr>
                <w:rFonts w:cs="Arial"/>
                <w:szCs w:val="21"/>
              </w:rPr>
              <w:t xml:space="preserve"> </w:t>
            </w:r>
            <w:r w:rsidRPr="005D4222">
              <w:rPr>
                <w:rFonts w:cs="Arial"/>
                <w:szCs w:val="21"/>
              </w:rPr>
              <w:t>activities.</w:t>
            </w:r>
          </w:p>
        </w:tc>
      </w:tr>
      <w:tr w:rsidR="00B96A6D" w:rsidRPr="005D4222" w14:paraId="5F55A4D1" w14:textId="77777777" w:rsidTr="00A53E8C">
        <w:tc>
          <w:tcPr>
            <w:tcW w:w="2160" w:type="dxa"/>
            <w:tcBorders>
              <w:top w:val="single" w:sz="4" w:space="0" w:color="808080" w:themeColor="background1" w:themeShade="80"/>
              <w:left w:val="nil"/>
              <w:right w:val="nil"/>
            </w:tcBorders>
            <w:tcMar>
              <w:top w:w="0" w:type="dxa"/>
              <w:left w:w="0" w:type="dxa"/>
              <w:bottom w:w="0" w:type="dxa"/>
              <w:right w:w="115" w:type="dxa"/>
            </w:tcMar>
            <w:hideMark/>
          </w:tcPr>
          <w:p w14:paraId="79D788D4" w14:textId="77777777" w:rsidR="00B96A6D" w:rsidRPr="005D4222" w:rsidRDefault="00B96A6D" w:rsidP="00B96A6D">
            <w:pPr>
              <w:pStyle w:val="MarginSubhead"/>
              <w:spacing w:after="60"/>
              <w:ind w:left="0"/>
              <w:rPr>
                <w:rFonts w:cs="Arial"/>
              </w:rPr>
            </w:pPr>
            <w:r w:rsidRPr="005D4222">
              <w:rPr>
                <w:rFonts w:cs="Arial"/>
              </w:rPr>
              <w:t>direct pay</w:t>
            </w:r>
          </w:p>
        </w:tc>
        <w:tc>
          <w:tcPr>
            <w:tcW w:w="7590" w:type="dxa"/>
            <w:tcBorders>
              <w:top w:val="single" w:sz="4" w:space="0" w:color="808080" w:themeColor="background1" w:themeShade="80"/>
              <w:left w:val="nil"/>
              <w:right w:val="nil"/>
            </w:tcBorders>
            <w:hideMark/>
          </w:tcPr>
          <w:p w14:paraId="5CA920A1" w14:textId="77777777" w:rsidR="00B96A6D" w:rsidRPr="005D4222" w:rsidRDefault="00B96A6D" w:rsidP="00B96A6D">
            <w:pPr>
              <w:pStyle w:val="Body"/>
              <w:spacing w:after="60"/>
              <w:rPr>
                <w:rFonts w:cs="Arial"/>
                <w:szCs w:val="21"/>
              </w:rPr>
            </w:pPr>
            <w:r w:rsidRPr="005D4222">
              <w:rPr>
                <w:rFonts w:cs="Arial"/>
                <w:szCs w:val="21"/>
              </w:rPr>
              <w:t>Premium payments made by members directly to the organization rather than through an intermediary such as an employer or state or federal program.</w:t>
            </w:r>
          </w:p>
        </w:tc>
      </w:tr>
      <w:tr w:rsidR="00B96A6D" w:rsidRPr="005D4222" w14:paraId="5AC7C0E1" w14:textId="77777777" w:rsidTr="00A53E8C">
        <w:tc>
          <w:tcPr>
            <w:tcW w:w="2160" w:type="dxa"/>
            <w:tcBorders>
              <w:left w:val="nil"/>
              <w:bottom w:val="single" w:sz="4" w:space="0" w:color="808080" w:themeColor="background1" w:themeShade="80"/>
              <w:right w:val="nil"/>
            </w:tcBorders>
            <w:tcMar>
              <w:top w:w="0" w:type="dxa"/>
              <w:left w:w="0" w:type="dxa"/>
              <w:bottom w:w="0" w:type="dxa"/>
              <w:right w:w="115" w:type="dxa"/>
            </w:tcMar>
          </w:tcPr>
          <w:p w14:paraId="73A0C814" w14:textId="77777777" w:rsidR="00B96A6D" w:rsidRPr="005D4222" w:rsidRDefault="00B96A6D" w:rsidP="00B96A6D">
            <w:pPr>
              <w:pStyle w:val="MarginSubhead"/>
              <w:spacing w:before="0" w:after="60"/>
              <w:ind w:left="0"/>
              <w:rPr>
                <w:rFonts w:cs="Arial"/>
              </w:rPr>
            </w:pPr>
            <w:r w:rsidRPr="005D4222">
              <w:rPr>
                <w:rFonts w:cs="Arial"/>
              </w:rPr>
              <w:lastRenderedPageBreak/>
              <w:t>direct reference code</w:t>
            </w:r>
          </w:p>
        </w:tc>
        <w:tc>
          <w:tcPr>
            <w:tcW w:w="7590" w:type="dxa"/>
            <w:tcBorders>
              <w:left w:val="nil"/>
              <w:bottom w:val="single" w:sz="4" w:space="0" w:color="808080" w:themeColor="background1" w:themeShade="80"/>
              <w:right w:val="nil"/>
            </w:tcBorders>
          </w:tcPr>
          <w:p w14:paraId="7A28A584" w14:textId="77777777" w:rsidR="00B96A6D" w:rsidRPr="005D4222" w:rsidRDefault="00B96A6D" w:rsidP="00B96A6D">
            <w:pPr>
              <w:pStyle w:val="Body"/>
              <w:spacing w:before="0"/>
            </w:pPr>
            <w:r w:rsidRPr="005D4222">
              <w:t>A</w:t>
            </w:r>
            <w:r w:rsidRPr="005D4222" w:rsidDel="008E565F">
              <w:t xml:space="preserve"> </w:t>
            </w:r>
            <w:r w:rsidRPr="005D4222">
              <w:t>single code that meets criteria for a service or condition. Listed in the measure specification;</w:t>
            </w:r>
            <w:r w:rsidRPr="005D4222" w:rsidDel="00557AD4">
              <w:t xml:space="preserve"> </w:t>
            </w:r>
            <w:r w:rsidRPr="005D4222">
              <w:t xml:space="preserve">also included in the Direct Reference Codes spreadsheet of the VSD (as are direct reference codes used for measures reported using ECDS). </w:t>
            </w:r>
          </w:p>
          <w:p w14:paraId="0462BBB5" w14:textId="77777777" w:rsidR="00B96A6D" w:rsidRPr="005D4222" w:rsidRDefault="00B96A6D" w:rsidP="00B96A6D">
            <w:pPr>
              <w:pStyle w:val="Note"/>
              <w:spacing w:before="80" w:after="60"/>
              <w:rPr>
                <w:rFonts w:cs="Arial"/>
                <w:szCs w:val="21"/>
              </w:rPr>
            </w:pPr>
            <w:r w:rsidRPr="005D4222">
              <w:rPr>
                <w:b/>
                <w:bCs/>
              </w:rPr>
              <w:t>Note:</w:t>
            </w:r>
            <w:r w:rsidRPr="005D4222">
              <w:t xml:space="preserve"> Value sets that contain only one code will be phased out (and turned into direct reference codes) as measures are digitalized.</w:t>
            </w:r>
          </w:p>
        </w:tc>
      </w:tr>
      <w:tr w:rsidR="00B96A6D" w:rsidRPr="005D4222" w14:paraId="4B157B1A"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tcPr>
          <w:p w14:paraId="3C3F656F" w14:textId="77777777" w:rsidR="00B96A6D" w:rsidRPr="005D4222" w:rsidRDefault="00B96A6D" w:rsidP="00B96A6D">
            <w:pPr>
              <w:pStyle w:val="MarginSubhead"/>
              <w:spacing w:after="60"/>
              <w:ind w:left="0"/>
              <w:rPr>
                <w:rFonts w:cs="Arial"/>
              </w:rPr>
            </w:pPr>
            <w:r w:rsidRPr="005D4222">
              <w:rPr>
                <w:rFonts w:cs="Arial"/>
              </w:rPr>
              <w:t>discharges</w:t>
            </w:r>
          </w:p>
        </w:tc>
        <w:tc>
          <w:tcPr>
            <w:tcW w:w="7590" w:type="dxa"/>
            <w:tcBorders>
              <w:top w:val="single" w:sz="4" w:space="0" w:color="808080" w:themeColor="background1" w:themeShade="80"/>
              <w:left w:val="nil"/>
              <w:bottom w:val="single" w:sz="4" w:space="0" w:color="808080" w:themeColor="background1" w:themeShade="80"/>
              <w:right w:val="nil"/>
            </w:tcBorders>
          </w:tcPr>
          <w:p w14:paraId="67232A2A" w14:textId="77777777" w:rsidR="00B96A6D" w:rsidRPr="005D4222" w:rsidRDefault="00B96A6D" w:rsidP="00B96A6D">
            <w:pPr>
              <w:pStyle w:val="Body"/>
            </w:pPr>
            <w:r w:rsidRPr="005D4222">
              <w:rPr>
                <w:rFonts w:cs="Arial"/>
                <w:szCs w:val="21"/>
              </w:rPr>
              <w:t>The number of people released from a hospital.</w:t>
            </w:r>
          </w:p>
        </w:tc>
      </w:tr>
      <w:tr w:rsidR="00B96A6D" w:rsidRPr="005D4222" w14:paraId="1C566D3B" w14:textId="77777777" w:rsidTr="00A53E8C">
        <w:trPr>
          <w:trHeight w:val="300"/>
        </w:trPr>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1220793A" w14:textId="77777777" w:rsidR="00B96A6D" w:rsidRPr="005D4222" w:rsidRDefault="00B96A6D" w:rsidP="00B96A6D">
            <w:pPr>
              <w:pStyle w:val="MarginSubhead"/>
              <w:spacing w:after="60"/>
              <w:ind w:left="0"/>
              <w:rPr>
                <w:rFonts w:cs="Arial"/>
              </w:rPr>
            </w:pPr>
            <w:r w:rsidRPr="005D4222">
              <w:rPr>
                <w:rFonts w:cs="Arial"/>
              </w:rPr>
              <w:t>disenrollment</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02D76550" w14:textId="77777777" w:rsidR="00B96A6D" w:rsidRPr="005D4222" w:rsidRDefault="00B96A6D" w:rsidP="00B96A6D">
            <w:pPr>
              <w:pStyle w:val="Body"/>
              <w:spacing w:after="60"/>
              <w:rPr>
                <w:rFonts w:cs="Arial"/>
                <w:szCs w:val="21"/>
              </w:rPr>
            </w:pPr>
            <w:r w:rsidRPr="005D4222">
              <w:rPr>
                <w:rFonts w:cs="Arial"/>
                <w:szCs w:val="21"/>
              </w:rPr>
              <w:t>Termination of participation in an organization.</w:t>
            </w:r>
          </w:p>
        </w:tc>
      </w:tr>
      <w:tr w:rsidR="00B96A6D" w:rsidRPr="005D4222" w14:paraId="42C24B39" w14:textId="77777777" w:rsidTr="00A53E8C">
        <w:trPr>
          <w:trHeight w:val="300"/>
        </w:trPr>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3AA928A2" w14:textId="77777777" w:rsidR="00B96A6D" w:rsidRPr="005D4222" w:rsidRDefault="00B96A6D" w:rsidP="00B96A6D">
            <w:pPr>
              <w:pStyle w:val="MarginSubhead"/>
              <w:spacing w:after="60"/>
              <w:ind w:left="0"/>
              <w:rPr>
                <w:rFonts w:cs="Arial"/>
              </w:rPr>
            </w:pPr>
            <w:r w:rsidRPr="005D4222">
              <w:rPr>
                <w:rFonts w:cs="Arial"/>
              </w:rPr>
              <w:t>ECDS</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0688A22D" w14:textId="77777777" w:rsidR="00B96A6D" w:rsidRPr="005D4222" w:rsidRDefault="00B96A6D" w:rsidP="00B96A6D">
            <w:pPr>
              <w:pStyle w:val="Body"/>
              <w:spacing w:after="60"/>
              <w:rPr>
                <w:rFonts w:cs="Arial"/>
                <w:szCs w:val="21"/>
              </w:rPr>
            </w:pPr>
            <w:r w:rsidRPr="005D4222">
              <w:rPr>
                <w:rFonts w:cs="Arial"/>
              </w:rPr>
              <w:t>Electronic clinical data systems. A HEDIS reporting standard for health plans that collect and submit quality measures to NCQA. This reporting standard defines the data sources and types of electronic data acceptable for use in a HEDIS measure report. Data systems that may be eligible for ECDS reporting include, but are not limited to, administrative claims, clinical registries, health information exchanges, immunization information systems, disease/case management systems and electronic health records.</w:t>
            </w:r>
          </w:p>
        </w:tc>
      </w:tr>
      <w:tr w:rsidR="00B96A6D" w:rsidRPr="005D4222" w14:paraId="444F6002" w14:textId="77777777" w:rsidTr="00A53E8C">
        <w:trPr>
          <w:trHeight w:val="300"/>
        </w:trPr>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tcPr>
          <w:p w14:paraId="32CCB05C" w14:textId="77777777" w:rsidR="00B96A6D" w:rsidRPr="005D4222" w:rsidRDefault="00B96A6D" w:rsidP="00B96A6D">
            <w:pPr>
              <w:pStyle w:val="MarginSubhead"/>
              <w:spacing w:after="60"/>
              <w:ind w:left="0"/>
              <w:rPr>
                <w:rFonts w:cs="Arial"/>
              </w:rPr>
            </w:pPr>
            <w:r w:rsidRPr="005D4222">
              <w:rPr>
                <w:rFonts w:cs="Arial"/>
              </w:rPr>
              <w:t xml:space="preserve">eligible population </w:t>
            </w:r>
          </w:p>
        </w:tc>
        <w:tc>
          <w:tcPr>
            <w:tcW w:w="7590" w:type="dxa"/>
            <w:tcBorders>
              <w:top w:val="single" w:sz="4" w:space="0" w:color="808080" w:themeColor="background1" w:themeShade="80"/>
              <w:left w:val="nil"/>
              <w:bottom w:val="single" w:sz="4" w:space="0" w:color="808080" w:themeColor="background1" w:themeShade="80"/>
              <w:right w:val="nil"/>
            </w:tcBorders>
          </w:tcPr>
          <w:p w14:paraId="71968D6A" w14:textId="77777777" w:rsidR="00B96A6D" w:rsidRPr="005D4222" w:rsidRDefault="00B96A6D" w:rsidP="00B96A6D">
            <w:pPr>
              <w:pStyle w:val="Body"/>
              <w:widowControl w:val="0"/>
              <w:spacing w:after="60"/>
            </w:pPr>
            <w:r w:rsidRPr="005D4222">
              <w:t>All members who satisfy a measure’s specified criteria, including age, continuous enrollment, benefit, event and anchor date enrollment.</w:t>
            </w:r>
          </w:p>
          <w:p w14:paraId="37BC0D1A" w14:textId="77777777" w:rsidR="00B96A6D" w:rsidRPr="005D4222" w:rsidRDefault="00B96A6D" w:rsidP="00B96A6D">
            <w:pPr>
              <w:pStyle w:val="Note"/>
              <w:spacing w:after="60"/>
            </w:pPr>
            <w:r w:rsidRPr="005D4222">
              <w:rPr>
                <w:b/>
                <w:bCs/>
              </w:rPr>
              <w:t>Note:</w:t>
            </w:r>
            <w:r w:rsidRPr="005D4222">
              <w:t xml:space="preserve"> This term is only used in the FRM, MUI and PAO measures.</w:t>
            </w:r>
          </w:p>
        </w:tc>
      </w:tr>
      <w:tr w:rsidR="00B96A6D" w:rsidRPr="005D4222" w14:paraId="25491B55" w14:textId="77777777" w:rsidTr="00A53E8C">
        <w:trPr>
          <w:trHeight w:val="300"/>
        </w:trPr>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34230418" w14:textId="77777777" w:rsidR="00B96A6D" w:rsidRPr="005D4222" w:rsidRDefault="00B96A6D" w:rsidP="00B96A6D">
            <w:pPr>
              <w:pStyle w:val="MarginSubhead"/>
              <w:spacing w:after="60"/>
              <w:ind w:left="0"/>
              <w:rPr>
                <w:rFonts w:cs="Arial"/>
              </w:rPr>
            </w:pPr>
            <w:bookmarkStart w:id="463" w:name="ELM"/>
            <w:r w:rsidRPr="005D4222">
              <w:rPr>
                <w:rFonts w:cs="Arial"/>
              </w:rPr>
              <w:t>ELM</w:t>
            </w:r>
            <w:bookmarkEnd w:id="463"/>
          </w:p>
        </w:tc>
        <w:tc>
          <w:tcPr>
            <w:tcW w:w="7590" w:type="dxa"/>
            <w:tcBorders>
              <w:top w:val="single" w:sz="4" w:space="0" w:color="808080" w:themeColor="background1" w:themeShade="80"/>
              <w:left w:val="nil"/>
              <w:bottom w:val="single" w:sz="4" w:space="0" w:color="808080" w:themeColor="background1" w:themeShade="80"/>
              <w:right w:val="nil"/>
            </w:tcBorders>
            <w:hideMark/>
          </w:tcPr>
          <w:p w14:paraId="3E60DE9E" w14:textId="77777777" w:rsidR="00B96A6D" w:rsidRPr="005D4222" w:rsidRDefault="00B96A6D" w:rsidP="00B96A6D">
            <w:pPr>
              <w:pStyle w:val="Body"/>
              <w:widowControl w:val="0"/>
              <w:spacing w:after="60"/>
            </w:pPr>
            <w:hyperlink r:id="rId267" w:history="1">
              <w:r w:rsidRPr="005D4222">
                <w:rPr>
                  <w:rStyle w:val="Hyperlink"/>
                  <w:color w:val="0070C0"/>
                </w:rPr>
                <w:t>Expression Logical Model</w:t>
              </w:r>
            </w:hyperlink>
            <w:r w:rsidRPr="005D4222">
              <w:t xml:space="preserve">. A Unified Modeling Language™ specification for representing measure logic independent of syntax and special-purpose constructs introduced at the syntactic level. It is intended to enable distribution and sharing of computable quality logic. </w:t>
            </w:r>
          </w:p>
        </w:tc>
      </w:tr>
      <w:tr w:rsidR="00B96A6D" w:rsidRPr="005D4222" w14:paraId="4CFAE555" w14:textId="77777777" w:rsidTr="00A53E8C">
        <w:trPr>
          <w:trHeight w:val="300"/>
        </w:trPr>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00AA4DBF" w14:textId="77777777" w:rsidR="00B96A6D" w:rsidRPr="005D4222" w:rsidRDefault="00B96A6D" w:rsidP="00B96A6D">
            <w:pPr>
              <w:pStyle w:val="MarginSubhead"/>
              <w:spacing w:after="60"/>
              <w:ind w:left="0"/>
              <w:rPr>
                <w:rFonts w:cs="Arial"/>
              </w:rPr>
            </w:pPr>
            <w:r w:rsidRPr="005D4222">
              <w:rPr>
                <w:rFonts w:cs="Arial"/>
              </w:rPr>
              <w:t>EPO</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20753EE7" w14:textId="77777777" w:rsidR="00B96A6D" w:rsidRPr="005D4222" w:rsidRDefault="00B96A6D" w:rsidP="00B96A6D">
            <w:pPr>
              <w:pStyle w:val="Body"/>
              <w:spacing w:after="60"/>
              <w:rPr>
                <w:rFonts w:cs="Arial"/>
                <w:szCs w:val="21"/>
              </w:rPr>
            </w:pPr>
            <w:r w:rsidRPr="005D4222">
              <w:rPr>
                <w:rFonts w:cs="Arial"/>
                <w:szCs w:val="21"/>
              </w:rPr>
              <w:t>Exclusive provider organization. A type of health insurance product that usually limits coverage to care from providers, or groups of providers, who have contracts with the health insurance issuer to be part of a network of participating providers. EPO members</w:t>
            </w:r>
            <w:r w:rsidRPr="005D4222" w:rsidDel="00E7400F">
              <w:rPr>
                <w:rFonts w:cs="Arial"/>
                <w:szCs w:val="21"/>
              </w:rPr>
              <w:t xml:space="preserve"> </w:t>
            </w:r>
            <w:r w:rsidRPr="005D4222">
              <w:rPr>
                <w:rFonts w:cs="Arial"/>
                <w:szCs w:val="21"/>
              </w:rPr>
              <w:t>are generally not reimbursed, nor do they</w:t>
            </w:r>
            <w:r w:rsidRPr="005D4222" w:rsidDel="00FD6F22">
              <w:rPr>
                <w:rFonts w:cs="Arial"/>
                <w:szCs w:val="21"/>
              </w:rPr>
              <w:t xml:space="preserve"> </w:t>
            </w:r>
            <w:r w:rsidRPr="005D4222">
              <w:rPr>
                <w:rFonts w:cs="Arial"/>
                <w:szCs w:val="21"/>
              </w:rPr>
              <w:t>receive benefits for out-of-network services; however, some EPOs provide partial reimbursement for emergency situations.</w:t>
            </w:r>
          </w:p>
        </w:tc>
      </w:tr>
      <w:tr w:rsidR="00B96A6D" w:rsidRPr="005D4222" w14:paraId="50E327F7" w14:textId="77777777" w:rsidTr="00A53E8C">
        <w:trPr>
          <w:trHeight w:val="2000"/>
        </w:trPr>
        <w:tc>
          <w:tcPr>
            <w:tcW w:w="2160" w:type="dxa"/>
            <w:tcBorders>
              <w:top w:val="single" w:sz="4" w:space="0" w:color="808080" w:themeColor="background1" w:themeShade="80"/>
              <w:left w:val="nil"/>
              <w:right w:val="nil"/>
            </w:tcBorders>
            <w:tcMar>
              <w:top w:w="0" w:type="dxa"/>
              <w:left w:w="0" w:type="dxa"/>
              <w:bottom w:w="0" w:type="dxa"/>
              <w:right w:w="115" w:type="dxa"/>
            </w:tcMar>
            <w:hideMark/>
          </w:tcPr>
          <w:p w14:paraId="503CC2CF" w14:textId="77777777" w:rsidR="00B96A6D" w:rsidRPr="005D4222" w:rsidRDefault="00B96A6D" w:rsidP="00B96A6D">
            <w:pPr>
              <w:pStyle w:val="MarginSubhead"/>
              <w:spacing w:after="60"/>
              <w:ind w:left="0"/>
              <w:rPr>
                <w:rFonts w:cs="Arial"/>
              </w:rPr>
            </w:pPr>
            <w:r w:rsidRPr="005D4222">
              <w:rPr>
                <w:rFonts w:cs="Arial"/>
              </w:rPr>
              <w:t>external data</w:t>
            </w:r>
          </w:p>
        </w:tc>
        <w:tc>
          <w:tcPr>
            <w:tcW w:w="7590" w:type="dxa"/>
            <w:tcBorders>
              <w:top w:val="single" w:sz="4" w:space="0" w:color="808080" w:themeColor="background1" w:themeShade="80"/>
              <w:left w:val="nil"/>
              <w:right w:val="nil"/>
            </w:tcBorders>
            <w:hideMark/>
          </w:tcPr>
          <w:p w14:paraId="460A67F3" w14:textId="77777777" w:rsidR="00B96A6D" w:rsidRPr="005D4222" w:rsidRDefault="00B96A6D" w:rsidP="00B96A6D">
            <w:pPr>
              <w:pStyle w:val="Body"/>
              <w:spacing w:after="60"/>
              <w:rPr>
                <w:rFonts w:cs="Arial"/>
                <w:szCs w:val="21"/>
              </w:rPr>
            </w:pPr>
            <w:r w:rsidRPr="005D4222">
              <w:rPr>
                <w:rFonts w:cs="Arial"/>
                <w:szCs w:val="21"/>
              </w:rPr>
              <w:t xml:space="preserve">Automated data supplied by contracted practitioners, vendors or public agencies (e.g., pharmacies, labs, hospitals, schools, state public health agencies). </w:t>
            </w:r>
          </w:p>
          <w:p w14:paraId="1842AC92" w14:textId="77777777" w:rsidR="00B96A6D" w:rsidRPr="005D4222" w:rsidRDefault="00B96A6D" w:rsidP="00B96A6D">
            <w:pPr>
              <w:pStyle w:val="Body"/>
              <w:spacing w:before="120" w:after="60"/>
              <w:rPr>
                <w:rFonts w:cs="Arial"/>
                <w:szCs w:val="21"/>
              </w:rPr>
            </w:pPr>
            <w:r w:rsidRPr="005D4222">
              <w:rPr>
                <w:rFonts w:cs="Arial"/>
                <w:szCs w:val="21"/>
              </w:rPr>
              <w:t>External data can also come from electronic medical records (EMR). An EMR system is typically developed and maintained at a hospital or a physician’s office, and may be integrated (or linked) to the organization’s system. External data files may be standard or nonstandard.</w:t>
            </w:r>
          </w:p>
        </w:tc>
      </w:tr>
      <w:tr w:rsidR="00B96A6D" w:rsidRPr="005D4222" w14:paraId="249DBDA5" w14:textId="77777777" w:rsidTr="00A53E8C">
        <w:trPr>
          <w:trHeight w:val="300"/>
        </w:trPr>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35812126" w14:textId="77777777" w:rsidR="00B96A6D" w:rsidRPr="005D4222" w:rsidRDefault="00B96A6D" w:rsidP="00B96A6D">
            <w:pPr>
              <w:pStyle w:val="MarginSubhead"/>
              <w:spacing w:after="60"/>
              <w:ind w:left="0"/>
              <w:rPr>
                <w:rFonts w:cs="Arial"/>
              </w:rPr>
            </w:pPr>
            <w:r w:rsidRPr="005D4222">
              <w:rPr>
                <w:rFonts w:cs="Arial"/>
              </w:rPr>
              <w:t>FAQ</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35E1704B" w14:textId="77777777" w:rsidR="00B96A6D" w:rsidRPr="005D4222" w:rsidRDefault="00B96A6D" w:rsidP="00B96A6D">
            <w:pPr>
              <w:pStyle w:val="Body"/>
              <w:spacing w:after="60"/>
              <w:rPr>
                <w:rFonts w:cs="Arial"/>
                <w:szCs w:val="21"/>
              </w:rPr>
            </w:pPr>
            <w:r w:rsidRPr="005D4222">
              <w:rPr>
                <w:rFonts w:cs="Arial"/>
                <w:szCs w:val="21"/>
              </w:rPr>
              <w:t xml:space="preserve">Frequently asked questions posted to the NCQA website on the 15th of each month. </w:t>
            </w:r>
          </w:p>
        </w:tc>
      </w:tr>
      <w:tr w:rsidR="00B96A6D" w:rsidRPr="005D4222" w14:paraId="505DD57B" w14:textId="77777777" w:rsidTr="00A53E8C">
        <w:trPr>
          <w:trHeight w:val="300"/>
        </w:trPr>
        <w:tc>
          <w:tcPr>
            <w:tcW w:w="2160" w:type="dxa"/>
            <w:tcBorders>
              <w:top w:val="single" w:sz="4" w:space="0" w:color="808080" w:themeColor="background1" w:themeShade="80"/>
              <w:left w:val="nil"/>
              <w:right w:val="nil"/>
            </w:tcBorders>
            <w:tcMar>
              <w:top w:w="0" w:type="dxa"/>
              <w:left w:w="0" w:type="dxa"/>
              <w:bottom w:w="0" w:type="dxa"/>
              <w:right w:w="115" w:type="dxa"/>
            </w:tcMar>
            <w:hideMark/>
          </w:tcPr>
          <w:p w14:paraId="528138F5" w14:textId="77777777" w:rsidR="00B96A6D" w:rsidRPr="005D4222" w:rsidRDefault="00B96A6D" w:rsidP="00B96A6D">
            <w:pPr>
              <w:pStyle w:val="MarginSubhead"/>
              <w:spacing w:after="60"/>
              <w:ind w:left="0"/>
              <w:rPr>
                <w:rFonts w:cs="Arial"/>
              </w:rPr>
            </w:pPr>
            <w:r w:rsidRPr="005D4222">
              <w:rPr>
                <w:rFonts w:cs="Arial"/>
              </w:rPr>
              <w:t>fee-for-service</w:t>
            </w:r>
          </w:p>
        </w:tc>
        <w:tc>
          <w:tcPr>
            <w:tcW w:w="7590" w:type="dxa"/>
            <w:tcBorders>
              <w:top w:val="single" w:sz="4" w:space="0" w:color="808080" w:themeColor="background1" w:themeShade="80"/>
              <w:left w:val="nil"/>
              <w:right w:val="nil"/>
            </w:tcBorders>
            <w:hideMark/>
          </w:tcPr>
          <w:p w14:paraId="4272FCED" w14:textId="77777777" w:rsidR="00B96A6D" w:rsidRPr="005D4222" w:rsidRDefault="00B96A6D" w:rsidP="00B96A6D">
            <w:pPr>
              <w:pStyle w:val="Body"/>
              <w:spacing w:after="60"/>
              <w:rPr>
                <w:rFonts w:cs="Arial"/>
                <w:szCs w:val="21"/>
              </w:rPr>
            </w:pPr>
            <w:r w:rsidRPr="005D4222">
              <w:rPr>
                <w:rFonts w:cs="Arial"/>
                <w:szCs w:val="21"/>
              </w:rPr>
              <w:t>A method of charging for medical services. A physician charges a fee for each service provided and the insurer or patient pays all or part of the fee.</w:t>
            </w:r>
          </w:p>
        </w:tc>
      </w:tr>
    </w:tbl>
    <w:p w14:paraId="3AD3B12A" w14:textId="77777777" w:rsidR="003D7F41" w:rsidRPr="005D4222" w:rsidRDefault="003D7F41" w:rsidP="003D7F41">
      <w:pPr>
        <w:spacing w:after="160" w:line="259" w:lineRule="auto"/>
      </w:pPr>
      <w:r w:rsidRPr="005D4222">
        <w:br w:type="page"/>
      </w:r>
    </w:p>
    <w:tbl>
      <w:tblPr>
        <w:tblW w:w="9750" w:type="dxa"/>
        <w:tblLayout w:type="fixed"/>
        <w:tblLook w:val="04A0" w:firstRow="1" w:lastRow="0" w:firstColumn="1" w:lastColumn="0" w:noHBand="0" w:noVBand="1"/>
      </w:tblPr>
      <w:tblGrid>
        <w:gridCol w:w="2160"/>
        <w:gridCol w:w="7590"/>
      </w:tblGrid>
      <w:tr w:rsidR="003D7F41" w:rsidRPr="005D4222" w14:paraId="2A9A2FE7" w14:textId="77777777" w:rsidTr="00A53E8C">
        <w:trPr>
          <w:trHeight w:val="300"/>
        </w:trPr>
        <w:tc>
          <w:tcPr>
            <w:tcW w:w="2160" w:type="dxa"/>
            <w:tcBorders>
              <w:left w:val="nil"/>
              <w:bottom w:val="single" w:sz="4" w:space="0" w:color="808080" w:themeColor="background1" w:themeShade="80"/>
              <w:right w:val="nil"/>
            </w:tcBorders>
            <w:tcMar>
              <w:top w:w="0" w:type="dxa"/>
              <w:left w:w="0" w:type="dxa"/>
              <w:bottom w:w="0" w:type="dxa"/>
              <w:right w:w="115" w:type="dxa"/>
            </w:tcMar>
            <w:hideMark/>
          </w:tcPr>
          <w:p w14:paraId="66407E29" w14:textId="77777777" w:rsidR="003D7F41" w:rsidRPr="005D4222" w:rsidRDefault="003D7F41" w:rsidP="00A53E8C">
            <w:pPr>
              <w:pStyle w:val="MarginSubhead"/>
              <w:spacing w:before="0" w:after="60"/>
              <w:ind w:left="0"/>
              <w:rPr>
                <w:rFonts w:cs="Arial"/>
              </w:rPr>
            </w:pPr>
            <w:r w:rsidRPr="005D4222">
              <w:rPr>
                <w:rFonts w:cs="Arial"/>
              </w:rPr>
              <w:lastRenderedPageBreak/>
              <w:t>FHIR</w:t>
            </w:r>
            <w:r w:rsidRPr="005D4222">
              <w:rPr>
                <w:rFonts w:cs="Arial"/>
                <w:vertAlign w:val="superscript"/>
              </w:rPr>
              <w:t>®</w:t>
            </w:r>
          </w:p>
        </w:tc>
        <w:tc>
          <w:tcPr>
            <w:tcW w:w="7590" w:type="dxa"/>
            <w:tcBorders>
              <w:left w:val="nil"/>
              <w:bottom w:val="single" w:sz="4" w:space="0" w:color="808080" w:themeColor="background1" w:themeShade="80"/>
              <w:right w:val="nil"/>
            </w:tcBorders>
            <w:hideMark/>
          </w:tcPr>
          <w:p w14:paraId="5334C5EE" w14:textId="77777777" w:rsidR="003D7F41" w:rsidRPr="005D4222" w:rsidRDefault="003D7F41" w:rsidP="00A53E8C">
            <w:pPr>
              <w:pStyle w:val="Body"/>
              <w:spacing w:before="0" w:after="60"/>
            </w:pPr>
            <w:r w:rsidRPr="005D4222">
              <w:t>Fast Healthcare Interoperability Resources. A specification standard for exchanging health care information electronically that supports exchange of structured and standardized data. Resources are defined and represented in common ways, and are built from data types that define common, reusable patterns of elements and share a common set of metadata.</w:t>
            </w:r>
          </w:p>
        </w:tc>
      </w:tr>
      <w:tr w:rsidR="003D7F41" w:rsidRPr="005D4222" w14:paraId="491E0616" w14:textId="77777777" w:rsidTr="00A53E8C">
        <w:trPr>
          <w:trHeight w:val="300"/>
        </w:trPr>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tcPr>
          <w:p w14:paraId="782C6EBB" w14:textId="77777777" w:rsidR="003D7F41" w:rsidRPr="005D4222" w:rsidRDefault="003D7F41" w:rsidP="00A53E8C">
            <w:pPr>
              <w:pStyle w:val="MarginSubhead"/>
              <w:spacing w:after="60"/>
              <w:ind w:left="0"/>
              <w:rPr>
                <w:rFonts w:cs="Arial"/>
              </w:rPr>
            </w:pPr>
            <w:r w:rsidRPr="005D4222">
              <w:rPr>
                <w:rFonts w:cs="Arial"/>
              </w:rPr>
              <w:t>HEDIS repository</w:t>
            </w:r>
          </w:p>
        </w:tc>
        <w:tc>
          <w:tcPr>
            <w:tcW w:w="7590" w:type="dxa"/>
            <w:tcBorders>
              <w:top w:val="single" w:sz="4" w:space="0" w:color="808080" w:themeColor="background1" w:themeShade="80"/>
              <w:left w:val="nil"/>
              <w:bottom w:val="single" w:sz="4" w:space="0" w:color="808080" w:themeColor="background1" w:themeShade="80"/>
              <w:right w:val="nil"/>
            </w:tcBorders>
          </w:tcPr>
          <w:p w14:paraId="5BA0F684" w14:textId="77777777" w:rsidR="003D7F41" w:rsidRPr="005D4222" w:rsidRDefault="003D7F41" w:rsidP="00A53E8C">
            <w:pPr>
              <w:pStyle w:val="Body"/>
              <w:spacing w:after="60"/>
            </w:pPr>
            <w:r w:rsidRPr="005D4222">
              <w:rPr>
                <w:rFonts w:cs="Arial"/>
                <w:szCs w:val="21"/>
              </w:rPr>
              <w:t xml:space="preserve">A database or file system that stores HEDIS information, including practitioners, claims and membership, and which may be updated during the data collection period. </w:t>
            </w:r>
          </w:p>
        </w:tc>
      </w:tr>
      <w:tr w:rsidR="003D7F41" w:rsidRPr="005D4222" w14:paraId="20F52399" w14:textId="77777777" w:rsidTr="00A53E8C">
        <w:trPr>
          <w:trHeight w:val="300"/>
        </w:trPr>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tcPr>
          <w:p w14:paraId="1FDC558F" w14:textId="77777777" w:rsidR="003D7F41" w:rsidRPr="005D4222" w:rsidRDefault="003D7F41" w:rsidP="00A53E8C">
            <w:pPr>
              <w:pStyle w:val="MarginSubhead"/>
              <w:spacing w:after="60"/>
              <w:ind w:left="0"/>
              <w:rPr>
                <w:rFonts w:cs="Arial"/>
              </w:rPr>
            </w:pPr>
            <w:r w:rsidRPr="005D4222">
              <w:rPr>
                <w:rFonts w:cs="Arial"/>
              </w:rPr>
              <w:t>HIPAA</w:t>
            </w:r>
          </w:p>
        </w:tc>
        <w:tc>
          <w:tcPr>
            <w:tcW w:w="7590" w:type="dxa"/>
            <w:tcBorders>
              <w:top w:val="single" w:sz="4" w:space="0" w:color="808080" w:themeColor="background1" w:themeShade="80"/>
              <w:left w:val="nil"/>
              <w:bottom w:val="single" w:sz="4" w:space="0" w:color="808080" w:themeColor="background1" w:themeShade="80"/>
              <w:right w:val="nil"/>
            </w:tcBorders>
          </w:tcPr>
          <w:p w14:paraId="62CB0113" w14:textId="77777777" w:rsidR="003D7F41" w:rsidRPr="005D4222" w:rsidRDefault="003D7F41" w:rsidP="00A53E8C">
            <w:pPr>
              <w:pStyle w:val="Body"/>
              <w:spacing w:after="60"/>
            </w:pPr>
            <w:r w:rsidRPr="005D4222">
              <w:rPr>
                <w:rFonts w:cs="Arial"/>
                <w:szCs w:val="21"/>
              </w:rPr>
              <w:t xml:space="preserve">Health Insurance Portability and Accountability Act. Federal government standards regarding privacy regulation that set specific and explicit rights individuals have to access, make changes to and restrict the use of their protected health information. </w:t>
            </w:r>
            <w:r w:rsidRPr="005D4222">
              <w:rPr>
                <w:rFonts w:cs="Arial"/>
                <w:i/>
                <w:iCs/>
                <w:szCs w:val="21"/>
              </w:rPr>
              <w:t xml:space="preserve">See </w:t>
            </w:r>
            <w:hyperlink w:anchor="PHI" w:history="1">
              <w:r w:rsidRPr="005D4222">
                <w:rPr>
                  <w:rStyle w:val="Hyperlink"/>
                  <w:rFonts w:cs="Arial"/>
                  <w:color w:val="0070C0"/>
                  <w:szCs w:val="21"/>
                </w:rPr>
                <w:t>PHI</w:t>
              </w:r>
            </w:hyperlink>
            <w:r w:rsidRPr="005D4222">
              <w:rPr>
                <w:rFonts w:cs="Arial"/>
                <w:szCs w:val="21"/>
              </w:rPr>
              <w:t>.</w:t>
            </w:r>
          </w:p>
        </w:tc>
      </w:tr>
      <w:tr w:rsidR="003D7F41" w:rsidRPr="005D4222" w14:paraId="3ADC0032" w14:textId="77777777" w:rsidTr="00A53E8C">
        <w:trPr>
          <w:trHeight w:val="300"/>
        </w:trPr>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tcPr>
          <w:p w14:paraId="77637B6C" w14:textId="77777777" w:rsidR="003D7F41" w:rsidRPr="005D4222" w:rsidRDefault="003D7F41" w:rsidP="00A53E8C">
            <w:pPr>
              <w:pStyle w:val="MarginSubhead"/>
              <w:spacing w:after="60"/>
              <w:ind w:left="0"/>
              <w:rPr>
                <w:rFonts w:cs="Arial"/>
              </w:rPr>
            </w:pPr>
            <w:r w:rsidRPr="005D4222">
              <w:rPr>
                <w:rFonts w:cs="Arial"/>
              </w:rPr>
              <w:t>HMO</w:t>
            </w:r>
          </w:p>
        </w:tc>
        <w:tc>
          <w:tcPr>
            <w:tcW w:w="7590" w:type="dxa"/>
            <w:tcBorders>
              <w:top w:val="single" w:sz="4" w:space="0" w:color="808080" w:themeColor="background1" w:themeShade="80"/>
              <w:left w:val="nil"/>
              <w:bottom w:val="single" w:sz="4" w:space="0" w:color="808080" w:themeColor="background1" w:themeShade="80"/>
              <w:right w:val="nil"/>
            </w:tcBorders>
          </w:tcPr>
          <w:p w14:paraId="3E82CC14" w14:textId="77777777" w:rsidR="003D7F41" w:rsidRPr="005D4222" w:rsidRDefault="003D7F41" w:rsidP="00A53E8C">
            <w:pPr>
              <w:pStyle w:val="Body"/>
              <w:spacing w:after="60"/>
            </w:pPr>
            <w:r w:rsidRPr="005D4222">
              <w:rPr>
                <w:rFonts w:cs="Arial"/>
                <w:szCs w:val="21"/>
              </w:rPr>
              <w:t xml:space="preserve">Health maintenance organization. An organized health care system that is accountable for both the financing and delivery of a broad range of comprehensive health services to an enrolled population, and for assessing access and ensuring quality and appropriate care. In this type of organization, members must obtain all services from practitioners affiliated with the HMO, and must usually comply with a predefined authorization system in order to receive reimbursement. </w:t>
            </w:r>
          </w:p>
        </w:tc>
      </w:tr>
      <w:tr w:rsidR="003D7F41" w:rsidRPr="005D4222" w14:paraId="05557B24" w14:textId="77777777" w:rsidTr="00A53E8C">
        <w:trPr>
          <w:trHeight w:val="300"/>
        </w:trPr>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tcPr>
          <w:p w14:paraId="25004B58" w14:textId="77777777" w:rsidR="003D7F41" w:rsidRPr="005D4222" w:rsidRDefault="003D7F41" w:rsidP="00A53E8C">
            <w:pPr>
              <w:pStyle w:val="MarginSubhead"/>
              <w:spacing w:after="60"/>
              <w:ind w:left="0"/>
              <w:rPr>
                <w:rFonts w:cs="Arial"/>
              </w:rPr>
            </w:pPr>
            <w:r w:rsidRPr="005D4222">
              <w:rPr>
                <w:rFonts w:cs="Arial"/>
              </w:rPr>
              <w:t>hybrid measure</w:t>
            </w:r>
          </w:p>
        </w:tc>
        <w:tc>
          <w:tcPr>
            <w:tcW w:w="7590" w:type="dxa"/>
            <w:tcBorders>
              <w:top w:val="single" w:sz="4" w:space="0" w:color="808080" w:themeColor="background1" w:themeShade="80"/>
              <w:left w:val="nil"/>
              <w:bottom w:val="single" w:sz="4" w:space="0" w:color="808080" w:themeColor="background1" w:themeShade="80"/>
              <w:right w:val="nil"/>
            </w:tcBorders>
          </w:tcPr>
          <w:p w14:paraId="175725E5" w14:textId="77777777" w:rsidR="003D7F41" w:rsidRPr="005D4222" w:rsidRDefault="003D7F41" w:rsidP="00A53E8C">
            <w:pPr>
              <w:pStyle w:val="Body"/>
              <w:spacing w:after="60"/>
              <w:rPr>
                <w:rFonts w:cs="Arial"/>
              </w:rPr>
            </w:pPr>
            <w:r w:rsidRPr="005D4222">
              <w:rPr>
                <w:rFonts w:cs="Arial"/>
              </w:rPr>
              <w:t xml:space="preserve">A measure that requires identification of a numerator using administrative and medical record data. The denominator is a systematic sample of members drawn from the administrative denominator. </w:t>
            </w:r>
          </w:p>
        </w:tc>
      </w:tr>
      <w:tr w:rsidR="003D7F41" w:rsidRPr="005D4222" w14:paraId="2579FEBE"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3B61C95A" w14:textId="77777777" w:rsidR="003D7F41" w:rsidRPr="005D4222" w:rsidRDefault="003D7F41" w:rsidP="00A53E8C">
            <w:pPr>
              <w:pStyle w:val="MarginSubhead"/>
              <w:spacing w:after="60"/>
              <w:ind w:left="0"/>
              <w:rPr>
                <w:rFonts w:cs="Arial"/>
              </w:rPr>
            </w:pPr>
            <w:r w:rsidRPr="005D4222">
              <w:rPr>
                <w:rFonts w:cs="Arial"/>
              </w:rPr>
              <w:t>I-SNP</w:t>
            </w:r>
          </w:p>
        </w:tc>
        <w:tc>
          <w:tcPr>
            <w:tcW w:w="7590" w:type="dxa"/>
            <w:tcBorders>
              <w:top w:val="single" w:sz="4" w:space="0" w:color="808080" w:themeColor="background1" w:themeShade="80"/>
              <w:left w:val="nil"/>
              <w:bottom w:val="single" w:sz="4" w:space="0" w:color="808080" w:themeColor="background1" w:themeShade="80"/>
              <w:right w:val="nil"/>
            </w:tcBorders>
            <w:hideMark/>
          </w:tcPr>
          <w:p w14:paraId="31766128" w14:textId="77777777" w:rsidR="003D7F41" w:rsidRPr="005D4222" w:rsidRDefault="003D7F41" w:rsidP="00A53E8C">
            <w:pPr>
              <w:pStyle w:val="Body"/>
              <w:spacing w:after="60"/>
              <w:rPr>
                <w:rFonts w:cs="Arial"/>
                <w:szCs w:val="21"/>
              </w:rPr>
            </w:pPr>
            <w:r w:rsidRPr="005D4222">
              <w:rPr>
                <w:rFonts w:cs="Arial"/>
              </w:rPr>
              <w:t xml:space="preserve">Institutional-Special Needs Plan. I-SNPs are their own benefit category for CMS Special Needs Plans. I-SNPs are for Medicare Advantage members who have had, or are expected to need, care in an institutional setting for 90 days or longer. </w:t>
            </w:r>
            <w:r w:rsidRPr="005D4222">
              <w:rPr>
                <w:rFonts w:cs="Arial"/>
                <w:i/>
                <w:iCs/>
              </w:rPr>
              <w:t xml:space="preserve">See </w:t>
            </w:r>
            <w:hyperlink w:anchor="SNP" w:history="1">
              <w:r w:rsidRPr="005D4222">
                <w:rPr>
                  <w:rStyle w:val="Hyperlink"/>
                  <w:rFonts w:cs="Arial"/>
                  <w:color w:val="0070C0"/>
                </w:rPr>
                <w:t>SNP</w:t>
              </w:r>
            </w:hyperlink>
            <w:r w:rsidRPr="005D4222">
              <w:rPr>
                <w:rFonts w:cs="Arial"/>
              </w:rPr>
              <w:t>.</w:t>
            </w:r>
          </w:p>
        </w:tc>
      </w:tr>
      <w:tr w:rsidR="003D7F41" w:rsidRPr="005D4222" w14:paraId="1F884139" w14:textId="77777777" w:rsidTr="00A53E8C">
        <w:trPr>
          <w:trHeight w:val="300"/>
        </w:trPr>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tcPr>
          <w:p w14:paraId="542E963D" w14:textId="77777777" w:rsidR="003D7F41" w:rsidRPr="005D4222" w:rsidRDefault="003D7F41" w:rsidP="00A53E8C">
            <w:pPr>
              <w:pStyle w:val="MarginSubhead"/>
              <w:spacing w:after="60"/>
              <w:ind w:left="0"/>
              <w:rPr>
                <w:rFonts w:cs="Arial"/>
              </w:rPr>
            </w:pPr>
            <w:r w:rsidRPr="005D4222">
              <w:rPr>
                <w:rFonts w:cs="Arial"/>
              </w:rPr>
              <w:t>in-network</w:t>
            </w:r>
          </w:p>
        </w:tc>
        <w:tc>
          <w:tcPr>
            <w:tcW w:w="7590" w:type="dxa"/>
            <w:tcBorders>
              <w:top w:val="single" w:sz="4" w:space="0" w:color="808080" w:themeColor="background1" w:themeShade="80"/>
              <w:left w:val="nil"/>
              <w:bottom w:val="single" w:sz="4" w:space="0" w:color="808080" w:themeColor="background1" w:themeShade="80"/>
              <w:right w:val="nil"/>
            </w:tcBorders>
          </w:tcPr>
          <w:p w14:paraId="1A468C7C" w14:textId="77777777" w:rsidR="003D7F41" w:rsidRPr="005D4222" w:rsidRDefault="003D7F41" w:rsidP="00A53E8C">
            <w:pPr>
              <w:pStyle w:val="Body"/>
              <w:spacing w:after="60"/>
              <w:rPr>
                <w:rFonts w:cs="Arial"/>
                <w:szCs w:val="21"/>
              </w:rPr>
            </w:pPr>
            <w:r w:rsidRPr="005D4222">
              <w:rPr>
                <w:rFonts w:cs="Arial"/>
                <w:szCs w:val="21"/>
              </w:rPr>
              <w:t xml:space="preserve">A predesignated set of providers in an organization is referred to as a </w:t>
            </w:r>
            <w:r w:rsidRPr="005D4222">
              <w:rPr>
                <w:rFonts w:cs="Arial"/>
                <w:bCs/>
                <w:i/>
                <w:szCs w:val="21"/>
              </w:rPr>
              <w:t>network</w:t>
            </w:r>
            <w:r w:rsidRPr="005D4222">
              <w:rPr>
                <w:rFonts w:cs="Arial"/>
                <w:i/>
                <w:szCs w:val="21"/>
              </w:rPr>
              <w:t xml:space="preserve"> of providers.</w:t>
            </w:r>
            <w:r w:rsidRPr="005D4222">
              <w:rPr>
                <w:rFonts w:cs="Arial"/>
                <w:szCs w:val="21"/>
              </w:rPr>
              <w:t xml:space="preserve"> Members usually receive a higher rate of coverage when they see an in-network provider for care.</w:t>
            </w:r>
          </w:p>
        </w:tc>
      </w:tr>
      <w:tr w:rsidR="003D7F41" w:rsidRPr="005D4222" w14:paraId="21FC9FE1" w14:textId="77777777" w:rsidTr="00A53E8C">
        <w:trPr>
          <w:trHeight w:val="300"/>
        </w:trPr>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tcPr>
          <w:p w14:paraId="493AE8D2" w14:textId="77777777" w:rsidR="003D7F41" w:rsidRPr="005D4222" w:rsidRDefault="003D7F41" w:rsidP="00A53E8C">
            <w:pPr>
              <w:pStyle w:val="MarginSubhead"/>
              <w:spacing w:after="60"/>
              <w:ind w:left="0"/>
              <w:rPr>
                <w:rFonts w:cs="Arial"/>
              </w:rPr>
            </w:pPr>
            <w:r w:rsidRPr="005D4222">
              <w:rPr>
                <w:rFonts w:cs="Arial"/>
              </w:rPr>
              <w:t>inclusiveness</w:t>
            </w:r>
          </w:p>
        </w:tc>
        <w:tc>
          <w:tcPr>
            <w:tcW w:w="7590" w:type="dxa"/>
            <w:tcBorders>
              <w:top w:val="single" w:sz="4" w:space="0" w:color="808080" w:themeColor="background1" w:themeShade="80"/>
              <w:left w:val="nil"/>
              <w:bottom w:val="single" w:sz="4" w:space="0" w:color="808080" w:themeColor="background1" w:themeShade="80"/>
              <w:right w:val="nil"/>
            </w:tcBorders>
          </w:tcPr>
          <w:p w14:paraId="74029435" w14:textId="77777777" w:rsidR="003D7F41" w:rsidRPr="005D4222" w:rsidRDefault="003D7F41" w:rsidP="00A53E8C">
            <w:pPr>
              <w:pStyle w:val="Body"/>
              <w:spacing w:after="60"/>
              <w:rPr>
                <w:rFonts w:cs="Arial"/>
                <w:szCs w:val="21"/>
              </w:rPr>
            </w:pPr>
            <w:r w:rsidRPr="005D4222">
              <w:rPr>
                <w:rFonts w:cs="Arial"/>
                <w:szCs w:val="21"/>
              </w:rPr>
              <w:t>The extent to which an entire population or defined group is</w:t>
            </w:r>
            <w:r w:rsidRPr="005D4222" w:rsidDel="001F7272">
              <w:rPr>
                <w:rFonts w:cs="Arial"/>
                <w:szCs w:val="21"/>
              </w:rPr>
              <w:t xml:space="preserve"> intentionally</w:t>
            </w:r>
            <w:r w:rsidRPr="005D4222">
              <w:rPr>
                <w:rFonts w:cs="Arial"/>
                <w:szCs w:val="21"/>
              </w:rPr>
              <w:t xml:space="preserve"> included in a database.</w:t>
            </w:r>
          </w:p>
        </w:tc>
      </w:tr>
      <w:tr w:rsidR="003D7F41" w:rsidRPr="005D4222" w14:paraId="7C264BE3" w14:textId="77777777" w:rsidTr="00A53E8C">
        <w:trPr>
          <w:trHeight w:val="1759"/>
        </w:trPr>
        <w:tc>
          <w:tcPr>
            <w:tcW w:w="2160" w:type="dxa"/>
            <w:tcBorders>
              <w:top w:val="single" w:sz="4" w:space="0" w:color="808080" w:themeColor="background1" w:themeShade="80"/>
              <w:left w:val="nil"/>
              <w:right w:val="nil"/>
            </w:tcBorders>
            <w:tcMar>
              <w:top w:w="0" w:type="dxa"/>
              <w:left w:w="0" w:type="dxa"/>
              <w:bottom w:w="0" w:type="dxa"/>
              <w:right w:w="115" w:type="dxa"/>
            </w:tcMar>
          </w:tcPr>
          <w:p w14:paraId="738E407E" w14:textId="77777777" w:rsidR="003D7F41" w:rsidRPr="005D4222" w:rsidRDefault="003D7F41" w:rsidP="00A53E8C">
            <w:pPr>
              <w:pStyle w:val="MarginSubhead"/>
              <w:spacing w:after="60"/>
              <w:ind w:left="0"/>
              <w:rPr>
                <w:rFonts w:cs="Arial"/>
              </w:rPr>
            </w:pPr>
            <w:r w:rsidRPr="005D4222">
              <w:rPr>
                <w:rFonts w:cs="Arial"/>
              </w:rPr>
              <w:t>indicator</w:t>
            </w:r>
          </w:p>
        </w:tc>
        <w:tc>
          <w:tcPr>
            <w:tcW w:w="7590" w:type="dxa"/>
            <w:tcBorders>
              <w:top w:val="single" w:sz="4" w:space="0" w:color="808080" w:themeColor="background1" w:themeShade="80"/>
              <w:left w:val="nil"/>
              <w:right w:val="nil"/>
            </w:tcBorders>
          </w:tcPr>
          <w:p w14:paraId="334D2619" w14:textId="77777777" w:rsidR="003D7F41" w:rsidRPr="005D4222" w:rsidRDefault="003D7F41" w:rsidP="00A53E8C">
            <w:pPr>
              <w:pStyle w:val="Body"/>
              <w:spacing w:after="60"/>
              <w:rPr>
                <w:rFonts w:cs="Arial"/>
                <w:szCs w:val="21"/>
              </w:rPr>
            </w:pPr>
            <w:r w:rsidRPr="005D4222">
              <w:rPr>
                <w:rFonts w:cs="Arial"/>
              </w:rPr>
              <w:t>HEDIS measures consist of one-to-many indicators, each corresponding to a specific rate. For measures with multiple metrics and/or stratifications, each indicator corresponds to a unique combination of metric and stratifications.</w:t>
            </w:r>
          </w:p>
          <w:p w14:paraId="31BB5E88" w14:textId="77777777" w:rsidR="003D7F41" w:rsidRPr="005D4222" w:rsidRDefault="003D7F41" w:rsidP="00A53E8C">
            <w:pPr>
              <w:pStyle w:val="Body"/>
              <w:spacing w:before="120" w:after="60"/>
              <w:rPr>
                <w:rFonts w:cs="Arial"/>
                <w:szCs w:val="21"/>
              </w:rPr>
            </w:pPr>
            <w:r w:rsidRPr="005D4222">
              <w:rPr>
                <w:rFonts w:cs="Arial"/>
              </w:rPr>
              <w:t>For example, the Weight Assessment and Counseling for Nutrition and Physical Activity for Children/Adolescents measure has three metrics, each with two age stratifications and a Total, resulting in nine indicators.</w:t>
            </w:r>
          </w:p>
        </w:tc>
      </w:tr>
      <w:tr w:rsidR="003D7F41" w:rsidRPr="005D4222" w14:paraId="2DE0EFEA" w14:textId="77777777" w:rsidTr="00A53E8C">
        <w:trPr>
          <w:trHeight w:val="300"/>
        </w:trPr>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tcPr>
          <w:p w14:paraId="643A446A" w14:textId="77777777" w:rsidR="003D7F41" w:rsidRPr="005D4222" w:rsidRDefault="003D7F41" w:rsidP="00A53E8C">
            <w:pPr>
              <w:pStyle w:val="MarginSubhead"/>
              <w:spacing w:after="60"/>
              <w:ind w:left="0"/>
              <w:rPr>
                <w:rFonts w:cs="Arial"/>
              </w:rPr>
            </w:pPr>
            <w:bookmarkStart w:id="464" w:name="_Hlk177398877"/>
            <w:r w:rsidRPr="005D4222">
              <w:rPr>
                <w:rFonts w:cs="Arial"/>
              </w:rPr>
              <w:t>initial population</w:t>
            </w:r>
          </w:p>
        </w:tc>
        <w:tc>
          <w:tcPr>
            <w:tcW w:w="7590" w:type="dxa"/>
            <w:tcBorders>
              <w:top w:val="single" w:sz="4" w:space="0" w:color="808080" w:themeColor="background1" w:themeShade="80"/>
              <w:left w:val="nil"/>
              <w:bottom w:val="single" w:sz="4" w:space="0" w:color="808080" w:themeColor="background1" w:themeShade="80"/>
              <w:right w:val="nil"/>
            </w:tcBorders>
          </w:tcPr>
          <w:p w14:paraId="2A5F8794" w14:textId="77777777" w:rsidR="003D7F41" w:rsidRPr="005D4222" w:rsidRDefault="003D7F41" w:rsidP="00DB4A41">
            <w:pPr>
              <w:pStyle w:val="Body"/>
              <w:widowControl w:val="0"/>
              <w:spacing w:after="60"/>
              <w:rPr>
                <w:rFonts w:cs="Arial"/>
                <w:szCs w:val="21"/>
              </w:rPr>
            </w:pPr>
            <w:r w:rsidRPr="005D4222">
              <w:rPr>
                <w:rFonts w:cs="Arial"/>
              </w:rPr>
              <w:t>T</w:t>
            </w:r>
            <w:r w:rsidRPr="005D4222" w:rsidDel="00556C0D">
              <w:rPr>
                <w:rFonts w:cs="Arial"/>
              </w:rPr>
              <w:t xml:space="preserve">he initial population includes </w:t>
            </w:r>
            <w:r w:rsidRPr="005D4222">
              <w:rPr>
                <w:rFonts w:cs="Arial"/>
              </w:rPr>
              <w:t xml:space="preserve">all persons who satisfy attribution criteria, </w:t>
            </w:r>
            <w:r w:rsidRPr="005D4222" w:rsidDel="007F2950">
              <w:rPr>
                <w:rFonts w:cs="Arial"/>
              </w:rPr>
              <w:t>including age</w:t>
            </w:r>
            <w:r w:rsidRPr="005D4222">
              <w:t>, continuous enrollment, allowable gap, benefit, and event criteria</w:t>
            </w:r>
            <w:r w:rsidRPr="005D4222">
              <w:rPr>
                <w:rFonts w:cs="Arial"/>
              </w:rPr>
              <w:t xml:space="preserve">. </w:t>
            </w:r>
          </w:p>
        </w:tc>
      </w:tr>
      <w:bookmarkEnd w:id="464"/>
      <w:tr w:rsidR="003D7F41" w:rsidRPr="005D4222" w14:paraId="34D7A2BF" w14:textId="77777777" w:rsidTr="00A53E8C">
        <w:trPr>
          <w:trHeight w:val="300"/>
        </w:trPr>
        <w:tc>
          <w:tcPr>
            <w:tcW w:w="2160" w:type="dxa"/>
            <w:tcBorders>
              <w:top w:val="single" w:sz="4" w:space="0" w:color="808080" w:themeColor="background1" w:themeShade="80"/>
              <w:left w:val="nil"/>
              <w:right w:val="nil"/>
            </w:tcBorders>
            <w:tcMar>
              <w:top w:w="0" w:type="dxa"/>
              <w:left w:w="0" w:type="dxa"/>
              <w:bottom w:w="0" w:type="dxa"/>
              <w:right w:w="115" w:type="dxa"/>
            </w:tcMar>
          </w:tcPr>
          <w:p w14:paraId="2960B1DC" w14:textId="77777777" w:rsidR="003D7F41" w:rsidRPr="005D4222" w:rsidRDefault="003D7F41" w:rsidP="00A53E8C">
            <w:pPr>
              <w:pStyle w:val="MarginSubhead"/>
              <w:spacing w:after="60"/>
              <w:ind w:left="0"/>
              <w:rPr>
                <w:rFonts w:cs="Arial"/>
              </w:rPr>
            </w:pPr>
            <w:r w:rsidRPr="005D4222">
              <w:rPr>
                <w:rFonts w:cs="Arial"/>
              </w:rPr>
              <w:t>inpatient</w:t>
            </w:r>
          </w:p>
        </w:tc>
        <w:tc>
          <w:tcPr>
            <w:tcW w:w="7590" w:type="dxa"/>
            <w:tcBorders>
              <w:top w:val="single" w:sz="4" w:space="0" w:color="808080" w:themeColor="background1" w:themeShade="80"/>
              <w:left w:val="nil"/>
              <w:right w:val="nil"/>
            </w:tcBorders>
          </w:tcPr>
          <w:p w14:paraId="7D941431" w14:textId="77777777" w:rsidR="003D7F41" w:rsidRPr="005D4222" w:rsidRDefault="003D7F41" w:rsidP="00A53E8C">
            <w:pPr>
              <w:pStyle w:val="Body"/>
              <w:spacing w:after="60"/>
              <w:rPr>
                <w:rFonts w:cs="Arial"/>
                <w:szCs w:val="21"/>
              </w:rPr>
            </w:pPr>
            <w:r w:rsidRPr="005D4222">
              <w:rPr>
                <w:rFonts w:cs="Arial"/>
                <w:szCs w:val="21"/>
              </w:rPr>
              <w:t>Procedures performed or services rendered to patients during a hospital stay.</w:t>
            </w:r>
          </w:p>
        </w:tc>
      </w:tr>
    </w:tbl>
    <w:p w14:paraId="4F8B5878" w14:textId="77777777" w:rsidR="003D7F41" w:rsidRPr="005D4222" w:rsidRDefault="003D7F41" w:rsidP="003D7F41"/>
    <w:tbl>
      <w:tblPr>
        <w:tblW w:w="9750" w:type="dxa"/>
        <w:tblLayout w:type="fixed"/>
        <w:tblLook w:val="04A0" w:firstRow="1" w:lastRow="0" w:firstColumn="1" w:lastColumn="0" w:noHBand="0" w:noVBand="1"/>
      </w:tblPr>
      <w:tblGrid>
        <w:gridCol w:w="2153"/>
        <w:gridCol w:w="7"/>
        <w:gridCol w:w="7530"/>
        <w:gridCol w:w="60"/>
      </w:tblGrid>
      <w:tr w:rsidR="003D7F41" w:rsidRPr="005D4222" w14:paraId="749719EC" w14:textId="77777777" w:rsidTr="00A53E8C">
        <w:trPr>
          <w:trHeight w:val="300"/>
        </w:trPr>
        <w:tc>
          <w:tcPr>
            <w:tcW w:w="2160" w:type="dxa"/>
            <w:gridSpan w:val="2"/>
            <w:tcBorders>
              <w:left w:val="nil"/>
              <w:bottom w:val="single" w:sz="4" w:space="0" w:color="808080" w:themeColor="background1" w:themeShade="80"/>
              <w:right w:val="nil"/>
            </w:tcBorders>
            <w:tcMar>
              <w:top w:w="0" w:type="dxa"/>
              <w:left w:w="0" w:type="dxa"/>
              <w:bottom w:w="0" w:type="dxa"/>
              <w:right w:w="115" w:type="dxa"/>
            </w:tcMar>
          </w:tcPr>
          <w:p w14:paraId="2FCDE0B1" w14:textId="77777777" w:rsidR="003D7F41" w:rsidRPr="005D4222" w:rsidRDefault="003D7F41" w:rsidP="00A53E8C">
            <w:pPr>
              <w:pStyle w:val="MarginSubhead"/>
              <w:spacing w:before="0" w:after="60"/>
              <w:ind w:left="0"/>
              <w:rPr>
                <w:rFonts w:cs="Arial"/>
              </w:rPr>
            </w:pPr>
            <w:r w:rsidRPr="005D4222">
              <w:rPr>
                <w:rFonts w:cs="Arial"/>
              </w:rPr>
              <w:lastRenderedPageBreak/>
              <w:t>internal data</w:t>
            </w:r>
          </w:p>
        </w:tc>
        <w:tc>
          <w:tcPr>
            <w:tcW w:w="7590" w:type="dxa"/>
            <w:gridSpan w:val="2"/>
            <w:tcBorders>
              <w:left w:val="nil"/>
              <w:bottom w:val="single" w:sz="4" w:space="0" w:color="808080" w:themeColor="background1" w:themeShade="80"/>
              <w:right w:val="nil"/>
            </w:tcBorders>
          </w:tcPr>
          <w:p w14:paraId="0831ABC3" w14:textId="77777777" w:rsidR="003D7F41" w:rsidRPr="005D4222" w:rsidRDefault="003D7F41" w:rsidP="00A53E8C">
            <w:pPr>
              <w:pStyle w:val="Body"/>
              <w:spacing w:before="0" w:after="60"/>
              <w:rPr>
                <w:rFonts w:cs="Arial"/>
                <w:szCs w:val="21"/>
              </w:rPr>
            </w:pPr>
            <w:r w:rsidRPr="005D4222">
              <w:rPr>
                <w:rFonts w:cs="Arial"/>
                <w:szCs w:val="21"/>
              </w:rPr>
              <w:t>Any automated data file created by the organization, which supplements the claim/encounter data in the HEDIS repository. The data can come from internal systems such as DM programs. Internal files are nonstandard.</w:t>
            </w:r>
          </w:p>
        </w:tc>
      </w:tr>
      <w:tr w:rsidR="003D7F41" w:rsidRPr="005D4222" w14:paraId="40DEB398" w14:textId="77777777" w:rsidTr="00A53E8C">
        <w:trPr>
          <w:trHeight w:val="300"/>
        </w:trPr>
        <w:tc>
          <w:tcPr>
            <w:tcW w:w="2160" w:type="dxa"/>
            <w:gridSpan w:val="2"/>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tcPr>
          <w:p w14:paraId="63CA7AE1" w14:textId="77777777" w:rsidR="003D7F41" w:rsidRPr="005D4222" w:rsidRDefault="003D7F41" w:rsidP="00A53E8C">
            <w:pPr>
              <w:pStyle w:val="MarginSubhead"/>
              <w:spacing w:after="60"/>
              <w:ind w:left="0"/>
              <w:rPr>
                <w:rFonts w:cs="Arial"/>
              </w:rPr>
            </w:pPr>
            <w:r w:rsidRPr="005D4222">
              <w:rPr>
                <w:rFonts w:cs="Arial"/>
              </w:rPr>
              <w:t>interrater reliability</w:t>
            </w:r>
          </w:p>
        </w:tc>
        <w:tc>
          <w:tcPr>
            <w:tcW w:w="7590" w:type="dxa"/>
            <w:gridSpan w:val="2"/>
            <w:tcBorders>
              <w:top w:val="single" w:sz="4" w:space="0" w:color="808080" w:themeColor="background1" w:themeShade="80"/>
              <w:left w:val="nil"/>
              <w:bottom w:val="single" w:sz="4" w:space="0" w:color="808080" w:themeColor="background1" w:themeShade="80"/>
              <w:right w:val="nil"/>
            </w:tcBorders>
          </w:tcPr>
          <w:p w14:paraId="69D8E539" w14:textId="77777777" w:rsidR="003D7F41" w:rsidRPr="005D4222" w:rsidRDefault="003D7F41" w:rsidP="00A53E8C">
            <w:pPr>
              <w:pStyle w:val="Body"/>
              <w:spacing w:after="60"/>
              <w:rPr>
                <w:rFonts w:cs="Arial"/>
                <w:szCs w:val="21"/>
              </w:rPr>
            </w:pPr>
            <w:r w:rsidRPr="005D4222">
              <w:rPr>
                <w:rFonts w:cs="Arial"/>
                <w:szCs w:val="21"/>
              </w:rPr>
              <w:t xml:space="preserve">A methodology for quality control and evaluation of the medical record review process. Organizations use this method to compare a record reviewer’s results to those of another reviewer. </w:t>
            </w:r>
          </w:p>
        </w:tc>
      </w:tr>
      <w:tr w:rsidR="003D7F41" w:rsidRPr="005D4222" w14:paraId="7C4928A4" w14:textId="77777777" w:rsidTr="00A53E8C">
        <w:trPr>
          <w:trHeight w:val="300"/>
        </w:trPr>
        <w:tc>
          <w:tcPr>
            <w:tcW w:w="2160" w:type="dxa"/>
            <w:gridSpan w:val="2"/>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tcPr>
          <w:p w14:paraId="3A9C99AC" w14:textId="77777777" w:rsidR="003D7F41" w:rsidRPr="005D4222" w:rsidRDefault="003D7F41" w:rsidP="00A53E8C">
            <w:pPr>
              <w:pStyle w:val="MarginSubhead"/>
              <w:spacing w:after="60"/>
              <w:ind w:left="0"/>
              <w:rPr>
                <w:rFonts w:cs="Arial"/>
              </w:rPr>
            </w:pPr>
            <w:r w:rsidRPr="005D4222" w:rsidDel="00F777B6">
              <w:rPr>
                <w:rFonts w:cs="Arial"/>
              </w:rPr>
              <w:t>LOS</w:t>
            </w:r>
          </w:p>
        </w:tc>
        <w:tc>
          <w:tcPr>
            <w:tcW w:w="7590" w:type="dxa"/>
            <w:gridSpan w:val="2"/>
            <w:tcBorders>
              <w:top w:val="single" w:sz="4" w:space="0" w:color="808080" w:themeColor="background1" w:themeShade="80"/>
              <w:left w:val="nil"/>
              <w:bottom w:val="single" w:sz="4" w:space="0" w:color="808080" w:themeColor="background1" w:themeShade="80"/>
              <w:right w:val="nil"/>
            </w:tcBorders>
          </w:tcPr>
          <w:p w14:paraId="24C031F4" w14:textId="77777777" w:rsidR="003D7F41" w:rsidRPr="005D4222" w:rsidRDefault="003D7F41" w:rsidP="00A53E8C">
            <w:pPr>
              <w:pStyle w:val="Body"/>
              <w:spacing w:after="60"/>
              <w:rPr>
                <w:rFonts w:cs="Arial"/>
                <w:szCs w:val="21"/>
              </w:rPr>
            </w:pPr>
            <w:r w:rsidRPr="005D4222" w:rsidDel="00F777B6">
              <w:rPr>
                <w:rFonts w:cs="Arial"/>
                <w:szCs w:val="21"/>
              </w:rPr>
              <w:t>Length of stay. Number of hospital days from admission to discharge.</w:t>
            </w:r>
          </w:p>
        </w:tc>
      </w:tr>
      <w:tr w:rsidR="003D7F41" w:rsidRPr="005D4222" w14:paraId="684E60DA" w14:textId="77777777" w:rsidTr="00A53E8C">
        <w:trPr>
          <w:trHeight w:val="300"/>
        </w:trPr>
        <w:tc>
          <w:tcPr>
            <w:tcW w:w="2160" w:type="dxa"/>
            <w:gridSpan w:val="2"/>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tcPr>
          <w:p w14:paraId="1DA914F7" w14:textId="77777777" w:rsidR="003D7F41" w:rsidRPr="005D4222" w:rsidRDefault="003D7F41" w:rsidP="00A53E8C">
            <w:pPr>
              <w:pStyle w:val="MarginSubhead"/>
              <w:spacing w:after="60"/>
              <w:ind w:left="0"/>
              <w:rPr>
                <w:rFonts w:cs="Arial"/>
              </w:rPr>
            </w:pPr>
            <w:r w:rsidRPr="005D4222">
              <w:rPr>
                <w:rFonts w:cs="Arial"/>
              </w:rPr>
              <w:t>LTI flag</w:t>
            </w:r>
          </w:p>
        </w:tc>
        <w:tc>
          <w:tcPr>
            <w:tcW w:w="7590" w:type="dxa"/>
            <w:gridSpan w:val="2"/>
            <w:tcBorders>
              <w:top w:val="single" w:sz="4" w:space="0" w:color="808080" w:themeColor="background1" w:themeShade="80"/>
              <w:left w:val="nil"/>
              <w:bottom w:val="single" w:sz="4" w:space="0" w:color="808080" w:themeColor="background1" w:themeShade="80"/>
              <w:right w:val="nil"/>
            </w:tcBorders>
          </w:tcPr>
          <w:p w14:paraId="7A960518" w14:textId="77777777" w:rsidR="003D7F41" w:rsidRPr="005D4222" w:rsidRDefault="003D7F41" w:rsidP="00A53E8C">
            <w:pPr>
              <w:pStyle w:val="Body"/>
              <w:spacing w:after="60"/>
              <w:rPr>
                <w:rFonts w:cs="Arial"/>
                <w:szCs w:val="21"/>
              </w:rPr>
            </w:pPr>
            <w:r w:rsidRPr="005D4222">
              <w:rPr>
                <w:rFonts w:cs="Arial"/>
                <w:szCs w:val="21"/>
              </w:rPr>
              <w:t>Long Term Institutional</w:t>
            </w:r>
            <w:r w:rsidRPr="005D4222" w:rsidDel="008E30CA">
              <w:rPr>
                <w:rFonts w:cs="Arial"/>
                <w:szCs w:val="21"/>
              </w:rPr>
              <w:t xml:space="preserve"> </w:t>
            </w:r>
            <w:r w:rsidRPr="005D4222">
              <w:rPr>
                <w:rFonts w:cs="Arial"/>
                <w:szCs w:val="21"/>
              </w:rPr>
              <w:t>flag. Identifies members who are long-term residents in</w:t>
            </w:r>
            <w:r w:rsidRPr="005D4222">
              <w:rPr>
                <w:rFonts w:cs="Arial"/>
              </w:rPr>
              <w:t xml:space="preserve"> </w:t>
            </w:r>
            <w:r w:rsidRPr="005D4222">
              <w:rPr>
                <w:rFonts w:cs="Arial"/>
                <w:szCs w:val="21"/>
              </w:rPr>
              <w:t>an institution. This flag is populated in CMS’s Monthly Membership Detail Data File.</w:t>
            </w:r>
          </w:p>
        </w:tc>
      </w:tr>
      <w:tr w:rsidR="003D7F41" w:rsidRPr="005D4222" w14:paraId="4D749875" w14:textId="77777777" w:rsidTr="00A53E8C">
        <w:trPr>
          <w:trHeight w:val="300"/>
        </w:trPr>
        <w:tc>
          <w:tcPr>
            <w:tcW w:w="2160" w:type="dxa"/>
            <w:gridSpan w:val="2"/>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tcPr>
          <w:p w14:paraId="21E68435" w14:textId="77777777" w:rsidR="003D7F41" w:rsidRPr="005D4222" w:rsidRDefault="003D7F41" w:rsidP="00A53E8C">
            <w:pPr>
              <w:pStyle w:val="MarginSubhead"/>
              <w:spacing w:after="60"/>
              <w:ind w:left="0"/>
              <w:rPr>
                <w:rFonts w:cs="Arial"/>
              </w:rPr>
            </w:pPr>
            <w:r w:rsidRPr="005D4222">
              <w:rPr>
                <w:rFonts w:eastAsia="Calibri" w:cs="Arial"/>
              </w:rPr>
              <w:t>measurement period</w:t>
            </w:r>
          </w:p>
        </w:tc>
        <w:tc>
          <w:tcPr>
            <w:tcW w:w="7590" w:type="dxa"/>
            <w:gridSpan w:val="2"/>
            <w:tcBorders>
              <w:top w:val="single" w:sz="4" w:space="0" w:color="808080" w:themeColor="background1" w:themeShade="80"/>
              <w:left w:val="nil"/>
              <w:bottom w:val="single" w:sz="4" w:space="0" w:color="808080" w:themeColor="background1" w:themeShade="80"/>
              <w:right w:val="nil"/>
            </w:tcBorders>
          </w:tcPr>
          <w:p w14:paraId="236AA625" w14:textId="32A708AF" w:rsidR="003D7F41" w:rsidRPr="005D4222" w:rsidRDefault="00E21D6B" w:rsidP="00A53E8C">
            <w:pPr>
              <w:pStyle w:val="Body"/>
              <w:spacing w:after="60"/>
              <w:rPr>
                <w:rFonts w:cs="Arial"/>
                <w:szCs w:val="21"/>
              </w:rPr>
            </w:pPr>
            <w:r>
              <w:rPr>
                <w:rFonts w:eastAsia="Calibri"/>
              </w:rPr>
              <w:t>The p</w:t>
            </w:r>
            <w:r w:rsidR="003D7F41" w:rsidRPr="005D4222">
              <w:rPr>
                <w:rFonts w:eastAsia="Calibri"/>
              </w:rPr>
              <w:t xml:space="preserve">eriod </w:t>
            </w:r>
            <w:r w:rsidR="003D7F41" w:rsidRPr="005D4222" w:rsidDel="00204BD5">
              <w:rPr>
                <w:rFonts w:eastAsia="Calibri"/>
              </w:rPr>
              <w:t xml:space="preserve">of time </w:t>
            </w:r>
            <w:r w:rsidR="001C6EB9">
              <w:rPr>
                <w:rFonts w:eastAsia="Calibri"/>
              </w:rPr>
              <w:t xml:space="preserve">during </w:t>
            </w:r>
            <w:r w:rsidR="003D7F41" w:rsidRPr="005D4222">
              <w:rPr>
                <w:rFonts w:eastAsia="Calibri"/>
              </w:rPr>
              <w:t>which a measure is calculated.</w:t>
            </w:r>
          </w:p>
        </w:tc>
      </w:tr>
      <w:tr w:rsidR="003D7F41" w:rsidRPr="005D4222" w14:paraId="0D24D36B" w14:textId="77777777" w:rsidTr="00A53E8C">
        <w:trPr>
          <w:trHeight w:val="300"/>
        </w:trPr>
        <w:tc>
          <w:tcPr>
            <w:tcW w:w="2160" w:type="dxa"/>
            <w:gridSpan w:val="2"/>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tcPr>
          <w:p w14:paraId="0D099121" w14:textId="77777777" w:rsidR="003D7F41" w:rsidRPr="005D4222" w:rsidRDefault="003D7F41" w:rsidP="00A53E8C">
            <w:pPr>
              <w:pStyle w:val="MarginSubhead"/>
              <w:spacing w:after="60"/>
              <w:ind w:left="0"/>
              <w:rPr>
                <w:rFonts w:cs="Arial"/>
              </w:rPr>
            </w:pPr>
            <w:r w:rsidRPr="005D4222">
              <w:rPr>
                <w:rFonts w:cs="Arial"/>
              </w:rPr>
              <w:t>measurement year</w:t>
            </w:r>
          </w:p>
        </w:tc>
        <w:tc>
          <w:tcPr>
            <w:tcW w:w="7590" w:type="dxa"/>
            <w:gridSpan w:val="2"/>
            <w:tcBorders>
              <w:top w:val="single" w:sz="4" w:space="0" w:color="808080" w:themeColor="background1" w:themeShade="80"/>
              <w:left w:val="nil"/>
              <w:bottom w:val="single" w:sz="4" w:space="0" w:color="808080" w:themeColor="background1" w:themeShade="80"/>
              <w:right w:val="nil"/>
            </w:tcBorders>
          </w:tcPr>
          <w:p w14:paraId="4311638C" w14:textId="77777777" w:rsidR="003D7F41" w:rsidRPr="005D4222" w:rsidRDefault="003D7F41" w:rsidP="00A53E8C">
            <w:pPr>
              <w:pStyle w:val="Body"/>
              <w:spacing w:after="60"/>
              <w:rPr>
                <w:rFonts w:cs="Arial"/>
                <w:szCs w:val="21"/>
              </w:rPr>
            </w:pPr>
            <w:r w:rsidRPr="005D4222">
              <w:rPr>
                <w:rFonts w:cs="Arial"/>
                <w:szCs w:val="21"/>
              </w:rPr>
              <w:t xml:space="preserve">The year that an organization evaluates HEDIS measures. </w:t>
            </w:r>
          </w:p>
        </w:tc>
      </w:tr>
      <w:tr w:rsidR="003D7F41" w:rsidRPr="005D4222" w14:paraId="734652FA" w14:textId="77777777" w:rsidTr="00A53E8C">
        <w:trPr>
          <w:trHeight w:val="300"/>
        </w:trPr>
        <w:tc>
          <w:tcPr>
            <w:tcW w:w="2160" w:type="dxa"/>
            <w:gridSpan w:val="2"/>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tcPr>
          <w:p w14:paraId="58CF7661" w14:textId="77777777" w:rsidR="003D7F41" w:rsidRPr="005D4222" w:rsidRDefault="003D7F41" w:rsidP="00A53E8C">
            <w:pPr>
              <w:pStyle w:val="MarginSubhead"/>
              <w:spacing w:after="60"/>
              <w:ind w:left="0"/>
              <w:rPr>
                <w:rFonts w:cs="Arial"/>
              </w:rPr>
            </w:pPr>
            <w:r w:rsidRPr="005D4222">
              <w:rPr>
                <w:rFonts w:cs="Arial"/>
              </w:rPr>
              <w:t>medication list</w:t>
            </w:r>
          </w:p>
        </w:tc>
        <w:tc>
          <w:tcPr>
            <w:tcW w:w="7590" w:type="dxa"/>
            <w:gridSpan w:val="2"/>
            <w:tcBorders>
              <w:top w:val="single" w:sz="4" w:space="0" w:color="808080" w:themeColor="background1" w:themeShade="80"/>
              <w:left w:val="nil"/>
              <w:bottom w:val="single" w:sz="4" w:space="0" w:color="808080" w:themeColor="background1" w:themeShade="80"/>
              <w:right w:val="nil"/>
            </w:tcBorders>
          </w:tcPr>
          <w:p w14:paraId="29FD3E28" w14:textId="77777777" w:rsidR="003D7F41" w:rsidRPr="005D4222" w:rsidRDefault="003D7F41" w:rsidP="00A53E8C">
            <w:pPr>
              <w:pStyle w:val="Body"/>
              <w:spacing w:after="60"/>
              <w:rPr>
                <w:rFonts w:cs="Arial"/>
                <w:szCs w:val="21"/>
              </w:rPr>
            </w:pPr>
            <w:r w:rsidRPr="005D4222">
              <w:rPr>
                <w:rFonts w:cs="Arial"/>
                <w:szCs w:val="21"/>
              </w:rPr>
              <w:t xml:space="preserve">Some measures require the use of clinical pharmacy data or pharmacy claims data to identify dispensed medications. The specifications reference medication lists that must be used for HEDIS reporting for each pharmacy-dependent measure. In the specifications, medication list references are underlined (e.g., </w:t>
            </w:r>
            <w:r w:rsidRPr="005D4222">
              <w:rPr>
                <w:rFonts w:cs="Arial"/>
                <w:szCs w:val="21"/>
                <w:u w:val="single"/>
              </w:rPr>
              <w:t>Diabetes Medications List</w:t>
            </w:r>
            <w:r w:rsidRPr="005D4222">
              <w:rPr>
                <w:rFonts w:cs="Arial"/>
                <w:szCs w:val="21"/>
              </w:rPr>
              <w:t>). Medication lists used for HEDIS reporting are included in the Medication List Directory. A medication list includes the National Drug Codes (NDC) and RxNorm codes that may be used for reporting along with the generic name, the brand name (if applicable), the strength/ dose and the route for each code.</w:t>
            </w:r>
          </w:p>
        </w:tc>
      </w:tr>
      <w:tr w:rsidR="003D7F41" w:rsidRPr="005D4222" w14:paraId="574A6C73" w14:textId="77777777" w:rsidTr="00A53E8C">
        <w:trPr>
          <w:trHeight w:val="300"/>
        </w:trPr>
        <w:tc>
          <w:tcPr>
            <w:tcW w:w="2160" w:type="dxa"/>
            <w:gridSpan w:val="2"/>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tcPr>
          <w:p w14:paraId="6BEA47D7" w14:textId="77777777" w:rsidR="003D7F41" w:rsidRPr="005D4222" w:rsidRDefault="003D7F41" w:rsidP="00A53E8C">
            <w:pPr>
              <w:pStyle w:val="MarginSubhead"/>
              <w:spacing w:after="60"/>
              <w:ind w:left="0"/>
              <w:rPr>
                <w:rFonts w:cs="Arial"/>
              </w:rPr>
            </w:pPr>
            <w:r w:rsidRPr="005D4222">
              <w:rPr>
                <w:rFonts w:cs="Arial"/>
              </w:rPr>
              <w:t>member</w:t>
            </w:r>
          </w:p>
        </w:tc>
        <w:tc>
          <w:tcPr>
            <w:tcW w:w="7590" w:type="dxa"/>
            <w:gridSpan w:val="2"/>
            <w:tcBorders>
              <w:top w:val="single" w:sz="4" w:space="0" w:color="808080" w:themeColor="background1" w:themeShade="80"/>
              <w:left w:val="nil"/>
              <w:bottom w:val="single" w:sz="4" w:space="0" w:color="808080" w:themeColor="background1" w:themeShade="80"/>
              <w:right w:val="nil"/>
            </w:tcBorders>
          </w:tcPr>
          <w:p w14:paraId="15D2E93C" w14:textId="77777777" w:rsidR="003D7F41" w:rsidRPr="005D4222" w:rsidRDefault="003D7F41" w:rsidP="00A53E8C">
            <w:pPr>
              <w:pStyle w:val="Body"/>
              <w:spacing w:after="60"/>
              <w:rPr>
                <w:rFonts w:cs="Arial"/>
                <w:szCs w:val="21"/>
              </w:rPr>
            </w:pPr>
            <w:r w:rsidRPr="005D4222">
              <w:rPr>
                <w:rFonts w:cs="Arial"/>
                <w:szCs w:val="21"/>
              </w:rPr>
              <w:t>An individual (and the individual’s eligible dependents) who pays premiums to the organization as a member of the organization’s enroll</w:t>
            </w:r>
            <w:r w:rsidRPr="005D4222" w:rsidDel="008E30CA">
              <w:rPr>
                <w:rFonts w:cs="Arial"/>
                <w:szCs w:val="21"/>
              </w:rPr>
              <w:t>ment</w:t>
            </w:r>
            <w:r w:rsidRPr="005D4222">
              <w:rPr>
                <w:rFonts w:cs="Arial"/>
                <w:szCs w:val="21"/>
              </w:rPr>
              <w:t xml:space="preserve"> population. Members usually receive specified health care services from a defined network</w:t>
            </w:r>
            <w:r w:rsidRPr="005D4222" w:rsidDel="005773A8">
              <w:rPr>
                <w:rFonts w:cs="Arial"/>
                <w:szCs w:val="21"/>
              </w:rPr>
              <w:t xml:space="preserve"> for a specified time</w:t>
            </w:r>
            <w:r w:rsidRPr="005D4222">
              <w:rPr>
                <w:rFonts w:cs="Arial"/>
                <w:szCs w:val="21"/>
              </w:rPr>
              <w:t>.</w:t>
            </w:r>
          </w:p>
        </w:tc>
      </w:tr>
      <w:tr w:rsidR="003D7F41" w:rsidRPr="005D4222" w14:paraId="7273ED11" w14:textId="77777777" w:rsidTr="00A53E8C">
        <w:tc>
          <w:tcPr>
            <w:tcW w:w="2160" w:type="dxa"/>
            <w:gridSpan w:val="2"/>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tcPr>
          <w:p w14:paraId="5D2F66D2" w14:textId="77777777" w:rsidR="003D7F41" w:rsidRPr="005D4222" w:rsidRDefault="003D7F41" w:rsidP="00A53E8C">
            <w:pPr>
              <w:pStyle w:val="MarginSubhead"/>
              <w:spacing w:after="60"/>
              <w:ind w:left="0"/>
            </w:pPr>
            <w:r w:rsidRPr="005D4222">
              <w:rPr>
                <w:rFonts w:cs="Arial"/>
              </w:rPr>
              <w:t>metric</w:t>
            </w:r>
          </w:p>
        </w:tc>
        <w:tc>
          <w:tcPr>
            <w:tcW w:w="7590" w:type="dxa"/>
            <w:gridSpan w:val="2"/>
            <w:tcBorders>
              <w:top w:val="single" w:sz="4" w:space="0" w:color="808080" w:themeColor="background1" w:themeShade="80"/>
              <w:left w:val="nil"/>
              <w:bottom w:val="single" w:sz="4" w:space="0" w:color="808080" w:themeColor="background1" w:themeShade="80"/>
              <w:right w:val="nil"/>
            </w:tcBorders>
          </w:tcPr>
          <w:p w14:paraId="7E886778" w14:textId="77777777" w:rsidR="003D7F41" w:rsidRPr="005D4222" w:rsidRDefault="003D7F41" w:rsidP="00A53E8C">
            <w:pPr>
              <w:pStyle w:val="Body"/>
              <w:spacing w:after="60"/>
              <w:rPr>
                <w:rFonts w:cs="Arial"/>
                <w:szCs w:val="21"/>
              </w:rPr>
            </w:pPr>
            <w:r w:rsidRPr="005D4222">
              <w:rPr>
                <w:rFonts w:cs="Arial"/>
                <w:szCs w:val="21"/>
              </w:rPr>
              <w:t>Metrics are used in HEDIS submission and result XML files to group data elements and optional stratification values within a measure.</w:t>
            </w:r>
          </w:p>
          <w:p w14:paraId="51F656FC" w14:textId="77777777" w:rsidR="003D7F41" w:rsidRPr="005D4222" w:rsidRDefault="003D7F41" w:rsidP="00A53E8C">
            <w:pPr>
              <w:pStyle w:val="Body"/>
              <w:spacing w:after="60"/>
            </w:pPr>
            <w:r w:rsidRPr="005D4222">
              <w:rPr>
                <w:rFonts w:cs="Arial"/>
                <w:szCs w:val="21"/>
              </w:rPr>
              <w:t>For single-metric measures, the metric describes the subject of the measure. For multi-metric measures, the metrics describe the various concepts evaluated in the measure (e.g., BMIPercentile, PhysicalActivityCounseling and NutritionCounseling for the Weight Assessment and Counseling for Nutrition and Physical Activity for Children/Adolescents measure).</w:t>
            </w:r>
          </w:p>
        </w:tc>
      </w:tr>
      <w:tr w:rsidR="003D7F41" w:rsidRPr="005D4222" w14:paraId="16CE8C21" w14:textId="77777777" w:rsidTr="00A53E8C">
        <w:tc>
          <w:tcPr>
            <w:tcW w:w="2160" w:type="dxa"/>
            <w:gridSpan w:val="2"/>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645A981D" w14:textId="77777777" w:rsidR="003D7F41" w:rsidRPr="005D4222" w:rsidRDefault="003D7F41" w:rsidP="00A53E8C">
            <w:pPr>
              <w:pStyle w:val="MarginSubhead"/>
              <w:spacing w:after="60"/>
              <w:ind w:left="0"/>
              <w:rPr>
                <w:rFonts w:cs="Arial"/>
              </w:rPr>
            </w:pPr>
            <w:r w:rsidRPr="005D4222">
              <w:rPr>
                <w:rFonts w:cs="Arial"/>
              </w:rPr>
              <w:t>network</w:t>
            </w:r>
          </w:p>
        </w:tc>
        <w:tc>
          <w:tcPr>
            <w:tcW w:w="7590" w:type="dxa"/>
            <w:gridSpan w:val="2"/>
            <w:tcBorders>
              <w:top w:val="single" w:sz="4" w:space="0" w:color="808080" w:themeColor="background1" w:themeShade="80"/>
              <w:left w:val="nil"/>
              <w:bottom w:val="single" w:sz="4" w:space="0" w:color="808080" w:themeColor="background1" w:themeShade="80"/>
              <w:right w:val="nil"/>
            </w:tcBorders>
            <w:hideMark/>
          </w:tcPr>
          <w:p w14:paraId="028A82F4" w14:textId="77777777" w:rsidR="003D7F41" w:rsidRPr="005D4222" w:rsidRDefault="003D7F41" w:rsidP="00A53E8C">
            <w:pPr>
              <w:pStyle w:val="Body"/>
              <w:spacing w:after="60"/>
              <w:rPr>
                <w:rFonts w:cs="Arial"/>
                <w:szCs w:val="21"/>
              </w:rPr>
            </w:pPr>
            <w:r w:rsidRPr="005D4222">
              <w:rPr>
                <w:rFonts w:cs="Arial"/>
                <w:szCs w:val="21"/>
              </w:rPr>
              <w:t>Doctors, clinics, health centers, medical group practices, hospitals and other providers that an organization selects and contracts with to care for its members.</w:t>
            </w:r>
          </w:p>
        </w:tc>
      </w:tr>
      <w:tr w:rsidR="003D7F41" w:rsidRPr="005D4222" w14:paraId="61A83066" w14:textId="77777777" w:rsidTr="00A53E8C">
        <w:tc>
          <w:tcPr>
            <w:tcW w:w="2160" w:type="dxa"/>
            <w:gridSpan w:val="2"/>
            <w:tcBorders>
              <w:top w:val="dotted" w:sz="6" w:space="0" w:color="auto"/>
              <w:left w:val="nil"/>
              <w:bottom w:val="single" w:sz="4" w:space="0" w:color="808080" w:themeColor="background1" w:themeShade="80"/>
              <w:right w:val="nil"/>
            </w:tcBorders>
            <w:tcMar>
              <w:top w:w="0" w:type="dxa"/>
              <w:left w:w="0" w:type="dxa"/>
              <w:bottom w:w="0" w:type="dxa"/>
              <w:right w:w="115" w:type="dxa"/>
            </w:tcMar>
            <w:hideMark/>
          </w:tcPr>
          <w:p w14:paraId="0CE29E64" w14:textId="77777777" w:rsidR="003D7F41" w:rsidRPr="005D4222" w:rsidRDefault="003D7F41" w:rsidP="00A53E8C">
            <w:pPr>
              <w:pStyle w:val="MarginSubhead"/>
              <w:spacing w:after="60"/>
              <w:ind w:left="0"/>
              <w:rPr>
                <w:rFonts w:cs="Arial"/>
              </w:rPr>
            </w:pPr>
            <w:r w:rsidRPr="005D4222">
              <w:rPr>
                <w:rFonts w:cs="Arial"/>
              </w:rPr>
              <w:t>outpatient visits</w:t>
            </w:r>
          </w:p>
        </w:tc>
        <w:tc>
          <w:tcPr>
            <w:tcW w:w="7590" w:type="dxa"/>
            <w:gridSpan w:val="2"/>
            <w:tcBorders>
              <w:top w:val="dotted" w:sz="6" w:space="0" w:color="auto"/>
              <w:left w:val="nil"/>
              <w:bottom w:val="single" w:sz="4" w:space="0" w:color="808080" w:themeColor="background1" w:themeShade="80"/>
              <w:right w:val="nil"/>
            </w:tcBorders>
            <w:hideMark/>
          </w:tcPr>
          <w:p w14:paraId="6CE328FC" w14:textId="77777777" w:rsidR="003D7F41" w:rsidRPr="005D4222" w:rsidRDefault="003D7F41" w:rsidP="00A53E8C">
            <w:pPr>
              <w:pStyle w:val="Body"/>
              <w:spacing w:after="60"/>
              <w:rPr>
                <w:rFonts w:cs="Arial"/>
                <w:szCs w:val="21"/>
              </w:rPr>
            </w:pPr>
            <w:r w:rsidRPr="005D4222">
              <w:rPr>
                <w:rFonts w:cs="Arial"/>
                <w:szCs w:val="21"/>
              </w:rPr>
              <w:t xml:space="preserve">Visits to providers that do not require hospital admission. </w:t>
            </w:r>
          </w:p>
        </w:tc>
      </w:tr>
      <w:tr w:rsidR="003D7F41" w:rsidRPr="005D4222" w14:paraId="51A3301F" w14:textId="77777777" w:rsidTr="00A53E8C">
        <w:tblPrEx>
          <w:tblBorders>
            <w:bottom w:val="dotted" w:sz="8" w:space="0" w:color="auto"/>
          </w:tblBorders>
          <w:tblLook w:val="0000" w:firstRow="0" w:lastRow="0" w:firstColumn="0" w:lastColumn="0" w:noHBand="0" w:noVBand="0"/>
        </w:tblPrEx>
        <w:trPr>
          <w:gridAfter w:val="1"/>
          <w:wAfter w:w="60" w:type="dxa"/>
        </w:trPr>
        <w:tc>
          <w:tcPr>
            <w:tcW w:w="2153" w:type="dxa"/>
            <w:tcBorders>
              <w:top w:val="single" w:sz="4" w:space="0" w:color="808080" w:themeColor="background1" w:themeShade="80"/>
              <w:bottom w:val="nil"/>
            </w:tcBorders>
            <w:tcMar>
              <w:left w:w="0" w:type="dxa"/>
              <w:right w:w="115" w:type="dxa"/>
            </w:tcMar>
          </w:tcPr>
          <w:p w14:paraId="0C55A5C7" w14:textId="77777777" w:rsidR="003D7F41" w:rsidRPr="005D4222" w:rsidRDefault="003D7F41" w:rsidP="00A53E8C">
            <w:pPr>
              <w:pStyle w:val="MarginSubhead"/>
              <w:ind w:left="0"/>
            </w:pPr>
            <w:bookmarkStart w:id="465" w:name="PHI"/>
            <w:r w:rsidRPr="005D4222">
              <w:rPr>
                <w:rFonts w:cs="Arial"/>
              </w:rPr>
              <w:t xml:space="preserve">PHI </w:t>
            </w:r>
            <w:bookmarkEnd w:id="465"/>
          </w:p>
        </w:tc>
        <w:tc>
          <w:tcPr>
            <w:tcW w:w="7537" w:type="dxa"/>
            <w:gridSpan w:val="2"/>
            <w:tcBorders>
              <w:top w:val="single" w:sz="4" w:space="0" w:color="808080" w:themeColor="background1" w:themeShade="80"/>
              <w:bottom w:val="nil"/>
            </w:tcBorders>
          </w:tcPr>
          <w:p w14:paraId="4CC58C46" w14:textId="77777777" w:rsidR="003D7F41" w:rsidRPr="005D4222" w:rsidRDefault="003D7F41" w:rsidP="00A53E8C">
            <w:pPr>
              <w:pStyle w:val="Body"/>
              <w:spacing w:after="60"/>
            </w:pPr>
            <w:r w:rsidRPr="005D4222">
              <w:t>Protected health information. Information that can identify a specific person. Person-identified information is associated with names, social security numbers, alphanumeric codes or other unique individual information.</w:t>
            </w:r>
          </w:p>
        </w:tc>
      </w:tr>
      <w:tr w:rsidR="003D7F41" w:rsidRPr="005D4222" w14:paraId="5CF1777A" w14:textId="77777777" w:rsidTr="00A53E8C">
        <w:tblPrEx>
          <w:tblBorders>
            <w:bottom w:val="dotted" w:sz="8" w:space="0" w:color="auto"/>
          </w:tblBorders>
          <w:tblLook w:val="0000" w:firstRow="0" w:lastRow="0" w:firstColumn="0" w:lastColumn="0" w:noHBand="0" w:noVBand="0"/>
        </w:tblPrEx>
        <w:trPr>
          <w:gridAfter w:val="1"/>
          <w:wAfter w:w="60" w:type="dxa"/>
        </w:trPr>
        <w:tc>
          <w:tcPr>
            <w:tcW w:w="2153" w:type="dxa"/>
            <w:tcBorders>
              <w:top w:val="nil"/>
              <w:bottom w:val="nil"/>
            </w:tcBorders>
            <w:tcMar>
              <w:left w:w="0" w:type="dxa"/>
              <w:right w:w="115" w:type="dxa"/>
            </w:tcMar>
          </w:tcPr>
          <w:p w14:paraId="7C79F52B" w14:textId="77777777" w:rsidR="003D7F41" w:rsidRPr="005D4222" w:rsidRDefault="003D7F41" w:rsidP="00A53E8C">
            <w:pPr>
              <w:pStyle w:val="MarginSubhead"/>
              <w:spacing w:before="0"/>
              <w:ind w:left="0"/>
            </w:pPr>
            <w:r w:rsidRPr="005D4222">
              <w:rPr>
                <w:rFonts w:cs="Arial"/>
              </w:rPr>
              <w:lastRenderedPageBreak/>
              <w:t>POS</w:t>
            </w:r>
          </w:p>
        </w:tc>
        <w:tc>
          <w:tcPr>
            <w:tcW w:w="7537" w:type="dxa"/>
            <w:gridSpan w:val="2"/>
            <w:tcBorders>
              <w:top w:val="nil"/>
              <w:bottom w:val="nil"/>
            </w:tcBorders>
          </w:tcPr>
          <w:p w14:paraId="6DBF5FA4" w14:textId="77777777" w:rsidR="003D7F41" w:rsidRPr="005D4222" w:rsidRDefault="003D7F41" w:rsidP="00A53E8C">
            <w:pPr>
              <w:pStyle w:val="Body"/>
              <w:spacing w:before="0"/>
            </w:pPr>
            <w:r w:rsidRPr="005D4222">
              <w:t>Point of service. An HMO with an opt-out option. In this type of organization, members may choose to receive services either within the organization’s health care system (e.g., an in-network practitioner) or outside the organization’s health care delivery system (e.g., an out-of-network practitioner).</w:t>
            </w:r>
          </w:p>
          <w:p w14:paraId="61C4FB81" w14:textId="77777777" w:rsidR="003D7F41" w:rsidRPr="005D4222" w:rsidRDefault="003D7F41" w:rsidP="00B079F8">
            <w:pPr>
              <w:pStyle w:val="Body"/>
              <w:spacing w:before="120" w:after="60"/>
            </w:pPr>
            <w:r w:rsidRPr="005D4222">
              <w:t>The level of benefits or reimbursement is generally determined by whether the member uses in-network or out-of-network services. Common uses of “POS” include references to products that enroll each member in both an HMO (or HMO-like) system and in an indemnity product. A POS product is also referred to as an “HMO swing-out organization,” an “out-of-organization benefits rider to an HMO” or an “open-ended HMO.”</w:t>
            </w:r>
          </w:p>
        </w:tc>
      </w:tr>
      <w:tr w:rsidR="003D7F41" w:rsidRPr="005D4222" w14:paraId="520075DE" w14:textId="77777777" w:rsidTr="00A53E8C">
        <w:tc>
          <w:tcPr>
            <w:tcW w:w="2160" w:type="dxa"/>
            <w:gridSpan w:val="2"/>
            <w:tcBorders>
              <w:top w:val="single" w:sz="4" w:space="0" w:color="808080" w:themeColor="background1" w:themeShade="80"/>
              <w:left w:val="nil"/>
              <w:bottom w:val="single" w:sz="2" w:space="0" w:color="auto"/>
              <w:right w:val="nil"/>
            </w:tcBorders>
            <w:tcMar>
              <w:top w:w="0" w:type="dxa"/>
              <w:left w:w="0" w:type="dxa"/>
              <w:bottom w:w="0" w:type="dxa"/>
              <w:right w:w="115" w:type="dxa"/>
            </w:tcMar>
          </w:tcPr>
          <w:p w14:paraId="36816793" w14:textId="77777777" w:rsidR="003D7F41" w:rsidRPr="005D4222" w:rsidRDefault="003D7F41" w:rsidP="00A53E8C">
            <w:pPr>
              <w:pStyle w:val="MarginSubhead"/>
              <w:spacing w:after="60"/>
              <w:ind w:left="0"/>
              <w:rPr>
                <w:rFonts w:cs="Arial"/>
              </w:rPr>
            </w:pPr>
            <w:r w:rsidRPr="005D4222">
              <w:rPr>
                <w:rFonts w:cs="Arial"/>
              </w:rPr>
              <w:t>positive numerator event</w:t>
            </w:r>
          </w:p>
        </w:tc>
        <w:tc>
          <w:tcPr>
            <w:tcW w:w="7590" w:type="dxa"/>
            <w:gridSpan w:val="2"/>
            <w:tcBorders>
              <w:top w:val="single" w:sz="4" w:space="0" w:color="808080" w:themeColor="background1" w:themeShade="80"/>
              <w:left w:val="nil"/>
              <w:bottom w:val="single" w:sz="2" w:space="0" w:color="auto"/>
              <w:right w:val="nil"/>
            </w:tcBorders>
            <w:hideMark/>
          </w:tcPr>
          <w:p w14:paraId="1D6F4D98" w14:textId="17FC90F8" w:rsidR="003D7F41" w:rsidRPr="005D4222" w:rsidRDefault="003D7F41" w:rsidP="00A53E8C">
            <w:pPr>
              <w:pStyle w:val="Body"/>
              <w:spacing w:after="120"/>
              <w:rPr>
                <w:rFonts w:cs="Arial"/>
                <w:szCs w:val="21"/>
              </w:rPr>
            </w:pPr>
            <w:r w:rsidRPr="005D4222">
              <w:rPr>
                <w:rFonts w:cs="Arial"/>
                <w:szCs w:val="21"/>
              </w:rPr>
              <w:t>Evidence of a measure-required service/</w:t>
            </w:r>
            <w:r w:rsidR="007D4B79" w:rsidRPr="005D4222">
              <w:rPr>
                <w:rFonts w:cs="Arial"/>
                <w:szCs w:val="21"/>
              </w:rPr>
              <w:t>events/diagnoses</w:t>
            </w:r>
            <w:r w:rsidRPr="005D4222">
              <w:rPr>
                <w:rFonts w:cs="Arial"/>
                <w:szCs w:val="21"/>
              </w:rPr>
              <w:t xml:space="preserve"> in either the administrative data or the medical record. </w:t>
            </w:r>
          </w:p>
        </w:tc>
      </w:tr>
      <w:tr w:rsidR="003D7F41" w:rsidRPr="005D4222" w14:paraId="5DEDA41B" w14:textId="77777777" w:rsidTr="00A53E8C">
        <w:tc>
          <w:tcPr>
            <w:tcW w:w="2160" w:type="dxa"/>
            <w:gridSpan w:val="2"/>
            <w:tcBorders>
              <w:top w:val="single" w:sz="2" w:space="0" w:color="auto"/>
              <w:left w:val="nil"/>
              <w:bottom w:val="single" w:sz="2" w:space="0" w:color="auto"/>
              <w:right w:val="nil"/>
            </w:tcBorders>
            <w:tcMar>
              <w:top w:w="0" w:type="dxa"/>
              <w:left w:w="0" w:type="dxa"/>
              <w:bottom w:w="0" w:type="dxa"/>
              <w:right w:w="115" w:type="dxa"/>
            </w:tcMar>
            <w:hideMark/>
          </w:tcPr>
          <w:p w14:paraId="76B6A195" w14:textId="77777777" w:rsidR="003D7F41" w:rsidRPr="005D4222" w:rsidRDefault="003D7F41" w:rsidP="00A53E8C">
            <w:pPr>
              <w:pStyle w:val="MarginSubhead"/>
              <w:spacing w:after="60"/>
              <w:ind w:left="0"/>
              <w:rPr>
                <w:rFonts w:cs="Arial"/>
              </w:rPr>
            </w:pPr>
            <w:r w:rsidRPr="005D4222">
              <w:rPr>
                <w:rFonts w:cs="Arial"/>
              </w:rPr>
              <w:t>positive numerator hit</w:t>
            </w:r>
          </w:p>
        </w:tc>
        <w:tc>
          <w:tcPr>
            <w:tcW w:w="7590" w:type="dxa"/>
            <w:gridSpan w:val="2"/>
            <w:tcBorders>
              <w:top w:val="single" w:sz="2" w:space="0" w:color="auto"/>
              <w:left w:val="nil"/>
              <w:bottom w:val="single" w:sz="2" w:space="0" w:color="auto"/>
              <w:right w:val="nil"/>
            </w:tcBorders>
            <w:hideMark/>
          </w:tcPr>
          <w:p w14:paraId="5761CC76" w14:textId="77777777" w:rsidR="003D7F41" w:rsidRPr="005D4222" w:rsidRDefault="003D7F41" w:rsidP="00A53E8C">
            <w:pPr>
              <w:pStyle w:val="Body"/>
              <w:spacing w:after="60"/>
              <w:rPr>
                <w:rFonts w:cs="Arial"/>
                <w:szCs w:val="21"/>
              </w:rPr>
            </w:pPr>
            <w:r w:rsidRPr="005D4222">
              <w:rPr>
                <w:rFonts w:cs="Arial"/>
                <w:szCs w:val="21"/>
              </w:rPr>
              <w:t>A</w:t>
            </w:r>
            <w:r w:rsidRPr="005D4222" w:rsidDel="00424ECA">
              <w:rPr>
                <w:rFonts w:cs="Arial"/>
                <w:szCs w:val="21"/>
              </w:rPr>
              <w:t xml:space="preserve"> </w:t>
            </w:r>
            <w:r w:rsidRPr="005D4222">
              <w:rPr>
                <w:rFonts w:cs="Arial"/>
                <w:szCs w:val="21"/>
              </w:rPr>
              <w:t>person who satisfies the numerator requirements of a measure and who may be counted in the numerator. Some measures have multiple numerator requirements; for example, in the</w:t>
            </w:r>
            <w:r w:rsidRPr="005D4222">
              <w:rPr>
                <w:rFonts w:cs="Arial"/>
                <w:i/>
                <w:szCs w:val="21"/>
              </w:rPr>
              <w:t xml:space="preserve"> </w:t>
            </w:r>
            <w:r w:rsidRPr="005D4222">
              <w:rPr>
                <w:rFonts w:cs="Arial"/>
                <w:szCs w:val="21"/>
              </w:rPr>
              <w:t xml:space="preserve">Childhood Immunization Status measure, the DTaP numerator requires four separate immunizations for a member to be a positive numerator hit. </w:t>
            </w:r>
          </w:p>
        </w:tc>
      </w:tr>
      <w:tr w:rsidR="003D7F41" w:rsidRPr="005D4222" w14:paraId="774B5983" w14:textId="77777777" w:rsidTr="00A53E8C">
        <w:tc>
          <w:tcPr>
            <w:tcW w:w="2160" w:type="dxa"/>
            <w:gridSpan w:val="2"/>
            <w:tcBorders>
              <w:top w:val="single" w:sz="2" w:space="0" w:color="auto"/>
              <w:left w:val="nil"/>
              <w:bottom w:val="single" w:sz="4" w:space="0" w:color="808080" w:themeColor="background1" w:themeShade="80"/>
              <w:right w:val="nil"/>
            </w:tcBorders>
            <w:tcMar>
              <w:top w:w="0" w:type="dxa"/>
              <w:left w:w="0" w:type="dxa"/>
              <w:bottom w:w="0" w:type="dxa"/>
              <w:right w:w="115" w:type="dxa"/>
            </w:tcMar>
            <w:hideMark/>
          </w:tcPr>
          <w:p w14:paraId="00BD8677" w14:textId="77777777" w:rsidR="003D7F41" w:rsidRPr="005D4222" w:rsidRDefault="003D7F41" w:rsidP="00A53E8C">
            <w:pPr>
              <w:pStyle w:val="MarginSubhead"/>
              <w:spacing w:after="60"/>
              <w:ind w:left="0"/>
              <w:rPr>
                <w:rFonts w:cs="Arial"/>
              </w:rPr>
            </w:pPr>
            <w:r w:rsidRPr="005D4222">
              <w:rPr>
                <w:rFonts w:cs="Arial"/>
              </w:rPr>
              <w:t xml:space="preserve">PPO </w:t>
            </w:r>
          </w:p>
        </w:tc>
        <w:tc>
          <w:tcPr>
            <w:tcW w:w="7590" w:type="dxa"/>
            <w:gridSpan w:val="2"/>
            <w:tcBorders>
              <w:top w:val="single" w:sz="2" w:space="0" w:color="auto"/>
              <w:left w:val="nil"/>
              <w:bottom w:val="single" w:sz="4" w:space="0" w:color="808080" w:themeColor="background1" w:themeShade="80"/>
              <w:right w:val="nil"/>
            </w:tcBorders>
            <w:hideMark/>
          </w:tcPr>
          <w:p w14:paraId="01DC30DE" w14:textId="77777777" w:rsidR="003D7F41" w:rsidRPr="005D4222" w:rsidRDefault="003D7F41" w:rsidP="00A53E8C">
            <w:pPr>
              <w:pStyle w:val="Body"/>
              <w:spacing w:after="60"/>
              <w:rPr>
                <w:rFonts w:cs="Arial"/>
                <w:szCs w:val="21"/>
              </w:rPr>
            </w:pPr>
            <w:r w:rsidRPr="005D4222">
              <w:rPr>
                <w:rFonts w:cs="Arial"/>
                <w:szCs w:val="21"/>
              </w:rPr>
              <w:t>Preferred provider organization. PPOs are responsible for providing health benefits-related services to covered individuals and for managing a practitioner network. They may administer health benefits programs for employers by assuming insurance risk or by providing only administrative services.</w:t>
            </w:r>
          </w:p>
        </w:tc>
      </w:tr>
      <w:tr w:rsidR="003D7F41" w:rsidRPr="005D4222" w14:paraId="7F05A28A" w14:textId="77777777" w:rsidTr="00A53E8C">
        <w:tc>
          <w:tcPr>
            <w:tcW w:w="2160" w:type="dxa"/>
            <w:gridSpan w:val="2"/>
            <w:tcBorders>
              <w:top w:val="dotted" w:sz="6" w:space="0" w:color="auto"/>
              <w:left w:val="nil"/>
              <w:bottom w:val="single" w:sz="4" w:space="0" w:color="808080" w:themeColor="background1" w:themeShade="80"/>
              <w:right w:val="nil"/>
            </w:tcBorders>
            <w:tcMar>
              <w:top w:w="0" w:type="dxa"/>
              <w:left w:w="0" w:type="dxa"/>
              <w:bottom w:w="0" w:type="dxa"/>
              <w:right w:w="115" w:type="dxa"/>
            </w:tcMar>
            <w:hideMark/>
          </w:tcPr>
          <w:p w14:paraId="20B5EA04" w14:textId="77777777" w:rsidR="003D7F41" w:rsidRPr="005D4222" w:rsidRDefault="003D7F41" w:rsidP="00A53E8C">
            <w:pPr>
              <w:pStyle w:val="MarginSubhead"/>
              <w:spacing w:after="60"/>
              <w:ind w:left="0"/>
              <w:rPr>
                <w:rFonts w:cs="Arial"/>
              </w:rPr>
            </w:pPr>
            <w:r w:rsidRPr="005D4222">
              <w:rPr>
                <w:rFonts w:cs="Arial"/>
              </w:rPr>
              <w:t>product</w:t>
            </w:r>
          </w:p>
        </w:tc>
        <w:tc>
          <w:tcPr>
            <w:tcW w:w="7590" w:type="dxa"/>
            <w:gridSpan w:val="2"/>
            <w:tcBorders>
              <w:top w:val="dotted" w:sz="6" w:space="0" w:color="auto"/>
              <w:left w:val="nil"/>
              <w:bottom w:val="single" w:sz="4" w:space="0" w:color="808080" w:themeColor="background1" w:themeShade="80"/>
              <w:right w:val="nil"/>
            </w:tcBorders>
            <w:hideMark/>
          </w:tcPr>
          <w:p w14:paraId="7DDF6A80" w14:textId="77777777" w:rsidR="003D7F41" w:rsidRPr="005D4222" w:rsidRDefault="003D7F41" w:rsidP="00A53E8C">
            <w:pPr>
              <w:pStyle w:val="Body"/>
              <w:spacing w:after="60"/>
              <w:rPr>
                <w:rFonts w:cs="Arial"/>
                <w:szCs w:val="21"/>
              </w:rPr>
            </w:pPr>
            <w:r w:rsidRPr="005D4222">
              <w:rPr>
                <w:rFonts w:cs="Arial"/>
                <w:szCs w:val="21"/>
              </w:rPr>
              <w:t>An organized health care system that is accountable for financing and delivering a broad range of comprehensive health services to an enrolled population (HMO, POS, PPO, EPO).</w:t>
            </w:r>
          </w:p>
        </w:tc>
      </w:tr>
      <w:tr w:rsidR="003D7F41" w:rsidRPr="005D4222" w14:paraId="44EACC72" w14:textId="77777777" w:rsidTr="00A53E8C">
        <w:tc>
          <w:tcPr>
            <w:tcW w:w="2160" w:type="dxa"/>
            <w:gridSpan w:val="2"/>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163973A8" w14:textId="77777777" w:rsidR="003D7F41" w:rsidRPr="005D4222" w:rsidRDefault="003D7F41" w:rsidP="00A53E8C">
            <w:pPr>
              <w:pStyle w:val="MarginSubhead"/>
              <w:spacing w:after="60"/>
              <w:ind w:left="0"/>
              <w:rPr>
                <w:rFonts w:cs="Arial"/>
              </w:rPr>
            </w:pPr>
            <w:r w:rsidRPr="005D4222">
              <w:rPr>
                <w:rFonts w:cs="Arial"/>
              </w:rPr>
              <w:t>product line</w:t>
            </w:r>
          </w:p>
        </w:tc>
        <w:tc>
          <w:tcPr>
            <w:tcW w:w="7590" w:type="dxa"/>
            <w:gridSpan w:val="2"/>
            <w:tcBorders>
              <w:top w:val="single" w:sz="4" w:space="0" w:color="808080" w:themeColor="background1" w:themeShade="80"/>
              <w:left w:val="nil"/>
              <w:bottom w:val="single" w:sz="4" w:space="0" w:color="808080" w:themeColor="background1" w:themeShade="80"/>
              <w:right w:val="nil"/>
            </w:tcBorders>
            <w:hideMark/>
          </w:tcPr>
          <w:p w14:paraId="3516C0AF" w14:textId="77777777" w:rsidR="003D7F41" w:rsidRPr="005D4222" w:rsidRDefault="003D7F41" w:rsidP="00A53E8C">
            <w:pPr>
              <w:pStyle w:val="Body"/>
              <w:spacing w:after="60"/>
              <w:rPr>
                <w:rFonts w:cs="Arial"/>
                <w:szCs w:val="21"/>
              </w:rPr>
            </w:pPr>
            <w:r w:rsidRPr="005D4222">
              <w:rPr>
                <w:rFonts w:cs="Arial"/>
                <w:szCs w:val="21"/>
              </w:rPr>
              <w:t xml:space="preserve">Commercial, Medicaid, Medicare, Exchange. </w:t>
            </w:r>
          </w:p>
        </w:tc>
      </w:tr>
      <w:tr w:rsidR="003D7F41" w:rsidRPr="005D4222" w14:paraId="08EC50ED" w14:textId="77777777" w:rsidTr="00A53E8C">
        <w:tc>
          <w:tcPr>
            <w:tcW w:w="2160" w:type="dxa"/>
            <w:gridSpan w:val="2"/>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7EB20734" w14:textId="77777777" w:rsidR="003D7F41" w:rsidRPr="005D4222" w:rsidRDefault="003D7F41" w:rsidP="00A53E8C">
            <w:pPr>
              <w:pStyle w:val="MarginSubhead"/>
              <w:spacing w:after="60"/>
              <w:ind w:left="0"/>
              <w:rPr>
                <w:rFonts w:cs="Arial"/>
              </w:rPr>
            </w:pPr>
            <w:r w:rsidRPr="005D4222">
              <w:rPr>
                <w:rFonts w:cs="Arial"/>
              </w:rPr>
              <w:t>provider</w:t>
            </w:r>
          </w:p>
        </w:tc>
        <w:tc>
          <w:tcPr>
            <w:tcW w:w="7590" w:type="dxa"/>
            <w:gridSpan w:val="2"/>
            <w:tcBorders>
              <w:top w:val="single" w:sz="4" w:space="0" w:color="808080" w:themeColor="background1" w:themeShade="80"/>
              <w:left w:val="nil"/>
              <w:bottom w:val="single" w:sz="4" w:space="0" w:color="808080" w:themeColor="background1" w:themeShade="80"/>
              <w:right w:val="nil"/>
            </w:tcBorders>
            <w:hideMark/>
          </w:tcPr>
          <w:p w14:paraId="0ECB5546" w14:textId="77777777" w:rsidR="003D7F41" w:rsidRPr="005D4222" w:rsidRDefault="003D7F41" w:rsidP="00A53E8C">
            <w:pPr>
              <w:pStyle w:val="Body"/>
              <w:rPr>
                <w:rFonts w:cs="Arial"/>
                <w:szCs w:val="21"/>
              </w:rPr>
            </w:pPr>
            <w:r w:rsidRPr="005D4222">
              <w:rPr>
                <w:rFonts w:cs="Arial"/>
                <w:szCs w:val="21"/>
              </w:rPr>
              <w:t xml:space="preserve">An institution or organization that provides services for the organization’s members. Examples of providers include hospitals and home health agencies. </w:t>
            </w:r>
          </w:p>
          <w:p w14:paraId="299309D1" w14:textId="77777777" w:rsidR="003D7F41" w:rsidRPr="005D4222" w:rsidRDefault="003D7F41" w:rsidP="00A53E8C">
            <w:pPr>
              <w:pStyle w:val="Body"/>
              <w:spacing w:after="60"/>
              <w:rPr>
                <w:rFonts w:cs="Arial"/>
                <w:szCs w:val="21"/>
              </w:rPr>
            </w:pPr>
            <w:r w:rsidRPr="005D4222">
              <w:rPr>
                <w:rFonts w:cs="Arial"/>
                <w:szCs w:val="21"/>
              </w:rPr>
              <w:t xml:space="preserve">NCQA uses the term </w:t>
            </w:r>
            <w:r w:rsidRPr="005D4222">
              <w:rPr>
                <w:rFonts w:cs="Arial"/>
                <w:i/>
                <w:szCs w:val="21"/>
              </w:rPr>
              <w:t>practitioner</w:t>
            </w:r>
            <w:r w:rsidRPr="005D4222">
              <w:rPr>
                <w:rFonts w:cs="Arial"/>
                <w:szCs w:val="21"/>
              </w:rPr>
              <w:t xml:space="preserve"> to refer to professionals who provide health care services; however, it recognizes that a </w:t>
            </w:r>
            <w:r w:rsidRPr="005D4222">
              <w:rPr>
                <w:rFonts w:cs="Arial"/>
                <w:i/>
                <w:szCs w:val="21"/>
              </w:rPr>
              <w:t>provider directory</w:t>
            </w:r>
            <w:r w:rsidRPr="005D4222">
              <w:rPr>
                <w:rFonts w:cs="Arial"/>
                <w:szCs w:val="21"/>
              </w:rPr>
              <w:t xml:space="preserve"> generally includes both providers and practitioners, and that the inclusive definition is the more common usage.</w:t>
            </w:r>
          </w:p>
        </w:tc>
      </w:tr>
      <w:tr w:rsidR="003D7F41" w:rsidRPr="005D4222" w14:paraId="62BF6940" w14:textId="77777777" w:rsidTr="00A53E8C">
        <w:tc>
          <w:tcPr>
            <w:tcW w:w="2160" w:type="dxa"/>
            <w:gridSpan w:val="2"/>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6CE937D6" w14:textId="77777777" w:rsidR="003D7F41" w:rsidRPr="005D4222" w:rsidRDefault="003D7F41" w:rsidP="00A53E8C">
            <w:pPr>
              <w:pStyle w:val="MarginSubhead"/>
              <w:spacing w:after="60"/>
              <w:ind w:left="0"/>
              <w:rPr>
                <w:rFonts w:cs="Arial"/>
              </w:rPr>
            </w:pPr>
            <w:r w:rsidRPr="005D4222" w:rsidDel="00F777B6">
              <w:rPr>
                <w:rFonts w:cs="Arial"/>
              </w:rPr>
              <w:t>quality assurance</w:t>
            </w:r>
          </w:p>
        </w:tc>
        <w:tc>
          <w:tcPr>
            <w:tcW w:w="7590" w:type="dxa"/>
            <w:gridSpan w:val="2"/>
            <w:tcBorders>
              <w:top w:val="single" w:sz="4" w:space="0" w:color="808080" w:themeColor="background1" w:themeShade="80"/>
              <w:left w:val="nil"/>
              <w:bottom w:val="single" w:sz="4" w:space="0" w:color="808080" w:themeColor="background1" w:themeShade="80"/>
              <w:right w:val="nil"/>
            </w:tcBorders>
            <w:hideMark/>
          </w:tcPr>
          <w:p w14:paraId="4A0FFF3B" w14:textId="77777777" w:rsidR="003D7F41" w:rsidRPr="005D4222" w:rsidRDefault="003D7F41" w:rsidP="00A53E8C">
            <w:pPr>
              <w:pStyle w:val="Body"/>
              <w:spacing w:after="60"/>
              <w:rPr>
                <w:rFonts w:cs="Arial"/>
                <w:szCs w:val="21"/>
              </w:rPr>
            </w:pPr>
            <w:r w:rsidRPr="005D4222" w:rsidDel="00F777B6">
              <w:rPr>
                <w:rFonts w:cs="Arial"/>
                <w:szCs w:val="21"/>
              </w:rPr>
              <w:t>Activities that safeguard or improve quality of medical care.</w:t>
            </w:r>
          </w:p>
        </w:tc>
      </w:tr>
      <w:tr w:rsidR="003D7F41" w:rsidRPr="005D4222" w14:paraId="16EA49BF" w14:textId="77777777" w:rsidTr="00A53E8C">
        <w:trPr>
          <w:trHeight w:val="420"/>
        </w:trPr>
        <w:tc>
          <w:tcPr>
            <w:tcW w:w="2160" w:type="dxa"/>
            <w:gridSpan w:val="2"/>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6435AEE3" w14:textId="77777777" w:rsidR="003D7F41" w:rsidRPr="005D4222" w:rsidRDefault="003D7F41" w:rsidP="00A53E8C">
            <w:pPr>
              <w:pStyle w:val="MarginSubhead"/>
              <w:spacing w:after="60"/>
              <w:ind w:left="0"/>
              <w:rPr>
                <w:rFonts w:cs="Arial"/>
              </w:rPr>
            </w:pPr>
            <w:r w:rsidRPr="005D4222">
              <w:rPr>
                <w:rFonts w:cs="Arial"/>
              </w:rPr>
              <w:t>rater-to-standard</w:t>
            </w:r>
          </w:p>
        </w:tc>
        <w:tc>
          <w:tcPr>
            <w:tcW w:w="7590" w:type="dxa"/>
            <w:gridSpan w:val="2"/>
            <w:tcBorders>
              <w:top w:val="single" w:sz="4" w:space="0" w:color="808080" w:themeColor="background1" w:themeShade="80"/>
              <w:left w:val="nil"/>
              <w:bottom w:val="single" w:sz="4" w:space="0" w:color="808080" w:themeColor="background1" w:themeShade="80"/>
              <w:right w:val="nil"/>
            </w:tcBorders>
            <w:hideMark/>
          </w:tcPr>
          <w:p w14:paraId="7A833738" w14:textId="77777777" w:rsidR="003D7F41" w:rsidRPr="005D4222" w:rsidRDefault="003D7F41" w:rsidP="00A53E8C">
            <w:pPr>
              <w:pStyle w:val="Body"/>
              <w:spacing w:after="60"/>
              <w:rPr>
                <w:rFonts w:cs="Arial"/>
                <w:szCs w:val="21"/>
              </w:rPr>
            </w:pPr>
            <w:r w:rsidRPr="005D4222">
              <w:rPr>
                <w:rFonts w:cs="Arial"/>
                <w:szCs w:val="21"/>
              </w:rPr>
              <w:t xml:space="preserve">A methodology for evaluating the medical record review process. Organizations using this method compare their medical record reviewers’ results to a supervisor or lead reviewer’s results and strive for consistency of reviewer results. </w:t>
            </w:r>
          </w:p>
        </w:tc>
      </w:tr>
      <w:tr w:rsidR="003D7F41" w:rsidRPr="005D4222" w14:paraId="740B4E54" w14:textId="77777777" w:rsidTr="00A53E8C">
        <w:tc>
          <w:tcPr>
            <w:tcW w:w="2160" w:type="dxa"/>
            <w:gridSpan w:val="2"/>
            <w:tcBorders>
              <w:top w:val="single" w:sz="4" w:space="0" w:color="808080" w:themeColor="background1" w:themeShade="80"/>
              <w:left w:val="nil"/>
              <w:right w:val="nil"/>
            </w:tcBorders>
            <w:tcMar>
              <w:top w:w="0" w:type="dxa"/>
              <w:left w:w="0" w:type="dxa"/>
              <w:bottom w:w="0" w:type="dxa"/>
              <w:right w:w="115" w:type="dxa"/>
            </w:tcMar>
            <w:hideMark/>
          </w:tcPr>
          <w:p w14:paraId="351BD52B" w14:textId="77777777" w:rsidR="003D7F41" w:rsidRPr="005D4222" w:rsidRDefault="003D7F41" w:rsidP="00A53E8C">
            <w:pPr>
              <w:pStyle w:val="MarginSubhead"/>
              <w:spacing w:after="60"/>
              <w:ind w:left="0"/>
              <w:rPr>
                <w:rFonts w:cs="Arial"/>
              </w:rPr>
            </w:pPr>
            <w:r w:rsidRPr="005D4222">
              <w:rPr>
                <w:rFonts w:cs="Arial"/>
              </w:rPr>
              <w:t>required benefit</w:t>
            </w:r>
          </w:p>
        </w:tc>
        <w:tc>
          <w:tcPr>
            <w:tcW w:w="7590" w:type="dxa"/>
            <w:gridSpan w:val="2"/>
            <w:tcBorders>
              <w:top w:val="single" w:sz="4" w:space="0" w:color="808080" w:themeColor="background1" w:themeShade="80"/>
              <w:left w:val="nil"/>
              <w:right w:val="nil"/>
            </w:tcBorders>
            <w:hideMark/>
          </w:tcPr>
          <w:p w14:paraId="07CD8F9E" w14:textId="77777777" w:rsidR="003D7F41" w:rsidRPr="005D4222" w:rsidRDefault="003D7F41" w:rsidP="00A53E8C">
            <w:pPr>
              <w:pStyle w:val="Body"/>
              <w:spacing w:after="60"/>
              <w:rPr>
                <w:rFonts w:cs="Arial"/>
                <w:szCs w:val="21"/>
              </w:rPr>
            </w:pPr>
            <w:r w:rsidRPr="005D4222">
              <w:rPr>
                <w:rFonts w:cs="Arial"/>
                <w:szCs w:val="21"/>
              </w:rPr>
              <w:t>HEDIS measures evaluate performance and hold organizations accountable for services provided in their members’ benefits package. Measure specifications include benefits (i.e., medical, pharmacy, mental health, chemical dependency) required during the continuous enrollment period.</w:t>
            </w:r>
          </w:p>
        </w:tc>
      </w:tr>
      <w:tr w:rsidR="003D7F41" w:rsidRPr="005D4222" w14:paraId="217DB00C" w14:textId="77777777" w:rsidTr="00A53E8C">
        <w:tc>
          <w:tcPr>
            <w:tcW w:w="2160" w:type="dxa"/>
            <w:gridSpan w:val="2"/>
            <w:tcBorders>
              <w:left w:val="nil"/>
              <w:bottom w:val="single" w:sz="4" w:space="0" w:color="808080" w:themeColor="background1" w:themeShade="80"/>
              <w:right w:val="nil"/>
            </w:tcBorders>
            <w:tcMar>
              <w:top w:w="0" w:type="dxa"/>
              <w:left w:w="0" w:type="dxa"/>
              <w:bottom w:w="0" w:type="dxa"/>
              <w:right w:w="115" w:type="dxa"/>
            </w:tcMar>
            <w:hideMark/>
          </w:tcPr>
          <w:p w14:paraId="70C8D39D" w14:textId="77777777" w:rsidR="003D7F41" w:rsidRPr="005D4222" w:rsidRDefault="003D7F41" w:rsidP="00A53E8C">
            <w:pPr>
              <w:pStyle w:val="MarginSubhead"/>
              <w:spacing w:before="0" w:after="60"/>
              <w:ind w:left="0"/>
              <w:rPr>
                <w:rFonts w:cs="Arial"/>
              </w:rPr>
            </w:pPr>
            <w:r w:rsidRPr="005D4222">
              <w:rPr>
                <w:rFonts w:cs="Arial"/>
              </w:rPr>
              <w:lastRenderedPageBreak/>
              <w:t>RES</w:t>
            </w:r>
          </w:p>
        </w:tc>
        <w:tc>
          <w:tcPr>
            <w:tcW w:w="7590" w:type="dxa"/>
            <w:gridSpan w:val="2"/>
            <w:tcBorders>
              <w:left w:val="nil"/>
              <w:bottom w:val="single" w:sz="4" w:space="0" w:color="808080" w:themeColor="background1" w:themeShade="80"/>
              <w:right w:val="nil"/>
            </w:tcBorders>
            <w:hideMark/>
          </w:tcPr>
          <w:p w14:paraId="636B2BD7" w14:textId="77777777" w:rsidR="003D7F41" w:rsidRPr="005D4222" w:rsidRDefault="003D7F41" w:rsidP="00A53E8C">
            <w:pPr>
              <w:pStyle w:val="Body"/>
              <w:spacing w:before="0" w:after="60"/>
              <w:rPr>
                <w:rFonts w:cs="Arial"/>
                <w:szCs w:val="21"/>
              </w:rPr>
            </w:pPr>
            <w:r w:rsidRPr="005D4222">
              <w:rPr>
                <w:rFonts w:cs="Arial"/>
                <w:szCs w:val="21"/>
              </w:rPr>
              <w:t>Race and Ethnicity Stratification. NCQA requires reporting race and ethnicity as defined by the Office of Management and Budget (OMB) Standards for Maintaining, Collecting, and Presenting Federal Data on Race and Ethnicity.</w:t>
            </w:r>
          </w:p>
        </w:tc>
      </w:tr>
      <w:tr w:rsidR="003D7F41" w:rsidRPr="005D4222" w14:paraId="37C0FDF8" w14:textId="77777777" w:rsidTr="00A53E8C">
        <w:tc>
          <w:tcPr>
            <w:tcW w:w="2160" w:type="dxa"/>
            <w:gridSpan w:val="2"/>
            <w:tcBorders>
              <w:top w:val="single" w:sz="4" w:space="0" w:color="808080" w:themeColor="background1" w:themeShade="80"/>
              <w:left w:val="nil"/>
              <w:bottom w:val="single" w:sz="4" w:space="0" w:color="7F7F7F" w:themeColor="text1" w:themeTint="80"/>
              <w:right w:val="nil"/>
            </w:tcBorders>
            <w:tcMar>
              <w:top w:w="0" w:type="dxa"/>
              <w:left w:w="0" w:type="dxa"/>
              <w:bottom w:w="0" w:type="dxa"/>
              <w:right w:w="115" w:type="dxa"/>
            </w:tcMar>
            <w:hideMark/>
          </w:tcPr>
          <w:p w14:paraId="6DD78723" w14:textId="77777777" w:rsidR="003D7F41" w:rsidRPr="005D4222" w:rsidRDefault="003D7F41" w:rsidP="00A53E8C">
            <w:pPr>
              <w:pStyle w:val="MarginSubhead"/>
              <w:spacing w:after="60"/>
              <w:ind w:left="0"/>
              <w:rPr>
                <w:rFonts w:cs="Arial"/>
              </w:rPr>
            </w:pPr>
            <w:r w:rsidRPr="005D4222">
              <w:rPr>
                <w:rFonts w:cs="Arial"/>
              </w:rPr>
              <w:t>retrospective audit</w:t>
            </w:r>
          </w:p>
        </w:tc>
        <w:tc>
          <w:tcPr>
            <w:tcW w:w="7590" w:type="dxa"/>
            <w:gridSpan w:val="2"/>
            <w:tcBorders>
              <w:top w:val="single" w:sz="4" w:space="0" w:color="808080" w:themeColor="background1" w:themeShade="80"/>
              <w:left w:val="nil"/>
              <w:bottom w:val="single" w:sz="4" w:space="0" w:color="7F7F7F" w:themeColor="text1" w:themeTint="80"/>
              <w:right w:val="nil"/>
            </w:tcBorders>
            <w:hideMark/>
          </w:tcPr>
          <w:p w14:paraId="00682E33" w14:textId="77777777" w:rsidR="003D7F41" w:rsidRPr="005D4222" w:rsidRDefault="003D7F41" w:rsidP="00A53E8C">
            <w:pPr>
              <w:pStyle w:val="Body"/>
              <w:spacing w:after="60"/>
              <w:rPr>
                <w:rFonts w:cs="Arial"/>
                <w:szCs w:val="21"/>
              </w:rPr>
            </w:pPr>
            <w:r w:rsidRPr="005D4222">
              <w:rPr>
                <w:rFonts w:cs="Arial"/>
                <w:szCs w:val="21"/>
              </w:rPr>
              <w:t xml:space="preserve">Evaluation of methods and data after the data collection period has ended. With this type of audit, organizations are not given a chance to correct errors before data are reported. HEDIS Compliance Audits are conducted using a </w:t>
            </w:r>
            <w:r w:rsidRPr="005D4222">
              <w:rPr>
                <w:rFonts w:cs="Arial"/>
                <w:i/>
                <w:szCs w:val="21"/>
              </w:rPr>
              <w:t>concurrent audit</w:t>
            </w:r>
            <w:r w:rsidRPr="005D4222">
              <w:rPr>
                <w:rFonts w:cs="Arial"/>
                <w:bCs/>
                <w:i/>
                <w:szCs w:val="21"/>
              </w:rPr>
              <w:t>.</w:t>
            </w:r>
            <w:r w:rsidRPr="005D4222">
              <w:rPr>
                <w:rFonts w:cs="Arial"/>
                <w:i/>
                <w:szCs w:val="21"/>
              </w:rPr>
              <w:t xml:space="preserve"> </w:t>
            </w:r>
          </w:p>
        </w:tc>
      </w:tr>
      <w:tr w:rsidR="003D7F41" w:rsidRPr="005D4222" w14:paraId="17132567" w14:textId="77777777" w:rsidTr="00A53E8C">
        <w:tc>
          <w:tcPr>
            <w:tcW w:w="2160" w:type="dxa"/>
            <w:gridSpan w:val="2"/>
            <w:tcBorders>
              <w:top w:val="single" w:sz="4" w:space="0" w:color="7F7F7F" w:themeColor="text1" w:themeTint="80"/>
              <w:left w:val="nil"/>
              <w:bottom w:val="single" w:sz="4" w:space="0" w:color="7F7F7F" w:themeColor="text1" w:themeTint="80"/>
              <w:right w:val="nil"/>
            </w:tcBorders>
            <w:tcMar>
              <w:top w:w="0" w:type="dxa"/>
              <w:left w:w="0" w:type="dxa"/>
              <w:bottom w:w="0" w:type="dxa"/>
              <w:right w:w="115" w:type="dxa"/>
            </w:tcMar>
            <w:hideMark/>
          </w:tcPr>
          <w:p w14:paraId="01DBE9B7" w14:textId="77777777" w:rsidR="003D7F41" w:rsidRPr="005D4222" w:rsidRDefault="003D7F41" w:rsidP="00A53E8C">
            <w:pPr>
              <w:pStyle w:val="MarginSubhead"/>
              <w:spacing w:after="60"/>
              <w:ind w:left="0"/>
              <w:rPr>
                <w:rFonts w:cs="Arial"/>
              </w:rPr>
            </w:pPr>
            <w:r w:rsidRPr="005D4222">
              <w:rPr>
                <w:rFonts w:cs="Arial"/>
              </w:rPr>
              <w:t>risk adjustment</w:t>
            </w:r>
          </w:p>
        </w:tc>
        <w:tc>
          <w:tcPr>
            <w:tcW w:w="7590" w:type="dxa"/>
            <w:gridSpan w:val="2"/>
            <w:tcBorders>
              <w:top w:val="single" w:sz="4" w:space="0" w:color="7F7F7F" w:themeColor="text1" w:themeTint="80"/>
              <w:left w:val="nil"/>
              <w:bottom w:val="single" w:sz="4" w:space="0" w:color="7F7F7F" w:themeColor="text1" w:themeTint="80"/>
              <w:right w:val="nil"/>
            </w:tcBorders>
            <w:hideMark/>
          </w:tcPr>
          <w:p w14:paraId="6CA1D271" w14:textId="77777777" w:rsidR="003D7F41" w:rsidRPr="005D4222" w:rsidRDefault="003D7F41" w:rsidP="00A53E8C">
            <w:pPr>
              <w:pStyle w:val="Body"/>
              <w:spacing w:after="60"/>
              <w:rPr>
                <w:rFonts w:cs="Arial"/>
                <w:szCs w:val="21"/>
              </w:rPr>
            </w:pPr>
            <w:r w:rsidRPr="005D4222">
              <w:rPr>
                <w:rFonts w:cs="Arial"/>
                <w:szCs w:val="21"/>
              </w:rPr>
              <w:t>A statistical adjustment that controls for factors beyond the control of an organization so that results can be validly compared with those of other organizations.</w:t>
            </w:r>
          </w:p>
        </w:tc>
      </w:tr>
      <w:tr w:rsidR="003D7F41" w:rsidRPr="005D4222" w14:paraId="4D938276" w14:textId="77777777" w:rsidTr="00A53E8C">
        <w:tc>
          <w:tcPr>
            <w:tcW w:w="2160" w:type="dxa"/>
            <w:gridSpan w:val="2"/>
            <w:tcBorders>
              <w:top w:val="single" w:sz="4" w:space="0" w:color="7F7F7F" w:themeColor="text1" w:themeTint="80"/>
              <w:left w:val="nil"/>
              <w:bottom w:val="single" w:sz="4" w:space="0" w:color="808080" w:themeColor="background1" w:themeShade="80"/>
              <w:right w:val="nil"/>
            </w:tcBorders>
            <w:tcMar>
              <w:top w:w="0" w:type="dxa"/>
              <w:left w:w="0" w:type="dxa"/>
              <w:bottom w:w="0" w:type="dxa"/>
              <w:right w:w="115" w:type="dxa"/>
            </w:tcMar>
            <w:hideMark/>
          </w:tcPr>
          <w:p w14:paraId="548E9DA2" w14:textId="77777777" w:rsidR="003D7F41" w:rsidRPr="005D4222" w:rsidRDefault="003D7F41" w:rsidP="00A53E8C">
            <w:pPr>
              <w:pStyle w:val="MarginSubhead"/>
              <w:spacing w:after="60"/>
              <w:ind w:left="0"/>
              <w:rPr>
                <w:rFonts w:cs="Arial"/>
              </w:rPr>
            </w:pPr>
            <w:r w:rsidRPr="005D4222">
              <w:rPr>
                <w:rFonts w:cs="Arial"/>
              </w:rPr>
              <w:t>Rules for Allowable Adjustments</w:t>
            </w:r>
          </w:p>
        </w:tc>
        <w:tc>
          <w:tcPr>
            <w:tcW w:w="7590" w:type="dxa"/>
            <w:gridSpan w:val="2"/>
            <w:tcBorders>
              <w:top w:val="single" w:sz="4" w:space="0" w:color="7F7F7F" w:themeColor="text1" w:themeTint="80"/>
              <w:left w:val="nil"/>
              <w:bottom w:val="single" w:sz="4" w:space="0" w:color="808080" w:themeColor="background1" w:themeShade="80"/>
              <w:right w:val="nil"/>
            </w:tcBorders>
            <w:hideMark/>
          </w:tcPr>
          <w:p w14:paraId="7E42390C" w14:textId="77777777" w:rsidR="003D7F41" w:rsidRPr="005D4222" w:rsidRDefault="003D7F41" w:rsidP="00A53E8C">
            <w:pPr>
              <w:pStyle w:val="Body"/>
              <w:spacing w:after="60"/>
              <w:rPr>
                <w:rFonts w:cs="Arial"/>
                <w:szCs w:val="21"/>
              </w:rPr>
            </w:pPr>
            <w:r w:rsidRPr="005D4222">
              <w:rPr>
                <w:rFonts w:cs="Arial"/>
                <w:szCs w:val="21"/>
              </w:rPr>
              <w:t xml:space="preserve">The “Rules” specify how HEDIS measures may be adapted for use outside the traditional health plan setting for different purposes and levels of analysis (e.g., population health management, quality improvement). </w:t>
            </w:r>
          </w:p>
        </w:tc>
      </w:tr>
      <w:tr w:rsidR="003D7F41" w:rsidRPr="005D4222" w14:paraId="36D16FBD" w14:textId="77777777" w:rsidTr="00A53E8C">
        <w:tc>
          <w:tcPr>
            <w:tcW w:w="2160" w:type="dxa"/>
            <w:gridSpan w:val="2"/>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2F00C182" w14:textId="77777777" w:rsidR="003D7F41" w:rsidRPr="005D4222" w:rsidRDefault="003D7F41" w:rsidP="00A53E8C">
            <w:pPr>
              <w:pStyle w:val="MarginSubhead"/>
              <w:spacing w:after="60"/>
              <w:ind w:left="0"/>
              <w:rPr>
                <w:rFonts w:cs="Arial"/>
              </w:rPr>
            </w:pPr>
            <w:r w:rsidRPr="005D4222">
              <w:rPr>
                <w:rFonts w:cs="Arial"/>
              </w:rPr>
              <w:t>sample frame</w:t>
            </w:r>
          </w:p>
        </w:tc>
        <w:tc>
          <w:tcPr>
            <w:tcW w:w="7590" w:type="dxa"/>
            <w:gridSpan w:val="2"/>
            <w:tcBorders>
              <w:top w:val="single" w:sz="4" w:space="0" w:color="808080" w:themeColor="background1" w:themeShade="80"/>
              <w:left w:val="nil"/>
              <w:bottom w:val="single" w:sz="4" w:space="0" w:color="808080" w:themeColor="background1" w:themeShade="80"/>
              <w:right w:val="nil"/>
            </w:tcBorders>
            <w:hideMark/>
          </w:tcPr>
          <w:p w14:paraId="4B0C6D7F" w14:textId="77777777" w:rsidR="003D7F41" w:rsidRPr="005D4222" w:rsidRDefault="003D7F41" w:rsidP="00A53E8C">
            <w:pPr>
              <w:pStyle w:val="Body"/>
              <w:spacing w:after="60"/>
              <w:rPr>
                <w:rFonts w:cs="Arial"/>
                <w:szCs w:val="21"/>
              </w:rPr>
            </w:pPr>
            <w:r w:rsidRPr="005D4222">
              <w:rPr>
                <w:rFonts w:cs="Arial"/>
                <w:szCs w:val="21"/>
              </w:rPr>
              <w:t xml:space="preserve">The file that contains the eligible population for survey measures. The sample frame must be approved by the auditor before it is sent to the NCQA-Certified Survey Vendor. </w:t>
            </w:r>
          </w:p>
        </w:tc>
      </w:tr>
      <w:tr w:rsidR="003D7F41" w:rsidRPr="005D4222" w14:paraId="35AEF412" w14:textId="77777777" w:rsidTr="00A53E8C">
        <w:tc>
          <w:tcPr>
            <w:tcW w:w="2160" w:type="dxa"/>
            <w:gridSpan w:val="2"/>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tcPr>
          <w:p w14:paraId="1BB86DE5" w14:textId="77777777" w:rsidR="003D7F41" w:rsidRPr="005D4222" w:rsidRDefault="003D7F41" w:rsidP="00A53E8C">
            <w:pPr>
              <w:pStyle w:val="MarginSubhead"/>
              <w:spacing w:after="60"/>
              <w:ind w:left="0"/>
              <w:rPr>
                <w:rFonts w:cs="Arial"/>
              </w:rPr>
            </w:pPr>
            <w:hyperlink r:id="rId268" w:anchor="Measure.scoring" w:history="1">
              <w:r w:rsidRPr="005D4222">
                <w:rPr>
                  <w:rStyle w:val="Hyperlink"/>
                  <w:rFonts w:cs="Arial"/>
                </w:rPr>
                <w:t>scoring</w:t>
              </w:r>
            </w:hyperlink>
          </w:p>
        </w:tc>
        <w:tc>
          <w:tcPr>
            <w:tcW w:w="7590" w:type="dxa"/>
            <w:gridSpan w:val="2"/>
            <w:tcBorders>
              <w:top w:val="single" w:sz="4" w:space="0" w:color="808080" w:themeColor="background1" w:themeShade="80"/>
              <w:left w:val="nil"/>
              <w:bottom w:val="single" w:sz="4" w:space="0" w:color="808080" w:themeColor="background1" w:themeShade="80"/>
              <w:right w:val="nil"/>
            </w:tcBorders>
          </w:tcPr>
          <w:p w14:paraId="0D5CA191" w14:textId="77777777" w:rsidR="003D7F41" w:rsidRPr="005D4222" w:rsidRDefault="003D7F41" w:rsidP="008715A8">
            <w:pPr>
              <w:pStyle w:val="Body"/>
              <w:spacing w:after="60"/>
              <w:rPr>
                <w:rFonts w:cs="Arial"/>
                <w:szCs w:val="21"/>
              </w:rPr>
            </w:pPr>
            <w:r w:rsidRPr="005D4222">
              <w:rPr>
                <w:rFonts w:cs="Arial"/>
                <w:szCs w:val="21"/>
              </w:rPr>
              <w:t>Indicates how the calculation is performed for the measure, including proportion, ratio, continuous-variable, and cohort. The value set is extensible, allowing additional measure scoring types to be represented.</w:t>
            </w:r>
          </w:p>
        </w:tc>
      </w:tr>
      <w:tr w:rsidR="003D7F41" w:rsidRPr="005D4222" w14:paraId="09E31774" w14:textId="77777777" w:rsidTr="00A53E8C">
        <w:tc>
          <w:tcPr>
            <w:tcW w:w="2160" w:type="dxa"/>
            <w:gridSpan w:val="2"/>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13D61974" w14:textId="77777777" w:rsidR="003D7F41" w:rsidRPr="005D4222" w:rsidRDefault="003D7F41" w:rsidP="00A53E8C">
            <w:pPr>
              <w:pStyle w:val="MarginSubhead"/>
              <w:spacing w:after="60"/>
              <w:ind w:left="0"/>
              <w:rPr>
                <w:rFonts w:cs="Arial"/>
              </w:rPr>
            </w:pPr>
            <w:bookmarkStart w:id="466" w:name="SNP"/>
            <w:r w:rsidRPr="005D4222">
              <w:rPr>
                <w:rFonts w:cs="Arial"/>
              </w:rPr>
              <w:t>SNP</w:t>
            </w:r>
            <w:bookmarkEnd w:id="466"/>
          </w:p>
        </w:tc>
        <w:tc>
          <w:tcPr>
            <w:tcW w:w="7590" w:type="dxa"/>
            <w:gridSpan w:val="2"/>
            <w:tcBorders>
              <w:top w:val="single" w:sz="4" w:space="0" w:color="808080" w:themeColor="background1" w:themeShade="80"/>
              <w:left w:val="nil"/>
              <w:bottom w:val="single" w:sz="4" w:space="0" w:color="808080" w:themeColor="background1" w:themeShade="80"/>
              <w:right w:val="nil"/>
            </w:tcBorders>
            <w:hideMark/>
          </w:tcPr>
          <w:p w14:paraId="179B327D" w14:textId="77777777" w:rsidR="003D7F41" w:rsidRPr="005D4222" w:rsidRDefault="003D7F41" w:rsidP="00A53E8C">
            <w:pPr>
              <w:pStyle w:val="Body"/>
              <w:rPr>
                <w:rFonts w:cs="Arial"/>
                <w:szCs w:val="21"/>
              </w:rPr>
            </w:pPr>
            <w:r w:rsidRPr="005D4222">
              <w:rPr>
                <w:rFonts w:cs="Arial"/>
                <w:szCs w:val="21"/>
              </w:rPr>
              <w:t xml:space="preserve">Special Needs Plan. SNPs were created by Congress as part of the Medicare Modernization Act (MMA) of 2003 as a new type of Medicare managed care plan focused on certain vulnerable groups of Medicare beneficiaries: the institutionalized, dual eligibles and beneficiaries with severe or disabling chronic conditions. </w:t>
            </w:r>
          </w:p>
          <w:p w14:paraId="37EC937E" w14:textId="77777777" w:rsidR="003D7F41" w:rsidRPr="005D4222" w:rsidRDefault="003D7F41" w:rsidP="00A53E8C">
            <w:pPr>
              <w:pStyle w:val="Body"/>
              <w:spacing w:after="60"/>
              <w:rPr>
                <w:rFonts w:cs="Arial"/>
                <w:szCs w:val="21"/>
              </w:rPr>
            </w:pPr>
            <w:r w:rsidRPr="005D4222">
              <w:rPr>
                <w:rFonts w:cs="Arial"/>
                <w:szCs w:val="21"/>
              </w:rPr>
              <w:t>An SNP benefit package, referred to by CMS as the “plan,” may be a stand-alone Medicare Advantage contract or a benefit package within a larger Medicare Advantage contract. SNPs submit structure and process measures and HEDIS measures at the benefit package level.</w:t>
            </w:r>
          </w:p>
        </w:tc>
      </w:tr>
      <w:tr w:rsidR="003D7F41" w:rsidRPr="005D4222" w14:paraId="72A3E274" w14:textId="77777777" w:rsidTr="00A53E8C">
        <w:tc>
          <w:tcPr>
            <w:tcW w:w="2160" w:type="dxa"/>
            <w:gridSpan w:val="2"/>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680765F9" w14:textId="77777777" w:rsidR="003D7F41" w:rsidRPr="005D4222" w:rsidRDefault="003D7F41" w:rsidP="00A53E8C">
            <w:pPr>
              <w:pStyle w:val="MarginSubhead"/>
              <w:spacing w:after="60"/>
              <w:ind w:left="0"/>
              <w:rPr>
                <w:rFonts w:cs="Arial"/>
              </w:rPr>
            </w:pPr>
            <w:r w:rsidRPr="005D4222">
              <w:rPr>
                <w:rFonts w:cs="Arial"/>
              </w:rPr>
              <w:t>supplemental data</w:t>
            </w:r>
          </w:p>
        </w:tc>
        <w:tc>
          <w:tcPr>
            <w:tcW w:w="7590" w:type="dxa"/>
            <w:gridSpan w:val="2"/>
            <w:tcBorders>
              <w:top w:val="single" w:sz="4" w:space="0" w:color="808080" w:themeColor="background1" w:themeShade="80"/>
              <w:left w:val="nil"/>
              <w:bottom w:val="single" w:sz="4" w:space="0" w:color="808080" w:themeColor="background1" w:themeShade="80"/>
              <w:right w:val="nil"/>
            </w:tcBorders>
            <w:hideMark/>
          </w:tcPr>
          <w:p w14:paraId="7EE0016E" w14:textId="77777777" w:rsidR="003D7F41" w:rsidRPr="005D4222" w:rsidRDefault="003D7F41" w:rsidP="00A53E8C">
            <w:pPr>
              <w:pStyle w:val="Body"/>
              <w:spacing w:after="60"/>
              <w:rPr>
                <w:rFonts w:cs="Arial"/>
                <w:szCs w:val="21"/>
              </w:rPr>
            </w:pPr>
            <w:r w:rsidRPr="005D4222">
              <w:rPr>
                <w:rFonts w:cs="Arial"/>
                <w:szCs w:val="21"/>
              </w:rPr>
              <w:t xml:space="preserve">Data other than claims and encounters used by the organization to collect information about its members and about delivery of health services to its members. </w:t>
            </w:r>
          </w:p>
        </w:tc>
      </w:tr>
      <w:tr w:rsidR="003D7F41" w:rsidRPr="005D4222" w14:paraId="11E76C54" w14:textId="77777777" w:rsidTr="00A53E8C">
        <w:tc>
          <w:tcPr>
            <w:tcW w:w="2160" w:type="dxa"/>
            <w:gridSpan w:val="2"/>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hideMark/>
          </w:tcPr>
          <w:p w14:paraId="143361F9" w14:textId="77777777" w:rsidR="003D7F41" w:rsidRPr="005D4222" w:rsidRDefault="003D7F41" w:rsidP="00A53E8C">
            <w:pPr>
              <w:pStyle w:val="MarginSubhead"/>
              <w:spacing w:after="60"/>
              <w:ind w:left="0"/>
              <w:rPr>
                <w:rFonts w:cs="Arial"/>
              </w:rPr>
            </w:pPr>
            <w:r w:rsidRPr="005D4222">
              <w:rPr>
                <w:rFonts w:cs="Arial"/>
              </w:rPr>
              <w:t>systematic sample</w:t>
            </w:r>
          </w:p>
        </w:tc>
        <w:tc>
          <w:tcPr>
            <w:tcW w:w="7590" w:type="dxa"/>
            <w:gridSpan w:val="2"/>
            <w:tcBorders>
              <w:top w:val="single" w:sz="4" w:space="0" w:color="808080" w:themeColor="background1" w:themeShade="80"/>
              <w:left w:val="nil"/>
              <w:bottom w:val="single" w:sz="4" w:space="0" w:color="808080" w:themeColor="background1" w:themeShade="80"/>
              <w:right w:val="nil"/>
            </w:tcBorders>
            <w:hideMark/>
          </w:tcPr>
          <w:p w14:paraId="12423B3E" w14:textId="77777777" w:rsidR="003D7F41" w:rsidRPr="005D4222" w:rsidRDefault="003D7F41" w:rsidP="00A53E8C">
            <w:pPr>
              <w:pStyle w:val="Body"/>
              <w:spacing w:after="60"/>
              <w:rPr>
                <w:rFonts w:cs="Arial"/>
              </w:rPr>
            </w:pPr>
            <w:r w:rsidRPr="005D4222">
              <w:rPr>
                <w:rFonts w:cs="Arial"/>
              </w:rPr>
              <w:t xml:space="preserve">The methodology that NCQA requires the organization to use to create a subset of members from the administrative denominator. This subset or sample is used for reporting hybrid measures. </w:t>
            </w:r>
          </w:p>
        </w:tc>
      </w:tr>
      <w:tr w:rsidR="003D7F41" w:rsidRPr="005D4222" w14:paraId="3F77B961" w14:textId="77777777" w:rsidTr="00A53E8C">
        <w:tc>
          <w:tcPr>
            <w:tcW w:w="2160" w:type="dxa"/>
            <w:gridSpan w:val="2"/>
            <w:tcBorders>
              <w:top w:val="single" w:sz="4" w:space="0" w:color="808080" w:themeColor="background1" w:themeShade="80"/>
              <w:left w:val="nil"/>
              <w:right w:val="nil"/>
            </w:tcBorders>
            <w:tcMar>
              <w:top w:w="0" w:type="dxa"/>
              <w:left w:w="0" w:type="dxa"/>
              <w:bottom w:w="0" w:type="dxa"/>
              <w:right w:w="115" w:type="dxa"/>
            </w:tcMar>
          </w:tcPr>
          <w:p w14:paraId="76338BD5" w14:textId="77777777" w:rsidR="003D7F41" w:rsidRPr="005D4222" w:rsidRDefault="003D7F41" w:rsidP="00A53E8C">
            <w:pPr>
              <w:pStyle w:val="MarginSubhead"/>
              <w:spacing w:after="60"/>
              <w:ind w:left="0"/>
              <w:rPr>
                <w:rFonts w:cs="Arial"/>
              </w:rPr>
            </w:pPr>
            <w:r w:rsidRPr="005D4222">
              <w:rPr>
                <w:rFonts w:cs="Arial"/>
              </w:rPr>
              <w:t>telehealth</w:t>
            </w:r>
          </w:p>
        </w:tc>
        <w:tc>
          <w:tcPr>
            <w:tcW w:w="7590" w:type="dxa"/>
            <w:gridSpan w:val="2"/>
            <w:tcBorders>
              <w:top w:val="single" w:sz="4" w:space="0" w:color="808080" w:themeColor="background1" w:themeShade="80"/>
              <w:left w:val="nil"/>
              <w:right w:val="nil"/>
            </w:tcBorders>
          </w:tcPr>
          <w:p w14:paraId="328868DC" w14:textId="77777777" w:rsidR="003D7F41" w:rsidRPr="005D4222" w:rsidRDefault="003D7F41" w:rsidP="00A53E8C">
            <w:pPr>
              <w:pStyle w:val="Body"/>
            </w:pPr>
            <w:r w:rsidRPr="005D4222">
              <w:t xml:space="preserve">Synchronous telehealth requires real-time interactive audio and video telecommunications. </w:t>
            </w:r>
          </w:p>
          <w:p w14:paraId="362B8AC7" w14:textId="77777777" w:rsidR="003D7F41" w:rsidRPr="005D4222" w:rsidRDefault="003D7F41" w:rsidP="00A53E8C">
            <w:pPr>
              <w:pStyle w:val="Body"/>
              <w:spacing w:after="60"/>
              <w:rPr>
                <w:rFonts w:cs="Arial"/>
                <w:szCs w:val="21"/>
              </w:rPr>
            </w:pPr>
            <w:r w:rsidRPr="005D4222">
              <w:t xml:space="preserve">Asynchronous telehealth, sometimes referred to as an “e-visit” or “virtual check-in,” is not in real-time, but still requires two-way interaction between the member and provider. </w:t>
            </w:r>
            <w:r w:rsidRPr="005D4222" w:rsidDel="00F17E6A">
              <w:t xml:space="preserve">For example, asynchronous telehealth </w:t>
            </w:r>
            <w:r w:rsidRPr="005D4222">
              <w:t xml:space="preserve">can occur through a patient portal, secure text messaging or email. </w:t>
            </w:r>
          </w:p>
        </w:tc>
      </w:tr>
    </w:tbl>
    <w:p w14:paraId="6F0F83D8" w14:textId="77777777" w:rsidR="003D7F41" w:rsidRPr="005D4222" w:rsidRDefault="003D7F41" w:rsidP="003D7F41"/>
    <w:tbl>
      <w:tblPr>
        <w:tblW w:w="9750" w:type="dxa"/>
        <w:tblLayout w:type="fixed"/>
        <w:tblLook w:val="04A0" w:firstRow="1" w:lastRow="0" w:firstColumn="1" w:lastColumn="0" w:noHBand="0" w:noVBand="1"/>
      </w:tblPr>
      <w:tblGrid>
        <w:gridCol w:w="2160"/>
        <w:gridCol w:w="7590"/>
      </w:tblGrid>
      <w:tr w:rsidR="003D7F41" w:rsidRPr="005D4222" w14:paraId="7E4A3D3E" w14:textId="77777777" w:rsidTr="00A53E8C">
        <w:tc>
          <w:tcPr>
            <w:tcW w:w="2160" w:type="dxa"/>
            <w:tcBorders>
              <w:left w:val="nil"/>
              <w:bottom w:val="single" w:sz="4" w:space="0" w:color="808080" w:themeColor="background1" w:themeShade="80"/>
              <w:right w:val="nil"/>
            </w:tcBorders>
            <w:tcMar>
              <w:top w:w="0" w:type="dxa"/>
              <w:left w:w="0" w:type="dxa"/>
              <w:bottom w:w="0" w:type="dxa"/>
              <w:right w:w="115" w:type="dxa"/>
            </w:tcMar>
          </w:tcPr>
          <w:p w14:paraId="4141EBDB" w14:textId="77777777" w:rsidR="003D7F41" w:rsidRPr="005D4222" w:rsidRDefault="003D7F41" w:rsidP="00A53E8C">
            <w:pPr>
              <w:pStyle w:val="MarginSubhead"/>
              <w:spacing w:before="0" w:after="60"/>
              <w:ind w:left="0"/>
              <w:rPr>
                <w:rFonts w:cs="Arial"/>
              </w:rPr>
            </w:pPr>
            <w:hyperlink r:id="rId269" w:anchor="Measure.scoring" w:history="1">
              <w:r w:rsidRPr="005D4222">
                <w:rPr>
                  <w:rStyle w:val="Hyperlink"/>
                  <w:rFonts w:cs="Arial"/>
                </w:rPr>
                <w:t>type</w:t>
              </w:r>
            </w:hyperlink>
          </w:p>
        </w:tc>
        <w:tc>
          <w:tcPr>
            <w:tcW w:w="7590" w:type="dxa"/>
            <w:tcBorders>
              <w:left w:val="nil"/>
              <w:bottom w:val="single" w:sz="4" w:space="0" w:color="808080" w:themeColor="background1" w:themeShade="80"/>
              <w:right w:val="nil"/>
            </w:tcBorders>
          </w:tcPr>
          <w:p w14:paraId="19020A1A" w14:textId="77777777" w:rsidR="003D7F41" w:rsidRPr="005D4222" w:rsidRDefault="003D7F41" w:rsidP="008715A8">
            <w:pPr>
              <w:pStyle w:val="Body"/>
              <w:spacing w:before="0" w:after="60"/>
            </w:pPr>
            <w:r w:rsidRPr="005D4222">
              <w:t>Indicates whether the measure is used to examine a process, an outcome over time, a patient-reported outcome, or a structure measure such as utilization.</w:t>
            </w:r>
          </w:p>
        </w:tc>
      </w:tr>
      <w:tr w:rsidR="003D7F41" w:rsidRPr="005D4222" w14:paraId="526D585E" w14:textId="77777777" w:rsidTr="00A53E8C">
        <w:tblPrEx>
          <w:tblBorders>
            <w:bottom w:val="dotted" w:sz="8" w:space="0" w:color="auto"/>
          </w:tblBorders>
        </w:tblPrEx>
        <w:tc>
          <w:tcPr>
            <w:tcW w:w="2160" w:type="dxa"/>
            <w:tcBorders>
              <w:top w:val="single" w:sz="4" w:space="0" w:color="808080" w:themeColor="background1" w:themeShade="80"/>
              <w:bottom w:val="single" w:sz="4" w:space="0" w:color="808080" w:themeColor="background1" w:themeShade="80"/>
            </w:tcBorders>
            <w:tcMar>
              <w:top w:w="0" w:type="dxa"/>
              <w:left w:w="0" w:type="dxa"/>
              <w:bottom w:w="0" w:type="dxa"/>
              <w:right w:w="115" w:type="dxa"/>
            </w:tcMar>
          </w:tcPr>
          <w:p w14:paraId="011C5D67" w14:textId="77777777" w:rsidR="003D7F41" w:rsidRPr="005D4222" w:rsidRDefault="003D7F41" w:rsidP="00A53E8C">
            <w:pPr>
              <w:pStyle w:val="MarginSubhead"/>
              <w:spacing w:after="60"/>
              <w:ind w:left="0"/>
              <w:rPr>
                <w:rFonts w:cs="Arial"/>
              </w:rPr>
            </w:pPr>
            <w:r w:rsidRPr="005D4222">
              <w:rPr>
                <w:rFonts w:cs="Arial"/>
              </w:rPr>
              <w:t>validity</w:t>
            </w:r>
          </w:p>
        </w:tc>
        <w:tc>
          <w:tcPr>
            <w:tcW w:w="7590" w:type="dxa"/>
            <w:tcBorders>
              <w:top w:val="single" w:sz="4" w:space="0" w:color="808080" w:themeColor="background1" w:themeShade="80"/>
              <w:bottom w:val="single" w:sz="4" w:space="0" w:color="808080" w:themeColor="background1" w:themeShade="80"/>
            </w:tcBorders>
          </w:tcPr>
          <w:p w14:paraId="3837DEDB" w14:textId="77777777" w:rsidR="003D7F41" w:rsidRPr="005D4222" w:rsidRDefault="003D7F41" w:rsidP="00A53E8C">
            <w:pPr>
              <w:pStyle w:val="Body"/>
              <w:spacing w:after="60"/>
            </w:pPr>
            <w:r w:rsidRPr="005D4222">
              <w:t>The extent to which data correspond to an actual event or documentation that supports a measure.</w:t>
            </w:r>
          </w:p>
        </w:tc>
      </w:tr>
      <w:tr w:rsidR="003D7F41" w:rsidRPr="005D4222" w14:paraId="53C7EEB8" w14:textId="77777777" w:rsidTr="00A53E8C">
        <w:tblPrEx>
          <w:tblBorders>
            <w:bottom w:val="dotted" w:sz="8" w:space="0" w:color="auto"/>
          </w:tblBorders>
        </w:tblPrEx>
        <w:tc>
          <w:tcPr>
            <w:tcW w:w="2160" w:type="dxa"/>
            <w:tcBorders>
              <w:top w:val="single" w:sz="4" w:space="0" w:color="808080" w:themeColor="background1" w:themeShade="80"/>
              <w:bottom w:val="nil"/>
            </w:tcBorders>
            <w:tcMar>
              <w:top w:w="0" w:type="dxa"/>
              <w:left w:w="0" w:type="dxa"/>
              <w:bottom w:w="0" w:type="dxa"/>
              <w:right w:w="115" w:type="dxa"/>
            </w:tcMar>
          </w:tcPr>
          <w:p w14:paraId="47E3E72A" w14:textId="77777777" w:rsidR="003D7F41" w:rsidRPr="005D4222" w:rsidRDefault="003D7F41" w:rsidP="00A53E8C">
            <w:pPr>
              <w:pStyle w:val="MarginSubhead"/>
              <w:spacing w:after="60"/>
              <w:ind w:left="0"/>
              <w:rPr>
                <w:rFonts w:cs="Arial"/>
              </w:rPr>
            </w:pPr>
            <w:r w:rsidRPr="005D4222">
              <w:rPr>
                <w:rFonts w:cs="Arial"/>
              </w:rPr>
              <w:t>value sets</w:t>
            </w:r>
          </w:p>
        </w:tc>
        <w:tc>
          <w:tcPr>
            <w:tcW w:w="7590" w:type="dxa"/>
            <w:tcBorders>
              <w:top w:val="single" w:sz="4" w:space="0" w:color="808080" w:themeColor="background1" w:themeShade="80"/>
              <w:bottom w:val="nil"/>
            </w:tcBorders>
          </w:tcPr>
          <w:p w14:paraId="0D280802" w14:textId="77777777" w:rsidR="003D7F41" w:rsidRPr="005D4222" w:rsidRDefault="003D7F41" w:rsidP="00A53E8C">
            <w:pPr>
              <w:pStyle w:val="Body"/>
            </w:pPr>
            <w:r w:rsidRPr="005D4222">
              <w:t xml:space="preserve">A value set contains two or more codes that meet criteria for a service or condition that is being measured. In the specifications, value set references are capitalized and underlined (e.g., </w:t>
            </w:r>
            <w:r w:rsidRPr="005D4222">
              <w:rPr>
                <w:u w:val="single"/>
              </w:rPr>
              <w:t>Essential Hypertension Value Set</w:t>
            </w:r>
            <w:r w:rsidRPr="005D4222">
              <w:t>). Organizations refer to the Value Set Directory (VSD) for codes in the value sets.</w:t>
            </w:r>
          </w:p>
        </w:tc>
      </w:tr>
    </w:tbl>
    <w:p w14:paraId="381DF950" w14:textId="77777777" w:rsidR="003D7F41" w:rsidRPr="005D4222" w:rsidRDefault="003D7F41" w:rsidP="007966CF">
      <w:pPr>
        <w:pStyle w:val="ReverseHead"/>
        <w:rPr>
          <w:rFonts w:cs="Arial"/>
          <w:bCs/>
          <w:szCs w:val="22"/>
        </w:rPr>
      </w:pPr>
      <w:r w:rsidRPr="005D4222">
        <w:t xml:space="preserve">Practitioner Types </w:t>
      </w:r>
    </w:p>
    <w:tbl>
      <w:tblPr>
        <w:tblW w:w="9750" w:type="dxa"/>
        <w:tblLayout w:type="fixed"/>
        <w:tblLook w:val="04A0" w:firstRow="1" w:lastRow="0" w:firstColumn="1" w:lastColumn="0" w:noHBand="0" w:noVBand="1"/>
      </w:tblPr>
      <w:tblGrid>
        <w:gridCol w:w="2160"/>
        <w:gridCol w:w="7590"/>
      </w:tblGrid>
      <w:tr w:rsidR="003D7F41" w:rsidRPr="005D4222" w14:paraId="5E0FB9E0" w14:textId="77777777" w:rsidTr="00F71679">
        <w:tc>
          <w:tcPr>
            <w:tcW w:w="2160" w:type="dxa"/>
            <w:tcBorders>
              <w:left w:val="nil"/>
              <w:bottom w:val="single" w:sz="4" w:space="0" w:color="808080" w:themeColor="background1" w:themeShade="80"/>
              <w:right w:val="nil"/>
            </w:tcBorders>
            <w:tcMar>
              <w:top w:w="0" w:type="dxa"/>
              <w:left w:w="0" w:type="dxa"/>
              <w:bottom w:w="0" w:type="dxa"/>
              <w:right w:w="115" w:type="dxa"/>
            </w:tcMar>
          </w:tcPr>
          <w:p w14:paraId="70F23E30" w14:textId="77777777" w:rsidR="003D7F41" w:rsidRPr="005D4222" w:rsidRDefault="003D7F41" w:rsidP="00A53E8C">
            <w:pPr>
              <w:pStyle w:val="MarginSubhead"/>
              <w:spacing w:after="60"/>
              <w:ind w:left="0"/>
              <w:rPr>
                <w:rFonts w:cs="Arial"/>
              </w:rPr>
            </w:pPr>
            <w:r w:rsidRPr="005D4222">
              <w:t>clinical pharmacist</w:t>
            </w:r>
          </w:p>
        </w:tc>
        <w:tc>
          <w:tcPr>
            <w:tcW w:w="7590" w:type="dxa"/>
            <w:tcBorders>
              <w:left w:val="nil"/>
              <w:bottom w:val="single" w:sz="4" w:space="0" w:color="808080" w:themeColor="background1" w:themeShade="80"/>
              <w:right w:val="nil"/>
            </w:tcBorders>
          </w:tcPr>
          <w:p w14:paraId="1848A642" w14:textId="77777777" w:rsidR="003D7F41" w:rsidRPr="005D4222" w:rsidRDefault="003D7F41" w:rsidP="00A53E8C">
            <w:pPr>
              <w:pStyle w:val="Body"/>
              <w:spacing w:after="60"/>
            </w:pPr>
            <w:r w:rsidRPr="005D4222">
              <w:t>A pharmacist with extensive education in the biomedical, pharmaceutical, sociobehavioral and clinical sciences. Clinical pharmacists are experts in the therapeutic use of medications and are a primary source of scientifically valid information and advice regarding the safe, appropriate and cost-effective use of medications.</w:t>
            </w:r>
          </w:p>
          <w:p w14:paraId="361EFE54" w14:textId="77777777" w:rsidR="003D7F41" w:rsidRPr="005D4222" w:rsidRDefault="003D7F41" w:rsidP="004C5692">
            <w:pPr>
              <w:pStyle w:val="Body"/>
              <w:spacing w:before="120" w:after="60"/>
              <w:rPr>
                <w:rFonts w:cs="Arial"/>
                <w:szCs w:val="21"/>
              </w:rPr>
            </w:pPr>
            <w:r w:rsidRPr="005D4222">
              <w:t>Most clinical pharmacists have a Doctor of Pharmacy (PharmD) degree, and many have completed one or more years of post-graduate training (e.g., a general and/or specialty pharmacy residency). In some states, clinical pharmacists have prescriptive authority.</w:t>
            </w:r>
          </w:p>
        </w:tc>
      </w:tr>
      <w:tr w:rsidR="003D7F41" w:rsidRPr="005D4222" w14:paraId="72E3D720" w14:textId="77777777" w:rsidTr="00A53E8C">
        <w:tc>
          <w:tcPr>
            <w:tcW w:w="2160" w:type="dxa"/>
            <w:tcBorders>
              <w:top w:val="single" w:sz="4" w:space="0" w:color="808080" w:themeColor="background1" w:themeShade="80"/>
              <w:left w:val="nil"/>
              <w:right w:val="nil"/>
            </w:tcBorders>
            <w:tcMar>
              <w:top w:w="0" w:type="dxa"/>
              <w:left w:w="0" w:type="dxa"/>
              <w:bottom w:w="0" w:type="dxa"/>
              <w:right w:w="115" w:type="dxa"/>
            </w:tcMar>
          </w:tcPr>
          <w:p w14:paraId="1C5AACA8" w14:textId="77777777" w:rsidR="003D7F41" w:rsidRPr="005D4222" w:rsidRDefault="003D7F41" w:rsidP="00A53E8C">
            <w:pPr>
              <w:pStyle w:val="MarginSubhead"/>
              <w:spacing w:after="60"/>
              <w:ind w:left="0"/>
            </w:pPr>
            <w:r w:rsidRPr="005D4222">
              <w:t>mental health provider</w:t>
            </w:r>
          </w:p>
        </w:tc>
        <w:tc>
          <w:tcPr>
            <w:tcW w:w="7590" w:type="dxa"/>
            <w:tcBorders>
              <w:top w:val="single" w:sz="4" w:space="0" w:color="808080" w:themeColor="background1" w:themeShade="80"/>
              <w:left w:val="nil"/>
              <w:right w:val="nil"/>
            </w:tcBorders>
          </w:tcPr>
          <w:p w14:paraId="5D9E5A2F" w14:textId="77777777" w:rsidR="003D7F41" w:rsidRPr="005D4222" w:rsidRDefault="003D7F41" w:rsidP="00A53E8C">
            <w:pPr>
              <w:pStyle w:val="Body"/>
              <w:spacing w:after="60"/>
            </w:pPr>
            <w:r w:rsidRPr="005D4222">
              <w:t>A provider who delivers mental health services and meets any of the following criteria:</w:t>
            </w:r>
          </w:p>
          <w:p w14:paraId="1EF69CE9" w14:textId="77777777" w:rsidR="003D7F41" w:rsidRPr="005D4222" w:rsidRDefault="003D7F41" w:rsidP="003D7F41">
            <w:pPr>
              <w:pStyle w:val="Bullet"/>
              <w:numPr>
                <w:ilvl w:val="0"/>
                <w:numId w:val="4"/>
              </w:numPr>
              <w:ind w:left="576" w:hanging="216"/>
            </w:pPr>
            <w:r w:rsidRPr="005D4222">
              <w:t>An MD or doctor of osteopathy (DO) who is certified as a psychiatrist or child psychiatrist by the American Medical Specialties Board of Psychiatry and Neurology or by the American Osteopathic Board of Neurology and Psychiatry; or, if not certified, who successfully completed an accredited program of graduate medical or osteopathic education in psychiatry or child psychiatry and is licensed to practice patient care psychiatry or child psychiatry, if required by the state of practice.</w:t>
            </w:r>
          </w:p>
          <w:p w14:paraId="75EE5655" w14:textId="77777777" w:rsidR="003D7F41" w:rsidRPr="005D4222" w:rsidRDefault="003D7F41" w:rsidP="003D7F41">
            <w:pPr>
              <w:pStyle w:val="Bullet"/>
              <w:numPr>
                <w:ilvl w:val="0"/>
                <w:numId w:val="4"/>
              </w:numPr>
              <w:ind w:left="576" w:hanging="216"/>
            </w:pPr>
            <w:r w:rsidRPr="005D4222">
              <w:t>An individual who is licensed as a psychologist in their state of practice, if required by the state of practice.</w:t>
            </w:r>
          </w:p>
          <w:p w14:paraId="5372E3DA" w14:textId="77777777" w:rsidR="003D7F41" w:rsidRPr="005D4222" w:rsidRDefault="003D7F41" w:rsidP="003D7F41">
            <w:pPr>
              <w:pStyle w:val="Bullet"/>
              <w:numPr>
                <w:ilvl w:val="0"/>
                <w:numId w:val="4"/>
              </w:numPr>
              <w:ind w:left="576" w:hanging="216"/>
            </w:pPr>
            <w:r w:rsidRPr="005D4222">
              <w:t>An individual who is certified in clinical social work by the American Board of Examiners; who is listed on the National Association of Social Worker’s Clinical Register; or who has a master’s degree in social work and is licensed or certified to practice as a social worker, if required by the state of practice.</w:t>
            </w:r>
          </w:p>
          <w:p w14:paraId="799C0E77" w14:textId="77777777" w:rsidR="003D7F41" w:rsidRPr="005D4222" w:rsidRDefault="003D7F41" w:rsidP="003D7F41">
            <w:pPr>
              <w:pStyle w:val="Bullet"/>
              <w:numPr>
                <w:ilvl w:val="0"/>
                <w:numId w:val="4"/>
              </w:numPr>
              <w:ind w:left="576" w:hanging="216"/>
              <w:rPr>
                <w:kern w:val="24"/>
                <w:szCs w:val="20"/>
              </w:rPr>
            </w:pPr>
            <w:r w:rsidRPr="005D4222">
              <w:t>A registered nurse (RN) who is certified by the American Nurses Credentialing Center (a subsidiary of the American Nurses Association) as a psychiatric nurse or mental health clinical nurse specialist, or who has a master’s degree in nursing with a specialization in psychiatric/ mental health and 2 years of supervised clinical experience, and is licensed to practice as a psychiatric or mental health nurse if required by the state of practice.</w:t>
            </w:r>
          </w:p>
        </w:tc>
      </w:tr>
    </w:tbl>
    <w:p w14:paraId="65E041BB" w14:textId="77777777" w:rsidR="003D7F41" w:rsidRPr="005D4222" w:rsidRDefault="003D7F41" w:rsidP="003D7F41">
      <w:pPr>
        <w:spacing w:after="160" w:line="259" w:lineRule="auto"/>
      </w:pPr>
      <w:r w:rsidRPr="005D4222">
        <w:br w:type="page"/>
      </w:r>
    </w:p>
    <w:tbl>
      <w:tblPr>
        <w:tblW w:w="9750" w:type="dxa"/>
        <w:tblLayout w:type="fixed"/>
        <w:tblLook w:val="04A0" w:firstRow="1" w:lastRow="0" w:firstColumn="1" w:lastColumn="0" w:noHBand="0" w:noVBand="1"/>
      </w:tblPr>
      <w:tblGrid>
        <w:gridCol w:w="2160"/>
        <w:gridCol w:w="7590"/>
      </w:tblGrid>
      <w:tr w:rsidR="003D7F41" w:rsidRPr="005D4222" w14:paraId="2488936C" w14:textId="77777777" w:rsidTr="00A95F27">
        <w:trPr>
          <w:trHeight w:val="10674"/>
        </w:trPr>
        <w:tc>
          <w:tcPr>
            <w:tcW w:w="2160" w:type="dxa"/>
            <w:tcMar>
              <w:top w:w="0" w:type="dxa"/>
              <w:left w:w="0" w:type="dxa"/>
              <w:bottom w:w="0" w:type="dxa"/>
              <w:right w:w="115" w:type="dxa"/>
            </w:tcMar>
          </w:tcPr>
          <w:p w14:paraId="674685B0" w14:textId="77777777" w:rsidR="003D7F41" w:rsidRPr="005D4222" w:rsidRDefault="003D7F41" w:rsidP="00A53E8C">
            <w:pPr>
              <w:pStyle w:val="MarginSubhead"/>
              <w:spacing w:after="60"/>
              <w:ind w:left="0"/>
            </w:pPr>
          </w:p>
        </w:tc>
        <w:tc>
          <w:tcPr>
            <w:tcW w:w="7590" w:type="dxa"/>
          </w:tcPr>
          <w:p w14:paraId="17839A37" w14:textId="77777777" w:rsidR="003D7F41" w:rsidRPr="005D4222" w:rsidRDefault="003D7F41" w:rsidP="003D7F41">
            <w:pPr>
              <w:pStyle w:val="Bullet"/>
              <w:numPr>
                <w:ilvl w:val="0"/>
                <w:numId w:val="4"/>
              </w:numPr>
              <w:spacing w:before="0"/>
              <w:ind w:left="576" w:hanging="216"/>
              <w:rPr>
                <w:bCs/>
              </w:rPr>
            </w:pPr>
            <w:r w:rsidRPr="005D4222">
              <w:t>An individual (normally with a master’s or a doctoral degree in marital and family therapy and at least 2 years of supervised clinical experience) who practices as a marital and family therapist, and is licensed as a certified counselor by the state of practice, or, if licensure or certification is not required by the state of practice, who is eligible for clinical membership in the American Association for Marriage and Family Therapy.</w:t>
            </w:r>
          </w:p>
          <w:p w14:paraId="2EBFEB53" w14:textId="77777777" w:rsidR="003D7F41" w:rsidRPr="005D4222" w:rsidRDefault="003D7F41" w:rsidP="003D7F41">
            <w:pPr>
              <w:pStyle w:val="Bullet"/>
              <w:numPr>
                <w:ilvl w:val="0"/>
                <w:numId w:val="4"/>
              </w:numPr>
              <w:ind w:left="576" w:hanging="216"/>
            </w:pPr>
            <w:r w:rsidRPr="005D4222">
              <w:t>An individual (normally with a master’s or doctoral degree in counseling and at least 2 years of supervised clinical experience) who practices as a professional counselor, and is licensed or certified to do so by the state of practice, or, if licensure or certification is not required by the state of practice, is a National Certified Counselor with a Specialty Certification in Clinical Mental Health Counseling from the National Board for Certified Counselors.</w:t>
            </w:r>
          </w:p>
          <w:p w14:paraId="13B3A399" w14:textId="77777777" w:rsidR="003D7F41" w:rsidRPr="005D4222" w:rsidRDefault="003D7F41" w:rsidP="003D7F41">
            <w:pPr>
              <w:pStyle w:val="Bullet"/>
              <w:numPr>
                <w:ilvl w:val="0"/>
                <w:numId w:val="4"/>
              </w:numPr>
              <w:ind w:left="576" w:hanging="216"/>
            </w:pPr>
            <w:r w:rsidRPr="005D4222">
              <w:t>A physician assistant who is certified to practice psychiatry by the National Commission on Certification of Physician Assistants.</w:t>
            </w:r>
          </w:p>
          <w:p w14:paraId="6D97F341" w14:textId="77777777" w:rsidR="003D7F41" w:rsidRPr="005D4222" w:rsidRDefault="003D7F41" w:rsidP="003D7F41">
            <w:pPr>
              <w:pStyle w:val="Bullet"/>
              <w:numPr>
                <w:ilvl w:val="0"/>
                <w:numId w:val="4"/>
              </w:numPr>
              <w:ind w:left="576" w:hanging="216"/>
            </w:pPr>
            <w:r w:rsidRPr="005D4222">
              <w:t>A certified community mental health center (CMHC), or the comparable term (e.g., behavioral health organization, mental health agency, behavioral health agency) used in the state of location, or a Certified Community Behavioral Health Clinic (CCBHC).</w:t>
            </w:r>
          </w:p>
          <w:p w14:paraId="795BFA2C" w14:textId="77777777" w:rsidR="003D7F41" w:rsidRPr="005D4222" w:rsidRDefault="003D7F41" w:rsidP="00897953">
            <w:pPr>
              <w:pStyle w:val="Dash"/>
              <w:numPr>
                <w:ilvl w:val="0"/>
                <w:numId w:val="0"/>
              </w:numPr>
              <w:spacing w:before="120"/>
              <w:ind w:left="576"/>
            </w:pPr>
            <w:r w:rsidRPr="005D4222">
              <w:t>Only authorized CMHCs are considered mental health providers. To be authorized as a CMHC, an entity must meet one of the following criteria:</w:t>
            </w:r>
          </w:p>
          <w:p w14:paraId="58996A09" w14:textId="1203868A" w:rsidR="003D7F41" w:rsidRPr="005D4222" w:rsidRDefault="003D7F41" w:rsidP="009A043E">
            <w:pPr>
              <w:pStyle w:val="Dash"/>
            </w:pPr>
            <w:r w:rsidRPr="005D4222">
              <w:t xml:space="preserve">The entity has been certified by CMS to meet the conditions of participation (CoPs) that community mental health centers (CMHCs) must meet in order to participate in the Medicare program, as defined in the Code of Federal Regulations Title 42. CMS defines a CMHC as an entity that meets applicable licensing or certification requirements for CMHCs in the State in which it is located and provides the set of services specified in section 1913(c)(1) of the Public Health Service Act (PHS Act). </w:t>
            </w:r>
          </w:p>
          <w:p w14:paraId="1085C572" w14:textId="77777777" w:rsidR="003D7F41" w:rsidRPr="005D4222" w:rsidRDefault="003D7F41" w:rsidP="009A043E">
            <w:pPr>
              <w:pStyle w:val="Dash"/>
            </w:pPr>
            <w:r w:rsidRPr="005D4222">
              <w:t>The entity has been licensed, operated, authorized, or otherwise recognized as a CMHC by a state or county in which it is located.</w:t>
            </w:r>
          </w:p>
          <w:p w14:paraId="76F468A6" w14:textId="77777777" w:rsidR="003D7F41" w:rsidRPr="005D4222" w:rsidRDefault="003D7F41" w:rsidP="00897953">
            <w:pPr>
              <w:pStyle w:val="Dash"/>
              <w:numPr>
                <w:ilvl w:val="0"/>
                <w:numId w:val="0"/>
              </w:numPr>
              <w:spacing w:before="120"/>
              <w:ind w:left="576"/>
            </w:pPr>
            <w:r w:rsidRPr="005D4222">
              <w:t>Only authorized CCBHCs are considered mental health providers. To be authorized as a CCBHC, an entity must meet one of the following criteria:</w:t>
            </w:r>
          </w:p>
          <w:p w14:paraId="195F9807" w14:textId="44B86F94" w:rsidR="003D7F41" w:rsidRPr="005D4222" w:rsidRDefault="003D7F41" w:rsidP="009A043E">
            <w:pPr>
              <w:pStyle w:val="Dash"/>
              <w:rPr>
                <w:kern w:val="24"/>
              </w:rPr>
            </w:pPr>
            <w:r w:rsidRPr="005D4222">
              <w:t>Has been certified by a State Medicaid agency as meeting criteria established by the Secretary for participation in the Medicaid CCBHC demonstration program pursuant to Protecting Access to Medicare Act</w:t>
            </w:r>
            <w:r w:rsidR="005E609A" w:rsidRPr="005D4222">
              <w:t>.</w:t>
            </w:r>
          </w:p>
          <w:p w14:paraId="0357F16E" w14:textId="77777777" w:rsidR="003D7F41" w:rsidRPr="005D4222" w:rsidRDefault="003D7F41" w:rsidP="009A043E">
            <w:pPr>
              <w:pStyle w:val="Dash"/>
            </w:pPr>
            <w:r w:rsidRPr="005D4222">
              <w:t>§ 223(a) (42 U.S.C. § 1396a note); or as meeting criteria within the State’s Medicaid Plan to be considered a CCBHC.</w:t>
            </w:r>
          </w:p>
          <w:p w14:paraId="5FD5B4DE" w14:textId="77777777" w:rsidR="003D7F41" w:rsidRPr="005D4222" w:rsidRDefault="003D7F41" w:rsidP="009A043E">
            <w:pPr>
              <w:pStyle w:val="Dash"/>
            </w:pPr>
            <w:r w:rsidRPr="005D4222">
              <w:t>Has been recognized by the Substance Abuse and Mental Health Services Administration, through the award of grant funds or otherwise, as a CCBHC that meets certification criteria of a CCBHC.</w:t>
            </w:r>
          </w:p>
        </w:tc>
      </w:tr>
    </w:tbl>
    <w:p w14:paraId="268C69DB" w14:textId="77777777" w:rsidR="003D7F41" w:rsidRPr="005D4222" w:rsidRDefault="003D7F41" w:rsidP="003D7F41">
      <w:pPr>
        <w:spacing w:after="160" w:line="259" w:lineRule="auto"/>
      </w:pPr>
      <w:r w:rsidRPr="005D4222">
        <w:br w:type="page"/>
      </w:r>
    </w:p>
    <w:tbl>
      <w:tblPr>
        <w:tblW w:w="9750" w:type="dxa"/>
        <w:tblLayout w:type="fixed"/>
        <w:tblLook w:val="04A0" w:firstRow="1" w:lastRow="0" w:firstColumn="1" w:lastColumn="0" w:noHBand="0" w:noVBand="1"/>
      </w:tblPr>
      <w:tblGrid>
        <w:gridCol w:w="2160"/>
        <w:gridCol w:w="7590"/>
      </w:tblGrid>
      <w:tr w:rsidR="003D7F41" w:rsidRPr="005D4222" w14:paraId="0756CC14" w14:textId="77777777" w:rsidTr="00A53E8C">
        <w:tc>
          <w:tcPr>
            <w:tcW w:w="2160" w:type="dxa"/>
            <w:tcBorders>
              <w:left w:val="nil"/>
              <w:bottom w:val="single" w:sz="4" w:space="0" w:color="808080" w:themeColor="background1" w:themeShade="80"/>
              <w:right w:val="nil"/>
            </w:tcBorders>
            <w:tcMar>
              <w:top w:w="0" w:type="dxa"/>
              <w:left w:w="0" w:type="dxa"/>
              <w:bottom w:w="0" w:type="dxa"/>
              <w:right w:w="115" w:type="dxa"/>
            </w:tcMar>
          </w:tcPr>
          <w:p w14:paraId="73C5C54E" w14:textId="77777777" w:rsidR="003D7F41" w:rsidRPr="005D4222" w:rsidRDefault="003D7F41" w:rsidP="00A53E8C">
            <w:pPr>
              <w:pStyle w:val="MarginSubhead"/>
              <w:spacing w:before="0" w:after="60"/>
              <w:ind w:left="0"/>
            </w:pPr>
            <w:r w:rsidRPr="005D4222">
              <w:lastRenderedPageBreak/>
              <w:t>OB/GYN and other prenatal care practitioner</w:t>
            </w:r>
          </w:p>
        </w:tc>
        <w:tc>
          <w:tcPr>
            <w:tcW w:w="7590" w:type="dxa"/>
            <w:tcBorders>
              <w:left w:val="nil"/>
              <w:bottom w:val="single" w:sz="4" w:space="0" w:color="808080" w:themeColor="background1" w:themeShade="80"/>
              <w:right w:val="nil"/>
            </w:tcBorders>
          </w:tcPr>
          <w:p w14:paraId="052F3DDF" w14:textId="77777777" w:rsidR="003D7F41" w:rsidRPr="005D4222" w:rsidRDefault="003D7F41" w:rsidP="00A53E8C">
            <w:pPr>
              <w:pStyle w:val="Body"/>
              <w:spacing w:before="0" w:after="60"/>
            </w:pPr>
            <w:r w:rsidRPr="005D4222">
              <w:t>Includes:</w:t>
            </w:r>
          </w:p>
          <w:p w14:paraId="0065434C" w14:textId="77777777" w:rsidR="003D7F41" w:rsidRPr="005D4222" w:rsidRDefault="003D7F41" w:rsidP="003D7F41">
            <w:pPr>
              <w:pStyle w:val="Bullet"/>
              <w:numPr>
                <w:ilvl w:val="0"/>
                <w:numId w:val="4"/>
              </w:numPr>
              <w:tabs>
                <w:tab w:val="left" w:pos="576"/>
              </w:tabs>
              <w:ind w:left="576" w:hanging="216"/>
              <w:rPr>
                <w:kern w:val="24"/>
                <w:szCs w:val="20"/>
              </w:rPr>
            </w:pPr>
            <w:r w:rsidRPr="005D4222">
              <w:rPr>
                <w:kern w:val="24"/>
                <w:szCs w:val="20"/>
              </w:rPr>
              <w:t>Physicians certified as obstetricians or gynecologists by the American Medical Specialties Board of Obstetrics or Gynecology or the American Osteopathic Association; or, if not certified, who successfully completed an accredited program of graduate medical or osteopathic education in obstetrics and gynecology.</w:t>
            </w:r>
          </w:p>
          <w:p w14:paraId="47D35F53" w14:textId="77777777" w:rsidR="003D7F41" w:rsidRPr="005D4222" w:rsidRDefault="003D7F41" w:rsidP="003D7F41">
            <w:pPr>
              <w:pStyle w:val="Bullet"/>
              <w:numPr>
                <w:ilvl w:val="0"/>
                <w:numId w:val="4"/>
              </w:numPr>
              <w:tabs>
                <w:tab w:val="left" w:pos="576"/>
              </w:tabs>
              <w:spacing w:after="60"/>
              <w:ind w:left="576" w:hanging="216"/>
              <w:rPr>
                <w:kern w:val="24"/>
                <w:szCs w:val="20"/>
              </w:rPr>
            </w:pPr>
            <w:r w:rsidRPr="005D4222">
              <w:rPr>
                <w:kern w:val="24"/>
                <w:szCs w:val="20"/>
              </w:rPr>
              <w:t>Certified nurse midwives, nurse practitioners or physician assistants who deliver prenatal care services in a specialty setting (under the direction of an OB/GYN certified or accredited provider).</w:t>
            </w:r>
          </w:p>
          <w:p w14:paraId="12FCCD25" w14:textId="77777777" w:rsidR="003D7F41" w:rsidRPr="005D4222" w:rsidRDefault="003D7F41" w:rsidP="003D7F41">
            <w:pPr>
              <w:pStyle w:val="Bullet"/>
              <w:numPr>
                <w:ilvl w:val="0"/>
                <w:numId w:val="4"/>
              </w:numPr>
              <w:tabs>
                <w:tab w:val="left" w:pos="576"/>
              </w:tabs>
              <w:spacing w:after="60"/>
              <w:ind w:left="576" w:hanging="216"/>
              <w:rPr>
                <w:kern w:val="24"/>
                <w:szCs w:val="20"/>
              </w:rPr>
            </w:pPr>
            <w:r w:rsidRPr="005D4222">
              <w:rPr>
                <w:kern w:val="24"/>
                <w:szCs w:val="20"/>
              </w:rPr>
              <w:t>Direct entry midwives who deliver prenatal and postpartum services, in a specialty setting (under the direction of an OB/GYN certified or accredited provider) and are licensed in their state of practice.</w:t>
            </w:r>
          </w:p>
        </w:tc>
      </w:tr>
      <w:tr w:rsidR="003D7F41" w:rsidRPr="005D4222" w14:paraId="4C6FB1BC"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tcPr>
          <w:p w14:paraId="27DFC142" w14:textId="77777777" w:rsidR="003D7F41" w:rsidRPr="005D4222" w:rsidRDefault="003D7F41" w:rsidP="00A53E8C">
            <w:pPr>
              <w:pStyle w:val="MarginSubhead"/>
              <w:spacing w:after="60"/>
              <w:ind w:left="0"/>
            </w:pPr>
            <w:r w:rsidRPr="005D4222">
              <w:t>ongoing care provider</w:t>
            </w:r>
          </w:p>
        </w:tc>
        <w:tc>
          <w:tcPr>
            <w:tcW w:w="7590" w:type="dxa"/>
            <w:tcBorders>
              <w:top w:val="single" w:sz="4" w:space="0" w:color="808080" w:themeColor="background1" w:themeShade="80"/>
              <w:left w:val="nil"/>
              <w:bottom w:val="single" w:sz="4" w:space="0" w:color="808080" w:themeColor="background1" w:themeShade="80"/>
              <w:right w:val="nil"/>
            </w:tcBorders>
          </w:tcPr>
          <w:p w14:paraId="4E05B7F9" w14:textId="77777777" w:rsidR="003D7F41" w:rsidRPr="005D4222" w:rsidRDefault="003D7F41" w:rsidP="00A53E8C">
            <w:pPr>
              <w:pStyle w:val="Body"/>
              <w:spacing w:after="60"/>
            </w:pPr>
            <w:r w:rsidRPr="005D4222">
              <w:t>A practitioner who assumes responsibility for the member’s care.</w:t>
            </w:r>
          </w:p>
        </w:tc>
      </w:tr>
      <w:tr w:rsidR="003D7F41" w:rsidRPr="005D4222" w14:paraId="0E912358" w14:textId="77777777" w:rsidTr="00A53E8C">
        <w:tc>
          <w:tcPr>
            <w:tcW w:w="2160" w:type="dxa"/>
            <w:tcBorders>
              <w:top w:val="single" w:sz="4" w:space="0" w:color="808080" w:themeColor="background1" w:themeShade="80"/>
              <w:left w:val="nil"/>
              <w:right w:val="nil"/>
            </w:tcBorders>
            <w:tcMar>
              <w:top w:w="0" w:type="dxa"/>
              <w:left w:w="0" w:type="dxa"/>
              <w:bottom w:w="0" w:type="dxa"/>
              <w:right w:w="115" w:type="dxa"/>
            </w:tcMar>
          </w:tcPr>
          <w:p w14:paraId="740250CF" w14:textId="77777777" w:rsidR="003D7F41" w:rsidRPr="005D4222" w:rsidRDefault="003D7F41" w:rsidP="00A53E8C">
            <w:pPr>
              <w:pStyle w:val="MarginSubhead"/>
              <w:spacing w:after="60"/>
              <w:ind w:left="0"/>
            </w:pPr>
            <w:r w:rsidRPr="005D4222">
              <w:t>PCP</w:t>
            </w:r>
          </w:p>
        </w:tc>
        <w:tc>
          <w:tcPr>
            <w:tcW w:w="7590" w:type="dxa"/>
            <w:tcBorders>
              <w:top w:val="single" w:sz="4" w:space="0" w:color="808080" w:themeColor="background1" w:themeShade="80"/>
              <w:left w:val="nil"/>
              <w:right w:val="nil"/>
            </w:tcBorders>
          </w:tcPr>
          <w:p w14:paraId="17E31B66" w14:textId="77777777" w:rsidR="003D7F41" w:rsidRPr="005D4222" w:rsidRDefault="003D7F41" w:rsidP="00A53E8C">
            <w:pPr>
              <w:pStyle w:val="Body"/>
              <w:spacing w:after="60"/>
            </w:pPr>
            <w:r w:rsidRPr="005D4222">
              <w:t xml:space="preserve">Primary care practitioner. A physician or nonphysician (e.g., nurse practitioner, physician assistant, certified nurse midwife) who offers primary care medical services. </w:t>
            </w:r>
          </w:p>
          <w:p w14:paraId="7E9ED7D1" w14:textId="77777777" w:rsidR="003D7F41" w:rsidRPr="005D4222" w:rsidRDefault="003D7F41" w:rsidP="00D8735B">
            <w:pPr>
              <w:pStyle w:val="Body"/>
              <w:spacing w:before="120" w:after="60"/>
            </w:pPr>
            <w:r w:rsidRPr="005D4222">
              <w:t>Licensed practical nurses and registered nurses are not considered PCPs.</w:t>
            </w:r>
          </w:p>
          <w:p w14:paraId="2ECA5CDF" w14:textId="77777777" w:rsidR="003D7F41" w:rsidRPr="005D4222" w:rsidRDefault="003D7F41" w:rsidP="00D8735B">
            <w:pPr>
              <w:pStyle w:val="Body"/>
              <w:spacing w:before="120" w:after="60"/>
            </w:pPr>
            <w:r w:rsidRPr="005D4222">
              <w:t>Only certified Federally Qualified Health Centers (FQHC) are considered PCPs. This must be reviewed and approved by an auditor. To be certified as an FQHC, an entity must meet any one of the following criteria:</w:t>
            </w:r>
          </w:p>
          <w:p w14:paraId="245998E0" w14:textId="77777777" w:rsidR="003D7F41" w:rsidRPr="005D4222" w:rsidRDefault="003D7F41" w:rsidP="009A043E">
            <w:pPr>
              <w:pStyle w:val="Bullet"/>
            </w:pPr>
            <w:r w:rsidRPr="005D4222">
              <w:t xml:space="preserve">Is receiving a grant under Section 330 of the Public Health Service (PHS) Act (42 United States Code Section 254a) or is receiving funding from such a grant and meets other requirements. </w:t>
            </w:r>
          </w:p>
          <w:p w14:paraId="1C4A9641" w14:textId="77777777" w:rsidR="003D7F41" w:rsidRPr="005D4222" w:rsidRDefault="003D7F41" w:rsidP="009A043E">
            <w:pPr>
              <w:pStyle w:val="Bullet"/>
            </w:pPr>
            <w:r w:rsidRPr="005D4222">
              <w:t xml:space="preserve">Is not receiving a grant under Section 330 of the PHS Act but is determined by the Secretary of the Department of Health &amp; Human Services (HHS) to meet the requirements for receiving such a grant (qualifies as a “FQHC look-alike”) based on the recommendation of the Health Resources and Services Administration. </w:t>
            </w:r>
          </w:p>
          <w:p w14:paraId="7472FD06" w14:textId="77777777" w:rsidR="003D7F41" w:rsidRPr="005D4222" w:rsidRDefault="003D7F41" w:rsidP="009A043E">
            <w:pPr>
              <w:pStyle w:val="Bullet"/>
            </w:pPr>
            <w:r w:rsidRPr="005D4222">
              <w:t xml:space="preserve">Was treated by the Secretary of HHS for purposes of Medicare Part B as a comprehensive federally funded health center as of January 1, 1990. </w:t>
            </w:r>
          </w:p>
          <w:p w14:paraId="7A61BEF8" w14:textId="3C06449D" w:rsidR="003D7F41" w:rsidRPr="005D4222" w:rsidRDefault="003D7F41" w:rsidP="009A043E">
            <w:pPr>
              <w:pStyle w:val="Bullet"/>
            </w:pPr>
            <w:r w:rsidRPr="005D4222">
              <w:t xml:space="preserve">Is operating as an outpatient health program or facility of a tribe or tribal organization under the Indian Self Determination Act or as an urban Indian organization receiving funds under Title V of the Indian Health Care Improvement Act as of October 1991. </w:t>
            </w:r>
          </w:p>
          <w:p w14:paraId="12E83099" w14:textId="77777777" w:rsidR="003D7F41" w:rsidRPr="005D4222" w:rsidRDefault="003D7F41" w:rsidP="003D7F41">
            <w:pPr>
              <w:pStyle w:val="Bullet"/>
              <w:numPr>
                <w:ilvl w:val="0"/>
                <w:numId w:val="4"/>
              </w:numPr>
              <w:tabs>
                <w:tab w:val="left" w:pos="576"/>
              </w:tabs>
              <w:ind w:left="576" w:hanging="216"/>
              <w:rPr>
                <w:kern w:val="24"/>
                <w:szCs w:val="20"/>
              </w:rPr>
            </w:pPr>
            <w:r w:rsidRPr="005D4222">
              <w:rPr>
                <w:kern w:val="24"/>
                <w:szCs w:val="20"/>
              </w:rPr>
              <w:t xml:space="preserve">For certification as an FQHC, the entity must meet all of the following criteria (in addition to one of the criteria above): </w:t>
            </w:r>
          </w:p>
          <w:p w14:paraId="709D24D6" w14:textId="77777777" w:rsidR="003D7F41" w:rsidRPr="005D4222" w:rsidRDefault="003D7F41" w:rsidP="00A53E8C">
            <w:pPr>
              <w:pStyle w:val="Dash"/>
              <w:tabs>
                <w:tab w:val="left" w:pos="792"/>
              </w:tabs>
              <w:rPr>
                <w:kern w:val="24"/>
              </w:rPr>
            </w:pPr>
            <w:r w:rsidRPr="005D4222">
              <w:rPr>
                <w:kern w:val="24"/>
              </w:rPr>
              <w:t>Provide comprehensive services and have an ongoing quality assurance program.</w:t>
            </w:r>
          </w:p>
          <w:p w14:paraId="579B1BFA" w14:textId="77777777" w:rsidR="003D7F41" w:rsidRPr="005D4222" w:rsidRDefault="003D7F41" w:rsidP="00A53E8C">
            <w:pPr>
              <w:pStyle w:val="Dash"/>
              <w:tabs>
                <w:tab w:val="left" w:pos="792"/>
              </w:tabs>
              <w:rPr>
                <w:kern w:val="24"/>
              </w:rPr>
            </w:pPr>
            <w:r w:rsidRPr="005D4222">
              <w:rPr>
                <w:kern w:val="24"/>
              </w:rPr>
              <w:t>Meet other health and safety requirements.</w:t>
            </w:r>
          </w:p>
          <w:p w14:paraId="748D37EF" w14:textId="77777777" w:rsidR="003D7F41" w:rsidRPr="005D4222" w:rsidRDefault="003D7F41" w:rsidP="00A53E8C">
            <w:pPr>
              <w:pStyle w:val="Dash"/>
              <w:tabs>
                <w:tab w:val="left" w:pos="792"/>
              </w:tabs>
              <w:rPr>
                <w:kern w:val="24"/>
              </w:rPr>
            </w:pPr>
            <w:r w:rsidRPr="005D4222">
              <w:rPr>
                <w:kern w:val="24"/>
              </w:rPr>
              <w:t>Not be concurrently approved as a Rural Health Clinic (RHC).</w:t>
            </w:r>
          </w:p>
          <w:p w14:paraId="68A7BE2A" w14:textId="77777777" w:rsidR="003D7F41" w:rsidRPr="005D4222" w:rsidRDefault="003D7F41" w:rsidP="005D6173">
            <w:pPr>
              <w:pStyle w:val="Body"/>
              <w:numPr>
                <w:ilvl w:val="0"/>
                <w:numId w:val="177"/>
              </w:numPr>
              <w:spacing w:before="40" w:after="40"/>
              <w:ind w:left="1004" w:hanging="180"/>
            </w:pPr>
            <w:r w:rsidRPr="005D4222">
              <w:t xml:space="preserve">Only certified RHCs are considered PCPs. This must be reviewed and approved by an auditor. </w:t>
            </w:r>
          </w:p>
          <w:p w14:paraId="0637324B" w14:textId="77777777" w:rsidR="003D7F41" w:rsidRPr="005D4222" w:rsidRDefault="003D7F41" w:rsidP="00A53E8C">
            <w:pPr>
              <w:pStyle w:val="Body"/>
              <w:spacing w:after="60"/>
            </w:pPr>
          </w:p>
        </w:tc>
      </w:tr>
      <w:tr w:rsidR="003D7F41" w:rsidRPr="005D4222" w14:paraId="29A65089" w14:textId="77777777" w:rsidTr="00A53E8C">
        <w:tc>
          <w:tcPr>
            <w:tcW w:w="2160" w:type="dxa"/>
            <w:tcBorders>
              <w:left w:val="nil"/>
              <w:bottom w:val="single" w:sz="4" w:space="0" w:color="808080" w:themeColor="background1" w:themeShade="80"/>
              <w:right w:val="nil"/>
            </w:tcBorders>
            <w:tcMar>
              <w:top w:w="0" w:type="dxa"/>
              <w:left w:w="0" w:type="dxa"/>
              <w:bottom w:w="0" w:type="dxa"/>
              <w:right w:w="115" w:type="dxa"/>
            </w:tcMar>
          </w:tcPr>
          <w:p w14:paraId="71058E01" w14:textId="77777777" w:rsidR="003D7F41" w:rsidRPr="005D4222" w:rsidRDefault="003D7F41" w:rsidP="00A53E8C">
            <w:pPr>
              <w:pStyle w:val="MarginSubhead"/>
              <w:spacing w:before="0" w:after="60"/>
              <w:ind w:left="0"/>
            </w:pPr>
          </w:p>
        </w:tc>
        <w:tc>
          <w:tcPr>
            <w:tcW w:w="7590" w:type="dxa"/>
            <w:tcBorders>
              <w:left w:val="nil"/>
              <w:bottom w:val="single" w:sz="4" w:space="0" w:color="808080" w:themeColor="background1" w:themeShade="80"/>
              <w:right w:val="nil"/>
            </w:tcBorders>
          </w:tcPr>
          <w:p w14:paraId="7D25AE8D" w14:textId="77777777" w:rsidR="003D7F41" w:rsidRPr="005D4222" w:rsidRDefault="003D7F41" w:rsidP="00A53E8C">
            <w:pPr>
              <w:pStyle w:val="Body"/>
              <w:spacing w:before="0" w:after="60"/>
            </w:pPr>
            <w:r w:rsidRPr="005D4222">
              <w:t xml:space="preserve">To be certified as an RHC, the entity must meet </w:t>
            </w:r>
            <w:hyperlink r:id="rId270">
              <w:r w:rsidRPr="005D4222">
                <w:rPr>
                  <w:rStyle w:val="Hyperlink"/>
                </w:rPr>
                <w:t>CMS requirements</w:t>
              </w:r>
            </w:hyperlink>
            <w:r w:rsidRPr="005D4222">
              <w:t xml:space="preserve"> to qualify for payment via an all-inclusive rate (AIR) for medically-necessary primary health services and qualified preventive health services furnished by an RHC practitioner.</w:t>
            </w:r>
          </w:p>
        </w:tc>
      </w:tr>
      <w:tr w:rsidR="003D7F41" w:rsidRPr="005D4222" w14:paraId="046AB01E"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tcPr>
          <w:p w14:paraId="6C6C4E3D" w14:textId="77777777" w:rsidR="003D7F41" w:rsidRPr="005D4222" w:rsidRDefault="003D7F41" w:rsidP="00A53E8C">
            <w:pPr>
              <w:pStyle w:val="MarginSubhead"/>
              <w:spacing w:after="60"/>
              <w:ind w:left="0"/>
            </w:pPr>
            <w:r w:rsidRPr="005D4222">
              <w:t>practitioner</w:t>
            </w:r>
          </w:p>
        </w:tc>
        <w:tc>
          <w:tcPr>
            <w:tcW w:w="7590" w:type="dxa"/>
            <w:tcBorders>
              <w:top w:val="single" w:sz="4" w:space="0" w:color="808080" w:themeColor="background1" w:themeShade="80"/>
              <w:left w:val="nil"/>
              <w:bottom w:val="single" w:sz="4" w:space="0" w:color="808080" w:themeColor="background1" w:themeShade="80"/>
              <w:right w:val="nil"/>
            </w:tcBorders>
          </w:tcPr>
          <w:p w14:paraId="12027C63" w14:textId="77777777" w:rsidR="003D7F41" w:rsidRPr="005D4222" w:rsidRDefault="003D7F41" w:rsidP="00A53E8C">
            <w:pPr>
              <w:pStyle w:val="Dash"/>
              <w:numPr>
                <w:ilvl w:val="0"/>
                <w:numId w:val="0"/>
              </w:numPr>
              <w:tabs>
                <w:tab w:val="left" w:pos="792"/>
              </w:tabs>
              <w:spacing w:before="180" w:after="60"/>
              <w:rPr>
                <w:kern w:val="24"/>
              </w:rPr>
            </w:pPr>
            <w:r w:rsidRPr="005D4222">
              <w:rPr>
                <w:kern w:val="24"/>
              </w:rPr>
              <w:t>A professional who provides health care services. Practitioners must usually be licensed as defined by law.</w:t>
            </w:r>
          </w:p>
        </w:tc>
      </w:tr>
      <w:tr w:rsidR="003D7F41" w:rsidRPr="005D4222" w14:paraId="3F44F6FE" w14:textId="77777777" w:rsidTr="00A53E8C">
        <w:tc>
          <w:tcPr>
            <w:tcW w:w="2160"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115" w:type="dxa"/>
            </w:tcMar>
          </w:tcPr>
          <w:p w14:paraId="0BF333B0" w14:textId="77777777" w:rsidR="003D7F41" w:rsidRPr="005D4222" w:rsidRDefault="003D7F41" w:rsidP="00A53E8C">
            <w:pPr>
              <w:pStyle w:val="MarginSubhead"/>
              <w:spacing w:after="60"/>
              <w:ind w:left="0"/>
            </w:pPr>
            <w:r w:rsidRPr="005D4222">
              <w:t>prescribing practitioner</w:t>
            </w:r>
          </w:p>
        </w:tc>
        <w:tc>
          <w:tcPr>
            <w:tcW w:w="7590" w:type="dxa"/>
            <w:tcBorders>
              <w:top w:val="single" w:sz="4" w:space="0" w:color="808080" w:themeColor="background1" w:themeShade="80"/>
              <w:left w:val="nil"/>
              <w:bottom w:val="single" w:sz="4" w:space="0" w:color="808080" w:themeColor="background1" w:themeShade="80"/>
              <w:right w:val="nil"/>
            </w:tcBorders>
          </w:tcPr>
          <w:p w14:paraId="0C1290AD" w14:textId="77777777" w:rsidR="003D7F41" w:rsidRPr="005D4222" w:rsidRDefault="003D7F41" w:rsidP="00A53E8C">
            <w:pPr>
              <w:pStyle w:val="Dash"/>
              <w:numPr>
                <w:ilvl w:val="0"/>
                <w:numId w:val="0"/>
              </w:numPr>
              <w:tabs>
                <w:tab w:val="left" w:pos="792"/>
              </w:tabs>
              <w:spacing w:before="180" w:after="60"/>
              <w:rPr>
                <w:kern w:val="24"/>
              </w:rPr>
            </w:pPr>
            <w:r w:rsidRPr="005D4222">
              <w:rPr>
                <w:kern w:val="24"/>
              </w:rPr>
              <w:t>A practitioner with prescribing privileges, including nurse practitioners, physician assistants and other non-MDs who have the authority to prescribe medications.</w:t>
            </w:r>
          </w:p>
        </w:tc>
      </w:tr>
      <w:tr w:rsidR="003D7F41" w:rsidRPr="005D4222" w14:paraId="4E18C74D" w14:textId="77777777" w:rsidTr="00A53E8C">
        <w:tc>
          <w:tcPr>
            <w:tcW w:w="2160" w:type="dxa"/>
            <w:tcBorders>
              <w:top w:val="single" w:sz="4" w:space="0" w:color="808080" w:themeColor="background1" w:themeShade="80"/>
              <w:left w:val="nil"/>
              <w:right w:val="nil"/>
            </w:tcBorders>
            <w:tcMar>
              <w:top w:w="0" w:type="dxa"/>
              <w:left w:w="0" w:type="dxa"/>
              <w:bottom w:w="0" w:type="dxa"/>
              <w:right w:w="115" w:type="dxa"/>
            </w:tcMar>
          </w:tcPr>
          <w:p w14:paraId="53C44650" w14:textId="77777777" w:rsidR="003D7F41" w:rsidRPr="005D4222" w:rsidRDefault="003D7F41" w:rsidP="00A53E8C">
            <w:pPr>
              <w:pStyle w:val="MarginSubhead"/>
              <w:spacing w:after="60"/>
              <w:ind w:left="0"/>
            </w:pPr>
            <w:r w:rsidRPr="005D4222">
              <w:t>provider</w:t>
            </w:r>
          </w:p>
        </w:tc>
        <w:tc>
          <w:tcPr>
            <w:tcW w:w="7590" w:type="dxa"/>
            <w:tcBorders>
              <w:top w:val="single" w:sz="4" w:space="0" w:color="808080" w:themeColor="background1" w:themeShade="80"/>
              <w:left w:val="nil"/>
              <w:right w:val="nil"/>
            </w:tcBorders>
          </w:tcPr>
          <w:p w14:paraId="2BCA5550" w14:textId="77777777" w:rsidR="003D7F41" w:rsidRPr="005D4222" w:rsidRDefault="003D7F41" w:rsidP="00A53E8C">
            <w:pPr>
              <w:pStyle w:val="Dash"/>
              <w:numPr>
                <w:ilvl w:val="0"/>
                <w:numId w:val="0"/>
              </w:numPr>
              <w:tabs>
                <w:tab w:val="left" w:pos="792"/>
              </w:tabs>
              <w:spacing w:before="180" w:after="60"/>
              <w:rPr>
                <w:kern w:val="24"/>
              </w:rPr>
            </w:pPr>
            <w:r w:rsidRPr="005D4222">
              <w:rPr>
                <w:kern w:val="24"/>
              </w:rPr>
              <w:t xml:space="preserve">An institution or organization that provides services for the organization’s members. Examples of providers include hospitals and home health agencies. </w:t>
            </w:r>
          </w:p>
          <w:p w14:paraId="0C37A745" w14:textId="1B94D578" w:rsidR="003D7F41" w:rsidRPr="005D4222" w:rsidRDefault="003D7F41" w:rsidP="00F60046">
            <w:pPr>
              <w:pStyle w:val="Dash"/>
              <w:numPr>
                <w:ilvl w:val="0"/>
                <w:numId w:val="0"/>
              </w:numPr>
              <w:tabs>
                <w:tab w:val="left" w:pos="792"/>
              </w:tabs>
              <w:spacing w:before="120" w:after="60"/>
              <w:rPr>
                <w:kern w:val="24"/>
              </w:rPr>
            </w:pPr>
            <w:r w:rsidRPr="005D4222">
              <w:rPr>
                <w:kern w:val="24"/>
              </w:rPr>
              <w:t xml:space="preserve">NCQA uses the term </w:t>
            </w:r>
            <w:r w:rsidRPr="005D4222">
              <w:rPr>
                <w:i/>
                <w:iCs/>
                <w:kern w:val="24"/>
              </w:rPr>
              <w:t>practitioner</w:t>
            </w:r>
            <w:r w:rsidRPr="005D4222">
              <w:rPr>
                <w:kern w:val="24"/>
              </w:rPr>
              <w:t xml:space="preserve"> to refer to professionals who provide health care services</w:t>
            </w:r>
            <w:r w:rsidR="0085432C" w:rsidRPr="005D4222">
              <w:rPr>
                <w:kern w:val="24"/>
              </w:rPr>
              <w:t>, recognizing</w:t>
            </w:r>
            <w:r w:rsidRPr="005D4222">
              <w:rPr>
                <w:kern w:val="24"/>
              </w:rPr>
              <w:t xml:space="preserve"> that a provider directory generally includes both providers and practitioners, and that the inclusive definition is the more common usage.</w:t>
            </w:r>
          </w:p>
        </w:tc>
      </w:tr>
    </w:tbl>
    <w:p w14:paraId="4D2CE479" w14:textId="77777777" w:rsidR="00371B1A" w:rsidRPr="005D4222" w:rsidRDefault="00371B1A" w:rsidP="003F38C3">
      <w:pPr>
        <w:sectPr w:rsidR="00371B1A" w:rsidRPr="005D4222" w:rsidSect="0074514A">
          <w:type w:val="nextColumn"/>
          <w:pgSz w:w="12240" w:h="15840" w:code="1"/>
          <w:pgMar w:top="1080" w:right="1080" w:bottom="1080" w:left="1440" w:header="720" w:footer="720" w:gutter="0"/>
          <w:cols w:space="720"/>
        </w:sectPr>
      </w:pPr>
    </w:p>
    <w:p w14:paraId="6ABC626B" w14:textId="5B7A5A79" w:rsidR="00A523D5" w:rsidRPr="005D4222" w:rsidRDefault="00A523D5" w:rsidP="00A523D5">
      <w:pPr>
        <w:jc w:val="right"/>
        <w:rPr>
          <w:b/>
          <w:bCs/>
          <w:sz w:val="48"/>
          <w:szCs w:val="48"/>
        </w:rPr>
      </w:pPr>
      <w:bookmarkStart w:id="467" w:name="Appendix_2"/>
      <w:bookmarkStart w:id="468" w:name="Appendix4"/>
      <w:r w:rsidRPr="005D4222">
        <w:rPr>
          <w:b/>
          <w:bCs/>
          <w:sz w:val="48"/>
          <w:szCs w:val="48"/>
        </w:rPr>
        <w:lastRenderedPageBreak/>
        <w:t>Appendix 2</w:t>
      </w:r>
      <w:bookmarkEnd w:id="467"/>
    </w:p>
    <w:p w14:paraId="58188686" w14:textId="77777777" w:rsidR="00A523D5" w:rsidRPr="005D4222" w:rsidRDefault="00A523D5" w:rsidP="00A523D5">
      <w:pPr>
        <w:jc w:val="right"/>
        <w:rPr>
          <w:b/>
          <w:bCs/>
          <w:sz w:val="48"/>
          <w:szCs w:val="48"/>
        </w:rPr>
      </w:pPr>
    </w:p>
    <w:p w14:paraId="3FEDB2D9" w14:textId="34541358" w:rsidR="00A523D5" w:rsidRPr="005D4222" w:rsidRDefault="00F14864" w:rsidP="00A523D5">
      <w:pPr>
        <w:jc w:val="right"/>
        <w:rPr>
          <w:b/>
          <w:bCs/>
          <w:sz w:val="48"/>
          <w:szCs w:val="48"/>
        </w:rPr>
      </w:pPr>
      <w:r w:rsidRPr="005D4222">
        <w:rPr>
          <w:b/>
          <w:bCs/>
          <w:sz w:val="48"/>
          <w:szCs w:val="48"/>
        </w:rPr>
        <w:t>Data Element Definitions</w:t>
      </w:r>
    </w:p>
    <w:p w14:paraId="1CF30574" w14:textId="77777777" w:rsidR="00A523D5" w:rsidRPr="005D4222" w:rsidRDefault="00A523D5" w:rsidP="00A523D5">
      <w:pPr>
        <w:pStyle w:val="Breakpage"/>
        <w:sectPr w:rsidR="00A523D5" w:rsidRPr="005D4222" w:rsidSect="0074514A">
          <w:headerReference w:type="default" r:id="rId271"/>
          <w:footerReference w:type="default" r:id="rId272"/>
          <w:type w:val="nextColumn"/>
          <w:pgSz w:w="12240" w:h="15840" w:code="1"/>
          <w:pgMar w:top="1080" w:right="1080" w:bottom="1080" w:left="1440" w:header="720" w:footer="720" w:gutter="0"/>
          <w:cols w:space="720"/>
        </w:sectPr>
      </w:pPr>
    </w:p>
    <w:p w14:paraId="5C337C09" w14:textId="77777777" w:rsidR="001223E4" w:rsidRPr="005D4222" w:rsidRDefault="001223E4" w:rsidP="001223E4">
      <w:pPr>
        <w:jc w:val="center"/>
        <w:rPr>
          <w:b/>
          <w:sz w:val="32"/>
          <w:szCs w:val="32"/>
        </w:rPr>
      </w:pPr>
      <w:r w:rsidRPr="005D4222">
        <w:rPr>
          <w:b/>
          <w:sz w:val="32"/>
          <w:szCs w:val="32"/>
        </w:rPr>
        <w:lastRenderedPageBreak/>
        <w:t>APPENDIX 2</w:t>
      </w:r>
    </w:p>
    <w:p w14:paraId="3E2A5C42" w14:textId="77777777" w:rsidR="001223E4" w:rsidRPr="005D4222" w:rsidRDefault="001223E4" w:rsidP="001223E4">
      <w:pPr>
        <w:spacing w:before="120" w:after="360"/>
        <w:jc w:val="center"/>
        <w:rPr>
          <w:b/>
          <w:sz w:val="28"/>
          <w:szCs w:val="28"/>
        </w:rPr>
      </w:pPr>
      <w:r w:rsidRPr="005D4222">
        <w:rPr>
          <w:b/>
          <w:sz w:val="28"/>
          <w:szCs w:val="28"/>
        </w:rPr>
        <w:t>DATA ELEMENT DEFINITIONS</w:t>
      </w:r>
    </w:p>
    <w:p w14:paraId="7A221488" w14:textId="77777777" w:rsidR="001223E4" w:rsidRPr="005D4222" w:rsidRDefault="001223E4" w:rsidP="001223E4">
      <w:pPr>
        <w:pStyle w:val="Body"/>
        <w:widowControl w:val="0"/>
        <w:spacing w:before="0" w:after="120" w:line="240" w:lineRule="exact"/>
      </w:pPr>
      <w:r w:rsidRPr="005D4222">
        <w:t>Organizations that submit audited HEDIS data to NCQA must report the data elements identified in each measure specification. Data elements are standard for hybrid, administrative, digital and ECDS reported measures</w:t>
      </w:r>
      <w:r w:rsidRPr="005D4222">
        <w:rPr>
          <w:i/>
          <w:iCs/>
        </w:rPr>
        <w:t>.</w:t>
      </w:r>
      <w:r w:rsidRPr="005D4222">
        <w:t xml:space="preserve"> </w:t>
      </w:r>
    </w:p>
    <w:bookmarkEnd w:id="468"/>
    <w:p w14:paraId="087AAD54" w14:textId="77777777" w:rsidR="001223E4" w:rsidRPr="005D4222" w:rsidRDefault="001223E4" w:rsidP="007966CF">
      <w:pPr>
        <w:pStyle w:val="Heading3"/>
      </w:pPr>
      <w:r w:rsidRPr="005D4222">
        <w:t>Table 1: Data Element Definitions for Reporting</w:t>
      </w:r>
    </w:p>
    <w:tbl>
      <w:tblPr>
        <w:tblW w:w="5036" w:type="pct"/>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89"/>
        <w:gridCol w:w="1564"/>
        <w:gridCol w:w="704"/>
        <w:gridCol w:w="841"/>
        <w:gridCol w:w="728"/>
        <w:gridCol w:w="4051"/>
      </w:tblGrid>
      <w:tr w:rsidR="001223E4" w:rsidRPr="005D4222" w14:paraId="5892FA97" w14:textId="77777777" w:rsidTr="00895FBD">
        <w:trPr>
          <w:tblHeader/>
        </w:trPr>
        <w:tc>
          <w:tcPr>
            <w:tcW w:w="1889" w:type="dxa"/>
            <w:tcBorders>
              <w:top w:val="single" w:sz="6" w:space="0" w:color="auto"/>
              <w:left w:val="single" w:sz="6" w:space="0" w:color="auto"/>
              <w:bottom w:val="single" w:sz="6" w:space="0" w:color="auto"/>
              <w:right w:val="single" w:sz="4" w:space="0" w:color="FFFFFF" w:themeColor="background1"/>
            </w:tcBorders>
            <w:shd w:val="clear" w:color="auto" w:fill="000000" w:themeFill="text1"/>
            <w:tcMar>
              <w:left w:w="58" w:type="dxa"/>
              <w:right w:w="58" w:type="dxa"/>
            </w:tcMar>
          </w:tcPr>
          <w:p w14:paraId="6558362C" w14:textId="77777777" w:rsidR="001223E4" w:rsidRPr="005D4222" w:rsidRDefault="001223E4" w:rsidP="00A53E8C">
            <w:pPr>
              <w:pStyle w:val="TableHead"/>
            </w:pPr>
            <w:r w:rsidRPr="005D4222">
              <w:t>Data Element</w:t>
            </w:r>
          </w:p>
        </w:tc>
        <w:tc>
          <w:tcPr>
            <w:tcW w:w="1564" w:type="dxa"/>
            <w:tcBorders>
              <w:top w:val="single" w:sz="6" w:space="0" w:color="auto"/>
              <w:left w:val="single" w:sz="4" w:space="0" w:color="FFFFFF" w:themeColor="background1"/>
              <w:bottom w:val="single" w:sz="6" w:space="0" w:color="auto"/>
              <w:right w:val="nil"/>
            </w:tcBorders>
            <w:shd w:val="clear" w:color="auto" w:fill="000000" w:themeFill="text1"/>
            <w:tcMar>
              <w:left w:w="58" w:type="dxa"/>
              <w:right w:w="58" w:type="dxa"/>
            </w:tcMar>
            <w:vAlign w:val="bottom"/>
          </w:tcPr>
          <w:p w14:paraId="04231AD8" w14:textId="77777777" w:rsidR="001223E4" w:rsidRPr="005D4222" w:rsidRDefault="001223E4" w:rsidP="00A53E8C">
            <w:pPr>
              <w:pStyle w:val="TableHead"/>
            </w:pPr>
            <w:r w:rsidRPr="005D4222">
              <w:t>Description</w:t>
            </w:r>
          </w:p>
        </w:tc>
        <w:tc>
          <w:tcPr>
            <w:tcW w:w="704" w:type="dxa"/>
            <w:tcBorders>
              <w:top w:val="single" w:sz="6" w:space="0" w:color="auto"/>
              <w:left w:val="single" w:sz="6" w:space="0" w:color="FFFFFF" w:themeColor="background1"/>
              <w:bottom w:val="single" w:sz="6" w:space="0" w:color="auto"/>
              <w:right w:val="single" w:sz="6" w:space="0" w:color="FFFFFF" w:themeColor="background1"/>
            </w:tcBorders>
            <w:shd w:val="clear" w:color="auto" w:fill="000000" w:themeFill="text1"/>
            <w:tcMar>
              <w:left w:w="58" w:type="dxa"/>
              <w:right w:w="58" w:type="dxa"/>
            </w:tcMar>
            <w:vAlign w:val="bottom"/>
          </w:tcPr>
          <w:p w14:paraId="51C97050" w14:textId="77777777" w:rsidR="001223E4" w:rsidRPr="005D4222" w:rsidRDefault="001223E4" w:rsidP="00A53E8C">
            <w:pPr>
              <w:pStyle w:val="TableHead"/>
            </w:pPr>
            <w:r w:rsidRPr="005D4222">
              <w:t>Admin</w:t>
            </w:r>
          </w:p>
        </w:tc>
        <w:tc>
          <w:tcPr>
            <w:tcW w:w="841" w:type="dxa"/>
            <w:tcBorders>
              <w:top w:val="single" w:sz="6" w:space="0" w:color="auto"/>
              <w:left w:val="nil"/>
              <w:bottom w:val="single" w:sz="6" w:space="0" w:color="auto"/>
              <w:right w:val="single" w:sz="4" w:space="0" w:color="FFFFFF" w:themeColor="background1"/>
            </w:tcBorders>
            <w:shd w:val="clear" w:color="auto" w:fill="000000" w:themeFill="text1"/>
            <w:vAlign w:val="bottom"/>
          </w:tcPr>
          <w:p w14:paraId="37E68E78" w14:textId="77777777" w:rsidR="001223E4" w:rsidRPr="005D4222" w:rsidRDefault="001223E4" w:rsidP="00A53E8C">
            <w:pPr>
              <w:pStyle w:val="TableHead"/>
            </w:pPr>
            <w:r w:rsidRPr="005D4222">
              <w:t>Hybrid</w:t>
            </w:r>
          </w:p>
        </w:tc>
        <w:tc>
          <w:tcPr>
            <w:tcW w:w="728" w:type="dxa"/>
            <w:tcBorders>
              <w:top w:val="single" w:sz="6" w:space="0" w:color="auto"/>
              <w:left w:val="single" w:sz="4" w:space="0" w:color="FFFFFF" w:themeColor="background1"/>
              <w:bottom w:val="single" w:sz="6" w:space="0" w:color="auto"/>
              <w:right w:val="nil"/>
            </w:tcBorders>
            <w:shd w:val="clear" w:color="auto" w:fill="000000" w:themeFill="text1"/>
            <w:vAlign w:val="bottom"/>
          </w:tcPr>
          <w:p w14:paraId="22F47088" w14:textId="77777777" w:rsidR="001223E4" w:rsidRPr="005D4222" w:rsidRDefault="001223E4" w:rsidP="00A53E8C">
            <w:pPr>
              <w:pStyle w:val="TableHead"/>
            </w:pPr>
            <w:r w:rsidRPr="005D4222">
              <w:t>ECDS</w:t>
            </w:r>
          </w:p>
        </w:tc>
        <w:tc>
          <w:tcPr>
            <w:tcW w:w="4051" w:type="dxa"/>
            <w:tcBorders>
              <w:top w:val="single" w:sz="6" w:space="0" w:color="auto"/>
              <w:left w:val="single" w:sz="4" w:space="0" w:color="FFFFFF" w:themeColor="background1"/>
              <w:bottom w:val="single" w:sz="6" w:space="0" w:color="auto"/>
              <w:right w:val="single" w:sz="4" w:space="0" w:color="auto"/>
            </w:tcBorders>
            <w:shd w:val="clear" w:color="auto" w:fill="000000" w:themeFill="text1"/>
            <w:tcMar>
              <w:left w:w="58" w:type="dxa"/>
              <w:right w:w="58" w:type="dxa"/>
            </w:tcMar>
            <w:vAlign w:val="bottom"/>
          </w:tcPr>
          <w:p w14:paraId="168DCA34" w14:textId="77777777" w:rsidR="001223E4" w:rsidRPr="005D4222" w:rsidRDefault="001223E4" w:rsidP="00A53E8C">
            <w:pPr>
              <w:pStyle w:val="TableHead"/>
            </w:pPr>
            <w:r w:rsidRPr="005D4222">
              <w:t>Meaning</w:t>
            </w:r>
          </w:p>
        </w:tc>
      </w:tr>
      <w:tr w:rsidR="001223E4" w:rsidRPr="005D4222" w14:paraId="4DA80234" w14:textId="77777777" w:rsidTr="00895FBD">
        <w:tc>
          <w:tcPr>
            <w:tcW w:w="1889"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19A45A8F" w14:textId="77777777" w:rsidR="001223E4" w:rsidRPr="005D4222" w:rsidRDefault="001223E4" w:rsidP="00A53E8C">
            <w:pPr>
              <w:pStyle w:val="TableText"/>
            </w:pPr>
            <w:r w:rsidRPr="005D4222">
              <w:t>CollectionMethod</w:t>
            </w:r>
          </w:p>
        </w:tc>
        <w:tc>
          <w:tcPr>
            <w:tcW w:w="156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5132E269" w14:textId="77777777" w:rsidR="001223E4" w:rsidRPr="005D4222" w:rsidRDefault="001223E4" w:rsidP="00A53E8C">
            <w:pPr>
              <w:pStyle w:val="TableText"/>
            </w:pPr>
            <w:r w:rsidRPr="005D4222">
              <w:t xml:space="preserve">Data collection methodology </w:t>
            </w:r>
          </w:p>
        </w:tc>
        <w:tc>
          <w:tcPr>
            <w:tcW w:w="70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2824B468" w14:textId="77777777" w:rsidR="001223E4" w:rsidRPr="005D4222" w:rsidRDefault="001223E4" w:rsidP="00A53E8C">
            <w:pPr>
              <w:pStyle w:val="TableText"/>
              <w:jc w:val="center"/>
              <w:rPr>
                <w:rFonts w:cs="Arial"/>
                <w:sz w:val="24"/>
              </w:rPr>
            </w:pPr>
            <w:r w:rsidRPr="005D4222">
              <w:rPr>
                <w:rFonts w:ascii="Wingdings" w:eastAsia="Wingdings" w:hAnsi="Wingdings" w:cs="Wingdings"/>
                <w:sz w:val="24"/>
              </w:rPr>
              <w:t></w:t>
            </w:r>
          </w:p>
        </w:tc>
        <w:tc>
          <w:tcPr>
            <w:tcW w:w="841"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2329C097" w14:textId="77777777" w:rsidR="001223E4" w:rsidRPr="005D4222" w:rsidRDefault="001223E4" w:rsidP="00A53E8C">
            <w:pPr>
              <w:pStyle w:val="TableText"/>
              <w:jc w:val="center"/>
              <w:rPr>
                <w:rFonts w:ascii="Wingdings" w:eastAsia="Wingdings" w:hAnsi="Wingdings" w:cs="Wingdings"/>
                <w:sz w:val="24"/>
              </w:rPr>
            </w:pPr>
            <w:r w:rsidRPr="005D4222">
              <w:rPr>
                <w:rFonts w:ascii="Wingdings" w:eastAsia="Wingdings" w:hAnsi="Wingdings" w:cs="Wingdings"/>
                <w:sz w:val="24"/>
              </w:rPr>
              <w:t></w:t>
            </w:r>
          </w:p>
        </w:tc>
        <w:tc>
          <w:tcPr>
            <w:tcW w:w="728"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13CE2D49" w14:textId="77777777" w:rsidR="001223E4" w:rsidRPr="005D4222" w:rsidRDefault="001223E4" w:rsidP="00A53E8C">
            <w:pPr>
              <w:pStyle w:val="TableText"/>
              <w:jc w:val="center"/>
              <w:rPr>
                <w:rFonts w:ascii="Wingdings" w:eastAsia="Wingdings" w:hAnsi="Wingdings" w:cs="Wingdings"/>
                <w:sz w:val="24"/>
              </w:rPr>
            </w:pPr>
            <w:r w:rsidRPr="005D4222">
              <w:rPr>
                <w:rFonts w:ascii="Wingdings" w:eastAsia="Wingdings" w:hAnsi="Wingdings" w:cs="Wingdings"/>
                <w:sz w:val="24"/>
              </w:rPr>
              <w:t></w:t>
            </w:r>
          </w:p>
        </w:tc>
        <w:tc>
          <w:tcPr>
            <w:tcW w:w="4051"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tcPr>
          <w:p w14:paraId="67AC077C" w14:textId="77777777" w:rsidR="001223E4" w:rsidRPr="005D4222" w:rsidRDefault="001223E4" w:rsidP="00A53E8C">
            <w:pPr>
              <w:pStyle w:val="TableText"/>
            </w:pPr>
            <w:r w:rsidRPr="005D4222">
              <w:t xml:space="preserve">Method used to collect HEDIS data. The Administrative Method is from transactional data for the denominator and the Hybrid Method is from medical record or electronic medical record and transactional data for the sample. Only reported for measures allowing both the Administrative and the Hybrid Method. ECDS uses electronic method for data collection. </w:t>
            </w:r>
          </w:p>
        </w:tc>
      </w:tr>
      <w:tr w:rsidR="001223E4" w:rsidRPr="005D4222" w14:paraId="2591B100" w14:textId="77777777" w:rsidTr="00895FBD">
        <w:tc>
          <w:tcPr>
            <w:tcW w:w="1889"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41695CC8" w14:textId="77777777" w:rsidR="001223E4" w:rsidRPr="005D4222" w:rsidRDefault="001223E4" w:rsidP="00A53E8C">
            <w:pPr>
              <w:pStyle w:val="TableText"/>
            </w:pPr>
            <w:r w:rsidRPr="005D4222">
              <w:t>Benefit</w:t>
            </w:r>
          </w:p>
        </w:tc>
        <w:tc>
          <w:tcPr>
            <w:tcW w:w="156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021940F9" w14:textId="77777777" w:rsidR="001223E4" w:rsidRPr="005D4222" w:rsidRDefault="001223E4" w:rsidP="00A53E8C">
            <w:pPr>
              <w:pStyle w:val="TableText"/>
            </w:pPr>
            <w:r w:rsidRPr="005D4222">
              <w:t>Benefit</w:t>
            </w:r>
          </w:p>
        </w:tc>
        <w:tc>
          <w:tcPr>
            <w:tcW w:w="70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1DDE3B8B" w14:textId="77777777" w:rsidR="001223E4" w:rsidRPr="005D4222" w:rsidRDefault="001223E4" w:rsidP="00A53E8C">
            <w:pPr>
              <w:pStyle w:val="TableText"/>
              <w:jc w:val="center"/>
              <w:rPr>
                <w:rFonts w:ascii="Wingdings" w:eastAsia="Wingdings" w:hAnsi="Wingdings" w:cs="Wingdings"/>
                <w:sz w:val="24"/>
              </w:rPr>
            </w:pPr>
            <w:r w:rsidRPr="005D4222">
              <w:rPr>
                <w:rFonts w:ascii="Wingdings" w:eastAsia="Wingdings" w:hAnsi="Wingdings" w:cs="Wingdings"/>
                <w:sz w:val="24"/>
              </w:rPr>
              <w:t></w:t>
            </w:r>
          </w:p>
        </w:tc>
        <w:tc>
          <w:tcPr>
            <w:tcW w:w="841"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719F07FB" w14:textId="77777777" w:rsidR="001223E4" w:rsidRPr="005D4222" w:rsidRDefault="001223E4" w:rsidP="00A53E8C">
            <w:pPr>
              <w:pStyle w:val="TableText"/>
              <w:jc w:val="center"/>
              <w:rPr>
                <w:rFonts w:ascii="Wingdings" w:eastAsia="Wingdings" w:hAnsi="Wingdings" w:cs="Wingdings"/>
                <w:sz w:val="24"/>
              </w:rPr>
            </w:pPr>
            <w:r w:rsidRPr="005D4222">
              <w:rPr>
                <w:rFonts w:ascii="Wingdings" w:eastAsia="Wingdings" w:hAnsi="Wingdings" w:cs="Wingdings"/>
                <w:sz w:val="24"/>
              </w:rPr>
              <w:t></w:t>
            </w:r>
          </w:p>
        </w:tc>
        <w:tc>
          <w:tcPr>
            <w:tcW w:w="728"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7D0219C5" w14:textId="77777777" w:rsidR="001223E4" w:rsidRPr="005D4222" w:rsidRDefault="001223E4" w:rsidP="00A53E8C">
            <w:pPr>
              <w:pStyle w:val="TableText"/>
              <w:jc w:val="center"/>
              <w:rPr>
                <w:rFonts w:ascii="Wingdings" w:eastAsia="Wingdings" w:hAnsi="Wingdings" w:cs="Wingdings"/>
                <w:sz w:val="24"/>
              </w:rPr>
            </w:pPr>
            <w:r w:rsidRPr="005D4222">
              <w:rPr>
                <w:rFonts w:ascii="Wingdings" w:eastAsia="Wingdings" w:hAnsi="Wingdings" w:cs="Wingdings"/>
                <w:sz w:val="24"/>
              </w:rPr>
              <w:t></w:t>
            </w:r>
          </w:p>
        </w:tc>
        <w:tc>
          <w:tcPr>
            <w:tcW w:w="4051"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tcPr>
          <w:p w14:paraId="54A3A8DB" w14:textId="77777777" w:rsidR="001223E4" w:rsidRPr="005D4222" w:rsidRDefault="001223E4" w:rsidP="00A53E8C">
            <w:pPr>
              <w:pStyle w:val="TableText"/>
            </w:pPr>
            <w:r w:rsidRPr="005D4222">
              <w:t>For measures requiring a benefit other than Medical, the Benefit flag is reported in the Metadata section of the submission XML.</w:t>
            </w:r>
          </w:p>
        </w:tc>
      </w:tr>
      <w:tr w:rsidR="001223E4" w:rsidRPr="005D4222" w14:paraId="0C4AC150" w14:textId="77777777" w:rsidTr="00895FBD">
        <w:tc>
          <w:tcPr>
            <w:tcW w:w="1889"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614025DD" w14:textId="77777777" w:rsidR="001223E4" w:rsidRPr="005D4222" w:rsidRDefault="001223E4" w:rsidP="00A53E8C">
            <w:pPr>
              <w:pStyle w:val="TableText"/>
            </w:pPr>
            <w:r w:rsidRPr="005D4222">
              <w:t>InitialPopulation</w:t>
            </w:r>
          </w:p>
        </w:tc>
        <w:tc>
          <w:tcPr>
            <w:tcW w:w="156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74F97975" w14:textId="77777777" w:rsidR="001223E4" w:rsidRPr="005D4222" w:rsidRDefault="001223E4" w:rsidP="00A53E8C">
            <w:pPr>
              <w:pStyle w:val="TableText"/>
            </w:pPr>
            <w:r w:rsidRPr="005D4222">
              <w:t xml:space="preserve">Initial population </w:t>
            </w:r>
          </w:p>
        </w:tc>
        <w:tc>
          <w:tcPr>
            <w:tcW w:w="70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21B5661B" w14:textId="77777777" w:rsidR="001223E4" w:rsidRPr="005D4222" w:rsidRDefault="001223E4" w:rsidP="00A53E8C">
            <w:pPr>
              <w:pStyle w:val="TableText"/>
              <w:jc w:val="center"/>
              <w:rPr>
                <w:rFonts w:cs="Arial"/>
                <w:sz w:val="24"/>
              </w:rPr>
            </w:pPr>
            <w:r w:rsidRPr="005D4222">
              <w:rPr>
                <w:rFonts w:ascii="Wingdings" w:eastAsia="Wingdings" w:hAnsi="Wingdings" w:cs="Wingdings"/>
                <w:sz w:val="24"/>
              </w:rPr>
              <w:t></w:t>
            </w:r>
          </w:p>
        </w:tc>
        <w:tc>
          <w:tcPr>
            <w:tcW w:w="841"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71AE32A" w14:textId="77777777" w:rsidR="001223E4" w:rsidRPr="005D4222" w:rsidRDefault="001223E4" w:rsidP="00A53E8C">
            <w:pPr>
              <w:pStyle w:val="TableText"/>
              <w:jc w:val="center"/>
              <w:rPr>
                <w:rFonts w:ascii="Wingdings" w:eastAsia="Wingdings" w:hAnsi="Wingdings" w:cs="Wingdings"/>
                <w:sz w:val="24"/>
              </w:rPr>
            </w:pPr>
            <w:r w:rsidRPr="005D4222">
              <w:rPr>
                <w:rFonts w:ascii="Wingdings" w:eastAsia="Wingdings" w:hAnsi="Wingdings" w:cs="Wingdings"/>
                <w:sz w:val="24"/>
              </w:rPr>
              <w:t></w:t>
            </w:r>
          </w:p>
        </w:tc>
        <w:tc>
          <w:tcPr>
            <w:tcW w:w="728"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6D89956D" w14:textId="77777777" w:rsidR="001223E4" w:rsidRPr="005D4222" w:rsidRDefault="001223E4" w:rsidP="00A53E8C">
            <w:pPr>
              <w:pStyle w:val="TableText"/>
              <w:jc w:val="center"/>
              <w:rPr>
                <w:rFonts w:ascii="Wingdings" w:eastAsia="Wingdings" w:hAnsi="Wingdings" w:cs="Wingdings"/>
                <w:sz w:val="24"/>
              </w:rPr>
            </w:pPr>
            <w:r w:rsidRPr="005D4222">
              <w:rPr>
                <w:rFonts w:ascii="Wingdings" w:eastAsia="Wingdings" w:hAnsi="Wingdings" w:cs="Wingdings"/>
                <w:sz w:val="24"/>
              </w:rPr>
              <w:t></w:t>
            </w:r>
          </w:p>
        </w:tc>
        <w:tc>
          <w:tcPr>
            <w:tcW w:w="4051"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tcPr>
          <w:p w14:paraId="52366843" w14:textId="77777777" w:rsidR="001223E4" w:rsidRPr="005D4222" w:rsidRDefault="001223E4" w:rsidP="00A53E8C">
            <w:pPr>
              <w:pStyle w:val="TableBullet"/>
              <w:numPr>
                <w:ilvl w:val="0"/>
                <w:numId w:val="0"/>
              </w:numPr>
              <w:rPr>
                <w:color w:val="000000" w:themeColor="text1"/>
              </w:rPr>
            </w:pPr>
            <w:r w:rsidRPr="005D4222">
              <w:rPr>
                <w:color w:val="000000" w:themeColor="text1"/>
              </w:rPr>
              <w:t>Number of members in the initial population.</w:t>
            </w:r>
          </w:p>
        </w:tc>
      </w:tr>
      <w:tr w:rsidR="001223E4" w:rsidRPr="005D4222" w14:paraId="12155BA5" w14:textId="77777777" w:rsidTr="00895FBD">
        <w:tc>
          <w:tcPr>
            <w:tcW w:w="1889"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2AE6CDEA" w14:textId="77777777" w:rsidR="001223E4" w:rsidRPr="005D4222" w:rsidRDefault="001223E4" w:rsidP="00A53E8C">
            <w:pPr>
              <w:pStyle w:val="TableText"/>
            </w:pPr>
            <w:r w:rsidRPr="005D4222">
              <w:t>Exclusions</w:t>
            </w:r>
          </w:p>
        </w:tc>
        <w:tc>
          <w:tcPr>
            <w:tcW w:w="156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73765828" w14:textId="77777777" w:rsidR="001223E4" w:rsidRPr="005D4222" w:rsidRDefault="001223E4" w:rsidP="00A53E8C">
            <w:pPr>
              <w:pStyle w:val="TableText"/>
            </w:pPr>
            <w:r w:rsidRPr="005D4222">
              <w:t>Number of required exclusions</w:t>
            </w:r>
          </w:p>
        </w:tc>
        <w:tc>
          <w:tcPr>
            <w:tcW w:w="70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1E20E1AE" w14:textId="77777777" w:rsidR="001223E4" w:rsidRPr="005D4222" w:rsidRDefault="001223E4" w:rsidP="00A53E8C">
            <w:pPr>
              <w:pStyle w:val="TableText"/>
              <w:jc w:val="center"/>
              <w:rPr>
                <w:rFonts w:cs="Arial"/>
                <w:sz w:val="24"/>
              </w:rPr>
            </w:pPr>
            <w:r w:rsidRPr="005D4222">
              <w:rPr>
                <w:rFonts w:ascii="Wingdings" w:eastAsia="Wingdings" w:hAnsi="Wingdings" w:cs="Wingdings"/>
                <w:sz w:val="24"/>
                <w:szCs w:val="24"/>
              </w:rPr>
              <w:t></w:t>
            </w:r>
          </w:p>
        </w:tc>
        <w:tc>
          <w:tcPr>
            <w:tcW w:w="841"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6E7EA075" w14:textId="77777777" w:rsidR="001223E4" w:rsidRPr="005D4222" w:rsidRDefault="001223E4" w:rsidP="00A53E8C">
            <w:pPr>
              <w:pStyle w:val="TableText"/>
              <w:jc w:val="center"/>
              <w:rPr>
                <w:rFonts w:ascii="Wingdings" w:eastAsia="Wingdings" w:hAnsi="Wingdings" w:cs="Wingdings"/>
                <w:sz w:val="24"/>
                <w:szCs w:val="24"/>
              </w:rPr>
            </w:pPr>
            <w:r w:rsidRPr="005D4222">
              <w:rPr>
                <w:rFonts w:ascii="Wingdings" w:eastAsia="Wingdings" w:hAnsi="Wingdings" w:cs="Wingdings"/>
                <w:sz w:val="24"/>
                <w:szCs w:val="24"/>
              </w:rPr>
              <w:t></w:t>
            </w:r>
          </w:p>
        </w:tc>
        <w:tc>
          <w:tcPr>
            <w:tcW w:w="728"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0ADE96F4" w14:textId="77777777" w:rsidR="001223E4" w:rsidRPr="005D4222" w:rsidRDefault="001223E4" w:rsidP="00A53E8C">
            <w:pPr>
              <w:pStyle w:val="TableText"/>
              <w:jc w:val="center"/>
              <w:rPr>
                <w:rFonts w:ascii="Wingdings" w:eastAsia="Wingdings" w:hAnsi="Wingdings" w:cs="Wingdings"/>
                <w:sz w:val="24"/>
                <w:szCs w:val="24"/>
              </w:rPr>
            </w:pPr>
            <w:r w:rsidRPr="005D4222">
              <w:rPr>
                <w:rFonts w:ascii="Wingdings" w:eastAsia="Wingdings" w:hAnsi="Wingdings" w:cs="Wingdings"/>
                <w:sz w:val="24"/>
                <w:szCs w:val="24"/>
              </w:rPr>
              <w:t></w:t>
            </w:r>
          </w:p>
        </w:tc>
        <w:tc>
          <w:tcPr>
            <w:tcW w:w="4051"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tcPr>
          <w:p w14:paraId="1851B83B" w14:textId="77777777" w:rsidR="001223E4" w:rsidRPr="005D4222" w:rsidRDefault="001223E4" w:rsidP="00A53E8C">
            <w:pPr>
              <w:pStyle w:val="TableText"/>
            </w:pPr>
            <w:r w:rsidRPr="005D4222">
              <w:t xml:space="preserve">Number of members excluded from the initial population based on transaction data because they did meet the required exclusion criteria. </w:t>
            </w:r>
          </w:p>
        </w:tc>
      </w:tr>
      <w:tr w:rsidR="001223E4" w:rsidRPr="005D4222" w14:paraId="37C07E92" w14:textId="77777777" w:rsidTr="00895FBD">
        <w:tc>
          <w:tcPr>
            <w:tcW w:w="1889"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586982DC" w14:textId="77777777" w:rsidR="001223E4" w:rsidRPr="005D4222" w:rsidRDefault="001223E4" w:rsidP="00A53E8C">
            <w:pPr>
              <w:pStyle w:val="TableText"/>
            </w:pPr>
            <w:r w:rsidRPr="005D4222">
              <w:t>NumeratorByAdminDenom</w:t>
            </w:r>
          </w:p>
        </w:tc>
        <w:tc>
          <w:tcPr>
            <w:tcW w:w="156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62CE1B6B" w14:textId="77777777" w:rsidR="001223E4" w:rsidRPr="005D4222" w:rsidRDefault="001223E4" w:rsidP="00A53E8C">
            <w:pPr>
              <w:pStyle w:val="TableText"/>
            </w:pPr>
            <w:r w:rsidRPr="005D4222">
              <w:t>Number of numerator events by administrative data in the administrative denominator</w:t>
            </w:r>
          </w:p>
        </w:tc>
        <w:tc>
          <w:tcPr>
            <w:tcW w:w="70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17FECE7C" w14:textId="77777777" w:rsidR="001223E4" w:rsidRPr="005D4222" w:rsidRDefault="001223E4" w:rsidP="00A53E8C">
            <w:pPr>
              <w:pStyle w:val="TableText"/>
              <w:jc w:val="center"/>
              <w:rPr>
                <w:rFonts w:cs="Arial"/>
                <w:sz w:val="24"/>
              </w:rPr>
            </w:pPr>
          </w:p>
        </w:tc>
        <w:tc>
          <w:tcPr>
            <w:tcW w:w="841"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25443321" w14:textId="77777777" w:rsidR="001223E4" w:rsidRPr="005D4222" w:rsidRDefault="001223E4" w:rsidP="00A53E8C">
            <w:pPr>
              <w:pStyle w:val="TableText"/>
              <w:jc w:val="center"/>
              <w:rPr>
                <w:rFonts w:ascii="Wingdings" w:eastAsia="Wingdings" w:hAnsi="Wingdings" w:cs="Wingdings"/>
                <w:sz w:val="24"/>
              </w:rPr>
            </w:pPr>
            <w:r w:rsidRPr="005D4222">
              <w:rPr>
                <w:rFonts w:ascii="Wingdings" w:eastAsia="Wingdings" w:hAnsi="Wingdings" w:cs="Wingdings"/>
                <w:sz w:val="24"/>
              </w:rPr>
              <w:t></w:t>
            </w:r>
          </w:p>
        </w:tc>
        <w:tc>
          <w:tcPr>
            <w:tcW w:w="728"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46A48C9" w14:textId="77777777" w:rsidR="001223E4" w:rsidRPr="005D4222" w:rsidRDefault="001223E4" w:rsidP="00A53E8C">
            <w:pPr>
              <w:pStyle w:val="TableText"/>
              <w:jc w:val="center"/>
              <w:rPr>
                <w:rFonts w:ascii="Wingdings" w:eastAsia="Wingdings" w:hAnsi="Wingdings" w:cs="Wingdings"/>
                <w:sz w:val="24"/>
              </w:rPr>
            </w:pPr>
          </w:p>
        </w:tc>
        <w:tc>
          <w:tcPr>
            <w:tcW w:w="4051"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tcPr>
          <w:p w14:paraId="3C773205" w14:textId="77777777" w:rsidR="001223E4" w:rsidRPr="005D4222" w:rsidRDefault="001223E4" w:rsidP="00A53E8C">
            <w:pPr>
              <w:pStyle w:val="TableText"/>
            </w:pPr>
            <w:r w:rsidRPr="005D4222">
              <w:t xml:space="preserve">The number of members in the administrative denominator who met the numerator criteria. </w:t>
            </w:r>
          </w:p>
          <w:p w14:paraId="43C6ABFA" w14:textId="77777777" w:rsidR="001223E4" w:rsidRPr="005D4222" w:rsidRDefault="001223E4" w:rsidP="00A53E8C">
            <w:pPr>
              <w:pStyle w:val="TableText"/>
              <w:rPr>
                <w:i/>
              </w:rPr>
            </w:pPr>
            <w:r w:rsidRPr="005D4222">
              <w:rPr>
                <w:i/>
              </w:rPr>
              <w:t>This may or may not include supplemental data, it depends on when an organization loads its supplemental data for reporting.</w:t>
            </w:r>
          </w:p>
        </w:tc>
      </w:tr>
      <w:tr w:rsidR="001223E4" w:rsidRPr="005D4222" w14:paraId="28226B16" w14:textId="77777777" w:rsidTr="00895FBD">
        <w:tc>
          <w:tcPr>
            <w:tcW w:w="1889"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6EC47E54" w14:textId="77777777" w:rsidR="001223E4" w:rsidRPr="005D4222" w:rsidRDefault="001223E4" w:rsidP="00A53E8C">
            <w:pPr>
              <w:pStyle w:val="TableText"/>
            </w:pPr>
            <w:r w:rsidRPr="005D4222">
              <w:t>CYAR</w:t>
            </w:r>
          </w:p>
        </w:tc>
        <w:tc>
          <w:tcPr>
            <w:tcW w:w="156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032F4DD0" w14:textId="77777777" w:rsidR="001223E4" w:rsidRPr="005D4222" w:rsidRDefault="001223E4" w:rsidP="00A53E8C">
            <w:pPr>
              <w:pStyle w:val="TableText"/>
            </w:pPr>
            <w:r w:rsidRPr="005D4222">
              <w:t>Current year’s administrative rate</w:t>
            </w:r>
          </w:p>
        </w:tc>
        <w:tc>
          <w:tcPr>
            <w:tcW w:w="70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48C8CA40" w14:textId="77777777" w:rsidR="001223E4" w:rsidRPr="005D4222" w:rsidRDefault="001223E4" w:rsidP="00A53E8C">
            <w:pPr>
              <w:pStyle w:val="TableText"/>
              <w:jc w:val="center"/>
              <w:rPr>
                <w:rFonts w:cs="Arial"/>
                <w:sz w:val="24"/>
              </w:rPr>
            </w:pPr>
          </w:p>
        </w:tc>
        <w:tc>
          <w:tcPr>
            <w:tcW w:w="841"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A03E11A" w14:textId="77777777" w:rsidR="001223E4" w:rsidRPr="005D4222" w:rsidRDefault="001223E4" w:rsidP="00A53E8C">
            <w:pPr>
              <w:pStyle w:val="TableText"/>
              <w:jc w:val="center"/>
              <w:rPr>
                <w:rFonts w:ascii="Wingdings" w:eastAsia="Wingdings" w:hAnsi="Wingdings" w:cs="Wingdings"/>
                <w:sz w:val="24"/>
              </w:rPr>
            </w:pPr>
            <w:r w:rsidRPr="005D4222">
              <w:rPr>
                <w:rFonts w:ascii="Wingdings" w:eastAsia="Wingdings" w:hAnsi="Wingdings" w:cs="Wingdings"/>
                <w:sz w:val="24"/>
              </w:rPr>
              <w:t></w:t>
            </w:r>
          </w:p>
        </w:tc>
        <w:tc>
          <w:tcPr>
            <w:tcW w:w="728"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61DF89D8" w14:textId="77777777" w:rsidR="001223E4" w:rsidRPr="005D4222" w:rsidRDefault="001223E4" w:rsidP="00A53E8C">
            <w:pPr>
              <w:pStyle w:val="TableText"/>
              <w:jc w:val="center"/>
              <w:rPr>
                <w:rFonts w:ascii="Wingdings" w:eastAsia="Wingdings" w:hAnsi="Wingdings" w:cs="Wingdings"/>
                <w:sz w:val="24"/>
              </w:rPr>
            </w:pPr>
          </w:p>
        </w:tc>
        <w:tc>
          <w:tcPr>
            <w:tcW w:w="4051"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tcPr>
          <w:p w14:paraId="57B816C8" w14:textId="77777777" w:rsidR="001223E4" w:rsidRPr="005D4222" w:rsidRDefault="001223E4" w:rsidP="00A53E8C">
            <w:pPr>
              <w:pStyle w:val="TableText"/>
            </w:pPr>
            <w:r w:rsidRPr="005D4222">
              <w:t>This is a calculated field in IDSS.</w:t>
            </w:r>
          </w:p>
          <w:p w14:paraId="4C4EE566" w14:textId="77777777" w:rsidR="001223E4" w:rsidRPr="005D4222" w:rsidRDefault="001223E4" w:rsidP="00A53E8C">
            <w:pPr>
              <w:pStyle w:val="TableText"/>
            </w:pPr>
            <w:r w:rsidRPr="005D4222">
              <w:t>NumeratorByAdminDenom / (InitialPopulation – Exclusions)</w:t>
            </w:r>
          </w:p>
          <w:p w14:paraId="09C365BB" w14:textId="77777777" w:rsidR="001223E4" w:rsidRPr="005D4222" w:rsidRDefault="001223E4" w:rsidP="00A53E8C">
            <w:pPr>
              <w:pStyle w:val="TableText"/>
              <w:rPr>
                <w:i/>
                <w:iCs/>
              </w:rPr>
            </w:pPr>
            <w:r w:rsidRPr="005D4222">
              <w:rPr>
                <w:i/>
                <w:iCs/>
              </w:rPr>
              <w:t>This rate may or may not include numerator events by supplemental data.</w:t>
            </w:r>
          </w:p>
        </w:tc>
      </w:tr>
      <w:tr w:rsidR="001223E4" w:rsidRPr="005D4222" w14:paraId="6CA66353" w14:textId="77777777" w:rsidTr="00895FBD">
        <w:tc>
          <w:tcPr>
            <w:tcW w:w="1889"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4B72EEA7" w14:textId="77777777" w:rsidR="001223E4" w:rsidRPr="005D4222" w:rsidRDefault="001223E4" w:rsidP="00A53E8C">
            <w:pPr>
              <w:pStyle w:val="TableText"/>
            </w:pPr>
            <w:r w:rsidRPr="005D4222">
              <w:t>MinReqSampleSize</w:t>
            </w:r>
          </w:p>
        </w:tc>
        <w:tc>
          <w:tcPr>
            <w:tcW w:w="156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133A5756" w14:textId="77777777" w:rsidR="001223E4" w:rsidRPr="005D4222" w:rsidRDefault="001223E4" w:rsidP="00A53E8C">
            <w:pPr>
              <w:pStyle w:val="TableText"/>
            </w:pPr>
            <w:r w:rsidRPr="005D4222">
              <w:t xml:space="preserve">Minimum required sample size (MRSS) </w:t>
            </w:r>
          </w:p>
        </w:tc>
        <w:tc>
          <w:tcPr>
            <w:tcW w:w="70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4035297A" w14:textId="77777777" w:rsidR="001223E4" w:rsidRPr="005D4222" w:rsidRDefault="001223E4" w:rsidP="00A53E8C">
            <w:pPr>
              <w:pStyle w:val="TableText"/>
              <w:jc w:val="center"/>
              <w:rPr>
                <w:rFonts w:cs="Arial"/>
                <w:sz w:val="24"/>
              </w:rPr>
            </w:pPr>
          </w:p>
        </w:tc>
        <w:tc>
          <w:tcPr>
            <w:tcW w:w="841"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284FFBE" w14:textId="77777777" w:rsidR="001223E4" w:rsidRPr="005D4222" w:rsidRDefault="001223E4" w:rsidP="00A53E8C">
            <w:pPr>
              <w:pStyle w:val="TableText"/>
              <w:jc w:val="center"/>
              <w:rPr>
                <w:rFonts w:ascii="Wingdings" w:eastAsia="Wingdings" w:hAnsi="Wingdings" w:cs="Wingdings"/>
                <w:sz w:val="24"/>
              </w:rPr>
            </w:pPr>
            <w:r w:rsidRPr="005D4222">
              <w:rPr>
                <w:rFonts w:ascii="Wingdings" w:eastAsia="Wingdings" w:hAnsi="Wingdings" w:cs="Wingdings"/>
                <w:sz w:val="24"/>
              </w:rPr>
              <w:t></w:t>
            </w:r>
          </w:p>
        </w:tc>
        <w:tc>
          <w:tcPr>
            <w:tcW w:w="728"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353EE5E" w14:textId="77777777" w:rsidR="001223E4" w:rsidRPr="005D4222" w:rsidRDefault="001223E4" w:rsidP="00A53E8C">
            <w:pPr>
              <w:pStyle w:val="TableText"/>
              <w:jc w:val="center"/>
              <w:rPr>
                <w:rFonts w:ascii="Wingdings" w:eastAsia="Wingdings" w:hAnsi="Wingdings" w:cs="Wingdings"/>
                <w:sz w:val="24"/>
              </w:rPr>
            </w:pPr>
          </w:p>
        </w:tc>
        <w:tc>
          <w:tcPr>
            <w:tcW w:w="4051"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tcPr>
          <w:p w14:paraId="55EC7DE3" w14:textId="77777777" w:rsidR="001223E4" w:rsidRPr="005D4222" w:rsidRDefault="001223E4" w:rsidP="00A53E8C">
            <w:pPr>
              <w:pStyle w:val="TableText"/>
            </w:pPr>
            <w:r w:rsidRPr="005D4222">
              <w:t>When selecting the sample, this is the required number of members in the sample. Organizations can reduce their samples using Tables 2 in the sampling guidelines.</w:t>
            </w:r>
          </w:p>
        </w:tc>
      </w:tr>
      <w:tr w:rsidR="00895FBD" w:rsidRPr="005D4222" w14:paraId="08D8D083" w14:textId="77777777" w:rsidTr="00895FBD">
        <w:tc>
          <w:tcPr>
            <w:tcW w:w="1889"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46E8546B" w14:textId="77777777" w:rsidR="00895FBD" w:rsidRPr="005D4222" w:rsidRDefault="00895FBD">
            <w:pPr>
              <w:pStyle w:val="TableText"/>
            </w:pPr>
            <w:r w:rsidRPr="005D4222">
              <w:t>OversampleRate</w:t>
            </w:r>
          </w:p>
        </w:tc>
        <w:tc>
          <w:tcPr>
            <w:tcW w:w="156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59FB576C" w14:textId="77777777" w:rsidR="00895FBD" w:rsidRPr="005D4222" w:rsidRDefault="00895FBD">
            <w:pPr>
              <w:pStyle w:val="TableText"/>
            </w:pPr>
            <w:r w:rsidRPr="005D4222">
              <w:t>Oversampling rate</w:t>
            </w:r>
          </w:p>
        </w:tc>
        <w:tc>
          <w:tcPr>
            <w:tcW w:w="70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1A55C02D" w14:textId="77777777" w:rsidR="00895FBD" w:rsidRPr="005D4222" w:rsidRDefault="00895FBD">
            <w:pPr>
              <w:pStyle w:val="TableText"/>
              <w:jc w:val="center"/>
              <w:rPr>
                <w:rFonts w:cs="Arial"/>
                <w:sz w:val="24"/>
              </w:rPr>
            </w:pPr>
          </w:p>
        </w:tc>
        <w:tc>
          <w:tcPr>
            <w:tcW w:w="841"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66BA2E13" w14:textId="77777777" w:rsidR="00895FBD" w:rsidRPr="005D4222" w:rsidRDefault="00895FBD">
            <w:pPr>
              <w:pStyle w:val="TableText"/>
              <w:jc w:val="center"/>
              <w:rPr>
                <w:rFonts w:ascii="Wingdings" w:eastAsia="Wingdings" w:hAnsi="Wingdings" w:cs="Wingdings"/>
                <w:sz w:val="24"/>
              </w:rPr>
            </w:pPr>
            <w:r w:rsidRPr="005D4222">
              <w:rPr>
                <w:rFonts w:ascii="Wingdings" w:eastAsia="Wingdings" w:hAnsi="Wingdings" w:cs="Wingdings"/>
                <w:sz w:val="24"/>
              </w:rPr>
              <w:t></w:t>
            </w:r>
          </w:p>
        </w:tc>
        <w:tc>
          <w:tcPr>
            <w:tcW w:w="728"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0F8683CB" w14:textId="77777777" w:rsidR="00895FBD" w:rsidRPr="005D4222" w:rsidRDefault="00895FBD">
            <w:pPr>
              <w:pStyle w:val="TableText"/>
              <w:jc w:val="center"/>
              <w:rPr>
                <w:rFonts w:ascii="Wingdings" w:eastAsia="Wingdings" w:hAnsi="Wingdings" w:cs="Wingdings"/>
                <w:sz w:val="24"/>
              </w:rPr>
            </w:pPr>
          </w:p>
        </w:tc>
        <w:tc>
          <w:tcPr>
            <w:tcW w:w="4051"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tcPr>
          <w:p w14:paraId="367AC402" w14:textId="77777777" w:rsidR="00895FBD" w:rsidRPr="005D4222" w:rsidRDefault="00895FBD">
            <w:pPr>
              <w:pStyle w:val="TableText"/>
            </w:pPr>
            <w:r w:rsidRPr="005D4222">
              <w:t xml:space="preserve">The percentage of additional records used only to replace exclusions and valid data errors in the denominator reported as a proportion. Organizations that need more than a 20% oversample must contact NCQA. </w:t>
            </w:r>
          </w:p>
          <w:p w14:paraId="1EBE6296" w14:textId="77777777" w:rsidR="00895FBD" w:rsidRPr="005D4222" w:rsidRDefault="00895FBD">
            <w:pPr>
              <w:pStyle w:val="TableText"/>
            </w:pPr>
            <w:r w:rsidRPr="005D4222">
              <w:t xml:space="preserve">The oversample rate should reflect the true percentage that an organization needs to maintain the MRSS and should not result in an amount larger than the eligible population. </w:t>
            </w:r>
          </w:p>
        </w:tc>
      </w:tr>
    </w:tbl>
    <w:p w14:paraId="463D5CA4" w14:textId="77777777" w:rsidR="001223E4" w:rsidRPr="005D4222" w:rsidRDefault="001223E4" w:rsidP="001223E4">
      <w:pPr>
        <w:spacing w:after="160" w:line="259" w:lineRule="auto"/>
      </w:pPr>
      <w:r w:rsidRPr="005D4222">
        <w:br w:type="page"/>
      </w:r>
    </w:p>
    <w:tbl>
      <w:tblPr>
        <w:tblW w:w="5036" w:type="pct"/>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89"/>
        <w:gridCol w:w="1564"/>
        <w:gridCol w:w="704"/>
        <w:gridCol w:w="841"/>
        <w:gridCol w:w="728"/>
        <w:gridCol w:w="4051"/>
      </w:tblGrid>
      <w:tr w:rsidR="001223E4" w:rsidRPr="005D4222" w14:paraId="629D24DD" w14:textId="77777777" w:rsidTr="00895FBD">
        <w:trPr>
          <w:tblHeader/>
        </w:trPr>
        <w:tc>
          <w:tcPr>
            <w:tcW w:w="1889" w:type="dxa"/>
            <w:tcBorders>
              <w:top w:val="single" w:sz="6" w:space="0" w:color="auto"/>
              <w:left w:val="single" w:sz="6" w:space="0" w:color="auto"/>
              <w:bottom w:val="single" w:sz="6" w:space="0" w:color="auto"/>
              <w:right w:val="single" w:sz="4" w:space="0" w:color="FFFFFF" w:themeColor="background1"/>
            </w:tcBorders>
            <w:shd w:val="clear" w:color="auto" w:fill="000000" w:themeFill="text1"/>
            <w:tcMar>
              <w:left w:w="58" w:type="dxa"/>
              <w:right w:w="58" w:type="dxa"/>
            </w:tcMar>
          </w:tcPr>
          <w:p w14:paraId="3B17D23A" w14:textId="77777777" w:rsidR="001223E4" w:rsidRPr="005D4222" w:rsidRDefault="001223E4" w:rsidP="00A53E8C">
            <w:pPr>
              <w:pStyle w:val="TableHead"/>
            </w:pPr>
            <w:r w:rsidRPr="005D4222">
              <w:lastRenderedPageBreak/>
              <w:t>Data Element</w:t>
            </w:r>
          </w:p>
        </w:tc>
        <w:tc>
          <w:tcPr>
            <w:tcW w:w="1564" w:type="dxa"/>
            <w:tcBorders>
              <w:top w:val="single" w:sz="6" w:space="0" w:color="auto"/>
              <w:left w:val="single" w:sz="4" w:space="0" w:color="FFFFFF" w:themeColor="background1"/>
              <w:bottom w:val="single" w:sz="6" w:space="0" w:color="auto"/>
              <w:right w:val="nil"/>
            </w:tcBorders>
            <w:shd w:val="clear" w:color="auto" w:fill="000000" w:themeFill="text1"/>
            <w:tcMar>
              <w:left w:w="58" w:type="dxa"/>
              <w:right w:w="58" w:type="dxa"/>
            </w:tcMar>
            <w:vAlign w:val="bottom"/>
          </w:tcPr>
          <w:p w14:paraId="1BE8BBF6" w14:textId="77777777" w:rsidR="001223E4" w:rsidRPr="005D4222" w:rsidRDefault="001223E4" w:rsidP="00A53E8C">
            <w:pPr>
              <w:pStyle w:val="TableHead"/>
            </w:pPr>
            <w:r w:rsidRPr="005D4222">
              <w:t>Description</w:t>
            </w:r>
          </w:p>
        </w:tc>
        <w:tc>
          <w:tcPr>
            <w:tcW w:w="704" w:type="dxa"/>
            <w:tcBorders>
              <w:top w:val="single" w:sz="6" w:space="0" w:color="auto"/>
              <w:left w:val="single" w:sz="6" w:space="0" w:color="FFFFFF" w:themeColor="background1"/>
              <w:bottom w:val="single" w:sz="6" w:space="0" w:color="auto"/>
              <w:right w:val="single" w:sz="6" w:space="0" w:color="FFFFFF" w:themeColor="background1"/>
            </w:tcBorders>
            <w:shd w:val="clear" w:color="auto" w:fill="000000" w:themeFill="text1"/>
            <w:tcMar>
              <w:left w:w="58" w:type="dxa"/>
              <w:right w:w="58" w:type="dxa"/>
            </w:tcMar>
            <w:vAlign w:val="bottom"/>
          </w:tcPr>
          <w:p w14:paraId="4A7F8B62" w14:textId="77777777" w:rsidR="001223E4" w:rsidRPr="005D4222" w:rsidRDefault="001223E4" w:rsidP="00A53E8C">
            <w:pPr>
              <w:pStyle w:val="TableHead"/>
            </w:pPr>
            <w:r w:rsidRPr="005D4222">
              <w:t>Admin</w:t>
            </w:r>
          </w:p>
        </w:tc>
        <w:tc>
          <w:tcPr>
            <w:tcW w:w="841" w:type="dxa"/>
            <w:tcBorders>
              <w:top w:val="single" w:sz="6" w:space="0" w:color="auto"/>
              <w:left w:val="nil"/>
              <w:bottom w:val="single" w:sz="6" w:space="0" w:color="auto"/>
              <w:right w:val="single" w:sz="4" w:space="0" w:color="FFFFFF" w:themeColor="background1"/>
            </w:tcBorders>
            <w:shd w:val="clear" w:color="auto" w:fill="000000" w:themeFill="text1"/>
            <w:vAlign w:val="bottom"/>
          </w:tcPr>
          <w:p w14:paraId="1A12FF3A" w14:textId="77777777" w:rsidR="001223E4" w:rsidRPr="005D4222" w:rsidRDefault="001223E4" w:rsidP="00A53E8C">
            <w:pPr>
              <w:pStyle w:val="TableHead"/>
            </w:pPr>
            <w:r w:rsidRPr="005D4222">
              <w:t>Hybrid</w:t>
            </w:r>
          </w:p>
        </w:tc>
        <w:tc>
          <w:tcPr>
            <w:tcW w:w="728" w:type="dxa"/>
            <w:tcBorders>
              <w:top w:val="single" w:sz="6" w:space="0" w:color="auto"/>
              <w:left w:val="single" w:sz="4" w:space="0" w:color="FFFFFF" w:themeColor="background1"/>
              <w:bottom w:val="single" w:sz="6" w:space="0" w:color="auto"/>
              <w:right w:val="nil"/>
            </w:tcBorders>
            <w:shd w:val="clear" w:color="auto" w:fill="000000" w:themeFill="text1"/>
            <w:vAlign w:val="bottom"/>
          </w:tcPr>
          <w:p w14:paraId="65D618A1" w14:textId="77777777" w:rsidR="001223E4" w:rsidRPr="005D4222" w:rsidRDefault="001223E4" w:rsidP="00A53E8C">
            <w:pPr>
              <w:pStyle w:val="TableHead"/>
            </w:pPr>
            <w:r w:rsidRPr="005D4222">
              <w:t>ECDS</w:t>
            </w:r>
          </w:p>
        </w:tc>
        <w:tc>
          <w:tcPr>
            <w:tcW w:w="4051" w:type="dxa"/>
            <w:tcBorders>
              <w:top w:val="single" w:sz="6" w:space="0" w:color="auto"/>
              <w:left w:val="single" w:sz="4" w:space="0" w:color="FFFFFF" w:themeColor="background1"/>
              <w:bottom w:val="single" w:sz="6" w:space="0" w:color="auto"/>
              <w:right w:val="single" w:sz="4" w:space="0" w:color="auto"/>
            </w:tcBorders>
            <w:shd w:val="clear" w:color="auto" w:fill="000000" w:themeFill="text1"/>
            <w:tcMar>
              <w:left w:w="58" w:type="dxa"/>
              <w:right w:w="58" w:type="dxa"/>
            </w:tcMar>
            <w:vAlign w:val="bottom"/>
          </w:tcPr>
          <w:p w14:paraId="617BBA0B" w14:textId="77777777" w:rsidR="001223E4" w:rsidRPr="005D4222" w:rsidRDefault="001223E4" w:rsidP="00A53E8C">
            <w:pPr>
              <w:pStyle w:val="TableHead"/>
            </w:pPr>
            <w:r w:rsidRPr="005D4222">
              <w:t>Meaning</w:t>
            </w:r>
          </w:p>
        </w:tc>
      </w:tr>
      <w:tr w:rsidR="001223E4" w:rsidRPr="005D4222" w14:paraId="3904B2A8" w14:textId="77777777" w:rsidTr="00895FBD">
        <w:tc>
          <w:tcPr>
            <w:tcW w:w="1889"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7CCED24A" w14:textId="77777777" w:rsidR="001223E4" w:rsidRPr="005D4222" w:rsidRDefault="001223E4" w:rsidP="00A53E8C">
            <w:pPr>
              <w:pStyle w:val="TableText"/>
            </w:pPr>
            <w:r w:rsidRPr="005D4222">
              <w:t>OversampleRecordsNumber</w:t>
            </w:r>
          </w:p>
        </w:tc>
        <w:tc>
          <w:tcPr>
            <w:tcW w:w="156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25666715" w14:textId="77777777" w:rsidR="001223E4" w:rsidRPr="005D4222" w:rsidRDefault="001223E4" w:rsidP="00A53E8C">
            <w:pPr>
              <w:pStyle w:val="TableText"/>
            </w:pPr>
            <w:r w:rsidRPr="005D4222">
              <w:t>Number of oversample records</w:t>
            </w:r>
          </w:p>
        </w:tc>
        <w:tc>
          <w:tcPr>
            <w:tcW w:w="70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648D5064" w14:textId="77777777" w:rsidR="001223E4" w:rsidRPr="005D4222" w:rsidRDefault="001223E4" w:rsidP="00A53E8C">
            <w:pPr>
              <w:pStyle w:val="TableText"/>
              <w:jc w:val="center"/>
              <w:rPr>
                <w:rFonts w:cs="Arial"/>
                <w:sz w:val="24"/>
              </w:rPr>
            </w:pPr>
          </w:p>
        </w:tc>
        <w:tc>
          <w:tcPr>
            <w:tcW w:w="841"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1C51FC46" w14:textId="77777777" w:rsidR="001223E4" w:rsidRPr="005D4222" w:rsidRDefault="001223E4" w:rsidP="00A53E8C">
            <w:pPr>
              <w:pStyle w:val="TableText"/>
              <w:jc w:val="center"/>
              <w:rPr>
                <w:rFonts w:ascii="Wingdings" w:eastAsia="Wingdings" w:hAnsi="Wingdings" w:cs="Wingdings"/>
                <w:sz w:val="24"/>
              </w:rPr>
            </w:pPr>
            <w:r w:rsidRPr="005D4222">
              <w:rPr>
                <w:rFonts w:ascii="Wingdings" w:eastAsia="Wingdings" w:hAnsi="Wingdings" w:cs="Wingdings"/>
                <w:sz w:val="24"/>
              </w:rPr>
              <w:t></w:t>
            </w:r>
          </w:p>
        </w:tc>
        <w:tc>
          <w:tcPr>
            <w:tcW w:w="728"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1047CB25" w14:textId="77777777" w:rsidR="001223E4" w:rsidRPr="005D4222" w:rsidRDefault="001223E4" w:rsidP="00A53E8C">
            <w:pPr>
              <w:pStyle w:val="TableText"/>
              <w:jc w:val="center"/>
              <w:rPr>
                <w:rFonts w:ascii="Wingdings" w:eastAsia="Wingdings" w:hAnsi="Wingdings" w:cs="Wingdings"/>
                <w:sz w:val="24"/>
              </w:rPr>
            </w:pPr>
          </w:p>
        </w:tc>
        <w:tc>
          <w:tcPr>
            <w:tcW w:w="4051"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2D490962" w14:textId="77777777" w:rsidR="001223E4" w:rsidRPr="005D4222" w:rsidRDefault="001223E4" w:rsidP="00A53E8C">
            <w:pPr>
              <w:pStyle w:val="TableText"/>
              <w:spacing w:before="40" w:after="40"/>
            </w:pPr>
            <w:r w:rsidRPr="005D4222">
              <w:t>This is a calculated field in IDSS. MinReqSampleSize * OversampleRate (rounded up to next whole number)</w:t>
            </w:r>
          </w:p>
          <w:p w14:paraId="65F9BE41" w14:textId="77777777" w:rsidR="001223E4" w:rsidRPr="005D4222" w:rsidRDefault="001223E4" w:rsidP="00A53E8C">
            <w:pPr>
              <w:pStyle w:val="TableText"/>
            </w:pPr>
            <w:r w:rsidRPr="005D4222">
              <w:rPr>
                <w:i/>
              </w:rPr>
              <w:t>Oversample records should be used only to replace cases taken out of the sample because of valid data errors, false positives, etc., otherwise, not all records will be reported in the final denominator.</w:t>
            </w:r>
          </w:p>
        </w:tc>
      </w:tr>
      <w:tr w:rsidR="001223E4" w:rsidRPr="005D4222" w14:paraId="66D1B329" w14:textId="77777777" w:rsidTr="00895FBD">
        <w:tc>
          <w:tcPr>
            <w:tcW w:w="1889"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0446B838" w14:textId="77777777" w:rsidR="001223E4" w:rsidRPr="005D4222" w:rsidRDefault="001223E4" w:rsidP="00A53E8C">
            <w:pPr>
              <w:pStyle w:val="TableText"/>
            </w:pPr>
            <w:r w:rsidRPr="005D4222">
              <w:t>ExclusionValidDataErrors</w:t>
            </w:r>
          </w:p>
        </w:tc>
        <w:tc>
          <w:tcPr>
            <w:tcW w:w="156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2815E003" w14:textId="77777777" w:rsidR="001223E4" w:rsidRPr="005D4222" w:rsidRDefault="001223E4" w:rsidP="00A53E8C">
            <w:pPr>
              <w:pStyle w:val="TableText"/>
            </w:pPr>
            <w:r w:rsidRPr="005D4222">
              <w:t xml:space="preserve">Number of original sample records excluded because of valid data errors </w:t>
            </w:r>
          </w:p>
        </w:tc>
        <w:tc>
          <w:tcPr>
            <w:tcW w:w="70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6A3F983F" w14:textId="77777777" w:rsidR="001223E4" w:rsidRPr="005D4222" w:rsidRDefault="001223E4" w:rsidP="00A53E8C">
            <w:pPr>
              <w:pStyle w:val="TableText"/>
              <w:jc w:val="center"/>
              <w:rPr>
                <w:rFonts w:cs="Arial"/>
                <w:sz w:val="24"/>
              </w:rPr>
            </w:pPr>
          </w:p>
        </w:tc>
        <w:tc>
          <w:tcPr>
            <w:tcW w:w="841"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24C09BD4" w14:textId="77777777" w:rsidR="001223E4" w:rsidRPr="005D4222" w:rsidRDefault="001223E4" w:rsidP="00A53E8C">
            <w:pPr>
              <w:pStyle w:val="TableText"/>
              <w:jc w:val="center"/>
              <w:rPr>
                <w:rFonts w:ascii="Wingdings" w:eastAsia="Wingdings" w:hAnsi="Wingdings" w:cs="Wingdings"/>
                <w:sz w:val="24"/>
              </w:rPr>
            </w:pPr>
            <w:r w:rsidRPr="005D4222">
              <w:rPr>
                <w:rFonts w:ascii="Wingdings" w:eastAsia="Wingdings" w:hAnsi="Wingdings" w:cs="Wingdings"/>
                <w:sz w:val="24"/>
              </w:rPr>
              <w:t></w:t>
            </w:r>
          </w:p>
        </w:tc>
        <w:tc>
          <w:tcPr>
            <w:tcW w:w="728"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0C26DFEC" w14:textId="77777777" w:rsidR="001223E4" w:rsidRPr="005D4222" w:rsidRDefault="001223E4" w:rsidP="00A53E8C">
            <w:pPr>
              <w:pStyle w:val="TableText"/>
              <w:jc w:val="center"/>
              <w:rPr>
                <w:rFonts w:ascii="Wingdings" w:eastAsia="Wingdings" w:hAnsi="Wingdings" w:cs="Wingdings"/>
                <w:sz w:val="24"/>
              </w:rPr>
            </w:pPr>
          </w:p>
        </w:tc>
        <w:tc>
          <w:tcPr>
            <w:tcW w:w="4051"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4A691449" w14:textId="77777777" w:rsidR="001223E4" w:rsidRPr="005D4222" w:rsidRDefault="001223E4" w:rsidP="00A53E8C">
            <w:pPr>
              <w:pStyle w:val="TableText"/>
              <w:rPr>
                <w:rStyle w:val="normaltextrun"/>
                <w:rFonts w:cs="Segoe UI"/>
                <w:u w:val="single"/>
                <w:shd w:val="clear" w:color="auto" w:fill="E1F2FA"/>
              </w:rPr>
            </w:pPr>
            <w:r w:rsidRPr="005D4222">
              <w:t xml:space="preserve">If medical record review shows that the member does not meet the criteria outlined in the administrative denominator, that member is considered a valid data error. </w:t>
            </w:r>
          </w:p>
          <w:p w14:paraId="3C3C0D29" w14:textId="77777777" w:rsidR="001223E4" w:rsidRPr="005D4222" w:rsidRDefault="001223E4" w:rsidP="00A53E8C">
            <w:pPr>
              <w:pStyle w:val="TableText"/>
              <w:spacing w:before="40" w:after="40"/>
            </w:pPr>
            <w:r w:rsidRPr="005D4222">
              <w:t xml:space="preserve">If an administrative exclusion is found during data refresh, the member is also considered a valid data error. </w:t>
            </w:r>
          </w:p>
        </w:tc>
      </w:tr>
      <w:tr w:rsidR="001223E4" w:rsidRPr="005D4222" w14:paraId="612F2FFD" w14:textId="77777777" w:rsidTr="00895FBD">
        <w:tc>
          <w:tcPr>
            <w:tcW w:w="1889"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15D320DC" w14:textId="77777777" w:rsidR="001223E4" w:rsidRPr="005D4222" w:rsidRDefault="001223E4" w:rsidP="00A53E8C">
            <w:pPr>
              <w:pStyle w:val="TableText"/>
            </w:pPr>
            <w:r w:rsidRPr="005D4222">
              <w:t>ExclusionEmployeeOrDep</w:t>
            </w:r>
          </w:p>
        </w:tc>
        <w:tc>
          <w:tcPr>
            <w:tcW w:w="156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5FA06027" w14:textId="77777777" w:rsidR="001223E4" w:rsidRPr="005D4222" w:rsidRDefault="001223E4" w:rsidP="00A53E8C">
            <w:pPr>
              <w:pStyle w:val="TableText"/>
            </w:pPr>
            <w:r w:rsidRPr="005D4222">
              <w:t xml:space="preserve">Number of employee/ dependent medical records excluded </w:t>
            </w:r>
          </w:p>
        </w:tc>
        <w:tc>
          <w:tcPr>
            <w:tcW w:w="70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269595E8" w14:textId="77777777" w:rsidR="001223E4" w:rsidRPr="005D4222" w:rsidRDefault="001223E4" w:rsidP="00A53E8C">
            <w:pPr>
              <w:pStyle w:val="TableText"/>
              <w:jc w:val="center"/>
              <w:rPr>
                <w:rFonts w:cs="Arial"/>
                <w:sz w:val="24"/>
              </w:rPr>
            </w:pPr>
          </w:p>
        </w:tc>
        <w:tc>
          <w:tcPr>
            <w:tcW w:w="841"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3A4A1AC" w14:textId="77777777" w:rsidR="001223E4" w:rsidRPr="005D4222" w:rsidRDefault="001223E4" w:rsidP="00A53E8C">
            <w:pPr>
              <w:pStyle w:val="TableText"/>
              <w:jc w:val="center"/>
              <w:rPr>
                <w:rFonts w:ascii="Wingdings" w:eastAsia="Wingdings" w:hAnsi="Wingdings" w:cs="Wingdings"/>
                <w:sz w:val="24"/>
              </w:rPr>
            </w:pPr>
            <w:r w:rsidRPr="005D4222">
              <w:rPr>
                <w:rFonts w:ascii="Wingdings" w:eastAsia="Wingdings" w:hAnsi="Wingdings" w:cs="Wingdings"/>
                <w:sz w:val="24"/>
              </w:rPr>
              <w:t></w:t>
            </w:r>
          </w:p>
        </w:tc>
        <w:tc>
          <w:tcPr>
            <w:tcW w:w="728"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6DDB2CC2" w14:textId="77777777" w:rsidR="001223E4" w:rsidRPr="005D4222" w:rsidRDefault="001223E4" w:rsidP="00A53E8C">
            <w:pPr>
              <w:pStyle w:val="TableText"/>
              <w:jc w:val="center"/>
              <w:rPr>
                <w:rFonts w:ascii="Wingdings" w:eastAsia="Wingdings" w:hAnsi="Wingdings" w:cs="Wingdings"/>
                <w:sz w:val="24"/>
              </w:rPr>
            </w:pPr>
          </w:p>
        </w:tc>
        <w:tc>
          <w:tcPr>
            <w:tcW w:w="4051"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tcPr>
          <w:p w14:paraId="0C50F030" w14:textId="77777777" w:rsidR="001223E4" w:rsidRPr="005D4222" w:rsidRDefault="001223E4" w:rsidP="00A53E8C">
            <w:pPr>
              <w:pStyle w:val="TableText"/>
              <w:spacing w:before="40" w:after="40"/>
            </w:pPr>
            <w:r w:rsidRPr="005D4222">
              <w:t>Number of records in the sample excluded because the member was an organization employee or a dependent of an organization employee.</w:t>
            </w:r>
          </w:p>
          <w:p w14:paraId="181B0F85" w14:textId="77777777" w:rsidR="001223E4" w:rsidRPr="005D4222" w:rsidRDefault="001223E4" w:rsidP="00A53E8C">
            <w:pPr>
              <w:pStyle w:val="TableText"/>
            </w:pPr>
            <w:r w:rsidRPr="005D4222">
              <w:rPr>
                <w:i/>
                <w:iCs/>
              </w:rPr>
              <w:t>Employees/dependents are only excluded from the sample, they are not removed from the initial population.</w:t>
            </w:r>
          </w:p>
        </w:tc>
      </w:tr>
      <w:tr w:rsidR="001223E4" w:rsidRPr="005D4222" w14:paraId="217EF8B5" w14:textId="77777777" w:rsidTr="00895FBD">
        <w:tc>
          <w:tcPr>
            <w:tcW w:w="1889"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6A50F278" w14:textId="77777777" w:rsidR="001223E4" w:rsidRPr="005D4222" w:rsidRDefault="001223E4" w:rsidP="00A53E8C">
            <w:pPr>
              <w:pStyle w:val="TableText"/>
            </w:pPr>
            <w:r w:rsidRPr="005D4222">
              <w:rPr>
                <w:rFonts w:eastAsia="Arial Narrow"/>
              </w:rPr>
              <w:t>OversampleRecsAdded</w:t>
            </w:r>
          </w:p>
        </w:tc>
        <w:tc>
          <w:tcPr>
            <w:tcW w:w="156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3E72E592" w14:textId="77777777" w:rsidR="001223E4" w:rsidRPr="005D4222" w:rsidRDefault="001223E4" w:rsidP="00A53E8C">
            <w:pPr>
              <w:pStyle w:val="TableText"/>
            </w:pPr>
            <w:r w:rsidRPr="005D4222">
              <w:t xml:space="preserve">Records added from the oversample list </w:t>
            </w:r>
          </w:p>
        </w:tc>
        <w:tc>
          <w:tcPr>
            <w:tcW w:w="70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58DDF52B" w14:textId="77777777" w:rsidR="001223E4" w:rsidRPr="005D4222" w:rsidRDefault="001223E4" w:rsidP="00A53E8C">
            <w:pPr>
              <w:pStyle w:val="TableText"/>
              <w:jc w:val="center"/>
              <w:rPr>
                <w:rFonts w:cs="Arial"/>
                <w:sz w:val="24"/>
              </w:rPr>
            </w:pPr>
          </w:p>
        </w:tc>
        <w:tc>
          <w:tcPr>
            <w:tcW w:w="841"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613585F" w14:textId="77777777" w:rsidR="001223E4" w:rsidRPr="005D4222" w:rsidRDefault="001223E4" w:rsidP="00A53E8C">
            <w:pPr>
              <w:pStyle w:val="TableText"/>
              <w:jc w:val="center"/>
              <w:rPr>
                <w:rFonts w:ascii="Wingdings" w:eastAsia="Wingdings" w:hAnsi="Wingdings" w:cs="Wingdings"/>
                <w:sz w:val="24"/>
              </w:rPr>
            </w:pPr>
            <w:r w:rsidRPr="005D4222">
              <w:rPr>
                <w:rFonts w:ascii="Wingdings" w:eastAsia="Wingdings" w:hAnsi="Wingdings" w:cs="Wingdings"/>
                <w:sz w:val="24"/>
              </w:rPr>
              <w:t></w:t>
            </w:r>
          </w:p>
        </w:tc>
        <w:tc>
          <w:tcPr>
            <w:tcW w:w="728"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3F3227FA" w14:textId="77777777" w:rsidR="001223E4" w:rsidRPr="005D4222" w:rsidRDefault="001223E4" w:rsidP="00A53E8C">
            <w:pPr>
              <w:pStyle w:val="TableText"/>
              <w:jc w:val="center"/>
              <w:rPr>
                <w:rFonts w:ascii="Wingdings" w:eastAsia="Wingdings" w:hAnsi="Wingdings" w:cs="Wingdings"/>
                <w:sz w:val="24"/>
              </w:rPr>
            </w:pPr>
          </w:p>
        </w:tc>
        <w:tc>
          <w:tcPr>
            <w:tcW w:w="4051"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tcPr>
          <w:p w14:paraId="02347824" w14:textId="77777777" w:rsidR="001223E4" w:rsidRPr="005D4222" w:rsidRDefault="001223E4" w:rsidP="00A53E8C">
            <w:pPr>
              <w:pStyle w:val="TableText"/>
              <w:spacing w:before="40" w:after="40"/>
            </w:pPr>
            <w:r w:rsidRPr="005D4222">
              <w:t xml:space="preserve">Replacement records for members in the sample who had an exclusion or valid data error. </w:t>
            </w:r>
          </w:p>
          <w:p w14:paraId="31F1BA25" w14:textId="77777777" w:rsidR="001223E4" w:rsidRPr="005D4222" w:rsidRDefault="001223E4" w:rsidP="00A53E8C">
            <w:pPr>
              <w:pStyle w:val="TableText"/>
            </w:pPr>
            <w:r w:rsidRPr="005D4222">
              <w:rPr>
                <w:i/>
                <w:iCs/>
              </w:rPr>
              <w:t>This number should not exceed the number of oversample records and should be accounted for in the exclusion categories above.</w:t>
            </w:r>
          </w:p>
        </w:tc>
      </w:tr>
      <w:tr w:rsidR="001223E4" w:rsidRPr="005D4222" w14:paraId="7B8C199C" w14:textId="77777777" w:rsidTr="00895FBD">
        <w:tc>
          <w:tcPr>
            <w:tcW w:w="1889"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1F180B60" w14:textId="77777777" w:rsidR="001223E4" w:rsidRPr="005D4222" w:rsidRDefault="001223E4" w:rsidP="00A53E8C">
            <w:pPr>
              <w:pStyle w:val="TableText"/>
            </w:pPr>
            <w:r w:rsidRPr="005D4222">
              <w:t>Denominator</w:t>
            </w:r>
          </w:p>
        </w:tc>
        <w:tc>
          <w:tcPr>
            <w:tcW w:w="156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7879309F" w14:textId="77777777" w:rsidR="001223E4" w:rsidRPr="005D4222" w:rsidRDefault="001223E4" w:rsidP="00A53E8C">
            <w:pPr>
              <w:pStyle w:val="TableText"/>
            </w:pPr>
            <w:r w:rsidRPr="005D4222">
              <w:t>Denominator</w:t>
            </w:r>
          </w:p>
        </w:tc>
        <w:tc>
          <w:tcPr>
            <w:tcW w:w="70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5C4B404B" w14:textId="77777777" w:rsidR="001223E4" w:rsidRPr="005D4222" w:rsidRDefault="001223E4" w:rsidP="00A53E8C">
            <w:pPr>
              <w:pStyle w:val="TableText"/>
              <w:jc w:val="center"/>
              <w:rPr>
                <w:rFonts w:ascii="Wingdings" w:eastAsia="Wingdings" w:hAnsi="Wingdings" w:cs="Wingdings"/>
                <w:sz w:val="24"/>
                <w:szCs w:val="24"/>
              </w:rPr>
            </w:pPr>
            <w:r w:rsidRPr="005D4222">
              <w:rPr>
                <w:rFonts w:ascii="Wingdings" w:eastAsia="Wingdings" w:hAnsi="Wingdings" w:cs="Wingdings"/>
                <w:sz w:val="24"/>
                <w:szCs w:val="24"/>
              </w:rPr>
              <w:t></w:t>
            </w:r>
          </w:p>
        </w:tc>
        <w:tc>
          <w:tcPr>
            <w:tcW w:w="841"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DEE52E3" w14:textId="77777777" w:rsidR="001223E4" w:rsidRPr="005D4222" w:rsidRDefault="001223E4" w:rsidP="00A53E8C">
            <w:pPr>
              <w:pStyle w:val="TableText"/>
              <w:jc w:val="center"/>
              <w:rPr>
                <w:rFonts w:ascii="Wingdings" w:eastAsia="Wingdings" w:hAnsi="Wingdings" w:cs="Wingdings"/>
                <w:sz w:val="24"/>
              </w:rPr>
            </w:pPr>
            <w:r w:rsidRPr="005D4222">
              <w:rPr>
                <w:rFonts w:ascii="Wingdings" w:eastAsia="Wingdings" w:hAnsi="Wingdings" w:cs="Wingdings"/>
                <w:sz w:val="24"/>
              </w:rPr>
              <w:t></w:t>
            </w:r>
          </w:p>
        </w:tc>
        <w:tc>
          <w:tcPr>
            <w:tcW w:w="728"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AEEBFE8" w14:textId="77777777" w:rsidR="001223E4" w:rsidRPr="005D4222" w:rsidRDefault="001223E4" w:rsidP="00A53E8C">
            <w:pPr>
              <w:pStyle w:val="TableText"/>
              <w:jc w:val="center"/>
              <w:rPr>
                <w:rFonts w:ascii="Wingdings" w:eastAsia="Wingdings" w:hAnsi="Wingdings" w:cs="Wingdings"/>
                <w:sz w:val="24"/>
              </w:rPr>
            </w:pPr>
            <w:r w:rsidRPr="005D4222">
              <w:rPr>
                <w:rFonts w:ascii="Wingdings" w:eastAsia="Wingdings" w:hAnsi="Wingdings" w:cs="Wingdings"/>
                <w:sz w:val="24"/>
                <w:szCs w:val="24"/>
              </w:rPr>
              <w:t></w:t>
            </w:r>
          </w:p>
        </w:tc>
        <w:tc>
          <w:tcPr>
            <w:tcW w:w="4051"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tcPr>
          <w:p w14:paraId="44450145" w14:textId="77777777" w:rsidR="001223E4" w:rsidRPr="005D4222" w:rsidRDefault="001223E4" w:rsidP="00A53E8C">
            <w:pPr>
              <w:pStyle w:val="TableText"/>
            </w:pPr>
            <w:r w:rsidRPr="005D4222">
              <w:t>For the Administrative Method and ECDS, the initial population minus exclusions.</w:t>
            </w:r>
          </w:p>
          <w:p w14:paraId="264E93AD" w14:textId="77777777" w:rsidR="001223E4" w:rsidRPr="005D4222" w:rsidRDefault="001223E4" w:rsidP="00A53E8C">
            <w:pPr>
              <w:pStyle w:val="TableText"/>
            </w:pPr>
            <w:r w:rsidRPr="005D4222">
              <w:t xml:space="preserve">For the Hybrid Method the final sample size: </w:t>
            </w:r>
          </w:p>
          <w:p w14:paraId="2F8424FF" w14:textId="77777777" w:rsidR="001223E4" w:rsidRPr="005D4222" w:rsidRDefault="001223E4" w:rsidP="00A53E8C">
            <w:pPr>
              <w:pStyle w:val="TableText"/>
            </w:pPr>
            <w:r w:rsidRPr="005D4222">
              <w:t>MRSS – exclusions + members added from the oversample list.</w:t>
            </w:r>
            <w:r w:rsidRPr="005D4222" w:rsidDel="00DF2E1D">
              <w:t xml:space="preserve"> </w:t>
            </w:r>
          </w:p>
        </w:tc>
      </w:tr>
      <w:tr w:rsidR="001223E4" w:rsidRPr="005D4222" w14:paraId="4736228B" w14:textId="77777777" w:rsidTr="00895FBD">
        <w:tc>
          <w:tcPr>
            <w:tcW w:w="1889"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48BF60BF" w14:textId="77777777" w:rsidR="001223E4" w:rsidRPr="005D4222" w:rsidRDefault="001223E4" w:rsidP="00A53E8C">
            <w:pPr>
              <w:pStyle w:val="TableText"/>
            </w:pPr>
            <w:r w:rsidRPr="005D4222">
              <w:t>NumeratorByAdmin</w:t>
            </w:r>
          </w:p>
        </w:tc>
        <w:tc>
          <w:tcPr>
            <w:tcW w:w="156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70EF4897" w14:textId="77777777" w:rsidR="001223E4" w:rsidRPr="005D4222" w:rsidRDefault="001223E4" w:rsidP="00A53E8C">
            <w:pPr>
              <w:pStyle w:val="TableText"/>
            </w:pPr>
            <w:r w:rsidRPr="005D4222">
              <w:t>Numerator events by administrative data</w:t>
            </w:r>
          </w:p>
        </w:tc>
        <w:tc>
          <w:tcPr>
            <w:tcW w:w="70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26C0B474" w14:textId="77777777" w:rsidR="001223E4" w:rsidRPr="005D4222" w:rsidRDefault="001223E4" w:rsidP="00A53E8C">
            <w:pPr>
              <w:pStyle w:val="TableText"/>
              <w:jc w:val="center"/>
              <w:rPr>
                <w:rFonts w:cs="Arial"/>
                <w:sz w:val="24"/>
              </w:rPr>
            </w:pPr>
            <w:r w:rsidRPr="005D4222">
              <w:rPr>
                <w:rFonts w:ascii="Wingdings" w:eastAsia="Wingdings" w:hAnsi="Wingdings" w:cs="Wingdings"/>
                <w:sz w:val="24"/>
              </w:rPr>
              <w:t></w:t>
            </w:r>
          </w:p>
        </w:tc>
        <w:tc>
          <w:tcPr>
            <w:tcW w:w="841"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9D799AF" w14:textId="77777777" w:rsidR="001223E4" w:rsidRPr="005D4222" w:rsidRDefault="001223E4" w:rsidP="00A53E8C">
            <w:pPr>
              <w:pStyle w:val="TableText"/>
              <w:jc w:val="center"/>
              <w:rPr>
                <w:rFonts w:ascii="Wingdings" w:eastAsia="Wingdings" w:hAnsi="Wingdings" w:cs="Wingdings"/>
                <w:sz w:val="24"/>
              </w:rPr>
            </w:pPr>
            <w:r w:rsidRPr="005D4222">
              <w:rPr>
                <w:rFonts w:ascii="Wingdings" w:eastAsia="Wingdings" w:hAnsi="Wingdings" w:cs="Wingdings"/>
                <w:sz w:val="24"/>
              </w:rPr>
              <w:t></w:t>
            </w:r>
          </w:p>
        </w:tc>
        <w:tc>
          <w:tcPr>
            <w:tcW w:w="728"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6F2FBCB7" w14:textId="77777777" w:rsidR="001223E4" w:rsidRPr="005D4222" w:rsidRDefault="001223E4" w:rsidP="00A53E8C">
            <w:pPr>
              <w:pStyle w:val="TableText"/>
              <w:jc w:val="center"/>
              <w:rPr>
                <w:rFonts w:ascii="Wingdings" w:eastAsia="Wingdings" w:hAnsi="Wingdings" w:cs="Wingdings"/>
                <w:sz w:val="24"/>
              </w:rPr>
            </w:pPr>
          </w:p>
        </w:tc>
        <w:tc>
          <w:tcPr>
            <w:tcW w:w="4051"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tcPr>
          <w:p w14:paraId="1567B923" w14:textId="77777777" w:rsidR="001223E4" w:rsidRPr="005D4222" w:rsidRDefault="001223E4" w:rsidP="00A53E8C">
            <w:pPr>
              <w:pStyle w:val="TableText"/>
            </w:pPr>
            <w:r w:rsidRPr="005D4222">
              <w:t xml:space="preserve">The number of members in the denominator who met numerator criteria using transactional data. </w:t>
            </w:r>
          </w:p>
        </w:tc>
      </w:tr>
      <w:tr w:rsidR="001223E4" w:rsidRPr="005D4222" w14:paraId="1FB1D072" w14:textId="77777777" w:rsidTr="00895FBD">
        <w:tc>
          <w:tcPr>
            <w:tcW w:w="1889"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02D81C7F" w14:textId="77777777" w:rsidR="001223E4" w:rsidRPr="005D4222" w:rsidRDefault="001223E4" w:rsidP="00A53E8C">
            <w:pPr>
              <w:pStyle w:val="TableText"/>
            </w:pPr>
            <w:r w:rsidRPr="005D4222">
              <w:t>NumeratorBySupplemental</w:t>
            </w:r>
          </w:p>
        </w:tc>
        <w:tc>
          <w:tcPr>
            <w:tcW w:w="156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37C9DA20" w14:textId="77777777" w:rsidR="001223E4" w:rsidRPr="005D4222" w:rsidRDefault="001223E4" w:rsidP="00A53E8C">
            <w:pPr>
              <w:pStyle w:val="TableText"/>
            </w:pPr>
            <w:r w:rsidRPr="005D4222">
              <w:t>Numerator events by supplemental data</w:t>
            </w:r>
          </w:p>
        </w:tc>
        <w:tc>
          <w:tcPr>
            <w:tcW w:w="70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55C1DAFD" w14:textId="77777777" w:rsidR="001223E4" w:rsidRPr="005D4222" w:rsidRDefault="001223E4" w:rsidP="00A53E8C">
            <w:pPr>
              <w:pStyle w:val="TableText"/>
              <w:jc w:val="center"/>
              <w:rPr>
                <w:rFonts w:ascii="Wingdings" w:eastAsia="Wingdings" w:hAnsi="Wingdings" w:cs="Wingdings"/>
                <w:sz w:val="24"/>
              </w:rPr>
            </w:pPr>
            <w:r w:rsidRPr="005D4222">
              <w:rPr>
                <w:rFonts w:ascii="Wingdings" w:eastAsia="Wingdings" w:hAnsi="Wingdings" w:cs="Wingdings"/>
                <w:sz w:val="24"/>
              </w:rPr>
              <w:t></w:t>
            </w:r>
          </w:p>
        </w:tc>
        <w:tc>
          <w:tcPr>
            <w:tcW w:w="841"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08FAF2D5" w14:textId="77777777" w:rsidR="001223E4" w:rsidRPr="005D4222" w:rsidRDefault="001223E4" w:rsidP="00A53E8C">
            <w:pPr>
              <w:pStyle w:val="TableText"/>
              <w:jc w:val="center"/>
              <w:rPr>
                <w:rFonts w:ascii="Wingdings" w:eastAsia="Wingdings" w:hAnsi="Wingdings" w:cs="Wingdings"/>
                <w:sz w:val="24"/>
              </w:rPr>
            </w:pPr>
            <w:r w:rsidRPr="005D4222">
              <w:rPr>
                <w:rFonts w:ascii="Wingdings" w:eastAsia="Wingdings" w:hAnsi="Wingdings" w:cs="Wingdings"/>
                <w:sz w:val="24"/>
              </w:rPr>
              <w:t></w:t>
            </w:r>
          </w:p>
        </w:tc>
        <w:tc>
          <w:tcPr>
            <w:tcW w:w="728"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1E427D78" w14:textId="77777777" w:rsidR="001223E4" w:rsidRPr="005D4222" w:rsidRDefault="001223E4" w:rsidP="00A53E8C">
            <w:pPr>
              <w:pStyle w:val="TableText"/>
              <w:jc w:val="center"/>
              <w:rPr>
                <w:rFonts w:ascii="Wingdings" w:eastAsia="Wingdings" w:hAnsi="Wingdings" w:cs="Wingdings"/>
                <w:sz w:val="24"/>
              </w:rPr>
            </w:pPr>
          </w:p>
        </w:tc>
        <w:tc>
          <w:tcPr>
            <w:tcW w:w="4051"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tcPr>
          <w:p w14:paraId="77D41EE3" w14:textId="77777777" w:rsidR="001223E4" w:rsidRPr="005D4222" w:rsidRDefault="001223E4" w:rsidP="00A53E8C">
            <w:pPr>
              <w:pStyle w:val="TableText"/>
            </w:pPr>
            <w:r w:rsidRPr="005D4222">
              <w:t>The number of members in the denominator who met numerator criteria using supplemental data (includes standard and nonstandard data). This data element is collected for only EOC and EOC-like measures.</w:t>
            </w:r>
          </w:p>
        </w:tc>
      </w:tr>
      <w:tr w:rsidR="001223E4" w:rsidRPr="005D4222" w14:paraId="6F198780" w14:textId="77777777" w:rsidTr="00895FBD">
        <w:tc>
          <w:tcPr>
            <w:tcW w:w="1889"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03966123" w14:textId="77777777" w:rsidR="001223E4" w:rsidRPr="005D4222" w:rsidRDefault="001223E4" w:rsidP="00A53E8C">
            <w:pPr>
              <w:pStyle w:val="TableText"/>
            </w:pPr>
            <w:r w:rsidRPr="005D4222">
              <w:t>NumeratorByMedicalRecords</w:t>
            </w:r>
          </w:p>
        </w:tc>
        <w:tc>
          <w:tcPr>
            <w:tcW w:w="156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3B192646" w14:textId="77777777" w:rsidR="001223E4" w:rsidRPr="005D4222" w:rsidRDefault="001223E4" w:rsidP="00A53E8C">
            <w:pPr>
              <w:pStyle w:val="TableText"/>
            </w:pPr>
            <w:r w:rsidRPr="005D4222">
              <w:t>Numerator events by medical records</w:t>
            </w:r>
          </w:p>
        </w:tc>
        <w:tc>
          <w:tcPr>
            <w:tcW w:w="70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4EDE2BDD" w14:textId="77777777" w:rsidR="001223E4" w:rsidRPr="005D4222" w:rsidRDefault="001223E4" w:rsidP="00A53E8C">
            <w:pPr>
              <w:pStyle w:val="TableText"/>
              <w:jc w:val="center"/>
              <w:rPr>
                <w:rFonts w:ascii="Wingdings" w:eastAsia="Wingdings" w:hAnsi="Wingdings" w:cs="Wingdings"/>
                <w:sz w:val="24"/>
              </w:rPr>
            </w:pPr>
          </w:p>
        </w:tc>
        <w:tc>
          <w:tcPr>
            <w:tcW w:w="841"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3C458E5C" w14:textId="77777777" w:rsidR="001223E4" w:rsidRPr="005D4222" w:rsidRDefault="001223E4" w:rsidP="00A53E8C">
            <w:pPr>
              <w:pStyle w:val="TableText"/>
              <w:jc w:val="center"/>
              <w:rPr>
                <w:rFonts w:ascii="Wingdings" w:eastAsia="Wingdings" w:hAnsi="Wingdings" w:cs="Wingdings"/>
                <w:sz w:val="24"/>
              </w:rPr>
            </w:pPr>
            <w:r w:rsidRPr="005D4222">
              <w:rPr>
                <w:rFonts w:ascii="Wingdings" w:eastAsia="Wingdings" w:hAnsi="Wingdings" w:cs="Wingdings"/>
                <w:sz w:val="24"/>
              </w:rPr>
              <w:t></w:t>
            </w:r>
          </w:p>
        </w:tc>
        <w:tc>
          <w:tcPr>
            <w:tcW w:w="728"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373276D" w14:textId="77777777" w:rsidR="001223E4" w:rsidRPr="005D4222" w:rsidRDefault="001223E4" w:rsidP="00A53E8C">
            <w:pPr>
              <w:pStyle w:val="TableText"/>
              <w:jc w:val="center"/>
              <w:rPr>
                <w:rFonts w:ascii="Wingdings" w:eastAsia="Wingdings" w:hAnsi="Wingdings" w:cs="Wingdings"/>
                <w:sz w:val="24"/>
              </w:rPr>
            </w:pPr>
          </w:p>
        </w:tc>
        <w:tc>
          <w:tcPr>
            <w:tcW w:w="4051"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tcPr>
          <w:p w14:paraId="03BC6FCC" w14:textId="77777777" w:rsidR="001223E4" w:rsidRPr="005D4222" w:rsidRDefault="001223E4" w:rsidP="00A53E8C">
            <w:pPr>
              <w:pStyle w:val="TableText"/>
            </w:pPr>
            <w:r w:rsidRPr="005D4222">
              <w:t xml:space="preserve">The number of members in the denominator who met numerator criteria using medical record data. </w:t>
            </w:r>
          </w:p>
        </w:tc>
      </w:tr>
      <w:tr w:rsidR="001223E4" w:rsidRPr="005D4222" w14:paraId="64F67F0E" w14:textId="77777777" w:rsidTr="00895FBD">
        <w:tc>
          <w:tcPr>
            <w:tcW w:w="1889"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417021A7" w14:textId="77777777" w:rsidR="001223E4" w:rsidRPr="005D4222" w:rsidRDefault="001223E4" w:rsidP="00A53E8C">
            <w:pPr>
              <w:pStyle w:val="TableText"/>
            </w:pPr>
            <w:r w:rsidRPr="005D4222">
              <w:t>Numerator</w:t>
            </w:r>
          </w:p>
        </w:tc>
        <w:tc>
          <w:tcPr>
            <w:tcW w:w="156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05C7C9BB" w14:textId="77777777" w:rsidR="001223E4" w:rsidRPr="005D4222" w:rsidRDefault="001223E4" w:rsidP="00A53E8C">
            <w:pPr>
              <w:pStyle w:val="TableText"/>
            </w:pPr>
            <w:r w:rsidRPr="005D4222">
              <w:t xml:space="preserve">Numerator </w:t>
            </w:r>
          </w:p>
        </w:tc>
        <w:tc>
          <w:tcPr>
            <w:tcW w:w="70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5C92B80A" w14:textId="77777777" w:rsidR="001223E4" w:rsidRPr="005D4222" w:rsidRDefault="001223E4" w:rsidP="00A53E8C">
            <w:pPr>
              <w:pStyle w:val="TableText"/>
              <w:jc w:val="center"/>
              <w:rPr>
                <w:rFonts w:ascii="Wingdings" w:eastAsia="Wingdings" w:hAnsi="Wingdings" w:cs="Wingdings"/>
                <w:sz w:val="24"/>
              </w:rPr>
            </w:pPr>
            <w:r w:rsidRPr="005D4222">
              <w:rPr>
                <w:rFonts w:ascii="Wingdings" w:eastAsia="Wingdings" w:hAnsi="Wingdings" w:cs="Wingdings"/>
                <w:sz w:val="24"/>
              </w:rPr>
              <w:t></w:t>
            </w:r>
          </w:p>
        </w:tc>
        <w:tc>
          <w:tcPr>
            <w:tcW w:w="841"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03AB3ED0" w14:textId="77777777" w:rsidR="001223E4" w:rsidRPr="005D4222" w:rsidRDefault="001223E4" w:rsidP="00A53E8C">
            <w:pPr>
              <w:pStyle w:val="TableText"/>
              <w:jc w:val="center"/>
              <w:rPr>
                <w:rFonts w:ascii="Wingdings" w:eastAsia="Wingdings" w:hAnsi="Wingdings" w:cs="Wingdings"/>
                <w:sz w:val="24"/>
              </w:rPr>
            </w:pPr>
            <w:r w:rsidRPr="005D4222">
              <w:rPr>
                <w:rFonts w:ascii="Wingdings" w:eastAsia="Wingdings" w:hAnsi="Wingdings" w:cs="Wingdings"/>
                <w:sz w:val="24"/>
              </w:rPr>
              <w:t></w:t>
            </w:r>
          </w:p>
        </w:tc>
        <w:tc>
          <w:tcPr>
            <w:tcW w:w="728"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B95699C" w14:textId="77777777" w:rsidR="001223E4" w:rsidRPr="005D4222" w:rsidRDefault="001223E4" w:rsidP="00A53E8C">
            <w:pPr>
              <w:pStyle w:val="TableText"/>
              <w:jc w:val="center"/>
              <w:rPr>
                <w:rFonts w:ascii="Wingdings" w:eastAsia="Wingdings" w:hAnsi="Wingdings" w:cs="Wingdings"/>
                <w:sz w:val="24"/>
              </w:rPr>
            </w:pPr>
            <w:r w:rsidRPr="005D4222">
              <w:rPr>
                <w:rFonts w:ascii="Wingdings" w:eastAsia="Wingdings" w:hAnsi="Wingdings" w:cs="Wingdings"/>
                <w:sz w:val="24"/>
              </w:rPr>
              <w:t></w:t>
            </w:r>
          </w:p>
        </w:tc>
        <w:tc>
          <w:tcPr>
            <w:tcW w:w="4051"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tcPr>
          <w:p w14:paraId="0E015A6B" w14:textId="77777777" w:rsidR="001223E4" w:rsidRPr="005D4222" w:rsidRDefault="001223E4" w:rsidP="00A53E8C">
            <w:pPr>
              <w:pStyle w:val="TableText"/>
            </w:pPr>
            <w:r w:rsidRPr="005D4222">
              <w:t>The number of members in the denominator who met numerator criteria as an aggregate across all data sources. This is reported in the ECDS and Race Ethnicity Stratification Tables.</w:t>
            </w:r>
          </w:p>
        </w:tc>
      </w:tr>
      <w:tr w:rsidR="001223E4" w:rsidRPr="005D4222" w14:paraId="3FA1410B" w14:textId="77777777" w:rsidTr="00895FBD">
        <w:tc>
          <w:tcPr>
            <w:tcW w:w="1889"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5F75212A" w14:textId="77777777" w:rsidR="001223E4" w:rsidRPr="005D4222" w:rsidRDefault="001223E4" w:rsidP="00A53E8C">
            <w:pPr>
              <w:pStyle w:val="TableText"/>
            </w:pPr>
            <w:r w:rsidRPr="005D4222">
              <w:t>Rate</w:t>
            </w:r>
          </w:p>
        </w:tc>
        <w:tc>
          <w:tcPr>
            <w:tcW w:w="156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2B86235F" w14:textId="77777777" w:rsidR="001223E4" w:rsidRPr="005D4222" w:rsidRDefault="001223E4" w:rsidP="00A53E8C">
            <w:pPr>
              <w:pStyle w:val="TableText"/>
            </w:pPr>
            <w:r w:rsidRPr="005D4222">
              <w:t>Reported rate</w:t>
            </w:r>
          </w:p>
        </w:tc>
        <w:tc>
          <w:tcPr>
            <w:tcW w:w="70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5407C88E" w14:textId="77777777" w:rsidR="001223E4" w:rsidRPr="005D4222" w:rsidRDefault="001223E4" w:rsidP="00A53E8C">
            <w:pPr>
              <w:pStyle w:val="TableText"/>
              <w:jc w:val="center"/>
              <w:rPr>
                <w:rFonts w:ascii="Wingdings" w:eastAsia="Wingdings" w:hAnsi="Wingdings" w:cs="Wingdings"/>
                <w:sz w:val="24"/>
              </w:rPr>
            </w:pPr>
            <w:r w:rsidRPr="005D4222">
              <w:rPr>
                <w:rFonts w:ascii="Wingdings" w:eastAsia="Wingdings" w:hAnsi="Wingdings" w:cs="Wingdings"/>
                <w:sz w:val="24"/>
              </w:rPr>
              <w:t></w:t>
            </w:r>
          </w:p>
        </w:tc>
        <w:tc>
          <w:tcPr>
            <w:tcW w:w="841"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9A5CFA5" w14:textId="77777777" w:rsidR="001223E4" w:rsidRPr="005D4222" w:rsidRDefault="001223E4" w:rsidP="00A53E8C">
            <w:pPr>
              <w:pStyle w:val="TableText"/>
              <w:jc w:val="center"/>
              <w:rPr>
                <w:rFonts w:ascii="Wingdings" w:eastAsia="Wingdings" w:hAnsi="Wingdings" w:cs="Wingdings"/>
                <w:sz w:val="24"/>
              </w:rPr>
            </w:pPr>
            <w:r w:rsidRPr="005D4222">
              <w:rPr>
                <w:rFonts w:ascii="Wingdings" w:eastAsia="Wingdings" w:hAnsi="Wingdings" w:cs="Wingdings"/>
                <w:sz w:val="24"/>
              </w:rPr>
              <w:t></w:t>
            </w:r>
          </w:p>
        </w:tc>
        <w:tc>
          <w:tcPr>
            <w:tcW w:w="728"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791BC188" w14:textId="77777777" w:rsidR="001223E4" w:rsidRPr="005D4222" w:rsidRDefault="001223E4" w:rsidP="00A53E8C">
            <w:pPr>
              <w:pStyle w:val="TableText"/>
              <w:jc w:val="center"/>
              <w:rPr>
                <w:rFonts w:ascii="Wingdings" w:eastAsia="Wingdings" w:hAnsi="Wingdings" w:cs="Wingdings"/>
                <w:sz w:val="24"/>
              </w:rPr>
            </w:pPr>
            <w:r w:rsidRPr="005D4222">
              <w:rPr>
                <w:rFonts w:ascii="Wingdings" w:eastAsia="Wingdings" w:hAnsi="Wingdings" w:cs="Wingdings"/>
                <w:sz w:val="24"/>
              </w:rPr>
              <w:t></w:t>
            </w:r>
          </w:p>
        </w:tc>
        <w:tc>
          <w:tcPr>
            <w:tcW w:w="4051"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tcPr>
          <w:p w14:paraId="38DC8162" w14:textId="77777777" w:rsidR="001223E4" w:rsidRPr="005D4222" w:rsidRDefault="001223E4" w:rsidP="00A53E8C">
            <w:pPr>
              <w:pStyle w:val="TableText"/>
            </w:pPr>
            <w:r w:rsidRPr="005D4222">
              <w:t>This is a calculated field in IDSS.</w:t>
            </w:r>
          </w:p>
          <w:p w14:paraId="7E5C538E" w14:textId="77777777" w:rsidR="001223E4" w:rsidRPr="005D4222" w:rsidRDefault="001223E4" w:rsidP="00A53E8C">
            <w:pPr>
              <w:pStyle w:val="TableText"/>
            </w:pPr>
            <w:r w:rsidRPr="005D4222">
              <w:rPr>
                <w:i/>
                <w:iCs/>
              </w:rPr>
              <w:t>Administrative Method:</w:t>
            </w:r>
            <w:r w:rsidRPr="005D4222">
              <w:t xml:space="preserve"> NumeratorByAdmin </w:t>
            </w:r>
            <w:r w:rsidRPr="005D4222">
              <w:rPr>
                <w:rFonts w:ascii="Symbol" w:eastAsia="Symbol" w:hAnsi="Symbol" w:cs="Symbol"/>
              </w:rPr>
              <w:t></w:t>
            </w:r>
            <w:r w:rsidRPr="005D4222">
              <w:t xml:space="preserve"> Denominator.</w:t>
            </w:r>
          </w:p>
          <w:p w14:paraId="47DE8BAD" w14:textId="5E277E29" w:rsidR="001223E4" w:rsidRPr="005D4222" w:rsidRDefault="001223E4" w:rsidP="00895FBD">
            <w:pPr>
              <w:pStyle w:val="TableText"/>
            </w:pPr>
            <w:r w:rsidRPr="005D4222">
              <w:rPr>
                <w:i/>
                <w:iCs/>
              </w:rPr>
              <w:t>Hybrid Method</w:t>
            </w:r>
            <w:r w:rsidRPr="005D4222">
              <w:t xml:space="preserve">: (NumeratorByAdmin + NumeratorByMedicalRecords) </w:t>
            </w:r>
            <w:r w:rsidRPr="005D4222">
              <w:rPr>
                <w:rFonts w:ascii="Symbol" w:eastAsia="Symbol" w:hAnsi="Symbol" w:cs="Symbol"/>
              </w:rPr>
              <w:t></w:t>
            </w:r>
            <w:r w:rsidRPr="005D4222">
              <w:t xml:space="preserve"> Denominator.</w:t>
            </w:r>
          </w:p>
        </w:tc>
      </w:tr>
      <w:tr w:rsidR="00895FBD" w:rsidRPr="005D4222" w14:paraId="0C9C2E69" w14:textId="77777777" w:rsidTr="00895FBD">
        <w:tc>
          <w:tcPr>
            <w:tcW w:w="1889"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16515D36" w14:textId="77777777" w:rsidR="00895FBD" w:rsidRPr="005D4222" w:rsidRDefault="00895FBD" w:rsidP="00A53E8C">
            <w:pPr>
              <w:pStyle w:val="TableText"/>
            </w:pPr>
          </w:p>
        </w:tc>
        <w:tc>
          <w:tcPr>
            <w:tcW w:w="156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4A71AB2C" w14:textId="77777777" w:rsidR="00895FBD" w:rsidRPr="005D4222" w:rsidRDefault="00895FBD" w:rsidP="00A53E8C">
            <w:pPr>
              <w:pStyle w:val="TableText"/>
            </w:pPr>
          </w:p>
        </w:tc>
        <w:tc>
          <w:tcPr>
            <w:tcW w:w="704"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vAlign w:val="center"/>
          </w:tcPr>
          <w:p w14:paraId="05C08690" w14:textId="77777777" w:rsidR="00895FBD" w:rsidRPr="005D4222" w:rsidRDefault="00895FBD" w:rsidP="00A53E8C">
            <w:pPr>
              <w:pStyle w:val="TableText"/>
              <w:jc w:val="center"/>
              <w:rPr>
                <w:rFonts w:ascii="Wingdings" w:eastAsia="Wingdings" w:hAnsi="Wingdings" w:cs="Wingdings"/>
                <w:sz w:val="24"/>
              </w:rPr>
            </w:pPr>
          </w:p>
        </w:tc>
        <w:tc>
          <w:tcPr>
            <w:tcW w:w="841"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5F6F20B" w14:textId="77777777" w:rsidR="00895FBD" w:rsidRPr="005D4222" w:rsidRDefault="00895FBD" w:rsidP="00A53E8C">
            <w:pPr>
              <w:pStyle w:val="TableText"/>
              <w:jc w:val="center"/>
              <w:rPr>
                <w:rFonts w:ascii="Wingdings" w:eastAsia="Wingdings" w:hAnsi="Wingdings" w:cs="Wingdings"/>
                <w:sz w:val="24"/>
              </w:rPr>
            </w:pPr>
          </w:p>
        </w:tc>
        <w:tc>
          <w:tcPr>
            <w:tcW w:w="728"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2DB05E86" w14:textId="77777777" w:rsidR="00895FBD" w:rsidRPr="005D4222" w:rsidRDefault="00895FBD" w:rsidP="00A53E8C">
            <w:pPr>
              <w:pStyle w:val="TableText"/>
              <w:jc w:val="center"/>
              <w:rPr>
                <w:rFonts w:ascii="Wingdings" w:eastAsia="Wingdings" w:hAnsi="Wingdings" w:cs="Wingdings"/>
                <w:sz w:val="24"/>
              </w:rPr>
            </w:pPr>
          </w:p>
        </w:tc>
        <w:tc>
          <w:tcPr>
            <w:tcW w:w="4051" w:type="dxa"/>
            <w:tcBorders>
              <w:top w:val="single" w:sz="6" w:space="0" w:color="auto"/>
              <w:left w:val="single" w:sz="6" w:space="0" w:color="auto"/>
              <w:bottom w:val="single" w:sz="6" w:space="0" w:color="auto"/>
              <w:right w:val="single" w:sz="6" w:space="0" w:color="auto"/>
            </w:tcBorders>
            <w:shd w:val="clear" w:color="auto" w:fill="FFFFFF" w:themeFill="background1"/>
            <w:tcMar>
              <w:left w:w="58" w:type="dxa"/>
              <w:right w:w="58" w:type="dxa"/>
            </w:tcMar>
          </w:tcPr>
          <w:p w14:paraId="5418F221" w14:textId="77777777" w:rsidR="00895FBD" w:rsidRPr="005D4222" w:rsidRDefault="00895FBD" w:rsidP="00895FBD">
            <w:pPr>
              <w:pStyle w:val="TableText"/>
            </w:pPr>
            <w:r w:rsidRPr="005D4222">
              <w:rPr>
                <w:i/>
                <w:iCs/>
              </w:rPr>
              <w:t xml:space="preserve">ECDS Method: </w:t>
            </w:r>
            <w:r w:rsidRPr="005D4222">
              <w:t xml:space="preserve">Numerator </w:t>
            </w:r>
            <w:r w:rsidRPr="005D4222">
              <w:rPr>
                <w:rFonts w:ascii="Symbol" w:eastAsia="Symbol" w:hAnsi="Symbol" w:cs="Symbol"/>
              </w:rPr>
              <w:t xml:space="preserve"> </w:t>
            </w:r>
            <w:r w:rsidRPr="005D4222">
              <w:t>Denominator</w:t>
            </w:r>
          </w:p>
          <w:p w14:paraId="5C0DB5D3" w14:textId="77777777" w:rsidR="00895FBD" w:rsidRPr="005D4222" w:rsidRDefault="00895FBD" w:rsidP="00895FBD">
            <w:pPr>
              <w:pStyle w:val="TableText"/>
              <w:rPr>
                <w:iCs/>
                <w:u w:val="single"/>
              </w:rPr>
            </w:pPr>
            <w:r w:rsidRPr="005D4222">
              <w:rPr>
                <w:iCs/>
                <w:u w:val="single"/>
              </w:rPr>
              <w:t xml:space="preserve">Measures that collect numerator events by supplemental data: </w:t>
            </w:r>
          </w:p>
          <w:p w14:paraId="150557B1" w14:textId="77777777" w:rsidR="00895FBD" w:rsidRPr="005D4222" w:rsidRDefault="00895FBD" w:rsidP="00895FBD">
            <w:pPr>
              <w:pStyle w:val="TableText"/>
            </w:pPr>
            <w:r w:rsidRPr="005D4222">
              <w:rPr>
                <w:i/>
                <w:iCs/>
              </w:rPr>
              <w:t xml:space="preserve">Administrative: </w:t>
            </w:r>
            <w:r w:rsidRPr="005D4222">
              <w:t xml:space="preserve">(NumeratorByAdmin + NumeratorBySupplemental) </w:t>
            </w:r>
            <w:r w:rsidRPr="005D4222">
              <w:rPr>
                <w:rFonts w:ascii="Symbol" w:eastAsia="Symbol" w:hAnsi="Symbol" w:cs="Symbol"/>
              </w:rPr>
              <w:t></w:t>
            </w:r>
            <w:r w:rsidRPr="005D4222">
              <w:t xml:space="preserve">  Denominator. </w:t>
            </w:r>
          </w:p>
          <w:p w14:paraId="6226FBF1" w14:textId="0901D455" w:rsidR="00895FBD" w:rsidRPr="005D4222" w:rsidRDefault="00895FBD" w:rsidP="00895FBD">
            <w:pPr>
              <w:pStyle w:val="TableText"/>
            </w:pPr>
            <w:r w:rsidRPr="005D4222">
              <w:rPr>
                <w:i/>
                <w:iCs/>
              </w:rPr>
              <w:t xml:space="preserve">Hybrid: </w:t>
            </w:r>
            <w:r w:rsidRPr="005D4222">
              <w:t xml:space="preserve">(NumeratorByAdmin + NumeratorBySupplemental + NumeratorByMedicalRecords) </w:t>
            </w:r>
            <w:r w:rsidRPr="005D4222">
              <w:rPr>
                <w:rFonts w:ascii="Symbol" w:eastAsia="Symbol" w:hAnsi="Symbol" w:cs="Symbol"/>
              </w:rPr>
              <w:t></w:t>
            </w:r>
            <w:r w:rsidRPr="005D4222">
              <w:t xml:space="preserve"> Denominator.</w:t>
            </w:r>
          </w:p>
        </w:tc>
      </w:tr>
    </w:tbl>
    <w:p w14:paraId="28490AA1" w14:textId="77777777" w:rsidR="001223E4" w:rsidRPr="005D4222" w:rsidRDefault="001223E4" w:rsidP="00126CB7">
      <w:pPr>
        <w:pStyle w:val="Heading3"/>
      </w:pPr>
      <w:r w:rsidRPr="005D4222">
        <w:t>Reporting Instruction Explanations</w:t>
      </w:r>
    </w:p>
    <w:tbl>
      <w:tblPr>
        <w:tblW w:w="5000" w:type="pct"/>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696"/>
        <w:gridCol w:w="7011"/>
      </w:tblGrid>
      <w:tr w:rsidR="001223E4" w:rsidRPr="005D4222" w14:paraId="6913DA81" w14:textId="77777777" w:rsidTr="00A53E8C">
        <w:trPr>
          <w:tblHeader/>
        </w:trPr>
        <w:tc>
          <w:tcPr>
            <w:tcW w:w="3655" w:type="dxa"/>
            <w:tcBorders>
              <w:bottom w:val="single" w:sz="4" w:space="0" w:color="auto"/>
              <w:right w:val="single" w:sz="4" w:space="0" w:color="FFFFFF" w:themeColor="background1"/>
            </w:tcBorders>
            <w:shd w:val="clear" w:color="auto" w:fill="000000" w:themeFill="text1"/>
          </w:tcPr>
          <w:p w14:paraId="15298ED8" w14:textId="77777777" w:rsidR="001223E4" w:rsidRPr="005D4222" w:rsidRDefault="001223E4" w:rsidP="00A53E8C">
            <w:pPr>
              <w:pStyle w:val="TableHead"/>
              <w:spacing w:before="40" w:after="40"/>
              <w:rPr>
                <w:color w:val="auto"/>
              </w:rPr>
            </w:pPr>
            <w:r w:rsidRPr="005D4222">
              <w:rPr>
                <w:color w:val="auto"/>
              </w:rPr>
              <w:t>Reporting Instructions</w:t>
            </w:r>
          </w:p>
        </w:tc>
        <w:tc>
          <w:tcPr>
            <w:tcW w:w="9652" w:type="dxa"/>
            <w:tcBorders>
              <w:left w:val="single" w:sz="4" w:space="0" w:color="FFFFFF" w:themeColor="background1"/>
              <w:bottom w:val="single" w:sz="6" w:space="0" w:color="auto"/>
              <w:right w:val="single" w:sz="4" w:space="0" w:color="auto"/>
            </w:tcBorders>
            <w:shd w:val="clear" w:color="auto" w:fill="000000" w:themeFill="text1"/>
          </w:tcPr>
          <w:p w14:paraId="7659AB77" w14:textId="77777777" w:rsidR="001223E4" w:rsidRPr="005D4222" w:rsidRDefault="001223E4" w:rsidP="00A53E8C">
            <w:pPr>
              <w:pStyle w:val="TableHead"/>
              <w:spacing w:before="40" w:after="40"/>
              <w:rPr>
                <w:color w:val="auto"/>
              </w:rPr>
            </w:pPr>
            <w:r w:rsidRPr="005D4222">
              <w:rPr>
                <w:color w:val="auto"/>
              </w:rPr>
              <w:t>Explanation</w:t>
            </w:r>
          </w:p>
        </w:tc>
      </w:tr>
      <w:tr w:rsidR="001223E4" w:rsidRPr="005D4222" w14:paraId="1F26BD81" w14:textId="77777777" w:rsidTr="00A53E8C">
        <w:tc>
          <w:tcPr>
            <w:tcW w:w="3655" w:type="dxa"/>
            <w:tcBorders>
              <w:top w:val="single" w:sz="4" w:space="0" w:color="auto"/>
              <w:left w:val="single" w:sz="4" w:space="0" w:color="auto"/>
              <w:bottom w:val="single" w:sz="4" w:space="0" w:color="auto"/>
              <w:right w:val="single" w:sz="4" w:space="0" w:color="auto"/>
            </w:tcBorders>
          </w:tcPr>
          <w:p w14:paraId="39B284D2" w14:textId="77777777" w:rsidR="001223E4" w:rsidRPr="005D4222" w:rsidRDefault="001223E4" w:rsidP="00A53E8C">
            <w:pPr>
              <w:pStyle w:val="TableText"/>
              <w:spacing w:before="40" w:after="40"/>
            </w:pPr>
            <w:r w:rsidRPr="005D4222">
              <w:rPr>
                <w:rFonts w:eastAsia="Wingdings"/>
              </w:rPr>
              <w:t>Metadata</w:t>
            </w:r>
          </w:p>
        </w:tc>
        <w:tc>
          <w:tcPr>
            <w:tcW w:w="9652" w:type="dxa"/>
            <w:tcBorders>
              <w:left w:val="single" w:sz="4" w:space="0" w:color="auto"/>
              <w:bottom w:val="single" w:sz="6" w:space="0" w:color="auto"/>
              <w:right w:val="single" w:sz="4" w:space="0" w:color="auto"/>
            </w:tcBorders>
          </w:tcPr>
          <w:p w14:paraId="109E2CBB" w14:textId="77777777" w:rsidR="001223E4" w:rsidRPr="005D4222" w:rsidRDefault="001223E4" w:rsidP="00A53E8C">
            <w:pPr>
              <w:pStyle w:val="TableText"/>
              <w:spacing w:before="40" w:after="40"/>
              <w:rPr>
                <w:rFonts w:eastAsia="Wingdings"/>
              </w:rPr>
            </w:pPr>
            <w:r w:rsidRPr="005D4222">
              <w:rPr>
                <w:rFonts w:eastAsia="Wingdings"/>
              </w:rPr>
              <w:t>For Measures requiring a benefit other than Medical, the Benefit flag is reported in the Metadata section of the submission XML.</w:t>
            </w:r>
          </w:p>
        </w:tc>
      </w:tr>
      <w:tr w:rsidR="001223E4" w:rsidRPr="005D4222" w14:paraId="0565A48E" w14:textId="77777777" w:rsidTr="00A53E8C">
        <w:tc>
          <w:tcPr>
            <w:tcW w:w="3655" w:type="dxa"/>
            <w:tcBorders>
              <w:top w:val="single" w:sz="4" w:space="0" w:color="auto"/>
              <w:left w:val="single" w:sz="4" w:space="0" w:color="auto"/>
              <w:bottom w:val="single" w:sz="4" w:space="0" w:color="auto"/>
              <w:right w:val="single" w:sz="4" w:space="0" w:color="auto"/>
            </w:tcBorders>
          </w:tcPr>
          <w:p w14:paraId="2C40C0DA" w14:textId="77777777" w:rsidR="001223E4" w:rsidRPr="005D4222" w:rsidRDefault="001223E4" w:rsidP="00A53E8C">
            <w:pPr>
              <w:pStyle w:val="TableText"/>
              <w:spacing w:before="40" w:after="40"/>
              <w:rPr>
                <w:rFonts w:eastAsia="Wingdings"/>
              </w:rPr>
            </w:pPr>
            <w:r w:rsidRPr="005D4222">
              <w:t>For each Metric</w:t>
            </w:r>
          </w:p>
        </w:tc>
        <w:tc>
          <w:tcPr>
            <w:tcW w:w="9652" w:type="dxa"/>
            <w:tcBorders>
              <w:left w:val="single" w:sz="4" w:space="0" w:color="auto"/>
              <w:bottom w:val="single" w:sz="6" w:space="0" w:color="auto"/>
              <w:right w:val="single" w:sz="4" w:space="0" w:color="auto"/>
            </w:tcBorders>
          </w:tcPr>
          <w:p w14:paraId="4B332D82" w14:textId="77777777" w:rsidR="001223E4" w:rsidRPr="005D4222" w:rsidRDefault="001223E4" w:rsidP="00A53E8C">
            <w:pPr>
              <w:pStyle w:val="TableText"/>
              <w:spacing w:before="40" w:after="40"/>
              <w:rPr>
                <w:rFonts w:eastAsia="Wingdings"/>
              </w:rPr>
            </w:pPr>
            <w:r w:rsidRPr="005D4222">
              <w:rPr>
                <w:rFonts w:eastAsia="Wingdings"/>
              </w:rPr>
              <w:t>Report independent values for each metric.</w:t>
            </w:r>
          </w:p>
        </w:tc>
      </w:tr>
      <w:tr w:rsidR="001223E4" w:rsidRPr="005D4222" w14:paraId="024E202F" w14:textId="77777777" w:rsidTr="00A53E8C">
        <w:tc>
          <w:tcPr>
            <w:tcW w:w="3655" w:type="dxa"/>
            <w:tcBorders>
              <w:top w:val="single" w:sz="4" w:space="0" w:color="auto"/>
              <w:left w:val="single" w:sz="4" w:space="0" w:color="auto"/>
              <w:bottom w:val="single" w:sz="4" w:space="0" w:color="auto"/>
              <w:right w:val="single" w:sz="4" w:space="0" w:color="auto"/>
            </w:tcBorders>
          </w:tcPr>
          <w:p w14:paraId="27668446" w14:textId="77777777" w:rsidR="001223E4" w:rsidRPr="005D4222" w:rsidRDefault="001223E4" w:rsidP="00A53E8C">
            <w:pPr>
              <w:pStyle w:val="TableText"/>
              <w:spacing w:before="40" w:after="40"/>
              <w:rPr>
                <w:rFonts w:eastAsia="Wingdings"/>
              </w:rPr>
            </w:pPr>
            <w:r w:rsidRPr="005D4222">
              <w:t>For each Stratification</w:t>
            </w:r>
            <w:r w:rsidRPr="005D4222">
              <w:rPr>
                <w:b/>
                <w:bCs/>
              </w:rPr>
              <w:t>*</w:t>
            </w:r>
          </w:p>
        </w:tc>
        <w:tc>
          <w:tcPr>
            <w:tcW w:w="9652" w:type="dxa"/>
            <w:tcBorders>
              <w:left w:val="single" w:sz="4" w:space="0" w:color="auto"/>
              <w:bottom w:val="single" w:sz="6" w:space="0" w:color="auto"/>
              <w:right w:val="single" w:sz="4" w:space="0" w:color="auto"/>
            </w:tcBorders>
          </w:tcPr>
          <w:p w14:paraId="22ED3D1C" w14:textId="77777777" w:rsidR="001223E4" w:rsidRPr="005D4222" w:rsidRDefault="001223E4" w:rsidP="00A53E8C">
            <w:pPr>
              <w:pStyle w:val="TableText"/>
              <w:spacing w:before="40" w:after="40"/>
              <w:rPr>
                <w:rFonts w:eastAsia="Wingdings"/>
              </w:rPr>
            </w:pPr>
            <w:r w:rsidRPr="005D4222">
              <w:rPr>
                <w:rFonts w:eastAsia="Wingdings"/>
              </w:rPr>
              <w:t>Report independent values for each stratification.</w:t>
            </w:r>
          </w:p>
        </w:tc>
      </w:tr>
      <w:tr w:rsidR="001223E4" w:rsidRPr="005D4222" w14:paraId="3BB89B49" w14:textId="77777777" w:rsidTr="00A53E8C">
        <w:tc>
          <w:tcPr>
            <w:tcW w:w="3655" w:type="dxa"/>
            <w:tcBorders>
              <w:top w:val="single" w:sz="4" w:space="0" w:color="auto"/>
              <w:left w:val="single" w:sz="4" w:space="0" w:color="auto"/>
              <w:bottom w:val="single" w:sz="4" w:space="0" w:color="auto"/>
              <w:right w:val="single" w:sz="4" w:space="0" w:color="auto"/>
            </w:tcBorders>
          </w:tcPr>
          <w:p w14:paraId="0A3569B8" w14:textId="77777777" w:rsidR="001223E4" w:rsidRPr="005D4222" w:rsidRDefault="001223E4" w:rsidP="00A53E8C">
            <w:pPr>
              <w:pStyle w:val="TableText"/>
              <w:spacing w:before="40" w:after="40"/>
              <w:rPr>
                <w:rFonts w:eastAsia="Wingdings"/>
              </w:rPr>
            </w:pPr>
            <w:r w:rsidRPr="005D4222">
              <w:t>For each Metric and Stratification</w:t>
            </w:r>
            <w:r w:rsidRPr="005D4222">
              <w:rPr>
                <w:b/>
                <w:bCs/>
              </w:rPr>
              <w:t>*</w:t>
            </w:r>
          </w:p>
        </w:tc>
        <w:tc>
          <w:tcPr>
            <w:tcW w:w="9652" w:type="dxa"/>
            <w:tcBorders>
              <w:left w:val="single" w:sz="4" w:space="0" w:color="auto"/>
              <w:bottom w:val="single" w:sz="6" w:space="0" w:color="auto"/>
              <w:right w:val="single" w:sz="4" w:space="0" w:color="auto"/>
            </w:tcBorders>
          </w:tcPr>
          <w:p w14:paraId="3E2565A1" w14:textId="77777777" w:rsidR="001223E4" w:rsidRPr="005D4222" w:rsidRDefault="001223E4" w:rsidP="00A53E8C">
            <w:pPr>
              <w:pStyle w:val="TableText"/>
              <w:spacing w:before="40" w:after="40"/>
              <w:rPr>
                <w:rFonts w:eastAsia="Wingdings"/>
                <w:szCs w:val="21"/>
              </w:rPr>
            </w:pPr>
            <w:r w:rsidRPr="005D4222">
              <w:rPr>
                <w:rFonts w:eastAsia="Wingdings"/>
              </w:rPr>
              <w:t>Report independent values for each metric and stratification.</w:t>
            </w:r>
          </w:p>
        </w:tc>
      </w:tr>
      <w:tr w:rsidR="001223E4" w:rsidRPr="005D4222" w14:paraId="314F371E" w14:textId="77777777" w:rsidTr="00A53E8C">
        <w:tc>
          <w:tcPr>
            <w:tcW w:w="3655" w:type="dxa"/>
            <w:tcBorders>
              <w:top w:val="single" w:sz="4" w:space="0" w:color="auto"/>
              <w:left w:val="single" w:sz="4" w:space="0" w:color="auto"/>
              <w:bottom w:val="single" w:sz="4" w:space="0" w:color="auto"/>
              <w:right w:val="single" w:sz="4" w:space="0" w:color="auto"/>
            </w:tcBorders>
          </w:tcPr>
          <w:p w14:paraId="342A06DA" w14:textId="77777777" w:rsidR="001223E4" w:rsidRPr="005D4222" w:rsidRDefault="001223E4" w:rsidP="00A53E8C">
            <w:pPr>
              <w:pStyle w:val="TableText"/>
              <w:spacing w:before="40" w:after="40"/>
              <w:rPr>
                <w:rFonts w:eastAsia="Wingdings"/>
              </w:rPr>
            </w:pPr>
            <w:r w:rsidRPr="005D4222">
              <w:rPr>
                <w:rFonts w:eastAsia="Wingdings"/>
              </w:rPr>
              <w:t>Report once</w:t>
            </w:r>
          </w:p>
        </w:tc>
        <w:tc>
          <w:tcPr>
            <w:tcW w:w="9652" w:type="dxa"/>
            <w:tcBorders>
              <w:left w:val="single" w:sz="4" w:space="0" w:color="auto"/>
              <w:bottom w:val="single" w:sz="6" w:space="0" w:color="auto"/>
              <w:right w:val="single" w:sz="4" w:space="0" w:color="auto"/>
            </w:tcBorders>
          </w:tcPr>
          <w:p w14:paraId="4B55B009" w14:textId="77777777" w:rsidR="001223E4" w:rsidRPr="005D4222" w:rsidRDefault="001223E4" w:rsidP="00A53E8C">
            <w:pPr>
              <w:pStyle w:val="TableText"/>
              <w:spacing w:before="40" w:after="40"/>
              <w:rPr>
                <w:rFonts w:eastAsia="Wingdings"/>
              </w:rPr>
            </w:pPr>
            <w:r w:rsidRPr="005D4222">
              <w:rPr>
                <w:rFonts w:eastAsia="Wingdings"/>
              </w:rPr>
              <w:t>For single Indicator measures.</w:t>
            </w:r>
          </w:p>
        </w:tc>
      </w:tr>
      <w:tr w:rsidR="001223E4" w:rsidRPr="005D4222" w14:paraId="3450DC14" w14:textId="77777777" w:rsidTr="00A53E8C">
        <w:tc>
          <w:tcPr>
            <w:tcW w:w="3655" w:type="dxa"/>
            <w:tcBorders>
              <w:top w:val="single" w:sz="4" w:space="0" w:color="auto"/>
              <w:left w:val="single" w:sz="4" w:space="0" w:color="auto"/>
              <w:bottom w:val="single" w:sz="4" w:space="0" w:color="auto"/>
              <w:right w:val="single" w:sz="4" w:space="0" w:color="auto"/>
            </w:tcBorders>
            <w:shd w:val="clear" w:color="auto" w:fill="FFFFFF" w:themeFill="background1"/>
          </w:tcPr>
          <w:p w14:paraId="47023850" w14:textId="77777777" w:rsidR="001223E4" w:rsidRPr="005D4222" w:rsidRDefault="001223E4" w:rsidP="00A53E8C">
            <w:pPr>
              <w:pStyle w:val="TableText"/>
              <w:spacing w:before="40" w:after="40"/>
            </w:pPr>
            <w:r w:rsidRPr="005D4222">
              <w:t>Repeat per Metric</w:t>
            </w:r>
          </w:p>
        </w:tc>
        <w:tc>
          <w:tcPr>
            <w:tcW w:w="9652" w:type="dxa"/>
            <w:tcBorders>
              <w:left w:val="single" w:sz="4" w:space="0" w:color="auto"/>
              <w:right w:val="single" w:sz="4" w:space="0" w:color="auto"/>
            </w:tcBorders>
            <w:shd w:val="clear" w:color="auto" w:fill="FFFFFF" w:themeFill="background1"/>
          </w:tcPr>
          <w:p w14:paraId="3B373AAA" w14:textId="77777777" w:rsidR="001223E4" w:rsidRPr="005D4222" w:rsidRDefault="001223E4" w:rsidP="00A53E8C">
            <w:pPr>
              <w:pStyle w:val="TableText"/>
              <w:spacing w:before="40" w:after="40"/>
              <w:rPr>
                <w:rFonts w:eastAsia="Wingdings"/>
              </w:rPr>
            </w:pPr>
            <w:r w:rsidRPr="005D4222">
              <w:rPr>
                <w:rFonts w:eastAsia="Wingdings"/>
              </w:rPr>
              <w:t>The same value is repeated across all Metrics.</w:t>
            </w:r>
          </w:p>
          <w:p w14:paraId="50D27149" w14:textId="77777777" w:rsidR="001223E4" w:rsidRPr="005D4222" w:rsidRDefault="001223E4" w:rsidP="00A53E8C">
            <w:pPr>
              <w:pStyle w:val="TableText"/>
              <w:spacing w:before="40" w:after="40"/>
              <w:rPr>
                <w:rFonts w:eastAsia="Wingdings"/>
              </w:rPr>
            </w:pPr>
            <w:r w:rsidRPr="005D4222">
              <w:rPr>
                <w:rFonts w:eastAsia="Wingdings"/>
              </w:rPr>
              <w:t>Used e.g., when the same Denominator is used for the calculation of multiple rates within a measure (e.g., CIS, IMA).</w:t>
            </w:r>
          </w:p>
        </w:tc>
      </w:tr>
      <w:tr w:rsidR="001223E4" w:rsidRPr="005D4222" w14:paraId="0C7062A0" w14:textId="77777777" w:rsidTr="00A53E8C">
        <w:tc>
          <w:tcPr>
            <w:tcW w:w="3655" w:type="dxa"/>
            <w:tcBorders>
              <w:top w:val="single" w:sz="4" w:space="0" w:color="auto"/>
              <w:left w:val="single" w:sz="4" w:space="0" w:color="auto"/>
              <w:bottom w:val="single" w:sz="4" w:space="0" w:color="auto"/>
              <w:right w:val="single" w:sz="4" w:space="0" w:color="auto"/>
            </w:tcBorders>
            <w:shd w:val="clear" w:color="auto" w:fill="FFFFFF" w:themeFill="background1"/>
          </w:tcPr>
          <w:p w14:paraId="380D5C48" w14:textId="77777777" w:rsidR="001223E4" w:rsidRPr="005D4222" w:rsidRDefault="001223E4" w:rsidP="00A53E8C">
            <w:pPr>
              <w:pStyle w:val="TableText"/>
              <w:spacing w:before="40" w:after="40"/>
            </w:pPr>
            <w:r w:rsidRPr="005D4222">
              <w:t>Repeat per Stratification</w:t>
            </w:r>
            <w:r w:rsidRPr="005D4222">
              <w:rPr>
                <w:b/>
                <w:bCs/>
              </w:rPr>
              <w:t>*</w:t>
            </w:r>
          </w:p>
        </w:tc>
        <w:tc>
          <w:tcPr>
            <w:tcW w:w="9652" w:type="dxa"/>
            <w:tcBorders>
              <w:left w:val="single" w:sz="4" w:space="0" w:color="auto"/>
              <w:bottom w:val="single" w:sz="6" w:space="0" w:color="auto"/>
              <w:right w:val="single" w:sz="4" w:space="0" w:color="auto"/>
            </w:tcBorders>
            <w:shd w:val="clear" w:color="auto" w:fill="FFFFFF" w:themeFill="background1"/>
          </w:tcPr>
          <w:p w14:paraId="739A19F5" w14:textId="77777777" w:rsidR="001223E4" w:rsidRPr="005D4222" w:rsidRDefault="001223E4" w:rsidP="00A53E8C">
            <w:pPr>
              <w:pStyle w:val="TableText"/>
              <w:spacing w:before="40" w:after="40"/>
              <w:rPr>
                <w:rFonts w:eastAsia="Wingdings"/>
              </w:rPr>
            </w:pPr>
            <w:r w:rsidRPr="005D4222">
              <w:rPr>
                <w:rFonts w:eastAsia="Wingdings"/>
              </w:rPr>
              <w:t>The same value is repeated across all Stratifications.</w:t>
            </w:r>
          </w:p>
          <w:p w14:paraId="79E2CA1B" w14:textId="77777777" w:rsidR="001223E4" w:rsidRPr="005D4222" w:rsidRDefault="001223E4" w:rsidP="00A53E8C">
            <w:pPr>
              <w:pStyle w:val="TableText"/>
              <w:spacing w:before="40" w:after="40"/>
              <w:rPr>
                <w:rFonts w:eastAsia="Wingdings"/>
              </w:rPr>
            </w:pPr>
            <w:r w:rsidRPr="005D4222">
              <w:rPr>
                <w:rFonts w:eastAsia="Wingdings"/>
              </w:rPr>
              <w:t>This is common for measures using the Hybrid collection method where a single sample is drawn for all stratifications. The sample corresponds to the Total stratification but plans only report the individual stratifications. Therefore, plans must repeat the sample data elements for all stratifications.</w:t>
            </w:r>
          </w:p>
        </w:tc>
      </w:tr>
      <w:tr w:rsidR="001223E4" w:rsidRPr="005D4222" w14:paraId="220DC444" w14:textId="77777777" w:rsidTr="00A53E8C">
        <w:tc>
          <w:tcPr>
            <w:tcW w:w="3655" w:type="dxa"/>
            <w:tcBorders>
              <w:top w:val="single" w:sz="4" w:space="0" w:color="auto"/>
              <w:left w:val="single" w:sz="4" w:space="0" w:color="auto"/>
              <w:bottom w:val="single" w:sz="4" w:space="0" w:color="auto"/>
              <w:right w:val="single" w:sz="4" w:space="0" w:color="auto"/>
            </w:tcBorders>
            <w:shd w:val="clear" w:color="auto" w:fill="FFFFFF" w:themeFill="background1"/>
          </w:tcPr>
          <w:p w14:paraId="4E844E7E" w14:textId="77777777" w:rsidR="001223E4" w:rsidRPr="005D4222" w:rsidRDefault="001223E4" w:rsidP="00A53E8C">
            <w:pPr>
              <w:pStyle w:val="TableText"/>
              <w:spacing w:before="40" w:after="40"/>
            </w:pPr>
            <w:r w:rsidRPr="005D4222">
              <w:t>Repeat per Metric and Stratification</w:t>
            </w:r>
            <w:r w:rsidRPr="005D4222">
              <w:rPr>
                <w:b/>
                <w:bCs/>
              </w:rPr>
              <w:t>*</w:t>
            </w:r>
          </w:p>
        </w:tc>
        <w:tc>
          <w:tcPr>
            <w:tcW w:w="9652" w:type="dxa"/>
            <w:tcBorders>
              <w:left w:val="single" w:sz="4" w:space="0" w:color="auto"/>
              <w:bottom w:val="single" w:sz="6" w:space="0" w:color="auto"/>
              <w:right w:val="single" w:sz="4" w:space="0" w:color="auto"/>
            </w:tcBorders>
            <w:shd w:val="clear" w:color="auto" w:fill="FFFFFF" w:themeFill="background1"/>
          </w:tcPr>
          <w:p w14:paraId="44C424B8" w14:textId="77777777" w:rsidR="001223E4" w:rsidRPr="005D4222" w:rsidRDefault="001223E4" w:rsidP="00A53E8C">
            <w:pPr>
              <w:pStyle w:val="TableText"/>
              <w:spacing w:before="40" w:after="40"/>
              <w:rPr>
                <w:rFonts w:eastAsia="Wingdings"/>
              </w:rPr>
            </w:pPr>
            <w:r w:rsidRPr="005D4222">
              <w:rPr>
                <w:rFonts w:eastAsia="Wingdings"/>
              </w:rPr>
              <w:t xml:space="preserve">The same value is repeated across all Metrics and Stratifications. </w:t>
            </w:r>
          </w:p>
          <w:p w14:paraId="33C184BB" w14:textId="77777777" w:rsidR="001223E4" w:rsidRPr="005D4222" w:rsidRDefault="001223E4" w:rsidP="00A53E8C">
            <w:pPr>
              <w:pStyle w:val="TableText"/>
              <w:spacing w:before="40" w:after="40"/>
              <w:rPr>
                <w:rFonts w:eastAsia="Wingdings"/>
              </w:rPr>
            </w:pPr>
            <w:r w:rsidRPr="005D4222">
              <w:rPr>
                <w:rFonts w:eastAsia="Wingdings"/>
              </w:rPr>
              <w:t>For example, the Hybrid sample data elements for WCC and TRC when reporting using the Hybrid collection method.</w:t>
            </w:r>
          </w:p>
        </w:tc>
      </w:tr>
      <w:tr w:rsidR="001223E4" w:rsidRPr="005D4222" w14:paraId="7762347E" w14:textId="77777777" w:rsidTr="00A53E8C">
        <w:tc>
          <w:tcPr>
            <w:tcW w:w="3655" w:type="dxa"/>
            <w:tcBorders>
              <w:top w:val="single" w:sz="4" w:space="0" w:color="auto"/>
              <w:left w:val="single" w:sz="4" w:space="0" w:color="auto"/>
              <w:bottom w:val="single" w:sz="4" w:space="0" w:color="auto"/>
              <w:right w:val="single" w:sz="4" w:space="0" w:color="auto"/>
            </w:tcBorders>
            <w:shd w:val="clear" w:color="auto" w:fill="FFFFFF" w:themeFill="background1"/>
          </w:tcPr>
          <w:p w14:paraId="052F1F60" w14:textId="77777777" w:rsidR="001223E4" w:rsidRPr="005D4222" w:rsidRDefault="001223E4" w:rsidP="00A53E8C">
            <w:pPr>
              <w:pStyle w:val="TableText"/>
              <w:spacing w:before="40" w:after="40"/>
            </w:pPr>
            <w:r w:rsidRPr="005D4222">
              <w:t>For each Stratification, repeat per Metric</w:t>
            </w:r>
            <w:r w:rsidRPr="005D4222">
              <w:rPr>
                <w:b/>
                <w:bCs/>
              </w:rPr>
              <w:t>*</w:t>
            </w:r>
          </w:p>
        </w:tc>
        <w:tc>
          <w:tcPr>
            <w:tcW w:w="9652" w:type="dxa"/>
            <w:tcBorders>
              <w:left w:val="single" w:sz="4" w:space="0" w:color="auto"/>
              <w:bottom w:val="single" w:sz="6" w:space="0" w:color="auto"/>
              <w:right w:val="single" w:sz="4" w:space="0" w:color="auto"/>
            </w:tcBorders>
            <w:shd w:val="clear" w:color="auto" w:fill="FFFFFF" w:themeFill="background1"/>
          </w:tcPr>
          <w:p w14:paraId="7BD361F7" w14:textId="77777777" w:rsidR="001223E4" w:rsidRPr="005D4222" w:rsidRDefault="001223E4" w:rsidP="00A53E8C">
            <w:pPr>
              <w:pStyle w:val="TableText"/>
              <w:spacing w:before="40" w:after="40"/>
              <w:rPr>
                <w:rFonts w:eastAsia="Wingdings"/>
              </w:rPr>
            </w:pPr>
            <w:r w:rsidRPr="005D4222">
              <w:rPr>
                <w:rFonts w:eastAsia="Wingdings"/>
              </w:rPr>
              <w:t>Report independent values for each stratification but repeat these for the same stratifications over multiple metrics.</w:t>
            </w:r>
          </w:p>
        </w:tc>
      </w:tr>
      <w:tr w:rsidR="001223E4" w:rsidRPr="005D4222" w14:paraId="719D805E" w14:textId="77777777" w:rsidTr="00A53E8C">
        <w:tc>
          <w:tcPr>
            <w:tcW w:w="3655" w:type="dxa"/>
            <w:tcBorders>
              <w:top w:val="single" w:sz="4" w:space="0" w:color="auto"/>
              <w:left w:val="single" w:sz="4" w:space="0" w:color="auto"/>
              <w:bottom w:val="single" w:sz="4" w:space="0" w:color="auto"/>
              <w:right w:val="single" w:sz="4" w:space="0" w:color="auto"/>
            </w:tcBorders>
            <w:shd w:val="clear" w:color="auto" w:fill="FFFFFF" w:themeFill="background1"/>
          </w:tcPr>
          <w:p w14:paraId="0D84B80B" w14:textId="77777777" w:rsidR="001223E4" w:rsidRPr="005D4222" w:rsidRDefault="001223E4" w:rsidP="00A53E8C">
            <w:pPr>
              <w:pStyle w:val="TableText"/>
              <w:spacing w:before="40" w:after="40"/>
            </w:pPr>
            <w:r w:rsidRPr="005D4222">
              <w:t>For each Metric, repeat per Stratification</w:t>
            </w:r>
            <w:r w:rsidRPr="005D4222">
              <w:rPr>
                <w:b/>
                <w:bCs/>
              </w:rPr>
              <w:t>*</w:t>
            </w:r>
          </w:p>
        </w:tc>
        <w:tc>
          <w:tcPr>
            <w:tcW w:w="9652" w:type="dxa"/>
            <w:tcBorders>
              <w:left w:val="single" w:sz="4" w:space="0" w:color="auto"/>
              <w:bottom w:val="single" w:sz="6" w:space="0" w:color="auto"/>
              <w:right w:val="single" w:sz="4" w:space="0" w:color="auto"/>
            </w:tcBorders>
            <w:shd w:val="clear" w:color="auto" w:fill="FFFFFF" w:themeFill="background1"/>
          </w:tcPr>
          <w:p w14:paraId="3795319F" w14:textId="77777777" w:rsidR="001223E4" w:rsidRPr="005D4222" w:rsidRDefault="001223E4" w:rsidP="00A53E8C">
            <w:pPr>
              <w:pStyle w:val="TableText"/>
              <w:spacing w:before="40" w:after="40"/>
              <w:rPr>
                <w:rFonts w:eastAsia="Wingdings"/>
              </w:rPr>
            </w:pPr>
            <w:r w:rsidRPr="005D4222">
              <w:rPr>
                <w:rFonts w:eastAsia="Wingdings"/>
              </w:rPr>
              <w:t>Report independent values for each Metric but repeat these for all stratifications within each Metric (e.g., CollectionMethod).</w:t>
            </w:r>
          </w:p>
        </w:tc>
      </w:tr>
      <w:tr w:rsidR="001223E4" w:rsidRPr="005D4222" w14:paraId="58EDF017" w14:textId="77777777" w:rsidTr="00A53E8C">
        <w:tc>
          <w:tcPr>
            <w:tcW w:w="3655" w:type="dxa"/>
            <w:tcBorders>
              <w:top w:val="single" w:sz="4" w:space="0" w:color="auto"/>
              <w:left w:val="single" w:sz="4" w:space="0" w:color="auto"/>
              <w:bottom w:val="single" w:sz="4" w:space="0" w:color="auto"/>
              <w:right w:val="single" w:sz="4" w:space="0" w:color="auto"/>
            </w:tcBorders>
            <w:shd w:val="clear" w:color="auto" w:fill="FFFFFF" w:themeFill="background1"/>
          </w:tcPr>
          <w:p w14:paraId="42528DA9" w14:textId="77777777" w:rsidR="001223E4" w:rsidRPr="005D4222" w:rsidRDefault="001223E4" w:rsidP="00A53E8C">
            <w:pPr>
              <w:pStyle w:val="TableText"/>
              <w:spacing w:before="40" w:after="40"/>
            </w:pPr>
            <w:r w:rsidRPr="005D4222">
              <w:t>Only for Total</w:t>
            </w:r>
          </w:p>
        </w:tc>
        <w:tc>
          <w:tcPr>
            <w:tcW w:w="9652" w:type="dxa"/>
            <w:tcBorders>
              <w:left w:val="single" w:sz="4" w:space="0" w:color="auto"/>
              <w:right w:val="single" w:sz="4" w:space="0" w:color="auto"/>
            </w:tcBorders>
            <w:shd w:val="clear" w:color="auto" w:fill="FFFFFF" w:themeFill="background1"/>
          </w:tcPr>
          <w:p w14:paraId="74115B71" w14:textId="73964B70" w:rsidR="001223E4" w:rsidRPr="005D4222" w:rsidRDefault="001223E4" w:rsidP="00A53E8C">
            <w:pPr>
              <w:pStyle w:val="TableText"/>
              <w:spacing w:before="40" w:after="40"/>
              <w:rPr>
                <w:rFonts w:eastAsia="Wingdings"/>
              </w:rPr>
            </w:pPr>
            <w:r w:rsidRPr="005D4222">
              <w:rPr>
                <w:rFonts w:eastAsia="Wingdings"/>
              </w:rPr>
              <w:t xml:space="preserve">Only used for CYAR in stratified measures. Plans report NumeratorByAdminDenom (Number of numerator events by administrative data in the administrative denominator) for each stratification, but IDSS calculates the CYAR (Current year’s administrative rate), only at the total stratification. Only this total CYAR can be used to reduce the minimum required sample size for measures where this is allowed. Refer to the </w:t>
            </w:r>
            <w:hyperlink w:anchor="Guidelines_for_Sampling" w:history="1">
              <w:r w:rsidRPr="005D4222">
                <w:rPr>
                  <w:rStyle w:val="Hyperlink"/>
                  <w:rFonts w:eastAsia="Wingdings"/>
                  <w:i/>
                  <w:iCs/>
                </w:rPr>
                <w:t>Guidelines for Calculations and Sampling</w:t>
              </w:r>
            </w:hyperlink>
            <w:r w:rsidRPr="005D4222">
              <w:rPr>
                <w:rFonts w:eastAsia="Wingdings"/>
              </w:rPr>
              <w:t xml:space="preserve"> for more information.</w:t>
            </w:r>
          </w:p>
        </w:tc>
      </w:tr>
    </w:tbl>
    <w:p w14:paraId="3B208DE1" w14:textId="77777777" w:rsidR="001223E4" w:rsidRPr="005D4222" w:rsidRDefault="001223E4" w:rsidP="00895FBD">
      <w:pPr>
        <w:pStyle w:val="TableText"/>
        <w:spacing w:before="120" w:after="180"/>
        <w:ind w:left="86" w:hanging="86"/>
        <w:sectPr w:rsidR="001223E4" w:rsidRPr="005D4222" w:rsidSect="00852F93">
          <w:headerReference w:type="even" r:id="rId273"/>
          <w:headerReference w:type="default" r:id="rId274"/>
          <w:footerReference w:type="default" r:id="rId275"/>
          <w:type w:val="nextColumn"/>
          <w:pgSz w:w="12240" w:h="15840" w:code="1"/>
          <w:pgMar w:top="1080" w:right="1080" w:bottom="1080" w:left="1440" w:header="720" w:footer="720" w:gutter="0"/>
          <w:pgNumType w:start="1"/>
          <w:cols w:space="720"/>
          <w:docGrid w:linePitch="286"/>
        </w:sectPr>
      </w:pPr>
      <w:r w:rsidRPr="005D4222">
        <w:rPr>
          <w:b/>
          <w:bCs/>
        </w:rPr>
        <w:t>*</w:t>
      </w:r>
      <w:r w:rsidRPr="005D4222">
        <w:t>For measures with multiple stratifications, the reporting instructions apply to all stratification combinations.</w:t>
      </w:r>
    </w:p>
    <w:p w14:paraId="6AEFBD50" w14:textId="77777777" w:rsidR="001223E4" w:rsidRPr="005D4222" w:rsidRDefault="001223E4" w:rsidP="001223E4">
      <w:pPr>
        <w:jc w:val="right"/>
        <w:rPr>
          <w:b/>
          <w:bCs/>
          <w:sz w:val="48"/>
          <w:szCs w:val="48"/>
        </w:rPr>
      </w:pPr>
      <w:bookmarkStart w:id="469" w:name="Appendix_3"/>
      <w:r w:rsidRPr="005D4222">
        <w:rPr>
          <w:b/>
          <w:bCs/>
          <w:sz w:val="48"/>
          <w:szCs w:val="48"/>
        </w:rPr>
        <w:lastRenderedPageBreak/>
        <w:t>Appendix 3</w:t>
      </w:r>
      <w:bookmarkEnd w:id="469"/>
    </w:p>
    <w:p w14:paraId="0A3E9855" w14:textId="77777777" w:rsidR="001223E4" w:rsidRPr="005D4222" w:rsidRDefault="001223E4" w:rsidP="001223E4">
      <w:pPr>
        <w:jc w:val="right"/>
        <w:rPr>
          <w:b/>
          <w:bCs/>
          <w:sz w:val="48"/>
          <w:szCs w:val="48"/>
        </w:rPr>
      </w:pPr>
    </w:p>
    <w:p w14:paraId="1E66A882" w14:textId="77777777" w:rsidR="001223E4" w:rsidRPr="005D4222" w:rsidRDefault="001223E4" w:rsidP="001223E4">
      <w:pPr>
        <w:jc w:val="right"/>
        <w:rPr>
          <w:b/>
          <w:bCs/>
          <w:sz w:val="48"/>
          <w:szCs w:val="48"/>
        </w:rPr>
      </w:pPr>
      <w:r w:rsidRPr="005D4222">
        <w:rPr>
          <w:b/>
          <w:bCs/>
          <w:sz w:val="48"/>
          <w:szCs w:val="48"/>
        </w:rPr>
        <w:t>Contributors</w:t>
      </w:r>
    </w:p>
    <w:p w14:paraId="635B3C78" w14:textId="77777777" w:rsidR="001223E4" w:rsidRPr="005D4222" w:rsidRDefault="001223E4" w:rsidP="001223E4"/>
    <w:p w14:paraId="3E2BBF1B" w14:textId="77777777" w:rsidR="001223E4" w:rsidRPr="005D4222" w:rsidRDefault="001223E4" w:rsidP="001223E4">
      <w:pPr>
        <w:sectPr w:rsidR="001223E4" w:rsidRPr="005D4222" w:rsidSect="0074514A">
          <w:headerReference w:type="even" r:id="rId276"/>
          <w:headerReference w:type="default" r:id="rId277"/>
          <w:footerReference w:type="default" r:id="rId278"/>
          <w:type w:val="nextColumn"/>
          <w:pgSz w:w="12240" w:h="15840" w:code="1"/>
          <w:pgMar w:top="1080" w:right="1080" w:bottom="1080" w:left="1440" w:header="720" w:footer="720" w:gutter="0"/>
          <w:cols w:space="720"/>
        </w:sectPr>
      </w:pPr>
    </w:p>
    <w:p w14:paraId="2F4F3DC9" w14:textId="77777777" w:rsidR="001223E4" w:rsidRPr="005D4222" w:rsidRDefault="001223E4" w:rsidP="001223E4">
      <w:pPr>
        <w:jc w:val="center"/>
        <w:rPr>
          <w:b/>
          <w:bCs/>
          <w:sz w:val="32"/>
          <w:szCs w:val="32"/>
        </w:rPr>
      </w:pPr>
      <w:r w:rsidRPr="005D4222">
        <w:rPr>
          <w:b/>
          <w:sz w:val="32"/>
          <w:szCs w:val="32"/>
        </w:rPr>
        <w:lastRenderedPageBreak/>
        <w:t>APPENDIX 3</w:t>
      </w:r>
    </w:p>
    <w:p w14:paraId="0E020CBB" w14:textId="77777777" w:rsidR="001223E4" w:rsidRPr="005D4222" w:rsidRDefault="001223E4" w:rsidP="001223E4">
      <w:pPr>
        <w:spacing w:before="120"/>
        <w:jc w:val="center"/>
        <w:rPr>
          <w:b/>
          <w:sz w:val="28"/>
          <w:szCs w:val="28"/>
        </w:rPr>
      </w:pPr>
      <w:r w:rsidRPr="005D4222">
        <w:rPr>
          <w:b/>
          <w:sz w:val="28"/>
          <w:szCs w:val="28"/>
        </w:rPr>
        <w:t>CONTRIBUTORS</w:t>
      </w:r>
    </w:p>
    <w:p w14:paraId="7FAF2B0F" w14:textId="77777777" w:rsidR="001223E4" w:rsidRPr="005D4222" w:rsidRDefault="001223E4" w:rsidP="00F41BC6">
      <w:pPr>
        <w:pStyle w:val="ReverseHead"/>
        <w:rPr>
          <w:color w:val="auto"/>
        </w:rPr>
      </w:pPr>
      <w:r w:rsidRPr="005D4222">
        <w:t>Ad-hoc Gender Equity in HEDIS Panel</w:t>
      </w:r>
    </w:p>
    <w:tbl>
      <w:tblPr>
        <w:tblW w:w="9690" w:type="dxa"/>
        <w:tblInd w:w="30" w:type="dxa"/>
        <w:tblLayout w:type="fixed"/>
        <w:tblLook w:val="0000" w:firstRow="0" w:lastRow="0" w:firstColumn="0" w:lastColumn="0" w:noHBand="0" w:noVBand="0"/>
      </w:tblPr>
      <w:tblGrid>
        <w:gridCol w:w="4740"/>
        <w:gridCol w:w="4950"/>
      </w:tblGrid>
      <w:tr w:rsidR="001223E4" w:rsidRPr="005D4222" w14:paraId="1B27B3B2" w14:textId="77777777" w:rsidTr="00A53E8C">
        <w:trPr>
          <w:cantSplit/>
        </w:trPr>
        <w:tc>
          <w:tcPr>
            <w:tcW w:w="4740" w:type="dxa"/>
            <w:tcMar>
              <w:left w:w="0" w:type="dxa"/>
              <w:right w:w="115" w:type="dxa"/>
            </w:tcMar>
          </w:tcPr>
          <w:p w14:paraId="7E13E970" w14:textId="77777777" w:rsidR="001223E4" w:rsidRPr="005D4222" w:rsidRDefault="001223E4" w:rsidP="00A53E8C">
            <w:pPr>
              <w:pStyle w:val="Body"/>
              <w:spacing w:before="120"/>
              <w:rPr>
                <w:rFonts w:cs="Arial"/>
                <w:szCs w:val="21"/>
              </w:rPr>
            </w:pPr>
            <w:r w:rsidRPr="005D4222">
              <w:rPr>
                <w:rFonts w:cs="Arial"/>
                <w:b/>
                <w:szCs w:val="21"/>
              </w:rPr>
              <w:t>Joanne Armstrong, MD, MPH</w:t>
            </w:r>
            <w:r w:rsidRPr="005D4222">
              <w:rPr>
                <w:rFonts w:cs="Arial"/>
                <w:b/>
                <w:szCs w:val="21"/>
              </w:rPr>
              <w:br/>
            </w:r>
            <w:r w:rsidRPr="005D4222">
              <w:rPr>
                <w:rFonts w:cs="Arial"/>
                <w:szCs w:val="21"/>
              </w:rPr>
              <w:t xml:space="preserve">Aetna </w:t>
            </w:r>
          </w:p>
          <w:p w14:paraId="5CEF6BCA" w14:textId="77777777" w:rsidR="001223E4" w:rsidRPr="005D4222" w:rsidRDefault="001223E4" w:rsidP="00A53E8C">
            <w:pPr>
              <w:pStyle w:val="Body"/>
              <w:spacing w:before="120"/>
              <w:rPr>
                <w:rFonts w:cs="Arial"/>
                <w:szCs w:val="21"/>
              </w:rPr>
            </w:pPr>
            <w:r w:rsidRPr="005D4222">
              <w:rPr>
                <w:rFonts w:cs="Arial"/>
                <w:b/>
                <w:szCs w:val="21"/>
              </w:rPr>
              <w:t>Marshall Chin, MD, MPH</w:t>
            </w:r>
            <w:r w:rsidRPr="005D4222">
              <w:br/>
            </w:r>
            <w:r w:rsidRPr="005D4222">
              <w:rPr>
                <w:rFonts w:cs="Arial"/>
                <w:szCs w:val="21"/>
              </w:rPr>
              <w:t>University of Chicago</w:t>
            </w:r>
          </w:p>
          <w:p w14:paraId="68071932" w14:textId="77777777" w:rsidR="001223E4" w:rsidRPr="005D4222" w:rsidRDefault="001223E4" w:rsidP="00A53E8C">
            <w:pPr>
              <w:pStyle w:val="Body"/>
              <w:spacing w:before="120"/>
              <w:rPr>
                <w:rFonts w:cs="Arial"/>
                <w:szCs w:val="21"/>
              </w:rPr>
            </w:pPr>
            <w:r w:rsidRPr="005D4222">
              <w:rPr>
                <w:rFonts w:cs="Arial"/>
                <w:b/>
                <w:bCs/>
                <w:szCs w:val="21"/>
              </w:rPr>
              <w:t>Sarah Coombs, MPH</w:t>
            </w:r>
            <w:r w:rsidRPr="005D4222">
              <w:rPr>
                <w:rFonts w:cs="Arial"/>
                <w:b/>
                <w:bCs/>
                <w:szCs w:val="21"/>
              </w:rPr>
              <w:br/>
            </w:r>
            <w:r w:rsidRPr="005D4222">
              <w:rPr>
                <w:rFonts w:cs="Arial"/>
                <w:szCs w:val="21"/>
              </w:rPr>
              <w:t>National Partnership for Women &amp; Families</w:t>
            </w:r>
          </w:p>
          <w:p w14:paraId="735E73D2" w14:textId="77777777" w:rsidR="001223E4" w:rsidRPr="005D4222" w:rsidRDefault="001223E4" w:rsidP="00A53E8C">
            <w:pPr>
              <w:pStyle w:val="Body"/>
              <w:spacing w:before="120"/>
              <w:rPr>
                <w:rFonts w:cs="Arial"/>
                <w:szCs w:val="21"/>
              </w:rPr>
            </w:pPr>
            <w:r w:rsidRPr="005D4222">
              <w:rPr>
                <w:rFonts w:cs="Arial"/>
                <w:b/>
                <w:szCs w:val="21"/>
              </w:rPr>
              <w:t>Sandra Finestone, PsyD</w:t>
            </w:r>
            <w:r w:rsidRPr="005D4222">
              <w:rPr>
                <w:rFonts w:cs="Arial"/>
                <w:szCs w:val="21"/>
              </w:rPr>
              <w:br/>
              <w:t>Finestone &amp; Finestone</w:t>
            </w:r>
          </w:p>
        </w:tc>
        <w:tc>
          <w:tcPr>
            <w:tcW w:w="4950" w:type="dxa"/>
          </w:tcPr>
          <w:p w14:paraId="098E2545" w14:textId="77777777" w:rsidR="001223E4" w:rsidRPr="005D4222" w:rsidRDefault="001223E4" w:rsidP="00A53E8C">
            <w:pPr>
              <w:pStyle w:val="Body"/>
              <w:tabs>
                <w:tab w:val="left" w:pos="3064"/>
              </w:tabs>
              <w:spacing w:before="120"/>
              <w:rPr>
                <w:rFonts w:cs="Arial"/>
                <w:szCs w:val="21"/>
              </w:rPr>
            </w:pPr>
            <w:r w:rsidRPr="005D4222">
              <w:rPr>
                <w:rFonts w:cs="Arial"/>
                <w:b/>
                <w:bCs/>
                <w:szCs w:val="21"/>
              </w:rPr>
              <w:t xml:space="preserve">Stephanie Glover, </w:t>
            </w:r>
            <w:r w:rsidRPr="005D4222">
              <w:rPr>
                <w:rFonts w:cs="Arial"/>
                <w:b/>
              </w:rPr>
              <w:t>MPA</w:t>
            </w:r>
            <w:r w:rsidRPr="005D4222">
              <w:rPr>
                <w:rFonts w:cs="Arial"/>
                <w:b/>
              </w:rPr>
              <w:br/>
            </w:r>
            <w:r w:rsidRPr="005D4222">
              <w:rPr>
                <w:rFonts w:cs="Arial"/>
                <w:szCs w:val="21"/>
              </w:rPr>
              <w:t>Colorado Access</w:t>
            </w:r>
          </w:p>
          <w:p w14:paraId="2D3883C9" w14:textId="77777777" w:rsidR="001223E4" w:rsidRPr="005D4222" w:rsidRDefault="001223E4" w:rsidP="00A53E8C">
            <w:pPr>
              <w:pStyle w:val="Body"/>
              <w:spacing w:before="120"/>
              <w:rPr>
                <w:rFonts w:cs="Arial"/>
                <w:b/>
                <w:szCs w:val="21"/>
              </w:rPr>
            </w:pPr>
            <w:r w:rsidRPr="005D4222">
              <w:rPr>
                <w:rFonts w:cs="Arial"/>
                <w:b/>
                <w:szCs w:val="21"/>
              </w:rPr>
              <w:t>Alex Keuroghlian, MD, MPH</w:t>
            </w:r>
            <w:r w:rsidRPr="005D4222">
              <w:rPr>
                <w:rFonts w:cs="Arial"/>
                <w:b/>
                <w:szCs w:val="21"/>
              </w:rPr>
              <w:br/>
            </w:r>
            <w:r w:rsidRPr="005D4222">
              <w:rPr>
                <w:rFonts w:cs="Arial"/>
                <w:bCs/>
                <w:szCs w:val="21"/>
              </w:rPr>
              <w:t>Fenway Health</w:t>
            </w:r>
          </w:p>
          <w:p w14:paraId="6C2486F1" w14:textId="77777777" w:rsidR="001223E4" w:rsidRPr="005D4222" w:rsidRDefault="001223E4" w:rsidP="00A53E8C">
            <w:pPr>
              <w:pStyle w:val="Body"/>
              <w:tabs>
                <w:tab w:val="left" w:pos="3064"/>
              </w:tabs>
              <w:spacing w:before="120"/>
              <w:rPr>
                <w:rFonts w:cs="Arial"/>
                <w:szCs w:val="21"/>
              </w:rPr>
            </w:pPr>
            <w:r w:rsidRPr="005D4222">
              <w:rPr>
                <w:rFonts w:cs="Arial"/>
                <w:b/>
                <w:bCs/>
                <w:szCs w:val="21"/>
              </w:rPr>
              <w:t>Mandi Pratt-Chapman, PhD</w:t>
            </w:r>
            <w:r w:rsidRPr="005D4222">
              <w:rPr>
                <w:rFonts w:cs="Arial"/>
                <w:b/>
                <w:bCs/>
                <w:szCs w:val="21"/>
              </w:rPr>
              <w:br/>
            </w:r>
            <w:r w:rsidRPr="005D4222">
              <w:rPr>
                <w:rFonts w:cs="Arial"/>
                <w:szCs w:val="21"/>
              </w:rPr>
              <w:t>The George Washington University</w:t>
            </w:r>
          </w:p>
          <w:p w14:paraId="5059ABFC" w14:textId="77777777" w:rsidR="001223E4" w:rsidRPr="005D4222" w:rsidRDefault="001223E4" w:rsidP="00A53E8C">
            <w:pPr>
              <w:pStyle w:val="Body"/>
              <w:spacing w:before="120"/>
              <w:rPr>
                <w:rFonts w:cs="Arial"/>
                <w:szCs w:val="21"/>
              </w:rPr>
            </w:pPr>
            <w:r w:rsidRPr="005D4222">
              <w:rPr>
                <w:rFonts w:cs="Arial"/>
                <w:b/>
              </w:rPr>
              <w:t>George Sawaya, MD</w:t>
            </w:r>
            <w:r w:rsidRPr="005D4222">
              <w:rPr>
                <w:rFonts w:cs="Arial"/>
                <w:b/>
              </w:rPr>
              <w:br/>
            </w:r>
            <w:r w:rsidRPr="005D4222">
              <w:rPr>
                <w:rFonts w:cs="Arial"/>
              </w:rPr>
              <w:t>University of California San Francisco</w:t>
            </w:r>
          </w:p>
        </w:tc>
      </w:tr>
    </w:tbl>
    <w:p w14:paraId="5D2582A3" w14:textId="77777777" w:rsidR="001223E4" w:rsidRPr="005D4222" w:rsidRDefault="001223E4" w:rsidP="00F41BC6">
      <w:pPr>
        <w:pStyle w:val="ReverseHead"/>
      </w:pPr>
      <w:r w:rsidRPr="005D4222">
        <w:t xml:space="preserve">Behavioral Health Measurement Advisory Panel </w:t>
      </w:r>
    </w:p>
    <w:tbl>
      <w:tblPr>
        <w:tblW w:w="9720" w:type="dxa"/>
        <w:tblLayout w:type="fixed"/>
        <w:tblLook w:val="0000" w:firstRow="0" w:lastRow="0" w:firstColumn="0" w:lastColumn="0" w:noHBand="0" w:noVBand="0"/>
      </w:tblPr>
      <w:tblGrid>
        <w:gridCol w:w="4770"/>
        <w:gridCol w:w="4950"/>
      </w:tblGrid>
      <w:tr w:rsidR="001223E4" w:rsidRPr="005D4222" w14:paraId="498F6D00" w14:textId="77777777" w:rsidTr="00A53E8C">
        <w:tc>
          <w:tcPr>
            <w:tcW w:w="4770" w:type="dxa"/>
            <w:tcMar>
              <w:left w:w="0" w:type="dxa"/>
              <w:right w:w="115" w:type="dxa"/>
            </w:tcMar>
          </w:tcPr>
          <w:p w14:paraId="0311924B" w14:textId="77777777" w:rsidR="001223E4" w:rsidRPr="005D4222" w:rsidRDefault="001223E4" w:rsidP="00A53E8C">
            <w:pPr>
              <w:pStyle w:val="Body"/>
              <w:spacing w:before="120"/>
              <w:rPr>
                <w:rFonts w:cs="Arial"/>
                <w:bCs/>
                <w:szCs w:val="21"/>
              </w:rPr>
            </w:pPr>
            <w:r w:rsidRPr="005D4222">
              <w:rPr>
                <w:rFonts w:cs="Arial"/>
                <w:b/>
                <w:szCs w:val="21"/>
              </w:rPr>
              <w:t>Henry Chung, MD</w:t>
            </w:r>
            <w:r w:rsidRPr="005D4222">
              <w:rPr>
                <w:rFonts w:cs="Arial"/>
                <w:b/>
                <w:szCs w:val="21"/>
              </w:rPr>
              <w:br/>
            </w:r>
            <w:r w:rsidRPr="005D4222">
              <w:rPr>
                <w:rFonts w:cs="Arial"/>
                <w:bCs/>
                <w:szCs w:val="21"/>
              </w:rPr>
              <w:t>Albert Einstein College of Medicine</w:t>
            </w:r>
          </w:p>
          <w:p w14:paraId="5425EA03" w14:textId="77777777" w:rsidR="001223E4" w:rsidRPr="005D4222" w:rsidRDefault="001223E4" w:rsidP="00A53E8C">
            <w:pPr>
              <w:pStyle w:val="Body"/>
              <w:spacing w:before="120"/>
              <w:rPr>
                <w:rFonts w:cs="Arial"/>
                <w:szCs w:val="21"/>
              </w:rPr>
            </w:pPr>
            <w:r w:rsidRPr="005D4222">
              <w:rPr>
                <w:rFonts w:cs="Arial"/>
                <w:b/>
                <w:szCs w:val="21"/>
              </w:rPr>
              <w:t>Christopher Dennis, MD, MBA, FAPA</w:t>
            </w:r>
            <w:r w:rsidRPr="005D4222">
              <w:rPr>
                <w:rFonts w:cs="Arial"/>
                <w:b/>
                <w:szCs w:val="21"/>
              </w:rPr>
              <w:br/>
            </w:r>
            <w:r w:rsidRPr="005D4222">
              <w:rPr>
                <w:rFonts w:cs="Arial"/>
                <w:szCs w:val="21"/>
              </w:rPr>
              <w:t>Pinnacle Treatment</w:t>
            </w:r>
          </w:p>
          <w:p w14:paraId="4D8F59B8" w14:textId="77777777" w:rsidR="001223E4" w:rsidRPr="005D4222" w:rsidRDefault="001223E4" w:rsidP="00A53E8C">
            <w:pPr>
              <w:pStyle w:val="Body"/>
              <w:spacing w:before="120"/>
              <w:rPr>
                <w:rFonts w:cs="Arial"/>
                <w:szCs w:val="21"/>
              </w:rPr>
            </w:pPr>
            <w:r w:rsidRPr="005D4222">
              <w:rPr>
                <w:rFonts w:cs="Arial"/>
                <w:b/>
                <w:szCs w:val="21"/>
              </w:rPr>
              <w:t>Don Fowls, MD</w:t>
            </w:r>
            <w:r w:rsidRPr="005D4222">
              <w:rPr>
                <w:rFonts w:cs="Arial"/>
                <w:b/>
                <w:szCs w:val="21"/>
              </w:rPr>
              <w:br/>
            </w:r>
            <w:r w:rsidRPr="005D4222">
              <w:rPr>
                <w:rFonts w:cs="Arial"/>
                <w:szCs w:val="21"/>
              </w:rPr>
              <w:t>Don Fowls and Associates, LLC</w:t>
            </w:r>
          </w:p>
          <w:p w14:paraId="0F71D684" w14:textId="77777777" w:rsidR="001223E4" w:rsidRPr="005D4222" w:rsidRDefault="001223E4" w:rsidP="00A53E8C">
            <w:pPr>
              <w:pStyle w:val="Body"/>
              <w:spacing w:before="120"/>
              <w:rPr>
                <w:rFonts w:cs="Arial"/>
                <w:szCs w:val="21"/>
              </w:rPr>
            </w:pPr>
            <w:r w:rsidRPr="005D4222">
              <w:rPr>
                <w:rFonts w:cs="Arial"/>
                <w:b/>
                <w:szCs w:val="21"/>
              </w:rPr>
              <w:t xml:space="preserve">Frank A. Ghinassi, PhD, ABPP </w:t>
            </w:r>
            <w:r w:rsidRPr="005D4222">
              <w:rPr>
                <w:rFonts w:cs="Arial"/>
                <w:b/>
                <w:szCs w:val="21"/>
              </w:rPr>
              <w:br/>
            </w:r>
            <w:r w:rsidRPr="005D4222">
              <w:rPr>
                <w:rFonts w:cs="Arial"/>
                <w:szCs w:val="21"/>
              </w:rPr>
              <w:t>Rutgers University Behavioral Health Care</w:t>
            </w:r>
          </w:p>
          <w:p w14:paraId="1D3F444C" w14:textId="77777777" w:rsidR="001223E4" w:rsidRPr="005D4222" w:rsidRDefault="001223E4" w:rsidP="00A53E8C">
            <w:pPr>
              <w:pStyle w:val="Body"/>
              <w:spacing w:before="120"/>
              <w:rPr>
                <w:rFonts w:cs="Arial"/>
                <w:szCs w:val="21"/>
              </w:rPr>
            </w:pPr>
            <w:r w:rsidRPr="005D4222">
              <w:rPr>
                <w:rFonts w:cs="Arial"/>
                <w:b/>
                <w:szCs w:val="21"/>
              </w:rPr>
              <w:t>Candace Grace, M. Ed</w:t>
            </w:r>
            <w:r w:rsidRPr="005D4222">
              <w:rPr>
                <w:rFonts w:cs="Arial"/>
                <w:b/>
                <w:szCs w:val="21"/>
              </w:rPr>
              <w:br/>
            </w:r>
            <w:r w:rsidRPr="005D4222">
              <w:rPr>
                <w:rFonts w:cs="Arial"/>
                <w:szCs w:val="21"/>
              </w:rPr>
              <w:t>Louisiana Department of Health</w:t>
            </w:r>
          </w:p>
          <w:p w14:paraId="1F2BCFE2" w14:textId="77777777" w:rsidR="001223E4" w:rsidRPr="005D4222" w:rsidRDefault="001223E4" w:rsidP="00A53E8C">
            <w:pPr>
              <w:spacing w:before="120"/>
              <w:rPr>
                <w:rFonts w:cs="Arial"/>
                <w:b/>
                <w:szCs w:val="21"/>
              </w:rPr>
            </w:pPr>
            <w:r w:rsidRPr="005D4222">
              <w:rPr>
                <w:rFonts w:cs="Arial"/>
                <w:b/>
                <w:szCs w:val="21"/>
              </w:rPr>
              <w:t>Laura Jacobus-Kantor, PhD</w:t>
            </w:r>
            <w:r w:rsidRPr="005D4222">
              <w:rPr>
                <w:rFonts w:cs="Arial"/>
                <w:b/>
                <w:szCs w:val="21"/>
              </w:rPr>
              <w:br/>
            </w:r>
            <w:r w:rsidRPr="005D4222">
              <w:rPr>
                <w:rFonts w:cs="Arial"/>
                <w:szCs w:val="21"/>
              </w:rPr>
              <w:t>HHS, Assistant Secretary for Planning and Evaluation</w:t>
            </w:r>
          </w:p>
          <w:p w14:paraId="6ED2D462" w14:textId="77777777" w:rsidR="001223E4" w:rsidRPr="005D4222" w:rsidRDefault="001223E4" w:rsidP="00A53E8C">
            <w:pPr>
              <w:spacing w:before="120"/>
              <w:rPr>
                <w:rFonts w:cs="Arial"/>
                <w:szCs w:val="21"/>
              </w:rPr>
            </w:pPr>
            <w:r w:rsidRPr="005D4222">
              <w:rPr>
                <w:rFonts w:cs="Arial"/>
                <w:b/>
                <w:szCs w:val="21"/>
              </w:rPr>
              <w:t>Madhuri Jha, MPH, LCSW</w:t>
            </w:r>
            <w:r w:rsidRPr="005D4222">
              <w:rPr>
                <w:rFonts w:cs="Arial"/>
              </w:rPr>
              <w:br/>
            </w:r>
            <w:r w:rsidRPr="005D4222">
              <w:rPr>
                <w:rFonts w:cs="Arial"/>
                <w:szCs w:val="21"/>
              </w:rPr>
              <w:t>Thriving for All</w:t>
            </w:r>
            <w:r w:rsidRPr="005D4222">
              <w:rPr>
                <w:rFonts w:cs="Arial"/>
              </w:rPr>
              <w:br/>
            </w:r>
            <w:r w:rsidRPr="005D4222">
              <w:rPr>
                <w:rFonts w:cs="Arial"/>
                <w:szCs w:val="21"/>
              </w:rPr>
              <w:t>New York University</w:t>
            </w:r>
          </w:p>
        </w:tc>
        <w:tc>
          <w:tcPr>
            <w:tcW w:w="4950" w:type="dxa"/>
            <w:tcBorders>
              <w:bottom w:val="nil"/>
            </w:tcBorders>
          </w:tcPr>
          <w:p w14:paraId="292AB827" w14:textId="77777777" w:rsidR="001223E4" w:rsidRPr="005D4222" w:rsidRDefault="001223E4" w:rsidP="00A53E8C">
            <w:pPr>
              <w:spacing w:before="120"/>
              <w:rPr>
                <w:rFonts w:cs="Arial"/>
                <w:szCs w:val="21"/>
              </w:rPr>
            </w:pPr>
            <w:r w:rsidRPr="005D4222">
              <w:rPr>
                <w:rFonts w:cs="Arial"/>
                <w:b/>
                <w:szCs w:val="21"/>
              </w:rPr>
              <w:t>Carlos Larrauri, JD, MPA, MSN</w:t>
            </w:r>
            <w:r w:rsidRPr="005D4222">
              <w:rPr>
                <w:rFonts w:cs="Arial"/>
              </w:rPr>
              <w:br/>
            </w:r>
            <w:r w:rsidRPr="005D4222">
              <w:rPr>
                <w:rFonts w:cs="Arial"/>
                <w:szCs w:val="21"/>
              </w:rPr>
              <w:t>National Alliance on Mental Illness</w:t>
            </w:r>
          </w:p>
          <w:p w14:paraId="66E77014" w14:textId="77777777" w:rsidR="001223E4" w:rsidRPr="005D4222" w:rsidRDefault="001223E4" w:rsidP="00A53E8C">
            <w:pPr>
              <w:spacing w:before="120"/>
              <w:rPr>
                <w:rFonts w:cs="Arial"/>
                <w:szCs w:val="21"/>
              </w:rPr>
            </w:pPr>
            <w:r w:rsidRPr="005D4222">
              <w:rPr>
                <w:rFonts w:cs="Arial"/>
                <w:b/>
                <w:szCs w:val="21"/>
              </w:rPr>
              <w:t>Keith McCoy, MD</w:t>
            </w:r>
            <w:r w:rsidRPr="005D4222">
              <w:rPr>
                <w:rFonts w:cs="Arial"/>
              </w:rPr>
              <w:br/>
            </w:r>
            <w:r w:rsidRPr="005D4222">
              <w:rPr>
                <w:rFonts w:cs="Arial"/>
                <w:szCs w:val="21"/>
              </w:rPr>
              <w:t>NC DHHS/ NC Medicaid</w:t>
            </w:r>
          </w:p>
          <w:p w14:paraId="57C3AD25" w14:textId="77777777" w:rsidR="001223E4" w:rsidRPr="005D4222" w:rsidRDefault="001223E4" w:rsidP="00A53E8C">
            <w:pPr>
              <w:spacing w:before="120"/>
              <w:rPr>
                <w:rFonts w:cs="Arial"/>
                <w:kern w:val="24"/>
                <w:szCs w:val="21"/>
              </w:rPr>
            </w:pPr>
            <w:r w:rsidRPr="005D4222">
              <w:rPr>
                <w:rFonts w:cs="Arial"/>
                <w:b/>
                <w:szCs w:val="21"/>
              </w:rPr>
              <w:t>Jeffrey Meyerhoff, MD</w:t>
            </w:r>
            <w:r w:rsidRPr="005D4222">
              <w:rPr>
                <w:rFonts w:cs="Arial"/>
              </w:rPr>
              <w:br/>
            </w:r>
            <w:r w:rsidRPr="005D4222">
              <w:rPr>
                <w:rFonts w:cs="Arial"/>
                <w:szCs w:val="21"/>
              </w:rPr>
              <w:t>Optum Behavioral Health</w:t>
            </w:r>
          </w:p>
          <w:p w14:paraId="08D64447" w14:textId="77777777" w:rsidR="001223E4" w:rsidRPr="005D4222" w:rsidRDefault="001223E4" w:rsidP="00A53E8C">
            <w:pPr>
              <w:spacing w:before="120"/>
              <w:rPr>
                <w:rFonts w:cs="Arial"/>
                <w:kern w:val="24"/>
                <w:szCs w:val="21"/>
              </w:rPr>
            </w:pPr>
            <w:r w:rsidRPr="005D4222">
              <w:rPr>
                <w:rFonts w:cs="Arial"/>
                <w:b/>
                <w:szCs w:val="21"/>
              </w:rPr>
              <w:t xml:space="preserve">Harold Pincus, MD </w:t>
            </w:r>
            <w:r w:rsidRPr="005D4222">
              <w:rPr>
                <w:rFonts w:cs="Arial"/>
              </w:rPr>
              <w:br/>
            </w:r>
            <w:r w:rsidRPr="005D4222">
              <w:rPr>
                <w:rFonts w:cs="Arial"/>
                <w:szCs w:val="21"/>
              </w:rPr>
              <w:t>Irving Institute for Clinical and Translational Research</w:t>
            </w:r>
            <w:r w:rsidRPr="005D4222" w:rsidDel="000E21A1">
              <w:rPr>
                <w:rFonts w:cs="Arial"/>
                <w:szCs w:val="21"/>
              </w:rPr>
              <w:t xml:space="preserve"> </w:t>
            </w:r>
          </w:p>
          <w:p w14:paraId="1F06177C" w14:textId="77777777" w:rsidR="001223E4" w:rsidRPr="005D4222" w:rsidRDefault="001223E4" w:rsidP="00A53E8C">
            <w:pPr>
              <w:spacing w:before="240"/>
              <w:rPr>
                <w:rFonts w:cs="Arial"/>
                <w:b/>
                <w:szCs w:val="21"/>
                <w:u w:val="single"/>
              </w:rPr>
            </w:pPr>
            <w:r w:rsidRPr="005D4222">
              <w:rPr>
                <w:rFonts w:cs="Arial"/>
                <w:b/>
                <w:szCs w:val="21"/>
                <w:u w:val="single"/>
              </w:rPr>
              <w:t>Perinatal Depression Experts</w:t>
            </w:r>
          </w:p>
          <w:p w14:paraId="47BFB2A8" w14:textId="77777777" w:rsidR="001223E4" w:rsidRPr="005D4222" w:rsidRDefault="001223E4" w:rsidP="00A53E8C">
            <w:pPr>
              <w:spacing w:before="120"/>
              <w:rPr>
                <w:rFonts w:cs="Arial"/>
                <w:kern w:val="24"/>
                <w:szCs w:val="21"/>
              </w:rPr>
            </w:pPr>
            <w:r w:rsidRPr="005D4222">
              <w:rPr>
                <w:rFonts w:cs="Arial"/>
                <w:b/>
                <w:kern w:val="24"/>
                <w:szCs w:val="21"/>
              </w:rPr>
              <w:t xml:space="preserve">Ruth Stein, MD </w:t>
            </w:r>
            <w:r w:rsidRPr="005D4222">
              <w:rPr>
                <w:rFonts w:cs="Arial"/>
                <w:b/>
                <w:kern w:val="24"/>
                <w:szCs w:val="21"/>
              </w:rPr>
              <w:br/>
            </w:r>
            <w:r w:rsidRPr="005D4222">
              <w:rPr>
                <w:rFonts w:cs="Arial"/>
                <w:kern w:val="24"/>
                <w:szCs w:val="21"/>
              </w:rPr>
              <w:t>Albert Einstein College of Medicine/Montefiore</w:t>
            </w:r>
          </w:p>
          <w:p w14:paraId="2035C33B" w14:textId="77777777" w:rsidR="001223E4" w:rsidRPr="005D4222" w:rsidRDefault="001223E4" w:rsidP="00A53E8C">
            <w:pPr>
              <w:spacing w:before="120"/>
              <w:rPr>
                <w:rFonts w:cs="Arial"/>
                <w:szCs w:val="21"/>
              </w:rPr>
            </w:pPr>
            <w:r w:rsidRPr="005D4222">
              <w:rPr>
                <w:rFonts w:cs="Arial"/>
                <w:b/>
                <w:kern w:val="24"/>
                <w:szCs w:val="21"/>
              </w:rPr>
              <w:t>Judy Zerzan-Thul, MD, MPH</w:t>
            </w:r>
            <w:r w:rsidRPr="005D4222">
              <w:rPr>
                <w:rFonts w:cs="Arial"/>
                <w:b/>
                <w:kern w:val="24"/>
                <w:szCs w:val="21"/>
              </w:rPr>
              <w:br/>
            </w:r>
            <w:r w:rsidRPr="005D4222">
              <w:rPr>
                <w:rFonts w:cs="Arial"/>
                <w:kern w:val="24"/>
                <w:szCs w:val="21"/>
              </w:rPr>
              <w:t>Washington State Health Care Authority</w:t>
            </w:r>
          </w:p>
        </w:tc>
      </w:tr>
    </w:tbl>
    <w:p w14:paraId="1E55662E" w14:textId="77777777" w:rsidR="001223E4" w:rsidRPr="005D4222" w:rsidRDefault="001223E4" w:rsidP="00F41BC6">
      <w:pPr>
        <w:pStyle w:val="ReverseHead"/>
      </w:pPr>
      <w:r w:rsidRPr="005D4222">
        <w:t>Bone and Joint Measurement Advisory Panel</w:t>
      </w:r>
    </w:p>
    <w:tbl>
      <w:tblPr>
        <w:tblStyle w:val="TableGrid"/>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2"/>
        <w:gridCol w:w="4898"/>
      </w:tblGrid>
      <w:tr w:rsidR="001223E4" w:rsidRPr="005D4222" w14:paraId="7D6A1350" w14:textId="77777777" w:rsidTr="004A0218">
        <w:tc>
          <w:tcPr>
            <w:tcW w:w="4822" w:type="dxa"/>
            <w:tcMar>
              <w:left w:w="0" w:type="dxa"/>
              <w:right w:w="115" w:type="dxa"/>
            </w:tcMar>
          </w:tcPr>
          <w:p w14:paraId="4D3DA9A2" w14:textId="77777777" w:rsidR="001223E4" w:rsidRPr="005D4222" w:rsidRDefault="001223E4" w:rsidP="00A53E8C">
            <w:pPr>
              <w:pStyle w:val="Body"/>
              <w:spacing w:before="120"/>
              <w:rPr>
                <w:rFonts w:cs="Arial"/>
                <w:szCs w:val="21"/>
              </w:rPr>
            </w:pPr>
            <w:r w:rsidRPr="005D4222">
              <w:rPr>
                <w:rFonts w:cs="Arial"/>
                <w:b/>
                <w:szCs w:val="21"/>
              </w:rPr>
              <w:t>Paul Arnstein, PhD, RN, FAAN, ARNP</w:t>
            </w:r>
            <w:r w:rsidRPr="005D4222">
              <w:rPr>
                <w:rFonts w:cs="Arial"/>
                <w:b/>
                <w:szCs w:val="21"/>
              </w:rPr>
              <w:br/>
            </w:r>
            <w:r w:rsidRPr="005D4222">
              <w:rPr>
                <w:rFonts w:cs="Arial"/>
                <w:szCs w:val="21"/>
              </w:rPr>
              <w:t>Massachusetts General Hospital</w:t>
            </w:r>
          </w:p>
          <w:p w14:paraId="51A18B29" w14:textId="77777777" w:rsidR="001223E4" w:rsidRPr="005D4222" w:rsidRDefault="001223E4" w:rsidP="00A53E8C">
            <w:pPr>
              <w:pStyle w:val="Body"/>
              <w:spacing w:before="120"/>
              <w:rPr>
                <w:rFonts w:cs="Arial"/>
                <w:szCs w:val="21"/>
              </w:rPr>
            </w:pPr>
            <w:r w:rsidRPr="005D4222">
              <w:rPr>
                <w:rFonts w:cs="Arial"/>
                <w:b/>
                <w:szCs w:val="21"/>
              </w:rPr>
              <w:t>Wade Aubry, MD</w:t>
            </w:r>
            <w:r w:rsidRPr="005D4222">
              <w:rPr>
                <w:rFonts w:cs="Arial"/>
                <w:b/>
                <w:szCs w:val="21"/>
              </w:rPr>
              <w:br/>
            </w:r>
            <w:r w:rsidRPr="005D4222">
              <w:rPr>
                <w:rFonts w:cs="Arial"/>
                <w:szCs w:val="21"/>
              </w:rPr>
              <w:t>University of California—San Francisco</w:t>
            </w:r>
          </w:p>
          <w:p w14:paraId="3D647F88" w14:textId="77777777" w:rsidR="001223E4" w:rsidRPr="005D4222" w:rsidRDefault="001223E4" w:rsidP="00A53E8C">
            <w:pPr>
              <w:pStyle w:val="Body"/>
              <w:tabs>
                <w:tab w:val="left" w:pos="3064"/>
              </w:tabs>
              <w:spacing w:before="120"/>
              <w:rPr>
                <w:rFonts w:cs="Arial"/>
                <w:szCs w:val="21"/>
              </w:rPr>
            </w:pPr>
            <w:r w:rsidRPr="005D4222">
              <w:rPr>
                <w:rFonts w:cs="Arial"/>
                <w:b/>
                <w:szCs w:val="21"/>
              </w:rPr>
              <w:t>Thomas James, MD</w:t>
            </w:r>
            <w:r w:rsidRPr="005D4222">
              <w:rPr>
                <w:rFonts w:cs="Arial"/>
                <w:szCs w:val="21"/>
              </w:rPr>
              <w:br/>
              <w:t>Passport Health Plan</w:t>
            </w:r>
            <w:r w:rsidRPr="005D4222">
              <w:rPr>
                <w:rFonts w:cs="Arial"/>
                <w:szCs w:val="21"/>
              </w:rPr>
              <w:br/>
              <w:t>Molina Healthcare</w:t>
            </w:r>
          </w:p>
          <w:p w14:paraId="537D63DD" w14:textId="77777777" w:rsidR="001223E4" w:rsidRPr="005D4222" w:rsidRDefault="001223E4" w:rsidP="00A53E8C">
            <w:pPr>
              <w:pStyle w:val="Body"/>
              <w:tabs>
                <w:tab w:val="left" w:pos="3064"/>
              </w:tabs>
              <w:spacing w:before="120"/>
              <w:rPr>
                <w:rFonts w:cs="Arial"/>
                <w:b/>
                <w:szCs w:val="21"/>
              </w:rPr>
            </w:pPr>
            <w:r w:rsidRPr="005D4222">
              <w:rPr>
                <w:rFonts w:cs="Arial"/>
                <w:b/>
                <w:szCs w:val="21"/>
              </w:rPr>
              <w:t>Kathleen Lester</w:t>
            </w:r>
            <w:r w:rsidRPr="005D4222">
              <w:rPr>
                <w:rFonts w:cs="Arial"/>
                <w:b/>
                <w:szCs w:val="21"/>
              </w:rPr>
              <w:br/>
            </w:r>
            <w:r w:rsidRPr="005D4222">
              <w:rPr>
                <w:rFonts w:cs="Arial"/>
                <w:szCs w:val="21"/>
              </w:rPr>
              <w:t>Baltimore Health Analytics</w:t>
            </w:r>
          </w:p>
        </w:tc>
        <w:tc>
          <w:tcPr>
            <w:tcW w:w="4898" w:type="dxa"/>
          </w:tcPr>
          <w:p w14:paraId="0C6CFEDD" w14:textId="77777777" w:rsidR="001223E4" w:rsidRPr="005D4222" w:rsidRDefault="001223E4" w:rsidP="00A53E8C">
            <w:pPr>
              <w:pStyle w:val="Body"/>
              <w:spacing w:before="120"/>
              <w:rPr>
                <w:rFonts w:cs="Arial"/>
                <w:b/>
              </w:rPr>
            </w:pPr>
            <w:r w:rsidRPr="005D4222">
              <w:rPr>
                <w:rFonts w:cs="Arial"/>
                <w:b/>
              </w:rPr>
              <w:t>Catherine MacLean, MD, PhD</w:t>
            </w:r>
            <w:r w:rsidRPr="005D4222">
              <w:rPr>
                <w:rFonts w:cs="Arial"/>
              </w:rPr>
              <w:br/>
              <w:t>Hospital for Special Surgery</w:t>
            </w:r>
          </w:p>
          <w:p w14:paraId="4C7A1523" w14:textId="77777777" w:rsidR="001223E4" w:rsidRPr="005D4222" w:rsidRDefault="001223E4" w:rsidP="00A53E8C">
            <w:pPr>
              <w:pStyle w:val="Body"/>
              <w:spacing w:before="120"/>
              <w:rPr>
                <w:rFonts w:cs="Arial"/>
              </w:rPr>
            </w:pPr>
            <w:r w:rsidRPr="005D4222">
              <w:rPr>
                <w:rFonts w:cs="Arial"/>
                <w:b/>
                <w:szCs w:val="21"/>
              </w:rPr>
              <w:t>Richard Rosenquist, MD</w:t>
            </w:r>
            <w:r w:rsidRPr="005D4222">
              <w:rPr>
                <w:rFonts w:cs="Arial"/>
                <w:b/>
                <w:szCs w:val="21"/>
              </w:rPr>
              <w:br/>
            </w:r>
            <w:r w:rsidRPr="005D4222">
              <w:rPr>
                <w:rFonts w:cs="Arial"/>
              </w:rPr>
              <w:t>Cleveland Clinic</w:t>
            </w:r>
          </w:p>
          <w:p w14:paraId="0289CA0B" w14:textId="77777777" w:rsidR="001223E4" w:rsidRPr="005D4222" w:rsidRDefault="001223E4" w:rsidP="00A53E8C">
            <w:pPr>
              <w:pStyle w:val="Body"/>
              <w:spacing w:before="120"/>
              <w:rPr>
                <w:rFonts w:cs="Arial"/>
              </w:rPr>
            </w:pPr>
            <w:r w:rsidRPr="005D4222">
              <w:rPr>
                <w:rFonts w:cs="Arial"/>
                <w:b/>
              </w:rPr>
              <w:t>Jeffrey Susman, MD</w:t>
            </w:r>
            <w:r w:rsidRPr="005D4222">
              <w:rPr>
                <w:rFonts w:cs="Arial"/>
              </w:rPr>
              <w:br/>
              <w:t>Northeast Ohio Medical University College of Medicine</w:t>
            </w:r>
          </w:p>
          <w:p w14:paraId="7B18B1CE" w14:textId="77777777" w:rsidR="001223E4" w:rsidRPr="005D4222" w:rsidRDefault="001223E4" w:rsidP="00A53E8C">
            <w:pPr>
              <w:pStyle w:val="Body"/>
              <w:spacing w:before="120"/>
              <w:rPr>
                <w:rFonts w:cs="Arial"/>
                <w:b/>
                <w:szCs w:val="21"/>
              </w:rPr>
            </w:pPr>
            <w:r w:rsidRPr="005D4222">
              <w:rPr>
                <w:rFonts w:cs="Arial"/>
                <w:b/>
              </w:rPr>
              <w:t>Kim Templeton, MD</w:t>
            </w:r>
            <w:r w:rsidRPr="005D4222">
              <w:rPr>
                <w:rFonts w:cs="Arial"/>
                <w:b/>
              </w:rPr>
              <w:br/>
            </w:r>
            <w:r w:rsidRPr="005D4222">
              <w:rPr>
                <w:rFonts w:cs="Arial"/>
                <w:szCs w:val="21"/>
              </w:rPr>
              <w:t>University of Kansas Medical Center</w:t>
            </w:r>
          </w:p>
        </w:tc>
      </w:tr>
    </w:tbl>
    <w:p w14:paraId="6973CEFC" w14:textId="77777777" w:rsidR="001223E4" w:rsidRPr="005D4222" w:rsidRDefault="001223E4" w:rsidP="00F41BC6">
      <w:pPr>
        <w:pStyle w:val="ReverseHead"/>
      </w:pPr>
      <w:r w:rsidRPr="005D4222">
        <w:lastRenderedPageBreak/>
        <w:t>Breast and Cervical Cancer Measurement Advisory Panel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5"/>
        <w:gridCol w:w="4855"/>
      </w:tblGrid>
      <w:tr w:rsidR="001223E4" w:rsidRPr="005D4222" w14:paraId="581AC52C" w14:textId="77777777" w:rsidTr="00A53E8C">
        <w:tc>
          <w:tcPr>
            <w:tcW w:w="4855" w:type="dxa"/>
          </w:tcPr>
          <w:p w14:paraId="1AD87B2E" w14:textId="77777777" w:rsidR="001223E4" w:rsidRPr="005D4222" w:rsidRDefault="001223E4" w:rsidP="00A53E8C">
            <w:pPr>
              <w:pStyle w:val="Body"/>
              <w:spacing w:before="120"/>
              <w:rPr>
                <w:kern w:val="0"/>
              </w:rPr>
            </w:pPr>
            <w:r w:rsidRPr="005D4222">
              <w:rPr>
                <w:b/>
                <w:bCs/>
              </w:rPr>
              <w:t>Steven Atlas, MD, MPH</w:t>
            </w:r>
            <w:r w:rsidRPr="005D4222">
              <w:br/>
              <w:t>Massachusetts General Hospital</w:t>
            </w:r>
            <w:r w:rsidRPr="005D4222">
              <w:br/>
              <w:t>Harvard Medical School</w:t>
            </w:r>
          </w:p>
          <w:p w14:paraId="7DFA612F" w14:textId="77777777" w:rsidR="001223E4" w:rsidRPr="005D4222" w:rsidRDefault="001223E4" w:rsidP="00A53E8C">
            <w:pPr>
              <w:pStyle w:val="Body"/>
              <w:spacing w:before="120"/>
              <w:rPr>
                <w:kern w:val="0"/>
              </w:rPr>
            </w:pPr>
            <w:r w:rsidRPr="005D4222">
              <w:rPr>
                <w:b/>
              </w:rPr>
              <w:t>Molly Black</w:t>
            </w:r>
            <w:r w:rsidRPr="005D4222">
              <w:rPr>
                <w:b/>
              </w:rPr>
              <w:br/>
            </w:r>
            <w:r w:rsidRPr="005D4222">
              <w:rPr>
                <w:kern w:val="0"/>
              </w:rPr>
              <w:t>American Cancer Society</w:t>
            </w:r>
          </w:p>
          <w:p w14:paraId="096F413D" w14:textId="77777777" w:rsidR="001223E4" w:rsidRPr="005D4222" w:rsidRDefault="001223E4" w:rsidP="00A53E8C">
            <w:pPr>
              <w:pStyle w:val="Body"/>
              <w:spacing w:before="120"/>
              <w:rPr>
                <w:kern w:val="0"/>
              </w:rPr>
            </w:pPr>
            <w:r w:rsidRPr="005D4222">
              <w:rPr>
                <w:b/>
              </w:rPr>
              <w:t>Eloise Chapman-Davis, MD</w:t>
            </w:r>
            <w:r w:rsidRPr="005D4222">
              <w:rPr>
                <w:b/>
              </w:rPr>
              <w:br/>
            </w:r>
            <w:r w:rsidRPr="005D4222">
              <w:rPr>
                <w:kern w:val="0"/>
              </w:rPr>
              <w:t>Weill Cornell Medical Center</w:t>
            </w:r>
          </w:p>
          <w:p w14:paraId="0C2669B3" w14:textId="77777777" w:rsidR="001223E4" w:rsidRPr="005D4222" w:rsidRDefault="001223E4" w:rsidP="00A53E8C">
            <w:pPr>
              <w:pStyle w:val="Body"/>
              <w:spacing w:before="120"/>
              <w:rPr>
                <w:kern w:val="0"/>
              </w:rPr>
            </w:pPr>
            <w:r w:rsidRPr="005D4222">
              <w:rPr>
                <w:b/>
                <w:kern w:val="0"/>
              </w:rPr>
              <w:t>Michele Drotman, MD</w:t>
            </w:r>
            <w:r w:rsidRPr="005D4222">
              <w:rPr>
                <w:b/>
                <w:kern w:val="0"/>
              </w:rPr>
              <w:br/>
            </w:r>
            <w:r w:rsidRPr="005D4222">
              <w:rPr>
                <w:kern w:val="0"/>
              </w:rPr>
              <w:t>Weill Cornell Medical Center</w:t>
            </w:r>
            <w:r w:rsidRPr="005D4222">
              <w:rPr>
                <w:kern w:val="0"/>
              </w:rPr>
              <w:br/>
              <w:t>New York Presbyterian Hospital</w:t>
            </w:r>
          </w:p>
          <w:p w14:paraId="38B1B5C5" w14:textId="77777777" w:rsidR="001223E4" w:rsidRPr="005D4222" w:rsidRDefault="001223E4" w:rsidP="00A53E8C">
            <w:pPr>
              <w:pStyle w:val="Body"/>
              <w:spacing w:before="120"/>
            </w:pPr>
            <w:r w:rsidRPr="005D4222">
              <w:rPr>
                <w:b/>
                <w:kern w:val="0"/>
              </w:rPr>
              <w:t>Sanda Finestone, PsyD</w:t>
            </w:r>
            <w:r w:rsidRPr="005D4222">
              <w:rPr>
                <w:b/>
                <w:kern w:val="0"/>
              </w:rPr>
              <w:br/>
            </w:r>
            <w:r w:rsidRPr="005D4222">
              <w:rPr>
                <w:kern w:val="0"/>
              </w:rPr>
              <w:t>Association of Cancer Care Educators</w:t>
            </w:r>
          </w:p>
        </w:tc>
        <w:tc>
          <w:tcPr>
            <w:tcW w:w="4855" w:type="dxa"/>
          </w:tcPr>
          <w:p w14:paraId="149713D2" w14:textId="77777777" w:rsidR="001223E4" w:rsidRPr="005D4222" w:rsidRDefault="001223E4" w:rsidP="00A53E8C">
            <w:pPr>
              <w:pStyle w:val="Body"/>
              <w:spacing w:before="120"/>
              <w:rPr>
                <w:bCs/>
              </w:rPr>
            </w:pPr>
            <w:r w:rsidRPr="005D4222">
              <w:rPr>
                <w:b/>
                <w:bCs/>
              </w:rPr>
              <w:t>Mika Gans, MS, LMFT</w:t>
            </w:r>
            <w:r w:rsidRPr="005D4222">
              <w:rPr>
                <w:b/>
                <w:bCs/>
              </w:rPr>
              <w:br/>
            </w:r>
            <w:r w:rsidRPr="005D4222">
              <w:rPr>
                <w:bCs/>
              </w:rPr>
              <w:t>Colorado Access</w:t>
            </w:r>
          </w:p>
          <w:p w14:paraId="02E01D2F" w14:textId="77777777" w:rsidR="001223E4" w:rsidRPr="005D4222" w:rsidRDefault="001223E4" w:rsidP="00A53E8C">
            <w:pPr>
              <w:pStyle w:val="Body"/>
              <w:spacing w:before="120"/>
              <w:rPr>
                <w:bCs/>
              </w:rPr>
            </w:pPr>
            <w:r w:rsidRPr="005D4222">
              <w:rPr>
                <w:b/>
                <w:bCs/>
              </w:rPr>
              <w:t>Constance Lehman, MD, PhD</w:t>
            </w:r>
            <w:r w:rsidRPr="005D4222">
              <w:rPr>
                <w:b/>
                <w:bCs/>
              </w:rPr>
              <w:br/>
            </w:r>
            <w:r w:rsidRPr="005D4222">
              <w:rPr>
                <w:bCs/>
              </w:rPr>
              <w:t>Harvard Medical School</w:t>
            </w:r>
            <w:r w:rsidRPr="005D4222">
              <w:rPr>
                <w:bCs/>
              </w:rPr>
              <w:br/>
              <w:t>Massachusetts General Hospital</w:t>
            </w:r>
          </w:p>
          <w:p w14:paraId="6ACC48E5" w14:textId="77777777" w:rsidR="001223E4" w:rsidRPr="005D4222" w:rsidRDefault="001223E4" w:rsidP="00A53E8C">
            <w:pPr>
              <w:pStyle w:val="Body"/>
              <w:spacing w:before="120"/>
              <w:rPr>
                <w:bCs/>
              </w:rPr>
            </w:pPr>
            <w:r w:rsidRPr="005D4222">
              <w:rPr>
                <w:b/>
                <w:bCs/>
              </w:rPr>
              <w:t>Melissa McNeil, MD, MPH</w:t>
            </w:r>
            <w:r w:rsidRPr="005D4222">
              <w:rPr>
                <w:b/>
                <w:bCs/>
              </w:rPr>
              <w:br/>
            </w:r>
            <w:r w:rsidRPr="005D4222">
              <w:rPr>
                <w:bCs/>
              </w:rPr>
              <w:t>Warren Alpert School of Medicine of Brown</w:t>
            </w:r>
            <w:r w:rsidRPr="005D4222">
              <w:rPr>
                <w:bCs/>
              </w:rPr>
              <w:br/>
              <w:t>Rhode Island Hospital</w:t>
            </w:r>
          </w:p>
          <w:p w14:paraId="3A157B92" w14:textId="77777777" w:rsidR="001223E4" w:rsidRPr="005D4222" w:rsidRDefault="001223E4" w:rsidP="00A53E8C">
            <w:pPr>
              <w:pStyle w:val="Body"/>
              <w:spacing w:before="120"/>
              <w:rPr>
                <w:bCs/>
              </w:rPr>
            </w:pPr>
            <w:r w:rsidRPr="005D4222">
              <w:rPr>
                <w:b/>
                <w:bCs/>
              </w:rPr>
              <w:t>Jesse Singer, DO, MPH</w:t>
            </w:r>
            <w:r w:rsidRPr="005D4222">
              <w:rPr>
                <w:b/>
                <w:bCs/>
              </w:rPr>
              <w:br/>
            </w:r>
            <w:r w:rsidRPr="005D4222">
              <w:rPr>
                <w:bCs/>
              </w:rPr>
              <w:t>CommonSpirit Health</w:t>
            </w:r>
          </w:p>
          <w:p w14:paraId="65325CB0" w14:textId="77777777" w:rsidR="001223E4" w:rsidRPr="005D4222" w:rsidRDefault="001223E4" w:rsidP="00A53E8C">
            <w:pPr>
              <w:pStyle w:val="Body"/>
              <w:spacing w:before="120"/>
              <w:rPr>
                <w:bCs/>
              </w:rPr>
            </w:pPr>
            <w:r w:rsidRPr="005D4222">
              <w:rPr>
                <w:b/>
                <w:bCs/>
              </w:rPr>
              <w:t>Tamara Sheffield, MD</w:t>
            </w:r>
            <w:r w:rsidRPr="005D4222">
              <w:rPr>
                <w:b/>
                <w:bCs/>
              </w:rPr>
              <w:br/>
            </w:r>
            <w:r w:rsidRPr="005D4222">
              <w:rPr>
                <w:bCs/>
              </w:rPr>
              <w:t>Intermountain Health, Canyons Region</w:t>
            </w:r>
          </w:p>
        </w:tc>
      </w:tr>
    </w:tbl>
    <w:p w14:paraId="160AFEC8" w14:textId="77777777" w:rsidR="001223E4" w:rsidRPr="005D4222" w:rsidRDefault="001223E4" w:rsidP="00F41BC6">
      <w:pPr>
        <w:pStyle w:val="ReverseHead"/>
      </w:pPr>
      <w:r w:rsidRPr="005D4222">
        <w:t>Cardiovascular Measurement Advisory Panel</w:t>
      </w:r>
    </w:p>
    <w:tbl>
      <w:tblPr>
        <w:tblW w:w="9702" w:type="dxa"/>
        <w:tblInd w:w="18" w:type="dxa"/>
        <w:tblLayout w:type="fixed"/>
        <w:tblLook w:val="0000" w:firstRow="0" w:lastRow="0" w:firstColumn="0" w:lastColumn="0" w:noHBand="0" w:noVBand="0"/>
      </w:tblPr>
      <w:tblGrid>
        <w:gridCol w:w="4842"/>
        <w:gridCol w:w="4860"/>
      </w:tblGrid>
      <w:tr w:rsidR="001223E4" w:rsidRPr="005D4222" w14:paraId="3B82EA6A" w14:textId="77777777" w:rsidTr="00A53E8C">
        <w:tc>
          <w:tcPr>
            <w:tcW w:w="4842" w:type="dxa"/>
            <w:tcMar>
              <w:left w:w="0" w:type="dxa"/>
              <w:right w:w="115" w:type="dxa"/>
            </w:tcMar>
          </w:tcPr>
          <w:p w14:paraId="3EDCF14F" w14:textId="77777777" w:rsidR="001223E4" w:rsidRPr="005D4222" w:rsidRDefault="001223E4" w:rsidP="00A53E8C">
            <w:pPr>
              <w:spacing w:before="120"/>
              <w:rPr>
                <w:rFonts w:cs="Arial"/>
                <w:kern w:val="24"/>
                <w:szCs w:val="21"/>
              </w:rPr>
            </w:pPr>
            <w:r w:rsidRPr="005D4222">
              <w:rPr>
                <w:rFonts w:cs="Arial"/>
                <w:b/>
                <w:kern w:val="24"/>
                <w:szCs w:val="21"/>
              </w:rPr>
              <w:t>Donald Casey, MD, MPH, MBA, MACP, FAHA, FAPPL, DFACMQ</w:t>
            </w:r>
            <w:r w:rsidRPr="005D4222">
              <w:rPr>
                <w:rFonts w:cs="Arial"/>
                <w:b/>
                <w:kern w:val="24"/>
                <w:szCs w:val="21"/>
              </w:rPr>
              <w:br/>
            </w:r>
            <w:r w:rsidRPr="005D4222">
              <w:rPr>
                <w:rFonts w:cs="Arial"/>
                <w:kern w:val="24"/>
                <w:szCs w:val="21"/>
              </w:rPr>
              <w:t>Rush Medical College</w:t>
            </w:r>
          </w:p>
          <w:p w14:paraId="3D223572" w14:textId="77777777" w:rsidR="001223E4" w:rsidRPr="005D4222" w:rsidRDefault="001223E4" w:rsidP="00A53E8C">
            <w:pPr>
              <w:spacing w:before="120"/>
              <w:rPr>
                <w:rFonts w:cs="Arial"/>
                <w:kern w:val="24"/>
                <w:szCs w:val="21"/>
              </w:rPr>
            </w:pPr>
            <w:r w:rsidRPr="005D4222">
              <w:rPr>
                <w:rFonts w:cs="Arial"/>
                <w:b/>
                <w:bCs/>
                <w:kern w:val="24"/>
                <w:szCs w:val="21"/>
              </w:rPr>
              <w:t>Katherine Di Palo, PharmD, MBA, MS</w:t>
            </w:r>
          </w:p>
          <w:p w14:paraId="646936C5" w14:textId="77777777" w:rsidR="001223E4" w:rsidRPr="005D4222" w:rsidRDefault="001223E4" w:rsidP="00A53E8C">
            <w:pPr>
              <w:rPr>
                <w:rFonts w:cs="Arial"/>
                <w:kern w:val="24"/>
                <w:szCs w:val="21"/>
              </w:rPr>
            </w:pPr>
            <w:r w:rsidRPr="005D4222">
              <w:rPr>
                <w:rFonts w:cs="Arial"/>
                <w:kern w:val="24"/>
                <w:szCs w:val="21"/>
              </w:rPr>
              <w:t>Montefiore Health System</w:t>
            </w:r>
          </w:p>
          <w:p w14:paraId="33671409" w14:textId="77777777" w:rsidR="001223E4" w:rsidRPr="005D4222" w:rsidRDefault="001223E4" w:rsidP="00A53E8C">
            <w:pPr>
              <w:spacing w:before="120"/>
              <w:rPr>
                <w:rFonts w:cs="Arial"/>
                <w:kern w:val="24"/>
                <w:szCs w:val="21"/>
              </w:rPr>
            </w:pPr>
            <w:r w:rsidRPr="005D4222">
              <w:rPr>
                <w:rFonts w:cs="Arial"/>
                <w:b/>
                <w:bCs/>
                <w:kern w:val="24"/>
                <w:szCs w:val="21"/>
              </w:rPr>
              <w:t>Beverly Beth Green, MD, MPH</w:t>
            </w:r>
          </w:p>
          <w:p w14:paraId="14786966" w14:textId="77777777" w:rsidR="001223E4" w:rsidRPr="005D4222" w:rsidRDefault="001223E4" w:rsidP="00A53E8C">
            <w:pPr>
              <w:rPr>
                <w:rFonts w:cs="Arial"/>
                <w:kern w:val="24"/>
                <w:szCs w:val="21"/>
              </w:rPr>
            </w:pPr>
            <w:r w:rsidRPr="005D4222">
              <w:rPr>
                <w:rFonts w:cs="Arial"/>
                <w:kern w:val="24"/>
                <w:szCs w:val="21"/>
              </w:rPr>
              <w:t>Kaiser Permanente Washington Health Research Institute and Permanente Medical Group</w:t>
            </w:r>
          </w:p>
          <w:p w14:paraId="6A703682" w14:textId="77777777" w:rsidR="001223E4" w:rsidRPr="005D4222" w:rsidRDefault="001223E4" w:rsidP="00A53E8C">
            <w:pPr>
              <w:pStyle w:val="Body"/>
              <w:spacing w:before="120"/>
              <w:rPr>
                <w:rFonts w:cs="Arial"/>
                <w:kern w:val="0"/>
                <w:szCs w:val="21"/>
              </w:rPr>
            </w:pPr>
            <w:r w:rsidRPr="005D4222">
              <w:rPr>
                <w:rFonts w:cs="Arial"/>
                <w:b/>
                <w:kern w:val="0"/>
                <w:szCs w:val="21"/>
              </w:rPr>
              <w:t xml:space="preserve">Karen Margolis, MD, MPH </w:t>
            </w:r>
            <w:r w:rsidRPr="005D4222">
              <w:rPr>
                <w:rFonts w:cs="Arial"/>
                <w:kern w:val="0"/>
                <w:szCs w:val="21"/>
              </w:rPr>
              <w:br/>
              <w:t>HealthPartners</w:t>
            </w:r>
          </w:p>
          <w:p w14:paraId="6DE80BDD" w14:textId="77777777" w:rsidR="001223E4" w:rsidRPr="005D4222" w:rsidRDefault="001223E4" w:rsidP="00A53E8C">
            <w:pPr>
              <w:pStyle w:val="Body"/>
              <w:spacing w:before="120"/>
              <w:rPr>
                <w:rFonts w:cs="Arial"/>
                <w:kern w:val="0"/>
                <w:szCs w:val="21"/>
              </w:rPr>
            </w:pPr>
            <w:r w:rsidRPr="005D4222">
              <w:rPr>
                <w:rFonts w:cs="Arial"/>
                <w:b/>
                <w:bCs/>
                <w:kern w:val="0"/>
                <w:szCs w:val="21"/>
              </w:rPr>
              <w:t>Nicole Orr, MD, FACC</w:t>
            </w:r>
          </w:p>
          <w:p w14:paraId="7A1C1A0A" w14:textId="525D48E9" w:rsidR="001223E4" w:rsidRPr="005D4222" w:rsidRDefault="001223E4" w:rsidP="00A53E8C">
            <w:pPr>
              <w:pStyle w:val="Body"/>
              <w:spacing w:before="0"/>
              <w:rPr>
                <w:rFonts w:cs="Arial"/>
                <w:kern w:val="0"/>
                <w:szCs w:val="21"/>
              </w:rPr>
            </w:pPr>
            <w:r w:rsidRPr="005D4222">
              <w:rPr>
                <w:rFonts w:cs="Arial"/>
                <w:kern w:val="0"/>
                <w:szCs w:val="21"/>
              </w:rPr>
              <w:t>Post-Acute Cardiology Care, L</w:t>
            </w:r>
            <w:r w:rsidR="00DA172A" w:rsidRPr="005D4222">
              <w:rPr>
                <w:rFonts w:cs="Arial"/>
                <w:kern w:val="0"/>
                <w:szCs w:val="21"/>
              </w:rPr>
              <w:t>L</w:t>
            </w:r>
            <w:r w:rsidRPr="005D4222">
              <w:rPr>
                <w:rFonts w:cs="Arial"/>
                <w:kern w:val="0"/>
                <w:szCs w:val="21"/>
              </w:rPr>
              <w:t>C</w:t>
            </w:r>
          </w:p>
          <w:p w14:paraId="231FDC1C" w14:textId="77777777" w:rsidR="001223E4" w:rsidRPr="005D4222" w:rsidRDefault="001223E4" w:rsidP="00A53E8C">
            <w:pPr>
              <w:pStyle w:val="Body"/>
              <w:spacing w:before="120"/>
              <w:rPr>
                <w:rFonts w:cs="Arial"/>
                <w:b/>
                <w:szCs w:val="21"/>
              </w:rPr>
            </w:pPr>
            <w:r w:rsidRPr="005D4222">
              <w:rPr>
                <w:rFonts w:cs="Arial"/>
                <w:b/>
                <w:szCs w:val="21"/>
              </w:rPr>
              <w:t xml:space="preserve">Eduardo Ortiz, MD, MPH </w:t>
            </w:r>
            <w:r w:rsidRPr="005D4222">
              <w:rPr>
                <w:rFonts w:cs="Arial"/>
                <w:szCs w:val="21"/>
              </w:rPr>
              <w:br/>
              <w:t>Carl Vinson VA Medical Center</w:t>
            </w:r>
          </w:p>
        </w:tc>
        <w:tc>
          <w:tcPr>
            <w:tcW w:w="4860" w:type="dxa"/>
            <w:tcBorders>
              <w:bottom w:val="nil"/>
            </w:tcBorders>
          </w:tcPr>
          <w:p w14:paraId="184BD5FF" w14:textId="77777777" w:rsidR="001223E4" w:rsidRPr="005D4222" w:rsidRDefault="001223E4" w:rsidP="00A53E8C">
            <w:pPr>
              <w:spacing w:before="120"/>
              <w:rPr>
                <w:rFonts w:cs="Arial"/>
                <w:kern w:val="24"/>
                <w:szCs w:val="21"/>
              </w:rPr>
            </w:pPr>
            <w:r w:rsidRPr="005D4222">
              <w:rPr>
                <w:rFonts w:cs="Arial"/>
                <w:b/>
                <w:kern w:val="24"/>
                <w:szCs w:val="21"/>
              </w:rPr>
              <w:t>Foster Osei Baah, MS-PhD, RN</w:t>
            </w:r>
          </w:p>
          <w:p w14:paraId="305D577A" w14:textId="77777777" w:rsidR="001223E4" w:rsidRPr="005D4222" w:rsidRDefault="001223E4" w:rsidP="00A53E8C">
            <w:pPr>
              <w:rPr>
                <w:rFonts w:cs="Arial"/>
                <w:bCs/>
                <w:kern w:val="24"/>
                <w:szCs w:val="21"/>
              </w:rPr>
            </w:pPr>
            <w:r w:rsidRPr="005D4222">
              <w:rPr>
                <w:rFonts w:cs="Arial"/>
                <w:bCs/>
                <w:kern w:val="24"/>
                <w:szCs w:val="21"/>
              </w:rPr>
              <w:t>Emory University School of Nursing</w:t>
            </w:r>
          </w:p>
          <w:p w14:paraId="07F1B3DF" w14:textId="77777777" w:rsidR="001223E4" w:rsidRPr="005D4222" w:rsidRDefault="001223E4" w:rsidP="00A53E8C">
            <w:pPr>
              <w:spacing w:before="120"/>
              <w:rPr>
                <w:rFonts w:cs="Arial"/>
                <w:b/>
                <w:kern w:val="24"/>
                <w:szCs w:val="21"/>
              </w:rPr>
            </w:pPr>
            <w:r w:rsidRPr="005D4222">
              <w:rPr>
                <w:rFonts w:cs="Arial"/>
                <w:b/>
                <w:kern w:val="24"/>
                <w:szCs w:val="21"/>
              </w:rPr>
              <w:t>Stephen Persell, MD, MPH (Chair)</w:t>
            </w:r>
            <w:r w:rsidRPr="005D4222">
              <w:rPr>
                <w:rFonts w:cs="Arial"/>
                <w:b/>
                <w:kern w:val="24"/>
                <w:szCs w:val="21"/>
              </w:rPr>
              <w:br/>
            </w:r>
            <w:r w:rsidRPr="005D4222">
              <w:rPr>
                <w:rFonts w:cs="Arial"/>
                <w:kern w:val="24"/>
                <w:szCs w:val="21"/>
              </w:rPr>
              <w:t>Northwestern University</w:t>
            </w:r>
          </w:p>
          <w:p w14:paraId="5E8E2F9A" w14:textId="77777777" w:rsidR="001223E4" w:rsidRPr="005D4222" w:rsidRDefault="001223E4" w:rsidP="00A53E8C">
            <w:pPr>
              <w:spacing w:before="120"/>
              <w:rPr>
                <w:rFonts w:cs="Arial"/>
                <w:kern w:val="24"/>
                <w:szCs w:val="21"/>
              </w:rPr>
            </w:pPr>
            <w:r w:rsidRPr="005D4222">
              <w:rPr>
                <w:rFonts w:cs="Arial"/>
                <w:b/>
                <w:kern w:val="24"/>
                <w:szCs w:val="21"/>
              </w:rPr>
              <w:t>Randall Stafford, MD, PhD</w:t>
            </w:r>
            <w:r w:rsidRPr="005D4222">
              <w:rPr>
                <w:rFonts w:cs="Arial"/>
                <w:b/>
                <w:kern w:val="24"/>
                <w:szCs w:val="21"/>
              </w:rPr>
              <w:br/>
            </w:r>
            <w:r w:rsidRPr="005D4222">
              <w:rPr>
                <w:rFonts w:cs="Arial"/>
                <w:kern w:val="24"/>
                <w:szCs w:val="21"/>
              </w:rPr>
              <w:t>Stanford University</w:t>
            </w:r>
          </w:p>
          <w:p w14:paraId="0FC50CA0" w14:textId="77777777" w:rsidR="001223E4" w:rsidRPr="005D4222" w:rsidRDefault="001223E4" w:rsidP="00A53E8C">
            <w:pPr>
              <w:spacing w:before="120"/>
              <w:rPr>
                <w:rFonts w:cs="Arial"/>
              </w:rPr>
            </w:pPr>
            <w:r w:rsidRPr="005D4222">
              <w:rPr>
                <w:rFonts w:cs="Arial"/>
                <w:b/>
                <w:bCs/>
                <w:kern w:val="24"/>
              </w:rPr>
              <w:t>James Tcheng, MD</w:t>
            </w:r>
            <w:r w:rsidRPr="005D4222">
              <w:rPr>
                <w:rFonts w:cs="Arial"/>
                <w:b/>
                <w:bCs/>
                <w:kern w:val="24"/>
              </w:rPr>
              <w:br/>
            </w:r>
            <w:r w:rsidRPr="005D4222">
              <w:rPr>
                <w:rFonts w:cs="Arial"/>
                <w:kern w:val="24"/>
              </w:rPr>
              <w:t>Duke University School of Medicine</w:t>
            </w:r>
          </w:p>
          <w:p w14:paraId="15821C43" w14:textId="77777777" w:rsidR="001223E4" w:rsidRPr="005D4222" w:rsidRDefault="001223E4" w:rsidP="00A53E8C">
            <w:pPr>
              <w:spacing w:before="120"/>
              <w:rPr>
                <w:rFonts w:cs="Arial"/>
                <w:b/>
                <w:szCs w:val="21"/>
              </w:rPr>
            </w:pPr>
            <w:r w:rsidRPr="005D4222">
              <w:rPr>
                <w:rFonts w:cs="Arial"/>
                <w:b/>
                <w:kern w:val="24"/>
              </w:rPr>
              <w:t>Howard Tracer, MD</w:t>
            </w:r>
            <w:r w:rsidRPr="005D4222">
              <w:rPr>
                <w:rFonts w:cs="Arial"/>
                <w:kern w:val="24"/>
                <w:szCs w:val="21"/>
              </w:rPr>
              <w:br/>
            </w:r>
            <w:r w:rsidRPr="005D4222">
              <w:rPr>
                <w:rFonts w:cs="Arial"/>
                <w:kern w:val="24"/>
              </w:rPr>
              <w:t>Agency for Healthcare Research and Quality</w:t>
            </w:r>
          </w:p>
        </w:tc>
      </w:tr>
    </w:tbl>
    <w:p w14:paraId="2867C791" w14:textId="77777777" w:rsidR="001223E4" w:rsidRPr="005D4222" w:rsidRDefault="001223E4" w:rsidP="00F41BC6">
      <w:pPr>
        <w:pStyle w:val="ReverseHead"/>
      </w:pPr>
      <w:r w:rsidRPr="005D4222">
        <w:t>Child &amp; Adolescent Well-Care Measurement Advisory Panel</w:t>
      </w:r>
    </w:p>
    <w:tbl>
      <w:tblPr>
        <w:tblW w:w="9720" w:type="dxa"/>
        <w:tblLayout w:type="fixed"/>
        <w:tblLook w:val="0000" w:firstRow="0" w:lastRow="0" w:firstColumn="0" w:lastColumn="0" w:noHBand="0" w:noVBand="0"/>
      </w:tblPr>
      <w:tblGrid>
        <w:gridCol w:w="4860"/>
        <w:gridCol w:w="4860"/>
      </w:tblGrid>
      <w:tr w:rsidR="001223E4" w:rsidRPr="005D4222" w14:paraId="0877FB89" w14:textId="77777777" w:rsidTr="00A53E8C">
        <w:trPr>
          <w:cantSplit/>
        </w:trPr>
        <w:tc>
          <w:tcPr>
            <w:tcW w:w="4860" w:type="dxa"/>
            <w:tcMar>
              <w:left w:w="0" w:type="dxa"/>
              <w:right w:w="115" w:type="dxa"/>
            </w:tcMar>
          </w:tcPr>
          <w:p w14:paraId="305FBE19" w14:textId="77777777" w:rsidR="001223E4" w:rsidRPr="005D4222" w:rsidRDefault="001223E4" w:rsidP="00A53E8C">
            <w:pPr>
              <w:spacing w:before="120"/>
              <w:rPr>
                <w:rFonts w:cs="Arial"/>
                <w:b/>
                <w:szCs w:val="21"/>
              </w:rPr>
            </w:pPr>
            <w:r w:rsidRPr="005D4222">
              <w:rPr>
                <w:rFonts w:cs="Arial"/>
                <w:b/>
                <w:szCs w:val="21"/>
              </w:rPr>
              <w:t>Ann Edwards, MD, FAAP</w:t>
            </w:r>
            <w:r w:rsidRPr="005D4222">
              <w:rPr>
                <w:rFonts w:cs="Arial"/>
                <w:b/>
                <w:szCs w:val="21"/>
              </w:rPr>
              <w:br/>
            </w:r>
            <w:r w:rsidRPr="005D4222">
              <w:rPr>
                <w:rFonts w:cs="Arial"/>
                <w:szCs w:val="21"/>
              </w:rPr>
              <w:t>American Academy of Pediatrics</w:t>
            </w:r>
          </w:p>
          <w:p w14:paraId="640C964D" w14:textId="77777777" w:rsidR="001223E4" w:rsidRPr="005D4222" w:rsidRDefault="001223E4" w:rsidP="00A53E8C">
            <w:pPr>
              <w:spacing w:before="120"/>
              <w:rPr>
                <w:rFonts w:cs="Arial"/>
                <w:b/>
                <w:szCs w:val="21"/>
              </w:rPr>
            </w:pPr>
            <w:r w:rsidRPr="005D4222">
              <w:rPr>
                <w:rFonts w:cs="Arial"/>
                <w:b/>
                <w:szCs w:val="21"/>
              </w:rPr>
              <w:t>Cesarina Elias, MSHSA, CPHQ</w:t>
            </w:r>
            <w:r w:rsidRPr="005D4222">
              <w:rPr>
                <w:rFonts w:cs="Arial"/>
                <w:b/>
                <w:szCs w:val="21"/>
              </w:rPr>
              <w:br/>
            </w:r>
            <w:r w:rsidRPr="005D4222">
              <w:rPr>
                <w:rFonts w:cs="Arial"/>
                <w:szCs w:val="21"/>
              </w:rPr>
              <w:t>Neighborhood Health Plan of Rhode Island</w:t>
            </w:r>
            <w:r w:rsidRPr="005D4222">
              <w:rPr>
                <w:rFonts w:cs="Arial"/>
                <w:b/>
                <w:szCs w:val="21"/>
              </w:rPr>
              <w:t xml:space="preserve"> </w:t>
            </w:r>
          </w:p>
          <w:p w14:paraId="51EF0447" w14:textId="77777777" w:rsidR="001223E4" w:rsidRPr="005D4222" w:rsidRDefault="001223E4" w:rsidP="00A53E8C">
            <w:pPr>
              <w:spacing w:before="120"/>
              <w:rPr>
                <w:rFonts w:cs="Arial"/>
                <w:szCs w:val="21"/>
              </w:rPr>
            </w:pPr>
            <w:r w:rsidRPr="005D4222">
              <w:rPr>
                <w:rFonts w:cs="Arial"/>
                <w:b/>
                <w:szCs w:val="21"/>
              </w:rPr>
              <w:t>Renee Fox, MD</w:t>
            </w:r>
            <w:r w:rsidRPr="005D4222">
              <w:rPr>
                <w:rFonts w:cs="Arial"/>
                <w:b/>
                <w:szCs w:val="21"/>
              </w:rPr>
              <w:br/>
            </w:r>
            <w:r w:rsidRPr="005D4222">
              <w:rPr>
                <w:rFonts w:cs="Arial"/>
                <w:szCs w:val="21"/>
              </w:rPr>
              <w:t>Centers for Medicare &amp; Medicaid Services</w:t>
            </w:r>
          </w:p>
          <w:p w14:paraId="5983FEBE" w14:textId="77777777" w:rsidR="001223E4" w:rsidRPr="005D4222" w:rsidRDefault="001223E4" w:rsidP="00A53E8C">
            <w:pPr>
              <w:spacing w:before="120"/>
              <w:rPr>
                <w:rFonts w:cs="Arial"/>
                <w:szCs w:val="21"/>
              </w:rPr>
            </w:pPr>
            <w:r w:rsidRPr="005D4222">
              <w:rPr>
                <w:rFonts w:cs="Arial"/>
                <w:b/>
                <w:szCs w:val="21"/>
              </w:rPr>
              <w:t>Eric Garthwaite</w:t>
            </w:r>
            <w:r w:rsidRPr="005D4222">
              <w:rPr>
                <w:rFonts w:cs="Arial"/>
                <w:b/>
                <w:szCs w:val="21"/>
              </w:rPr>
              <w:br/>
            </w:r>
            <w:r w:rsidRPr="005D4222">
              <w:rPr>
                <w:rFonts w:cs="Arial"/>
                <w:szCs w:val="21"/>
              </w:rPr>
              <w:t>Health Net</w:t>
            </w:r>
          </w:p>
        </w:tc>
        <w:tc>
          <w:tcPr>
            <w:tcW w:w="4860" w:type="dxa"/>
            <w:tcBorders>
              <w:bottom w:val="nil"/>
            </w:tcBorders>
          </w:tcPr>
          <w:p w14:paraId="37D0AEE4" w14:textId="77777777" w:rsidR="001223E4" w:rsidRPr="005D4222" w:rsidRDefault="001223E4" w:rsidP="00A53E8C">
            <w:pPr>
              <w:spacing w:before="120"/>
              <w:rPr>
                <w:rFonts w:cs="Arial"/>
                <w:b/>
                <w:szCs w:val="21"/>
              </w:rPr>
            </w:pPr>
            <w:r w:rsidRPr="005D4222">
              <w:rPr>
                <w:rFonts w:cs="Arial"/>
                <w:b/>
                <w:szCs w:val="21"/>
              </w:rPr>
              <w:t>Sue Kressly, MD, FAAP</w:t>
            </w:r>
            <w:r w:rsidRPr="005D4222">
              <w:rPr>
                <w:rFonts w:cs="Arial"/>
                <w:b/>
                <w:szCs w:val="21"/>
              </w:rPr>
              <w:br/>
            </w:r>
            <w:r w:rsidRPr="005D4222">
              <w:rPr>
                <w:rFonts w:cs="Arial"/>
                <w:szCs w:val="21"/>
              </w:rPr>
              <w:t>Kressly Pediatrics</w:t>
            </w:r>
          </w:p>
          <w:p w14:paraId="5BD241EF" w14:textId="77777777" w:rsidR="001223E4" w:rsidRPr="005D4222" w:rsidRDefault="001223E4" w:rsidP="00A53E8C">
            <w:pPr>
              <w:spacing w:before="120"/>
              <w:rPr>
                <w:rFonts w:cs="Arial"/>
                <w:b/>
                <w:szCs w:val="21"/>
              </w:rPr>
            </w:pPr>
            <w:r w:rsidRPr="005D4222">
              <w:rPr>
                <w:rFonts w:cs="Arial"/>
                <w:b/>
                <w:szCs w:val="21"/>
              </w:rPr>
              <w:t>Virginia Moyer, MD, MPH</w:t>
            </w:r>
            <w:r w:rsidRPr="005D4222">
              <w:rPr>
                <w:rFonts w:cs="Arial"/>
                <w:b/>
                <w:szCs w:val="21"/>
              </w:rPr>
              <w:br/>
            </w:r>
            <w:r w:rsidRPr="005D4222">
              <w:rPr>
                <w:rFonts w:cs="Arial"/>
                <w:szCs w:val="21"/>
              </w:rPr>
              <w:t>University of North Carolina</w:t>
            </w:r>
          </w:p>
          <w:p w14:paraId="2C385740" w14:textId="77777777" w:rsidR="001223E4" w:rsidRPr="005D4222" w:rsidRDefault="001223E4" w:rsidP="00A53E8C">
            <w:pPr>
              <w:spacing w:before="120"/>
              <w:rPr>
                <w:rFonts w:cs="Arial"/>
                <w:szCs w:val="21"/>
              </w:rPr>
            </w:pPr>
            <w:r w:rsidRPr="005D4222">
              <w:rPr>
                <w:rFonts w:cs="Arial"/>
                <w:b/>
                <w:szCs w:val="21"/>
              </w:rPr>
              <w:t>Donna O’Shea, MD, MBA</w:t>
            </w:r>
            <w:r w:rsidRPr="005D4222">
              <w:rPr>
                <w:rFonts w:cs="Arial"/>
                <w:b/>
                <w:szCs w:val="21"/>
              </w:rPr>
              <w:br/>
            </w:r>
            <w:r w:rsidRPr="005D4222">
              <w:rPr>
                <w:rFonts w:cs="Arial"/>
                <w:szCs w:val="21"/>
              </w:rPr>
              <w:t>UnitedHealthcare</w:t>
            </w:r>
          </w:p>
        </w:tc>
      </w:tr>
    </w:tbl>
    <w:p w14:paraId="7DF95C9B" w14:textId="77777777" w:rsidR="001223E4" w:rsidRPr="005D4222" w:rsidRDefault="001223E4" w:rsidP="001223E4">
      <w:r w:rsidRPr="005D4222">
        <w:br w:type="page"/>
      </w:r>
    </w:p>
    <w:p w14:paraId="62629C18" w14:textId="77777777" w:rsidR="001223E4" w:rsidRPr="005D4222" w:rsidRDefault="001223E4" w:rsidP="00F41BC6">
      <w:pPr>
        <w:pStyle w:val="ReverseHead"/>
      </w:pPr>
      <w:r w:rsidRPr="005D4222">
        <w:lastRenderedPageBreak/>
        <w:t>Childhood/Adolescent Obesity Measurement Advisory Panel</w:t>
      </w:r>
    </w:p>
    <w:tbl>
      <w:tblPr>
        <w:tblW w:w="9720" w:type="dxa"/>
        <w:tblLayout w:type="fixed"/>
        <w:tblLook w:val="0000" w:firstRow="0" w:lastRow="0" w:firstColumn="0" w:lastColumn="0" w:noHBand="0" w:noVBand="0"/>
      </w:tblPr>
      <w:tblGrid>
        <w:gridCol w:w="4795"/>
        <w:gridCol w:w="4925"/>
      </w:tblGrid>
      <w:tr w:rsidR="001223E4" w:rsidRPr="005D4222" w14:paraId="09B6A7E8" w14:textId="77777777" w:rsidTr="00A53E8C">
        <w:tc>
          <w:tcPr>
            <w:tcW w:w="4795" w:type="dxa"/>
            <w:tcMar>
              <w:left w:w="0" w:type="dxa"/>
              <w:right w:w="115" w:type="dxa"/>
            </w:tcMar>
          </w:tcPr>
          <w:p w14:paraId="7C0B333C" w14:textId="77777777" w:rsidR="001223E4" w:rsidRPr="005D4222" w:rsidRDefault="001223E4" w:rsidP="00A53E8C">
            <w:pPr>
              <w:pStyle w:val="Body"/>
              <w:spacing w:before="120"/>
              <w:rPr>
                <w:rFonts w:cs="Arial"/>
                <w:szCs w:val="21"/>
              </w:rPr>
            </w:pPr>
            <w:r w:rsidRPr="005D4222">
              <w:rPr>
                <w:rFonts w:cs="Arial"/>
                <w:b/>
                <w:szCs w:val="21"/>
              </w:rPr>
              <w:t>Joe Anarella, MPH</w:t>
            </w:r>
            <w:r w:rsidRPr="005D4222">
              <w:rPr>
                <w:rFonts w:cs="Arial"/>
                <w:b/>
                <w:szCs w:val="21"/>
              </w:rPr>
              <w:br/>
            </w:r>
            <w:r w:rsidRPr="005D4222">
              <w:rPr>
                <w:rFonts w:cs="Arial"/>
                <w:szCs w:val="21"/>
              </w:rPr>
              <w:t>New York State Department of Health</w:t>
            </w:r>
          </w:p>
          <w:p w14:paraId="54B981ED" w14:textId="77777777" w:rsidR="001223E4" w:rsidRPr="005D4222" w:rsidRDefault="001223E4" w:rsidP="00A53E8C">
            <w:pPr>
              <w:pStyle w:val="Body"/>
              <w:spacing w:before="120"/>
              <w:rPr>
                <w:rFonts w:cs="Arial"/>
                <w:szCs w:val="21"/>
              </w:rPr>
            </w:pPr>
            <w:r w:rsidRPr="005D4222">
              <w:rPr>
                <w:rFonts w:cs="Arial"/>
                <w:b/>
                <w:szCs w:val="21"/>
              </w:rPr>
              <w:t>Keith Bachman, MD</w:t>
            </w:r>
            <w:r w:rsidRPr="005D4222">
              <w:rPr>
                <w:rFonts w:cs="Arial"/>
                <w:szCs w:val="21"/>
              </w:rPr>
              <w:br/>
              <w:t>Kaiser Permanente, Oakland</w:t>
            </w:r>
          </w:p>
          <w:p w14:paraId="6BBA481F" w14:textId="77777777" w:rsidR="001223E4" w:rsidRPr="005D4222" w:rsidRDefault="001223E4" w:rsidP="00A53E8C">
            <w:pPr>
              <w:pStyle w:val="Body"/>
              <w:tabs>
                <w:tab w:val="left" w:pos="3064"/>
              </w:tabs>
              <w:spacing w:before="120"/>
              <w:rPr>
                <w:rFonts w:cs="Arial"/>
                <w:szCs w:val="21"/>
              </w:rPr>
            </w:pPr>
            <w:r w:rsidRPr="005D4222">
              <w:rPr>
                <w:rFonts w:cs="Arial"/>
                <w:b/>
                <w:szCs w:val="21"/>
              </w:rPr>
              <w:t>Terry Bazzarre, PhD, MS</w:t>
            </w:r>
            <w:r w:rsidRPr="005D4222">
              <w:rPr>
                <w:rFonts w:cs="Arial"/>
                <w:szCs w:val="21"/>
              </w:rPr>
              <w:br/>
              <w:t>The Robert Wood Johnson Foundation</w:t>
            </w:r>
          </w:p>
          <w:p w14:paraId="646DC419" w14:textId="77777777" w:rsidR="001223E4" w:rsidRPr="005D4222" w:rsidRDefault="001223E4" w:rsidP="00A53E8C">
            <w:pPr>
              <w:pStyle w:val="Body"/>
              <w:spacing w:before="120"/>
              <w:rPr>
                <w:rFonts w:cs="Arial"/>
                <w:szCs w:val="21"/>
              </w:rPr>
            </w:pPr>
            <w:r w:rsidRPr="005D4222">
              <w:rPr>
                <w:rFonts w:cs="Arial"/>
                <w:b/>
                <w:szCs w:val="21"/>
              </w:rPr>
              <w:t>Chris Bolling, MD (Co-Chair)</w:t>
            </w:r>
            <w:r w:rsidRPr="005D4222">
              <w:rPr>
                <w:rFonts w:cs="Arial"/>
                <w:b/>
                <w:szCs w:val="21"/>
              </w:rPr>
              <w:br/>
            </w:r>
            <w:r w:rsidRPr="005D4222">
              <w:rPr>
                <w:rFonts w:cs="Arial"/>
                <w:szCs w:val="21"/>
              </w:rPr>
              <w:t>Cincinnati Children’s Hospital Medical Center</w:t>
            </w:r>
          </w:p>
          <w:p w14:paraId="6208D037" w14:textId="77777777" w:rsidR="001223E4" w:rsidRPr="005D4222" w:rsidRDefault="001223E4" w:rsidP="00A53E8C">
            <w:pPr>
              <w:pStyle w:val="Body"/>
              <w:tabs>
                <w:tab w:val="left" w:pos="3064"/>
              </w:tabs>
              <w:spacing w:before="120"/>
              <w:rPr>
                <w:rFonts w:cs="Arial"/>
                <w:szCs w:val="21"/>
              </w:rPr>
            </w:pPr>
            <w:r w:rsidRPr="005D4222">
              <w:rPr>
                <w:rFonts w:cs="Arial"/>
                <w:b/>
                <w:szCs w:val="21"/>
              </w:rPr>
              <w:t>William Dietz, MD, PhD</w:t>
            </w:r>
            <w:r w:rsidRPr="005D4222">
              <w:rPr>
                <w:rFonts w:cs="Arial"/>
                <w:szCs w:val="21"/>
              </w:rPr>
              <w:br/>
              <w:t>STOP Obesity Alliance, George Washington University</w:t>
            </w:r>
          </w:p>
          <w:p w14:paraId="0728C5B8" w14:textId="77777777" w:rsidR="001223E4" w:rsidRPr="005D4222" w:rsidRDefault="001223E4" w:rsidP="00A53E8C">
            <w:pPr>
              <w:pStyle w:val="Body"/>
              <w:spacing w:before="120"/>
              <w:rPr>
                <w:rFonts w:cs="Arial"/>
                <w:b/>
                <w:szCs w:val="21"/>
              </w:rPr>
            </w:pPr>
            <w:r w:rsidRPr="005D4222">
              <w:rPr>
                <w:rFonts w:cs="Arial"/>
                <w:b/>
                <w:szCs w:val="21"/>
              </w:rPr>
              <w:t>Molly Gee, MEd, LD, RD</w:t>
            </w:r>
            <w:r w:rsidRPr="005D4222">
              <w:rPr>
                <w:rFonts w:cs="Arial"/>
                <w:szCs w:val="21"/>
              </w:rPr>
              <w:br/>
              <w:t>Baylor College of Medicine</w:t>
            </w:r>
          </w:p>
          <w:p w14:paraId="4235E15C" w14:textId="77777777" w:rsidR="001223E4" w:rsidRPr="005D4222" w:rsidRDefault="001223E4" w:rsidP="00A53E8C">
            <w:pPr>
              <w:pStyle w:val="Body"/>
              <w:spacing w:before="120"/>
              <w:rPr>
                <w:rFonts w:cs="Arial"/>
                <w:b/>
                <w:szCs w:val="21"/>
              </w:rPr>
            </w:pPr>
            <w:r w:rsidRPr="005D4222">
              <w:rPr>
                <w:rFonts w:cs="Arial"/>
                <w:b/>
                <w:szCs w:val="21"/>
              </w:rPr>
              <w:t>Sandra Hassink, MD, FAAP</w:t>
            </w:r>
            <w:r w:rsidRPr="005D4222">
              <w:rPr>
                <w:rFonts w:cs="Arial"/>
                <w:b/>
                <w:szCs w:val="21"/>
              </w:rPr>
              <w:br/>
            </w:r>
            <w:r w:rsidRPr="005D4222">
              <w:rPr>
                <w:rFonts w:cs="Arial"/>
                <w:szCs w:val="21"/>
              </w:rPr>
              <w:t>American Academy of Pediatrics</w:t>
            </w:r>
          </w:p>
        </w:tc>
        <w:tc>
          <w:tcPr>
            <w:tcW w:w="4925" w:type="dxa"/>
            <w:tcBorders>
              <w:bottom w:val="nil"/>
            </w:tcBorders>
          </w:tcPr>
          <w:p w14:paraId="28136522" w14:textId="77777777" w:rsidR="001223E4" w:rsidRPr="005D4222" w:rsidRDefault="001223E4" w:rsidP="00A53E8C">
            <w:pPr>
              <w:pStyle w:val="Body"/>
              <w:spacing w:before="120"/>
              <w:rPr>
                <w:rFonts w:cs="Arial"/>
                <w:szCs w:val="21"/>
              </w:rPr>
            </w:pPr>
            <w:r w:rsidRPr="005D4222">
              <w:rPr>
                <w:rFonts w:cs="Arial"/>
                <w:b/>
                <w:szCs w:val="21"/>
              </w:rPr>
              <w:t>Francine Kaufman, MD</w:t>
            </w:r>
            <w:r w:rsidRPr="005D4222">
              <w:rPr>
                <w:rFonts w:cs="Arial"/>
                <w:b/>
                <w:szCs w:val="21"/>
              </w:rPr>
              <w:br/>
            </w:r>
            <w:r w:rsidRPr="005D4222">
              <w:rPr>
                <w:rFonts w:cs="Arial"/>
                <w:szCs w:val="21"/>
              </w:rPr>
              <w:t>Children’s Hospital Los Angeles</w:t>
            </w:r>
          </w:p>
          <w:p w14:paraId="0B1B939C" w14:textId="77777777" w:rsidR="001223E4" w:rsidRPr="005D4222" w:rsidRDefault="001223E4" w:rsidP="00A53E8C">
            <w:pPr>
              <w:pStyle w:val="Body"/>
              <w:spacing w:before="120"/>
              <w:rPr>
                <w:rFonts w:cs="Arial"/>
                <w:szCs w:val="21"/>
              </w:rPr>
            </w:pPr>
            <w:r w:rsidRPr="005D4222">
              <w:rPr>
                <w:rFonts w:cs="Arial"/>
                <w:b/>
                <w:szCs w:val="21"/>
              </w:rPr>
              <w:t>Jonathan Klein, MD, MPH (Co-Chair)</w:t>
            </w:r>
            <w:r w:rsidRPr="005D4222">
              <w:rPr>
                <w:rFonts w:cs="Arial"/>
                <w:b/>
                <w:szCs w:val="21"/>
              </w:rPr>
              <w:br/>
            </w:r>
            <w:r w:rsidRPr="005D4222">
              <w:rPr>
                <w:rFonts w:cs="Arial"/>
                <w:szCs w:val="21"/>
              </w:rPr>
              <w:t>American Academy of Pediatrics</w:t>
            </w:r>
          </w:p>
          <w:p w14:paraId="3BFA7B5F" w14:textId="77777777" w:rsidR="001223E4" w:rsidRPr="005D4222" w:rsidRDefault="001223E4" w:rsidP="00A53E8C">
            <w:pPr>
              <w:pStyle w:val="Body"/>
              <w:tabs>
                <w:tab w:val="left" w:pos="3064"/>
              </w:tabs>
              <w:spacing w:before="120"/>
              <w:rPr>
                <w:rFonts w:cs="Arial"/>
                <w:szCs w:val="21"/>
              </w:rPr>
            </w:pPr>
            <w:r w:rsidRPr="005D4222">
              <w:rPr>
                <w:rFonts w:cs="Arial"/>
                <w:b/>
                <w:szCs w:val="21"/>
              </w:rPr>
              <w:t>Nancy F. Krebs, MD</w:t>
            </w:r>
            <w:r w:rsidRPr="005D4222">
              <w:rPr>
                <w:rFonts w:cs="Arial"/>
                <w:szCs w:val="21"/>
              </w:rPr>
              <w:br/>
              <w:t>University of Colorado- Denver</w:t>
            </w:r>
          </w:p>
          <w:p w14:paraId="135BD217" w14:textId="77777777" w:rsidR="001223E4" w:rsidRPr="005D4222" w:rsidRDefault="001223E4" w:rsidP="00A53E8C">
            <w:pPr>
              <w:pStyle w:val="Body"/>
              <w:tabs>
                <w:tab w:val="left" w:pos="3064"/>
              </w:tabs>
              <w:spacing w:before="120"/>
              <w:rPr>
                <w:rFonts w:cs="Arial"/>
                <w:szCs w:val="21"/>
              </w:rPr>
            </w:pPr>
            <w:r w:rsidRPr="005D4222">
              <w:rPr>
                <w:rFonts w:cs="Arial"/>
                <w:b/>
                <w:szCs w:val="21"/>
              </w:rPr>
              <w:t>Catherine MacLean, MD, PhD</w:t>
            </w:r>
            <w:r w:rsidRPr="005D4222">
              <w:rPr>
                <w:rFonts w:cs="Arial"/>
                <w:szCs w:val="21"/>
              </w:rPr>
              <w:br/>
              <w:t>VA Greater Los Angeles Healthcare System</w:t>
            </w:r>
          </w:p>
          <w:p w14:paraId="44978962" w14:textId="77777777" w:rsidR="001223E4" w:rsidRPr="005D4222" w:rsidRDefault="001223E4" w:rsidP="00A53E8C">
            <w:pPr>
              <w:pStyle w:val="Body"/>
              <w:tabs>
                <w:tab w:val="left" w:pos="3064"/>
              </w:tabs>
              <w:spacing w:before="120"/>
              <w:rPr>
                <w:rFonts w:cs="Arial"/>
                <w:szCs w:val="21"/>
              </w:rPr>
            </w:pPr>
            <w:r w:rsidRPr="005D4222">
              <w:rPr>
                <w:rFonts w:cs="Arial"/>
                <w:b/>
                <w:szCs w:val="21"/>
              </w:rPr>
              <w:t>Joe Thompson, MD, MPH</w:t>
            </w:r>
            <w:r w:rsidRPr="005D4222">
              <w:rPr>
                <w:rFonts w:cs="Arial"/>
                <w:szCs w:val="21"/>
              </w:rPr>
              <w:br/>
              <w:t>Arkansas Center for Health Improvement</w:t>
            </w:r>
          </w:p>
          <w:p w14:paraId="047E43F4" w14:textId="77777777" w:rsidR="001223E4" w:rsidRPr="005D4222" w:rsidRDefault="001223E4" w:rsidP="00A53E8C">
            <w:pPr>
              <w:pStyle w:val="Body"/>
              <w:spacing w:before="120"/>
              <w:rPr>
                <w:rFonts w:cs="Arial"/>
                <w:b/>
                <w:szCs w:val="21"/>
              </w:rPr>
            </w:pPr>
            <w:r w:rsidRPr="005D4222">
              <w:rPr>
                <w:rFonts w:cs="Arial"/>
                <w:b/>
                <w:szCs w:val="21"/>
              </w:rPr>
              <w:t>Reginald L. Washington, MD, FAAP, FACC, FAHA</w:t>
            </w:r>
            <w:r w:rsidRPr="005D4222">
              <w:rPr>
                <w:rFonts w:cs="Arial"/>
                <w:szCs w:val="21"/>
              </w:rPr>
              <w:br/>
              <w:t>University of Colorado Health Sciences Center</w:t>
            </w:r>
          </w:p>
          <w:p w14:paraId="7B01A8D3" w14:textId="77777777" w:rsidR="001223E4" w:rsidRPr="005D4222" w:rsidRDefault="001223E4" w:rsidP="00A53E8C">
            <w:pPr>
              <w:pStyle w:val="Body"/>
              <w:tabs>
                <w:tab w:val="left" w:pos="3064"/>
              </w:tabs>
              <w:spacing w:before="120"/>
              <w:rPr>
                <w:rFonts w:cs="Arial"/>
              </w:rPr>
            </w:pPr>
          </w:p>
        </w:tc>
      </w:tr>
    </w:tbl>
    <w:p w14:paraId="3F542F7F" w14:textId="77777777" w:rsidR="001223E4" w:rsidRPr="005D4222" w:rsidRDefault="001223E4" w:rsidP="00F41BC6">
      <w:pPr>
        <w:pStyle w:val="ReverseHead"/>
      </w:pPr>
      <w:r w:rsidRPr="005D4222">
        <w:t>Diabetes Measurement Advisory Panel</w:t>
      </w:r>
    </w:p>
    <w:tbl>
      <w:tblPr>
        <w:tblW w:w="9720" w:type="dxa"/>
        <w:tblLayout w:type="fixed"/>
        <w:tblLook w:val="0000" w:firstRow="0" w:lastRow="0" w:firstColumn="0" w:lastColumn="0" w:noHBand="0" w:noVBand="0"/>
      </w:tblPr>
      <w:tblGrid>
        <w:gridCol w:w="4788"/>
        <w:gridCol w:w="4932"/>
      </w:tblGrid>
      <w:tr w:rsidR="001223E4" w:rsidRPr="005D4222" w14:paraId="52FF9A7E" w14:textId="77777777" w:rsidTr="00A53E8C">
        <w:tc>
          <w:tcPr>
            <w:tcW w:w="4788" w:type="dxa"/>
            <w:tcMar>
              <w:left w:w="0" w:type="dxa"/>
              <w:right w:w="115" w:type="dxa"/>
            </w:tcMar>
          </w:tcPr>
          <w:p w14:paraId="1BAEE82A" w14:textId="77777777" w:rsidR="001223E4" w:rsidRPr="005D4222" w:rsidRDefault="001223E4" w:rsidP="00A53E8C">
            <w:pPr>
              <w:spacing w:before="120"/>
              <w:rPr>
                <w:rFonts w:cs="Arial"/>
                <w:b/>
                <w:bCs/>
                <w:kern w:val="24"/>
                <w:szCs w:val="21"/>
              </w:rPr>
            </w:pPr>
            <w:r w:rsidRPr="005D4222">
              <w:rPr>
                <w:rFonts w:cs="Arial"/>
                <w:b/>
                <w:bCs/>
                <w:kern w:val="24"/>
                <w:szCs w:val="21"/>
              </w:rPr>
              <w:t>David Alper, DPM</w:t>
            </w:r>
          </w:p>
          <w:p w14:paraId="200D629C" w14:textId="77777777" w:rsidR="001223E4" w:rsidRPr="005D4222" w:rsidRDefault="001223E4" w:rsidP="00A53E8C">
            <w:pPr>
              <w:rPr>
                <w:rFonts w:cs="Arial"/>
                <w:kern w:val="24"/>
                <w:szCs w:val="21"/>
              </w:rPr>
            </w:pPr>
            <w:r w:rsidRPr="005D4222">
              <w:rPr>
                <w:rFonts w:cs="Arial"/>
                <w:kern w:val="24"/>
                <w:szCs w:val="21"/>
              </w:rPr>
              <w:t>American Podiatric Medical Association</w:t>
            </w:r>
          </w:p>
          <w:p w14:paraId="3C8CBBDC" w14:textId="77777777" w:rsidR="001223E4" w:rsidRPr="005D4222" w:rsidRDefault="001223E4" w:rsidP="00A53E8C">
            <w:pPr>
              <w:rPr>
                <w:rFonts w:cs="Arial"/>
                <w:kern w:val="24"/>
                <w:szCs w:val="21"/>
              </w:rPr>
            </w:pPr>
            <w:r w:rsidRPr="005D4222">
              <w:rPr>
                <w:rFonts w:cs="Arial"/>
                <w:kern w:val="24"/>
                <w:szCs w:val="21"/>
              </w:rPr>
              <w:t>American Diabetes Association - Northeast</w:t>
            </w:r>
          </w:p>
          <w:p w14:paraId="7E0FC1CE" w14:textId="77777777" w:rsidR="001223E4" w:rsidRPr="005D4222" w:rsidRDefault="001223E4" w:rsidP="00A53E8C">
            <w:pPr>
              <w:spacing w:before="120"/>
              <w:rPr>
                <w:rFonts w:cs="Arial"/>
                <w:kern w:val="24"/>
                <w:szCs w:val="21"/>
              </w:rPr>
            </w:pPr>
            <w:r w:rsidRPr="005D4222">
              <w:rPr>
                <w:rFonts w:cs="Arial"/>
                <w:b/>
                <w:kern w:val="24"/>
                <w:szCs w:val="21"/>
              </w:rPr>
              <w:t xml:space="preserve">Jerry Cavallerano, OD, PhD </w:t>
            </w:r>
            <w:r w:rsidRPr="005D4222">
              <w:rPr>
                <w:rFonts w:cs="Arial"/>
                <w:b/>
                <w:kern w:val="24"/>
                <w:szCs w:val="21"/>
              </w:rPr>
              <w:br/>
            </w:r>
            <w:r w:rsidRPr="005D4222">
              <w:rPr>
                <w:rFonts w:cs="Arial"/>
                <w:kern w:val="24"/>
                <w:szCs w:val="21"/>
              </w:rPr>
              <w:t>Joslin Diabetes Center</w:t>
            </w:r>
          </w:p>
          <w:p w14:paraId="3D8B08B4" w14:textId="77777777" w:rsidR="001223E4" w:rsidRPr="005D4222" w:rsidRDefault="001223E4" w:rsidP="00A53E8C">
            <w:pPr>
              <w:spacing w:before="120"/>
              <w:rPr>
                <w:rFonts w:cs="Arial"/>
                <w:kern w:val="24"/>
                <w:szCs w:val="21"/>
              </w:rPr>
            </w:pPr>
            <w:r w:rsidRPr="005D4222">
              <w:rPr>
                <w:rFonts w:cs="Arial"/>
                <w:b/>
                <w:kern w:val="24"/>
                <w:szCs w:val="21"/>
              </w:rPr>
              <w:t>Mark Cziraky, PharmD, CLS, FAHA, FNLA</w:t>
            </w:r>
            <w:r w:rsidRPr="005D4222">
              <w:rPr>
                <w:rFonts w:cs="Arial"/>
                <w:b/>
                <w:kern w:val="24"/>
                <w:szCs w:val="21"/>
              </w:rPr>
              <w:br/>
            </w:r>
            <w:r w:rsidRPr="005D4222">
              <w:rPr>
                <w:rFonts w:cs="Arial"/>
                <w:kern w:val="24"/>
                <w:szCs w:val="21"/>
              </w:rPr>
              <w:t>Carelon Research</w:t>
            </w:r>
          </w:p>
          <w:p w14:paraId="19D9A774" w14:textId="77777777" w:rsidR="001223E4" w:rsidRPr="005D4222" w:rsidRDefault="001223E4" w:rsidP="00A53E8C">
            <w:pPr>
              <w:spacing w:before="120"/>
              <w:rPr>
                <w:rFonts w:cs="Arial"/>
                <w:b/>
                <w:bCs/>
                <w:kern w:val="24"/>
                <w:szCs w:val="21"/>
              </w:rPr>
            </w:pPr>
            <w:r w:rsidRPr="005D4222">
              <w:rPr>
                <w:rFonts w:cs="Arial"/>
                <w:b/>
                <w:bCs/>
                <w:kern w:val="24"/>
                <w:szCs w:val="21"/>
              </w:rPr>
              <w:t>Juan Espinoza, MD, FAAP</w:t>
            </w:r>
          </w:p>
          <w:p w14:paraId="4DF9BA3F" w14:textId="77777777" w:rsidR="001223E4" w:rsidRPr="005D4222" w:rsidRDefault="001223E4" w:rsidP="00A53E8C">
            <w:pPr>
              <w:spacing w:before="120"/>
              <w:contextualSpacing/>
              <w:rPr>
                <w:rFonts w:cs="Arial"/>
                <w:kern w:val="24"/>
                <w:szCs w:val="21"/>
              </w:rPr>
            </w:pPr>
            <w:r w:rsidRPr="005D4222">
              <w:rPr>
                <w:rFonts w:cs="Arial"/>
                <w:kern w:val="24"/>
                <w:szCs w:val="21"/>
              </w:rPr>
              <w:t>Stanley Manne Children’s Research Institute</w:t>
            </w:r>
          </w:p>
          <w:p w14:paraId="006AEA11" w14:textId="77777777" w:rsidR="001223E4" w:rsidRPr="005D4222" w:rsidRDefault="001223E4" w:rsidP="00A53E8C">
            <w:pPr>
              <w:spacing w:before="120"/>
              <w:rPr>
                <w:rFonts w:cs="Arial"/>
                <w:kern w:val="24"/>
                <w:szCs w:val="21"/>
              </w:rPr>
            </w:pPr>
            <w:r w:rsidRPr="005D4222">
              <w:rPr>
                <w:rFonts w:cs="Arial"/>
                <w:b/>
                <w:kern w:val="24"/>
                <w:szCs w:val="21"/>
              </w:rPr>
              <w:t xml:space="preserve">Stephen Fadem, MD, FACP </w:t>
            </w:r>
            <w:r w:rsidRPr="005D4222">
              <w:rPr>
                <w:rFonts w:cs="Arial"/>
                <w:b/>
                <w:kern w:val="24"/>
                <w:szCs w:val="21"/>
              </w:rPr>
              <w:br/>
            </w:r>
            <w:r w:rsidRPr="005D4222">
              <w:rPr>
                <w:rFonts w:cs="Arial"/>
                <w:kern w:val="24"/>
                <w:szCs w:val="21"/>
              </w:rPr>
              <w:t>Kidney Associates, PLLC</w:t>
            </w:r>
          </w:p>
          <w:p w14:paraId="20A24639" w14:textId="77777777" w:rsidR="001223E4" w:rsidRPr="005D4222" w:rsidRDefault="001223E4" w:rsidP="00A53E8C">
            <w:pPr>
              <w:spacing w:before="120"/>
              <w:rPr>
                <w:rFonts w:cs="Arial"/>
                <w:kern w:val="24"/>
                <w:szCs w:val="21"/>
              </w:rPr>
            </w:pPr>
            <w:r w:rsidRPr="005D4222">
              <w:rPr>
                <w:rFonts w:cs="Arial"/>
                <w:b/>
                <w:kern w:val="24"/>
                <w:szCs w:val="21"/>
              </w:rPr>
              <w:t>Ted Ganiats, MD</w:t>
            </w:r>
            <w:r w:rsidRPr="005D4222">
              <w:rPr>
                <w:rFonts w:cs="Arial"/>
                <w:b/>
                <w:kern w:val="24"/>
                <w:szCs w:val="21"/>
              </w:rPr>
              <w:br/>
            </w:r>
            <w:r w:rsidRPr="005D4222">
              <w:t>University of California, San Diego</w:t>
            </w:r>
          </w:p>
        </w:tc>
        <w:tc>
          <w:tcPr>
            <w:tcW w:w="4932" w:type="dxa"/>
            <w:tcBorders>
              <w:bottom w:val="nil"/>
            </w:tcBorders>
          </w:tcPr>
          <w:p w14:paraId="0C6CCD75" w14:textId="77777777" w:rsidR="001223E4" w:rsidRPr="005D4222" w:rsidRDefault="001223E4" w:rsidP="00A53E8C">
            <w:pPr>
              <w:spacing w:before="120"/>
              <w:rPr>
                <w:szCs w:val="21"/>
              </w:rPr>
            </w:pPr>
            <w:r w:rsidRPr="005D4222">
              <w:rPr>
                <w:b/>
                <w:bCs/>
                <w:szCs w:val="21"/>
              </w:rPr>
              <w:t xml:space="preserve">Richard Hellman, MD, FACP, FACE </w:t>
            </w:r>
            <w:r w:rsidRPr="005D4222">
              <w:rPr>
                <w:b/>
                <w:bCs/>
                <w:szCs w:val="21"/>
              </w:rPr>
              <w:br/>
            </w:r>
            <w:r w:rsidRPr="005D4222">
              <w:rPr>
                <w:szCs w:val="21"/>
              </w:rPr>
              <w:t>UMKC, School of Medicine</w:t>
            </w:r>
          </w:p>
          <w:p w14:paraId="4512AAD4" w14:textId="77777777" w:rsidR="001223E4" w:rsidRPr="005D4222" w:rsidRDefault="001223E4" w:rsidP="00A53E8C">
            <w:pPr>
              <w:spacing w:before="120"/>
              <w:rPr>
                <w:rFonts w:cs="Arial"/>
                <w:kern w:val="24"/>
                <w:szCs w:val="21"/>
              </w:rPr>
            </w:pPr>
            <w:r w:rsidRPr="005D4222">
              <w:rPr>
                <w:rFonts w:cs="Arial"/>
                <w:b/>
                <w:kern w:val="24"/>
                <w:szCs w:val="21"/>
              </w:rPr>
              <w:t>Bill Herman, MD, MPH (Chair)</w:t>
            </w:r>
            <w:r w:rsidRPr="005D4222">
              <w:rPr>
                <w:rFonts w:cs="Arial"/>
                <w:b/>
                <w:kern w:val="24"/>
                <w:szCs w:val="21"/>
              </w:rPr>
              <w:br/>
            </w:r>
            <w:r w:rsidRPr="005D4222">
              <w:rPr>
                <w:rFonts w:cs="Arial"/>
                <w:kern w:val="24"/>
                <w:szCs w:val="21"/>
              </w:rPr>
              <w:t>University of Michigan</w:t>
            </w:r>
          </w:p>
          <w:p w14:paraId="78305460" w14:textId="77777777" w:rsidR="001223E4" w:rsidRPr="005D4222" w:rsidRDefault="001223E4" w:rsidP="00A53E8C">
            <w:pPr>
              <w:spacing w:before="120"/>
              <w:rPr>
                <w:rFonts w:cs="Arial"/>
                <w:b/>
                <w:bCs/>
                <w:kern w:val="24"/>
                <w:szCs w:val="21"/>
              </w:rPr>
            </w:pPr>
            <w:r w:rsidRPr="005D4222">
              <w:rPr>
                <w:rFonts w:cs="Arial"/>
                <w:b/>
                <w:bCs/>
                <w:kern w:val="24"/>
                <w:szCs w:val="21"/>
              </w:rPr>
              <w:t>Sei Lee, MD, MAS</w:t>
            </w:r>
          </w:p>
          <w:p w14:paraId="7121E8CC" w14:textId="77777777" w:rsidR="001223E4" w:rsidRPr="005D4222" w:rsidRDefault="001223E4" w:rsidP="00A53E8C">
            <w:pPr>
              <w:pStyle w:val="paragraph"/>
              <w:spacing w:before="0" w:beforeAutospacing="0" w:after="0" w:afterAutospacing="0"/>
              <w:textAlignment w:val="baseline"/>
              <w:rPr>
                <w:rStyle w:val="normaltextrun"/>
                <w:rFonts w:ascii="Arial" w:hAnsi="Arial" w:cs="Arial"/>
                <w:sz w:val="21"/>
                <w:szCs w:val="21"/>
              </w:rPr>
            </w:pPr>
            <w:r w:rsidRPr="005D4222">
              <w:rPr>
                <w:rStyle w:val="normaltextrun"/>
                <w:rFonts w:ascii="Arial" w:hAnsi="Arial" w:cs="Arial"/>
                <w:sz w:val="21"/>
                <w:szCs w:val="21"/>
              </w:rPr>
              <w:t>University of California, San Francisco</w:t>
            </w:r>
            <w:r w:rsidRPr="005D4222">
              <w:rPr>
                <w:rStyle w:val="normaltextrun"/>
                <w:rFonts w:ascii="Arial" w:hAnsi="Arial" w:cs="Arial"/>
                <w:sz w:val="21"/>
                <w:szCs w:val="21"/>
              </w:rPr>
              <w:br/>
              <w:t>Veteran Affairs Health Care System</w:t>
            </w:r>
          </w:p>
          <w:p w14:paraId="3CECD91D" w14:textId="77777777" w:rsidR="001223E4" w:rsidRPr="005D4222" w:rsidRDefault="001223E4" w:rsidP="00A53E8C">
            <w:pPr>
              <w:spacing w:before="120"/>
              <w:rPr>
                <w:rFonts w:cs="Arial"/>
                <w:b/>
                <w:kern w:val="24"/>
                <w:szCs w:val="21"/>
              </w:rPr>
            </w:pPr>
            <w:r w:rsidRPr="005D4222">
              <w:rPr>
                <w:rFonts w:cs="Arial"/>
                <w:b/>
                <w:kern w:val="24"/>
                <w:szCs w:val="21"/>
              </w:rPr>
              <w:t>Rozalina McCoy, MD, MS</w:t>
            </w:r>
          </w:p>
          <w:p w14:paraId="655202E0" w14:textId="77777777" w:rsidR="001223E4" w:rsidRPr="005D4222" w:rsidRDefault="001223E4" w:rsidP="00A53E8C">
            <w:pPr>
              <w:spacing w:before="120"/>
              <w:contextualSpacing/>
              <w:rPr>
                <w:rFonts w:cs="Arial"/>
                <w:bCs/>
                <w:kern w:val="24"/>
                <w:szCs w:val="21"/>
              </w:rPr>
            </w:pPr>
            <w:r w:rsidRPr="005D4222">
              <w:rPr>
                <w:rFonts w:cs="Arial"/>
                <w:bCs/>
                <w:kern w:val="24"/>
                <w:szCs w:val="21"/>
              </w:rPr>
              <w:t>University of Maryland, School of Medicine</w:t>
            </w:r>
          </w:p>
          <w:p w14:paraId="1645474F" w14:textId="77777777" w:rsidR="001223E4" w:rsidRPr="005D4222" w:rsidRDefault="001223E4" w:rsidP="00A53E8C">
            <w:pPr>
              <w:spacing w:before="120"/>
              <w:rPr>
                <w:rFonts w:cs="Arial"/>
                <w:b/>
                <w:kern w:val="24"/>
                <w:szCs w:val="21"/>
              </w:rPr>
            </w:pPr>
            <w:r w:rsidRPr="005D4222">
              <w:rPr>
                <w:rFonts w:cs="Arial"/>
                <w:b/>
                <w:kern w:val="24"/>
                <w:szCs w:val="21"/>
              </w:rPr>
              <w:t>Ajay Sood, MD</w:t>
            </w:r>
          </w:p>
          <w:p w14:paraId="7ACD65CE" w14:textId="77777777" w:rsidR="001223E4" w:rsidRPr="005D4222" w:rsidRDefault="001223E4" w:rsidP="00A53E8C">
            <w:pPr>
              <w:pStyle w:val="paragraph"/>
              <w:spacing w:before="0" w:beforeAutospacing="0" w:after="0" w:afterAutospacing="0"/>
              <w:textAlignment w:val="baseline"/>
              <w:rPr>
                <w:rStyle w:val="normaltextrun"/>
                <w:rFonts w:ascii="Arial" w:hAnsi="Arial" w:cs="Arial"/>
                <w:sz w:val="21"/>
                <w:szCs w:val="21"/>
              </w:rPr>
            </w:pPr>
            <w:r w:rsidRPr="005D4222">
              <w:rPr>
                <w:rStyle w:val="normaltextrun"/>
                <w:rFonts w:ascii="Arial" w:hAnsi="Arial" w:cs="Arial"/>
                <w:sz w:val="21"/>
                <w:szCs w:val="21"/>
              </w:rPr>
              <w:t>Sacramento VA Medical Center</w:t>
            </w:r>
            <w:r w:rsidRPr="005D4222">
              <w:rPr>
                <w:rStyle w:val="normaltextrun"/>
                <w:rFonts w:ascii="Arial" w:hAnsi="Arial" w:cs="Arial"/>
                <w:sz w:val="21"/>
                <w:szCs w:val="21"/>
              </w:rPr>
              <w:br/>
              <w:t>University of California, Davis</w:t>
            </w:r>
          </w:p>
          <w:p w14:paraId="34C7944F" w14:textId="77777777" w:rsidR="001223E4" w:rsidRPr="005D4222" w:rsidRDefault="001223E4" w:rsidP="00A53E8C">
            <w:pPr>
              <w:pStyle w:val="paragraph"/>
              <w:spacing w:before="120" w:beforeAutospacing="0" w:after="0" w:afterAutospacing="0"/>
              <w:textAlignment w:val="baseline"/>
              <w:rPr>
                <w:rStyle w:val="normaltextrun"/>
                <w:rFonts w:ascii="Arial" w:hAnsi="Arial" w:cs="Arial"/>
                <w:b/>
                <w:bCs/>
                <w:sz w:val="21"/>
              </w:rPr>
            </w:pPr>
            <w:r w:rsidRPr="005D4222">
              <w:rPr>
                <w:rStyle w:val="normaltextrun"/>
                <w:rFonts w:ascii="Arial" w:hAnsi="Arial" w:cs="Arial"/>
                <w:b/>
                <w:bCs/>
                <w:sz w:val="21"/>
              </w:rPr>
              <w:t>Tainayah Thomas, PhD, MPH</w:t>
            </w:r>
          </w:p>
          <w:p w14:paraId="679179EE" w14:textId="77777777" w:rsidR="001223E4" w:rsidRPr="005D4222" w:rsidRDefault="001223E4" w:rsidP="00A53E8C">
            <w:pPr>
              <w:pStyle w:val="paragraph"/>
              <w:spacing w:before="120" w:beforeAutospacing="0" w:after="0" w:afterAutospacing="0"/>
              <w:contextualSpacing/>
              <w:textAlignment w:val="baseline"/>
              <w:rPr>
                <w:rFonts w:ascii="Arial" w:hAnsi="Arial" w:cs="Arial"/>
                <w:b/>
                <w:szCs w:val="21"/>
              </w:rPr>
            </w:pPr>
            <w:r w:rsidRPr="005D4222">
              <w:rPr>
                <w:rStyle w:val="normaltextrun"/>
                <w:rFonts w:ascii="Arial" w:hAnsi="Arial" w:cs="Arial"/>
                <w:sz w:val="21"/>
              </w:rPr>
              <w:t>Stanford University, School of Medicine</w:t>
            </w:r>
          </w:p>
        </w:tc>
      </w:tr>
    </w:tbl>
    <w:p w14:paraId="32D6B75B" w14:textId="77777777" w:rsidR="001223E4" w:rsidRPr="005D4222" w:rsidRDefault="001223E4" w:rsidP="00F41BC6">
      <w:pPr>
        <w:pStyle w:val="ReverseHead"/>
      </w:pPr>
      <w:r w:rsidRPr="005D4222">
        <w:t>Exclusions Expert Work Group</w:t>
      </w:r>
    </w:p>
    <w:tbl>
      <w:tblPr>
        <w:tblW w:w="9720" w:type="dxa"/>
        <w:tblLayout w:type="fixed"/>
        <w:tblLook w:val="0000" w:firstRow="0" w:lastRow="0" w:firstColumn="0" w:lastColumn="0" w:noHBand="0" w:noVBand="0"/>
      </w:tblPr>
      <w:tblGrid>
        <w:gridCol w:w="4788"/>
        <w:gridCol w:w="4932"/>
      </w:tblGrid>
      <w:tr w:rsidR="001223E4" w:rsidRPr="005D4222" w14:paraId="5D3685A8" w14:textId="77777777" w:rsidTr="00A53E8C">
        <w:trPr>
          <w:cantSplit/>
        </w:trPr>
        <w:tc>
          <w:tcPr>
            <w:tcW w:w="4788" w:type="dxa"/>
            <w:tcMar>
              <w:left w:w="0" w:type="dxa"/>
              <w:right w:w="115" w:type="dxa"/>
            </w:tcMar>
          </w:tcPr>
          <w:p w14:paraId="7244E0E4" w14:textId="77777777" w:rsidR="001223E4" w:rsidRPr="005D4222" w:rsidRDefault="001223E4" w:rsidP="00A53E8C">
            <w:pPr>
              <w:pStyle w:val="Body"/>
              <w:spacing w:before="120"/>
              <w:rPr>
                <w:rFonts w:cs="Arial"/>
                <w:szCs w:val="21"/>
              </w:rPr>
            </w:pPr>
            <w:r w:rsidRPr="005D4222">
              <w:rPr>
                <w:rFonts w:cs="Arial"/>
                <w:b/>
                <w:szCs w:val="21"/>
              </w:rPr>
              <w:t>Patrick Coyne, MSN, ACNS-BC, ACHPN, FAAN, FPCN</w:t>
            </w:r>
            <w:r w:rsidRPr="005D4222">
              <w:rPr>
                <w:rFonts w:cs="Arial"/>
                <w:b/>
                <w:szCs w:val="21"/>
              </w:rPr>
              <w:br/>
            </w:r>
            <w:r w:rsidRPr="005D4222">
              <w:rPr>
                <w:rFonts w:cs="Arial"/>
                <w:szCs w:val="21"/>
              </w:rPr>
              <w:t>Medical University of South Carolina</w:t>
            </w:r>
          </w:p>
          <w:p w14:paraId="57748BEE" w14:textId="77777777" w:rsidR="001223E4" w:rsidRPr="005D4222" w:rsidRDefault="001223E4" w:rsidP="00A53E8C">
            <w:pPr>
              <w:pStyle w:val="Body"/>
              <w:spacing w:before="120"/>
              <w:rPr>
                <w:rFonts w:cs="Arial"/>
                <w:szCs w:val="21"/>
              </w:rPr>
            </w:pPr>
            <w:r w:rsidRPr="005D4222">
              <w:rPr>
                <w:rFonts w:cs="Arial"/>
                <w:b/>
                <w:szCs w:val="21"/>
              </w:rPr>
              <w:t>Joyce Dubow, MUP</w:t>
            </w:r>
            <w:r w:rsidRPr="005D4222">
              <w:rPr>
                <w:rFonts w:cs="Arial"/>
                <w:b/>
                <w:szCs w:val="21"/>
              </w:rPr>
              <w:br/>
            </w:r>
            <w:r w:rsidRPr="005D4222">
              <w:rPr>
                <w:rFonts w:cs="Arial"/>
                <w:szCs w:val="21"/>
              </w:rPr>
              <w:t>Consumer Representative</w:t>
            </w:r>
          </w:p>
          <w:p w14:paraId="2D29021A" w14:textId="77777777" w:rsidR="001223E4" w:rsidRPr="005D4222" w:rsidRDefault="001223E4" w:rsidP="00A53E8C">
            <w:pPr>
              <w:pStyle w:val="Body"/>
              <w:spacing w:before="120"/>
              <w:rPr>
                <w:rFonts w:cs="Arial"/>
                <w:szCs w:val="21"/>
              </w:rPr>
            </w:pPr>
            <w:r w:rsidRPr="005D4222">
              <w:rPr>
                <w:rFonts w:cs="Arial"/>
                <w:b/>
                <w:szCs w:val="21"/>
              </w:rPr>
              <w:t>Amy Kelley, MD, MSHS</w:t>
            </w:r>
            <w:r w:rsidRPr="005D4222">
              <w:rPr>
                <w:rFonts w:cs="Arial"/>
                <w:b/>
                <w:szCs w:val="21"/>
              </w:rPr>
              <w:br/>
            </w:r>
            <w:r w:rsidRPr="005D4222">
              <w:rPr>
                <w:rFonts w:cs="Arial"/>
                <w:szCs w:val="21"/>
              </w:rPr>
              <w:t>Mount Sinai Hospital</w:t>
            </w:r>
          </w:p>
        </w:tc>
        <w:tc>
          <w:tcPr>
            <w:tcW w:w="4932" w:type="dxa"/>
          </w:tcPr>
          <w:p w14:paraId="194274B7" w14:textId="77777777" w:rsidR="001223E4" w:rsidRPr="005D4222" w:rsidRDefault="001223E4" w:rsidP="00A53E8C">
            <w:pPr>
              <w:pStyle w:val="Body"/>
              <w:spacing w:before="120"/>
              <w:rPr>
                <w:rFonts w:cs="Arial"/>
                <w:b/>
                <w:szCs w:val="21"/>
              </w:rPr>
            </w:pPr>
            <w:r w:rsidRPr="005D4222">
              <w:rPr>
                <w:rFonts w:cs="Arial"/>
                <w:b/>
                <w:szCs w:val="21"/>
              </w:rPr>
              <w:t>Christine Ritchie, MD, MSPH</w:t>
            </w:r>
            <w:r w:rsidRPr="005D4222">
              <w:rPr>
                <w:rFonts w:cs="Arial"/>
                <w:b/>
                <w:szCs w:val="21"/>
              </w:rPr>
              <w:br/>
            </w:r>
            <w:r w:rsidRPr="005D4222">
              <w:rPr>
                <w:rFonts w:cs="Arial"/>
                <w:szCs w:val="21"/>
              </w:rPr>
              <w:t>Massachusetts General Hospital</w:t>
            </w:r>
            <w:r w:rsidRPr="005D4222">
              <w:rPr>
                <w:rFonts w:cs="Arial"/>
                <w:b/>
                <w:szCs w:val="21"/>
              </w:rPr>
              <w:t xml:space="preserve"> </w:t>
            </w:r>
          </w:p>
          <w:p w14:paraId="25845F15" w14:textId="77777777" w:rsidR="001223E4" w:rsidRPr="005D4222" w:rsidRDefault="001223E4" w:rsidP="00A53E8C">
            <w:pPr>
              <w:pStyle w:val="Body"/>
              <w:spacing w:before="120"/>
              <w:rPr>
                <w:rFonts w:cs="Arial"/>
                <w:szCs w:val="21"/>
              </w:rPr>
            </w:pPr>
            <w:r w:rsidRPr="005D4222">
              <w:rPr>
                <w:rFonts w:cs="Arial"/>
                <w:b/>
                <w:szCs w:val="21"/>
              </w:rPr>
              <w:t>Lisa Roth, MS</w:t>
            </w:r>
            <w:r w:rsidRPr="005D4222">
              <w:rPr>
                <w:rFonts w:cs="Arial"/>
                <w:b/>
                <w:szCs w:val="21"/>
              </w:rPr>
              <w:br/>
            </w:r>
            <w:r w:rsidRPr="005D4222">
              <w:rPr>
                <w:rFonts w:cs="Arial"/>
                <w:szCs w:val="21"/>
              </w:rPr>
              <w:t>SCAN Health Plan</w:t>
            </w:r>
          </w:p>
          <w:p w14:paraId="624070DC" w14:textId="77777777" w:rsidR="001223E4" w:rsidRPr="005D4222" w:rsidRDefault="001223E4" w:rsidP="00A53E8C">
            <w:pPr>
              <w:pStyle w:val="Body"/>
              <w:spacing w:before="120"/>
              <w:rPr>
                <w:rFonts w:cs="Arial"/>
                <w:szCs w:val="21"/>
              </w:rPr>
            </w:pPr>
            <w:r w:rsidRPr="005D4222">
              <w:rPr>
                <w:rFonts w:cs="Arial"/>
                <w:b/>
                <w:bCs/>
                <w:szCs w:val="21"/>
              </w:rPr>
              <w:t>Martha Twaddle, MD, FACP, FAAHPM, HMDC</w:t>
            </w:r>
            <w:r w:rsidRPr="005D4222">
              <w:rPr>
                <w:rFonts w:cs="Arial"/>
                <w:b/>
                <w:bCs/>
                <w:szCs w:val="21"/>
              </w:rPr>
              <w:br/>
            </w:r>
            <w:r w:rsidRPr="005D4222">
              <w:rPr>
                <w:rFonts w:cs="Arial"/>
                <w:szCs w:val="21"/>
              </w:rPr>
              <w:t>Northwestern Medicine</w:t>
            </w:r>
          </w:p>
        </w:tc>
      </w:tr>
    </w:tbl>
    <w:p w14:paraId="0FB260CA" w14:textId="77777777" w:rsidR="001223E4" w:rsidRPr="005D4222" w:rsidRDefault="001223E4" w:rsidP="001223E4">
      <w:pPr>
        <w:spacing w:after="160" w:line="259" w:lineRule="auto"/>
        <w:rPr>
          <w:b/>
          <w:sz w:val="22"/>
          <w:szCs w:val="28"/>
        </w:rPr>
      </w:pPr>
      <w:r w:rsidRPr="005D4222">
        <w:br w:type="page"/>
      </w:r>
    </w:p>
    <w:p w14:paraId="4937E84B" w14:textId="77777777" w:rsidR="001223E4" w:rsidRPr="005D4222" w:rsidRDefault="001223E4" w:rsidP="00F41BC6">
      <w:pPr>
        <w:pStyle w:val="ReverseHead"/>
      </w:pPr>
      <w:r w:rsidRPr="005D4222">
        <w:lastRenderedPageBreak/>
        <w:t>Geriatric Measurement Advisory Panel</w:t>
      </w:r>
    </w:p>
    <w:tbl>
      <w:tblPr>
        <w:tblW w:w="9810" w:type="dxa"/>
        <w:tblLayout w:type="fixed"/>
        <w:tblLook w:val="0000" w:firstRow="0" w:lastRow="0" w:firstColumn="0" w:lastColumn="0" w:noHBand="0" w:noVBand="0"/>
      </w:tblPr>
      <w:tblGrid>
        <w:gridCol w:w="4788"/>
        <w:gridCol w:w="5022"/>
      </w:tblGrid>
      <w:tr w:rsidR="001223E4" w:rsidRPr="005D4222" w14:paraId="582BF1D1" w14:textId="77777777" w:rsidTr="00A53E8C">
        <w:tc>
          <w:tcPr>
            <w:tcW w:w="4788" w:type="dxa"/>
            <w:tcBorders>
              <w:bottom w:val="nil"/>
            </w:tcBorders>
            <w:tcMar>
              <w:left w:w="0" w:type="dxa"/>
              <w:right w:w="115" w:type="dxa"/>
            </w:tcMar>
          </w:tcPr>
          <w:p w14:paraId="00D766F5" w14:textId="77777777" w:rsidR="001223E4" w:rsidRPr="005D4222" w:rsidRDefault="001223E4" w:rsidP="00A53E8C">
            <w:pPr>
              <w:pStyle w:val="Body"/>
              <w:spacing w:before="120"/>
              <w:rPr>
                <w:rFonts w:cs="Arial"/>
                <w:szCs w:val="21"/>
              </w:rPr>
            </w:pPr>
            <w:r w:rsidRPr="005D4222">
              <w:rPr>
                <w:rFonts w:cs="Arial"/>
                <w:b/>
                <w:szCs w:val="21"/>
              </w:rPr>
              <w:t>Arlene S. Bierman, MD, MS</w:t>
            </w:r>
            <w:r w:rsidRPr="005D4222">
              <w:rPr>
                <w:rFonts w:cs="Arial"/>
                <w:szCs w:val="21"/>
              </w:rPr>
              <w:br/>
              <w:t>Agency for Healthcare Research and Quality</w:t>
            </w:r>
          </w:p>
          <w:p w14:paraId="62957315" w14:textId="77777777" w:rsidR="001223E4" w:rsidRPr="005D4222" w:rsidRDefault="001223E4" w:rsidP="00A53E8C">
            <w:pPr>
              <w:pStyle w:val="Body"/>
              <w:spacing w:before="120"/>
              <w:rPr>
                <w:rFonts w:cs="Arial"/>
                <w:szCs w:val="21"/>
              </w:rPr>
            </w:pPr>
            <w:r w:rsidRPr="005D4222">
              <w:rPr>
                <w:rFonts w:cs="Arial"/>
                <w:b/>
                <w:szCs w:val="21"/>
              </w:rPr>
              <w:t>Nicole Brandt, PharmD, MBA</w:t>
            </w:r>
            <w:r w:rsidRPr="005D4222">
              <w:rPr>
                <w:rFonts w:cs="Arial"/>
                <w:b/>
                <w:szCs w:val="21"/>
              </w:rPr>
              <w:br/>
            </w:r>
            <w:r w:rsidRPr="005D4222">
              <w:rPr>
                <w:rFonts w:cs="Arial"/>
                <w:szCs w:val="21"/>
              </w:rPr>
              <w:t>University of Maryland, School of Pharmacy</w:t>
            </w:r>
          </w:p>
          <w:p w14:paraId="1A6CE1AC" w14:textId="77777777" w:rsidR="001223E4" w:rsidRPr="005D4222" w:rsidRDefault="001223E4" w:rsidP="00A53E8C">
            <w:pPr>
              <w:pStyle w:val="Body"/>
              <w:spacing w:before="120"/>
              <w:rPr>
                <w:rFonts w:cs="Arial"/>
                <w:szCs w:val="21"/>
              </w:rPr>
            </w:pPr>
            <w:r w:rsidRPr="005D4222">
              <w:rPr>
                <w:rFonts w:cs="Arial"/>
                <w:b/>
                <w:szCs w:val="21"/>
              </w:rPr>
              <w:t>Jennie Chin Hansen, RN, MS, FAAN</w:t>
            </w:r>
            <w:r w:rsidRPr="005D4222">
              <w:rPr>
                <w:rFonts w:cs="Arial"/>
                <w:szCs w:val="21"/>
              </w:rPr>
              <w:br/>
              <w:t xml:space="preserve">Geriatric Expert </w:t>
            </w:r>
          </w:p>
          <w:p w14:paraId="5E1A37C8" w14:textId="77777777" w:rsidR="001223E4" w:rsidRPr="005D4222" w:rsidRDefault="001223E4" w:rsidP="00A53E8C">
            <w:pPr>
              <w:pStyle w:val="Body"/>
              <w:spacing w:before="120"/>
              <w:rPr>
                <w:rFonts w:cs="Arial"/>
                <w:b/>
                <w:bCs/>
                <w:szCs w:val="21"/>
              </w:rPr>
            </w:pPr>
            <w:r w:rsidRPr="005D4222">
              <w:rPr>
                <w:rFonts w:cs="Arial"/>
                <w:b/>
                <w:bCs/>
                <w:szCs w:val="21"/>
              </w:rPr>
              <w:t>Lenise Cummings-Vaughn, MD, CMD</w:t>
            </w:r>
          </w:p>
          <w:p w14:paraId="2EDAEB9E" w14:textId="77777777" w:rsidR="001223E4" w:rsidRPr="005D4222" w:rsidRDefault="001223E4" w:rsidP="00A53E8C">
            <w:pPr>
              <w:pStyle w:val="Body"/>
              <w:spacing w:before="0"/>
              <w:rPr>
                <w:rFonts w:cs="Arial"/>
                <w:szCs w:val="21"/>
              </w:rPr>
            </w:pPr>
            <w:r w:rsidRPr="005D4222">
              <w:rPr>
                <w:rFonts w:cs="Arial"/>
                <w:szCs w:val="21"/>
              </w:rPr>
              <w:t>Centers for Medicare &amp; Medicaid Services</w:t>
            </w:r>
          </w:p>
          <w:p w14:paraId="1F8DDED2" w14:textId="77777777" w:rsidR="001223E4" w:rsidRPr="005D4222" w:rsidRDefault="001223E4" w:rsidP="00A53E8C">
            <w:pPr>
              <w:pStyle w:val="Body"/>
              <w:spacing w:before="120"/>
              <w:rPr>
                <w:rFonts w:cs="Arial"/>
                <w:szCs w:val="21"/>
              </w:rPr>
            </w:pPr>
            <w:r w:rsidRPr="005D4222">
              <w:rPr>
                <w:rFonts w:cs="Arial"/>
                <w:b/>
                <w:bCs/>
                <w:szCs w:val="21"/>
              </w:rPr>
              <w:t>David Dorr, MD, MS</w:t>
            </w:r>
            <w:r w:rsidRPr="005D4222">
              <w:rPr>
                <w:rFonts w:cs="Arial"/>
                <w:b/>
                <w:bCs/>
                <w:szCs w:val="21"/>
              </w:rPr>
              <w:br/>
            </w:r>
            <w:r w:rsidRPr="005D4222">
              <w:rPr>
                <w:rFonts w:cs="Arial"/>
                <w:szCs w:val="21"/>
              </w:rPr>
              <w:t>Oregon Health &amp; Science University</w:t>
            </w:r>
          </w:p>
          <w:p w14:paraId="20A9F0A3" w14:textId="77777777" w:rsidR="001223E4" w:rsidRPr="00CA76B0" w:rsidRDefault="001223E4" w:rsidP="00A53E8C">
            <w:pPr>
              <w:pStyle w:val="Body"/>
              <w:spacing w:before="120"/>
              <w:rPr>
                <w:rFonts w:cs="Arial"/>
                <w:szCs w:val="21"/>
                <w:lang w:val="es-ES"/>
              </w:rPr>
            </w:pPr>
            <w:r w:rsidRPr="00CA76B0">
              <w:rPr>
                <w:rFonts w:cs="Arial"/>
                <w:b/>
                <w:szCs w:val="21"/>
                <w:lang w:val="es-ES"/>
              </w:rPr>
              <w:t>Lama El Zein, MD, MHA</w:t>
            </w:r>
            <w:r w:rsidRPr="00CA76B0">
              <w:rPr>
                <w:rFonts w:cs="Arial"/>
                <w:b/>
                <w:szCs w:val="21"/>
                <w:lang w:val="es-ES"/>
              </w:rPr>
              <w:br/>
            </w:r>
            <w:r w:rsidRPr="00CA76B0">
              <w:rPr>
                <w:rStyle w:val="normaltextrun"/>
                <w:color w:val="000000"/>
                <w:lang w:val="es-ES"/>
              </w:rPr>
              <w:t>Hackensack</w:t>
            </w:r>
            <w:r w:rsidRPr="00CA76B0">
              <w:rPr>
                <w:rStyle w:val="normaltextrun"/>
                <w:rFonts w:ascii="Calibri" w:hAnsi="Calibri" w:cs="Calibri"/>
                <w:color w:val="000000"/>
                <w:sz w:val="22"/>
                <w:szCs w:val="22"/>
                <w:lang w:val="es-ES"/>
              </w:rPr>
              <w:t xml:space="preserve"> </w:t>
            </w:r>
            <w:r w:rsidRPr="00CA76B0">
              <w:rPr>
                <w:rStyle w:val="normaltextrun"/>
                <w:color w:val="000000"/>
                <w:lang w:val="es-ES"/>
              </w:rPr>
              <w:t>Meridian</w:t>
            </w:r>
            <w:r w:rsidRPr="00CA76B0">
              <w:rPr>
                <w:rStyle w:val="normaltextrun"/>
                <w:rFonts w:ascii="Calibri" w:hAnsi="Calibri" w:cs="Calibri"/>
                <w:color w:val="000000"/>
                <w:sz w:val="22"/>
                <w:szCs w:val="22"/>
                <w:lang w:val="es-ES"/>
              </w:rPr>
              <w:t xml:space="preserve"> </w:t>
            </w:r>
            <w:r w:rsidRPr="00CA76B0">
              <w:rPr>
                <w:rStyle w:val="normaltextrun"/>
                <w:color w:val="000000"/>
                <w:lang w:val="es-ES"/>
              </w:rPr>
              <w:t>Health</w:t>
            </w:r>
          </w:p>
          <w:p w14:paraId="32816898" w14:textId="77777777" w:rsidR="001223E4" w:rsidRPr="005D4222" w:rsidRDefault="001223E4" w:rsidP="00A53E8C">
            <w:pPr>
              <w:pStyle w:val="Body"/>
              <w:spacing w:before="120"/>
              <w:rPr>
                <w:rFonts w:cs="Arial"/>
                <w:szCs w:val="21"/>
              </w:rPr>
            </w:pPr>
            <w:r w:rsidRPr="005D4222">
              <w:rPr>
                <w:rFonts w:cs="Arial"/>
                <w:b/>
                <w:bCs/>
                <w:szCs w:val="21"/>
              </w:rPr>
              <w:t>Tanya R. Gure, MD</w:t>
            </w:r>
            <w:r w:rsidRPr="005D4222">
              <w:rPr>
                <w:rFonts w:cs="Arial"/>
                <w:b/>
                <w:bCs/>
                <w:szCs w:val="21"/>
              </w:rPr>
              <w:br/>
            </w:r>
            <w:r w:rsidRPr="005D4222">
              <w:rPr>
                <w:rFonts w:cs="Arial"/>
                <w:szCs w:val="21"/>
              </w:rPr>
              <w:t xml:space="preserve">The Ohio State University Wexner </w:t>
            </w:r>
            <w:r w:rsidRPr="005D4222">
              <w:rPr>
                <w:rFonts w:cs="Arial"/>
                <w:szCs w:val="21"/>
              </w:rPr>
              <w:br/>
              <w:t>Medical Center</w:t>
            </w:r>
          </w:p>
          <w:p w14:paraId="29965EB8" w14:textId="77777777" w:rsidR="001223E4" w:rsidRPr="005D4222" w:rsidRDefault="001223E4" w:rsidP="00A53E8C">
            <w:pPr>
              <w:pStyle w:val="Body"/>
              <w:spacing w:before="120"/>
              <w:rPr>
                <w:rFonts w:cs="Arial"/>
                <w:szCs w:val="21"/>
              </w:rPr>
            </w:pPr>
            <w:r w:rsidRPr="005D4222">
              <w:rPr>
                <w:rFonts w:cs="Arial"/>
                <w:b/>
                <w:szCs w:val="21"/>
              </w:rPr>
              <w:t>Pete Hollmann, MD</w:t>
            </w:r>
            <w:r w:rsidRPr="005D4222">
              <w:rPr>
                <w:rFonts w:cs="Arial"/>
                <w:b/>
                <w:szCs w:val="21"/>
              </w:rPr>
              <w:br/>
            </w:r>
            <w:r w:rsidRPr="005D4222">
              <w:rPr>
                <w:rFonts w:cs="Arial"/>
                <w:szCs w:val="21"/>
              </w:rPr>
              <w:t xml:space="preserve">Brown Medicine </w:t>
            </w:r>
          </w:p>
          <w:p w14:paraId="08BC87F9" w14:textId="77777777" w:rsidR="001223E4" w:rsidRPr="005D4222" w:rsidRDefault="001223E4" w:rsidP="00A53E8C">
            <w:pPr>
              <w:spacing w:before="120"/>
              <w:rPr>
                <w:rFonts w:eastAsia="Arial" w:cs="Arial"/>
              </w:rPr>
            </w:pPr>
            <w:r w:rsidRPr="005D4222">
              <w:rPr>
                <w:rFonts w:cs="Arial"/>
                <w:b/>
                <w:bCs/>
                <w:szCs w:val="21"/>
              </w:rPr>
              <w:t>Colette Jones, RN, MN</w:t>
            </w:r>
            <w:r w:rsidRPr="005D4222">
              <w:rPr>
                <w:rFonts w:cs="Arial"/>
                <w:b/>
                <w:bCs/>
                <w:szCs w:val="21"/>
              </w:rPr>
              <w:br/>
            </w:r>
            <w:r w:rsidRPr="005D4222">
              <w:rPr>
                <w:rFonts w:eastAsia="Arial" w:cs="Arial"/>
              </w:rPr>
              <w:t>Washington State Health Care Authority</w:t>
            </w:r>
          </w:p>
          <w:p w14:paraId="43B907BD" w14:textId="77777777" w:rsidR="001223E4" w:rsidRPr="005D4222" w:rsidRDefault="001223E4" w:rsidP="00A53E8C">
            <w:pPr>
              <w:pStyle w:val="Body"/>
              <w:spacing w:before="120"/>
              <w:rPr>
                <w:rFonts w:cs="Arial"/>
                <w:szCs w:val="21"/>
              </w:rPr>
            </w:pPr>
            <w:r w:rsidRPr="005D4222">
              <w:rPr>
                <w:rFonts w:cs="Arial"/>
                <w:b/>
                <w:bCs/>
                <w:szCs w:val="21"/>
              </w:rPr>
              <w:t>Gerri Lamb, PhD, RN, FAAN</w:t>
            </w:r>
            <w:r w:rsidRPr="005D4222">
              <w:rPr>
                <w:rFonts w:cs="Arial"/>
                <w:b/>
                <w:bCs/>
                <w:szCs w:val="21"/>
              </w:rPr>
              <w:br/>
            </w:r>
            <w:r w:rsidRPr="005D4222">
              <w:rPr>
                <w:rFonts w:cs="Arial"/>
                <w:szCs w:val="21"/>
              </w:rPr>
              <w:t>Arizona State University</w:t>
            </w:r>
          </w:p>
          <w:p w14:paraId="2C6AC4EA" w14:textId="77777777" w:rsidR="001223E4" w:rsidRPr="005D4222" w:rsidRDefault="001223E4" w:rsidP="00A53E8C">
            <w:pPr>
              <w:pStyle w:val="Body"/>
              <w:spacing w:before="120"/>
              <w:rPr>
                <w:rFonts w:cs="Arial"/>
                <w:szCs w:val="21"/>
              </w:rPr>
            </w:pPr>
            <w:r w:rsidRPr="005D4222">
              <w:rPr>
                <w:rFonts w:cs="Arial"/>
                <w:b/>
                <w:bCs/>
                <w:szCs w:val="21"/>
              </w:rPr>
              <w:t>Sue C. Lin, MD, MBA</w:t>
            </w:r>
            <w:r w:rsidRPr="005D4222">
              <w:rPr>
                <w:rFonts w:cs="Arial"/>
                <w:b/>
                <w:bCs/>
                <w:szCs w:val="21"/>
              </w:rPr>
              <w:br/>
            </w:r>
            <w:r w:rsidRPr="005D4222">
              <w:rPr>
                <w:rFonts w:cs="Arial"/>
                <w:szCs w:val="21"/>
              </w:rPr>
              <w:t>Centers for Disease Control and Prevention</w:t>
            </w:r>
          </w:p>
          <w:p w14:paraId="17110406" w14:textId="77777777" w:rsidR="001223E4" w:rsidRPr="005D4222" w:rsidRDefault="001223E4" w:rsidP="00A53E8C">
            <w:pPr>
              <w:pStyle w:val="Body"/>
              <w:spacing w:before="120"/>
              <w:rPr>
                <w:rFonts w:cs="Arial"/>
                <w:szCs w:val="21"/>
              </w:rPr>
            </w:pPr>
            <w:r w:rsidRPr="005D4222">
              <w:rPr>
                <w:rFonts w:cs="Arial"/>
                <w:b/>
                <w:szCs w:val="21"/>
              </w:rPr>
              <w:t>Karen J. Nichols, MD</w:t>
            </w:r>
            <w:r w:rsidRPr="005D4222">
              <w:rPr>
                <w:rFonts w:cs="Arial"/>
                <w:b/>
                <w:szCs w:val="21"/>
              </w:rPr>
              <w:br/>
            </w:r>
            <w:r w:rsidRPr="005D4222">
              <w:rPr>
                <w:rFonts w:cs="Arial"/>
                <w:szCs w:val="21"/>
              </w:rPr>
              <w:t>Trinity-Health PACE</w:t>
            </w:r>
          </w:p>
          <w:p w14:paraId="02D42ACE" w14:textId="77777777" w:rsidR="001223E4" w:rsidRPr="005D4222" w:rsidRDefault="001223E4" w:rsidP="00FF229D">
            <w:pPr>
              <w:pStyle w:val="Body"/>
              <w:spacing w:before="120"/>
              <w:rPr>
                <w:rFonts w:cs="Arial"/>
                <w:b/>
                <w:szCs w:val="21"/>
              </w:rPr>
            </w:pPr>
            <w:r w:rsidRPr="005D4222">
              <w:rPr>
                <w:rFonts w:cs="Arial"/>
                <w:b/>
                <w:szCs w:val="21"/>
              </w:rPr>
              <w:t>Terrence O’Malley, MD</w:t>
            </w:r>
          </w:p>
          <w:p w14:paraId="207AE566" w14:textId="77777777" w:rsidR="001223E4" w:rsidRPr="005D4222" w:rsidRDefault="001223E4" w:rsidP="00A53E8C">
            <w:pPr>
              <w:pStyle w:val="Body"/>
              <w:spacing w:before="0"/>
              <w:rPr>
                <w:rFonts w:cs="Arial"/>
                <w:szCs w:val="21"/>
              </w:rPr>
            </w:pPr>
            <w:r w:rsidRPr="005D4222">
              <w:rPr>
                <w:rFonts w:cs="Arial"/>
                <w:szCs w:val="21"/>
              </w:rPr>
              <w:t>Partners HealthCare</w:t>
            </w:r>
          </w:p>
        </w:tc>
        <w:tc>
          <w:tcPr>
            <w:tcW w:w="5022" w:type="dxa"/>
          </w:tcPr>
          <w:p w14:paraId="25BF3541" w14:textId="77777777" w:rsidR="001223E4" w:rsidRPr="005D4222" w:rsidRDefault="001223E4" w:rsidP="00A53E8C">
            <w:pPr>
              <w:pStyle w:val="Body"/>
              <w:rPr>
                <w:rFonts w:cs="Arial"/>
                <w:b/>
                <w:szCs w:val="21"/>
              </w:rPr>
            </w:pPr>
            <w:r w:rsidRPr="005D4222">
              <w:rPr>
                <w:rFonts w:cs="Arial"/>
                <w:b/>
                <w:szCs w:val="21"/>
              </w:rPr>
              <w:t>Steven L. Philips, MD, CMD</w:t>
            </w:r>
            <w:r w:rsidRPr="005D4222">
              <w:rPr>
                <w:rFonts w:cs="Arial"/>
                <w:szCs w:val="21"/>
              </w:rPr>
              <w:br/>
            </w:r>
            <w:r w:rsidRPr="005D4222">
              <w:rPr>
                <w:rFonts w:cs="Arial"/>
              </w:rPr>
              <w:t>University of Nevada, Reno School of Medicine</w:t>
            </w:r>
            <w:r w:rsidRPr="005D4222" w:rsidDel="00BA52CB">
              <w:rPr>
                <w:rFonts w:cs="Arial"/>
                <w:b/>
                <w:szCs w:val="21"/>
              </w:rPr>
              <w:t xml:space="preserve"> </w:t>
            </w:r>
          </w:p>
          <w:p w14:paraId="336AB5C3" w14:textId="77777777" w:rsidR="001223E4" w:rsidRPr="005D4222" w:rsidRDefault="001223E4" w:rsidP="00A53E8C">
            <w:pPr>
              <w:spacing w:before="120"/>
              <w:rPr>
                <w:rFonts w:eastAsia="Arial" w:cs="Arial"/>
                <w:b/>
                <w:bCs/>
              </w:rPr>
            </w:pPr>
            <w:r w:rsidRPr="005D4222">
              <w:rPr>
                <w:rFonts w:eastAsia="Arial" w:cs="Arial"/>
                <w:b/>
                <w:bCs/>
              </w:rPr>
              <w:t>Upinder Singh, MD, CMD, AGSF, FACP, CHCQM</w:t>
            </w:r>
          </w:p>
          <w:p w14:paraId="1FCBC7B1" w14:textId="77777777" w:rsidR="001223E4" w:rsidRPr="005D4222" w:rsidRDefault="001223E4" w:rsidP="00A53E8C">
            <w:pPr>
              <w:rPr>
                <w:rFonts w:eastAsia="Arial" w:cs="Arial"/>
              </w:rPr>
            </w:pPr>
            <w:r w:rsidRPr="005D4222">
              <w:rPr>
                <w:rFonts w:eastAsia="Arial" w:cs="Arial"/>
              </w:rPr>
              <w:t xml:space="preserve">Senior Medical Director, Centene </w:t>
            </w:r>
          </w:p>
          <w:p w14:paraId="67B8A093" w14:textId="77777777" w:rsidR="001223E4" w:rsidRPr="005D4222" w:rsidRDefault="001223E4" w:rsidP="00A53E8C">
            <w:pPr>
              <w:shd w:val="clear" w:color="auto" w:fill="FFFFFF" w:themeFill="background1"/>
              <w:spacing w:before="120"/>
              <w:rPr>
                <w:rFonts w:eastAsia="Arial" w:cs="Arial"/>
                <w:b/>
                <w:bCs/>
              </w:rPr>
            </w:pPr>
            <w:r w:rsidRPr="005D4222">
              <w:rPr>
                <w:rFonts w:eastAsia="Arial" w:cs="Arial"/>
                <w:b/>
                <w:bCs/>
              </w:rPr>
              <w:t>Steven Starks, MD, MBA, DFAPA</w:t>
            </w:r>
          </w:p>
          <w:p w14:paraId="30F507FC" w14:textId="77777777" w:rsidR="001223E4" w:rsidRPr="005D4222" w:rsidRDefault="001223E4" w:rsidP="00A53E8C">
            <w:pPr>
              <w:shd w:val="clear" w:color="auto" w:fill="FFFFFF" w:themeFill="background1"/>
              <w:rPr>
                <w:rFonts w:eastAsia="Arial" w:cs="Arial"/>
              </w:rPr>
            </w:pPr>
            <w:r w:rsidRPr="005D4222">
              <w:rPr>
                <w:rFonts w:eastAsia="Arial" w:cs="Arial"/>
              </w:rPr>
              <w:t>University of Houston, Tilman J. Fertitta Family College of Medicine</w:t>
            </w:r>
          </w:p>
          <w:p w14:paraId="43402D8E" w14:textId="77777777" w:rsidR="001223E4" w:rsidRPr="005D4222" w:rsidRDefault="001223E4" w:rsidP="00A53E8C">
            <w:pPr>
              <w:pStyle w:val="Body"/>
              <w:spacing w:before="120"/>
              <w:rPr>
                <w:rFonts w:cs="Arial"/>
                <w:b/>
                <w:szCs w:val="21"/>
              </w:rPr>
            </w:pPr>
            <w:r w:rsidRPr="005D4222">
              <w:rPr>
                <w:rFonts w:cs="Arial"/>
                <w:b/>
                <w:szCs w:val="21"/>
              </w:rPr>
              <w:t>Erwin Tan, MD</w:t>
            </w:r>
            <w:r w:rsidRPr="005D4222">
              <w:rPr>
                <w:rFonts w:cs="Arial"/>
                <w:b/>
                <w:szCs w:val="21"/>
              </w:rPr>
              <w:br/>
            </w:r>
            <w:r w:rsidRPr="005D4222">
              <w:rPr>
                <w:rFonts w:cs="Arial"/>
                <w:szCs w:val="21"/>
              </w:rPr>
              <w:t>American Association of Retired Persons</w:t>
            </w:r>
            <w:r w:rsidRPr="005D4222" w:rsidDel="00734B41">
              <w:rPr>
                <w:rFonts w:cs="Arial"/>
                <w:b/>
                <w:szCs w:val="21"/>
              </w:rPr>
              <w:t xml:space="preserve"> </w:t>
            </w:r>
          </w:p>
          <w:p w14:paraId="102086B7" w14:textId="77777777" w:rsidR="001223E4" w:rsidRPr="005D4222" w:rsidRDefault="001223E4" w:rsidP="00A53E8C">
            <w:pPr>
              <w:pStyle w:val="Body"/>
              <w:spacing w:before="120"/>
              <w:rPr>
                <w:rFonts w:cs="Arial"/>
                <w:szCs w:val="21"/>
              </w:rPr>
            </w:pPr>
            <w:r w:rsidRPr="005D4222">
              <w:rPr>
                <w:rFonts w:cs="Arial"/>
                <w:b/>
                <w:szCs w:val="21"/>
              </w:rPr>
              <w:t>Dirk Wales, MD, PsyD</w:t>
            </w:r>
            <w:r w:rsidRPr="005D4222">
              <w:rPr>
                <w:rFonts w:cs="Arial"/>
                <w:b/>
                <w:szCs w:val="21"/>
              </w:rPr>
              <w:br/>
            </w:r>
            <w:r w:rsidRPr="005D4222">
              <w:rPr>
                <w:rFonts w:cs="Arial"/>
                <w:szCs w:val="21"/>
              </w:rPr>
              <w:t>Axial Healthcare</w:t>
            </w:r>
          </w:p>
          <w:p w14:paraId="4ADCE40F" w14:textId="77777777" w:rsidR="001223E4" w:rsidRPr="005D4222" w:rsidRDefault="001223E4" w:rsidP="00A53E8C">
            <w:pPr>
              <w:pStyle w:val="Body"/>
              <w:rPr>
                <w:rFonts w:cs="Arial"/>
                <w:b/>
                <w:szCs w:val="21"/>
                <w:u w:val="single"/>
              </w:rPr>
            </w:pPr>
            <w:r w:rsidRPr="005D4222">
              <w:rPr>
                <w:rFonts w:cs="Arial"/>
                <w:b/>
                <w:szCs w:val="21"/>
                <w:u w:val="single"/>
              </w:rPr>
              <w:t>Liaisons</w:t>
            </w:r>
          </w:p>
          <w:p w14:paraId="1725FB87" w14:textId="77777777" w:rsidR="001223E4" w:rsidRPr="005D4222" w:rsidRDefault="001223E4" w:rsidP="00A53E8C">
            <w:pPr>
              <w:pStyle w:val="Body"/>
              <w:spacing w:before="120"/>
              <w:rPr>
                <w:rFonts w:cs="Arial"/>
                <w:bCs/>
                <w:szCs w:val="21"/>
              </w:rPr>
            </w:pPr>
            <w:r w:rsidRPr="005D4222">
              <w:rPr>
                <w:rFonts w:cs="Arial"/>
                <w:b/>
                <w:szCs w:val="21"/>
              </w:rPr>
              <w:t>Sarah Gaillot</w:t>
            </w:r>
            <w:r w:rsidRPr="005D4222">
              <w:rPr>
                <w:rFonts w:cs="Arial"/>
                <w:b/>
                <w:szCs w:val="21"/>
              </w:rPr>
              <w:br/>
            </w:r>
            <w:r w:rsidRPr="005D4222">
              <w:rPr>
                <w:rFonts w:cs="Arial"/>
                <w:bCs/>
                <w:szCs w:val="21"/>
              </w:rPr>
              <w:t>Centers for Medicare &amp; Medicaid Services</w:t>
            </w:r>
          </w:p>
          <w:p w14:paraId="272F28FC" w14:textId="77777777" w:rsidR="001223E4" w:rsidRPr="005D4222" w:rsidRDefault="001223E4" w:rsidP="00A53E8C">
            <w:pPr>
              <w:pStyle w:val="Body"/>
              <w:spacing w:before="120"/>
              <w:rPr>
                <w:rFonts w:cs="Arial"/>
                <w:b/>
                <w:szCs w:val="21"/>
              </w:rPr>
            </w:pPr>
            <w:r w:rsidRPr="005D4222">
              <w:rPr>
                <w:rFonts w:cs="Arial"/>
                <w:b/>
                <w:szCs w:val="21"/>
              </w:rPr>
              <w:t>Elizabeth Goldstein</w:t>
            </w:r>
            <w:r w:rsidRPr="005D4222">
              <w:rPr>
                <w:rFonts w:cs="Arial"/>
                <w:szCs w:val="21"/>
              </w:rPr>
              <w:br/>
              <w:t>Centers for Medicare &amp; Medicaid Services</w:t>
            </w:r>
            <w:r w:rsidRPr="005D4222">
              <w:rPr>
                <w:rFonts w:cs="Arial"/>
                <w:b/>
                <w:szCs w:val="21"/>
              </w:rPr>
              <w:t xml:space="preserve"> </w:t>
            </w:r>
          </w:p>
          <w:p w14:paraId="57441533" w14:textId="77777777" w:rsidR="001223E4" w:rsidRPr="005D4222" w:rsidRDefault="001223E4" w:rsidP="00A53E8C">
            <w:pPr>
              <w:pStyle w:val="Body"/>
              <w:spacing w:before="120"/>
              <w:rPr>
                <w:rFonts w:cs="Arial"/>
                <w:szCs w:val="21"/>
              </w:rPr>
            </w:pPr>
            <w:r w:rsidRPr="005D4222">
              <w:rPr>
                <w:rFonts w:cs="Arial"/>
                <w:b/>
                <w:szCs w:val="21"/>
              </w:rPr>
              <w:t>Daniel Lehman</w:t>
            </w:r>
            <w:r w:rsidRPr="005D4222">
              <w:rPr>
                <w:rFonts w:cs="Arial"/>
                <w:b/>
                <w:szCs w:val="21"/>
              </w:rPr>
              <w:br/>
            </w:r>
            <w:r w:rsidRPr="005D4222">
              <w:rPr>
                <w:rFonts w:cs="Arial"/>
                <w:szCs w:val="21"/>
              </w:rPr>
              <w:t>Centers for Medicare &amp; Medicaid Service</w:t>
            </w:r>
          </w:p>
          <w:p w14:paraId="69EE3492" w14:textId="77777777" w:rsidR="001223E4" w:rsidRPr="005D4222" w:rsidRDefault="001223E4" w:rsidP="00A53E8C">
            <w:pPr>
              <w:pStyle w:val="Body"/>
              <w:spacing w:before="120"/>
              <w:rPr>
                <w:rFonts w:cs="Arial"/>
                <w:szCs w:val="21"/>
              </w:rPr>
            </w:pPr>
            <w:r w:rsidRPr="005D4222">
              <w:rPr>
                <w:rStyle w:val="normaltextrun"/>
                <w:b/>
                <w:color w:val="000000"/>
                <w:shd w:val="clear" w:color="auto" w:fill="FFFFFF"/>
              </w:rPr>
              <w:t>Lauren Popham</w:t>
            </w:r>
            <w:r w:rsidRPr="005D4222">
              <w:rPr>
                <w:rStyle w:val="normaltextrun"/>
                <w:bCs/>
                <w:color w:val="000000"/>
                <w:shd w:val="clear" w:color="auto" w:fill="FFFFFF"/>
              </w:rPr>
              <w:br/>
            </w:r>
            <w:r w:rsidRPr="005D4222">
              <w:rPr>
                <w:rFonts w:cs="Arial"/>
                <w:szCs w:val="21"/>
              </w:rPr>
              <w:t>Centers for Medicare &amp; Medicaid Services</w:t>
            </w:r>
          </w:p>
          <w:p w14:paraId="7263A638" w14:textId="77777777" w:rsidR="001223E4" w:rsidRPr="005D4222" w:rsidRDefault="001223E4" w:rsidP="00A53E8C">
            <w:pPr>
              <w:pStyle w:val="Body"/>
              <w:spacing w:before="120"/>
              <w:rPr>
                <w:rFonts w:cs="Arial"/>
                <w:szCs w:val="21"/>
              </w:rPr>
            </w:pPr>
            <w:r w:rsidRPr="005D4222">
              <w:rPr>
                <w:rStyle w:val="normaltextrun"/>
                <w:b/>
                <w:color w:val="000000"/>
                <w:shd w:val="clear" w:color="auto" w:fill="FFFFFF"/>
              </w:rPr>
              <w:t>Saraswathy Raju</w:t>
            </w:r>
            <w:r w:rsidRPr="005D4222">
              <w:rPr>
                <w:rStyle w:val="normaltextrun"/>
                <w:bCs/>
                <w:color w:val="000000"/>
                <w:shd w:val="clear" w:color="auto" w:fill="FFFFFF"/>
              </w:rPr>
              <w:t xml:space="preserve"> </w:t>
            </w:r>
            <w:r w:rsidRPr="005D4222">
              <w:rPr>
                <w:rStyle w:val="eop"/>
                <w:color w:val="000000"/>
                <w:shd w:val="clear" w:color="auto" w:fill="FFFFFF"/>
              </w:rPr>
              <w:br/>
            </w:r>
            <w:r w:rsidRPr="005D4222">
              <w:rPr>
                <w:rFonts w:cs="Arial"/>
                <w:szCs w:val="21"/>
              </w:rPr>
              <w:t>Centers for Medicare &amp; Medicaid Services</w:t>
            </w:r>
          </w:p>
          <w:p w14:paraId="73ECA2BC" w14:textId="77777777" w:rsidR="001223E4" w:rsidRPr="005D4222" w:rsidRDefault="001223E4" w:rsidP="00A53E8C">
            <w:pPr>
              <w:pStyle w:val="Body"/>
              <w:spacing w:before="120"/>
              <w:rPr>
                <w:rFonts w:eastAsia="Arial"/>
                <w:b/>
                <w:bCs/>
              </w:rPr>
            </w:pPr>
            <w:r w:rsidRPr="005D4222">
              <w:rPr>
                <w:rFonts w:cs="Arial"/>
                <w:b/>
                <w:szCs w:val="21"/>
              </w:rPr>
              <w:t>Yoku Shaw-Taylor</w:t>
            </w:r>
            <w:r w:rsidRPr="005D4222">
              <w:rPr>
                <w:rFonts w:cs="Arial"/>
                <w:b/>
                <w:szCs w:val="21"/>
              </w:rPr>
              <w:br/>
            </w:r>
            <w:r w:rsidRPr="005D4222">
              <w:rPr>
                <w:rFonts w:cs="Arial"/>
                <w:szCs w:val="21"/>
              </w:rPr>
              <w:t>Centers for Medicare &amp; Medicaid Service</w:t>
            </w:r>
          </w:p>
        </w:tc>
      </w:tr>
    </w:tbl>
    <w:p w14:paraId="28E8D1F1" w14:textId="77777777" w:rsidR="001223E4" w:rsidRPr="005D4222" w:rsidRDefault="001223E4" w:rsidP="00F41BC6">
      <w:pPr>
        <w:pStyle w:val="ReverseHead"/>
      </w:pPr>
      <w:r w:rsidRPr="005D4222">
        <w:t>HEDIS Expert Audit Methodology Panel</w:t>
      </w:r>
    </w:p>
    <w:tbl>
      <w:tblPr>
        <w:tblW w:w="9810" w:type="dxa"/>
        <w:tblLayout w:type="fixed"/>
        <w:tblLook w:val="0000" w:firstRow="0" w:lastRow="0" w:firstColumn="0" w:lastColumn="0" w:noHBand="0" w:noVBand="0"/>
      </w:tblPr>
      <w:tblGrid>
        <w:gridCol w:w="4770"/>
        <w:gridCol w:w="5040"/>
      </w:tblGrid>
      <w:tr w:rsidR="001223E4" w:rsidRPr="005D4222" w14:paraId="16644E06" w14:textId="77777777" w:rsidTr="00A53E8C">
        <w:trPr>
          <w:cantSplit/>
          <w:trHeight w:val="2853"/>
        </w:trPr>
        <w:tc>
          <w:tcPr>
            <w:tcW w:w="4770" w:type="dxa"/>
            <w:tcMar>
              <w:left w:w="0" w:type="dxa"/>
              <w:right w:w="115" w:type="dxa"/>
            </w:tcMar>
          </w:tcPr>
          <w:p w14:paraId="06CADD6D" w14:textId="77777777" w:rsidR="001223E4" w:rsidRPr="005D4222" w:rsidRDefault="001223E4" w:rsidP="00A53E8C">
            <w:pPr>
              <w:spacing w:before="120"/>
              <w:rPr>
                <w:rFonts w:cs="Arial"/>
                <w:szCs w:val="21"/>
              </w:rPr>
            </w:pPr>
            <w:r w:rsidRPr="005D4222">
              <w:rPr>
                <w:rFonts w:cs="Arial"/>
                <w:b/>
                <w:szCs w:val="21"/>
              </w:rPr>
              <w:t>Paul Ackroyd, MBA, CPA, CHCA</w:t>
            </w:r>
            <w:r w:rsidRPr="005D4222">
              <w:rPr>
                <w:rFonts w:cs="Arial"/>
                <w:b/>
                <w:szCs w:val="21"/>
              </w:rPr>
              <w:br/>
            </w:r>
            <w:r w:rsidRPr="005D4222">
              <w:rPr>
                <w:rFonts w:cs="Arial"/>
                <w:szCs w:val="21"/>
              </w:rPr>
              <w:t>HealthcareData Company, LLC</w:t>
            </w:r>
          </w:p>
          <w:p w14:paraId="2F9D4E07" w14:textId="0FE39DA5" w:rsidR="001223E4" w:rsidRPr="005D4222" w:rsidRDefault="001546BA" w:rsidP="00A53E8C">
            <w:pPr>
              <w:spacing w:before="120"/>
              <w:rPr>
                <w:rFonts w:cs="Arial"/>
                <w:szCs w:val="21"/>
              </w:rPr>
            </w:pPr>
            <w:r w:rsidRPr="005D4222">
              <w:rPr>
                <w:rFonts w:cs="Arial"/>
                <w:b/>
                <w:szCs w:val="21"/>
              </w:rPr>
              <w:t>Rachael French</w:t>
            </w:r>
            <w:r w:rsidR="001223E4" w:rsidRPr="005D4222">
              <w:rPr>
                <w:rFonts w:cs="Arial"/>
                <w:b/>
                <w:szCs w:val="21"/>
              </w:rPr>
              <w:t>, CHCA</w:t>
            </w:r>
            <w:r w:rsidR="001223E4" w:rsidRPr="005D4222">
              <w:rPr>
                <w:rFonts w:cs="Arial"/>
                <w:b/>
                <w:szCs w:val="21"/>
              </w:rPr>
              <w:br/>
            </w:r>
            <w:r w:rsidR="001223E4" w:rsidRPr="005D4222">
              <w:rPr>
                <w:rFonts w:cs="Arial"/>
                <w:szCs w:val="21"/>
              </w:rPr>
              <w:t xml:space="preserve">Health Services Advisory Group, Inc. </w:t>
            </w:r>
          </w:p>
          <w:p w14:paraId="40C73B8F" w14:textId="77777777" w:rsidR="001223E4" w:rsidRPr="005D4222" w:rsidRDefault="001223E4" w:rsidP="00A53E8C">
            <w:pPr>
              <w:spacing w:before="120"/>
              <w:rPr>
                <w:rFonts w:cs="Arial"/>
                <w:szCs w:val="21"/>
              </w:rPr>
            </w:pPr>
            <w:r w:rsidRPr="005D4222">
              <w:rPr>
                <w:rFonts w:cs="Arial"/>
                <w:b/>
                <w:szCs w:val="21"/>
              </w:rPr>
              <w:t>Patience Hoag, CPHQ, CHCA</w:t>
            </w:r>
            <w:r w:rsidRPr="005D4222">
              <w:rPr>
                <w:rFonts w:cs="Arial"/>
                <w:b/>
                <w:szCs w:val="21"/>
              </w:rPr>
              <w:br/>
            </w:r>
            <w:r w:rsidRPr="005D4222">
              <w:rPr>
                <w:rFonts w:cs="Arial"/>
                <w:szCs w:val="21"/>
              </w:rPr>
              <w:t>MetaStar, Inc.</w:t>
            </w:r>
          </w:p>
          <w:p w14:paraId="3644AEB2" w14:textId="77777777" w:rsidR="001223E4" w:rsidRPr="005D4222" w:rsidRDefault="001223E4" w:rsidP="00A53E8C">
            <w:pPr>
              <w:spacing w:before="120"/>
              <w:rPr>
                <w:rFonts w:cs="Arial"/>
                <w:szCs w:val="21"/>
              </w:rPr>
            </w:pPr>
            <w:r w:rsidRPr="005D4222">
              <w:rPr>
                <w:rFonts w:cs="Arial"/>
                <w:b/>
                <w:szCs w:val="21"/>
              </w:rPr>
              <w:t>Laura Hart, MACC, CHCA</w:t>
            </w:r>
            <w:r w:rsidRPr="005D4222">
              <w:rPr>
                <w:rFonts w:cs="Arial"/>
                <w:b/>
                <w:szCs w:val="21"/>
              </w:rPr>
              <w:br/>
            </w:r>
            <w:r w:rsidRPr="005D4222">
              <w:rPr>
                <w:rFonts w:cs="Arial"/>
                <w:szCs w:val="21"/>
              </w:rPr>
              <w:t>Attest Health Care Advisors, LLC</w:t>
            </w:r>
          </w:p>
          <w:p w14:paraId="03EEC307" w14:textId="77777777" w:rsidR="001223E4" w:rsidRPr="005D4222" w:rsidRDefault="001223E4" w:rsidP="00A53E8C">
            <w:pPr>
              <w:spacing w:before="120"/>
              <w:rPr>
                <w:rFonts w:cs="Arial"/>
                <w:szCs w:val="21"/>
              </w:rPr>
            </w:pPr>
            <w:r w:rsidRPr="005D4222">
              <w:rPr>
                <w:rFonts w:cs="Arial"/>
                <w:b/>
                <w:szCs w:val="21"/>
              </w:rPr>
              <w:t>Katharine Iskrant, MPH, CPHQ, CHCA</w:t>
            </w:r>
            <w:r w:rsidRPr="005D4222">
              <w:rPr>
                <w:rFonts w:cs="Arial"/>
                <w:b/>
                <w:szCs w:val="21"/>
              </w:rPr>
              <w:br/>
            </w:r>
            <w:r w:rsidRPr="005D4222">
              <w:rPr>
                <w:rFonts w:cs="Arial"/>
                <w:szCs w:val="21"/>
              </w:rPr>
              <w:t>Healthy People, Inc.</w:t>
            </w:r>
          </w:p>
        </w:tc>
        <w:tc>
          <w:tcPr>
            <w:tcW w:w="5040" w:type="dxa"/>
            <w:tcBorders>
              <w:bottom w:val="nil"/>
            </w:tcBorders>
          </w:tcPr>
          <w:p w14:paraId="79BC8748" w14:textId="77777777" w:rsidR="001223E4" w:rsidRPr="005D4222" w:rsidRDefault="001223E4" w:rsidP="00A53E8C">
            <w:pPr>
              <w:spacing w:before="120"/>
              <w:rPr>
                <w:rFonts w:cs="Arial"/>
                <w:szCs w:val="21"/>
              </w:rPr>
            </w:pPr>
            <w:r w:rsidRPr="005D4222">
              <w:rPr>
                <w:rFonts w:cs="Arial"/>
                <w:b/>
                <w:bCs/>
                <w:szCs w:val="21"/>
              </w:rPr>
              <w:t>Peggy Ketterer, RN, BSN, CHCA</w:t>
            </w:r>
            <w:r w:rsidRPr="005D4222">
              <w:rPr>
                <w:rFonts w:cs="Arial"/>
                <w:b/>
                <w:szCs w:val="21"/>
              </w:rPr>
              <w:br/>
            </w:r>
            <w:r w:rsidRPr="005D4222">
              <w:rPr>
                <w:rFonts w:cs="Arial"/>
                <w:szCs w:val="21"/>
              </w:rPr>
              <w:t>Advent Advisory Group, LLC</w:t>
            </w:r>
          </w:p>
          <w:p w14:paraId="509EC7A5" w14:textId="4DC2FEE9" w:rsidR="001223E4" w:rsidRPr="005D4222" w:rsidRDefault="008D1A47" w:rsidP="00A53E8C">
            <w:pPr>
              <w:spacing w:before="120"/>
              <w:rPr>
                <w:rFonts w:cs="Arial"/>
                <w:b/>
                <w:szCs w:val="21"/>
              </w:rPr>
            </w:pPr>
            <w:r w:rsidRPr="005D4222">
              <w:rPr>
                <w:rFonts w:cs="Arial"/>
                <w:b/>
                <w:szCs w:val="21"/>
              </w:rPr>
              <w:t>David</w:t>
            </w:r>
            <w:r w:rsidR="008C7CDD" w:rsidRPr="005D4222">
              <w:rPr>
                <w:rFonts w:cs="Arial"/>
                <w:b/>
                <w:szCs w:val="21"/>
              </w:rPr>
              <w:t xml:space="preserve"> Zona</w:t>
            </w:r>
            <w:r w:rsidR="001223E4" w:rsidRPr="005D4222">
              <w:rPr>
                <w:rFonts w:cs="Arial"/>
                <w:b/>
                <w:szCs w:val="21"/>
              </w:rPr>
              <w:t>, CHCA</w:t>
            </w:r>
            <w:r w:rsidR="001223E4" w:rsidRPr="005D4222">
              <w:rPr>
                <w:rFonts w:cs="Arial"/>
                <w:szCs w:val="21"/>
              </w:rPr>
              <w:br/>
              <w:t>IPRO</w:t>
            </w:r>
          </w:p>
          <w:p w14:paraId="765DF3C2" w14:textId="77777777" w:rsidR="001223E4" w:rsidRPr="005D4222" w:rsidRDefault="001223E4" w:rsidP="00A53E8C">
            <w:pPr>
              <w:spacing w:before="120"/>
              <w:rPr>
                <w:rFonts w:cs="Arial"/>
                <w:szCs w:val="21"/>
              </w:rPr>
            </w:pPr>
            <w:r w:rsidRPr="005D4222">
              <w:rPr>
                <w:rFonts w:cs="Arial"/>
                <w:b/>
                <w:szCs w:val="21"/>
              </w:rPr>
              <w:t>Anu Sajja, MPH, CHCA</w:t>
            </w:r>
            <w:r w:rsidRPr="005D4222">
              <w:rPr>
                <w:rFonts w:cs="Arial"/>
                <w:b/>
                <w:szCs w:val="21"/>
              </w:rPr>
              <w:br/>
            </w:r>
            <w:r w:rsidRPr="005D4222">
              <w:rPr>
                <w:rFonts w:cs="Arial"/>
                <w:szCs w:val="21"/>
              </w:rPr>
              <w:t>Aqurate Health Data Management, Inc.</w:t>
            </w:r>
          </w:p>
          <w:p w14:paraId="0D5D4C1F" w14:textId="77777777" w:rsidR="001223E4" w:rsidRPr="005D4222" w:rsidRDefault="001223E4" w:rsidP="00A53E8C">
            <w:pPr>
              <w:spacing w:before="120"/>
              <w:rPr>
                <w:rFonts w:cs="Arial"/>
                <w:szCs w:val="21"/>
              </w:rPr>
            </w:pPr>
            <w:r w:rsidRPr="005D4222">
              <w:rPr>
                <w:rFonts w:cs="Arial"/>
                <w:b/>
                <w:szCs w:val="21"/>
              </w:rPr>
              <w:t>Daniel Zervins, MA, CHCA</w:t>
            </w:r>
            <w:r w:rsidRPr="005D4222">
              <w:rPr>
                <w:rFonts w:cs="Arial"/>
                <w:b/>
                <w:szCs w:val="21"/>
              </w:rPr>
              <w:br/>
            </w:r>
            <w:r w:rsidRPr="005D4222">
              <w:rPr>
                <w:rFonts w:cs="Arial"/>
                <w:szCs w:val="21"/>
              </w:rPr>
              <w:t>DTS Group, LLC</w:t>
            </w:r>
          </w:p>
          <w:p w14:paraId="4F3DF171" w14:textId="77777777" w:rsidR="001223E4" w:rsidRPr="005D4222" w:rsidRDefault="001223E4" w:rsidP="00A53E8C">
            <w:pPr>
              <w:spacing w:before="120"/>
              <w:rPr>
                <w:rFonts w:cs="Arial"/>
                <w:b/>
                <w:szCs w:val="21"/>
              </w:rPr>
            </w:pPr>
          </w:p>
        </w:tc>
      </w:tr>
    </w:tbl>
    <w:p w14:paraId="21120B15" w14:textId="77777777" w:rsidR="001223E4" w:rsidRPr="005D4222" w:rsidRDefault="001223E4" w:rsidP="001223E4">
      <w:pPr>
        <w:spacing w:after="160" w:line="259" w:lineRule="auto"/>
        <w:rPr>
          <w:b/>
          <w:sz w:val="22"/>
          <w:szCs w:val="28"/>
        </w:rPr>
      </w:pPr>
      <w:r w:rsidRPr="005D4222">
        <w:br w:type="page"/>
      </w:r>
    </w:p>
    <w:p w14:paraId="4C3FE25F" w14:textId="77777777" w:rsidR="001223E4" w:rsidRPr="005D4222" w:rsidRDefault="001223E4" w:rsidP="00F41BC6">
      <w:pPr>
        <w:pStyle w:val="ReverseHead"/>
      </w:pPr>
      <w:r w:rsidRPr="005D4222">
        <w:lastRenderedPageBreak/>
        <w:t>HEDIS Expert Coding Panel</w:t>
      </w:r>
    </w:p>
    <w:tbl>
      <w:tblPr>
        <w:tblW w:w="9828" w:type="dxa"/>
        <w:tblLayout w:type="fixed"/>
        <w:tblLook w:val="0000" w:firstRow="0" w:lastRow="0" w:firstColumn="0" w:lastColumn="0" w:noHBand="0" w:noVBand="0"/>
      </w:tblPr>
      <w:tblGrid>
        <w:gridCol w:w="4770"/>
        <w:gridCol w:w="5058"/>
      </w:tblGrid>
      <w:tr w:rsidR="001223E4" w:rsidRPr="005D4222" w14:paraId="30A26FB5" w14:textId="77777777" w:rsidTr="00A53E8C">
        <w:tc>
          <w:tcPr>
            <w:tcW w:w="4770" w:type="dxa"/>
            <w:tcMar>
              <w:left w:w="0" w:type="dxa"/>
              <w:right w:w="115" w:type="dxa"/>
            </w:tcMar>
          </w:tcPr>
          <w:p w14:paraId="49DC23C3" w14:textId="77777777" w:rsidR="001223E4" w:rsidRPr="005D4222" w:rsidRDefault="001223E4" w:rsidP="00A53E8C">
            <w:pPr>
              <w:pStyle w:val="Body"/>
              <w:spacing w:before="120"/>
              <w:rPr>
                <w:rFonts w:cs="Arial"/>
                <w:szCs w:val="21"/>
              </w:rPr>
            </w:pPr>
            <w:r w:rsidRPr="005D4222">
              <w:rPr>
                <w:rFonts w:cs="Arial"/>
                <w:b/>
                <w:szCs w:val="21"/>
              </w:rPr>
              <w:t>Glen Braden, MBA, CHCA</w:t>
            </w:r>
            <w:r w:rsidRPr="005D4222">
              <w:rPr>
                <w:rFonts w:cs="Arial"/>
                <w:b/>
                <w:szCs w:val="21"/>
              </w:rPr>
              <w:br/>
            </w:r>
            <w:r w:rsidRPr="005D4222">
              <w:rPr>
                <w:rFonts w:cs="Arial"/>
                <w:szCs w:val="21"/>
              </w:rPr>
              <w:t>Attest Health Care Advisors</w:t>
            </w:r>
          </w:p>
          <w:p w14:paraId="1D54D419" w14:textId="77777777" w:rsidR="001223E4" w:rsidRPr="005D4222" w:rsidRDefault="001223E4" w:rsidP="00A53E8C">
            <w:pPr>
              <w:pStyle w:val="Body"/>
              <w:spacing w:before="120"/>
              <w:rPr>
                <w:rFonts w:cs="Arial"/>
                <w:szCs w:val="21"/>
              </w:rPr>
            </w:pPr>
            <w:r w:rsidRPr="005D4222">
              <w:rPr>
                <w:rFonts w:cs="Arial"/>
                <w:b/>
                <w:szCs w:val="21"/>
              </w:rPr>
              <w:t>DeHandro Hayden, BS</w:t>
            </w:r>
            <w:r w:rsidRPr="005D4222">
              <w:rPr>
                <w:rFonts w:cs="Arial"/>
                <w:b/>
                <w:szCs w:val="21"/>
              </w:rPr>
              <w:br/>
            </w:r>
            <w:r w:rsidRPr="005D4222">
              <w:rPr>
                <w:rFonts w:cs="Arial"/>
                <w:szCs w:val="21"/>
              </w:rPr>
              <w:t>American Medical Association</w:t>
            </w:r>
          </w:p>
          <w:p w14:paraId="5A5977E8" w14:textId="77777777" w:rsidR="001223E4" w:rsidRPr="005D4222" w:rsidRDefault="001223E4" w:rsidP="00A53E8C">
            <w:pPr>
              <w:pStyle w:val="Body"/>
              <w:spacing w:before="120"/>
              <w:rPr>
                <w:rFonts w:cs="Arial"/>
                <w:szCs w:val="21"/>
              </w:rPr>
            </w:pPr>
            <w:r w:rsidRPr="005D4222">
              <w:rPr>
                <w:rFonts w:cs="Arial"/>
                <w:b/>
                <w:bCs/>
                <w:szCs w:val="21"/>
              </w:rPr>
              <w:t xml:space="preserve">Patience Hoag, </w:t>
            </w:r>
            <w:r w:rsidRPr="005D4222">
              <w:rPr>
                <w:rFonts w:cs="Arial"/>
                <w:b/>
                <w:szCs w:val="21"/>
              </w:rPr>
              <w:t>CPHQ, CHCA</w:t>
            </w:r>
            <w:r w:rsidRPr="005D4222">
              <w:rPr>
                <w:rFonts w:cs="Arial"/>
                <w:b/>
                <w:szCs w:val="21"/>
              </w:rPr>
              <w:br/>
            </w:r>
            <w:r w:rsidRPr="005D4222">
              <w:rPr>
                <w:rFonts w:cs="Arial"/>
                <w:szCs w:val="21"/>
              </w:rPr>
              <w:t>MetaStar, Inc.</w:t>
            </w:r>
          </w:p>
          <w:p w14:paraId="3559DB4B" w14:textId="77777777" w:rsidR="001223E4" w:rsidRPr="005D4222" w:rsidRDefault="001223E4" w:rsidP="00A53E8C">
            <w:pPr>
              <w:spacing w:before="120"/>
              <w:rPr>
                <w:rFonts w:cs="Arial"/>
                <w:b/>
                <w:szCs w:val="21"/>
              </w:rPr>
            </w:pPr>
            <w:r w:rsidRPr="005D4222">
              <w:rPr>
                <w:rFonts w:cs="Arial"/>
                <w:b/>
                <w:szCs w:val="21"/>
              </w:rPr>
              <w:t>Tammy Love, MSHI, RHIA, CCS, CDIP</w:t>
            </w:r>
            <w:r w:rsidRPr="005D4222">
              <w:rPr>
                <w:rFonts w:cs="Arial"/>
                <w:b/>
                <w:szCs w:val="21"/>
              </w:rPr>
              <w:br/>
            </w:r>
            <w:r w:rsidRPr="005D4222">
              <w:rPr>
                <w:rFonts w:cs="Arial"/>
                <w:szCs w:val="21"/>
              </w:rPr>
              <w:t>American Hospital Association</w:t>
            </w:r>
          </w:p>
        </w:tc>
        <w:tc>
          <w:tcPr>
            <w:tcW w:w="5058" w:type="dxa"/>
            <w:tcBorders>
              <w:bottom w:val="nil"/>
            </w:tcBorders>
          </w:tcPr>
          <w:p w14:paraId="533EA82F" w14:textId="77777777" w:rsidR="001223E4" w:rsidRPr="005D4222" w:rsidRDefault="001223E4" w:rsidP="00A53E8C">
            <w:pPr>
              <w:spacing w:before="120"/>
              <w:rPr>
                <w:rFonts w:cs="Arial"/>
                <w:szCs w:val="21"/>
              </w:rPr>
            </w:pPr>
            <w:r w:rsidRPr="005D4222">
              <w:rPr>
                <w:rFonts w:cs="Arial"/>
                <w:b/>
                <w:szCs w:val="21"/>
              </w:rPr>
              <w:t>Alec McLure, MPH, RHIA, CCS-P</w:t>
            </w:r>
            <w:r w:rsidRPr="005D4222">
              <w:rPr>
                <w:rFonts w:cs="Arial"/>
                <w:b/>
                <w:szCs w:val="21"/>
              </w:rPr>
              <w:br/>
            </w:r>
            <w:r w:rsidRPr="005D4222">
              <w:rPr>
                <w:rFonts w:cs="Arial"/>
                <w:szCs w:val="21"/>
              </w:rPr>
              <w:t>Cotiviti</w:t>
            </w:r>
          </w:p>
          <w:p w14:paraId="25C6E80B" w14:textId="77777777" w:rsidR="001223E4" w:rsidRPr="005D4222" w:rsidRDefault="001223E4" w:rsidP="00A53E8C">
            <w:pPr>
              <w:pStyle w:val="Body"/>
              <w:spacing w:before="120"/>
              <w:rPr>
                <w:rFonts w:cs="Arial"/>
                <w:szCs w:val="21"/>
              </w:rPr>
            </w:pPr>
            <w:r w:rsidRPr="005D4222">
              <w:rPr>
                <w:rFonts w:cs="Arial"/>
                <w:b/>
                <w:szCs w:val="21"/>
              </w:rPr>
              <w:t>Craig Thacker, RN, BS</w:t>
            </w:r>
            <w:r w:rsidRPr="005D4222">
              <w:rPr>
                <w:rFonts w:cs="Arial"/>
                <w:b/>
                <w:szCs w:val="21"/>
              </w:rPr>
              <w:br/>
            </w:r>
            <w:r w:rsidRPr="005D4222">
              <w:rPr>
                <w:rFonts w:cs="Arial"/>
                <w:szCs w:val="21"/>
              </w:rPr>
              <w:t>Cigna Healthcare</w:t>
            </w:r>
          </w:p>
          <w:p w14:paraId="5AC0C716" w14:textId="77777777" w:rsidR="001223E4" w:rsidRPr="005D4222" w:rsidRDefault="001223E4" w:rsidP="00A53E8C">
            <w:pPr>
              <w:pStyle w:val="Body"/>
              <w:spacing w:before="120"/>
              <w:rPr>
                <w:rFonts w:cs="Arial"/>
                <w:szCs w:val="21"/>
              </w:rPr>
            </w:pPr>
            <w:r w:rsidRPr="005D4222">
              <w:rPr>
                <w:rFonts w:cs="Arial"/>
                <w:b/>
                <w:bCs/>
              </w:rPr>
              <w:t>Cloua Vang</w:t>
            </w:r>
            <w:r w:rsidRPr="005D4222">
              <w:br/>
              <w:t>Optum</w:t>
            </w:r>
          </w:p>
        </w:tc>
      </w:tr>
    </w:tbl>
    <w:p w14:paraId="62A44EFD" w14:textId="77777777" w:rsidR="001223E4" w:rsidRPr="005D4222" w:rsidRDefault="001223E4" w:rsidP="00F41BC6">
      <w:pPr>
        <w:pStyle w:val="ReverseHead"/>
      </w:pPr>
      <w:r w:rsidRPr="005D4222">
        <w:t>HEDIS Expert Laboratory Panel</w:t>
      </w:r>
    </w:p>
    <w:tbl>
      <w:tblPr>
        <w:tblW w:w="9828" w:type="dxa"/>
        <w:tblLayout w:type="fixed"/>
        <w:tblLook w:val="0000" w:firstRow="0" w:lastRow="0" w:firstColumn="0" w:lastColumn="0" w:noHBand="0" w:noVBand="0"/>
      </w:tblPr>
      <w:tblGrid>
        <w:gridCol w:w="4770"/>
        <w:gridCol w:w="5058"/>
      </w:tblGrid>
      <w:tr w:rsidR="001223E4" w:rsidRPr="005D4222" w14:paraId="2B02FB6A" w14:textId="77777777" w:rsidTr="00A53E8C">
        <w:tc>
          <w:tcPr>
            <w:tcW w:w="4770" w:type="dxa"/>
            <w:tcMar>
              <w:left w:w="0" w:type="dxa"/>
              <w:right w:w="115" w:type="dxa"/>
            </w:tcMar>
          </w:tcPr>
          <w:p w14:paraId="547730C0" w14:textId="77777777" w:rsidR="001223E4" w:rsidRPr="005D4222" w:rsidRDefault="001223E4" w:rsidP="00A53E8C">
            <w:pPr>
              <w:pStyle w:val="Body"/>
              <w:spacing w:before="120"/>
              <w:rPr>
                <w:rFonts w:cs="Arial"/>
                <w:szCs w:val="21"/>
              </w:rPr>
            </w:pPr>
            <w:r w:rsidRPr="005D4222">
              <w:rPr>
                <w:rFonts w:cs="Arial"/>
                <w:b/>
                <w:szCs w:val="21"/>
              </w:rPr>
              <w:t>Pamela Banning, MLS (ASCP)</w:t>
            </w:r>
            <w:r w:rsidRPr="005D4222">
              <w:rPr>
                <w:rFonts w:cs="Arial"/>
                <w:b/>
                <w:szCs w:val="21"/>
              </w:rPr>
              <w:br/>
            </w:r>
            <w:r w:rsidRPr="005D4222">
              <w:rPr>
                <w:rFonts w:cs="Arial"/>
                <w:szCs w:val="21"/>
              </w:rPr>
              <w:t>Solventum Health Information</w:t>
            </w:r>
          </w:p>
          <w:p w14:paraId="7B9624B7" w14:textId="77777777" w:rsidR="001223E4" w:rsidRPr="005D4222" w:rsidRDefault="001223E4" w:rsidP="00A53E8C">
            <w:pPr>
              <w:pStyle w:val="Body"/>
              <w:spacing w:before="120"/>
              <w:rPr>
                <w:rFonts w:cs="Arial"/>
                <w:szCs w:val="21"/>
              </w:rPr>
            </w:pPr>
            <w:r w:rsidRPr="005D4222">
              <w:rPr>
                <w:rFonts w:cs="Arial"/>
                <w:b/>
                <w:szCs w:val="21"/>
              </w:rPr>
              <w:t>William Finn, MD</w:t>
            </w:r>
            <w:r w:rsidRPr="005D4222">
              <w:rPr>
                <w:rFonts w:cs="Arial"/>
                <w:b/>
                <w:szCs w:val="21"/>
              </w:rPr>
              <w:br/>
            </w:r>
            <w:r w:rsidRPr="005D4222">
              <w:rPr>
                <w:rFonts w:cs="Arial"/>
                <w:szCs w:val="21"/>
              </w:rPr>
              <w:t>Joint Venture Hospital Laboratories</w:t>
            </w:r>
          </w:p>
          <w:p w14:paraId="4A0B810F" w14:textId="77777777" w:rsidR="001223E4" w:rsidRPr="005D4222" w:rsidRDefault="001223E4" w:rsidP="00A53E8C">
            <w:pPr>
              <w:pStyle w:val="Body"/>
              <w:spacing w:before="120"/>
              <w:rPr>
                <w:rFonts w:cs="Arial"/>
                <w:b/>
                <w:bCs/>
                <w:szCs w:val="21"/>
              </w:rPr>
            </w:pPr>
            <w:r w:rsidRPr="005D4222">
              <w:rPr>
                <w:rFonts w:cs="Arial"/>
                <w:b/>
                <w:szCs w:val="21"/>
              </w:rPr>
              <w:t>Eza Hafeza, MD</w:t>
            </w:r>
            <w:r w:rsidRPr="005D4222">
              <w:rPr>
                <w:rFonts w:cs="Arial"/>
                <w:b/>
                <w:szCs w:val="21"/>
              </w:rPr>
              <w:br/>
            </w:r>
            <w:r w:rsidRPr="005D4222">
              <w:rPr>
                <w:rFonts w:cs="Arial"/>
                <w:szCs w:val="21"/>
              </w:rPr>
              <w:t>Regenstrief Institute, Inc.</w:t>
            </w:r>
          </w:p>
        </w:tc>
        <w:tc>
          <w:tcPr>
            <w:tcW w:w="5058" w:type="dxa"/>
          </w:tcPr>
          <w:p w14:paraId="3662EA9A" w14:textId="77777777" w:rsidR="001223E4" w:rsidRPr="005D4222" w:rsidRDefault="001223E4" w:rsidP="00A53E8C">
            <w:pPr>
              <w:pStyle w:val="Body"/>
              <w:spacing w:before="120"/>
              <w:rPr>
                <w:rFonts w:cs="Arial"/>
                <w:b/>
                <w:szCs w:val="21"/>
              </w:rPr>
            </w:pPr>
            <w:r w:rsidRPr="005D4222">
              <w:rPr>
                <w:rFonts w:cs="Arial"/>
                <w:b/>
                <w:szCs w:val="21"/>
              </w:rPr>
              <w:t>Barbara Panos, MBA</w:t>
            </w:r>
            <w:r w:rsidRPr="005D4222">
              <w:rPr>
                <w:rFonts w:cs="Arial"/>
                <w:b/>
                <w:szCs w:val="21"/>
              </w:rPr>
              <w:br/>
            </w:r>
            <w:r w:rsidRPr="005D4222">
              <w:rPr>
                <w:rFonts w:cs="Arial"/>
                <w:szCs w:val="21"/>
              </w:rPr>
              <w:t>Cigna</w:t>
            </w:r>
          </w:p>
          <w:p w14:paraId="0BCEDABC" w14:textId="77777777" w:rsidR="001223E4" w:rsidRPr="005D4222" w:rsidRDefault="001223E4" w:rsidP="00A53E8C">
            <w:pPr>
              <w:pStyle w:val="Body"/>
              <w:spacing w:before="120"/>
              <w:rPr>
                <w:rFonts w:cs="Arial"/>
                <w:b/>
                <w:szCs w:val="21"/>
              </w:rPr>
            </w:pPr>
            <w:r w:rsidRPr="005D4222">
              <w:rPr>
                <w:rFonts w:cs="Arial"/>
                <w:b/>
                <w:szCs w:val="21"/>
              </w:rPr>
              <w:t>Jenna Rychert, PhD, D(ABMM)</w:t>
            </w:r>
            <w:r w:rsidRPr="005D4222">
              <w:rPr>
                <w:rFonts w:cs="Arial"/>
                <w:b/>
                <w:szCs w:val="21"/>
              </w:rPr>
              <w:br/>
            </w:r>
            <w:r w:rsidRPr="005D4222">
              <w:rPr>
                <w:rFonts w:cs="Arial"/>
                <w:szCs w:val="21"/>
              </w:rPr>
              <w:t>ARUP Laboratories</w:t>
            </w:r>
            <w:r w:rsidRPr="005D4222">
              <w:rPr>
                <w:rFonts w:cs="Arial"/>
                <w:b/>
                <w:szCs w:val="21"/>
              </w:rPr>
              <w:t xml:space="preserve"> </w:t>
            </w:r>
          </w:p>
          <w:p w14:paraId="19AA0809" w14:textId="77777777" w:rsidR="001223E4" w:rsidRPr="005D4222" w:rsidRDefault="001223E4" w:rsidP="00A53E8C">
            <w:pPr>
              <w:pStyle w:val="Body"/>
              <w:spacing w:before="120"/>
              <w:rPr>
                <w:rFonts w:cs="Arial"/>
                <w:b/>
                <w:szCs w:val="21"/>
              </w:rPr>
            </w:pPr>
            <w:r w:rsidRPr="005D4222">
              <w:rPr>
                <w:rFonts w:cs="Arial"/>
                <w:b/>
                <w:szCs w:val="21"/>
              </w:rPr>
              <w:t>Carl Wierenga MT (ASCP)</w:t>
            </w:r>
            <w:r w:rsidRPr="005D4222">
              <w:rPr>
                <w:rFonts w:cs="Arial"/>
                <w:b/>
                <w:szCs w:val="21"/>
              </w:rPr>
              <w:br/>
            </w:r>
            <w:r w:rsidRPr="005D4222">
              <w:rPr>
                <w:rFonts w:cs="Arial"/>
                <w:szCs w:val="21"/>
              </w:rPr>
              <w:t>Quest Diagnostics Incorporated</w:t>
            </w:r>
          </w:p>
        </w:tc>
      </w:tr>
    </w:tbl>
    <w:p w14:paraId="2C73E98D" w14:textId="77777777" w:rsidR="001223E4" w:rsidRPr="005D4222" w:rsidRDefault="001223E4" w:rsidP="00F41BC6">
      <w:pPr>
        <w:pStyle w:val="ReverseHead"/>
      </w:pPr>
      <w:r w:rsidRPr="005D4222">
        <w:t>HEDIS Expert Pharmacy Panel</w:t>
      </w:r>
    </w:p>
    <w:tbl>
      <w:tblPr>
        <w:tblW w:w="9832" w:type="dxa"/>
        <w:tblInd w:w="30" w:type="dxa"/>
        <w:tblLayout w:type="fixed"/>
        <w:tblLook w:val="0000" w:firstRow="0" w:lastRow="0" w:firstColumn="0" w:lastColumn="0" w:noHBand="0" w:noVBand="0"/>
      </w:tblPr>
      <w:tblGrid>
        <w:gridCol w:w="4740"/>
        <w:gridCol w:w="5092"/>
      </w:tblGrid>
      <w:tr w:rsidR="001223E4" w:rsidRPr="005D4222" w14:paraId="1B81D78D" w14:textId="77777777" w:rsidTr="00A53E8C">
        <w:trPr>
          <w:cantSplit/>
        </w:trPr>
        <w:tc>
          <w:tcPr>
            <w:tcW w:w="4740" w:type="dxa"/>
            <w:tcMar>
              <w:left w:w="0" w:type="dxa"/>
              <w:right w:w="115" w:type="dxa"/>
            </w:tcMar>
          </w:tcPr>
          <w:p w14:paraId="75D38A1B" w14:textId="77777777" w:rsidR="001223E4" w:rsidRPr="005D4222" w:rsidRDefault="001223E4" w:rsidP="00A53E8C">
            <w:pPr>
              <w:pStyle w:val="Body"/>
              <w:spacing w:before="120"/>
              <w:rPr>
                <w:rFonts w:cs="Arial"/>
                <w:b/>
                <w:szCs w:val="21"/>
              </w:rPr>
            </w:pPr>
            <w:r w:rsidRPr="005D4222">
              <w:rPr>
                <w:rFonts w:cs="Arial"/>
                <w:b/>
                <w:szCs w:val="21"/>
              </w:rPr>
              <w:t>Gerry Hobson, RPH</w:t>
            </w:r>
            <w:r w:rsidRPr="005D4222">
              <w:rPr>
                <w:rFonts w:cs="Arial"/>
                <w:b/>
                <w:szCs w:val="21"/>
              </w:rPr>
              <w:br/>
            </w:r>
            <w:r w:rsidRPr="005D4222">
              <w:rPr>
                <w:rFonts w:cs="Arial"/>
                <w:szCs w:val="21"/>
              </w:rPr>
              <w:t>Oracle Health</w:t>
            </w:r>
          </w:p>
        </w:tc>
        <w:tc>
          <w:tcPr>
            <w:tcW w:w="5092" w:type="dxa"/>
            <w:tcBorders>
              <w:bottom w:val="nil"/>
            </w:tcBorders>
          </w:tcPr>
          <w:p w14:paraId="4F661D60" w14:textId="77777777" w:rsidR="001223E4" w:rsidRPr="005D4222" w:rsidRDefault="001223E4" w:rsidP="00A53E8C">
            <w:pPr>
              <w:pStyle w:val="Body"/>
              <w:spacing w:before="120"/>
            </w:pPr>
            <w:r w:rsidRPr="005D4222">
              <w:rPr>
                <w:rFonts w:cs="Arial"/>
                <w:b/>
                <w:szCs w:val="21"/>
              </w:rPr>
              <w:t>Vanessa Campbell, PharmD</w:t>
            </w:r>
            <w:r w:rsidRPr="005D4222">
              <w:rPr>
                <w:rFonts w:cs="Arial"/>
                <w:szCs w:val="21"/>
              </w:rPr>
              <w:br/>
              <w:t>UPMC Health Plan</w:t>
            </w:r>
          </w:p>
        </w:tc>
      </w:tr>
    </w:tbl>
    <w:p w14:paraId="5F36F05F" w14:textId="77777777" w:rsidR="001223E4" w:rsidRPr="005D4222" w:rsidRDefault="001223E4" w:rsidP="00F41BC6">
      <w:pPr>
        <w:pStyle w:val="ReverseHead"/>
      </w:pPr>
      <w:r w:rsidRPr="005D4222">
        <w:t>Immunizations Measurement Advisory Panel</w:t>
      </w:r>
    </w:p>
    <w:tbl>
      <w:tblPr>
        <w:tblW w:w="9847" w:type="dxa"/>
        <w:tblLayout w:type="fixed"/>
        <w:tblLook w:val="0000" w:firstRow="0" w:lastRow="0" w:firstColumn="0" w:lastColumn="0" w:noHBand="0" w:noVBand="0"/>
      </w:tblPr>
      <w:tblGrid>
        <w:gridCol w:w="4770"/>
        <w:gridCol w:w="5077"/>
      </w:tblGrid>
      <w:tr w:rsidR="001223E4" w:rsidRPr="005D4222" w14:paraId="37C8A550" w14:textId="77777777" w:rsidTr="00A53E8C">
        <w:trPr>
          <w:cantSplit/>
        </w:trPr>
        <w:tc>
          <w:tcPr>
            <w:tcW w:w="4770" w:type="dxa"/>
            <w:tcMar>
              <w:left w:w="0" w:type="dxa"/>
              <w:right w:w="115" w:type="dxa"/>
            </w:tcMar>
          </w:tcPr>
          <w:p w14:paraId="59B05689" w14:textId="77777777" w:rsidR="001223E4" w:rsidRPr="005D4222" w:rsidRDefault="001223E4" w:rsidP="00A53E8C">
            <w:pPr>
              <w:pStyle w:val="Body"/>
              <w:tabs>
                <w:tab w:val="left" w:pos="3064"/>
              </w:tabs>
              <w:spacing w:before="120"/>
              <w:rPr>
                <w:rFonts w:cs="Arial"/>
                <w:b/>
                <w:szCs w:val="21"/>
              </w:rPr>
            </w:pPr>
            <w:r w:rsidRPr="005D4222">
              <w:rPr>
                <w:rFonts w:cs="Arial"/>
                <w:b/>
                <w:bCs/>
              </w:rPr>
              <w:t>Katie Crawford</w:t>
            </w:r>
            <w:r w:rsidRPr="005D4222">
              <w:br/>
            </w:r>
            <w:r w:rsidRPr="005D4222">
              <w:rPr>
                <w:rFonts w:cs="Arial"/>
              </w:rPr>
              <w:t>American Cancer Society</w:t>
            </w:r>
          </w:p>
          <w:p w14:paraId="5CF4A06E" w14:textId="77777777" w:rsidR="001223E4" w:rsidRPr="005D4222" w:rsidRDefault="001223E4" w:rsidP="00A53E8C">
            <w:pPr>
              <w:pStyle w:val="Body"/>
              <w:spacing w:before="120" w:line="259" w:lineRule="auto"/>
              <w:rPr>
                <w:rFonts w:cs="Arial"/>
              </w:rPr>
            </w:pPr>
            <w:r w:rsidRPr="005D4222">
              <w:rPr>
                <w:rFonts w:cs="Arial"/>
                <w:b/>
                <w:bCs/>
              </w:rPr>
              <w:t>Matthew Daley, MD</w:t>
            </w:r>
            <w:r w:rsidRPr="005D4222">
              <w:br/>
            </w:r>
            <w:r w:rsidRPr="005D4222">
              <w:rPr>
                <w:rFonts w:cs="Arial"/>
              </w:rPr>
              <w:t>Kaiser Permanente Health Plan</w:t>
            </w:r>
          </w:p>
          <w:p w14:paraId="2FBB93EC" w14:textId="77777777" w:rsidR="001223E4" w:rsidRPr="005D4222" w:rsidRDefault="001223E4" w:rsidP="00A53E8C">
            <w:pPr>
              <w:pStyle w:val="Body"/>
              <w:spacing w:before="120"/>
              <w:rPr>
                <w:rFonts w:cs="Arial"/>
                <w:b/>
                <w:bCs/>
              </w:rPr>
            </w:pPr>
            <w:r w:rsidRPr="005D4222">
              <w:rPr>
                <w:rFonts w:cs="Arial"/>
                <w:b/>
                <w:bCs/>
              </w:rPr>
              <w:t>Mina Khan, MD</w:t>
            </w:r>
            <w:r w:rsidRPr="005D4222">
              <w:br/>
            </w:r>
            <w:r w:rsidRPr="005D4222">
              <w:rPr>
                <w:rFonts w:cs="Arial"/>
              </w:rPr>
              <w:t>Primary Services Blount LLC Red Crescent Clinic</w:t>
            </w:r>
            <w:r w:rsidRPr="005D4222" w:rsidDel="00094CF5">
              <w:rPr>
                <w:rFonts w:cs="Arial"/>
              </w:rPr>
              <w:t xml:space="preserve"> </w:t>
            </w:r>
          </w:p>
          <w:p w14:paraId="4A269728" w14:textId="77777777" w:rsidR="001223E4" w:rsidRPr="005D4222" w:rsidRDefault="001223E4" w:rsidP="00A53E8C">
            <w:pPr>
              <w:pStyle w:val="Body"/>
              <w:spacing w:before="120"/>
              <w:rPr>
                <w:rFonts w:cs="Arial"/>
              </w:rPr>
            </w:pPr>
            <w:r w:rsidRPr="005D4222">
              <w:rPr>
                <w:b/>
              </w:rPr>
              <w:t>Mary Beth Kurilo, MPH, MSW</w:t>
            </w:r>
            <w:r w:rsidRPr="005D4222">
              <w:br/>
              <w:t>American Immunization Registry Association</w:t>
            </w:r>
          </w:p>
          <w:p w14:paraId="4581ABE1" w14:textId="77777777" w:rsidR="001223E4" w:rsidRPr="005D4222" w:rsidRDefault="001223E4" w:rsidP="00A53E8C">
            <w:pPr>
              <w:pStyle w:val="Body"/>
              <w:spacing w:before="120"/>
              <w:rPr>
                <w:rFonts w:cs="Arial"/>
                <w:b/>
                <w:szCs w:val="21"/>
              </w:rPr>
            </w:pPr>
            <w:r w:rsidRPr="005D4222">
              <w:rPr>
                <w:b/>
                <w:bCs/>
              </w:rPr>
              <w:t>Megan Lindley, MPH</w:t>
            </w:r>
            <w:r w:rsidRPr="005D4222">
              <w:br/>
              <w:t>ARISE Branch, Immunization Services CDC</w:t>
            </w:r>
          </w:p>
        </w:tc>
        <w:tc>
          <w:tcPr>
            <w:tcW w:w="5077" w:type="dxa"/>
            <w:tcBorders>
              <w:bottom w:val="nil"/>
            </w:tcBorders>
          </w:tcPr>
          <w:p w14:paraId="1AABA21E" w14:textId="77777777" w:rsidR="001223E4" w:rsidRPr="005D4222" w:rsidRDefault="001223E4" w:rsidP="00A53E8C">
            <w:pPr>
              <w:pStyle w:val="Body"/>
              <w:tabs>
                <w:tab w:val="left" w:pos="3064"/>
              </w:tabs>
              <w:spacing w:before="120"/>
              <w:rPr>
                <w:rFonts w:cs="Arial"/>
              </w:rPr>
            </w:pPr>
            <w:r w:rsidRPr="005D4222">
              <w:rPr>
                <w:rFonts w:cs="Arial"/>
                <w:b/>
                <w:bCs/>
              </w:rPr>
              <w:t>Mark Sawyer, MD</w:t>
            </w:r>
            <w:r w:rsidRPr="005D4222">
              <w:br/>
            </w:r>
            <w:r w:rsidRPr="005D4222">
              <w:rPr>
                <w:rFonts w:cs="Arial"/>
              </w:rPr>
              <w:t>UC San Diego</w:t>
            </w:r>
          </w:p>
          <w:p w14:paraId="45772866" w14:textId="77777777" w:rsidR="001223E4" w:rsidRPr="005D4222" w:rsidRDefault="001223E4" w:rsidP="00A53E8C">
            <w:pPr>
              <w:pStyle w:val="Body"/>
              <w:tabs>
                <w:tab w:val="left" w:pos="3064"/>
              </w:tabs>
              <w:spacing w:before="120"/>
              <w:rPr>
                <w:rFonts w:cs="Arial"/>
                <w:bCs/>
              </w:rPr>
            </w:pPr>
            <w:r w:rsidRPr="005D4222">
              <w:rPr>
                <w:rFonts w:cs="Arial"/>
                <w:b/>
                <w:bCs/>
              </w:rPr>
              <w:t>Angela Shen, ScD, MPH</w:t>
            </w:r>
            <w:r w:rsidRPr="005D4222">
              <w:br/>
            </w:r>
            <w:r w:rsidRPr="005D4222">
              <w:rPr>
                <w:rFonts w:cs="Arial"/>
              </w:rPr>
              <w:t>University of Pennsylvania</w:t>
            </w:r>
          </w:p>
          <w:p w14:paraId="0755A02F" w14:textId="77777777" w:rsidR="001223E4" w:rsidRPr="005D4222" w:rsidRDefault="001223E4" w:rsidP="00A53E8C">
            <w:pPr>
              <w:pStyle w:val="Body"/>
              <w:tabs>
                <w:tab w:val="left" w:pos="3064"/>
              </w:tabs>
              <w:spacing w:before="120"/>
              <w:rPr>
                <w:rFonts w:cs="Arial"/>
              </w:rPr>
            </w:pPr>
            <w:r w:rsidRPr="005D4222">
              <w:rPr>
                <w:b/>
              </w:rPr>
              <w:t>Judy Zerzan-Thul, MD, MPH</w:t>
            </w:r>
            <w:r w:rsidRPr="005D4222">
              <w:br/>
              <w:t>Washington State Health Care Authority</w:t>
            </w:r>
          </w:p>
          <w:p w14:paraId="7AEED75B" w14:textId="77777777" w:rsidR="001223E4" w:rsidRPr="005D4222" w:rsidRDefault="001223E4" w:rsidP="00A53E8C">
            <w:pPr>
              <w:pStyle w:val="Body"/>
              <w:tabs>
                <w:tab w:val="left" w:pos="3064"/>
              </w:tabs>
              <w:spacing w:before="120"/>
              <w:rPr>
                <w:rFonts w:cs="Arial"/>
              </w:rPr>
            </w:pPr>
            <w:r w:rsidRPr="005D4222">
              <w:rPr>
                <w:rFonts w:cs="Arial"/>
                <w:b/>
              </w:rPr>
              <w:t>Jane Zucker, MD, MSc, FIDSA</w:t>
            </w:r>
            <w:r w:rsidRPr="005D4222">
              <w:br/>
            </w:r>
            <w:r w:rsidRPr="005D4222">
              <w:rPr>
                <w:rFonts w:cs="Arial"/>
              </w:rPr>
              <w:t>SUNY Downstate School of Public Health</w:t>
            </w:r>
          </w:p>
        </w:tc>
      </w:tr>
    </w:tbl>
    <w:p w14:paraId="277AAD3B" w14:textId="77777777" w:rsidR="001223E4" w:rsidRPr="005D4222" w:rsidRDefault="001223E4" w:rsidP="00F41BC6">
      <w:pPr>
        <w:pStyle w:val="ReverseHead"/>
      </w:pPr>
      <w:r w:rsidRPr="005D4222">
        <w:t>Osteoporosis Expert Work Group</w:t>
      </w:r>
    </w:p>
    <w:tbl>
      <w:tblPr>
        <w:tblW w:w="9828" w:type="dxa"/>
        <w:tblLayout w:type="fixed"/>
        <w:tblLook w:val="0000" w:firstRow="0" w:lastRow="0" w:firstColumn="0" w:lastColumn="0" w:noHBand="0" w:noVBand="0"/>
      </w:tblPr>
      <w:tblGrid>
        <w:gridCol w:w="4770"/>
        <w:gridCol w:w="5058"/>
      </w:tblGrid>
      <w:tr w:rsidR="001223E4" w:rsidRPr="005D4222" w14:paraId="6CA19F2A" w14:textId="77777777" w:rsidTr="00A53E8C">
        <w:trPr>
          <w:cantSplit/>
        </w:trPr>
        <w:tc>
          <w:tcPr>
            <w:tcW w:w="4770" w:type="dxa"/>
            <w:tcMar>
              <w:left w:w="0" w:type="dxa"/>
              <w:right w:w="115" w:type="dxa"/>
            </w:tcMar>
          </w:tcPr>
          <w:p w14:paraId="285468A2" w14:textId="77777777" w:rsidR="001223E4" w:rsidRPr="005D4222" w:rsidRDefault="001223E4" w:rsidP="00A53E8C">
            <w:pPr>
              <w:pStyle w:val="Body"/>
              <w:spacing w:before="120"/>
              <w:rPr>
                <w:rFonts w:cs="Arial"/>
                <w:b/>
                <w:bCs/>
                <w:szCs w:val="21"/>
              </w:rPr>
            </w:pPr>
            <w:r w:rsidRPr="005D4222">
              <w:rPr>
                <w:rFonts w:cs="Arial"/>
                <w:b/>
                <w:bCs/>
                <w:szCs w:val="21"/>
              </w:rPr>
              <w:t>Carolyn J. Crandall, MD</w:t>
            </w:r>
            <w:r w:rsidRPr="005D4222">
              <w:rPr>
                <w:rFonts w:cs="Arial"/>
                <w:b/>
                <w:bCs/>
                <w:szCs w:val="21"/>
              </w:rPr>
              <w:br/>
            </w:r>
            <w:r w:rsidRPr="005D4222">
              <w:rPr>
                <w:rFonts w:cs="Arial"/>
                <w:szCs w:val="21"/>
              </w:rPr>
              <w:t>University of California, Los Angeles (UCLA)</w:t>
            </w:r>
          </w:p>
          <w:p w14:paraId="493ECB2B" w14:textId="77777777" w:rsidR="001223E4" w:rsidRPr="005D4222" w:rsidRDefault="001223E4" w:rsidP="00A53E8C">
            <w:pPr>
              <w:pStyle w:val="Body"/>
              <w:spacing w:before="100"/>
              <w:rPr>
                <w:rFonts w:cs="Arial"/>
                <w:szCs w:val="21"/>
              </w:rPr>
            </w:pPr>
            <w:r w:rsidRPr="005D4222">
              <w:rPr>
                <w:rFonts w:cs="Arial"/>
                <w:b/>
                <w:szCs w:val="21"/>
              </w:rPr>
              <w:t>Ann E. Kearns, MD, PhD</w:t>
            </w:r>
            <w:r w:rsidRPr="005D4222">
              <w:rPr>
                <w:rFonts w:cs="Arial"/>
                <w:b/>
                <w:szCs w:val="21"/>
              </w:rPr>
              <w:br/>
            </w:r>
            <w:r w:rsidRPr="005D4222">
              <w:rPr>
                <w:rFonts w:cs="Arial"/>
                <w:szCs w:val="21"/>
              </w:rPr>
              <w:t>Mayo Clinic</w:t>
            </w:r>
            <w:r w:rsidRPr="005D4222">
              <w:rPr>
                <w:rFonts w:cs="Arial"/>
                <w:b/>
                <w:szCs w:val="21"/>
              </w:rPr>
              <w:t xml:space="preserve"> </w:t>
            </w:r>
          </w:p>
        </w:tc>
        <w:tc>
          <w:tcPr>
            <w:tcW w:w="5058" w:type="dxa"/>
            <w:tcBorders>
              <w:bottom w:val="nil"/>
            </w:tcBorders>
          </w:tcPr>
          <w:p w14:paraId="090512EE" w14:textId="77777777" w:rsidR="001223E4" w:rsidRPr="005D4222" w:rsidRDefault="001223E4" w:rsidP="00A53E8C">
            <w:pPr>
              <w:tabs>
                <w:tab w:val="left" w:pos="3064"/>
              </w:tabs>
              <w:spacing w:before="120"/>
              <w:rPr>
                <w:rFonts w:cs="Arial"/>
                <w:b/>
                <w:szCs w:val="21"/>
              </w:rPr>
            </w:pPr>
            <w:r w:rsidRPr="005D4222">
              <w:rPr>
                <w:rFonts w:cs="Arial"/>
                <w:b/>
                <w:szCs w:val="21"/>
              </w:rPr>
              <w:t>Kimberly J. Templeton, MD</w:t>
            </w:r>
            <w:r w:rsidRPr="005D4222">
              <w:rPr>
                <w:rFonts w:cs="Arial"/>
                <w:b/>
                <w:szCs w:val="21"/>
              </w:rPr>
              <w:br/>
            </w:r>
            <w:r w:rsidRPr="005D4222">
              <w:rPr>
                <w:rFonts w:cs="Arial"/>
                <w:szCs w:val="21"/>
              </w:rPr>
              <w:t>University of Kansas Medical Center</w:t>
            </w:r>
          </w:p>
          <w:p w14:paraId="22B3F3ED" w14:textId="77777777" w:rsidR="001223E4" w:rsidRPr="005D4222" w:rsidRDefault="001223E4" w:rsidP="00A53E8C">
            <w:pPr>
              <w:pStyle w:val="Body"/>
              <w:spacing w:before="100"/>
              <w:rPr>
                <w:rFonts w:cs="Arial"/>
                <w:szCs w:val="21"/>
              </w:rPr>
            </w:pPr>
            <w:r w:rsidRPr="005D4222">
              <w:rPr>
                <w:rFonts w:cs="Arial"/>
                <w:b/>
                <w:szCs w:val="21"/>
              </w:rPr>
              <w:t xml:space="preserve">Nicole C. Wright, PhD, MPH </w:t>
            </w:r>
            <w:r w:rsidRPr="005D4222">
              <w:rPr>
                <w:rFonts w:cs="Arial"/>
                <w:b/>
                <w:szCs w:val="21"/>
              </w:rPr>
              <w:br/>
            </w:r>
            <w:r w:rsidRPr="005D4222">
              <w:rPr>
                <w:rFonts w:cs="Arial"/>
                <w:szCs w:val="21"/>
              </w:rPr>
              <w:t>University of Alabama at Birmingham</w:t>
            </w:r>
          </w:p>
        </w:tc>
      </w:tr>
    </w:tbl>
    <w:p w14:paraId="0F6406D2" w14:textId="77777777" w:rsidR="001223E4" w:rsidRPr="005D4222" w:rsidRDefault="001223E4" w:rsidP="00F41BC6">
      <w:pPr>
        <w:pStyle w:val="ReverseHead"/>
      </w:pPr>
      <w:r w:rsidRPr="005D4222">
        <w:lastRenderedPageBreak/>
        <w:t>Overuse Measurement Advisory Panel</w:t>
      </w:r>
    </w:p>
    <w:tbl>
      <w:tblPr>
        <w:tblW w:w="9828" w:type="dxa"/>
        <w:tblLayout w:type="fixed"/>
        <w:tblLook w:val="0000" w:firstRow="0" w:lastRow="0" w:firstColumn="0" w:lastColumn="0" w:noHBand="0" w:noVBand="0"/>
      </w:tblPr>
      <w:tblGrid>
        <w:gridCol w:w="4770"/>
        <w:gridCol w:w="5058"/>
      </w:tblGrid>
      <w:tr w:rsidR="001223E4" w:rsidRPr="005D4222" w14:paraId="051E6F2D" w14:textId="77777777" w:rsidTr="00A53E8C">
        <w:trPr>
          <w:cantSplit/>
          <w:trHeight w:val="2673"/>
        </w:trPr>
        <w:tc>
          <w:tcPr>
            <w:tcW w:w="4770" w:type="dxa"/>
            <w:tcBorders>
              <w:bottom w:val="nil"/>
            </w:tcBorders>
            <w:tcMar>
              <w:left w:w="0" w:type="dxa"/>
              <w:right w:w="115" w:type="dxa"/>
            </w:tcMar>
          </w:tcPr>
          <w:p w14:paraId="0B6663CF" w14:textId="77777777" w:rsidR="001223E4" w:rsidRPr="005D4222" w:rsidRDefault="001223E4" w:rsidP="00A53E8C">
            <w:pPr>
              <w:pStyle w:val="Body"/>
              <w:spacing w:before="120"/>
              <w:rPr>
                <w:rFonts w:cs="Arial"/>
                <w:bCs/>
                <w:szCs w:val="21"/>
              </w:rPr>
            </w:pPr>
            <w:r w:rsidRPr="005D4222">
              <w:rPr>
                <w:rFonts w:cs="Arial"/>
                <w:b/>
                <w:szCs w:val="21"/>
              </w:rPr>
              <w:t>Peter J. Ackroyd, RN, BSN</w:t>
            </w:r>
            <w:r w:rsidRPr="005D4222">
              <w:rPr>
                <w:rFonts w:cs="Arial"/>
                <w:b/>
                <w:szCs w:val="21"/>
              </w:rPr>
              <w:br/>
            </w:r>
            <w:r w:rsidRPr="005D4222">
              <w:rPr>
                <w:rFonts w:cs="Arial"/>
                <w:bCs/>
                <w:szCs w:val="21"/>
              </w:rPr>
              <w:t>HealthcareData Company, LLC</w:t>
            </w:r>
          </w:p>
          <w:p w14:paraId="720FB48B" w14:textId="77777777" w:rsidR="001223E4" w:rsidRPr="005D4222" w:rsidRDefault="001223E4" w:rsidP="00A53E8C">
            <w:pPr>
              <w:pStyle w:val="Body"/>
              <w:spacing w:before="120"/>
              <w:rPr>
                <w:rFonts w:cs="Arial"/>
                <w:szCs w:val="21"/>
              </w:rPr>
            </w:pPr>
            <w:r w:rsidRPr="005D4222">
              <w:rPr>
                <w:rFonts w:cs="Arial"/>
                <w:b/>
                <w:szCs w:val="21"/>
              </w:rPr>
              <w:t>Diana SM Buist, PhD, MPH</w:t>
            </w:r>
            <w:r w:rsidRPr="005D4222">
              <w:rPr>
                <w:rFonts w:cs="Arial"/>
                <w:b/>
                <w:szCs w:val="21"/>
              </w:rPr>
              <w:br/>
            </w:r>
            <w:r w:rsidRPr="005D4222">
              <w:rPr>
                <w:rFonts w:cs="Arial"/>
                <w:szCs w:val="21"/>
              </w:rPr>
              <w:t>Group Health Research Institute</w:t>
            </w:r>
          </w:p>
          <w:p w14:paraId="5F8E291D" w14:textId="77777777" w:rsidR="001223E4" w:rsidRPr="005D4222" w:rsidRDefault="001223E4" w:rsidP="00A53E8C">
            <w:pPr>
              <w:pStyle w:val="Body"/>
              <w:spacing w:before="120"/>
              <w:rPr>
                <w:rFonts w:cs="Arial"/>
                <w:szCs w:val="21"/>
              </w:rPr>
            </w:pPr>
            <w:r w:rsidRPr="005D4222">
              <w:rPr>
                <w:rFonts w:cs="Arial"/>
                <w:b/>
                <w:szCs w:val="21"/>
              </w:rPr>
              <w:t>Joseph Chin, MD, MS</w:t>
            </w:r>
            <w:r w:rsidRPr="005D4222">
              <w:rPr>
                <w:rFonts w:cs="Arial"/>
                <w:szCs w:val="21"/>
              </w:rPr>
              <w:br/>
              <w:t>Centers for Medicare and Medicaid Services</w:t>
            </w:r>
          </w:p>
          <w:p w14:paraId="6BCC17AC" w14:textId="77777777" w:rsidR="001223E4" w:rsidRPr="005D4222" w:rsidRDefault="001223E4" w:rsidP="00A53E8C">
            <w:pPr>
              <w:pStyle w:val="Body"/>
              <w:spacing w:before="120"/>
              <w:rPr>
                <w:rFonts w:cs="Arial"/>
                <w:szCs w:val="21"/>
              </w:rPr>
            </w:pPr>
            <w:r w:rsidRPr="005D4222">
              <w:rPr>
                <w:rFonts w:cs="Arial"/>
                <w:b/>
                <w:szCs w:val="21"/>
              </w:rPr>
              <w:t>Elizabeth Drye, MD, SM</w:t>
            </w:r>
            <w:r w:rsidRPr="005D4222">
              <w:rPr>
                <w:rFonts w:cs="Arial"/>
                <w:szCs w:val="21"/>
              </w:rPr>
              <w:br/>
              <w:t>Yale/Yale-New Haven Hospital Center for Outcomes Research and Evaluation</w:t>
            </w:r>
          </w:p>
          <w:p w14:paraId="0FB50F08" w14:textId="77777777" w:rsidR="001223E4" w:rsidRPr="005D4222" w:rsidRDefault="001223E4" w:rsidP="00A53E8C">
            <w:pPr>
              <w:pStyle w:val="Body"/>
              <w:spacing w:before="120"/>
              <w:rPr>
                <w:rFonts w:cs="Arial"/>
                <w:szCs w:val="21"/>
              </w:rPr>
            </w:pPr>
            <w:r w:rsidRPr="005D4222">
              <w:rPr>
                <w:rFonts w:cs="Arial"/>
                <w:b/>
                <w:szCs w:val="21"/>
              </w:rPr>
              <w:t>Lynda Flowers</w:t>
            </w:r>
            <w:r w:rsidRPr="005D4222">
              <w:rPr>
                <w:rFonts w:cs="Arial"/>
                <w:b/>
                <w:szCs w:val="21"/>
              </w:rPr>
              <w:br/>
            </w:r>
            <w:r w:rsidRPr="005D4222">
              <w:rPr>
                <w:rFonts w:cs="Arial"/>
                <w:szCs w:val="21"/>
              </w:rPr>
              <w:t>AARP Public Policy Institute</w:t>
            </w:r>
          </w:p>
          <w:p w14:paraId="300E6EF6" w14:textId="77777777" w:rsidR="001223E4" w:rsidRPr="005D4222" w:rsidRDefault="001223E4" w:rsidP="00A53E8C">
            <w:pPr>
              <w:pStyle w:val="Body"/>
              <w:spacing w:before="120"/>
              <w:rPr>
                <w:rFonts w:cs="Arial"/>
                <w:szCs w:val="21"/>
              </w:rPr>
            </w:pPr>
            <w:r w:rsidRPr="005D4222">
              <w:rPr>
                <w:rFonts w:cs="Arial"/>
                <w:b/>
                <w:szCs w:val="21"/>
              </w:rPr>
              <w:t>Eric S. Holmboe, MD</w:t>
            </w:r>
            <w:r w:rsidRPr="005D4222">
              <w:rPr>
                <w:rFonts w:cs="Arial"/>
                <w:b/>
                <w:szCs w:val="21"/>
              </w:rPr>
              <w:br/>
            </w:r>
            <w:r w:rsidRPr="005D4222">
              <w:rPr>
                <w:rFonts w:cs="Arial"/>
                <w:szCs w:val="21"/>
              </w:rPr>
              <w:t xml:space="preserve">Accreditation Council for Graduate </w:t>
            </w:r>
            <w:r w:rsidRPr="005D4222">
              <w:rPr>
                <w:rFonts w:cs="Arial"/>
                <w:szCs w:val="21"/>
              </w:rPr>
              <w:br/>
              <w:t>Medical Education</w:t>
            </w:r>
          </w:p>
        </w:tc>
        <w:tc>
          <w:tcPr>
            <w:tcW w:w="5058" w:type="dxa"/>
            <w:tcBorders>
              <w:bottom w:val="nil"/>
            </w:tcBorders>
          </w:tcPr>
          <w:p w14:paraId="34C3B107" w14:textId="77777777" w:rsidR="001223E4" w:rsidRPr="005D4222" w:rsidRDefault="001223E4" w:rsidP="00A53E8C">
            <w:pPr>
              <w:pStyle w:val="Body"/>
              <w:spacing w:before="120"/>
              <w:rPr>
                <w:rFonts w:cs="Arial"/>
                <w:szCs w:val="21"/>
              </w:rPr>
            </w:pPr>
            <w:r w:rsidRPr="005D4222">
              <w:rPr>
                <w:rFonts w:cs="Arial"/>
                <w:b/>
                <w:szCs w:val="21"/>
              </w:rPr>
              <w:t xml:space="preserve">Peggy Ketterer, RN, BSN, CHCA </w:t>
            </w:r>
            <w:r w:rsidRPr="005D4222">
              <w:rPr>
                <w:rFonts w:cs="Arial"/>
                <w:b/>
                <w:szCs w:val="21"/>
              </w:rPr>
              <w:br/>
            </w:r>
            <w:r w:rsidRPr="005D4222">
              <w:rPr>
                <w:rFonts w:cs="Arial"/>
                <w:szCs w:val="21"/>
              </w:rPr>
              <w:t>Advent Advisory Group, LLC</w:t>
            </w:r>
          </w:p>
          <w:p w14:paraId="526B3554" w14:textId="77777777" w:rsidR="001223E4" w:rsidRPr="005D4222" w:rsidRDefault="001223E4" w:rsidP="00A53E8C">
            <w:pPr>
              <w:pStyle w:val="Body"/>
              <w:spacing w:before="120"/>
              <w:rPr>
                <w:rFonts w:cs="Arial"/>
                <w:b/>
                <w:szCs w:val="21"/>
              </w:rPr>
            </w:pPr>
            <w:r w:rsidRPr="005D4222">
              <w:rPr>
                <w:rFonts w:cs="Arial"/>
                <w:b/>
                <w:szCs w:val="21"/>
              </w:rPr>
              <w:t xml:space="preserve">Kathleen L. Lester </w:t>
            </w:r>
            <w:r w:rsidRPr="005D4222">
              <w:rPr>
                <w:rFonts w:cs="Arial"/>
                <w:b/>
                <w:szCs w:val="21"/>
              </w:rPr>
              <w:br/>
            </w:r>
            <w:r w:rsidRPr="005D4222">
              <w:rPr>
                <w:rFonts w:cs="Arial"/>
                <w:szCs w:val="21"/>
              </w:rPr>
              <w:t>Cigna-HealthSpring</w:t>
            </w:r>
          </w:p>
          <w:p w14:paraId="75E9C4E8" w14:textId="77777777" w:rsidR="001223E4" w:rsidRPr="005D4222" w:rsidRDefault="001223E4" w:rsidP="00A53E8C">
            <w:pPr>
              <w:pStyle w:val="Body"/>
              <w:spacing w:before="120"/>
              <w:rPr>
                <w:rFonts w:cs="Arial"/>
                <w:b/>
                <w:szCs w:val="21"/>
              </w:rPr>
            </w:pPr>
            <w:r w:rsidRPr="005D4222">
              <w:rPr>
                <w:rFonts w:cs="Arial"/>
                <w:b/>
                <w:szCs w:val="21"/>
              </w:rPr>
              <w:t>Patricia D. McDermott, RN</w:t>
            </w:r>
            <w:r w:rsidRPr="005D4222">
              <w:rPr>
                <w:rFonts w:cs="Arial"/>
                <w:szCs w:val="21"/>
              </w:rPr>
              <w:br/>
              <w:t>Aetna</w:t>
            </w:r>
          </w:p>
          <w:p w14:paraId="2433FFFA" w14:textId="77777777" w:rsidR="001223E4" w:rsidRPr="005D4222" w:rsidRDefault="001223E4" w:rsidP="00A53E8C">
            <w:pPr>
              <w:pStyle w:val="Body"/>
              <w:spacing w:before="120"/>
              <w:rPr>
                <w:rFonts w:cs="Arial"/>
                <w:b/>
                <w:szCs w:val="21"/>
              </w:rPr>
            </w:pPr>
            <w:r w:rsidRPr="005D4222">
              <w:rPr>
                <w:rFonts w:cs="Arial"/>
                <w:b/>
                <w:szCs w:val="21"/>
              </w:rPr>
              <w:t>Gregory Pawlson, MD, MPH</w:t>
            </w:r>
            <w:r w:rsidRPr="005D4222">
              <w:rPr>
                <w:rFonts w:cs="Arial"/>
                <w:b/>
                <w:szCs w:val="21"/>
              </w:rPr>
              <w:br/>
            </w:r>
            <w:r w:rsidRPr="005D4222">
              <w:rPr>
                <w:rFonts w:cs="Arial"/>
                <w:snapToGrid w:val="0"/>
                <w:szCs w:val="21"/>
              </w:rPr>
              <w:t xml:space="preserve">P&amp;M Healthcare Quality Consulting </w:t>
            </w:r>
          </w:p>
          <w:p w14:paraId="79EFF1DC" w14:textId="77777777" w:rsidR="001223E4" w:rsidRPr="005D4222" w:rsidRDefault="001223E4" w:rsidP="00A53E8C">
            <w:pPr>
              <w:pStyle w:val="Body"/>
              <w:spacing w:before="120"/>
              <w:rPr>
                <w:rFonts w:cs="Arial"/>
              </w:rPr>
            </w:pPr>
            <w:r w:rsidRPr="005D4222">
              <w:rPr>
                <w:rFonts w:cs="Arial"/>
                <w:b/>
                <w:szCs w:val="21"/>
              </w:rPr>
              <w:t>Dolores Yanagihara, MPH</w:t>
            </w:r>
            <w:r w:rsidRPr="005D4222">
              <w:rPr>
                <w:rFonts w:cs="Arial"/>
                <w:b/>
                <w:szCs w:val="21"/>
              </w:rPr>
              <w:br/>
            </w:r>
            <w:r w:rsidRPr="005D4222">
              <w:rPr>
                <w:rFonts w:cs="Arial"/>
                <w:szCs w:val="21"/>
              </w:rPr>
              <w:t>Integrated Healthcare Association</w:t>
            </w:r>
          </w:p>
        </w:tc>
      </w:tr>
    </w:tbl>
    <w:p w14:paraId="7B9BB456" w14:textId="77777777" w:rsidR="001223E4" w:rsidRPr="005D4222" w:rsidRDefault="001223E4" w:rsidP="00F41BC6">
      <w:pPr>
        <w:pStyle w:val="ReverseHead"/>
      </w:pPr>
      <w:r w:rsidRPr="005D4222">
        <w:t>Pain Expert Work Group</w:t>
      </w:r>
    </w:p>
    <w:tbl>
      <w:tblPr>
        <w:tblW w:w="9828" w:type="dxa"/>
        <w:tblLayout w:type="fixed"/>
        <w:tblLook w:val="0000" w:firstRow="0" w:lastRow="0" w:firstColumn="0" w:lastColumn="0" w:noHBand="0" w:noVBand="0"/>
      </w:tblPr>
      <w:tblGrid>
        <w:gridCol w:w="4770"/>
        <w:gridCol w:w="5058"/>
      </w:tblGrid>
      <w:tr w:rsidR="001223E4" w:rsidRPr="005D4222" w14:paraId="53485A72" w14:textId="77777777" w:rsidTr="00A53E8C">
        <w:trPr>
          <w:cantSplit/>
        </w:trPr>
        <w:tc>
          <w:tcPr>
            <w:tcW w:w="4770" w:type="dxa"/>
            <w:tcBorders>
              <w:bottom w:val="nil"/>
            </w:tcBorders>
            <w:tcMar>
              <w:left w:w="0" w:type="dxa"/>
              <w:right w:w="115" w:type="dxa"/>
            </w:tcMar>
          </w:tcPr>
          <w:p w14:paraId="1F6240C7" w14:textId="77777777" w:rsidR="001223E4" w:rsidRPr="005D4222" w:rsidRDefault="001223E4" w:rsidP="00A53E8C">
            <w:pPr>
              <w:pStyle w:val="Body"/>
              <w:spacing w:before="120"/>
              <w:rPr>
                <w:rFonts w:cs="Arial"/>
                <w:bCs/>
                <w:szCs w:val="21"/>
              </w:rPr>
            </w:pPr>
            <w:r w:rsidRPr="005D4222">
              <w:rPr>
                <w:rFonts w:cs="Arial"/>
                <w:b/>
                <w:szCs w:val="21"/>
              </w:rPr>
              <w:t>Keela Herr, PhD, RN</w:t>
            </w:r>
            <w:r w:rsidRPr="005D4222">
              <w:rPr>
                <w:rFonts w:cs="Arial"/>
                <w:b/>
                <w:szCs w:val="21"/>
              </w:rPr>
              <w:br/>
            </w:r>
            <w:r w:rsidRPr="005D4222">
              <w:rPr>
                <w:rFonts w:cs="Arial"/>
                <w:bCs/>
                <w:szCs w:val="21"/>
              </w:rPr>
              <w:t>University of Iowa</w:t>
            </w:r>
          </w:p>
          <w:p w14:paraId="175BDDC0" w14:textId="77777777" w:rsidR="001223E4" w:rsidRPr="005D4222" w:rsidRDefault="001223E4" w:rsidP="00A53E8C">
            <w:pPr>
              <w:pStyle w:val="Body"/>
              <w:spacing w:before="120"/>
              <w:rPr>
                <w:rFonts w:cs="Arial"/>
                <w:szCs w:val="21"/>
              </w:rPr>
            </w:pPr>
            <w:r w:rsidRPr="005D4222">
              <w:rPr>
                <w:rFonts w:cs="Arial"/>
                <w:b/>
                <w:szCs w:val="21"/>
              </w:rPr>
              <w:t>Robert Kerns, PhD</w:t>
            </w:r>
            <w:r w:rsidRPr="005D4222">
              <w:rPr>
                <w:rFonts w:cs="Arial"/>
                <w:b/>
                <w:szCs w:val="21"/>
              </w:rPr>
              <w:br/>
            </w:r>
            <w:r w:rsidRPr="005D4222">
              <w:rPr>
                <w:rFonts w:cs="Arial"/>
                <w:szCs w:val="21"/>
              </w:rPr>
              <w:t>Yale School of Medicine</w:t>
            </w:r>
            <w:r w:rsidRPr="005D4222">
              <w:rPr>
                <w:rFonts w:cs="Arial"/>
                <w:szCs w:val="21"/>
              </w:rPr>
              <w:br/>
              <w:t>Yale University</w:t>
            </w:r>
          </w:p>
          <w:p w14:paraId="3A56BEDB" w14:textId="77777777" w:rsidR="001223E4" w:rsidRPr="005D4222" w:rsidRDefault="001223E4" w:rsidP="00A53E8C">
            <w:pPr>
              <w:pStyle w:val="Body"/>
              <w:spacing w:before="120"/>
              <w:rPr>
                <w:rFonts w:cs="Arial"/>
              </w:rPr>
            </w:pPr>
            <w:r w:rsidRPr="005D4222">
              <w:rPr>
                <w:rFonts w:cs="Arial"/>
                <w:b/>
              </w:rPr>
              <w:t>Jaswinder Legha, MD, MPH</w:t>
            </w:r>
            <w:r w:rsidRPr="005D4222">
              <w:br/>
            </w:r>
            <w:r w:rsidRPr="005D4222">
              <w:rPr>
                <w:rFonts w:cs="Arial"/>
              </w:rPr>
              <w:t>Centers for Disease Control and Prevention</w:t>
            </w:r>
          </w:p>
        </w:tc>
        <w:tc>
          <w:tcPr>
            <w:tcW w:w="5058" w:type="dxa"/>
            <w:tcBorders>
              <w:bottom w:val="nil"/>
            </w:tcBorders>
          </w:tcPr>
          <w:p w14:paraId="2CE4A290" w14:textId="77777777" w:rsidR="001223E4" w:rsidRPr="005D4222" w:rsidRDefault="001223E4" w:rsidP="00A53E8C">
            <w:pPr>
              <w:pStyle w:val="Body"/>
              <w:spacing w:before="120"/>
              <w:rPr>
                <w:rFonts w:cs="Arial"/>
              </w:rPr>
            </w:pPr>
            <w:r w:rsidRPr="005D4222">
              <w:rPr>
                <w:rFonts w:cs="Arial"/>
                <w:b/>
                <w:bCs/>
              </w:rPr>
              <w:t>Ramona Rhodes, MD, MPH</w:t>
            </w:r>
            <w:r w:rsidRPr="005D4222">
              <w:rPr>
                <w:rFonts w:cs="Arial"/>
                <w:b/>
                <w:bCs/>
              </w:rPr>
              <w:br/>
            </w:r>
            <w:r w:rsidRPr="005D4222">
              <w:rPr>
                <w:rFonts w:cs="Arial"/>
              </w:rPr>
              <w:t>UT Southwestern Medical Center</w:t>
            </w:r>
          </w:p>
          <w:p w14:paraId="5A3D4155" w14:textId="77777777" w:rsidR="001223E4" w:rsidRPr="005D4222" w:rsidRDefault="001223E4" w:rsidP="00A53E8C">
            <w:pPr>
              <w:pStyle w:val="Body"/>
              <w:spacing w:before="120"/>
              <w:rPr>
                <w:rFonts w:cs="Arial"/>
              </w:rPr>
            </w:pPr>
            <w:r w:rsidRPr="005D4222">
              <w:rPr>
                <w:rFonts w:cs="Arial"/>
                <w:b/>
                <w:bCs/>
              </w:rPr>
              <w:t>Michael Von Korff, Sc.D.</w:t>
            </w:r>
            <w:r w:rsidRPr="005D4222">
              <w:rPr>
                <w:rFonts w:eastAsiaTheme="minorEastAsia"/>
              </w:rPr>
              <w:br/>
            </w:r>
            <w:r w:rsidRPr="005D4222">
              <w:rPr>
                <w:rFonts w:cs="Arial"/>
              </w:rPr>
              <w:t>Kaiser Permanente Washington Health Research Institute</w:t>
            </w:r>
          </w:p>
          <w:p w14:paraId="7B003D9B" w14:textId="77777777" w:rsidR="001223E4" w:rsidRPr="005D4222" w:rsidRDefault="001223E4" w:rsidP="00A53E8C">
            <w:pPr>
              <w:pStyle w:val="Body"/>
              <w:spacing w:before="120"/>
              <w:rPr>
                <w:rFonts w:cs="Arial"/>
                <w:b/>
              </w:rPr>
            </w:pPr>
            <w:r w:rsidRPr="005D4222">
              <w:rPr>
                <w:rFonts w:cs="Arial"/>
                <w:b/>
                <w:szCs w:val="21"/>
              </w:rPr>
              <w:t>Lisa Walke, MD, MSHA, AGSF</w:t>
            </w:r>
            <w:r w:rsidRPr="005D4222">
              <w:rPr>
                <w:rFonts w:cs="Arial"/>
                <w:b/>
                <w:szCs w:val="21"/>
              </w:rPr>
              <w:br/>
            </w:r>
            <w:r w:rsidRPr="005D4222">
              <w:rPr>
                <w:rFonts w:cs="Arial"/>
                <w:szCs w:val="21"/>
              </w:rPr>
              <w:t>University of Pennsylvania</w:t>
            </w:r>
          </w:p>
        </w:tc>
      </w:tr>
    </w:tbl>
    <w:p w14:paraId="19C29A10" w14:textId="77777777" w:rsidR="001223E4" w:rsidRPr="005D4222" w:rsidRDefault="001223E4" w:rsidP="00F41BC6">
      <w:pPr>
        <w:pStyle w:val="ReverseHead"/>
      </w:pPr>
      <w:r w:rsidRPr="005D4222">
        <w:t>Pregnancy Health Measurement Advisory Panel</w:t>
      </w:r>
    </w:p>
    <w:tbl>
      <w:tblPr>
        <w:tblW w:w="9798" w:type="dxa"/>
        <w:tblInd w:w="30" w:type="dxa"/>
        <w:tblLayout w:type="fixed"/>
        <w:tblLook w:val="0000" w:firstRow="0" w:lastRow="0" w:firstColumn="0" w:lastColumn="0" w:noHBand="0" w:noVBand="0"/>
      </w:tblPr>
      <w:tblGrid>
        <w:gridCol w:w="4740"/>
        <w:gridCol w:w="5058"/>
      </w:tblGrid>
      <w:tr w:rsidR="001223E4" w:rsidRPr="005D4222" w14:paraId="3DD688C4" w14:textId="77777777" w:rsidTr="00A53E8C">
        <w:trPr>
          <w:cantSplit/>
        </w:trPr>
        <w:tc>
          <w:tcPr>
            <w:tcW w:w="4740" w:type="dxa"/>
            <w:tcMar>
              <w:left w:w="0" w:type="dxa"/>
              <w:right w:w="115" w:type="dxa"/>
            </w:tcMar>
          </w:tcPr>
          <w:p w14:paraId="599D18B3" w14:textId="77777777" w:rsidR="001223E4" w:rsidRPr="005D4222" w:rsidRDefault="001223E4" w:rsidP="00A53E8C">
            <w:pPr>
              <w:pStyle w:val="Body"/>
              <w:spacing w:before="120"/>
              <w:rPr>
                <w:rFonts w:cs="Arial"/>
                <w:szCs w:val="21"/>
              </w:rPr>
            </w:pPr>
            <w:r w:rsidRPr="005D4222">
              <w:rPr>
                <w:rFonts w:cs="Arial"/>
                <w:b/>
                <w:szCs w:val="21"/>
              </w:rPr>
              <w:t>Liz Abbott, MPH</w:t>
            </w:r>
            <w:r w:rsidRPr="005D4222">
              <w:rPr>
                <w:rFonts w:cs="Arial"/>
                <w:b/>
                <w:szCs w:val="21"/>
              </w:rPr>
              <w:br/>
            </w:r>
            <w:r w:rsidRPr="005D4222">
              <w:rPr>
                <w:rFonts w:cs="Arial"/>
                <w:szCs w:val="21"/>
              </w:rPr>
              <w:t xml:space="preserve">American Immunization Registry Association </w:t>
            </w:r>
          </w:p>
          <w:p w14:paraId="7AC97067" w14:textId="77777777" w:rsidR="001223E4" w:rsidRPr="005D4222" w:rsidRDefault="001223E4" w:rsidP="00A53E8C">
            <w:pPr>
              <w:pStyle w:val="Body"/>
              <w:spacing w:before="120"/>
              <w:rPr>
                <w:rFonts w:cs="Arial"/>
                <w:szCs w:val="21"/>
              </w:rPr>
            </w:pPr>
            <w:r w:rsidRPr="005D4222">
              <w:rPr>
                <w:rFonts w:cs="Arial"/>
                <w:b/>
                <w:szCs w:val="21"/>
              </w:rPr>
              <w:t>Margie Bridges, DNP, ARNP-BC, RNC-OB</w:t>
            </w:r>
            <w:r w:rsidRPr="005D4222">
              <w:rPr>
                <w:rFonts w:cs="Arial"/>
                <w:b/>
                <w:szCs w:val="21"/>
              </w:rPr>
              <w:br/>
            </w:r>
            <w:r w:rsidRPr="005D4222">
              <w:rPr>
                <w:rFonts w:cs="Arial"/>
                <w:szCs w:val="21"/>
              </w:rPr>
              <w:t>Association of Women’s Health, Obstetric and Neonatal Nurses</w:t>
            </w:r>
          </w:p>
          <w:p w14:paraId="1CEA1668" w14:textId="77777777" w:rsidR="001223E4" w:rsidRPr="005D4222" w:rsidRDefault="001223E4" w:rsidP="00A53E8C">
            <w:pPr>
              <w:pStyle w:val="Body"/>
              <w:spacing w:before="120"/>
              <w:rPr>
                <w:rFonts w:cs="Arial"/>
                <w:szCs w:val="21"/>
              </w:rPr>
            </w:pPr>
            <w:r w:rsidRPr="005D4222">
              <w:rPr>
                <w:rFonts w:cs="Arial"/>
                <w:b/>
                <w:szCs w:val="21"/>
              </w:rPr>
              <w:t>Howard Minkoff, MD, FACOG</w:t>
            </w:r>
            <w:r w:rsidRPr="005D4222">
              <w:rPr>
                <w:rFonts w:cs="Arial"/>
                <w:b/>
                <w:szCs w:val="21"/>
              </w:rPr>
              <w:br/>
            </w:r>
            <w:r w:rsidRPr="005D4222">
              <w:rPr>
                <w:rFonts w:cs="Arial"/>
                <w:szCs w:val="21"/>
              </w:rPr>
              <w:t>Maimonides Medical Center</w:t>
            </w:r>
          </w:p>
        </w:tc>
        <w:tc>
          <w:tcPr>
            <w:tcW w:w="5058" w:type="dxa"/>
            <w:tcBorders>
              <w:bottom w:val="nil"/>
            </w:tcBorders>
          </w:tcPr>
          <w:p w14:paraId="5B6A5857" w14:textId="77777777" w:rsidR="001223E4" w:rsidRPr="005D4222" w:rsidRDefault="001223E4" w:rsidP="00A53E8C">
            <w:pPr>
              <w:pStyle w:val="Body"/>
              <w:tabs>
                <w:tab w:val="left" w:pos="3064"/>
              </w:tabs>
              <w:spacing w:before="120"/>
              <w:rPr>
                <w:rFonts w:cs="Arial"/>
                <w:szCs w:val="21"/>
              </w:rPr>
            </w:pPr>
            <w:r w:rsidRPr="005D4222">
              <w:rPr>
                <w:rFonts w:cs="Arial"/>
                <w:b/>
                <w:szCs w:val="21"/>
              </w:rPr>
              <w:t>Carol Sakala, PhD, MSPH</w:t>
            </w:r>
            <w:r w:rsidRPr="005D4222">
              <w:rPr>
                <w:rFonts w:cs="Arial"/>
                <w:b/>
                <w:szCs w:val="21"/>
              </w:rPr>
              <w:br/>
            </w:r>
            <w:r w:rsidRPr="005D4222">
              <w:rPr>
                <w:rFonts w:cs="Arial"/>
                <w:szCs w:val="21"/>
              </w:rPr>
              <w:t>National Partnership for Women &amp; Families</w:t>
            </w:r>
          </w:p>
          <w:p w14:paraId="19CBE32A" w14:textId="77777777" w:rsidR="001223E4" w:rsidRPr="005D4222" w:rsidRDefault="001223E4" w:rsidP="00A53E8C">
            <w:pPr>
              <w:pStyle w:val="Body"/>
              <w:tabs>
                <w:tab w:val="left" w:pos="3064"/>
              </w:tabs>
              <w:spacing w:before="120"/>
              <w:rPr>
                <w:rFonts w:cs="Arial"/>
                <w:szCs w:val="21"/>
              </w:rPr>
            </w:pPr>
            <w:r w:rsidRPr="005D4222">
              <w:rPr>
                <w:rFonts w:cs="Arial"/>
                <w:b/>
                <w:szCs w:val="21"/>
              </w:rPr>
              <w:t>Judy Zerzan-Thul, MD, MPH</w:t>
            </w:r>
            <w:r w:rsidRPr="005D4222">
              <w:rPr>
                <w:rFonts w:cs="Arial"/>
                <w:b/>
                <w:szCs w:val="21"/>
              </w:rPr>
              <w:br/>
            </w:r>
            <w:r w:rsidRPr="005D4222">
              <w:rPr>
                <w:rFonts w:cs="Arial"/>
                <w:szCs w:val="21"/>
              </w:rPr>
              <w:t>Washington State Health Care Authority</w:t>
            </w:r>
          </w:p>
        </w:tc>
      </w:tr>
    </w:tbl>
    <w:p w14:paraId="6A499E1E" w14:textId="77777777" w:rsidR="001223E4" w:rsidRPr="005D4222" w:rsidRDefault="001223E4" w:rsidP="001223E4">
      <w:pPr>
        <w:spacing w:after="160" w:line="259" w:lineRule="auto"/>
      </w:pPr>
      <w:r w:rsidRPr="005D4222">
        <w:br w:type="page"/>
      </w:r>
    </w:p>
    <w:p w14:paraId="2543D9B7" w14:textId="77777777" w:rsidR="001223E4" w:rsidRPr="005D4222" w:rsidRDefault="001223E4" w:rsidP="00F41BC6">
      <w:pPr>
        <w:pStyle w:val="ReverseHead"/>
      </w:pPr>
      <w:r w:rsidRPr="005D4222">
        <w:lastRenderedPageBreak/>
        <w:t xml:space="preserve">Respiratory Measurement Advisory Panel </w:t>
      </w:r>
    </w:p>
    <w:tbl>
      <w:tblPr>
        <w:tblW w:w="9828" w:type="dxa"/>
        <w:tblLayout w:type="fixed"/>
        <w:tblLook w:val="0000" w:firstRow="0" w:lastRow="0" w:firstColumn="0" w:lastColumn="0" w:noHBand="0" w:noVBand="0"/>
      </w:tblPr>
      <w:tblGrid>
        <w:gridCol w:w="4770"/>
        <w:gridCol w:w="5058"/>
      </w:tblGrid>
      <w:tr w:rsidR="001223E4" w:rsidRPr="005D4222" w14:paraId="4CC9B6AC" w14:textId="77777777" w:rsidTr="00A53E8C">
        <w:trPr>
          <w:cantSplit/>
        </w:trPr>
        <w:tc>
          <w:tcPr>
            <w:tcW w:w="4770" w:type="dxa"/>
            <w:tcBorders>
              <w:bottom w:val="nil"/>
            </w:tcBorders>
            <w:tcMar>
              <w:left w:w="0" w:type="dxa"/>
              <w:right w:w="115" w:type="dxa"/>
            </w:tcMar>
          </w:tcPr>
          <w:p w14:paraId="3703FBC7" w14:textId="77777777" w:rsidR="001223E4" w:rsidRPr="005D4222" w:rsidRDefault="001223E4" w:rsidP="00A53E8C">
            <w:pPr>
              <w:pStyle w:val="Body"/>
              <w:spacing w:before="120"/>
              <w:rPr>
                <w:rFonts w:cs="Arial"/>
              </w:rPr>
            </w:pPr>
            <w:r w:rsidRPr="005D4222">
              <w:rPr>
                <w:rFonts w:cs="Arial"/>
                <w:b/>
              </w:rPr>
              <w:t>David Au, MD</w:t>
            </w:r>
            <w:r w:rsidRPr="005D4222">
              <w:rPr>
                <w:rFonts w:cs="Arial"/>
                <w:b/>
                <w:bCs/>
              </w:rPr>
              <w:t xml:space="preserve"> </w:t>
            </w:r>
            <w:r w:rsidRPr="005D4222">
              <w:rPr>
                <w:rFonts w:cs="Arial"/>
                <w:b/>
              </w:rPr>
              <w:t>(Chair)</w:t>
            </w:r>
            <w:r w:rsidRPr="005D4222">
              <w:br/>
            </w:r>
            <w:r w:rsidRPr="005D4222">
              <w:rPr>
                <w:rFonts w:cs="Arial"/>
              </w:rPr>
              <w:t>Veterans Health Administration</w:t>
            </w:r>
          </w:p>
          <w:p w14:paraId="2EDEC0E9" w14:textId="77777777" w:rsidR="001223E4" w:rsidRPr="005D4222" w:rsidRDefault="001223E4" w:rsidP="00A53E8C">
            <w:pPr>
              <w:pStyle w:val="Body"/>
              <w:spacing w:before="120"/>
              <w:rPr>
                <w:rFonts w:cs="Arial"/>
              </w:rPr>
            </w:pPr>
            <w:r w:rsidRPr="005D4222">
              <w:rPr>
                <w:rFonts w:cs="Arial"/>
                <w:b/>
                <w:bCs/>
              </w:rPr>
              <w:t>Ariel Berlinski, MD</w:t>
            </w:r>
            <w:r w:rsidRPr="005D4222">
              <w:rPr>
                <w:rFonts w:eastAsiaTheme="minorEastAsia"/>
              </w:rPr>
              <w:br/>
            </w:r>
            <w:r w:rsidRPr="005D4222">
              <w:rPr>
                <w:rFonts w:cs="Arial"/>
              </w:rPr>
              <w:t>Arkansas Children’s Hospital</w:t>
            </w:r>
          </w:p>
          <w:p w14:paraId="329B664A" w14:textId="77777777" w:rsidR="001223E4" w:rsidRPr="005D4222" w:rsidRDefault="001223E4" w:rsidP="00A53E8C">
            <w:pPr>
              <w:pStyle w:val="Body"/>
              <w:spacing w:before="120"/>
              <w:rPr>
                <w:rFonts w:cs="Arial"/>
              </w:rPr>
            </w:pPr>
            <w:r w:rsidRPr="005D4222">
              <w:rPr>
                <w:rFonts w:cs="Arial"/>
                <w:b/>
                <w:bCs/>
              </w:rPr>
              <w:t>Lisa Cicutto, PhD</w:t>
            </w:r>
            <w:r w:rsidRPr="005D4222">
              <w:br/>
            </w:r>
            <w:r w:rsidRPr="005D4222">
              <w:rPr>
                <w:rFonts w:cs="Arial"/>
              </w:rPr>
              <w:t>National Jewish Health </w:t>
            </w:r>
          </w:p>
          <w:p w14:paraId="0EAFEED7" w14:textId="77777777" w:rsidR="001223E4" w:rsidRPr="005D4222" w:rsidRDefault="001223E4" w:rsidP="00A53E8C">
            <w:pPr>
              <w:pStyle w:val="Body"/>
              <w:spacing w:before="120"/>
              <w:rPr>
                <w:rFonts w:cs="Arial"/>
              </w:rPr>
            </w:pPr>
            <w:r w:rsidRPr="005D4222">
              <w:rPr>
                <w:rFonts w:cs="Arial"/>
                <w:b/>
              </w:rPr>
              <w:t>Kurt Elward, MD</w:t>
            </w:r>
            <w:r w:rsidRPr="005D4222">
              <w:br/>
            </w:r>
            <w:r w:rsidRPr="005D4222">
              <w:rPr>
                <w:rFonts w:cs="Arial"/>
              </w:rPr>
              <w:t>Sentara Health</w:t>
            </w:r>
          </w:p>
          <w:p w14:paraId="0E6A6C4D" w14:textId="77777777" w:rsidR="001223E4" w:rsidRPr="005D4222" w:rsidRDefault="001223E4" w:rsidP="00A53E8C">
            <w:pPr>
              <w:pStyle w:val="Body"/>
              <w:spacing w:before="120"/>
              <w:rPr>
                <w:rFonts w:cs="Arial"/>
              </w:rPr>
            </w:pPr>
            <w:r w:rsidRPr="005D4222">
              <w:rPr>
                <w:rFonts w:cs="Arial"/>
                <w:b/>
              </w:rPr>
              <w:t>Anne Fuhlbrigge, MD</w:t>
            </w:r>
            <w:r w:rsidRPr="005D4222">
              <w:br/>
            </w:r>
            <w:r w:rsidRPr="005D4222">
              <w:rPr>
                <w:rFonts w:cs="Arial"/>
              </w:rPr>
              <w:t>University of Colorado School of Medicine</w:t>
            </w:r>
          </w:p>
          <w:p w14:paraId="23C9704F" w14:textId="77777777" w:rsidR="001223E4" w:rsidRPr="005D4222" w:rsidRDefault="001223E4" w:rsidP="00A53E8C">
            <w:pPr>
              <w:pStyle w:val="Body"/>
              <w:spacing w:before="120"/>
              <w:rPr>
                <w:rFonts w:cs="Arial"/>
              </w:rPr>
            </w:pPr>
            <w:r w:rsidRPr="005D4222">
              <w:rPr>
                <w:rFonts w:cs="Arial"/>
                <w:b/>
              </w:rPr>
              <w:t>Min Joo, MD</w:t>
            </w:r>
            <w:r w:rsidRPr="005D4222">
              <w:br/>
            </w:r>
            <w:r w:rsidRPr="005D4222">
              <w:rPr>
                <w:rFonts w:cs="Arial"/>
              </w:rPr>
              <w:t>University of Illinois, Chicago</w:t>
            </w:r>
          </w:p>
        </w:tc>
        <w:tc>
          <w:tcPr>
            <w:tcW w:w="5058" w:type="dxa"/>
            <w:tcBorders>
              <w:bottom w:val="nil"/>
            </w:tcBorders>
          </w:tcPr>
          <w:p w14:paraId="01E6523B" w14:textId="77777777" w:rsidR="001223E4" w:rsidRPr="005D4222" w:rsidRDefault="001223E4" w:rsidP="00A53E8C">
            <w:pPr>
              <w:pStyle w:val="Body"/>
              <w:spacing w:before="120"/>
              <w:rPr>
                <w:rFonts w:cs="Arial"/>
                <w:b/>
                <w:bCs/>
              </w:rPr>
            </w:pPr>
            <w:r w:rsidRPr="005D4222">
              <w:rPr>
                <w:rFonts w:cs="Arial"/>
                <w:b/>
                <w:bCs/>
              </w:rPr>
              <w:t xml:space="preserve">Njira Lugogo, MD </w:t>
            </w:r>
            <w:r w:rsidRPr="005D4222">
              <w:br/>
              <w:t>University of Michigan</w:t>
            </w:r>
          </w:p>
          <w:p w14:paraId="7BED5881" w14:textId="77777777" w:rsidR="001223E4" w:rsidRPr="005D4222" w:rsidRDefault="001223E4" w:rsidP="00A53E8C">
            <w:pPr>
              <w:pStyle w:val="Body"/>
              <w:spacing w:before="120"/>
              <w:rPr>
                <w:rFonts w:cs="Arial"/>
              </w:rPr>
            </w:pPr>
            <w:r w:rsidRPr="005D4222">
              <w:rPr>
                <w:rFonts w:cs="Arial"/>
                <w:b/>
              </w:rPr>
              <w:t xml:space="preserve">Allan Luskin, MD </w:t>
            </w:r>
            <w:r w:rsidRPr="005D4222">
              <w:br/>
            </w:r>
            <w:r w:rsidRPr="005D4222">
              <w:rPr>
                <w:rFonts w:cs="Arial"/>
              </w:rPr>
              <w:t>University of Wisconsin</w:t>
            </w:r>
          </w:p>
          <w:p w14:paraId="5B693A1C" w14:textId="77777777" w:rsidR="001223E4" w:rsidRPr="005D4222" w:rsidRDefault="001223E4" w:rsidP="00A53E8C">
            <w:pPr>
              <w:pStyle w:val="Body"/>
              <w:spacing w:before="120"/>
              <w:rPr>
                <w:rFonts w:cs="Arial"/>
                <w:bCs/>
              </w:rPr>
            </w:pPr>
            <w:r w:rsidRPr="005D4222">
              <w:rPr>
                <w:rFonts w:cs="Arial"/>
                <w:b/>
                <w:bCs/>
              </w:rPr>
              <w:t>Anne Melzer, MD</w:t>
            </w:r>
            <w:r w:rsidRPr="005D4222">
              <w:rPr>
                <w:rFonts w:eastAsiaTheme="minorEastAsia"/>
              </w:rPr>
              <w:br/>
            </w:r>
            <w:r w:rsidRPr="005D4222">
              <w:t xml:space="preserve">Minneapolis </w:t>
            </w:r>
            <w:r w:rsidRPr="005D4222">
              <w:rPr>
                <w:rFonts w:cs="Arial"/>
                <w:bCs/>
              </w:rPr>
              <w:t xml:space="preserve">VA </w:t>
            </w:r>
            <w:r w:rsidRPr="005D4222">
              <w:rPr>
                <w:rFonts w:cs="Arial"/>
              </w:rPr>
              <w:t>Health Care System</w:t>
            </w:r>
          </w:p>
          <w:p w14:paraId="6EE72EA4" w14:textId="77777777" w:rsidR="001223E4" w:rsidRPr="005D4222" w:rsidRDefault="001223E4" w:rsidP="00A53E8C">
            <w:pPr>
              <w:pStyle w:val="Body"/>
              <w:spacing w:before="120"/>
              <w:rPr>
                <w:rFonts w:cs="Arial"/>
                <w:b/>
                <w:bCs/>
              </w:rPr>
            </w:pPr>
            <w:r w:rsidRPr="005D4222">
              <w:rPr>
                <w:rFonts w:cs="Arial"/>
                <w:b/>
                <w:bCs/>
              </w:rPr>
              <w:t>Judith Quaranta, PhD</w:t>
            </w:r>
            <w:r w:rsidRPr="005D4222">
              <w:br/>
            </w:r>
            <w:r w:rsidRPr="005D4222">
              <w:rPr>
                <w:rFonts w:cs="Arial"/>
              </w:rPr>
              <w:t>Binghamton University</w:t>
            </w:r>
          </w:p>
          <w:p w14:paraId="35F54E0D" w14:textId="77777777" w:rsidR="001223E4" w:rsidRPr="005D4222" w:rsidRDefault="001223E4" w:rsidP="00A53E8C">
            <w:pPr>
              <w:pStyle w:val="Body"/>
              <w:spacing w:before="120"/>
              <w:rPr>
                <w:rFonts w:cs="Arial"/>
              </w:rPr>
            </w:pPr>
            <w:r w:rsidRPr="005D4222">
              <w:rPr>
                <w:rFonts w:cs="Arial"/>
                <w:b/>
                <w:bCs/>
              </w:rPr>
              <w:t>Lori Wilken, PharmD</w:t>
            </w:r>
            <w:r w:rsidRPr="005D4222">
              <w:rPr>
                <w:rFonts w:cs="Arial"/>
                <w:b/>
                <w:bCs/>
              </w:rPr>
              <w:br/>
            </w:r>
            <w:r w:rsidRPr="005D4222">
              <w:rPr>
                <w:rFonts w:cs="Arial"/>
              </w:rPr>
              <w:t>University of Illinois, Chicago</w:t>
            </w:r>
          </w:p>
          <w:p w14:paraId="1EC027F5" w14:textId="77777777" w:rsidR="001223E4" w:rsidRPr="005D4222" w:rsidRDefault="001223E4" w:rsidP="00A53E8C">
            <w:pPr>
              <w:pStyle w:val="Body"/>
              <w:spacing w:before="120"/>
              <w:rPr>
                <w:rFonts w:cs="Arial"/>
              </w:rPr>
            </w:pPr>
            <w:r w:rsidRPr="005D4222">
              <w:rPr>
                <w:rFonts w:cs="Arial"/>
                <w:b/>
                <w:bCs/>
              </w:rPr>
              <w:t>Carol Ziegler, DNP</w:t>
            </w:r>
            <w:r w:rsidRPr="005D4222">
              <w:br/>
            </w:r>
            <w:r w:rsidRPr="005D4222">
              <w:rPr>
                <w:rFonts w:cs="Arial"/>
              </w:rPr>
              <w:t>Vanderbilt University</w:t>
            </w:r>
          </w:p>
        </w:tc>
      </w:tr>
    </w:tbl>
    <w:p w14:paraId="7171C810" w14:textId="77777777" w:rsidR="001223E4" w:rsidRPr="005D4222" w:rsidRDefault="001223E4" w:rsidP="00F41BC6">
      <w:pPr>
        <w:pStyle w:val="ReverseHead"/>
      </w:pPr>
      <w:r w:rsidRPr="005D4222">
        <w:t>SDOH &amp; Health Equity Expert Work Group</w:t>
      </w:r>
    </w:p>
    <w:tbl>
      <w:tblPr>
        <w:tblW w:w="9918" w:type="dxa"/>
        <w:tblInd w:w="-90" w:type="dxa"/>
        <w:tblLayout w:type="fixed"/>
        <w:tblLook w:val="0000" w:firstRow="0" w:lastRow="0" w:firstColumn="0" w:lastColumn="0" w:noHBand="0" w:noVBand="0"/>
      </w:tblPr>
      <w:tblGrid>
        <w:gridCol w:w="4860"/>
        <w:gridCol w:w="5058"/>
      </w:tblGrid>
      <w:tr w:rsidR="001223E4" w:rsidRPr="005D4222" w14:paraId="08686B85" w14:textId="77777777" w:rsidTr="00A53E8C">
        <w:trPr>
          <w:cantSplit/>
        </w:trPr>
        <w:tc>
          <w:tcPr>
            <w:tcW w:w="4860" w:type="dxa"/>
          </w:tcPr>
          <w:p w14:paraId="3514F703" w14:textId="77777777" w:rsidR="001223E4" w:rsidRPr="005D4222" w:rsidRDefault="001223E4" w:rsidP="00A53E8C">
            <w:pPr>
              <w:pStyle w:val="Body"/>
              <w:spacing w:before="120"/>
              <w:rPr>
                <w:rFonts w:cs="Arial"/>
                <w:b/>
                <w:szCs w:val="21"/>
              </w:rPr>
            </w:pPr>
            <w:r w:rsidRPr="005D4222">
              <w:rPr>
                <w:rFonts w:cs="Arial"/>
                <w:b/>
                <w:szCs w:val="21"/>
              </w:rPr>
              <w:t>Andrew C. Anderson, PhD</w:t>
            </w:r>
            <w:r w:rsidRPr="005D4222">
              <w:rPr>
                <w:rFonts w:cs="Arial"/>
                <w:b/>
                <w:szCs w:val="21"/>
              </w:rPr>
              <w:br/>
            </w:r>
            <w:r w:rsidRPr="005D4222">
              <w:rPr>
                <w:rFonts w:cs="Arial"/>
                <w:bCs/>
                <w:szCs w:val="21"/>
              </w:rPr>
              <w:t>Johns Hopkins University</w:t>
            </w:r>
          </w:p>
          <w:p w14:paraId="005508D5" w14:textId="77777777" w:rsidR="001223E4" w:rsidRPr="005D4222" w:rsidRDefault="001223E4" w:rsidP="00A53E8C">
            <w:pPr>
              <w:pStyle w:val="Body"/>
              <w:spacing w:before="120"/>
              <w:rPr>
                <w:rFonts w:cs="Arial"/>
                <w:b/>
                <w:szCs w:val="21"/>
              </w:rPr>
            </w:pPr>
            <w:r w:rsidRPr="005D4222">
              <w:rPr>
                <w:rFonts w:cs="Arial"/>
                <w:b/>
                <w:szCs w:val="21"/>
              </w:rPr>
              <w:t>Eric Beane</w:t>
            </w:r>
            <w:r w:rsidRPr="005D4222">
              <w:rPr>
                <w:rFonts w:cs="Arial"/>
                <w:b/>
                <w:szCs w:val="21"/>
              </w:rPr>
              <w:br/>
            </w:r>
            <w:r w:rsidRPr="005D4222">
              <w:rPr>
                <w:rFonts w:cs="Arial"/>
                <w:bCs/>
                <w:szCs w:val="21"/>
              </w:rPr>
              <w:t>Unite Us</w:t>
            </w:r>
          </w:p>
          <w:p w14:paraId="59408594" w14:textId="77777777" w:rsidR="001223E4" w:rsidRPr="005D4222" w:rsidRDefault="001223E4" w:rsidP="00A53E8C">
            <w:pPr>
              <w:pStyle w:val="Body"/>
              <w:spacing w:before="120"/>
              <w:rPr>
                <w:rFonts w:cs="Arial"/>
                <w:b/>
                <w:szCs w:val="21"/>
              </w:rPr>
            </w:pPr>
            <w:r w:rsidRPr="005D4222">
              <w:rPr>
                <w:rFonts w:cs="Arial"/>
                <w:b/>
                <w:szCs w:val="21"/>
              </w:rPr>
              <w:t>Connie Benton Wolfe, BSW, MA</w:t>
            </w:r>
            <w:r w:rsidRPr="005D4222">
              <w:rPr>
                <w:rFonts w:cs="Arial"/>
                <w:b/>
                <w:szCs w:val="21"/>
              </w:rPr>
              <w:br/>
            </w:r>
            <w:r w:rsidRPr="005D4222">
              <w:rPr>
                <w:rFonts w:cs="Arial"/>
                <w:bCs/>
                <w:szCs w:val="21"/>
              </w:rPr>
              <w:t>Aging &amp; In-Home Services of Northeast Indiana, Inc.</w:t>
            </w:r>
          </w:p>
          <w:p w14:paraId="1B51736F" w14:textId="77777777" w:rsidR="001223E4" w:rsidRPr="005D4222" w:rsidRDefault="001223E4" w:rsidP="00A53E8C">
            <w:pPr>
              <w:pStyle w:val="Body"/>
              <w:spacing w:before="120"/>
              <w:rPr>
                <w:rFonts w:cs="Arial"/>
                <w:b/>
                <w:szCs w:val="21"/>
              </w:rPr>
            </w:pPr>
            <w:r w:rsidRPr="005D4222">
              <w:rPr>
                <w:rFonts w:cs="Arial"/>
                <w:b/>
                <w:szCs w:val="21"/>
              </w:rPr>
              <w:t>April Canetto</w:t>
            </w:r>
            <w:r w:rsidRPr="005D4222">
              <w:rPr>
                <w:rFonts w:cs="Arial"/>
                <w:b/>
                <w:szCs w:val="21"/>
              </w:rPr>
              <w:br/>
            </w:r>
            <w:r w:rsidRPr="005D4222">
              <w:rPr>
                <w:rFonts w:cs="Arial"/>
                <w:szCs w:val="21"/>
              </w:rPr>
              <w:t>Moda Health</w:t>
            </w:r>
          </w:p>
          <w:p w14:paraId="1EC62412" w14:textId="77777777" w:rsidR="001223E4" w:rsidRPr="005D4222" w:rsidRDefault="001223E4" w:rsidP="00A53E8C">
            <w:pPr>
              <w:pStyle w:val="Body"/>
              <w:spacing w:before="120"/>
              <w:rPr>
                <w:rFonts w:cs="Arial"/>
                <w:szCs w:val="21"/>
              </w:rPr>
            </w:pPr>
            <w:r w:rsidRPr="005D4222">
              <w:rPr>
                <w:rFonts w:cs="Arial"/>
                <w:b/>
                <w:szCs w:val="21"/>
              </w:rPr>
              <w:t>Marshall Chin, MD, MPH</w:t>
            </w:r>
            <w:r w:rsidRPr="005D4222">
              <w:rPr>
                <w:rFonts w:cs="Arial"/>
                <w:b/>
                <w:szCs w:val="21"/>
              </w:rPr>
              <w:br/>
            </w:r>
            <w:r w:rsidRPr="005D4222">
              <w:rPr>
                <w:rFonts w:cs="Arial"/>
                <w:szCs w:val="21"/>
              </w:rPr>
              <w:t>University of Chicago</w:t>
            </w:r>
          </w:p>
          <w:p w14:paraId="3262899A" w14:textId="77777777" w:rsidR="001223E4" w:rsidRPr="005D4222" w:rsidRDefault="001223E4" w:rsidP="00A53E8C">
            <w:pPr>
              <w:pStyle w:val="Body"/>
              <w:spacing w:before="120"/>
              <w:rPr>
                <w:rFonts w:cs="Arial"/>
                <w:b/>
                <w:szCs w:val="21"/>
              </w:rPr>
            </w:pPr>
            <w:r w:rsidRPr="005D4222">
              <w:rPr>
                <w:rFonts w:cs="Arial"/>
                <w:b/>
                <w:szCs w:val="21"/>
              </w:rPr>
              <w:t>Nathan Chomilo, MD</w:t>
            </w:r>
            <w:r w:rsidRPr="005D4222">
              <w:rPr>
                <w:rFonts w:cs="Arial"/>
                <w:b/>
                <w:szCs w:val="21"/>
              </w:rPr>
              <w:br/>
            </w:r>
            <w:r w:rsidRPr="005D4222">
              <w:rPr>
                <w:rFonts w:cs="Arial"/>
                <w:bCs/>
                <w:szCs w:val="21"/>
              </w:rPr>
              <w:t>Minnesota Department of Human Services</w:t>
            </w:r>
          </w:p>
          <w:p w14:paraId="0945A23B" w14:textId="77777777" w:rsidR="001223E4" w:rsidRPr="005D4222" w:rsidRDefault="001223E4" w:rsidP="00A53E8C">
            <w:pPr>
              <w:pStyle w:val="Body"/>
              <w:spacing w:before="120"/>
              <w:rPr>
                <w:rFonts w:cs="Arial"/>
                <w:szCs w:val="21"/>
              </w:rPr>
            </w:pPr>
            <w:r w:rsidRPr="005D4222">
              <w:rPr>
                <w:rFonts w:cs="Arial"/>
                <w:b/>
                <w:szCs w:val="21"/>
              </w:rPr>
              <w:t>Rachel Copeland, MSA</w:t>
            </w:r>
            <w:r w:rsidRPr="005D4222">
              <w:rPr>
                <w:rFonts w:cs="Arial"/>
                <w:b/>
                <w:szCs w:val="21"/>
              </w:rPr>
              <w:br/>
            </w:r>
            <w:r w:rsidRPr="005D4222">
              <w:rPr>
                <w:rFonts w:cs="Arial"/>
                <w:bCs/>
                <w:szCs w:val="21"/>
              </w:rPr>
              <w:t xml:space="preserve">Michigan Department of Health and </w:t>
            </w:r>
            <w:r w:rsidRPr="005D4222">
              <w:rPr>
                <w:rFonts w:cs="Arial"/>
                <w:bCs/>
                <w:szCs w:val="21"/>
              </w:rPr>
              <w:br/>
              <w:t>Human Services</w:t>
            </w:r>
          </w:p>
        </w:tc>
        <w:tc>
          <w:tcPr>
            <w:tcW w:w="5058" w:type="dxa"/>
            <w:tcBorders>
              <w:bottom w:val="nil"/>
            </w:tcBorders>
          </w:tcPr>
          <w:p w14:paraId="4F6D5746" w14:textId="77777777" w:rsidR="001223E4" w:rsidRPr="005D4222" w:rsidRDefault="001223E4" w:rsidP="00A53E8C">
            <w:pPr>
              <w:pStyle w:val="Body"/>
              <w:spacing w:before="120"/>
              <w:rPr>
                <w:rFonts w:cs="Arial"/>
                <w:szCs w:val="21"/>
              </w:rPr>
            </w:pPr>
            <w:r w:rsidRPr="005D4222">
              <w:rPr>
                <w:rFonts w:cs="Arial"/>
                <w:b/>
                <w:szCs w:val="21"/>
              </w:rPr>
              <w:t>Stephanie Franklin, MPS</w:t>
            </w:r>
            <w:r w:rsidRPr="005D4222">
              <w:rPr>
                <w:rFonts w:cs="Arial"/>
                <w:szCs w:val="21"/>
              </w:rPr>
              <w:br/>
              <w:t xml:space="preserve">Humana, Inc. </w:t>
            </w:r>
          </w:p>
          <w:p w14:paraId="30B9E7DB" w14:textId="77777777" w:rsidR="001223E4" w:rsidRPr="005D4222" w:rsidRDefault="001223E4" w:rsidP="00A53E8C">
            <w:pPr>
              <w:pStyle w:val="Body"/>
              <w:spacing w:before="120"/>
              <w:rPr>
                <w:rFonts w:cs="Arial"/>
                <w:b/>
                <w:szCs w:val="21"/>
              </w:rPr>
            </w:pPr>
            <w:r w:rsidRPr="005D4222">
              <w:rPr>
                <w:rFonts w:cs="Arial"/>
                <w:b/>
                <w:szCs w:val="21"/>
              </w:rPr>
              <w:t>Alex Keuroghlian, MD, MPH</w:t>
            </w:r>
            <w:r w:rsidRPr="005D4222">
              <w:rPr>
                <w:rFonts w:cs="Arial"/>
                <w:b/>
                <w:szCs w:val="21"/>
              </w:rPr>
              <w:br/>
            </w:r>
            <w:r w:rsidRPr="005D4222">
              <w:rPr>
                <w:rFonts w:cs="Arial"/>
                <w:bCs/>
                <w:szCs w:val="21"/>
              </w:rPr>
              <w:t>Fenway Health</w:t>
            </w:r>
          </w:p>
          <w:p w14:paraId="670084B6" w14:textId="77777777" w:rsidR="001223E4" w:rsidRPr="005D4222" w:rsidRDefault="001223E4" w:rsidP="00A53E8C">
            <w:pPr>
              <w:pStyle w:val="Body"/>
              <w:spacing w:before="120"/>
              <w:rPr>
                <w:rFonts w:cs="Arial"/>
                <w:szCs w:val="21"/>
              </w:rPr>
            </w:pPr>
            <w:r w:rsidRPr="005D4222">
              <w:rPr>
                <w:rFonts w:cs="Arial"/>
                <w:b/>
                <w:szCs w:val="21"/>
              </w:rPr>
              <w:t>Hadi Kharazzi, MD, PhD, FAMIA</w:t>
            </w:r>
            <w:r w:rsidRPr="005D4222">
              <w:rPr>
                <w:rFonts w:cs="Arial"/>
                <w:b/>
                <w:szCs w:val="21"/>
              </w:rPr>
              <w:br/>
            </w:r>
            <w:r w:rsidRPr="005D4222">
              <w:rPr>
                <w:rFonts w:cs="Arial"/>
                <w:szCs w:val="21"/>
              </w:rPr>
              <w:t>Johns Hopkins University</w:t>
            </w:r>
          </w:p>
          <w:p w14:paraId="19F03740" w14:textId="77777777" w:rsidR="001223E4" w:rsidRPr="005D4222" w:rsidRDefault="001223E4" w:rsidP="00A53E8C">
            <w:pPr>
              <w:pStyle w:val="Body"/>
              <w:spacing w:before="120"/>
              <w:rPr>
                <w:rFonts w:cs="Arial"/>
                <w:szCs w:val="21"/>
              </w:rPr>
            </w:pPr>
            <w:r w:rsidRPr="005D4222">
              <w:rPr>
                <w:rFonts w:cs="Arial"/>
                <w:b/>
                <w:szCs w:val="21"/>
              </w:rPr>
              <w:t>Thomas E. Kottke, MD, MSPH</w:t>
            </w:r>
            <w:r w:rsidRPr="005D4222">
              <w:rPr>
                <w:rFonts w:cs="Arial"/>
                <w:b/>
                <w:szCs w:val="21"/>
              </w:rPr>
              <w:br/>
            </w:r>
            <w:r w:rsidRPr="005D4222">
              <w:rPr>
                <w:rFonts w:cs="Arial"/>
                <w:bCs/>
                <w:szCs w:val="21"/>
              </w:rPr>
              <w:t>HealthPartners</w:t>
            </w:r>
          </w:p>
          <w:p w14:paraId="2F8452C4" w14:textId="77777777" w:rsidR="001223E4" w:rsidRPr="005D4222" w:rsidRDefault="001223E4" w:rsidP="00A53E8C">
            <w:pPr>
              <w:pStyle w:val="Body"/>
              <w:spacing w:before="120"/>
              <w:rPr>
                <w:rFonts w:cs="Arial"/>
                <w:bCs/>
                <w:szCs w:val="21"/>
              </w:rPr>
            </w:pPr>
            <w:r w:rsidRPr="005D4222">
              <w:rPr>
                <w:rFonts w:cs="Arial"/>
                <w:b/>
                <w:szCs w:val="21"/>
              </w:rPr>
              <w:t>Samantha Meklir, MPA</w:t>
            </w:r>
            <w:r w:rsidRPr="005D4222">
              <w:rPr>
                <w:rFonts w:cs="Arial"/>
                <w:b/>
                <w:szCs w:val="21"/>
              </w:rPr>
              <w:br/>
            </w:r>
            <w:r w:rsidRPr="005D4222">
              <w:rPr>
                <w:rFonts w:cs="Arial"/>
                <w:bCs/>
                <w:szCs w:val="21"/>
              </w:rPr>
              <w:t>Office of the National Coordinator for Health Information Technology</w:t>
            </w:r>
          </w:p>
          <w:p w14:paraId="0267EBBE" w14:textId="77777777" w:rsidR="001223E4" w:rsidRPr="005D4222" w:rsidRDefault="001223E4" w:rsidP="00A53E8C">
            <w:pPr>
              <w:pStyle w:val="Body"/>
              <w:spacing w:before="120"/>
              <w:rPr>
                <w:rFonts w:cs="Arial"/>
                <w:b/>
                <w:szCs w:val="21"/>
              </w:rPr>
            </w:pPr>
            <w:r w:rsidRPr="005D4222">
              <w:rPr>
                <w:rFonts w:cs="Arial"/>
                <w:b/>
                <w:szCs w:val="21"/>
              </w:rPr>
              <w:t>Latoshia Rouse</w:t>
            </w:r>
            <w:r w:rsidRPr="005D4222">
              <w:rPr>
                <w:rFonts w:cs="Arial"/>
                <w:b/>
                <w:szCs w:val="21"/>
              </w:rPr>
              <w:br/>
            </w:r>
            <w:r w:rsidRPr="005D4222">
              <w:rPr>
                <w:rFonts w:cs="Arial"/>
                <w:bCs/>
                <w:szCs w:val="21"/>
              </w:rPr>
              <w:t>Birth Sisters Doula Services</w:t>
            </w:r>
            <w:r w:rsidRPr="005D4222">
              <w:rPr>
                <w:rFonts w:cs="Arial"/>
                <w:b/>
                <w:szCs w:val="21"/>
              </w:rPr>
              <w:t xml:space="preserve"> </w:t>
            </w:r>
          </w:p>
          <w:p w14:paraId="67CB96E3" w14:textId="77777777" w:rsidR="001223E4" w:rsidRPr="005D4222" w:rsidRDefault="001223E4" w:rsidP="00A53E8C">
            <w:pPr>
              <w:pStyle w:val="Body"/>
              <w:spacing w:before="120"/>
              <w:rPr>
                <w:rFonts w:cs="Arial"/>
                <w:szCs w:val="21"/>
              </w:rPr>
            </w:pPr>
            <w:r w:rsidRPr="005D4222">
              <w:rPr>
                <w:rFonts w:cs="Arial"/>
                <w:b/>
                <w:szCs w:val="21"/>
              </w:rPr>
              <w:t>Rupa Valdez, PhD</w:t>
            </w:r>
            <w:r w:rsidRPr="005D4222">
              <w:rPr>
                <w:rFonts w:cs="Arial"/>
                <w:b/>
                <w:szCs w:val="21"/>
              </w:rPr>
              <w:br/>
            </w:r>
            <w:r w:rsidRPr="005D4222">
              <w:rPr>
                <w:rFonts w:cs="Arial"/>
                <w:bCs/>
                <w:szCs w:val="21"/>
              </w:rPr>
              <w:t>University of Virginia</w:t>
            </w:r>
          </w:p>
        </w:tc>
      </w:tr>
    </w:tbl>
    <w:p w14:paraId="28F18AC2" w14:textId="77777777" w:rsidR="001223E4" w:rsidRPr="005D4222" w:rsidRDefault="001223E4" w:rsidP="001223E4">
      <w:pPr>
        <w:spacing w:after="160" w:line="259" w:lineRule="auto"/>
        <w:rPr>
          <w:b/>
          <w:color w:val="FFFFFF"/>
          <w:sz w:val="22"/>
          <w:szCs w:val="28"/>
        </w:rPr>
      </w:pPr>
      <w:r w:rsidRPr="005D4222">
        <w:br w:type="page"/>
      </w:r>
    </w:p>
    <w:p w14:paraId="55650C37" w14:textId="77777777" w:rsidR="001223E4" w:rsidRPr="005D4222" w:rsidRDefault="001223E4" w:rsidP="00F41BC6">
      <w:pPr>
        <w:pStyle w:val="ReverseHead"/>
      </w:pPr>
      <w:r w:rsidRPr="005D4222">
        <w:lastRenderedPageBreak/>
        <w:t>Technical Measurement Advisory Panel</w:t>
      </w:r>
    </w:p>
    <w:tbl>
      <w:tblPr>
        <w:tblW w:w="9828" w:type="dxa"/>
        <w:tblLayout w:type="fixed"/>
        <w:tblLook w:val="0000" w:firstRow="0" w:lastRow="0" w:firstColumn="0" w:lastColumn="0" w:noHBand="0" w:noVBand="0"/>
      </w:tblPr>
      <w:tblGrid>
        <w:gridCol w:w="4770"/>
        <w:gridCol w:w="5058"/>
      </w:tblGrid>
      <w:tr w:rsidR="001223E4" w:rsidRPr="005D4222" w14:paraId="6967F534" w14:textId="77777777" w:rsidTr="00A53E8C">
        <w:tc>
          <w:tcPr>
            <w:tcW w:w="4770" w:type="dxa"/>
            <w:tcMar>
              <w:left w:w="0" w:type="dxa"/>
              <w:right w:w="115" w:type="dxa"/>
            </w:tcMar>
          </w:tcPr>
          <w:p w14:paraId="20928EB9" w14:textId="77777777" w:rsidR="001223E4" w:rsidRPr="005D4222" w:rsidRDefault="001223E4" w:rsidP="00A53E8C">
            <w:pPr>
              <w:pStyle w:val="Body"/>
              <w:spacing w:before="120"/>
              <w:rPr>
                <w:rFonts w:cs="Arial"/>
                <w:b/>
                <w:szCs w:val="21"/>
              </w:rPr>
            </w:pPr>
            <w:r w:rsidRPr="005D4222">
              <w:rPr>
                <w:rFonts w:cs="Arial"/>
                <w:b/>
                <w:szCs w:val="21"/>
              </w:rPr>
              <w:t>Michael Albornoz, MPH, CHCA</w:t>
            </w:r>
            <w:r w:rsidRPr="005D4222">
              <w:rPr>
                <w:rFonts w:cs="Arial"/>
                <w:b/>
                <w:szCs w:val="21"/>
              </w:rPr>
              <w:br/>
            </w:r>
            <w:r w:rsidRPr="005D4222">
              <w:rPr>
                <w:rFonts w:cs="Arial"/>
                <w:bCs/>
                <w:szCs w:val="21"/>
              </w:rPr>
              <w:t>Blue Shield of California</w:t>
            </w:r>
          </w:p>
          <w:p w14:paraId="317A0289" w14:textId="77777777" w:rsidR="001223E4" w:rsidRPr="005D4222" w:rsidRDefault="001223E4" w:rsidP="00A53E8C">
            <w:pPr>
              <w:pStyle w:val="Body"/>
              <w:spacing w:before="120"/>
              <w:rPr>
                <w:rFonts w:cs="Arial"/>
                <w:szCs w:val="21"/>
              </w:rPr>
            </w:pPr>
            <w:r w:rsidRPr="005D4222">
              <w:rPr>
                <w:rFonts w:cs="Arial"/>
                <w:b/>
                <w:szCs w:val="21"/>
              </w:rPr>
              <w:t>Jennifer Brudnicki, MBA</w:t>
            </w:r>
            <w:r w:rsidRPr="005D4222">
              <w:rPr>
                <w:rFonts w:cs="Arial"/>
                <w:b/>
                <w:szCs w:val="21"/>
              </w:rPr>
              <w:br/>
            </w:r>
            <w:r w:rsidRPr="005D4222">
              <w:rPr>
                <w:rFonts w:cs="Arial"/>
                <w:szCs w:val="21"/>
              </w:rPr>
              <w:t>Inovalon Inc.</w:t>
            </w:r>
          </w:p>
          <w:p w14:paraId="30C00582" w14:textId="77777777" w:rsidR="001223E4" w:rsidRPr="005D4222" w:rsidRDefault="001223E4" w:rsidP="00A53E8C">
            <w:pPr>
              <w:pStyle w:val="Body"/>
              <w:spacing w:before="120"/>
              <w:rPr>
                <w:rFonts w:cs="Arial"/>
                <w:szCs w:val="21"/>
              </w:rPr>
            </w:pPr>
            <w:r w:rsidRPr="005D4222">
              <w:rPr>
                <w:rFonts w:cs="Arial"/>
                <w:b/>
                <w:szCs w:val="21"/>
              </w:rPr>
              <w:t>Lindsay Cogan, PhD, MS</w:t>
            </w:r>
            <w:r w:rsidRPr="005D4222">
              <w:rPr>
                <w:rFonts w:cs="Arial"/>
                <w:b/>
                <w:szCs w:val="21"/>
              </w:rPr>
              <w:br/>
            </w:r>
            <w:r w:rsidRPr="005D4222">
              <w:rPr>
                <w:rFonts w:cs="Arial"/>
                <w:szCs w:val="21"/>
              </w:rPr>
              <w:t>New York State Department of Health</w:t>
            </w:r>
          </w:p>
          <w:p w14:paraId="51A0077E" w14:textId="77777777" w:rsidR="001223E4" w:rsidRPr="005D4222" w:rsidRDefault="001223E4" w:rsidP="00A53E8C">
            <w:pPr>
              <w:pStyle w:val="Body"/>
              <w:spacing w:before="120"/>
              <w:rPr>
                <w:rFonts w:cs="Arial"/>
                <w:szCs w:val="21"/>
              </w:rPr>
            </w:pPr>
            <w:r w:rsidRPr="005D4222">
              <w:rPr>
                <w:rFonts w:cs="Arial"/>
                <w:b/>
                <w:szCs w:val="21"/>
              </w:rPr>
              <w:t>Mike Farina, RPh, MBA</w:t>
            </w:r>
            <w:r w:rsidRPr="005D4222">
              <w:rPr>
                <w:rFonts w:cs="Arial"/>
                <w:szCs w:val="21"/>
              </w:rPr>
              <w:br/>
              <w:t>Capital District Physicians’ Health Plan</w:t>
            </w:r>
          </w:p>
          <w:p w14:paraId="034C609E" w14:textId="77777777" w:rsidR="001223E4" w:rsidRPr="005D4222" w:rsidRDefault="001223E4" w:rsidP="00A53E8C">
            <w:pPr>
              <w:pStyle w:val="Body"/>
              <w:spacing w:before="120"/>
              <w:rPr>
                <w:rFonts w:cs="Arial"/>
                <w:szCs w:val="21"/>
              </w:rPr>
            </w:pPr>
            <w:r w:rsidRPr="005D4222">
              <w:rPr>
                <w:rFonts w:cs="Arial"/>
                <w:b/>
                <w:szCs w:val="21"/>
              </w:rPr>
              <w:t>Matt Flores, MS, RRT, CHCA</w:t>
            </w:r>
            <w:r w:rsidRPr="005D4222">
              <w:rPr>
                <w:rFonts w:cs="Arial"/>
                <w:szCs w:val="21"/>
              </w:rPr>
              <w:br/>
              <w:t>VeriQ Services Inc</w:t>
            </w:r>
          </w:p>
        </w:tc>
        <w:tc>
          <w:tcPr>
            <w:tcW w:w="5058" w:type="dxa"/>
            <w:tcBorders>
              <w:bottom w:val="nil"/>
            </w:tcBorders>
          </w:tcPr>
          <w:p w14:paraId="242339D5" w14:textId="77777777" w:rsidR="001223E4" w:rsidRPr="005D4222" w:rsidRDefault="001223E4" w:rsidP="00A53E8C">
            <w:pPr>
              <w:pStyle w:val="Body"/>
              <w:spacing w:before="120"/>
              <w:rPr>
                <w:rFonts w:cs="Arial"/>
                <w:b/>
                <w:szCs w:val="21"/>
              </w:rPr>
            </w:pPr>
            <w:r w:rsidRPr="005D4222">
              <w:rPr>
                <w:rFonts w:cs="Arial"/>
                <w:b/>
                <w:szCs w:val="21"/>
              </w:rPr>
              <w:t xml:space="preserve">Carlos Hernandez </w:t>
            </w:r>
            <w:r w:rsidRPr="005D4222">
              <w:rPr>
                <w:rFonts w:cs="Arial"/>
                <w:b/>
                <w:szCs w:val="21"/>
              </w:rPr>
              <w:br/>
            </w:r>
            <w:r w:rsidRPr="005D4222">
              <w:rPr>
                <w:rFonts w:cs="Arial"/>
                <w:szCs w:val="21"/>
              </w:rPr>
              <w:t>CenCal Health</w:t>
            </w:r>
            <w:r w:rsidRPr="005D4222" w:rsidDel="0071765C">
              <w:rPr>
                <w:rFonts w:cs="Arial"/>
                <w:b/>
                <w:szCs w:val="21"/>
              </w:rPr>
              <w:t xml:space="preserve"> </w:t>
            </w:r>
          </w:p>
          <w:p w14:paraId="766E6F34" w14:textId="77777777" w:rsidR="001223E4" w:rsidRPr="005D4222" w:rsidRDefault="001223E4" w:rsidP="00A53E8C">
            <w:pPr>
              <w:pStyle w:val="Body"/>
              <w:spacing w:before="120"/>
              <w:rPr>
                <w:rFonts w:cs="Arial"/>
                <w:bCs/>
                <w:szCs w:val="21"/>
              </w:rPr>
            </w:pPr>
            <w:r w:rsidRPr="005D4222">
              <w:rPr>
                <w:rFonts w:cs="Arial"/>
                <w:b/>
                <w:szCs w:val="21"/>
              </w:rPr>
              <w:t>Nikki O’Dell, MS</w:t>
            </w:r>
            <w:r w:rsidRPr="005D4222">
              <w:rPr>
                <w:rFonts w:cs="Arial"/>
                <w:b/>
                <w:szCs w:val="21"/>
              </w:rPr>
              <w:br/>
            </w:r>
            <w:r w:rsidRPr="005D4222">
              <w:rPr>
                <w:rFonts w:cs="Arial"/>
                <w:bCs/>
                <w:szCs w:val="21"/>
              </w:rPr>
              <w:t>Aetna</w:t>
            </w:r>
          </w:p>
          <w:p w14:paraId="05AD1209" w14:textId="77777777" w:rsidR="001223E4" w:rsidRPr="005D4222" w:rsidRDefault="001223E4" w:rsidP="00A53E8C">
            <w:pPr>
              <w:pStyle w:val="Body"/>
              <w:spacing w:before="120"/>
              <w:rPr>
                <w:rFonts w:cs="Arial"/>
                <w:szCs w:val="21"/>
              </w:rPr>
            </w:pPr>
            <w:r w:rsidRPr="005D4222">
              <w:rPr>
                <w:rFonts w:cs="Arial"/>
                <w:b/>
                <w:szCs w:val="21"/>
              </w:rPr>
              <w:t>Virginia (Gigi) Raney, LCSW</w:t>
            </w:r>
            <w:r w:rsidRPr="005D4222">
              <w:rPr>
                <w:rFonts w:cs="Arial"/>
                <w:b/>
                <w:szCs w:val="21"/>
              </w:rPr>
              <w:br/>
            </w:r>
            <w:r w:rsidRPr="005D4222">
              <w:rPr>
                <w:rFonts w:cs="Arial"/>
                <w:szCs w:val="21"/>
              </w:rPr>
              <w:t>Centers for Medicare and Medicaid Services</w:t>
            </w:r>
          </w:p>
          <w:p w14:paraId="5B99855C" w14:textId="77777777" w:rsidR="001223E4" w:rsidRPr="005D4222" w:rsidRDefault="001223E4" w:rsidP="00A53E8C">
            <w:pPr>
              <w:pStyle w:val="Body"/>
              <w:spacing w:before="120"/>
              <w:rPr>
                <w:rFonts w:cs="Arial"/>
                <w:bCs/>
                <w:szCs w:val="21"/>
              </w:rPr>
            </w:pPr>
            <w:r w:rsidRPr="005D4222">
              <w:rPr>
                <w:rFonts w:cs="Arial"/>
                <w:b/>
                <w:bCs/>
                <w:szCs w:val="21"/>
              </w:rPr>
              <w:t>Patrick Smith, MA, CHCA, CHIE</w:t>
            </w:r>
            <w:r w:rsidRPr="005D4222">
              <w:rPr>
                <w:rFonts w:cs="Arial"/>
                <w:b/>
                <w:bCs/>
                <w:szCs w:val="21"/>
              </w:rPr>
              <w:br/>
            </w:r>
            <w:r w:rsidRPr="005D4222">
              <w:rPr>
                <w:rFonts w:cs="Arial"/>
                <w:bCs/>
                <w:szCs w:val="21"/>
              </w:rPr>
              <w:t>Kaiser Permanente</w:t>
            </w:r>
          </w:p>
          <w:p w14:paraId="2B9E0D10" w14:textId="77777777" w:rsidR="001223E4" w:rsidRPr="005D4222" w:rsidRDefault="001223E4" w:rsidP="00A53E8C">
            <w:pPr>
              <w:pStyle w:val="Body"/>
              <w:spacing w:before="120"/>
              <w:rPr>
                <w:rFonts w:cs="Arial"/>
              </w:rPr>
            </w:pPr>
            <w:r w:rsidRPr="005D4222">
              <w:rPr>
                <w:rFonts w:cs="Arial"/>
                <w:b/>
                <w:szCs w:val="21"/>
              </w:rPr>
              <w:t>Anthony Tran, MBA</w:t>
            </w:r>
            <w:r w:rsidRPr="005D4222">
              <w:rPr>
                <w:rFonts w:cs="Arial"/>
                <w:b/>
                <w:szCs w:val="21"/>
              </w:rPr>
              <w:br/>
            </w:r>
            <w:r w:rsidRPr="005D4222">
              <w:rPr>
                <w:rFonts w:cs="Arial"/>
                <w:bCs/>
                <w:szCs w:val="21"/>
              </w:rPr>
              <w:t>UPMC Health Plan</w:t>
            </w:r>
          </w:p>
        </w:tc>
      </w:tr>
    </w:tbl>
    <w:p w14:paraId="5436B64A" w14:textId="77777777" w:rsidR="001223E4" w:rsidRPr="005D4222" w:rsidRDefault="001223E4" w:rsidP="00F41BC6">
      <w:pPr>
        <w:pStyle w:val="ReverseHead"/>
      </w:pPr>
      <w:r w:rsidRPr="005D4222">
        <w:t>Telehealth Expert Panel</w:t>
      </w:r>
    </w:p>
    <w:tbl>
      <w:tblPr>
        <w:tblW w:w="9918" w:type="dxa"/>
        <w:tblInd w:w="-90" w:type="dxa"/>
        <w:tblLayout w:type="fixed"/>
        <w:tblLook w:val="0000" w:firstRow="0" w:lastRow="0" w:firstColumn="0" w:lastColumn="0" w:noHBand="0" w:noVBand="0"/>
      </w:tblPr>
      <w:tblGrid>
        <w:gridCol w:w="4878"/>
        <w:gridCol w:w="5040"/>
      </w:tblGrid>
      <w:tr w:rsidR="001223E4" w:rsidRPr="005D4222" w14:paraId="160A7974" w14:textId="77777777" w:rsidTr="00A53E8C">
        <w:trPr>
          <w:cantSplit/>
        </w:trPr>
        <w:tc>
          <w:tcPr>
            <w:tcW w:w="4878" w:type="dxa"/>
          </w:tcPr>
          <w:p w14:paraId="51FC0C06" w14:textId="77777777" w:rsidR="001223E4" w:rsidRPr="005D4222" w:rsidRDefault="001223E4" w:rsidP="00A53E8C">
            <w:pPr>
              <w:pStyle w:val="Body"/>
              <w:spacing w:before="120"/>
              <w:rPr>
                <w:rFonts w:cs="Arial"/>
                <w:bCs/>
                <w:szCs w:val="21"/>
              </w:rPr>
            </w:pPr>
            <w:r w:rsidRPr="005D4222">
              <w:rPr>
                <w:rFonts w:cs="Arial"/>
                <w:b/>
                <w:bCs/>
                <w:szCs w:val="21"/>
              </w:rPr>
              <w:t>Peter Basch, MD</w:t>
            </w:r>
            <w:r w:rsidRPr="005D4222">
              <w:rPr>
                <w:rFonts w:cs="Arial"/>
                <w:b/>
                <w:bCs/>
                <w:szCs w:val="21"/>
              </w:rPr>
              <w:br/>
            </w:r>
            <w:r w:rsidRPr="005D4222">
              <w:rPr>
                <w:rFonts w:cs="Arial"/>
                <w:bCs/>
                <w:szCs w:val="21"/>
              </w:rPr>
              <w:t>MedStar Health</w:t>
            </w:r>
          </w:p>
          <w:p w14:paraId="4D662589" w14:textId="77777777" w:rsidR="001223E4" w:rsidRPr="005D4222" w:rsidRDefault="001223E4" w:rsidP="00A53E8C">
            <w:pPr>
              <w:pStyle w:val="Body"/>
              <w:spacing w:before="120"/>
              <w:rPr>
                <w:rFonts w:cs="Arial"/>
                <w:bCs/>
                <w:szCs w:val="21"/>
              </w:rPr>
            </w:pPr>
            <w:r w:rsidRPr="005D4222">
              <w:rPr>
                <w:rFonts w:cs="Arial"/>
                <w:b/>
                <w:bCs/>
                <w:szCs w:val="21"/>
              </w:rPr>
              <w:t>Min Joo, MD, MPH</w:t>
            </w:r>
            <w:r w:rsidRPr="005D4222">
              <w:rPr>
                <w:rFonts w:cs="Arial"/>
                <w:b/>
                <w:bCs/>
                <w:szCs w:val="21"/>
              </w:rPr>
              <w:br/>
            </w:r>
            <w:r w:rsidRPr="005D4222">
              <w:rPr>
                <w:rFonts w:cs="Arial"/>
                <w:bCs/>
                <w:szCs w:val="21"/>
              </w:rPr>
              <w:t>University of Illinois Chicago</w:t>
            </w:r>
            <w:r w:rsidRPr="005D4222">
              <w:rPr>
                <w:rFonts w:cs="Arial"/>
                <w:bCs/>
                <w:szCs w:val="21"/>
              </w:rPr>
              <w:br/>
              <w:t xml:space="preserve">Jesse Brown VA Medical Center </w:t>
            </w:r>
          </w:p>
        </w:tc>
        <w:tc>
          <w:tcPr>
            <w:tcW w:w="5040" w:type="dxa"/>
            <w:tcBorders>
              <w:bottom w:val="nil"/>
            </w:tcBorders>
          </w:tcPr>
          <w:p w14:paraId="62BACD10" w14:textId="77777777" w:rsidR="001223E4" w:rsidRPr="005D4222" w:rsidRDefault="001223E4" w:rsidP="00A53E8C">
            <w:pPr>
              <w:pStyle w:val="Body"/>
              <w:spacing w:before="120"/>
              <w:rPr>
                <w:rFonts w:cs="Arial"/>
                <w:szCs w:val="21"/>
              </w:rPr>
            </w:pPr>
            <w:r w:rsidRPr="005D4222">
              <w:rPr>
                <w:rFonts w:cs="Arial"/>
                <w:b/>
                <w:szCs w:val="21"/>
              </w:rPr>
              <w:t>Lewis Levy, MD, FACP</w:t>
            </w:r>
            <w:r w:rsidRPr="005D4222">
              <w:rPr>
                <w:rFonts w:cs="Arial"/>
                <w:b/>
                <w:szCs w:val="21"/>
              </w:rPr>
              <w:br/>
            </w:r>
            <w:r w:rsidRPr="005D4222">
              <w:rPr>
                <w:rFonts w:cs="Arial"/>
                <w:szCs w:val="21"/>
              </w:rPr>
              <w:t>Teladoc, Inc.</w:t>
            </w:r>
          </w:p>
          <w:p w14:paraId="3359C5EA" w14:textId="77777777" w:rsidR="001223E4" w:rsidRPr="005D4222" w:rsidRDefault="001223E4" w:rsidP="00A53E8C">
            <w:pPr>
              <w:pStyle w:val="Body"/>
              <w:spacing w:before="120"/>
              <w:rPr>
                <w:rFonts w:cs="Arial"/>
                <w:szCs w:val="21"/>
              </w:rPr>
            </w:pPr>
            <w:r w:rsidRPr="005D4222">
              <w:rPr>
                <w:rFonts w:cs="Arial"/>
                <w:b/>
                <w:szCs w:val="21"/>
              </w:rPr>
              <w:t>Donna O’Shea, MD, MBA</w:t>
            </w:r>
            <w:r w:rsidRPr="005D4222">
              <w:rPr>
                <w:rFonts w:cs="Arial"/>
                <w:b/>
                <w:szCs w:val="21"/>
              </w:rPr>
              <w:br/>
            </w:r>
            <w:r w:rsidRPr="005D4222">
              <w:rPr>
                <w:rFonts w:cs="Arial"/>
                <w:szCs w:val="21"/>
              </w:rPr>
              <w:t>United Healthcare</w:t>
            </w:r>
          </w:p>
        </w:tc>
      </w:tr>
    </w:tbl>
    <w:p w14:paraId="2AE209A5" w14:textId="77777777" w:rsidR="001223E4" w:rsidRPr="005D4222" w:rsidRDefault="001223E4" w:rsidP="00F41BC6">
      <w:pPr>
        <w:pStyle w:val="ReverseHead"/>
      </w:pPr>
      <w:r w:rsidRPr="005D4222">
        <w:t>Utilization Measurement Advisory Panel</w:t>
      </w:r>
    </w:p>
    <w:tbl>
      <w:tblPr>
        <w:tblW w:w="9810" w:type="dxa"/>
        <w:tblLayout w:type="fixed"/>
        <w:tblLook w:val="0000" w:firstRow="0" w:lastRow="0" w:firstColumn="0" w:lastColumn="0" w:noHBand="0" w:noVBand="0"/>
      </w:tblPr>
      <w:tblGrid>
        <w:gridCol w:w="4727"/>
        <w:gridCol w:w="5083"/>
      </w:tblGrid>
      <w:tr w:rsidR="001223E4" w:rsidRPr="005D4222" w14:paraId="03CB39F1" w14:textId="77777777" w:rsidTr="00A53E8C">
        <w:trPr>
          <w:cantSplit/>
          <w:trHeight w:val="4198"/>
        </w:trPr>
        <w:tc>
          <w:tcPr>
            <w:tcW w:w="4727" w:type="dxa"/>
            <w:tcMar>
              <w:left w:w="0" w:type="dxa"/>
              <w:right w:w="115" w:type="dxa"/>
            </w:tcMar>
          </w:tcPr>
          <w:p w14:paraId="3C98C2C1" w14:textId="77777777" w:rsidR="001223E4" w:rsidRPr="005D4222" w:rsidRDefault="001223E4" w:rsidP="00A53E8C">
            <w:pPr>
              <w:spacing w:before="120"/>
              <w:rPr>
                <w:rFonts w:cs="Arial"/>
              </w:rPr>
            </w:pPr>
            <w:r w:rsidRPr="005D4222">
              <w:rPr>
                <w:rFonts w:cs="Arial"/>
                <w:b/>
                <w:bCs/>
              </w:rPr>
              <w:t>Joshua Ardise, MD, MPH</w:t>
            </w:r>
            <w:r w:rsidRPr="005D4222">
              <w:br/>
            </w:r>
            <w:r w:rsidRPr="005D4222">
              <w:rPr>
                <w:rFonts w:cs="Arial"/>
              </w:rPr>
              <w:t xml:space="preserve">Horizon Blue Cross Blue Shield New Jersey </w:t>
            </w:r>
          </w:p>
          <w:p w14:paraId="4B742859" w14:textId="77777777" w:rsidR="001223E4" w:rsidRPr="005D4222" w:rsidRDefault="001223E4" w:rsidP="00A53E8C">
            <w:pPr>
              <w:spacing w:before="120"/>
              <w:rPr>
                <w:rFonts w:cs="Arial"/>
              </w:rPr>
            </w:pPr>
            <w:r w:rsidRPr="005D4222">
              <w:rPr>
                <w:rFonts w:cs="Arial"/>
                <w:b/>
              </w:rPr>
              <w:t>Arlene Ash, PhD</w:t>
            </w:r>
            <w:r w:rsidRPr="005D4222">
              <w:br/>
            </w:r>
            <w:r w:rsidRPr="005D4222">
              <w:rPr>
                <w:rFonts w:cs="Arial"/>
              </w:rPr>
              <w:t xml:space="preserve">University of Massachusetts Chan Medical School </w:t>
            </w:r>
          </w:p>
          <w:p w14:paraId="423CCE0D" w14:textId="77777777" w:rsidR="001223E4" w:rsidRPr="005D4222" w:rsidRDefault="001223E4" w:rsidP="00A53E8C">
            <w:pPr>
              <w:spacing w:before="120"/>
              <w:rPr>
                <w:b/>
                <w:bCs/>
              </w:rPr>
            </w:pPr>
            <w:r w:rsidRPr="005D4222">
              <w:rPr>
                <w:b/>
                <w:bCs/>
              </w:rPr>
              <w:t>Andrew Ibrahim, MD, MSc</w:t>
            </w:r>
          </w:p>
          <w:p w14:paraId="31B99BE5" w14:textId="77777777" w:rsidR="001223E4" w:rsidRPr="005D4222" w:rsidRDefault="001223E4" w:rsidP="00A53E8C">
            <w:pPr>
              <w:rPr>
                <w:rFonts w:cs="Arial"/>
              </w:rPr>
            </w:pPr>
            <w:r w:rsidRPr="005D4222">
              <w:rPr>
                <w:rFonts w:cs="Arial"/>
              </w:rPr>
              <w:t>University of Michigan Health Plan</w:t>
            </w:r>
          </w:p>
          <w:p w14:paraId="389E6B7F" w14:textId="77777777" w:rsidR="001223E4" w:rsidRPr="005D4222" w:rsidRDefault="001223E4" w:rsidP="00A53E8C">
            <w:pPr>
              <w:pStyle w:val="Body"/>
              <w:spacing w:before="120"/>
              <w:rPr>
                <w:rFonts w:cs="Arial"/>
              </w:rPr>
            </w:pPr>
            <w:r w:rsidRPr="005D4222">
              <w:rPr>
                <w:rFonts w:cs="Arial"/>
                <w:b/>
              </w:rPr>
              <w:t>Jennifer I Lee, MD</w:t>
            </w:r>
            <w:r w:rsidRPr="005D4222">
              <w:rPr>
                <w:rFonts w:cs="Arial"/>
                <w:b/>
              </w:rPr>
              <w:br/>
            </w:r>
            <w:r w:rsidRPr="005D4222">
              <w:t>Weill Cornell Graduate School of Medical Sciences</w:t>
            </w:r>
          </w:p>
          <w:p w14:paraId="308EAFAB" w14:textId="77777777" w:rsidR="001223E4" w:rsidRPr="005D4222" w:rsidRDefault="001223E4" w:rsidP="00A53E8C">
            <w:pPr>
              <w:spacing w:before="120"/>
              <w:rPr>
                <w:rFonts w:cs="Arial"/>
                <w:b/>
                <w:bCs/>
              </w:rPr>
            </w:pPr>
            <w:r w:rsidRPr="005D4222">
              <w:rPr>
                <w:rFonts w:cs="Arial"/>
                <w:b/>
                <w:bCs/>
              </w:rPr>
              <w:t>Lan Liang, PhD</w:t>
            </w:r>
          </w:p>
          <w:p w14:paraId="6CF6065D" w14:textId="77777777" w:rsidR="001223E4" w:rsidRPr="005D4222" w:rsidRDefault="001223E4" w:rsidP="00A53E8C">
            <w:pPr>
              <w:rPr>
                <w:rFonts w:cs="Arial"/>
              </w:rPr>
            </w:pPr>
            <w:r w:rsidRPr="005D4222">
              <w:rPr>
                <w:rFonts w:cs="Arial"/>
              </w:rPr>
              <w:t>Agency for Healthcare Research and Quality</w:t>
            </w:r>
          </w:p>
          <w:p w14:paraId="355F166C" w14:textId="77777777" w:rsidR="001223E4" w:rsidRPr="005D4222" w:rsidRDefault="001223E4" w:rsidP="00A53E8C">
            <w:pPr>
              <w:spacing w:before="120"/>
              <w:rPr>
                <w:rFonts w:cs="Arial"/>
                <w:b/>
                <w:bCs/>
              </w:rPr>
            </w:pPr>
            <w:r w:rsidRPr="005D4222">
              <w:rPr>
                <w:rFonts w:cs="Arial"/>
                <w:b/>
                <w:bCs/>
              </w:rPr>
              <w:t>Vincent Liu, MD, MSc</w:t>
            </w:r>
          </w:p>
          <w:p w14:paraId="1BEBF1CC" w14:textId="77777777" w:rsidR="001223E4" w:rsidRPr="005D4222" w:rsidRDefault="001223E4" w:rsidP="00A53E8C">
            <w:pPr>
              <w:rPr>
                <w:rFonts w:cs="Arial"/>
              </w:rPr>
            </w:pPr>
            <w:r w:rsidRPr="005D4222">
              <w:rPr>
                <w:rFonts w:cs="Arial"/>
              </w:rPr>
              <w:t>The Permanente Medical Group</w:t>
            </w:r>
          </w:p>
        </w:tc>
        <w:tc>
          <w:tcPr>
            <w:tcW w:w="5083" w:type="dxa"/>
          </w:tcPr>
          <w:p w14:paraId="45A7DA4D" w14:textId="77777777" w:rsidR="001223E4" w:rsidRPr="005D4222" w:rsidRDefault="001223E4" w:rsidP="00A53E8C">
            <w:pPr>
              <w:pStyle w:val="Body"/>
              <w:spacing w:before="120"/>
              <w:rPr>
                <w:rFonts w:cs="Arial"/>
                <w:b/>
                <w:szCs w:val="21"/>
              </w:rPr>
            </w:pPr>
            <w:r w:rsidRPr="005D4222">
              <w:rPr>
                <w:rFonts w:cs="Arial"/>
                <w:b/>
                <w:szCs w:val="21"/>
              </w:rPr>
              <w:t>Ranyan Lu, PhD, MD, MBA</w:t>
            </w:r>
          </w:p>
          <w:p w14:paraId="536EA8D8" w14:textId="77777777" w:rsidR="001223E4" w:rsidRPr="005D4222" w:rsidRDefault="001223E4" w:rsidP="00A53E8C">
            <w:pPr>
              <w:pStyle w:val="Body"/>
              <w:spacing w:before="0"/>
              <w:rPr>
                <w:rFonts w:cs="Arial"/>
                <w:b/>
                <w:szCs w:val="21"/>
              </w:rPr>
            </w:pPr>
            <w:r w:rsidRPr="005D4222">
              <w:rPr>
                <w:rFonts w:cs="Arial"/>
                <w:bCs/>
                <w:szCs w:val="21"/>
              </w:rPr>
              <w:t>Horizon Blue Cross Blue Shield New Jersey</w:t>
            </w:r>
          </w:p>
          <w:p w14:paraId="57503D62" w14:textId="77777777" w:rsidR="001223E4" w:rsidRPr="005D4222" w:rsidRDefault="001223E4" w:rsidP="00A53E8C">
            <w:pPr>
              <w:pStyle w:val="Body"/>
              <w:spacing w:before="120"/>
              <w:rPr>
                <w:rFonts w:cs="Arial"/>
                <w:b/>
                <w:szCs w:val="21"/>
              </w:rPr>
            </w:pPr>
            <w:r w:rsidRPr="005D4222">
              <w:rPr>
                <w:rFonts w:cs="Arial"/>
                <w:b/>
                <w:szCs w:val="21"/>
              </w:rPr>
              <w:t>Ravi Parikh, MD, MPP</w:t>
            </w:r>
          </w:p>
          <w:p w14:paraId="3C4FCD6A" w14:textId="77777777" w:rsidR="001223E4" w:rsidRPr="005D4222" w:rsidRDefault="001223E4" w:rsidP="00A53E8C">
            <w:pPr>
              <w:pStyle w:val="Body"/>
              <w:spacing w:before="0"/>
              <w:rPr>
                <w:rFonts w:cs="Arial"/>
                <w:b/>
                <w:szCs w:val="21"/>
              </w:rPr>
            </w:pPr>
            <w:r w:rsidRPr="005D4222">
              <w:rPr>
                <w:rFonts w:cs="Arial"/>
                <w:bCs/>
                <w:szCs w:val="21"/>
              </w:rPr>
              <w:t>Emory University and Winship Cancer Center</w:t>
            </w:r>
            <w:r w:rsidRPr="005D4222">
              <w:rPr>
                <w:rFonts w:cs="Arial"/>
                <w:snapToGrid w:val="0"/>
                <w:szCs w:val="21"/>
              </w:rPr>
              <w:t xml:space="preserve"> </w:t>
            </w:r>
          </w:p>
          <w:p w14:paraId="5C883C2A" w14:textId="77777777" w:rsidR="001223E4" w:rsidRPr="005D4222" w:rsidRDefault="001223E4" w:rsidP="00A53E8C">
            <w:pPr>
              <w:spacing w:before="120"/>
              <w:rPr>
                <w:rFonts w:cs="Arial"/>
                <w:b/>
                <w:szCs w:val="21"/>
              </w:rPr>
            </w:pPr>
            <w:r w:rsidRPr="005D4222">
              <w:rPr>
                <w:rFonts w:cs="Arial"/>
                <w:b/>
                <w:szCs w:val="21"/>
              </w:rPr>
              <w:t>Patrick Romano, MD, MPH</w:t>
            </w:r>
            <w:r w:rsidRPr="005D4222">
              <w:rPr>
                <w:rFonts w:cs="Arial"/>
                <w:b/>
                <w:szCs w:val="21"/>
              </w:rPr>
              <w:br/>
            </w:r>
            <w:r w:rsidRPr="005D4222">
              <w:rPr>
                <w:rFonts w:cs="Arial"/>
                <w:szCs w:val="21"/>
              </w:rPr>
              <w:t>University of California Davis Health</w:t>
            </w:r>
          </w:p>
          <w:p w14:paraId="7178FD3C" w14:textId="77777777" w:rsidR="001223E4" w:rsidRPr="005D4222" w:rsidRDefault="001223E4" w:rsidP="00A53E8C">
            <w:pPr>
              <w:spacing w:before="120"/>
              <w:rPr>
                <w:rFonts w:cs="Arial"/>
                <w:b/>
                <w:szCs w:val="21"/>
              </w:rPr>
            </w:pPr>
            <w:r w:rsidRPr="005D4222">
              <w:rPr>
                <w:rFonts w:cs="Arial"/>
                <w:b/>
                <w:szCs w:val="21"/>
              </w:rPr>
              <w:t>Linette Scott, MD, MPH</w:t>
            </w:r>
          </w:p>
          <w:p w14:paraId="4997C8CE" w14:textId="77777777" w:rsidR="001223E4" w:rsidRPr="005D4222" w:rsidRDefault="001223E4" w:rsidP="00A53E8C">
            <w:pPr>
              <w:rPr>
                <w:rFonts w:cs="Arial"/>
              </w:rPr>
            </w:pPr>
            <w:r w:rsidRPr="005D4222">
              <w:rPr>
                <w:rFonts w:cs="Arial"/>
                <w:bCs/>
                <w:szCs w:val="21"/>
              </w:rPr>
              <w:t>California Department of Health Care Services</w:t>
            </w:r>
          </w:p>
          <w:p w14:paraId="5EFF50CA" w14:textId="77777777" w:rsidR="001223E4" w:rsidRPr="005D4222" w:rsidRDefault="001223E4" w:rsidP="00A53E8C">
            <w:pPr>
              <w:pStyle w:val="Body"/>
              <w:spacing w:before="120"/>
              <w:rPr>
                <w:rFonts w:cs="Arial"/>
              </w:rPr>
            </w:pPr>
            <w:r w:rsidRPr="005D4222">
              <w:rPr>
                <w:rFonts w:cs="Arial"/>
                <w:b/>
                <w:szCs w:val="21"/>
              </w:rPr>
              <w:t>Rishi Wadhera, MD, MPhil, MPP</w:t>
            </w:r>
            <w:r w:rsidRPr="005D4222">
              <w:rPr>
                <w:rFonts w:cs="Arial"/>
                <w:b/>
                <w:szCs w:val="21"/>
              </w:rPr>
              <w:br/>
            </w:r>
            <w:r w:rsidRPr="005D4222">
              <w:rPr>
                <w:rFonts w:cs="Arial"/>
                <w:szCs w:val="21"/>
              </w:rPr>
              <w:t>Beth Israel Deaconess Medical Center</w:t>
            </w:r>
          </w:p>
        </w:tc>
      </w:tr>
    </w:tbl>
    <w:p w14:paraId="267A7CE3" w14:textId="77777777" w:rsidR="001223E4" w:rsidRPr="005D4222" w:rsidRDefault="001223E4" w:rsidP="001223E4">
      <w:pPr>
        <w:tabs>
          <w:tab w:val="left" w:pos="2765"/>
        </w:tabs>
      </w:pPr>
    </w:p>
    <w:p w14:paraId="32133557" w14:textId="77777777" w:rsidR="00853A35" w:rsidRPr="005D4222" w:rsidRDefault="00853A35" w:rsidP="003F38C3"/>
    <w:sectPr w:rsidR="00853A35" w:rsidRPr="005D4222" w:rsidSect="0074514A">
      <w:headerReference w:type="even" r:id="rId279"/>
      <w:headerReference w:type="default" r:id="rId280"/>
      <w:footerReference w:type="even" r:id="rId281"/>
      <w:footerReference w:type="default" r:id="rId282"/>
      <w:type w:val="nextColumn"/>
      <w:pgSz w:w="12240" w:h="15840" w:code="1"/>
      <w:pgMar w:top="1080" w:right="1080" w:bottom="108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9184F" w14:textId="77777777" w:rsidR="00AA19A8" w:rsidRDefault="00AA19A8" w:rsidP="00834FBA">
      <w:r>
        <w:separator/>
      </w:r>
    </w:p>
  </w:endnote>
  <w:endnote w:type="continuationSeparator" w:id="0">
    <w:p w14:paraId="0471C633" w14:textId="77777777" w:rsidR="00AA19A8" w:rsidRDefault="00AA19A8" w:rsidP="00834FBA">
      <w:r>
        <w:continuationSeparator/>
      </w:r>
    </w:p>
  </w:endnote>
  <w:endnote w:type="continuationNotice" w:id="1">
    <w:p w14:paraId="2E5976A6" w14:textId="77777777" w:rsidR="00AA19A8" w:rsidRDefault="00AA19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Narrow Bold">
    <w:panose1 w:val="020B0706020202030204"/>
    <w:charset w:val="00"/>
    <w:family w:val="auto"/>
    <w:pitch w:val="variable"/>
    <w:sig w:usb0="00000000"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Garamond">
    <w:altName w:val="Cambria"/>
    <w:panose1 w:val="00000000000000000000"/>
    <w:charset w:val="00"/>
    <w:family w:val="roman"/>
    <w:notTrueType/>
    <w:pitch w:val="default"/>
    <w:sig w:usb0="00000003" w:usb1="00000000" w:usb2="00000000" w:usb3="00000000" w:csb0="00000001" w:csb1="00000000"/>
  </w:font>
  <w:font w:name="Arial,Arial,Arial,Arial,Arial,A">
    <w:altName w:val="Times New Roman"/>
    <w:panose1 w:val="00000000000000000000"/>
    <w:charset w:val="00"/>
    <w:family w:val="roman"/>
    <w:notTrueType/>
    <w:pitch w:val="default"/>
  </w:font>
  <w:font w:name="Calibri,Arial">
    <w:altName w:val="Times New Roman"/>
    <w:panose1 w:val="00000000000000000000"/>
    <w:charset w:val="00"/>
    <w:family w:val="roman"/>
    <w:notTrueType/>
    <w:pitch w:val="default"/>
  </w:font>
  <w:font w:name="SymbolMT">
    <w:altName w:val="PMingLiU"/>
    <w:panose1 w:val="00000000000000000000"/>
    <w:charset w:val="88"/>
    <w:family w:val="auto"/>
    <w:notTrueType/>
    <w:pitch w:val="default"/>
    <w:sig w:usb0="00000001" w:usb1="08080000" w:usb2="00000010" w:usb3="00000000" w:csb0="00100000" w:csb1="00000000"/>
  </w:font>
  <w:font w:name="Arial,Arial,Times New 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Times New Roman">
    <w:altName w:val="Arial"/>
    <w:panose1 w:val="00000000000000000000"/>
    <w:charset w:val="00"/>
    <w:family w:val="roman"/>
    <w:notTrueType/>
    <w:pitch w:val="default"/>
  </w:font>
  <w:font w:name="ArialMT">
    <w:altName w:val="Arial"/>
    <w:panose1 w:val="00000000000000000000"/>
    <w:charset w:val="4D"/>
    <w:family w:val="auto"/>
    <w:notTrueType/>
    <w:pitch w:val="default"/>
    <w:sig w:usb0="00000003" w:usb1="00000000" w:usb2="00000000" w:usb3="00000000" w:csb0="00000001" w:csb1="00000000"/>
  </w:font>
  <w:font w:name="Arial,SymbolMT">
    <w:altName w:val="Arial"/>
    <w:panose1 w:val="00000000000000000000"/>
    <w:charset w:val="00"/>
    <w:family w:val="roman"/>
    <w:notTrueType/>
    <w:pitch w:val="default"/>
  </w:font>
  <w:font w:name="Arial Narrow,Times New Roman">
    <w:altName w:val="Arial"/>
    <w:panose1 w:val="00000000000000000000"/>
    <w:charset w:val="00"/>
    <w:family w:val="roman"/>
    <w:notTrueType/>
    <w:pitch w:val="default"/>
  </w:font>
  <w:font w:name="Arial Narrow,Arial">
    <w:altName w:val="Times New Roman"/>
    <w:panose1 w:val="00000000000000000000"/>
    <w:charset w:val="00"/>
    <w:family w:val="roman"/>
    <w:notTrueType/>
    <w:pitch w:val="default"/>
  </w:font>
  <w:font w:name="Arial,ＭＳ 明朝">
    <w:altName w:val="MS Gothic"/>
    <w:panose1 w:val="00000000000000000000"/>
    <w:charset w:val="8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Arial,Arial,Arial,Arial,T">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Arial,Arial Narrow,Arial,Arial">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E13FD" w14:textId="7E146E73" w:rsidR="00834FBA" w:rsidRDefault="00834FBA" w:rsidP="009F6641">
    <w:pPr>
      <w:pStyle w:val="Footer"/>
      <w:jc w:val="right"/>
    </w:pPr>
    <w:r>
      <w:rPr>
        <w:bCs/>
        <w:iCs/>
      </w:rPr>
      <w:t xml:space="preserve">HEDIS MY </w:t>
    </w:r>
    <w:r w:rsidR="003F7483">
      <w:rPr>
        <w:bCs/>
        <w:iCs/>
      </w:rPr>
      <w:t>2026</w:t>
    </w:r>
    <w:r>
      <w:rPr>
        <w:bCs/>
        <w:iCs/>
      </w:rPr>
      <w:t>, Volume 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493F7" w14:textId="60FE7C41" w:rsidR="00530FFE" w:rsidRDefault="00530FFE" w:rsidP="00543F7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03FCD" w14:textId="3A77B593" w:rsidR="00834FBA" w:rsidRDefault="00834FBA" w:rsidP="009F6641">
    <w:pPr>
      <w:pStyle w:val="Footer"/>
      <w:jc w:val="right"/>
    </w:pPr>
    <w:r>
      <w:rPr>
        <w:bCs/>
        <w:iCs/>
      </w:rPr>
      <w:t xml:space="preserve">HEDIS MY </w:t>
    </w:r>
    <w:r w:rsidR="005A3E7F">
      <w:rPr>
        <w:bCs/>
        <w:iCs/>
      </w:rPr>
      <w:t>2026</w:t>
    </w:r>
    <w:r>
      <w:rPr>
        <w:bCs/>
        <w:iCs/>
      </w:rPr>
      <w:t>, Volume 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17152" w14:textId="72987093" w:rsidR="00834FBA" w:rsidRDefault="00834FBA" w:rsidP="00D00CD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3B3A5" w14:textId="77777777" w:rsidR="005D6173" w:rsidRDefault="00D00CDC">
    <w:pPr>
      <w:pStyle w:val="Footer"/>
    </w:pPr>
    <w:r>
      <w:t>HEDIS MY 2026, Volume 2</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EF4A" w14:textId="77777777" w:rsidR="00834FBA" w:rsidRDefault="00834FBA">
    <w:pPr>
      <w:pStyle w:val="Footer"/>
    </w:pPr>
    <w:r>
      <w:t>HEDIS 2016, Volume 2</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B4F8D" w14:textId="77777777" w:rsidR="00834FBA" w:rsidRPr="000651A2" w:rsidRDefault="00834FBA" w:rsidP="009F6641"/>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75CC3" w14:textId="77777777" w:rsidR="006C3E10" w:rsidRPr="00F507FA" w:rsidRDefault="00F507FA" w:rsidP="00F507FA">
    <w:pPr>
      <w:pStyle w:val="Footer"/>
      <w:tabs>
        <w:tab w:val="left" w:pos="6975"/>
      </w:tabs>
      <w:jc w:val="right"/>
    </w:pPr>
    <w:r>
      <w:t>HEDIS MY 2026, Volume 2</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0F02A" w14:textId="572B4DB7" w:rsidR="006C3E10" w:rsidRDefault="006C3E10" w:rsidP="009A460B"/>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09BEF" w14:textId="15C8EC2D" w:rsidR="006C3E10" w:rsidRDefault="006C3E10" w:rsidP="009F6641">
    <w:pPr>
      <w:pStyle w:val="Footer"/>
      <w:tabs>
        <w:tab w:val="right" w:pos="8460"/>
      </w:tabs>
      <w:jc w:val="right"/>
    </w:pPr>
    <w:r>
      <w:t xml:space="preserve">HEDIS MY </w:t>
    </w:r>
    <w:r w:rsidR="003F7483">
      <w:t>2026</w:t>
    </w:r>
    <w:r>
      <w:t>, Volume 2</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2695A" w14:textId="6386C8DD" w:rsidR="006C3E10" w:rsidRDefault="006C3E10" w:rsidP="009F6641">
    <w:pPr>
      <w:pStyle w:val="Footer"/>
      <w:jc w:val="right"/>
    </w:pPr>
    <w:r>
      <w:t xml:space="preserve">HEDIS MY </w:t>
    </w:r>
    <w:r w:rsidR="000D0774">
      <w:t>2026</w:t>
    </w:r>
    <w:r>
      <w:t>, Volume 2</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D4DEE" w14:textId="77777777" w:rsidR="006C3E10" w:rsidRDefault="006C3E10">
    <w:pPr>
      <w:pStyle w:val="Footer"/>
    </w:pPr>
    <w:r>
      <w:t>HEDIS 2001, Volume 2</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36015" w14:textId="77777777" w:rsidR="006C3E10" w:rsidRPr="005A738E" w:rsidRDefault="006C3E10" w:rsidP="009F6641"/>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2FC90" w14:textId="1EEA434B" w:rsidR="006C3E10" w:rsidRPr="00E32FDB" w:rsidRDefault="006C3E10" w:rsidP="009F6641">
    <w:pPr>
      <w:pStyle w:val="Footer"/>
      <w:jc w:val="right"/>
    </w:pPr>
    <w:r>
      <w:t xml:space="preserve">HEDIS MY </w:t>
    </w:r>
    <w:r w:rsidR="008A4801">
      <w:t>2026</w:t>
    </w:r>
    <w:r>
      <w:t>, Volume 2</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54209" w14:textId="21DCA985" w:rsidR="00F942A3" w:rsidRPr="00F942A3" w:rsidRDefault="00F942A3" w:rsidP="00F942A3"/>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375CF" w14:textId="5992DED6" w:rsidR="000A0080" w:rsidRPr="00F942A3" w:rsidRDefault="000A0080" w:rsidP="000A0080">
    <w:pPr>
      <w:pStyle w:val="Footer"/>
      <w:jc w:val="right"/>
    </w:pPr>
    <w:r>
      <w:t>HEDIS MY 2026, Volume 2</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5288E" w14:textId="64ADDD23" w:rsidR="000A0757" w:rsidRPr="000A0757" w:rsidRDefault="000A0757" w:rsidP="000A0757"/>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4FFF" w14:textId="2A678FE9" w:rsidR="00FB669B" w:rsidRPr="000A0757" w:rsidRDefault="00FB669B" w:rsidP="00FB669B">
    <w:pPr>
      <w:pStyle w:val="Footer"/>
      <w:jc w:val="right"/>
    </w:pPr>
    <w:r>
      <w:t>HEDIS MY 2026, Volume 2</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3CCFF" w14:textId="58A72B2C" w:rsidR="00580F6D" w:rsidRPr="00580F6D" w:rsidRDefault="00580F6D" w:rsidP="00580F6D"/>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D04A9" w14:textId="19E3BC7F" w:rsidR="007F1AD5" w:rsidRPr="00580F6D" w:rsidRDefault="00585AD8" w:rsidP="00585AD8">
    <w:pPr>
      <w:pStyle w:val="Footer"/>
      <w:jc w:val="right"/>
    </w:pPr>
    <w:r>
      <w:t>HEDIS MY 2026, Volume 2</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2DF4D" w14:textId="2E1CD66A" w:rsidR="00483392" w:rsidRPr="00483392" w:rsidRDefault="00483392" w:rsidP="00483392"/>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FA52" w14:textId="1801AC32" w:rsidR="00D0637E" w:rsidRPr="00483392" w:rsidRDefault="00D0637E" w:rsidP="00D0637E">
    <w:pPr>
      <w:pStyle w:val="Footer"/>
      <w:jc w:val="right"/>
    </w:pPr>
    <w:r>
      <w:t>HEDIS MY 2026, Volume 2</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B5C64" w14:textId="7A74247E" w:rsidR="00E82E36" w:rsidRPr="00E82E36" w:rsidRDefault="00E82E36" w:rsidP="00E82E36"/>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845A" w14:textId="7256862C" w:rsidR="00E82E36" w:rsidRPr="00E82E36" w:rsidRDefault="00E82E36" w:rsidP="00E82E36">
    <w:pPr>
      <w:pStyle w:val="Footer"/>
      <w:jc w:val="right"/>
    </w:pPr>
    <w:r>
      <w:t>HEDIS MY 2026, Volume 2</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E8420" w14:textId="3E4C51A1" w:rsidR="00027583" w:rsidRPr="00027583" w:rsidRDefault="00027583" w:rsidP="00027583"/>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3725A" w14:textId="4443CD77" w:rsidR="00027583" w:rsidRPr="00027583" w:rsidRDefault="00027583" w:rsidP="00027583">
    <w:pPr>
      <w:pStyle w:val="Footer"/>
      <w:jc w:val="right"/>
    </w:pPr>
    <w:r>
      <w:t>HEDIS MY 2026, Volume 2</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CA563" w14:textId="74BC0769" w:rsidR="00552887" w:rsidRPr="00552887" w:rsidRDefault="00552887" w:rsidP="00552887"/>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71B67" w14:textId="5FB1017E" w:rsidR="00FF3378" w:rsidRPr="00552887" w:rsidRDefault="00FF3378" w:rsidP="00FF3378">
    <w:pPr>
      <w:pStyle w:val="Footer"/>
      <w:jc w:val="right"/>
    </w:pPr>
    <w:r>
      <w:t>HEDIS MY 2026, Volume 2</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62AD5" w14:textId="67358715" w:rsidR="001D1B84" w:rsidRPr="001D1B84" w:rsidRDefault="001D1B84" w:rsidP="001D1B84"/>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F7B17" w14:textId="57BDD7CF" w:rsidR="001D1B84" w:rsidRPr="00827D17" w:rsidRDefault="00B616D5" w:rsidP="00B616D5">
    <w:pPr>
      <w:pStyle w:val="Footer"/>
      <w:jc w:val="right"/>
    </w:pPr>
    <w:r>
      <w:t xml:space="preserve">HEDIS MY </w:t>
    </w:r>
    <w:r w:rsidR="003F7483">
      <w:t>2026</w:t>
    </w:r>
    <w:r>
      <w:t>, Volume 2</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6DA3B" w14:textId="77777777" w:rsidR="00B616D5" w:rsidRPr="00827D17" w:rsidRDefault="00B616D5" w:rsidP="00827D17"/>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A6A31" w14:textId="71FDE202" w:rsidR="00986D87" w:rsidRDefault="00986D87">
    <w:pPr>
      <w:pStyle w:val="Footer"/>
      <w:jc w:val="right"/>
    </w:pPr>
    <w:r>
      <w:t xml:space="preserve">HEDIS MY </w:t>
    </w:r>
    <w:r w:rsidR="003F7483">
      <w:t>2026</w:t>
    </w:r>
    <w:r>
      <w:t>, Volume 2</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87AAE" w14:textId="75FF0FE5" w:rsidR="00986D87" w:rsidRDefault="00986D87">
    <w:pPr>
      <w:pStyle w:val="Footer"/>
      <w:jc w:val="right"/>
    </w:pPr>
    <w:r>
      <w:t xml:space="preserve">HEDIS MY </w:t>
    </w:r>
    <w:r w:rsidR="003F7483">
      <w:t>2026</w:t>
    </w:r>
    <w:r>
      <w:t>, Volume 2</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D42BE" w14:textId="250FCF5F" w:rsidR="00986D87" w:rsidRPr="008713D4" w:rsidRDefault="00986D87">
    <w:pPr>
      <w:pStyle w:val="Footer"/>
      <w:jc w:val="right"/>
    </w:pPr>
    <w:r>
      <w:t xml:space="preserve">HEDIS MY </w:t>
    </w:r>
    <w:r w:rsidR="003F7483">
      <w:t>2026</w:t>
    </w:r>
    <w:r>
      <w:t>, Volume 2</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CEAE3" w14:textId="29F4329C" w:rsidR="00B616D5" w:rsidRPr="008713D4" w:rsidRDefault="00B616D5">
    <w:pPr>
      <w:pStyle w:val="Footer"/>
      <w:jc w:val="right"/>
    </w:pPr>
    <w:r>
      <w:t xml:space="preserve">HEDIS MY </w:t>
    </w:r>
    <w:r w:rsidR="003F7483">
      <w:t>2026</w:t>
    </w:r>
    <w:r>
      <w:t>, Volume 2</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2D561" w14:textId="08BEF0D4" w:rsidR="00AD2ED9" w:rsidRPr="00AD2ED9" w:rsidRDefault="00AD2ED9" w:rsidP="00AD2ED9"/>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A321" w14:textId="5CC4C734" w:rsidR="00AD2ED9" w:rsidRPr="00AD2ED9" w:rsidRDefault="00AD2ED9" w:rsidP="00AD2ED9">
    <w:pPr>
      <w:pStyle w:val="Footer"/>
      <w:jc w:val="right"/>
    </w:pPr>
    <w:r>
      <w:t xml:space="preserve">HEDIS MY </w:t>
    </w:r>
    <w:r w:rsidR="003F7483">
      <w:t>2026</w:t>
    </w:r>
    <w:r>
      <w:t>, Volume 2</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50838" w14:textId="1B6B2814" w:rsidR="007560AC" w:rsidRDefault="003F7483" w:rsidP="00A53E8C">
    <w:pPr>
      <w:pStyle w:val="Footer"/>
      <w:jc w:val="right"/>
    </w:pPr>
    <w:r>
      <w:t>HEDIS MY 2026, Volume 2</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82626" w14:textId="77777777" w:rsidR="007560AC" w:rsidRPr="00C64D1D" w:rsidRDefault="007560AC"/>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CC909" w14:textId="77777777" w:rsidR="007560AC" w:rsidRDefault="007560AC">
    <w:pPr>
      <w:pStyle w:val="Footer"/>
      <w:pBdr>
        <w:top w:val="none" w:sz="0" w:space="0" w:color="auto"/>
      </w:pBd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0023B" w14:textId="41B6A864" w:rsidR="007560AC" w:rsidRDefault="003F7483" w:rsidP="00A53E8C">
    <w:pPr>
      <w:pStyle w:val="Footer"/>
      <w:jc w:val="right"/>
    </w:pPr>
    <w:r>
      <w:t>HEDIS MY 2026, Volume 2</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A5683" w14:textId="77777777" w:rsidR="007560AC" w:rsidRDefault="007560AC">
    <w:pPr>
      <w:pStyle w:val="Footer"/>
      <w:jc w:val="right"/>
    </w:pPr>
    <w:r>
      <w:t>HEDIS 2005, Volume 2</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1AE0F" w14:textId="611DE104" w:rsidR="007560AC" w:rsidRDefault="003F7483" w:rsidP="00A53E8C">
    <w:pPr>
      <w:pStyle w:val="Footer"/>
      <w:jc w:val="right"/>
    </w:pPr>
    <w:r>
      <w:t>HEDIS MY 2026, Volume 2</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BC733" w14:textId="77777777" w:rsidR="007560AC" w:rsidRDefault="007560AC">
    <w:pPr>
      <w:pStyle w:val="Footer"/>
      <w:jc w:val="right"/>
    </w:pPr>
    <w:r>
      <w:t>HEDIS 2005, Volume 2</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B2370" w14:textId="1D46376B" w:rsidR="002B3D5C" w:rsidRDefault="003F7483" w:rsidP="00A53E8C">
    <w:pPr>
      <w:pStyle w:val="Footer"/>
      <w:jc w:val="right"/>
    </w:pPr>
    <w:r>
      <w:t>HEDIS MY 2026, Volume 2</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F7DB5" w14:textId="77777777" w:rsidR="002B3D5C" w:rsidRPr="00C64D1D" w:rsidRDefault="002B3D5C"/>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11516" w14:textId="77777777" w:rsidR="002B3D5C" w:rsidRDefault="002B3D5C">
    <w:pPr>
      <w:pStyle w:val="Footer"/>
      <w:pBdr>
        <w:top w:val="none" w:sz="0" w:space="0" w:color="auto"/>
      </w:pBd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C746B" w14:textId="1889F0D4" w:rsidR="002B3D5C" w:rsidRPr="00C64D1D" w:rsidRDefault="003F7483" w:rsidP="00A46958">
    <w:pPr>
      <w:pStyle w:val="Footer"/>
      <w:jc w:val="right"/>
    </w:pPr>
    <w:r>
      <w:t>HEDIS MY 2026, Volume 2</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51A32" w14:textId="405AE703" w:rsidR="000C6C0E" w:rsidRDefault="003F7483" w:rsidP="00A53E8C">
    <w:pPr>
      <w:pStyle w:val="Footer"/>
      <w:jc w:val="right"/>
    </w:pPr>
    <w:r>
      <w:t>HEDIS MY 2026, Volume 2</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8F9C3" w14:textId="77777777" w:rsidR="000C6C0E" w:rsidRPr="00C64D1D" w:rsidRDefault="000C6C0E"/>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3E8A3" w14:textId="77777777" w:rsidR="000C6C0E" w:rsidRDefault="000C6C0E">
    <w:pPr>
      <w:pStyle w:val="Footer"/>
      <w:pBdr>
        <w:top w:val="none" w:sz="0" w:space="0" w:color="auto"/>
      </w:pBd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B782C" w14:textId="654E7619" w:rsidR="000C6C0E" w:rsidRPr="000C6C0E" w:rsidRDefault="003F7483" w:rsidP="000C6C0E">
    <w:pPr>
      <w:pStyle w:val="Footer"/>
      <w:jc w:val="right"/>
    </w:pPr>
    <w:r>
      <w:t>HEDIS MY 2026, Volume 2</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F7D90" w14:textId="4DCB7D47" w:rsidR="00AE1706" w:rsidRPr="00AE1706" w:rsidRDefault="00AE1706" w:rsidP="00AE1706"/>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660F0" w14:textId="6943849C" w:rsidR="00AE1706" w:rsidRPr="00AE1706" w:rsidRDefault="003F7483" w:rsidP="00AE1706">
    <w:pPr>
      <w:pStyle w:val="Footer"/>
      <w:jc w:val="right"/>
    </w:pPr>
    <w:r>
      <w:t>HEDIS MY 2026, Volume 2</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4DAE6" w14:textId="77777777" w:rsidR="00D274D2" w:rsidRDefault="00D274D2">
    <w:pPr>
      <w:pStyle w:val="Footer"/>
      <w:tabs>
        <w:tab w:val="right" w:pos="8460"/>
      </w:tabs>
    </w:pPr>
    <w:r>
      <w:t>HEDIS 2025, Volume 2</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86127" w14:textId="77777777" w:rsidR="00D274D2" w:rsidRDefault="00D274D2">
    <w:pPr>
      <w:pStyle w:val="Footer"/>
      <w:pBdr>
        <w:top w:val="none" w:sz="0" w:space="0" w:color="auto"/>
      </w:pBdr>
      <w:ind w:right="360" w:firstLine="360"/>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1BB74" w14:textId="77777777" w:rsidR="00D274D2" w:rsidRDefault="00D274D2">
    <w:pPr>
      <w:pStyle w:val="Footer"/>
      <w:pBdr>
        <w:top w:val="none" w:sz="0" w:space="0" w:color="auto"/>
      </w:pBd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AF755" w14:textId="77777777" w:rsidR="00D274D2" w:rsidRDefault="00D274D2">
    <w:pPr>
      <w:pStyle w:val="Footer"/>
      <w:tabs>
        <w:tab w:val="left" w:pos="720"/>
        <w:tab w:val="right" w:pos="8460"/>
      </w:tabs>
      <w:jc w:val="right"/>
    </w:pPr>
    <w:r>
      <w:t>HEDIS MY 2026, Volume 2</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AF81D" w14:textId="77777777" w:rsidR="00D274D2" w:rsidRDefault="00D274D2">
    <w:pPr>
      <w:pStyle w:val="Footer"/>
      <w:tabs>
        <w:tab w:val="right" w:pos="9360"/>
      </w:tabs>
      <w:jc w:val="right"/>
    </w:pPr>
    <w:r>
      <w:t>HEDIS MY 2025, Volume 2</w: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F6032" w14:textId="77777777" w:rsidR="00D274D2" w:rsidRDefault="00D274D2">
    <w:pPr>
      <w:pStyle w:val="Footer"/>
    </w:pPr>
    <w:r>
      <w:t>HEDIS 2003, Volume 2</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3F770" w14:textId="77777777" w:rsidR="003E60F6" w:rsidRDefault="003E60F6">
    <w:pPr>
      <w:pStyle w:val="Footer"/>
      <w:tabs>
        <w:tab w:val="right" w:pos="9360"/>
      </w:tabs>
      <w:jc w:val="right"/>
    </w:pPr>
    <w:r>
      <w:t>HEDIS MY 2025, Volume 2</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A7087" w14:textId="77777777" w:rsidR="003E60F6" w:rsidRDefault="003E60F6">
    <w:pPr>
      <w:pStyle w:val="Footer"/>
    </w:pPr>
    <w:r>
      <w:t>HEDIS 2003, Volume 2</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A315F" w14:textId="38637F45" w:rsidR="00371B1A" w:rsidRPr="00371B1A" w:rsidRDefault="00371B1A" w:rsidP="00371B1A"/>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40B85" w14:textId="77777777" w:rsidR="003D7F41" w:rsidRDefault="003D7F41" w:rsidP="00A53E8C">
    <w:pPr>
      <w:pStyle w:val="Footer"/>
      <w:jc w:val="right"/>
    </w:pPr>
    <w:r>
      <w:t>HEDIS MY 2025, Volume 2</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2ED74" w14:textId="77777777" w:rsidR="003D7F41" w:rsidRDefault="003D7F41" w:rsidP="00A53E8C">
    <w:pPr>
      <w:pStyle w:val="Footer"/>
      <w:jc w:val="right"/>
    </w:pPr>
    <w:r>
      <w:t>HEDIS MY 2026, Volume 2</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54E3D" w14:textId="77777777" w:rsidR="00A523D5" w:rsidRPr="00371B1A" w:rsidRDefault="00A523D5" w:rsidP="00371B1A"/>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D4AE6" w14:textId="77777777" w:rsidR="001223E4" w:rsidRPr="00651123" w:rsidRDefault="001223E4" w:rsidP="00A53E8C">
    <w:pPr>
      <w:pStyle w:val="Footer"/>
      <w:jc w:val="right"/>
    </w:pPr>
    <w:r>
      <w:t>HEDIS MY 2026, Volume 2</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906BB" w14:textId="77777777" w:rsidR="001223E4" w:rsidRDefault="001223E4"/>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C08E9" w14:textId="77777777" w:rsidR="005D6173" w:rsidRDefault="003011DA" w:rsidP="00A53E8C">
    <w:pPr>
      <w:pStyle w:val="Footer"/>
      <w:jc w:val="right"/>
    </w:pPr>
    <w:r>
      <w:t>HEDIS MY 2025, Volume 2</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08A7F" w14:textId="77777777" w:rsidR="005D6173" w:rsidRDefault="003011DA" w:rsidP="00A53E8C">
    <w:pPr>
      <w:pStyle w:val="Footer"/>
      <w:jc w:val="right"/>
    </w:pPr>
    <w:r>
      <w:t>HEDIS MY 2026, Volume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CEAF6" w14:textId="77777777" w:rsidR="00AA19A8" w:rsidRDefault="00AA19A8" w:rsidP="00834FBA">
      <w:r>
        <w:separator/>
      </w:r>
    </w:p>
  </w:footnote>
  <w:footnote w:type="continuationSeparator" w:id="0">
    <w:p w14:paraId="6ACBBE0F" w14:textId="77777777" w:rsidR="00AA19A8" w:rsidRDefault="00AA19A8" w:rsidP="00834FBA">
      <w:r>
        <w:continuationSeparator/>
      </w:r>
    </w:p>
  </w:footnote>
  <w:footnote w:type="continuationNotice" w:id="1">
    <w:p w14:paraId="3A8A0684" w14:textId="77777777" w:rsidR="00AA19A8" w:rsidRDefault="00AA19A8"/>
  </w:footnote>
  <w:footnote w:id="2">
    <w:p w14:paraId="29825C5D" w14:textId="77777777" w:rsidR="00834FBA" w:rsidRPr="003B1FE2" w:rsidRDefault="00834FBA" w:rsidP="00834FBA">
      <w:pPr>
        <w:pStyle w:val="FootnoteText"/>
        <w:rPr>
          <w:rFonts w:ascii="Arial" w:hAnsi="Arial" w:cs="Arial"/>
          <w:sz w:val="18"/>
          <w:szCs w:val="18"/>
        </w:rPr>
      </w:pPr>
      <w:r w:rsidRPr="003B1FE2">
        <w:rPr>
          <w:rStyle w:val="FootnoteReference"/>
          <w:rFonts w:ascii="Arial" w:hAnsi="Arial" w:cs="Arial"/>
          <w:sz w:val="18"/>
          <w:szCs w:val="18"/>
        </w:rPr>
        <w:footnoteRef/>
      </w:r>
      <w:r w:rsidRPr="003B1FE2">
        <w:rPr>
          <w:rFonts w:ascii="Arial" w:hAnsi="Arial" w:cs="Arial"/>
          <w:sz w:val="18"/>
          <w:szCs w:val="18"/>
        </w:rPr>
        <w:t>CAHPS</w:t>
      </w:r>
      <w:r w:rsidRPr="003B1FE2">
        <w:rPr>
          <w:rFonts w:ascii="Arial" w:hAnsi="Arial" w:cs="Arial"/>
          <w:sz w:val="18"/>
          <w:szCs w:val="18"/>
          <w:vertAlign w:val="superscript"/>
        </w:rPr>
        <w:t>®</w:t>
      </w:r>
      <w:r w:rsidRPr="003B1FE2">
        <w:rPr>
          <w:rFonts w:ascii="Arial" w:hAnsi="Arial" w:cs="Arial"/>
          <w:sz w:val="18"/>
          <w:szCs w:val="18"/>
        </w:rPr>
        <w:t xml:space="preserve"> is a registered trademark of the Agency for Healthcare Research and Quality (AHRQ).</w:t>
      </w:r>
    </w:p>
  </w:footnote>
  <w:footnote w:id="3">
    <w:p w14:paraId="01EB98A6" w14:textId="4D23FAC7" w:rsidR="1104F508" w:rsidRPr="00711FFE" w:rsidRDefault="1104F508" w:rsidP="00711FFE">
      <w:pPr>
        <w:ind w:left="90" w:hanging="90"/>
        <w:rPr>
          <w:sz w:val="18"/>
          <w:szCs w:val="18"/>
        </w:rPr>
      </w:pPr>
      <w:r w:rsidRPr="00711FFE">
        <w:rPr>
          <w:rStyle w:val="FootnoteReference"/>
          <w:sz w:val="18"/>
          <w:szCs w:val="18"/>
        </w:rPr>
        <w:footnoteRef/>
      </w:r>
      <w:r w:rsidR="00711FFE">
        <w:rPr>
          <w:sz w:val="18"/>
          <w:szCs w:val="18"/>
        </w:rPr>
        <w:tab/>
      </w:r>
      <w:r w:rsidRPr="00711FFE">
        <w:rPr>
          <w:sz w:val="18"/>
          <w:szCs w:val="18"/>
        </w:rPr>
        <w:t>For hybrid reported measures, the administrative denominator is not a reported data element</w:t>
      </w:r>
      <w:r w:rsidR="00711FFE">
        <w:rPr>
          <w:sz w:val="18"/>
          <w:szCs w:val="18"/>
        </w:rPr>
        <w:t>,</w:t>
      </w:r>
      <w:r w:rsidRPr="00711FFE">
        <w:rPr>
          <w:sz w:val="18"/>
          <w:szCs w:val="18"/>
        </w:rPr>
        <w:t xml:space="preserve"> but equals the initial population minus exclusions.</w:t>
      </w:r>
    </w:p>
  </w:footnote>
  <w:footnote w:id="4">
    <w:p w14:paraId="091E22BF" w14:textId="31A60998" w:rsidR="00834FBA" w:rsidRPr="001E58FB" w:rsidRDefault="00834FBA" w:rsidP="00834FBA">
      <w:pPr>
        <w:pStyle w:val="FootnoteText"/>
        <w:ind w:left="90" w:hanging="90"/>
        <w:rPr>
          <w:rFonts w:ascii="Arial" w:hAnsi="Arial" w:cs="Arial"/>
          <w:sz w:val="18"/>
          <w:szCs w:val="18"/>
        </w:rPr>
      </w:pPr>
      <w:r w:rsidRPr="001E58FB">
        <w:rPr>
          <w:rStyle w:val="FootnoteReference"/>
          <w:rFonts w:ascii="Arial" w:hAnsi="Arial" w:cs="Arial"/>
          <w:sz w:val="18"/>
          <w:szCs w:val="18"/>
        </w:rPr>
        <w:footnoteRef/>
      </w:r>
      <w:r w:rsidRPr="001E58FB">
        <w:rPr>
          <w:rFonts w:ascii="Arial" w:hAnsi="Arial" w:cs="Arial"/>
          <w:sz w:val="18"/>
          <w:szCs w:val="18"/>
        </w:rPr>
        <w:tab/>
        <w:t xml:space="preserve">Office of Management and Budget Revisions to the Standards for the Classification of Federal Data on Race and Ethnicity. </w:t>
      </w:r>
      <w:r w:rsidR="00846755" w:rsidRPr="00636961">
        <w:rPr>
          <w:rFonts w:ascii="Arial" w:hAnsi="Arial" w:cs="Arial"/>
          <w:sz w:val="18"/>
          <w:szCs w:val="18"/>
          <w:u w:val="single"/>
        </w:rPr>
        <w:t>https://www.govinfo.gov/content/pkg/FR-2024-03-29/pdf/2024-06469.pdf</w:t>
      </w:r>
      <w:r w:rsidR="00846755">
        <w:rPr>
          <w:rFonts w:ascii="Arial" w:hAnsi="Arial" w:cs="Arial"/>
          <w:sz w:val="18"/>
          <w:szCs w:val="18"/>
        </w:rPr>
        <w:t xml:space="preserve"> </w:t>
      </w:r>
    </w:p>
  </w:footnote>
  <w:footnote w:id="5">
    <w:p w14:paraId="6427AD63" w14:textId="7F6C5711" w:rsidR="00834FBA" w:rsidRPr="001E58FB" w:rsidRDefault="00834FBA" w:rsidP="00834FBA">
      <w:pPr>
        <w:pStyle w:val="FootnoteText"/>
        <w:ind w:left="90" w:hanging="90"/>
        <w:rPr>
          <w:rFonts w:ascii="Arial" w:hAnsi="Arial" w:cs="Arial"/>
          <w:sz w:val="18"/>
          <w:szCs w:val="18"/>
        </w:rPr>
      </w:pPr>
      <w:r w:rsidRPr="001E58FB">
        <w:rPr>
          <w:rStyle w:val="FootnoteReference"/>
          <w:rFonts w:ascii="Arial" w:hAnsi="Arial" w:cs="Arial"/>
          <w:sz w:val="18"/>
          <w:szCs w:val="18"/>
        </w:rPr>
        <w:footnoteRef/>
      </w:r>
      <w:r w:rsidRPr="001E58FB">
        <w:rPr>
          <w:rFonts w:ascii="Arial" w:hAnsi="Arial" w:cs="Arial"/>
          <w:sz w:val="18"/>
          <w:szCs w:val="18"/>
        </w:rPr>
        <w:tab/>
      </w:r>
      <w:r w:rsidR="00685B7E" w:rsidRPr="00685B7E">
        <w:rPr>
          <w:rFonts w:ascii="Arial" w:hAnsi="Arial" w:cs="Arial"/>
          <w:sz w:val="18"/>
          <w:szCs w:val="18"/>
        </w:rPr>
        <w:t xml:space="preserve">OMB </w:t>
      </w:r>
      <w:r w:rsidR="00685B7E">
        <w:rPr>
          <w:rFonts w:ascii="Arial" w:hAnsi="Arial" w:cs="Arial"/>
          <w:sz w:val="18"/>
          <w:szCs w:val="18"/>
        </w:rPr>
        <w:t>Statistical Policy Directive No. 15 on Race and Ethnicity Data Standards: Categories and Definitions</w:t>
      </w:r>
      <w:r w:rsidRPr="00685B7E">
        <w:rPr>
          <w:rFonts w:ascii="Arial" w:hAnsi="Arial" w:cs="Arial"/>
          <w:sz w:val="18"/>
          <w:szCs w:val="18"/>
        </w:rPr>
        <w:t xml:space="preserve">: </w:t>
      </w:r>
      <w:r w:rsidR="00685B7E" w:rsidRPr="00636961">
        <w:rPr>
          <w:rFonts w:ascii="Arial" w:hAnsi="Arial" w:cs="Arial"/>
          <w:sz w:val="18"/>
          <w:szCs w:val="18"/>
          <w:u w:val="single"/>
        </w:rPr>
        <w:t>https://spd15revision.gov/content/spd15revision/en/2024-spd15/categories-definitions.html</w:t>
      </w:r>
      <w:r w:rsidRPr="001E58FB">
        <w:rPr>
          <w:rFonts w:ascii="Arial" w:hAnsi="Arial" w:cs="Arial"/>
          <w:sz w:val="18"/>
          <w:szCs w:val="18"/>
        </w:rPr>
        <w:t xml:space="preserve"> </w:t>
      </w:r>
    </w:p>
  </w:footnote>
  <w:footnote w:id="6">
    <w:p w14:paraId="61715527" w14:textId="6F4AF7EA" w:rsidR="008D0852" w:rsidRPr="00070BFF" w:rsidRDefault="008D0852" w:rsidP="00070BFF">
      <w:pPr>
        <w:pStyle w:val="FootnoteText"/>
        <w:ind w:left="90" w:hanging="90"/>
        <w:rPr>
          <w:rFonts w:ascii="Arial" w:hAnsi="Arial" w:cs="Arial"/>
          <w:sz w:val="18"/>
          <w:szCs w:val="18"/>
        </w:rPr>
      </w:pPr>
      <w:r w:rsidRPr="00070BFF">
        <w:rPr>
          <w:rStyle w:val="FootnoteReference"/>
          <w:rFonts w:ascii="Arial" w:hAnsi="Arial" w:cs="Arial"/>
          <w:sz w:val="18"/>
          <w:szCs w:val="18"/>
        </w:rPr>
        <w:footnoteRef/>
      </w:r>
      <w:r w:rsidR="00070BFF">
        <w:rPr>
          <w:rFonts w:ascii="Arial" w:hAnsi="Arial" w:cs="Arial"/>
          <w:sz w:val="18"/>
          <w:szCs w:val="18"/>
        </w:rPr>
        <w:tab/>
      </w:r>
      <w:r w:rsidR="00C8582E" w:rsidRPr="00070BFF">
        <w:rPr>
          <w:rFonts w:ascii="Arial" w:hAnsi="Arial" w:cs="Arial"/>
          <w:iCs/>
          <w:sz w:val="18"/>
          <w:szCs w:val="18"/>
        </w:rPr>
        <w:t>Does not reflect the full set of possible combinations but provides examples of how categories should be handled when a combined data collection question is used.</w:t>
      </w:r>
    </w:p>
  </w:footnote>
  <w:footnote w:id="7">
    <w:p w14:paraId="347AADCE" w14:textId="77777777" w:rsidR="00DF5401" w:rsidRPr="00030E62" w:rsidRDefault="00DF5401" w:rsidP="00DF5401">
      <w:pPr>
        <w:pStyle w:val="FootnoteText"/>
        <w:ind w:left="90" w:hanging="90"/>
        <w:rPr>
          <w:rFonts w:ascii="Arial" w:hAnsi="Arial" w:cs="Arial"/>
          <w:sz w:val="18"/>
          <w:szCs w:val="18"/>
        </w:rPr>
      </w:pPr>
      <w:r w:rsidRPr="00030E62">
        <w:rPr>
          <w:rStyle w:val="FootnoteReference"/>
          <w:rFonts w:ascii="Arial" w:hAnsi="Arial" w:cs="Arial"/>
          <w:sz w:val="18"/>
          <w:szCs w:val="18"/>
        </w:rPr>
        <w:footnoteRef/>
      </w:r>
      <w:r>
        <w:rPr>
          <w:rFonts w:ascii="Arial" w:hAnsi="Arial" w:cs="Arial"/>
          <w:sz w:val="18"/>
          <w:szCs w:val="18"/>
        </w:rPr>
        <w:tab/>
      </w:r>
      <w:r w:rsidRPr="00030E62">
        <w:rPr>
          <w:rFonts w:ascii="Arial" w:hAnsi="Arial" w:cs="Arial"/>
          <w:sz w:val="18"/>
          <w:szCs w:val="18"/>
        </w:rPr>
        <w:t>For hybrid reported measures</w:t>
      </w:r>
      <w:r>
        <w:rPr>
          <w:rFonts w:ascii="Arial" w:hAnsi="Arial" w:cs="Arial"/>
          <w:sz w:val="18"/>
          <w:szCs w:val="18"/>
        </w:rPr>
        <w:t>,</w:t>
      </w:r>
      <w:r w:rsidRPr="00030E62">
        <w:rPr>
          <w:rFonts w:ascii="Arial" w:hAnsi="Arial" w:cs="Arial"/>
          <w:sz w:val="18"/>
          <w:szCs w:val="18"/>
        </w:rPr>
        <w:t xml:space="preserve"> the administrative denominator is not a reported data element. It equals the initial population minus exclusions.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03EA3" w14:textId="77777777" w:rsidR="00834FBA" w:rsidRDefault="00834FBA">
    <w:pPr>
      <w:pStyle w:val="Header"/>
      <w:tabs>
        <w:tab w:val="left" w:pos="720"/>
      </w:tabs>
    </w:pPr>
    <w:r>
      <w:t>Acknowledgments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50411" w14:textId="3EDD5C3D" w:rsidR="00530FFE" w:rsidRDefault="00530FFE" w:rsidP="00543F7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23296" w14:textId="77777777" w:rsidR="00834FBA" w:rsidRDefault="00834FBA" w:rsidP="009F6641">
    <w:pPr>
      <w:pStyle w:val="Header"/>
      <w:jc w:val="right"/>
    </w:pPr>
    <w:r>
      <w:tab/>
      <w:t>Acknowledgments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6C5E1" w14:textId="77777777" w:rsidR="00834FBA" w:rsidRDefault="00834FBA" w:rsidP="009F6641">
    <w:pPr>
      <w:pStyle w:val="Header"/>
    </w:pPr>
    <w:r w:rsidRPr="00C95675">
      <w:t>Table of Contents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18B35" w14:textId="77777777" w:rsidR="00834FBA" w:rsidRPr="00C95675" w:rsidRDefault="00834FBA" w:rsidP="009F6641">
    <w:pPr>
      <w:pStyle w:val="Header"/>
      <w:jc w:val="right"/>
    </w:pPr>
    <w:r w:rsidRPr="00C95675">
      <w:t>Table of Contents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1FEE0" w14:textId="77777777" w:rsidR="00834FBA" w:rsidRDefault="00834FBA" w:rsidP="009F6641">
    <w:pPr>
      <w:pStyle w:val="Header"/>
      <w:tabs>
        <w:tab w:val="num" w:pos="490"/>
        <w:tab w:val="left" w:pos="7650"/>
        <w:tab w:val="right" w:pos="8640"/>
      </w:tabs>
      <w:ind w:left="418" w:hanging="288"/>
    </w:pPr>
    <w:r>
      <w:fldChar w:fldCharType="begin"/>
    </w:r>
    <w:r>
      <w:instrText xml:space="preserve"> PAGE </w:instrText>
    </w:r>
    <w:r>
      <w:fldChar w:fldCharType="separate"/>
    </w:r>
    <w:r>
      <w:rPr>
        <w:noProof/>
      </w:rPr>
      <w:t>8</w:t>
    </w:r>
    <w:r>
      <w:rPr>
        <w:noProof/>
      </w:rPr>
      <w:fldChar w:fldCharType="end"/>
    </w:r>
  </w:p>
  <w:p w14:paraId="234B7FFD" w14:textId="77777777" w:rsidR="00834FBA" w:rsidRDefault="00834FBA"/>
  <w:p w14:paraId="2279D19F" w14:textId="77777777" w:rsidR="00834FBA" w:rsidRDefault="00834FBA"/>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99A25" w14:textId="0C5F5964" w:rsidR="00834FBA" w:rsidRDefault="00834FBA">
    <w:pPr>
      <w:pStyle w:val="Header"/>
      <w:ind w:left="720" w:hanging="72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7FB1B" w14:textId="090FC2D3" w:rsidR="00834FBA" w:rsidRPr="00EB1705" w:rsidRDefault="00834FBA" w:rsidP="00EB170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076113"/>
      <w:docPartObj>
        <w:docPartGallery w:val="Page Numbers (Top of Page)"/>
        <w:docPartUnique/>
      </w:docPartObj>
    </w:sdtPr>
    <w:sdtEndPr>
      <w:rPr>
        <w:noProof/>
      </w:rPr>
    </w:sdtEndPr>
    <w:sdtContent>
      <w:p w14:paraId="57F31897" w14:textId="6F1003CB" w:rsidR="00834FBA" w:rsidRDefault="00F4606F" w:rsidP="00CF6C14">
        <w:pPr>
          <w:pStyle w:val="Header"/>
        </w:pPr>
        <w:r>
          <w:tab/>
          <w:t>Overview</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ABAD8" w14:textId="77777777" w:rsidR="00834FBA" w:rsidRDefault="00834FBA" w:rsidP="009F6641">
    <w:pPr>
      <w:pStyle w:val="Header"/>
      <w:tabs>
        <w:tab w:val="left" w:pos="720"/>
      </w:tabs>
    </w:pPr>
    <w:r>
      <w:fldChar w:fldCharType="begin"/>
    </w:r>
    <w:r>
      <w:instrText xml:space="preserve"> PAGE </w:instrText>
    </w:r>
    <w:r>
      <w:fldChar w:fldCharType="separate"/>
    </w:r>
    <w:r>
      <w:rPr>
        <w:noProof/>
      </w:rPr>
      <w:t>4</w:t>
    </w:r>
    <w:r>
      <w:rPr>
        <w:noProof/>
      </w:rPr>
      <w:fldChar w:fldCharType="end"/>
    </w:r>
    <w:r>
      <w:tab/>
      <w:t>Overview</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D30C4" w14:textId="77777777" w:rsidR="00834FBA" w:rsidRDefault="00834FBA">
    <w:pPr>
      <w:pStyle w:val="Header"/>
    </w:pPr>
    <w:r>
      <w:fldChar w:fldCharType="begin"/>
    </w:r>
    <w:r>
      <w:instrText xml:space="preserve"> PAGE </w:instrText>
    </w:r>
    <w:r>
      <w:fldChar w:fldCharType="separate"/>
    </w:r>
    <w:r>
      <w:rPr>
        <w:noProof/>
      </w:rPr>
      <w:t>10</w:t>
    </w:r>
    <w:r>
      <w:rPr>
        <w:noProof/>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903B0" w14:textId="77777777" w:rsidR="00834FBA" w:rsidRPr="00EC5694" w:rsidRDefault="00834FBA" w:rsidP="009F6641"/>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59138" w14:textId="77777777" w:rsidR="006C3E10" w:rsidRDefault="006C3E10">
    <w:pPr>
      <w:pStyle w:val="Header"/>
      <w:tabs>
        <w:tab w:val="left" w:pos="720"/>
      </w:tabs>
      <w:ind w:left="720" w:hanging="720"/>
    </w:pPr>
    <w:r>
      <w:fldChar w:fldCharType="begin"/>
    </w:r>
    <w:r>
      <w:instrText xml:space="preserve"> PAGE </w:instrText>
    </w:r>
    <w:r>
      <w:fldChar w:fldCharType="separate"/>
    </w:r>
    <w:r>
      <w:rPr>
        <w:noProof/>
      </w:rPr>
      <w:t>40</w:t>
    </w:r>
    <w:r>
      <w:rPr>
        <w:noProof/>
      </w:rPr>
      <w:fldChar w:fldCharType="end"/>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665814"/>
      <w:docPartObj>
        <w:docPartGallery w:val="Page Numbers (Top of Page)"/>
        <w:docPartUnique/>
      </w:docPartObj>
    </w:sdtPr>
    <w:sdtEndPr>
      <w:rPr>
        <w:noProof/>
      </w:rPr>
    </w:sdtEndPr>
    <w:sdtContent>
      <w:p w14:paraId="421111DF" w14:textId="77777777" w:rsidR="006C3E10" w:rsidRDefault="002F5FC1" w:rsidP="002F5FC1">
        <w:pPr>
          <w:pStyle w:val="Header"/>
          <w:jc w:val="right"/>
        </w:pPr>
        <w:r>
          <w:tab/>
        </w:r>
        <w:r w:rsidR="00F507FA">
          <w:t>General Guidelines for Data Collection and Reporting</w:t>
        </w:r>
        <w:r w:rsidR="00F507FA">
          <w:tab/>
        </w:r>
        <w:r>
          <w:fldChar w:fldCharType="begin"/>
        </w:r>
        <w:r>
          <w:instrText xml:space="preserve"> PAGE   \* MERGEFORMAT </w:instrText>
        </w:r>
        <w:r>
          <w:fldChar w:fldCharType="separate"/>
        </w:r>
        <w:r>
          <w:rPr>
            <w:noProof/>
          </w:rPr>
          <w:t>2</w:t>
        </w:r>
        <w:r>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2F015" w14:textId="44DCD7AA" w:rsidR="006C3E10" w:rsidRDefault="006C3E10" w:rsidP="009A460B"/>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B63FE" w14:textId="77777777" w:rsidR="006C3E10" w:rsidRDefault="006C3E10">
    <w:pPr>
      <w:pStyle w:val="Header"/>
      <w:tabs>
        <w:tab w:val="left" w:pos="720"/>
      </w:tabs>
    </w:pPr>
    <w:r>
      <w:fldChar w:fldCharType="begin"/>
    </w:r>
    <w:r>
      <w:instrText xml:space="preserve"> PAGE </w:instrText>
    </w:r>
    <w:r>
      <w:fldChar w:fldCharType="separate"/>
    </w:r>
    <w:r>
      <w:rPr>
        <w:noProof/>
      </w:rPr>
      <w:t>44</w:t>
    </w:r>
    <w:r>
      <w:rPr>
        <w:noProof/>
      </w:rPr>
      <w:fldChar w:fldCharType="end"/>
    </w:r>
    <w:r>
      <w:tab/>
      <w:t>Guidelines for Calculations and Sampling</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286E0" w14:textId="77777777" w:rsidR="006C3E10" w:rsidRDefault="006C3E10">
    <w:pPr>
      <w:pStyle w:val="Header"/>
    </w:pPr>
    <w:r>
      <w:tab/>
      <w:t>Guidelines for Calculations and Sampling</w:t>
    </w:r>
    <w:r>
      <w:tab/>
    </w:r>
    <w:r>
      <w:fldChar w:fldCharType="begin"/>
    </w:r>
    <w:r>
      <w:instrText xml:space="preserve"> PAGE </w:instrText>
    </w:r>
    <w:r>
      <w:fldChar w:fldCharType="separate"/>
    </w:r>
    <w:r>
      <w:rPr>
        <w:noProof/>
      </w:rPr>
      <w:t>57</w:t>
    </w:r>
    <w:r>
      <w:rPr>
        <w:noProof/>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9E6D7" w14:textId="77777777" w:rsidR="006C3E10" w:rsidRDefault="006C3E10">
    <w:pPr>
      <w:pStyle w:val="Header"/>
      <w:tabs>
        <w:tab w:val="left" w:pos="720"/>
      </w:tabs>
    </w:pPr>
    <w:r>
      <w:fldChar w:fldCharType="begin"/>
    </w:r>
    <w:r>
      <w:instrText xml:space="preserve"> PAGE </w:instrText>
    </w:r>
    <w:r>
      <w:fldChar w:fldCharType="separate"/>
    </w:r>
    <w:r>
      <w:rPr>
        <w:noProof/>
      </w:rPr>
      <w:t>58</w:t>
    </w:r>
    <w:r>
      <w:rPr>
        <w:noProof/>
      </w:rPr>
      <w:fldChar w:fldCharType="end"/>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B6287" w14:textId="77777777" w:rsidR="006C3E10" w:rsidRPr="005A738E" w:rsidRDefault="006C3E10" w:rsidP="009F6641"/>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FFEEF" w14:textId="77777777" w:rsidR="006C3E10" w:rsidRDefault="006C3E10">
    <w:pPr>
      <w:pStyle w:val="Header"/>
      <w:tabs>
        <w:tab w:val="left" w:pos="720"/>
      </w:tabs>
    </w:pPr>
    <w:r>
      <w:fldChar w:fldCharType="begin"/>
    </w:r>
    <w:r>
      <w:instrText xml:space="preserve"> PAGE </w:instrText>
    </w:r>
    <w:r>
      <w:fldChar w:fldCharType="separate"/>
    </w:r>
    <w:r>
      <w:rPr>
        <w:noProof/>
      </w:rPr>
      <w:t>60</w:t>
    </w:r>
    <w:r>
      <w:rPr>
        <w:noProof/>
      </w:rPr>
      <w:fldChar w:fldCharType="end"/>
    </w:r>
    <w:r>
      <w:tab/>
      <w:t>Guidelines for the Rules for Allowable Adjustments of HEDIS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E541E" w14:textId="77777777" w:rsidR="006C3E10" w:rsidRDefault="006C3E10" w:rsidP="009F6641">
    <w:pPr>
      <w:pStyle w:val="Header"/>
      <w:jc w:val="right"/>
    </w:pPr>
    <w:r>
      <w:tab/>
    </w:r>
    <w:r w:rsidRPr="00B9104B">
      <w:t xml:space="preserve">Guidelines for the Rules for Allowable Adjustments of HEDIS </w:t>
    </w:r>
    <w:r>
      <w:tab/>
    </w:r>
    <w:sdt>
      <w:sdtPr>
        <w:id w:val="-1571415148"/>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9A363" w14:textId="15EDFF9C" w:rsidR="00F942A3" w:rsidRPr="00F942A3" w:rsidRDefault="00F942A3" w:rsidP="00F942A3"/>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9953857"/>
      <w:docPartObj>
        <w:docPartGallery w:val="Page Numbers (Top of Page)"/>
        <w:docPartUnique/>
      </w:docPartObj>
    </w:sdtPr>
    <w:sdtEndPr>
      <w:rPr>
        <w:noProof/>
      </w:rPr>
    </w:sdtEndPr>
    <w:sdtContent>
      <w:p w14:paraId="617C953E" w14:textId="7E284C6A" w:rsidR="000A0080" w:rsidRPr="00F942A3" w:rsidRDefault="000A0080" w:rsidP="000A0080">
        <w:pPr>
          <w:pStyle w:val="Header"/>
          <w:jc w:val="right"/>
        </w:pPr>
        <w:r>
          <w:tab/>
          <w:t>Weight Assessment and Counseling for Nutrition and Physical Activity</w:t>
        </w:r>
        <w:r>
          <w:tab/>
        </w:r>
        <w:r>
          <w:fldChar w:fldCharType="begin"/>
        </w:r>
        <w:r>
          <w:instrText xml:space="preserve"> PAGE   \* MERGEFORMAT </w:instrText>
        </w:r>
        <w:r>
          <w:fldChar w:fldCharType="separate"/>
        </w:r>
        <w:r>
          <w:rPr>
            <w:noProof/>
          </w:rPr>
          <w:t>2</w:t>
        </w:r>
        <w:r>
          <w:rPr>
            <w:noProof/>
          </w:rPr>
          <w:fldChar w:fldCharType="end"/>
        </w:r>
      </w:p>
    </w:sdtContent>
  </w:sdt>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839702"/>
      <w:docPartObj>
        <w:docPartGallery w:val="Page Numbers (Top of Page)"/>
        <w:docPartUnique/>
      </w:docPartObj>
    </w:sdtPr>
    <w:sdtEndPr>
      <w:rPr>
        <w:noProof/>
      </w:rPr>
    </w:sdtEndPr>
    <w:sdtContent>
      <w:p w14:paraId="6B4B5627" w14:textId="00D21A59" w:rsidR="00651836" w:rsidRPr="00F942A3" w:rsidRDefault="00651836" w:rsidP="000A0080">
        <w:pPr>
          <w:pStyle w:val="Header"/>
          <w:jc w:val="right"/>
        </w:pPr>
        <w:r>
          <w:tab/>
        </w:r>
        <w:r w:rsidR="009513D8">
          <w:t>Chlamydia Screening</w:t>
        </w:r>
        <w:r>
          <w:tab/>
        </w:r>
        <w:r>
          <w:fldChar w:fldCharType="begin"/>
        </w:r>
        <w:r>
          <w:instrText xml:space="preserve"> PAGE   \* MERGEFORMAT </w:instrText>
        </w:r>
        <w:r>
          <w:fldChar w:fldCharType="separate"/>
        </w:r>
        <w:r>
          <w:rPr>
            <w:noProof/>
          </w:rPr>
          <w:t>2</w:t>
        </w:r>
        <w:r>
          <w:rPr>
            <w:noProof/>
          </w:rPr>
          <w:fldChar w:fldCharType="end"/>
        </w:r>
      </w:p>
    </w:sdtContent>
  </w:sdt>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0756100"/>
      <w:docPartObj>
        <w:docPartGallery w:val="Page Numbers (Top of Page)"/>
        <w:docPartUnique/>
      </w:docPartObj>
    </w:sdtPr>
    <w:sdtEndPr>
      <w:rPr>
        <w:noProof/>
      </w:rPr>
    </w:sdtEndPr>
    <w:sdtContent>
      <w:p w14:paraId="58C53E6D" w14:textId="4BBF2197" w:rsidR="00246AF3" w:rsidRPr="00F942A3" w:rsidRDefault="00246AF3" w:rsidP="000A0080">
        <w:pPr>
          <w:pStyle w:val="Header"/>
          <w:jc w:val="right"/>
        </w:pPr>
        <w:r>
          <w:tab/>
          <w:t>Care for Older Adults</w:t>
        </w:r>
        <w:r>
          <w:tab/>
        </w:r>
        <w:r>
          <w:fldChar w:fldCharType="begin"/>
        </w:r>
        <w:r>
          <w:instrText xml:space="preserve"> PAGE   \* MERGEFORMAT </w:instrText>
        </w:r>
        <w:r>
          <w:fldChar w:fldCharType="separate"/>
        </w:r>
        <w:r>
          <w:rPr>
            <w:noProof/>
          </w:rPr>
          <w:t>2</w:t>
        </w:r>
        <w:r>
          <w:rPr>
            <w:noProof/>
          </w:rPr>
          <w:fldChar w:fldCharType="end"/>
        </w:r>
      </w:p>
    </w:sdtContent>
  </w:sdt>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8649323"/>
      <w:docPartObj>
        <w:docPartGallery w:val="Page Numbers (Top of Page)"/>
        <w:docPartUnique/>
      </w:docPartObj>
    </w:sdtPr>
    <w:sdtEndPr>
      <w:rPr>
        <w:noProof/>
      </w:rPr>
    </w:sdtEndPr>
    <w:sdtContent>
      <w:p w14:paraId="58C0AF5D" w14:textId="37637E81" w:rsidR="00DF6C06" w:rsidRPr="00F942A3" w:rsidRDefault="00DF6C06" w:rsidP="000A0080">
        <w:pPr>
          <w:pStyle w:val="Header"/>
          <w:jc w:val="right"/>
        </w:pPr>
        <w:r>
          <w:tab/>
        </w:r>
        <w:r w:rsidR="00246AF3">
          <w:t>Oral Evaluation, Dental Services</w:t>
        </w:r>
        <w:r>
          <w:tab/>
        </w:r>
        <w:r>
          <w:fldChar w:fldCharType="begin"/>
        </w:r>
        <w:r>
          <w:instrText xml:space="preserve"> PAGE   \* MERGEFORMAT </w:instrText>
        </w:r>
        <w:r>
          <w:fldChar w:fldCharType="separate"/>
        </w:r>
        <w:r>
          <w:rPr>
            <w:noProof/>
          </w:rPr>
          <w:t>2</w:t>
        </w:r>
        <w:r>
          <w:rPr>
            <w:noProof/>
          </w:rPr>
          <w:fldChar w:fldCharType="end"/>
        </w:r>
      </w:p>
    </w:sdtContent>
  </w:sdt>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4552664"/>
      <w:docPartObj>
        <w:docPartGallery w:val="Page Numbers (Top of Page)"/>
        <w:docPartUnique/>
      </w:docPartObj>
    </w:sdtPr>
    <w:sdtEndPr>
      <w:rPr>
        <w:noProof/>
      </w:rPr>
    </w:sdtEndPr>
    <w:sdtContent>
      <w:p w14:paraId="2FFDAC92" w14:textId="151F4485" w:rsidR="00076ADF" w:rsidRPr="00F942A3" w:rsidRDefault="00076ADF" w:rsidP="000A0080">
        <w:pPr>
          <w:pStyle w:val="Header"/>
          <w:jc w:val="right"/>
        </w:pPr>
        <w:r>
          <w:tab/>
        </w:r>
        <w:r w:rsidR="00DD3DF2">
          <w:t>Topical Fluoride for Children</w:t>
        </w:r>
        <w:r>
          <w:tab/>
        </w:r>
        <w:r>
          <w:fldChar w:fldCharType="begin"/>
        </w:r>
        <w:r>
          <w:instrText xml:space="preserve"> PAGE   \* MERGEFORMAT </w:instrText>
        </w:r>
        <w:r>
          <w:fldChar w:fldCharType="separate"/>
        </w:r>
        <w:r>
          <w:rPr>
            <w:noProof/>
          </w:rPr>
          <w:t>2</w:t>
        </w:r>
        <w:r>
          <w:rPr>
            <w:noProof/>
          </w:rPr>
          <w:fldChar w:fldCharType="end"/>
        </w:r>
      </w:p>
    </w:sdtContent>
  </w:sdt>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3E843" w14:textId="45D234B8" w:rsidR="000A0757" w:rsidRPr="000A0757" w:rsidRDefault="000A0757" w:rsidP="000A0757"/>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9391703"/>
      <w:docPartObj>
        <w:docPartGallery w:val="Page Numbers (Top of Page)"/>
        <w:docPartUnique/>
      </w:docPartObj>
    </w:sdtPr>
    <w:sdtEndPr>
      <w:rPr>
        <w:noProof/>
      </w:rPr>
    </w:sdtEndPr>
    <w:sdtContent>
      <w:p w14:paraId="58FC538D" w14:textId="4AB4DF64" w:rsidR="00087465" w:rsidRDefault="007A4AA3">
        <w:pPr>
          <w:pStyle w:val="Header"/>
          <w:jc w:val="right"/>
        </w:pPr>
        <w:r>
          <w:tab/>
          <w:t>Appropriate Testing for Pharyngitis</w:t>
        </w:r>
        <w:r>
          <w:tab/>
        </w:r>
        <w:r w:rsidR="00087465">
          <w:fldChar w:fldCharType="begin"/>
        </w:r>
        <w:r w:rsidR="00087465">
          <w:instrText xml:space="preserve"> PAGE   \* MERGEFORMAT </w:instrText>
        </w:r>
        <w:r w:rsidR="00087465">
          <w:fldChar w:fldCharType="separate"/>
        </w:r>
        <w:r w:rsidR="00087465">
          <w:rPr>
            <w:noProof/>
          </w:rPr>
          <w:t>2</w:t>
        </w:r>
        <w:r w:rsidR="00087465">
          <w:rPr>
            <w:noProof/>
          </w:rPr>
          <w:fldChar w:fldCharType="end"/>
        </w:r>
      </w:p>
    </w:sdtContent>
  </w:sdt>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1409159"/>
      <w:docPartObj>
        <w:docPartGallery w:val="Page Numbers (Top of Page)"/>
        <w:docPartUnique/>
      </w:docPartObj>
    </w:sdtPr>
    <w:sdtEndPr>
      <w:rPr>
        <w:noProof/>
      </w:rPr>
    </w:sdtEndPr>
    <w:sdtContent>
      <w:p w14:paraId="068E418A" w14:textId="7B34E70E" w:rsidR="00131A5C" w:rsidRDefault="00131A5C">
        <w:pPr>
          <w:pStyle w:val="Header"/>
          <w:jc w:val="right"/>
        </w:pPr>
        <w:r>
          <w:tab/>
          <w:t>Pharmacotherapy Management of COPD Exacerbation</w:t>
        </w:r>
        <w:r>
          <w:tab/>
        </w:r>
        <w:r>
          <w:fldChar w:fldCharType="begin"/>
        </w:r>
        <w:r>
          <w:instrText xml:space="preserve"> PAGE   \* MERGEFORMAT </w:instrText>
        </w:r>
        <w:r>
          <w:fldChar w:fldCharType="separate"/>
        </w:r>
        <w:r>
          <w:rPr>
            <w:noProof/>
          </w:rPr>
          <w:t>2</w:t>
        </w:r>
        <w:r>
          <w:rPr>
            <w:noProof/>
          </w:rPr>
          <w:fldChar w:fldCharType="end"/>
        </w:r>
      </w:p>
    </w:sdtContent>
  </w:sdt>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4FD20" w14:textId="4E4199BE" w:rsidR="00580F6D" w:rsidRPr="00580F6D" w:rsidRDefault="00580F6D" w:rsidP="00580F6D"/>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766986"/>
      <w:docPartObj>
        <w:docPartGallery w:val="Page Numbers (Top of Page)"/>
        <w:docPartUnique/>
      </w:docPartObj>
    </w:sdtPr>
    <w:sdtEndPr>
      <w:rPr>
        <w:noProof/>
      </w:rPr>
    </w:sdtEndPr>
    <w:sdtContent>
      <w:p w14:paraId="26F5455C" w14:textId="0588B457" w:rsidR="001B0A0A" w:rsidRPr="00580F6D" w:rsidRDefault="00A24265" w:rsidP="00C77527">
        <w:pPr>
          <w:pStyle w:val="Header"/>
          <w:jc w:val="right"/>
        </w:pPr>
        <w:r>
          <w:tab/>
          <w:t>Controlling High Blood Pressure</w:t>
        </w:r>
        <w:r>
          <w:tab/>
        </w:r>
        <w:r w:rsidR="001B0A0A">
          <w:fldChar w:fldCharType="begin"/>
        </w:r>
        <w:r w:rsidR="001B0A0A">
          <w:instrText xml:space="preserve"> PAGE   \* MERGEFORMAT </w:instrText>
        </w:r>
        <w:r w:rsidR="001B0A0A">
          <w:fldChar w:fldCharType="separate"/>
        </w:r>
        <w:r w:rsidR="001B0A0A">
          <w:rPr>
            <w:noProof/>
          </w:rPr>
          <w:t>2</w:t>
        </w:r>
        <w:r w:rsidR="001B0A0A">
          <w:rPr>
            <w:noProof/>
          </w:rPr>
          <w:fldChar w:fldCharType="end"/>
        </w:r>
      </w:p>
    </w:sdtContent>
  </w:sdt>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9360595"/>
      <w:docPartObj>
        <w:docPartGallery w:val="Page Numbers (Top of Page)"/>
        <w:docPartUnique/>
      </w:docPartObj>
    </w:sdtPr>
    <w:sdtEndPr>
      <w:rPr>
        <w:noProof/>
      </w:rPr>
    </w:sdtEndPr>
    <w:sdtContent>
      <w:p w14:paraId="6162E8F4" w14:textId="680F0FB6" w:rsidR="00CA50B7" w:rsidRPr="00580F6D" w:rsidRDefault="00CA50B7" w:rsidP="00C77527">
        <w:pPr>
          <w:pStyle w:val="Header"/>
          <w:jc w:val="right"/>
        </w:pPr>
        <w:r>
          <w:tab/>
          <w:t>Persistence of Beta-Blocker Treatment After a Heart Attack</w:t>
        </w:r>
        <w:r>
          <w:tab/>
        </w:r>
        <w:r>
          <w:fldChar w:fldCharType="begin"/>
        </w:r>
        <w:r>
          <w:instrText xml:space="preserve"> PAGE   \* MERGEFORMAT </w:instrText>
        </w:r>
        <w:r>
          <w:fldChar w:fldCharType="separate"/>
        </w:r>
        <w:r>
          <w:rPr>
            <w:noProof/>
          </w:rPr>
          <w:t>2</w:t>
        </w:r>
        <w:r>
          <w:rPr>
            <w:noProof/>
          </w:rPr>
          <w:fldChar w:fldCharType="end"/>
        </w:r>
      </w:p>
    </w:sdtContent>
  </w:sdt>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762360"/>
      <w:docPartObj>
        <w:docPartGallery w:val="Page Numbers (Top of Page)"/>
        <w:docPartUnique/>
      </w:docPartObj>
    </w:sdtPr>
    <w:sdtEndPr>
      <w:rPr>
        <w:noProof/>
      </w:rPr>
    </w:sdtEndPr>
    <w:sdtContent>
      <w:p w14:paraId="06F24F23" w14:textId="670658B7" w:rsidR="00F076D1" w:rsidRPr="00580F6D" w:rsidRDefault="00F076D1" w:rsidP="00C77527">
        <w:pPr>
          <w:pStyle w:val="Header"/>
          <w:jc w:val="right"/>
        </w:pPr>
        <w:r>
          <w:tab/>
          <w:t>Cardiac Rehabilitation</w:t>
        </w:r>
        <w:r>
          <w:tab/>
        </w:r>
        <w:r>
          <w:fldChar w:fldCharType="begin"/>
        </w:r>
        <w:r>
          <w:instrText xml:space="preserve"> PAGE   \* MERGEFORMAT </w:instrText>
        </w:r>
        <w:r>
          <w:fldChar w:fldCharType="separate"/>
        </w:r>
        <w:r>
          <w:rPr>
            <w:noProof/>
          </w:rPr>
          <w:t>2</w:t>
        </w:r>
        <w:r>
          <w:rPr>
            <w:noProof/>
          </w:rPr>
          <w:fldChar w:fldCharType="end"/>
        </w:r>
      </w:p>
    </w:sdtContent>
  </w:sdt>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CD0D8" w14:textId="6124B92C" w:rsidR="00483392" w:rsidRPr="00483392" w:rsidRDefault="00483392" w:rsidP="00483392"/>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760342"/>
      <w:docPartObj>
        <w:docPartGallery w:val="Page Numbers (Top of Page)"/>
        <w:docPartUnique/>
      </w:docPartObj>
    </w:sdtPr>
    <w:sdtEndPr>
      <w:rPr>
        <w:noProof/>
      </w:rPr>
    </w:sdtEndPr>
    <w:sdtContent>
      <w:p w14:paraId="2BBC02A2" w14:textId="6F24261C" w:rsidR="00BA4DD5" w:rsidRPr="00483392" w:rsidRDefault="00D0637E" w:rsidP="00BA4DD5">
        <w:pPr>
          <w:pStyle w:val="Header"/>
          <w:jc w:val="right"/>
        </w:pPr>
        <w:r>
          <w:tab/>
          <w:t xml:space="preserve">Glycemic Status Assessment for Patients With Diabetes </w:t>
        </w:r>
        <w:r>
          <w:tab/>
        </w:r>
        <w:r w:rsidR="00BA4DD5">
          <w:fldChar w:fldCharType="begin"/>
        </w:r>
        <w:r w:rsidR="00BA4DD5">
          <w:instrText xml:space="preserve"> PAGE   \* MERGEFORMAT </w:instrText>
        </w:r>
        <w:r w:rsidR="00BA4DD5">
          <w:fldChar w:fldCharType="separate"/>
        </w:r>
        <w:r w:rsidR="00BA4DD5">
          <w:rPr>
            <w:noProof/>
          </w:rPr>
          <w:t>2</w:t>
        </w:r>
        <w:r w:rsidR="00BA4DD5">
          <w:rPr>
            <w:noProof/>
          </w:rPr>
          <w:fldChar w:fldCharType="end"/>
        </w:r>
      </w:p>
    </w:sdtContent>
  </w:sdt>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3077267"/>
      <w:docPartObj>
        <w:docPartGallery w:val="Page Numbers (Top of Page)"/>
        <w:docPartUnique/>
      </w:docPartObj>
    </w:sdtPr>
    <w:sdtEndPr>
      <w:rPr>
        <w:noProof/>
      </w:rPr>
    </w:sdtEndPr>
    <w:sdtContent>
      <w:p w14:paraId="6E222A5D" w14:textId="772E77FD" w:rsidR="00906B2D" w:rsidRPr="00483392" w:rsidRDefault="00906B2D" w:rsidP="00BA4DD5">
        <w:pPr>
          <w:pStyle w:val="Header"/>
          <w:jc w:val="right"/>
        </w:pPr>
        <w:r>
          <w:tab/>
        </w:r>
        <w:r w:rsidRPr="00D76051">
          <w:t>Blood Pressure Control for Patients With Diabetes</w:t>
        </w:r>
        <w:r>
          <w:tab/>
        </w:r>
        <w:r>
          <w:fldChar w:fldCharType="begin"/>
        </w:r>
        <w:r>
          <w:instrText xml:space="preserve"> PAGE   \* MERGEFORMAT </w:instrText>
        </w:r>
        <w:r>
          <w:fldChar w:fldCharType="separate"/>
        </w:r>
        <w:r>
          <w:rPr>
            <w:noProof/>
          </w:rPr>
          <w:t>2</w:t>
        </w:r>
        <w:r>
          <w:rPr>
            <w:noProof/>
          </w:rPr>
          <w:fldChar w:fldCharType="end"/>
        </w:r>
      </w:p>
    </w:sdtContent>
  </w:sdt>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1857419"/>
      <w:docPartObj>
        <w:docPartGallery w:val="Page Numbers (Top of Page)"/>
        <w:docPartUnique/>
      </w:docPartObj>
    </w:sdtPr>
    <w:sdtEndPr>
      <w:rPr>
        <w:noProof/>
      </w:rPr>
    </w:sdtEndPr>
    <w:sdtContent>
      <w:p w14:paraId="20734B3A" w14:textId="2ED76A2F" w:rsidR="00C46E3F" w:rsidRPr="00483392" w:rsidRDefault="00C46E3F" w:rsidP="00BA4DD5">
        <w:pPr>
          <w:pStyle w:val="Header"/>
          <w:jc w:val="right"/>
        </w:pPr>
        <w:r>
          <w:tab/>
        </w:r>
        <w:r w:rsidRPr="00ED35F3">
          <w:t>Eye Exam for Patients With Diabetes</w:t>
        </w:r>
        <w:r>
          <w:tab/>
        </w:r>
        <w:r>
          <w:fldChar w:fldCharType="begin"/>
        </w:r>
        <w:r>
          <w:instrText xml:space="preserve"> PAGE   \* MERGEFORMAT </w:instrText>
        </w:r>
        <w:r>
          <w:fldChar w:fldCharType="separate"/>
        </w:r>
        <w:r>
          <w:rPr>
            <w:noProof/>
          </w:rPr>
          <w:t>2</w:t>
        </w:r>
        <w:r>
          <w:rPr>
            <w:noProof/>
          </w:rPr>
          <w:fldChar w:fldCharType="end"/>
        </w:r>
      </w:p>
    </w:sdtContent>
  </w:sdt>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678490"/>
      <w:docPartObj>
        <w:docPartGallery w:val="Page Numbers (Top of Page)"/>
        <w:docPartUnique/>
      </w:docPartObj>
    </w:sdtPr>
    <w:sdtEndPr>
      <w:rPr>
        <w:noProof/>
      </w:rPr>
    </w:sdtEndPr>
    <w:sdtContent>
      <w:p w14:paraId="088074DF" w14:textId="646B8935" w:rsidR="007919B9" w:rsidRPr="00483392" w:rsidRDefault="007919B9" w:rsidP="00BA4DD5">
        <w:pPr>
          <w:pStyle w:val="Header"/>
          <w:jc w:val="right"/>
        </w:pPr>
        <w:r>
          <w:tab/>
          <w:t>Kidney Health Evaluation for Patients With Diabetes</w:t>
        </w:r>
        <w:r>
          <w:tab/>
        </w:r>
        <w:r>
          <w:fldChar w:fldCharType="begin"/>
        </w:r>
        <w:r>
          <w:instrText xml:space="preserve"> PAGE   \* MERGEFORMAT </w:instrText>
        </w:r>
        <w:r>
          <w:fldChar w:fldCharType="separate"/>
        </w:r>
        <w:r>
          <w:rPr>
            <w:noProof/>
          </w:rPr>
          <w:t>2</w:t>
        </w:r>
        <w:r>
          <w:rPr>
            <w:noProof/>
          </w:rPr>
          <w:fldChar w:fldCharType="end"/>
        </w:r>
      </w:p>
    </w:sdtContent>
  </w:sdt>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ED07C" w14:textId="5770EC9A" w:rsidR="00E82E36" w:rsidRPr="00E82E36" w:rsidRDefault="00E82E36" w:rsidP="00E82E36"/>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175626"/>
      <w:docPartObj>
        <w:docPartGallery w:val="Page Numbers (Top of Page)"/>
        <w:docPartUnique/>
      </w:docPartObj>
    </w:sdtPr>
    <w:sdtEndPr>
      <w:rPr>
        <w:noProof/>
      </w:rPr>
    </w:sdtEndPr>
    <w:sdtContent>
      <w:p w14:paraId="0E526FE2" w14:textId="309EA5BC" w:rsidR="00E82E36" w:rsidRPr="00E82E36" w:rsidRDefault="00E82E36" w:rsidP="00E82E36">
        <w:pPr>
          <w:pStyle w:val="Header"/>
          <w:jc w:val="right"/>
        </w:pPr>
        <w:r>
          <w:tab/>
          <w:t xml:space="preserve">Osteoporosis Management in Women Who Had a Fracture </w:t>
        </w:r>
        <w:r>
          <w:tab/>
        </w:r>
        <w:r>
          <w:fldChar w:fldCharType="begin"/>
        </w:r>
        <w:r>
          <w:instrText xml:space="preserve"> PAGE   \* MERGEFORMAT </w:instrText>
        </w:r>
        <w:r>
          <w:fldChar w:fldCharType="separate"/>
        </w:r>
        <w:r>
          <w:rPr>
            <w:noProof/>
          </w:rPr>
          <w:t>2</w:t>
        </w:r>
        <w:r>
          <w:rPr>
            <w:noProof/>
          </w:rPr>
          <w:fldChar w:fldCharType="end"/>
        </w:r>
      </w:p>
    </w:sdtContent>
  </w:sdt>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4033272"/>
      <w:docPartObj>
        <w:docPartGallery w:val="Page Numbers (Top of Page)"/>
        <w:docPartUnique/>
      </w:docPartObj>
    </w:sdtPr>
    <w:sdtEndPr>
      <w:rPr>
        <w:noProof/>
      </w:rPr>
    </w:sdtEndPr>
    <w:sdtContent>
      <w:p w14:paraId="7A99A522" w14:textId="6E3C6CF2" w:rsidR="00E82E36" w:rsidRPr="00E82E36" w:rsidRDefault="00E82E36" w:rsidP="00E82E36">
        <w:pPr>
          <w:pStyle w:val="Header"/>
          <w:jc w:val="right"/>
        </w:pPr>
        <w:r>
          <w:tab/>
        </w:r>
        <w:r w:rsidRPr="008103E5">
          <w:t>Osteoporosis Screening in Older Women</w:t>
        </w:r>
        <w:r>
          <w:tab/>
        </w:r>
        <w:r>
          <w:fldChar w:fldCharType="begin"/>
        </w:r>
        <w:r>
          <w:instrText xml:space="preserve"> PAGE   \* MERGEFORMAT </w:instrText>
        </w:r>
        <w:r>
          <w:fldChar w:fldCharType="separate"/>
        </w:r>
        <w:r>
          <w:rPr>
            <w:noProof/>
          </w:rPr>
          <w:t>2</w:t>
        </w:r>
        <w:r>
          <w:rPr>
            <w:noProof/>
          </w:rPr>
          <w:fldChar w:fldCharType="end"/>
        </w:r>
      </w:p>
    </w:sdtContent>
  </w:sdt>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1572D" w14:textId="366A2660" w:rsidR="00027583" w:rsidRPr="00027583" w:rsidRDefault="00027583" w:rsidP="00027583"/>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354856"/>
      <w:docPartObj>
        <w:docPartGallery w:val="Page Numbers (Top of Page)"/>
        <w:docPartUnique/>
      </w:docPartObj>
    </w:sdtPr>
    <w:sdtEndPr>
      <w:rPr>
        <w:noProof/>
      </w:rPr>
    </w:sdtEndPr>
    <w:sdtContent>
      <w:p w14:paraId="71D8BAA7" w14:textId="3ABB9449" w:rsidR="00027583" w:rsidRPr="00027583" w:rsidRDefault="00027583" w:rsidP="00027583">
        <w:pPr>
          <w:pStyle w:val="Header"/>
          <w:jc w:val="right"/>
        </w:pPr>
        <w:r>
          <w:tab/>
          <w:t>Diagnosed Mental Health Disorders</w:t>
        </w:r>
        <w:r>
          <w:tab/>
        </w:r>
        <w:r>
          <w:fldChar w:fldCharType="begin"/>
        </w:r>
        <w:r>
          <w:instrText xml:space="preserve"> PAGE   \* MERGEFORMAT </w:instrText>
        </w:r>
        <w:r>
          <w:fldChar w:fldCharType="separate"/>
        </w:r>
        <w:r>
          <w:rPr>
            <w:noProof/>
          </w:rPr>
          <w:t>2</w:t>
        </w:r>
        <w:r>
          <w:rPr>
            <w:noProof/>
          </w:rPr>
          <w:fldChar w:fldCharType="end"/>
        </w:r>
      </w:p>
    </w:sdtContent>
  </w:sdt>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107950"/>
      <w:docPartObj>
        <w:docPartGallery w:val="Page Numbers (Top of Page)"/>
        <w:docPartUnique/>
      </w:docPartObj>
    </w:sdtPr>
    <w:sdtEndPr>
      <w:rPr>
        <w:noProof/>
      </w:rPr>
    </w:sdtEndPr>
    <w:sdtContent>
      <w:p w14:paraId="26CB5999" w14:textId="43187783" w:rsidR="00027583" w:rsidRPr="00027583" w:rsidRDefault="00027583" w:rsidP="00027583">
        <w:pPr>
          <w:pStyle w:val="Header"/>
          <w:jc w:val="right"/>
        </w:pPr>
        <w:r>
          <w:tab/>
          <w:t>Follow-Up After Hospitalization for Mental Illness</w:t>
        </w:r>
        <w:r>
          <w:tab/>
        </w:r>
        <w:r>
          <w:fldChar w:fldCharType="begin"/>
        </w:r>
        <w:r>
          <w:instrText xml:space="preserve"> PAGE   \* MERGEFORMAT </w:instrText>
        </w:r>
        <w:r>
          <w:fldChar w:fldCharType="separate"/>
        </w:r>
        <w:r>
          <w:rPr>
            <w:noProof/>
          </w:rPr>
          <w:t>2</w:t>
        </w:r>
        <w:r>
          <w:rPr>
            <w:noProof/>
          </w:rPr>
          <w:fldChar w:fldCharType="end"/>
        </w:r>
      </w:p>
    </w:sdtContent>
  </w:sdt>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4118741"/>
      <w:docPartObj>
        <w:docPartGallery w:val="Page Numbers (Top of Page)"/>
        <w:docPartUnique/>
      </w:docPartObj>
    </w:sdtPr>
    <w:sdtEndPr>
      <w:rPr>
        <w:noProof/>
      </w:rPr>
    </w:sdtEndPr>
    <w:sdtContent>
      <w:p w14:paraId="7AF253B0" w14:textId="2DE51958" w:rsidR="002A5E56" w:rsidRPr="00027583" w:rsidRDefault="002A5E56" w:rsidP="00027583">
        <w:pPr>
          <w:pStyle w:val="Header"/>
          <w:jc w:val="right"/>
        </w:pPr>
        <w:r>
          <w:tab/>
          <w:t>Follow-Up After Emergency Department Visit for Mental Illness</w:t>
        </w:r>
        <w:r>
          <w:tab/>
        </w:r>
        <w:r>
          <w:fldChar w:fldCharType="begin"/>
        </w:r>
        <w:r>
          <w:instrText xml:space="preserve"> PAGE   \* MERGEFORMAT </w:instrText>
        </w:r>
        <w:r>
          <w:fldChar w:fldCharType="separate"/>
        </w:r>
        <w:r>
          <w:rPr>
            <w:noProof/>
          </w:rPr>
          <w:t>2</w:t>
        </w:r>
        <w:r>
          <w:rPr>
            <w:noProof/>
          </w:rPr>
          <w:fldChar w:fldCharType="end"/>
        </w:r>
      </w:p>
    </w:sdtContent>
  </w:sdt>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964600"/>
      <w:docPartObj>
        <w:docPartGallery w:val="Page Numbers (Top of Page)"/>
        <w:docPartUnique/>
      </w:docPartObj>
    </w:sdtPr>
    <w:sdtEndPr>
      <w:rPr>
        <w:noProof/>
      </w:rPr>
    </w:sdtEndPr>
    <w:sdtContent>
      <w:p w14:paraId="7F136CD5" w14:textId="56ED89E4" w:rsidR="002A5E56" w:rsidRPr="00027583" w:rsidRDefault="002A5E56" w:rsidP="00027583">
        <w:pPr>
          <w:pStyle w:val="Header"/>
          <w:jc w:val="right"/>
        </w:pPr>
        <w:r>
          <w:tab/>
        </w:r>
        <w:r w:rsidRPr="00B25AC4">
          <w:t>Diagnosed Substance Use Disorders</w:t>
        </w:r>
        <w:r>
          <w:tab/>
        </w:r>
        <w:r>
          <w:fldChar w:fldCharType="begin"/>
        </w:r>
        <w:r>
          <w:instrText xml:space="preserve"> PAGE   \* MERGEFORMAT </w:instrText>
        </w:r>
        <w:r>
          <w:fldChar w:fldCharType="separate"/>
        </w:r>
        <w:r>
          <w:rPr>
            <w:noProof/>
          </w:rPr>
          <w:t>2</w:t>
        </w:r>
        <w:r>
          <w:rPr>
            <w:noProof/>
          </w:rPr>
          <w:fldChar w:fldCharType="end"/>
        </w:r>
      </w:p>
    </w:sdtContent>
  </w:sdt>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253494"/>
      <w:docPartObj>
        <w:docPartGallery w:val="Page Numbers (Top of Page)"/>
        <w:docPartUnique/>
      </w:docPartObj>
    </w:sdtPr>
    <w:sdtEndPr>
      <w:rPr>
        <w:noProof/>
      </w:rPr>
    </w:sdtEndPr>
    <w:sdtContent>
      <w:p w14:paraId="5BAC7435" w14:textId="5FCE1D42" w:rsidR="003846A3" w:rsidRPr="00027583" w:rsidRDefault="003846A3" w:rsidP="00027583">
        <w:pPr>
          <w:pStyle w:val="Header"/>
          <w:jc w:val="right"/>
        </w:pPr>
        <w:r>
          <w:tab/>
        </w:r>
        <w:r w:rsidRPr="00831552">
          <w:t>Follow-Up After High-Intensity Care for Substance Use Disorder</w:t>
        </w:r>
        <w:r>
          <w:tab/>
        </w:r>
        <w:r>
          <w:fldChar w:fldCharType="begin"/>
        </w:r>
        <w:r>
          <w:instrText xml:space="preserve"> PAGE   \* MERGEFORMAT </w:instrText>
        </w:r>
        <w:r>
          <w:fldChar w:fldCharType="separate"/>
        </w:r>
        <w:r>
          <w:rPr>
            <w:noProof/>
          </w:rPr>
          <w:t>2</w:t>
        </w:r>
        <w:r>
          <w:rPr>
            <w:noProof/>
          </w:rPr>
          <w:fldChar w:fldCharType="end"/>
        </w:r>
      </w:p>
    </w:sdtContent>
  </w:sdt>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497232"/>
      <w:docPartObj>
        <w:docPartGallery w:val="Page Numbers (Top of Page)"/>
        <w:docPartUnique/>
      </w:docPartObj>
    </w:sdtPr>
    <w:sdtEndPr>
      <w:rPr>
        <w:noProof/>
      </w:rPr>
    </w:sdtEndPr>
    <w:sdtContent>
      <w:p w14:paraId="3BAD1540" w14:textId="14B475EB" w:rsidR="005B3667" w:rsidRPr="00027583" w:rsidRDefault="005B3667" w:rsidP="00027583">
        <w:pPr>
          <w:pStyle w:val="Header"/>
          <w:jc w:val="right"/>
        </w:pPr>
        <w:r>
          <w:tab/>
        </w:r>
        <w:r w:rsidRPr="00C67401">
          <w:t>Follow-Up After Emergency Department Visit for Substance Use</w:t>
        </w:r>
        <w:r>
          <w:tab/>
        </w:r>
        <w:r>
          <w:fldChar w:fldCharType="begin"/>
        </w:r>
        <w:r>
          <w:instrText xml:space="preserve"> PAGE   \* MERGEFORMAT </w:instrText>
        </w:r>
        <w:r>
          <w:fldChar w:fldCharType="separate"/>
        </w:r>
        <w:r>
          <w:rPr>
            <w:noProof/>
          </w:rPr>
          <w:t>2</w:t>
        </w:r>
        <w:r>
          <w:rPr>
            <w:noProof/>
          </w:rPr>
          <w:fldChar w:fldCharType="end"/>
        </w:r>
      </w:p>
    </w:sdtContent>
  </w:sdt>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138526"/>
      <w:docPartObj>
        <w:docPartGallery w:val="Page Numbers (Top of Page)"/>
        <w:docPartUnique/>
      </w:docPartObj>
    </w:sdtPr>
    <w:sdtEndPr>
      <w:rPr>
        <w:noProof/>
      </w:rPr>
    </w:sdtEndPr>
    <w:sdtContent>
      <w:p w14:paraId="499CA066" w14:textId="22C9D851" w:rsidR="0079131D" w:rsidRPr="00027583" w:rsidRDefault="0079131D" w:rsidP="00027583">
        <w:pPr>
          <w:pStyle w:val="Header"/>
          <w:jc w:val="right"/>
        </w:pPr>
        <w:r>
          <w:tab/>
        </w:r>
        <w:r w:rsidR="00C208BB">
          <w:t>Pharmacotherapy for Opioid Use Disorder</w:t>
        </w:r>
        <w:r>
          <w:tab/>
        </w:r>
        <w:r>
          <w:fldChar w:fldCharType="begin"/>
        </w:r>
        <w:r>
          <w:instrText xml:space="preserve"> PAGE   \* MERGEFORMAT </w:instrText>
        </w:r>
        <w:r>
          <w:fldChar w:fldCharType="separate"/>
        </w:r>
        <w:r>
          <w:rPr>
            <w:noProof/>
          </w:rPr>
          <w:t>2</w:t>
        </w:r>
        <w:r>
          <w:rPr>
            <w:noProof/>
          </w:rPr>
          <w:fldChar w:fldCharType="end"/>
        </w:r>
      </w:p>
    </w:sdtContent>
  </w:sdt>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133534"/>
      <w:docPartObj>
        <w:docPartGallery w:val="Page Numbers (Top of Page)"/>
        <w:docPartUnique/>
      </w:docPartObj>
    </w:sdtPr>
    <w:sdtEndPr>
      <w:rPr>
        <w:noProof/>
      </w:rPr>
    </w:sdtEndPr>
    <w:sdtContent>
      <w:p w14:paraId="165466A7" w14:textId="6EC91834" w:rsidR="000340B1" w:rsidRPr="00027583" w:rsidRDefault="000340B1" w:rsidP="00027583">
        <w:pPr>
          <w:pStyle w:val="Header"/>
          <w:jc w:val="right"/>
        </w:pPr>
        <w:r>
          <w:tab/>
        </w:r>
        <w:r w:rsidRPr="00B3657C">
          <w:t>Diabetes Screening for People With Schizophrenia or Bipolar Disorder</w:t>
        </w:r>
        <w:r>
          <w:tab/>
        </w:r>
        <w:r>
          <w:fldChar w:fldCharType="begin"/>
        </w:r>
        <w:r>
          <w:instrText xml:space="preserve"> PAGE   \* MERGEFORMAT </w:instrText>
        </w:r>
        <w:r>
          <w:fldChar w:fldCharType="separate"/>
        </w:r>
        <w:r>
          <w:rPr>
            <w:noProof/>
          </w:rPr>
          <w:t>2</w:t>
        </w:r>
        <w:r>
          <w:rPr>
            <w:noProof/>
          </w:rPr>
          <w:fldChar w:fldCharType="end"/>
        </w:r>
      </w:p>
    </w:sdtContent>
  </w:sdt>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8207497"/>
      <w:docPartObj>
        <w:docPartGallery w:val="Page Numbers (Top of Page)"/>
        <w:docPartUnique/>
      </w:docPartObj>
    </w:sdtPr>
    <w:sdtEndPr>
      <w:rPr>
        <w:noProof/>
      </w:rPr>
    </w:sdtEndPr>
    <w:sdtContent>
      <w:p w14:paraId="10A7ABA9" w14:textId="10E03581" w:rsidR="00EC737D" w:rsidRPr="00027583" w:rsidRDefault="00EC737D" w:rsidP="00027583">
        <w:pPr>
          <w:pStyle w:val="Header"/>
          <w:jc w:val="right"/>
        </w:pPr>
        <w:r>
          <w:tab/>
        </w:r>
        <w:r w:rsidRPr="006248BE">
          <w:t>Diabetes Monitoring for People With Diabetes and Schizophrenia</w:t>
        </w:r>
        <w:r>
          <w:tab/>
        </w:r>
        <w:r>
          <w:fldChar w:fldCharType="begin"/>
        </w:r>
        <w:r>
          <w:instrText xml:space="preserve"> PAGE   \* MERGEFORMAT </w:instrText>
        </w:r>
        <w:r>
          <w:fldChar w:fldCharType="separate"/>
        </w:r>
        <w:r>
          <w:rPr>
            <w:noProof/>
          </w:rPr>
          <w:t>2</w:t>
        </w:r>
        <w:r>
          <w:rPr>
            <w:noProof/>
          </w:rPr>
          <w:fldChar w:fldCharType="end"/>
        </w:r>
      </w:p>
    </w:sdtContent>
  </w:sdt>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4941225"/>
      <w:docPartObj>
        <w:docPartGallery w:val="Page Numbers (Top of Page)"/>
        <w:docPartUnique/>
      </w:docPartObj>
    </w:sdtPr>
    <w:sdtEndPr>
      <w:rPr>
        <w:noProof/>
      </w:rPr>
    </w:sdtEndPr>
    <w:sdtContent>
      <w:p w14:paraId="1D34F976" w14:textId="4B1BC59F" w:rsidR="0089169F" w:rsidRPr="00027583" w:rsidRDefault="0089169F" w:rsidP="00027583">
        <w:pPr>
          <w:pStyle w:val="Header"/>
          <w:jc w:val="right"/>
        </w:pPr>
        <w:r>
          <w:tab/>
        </w:r>
        <w:r w:rsidRPr="000A2E8F">
          <w:t>Cardiovascular Monitoring for People With Cardiovascular Disease and Schizophrenia</w:t>
        </w:r>
        <w:r>
          <w:tab/>
        </w:r>
        <w:r>
          <w:fldChar w:fldCharType="begin"/>
        </w:r>
        <w:r>
          <w:instrText xml:space="preserve"> PAGE   \* MERGEFORMAT </w:instrText>
        </w:r>
        <w:r>
          <w:fldChar w:fldCharType="separate"/>
        </w:r>
        <w:r>
          <w:rPr>
            <w:noProof/>
          </w:rPr>
          <w:t>2</w:t>
        </w:r>
        <w:r>
          <w:rPr>
            <w:noProof/>
          </w:rPr>
          <w:fldChar w:fldCharType="end"/>
        </w:r>
      </w:p>
    </w:sdtContent>
  </w:sdt>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3070133"/>
      <w:docPartObj>
        <w:docPartGallery w:val="Page Numbers (Top of Page)"/>
        <w:docPartUnique/>
      </w:docPartObj>
    </w:sdtPr>
    <w:sdtEndPr>
      <w:rPr>
        <w:noProof/>
      </w:rPr>
    </w:sdtEndPr>
    <w:sdtContent>
      <w:p w14:paraId="2B6C772A" w14:textId="39AA9D3E" w:rsidR="00D27757" w:rsidRPr="00027583" w:rsidRDefault="00D27757" w:rsidP="00027583">
        <w:pPr>
          <w:pStyle w:val="Header"/>
          <w:jc w:val="right"/>
        </w:pPr>
        <w:r>
          <w:tab/>
        </w:r>
        <w:r w:rsidRPr="00331FA3">
          <w:t>Adherence to Antipsychotic Medications for Individuals With Schizophrenia</w:t>
        </w:r>
        <w:r>
          <w:tab/>
        </w:r>
        <w:r>
          <w:fldChar w:fldCharType="begin"/>
        </w:r>
        <w:r>
          <w:instrText xml:space="preserve"> PAGE   \* MERGEFORMAT </w:instrText>
        </w:r>
        <w:r>
          <w:fldChar w:fldCharType="separate"/>
        </w:r>
        <w:r>
          <w:rPr>
            <w:noProof/>
          </w:rPr>
          <w:t>2</w:t>
        </w:r>
        <w:r>
          <w:rPr>
            <w:noProof/>
          </w:rPr>
          <w:fldChar w:fldCharType="end"/>
        </w:r>
      </w:p>
    </w:sdtContent>
  </w:sdt>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48E2F" w14:textId="190B18C1" w:rsidR="00552887" w:rsidRPr="00552887" w:rsidRDefault="00552887" w:rsidP="00552887"/>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66A89" w14:textId="50ECC128" w:rsidR="00F81C18" w:rsidRPr="00552887" w:rsidRDefault="00F81C18" w:rsidP="00F81C18">
    <w:pPr>
      <w:pStyle w:val="Header"/>
      <w:jc w:val="right"/>
    </w:pPr>
    <w:r>
      <w:tab/>
    </w:r>
    <w:r w:rsidR="00FF3378">
      <w:t>Advance Care Planning</w:t>
    </w:r>
    <w:r w:rsidR="00FF3378">
      <w:tab/>
    </w:r>
    <w:sdt>
      <w:sdtPr>
        <w:id w:val="-1397582165"/>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D1A15" w14:textId="385CCF55" w:rsidR="00C34891" w:rsidRPr="00552887" w:rsidRDefault="00C34891" w:rsidP="00F81C18">
    <w:pPr>
      <w:pStyle w:val="Header"/>
      <w:jc w:val="right"/>
    </w:pPr>
    <w:r>
      <w:tab/>
      <w:t>Transitions of Care</w:t>
    </w:r>
    <w:r>
      <w:tab/>
    </w:r>
    <w:sdt>
      <w:sdtPr>
        <w:id w:val="1810427210"/>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0A779" w14:textId="28C14574" w:rsidR="00443107" w:rsidRPr="00552887" w:rsidRDefault="00443107" w:rsidP="00F81C18">
    <w:pPr>
      <w:pStyle w:val="Header"/>
      <w:jc w:val="right"/>
    </w:pPr>
    <w:r>
      <w:tab/>
    </w:r>
    <w:r w:rsidRPr="00F86335">
      <w:t>Follow-Up After Emergency Department Visit for People With High-Risk Chronic Conditio</w:t>
    </w:r>
    <w:r w:rsidR="00DE2FCF">
      <w:t>ns</w:t>
    </w:r>
    <w:r>
      <w:tab/>
    </w:r>
    <w:sdt>
      <w:sdtPr>
        <w:id w:val="-1958944755"/>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864BA" w14:textId="700D01CB" w:rsidR="001D1B84" w:rsidRPr="001D1B84" w:rsidRDefault="001D1B84" w:rsidP="001D1B84"/>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1021782"/>
      <w:docPartObj>
        <w:docPartGallery w:val="Page Numbers (Top of Page)"/>
        <w:docPartUnique/>
      </w:docPartObj>
    </w:sdtPr>
    <w:sdtEndPr>
      <w:rPr>
        <w:noProof/>
      </w:rPr>
    </w:sdtEndPr>
    <w:sdtContent>
      <w:p w14:paraId="0F7B10FE" w14:textId="75AD1A93" w:rsidR="00D606F6" w:rsidRPr="001D1B84" w:rsidRDefault="00D606F6" w:rsidP="00D606F6">
        <w:pPr>
          <w:pStyle w:val="Header"/>
          <w:jc w:val="right"/>
        </w:pPr>
        <w:r>
          <w:tab/>
        </w:r>
        <w:r w:rsidRPr="0098327D">
          <w:t>Non-Recommended PSA-Based Screening in Older Men</w:t>
        </w:r>
        <w:r>
          <w:t xml:space="preserve"> </w:t>
        </w:r>
        <w:r>
          <w:tab/>
        </w:r>
        <w:r>
          <w:fldChar w:fldCharType="begin"/>
        </w:r>
        <w:r>
          <w:instrText xml:space="preserve"> PAGE   \* MERGEFORMAT </w:instrText>
        </w:r>
        <w:r>
          <w:fldChar w:fldCharType="separate"/>
        </w:r>
        <w:r>
          <w:rPr>
            <w:noProof/>
          </w:rPr>
          <w:t>2</w:t>
        </w:r>
        <w:r>
          <w:rPr>
            <w:noProof/>
          </w:rPr>
          <w:fldChar w:fldCharType="end"/>
        </w:r>
      </w:p>
    </w:sdtContent>
  </w:sdt>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694671"/>
      <w:docPartObj>
        <w:docPartGallery w:val="Page Numbers (Top of Page)"/>
        <w:docPartUnique/>
      </w:docPartObj>
    </w:sdtPr>
    <w:sdtEndPr>
      <w:rPr>
        <w:noProof/>
      </w:rPr>
    </w:sdtEndPr>
    <w:sdtContent>
      <w:p w14:paraId="6C88B73F" w14:textId="75730B7B" w:rsidR="00342506" w:rsidRPr="001D1B84" w:rsidRDefault="00342506" w:rsidP="00D606F6">
        <w:pPr>
          <w:pStyle w:val="Header"/>
          <w:jc w:val="right"/>
        </w:pPr>
        <w:r>
          <w:tab/>
        </w:r>
        <w:r w:rsidRPr="00163417">
          <w:t>Appropriate Treatment for Upper Respiratory Infection</w:t>
        </w:r>
        <w:r>
          <w:tab/>
        </w:r>
        <w:r>
          <w:fldChar w:fldCharType="begin"/>
        </w:r>
        <w:r>
          <w:instrText xml:space="preserve"> PAGE   \* MERGEFORMAT </w:instrText>
        </w:r>
        <w:r>
          <w:fldChar w:fldCharType="separate"/>
        </w:r>
        <w:r>
          <w:rPr>
            <w:noProof/>
          </w:rPr>
          <w:t>2</w:t>
        </w:r>
        <w:r>
          <w:rPr>
            <w:noProof/>
          </w:rPr>
          <w:fldChar w:fldCharType="end"/>
        </w:r>
      </w:p>
    </w:sdtContent>
  </w:sdt>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7901845"/>
      <w:docPartObj>
        <w:docPartGallery w:val="Page Numbers (Top of Page)"/>
        <w:docPartUnique/>
      </w:docPartObj>
    </w:sdtPr>
    <w:sdtEndPr>
      <w:rPr>
        <w:noProof/>
      </w:rPr>
    </w:sdtEndPr>
    <w:sdtContent>
      <w:p w14:paraId="193DDE97" w14:textId="59F3D19B" w:rsidR="004B1916" w:rsidRPr="001D1B84" w:rsidRDefault="004B1916" w:rsidP="00D606F6">
        <w:pPr>
          <w:pStyle w:val="Header"/>
          <w:jc w:val="right"/>
        </w:pPr>
        <w:r>
          <w:tab/>
        </w:r>
        <w:r w:rsidRPr="005267AF">
          <w:t>Avoidance of Antibiotic Treatment for Acute Bronchitis/Bronchiolitis</w:t>
        </w:r>
        <w:r>
          <w:tab/>
        </w:r>
        <w:r>
          <w:fldChar w:fldCharType="begin"/>
        </w:r>
        <w:r>
          <w:instrText xml:space="preserve"> PAGE   \* MERGEFORMAT </w:instrText>
        </w:r>
        <w:r>
          <w:fldChar w:fldCharType="separate"/>
        </w:r>
        <w:r>
          <w:rPr>
            <w:noProof/>
          </w:rPr>
          <w:t>2</w:t>
        </w:r>
        <w:r>
          <w:rPr>
            <w:noProof/>
          </w:rPr>
          <w:fldChar w:fldCharType="end"/>
        </w:r>
      </w:p>
    </w:sdtContent>
  </w:sdt>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701970"/>
      <w:docPartObj>
        <w:docPartGallery w:val="Page Numbers (Top of Page)"/>
        <w:docPartUnique/>
      </w:docPartObj>
    </w:sdtPr>
    <w:sdtEndPr>
      <w:rPr>
        <w:noProof/>
      </w:rPr>
    </w:sdtEndPr>
    <w:sdtContent>
      <w:p w14:paraId="121F70B6" w14:textId="57F7163F" w:rsidR="00F73FB4" w:rsidRPr="001D1B84" w:rsidRDefault="00F73FB4" w:rsidP="00D606F6">
        <w:pPr>
          <w:pStyle w:val="Header"/>
          <w:jc w:val="right"/>
        </w:pPr>
        <w:r>
          <w:tab/>
          <w:t>Use of Imaging Studies for Low Back Pain</w:t>
        </w:r>
        <w:r>
          <w:tab/>
        </w:r>
        <w:r>
          <w:fldChar w:fldCharType="begin"/>
        </w:r>
        <w:r>
          <w:instrText xml:space="preserve"> PAGE   \* MERGEFORMAT </w:instrText>
        </w:r>
        <w:r>
          <w:fldChar w:fldCharType="separate"/>
        </w:r>
        <w:r>
          <w:rPr>
            <w:noProof/>
          </w:rPr>
          <w:t>2</w:t>
        </w:r>
        <w:r>
          <w:rPr>
            <w:noProof/>
          </w:rPr>
          <w:fldChar w:fldCharType="end"/>
        </w:r>
      </w:p>
    </w:sdtContent>
  </w:sdt>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849995"/>
      <w:docPartObj>
        <w:docPartGallery w:val="Page Numbers (Top of Page)"/>
        <w:docPartUnique/>
      </w:docPartObj>
    </w:sdtPr>
    <w:sdtEndPr>
      <w:rPr>
        <w:noProof/>
      </w:rPr>
    </w:sdtEndPr>
    <w:sdtContent>
      <w:p w14:paraId="0D3565A2" w14:textId="77777777" w:rsidR="009750E1" w:rsidRPr="001D1B84" w:rsidRDefault="009750E1" w:rsidP="00D606F6">
        <w:pPr>
          <w:pStyle w:val="Header"/>
          <w:jc w:val="right"/>
        </w:pPr>
        <w:r>
          <w:tab/>
        </w:r>
        <w:r w:rsidR="00CC71CC" w:rsidRPr="00890936">
          <w:t>Potentially Harmful Drug-Disease Interactions in Older Adults</w:t>
        </w:r>
        <w:r>
          <w:tab/>
        </w:r>
        <w:r>
          <w:fldChar w:fldCharType="begin"/>
        </w:r>
        <w:r>
          <w:instrText xml:space="preserve"> PAGE   \* MERGEFORMAT </w:instrText>
        </w:r>
        <w:r>
          <w:fldChar w:fldCharType="separate"/>
        </w:r>
        <w:r>
          <w:rPr>
            <w:noProof/>
          </w:rPr>
          <w:t>2</w:t>
        </w:r>
        <w:r>
          <w:rPr>
            <w:noProof/>
          </w:rPr>
          <w:fldChar w:fldCharType="end"/>
        </w:r>
      </w:p>
    </w:sdtContent>
  </w:sdt>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6112401"/>
      <w:docPartObj>
        <w:docPartGallery w:val="Page Numbers (Top of Page)"/>
        <w:docPartUnique/>
      </w:docPartObj>
    </w:sdtPr>
    <w:sdtEndPr>
      <w:rPr>
        <w:noProof/>
      </w:rPr>
    </w:sdtEndPr>
    <w:sdtContent>
      <w:p w14:paraId="09A87CA2" w14:textId="71D871EB" w:rsidR="00C208F3" w:rsidRPr="001D1B84" w:rsidRDefault="00C208F3" w:rsidP="00D606F6">
        <w:pPr>
          <w:pStyle w:val="Header"/>
          <w:jc w:val="right"/>
        </w:pPr>
        <w:r>
          <w:tab/>
        </w:r>
        <w:r w:rsidRPr="003033F6">
          <w:t>Use of High-Risk Medications in Older Adults</w:t>
        </w:r>
        <w:r>
          <w:tab/>
        </w:r>
        <w:r>
          <w:fldChar w:fldCharType="begin"/>
        </w:r>
        <w:r>
          <w:instrText xml:space="preserve"> PAGE   \* MERGEFORMAT </w:instrText>
        </w:r>
        <w:r>
          <w:fldChar w:fldCharType="separate"/>
        </w:r>
        <w:r>
          <w:rPr>
            <w:noProof/>
          </w:rPr>
          <w:t>2</w:t>
        </w:r>
        <w:r>
          <w:rPr>
            <w:noProof/>
          </w:rPr>
          <w:fldChar w:fldCharType="end"/>
        </w:r>
      </w:p>
    </w:sdtContent>
  </w:sdt>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1640612"/>
      <w:docPartObj>
        <w:docPartGallery w:val="Page Numbers (Top of Page)"/>
        <w:docPartUnique/>
      </w:docPartObj>
    </w:sdtPr>
    <w:sdtEndPr>
      <w:rPr>
        <w:noProof/>
      </w:rPr>
    </w:sdtEndPr>
    <w:sdtContent>
      <w:p w14:paraId="0146B1F2" w14:textId="1CB2348E" w:rsidR="00FB3600" w:rsidRPr="001D1B84" w:rsidRDefault="00FB3600" w:rsidP="00D606F6">
        <w:pPr>
          <w:pStyle w:val="Header"/>
          <w:jc w:val="right"/>
        </w:pPr>
        <w:r>
          <w:tab/>
        </w:r>
        <w:r w:rsidR="00285B02" w:rsidRPr="00CC7CC7">
          <w:t>Deprescribing of Benzodiazepines in Older Adults</w:t>
        </w:r>
        <w:r>
          <w:tab/>
        </w:r>
        <w:r>
          <w:fldChar w:fldCharType="begin"/>
        </w:r>
        <w:r>
          <w:instrText xml:space="preserve"> PAGE   \* MERGEFORMAT </w:instrText>
        </w:r>
        <w:r>
          <w:fldChar w:fldCharType="separate"/>
        </w:r>
        <w:r>
          <w:rPr>
            <w:noProof/>
          </w:rPr>
          <w:t>2</w:t>
        </w:r>
        <w:r>
          <w:rPr>
            <w:noProof/>
          </w:rPr>
          <w:fldChar w:fldCharType="end"/>
        </w:r>
      </w:p>
    </w:sdtContent>
  </w:sdt>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7667154"/>
      <w:docPartObj>
        <w:docPartGallery w:val="Page Numbers (Top of Page)"/>
        <w:docPartUnique/>
      </w:docPartObj>
    </w:sdtPr>
    <w:sdtEndPr>
      <w:rPr>
        <w:noProof/>
      </w:rPr>
    </w:sdtEndPr>
    <w:sdtContent>
      <w:p w14:paraId="375ED271" w14:textId="099501D9" w:rsidR="007B0064" w:rsidRPr="001D1B84" w:rsidRDefault="007B0064" w:rsidP="00D606F6">
        <w:pPr>
          <w:pStyle w:val="Header"/>
          <w:jc w:val="right"/>
        </w:pPr>
        <w:r>
          <w:tab/>
        </w:r>
        <w:r w:rsidRPr="001D7DD4">
          <w:t>Use of Opioids at High Dosage</w:t>
        </w:r>
        <w:r>
          <w:tab/>
        </w:r>
        <w:r>
          <w:fldChar w:fldCharType="begin"/>
        </w:r>
        <w:r>
          <w:instrText xml:space="preserve"> PAGE   \* MERGEFORMAT </w:instrText>
        </w:r>
        <w:r>
          <w:fldChar w:fldCharType="separate"/>
        </w:r>
        <w:r>
          <w:rPr>
            <w:noProof/>
          </w:rPr>
          <w:t>2</w:t>
        </w:r>
        <w:r>
          <w:rPr>
            <w:noProof/>
          </w:rPr>
          <w:fldChar w:fldCharType="end"/>
        </w:r>
      </w:p>
    </w:sdtContent>
  </w:sdt>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609680"/>
      <w:docPartObj>
        <w:docPartGallery w:val="Page Numbers (Top of Page)"/>
        <w:docPartUnique/>
      </w:docPartObj>
    </w:sdtPr>
    <w:sdtEndPr>
      <w:rPr>
        <w:noProof/>
      </w:rPr>
    </w:sdtEndPr>
    <w:sdtContent>
      <w:p w14:paraId="251C0E50" w14:textId="6BF1E722" w:rsidR="006D3F2A" w:rsidRPr="001D1B84" w:rsidRDefault="006D3F2A" w:rsidP="00D606F6">
        <w:pPr>
          <w:pStyle w:val="Header"/>
          <w:jc w:val="right"/>
        </w:pPr>
        <w:r>
          <w:tab/>
        </w:r>
        <w:r w:rsidRPr="00131F67">
          <w:t>Use of Opioids From Multiple Providers</w:t>
        </w:r>
        <w:r>
          <w:tab/>
        </w:r>
        <w:r>
          <w:fldChar w:fldCharType="begin"/>
        </w:r>
        <w:r>
          <w:instrText xml:space="preserve"> PAGE   \* MERGEFORMAT </w:instrText>
        </w:r>
        <w:r>
          <w:fldChar w:fldCharType="separate"/>
        </w:r>
        <w:r>
          <w:rPr>
            <w:noProof/>
          </w:rPr>
          <w:t>2</w:t>
        </w:r>
        <w:r>
          <w:rPr>
            <w:noProof/>
          </w:rPr>
          <w:fldChar w:fldCharType="end"/>
        </w:r>
      </w:p>
    </w:sdtContent>
  </w:sdt>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2632627"/>
      <w:docPartObj>
        <w:docPartGallery w:val="Page Numbers (Top of Page)"/>
        <w:docPartUnique/>
      </w:docPartObj>
    </w:sdtPr>
    <w:sdtEndPr>
      <w:rPr>
        <w:noProof/>
      </w:rPr>
    </w:sdtEndPr>
    <w:sdtContent>
      <w:p w14:paraId="521721C7" w14:textId="78D0AA4B" w:rsidR="004D46FF" w:rsidRPr="001D1B84" w:rsidRDefault="004D46FF" w:rsidP="00D606F6">
        <w:pPr>
          <w:pStyle w:val="Header"/>
          <w:jc w:val="right"/>
        </w:pPr>
        <w:r>
          <w:tab/>
        </w:r>
        <w:r w:rsidRPr="004409F0">
          <w:t>Risk of Continued Opioid Use</w:t>
        </w:r>
        <w:r>
          <w:tab/>
        </w:r>
        <w:r>
          <w:fldChar w:fldCharType="begin"/>
        </w:r>
        <w:r>
          <w:instrText xml:space="preserve"> PAGE   \* MERGEFORMAT </w:instrText>
        </w:r>
        <w:r>
          <w:fldChar w:fldCharType="separate"/>
        </w:r>
        <w:r>
          <w:rPr>
            <w:noProof/>
          </w:rPr>
          <w:t>2</w:t>
        </w:r>
        <w:r>
          <w:rPr>
            <w:noProof/>
          </w:rPr>
          <w:fldChar w:fldCharType="end"/>
        </w:r>
      </w:p>
    </w:sdtContent>
  </w:sdt>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1801D" w14:textId="3FABDBEB" w:rsidR="00827D17" w:rsidRPr="00827D17" w:rsidRDefault="00827D17" w:rsidP="00827D17"/>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1DFA4" w14:textId="77777777" w:rsidR="00986D87" w:rsidRDefault="00986D87">
    <w:pPr>
      <w:pStyle w:val="Header"/>
      <w:tabs>
        <w:tab w:val="left" w:pos="720"/>
      </w:tabs>
    </w:pPr>
    <w:r>
      <w:fldChar w:fldCharType="begin"/>
    </w:r>
    <w:r>
      <w:instrText xml:space="preserve"> PAGE </w:instrText>
    </w:r>
    <w:r>
      <w:fldChar w:fldCharType="separate"/>
    </w:r>
    <w:r>
      <w:rPr>
        <w:noProof/>
      </w:rPr>
      <w:t>298</w:t>
    </w:r>
    <w:r>
      <w:rPr>
        <w:noProof/>
      </w:rPr>
      <w:fldChar w:fldCharType="end"/>
    </w:r>
    <w:r>
      <w:t xml:space="preserve"> </w:t>
    </w:r>
    <w:r>
      <w:tab/>
      <w:t>Medicare Health Outcomes Survey</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79C21" w14:textId="77777777" w:rsidR="00986D87" w:rsidRDefault="00986D87">
    <w:pPr>
      <w:pStyle w:val="Header"/>
      <w:rPr>
        <w:sz w:val="22"/>
      </w:rPr>
    </w:pPr>
    <w:r>
      <w:tab/>
      <w:t xml:space="preserve"> The Medicare Health Outcomes Survey</w:t>
    </w:r>
    <w:r>
      <w:tab/>
    </w:r>
    <w:r>
      <w:fldChar w:fldCharType="begin"/>
    </w:r>
    <w:r>
      <w:instrText xml:space="preserve"> PAGE </w:instrText>
    </w:r>
    <w:r>
      <w:fldChar w:fldCharType="separate"/>
    </w:r>
    <w:r>
      <w:rPr>
        <w:noProof/>
      </w:rPr>
      <w:t>2</w:t>
    </w:r>
    <w:r>
      <w:rPr>
        <w:noProof/>
      </w:rPr>
      <w:fldChar w:fldCharType="end"/>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ADD4F" w14:textId="77777777" w:rsidR="00986D87" w:rsidRDefault="00986D87">
    <w:pPr>
      <w:pStyle w:val="Header"/>
      <w:tabs>
        <w:tab w:val="left" w:pos="720"/>
      </w:tabs>
    </w:pPr>
    <w:r>
      <w:fldChar w:fldCharType="begin"/>
    </w:r>
    <w:r>
      <w:instrText xml:space="preserve"> PAGE </w:instrText>
    </w:r>
    <w:r>
      <w:fldChar w:fldCharType="separate"/>
    </w:r>
    <w:r>
      <w:rPr>
        <w:noProof/>
      </w:rPr>
      <w:t>226</w:t>
    </w:r>
    <w:r>
      <w:rPr>
        <w:noProof/>
      </w:rPr>
      <w:fldChar w:fldCharType="end"/>
    </w:r>
    <w:r>
      <w:t xml:space="preserve"> </w:t>
    </w:r>
    <w:r>
      <w:tab/>
      <w:t xml:space="preserve">Fall Risk Management </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B0EAB" w14:textId="77777777" w:rsidR="00986D87" w:rsidRDefault="00986D87">
    <w:pPr>
      <w:pStyle w:val="Header"/>
      <w:rPr>
        <w:sz w:val="22"/>
      </w:rPr>
    </w:pPr>
    <w:r>
      <w:tab/>
    </w:r>
    <w:r w:rsidRPr="00F76AA1">
      <w:t>Fall Risk Management</w:t>
    </w:r>
    <w:r>
      <w:tab/>
    </w:r>
    <w:r>
      <w:fldChar w:fldCharType="begin"/>
    </w:r>
    <w:r>
      <w:instrText xml:space="preserve"> PAGE </w:instrText>
    </w:r>
    <w:r>
      <w:fldChar w:fldCharType="separate"/>
    </w:r>
    <w:r>
      <w:rPr>
        <w:noProof/>
      </w:rPr>
      <w:t>299</w:t>
    </w:r>
    <w:r>
      <w:rPr>
        <w:noProof/>
      </w:rPr>
      <w:fldChar w:fldCharType="end"/>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40C7A" w14:textId="77777777" w:rsidR="00986D87" w:rsidRDefault="00986D87">
    <w:pPr>
      <w:pStyle w:val="Header"/>
      <w:tabs>
        <w:tab w:val="left" w:pos="720"/>
      </w:tabs>
    </w:pPr>
    <w:r>
      <w:fldChar w:fldCharType="begin"/>
    </w:r>
    <w:r>
      <w:instrText xml:space="preserve"> PAGE </w:instrText>
    </w:r>
    <w:r>
      <w:fldChar w:fldCharType="separate"/>
    </w:r>
    <w:r>
      <w:rPr>
        <w:noProof/>
      </w:rPr>
      <w:t>228</w:t>
    </w:r>
    <w:r>
      <w:rPr>
        <w:noProof/>
      </w:rPr>
      <w:fldChar w:fldCharType="end"/>
    </w:r>
    <w:r>
      <w:t xml:space="preserve"> </w:t>
    </w:r>
    <w:r>
      <w:tab/>
      <w:t>Management of Urinary Incontinence in Older Adults</w: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F231C" w14:textId="77777777" w:rsidR="00986D87" w:rsidRDefault="00986D87">
    <w:pPr>
      <w:pStyle w:val="Header"/>
      <w:rPr>
        <w:sz w:val="22"/>
      </w:rPr>
    </w:pPr>
    <w:r>
      <w:tab/>
      <w:t>Management of Urinary Incontinence in Older Adults</w:t>
    </w:r>
    <w:r>
      <w:tab/>
    </w:r>
    <w:r>
      <w:fldChar w:fldCharType="begin"/>
    </w:r>
    <w:r>
      <w:instrText xml:space="preserve"> PAGE </w:instrText>
    </w:r>
    <w:r>
      <w:fldChar w:fldCharType="separate"/>
    </w:r>
    <w:r>
      <w:rPr>
        <w:noProof/>
      </w:rPr>
      <w:t>301</w:t>
    </w:r>
    <w:r>
      <w:rPr>
        <w:noProof/>
      </w:rPr>
      <w:fldChar w:fldCharType="end"/>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673006"/>
      <w:docPartObj>
        <w:docPartGallery w:val="Page Numbers (Top of Page)"/>
        <w:docPartUnique/>
      </w:docPartObj>
    </w:sdtPr>
    <w:sdtEndPr>
      <w:rPr>
        <w:noProof/>
      </w:rPr>
    </w:sdtEndPr>
    <w:sdtContent>
      <w:p w14:paraId="78BCBBE9" w14:textId="2AD5D9DC" w:rsidR="00827D17" w:rsidRPr="00827D17" w:rsidRDefault="004B6A30" w:rsidP="00827D17">
        <w:pPr>
          <w:pStyle w:val="Header"/>
          <w:jc w:val="right"/>
        </w:pPr>
        <w:r>
          <w:tab/>
          <w:t>Physical Activity in Older Adults</w:t>
        </w:r>
        <w:r>
          <w:tab/>
        </w:r>
        <w:r w:rsidR="00827D17">
          <w:fldChar w:fldCharType="begin"/>
        </w:r>
        <w:r w:rsidR="00827D17">
          <w:instrText xml:space="preserve"> PAGE   \* MERGEFORMAT </w:instrText>
        </w:r>
        <w:r w:rsidR="00827D17">
          <w:fldChar w:fldCharType="separate"/>
        </w:r>
        <w:r w:rsidR="00827D17">
          <w:rPr>
            <w:noProof/>
          </w:rPr>
          <w:t>2</w:t>
        </w:r>
        <w:r w:rsidR="00827D17">
          <w:rPr>
            <w:noProof/>
          </w:rPr>
          <w:fldChar w:fldCharType="end"/>
        </w:r>
      </w:p>
    </w:sdtContent>
  </w:sdt>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DB023" w14:textId="751B0B2C" w:rsidR="00AD2ED9" w:rsidRPr="00AD2ED9" w:rsidRDefault="00AD2ED9" w:rsidP="00AD2ED9"/>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6312856"/>
      <w:docPartObj>
        <w:docPartGallery w:val="Page Numbers (Top of Page)"/>
        <w:docPartUnique/>
      </w:docPartObj>
    </w:sdtPr>
    <w:sdtEndPr>
      <w:rPr>
        <w:noProof/>
      </w:rPr>
    </w:sdtEndPr>
    <w:sdtContent>
      <w:p w14:paraId="16C78D2F" w14:textId="25ADF1E1" w:rsidR="00AD2ED9" w:rsidRPr="00AD2ED9" w:rsidRDefault="008357F7" w:rsidP="00AD2ED9">
        <w:pPr>
          <w:pStyle w:val="Header"/>
          <w:jc w:val="right"/>
        </w:pPr>
        <w:r>
          <w:tab/>
          <w:t xml:space="preserve">Adults’ Access to Preventive/Ambulatory Health Services </w:t>
        </w:r>
        <w:r>
          <w:tab/>
        </w:r>
        <w:r w:rsidR="00AD2ED9">
          <w:fldChar w:fldCharType="begin"/>
        </w:r>
        <w:r w:rsidR="00AD2ED9">
          <w:instrText xml:space="preserve"> PAGE   \* MERGEFORMAT </w:instrText>
        </w:r>
        <w:r w:rsidR="00AD2ED9">
          <w:fldChar w:fldCharType="separate"/>
        </w:r>
        <w:r w:rsidR="00AD2ED9">
          <w:rPr>
            <w:noProof/>
          </w:rPr>
          <w:t>2</w:t>
        </w:r>
        <w:r w:rsidR="00AD2ED9">
          <w:rPr>
            <w:noProof/>
          </w:rPr>
          <w:fldChar w:fldCharType="end"/>
        </w:r>
      </w:p>
    </w:sdtContent>
  </w:sdt>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9600214"/>
      <w:docPartObj>
        <w:docPartGallery w:val="Page Numbers (Top of Page)"/>
        <w:docPartUnique/>
      </w:docPartObj>
    </w:sdtPr>
    <w:sdtEndPr>
      <w:rPr>
        <w:noProof/>
      </w:rPr>
    </w:sdtEndPr>
    <w:sdtContent>
      <w:p w14:paraId="3D4560F4" w14:textId="43F94FEF" w:rsidR="004838CD" w:rsidRPr="00AD2ED9" w:rsidRDefault="004838CD" w:rsidP="00AD2ED9">
        <w:pPr>
          <w:pStyle w:val="Header"/>
          <w:jc w:val="right"/>
        </w:pPr>
        <w:r>
          <w:tab/>
        </w:r>
        <w:r w:rsidRPr="00E67365">
          <w:t>Initiation and Engagement of Substance Use Disorder Treatment</w:t>
        </w:r>
        <w:r>
          <w:tab/>
        </w:r>
        <w:r>
          <w:fldChar w:fldCharType="begin"/>
        </w:r>
        <w:r>
          <w:instrText xml:space="preserve"> PAGE   \* MERGEFORMAT </w:instrText>
        </w:r>
        <w:r>
          <w:fldChar w:fldCharType="separate"/>
        </w:r>
        <w:r>
          <w:rPr>
            <w:noProof/>
          </w:rPr>
          <w:t>2</w:t>
        </w:r>
        <w:r>
          <w:rPr>
            <w:noProof/>
          </w:rPr>
          <w:fldChar w:fldCharType="end"/>
        </w:r>
      </w:p>
    </w:sdtContent>
  </w:sdt>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7859635"/>
      <w:docPartObj>
        <w:docPartGallery w:val="Page Numbers (Top of Page)"/>
        <w:docPartUnique/>
      </w:docPartObj>
    </w:sdtPr>
    <w:sdtEndPr>
      <w:rPr>
        <w:noProof/>
      </w:rPr>
    </w:sdtEndPr>
    <w:sdtContent>
      <w:p w14:paraId="6C42B28C" w14:textId="1C526256" w:rsidR="005E4845" w:rsidRPr="00AD2ED9" w:rsidRDefault="005E4845" w:rsidP="00AD2ED9">
        <w:pPr>
          <w:pStyle w:val="Header"/>
          <w:jc w:val="right"/>
        </w:pPr>
        <w:r>
          <w:tab/>
          <w:t>Prenatal and Postpartum Care</w:t>
        </w:r>
        <w:r>
          <w:tab/>
        </w:r>
        <w:r>
          <w:fldChar w:fldCharType="begin"/>
        </w:r>
        <w:r>
          <w:instrText xml:space="preserve"> PAGE   \* MERGEFORMAT </w:instrText>
        </w:r>
        <w:r>
          <w:fldChar w:fldCharType="separate"/>
        </w:r>
        <w:r>
          <w:rPr>
            <w:noProof/>
          </w:rPr>
          <w:t>2</w:t>
        </w:r>
        <w:r>
          <w:rPr>
            <w:noProof/>
          </w:rPr>
          <w:fldChar w:fldCharType="end"/>
        </w:r>
      </w:p>
    </w:sdtContent>
  </w:sdt>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6347565"/>
      <w:docPartObj>
        <w:docPartGallery w:val="Page Numbers (Top of Page)"/>
        <w:docPartUnique/>
      </w:docPartObj>
    </w:sdtPr>
    <w:sdtEndPr>
      <w:rPr>
        <w:noProof/>
      </w:rPr>
    </w:sdtEndPr>
    <w:sdtContent>
      <w:p w14:paraId="73767105" w14:textId="61E9AB48" w:rsidR="00331DB7" w:rsidRPr="00AD2ED9" w:rsidRDefault="00331DB7" w:rsidP="00AD2ED9">
        <w:pPr>
          <w:pStyle w:val="Header"/>
          <w:jc w:val="right"/>
        </w:pPr>
        <w:r>
          <w:tab/>
          <w:t>Use of First-Line Psychosocial Care for Children and Adolescents on Antipsychotics</w:t>
        </w:r>
        <w:r>
          <w:tab/>
        </w:r>
        <w:r>
          <w:fldChar w:fldCharType="begin"/>
        </w:r>
        <w:r>
          <w:instrText xml:space="preserve"> PAGE   \* MERGEFORMAT </w:instrText>
        </w:r>
        <w:r>
          <w:fldChar w:fldCharType="separate"/>
        </w:r>
        <w:r>
          <w:rPr>
            <w:noProof/>
          </w:rPr>
          <w:t>2</w:t>
        </w:r>
        <w:r>
          <w:rPr>
            <w:noProof/>
          </w:rPr>
          <w:fldChar w:fldCharType="end"/>
        </w:r>
      </w:p>
    </w:sdtContent>
  </w:sdt>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983F4" w14:textId="77777777" w:rsidR="007560AC" w:rsidRPr="00DE2067" w:rsidRDefault="007560AC"/>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95BE7" w14:textId="77777777" w:rsidR="007560AC" w:rsidRDefault="007560AC">
    <w:pPr>
      <w:pStyle w:val="Header"/>
      <w:pBdr>
        <w:bottom w:val="none" w:sz="0" w:space="0" w:color="auto"/>
      </w:pBdr>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CF981" w14:textId="77777777" w:rsidR="007560AC" w:rsidRDefault="007560AC">
    <w:pPr>
      <w:pStyle w:val="Header"/>
      <w:ind w:left="720" w:hanging="720"/>
    </w:pPr>
    <w:r>
      <w:fldChar w:fldCharType="begin"/>
    </w:r>
    <w:r>
      <w:instrText xml:space="preserve"> PAGE </w:instrText>
    </w:r>
    <w:r>
      <w:fldChar w:fldCharType="separate"/>
    </w:r>
    <w:r>
      <w:rPr>
        <w:noProof/>
      </w:rPr>
      <w:t>340</w:t>
    </w:r>
    <w:r>
      <w:rPr>
        <w:noProof/>
      </w:rPr>
      <w:fldChar w:fldCharType="end"/>
    </w:r>
    <w:r>
      <w:tab/>
      <w:t>CAHPS Health Plan Survey 5.1H, Adult Version</w: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1EC2C" w14:textId="77777777" w:rsidR="007560AC" w:rsidRDefault="007560AC">
    <w:pPr>
      <w:pStyle w:val="Header"/>
    </w:pPr>
    <w:r>
      <w:t xml:space="preserve"> </w:t>
    </w:r>
    <w:r>
      <w:tab/>
      <w:t xml:space="preserve"> CAHPS Health Plan Survey 5.1H, Adult Version</w:t>
    </w:r>
    <w:r>
      <w:tab/>
    </w:r>
    <w:r>
      <w:fldChar w:fldCharType="begin"/>
    </w:r>
    <w:r>
      <w:instrText xml:space="preserve"> PAGE </w:instrText>
    </w:r>
    <w:r>
      <w:fldChar w:fldCharType="separate"/>
    </w:r>
    <w:r>
      <w:rPr>
        <w:noProof/>
      </w:rPr>
      <w:t>341</w:t>
    </w:r>
    <w:r>
      <w:rPr>
        <w:noProof/>
      </w:rPr>
      <w:fldChar w:fldCharType="end"/>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01F82" w14:textId="77777777" w:rsidR="007560AC" w:rsidRDefault="007560AC">
    <w:pPr>
      <w:pStyle w:val="Header"/>
    </w:pPr>
    <w:r>
      <w:tab/>
      <w:t>CAHPS</w:t>
    </w:r>
    <w:r>
      <w:rPr>
        <w:vertAlign w:val="superscript"/>
      </w:rPr>
      <w:t xml:space="preserve"> </w:t>
    </w:r>
    <w:r>
      <w:t>3.0H Adult Survey</w:t>
    </w:r>
    <w:r>
      <w:tab/>
    </w:r>
    <w:r>
      <w:fldChar w:fldCharType="begin"/>
    </w:r>
    <w:r>
      <w:instrText xml:space="preserve"> PAGE </w:instrText>
    </w:r>
    <w:r>
      <w:fldChar w:fldCharType="separate"/>
    </w:r>
    <w:r>
      <w:rPr>
        <w:noProof/>
      </w:rPr>
      <w:t>191</w:t>
    </w:r>
    <w:r>
      <w:rPr>
        <w:noProof/>
      </w:rPr>
      <w:fldChar w:fldCharType="end"/>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2964A" w14:textId="77777777" w:rsidR="007560AC" w:rsidRDefault="007560AC">
    <w:pPr>
      <w:pStyle w:val="Header"/>
      <w:tabs>
        <w:tab w:val="left" w:pos="720"/>
      </w:tabs>
    </w:pPr>
    <w:r>
      <w:fldChar w:fldCharType="begin"/>
    </w:r>
    <w:r>
      <w:instrText xml:space="preserve"> PAGE </w:instrText>
    </w:r>
    <w:r>
      <w:fldChar w:fldCharType="separate"/>
    </w:r>
    <w:r>
      <w:rPr>
        <w:noProof/>
      </w:rPr>
      <w:t>342</w:t>
    </w:r>
    <w:r>
      <w:rPr>
        <w:noProof/>
      </w:rPr>
      <w:fldChar w:fldCharType="end"/>
    </w:r>
    <w:r>
      <w:tab/>
      <w:t>CAHPS Health Plan Survey 5.1H, Child Version</w: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22BED" w14:textId="77777777" w:rsidR="007560AC" w:rsidRDefault="007560AC">
    <w:pPr>
      <w:pStyle w:val="Header"/>
    </w:pPr>
    <w:r>
      <w:t xml:space="preserve"> </w:t>
    </w:r>
    <w:r>
      <w:tab/>
      <w:t xml:space="preserve"> CAHPS Health Plan Survey 5.1H, Child Version</w:t>
    </w:r>
    <w:r>
      <w:tab/>
    </w:r>
    <w:r>
      <w:fldChar w:fldCharType="begin"/>
    </w:r>
    <w:r>
      <w:instrText xml:space="preserve"> PAGE </w:instrText>
    </w:r>
    <w:r>
      <w:fldChar w:fldCharType="separate"/>
    </w:r>
    <w:r>
      <w:rPr>
        <w:noProof/>
      </w:rPr>
      <w:t>341</w:t>
    </w:r>
    <w:r>
      <w:rPr>
        <w:noProof/>
      </w:rPr>
      <w:fldChar w:fldCharType="end"/>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2A91D" w14:textId="77777777" w:rsidR="007560AC" w:rsidRDefault="007560AC">
    <w:pPr>
      <w:pStyle w:val="Header"/>
      <w:tabs>
        <w:tab w:val="left" w:pos="720"/>
      </w:tabs>
    </w:pPr>
    <w:r>
      <w:rPr>
        <w:rStyle w:val="PageNumber"/>
      </w:rPr>
      <w:fldChar w:fldCharType="begin"/>
    </w:r>
    <w:r>
      <w:rPr>
        <w:rStyle w:val="PageNumber"/>
      </w:rPr>
      <w:instrText xml:space="preserve"> PAGE </w:instrText>
    </w:r>
    <w:r>
      <w:rPr>
        <w:rStyle w:val="PageNumber"/>
      </w:rPr>
      <w:fldChar w:fldCharType="separate"/>
    </w:r>
    <w:r>
      <w:rPr>
        <w:rStyle w:val="PageNumber"/>
        <w:noProof/>
      </w:rPr>
      <w:t>192</w:t>
    </w:r>
    <w:r>
      <w:rPr>
        <w:rStyle w:val="PageNumber"/>
      </w:rPr>
      <w:fldChar w:fldCharType="end"/>
    </w:r>
    <w:r>
      <w:tab/>
      <w:t>CAHPS</w:t>
    </w:r>
    <w:r>
      <w:rPr>
        <w:vertAlign w:val="superscript"/>
      </w:rPr>
      <w:t xml:space="preserve"> </w:t>
    </w:r>
    <w:r>
      <w:t>3.0H Child Survey</w: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F6DB1" w14:textId="3E1FF91B" w:rsidR="001E0597" w:rsidRDefault="001E0597">
    <w:pPr>
      <w:pStyle w:val="Header"/>
    </w:pPr>
    <w:r>
      <w:t xml:space="preserve"> </w:t>
    </w:r>
    <w:r>
      <w:tab/>
      <w:t>Children With Chronic Conditions</w:t>
    </w:r>
    <w:r>
      <w:tab/>
    </w:r>
    <w:r>
      <w:fldChar w:fldCharType="begin"/>
    </w:r>
    <w:r>
      <w:instrText xml:space="preserve"> PAGE </w:instrText>
    </w:r>
    <w:r>
      <w:fldChar w:fldCharType="separate"/>
    </w:r>
    <w:r>
      <w:rPr>
        <w:noProof/>
      </w:rPr>
      <w:t>341</w:t>
    </w:r>
    <w:r>
      <w:rPr>
        <w:noProof/>
      </w:rPr>
      <w:fldChar w:fldCharType="end"/>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EB1F7" w14:textId="77777777" w:rsidR="002B3D5C" w:rsidRPr="00DE2067" w:rsidRDefault="002B3D5C"/>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A2986" w14:textId="77777777" w:rsidR="002B3D5C" w:rsidRDefault="002B3D5C">
    <w:pPr>
      <w:pStyle w:val="Header"/>
      <w:pBdr>
        <w:bottom w:val="none" w:sz="0" w:space="0" w:color="auto"/>
      </w:pBdr>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7106825"/>
      <w:docPartObj>
        <w:docPartGallery w:val="Page Numbers (Top of Page)"/>
        <w:docPartUnique/>
      </w:docPartObj>
    </w:sdtPr>
    <w:sdtContent>
      <w:p w14:paraId="173142CA" w14:textId="36E8BA7F" w:rsidR="002B3D5C" w:rsidRPr="002C5A80" w:rsidRDefault="002C5A80" w:rsidP="002C5A80">
        <w:pPr>
          <w:pStyle w:val="Header"/>
        </w:pPr>
        <w:r w:rsidRPr="002C5A80">
          <w:tab/>
          <w:t xml:space="preserve">Well-Child Visits in the First 30 Months of Life </w:t>
        </w:r>
        <w:r w:rsidRPr="002C5A80">
          <w:tab/>
        </w:r>
        <w:r w:rsidR="002B3D5C" w:rsidRPr="002C5A80">
          <w:fldChar w:fldCharType="begin"/>
        </w:r>
        <w:r w:rsidR="002B3D5C" w:rsidRPr="002C5A80">
          <w:instrText xml:space="preserve"> PAGE   \* MERGEFORMAT </w:instrText>
        </w:r>
        <w:r w:rsidR="002B3D5C" w:rsidRPr="002C5A80">
          <w:fldChar w:fldCharType="separate"/>
        </w:r>
        <w:r w:rsidR="002B3D5C" w:rsidRPr="002C5A80">
          <w:t>2</w:t>
        </w:r>
        <w:r w:rsidR="002B3D5C" w:rsidRPr="002C5A80">
          <w:fldChar w:fldCharType="end"/>
        </w:r>
      </w:p>
    </w:sdtContent>
  </w:sdt>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335611"/>
      <w:docPartObj>
        <w:docPartGallery w:val="Page Numbers (Top of Page)"/>
        <w:docPartUnique/>
      </w:docPartObj>
    </w:sdtPr>
    <w:sdtContent>
      <w:p w14:paraId="7BBAC2DA" w14:textId="038D72DD" w:rsidR="00693F03" w:rsidRPr="002C5A80" w:rsidRDefault="00693F03" w:rsidP="002C5A80">
        <w:pPr>
          <w:pStyle w:val="Header"/>
        </w:pPr>
        <w:r w:rsidRPr="002C5A80">
          <w:tab/>
        </w:r>
        <w:r>
          <w:t>Child and Adolescent Well-Care Visits</w:t>
        </w:r>
        <w:r w:rsidRPr="002C5A80">
          <w:tab/>
        </w:r>
        <w:r w:rsidRPr="002C5A80">
          <w:fldChar w:fldCharType="begin"/>
        </w:r>
        <w:r w:rsidRPr="002C5A80">
          <w:instrText xml:space="preserve"> PAGE   \* MERGEFORMAT </w:instrText>
        </w:r>
        <w:r w:rsidRPr="002C5A80">
          <w:fldChar w:fldCharType="separate"/>
        </w:r>
        <w:r w:rsidRPr="002C5A80">
          <w:t>2</w:t>
        </w:r>
        <w:r w:rsidRPr="002C5A80">
          <w:fldChar w:fldCharType="end"/>
        </w:r>
      </w:p>
    </w:sdtContent>
  </w:sdt>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4228826"/>
      <w:docPartObj>
        <w:docPartGallery w:val="Page Numbers (Top of Page)"/>
        <w:docPartUnique/>
      </w:docPartObj>
    </w:sdtPr>
    <w:sdtContent>
      <w:p w14:paraId="78055AC9" w14:textId="32A0F041" w:rsidR="00285652" w:rsidRPr="002C5A80" w:rsidRDefault="00285652" w:rsidP="002C5A80">
        <w:pPr>
          <w:pStyle w:val="Header"/>
        </w:pPr>
        <w:r w:rsidRPr="002C5A80">
          <w:tab/>
        </w:r>
        <w:r w:rsidRPr="00450B6E">
          <w:rPr>
            <w:szCs w:val="21"/>
          </w:rPr>
          <w:t>Antibiotic Utilization for Respiratory Conditions</w:t>
        </w:r>
        <w:r w:rsidRPr="002C5A80">
          <w:tab/>
        </w:r>
        <w:r w:rsidRPr="002C5A80">
          <w:fldChar w:fldCharType="begin"/>
        </w:r>
        <w:r w:rsidRPr="002C5A80">
          <w:instrText xml:space="preserve"> PAGE   \* MERGEFORMAT </w:instrText>
        </w:r>
        <w:r w:rsidRPr="002C5A80">
          <w:fldChar w:fldCharType="separate"/>
        </w:r>
        <w:r w:rsidRPr="002C5A80">
          <w:t>2</w:t>
        </w:r>
        <w:r w:rsidRPr="002C5A80">
          <w:fldChar w:fldCharType="end"/>
        </w:r>
      </w:p>
    </w:sdtContent>
  </w:sdt>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0BBF4" w14:textId="77777777" w:rsidR="000C6C0E" w:rsidRPr="00DE2067" w:rsidRDefault="000C6C0E"/>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8A44" w14:textId="77777777" w:rsidR="000C6C0E" w:rsidRDefault="000C6C0E">
    <w:pPr>
      <w:pStyle w:val="Header"/>
      <w:pBdr>
        <w:bottom w:val="none" w:sz="0" w:space="0" w:color="auto"/>
      </w:pBdr>
    </w:pP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0299810"/>
      <w:docPartObj>
        <w:docPartGallery w:val="Page Numbers (Top of Page)"/>
        <w:docPartUnique/>
      </w:docPartObj>
    </w:sdtPr>
    <w:sdtEndPr>
      <w:rPr>
        <w:noProof/>
      </w:rPr>
    </w:sdtEndPr>
    <w:sdtContent>
      <w:p w14:paraId="0BFBAAAB" w14:textId="419D570C" w:rsidR="000C6C0E" w:rsidRPr="00DE2067" w:rsidRDefault="00674C67" w:rsidP="008D5527">
        <w:pPr>
          <w:pStyle w:val="Header"/>
          <w:jc w:val="right"/>
        </w:pPr>
        <w:r>
          <w:tab/>
        </w:r>
        <w:r w:rsidR="00CB10EE">
          <w:t>Plan All-Cause Readmissions</w:t>
        </w:r>
        <w:r>
          <w:tab/>
        </w:r>
        <w:r w:rsidR="000C6C0E">
          <w:fldChar w:fldCharType="begin"/>
        </w:r>
        <w:r w:rsidR="000C6C0E">
          <w:instrText xml:space="preserve"> PAGE   \* MERGEFORMAT </w:instrText>
        </w:r>
        <w:r w:rsidR="000C6C0E">
          <w:fldChar w:fldCharType="separate"/>
        </w:r>
        <w:r w:rsidR="000C6C0E">
          <w:rPr>
            <w:noProof/>
          </w:rPr>
          <w:t>2</w:t>
        </w:r>
        <w:r w:rsidR="000C6C0E">
          <w:rPr>
            <w:noProof/>
          </w:rPr>
          <w:fldChar w:fldCharType="end"/>
        </w:r>
      </w:p>
    </w:sdtContent>
  </w:sdt>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9568458"/>
      <w:docPartObj>
        <w:docPartGallery w:val="Page Numbers (Top of Page)"/>
        <w:docPartUnique/>
      </w:docPartObj>
    </w:sdtPr>
    <w:sdtEndPr>
      <w:rPr>
        <w:noProof/>
      </w:rPr>
    </w:sdtEndPr>
    <w:sdtContent>
      <w:p w14:paraId="27787C9A" w14:textId="212DF46E" w:rsidR="000C6C0E" w:rsidRPr="00DE2067" w:rsidRDefault="008C7BB2" w:rsidP="008D5527">
        <w:pPr>
          <w:pStyle w:val="Header"/>
          <w:jc w:val="right"/>
        </w:pPr>
        <w:r>
          <w:tab/>
          <w:t>Hospitalization Following Discharge From a Skilled Nursing Facility</w:t>
        </w:r>
        <w:r>
          <w:tab/>
        </w:r>
        <w:r w:rsidR="000C6C0E">
          <w:fldChar w:fldCharType="begin"/>
        </w:r>
        <w:r w:rsidR="000C6C0E">
          <w:instrText xml:space="preserve"> PAGE   \* MERGEFORMAT </w:instrText>
        </w:r>
        <w:r w:rsidR="000C6C0E">
          <w:fldChar w:fldCharType="separate"/>
        </w:r>
        <w:r w:rsidR="000C6C0E">
          <w:rPr>
            <w:noProof/>
          </w:rPr>
          <w:t>2</w:t>
        </w:r>
        <w:r w:rsidR="000C6C0E">
          <w:rPr>
            <w:noProof/>
          </w:rPr>
          <w:fldChar w:fldCharType="end"/>
        </w:r>
      </w:p>
    </w:sdtContent>
  </w:sdt>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1213756"/>
      <w:docPartObj>
        <w:docPartGallery w:val="Page Numbers (Top of Page)"/>
        <w:docPartUnique/>
      </w:docPartObj>
    </w:sdtPr>
    <w:sdtEndPr>
      <w:rPr>
        <w:noProof/>
      </w:rPr>
    </w:sdtEndPr>
    <w:sdtContent>
      <w:p w14:paraId="560841AF" w14:textId="67457370" w:rsidR="00E0624C" w:rsidRPr="00DE2067" w:rsidRDefault="00E0624C" w:rsidP="008D5527">
        <w:pPr>
          <w:pStyle w:val="Header"/>
          <w:jc w:val="right"/>
        </w:pPr>
        <w:r>
          <w:tab/>
        </w:r>
        <w:r>
          <w:rPr>
            <w:lang w:eastAsia="zh-CN"/>
          </w:rPr>
          <w:t>Acute Hospitalizations Following Outpatient Colonoscopy</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988848"/>
      <w:docPartObj>
        <w:docPartGallery w:val="Page Numbers (Top of Page)"/>
        <w:docPartUnique/>
      </w:docPartObj>
    </w:sdtPr>
    <w:sdtEndPr>
      <w:rPr>
        <w:noProof/>
      </w:rPr>
    </w:sdtEndPr>
    <w:sdtContent>
      <w:p w14:paraId="48A874FB" w14:textId="6EE5D301" w:rsidR="002C0999" w:rsidRPr="00DE2067" w:rsidRDefault="002C0999" w:rsidP="008D5527">
        <w:pPr>
          <w:pStyle w:val="Header"/>
          <w:jc w:val="right"/>
        </w:pPr>
        <w:r>
          <w:tab/>
          <w:t>A</w:t>
        </w:r>
        <w:r w:rsidRPr="00433575">
          <w:t xml:space="preserve">cute </w:t>
        </w:r>
        <w:r>
          <w:t>Hospitalizations</w:t>
        </w:r>
        <w:r w:rsidRPr="00433575">
          <w:t xml:space="preserve"> Following Outpatient General Surgery</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117149"/>
      <w:docPartObj>
        <w:docPartGallery w:val="Page Numbers (Top of Page)"/>
        <w:docPartUnique/>
      </w:docPartObj>
    </w:sdtPr>
    <w:sdtEndPr>
      <w:rPr>
        <w:noProof/>
      </w:rPr>
    </w:sdtEndPr>
    <w:sdtContent>
      <w:p w14:paraId="2B12BB25" w14:textId="52C80B06" w:rsidR="005369F6" w:rsidRPr="00DE2067" w:rsidRDefault="005369F6" w:rsidP="008D5527">
        <w:pPr>
          <w:pStyle w:val="Header"/>
          <w:jc w:val="right"/>
        </w:pPr>
        <w:r>
          <w:tab/>
          <w:t>A</w:t>
        </w:r>
        <w:r w:rsidRPr="00433575">
          <w:t>cute</w:t>
        </w:r>
        <w:r>
          <w:t xml:space="preserve"> </w:t>
        </w:r>
        <w:r w:rsidRPr="00433575">
          <w:t>Hospitalization</w:t>
        </w:r>
        <w:r>
          <w:t xml:space="preserve">s </w:t>
        </w:r>
        <w:r w:rsidRPr="00433575">
          <w:t>Following</w:t>
        </w:r>
        <w:r>
          <w:t xml:space="preserve"> </w:t>
        </w:r>
        <w:r w:rsidRPr="00433575">
          <w:t>Outpatient</w:t>
        </w:r>
        <w:r>
          <w:t xml:space="preserve"> Orthopedic Surgery</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6678005"/>
      <w:docPartObj>
        <w:docPartGallery w:val="Page Numbers (Top of Page)"/>
        <w:docPartUnique/>
      </w:docPartObj>
    </w:sdtPr>
    <w:sdtEndPr>
      <w:rPr>
        <w:noProof/>
      </w:rPr>
    </w:sdtEndPr>
    <w:sdtContent>
      <w:p w14:paraId="5D3E1A7F" w14:textId="273B22D2" w:rsidR="00E91811" w:rsidRPr="00DE2067" w:rsidRDefault="00E91811" w:rsidP="008D5527">
        <w:pPr>
          <w:pStyle w:val="Header"/>
          <w:jc w:val="right"/>
        </w:pPr>
        <w:r>
          <w:tab/>
          <w:t>A</w:t>
        </w:r>
        <w:r w:rsidRPr="00433575">
          <w:t xml:space="preserve">cute </w:t>
        </w:r>
        <w:r>
          <w:t>Hospitalizations</w:t>
        </w:r>
        <w:r w:rsidRPr="00433575">
          <w:t xml:space="preserve"> Following Outpatient</w:t>
        </w:r>
        <w:r>
          <w:t xml:space="preserve"> Urologic Surgery</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4049094"/>
      <w:docPartObj>
        <w:docPartGallery w:val="Page Numbers (Top of Page)"/>
        <w:docPartUnique/>
      </w:docPartObj>
    </w:sdtPr>
    <w:sdtEndPr>
      <w:rPr>
        <w:noProof/>
      </w:rPr>
    </w:sdtEndPr>
    <w:sdtContent>
      <w:p w14:paraId="0D64EFDA" w14:textId="131FA471" w:rsidR="00FE75BF" w:rsidRPr="00DE2067" w:rsidRDefault="00FE75BF" w:rsidP="008D5527">
        <w:pPr>
          <w:pStyle w:val="Header"/>
          <w:jc w:val="right"/>
        </w:pPr>
        <w:r>
          <w:tab/>
        </w:r>
        <w:r w:rsidRPr="00B96B6A">
          <w:t>Acute Hospital Utilization</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041359"/>
      <w:docPartObj>
        <w:docPartGallery w:val="Page Numbers (Top of Page)"/>
        <w:docPartUnique/>
      </w:docPartObj>
    </w:sdtPr>
    <w:sdtEndPr>
      <w:rPr>
        <w:noProof/>
      </w:rPr>
    </w:sdtEndPr>
    <w:sdtContent>
      <w:p w14:paraId="52ED81F3" w14:textId="0019A9D3" w:rsidR="00D52710" w:rsidRPr="00DE2067" w:rsidRDefault="00D52710" w:rsidP="008D5527">
        <w:pPr>
          <w:pStyle w:val="Header"/>
          <w:jc w:val="right"/>
        </w:pPr>
        <w:r>
          <w:tab/>
        </w:r>
        <w:r w:rsidRPr="00DD7CEA">
          <w:t>Emergency Department Utilization</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6349818"/>
      <w:docPartObj>
        <w:docPartGallery w:val="Page Numbers (Top of Page)"/>
        <w:docPartUnique/>
      </w:docPartObj>
    </w:sdtPr>
    <w:sdtEndPr>
      <w:rPr>
        <w:noProof/>
      </w:rPr>
    </w:sdtEndPr>
    <w:sdtContent>
      <w:p w14:paraId="68B54BF7" w14:textId="6934A2A5" w:rsidR="0018044E" w:rsidRPr="00DE2067" w:rsidRDefault="0018044E" w:rsidP="008D5527">
        <w:pPr>
          <w:pStyle w:val="Header"/>
          <w:jc w:val="right"/>
        </w:pPr>
        <w:r>
          <w:tab/>
        </w:r>
        <w:r w:rsidRPr="00827E0E">
          <w:t>Hospitalization for Potentially Preventable Complications</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3453868"/>
      <w:docPartObj>
        <w:docPartGallery w:val="Page Numbers (Top of Page)"/>
        <w:docPartUnique/>
      </w:docPartObj>
    </w:sdtPr>
    <w:sdtEndPr>
      <w:rPr>
        <w:noProof/>
      </w:rPr>
    </w:sdtEndPr>
    <w:sdtContent>
      <w:p w14:paraId="31CD790E" w14:textId="3BCE79C9" w:rsidR="0061349C" w:rsidRPr="00DE2067" w:rsidRDefault="0061349C" w:rsidP="0061349C">
        <w:pPr>
          <w:pStyle w:val="Header"/>
          <w:pBdr>
            <w:bottom w:val="single" w:sz="6" w:space="0" w:color="auto"/>
          </w:pBdr>
          <w:jc w:val="right"/>
        </w:pPr>
        <w:r>
          <w:tab/>
        </w:r>
        <w:r w:rsidRPr="0059332D">
          <w:t>Emergency Department Visits for Hypoglycemia in Older Adults With Diabetes</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2F00B" w14:textId="720FDCB7" w:rsidR="00AE1706" w:rsidRPr="00AE1706" w:rsidRDefault="00AE1706" w:rsidP="00AE1706"/>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9490999"/>
      <w:docPartObj>
        <w:docPartGallery w:val="Page Numbers (Top of Page)"/>
        <w:docPartUnique/>
      </w:docPartObj>
    </w:sdtPr>
    <w:sdtEndPr>
      <w:rPr>
        <w:noProof/>
      </w:rPr>
    </w:sdtEndPr>
    <w:sdtContent>
      <w:p w14:paraId="76A8736E" w14:textId="70A3589D" w:rsidR="00950C88" w:rsidRPr="00AE1706" w:rsidRDefault="0076480E" w:rsidP="00950C88">
        <w:pPr>
          <w:pStyle w:val="Header"/>
          <w:jc w:val="right"/>
        </w:pPr>
        <w:r>
          <w:tab/>
          <w:t xml:space="preserve">Childhood Immunization Status </w:t>
        </w:r>
        <w:r>
          <w:tab/>
        </w:r>
        <w:r w:rsidR="00950C88">
          <w:fldChar w:fldCharType="begin"/>
        </w:r>
        <w:r w:rsidR="00950C88">
          <w:instrText xml:space="preserve"> PAGE   \* MERGEFORMAT </w:instrText>
        </w:r>
        <w:r w:rsidR="00950C88">
          <w:fldChar w:fldCharType="separate"/>
        </w:r>
        <w:r w:rsidR="00950C88">
          <w:rPr>
            <w:noProof/>
          </w:rPr>
          <w:t>2</w:t>
        </w:r>
        <w:r w:rsidR="00950C88">
          <w:rPr>
            <w:noProof/>
          </w:rPr>
          <w:fldChar w:fldCharType="end"/>
        </w:r>
      </w:p>
    </w:sdtContent>
  </w:sdt>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4089833"/>
      <w:docPartObj>
        <w:docPartGallery w:val="Page Numbers (Top of Page)"/>
        <w:docPartUnique/>
      </w:docPartObj>
    </w:sdtPr>
    <w:sdtEndPr>
      <w:rPr>
        <w:noProof/>
      </w:rPr>
    </w:sdtEndPr>
    <w:sdtContent>
      <w:p w14:paraId="3C60CE99" w14:textId="4AC4888E" w:rsidR="00B7116E" w:rsidRPr="00AE1706" w:rsidRDefault="00B7116E" w:rsidP="00950C88">
        <w:pPr>
          <w:pStyle w:val="Header"/>
          <w:jc w:val="right"/>
        </w:pPr>
        <w:r>
          <w:tab/>
          <w:t>Immunizations for Adolescents</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317177"/>
      <w:docPartObj>
        <w:docPartGallery w:val="Page Numbers (Top of Page)"/>
        <w:docPartUnique/>
      </w:docPartObj>
    </w:sdtPr>
    <w:sdtEndPr>
      <w:rPr>
        <w:noProof/>
      </w:rPr>
    </w:sdtEndPr>
    <w:sdtContent>
      <w:p w14:paraId="1FAEC667" w14:textId="44848B3C" w:rsidR="00542E75" w:rsidRPr="00AE1706" w:rsidRDefault="00542E75" w:rsidP="00950C88">
        <w:pPr>
          <w:pStyle w:val="Header"/>
          <w:jc w:val="right"/>
        </w:pPr>
        <w:r>
          <w:tab/>
          <w:t xml:space="preserve">Lead </w:t>
        </w:r>
        <w:r w:rsidRPr="7B5E2B87">
          <w:t>Screening</w:t>
        </w:r>
        <w:r>
          <w:t xml:space="preserve"> in Children</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5222836"/>
      <w:docPartObj>
        <w:docPartGallery w:val="Page Numbers (Top of Page)"/>
        <w:docPartUnique/>
      </w:docPartObj>
    </w:sdtPr>
    <w:sdtEndPr>
      <w:rPr>
        <w:noProof/>
      </w:rPr>
    </w:sdtEndPr>
    <w:sdtContent>
      <w:p w14:paraId="79222AA4" w14:textId="37D11BE2" w:rsidR="00B81F0D" w:rsidRPr="00AE1706" w:rsidRDefault="00B81F0D" w:rsidP="00950C88">
        <w:pPr>
          <w:pStyle w:val="Header"/>
          <w:jc w:val="right"/>
        </w:pPr>
        <w:r>
          <w:tab/>
        </w:r>
        <w:r w:rsidRPr="00DB617A">
          <w:t>Breast Cancer Screening</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015655"/>
      <w:docPartObj>
        <w:docPartGallery w:val="Page Numbers (Top of Page)"/>
        <w:docPartUnique/>
      </w:docPartObj>
    </w:sdtPr>
    <w:sdtEndPr>
      <w:rPr>
        <w:noProof/>
      </w:rPr>
    </w:sdtEndPr>
    <w:sdtContent>
      <w:p w14:paraId="358119F0" w14:textId="33EAB8F5" w:rsidR="00D155A7" w:rsidRPr="00AE1706" w:rsidRDefault="00D155A7" w:rsidP="00950C88">
        <w:pPr>
          <w:pStyle w:val="Header"/>
          <w:jc w:val="right"/>
        </w:pPr>
        <w:r>
          <w:tab/>
        </w:r>
        <w:r w:rsidRPr="00D17461">
          <w:rPr>
            <w:lang w:eastAsia="zh-CN"/>
          </w:rPr>
          <w:t>Documented Assessment After Mammogram</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354354"/>
      <w:docPartObj>
        <w:docPartGallery w:val="Page Numbers (Top of Page)"/>
        <w:docPartUnique/>
      </w:docPartObj>
    </w:sdtPr>
    <w:sdtEndPr>
      <w:rPr>
        <w:noProof/>
      </w:rPr>
    </w:sdtEndPr>
    <w:sdtContent>
      <w:p w14:paraId="5B5E95C5" w14:textId="0334A10C" w:rsidR="00F45A52" w:rsidRPr="00AE1706" w:rsidRDefault="00F45A52" w:rsidP="00950C88">
        <w:pPr>
          <w:pStyle w:val="Header"/>
          <w:jc w:val="right"/>
        </w:pPr>
        <w:r>
          <w:tab/>
        </w:r>
        <w:r w:rsidRPr="004F4A63">
          <w:rPr>
            <w:lang w:eastAsia="zh-CN"/>
          </w:rPr>
          <w:t>Follow-Up After Abnormal Mammogram Assessment</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7556735"/>
      <w:docPartObj>
        <w:docPartGallery w:val="Page Numbers (Top of Page)"/>
        <w:docPartUnique/>
      </w:docPartObj>
    </w:sdtPr>
    <w:sdtEndPr>
      <w:rPr>
        <w:noProof/>
      </w:rPr>
    </w:sdtEndPr>
    <w:sdtContent>
      <w:p w14:paraId="23DD12EF" w14:textId="00FBBA4C" w:rsidR="00367C65" w:rsidRPr="00AE1706" w:rsidRDefault="00367C65" w:rsidP="00950C88">
        <w:pPr>
          <w:pStyle w:val="Header"/>
          <w:jc w:val="right"/>
        </w:pPr>
        <w:r>
          <w:tab/>
          <w:t>Cervical Cancer Screening</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8463115"/>
      <w:docPartObj>
        <w:docPartGallery w:val="Page Numbers (Top of Page)"/>
        <w:docPartUnique/>
      </w:docPartObj>
    </w:sdtPr>
    <w:sdtEndPr>
      <w:rPr>
        <w:noProof/>
      </w:rPr>
    </w:sdtEndPr>
    <w:sdtContent>
      <w:p w14:paraId="38B04768" w14:textId="4C5B5C38" w:rsidR="001271BA" w:rsidRPr="00AE1706" w:rsidRDefault="001271BA" w:rsidP="00950C88">
        <w:pPr>
          <w:pStyle w:val="Header"/>
          <w:jc w:val="right"/>
        </w:pPr>
        <w:r>
          <w:tab/>
        </w:r>
        <w:r w:rsidRPr="002F2A02">
          <w:t>Colorectal Cancer Screening</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7276202"/>
      <w:docPartObj>
        <w:docPartGallery w:val="Page Numbers (Top of Page)"/>
        <w:docPartUnique/>
      </w:docPartObj>
    </w:sdtPr>
    <w:sdtEndPr>
      <w:rPr>
        <w:noProof/>
      </w:rPr>
    </w:sdtEndPr>
    <w:sdtContent>
      <w:p w14:paraId="13135961" w14:textId="2AD7B443" w:rsidR="00801714" w:rsidRPr="00AE1706" w:rsidRDefault="00801714" w:rsidP="00950C88">
        <w:pPr>
          <w:pStyle w:val="Header"/>
          <w:jc w:val="right"/>
        </w:pPr>
        <w:r>
          <w:tab/>
          <w:t xml:space="preserve">Follow-Up After Acute </w:t>
        </w:r>
        <w:r w:rsidRPr="001762A3">
          <w:t xml:space="preserve">and Urgent Care </w:t>
        </w:r>
        <w:r>
          <w:t>Visits for Asthma</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584582"/>
      <w:docPartObj>
        <w:docPartGallery w:val="Page Numbers (Top of Page)"/>
        <w:docPartUnique/>
      </w:docPartObj>
    </w:sdtPr>
    <w:sdtEndPr>
      <w:rPr>
        <w:noProof/>
      </w:rPr>
    </w:sdtEndPr>
    <w:sdtContent>
      <w:p w14:paraId="28C141BF" w14:textId="72CA094B" w:rsidR="00774F91" w:rsidRPr="00AE1706" w:rsidRDefault="00774F91" w:rsidP="00950C88">
        <w:pPr>
          <w:pStyle w:val="Header"/>
          <w:jc w:val="right"/>
        </w:pPr>
        <w:r>
          <w:tab/>
        </w:r>
        <w:r w:rsidRPr="00F02531">
          <w:t>Blood Pressure Control for Patients With Hypertension</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9889960"/>
      <w:docPartObj>
        <w:docPartGallery w:val="Page Numbers (Top of Page)"/>
        <w:docPartUnique/>
      </w:docPartObj>
    </w:sdtPr>
    <w:sdtEndPr>
      <w:rPr>
        <w:noProof/>
      </w:rPr>
    </w:sdtEndPr>
    <w:sdtContent>
      <w:p w14:paraId="55138C9F" w14:textId="18696427" w:rsidR="009F0191" w:rsidRPr="00AE1706" w:rsidRDefault="009F0191" w:rsidP="00950C88">
        <w:pPr>
          <w:pStyle w:val="Header"/>
          <w:jc w:val="right"/>
        </w:pPr>
        <w:r>
          <w:tab/>
        </w:r>
        <w:r w:rsidRPr="0096439F">
          <w:t>Statin Therapy for Patients With Cardiovascular Disease</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745159"/>
      <w:docPartObj>
        <w:docPartGallery w:val="Page Numbers (Top of Page)"/>
        <w:docPartUnique/>
      </w:docPartObj>
    </w:sdtPr>
    <w:sdtEndPr>
      <w:rPr>
        <w:noProof/>
      </w:rPr>
    </w:sdtEndPr>
    <w:sdtContent>
      <w:p w14:paraId="2C4AB567" w14:textId="21065171" w:rsidR="00D56063" w:rsidRPr="00AE1706" w:rsidRDefault="00D56063" w:rsidP="00950C88">
        <w:pPr>
          <w:pStyle w:val="Header"/>
          <w:jc w:val="right"/>
        </w:pPr>
        <w:r>
          <w:tab/>
        </w:r>
        <w:r w:rsidRPr="00D76051">
          <w:t>Blood Pressure Control for Patients With Diabetes</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412776"/>
      <w:docPartObj>
        <w:docPartGallery w:val="Page Numbers (Top of Page)"/>
        <w:docPartUnique/>
      </w:docPartObj>
    </w:sdtPr>
    <w:sdtEndPr>
      <w:rPr>
        <w:noProof/>
      </w:rPr>
    </w:sdtEndPr>
    <w:sdtContent>
      <w:p w14:paraId="406DBBD6" w14:textId="43E0B40D" w:rsidR="00BB1C38" w:rsidRPr="00AE1706" w:rsidRDefault="00BB1C38" w:rsidP="00950C88">
        <w:pPr>
          <w:pStyle w:val="Header"/>
          <w:jc w:val="right"/>
        </w:pPr>
        <w:r>
          <w:tab/>
        </w:r>
        <w:r w:rsidRPr="00904D6F">
          <w:t>Statin</w:t>
        </w:r>
        <w:r>
          <w:t xml:space="preserve"> </w:t>
        </w:r>
        <w:r w:rsidRPr="00904D6F">
          <w:t>Therapy</w:t>
        </w:r>
        <w:r>
          <w:t xml:space="preserve"> </w:t>
        </w:r>
        <w:r w:rsidRPr="00904D6F">
          <w:t>for</w:t>
        </w:r>
        <w:r>
          <w:t xml:space="preserve"> </w:t>
        </w:r>
        <w:r w:rsidRPr="00904D6F">
          <w:t>Patients</w:t>
        </w:r>
        <w:r>
          <w:t xml:space="preserve"> </w:t>
        </w:r>
        <w:r w:rsidRPr="00904D6F">
          <w:t>With</w:t>
        </w:r>
        <w:r>
          <w:t xml:space="preserve"> </w:t>
        </w:r>
        <w:r w:rsidRPr="00904D6F">
          <w:t>Diabetes</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4641391"/>
      <w:docPartObj>
        <w:docPartGallery w:val="Page Numbers (Top of Page)"/>
        <w:docPartUnique/>
      </w:docPartObj>
    </w:sdtPr>
    <w:sdtEndPr>
      <w:rPr>
        <w:noProof/>
      </w:rPr>
    </w:sdtEndPr>
    <w:sdtContent>
      <w:p w14:paraId="698CA84B" w14:textId="1B3E60C8" w:rsidR="003752AB" w:rsidRPr="00AE1706" w:rsidRDefault="003752AB" w:rsidP="00950C88">
        <w:pPr>
          <w:pStyle w:val="Header"/>
          <w:jc w:val="right"/>
        </w:pPr>
        <w:r>
          <w:tab/>
        </w:r>
        <w:r w:rsidRPr="002C67EE">
          <w:t>Follow-Up Care for Children Prescribed ADHD Medication</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351079"/>
      <w:docPartObj>
        <w:docPartGallery w:val="Page Numbers (Top of Page)"/>
        <w:docPartUnique/>
      </w:docPartObj>
    </w:sdtPr>
    <w:sdtEndPr>
      <w:rPr>
        <w:noProof/>
      </w:rPr>
    </w:sdtEndPr>
    <w:sdtContent>
      <w:p w14:paraId="2DA11C35" w14:textId="30052FBD" w:rsidR="00B626CA" w:rsidRPr="00AE1706" w:rsidRDefault="00B626CA" w:rsidP="00950C88">
        <w:pPr>
          <w:pStyle w:val="Header"/>
          <w:jc w:val="right"/>
        </w:pPr>
        <w:r>
          <w:tab/>
          <w:t>Metabolic Monitoring for Children and Adolescents on Antipsychotics</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1294475"/>
      <w:docPartObj>
        <w:docPartGallery w:val="Page Numbers (Top of Page)"/>
        <w:docPartUnique/>
      </w:docPartObj>
    </w:sdtPr>
    <w:sdtEndPr>
      <w:rPr>
        <w:noProof/>
      </w:rPr>
    </w:sdtEndPr>
    <w:sdtContent>
      <w:p w14:paraId="7AB4C7F2" w14:textId="146E7DB3" w:rsidR="0095689D" w:rsidRPr="00AE1706" w:rsidRDefault="0095689D" w:rsidP="00950C88">
        <w:pPr>
          <w:pStyle w:val="Header"/>
          <w:jc w:val="right"/>
        </w:pPr>
        <w:r>
          <w:tab/>
        </w:r>
        <w:r w:rsidRPr="00902B07">
          <w:rPr>
            <w:rFonts w:eastAsiaTheme="majorEastAsia"/>
          </w:rPr>
          <w:t>Depression Screening and Follow-Up for Adolescents and Adults</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7894795"/>
      <w:docPartObj>
        <w:docPartGallery w:val="Page Numbers (Top of Page)"/>
        <w:docPartUnique/>
      </w:docPartObj>
    </w:sdtPr>
    <w:sdtEndPr>
      <w:rPr>
        <w:noProof/>
      </w:rPr>
    </w:sdtEndPr>
    <w:sdtContent>
      <w:p w14:paraId="1BF571B9" w14:textId="6FE161AB" w:rsidR="0056402B" w:rsidRPr="00AE1706" w:rsidRDefault="0056402B" w:rsidP="00950C88">
        <w:pPr>
          <w:pStyle w:val="Header"/>
          <w:jc w:val="right"/>
        </w:pPr>
        <w:r>
          <w:tab/>
          <w:t>Utilization of the PHQ-9 to Monitor Depression Symptoms for Adolescents and Adults</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363949"/>
      <w:docPartObj>
        <w:docPartGallery w:val="Page Numbers (Top of Page)"/>
        <w:docPartUnique/>
      </w:docPartObj>
    </w:sdtPr>
    <w:sdtEndPr>
      <w:rPr>
        <w:noProof/>
      </w:rPr>
    </w:sdtEndPr>
    <w:sdtContent>
      <w:p w14:paraId="16931B4C" w14:textId="002DE5B8" w:rsidR="00FF042C" w:rsidRPr="00AE1706" w:rsidRDefault="00FF042C" w:rsidP="00950C88">
        <w:pPr>
          <w:pStyle w:val="Header"/>
          <w:jc w:val="right"/>
        </w:pPr>
        <w:r>
          <w:tab/>
          <w:t>Depression Remission or Response for Adolescents and Adults</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9240365"/>
      <w:docPartObj>
        <w:docPartGallery w:val="Page Numbers (Top of Page)"/>
        <w:docPartUnique/>
      </w:docPartObj>
    </w:sdtPr>
    <w:sdtEndPr>
      <w:rPr>
        <w:noProof/>
      </w:rPr>
    </w:sdtEndPr>
    <w:sdtContent>
      <w:p w14:paraId="19064F1C" w14:textId="26BF56C1" w:rsidR="000F6528" w:rsidRPr="00AE1706" w:rsidRDefault="000F6528" w:rsidP="00950C88">
        <w:pPr>
          <w:pStyle w:val="Header"/>
          <w:jc w:val="right"/>
        </w:pPr>
        <w:r>
          <w:tab/>
          <w:t>Unhealthy Alcohol Use Screening and Follow-Up</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0044638"/>
      <w:docPartObj>
        <w:docPartGallery w:val="Page Numbers (Top of Page)"/>
        <w:docPartUnique/>
      </w:docPartObj>
    </w:sdtPr>
    <w:sdtEndPr>
      <w:rPr>
        <w:noProof/>
      </w:rPr>
    </w:sdtEndPr>
    <w:sdtContent>
      <w:p w14:paraId="08099A44" w14:textId="2F9194AF" w:rsidR="00B92BDC" w:rsidRPr="00AE1706" w:rsidRDefault="00B92BDC" w:rsidP="00950C88">
        <w:pPr>
          <w:pStyle w:val="Header"/>
          <w:jc w:val="right"/>
        </w:pPr>
        <w:r>
          <w:tab/>
          <w:t>Tobacco Use Screening and Cessation Intervention</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3490004"/>
      <w:docPartObj>
        <w:docPartGallery w:val="Page Numbers (Top of Page)"/>
        <w:docPartUnique/>
      </w:docPartObj>
    </w:sdtPr>
    <w:sdtEndPr>
      <w:rPr>
        <w:noProof/>
      </w:rPr>
    </w:sdtEndPr>
    <w:sdtContent>
      <w:p w14:paraId="4E3A8563" w14:textId="6ECD08AC" w:rsidR="00126373" w:rsidRPr="00AE1706" w:rsidRDefault="00126373" w:rsidP="00950C88">
        <w:pPr>
          <w:pStyle w:val="Header"/>
          <w:jc w:val="right"/>
        </w:pPr>
        <w:r>
          <w:tab/>
          <w:t>Adult Immunization Status</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642418"/>
      <w:docPartObj>
        <w:docPartGallery w:val="Page Numbers (Top of Page)"/>
        <w:docPartUnique/>
      </w:docPartObj>
    </w:sdtPr>
    <w:sdtEndPr>
      <w:rPr>
        <w:noProof/>
      </w:rPr>
    </w:sdtEndPr>
    <w:sdtContent>
      <w:p w14:paraId="62E3C589" w14:textId="372CCB97" w:rsidR="009A14AB" w:rsidRPr="00AE1706" w:rsidRDefault="009A14AB" w:rsidP="00950C88">
        <w:pPr>
          <w:pStyle w:val="Header"/>
          <w:jc w:val="right"/>
        </w:pPr>
        <w:r>
          <w:tab/>
          <w:t>Prenatal Immunization Status</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0422309"/>
      <w:docPartObj>
        <w:docPartGallery w:val="Page Numbers (Top of Page)"/>
        <w:docPartUnique/>
      </w:docPartObj>
    </w:sdtPr>
    <w:sdtEndPr>
      <w:rPr>
        <w:noProof/>
      </w:rPr>
    </w:sdtEndPr>
    <w:sdtContent>
      <w:p w14:paraId="078A8703" w14:textId="4D9D521B" w:rsidR="005B71C3" w:rsidRPr="00AE1706" w:rsidRDefault="005B71C3" w:rsidP="00950C88">
        <w:pPr>
          <w:pStyle w:val="Header"/>
          <w:jc w:val="right"/>
        </w:pPr>
        <w:r>
          <w:tab/>
          <w:t>Prenatal Depression Screening and Follow-Up</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8882104"/>
      <w:docPartObj>
        <w:docPartGallery w:val="Page Numbers (Top of Page)"/>
        <w:docPartUnique/>
      </w:docPartObj>
    </w:sdtPr>
    <w:sdtEndPr>
      <w:rPr>
        <w:noProof/>
      </w:rPr>
    </w:sdtEndPr>
    <w:sdtContent>
      <w:p w14:paraId="5D4F2DB5" w14:textId="3624334D" w:rsidR="00C97601" w:rsidRPr="00AE1706" w:rsidRDefault="00C97601" w:rsidP="00950C88">
        <w:pPr>
          <w:pStyle w:val="Header"/>
          <w:jc w:val="right"/>
        </w:pPr>
        <w:r>
          <w:tab/>
          <w:t>Postpartum Depression Screening and Follow-Up</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451554"/>
      <w:docPartObj>
        <w:docPartGallery w:val="Page Numbers (Top of Page)"/>
        <w:docPartUnique/>
      </w:docPartObj>
    </w:sdtPr>
    <w:sdtEndPr>
      <w:rPr>
        <w:noProof/>
      </w:rPr>
    </w:sdtEndPr>
    <w:sdtContent>
      <w:p w14:paraId="0C51DDA7" w14:textId="130B9A83" w:rsidR="007552EF" w:rsidRPr="00AE1706" w:rsidRDefault="007552EF" w:rsidP="00950C88">
        <w:pPr>
          <w:pStyle w:val="Header"/>
          <w:jc w:val="right"/>
        </w:pPr>
        <w:r>
          <w:tab/>
          <w:t>Social Need Screening and Intervention</w:t>
        </w:r>
        <w:r>
          <w:tab/>
        </w:r>
        <w:r>
          <w:fldChar w:fldCharType="begin"/>
        </w:r>
        <w:r>
          <w:instrText xml:space="preserve"> PAGE   \* MERGEFORMAT </w:instrText>
        </w:r>
        <w:r>
          <w:fldChar w:fldCharType="separate"/>
        </w:r>
        <w:r>
          <w:rPr>
            <w:noProof/>
          </w:rPr>
          <w:t>2</w:t>
        </w:r>
        <w:r>
          <w:rPr>
            <w:noProof/>
          </w:rPr>
          <w:fldChar w:fldCharType="end"/>
        </w:r>
      </w:p>
    </w:sdtContent>
  </w:sdt>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0E548" w14:textId="77777777" w:rsidR="00D274D2" w:rsidRDefault="00D274D2">
    <w:pPr>
      <w:pStyle w:val="Header"/>
      <w:ind w:right="360"/>
    </w:pPr>
    <w:r w:rsidRPr="4CF467D7">
      <w:rPr>
        <w:noProof/>
      </w:rPr>
      <w:fldChar w:fldCharType="begin"/>
    </w:r>
    <w:r>
      <w:instrText xml:space="preserve"> PAGE </w:instrText>
    </w:r>
    <w:r w:rsidRPr="4CF467D7">
      <w:fldChar w:fldCharType="separate"/>
    </w:r>
    <w:r>
      <w:rPr>
        <w:noProof/>
      </w:rPr>
      <w:t>248</w:t>
    </w:r>
    <w:r w:rsidRPr="4CF467D7">
      <w:rPr>
        <w:noProof/>
      </w:rPr>
      <w:fldChar w:fldCharType="end"/>
    </w:r>
    <w:r>
      <w:t xml:space="preserve"> |</w:t>
    </w: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FCBFF" w14:textId="77777777" w:rsidR="00D274D2" w:rsidRDefault="00D274D2">
    <w:pPr>
      <w:pStyle w:val="Header"/>
      <w:pBdr>
        <w:bottom w:val="none" w:sz="0" w:space="0" w:color="auto"/>
      </w:pBdr>
      <w:ind w:right="360" w:firstLine="360"/>
    </w:pP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0ACF3" w14:textId="77777777" w:rsidR="00D274D2" w:rsidRDefault="00D274D2">
    <w:pPr>
      <w:pStyle w:val="Header"/>
      <w:pBdr>
        <w:bottom w:val="none" w:sz="0" w:space="0" w:color="auto"/>
      </w:pBdr>
    </w:pP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06C8" w14:textId="77777777" w:rsidR="00D274D2" w:rsidRDefault="00D274D2">
    <w:pPr>
      <w:pStyle w:val="Header"/>
      <w:tabs>
        <w:tab w:val="left" w:pos="720"/>
      </w:tabs>
    </w:pPr>
    <w:r w:rsidRPr="4CF467D7">
      <w:rPr>
        <w:noProof/>
      </w:rPr>
      <w:fldChar w:fldCharType="begin"/>
    </w:r>
    <w:r>
      <w:instrText xml:space="preserve"> PAGE </w:instrText>
    </w:r>
    <w:r w:rsidRPr="4CF467D7">
      <w:fldChar w:fldCharType="separate"/>
    </w:r>
    <w:r>
      <w:rPr>
        <w:noProof/>
      </w:rPr>
      <w:t>248</w:t>
    </w:r>
    <w:r w:rsidRPr="4CF467D7">
      <w:rPr>
        <w:noProof/>
      </w:rPr>
      <w:fldChar w:fldCharType="end"/>
    </w:r>
    <w:r>
      <w:t xml:space="preserve"> </w:t>
    </w:r>
    <w:r>
      <w:tab/>
      <w:t>Enrollment by Product Line</w:t>
    </w: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513949"/>
      <w:docPartObj>
        <w:docPartGallery w:val="Page Numbers (Top of Page)"/>
        <w:docPartUnique/>
      </w:docPartObj>
    </w:sdtPr>
    <w:sdtEndPr>
      <w:rPr>
        <w:noProof/>
      </w:rPr>
    </w:sdtEndPr>
    <w:sdtContent>
      <w:p w14:paraId="7B9985F2" w14:textId="77777777" w:rsidR="00D274D2" w:rsidRDefault="00D274D2">
        <w:pPr>
          <w:pStyle w:val="Header"/>
          <w:jc w:val="right"/>
        </w:pPr>
        <w:r>
          <w:tab/>
          <w:t>Enrollment by Product Line</w:t>
        </w:r>
        <w:r>
          <w:tab/>
        </w:r>
        <w:r>
          <w:rPr>
            <w:noProof/>
          </w:rPr>
          <w:fldChar w:fldCharType="begin"/>
        </w:r>
        <w:r>
          <w:instrText xml:space="preserve"> PAGE   \* MERGEFORMAT </w:instrText>
        </w:r>
        <w:r>
          <w:fldChar w:fldCharType="separate"/>
        </w:r>
        <w:r>
          <w:rPr>
            <w:noProof/>
          </w:rPr>
          <w:t>529</w:t>
        </w:r>
        <w:r>
          <w:rPr>
            <w:noProof/>
          </w:rPr>
          <w:fldChar w:fldCharType="end"/>
        </w:r>
      </w:p>
    </w:sdtContent>
  </w:sdt>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63628" w14:textId="77777777" w:rsidR="00D274D2" w:rsidRDefault="00D274D2">
    <w:pPr>
      <w:pStyle w:val="Header"/>
      <w:tabs>
        <w:tab w:val="left" w:pos="720"/>
      </w:tabs>
    </w:pPr>
    <w:r w:rsidRPr="4CF467D7">
      <w:rPr>
        <w:noProof/>
      </w:rPr>
      <w:fldChar w:fldCharType="begin"/>
    </w:r>
    <w:r>
      <w:instrText xml:space="preserve"> PAGE </w:instrText>
    </w:r>
    <w:r w:rsidRPr="4CF467D7">
      <w:fldChar w:fldCharType="separate"/>
    </w:r>
    <w:r>
      <w:rPr>
        <w:noProof/>
      </w:rPr>
      <w:t>248</w:t>
    </w:r>
    <w:r w:rsidRPr="4CF467D7">
      <w:rPr>
        <w:noProof/>
      </w:rPr>
      <w:fldChar w:fldCharType="end"/>
    </w:r>
    <w:r>
      <w:t xml:space="preserve"> </w:t>
    </w:r>
    <w:r>
      <w:tab/>
      <w:t>Language Diversity of Membership</w:t>
    </w: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439518"/>
      <w:docPartObj>
        <w:docPartGallery w:val="Page Numbers (Top of Page)"/>
        <w:docPartUnique/>
      </w:docPartObj>
    </w:sdtPr>
    <w:sdtEndPr>
      <w:rPr>
        <w:noProof/>
      </w:rPr>
    </w:sdtEndPr>
    <w:sdtContent>
      <w:p w14:paraId="3E74029C" w14:textId="77777777" w:rsidR="00D274D2" w:rsidRDefault="00D274D2">
        <w:pPr>
          <w:pStyle w:val="Header"/>
          <w:jc w:val="right"/>
        </w:pPr>
        <w:r>
          <w:tab/>
          <w:t>Language Description of Membership</w:t>
        </w:r>
        <w:r>
          <w:tab/>
        </w:r>
        <w:r>
          <w:rPr>
            <w:noProof/>
          </w:rPr>
          <w:fldChar w:fldCharType="begin"/>
        </w:r>
        <w:r>
          <w:instrText xml:space="preserve"> PAGE   \* MERGEFORMAT </w:instrText>
        </w:r>
        <w:r>
          <w:fldChar w:fldCharType="separate"/>
        </w:r>
        <w:r>
          <w:rPr>
            <w:noProof/>
          </w:rPr>
          <w:t>529</w:t>
        </w:r>
        <w:r>
          <w:rPr>
            <w:noProof/>
          </w:rPr>
          <w:fldChar w:fldCharType="end"/>
        </w:r>
      </w:p>
    </w:sdtContent>
  </w:sdt>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DC6A9" w14:textId="77777777" w:rsidR="00D274D2" w:rsidRDefault="00D274D2">
    <w:pPr>
      <w:pStyle w:val="Header"/>
    </w:pPr>
    <w:r>
      <w:fldChar w:fldCharType="begin"/>
    </w:r>
    <w:r>
      <w:instrText xml:space="preserve"> PAGE </w:instrText>
    </w:r>
    <w:r>
      <w:fldChar w:fldCharType="separate"/>
    </w:r>
    <w:r>
      <w:t>327</w:t>
    </w:r>
    <w:r>
      <w:fldChar w:fldCharType="end"/>
    </w:r>
    <w:r>
      <w:tab/>
      <w:t>Weeks of Pregnancy at Time of Enrollment</w:t>
    </w: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6F404" w14:textId="77777777" w:rsidR="003E60F6" w:rsidRDefault="003E60F6">
    <w:pPr>
      <w:pStyle w:val="Header"/>
      <w:tabs>
        <w:tab w:val="left" w:pos="720"/>
      </w:tabs>
    </w:pPr>
    <w:r w:rsidRPr="4CF467D7">
      <w:rPr>
        <w:noProof/>
      </w:rPr>
      <w:fldChar w:fldCharType="begin"/>
    </w:r>
    <w:r>
      <w:instrText xml:space="preserve"> PAGE </w:instrText>
    </w:r>
    <w:r w:rsidRPr="4CF467D7">
      <w:fldChar w:fldCharType="separate"/>
    </w:r>
    <w:r>
      <w:rPr>
        <w:noProof/>
      </w:rPr>
      <w:t>248</w:t>
    </w:r>
    <w:r w:rsidRPr="4CF467D7">
      <w:rPr>
        <w:noProof/>
      </w:rPr>
      <w:fldChar w:fldCharType="end"/>
    </w:r>
    <w:r>
      <w:t xml:space="preserve"> </w:t>
    </w:r>
    <w:r>
      <w:tab/>
      <w:t>Language Diversity of Membership</w:t>
    </w: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6440615"/>
      <w:docPartObj>
        <w:docPartGallery w:val="Page Numbers (Top of Page)"/>
        <w:docPartUnique/>
      </w:docPartObj>
    </w:sdtPr>
    <w:sdtEndPr>
      <w:rPr>
        <w:noProof/>
      </w:rPr>
    </w:sdtEndPr>
    <w:sdtContent>
      <w:p w14:paraId="37D7C600" w14:textId="08D2DA19" w:rsidR="003E60F6" w:rsidRDefault="003E60F6">
        <w:pPr>
          <w:pStyle w:val="Header"/>
          <w:jc w:val="right"/>
        </w:pPr>
        <w:r>
          <w:tab/>
        </w:r>
        <w:r w:rsidR="00476852" w:rsidRPr="00457364">
          <w:rPr>
            <w:kern w:val="20"/>
          </w:rPr>
          <w:t>Race/Ethnicity</w:t>
        </w:r>
        <w:r w:rsidRPr="00457364">
          <w:rPr>
            <w:kern w:val="20"/>
          </w:rPr>
          <w:t xml:space="preserve"> </w:t>
        </w:r>
        <w:r>
          <w:t>Description</w:t>
        </w:r>
        <w:r w:rsidRPr="00457364">
          <w:rPr>
            <w:kern w:val="20"/>
          </w:rPr>
          <w:t xml:space="preserve"> of Membership</w:t>
        </w:r>
        <w:r>
          <w:tab/>
        </w:r>
        <w:r>
          <w:rPr>
            <w:noProof/>
          </w:rPr>
          <w:fldChar w:fldCharType="begin"/>
        </w:r>
        <w:r>
          <w:instrText xml:space="preserve"> PAGE   \* MERGEFORMAT </w:instrText>
        </w:r>
        <w:r>
          <w:fldChar w:fldCharType="separate"/>
        </w:r>
        <w:r>
          <w:rPr>
            <w:noProof/>
          </w:rPr>
          <w:t>529</w:t>
        </w:r>
        <w:r>
          <w:rPr>
            <w:noProof/>
          </w:rPr>
          <w:fldChar w:fldCharType="end"/>
        </w:r>
      </w:p>
    </w:sdtContent>
  </w:sdt>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6E433" w14:textId="77777777" w:rsidR="003E60F6" w:rsidRDefault="003E60F6">
    <w:pPr>
      <w:pStyle w:val="Header"/>
    </w:pPr>
    <w:r>
      <w:fldChar w:fldCharType="begin"/>
    </w:r>
    <w:r>
      <w:instrText xml:space="preserve"> PAGE </w:instrText>
    </w:r>
    <w:r>
      <w:fldChar w:fldCharType="separate"/>
    </w:r>
    <w:r>
      <w:t>327</w:t>
    </w:r>
    <w:r>
      <w:fldChar w:fldCharType="end"/>
    </w:r>
    <w:r>
      <w:tab/>
      <w:t>Weeks of Pregnancy at Time of Enrollment</w:t>
    </w: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9051176"/>
      <w:docPartObj>
        <w:docPartGallery w:val="Page Numbers (Top of Page)"/>
        <w:docPartUnique/>
      </w:docPartObj>
    </w:sdtPr>
    <w:sdtEndPr>
      <w:rPr>
        <w:noProof/>
      </w:rPr>
    </w:sdtEndPr>
    <w:sdtContent>
      <w:p w14:paraId="64FC2004" w14:textId="3C542DE6" w:rsidR="003E60F6" w:rsidRDefault="003E60F6">
        <w:pPr>
          <w:pStyle w:val="Header"/>
          <w:jc w:val="right"/>
        </w:pPr>
        <w:r>
          <w:tab/>
        </w:r>
        <w:r w:rsidR="005E6923" w:rsidRPr="00962985">
          <w:rPr>
            <w:rFonts w:cs="Arial"/>
            <w:bCs/>
            <w:iCs/>
            <w:szCs w:val="28"/>
          </w:rPr>
          <w:t>Disability</w:t>
        </w:r>
        <w:r w:rsidRPr="00962985">
          <w:rPr>
            <w:rFonts w:cs="Arial"/>
            <w:szCs w:val="28"/>
          </w:rPr>
          <w:t xml:space="preserve"> Description of Membership</w:t>
        </w:r>
        <w:r w:rsidR="005E6923" w:rsidRPr="00962985">
          <w:rPr>
            <w:rFonts w:cs="Arial"/>
            <w:bCs/>
            <w:iCs/>
            <w:szCs w:val="28"/>
          </w:rPr>
          <w:t xml:space="preserve"> (DDM)</w:t>
        </w:r>
        <w:r>
          <w:tab/>
        </w:r>
        <w:r>
          <w:rPr>
            <w:noProof/>
          </w:rPr>
          <w:fldChar w:fldCharType="begin"/>
        </w:r>
        <w:r>
          <w:instrText xml:space="preserve"> PAGE   \* MERGEFORMAT </w:instrText>
        </w:r>
        <w:r>
          <w:fldChar w:fldCharType="separate"/>
        </w:r>
        <w:r>
          <w:rPr>
            <w:noProof/>
          </w:rPr>
          <w:t>529</w:t>
        </w:r>
        <w:r>
          <w:rPr>
            <w:noProof/>
          </w:rPr>
          <w:fldChar w:fldCharType="end"/>
        </w:r>
      </w:p>
    </w:sdtContent>
  </w:sdt>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2112F" w14:textId="2EB3B0FC" w:rsidR="00371B1A" w:rsidRPr="00371B1A" w:rsidRDefault="00371B1A" w:rsidP="00371B1A"/>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2A885" w14:textId="77777777" w:rsidR="003D7F41" w:rsidRPr="00F31BF0" w:rsidRDefault="003D7F41">
    <w:pPr>
      <w:pStyle w:val="Header"/>
      <w:tabs>
        <w:tab w:val="left" w:pos="720"/>
      </w:tabs>
    </w:pPr>
    <w:r>
      <w:t>3-</w:t>
    </w:r>
    <w:r>
      <w:fldChar w:fldCharType="begin"/>
    </w:r>
    <w:r>
      <w:instrText xml:space="preserve"> PAGE   \* MERGEFORMAT </w:instrText>
    </w:r>
    <w:r>
      <w:fldChar w:fldCharType="separate"/>
    </w:r>
    <w:r>
      <w:rPr>
        <w:noProof/>
      </w:rPr>
      <w:t>2</w:t>
    </w:r>
    <w:r>
      <w:rPr>
        <w:noProof/>
      </w:rPr>
      <w:fldChar w:fldCharType="end"/>
    </w:r>
    <w:r>
      <w:rPr>
        <w:noProof/>
      </w:rPr>
      <w:tab/>
    </w:r>
    <w:r w:rsidRPr="002235E9">
      <w:rPr>
        <w:noProof/>
      </w:rPr>
      <w:t>Appendix 3—Glossary</w:t>
    </w: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49F5E" w14:textId="77777777" w:rsidR="003D7F41" w:rsidRDefault="003D7F41">
    <w:pPr>
      <w:pStyle w:val="Header"/>
      <w:pBdr>
        <w:bottom w:val="single" w:sz="6" w:space="0" w:color="auto"/>
      </w:pBdr>
    </w:pPr>
    <w:r>
      <w:tab/>
      <w:t>Appendix 1—Glossary</w:t>
    </w:r>
    <w:r>
      <w:tab/>
      <w:t>1-</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4E5B8" w14:textId="77777777" w:rsidR="00A523D5" w:rsidRPr="00371B1A" w:rsidRDefault="00A523D5" w:rsidP="00371B1A"/>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5DBFE" w14:textId="77777777" w:rsidR="001223E4" w:rsidRDefault="001223E4">
    <w:pPr>
      <w:pStyle w:val="Header"/>
      <w:tabs>
        <w:tab w:val="left" w:pos="720"/>
      </w:tabs>
    </w:pPr>
    <w:r>
      <w:t>4-</w:t>
    </w:r>
    <w:sdt>
      <w:sdtPr>
        <w:id w:val="19312043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tab/>
    </w:r>
    <w:r w:rsidRPr="001F0E6B">
      <w:t>Appendix 4—Data Element Definitions</w:t>
    </w: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8442174"/>
      <w:docPartObj>
        <w:docPartGallery w:val="Page Numbers (Top of Page)"/>
        <w:docPartUnique/>
      </w:docPartObj>
    </w:sdtPr>
    <w:sdtEndPr>
      <w:rPr>
        <w:noProof/>
      </w:rPr>
    </w:sdtEndPr>
    <w:sdtContent>
      <w:p w14:paraId="08AE1901" w14:textId="77777777" w:rsidR="001223E4" w:rsidRPr="008225F8" w:rsidRDefault="001223E4">
        <w:pPr>
          <w:pStyle w:val="Header"/>
          <w:jc w:val="right"/>
        </w:pPr>
        <w:r>
          <w:tab/>
        </w:r>
        <w:r w:rsidRPr="001F0E6B">
          <w:t xml:space="preserve">Appendix </w:t>
        </w:r>
        <w:r>
          <w:t>2</w:t>
        </w:r>
        <w:r w:rsidRPr="001F0E6B">
          <w:t xml:space="preserve">—Data Element Definitions </w:t>
        </w:r>
        <w:r>
          <w:tab/>
          <w:t>2-</w:t>
        </w:r>
        <w:r>
          <w:fldChar w:fldCharType="begin"/>
        </w:r>
        <w:r>
          <w:instrText xml:space="preserve"> PAGE   \* MERGEFORMAT </w:instrText>
        </w:r>
        <w:r>
          <w:fldChar w:fldCharType="separate"/>
        </w:r>
        <w:r>
          <w:rPr>
            <w:noProof/>
          </w:rPr>
          <w:t>2</w:t>
        </w:r>
        <w:r>
          <w:rPr>
            <w:noProof/>
          </w:rPr>
          <w:fldChar w:fldCharType="end"/>
        </w:r>
      </w:p>
    </w:sdtContent>
  </w:sdt>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0EC5D" w14:textId="77777777" w:rsidR="001223E4" w:rsidRDefault="001223E4">
    <w:pPr>
      <w:pStyle w:val="Header"/>
      <w:tabs>
        <w:tab w:val="left" w:pos="720"/>
      </w:tabs>
    </w:pPr>
    <w:r w:rsidRPr="009206C7">
      <w:t>4-</w:t>
    </w:r>
    <w:r>
      <w:fldChar w:fldCharType="begin"/>
    </w:r>
    <w:r>
      <w:instrText xml:space="preserve"> PAGE </w:instrText>
    </w:r>
    <w:r>
      <w:fldChar w:fldCharType="separate"/>
    </w:r>
    <w:r>
      <w:rPr>
        <w:noProof/>
      </w:rPr>
      <w:t>4</w:t>
    </w:r>
    <w:r>
      <w:rPr>
        <w:noProof/>
      </w:rPr>
      <w:fldChar w:fldCharType="end"/>
    </w:r>
    <w:r>
      <w:t xml:space="preserve"> </w:t>
    </w:r>
    <w:r w:rsidRPr="009206C7">
      <w:tab/>
    </w:r>
  </w:p>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37C17" w14:textId="77777777" w:rsidR="001223E4" w:rsidRDefault="001223E4"/>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C54AA" w14:textId="77777777" w:rsidR="005D6173" w:rsidRDefault="003011DA">
    <w:pPr>
      <w:pStyle w:val="Header"/>
      <w:tabs>
        <w:tab w:val="left" w:pos="720"/>
      </w:tabs>
    </w:pPr>
    <w:r>
      <w:t>7</w:t>
    </w:r>
    <w:r w:rsidRPr="007B52B4">
      <w:t>-</w:t>
    </w:r>
    <w:r w:rsidRPr="007B52B4">
      <w:fldChar w:fldCharType="begin"/>
    </w:r>
    <w:r w:rsidRPr="007B52B4">
      <w:instrText xml:space="preserve"> PAGE </w:instrText>
    </w:r>
    <w:r w:rsidRPr="007B52B4">
      <w:fldChar w:fldCharType="separate"/>
    </w:r>
    <w:r>
      <w:rPr>
        <w:noProof/>
      </w:rPr>
      <w:t>2</w:t>
    </w:r>
    <w:r w:rsidRPr="007B52B4">
      <w:fldChar w:fldCharType="end"/>
    </w:r>
    <w:r w:rsidRPr="007B52B4">
      <w:tab/>
      <w:t>Appendix</w:t>
    </w:r>
    <w:r>
      <w:t xml:space="preserve"> 7</w:t>
    </w:r>
    <w:r w:rsidRPr="007B52B4">
      <w:t>—Logical</w:t>
    </w:r>
    <w:r>
      <w:t xml:space="preserve"> Measure </w:t>
    </w:r>
    <w:r w:rsidRPr="007B52B4">
      <w:t>Groups</w:t>
    </w:r>
    <w:r>
      <w:t xml:space="preserve"> </w:t>
    </w: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9017400"/>
      <w:docPartObj>
        <w:docPartGallery w:val="Page Numbers (Top of Page)"/>
        <w:docPartUnique/>
      </w:docPartObj>
    </w:sdtPr>
    <w:sdtEndPr>
      <w:rPr>
        <w:noProof/>
      </w:rPr>
    </w:sdtEndPr>
    <w:sdtContent>
      <w:p w14:paraId="573EE382" w14:textId="77777777" w:rsidR="004838CD" w:rsidRPr="00AD2ED9" w:rsidRDefault="003011DA" w:rsidP="00A53E8C">
        <w:pPr>
          <w:pStyle w:val="Header"/>
        </w:pPr>
        <w:r w:rsidRPr="00556C25">
          <w:tab/>
          <w:t>Appendix 3—Contributors</w:t>
        </w:r>
        <w:r w:rsidRPr="00556C25">
          <w:tab/>
          <w:t>3-</w:t>
        </w:r>
        <w:r w:rsidR="004838CD">
          <w:fldChar w:fldCharType="begin"/>
        </w:r>
        <w:r w:rsidR="004838CD">
          <w:instrText xml:space="preserve"> PAGE   \* MERGEFORMAT </w:instrText>
        </w:r>
        <w:r w:rsidR="004838CD">
          <w:fldChar w:fldCharType="separate"/>
        </w:r>
        <w:r w:rsidR="004838CD">
          <w:rPr>
            <w:noProof/>
          </w:rPr>
          <w:t>2</w:t>
        </w:r>
        <w:r w:rsidR="004838CD">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363"/>
    <w:multiLevelType w:val="hybridMultilevel"/>
    <w:tmpl w:val="3FD2E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2E02C2"/>
    <w:multiLevelType w:val="multilevel"/>
    <w:tmpl w:val="2E7A6B0E"/>
    <w:lvl w:ilvl="0">
      <w:start w:val="1"/>
      <w:numFmt w:val="bullet"/>
      <w:lvlText w:val=""/>
      <w:lvlJc w:val="left"/>
      <w:pPr>
        <w:tabs>
          <w:tab w:val="num" w:pos="720"/>
        </w:tabs>
        <w:ind w:left="720" w:hanging="360"/>
      </w:pPr>
      <w:rPr>
        <w:rFonts w:ascii="Symbol" w:hAnsi="Symbol" w:hint="default"/>
        <w:sz w:val="20"/>
      </w:rPr>
    </w:lvl>
    <w:lvl w:ilvl="1">
      <w:start w:val="1"/>
      <w:numFmt w:val="bullet"/>
      <w:pStyle w:val="DefName"/>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10F42"/>
    <w:multiLevelType w:val="hybridMultilevel"/>
    <w:tmpl w:val="FD402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1C57E48"/>
    <w:multiLevelType w:val="hybridMultilevel"/>
    <w:tmpl w:val="2520B9E6"/>
    <w:lvl w:ilvl="0" w:tplc="FF9832F6">
      <w:start w:val="1"/>
      <w:numFmt w:val="bullet"/>
      <w:lvlText w:val=""/>
      <w:lvlJc w:val="left"/>
      <w:pPr>
        <w:ind w:left="1080" w:hanging="360"/>
      </w:pPr>
      <w:rPr>
        <w:rFonts w:ascii="Symbol" w:hAnsi="Symbol" w:hint="default"/>
        <w:sz w:val="2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1DF7409"/>
    <w:multiLevelType w:val="hybridMultilevel"/>
    <w:tmpl w:val="9036FE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239656D"/>
    <w:multiLevelType w:val="hybridMultilevel"/>
    <w:tmpl w:val="FADA1BC4"/>
    <w:lvl w:ilvl="0" w:tplc="FFFFFFFF">
      <w:start w:val="1"/>
      <w:numFmt w:val="bullet"/>
      <w:lvlText w:val=""/>
      <w:lvlJc w:val="left"/>
      <w:pPr>
        <w:ind w:left="936" w:hanging="360"/>
      </w:pPr>
      <w:rPr>
        <w:rFonts w:ascii="Symbol" w:hAnsi="Symbol" w:hint="default"/>
      </w:rPr>
    </w:lvl>
    <w:lvl w:ilvl="1" w:tplc="665C31D8">
      <w:start w:val="1"/>
      <w:numFmt w:val="decimal"/>
      <w:lvlText w:val="%2."/>
      <w:lvlJc w:val="left"/>
      <w:pPr>
        <w:ind w:left="1656" w:hanging="360"/>
      </w:pPr>
      <w:rPr>
        <w:rFonts w:hint="default"/>
        <w:sz w:val="21"/>
        <w:szCs w:val="20"/>
      </w:rPr>
    </w:lvl>
    <w:lvl w:ilvl="2" w:tplc="FFFFFFFF" w:tentative="1">
      <w:start w:val="1"/>
      <w:numFmt w:val="lowerRoman"/>
      <w:lvlText w:val="%3."/>
      <w:lvlJc w:val="right"/>
      <w:pPr>
        <w:ind w:left="2376" w:hanging="180"/>
      </w:pPr>
    </w:lvl>
    <w:lvl w:ilvl="3" w:tplc="FFFFFFFF" w:tentative="1">
      <w:start w:val="1"/>
      <w:numFmt w:val="decimal"/>
      <w:lvlText w:val="%4."/>
      <w:lvlJc w:val="left"/>
      <w:pPr>
        <w:ind w:left="3096" w:hanging="360"/>
      </w:pPr>
    </w:lvl>
    <w:lvl w:ilvl="4" w:tplc="FFFFFFFF" w:tentative="1">
      <w:start w:val="1"/>
      <w:numFmt w:val="lowerLetter"/>
      <w:lvlText w:val="%5."/>
      <w:lvlJc w:val="left"/>
      <w:pPr>
        <w:ind w:left="3816" w:hanging="360"/>
      </w:pPr>
    </w:lvl>
    <w:lvl w:ilvl="5" w:tplc="FFFFFFFF" w:tentative="1">
      <w:start w:val="1"/>
      <w:numFmt w:val="lowerRoman"/>
      <w:lvlText w:val="%6."/>
      <w:lvlJc w:val="right"/>
      <w:pPr>
        <w:ind w:left="4536" w:hanging="180"/>
      </w:pPr>
    </w:lvl>
    <w:lvl w:ilvl="6" w:tplc="FFFFFFFF" w:tentative="1">
      <w:start w:val="1"/>
      <w:numFmt w:val="decimal"/>
      <w:lvlText w:val="%7."/>
      <w:lvlJc w:val="left"/>
      <w:pPr>
        <w:ind w:left="5256" w:hanging="360"/>
      </w:pPr>
    </w:lvl>
    <w:lvl w:ilvl="7" w:tplc="FFFFFFFF" w:tentative="1">
      <w:start w:val="1"/>
      <w:numFmt w:val="lowerLetter"/>
      <w:lvlText w:val="%8."/>
      <w:lvlJc w:val="left"/>
      <w:pPr>
        <w:ind w:left="5976" w:hanging="360"/>
      </w:pPr>
    </w:lvl>
    <w:lvl w:ilvl="8" w:tplc="FFFFFFFF" w:tentative="1">
      <w:start w:val="1"/>
      <w:numFmt w:val="lowerRoman"/>
      <w:lvlText w:val="%9."/>
      <w:lvlJc w:val="right"/>
      <w:pPr>
        <w:ind w:left="6696" w:hanging="180"/>
      </w:pPr>
    </w:lvl>
  </w:abstractNum>
  <w:abstractNum w:abstractNumId="6" w15:restartNumberingAfterBreak="0">
    <w:nsid w:val="02900E4B"/>
    <w:multiLevelType w:val="hybridMultilevel"/>
    <w:tmpl w:val="CD40CAB4"/>
    <w:lvl w:ilvl="0" w:tplc="20B2CA1E">
      <w:start w:val="1"/>
      <w:numFmt w:val="bullet"/>
      <w:pStyle w:val="ProcessBullet"/>
      <w:lvlText w:val=""/>
      <w:lvlJc w:val="left"/>
      <w:pPr>
        <w:ind w:left="360" w:hanging="360"/>
      </w:pPr>
      <w:rPr>
        <w:rFonts w:ascii="Symbol" w:hAnsi="Symbol"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993DEE"/>
    <w:multiLevelType w:val="hybridMultilevel"/>
    <w:tmpl w:val="4488677C"/>
    <w:lvl w:ilvl="0" w:tplc="04090001">
      <w:start w:val="1"/>
      <w:numFmt w:val="bullet"/>
      <w:lvlText w:val=""/>
      <w:lvlJc w:val="left"/>
      <w:pPr>
        <w:ind w:left="936" w:hanging="360"/>
      </w:pPr>
      <w:rPr>
        <w:rFonts w:ascii="Symbol" w:hAnsi="Symbol" w:hint="default"/>
      </w:rPr>
    </w:lvl>
    <w:lvl w:ilvl="1" w:tplc="04090019">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8" w15:restartNumberingAfterBreak="0">
    <w:nsid w:val="03E345AC"/>
    <w:multiLevelType w:val="hybridMultilevel"/>
    <w:tmpl w:val="2684D7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4863140"/>
    <w:multiLevelType w:val="hybridMultilevel"/>
    <w:tmpl w:val="C7D866E8"/>
    <w:lvl w:ilvl="0" w:tplc="7138114C">
      <w:numFmt w:val="bullet"/>
      <w:lvlText w:val="–"/>
      <w:lvlJc w:val="left"/>
      <w:pPr>
        <w:ind w:left="720" w:hanging="360"/>
      </w:pPr>
      <w:rPr>
        <w:rFonts w:ascii="Times New Roman" w:hAnsi="Times New Roman" w:cs="Times New Roman" w:hint="default"/>
        <w:color w:val="auto"/>
        <w:sz w:val="24"/>
        <w:szCs w:val="20"/>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057E5415"/>
    <w:multiLevelType w:val="hybridMultilevel"/>
    <w:tmpl w:val="C59A2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917BB4"/>
    <w:multiLevelType w:val="hybridMultilevel"/>
    <w:tmpl w:val="E8FA7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8B652A"/>
    <w:multiLevelType w:val="hybridMultilevel"/>
    <w:tmpl w:val="7E32B4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8A603C4"/>
    <w:multiLevelType w:val="hybridMultilevel"/>
    <w:tmpl w:val="58AE89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96F28F6"/>
    <w:multiLevelType w:val="hybridMultilevel"/>
    <w:tmpl w:val="77F0D43E"/>
    <w:lvl w:ilvl="0" w:tplc="890E6C1E">
      <w:start w:val="1"/>
      <w:numFmt w:val="decimal"/>
      <w:lvlText w:val="%1."/>
      <w:lvlJc w:val="left"/>
      <w:pPr>
        <w:ind w:left="1080" w:hanging="360"/>
      </w:pPr>
      <w:rPr>
        <w:rFonts w:hint="default"/>
        <w:b w:val="0"/>
        <w:i w:val="0"/>
        <w:strike w:val="0"/>
        <w:dstrike w:val="0"/>
        <w:color w:val="000000"/>
        <w:sz w:val="21"/>
        <w:szCs w:val="20"/>
        <w:u w:val="none" w:color="000000"/>
        <w:vertAlign w:val="baseline"/>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0A411784"/>
    <w:multiLevelType w:val="hybridMultilevel"/>
    <w:tmpl w:val="48CC3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26607A"/>
    <w:multiLevelType w:val="hybridMultilevel"/>
    <w:tmpl w:val="044C1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4E51D3"/>
    <w:multiLevelType w:val="hybridMultilevel"/>
    <w:tmpl w:val="A5764F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0D68135E"/>
    <w:multiLevelType w:val="hybridMultilevel"/>
    <w:tmpl w:val="428453E2"/>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9" w15:restartNumberingAfterBreak="0">
    <w:nsid w:val="0D727E5F"/>
    <w:multiLevelType w:val="hybridMultilevel"/>
    <w:tmpl w:val="A634B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DCC0FB0"/>
    <w:multiLevelType w:val="hybridMultilevel"/>
    <w:tmpl w:val="18026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EE62E1D"/>
    <w:multiLevelType w:val="hybridMultilevel"/>
    <w:tmpl w:val="A9106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F817E33"/>
    <w:multiLevelType w:val="hybridMultilevel"/>
    <w:tmpl w:val="3F40F30E"/>
    <w:lvl w:ilvl="0" w:tplc="4DE6BEB2">
      <w:numFmt w:val="bullet"/>
      <w:pStyle w:val="StyleProcessBulletBold"/>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FD16E66"/>
    <w:multiLevelType w:val="hybridMultilevel"/>
    <w:tmpl w:val="22D6B4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09E416F"/>
    <w:multiLevelType w:val="hybridMultilevel"/>
    <w:tmpl w:val="1C900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0E3146F"/>
    <w:multiLevelType w:val="hybridMultilevel"/>
    <w:tmpl w:val="14F43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1117C51"/>
    <w:multiLevelType w:val="hybridMultilevel"/>
    <w:tmpl w:val="E9C4C5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11C8654C"/>
    <w:multiLevelType w:val="hybridMultilevel"/>
    <w:tmpl w:val="6FDCD144"/>
    <w:lvl w:ilvl="0" w:tplc="ED98713C">
      <w:start w:val="1"/>
      <w:numFmt w:val="bullet"/>
      <w:lvlText w:val=""/>
      <w:lvlJc w:val="left"/>
      <w:pPr>
        <w:tabs>
          <w:tab w:val="num" w:pos="0"/>
        </w:tabs>
        <w:ind w:left="0" w:hanging="360"/>
      </w:pPr>
      <w:rPr>
        <w:rFonts w:ascii="Symbol" w:hAnsi="Symbol" w:hint="default"/>
        <w:sz w:val="21"/>
      </w:rPr>
    </w:lvl>
    <w:lvl w:ilvl="1" w:tplc="9B06D662" w:tentative="1">
      <w:start w:val="1"/>
      <w:numFmt w:val="bullet"/>
      <w:lvlText w:val=""/>
      <w:lvlJc w:val="left"/>
      <w:pPr>
        <w:tabs>
          <w:tab w:val="num" w:pos="720"/>
        </w:tabs>
        <w:ind w:left="720" w:hanging="360"/>
      </w:pPr>
      <w:rPr>
        <w:rFonts w:ascii="Symbol" w:hAnsi="Symbol" w:hint="default"/>
        <w:sz w:val="20"/>
      </w:rPr>
    </w:lvl>
    <w:lvl w:ilvl="2" w:tplc="F2E86D6A" w:tentative="1">
      <w:start w:val="1"/>
      <w:numFmt w:val="bullet"/>
      <w:lvlText w:val=""/>
      <w:lvlJc w:val="left"/>
      <w:pPr>
        <w:tabs>
          <w:tab w:val="num" w:pos="1440"/>
        </w:tabs>
        <w:ind w:left="1440" w:hanging="360"/>
      </w:pPr>
      <w:rPr>
        <w:rFonts w:ascii="Symbol" w:hAnsi="Symbol" w:hint="default"/>
        <w:sz w:val="20"/>
      </w:rPr>
    </w:lvl>
    <w:lvl w:ilvl="3" w:tplc="091028DE" w:tentative="1">
      <w:start w:val="1"/>
      <w:numFmt w:val="bullet"/>
      <w:lvlText w:val=""/>
      <w:lvlJc w:val="left"/>
      <w:pPr>
        <w:tabs>
          <w:tab w:val="num" w:pos="2160"/>
        </w:tabs>
        <w:ind w:left="2160" w:hanging="360"/>
      </w:pPr>
      <w:rPr>
        <w:rFonts w:ascii="Symbol" w:hAnsi="Symbol" w:hint="default"/>
        <w:sz w:val="20"/>
      </w:rPr>
    </w:lvl>
    <w:lvl w:ilvl="4" w:tplc="4BD4813C" w:tentative="1">
      <w:start w:val="1"/>
      <w:numFmt w:val="bullet"/>
      <w:lvlText w:val=""/>
      <w:lvlJc w:val="left"/>
      <w:pPr>
        <w:tabs>
          <w:tab w:val="num" w:pos="2880"/>
        </w:tabs>
        <w:ind w:left="2880" w:hanging="360"/>
      </w:pPr>
      <w:rPr>
        <w:rFonts w:ascii="Symbol" w:hAnsi="Symbol" w:hint="default"/>
        <w:sz w:val="20"/>
      </w:rPr>
    </w:lvl>
    <w:lvl w:ilvl="5" w:tplc="3B4EA5DE" w:tentative="1">
      <w:start w:val="1"/>
      <w:numFmt w:val="bullet"/>
      <w:lvlText w:val=""/>
      <w:lvlJc w:val="left"/>
      <w:pPr>
        <w:tabs>
          <w:tab w:val="num" w:pos="3600"/>
        </w:tabs>
        <w:ind w:left="3600" w:hanging="360"/>
      </w:pPr>
      <w:rPr>
        <w:rFonts w:ascii="Symbol" w:hAnsi="Symbol" w:hint="default"/>
        <w:sz w:val="20"/>
      </w:rPr>
    </w:lvl>
    <w:lvl w:ilvl="6" w:tplc="D362DC14" w:tentative="1">
      <w:start w:val="1"/>
      <w:numFmt w:val="bullet"/>
      <w:lvlText w:val=""/>
      <w:lvlJc w:val="left"/>
      <w:pPr>
        <w:tabs>
          <w:tab w:val="num" w:pos="4320"/>
        </w:tabs>
        <w:ind w:left="4320" w:hanging="360"/>
      </w:pPr>
      <w:rPr>
        <w:rFonts w:ascii="Symbol" w:hAnsi="Symbol" w:hint="default"/>
        <w:sz w:val="20"/>
      </w:rPr>
    </w:lvl>
    <w:lvl w:ilvl="7" w:tplc="94621FB2" w:tentative="1">
      <w:start w:val="1"/>
      <w:numFmt w:val="bullet"/>
      <w:lvlText w:val=""/>
      <w:lvlJc w:val="left"/>
      <w:pPr>
        <w:tabs>
          <w:tab w:val="num" w:pos="5040"/>
        </w:tabs>
        <w:ind w:left="5040" w:hanging="360"/>
      </w:pPr>
      <w:rPr>
        <w:rFonts w:ascii="Symbol" w:hAnsi="Symbol" w:hint="default"/>
        <w:sz w:val="20"/>
      </w:rPr>
    </w:lvl>
    <w:lvl w:ilvl="8" w:tplc="543C0D12" w:tentative="1">
      <w:start w:val="1"/>
      <w:numFmt w:val="bullet"/>
      <w:lvlText w:val=""/>
      <w:lvlJc w:val="left"/>
      <w:pPr>
        <w:tabs>
          <w:tab w:val="num" w:pos="5760"/>
        </w:tabs>
        <w:ind w:left="5760" w:hanging="360"/>
      </w:pPr>
      <w:rPr>
        <w:rFonts w:ascii="Symbol" w:hAnsi="Symbol" w:hint="default"/>
        <w:sz w:val="20"/>
      </w:rPr>
    </w:lvl>
  </w:abstractNum>
  <w:abstractNum w:abstractNumId="28" w15:restartNumberingAfterBreak="0">
    <w:nsid w:val="11D830A1"/>
    <w:multiLevelType w:val="hybridMultilevel"/>
    <w:tmpl w:val="7564DA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2370C9A"/>
    <w:multiLevelType w:val="multilevel"/>
    <w:tmpl w:val="DB6077A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13263CCC"/>
    <w:multiLevelType w:val="hybridMultilevel"/>
    <w:tmpl w:val="470AC496"/>
    <w:lvl w:ilvl="0" w:tplc="7138114C">
      <w:numFmt w:val="bullet"/>
      <w:lvlText w:val="–"/>
      <w:lvlJc w:val="left"/>
      <w:pPr>
        <w:ind w:left="720" w:hanging="360"/>
      </w:pPr>
      <w:rPr>
        <w:rFonts w:ascii="Times New Roman" w:hAnsi="Times New Roman" w:cs="Times New Roman" w:hint="default"/>
        <w:color w:val="auto"/>
        <w:sz w:val="24"/>
        <w:szCs w:val="20"/>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141634E1"/>
    <w:multiLevelType w:val="hybridMultilevel"/>
    <w:tmpl w:val="86E45CB0"/>
    <w:lvl w:ilvl="0" w:tplc="A5E61748">
      <w:numFmt w:val="bullet"/>
      <w:pStyle w:val="TableDash"/>
      <w:lvlText w:val="–"/>
      <w:lvlJc w:val="left"/>
      <w:pPr>
        <w:ind w:left="3420" w:hanging="360"/>
      </w:pPr>
      <w:rPr>
        <w:rFonts w:ascii="Times New Roman" w:hAnsi="Times New Roman" w:hint="default"/>
        <w:color w:val="auto"/>
        <w:sz w:val="24"/>
        <w:szCs w:val="20"/>
      </w:rPr>
    </w:lvl>
    <w:lvl w:ilvl="1" w:tplc="04090003" w:tentative="1">
      <w:start w:val="1"/>
      <w:numFmt w:val="bullet"/>
      <w:lvlText w:val="o"/>
      <w:lvlJc w:val="left"/>
      <w:pPr>
        <w:tabs>
          <w:tab w:val="num" w:pos="4342"/>
        </w:tabs>
        <w:ind w:left="4342" w:hanging="360"/>
      </w:pPr>
      <w:rPr>
        <w:rFonts w:ascii="Courier New" w:hAnsi="Courier New" w:cs="Courier New" w:hint="default"/>
      </w:rPr>
    </w:lvl>
    <w:lvl w:ilvl="2" w:tplc="04090005" w:tentative="1">
      <w:start w:val="1"/>
      <w:numFmt w:val="bullet"/>
      <w:lvlText w:val=""/>
      <w:lvlJc w:val="left"/>
      <w:pPr>
        <w:tabs>
          <w:tab w:val="num" w:pos="5062"/>
        </w:tabs>
        <w:ind w:left="5062" w:hanging="360"/>
      </w:pPr>
      <w:rPr>
        <w:rFonts w:ascii="Wingdings" w:hAnsi="Wingdings" w:hint="default"/>
      </w:rPr>
    </w:lvl>
    <w:lvl w:ilvl="3" w:tplc="04090001" w:tentative="1">
      <w:start w:val="1"/>
      <w:numFmt w:val="bullet"/>
      <w:lvlText w:val=""/>
      <w:lvlJc w:val="left"/>
      <w:pPr>
        <w:tabs>
          <w:tab w:val="num" w:pos="5782"/>
        </w:tabs>
        <w:ind w:left="5782" w:hanging="360"/>
      </w:pPr>
      <w:rPr>
        <w:rFonts w:ascii="Symbol" w:hAnsi="Symbol" w:hint="default"/>
      </w:rPr>
    </w:lvl>
    <w:lvl w:ilvl="4" w:tplc="04090003" w:tentative="1">
      <w:start w:val="1"/>
      <w:numFmt w:val="bullet"/>
      <w:lvlText w:val="o"/>
      <w:lvlJc w:val="left"/>
      <w:pPr>
        <w:tabs>
          <w:tab w:val="num" w:pos="6502"/>
        </w:tabs>
        <w:ind w:left="6502" w:hanging="360"/>
      </w:pPr>
      <w:rPr>
        <w:rFonts w:ascii="Courier New" w:hAnsi="Courier New" w:cs="Courier New" w:hint="default"/>
      </w:rPr>
    </w:lvl>
    <w:lvl w:ilvl="5" w:tplc="04090005" w:tentative="1">
      <w:start w:val="1"/>
      <w:numFmt w:val="bullet"/>
      <w:lvlText w:val=""/>
      <w:lvlJc w:val="left"/>
      <w:pPr>
        <w:tabs>
          <w:tab w:val="num" w:pos="7222"/>
        </w:tabs>
        <w:ind w:left="7222" w:hanging="360"/>
      </w:pPr>
      <w:rPr>
        <w:rFonts w:ascii="Wingdings" w:hAnsi="Wingdings" w:hint="default"/>
      </w:rPr>
    </w:lvl>
    <w:lvl w:ilvl="6" w:tplc="04090001" w:tentative="1">
      <w:start w:val="1"/>
      <w:numFmt w:val="bullet"/>
      <w:lvlText w:val=""/>
      <w:lvlJc w:val="left"/>
      <w:pPr>
        <w:tabs>
          <w:tab w:val="num" w:pos="7942"/>
        </w:tabs>
        <w:ind w:left="7942" w:hanging="360"/>
      </w:pPr>
      <w:rPr>
        <w:rFonts w:ascii="Symbol" w:hAnsi="Symbol" w:hint="default"/>
      </w:rPr>
    </w:lvl>
    <w:lvl w:ilvl="7" w:tplc="04090003" w:tentative="1">
      <w:start w:val="1"/>
      <w:numFmt w:val="bullet"/>
      <w:lvlText w:val="o"/>
      <w:lvlJc w:val="left"/>
      <w:pPr>
        <w:tabs>
          <w:tab w:val="num" w:pos="8662"/>
        </w:tabs>
        <w:ind w:left="8662" w:hanging="360"/>
      </w:pPr>
      <w:rPr>
        <w:rFonts w:ascii="Courier New" w:hAnsi="Courier New" w:cs="Courier New" w:hint="default"/>
      </w:rPr>
    </w:lvl>
    <w:lvl w:ilvl="8" w:tplc="04090005" w:tentative="1">
      <w:start w:val="1"/>
      <w:numFmt w:val="bullet"/>
      <w:lvlText w:val=""/>
      <w:lvlJc w:val="left"/>
      <w:pPr>
        <w:tabs>
          <w:tab w:val="num" w:pos="9382"/>
        </w:tabs>
        <w:ind w:left="9382" w:hanging="360"/>
      </w:pPr>
      <w:rPr>
        <w:rFonts w:ascii="Wingdings" w:hAnsi="Wingdings" w:hint="default"/>
      </w:rPr>
    </w:lvl>
  </w:abstractNum>
  <w:abstractNum w:abstractNumId="32" w15:restartNumberingAfterBreak="0">
    <w:nsid w:val="14E962CE"/>
    <w:multiLevelType w:val="hybridMultilevel"/>
    <w:tmpl w:val="6C6E4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6172199"/>
    <w:multiLevelType w:val="hybridMultilevel"/>
    <w:tmpl w:val="32FC4A88"/>
    <w:lvl w:ilvl="0" w:tplc="3E48D112">
      <w:start w:val="1"/>
      <w:numFmt w:val="decimal"/>
      <w:lvlText w:val="%1."/>
      <w:lvlJc w:val="left"/>
      <w:pPr>
        <w:ind w:left="1656" w:hanging="360"/>
      </w:pPr>
      <w:rPr>
        <w:rFonts w:hint="default"/>
        <w:color w:val="auto"/>
        <w:sz w:val="21"/>
        <w:szCs w:val="20"/>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34" w15:restartNumberingAfterBreak="0">
    <w:nsid w:val="183C6E95"/>
    <w:multiLevelType w:val="hybridMultilevel"/>
    <w:tmpl w:val="0BECBF62"/>
    <w:lvl w:ilvl="0" w:tplc="0409000F">
      <w:start w:val="1"/>
      <w:numFmt w:val="decimal"/>
      <w:lvlText w:val="%1."/>
      <w:lvlJc w:val="left"/>
      <w:pPr>
        <w:ind w:left="1080" w:hanging="360"/>
      </w:pPr>
      <w:rPr>
        <w:rFonts w:hint="default"/>
        <w:sz w:val="21"/>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18FA5613"/>
    <w:multiLevelType w:val="hybridMultilevel"/>
    <w:tmpl w:val="C158E314"/>
    <w:lvl w:ilvl="0" w:tplc="D526A7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A1E35D9"/>
    <w:multiLevelType w:val="hybridMultilevel"/>
    <w:tmpl w:val="BD5E3878"/>
    <w:lvl w:ilvl="0" w:tplc="2F4E3838">
      <w:start w:val="1"/>
      <w:numFmt w:val="bullet"/>
      <w:lvlText w:val=""/>
      <w:lvlJc w:val="left"/>
      <w:pPr>
        <w:tabs>
          <w:tab w:val="num" w:pos="720"/>
        </w:tabs>
        <w:ind w:left="720" w:hanging="360"/>
      </w:pPr>
      <w:rPr>
        <w:rFonts w:ascii="Symbol" w:hAnsi="Symbol" w:hint="default"/>
        <w:sz w:val="20"/>
      </w:rPr>
    </w:lvl>
    <w:lvl w:ilvl="1" w:tplc="390C11B2">
      <w:start w:val="1"/>
      <w:numFmt w:val="bullet"/>
      <w:lvlText w:val="o"/>
      <w:lvlJc w:val="left"/>
      <w:pPr>
        <w:tabs>
          <w:tab w:val="num" w:pos="1440"/>
        </w:tabs>
        <w:ind w:left="1440" w:hanging="360"/>
      </w:pPr>
      <w:rPr>
        <w:rFonts w:ascii="Courier New" w:hAnsi="Courier New" w:hint="default"/>
        <w:sz w:val="20"/>
      </w:rPr>
    </w:lvl>
    <w:lvl w:ilvl="2" w:tplc="40BCB6C0">
      <w:start w:val="1"/>
      <w:numFmt w:val="bullet"/>
      <w:lvlText w:val=""/>
      <w:lvlJc w:val="left"/>
      <w:pPr>
        <w:tabs>
          <w:tab w:val="num" w:pos="2160"/>
        </w:tabs>
        <w:ind w:left="2160" w:hanging="360"/>
      </w:pPr>
      <w:rPr>
        <w:rFonts w:ascii="Wingdings" w:hAnsi="Wingdings" w:hint="default"/>
        <w:sz w:val="20"/>
      </w:rPr>
    </w:lvl>
    <w:lvl w:ilvl="3" w:tplc="7914774C">
      <w:start w:val="1"/>
      <w:numFmt w:val="bullet"/>
      <w:pStyle w:val="Logic"/>
      <w:lvlText w:val="o"/>
      <w:lvlJc w:val="left"/>
      <w:pPr>
        <w:tabs>
          <w:tab w:val="num" w:pos="2880"/>
        </w:tabs>
        <w:ind w:left="2880" w:hanging="360"/>
      </w:pPr>
      <w:rPr>
        <w:rFonts w:ascii="Courier New" w:hAnsi="Courier New" w:cs="Courier New" w:hint="default"/>
        <w:sz w:val="20"/>
      </w:rPr>
    </w:lvl>
    <w:lvl w:ilvl="4" w:tplc="292000A8" w:tentative="1">
      <w:start w:val="1"/>
      <w:numFmt w:val="bullet"/>
      <w:lvlText w:val=""/>
      <w:lvlJc w:val="left"/>
      <w:pPr>
        <w:tabs>
          <w:tab w:val="num" w:pos="3600"/>
        </w:tabs>
        <w:ind w:left="3600" w:hanging="360"/>
      </w:pPr>
      <w:rPr>
        <w:rFonts w:ascii="Wingdings" w:hAnsi="Wingdings" w:hint="default"/>
        <w:sz w:val="20"/>
      </w:rPr>
    </w:lvl>
    <w:lvl w:ilvl="5" w:tplc="9E98ABF2" w:tentative="1">
      <w:start w:val="1"/>
      <w:numFmt w:val="bullet"/>
      <w:lvlText w:val=""/>
      <w:lvlJc w:val="left"/>
      <w:pPr>
        <w:tabs>
          <w:tab w:val="num" w:pos="4320"/>
        </w:tabs>
        <w:ind w:left="4320" w:hanging="360"/>
      </w:pPr>
      <w:rPr>
        <w:rFonts w:ascii="Wingdings" w:hAnsi="Wingdings" w:hint="default"/>
        <w:sz w:val="20"/>
      </w:rPr>
    </w:lvl>
    <w:lvl w:ilvl="6" w:tplc="FD067D7A" w:tentative="1">
      <w:start w:val="1"/>
      <w:numFmt w:val="bullet"/>
      <w:lvlText w:val=""/>
      <w:lvlJc w:val="left"/>
      <w:pPr>
        <w:tabs>
          <w:tab w:val="num" w:pos="5040"/>
        </w:tabs>
        <w:ind w:left="5040" w:hanging="360"/>
      </w:pPr>
      <w:rPr>
        <w:rFonts w:ascii="Wingdings" w:hAnsi="Wingdings" w:hint="default"/>
        <w:sz w:val="20"/>
      </w:rPr>
    </w:lvl>
    <w:lvl w:ilvl="7" w:tplc="39586E18" w:tentative="1">
      <w:start w:val="1"/>
      <w:numFmt w:val="bullet"/>
      <w:lvlText w:val=""/>
      <w:lvlJc w:val="left"/>
      <w:pPr>
        <w:tabs>
          <w:tab w:val="num" w:pos="5760"/>
        </w:tabs>
        <w:ind w:left="5760" w:hanging="360"/>
      </w:pPr>
      <w:rPr>
        <w:rFonts w:ascii="Wingdings" w:hAnsi="Wingdings" w:hint="default"/>
        <w:sz w:val="20"/>
      </w:rPr>
    </w:lvl>
    <w:lvl w:ilvl="8" w:tplc="21840E44"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752E0A"/>
    <w:multiLevelType w:val="hybridMultilevel"/>
    <w:tmpl w:val="45AC42C4"/>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1B0542D4"/>
    <w:multiLevelType w:val="hybridMultilevel"/>
    <w:tmpl w:val="6ABC17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1B664198"/>
    <w:multiLevelType w:val="hybridMultilevel"/>
    <w:tmpl w:val="E07C74DC"/>
    <w:lvl w:ilvl="0" w:tplc="4E9C07CA">
      <w:start w:val="1"/>
      <w:numFmt w:val="decimal"/>
      <w:lvlText w:val="%1."/>
      <w:lvlJc w:val="left"/>
      <w:pPr>
        <w:tabs>
          <w:tab w:val="num" w:pos="126"/>
        </w:tabs>
        <w:ind w:left="486" w:hanging="216"/>
      </w:pPr>
      <w:rPr>
        <w:sz w:val="21"/>
        <w:szCs w:val="21"/>
      </w:rPr>
    </w:lvl>
    <w:lvl w:ilvl="1" w:tplc="368E31E8">
      <w:start w:val="1"/>
      <w:numFmt w:val="bullet"/>
      <w:lvlText w:val="o"/>
      <w:lvlJc w:val="left"/>
      <w:pPr>
        <w:tabs>
          <w:tab w:val="num" w:pos="1350"/>
        </w:tabs>
        <w:ind w:left="1350" w:hanging="360"/>
      </w:pPr>
      <w:rPr>
        <w:rFonts w:ascii="Courier New" w:hAnsi="Courier New" w:hint="default"/>
      </w:rPr>
    </w:lvl>
    <w:lvl w:ilvl="2" w:tplc="0F6852FA" w:tentative="1">
      <w:start w:val="1"/>
      <w:numFmt w:val="bullet"/>
      <w:lvlText w:val=""/>
      <w:lvlJc w:val="left"/>
      <w:pPr>
        <w:tabs>
          <w:tab w:val="num" w:pos="2070"/>
        </w:tabs>
        <w:ind w:left="2070" w:hanging="360"/>
      </w:pPr>
      <w:rPr>
        <w:rFonts w:ascii="Wingdings" w:hAnsi="Wingdings" w:hint="default"/>
      </w:rPr>
    </w:lvl>
    <w:lvl w:ilvl="3" w:tplc="B6F8FDB2" w:tentative="1">
      <w:start w:val="1"/>
      <w:numFmt w:val="bullet"/>
      <w:lvlText w:val=""/>
      <w:lvlJc w:val="left"/>
      <w:pPr>
        <w:tabs>
          <w:tab w:val="num" w:pos="2790"/>
        </w:tabs>
        <w:ind w:left="2790" w:hanging="360"/>
      </w:pPr>
      <w:rPr>
        <w:rFonts w:ascii="Symbol" w:hAnsi="Symbol" w:hint="default"/>
      </w:rPr>
    </w:lvl>
    <w:lvl w:ilvl="4" w:tplc="37F049BA" w:tentative="1">
      <w:start w:val="1"/>
      <w:numFmt w:val="bullet"/>
      <w:lvlText w:val="o"/>
      <w:lvlJc w:val="left"/>
      <w:pPr>
        <w:tabs>
          <w:tab w:val="num" w:pos="3510"/>
        </w:tabs>
        <w:ind w:left="3510" w:hanging="360"/>
      </w:pPr>
      <w:rPr>
        <w:rFonts w:ascii="Courier New" w:hAnsi="Courier New" w:hint="default"/>
      </w:rPr>
    </w:lvl>
    <w:lvl w:ilvl="5" w:tplc="DC44961A" w:tentative="1">
      <w:start w:val="1"/>
      <w:numFmt w:val="bullet"/>
      <w:lvlText w:val=""/>
      <w:lvlJc w:val="left"/>
      <w:pPr>
        <w:tabs>
          <w:tab w:val="num" w:pos="4230"/>
        </w:tabs>
        <w:ind w:left="4230" w:hanging="360"/>
      </w:pPr>
      <w:rPr>
        <w:rFonts w:ascii="Wingdings" w:hAnsi="Wingdings" w:hint="default"/>
      </w:rPr>
    </w:lvl>
    <w:lvl w:ilvl="6" w:tplc="FAC28A04" w:tentative="1">
      <w:start w:val="1"/>
      <w:numFmt w:val="bullet"/>
      <w:lvlText w:val=""/>
      <w:lvlJc w:val="left"/>
      <w:pPr>
        <w:tabs>
          <w:tab w:val="num" w:pos="4950"/>
        </w:tabs>
        <w:ind w:left="4950" w:hanging="360"/>
      </w:pPr>
      <w:rPr>
        <w:rFonts w:ascii="Symbol" w:hAnsi="Symbol" w:hint="default"/>
      </w:rPr>
    </w:lvl>
    <w:lvl w:ilvl="7" w:tplc="2EA4A74C" w:tentative="1">
      <w:start w:val="1"/>
      <w:numFmt w:val="bullet"/>
      <w:lvlText w:val="o"/>
      <w:lvlJc w:val="left"/>
      <w:pPr>
        <w:tabs>
          <w:tab w:val="num" w:pos="5670"/>
        </w:tabs>
        <w:ind w:left="5670" w:hanging="360"/>
      </w:pPr>
      <w:rPr>
        <w:rFonts w:ascii="Courier New" w:hAnsi="Courier New" w:hint="default"/>
      </w:rPr>
    </w:lvl>
    <w:lvl w:ilvl="8" w:tplc="9E06B878" w:tentative="1">
      <w:start w:val="1"/>
      <w:numFmt w:val="bullet"/>
      <w:lvlText w:val=""/>
      <w:lvlJc w:val="left"/>
      <w:pPr>
        <w:tabs>
          <w:tab w:val="num" w:pos="6390"/>
        </w:tabs>
        <w:ind w:left="6390" w:hanging="360"/>
      </w:pPr>
      <w:rPr>
        <w:rFonts w:ascii="Wingdings" w:hAnsi="Wingdings" w:hint="default"/>
      </w:rPr>
    </w:lvl>
  </w:abstractNum>
  <w:abstractNum w:abstractNumId="40" w15:restartNumberingAfterBreak="0">
    <w:nsid w:val="1B914FBF"/>
    <w:multiLevelType w:val="hybridMultilevel"/>
    <w:tmpl w:val="9B58ED80"/>
    <w:lvl w:ilvl="0" w:tplc="2F66C88E">
      <w:numFmt w:val="bullet"/>
      <w:pStyle w:val="ProcessDash"/>
      <w:lvlText w:val="–"/>
      <w:lvlJc w:val="left"/>
      <w:pPr>
        <w:ind w:left="576" w:hanging="360"/>
      </w:pPr>
      <w:rPr>
        <w:rFonts w:ascii="Times New Roman" w:hAnsi="Times New Roman" w:hint="default"/>
        <w:color w:val="auto"/>
        <w:sz w:val="24"/>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1BEC6F81"/>
    <w:multiLevelType w:val="hybridMultilevel"/>
    <w:tmpl w:val="CB1684F0"/>
    <w:lvl w:ilvl="0" w:tplc="0409000F">
      <w:start w:val="1"/>
      <w:numFmt w:val="decimal"/>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42" w15:restartNumberingAfterBreak="0">
    <w:nsid w:val="1CD544BA"/>
    <w:multiLevelType w:val="multilevel"/>
    <w:tmpl w:val="2C7ABB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DDB0D00"/>
    <w:multiLevelType w:val="hybridMultilevel"/>
    <w:tmpl w:val="C304E9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1DED4D2D"/>
    <w:multiLevelType w:val="hybridMultilevel"/>
    <w:tmpl w:val="DE6423D0"/>
    <w:lvl w:ilvl="0" w:tplc="04090001">
      <w:start w:val="1"/>
      <w:numFmt w:val="bullet"/>
      <w:lvlText w:val=""/>
      <w:lvlJc w:val="left"/>
      <w:pPr>
        <w:ind w:left="743" w:hanging="360"/>
      </w:pPr>
      <w:rPr>
        <w:rFonts w:ascii="Symbol" w:hAnsi="Symbol"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45" w15:restartNumberingAfterBreak="0">
    <w:nsid w:val="1E6540D3"/>
    <w:multiLevelType w:val="hybridMultilevel"/>
    <w:tmpl w:val="03A64EB6"/>
    <w:lvl w:ilvl="0" w:tplc="B3461798">
      <w:start w:val="1"/>
      <w:numFmt w:val="bullet"/>
      <w:pStyle w:val="BulletBold"/>
      <w:lvlText w:val=""/>
      <w:lvlJc w:val="left"/>
      <w:pPr>
        <w:tabs>
          <w:tab w:val="num" w:pos="720"/>
        </w:tabs>
        <w:ind w:left="720" w:hanging="360"/>
      </w:pPr>
      <w:rPr>
        <w:rFonts w:ascii="Symbol" w:hAnsi="Symbol" w:hint="default"/>
        <w:sz w:val="20"/>
      </w:rPr>
    </w:lvl>
    <w:lvl w:ilvl="1" w:tplc="7874968E" w:tentative="1">
      <w:start w:val="1"/>
      <w:numFmt w:val="bullet"/>
      <w:lvlText w:val="o"/>
      <w:lvlJc w:val="left"/>
      <w:pPr>
        <w:tabs>
          <w:tab w:val="num" w:pos="1440"/>
        </w:tabs>
        <w:ind w:left="1440" w:hanging="360"/>
      </w:pPr>
      <w:rPr>
        <w:rFonts w:ascii="Courier New" w:hAnsi="Courier New" w:hint="default"/>
        <w:sz w:val="20"/>
      </w:rPr>
    </w:lvl>
    <w:lvl w:ilvl="2" w:tplc="686EB60C" w:tentative="1">
      <w:start w:val="1"/>
      <w:numFmt w:val="bullet"/>
      <w:lvlText w:val=""/>
      <w:lvlJc w:val="left"/>
      <w:pPr>
        <w:tabs>
          <w:tab w:val="num" w:pos="2160"/>
        </w:tabs>
        <w:ind w:left="2160" w:hanging="360"/>
      </w:pPr>
      <w:rPr>
        <w:rFonts w:ascii="Wingdings" w:hAnsi="Wingdings" w:hint="default"/>
        <w:sz w:val="20"/>
      </w:rPr>
    </w:lvl>
    <w:lvl w:ilvl="3" w:tplc="6DEA1428" w:tentative="1">
      <w:start w:val="1"/>
      <w:numFmt w:val="bullet"/>
      <w:lvlText w:val=""/>
      <w:lvlJc w:val="left"/>
      <w:pPr>
        <w:tabs>
          <w:tab w:val="num" w:pos="2880"/>
        </w:tabs>
        <w:ind w:left="2880" w:hanging="360"/>
      </w:pPr>
      <w:rPr>
        <w:rFonts w:ascii="Wingdings" w:hAnsi="Wingdings" w:hint="default"/>
        <w:sz w:val="20"/>
      </w:rPr>
    </w:lvl>
    <w:lvl w:ilvl="4" w:tplc="A2C848BA" w:tentative="1">
      <w:start w:val="1"/>
      <w:numFmt w:val="bullet"/>
      <w:lvlText w:val=""/>
      <w:lvlJc w:val="left"/>
      <w:pPr>
        <w:tabs>
          <w:tab w:val="num" w:pos="3600"/>
        </w:tabs>
        <w:ind w:left="3600" w:hanging="360"/>
      </w:pPr>
      <w:rPr>
        <w:rFonts w:ascii="Wingdings" w:hAnsi="Wingdings" w:hint="default"/>
        <w:sz w:val="20"/>
      </w:rPr>
    </w:lvl>
    <w:lvl w:ilvl="5" w:tplc="7B5AC3A8" w:tentative="1">
      <w:start w:val="1"/>
      <w:numFmt w:val="bullet"/>
      <w:lvlText w:val=""/>
      <w:lvlJc w:val="left"/>
      <w:pPr>
        <w:tabs>
          <w:tab w:val="num" w:pos="4320"/>
        </w:tabs>
        <w:ind w:left="4320" w:hanging="360"/>
      </w:pPr>
      <w:rPr>
        <w:rFonts w:ascii="Wingdings" w:hAnsi="Wingdings" w:hint="default"/>
        <w:sz w:val="20"/>
      </w:rPr>
    </w:lvl>
    <w:lvl w:ilvl="6" w:tplc="77C402DC" w:tentative="1">
      <w:start w:val="1"/>
      <w:numFmt w:val="bullet"/>
      <w:lvlText w:val=""/>
      <w:lvlJc w:val="left"/>
      <w:pPr>
        <w:tabs>
          <w:tab w:val="num" w:pos="5040"/>
        </w:tabs>
        <w:ind w:left="5040" w:hanging="360"/>
      </w:pPr>
      <w:rPr>
        <w:rFonts w:ascii="Wingdings" w:hAnsi="Wingdings" w:hint="default"/>
        <w:sz w:val="20"/>
      </w:rPr>
    </w:lvl>
    <w:lvl w:ilvl="7" w:tplc="32B4A786" w:tentative="1">
      <w:start w:val="1"/>
      <w:numFmt w:val="bullet"/>
      <w:lvlText w:val=""/>
      <w:lvlJc w:val="left"/>
      <w:pPr>
        <w:tabs>
          <w:tab w:val="num" w:pos="5760"/>
        </w:tabs>
        <w:ind w:left="5760" w:hanging="360"/>
      </w:pPr>
      <w:rPr>
        <w:rFonts w:ascii="Wingdings" w:hAnsi="Wingdings" w:hint="default"/>
        <w:sz w:val="20"/>
      </w:rPr>
    </w:lvl>
    <w:lvl w:ilvl="8" w:tplc="2AF69FE6"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7C22BF"/>
    <w:multiLevelType w:val="hybridMultilevel"/>
    <w:tmpl w:val="84588430"/>
    <w:lvl w:ilvl="0" w:tplc="A1EA1F52">
      <w:start w:val="1"/>
      <w:numFmt w:val="bullet"/>
      <w:pStyle w:val="Indent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1F1637D2"/>
    <w:multiLevelType w:val="hybridMultilevel"/>
    <w:tmpl w:val="40985CB4"/>
    <w:lvl w:ilvl="0" w:tplc="C81C4C90">
      <w:start w:val="1"/>
      <w:numFmt w:val="bullet"/>
      <w:lvlText w:val=""/>
      <w:lvlJc w:val="left"/>
      <w:pPr>
        <w:ind w:left="720" w:hanging="360"/>
      </w:pPr>
      <w:rPr>
        <w:rFonts w:ascii="Symbol" w:hAnsi="Symbol" w:hint="default"/>
        <w:color w:val="auto"/>
        <w:sz w:val="21"/>
        <w:szCs w:val="2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05D4936"/>
    <w:multiLevelType w:val="hybridMultilevel"/>
    <w:tmpl w:val="B16C0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0CF6FD6"/>
    <w:multiLevelType w:val="multilevel"/>
    <w:tmpl w:val="962211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D772FE"/>
    <w:multiLevelType w:val="hybridMultilevel"/>
    <w:tmpl w:val="92BA51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21FC70B9"/>
    <w:multiLevelType w:val="hybridMultilevel"/>
    <w:tmpl w:val="A19455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230C3904"/>
    <w:multiLevelType w:val="hybridMultilevel"/>
    <w:tmpl w:val="11F89BF4"/>
    <w:lvl w:ilvl="0" w:tplc="D34C8E04">
      <w:start w:val="1"/>
      <w:numFmt w:val="bullet"/>
      <w:lvlText w:val=""/>
      <w:lvlJc w:val="left"/>
      <w:pPr>
        <w:ind w:left="360" w:hanging="360"/>
      </w:pPr>
      <w:rPr>
        <w:rFonts w:ascii="Symbol" w:hAnsi="Symbol" w:hint="default"/>
      </w:rPr>
    </w:lvl>
    <w:lvl w:ilvl="1" w:tplc="A902643E" w:tentative="1">
      <w:start w:val="1"/>
      <w:numFmt w:val="bullet"/>
      <w:lvlText w:val="o"/>
      <w:lvlJc w:val="left"/>
      <w:pPr>
        <w:ind w:left="1080" w:hanging="360"/>
      </w:pPr>
      <w:rPr>
        <w:rFonts w:ascii="Courier New" w:hAnsi="Courier New" w:hint="default"/>
      </w:rPr>
    </w:lvl>
    <w:lvl w:ilvl="2" w:tplc="F6CC8F34" w:tentative="1">
      <w:start w:val="1"/>
      <w:numFmt w:val="bullet"/>
      <w:lvlText w:val=""/>
      <w:lvlJc w:val="left"/>
      <w:pPr>
        <w:ind w:left="1800" w:hanging="360"/>
      </w:pPr>
      <w:rPr>
        <w:rFonts w:ascii="Wingdings" w:hAnsi="Wingdings" w:hint="default"/>
      </w:rPr>
    </w:lvl>
    <w:lvl w:ilvl="3" w:tplc="5D46E39C" w:tentative="1">
      <w:start w:val="1"/>
      <w:numFmt w:val="bullet"/>
      <w:lvlText w:val=""/>
      <w:lvlJc w:val="left"/>
      <w:pPr>
        <w:ind w:left="2520" w:hanging="360"/>
      </w:pPr>
      <w:rPr>
        <w:rFonts w:ascii="Symbol" w:hAnsi="Symbol" w:hint="default"/>
      </w:rPr>
    </w:lvl>
    <w:lvl w:ilvl="4" w:tplc="5CE07A86" w:tentative="1">
      <w:start w:val="1"/>
      <w:numFmt w:val="bullet"/>
      <w:lvlText w:val="o"/>
      <w:lvlJc w:val="left"/>
      <w:pPr>
        <w:ind w:left="3240" w:hanging="360"/>
      </w:pPr>
      <w:rPr>
        <w:rFonts w:ascii="Courier New" w:hAnsi="Courier New" w:hint="default"/>
      </w:rPr>
    </w:lvl>
    <w:lvl w:ilvl="5" w:tplc="017426DC" w:tentative="1">
      <w:start w:val="1"/>
      <w:numFmt w:val="bullet"/>
      <w:lvlText w:val=""/>
      <w:lvlJc w:val="left"/>
      <w:pPr>
        <w:ind w:left="3960" w:hanging="360"/>
      </w:pPr>
      <w:rPr>
        <w:rFonts w:ascii="Wingdings" w:hAnsi="Wingdings" w:hint="default"/>
      </w:rPr>
    </w:lvl>
    <w:lvl w:ilvl="6" w:tplc="1E3E7D64" w:tentative="1">
      <w:start w:val="1"/>
      <w:numFmt w:val="bullet"/>
      <w:lvlText w:val=""/>
      <w:lvlJc w:val="left"/>
      <w:pPr>
        <w:ind w:left="4680" w:hanging="360"/>
      </w:pPr>
      <w:rPr>
        <w:rFonts w:ascii="Symbol" w:hAnsi="Symbol" w:hint="default"/>
      </w:rPr>
    </w:lvl>
    <w:lvl w:ilvl="7" w:tplc="F48071CC" w:tentative="1">
      <w:start w:val="1"/>
      <w:numFmt w:val="bullet"/>
      <w:lvlText w:val="o"/>
      <w:lvlJc w:val="left"/>
      <w:pPr>
        <w:ind w:left="5400" w:hanging="360"/>
      </w:pPr>
      <w:rPr>
        <w:rFonts w:ascii="Courier New" w:hAnsi="Courier New" w:hint="default"/>
      </w:rPr>
    </w:lvl>
    <w:lvl w:ilvl="8" w:tplc="1746462E" w:tentative="1">
      <w:start w:val="1"/>
      <w:numFmt w:val="bullet"/>
      <w:lvlText w:val=""/>
      <w:lvlJc w:val="left"/>
      <w:pPr>
        <w:ind w:left="6120" w:hanging="360"/>
      </w:pPr>
      <w:rPr>
        <w:rFonts w:ascii="Wingdings" w:hAnsi="Wingdings" w:hint="default"/>
      </w:rPr>
    </w:lvl>
  </w:abstractNum>
  <w:abstractNum w:abstractNumId="53" w15:restartNumberingAfterBreak="0">
    <w:nsid w:val="23B75910"/>
    <w:multiLevelType w:val="hybridMultilevel"/>
    <w:tmpl w:val="18E46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4DD5887"/>
    <w:multiLevelType w:val="hybridMultilevel"/>
    <w:tmpl w:val="0592F0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2AD86B81"/>
    <w:multiLevelType w:val="hybridMultilevel"/>
    <w:tmpl w:val="06009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AF248B1"/>
    <w:multiLevelType w:val="hybridMultilevel"/>
    <w:tmpl w:val="02502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AFE193B"/>
    <w:multiLevelType w:val="hybridMultilevel"/>
    <w:tmpl w:val="4A448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B7C6C4F"/>
    <w:multiLevelType w:val="hybridMultilevel"/>
    <w:tmpl w:val="CA5E0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BBE613C"/>
    <w:multiLevelType w:val="hybridMultilevel"/>
    <w:tmpl w:val="18027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D344FE2"/>
    <w:multiLevelType w:val="hybridMultilevel"/>
    <w:tmpl w:val="A8043B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2D67767A"/>
    <w:multiLevelType w:val="hybridMultilevel"/>
    <w:tmpl w:val="BB3471B2"/>
    <w:lvl w:ilvl="0" w:tplc="00C0176A">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62" w15:restartNumberingAfterBreak="0">
    <w:nsid w:val="2DDF7701"/>
    <w:multiLevelType w:val="hybridMultilevel"/>
    <w:tmpl w:val="383E1146"/>
    <w:lvl w:ilvl="0" w:tplc="23642FC2">
      <w:numFmt w:val="bullet"/>
      <w:lvlText w:val="–"/>
      <w:lvlJc w:val="left"/>
      <w:pPr>
        <w:ind w:left="720" w:hanging="360"/>
      </w:pPr>
      <w:rPr>
        <w:rFonts w:ascii="Times New Roman" w:hAnsi="Times New Roman" w:hint="default"/>
        <w:strike w:val="0"/>
        <w:color w:val="auto"/>
        <w:sz w:val="24"/>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E3269DC"/>
    <w:multiLevelType w:val="hybridMultilevel"/>
    <w:tmpl w:val="386C18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2FC025DA"/>
    <w:multiLevelType w:val="hybridMultilevel"/>
    <w:tmpl w:val="B108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0654B84"/>
    <w:multiLevelType w:val="hybridMultilevel"/>
    <w:tmpl w:val="82DA74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30700326"/>
    <w:multiLevelType w:val="hybridMultilevel"/>
    <w:tmpl w:val="15083786"/>
    <w:lvl w:ilvl="0" w:tplc="A5D43CF2">
      <w:start w:val="1"/>
      <w:numFmt w:val="decimal"/>
      <w:pStyle w:val="FourthNumber"/>
      <w:lvlText w:val="%1."/>
      <w:lvlJc w:val="left"/>
      <w:pPr>
        <w:ind w:left="720" w:hanging="360"/>
      </w:pPr>
      <w:rPr>
        <w:rFonts w:hint="default"/>
        <w:color w:val="auto"/>
        <w:sz w:val="2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07527C7"/>
    <w:multiLevelType w:val="hybridMultilevel"/>
    <w:tmpl w:val="C5D2873A"/>
    <w:lvl w:ilvl="0" w:tplc="A502D7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312A45F7"/>
    <w:multiLevelType w:val="hybridMultilevel"/>
    <w:tmpl w:val="EC32C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1E1312A"/>
    <w:multiLevelType w:val="multilevel"/>
    <w:tmpl w:val="96104B9C"/>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0" w15:restartNumberingAfterBreak="0">
    <w:nsid w:val="322166C7"/>
    <w:multiLevelType w:val="hybridMultilevel"/>
    <w:tmpl w:val="706A1D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23847B2"/>
    <w:multiLevelType w:val="hybridMultilevel"/>
    <w:tmpl w:val="0EDEAB70"/>
    <w:lvl w:ilvl="0" w:tplc="5066B974">
      <w:start w:val="1"/>
      <w:numFmt w:val="decimal"/>
      <w:lvlText w:val="%1."/>
      <w:lvlJc w:val="left"/>
      <w:pPr>
        <w:ind w:left="720" w:hanging="360"/>
      </w:pPr>
      <w:rPr>
        <w:rFonts w:hint="default"/>
        <w:color w:val="auto"/>
        <w:sz w:val="21"/>
        <w:szCs w:val="20"/>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2" w15:restartNumberingAfterBreak="0">
    <w:nsid w:val="32ED58AE"/>
    <w:multiLevelType w:val="hybridMultilevel"/>
    <w:tmpl w:val="A09C0678"/>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73" w15:restartNumberingAfterBreak="0">
    <w:nsid w:val="32F10500"/>
    <w:multiLevelType w:val="hybridMultilevel"/>
    <w:tmpl w:val="C28853B4"/>
    <w:lvl w:ilvl="0" w:tplc="EDEC0C2E">
      <w:start w:val="1"/>
      <w:numFmt w:val="bullet"/>
      <w:pStyle w:val="Evidence"/>
      <w:lvlText w:val=""/>
      <w:lvlJc w:val="left"/>
      <w:pPr>
        <w:ind w:left="360" w:hanging="360"/>
      </w:pPr>
      <w:rPr>
        <w:rFonts w:ascii="Symbol" w:hAnsi="Symbol" w:hint="default"/>
        <w:color w:val="auto"/>
        <w:sz w:val="21"/>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33A5091F"/>
    <w:multiLevelType w:val="hybridMultilevel"/>
    <w:tmpl w:val="729C447E"/>
    <w:lvl w:ilvl="0" w:tplc="EE32A9DE">
      <w:start w:val="1"/>
      <w:numFmt w:val="bullet"/>
      <w:pStyle w:val="Box"/>
      <w:lvlText w:val=""/>
      <w:lvlJc w:val="left"/>
      <w:pPr>
        <w:ind w:left="1656" w:hanging="360"/>
      </w:pPr>
      <w:rPr>
        <w:rFonts w:ascii="Wingdings" w:hAnsi="Wingdings" w:hint="default"/>
        <w:color w:val="auto"/>
        <w:sz w:val="22"/>
        <w:szCs w:val="20"/>
      </w:rPr>
    </w:lvl>
    <w:lvl w:ilvl="1" w:tplc="FFFFFFFF" w:tentative="1">
      <w:start w:val="1"/>
      <w:numFmt w:val="bullet"/>
      <w:lvlText w:val="o"/>
      <w:lvlJc w:val="left"/>
      <w:pPr>
        <w:ind w:left="2376" w:hanging="360"/>
      </w:pPr>
      <w:rPr>
        <w:rFonts w:ascii="Courier New" w:hAnsi="Courier New" w:cs="Courier New" w:hint="default"/>
      </w:rPr>
    </w:lvl>
    <w:lvl w:ilvl="2" w:tplc="FFFFFFFF">
      <w:start w:val="1"/>
      <w:numFmt w:val="bullet"/>
      <w:lvlText w:val=""/>
      <w:lvlJc w:val="left"/>
      <w:pPr>
        <w:ind w:left="3096" w:hanging="360"/>
      </w:pPr>
      <w:rPr>
        <w:rFonts w:ascii="Wingdings" w:hAnsi="Wingdings" w:hint="default"/>
      </w:rPr>
    </w:lvl>
    <w:lvl w:ilvl="3" w:tplc="FFFFFFFF" w:tentative="1">
      <w:start w:val="1"/>
      <w:numFmt w:val="bullet"/>
      <w:lvlText w:val=""/>
      <w:lvlJc w:val="left"/>
      <w:pPr>
        <w:ind w:left="3816" w:hanging="360"/>
      </w:pPr>
      <w:rPr>
        <w:rFonts w:ascii="Symbol" w:hAnsi="Symbol" w:hint="default"/>
      </w:rPr>
    </w:lvl>
    <w:lvl w:ilvl="4" w:tplc="FFFFFFFF" w:tentative="1">
      <w:start w:val="1"/>
      <w:numFmt w:val="bullet"/>
      <w:lvlText w:val="o"/>
      <w:lvlJc w:val="left"/>
      <w:pPr>
        <w:ind w:left="4536" w:hanging="360"/>
      </w:pPr>
      <w:rPr>
        <w:rFonts w:ascii="Courier New" w:hAnsi="Courier New" w:cs="Courier New" w:hint="default"/>
      </w:rPr>
    </w:lvl>
    <w:lvl w:ilvl="5" w:tplc="FFFFFFFF" w:tentative="1">
      <w:start w:val="1"/>
      <w:numFmt w:val="bullet"/>
      <w:lvlText w:val=""/>
      <w:lvlJc w:val="left"/>
      <w:pPr>
        <w:ind w:left="5256" w:hanging="360"/>
      </w:pPr>
      <w:rPr>
        <w:rFonts w:ascii="Wingdings" w:hAnsi="Wingdings" w:hint="default"/>
      </w:rPr>
    </w:lvl>
    <w:lvl w:ilvl="6" w:tplc="FFFFFFFF" w:tentative="1">
      <w:start w:val="1"/>
      <w:numFmt w:val="bullet"/>
      <w:lvlText w:val=""/>
      <w:lvlJc w:val="left"/>
      <w:pPr>
        <w:ind w:left="5976" w:hanging="360"/>
      </w:pPr>
      <w:rPr>
        <w:rFonts w:ascii="Symbol" w:hAnsi="Symbol" w:hint="default"/>
      </w:rPr>
    </w:lvl>
    <w:lvl w:ilvl="7" w:tplc="FFFFFFFF" w:tentative="1">
      <w:start w:val="1"/>
      <w:numFmt w:val="bullet"/>
      <w:lvlText w:val="o"/>
      <w:lvlJc w:val="left"/>
      <w:pPr>
        <w:ind w:left="6696" w:hanging="360"/>
      </w:pPr>
      <w:rPr>
        <w:rFonts w:ascii="Courier New" w:hAnsi="Courier New" w:cs="Courier New" w:hint="default"/>
      </w:rPr>
    </w:lvl>
    <w:lvl w:ilvl="8" w:tplc="FFFFFFFF" w:tentative="1">
      <w:start w:val="1"/>
      <w:numFmt w:val="bullet"/>
      <w:lvlText w:val=""/>
      <w:lvlJc w:val="left"/>
      <w:pPr>
        <w:ind w:left="7416" w:hanging="360"/>
      </w:pPr>
      <w:rPr>
        <w:rFonts w:ascii="Wingdings" w:hAnsi="Wingdings" w:hint="default"/>
      </w:rPr>
    </w:lvl>
  </w:abstractNum>
  <w:abstractNum w:abstractNumId="75" w15:restartNumberingAfterBreak="0">
    <w:nsid w:val="33E807BC"/>
    <w:multiLevelType w:val="hybridMultilevel"/>
    <w:tmpl w:val="CC7C28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351E10B8"/>
    <w:multiLevelType w:val="hybridMultilevel"/>
    <w:tmpl w:val="1A7C577E"/>
    <w:lvl w:ilvl="0" w:tplc="8514E2B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356527E5"/>
    <w:multiLevelType w:val="hybridMultilevel"/>
    <w:tmpl w:val="6F161B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6081416"/>
    <w:multiLevelType w:val="hybridMultilevel"/>
    <w:tmpl w:val="A12EEF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65466F2"/>
    <w:multiLevelType w:val="hybridMultilevel"/>
    <w:tmpl w:val="2BDC0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7BA077A"/>
    <w:multiLevelType w:val="multilevel"/>
    <w:tmpl w:val="440CD398"/>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1" w15:restartNumberingAfterBreak="0">
    <w:nsid w:val="38431FD7"/>
    <w:multiLevelType w:val="hybridMultilevel"/>
    <w:tmpl w:val="97E2455A"/>
    <w:lvl w:ilvl="0" w:tplc="1A1AA0B0">
      <w:start w:val="1"/>
      <w:numFmt w:val="bullet"/>
      <w:pStyle w:val="QuestionText"/>
      <w:lvlText w:val=""/>
      <w:lvlJc w:val="left"/>
      <w:pPr>
        <w:ind w:left="778" w:hanging="360"/>
      </w:pPr>
      <w:rPr>
        <w:rFonts w:ascii="Symbol" w:hAnsi="Symbol" w:hint="default"/>
        <w:sz w:val="21"/>
        <w:szCs w:val="20"/>
      </w:rPr>
    </w:lvl>
    <w:lvl w:ilvl="1" w:tplc="FFC6E61E">
      <w:start w:val="1"/>
      <w:numFmt w:val="decimal"/>
      <w:lvlText w:val="%2."/>
      <w:lvlJc w:val="left"/>
      <w:pPr>
        <w:tabs>
          <w:tab w:val="num" w:pos="1440"/>
        </w:tabs>
        <w:ind w:left="1440" w:hanging="720"/>
      </w:pPr>
    </w:lvl>
    <w:lvl w:ilvl="2" w:tplc="98269346">
      <w:start w:val="1"/>
      <w:numFmt w:val="decimal"/>
      <w:lvlText w:val="%3."/>
      <w:lvlJc w:val="left"/>
      <w:pPr>
        <w:tabs>
          <w:tab w:val="num" w:pos="2160"/>
        </w:tabs>
        <w:ind w:left="2160" w:hanging="720"/>
      </w:pPr>
    </w:lvl>
    <w:lvl w:ilvl="3" w:tplc="4C02436C">
      <w:start w:val="1"/>
      <w:numFmt w:val="decimal"/>
      <w:lvlText w:val="%4."/>
      <w:lvlJc w:val="left"/>
      <w:pPr>
        <w:tabs>
          <w:tab w:val="num" w:pos="2880"/>
        </w:tabs>
        <w:ind w:left="2880" w:hanging="720"/>
      </w:pPr>
    </w:lvl>
    <w:lvl w:ilvl="4" w:tplc="DDCC9B24">
      <w:start w:val="1"/>
      <w:numFmt w:val="decimal"/>
      <w:lvlText w:val="%5."/>
      <w:lvlJc w:val="left"/>
      <w:pPr>
        <w:tabs>
          <w:tab w:val="num" w:pos="3600"/>
        </w:tabs>
        <w:ind w:left="3600" w:hanging="720"/>
      </w:pPr>
    </w:lvl>
    <w:lvl w:ilvl="5" w:tplc="46045866">
      <w:start w:val="1"/>
      <w:numFmt w:val="decimal"/>
      <w:lvlText w:val="%6."/>
      <w:lvlJc w:val="left"/>
      <w:pPr>
        <w:tabs>
          <w:tab w:val="num" w:pos="4320"/>
        </w:tabs>
        <w:ind w:left="4320" w:hanging="720"/>
      </w:pPr>
    </w:lvl>
    <w:lvl w:ilvl="6" w:tplc="ABA0B200">
      <w:start w:val="1"/>
      <w:numFmt w:val="decimal"/>
      <w:lvlText w:val="%7."/>
      <w:lvlJc w:val="left"/>
      <w:pPr>
        <w:tabs>
          <w:tab w:val="num" w:pos="5040"/>
        </w:tabs>
        <w:ind w:left="5040" w:hanging="720"/>
      </w:pPr>
    </w:lvl>
    <w:lvl w:ilvl="7" w:tplc="34F89644">
      <w:start w:val="1"/>
      <w:numFmt w:val="decimal"/>
      <w:lvlText w:val="%8."/>
      <w:lvlJc w:val="left"/>
      <w:pPr>
        <w:tabs>
          <w:tab w:val="num" w:pos="5760"/>
        </w:tabs>
        <w:ind w:left="5760" w:hanging="720"/>
      </w:pPr>
    </w:lvl>
    <w:lvl w:ilvl="8" w:tplc="5A2261B4">
      <w:start w:val="1"/>
      <w:numFmt w:val="decimal"/>
      <w:lvlText w:val="%9."/>
      <w:lvlJc w:val="left"/>
      <w:pPr>
        <w:tabs>
          <w:tab w:val="num" w:pos="6480"/>
        </w:tabs>
        <w:ind w:left="6480" w:hanging="720"/>
      </w:pPr>
    </w:lvl>
  </w:abstractNum>
  <w:abstractNum w:abstractNumId="82" w15:restartNumberingAfterBreak="0">
    <w:nsid w:val="3A86612D"/>
    <w:multiLevelType w:val="hybridMultilevel"/>
    <w:tmpl w:val="D570D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B346E40"/>
    <w:multiLevelType w:val="hybridMultilevel"/>
    <w:tmpl w:val="03C26E52"/>
    <w:lvl w:ilvl="0" w:tplc="F2787196">
      <w:start w:val="1"/>
      <w:numFmt w:val="bullet"/>
      <w:pStyle w:val="MarginBullet"/>
      <w:lvlText w:val=""/>
      <w:lvlJc w:val="left"/>
      <w:pPr>
        <w:ind w:left="360" w:hanging="360"/>
      </w:pPr>
      <w:rPr>
        <w:rFonts w:ascii="Symbol" w:hAnsi="Symbol" w:hint="default"/>
        <w:sz w:val="21"/>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3D2F6E07"/>
    <w:multiLevelType w:val="hybridMultilevel"/>
    <w:tmpl w:val="A19455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D9F3E1C"/>
    <w:multiLevelType w:val="hybridMultilevel"/>
    <w:tmpl w:val="03BA3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DC45453"/>
    <w:multiLevelType w:val="hybridMultilevel"/>
    <w:tmpl w:val="1D1AF1D8"/>
    <w:lvl w:ilvl="0" w:tplc="5DD66020">
      <w:start w:val="1"/>
      <w:numFmt w:val="bullet"/>
      <w:pStyle w:val="MarginDash"/>
      <w:lvlText w:val=""/>
      <w:lvlJc w:val="left"/>
      <w:pPr>
        <w:tabs>
          <w:tab w:val="num" w:pos="360"/>
        </w:tabs>
        <w:ind w:left="360" w:hanging="360"/>
      </w:pPr>
      <w:rPr>
        <w:rFonts w:ascii="Symbol" w:hAnsi="Symbol" w:hint="default"/>
      </w:rPr>
    </w:lvl>
    <w:lvl w:ilvl="1" w:tplc="0FF8FD2A">
      <w:numFmt w:val="decimal"/>
      <w:lvlText w:val=""/>
      <w:lvlJc w:val="left"/>
    </w:lvl>
    <w:lvl w:ilvl="2" w:tplc="B742DECE">
      <w:numFmt w:val="decimal"/>
      <w:lvlText w:val=""/>
      <w:lvlJc w:val="left"/>
    </w:lvl>
    <w:lvl w:ilvl="3" w:tplc="1980C7AE">
      <w:numFmt w:val="decimal"/>
      <w:lvlText w:val=""/>
      <w:lvlJc w:val="left"/>
    </w:lvl>
    <w:lvl w:ilvl="4" w:tplc="D076CE26">
      <w:numFmt w:val="decimal"/>
      <w:lvlText w:val=""/>
      <w:lvlJc w:val="left"/>
    </w:lvl>
    <w:lvl w:ilvl="5" w:tplc="21284FD4">
      <w:numFmt w:val="decimal"/>
      <w:lvlText w:val=""/>
      <w:lvlJc w:val="left"/>
    </w:lvl>
    <w:lvl w:ilvl="6" w:tplc="E8BAC31E">
      <w:numFmt w:val="decimal"/>
      <w:lvlText w:val=""/>
      <w:lvlJc w:val="left"/>
    </w:lvl>
    <w:lvl w:ilvl="7" w:tplc="020E3BAE">
      <w:numFmt w:val="decimal"/>
      <w:lvlText w:val=""/>
      <w:lvlJc w:val="left"/>
    </w:lvl>
    <w:lvl w:ilvl="8" w:tplc="15466AB2">
      <w:numFmt w:val="decimal"/>
      <w:lvlText w:val=""/>
      <w:lvlJc w:val="left"/>
    </w:lvl>
  </w:abstractNum>
  <w:abstractNum w:abstractNumId="87" w15:restartNumberingAfterBreak="0">
    <w:nsid w:val="3DE4176C"/>
    <w:multiLevelType w:val="hybridMultilevel"/>
    <w:tmpl w:val="72CC8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F2E761F"/>
    <w:multiLevelType w:val="hybridMultilevel"/>
    <w:tmpl w:val="A4164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FAA2140"/>
    <w:multiLevelType w:val="hybridMultilevel"/>
    <w:tmpl w:val="7C3A48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3FBC58ED"/>
    <w:multiLevelType w:val="hybridMultilevel"/>
    <w:tmpl w:val="A19455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40831BC5"/>
    <w:multiLevelType w:val="hybridMultilevel"/>
    <w:tmpl w:val="9042A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0C0456C"/>
    <w:multiLevelType w:val="hybridMultilevel"/>
    <w:tmpl w:val="FEB2A89C"/>
    <w:lvl w:ilvl="0" w:tplc="0409000F">
      <w:start w:val="1"/>
      <w:numFmt w:val="decimal"/>
      <w:lvlText w:val="%1."/>
      <w:lvlJc w:val="left"/>
      <w:pPr>
        <w:ind w:left="1080" w:hanging="360"/>
      </w:pPr>
      <w:rPr>
        <w:rFonts w:hint="default"/>
        <w:sz w:val="21"/>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414D6CBC"/>
    <w:multiLevelType w:val="hybridMultilevel"/>
    <w:tmpl w:val="4AA86F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42772348"/>
    <w:multiLevelType w:val="multilevel"/>
    <w:tmpl w:val="7482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2AB6658"/>
    <w:multiLevelType w:val="hybridMultilevel"/>
    <w:tmpl w:val="10167CAC"/>
    <w:lvl w:ilvl="0" w:tplc="4E0238DA">
      <w:start w:val="1"/>
      <w:numFmt w:val="decimal"/>
      <w:lvlText w:val="%1."/>
      <w:lvlJc w:val="left"/>
      <w:pPr>
        <w:tabs>
          <w:tab w:val="num" w:pos="576"/>
        </w:tabs>
        <w:ind w:left="936" w:hanging="216"/>
      </w:pPr>
      <w:rPr>
        <w:rFonts w:hint="default"/>
        <w:sz w:val="21"/>
        <w:szCs w:val="21"/>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6" w15:restartNumberingAfterBreak="0">
    <w:nsid w:val="448D1F83"/>
    <w:multiLevelType w:val="hybridMultilevel"/>
    <w:tmpl w:val="306AD2B0"/>
    <w:lvl w:ilvl="0" w:tplc="2EF6F9F0">
      <w:start w:val="1"/>
      <w:numFmt w:val="decimal"/>
      <w:lvlText w:val="%1."/>
      <w:lvlJc w:val="left"/>
      <w:pPr>
        <w:ind w:left="916" w:hanging="360"/>
      </w:pPr>
      <w:rPr>
        <w:rFonts w:hint="default"/>
      </w:rPr>
    </w:lvl>
    <w:lvl w:ilvl="1" w:tplc="04090019" w:tentative="1">
      <w:start w:val="1"/>
      <w:numFmt w:val="lowerLetter"/>
      <w:lvlText w:val="%2."/>
      <w:lvlJc w:val="left"/>
      <w:pPr>
        <w:ind w:left="1636" w:hanging="360"/>
      </w:pPr>
    </w:lvl>
    <w:lvl w:ilvl="2" w:tplc="0409001B" w:tentative="1">
      <w:start w:val="1"/>
      <w:numFmt w:val="lowerRoman"/>
      <w:lvlText w:val="%3."/>
      <w:lvlJc w:val="right"/>
      <w:pPr>
        <w:ind w:left="2356" w:hanging="180"/>
      </w:pPr>
    </w:lvl>
    <w:lvl w:ilvl="3" w:tplc="0409000F" w:tentative="1">
      <w:start w:val="1"/>
      <w:numFmt w:val="decimal"/>
      <w:lvlText w:val="%4."/>
      <w:lvlJc w:val="left"/>
      <w:pPr>
        <w:ind w:left="3076" w:hanging="360"/>
      </w:pPr>
    </w:lvl>
    <w:lvl w:ilvl="4" w:tplc="04090019" w:tentative="1">
      <w:start w:val="1"/>
      <w:numFmt w:val="lowerLetter"/>
      <w:lvlText w:val="%5."/>
      <w:lvlJc w:val="left"/>
      <w:pPr>
        <w:ind w:left="3796" w:hanging="360"/>
      </w:pPr>
    </w:lvl>
    <w:lvl w:ilvl="5" w:tplc="0409001B" w:tentative="1">
      <w:start w:val="1"/>
      <w:numFmt w:val="lowerRoman"/>
      <w:lvlText w:val="%6."/>
      <w:lvlJc w:val="right"/>
      <w:pPr>
        <w:ind w:left="4516" w:hanging="180"/>
      </w:pPr>
    </w:lvl>
    <w:lvl w:ilvl="6" w:tplc="0409000F" w:tentative="1">
      <w:start w:val="1"/>
      <w:numFmt w:val="decimal"/>
      <w:lvlText w:val="%7."/>
      <w:lvlJc w:val="left"/>
      <w:pPr>
        <w:ind w:left="5236" w:hanging="360"/>
      </w:pPr>
    </w:lvl>
    <w:lvl w:ilvl="7" w:tplc="04090019" w:tentative="1">
      <w:start w:val="1"/>
      <w:numFmt w:val="lowerLetter"/>
      <w:lvlText w:val="%8."/>
      <w:lvlJc w:val="left"/>
      <w:pPr>
        <w:ind w:left="5956" w:hanging="360"/>
      </w:pPr>
    </w:lvl>
    <w:lvl w:ilvl="8" w:tplc="0409001B" w:tentative="1">
      <w:start w:val="1"/>
      <w:numFmt w:val="lowerRoman"/>
      <w:lvlText w:val="%9."/>
      <w:lvlJc w:val="right"/>
      <w:pPr>
        <w:ind w:left="6676" w:hanging="180"/>
      </w:pPr>
    </w:lvl>
  </w:abstractNum>
  <w:abstractNum w:abstractNumId="97" w15:restartNumberingAfterBreak="0">
    <w:nsid w:val="46B2710F"/>
    <w:multiLevelType w:val="hybridMultilevel"/>
    <w:tmpl w:val="D8525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7555185"/>
    <w:multiLevelType w:val="hybridMultilevel"/>
    <w:tmpl w:val="4BB838FE"/>
    <w:lvl w:ilvl="0" w:tplc="23642FC2">
      <w:numFmt w:val="bullet"/>
      <w:lvlText w:val="–"/>
      <w:lvlJc w:val="left"/>
      <w:pPr>
        <w:ind w:left="936" w:hanging="360"/>
      </w:pPr>
      <w:rPr>
        <w:rFonts w:ascii="Times New Roman" w:hAnsi="Times New Roman" w:hint="default"/>
        <w:strike w:val="0"/>
        <w:color w:val="auto"/>
        <w:sz w:val="24"/>
        <w:szCs w:val="20"/>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99" w15:restartNumberingAfterBreak="0">
    <w:nsid w:val="47C91F71"/>
    <w:multiLevelType w:val="hybridMultilevel"/>
    <w:tmpl w:val="4458375E"/>
    <w:lvl w:ilvl="0" w:tplc="665C31D8">
      <w:start w:val="1"/>
      <w:numFmt w:val="decimal"/>
      <w:lvlText w:val="%1."/>
      <w:lvlJc w:val="left"/>
      <w:pPr>
        <w:ind w:left="720" w:hanging="360"/>
      </w:pPr>
      <w:rPr>
        <w:rFonts w:hint="default"/>
        <w:b w:val="0"/>
        <w:i w:val="0"/>
        <w:strike w:val="0"/>
        <w:dstrike w:val="0"/>
        <w:color w:val="000000"/>
        <w:sz w:val="21"/>
        <w:szCs w:val="20"/>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47E5694D"/>
    <w:multiLevelType w:val="hybridMultilevel"/>
    <w:tmpl w:val="0A56C3F2"/>
    <w:lvl w:ilvl="0" w:tplc="EF44BB44">
      <w:start w:val="1"/>
      <w:numFmt w:val="bullet"/>
      <w:lvlText w:val=""/>
      <w:lvlJc w:val="left"/>
      <w:pPr>
        <w:ind w:left="360" w:hanging="360"/>
      </w:pPr>
      <w:rPr>
        <w:rFonts w:ascii="Symbol" w:hAnsi="Symbol" w:hint="default"/>
      </w:rPr>
    </w:lvl>
    <w:lvl w:ilvl="1" w:tplc="AA446B8C" w:tentative="1">
      <w:start w:val="1"/>
      <w:numFmt w:val="bullet"/>
      <w:lvlText w:val="o"/>
      <w:lvlJc w:val="left"/>
      <w:pPr>
        <w:ind w:left="1080" w:hanging="360"/>
      </w:pPr>
      <w:rPr>
        <w:rFonts w:ascii="Courier New" w:hAnsi="Courier New" w:hint="default"/>
      </w:rPr>
    </w:lvl>
    <w:lvl w:ilvl="2" w:tplc="532AF8C2" w:tentative="1">
      <w:start w:val="1"/>
      <w:numFmt w:val="bullet"/>
      <w:lvlText w:val=""/>
      <w:lvlJc w:val="left"/>
      <w:pPr>
        <w:ind w:left="1800" w:hanging="360"/>
      </w:pPr>
      <w:rPr>
        <w:rFonts w:ascii="Wingdings" w:hAnsi="Wingdings" w:hint="default"/>
      </w:rPr>
    </w:lvl>
    <w:lvl w:ilvl="3" w:tplc="B08C91D0" w:tentative="1">
      <w:start w:val="1"/>
      <w:numFmt w:val="bullet"/>
      <w:lvlText w:val=""/>
      <w:lvlJc w:val="left"/>
      <w:pPr>
        <w:ind w:left="2520" w:hanging="360"/>
      </w:pPr>
      <w:rPr>
        <w:rFonts w:ascii="Symbol" w:hAnsi="Symbol" w:hint="default"/>
      </w:rPr>
    </w:lvl>
    <w:lvl w:ilvl="4" w:tplc="4AFE622A" w:tentative="1">
      <w:start w:val="1"/>
      <w:numFmt w:val="bullet"/>
      <w:lvlText w:val="o"/>
      <w:lvlJc w:val="left"/>
      <w:pPr>
        <w:ind w:left="3240" w:hanging="360"/>
      </w:pPr>
      <w:rPr>
        <w:rFonts w:ascii="Courier New" w:hAnsi="Courier New" w:hint="default"/>
      </w:rPr>
    </w:lvl>
    <w:lvl w:ilvl="5" w:tplc="7F3CC480" w:tentative="1">
      <w:start w:val="1"/>
      <w:numFmt w:val="bullet"/>
      <w:lvlText w:val=""/>
      <w:lvlJc w:val="left"/>
      <w:pPr>
        <w:ind w:left="3960" w:hanging="360"/>
      </w:pPr>
      <w:rPr>
        <w:rFonts w:ascii="Wingdings" w:hAnsi="Wingdings" w:hint="default"/>
      </w:rPr>
    </w:lvl>
    <w:lvl w:ilvl="6" w:tplc="DD80000A" w:tentative="1">
      <w:start w:val="1"/>
      <w:numFmt w:val="bullet"/>
      <w:lvlText w:val=""/>
      <w:lvlJc w:val="left"/>
      <w:pPr>
        <w:ind w:left="4680" w:hanging="360"/>
      </w:pPr>
      <w:rPr>
        <w:rFonts w:ascii="Symbol" w:hAnsi="Symbol" w:hint="default"/>
      </w:rPr>
    </w:lvl>
    <w:lvl w:ilvl="7" w:tplc="F574F760" w:tentative="1">
      <w:start w:val="1"/>
      <w:numFmt w:val="bullet"/>
      <w:lvlText w:val="o"/>
      <w:lvlJc w:val="left"/>
      <w:pPr>
        <w:ind w:left="5400" w:hanging="360"/>
      </w:pPr>
      <w:rPr>
        <w:rFonts w:ascii="Courier New" w:hAnsi="Courier New" w:hint="default"/>
      </w:rPr>
    </w:lvl>
    <w:lvl w:ilvl="8" w:tplc="C9265774" w:tentative="1">
      <w:start w:val="1"/>
      <w:numFmt w:val="bullet"/>
      <w:lvlText w:val=""/>
      <w:lvlJc w:val="left"/>
      <w:pPr>
        <w:ind w:left="6120" w:hanging="360"/>
      </w:pPr>
      <w:rPr>
        <w:rFonts w:ascii="Wingdings" w:hAnsi="Wingdings" w:hint="default"/>
      </w:rPr>
    </w:lvl>
  </w:abstractNum>
  <w:abstractNum w:abstractNumId="101" w15:restartNumberingAfterBreak="0">
    <w:nsid w:val="47F37B63"/>
    <w:multiLevelType w:val="hybridMultilevel"/>
    <w:tmpl w:val="D16E0DF6"/>
    <w:lvl w:ilvl="0" w:tplc="4782A3EA">
      <w:numFmt w:val="bullet"/>
      <w:lvlText w:val=""/>
      <w:lvlJc w:val="left"/>
      <w:pPr>
        <w:ind w:left="720" w:hanging="360"/>
      </w:pPr>
      <w:rPr>
        <w:rFonts w:ascii="Symbol" w:hAnsi="Symbol" w:cs="Symbol" w:hint="default"/>
        <w:b w:val="0"/>
        <w:bCs w:val="0"/>
        <w:i w:val="0"/>
        <w:iCs w:val="0"/>
        <w:color w:val="auto"/>
        <w:spacing w:val="0"/>
        <w:w w:val="100"/>
        <w:sz w:val="22"/>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801060D"/>
    <w:multiLevelType w:val="hybridMultilevel"/>
    <w:tmpl w:val="B25E31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482566EE"/>
    <w:multiLevelType w:val="hybridMultilevel"/>
    <w:tmpl w:val="23F83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83C61FC"/>
    <w:multiLevelType w:val="hybridMultilevel"/>
    <w:tmpl w:val="0A3E5490"/>
    <w:lvl w:ilvl="0" w:tplc="1AFEEECE">
      <w:start w:val="1"/>
      <w:numFmt w:val="bullet"/>
      <w:pStyle w:val="SquareBullet"/>
      <w:lvlText w:val=""/>
      <w:lvlJc w:val="left"/>
      <w:pPr>
        <w:ind w:left="1152" w:hanging="360"/>
      </w:pPr>
      <w:rPr>
        <w:rFonts w:ascii="Wingdings" w:hAnsi="Wingdings" w:hint="default"/>
        <w:sz w:val="21"/>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05" w15:restartNumberingAfterBreak="0">
    <w:nsid w:val="4A501C40"/>
    <w:multiLevelType w:val="hybridMultilevel"/>
    <w:tmpl w:val="5A0AC194"/>
    <w:lvl w:ilvl="0" w:tplc="9168C6C8">
      <w:start w:val="1"/>
      <w:numFmt w:val="decimal"/>
      <w:lvlText w:val="%1."/>
      <w:lvlJc w:val="left"/>
      <w:pPr>
        <w:ind w:left="720" w:hanging="360"/>
      </w:pPr>
      <w:rPr>
        <w:rFonts w:hint="default"/>
        <w:b w:val="0"/>
        <w:i w:val="0"/>
        <w:strike w:val="0"/>
        <w:dstrike w:val="0"/>
        <w:color w:val="000000"/>
        <w:sz w:val="22"/>
        <w:szCs w:val="20"/>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4A944C1A"/>
    <w:multiLevelType w:val="hybridMultilevel"/>
    <w:tmpl w:val="11180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AAD1EF3"/>
    <w:multiLevelType w:val="hybridMultilevel"/>
    <w:tmpl w:val="0C16FE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4ACB7FCD"/>
    <w:multiLevelType w:val="multilevel"/>
    <w:tmpl w:val="14183654"/>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9" w15:restartNumberingAfterBreak="0">
    <w:nsid w:val="4AD05725"/>
    <w:multiLevelType w:val="hybridMultilevel"/>
    <w:tmpl w:val="EE0E3A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4AEF0153"/>
    <w:multiLevelType w:val="hybridMultilevel"/>
    <w:tmpl w:val="D730F5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4BD90C12"/>
    <w:multiLevelType w:val="hybridMultilevel"/>
    <w:tmpl w:val="3506A4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4C9C3746"/>
    <w:multiLevelType w:val="hybridMultilevel"/>
    <w:tmpl w:val="63A06B0A"/>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13" w15:restartNumberingAfterBreak="0">
    <w:nsid w:val="4D4C15F2"/>
    <w:multiLevelType w:val="hybridMultilevel"/>
    <w:tmpl w:val="178EFA6A"/>
    <w:lvl w:ilvl="0" w:tplc="9DC053EA">
      <w:start w:val="1"/>
      <w:numFmt w:val="decimal"/>
      <w:pStyle w:val="ThirdNumber"/>
      <w:lvlText w:val="%1."/>
      <w:lvlJc w:val="left"/>
      <w:pPr>
        <w:ind w:left="1728" w:hanging="360"/>
      </w:pPr>
      <w:rPr>
        <w:rFonts w:hint="default"/>
        <w:color w:val="auto"/>
        <w:sz w:val="21"/>
        <w:szCs w:val="24"/>
      </w:r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114" w15:restartNumberingAfterBreak="0">
    <w:nsid w:val="5049374B"/>
    <w:multiLevelType w:val="hybridMultilevel"/>
    <w:tmpl w:val="DB0ACE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52624D6E"/>
    <w:multiLevelType w:val="hybridMultilevel"/>
    <w:tmpl w:val="58A04E66"/>
    <w:lvl w:ilvl="0" w:tplc="A8DEEF64">
      <w:start w:val="1"/>
      <w:numFmt w:val="bullet"/>
      <w:lvlText w:val=""/>
      <w:lvlJc w:val="left"/>
      <w:pPr>
        <w:ind w:left="360" w:hanging="360"/>
      </w:pPr>
      <w:rPr>
        <w:rFonts w:ascii="Symbol" w:hAnsi="Symbol" w:hint="default"/>
      </w:rPr>
    </w:lvl>
    <w:lvl w:ilvl="1" w:tplc="5B5AE750" w:tentative="1">
      <w:start w:val="1"/>
      <w:numFmt w:val="bullet"/>
      <w:lvlText w:val="o"/>
      <w:lvlJc w:val="left"/>
      <w:pPr>
        <w:ind w:left="1080" w:hanging="360"/>
      </w:pPr>
      <w:rPr>
        <w:rFonts w:ascii="Courier New" w:hAnsi="Courier New" w:hint="default"/>
      </w:rPr>
    </w:lvl>
    <w:lvl w:ilvl="2" w:tplc="8968DB5A" w:tentative="1">
      <w:start w:val="1"/>
      <w:numFmt w:val="bullet"/>
      <w:lvlText w:val=""/>
      <w:lvlJc w:val="left"/>
      <w:pPr>
        <w:ind w:left="1800" w:hanging="360"/>
      </w:pPr>
      <w:rPr>
        <w:rFonts w:ascii="Wingdings" w:hAnsi="Wingdings" w:hint="default"/>
      </w:rPr>
    </w:lvl>
    <w:lvl w:ilvl="3" w:tplc="CDD4FC4E" w:tentative="1">
      <w:start w:val="1"/>
      <w:numFmt w:val="bullet"/>
      <w:lvlText w:val=""/>
      <w:lvlJc w:val="left"/>
      <w:pPr>
        <w:ind w:left="2520" w:hanging="360"/>
      </w:pPr>
      <w:rPr>
        <w:rFonts w:ascii="Symbol" w:hAnsi="Symbol" w:hint="default"/>
      </w:rPr>
    </w:lvl>
    <w:lvl w:ilvl="4" w:tplc="06DC9388" w:tentative="1">
      <w:start w:val="1"/>
      <w:numFmt w:val="bullet"/>
      <w:lvlText w:val="o"/>
      <w:lvlJc w:val="left"/>
      <w:pPr>
        <w:ind w:left="3240" w:hanging="360"/>
      </w:pPr>
      <w:rPr>
        <w:rFonts w:ascii="Courier New" w:hAnsi="Courier New" w:hint="default"/>
      </w:rPr>
    </w:lvl>
    <w:lvl w:ilvl="5" w:tplc="73EE0958" w:tentative="1">
      <w:start w:val="1"/>
      <w:numFmt w:val="bullet"/>
      <w:lvlText w:val=""/>
      <w:lvlJc w:val="left"/>
      <w:pPr>
        <w:ind w:left="3960" w:hanging="360"/>
      </w:pPr>
      <w:rPr>
        <w:rFonts w:ascii="Wingdings" w:hAnsi="Wingdings" w:hint="default"/>
      </w:rPr>
    </w:lvl>
    <w:lvl w:ilvl="6" w:tplc="EAA0C21E" w:tentative="1">
      <w:start w:val="1"/>
      <w:numFmt w:val="bullet"/>
      <w:lvlText w:val=""/>
      <w:lvlJc w:val="left"/>
      <w:pPr>
        <w:ind w:left="4680" w:hanging="360"/>
      </w:pPr>
      <w:rPr>
        <w:rFonts w:ascii="Symbol" w:hAnsi="Symbol" w:hint="default"/>
      </w:rPr>
    </w:lvl>
    <w:lvl w:ilvl="7" w:tplc="911EB090" w:tentative="1">
      <w:start w:val="1"/>
      <w:numFmt w:val="bullet"/>
      <w:lvlText w:val="o"/>
      <w:lvlJc w:val="left"/>
      <w:pPr>
        <w:ind w:left="5400" w:hanging="360"/>
      </w:pPr>
      <w:rPr>
        <w:rFonts w:ascii="Courier New" w:hAnsi="Courier New" w:hint="default"/>
      </w:rPr>
    </w:lvl>
    <w:lvl w:ilvl="8" w:tplc="32E25E56" w:tentative="1">
      <w:start w:val="1"/>
      <w:numFmt w:val="bullet"/>
      <w:lvlText w:val=""/>
      <w:lvlJc w:val="left"/>
      <w:pPr>
        <w:ind w:left="6120" w:hanging="360"/>
      </w:pPr>
      <w:rPr>
        <w:rFonts w:ascii="Wingdings" w:hAnsi="Wingdings" w:hint="default"/>
      </w:rPr>
    </w:lvl>
  </w:abstractNum>
  <w:abstractNum w:abstractNumId="116" w15:restartNumberingAfterBreak="0">
    <w:nsid w:val="530B1ACB"/>
    <w:multiLevelType w:val="hybridMultilevel"/>
    <w:tmpl w:val="A672EB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3BE75E3"/>
    <w:multiLevelType w:val="multilevel"/>
    <w:tmpl w:val="A978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50147C1"/>
    <w:multiLevelType w:val="hybridMultilevel"/>
    <w:tmpl w:val="E9B41C60"/>
    <w:lvl w:ilvl="0" w:tplc="FF9832F6">
      <w:start w:val="1"/>
      <w:numFmt w:val="bullet"/>
      <w:pStyle w:val="DashTwo"/>
      <w:lvlText w:val=""/>
      <w:lvlJc w:val="left"/>
      <w:pPr>
        <w:ind w:left="1584" w:hanging="360"/>
      </w:pPr>
      <w:rPr>
        <w:rFonts w:ascii="Symbol" w:hAnsi="Symbol" w:hint="default"/>
        <w:sz w:val="21"/>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19" w15:restartNumberingAfterBreak="0">
    <w:nsid w:val="56181EB5"/>
    <w:multiLevelType w:val="hybridMultilevel"/>
    <w:tmpl w:val="9D8C82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568C0499"/>
    <w:multiLevelType w:val="hybridMultilevel"/>
    <w:tmpl w:val="2D50D0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56A71AF7"/>
    <w:multiLevelType w:val="hybridMultilevel"/>
    <w:tmpl w:val="548A9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6A96CAF"/>
    <w:multiLevelType w:val="hybridMultilevel"/>
    <w:tmpl w:val="D2C0A40A"/>
    <w:lvl w:ilvl="0" w:tplc="FFFFFFFF">
      <w:start w:val="1"/>
      <w:numFmt w:val="decimal"/>
      <w:lvlText w:val="%1."/>
      <w:lvlJc w:val="left"/>
      <w:pPr>
        <w:ind w:left="576" w:hanging="360"/>
      </w:pPr>
    </w:lvl>
    <w:lvl w:ilvl="1" w:tplc="FFFFFFFF" w:tentative="1">
      <w:start w:val="1"/>
      <w:numFmt w:val="lowerLetter"/>
      <w:lvlText w:val="%2."/>
      <w:lvlJc w:val="left"/>
      <w:pPr>
        <w:ind w:left="1296" w:hanging="360"/>
      </w:pPr>
    </w:lvl>
    <w:lvl w:ilvl="2" w:tplc="FFFFFFFF" w:tentative="1">
      <w:start w:val="1"/>
      <w:numFmt w:val="lowerRoman"/>
      <w:lvlText w:val="%3."/>
      <w:lvlJc w:val="right"/>
      <w:pPr>
        <w:ind w:left="2016" w:hanging="180"/>
      </w:pPr>
    </w:lvl>
    <w:lvl w:ilvl="3" w:tplc="FFFFFFFF" w:tentative="1">
      <w:start w:val="1"/>
      <w:numFmt w:val="decimal"/>
      <w:lvlText w:val="%4."/>
      <w:lvlJc w:val="left"/>
      <w:pPr>
        <w:ind w:left="2736" w:hanging="360"/>
      </w:pPr>
    </w:lvl>
    <w:lvl w:ilvl="4" w:tplc="FFFFFFFF" w:tentative="1">
      <w:start w:val="1"/>
      <w:numFmt w:val="lowerLetter"/>
      <w:lvlText w:val="%5."/>
      <w:lvlJc w:val="left"/>
      <w:pPr>
        <w:ind w:left="3456" w:hanging="360"/>
      </w:pPr>
    </w:lvl>
    <w:lvl w:ilvl="5" w:tplc="FFFFFFFF" w:tentative="1">
      <w:start w:val="1"/>
      <w:numFmt w:val="lowerRoman"/>
      <w:lvlText w:val="%6."/>
      <w:lvlJc w:val="right"/>
      <w:pPr>
        <w:ind w:left="4176" w:hanging="180"/>
      </w:pPr>
    </w:lvl>
    <w:lvl w:ilvl="6" w:tplc="FFFFFFFF" w:tentative="1">
      <w:start w:val="1"/>
      <w:numFmt w:val="decimal"/>
      <w:lvlText w:val="%7."/>
      <w:lvlJc w:val="left"/>
      <w:pPr>
        <w:ind w:left="4896" w:hanging="360"/>
      </w:pPr>
    </w:lvl>
    <w:lvl w:ilvl="7" w:tplc="FFFFFFFF" w:tentative="1">
      <w:start w:val="1"/>
      <w:numFmt w:val="lowerLetter"/>
      <w:lvlText w:val="%8."/>
      <w:lvlJc w:val="left"/>
      <w:pPr>
        <w:ind w:left="5616" w:hanging="360"/>
      </w:pPr>
    </w:lvl>
    <w:lvl w:ilvl="8" w:tplc="FFFFFFFF" w:tentative="1">
      <w:start w:val="1"/>
      <w:numFmt w:val="lowerRoman"/>
      <w:lvlText w:val="%9."/>
      <w:lvlJc w:val="right"/>
      <w:pPr>
        <w:ind w:left="6336" w:hanging="180"/>
      </w:pPr>
    </w:lvl>
  </w:abstractNum>
  <w:abstractNum w:abstractNumId="123" w15:restartNumberingAfterBreak="0">
    <w:nsid w:val="579E1E27"/>
    <w:multiLevelType w:val="hybridMultilevel"/>
    <w:tmpl w:val="F7B804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589169A8"/>
    <w:multiLevelType w:val="hybridMultilevel"/>
    <w:tmpl w:val="3CFAA5A0"/>
    <w:lvl w:ilvl="0" w:tplc="6C8CD838">
      <w:start w:val="1"/>
      <w:numFmt w:val="bullet"/>
      <w:pStyle w:val="Bullet"/>
      <w:lvlText w:val=""/>
      <w:lvlJc w:val="left"/>
      <w:pPr>
        <w:ind w:left="720" w:hanging="360"/>
      </w:pPr>
      <w:rPr>
        <w:rFonts w:ascii="Symbol" w:hAnsi="Symbol" w:hint="default"/>
        <w:color w:val="000000" w:themeColor="text1"/>
        <w:sz w:val="21"/>
        <w:szCs w:val="2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5" w15:restartNumberingAfterBreak="0">
    <w:nsid w:val="592B19CD"/>
    <w:multiLevelType w:val="hybridMultilevel"/>
    <w:tmpl w:val="1C241B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59C6552C"/>
    <w:multiLevelType w:val="hybridMultilevel"/>
    <w:tmpl w:val="87204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9F307DA"/>
    <w:multiLevelType w:val="hybridMultilevel"/>
    <w:tmpl w:val="E86030DC"/>
    <w:lvl w:ilvl="0" w:tplc="618CBFFA">
      <w:start w:val="1"/>
      <w:numFmt w:val="bullet"/>
      <w:lvlText w:val=""/>
      <w:lvlJc w:val="left"/>
      <w:pPr>
        <w:ind w:left="360" w:hanging="360"/>
      </w:pPr>
      <w:rPr>
        <w:rFonts w:ascii="Symbol" w:hAnsi="Symbol" w:hint="default"/>
      </w:rPr>
    </w:lvl>
    <w:lvl w:ilvl="1" w:tplc="694C135C" w:tentative="1">
      <w:start w:val="1"/>
      <w:numFmt w:val="bullet"/>
      <w:lvlText w:val="o"/>
      <w:lvlJc w:val="left"/>
      <w:pPr>
        <w:ind w:left="1080" w:hanging="360"/>
      </w:pPr>
      <w:rPr>
        <w:rFonts w:ascii="Courier New" w:hAnsi="Courier New" w:hint="default"/>
      </w:rPr>
    </w:lvl>
    <w:lvl w:ilvl="2" w:tplc="2F30A62E" w:tentative="1">
      <w:start w:val="1"/>
      <w:numFmt w:val="bullet"/>
      <w:lvlText w:val=""/>
      <w:lvlJc w:val="left"/>
      <w:pPr>
        <w:ind w:left="1800" w:hanging="360"/>
      </w:pPr>
      <w:rPr>
        <w:rFonts w:ascii="Wingdings" w:hAnsi="Wingdings" w:hint="default"/>
      </w:rPr>
    </w:lvl>
    <w:lvl w:ilvl="3" w:tplc="DDB27E20" w:tentative="1">
      <w:start w:val="1"/>
      <w:numFmt w:val="bullet"/>
      <w:lvlText w:val=""/>
      <w:lvlJc w:val="left"/>
      <w:pPr>
        <w:ind w:left="2520" w:hanging="360"/>
      </w:pPr>
      <w:rPr>
        <w:rFonts w:ascii="Symbol" w:hAnsi="Symbol" w:hint="default"/>
      </w:rPr>
    </w:lvl>
    <w:lvl w:ilvl="4" w:tplc="2918C57A" w:tentative="1">
      <w:start w:val="1"/>
      <w:numFmt w:val="bullet"/>
      <w:lvlText w:val="o"/>
      <w:lvlJc w:val="left"/>
      <w:pPr>
        <w:ind w:left="3240" w:hanging="360"/>
      </w:pPr>
      <w:rPr>
        <w:rFonts w:ascii="Courier New" w:hAnsi="Courier New" w:hint="default"/>
      </w:rPr>
    </w:lvl>
    <w:lvl w:ilvl="5" w:tplc="53648FDA" w:tentative="1">
      <w:start w:val="1"/>
      <w:numFmt w:val="bullet"/>
      <w:lvlText w:val=""/>
      <w:lvlJc w:val="left"/>
      <w:pPr>
        <w:ind w:left="3960" w:hanging="360"/>
      </w:pPr>
      <w:rPr>
        <w:rFonts w:ascii="Wingdings" w:hAnsi="Wingdings" w:hint="default"/>
      </w:rPr>
    </w:lvl>
    <w:lvl w:ilvl="6" w:tplc="0C40385E" w:tentative="1">
      <w:start w:val="1"/>
      <w:numFmt w:val="bullet"/>
      <w:lvlText w:val=""/>
      <w:lvlJc w:val="left"/>
      <w:pPr>
        <w:ind w:left="4680" w:hanging="360"/>
      </w:pPr>
      <w:rPr>
        <w:rFonts w:ascii="Symbol" w:hAnsi="Symbol" w:hint="default"/>
      </w:rPr>
    </w:lvl>
    <w:lvl w:ilvl="7" w:tplc="ECDC5C70" w:tentative="1">
      <w:start w:val="1"/>
      <w:numFmt w:val="bullet"/>
      <w:lvlText w:val="o"/>
      <w:lvlJc w:val="left"/>
      <w:pPr>
        <w:ind w:left="5400" w:hanging="360"/>
      </w:pPr>
      <w:rPr>
        <w:rFonts w:ascii="Courier New" w:hAnsi="Courier New" w:hint="default"/>
      </w:rPr>
    </w:lvl>
    <w:lvl w:ilvl="8" w:tplc="9BC678C4" w:tentative="1">
      <w:start w:val="1"/>
      <w:numFmt w:val="bullet"/>
      <w:lvlText w:val=""/>
      <w:lvlJc w:val="left"/>
      <w:pPr>
        <w:ind w:left="6120" w:hanging="360"/>
      </w:pPr>
      <w:rPr>
        <w:rFonts w:ascii="Wingdings" w:hAnsi="Wingdings" w:hint="default"/>
      </w:rPr>
    </w:lvl>
  </w:abstractNum>
  <w:abstractNum w:abstractNumId="128" w15:restartNumberingAfterBreak="0">
    <w:nsid w:val="5A32050A"/>
    <w:multiLevelType w:val="hybridMultilevel"/>
    <w:tmpl w:val="80C22DCA"/>
    <w:lvl w:ilvl="0" w:tplc="026C644E">
      <w:start w:val="1"/>
      <w:numFmt w:val="bullet"/>
      <w:pStyle w:val="marginbullet0"/>
      <w:lvlText w:val=""/>
      <w:lvlJc w:val="left"/>
      <w:pPr>
        <w:ind w:left="720" w:hanging="360"/>
      </w:pPr>
      <w:rPr>
        <w:rFonts w:ascii="Symbol" w:hAnsi="Symbol" w:hint="default"/>
        <w:sz w:val="20"/>
        <w:szCs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9" w15:restartNumberingAfterBreak="0">
    <w:nsid w:val="5AE00ED6"/>
    <w:multiLevelType w:val="hybridMultilevel"/>
    <w:tmpl w:val="C1567F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15:restartNumberingAfterBreak="0">
    <w:nsid w:val="5B342586"/>
    <w:multiLevelType w:val="multilevel"/>
    <w:tmpl w:val="A9244BE8"/>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1" w15:restartNumberingAfterBreak="0">
    <w:nsid w:val="5C2D7A7A"/>
    <w:multiLevelType w:val="hybridMultilevel"/>
    <w:tmpl w:val="C86E97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2" w15:restartNumberingAfterBreak="0">
    <w:nsid w:val="5CB97C6F"/>
    <w:multiLevelType w:val="hybridMultilevel"/>
    <w:tmpl w:val="8FE8526C"/>
    <w:lvl w:ilvl="0" w:tplc="0409000F">
      <w:start w:val="1"/>
      <w:numFmt w:val="decimal"/>
      <w:lvlText w:val="%1."/>
      <w:lvlJc w:val="left"/>
      <w:pPr>
        <w:ind w:left="936" w:hanging="360"/>
      </w:pPr>
      <w:rPr>
        <w:rFonts w:hint="default"/>
      </w:rPr>
    </w:lvl>
    <w:lvl w:ilvl="1" w:tplc="FFFFFFFF" w:tentative="1">
      <w:start w:val="1"/>
      <w:numFmt w:val="bullet"/>
      <w:lvlText w:val="o"/>
      <w:lvlJc w:val="left"/>
      <w:pPr>
        <w:ind w:left="1656" w:hanging="360"/>
      </w:pPr>
      <w:rPr>
        <w:rFonts w:ascii="Courier New" w:hAnsi="Courier New" w:cs="Courier New" w:hint="default"/>
      </w:rPr>
    </w:lvl>
    <w:lvl w:ilvl="2" w:tplc="FFFFFFFF" w:tentative="1">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133" w15:restartNumberingAfterBreak="0">
    <w:nsid w:val="5D834624"/>
    <w:multiLevelType w:val="hybridMultilevel"/>
    <w:tmpl w:val="4FD031B8"/>
    <w:lvl w:ilvl="0" w:tplc="3438B420">
      <w:start w:val="1"/>
      <w:numFmt w:val="bullet"/>
      <w:lvlText w:val=""/>
      <w:lvlJc w:val="left"/>
      <w:pPr>
        <w:ind w:left="360" w:hanging="360"/>
      </w:pPr>
      <w:rPr>
        <w:rFonts w:ascii="Symbol" w:hAnsi="Symbol" w:hint="default"/>
      </w:rPr>
    </w:lvl>
    <w:lvl w:ilvl="1" w:tplc="DED88CFE" w:tentative="1">
      <w:start w:val="1"/>
      <w:numFmt w:val="bullet"/>
      <w:lvlText w:val="o"/>
      <w:lvlJc w:val="left"/>
      <w:pPr>
        <w:ind w:left="1080" w:hanging="360"/>
      </w:pPr>
      <w:rPr>
        <w:rFonts w:ascii="Courier New" w:hAnsi="Courier New" w:hint="default"/>
      </w:rPr>
    </w:lvl>
    <w:lvl w:ilvl="2" w:tplc="5E14BCC0" w:tentative="1">
      <w:start w:val="1"/>
      <w:numFmt w:val="bullet"/>
      <w:lvlText w:val=""/>
      <w:lvlJc w:val="left"/>
      <w:pPr>
        <w:ind w:left="1800" w:hanging="360"/>
      </w:pPr>
      <w:rPr>
        <w:rFonts w:ascii="Wingdings" w:hAnsi="Wingdings" w:hint="default"/>
      </w:rPr>
    </w:lvl>
    <w:lvl w:ilvl="3" w:tplc="9D7416A8" w:tentative="1">
      <w:start w:val="1"/>
      <w:numFmt w:val="bullet"/>
      <w:lvlText w:val=""/>
      <w:lvlJc w:val="left"/>
      <w:pPr>
        <w:ind w:left="2520" w:hanging="360"/>
      </w:pPr>
      <w:rPr>
        <w:rFonts w:ascii="Symbol" w:hAnsi="Symbol" w:hint="default"/>
      </w:rPr>
    </w:lvl>
    <w:lvl w:ilvl="4" w:tplc="99F619B0" w:tentative="1">
      <w:start w:val="1"/>
      <w:numFmt w:val="bullet"/>
      <w:lvlText w:val="o"/>
      <w:lvlJc w:val="left"/>
      <w:pPr>
        <w:ind w:left="3240" w:hanging="360"/>
      </w:pPr>
      <w:rPr>
        <w:rFonts w:ascii="Courier New" w:hAnsi="Courier New" w:hint="default"/>
      </w:rPr>
    </w:lvl>
    <w:lvl w:ilvl="5" w:tplc="CBB6B828" w:tentative="1">
      <w:start w:val="1"/>
      <w:numFmt w:val="bullet"/>
      <w:lvlText w:val=""/>
      <w:lvlJc w:val="left"/>
      <w:pPr>
        <w:ind w:left="3960" w:hanging="360"/>
      </w:pPr>
      <w:rPr>
        <w:rFonts w:ascii="Wingdings" w:hAnsi="Wingdings" w:hint="default"/>
      </w:rPr>
    </w:lvl>
    <w:lvl w:ilvl="6" w:tplc="8E445936" w:tentative="1">
      <w:start w:val="1"/>
      <w:numFmt w:val="bullet"/>
      <w:lvlText w:val=""/>
      <w:lvlJc w:val="left"/>
      <w:pPr>
        <w:ind w:left="4680" w:hanging="360"/>
      </w:pPr>
      <w:rPr>
        <w:rFonts w:ascii="Symbol" w:hAnsi="Symbol" w:hint="default"/>
      </w:rPr>
    </w:lvl>
    <w:lvl w:ilvl="7" w:tplc="E3723274" w:tentative="1">
      <w:start w:val="1"/>
      <w:numFmt w:val="bullet"/>
      <w:lvlText w:val="o"/>
      <w:lvlJc w:val="left"/>
      <w:pPr>
        <w:ind w:left="5400" w:hanging="360"/>
      </w:pPr>
      <w:rPr>
        <w:rFonts w:ascii="Courier New" w:hAnsi="Courier New" w:hint="default"/>
      </w:rPr>
    </w:lvl>
    <w:lvl w:ilvl="8" w:tplc="F9BE91C0" w:tentative="1">
      <w:start w:val="1"/>
      <w:numFmt w:val="bullet"/>
      <w:lvlText w:val=""/>
      <w:lvlJc w:val="left"/>
      <w:pPr>
        <w:ind w:left="6120" w:hanging="360"/>
      </w:pPr>
      <w:rPr>
        <w:rFonts w:ascii="Wingdings" w:hAnsi="Wingdings" w:hint="default"/>
      </w:rPr>
    </w:lvl>
  </w:abstractNum>
  <w:abstractNum w:abstractNumId="134" w15:restartNumberingAfterBreak="0">
    <w:nsid w:val="5EDC6EA4"/>
    <w:multiLevelType w:val="hybridMultilevel"/>
    <w:tmpl w:val="72EC5CBE"/>
    <w:lvl w:ilvl="0" w:tplc="4D8C7D62">
      <w:start w:val="1"/>
      <w:numFmt w:val="bullet"/>
      <w:pStyle w:val="Sub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5F755CA9"/>
    <w:multiLevelType w:val="hybridMultilevel"/>
    <w:tmpl w:val="0BEA6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6" w15:restartNumberingAfterBreak="0">
    <w:nsid w:val="5FFB6ED7"/>
    <w:multiLevelType w:val="hybridMultilevel"/>
    <w:tmpl w:val="8766D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0FB392F"/>
    <w:multiLevelType w:val="hybridMultilevel"/>
    <w:tmpl w:val="4D6A6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18620D3"/>
    <w:multiLevelType w:val="hybridMultilevel"/>
    <w:tmpl w:val="D8D85A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9" w15:restartNumberingAfterBreak="0">
    <w:nsid w:val="61CA495F"/>
    <w:multiLevelType w:val="hybridMultilevel"/>
    <w:tmpl w:val="F432D7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63395720"/>
    <w:multiLevelType w:val="hybridMultilevel"/>
    <w:tmpl w:val="A64C3704"/>
    <w:lvl w:ilvl="0" w:tplc="0409000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1" w15:restartNumberingAfterBreak="0">
    <w:nsid w:val="63F90E2E"/>
    <w:multiLevelType w:val="hybridMultilevel"/>
    <w:tmpl w:val="F2789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50A6B12"/>
    <w:multiLevelType w:val="hybridMultilevel"/>
    <w:tmpl w:val="EDDCB7FE"/>
    <w:lvl w:ilvl="0" w:tplc="E604C31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43" w15:restartNumberingAfterBreak="0">
    <w:nsid w:val="65E07F22"/>
    <w:multiLevelType w:val="hybridMultilevel"/>
    <w:tmpl w:val="DCDA1266"/>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90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65F259A"/>
    <w:multiLevelType w:val="hybridMultilevel"/>
    <w:tmpl w:val="9C748C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15:restartNumberingAfterBreak="0">
    <w:nsid w:val="68513BC2"/>
    <w:multiLevelType w:val="multilevel"/>
    <w:tmpl w:val="2DA0A0B6"/>
    <w:lvl w:ilvl="0">
      <w:start w:val="1"/>
      <w:numFmt w:val="bullet"/>
      <w:pStyle w:val="StylemarginbulletAfter12pt2"/>
      <w:lvlText w:val=""/>
      <w:lvlJc w:val="left"/>
      <w:pPr>
        <w:tabs>
          <w:tab w:val="num" w:pos="-31680"/>
        </w:tabs>
        <w:ind w:left="576" w:hanging="216"/>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9203D30"/>
    <w:multiLevelType w:val="hybridMultilevel"/>
    <w:tmpl w:val="E3804CCC"/>
    <w:lvl w:ilvl="0" w:tplc="7138114C">
      <w:numFmt w:val="bullet"/>
      <w:lvlText w:val="–"/>
      <w:lvlJc w:val="left"/>
      <w:pPr>
        <w:ind w:left="720" w:hanging="360"/>
      </w:pPr>
      <w:rPr>
        <w:rFonts w:ascii="Times New Roman" w:hAnsi="Times New Roman" w:cs="Times New Roman" w:hint="default"/>
        <w:color w:val="auto"/>
        <w:sz w:val="24"/>
        <w:szCs w:val="20"/>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7" w15:restartNumberingAfterBreak="0">
    <w:nsid w:val="69954B01"/>
    <w:multiLevelType w:val="hybridMultilevel"/>
    <w:tmpl w:val="2E6E8D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8" w15:restartNumberingAfterBreak="0">
    <w:nsid w:val="69C02951"/>
    <w:multiLevelType w:val="hybridMultilevel"/>
    <w:tmpl w:val="9154D4E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9" w15:restartNumberingAfterBreak="0">
    <w:nsid w:val="6A3824DC"/>
    <w:multiLevelType w:val="hybridMultilevel"/>
    <w:tmpl w:val="7D360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A7E3E1D"/>
    <w:multiLevelType w:val="hybridMultilevel"/>
    <w:tmpl w:val="F0AEF134"/>
    <w:lvl w:ilvl="0" w:tplc="5C84C994">
      <w:start w:val="1"/>
      <w:numFmt w:val="decimal"/>
      <w:pStyle w:val="SecondNumber"/>
      <w:lvlText w:val="%1."/>
      <w:lvlJc w:val="left"/>
      <w:pPr>
        <w:ind w:left="1440" w:hanging="360"/>
      </w:pPr>
      <w:rPr>
        <w:rFonts w:hint="default"/>
        <w:color w:val="auto"/>
        <w:sz w:val="21"/>
        <w:szCs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1" w15:restartNumberingAfterBreak="0">
    <w:nsid w:val="6AB438F3"/>
    <w:multiLevelType w:val="hybridMultilevel"/>
    <w:tmpl w:val="E2268A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AB8517D"/>
    <w:multiLevelType w:val="hybridMultilevel"/>
    <w:tmpl w:val="D1CC27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6B7C4320"/>
    <w:multiLevelType w:val="hybridMultilevel"/>
    <w:tmpl w:val="B94A03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B9F0ADF"/>
    <w:multiLevelType w:val="hybridMultilevel"/>
    <w:tmpl w:val="59DCA85A"/>
    <w:lvl w:ilvl="0" w:tplc="C8FE3C1E">
      <w:start w:val="1"/>
      <w:numFmt w:val="bullet"/>
      <w:pStyle w:val="TableBullet"/>
      <w:lvlText w:val=""/>
      <w:lvlJc w:val="left"/>
      <w:pPr>
        <w:ind w:left="720" w:hanging="360"/>
      </w:pPr>
      <w:rPr>
        <w:rFonts w:ascii="Symbol" w:hAnsi="Symbol"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6BA02364"/>
    <w:multiLevelType w:val="hybridMultilevel"/>
    <w:tmpl w:val="C2084FE2"/>
    <w:lvl w:ilvl="0" w:tplc="0FB87444">
      <w:start w:val="1"/>
      <w:numFmt w:val="decimal"/>
      <w:lvlText w:val="%1."/>
      <w:lvlJc w:val="left"/>
      <w:pPr>
        <w:ind w:left="1080" w:hanging="360"/>
      </w:pPr>
      <w:rPr>
        <w:rFonts w:hint="default"/>
        <w:sz w:val="22"/>
        <w:szCs w:val="2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6" w15:restartNumberingAfterBreak="0">
    <w:nsid w:val="6BA14232"/>
    <w:multiLevelType w:val="hybridMultilevel"/>
    <w:tmpl w:val="2DCC5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6CE442D0"/>
    <w:multiLevelType w:val="hybridMultilevel"/>
    <w:tmpl w:val="E8D83B00"/>
    <w:lvl w:ilvl="0" w:tplc="42CE6C40">
      <w:start w:val="1"/>
      <w:numFmt w:val="decimal"/>
      <w:lvlText w:val="%1."/>
      <w:lvlJc w:val="left"/>
      <w:pPr>
        <w:ind w:left="720" w:hanging="360"/>
      </w:pPr>
      <w:rPr>
        <w:rFonts w:hint="default"/>
        <w:b w:val="0"/>
        <w:i w:val="0"/>
        <w:strike w:val="0"/>
        <w:dstrike w:val="0"/>
        <w:color w:val="000000"/>
        <w:sz w:val="21"/>
        <w:szCs w:val="20"/>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6D9A6DB0"/>
    <w:multiLevelType w:val="hybridMultilevel"/>
    <w:tmpl w:val="DBCA65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9" w15:restartNumberingAfterBreak="0">
    <w:nsid w:val="6E88279A"/>
    <w:multiLevelType w:val="hybridMultilevel"/>
    <w:tmpl w:val="DFFAF9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0" w15:restartNumberingAfterBreak="0">
    <w:nsid w:val="6EFB7331"/>
    <w:multiLevelType w:val="hybridMultilevel"/>
    <w:tmpl w:val="007AA1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1" w15:restartNumberingAfterBreak="0">
    <w:nsid w:val="70874034"/>
    <w:multiLevelType w:val="hybridMultilevel"/>
    <w:tmpl w:val="A2A663AC"/>
    <w:lvl w:ilvl="0" w:tplc="890E6C1E">
      <w:start w:val="1"/>
      <w:numFmt w:val="decimal"/>
      <w:lvlText w:val="%1."/>
      <w:lvlJc w:val="left"/>
      <w:pPr>
        <w:ind w:left="720" w:hanging="360"/>
      </w:pPr>
      <w:rPr>
        <w:rFonts w:hint="default"/>
        <w:b w:val="0"/>
        <w:i w:val="0"/>
        <w:strike w:val="0"/>
        <w:dstrike w:val="0"/>
        <w:color w:val="000000"/>
        <w:sz w:val="21"/>
        <w:szCs w:val="20"/>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0BA6DF2"/>
    <w:multiLevelType w:val="hybridMultilevel"/>
    <w:tmpl w:val="10724766"/>
    <w:lvl w:ilvl="0" w:tplc="7138114C">
      <w:numFmt w:val="bullet"/>
      <w:lvlText w:val="–"/>
      <w:lvlJc w:val="left"/>
      <w:pPr>
        <w:ind w:left="720" w:hanging="360"/>
      </w:pPr>
      <w:rPr>
        <w:rFonts w:ascii="Times New Roman" w:hAnsi="Times New Roman" w:cs="Times New Roman" w:hint="default"/>
        <w:color w:val="auto"/>
        <w:sz w:val="24"/>
        <w:szCs w:val="20"/>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3" w15:restartNumberingAfterBreak="0">
    <w:nsid w:val="71941212"/>
    <w:multiLevelType w:val="hybridMultilevel"/>
    <w:tmpl w:val="E9E6D4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4" w15:restartNumberingAfterBreak="0">
    <w:nsid w:val="72AA44AF"/>
    <w:multiLevelType w:val="hybridMultilevel"/>
    <w:tmpl w:val="8FE8526C"/>
    <w:lvl w:ilvl="0" w:tplc="FFFFFFFF">
      <w:start w:val="1"/>
      <w:numFmt w:val="decimal"/>
      <w:lvlText w:val="%1."/>
      <w:lvlJc w:val="left"/>
      <w:pPr>
        <w:ind w:left="936" w:hanging="360"/>
      </w:pPr>
      <w:rPr>
        <w:rFonts w:hint="default"/>
      </w:rPr>
    </w:lvl>
    <w:lvl w:ilvl="1" w:tplc="FFFFFFFF" w:tentative="1">
      <w:start w:val="1"/>
      <w:numFmt w:val="bullet"/>
      <w:lvlText w:val="o"/>
      <w:lvlJc w:val="left"/>
      <w:pPr>
        <w:ind w:left="1656" w:hanging="360"/>
      </w:pPr>
      <w:rPr>
        <w:rFonts w:ascii="Courier New" w:hAnsi="Courier New" w:cs="Courier New" w:hint="default"/>
      </w:rPr>
    </w:lvl>
    <w:lvl w:ilvl="2" w:tplc="FFFFFFFF" w:tentative="1">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165" w15:restartNumberingAfterBreak="0">
    <w:nsid w:val="73D622EB"/>
    <w:multiLevelType w:val="hybridMultilevel"/>
    <w:tmpl w:val="B31236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6" w15:restartNumberingAfterBreak="0">
    <w:nsid w:val="74C44ADF"/>
    <w:multiLevelType w:val="hybridMultilevel"/>
    <w:tmpl w:val="453ED76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7" w15:restartNumberingAfterBreak="0">
    <w:nsid w:val="750F1D4A"/>
    <w:multiLevelType w:val="hybridMultilevel"/>
    <w:tmpl w:val="84CACF6A"/>
    <w:lvl w:ilvl="0" w:tplc="D5F6BEF2">
      <w:start w:val="1"/>
      <w:numFmt w:val="decimal"/>
      <w:lvlText w:val="%1."/>
      <w:lvlJc w:val="left"/>
      <w:pPr>
        <w:ind w:left="720" w:hanging="360"/>
      </w:pPr>
      <w:rPr>
        <w:rFonts w:hint="default"/>
        <w:b w:val="0"/>
        <w:i w:val="0"/>
        <w:strike w:val="0"/>
        <w:dstrike w:val="0"/>
        <w:color w:val="000000"/>
        <w:sz w:val="21"/>
        <w:szCs w:val="20"/>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75685BA9"/>
    <w:multiLevelType w:val="hybridMultilevel"/>
    <w:tmpl w:val="67048E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9" w15:restartNumberingAfterBreak="0">
    <w:nsid w:val="75854032"/>
    <w:multiLevelType w:val="hybridMultilevel"/>
    <w:tmpl w:val="06F40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6AF5909"/>
    <w:multiLevelType w:val="hybridMultilevel"/>
    <w:tmpl w:val="D15685B4"/>
    <w:lvl w:ilvl="0" w:tplc="63589BF0">
      <w:start w:val="1"/>
      <w:numFmt w:val="decimal"/>
      <w:pStyle w:val="FirstNumber"/>
      <w:lvlText w:val="%1."/>
      <w:lvlJc w:val="left"/>
      <w:pPr>
        <w:ind w:left="936" w:hanging="360"/>
      </w:pPr>
      <w:rPr>
        <w:rFonts w:hint="default"/>
        <w:color w:val="auto"/>
        <w:sz w:val="21"/>
        <w:szCs w:val="24"/>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71" w15:restartNumberingAfterBreak="0">
    <w:nsid w:val="76B72ABC"/>
    <w:multiLevelType w:val="hybridMultilevel"/>
    <w:tmpl w:val="768E8C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2" w15:restartNumberingAfterBreak="0">
    <w:nsid w:val="773E476E"/>
    <w:multiLevelType w:val="hybridMultilevel"/>
    <w:tmpl w:val="3E943CB2"/>
    <w:lvl w:ilvl="0" w:tplc="04090001">
      <w:start w:val="1"/>
      <w:numFmt w:val="bullet"/>
      <w:lvlText w:val=""/>
      <w:lvlJc w:val="left"/>
      <w:pPr>
        <w:tabs>
          <w:tab w:val="num" w:pos="720"/>
        </w:tabs>
        <w:ind w:left="720" w:hanging="360"/>
      </w:pPr>
      <w:rPr>
        <w:rFonts w:ascii="Symbol" w:hAnsi="Symbol" w:hint="default"/>
      </w:rPr>
    </w:lvl>
    <w:lvl w:ilvl="1" w:tplc="FFFFFFFF">
      <w:start w:val="1"/>
      <w:numFmt w:val="lowerLetter"/>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73" w15:restartNumberingAfterBreak="0">
    <w:nsid w:val="777215B5"/>
    <w:multiLevelType w:val="hybridMultilevel"/>
    <w:tmpl w:val="F3D61C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4" w15:restartNumberingAfterBreak="0">
    <w:nsid w:val="79910691"/>
    <w:multiLevelType w:val="hybridMultilevel"/>
    <w:tmpl w:val="0CEE4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9BB3BBF"/>
    <w:multiLevelType w:val="hybridMultilevel"/>
    <w:tmpl w:val="AC8AB8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6" w15:restartNumberingAfterBreak="0">
    <w:nsid w:val="7A985D10"/>
    <w:multiLevelType w:val="hybridMultilevel"/>
    <w:tmpl w:val="0FF6A334"/>
    <w:lvl w:ilvl="0" w:tplc="25E63732">
      <w:start w:val="1"/>
      <w:numFmt w:val="bullet"/>
      <w:lvlText w:val=""/>
      <w:lvlJc w:val="left"/>
      <w:pPr>
        <w:ind w:left="720" w:hanging="360"/>
      </w:pPr>
      <w:rPr>
        <w:rFonts w:ascii="Symbol" w:hAnsi="Symbol" w:hint="default"/>
        <w:sz w:val="21"/>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7AC63DE7"/>
    <w:multiLevelType w:val="hybridMultilevel"/>
    <w:tmpl w:val="F0824B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BAF44FE"/>
    <w:multiLevelType w:val="hybridMultilevel"/>
    <w:tmpl w:val="0DC0CA2E"/>
    <w:lvl w:ilvl="0" w:tplc="97FE7988">
      <w:start w:val="1"/>
      <w:numFmt w:val="decimal"/>
      <w:pStyle w:val="DocuBullet"/>
      <w:lvlText w:val="%1."/>
      <w:lvlJc w:val="left"/>
      <w:pPr>
        <w:tabs>
          <w:tab w:val="num" w:pos="720"/>
        </w:tabs>
        <w:ind w:left="720" w:hanging="720"/>
      </w:pPr>
    </w:lvl>
    <w:lvl w:ilvl="1" w:tplc="C4DA68DA">
      <w:start w:val="1"/>
      <w:numFmt w:val="decimal"/>
      <w:lvlText w:val="%2."/>
      <w:lvlJc w:val="left"/>
      <w:pPr>
        <w:tabs>
          <w:tab w:val="num" w:pos="1440"/>
        </w:tabs>
        <w:ind w:left="1440" w:hanging="720"/>
      </w:pPr>
    </w:lvl>
    <w:lvl w:ilvl="2" w:tplc="EAE27586">
      <w:start w:val="1"/>
      <w:numFmt w:val="decimal"/>
      <w:lvlText w:val="%3."/>
      <w:lvlJc w:val="left"/>
      <w:pPr>
        <w:tabs>
          <w:tab w:val="num" w:pos="2160"/>
        </w:tabs>
        <w:ind w:left="2160" w:hanging="720"/>
      </w:pPr>
    </w:lvl>
    <w:lvl w:ilvl="3" w:tplc="F134EFF6">
      <w:start w:val="1"/>
      <w:numFmt w:val="decimal"/>
      <w:lvlText w:val="%4."/>
      <w:lvlJc w:val="left"/>
      <w:pPr>
        <w:tabs>
          <w:tab w:val="num" w:pos="2880"/>
        </w:tabs>
        <w:ind w:left="2880" w:hanging="720"/>
      </w:pPr>
    </w:lvl>
    <w:lvl w:ilvl="4" w:tplc="5136D604">
      <w:start w:val="1"/>
      <w:numFmt w:val="decimal"/>
      <w:lvlText w:val="%5."/>
      <w:lvlJc w:val="left"/>
      <w:pPr>
        <w:tabs>
          <w:tab w:val="num" w:pos="3600"/>
        </w:tabs>
        <w:ind w:left="3600" w:hanging="720"/>
      </w:pPr>
    </w:lvl>
    <w:lvl w:ilvl="5" w:tplc="11E4B4EA">
      <w:start w:val="1"/>
      <w:numFmt w:val="decimal"/>
      <w:lvlText w:val="%6."/>
      <w:lvlJc w:val="left"/>
      <w:pPr>
        <w:tabs>
          <w:tab w:val="num" w:pos="4320"/>
        </w:tabs>
        <w:ind w:left="4320" w:hanging="720"/>
      </w:pPr>
    </w:lvl>
    <w:lvl w:ilvl="6" w:tplc="09381B38">
      <w:start w:val="1"/>
      <w:numFmt w:val="decimal"/>
      <w:lvlText w:val="%7."/>
      <w:lvlJc w:val="left"/>
      <w:pPr>
        <w:tabs>
          <w:tab w:val="num" w:pos="5040"/>
        </w:tabs>
        <w:ind w:left="5040" w:hanging="720"/>
      </w:pPr>
    </w:lvl>
    <w:lvl w:ilvl="7" w:tplc="93EAECCE">
      <w:start w:val="1"/>
      <w:numFmt w:val="decimal"/>
      <w:lvlText w:val="%8."/>
      <w:lvlJc w:val="left"/>
      <w:pPr>
        <w:tabs>
          <w:tab w:val="num" w:pos="5760"/>
        </w:tabs>
        <w:ind w:left="5760" w:hanging="720"/>
      </w:pPr>
    </w:lvl>
    <w:lvl w:ilvl="8" w:tplc="22CAE1B0">
      <w:start w:val="1"/>
      <w:numFmt w:val="decimal"/>
      <w:lvlText w:val="%9."/>
      <w:lvlJc w:val="left"/>
      <w:pPr>
        <w:tabs>
          <w:tab w:val="num" w:pos="6480"/>
        </w:tabs>
        <w:ind w:left="6480" w:hanging="720"/>
      </w:pPr>
    </w:lvl>
  </w:abstractNum>
  <w:abstractNum w:abstractNumId="179" w15:restartNumberingAfterBreak="0">
    <w:nsid w:val="7BD45074"/>
    <w:multiLevelType w:val="hybridMultilevel"/>
    <w:tmpl w:val="85544F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0" w15:restartNumberingAfterBreak="0">
    <w:nsid w:val="7BFC47F4"/>
    <w:multiLevelType w:val="hybridMultilevel"/>
    <w:tmpl w:val="A1EA2DDC"/>
    <w:lvl w:ilvl="0" w:tplc="0409000F">
      <w:start w:val="1"/>
      <w:numFmt w:val="decimal"/>
      <w:lvlText w:val="%1."/>
      <w:lvlJc w:val="left"/>
      <w:pPr>
        <w:tabs>
          <w:tab w:val="num" w:pos="126"/>
        </w:tabs>
        <w:ind w:left="486" w:hanging="216"/>
      </w:pPr>
      <w:rPr>
        <w:rFonts w:hint="default"/>
        <w:sz w:val="21"/>
        <w:szCs w:val="21"/>
      </w:rPr>
    </w:lvl>
    <w:lvl w:ilvl="1" w:tplc="FFFFFFFF">
      <w:start w:val="1"/>
      <w:numFmt w:val="bullet"/>
      <w:lvlText w:val="o"/>
      <w:lvlJc w:val="left"/>
      <w:pPr>
        <w:tabs>
          <w:tab w:val="num" w:pos="1350"/>
        </w:tabs>
        <w:ind w:left="1350" w:hanging="360"/>
      </w:pPr>
      <w:rPr>
        <w:rFonts w:ascii="Courier New" w:hAnsi="Courier New" w:cs="Courier New" w:hint="default"/>
      </w:rPr>
    </w:lvl>
    <w:lvl w:ilvl="2" w:tplc="FFFFFFFF" w:tentative="1">
      <w:start w:val="1"/>
      <w:numFmt w:val="bullet"/>
      <w:lvlText w:val=""/>
      <w:lvlJc w:val="left"/>
      <w:pPr>
        <w:tabs>
          <w:tab w:val="num" w:pos="2070"/>
        </w:tabs>
        <w:ind w:left="2070" w:hanging="360"/>
      </w:pPr>
      <w:rPr>
        <w:rFonts w:ascii="Wingdings" w:hAnsi="Wingdings" w:hint="default"/>
      </w:rPr>
    </w:lvl>
    <w:lvl w:ilvl="3" w:tplc="FFFFFFFF" w:tentative="1">
      <w:start w:val="1"/>
      <w:numFmt w:val="bullet"/>
      <w:lvlText w:val=""/>
      <w:lvlJc w:val="left"/>
      <w:pPr>
        <w:tabs>
          <w:tab w:val="num" w:pos="2790"/>
        </w:tabs>
        <w:ind w:left="2790" w:hanging="360"/>
      </w:pPr>
      <w:rPr>
        <w:rFonts w:ascii="Symbol" w:hAnsi="Symbol" w:hint="default"/>
      </w:rPr>
    </w:lvl>
    <w:lvl w:ilvl="4" w:tplc="FFFFFFFF" w:tentative="1">
      <w:start w:val="1"/>
      <w:numFmt w:val="bullet"/>
      <w:lvlText w:val="o"/>
      <w:lvlJc w:val="left"/>
      <w:pPr>
        <w:tabs>
          <w:tab w:val="num" w:pos="3510"/>
        </w:tabs>
        <w:ind w:left="3510" w:hanging="360"/>
      </w:pPr>
      <w:rPr>
        <w:rFonts w:ascii="Courier New" w:hAnsi="Courier New" w:cs="Courier New" w:hint="default"/>
      </w:rPr>
    </w:lvl>
    <w:lvl w:ilvl="5" w:tplc="FFFFFFFF" w:tentative="1">
      <w:start w:val="1"/>
      <w:numFmt w:val="bullet"/>
      <w:lvlText w:val=""/>
      <w:lvlJc w:val="left"/>
      <w:pPr>
        <w:tabs>
          <w:tab w:val="num" w:pos="4230"/>
        </w:tabs>
        <w:ind w:left="4230" w:hanging="360"/>
      </w:pPr>
      <w:rPr>
        <w:rFonts w:ascii="Wingdings" w:hAnsi="Wingdings" w:hint="default"/>
      </w:rPr>
    </w:lvl>
    <w:lvl w:ilvl="6" w:tplc="FFFFFFFF" w:tentative="1">
      <w:start w:val="1"/>
      <w:numFmt w:val="bullet"/>
      <w:lvlText w:val=""/>
      <w:lvlJc w:val="left"/>
      <w:pPr>
        <w:tabs>
          <w:tab w:val="num" w:pos="4950"/>
        </w:tabs>
        <w:ind w:left="4950" w:hanging="360"/>
      </w:pPr>
      <w:rPr>
        <w:rFonts w:ascii="Symbol" w:hAnsi="Symbol" w:hint="default"/>
      </w:rPr>
    </w:lvl>
    <w:lvl w:ilvl="7" w:tplc="FFFFFFFF" w:tentative="1">
      <w:start w:val="1"/>
      <w:numFmt w:val="bullet"/>
      <w:lvlText w:val="o"/>
      <w:lvlJc w:val="left"/>
      <w:pPr>
        <w:tabs>
          <w:tab w:val="num" w:pos="5670"/>
        </w:tabs>
        <w:ind w:left="5670" w:hanging="360"/>
      </w:pPr>
      <w:rPr>
        <w:rFonts w:ascii="Courier New" w:hAnsi="Courier New" w:cs="Courier New" w:hint="default"/>
      </w:rPr>
    </w:lvl>
    <w:lvl w:ilvl="8" w:tplc="FFFFFFFF" w:tentative="1">
      <w:start w:val="1"/>
      <w:numFmt w:val="bullet"/>
      <w:lvlText w:val=""/>
      <w:lvlJc w:val="left"/>
      <w:pPr>
        <w:tabs>
          <w:tab w:val="num" w:pos="6390"/>
        </w:tabs>
        <w:ind w:left="6390" w:hanging="360"/>
      </w:pPr>
      <w:rPr>
        <w:rFonts w:ascii="Wingdings" w:hAnsi="Wingdings" w:hint="default"/>
      </w:rPr>
    </w:lvl>
  </w:abstractNum>
  <w:abstractNum w:abstractNumId="181" w15:restartNumberingAfterBreak="0">
    <w:nsid w:val="7CDB3787"/>
    <w:multiLevelType w:val="hybridMultilevel"/>
    <w:tmpl w:val="5EE84D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2" w15:restartNumberingAfterBreak="0">
    <w:nsid w:val="7E16603D"/>
    <w:multiLevelType w:val="hybridMultilevel"/>
    <w:tmpl w:val="975A02AE"/>
    <w:lvl w:ilvl="0" w:tplc="5E2C509C">
      <w:start w:val="1"/>
      <w:numFmt w:val="decimal"/>
      <w:pStyle w:val="Number"/>
      <w:lvlText w:val="%1."/>
      <w:lvlJc w:val="left"/>
      <w:pPr>
        <w:ind w:left="720" w:hanging="360"/>
      </w:pPr>
      <w:rPr>
        <w:rFonts w:hint="default"/>
        <w:color w:val="auto"/>
        <w:sz w:val="22"/>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7E943CAB"/>
    <w:multiLevelType w:val="hybridMultilevel"/>
    <w:tmpl w:val="13F88CAE"/>
    <w:lvl w:ilvl="0" w:tplc="60808342">
      <w:numFmt w:val="bullet"/>
      <w:pStyle w:val="Dash"/>
      <w:lvlText w:val="–"/>
      <w:lvlJc w:val="left"/>
      <w:pPr>
        <w:ind w:left="1656" w:hanging="360"/>
      </w:pPr>
      <w:rPr>
        <w:rFonts w:ascii="Times New Roman" w:hAnsi="Times New Roman" w:hint="default"/>
        <w:color w:val="auto"/>
        <w:sz w:val="24"/>
        <w:szCs w:val="20"/>
      </w:rPr>
    </w:lvl>
    <w:lvl w:ilvl="1" w:tplc="04090003" w:tentative="1">
      <w:start w:val="1"/>
      <w:numFmt w:val="bullet"/>
      <w:lvlText w:val="o"/>
      <w:lvlJc w:val="left"/>
      <w:pPr>
        <w:ind w:left="2376" w:hanging="360"/>
      </w:pPr>
      <w:rPr>
        <w:rFonts w:ascii="Courier New" w:hAnsi="Courier New" w:cs="Courier New" w:hint="default"/>
      </w:rPr>
    </w:lvl>
    <w:lvl w:ilvl="2" w:tplc="04090005">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184" w15:restartNumberingAfterBreak="0">
    <w:nsid w:val="7EC814AB"/>
    <w:multiLevelType w:val="hybridMultilevel"/>
    <w:tmpl w:val="A098861E"/>
    <w:lvl w:ilvl="0" w:tplc="04090001">
      <w:start w:val="1"/>
      <w:numFmt w:val="bullet"/>
      <w:lvlText w:val=""/>
      <w:lvlJc w:val="left"/>
      <w:pPr>
        <w:ind w:left="720" w:hanging="360"/>
      </w:pPr>
      <w:rPr>
        <w:rFonts w:ascii="Symbol" w:hAnsi="Symbol" w:hint="default"/>
      </w:rPr>
    </w:lvl>
    <w:lvl w:ilvl="1" w:tplc="703C2120">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7FE676A9"/>
    <w:multiLevelType w:val="multilevel"/>
    <w:tmpl w:val="962211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879050">
    <w:abstractNumId w:val="40"/>
  </w:num>
  <w:num w:numId="2" w16cid:durableId="331881261">
    <w:abstractNumId w:val="83"/>
  </w:num>
  <w:num w:numId="3" w16cid:durableId="1903170547">
    <w:abstractNumId w:val="31"/>
  </w:num>
  <w:num w:numId="4" w16cid:durableId="1030379707">
    <w:abstractNumId w:val="124"/>
  </w:num>
  <w:num w:numId="5" w16cid:durableId="867832799">
    <w:abstractNumId w:val="176"/>
  </w:num>
  <w:num w:numId="6" w16cid:durableId="1376007563">
    <w:abstractNumId w:val="154"/>
  </w:num>
  <w:num w:numId="7" w16cid:durableId="1353340282">
    <w:abstractNumId w:val="86"/>
  </w:num>
  <w:num w:numId="8" w16cid:durableId="1655256691">
    <w:abstractNumId w:val="128"/>
  </w:num>
  <w:num w:numId="9" w16cid:durableId="122233961">
    <w:abstractNumId w:val="165"/>
  </w:num>
  <w:num w:numId="10" w16cid:durableId="349185045">
    <w:abstractNumId w:val="45"/>
  </w:num>
  <w:num w:numId="11" w16cid:durableId="2040275968">
    <w:abstractNumId w:val="178"/>
  </w:num>
  <w:num w:numId="12" w16cid:durableId="1269504321">
    <w:abstractNumId w:val="81"/>
  </w:num>
  <w:num w:numId="13" w16cid:durableId="382683661">
    <w:abstractNumId w:val="22"/>
  </w:num>
  <w:num w:numId="14" w16cid:durableId="2121104112">
    <w:abstractNumId w:val="172"/>
  </w:num>
  <w:num w:numId="15" w16cid:durableId="541870457">
    <w:abstractNumId w:val="46"/>
  </w:num>
  <w:num w:numId="16" w16cid:durableId="996224284">
    <w:abstractNumId w:val="134"/>
  </w:num>
  <w:num w:numId="17" w16cid:durableId="283077442">
    <w:abstractNumId w:val="145"/>
  </w:num>
  <w:num w:numId="18" w16cid:durableId="138226095">
    <w:abstractNumId w:val="144"/>
  </w:num>
  <w:num w:numId="19" w16cid:durableId="384068358">
    <w:abstractNumId w:val="1"/>
  </w:num>
  <w:num w:numId="20" w16cid:durableId="1350137650">
    <w:abstractNumId w:val="36"/>
  </w:num>
  <w:num w:numId="21" w16cid:durableId="296422703">
    <w:abstractNumId w:val="6"/>
  </w:num>
  <w:num w:numId="22" w16cid:durableId="804585591">
    <w:abstractNumId w:val="124"/>
  </w:num>
  <w:num w:numId="23" w16cid:durableId="138621640">
    <w:abstractNumId w:val="183"/>
  </w:num>
  <w:num w:numId="24" w16cid:durableId="1305741132">
    <w:abstractNumId w:val="73"/>
  </w:num>
  <w:num w:numId="25" w16cid:durableId="669017909">
    <w:abstractNumId w:val="170"/>
  </w:num>
  <w:num w:numId="26" w16cid:durableId="789789201">
    <w:abstractNumId w:val="150"/>
  </w:num>
  <w:num w:numId="27" w16cid:durableId="1702122384">
    <w:abstractNumId w:val="104"/>
  </w:num>
  <w:num w:numId="28" w16cid:durableId="1987854527">
    <w:abstractNumId w:val="113"/>
  </w:num>
  <w:num w:numId="29" w16cid:durableId="453445021">
    <w:abstractNumId w:val="118"/>
  </w:num>
  <w:num w:numId="30" w16cid:durableId="399913786">
    <w:abstractNumId w:val="182"/>
  </w:num>
  <w:num w:numId="31" w16cid:durableId="48114891">
    <w:abstractNumId w:val="66"/>
  </w:num>
  <w:num w:numId="32" w16cid:durableId="312755823">
    <w:abstractNumId w:val="74"/>
  </w:num>
  <w:num w:numId="33" w16cid:durableId="1422794937">
    <w:abstractNumId w:val="116"/>
  </w:num>
  <w:num w:numId="34" w16cid:durableId="1826971451">
    <w:abstractNumId w:val="55"/>
  </w:num>
  <w:num w:numId="35" w16cid:durableId="1842546018">
    <w:abstractNumId w:val="99"/>
  </w:num>
  <w:num w:numId="36" w16cid:durableId="987590400">
    <w:abstractNumId w:val="58"/>
  </w:num>
  <w:num w:numId="37" w16cid:durableId="462039997">
    <w:abstractNumId w:val="78"/>
  </w:num>
  <w:num w:numId="38" w16cid:durableId="964579504">
    <w:abstractNumId w:val="15"/>
  </w:num>
  <w:num w:numId="39" w16cid:durableId="1633288268">
    <w:abstractNumId w:val="50"/>
  </w:num>
  <w:num w:numId="40" w16cid:durableId="1777555621">
    <w:abstractNumId w:val="151"/>
  </w:num>
  <w:num w:numId="41" w16cid:durableId="252204251">
    <w:abstractNumId w:val="181"/>
  </w:num>
  <w:num w:numId="42" w16cid:durableId="1747915946">
    <w:abstractNumId w:val="47"/>
  </w:num>
  <w:num w:numId="43" w16cid:durableId="1014721009">
    <w:abstractNumId w:val="38"/>
  </w:num>
  <w:num w:numId="44" w16cid:durableId="1715274385">
    <w:abstractNumId w:val="54"/>
  </w:num>
  <w:num w:numId="45" w16cid:durableId="688337017">
    <w:abstractNumId w:val="138"/>
  </w:num>
  <w:num w:numId="46" w16cid:durableId="960577108">
    <w:abstractNumId w:val="120"/>
  </w:num>
  <w:num w:numId="47" w16cid:durableId="1756046658">
    <w:abstractNumId w:val="13"/>
  </w:num>
  <w:num w:numId="48" w16cid:durableId="816342405">
    <w:abstractNumId w:val="175"/>
  </w:num>
  <w:num w:numId="49" w16cid:durableId="187065933">
    <w:abstractNumId w:val="139"/>
  </w:num>
  <w:num w:numId="50" w16cid:durableId="982395912">
    <w:abstractNumId w:val="129"/>
  </w:num>
  <w:num w:numId="51" w16cid:durableId="221604215">
    <w:abstractNumId w:val="19"/>
  </w:num>
  <w:num w:numId="52" w16cid:durableId="689571573">
    <w:abstractNumId w:val="12"/>
  </w:num>
  <w:num w:numId="53" w16cid:durableId="476841760">
    <w:abstractNumId w:val="17"/>
  </w:num>
  <w:num w:numId="54" w16cid:durableId="480079847">
    <w:abstractNumId w:val="114"/>
  </w:num>
  <w:num w:numId="55" w16cid:durableId="847644005">
    <w:abstractNumId w:val="60"/>
  </w:num>
  <w:num w:numId="56" w16cid:durableId="1243952182">
    <w:abstractNumId w:val="121"/>
  </w:num>
  <w:num w:numId="57" w16cid:durableId="200751211">
    <w:abstractNumId w:val="143"/>
  </w:num>
  <w:num w:numId="58" w16cid:durableId="313410273">
    <w:abstractNumId w:val="156"/>
  </w:num>
  <w:num w:numId="59" w16cid:durableId="258173725">
    <w:abstractNumId w:val="7"/>
  </w:num>
  <w:num w:numId="60" w16cid:durableId="1081297150">
    <w:abstractNumId w:val="5"/>
  </w:num>
  <w:num w:numId="61" w16cid:durableId="399599443">
    <w:abstractNumId w:val="177"/>
  </w:num>
  <w:num w:numId="62" w16cid:durableId="793988020">
    <w:abstractNumId w:val="29"/>
  </w:num>
  <w:num w:numId="63" w16cid:durableId="559293331">
    <w:abstractNumId w:val="108"/>
  </w:num>
  <w:num w:numId="64" w16cid:durableId="255359852">
    <w:abstractNumId w:val="80"/>
  </w:num>
  <w:num w:numId="65" w16cid:durableId="829250477">
    <w:abstractNumId w:val="130"/>
  </w:num>
  <w:num w:numId="66" w16cid:durableId="1708750524">
    <w:abstractNumId w:val="69"/>
  </w:num>
  <w:num w:numId="67" w16cid:durableId="1153062701">
    <w:abstractNumId w:val="137"/>
  </w:num>
  <w:num w:numId="68" w16cid:durableId="793905807">
    <w:abstractNumId w:val="82"/>
  </w:num>
  <w:num w:numId="69" w16cid:durableId="1451707015">
    <w:abstractNumId w:val="62"/>
  </w:num>
  <w:num w:numId="70" w16cid:durableId="1473788593">
    <w:abstractNumId w:val="141"/>
  </w:num>
  <w:num w:numId="71" w16cid:durableId="1868978354">
    <w:abstractNumId w:val="53"/>
  </w:num>
  <w:num w:numId="72" w16cid:durableId="737168110">
    <w:abstractNumId w:val="112"/>
  </w:num>
  <w:num w:numId="73" w16cid:durableId="1480995944">
    <w:abstractNumId w:val="72"/>
  </w:num>
  <w:num w:numId="74" w16cid:durableId="1118599930">
    <w:abstractNumId w:val="18"/>
  </w:num>
  <w:num w:numId="75" w16cid:durableId="2122458322">
    <w:abstractNumId w:val="98"/>
  </w:num>
  <w:num w:numId="76" w16cid:durableId="1948267051">
    <w:abstractNumId w:val="67"/>
  </w:num>
  <w:num w:numId="77" w16cid:durableId="190579850">
    <w:abstractNumId w:val="28"/>
  </w:num>
  <w:num w:numId="78" w16cid:durableId="695428129">
    <w:abstractNumId w:val="61"/>
  </w:num>
  <w:num w:numId="79" w16cid:durableId="16860096">
    <w:abstractNumId w:val="142"/>
  </w:num>
  <w:num w:numId="80" w16cid:durableId="1428111904">
    <w:abstractNumId w:val="96"/>
  </w:num>
  <w:num w:numId="81" w16cid:durableId="1496650648">
    <w:abstractNumId w:val="0"/>
  </w:num>
  <w:num w:numId="82" w16cid:durableId="640502371">
    <w:abstractNumId w:val="34"/>
  </w:num>
  <w:num w:numId="83" w16cid:durableId="1958487554">
    <w:abstractNumId w:val="136"/>
  </w:num>
  <w:num w:numId="84" w16cid:durableId="376852488">
    <w:abstractNumId w:val="21"/>
  </w:num>
  <w:num w:numId="85" w16cid:durableId="181821404">
    <w:abstractNumId w:val="97"/>
  </w:num>
  <w:num w:numId="86" w16cid:durableId="34157721">
    <w:abstractNumId w:val="88"/>
  </w:num>
  <w:num w:numId="87" w16cid:durableId="1576552337">
    <w:abstractNumId w:val="109"/>
  </w:num>
  <w:num w:numId="88" w16cid:durableId="1121873950">
    <w:abstractNumId w:val="161"/>
  </w:num>
  <w:num w:numId="89" w16cid:durableId="113597146">
    <w:abstractNumId w:val="105"/>
  </w:num>
  <w:num w:numId="90" w16cid:durableId="323506904">
    <w:abstractNumId w:val="71"/>
  </w:num>
  <w:num w:numId="91" w16cid:durableId="173765461">
    <w:abstractNumId w:val="33"/>
  </w:num>
  <w:num w:numId="92" w16cid:durableId="1649481382">
    <w:abstractNumId w:val="27"/>
  </w:num>
  <w:num w:numId="93" w16cid:durableId="1734767788">
    <w:abstractNumId w:val="155"/>
  </w:num>
  <w:num w:numId="94" w16cid:durableId="718433550">
    <w:abstractNumId w:val="169"/>
  </w:num>
  <w:num w:numId="95" w16cid:durableId="983970678">
    <w:abstractNumId w:val="10"/>
  </w:num>
  <w:num w:numId="96" w16cid:durableId="2123109901">
    <w:abstractNumId w:val="79"/>
  </w:num>
  <w:num w:numId="97" w16cid:durableId="710690583">
    <w:abstractNumId w:val="174"/>
  </w:num>
  <w:num w:numId="98" w16cid:durableId="42408649">
    <w:abstractNumId w:val="101"/>
  </w:num>
  <w:num w:numId="99" w16cid:durableId="1618221322">
    <w:abstractNumId w:val="20"/>
  </w:num>
  <w:num w:numId="100" w16cid:durableId="1115059594">
    <w:abstractNumId w:val="166"/>
  </w:num>
  <w:num w:numId="101" w16cid:durableId="156268574">
    <w:abstractNumId w:val="119"/>
  </w:num>
  <w:num w:numId="102" w16cid:durableId="1779178146">
    <w:abstractNumId w:val="153"/>
  </w:num>
  <w:num w:numId="103" w16cid:durableId="2054453714">
    <w:abstractNumId w:val="56"/>
  </w:num>
  <w:num w:numId="104" w16cid:durableId="765535188">
    <w:abstractNumId w:val="16"/>
  </w:num>
  <w:num w:numId="105" w16cid:durableId="595480807">
    <w:abstractNumId w:val="59"/>
  </w:num>
  <w:num w:numId="106" w16cid:durableId="1731609047">
    <w:abstractNumId w:val="77"/>
  </w:num>
  <w:num w:numId="107" w16cid:durableId="2111847522">
    <w:abstractNumId w:val="92"/>
  </w:num>
  <w:num w:numId="108" w16cid:durableId="1878855159">
    <w:abstractNumId w:val="152"/>
  </w:num>
  <w:num w:numId="109" w16cid:durableId="1775637937">
    <w:abstractNumId w:val="123"/>
  </w:num>
  <w:num w:numId="110" w16cid:durableId="1559782913">
    <w:abstractNumId w:val="95"/>
  </w:num>
  <w:num w:numId="111" w16cid:durableId="598024188">
    <w:abstractNumId w:val="14"/>
  </w:num>
  <w:num w:numId="112" w16cid:durableId="1408501495">
    <w:abstractNumId w:val="48"/>
  </w:num>
  <w:num w:numId="113" w16cid:durableId="372508004">
    <w:abstractNumId w:val="106"/>
  </w:num>
  <w:num w:numId="114" w16cid:durableId="610088382">
    <w:abstractNumId w:val="8"/>
  </w:num>
  <w:num w:numId="115" w16cid:durableId="1839155535">
    <w:abstractNumId w:val="42"/>
  </w:num>
  <w:num w:numId="116" w16cid:durableId="1439595328">
    <w:abstractNumId w:val="39"/>
  </w:num>
  <w:num w:numId="117" w16cid:durableId="63115379">
    <w:abstractNumId w:val="100"/>
  </w:num>
  <w:num w:numId="118" w16cid:durableId="191192869">
    <w:abstractNumId w:val="133"/>
  </w:num>
  <w:num w:numId="119" w16cid:durableId="1617788911">
    <w:abstractNumId w:val="127"/>
  </w:num>
  <w:num w:numId="120" w16cid:durableId="571889327">
    <w:abstractNumId w:val="115"/>
  </w:num>
  <w:num w:numId="121" w16cid:durableId="505247615">
    <w:abstractNumId w:val="52"/>
  </w:num>
  <w:num w:numId="122" w16cid:durableId="765082630">
    <w:abstractNumId w:val="163"/>
  </w:num>
  <w:num w:numId="123" w16cid:durableId="295793484">
    <w:abstractNumId w:val="3"/>
  </w:num>
  <w:num w:numId="124" w16cid:durableId="835540206">
    <w:abstractNumId w:val="157"/>
  </w:num>
  <w:num w:numId="125" w16cid:durableId="730889469">
    <w:abstractNumId w:val="180"/>
  </w:num>
  <w:num w:numId="126" w16cid:durableId="149180557">
    <w:abstractNumId w:val="51"/>
  </w:num>
  <w:num w:numId="127" w16cid:durableId="1288002767">
    <w:abstractNumId w:val="90"/>
  </w:num>
  <w:num w:numId="128" w16cid:durableId="357513400">
    <w:abstractNumId w:val="65"/>
  </w:num>
  <w:num w:numId="129" w16cid:durableId="1535918209">
    <w:abstractNumId w:val="110"/>
  </w:num>
  <w:num w:numId="130" w16cid:durableId="238751751">
    <w:abstractNumId w:val="23"/>
  </w:num>
  <w:num w:numId="131" w16cid:durableId="255678359">
    <w:abstractNumId w:val="2"/>
  </w:num>
  <w:num w:numId="132" w16cid:durableId="872426671">
    <w:abstractNumId w:val="84"/>
  </w:num>
  <w:num w:numId="133" w16cid:durableId="1005204767">
    <w:abstractNumId w:val="75"/>
  </w:num>
  <w:num w:numId="134" w16cid:durableId="1410469797">
    <w:abstractNumId w:val="35"/>
  </w:num>
  <w:num w:numId="135" w16cid:durableId="311759269">
    <w:abstractNumId w:val="11"/>
  </w:num>
  <w:num w:numId="136" w16cid:durableId="589968210">
    <w:abstractNumId w:val="25"/>
  </w:num>
  <w:num w:numId="137" w16cid:durableId="191843243">
    <w:abstractNumId w:val="57"/>
  </w:num>
  <w:num w:numId="138" w16cid:durableId="1782337670">
    <w:abstractNumId w:val="149"/>
  </w:num>
  <w:num w:numId="139" w16cid:durableId="1648321873">
    <w:abstractNumId w:val="32"/>
  </w:num>
  <w:num w:numId="140" w16cid:durableId="454300352">
    <w:abstractNumId w:val="4"/>
  </w:num>
  <w:num w:numId="141" w16cid:durableId="77287623">
    <w:abstractNumId w:val="64"/>
  </w:num>
  <w:num w:numId="142" w16cid:durableId="615330450">
    <w:abstractNumId w:val="140"/>
  </w:num>
  <w:num w:numId="143" w16cid:durableId="149760333">
    <w:abstractNumId w:val="44"/>
  </w:num>
  <w:num w:numId="144" w16cid:durableId="813570835">
    <w:abstractNumId w:val="111"/>
  </w:num>
  <w:num w:numId="145" w16cid:durableId="294333201">
    <w:abstractNumId w:val="168"/>
  </w:num>
  <w:num w:numId="146" w16cid:durableId="1692564610">
    <w:abstractNumId w:val="158"/>
  </w:num>
  <w:num w:numId="147" w16cid:durableId="244652605">
    <w:abstractNumId w:val="102"/>
  </w:num>
  <w:num w:numId="148" w16cid:durableId="952830666">
    <w:abstractNumId w:val="26"/>
  </w:num>
  <w:num w:numId="149" w16cid:durableId="1339236981">
    <w:abstractNumId w:val="122"/>
  </w:num>
  <w:num w:numId="150" w16cid:durableId="168102687">
    <w:abstractNumId w:val="132"/>
  </w:num>
  <w:num w:numId="151" w16cid:durableId="899634579">
    <w:abstractNumId w:val="164"/>
  </w:num>
  <w:num w:numId="152" w16cid:durableId="1403219424">
    <w:abstractNumId w:val="159"/>
  </w:num>
  <w:num w:numId="153" w16cid:durableId="1649747726">
    <w:abstractNumId w:val="167"/>
  </w:num>
  <w:num w:numId="154" w16cid:durableId="1647860966">
    <w:abstractNumId w:val="70"/>
  </w:num>
  <w:num w:numId="155" w16cid:durableId="1089346341">
    <w:abstractNumId w:val="43"/>
  </w:num>
  <w:num w:numId="156" w16cid:durableId="1031762717">
    <w:abstractNumId w:val="135"/>
  </w:num>
  <w:num w:numId="157" w16cid:durableId="372536994">
    <w:abstractNumId w:val="173"/>
  </w:num>
  <w:num w:numId="158" w16cid:durableId="1769496686">
    <w:abstractNumId w:val="37"/>
  </w:num>
  <w:num w:numId="159" w16cid:durableId="1382359416">
    <w:abstractNumId w:val="87"/>
  </w:num>
  <w:num w:numId="160" w16cid:durableId="972948037">
    <w:abstractNumId w:val="68"/>
  </w:num>
  <w:num w:numId="161" w16cid:durableId="1562473768">
    <w:abstractNumId w:val="126"/>
  </w:num>
  <w:num w:numId="162" w16cid:durableId="145322003">
    <w:abstractNumId w:val="125"/>
  </w:num>
  <w:num w:numId="163" w16cid:durableId="61101341">
    <w:abstractNumId w:val="76"/>
  </w:num>
  <w:num w:numId="164" w16cid:durableId="1383360577">
    <w:abstractNumId w:val="103"/>
  </w:num>
  <w:num w:numId="165" w16cid:durableId="1546871101">
    <w:abstractNumId w:val="89"/>
  </w:num>
  <w:num w:numId="166" w16cid:durableId="797260606">
    <w:abstractNumId w:val="179"/>
  </w:num>
  <w:num w:numId="167" w16cid:durableId="706220629">
    <w:abstractNumId w:val="160"/>
  </w:num>
  <w:num w:numId="168" w16cid:durableId="338776460">
    <w:abstractNumId w:val="41"/>
  </w:num>
  <w:num w:numId="169" w16cid:durableId="1126655812">
    <w:abstractNumId w:val="49"/>
  </w:num>
  <w:num w:numId="170" w16cid:durableId="2136291382">
    <w:abstractNumId w:val="185"/>
  </w:num>
  <w:num w:numId="171" w16cid:durableId="2122340553">
    <w:abstractNumId w:val="131"/>
  </w:num>
  <w:num w:numId="172" w16cid:durableId="967786064">
    <w:abstractNumId w:val="107"/>
  </w:num>
  <w:num w:numId="173" w16cid:durableId="2056150818">
    <w:abstractNumId w:val="184"/>
  </w:num>
  <w:num w:numId="174" w16cid:durableId="1437821711">
    <w:abstractNumId w:val="171"/>
  </w:num>
  <w:num w:numId="175" w16cid:durableId="1299452366">
    <w:abstractNumId w:val="93"/>
  </w:num>
  <w:num w:numId="176" w16cid:durableId="1646817270">
    <w:abstractNumId w:val="63"/>
  </w:num>
  <w:num w:numId="177" w16cid:durableId="1555508260">
    <w:abstractNumId w:val="148"/>
  </w:num>
  <w:num w:numId="178" w16cid:durableId="1164008418">
    <w:abstractNumId w:val="85"/>
  </w:num>
  <w:num w:numId="179" w16cid:durableId="1562327342">
    <w:abstractNumId w:val="117"/>
  </w:num>
  <w:num w:numId="180" w16cid:durableId="2093500883">
    <w:abstractNumId w:val="94"/>
  </w:num>
  <w:num w:numId="181" w16cid:durableId="1966036558">
    <w:abstractNumId w:val="91"/>
  </w:num>
  <w:num w:numId="182" w16cid:durableId="828908576">
    <w:abstractNumId w:val="24"/>
  </w:num>
  <w:num w:numId="183" w16cid:durableId="401486034">
    <w:abstractNumId w:val="30"/>
  </w:num>
  <w:num w:numId="184" w16cid:durableId="532380382">
    <w:abstractNumId w:val="146"/>
  </w:num>
  <w:num w:numId="185" w16cid:durableId="589894138">
    <w:abstractNumId w:val="9"/>
  </w:num>
  <w:num w:numId="186" w16cid:durableId="1334991867">
    <w:abstractNumId w:val="147"/>
  </w:num>
  <w:num w:numId="187" w16cid:durableId="460225931">
    <w:abstractNumId w:val="162"/>
  </w:num>
  <w:numIdMacAtCleanup w:val="1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FBA"/>
    <w:rsid w:val="00000915"/>
    <w:rsid w:val="00000AF5"/>
    <w:rsid w:val="00000DFA"/>
    <w:rsid w:val="00000E7D"/>
    <w:rsid w:val="00000FED"/>
    <w:rsid w:val="00001F8A"/>
    <w:rsid w:val="00002182"/>
    <w:rsid w:val="00002459"/>
    <w:rsid w:val="00002B46"/>
    <w:rsid w:val="0000307F"/>
    <w:rsid w:val="0000320A"/>
    <w:rsid w:val="000035E4"/>
    <w:rsid w:val="00003B91"/>
    <w:rsid w:val="00003BE7"/>
    <w:rsid w:val="00003C1F"/>
    <w:rsid w:val="000042EB"/>
    <w:rsid w:val="0000465B"/>
    <w:rsid w:val="000076C5"/>
    <w:rsid w:val="00007C25"/>
    <w:rsid w:val="00010176"/>
    <w:rsid w:val="00010484"/>
    <w:rsid w:val="00011137"/>
    <w:rsid w:val="000111A5"/>
    <w:rsid w:val="000119F4"/>
    <w:rsid w:val="00011A72"/>
    <w:rsid w:val="00011C7B"/>
    <w:rsid w:val="0001212C"/>
    <w:rsid w:val="0001228E"/>
    <w:rsid w:val="00012C1A"/>
    <w:rsid w:val="00012F10"/>
    <w:rsid w:val="0001355B"/>
    <w:rsid w:val="00013836"/>
    <w:rsid w:val="000139DC"/>
    <w:rsid w:val="00013A6E"/>
    <w:rsid w:val="0001415F"/>
    <w:rsid w:val="000142C9"/>
    <w:rsid w:val="00014358"/>
    <w:rsid w:val="00014C85"/>
    <w:rsid w:val="00014E9F"/>
    <w:rsid w:val="00015721"/>
    <w:rsid w:val="00015728"/>
    <w:rsid w:val="00015B0A"/>
    <w:rsid w:val="00016375"/>
    <w:rsid w:val="00016515"/>
    <w:rsid w:val="00017453"/>
    <w:rsid w:val="00017563"/>
    <w:rsid w:val="00017732"/>
    <w:rsid w:val="000177C1"/>
    <w:rsid w:val="000179D7"/>
    <w:rsid w:val="0002091F"/>
    <w:rsid w:val="00020CC5"/>
    <w:rsid w:val="0002137C"/>
    <w:rsid w:val="00021407"/>
    <w:rsid w:val="000215F6"/>
    <w:rsid w:val="000216E1"/>
    <w:rsid w:val="00021715"/>
    <w:rsid w:val="00022124"/>
    <w:rsid w:val="00022370"/>
    <w:rsid w:val="00022487"/>
    <w:rsid w:val="000227BE"/>
    <w:rsid w:val="00022D33"/>
    <w:rsid w:val="00023638"/>
    <w:rsid w:val="00023996"/>
    <w:rsid w:val="000257C7"/>
    <w:rsid w:val="00025DD0"/>
    <w:rsid w:val="000263AF"/>
    <w:rsid w:val="0002664A"/>
    <w:rsid w:val="0002668B"/>
    <w:rsid w:val="00026C83"/>
    <w:rsid w:val="00027374"/>
    <w:rsid w:val="000273B0"/>
    <w:rsid w:val="000274CF"/>
    <w:rsid w:val="00027583"/>
    <w:rsid w:val="0002782C"/>
    <w:rsid w:val="00027959"/>
    <w:rsid w:val="00027AE1"/>
    <w:rsid w:val="00027EE6"/>
    <w:rsid w:val="000306E3"/>
    <w:rsid w:val="00030E62"/>
    <w:rsid w:val="00031AF2"/>
    <w:rsid w:val="00031AF9"/>
    <w:rsid w:val="00032D5C"/>
    <w:rsid w:val="00033062"/>
    <w:rsid w:val="000336F8"/>
    <w:rsid w:val="000340B1"/>
    <w:rsid w:val="000342E6"/>
    <w:rsid w:val="000343EC"/>
    <w:rsid w:val="00034884"/>
    <w:rsid w:val="00034F4E"/>
    <w:rsid w:val="0003538E"/>
    <w:rsid w:val="00036EDF"/>
    <w:rsid w:val="0004012A"/>
    <w:rsid w:val="00040812"/>
    <w:rsid w:val="00040892"/>
    <w:rsid w:val="00040E14"/>
    <w:rsid w:val="0004130B"/>
    <w:rsid w:val="000419F1"/>
    <w:rsid w:val="00042C42"/>
    <w:rsid w:val="00042CDF"/>
    <w:rsid w:val="00042EBB"/>
    <w:rsid w:val="00043775"/>
    <w:rsid w:val="000438CB"/>
    <w:rsid w:val="00043C86"/>
    <w:rsid w:val="00043E43"/>
    <w:rsid w:val="000441B2"/>
    <w:rsid w:val="000441B8"/>
    <w:rsid w:val="000443E1"/>
    <w:rsid w:val="000444F6"/>
    <w:rsid w:val="0004463D"/>
    <w:rsid w:val="00044F5E"/>
    <w:rsid w:val="00045288"/>
    <w:rsid w:val="00045446"/>
    <w:rsid w:val="0004551A"/>
    <w:rsid w:val="00045BA3"/>
    <w:rsid w:val="00046A1A"/>
    <w:rsid w:val="00046A24"/>
    <w:rsid w:val="000473DB"/>
    <w:rsid w:val="00050635"/>
    <w:rsid w:val="000507E1"/>
    <w:rsid w:val="00050D59"/>
    <w:rsid w:val="00051A11"/>
    <w:rsid w:val="000524C1"/>
    <w:rsid w:val="00052BBD"/>
    <w:rsid w:val="00053283"/>
    <w:rsid w:val="00053551"/>
    <w:rsid w:val="0005407E"/>
    <w:rsid w:val="0005427F"/>
    <w:rsid w:val="0005486A"/>
    <w:rsid w:val="0005493D"/>
    <w:rsid w:val="00055530"/>
    <w:rsid w:val="00055710"/>
    <w:rsid w:val="00055BFE"/>
    <w:rsid w:val="000560C5"/>
    <w:rsid w:val="00056723"/>
    <w:rsid w:val="00056A69"/>
    <w:rsid w:val="00056E8D"/>
    <w:rsid w:val="00056E9C"/>
    <w:rsid w:val="00056F34"/>
    <w:rsid w:val="00056F3E"/>
    <w:rsid w:val="00057AB7"/>
    <w:rsid w:val="00060306"/>
    <w:rsid w:val="00060344"/>
    <w:rsid w:val="000615A5"/>
    <w:rsid w:val="00061825"/>
    <w:rsid w:val="00061C66"/>
    <w:rsid w:val="00061E68"/>
    <w:rsid w:val="00061EF3"/>
    <w:rsid w:val="00062202"/>
    <w:rsid w:val="00062CBA"/>
    <w:rsid w:val="00062DE6"/>
    <w:rsid w:val="00062E47"/>
    <w:rsid w:val="00062FAD"/>
    <w:rsid w:val="00063097"/>
    <w:rsid w:val="00063174"/>
    <w:rsid w:val="00063B4C"/>
    <w:rsid w:val="00063E4A"/>
    <w:rsid w:val="00063FE9"/>
    <w:rsid w:val="00064491"/>
    <w:rsid w:val="0006480C"/>
    <w:rsid w:val="00064D7C"/>
    <w:rsid w:val="00065741"/>
    <w:rsid w:val="000658CE"/>
    <w:rsid w:val="00065E89"/>
    <w:rsid w:val="00065ECE"/>
    <w:rsid w:val="000667C6"/>
    <w:rsid w:val="0006686C"/>
    <w:rsid w:val="000669D7"/>
    <w:rsid w:val="00066B14"/>
    <w:rsid w:val="00066D16"/>
    <w:rsid w:val="0007035E"/>
    <w:rsid w:val="00070381"/>
    <w:rsid w:val="00070BFF"/>
    <w:rsid w:val="0007194A"/>
    <w:rsid w:val="000720BC"/>
    <w:rsid w:val="000722CC"/>
    <w:rsid w:val="00072F7D"/>
    <w:rsid w:val="00073739"/>
    <w:rsid w:val="0007428A"/>
    <w:rsid w:val="0007481F"/>
    <w:rsid w:val="00074C51"/>
    <w:rsid w:val="00074EE0"/>
    <w:rsid w:val="000751C8"/>
    <w:rsid w:val="000751E0"/>
    <w:rsid w:val="00075C00"/>
    <w:rsid w:val="00075CFA"/>
    <w:rsid w:val="00075EB1"/>
    <w:rsid w:val="00075EFF"/>
    <w:rsid w:val="00075FA4"/>
    <w:rsid w:val="000764B5"/>
    <w:rsid w:val="0007672A"/>
    <w:rsid w:val="00076ADF"/>
    <w:rsid w:val="00076F43"/>
    <w:rsid w:val="00077180"/>
    <w:rsid w:val="000773E6"/>
    <w:rsid w:val="000806B4"/>
    <w:rsid w:val="00080966"/>
    <w:rsid w:val="000814FB"/>
    <w:rsid w:val="000815D4"/>
    <w:rsid w:val="00081C64"/>
    <w:rsid w:val="00081DB5"/>
    <w:rsid w:val="00081F41"/>
    <w:rsid w:val="0008218A"/>
    <w:rsid w:val="0008284B"/>
    <w:rsid w:val="00083BA5"/>
    <w:rsid w:val="00083BC0"/>
    <w:rsid w:val="000842DB"/>
    <w:rsid w:val="00084A86"/>
    <w:rsid w:val="00085E89"/>
    <w:rsid w:val="000866E5"/>
    <w:rsid w:val="00086C5B"/>
    <w:rsid w:val="0008705C"/>
    <w:rsid w:val="00087465"/>
    <w:rsid w:val="000875AB"/>
    <w:rsid w:val="00087AD8"/>
    <w:rsid w:val="00087BF5"/>
    <w:rsid w:val="00090109"/>
    <w:rsid w:val="000901D1"/>
    <w:rsid w:val="00091374"/>
    <w:rsid w:val="000913A4"/>
    <w:rsid w:val="00091DE3"/>
    <w:rsid w:val="00092087"/>
    <w:rsid w:val="000925E4"/>
    <w:rsid w:val="00092668"/>
    <w:rsid w:val="0009280F"/>
    <w:rsid w:val="00092ABD"/>
    <w:rsid w:val="00093270"/>
    <w:rsid w:val="00093277"/>
    <w:rsid w:val="00093426"/>
    <w:rsid w:val="000936F0"/>
    <w:rsid w:val="000936F9"/>
    <w:rsid w:val="000943F4"/>
    <w:rsid w:val="00094CC2"/>
    <w:rsid w:val="00095736"/>
    <w:rsid w:val="00095E83"/>
    <w:rsid w:val="00095EFB"/>
    <w:rsid w:val="0009620E"/>
    <w:rsid w:val="00096341"/>
    <w:rsid w:val="00096520"/>
    <w:rsid w:val="00097385"/>
    <w:rsid w:val="00097717"/>
    <w:rsid w:val="00097DD7"/>
    <w:rsid w:val="000A007F"/>
    <w:rsid w:val="000A0080"/>
    <w:rsid w:val="000A0448"/>
    <w:rsid w:val="000A0757"/>
    <w:rsid w:val="000A089D"/>
    <w:rsid w:val="000A0ADB"/>
    <w:rsid w:val="000A0EC9"/>
    <w:rsid w:val="000A1078"/>
    <w:rsid w:val="000A1398"/>
    <w:rsid w:val="000A1694"/>
    <w:rsid w:val="000A193B"/>
    <w:rsid w:val="000A3041"/>
    <w:rsid w:val="000A329E"/>
    <w:rsid w:val="000A39FB"/>
    <w:rsid w:val="000A3ABD"/>
    <w:rsid w:val="000A419A"/>
    <w:rsid w:val="000A42E8"/>
    <w:rsid w:val="000A433A"/>
    <w:rsid w:val="000A4398"/>
    <w:rsid w:val="000A4C5F"/>
    <w:rsid w:val="000A4C90"/>
    <w:rsid w:val="000A538A"/>
    <w:rsid w:val="000A5874"/>
    <w:rsid w:val="000A6B3F"/>
    <w:rsid w:val="000A76F2"/>
    <w:rsid w:val="000A7859"/>
    <w:rsid w:val="000A785A"/>
    <w:rsid w:val="000B0683"/>
    <w:rsid w:val="000B07F4"/>
    <w:rsid w:val="000B08E2"/>
    <w:rsid w:val="000B17F5"/>
    <w:rsid w:val="000B19F1"/>
    <w:rsid w:val="000B209C"/>
    <w:rsid w:val="000B21C7"/>
    <w:rsid w:val="000B2C46"/>
    <w:rsid w:val="000B3153"/>
    <w:rsid w:val="000B3D5A"/>
    <w:rsid w:val="000B40FD"/>
    <w:rsid w:val="000B51AF"/>
    <w:rsid w:val="000B59E5"/>
    <w:rsid w:val="000B5A42"/>
    <w:rsid w:val="000B5FEC"/>
    <w:rsid w:val="000B64AB"/>
    <w:rsid w:val="000B6A2D"/>
    <w:rsid w:val="000B6CEB"/>
    <w:rsid w:val="000B7A01"/>
    <w:rsid w:val="000C0428"/>
    <w:rsid w:val="000C0DFB"/>
    <w:rsid w:val="000C1537"/>
    <w:rsid w:val="000C1ABE"/>
    <w:rsid w:val="000C1D02"/>
    <w:rsid w:val="000C23BF"/>
    <w:rsid w:val="000C27D0"/>
    <w:rsid w:val="000C2D7C"/>
    <w:rsid w:val="000C2FE6"/>
    <w:rsid w:val="000C32D8"/>
    <w:rsid w:val="000C34DE"/>
    <w:rsid w:val="000C397D"/>
    <w:rsid w:val="000C3A37"/>
    <w:rsid w:val="000C3E0B"/>
    <w:rsid w:val="000C3E85"/>
    <w:rsid w:val="000C455F"/>
    <w:rsid w:val="000C47A4"/>
    <w:rsid w:val="000C48DA"/>
    <w:rsid w:val="000C4AFB"/>
    <w:rsid w:val="000C52A3"/>
    <w:rsid w:val="000C52CD"/>
    <w:rsid w:val="000C59EF"/>
    <w:rsid w:val="000C5B9E"/>
    <w:rsid w:val="000C5C7E"/>
    <w:rsid w:val="000C5CB8"/>
    <w:rsid w:val="000C5D66"/>
    <w:rsid w:val="000C654B"/>
    <w:rsid w:val="000C6B28"/>
    <w:rsid w:val="000C6C0E"/>
    <w:rsid w:val="000C6E93"/>
    <w:rsid w:val="000C6EC0"/>
    <w:rsid w:val="000C6F2B"/>
    <w:rsid w:val="000C756E"/>
    <w:rsid w:val="000C7B7B"/>
    <w:rsid w:val="000C7BB9"/>
    <w:rsid w:val="000D014C"/>
    <w:rsid w:val="000D03EF"/>
    <w:rsid w:val="000D04B8"/>
    <w:rsid w:val="000D0584"/>
    <w:rsid w:val="000D0774"/>
    <w:rsid w:val="000D0ADF"/>
    <w:rsid w:val="000D0F0E"/>
    <w:rsid w:val="000D1DE6"/>
    <w:rsid w:val="000D1E89"/>
    <w:rsid w:val="000D2069"/>
    <w:rsid w:val="000D20D8"/>
    <w:rsid w:val="000D224A"/>
    <w:rsid w:val="000D3501"/>
    <w:rsid w:val="000D3844"/>
    <w:rsid w:val="000D45FB"/>
    <w:rsid w:val="000D55FF"/>
    <w:rsid w:val="000D5B38"/>
    <w:rsid w:val="000D64D7"/>
    <w:rsid w:val="000D759F"/>
    <w:rsid w:val="000E02E4"/>
    <w:rsid w:val="000E06AB"/>
    <w:rsid w:val="000E1060"/>
    <w:rsid w:val="000E13EC"/>
    <w:rsid w:val="000E13F2"/>
    <w:rsid w:val="000E1608"/>
    <w:rsid w:val="000E169A"/>
    <w:rsid w:val="000E1704"/>
    <w:rsid w:val="000E1C07"/>
    <w:rsid w:val="000E23D6"/>
    <w:rsid w:val="000E2437"/>
    <w:rsid w:val="000E2B7B"/>
    <w:rsid w:val="000E2BE1"/>
    <w:rsid w:val="000E2EF1"/>
    <w:rsid w:val="000E38EA"/>
    <w:rsid w:val="000E3D19"/>
    <w:rsid w:val="000E4058"/>
    <w:rsid w:val="000E4192"/>
    <w:rsid w:val="000E4305"/>
    <w:rsid w:val="000E4681"/>
    <w:rsid w:val="000E4D66"/>
    <w:rsid w:val="000E4DF0"/>
    <w:rsid w:val="000E4E37"/>
    <w:rsid w:val="000E5AFA"/>
    <w:rsid w:val="000E5FE9"/>
    <w:rsid w:val="000E6134"/>
    <w:rsid w:val="000E7626"/>
    <w:rsid w:val="000E7826"/>
    <w:rsid w:val="000F0113"/>
    <w:rsid w:val="000F0674"/>
    <w:rsid w:val="000F0DC5"/>
    <w:rsid w:val="000F13C7"/>
    <w:rsid w:val="000F142F"/>
    <w:rsid w:val="000F4B09"/>
    <w:rsid w:val="000F5556"/>
    <w:rsid w:val="000F5663"/>
    <w:rsid w:val="000F587D"/>
    <w:rsid w:val="000F592A"/>
    <w:rsid w:val="000F594C"/>
    <w:rsid w:val="000F5E7E"/>
    <w:rsid w:val="000F6528"/>
    <w:rsid w:val="000F65FC"/>
    <w:rsid w:val="000F70A0"/>
    <w:rsid w:val="000F70AA"/>
    <w:rsid w:val="000F72D1"/>
    <w:rsid w:val="000F7999"/>
    <w:rsid w:val="000F79BB"/>
    <w:rsid w:val="00100221"/>
    <w:rsid w:val="001011C0"/>
    <w:rsid w:val="001017E0"/>
    <w:rsid w:val="00103718"/>
    <w:rsid w:val="001037C4"/>
    <w:rsid w:val="001038FB"/>
    <w:rsid w:val="001039D8"/>
    <w:rsid w:val="00104446"/>
    <w:rsid w:val="00105704"/>
    <w:rsid w:val="00105979"/>
    <w:rsid w:val="00106945"/>
    <w:rsid w:val="00106B23"/>
    <w:rsid w:val="00107332"/>
    <w:rsid w:val="001077C1"/>
    <w:rsid w:val="001100EF"/>
    <w:rsid w:val="0011030E"/>
    <w:rsid w:val="00110451"/>
    <w:rsid w:val="0011054D"/>
    <w:rsid w:val="0011079D"/>
    <w:rsid w:val="00111207"/>
    <w:rsid w:val="00112A2A"/>
    <w:rsid w:val="00112BA1"/>
    <w:rsid w:val="00112CF4"/>
    <w:rsid w:val="00112F6A"/>
    <w:rsid w:val="00113386"/>
    <w:rsid w:val="0011376E"/>
    <w:rsid w:val="00113A38"/>
    <w:rsid w:val="00113BCD"/>
    <w:rsid w:val="00114134"/>
    <w:rsid w:val="00114B1E"/>
    <w:rsid w:val="00115215"/>
    <w:rsid w:val="0011563F"/>
    <w:rsid w:val="001160A2"/>
    <w:rsid w:val="0011678C"/>
    <w:rsid w:val="00116ED0"/>
    <w:rsid w:val="00117323"/>
    <w:rsid w:val="00117E62"/>
    <w:rsid w:val="00117EE3"/>
    <w:rsid w:val="00117EE5"/>
    <w:rsid w:val="00120483"/>
    <w:rsid w:val="00120D3A"/>
    <w:rsid w:val="00121492"/>
    <w:rsid w:val="00121867"/>
    <w:rsid w:val="00121BDB"/>
    <w:rsid w:val="001223E4"/>
    <w:rsid w:val="00122522"/>
    <w:rsid w:val="00122752"/>
    <w:rsid w:val="00122A34"/>
    <w:rsid w:val="00122E51"/>
    <w:rsid w:val="00123146"/>
    <w:rsid w:val="00123799"/>
    <w:rsid w:val="0012386B"/>
    <w:rsid w:val="00124114"/>
    <w:rsid w:val="0012434A"/>
    <w:rsid w:val="001246F2"/>
    <w:rsid w:val="00124982"/>
    <w:rsid w:val="0012533F"/>
    <w:rsid w:val="00125B2E"/>
    <w:rsid w:val="00126056"/>
    <w:rsid w:val="0012613C"/>
    <w:rsid w:val="0012632C"/>
    <w:rsid w:val="00126373"/>
    <w:rsid w:val="00126892"/>
    <w:rsid w:val="00126ADE"/>
    <w:rsid w:val="00126CB7"/>
    <w:rsid w:val="001271BA"/>
    <w:rsid w:val="001272BD"/>
    <w:rsid w:val="001279C1"/>
    <w:rsid w:val="00127E46"/>
    <w:rsid w:val="00130470"/>
    <w:rsid w:val="001319A7"/>
    <w:rsid w:val="00131A5C"/>
    <w:rsid w:val="00132606"/>
    <w:rsid w:val="00133187"/>
    <w:rsid w:val="001331BD"/>
    <w:rsid w:val="0013331D"/>
    <w:rsid w:val="001333C5"/>
    <w:rsid w:val="00133573"/>
    <w:rsid w:val="00133808"/>
    <w:rsid w:val="00133885"/>
    <w:rsid w:val="00133A1B"/>
    <w:rsid w:val="00134CCC"/>
    <w:rsid w:val="00135D84"/>
    <w:rsid w:val="001363B1"/>
    <w:rsid w:val="00140159"/>
    <w:rsid w:val="00140CCF"/>
    <w:rsid w:val="00141F92"/>
    <w:rsid w:val="001425D8"/>
    <w:rsid w:val="00142D7B"/>
    <w:rsid w:val="00143CA2"/>
    <w:rsid w:val="00145363"/>
    <w:rsid w:val="001455D9"/>
    <w:rsid w:val="00145608"/>
    <w:rsid w:val="0014588A"/>
    <w:rsid w:val="00145B1D"/>
    <w:rsid w:val="00145CFF"/>
    <w:rsid w:val="00145FFF"/>
    <w:rsid w:val="001469CB"/>
    <w:rsid w:val="00147273"/>
    <w:rsid w:val="00147367"/>
    <w:rsid w:val="00147529"/>
    <w:rsid w:val="00150DFB"/>
    <w:rsid w:val="00150F76"/>
    <w:rsid w:val="00151586"/>
    <w:rsid w:val="001518D6"/>
    <w:rsid w:val="00151EE6"/>
    <w:rsid w:val="00152821"/>
    <w:rsid w:val="00152C92"/>
    <w:rsid w:val="00152FCA"/>
    <w:rsid w:val="00153685"/>
    <w:rsid w:val="001537B1"/>
    <w:rsid w:val="00153EDC"/>
    <w:rsid w:val="0015448F"/>
    <w:rsid w:val="00154555"/>
    <w:rsid w:val="001546BA"/>
    <w:rsid w:val="001547A6"/>
    <w:rsid w:val="00154C06"/>
    <w:rsid w:val="0015536A"/>
    <w:rsid w:val="0015649A"/>
    <w:rsid w:val="0015699E"/>
    <w:rsid w:val="00156EA2"/>
    <w:rsid w:val="001571A2"/>
    <w:rsid w:val="001575CC"/>
    <w:rsid w:val="0015768D"/>
    <w:rsid w:val="00160184"/>
    <w:rsid w:val="00160194"/>
    <w:rsid w:val="0016021C"/>
    <w:rsid w:val="001609EC"/>
    <w:rsid w:val="00161615"/>
    <w:rsid w:val="00161B68"/>
    <w:rsid w:val="00162E91"/>
    <w:rsid w:val="001633E2"/>
    <w:rsid w:val="00163A64"/>
    <w:rsid w:val="00163AE5"/>
    <w:rsid w:val="00163F7E"/>
    <w:rsid w:val="00163F9F"/>
    <w:rsid w:val="00164516"/>
    <w:rsid w:val="00164617"/>
    <w:rsid w:val="00164CA3"/>
    <w:rsid w:val="001652DF"/>
    <w:rsid w:val="00165431"/>
    <w:rsid w:val="001657B9"/>
    <w:rsid w:val="001657EF"/>
    <w:rsid w:val="00165EEF"/>
    <w:rsid w:val="00165F5F"/>
    <w:rsid w:val="0016622F"/>
    <w:rsid w:val="00166275"/>
    <w:rsid w:val="00166369"/>
    <w:rsid w:val="0016690E"/>
    <w:rsid w:val="0017001E"/>
    <w:rsid w:val="001704FB"/>
    <w:rsid w:val="0017167E"/>
    <w:rsid w:val="001717EE"/>
    <w:rsid w:val="00171BCF"/>
    <w:rsid w:val="00171D67"/>
    <w:rsid w:val="00171DE4"/>
    <w:rsid w:val="00171EC5"/>
    <w:rsid w:val="00172D36"/>
    <w:rsid w:val="001731F7"/>
    <w:rsid w:val="00173DB9"/>
    <w:rsid w:val="0017422C"/>
    <w:rsid w:val="001760A4"/>
    <w:rsid w:val="0017653C"/>
    <w:rsid w:val="00176645"/>
    <w:rsid w:val="00176DB5"/>
    <w:rsid w:val="001772C1"/>
    <w:rsid w:val="001773BC"/>
    <w:rsid w:val="0017777C"/>
    <w:rsid w:val="001778C8"/>
    <w:rsid w:val="001778D7"/>
    <w:rsid w:val="0018044E"/>
    <w:rsid w:val="00180C5E"/>
    <w:rsid w:val="00181057"/>
    <w:rsid w:val="00181B57"/>
    <w:rsid w:val="00182357"/>
    <w:rsid w:val="00182C32"/>
    <w:rsid w:val="00182F86"/>
    <w:rsid w:val="00183B78"/>
    <w:rsid w:val="001842DF"/>
    <w:rsid w:val="00184418"/>
    <w:rsid w:val="001849B6"/>
    <w:rsid w:val="00184AB3"/>
    <w:rsid w:val="00184E53"/>
    <w:rsid w:val="00184EC2"/>
    <w:rsid w:val="00186010"/>
    <w:rsid w:val="00186173"/>
    <w:rsid w:val="00186258"/>
    <w:rsid w:val="001864C2"/>
    <w:rsid w:val="001900AB"/>
    <w:rsid w:val="00190BC7"/>
    <w:rsid w:val="00191664"/>
    <w:rsid w:val="0019184E"/>
    <w:rsid w:val="00191CB9"/>
    <w:rsid w:val="00192720"/>
    <w:rsid w:val="00193178"/>
    <w:rsid w:val="001933D7"/>
    <w:rsid w:val="001946AF"/>
    <w:rsid w:val="001946D2"/>
    <w:rsid w:val="001947AD"/>
    <w:rsid w:val="001949B3"/>
    <w:rsid w:val="00194B24"/>
    <w:rsid w:val="0019576C"/>
    <w:rsid w:val="00195C5C"/>
    <w:rsid w:val="0019603A"/>
    <w:rsid w:val="00196448"/>
    <w:rsid w:val="00196AD2"/>
    <w:rsid w:val="00196C55"/>
    <w:rsid w:val="0019714A"/>
    <w:rsid w:val="00197157"/>
    <w:rsid w:val="0019718E"/>
    <w:rsid w:val="0019733C"/>
    <w:rsid w:val="0019793B"/>
    <w:rsid w:val="00197A31"/>
    <w:rsid w:val="001A02AC"/>
    <w:rsid w:val="001A0652"/>
    <w:rsid w:val="001A131B"/>
    <w:rsid w:val="001A186E"/>
    <w:rsid w:val="001A2B00"/>
    <w:rsid w:val="001A3026"/>
    <w:rsid w:val="001A3359"/>
    <w:rsid w:val="001A35BF"/>
    <w:rsid w:val="001A3C60"/>
    <w:rsid w:val="001A3D1A"/>
    <w:rsid w:val="001A48D6"/>
    <w:rsid w:val="001A4B54"/>
    <w:rsid w:val="001A4E01"/>
    <w:rsid w:val="001A5280"/>
    <w:rsid w:val="001A5E8B"/>
    <w:rsid w:val="001A696C"/>
    <w:rsid w:val="001A6C29"/>
    <w:rsid w:val="001A6C77"/>
    <w:rsid w:val="001A70CC"/>
    <w:rsid w:val="001A714A"/>
    <w:rsid w:val="001A739F"/>
    <w:rsid w:val="001A7845"/>
    <w:rsid w:val="001A785D"/>
    <w:rsid w:val="001B0105"/>
    <w:rsid w:val="001B0A0A"/>
    <w:rsid w:val="001B1064"/>
    <w:rsid w:val="001B247F"/>
    <w:rsid w:val="001B266D"/>
    <w:rsid w:val="001B2792"/>
    <w:rsid w:val="001B2997"/>
    <w:rsid w:val="001B2A63"/>
    <w:rsid w:val="001B2B1B"/>
    <w:rsid w:val="001B327E"/>
    <w:rsid w:val="001B3312"/>
    <w:rsid w:val="001B3561"/>
    <w:rsid w:val="001B3B5C"/>
    <w:rsid w:val="001B3FC3"/>
    <w:rsid w:val="001B3FED"/>
    <w:rsid w:val="001B4C70"/>
    <w:rsid w:val="001B4D44"/>
    <w:rsid w:val="001B54A1"/>
    <w:rsid w:val="001B55AB"/>
    <w:rsid w:val="001B5DBD"/>
    <w:rsid w:val="001B6EFF"/>
    <w:rsid w:val="001B7B7D"/>
    <w:rsid w:val="001C0686"/>
    <w:rsid w:val="001C0D7A"/>
    <w:rsid w:val="001C2133"/>
    <w:rsid w:val="001C23BE"/>
    <w:rsid w:val="001C2521"/>
    <w:rsid w:val="001C352A"/>
    <w:rsid w:val="001C3871"/>
    <w:rsid w:val="001C3D74"/>
    <w:rsid w:val="001C4BB5"/>
    <w:rsid w:val="001C5829"/>
    <w:rsid w:val="001C6789"/>
    <w:rsid w:val="001C6908"/>
    <w:rsid w:val="001C6EB9"/>
    <w:rsid w:val="001C7158"/>
    <w:rsid w:val="001D04A8"/>
    <w:rsid w:val="001D0556"/>
    <w:rsid w:val="001D07AC"/>
    <w:rsid w:val="001D0C23"/>
    <w:rsid w:val="001D10DA"/>
    <w:rsid w:val="001D1152"/>
    <w:rsid w:val="001D1564"/>
    <w:rsid w:val="001D15CF"/>
    <w:rsid w:val="001D1B84"/>
    <w:rsid w:val="001D1F37"/>
    <w:rsid w:val="001D21B1"/>
    <w:rsid w:val="001D21DF"/>
    <w:rsid w:val="001D258A"/>
    <w:rsid w:val="001D264E"/>
    <w:rsid w:val="001D297D"/>
    <w:rsid w:val="001D2E38"/>
    <w:rsid w:val="001D30D9"/>
    <w:rsid w:val="001D345F"/>
    <w:rsid w:val="001D372A"/>
    <w:rsid w:val="001D39EE"/>
    <w:rsid w:val="001D3CED"/>
    <w:rsid w:val="001D45D1"/>
    <w:rsid w:val="001D54E7"/>
    <w:rsid w:val="001D56C0"/>
    <w:rsid w:val="001D581B"/>
    <w:rsid w:val="001D62C0"/>
    <w:rsid w:val="001D6A98"/>
    <w:rsid w:val="001D705E"/>
    <w:rsid w:val="001D711C"/>
    <w:rsid w:val="001D7708"/>
    <w:rsid w:val="001D7907"/>
    <w:rsid w:val="001E0597"/>
    <w:rsid w:val="001E0C7C"/>
    <w:rsid w:val="001E149D"/>
    <w:rsid w:val="001E23F2"/>
    <w:rsid w:val="001E2960"/>
    <w:rsid w:val="001E2D0B"/>
    <w:rsid w:val="001E3236"/>
    <w:rsid w:val="001E3756"/>
    <w:rsid w:val="001E380E"/>
    <w:rsid w:val="001E385D"/>
    <w:rsid w:val="001E3CD1"/>
    <w:rsid w:val="001E54D9"/>
    <w:rsid w:val="001E5579"/>
    <w:rsid w:val="001E593B"/>
    <w:rsid w:val="001E67F5"/>
    <w:rsid w:val="001E73BF"/>
    <w:rsid w:val="001E7DCD"/>
    <w:rsid w:val="001E7F53"/>
    <w:rsid w:val="001F01B6"/>
    <w:rsid w:val="001F064C"/>
    <w:rsid w:val="001F089C"/>
    <w:rsid w:val="001F0DF4"/>
    <w:rsid w:val="001F166B"/>
    <w:rsid w:val="001F18C7"/>
    <w:rsid w:val="001F1AF3"/>
    <w:rsid w:val="001F2929"/>
    <w:rsid w:val="001F3160"/>
    <w:rsid w:val="001F3984"/>
    <w:rsid w:val="001F4084"/>
    <w:rsid w:val="001F43E8"/>
    <w:rsid w:val="001F4594"/>
    <w:rsid w:val="001F579F"/>
    <w:rsid w:val="001F5AE6"/>
    <w:rsid w:val="001F64D1"/>
    <w:rsid w:val="001F715F"/>
    <w:rsid w:val="001F7197"/>
    <w:rsid w:val="001F7536"/>
    <w:rsid w:val="001F768B"/>
    <w:rsid w:val="002005EF"/>
    <w:rsid w:val="00201170"/>
    <w:rsid w:val="002012CF"/>
    <w:rsid w:val="00201804"/>
    <w:rsid w:val="002024C2"/>
    <w:rsid w:val="002030EE"/>
    <w:rsid w:val="00203631"/>
    <w:rsid w:val="00203848"/>
    <w:rsid w:val="00203A01"/>
    <w:rsid w:val="00203DFE"/>
    <w:rsid w:val="00203FE1"/>
    <w:rsid w:val="0020438D"/>
    <w:rsid w:val="00204967"/>
    <w:rsid w:val="00204C83"/>
    <w:rsid w:val="00204FDE"/>
    <w:rsid w:val="00205061"/>
    <w:rsid w:val="00205AAA"/>
    <w:rsid w:val="0020619C"/>
    <w:rsid w:val="002062F9"/>
    <w:rsid w:val="002070D7"/>
    <w:rsid w:val="00207451"/>
    <w:rsid w:val="0021002E"/>
    <w:rsid w:val="002100F8"/>
    <w:rsid w:val="002106E4"/>
    <w:rsid w:val="00210890"/>
    <w:rsid w:val="00210D50"/>
    <w:rsid w:val="00210F96"/>
    <w:rsid w:val="002116F4"/>
    <w:rsid w:val="00211B66"/>
    <w:rsid w:val="00212974"/>
    <w:rsid w:val="00212C3A"/>
    <w:rsid w:val="00213666"/>
    <w:rsid w:val="00213C48"/>
    <w:rsid w:val="002140DD"/>
    <w:rsid w:val="0021428F"/>
    <w:rsid w:val="002144CE"/>
    <w:rsid w:val="00214AF6"/>
    <w:rsid w:val="0021550A"/>
    <w:rsid w:val="00215827"/>
    <w:rsid w:val="0021584B"/>
    <w:rsid w:val="00215872"/>
    <w:rsid w:val="00216D64"/>
    <w:rsid w:val="0021780F"/>
    <w:rsid w:val="00217A1C"/>
    <w:rsid w:val="00217FED"/>
    <w:rsid w:val="00220B55"/>
    <w:rsid w:val="00220E16"/>
    <w:rsid w:val="00221FB0"/>
    <w:rsid w:val="00223424"/>
    <w:rsid w:val="002235A6"/>
    <w:rsid w:val="00223713"/>
    <w:rsid w:val="002241DE"/>
    <w:rsid w:val="00224235"/>
    <w:rsid w:val="00224663"/>
    <w:rsid w:val="002251F2"/>
    <w:rsid w:val="00225DF4"/>
    <w:rsid w:val="002264C2"/>
    <w:rsid w:val="0022671A"/>
    <w:rsid w:val="00226B92"/>
    <w:rsid w:val="00227379"/>
    <w:rsid w:val="00227467"/>
    <w:rsid w:val="0023026B"/>
    <w:rsid w:val="00230C4A"/>
    <w:rsid w:val="00230D37"/>
    <w:rsid w:val="00230F43"/>
    <w:rsid w:val="002315EC"/>
    <w:rsid w:val="002316DD"/>
    <w:rsid w:val="0023183B"/>
    <w:rsid w:val="00231BA8"/>
    <w:rsid w:val="00231F1C"/>
    <w:rsid w:val="00232081"/>
    <w:rsid w:val="002322BE"/>
    <w:rsid w:val="00233911"/>
    <w:rsid w:val="002340C3"/>
    <w:rsid w:val="002342C8"/>
    <w:rsid w:val="0023492D"/>
    <w:rsid w:val="00234C56"/>
    <w:rsid w:val="00234D7A"/>
    <w:rsid w:val="002355CC"/>
    <w:rsid w:val="002361CD"/>
    <w:rsid w:val="002366AC"/>
    <w:rsid w:val="00236D26"/>
    <w:rsid w:val="002374BB"/>
    <w:rsid w:val="0023755C"/>
    <w:rsid w:val="002375CA"/>
    <w:rsid w:val="0024004B"/>
    <w:rsid w:val="0024028E"/>
    <w:rsid w:val="002412BB"/>
    <w:rsid w:val="00241A0C"/>
    <w:rsid w:val="002422C0"/>
    <w:rsid w:val="00242976"/>
    <w:rsid w:val="00242EF2"/>
    <w:rsid w:val="00243049"/>
    <w:rsid w:val="00243205"/>
    <w:rsid w:val="002438D0"/>
    <w:rsid w:val="00243F57"/>
    <w:rsid w:val="0024491B"/>
    <w:rsid w:val="00244D0B"/>
    <w:rsid w:val="002458D5"/>
    <w:rsid w:val="00245C94"/>
    <w:rsid w:val="00246493"/>
    <w:rsid w:val="002465BF"/>
    <w:rsid w:val="00246AF3"/>
    <w:rsid w:val="00246CAC"/>
    <w:rsid w:val="00246E72"/>
    <w:rsid w:val="0024724E"/>
    <w:rsid w:val="002472AE"/>
    <w:rsid w:val="002504C2"/>
    <w:rsid w:val="00250759"/>
    <w:rsid w:val="00250CCE"/>
    <w:rsid w:val="00250D6E"/>
    <w:rsid w:val="002510AD"/>
    <w:rsid w:val="002510B4"/>
    <w:rsid w:val="00251C79"/>
    <w:rsid w:val="00251E25"/>
    <w:rsid w:val="00252EFA"/>
    <w:rsid w:val="0025331D"/>
    <w:rsid w:val="002533FE"/>
    <w:rsid w:val="00253484"/>
    <w:rsid w:val="00253ABF"/>
    <w:rsid w:val="00253AF4"/>
    <w:rsid w:val="00253B0A"/>
    <w:rsid w:val="00253F8B"/>
    <w:rsid w:val="002557D8"/>
    <w:rsid w:val="00255E41"/>
    <w:rsid w:val="002561F8"/>
    <w:rsid w:val="00256216"/>
    <w:rsid w:val="002566F5"/>
    <w:rsid w:val="00257E81"/>
    <w:rsid w:val="002601D3"/>
    <w:rsid w:val="00260999"/>
    <w:rsid w:val="002609C2"/>
    <w:rsid w:val="0026136D"/>
    <w:rsid w:val="002619A8"/>
    <w:rsid w:val="00261E4D"/>
    <w:rsid w:val="002628D5"/>
    <w:rsid w:val="00262C37"/>
    <w:rsid w:val="002635DC"/>
    <w:rsid w:val="002637A6"/>
    <w:rsid w:val="002637EC"/>
    <w:rsid w:val="00263956"/>
    <w:rsid w:val="0026422A"/>
    <w:rsid w:val="002643C5"/>
    <w:rsid w:val="00264867"/>
    <w:rsid w:val="00264A97"/>
    <w:rsid w:val="00265866"/>
    <w:rsid w:val="00265DD3"/>
    <w:rsid w:val="00266893"/>
    <w:rsid w:val="002672BA"/>
    <w:rsid w:val="0026758D"/>
    <w:rsid w:val="00267E7D"/>
    <w:rsid w:val="0027071D"/>
    <w:rsid w:val="00270CF2"/>
    <w:rsid w:val="00271325"/>
    <w:rsid w:val="0027164E"/>
    <w:rsid w:val="00271D7A"/>
    <w:rsid w:val="00271FB5"/>
    <w:rsid w:val="0027209D"/>
    <w:rsid w:val="002723F2"/>
    <w:rsid w:val="0027285B"/>
    <w:rsid w:val="002728C9"/>
    <w:rsid w:val="00272B07"/>
    <w:rsid w:val="002746F7"/>
    <w:rsid w:val="00274862"/>
    <w:rsid w:val="00275579"/>
    <w:rsid w:val="00275B11"/>
    <w:rsid w:val="00275D23"/>
    <w:rsid w:val="00275F82"/>
    <w:rsid w:val="00276497"/>
    <w:rsid w:val="00276503"/>
    <w:rsid w:val="00276D4F"/>
    <w:rsid w:val="00277140"/>
    <w:rsid w:val="00277C9E"/>
    <w:rsid w:val="00277E0E"/>
    <w:rsid w:val="002814F6"/>
    <w:rsid w:val="0028197C"/>
    <w:rsid w:val="002819C4"/>
    <w:rsid w:val="002823A2"/>
    <w:rsid w:val="002827CE"/>
    <w:rsid w:val="00282968"/>
    <w:rsid w:val="00282C88"/>
    <w:rsid w:val="00283F16"/>
    <w:rsid w:val="00283FAA"/>
    <w:rsid w:val="00284127"/>
    <w:rsid w:val="00284711"/>
    <w:rsid w:val="00284879"/>
    <w:rsid w:val="00284AE1"/>
    <w:rsid w:val="002853FF"/>
    <w:rsid w:val="00285652"/>
    <w:rsid w:val="00285A82"/>
    <w:rsid w:val="00285B02"/>
    <w:rsid w:val="00285DAF"/>
    <w:rsid w:val="00285F20"/>
    <w:rsid w:val="00286D3D"/>
    <w:rsid w:val="00286EC8"/>
    <w:rsid w:val="00286EFF"/>
    <w:rsid w:val="0028714A"/>
    <w:rsid w:val="002874B4"/>
    <w:rsid w:val="00287A8B"/>
    <w:rsid w:val="00287C32"/>
    <w:rsid w:val="00290629"/>
    <w:rsid w:val="002908A5"/>
    <w:rsid w:val="0029184F"/>
    <w:rsid w:val="0029241D"/>
    <w:rsid w:val="00292466"/>
    <w:rsid w:val="002924AD"/>
    <w:rsid w:val="00293F8D"/>
    <w:rsid w:val="0029463C"/>
    <w:rsid w:val="00294BE7"/>
    <w:rsid w:val="00294CCC"/>
    <w:rsid w:val="002957B7"/>
    <w:rsid w:val="002958DD"/>
    <w:rsid w:val="00295FDF"/>
    <w:rsid w:val="00296B02"/>
    <w:rsid w:val="00296B47"/>
    <w:rsid w:val="00296EEB"/>
    <w:rsid w:val="00297882"/>
    <w:rsid w:val="002A0099"/>
    <w:rsid w:val="002A0337"/>
    <w:rsid w:val="002A1026"/>
    <w:rsid w:val="002A1206"/>
    <w:rsid w:val="002A13AB"/>
    <w:rsid w:val="002A1CE5"/>
    <w:rsid w:val="002A21F6"/>
    <w:rsid w:val="002A2414"/>
    <w:rsid w:val="002A2796"/>
    <w:rsid w:val="002A2CD9"/>
    <w:rsid w:val="002A32E3"/>
    <w:rsid w:val="002A3663"/>
    <w:rsid w:val="002A44D1"/>
    <w:rsid w:val="002A469B"/>
    <w:rsid w:val="002A4F33"/>
    <w:rsid w:val="002A5014"/>
    <w:rsid w:val="002A5D37"/>
    <w:rsid w:val="002A5E56"/>
    <w:rsid w:val="002A5FB2"/>
    <w:rsid w:val="002A6001"/>
    <w:rsid w:val="002A6998"/>
    <w:rsid w:val="002A69FB"/>
    <w:rsid w:val="002A6A47"/>
    <w:rsid w:val="002A6AF5"/>
    <w:rsid w:val="002A6C33"/>
    <w:rsid w:val="002A7C6D"/>
    <w:rsid w:val="002A7D78"/>
    <w:rsid w:val="002B1270"/>
    <w:rsid w:val="002B2014"/>
    <w:rsid w:val="002B23C9"/>
    <w:rsid w:val="002B2575"/>
    <w:rsid w:val="002B2954"/>
    <w:rsid w:val="002B3404"/>
    <w:rsid w:val="002B3C63"/>
    <w:rsid w:val="002B3D5C"/>
    <w:rsid w:val="002B3FD1"/>
    <w:rsid w:val="002B4881"/>
    <w:rsid w:val="002B4D9D"/>
    <w:rsid w:val="002B51D3"/>
    <w:rsid w:val="002B5CC6"/>
    <w:rsid w:val="002B5FBD"/>
    <w:rsid w:val="002B64B0"/>
    <w:rsid w:val="002B656E"/>
    <w:rsid w:val="002B65C6"/>
    <w:rsid w:val="002B6D40"/>
    <w:rsid w:val="002B791C"/>
    <w:rsid w:val="002B7FF4"/>
    <w:rsid w:val="002C0046"/>
    <w:rsid w:val="002C063A"/>
    <w:rsid w:val="002C075D"/>
    <w:rsid w:val="002C0776"/>
    <w:rsid w:val="002C07FB"/>
    <w:rsid w:val="002C0999"/>
    <w:rsid w:val="002C0D17"/>
    <w:rsid w:val="002C0EC1"/>
    <w:rsid w:val="002C10BE"/>
    <w:rsid w:val="002C1CA0"/>
    <w:rsid w:val="002C20AF"/>
    <w:rsid w:val="002C21DE"/>
    <w:rsid w:val="002C2977"/>
    <w:rsid w:val="002C2B6F"/>
    <w:rsid w:val="002C2D19"/>
    <w:rsid w:val="002C336B"/>
    <w:rsid w:val="002C35E2"/>
    <w:rsid w:val="002C3A47"/>
    <w:rsid w:val="002C3BBD"/>
    <w:rsid w:val="002C4118"/>
    <w:rsid w:val="002C45DF"/>
    <w:rsid w:val="002C48A4"/>
    <w:rsid w:val="002C4B75"/>
    <w:rsid w:val="002C4C41"/>
    <w:rsid w:val="002C5039"/>
    <w:rsid w:val="002C54F2"/>
    <w:rsid w:val="002C5887"/>
    <w:rsid w:val="002C58F2"/>
    <w:rsid w:val="002C5A28"/>
    <w:rsid w:val="002C5A80"/>
    <w:rsid w:val="002C5D56"/>
    <w:rsid w:val="002C6612"/>
    <w:rsid w:val="002C6F88"/>
    <w:rsid w:val="002C7033"/>
    <w:rsid w:val="002C7FFA"/>
    <w:rsid w:val="002D0403"/>
    <w:rsid w:val="002D05D3"/>
    <w:rsid w:val="002D08C3"/>
    <w:rsid w:val="002D08C7"/>
    <w:rsid w:val="002D0CC8"/>
    <w:rsid w:val="002D0F19"/>
    <w:rsid w:val="002D1D57"/>
    <w:rsid w:val="002D1E4E"/>
    <w:rsid w:val="002D212D"/>
    <w:rsid w:val="002D35DF"/>
    <w:rsid w:val="002D4E6B"/>
    <w:rsid w:val="002D55FC"/>
    <w:rsid w:val="002D588B"/>
    <w:rsid w:val="002D5954"/>
    <w:rsid w:val="002D6CC1"/>
    <w:rsid w:val="002D7119"/>
    <w:rsid w:val="002D77F4"/>
    <w:rsid w:val="002D7A57"/>
    <w:rsid w:val="002D7F49"/>
    <w:rsid w:val="002E0279"/>
    <w:rsid w:val="002E0438"/>
    <w:rsid w:val="002E09BD"/>
    <w:rsid w:val="002E0C1A"/>
    <w:rsid w:val="002E1E12"/>
    <w:rsid w:val="002E22E0"/>
    <w:rsid w:val="002E27F1"/>
    <w:rsid w:val="002E3983"/>
    <w:rsid w:val="002E407D"/>
    <w:rsid w:val="002E432F"/>
    <w:rsid w:val="002E4A5F"/>
    <w:rsid w:val="002E5604"/>
    <w:rsid w:val="002E5C18"/>
    <w:rsid w:val="002E5EE2"/>
    <w:rsid w:val="002E5F11"/>
    <w:rsid w:val="002E6A87"/>
    <w:rsid w:val="002E73C3"/>
    <w:rsid w:val="002E744A"/>
    <w:rsid w:val="002E74A0"/>
    <w:rsid w:val="002E766C"/>
    <w:rsid w:val="002E79DB"/>
    <w:rsid w:val="002F0224"/>
    <w:rsid w:val="002F0D6B"/>
    <w:rsid w:val="002F15D8"/>
    <w:rsid w:val="002F274E"/>
    <w:rsid w:val="002F2EDC"/>
    <w:rsid w:val="002F2F27"/>
    <w:rsid w:val="002F33D2"/>
    <w:rsid w:val="002F3A0E"/>
    <w:rsid w:val="002F404D"/>
    <w:rsid w:val="002F47AF"/>
    <w:rsid w:val="002F48F4"/>
    <w:rsid w:val="002F4F04"/>
    <w:rsid w:val="002F58AC"/>
    <w:rsid w:val="002F5967"/>
    <w:rsid w:val="002F5E43"/>
    <w:rsid w:val="002F5EB4"/>
    <w:rsid w:val="002F5FC1"/>
    <w:rsid w:val="002F71CE"/>
    <w:rsid w:val="002F7267"/>
    <w:rsid w:val="002F752B"/>
    <w:rsid w:val="002F78C8"/>
    <w:rsid w:val="002F7EC2"/>
    <w:rsid w:val="003002AC"/>
    <w:rsid w:val="00300448"/>
    <w:rsid w:val="00300802"/>
    <w:rsid w:val="00300964"/>
    <w:rsid w:val="00300AFE"/>
    <w:rsid w:val="00300DE5"/>
    <w:rsid w:val="00300FEF"/>
    <w:rsid w:val="003011DA"/>
    <w:rsid w:val="003016F9"/>
    <w:rsid w:val="0030185A"/>
    <w:rsid w:val="00301861"/>
    <w:rsid w:val="00302B06"/>
    <w:rsid w:val="00303935"/>
    <w:rsid w:val="00304146"/>
    <w:rsid w:val="00304288"/>
    <w:rsid w:val="003045EF"/>
    <w:rsid w:val="00304912"/>
    <w:rsid w:val="00305034"/>
    <w:rsid w:val="00305096"/>
    <w:rsid w:val="00305228"/>
    <w:rsid w:val="00305576"/>
    <w:rsid w:val="00305C68"/>
    <w:rsid w:val="00305D0C"/>
    <w:rsid w:val="00305E6F"/>
    <w:rsid w:val="00305EA2"/>
    <w:rsid w:val="00307372"/>
    <w:rsid w:val="003078C7"/>
    <w:rsid w:val="00307ABA"/>
    <w:rsid w:val="00307B46"/>
    <w:rsid w:val="0031026B"/>
    <w:rsid w:val="00310280"/>
    <w:rsid w:val="00310BF3"/>
    <w:rsid w:val="00310D73"/>
    <w:rsid w:val="0031163D"/>
    <w:rsid w:val="00311828"/>
    <w:rsid w:val="00311B6A"/>
    <w:rsid w:val="003123CD"/>
    <w:rsid w:val="00312C7D"/>
    <w:rsid w:val="00312EFA"/>
    <w:rsid w:val="00313327"/>
    <w:rsid w:val="00313CE6"/>
    <w:rsid w:val="00313EC9"/>
    <w:rsid w:val="00314236"/>
    <w:rsid w:val="00314259"/>
    <w:rsid w:val="003143DE"/>
    <w:rsid w:val="0031584B"/>
    <w:rsid w:val="00315D3A"/>
    <w:rsid w:val="00315DA1"/>
    <w:rsid w:val="00315E6A"/>
    <w:rsid w:val="00316651"/>
    <w:rsid w:val="00316F16"/>
    <w:rsid w:val="00316F1D"/>
    <w:rsid w:val="003173F3"/>
    <w:rsid w:val="003174B4"/>
    <w:rsid w:val="00317C00"/>
    <w:rsid w:val="00317D25"/>
    <w:rsid w:val="0032019F"/>
    <w:rsid w:val="00320534"/>
    <w:rsid w:val="003212AF"/>
    <w:rsid w:val="00321641"/>
    <w:rsid w:val="00321739"/>
    <w:rsid w:val="00322776"/>
    <w:rsid w:val="00322FF8"/>
    <w:rsid w:val="00323206"/>
    <w:rsid w:val="00323A53"/>
    <w:rsid w:val="0032480D"/>
    <w:rsid w:val="00325400"/>
    <w:rsid w:val="003259EC"/>
    <w:rsid w:val="00325E00"/>
    <w:rsid w:val="00325EFD"/>
    <w:rsid w:val="00326418"/>
    <w:rsid w:val="00327995"/>
    <w:rsid w:val="00327AE8"/>
    <w:rsid w:val="00330433"/>
    <w:rsid w:val="003305B1"/>
    <w:rsid w:val="0033141C"/>
    <w:rsid w:val="00331A83"/>
    <w:rsid w:val="00331ADD"/>
    <w:rsid w:val="00331B0B"/>
    <w:rsid w:val="00331DB7"/>
    <w:rsid w:val="0033272D"/>
    <w:rsid w:val="00332F44"/>
    <w:rsid w:val="00332FDB"/>
    <w:rsid w:val="00332FF7"/>
    <w:rsid w:val="003330EF"/>
    <w:rsid w:val="003332F3"/>
    <w:rsid w:val="003334F0"/>
    <w:rsid w:val="0033438B"/>
    <w:rsid w:val="00334577"/>
    <w:rsid w:val="0033490E"/>
    <w:rsid w:val="00334E58"/>
    <w:rsid w:val="0033596B"/>
    <w:rsid w:val="00335DAD"/>
    <w:rsid w:val="003367D3"/>
    <w:rsid w:val="00336A2E"/>
    <w:rsid w:val="00336AB0"/>
    <w:rsid w:val="00337319"/>
    <w:rsid w:val="00337F51"/>
    <w:rsid w:val="003414D7"/>
    <w:rsid w:val="003418E4"/>
    <w:rsid w:val="00341A85"/>
    <w:rsid w:val="00341AA3"/>
    <w:rsid w:val="00342506"/>
    <w:rsid w:val="003425E5"/>
    <w:rsid w:val="00342667"/>
    <w:rsid w:val="003427E4"/>
    <w:rsid w:val="00342A81"/>
    <w:rsid w:val="00342F19"/>
    <w:rsid w:val="003434DF"/>
    <w:rsid w:val="003434F2"/>
    <w:rsid w:val="0034383C"/>
    <w:rsid w:val="00344DAF"/>
    <w:rsid w:val="00345929"/>
    <w:rsid w:val="003460DC"/>
    <w:rsid w:val="00346530"/>
    <w:rsid w:val="00346F3C"/>
    <w:rsid w:val="00346FA4"/>
    <w:rsid w:val="00347348"/>
    <w:rsid w:val="00347EB7"/>
    <w:rsid w:val="00350EF2"/>
    <w:rsid w:val="003510D0"/>
    <w:rsid w:val="003513DD"/>
    <w:rsid w:val="003515F2"/>
    <w:rsid w:val="00351CF5"/>
    <w:rsid w:val="00352363"/>
    <w:rsid w:val="00352390"/>
    <w:rsid w:val="0035273E"/>
    <w:rsid w:val="00352AEA"/>
    <w:rsid w:val="00352E81"/>
    <w:rsid w:val="00352F8E"/>
    <w:rsid w:val="003530E5"/>
    <w:rsid w:val="003535DF"/>
    <w:rsid w:val="003538E2"/>
    <w:rsid w:val="00353956"/>
    <w:rsid w:val="00353AF2"/>
    <w:rsid w:val="00353B6E"/>
    <w:rsid w:val="00353E16"/>
    <w:rsid w:val="0035416C"/>
    <w:rsid w:val="00354F28"/>
    <w:rsid w:val="00354FED"/>
    <w:rsid w:val="00355C50"/>
    <w:rsid w:val="00355DEA"/>
    <w:rsid w:val="00356008"/>
    <w:rsid w:val="00356604"/>
    <w:rsid w:val="00356BF9"/>
    <w:rsid w:val="0035710D"/>
    <w:rsid w:val="00357B7D"/>
    <w:rsid w:val="00360048"/>
    <w:rsid w:val="00360209"/>
    <w:rsid w:val="003611C0"/>
    <w:rsid w:val="00361317"/>
    <w:rsid w:val="00361559"/>
    <w:rsid w:val="00361A8C"/>
    <w:rsid w:val="0036219F"/>
    <w:rsid w:val="00362DB5"/>
    <w:rsid w:val="00362E76"/>
    <w:rsid w:val="00363AA4"/>
    <w:rsid w:val="00363E17"/>
    <w:rsid w:val="003641C1"/>
    <w:rsid w:val="003641C3"/>
    <w:rsid w:val="003644AE"/>
    <w:rsid w:val="00364A69"/>
    <w:rsid w:val="00364C32"/>
    <w:rsid w:val="00364D40"/>
    <w:rsid w:val="003652FC"/>
    <w:rsid w:val="003655D7"/>
    <w:rsid w:val="003666DA"/>
    <w:rsid w:val="0036679E"/>
    <w:rsid w:val="003672A5"/>
    <w:rsid w:val="00367C65"/>
    <w:rsid w:val="003702D0"/>
    <w:rsid w:val="00370765"/>
    <w:rsid w:val="00370BD6"/>
    <w:rsid w:val="00370C8F"/>
    <w:rsid w:val="00370D30"/>
    <w:rsid w:val="00370F23"/>
    <w:rsid w:val="00371103"/>
    <w:rsid w:val="0037133E"/>
    <w:rsid w:val="00371B1A"/>
    <w:rsid w:val="00371D04"/>
    <w:rsid w:val="0037243A"/>
    <w:rsid w:val="0037342C"/>
    <w:rsid w:val="0037370F"/>
    <w:rsid w:val="00373CA8"/>
    <w:rsid w:val="0037410C"/>
    <w:rsid w:val="00374523"/>
    <w:rsid w:val="003747FE"/>
    <w:rsid w:val="00374C9D"/>
    <w:rsid w:val="003752AB"/>
    <w:rsid w:val="003757E2"/>
    <w:rsid w:val="00375957"/>
    <w:rsid w:val="00375F8F"/>
    <w:rsid w:val="00376389"/>
    <w:rsid w:val="003764CD"/>
    <w:rsid w:val="003767FD"/>
    <w:rsid w:val="00376E5A"/>
    <w:rsid w:val="00377087"/>
    <w:rsid w:val="00377BCC"/>
    <w:rsid w:val="00380D89"/>
    <w:rsid w:val="0038101A"/>
    <w:rsid w:val="0038112D"/>
    <w:rsid w:val="003811DF"/>
    <w:rsid w:val="00381747"/>
    <w:rsid w:val="003826F1"/>
    <w:rsid w:val="00382BD2"/>
    <w:rsid w:val="00382D47"/>
    <w:rsid w:val="003833FD"/>
    <w:rsid w:val="00383A21"/>
    <w:rsid w:val="00383CDF"/>
    <w:rsid w:val="003846A3"/>
    <w:rsid w:val="00384A31"/>
    <w:rsid w:val="00384F0C"/>
    <w:rsid w:val="00384F5E"/>
    <w:rsid w:val="00384F9C"/>
    <w:rsid w:val="00385043"/>
    <w:rsid w:val="003851C3"/>
    <w:rsid w:val="003857E8"/>
    <w:rsid w:val="00385813"/>
    <w:rsid w:val="00385887"/>
    <w:rsid w:val="00385C66"/>
    <w:rsid w:val="00385F04"/>
    <w:rsid w:val="00385F16"/>
    <w:rsid w:val="00386270"/>
    <w:rsid w:val="00386D5C"/>
    <w:rsid w:val="0038718B"/>
    <w:rsid w:val="0038776F"/>
    <w:rsid w:val="003879AF"/>
    <w:rsid w:val="00387CEC"/>
    <w:rsid w:val="00387D22"/>
    <w:rsid w:val="0039014E"/>
    <w:rsid w:val="00390C40"/>
    <w:rsid w:val="00391369"/>
    <w:rsid w:val="0039150A"/>
    <w:rsid w:val="00391941"/>
    <w:rsid w:val="00391A91"/>
    <w:rsid w:val="00392F01"/>
    <w:rsid w:val="00393B9E"/>
    <w:rsid w:val="00393ED8"/>
    <w:rsid w:val="00394384"/>
    <w:rsid w:val="003943B8"/>
    <w:rsid w:val="00395F33"/>
    <w:rsid w:val="003968C1"/>
    <w:rsid w:val="00396BAF"/>
    <w:rsid w:val="00396D3A"/>
    <w:rsid w:val="00396EE6"/>
    <w:rsid w:val="00396F33"/>
    <w:rsid w:val="003971F5"/>
    <w:rsid w:val="003A0454"/>
    <w:rsid w:val="003A0731"/>
    <w:rsid w:val="003A1300"/>
    <w:rsid w:val="003A1356"/>
    <w:rsid w:val="003A1BEE"/>
    <w:rsid w:val="003A1E14"/>
    <w:rsid w:val="003A1FC4"/>
    <w:rsid w:val="003A28AB"/>
    <w:rsid w:val="003A2BC2"/>
    <w:rsid w:val="003A30A8"/>
    <w:rsid w:val="003A4084"/>
    <w:rsid w:val="003A426A"/>
    <w:rsid w:val="003A42ED"/>
    <w:rsid w:val="003A434D"/>
    <w:rsid w:val="003A4410"/>
    <w:rsid w:val="003A4BB9"/>
    <w:rsid w:val="003A5949"/>
    <w:rsid w:val="003A6792"/>
    <w:rsid w:val="003A76AB"/>
    <w:rsid w:val="003A7999"/>
    <w:rsid w:val="003A7A4F"/>
    <w:rsid w:val="003A7A92"/>
    <w:rsid w:val="003A7C7A"/>
    <w:rsid w:val="003A7DC2"/>
    <w:rsid w:val="003A7E2A"/>
    <w:rsid w:val="003B054F"/>
    <w:rsid w:val="003B08CD"/>
    <w:rsid w:val="003B094A"/>
    <w:rsid w:val="003B0C09"/>
    <w:rsid w:val="003B0C6F"/>
    <w:rsid w:val="003B0E95"/>
    <w:rsid w:val="003B165E"/>
    <w:rsid w:val="003B2159"/>
    <w:rsid w:val="003B23EB"/>
    <w:rsid w:val="003B26F3"/>
    <w:rsid w:val="003B2B4B"/>
    <w:rsid w:val="003B2E24"/>
    <w:rsid w:val="003B3A70"/>
    <w:rsid w:val="003B3C83"/>
    <w:rsid w:val="003B3E8F"/>
    <w:rsid w:val="003B4904"/>
    <w:rsid w:val="003B4F34"/>
    <w:rsid w:val="003B51C2"/>
    <w:rsid w:val="003B6328"/>
    <w:rsid w:val="003B663A"/>
    <w:rsid w:val="003B6C55"/>
    <w:rsid w:val="003B6E8F"/>
    <w:rsid w:val="003B6F99"/>
    <w:rsid w:val="003B728F"/>
    <w:rsid w:val="003B73F5"/>
    <w:rsid w:val="003C0277"/>
    <w:rsid w:val="003C0611"/>
    <w:rsid w:val="003C0AF7"/>
    <w:rsid w:val="003C0FF9"/>
    <w:rsid w:val="003C23CB"/>
    <w:rsid w:val="003C3189"/>
    <w:rsid w:val="003C3F36"/>
    <w:rsid w:val="003C4230"/>
    <w:rsid w:val="003C4324"/>
    <w:rsid w:val="003C43DB"/>
    <w:rsid w:val="003C4AB4"/>
    <w:rsid w:val="003C5082"/>
    <w:rsid w:val="003C5571"/>
    <w:rsid w:val="003C59BD"/>
    <w:rsid w:val="003C5AAF"/>
    <w:rsid w:val="003C5B8F"/>
    <w:rsid w:val="003C5BFB"/>
    <w:rsid w:val="003C5D3F"/>
    <w:rsid w:val="003C5FB7"/>
    <w:rsid w:val="003C69C8"/>
    <w:rsid w:val="003C69FC"/>
    <w:rsid w:val="003C73BF"/>
    <w:rsid w:val="003D0573"/>
    <w:rsid w:val="003D148C"/>
    <w:rsid w:val="003D18EB"/>
    <w:rsid w:val="003D1BFB"/>
    <w:rsid w:val="003D227E"/>
    <w:rsid w:val="003D2706"/>
    <w:rsid w:val="003D2B06"/>
    <w:rsid w:val="003D2B86"/>
    <w:rsid w:val="003D2D14"/>
    <w:rsid w:val="003D2D87"/>
    <w:rsid w:val="003D2F12"/>
    <w:rsid w:val="003D322E"/>
    <w:rsid w:val="003D3345"/>
    <w:rsid w:val="003D3C8C"/>
    <w:rsid w:val="003D3D2C"/>
    <w:rsid w:val="003D40D3"/>
    <w:rsid w:val="003D4A15"/>
    <w:rsid w:val="003D512C"/>
    <w:rsid w:val="003D566D"/>
    <w:rsid w:val="003D575A"/>
    <w:rsid w:val="003D599F"/>
    <w:rsid w:val="003D5BC8"/>
    <w:rsid w:val="003D6078"/>
    <w:rsid w:val="003D703F"/>
    <w:rsid w:val="003D72AF"/>
    <w:rsid w:val="003D748D"/>
    <w:rsid w:val="003D78CA"/>
    <w:rsid w:val="003D7E83"/>
    <w:rsid w:val="003D7F41"/>
    <w:rsid w:val="003E00D2"/>
    <w:rsid w:val="003E08E1"/>
    <w:rsid w:val="003E1D0F"/>
    <w:rsid w:val="003E1E62"/>
    <w:rsid w:val="003E1F3D"/>
    <w:rsid w:val="003E2B45"/>
    <w:rsid w:val="003E33F3"/>
    <w:rsid w:val="003E3AE2"/>
    <w:rsid w:val="003E45D6"/>
    <w:rsid w:val="003E5AE5"/>
    <w:rsid w:val="003E5C38"/>
    <w:rsid w:val="003E5C7E"/>
    <w:rsid w:val="003E5C83"/>
    <w:rsid w:val="003E60F6"/>
    <w:rsid w:val="003E6C34"/>
    <w:rsid w:val="003E7070"/>
    <w:rsid w:val="003E7227"/>
    <w:rsid w:val="003E76D6"/>
    <w:rsid w:val="003E79C6"/>
    <w:rsid w:val="003E7CC5"/>
    <w:rsid w:val="003E7E0C"/>
    <w:rsid w:val="003E7E58"/>
    <w:rsid w:val="003E7FD7"/>
    <w:rsid w:val="003F100A"/>
    <w:rsid w:val="003F1094"/>
    <w:rsid w:val="003F1219"/>
    <w:rsid w:val="003F17BE"/>
    <w:rsid w:val="003F1FEB"/>
    <w:rsid w:val="003F21A0"/>
    <w:rsid w:val="003F299B"/>
    <w:rsid w:val="003F3297"/>
    <w:rsid w:val="003F3682"/>
    <w:rsid w:val="003F38C3"/>
    <w:rsid w:val="003F3F1C"/>
    <w:rsid w:val="003F4056"/>
    <w:rsid w:val="003F414A"/>
    <w:rsid w:val="003F4CC2"/>
    <w:rsid w:val="003F53FD"/>
    <w:rsid w:val="003F54ED"/>
    <w:rsid w:val="003F5E5F"/>
    <w:rsid w:val="003F62E9"/>
    <w:rsid w:val="003F68BC"/>
    <w:rsid w:val="003F7483"/>
    <w:rsid w:val="003F7ECE"/>
    <w:rsid w:val="003F7FB2"/>
    <w:rsid w:val="004007CE"/>
    <w:rsid w:val="0040087B"/>
    <w:rsid w:val="004009EA"/>
    <w:rsid w:val="00400B68"/>
    <w:rsid w:val="00401A8E"/>
    <w:rsid w:val="00401C6A"/>
    <w:rsid w:val="00401EAE"/>
    <w:rsid w:val="0040250E"/>
    <w:rsid w:val="004044DA"/>
    <w:rsid w:val="00404819"/>
    <w:rsid w:val="00404D29"/>
    <w:rsid w:val="00405034"/>
    <w:rsid w:val="004054A3"/>
    <w:rsid w:val="00406489"/>
    <w:rsid w:val="00406690"/>
    <w:rsid w:val="004068FE"/>
    <w:rsid w:val="00406C0F"/>
    <w:rsid w:val="004074A1"/>
    <w:rsid w:val="0040793D"/>
    <w:rsid w:val="00407C00"/>
    <w:rsid w:val="00407C1C"/>
    <w:rsid w:val="00407F8B"/>
    <w:rsid w:val="004102C3"/>
    <w:rsid w:val="0041062B"/>
    <w:rsid w:val="00411632"/>
    <w:rsid w:val="00411EFE"/>
    <w:rsid w:val="00412C0D"/>
    <w:rsid w:val="00412CDD"/>
    <w:rsid w:val="004133F0"/>
    <w:rsid w:val="00413694"/>
    <w:rsid w:val="00413B72"/>
    <w:rsid w:val="004141C3"/>
    <w:rsid w:val="004142FE"/>
    <w:rsid w:val="00414387"/>
    <w:rsid w:val="004154D9"/>
    <w:rsid w:val="0041557F"/>
    <w:rsid w:val="00415B4F"/>
    <w:rsid w:val="00415E67"/>
    <w:rsid w:val="00416336"/>
    <w:rsid w:val="004166C3"/>
    <w:rsid w:val="00416B68"/>
    <w:rsid w:val="00416E1F"/>
    <w:rsid w:val="0041717C"/>
    <w:rsid w:val="00417191"/>
    <w:rsid w:val="0041779A"/>
    <w:rsid w:val="0041779D"/>
    <w:rsid w:val="00417D0D"/>
    <w:rsid w:val="00417DEF"/>
    <w:rsid w:val="00417EC2"/>
    <w:rsid w:val="004201A0"/>
    <w:rsid w:val="00420307"/>
    <w:rsid w:val="0042030C"/>
    <w:rsid w:val="00421690"/>
    <w:rsid w:val="0042234F"/>
    <w:rsid w:val="00422FF0"/>
    <w:rsid w:val="00423089"/>
    <w:rsid w:val="0042367B"/>
    <w:rsid w:val="00423801"/>
    <w:rsid w:val="00423B01"/>
    <w:rsid w:val="004242EA"/>
    <w:rsid w:val="00424567"/>
    <w:rsid w:val="00424748"/>
    <w:rsid w:val="0042484B"/>
    <w:rsid w:val="00424942"/>
    <w:rsid w:val="00424C2B"/>
    <w:rsid w:val="0042507E"/>
    <w:rsid w:val="00425525"/>
    <w:rsid w:val="00425598"/>
    <w:rsid w:val="00425E2F"/>
    <w:rsid w:val="0042622B"/>
    <w:rsid w:val="004263BD"/>
    <w:rsid w:val="00426824"/>
    <w:rsid w:val="004268E2"/>
    <w:rsid w:val="00426A89"/>
    <w:rsid w:val="00426BF2"/>
    <w:rsid w:val="00430035"/>
    <w:rsid w:val="004300A9"/>
    <w:rsid w:val="0043043A"/>
    <w:rsid w:val="00430790"/>
    <w:rsid w:val="00430B3C"/>
    <w:rsid w:val="00430F09"/>
    <w:rsid w:val="00431508"/>
    <w:rsid w:val="004315B5"/>
    <w:rsid w:val="00431AD0"/>
    <w:rsid w:val="00431B3F"/>
    <w:rsid w:val="0043217E"/>
    <w:rsid w:val="004327C2"/>
    <w:rsid w:val="0043285D"/>
    <w:rsid w:val="00432B53"/>
    <w:rsid w:val="00432EA4"/>
    <w:rsid w:val="00433371"/>
    <w:rsid w:val="00433760"/>
    <w:rsid w:val="00433C6E"/>
    <w:rsid w:val="00433F8A"/>
    <w:rsid w:val="00434BF4"/>
    <w:rsid w:val="004357B8"/>
    <w:rsid w:val="00435ACA"/>
    <w:rsid w:val="00436199"/>
    <w:rsid w:val="00436301"/>
    <w:rsid w:val="00436C93"/>
    <w:rsid w:val="004372B5"/>
    <w:rsid w:val="004378C3"/>
    <w:rsid w:val="00437FC4"/>
    <w:rsid w:val="00440199"/>
    <w:rsid w:val="00440702"/>
    <w:rsid w:val="00440D7A"/>
    <w:rsid w:val="00440F3B"/>
    <w:rsid w:val="00441F3D"/>
    <w:rsid w:val="004423AE"/>
    <w:rsid w:val="004424AB"/>
    <w:rsid w:val="0044251F"/>
    <w:rsid w:val="00442B0F"/>
    <w:rsid w:val="00443107"/>
    <w:rsid w:val="004432FB"/>
    <w:rsid w:val="00443453"/>
    <w:rsid w:val="004444C9"/>
    <w:rsid w:val="00444691"/>
    <w:rsid w:val="004446D9"/>
    <w:rsid w:val="00444B09"/>
    <w:rsid w:val="00444C62"/>
    <w:rsid w:val="00445B6A"/>
    <w:rsid w:val="00445DB2"/>
    <w:rsid w:val="00446023"/>
    <w:rsid w:val="004473B4"/>
    <w:rsid w:val="004473CC"/>
    <w:rsid w:val="0044753D"/>
    <w:rsid w:val="00447769"/>
    <w:rsid w:val="00447AAB"/>
    <w:rsid w:val="0045002B"/>
    <w:rsid w:val="004502DC"/>
    <w:rsid w:val="00450524"/>
    <w:rsid w:val="00451676"/>
    <w:rsid w:val="00451A82"/>
    <w:rsid w:val="00451E10"/>
    <w:rsid w:val="00451FF4"/>
    <w:rsid w:val="004520C0"/>
    <w:rsid w:val="004527FD"/>
    <w:rsid w:val="00452CF3"/>
    <w:rsid w:val="004539E4"/>
    <w:rsid w:val="00453BED"/>
    <w:rsid w:val="00454C8F"/>
    <w:rsid w:val="00455694"/>
    <w:rsid w:val="00456166"/>
    <w:rsid w:val="00456B30"/>
    <w:rsid w:val="004572DC"/>
    <w:rsid w:val="00457BF7"/>
    <w:rsid w:val="00457E53"/>
    <w:rsid w:val="00460D63"/>
    <w:rsid w:val="0046112F"/>
    <w:rsid w:val="00461A2C"/>
    <w:rsid w:val="00462A1F"/>
    <w:rsid w:val="00463839"/>
    <w:rsid w:val="0046395F"/>
    <w:rsid w:val="00463996"/>
    <w:rsid w:val="00463F24"/>
    <w:rsid w:val="00463FE3"/>
    <w:rsid w:val="00464A71"/>
    <w:rsid w:val="00464A98"/>
    <w:rsid w:val="004651DC"/>
    <w:rsid w:val="00465F23"/>
    <w:rsid w:val="00466348"/>
    <w:rsid w:val="00466AAD"/>
    <w:rsid w:val="00466ACF"/>
    <w:rsid w:val="00466C9B"/>
    <w:rsid w:val="00466EA0"/>
    <w:rsid w:val="00467575"/>
    <w:rsid w:val="004679ED"/>
    <w:rsid w:val="00467A8D"/>
    <w:rsid w:val="00467FBC"/>
    <w:rsid w:val="00470C9B"/>
    <w:rsid w:val="0047110D"/>
    <w:rsid w:val="00471192"/>
    <w:rsid w:val="0047196B"/>
    <w:rsid w:val="0047199D"/>
    <w:rsid w:val="00471EAB"/>
    <w:rsid w:val="00472318"/>
    <w:rsid w:val="004723C7"/>
    <w:rsid w:val="00472652"/>
    <w:rsid w:val="004728E8"/>
    <w:rsid w:val="00472D78"/>
    <w:rsid w:val="00473C67"/>
    <w:rsid w:val="00474212"/>
    <w:rsid w:val="0047428B"/>
    <w:rsid w:val="004749A3"/>
    <w:rsid w:val="00474EF3"/>
    <w:rsid w:val="00474F97"/>
    <w:rsid w:val="004754BD"/>
    <w:rsid w:val="0047654E"/>
    <w:rsid w:val="00476594"/>
    <w:rsid w:val="00476852"/>
    <w:rsid w:val="00476AB0"/>
    <w:rsid w:val="00476F20"/>
    <w:rsid w:val="004771F6"/>
    <w:rsid w:val="00477239"/>
    <w:rsid w:val="004775E0"/>
    <w:rsid w:val="004777AE"/>
    <w:rsid w:val="00477A47"/>
    <w:rsid w:val="00477B91"/>
    <w:rsid w:val="004809CA"/>
    <w:rsid w:val="004811FA"/>
    <w:rsid w:val="0048146B"/>
    <w:rsid w:val="00481A35"/>
    <w:rsid w:val="00481B01"/>
    <w:rsid w:val="004822A8"/>
    <w:rsid w:val="004822E7"/>
    <w:rsid w:val="00482BB3"/>
    <w:rsid w:val="0048310C"/>
    <w:rsid w:val="004831D6"/>
    <w:rsid w:val="00483392"/>
    <w:rsid w:val="004838CD"/>
    <w:rsid w:val="00483B47"/>
    <w:rsid w:val="004847B4"/>
    <w:rsid w:val="00484894"/>
    <w:rsid w:val="00484F07"/>
    <w:rsid w:val="004853A1"/>
    <w:rsid w:val="00485862"/>
    <w:rsid w:val="004858EB"/>
    <w:rsid w:val="00485CEF"/>
    <w:rsid w:val="00485D87"/>
    <w:rsid w:val="004864F4"/>
    <w:rsid w:val="004866DE"/>
    <w:rsid w:val="00486729"/>
    <w:rsid w:val="00486F29"/>
    <w:rsid w:val="00487800"/>
    <w:rsid w:val="00487AF9"/>
    <w:rsid w:val="00490561"/>
    <w:rsid w:val="00490628"/>
    <w:rsid w:val="004906D7"/>
    <w:rsid w:val="00491D20"/>
    <w:rsid w:val="0049216E"/>
    <w:rsid w:val="00492A93"/>
    <w:rsid w:val="00492D56"/>
    <w:rsid w:val="00492F9B"/>
    <w:rsid w:val="00493CB4"/>
    <w:rsid w:val="0049416E"/>
    <w:rsid w:val="0049435A"/>
    <w:rsid w:val="0049475A"/>
    <w:rsid w:val="00495198"/>
    <w:rsid w:val="00495D0E"/>
    <w:rsid w:val="00495F53"/>
    <w:rsid w:val="004960E9"/>
    <w:rsid w:val="00496213"/>
    <w:rsid w:val="00497508"/>
    <w:rsid w:val="004977FB"/>
    <w:rsid w:val="00497C38"/>
    <w:rsid w:val="004A0218"/>
    <w:rsid w:val="004A0762"/>
    <w:rsid w:val="004A083F"/>
    <w:rsid w:val="004A138F"/>
    <w:rsid w:val="004A1764"/>
    <w:rsid w:val="004A2037"/>
    <w:rsid w:val="004A270B"/>
    <w:rsid w:val="004A2AE6"/>
    <w:rsid w:val="004A2B63"/>
    <w:rsid w:val="004A2C93"/>
    <w:rsid w:val="004A2CCB"/>
    <w:rsid w:val="004A2FED"/>
    <w:rsid w:val="004A3615"/>
    <w:rsid w:val="004A42CD"/>
    <w:rsid w:val="004A558C"/>
    <w:rsid w:val="004A58CB"/>
    <w:rsid w:val="004A60F9"/>
    <w:rsid w:val="004A66EA"/>
    <w:rsid w:val="004A699E"/>
    <w:rsid w:val="004A6FED"/>
    <w:rsid w:val="004A72B3"/>
    <w:rsid w:val="004A7522"/>
    <w:rsid w:val="004B0AF5"/>
    <w:rsid w:val="004B1195"/>
    <w:rsid w:val="004B13E1"/>
    <w:rsid w:val="004B1916"/>
    <w:rsid w:val="004B1DE1"/>
    <w:rsid w:val="004B225A"/>
    <w:rsid w:val="004B253E"/>
    <w:rsid w:val="004B2F5F"/>
    <w:rsid w:val="004B3219"/>
    <w:rsid w:val="004B39F3"/>
    <w:rsid w:val="004B3D22"/>
    <w:rsid w:val="004B3DD3"/>
    <w:rsid w:val="004B419E"/>
    <w:rsid w:val="004B48BE"/>
    <w:rsid w:val="004B4B08"/>
    <w:rsid w:val="004B4E34"/>
    <w:rsid w:val="004B5D34"/>
    <w:rsid w:val="004B621A"/>
    <w:rsid w:val="004B63B6"/>
    <w:rsid w:val="004B674A"/>
    <w:rsid w:val="004B6A30"/>
    <w:rsid w:val="004B6B33"/>
    <w:rsid w:val="004B6FD3"/>
    <w:rsid w:val="004B751F"/>
    <w:rsid w:val="004B7994"/>
    <w:rsid w:val="004B7DAB"/>
    <w:rsid w:val="004B7E03"/>
    <w:rsid w:val="004C0737"/>
    <w:rsid w:val="004C1208"/>
    <w:rsid w:val="004C1E0D"/>
    <w:rsid w:val="004C2601"/>
    <w:rsid w:val="004C263D"/>
    <w:rsid w:val="004C3669"/>
    <w:rsid w:val="004C3759"/>
    <w:rsid w:val="004C383D"/>
    <w:rsid w:val="004C39BA"/>
    <w:rsid w:val="004C4062"/>
    <w:rsid w:val="004C4325"/>
    <w:rsid w:val="004C43FE"/>
    <w:rsid w:val="004C4F00"/>
    <w:rsid w:val="004C5196"/>
    <w:rsid w:val="004C5433"/>
    <w:rsid w:val="004C5567"/>
    <w:rsid w:val="004C5692"/>
    <w:rsid w:val="004C56C2"/>
    <w:rsid w:val="004C5C81"/>
    <w:rsid w:val="004C6828"/>
    <w:rsid w:val="004C6C95"/>
    <w:rsid w:val="004C6F00"/>
    <w:rsid w:val="004C73F0"/>
    <w:rsid w:val="004C7477"/>
    <w:rsid w:val="004C7674"/>
    <w:rsid w:val="004C77D3"/>
    <w:rsid w:val="004C7A63"/>
    <w:rsid w:val="004C7AB8"/>
    <w:rsid w:val="004C7D58"/>
    <w:rsid w:val="004D035A"/>
    <w:rsid w:val="004D0B8B"/>
    <w:rsid w:val="004D1A45"/>
    <w:rsid w:val="004D2024"/>
    <w:rsid w:val="004D2756"/>
    <w:rsid w:val="004D27E1"/>
    <w:rsid w:val="004D2829"/>
    <w:rsid w:val="004D2AAD"/>
    <w:rsid w:val="004D3055"/>
    <w:rsid w:val="004D326A"/>
    <w:rsid w:val="004D3B08"/>
    <w:rsid w:val="004D425D"/>
    <w:rsid w:val="004D46FF"/>
    <w:rsid w:val="004D5A83"/>
    <w:rsid w:val="004D5C07"/>
    <w:rsid w:val="004D5CC3"/>
    <w:rsid w:val="004D6761"/>
    <w:rsid w:val="004D6C49"/>
    <w:rsid w:val="004D6C6C"/>
    <w:rsid w:val="004D740C"/>
    <w:rsid w:val="004D75B0"/>
    <w:rsid w:val="004E137B"/>
    <w:rsid w:val="004E1F7A"/>
    <w:rsid w:val="004E24DC"/>
    <w:rsid w:val="004E272E"/>
    <w:rsid w:val="004E2A23"/>
    <w:rsid w:val="004E2AFD"/>
    <w:rsid w:val="004E2D94"/>
    <w:rsid w:val="004E39DC"/>
    <w:rsid w:val="004E4FBA"/>
    <w:rsid w:val="004E54B6"/>
    <w:rsid w:val="004E64E3"/>
    <w:rsid w:val="004E719A"/>
    <w:rsid w:val="004E777F"/>
    <w:rsid w:val="004E7974"/>
    <w:rsid w:val="004F1073"/>
    <w:rsid w:val="004F1224"/>
    <w:rsid w:val="004F12BB"/>
    <w:rsid w:val="004F1772"/>
    <w:rsid w:val="004F1A18"/>
    <w:rsid w:val="004F1B27"/>
    <w:rsid w:val="004F213D"/>
    <w:rsid w:val="004F3411"/>
    <w:rsid w:val="004F3B22"/>
    <w:rsid w:val="004F3B29"/>
    <w:rsid w:val="004F421C"/>
    <w:rsid w:val="004F4258"/>
    <w:rsid w:val="004F47A2"/>
    <w:rsid w:val="004F489B"/>
    <w:rsid w:val="004F4F28"/>
    <w:rsid w:val="004F55B5"/>
    <w:rsid w:val="004F55E6"/>
    <w:rsid w:val="004F594B"/>
    <w:rsid w:val="004F5ABB"/>
    <w:rsid w:val="004F5DA1"/>
    <w:rsid w:val="004F645D"/>
    <w:rsid w:val="004F6756"/>
    <w:rsid w:val="004F67FA"/>
    <w:rsid w:val="004F6D6A"/>
    <w:rsid w:val="004F6EA7"/>
    <w:rsid w:val="004F7575"/>
    <w:rsid w:val="004F7587"/>
    <w:rsid w:val="004F7853"/>
    <w:rsid w:val="004F78AD"/>
    <w:rsid w:val="005004EF"/>
    <w:rsid w:val="00500CF0"/>
    <w:rsid w:val="00501C23"/>
    <w:rsid w:val="00501FD1"/>
    <w:rsid w:val="00502250"/>
    <w:rsid w:val="00502305"/>
    <w:rsid w:val="005029D3"/>
    <w:rsid w:val="005032B1"/>
    <w:rsid w:val="005034AE"/>
    <w:rsid w:val="00503569"/>
    <w:rsid w:val="00503671"/>
    <w:rsid w:val="00504D4C"/>
    <w:rsid w:val="00504E32"/>
    <w:rsid w:val="005052D3"/>
    <w:rsid w:val="00505552"/>
    <w:rsid w:val="0050595D"/>
    <w:rsid w:val="00506FB1"/>
    <w:rsid w:val="00507D23"/>
    <w:rsid w:val="00507F99"/>
    <w:rsid w:val="00510CA8"/>
    <w:rsid w:val="00510D73"/>
    <w:rsid w:val="0051100C"/>
    <w:rsid w:val="00511067"/>
    <w:rsid w:val="005111AE"/>
    <w:rsid w:val="0051179A"/>
    <w:rsid w:val="00511F81"/>
    <w:rsid w:val="005124C9"/>
    <w:rsid w:val="0051290F"/>
    <w:rsid w:val="00513F82"/>
    <w:rsid w:val="005146D2"/>
    <w:rsid w:val="00514E0A"/>
    <w:rsid w:val="00515331"/>
    <w:rsid w:val="00515885"/>
    <w:rsid w:val="005160EB"/>
    <w:rsid w:val="00517B5B"/>
    <w:rsid w:val="00517E2C"/>
    <w:rsid w:val="005207E4"/>
    <w:rsid w:val="00520B70"/>
    <w:rsid w:val="00521699"/>
    <w:rsid w:val="00521FAC"/>
    <w:rsid w:val="00522039"/>
    <w:rsid w:val="00522591"/>
    <w:rsid w:val="00522838"/>
    <w:rsid w:val="00522CC6"/>
    <w:rsid w:val="00523131"/>
    <w:rsid w:val="00523547"/>
    <w:rsid w:val="005239C0"/>
    <w:rsid w:val="005239F1"/>
    <w:rsid w:val="00523BCA"/>
    <w:rsid w:val="0052431D"/>
    <w:rsid w:val="0052486A"/>
    <w:rsid w:val="00524BFF"/>
    <w:rsid w:val="00524E73"/>
    <w:rsid w:val="00525119"/>
    <w:rsid w:val="00525C90"/>
    <w:rsid w:val="00526050"/>
    <w:rsid w:val="00526610"/>
    <w:rsid w:val="00526E90"/>
    <w:rsid w:val="00526F0E"/>
    <w:rsid w:val="00527215"/>
    <w:rsid w:val="0052732E"/>
    <w:rsid w:val="00527A29"/>
    <w:rsid w:val="00527A46"/>
    <w:rsid w:val="00530999"/>
    <w:rsid w:val="00530E86"/>
    <w:rsid w:val="00530FFE"/>
    <w:rsid w:val="00531425"/>
    <w:rsid w:val="005314EE"/>
    <w:rsid w:val="00532810"/>
    <w:rsid w:val="00532919"/>
    <w:rsid w:val="00533484"/>
    <w:rsid w:val="00533B22"/>
    <w:rsid w:val="0053423B"/>
    <w:rsid w:val="00534268"/>
    <w:rsid w:val="005348F7"/>
    <w:rsid w:val="00534C59"/>
    <w:rsid w:val="00534F26"/>
    <w:rsid w:val="005352D2"/>
    <w:rsid w:val="005361E2"/>
    <w:rsid w:val="005369F6"/>
    <w:rsid w:val="00536A3E"/>
    <w:rsid w:val="005379CF"/>
    <w:rsid w:val="00537F88"/>
    <w:rsid w:val="0054069D"/>
    <w:rsid w:val="00541298"/>
    <w:rsid w:val="005414BD"/>
    <w:rsid w:val="00541AFF"/>
    <w:rsid w:val="00542E75"/>
    <w:rsid w:val="0054300C"/>
    <w:rsid w:val="00543AE0"/>
    <w:rsid w:val="00543C70"/>
    <w:rsid w:val="00543C8A"/>
    <w:rsid w:val="00543F7A"/>
    <w:rsid w:val="005446CC"/>
    <w:rsid w:val="00544AD0"/>
    <w:rsid w:val="00545B6A"/>
    <w:rsid w:val="0054693A"/>
    <w:rsid w:val="00547951"/>
    <w:rsid w:val="00547BD3"/>
    <w:rsid w:val="00550163"/>
    <w:rsid w:val="005507E9"/>
    <w:rsid w:val="00550899"/>
    <w:rsid w:val="00551317"/>
    <w:rsid w:val="005518DF"/>
    <w:rsid w:val="00551C45"/>
    <w:rsid w:val="00551D35"/>
    <w:rsid w:val="00551E50"/>
    <w:rsid w:val="00551F3D"/>
    <w:rsid w:val="00552068"/>
    <w:rsid w:val="005524BD"/>
    <w:rsid w:val="00552887"/>
    <w:rsid w:val="00552C60"/>
    <w:rsid w:val="00554722"/>
    <w:rsid w:val="00554895"/>
    <w:rsid w:val="00554A31"/>
    <w:rsid w:val="00554B1B"/>
    <w:rsid w:val="00555484"/>
    <w:rsid w:val="00555754"/>
    <w:rsid w:val="005557A2"/>
    <w:rsid w:val="00556369"/>
    <w:rsid w:val="005601B3"/>
    <w:rsid w:val="005602DC"/>
    <w:rsid w:val="00561057"/>
    <w:rsid w:val="00561556"/>
    <w:rsid w:val="00561CB3"/>
    <w:rsid w:val="00561F93"/>
    <w:rsid w:val="005623A3"/>
    <w:rsid w:val="0056315D"/>
    <w:rsid w:val="0056341E"/>
    <w:rsid w:val="0056402B"/>
    <w:rsid w:val="005641A0"/>
    <w:rsid w:val="00564492"/>
    <w:rsid w:val="005645CE"/>
    <w:rsid w:val="00564D6E"/>
    <w:rsid w:val="00564EAD"/>
    <w:rsid w:val="00564FB9"/>
    <w:rsid w:val="00565139"/>
    <w:rsid w:val="0056513C"/>
    <w:rsid w:val="005651D6"/>
    <w:rsid w:val="005651FA"/>
    <w:rsid w:val="00565228"/>
    <w:rsid w:val="005654E4"/>
    <w:rsid w:val="0056551B"/>
    <w:rsid w:val="005660AC"/>
    <w:rsid w:val="005666AD"/>
    <w:rsid w:val="00566BC9"/>
    <w:rsid w:val="00566C7B"/>
    <w:rsid w:val="005673AE"/>
    <w:rsid w:val="0056774A"/>
    <w:rsid w:val="00567A64"/>
    <w:rsid w:val="005702AC"/>
    <w:rsid w:val="00570C1D"/>
    <w:rsid w:val="00571582"/>
    <w:rsid w:val="00571BA8"/>
    <w:rsid w:val="00572555"/>
    <w:rsid w:val="00572B61"/>
    <w:rsid w:val="005731B4"/>
    <w:rsid w:val="0057337E"/>
    <w:rsid w:val="00574D72"/>
    <w:rsid w:val="0057509A"/>
    <w:rsid w:val="00575868"/>
    <w:rsid w:val="00576075"/>
    <w:rsid w:val="00576555"/>
    <w:rsid w:val="005769AB"/>
    <w:rsid w:val="00576A21"/>
    <w:rsid w:val="00577018"/>
    <w:rsid w:val="00577132"/>
    <w:rsid w:val="005776A4"/>
    <w:rsid w:val="00577B20"/>
    <w:rsid w:val="00577D63"/>
    <w:rsid w:val="00580433"/>
    <w:rsid w:val="00580F6D"/>
    <w:rsid w:val="005811BD"/>
    <w:rsid w:val="005811DC"/>
    <w:rsid w:val="00581929"/>
    <w:rsid w:val="0058272F"/>
    <w:rsid w:val="00582BE5"/>
    <w:rsid w:val="00582EFF"/>
    <w:rsid w:val="00582F29"/>
    <w:rsid w:val="00583187"/>
    <w:rsid w:val="005835E6"/>
    <w:rsid w:val="005839D2"/>
    <w:rsid w:val="00583B7A"/>
    <w:rsid w:val="005842A9"/>
    <w:rsid w:val="0058432C"/>
    <w:rsid w:val="005845FC"/>
    <w:rsid w:val="00584DFD"/>
    <w:rsid w:val="00584ED5"/>
    <w:rsid w:val="00585106"/>
    <w:rsid w:val="00585377"/>
    <w:rsid w:val="00585438"/>
    <w:rsid w:val="005857C9"/>
    <w:rsid w:val="00585AD7"/>
    <w:rsid w:val="00585AD8"/>
    <w:rsid w:val="00585B3F"/>
    <w:rsid w:val="00586640"/>
    <w:rsid w:val="0058664C"/>
    <w:rsid w:val="005867A1"/>
    <w:rsid w:val="005867A6"/>
    <w:rsid w:val="0058725D"/>
    <w:rsid w:val="005879D6"/>
    <w:rsid w:val="00587DAA"/>
    <w:rsid w:val="00587F2D"/>
    <w:rsid w:val="005902C1"/>
    <w:rsid w:val="00590B54"/>
    <w:rsid w:val="00590EDA"/>
    <w:rsid w:val="00591486"/>
    <w:rsid w:val="005915CB"/>
    <w:rsid w:val="005915F4"/>
    <w:rsid w:val="005916D3"/>
    <w:rsid w:val="00591AB7"/>
    <w:rsid w:val="00591E55"/>
    <w:rsid w:val="00592719"/>
    <w:rsid w:val="0059288C"/>
    <w:rsid w:val="00593091"/>
    <w:rsid w:val="005931B9"/>
    <w:rsid w:val="00595700"/>
    <w:rsid w:val="0059653C"/>
    <w:rsid w:val="00596699"/>
    <w:rsid w:val="00596923"/>
    <w:rsid w:val="00596A8F"/>
    <w:rsid w:val="00596EC9"/>
    <w:rsid w:val="00596EE6"/>
    <w:rsid w:val="00596F6A"/>
    <w:rsid w:val="00596FC4"/>
    <w:rsid w:val="0059703D"/>
    <w:rsid w:val="0059749B"/>
    <w:rsid w:val="005A01ED"/>
    <w:rsid w:val="005A0524"/>
    <w:rsid w:val="005A0646"/>
    <w:rsid w:val="005A1365"/>
    <w:rsid w:val="005A13C6"/>
    <w:rsid w:val="005A1C55"/>
    <w:rsid w:val="005A1DDB"/>
    <w:rsid w:val="005A259D"/>
    <w:rsid w:val="005A2AA9"/>
    <w:rsid w:val="005A3227"/>
    <w:rsid w:val="005A3559"/>
    <w:rsid w:val="005A3634"/>
    <w:rsid w:val="005A39E0"/>
    <w:rsid w:val="005A3E7F"/>
    <w:rsid w:val="005A414E"/>
    <w:rsid w:val="005A417C"/>
    <w:rsid w:val="005A43AD"/>
    <w:rsid w:val="005A4B5D"/>
    <w:rsid w:val="005A4BA5"/>
    <w:rsid w:val="005A4D26"/>
    <w:rsid w:val="005A5764"/>
    <w:rsid w:val="005A5833"/>
    <w:rsid w:val="005A674B"/>
    <w:rsid w:val="005A74CC"/>
    <w:rsid w:val="005A78EC"/>
    <w:rsid w:val="005B0B00"/>
    <w:rsid w:val="005B0CD8"/>
    <w:rsid w:val="005B0F51"/>
    <w:rsid w:val="005B14CD"/>
    <w:rsid w:val="005B1764"/>
    <w:rsid w:val="005B19A4"/>
    <w:rsid w:val="005B1B67"/>
    <w:rsid w:val="005B1C8E"/>
    <w:rsid w:val="005B236A"/>
    <w:rsid w:val="005B27F6"/>
    <w:rsid w:val="005B287A"/>
    <w:rsid w:val="005B30C2"/>
    <w:rsid w:val="005B32CF"/>
    <w:rsid w:val="005B3667"/>
    <w:rsid w:val="005B3D38"/>
    <w:rsid w:val="005B3E9C"/>
    <w:rsid w:val="005B3F1B"/>
    <w:rsid w:val="005B4A75"/>
    <w:rsid w:val="005B4C96"/>
    <w:rsid w:val="005B4DC9"/>
    <w:rsid w:val="005B500C"/>
    <w:rsid w:val="005B526E"/>
    <w:rsid w:val="005B5B72"/>
    <w:rsid w:val="005B5C86"/>
    <w:rsid w:val="005B5CB8"/>
    <w:rsid w:val="005B5D54"/>
    <w:rsid w:val="005B5E21"/>
    <w:rsid w:val="005B5E53"/>
    <w:rsid w:val="005B6571"/>
    <w:rsid w:val="005B6A46"/>
    <w:rsid w:val="005B703F"/>
    <w:rsid w:val="005B71C3"/>
    <w:rsid w:val="005B7447"/>
    <w:rsid w:val="005B7754"/>
    <w:rsid w:val="005C0487"/>
    <w:rsid w:val="005C0759"/>
    <w:rsid w:val="005C0A85"/>
    <w:rsid w:val="005C0CED"/>
    <w:rsid w:val="005C11B0"/>
    <w:rsid w:val="005C1520"/>
    <w:rsid w:val="005C1A32"/>
    <w:rsid w:val="005C1ACF"/>
    <w:rsid w:val="005C1C73"/>
    <w:rsid w:val="005C1E7C"/>
    <w:rsid w:val="005C281F"/>
    <w:rsid w:val="005C2A6D"/>
    <w:rsid w:val="005C2B99"/>
    <w:rsid w:val="005C2DF2"/>
    <w:rsid w:val="005C3787"/>
    <w:rsid w:val="005C4995"/>
    <w:rsid w:val="005C499F"/>
    <w:rsid w:val="005C49AB"/>
    <w:rsid w:val="005C4A19"/>
    <w:rsid w:val="005C4DFF"/>
    <w:rsid w:val="005C5400"/>
    <w:rsid w:val="005C582D"/>
    <w:rsid w:val="005C58A8"/>
    <w:rsid w:val="005C6C89"/>
    <w:rsid w:val="005C73CA"/>
    <w:rsid w:val="005C7B04"/>
    <w:rsid w:val="005D0C9A"/>
    <w:rsid w:val="005D0F9B"/>
    <w:rsid w:val="005D175B"/>
    <w:rsid w:val="005D1A8D"/>
    <w:rsid w:val="005D1B3D"/>
    <w:rsid w:val="005D2152"/>
    <w:rsid w:val="005D324C"/>
    <w:rsid w:val="005D366C"/>
    <w:rsid w:val="005D366F"/>
    <w:rsid w:val="005D4222"/>
    <w:rsid w:val="005D4236"/>
    <w:rsid w:val="005D42C2"/>
    <w:rsid w:val="005D567C"/>
    <w:rsid w:val="005D5F75"/>
    <w:rsid w:val="005D6173"/>
    <w:rsid w:val="005D64FB"/>
    <w:rsid w:val="005D6624"/>
    <w:rsid w:val="005D663A"/>
    <w:rsid w:val="005D6BB0"/>
    <w:rsid w:val="005D6F71"/>
    <w:rsid w:val="005D7029"/>
    <w:rsid w:val="005D7842"/>
    <w:rsid w:val="005D7E28"/>
    <w:rsid w:val="005D7E29"/>
    <w:rsid w:val="005E0AB0"/>
    <w:rsid w:val="005E0C1F"/>
    <w:rsid w:val="005E0C5F"/>
    <w:rsid w:val="005E13B1"/>
    <w:rsid w:val="005E148E"/>
    <w:rsid w:val="005E28E6"/>
    <w:rsid w:val="005E294F"/>
    <w:rsid w:val="005E2C26"/>
    <w:rsid w:val="005E345C"/>
    <w:rsid w:val="005E407D"/>
    <w:rsid w:val="005E4241"/>
    <w:rsid w:val="005E44BD"/>
    <w:rsid w:val="005E4845"/>
    <w:rsid w:val="005E50FA"/>
    <w:rsid w:val="005E5954"/>
    <w:rsid w:val="005E5AFE"/>
    <w:rsid w:val="005E609A"/>
    <w:rsid w:val="005E65BC"/>
    <w:rsid w:val="005E6923"/>
    <w:rsid w:val="005E6C14"/>
    <w:rsid w:val="005E6C70"/>
    <w:rsid w:val="005E6E45"/>
    <w:rsid w:val="005E7461"/>
    <w:rsid w:val="005E7913"/>
    <w:rsid w:val="005F144C"/>
    <w:rsid w:val="005F17A2"/>
    <w:rsid w:val="005F24B2"/>
    <w:rsid w:val="005F2D14"/>
    <w:rsid w:val="005F30E9"/>
    <w:rsid w:val="005F36B3"/>
    <w:rsid w:val="005F36BF"/>
    <w:rsid w:val="005F3FE6"/>
    <w:rsid w:val="005F48EC"/>
    <w:rsid w:val="005F4C1D"/>
    <w:rsid w:val="005F4CF4"/>
    <w:rsid w:val="005F5A51"/>
    <w:rsid w:val="005F5F5C"/>
    <w:rsid w:val="005F5FF2"/>
    <w:rsid w:val="005F619D"/>
    <w:rsid w:val="005F6550"/>
    <w:rsid w:val="005F6A5B"/>
    <w:rsid w:val="005F6CBE"/>
    <w:rsid w:val="005F6CF7"/>
    <w:rsid w:val="005F6EF9"/>
    <w:rsid w:val="005F752D"/>
    <w:rsid w:val="00600267"/>
    <w:rsid w:val="00600FF2"/>
    <w:rsid w:val="00600FFF"/>
    <w:rsid w:val="006013A7"/>
    <w:rsid w:val="00601B00"/>
    <w:rsid w:val="00601D04"/>
    <w:rsid w:val="00601DD7"/>
    <w:rsid w:val="00601E6F"/>
    <w:rsid w:val="00602427"/>
    <w:rsid w:val="00602554"/>
    <w:rsid w:val="00602904"/>
    <w:rsid w:val="0060315C"/>
    <w:rsid w:val="00603565"/>
    <w:rsid w:val="00603AC3"/>
    <w:rsid w:val="006049CC"/>
    <w:rsid w:val="00605802"/>
    <w:rsid w:val="00605835"/>
    <w:rsid w:val="006065A9"/>
    <w:rsid w:val="00606720"/>
    <w:rsid w:val="006069FD"/>
    <w:rsid w:val="00606A4A"/>
    <w:rsid w:val="00606CCB"/>
    <w:rsid w:val="00610628"/>
    <w:rsid w:val="00610AD7"/>
    <w:rsid w:val="00610B51"/>
    <w:rsid w:val="00610C77"/>
    <w:rsid w:val="00611286"/>
    <w:rsid w:val="00611352"/>
    <w:rsid w:val="00611F69"/>
    <w:rsid w:val="00612885"/>
    <w:rsid w:val="00612B6F"/>
    <w:rsid w:val="0061318E"/>
    <w:rsid w:val="0061349C"/>
    <w:rsid w:val="00613C10"/>
    <w:rsid w:val="00614F0F"/>
    <w:rsid w:val="0061507E"/>
    <w:rsid w:val="00615839"/>
    <w:rsid w:val="00615855"/>
    <w:rsid w:val="00616077"/>
    <w:rsid w:val="00616954"/>
    <w:rsid w:val="00616CDA"/>
    <w:rsid w:val="006170DB"/>
    <w:rsid w:val="006176E4"/>
    <w:rsid w:val="006178DE"/>
    <w:rsid w:val="006207CA"/>
    <w:rsid w:val="00620EFA"/>
    <w:rsid w:val="006214ED"/>
    <w:rsid w:val="006216FD"/>
    <w:rsid w:val="00621C10"/>
    <w:rsid w:val="00621C90"/>
    <w:rsid w:val="006226F6"/>
    <w:rsid w:val="00622A0C"/>
    <w:rsid w:val="00622CA4"/>
    <w:rsid w:val="006242AD"/>
    <w:rsid w:val="00624564"/>
    <w:rsid w:val="0062507E"/>
    <w:rsid w:val="006254DE"/>
    <w:rsid w:val="006258AD"/>
    <w:rsid w:val="00625FA0"/>
    <w:rsid w:val="00626086"/>
    <w:rsid w:val="006269A3"/>
    <w:rsid w:val="00626CE3"/>
    <w:rsid w:val="00627AD2"/>
    <w:rsid w:val="00630167"/>
    <w:rsid w:val="006304EB"/>
    <w:rsid w:val="00630DDB"/>
    <w:rsid w:val="00631315"/>
    <w:rsid w:val="00632992"/>
    <w:rsid w:val="006341CD"/>
    <w:rsid w:val="006349E2"/>
    <w:rsid w:val="006355C0"/>
    <w:rsid w:val="00635CF9"/>
    <w:rsid w:val="00635D49"/>
    <w:rsid w:val="00635DF9"/>
    <w:rsid w:val="00635EC0"/>
    <w:rsid w:val="006364D8"/>
    <w:rsid w:val="00636961"/>
    <w:rsid w:val="00636D09"/>
    <w:rsid w:val="00636E95"/>
    <w:rsid w:val="006372B4"/>
    <w:rsid w:val="0063765A"/>
    <w:rsid w:val="00637744"/>
    <w:rsid w:val="00637907"/>
    <w:rsid w:val="006401DF"/>
    <w:rsid w:val="00640D02"/>
    <w:rsid w:val="006417CC"/>
    <w:rsid w:val="006425C2"/>
    <w:rsid w:val="0064294F"/>
    <w:rsid w:val="00642FBE"/>
    <w:rsid w:val="006439AD"/>
    <w:rsid w:val="00644180"/>
    <w:rsid w:val="006442B4"/>
    <w:rsid w:val="0064434A"/>
    <w:rsid w:val="00644B39"/>
    <w:rsid w:val="006451BF"/>
    <w:rsid w:val="006452BE"/>
    <w:rsid w:val="00645566"/>
    <w:rsid w:val="006457D8"/>
    <w:rsid w:val="00645EBE"/>
    <w:rsid w:val="00646BAC"/>
    <w:rsid w:val="006470E6"/>
    <w:rsid w:val="00647433"/>
    <w:rsid w:val="00647AED"/>
    <w:rsid w:val="00647B0C"/>
    <w:rsid w:val="00650000"/>
    <w:rsid w:val="0065074B"/>
    <w:rsid w:val="00650E14"/>
    <w:rsid w:val="00651836"/>
    <w:rsid w:val="0065202B"/>
    <w:rsid w:val="00652430"/>
    <w:rsid w:val="0065243A"/>
    <w:rsid w:val="0065258B"/>
    <w:rsid w:val="006525ED"/>
    <w:rsid w:val="00652945"/>
    <w:rsid w:val="00652ECB"/>
    <w:rsid w:val="00652F5B"/>
    <w:rsid w:val="0065303B"/>
    <w:rsid w:val="0065331A"/>
    <w:rsid w:val="00654087"/>
    <w:rsid w:val="00654F24"/>
    <w:rsid w:val="00654F6F"/>
    <w:rsid w:val="00655698"/>
    <w:rsid w:val="006556BA"/>
    <w:rsid w:val="00656BDF"/>
    <w:rsid w:val="00657C89"/>
    <w:rsid w:val="00657E27"/>
    <w:rsid w:val="0066017C"/>
    <w:rsid w:val="006605E1"/>
    <w:rsid w:val="00660A37"/>
    <w:rsid w:val="00660B72"/>
    <w:rsid w:val="00660DE7"/>
    <w:rsid w:val="006610E2"/>
    <w:rsid w:val="00663C7C"/>
    <w:rsid w:val="00663FA8"/>
    <w:rsid w:val="00664211"/>
    <w:rsid w:val="00664B6F"/>
    <w:rsid w:val="00664C12"/>
    <w:rsid w:val="00664DFE"/>
    <w:rsid w:val="00664E1B"/>
    <w:rsid w:val="0066516E"/>
    <w:rsid w:val="006654AE"/>
    <w:rsid w:val="006654BA"/>
    <w:rsid w:val="006661BE"/>
    <w:rsid w:val="006663E6"/>
    <w:rsid w:val="0066687D"/>
    <w:rsid w:val="00666A4A"/>
    <w:rsid w:val="00667147"/>
    <w:rsid w:val="006671E0"/>
    <w:rsid w:val="00667222"/>
    <w:rsid w:val="0066732B"/>
    <w:rsid w:val="00667369"/>
    <w:rsid w:val="00667536"/>
    <w:rsid w:val="006677BD"/>
    <w:rsid w:val="00667DEA"/>
    <w:rsid w:val="00670051"/>
    <w:rsid w:val="0067010C"/>
    <w:rsid w:val="00670B8A"/>
    <w:rsid w:val="00670C59"/>
    <w:rsid w:val="00670D9B"/>
    <w:rsid w:val="0067121E"/>
    <w:rsid w:val="006719DD"/>
    <w:rsid w:val="00671A43"/>
    <w:rsid w:val="006720BF"/>
    <w:rsid w:val="00672134"/>
    <w:rsid w:val="00672166"/>
    <w:rsid w:val="00672443"/>
    <w:rsid w:val="00672C51"/>
    <w:rsid w:val="006733D2"/>
    <w:rsid w:val="00673474"/>
    <w:rsid w:val="00673A33"/>
    <w:rsid w:val="00673AAC"/>
    <w:rsid w:val="00673D4F"/>
    <w:rsid w:val="006749CA"/>
    <w:rsid w:val="00674C67"/>
    <w:rsid w:val="00675209"/>
    <w:rsid w:val="006753F5"/>
    <w:rsid w:val="00675E05"/>
    <w:rsid w:val="006760B0"/>
    <w:rsid w:val="00676407"/>
    <w:rsid w:val="00676586"/>
    <w:rsid w:val="00676725"/>
    <w:rsid w:val="00676AA1"/>
    <w:rsid w:val="00676FE8"/>
    <w:rsid w:val="00677107"/>
    <w:rsid w:val="006778C1"/>
    <w:rsid w:val="00677921"/>
    <w:rsid w:val="00680ABA"/>
    <w:rsid w:val="00680C27"/>
    <w:rsid w:val="00681387"/>
    <w:rsid w:val="00681A75"/>
    <w:rsid w:val="006821C8"/>
    <w:rsid w:val="0068288F"/>
    <w:rsid w:val="00682AAA"/>
    <w:rsid w:val="00682B4E"/>
    <w:rsid w:val="00683F23"/>
    <w:rsid w:val="00684087"/>
    <w:rsid w:val="00684951"/>
    <w:rsid w:val="00684A99"/>
    <w:rsid w:val="006850C5"/>
    <w:rsid w:val="00685B7E"/>
    <w:rsid w:val="00685EE8"/>
    <w:rsid w:val="006864F2"/>
    <w:rsid w:val="0068678C"/>
    <w:rsid w:val="006867F9"/>
    <w:rsid w:val="00686B54"/>
    <w:rsid w:val="00686F51"/>
    <w:rsid w:val="0068726E"/>
    <w:rsid w:val="00687C04"/>
    <w:rsid w:val="00687E7E"/>
    <w:rsid w:val="006900AB"/>
    <w:rsid w:val="0069128D"/>
    <w:rsid w:val="006912C4"/>
    <w:rsid w:val="0069188D"/>
    <w:rsid w:val="00691930"/>
    <w:rsid w:val="00692875"/>
    <w:rsid w:val="006928AF"/>
    <w:rsid w:val="00692BEE"/>
    <w:rsid w:val="00692BFF"/>
    <w:rsid w:val="00692FDA"/>
    <w:rsid w:val="0069306D"/>
    <w:rsid w:val="006931BE"/>
    <w:rsid w:val="0069340B"/>
    <w:rsid w:val="0069356B"/>
    <w:rsid w:val="0069361A"/>
    <w:rsid w:val="00693AB5"/>
    <w:rsid w:val="00693B33"/>
    <w:rsid w:val="00693F03"/>
    <w:rsid w:val="00694D50"/>
    <w:rsid w:val="00694F07"/>
    <w:rsid w:val="00694FFC"/>
    <w:rsid w:val="006958C4"/>
    <w:rsid w:val="00695A56"/>
    <w:rsid w:val="00695C0E"/>
    <w:rsid w:val="00696147"/>
    <w:rsid w:val="00696851"/>
    <w:rsid w:val="00696F4B"/>
    <w:rsid w:val="00697063"/>
    <w:rsid w:val="00697CE3"/>
    <w:rsid w:val="00697D79"/>
    <w:rsid w:val="00697F19"/>
    <w:rsid w:val="00697FFB"/>
    <w:rsid w:val="006A07E5"/>
    <w:rsid w:val="006A0910"/>
    <w:rsid w:val="006A09C1"/>
    <w:rsid w:val="006A10AA"/>
    <w:rsid w:val="006A1582"/>
    <w:rsid w:val="006A19B1"/>
    <w:rsid w:val="006A1E58"/>
    <w:rsid w:val="006A26E1"/>
    <w:rsid w:val="006A2E0E"/>
    <w:rsid w:val="006A2E3D"/>
    <w:rsid w:val="006A3379"/>
    <w:rsid w:val="006A35BE"/>
    <w:rsid w:val="006A35ED"/>
    <w:rsid w:val="006A38A2"/>
    <w:rsid w:val="006A39E5"/>
    <w:rsid w:val="006A3A19"/>
    <w:rsid w:val="006A3EF6"/>
    <w:rsid w:val="006A4D9A"/>
    <w:rsid w:val="006A5115"/>
    <w:rsid w:val="006A54BC"/>
    <w:rsid w:val="006A567E"/>
    <w:rsid w:val="006A6429"/>
    <w:rsid w:val="006A669F"/>
    <w:rsid w:val="006A6F03"/>
    <w:rsid w:val="006B0218"/>
    <w:rsid w:val="006B0291"/>
    <w:rsid w:val="006B0634"/>
    <w:rsid w:val="006B0924"/>
    <w:rsid w:val="006B0FDD"/>
    <w:rsid w:val="006B1054"/>
    <w:rsid w:val="006B14ED"/>
    <w:rsid w:val="006B16CB"/>
    <w:rsid w:val="006B17BD"/>
    <w:rsid w:val="006B1DE9"/>
    <w:rsid w:val="006B1E06"/>
    <w:rsid w:val="006B22CB"/>
    <w:rsid w:val="006B2C4E"/>
    <w:rsid w:val="006B2CBF"/>
    <w:rsid w:val="006B318B"/>
    <w:rsid w:val="006B39F1"/>
    <w:rsid w:val="006B41EF"/>
    <w:rsid w:val="006B4992"/>
    <w:rsid w:val="006B4A16"/>
    <w:rsid w:val="006B4F47"/>
    <w:rsid w:val="006B578A"/>
    <w:rsid w:val="006B57B7"/>
    <w:rsid w:val="006B59D2"/>
    <w:rsid w:val="006B5B1D"/>
    <w:rsid w:val="006B5CE6"/>
    <w:rsid w:val="006B5DF1"/>
    <w:rsid w:val="006B66A9"/>
    <w:rsid w:val="006B6860"/>
    <w:rsid w:val="006B6A3C"/>
    <w:rsid w:val="006B711B"/>
    <w:rsid w:val="006B71B5"/>
    <w:rsid w:val="006B7250"/>
    <w:rsid w:val="006B75DD"/>
    <w:rsid w:val="006B7702"/>
    <w:rsid w:val="006B7A65"/>
    <w:rsid w:val="006B7B14"/>
    <w:rsid w:val="006B7C1C"/>
    <w:rsid w:val="006C034A"/>
    <w:rsid w:val="006C038E"/>
    <w:rsid w:val="006C06A5"/>
    <w:rsid w:val="006C0DD2"/>
    <w:rsid w:val="006C1CE8"/>
    <w:rsid w:val="006C1E60"/>
    <w:rsid w:val="006C24AB"/>
    <w:rsid w:val="006C268A"/>
    <w:rsid w:val="006C303E"/>
    <w:rsid w:val="006C3E10"/>
    <w:rsid w:val="006C4038"/>
    <w:rsid w:val="006C4B4E"/>
    <w:rsid w:val="006C4FB6"/>
    <w:rsid w:val="006C5296"/>
    <w:rsid w:val="006C543C"/>
    <w:rsid w:val="006C5813"/>
    <w:rsid w:val="006C5A07"/>
    <w:rsid w:val="006C5D3A"/>
    <w:rsid w:val="006C6055"/>
    <w:rsid w:val="006C674B"/>
    <w:rsid w:val="006C6A90"/>
    <w:rsid w:val="006C6C9D"/>
    <w:rsid w:val="006C7749"/>
    <w:rsid w:val="006C7C50"/>
    <w:rsid w:val="006D08A4"/>
    <w:rsid w:val="006D0EFC"/>
    <w:rsid w:val="006D0F1F"/>
    <w:rsid w:val="006D1042"/>
    <w:rsid w:val="006D119C"/>
    <w:rsid w:val="006D13B6"/>
    <w:rsid w:val="006D1C46"/>
    <w:rsid w:val="006D271B"/>
    <w:rsid w:val="006D2962"/>
    <w:rsid w:val="006D2C94"/>
    <w:rsid w:val="006D3284"/>
    <w:rsid w:val="006D3297"/>
    <w:rsid w:val="006D3471"/>
    <w:rsid w:val="006D3705"/>
    <w:rsid w:val="006D3F2A"/>
    <w:rsid w:val="006D4252"/>
    <w:rsid w:val="006D4316"/>
    <w:rsid w:val="006D4423"/>
    <w:rsid w:val="006D4C77"/>
    <w:rsid w:val="006D4DF0"/>
    <w:rsid w:val="006D5408"/>
    <w:rsid w:val="006D57ED"/>
    <w:rsid w:val="006D5A1B"/>
    <w:rsid w:val="006D7653"/>
    <w:rsid w:val="006D7BDF"/>
    <w:rsid w:val="006D7EDC"/>
    <w:rsid w:val="006E08C8"/>
    <w:rsid w:val="006E1409"/>
    <w:rsid w:val="006E161E"/>
    <w:rsid w:val="006E20F1"/>
    <w:rsid w:val="006E215F"/>
    <w:rsid w:val="006E222D"/>
    <w:rsid w:val="006E284A"/>
    <w:rsid w:val="006E2C08"/>
    <w:rsid w:val="006E3650"/>
    <w:rsid w:val="006E4058"/>
    <w:rsid w:val="006E440A"/>
    <w:rsid w:val="006E45EB"/>
    <w:rsid w:val="006E4A4A"/>
    <w:rsid w:val="006E4FD8"/>
    <w:rsid w:val="006E613C"/>
    <w:rsid w:val="006E66D9"/>
    <w:rsid w:val="006E67C1"/>
    <w:rsid w:val="006E6B8A"/>
    <w:rsid w:val="006E6ED9"/>
    <w:rsid w:val="006E7242"/>
    <w:rsid w:val="006F0259"/>
    <w:rsid w:val="006F0839"/>
    <w:rsid w:val="006F115F"/>
    <w:rsid w:val="006F12E9"/>
    <w:rsid w:val="006F1B34"/>
    <w:rsid w:val="006F20D3"/>
    <w:rsid w:val="006F2D58"/>
    <w:rsid w:val="006F2F36"/>
    <w:rsid w:val="006F3249"/>
    <w:rsid w:val="006F3770"/>
    <w:rsid w:val="006F3DF5"/>
    <w:rsid w:val="006F3DFB"/>
    <w:rsid w:val="006F4232"/>
    <w:rsid w:val="006F4274"/>
    <w:rsid w:val="006F462A"/>
    <w:rsid w:val="006F49F5"/>
    <w:rsid w:val="006F4A12"/>
    <w:rsid w:val="006F4C10"/>
    <w:rsid w:val="006F53E0"/>
    <w:rsid w:val="006F5C6E"/>
    <w:rsid w:val="006F6202"/>
    <w:rsid w:val="006F6BAB"/>
    <w:rsid w:val="006F7565"/>
    <w:rsid w:val="007004FF"/>
    <w:rsid w:val="007007A3"/>
    <w:rsid w:val="00700860"/>
    <w:rsid w:val="00701CCE"/>
    <w:rsid w:val="00702079"/>
    <w:rsid w:val="0070266D"/>
    <w:rsid w:val="00702DF6"/>
    <w:rsid w:val="00703423"/>
    <w:rsid w:val="0070488F"/>
    <w:rsid w:val="0070494B"/>
    <w:rsid w:val="00705BB2"/>
    <w:rsid w:val="00705EEA"/>
    <w:rsid w:val="00706F1C"/>
    <w:rsid w:val="00706FFD"/>
    <w:rsid w:val="007073CB"/>
    <w:rsid w:val="007079E0"/>
    <w:rsid w:val="007106D1"/>
    <w:rsid w:val="00710DD0"/>
    <w:rsid w:val="0071128D"/>
    <w:rsid w:val="00711456"/>
    <w:rsid w:val="00711E9B"/>
    <w:rsid w:val="00711FFE"/>
    <w:rsid w:val="00712E49"/>
    <w:rsid w:val="007132C7"/>
    <w:rsid w:val="00713ADA"/>
    <w:rsid w:val="00714157"/>
    <w:rsid w:val="00717399"/>
    <w:rsid w:val="00717570"/>
    <w:rsid w:val="00717761"/>
    <w:rsid w:val="00721565"/>
    <w:rsid w:val="00721789"/>
    <w:rsid w:val="007223BF"/>
    <w:rsid w:val="00722626"/>
    <w:rsid w:val="00722B68"/>
    <w:rsid w:val="00722DB2"/>
    <w:rsid w:val="00723676"/>
    <w:rsid w:val="0072371A"/>
    <w:rsid w:val="00723D42"/>
    <w:rsid w:val="00723F72"/>
    <w:rsid w:val="00723F9E"/>
    <w:rsid w:val="007240EB"/>
    <w:rsid w:val="007250D6"/>
    <w:rsid w:val="007251E5"/>
    <w:rsid w:val="007252CF"/>
    <w:rsid w:val="00725926"/>
    <w:rsid w:val="00725E78"/>
    <w:rsid w:val="00725EC9"/>
    <w:rsid w:val="00726368"/>
    <w:rsid w:val="007263C7"/>
    <w:rsid w:val="007264DC"/>
    <w:rsid w:val="00727062"/>
    <w:rsid w:val="00727C6F"/>
    <w:rsid w:val="00730D7A"/>
    <w:rsid w:val="0073102B"/>
    <w:rsid w:val="0073142A"/>
    <w:rsid w:val="0073148E"/>
    <w:rsid w:val="00731752"/>
    <w:rsid w:val="007318AE"/>
    <w:rsid w:val="0073290E"/>
    <w:rsid w:val="00732A6C"/>
    <w:rsid w:val="00733108"/>
    <w:rsid w:val="0073348C"/>
    <w:rsid w:val="007339F0"/>
    <w:rsid w:val="00734101"/>
    <w:rsid w:val="007343F5"/>
    <w:rsid w:val="00734593"/>
    <w:rsid w:val="00734A9E"/>
    <w:rsid w:val="0073518B"/>
    <w:rsid w:val="0073598A"/>
    <w:rsid w:val="00735C41"/>
    <w:rsid w:val="00735E67"/>
    <w:rsid w:val="00736262"/>
    <w:rsid w:val="007364DE"/>
    <w:rsid w:val="00736630"/>
    <w:rsid w:val="00736909"/>
    <w:rsid w:val="00736B8B"/>
    <w:rsid w:val="007374E3"/>
    <w:rsid w:val="007375D5"/>
    <w:rsid w:val="0073790F"/>
    <w:rsid w:val="00740586"/>
    <w:rsid w:val="007406CA"/>
    <w:rsid w:val="00740E55"/>
    <w:rsid w:val="007413EB"/>
    <w:rsid w:val="007414A5"/>
    <w:rsid w:val="007418E6"/>
    <w:rsid w:val="007419F9"/>
    <w:rsid w:val="00741B85"/>
    <w:rsid w:val="00741B8D"/>
    <w:rsid w:val="00741DE9"/>
    <w:rsid w:val="00741F34"/>
    <w:rsid w:val="007421BF"/>
    <w:rsid w:val="0074275F"/>
    <w:rsid w:val="007434EF"/>
    <w:rsid w:val="007435EC"/>
    <w:rsid w:val="007435EF"/>
    <w:rsid w:val="007435F5"/>
    <w:rsid w:val="007445A7"/>
    <w:rsid w:val="00744D4D"/>
    <w:rsid w:val="0074514A"/>
    <w:rsid w:val="00745B9C"/>
    <w:rsid w:val="00746362"/>
    <w:rsid w:val="00746440"/>
    <w:rsid w:val="00747086"/>
    <w:rsid w:val="00747264"/>
    <w:rsid w:val="0074726B"/>
    <w:rsid w:val="00747D0D"/>
    <w:rsid w:val="007503CB"/>
    <w:rsid w:val="007510EA"/>
    <w:rsid w:val="00751409"/>
    <w:rsid w:val="007517BB"/>
    <w:rsid w:val="007522A9"/>
    <w:rsid w:val="00752500"/>
    <w:rsid w:val="00752760"/>
    <w:rsid w:val="00752F9B"/>
    <w:rsid w:val="0075328C"/>
    <w:rsid w:val="007532D3"/>
    <w:rsid w:val="00753774"/>
    <w:rsid w:val="00753850"/>
    <w:rsid w:val="00753980"/>
    <w:rsid w:val="00754144"/>
    <w:rsid w:val="00754254"/>
    <w:rsid w:val="007544A7"/>
    <w:rsid w:val="0075493D"/>
    <w:rsid w:val="0075494F"/>
    <w:rsid w:val="0075495C"/>
    <w:rsid w:val="00754FE9"/>
    <w:rsid w:val="0075524E"/>
    <w:rsid w:val="007552EF"/>
    <w:rsid w:val="00755728"/>
    <w:rsid w:val="0075573C"/>
    <w:rsid w:val="00755FA8"/>
    <w:rsid w:val="007560AC"/>
    <w:rsid w:val="00757684"/>
    <w:rsid w:val="0076072E"/>
    <w:rsid w:val="00760F14"/>
    <w:rsid w:val="00760FDC"/>
    <w:rsid w:val="00761C6B"/>
    <w:rsid w:val="00761DE3"/>
    <w:rsid w:val="007620DC"/>
    <w:rsid w:val="0076241C"/>
    <w:rsid w:val="0076299B"/>
    <w:rsid w:val="007632D8"/>
    <w:rsid w:val="007633BF"/>
    <w:rsid w:val="007633D5"/>
    <w:rsid w:val="00763612"/>
    <w:rsid w:val="00763DD5"/>
    <w:rsid w:val="0076406B"/>
    <w:rsid w:val="00764120"/>
    <w:rsid w:val="00764330"/>
    <w:rsid w:val="0076480E"/>
    <w:rsid w:val="0076570C"/>
    <w:rsid w:val="00765755"/>
    <w:rsid w:val="007660D2"/>
    <w:rsid w:val="00766128"/>
    <w:rsid w:val="00767102"/>
    <w:rsid w:val="00767A72"/>
    <w:rsid w:val="007705D6"/>
    <w:rsid w:val="00770B8B"/>
    <w:rsid w:val="00771320"/>
    <w:rsid w:val="00771790"/>
    <w:rsid w:val="00771C20"/>
    <w:rsid w:val="00772872"/>
    <w:rsid w:val="00772C1B"/>
    <w:rsid w:val="00773819"/>
    <w:rsid w:val="00773A0D"/>
    <w:rsid w:val="00773A27"/>
    <w:rsid w:val="00773A49"/>
    <w:rsid w:val="00773CB8"/>
    <w:rsid w:val="00773D3A"/>
    <w:rsid w:val="0077401E"/>
    <w:rsid w:val="0077405D"/>
    <w:rsid w:val="007743BA"/>
    <w:rsid w:val="00774C22"/>
    <w:rsid w:val="00774EA8"/>
    <w:rsid w:val="00774F91"/>
    <w:rsid w:val="00775895"/>
    <w:rsid w:val="00775A1D"/>
    <w:rsid w:val="00775D53"/>
    <w:rsid w:val="00775FC2"/>
    <w:rsid w:val="00776A1E"/>
    <w:rsid w:val="00776D17"/>
    <w:rsid w:val="00776E59"/>
    <w:rsid w:val="00776EA1"/>
    <w:rsid w:val="0078053E"/>
    <w:rsid w:val="00781281"/>
    <w:rsid w:val="00781CFB"/>
    <w:rsid w:val="00782063"/>
    <w:rsid w:val="00782942"/>
    <w:rsid w:val="00782B93"/>
    <w:rsid w:val="00782BA5"/>
    <w:rsid w:val="00782E19"/>
    <w:rsid w:val="0078349A"/>
    <w:rsid w:val="007836D1"/>
    <w:rsid w:val="00783FF2"/>
    <w:rsid w:val="007841D4"/>
    <w:rsid w:val="0078562B"/>
    <w:rsid w:val="00786351"/>
    <w:rsid w:val="00786BD8"/>
    <w:rsid w:val="00786E04"/>
    <w:rsid w:val="00786FCB"/>
    <w:rsid w:val="00787C1A"/>
    <w:rsid w:val="00787FD1"/>
    <w:rsid w:val="00790215"/>
    <w:rsid w:val="00790BB4"/>
    <w:rsid w:val="00790D25"/>
    <w:rsid w:val="00790D68"/>
    <w:rsid w:val="00790DD4"/>
    <w:rsid w:val="0079131D"/>
    <w:rsid w:val="00791863"/>
    <w:rsid w:val="007919B9"/>
    <w:rsid w:val="00791CEA"/>
    <w:rsid w:val="00791DBC"/>
    <w:rsid w:val="0079201D"/>
    <w:rsid w:val="007925D3"/>
    <w:rsid w:val="00792BC3"/>
    <w:rsid w:val="00792FA1"/>
    <w:rsid w:val="007933E7"/>
    <w:rsid w:val="00793482"/>
    <w:rsid w:val="00793992"/>
    <w:rsid w:val="00793FB8"/>
    <w:rsid w:val="00794261"/>
    <w:rsid w:val="00794D46"/>
    <w:rsid w:val="00794E6F"/>
    <w:rsid w:val="00794EEB"/>
    <w:rsid w:val="00796263"/>
    <w:rsid w:val="007966CF"/>
    <w:rsid w:val="00796D05"/>
    <w:rsid w:val="00797746"/>
    <w:rsid w:val="0079796A"/>
    <w:rsid w:val="00797E94"/>
    <w:rsid w:val="00797F18"/>
    <w:rsid w:val="007A037A"/>
    <w:rsid w:val="007A05B9"/>
    <w:rsid w:val="007A0729"/>
    <w:rsid w:val="007A0878"/>
    <w:rsid w:val="007A0B0E"/>
    <w:rsid w:val="007A0FAD"/>
    <w:rsid w:val="007A1061"/>
    <w:rsid w:val="007A176B"/>
    <w:rsid w:val="007A17AB"/>
    <w:rsid w:val="007A2588"/>
    <w:rsid w:val="007A2647"/>
    <w:rsid w:val="007A2FCC"/>
    <w:rsid w:val="007A3A30"/>
    <w:rsid w:val="007A3C10"/>
    <w:rsid w:val="007A43AC"/>
    <w:rsid w:val="007A4AA3"/>
    <w:rsid w:val="007A4B4D"/>
    <w:rsid w:val="007A4CB2"/>
    <w:rsid w:val="007A51FF"/>
    <w:rsid w:val="007A5334"/>
    <w:rsid w:val="007A558E"/>
    <w:rsid w:val="007A5E9F"/>
    <w:rsid w:val="007A6125"/>
    <w:rsid w:val="007A738E"/>
    <w:rsid w:val="007A73BD"/>
    <w:rsid w:val="007A7797"/>
    <w:rsid w:val="007A7915"/>
    <w:rsid w:val="007A7C7E"/>
    <w:rsid w:val="007B0064"/>
    <w:rsid w:val="007B01AE"/>
    <w:rsid w:val="007B0FE2"/>
    <w:rsid w:val="007B0FF1"/>
    <w:rsid w:val="007B1732"/>
    <w:rsid w:val="007B188E"/>
    <w:rsid w:val="007B1A70"/>
    <w:rsid w:val="007B20F5"/>
    <w:rsid w:val="007B2883"/>
    <w:rsid w:val="007B2C89"/>
    <w:rsid w:val="007B3A66"/>
    <w:rsid w:val="007B3FB9"/>
    <w:rsid w:val="007B458F"/>
    <w:rsid w:val="007B4F70"/>
    <w:rsid w:val="007B5D4F"/>
    <w:rsid w:val="007B5FC3"/>
    <w:rsid w:val="007B6B0A"/>
    <w:rsid w:val="007B6C20"/>
    <w:rsid w:val="007B721D"/>
    <w:rsid w:val="007B7509"/>
    <w:rsid w:val="007C0220"/>
    <w:rsid w:val="007C1044"/>
    <w:rsid w:val="007C12B8"/>
    <w:rsid w:val="007C17BB"/>
    <w:rsid w:val="007C1883"/>
    <w:rsid w:val="007C19C0"/>
    <w:rsid w:val="007C20B9"/>
    <w:rsid w:val="007C2537"/>
    <w:rsid w:val="007C2877"/>
    <w:rsid w:val="007C2DC7"/>
    <w:rsid w:val="007C3151"/>
    <w:rsid w:val="007C35F1"/>
    <w:rsid w:val="007C3706"/>
    <w:rsid w:val="007C3D8B"/>
    <w:rsid w:val="007C3D9C"/>
    <w:rsid w:val="007C4439"/>
    <w:rsid w:val="007C45B2"/>
    <w:rsid w:val="007C49A4"/>
    <w:rsid w:val="007C4AAE"/>
    <w:rsid w:val="007C55DA"/>
    <w:rsid w:val="007C7C72"/>
    <w:rsid w:val="007C7F2E"/>
    <w:rsid w:val="007D0135"/>
    <w:rsid w:val="007D03BC"/>
    <w:rsid w:val="007D04CC"/>
    <w:rsid w:val="007D09D7"/>
    <w:rsid w:val="007D12AF"/>
    <w:rsid w:val="007D1472"/>
    <w:rsid w:val="007D1CC2"/>
    <w:rsid w:val="007D2DB5"/>
    <w:rsid w:val="007D337B"/>
    <w:rsid w:val="007D3392"/>
    <w:rsid w:val="007D3CE7"/>
    <w:rsid w:val="007D3DC0"/>
    <w:rsid w:val="007D3FF3"/>
    <w:rsid w:val="007D4501"/>
    <w:rsid w:val="007D45CE"/>
    <w:rsid w:val="007D4B79"/>
    <w:rsid w:val="007D545B"/>
    <w:rsid w:val="007D6482"/>
    <w:rsid w:val="007D67C3"/>
    <w:rsid w:val="007D6F50"/>
    <w:rsid w:val="007D7005"/>
    <w:rsid w:val="007D7FCD"/>
    <w:rsid w:val="007E07C7"/>
    <w:rsid w:val="007E0ADC"/>
    <w:rsid w:val="007E1154"/>
    <w:rsid w:val="007E18A8"/>
    <w:rsid w:val="007E1B3D"/>
    <w:rsid w:val="007E1BDB"/>
    <w:rsid w:val="007E1DE3"/>
    <w:rsid w:val="007E2138"/>
    <w:rsid w:val="007E2845"/>
    <w:rsid w:val="007E28E0"/>
    <w:rsid w:val="007E2A01"/>
    <w:rsid w:val="007E3021"/>
    <w:rsid w:val="007E319D"/>
    <w:rsid w:val="007E347E"/>
    <w:rsid w:val="007E3818"/>
    <w:rsid w:val="007E3E32"/>
    <w:rsid w:val="007E4505"/>
    <w:rsid w:val="007E49A0"/>
    <w:rsid w:val="007E5400"/>
    <w:rsid w:val="007E56B5"/>
    <w:rsid w:val="007E5B43"/>
    <w:rsid w:val="007E5D04"/>
    <w:rsid w:val="007F04B8"/>
    <w:rsid w:val="007F0E0D"/>
    <w:rsid w:val="007F1AD5"/>
    <w:rsid w:val="007F2CAA"/>
    <w:rsid w:val="007F4377"/>
    <w:rsid w:val="007F490E"/>
    <w:rsid w:val="007F4C08"/>
    <w:rsid w:val="007F55D3"/>
    <w:rsid w:val="007F5D22"/>
    <w:rsid w:val="007F5D6A"/>
    <w:rsid w:val="007F5DF8"/>
    <w:rsid w:val="007F617D"/>
    <w:rsid w:val="007F690E"/>
    <w:rsid w:val="007F6F8B"/>
    <w:rsid w:val="007F71AC"/>
    <w:rsid w:val="007F7C96"/>
    <w:rsid w:val="007F7CE6"/>
    <w:rsid w:val="007F7FD3"/>
    <w:rsid w:val="00800ACB"/>
    <w:rsid w:val="0080169C"/>
    <w:rsid w:val="00801714"/>
    <w:rsid w:val="008023E2"/>
    <w:rsid w:val="00803472"/>
    <w:rsid w:val="0080397E"/>
    <w:rsid w:val="00804740"/>
    <w:rsid w:val="00804767"/>
    <w:rsid w:val="008047E0"/>
    <w:rsid w:val="00804CD2"/>
    <w:rsid w:val="00805B2A"/>
    <w:rsid w:val="00806050"/>
    <w:rsid w:val="008062D2"/>
    <w:rsid w:val="00806C70"/>
    <w:rsid w:val="00807678"/>
    <w:rsid w:val="00807BBC"/>
    <w:rsid w:val="00807CF4"/>
    <w:rsid w:val="00810486"/>
    <w:rsid w:val="00810A5D"/>
    <w:rsid w:val="00810DCB"/>
    <w:rsid w:val="00812439"/>
    <w:rsid w:val="00813656"/>
    <w:rsid w:val="00813B82"/>
    <w:rsid w:val="00813D82"/>
    <w:rsid w:val="00813FE1"/>
    <w:rsid w:val="008142CA"/>
    <w:rsid w:val="0081483F"/>
    <w:rsid w:val="00815361"/>
    <w:rsid w:val="00815C9D"/>
    <w:rsid w:val="00816147"/>
    <w:rsid w:val="0081616F"/>
    <w:rsid w:val="0081670B"/>
    <w:rsid w:val="00816745"/>
    <w:rsid w:val="008167D4"/>
    <w:rsid w:val="00816C5E"/>
    <w:rsid w:val="00816F9C"/>
    <w:rsid w:val="008172C3"/>
    <w:rsid w:val="00817A0E"/>
    <w:rsid w:val="00817B92"/>
    <w:rsid w:val="0082041E"/>
    <w:rsid w:val="00821A9C"/>
    <w:rsid w:val="00821CD5"/>
    <w:rsid w:val="008220FE"/>
    <w:rsid w:val="0082279D"/>
    <w:rsid w:val="00823127"/>
    <w:rsid w:val="008231EF"/>
    <w:rsid w:val="00823257"/>
    <w:rsid w:val="0082334C"/>
    <w:rsid w:val="0082341A"/>
    <w:rsid w:val="008238B2"/>
    <w:rsid w:val="00823FDB"/>
    <w:rsid w:val="00824F15"/>
    <w:rsid w:val="008255CB"/>
    <w:rsid w:val="0082602A"/>
    <w:rsid w:val="008263FB"/>
    <w:rsid w:val="00826472"/>
    <w:rsid w:val="008266E8"/>
    <w:rsid w:val="00826AA0"/>
    <w:rsid w:val="008277B9"/>
    <w:rsid w:val="00827992"/>
    <w:rsid w:val="00827D17"/>
    <w:rsid w:val="00830209"/>
    <w:rsid w:val="008305CB"/>
    <w:rsid w:val="00830725"/>
    <w:rsid w:val="0083104E"/>
    <w:rsid w:val="00831442"/>
    <w:rsid w:val="00831AAC"/>
    <w:rsid w:val="00831D88"/>
    <w:rsid w:val="00831F98"/>
    <w:rsid w:val="008324EB"/>
    <w:rsid w:val="0083281C"/>
    <w:rsid w:val="0083314A"/>
    <w:rsid w:val="008332D5"/>
    <w:rsid w:val="0083479C"/>
    <w:rsid w:val="00834A27"/>
    <w:rsid w:val="00834ECA"/>
    <w:rsid w:val="00834FBA"/>
    <w:rsid w:val="00834FF7"/>
    <w:rsid w:val="00835490"/>
    <w:rsid w:val="00835615"/>
    <w:rsid w:val="008357F7"/>
    <w:rsid w:val="008359F0"/>
    <w:rsid w:val="008361EB"/>
    <w:rsid w:val="0083653D"/>
    <w:rsid w:val="0083681C"/>
    <w:rsid w:val="00836A64"/>
    <w:rsid w:val="00836F9F"/>
    <w:rsid w:val="00837B65"/>
    <w:rsid w:val="00837F8E"/>
    <w:rsid w:val="00840015"/>
    <w:rsid w:val="008408F2"/>
    <w:rsid w:val="00840BDD"/>
    <w:rsid w:val="008410F0"/>
    <w:rsid w:val="008413BF"/>
    <w:rsid w:val="00841984"/>
    <w:rsid w:val="008419E2"/>
    <w:rsid w:val="00841C42"/>
    <w:rsid w:val="00841EFE"/>
    <w:rsid w:val="00842766"/>
    <w:rsid w:val="00842B00"/>
    <w:rsid w:val="008432EB"/>
    <w:rsid w:val="00843B10"/>
    <w:rsid w:val="00843B69"/>
    <w:rsid w:val="00843CC9"/>
    <w:rsid w:val="00843D83"/>
    <w:rsid w:val="0084465D"/>
    <w:rsid w:val="008449EE"/>
    <w:rsid w:val="00844AE0"/>
    <w:rsid w:val="00844E7A"/>
    <w:rsid w:val="00845535"/>
    <w:rsid w:val="008457C9"/>
    <w:rsid w:val="008459BF"/>
    <w:rsid w:val="00845AAE"/>
    <w:rsid w:val="00845CA3"/>
    <w:rsid w:val="00846262"/>
    <w:rsid w:val="00846755"/>
    <w:rsid w:val="008468F6"/>
    <w:rsid w:val="0084708C"/>
    <w:rsid w:val="008470E5"/>
    <w:rsid w:val="008473C9"/>
    <w:rsid w:val="00850775"/>
    <w:rsid w:val="00850A5D"/>
    <w:rsid w:val="00851338"/>
    <w:rsid w:val="008517E2"/>
    <w:rsid w:val="00851F3A"/>
    <w:rsid w:val="008522CB"/>
    <w:rsid w:val="008529C6"/>
    <w:rsid w:val="00852CE4"/>
    <w:rsid w:val="00852E46"/>
    <w:rsid w:val="00852F93"/>
    <w:rsid w:val="00853779"/>
    <w:rsid w:val="008539DC"/>
    <w:rsid w:val="00853A35"/>
    <w:rsid w:val="0085432C"/>
    <w:rsid w:val="008547E8"/>
    <w:rsid w:val="00855278"/>
    <w:rsid w:val="008555D0"/>
    <w:rsid w:val="00855E45"/>
    <w:rsid w:val="0085696B"/>
    <w:rsid w:val="00856A37"/>
    <w:rsid w:val="00857526"/>
    <w:rsid w:val="00857835"/>
    <w:rsid w:val="00857886"/>
    <w:rsid w:val="00857947"/>
    <w:rsid w:val="0086060F"/>
    <w:rsid w:val="008608F4"/>
    <w:rsid w:val="00860A7F"/>
    <w:rsid w:val="00860D96"/>
    <w:rsid w:val="00860E98"/>
    <w:rsid w:val="0086125A"/>
    <w:rsid w:val="00861672"/>
    <w:rsid w:val="0086169A"/>
    <w:rsid w:val="0086193B"/>
    <w:rsid w:val="00861CF2"/>
    <w:rsid w:val="00862D38"/>
    <w:rsid w:val="00862EE3"/>
    <w:rsid w:val="00863584"/>
    <w:rsid w:val="0086376B"/>
    <w:rsid w:val="008637CD"/>
    <w:rsid w:val="00863AE1"/>
    <w:rsid w:val="00864B79"/>
    <w:rsid w:val="00864EBF"/>
    <w:rsid w:val="008651C4"/>
    <w:rsid w:val="00865B70"/>
    <w:rsid w:val="00865D68"/>
    <w:rsid w:val="00865FF4"/>
    <w:rsid w:val="00866BD2"/>
    <w:rsid w:val="00867015"/>
    <w:rsid w:val="008671BF"/>
    <w:rsid w:val="00867546"/>
    <w:rsid w:val="0086767C"/>
    <w:rsid w:val="00867C12"/>
    <w:rsid w:val="00870AC2"/>
    <w:rsid w:val="00870AFC"/>
    <w:rsid w:val="00870C09"/>
    <w:rsid w:val="00870D8C"/>
    <w:rsid w:val="00871248"/>
    <w:rsid w:val="00871276"/>
    <w:rsid w:val="008715A8"/>
    <w:rsid w:val="008716B2"/>
    <w:rsid w:val="008719CD"/>
    <w:rsid w:val="00871C3F"/>
    <w:rsid w:val="00871E47"/>
    <w:rsid w:val="00871E7D"/>
    <w:rsid w:val="00872366"/>
    <w:rsid w:val="00872956"/>
    <w:rsid w:val="00873606"/>
    <w:rsid w:val="008743B0"/>
    <w:rsid w:val="0087477F"/>
    <w:rsid w:val="00874D2B"/>
    <w:rsid w:val="00874D62"/>
    <w:rsid w:val="00874F78"/>
    <w:rsid w:val="00875584"/>
    <w:rsid w:val="00875737"/>
    <w:rsid w:val="00875855"/>
    <w:rsid w:val="008758F4"/>
    <w:rsid w:val="00876108"/>
    <w:rsid w:val="00876226"/>
    <w:rsid w:val="008768BC"/>
    <w:rsid w:val="00876F73"/>
    <w:rsid w:val="00880424"/>
    <w:rsid w:val="0088093F"/>
    <w:rsid w:val="00880D4D"/>
    <w:rsid w:val="00880E76"/>
    <w:rsid w:val="00880FAD"/>
    <w:rsid w:val="008814C4"/>
    <w:rsid w:val="00881951"/>
    <w:rsid w:val="00881CC2"/>
    <w:rsid w:val="0088270E"/>
    <w:rsid w:val="00883854"/>
    <w:rsid w:val="00883D23"/>
    <w:rsid w:val="00883E50"/>
    <w:rsid w:val="00883E80"/>
    <w:rsid w:val="008842EF"/>
    <w:rsid w:val="00884449"/>
    <w:rsid w:val="008847D2"/>
    <w:rsid w:val="00884F98"/>
    <w:rsid w:val="008852EA"/>
    <w:rsid w:val="008854BC"/>
    <w:rsid w:val="0088645B"/>
    <w:rsid w:val="00886A01"/>
    <w:rsid w:val="00886DCF"/>
    <w:rsid w:val="008877A5"/>
    <w:rsid w:val="00887D44"/>
    <w:rsid w:val="00887E7A"/>
    <w:rsid w:val="00887EDD"/>
    <w:rsid w:val="00890030"/>
    <w:rsid w:val="00890697"/>
    <w:rsid w:val="00890D2A"/>
    <w:rsid w:val="008912F4"/>
    <w:rsid w:val="00891425"/>
    <w:rsid w:val="0089169F"/>
    <w:rsid w:val="0089171C"/>
    <w:rsid w:val="0089186E"/>
    <w:rsid w:val="00892F2E"/>
    <w:rsid w:val="008932A5"/>
    <w:rsid w:val="00893CF2"/>
    <w:rsid w:val="008940A4"/>
    <w:rsid w:val="0089433A"/>
    <w:rsid w:val="00895FBD"/>
    <w:rsid w:val="0089611A"/>
    <w:rsid w:val="0089619A"/>
    <w:rsid w:val="00896238"/>
    <w:rsid w:val="00896884"/>
    <w:rsid w:val="00896DD1"/>
    <w:rsid w:val="00896EF6"/>
    <w:rsid w:val="008974AD"/>
    <w:rsid w:val="00897953"/>
    <w:rsid w:val="00897AF6"/>
    <w:rsid w:val="00897F46"/>
    <w:rsid w:val="00897FD7"/>
    <w:rsid w:val="008A0471"/>
    <w:rsid w:val="008A0F12"/>
    <w:rsid w:val="008A160F"/>
    <w:rsid w:val="008A1814"/>
    <w:rsid w:val="008A19BB"/>
    <w:rsid w:val="008A1C9F"/>
    <w:rsid w:val="008A1FCE"/>
    <w:rsid w:val="008A2068"/>
    <w:rsid w:val="008A2122"/>
    <w:rsid w:val="008A22C5"/>
    <w:rsid w:val="008A2690"/>
    <w:rsid w:val="008A27AA"/>
    <w:rsid w:val="008A2C76"/>
    <w:rsid w:val="008A3015"/>
    <w:rsid w:val="008A30AB"/>
    <w:rsid w:val="008A3970"/>
    <w:rsid w:val="008A4479"/>
    <w:rsid w:val="008A469C"/>
    <w:rsid w:val="008A4801"/>
    <w:rsid w:val="008A48EF"/>
    <w:rsid w:val="008A4B89"/>
    <w:rsid w:val="008A5061"/>
    <w:rsid w:val="008A5901"/>
    <w:rsid w:val="008A5995"/>
    <w:rsid w:val="008A5A0F"/>
    <w:rsid w:val="008B04F1"/>
    <w:rsid w:val="008B0504"/>
    <w:rsid w:val="008B09EB"/>
    <w:rsid w:val="008B0B96"/>
    <w:rsid w:val="008B0BC9"/>
    <w:rsid w:val="008B10A6"/>
    <w:rsid w:val="008B1366"/>
    <w:rsid w:val="008B1679"/>
    <w:rsid w:val="008B29B1"/>
    <w:rsid w:val="008B2B22"/>
    <w:rsid w:val="008B3145"/>
    <w:rsid w:val="008B3253"/>
    <w:rsid w:val="008B337D"/>
    <w:rsid w:val="008B337F"/>
    <w:rsid w:val="008B396A"/>
    <w:rsid w:val="008B3A9C"/>
    <w:rsid w:val="008B3B19"/>
    <w:rsid w:val="008B3E56"/>
    <w:rsid w:val="008B436F"/>
    <w:rsid w:val="008B4C82"/>
    <w:rsid w:val="008B549D"/>
    <w:rsid w:val="008B5D89"/>
    <w:rsid w:val="008B6252"/>
    <w:rsid w:val="008B6D08"/>
    <w:rsid w:val="008B6D35"/>
    <w:rsid w:val="008B7074"/>
    <w:rsid w:val="008B77DF"/>
    <w:rsid w:val="008B793B"/>
    <w:rsid w:val="008B7C3E"/>
    <w:rsid w:val="008C05B4"/>
    <w:rsid w:val="008C07A6"/>
    <w:rsid w:val="008C1CF6"/>
    <w:rsid w:val="008C2D49"/>
    <w:rsid w:val="008C2E46"/>
    <w:rsid w:val="008C3C72"/>
    <w:rsid w:val="008C3E08"/>
    <w:rsid w:val="008C3E09"/>
    <w:rsid w:val="008C4596"/>
    <w:rsid w:val="008C4659"/>
    <w:rsid w:val="008C4D72"/>
    <w:rsid w:val="008C4E68"/>
    <w:rsid w:val="008C5C74"/>
    <w:rsid w:val="008C6293"/>
    <w:rsid w:val="008C63ED"/>
    <w:rsid w:val="008C6FFC"/>
    <w:rsid w:val="008C7740"/>
    <w:rsid w:val="008C7A87"/>
    <w:rsid w:val="008C7BB2"/>
    <w:rsid w:val="008C7CDD"/>
    <w:rsid w:val="008D04EE"/>
    <w:rsid w:val="008D0852"/>
    <w:rsid w:val="008D0882"/>
    <w:rsid w:val="008D1195"/>
    <w:rsid w:val="008D11D5"/>
    <w:rsid w:val="008D1412"/>
    <w:rsid w:val="008D15C8"/>
    <w:rsid w:val="008D164E"/>
    <w:rsid w:val="008D1A47"/>
    <w:rsid w:val="008D2096"/>
    <w:rsid w:val="008D25FB"/>
    <w:rsid w:val="008D2C56"/>
    <w:rsid w:val="008D2C63"/>
    <w:rsid w:val="008D2D7F"/>
    <w:rsid w:val="008D2DF1"/>
    <w:rsid w:val="008D39EC"/>
    <w:rsid w:val="008D3A3E"/>
    <w:rsid w:val="008D3CE8"/>
    <w:rsid w:val="008D465F"/>
    <w:rsid w:val="008D4C8A"/>
    <w:rsid w:val="008D4F6E"/>
    <w:rsid w:val="008D51B0"/>
    <w:rsid w:val="008D5527"/>
    <w:rsid w:val="008D5656"/>
    <w:rsid w:val="008D5765"/>
    <w:rsid w:val="008D5CD6"/>
    <w:rsid w:val="008D6BDE"/>
    <w:rsid w:val="008E0A5C"/>
    <w:rsid w:val="008E0DFA"/>
    <w:rsid w:val="008E144B"/>
    <w:rsid w:val="008E182E"/>
    <w:rsid w:val="008E301E"/>
    <w:rsid w:val="008E365C"/>
    <w:rsid w:val="008E38AF"/>
    <w:rsid w:val="008E3967"/>
    <w:rsid w:val="008E3E51"/>
    <w:rsid w:val="008E502D"/>
    <w:rsid w:val="008E5242"/>
    <w:rsid w:val="008E5498"/>
    <w:rsid w:val="008E5BA1"/>
    <w:rsid w:val="008E6686"/>
    <w:rsid w:val="008E6DB6"/>
    <w:rsid w:val="008E729F"/>
    <w:rsid w:val="008E7840"/>
    <w:rsid w:val="008E7E4F"/>
    <w:rsid w:val="008F0043"/>
    <w:rsid w:val="008F014B"/>
    <w:rsid w:val="008F1106"/>
    <w:rsid w:val="008F1343"/>
    <w:rsid w:val="008F15CC"/>
    <w:rsid w:val="008F1ADA"/>
    <w:rsid w:val="008F2915"/>
    <w:rsid w:val="008F30ED"/>
    <w:rsid w:val="008F33FC"/>
    <w:rsid w:val="008F3FA7"/>
    <w:rsid w:val="008F4224"/>
    <w:rsid w:val="008F4783"/>
    <w:rsid w:val="008F4AC2"/>
    <w:rsid w:val="008F62B4"/>
    <w:rsid w:val="008F6643"/>
    <w:rsid w:val="008F6EF1"/>
    <w:rsid w:val="008F6FB8"/>
    <w:rsid w:val="008F7617"/>
    <w:rsid w:val="008F76A4"/>
    <w:rsid w:val="008F76CE"/>
    <w:rsid w:val="008F7CAB"/>
    <w:rsid w:val="00900039"/>
    <w:rsid w:val="00900750"/>
    <w:rsid w:val="00900E94"/>
    <w:rsid w:val="0090115E"/>
    <w:rsid w:val="009015E3"/>
    <w:rsid w:val="00901795"/>
    <w:rsid w:val="009025AF"/>
    <w:rsid w:val="00902A21"/>
    <w:rsid w:val="00902BB1"/>
    <w:rsid w:val="00902DC1"/>
    <w:rsid w:val="009035AF"/>
    <w:rsid w:val="00903C3E"/>
    <w:rsid w:val="00905223"/>
    <w:rsid w:val="00905377"/>
    <w:rsid w:val="00905A7D"/>
    <w:rsid w:val="00905B6F"/>
    <w:rsid w:val="009064D3"/>
    <w:rsid w:val="00906767"/>
    <w:rsid w:val="00906B2D"/>
    <w:rsid w:val="0090796C"/>
    <w:rsid w:val="00907A29"/>
    <w:rsid w:val="0091009E"/>
    <w:rsid w:val="00910387"/>
    <w:rsid w:val="00910558"/>
    <w:rsid w:val="0091073E"/>
    <w:rsid w:val="00910887"/>
    <w:rsid w:val="009111A8"/>
    <w:rsid w:val="0091136B"/>
    <w:rsid w:val="0091181E"/>
    <w:rsid w:val="009120A0"/>
    <w:rsid w:val="00912AA8"/>
    <w:rsid w:val="009136F6"/>
    <w:rsid w:val="00914182"/>
    <w:rsid w:val="00914C57"/>
    <w:rsid w:val="00915620"/>
    <w:rsid w:val="009158C6"/>
    <w:rsid w:val="00915B26"/>
    <w:rsid w:val="00915E5F"/>
    <w:rsid w:val="0091715B"/>
    <w:rsid w:val="009175E3"/>
    <w:rsid w:val="00917B27"/>
    <w:rsid w:val="00917ECC"/>
    <w:rsid w:val="00920039"/>
    <w:rsid w:val="00920227"/>
    <w:rsid w:val="00920CDB"/>
    <w:rsid w:val="009216ED"/>
    <w:rsid w:val="00921E09"/>
    <w:rsid w:val="00921FB8"/>
    <w:rsid w:val="00922A64"/>
    <w:rsid w:val="00922D2C"/>
    <w:rsid w:val="00922ED6"/>
    <w:rsid w:val="00923940"/>
    <w:rsid w:val="009246BF"/>
    <w:rsid w:val="00924AEA"/>
    <w:rsid w:val="00925281"/>
    <w:rsid w:val="00925EE1"/>
    <w:rsid w:val="009263A5"/>
    <w:rsid w:val="0092641F"/>
    <w:rsid w:val="009266BE"/>
    <w:rsid w:val="00926768"/>
    <w:rsid w:val="00926A80"/>
    <w:rsid w:val="00926E9F"/>
    <w:rsid w:val="00927D17"/>
    <w:rsid w:val="00927DA4"/>
    <w:rsid w:val="0093022C"/>
    <w:rsid w:val="0093172A"/>
    <w:rsid w:val="00931D19"/>
    <w:rsid w:val="00932068"/>
    <w:rsid w:val="009325D0"/>
    <w:rsid w:val="00932845"/>
    <w:rsid w:val="009329F0"/>
    <w:rsid w:val="00933343"/>
    <w:rsid w:val="00933A26"/>
    <w:rsid w:val="009344CB"/>
    <w:rsid w:val="00934759"/>
    <w:rsid w:val="00934BC5"/>
    <w:rsid w:val="009355DF"/>
    <w:rsid w:val="00935D85"/>
    <w:rsid w:val="009362D8"/>
    <w:rsid w:val="009378B5"/>
    <w:rsid w:val="009401B5"/>
    <w:rsid w:val="00940497"/>
    <w:rsid w:val="00941213"/>
    <w:rsid w:val="00941778"/>
    <w:rsid w:val="00942669"/>
    <w:rsid w:val="0094282E"/>
    <w:rsid w:val="00942DB5"/>
    <w:rsid w:val="00943773"/>
    <w:rsid w:val="0094399B"/>
    <w:rsid w:val="00944915"/>
    <w:rsid w:val="00944B23"/>
    <w:rsid w:val="0094528E"/>
    <w:rsid w:val="009456C5"/>
    <w:rsid w:val="00945CAE"/>
    <w:rsid w:val="00946137"/>
    <w:rsid w:val="009463F7"/>
    <w:rsid w:val="00946744"/>
    <w:rsid w:val="00946809"/>
    <w:rsid w:val="00946C39"/>
    <w:rsid w:val="00947291"/>
    <w:rsid w:val="009502E1"/>
    <w:rsid w:val="0095043A"/>
    <w:rsid w:val="00950C88"/>
    <w:rsid w:val="00950E44"/>
    <w:rsid w:val="009513D8"/>
    <w:rsid w:val="00951A54"/>
    <w:rsid w:val="00951FF6"/>
    <w:rsid w:val="009521A4"/>
    <w:rsid w:val="009527C8"/>
    <w:rsid w:val="009533C7"/>
    <w:rsid w:val="00953C87"/>
    <w:rsid w:val="00953FEB"/>
    <w:rsid w:val="009543C1"/>
    <w:rsid w:val="00955103"/>
    <w:rsid w:val="0095525B"/>
    <w:rsid w:val="009552EB"/>
    <w:rsid w:val="00955D39"/>
    <w:rsid w:val="00956015"/>
    <w:rsid w:val="009560ED"/>
    <w:rsid w:val="0095689D"/>
    <w:rsid w:val="009573D1"/>
    <w:rsid w:val="0095756D"/>
    <w:rsid w:val="00957828"/>
    <w:rsid w:val="00960016"/>
    <w:rsid w:val="009603A9"/>
    <w:rsid w:val="009606EC"/>
    <w:rsid w:val="00960CE5"/>
    <w:rsid w:val="009611B2"/>
    <w:rsid w:val="00961EAD"/>
    <w:rsid w:val="009621CD"/>
    <w:rsid w:val="00962477"/>
    <w:rsid w:val="0096366A"/>
    <w:rsid w:val="009639F2"/>
    <w:rsid w:val="00963A47"/>
    <w:rsid w:val="00964133"/>
    <w:rsid w:val="00964771"/>
    <w:rsid w:val="0096484C"/>
    <w:rsid w:val="00964FD5"/>
    <w:rsid w:val="00965123"/>
    <w:rsid w:val="009667F9"/>
    <w:rsid w:val="00966DCB"/>
    <w:rsid w:val="0096709F"/>
    <w:rsid w:val="0096746B"/>
    <w:rsid w:val="00967639"/>
    <w:rsid w:val="009710CB"/>
    <w:rsid w:val="009721DF"/>
    <w:rsid w:val="0097283C"/>
    <w:rsid w:val="00972C1D"/>
    <w:rsid w:val="009736E0"/>
    <w:rsid w:val="0097392A"/>
    <w:rsid w:val="00973C6C"/>
    <w:rsid w:val="00973C9F"/>
    <w:rsid w:val="00973D5E"/>
    <w:rsid w:val="00973EF3"/>
    <w:rsid w:val="0097434E"/>
    <w:rsid w:val="0097449C"/>
    <w:rsid w:val="009744F4"/>
    <w:rsid w:val="00974E4D"/>
    <w:rsid w:val="00974EF3"/>
    <w:rsid w:val="009750E1"/>
    <w:rsid w:val="00975379"/>
    <w:rsid w:val="00975484"/>
    <w:rsid w:val="009755D0"/>
    <w:rsid w:val="00975692"/>
    <w:rsid w:val="0097581E"/>
    <w:rsid w:val="00975BBB"/>
    <w:rsid w:val="00975D1E"/>
    <w:rsid w:val="00976347"/>
    <w:rsid w:val="009768EE"/>
    <w:rsid w:val="00976A34"/>
    <w:rsid w:val="009771EE"/>
    <w:rsid w:val="0098001F"/>
    <w:rsid w:val="00980155"/>
    <w:rsid w:val="00980219"/>
    <w:rsid w:val="00980728"/>
    <w:rsid w:val="00980BA1"/>
    <w:rsid w:val="00981216"/>
    <w:rsid w:val="009812AE"/>
    <w:rsid w:val="009817EA"/>
    <w:rsid w:val="00981C98"/>
    <w:rsid w:val="009820B6"/>
    <w:rsid w:val="00982838"/>
    <w:rsid w:val="00982925"/>
    <w:rsid w:val="0098306D"/>
    <w:rsid w:val="0098373F"/>
    <w:rsid w:val="00983DAE"/>
    <w:rsid w:val="00983F41"/>
    <w:rsid w:val="0098429C"/>
    <w:rsid w:val="00984989"/>
    <w:rsid w:val="009849AD"/>
    <w:rsid w:val="00984D7F"/>
    <w:rsid w:val="00985131"/>
    <w:rsid w:val="009854D0"/>
    <w:rsid w:val="009857FB"/>
    <w:rsid w:val="0098668E"/>
    <w:rsid w:val="00986D87"/>
    <w:rsid w:val="00987598"/>
    <w:rsid w:val="0098772F"/>
    <w:rsid w:val="00987A23"/>
    <w:rsid w:val="0099066A"/>
    <w:rsid w:val="009907B9"/>
    <w:rsid w:val="009910DE"/>
    <w:rsid w:val="00991306"/>
    <w:rsid w:val="009915A0"/>
    <w:rsid w:val="00991EDA"/>
    <w:rsid w:val="00992526"/>
    <w:rsid w:val="009927F4"/>
    <w:rsid w:val="00992916"/>
    <w:rsid w:val="00992A2B"/>
    <w:rsid w:val="00992C0C"/>
    <w:rsid w:val="00992C3B"/>
    <w:rsid w:val="009931D4"/>
    <w:rsid w:val="00993B4B"/>
    <w:rsid w:val="00994544"/>
    <w:rsid w:val="00995075"/>
    <w:rsid w:val="0099553A"/>
    <w:rsid w:val="00996B62"/>
    <w:rsid w:val="00996DE8"/>
    <w:rsid w:val="0099701F"/>
    <w:rsid w:val="009972CA"/>
    <w:rsid w:val="00997C1E"/>
    <w:rsid w:val="009A0027"/>
    <w:rsid w:val="009A043E"/>
    <w:rsid w:val="009A04C0"/>
    <w:rsid w:val="009A07D8"/>
    <w:rsid w:val="009A0A87"/>
    <w:rsid w:val="009A1096"/>
    <w:rsid w:val="009A14AB"/>
    <w:rsid w:val="009A1A60"/>
    <w:rsid w:val="009A1A99"/>
    <w:rsid w:val="009A1FFA"/>
    <w:rsid w:val="009A2ECD"/>
    <w:rsid w:val="009A34FC"/>
    <w:rsid w:val="009A3546"/>
    <w:rsid w:val="009A3549"/>
    <w:rsid w:val="009A460B"/>
    <w:rsid w:val="009A4646"/>
    <w:rsid w:val="009A505A"/>
    <w:rsid w:val="009A51E1"/>
    <w:rsid w:val="009A70E9"/>
    <w:rsid w:val="009A752F"/>
    <w:rsid w:val="009A76F2"/>
    <w:rsid w:val="009A7726"/>
    <w:rsid w:val="009A774D"/>
    <w:rsid w:val="009A77C1"/>
    <w:rsid w:val="009A7EE7"/>
    <w:rsid w:val="009B00F9"/>
    <w:rsid w:val="009B04BA"/>
    <w:rsid w:val="009B0AC0"/>
    <w:rsid w:val="009B1208"/>
    <w:rsid w:val="009B1249"/>
    <w:rsid w:val="009B1A8C"/>
    <w:rsid w:val="009B1CF7"/>
    <w:rsid w:val="009B2146"/>
    <w:rsid w:val="009B3C1A"/>
    <w:rsid w:val="009B46B4"/>
    <w:rsid w:val="009B4A75"/>
    <w:rsid w:val="009B508C"/>
    <w:rsid w:val="009B5303"/>
    <w:rsid w:val="009B55AC"/>
    <w:rsid w:val="009B69A0"/>
    <w:rsid w:val="009B6E98"/>
    <w:rsid w:val="009B7308"/>
    <w:rsid w:val="009C00B1"/>
    <w:rsid w:val="009C11AE"/>
    <w:rsid w:val="009C1BD8"/>
    <w:rsid w:val="009C3960"/>
    <w:rsid w:val="009C3EB2"/>
    <w:rsid w:val="009C4278"/>
    <w:rsid w:val="009C43AE"/>
    <w:rsid w:val="009C4BAC"/>
    <w:rsid w:val="009C5224"/>
    <w:rsid w:val="009C5401"/>
    <w:rsid w:val="009C5781"/>
    <w:rsid w:val="009C59A4"/>
    <w:rsid w:val="009C5AB3"/>
    <w:rsid w:val="009C5B8E"/>
    <w:rsid w:val="009C6404"/>
    <w:rsid w:val="009C6A05"/>
    <w:rsid w:val="009C6A6A"/>
    <w:rsid w:val="009C6DB2"/>
    <w:rsid w:val="009C77CD"/>
    <w:rsid w:val="009C7C71"/>
    <w:rsid w:val="009C7DA2"/>
    <w:rsid w:val="009D1708"/>
    <w:rsid w:val="009D179C"/>
    <w:rsid w:val="009D1E9D"/>
    <w:rsid w:val="009D200E"/>
    <w:rsid w:val="009D284A"/>
    <w:rsid w:val="009D34B5"/>
    <w:rsid w:val="009D3E46"/>
    <w:rsid w:val="009D4432"/>
    <w:rsid w:val="009D4680"/>
    <w:rsid w:val="009D46FD"/>
    <w:rsid w:val="009D4CD6"/>
    <w:rsid w:val="009D4ECB"/>
    <w:rsid w:val="009D58C6"/>
    <w:rsid w:val="009D5A1A"/>
    <w:rsid w:val="009D5D32"/>
    <w:rsid w:val="009D5D6A"/>
    <w:rsid w:val="009D5FD8"/>
    <w:rsid w:val="009D5FF4"/>
    <w:rsid w:val="009D6E84"/>
    <w:rsid w:val="009D711F"/>
    <w:rsid w:val="009D7355"/>
    <w:rsid w:val="009D7625"/>
    <w:rsid w:val="009E0004"/>
    <w:rsid w:val="009E03C0"/>
    <w:rsid w:val="009E0AC1"/>
    <w:rsid w:val="009E0E7D"/>
    <w:rsid w:val="009E1C6C"/>
    <w:rsid w:val="009E24B9"/>
    <w:rsid w:val="009E25A5"/>
    <w:rsid w:val="009E3331"/>
    <w:rsid w:val="009E3513"/>
    <w:rsid w:val="009E3CB3"/>
    <w:rsid w:val="009E41B4"/>
    <w:rsid w:val="009E41FF"/>
    <w:rsid w:val="009E4336"/>
    <w:rsid w:val="009E44B0"/>
    <w:rsid w:val="009E4DC0"/>
    <w:rsid w:val="009E4F58"/>
    <w:rsid w:val="009E509C"/>
    <w:rsid w:val="009E5129"/>
    <w:rsid w:val="009E6B0E"/>
    <w:rsid w:val="009E7023"/>
    <w:rsid w:val="009E71DB"/>
    <w:rsid w:val="009E7202"/>
    <w:rsid w:val="009E722C"/>
    <w:rsid w:val="009E7921"/>
    <w:rsid w:val="009E7DCB"/>
    <w:rsid w:val="009F0191"/>
    <w:rsid w:val="009F061B"/>
    <w:rsid w:val="009F07A4"/>
    <w:rsid w:val="009F0830"/>
    <w:rsid w:val="009F1221"/>
    <w:rsid w:val="009F1649"/>
    <w:rsid w:val="009F172E"/>
    <w:rsid w:val="009F1790"/>
    <w:rsid w:val="009F1911"/>
    <w:rsid w:val="009F1952"/>
    <w:rsid w:val="009F27AD"/>
    <w:rsid w:val="009F27B1"/>
    <w:rsid w:val="009F2898"/>
    <w:rsid w:val="009F2BDA"/>
    <w:rsid w:val="009F2D1A"/>
    <w:rsid w:val="009F2EFE"/>
    <w:rsid w:val="009F3C66"/>
    <w:rsid w:val="009F3E2D"/>
    <w:rsid w:val="009F496F"/>
    <w:rsid w:val="009F4AC1"/>
    <w:rsid w:val="009F5027"/>
    <w:rsid w:val="009F5445"/>
    <w:rsid w:val="009F55A8"/>
    <w:rsid w:val="009F56E3"/>
    <w:rsid w:val="009F57A7"/>
    <w:rsid w:val="009F5B1C"/>
    <w:rsid w:val="009F6489"/>
    <w:rsid w:val="009F6641"/>
    <w:rsid w:val="009F66E0"/>
    <w:rsid w:val="009F6801"/>
    <w:rsid w:val="009F7B7F"/>
    <w:rsid w:val="009F7CD5"/>
    <w:rsid w:val="00A007D1"/>
    <w:rsid w:val="00A00C3C"/>
    <w:rsid w:val="00A01AC2"/>
    <w:rsid w:val="00A01F63"/>
    <w:rsid w:val="00A025E1"/>
    <w:rsid w:val="00A028A5"/>
    <w:rsid w:val="00A028BC"/>
    <w:rsid w:val="00A02BF6"/>
    <w:rsid w:val="00A03843"/>
    <w:rsid w:val="00A03C9E"/>
    <w:rsid w:val="00A03F79"/>
    <w:rsid w:val="00A04235"/>
    <w:rsid w:val="00A0495C"/>
    <w:rsid w:val="00A051FB"/>
    <w:rsid w:val="00A05895"/>
    <w:rsid w:val="00A05E82"/>
    <w:rsid w:val="00A06803"/>
    <w:rsid w:val="00A06D33"/>
    <w:rsid w:val="00A0730F"/>
    <w:rsid w:val="00A075D6"/>
    <w:rsid w:val="00A07E5F"/>
    <w:rsid w:val="00A07FCD"/>
    <w:rsid w:val="00A1046D"/>
    <w:rsid w:val="00A106B1"/>
    <w:rsid w:val="00A10991"/>
    <w:rsid w:val="00A11672"/>
    <w:rsid w:val="00A117B4"/>
    <w:rsid w:val="00A1183C"/>
    <w:rsid w:val="00A118E9"/>
    <w:rsid w:val="00A119AE"/>
    <w:rsid w:val="00A11BD6"/>
    <w:rsid w:val="00A11E41"/>
    <w:rsid w:val="00A13302"/>
    <w:rsid w:val="00A136E4"/>
    <w:rsid w:val="00A1416C"/>
    <w:rsid w:val="00A145A2"/>
    <w:rsid w:val="00A15BC3"/>
    <w:rsid w:val="00A15C54"/>
    <w:rsid w:val="00A15FBD"/>
    <w:rsid w:val="00A1603A"/>
    <w:rsid w:val="00A16348"/>
    <w:rsid w:val="00A16BE8"/>
    <w:rsid w:val="00A177BC"/>
    <w:rsid w:val="00A177DA"/>
    <w:rsid w:val="00A20045"/>
    <w:rsid w:val="00A202D4"/>
    <w:rsid w:val="00A204F8"/>
    <w:rsid w:val="00A214B7"/>
    <w:rsid w:val="00A221D8"/>
    <w:rsid w:val="00A22200"/>
    <w:rsid w:val="00A22F22"/>
    <w:rsid w:val="00A23606"/>
    <w:rsid w:val="00A236BA"/>
    <w:rsid w:val="00A236C2"/>
    <w:rsid w:val="00A24265"/>
    <w:rsid w:val="00A244D2"/>
    <w:rsid w:val="00A24A55"/>
    <w:rsid w:val="00A2587B"/>
    <w:rsid w:val="00A260F2"/>
    <w:rsid w:val="00A2630F"/>
    <w:rsid w:val="00A2668A"/>
    <w:rsid w:val="00A2676C"/>
    <w:rsid w:val="00A26938"/>
    <w:rsid w:val="00A27CB5"/>
    <w:rsid w:val="00A27CCF"/>
    <w:rsid w:val="00A27EA6"/>
    <w:rsid w:val="00A3047C"/>
    <w:rsid w:val="00A3049B"/>
    <w:rsid w:val="00A3061C"/>
    <w:rsid w:val="00A30909"/>
    <w:rsid w:val="00A30BFF"/>
    <w:rsid w:val="00A30C41"/>
    <w:rsid w:val="00A3117B"/>
    <w:rsid w:val="00A31331"/>
    <w:rsid w:val="00A31ACA"/>
    <w:rsid w:val="00A31D91"/>
    <w:rsid w:val="00A31FF2"/>
    <w:rsid w:val="00A32307"/>
    <w:rsid w:val="00A3262E"/>
    <w:rsid w:val="00A32CD9"/>
    <w:rsid w:val="00A32D46"/>
    <w:rsid w:val="00A32EC6"/>
    <w:rsid w:val="00A33EDF"/>
    <w:rsid w:val="00A3461B"/>
    <w:rsid w:val="00A3467A"/>
    <w:rsid w:val="00A35A22"/>
    <w:rsid w:val="00A35A3A"/>
    <w:rsid w:val="00A35F6E"/>
    <w:rsid w:val="00A35FA0"/>
    <w:rsid w:val="00A36460"/>
    <w:rsid w:val="00A3765F"/>
    <w:rsid w:val="00A3774C"/>
    <w:rsid w:val="00A378F7"/>
    <w:rsid w:val="00A40142"/>
    <w:rsid w:val="00A40519"/>
    <w:rsid w:val="00A40C6F"/>
    <w:rsid w:val="00A410A4"/>
    <w:rsid w:val="00A4152E"/>
    <w:rsid w:val="00A4179C"/>
    <w:rsid w:val="00A41BCA"/>
    <w:rsid w:val="00A42392"/>
    <w:rsid w:val="00A4291A"/>
    <w:rsid w:val="00A42FA6"/>
    <w:rsid w:val="00A430B2"/>
    <w:rsid w:val="00A433A3"/>
    <w:rsid w:val="00A433F9"/>
    <w:rsid w:val="00A44900"/>
    <w:rsid w:val="00A44A5D"/>
    <w:rsid w:val="00A44B2A"/>
    <w:rsid w:val="00A452EA"/>
    <w:rsid w:val="00A456D3"/>
    <w:rsid w:val="00A45772"/>
    <w:rsid w:val="00A45EB8"/>
    <w:rsid w:val="00A46244"/>
    <w:rsid w:val="00A4632E"/>
    <w:rsid w:val="00A468BD"/>
    <w:rsid w:val="00A46958"/>
    <w:rsid w:val="00A46C18"/>
    <w:rsid w:val="00A46D1E"/>
    <w:rsid w:val="00A46E7C"/>
    <w:rsid w:val="00A4717A"/>
    <w:rsid w:val="00A47704"/>
    <w:rsid w:val="00A506B9"/>
    <w:rsid w:val="00A50C2A"/>
    <w:rsid w:val="00A50D7A"/>
    <w:rsid w:val="00A51246"/>
    <w:rsid w:val="00A512EE"/>
    <w:rsid w:val="00A515E9"/>
    <w:rsid w:val="00A51C43"/>
    <w:rsid w:val="00A523D5"/>
    <w:rsid w:val="00A5382B"/>
    <w:rsid w:val="00A53D29"/>
    <w:rsid w:val="00A53E8C"/>
    <w:rsid w:val="00A5433F"/>
    <w:rsid w:val="00A54374"/>
    <w:rsid w:val="00A54BA8"/>
    <w:rsid w:val="00A54EC4"/>
    <w:rsid w:val="00A55113"/>
    <w:rsid w:val="00A55659"/>
    <w:rsid w:val="00A55E19"/>
    <w:rsid w:val="00A567B3"/>
    <w:rsid w:val="00A57196"/>
    <w:rsid w:val="00A573F3"/>
    <w:rsid w:val="00A57837"/>
    <w:rsid w:val="00A579CC"/>
    <w:rsid w:val="00A604EC"/>
    <w:rsid w:val="00A610A6"/>
    <w:rsid w:val="00A612F8"/>
    <w:rsid w:val="00A614B2"/>
    <w:rsid w:val="00A62268"/>
    <w:rsid w:val="00A6265A"/>
    <w:rsid w:val="00A62768"/>
    <w:rsid w:val="00A62AFB"/>
    <w:rsid w:val="00A63257"/>
    <w:rsid w:val="00A63A56"/>
    <w:rsid w:val="00A63A71"/>
    <w:rsid w:val="00A640F9"/>
    <w:rsid w:val="00A64163"/>
    <w:rsid w:val="00A6486D"/>
    <w:rsid w:val="00A6494C"/>
    <w:rsid w:val="00A6546E"/>
    <w:rsid w:val="00A671D5"/>
    <w:rsid w:val="00A672C9"/>
    <w:rsid w:val="00A674DD"/>
    <w:rsid w:val="00A6775B"/>
    <w:rsid w:val="00A677D9"/>
    <w:rsid w:val="00A67D7F"/>
    <w:rsid w:val="00A67EE9"/>
    <w:rsid w:val="00A7028B"/>
    <w:rsid w:val="00A71392"/>
    <w:rsid w:val="00A71E01"/>
    <w:rsid w:val="00A73403"/>
    <w:rsid w:val="00A73A8C"/>
    <w:rsid w:val="00A73B53"/>
    <w:rsid w:val="00A7420C"/>
    <w:rsid w:val="00A74752"/>
    <w:rsid w:val="00A751D1"/>
    <w:rsid w:val="00A75223"/>
    <w:rsid w:val="00A75946"/>
    <w:rsid w:val="00A75DF2"/>
    <w:rsid w:val="00A760FE"/>
    <w:rsid w:val="00A76362"/>
    <w:rsid w:val="00A76CCA"/>
    <w:rsid w:val="00A76F16"/>
    <w:rsid w:val="00A77BA3"/>
    <w:rsid w:val="00A77D39"/>
    <w:rsid w:val="00A80041"/>
    <w:rsid w:val="00A8095B"/>
    <w:rsid w:val="00A80AD8"/>
    <w:rsid w:val="00A811DE"/>
    <w:rsid w:val="00A8172C"/>
    <w:rsid w:val="00A81919"/>
    <w:rsid w:val="00A819D2"/>
    <w:rsid w:val="00A81EF2"/>
    <w:rsid w:val="00A8236D"/>
    <w:rsid w:val="00A82481"/>
    <w:rsid w:val="00A826A4"/>
    <w:rsid w:val="00A82A44"/>
    <w:rsid w:val="00A82D88"/>
    <w:rsid w:val="00A83054"/>
    <w:rsid w:val="00A833D9"/>
    <w:rsid w:val="00A836A9"/>
    <w:rsid w:val="00A836BF"/>
    <w:rsid w:val="00A837D8"/>
    <w:rsid w:val="00A83E42"/>
    <w:rsid w:val="00A84038"/>
    <w:rsid w:val="00A84AA3"/>
    <w:rsid w:val="00A84CB1"/>
    <w:rsid w:val="00A84F03"/>
    <w:rsid w:val="00A8546C"/>
    <w:rsid w:val="00A85512"/>
    <w:rsid w:val="00A8561C"/>
    <w:rsid w:val="00A858C6"/>
    <w:rsid w:val="00A85F68"/>
    <w:rsid w:val="00A86B41"/>
    <w:rsid w:val="00A86B9A"/>
    <w:rsid w:val="00A86F26"/>
    <w:rsid w:val="00A86FEA"/>
    <w:rsid w:val="00A8711F"/>
    <w:rsid w:val="00A872F0"/>
    <w:rsid w:val="00A8760C"/>
    <w:rsid w:val="00A87905"/>
    <w:rsid w:val="00A9000F"/>
    <w:rsid w:val="00A9039F"/>
    <w:rsid w:val="00A9077F"/>
    <w:rsid w:val="00A907D8"/>
    <w:rsid w:val="00A91026"/>
    <w:rsid w:val="00A91DEA"/>
    <w:rsid w:val="00A92099"/>
    <w:rsid w:val="00A920E5"/>
    <w:rsid w:val="00A92EDC"/>
    <w:rsid w:val="00A92F6D"/>
    <w:rsid w:val="00A93D52"/>
    <w:rsid w:val="00A93FB9"/>
    <w:rsid w:val="00A94226"/>
    <w:rsid w:val="00A94F96"/>
    <w:rsid w:val="00A957E9"/>
    <w:rsid w:val="00A9580B"/>
    <w:rsid w:val="00A95F27"/>
    <w:rsid w:val="00A9624B"/>
    <w:rsid w:val="00A962F5"/>
    <w:rsid w:val="00A964B2"/>
    <w:rsid w:val="00A967BB"/>
    <w:rsid w:val="00A97153"/>
    <w:rsid w:val="00A972B1"/>
    <w:rsid w:val="00AA083C"/>
    <w:rsid w:val="00AA0CF8"/>
    <w:rsid w:val="00AA12AE"/>
    <w:rsid w:val="00AA1520"/>
    <w:rsid w:val="00AA1539"/>
    <w:rsid w:val="00AA177A"/>
    <w:rsid w:val="00AA19A8"/>
    <w:rsid w:val="00AA1B9D"/>
    <w:rsid w:val="00AA20ED"/>
    <w:rsid w:val="00AA21BF"/>
    <w:rsid w:val="00AA21EC"/>
    <w:rsid w:val="00AA30B2"/>
    <w:rsid w:val="00AA327E"/>
    <w:rsid w:val="00AA3AE8"/>
    <w:rsid w:val="00AA4516"/>
    <w:rsid w:val="00AA48A6"/>
    <w:rsid w:val="00AA4B67"/>
    <w:rsid w:val="00AA56AD"/>
    <w:rsid w:val="00AA57BD"/>
    <w:rsid w:val="00AA65E3"/>
    <w:rsid w:val="00AA6C2F"/>
    <w:rsid w:val="00AA73E6"/>
    <w:rsid w:val="00AA775D"/>
    <w:rsid w:val="00AA7938"/>
    <w:rsid w:val="00AA7AB9"/>
    <w:rsid w:val="00AA7DBF"/>
    <w:rsid w:val="00AB0138"/>
    <w:rsid w:val="00AB030C"/>
    <w:rsid w:val="00AB082F"/>
    <w:rsid w:val="00AB08E6"/>
    <w:rsid w:val="00AB239A"/>
    <w:rsid w:val="00AB29C1"/>
    <w:rsid w:val="00AB3411"/>
    <w:rsid w:val="00AB3711"/>
    <w:rsid w:val="00AB3F70"/>
    <w:rsid w:val="00AB458B"/>
    <w:rsid w:val="00AB504A"/>
    <w:rsid w:val="00AB51AE"/>
    <w:rsid w:val="00AB5CC8"/>
    <w:rsid w:val="00AB5F16"/>
    <w:rsid w:val="00AB5FCB"/>
    <w:rsid w:val="00AB66F3"/>
    <w:rsid w:val="00AB685F"/>
    <w:rsid w:val="00AB6D0F"/>
    <w:rsid w:val="00AB7D5F"/>
    <w:rsid w:val="00AB7FDD"/>
    <w:rsid w:val="00AC1BAF"/>
    <w:rsid w:val="00AC1E76"/>
    <w:rsid w:val="00AC2482"/>
    <w:rsid w:val="00AC2773"/>
    <w:rsid w:val="00AC2E39"/>
    <w:rsid w:val="00AC3196"/>
    <w:rsid w:val="00AC336D"/>
    <w:rsid w:val="00AC33FC"/>
    <w:rsid w:val="00AC3424"/>
    <w:rsid w:val="00AC3F17"/>
    <w:rsid w:val="00AC4A1A"/>
    <w:rsid w:val="00AC54B3"/>
    <w:rsid w:val="00AC5728"/>
    <w:rsid w:val="00AC5A4B"/>
    <w:rsid w:val="00AC697B"/>
    <w:rsid w:val="00AC6CA0"/>
    <w:rsid w:val="00AC6E6A"/>
    <w:rsid w:val="00AC7CC9"/>
    <w:rsid w:val="00AD1BB6"/>
    <w:rsid w:val="00AD1CB8"/>
    <w:rsid w:val="00AD1EC9"/>
    <w:rsid w:val="00AD2291"/>
    <w:rsid w:val="00AD2483"/>
    <w:rsid w:val="00AD28C4"/>
    <w:rsid w:val="00AD296D"/>
    <w:rsid w:val="00AD2A4D"/>
    <w:rsid w:val="00AD2B30"/>
    <w:rsid w:val="00AD2ED9"/>
    <w:rsid w:val="00AD2F67"/>
    <w:rsid w:val="00AD3060"/>
    <w:rsid w:val="00AD329E"/>
    <w:rsid w:val="00AD3602"/>
    <w:rsid w:val="00AD3B2E"/>
    <w:rsid w:val="00AD407D"/>
    <w:rsid w:val="00AD40DA"/>
    <w:rsid w:val="00AD4A3E"/>
    <w:rsid w:val="00AD5623"/>
    <w:rsid w:val="00AD5817"/>
    <w:rsid w:val="00AD5828"/>
    <w:rsid w:val="00AD629A"/>
    <w:rsid w:val="00AD6330"/>
    <w:rsid w:val="00AD658B"/>
    <w:rsid w:val="00AD6976"/>
    <w:rsid w:val="00AD6C47"/>
    <w:rsid w:val="00AD6EFD"/>
    <w:rsid w:val="00AD703C"/>
    <w:rsid w:val="00AD717D"/>
    <w:rsid w:val="00AE040A"/>
    <w:rsid w:val="00AE089A"/>
    <w:rsid w:val="00AE101B"/>
    <w:rsid w:val="00AE13BA"/>
    <w:rsid w:val="00AE1706"/>
    <w:rsid w:val="00AE21A2"/>
    <w:rsid w:val="00AE2807"/>
    <w:rsid w:val="00AE33B4"/>
    <w:rsid w:val="00AE370F"/>
    <w:rsid w:val="00AE38F0"/>
    <w:rsid w:val="00AE4180"/>
    <w:rsid w:val="00AE4F76"/>
    <w:rsid w:val="00AE6ABF"/>
    <w:rsid w:val="00AE6B60"/>
    <w:rsid w:val="00AE6E97"/>
    <w:rsid w:val="00AE77C6"/>
    <w:rsid w:val="00AF075B"/>
    <w:rsid w:val="00AF0E09"/>
    <w:rsid w:val="00AF0E3E"/>
    <w:rsid w:val="00AF16A4"/>
    <w:rsid w:val="00AF2DA4"/>
    <w:rsid w:val="00AF312C"/>
    <w:rsid w:val="00AF318A"/>
    <w:rsid w:val="00AF3647"/>
    <w:rsid w:val="00AF3DB6"/>
    <w:rsid w:val="00AF425D"/>
    <w:rsid w:val="00AF4EFF"/>
    <w:rsid w:val="00AF4FD9"/>
    <w:rsid w:val="00AF5ACE"/>
    <w:rsid w:val="00AF5CF2"/>
    <w:rsid w:val="00AF5D89"/>
    <w:rsid w:val="00AF5F74"/>
    <w:rsid w:val="00AF62A1"/>
    <w:rsid w:val="00AF689F"/>
    <w:rsid w:val="00AF7A81"/>
    <w:rsid w:val="00AF7AE6"/>
    <w:rsid w:val="00AF7BF0"/>
    <w:rsid w:val="00B004A7"/>
    <w:rsid w:val="00B00BA1"/>
    <w:rsid w:val="00B00DF2"/>
    <w:rsid w:val="00B01226"/>
    <w:rsid w:val="00B01515"/>
    <w:rsid w:val="00B01745"/>
    <w:rsid w:val="00B01AA3"/>
    <w:rsid w:val="00B01D10"/>
    <w:rsid w:val="00B02340"/>
    <w:rsid w:val="00B0287F"/>
    <w:rsid w:val="00B02933"/>
    <w:rsid w:val="00B02F4F"/>
    <w:rsid w:val="00B035B0"/>
    <w:rsid w:val="00B03601"/>
    <w:rsid w:val="00B03C2D"/>
    <w:rsid w:val="00B04C83"/>
    <w:rsid w:val="00B05792"/>
    <w:rsid w:val="00B060CE"/>
    <w:rsid w:val="00B06550"/>
    <w:rsid w:val="00B069BE"/>
    <w:rsid w:val="00B079F8"/>
    <w:rsid w:val="00B07F2B"/>
    <w:rsid w:val="00B104AD"/>
    <w:rsid w:val="00B10781"/>
    <w:rsid w:val="00B10989"/>
    <w:rsid w:val="00B111B4"/>
    <w:rsid w:val="00B115A9"/>
    <w:rsid w:val="00B11FC6"/>
    <w:rsid w:val="00B12A14"/>
    <w:rsid w:val="00B12B29"/>
    <w:rsid w:val="00B12D42"/>
    <w:rsid w:val="00B13359"/>
    <w:rsid w:val="00B13B1C"/>
    <w:rsid w:val="00B14D3A"/>
    <w:rsid w:val="00B15314"/>
    <w:rsid w:val="00B153BC"/>
    <w:rsid w:val="00B15E07"/>
    <w:rsid w:val="00B1791E"/>
    <w:rsid w:val="00B2054A"/>
    <w:rsid w:val="00B20704"/>
    <w:rsid w:val="00B207A5"/>
    <w:rsid w:val="00B2092C"/>
    <w:rsid w:val="00B21563"/>
    <w:rsid w:val="00B2199E"/>
    <w:rsid w:val="00B21C0A"/>
    <w:rsid w:val="00B22529"/>
    <w:rsid w:val="00B23178"/>
    <w:rsid w:val="00B23D83"/>
    <w:rsid w:val="00B23FB1"/>
    <w:rsid w:val="00B243AF"/>
    <w:rsid w:val="00B24B4D"/>
    <w:rsid w:val="00B24D0D"/>
    <w:rsid w:val="00B251B8"/>
    <w:rsid w:val="00B251D7"/>
    <w:rsid w:val="00B25234"/>
    <w:rsid w:val="00B25649"/>
    <w:rsid w:val="00B25705"/>
    <w:rsid w:val="00B2599F"/>
    <w:rsid w:val="00B25BA3"/>
    <w:rsid w:val="00B2658F"/>
    <w:rsid w:val="00B26AA7"/>
    <w:rsid w:val="00B27705"/>
    <w:rsid w:val="00B30426"/>
    <w:rsid w:val="00B30931"/>
    <w:rsid w:val="00B30B34"/>
    <w:rsid w:val="00B30BE3"/>
    <w:rsid w:val="00B31026"/>
    <w:rsid w:val="00B310F7"/>
    <w:rsid w:val="00B312C3"/>
    <w:rsid w:val="00B31AC2"/>
    <w:rsid w:val="00B32440"/>
    <w:rsid w:val="00B32DD9"/>
    <w:rsid w:val="00B332AD"/>
    <w:rsid w:val="00B3337E"/>
    <w:rsid w:val="00B34AF1"/>
    <w:rsid w:val="00B34C22"/>
    <w:rsid w:val="00B34E67"/>
    <w:rsid w:val="00B35362"/>
    <w:rsid w:val="00B355EC"/>
    <w:rsid w:val="00B36424"/>
    <w:rsid w:val="00B367D3"/>
    <w:rsid w:val="00B3685C"/>
    <w:rsid w:val="00B36F88"/>
    <w:rsid w:val="00B3730D"/>
    <w:rsid w:val="00B3733B"/>
    <w:rsid w:val="00B37432"/>
    <w:rsid w:val="00B377E8"/>
    <w:rsid w:val="00B37953"/>
    <w:rsid w:val="00B37CB9"/>
    <w:rsid w:val="00B402BD"/>
    <w:rsid w:val="00B406F6"/>
    <w:rsid w:val="00B4085F"/>
    <w:rsid w:val="00B40DCE"/>
    <w:rsid w:val="00B41099"/>
    <w:rsid w:val="00B41168"/>
    <w:rsid w:val="00B41207"/>
    <w:rsid w:val="00B41C69"/>
    <w:rsid w:val="00B41F33"/>
    <w:rsid w:val="00B41F50"/>
    <w:rsid w:val="00B4232F"/>
    <w:rsid w:val="00B42791"/>
    <w:rsid w:val="00B42C3B"/>
    <w:rsid w:val="00B43883"/>
    <w:rsid w:val="00B43B29"/>
    <w:rsid w:val="00B43DD5"/>
    <w:rsid w:val="00B448B8"/>
    <w:rsid w:val="00B44A2E"/>
    <w:rsid w:val="00B44B0E"/>
    <w:rsid w:val="00B44F3E"/>
    <w:rsid w:val="00B454C1"/>
    <w:rsid w:val="00B455C0"/>
    <w:rsid w:val="00B45624"/>
    <w:rsid w:val="00B464EB"/>
    <w:rsid w:val="00B466EC"/>
    <w:rsid w:val="00B46DA9"/>
    <w:rsid w:val="00B46FE2"/>
    <w:rsid w:val="00B475A7"/>
    <w:rsid w:val="00B50BEE"/>
    <w:rsid w:val="00B50EAE"/>
    <w:rsid w:val="00B512E5"/>
    <w:rsid w:val="00B514C8"/>
    <w:rsid w:val="00B519C6"/>
    <w:rsid w:val="00B51A8F"/>
    <w:rsid w:val="00B51CDC"/>
    <w:rsid w:val="00B51D63"/>
    <w:rsid w:val="00B5208A"/>
    <w:rsid w:val="00B53800"/>
    <w:rsid w:val="00B54E2A"/>
    <w:rsid w:val="00B55342"/>
    <w:rsid w:val="00B55C46"/>
    <w:rsid w:val="00B55D32"/>
    <w:rsid w:val="00B56338"/>
    <w:rsid w:val="00B56382"/>
    <w:rsid w:val="00B565EB"/>
    <w:rsid w:val="00B5740D"/>
    <w:rsid w:val="00B576EE"/>
    <w:rsid w:val="00B57CA6"/>
    <w:rsid w:val="00B608DF"/>
    <w:rsid w:val="00B60906"/>
    <w:rsid w:val="00B609BE"/>
    <w:rsid w:val="00B60C1E"/>
    <w:rsid w:val="00B60CDC"/>
    <w:rsid w:val="00B616D5"/>
    <w:rsid w:val="00B626CA"/>
    <w:rsid w:val="00B62F52"/>
    <w:rsid w:val="00B63AB5"/>
    <w:rsid w:val="00B64AA5"/>
    <w:rsid w:val="00B64CCA"/>
    <w:rsid w:val="00B64EC9"/>
    <w:rsid w:val="00B64FF0"/>
    <w:rsid w:val="00B655A1"/>
    <w:rsid w:val="00B65C40"/>
    <w:rsid w:val="00B65FB8"/>
    <w:rsid w:val="00B66477"/>
    <w:rsid w:val="00B67091"/>
    <w:rsid w:val="00B678FA"/>
    <w:rsid w:val="00B70367"/>
    <w:rsid w:val="00B70D65"/>
    <w:rsid w:val="00B7116E"/>
    <w:rsid w:val="00B7147D"/>
    <w:rsid w:val="00B71633"/>
    <w:rsid w:val="00B71C3B"/>
    <w:rsid w:val="00B71D34"/>
    <w:rsid w:val="00B72042"/>
    <w:rsid w:val="00B72C66"/>
    <w:rsid w:val="00B72D23"/>
    <w:rsid w:val="00B740E6"/>
    <w:rsid w:val="00B742BD"/>
    <w:rsid w:val="00B75758"/>
    <w:rsid w:val="00B7603B"/>
    <w:rsid w:val="00B76AD3"/>
    <w:rsid w:val="00B7794B"/>
    <w:rsid w:val="00B779F7"/>
    <w:rsid w:val="00B77A98"/>
    <w:rsid w:val="00B80583"/>
    <w:rsid w:val="00B81F0D"/>
    <w:rsid w:val="00B81F74"/>
    <w:rsid w:val="00B8201E"/>
    <w:rsid w:val="00B82529"/>
    <w:rsid w:val="00B82F40"/>
    <w:rsid w:val="00B835C9"/>
    <w:rsid w:val="00B837A8"/>
    <w:rsid w:val="00B83D92"/>
    <w:rsid w:val="00B83F2D"/>
    <w:rsid w:val="00B8470B"/>
    <w:rsid w:val="00B8521C"/>
    <w:rsid w:val="00B85552"/>
    <w:rsid w:val="00B85679"/>
    <w:rsid w:val="00B8568F"/>
    <w:rsid w:val="00B85A29"/>
    <w:rsid w:val="00B85D27"/>
    <w:rsid w:val="00B86284"/>
    <w:rsid w:val="00B869AE"/>
    <w:rsid w:val="00B86ABE"/>
    <w:rsid w:val="00B87950"/>
    <w:rsid w:val="00B9093E"/>
    <w:rsid w:val="00B91B77"/>
    <w:rsid w:val="00B925E5"/>
    <w:rsid w:val="00B92974"/>
    <w:rsid w:val="00B92BDC"/>
    <w:rsid w:val="00B92C45"/>
    <w:rsid w:val="00B943F2"/>
    <w:rsid w:val="00B950D2"/>
    <w:rsid w:val="00B9538B"/>
    <w:rsid w:val="00B95860"/>
    <w:rsid w:val="00B95AF6"/>
    <w:rsid w:val="00B95B42"/>
    <w:rsid w:val="00B960C0"/>
    <w:rsid w:val="00B9621A"/>
    <w:rsid w:val="00B9689F"/>
    <w:rsid w:val="00B969D9"/>
    <w:rsid w:val="00B96A6D"/>
    <w:rsid w:val="00B96C88"/>
    <w:rsid w:val="00B9767F"/>
    <w:rsid w:val="00B97741"/>
    <w:rsid w:val="00B97742"/>
    <w:rsid w:val="00B97800"/>
    <w:rsid w:val="00B97CA2"/>
    <w:rsid w:val="00B97CB5"/>
    <w:rsid w:val="00BA020A"/>
    <w:rsid w:val="00BA0503"/>
    <w:rsid w:val="00BA1BB4"/>
    <w:rsid w:val="00BA26FF"/>
    <w:rsid w:val="00BA2B28"/>
    <w:rsid w:val="00BA2D34"/>
    <w:rsid w:val="00BA32BC"/>
    <w:rsid w:val="00BA37E7"/>
    <w:rsid w:val="00BA3CDD"/>
    <w:rsid w:val="00BA4C01"/>
    <w:rsid w:val="00BA4DD5"/>
    <w:rsid w:val="00BA590D"/>
    <w:rsid w:val="00BA60C0"/>
    <w:rsid w:val="00BA74CE"/>
    <w:rsid w:val="00BA7B51"/>
    <w:rsid w:val="00BA7C1B"/>
    <w:rsid w:val="00BB031C"/>
    <w:rsid w:val="00BB092F"/>
    <w:rsid w:val="00BB12B7"/>
    <w:rsid w:val="00BB1681"/>
    <w:rsid w:val="00BB17B7"/>
    <w:rsid w:val="00BB19FB"/>
    <w:rsid w:val="00BB1C38"/>
    <w:rsid w:val="00BB22EC"/>
    <w:rsid w:val="00BB312E"/>
    <w:rsid w:val="00BB31C7"/>
    <w:rsid w:val="00BB3C45"/>
    <w:rsid w:val="00BB428C"/>
    <w:rsid w:val="00BB510F"/>
    <w:rsid w:val="00BB5199"/>
    <w:rsid w:val="00BB5521"/>
    <w:rsid w:val="00BB5D80"/>
    <w:rsid w:val="00BB66AF"/>
    <w:rsid w:val="00BB68D8"/>
    <w:rsid w:val="00BB77F7"/>
    <w:rsid w:val="00BC0044"/>
    <w:rsid w:val="00BC1666"/>
    <w:rsid w:val="00BC20D9"/>
    <w:rsid w:val="00BC287A"/>
    <w:rsid w:val="00BC2C6D"/>
    <w:rsid w:val="00BC2D79"/>
    <w:rsid w:val="00BC2EAE"/>
    <w:rsid w:val="00BC31C8"/>
    <w:rsid w:val="00BC33CB"/>
    <w:rsid w:val="00BC39A7"/>
    <w:rsid w:val="00BC39DB"/>
    <w:rsid w:val="00BC4178"/>
    <w:rsid w:val="00BC449C"/>
    <w:rsid w:val="00BC44C9"/>
    <w:rsid w:val="00BC4985"/>
    <w:rsid w:val="00BC4A51"/>
    <w:rsid w:val="00BC557E"/>
    <w:rsid w:val="00BC5A58"/>
    <w:rsid w:val="00BC5C8E"/>
    <w:rsid w:val="00BC60D1"/>
    <w:rsid w:val="00BC64C3"/>
    <w:rsid w:val="00BC6978"/>
    <w:rsid w:val="00BC6F92"/>
    <w:rsid w:val="00BD0AD8"/>
    <w:rsid w:val="00BD1BA4"/>
    <w:rsid w:val="00BD1C06"/>
    <w:rsid w:val="00BD1E98"/>
    <w:rsid w:val="00BD2185"/>
    <w:rsid w:val="00BD2560"/>
    <w:rsid w:val="00BD2BAE"/>
    <w:rsid w:val="00BD312C"/>
    <w:rsid w:val="00BD340A"/>
    <w:rsid w:val="00BD378D"/>
    <w:rsid w:val="00BD4531"/>
    <w:rsid w:val="00BD4C02"/>
    <w:rsid w:val="00BD4E7C"/>
    <w:rsid w:val="00BD5020"/>
    <w:rsid w:val="00BD5432"/>
    <w:rsid w:val="00BD5A43"/>
    <w:rsid w:val="00BD5B98"/>
    <w:rsid w:val="00BD646B"/>
    <w:rsid w:val="00BD681D"/>
    <w:rsid w:val="00BD6A7B"/>
    <w:rsid w:val="00BD75D6"/>
    <w:rsid w:val="00BD77C2"/>
    <w:rsid w:val="00BD7B0A"/>
    <w:rsid w:val="00BE06D6"/>
    <w:rsid w:val="00BE08C8"/>
    <w:rsid w:val="00BE0B28"/>
    <w:rsid w:val="00BE0BC4"/>
    <w:rsid w:val="00BE0F2E"/>
    <w:rsid w:val="00BE1635"/>
    <w:rsid w:val="00BE1B9A"/>
    <w:rsid w:val="00BE1C9E"/>
    <w:rsid w:val="00BE1CF8"/>
    <w:rsid w:val="00BE27B4"/>
    <w:rsid w:val="00BE29DC"/>
    <w:rsid w:val="00BE3EE5"/>
    <w:rsid w:val="00BE4763"/>
    <w:rsid w:val="00BE5055"/>
    <w:rsid w:val="00BE53C2"/>
    <w:rsid w:val="00BE5CF4"/>
    <w:rsid w:val="00BE6044"/>
    <w:rsid w:val="00BE67F7"/>
    <w:rsid w:val="00BE794B"/>
    <w:rsid w:val="00BE7B0D"/>
    <w:rsid w:val="00BF0FBA"/>
    <w:rsid w:val="00BF1F92"/>
    <w:rsid w:val="00BF2C86"/>
    <w:rsid w:val="00BF2E5D"/>
    <w:rsid w:val="00BF2EA7"/>
    <w:rsid w:val="00BF3368"/>
    <w:rsid w:val="00BF355B"/>
    <w:rsid w:val="00BF38EF"/>
    <w:rsid w:val="00BF42B4"/>
    <w:rsid w:val="00BF42D0"/>
    <w:rsid w:val="00BF4428"/>
    <w:rsid w:val="00BF4702"/>
    <w:rsid w:val="00BF4F4E"/>
    <w:rsid w:val="00BF553C"/>
    <w:rsid w:val="00BF555D"/>
    <w:rsid w:val="00BF59DD"/>
    <w:rsid w:val="00BF62E1"/>
    <w:rsid w:val="00BF63F0"/>
    <w:rsid w:val="00BF7727"/>
    <w:rsid w:val="00C0090C"/>
    <w:rsid w:val="00C009F2"/>
    <w:rsid w:val="00C00B6C"/>
    <w:rsid w:val="00C00C11"/>
    <w:rsid w:val="00C016CB"/>
    <w:rsid w:val="00C01A02"/>
    <w:rsid w:val="00C01D6F"/>
    <w:rsid w:val="00C01D74"/>
    <w:rsid w:val="00C02336"/>
    <w:rsid w:val="00C02345"/>
    <w:rsid w:val="00C02A04"/>
    <w:rsid w:val="00C02AD0"/>
    <w:rsid w:val="00C02D72"/>
    <w:rsid w:val="00C03223"/>
    <w:rsid w:val="00C036CD"/>
    <w:rsid w:val="00C03B3D"/>
    <w:rsid w:val="00C03BCB"/>
    <w:rsid w:val="00C0434B"/>
    <w:rsid w:val="00C05027"/>
    <w:rsid w:val="00C05B66"/>
    <w:rsid w:val="00C05E46"/>
    <w:rsid w:val="00C0602D"/>
    <w:rsid w:val="00C067F0"/>
    <w:rsid w:val="00C06A31"/>
    <w:rsid w:val="00C06E9F"/>
    <w:rsid w:val="00C06EC7"/>
    <w:rsid w:val="00C07D67"/>
    <w:rsid w:val="00C07F8B"/>
    <w:rsid w:val="00C07FD7"/>
    <w:rsid w:val="00C104AD"/>
    <w:rsid w:val="00C10805"/>
    <w:rsid w:val="00C1102C"/>
    <w:rsid w:val="00C111A0"/>
    <w:rsid w:val="00C1217E"/>
    <w:rsid w:val="00C1253A"/>
    <w:rsid w:val="00C128EB"/>
    <w:rsid w:val="00C12C0B"/>
    <w:rsid w:val="00C12CA1"/>
    <w:rsid w:val="00C12DFE"/>
    <w:rsid w:val="00C13A5E"/>
    <w:rsid w:val="00C140B7"/>
    <w:rsid w:val="00C14122"/>
    <w:rsid w:val="00C14381"/>
    <w:rsid w:val="00C1466E"/>
    <w:rsid w:val="00C14678"/>
    <w:rsid w:val="00C150FF"/>
    <w:rsid w:val="00C15C13"/>
    <w:rsid w:val="00C15D59"/>
    <w:rsid w:val="00C15E98"/>
    <w:rsid w:val="00C15EDA"/>
    <w:rsid w:val="00C16406"/>
    <w:rsid w:val="00C16899"/>
    <w:rsid w:val="00C17B9B"/>
    <w:rsid w:val="00C17FFB"/>
    <w:rsid w:val="00C204E3"/>
    <w:rsid w:val="00C20666"/>
    <w:rsid w:val="00C208BB"/>
    <w:rsid w:val="00C208F3"/>
    <w:rsid w:val="00C21349"/>
    <w:rsid w:val="00C2166D"/>
    <w:rsid w:val="00C230CD"/>
    <w:rsid w:val="00C23140"/>
    <w:rsid w:val="00C237D7"/>
    <w:rsid w:val="00C23D96"/>
    <w:rsid w:val="00C243DC"/>
    <w:rsid w:val="00C245D9"/>
    <w:rsid w:val="00C24CF0"/>
    <w:rsid w:val="00C24D28"/>
    <w:rsid w:val="00C252FE"/>
    <w:rsid w:val="00C25664"/>
    <w:rsid w:val="00C26628"/>
    <w:rsid w:val="00C2681B"/>
    <w:rsid w:val="00C26D38"/>
    <w:rsid w:val="00C26E6A"/>
    <w:rsid w:val="00C271E1"/>
    <w:rsid w:val="00C277C8"/>
    <w:rsid w:val="00C27FAE"/>
    <w:rsid w:val="00C30472"/>
    <w:rsid w:val="00C3113D"/>
    <w:rsid w:val="00C3143D"/>
    <w:rsid w:val="00C327DF"/>
    <w:rsid w:val="00C32CA3"/>
    <w:rsid w:val="00C33169"/>
    <w:rsid w:val="00C333EC"/>
    <w:rsid w:val="00C335A4"/>
    <w:rsid w:val="00C337F9"/>
    <w:rsid w:val="00C34891"/>
    <w:rsid w:val="00C350A1"/>
    <w:rsid w:val="00C35F42"/>
    <w:rsid w:val="00C3696E"/>
    <w:rsid w:val="00C36A09"/>
    <w:rsid w:val="00C36FBA"/>
    <w:rsid w:val="00C373B0"/>
    <w:rsid w:val="00C37C05"/>
    <w:rsid w:val="00C37C4B"/>
    <w:rsid w:val="00C40160"/>
    <w:rsid w:val="00C41880"/>
    <w:rsid w:val="00C4278F"/>
    <w:rsid w:val="00C42C89"/>
    <w:rsid w:val="00C4344F"/>
    <w:rsid w:val="00C43A5F"/>
    <w:rsid w:val="00C43A8C"/>
    <w:rsid w:val="00C44511"/>
    <w:rsid w:val="00C44B7E"/>
    <w:rsid w:val="00C44F63"/>
    <w:rsid w:val="00C45523"/>
    <w:rsid w:val="00C45A08"/>
    <w:rsid w:val="00C45D1A"/>
    <w:rsid w:val="00C465E0"/>
    <w:rsid w:val="00C46BD5"/>
    <w:rsid w:val="00C46E3F"/>
    <w:rsid w:val="00C46E9D"/>
    <w:rsid w:val="00C47D83"/>
    <w:rsid w:val="00C506A8"/>
    <w:rsid w:val="00C50838"/>
    <w:rsid w:val="00C5187C"/>
    <w:rsid w:val="00C51E97"/>
    <w:rsid w:val="00C52423"/>
    <w:rsid w:val="00C52D70"/>
    <w:rsid w:val="00C52DCE"/>
    <w:rsid w:val="00C52E9A"/>
    <w:rsid w:val="00C52F8D"/>
    <w:rsid w:val="00C53144"/>
    <w:rsid w:val="00C537E3"/>
    <w:rsid w:val="00C53805"/>
    <w:rsid w:val="00C539D7"/>
    <w:rsid w:val="00C53CB3"/>
    <w:rsid w:val="00C53E84"/>
    <w:rsid w:val="00C54438"/>
    <w:rsid w:val="00C5532C"/>
    <w:rsid w:val="00C55759"/>
    <w:rsid w:val="00C55CF7"/>
    <w:rsid w:val="00C55EFE"/>
    <w:rsid w:val="00C55F84"/>
    <w:rsid w:val="00C5606A"/>
    <w:rsid w:val="00C56206"/>
    <w:rsid w:val="00C56813"/>
    <w:rsid w:val="00C569FF"/>
    <w:rsid w:val="00C56B55"/>
    <w:rsid w:val="00C56CC6"/>
    <w:rsid w:val="00C56E0C"/>
    <w:rsid w:val="00C56E1E"/>
    <w:rsid w:val="00C5731B"/>
    <w:rsid w:val="00C5758E"/>
    <w:rsid w:val="00C57BF4"/>
    <w:rsid w:val="00C600B9"/>
    <w:rsid w:val="00C6069A"/>
    <w:rsid w:val="00C60758"/>
    <w:rsid w:val="00C609BF"/>
    <w:rsid w:val="00C609C1"/>
    <w:rsid w:val="00C60C49"/>
    <w:rsid w:val="00C60CD6"/>
    <w:rsid w:val="00C61014"/>
    <w:rsid w:val="00C61091"/>
    <w:rsid w:val="00C6128F"/>
    <w:rsid w:val="00C6236A"/>
    <w:rsid w:val="00C6288D"/>
    <w:rsid w:val="00C6290A"/>
    <w:rsid w:val="00C63186"/>
    <w:rsid w:val="00C63350"/>
    <w:rsid w:val="00C6349F"/>
    <w:rsid w:val="00C63585"/>
    <w:rsid w:val="00C63629"/>
    <w:rsid w:val="00C63C61"/>
    <w:rsid w:val="00C63DFB"/>
    <w:rsid w:val="00C63F85"/>
    <w:rsid w:val="00C6427B"/>
    <w:rsid w:val="00C6432D"/>
    <w:rsid w:val="00C643A9"/>
    <w:rsid w:val="00C64511"/>
    <w:rsid w:val="00C64844"/>
    <w:rsid w:val="00C648CB"/>
    <w:rsid w:val="00C649DE"/>
    <w:rsid w:val="00C64FC2"/>
    <w:rsid w:val="00C6538B"/>
    <w:rsid w:val="00C6708E"/>
    <w:rsid w:val="00C675F1"/>
    <w:rsid w:val="00C708CA"/>
    <w:rsid w:val="00C70952"/>
    <w:rsid w:val="00C7164B"/>
    <w:rsid w:val="00C72237"/>
    <w:rsid w:val="00C7239F"/>
    <w:rsid w:val="00C7241E"/>
    <w:rsid w:val="00C732F7"/>
    <w:rsid w:val="00C739B7"/>
    <w:rsid w:val="00C73EF8"/>
    <w:rsid w:val="00C73F87"/>
    <w:rsid w:val="00C74842"/>
    <w:rsid w:val="00C749D2"/>
    <w:rsid w:val="00C74B47"/>
    <w:rsid w:val="00C7539B"/>
    <w:rsid w:val="00C75D0E"/>
    <w:rsid w:val="00C76107"/>
    <w:rsid w:val="00C762D6"/>
    <w:rsid w:val="00C766F0"/>
    <w:rsid w:val="00C76DDE"/>
    <w:rsid w:val="00C7722D"/>
    <w:rsid w:val="00C77527"/>
    <w:rsid w:val="00C80EB4"/>
    <w:rsid w:val="00C81404"/>
    <w:rsid w:val="00C81457"/>
    <w:rsid w:val="00C8196E"/>
    <w:rsid w:val="00C82C3A"/>
    <w:rsid w:val="00C82EE5"/>
    <w:rsid w:val="00C8339F"/>
    <w:rsid w:val="00C83474"/>
    <w:rsid w:val="00C83507"/>
    <w:rsid w:val="00C83775"/>
    <w:rsid w:val="00C837F8"/>
    <w:rsid w:val="00C83922"/>
    <w:rsid w:val="00C839FA"/>
    <w:rsid w:val="00C84087"/>
    <w:rsid w:val="00C84AC0"/>
    <w:rsid w:val="00C84E7A"/>
    <w:rsid w:val="00C8582E"/>
    <w:rsid w:val="00C8607E"/>
    <w:rsid w:val="00C860F9"/>
    <w:rsid w:val="00C865E5"/>
    <w:rsid w:val="00C86947"/>
    <w:rsid w:val="00C86E89"/>
    <w:rsid w:val="00C871DA"/>
    <w:rsid w:val="00C8724C"/>
    <w:rsid w:val="00C8755A"/>
    <w:rsid w:val="00C877C1"/>
    <w:rsid w:val="00C91278"/>
    <w:rsid w:val="00C914EE"/>
    <w:rsid w:val="00C915CE"/>
    <w:rsid w:val="00C91740"/>
    <w:rsid w:val="00C91A10"/>
    <w:rsid w:val="00C92947"/>
    <w:rsid w:val="00C92AEB"/>
    <w:rsid w:val="00C92BC0"/>
    <w:rsid w:val="00C92D49"/>
    <w:rsid w:val="00C92EC2"/>
    <w:rsid w:val="00C93449"/>
    <w:rsid w:val="00C939BD"/>
    <w:rsid w:val="00C93A4B"/>
    <w:rsid w:val="00C93EA1"/>
    <w:rsid w:val="00C94037"/>
    <w:rsid w:val="00C94E17"/>
    <w:rsid w:val="00C94F14"/>
    <w:rsid w:val="00C95BA9"/>
    <w:rsid w:val="00C95C0A"/>
    <w:rsid w:val="00C96214"/>
    <w:rsid w:val="00C96390"/>
    <w:rsid w:val="00C96907"/>
    <w:rsid w:val="00C9693E"/>
    <w:rsid w:val="00C96D70"/>
    <w:rsid w:val="00C96F3F"/>
    <w:rsid w:val="00C970AD"/>
    <w:rsid w:val="00C97601"/>
    <w:rsid w:val="00CA0BE2"/>
    <w:rsid w:val="00CA0D9E"/>
    <w:rsid w:val="00CA13AE"/>
    <w:rsid w:val="00CA18CA"/>
    <w:rsid w:val="00CA20CC"/>
    <w:rsid w:val="00CA211F"/>
    <w:rsid w:val="00CA2EDE"/>
    <w:rsid w:val="00CA3C9C"/>
    <w:rsid w:val="00CA3CC6"/>
    <w:rsid w:val="00CA44B4"/>
    <w:rsid w:val="00CA4519"/>
    <w:rsid w:val="00CA480F"/>
    <w:rsid w:val="00CA4A08"/>
    <w:rsid w:val="00CA4DD1"/>
    <w:rsid w:val="00CA4FE6"/>
    <w:rsid w:val="00CA50B7"/>
    <w:rsid w:val="00CA5763"/>
    <w:rsid w:val="00CA57D1"/>
    <w:rsid w:val="00CA5DD5"/>
    <w:rsid w:val="00CA5E80"/>
    <w:rsid w:val="00CA616A"/>
    <w:rsid w:val="00CA62B5"/>
    <w:rsid w:val="00CA635C"/>
    <w:rsid w:val="00CA641A"/>
    <w:rsid w:val="00CA64E5"/>
    <w:rsid w:val="00CA6636"/>
    <w:rsid w:val="00CA6933"/>
    <w:rsid w:val="00CA6BAC"/>
    <w:rsid w:val="00CA7170"/>
    <w:rsid w:val="00CA76B0"/>
    <w:rsid w:val="00CA7E1F"/>
    <w:rsid w:val="00CB05A7"/>
    <w:rsid w:val="00CB0CA0"/>
    <w:rsid w:val="00CB10EE"/>
    <w:rsid w:val="00CB1860"/>
    <w:rsid w:val="00CB18E4"/>
    <w:rsid w:val="00CB2708"/>
    <w:rsid w:val="00CB2723"/>
    <w:rsid w:val="00CB291A"/>
    <w:rsid w:val="00CB2E76"/>
    <w:rsid w:val="00CB3511"/>
    <w:rsid w:val="00CB3B82"/>
    <w:rsid w:val="00CB5D03"/>
    <w:rsid w:val="00CB6520"/>
    <w:rsid w:val="00CB6799"/>
    <w:rsid w:val="00CB67FD"/>
    <w:rsid w:val="00CB6FA2"/>
    <w:rsid w:val="00CB72A5"/>
    <w:rsid w:val="00CC007D"/>
    <w:rsid w:val="00CC03C3"/>
    <w:rsid w:val="00CC1101"/>
    <w:rsid w:val="00CC18FB"/>
    <w:rsid w:val="00CC1B35"/>
    <w:rsid w:val="00CC1CB7"/>
    <w:rsid w:val="00CC265B"/>
    <w:rsid w:val="00CC2EE9"/>
    <w:rsid w:val="00CC36F2"/>
    <w:rsid w:val="00CC377F"/>
    <w:rsid w:val="00CC4568"/>
    <w:rsid w:val="00CC4666"/>
    <w:rsid w:val="00CC46BD"/>
    <w:rsid w:val="00CC473F"/>
    <w:rsid w:val="00CC4E5D"/>
    <w:rsid w:val="00CC51A5"/>
    <w:rsid w:val="00CC584F"/>
    <w:rsid w:val="00CC5F05"/>
    <w:rsid w:val="00CC6E2B"/>
    <w:rsid w:val="00CC71CC"/>
    <w:rsid w:val="00CC75AF"/>
    <w:rsid w:val="00CC7625"/>
    <w:rsid w:val="00CC7806"/>
    <w:rsid w:val="00CC79A1"/>
    <w:rsid w:val="00CC7CBC"/>
    <w:rsid w:val="00CC7FD4"/>
    <w:rsid w:val="00CD00B1"/>
    <w:rsid w:val="00CD04FD"/>
    <w:rsid w:val="00CD0BBA"/>
    <w:rsid w:val="00CD0D37"/>
    <w:rsid w:val="00CD0D5F"/>
    <w:rsid w:val="00CD1562"/>
    <w:rsid w:val="00CD1EB0"/>
    <w:rsid w:val="00CD2FDF"/>
    <w:rsid w:val="00CD301E"/>
    <w:rsid w:val="00CD3303"/>
    <w:rsid w:val="00CD356E"/>
    <w:rsid w:val="00CD3611"/>
    <w:rsid w:val="00CD3769"/>
    <w:rsid w:val="00CD3787"/>
    <w:rsid w:val="00CD3E4A"/>
    <w:rsid w:val="00CD42D6"/>
    <w:rsid w:val="00CD47DE"/>
    <w:rsid w:val="00CD4C21"/>
    <w:rsid w:val="00CD4CC3"/>
    <w:rsid w:val="00CD55E7"/>
    <w:rsid w:val="00CD58F0"/>
    <w:rsid w:val="00CD5B4C"/>
    <w:rsid w:val="00CD6153"/>
    <w:rsid w:val="00CD61DC"/>
    <w:rsid w:val="00CD624B"/>
    <w:rsid w:val="00CD633C"/>
    <w:rsid w:val="00CD63C9"/>
    <w:rsid w:val="00CD64BB"/>
    <w:rsid w:val="00CD67C6"/>
    <w:rsid w:val="00CD6A40"/>
    <w:rsid w:val="00CD724F"/>
    <w:rsid w:val="00CD7D34"/>
    <w:rsid w:val="00CE045A"/>
    <w:rsid w:val="00CE0565"/>
    <w:rsid w:val="00CE0C32"/>
    <w:rsid w:val="00CE0EBE"/>
    <w:rsid w:val="00CE0F58"/>
    <w:rsid w:val="00CE143C"/>
    <w:rsid w:val="00CE16B1"/>
    <w:rsid w:val="00CE1A54"/>
    <w:rsid w:val="00CE1BA5"/>
    <w:rsid w:val="00CE1C32"/>
    <w:rsid w:val="00CE1EBB"/>
    <w:rsid w:val="00CE2197"/>
    <w:rsid w:val="00CE37F2"/>
    <w:rsid w:val="00CE3AE3"/>
    <w:rsid w:val="00CE405F"/>
    <w:rsid w:val="00CE4404"/>
    <w:rsid w:val="00CE4822"/>
    <w:rsid w:val="00CE5114"/>
    <w:rsid w:val="00CE5696"/>
    <w:rsid w:val="00CE5992"/>
    <w:rsid w:val="00CE5A18"/>
    <w:rsid w:val="00CE5F02"/>
    <w:rsid w:val="00CE5F97"/>
    <w:rsid w:val="00CE6851"/>
    <w:rsid w:val="00CE6879"/>
    <w:rsid w:val="00CE6D38"/>
    <w:rsid w:val="00CE6F94"/>
    <w:rsid w:val="00CE773B"/>
    <w:rsid w:val="00CE7BA1"/>
    <w:rsid w:val="00CE7BC2"/>
    <w:rsid w:val="00CF0783"/>
    <w:rsid w:val="00CF0F05"/>
    <w:rsid w:val="00CF0F8F"/>
    <w:rsid w:val="00CF1CD6"/>
    <w:rsid w:val="00CF24A7"/>
    <w:rsid w:val="00CF2544"/>
    <w:rsid w:val="00CF2621"/>
    <w:rsid w:val="00CF326C"/>
    <w:rsid w:val="00CF32A8"/>
    <w:rsid w:val="00CF3818"/>
    <w:rsid w:val="00CF3E69"/>
    <w:rsid w:val="00CF3F99"/>
    <w:rsid w:val="00CF4520"/>
    <w:rsid w:val="00CF454A"/>
    <w:rsid w:val="00CF4FD8"/>
    <w:rsid w:val="00CF50D7"/>
    <w:rsid w:val="00CF5167"/>
    <w:rsid w:val="00CF6C14"/>
    <w:rsid w:val="00CF717A"/>
    <w:rsid w:val="00CF73EF"/>
    <w:rsid w:val="00CF75E0"/>
    <w:rsid w:val="00CF7B1B"/>
    <w:rsid w:val="00CF7BD5"/>
    <w:rsid w:val="00CF7F90"/>
    <w:rsid w:val="00D00672"/>
    <w:rsid w:val="00D0078C"/>
    <w:rsid w:val="00D00CDC"/>
    <w:rsid w:val="00D00FAC"/>
    <w:rsid w:val="00D0105A"/>
    <w:rsid w:val="00D010AD"/>
    <w:rsid w:val="00D01552"/>
    <w:rsid w:val="00D0178F"/>
    <w:rsid w:val="00D017CF"/>
    <w:rsid w:val="00D02094"/>
    <w:rsid w:val="00D0221F"/>
    <w:rsid w:val="00D02403"/>
    <w:rsid w:val="00D028C8"/>
    <w:rsid w:val="00D02BF7"/>
    <w:rsid w:val="00D02DBA"/>
    <w:rsid w:val="00D03570"/>
    <w:rsid w:val="00D036B2"/>
    <w:rsid w:val="00D03A31"/>
    <w:rsid w:val="00D04043"/>
    <w:rsid w:val="00D04B2C"/>
    <w:rsid w:val="00D04B55"/>
    <w:rsid w:val="00D0594B"/>
    <w:rsid w:val="00D05B02"/>
    <w:rsid w:val="00D062B7"/>
    <w:rsid w:val="00D0637E"/>
    <w:rsid w:val="00D065CA"/>
    <w:rsid w:val="00D066C8"/>
    <w:rsid w:val="00D07104"/>
    <w:rsid w:val="00D07290"/>
    <w:rsid w:val="00D10B74"/>
    <w:rsid w:val="00D10BCC"/>
    <w:rsid w:val="00D10CAC"/>
    <w:rsid w:val="00D11013"/>
    <w:rsid w:val="00D11C87"/>
    <w:rsid w:val="00D11CF7"/>
    <w:rsid w:val="00D13628"/>
    <w:rsid w:val="00D139C6"/>
    <w:rsid w:val="00D140A5"/>
    <w:rsid w:val="00D143DF"/>
    <w:rsid w:val="00D14FF6"/>
    <w:rsid w:val="00D1508C"/>
    <w:rsid w:val="00D1544C"/>
    <w:rsid w:val="00D1553A"/>
    <w:rsid w:val="00D155A7"/>
    <w:rsid w:val="00D15675"/>
    <w:rsid w:val="00D169EA"/>
    <w:rsid w:val="00D16EC8"/>
    <w:rsid w:val="00D1716A"/>
    <w:rsid w:val="00D1746D"/>
    <w:rsid w:val="00D17A2C"/>
    <w:rsid w:val="00D17EA2"/>
    <w:rsid w:val="00D201C3"/>
    <w:rsid w:val="00D203BE"/>
    <w:rsid w:val="00D203DD"/>
    <w:rsid w:val="00D20E23"/>
    <w:rsid w:val="00D20ED2"/>
    <w:rsid w:val="00D21667"/>
    <w:rsid w:val="00D21672"/>
    <w:rsid w:val="00D21C9B"/>
    <w:rsid w:val="00D21DDE"/>
    <w:rsid w:val="00D21E5A"/>
    <w:rsid w:val="00D21FB8"/>
    <w:rsid w:val="00D224BC"/>
    <w:rsid w:val="00D24CCD"/>
    <w:rsid w:val="00D257AA"/>
    <w:rsid w:val="00D25922"/>
    <w:rsid w:val="00D261D7"/>
    <w:rsid w:val="00D261DC"/>
    <w:rsid w:val="00D26642"/>
    <w:rsid w:val="00D266F9"/>
    <w:rsid w:val="00D274D2"/>
    <w:rsid w:val="00D27757"/>
    <w:rsid w:val="00D279EC"/>
    <w:rsid w:val="00D27B97"/>
    <w:rsid w:val="00D30704"/>
    <w:rsid w:val="00D30A0D"/>
    <w:rsid w:val="00D30C53"/>
    <w:rsid w:val="00D3118B"/>
    <w:rsid w:val="00D31BBF"/>
    <w:rsid w:val="00D31EE1"/>
    <w:rsid w:val="00D3253B"/>
    <w:rsid w:val="00D32AC6"/>
    <w:rsid w:val="00D32CDD"/>
    <w:rsid w:val="00D32D05"/>
    <w:rsid w:val="00D32D72"/>
    <w:rsid w:val="00D33827"/>
    <w:rsid w:val="00D3387B"/>
    <w:rsid w:val="00D33A56"/>
    <w:rsid w:val="00D33FBA"/>
    <w:rsid w:val="00D34030"/>
    <w:rsid w:val="00D34508"/>
    <w:rsid w:val="00D34575"/>
    <w:rsid w:val="00D35406"/>
    <w:rsid w:val="00D36045"/>
    <w:rsid w:val="00D361A4"/>
    <w:rsid w:val="00D367F9"/>
    <w:rsid w:val="00D36D1A"/>
    <w:rsid w:val="00D377FA"/>
    <w:rsid w:val="00D40567"/>
    <w:rsid w:val="00D405B7"/>
    <w:rsid w:val="00D411B3"/>
    <w:rsid w:val="00D4187F"/>
    <w:rsid w:val="00D41DD0"/>
    <w:rsid w:val="00D41FE5"/>
    <w:rsid w:val="00D4264C"/>
    <w:rsid w:val="00D42BFB"/>
    <w:rsid w:val="00D42E8D"/>
    <w:rsid w:val="00D432C5"/>
    <w:rsid w:val="00D43356"/>
    <w:rsid w:val="00D43D35"/>
    <w:rsid w:val="00D445B4"/>
    <w:rsid w:val="00D44908"/>
    <w:rsid w:val="00D44D58"/>
    <w:rsid w:val="00D4502A"/>
    <w:rsid w:val="00D453F8"/>
    <w:rsid w:val="00D4581A"/>
    <w:rsid w:val="00D45F1F"/>
    <w:rsid w:val="00D45F8B"/>
    <w:rsid w:val="00D4618A"/>
    <w:rsid w:val="00D4650E"/>
    <w:rsid w:val="00D4665C"/>
    <w:rsid w:val="00D46EA3"/>
    <w:rsid w:val="00D46F07"/>
    <w:rsid w:val="00D4702C"/>
    <w:rsid w:val="00D47794"/>
    <w:rsid w:val="00D47EA5"/>
    <w:rsid w:val="00D505FD"/>
    <w:rsid w:val="00D510E7"/>
    <w:rsid w:val="00D51595"/>
    <w:rsid w:val="00D51EE7"/>
    <w:rsid w:val="00D52710"/>
    <w:rsid w:val="00D52D1F"/>
    <w:rsid w:val="00D52D9F"/>
    <w:rsid w:val="00D53164"/>
    <w:rsid w:val="00D5363A"/>
    <w:rsid w:val="00D53DC1"/>
    <w:rsid w:val="00D53F9D"/>
    <w:rsid w:val="00D552EC"/>
    <w:rsid w:val="00D55320"/>
    <w:rsid w:val="00D55B75"/>
    <w:rsid w:val="00D56063"/>
    <w:rsid w:val="00D5636C"/>
    <w:rsid w:val="00D56551"/>
    <w:rsid w:val="00D57A25"/>
    <w:rsid w:val="00D57AD8"/>
    <w:rsid w:val="00D60134"/>
    <w:rsid w:val="00D606F6"/>
    <w:rsid w:val="00D61178"/>
    <w:rsid w:val="00D61449"/>
    <w:rsid w:val="00D61921"/>
    <w:rsid w:val="00D628E7"/>
    <w:rsid w:val="00D642AE"/>
    <w:rsid w:val="00D645DF"/>
    <w:rsid w:val="00D646F2"/>
    <w:rsid w:val="00D6513A"/>
    <w:rsid w:val="00D65B78"/>
    <w:rsid w:val="00D660C0"/>
    <w:rsid w:val="00D66A85"/>
    <w:rsid w:val="00D67193"/>
    <w:rsid w:val="00D673AF"/>
    <w:rsid w:val="00D675B0"/>
    <w:rsid w:val="00D67F7E"/>
    <w:rsid w:val="00D70629"/>
    <w:rsid w:val="00D710FD"/>
    <w:rsid w:val="00D72237"/>
    <w:rsid w:val="00D7232B"/>
    <w:rsid w:val="00D7369D"/>
    <w:rsid w:val="00D73875"/>
    <w:rsid w:val="00D74002"/>
    <w:rsid w:val="00D743A3"/>
    <w:rsid w:val="00D7499F"/>
    <w:rsid w:val="00D74EFB"/>
    <w:rsid w:val="00D75440"/>
    <w:rsid w:val="00D758E6"/>
    <w:rsid w:val="00D75AA0"/>
    <w:rsid w:val="00D75ECC"/>
    <w:rsid w:val="00D766DC"/>
    <w:rsid w:val="00D76F59"/>
    <w:rsid w:val="00D77036"/>
    <w:rsid w:val="00D77246"/>
    <w:rsid w:val="00D779CE"/>
    <w:rsid w:val="00D80100"/>
    <w:rsid w:val="00D80115"/>
    <w:rsid w:val="00D805A4"/>
    <w:rsid w:val="00D80B07"/>
    <w:rsid w:val="00D81C3C"/>
    <w:rsid w:val="00D81D61"/>
    <w:rsid w:val="00D81F15"/>
    <w:rsid w:val="00D81F5D"/>
    <w:rsid w:val="00D827A1"/>
    <w:rsid w:val="00D82878"/>
    <w:rsid w:val="00D82DD1"/>
    <w:rsid w:val="00D839F3"/>
    <w:rsid w:val="00D83E9C"/>
    <w:rsid w:val="00D8411E"/>
    <w:rsid w:val="00D84475"/>
    <w:rsid w:val="00D85322"/>
    <w:rsid w:val="00D85EE8"/>
    <w:rsid w:val="00D8601C"/>
    <w:rsid w:val="00D8661A"/>
    <w:rsid w:val="00D86787"/>
    <w:rsid w:val="00D868B1"/>
    <w:rsid w:val="00D86F34"/>
    <w:rsid w:val="00D8735B"/>
    <w:rsid w:val="00D87F4E"/>
    <w:rsid w:val="00D90274"/>
    <w:rsid w:val="00D90284"/>
    <w:rsid w:val="00D90B11"/>
    <w:rsid w:val="00D91168"/>
    <w:rsid w:val="00D913EF"/>
    <w:rsid w:val="00D91964"/>
    <w:rsid w:val="00D92415"/>
    <w:rsid w:val="00D92EDC"/>
    <w:rsid w:val="00D94315"/>
    <w:rsid w:val="00D9433D"/>
    <w:rsid w:val="00D94A46"/>
    <w:rsid w:val="00D94B12"/>
    <w:rsid w:val="00D955E2"/>
    <w:rsid w:val="00D96028"/>
    <w:rsid w:val="00D967B9"/>
    <w:rsid w:val="00D96BDE"/>
    <w:rsid w:val="00D97214"/>
    <w:rsid w:val="00D97AB1"/>
    <w:rsid w:val="00DA01C0"/>
    <w:rsid w:val="00DA10C2"/>
    <w:rsid w:val="00DA12A2"/>
    <w:rsid w:val="00DA172A"/>
    <w:rsid w:val="00DA1811"/>
    <w:rsid w:val="00DA1896"/>
    <w:rsid w:val="00DA1C58"/>
    <w:rsid w:val="00DA1F29"/>
    <w:rsid w:val="00DA2138"/>
    <w:rsid w:val="00DA23D0"/>
    <w:rsid w:val="00DA2423"/>
    <w:rsid w:val="00DA27FA"/>
    <w:rsid w:val="00DA2A8A"/>
    <w:rsid w:val="00DA2E4F"/>
    <w:rsid w:val="00DA3812"/>
    <w:rsid w:val="00DA39CE"/>
    <w:rsid w:val="00DA39D9"/>
    <w:rsid w:val="00DA4188"/>
    <w:rsid w:val="00DA4313"/>
    <w:rsid w:val="00DA4C6B"/>
    <w:rsid w:val="00DA4F78"/>
    <w:rsid w:val="00DA55E6"/>
    <w:rsid w:val="00DA5D1B"/>
    <w:rsid w:val="00DA63EA"/>
    <w:rsid w:val="00DB015B"/>
    <w:rsid w:val="00DB0280"/>
    <w:rsid w:val="00DB0934"/>
    <w:rsid w:val="00DB094D"/>
    <w:rsid w:val="00DB0C83"/>
    <w:rsid w:val="00DB1692"/>
    <w:rsid w:val="00DB1B46"/>
    <w:rsid w:val="00DB1FD3"/>
    <w:rsid w:val="00DB2337"/>
    <w:rsid w:val="00DB2B3C"/>
    <w:rsid w:val="00DB3363"/>
    <w:rsid w:val="00DB35F4"/>
    <w:rsid w:val="00DB3E5C"/>
    <w:rsid w:val="00DB4A41"/>
    <w:rsid w:val="00DB5065"/>
    <w:rsid w:val="00DB5ABD"/>
    <w:rsid w:val="00DB5AF4"/>
    <w:rsid w:val="00DB6976"/>
    <w:rsid w:val="00DB7062"/>
    <w:rsid w:val="00DB738E"/>
    <w:rsid w:val="00DB79A4"/>
    <w:rsid w:val="00DC0019"/>
    <w:rsid w:val="00DC022F"/>
    <w:rsid w:val="00DC0F13"/>
    <w:rsid w:val="00DC15A4"/>
    <w:rsid w:val="00DC15BF"/>
    <w:rsid w:val="00DC1F87"/>
    <w:rsid w:val="00DC23E4"/>
    <w:rsid w:val="00DC2DE3"/>
    <w:rsid w:val="00DC3363"/>
    <w:rsid w:val="00DC3950"/>
    <w:rsid w:val="00DC3A0A"/>
    <w:rsid w:val="00DC3B1E"/>
    <w:rsid w:val="00DC4108"/>
    <w:rsid w:val="00DC571B"/>
    <w:rsid w:val="00DC5781"/>
    <w:rsid w:val="00DC5C8E"/>
    <w:rsid w:val="00DC6568"/>
    <w:rsid w:val="00DC6AA4"/>
    <w:rsid w:val="00DC6CA5"/>
    <w:rsid w:val="00DC71F0"/>
    <w:rsid w:val="00DC7230"/>
    <w:rsid w:val="00DC72AB"/>
    <w:rsid w:val="00DC7937"/>
    <w:rsid w:val="00DC7B98"/>
    <w:rsid w:val="00DD0031"/>
    <w:rsid w:val="00DD00C8"/>
    <w:rsid w:val="00DD0376"/>
    <w:rsid w:val="00DD0449"/>
    <w:rsid w:val="00DD04A7"/>
    <w:rsid w:val="00DD0E41"/>
    <w:rsid w:val="00DD103F"/>
    <w:rsid w:val="00DD122C"/>
    <w:rsid w:val="00DD166B"/>
    <w:rsid w:val="00DD17EA"/>
    <w:rsid w:val="00DD1915"/>
    <w:rsid w:val="00DD1AF4"/>
    <w:rsid w:val="00DD1B9C"/>
    <w:rsid w:val="00DD2173"/>
    <w:rsid w:val="00DD2412"/>
    <w:rsid w:val="00DD260C"/>
    <w:rsid w:val="00DD2758"/>
    <w:rsid w:val="00DD287D"/>
    <w:rsid w:val="00DD29BC"/>
    <w:rsid w:val="00DD2AF7"/>
    <w:rsid w:val="00DD2DF6"/>
    <w:rsid w:val="00DD35C6"/>
    <w:rsid w:val="00DD3725"/>
    <w:rsid w:val="00DD3786"/>
    <w:rsid w:val="00DD3DF2"/>
    <w:rsid w:val="00DD3EE9"/>
    <w:rsid w:val="00DD43BB"/>
    <w:rsid w:val="00DD46E4"/>
    <w:rsid w:val="00DD48CF"/>
    <w:rsid w:val="00DD52A4"/>
    <w:rsid w:val="00DD5DE5"/>
    <w:rsid w:val="00DD6017"/>
    <w:rsid w:val="00DD60AA"/>
    <w:rsid w:val="00DD64E0"/>
    <w:rsid w:val="00DD64F0"/>
    <w:rsid w:val="00DD7E32"/>
    <w:rsid w:val="00DD7F5C"/>
    <w:rsid w:val="00DE0B58"/>
    <w:rsid w:val="00DE0DD5"/>
    <w:rsid w:val="00DE10E1"/>
    <w:rsid w:val="00DE1696"/>
    <w:rsid w:val="00DE1AA6"/>
    <w:rsid w:val="00DE1BF5"/>
    <w:rsid w:val="00DE1E7F"/>
    <w:rsid w:val="00DE2187"/>
    <w:rsid w:val="00DE2FCF"/>
    <w:rsid w:val="00DE31CF"/>
    <w:rsid w:val="00DE3DC3"/>
    <w:rsid w:val="00DE550E"/>
    <w:rsid w:val="00DE6589"/>
    <w:rsid w:val="00DE6A50"/>
    <w:rsid w:val="00DE6D78"/>
    <w:rsid w:val="00DE6DB7"/>
    <w:rsid w:val="00DE6FFB"/>
    <w:rsid w:val="00DE7153"/>
    <w:rsid w:val="00DE7D68"/>
    <w:rsid w:val="00DF1AD9"/>
    <w:rsid w:val="00DF27BA"/>
    <w:rsid w:val="00DF2AEB"/>
    <w:rsid w:val="00DF2B1D"/>
    <w:rsid w:val="00DF2EC2"/>
    <w:rsid w:val="00DF31F2"/>
    <w:rsid w:val="00DF34FD"/>
    <w:rsid w:val="00DF3D49"/>
    <w:rsid w:val="00DF4001"/>
    <w:rsid w:val="00DF4498"/>
    <w:rsid w:val="00DF4539"/>
    <w:rsid w:val="00DF474B"/>
    <w:rsid w:val="00DF4763"/>
    <w:rsid w:val="00DF5401"/>
    <w:rsid w:val="00DF5ED8"/>
    <w:rsid w:val="00DF6008"/>
    <w:rsid w:val="00DF652A"/>
    <w:rsid w:val="00DF6667"/>
    <w:rsid w:val="00DF6A59"/>
    <w:rsid w:val="00DF6C06"/>
    <w:rsid w:val="00DF72BC"/>
    <w:rsid w:val="00DF7ABE"/>
    <w:rsid w:val="00DF7E92"/>
    <w:rsid w:val="00E0030E"/>
    <w:rsid w:val="00E00331"/>
    <w:rsid w:val="00E0063E"/>
    <w:rsid w:val="00E00A24"/>
    <w:rsid w:val="00E00AD3"/>
    <w:rsid w:val="00E00BD9"/>
    <w:rsid w:val="00E00F21"/>
    <w:rsid w:val="00E0194C"/>
    <w:rsid w:val="00E01DB0"/>
    <w:rsid w:val="00E0209F"/>
    <w:rsid w:val="00E022FB"/>
    <w:rsid w:val="00E02705"/>
    <w:rsid w:val="00E02B2A"/>
    <w:rsid w:val="00E02D72"/>
    <w:rsid w:val="00E031C1"/>
    <w:rsid w:val="00E03723"/>
    <w:rsid w:val="00E0373C"/>
    <w:rsid w:val="00E03A0E"/>
    <w:rsid w:val="00E03B1E"/>
    <w:rsid w:val="00E0462A"/>
    <w:rsid w:val="00E04A42"/>
    <w:rsid w:val="00E05933"/>
    <w:rsid w:val="00E05B99"/>
    <w:rsid w:val="00E0624C"/>
    <w:rsid w:val="00E064C4"/>
    <w:rsid w:val="00E06882"/>
    <w:rsid w:val="00E06913"/>
    <w:rsid w:val="00E06AB0"/>
    <w:rsid w:val="00E079CD"/>
    <w:rsid w:val="00E07D55"/>
    <w:rsid w:val="00E1032B"/>
    <w:rsid w:val="00E11288"/>
    <w:rsid w:val="00E117CC"/>
    <w:rsid w:val="00E11D59"/>
    <w:rsid w:val="00E128E6"/>
    <w:rsid w:val="00E129A0"/>
    <w:rsid w:val="00E13285"/>
    <w:rsid w:val="00E13C4E"/>
    <w:rsid w:val="00E14116"/>
    <w:rsid w:val="00E1511D"/>
    <w:rsid w:val="00E156B6"/>
    <w:rsid w:val="00E15746"/>
    <w:rsid w:val="00E15C43"/>
    <w:rsid w:val="00E1646C"/>
    <w:rsid w:val="00E16550"/>
    <w:rsid w:val="00E1658F"/>
    <w:rsid w:val="00E16A04"/>
    <w:rsid w:val="00E17390"/>
    <w:rsid w:val="00E17A0F"/>
    <w:rsid w:val="00E17D6E"/>
    <w:rsid w:val="00E20AED"/>
    <w:rsid w:val="00E20D72"/>
    <w:rsid w:val="00E2175B"/>
    <w:rsid w:val="00E21B43"/>
    <w:rsid w:val="00E21C14"/>
    <w:rsid w:val="00E21D6B"/>
    <w:rsid w:val="00E221E5"/>
    <w:rsid w:val="00E22626"/>
    <w:rsid w:val="00E2323C"/>
    <w:rsid w:val="00E23498"/>
    <w:rsid w:val="00E2415C"/>
    <w:rsid w:val="00E2519D"/>
    <w:rsid w:val="00E254AA"/>
    <w:rsid w:val="00E25AA0"/>
    <w:rsid w:val="00E25AAC"/>
    <w:rsid w:val="00E25D31"/>
    <w:rsid w:val="00E266FD"/>
    <w:rsid w:val="00E27128"/>
    <w:rsid w:val="00E276B7"/>
    <w:rsid w:val="00E27AB0"/>
    <w:rsid w:val="00E27BF4"/>
    <w:rsid w:val="00E30018"/>
    <w:rsid w:val="00E304B4"/>
    <w:rsid w:val="00E30505"/>
    <w:rsid w:val="00E30F02"/>
    <w:rsid w:val="00E313C4"/>
    <w:rsid w:val="00E3221A"/>
    <w:rsid w:val="00E322F8"/>
    <w:rsid w:val="00E324FF"/>
    <w:rsid w:val="00E32D5A"/>
    <w:rsid w:val="00E32DC0"/>
    <w:rsid w:val="00E3369D"/>
    <w:rsid w:val="00E3370A"/>
    <w:rsid w:val="00E34320"/>
    <w:rsid w:val="00E344A5"/>
    <w:rsid w:val="00E34F2C"/>
    <w:rsid w:val="00E351C3"/>
    <w:rsid w:val="00E35434"/>
    <w:rsid w:val="00E359DA"/>
    <w:rsid w:val="00E379BE"/>
    <w:rsid w:val="00E402D0"/>
    <w:rsid w:val="00E40BD7"/>
    <w:rsid w:val="00E40E3D"/>
    <w:rsid w:val="00E41093"/>
    <w:rsid w:val="00E41431"/>
    <w:rsid w:val="00E41619"/>
    <w:rsid w:val="00E4184D"/>
    <w:rsid w:val="00E41C62"/>
    <w:rsid w:val="00E42167"/>
    <w:rsid w:val="00E426D1"/>
    <w:rsid w:val="00E4280D"/>
    <w:rsid w:val="00E42C95"/>
    <w:rsid w:val="00E4322C"/>
    <w:rsid w:val="00E43260"/>
    <w:rsid w:val="00E432F3"/>
    <w:rsid w:val="00E4343C"/>
    <w:rsid w:val="00E44168"/>
    <w:rsid w:val="00E44A0D"/>
    <w:rsid w:val="00E44B36"/>
    <w:rsid w:val="00E44CDC"/>
    <w:rsid w:val="00E44F73"/>
    <w:rsid w:val="00E456DD"/>
    <w:rsid w:val="00E4575F"/>
    <w:rsid w:val="00E45EF1"/>
    <w:rsid w:val="00E46368"/>
    <w:rsid w:val="00E47343"/>
    <w:rsid w:val="00E47BAB"/>
    <w:rsid w:val="00E504C4"/>
    <w:rsid w:val="00E5074E"/>
    <w:rsid w:val="00E50F9A"/>
    <w:rsid w:val="00E513F0"/>
    <w:rsid w:val="00E52857"/>
    <w:rsid w:val="00E5285D"/>
    <w:rsid w:val="00E537CB"/>
    <w:rsid w:val="00E53A4D"/>
    <w:rsid w:val="00E53F52"/>
    <w:rsid w:val="00E54569"/>
    <w:rsid w:val="00E5464F"/>
    <w:rsid w:val="00E547F9"/>
    <w:rsid w:val="00E55105"/>
    <w:rsid w:val="00E553AB"/>
    <w:rsid w:val="00E55644"/>
    <w:rsid w:val="00E55CBE"/>
    <w:rsid w:val="00E56869"/>
    <w:rsid w:val="00E568DE"/>
    <w:rsid w:val="00E56991"/>
    <w:rsid w:val="00E56B7F"/>
    <w:rsid w:val="00E56EB1"/>
    <w:rsid w:val="00E5787E"/>
    <w:rsid w:val="00E57967"/>
    <w:rsid w:val="00E57C2C"/>
    <w:rsid w:val="00E57FBC"/>
    <w:rsid w:val="00E60C6B"/>
    <w:rsid w:val="00E60F1F"/>
    <w:rsid w:val="00E611FB"/>
    <w:rsid w:val="00E616B7"/>
    <w:rsid w:val="00E6198A"/>
    <w:rsid w:val="00E621F4"/>
    <w:rsid w:val="00E63042"/>
    <w:rsid w:val="00E63BBF"/>
    <w:rsid w:val="00E63F57"/>
    <w:rsid w:val="00E6414C"/>
    <w:rsid w:val="00E64456"/>
    <w:rsid w:val="00E64A61"/>
    <w:rsid w:val="00E651EE"/>
    <w:rsid w:val="00E6526B"/>
    <w:rsid w:val="00E653C1"/>
    <w:rsid w:val="00E660AA"/>
    <w:rsid w:val="00E665DC"/>
    <w:rsid w:val="00E67307"/>
    <w:rsid w:val="00E67347"/>
    <w:rsid w:val="00E713E9"/>
    <w:rsid w:val="00E71A0D"/>
    <w:rsid w:val="00E71E3F"/>
    <w:rsid w:val="00E72288"/>
    <w:rsid w:val="00E722EE"/>
    <w:rsid w:val="00E72683"/>
    <w:rsid w:val="00E7268E"/>
    <w:rsid w:val="00E72B19"/>
    <w:rsid w:val="00E73EEC"/>
    <w:rsid w:val="00E7511A"/>
    <w:rsid w:val="00E75376"/>
    <w:rsid w:val="00E758BE"/>
    <w:rsid w:val="00E7643D"/>
    <w:rsid w:val="00E76A97"/>
    <w:rsid w:val="00E76D86"/>
    <w:rsid w:val="00E771F2"/>
    <w:rsid w:val="00E77DAB"/>
    <w:rsid w:val="00E80027"/>
    <w:rsid w:val="00E80462"/>
    <w:rsid w:val="00E80827"/>
    <w:rsid w:val="00E80D51"/>
    <w:rsid w:val="00E80DDC"/>
    <w:rsid w:val="00E812AE"/>
    <w:rsid w:val="00E812B4"/>
    <w:rsid w:val="00E8167F"/>
    <w:rsid w:val="00E825F4"/>
    <w:rsid w:val="00E82710"/>
    <w:rsid w:val="00E82E36"/>
    <w:rsid w:val="00E83160"/>
    <w:rsid w:val="00E83178"/>
    <w:rsid w:val="00E83615"/>
    <w:rsid w:val="00E84144"/>
    <w:rsid w:val="00E84414"/>
    <w:rsid w:val="00E853E9"/>
    <w:rsid w:val="00E858B7"/>
    <w:rsid w:val="00E85A6A"/>
    <w:rsid w:val="00E863DE"/>
    <w:rsid w:val="00E863F1"/>
    <w:rsid w:val="00E865B9"/>
    <w:rsid w:val="00E8671F"/>
    <w:rsid w:val="00E867E9"/>
    <w:rsid w:val="00E86823"/>
    <w:rsid w:val="00E86DE8"/>
    <w:rsid w:val="00E871E0"/>
    <w:rsid w:val="00E8728A"/>
    <w:rsid w:val="00E87B8E"/>
    <w:rsid w:val="00E9011B"/>
    <w:rsid w:val="00E9129A"/>
    <w:rsid w:val="00E9143A"/>
    <w:rsid w:val="00E91811"/>
    <w:rsid w:val="00E919E8"/>
    <w:rsid w:val="00E91E1B"/>
    <w:rsid w:val="00E927E5"/>
    <w:rsid w:val="00E92C5F"/>
    <w:rsid w:val="00E93056"/>
    <w:rsid w:val="00E93208"/>
    <w:rsid w:val="00E93270"/>
    <w:rsid w:val="00E93299"/>
    <w:rsid w:val="00E93413"/>
    <w:rsid w:val="00E93CF8"/>
    <w:rsid w:val="00E945BF"/>
    <w:rsid w:val="00E9465F"/>
    <w:rsid w:val="00E94661"/>
    <w:rsid w:val="00E94944"/>
    <w:rsid w:val="00E949A5"/>
    <w:rsid w:val="00E95152"/>
    <w:rsid w:val="00E95BB2"/>
    <w:rsid w:val="00E96CED"/>
    <w:rsid w:val="00E9708C"/>
    <w:rsid w:val="00E97158"/>
    <w:rsid w:val="00E9793A"/>
    <w:rsid w:val="00E97CC4"/>
    <w:rsid w:val="00EA0BF8"/>
    <w:rsid w:val="00EA133E"/>
    <w:rsid w:val="00EA15BC"/>
    <w:rsid w:val="00EA22A4"/>
    <w:rsid w:val="00EA26CD"/>
    <w:rsid w:val="00EA26D6"/>
    <w:rsid w:val="00EA274D"/>
    <w:rsid w:val="00EA3030"/>
    <w:rsid w:val="00EA3114"/>
    <w:rsid w:val="00EA3530"/>
    <w:rsid w:val="00EA3645"/>
    <w:rsid w:val="00EA37BD"/>
    <w:rsid w:val="00EA39F9"/>
    <w:rsid w:val="00EA4008"/>
    <w:rsid w:val="00EA4636"/>
    <w:rsid w:val="00EA4F90"/>
    <w:rsid w:val="00EA5CAC"/>
    <w:rsid w:val="00EA7058"/>
    <w:rsid w:val="00EB03BF"/>
    <w:rsid w:val="00EB059F"/>
    <w:rsid w:val="00EB07A2"/>
    <w:rsid w:val="00EB1491"/>
    <w:rsid w:val="00EB1705"/>
    <w:rsid w:val="00EB1DD6"/>
    <w:rsid w:val="00EB1EC4"/>
    <w:rsid w:val="00EB2305"/>
    <w:rsid w:val="00EB36C8"/>
    <w:rsid w:val="00EB3A56"/>
    <w:rsid w:val="00EB3F6C"/>
    <w:rsid w:val="00EB47AE"/>
    <w:rsid w:val="00EB4E0E"/>
    <w:rsid w:val="00EB6458"/>
    <w:rsid w:val="00EB662C"/>
    <w:rsid w:val="00EB66B4"/>
    <w:rsid w:val="00EB6812"/>
    <w:rsid w:val="00EB6E6B"/>
    <w:rsid w:val="00EB6F18"/>
    <w:rsid w:val="00EB7452"/>
    <w:rsid w:val="00EB78C0"/>
    <w:rsid w:val="00EB79FE"/>
    <w:rsid w:val="00EB7C74"/>
    <w:rsid w:val="00EB7D7D"/>
    <w:rsid w:val="00EC01B0"/>
    <w:rsid w:val="00EC06D6"/>
    <w:rsid w:val="00EC0D43"/>
    <w:rsid w:val="00EC0FD7"/>
    <w:rsid w:val="00EC23B1"/>
    <w:rsid w:val="00EC3D3D"/>
    <w:rsid w:val="00EC3FDC"/>
    <w:rsid w:val="00EC40C5"/>
    <w:rsid w:val="00EC4177"/>
    <w:rsid w:val="00EC4D0F"/>
    <w:rsid w:val="00EC5309"/>
    <w:rsid w:val="00EC57D4"/>
    <w:rsid w:val="00EC5CEC"/>
    <w:rsid w:val="00EC6086"/>
    <w:rsid w:val="00EC6D72"/>
    <w:rsid w:val="00EC7083"/>
    <w:rsid w:val="00EC7374"/>
    <w:rsid w:val="00EC737D"/>
    <w:rsid w:val="00EC7938"/>
    <w:rsid w:val="00EC7F61"/>
    <w:rsid w:val="00ED077B"/>
    <w:rsid w:val="00ED0B88"/>
    <w:rsid w:val="00ED137D"/>
    <w:rsid w:val="00ED15EB"/>
    <w:rsid w:val="00ED16E7"/>
    <w:rsid w:val="00ED1839"/>
    <w:rsid w:val="00ED18B3"/>
    <w:rsid w:val="00ED18D3"/>
    <w:rsid w:val="00ED2444"/>
    <w:rsid w:val="00ED2593"/>
    <w:rsid w:val="00ED2CA6"/>
    <w:rsid w:val="00ED30DE"/>
    <w:rsid w:val="00ED31E0"/>
    <w:rsid w:val="00ED34DA"/>
    <w:rsid w:val="00ED42B1"/>
    <w:rsid w:val="00ED44E4"/>
    <w:rsid w:val="00ED4B73"/>
    <w:rsid w:val="00ED4E59"/>
    <w:rsid w:val="00ED518A"/>
    <w:rsid w:val="00ED5E28"/>
    <w:rsid w:val="00ED65B1"/>
    <w:rsid w:val="00ED6A00"/>
    <w:rsid w:val="00ED70B8"/>
    <w:rsid w:val="00ED7E84"/>
    <w:rsid w:val="00EE0DB9"/>
    <w:rsid w:val="00EE0F12"/>
    <w:rsid w:val="00EE1030"/>
    <w:rsid w:val="00EE13A0"/>
    <w:rsid w:val="00EE3435"/>
    <w:rsid w:val="00EE3B9D"/>
    <w:rsid w:val="00EE4A36"/>
    <w:rsid w:val="00EE4D5B"/>
    <w:rsid w:val="00EE500D"/>
    <w:rsid w:val="00EE67CF"/>
    <w:rsid w:val="00EE7051"/>
    <w:rsid w:val="00EE743C"/>
    <w:rsid w:val="00EE74CA"/>
    <w:rsid w:val="00EE79AF"/>
    <w:rsid w:val="00EE79F3"/>
    <w:rsid w:val="00EE7A34"/>
    <w:rsid w:val="00EF0206"/>
    <w:rsid w:val="00EF040B"/>
    <w:rsid w:val="00EF107A"/>
    <w:rsid w:val="00EF232F"/>
    <w:rsid w:val="00EF2E7C"/>
    <w:rsid w:val="00EF3434"/>
    <w:rsid w:val="00EF3B65"/>
    <w:rsid w:val="00EF3C34"/>
    <w:rsid w:val="00EF47EE"/>
    <w:rsid w:val="00EF4F7E"/>
    <w:rsid w:val="00EF5E1F"/>
    <w:rsid w:val="00EF5FE1"/>
    <w:rsid w:val="00EF7C7F"/>
    <w:rsid w:val="00F00067"/>
    <w:rsid w:val="00F00808"/>
    <w:rsid w:val="00F0180D"/>
    <w:rsid w:val="00F01BBB"/>
    <w:rsid w:val="00F02525"/>
    <w:rsid w:val="00F02594"/>
    <w:rsid w:val="00F02B37"/>
    <w:rsid w:val="00F02ECB"/>
    <w:rsid w:val="00F03990"/>
    <w:rsid w:val="00F04100"/>
    <w:rsid w:val="00F04188"/>
    <w:rsid w:val="00F04961"/>
    <w:rsid w:val="00F04C24"/>
    <w:rsid w:val="00F056F3"/>
    <w:rsid w:val="00F05A21"/>
    <w:rsid w:val="00F05CB6"/>
    <w:rsid w:val="00F06DCC"/>
    <w:rsid w:val="00F076D1"/>
    <w:rsid w:val="00F0774A"/>
    <w:rsid w:val="00F077A2"/>
    <w:rsid w:val="00F10378"/>
    <w:rsid w:val="00F111B4"/>
    <w:rsid w:val="00F11E12"/>
    <w:rsid w:val="00F11E47"/>
    <w:rsid w:val="00F125D5"/>
    <w:rsid w:val="00F12669"/>
    <w:rsid w:val="00F127DD"/>
    <w:rsid w:val="00F12823"/>
    <w:rsid w:val="00F12B2A"/>
    <w:rsid w:val="00F13E81"/>
    <w:rsid w:val="00F14864"/>
    <w:rsid w:val="00F14B1C"/>
    <w:rsid w:val="00F15342"/>
    <w:rsid w:val="00F1548C"/>
    <w:rsid w:val="00F15F7B"/>
    <w:rsid w:val="00F161AB"/>
    <w:rsid w:val="00F169B6"/>
    <w:rsid w:val="00F169F8"/>
    <w:rsid w:val="00F16BF6"/>
    <w:rsid w:val="00F16F93"/>
    <w:rsid w:val="00F17166"/>
    <w:rsid w:val="00F1766C"/>
    <w:rsid w:val="00F177CF"/>
    <w:rsid w:val="00F202C1"/>
    <w:rsid w:val="00F20E12"/>
    <w:rsid w:val="00F20E1E"/>
    <w:rsid w:val="00F20E34"/>
    <w:rsid w:val="00F22868"/>
    <w:rsid w:val="00F22965"/>
    <w:rsid w:val="00F22A49"/>
    <w:rsid w:val="00F22AA5"/>
    <w:rsid w:val="00F22FCC"/>
    <w:rsid w:val="00F23A1D"/>
    <w:rsid w:val="00F23C7E"/>
    <w:rsid w:val="00F24DCB"/>
    <w:rsid w:val="00F25792"/>
    <w:rsid w:val="00F2594D"/>
    <w:rsid w:val="00F2629A"/>
    <w:rsid w:val="00F26817"/>
    <w:rsid w:val="00F2705A"/>
    <w:rsid w:val="00F27598"/>
    <w:rsid w:val="00F27B49"/>
    <w:rsid w:val="00F30483"/>
    <w:rsid w:val="00F30FBA"/>
    <w:rsid w:val="00F311D9"/>
    <w:rsid w:val="00F31846"/>
    <w:rsid w:val="00F31C68"/>
    <w:rsid w:val="00F32AB1"/>
    <w:rsid w:val="00F32FFE"/>
    <w:rsid w:val="00F3311E"/>
    <w:rsid w:val="00F33450"/>
    <w:rsid w:val="00F339CC"/>
    <w:rsid w:val="00F33BDA"/>
    <w:rsid w:val="00F34084"/>
    <w:rsid w:val="00F340E4"/>
    <w:rsid w:val="00F3445A"/>
    <w:rsid w:val="00F34722"/>
    <w:rsid w:val="00F34B13"/>
    <w:rsid w:val="00F3538A"/>
    <w:rsid w:val="00F35408"/>
    <w:rsid w:val="00F354DA"/>
    <w:rsid w:val="00F357FB"/>
    <w:rsid w:val="00F359BA"/>
    <w:rsid w:val="00F37015"/>
    <w:rsid w:val="00F37486"/>
    <w:rsid w:val="00F3776D"/>
    <w:rsid w:val="00F37AEF"/>
    <w:rsid w:val="00F37B24"/>
    <w:rsid w:val="00F37C1B"/>
    <w:rsid w:val="00F40228"/>
    <w:rsid w:val="00F4055A"/>
    <w:rsid w:val="00F41868"/>
    <w:rsid w:val="00F418FB"/>
    <w:rsid w:val="00F41BC6"/>
    <w:rsid w:val="00F42626"/>
    <w:rsid w:val="00F42D99"/>
    <w:rsid w:val="00F433CC"/>
    <w:rsid w:val="00F44812"/>
    <w:rsid w:val="00F449B2"/>
    <w:rsid w:val="00F44D29"/>
    <w:rsid w:val="00F44F60"/>
    <w:rsid w:val="00F453B8"/>
    <w:rsid w:val="00F45777"/>
    <w:rsid w:val="00F45A52"/>
    <w:rsid w:val="00F4606F"/>
    <w:rsid w:val="00F469EE"/>
    <w:rsid w:val="00F46BBB"/>
    <w:rsid w:val="00F470E7"/>
    <w:rsid w:val="00F47C35"/>
    <w:rsid w:val="00F507FA"/>
    <w:rsid w:val="00F519D1"/>
    <w:rsid w:val="00F51BC4"/>
    <w:rsid w:val="00F51DBF"/>
    <w:rsid w:val="00F52234"/>
    <w:rsid w:val="00F524CA"/>
    <w:rsid w:val="00F52573"/>
    <w:rsid w:val="00F526EC"/>
    <w:rsid w:val="00F5287F"/>
    <w:rsid w:val="00F529F7"/>
    <w:rsid w:val="00F53791"/>
    <w:rsid w:val="00F55018"/>
    <w:rsid w:val="00F561AE"/>
    <w:rsid w:val="00F56342"/>
    <w:rsid w:val="00F56482"/>
    <w:rsid w:val="00F56F98"/>
    <w:rsid w:val="00F57375"/>
    <w:rsid w:val="00F577BC"/>
    <w:rsid w:val="00F60046"/>
    <w:rsid w:val="00F6134F"/>
    <w:rsid w:val="00F63775"/>
    <w:rsid w:val="00F63996"/>
    <w:rsid w:val="00F641DE"/>
    <w:rsid w:val="00F64323"/>
    <w:rsid w:val="00F648F7"/>
    <w:rsid w:val="00F649B3"/>
    <w:rsid w:val="00F64B18"/>
    <w:rsid w:val="00F64F6D"/>
    <w:rsid w:val="00F651B8"/>
    <w:rsid w:val="00F6619F"/>
    <w:rsid w:val="00F6663E"/>
    <w:rsid w:val="00F66DB0"/>
    <w:rsid w:val="00F670CA"/>
    <w:rsid w:val="00F6791A"/>
    <w:rsid w:val="00F67A27"/>
    <w:rsid w:val="00F700FC"/>
    <w:rsid w:val="00F7017A"/>
    <w:rsid w:val="00F704AA"/>
    <w:rsid w:val="00F705F2"/>
    <w:rsid w:val="00F70C72"/>
    <w:rsid w:val="00F70E05"/>
    <w:rsid w:val="00F70F3C"/>
    <w:rsid w:val="00F70F5B"/>
    <w:rsid w:val="00F71251"/>
    <w:rsid w:val="00F71679"/>
    <w:rsid w:val="00F7262A"/>
    <w:rsid w:val="00F7277A"/>
    <w:rsid w:val="00F72ABE"/>
    <w:rsid w:val="00F72ADE"/>
    <w:rsid w:val="00F72EF8"/>
    <w:rsid w:val="00F73304"/>
    <w:rsid w:val="00F73490"/>
    <w:rsid w:val="00F73E3C"/>
    <w:rsid w:val="00F73EB5"/>
    <w:rsid w:val="00F73FB4"/>
    <w:rsid w:val="00F74F9B"/>
    <w:rsid w:val="00F75C9A"/>
    <w:rsid w:val="00F75F23"/>
    <w:rsid w:val="00F76466"/>
    <w:rsid w:val="00F77450"/>
    <w:rsid w:val="00F77774"/>
    <w:rsid w:val="00F77943"/>
    <w:rsid w:val="00F77BC9"/>
    <w:rsid w:val="00F77FC6"/>
    <w:rsid w:val="00F8004C"/>
    <w:rsid w:val="00F8074D"/>
    <w:rsid w:val="00F807D7"/>
    <w:rsid w:val="00F808BA"/>
    <w:rsid w:val="00F80954"/>
    <w:rsid w:val="00F80F26"/>
    <w:rsid w:val="00F8118B"/>
    <w:rsid w:val="00F812E2"/>
    <w:rsid w:val="00F81AAB"/>
    <w:rsid w:val="00F81C18"/>
    <w:rsid w:val="00F81F25"/>
    <w:rsid w:val="00F81F2D"/>
    <w:rsid w:val="00F821C8"/>
    <w:rsid w:val="00F8224A"/>
    <w:rsid w:val="00F83874"/>
    <w:rsid w:val="00F83A9D"/>
    <w:rsid w:val="00F85042"/>
    <w:rsid w:val="00F85792"/>
    <w:rsid w:val="00F8626A"/>
    <w:rsid w:val="00F86677"/>
    <w:rsid w:val="00F86942"/>
    <w:rsid w:val="00F87AA7"/>
    <w:rsid w:val="00F904F9"/>
    <w:rsid w:val="00F905BC"/>
    <w:rsid w:val="00F90D0B"/>
    <w:rsid w:val="00F90ED2"/>
    <w:rsid w:val="00F919B8"/>
    <w:rsid w:val="00F919FB"/>
    <w:rsid w:val="00F926F0"/>
    <w:rsid w:val="00F9306C"/>
    <w:rsid w:val="00F93979"/>
    <w:rsid w:val="00F93A88"/>
    <w:rsid w:val="00F93DD8"/>
    <w:rsid w:val="00F942A3"/>
    <w:rsid w:val="00F94751"/>
    <w:rsid w:val="00F94813"/>
    <w:rsid w:val="00F94921"/>
    <w:rsid w:val="00F95285"/>
    <w:rsid w:val="00F95A86"/>
    <w:rsid w:val="00F95F89"/>
    <w:rsid w:val="00F96A32"/>
    <w:rsid w:val="00F96F55"/>
    <w:rsid w:val="00F9782F"/>
    <w:rsid w:val="00F97D97"/>
    <w:rsid w:val="00FA00B2"/>
    <w:rsid w:val="00FA078C"/>
    <w:rsid w:val="00FA07C2"/>
    <w:rsid w:val="00FA0895"/>
    <w:rsid w:val="00FA0A06"/>
    <w:rsid w:val="00FA0B6C"/>
    <w:rsid w:val="00FA0BED"/>
    <w:rsid w:val="00FA0CB2"/>
    <w:rsid w:val="00FA16C7"/>
    <w:rsid w:val="00FA251D"/>
    <w:rsid w:val="00FA2B6C"/>
    <w:rsid w:val="00FA41EC"/>
    <w:rsid w:val="00FA46BB"/>
    <w:rsid w:val="00FA470B"/>
    <w:rsid w:val="00FA4C68"/>
    <w:rsid w:val="00FA4D19"/>
    <w:rsid w:val="00FA4D72"/>
    <w:rsid w:val="00FA4E3B"/>
    <w:rsid w:val="00FA500C"/>
    <w:rsid w:val="00FA61B3"/>
    <w:rsid w:val="00FA6B34"/>
    <w:rsid w:val="00FA73C5"/>
    <w:rsid w:val="00FA7489"/>
    <w:rsid w:val="00FB0334"/>
    <w:rsid w:val="00FB09EA"/>
    <w:rsid w:val="00FB1594"/>
    <w:rsid w:val="00FB1AAF"/>
    <w:rsid w:val="00FB21CF"/>
    <w:rsid w:val="00FB295A"/>
    <w:rsid w:val="00FB3134"/>
    <w:rsid w:val="00FB343C"/>
    <w:rsid w:val="00FB3600"/>
    <w:rsid w:val="00FB4042"/>
    <w:rsid w:val="00FB4271"/>
    <w:rsid w:val="00FB46F8"/>
    <w:rsid w:val="00FB56E0"/>
    <w:rsid w:val="00FB630D"/>
    <w:rsid w:val="00FB669B"/>
    <w:rsid w:val="00FB68DB"/>
    <w:rsid w:val="00FB6AFE"/>
    <w:rsid w:val="00FB6E8F"/>
    <w:rsid w:val="00FB73CA"/>
    <w:rsid w:val="00FB77B9"/>
    <w:rsid w:val="00FC07B9"/>
    <w:rsid w:val="00FC0829"/>
    <w:rsid w:val="00FC0C20"/>
    <w:rsid w:val="00FC0CB4"/>
    <w:rsid w:val="00FC1692"/>
    <w:rsid w:val="00FC1719"/>
    <w:rsid w:val="00FC1838"/>
    <w:rsid w:val="00FC1889"/>
    <w:rsid w:val="00FC198D"/>
    <w:rsid w:val="00FC1F8B"/>
    <w:rsid w:val="00FC33E2"/>
    <w:rsid w:val="00FC3835"/>
    <w:rsid w:val="00FC3F5C"/>
    <w:rsid w:val="00FC4B5D"/>
    <w:rsid w:val="00FC4C47"/>
    <w:rsid w:val="00FC4D35"/>
    <w:rsid w:val="00FC4E5D"/>
    <w:rsid w:val="00FC4FFD"/>
    <w:rsid w:val="00FC5336"/>
    <w:rsid w:val="00FC5534"/>
    <w:rsid w:val="00FC605C"/>
    <w:rsid w:val="00FC681B"/>
    <w:rsid w:val="00FC6BD1"/>
    <w:rsid w:val="00FC6CCB"/>
    <w:rsid w:val="00FC73ED"/>
    <w:rsid w:val="00FD03E5"/>
    <w:rsid w:val="00FD0824"/>
    <w:rsid w:val="00FD0AA3"/>
    <w:rsid w:val="00FD1AED"/>
    <w:rsid w:val="00FD2E37"/>
    <w:rsid w:val="00FD2F86"/>
    <w:rsid w:val="00FD362E"/>
    <w:rsid w:val="00FD3836"/>
    <w:rsid w:val="00FD3E8C"/>
    <w:rsid w:val="00FD3FF9"/>
    <w:rsid w:val="00FD436A"/>
    <w:rsid w:val="00FD49E7"/>
    <w:rsid w:val="00FD5BEB"/>
    <w:rsid w:val="00FD5EF5"/>
    <w:rsid w:val="00FD61D2"/>
    <w:rsid w:val="00FD63FD"/>
    <w:rsid w:val="00FD6B93"/>
    <w:rsid w:val="00FD6E07"/>
    <w:rsid w:val="00FD7629"/>
    <w:rsid w:val="00FD765C"/>
    <w:rsid w:val="00FD77A8"/>
    <w:rsid w:val="00FD7A29"/>
    <w:rsid w:val="00FD7C94"/>
    <w:rsid w:val="00FE034F"/>
    <w:rsid w:val="00FE157D"/>
    <w:rsid w:val="00FE22CC"/>
    <w:rsid w:val="00FE25C5"/>
    <w:rsid w:val="00FE3582"/>
    <w:rsid w:val="00FE373A"/>
    <w:rsid w:val="00FE4453"/>
    <w:rsid w:val="00FE4A83"/>
    <w:rsid w:val="00FE4C5F"/>
    <w:rsid w:val="00FE5195"/>
    <w:rsid w:val="00FE5B06"/>
    <w:rsid w:val="00FE5DF6"/>
    <w:rsid w:val="00FE5EDF"/>
    <w:rsid w:val="00FE60F9"/>
    <w:rsid w:val="00FE6180"/>
    <w:rsid w:val="00FE61A1"/>
    <w:rsid w:val="00FE75BF"/>
    <w:rsid w:val="00FE76E9"/>
    <w:rsid w:val="00FE7AEF"/>
    <w:rsid w:val="00FF009D"/>
    <w:rsid w:val="00FF03E3"/>
    <w:rsid w:val="00FF042C"/>
    <w:rsid w:val="00FF059E"/>
    <w:rsid w:val="00FF06B1"/>
    <w:rsid w:val="00FF08BA"/>
    <w:rsid w:val="00FF0E56"/>
    <w:rsid w:val="00FF11D4"/>
    <w:rsid w:val="00FF175B"/>
    <w:rsid w:val="00FF191E"/>
    <w:rsid w:val="00FF1B39"/>
    <w:rsid w:val="00FF2110"/>
    <w:rsid w:val="00FF21A9"/>
    <w:rsid w:val="00FF225B"/>
    <w:rsid w:val="00FF229D"/>
    <w:rsid w:val="00FF237F"/>
    <w:rsid w:val="00FF24B8"/>
    <w:rsid w:val="00FF2758"/>
    <w:rsid w:val="00FF2838"/>
    <w:rsid w:val="00FF291A"/>
    <w:rsid w:val="00FF2C5C"/>
    <w:rsid w:val="00FF2D13"/>
    <w:rsid w:val="00FF30D0"/>
    <w:rsid w:val="00FF3318"/>
    <w:rsid w:val="00FF3378"/>
    <w:rsid w:val="00FF3935"/>
    <w:rsid w:val="00FF438E"/>
    <w:rsid w:val="00FF51AE"/>
    <w:rsid w:val="00FF53A3"/>
    <w:rsid w:val="00FF5D8B"/>
    <w:rsid w:val="00FF619B"/>
    <w:rsid w:val="00FF6B59"/>
    <w:rsid w:val="00FF6C11"/>
    <w:rsid w:val="00FF793D"/>
    <w:rsid w:val="05EB4D01"/>
    <w:rsid w:val="089220A7"/>
    <w:rsid w:val="0AC963A8"/>
    <w:rsid w:val="0CD59DD7"/>
    <w:rsid w:val="0CEF6466"/>
    <w:rsid w:val="0FE6A72E"/>
    <w:rsid w:val="10AA783F"/>
    <w:rsid w:val="1104F508"/>
    <w:rsid w:val="11FFEFE5"/>
    <w:rsid w:val="121BC3B8"/>
    <w:rsid w:val="12B23949"/>
    <w:rsid w:val="13304690"/>
    <w:rsid w:val="18BB19F4"/>
    <w:rsid w:val="18DCFE4D"/>
    <w:rsid w:val="18DDA0D8"/>
    <w:rsid w:val="229E4589"/>
    <w:rsid w:val="232F91C0"/>
    <w:rsid w:val="25DF43BD"/>
    <w:rsid w:val="28088735"/>
    <w:rsid w:val="283D336B"/>
    <w:rsid w:val="2856B0FC"/>
    <w:rsid w:val="28D0FF58"/>
    <w:rsid w:val="29FC5B3F"/>
    <w:rsid w:val="2FC7EA8D"/>
    <w:rsid w:val="3025B29E"/>
    <w:rsid w:val="308F9013"/>
    <w:rsid w:val="31BFE127"/>
    <w:rsid w:val="327387C5"/>
    <w:rsid w:val="334B3A96"/>
    <w:rsid w:val="343B430D"/>
    <w:rsid w:val="394A554B"/>
    <w:rsid w:val="41A3749C"/>
    <w:rsid w:val="41CE1885"/>
    <w:rsid w:val="42EF8A9A"/>
    <w:rsid w:val="44DB9F4E"/>
    <w:rsid w:val="454EEC88"/>
    <w:rsid w:val="45BDC06C"/>
    <w:rsid w:val="46EDA585"/>
    <w:rsid w:val="47792C4E"/>
    <w:rsid w:val="47E47807"/>
    <w:rsid w:val="493FD57A"/>
    <w:rsid w:val="4BE0374D"/>
    <w:rsid w:val="51793645"/>
    <w:rsid w:val="54BAFF4A"/>
    <w:rsid w:val="560B1979"/>
    <w:rsid w:val="5784B13A"/>
    <w:rsid w:val="598B5C2B"/>
    <w:rsid w:val="5B21069D"/>
    <w:rsid w:val="5BEEE597"/>
    <w:rsid w:val="5BF9A147"/>
    <w:rsid w:val="5CE2D199"/>
    <w:rsid w:val="5E15F206"/>
    <w:rsid w:val="5EDC8192"/>
    <w:rsid w:val="69462E1B"/>
    <w:rsid w:val="6D1F65B7"/>
    <w:rsid w:val="6D97ABA9"/>
    <w:rsid w:val="6EF18ECD"/>
    <w:rsid w:val="707487F9"/>
    <w:rsid w:val="7246E53C"/>
    <w:rsid w:val="73079C97"/>
    <w:rsid w:val="732057D3"/>
    <w:rsid w:val="73BE1AA7"/>
    <w:rsid w:val="7461263C"/>
    <w:rsid w:val="7515142E"/>
    <w:rsid w:val="765AD75C"/>
    <w:rsid w:val="77795D05"/>
    <w:rsid w:val="7EE12B72"/>
    <w:rsid w:val="7F5D8AA3"/>
    <w:rsid w:val="7FD7D0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81DDBB"/>
  <w15:chartTrackingRefBased/>
  <w15:docId w15:val="{C91CCDE0-30F8-4D5C-8B5B-DA3B28B29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98A"/>
  </w:style>
  <w:style w:type="paragraph" w:styleId="Heading1">
    <w:name w:val="heading 1"/>
    <w:aliases w:val="A Head,H1-Sec.Head"/>
    <w:basedOn w:val="Normal"/>
    <w:next w:val="Normal"/>
    <w:link w:val="Heading1Char"/>
    <w:qFormat/>
    <w:rsid w:val="0073598A"/>
    <w:pPr>
      <w:keepNext/>
      <w:spacing w:after="360"/>
      <w:jc w:val="center"/>
      <w:outlineLvl w:val="0"/>
    </w:pPr>
    <w:rPr>
      <w:rFonts w:ascii="Arial Bold" w:hAnsi="Arial Bold"/>
      <w:b/>
      <w:bCs/>
      <w:kern w:val="24"/>
      <w:sz w:val="32"/>
      <w:szCs w:val="32"/>
    </w:rPr>
  </w:style>
  <w:style w:type="paragraph" w:styleId="Heading2">
    <w:name w:val="heading 2"/>
    <w:aliases w:val="H2-Sec. Head"/>
    <w:basedOn w:val="Normal"/>
    <w:next w:val="Normal"/>
    <w:link w:val="Heading2Char"/>
    <w:uiPriority w:val="9"/>
    <w:unhideWhenUsed/>
    <w:qFormat/>
    <w:rsid w:val="0073598A"/>
    <w:pPr>
      <w:keepNext/>
      <w:keepLines/>
      <w:spacing w:after="360"/>
      <w:jc w:val="center"/>
      <w:outlineLvl w:val="1"/>
    </w:pPr>
    <w:rPr>
      <w:rFonts w:eastAsiaTheme="majorEastAsia" w:cstheme="majorBidi"/>
      <w:b/>
      <w:i/>
      <w:sz w:val="28"/>
      <w:szCs w:val="26"/>
    </w:rPr>
  </w:style>
  <w:style w:type="paragraph" w:styleId="Heading3">
    <w:name w:val="heading 3"/>
    <w:aliases w:val="H3-Sec. Head"/>
    <w:next w:val="TableHead"/>
    <w:link w:val="Heading3Char"/>
    <w:qFormat/>
    <w:rsid w:val="0073598A"/>
    <w:pPr>
      <w:keepNext/>
      <w:spacing w:before="240" w:after="60"/>
      <w:outlineLvl w:val="2"/>
    </w:pPr>
    <w:rPr>
      <w:rFonts w:cs="Arial"/>
      <w:b/>
      <w:bCs/>
      <w:i/>
      <w:sz w:val="18"/>
      <w:szCs w:val="26"/>
    </w:rPr>
  </w:style>
  <w:style w:type="paragraph" w:styleId="Heading4">
    <w:name w:val="heading 4"/>
    <w:aliases w:val="subhead 3,h4"/>
    <w:basedOn w:val="Normal"/>
    <w:next w:val="Normal"/>
    <w:link w:val="Heading4Char"/>
    <w:uiPriority w:val="9"/>
    <w:unhideWhenUsed/>
    <w:qFormat/>
    <w:rsid w:val="00834FBA"/>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834FB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834FBA"/>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834FBA"/>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834FBA"/>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semiHidden/>
    <w:unhideWhenUsed/>
    <w:qFormat/>
    <w:rsid w:val="00834FBA"/>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 Head Char,H1-Sec.Head Char"/>
    <w:basedOn w:val="DefaultParagraphFont"/>
    <w:link w:val="Heading1"/>
    <w:rsid w:val="0073598A"/>
    <w:rPr>
      <w:rFonts w:ascii="Arial Bold" w:hAnsi="Arial Bold"/>
      <w:b/>
      <w:bCs/>
      <w:kern w:val="24"/>
      <w:sz w:val="32"/>
      <w:szCs w:val="32"/>
    </w:rPr>
  </w:style>
  <w:style w:type="character" w:customStyle="1" w:styleId="Heading2Char">
    <w:name w:val="Heading 2 Char"/>
    <w:aliases w:val="H2-Sec. Head Char"/>
    <w:basedOn w:val="DefaultParagraphFont"/>
    <w:link w:val="Heading2"/>
    <w:uiPriority w:val="9"/>
    <w:rsid w:val="0073598A"/>
    <w:rPr>
      <w:rFonts w:eastAsiaTheme="majorEastAsia" w:cstheme="majorBidi"/>
      <w:b/>
      <w:i/>
      <w:sz w:val="28"/>
      <w:szCs w:val="26"/>
    </w:rPr>
  </w:style>
  <w:style w:type="character" w:customStyle="1" w:styleId="Heading3Char">
    <w:name w:val="Heading 3 Char"/>
    <w:aliases w:val="H3-Sec. Head Char"/>
    <w:basedOn w:val="DefaultParagraphFont"/>
    <w:link w:val="Heading3"/>
    <w:rsid w:val="0073598A"/>
    <w:rPr>
      <w:rFonts w:cs="Arial"/>
      <w:b/>
      <w:bCs/>
      <w:i/>
      <w:sz w:val="18"/>
      <w:szCs w:val="26"/>
    </w:rPr>
  </w:style>
  <w:style w:type="character" w:customStyle="1" w:styleId="Heading4Char">
    <w:name w:val="Heading 4 Char"/>
    <w:aliases w:val="subhead 3 Char,h4 Char"/>
    <w:basedOn w:val="DefaultParagraphFont"/>
    <w:link w:val="Heading4"/>
    <w:uiPriority w:val="9"/>
    <w:rsid w:val="00834FB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semiHidden/>
    <w:rsid w:val="00834FB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semiHidden/>
    <w:rsid w:val="00834FB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semiHidden/>
    <w:rsid w:val="00834FB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semiHidden/>
    <w:rsid w:val="00834FB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semiHidden/>
    <w:rsid w:val="00834FBA"/>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qFormat/>
    <w:rsid w:val="00834FB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34F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834FBA"/>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834FBA"/>
    <w:rPr>
      <w:rFonts w:asciiTheme="minorHAnsi" w:eastAsiaTheme="minorEastAsia" w:hAnsiTheme="minorHAnsi" w:cstheme="minorBidi"/>
      <w:color w:val="5A5A5A" w:themeColor="text1" w:themeTint="A5"/>
      <w:spacing w:val="15"/>
      <w:sz w:val="22"/>
      <w:szCs w:val="22"/>
    </w:rPr>
  </w:style>
  <w:style w:type="paragraph" w:styleId="Quote">
    <w:name w:val="Quote"/>
    <w:basedOn w:val="Normal"/>
    <w:next w:val="Normal"/>
    <w:link w:val="QuoteChar"/>
    <w:uiPriority w:val="29"/>
    <w:qFormat/>
    <w:rsid w:val="00834FB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34FBA"/>
    <w:rPr>
      <w:i/>
      <w:iCs/>
      <w:color w:val="404040" w:themeColor="text1" w:themeTint="BF"/>
    </w:rPr>
  </w:style>
  <w:style w:type="paragraph" w:styleId="ListParagraph">
    <w:name w:val="List Paragraph"/>
    <w:aliases w:val="List Paragraph Bullet"/>
    <w:basedOn w:val="Normal"/>
    <w:link w:val="ListParagraphChar"/>
    <w:uiPriority w:val="34"/>
    <w:qFormat/>
    <w:rsid w:val="00834FBA"/>
    <w:pPr>
      <w:ind w:left="720"/>
      <w:contextualSpacing/>
    </w:pPr>
  </w:style>
  <w:style w:type="character" w:styleId="IntenseEmphasis">
    <w:name w:val="Intense Emphasis"/>
    <w:basedOn w:val="DefaultParagraphFont"/>
    <w:uiPriority w:val="21"/>
    <w:qFormat/>
    <w:rsid w:val="00834FBA"/>
    <w:rPr>
      <w:i/>
      <w:iCs/>
      <w:color w:val="4472C4" w:themeColor="accent1"/>
    </w:rPr>
  </w:style>
  <w:style w:type="paragraph" w:styleId="IntenseQuote">
    <w:name w:val="Intense Quote"/>
    <w:basedOn w:val="Normal"/>
    <w:next w:val="Normal"/>
    <w:link w:val="IntenseQuoteChar"/>
    <w:uiPriority w:val="30"/>
    <w:qFormat/>
    <w:rsid w:val="00834FB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834FBA"/>
    <w:rPr>
      <w:i/>
      <w:iCs/>
      <w:color w:val="4472C4" w:themeColor="accent1"/>
    </w:rPr>
  </w:style>
  <w:style w:type="character" w:styleId="IntenseReference">
    <w:name w:val="Intense Reference"/>
    <w:basedOn w:val="DefaultParagraphFont"/>
    <w:uiPriority w:val="32"/>
    <w:qFormat/>
    <w:rsid w:val="00834FBA"/>
    <w:rPr>
      <w:b/>
      <w:bCs/>
      <w:smallCaps/>
      <w:color w:val="4472C4" w:themeColor="accent1"/>
      <w:spacing w:val="5"/>
    </w:rPr>
  </w:style>
  <w:style w:type="paragraph" w:customStyle="1" w:styleId="Body">
    <w:name w:val="Body"/>
    <w:link w:val="BodyChar"/>
    <w:qFormat/>
    <w:rsid w:val="0073598A"/>
    <w:pPr>
      <w:spacing w:before="180"/>
    </w:pPr>
    <w:rPr>
      <w:kern w:val="24"/>
    </w:rPr>
  </w:style>
  <w:style w:type="paragraph" w:customStyle="1" w:styleId="Bullet">
    <w:name w:val="Bullet"/>
    <w:link w:val="BulletChar"/>
    <w:qFormat/>
    <w:rsid w:val="00545B6A"/>
    <w:pPr>
      <w:numPr>
        <w:numId w:val="22"/>
      </w:numPr>
      <w:spacing w:before="80"/>
      <w:ind w:left="576" w:hanging="216"/>
    </w:pPr>
    <w:rPr>
      <w:szCs w:val="24"/>
    </w:rPr>
  </w:style>
  <w:style w:type="paragraph" w:customStyle="1" w:styleId="Dash">
    <w:name w:val="Dash"/>
    <w:qFormat/>
    <w:rsid w:val="00EB2305"/>
    <w:pPr>
      <w:numPr>
        <w:numId w:val="23"/>
      </w:numPr>
      <w:spacing w:before="40" w:after="40"/>
      <w:ind w:left="792" w:hanging="216"/>
    </w:pPr>
  </w:style>
  <w:style w:type="paragraph" w:styleId="Header">
    <w:name w:val="header"/>
    <w:link w:val="HeaderChar"/>
    <w:uiPriority w:val="99"/>
    <w:qFormat/>
    <w:rsid w:val="0073598A"/>
    <w:pPr>
      <w:pBdr>
        <w:bottom w:val="single" w:sz="6" w:space="1" w:color="auto"/>
      </w:pBdr>
      <w:tabs>
        <w:tab w:val="right" w:pos="9000"/>
        <w:tab w:val="right" w:pos="9720"/>
      </w:tabs>
      <w:spacing w:before="120" w:after="360" w:line="260" w:lineRule="exact"/>
    </w:pPr>
    <w:rPr>
      <w:b/>
      <w:i/>
      <w:sz w:val="20"/>
    </w:rPr>
  </w:style>
  <w:style w:type="character" w:customStyle="1" w:styleId="HeaderChar">
    <w:name w:val="Header Char"/>
    <w:basedOn w:val="DefaultParagraphFont"/>
    <w:link w:val="Header"/>
    <w:uiPriority w:val="99"/>
    <w:rsid w:val="0073598A"/>
    <w:rPr>
      <w:b/>
      <w:i/>
      <w:sz w:val="20"/>
    </w:rPr>
  </w:style>
  <w:style w:type="paragraph" w:styleId="Footer">
    <w:name w:val="footer"/>
    <w:link w:val="FooterChar"/>
    <w:qFormat/>
    <w:rsid w:val="0073598A"/>
    <w:pPr>
      <w:pBdr>
        <w:top w:val="single" w:sz="8" w:space="1" w:color="auto"/>
      </w:pBdr>
      <w:tabs>
        <w:tab w:val="right" w:pos="9720"/>
      </w:tabs>
      <w:spacing w:before="240" w:after="120" w:line="260" w:lineRule="exact"/>
    </w:pPr>
    <w:rPr>
      <w:b/>
      <w:sz w:val="20"/>
    </w:rPr>
  </w:style>
  <w:style w:type="character" w:customStyle="1" w:styleId="FooterChar">
    <w:name w:val="Footer Char"/>
    <w:basedOn w:val="DefaultParagraphFont"/>
    <w:link w:val="Footer"/>
    <w:rsid w:val="00834FBA"/>
    <w:rPr>
      <w:b/>
      <w:sz w:val="20"/>
    </w:rPr>
  </w:style>
  <w:style w:type="paragraph" w:customStyle="1" w:styleId="StdHead">
    <w:name w:val="Std Head"/>
    <w:qFormat/>
    <w:rsid w:val="0073598A"/>
    <w:pPr>
      <w:pBdr>
        <w:top w:val="single" w:sz="6" w:space="2" w:color="auto"/>
        <w:left w:val="single" w:sz="6" w:space="2" w:color="auto"/>
        <w:bottom w:val="single" w:sz="6" w:space="2" w:color="auto"/>
        <w:right w:val="single" w:sz="6" w:space="2" w:color="auto"/>
      </w:pBdr>
      <w:shd w:val="clear" w:color="auto" w:fill="000000"/>
      <w:spacing w:before="360"/>
    </w:pPr>
    <w:rPr>
      <w:b/>
      <w:color w:val="FFFFFF"/>
      <w:sz w:val="22"/>
      <w:szCs w:val="28"/>
    </w:rPr>
  </w:style>
  <w:style w:type="paragraph" w:customStyle="1" w:styleId="TableText">
    <w:name w:val="Table Text"/>
    <w:link w:val="TableTextChar"/>
    <w:qFormat/>
    <w:rsid w:val="0073598A"/>
    <w:pPr>
      <w:spacing w:before="60" w:after="60" w:line="216" w:lineRule="auto"/>
    </w:pPr>
    <w:rPr>
      <w:rFonts w:ascii="Arial Narrow" w:hAnsi="Arial Narrow"/>
      <w:szCs w:val="19"/>
    </w:rPr>
  </w:style>
  <w:style w:type="paragraph" w:customStyle="1" w:styleId="TableHead">
    <w:name w:val="Table Head"/>
    <w:link w:val="TableHeadChar"/>
    <w:qFormat/>
    <w:rsid w:val="0073598A"/>
    <w:pPr>
      <w:spacing w:before="60" w:after="60" w:line="216" w:lineRule="auto"/>
      <w:jc w:val="center"/>
    </w:pPr>
    <w:rPr>
      <w:rFonts w:ascii="Arial Narrow" w:hAnsi="Arial Narrow"/>
      <w:b/>
      <w:color w:val="FFFFFF" w:themeColor="background1"/>
    </w:rPr>
  </w:style>
  <w:style w:type="paragraph" w:customStyle="1" w:styleId="TableBullet">
    <w:name w:val="Table Bullet"/>
    <w:link w:val="TableBulletChar"/>
    <w:rsid w:val="00564FB9"/>
    <w:pPr>
      <w:numPr>
        <w:numId w:val="6"/>
      </w:numPr>
      <w:spacing w:before="60" w:line="216" w:lineRule="auto"/>
      <w:ind w:left="158" w:hanging="158"/>
    </w:pPr>
    <w:rPr>
      <w:rFonts w:ascii="Arial Narrow" w:hAnsi="Arial Narrow"/>
    </w:rPr>
  </w:style>
  <w:style w:type="paragraph" w:customStyle="1" w:styleId="TableDash">
    <w:name w:val="Table Dash"/>
    <w:rsid w:val="00564FB9"/>
    <w:pPr>
      <w:numPr>
        <w:numId w:val="3"/>
      </w:numPr>
      <w:spacing w:before="40" w:after="40" w:line="216" w:lineRule="auto"/>
      <w:ind w:left="316" w:hanging="158"/>
    </w:pPr>
    <w:rPr>
      <w:rFonts w:ascii="Arial Narrow" w:hAnsi="Arial Narrow"/>
    </w:rPr>
  </w:style>
  <w:style w:type="paragraph" w:customStyle="1" w:styleId="MarginHead">
    <w:name w:val="Margin Head"/>
    <w:link w:val="MarginHeadChar"/>
    <w:qFormat/>
    <w:rsid w:val="0073598A"/>
    <w:pPr>
      <w:spacing w:before="180"/>
    </w:pPr>
    <w:rPr>
      <w:b/>
      <w:sz w:val="22"/>
    </w:rPr>
  </w:style>
  <w:style w:type="paragraph" w:customStyle="1" w:styleId="MarginSubhead">
    <w:name w:val="Margin Subhead"/>
    <w:rsid w:val="00564FB9"/>
    <w:pPr>
      <w:spacing w:before="180"/>
      <w:ind w:left="216"/>
    </w:pPr>
    <w:rPr>
      <w:b/>
    </w:rPr>
  </w:style>
  <w:style w:type="paragraph" w:customStyle="1" w:styleId="SubHead">
    <w:name w:val="Sub Head"/>
    <w:qFormat/>
    <w:rsid w:val="0073598A"/>
    <w:pPr>
      <w:pBdr>
        <w:bottom w:val="single" w:sz="6" w:space="2" w:color="auto"/>
      </w:pBdr>
      <w:spacing w:before="280"/>
    </w:pPr>
    <w:rPr>
      <w:b/>
      <w:sz w:val="22"/>
    </w:rPr>
  </w:style>
  <w:style w:type="paragraph" w:customStyle="1" w:styleId="ProcessBullet">
    <w:name w:val="Process Bullet"/>
    <w:link w:val="ProcessBulletChar"/>
    <w:rsid w:val="000A0080"/>
    <w:pPr>
      <w:numPr>
        <w:numId w:val="21"/>
      </w:numPr>
      <w:spacing w:before="80"/>
      <w:ind w:left="216" w:hanging="216"/>
    </w:pPr>
    <w:rPr>
      <w:szCs w:val="24"/>
    </w:rPr>
  </w:style>
  <w:style w:type="paragraph" w:customStyle="1" w:styleId="ProcessDash">
    <w:name w:val="Process Dash"/>
    <w:rsid w:val="00564FB9"/>
    <w:pPr>
      <w:numPr>
        <w:numId w:val="1"/>
      </w:numPr>
      <w:tabs>
        <w:tab w:val="left" w:pos="432"/>
      </w:tabs>
      <w:spacing w:before="40"/>
      <w:ind w:left="432" w:hanging="216"/>
    </w:pPr>
  </w:style>
  <w:style w:type="paragraph" w:customStyle="1" w:styleId="Note">
    <w:name w:val="Note"/>
    <w:link w:val="NoteChar"/>
    <w:qFormat/>
    <w:rsid w:val="0073598A"/>
    <w:pPr>
      <w:spacing w:before="120"/>
    </w:pPr>
    <w:rPr>
      <w:i/>
      <w:sz w:val="20"/>
      <w:szCs w:val="24"/>
    </w:rPr>
  </w:style>
  <w:style w:type="paragraph" w:customStyle="1" w:styleId="Breakpage">
    <w:name w:val="Break page"/>
    <w:link w:val="BreakpageChar"/>
    <w:qFormat/>
    <w:rsid w:val="0073598A"/>
    <w:pPr>
      <w:jc w:val="right"/>
    </w:pPr>
    <w:rPr>
      <w:b/>
      <w:kern w:val="24"/>
      <w:sz w:val="48"/>
    </w:rPr>
  </w:style>
  <w:style w:type="paragraph" w:customStyle="1" w:styleId="Memo">
    <w:name w:val="Memo"/>
    <w:basedOn w:val="Body"/>
    <w:rsid w:val="00564FB9"/>
    <w:rPr>
      <w:sz w:val="24"/>
    </w:rPr>
  </w:style>
  <w:style w:type="table" w:styleId="TableGrid">
    <w:name w:val="Table Grid"/>
    <w:basedOn w:val="TableNormal"/>
    <w:rsid w:val="00564F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vidence">
    <w:name w:val="Evidence"/>
    <w:qFormat/>
    <w:rsid w:val="0073598A"/>
    <w:pPr>
      <w:numPr>
        <w:numId w:val="24"/>
      </w:numPr>
      <w:spacing w:before="80" w:after="80"/>
    </w:pPr>
    <w:rPr>
      <w:rFonts w:cs="Arial"/>
      <w:b/>
    </w:rPr>
  </w:style>
  <w:style w:type="character" w:customStyle="1" w:styleId="TableBulletChar">
    <w:name w:val="Table Bullet Char"/>
    <w:basedOn w:val="DefaultParagraphFont"/>
    <w:link w:val="TableBullet"/>
    <w:rsid w:val="00564FB9"/>
    <w:rPr>
      <w:rFonts w:ascii="Arial Narrow" w:hAnsi="Arial Narrow"/>
    </w:rPr>
  </w:style>
  <w:style w:type="paragraph" w:customStyle="1" w:styleId="TableTitle">
    <w:name w:val="Table Title"/>
    <w:basedOn w:val="Heading3"/>
    <w:rsid w:val="00564FB9"/>
    <w:rPr>
      <w:bCs w:val="0"/>
    </w:rPr>
  </w:style>
  <w:style w:type="paragraph" w:customStyle="1" w:styleId="MarginBullet">
    <w:name w:val="Margin Bullet"/>
    <w:basedOn w:val="Normal"/>
    <w:link w:val="MarginBulletChar"/>
    <w:rsid w:val="00564FB9"/>
    <w:pPr>
      <w:numPr>
        <w:numId w:val="2"/>
      </w:numPr>
      <w:spacing w:before="80"/>
      <w:ind w:left="216" w:hanging="216"/>
    </w:pPr>
  </w:style>
  <w:style w:type="character" w:customStyle="1" w:styleId="MarginBulletChar">
    <w:name w:val="Margin Bullet Char"/>
    <w:link w:val="MarginBullet"/>
    <w:rsid w:val="00564FB9"/>
  </w:style>
  <w:style w:type="character" w:customStyle="1" w:styleId="BulletChar">
    <w:name w:val="Bullet Char"/>
    <w:basedOn w:val="DefaultParagraphFont"/>
    <w:link w:val="Bullet"/>
    <w:rsid w:val="000F142F"/>
    <w:rPr>
      <w:szCs w:val="24"/>
    </w:rPr>
  </w:style>
  <w:style w:type="character" w:customStyle="1" w:styleId="ProcessBulletChar">
    <w:name w:val="Process Bullet Char"/>
    <w:basedOn w:val="DefaultParagraphFont"/>
    <w:link w:val="ProcessBullet"/>
    <w:rsid w:val="000A0080"/>
    <w:rPr>
      <w:szCs w:val="24"/>
    </w:rPr>
  </w:style>
  <w:style w:type="paragraph" w:customStyle="1" w:styleId="StyleHeading2H2-SecHeadItalic">
    <w:name w:val="Style Heading 2H2-Sec. Head + Italic"/>
    <w:basedOn w:val="Heading2"/>
    <w:rsid w:val="00834FBA"/>
    <w:rPr>
      <w:b w:val="0"/>
      <w:bCs/>
      <w:i w:val="0"/>
      <w:iCs/>
    </w:rPr>
  </w:style>
  <w:style w:type="character" w:customStyle="1" w:styleId="NoteChar">
    <w:name w:val="Note Char"/>
    <w:basedOn w:val="DefaultParagraphFont"/>
    <w:link w:val="Note"/>
    <w:rsid w:val="0073598A"/>
    <w:rPr>
      <w:i/>
      <w:sz w:val="20"/>
      <w:szCs w:val="24"/>
    </w:rPr>
  </w:style>
  <w:style w:type="paragraph" w:customStyle="1" w:styleId="FirstNumber">
    <w:name w:val="First Number"/>
    <w:qFormat/>
    <w:rsid w:val="0073598A"/>
    <w:pPr>
      <w:numPr>
        <w:numId w:val="25"/>
      </w:numPr>
      <w:spacing w:before="80"/>
    </w:pPr>
    <w:rPr>
      <w:rFonts w:cs="Arial"/>
      <w:bCs/>
      <w:szCs w:val="26"/>
    </w:rPr>
  </w:style>
  <w:style w:type="paragraph" w:customStyle="1" w:styleId="SecondNumber">
    <w:name w:val="Second Number"/>
    <w:basedOn w:val="FirstNumber"/>
    <w:qFormat/>
    <w:rsid w:val="0073598A"/>
    <w:pPr>
      <w:numPr>
        <w:numId w:val="26"/>
      </w:numPr>
    </w:pPr>
  </w:style>
  <w:style w:type="paragraph" w:customStyle="1" w:styleId="SquareBullet">
    <w:name w:val="Square Bullet"/>
    <w:qFormat/>
    <w:rsid w:val="0032019F"/>
    <w:pPr>
      <w:numPr>
        <w:numId w:val="27"/>
      </w:numPr>
      <w:tabs>
        <w:tab w:val="left" w:pos="1368"/>
      </w:tabs>
      <w:spacing w:before="40"/>
      <w:ind w:left="648" w:hanging="216"/>
    </w:pPr>
    <w:rPr>
      <w:rFonts w:cs="Arial"/>
      <w:bCs/>
      <w:szCs w:val="26"/>
    </w:rPr>
  </w:style>
  <w:style w:type="paragraph" w:customStyle="1" w:styleId="ThirdNumber">
    <w:name w:val="Third Number"/>
    <w:qFormat/>
    <w:rsid w:val="0073598A"/>
    <w:pPr>
      <w:numPr>
        <w:numId w:val="28"/>
      </w:numPr>
      <w:spacing w:before="30"/>
    </w:pPr>
    <w:rPr>
      <w:rFonts w:cs="Arial"/>
      <w:bCs/>
      <w:szCs w:val="26"/>
    </w:rPr>
  </w:style>
  <w:style w:type="paragraph" w:customStyle="1" w:styleId="Step">
    <w:name w:val="Step"/>
    <w:basedOn w:val="MarginSubhead"/>
    <w:qFormat/>
    <w:rsid w:val="0073598A"/>
    <w:pPr>
      <w:jc w:val="right"/>
    </w:pPr>
    <w:rPr>
      <w:i/>
    </w:rPr>
  </w:style>
  <w:style w:type="paragraph" w:customStyle="1" w:styleId="SOC">
    <w:name w:val="SOC"/>
    <w:basedOn w:val="Heading2"/>
    <w:next w:val="ProcessBullet"/>
    <w:qFormat/>
    <w:rsid w:val="0073598A"/>
    <w:pPr>
      <w:pBdr>
        <w:top w:val="single" w:sz="6" w:space="1" w:color="auto"/>
        <w:bottom w:val="single" w:sz="6" w:space="1" w:color="auto"/>
      </w:pBdr>
      <w:spacing w:after="0"/>
      <w:jc w:val="left"/>
    </w:pPr>
    <w:rPr>
      <w:i w:val="0"/>
      <w:smallCaps/>
      <w:sz w:val="22"/>
    </w:rPr>
  </w:style>
  <w:style w:type="paragraph" w:customStyle="1" w:styleId="DashTwo">
    <w:name w:val="Dash Two"/>
    <w:qFormat/>
    <w:rsid w:val="0073598A"/>
    <w:pPr>
      <w:numPr>
        <w:numId w:val="29"/>
      </w:numPr>
      <w:spacing w:before="40"/>
    </w:pPr>
    <w:rPr>
      <w:rFonts w:eastAsiaTheme="majorEastAsia" w:cstheme="majorBidi"/>
      <w:smallCaps/>
      <w:szCs w:val="26"/>
    </w:rPr>
  </w:style>
  <w:style w:type="paragraph" w:customStyle="1" w:styleId="Number">
    <w:name w:val="Number"/>
    <w:qFormat/>
    <w:rsid w:val="0073598A"/>
    <w:pPr>
      <w:numPr>
        <w:numId w:val="30"/>
      </w:numPr>
      <w:spacing w:before="80"/>
    </w:pPr>
    <w:rPr>
      <w:rFonts w:eastAsiaTheme="majorEastAsia" w:cstheme="majorBidi"/>
      <w:szCs w:val="26"/>
    </w:rPr>
  </w:style>
  <w:style w:type="paragraph" w:customStyle="1" w:styleId="FourthNumber">
    <w:name w:val="Fourth Number"/>
    <w:qFormat/>
    <w:rsid w:val="0073598A"/>
    <w:pPr>
      <w:numPr>
        <w:numId w:val="31"/>
      </w:numPr>
      <w:spacing w:before="40"/>
    </w:pPr>
    <w:rPr>
      <w:rFonts w:eastAsiaTheme="majorEastAsia" w:cstheme="majorBidi"/>
      <w:smallCaps/>
      <w:szCs w:val="26"/>
    </w:rPr>
  </w:style>
  <w:style w:type="paragraph" w:customStyle="1" w:styleId="ReverseHead">
    <w:name w:val="Reverse Head"/>
    <w:basedOn w:val="StdHead"/>
    <w:qFormat/>
    <w:rsid w:val="0073598A"/>
  </w:style>
  <w:style w:type="paragraph" w:customStyle="1" w:styleId="StdText">
    <w:name w:val="Std Text"/>
    <w:basedOn w:val="Body"/>
    <w:rsid w:val="00834FBA"/>
    <w:rPr>
      <w:b/>
    </w:rPr>
  </w:style>
  <w:style w:type="paragraph" w:customStyle="1" w:styleId="StdIndent1">
    <w:name w:val="Std Indent 1"/>
    <w:basedOn w:val="StdText"/>
    <w:rsid w:val="00834FBA"/>
    <w:pPr>
      <w:ind w:left="1714" w:hanging="994"/>
    </w:pPr>
  </w:style>
  <w:style w:type="paragraph" w:customStyle="1" w:styleId="StdIndent2">
    <w:name w:val="Std Indent 2"/>
    <w:basedOn w:val="StdIndent1"/>
    <w:uiPriority w:val="99"/>
    <w:rsid w:val="00834FBA"/>
    <w:pPr>
      <w:ind w:left="2880" w:hanging="1166"/>
    </w:pPr>
  </w:style>
  <w:style w:type="paragraph" w:customStyle="1" w:styleId="SectionHead">
    <w:name w:val="Section Head"/>
    <w:basedOn w:val="Heading1"/>
    <w:uiPriority w:val="99"/>
    <w:rsid w:val="00834FBA"/>
    <w:pPr>
      <w:keepNext w:val="0"/>
      <w:widowControl w:val="0"/>
      <w:spacing w:after="240"/>
    </w:pPr>
    <w:rPr>
      <w:b w:val="0"/>
      <w:bCs w:val="0"/>
    </w:rPr>
  </w:style>
  <w:style w:type="paragraph" w:customStyle="1" w:styleId="StdTitle">
    <w:name w:val="Std Title"/>
    <w:basedOn w:val="SectionHead"/>
    <w:rsid w:val="00834FBA"/>
    <w:pPr>
      <w:tabs>
        <w:tab w:val="right" w:pos="9720"/>
      </w:tabs>
      <w:spacing w:after="0"/>
      <w:jc w:val="left"/>
    </w:pPr>
    <w:rPr>
      <w:sz w:val="28"/>
    </w:rPr>
  </w:style>
  <w:style w:type="paragraph" w:customStyle="1" w:styleId="MainHead">
    <w:name w:val="Main Head"/>
    <w:basedOn w:val="SectionHead"/>
    <w:rsid w:val="00834FBA"/>
    <w:pPr>
      <w:pBdr>
        <w:bottom w:val="single" w:sz="12" w:space="1" w:color="auto"/>
      </w:pBdr>
      <w:spacing w:before="240" w:after="0"/>
      <w:jc w:val="left"/>
      <w:outlineLvl w:val="2"/>
    </w:pPr>
    <w:rPr>
      <w:sz w:val="24"/>
    </w:rPr>
  </w:style>
  <w:style w:type="paragraph" w:customStyle="1" w:styleId="AnswerText">
    <w:name w:val="Answer Text"/>
    <w:basedOn w:val="Normal"/>
    <w:rsid w:val="00834FBA"/>
    <w:pPr>
      <w:widowControl w:val="0"/>
      <w:tabs>
        <w:tab w:val="left" w:pos="994"/>
        <w:tab w:val="left" w:pos="1627"/>
        <w:tab w:val="left" w:pos="2074"/>
      </w:tabs>
      <w:ind w:left="547"/>
    </w:pPr>
  </w:style>
  <w:style w:type="paragraph" w:customStyle="1" w:styleId="ScoringGuideline">
    <w:name w:val="Scoring Guideline"/>
    <w:basedOn w:val="Heading1"/>
    <w:rsid w:val="00834FBA"/>
    <w:pPr>
      <w:spacing w:after="120"/>
    </w:pPr>
    <w:rPr>
      <w:b w:val="0"/>
      <w:bCs w:val="0"/>
      <w:smallCaps/>
    </w:rPr>
  </w:style>
  <w:style w:type="paragraph" w:styleId="BodyTextIndent2">
    <w:name w:val="Body Text Indent 2"/>
    <w:basedOn w:val="Normal"/>
    <w:link w:val="BodyTextIndent2Char"/>
    <w:rsid w:val="00834FBA"/>
    <w:pPr>
      <w:numPr>
        <w:ilvl w:val="12"/>
      </w:numPr>
      <w:spacing w:after="240" w:line="260" w:lineRule="exact"/>
      <w:ind w:left="360"/>
    </w:pPr>
    <w:rPr>
      <w:snapToGrid w:val="0"/>
    </w:rPr>
  </w:style>
  <w:style w:type="character" w:customStyle="1" w:styleId="BodyTextIndent2Char">
    <w:name w:val="Body Text Indent 2 Char"/>
    <w:basedOn w:val="DefaultParagraphFont"/>
    <w:link w:val="BodyTextIndent2"/>
    <w:rsid w:val="00834FBA"/>
    <w:rPr>
      <w:rFonts w:ascii="Arial" w:eastAsia="Times New Roman" w:hAnsi="Arial" w:cs="Times New Roman"/>
      <w:snapToGrid w:val="0"/>
      <w:kern w:val="0"/>
      <w:sz w:val="21"/>
      <w:szCs w:val="20"/>
      <w14:ligatures w14:val="none"/>
    </w:rPr>
  </w:style>
  <w:style w:type="paragraph" w:customStyle="1" w:styleId="StandardTitle">
    <w:name w:val="Standard Title"/>
    <w:basedOn w:val="MainHead"/>
    <w:rsid w:val="00834FBA"/>
    <w:pPr>
      <w:pBdr>
        <w:bottom w:val="none" w:sz="0" w:space="0" w:color="auto"/>
      </w:pBdr>
      <w:spacing w:before="0"/>
    </w:pPr>
    <w:rPr>
      <w:sz w:val="28"/>
    </w:rPr>
  </w:style>
  <w:style w:type="paragraph" w:customStyle="1" w:styleId="MoreInfo">
    <w:name w:val="More Info"/>
    <w:basedOn w:val="Normal"/>
    <w:rsid w:val="00834FBA"/>
    <w:pPr>
      <w:spacing w:before="240"/>
      <w:jc w:val="center"/>
    </w:pPr>
    <w:rPr>
      <w:b/>
      <w:i/>
    </w:rPr>
  </w:style>
  <w:style w:type="paragraph" w:customStyle="1" w:styleId="StdIndent3">
    <w:name w:val="Std Indent 3"/>
    <w:basedOn w:val="StdIndent2"/>
    <w:uiPriority w:val="99"/>
    <w:rsid w:val="00834FBA"/>
    <w:pPr>
      <w:ind w:left="4046"/>
    </w:pPr>
  </w:style>
  <w:style w:type="paragraph" w:customStyle="1" w:styleId="StdIndent4">
    <w:name w:val="Std Indent 4"/>
    <w:basedOn w:val="StdIndent3"/>
    <w:uiPriority w:val="99"/>
    <w:rsid w:val="00834FBA"/>
    <w:pPr>
      <w:ind w:left="5400" w:hanging="1354"/>
    </w:pPr>
  </w:style>
  <w:style w:type="paragraph" w:customStyle="1" w:styleId="IndentBullet0">
    <w:name w:val="Indent Bullet"/>
    <w:basedOn w:val="Body"/>
    <w:rsid w:val="00834FBA"/>
    <w:pPr>
      <w:tabs>
        <w:tab w:val="num" w:pos="360"/>
      </w:tabs>
      <w:spacing w:before="20" w:after="20"/>
      <w:ind w:left="993" w:hanging="187"/>
    </w:pPr>
  </w:style>
  <w:style w:type="character" w:styleId="Hyperlink">
    <w:name w:val="Hyperlink"/>
    <w:basedOn w:val="DefaultParagraphFont"/>
    <w:uiPriority w:val="99"/>
    <w:unhideWhenUsed/>
    <w:rsid w:val="00834FBA"/>
    <w:rPr>
      <w:color w:val="0563C1" w:themeColor="hyperlink"/>
      <w:u w:val="single"/>
    </w:rPr>
  </w:style>
  <w:style w:type="paragraph" w:customStyle="1" w:styleId="IndentNormal">
    <w:name w:val="Indent Normal"/>
    <w:basedOn w:val="Normal"/>
    <w:next w:val="Normal"/>
    <w:rsid w:val="00834FBA"/>
    <w:pPr>
      <w:spacing w:before="60" w:after="60"/>
    </w:pPr>
  </w:style>
  <w:style w:type="character" w:styleId="FootnoteReference">
    <w:name w:val="footnote reference"/>
    <w:basedOn w:val="DefaultParagraphFont"/>
    <w:uiPriority w:val="99"/>
    <w:rsid w:val="00834FBA"/>
    <w:rPr>
      <w:vertAlign w:val="superscript"/>
    </w:rPr>
  </w:style>
  <w:style w:type="paragraph" w:styleId="TOC1">
    <w:name w:val="toc 1"/>
    <w:basedOn w:val="Normal"/>
    <w:next w:val="Normal"/>
    <w:autoRedefine/>
    <w:uiPriority w:val="39"/>
    <w:rsid w:val="00355C50"/>
    <w:pPr>
      <w:tabs>
        <w:tab w:val="right" w:leader="dot" w:pos="9720"/>
      </w:tabs>
      <w:spacing w:before="120"/>
      <w:ind w:left="360" w:hanging="360"/>
    </w:pPr>
    <w:rPr>
      <w:b/>
      <w:bCs/>
      <w:noProof/>
      <w:sz w:val="20"/>
    </w:rPr>
  </w:style>
  <w:style w:type="paragraph" w:styleId="FootnoteText">
    <w:name w:val="footnote text"/>
    <w:aliases w:val="F1"/>
    <w:basedOn w:val="Normal"/>
    <w:link w:val="FootnoteTextChar"/>
    <w:uiPriority w:val="99"/>
    <w:rsid w:val="00834FBA"/>
    <w:rPr>
      <w:rFonts w:ascii="CG Times" w:hAnsi="CG Times"/>
    </w:rPr>
  </w:style>
  <w:style w:type="character" w:customStyle="1" w:styleId="FootnoteTextChar">
    <w:name w:val="Footnote Text Char"/>
    <w:aliases w:val="F1 Char"/>
    <w:basedOn w:val="DefaultParagraphFont"/>
    <w:link w:val="FootnoteText"/>
    <w:uiPriority w:val="99"/>
    <w:rsid w:val="00834FBA"/>
    <w:rPr>
      <w:rFonts w:ascii="CG Times" w:eastAsia="Times New Roman" w:hAnsi="CG Times" w:cs="Times New Roman"/>
      <w:kern w:val="0"/>
      <w:sz w:val="21"/>
      <w:szCs w:val="20"/>
      <w14:ligatures w14:val="none"/>
    </w:rPr>
  </w:style>
  <w:style w:type="paragraph" w:customStyle="1" w:styleId="StyleMarginSubheadItalic">
    <w:name w:val="Style Margin Subhead + Italic"/>
    <w:basedOn w:val="MarginSubhead"/>
    <w:rsid w:val="00834FBA"/>
    <w:rPr>
      <w:bCs/>
      <w:i/>
      <w:iCs/>
    </w:rPr>
  </w:style>
  <w:style w:type="paragraph" w:customStyle="1" w:styleId="Footnote">
    <w:name w:val="Footnote"/>
    <w:basedOn w:val="Normal"/>
    <w:rsid w:val="00834FBA"/>
    <w:pPr>
      <w:spacing w:line="220" w:lineRule="exact"/>
      <w:jc w:val="center"/>
    </w:pPr>
    <w:rPr>
      <w:rFonts w:ascii="Arial Narrow Bold" w:hAnsi="Arial Narrow Bold"/>
      <w:b/>
      <w:color w:val="FFFFFF"/>
    </w:rPr>
  </w:style>
  <w:style w:type="paragraph" w:styleId="MessageHeader">
    <w:name w:val="Message Header"/>
    <w:basedOn w:val="Normal"/>
    <w:link w:val="MessageHeaderChar"/>
    <w:rsid w:val="00834FBA"/>
    <w:pPr>
      <w:pBdr>
        <w:top w:val="single" w:sz="6" w:space="1" w:color="auto"/>
        <w:left w:val="single" w:sz="6" w:space="1" w:color="auto"/>
        <w:bottom w:val="single" w:sz="6" w:space="1" w:color="auto"/>
        <w:right w:val="single" w:sz="6" w:space="1" w:color="auto"/>
      </w:pBdr>
      <w:shd w:val="pct20" w:color="auto" w:fill="auto"/>
      <w:ind w:left="1080" w:hanging="1080"/>
    </w:pPr>
  </w:style>
  <w:style w:type="character" w:customStyle="1" w:styleId="MessageHeaderChar">
    <w:name w:val="Message Header Char"/>
    <w:basedOn w:val="DefaultParagraphFont"/>
    <w:link w:val="MessageHeader"/>
    <w:rsid w:val="00834FBA"/>
    <w:rPr>
      <w:rFonts w:ascii="Arial" w:eastAsia="Times New Roman" w:hAnsi="Arial" w:cs="Times New Roman"/>
      <w:kern w:val="0"/>
      <w:sz w:val="21"/>
      <w:szCs w:val="20"/>
      <w:shd w:val="pct20" w:color="auto" w:fill="auto"/>
      <w14:ligatures w14:val="none"/>
    </w:rPr>
  </w:style>
  <w:style w:type="character" w:styleId="LineNumber">
    <w:name w:val="line number"/>
    <w:basedOn w:val="DefaultParagraphFont"/>
    <w:rsid w:val="00834FBA"/>
  </w:style>
  <w:style w:type="paragraph" w:styleId="BodyText">
    <w:name w:val="Body Text"/>
    <w:basedOn w:val="Normal"/>
    <w:link w:val="BodyTextChar"/>
    <w:uiPriority w:val="99"/>
    <w:rsid w:val="00834FBA"/>
    <w:pPr>
      <w:widowControl w:val="0"/>
      <w:spacing w:before="10"/>
      <w:ind w:left="720"/>
    </w:pPr>
    <w:rPr>
      <w:rFonts w:eastAsia="Calibri" w:cstheme="minorBidi"/>
    </w:rPr>
  </w:style>
  <w:style w:type="character" w:customStyle="1" w:styleId="BodyTextChar">
    <w:name w:val="Body Text Char"/>
    <w:basedOn w:val="DefaultParagraphFont"/>
    <w:link w:val="BodyText"/>
    <w:uiPriority w:val="99"/>
    <w:rsid w:val="00834FBA"/>
    <w:rPr>
      <w:rFonts w:ascii="Arial" w:eastAsia="Calibri" w:hAnsi="Arial"/>
      <w:kern w:val="0"/>
      <w:sz w:val="21"/>
      <w:szCs w:val="20"/>
      <w14:ligatures w14:val="none"/>
    </w:rPr>
  </w:style>
  <w:style w:type="character" w:styleId="FollowedHyperlink">
    <w:name w:val="FollowedHyperlink"/>
    <w:basedOn w:val="DefaultParagraphFont"/>
    <w:uiPriority w:val="99"/>
    <w:unhideWhenUsed/>
    <w:rsid w:val="00834FBA"/>
    <w:rPr>
      <w:color w:val="954F72" w:themeColor="followedHyperlink"/>
      <w:u w:val="single"/>
    </w:rPr>
  </w:style>
  <w:style w:type="paragraph" w:customStyle="1" w:styleId="ElementNumber">
    <w:name w:val="Element Number"/>
    <w:basedOn w:val="Body"/>
    <w:rsid w:val="00834FBA"/>
    <w:pPr>
      <w:ind w:left="720" w:hanging="360"/>
    </w:pPr>
    <w:rPr>
      <w:b/>
    </w:rPr>
  </w:style>
  <w:style w:type="paragraph" w:customStyle="1" w:styleId="Question">
    <w:name w:val="Question"/>
    <w:basedOn w:val="Normal"/>
    <w:rsid w:val="00834FBA"/>
    <w:pPr>
      <w:widowControl w:val="0"/>
      <w:tabs>
        <w:tab w:val="left" w:pos="547"/>
      </w:tabs>
      <w:spacing w:before="240" w:after="120"/>
      <w:ind w:left="547" w:hanging="547"/>
    </w:pPr>
    <w:rPr>
      <w:b/>
    </w:rPr>
  </w:style>
  <w:style w:type="paragraph" w:customStyle="1" w:styleId="QuestionText">
    <w:name w:val="Question Text"/>
    <w:basedOn w:val="Question"/>
    <w:rsid w:val="00834FBA"/>
    <w:pPr>
      <w:numPr>
        <w:numId w:val="12"/>
      </w:numPr>
      <w:tabs>
        <w:tab w:val="num" w:pos="360"/>
      </w:tabs>
      <w:spacing w:before="120" w:after="0"/>
      <w:ind w:left="547" w:hanging="547"/>
    </w:pPr>
  </w:style>
  <w:style w:type="paragraph" w:customStyle="1" w:styleId="ColumnHead">
    <w:name w:val="Column Head"/>
    <w:basedOn w:val="Normal"/>
    <w:rsid w:val="00834FBA"/>
    <w:pPr>
      <w:pBdr>
        <w:bottom w:val="single" w:sz="12" w:space="1" w:color="auto"/>
      </w:pBdr>
      <w:jc w:val="center"/>
    </w:pPr>
    <w:rPr>
      <w:b/>
      <w:sz w:val="26"/>
    </w:rPr>
  </w:style>
  <w:style w:type="paragraph" w:styleId="BodyTextIndent">
    <w:name w:val="Body Text Indent"/>
    <w:basedOn w:val="Normal"/>
    <w:link w:val="BodyTextIndentChar"/>
    <w:rsid w:val="00834FBA"/>
    <w:pPr>
      <w:tabs>
        <w:tab w:val="right" w:leader="dot" w:pos="9720"/>
      </w:tabs>
      <w:ind w:left="1260" w:hanging="180"/>
    </w:pPr>
  </w:style>
  <w:style w:type="character" w:customStyle="1" w:styleId="BodyTextIndentChar">
    <w:name w:val="Body Text Indent Char"/>
    <w:basedOn w:val="DefaultParagraphFont"/>
    <w:link w:val="BodyTextIndent"/>
    <w:rsid w:val="00834FBA"/>
    <w:rPr>
      <w:rFonts w:ascii="Arial" w:eastAsia="Times New Roman" w:hAnsi="Arial" w:cs="Times New Roman"/>
      <w:kern w:val="0"/>
      <w:sz w:val="21"/>
      <w:szCs w:val="20"/>
      <w14:ligatures w14:val="none"/>
    </w:rPr>
  </w:style>
  <w:style w:type="paragraph" w:customStyle="1" w:styleId="TOCtext">
    <w:name w:val="TOC text"/>
    <w:basedOn w:val="Normal"/>
    <w:uiPriority w:val="99"/>
    <w:rsid w:val="00834FBA"/>
    <w:pPr>
      <w:tabs>
        <w:tab w:val="right" w:leader="dot" w:pos="9720"/>
      </w:tabs>
      <w:ind w:left="540"/>
    </w:pPr>
  </w:style>
  <w:style w:type="character" w:customStyle="1" w:styleId="StyleMarginSubheadItalicChar">
    <w:name w:val="Style Margin Subhead + Italic Char"/>
    <w:basedOn w:val="DefaultParagraphFont"/>
    <w:rsid w:val="00834FBA"/>
    <w:rPr>
      <w:rFonts w:ascii="Arial" w:hAnsi="Arial"/>
      <w:b/>
      <w:bCs/>
      <w:i/>
      <w:iCs/>
      <w:noProof w:val="0"/>
      <w:sz w:val="22"/>
      <w:lang w:val="en-US" w:eastAsia="en-US" w:bidi="ar-SA"/>
    </w:rPr>
  </w:style>
  <w:style w:type="paragraph" w:customStyle="1" w:styleId="StyleMarginHeadBefore0pt">
    <w:name w:val="Style Margin Head + Before:  0 pt"/>
    <w:basedOn w:val="MarginHead"/>
    <w:uiPriority w:val="99"/>
    <w:rsid w:val="00834FBA"/>
    <w:pPr>
      <w:spacing w:before="0"/>
    </w:pPr>
    <w:rPr>
      <w:bCs/>
    </w:rPr>
  </w:style>
  <w:style w:type="paragraph" w:customStyle="1" w:styleId="StyleTableBullet11">
    <w:name w:val="Style Table Bullet + 11"/>
    <w:basedOn w:val="TableBullet"/>
    <w:rsid w:val="00834FBA"/>
    <w:pPr>
      <w:numPr>
        <w:numId w:val="0"/>
      </w:numPr>
      <w:tabs>
        <w:tab w:val="num" w:pos="360"/>
      </w:tabs>
      <w:spacing w:line="220" w:lineRule="exact"/>
    </w:pPr>
    <w:rPr>
      <w:sz w:val="22"/>
    </w:rPr>
  </w:style>
  <w:style w:type="character" w:styleId="PageNumber">
    <w:name w:val="page number"/>
    <w:basedOn w:val="DefaultParagraphFont"/>
    <w:rsid w:val="00834FBA"/>
  </w:style>
  <w:style w:type="paragraph" w:styleId="BalloonText">
    <w:name w:val="Balloon Text"/>
    <w:basedOn w:val="Normal"/>
    <w:link w:val="BalloonTextChar"/>
    <w:uiPriority w:val="99"/>
    <w:semiHidden/>
    <w:unhideWhenUsed/>
    <w:rsid w:val="00834FB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4FBA"/>
    <w:rPr>
      <w:rFonts w:ascii="Segoe UI" w:eastAsia="Times New Roman" w:hAnsi="Segoe UI" w:cs="Segoe UI"/>
      <w:kern w:val="0"/>
      <w:sz w:val="18"/>
      <w:szCs w:val="18"/>
      <w14:ligatures w14:val="none"/>
    </w:rPr>
  </w:style>
  <w:style w:type="paragraph" w:styleId="CommentText">
    <w:name w:val="annotation text"/>
    <w:basedOn w:val="Normal"/>
    <w:link w:val="CommentTextChar"/>
    <w:uiPriority w:val="99"/>
    <w:unhideWhenUsed/>
    <w:rsid w:val="00834FBA"/>
  </w:style>
  <w:style w:type="character" w:customStyle="1" w:styleId="CommentTextChar">
    <w:name w:val="Comment Text Char"/>
    <w:basedOn w:val="DefaultParagraphFont"/>
    <w:link w:val="CommentText"/>
    <w:uiPriority w:val="99"/>
    <w:rsid w:val="00834FBA"/>
    <w:rPr>
      <w:rFonts w:ascii="Arial" w:eastAsia="Times New Roman" w:hAnsi="Arial" w:cs="Times New Roman"/>
      <w:kern w:val="0"/>
      <w:sz w:val="21"/>
      <w:szCs w:val="20"/>
      <w14:ligatures w14:val="none"/>
    </w:rPr>
  </w:style>
  <w:style w:type="character" w:styleId="CommentReference">
    <w:name w:val="annotation reference"/>
    <w:basedOn w:val="DefaultParagraphFont"/>
    <w:uiPriority w:val="99"/>
    <w:semiHidden/>
    <w:unhideWhenUsed/>
    <w:rsid w:val="00834FBA"/>
    <w:rPr>
      <w:sz w:val="16"/>
      <w:szCs w:val="16"/>
    </w:rPr>
  </w:style>
  <w:style w:type="character" w:customStyle="1" w:styleId="BodyChar">
    <w:name w:val="Body Char"/>
    <w:link w:val="Body"/>
    <w:rsid w:val="00834FBA"/>
    <w:rPr>
      <w:kern w:val="24"/>
    </w:rPr>
  </w:style>
  <w:style w:type="paragraph" w:styleId="CommentSubject">
    <w:name w:val="annotation subject"/>
    <w:basedOn w:val="CommentText"/>
    <w:next w:val="CommentText"/>
    <w:link w:val="CommentSubjectChar"/>
    <w:uiPriority w:val="99"/>
    <w:unhideWhenUsed/>
    <w:rsid w:val="00834FBA"/>
    <w:rPr>
      <w:b/>
      <w:bCs/>
    </w:rPr>
  </w:style>
  <w:style w:type="character" w:customStyle="1" w:styleId="CommentSubjectChar">
    <w:name w:val="Comment Subject Char"/>
    <w:basedOn w:val="CommentTextChar"/>
    <w:link w:val="CommentSubject"/>
    <w:uiPriority w:val="99"/>
    <w:rsid w:val="00834FBA"/>
    <w:rPr>
      <w:rFonts w:ascii="Arial" w:eastAsia="Times New Roman" w:hAnsi="Arial" w:cs="Times New Roman"/>
      <w:b/>
      <w:bCs/>
      <w:kern w:val="0"/>
      <w:sz w:val="21"/>
      <w:szCs w:val="20"/>
      <w14:ligatures w14:val="none"/>
    </w:rPr>
  </w:style>
  <w:style w:type="character" w:customStyle="1" w:styleId="TableTextChar">
    <w:name w:val="Table Text Char"/>
    <w:basedOn w:val="DefaultParagraphFont"/>
    <w:link w:val="TableText"/>
    <w:rsid w:val="0073598A"/>
    <w:rPr>
      <w:rFonts w:ascii="Arial Narrow" w:hAnsi="Arial Narrow"/>
      <w:szCs w:val="19"/>
    </w:rPr>
  </w:style>
  <w:style w:type="paragraph" w:customStyle="1" w:styleId="StyleTableHeadArialNarrow">
    <w:name w:val="Style Table Head + Arial Narrow"/>
    <w:basedOn w:val="TableHead"/>
    <w:link w:val="StyleTableHeadArialNarrowChar"/>
    <w:rsid w:val="00834FBA"/>
    <w:rPr>
      <w:bCs/>
    </w:rPr>
  </w:style>
  <w:style w:type="paragraph" w:styleId="Date">
    <w:name w:val="Date"/>
    <w:basedOn w:val="Normal"/>
    <w:next w:val="Normal"/>
    <w:link w:val="DateChar"/>
    <w:uiPriority w:val="99"/>
    <w:rsid w:val="00834FBA"/>
  </w:style>
  <w:style w:type="character" w:customStyle="1" w:styleId="DateChar">
    <w:name w:val="Date Char"/>
    <w:basedOn w:val="DefaultParagraphFont"/>
    <w:link w:val="Date"/>
    <w:uiPriority w:val="99"/>
    <w:rsid w:val="00834FBA"/>
    <w:rPr>
      <w:rFonts w:ascii="Arial" w:eastAsia="Times New Roman" w:hAnsi="Arial" w:cs="Times New Roman"/>
      <w:kern w:val="0"/>
      <w:sz w:val="21"/>
      <w:szCs w:val="20"/>
      <w14:ligatures w14:val="none"/>
    </w:rPr>
  </w:style>
  <w:style w:type="character" w:customStyle="1" w:styleId="StyleTableHeadArialNarrowChar">
    <w:name w:val="Style Table Head + Arial Narrow Char"/>
    <w:basedOn w:val="DefaultParagraphFont"/>
    <w:link w:val="StyleTableHeadArialNarrow"/>
    <w:rsid w:val="00834FBA"/>
    <w:rPr>
      <w:rFonts w:ascii="Arial Narrow" w:eastAsia="Times New Roman" w:hAnsi="Arial Narrow" w:cs="Times New Roman"/>
      <w:b/>
      <w:bCs/>
      <w:color w:val="FFFFFF" w:themeColor="background1"/>
      <w:kern w:val="0"/>
      <w:sz w:val="21"/>
      <w:szCs w:val="20"/>
      <w14:ligatures w14:val="none"/>
    </w:rPr>
  </w:style>
  <w:style w:type="character" w:customStyle="1" w:styleId="TableHeadChar">
    <w:name w:val="Table Head Char"/>
    <w:basedOn w:val="DefaultParagraphFont"/>
    <w:link w:val="TableHead"/>
    <w:rsid w:val="00834FBA"/>
    <w:rPr>
      <w:rFonts w:ascii="Arial Narrow" w:hAnsi="Arial Narrow"/>
      <w:b/>
      <w:color w:val="FFFFFF" w:themeColor="background1"/>
    </w:rPr>
  </w:style>
  <w:style w:type="paragraph" w:styleId="Revision">
    <w:name w:val="Revision"/>
    <w:hidden/>
    <w:uiPriority w:val="99"/>
    <w:semiHidden/>
    <w:rsid w:val="00834FBA"/>
    <w:rPr>
      <w:sz w:val="20"/>
      <w:szCs w:val="24"/>
    </w:rPr>
  </w:style>
  <w:style w:type="paragraph" w:customStyle="1" w:styleId="BulletBefore0pt">
    <w:name w:val="Bullet + Before:  0 pt"/>
    <w:basedOn w:val="Bullet"/>
    <w:uiPriority w:val="99"/>
    <w:rsid w:val="00834FBA"/>
    <w:pPr>
      <w:numPr>
        <w:numId w:val="0"/>
      </w:numPr>
      <w:spacing w:before="0"/>
      <w:ind w:left="576" w:hanging="216"/>
    </w:pPr>
  </w:style>
  <w:style w:type="paragraph" w:styleId="PlainText">
    <w:name w:val="Plain Text"/>
    <w:basedOn w:val="Normal"/>
    <w:link w:val="PlainTextChar"/>
    <w:uiPriority w:val="99"/>
    <w:unhideWhenUsed/>
    <w:rsid w:val="00834FBA"/>
    <w:rPr>
      <w:rFonts w:ascii="Consolas" w:eastAsia="Calibri" w:hAnsi="Consolas"/>
      <w:szCs w:val="21"/>
    </w:rPr>
  </w:style>
  <w:style w:type="character" w:customStyle="1" w:styleId="PlainTextChar">
    <w:name w:val="Plain Text Char"/>
    <w:basedOn w:val="DefaultParagraphFont"/>
    <w:link w:val="PlainText"/>
    <w:uiPriority w:val="99"/>
    <w:rsid w:val="00834FBA"/>
    <w:rPr>
      <w:rFonts w:ascii="Consolas" w:eastAsia="Calibri" w:hAnsi="Consolas" w:cs="Times New Roman"/>
      <w:kern w:val="0"/>
      <w:sz w:val="21"/>
      <w:szCs w:val="21"/>
      <w14:ligatures w14:val="none"/>
    </w:rPr>
  </w:style>
  <w:style w:type="paragraph" w:customStyle="1" w:styleId="Letter">
    <w:name w:val="Letter"/>
    <w:uiPriority w:val="99"/>
    <w:rsid w:val="00834FBA"/>
    <w:pPr>
      <w:spacing w:before="180"/>
    </w:pPr>
    <w:rPr>
      <w:rFonts w:ascii="Times New Roman" w:hAnsi="Times New Roman"/>
      <w:sz w:val="24"/>
      <w:szCs w:val="24"/>
    </w:rPr>
  </w:style>
  <w:style w:type="paragraph" w:styleId="NoSpacing">
    <w:name w:val="No Spacing"/>
    <w:link w:val="NoSpacingChar"/>
    <w:uiPriority w:val="1"/>
    <w:qFormat/>
    <w:rsid w:val="00834FBA"/>
  </w:style>
  <w:style w:type="paragraph" w:customStyle="1" w:styleId="Default">
    <w:name w:val="Default"/>
    <w:rsid w:val="00834FBA"/>
    <w:pPr>
      <w:autoSpaceDE w:val="0"/>
      <w:autoSpaceDN w:val="0"/>
      <w:adjustRightInd w:val="0"/>
    </w:pPr>
    <w:rPr>
      <w:rFonts w:cs="Arial"/>
      <w:color w:val="000000"/>
      <w:sz w:val="24"/>
      <w:szCs w:val="24"/>
    </w:rPr>
  </w:style>
  <w:style w:type="paragraph" w:customStyle="1" w:styleId="ElementHead">
    <w:name w:val="Element Head"/>
    <w:basedOn w:val="MainHead"/>
    <w:uiPriority w:val="99"/>
    <w:rsid w:val="00834FBA"/>
    <w:pPr>
      <w:widowControl/>
      <w:pBdr>
        <w:bottom w:val="none" w:sz="0" w:space="0" w:color="auto"/>
      </w:pBdr>
      <w:spacing w:before="180"/>
    </w:pPr>
    <w:rPr>
      <w:i/>
      <w:sz w:val="20"/>
    </w:rPr>
  </w:style>
  <w:style w:type="paragraph" w:customStyle="1" w:styleId="TableText2">
    <w:name w:val="Table Text 2"/>
    <w:basedOn w:val="Normal"/>
    <w:rsid w:val="00834FBA"/>
    <w:pPr>
      <w:spacing w:before="40" w:after="40" w:line="200" w:lineRule="exact"/>
    </w:pPr>
    <w:rPr>
      <w:rFonts w:ascii="Arial Narrow" w:hAnsi="Arial Narrow"/>
      <w:sz w:val="19"/>
    </w:rPr>
  </w:style>
  <w:style w:type="paragraph" w:customStyle="1" w:styleId="TableHead2">
    <w:name w:val="Table Head 2"/>
    <w:basedOn w:val="TableText2"/>
    <w:rsid w:val="00834FBA"/>
    <w:pPr>
      <w:spacing w:before="0" w:after="0" w:line="220" w:lineRule="exact"/>
      <w:jc w:val="center"/>
    </w:pPr>
    <w:rPr>
      <w:rFonts w:ascii="Arial Narrow Bold" w:hAnsi="Arial Narrow Bold"/>
      <w:b/>
      <w:color w:val="FFFFFF"/>
      <w:sz w:val="20"/>
    </w:rPr>
  </w:style>
  <w:style w:type="paragraph" w:customStyle="1" w:styleId="TableBullet2">
    <w:name w:val="Table Bullet 2"/>
    <w:basedOn w:val="TableText2"/>
    <w:rsid w:val="00834FBA"/>
    <w:pPr>
      <w:ind w:left="158" w:hanging="158"/>
    </w:pPr>
  </w:style>
  <w:style w:type="paragraph" w:customStyle="1" w:styleId="RqtText">
    <w:name w:val="Rqt Text"/>
    <w:basedOn w:val="StdText"/>
    <w:uiPriority w:val="99"/>
    <w:rsid w:val="00834FBA"/>
  </w:style>
  <w:style w:type="paragraph" w:customStyle="1" w:styleId="RqtBox">
    <w:name w:val="Rqt Box"/>
    <w:basedOn w:val="RqtText"/>
    <w:uiPriority w:val="99"/>
    <w:rsid w:val="00834FBA"/>
    <w:pPr>
      <w:spacing w:before="120"/>
      <w:ind w:left="1800" w:hanging="360"/>
    </w:pPr>
  </w:style>
  <w:style w:type="paragraph" w:customStyle="1" w:styleId="RqtHead">
    <w:name w:val="Rqt Head"/>
    <w:basedOn w:val="MainHead"/>
    <w:uiPriority w:val="99"/>
    <w:rsid w:val="00834FBA"/>
    <w:pPr>
      <w:widowControl/>
      <w:tabs>
        <w:tab w:val="right" w:pos="9720"/>
      </w:tabs>
      <w:spacing w:before="360"/>
    </w:pPr>
  </w:style>
  <w:style w:type="paragraph" w:customStyle="1" w:styleId="RqtTitle">
    <w:name w:val="Rqt Title"/>
    <w:basedOn w:val="StandardTitle"/>
    <w:uiPriority w:val="99"/>
    <w:rsid w:val="00834FBA"/>
    <w:pPr>
      <w:widowControl/>
      <w:tabs>
        <w:tab w:val="right" w:pos="9720"/>
      </w:tabs>
    </w:pPr>
  </w:style>
  <w:style w:type="paragraph" w:customStyle="1" w:styleId="Style1">
    <w:name w:val="Style1"/>
    <w:basedOn w:val="TableBullet2"/>
    <w:rsid w:val="00834FBA"/>
  </w:style>
  <w:style w:type="paragraph" w:styleId="Caption">
    <w:name w:val="caption"/>
    <w:basedOn w:val="Normal"/>
    <w:next w:val="Normal"/>
    <w:semiHidden/>
    <w:unhideWhenUsed/>
    <w:qFormat/>
    <w:rsid w:val="00834FBA"/>
    <w:pPr>
      <w:spacing w:after="200"/>
    </w:pPr>
    <w:rPr>
      <w:i/>
      <w:iCs/>
      <w:color w:val="44546A" w:themeColor="text2"/>
      <w:sz w:val="18"/>
      <w:szCs w:val="18"/>
    </w:rPr>
  </w:style>
  <w:style w:type="paragraph" w:customStyle="1" w:styleId="Bullet2">
    <w:name w:val="Bullet 2"/>
    <w:basedOn w:val="Normal"/>
    <w:uiPriority w:val="99"/>
    <w:rsid w:val="00834FBA"/>
    <w:pPr>
      <w:ind w:left="518" w:hanging="360"/>
    </w:pPr>
  </w:style>
  <w:style w:type="character" w:styleId="Strong">
    <w:name w:val="Strong"/>
    <w:basedOn w:val="DefaultParagraphFont"/>
    <w:uiPriority w:val="22"/>
    <w:qFormat/>
    <w:rsid w:val="00834FBA"/>
    <w:rPr>
      <w:b/>
      <w:bCs/>
    </w:rPr>
  </w:style>
  <w:style w:type="paragraph" w:customStyle="1" w:styleId="TableHeadNotCondensed">
    <w:name w:val="Table Head Not Condensed"/>
    <w:basedOn w:val="Heading3"/>
    <w:rsid w:val="00834FBA"/>
    <w:rPr>
      <w:b w:val="0"/>
      <w:i w:val="0"/>
    </w:rPr>
  </w:style>
  <w:style w:type="paragraph" w:styleId="z-TopofForm">
    <w:name w:val="HTML Top of Form"/>
    <w:basedOn w:val="Normal"/>
    <w:next w:val="Normal"/>
    <w:link w:val="z-TopofFormChar"/>
    <w:hidden/>
    <w:rsid w:val="00834FBA"/>
    <w:pPr>
      <w:pBdr>
        <w:bottom w:val="single" w:sz="6" w:space="1" w:color="auto"/>
      </w:pBdr>
      <w:jc w:val="center"/>
    </w:pPr>
    <w:rPr>
      <w:rFonts w:cs="Arial"/>
      <w:vanish/>
      <w:color w:val="0066CC"/>
      <w:sz w:val="16"/>
      <w:szCs w:val="16"/>
    </w:rPr>
  </w:style>
  <w:style w:type="character" w:customStyle="1" w:styleId="z-TopofFormChar">
    <w:name w:val="z-Top of Form Char"/>
    <w:basedOn w:val="DefaultParagraphFont"/>
    <w:link w:val="z-TopofForm"/>
    <w:rsid w:val="00834FBA"/>
    <w:rPr>
      <w:rFonts w:ascii="Arial" w:eastAsia="Times New Roman" w:hAnsi="Arial" w:cs="Arial"/>
      <w:vanish/>
      <w:color w:val="0066CC"/>
      <w:kern w:val="0"/>
      <w:sz w:val="16"/>
      <w:szCs w:val="16"/>
      <w14:ligatures w14:val="none"/>
    </w:rPr>
  </w:style>
  <w:style w:type="paragraph" w:styleId="z-BottomofForm">
    <w:name w:val="HTML Bottom of Form"/>
    <w:basedOn w:val="Normal"/>
    <w:next w:val="Normal"/>
    <w:link w:val="z-BottomofFormChar"/>
    <w:hidden/>
    <w:rsid w:val="00834FBA"/>
    <w:pPr>
      <w:pBdr>
        <w:top w:val="single" w:sz="6" w:space="1" w:color="auto"/>
      </w:pBdr>
      <w:jc w:val="center"/>
    </w:pPr>
    <w:rPr>
      <w:rFonts w:cs="Arial"/>
      <w:vanish/>
      <w:color w:val="0066CC"/>
      <w:sz w:val="16"/>
      <w:szCs w:val="16"/>
    </w:rPr>
  </w:style>
  <w:style w:type="character" w:customStyle="1" w:styleId="z-BottomofFormChar">
    <w:name w:val="z-Bottom of Form Char"/>
    <w:basedOn w:val="DefaultParagraphFont"/>
    <w:link w:val="z-BottomofForm"/>
    <w:rsid w:val="00834FBA"/>
    <w:rPr>
      <w:rFonts w:ascii="Arial" w:eastAsia="Times New Roman" w:hAnsi="Arial" w:cs="Arial"/>
      <w:vanish/>
      <w:color w:val="0066CC"/>
      <w:kern w:val="0"/>
      <w:sz w:val="16"/>
      <w:szCs w:val="16"/>
      <w14:ligatures w14:val="none"/>
    </w:rPr>
  </w:style>
  <w:style w:type="character" w:customStyle="1" w:styleId="hcpcscode1">
    <w:name w:val="hcpcscode1"/>
    <w:basedOn w:val="DefaultParagraphFont"/>
    <w:rsid w:val="00834FBA"/>
    <w:rPr>
      <w:color w:val="3955AD"/>
    </w:rPr>
  </w:style>
  <w:style w:type="character" w:customStyle="1" w:styleId="BulletChar1">
    <w:name w:val="Bullet Char1"/>
    <w:basedOn w:val="DefaultParagraphFont"/>
    <w:rsid w:val="00834FBA"/>
    <w:rPr>
      <w:rFonts w:ascii="Arial" w:hAnsi="Arial"/>
      <w:szCs w:val="24"/>
    </w:rPr>
  </w:style>
  <w:style w:type="character" w:customStyle="1" w:styleId="BreakpageChar">
    <w:name w:val="Break page Char"/>
    <w:basedOn w:val="DefaultParagraphFont"/>
    <w:link w:val="Breakpage"/>
    <w:rsid w:val="00834FBA"/>
    <w:rPr>
      <w:b/>
      <w:kern w:val="24"/>
      <w:sz w:val="48"/>
    </w:rPr>
  </w:style>
  <w:style w:type="paragraph" w:customStyle="1" w:styleId="Reference">
    <w:name w:val="Reference"/>
    <w:basedOn w:val="Normal"/>
    <w:uiPriority w:val="99"/>
    <w:rsid w:val="00834FBA"/>
    <w:pPr>
      <w:spacing w:line="480" w:lineRule="auto"/>
      <w:ind w:left="720" w:hanging="720"/>
    </w:pPr>
    <w:rPr>
      <w:rFonts w:ascii="Times New Roman" w:hAnsi="Times New Roman" w:cs="Arial"/>
      <w:bCs/>
      <w:kern w:val="32"/>
      <w:sz w:val="24"/>
    </w:rPr>
  </w:style>
  <w:style w:type="paragraph" w:customStyle="1" w:styleId="StyleHeading2H2-SecHead11ptNotItalicSmallcapsLeft">
    <w:name w:val="Style Heading 2H2-Sec. Head + 11 pt Not Italic Small caps Left..."/>
    <w:basedOn w:val="Heading2"/>
    <w:uiPriority w:val="99"/>
    <w:rsid w:val="00834FBA"/>
    <w:pPr>
      <w:pBdr>
        <w:top w:val="single" w:sz="6" w:space="1" w:color="auto"/>
        <w:bottom w:val="single" w:sz="4" w:space="1" w:color="auto"/>
      </w:pBdr>
    </w:pPr>
    <w:rPr>
      <w:b w:val="0"/>
      <w:bCs/>
      <w:iCs/>
      <w:smallCaps/>
      <w:sz w:val="22"/>
      <w:szCs w:val="28"/>
    </w:rPr>
  </w:style>
  <w:style w:type="paragraph" w:customStyle="1" w:styleId="BulletedText">
    <w:name w:val="Bulleted Text"/>
    <w:basedOn w:val="Normal"/>
    <w:rsid w:val="00834FBA"/>
    <w:pPr>
      <w:spacing w:after="240" w:line="260" w:lineRule="exact"/>
      <w:ind w:left="576" w:hanging="360"/>
    </w:pPr>
  </w:style>
  <w:style w:type="paragraph" w:customStyle="1" w:styleId="SectionHeadTOC1">
    <w:name w:val="Section Head TOC1"/>
    <w:basedOn w:val="Normal"/>
    <w:uiPriority w:val="99"/>
    <w:rsid w:val="00834FBA"/>
    <w:pPr>
      <w:keepNext/>
      <w:spacing w:after="240"/>
      <w:jc w:val="center"/>
      <w:outlineLvl w:val="0"/>
    </w:pPr>
    <w:rPr>
      <w:b/>
      <w:kern w:val="28"/>
      <w:sz w:val="32"/>
    </w:rPr>
  </w:style>
  <w:style w:type="paragraph" w:customStyle="1" w:styleId="MarginDash">
    <w:name w:val="Margin Dash"/>
    <w:basedOn w:val="Dash"/>
    <w:rsid w:val="00834FBA"/>
    <w:pPr>
      <w:numPr>
        <w:numId w:val="7"/>
      </w:numPr>
    </w:pPr>
  </w:style>
  <w:style w:type="paragraph" w:customStyle="1" w:styleId="Bullet3">
    <w:name w:val="Bullet +3"/>
    <w:basedOn w:val="Bullet"/>
    <w:rsid w:val="00834FBA"/>
    <w:pPr>
      <w:numPr>
        <w:numId w:val="0"/>
      </w:numPr>
      <w:tabs>
        <w:tab w:val="num" w:pos="360"/>
      </w:tabs>
      <w:ind w:left="360" w:hanging="360"/>
    </w:pPr>
  </w:style>
  <w:style w:type="paragraph" w:customStyle="1" w:styleId="ElementText6">
    <w:name w:val="Element Text + 6"/>
    <w:basedOn w:val="ElementText"/>
    <w:rsid w:val="00834FBA"/>
    <w:pPr>
      <w:spacing w:before="120"/>
    </w:pPr>
  </w:style>
  <w:style w:type="paragraph" w:customStyle="1" w:styleId="ElementText">
    <w:name w:val="Element Text"/>
    <w:basedOn w:val="Body"/>
    <w:uiPriority w:val="99"/>
    <w:rsid w:val="00834FBA"/>
    <w:pPr>
      <w:spacing w:before="60" w:after="60" w:line="220" w:lineRule="exact"/>
      <w:ind w:left="58" w:right="29"/>
    </w:pPr>
    <w:rPr>
      <w:b/>
    </w:rPr>
  </w:style>
  <w:style w:type="paragraph" w:customStyle="1" w:styleId="FirstParagraph">
    <w:name w:val="First Paragraph"/>
    <w:basedOn w:val="Text"/>
    <w:next w:val="Text"/>
    <w:rsid w:val="00834FBA"/>
    <w:pPr>
      <w:spacing w:before="200"/>
    </w:pPr>
  </w:style>
  <w:style w:type="paragraph" w:customStyle="1" w:styleId="Text">
    <w:name w:val="Text"/>
    <w:basedOn w:val="Body"/>
    <w:next w:val="Body"/>
    <w:uiPriority w:val="99"/>
    <w:rsid w:val="00834FBA"/>
    <w:pPr>
      <w:spacing w:before="120" w:line="220" w:lineRule="exact"/>
      <w:ind w:left="58"/>
    </w:pPr>
  </w:style>
  <w:style w:type="paragraph" w:customStyle="1" w:styleId="TextHead">
    <w:name w:val="Text Head"/>
    <w:basedOn w:val="Text"/>
    <w:next w:val="Text"/>
    <w:uiPriority w:val="99"/>
    <w:rsid w:val="00834FBA"/>
    <w:pPr>
      <w:spacing w:before="200"/>
    </w:pPr>
    <w:rPr>
      <w:b/>
    </w:rPr>
  </w:style>
  <w:style w:type="paragraph" w:customStyle="1" w:styleId="StyleElementHeadLeft004Right004">
    <w:name w:val="Style Element Head + Left:  0.04&quot; Right:  0.04&quot;"/>
    <w:basedOn w:val="Normal"/>
    <w:uiPriority w:val="99"/>
    <w:rsid w:val="00834FBA"/>
    <w:pPr>
      <w:pBdr>
        <w:top w:val="single" w:sz="6" w:space="2" w:color="auto"/>
        <w:left w:val="single" w:sz="6" w:space="2" w:color="auto"/>
        <w:bottom w:val="single" w:sz="6" w:space="2" w:color="auto"/>
        <w:right w:val="single" w:sz="6" w:space="2" w:color="auto"/>
      </w:pBdr>
      <w:shd w:val="clear" w:color="auto" w:fill="000000"/>
      <w:ind w:right="58"/>
    </w:pPr>
    <w:rPr>
      <w:b/>
      <w:bCs/>
      <w:color w:val="FFFFFF"/>
    </w:rPr>
  </w:style>
  <w:style w:type="paragraph" w:customStyle="1" w:styleId="BulletBefore3pt">
    <w:name w:val="Bullet + Before:  3 pt"/>
    <w:basedOn w:val="Bullet"/>
    <w:uiPriority w:val="99"/>
    <w:rsid w:val="00834FBA"/>
    <w:pPr>
      <w:numPr>
        <w:numId w:val="0"/>
      </w:numPr>
      <w:tabs>
        <w:tab w:val="num" w:pos="532"/>
      </w:tabs>
      <w:ind w:left="576" w:hanging="216"/>
    </w:pPr>
  </w:style>
  <w:style w:type="paragraph" w:styleId="TOC2">
    <w:name w:val="toc 2"/>
    <w:basedOn w:val="Normal"/>
    <w:next w:val="Normal"/>
    <w:autoRedefine/>
    <w:uiPriority w:val="39"/>
    <w:unhideWhenUsed/>
    <w:rsid w:val="00504E32"/>
    <w:pPr>
      <w:tabs>
        <w:tab w:val="right" w:leader="dot" w:pos="9720"/>
      </w:tabs>
      <w:spacing w:before="120"/>
      <w:ind w:left="576" w:hanging="216"/>
    </w:pPr>
    <w:rPr>
      <w:b/>
      <w:bCs/>
      <w:i/>
      <w:noProof/>
      <w:sz w:val="20"/>
    </w:rPr>
  </w:style>
  <w:style w:type="paragraph" w:styleId="TOC3">
    <w:name w:val="toc 3"/>
    <w:basedOn w:val="Normal"/>
    <w:next w:val="Normal"/>
    <w:autoRedefine/>
    <w:uiPriority w:val="39"/>
    <w:unhideWhenUsed/>
    <w:rsid w:val="00834FBA"/>
    <w:pPr>
      <w:tabs>
        <w:tab w:val="right" w:leader="dot" w:pos="9720"/>
      </w:tabs>
      <w:ind w:left="936" w:hanging="216"/>
    </w:pPr>
    <w:rPr>
      <w:sz w:val="20"/>
    </w:rPr>
  </w:style>
  <w:style w:type="paragraph" w:styleId="TOC4">
    <w:name w:val="toc 4"/>
    <w:basedOn w:val="Normal"/>
    <w:next w:val="Normal"/>
    <w:autoRedefine/>
    <w:uiPriority w:val="39"/>
    <w:unhideWhenUsed/>
    <w:rsid w:val="00355C50"/>
    <w:pPr>
      <w:tabs>
        <w:tab w:val="right" w:leader="dot" w:pos="9720"/>
      </w:tabs>
      <w:ind w:left="1296" w:hanging="360"/>
    </w:pPr>
    <w:rPr>
      <w:sz w:val="20"/>
    </w:rPr>
  </w:style>
  <w:style w:type="paragraph" w:styleId="TOC5">
    <w:name w:val="toc 5"/>
    <w:basedOn w:val="Normal"/>
    <w:next w:val="Normal"/>
    <w:autoRedefine/>
    <w:uiPriority w:val="39"/>
    <w:unhideWhenUsed/>
    <w:rsid w:val="00F41BC6"/>
    <w:pPr>
      <w:tabs>
        <w:tab w:val="right" w:leader="dot" w:pos="9720"/>
      </w:tabs>
      <w:ind w:left="1483" w:hanging="331"/>
    </w:pPr>
    <w:rPr>
      <w:rFonts w:eastAsiaTheme="minorEastAsia"/>
      <w:sz w:val="20"/>
    </w:rPr>
  </w:style>
  <w:style w:type="paragraph" w:styleId="TOC6">
    <w:name w:val="toc 6"/>
    <w:basedOn w:val="Normal"/>
    <w:next w:val="Normal"/>
    <w:autoRedefine/>
    <w:uiPriority w:val="39"/>
    <w:unhideWhenUsed/>
    <w:rsid w:val="00903C3E"/>
    <w:pPr>
      <w:tabs>
        <w:tab w:val="right" w:leader="dot" w:pos="9720"/>
      </w:tabs>
      <w:ind w:left="1368"/>
    </w:pPr>
    <w:rPr>
      <w:rFonts w:eastAsiaTheme="minorEastAsia"/>
      <w:sz w:val="20"/>
    </w:rPr>
  </w:style>
  <w:style w:type="paragraph" w:styleId="TOC7">
    <w:name w:val="toc 7"/>
    <w:basedOn w:val="Normal"/>
    <w:next w:val="Normal"/>
    <w:autoRedefine/>
    <w:uiPriority w:val="39"/>
    <w:unhideWhenUsed/>
    <w:rsid w:val="00834FBA"/>
    <w:pPr>
      <w:spacing w:after="100"/>
      <w:ind w:left="1320"/>
    </w:pPr>
    <w:rPr>
      <w:rFonts w:eastAsiaTheme="minorEastAsia"/>
    </w:rPr>
  </w:style>
  <w:style w:type="paragraph" w:styleId="TOC8">
    <w:name w:val="toc 8"/>
    <w:basedOn w:val="Normal"/>
    <w:next w:val="Normal"/>
    <w:autoRedefine/>
    <w:uiPriority w:val="39"/>
    <w:unhideWhenUsed/>
    <w:rsid w:val="00834FBA"/>
    <w:pPr>
      <w:spacing w:after="100"/>
      <w:ind w:left="1540"/>
    </w:pPr>
    <w:rPr>
      <w:rFonts w:eastAsiaTheme="minorEastAsia"/>
    </w:rPr>
  </w:style>
  <w:style w:type="paragraph" w:styleId="TOC9">
    <w:name w:val="toc 9"/>
    <w:basedOn w:val="Normal"/>
    <w:next w:val="Normal"/>
    <w:autoRedefine/>
    <w:uiPriority w:val="39"/>
    <w:unhideWhenUsed/>
    <w:rsid w:val="00834FBA"/>
    <w:pPr>
      <w:spacing w:after="100"/>
      <w:ind w:left="1760"/>
    </w:pPr>
    <w:rPr>
      <w:rFonts w:eastAsiaTheme="minorEastAsia"/>
    </w:rPr>
  </w:style>
  <w:style w:type="paragraph" w:customStyle="1" w:styleId="Subhead2">
    <w:name w:val="Subhead 2"/>
    <w:basedOn w:val="SubHead"/>
    <w:next w:val="Body"/>
    <w:uiPriority w:val="99"/>
    <w:rsid w:val="00834FBA"/>
  </w:style>
  <w:style w:type="paragraph" w:customStyle="1" w:styleId="SubHead20">
    <w:name w:val="Sub Head 2"/>
    <w:basedOn w:val="SubHead"/>
    <w:rsid w:val="00834FBA"/>
  </w:style>
  <w:style w:type="paragraph" w:customStyle="1" w:styleId="StyleHeading3H3-SecHeadBlackBackground">
    <w:name w:val="Style Heading 3H3-Sec. Head Black Background"/>
    <w:basedOn w:val="StdHead"/>
    <w:qFormat/>
    <w:rsid w:val="00834FBA"/>
    <w:pPr>
      <w:outlineLvl w:val="2"/>
    </w:pPr>
  </w:style>
  <w:style w:type="paragraph" w:styleId="BodyText3">
    <w:name w:val="Body Text 3"/>
    <w:basedOn w:val="Normal"/>
    <w:link w:val="BodyText3Char"/>
    <w:uiPriority w:val="99"/>
    <w:rsid w:val="00834FBA"/>
    <w:pPr>
      <w:spacing w:after="120"/>
    </w:pPr>
    <w:rPr>
      <w:sz w:val="16"/>
      <w:szCs w:val="16"/>
    </w:rPr>
  </w:style>
  <w:style w:type="character" w:customStyle="1" w:styleId="BodyText3Char">
    <w:name w:val="Body Text 3 Char"/>
    <w:basedOn w:val="DefaultParagraphFont"/>
    <w:link w:val="BodyText3"/>
    <w:uiPriority w:val="99"/>
    <w:rsid w:val="00834FBA"/>
    <w:rPr>
      <w:rFonts w:ascii="Arial" w:eastAsia="Times New Roman" w:hAnsi="Arial" w:cs="Times New Roman"/>
      <w:kern w:val="0"/>
      <w:sz w:val="16"/>
      <w:szCs w:val="16"/>
      <w14:ligatures w14:val="none"/>
    </w:rPr>
  </w:style>
  <w:style w:type="paragraph" w:styleId="EndnoteText">
    <w:name w:val="endnote text"/>
    <w:basedOn w:val="Normal"/>
    <w:link w:val="EndnoteTextChar"/>
    <w:uiPriority w:val="99"/>
    <w:rsid w:val="00834FBA"/>
  </w:style>
  <w:style w:type="character" w:customStyle="1" w:styleId="EndnoteTextChar">
    <w:name w:val="Endnote Text Char"/>
    <w:basedOn w:val="DefaultParagraphFont"/>
    <w:link w:val="EndnoteText"/>
    <w:uiPriority w:val="99"/>
    <w:rsid w:val="00834FBA"/>
    <w:rPr>
      <w:rFonts w:ascii="Arial" w:eastAsia="Times New Roman" w:hAnsi="Arial" w:cs="Times New Roman"/>
      <w:kern w:val="0"/>
      <w:sz w:val="21"/>
      <w:szCs w:val="20"/>
      <w14:ligatures w14:val="none"/>
    </w:rPr>
  </w:style>
  <w:style w:type="character" w:styleId="EndnoteReference">
    <w:name w:val="endnote reference"/>
    <w:basedOn w:val="DefaultParagraphFont"/>
    <w:uiPriority w:val="99"/>
    <w:semiHidden/>
    <w:rsid w:val="00834FBA"/>
    <w:rPr>
      <w:vertAlign w:val="superscript"/>
    </w:rPr>
  </w:style>
  <w:style w:type="paragraph" w:customStyle="1" w:styleId="answertext0">
    <w:name w:val="answertext"/>
    <w:basedOn w:val="Normal"/>
    <w:uiPriority w:val="99"/>
    <w:rsid w:val="00834FBA"/>
    <w:pPr>
      <w:tabs>
        <w:tab w:val="num" w:pos="792"/>
      </w:tabs>
      <w:ind w:left="792" w:hanging="216"/>
    </w:pPr>
  </w:style>
  <w:style w:type="paragraph" w:customStyle="1" w:styleId="StyleHeading1AHeadH1-SecHead16ptCenteredBefore0pt">
    <w:name w:val="Style Heading 1A HeadH1-Sec.Head + 16 pt Centered Before:  0 pt..."/>
    <w:basedOn w:val="Heading1"/>
    <w:uiPriority w:val="99"/>
    <w:rsid w:val="00834FBA"/>
    <w:pPr>
      <w:spacing w:line="276" w:lineRule="auto"/>
    </w:pPr>
    <w:rPr>
      <w:rFonts w:asciiTheme="minorHAnsi" w:hAnsiTheme="minorHAnsi"/>
      <w:b w:val="0"/>
      <w:bCs w:val="0"/>
      <w:szCs w:val="20"/>
    </w:rPr>
  </w:style>
  <w:style w:type="paragraph" w:customStyle="1" w:styleId="Marginbullet1">
    <w:name w:val="Margin bullet"/>
    <w:basedOn w:val="Normal"/>
    <w:link w:val="MarginbulletChar0"/>
    <w:rsid w:val="00834FBA"/>
    <w:pPr>
      <w:spacing w:after="200" w:line="220" w:lineRule="exact"/>
    </w:pPr>
  </w:style>
  <w:style w:type="character" w:customStyle="1" w:styleId="MarginbulletChar0">
    <w:name w:val="Margin bullet Char"/>
    <w:basedOn w:val="DefaultParagraphFont"/>
    <w:link w:val="Marginbullet1"/>
    <w:rsid w:val="00834FBA"/>
    <w:rPr>
      <w:rFonts w:ascii="Arial" w:eastAsia="Times New Roman" w:hAnsi="Arial" w:cs="Times New Roman"/>
      <w:kern w:val="0"/>
      <w:sz w:val="21"/>
      <w:szCs w:val="20"/>
      <w14:ligatures w14:val="none"/>
    </w:rPr>
  </w:style>
  <w:style w:type="paragraph" w:customStyle="1" w:styleId="DocuBullet">
    <w:name w:val="Docu Bullet"/>
    <w:basedOn w:val="Normal"/>
    <w:link w:val="DocuBulletChar"/>
    <w:rsid w:val="00834FBA"/>
    <w:pPr>
      <w:numPr>
        <w:numId w:val="11"/>
      </w:numPr>
      <w:tabs>
        <w:tab w:val="num" w:pos="-31680"/>
        <w:tab w:val="num" w:pos="360"/>
      </w:tabs>
      <w:spacing w:before="60" w:line="220" w:lineRule="exact"/>
      <w:ind w:left="0" w:firstLine="0"/>
    </w:pPr>
  </w:style>
  <w:style w:type="character" w:customStyle="1" w:styleId="DocuBulletChar">
    <w:name w:val="Docu Bullet Char"/>
    <w:basedOn w:val="DefaultParagraphFont"/>
    <w:link w:val="DocuBullet"/>
    <w:rsid w:val="00834FBA"/>
  </w:style>
  <w:style w:type="paragraph" w:customStyle="1" w:styleId="marginbullet0">
    <w:name w:val="margin bullet"/>
    <w:basedOn w:val="Normal"/>
    <w:link w:val="marginbulletChar1"/>
    <w:rsid w:val="00834FBA"/>
    <w:pPr>
      <w:numPr>
        <w:numId w:val="8"/>
      </w:numPr>
      <w:tabs>
        <w:tab w:val="num" w:pos="360"/>
      </w:tabs>
      <w:spacing w:before="80"/>
      <w:ind w:left="0" w:firstLine="0"/>
    </w:pPr>
  </w:style>
  <w:style w:type="character" w:customStyle="1" w:styleId="marginbulletChar1">
    <w:name w:val="margin bullet Char"/>
    <w:link w:val="marginbullet0"/>
    <w:rsid w:val="00834FBA"/>
  </w:style>
  <w:style w:type="character" w:styleId="Emphasis">
    <w:name w:val="Emphasis"/>
    <w:basedOn w:val="DefaultParagraphFont"/>
    <w:uiPriority w:val="20"/>
    <w:qFormat/>
    <w:rsid w:val="00834FBA"/>
    <w:rPr>
      <w:i/>
      <w:iCs/>
    </w:rPr>
  </w:style>
  <w:style w:type="paragraph" w:styleId="DocumentMap">
    <w:name w:val="Document Map"/>
    <w:basedOn w:val="Normal"/>
    <w:link w:val="DocumentMapChar"/>
    <w:uiPriority w:val="99"/>
    <w:semiHidden/>
    <w:rsid w:val="00834FBA"/>
    <w:pPr>
      <w:shd w:val="clear" w:color="auto" w:fill="000080"/>
    </w:pPr>
    <w:rPr>
      <w:rFonts w:ascii="Tahoma" w:hAnsi="Tahoma"/>
    </w:rPr>
  </w:style>
  <w:style w:type="character" w:customStyle="1" w:styleId="DocumentMapChar">
    <w:name w:val="Document Map Char"/>
    <w:basedOn w:val="DefaultParagraphFont"/>
    <w:link w:val="DocumentMap"/>
    <w:uiPriority w:val="99"/>
    <w:semiHidden/>
    <w:rsid w:val="00834FBA"/>
    <w:rPr>
      <w:rFonts w:ascii="Tahoma" w:eastAsia="Times New Roman" w:hAnsi="Tahoma" w:cs="Times New Roman"/>
      <w:kern w:val="0"/>
      <w:sz w:val="21"/>
      <w:szCs w:val="20"/>
      <w:shd w:val="clear" w:color="auto" w:fill="000080"/>
      <w14:ligatures w14:val="none"/>
    </w:rPr>
  </w:style>
  <w:style w:type="character" w:customStyle="1" w:styleId="Style">
    <w:name w:val="Style"/>
    <w:basedOn w:val="CommentReference"/>
    <w:rsid w:val="00834FBA"/>
    <w:rPr>
      <w:rFonts w:ascii="Arial" w:hAnsi="Arial"/>
      <w:sz w:val="16"/>
      <w:szCs w:val="16"/>
    </w:rPr>
  </w:style>
  <w:style w:type="character" w:styleId="PlaceholderText">
    <w:name w:val="Placeholder Text"/>
    <w:basedOn w:val="DefaultParagraphFont"/>
    <w:uiPriority w:val="99"/>
    <w:semiHidden/>
    <w:rsid w:val="00834FBA"/>
    <w:rPr>
      <w:color w:val="808080"/>
    </w:rPr>
  </w:style>
  <w:style w:type="paragraph" w:styleId="BodyText2">
    <w:name w:val="Body Text 2"/>
    <w:basedOn w:val="Normal"/>
    <w:link w:val="BodyText2Char"/>
    <w:uiPriority w:val="99"/>
    <w:rsid w:val="00834FBA"/>
    <w:pPr>
      <w:tabs>
        <w:tab w:val="left" w:pos="960"/>
      </w:tabs>
      <w:spacing w:after="240" w:line="260" w:lineRule="exact"/>
      <w:ind w:left="965" w:hanging="360"/>
    </w:pPr>
  </w:style>
  <w:style w:type="character" w:customStyle="1" w:styleId="BodyText2Char">
    <w:name w:val="Body Text 2 Char"/>
    <w:basedOn w:val="DefaultParagraphFont"/>
    <w:link w:val="BodyText2"/>
    <w:uiPriority w:val="99"/>
    <w:rsid w:val="00834FBA"/>
    <w:rPr>
      <w:rFonts w:ascii="Arial" w:eastAsia="Times New Roman" w:hAnsi="Arial" w:cs="Times New Roman"/>
      <w:kern w:val="0"/>
      <w:sz w:val="21"/>
      <w:szCs w:val="20"/>
      <w14:ligatures w14:val="none"/>
    </w:rPr>
  </w:style>
  <w:style w:type="paragraph" w:customStyle="1" w:styleId="BodyText0">
    <w:name w:val="BodyText"/>
    <w:basedOn w:val="Normal"/>
    <w:uiPriority w:val="99"/>
    <w:rsid w:val="00834FBA"/>
    <w:pPr>
      <w:spacing w:before="60" w:after="60"/>
    </w:pPr>
  </w:style>
  <w:style w:type="paragraph" w:customStyle="1" w:styleId="marginsubhead0">
    <w:name w:val="marginsubhead"/>
    <w:basedOn w:val="Normal"/>
    <w:uiPriority w:val="99"/>
    <w:rsid w:val="00834FBA"/>
    <w:pPr>
      <w:ind w:left="216"/>
    </w:pPr>
    <w:rPr>
      <w:b/>
      <w:bCs/>
    </w:rPr>
  </w:style>
  <w:style w:type="paragraph" w:customStyle="1" w:styleId="a">
    <w:name w:val="_______"/>
    <w:basedOn w:val="TableText"/>
    <w:uiPriority w:val="99"/>
    <w:rsid w:val="00834FBA"/>
    <w:pPr>
      <w:jc w:val="center"/>
    </w:pPr>
  </w:style>
  <w:style w:type="paragraph" w:styleId="NormalWeb">
    <w:name w:val="Normal (Web)"/>
    <w:basedOn w:val="Normal"/>
    <w:uiPriority w:val="99"/>
    <w:unhideWhenUsed/>
    <w:rsid w:val="00834FBA"/>
    <w:pPr>
      <w:spacing w:before="100" w:beforeAutospacing="1" w:after="100" w:afterAutospacing="1"/>
    </w:pPr>
    <w:rPr>
      <w:rFonts w:ascii="Times New Roman" w:hAnsi="Times New Roman"/>
      <w:sz w:val="24"/>
    </w:rPr>
  </w:style>
  <w:style w:type="character" w:customStyle="1" w:styleId="hilite1">
    <w:name w:val="hilite1"/>
    <w:basedOn w:val="DefaultParagraphFont"/>
    <w:rsid w:val="00834FBA"/>
    <w:rPr>
      <w:b/>
      <w:bCs/>
      <w:color w:val="CC0000"/>
    </w:rPr>
  </w:style>
  <w:style w:type="paragraph" w:customStyle="1" w:styleId="FootnoteTxt">
    <w:name w:val="Footnote Txt"/>
    <w:basedOn w:val="Note"/>
    <w:uiPriority w:val="99"/>
    <w:rsid w:val="00834FBA"/>
    <w:rPr>
      <w:i w:val="0"/>
    </w:rPr>
  </w:style>
  <w:style w:type="character" w:customStyle="1" w:styleId="searchcriteria">
    <w:name w:val="searchcriteria"/>
    <w:basedOn w:val="DefaultParagraphFont"/>
    <w:rsid w:val="00834FBA"/>
  </w:style>
  <w:style w:type="paragraph" w:customStyle="1" w:styleId="a10">
    <w:name w:val="a10"/>
    <w:basedOn w:val="Normal"/>
    <w:uiPriority w:val="99"/>
    <w:rsid w:val="00834FBA"/>
    <w:pPr>
      <w:spacing w:before="100" w:beforeAutospacing="1" w:after="100" w:afterAutospacing="1"/>
    </w:pPr>
    <w:rPr>
      <w:rFonts w:eastAsia="Arial Unicode MS" w:cs="Arial"/>
    </w:rPr>
  </w:style>
  <w:style w:type="paragraph" w:styleId="HTMLPreformatted">
    <w:name w:val="HTML Preformatted"/>
    <w:basedOn w:val="Normal"/>
    <w:link w:val="HTMLPreformattedChar"/>
    <w:uiPriority w:val="99"/>
    <w:rsid w:val="00834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834FBA"/>
    <w:rPr>
      <w:rFonts w:ascii="Courier New" w:eastAsia="Times New Roman" w:hAnsi="Courier New" w:cs="Courier New"/>
      <w:kern w:val="0"/>
      <w:sz w:val="21"/>
      <w:szCs w:val="20"/>
      <w14:ligatures w14:val="none"/>
    </w:rPr>
  </w:style>
  <w:style w:type="character" w:styleId="HTMLCite">
    <w:name w:val="HTML Cite"/>
    <w:basedOn w:val="DefaultParagraphFont"/>
    <w:rsid w:val="00834FBA"/>
    <w:rPr>
      <w:i/>
      <w:iCs/>
    </w:rPr>
  </w:style>
  <w:style w:type="paragraph" w:customStyle="1" w:styleId="Informal2">
    <w:name w:val="Informal2"/>
    <w:basedOn w:val="Normal"/>
    <w:uiPriority w:val="99"/>
    <w:rsid w:val="00834FBA"/>
    <w:pPr>
      <w:spacing w:before="60" w:after="60"/>
    </w:pPr>
    <w:rPr>
      <w:b/>
      <w:noProof/>
    </w:rPr>
  </w:style>
  <w:style w:type="paragraph" w:customStyle="1" w:styleId="Pa36">
    <w:name w:val="Pa36"/>
    <w:basedOn w:val="Normal"/>
    <w:next w:val="Normal"/>
    <w:uiPriority w:val="99"/>
    <w:rsid w:val="00834FBA"/>
    <w:pPr>
      <w:autoSpaceDE w:val="0"/>
      <w:autoSpaceDN w:val="0"/>
      <w:adjustRightInd w:val="0"/>
      <w:spacing w:line="241" w:lineRule="atLeast"/>
    </w:pPr>
    <w:rPr>
      <w:rFonts w:ascii="Times" w:hAnsi="Times"/>
      <w:sz w:val="24"/>
    </w:rPr>
  </w:style>
  <w:style w:type="paragraph" w:customStyle="1" w:styleId="size2">
    <w:name w:val="size2"/>
    <w:basedOn w:val="Normal"/>
    <w:rsid w:val="00834FBA"/>
    <w:pPr>
      <w:spacing w:before="100" w:beforeAutospacing="1" w:after="100" w:afterAutospacing="1"/>
    </w:pPr>
    <w:rPr>
      <w:rFonts w:ascii="Times" w:eastAsiaTheme="minorEastAsia" w:hAnsi="Times"/>
    </w:rPr>
  </w:style>
  <w:style w:type="paragraph" w:customStyle="1" w:styleId="Heading2NOTOC">
    <w:name w:val="Heading2NOTOC"/>
    <w:basedOn w:val="Heading2"/>
    <w:uiPriority w:val="99"/>
    <w:rsid w:val="00834FBA"/>
    <w:rPr>
      <w:b w:val="0"/>
      <w:i w:val="0"/>
    </w:rPr>
  </w:style>
  <w:style w:type="paragraph" w:customStyle="1" w:styleId="FrontPage">
    <w:name w:val="Front Page"/>
    <w:uiPriority w:val="99"/>
    <w:rsid w:val="00834FBA"/>
    <w:pPr>
      <w:widowControl w:val="0"/>
      <w:pBdr>
        <w:bottom w:val="single" w:sz="4" w:space="1" w:color="auto"/>
      </w:pBdr>
      <w:tabs>
        <w:tab w:val="right" w:pos="9720"/>
      </w:tabs>
    </w:pPr>
    <w:rPr>
      <w:rFonts w:ascii="Arial Narrow" w:hAnsi="Arial Narrow"/>
      <w:i/>
      <w:sz w:val="48"/>
      <w:szCs w:val="19"/>
    </w:rPr>
  </w:style>
  <w:style w:type="paragraph" w:styleId="ListBullet">
    <w:name w:val="List Bullet"/>
    <w:basedOn w:val="Normal"/>
    <w:unhideWhenUsed/>
    <w:rsid w:val="00834FBA"/>
    <w:pPr>
      <w:tabs>
        <w:tab w:val="num" w:pos="360"/>
      </w:tabs>
      <w:ind w:left="360" w:hanging="360"/>
      <w:contextualSpacing/>
    </w:pPr>
  </w:style>
  <w:style w:type="paragraph" w:customStyle="1" w:styleId="tabletext0">
    <w:name w:val="tabletext"/>
    <w:basedOn w:val="Normal"/>
    <w:rsid w:val="00834FBA"/>
    <w:pPr>
      <w:spacing w:before="40" w:after="40" w:line="200" w:lineRule="atLeast"/>
    </w:pPr>
    <w:rPr>
      <w:rFonts w:ascii="Arial Narrow" w:hAnsi="Arial Narrow"/>
      <w:sz w:val="19"/>
      <w:szCs w:val="19"/>
    </w:rPr>
  </w:style>
  <w:style w:type="paragraph" w:customStyle="1" w:styleId="Docu-Exp-ScopeText">
    <w:name w:val="Docu-Exp-Scope Text"/>
    <w:basedOn w:val="Normal"/>
    <w:link w:val="Docu-Exp-ScopeTextChar"/>
    <w:rsid w:val="00834FBA"/>
    <w:pPr>
      <w:spacing w:line="220" w:lineRule="exact"/>
      <w:ind w:left="58"/>
    </w:pPr>
  </w:style>
  <w:style w:type="character" w:customStyle="1" w:styleId="Docu-Exp-ScopeTextChar">
    <w:name w:val="Docu-Exp-Scope Text Char"/>
    <w:basedOn w:val="DefaultParagraphFont"/>
    <w:link w:val="Docu-Exp-ScopeText"/>
    <w:rsid w:val="00834FBA"/>
    <w:rPr>
      <w:rFonts w:ascii="Arial" w:eastAsia="Times New Roman" w:hAnsi="Arial" w:cs="Times New Roman"/>
      <w:kern w:val="0"/>
      <w:sz w:val="21"/>
      <w:szCs w:val="20"/>
      <w14:ligatures w14:val="none"/>
    </w:rPr>
  </w:style>
  <w:style w:type="paragraph" w:customStyle="1" w:styleId="ScoringText">
    <w:name w:val="Scoring Text"/>
    <w:basedOn w:val="Normal"/>
    <w:rsid w:val="00834FBA"/>
    <w:pPr>
      <w:spacing w:before="40" w:after="40" w:line="200" w:lineRule="exact"/>
      <w:jc w:val="center"/>
    </w:pPr>
  </w:style>
  <w:style w:type="paragraph" w:customStyle="1" w:styleId="BulletBold">
    <w:name w:val="Bullet + Bold"/>
    <w:basedOn w:val="Bullet"/>
    <w:rsid w:val="00834FBA"/>
    <w:pPr>
      <w:numPr>
        <w:numId w:val="10"/>
      </w:numPr>
      <w:tabs>
        <w:tab w:val="clear" w:pos="720"/>
        <w:tab w:val="num" w:pos="0"/>
        <w:tab w:val="num" w:pos="360"/>
      </w:tabs>
      <w:spacing w:before="0"/>
      <w:ind w:left="576" w:hanging="216"/>
    </w:pPr>
    <w:rPr>
      <w:b/>
    </w:rPr>
  </w:style>
  <w:style w:type="character" w:customStyle="1" w:styleId="apple-converted-space">
    <w:name w:val="apple-converted-space"/>
    <w:basedOn w:val="DefaultParagraphFont"/>
    <w:rsid w:val="00834FBA"/>
  </w:style>
  <w:style w:type="character" w:styleId="UnresolvedMention">
    <w:name w:val="Unresolved Mention"/>
    <w:basedOn w:val="DefaultParagraphFont"/>
    <w:uiPriority w:val="99"/>
    <w:unhideWhenUsed/>
    <w:rsid w:val="00834FBA"/>
    <w:rPr>
      <w:color w:val="808080"/>
      <w:shd w:val="clear" w:color="auto" w:fill="E6E6E6"/>
    </w:rPr>
  </w:style>
  <w:style w:type="character" w:customStyle="1" w:styleId="Style3">
    <w:name w:val="Style3"/>
    <w:basedOn w:val="DefaultParagraphFont"/>
    <w:uiPriority w:val="1"/>
    <w:rsid w:val="00834FBA"/>
    <w:rPr>
      <w:rFonts w:ascii="Arial" w:hAnsi="Arial"/>
      <w:b/>
      <w:sz w:val="20"/>
    </w:rPr>
  </w:style>
  <w:style w:type="character" w:customStyle="1" w:styleId="Style5">
    <w:name w:val="Style5"/>
    <w:basedOn w:val="DefaultParagraphFont"/>
    <w:uiPriority w:val="1"/>
    <w:rsid w:val="00834FBA"/>
    <w:rPr>
      <w:rFonts w:ascii="Arial" w:hAnsi="Arial"/>
      <w:b/>
      <w:sz w:val="24"/>
    </w:rPr>
  </w:style>
  <w:style w:type="character" w:customStyle="1" w:styleId="Style6">
    <w:name w:val="Style6"/>
    <w:basedOn w:val="DefaultParagraphFont"/>
    <w:uiPriority w:val="1"/>
    <w:rsid w:val="00834FBA"/>
    <w:rPr>
      <w:rFonts w:ascii="Arial" w:hAnsi="Arial"/>
      <w:b/>
      <w:sz w:val="18"/>
    </w:rPr>
  </w:style>
  <w:style w:type="character" w:customStyle="1" w:styleId="MainHeadline">
    <w:name w:val="Main Headline"/>
    <w:basedOn w:val="DefaultParagraphFont"/>
    <w:rsid w:val="00834FBA"/>
    <w:rPr>
      <w:rFonts w:ascii="Arial" w:hAnsi="Arial"/>
      <w:b/>
      <w:bCs/>
      <w:sz w:val="24"/>
    </w:rPr>
  </w:style>
  <w:style w:type="character" w:customStyle="1" w:styleId="MarginHeadChar">
    <w:name w:val="Margin Head Char"/>
    <w:basedOn w:val="DefaultParagraphFont"/>
    <w:link w:val="MarginHead"/>
    <w:rsid w:val="00834FBA"/>
    <w:rPr>
      <w:b/>
      <w:sz w:val="22"/>
    </w:rPr>
  </w:style>
  <w:style w:type="paragraph" w:customStyle="1" w:styleId="DocuDash">
    <w:name w:val="Docu Dash"/>
    <w:basedOn w:val="Normal"/>
    <w:rsid w:val="00834FBA"/>
    <w:pPr>
      <w:spacing w:before="30" w:line="220" w:lineRule="exact"/>
      <w:ind w:left="1440" w:hanging="360"/>
    </w:pPr>
  </w:style>
  <w:style w:type="paragraph" w:customStyle="1" w:styleId="DocuHead">
    <w:name w:val="Docu Head"/>
    <w:basedOn w:val="Docu-Exp-ScopeText"/>
    <w:link w:val="DocuHeadChar"/>
    <w:rsid w:val="00834FBA"/>
    <w:pPr>
      <w:spacing w:before="200"/>
      <w:outlineLvl w:val="5"/>
    </w:pPr>
    <w:rPr>
      <w:b/>
      <w:bCs/>
    </w:rPr>
  </w:style>
  <w:style w:type="character" w:customStyle="1" w:styleId="DocuHeadChar">
    <w:name w:val="Docu Head Char"/>
    <w:basedOn w:val="Docu-Exp-ScopeTextChar"/>
    <w:link w:val="DocuHead"/>
    <w:rsid w:val="00834FBA"/>
    <w:rPr>
      <w:rFonts w:ascii="Arial" w:eastAsia="Times New Roman" w:hAnsi="Arial" w:cs="Times New Roman"/>
      <w:b/>
      <w:bCs/>
      <w:kern w:val="0"/>
      <w:sz w:val="21"/>
      <w:szCs w:val="20"/>
      <w14:ligatures w14:val="none"/>
    </w:rPr>
  </w:style>
  <w:style w:type="paragraph" w:customStyle="1" w:styleId="para1">
    <w:name w:val="para 1"/>
    <w:basedOn w:val="Normal"/>
    <w:link w:val="para1Char"/>
    <w:rsid w:val="00834FBA"/>
    <w:pPr>
      <w:spacing w:before="200" w:line="220" w:lineRule="exact"/>
      <w:ind w:left="58"/>
    </w:pPr>
  </w:style>
  <w:style w:type="character" w:customStyle="1" w:styleId="para1Char">
    <w:name w:val="para 1 Char"/>
    <w:basedOn w:val="DefaultParagraphFont"/>
    <w:link w:val="para1"/>
    <w:rsid w:val="00834FBA"/>
    <w:rPr>
      <w:rFonts w:ascii="Arial" w:eastAsia="Times New Roman" w:hAnsi="Arial" w:cs="Times New Roman"/>
      <w:kern w:val="0"/>
      <w:sz w:val="21"/>
      <w:szCs w:val="20"/>
      <w14:ligatures w14:val="none"/>
    </w:rPr>
  </w:style>
  <w:style w:type="paragraph" w:customStyle="1" w:styleId="StyleElementTextBefore6ptAfter0pt">
    <w:name w:val="Style Element Text + Before:  6 pt After:  0 pt"/>
    <w:basedOn w:val="Normal"/>
    <w:rsid w:val="00834FBA"/>
    <w:pPr>
      <w:spacing w:line="220" w:lineRule="exact"/>
      <w:ind w:left="58" w:right="58"/>
    </w:pPr>
    <w:rPr>
      <w:b/>
      <w:bCs/>
    </w:rPr>
  </w:style>
  <w:style w:type="paragraph" w:customStyle="1" w:styleId="TableBodyBullet">
    <w:name w:val="Table Body Bullet"/>
    <w:basedOn w:val="Normal"/>
    <w:rsid w:val="00834FBA"/>
    <w:pPr>
      <w:tabs>
        <w:tab w:val="num" w:pos="0"/>
      </w:tabs>
      <w:spacing w:after="60" w:line="216" w:lineRule="auto"/>
      <w:ind w:left="792" w:hanging="216"/>
    </w:pPr>
    <w:rPr>
      <w:rFonts w:ascii="Arial Narrow" w:hAnsi="Arial Narrow"/>
    </w:rPr>
  </w:style>
  <w:style w:type="paragraph" w:customStyle="1" w:styleId="CompText">
    <w:name w:val="Comp Text"/>
    <w:basedOn w:val="Normal"/>
    <w:rsid w:val="00834FBA"/>
    <w:pPr>
      <w:spacing w:after="120"/>
      <w:ind w:left="720" w:right="1152"/>
    </w:pPr>
    <w:rPr>
      <w:i/>
    </w:rPr>
  </w:style>
  <w:style w:type="character" w:customStyle="1" w:styleId="H1">
    <w:name w:val="H1"/>
    <w:basedOn w:val="DefaultParagraphFont"/>
    <w:uiPriority w:val="1"/>
    <w:rsid w:val="00834FBA"/>
    <w:rPr>
      <w:rFonts w:ascii="Arial" w:hAnsi="Arial"/>
      <w:b/>
    </w:rPr>
  </w:style>
  <w:style w:type="character" w:customStyle="1" w:styleId="PrimaryMessage">
    <w:name w:val="Primary Message"/>
    <w:basedOn w:val="DefaultParagraphFont"/>
    <w:uiPriority w:val="1"/>
    <w:rsid w:val="00834FBA"/>
    <w:rPr>
      <w:rFonts w:ascii="Arial" w:hAnsi="Arial"/>
      <w:sz w:val="20"/>
    </w:rPr>
  </w:style>
  <w:style w:type="character" w:customStyle="1" w:styleId="Style2">
    <w:name w:val="Style2"/>
    <w:basedOn w:val="DefaultParagraphFont"/>
    <w:uiPriority w:val="1"/>
    <w:rsid w:val="00834FBA"/>
    <w:rPr>
      <w:rFonts w:ascii="Arial" w:hAnsi="Arial"/>
      <w:sz w:val="20"/>
    </w:rPr>
  </w:style>
  <w:style w:type="character" w:customStyle="1" w:styleId="Style4">
    <w:name w:val="Style4"/>
    <w:basedOn w:val="DefaultParagraphFont"/>
    <w:uiPriority w:val="1"/>
    <w:rsid w:val="00834FBA"/>
    <w:rPr>
      <w:rFonts w:ascii="Arial" w:hAnsi="Arial"/>
      <w:b/>
      <w:sz w:val="22"/>
    </w:rPr>
  </w:style>
  <w:style w:type="paragraph" w:customStyle="1" w:styleId="TableBody">
    <w:name w:val="Table Body"/>
    <w:basedOn w:val="Normal"/>
    <w:rsid w:val="00834FBA"/>
    <w:pPr>
      <w:spacing w:before="80" w:after="80"/>
    </w:pPr>
  </w:style>
  <w:style w:type="character" w:customStyle="1" w:styleId="DropDown">
    <w:name w:val="DropDown"/>
    <w:basedOn w:val="DefaultParagraphFont"/>
    <w:uiPriority w:val="1"/>
    <w:rsid w:val="00834FBA"/>
    <w:rPr>
      <w:rFonts w:ascii="Arial" w:hAnsi="Arial"/>
      <w:b/>
      <w:sz w:val="18"/>
    </w:rPr>
  </w:style>
  <w:style w:type="character" w:customStyle="1" w:styleId="Structure">
    <w:name w:val="Structure"/>
    <w:basedOn w:val="DefaultParagraphFont"/>
    <w:uiPriority w:val="1"/>
    <w:rsid w:val="00834FBA"/>
    <w:rPr>
      <w:rFonts w:ascii="Arial" w:hAnsi="Arial"/>
      <w:b/>
      <w:sz w:val="18"/>
    </w:rPr>
  </w:style>
  <w:style w:type="character" w:customStyle="1" w:styleId="Style7">
    <w:name w:val="Style7"/>
    <w:basedOn w:val="DefaultParagraphFont"/>
    <w:uiPriority w:val="1"/>
    <w:rsid w:val="00834FBA"/>
    <w:rPr>
      <w:rFonts w:ascii="Arial" w:hAnsi="Arial"/>
      <w:b/>
      <w:sz w:val="18"/>
    </w:rPr>
  </w:style>
  <w:style w:type="paragraph" w:customStyle="1" w:styleId="StyleProcessBulletBefore3pt">
    <w:name w:val="Style Process Bullet + Before:  3 pt"/>
    <w:basedOn w:val="ProcessBullet"/>
    <w:rsid w:val="00834FBA"/>
    <w:pPr>
      <w:numPr>
        <w:numId w:val="0"/>
      </w:numPr>
      <w:ind w:left="216" w:hanging="216"/>
    </w:pPr>
    <w:rPr>
      <w:szCs w:val="20"/>
    </w:rPr>
  </w:style>
  <w:style w:type="paragraph" w:customStyle="1" w:styleId="AuditTimeline">
    <w:name w:val="Audit Timeline"/>
    <w:basedOn w:val="TableHead"/>
    <w:rsid w:val="00834FBA"/>
    <w:rPr>
      <w:color w:val="auto"/>
    </w:rPr>
  </w:style>
  <w:style w:type="character" w:styleId="Mention">
    <w:name w:val="Mention"/>
    <w:basedOn w:val="DefaultParagraphFont"/>
    <w:uiPriority w:val="99"/>
    <w:unhideWhenUsed/>
    <w:rsid w:val="00834FBA"/>
    <w:rPr>
      <w:color w:val="2B579A"/>
      <w:shd w:val="clear" w:color="auto" w:fill="E1DFDD"/>
    </w:rPr>
  </w:style>
  <w:style w:type="paragraph" w:customStyle="1" w:styleId="StyleProcessBulletBold">
    <w:name w:val="Style Process Bullet + Bold"/>
    <w:basedOn w:val="ProcessBullet"/>
    <w:rsid w:val="00834FBA"/>
    <w:pPr>
      <w:numPr>
        <w:numId w:val="13"/>
      </w:numPr>
      <w:tabs>
        <w:tab w:val="num" w:pos="360"/>
      </w:tabs>
      <w:ind w:left="216" w:hanging="216"/>
    </w:pPr>
    <w:rPr>
      <w:b/>
      <w:bCs/>
    </w:rPr>
  </w:style>
  <w:style w:type="paragraph" w:customStyle="1" w:styleId="StyleBulletItalic">
    <w:name w:val="Style Bullet + Italic"/>
    <w:basedOn w:val="Bullet"/>
    <w:uiPriority w:val="99"/>
    <w:rsid w:val="00834FBA"/>
    <w:pPr>
      <w:numPr>
        <w:numId w:val="0"/>
      </w:numPr>
      <w:ind w:left="576" w:hanging="216"/>
    </w:pPr>
    <w:rPr>
      <w:i/>
      <w:iCs/>
    </w:rPr>
  </w:style>
  <w:style w:type="paragraph" w:customStyle="1" w:styleId="paragraph">
    <w:name w:val="paragraph"/>
    <w:basedOn w:val="Normal"/>
    <w:rsid w:val="00834FBA"/>
    <w:pPr>
      <w:spacing w:before="100" w:beforeAutospacing="1" w:after="100" w:afterAutospacing="1"/>
    </w:pPr>
    <w:rPr>
      <w:rFonts w:ascii="Times New Roman" w:hAnsi="Times New Roman"/>
      <w:sz w:val="24"/>
      <w:szCs w:val="24"/>
    </w:rPr>
  </w:style>
  <w:style w:type="character" w:customStyle="1" w:styleId="eop">
    <w:name w:val="eop"/>
    <w:basedOn w:val="DefaultParagraphFont"/>
    <w:rsid w:val="00834FBA"/>
  </w:style>
  <w:style w:type="character" w:customStyle="1" w:styleId="superscript">
    <w:name w:val="superscript"/>
    <w:basedOn w:val="DefaultParagraphFont"/>
    <w:rsid w:val="00834FBA"/>
  </w:style>
  <w:style w:type="table" w:customStyle="1" w:styleId="TableGrid1">
    <w:name w:val="Table Grid1"/>
    <w:basedOn w:val="TableNormal"/>
    <w:next w:val="TableGrid"/>
    <w:rsid w:val="00834FBA"/>
    <w:pPr>
      <w:spacing w:before="180"/>
    </w:pPr>
    <w:rPr>
      <w:sz w:val="2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x">
    <w:name w:val="Box"/>
    <w:basedOn w:val="Dash"/>
    <w:qFormat/>
    <w:rsid w:val="0073598A"/>
    <w:pPr>
      <w:numPr>
        <w:numId w:val="32"/>
      </w:numPr>
      <w:tabs>
        <w:tab w:val="left" w:pos="1008"/>
      </w:tabs>
    </w:pPr>
  </w:style>
  <w:style w:type="paragraph" w:customStyle="1" w:styleId="SubHeadNoTOC">
    <w:name w:val="Sub Head No TOC"/>
    <w:basedOn w:val="SubHead"/>
    <w:qFormat/>
    <w:rsid w:val="00834FBA"/>
    <w:rPr>
      <w:iCs/>
    </w:rPr>
  </w:style>
  <w:style w:type="paragraph" w:customStyle="1" w:styleId="ECDSMarginSubhead">
    <w:name w:val="ECDS Margin Subhead"/>
    <w:basedOn w:val="SquareBullet"/>
    <w:qFormat/>
    <w:rsid w:val="002A5E56"/>
    <w:pPr>
      <w:numPr>
        <w:numId w:val="0"/>
      </w:numPr>
      <w:spacing w:before="120" w:after="80"/>
    </w:pPr>
    <w:rPr>
      <w:b/>
      <w:bCs w:val="0"/>
      <w:sz w:val="22"/>
    </w:rPr>
  </w:style>
  <w:style w:type="paragraph" w:customStyle="1" w:styleId="ECDSBody">
    <w:name w:val="ECDS Body"/>
    <w:basedOn w:val="ECDSMarginSubhead"/>
    <w:qFormat/>
    <w:rsid w:val="002A5E56"/>
    <w:rPr>
      <w:b w:val="0"/>
      <w:bCs/>
      <w:sz w:val="21"/>
    </w:rPr>
  </w:style>
  <w:style w:type="paragraph" w:customStyle="1" w:styleId="StyleSubHead9ptLinespacingDouble">
    <w:name w:val="Style Sub Head + 9 pt Line spacing:  Double"/>
    <w:basedOn w:val="SubHead"/>
    <w:rsid w:val="00834FBA"/>
    <w:rPr>
      <w:bCs/>
      <w:sz w:val="18"/>
    </w:rPr>
  </w:style>
  <w:style w:type="paragraph" w:customStyle="1" w:styleId="StyleBulletBefore3pt">
    <w:name w:val="Style Bullet + Before:  3 pt"/>
    <w:basedOn w:val="Bullet"/>
    <w:uiPriority w:val="99"/>
    <w:rsid w:val="00834FBA"/>
    <w:pPr>
      <w:numPr>
        <w:numId w:val="0"/>
      </w:numPr>
      <w:tabs>
        <w:tab w:val="left" w:pos="360"/>
        <w:tab w:val="left" w:pos="576"/>
      </w:tabs>
      <w:spacing w:before="60"/>
      <w:ind w:left="576" w:hanging="216"/>
    </w:pPr>
    <w:rPr>
      <w:szCs w:val="20"/>
    </w:rPr>
  </w:style>
  <w:style w:type="character" w:customStyle="1" w:styleId="ListParagraphChar">
    <w:name w:val="List Paragraph Char"/>
    <w:aliases w:val="List Paragraph Bullet Char"/>
    <w:basedOn w:val="DefaultParagraphFont"/>
    <w:link w:val="ListParagraph"/>
    <w:uiPriority w:val="34"/>
    <w:locked/>
    <w:rsid w:val="00834FBA"/>
  </w:style>
  <w:style w:type="paragraph" w:customStyle="1" w:styleId="Dash2">
    <w:name w:val="Dash2"/>
    <w:basedOn w:val="Dash"/>
    <w:rsid w:val="00834FBA"/>
    <w:pPr>
      <w:numPr>
        <w:numId w:val="0"/>
      </w:numPr>
      <w:tabs>
        <w:tab w:val="left" w:pos="576"/>
        <w:tab w:val="left" w:pos="792"/>
      </w:tabs>
      <w:spacing w:before="0"/>
      <w:ind w:left="1080" w:hanging="216"/>
    </w:pPr>
  </w:style>
  <w:style w:type="paragraph" w:customStyle="1" w:styleId="SUbhead0">
    <w:name w:val="SUbhead"/>
    <w:basedOn w:val="Note"/>
    <w:uiPriority w:val="99"/>
    <w:rsid w:val="00834FBA"/>
    <w:rPr>
      <w:b/>
    </w:rPr>
  </w:style>
  <w:style w:type="paragraph" w:customStyle="1" w:styleId="Name">
    <w:name w:val="Name"/>
    <w:basedOn w:val="Normal"/>
    <w:rsid w:val="00834FBA"/>
    <w:pPr>
      <w:spacing w:after="200" w:line="276" w:lineRule="auto"/>
    </w:pPr>
    <w:rPr>
      <w:b/>
      <w:sz w:val="32"/>
      <w:szCs w:val="32"/>
    </w:rPr>
  </w:style>
  <w:style w:type="paragraph" w:customStyle="1" w:styleId="RFPNumber">
    <w:name w:val="RFP Number"/>
    <w:basedOn w:val="Normal"/>
    <w:rsid w:val="00834FBA"/>
    <w:pPr>
      <w:tabs>
        <w:tab w:val="right" w:pos="10080"/>
      </w:tabs>
      <w:autoSpaceDE w:val="0"/>
      <w:autoSpaceDN w:val="0"/>
      <w:adjustRightInd w:val="0"/>
      <w:spacing w:after="360"/>
    </w:pPr>
    <w:rPr>
      <w:b/>
      <w:bCs/>
      <w:color w:val="000000"/>
    </w:rPr>
  </w:style>
  <w:style w:type="paragraph" w:customStyle="1" w:styleId="JobDescription">
    <w:name w:val="Job Description"/>
    <w:basedOn w:val="Normal"/>
    <w:rsid w:val="00834FBA"/>
    <w:pPr>
      <w:pBdr>
        <w:top w:val="single" w:sz="6" w:space="1" w:color="auto"/>
        <w:bottom w:val="single" w:sz="6" w:space="1" w:color="auto"/>
      </w:pBdr>
      <w:spacing w:after="200" w:line="276" w:lineRule="auto"/>
    </w:pPr>
    <w:rPr>
      <w:b/>
      <w:sz w:val="24"/>
    </w:rPr>
  </w:style>
  <w:style w:type="paragraph" w:customStyle="1" w:styleId="Education">
    <w:name w:val="Education"/>
    <w:basedOn w:val="JobDescription"/>
    <w:rsid w:val="00834FBA"/>
    <w:pPr>
      <w:spacing w:before="240"/>
    </w:pPr>
  </w:style>
  <w:style w:type="paragraph" w:customStyle="1" w:styleId="EdDetails">
    <w:name w:val="EdDetails"/>
    <w:basedOn w:val="NoSpacing"/>
    <w:rsid w:val="00834FBA"/>
    <w:pPr>
      <w:spacing w:before="180" w:line="259" w:lineRule="auto"/>
      <w:ind w:left="720" w:hanging="720"/>
    </w:pPr>
    <w:rPr>
      <w:rFonts w:eastAsiaTheme="minorHAnsi" w:cs="Arial"/>
      <w:sz w:val="22"/>
      <w:szCs w:val="22"/>
    </w:rPr>
  </w:style>
  <w:style w:type="paragraph" w:customStyle="1" w:styleId="Experience">
    <w:name w:val="Experience"/>
    <w:basedOn w:val="Education"/>
    <w:rsid w:val="00834FBA"/>
  </w:style>
  <w:style w:type="paragraph" w:customStyle="1" w:styleId="ExperienceDetails">
    <w:name w:val="ExperienceDetails"/>
    <w:basedOn w:val="NoSpacing"/>
    <w:rsid w:val="00834FBA"/>
    <w:pPr>
      <w:spacing w:before="180" w:after="180" w:line="259" w:lineRule="auto"/>
    </w:pPr>
    <w:rPr>
      <w:rFonts w:eastAsiaTheme="minorHAnsi" w:cs="Arial"/>
      <w:sz w:val="22"/>
      <w:szCs w:val="22"/>
    </w:rPr>
  </w:style>
  <w:style w:type="paragraph" w:customStyle="1" w:styleId="FooterText">
    <w:name w:val="FooterText"/>
    <w:basedOn w:val="NoSpacing"/>
    <w:rsid w:val="00834FBA"/>
    <w:pPr>
      <w:pBdr>
        <w:top w:val="single" w:sz="12" w:space="1" w:color="auto"/>
      </w:pBdr>
      <w:spacing w:before="240"/>
      <w:jc w:val="center"/>
    </w:pPr>
    <w:rPr>
      <w:rFonts w:eastAsiaTheme="minorHAnsi" w:cs="Arial"/>
      <w:szCs w:val="22"/>
    </w:rPr>
  </w:style>
  <w:style w:type="paragraph" w:customStyle="1" w:styleId="IndentBullet">
    <w:name w:val="IndentBullet"/>
    <w:basedOn w:val="ListParagraph"/>
    <w:rsid w:val="00834FBA"/>
    <w:pPr>
      <w:numPr>
        <w:numId w:val="15"/>
      </w:numPr>
      <w:tabs>
        <w:tab w:val="num" w:pos="360"/>
      </w:tabs>
      <w:spacing w:before="120" w:after="120"/>
      <w:ind w:left="720" w:firstLine="0"/>
    </w:pPr>
    <w:rPr>
      <w:bCs/>
      <w:iCs/>
      <w:szCs w:val="24"/>
    </w:rPr>
  </w:style>
  <w:style w:type="paragraph" w:customStyle="1" w:styleId="sMatterBullet">
    <w:name w:val="sMatter Bullet"/>
    <w:basedOn w:val="ListParagraph"/>
    <w:link w:val="sMatterBulletChar"/>
    <w:rsid w:val="00834FBA"/>
    <w:pPr>
      <w:spacing w:before="80" w:after="80"/>
      <w:ind w:left="576" w:hanging="216"/>
      <w:contextualSpacing w:val="0"/>
    </w:pPr>
    <w:rPr>
      <w:rFonts w:ascii="Verdana" w:hAnsi="Verdana"/>
    </w:rPr>
  </w:style>
  <w:style w:type="character" w:customStyle="1" w:styleId="sMatterBulletChar">
    <w:name w:val="sMatter Bullet Char"/>
    <w:basedOn w:val="DefaultParagraphFont"/>
    <w:link w:val="sMatterBullet"/>
    <w:rsid w:val="00834FBA"/>
    <w:rPr>
      <w:rFonts w:ascii="Verdana" w:eastAsia="Times New Roman" w:hAnsi="Verdana" w:cs="Times New Roman"/>
      <w:kern w:val="0"/>
      <w:sz w:val="21"/>
      <w:szCs w:val="20"/>
      <w14:ligatures w14:val="none"/>
    </w:rPr>
  </w:style>
  <w:style w:type="paragraph" w:customStyle="1" w:styleId="BulletUnderline">
    <w:name w:val="Bullet + Underline"/>
    <w:aliases w:val="Before:  0 pt,Margin Subhead + Left:  0&quot;"/>
    <w:basedOn w:val="Bullet"/>
    <w:rsid w:val="00834FBA"/>
    <w:pPr>
      <w:numPr>
        <w:numId w:val="0"/>
      </w:numPr>
      <w:tabs>
        <w:tab w:val="left" w:pos="360"/>
        <w:tab w:val="left" w:pos="576"/>
      </w:tabs>
      <w:ind w:left="576" w:hanging="216"/>
    </w:pPr>
    <w:rPr>
      <w:szCs w:val="20"/>
      <w:u w:val="single"/>
    </w:rPr>
  </w:style>
  <w:style w:type="character" w:customStyle="1" w:styleId="findhit">
    <w:name w:val="findhit"/>
    <w:basedOn w:val="DefaultParagraphFont"/>
    <w:rsid w:val="00834FBA"/>
  </w:style>
  <w:style w:type="paragraph" w:customStyle="1" w:styleId="StyleBulletLeft04Hanging02Before9ptAfter">
    <w:name w:val="Style Bullet + Left:  0.4&quot; Hanging:  0.2&quot; Before:  9 pt After:  ..."/>
    <w:basedOn w:val="Bullet"/>
    <w:rsid w:val="00834FBA"/>
    <w:pPr>
      <w:numPr>
        <w:numId w:val="0"/>
      </w:numPr>
      <w:tabs>
        <w:tab w:val="left" w:pos="360"/>
        <w:tab w:val="left" w:pos="576"/>
      </w:tabs>
      <w:spacing w:before="40" w:after="40"/>
      <w:ind w:left="864" w:hanging="288"/>
    </w:pPr>
    <w:rPr>
      <w:szCs w:val="20"/>
    </w:rPr>
  </w:style>
  <w:style w:type="character" w:customStyle="1" w:styleId="ui-provider">
    <w:name w:val="ui-provider"/>
    <w:basedOn w:val="DefaultParagraphFont"/>
    <w:rsid w:val="00834FBA"/>
  </w:style>
  <w:style w:type="paragraph" w:customStyle="1" w:styleId="notextrun">
    <w:name w:val="notextrun"/>
    <w:basedOn w:val="Note"/>
    <w:rsid w:val="00834FBA"/>
    <w:rPr>
      <w:rFonts w:cs="Arial"/>
      <w:b/>
      <w:sz w:val="21"/>
      <w:szCs w:val="21"/>
    </w:rPr>
  </w:style>
  <w:style w:type="paragraph" w:customStyle="1" w:styleId="SubHeadN">
    <w:name w:val="Sub Head N"/>
    <w:basedOn w:val="SubHead"/>
    <w:rsid w:val="00834FBA"/>
    <w:pPr>
      <w:spacing w:before="240"/>
    </w:pPr>
    <w:rPr>
      <w:bCs/>
      <w:i/>
      <w:iCs/>
    </w:rPr>
  </w:style>
  <w:style w:type="table" w:styleId="GridTable4">
    <w:name w:val="Grid Table 4"/>
    <w:basedOn w:val="TableNormal"/>
    <w:uiPriority w:val="49"/>
    <w:rsid w:val="00834FB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1">
    <w:name w:val="Grid Table 41"/>
    <w:basedOn w:val="TableNormal"/>
    <w:next w:val="GridTable4"/>
    <w:uiPriority w:val="49"/>
    <w:rsid w:val="00834FBA"/>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customStyle="1" w:styleId="SubHeadChar">
    <w:name w:val="Sub Head Char"/>
    <w:basedOn w:val="DefaultParagraphFont"/>
    <w:rsid w:val="00834FBA"/>
    <w:rPr>
      <w:rFonts w:ascii="Arial" w:hAnsi="Arial"/>
      <w:b/>
      <w:sz w:val="22"/>
      <w:szCs w:val="24"/>
      <w:lang w:val="en-US" w:eastAsia="en-US" w:bidi="ar-SA"/>
    </w:rPr>
  </w:style>
  <w:style w:type="paragraph" w:customStyle="1" w:styleId="MarginSubheadBefore0pt">
    <w:name w:val="Margin Subhead + Before:  0 pt"/>
    <w:basedOn w:val="MarginSubhead"/>
    <w:rsid w:val="00834FBA"/>
    <w:pPr>
      <w:spacing w:before="0"/>
    </w:pPr>
  </w:style>
  <w:style w:type="paragraph" w:customStyle="1" w:styleId="MarginSubhead10pt">
    <w:name w:val="Margin Subhead + 10 pt"/>
    <w:basedOn w:val="MarginSubhead"/>
    <w:rsid w:val="00834FBA"/>
    <w:rPr>
      <w:sz w:val="20"/>
      <w:szCs w:val="21"/>
    </w:rPr>
  </w:style>
  <w:style w:type="character" w:customStyle="1" w:styleId="scxw46304852">
    <w:name w:val="scxw46304852"/>
    <w:basedOn w:val="DefaultParagraphFont"/>
    <w:rsid w:val="00834FBA"/>
  </w:style>
  <w:style w:type="character" w:customStyle="1" w:styleId="cf01">
    <w:name w:val="cf01"/>
    <w:basedOn w:val="DefaultParagraphFont"/>
    <w:rsid w:val="00834FBA"/>
    <w:rPr>
      <w:rFonts w:ascii="Segoe UI" w:hAnsi="Segoe UI" w:cs="Segoe UI" w:hint="default"/>
      <w:sz w:val="18"/>
      <w:szCs w:val="18"/>
    </w:rPr>
  </w:style>
  <w:style w:type="paragraph" w:customStyle="1" w:styleId="ProcessBulletFirstline0">
    <w:name w:val="Process Bullet + First line:  0&quot;"/>
    <w:basedOn w:val="ProcessBullet"/>
    <w:rsid w:val="00834FBA"/>
    <w:pPr>
      <w:numPr>
        <w:numId w:val="0"/>
      </w:numPr>
      <w:ind w:left="216"/>
    </w:pPr>
    <w:rPr>
      <w:iCs/>
    </w:rPr>
  </w:style>
  <w:style w:type="paragraph" w:customStyle="1" w:styleId="ProcessBulletSegoeUI">
    <w:name w:val="Process Bullet + Segoe UI"/>
    <w:aliases w:val="Custom Color(RGB(36,36,36)),Pattern: Clear (Custo..."/>
    <w:basedOn w:val="ProcessBullet"/>
    <w:rsid w:val="00834FBA"/>
    <w:pPr>
      <w:numPr>
        <w:numId w:val="0"/>
      </w:numPr>
      <w:spacing w:before="120"/>
      <w:ind w:left="216" w:hanging="216"/>
    </w:pPr>
    <w:rPr>
      <w:rFonts w:ascii="Segoe UI" w:hAnsi="Segoe UI" w:cs="Segoe UI"/>
      <w:color w:val="242424"/>
      <w:szCs w:val="21"/>
      <w:shd w:val="clear" w:color="auto" w:fill="E8EBFA"/>
    </w:rPr>
  </w:style>
  <w:style w:type="table" w:customStyle="1" w:styleId="PlainTable21">
    <w:name w:val="Plain Table 21"/>
    <w:basedOn w:val="TableNormal"/>
    <w:uiPriority w:val="99"/>
    <w:rsid w:val="00834FB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2">
    <w:name w:val="Table Grid2"/>
    <w:basedOn w:val="TableNormal"/>
    <w:next w:val="TableGrid"/>
    <w:rsid w:val="00834FBA"/>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ailStyle301">
    <w:name w:val="EmailStyle301"/>
    <w:basedOn w:val="DefaultParagraphFont"/>
    <w:semiHidden/>
    <w:rsid w:val="00834FBA"/>
    <w:rPr>
      <w:rFonts w:ascii="Courier New" w:hAnsi="Courier New"/>
      <w:b w:val="0"/>
      <w:bCs w:val="0"/>
      <w:i w:val="0"/>
      <w:iCs w:val="0"/>
      <w:strike w:val="0"/>
      <w:color w:val="auto"/>
      <w:sz w:val="20"/>
      <w:szCs w:val="20"/>
      <w:u w:val="none"/>
    </w:rPr>
  </w:style>
  <w:style w:type="paragraph" w:customStyle="1" w:styleId="tablebullet0">
    <w:name w:val="tablebullet"/>
    <w:basedOn w:val="Normal"/>
    <w:rsid w:val="00834FBA"/>
    <w:pPr>
      <w:tabs>
        <w:tab w:val="num" w:pos="216"/>
      </w:tabs>
      <w:spacing w:before="40" w:after="40" w:line="200" w:lineRule="atLeast"/>
      <w:ind w:left="216" w:hanging="216"/>
    </w:pPr>
    <w:rPr>
      <w:rFonts w:ascii="Arial Narrow" w:eastAsia="Calibri" w:hAnsi="Arial Narrow"/>
      <w:sz w:val="19"/>
      <w:szCs w:val="19"/>
    </w:rPr>
  </w:style>
  <w:style w:type="paragraph" w:customStyle="1" w:styleId="StyleProcessBullet10ptItalic">
    <w:name w:val="Style Process Bullet + 10 pt Italic"/>
    <w:basedOn w:val="ProcessBullet"/>
    <w:rsid w:val="00834FBA"/>
    <w:pPr>
      <w:numPr>
        <w:numId w:val="0"/>
      </w:numPr>
      <w:ind w:left="216" w:hanging="216"/>
    </w:pPr>
    <w:rPr>
      <w:i/>
      <w:iCs/>
    </w:rPr>
  </w:style>
  <w:style w:type="paragraph" w:customStyle="1" w:styleId="SubHeadItalic">
    <w:name w:val="Sub Head + Italic"/>
    <w:basedOn w:val="SubHead"/>
    <w:rsid w:val="00834FBA"/>
    <w:pPr>
      <w:spacing w:before="200"/>
    </w:pPr>
    <w:rPr>
      <w:i/>
      <w:iCs/>
    </w:rPr>
  </w:style>
  <w:style w:type="paragraph" w:customStyle="1" w:styleId="StyleProcessBulletBefore9pt">
    <w:name w:val="Style Process Bullet + Before:  9 pt"/>
    <w:basedOn w:val="ProcessBullet"/>
    <w:rsid w:val="00834FBA"/>
    <w:pPr>
      <w:numPr>
        <w:numId w:val="0"/>
      </w:numPr>
      <w:spacing w:before="180"/>
      <w:ind w:left="720" w:hanging="360"/>
    </w:pPr>
    <w:rPr>
      <w:szCs w:val="20"/>
    </w:rPr>
  </w:style>
  <w:style w:type="paragraph" w:customStyle="1" w:styleId="Normal11pt">
    <w:name w:val="Normal + 11 pt"/>
    <w:aliases w:val="Bold,Before:  18 pt,Top: (Single solid line,Auto,0.75 pt..."/>
    <w:basedOn w:val="Normal"/>
    <w:rsid w:val="00834FBA"/>
    <w:pPr>
      <w:pBdr>
        <w:top w:val="single" w:sz="6" w:space="2" w:color="auto"/>
        <w:left w:val="single" w:sz="6" w:space="2" w:color="auto"/>
        <w:bottom w:val="single" w:sz="6" w:space="2" w:color="auto"/>
        <w:right w:val="single" w:sz="6" w:space="2" w:color="auto"/>
      </w:pBdr>
      <w:shd w:val="clear" w:color="auto" w:fill="000000" w:themeFill="text1"/>
      <w:spacing w:before="360"/>
    </w:pPr>
    <w:rPr>
      <w:b/>
      <w:bCs/>
      <w:i/>
      <w:color w:val="FFFFFF" w:themeColor="background1"/>
      <w:sz w:val="22"/>
      <w:szCs w:val="22"/>
    </w:rPr>
  </w:style>
  <w:style w:type="paragraph" w:customStyle="1" w:styleId="commentcontentpara">
    <w:name w:val="commentcontentpara"/>
    <w:basedOn w:val="Normal"/>
    <w:rsid w:val="00834FBA"/>
    <w:pPr>
      <w:spacing w:before="100" w:beforeAutospacing="1" w:after="100" w:afterAutospacing="1"/>
    </w:pPr>
    <w:rPr>
      <w:rFonts w:ascii="Times New Roman" w:hAnsi="Times New Roman"/>
      <w:sz w:val="24"/>
    </w:rPr>
  </w:style>
  <w:style w:type="paragraph" w:customStyle="1" w:styleId="StyleBody10pt">
    <w:name w:val="Style Body + 10 pt"/>
    <w:basedOn w:val="Body"/>
    <w:rsid w:val="00834FBA"/>
  </w:style>
  <w:style w:type="paragraph" w:customStyle="1" w:styleId="StyleBullet10ptBefore3pt">
    <w:name w:val="Style Bullet + 10 pt Before:  3 pt"/>
    <w:basedOn w:val="Bullet"/>
    <w:rsid w:val="00834FBA"/>
    <w:pPr>
      <w:numPr>
        <w:numId w:val="0"/>
      </w:numPr>
      <w:tabs>
        <w:tab w:val="left" w:pos="360"/>
        <w:tab w:val="left" w:pos="576"/>
      </w:tabs>
      <w:spacing w:before="60"/>
      <w:ind w:left="576" w:hanging="216"/>
    </w:pPr>
    <w:rPr>
      <w:szCs w:val="20"/>
    </w:rPr>
  </w:style>
  <w:style w:type="paragraph" w:customStyle="1" w:styleId="Cl">
    <w:name w:val="Cl"/>
    <w:basedOn w:val="TableBullet"/>
    <w:rsid w:val="00834FBA"/>
    <w:pPr>
      <w:numPr>
        <w:numId w:val="0"/>
      </w:numPr>
      <w:tabs>
        <w:tab w:val="left" w:pos="158"/>
      </w:tabs>
      <w:spacing w:after="60"/>
      <w:ind w:left="158" w:hanging="158"/>
    </w:pPr>
    <w:rPr>
      <w:rFonts w:ascii="Times New Roman" w:hAnsi="Times New Roman"/>
      <w:sz w:val="24"/>
      <w:szCs w:val="19"/>
    </w:rPr>
  </w:style>
  <w:style w:type="paragraph" w:customStyle="1" w:styleId="TableParagraph">
    <w:name w:val="Table Paragraph"/>
    <w:basedOn w:val="Normal"/>
    <w:uiPriority w:val="1"/>
    <w:qFormat/>
    <w:rsid w:val="00834FBA"/>
  </w:style>
  <w:style w:type="character" w:styleId="SmartLink">
    <w:name w:val="Smart Link"/>
    <w:basedOn w:val="DefaultParagraphFont"/>
    <w:uiPriority w:val="99"/>
    <w:semiHidden/>
    <w:unhideWhenUsed/>
    <w:rsid w:val="00834FBA"/>
    <w:rPr>
      <w:color w:val="0000FF"/>
      <w:u w:val="single"/>
      <w:shd w:val="clear" w:color="auto" w:fill="F3F2F1"/>
    </w:rPr>
  </w:style>
  <w:style w:type="paragraph" w:customStyle="1" w:styleId="Subbullet">
    <w:name w:val="Subbullet"/>
    <w:basedOn w:val="ListParagraph"/>
    <w:rsid w:val="00834FBA"/>
    <w:pPr>
      <w:widowControl w:val="0"/>
      <w:numPr>
        <w:numId w:val="16"/>
      </w:numPr>
      <w:autoSpaceDE w:val="0"/>
      <w:autoSpaceDN w:val="0"/>
      <w:spacing w:before="40" w:after="40"/>
      <w:contextualSpacing w:val="0"/>
    </w:pPr>
    <w:rPr>
      <w:rFonts w:eastAsia="Arial" w:cs="Arial"/>
      <w:u w:color="000000"/>
    </w:rPr>
  </w:style>
  <w:style w:type="paragraph" w:customStyle="1" w:styleId="ProcessDashBlack">
    <w:name w:val="Process Dash + Black"/>
    <w:basedOn w:val="ProcessDash"/>
    <w:rsid w:val="00834FBA"/>
    <w:pPr>
      <w:numPr>
        <w:numId w:val="0"/>
      </w:numPr>
      <w:tabs>
        <w:tab w:val="clear" w:pos="432"/>
      </w:tabs>
      <w:spacing w:before="30"/>
      <w:ind w:left="432" w:hanging="216"/>
    </w:pPr>
    <w:rPr>
      <w:color w:val="000000"/>
    </w:rPr>
  </w:style>
  <w:style w:type="paragraph" w:customStyle="1" w:styleId="StyleBodyLato135ptBlack">
    <w:name w:val="Style Body + Lato 13.5 pt Black"/>
    <w:basedOn w:val="Body"/>
    <w:rsid w:val="00834FBA"/>
    <w:rPr>
      <w:color w:val="000000"/>
    </w:rPr>
  </w:style>
  <w:style w:type="character" w:customStyle="1" w:styleId="StyleStrongLato135ptBlack">
    <w:name w:val="Style Strong + Lato 13.5 pt Black"/>
    <w:basedOn w:val="Strong"/>
    <w:rsid w:val="00834FBA"/>
    <w:rPr>
      <w:rFonts w:ascii="Arial" w:hAnsi="Arial"/>
      <w:b/>
      <w:bCs w:val="0"/>
      <w:color w:val="000000"/>
      <w:sz w:val="21"/>
    </w:rPr>
  </w:style>
  <w:style w:type="paragraph" w:customStyle="1" w:styleId="list-unstyled">
    <w:name w:val="list-unstyled"/>
    <w:basedOn w:val="Normal"/>
    <w:link w:val="list-unstyledChar"/>
    <w:rsid w:val="00834FBA"/>
    <w:pPr>
      <w:spacing w:before="100" w:beforeAutospacing="1" w:after="100" w:afterAutospacing="1"/>
    </w:pPr>
    <w:rPr>
      <w:rFonts w:ascii="Times New Roman" w:hAnsi="Times New Roman"/>
      <w:sz w:val="24"/>
      <w:szCs w:val="24"/>
    </w:rPr>
  </w:style>
  <w:style w:type="character" w:customStyle="1" w:styleId="list-unstyledChar">
    <w:name w:val="list-unstyled Char"/>
    <w:basedOn w:val="DefaultParagraphFont"/>
    <w:link w:val="list-unstyled"/>
    <w:rsid w:val="00834FBA"/>
    <w:rPr>
      <w:rFonts w:ascii="Times New Roman" w:eastAsia="Times New Roman" w:hAnsi="Times New Roman" w:cs="Times New Roman"/>
      <w:kern w:val="0"/>
      <w:sz w:val="24"/>
      <w:szCs w:val="24"/>
      <w14:ligatures w14:val="none"/>
    </w:rPr>
  </w:style>
  <w:style w:type="paragraph" w:customStyle="1" w:styleId="Heading">
    <w:name w:val="Heading"/>
    <w:basedOn w:val="Header"/>
    <w:uiPriority w:val="99"/>
    <w:rsid w:val="00834FBA"/>
    <w:pPr>
      <w:jc w:val="right"/>
    </w:pPr>
  </w:style>
  <w:style w:type="paragraph" w:customStyle="1" w:styleId="BATnumber">
    <w:name w:val="BAT number"/>
    <w:basedOn w:val="Body"/>
    <w:uiPriority w:val="99"/>
    <w:rsid w:val="00834FBA"/>
    <w:pPr>
      <w:ind w:left="360" w:hanging="360"/>
    </w:pPr>
  </w:style>
  <w:style w:type="character" w:customStyle="1" w:styleId="Keyboard">
    <w:name w:val="Keyboard"/>
    <w:rsid w:val="00834FBA"/>
    <w:rPr>
      <w:rFonts w:ascii="Courier New" w:hAnsi="Courier New"/>
      <w:b/>
      <w:sz w:val="20"/>
    </w:rPr>
  </w:style>
  <w:style w:type="character" w:customStyle="1" w:styleId="citation">
    <w:name w:val="citation"/>
    <w:basedOn w:val="DefaultParagraphFont"/>
    <w:rsid w:val="00834FBA"/>
  </w:style>
  <w:style w:type="character" w:customStyle="1" w:styleId="ref-journal">
    <w:name w:val="ref-journal"/>
    <w:basedOn w:val="DefaultParagraphFont"/>
    <w:rsid w:val="00834FBA"/>
  </w:style>
  <w:style w:type="character" w:customStyle="1" w:styleId="ref-vol">
    <w:name w:val="ref-vol"/>
    <w:basedOn w:val="DefaultParagraphFont"/>
    <w:rsid w:val="00834FBA"/>
  </w:style>
  <w:style w:type="paragraph" w:customStyle="1" w:styleId="Pa0">
    <w:name w:val="Pa0"/>
    <w:basedOn w:val="Normal"/>
    <w:next w:val="Normal"/>
    <w:uiPriority w:val="99"/>
    <w:rsid w:val="00834FBA"/>
    <w:pPr>
      <w:autoSpaceDE w:val="0"/>
      <w:autoSpaceDN w:val="0"/>
      <w:adjustRightInd w:val="0"/>
      <w:spacing w:line="241" w:lineRule="atLeast"/>
    </w:pPr>
    <w:rPr>
      <w:rFonts w:ascii="AGaramond" w:hAnsi="AGaramond"/>
      <w:sz w:val="24"/>
    </w:rPr>
  </w:style>
  <w:style w:type="character" w:customStyle="1" w:styleId="journaltitle">
    <w:name w:val="journaltitle"/>
    <w:basedOn w:val="DefaultParagraphFont"/>
    <w:rsid w:val="00834FBA"/>
  </w:style>
  <w:style w:type="character" w:customStyle="1" w:styleId="vol">
    <w:name w:val="vol"/>
    <w:basedOn w:val="DefaultParagraphFont"/>
    <w:rsid w:val="00834FBA"/>
  </w:style>
  <w:style w:type="character" w:customStyle="1" w:styleId="pagefirst">
    <w:name w:val="pagefirst"/>
    <w:basedOn w:val="DefaultParagraphFont"/>
    <w:rsid w:val="00834FBA"/>
  </w:style>
  <w:style w:type="character" w:customStyle="1" w:styleId="pagelast">
    <w:name w:val="pagelast"/>
    <w:basedOn w:val="DefaultParagraphFont"/>
    <w:rsid w:val="00834FBA"/>
  </w:style>
  <w:style w:type="character" w:customStyle="1" w:styleId="italic">
    <w:name w:val="italic"/>
    <w:basedOn w:val="DefaultParagraphFont"/>
    <w:rsid w:val="00834FBA"/>
  </w:style>
  <w:style w:type="character" w:customStyle="1" w:styleId="nowrap">
    <w:name w:val="nowrap"/>
    <w:basedOn w:val="DefaultParagraphFont"/>
    <w:rsid w:val="00834FBA"/>
  </w:style>
  <w:style w:type="paragraph" w:styleId="Bibliography">
    <w:name w:val="Bibliography"/>
    <w:basedOn w:val="Normal"/>
    <w:next w:val="Normal"/>
    <w:uiPriority w:val="37"/>
    <w:unhideWhenUsed/>
    <w:rsid w:val="00834FBA"/>
  </w:style>
  <w:style w:type="character" w:customStyle="1" w:styleId="Heading1Char1">
    <w:name w:val="Heading 1 Char1"/>
    <w:aliases w:val="A Head Char1,H1-Sec.Head Char1"/>
    <w:basedOn w:val="DefaultParagraphFont"/>
    <w:rsid w:val="00834FBA"/>
    <w:rPr>
      <w:rFonts w:asciiTheme="majorHAnsi" w:eastAsiaTheme="majorEastAsia" w:hAnsiTheme="majorHAnsi" w:cstheme="majorBidi"/>
      <w:color w:val="2F5496" w:themeColor="accent1" w:themeShade="BF"/>
      <w:sz w:val="32"/>
      <w:szCs w:val="32"/>
    </w:rPr>
  </w:style>
  <w:style w:type="character" w:customStyle="1" w:styleId="Heading2Char1">
    <w:name w:val="Heading 2 Char1"/>
    <w:aliases w:val="H2-Sec. Head Char1"/>
    <w:basedOn w:val="DefaultParagraphFont"/>
    <w:uiPriority w:val="9"/>
    <w:semiHidden/>
    <w:rsid w:val="00834FBA"/>
    <w:rPr>
      <w:rFonts w:asciiTheme="majorHAnsi" w:eastAsiaTheme="majorEastAsia" w:hAnsiTheme="majorHAnsi" w:cstheme="majorBidi"/>
      <w:color w:val="2F5496" w:themeColor="accent1" w:themeShade="BF"/>
      <w:sz w:val="26"/>
      <w:szCs w:val="26"/>
    </w:rPr>
  </w:style>
  <w:style w:type="character" w:customStyle="1" w:styleId="Heading3Char1">
    <w:name w:val="Heading 3 Char1"/>
    <w:aliases w:val="H3-Sec. Head Char1"/>
    <w:basedOn w:val="DefaultParagraphFont"/>
    <w:semiHidden/>
    <w:rsid w:val="00834FBA"/>
    <w:rPr>
      <w:rFonts w:asciiTheme="majorHAnsi" w:eastAsiaTheme="majorEastAsia" w:hAnsiTheme="majorHAnsi" w:cstheme="majorBidi"/>
      <w:color w:val="1F3763" w:themeColor="accent1" w:themeShade="7F"/>
      <w:sz w:val="24"/>
      <w:szCs w:val="24"/>
    </w:rPr>
  </w:style>
  <w:style w:type="character" w:customStyle="1" w:styleId="Heading4Char1">
    <w:name w:val="Heading 4 Char1"/>
    <w:aliases w:val="subhead 3 Char1,h4 Char1"/>
    <w:basedOn w:val="DefaultParagraphFont"/>
    <w:semiHidden/>
    <w:rsid w:val="00834FBA"/>
    <w:rPr>
      <w:rFonts w:asciiTheme="majorHAnsi" w:eastAsiaTheme="majorEastAsia" w:hAnsiTheme="majorHAnsi" w:cstheme="majorBidi"/>
      <w:i/>
      <w:iCs/>
      <w:color w:val="2F5496" w:themeColor="accent1" w:themeShade="BF"/>
      <w:sz w:val="21"/>
    </w:rPr>
  </w:style>
  <w:style w:type="paragraph" w:customStyle="1" w:styleId="msonormal0">
    <w:name w:val="msonormal"/>
    <w:basedOn w:val="Normal"/>
    <w:uiPriority w:val="99"/>
    <w:rsid w:val="00834FBA"/>
    <w:pPr>
      <w:spacing w:before="100" w:beforeAutospacing="1" w:after="100" w:afterAutospacing="1"/>
    </w:pPr>
    <w:rPr>
      <w:rFonts w:ascii="Times New Roman" w:hAnsi="Times New Roman"/>
      <w:sz w:val="24"/>
    </w:rPr>
  </w:style>
  <w:style w:type="character" w:customStyle="1" w:styleId="FootnoteTextChar1">
    <w:name w:val="Footnote Text Char1"/>
    <w:aliases w:val="F1 Char1"/>
    <w:basedOn w:val="DefaultParagraphFont"/>
    <w:uiPriority w:val="99"/>
    <w:semiHidden/>
    <w:rsid w:val="00834FBA"/>
    <w:rPr>
      <w:rFonts w:ascii="Arial" w:eastAsia="Times New Roman" w:hAnsi="Arial" w:cs="Times New Roman"/>
      <w:sz w:val="20"/>
      <w:szCs w:val="20"/>
    </w:rPr>
  </w:style>
  <w:style w:type="character" w:customStyle="1" w:styleId="ProcessBulletCharChar">
    <w:name w:val="Process Bullet Char Char"/>
    <w:basedOn w:val="DefaultParagraphFont"/>
    <w:rsid w:val="00834FBA"/>
    <w:rPr>
      <w:rFonts w:eastAsia="Times New Roman" w:cs="Times New Roman"/>
      <w:szCs w:val="24"/>
    </w:rPr>
  </w:style>
  <w:style w:type="character" w:customStyle="1" w:styleId="StyleBodyArialChar">
    <w:name w:val="Style Body + Arial Char"/>
    <w:basedOn w:val="DefaultParagraphFont"/>
    <w:rsid w:val="00834FBA"/>
    <w:rPr>
      <w:rFonts w:ascii="Arial" w:hAnsi="Arial"/>
      <w:noProof w:val="0"/>
      <w:lang w:val="en-US" w:eastAsia="en-US" w:bidi="ar-SA"/>
    </w:rPr>
  </w:style>
  <w:style w:type="paragraph" w:customStyle="1" w:styleId="StyleBulletArialBold">
    <w:name w:val="Style Bullet + Arial Bold"/>
    <w:basedOn w:val="Bullet"/>
    <w:rsid w:val="00834FBA"/>
    <w:pPr>
      <w:numPr>
        <w:numId w:val="0"/>
      </w:numPr>
      <w:tabs>
        <w:tab w:val="left" w:pos="576"/>
      </w:tabs>
      <w:ind w:left="1656" w:hanging="360"/>
    </w:pPr>
    <w:rPr>
      <w:b/>
      <w:bCs/>
    </w:rPr>
  </w:style>
  <w:style w:type="character" w:customStyle="1" w:styleId="StyleBulletArialBoldChar">
    <w:name w:val="Style Bullet + Arial Bold Char"/>
    <w:basedOn w:val="DefaultParagraphFont"/>
    <w:rsid w:val="00834FBA"/>
    <w:rPr>
      <w:rFonts w:ascii="Arial" w:hAnsi="Arial"/>
      <w:b/>
      <w:bCs/>
      <w:noProof w:val="0"/>
      <w:lang w:val="en-US" w:eastAsia="en-US" w:bidi="ar-SA"/>
    </w:rPr>
  </w:style>
  <w:style w:type="paragraph" w:customStyle="1" w:styleId="StyleDashArial">
    <w:name w:val="Style Dash + Arial"/>
    <w:basedOn w:val="Dash"/>
    <w:rsid w:val="00834FBA"/>
    <w:pPr>
      <w:numPr>
        <w:numId w:val="0"/>
      </w:numPr>
      <w:tabs>
        <w:tab w:val="num" w:pos="792"/>
      </w:tabs>
      <w:ind w:left="720" w:hanging="360"/>
    </w:pPr>
  </w:style>
  <w:style w:type="paragraph" w:customStyle="1" w:styleId="StyleBulletArial">
    <w:name w:val="Style Bullet + Arial"/>
    <w:basedOn w:val="Bullet"/>
    <w:rsid w:val="00834FBA"/>
    <w:pPr>
      <w:numPr>
        <w:numId w:val="0"/>
      </w:numPr>
      <w:tabs>
        <w:tab w:val="left" w:pos="576"/>
      </w:tabs>
      <w:ind w:left="1656" w:hanging="360"/>
    </w:pPr>
  </w:style>
  <w:style w:type="character" w:customStyle="1" w:styleId="StyleBulletArialChar">
    <w:name w:val="Style Bullet + Arial Char"/>
    <w:basedOn w:val="DefaultParagraphFont"/>
    <w:rsid w:val="00834FBA"/>
    <w:rPr>
      <w:rFonts w:ascii="Arial" w:hAnsi="Arial"/>
      <w:noProof w:val="0"/>
      <w:lang w:val="en-US" w:eastAsia="en-US" w:bidi="ar-SA"/>
    </w:rPr>
  </w:style>
  <w:style w:type="paragraph" w:customStyle="1" w:styleId="TOCHEDIS">
    <w:name w:val="TOC HEDIS"/>
    <w:rsid w:val="00834FBA"/>
    <w:pPr>
      <w:tabs>
        <w:tab w:val="right" w:leader="dot" w:pos="9720"/>
      </w:tabs>
      <w:ind w:left="360"/>
    </w:pPr>
    <w:rPr>
      <w:sz w:val="20"/>
    </w:rPr>
  </w:style>
  <w:style w:type="paragraph" w:customStyle="1" w:styleId="StyleBodyBottomSinglesolidlineAuto15ptLinewidth">
    <w:name w:val="Style Body + Bottom: (Single solid line Auto  1.5 pt Line width)"/>
    <w:basedOn w:val="Body"/>
    <w:rsid w:val="00834FBA"/>
    <w:pPr>
      <w:pBdr>
        <w:bottom w:val="single" w:sz="6" w:space="1" w:color="auto"/>
      </w:pBdr>
    </w:pPr>
  </w:style>
  <w:style w:type="paragraph" w:customStyle="1" w:styleId="level1">
    <w:name w:val="level1"/>
    <w:basedOn w:val="Normal"/>
    <w:rsid w:val="00834FBA"/>
    <w:pPr>
      <w:autoSpaceDE w:val="0"/>
      <w:autoSpaceDN w:val="0"/>
      <w:ind w:left="720"/>
    </w:pPr>
  </w:style>
  <w:style w:type="paragraph" w:customStyle="1" w:styleId="body0">
    <w:name w:val="body0"/>
    <w:basedOn w:val="Normal"/>
    <w:rsid w:val="00834FBA"/>
    <w:pPr>
      <w:spacing w:before="180"/>
    </w:pPr>
    <w:rPr>
      <w:rFonts w:cs="Arial"/>
    </w:rPr>
  </w:style>
  <w:style w:type="paragraph" w:customStyle="1" w:styleId="processbullet0">
    <w:name w:val="processbullet"/>
    <w:basedOn w:val="Normal"/>
    <w:rsid w:val="00834FBA"/>
    <w:pPr>
      <w:tabs>
        <w:tab w:val="num" w:pos="792"/>
      </w:tabs>
      <w:spacing w:before="120"/>
      <w:ind w:left="792" w:hanging="216"/>
    </w:pPr>
    <w:rPr>
      <w:rFonts w:cs="Arial"/>
    </w:rPr>
  </w:style>
  <w:style w:type="paragraph" w:customStyle="1" w:styleId="subhead1">
    <w:name w:val="subhead"/>
    <w:basedOn w:val="Normal"/>
    <w:rsid w:val="00834FBA"/>
    <w:pPr>
      <w:spacing w:before="360"/>
    </w:pPr>
    <w:rPr>
      <w:rFonts w:cs="Arial"/>
      <w:b/>
      <w:bCs/>
      <w:sz w:val="22"/>
      <w:szCs w:val="22"/>
    </w:rPr>
  </w:style>
  <w:style w:type="character" w:customStyle="1" w:styleId="main1">
    <w:name w:val="main1"/>
    <w:basedOn w:val="DefaultParagraphFont"/>
    <w:rsid w:val="00834FBA"/>
    <w:rPr>
      <w:rFonts w:ascii="Arial" w:hAnsi="Arial" w:cs="Arial" w:hint="default"/>
      <w:color w:val="333333"/>
    </w:rPr>
  </w:style>
  <w:style w:type="paragraph" w:customStyle="1" w:styleId="TOCHEDIS2">
    <w:name w:val="TOC HEDIS 2"/>
    <w:basedOn w:val="Normal"/>
    <w:rsid w:val="00834FBA"/>
    <w:pPr>
      <w:tabs>
        <w:tab w:val="right" w:leader="dot" w:pos="9720"/>
      </w:tabs>
      <w:ind w:left="360" w:firstLine="360"/>
    </w:pPr>
  </w:style>
  <w:style w:type="paragraph" w:customStyle="1" w:styleId="Clear">
    <w:name w:val="Clear"/>
    <w:basedOn w:val="body0"/>
    <w:rsid w:val="00834FBA"/>
  </w:style>
  <w:style w:type="character" w:customStyle="1" w:styleId="spellingerror">
    <w:name w:val="spellingerror"/>
    <w:basedOn w:val="DefaultParagraphFont"/>
    <w:rsid w:val="00834FBA"/>
  </w:style>
  <w:style w:type="paragraph" w:customStyle="1" w:styleId="TOC11">
    <w:name w:val="TOC 11"/>
    <w:basedOn w:val="Normal"/>
    <w:rsid w:val="00834FBA"/>
    <w:pPr>
      <w:tabs>
        <w:tab w:val="right" w:leader="dot" w:pos="9720"/>
      </w:tabs>
      <w:ind w:left="360"/>
    </w:pPr>
  </w:style>
  <w:style w:type="paragraph" w:customStyle="1" w:styleId="pf0">
    <w:name w:val="pf0"/>
    <w:basedOn w:val="Normal"/>
    <w:rsid w:val="00834FBA"/>
    <w:rPr>
      <w:sz w:val="18"/>
      <w:szCs w:val="24"/>
    </w:rPr>
  </w:style>
  <w:style w:type="character" w:customStyle="1" w:styleId="cf11">
    <w:name w:val="cf11"/>
    <w:basedOn w:val="DefaultParagraphFont"/>
    <w:rsid w:val="00834FBA"/>
    <w:rPr>
      <w:rFonts w:ascii="Segoe UI" w:hAnsi="Segoe UI" w:cs="Segoe UI" w:hint="default"/>
      <w:sz w:val="18"/>
      <w:szCs w:val="18"/>
    </w:rPr>
  </w:style>
  <w:style w:type="character" w:customStyle="1" w:styleId="cf21">
    <w:name w:val="cf21"/>
    <w:basedOn w:val="DefaultParagraphFont"/>
    <w:rsid w:val="00834FBA"/>
    <w:rPr>
      <w:rFonts w:ascii="Segoe UI" w:hAnsi="Segoe UI" w:cs="Segoe UI" w:hint="default"/>
      <w:i/>
      <w:iCs/>
      <w:sz w:val="18"/>
      <w:szCs w:val="18"/>
    </w:rPr>
  </w:style>
  <w:style w:type="character" w:customStyle="1" w:styleId="CommentSubjectChar1">
    <w:name w:val="Comment Subject Char1"/>
    <w:basedOn w:val="CommentTextChar"/>
    <w:uiPriority w:val="99"/>
    <w:semiHidden/>
    <w:rsid w:val="00834FBA"/>
    <w:rPr>
      <w:rFonts w:ascii="Times New Roman" w:eastAsia="Times New Roman" w:hAnsi="Times New Roman" w:cs="Times New Roman"/>
      <w:b/>
      <w:bCs/>
      <w:color w:val="auto"/>
      <w:kern w:val="0"/>
      <w:sz w:val="21"/>
      <w:szCs w:val="20"/>
      <w14:ligatures w14:val="none"/>
    </w:rPr>
  </w:style>
  <w:style w:type="table" w:customStyle="1" w:styleId="TableGrid11">
    <w:name w:val="Table Grid11"/>
    <w:basedOn w:val="TableNormal"/>
    <w:next w:val="TableGrid"/>
    <w:rsid w:val="00834FBA"/>
    <w:rPr>
      <w:rFonts w:ascii="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OC">
    <w:name w:val="NoTOC"/>
    <w:basedOn w:val="SubHead"/>
    <w:rsid w:val="00834FBA"/>
    <w:pPr>
      <w:spacing w:before="240"/>
    </w:pPr>
    <w:rPr>
      <w:rFonts w:cs="Arial"/>
      <w:noProof/>
    </w:rPr>
  </w:style>
  <w:style w:type="paragraph" w:customStyle="1" w:styleId="CaseStudy">
    <w:name w:val="CaseStudy"/>
    <w:basedOn w:val="Body"/>
    <w:rsid w:val="00834FBA"/>
    <w:rPr>
      <w:rFonts w:cs="Arial"/>
      <w:b/>
      <w:bCs/>
      <w:i/>
      <w:iCs/>
      <w:noProof/>
    </w:rPr>
  </w:style>
  <w:style w:type="paragraph" w:customStyle="1" w:styleId="Notes">
    <w:name w:val="Notes"/>
    <w:basedOn w:val="SubHead"/>
    <w:rsid w:val="00834FBA"/>
    <w:pPr>
      <w:spacing w:before="240"/>
    </w:pPr>
    <w:rPr>
      <w:rFonts w:cs="Arial"/>
      <w:i/>
    </w:rPr>
  </w:style>
  <w:style w:type="character" w:customStyle="1" w:styleId="sr-only">
    <w:name w:val="sr-only"/>
    <w:basedOn w:val="DefaultParagraphFont"/>
    <w:rsid w:val="00834FBA"/>
  </w:style>
  <w:style w:type="table" w:styleId="PlainTable1">
    <w:name w:val="Plain Table 1"/>
    <w:basedOn w:val="TableNormal"/>
    <w:uiPriority w:val="41"/>
    <w:rsid w:val="00834FB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tylemarginbulletAfter12pt2">
    <w:name w:val="Style margin bullet + After:  12 pt2"/>
    <w:basedOn w:val="Normal"/>
    <w:rsid w:val="00834FBA"/>
    <w:pPr>
      <w:numPr>
        <w:numId w:val="17"/>
      </w:numPr>
      <w:spacing w:before="120" w:after="240" w:line="220" w:lineRule="exact"/>
    </w:pPr>
  </w:style>
  <w:style w:type="paragraph" w:customStyle="1" w:styleId="Heading2NoTOC0">
    <w:name w:val="Heading 2 No TOC"/>
    <w:basedOn w:val="Heading2"/>
    <w:rsid w:val="00834FBA"/>
    <w:rPr>
      <w:b w:val="0"/>
      <w:i w:val="0"/>
    </w:rPr>
  </w:style>
  <w:style w:type="paragraph" w:customStyle="1" w:styleId="MarginSubheadNoTOC">
    <w:name w:val="Margin Subhead No TOC"/>
    <w:basedOn w:val="MarginSubhead"/>
    <w:rsid w:val="00834FBA"/>
    <w:pPr>
      <w:ind w:left="0"/>
    </w:pPr>
    <w:rPr>
      <w:rFonts w:cs="Arial"/>
    </w:rPr>
  </w:style>
  <w:style w:type="paragraph" w:customStyle="1" w:styleId="SubheadNo">
    <w:name w:val="Subhead No"/>
    <w:basedOn w:val="Normal"/>
    <w:rsid w:val="00834FBA"/>
    <w:pPr>
      <w:spacing w:before="180"/>
      <w:ind w:left="216"/>
    </w:pPr>
    <w:rPr>
      <w:b/>
    </w:rPr>
  </w:style>
  <w:style w:type="paragraph" w:customStyle="1" w:styleId="Adjustments">
    <w:name w:val="Adjustments"/>
    <w:basedOn w:val="Body"/>
    <w:next w:val="ProcessBullet"/>
    <w:qFormat/>
    <w:rsid w:val="0073598A"/>
    <w:rPr>
      <w:rFonts w:ascii="Arial Bold" w:hAnsi="Arial Bold"/>
      <w:b/>
      <w:caps/>
    </w:rPr>
  </w:style>
  <w:style w:type="paragraph" w:customStyle="1" w:styleId="ECDSIndent">
    <w:name w:val="ECDS Indent"/>
    <w:basedOn w:val="Dash"/>
    <w:rsid w:val="00564FB9"/>
    <w:pPr>
      <w:numPr>
        <w:numId w:val="0"/>
      </w:numPr>
      <w:spacing w:before="0" w:after="120"/>
      <w:ind w:left="216"/>
    </w:pPr>
  </w:style>
  <w:style w:type="paragraph" w:customStyle="1" w:styleId="ECDSMarginHead">
    <w:name w:val="ECDS Margin Head"/>
    <w:basedOn w:val="ECDSMarginSubhead"/>
    <w:qFormat/>
    <w:rsid w:val="0073598A"/>
    <w:rPr>
      <w:szCs w:val="22"/>
    </w:rPr>
  </w:style>
  <w:style w:type="character" w:customStyle="1" w:styleId="NoSpacingChar">
    <w:name w:val="No Spacing Char"/>
    <w:basedOn w:val="DefaultParagraphFont"/>
    <w:link w:val="NoSpacing"/>
    <w:uiPriority w:val="1"/>
    <w:rsid w:val="00043C86"/>
  </w:style>
  <w:style w:type="paragraph" w:customStyle="1" w:styleId="DefName">
    <w:name w:val="Def Name"/>
    <w:basedOn w:val="list-unstyled"/>
    <w:link w:val="DefNameChar"/>
    <w:qFormat/>
    <w:rsid w:val="00043C86"/>
    <w:pPr>
      <w:numPr>
        <w:ilvl w:val="1"/>
        <w:numId w:val="19"/>
      </w:numPr>
      <w:spacing w:before="120" w:beforeAutospacing="0" w:after="0" w:afterAutospacing="0"/>
    </w:pPr>
    <w:rPr>
      <w:rFonts w:ascii="Arial" w:hAnsi="Arial" w:cs="Arial"/>
      <w:sz w:val="16"/>
      <w:szCs w:val="16"/>
    </w:rPr>
  </w:style>
  <w:style w:type="paragraph" w:customStyle="1" w:styleId="Logic">
    <w:name w:val="Logic"/>
    <w:basedOn w:val="HTMLPreformatted"/>
    <w:link w:val="LogicChar"/>
    <w:qFormat/>
    <w:rsid w:val="00043C86"/>
    <w:pPr>
      <w:numPr>
        <w:ilvl w:val="3"/>
        <w:numId w:val="20"/>
      </w:numPr>
      <w:tabs>
        <w:tab w:val="clear" w:pos="2880"/>
      </w:tabs>
    </w:pPr>
    <w:rPr>
      <w:rFonts w:ascii="Arial" w:hAnsi="Arial" w:cs="Arial"/>
      <w:sz w:val="16"/>
      <w:szCs w:val="16"/>
    </w:rPr>
  </w:style>
  <w:style w:type="character" w:customStyle="1" w:styleId="DefNameChar">
    <w:name w:val="Def Name Char"/>
    <w:basedOn w:val="list-unstyledChar"/>
    <w:link w:val="DefName"/>
    <w:rsid w:val="00043C86"/>
    <w:rPr>
      <w:rFonts w:ascii="Times New Roman" w:eastAsia="Times New Roman" w:hAnsi="Times New Roman" w:cs="Arial"/>
      <w:kern w:val="0"/>
      <w:sz w:val="16"/>
      <w:szCs w:val="16"/>
      <w14:ligatures w14:val="none"/>
    </w:rPr>
  </w:style>
  <w:style w:type="character" w:customStyle="1" w:styleId="LogicChar">
    <w:name w:val="Logic Char"/>
    <w:basedOn w:val="HTMLPreformattedChar"/>
    <w:link w:val="Logic"/>
    <w:rsid w:val="00043C86"/>
    <w:rPr>
      <w:rFonts w:ascii="Courier New" w:eastAsia="Times New Roman" w:hAnsi="Courier New" w:cs="Arial"/>
      <w:kern w:val="0"/>
      <w:sz w:val="16"/>
      <w:szCs w:val="16"/>
      <w14:ligatures w14:val="none"/>
    </w:rPr>
  </w:style>
  <w:style w:type="paragraph" w:customStyle="1" w:styleId="BodyFirstIndent">
    <w:name w:val="Body First Indent"/>
    <w:basedOn w:val="Body"/>
    <w:rsid w:val="00043C86"/>
    <w:pPr>
      <w:spacing w:before="80"/>
      <w:ind w:left="720"/>
    </w:pPr>
  </w:style>
  <w:style w:type="paragraph" w:customStyle="1" w:styleId="BodySecondIndent">
    <w:name w:val="Body Second Indent"/>
    <w:basedOn w:val="BodyFirstIndent"/>
    <w:rsid w:val="00043C86"/>
    <w:pPr>
      <w:spacing w:before="40" w:after="40"/>
      <w:ind w:left="1080"/>
    </w:pPr>
  </w:style>
  <w:style w:type="paragraph" w:customStyle="1" w:styleId="HeaderBody">
    <w:name w:val="Header Body"/>
    <w:rsid w:val="00043C86"/>
    <w:pPr>
      <w:spacing w:before="120" w:after="80"/>
    </w:pPr>
    <w:rPr>
      <w:kern w:val="24"/>
    </w:rPr>
  </w:style>
  <w:style w:type="paragraph" w:customStyle="1" w:styleId="Admin">
    <w:name w:val="Admin"/>
    <w:basedOn w:val="Normal"/>
    <w:qFormat/>
    <w:rsid w:val="00043C86"/>
    <w:pPr>
      <w:spacing w:before="120" w:after="80"/>
    </w:pPr>
    <w:rPr>
      <w:rFonts w:eastAsia="Arial,Arial,Arial,Arial,Arial,A"/>
      <w:b/>
      <w:bCs/>
      <w:i/>
      <w:iCs/>
      <w:caps/>
      <w:kern w:val="24"/>
      <w:szCs w:val="21"/>
    </w:rPr>
  </w:style>
  <w:style w:type="paragraph" w:customStyle="1" w:styleId="E-MarginSubhead">
    <w:name w:val="E-Margin Subhead"/>
    <w:basedOn w:val="SquareBullet"/>
    <w:qFormat/>
    <w:rsid w:val="00043C86"/>
    <w:pPr>
      <w:numPr>
        <w:numId w:val="0"/>
      </w:numPr>
      <w:spacing w:before="120" w:after="80"/>
    </w:pPr>
    <w:rPr>
      <w:rFonts w:ascii="Arial Bold" w:hAnsi="Arial Bold"/>
      <w:b/>
      <w:bCs w:val="0"/>
      <w:sz w:val="22"/>
    </w:rPr>
  </w:style>
  <w:style w:type="paragraph" w:customStyle="1" w:styleId="E-Indent">
    <w:name w:val="E-Indent"/>
    <w:basedOn w:val="Normal"/>
    <w:rsid w:val="00043C86"/>
    <w:pPr>
      <w:spacing w:before="80" w:after="80"/>
      <w:ind w:left="216"/>
    </w:pPr>
    <w:rPr>
      <w:kern w:val="24"/>
    </w:rPr>
  </w:style>
  <w:style w:type="paragraph" w:customStyle="1" w:styleId="ECDSSubhead">
    <w:name w:val="ECDS Subhead"/>
    <w:basedOn w:val="MarginSubhead"/>
    <w:qFormat/>
    <w:rsid w:val="00043C86"/>
    <w:pPr>
      <w:spacing w:before="120"/>
      <w:ind w:left="0"/>
    </w:pPr>
    <w:rPr>
      <w:sz w:val="22"/>
      <w:szCs w:val="21"/>
    </w:rPr>
  </w:style>
  <w:style w:type="paragraph" w:customStyle="1" w:styleId="Headin2">
    <w:name w:val="Headin 2"/>
    <w:basedOn w:val="Normal"/>
    <w:rsid w:val="00C10805"/>
  </w:style>
  <w:style w:type="paragraph" w:customStyle="1" w:styleId="MeasureTitle">
    <w:name w:val="MeasureTitle"/>
    <w:basedOn w:val="StyleHeading2H2-SecHeadItalic"/>
    <w:qFormat/>
    <w:rsid w:val="000F142F"/>
    <w:rPr>
      <w:b/>
      <w:bCs w:val="0"/>
      <w:i/>
      <w:iCs w:val="0"/>
    </w:rPr>
  </w:style>
  <w:style w:type="character" w:customStyle="1" w:styleId="BodyChar1">
    <w:name w:val="Body Char1"/>
    <w:basedOn w:val="DefaultParagraphFont"/>
    <w:rsid w:val="00AF4FD9"/>
    <w:rPr>
      <w:rFonts w:ascii="Arial" w:eastAsia="Times New Roman" w:hAnsi="Arial" w:cs="Times New Roman"/>
      <w:kern w:val="24"/>
      <w:sz w:val="21"/>
      <w:szCs w:val="20"/>
      <w:lang w:eastAsia="en-US"/>
    </w:rPr>
  </w:style>
  <w:style w:type="character" w:customStyle="1" w:styleId="normaltextrun">
    <w:name w:val="normaltextrun"/>
    <w:basedOn w:val="DefaultParagraphFont"/>
    <w:rsid w:val="00E82E36"/>
  </w:style>
  <w:style w:type="character" w:customStyle="1" w:styleId="contextualspellingandgrammarerror">
    <w:name w:val="contextualspellingandgrammarerror"/>
    <w:basedOn w:val="DefaultParagraphFont"/>
    <w:rsid w:val="003846A3"/>
  </w:style>
  <w:style w:type="character" w:customStyle="1" w:styleId="normaltextrun1">
    <w:name w:val="normaltextrun1"/>
    <w:basedOn w:val="DefaultParagraphFont"/>
    <w:rsid w:val="003846A3"/>
  </w:style>
  <w:style w:type="character" w:customStyle="1" w:styleId="scxw10611113">
    <w:name w:val="scxw10611113"/>
    <w:basedOn w:val="DefaultParagraphFont"/>
    <w:rsid w:val="005D6173"/>
  </w:style>
  <w:style w:type="character" w:customStyle="1" w:styleId="pagebreaktextspan">
    <w:name w:val="pagebreaktextspan"/>
    <w:basedOn w:val="DefaultParagraphFont"/>
    <w:rsid w:val="005D6173"/>
  </w:style>
  <w:style w:type="character" w:customStyle="1" w:styleId="scxw104221027">
    <w:name w:val="scxw104221027"/>
    <w:basedOn w:val="DefaultParagraphFont"/>
    <w:rsid w:val="005D6173"/>
  </w:style>
  <w:style w:type="character" w:customStyle="1" w:styleId="mathspan">
    <w:name w:val="mathspan"/>
    <w:basedOn w:val="DefaultParagraphFont"/>
    <w:rsid w:val="005D6173"/>
  </w:style>
  <w:style w:type="character" w:customStyle="1" w:styleId="scxw32943147">
    <w:name w:val="scxw32943147"/>
    <w:basedOn w:val="DefaultParagraphFont"/>
    <w:rsid w:val="005D6173"/>
  </w:style>
  <w:style w:type="character" w:customStyle="1" w:styleId="mi">
    <w:name w:val="mi"/>
    <w:basedOn w:val="DefaultParagraphFont"/>
    <w:rsid w:val="005D6173"/>
  </w:style>
  <w:style w:type="character" w:customStyle="1" w:styleId="mo">
    <w:name w:val="mo"/>
    <w:basedOn w:val="DefaultParagraphFont"/>
    <w:rsid w:val="005D6173"/>
  </w:style>
  <w:style w:type="character" w:customStyle="1" w:styleId="mtext">
    <w:name w:val="mtext"/>
    <w:basedOn w:val="DefaultParagraphFont"/>
    <w:rsid w:val="005D6173"/>
  </w:style>
  <w:style w:type="character" w:customStyle="1" w:styleId="mn">
    <w:name w:val="mn"/>
    <w:basedOn w:val="DefaultParagraphFont"/>
    <w:rsid w:val="005D6173"/>
  </w:style>
  <w:style w:type="character" w:customStyle="1" w:styleId="mjxassistivemathml">
    <w:name w:val="mjx_assistive_mathml"/>
    <w:basedOn w:val="DefaultParagraphFont"/>
    <w:rsid w:val="005D6173"/>
  </w:style>
  <w:style w:type="character" w:customStyle="1" w:styleId="scxw1258462">
    <w:name w:val="scxw1258462"/>
    <w:basedOn w:val="DefaultParagraphFont"/>
    <w:rsid w:val="005D6173"/>
  </w:style>
  <w:style w:type="character" w:customStyle="1" w:styleId="scxw26093622">
    <w:name w:val="scxw26093622"/>
    <w:basedOn w:val="DefaultParagraphFont"/>
    <w:rsid w:val="005D6173"/>
  </w:style>
  <w:style w:type="character" w:customStyle="1" w:styleId="cf31">
    <w:name w:val="cf31"/>
    <w:basedOn w:val="DefaultParagraphFont"/>
    <w:rsid w:val="005D6173"/>
    <w:rPr>
      <w:rFonts w:ascii="Segoe UI" w:hAnsi="Segoe UI" w:cs="Segoe UI" w:hint="default"/>
      <w:b/>
      <w:bCs/>
      <w:i/>
      <w:iCs/>
      <w:sz w:val="18"/>
      <w:szCs w:val="18"/>
    </w:rPr>
  </w:style>
  <w:style w:type="character" w:customStyle="1" w:styleId="cf41">
    <w:name w:val="cf41"/>
    <w:basedOn w:val="DefaultParagraphFont"/>
    <w:rsid w:val="005D6173"/>
    <w:rPr>
      <w:rFonts w:ascii="Segoe UI" w:hAnsi="Segoe UI" w:cs="Segoe UI" w:hint="default"/>
      <w:sz w:val="18"/>
      <w:szCs w:val="18"/>
    </w:rPr>
  </w:style>
  <w:style w:type="paragraph" w:styleId="TOCHeading">
    <w:name w:val="TOC Heading"/>
    <w:basedOn w:val="Heading1"/>
    <w:next w:val="Normal"/>
    <w:uiPriority w:val="39"/>
    <w:unhideWhenUsed/>
    <w:qFormat/>
    <w:rsid w:val="005D6173"/>
    <w:pPr>
      <w:keepLines/>
      <w:spacing w:before="240" w:after="0" w:line="259" w:lineRule="auto"/>
      <w:jc w:val="left"/>
      <w:outlineLvl w:val="9"/>
    </w:pPr>
    <w:rPr>
      <w:rFonts w:asciiTheme="majorHAnsi" w:eastAsiaTheme="majorEastAsia" w:hAnsiTheme="majorHAnsi" w:cstheme="majorBidi"/>
      <w:b w:val="0"/>
      <w:bCs w:val="0"/>
      <w:color w:val="2F5496" w:themeColor="accent1" w:themeShade="BF"/>
      <w:kern w:val="0"/>
    </w:rPr>
  </w:style>
  <w:style w:type="paragraph" w:customStyle="1" w:styleId="E-Body">
    <w:name w:val="E-Body"/>
    <w:qFormat/>
    <w:rsid w:val="005D6173"/>
    <w:pPr>
      <w:spacing w:before="120" w:after="80"/>
    </w:pPr>
    <w:rPr>
      <w:rFonts w:eastAsia="Arial"/>
      <w:bCs/>
      <w:szCs w:val="21"/>
    </w:rPr>
  </w:style>
  <w:style w:type="paragraph" w:customStyle="1" w:styleId="AdminSubhead">
    <w:name w:val="Admin Subhead"/>
    <w:basedOn w:val="Normal"/>
    <w:qFormat/>
    <w:rsid w:val="005D6173"/>
    <w:pPr>
      <w:spacing w:before="120" w:after="80"/>
    </w:pPr>
    <w:rPr>
      <w:rFonts w:eastAsia="Arial,Arial,Arial,Arial,Arial,A"/>
      <w:b/>
      <w:bCs/>
      <w:i/>
      <w:iCs/>
      <w:caps/>
      <w:kern w:val="24"/>
      <w:szCs w:val="21"/>
    </w:rPr>
  </w:style>
  <w:style w:type="character" w:customStyle="1" w:styleId="scxw150752228">
    <w:name w:val="scxw150752228"/>
    <w:basedOn w:val="DefaultParagraphFont"/>
    <w:rsid w:val="005D6173"/>
  </w:style>
  <w:style w:type="character" w:customStyle="1" w:styleId="scxw114590447">
    <w:name w:val="scxw114590447"/>
    <w:basedOn w:val="DefaultParagraphFont"/>
    <w:rsid w:val="005D6173"/>
  </w:style>
  <w:style w:type="paragraph" w:customStyle="1" w:styleId="BreakPage2">
    <w:name w:val="BreakPage2"/>
    <w:basedOn w:val="Breakpage"/>
    <w:qFormat/>
    <w:rsid w:val="005D61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746151">
      <w:bodyDiv w:val="1"/>
      <w:marLeft w:val="0"/>
      <w:marRight w:val="0"/>
      <w:marTop w:val="0"/>
      <w:marBottom w:val="0"/>
      <w:divBdr>
        <w:top w:val="none" w:sz="0" w:space="0" w:color="auto"/>
        <w:left w:val="none" w:sz="0" w:space="0" w:color="auto"/>
        <w:bottom w:val="none" w:sz="0" w:space="0" w:color="auto"/>
        <w:right w:val="none" w:sz="0" w:space="0" w:color="auto"/>
      </w:divBdr>
      <w:divsChild>
        <w:div w:id="331488349">
          <w:marLeft w:val="0"/>
          <w:marRight w:val="0"/>
          <w:marTop w:val="0"/>
          <w:marBottom w:val="0"/>
          <w:divBdr>
            <w:top w:val="none" w:sz="0" w:space="0" w:color="auto"/>
            <w:left w:val="none" w:sz="0" w:space="0" w:color="auto"/>
            <w:bottom w:val="none" w:sz="0" w:space="0" w:color="auto"/>
            <w:right w:val="none" w:sz="0" w:space="0" w:color="auto"/>
          </w:divBdr>
        </w:div>
        <w:div w:id="542904095">
          <w:marLeft w:val="0"/>
          <w:marRight w:val="0"/>
          <w:marTop w:val="0"/>
          <w:marBottom w:val="0"/>
          <w:divBdr>
            <w:top w:val="none" w:sz="0" w:space="0" w:color="auto"/>
            <w:left w:val="none" w:sz="0" w:space="0" w:color="auto"/>
            <w:bottom w:val="none" w:sz="0" w:space="0" w:color="auto"/>
            <w:right w:val="none" w:sz="0" w:space="0" w:color="auto"/>
          </w:divBdr>
        </w:div>
      </w:divsChild>
    </w:div>
    <w:div w:id="821389097">
      <w:bodyDiv w:val="1"/>
      <w:marLeft w:val="0"/>
      <w:marRight w:val="0"/>
      <w:marTop w:val="0"/>
      <w:marBottom w:val="0"/>
      <w:divBdr>
        <w:top w:val="none" w:sz="0" w:space="0" w:color="auto"/>
        <w:left w:val="none" w:sz="0" w:space="0" w:color="auto"/>
        <w:bottom w:val="none" w:sz="0" w:space="0" w:color="auto"/>
        <w:right w:val="none" w:sz="0" w:space="0" w:color="auto"/>
      </w:divBdr>
      <w:divsChild>
        <w:div w:id="1325429594">
          <w:marLeft w:val="0"/>
          <w:marRight w:val="0"/>
          <w:marTop w:val="0"/>
          <w:marBottom w:val="0"/>
          <w:divBdr>
            <w:top w:val="none" w:sz="0" w:space="0" w:color="auto"/>
            <w:left w:val="none" w:sz="0" w:space="0" w:color="auto"/>
            <w:bottom w:val="none" w:sz="0" w:space="0" w:color="auto"/>
            <w:right w:val="none" w:sz="0" w:space="0" w:color="auto"/>
          </w:divBdr>
        </w:div>
        <w:div w:id="1958683945">
          <w:marLeft w:val="0"/>
          <w:marRight w:val="0"/>
          <w:marTop w:val="0"/>
          <w:marBottom w:val="0"/>
          <w:divBdr>
            <w:top w:val="none" w:sz="0" w:space="0" w:color="auto"/>
            <w:left w:val="none" w:sz="0" w:space="0" w:color="auto"/>
            <w:bottom w:val="none" w:sz="0" w:space="0" w:color="auto"/>
            <w:right w:val="none" w:sz="0" w:space="0" w:color="auto"/>
          </w:divBdr>
        </w:div>
      </w:divsChild>
    </w:div>
    <w:div w:id="947853969">
      <w:bodyDiv w:val="1"/>
      <w:marLeft w:val="0"/>
      <w:marRight w:val="0"/>
      <w:marTop w:val="0"/>
      <w:marBottom w:val="0"/>
      <w:divBdr>
        <w:top w:val="none" w:sz="0" w:space="0" w:color="auto"/>
        <w:left w:val="none" w:sz="0" w:space="0" w:color="auto"/>
        <w:bottom w:val="none" w:sz="0" w:space="0" w:color="auto"/>
        <w:right w:val="none" w:sz="0" w:space="0" w:color="auto"/>
      </w:divBdr>
    </w:div>
    <w:div w:id="960503436">
      <w:bodyDiv w:val="1"/>
      <w:marLeft w:val="0"/>
      <w:marRight w:val="0"/>
      <w:marTop w:val="0"/>
      <w:marBottom w:val="0"/>
      <w:divBdr>
        <w:top w:val="none" w:sz="0" w:space="0" w:color="auto"/>
        <w:left w:val="none" w:sz="0" w:space="0" w:color="auto"/>
        <w:bottom w:val="none" w:sz="0" w:space="0" w:color="auto"/>
        <w:right w:val="none" w:sz="0" w:space="0" w:color="auto"/>
      </w:divBdr>
    </w:div>
    <w:div w:id="1315838667">
      <w:bodyDiv w:val="1"/>
      <w:marLeft w:val="0"/>
      <w:marRight w:val="0"/>
      <w:marTop w:val="0"/>
      <w:marBottom w:val="0"/>
      <w:divBdr>
        <w:top w:val="none" w:sz="0" w:space="0" w:color="auto"/>
        <w:left w:val="none" w:sz="0" w:space="0" w:color="auto"/>
        <w:bottom w:val="none" w:sz="0" w:space="0" w:color="auto"/>
        <w:right w:val="none" w:sz="0" w:space="0" w:color="auto"/>
      </w:divBdr>
    </w:div>
    <w:div w:id="1338187493">
      <w:bodyDiv w:val="1"/>
      <w:marLeft w:val="0"/>
      <w:marRight w:val="0"/>
      <w:marTop w:val="0"/>
      <w:marBottom w:val="0"/>
      <w:divBdr>
        <w:top w:val="none" w:sz="0" w:space="0" w:color="auto"/>
        <w:left w:val="none" w:sz="0" w:space="0" w:color="auto"/>
        <w:bottom w:val="none" w:sz="0" w:space="0" w:color="auto"/>
        <w:right w:val="none" w:sz="0" w:space="0" w:color="auto"/>
      </w:divBdr>
    </w:div>
    <w:div w:id="1384139416">
      <w:bodyDiv w:val="1"/>
      <w:marLeft w:val="0"/>
      <w:marRight w:val="0"/>
      <w:marTop w:val="0"/>
      <w:marBottom w:val="0"/>
      <w:divBdr>
        <w:top w:val="none" w:sz="0" w:space="0" w:color="auto"/>
        <w:left w:val="none" w:sz="0" w:space="0" w:color="auto"/>
        <w:bottom w:val="none" w:sz="0" w:space="0" w:color="auto"/>
        <w:right w:val="none" w:sz="0" w:space="0" w:color="auto"/>
      </w:divBdr>
    </w:div>
    <w:div w:id="1447888716">
      <w:bodyDiv w:val="1"/>
      <w:marLeft w:val="0"/>
      <w:marRight w:val="0"/>
      <w:marTop w:val="0"/>
      <w:marBottom w:val="0"/>
      <w:divBdr>
        <w:top w:val="none" w:sz="0" w:space="0" w:color="auto"/>
        <w:left w:val="none" w:sz="0" w:space="0" w:color="auto"/>
        <w:bottom w:val="none" w:sz="0" w:space="0" w:color="auto"/>
        <w:right w:val="none" w:sz="0" w:space="0" w:color="auto"/>
      </w:divBdr>
      <w:divsChild>
        <w:div w:id="73671474">
          <w:marLeft w:val="0"/>
          <w:marRight w:val="0"/>
          <w:marTop w:val="0"/>
          <w:marBottom w:val="0"/>
          <w:divBdr>
            <w:top w:val="none" w:sz="0" w:space="0" w:color="auto"/>
            <w:left w:val="none" w:sz="0" w:space="0" w:color="auto"/>
            <w:bottom w:val="none" w:sz="0" w:space="0" w:color="auto"/>
            <w:right w:val="none" w:sz="0" w:space="0" w:color="auto"/>
          </w:divBdr>
        </w:div>
        <w:div w:id="301663623">
          <w:marLeft w:val="0"/>
          <w:marRight w:val="0"/>
          <w:marTop w:val="0"/>
          <w:marBottom w:val="0"/>
          <w:divBdr>
            <w:top w:val="none" w:sz="0" w:space="0" w:color="auto"/>
            <w:left w:val="none" w:sz="0" w:space="0" w:color="auto"/>
            <w:bottom w:val="none" w:sz="0" w:space="0" w:color="auto"/>
            <w:right w:val="none" w:sz="0" w:space="0" w:color="auto"/>
          </w:divBdr>
        </w:div>
      </w:divsChild>
    </w:div>
    <w:div w:id="1536305594">
      <w:bodyDiv w:val="1"/>
      <w:marLeft w:val="0"/>
      <w:marRight w:val="0"/>
      <w:marTop w:val="0"/>
      <w:marBottom w:val="0"/>
      <w:divBdr>
        <w:top w:val="none" w:sz="0" w:space="0" w:color="auto"/>
        <w:left w:val="none" w:sz="0" w:space="0" w:color="auto"/>
        <w:bottom w:val="none" w:sz="0" w:space="0" w:color="auto"/>
        <w:right w:val="none" w:sz="0" w:space="0" w:color="auto"/>
      </w:divBdr>
    </w:div>
    <w:div w:id="1538085845">
      <w:bodyDiv w:val="1"/>
      <w:marLeft w:val="0"/>
      <w:marRight w:val="0"/>
      <w:marTop w:val="0"/>
      <w:marBottom w:val="0"/>
      <w:divBdr>
        <w:top w:val="none" w:sz="0" w:space="0" w:color="auto"/>
        <w:left w:val="none" w:sz="0" w:space="0" w:color="auto"/>
        <w:bottom w:val="none" w:sz="0" w:space="0" w:color="auto"/>
        <w:right w:val="none" w:sz="0" w:space="0" w:color="auto"/>
      </w:divBdr>
    </w:div>
    <w:div w:id="1549873565">
      <w:bodyDiv w:val="1"/>
      <w:marLeft w:val="0"/>
      <w:marRight w:val="0"/>
      <w:marTop w:val="0"/>
      <w:marBottom w:val="0"/>
      <w:divBdr>
        <w:top w:val="none" w:sz="0" w:space="0" w:color="auto"/>
        <w:left w:val="none" w:sz="0" w:space="0" w:color="auto"/>
        <w:bottom w:val="none" w:sz="0" w:space="0" w:color="auto"/>
        <w:right w:val="none" w:sz="0" w:space="0" w:color="auto"/>
      </w:divBdr>
    </w:div>
    <w:div w:id="1664434853">
      <w:bodyDiv w:val="1"/>
      <w:marLeft w:val="0"/>
      <w:marRight w:val="0"/>
      <w:marTop w:val="0"/>
      <w:marBottom w:val="0"/>
      <w:divBdr>
        <w:top w:val="none" w:sz="0" w:space="0" w:color="auto"/>
        <w:left w:val="none" w:sz="0" w:space="0" w:color="auto"/>
        <w:bottom w:val="none" w:sz="0" w:space="0" w:color="auto"/>
        <w:right w:val="none" w:sz="0" w:space="0" w:color="auto"/>
      </w:divBdr>
    </w:div>
    <w:div w:id="1761415335">
      <w:bodyDiv w:val="1"/>
      <w:marLeft w:val="0"/>
      <w:marRight w:val="0"/>
      <w:marTop w:val="0"/>
      <w:marBottom w:val="0"/>
      <w:divBdr>
        <w:top w:val="none" w:sz="0" w:space="0" w:color="auto"/>
        <w:left w:val="none" w:sz="0" w:space="0" w:color="auto"/>
        <w:bottom w:val="none" w:sz="0" w:space="0" w:color="auto"/>
        <w:right w:val="none" w:sz="0" w:space="0" w:color="auto"/>
      </w:divBdr>
    </w:div>
    <w:div w:id="1876961943">
      <w:bodyDiv w:val="1"/>
      <w:marLeft w:val="0"/>
      <w:marRight w:val="0"/>
      <w:marTop w:val="0"/>
      <w:marBottom w:val="0"/>
      <w:divBdr>
        <w:top w:val="none" w:sz="0" w:space="0" w:color="auto"/>
        <w:left w:val="none" w:sz="0" w:space="0" w:color="auto"/>
        <w:bottom w:val="none" w:sz="0" w:space="0" w:color="auto"/>
        <w:right w:val="none" w:sz="0" w:space="0" w:color="auto"/>
      </w:divBdr>
    </w:div>
    <w:div w:id="2008822579">
      <w:bodyDiv w:val="1"/>
      <w:marLeft w:val="0"/>
      <w:marRight w:val="0"/>
      <w:marTop w:val="0"/>
      <w:marBottom w:val="0"/>
      <w:divBdr>
        <w:top w:val="none" w:sz="0" w:space="0" w:color="auto"/>
        <w:left w:val="none" w:sz="0" w:space="0" w:color="auto"/>
        <w:bottom w:val="none" w:sz="0" w:space="0" w:color="auto"/>
        <w:right w:val="none" w:sz="0" w:space="0" w:color="auto"/>
      </w:divBdr>
      <w:divsChild>
        <w:div w:id="31076228">
          <w:marLeft w:val="0"/>
          <w:marRight w:val="0"/>
          <w:marTop w:val="0"/>
          <w:marBottom w:val="0"/>
          <w:divBdr>
            <w:top w:val="none" w:sz="0" w:space="0" w:color="auto"/>
            <w:left w:val="none" w:sz="0" w:space="0" w:color="auto"/>
            <w:bottom w:val="none" w:sz="0" w:space="0" w:color="auto"/>
            <w:right w:val="none" w:sz="0" w:space="0" w:color="auto"/>
          </w:divBdr>
        </w:div>
        <w:div w:id="1731995487">
          <w:marLeft w:val="0"/>
          <w:marRight w:val="0"/>
          <w:marTop w:val="0"/>
          <w:marBottom w:val="0"/>
          <w:divBdr>
            <w:top w:val="none" w:sz="0" w:space="0" w:color="auto"/>
            <w:left w:val="none" w:sz="0" w:space="0" w:color="auto"/>
            <w:bottom w:val="none" w:sz="0" w:space="0" w:color="auto"/>
            <w:right w:val="none" w:sz="0" w:space="0" w:color="auto"/>
          </w:divBdr>
        </w:div>
      </w:divsChild>
    </w:div>
    <w:div w:id="2010130632">
      <w:bodyDiv w:val="1"/>
      <w:marLeft w:val="0"/>
      <w:marRight w:val="0"/>
      <w:marTop w:val="0"/>
      <w:marBottom w:val="0"/>
      <w:divBdr>
        <w:top w:val="none" w:sz="0" w:space="0" w:color="auto"/>
        <w:left w:val="none" w:sz="0" w:space="0" w:color="auto"/>
        <w:bottom w:val="none" w:sz="0" w:space="0" w:color="auto"/>
        <w:right w:val="none" w:sz="0" w:space="0" w:color="auto"/>
      </w:divBdr>
    </w:div>
    <w:div w:id="2110655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eader" Target="header45.xml"/><Relationship Id="rId21" Type="http://schemas.openxmlformats.org/officeDocument/2006/relationships/header" Target="header5.xml"/><Relationship Id="rId63" Type="http://schemas.openxmlformats.org/officeDocument/2006/relationships/header" Target="header14.xml"/><Relationship Id="rId159" Type="http://schemas.openxmlformats.org/officeDocument/2006/relationships/header" Target="header77.xml"/><Relationship Id="rId170" Type="http://schemas.openxmlformats.org/officeDocument/2006/relationships/footer" Target="footer38.xml"/><Relationship Id="rId226" Type="http://schemas.openxmlformats.org/officeDocument/2006/relationships/header" Target="header121.xml"/><Relationship Id="rId268" Type="http://schemas.openxmlformats.org/officeDocument/2006/relationships/hyperlink" Target="https://hl7.org/fhir/R4/measure-definitions.html" TargetMode="External"/><Relationship Id="rId32" Type="http://schemas.openxmlformats.org/officeDocument/2006/relationships/hyperlink" Target="https://store.ncqa.org/hedis-my-2026-medication-list-directory.html" TargetMode="External"/><Relationship Id="rId74" Type="http://schemas.openxmlformats.org/officeDocument/2006/relationships/hyperlink" Target="https://my.ncqa.org/" TargetMode="External"/><Relationship Id="rId128" Type="http://schemas.openxmlformats.org/officeDocument/2006/relationships/footer" Target="footer27.xml"/><Relationship Id="rId5" Type="http://schemas.openxmlformats.org/officeDocument/2006/relationships/numbering" Target="numbering.xml"/><Relationship Id="rId181" Type="http://schemas.openxmlformats.org/officeDocument/2006/relationships/footer" Target="footer43.xml"/><Relationship Id="rId237" Type="http://schemas.openxmlformats.org/officeDocument/2006/relationships/header" Target="header132.xml"/><Relationship Id="rId279" Type="http://schemas.openxmlformats.org/officeDocument/2006/relationships/header" Target="header155.xml"/><Relationship Id="rId22" Type="http://schemas.openxmlformats.org/officeDocument/2006/relationships/header" Target="header6.xml"/><Relationship Id="rId43" Type="http://schemas.openxmlformats.org/officeDocument/2006/relationships/hyperlink" Target="https://store.ncqa.org/" TargetMode="External"/><Relationship Id="rId64" Type="http://schemas.openxmlformats.org/officeDocument/2006/relationships/footer" Target="footer8.xml"/><Relationship Id="rId118" Type="http://schemas.openxmlformats.org/officeDocument/2006/relationships/header" Target="header46.xml"/><Relationship Id="rId139" Type="http://schemas.openxmlformats.org/officeDocument/2006/relationships/header" Target="header62.xml"/><Relationship Id="rId85" Type="http://schemas.openxmlformats.org/officeDocument/2006/relationships/header" Target="header24.xml"/><Relationship Id="rId150" Type="http://schemas.openxmlformats.org/officeDocument/2006/relationships/header" Target="header71.xml"/><Relationship Id="rId171" Type="http://schemas.openxmlformats.org/officeDocument/2006/relationships/footer" Target="footer39.xml"/><Relationship Id="rId192" Type="http://schemas.openxmlformats.org/officeDocument/2006/relationships/header" Target="header95.xml"/><Relationship Id="rId206" Type="http://schemas.openxmlformats.org/officeDocument/2006/relationships/header" Target="header105.xml"/><Relationship Id="rId227" Type="http://schemas.openxmlformats.org/officeDocument/2006/relationships/header" Target="header122.xml"/><Relationship Id="rId248" Type="http://schemas.openxmlformats.org/officeDocument/2006/relationships/footer" Target="footer58.xml"/><Relationship Id="rId269" Type="http://schemas.openxmlformats.org/officeDocument/2006/relationships/hyperlink" Target="https://hl7.org/fhir/R4/measure-definitions.html" TargetMode="External"/><Relationship Id="rId12" Type="http://schemas.openxmlformats.org/officeDocument/2006/relationships/header" Target="header1.xml"/><Relationship Id="rId33" Type="http://schemas.openxmlformats.org/officeDocument/2006/relationships/hyperlink" Target="https://my.ncqa.org/?ReturnUrl=%2fDownloads" TargetMode="External"/><Relationship Id="rId108" Type="http://schemas.openxmlformats.org/officeDocument/2006/relationships/header" Target="header40.xml"/><Relationship Id="rId129" Type="http://schemas.openxmlformats.org/officeDocument/2006/relationships/header" Target="header56.xml"/><Relationship Id="rId280" Type="http://schemas.openxmlformats.org/officeDocument/2006/relationships/header" Target="header156.xml"/><Relationship Id="rId54" Type="http://schemas.openxmlformats.org/officeDocument/2006/relationships/hyperlink" Target="https://my.ncqa.org/" TargetMode="External"/><Relationship Id="rId75" Type="http://schemas.openxmlformats.org/officeDocument/2006/relationships/header" Target="header18.xml"/><Relationship Id="rId96" Type="http://schemas.openxmlformats.org/officeDocument/2006/relationships/hyperlink" Target="https://doi.org/10.1001/jama.2013.284427" TargetMode="External"/><Relationship Id="rId140" Type="http://schemas.openxmlformats.org/officeDocument/2006/relationships/hyperlink" Target="https://doi.org/10.1097/BRS.0b013e3181d952a5" TargetMode="External"/><Relationship Id="rId161" Type="http://schemas.openxmlformats.org/officeDocument/2006/relationships/header" Target="header78.xml"/><Relationship Id="rId182" Type="http://schemas.openxmlformats.org/officeDocument/2006/relationships/header" Target="header90.xml"/><Relationship Id="rId217" Type="http://schemas.openxmlformats.org/officeDocument/2006/relationships/header" Target="header112.xml"/><Relationship Id="rId6" Type="http://schemas.openxmlformats.org/officeDocument/2006/relationships/styles" Target="styles.xml"/><Relationship Id="rId238" Type="http://schemas.openxmlformats.org/officeDocument/2006/relationships/header" Target="header133.xml"/><Relationship Id="rId259" Type="http://schemas.openxmlformats.org/officeDocument/2006/relationships/header" Target="header146.xml"/><Relationship Id="rId23" Type="http://schemas.openxmlformats.org/officeDocument/2006/relationships/header" Target="header7.xml"/><Relationship Id="rId119" Type="http://schemas.openxmlformats.org/officeDocument/2006/relationships/header" Target="header47.xml"/><Relationship Id="rId270" Type="http://schemas.openxmlformats.org/officeDocument/2006/relationships/hyperlink" Target="https://www.cms.gov/Outreach-and-Education/Medicare-Learning-Network-MLN/MLNProducts/downloads/ruralhlthclinfctsht.pdf" TargetMode="External"/><Relationship Id="rId44" Type="http://schemas.openxmlformats.org/officeDocument/2006/relationships/hyperlink" Target="https://www.ncqa.org/education-training/" TargetMode="External"/><Relationship Id="rId65" Type="http://schemas.openxmlformats.org/officeDocument/2006/relationships/header" Target="header15.xml"/><Relationship Id="rId86" Type="http://schemas.openxmlformats.org/officeDocument/2006/relationships/header" Target="header25.xml"/><Relationship Id="rId130" Type="http://schemas.openxmlformats.org/officeDocument/2006/relationships/footer" Target="footer28.xml"/><Relationship Id="rId151" Type="http://schemas.openxmlformats.org/officeDocument/2006/relationships/header" Target="header72.xml"/><Relationship Id="rId172" Type="http://schemas.openxmlformats.org/officeDocument/2006/relationships/header" Target="header84.xml"/><Relationship Id="rId193" Type="http://schemas.openxmlformats.org/officeDocument/2006/relationships/header" Target="header96.xml"/><Relationship Id="rId207" Type="http://schemas.openxmlformats.org/officeDocument/2006/relationships/header" Target="header106.xml"/><Relationship Id="rId228" Type="http://schemas.openxmlformats.org/officeDocument/2006/relationships/header" Target="header123.xml"/><Relationship Id="rId249" Type="http://schemas.openxmlformats.org/officeDocument/2006/relationships/header" Target="header140.xml"/><Relationship Id="rId13" Type="http://schemas.openxmlformats.org/officeDocument/2006/relationships/footer" Target="footer1.xml"/><Relationship Id="rId109" Type="http://schemas.openxmlformats.org/officeDocument/2006/relationships/footer" Target="footer23.xml"/><Relationship Id="rId260" Type="http://schemas.openxmlformats.org/officeDocument/2006/relationships/header" Target="header147.xml"/><Relationship Id="rId281" Type="http://schemas.openxmlformats.org/officeDocument/2006/relationships/footer" Target="footer69.xml"/><Relationship Id="rId34" Type="http://schemas.openxmlformats.org/officeDocument/2006/relationships/hyperlink" Target="https://my.ncqa.org/" TargetMode="External"/><Relationship Id="rId55" Type="http://schemas.openxmlformats.org/officeDocument/2006/relationships/hyperlink" Target="https://www.ncqa.org/hedis/health-plan-ratings/" TargetMode="External"/><Relationship Id="rId76" Type="http://schemas.openxmlformats.org/officeDocument/2006/relationships/header" Target="header19.xml"/><Relationship Id="rId97" Type="http://schemas.openxmlformats.org/officeDocument/2006/relationships/header" Target="header32.xml"/><Relationship Id="rId120" Type="http://schemas.openxmlformats.org/officeDocument/2006/relationships/header" Target="header48.xml"/><Relationship Id="rId141" Type="http://schemas.openxmlformats.org/officeDocument/2006/relationships/header" Target="header63.xml"/><Relationship Id="rId7" Type="http://schemas.openxmlformats.org/officeDocument/2006/relationships/settings" Target="settings.xml"/><Relationship Id="rId162" Type="http://schemas.openxmlformats.org/officeDocument/2006/relationships/footer" Target="footer36.xml"/><Relationship Id="rId183" Type="http://schemas.openxmlformats.org/officeDocument/2006/relationships/footer" Target="footer44.xml"/><Relationship Id="rId218" Type="http://schemas.openxmlformats.org/officeDocument/2006/relationships/header" Target="header113.xml"/><Relationship Id="rId239" Type="http://schemas.openxmlformats.org/officeDocument/2006/relationships/header" Target="header134.xml"/><Relationship Id="rId250" Type="http://schemas.openxmlformats.org/officeDocument/2006/relationships/header" Target="header141.xml"/><Relationship Id="rId271" Type="http://schemas.openxmlformats.org/officeDocument/2006/relationships/header" Target="header150.xml"/><Relationship Id="rId24" Type="http://schemas.openxmlformats.org/officeDocument/2006/relationships/header" Target="header8.xml"/><Relationship Id="rId45" Type="http://schemas.openxmlformats.org/officeDocument/2006/relationships/hyperlink" Target="https://ncqa.sharepoint.com/CIO/measurevalidation/2021/Certification%20&amp;%20Licensure/Certification/Handbook/www.ncqa.org" TargetMode="External"/><Relationship Id="rId66" Type="http://schemas.openxmlformats.org/officeDocument/2006/relationships/footer" Target="footer9.xml"/><Relationship Id="rId87" Type="http://schemas.openxmlformats.org/officeDocument/2006/relationships/header" Target="header26.xml"/><Relationship Id="rId110" Type="http://schemas.openxmlformats.org/officeDocument/2006/relationships/header" Target="header41.xml"/><Relationship Id="rId131" Type="http://schemas.openxmlformats.org/officeDocument/2006/relationships/header" Target="header57.xml"/><Relationship Id="rId152" Type="http://schemas.openxmlformats.org/officeDocument/2006/relationships/footer" Target="footer32.xml"/><Relationship Id="rId173" Type="http://schemas.openxmlformats.org/officeDocument/2006/relationships/footer" Target="footer40.xml"/><Relationship Id="rId194" Type="http://schemas.openxmlformats.org/officeDocument/2006/relationships/header" Target="header97.xml"/><Relationship Id="rId208" Type="http://schemas.openxmlformats.org/officeDocument/2006/relationships/header" Target="header107.xml"/><Relationship Id="rId229" Type="http://schemas.openxmlformats.org/officeDocument/2006/relationships/header" Target="header124.xml"/><Relationship Id="rId240" Type="http://schemas.openxmlformats.org/officeDocument/2006/relationships/header" Target="header135.xml"/><Relationship Id="rId261" Type="http://schemas.openxmlformats.org/officeDocument/2006/relationships/footer" Target="footer63.xml"/><Relationship Id="rId14" Type="http://schemas.openxmlformats.org/officeDocument/2006/relationships/hyperlink" Target="https://my.ncqa.org/" TargetMode="External"/><Relationship Id="rId35" Type="http://schemas.openxmlformats.org/officeDocument/2006/relationships/hyperlink" Target="https://store.ncqa.org/hedis-my-2026-risk-adjustment-tables.html" TargetMode="External"/><Relationship Id="rId56" Type="http://schemas.openxmlformats.org/officeDocument/2006/relationships/hyperlink" Target="https://www.ncqa.org/hedis/health-plan-ratings/" TargetMode="External"/><Relationship Id="rId77" Type="http://schemas.openxmlformats.org/officeDocument/2006/relationships/footer" Target="footer13.xml"/><Relationship Id="rId100" Type="http://schemas.openxmlformats.org/officeDocument/2006/relationships/header" Target="header34.xml"/><Relationship Id="rId282" Type="http://schemas.openxmlformats.org/officeDocument/2006/relationships/footer" Target="footer70.xml"/><Relationship Id="rId8" Type="http://schemas.openxmlformats.org/officeDocument/2006/relationships/webSettings" Target="webSettings.xml"/><Relationship Id="rId98" Type="http://schemas.openxmlformats.org/officeDocument/2006/relationships/footer" Target="footer20.xml"/><Relationship Id="rId121" Type="http://schemas.openxmlformats.org/officeDocument/2006/relationships/header" Target="header49.xml"/><Relationship Id="rId142" Type="http://schemas.openxmlformats.org/officeDocument/2006/relationships/header" Target="header64.xml"/><Relationship Id="rId163" Type="http://schemas.openxmlformats.org/officeDocument/2006/relationships/header" Target="header79.xml"/><Relationship Id="rId184" Type="http://schemas.openxmlformats.org/officeDocument/2006/relationships/header" Target="header91.xml"/><Relationship Id="rId219" Type="http://schemas.openxmlformats.org/officeDocument/2006/relationships/header" Target="header114.xml"/><Relationship Id="rId230" Type="http://schemas.openxmlformats.org/officeDocument/2006/relationships/header" Target="header125.xml"/><Relationship Id="rId251" Type="http://schemas.openxmlformats.org/officeDocument/2006/relationships/footer" Target="footer59.xml"/><Relationship Id="rId25" Type="http://schemas.openxmlformats.org/officeDocument/2006/relationships/footer" Target="footer4.xml"/><Relationship Id="rId46" Type="http://schemas.openxmlformats.org/officeDocument/2006/relationships/hyperlink" Target="https://www.lighthouse-services.com/ncqa" TargetMode="External"/><Relationship Id="rId67" Type="http://schemas.openxmlformats.org/officeDocument/2006/relationships/hyperlink" Target="https://my.ncqa.org/" TargetMode="External"/><Relationship Id="rId272" Type="http://schemas.openxmlformats.org/officeDocument/2006/relationships/footer" Target="footer66.xml"/><Relationship Id="rId88" Type="http://schemas.openxmlformats.org/officeDocument/2006/relationships/header" Target="header27.xml"/><Relationship Id="rId111" Type="http://schemas.openxmlformats.org/officeDocument/2006/relationships/footer" Target="footer24.xml"/><Relationship Id="rId132" Type="http://schemas.openxmlformats.org/officeDocument/2006/relationships/header" Target="header58.xml"/><Relationship Id="rId153" Type="http://schemas.openxmlformats.org/officeDocument/2006/relationships/footer" Target="footer33.xml"/><Relationship Id="rId174" Type="http://schemas.openxmlformats.org/officeDocument/2006/relationships/header" Target="header85.xml"/><Relationship Id="rId195" Type="http://schemas.openxmlformats.org/officeDocument/2006/relationships/footer" Target="footer49.xml"/><Relationship Id="rId209" Type="http://schemas.openxmlformats.org/officeDocument/2006/relationships/header" Target="header108.xml"/><Relationship Id="rId220" Type="http://schemas.openxmlformats.org/officeDocument/2006/relationships/header" Target="header115.xml"/><Relationship Id="rId241" Type="http://schemas.openxmlformats.org/officeDocument/2006/relationships/header" Target="header136.xml"/><Relationship Id="rId15" Type="http://schemas.openxmlformats.org/officeDocument/2006/relationships/header" Target="header2.xml"/><Relationship Id="rId36" Type="http://schemas.openxmlformats.org/officeDocument/2006/relationships/hyperlink" Target="https://my.ncqa.org/Downloads" TargetMode="External"/><Relationship Id="rId57" Type="http://schemas.openxmlformats.org/officeDocument/2006/relationships/hyperlink" Target="https://my.ncqa.org/" TargetMode="External"/><Relationship Id="rId262" Type="http://schemas.openxmlformats.org/officeDocument/2006/relationships/header" Target="header148.xml"/><Relationship Id="rId283" Type="http://schemas.openxmlformats.org/officeDocument/2006/relationships/fontTable" Target="fontTable.xml"/><Relationship Id="rId78" Type="http://schemas.openxmlformats.org/officeDocument/2006/relationships/header" Target="header20.xml"/><Relationship Id="rId99" Type="http://schemas.openxmlformats.org/officeDocument/2006/relationships/header" Target="header33.xml"/><Relationship Id="rId101" Type="http://schemas.openxmlformats.org/officeDocument/2006/relationships/header" Target="header35.xml"/><Relationship Id="rId122" Type="http://schemas.openxmlformats.org/officeDocument/2006/relationships/header" Target="header50.xml"/><Relationship Id="rId143" Type="http://schemas.openxmlformats.org/officeDocument/2006/relationships/header" Target="header65.xml"/><Relationship Id="rId164" Type="http://schemas.openxmlformats.org/officeDocument/2006/relationships/footer" Target="footer37.xml"/><Relationship Id="rId185" Type="http://schemas.openxmlformats.org/officeDocument/2006/relationships/header" Target="header92.xml"/><Relationship Id="rId9" Type="http://schemas.openxmlformats.org/officeDocument/2006/relationships/footnotes" Target="footnotes.xml"/><Relationship Id="rId210" Type="http://schemas.openxmlformats.org/officeDocument/2006/relationships/header" Target="header109.xml"/><Relationship Id="rId26" Type="http://schemas.openxmlformats.org/officeDocument/2006/relationships/header" Target="header9.xml"/><Relationship Id="rId231" Type="http://schemas.openxmlformats.org/officeDocument/2006/relationships/header" Target="header126.xml"/><Relationship Id="rId252" Type="http://schemas.openxmlformats.org/officeDocument/2006/relationships/header" Target="header142.xml"/><Relationship Id="rId273" Type="http://schemas.openxmlformats.org/officeDocument/2006/relationships/header" Target="header151.xml"/><Relationship Id="rId47" Type="http://schemas.openxmlformats.org/officeDocument/2006/relationships/hyperlink" Target="mailto:reports@lighthouse-services.com" TargetMode="External"/><Relationship Id="rId68" Type="http://schemas.openxmlformats.org/officeDocument/2006/relationships/header" Target="header16.xml"/><Relationship Id="rId89" Type="http://schemas.openxmlformats.org/officeDocument/2006/relationships/header" Target="header28.xml"/><Relationship Id="rId112" Type="http://schemas.openxmlformats.org/officeDocument/2006/relationships/header" Target="header42.xml"/><Relationship Id="rId133" Type="http://schemas.openxmlformats.org/officeDocument/2006/relationships/header" Target="header59.xml"/><Relationship Id="rId154" Type="http://schemas.openxmlformats.org/officeDocument/2006/relationships/header" Target="header73.xml"/><Relationship Id="rId175" Type="http://schemas.openxmlformats.org/officeDocument/2006/relationships/header" Target="header86.xml"/><Relationship Id="rId196" Type="http://schemas.openxmlformats.org/officeDocument/2006/relationships/footer" Target="footer50.xml"/><Relationship Id="rId200" Type="http://schemas.openxmlformats.org/officeDocument/2006/relationships/footer" Target="footer52.xml"/><Relationship Id="rId16" Type="http://schemas.openxmlformats.org/officeDocument/2006/relationships/footer" Target="footer2.xml"/><Relationship Id="rId221" Type="http://schemas.openxmlformats.org/officeDocument/2006/relationships/header" Target="header116.xml"/><Relationship Id="rId242" Type="http://schemas.openxmlformats.org/officeDocument/2006/relationships/footer" Target="footer55.xml"/><Relationship Id="rId263" Type="http://schemas.openxmlformats.org/officeDocument/2006/relationships/header" Target="header149.xml"/><Relationship Id="rId284" Type="http://schemas.openxmlformats.org/officeDocument/2006/relationships/theme" Target="theme/theme1.xml"/><Relationship Id="rId37" Type="http://schemas.openxmlformats.org/officeDocument/2006/relationships/hyperlink" Target="https://my.ncqa.org/" TargetMode="External"/><Relationship Id="rId58" Type="http://schemas.openxmlformats.org/officeDocument/2006/relationships/hyperlink" Target="https://www.ncqa.org/programs/data-and-information-technology/hit-and-data-certification/hedis-compliance-audit-certification/" TargetMode="External"/><Relationship Id="rId79" Type="http://schemas.openxmlformats.org/officeDocument/2006/relationships/header" Target="header21.xml"/><Relationship Id="rId102" Type="http://schemas.openxmlformats.org/officeDocument/2006/relationships/footer" Target="footer21.xml"/><Relationship Id="rId123" Type="http://schemas.openxmlformats.org/officeDocument/2006/relationships/header" Target="header51.xml"/><Relationship Id="rId144" Type="http://schemas.openxmlformats.org/officeDocument/2006/relationships/header" Target="header66.xml"/><Relationship Id="rId90" Type="http://schemas.openxmlformats.org/officeDocument/2006/relationships/footer" Target="footer17.xml"/><Relationship Id="rId165" Type="http://schemas.openxmlformats.org/officeDocument/2006/relationships/hyperlink" Target="https://doi.org/10.1097/ADM.0000000000000633" TargetMode="External"/><Relationship Id="rId186" Type="http://schemas.openxmlformats.org/officeDocument/2006/relationships/footer" Target="footer45.xml"/><Relationship Id="rId211" Type="http://schemas.openxmlformats.org/officeDocument/2006/relationships/footer" Target="footer53.xml"/><Relationship Id="rId232" Type="http://schemas.openxmlformats.org/officeDocument/2006/relationships/header" Target="header127.xml"/><Relationship Id="rId253" Type="http://schemas.openxmlformats.org/officeDocument/2006/relationships/footer" Target="footer60.xml"/><Relationship Id="rId274" Type="http://schemas.openxmlformats.org/officeDocument/2006/relationships/header" Target="header152.xml"/><Relationship Id="rId27" Type="http://schemas.openxmlformats.org/officeDocument/2006/relationships/footer" Target="footer5.xml"/><Relationship Id="rId48" Type="http://schemas.openxmlformats.org/officeDocument/2006/relationships/hyperlink" Target="https://my.ncqa.org/" TargetMode="External"/><Relationship Id="rId69" Type="http://schemas.openxmlformats.org/officeDocument/2006/relationships/header" Target="header17.xml"/><Relationship Id="rId113" Type="http://schemas.openxmlformats.org/officeDocument/2006/relationships/header" Target="header43.xml"/><Relationship Id="rId134" Type="http://schemas.openxmlformats.org/officeDocument/2006/relationships/footer" Target="footer29.xml"/><Relationship Id="rId80" Type="http://schemas.openxmlformats.org/officeDocument/2006/relationships/footer" Target="footer14.xml"/><Relationship Id="rId155" Type="http://schemas.openxmlformats.org/officeDocument/2006/relationships/header" Target="header74.xml"/><Relationship Id="rId176" Type="http://schemas.openxmlformats.org/officeDocument/2006/relationships/footer" Target="footer41.xml"/><Relationship Id="rId197" Type="http://schemas.openxmlformats.org/officeDocument/2006/relationships/header" Target="header98.xml"/><Relationship Id="rId201" Type="http://schemas.openxmlformats.org/officeDocument/2006/relationships/header" Target="header100.xml"/><Relationship Id="rId222" Type="http://schemas.openxmlformats.org/officeDocument/2006/relationships/header" Target="header117.xml"/><Relationship Id="rId243" Type="http://schemas.openxmlformats.org/officeDocument/2006/relationships/footer" Target="footer56.xml"/><Relationship Id="rId264" Type="http://schemas.openxmlformats.org/officeDocument/2006/relationships/footer" Target="footer64.xml"/><Relationship Id="rId17" Type="http://schemas.openxmlformats.org/officeDocument/2006/relationships/image" Target="media/image2.png"/><Relationship Id="rId38" Type="http://schemas.openxmlformats.org/officeDocument/2006/relationships/hyperlink" Target="https://my.ncqa.org/" TargetMode="External"/><Relationship Id="rId59" Type="http://schemas.openxmlformats.org/officeDocument/2006/relationships/hyperlink" Target="https://www.ncqa.org/" TargetMode="External"/><Relationship Id="rId103" Type="http://schemas.openxmlformats.org/officeDocument/2006/relationships/header" Target="header36.xml"/><Relationship Id="rId124" Type="http://schemas.openxmlformats.org/officeDocument/2006/relationships/header" Target="header52.xml"/><Relationship Id="rId70" Type="http://schemas.openxmlformats.org/officeDocument/2006/relationships/footer" Target="footer10.xml"/><Relationship Id="rId91" Type="http://schemas.openxmlformats.org/officeDocument/2006/relationships/header" Target="header29.xml"/><Relationship Id="rId145" Type="http://schemas.openxmlformats.org/officeDocument/2006/relationships/header" Target="header67.xml"/><Relationship Id="rId166" Type="http://schemas.openxmlformats.org/officeDocument/2006/relationships/header" Target="header80.xml"/><Relationship Id="rId187" Type="http://schemas.openxmlformats.org/officeDocument/2006/relationships/footer" Target="footer46.xml"/><Relationship Id="rId1" Type="http://schemas.openxmlformats.org/officeDocument/2006/relationships/customXml" Target="../customXml/item1.xml"/><Relationship Id="rId212" Type="http://schemas.openxmlformats.org/officeDocument/2006/relationships/hyperlink" Target="https://www.cdc.gov/vaccines/hcp/imz-schedules/child-adolescent-catch-up.html?CDC_AAref_Val=https://www.cdc.gov/vaccines/schedules/hcp/imz/catchup.html" TargetMode="External"/><Relationship Id="rId233" Type="http://schemas.openxmlformats.org/officeDocument/2006/relationships/header" Target="header128.xml"/><Relationship Id="rId254" Type="http://schemas.openxmlformats.org/officeDocument/2006/relationships/header" Target="header143.xml"/><Relationship Id="rId28" Type="http://schemas.openxmlformats.org/officeDocument/2006/relationships/hyperlink" Target="https://my.ncqa.org/Downloads" TargetMode="External"/><Relationship Id="rId49" Type="http://schemas.openxmlformats.org/officeDocument/2006/relationships/header" Target="header10.xml"/><Relationship Id="rId114" Type="http://schemas.openxmlformats.org/officeDocument/2006/relationships/footer" Target="footer25.xml"/><Relationship Id="rId275" Type="http://schemas.openxmlformats.org/officeDocument/2006/relationships/footer" Target="footer67.xml"/><Relationship Id="rId60" Type="http://schemas.openxmlformats.org/officeDocument/2006/relationships/hyperlink" Target="https://my.ncqa.org/" TargetMode="External"/><Relationship Id="rId81" Type="http://schemas.openxmlformats.org/officeDocument/2006/relationships/header" Target="header22.xml"/><Relationship Id="rId135" Type="http://schemas.openxmlformats.org/officeDocument/2006/relationships/header" Target="header60.xml"/><Relationship Id="rId156" Type="http://schemas.openxmlformats.org/officeDocument/2006/relationships/footer" Target="footer34.xml"/><Relationship Id="rId177" Type="http://schemas.openxmlformats.org/officeDocument/2006/relationships/header" Target="header87.xml"/><Relationship Id="rId198" Type="http://schemas.openxmlformats.org/officeDocument/2006/relationships/footer" Target="footer51.xml"/><Relationship Id="rId202" Type="http://schemas.openxmlformats.org/officeDocument/2006/relationships/header" Target="header101.xml"/><Relationship Id="rId223" Type="http://schemas.openxmlformats.org/officeDocument/2006/relationships/header" Target="header118.xml"/><Relationship Id="rId244" Type="http://schemas.openxmlformats.org/officeDocument/2006/relationships/header" Target="header137.xml"/><Relationship Id="rId18" Type="http://schemas.openxmlformats.org/officeDocument/2006/relationships/header" Target="header3.xml"/><Relationship Id="rId39" Type="http://schemas.openxmlformats.org/officeDocument/2006/relationships/hyperlink" Target="https://my.ncqa.org/" TargetMode="External"/><Relationship Id="rId265" Type="http://schemas.openxmlformats.org/officeDocument/2006/relationships/footer" Target="footer65.xml"/><Relationship Id="rId50" Type="http://schemas.openxmlformats.org/officeDocument/2006/relationships/header" Target="header11.xml"/><Relationship Id="rId104" Type="http://schemas.openxmlformats.org/officeDocument/2006/relationships/footer" Target="footer22.xml"/><Relationship Id="rId125" Type="http://schemas.openxmlformats.org/officeDocument/2006/relationships/header" Target="header53.xml"/><Relationship Id="rId146" Type="http://schemas.openxmlformats.org/officeDocument/2006/relationships/header" Target="header68.xml"/><Relationship Id="rId167" Type="http://schemas.openxmlformats.org/officeDocument/2006/relationships/header" Target="header81.xml"/><Relationship Id="rId188" Type="http://schemas.openxmlformats.org/officeDocument/2006/relationships/header" Target="header93.xml"/><Relationship Id="rId71" Type="http://schemas.openxmlformats.org/officeDocument/2006/relationships/footer" Target="footer11.xml"/><Relationship Id="rId92" Type="http://schemas.openxmlformats.org/officeDocument/2006/relationships/footer" Target="footer18.xml"/><Relationship Id="rId213" Type="http://schemas.openxmlformats.org/officeDocument/2006/relationships/header" Target="header110.xml"/><Relationship Id="rId234" Type="http://schemas.openxmlformats.org/officeDocument/2006/relationships/header" Target="header129.xml"/><Relationship Id="rId2" Type="http://schemas.openxmlformats.org/officeDocument/2006/relationships/customXml" Target="../customXml/item2.xml"/><Relationship Id="rId29" Type="http://schemas.openxmlformats.org/officeDocument/2006/relationships/hyperlink" Target="https://my.ncqa.org/" TargetMode="External"/><Relationship Id="rId255" Type="http://schemas.openxmlformats.org/officeDocument/2006/relationships/header" Target="header144.xml"/><Relationship Id="rId276" Type="http://schemas.openxmlformats.org/officeDocument/2006/relationships/header" Target="header153.xml"/><Relationship Id="rId40" Type="http://schemas.openxmlformats.org/officeDocument/2006/relationships/hyperlink" Target="https://www.ncqa.org/faqs/" TargetMode="External"/><Relationship Id="rId115" Type="http://schemas.openxmlformats.org/officeDocument/2006/relationships/header" Target="header44.xml"/><Relationship Id="rId136" Type="http://schemas.openxmlformats.org/officeDocument/2006/relationships/footer" Target="footer30.xml"/><Relationship Id="rId157" Type="http://schemas.openxmlformats.org/officeDocument/2006/relationships/header" Target="header75.xml"/><Relationship Id="rId178" Type="http://schemas.openxmlformats.org/officeDocument/2006/relationships/footer" Target="footer42.xml"/><Relationship Id="rId61" Type="http://schemas.openxmlformats.org/officeDocument/2006/relationships/hyperlink" Target="https://www.ncqa.org/programs/data-and-information-technology/hit-and-data-certification/hedis-compliance-audit-certification/data-aggregator-validation/directory-data-aggregator-validation/" TargetMode="External"/><Relationship Id="rId82" Type="http://schemas.openxmlformats.org/officeDocument/2006/relationships/footer" Target="footer15.xml"/><Relationship Id="rId199" Type="http://schemas.openxmlformats.org/officeDocument/2006/relationships/header" Target="header99.xml"/><Relationship Id="rId203" Type="http://schemas.openxmlformats.org/officeDocument/2006/relationships/header" Target="header102.xml"/><Relationship Id="rId19" Type="http://schemas.openxmlformats.org/officeDocument/2006/relationships/footer" Target="footer3.xml"/><Relationship Id="rId224" Type="http://schemas.openxmlformats.org/officeDocument/2006/relationships/header" Target="header119.xml"/><Relationship Id="rId245" Type="http://schemas.openxmlformats.org/officeDocument/2006/relationships/footer" Target="footer57.xml"/><Relationship Id="rId266" Type="http://schemas.openxmlformats.org/officeDocument/2006/relationships/hyperlink" Target="https://cql.hl7.org/" TargetMode="External"/><Relationship Id="rId30" Type="http://schemas.openxmlformats.org/officeDocument/2006/relationships/hyperlink" Target="https://my.ncqa.org/Downloads" TargetMode="External"/><Relationship Id="rId105" Type="http://schemas.openxmlformats.org/officeDocument/2006/relationships/header" Target="header37.xml"/><Relationship Id="rId126" Type="http://schemas.openxmlformats.org/officeDocument/2006/relationships/header" Target="header54.xml"/><Relationship Id="rId147" Type="http://schemas.openxmlformats.org/officeDocument/2006/relationships/header" Target="header69.xml"/><Relationship Id="rId168" Type="http://schemas.openxmlformats.org/officeDocument/2006/relationships/header" Target="header82.xml"/><Relationship Id="rId51" Type="http://schemas.openxmlformats.org/officeDocument/2006/relationships/footer" Target="footer6.xml"/><Relationship Id="rId72" Type="http://schemas.openxmlformats.org/officeDocument/2006/relationships/footer" Target="footer12.xml"/><Relationship Id="rId93" Type="http://schemas.openxmlformats.org/officeDocument/2006/relationships/header" Target="header30.xml"/><Relationship Id="rId189" Type="http://schemas.openxmlformats.org/officeDocument/2006/relationships/footer" Target="footer47.xml"/><Relationship Id="rId3" Type="http://schemas.openxmlformats.org/officeDocument/2006/relationships/customXml" Target="../customXml/item3.xml"/><Relationship Id="rId214" Type="http://schemas.openxmlformats.org/officeDocument/2006/relationships/footer" Target="footer54.xml"/><Relationship Id="rId235" Type="http://schemas.openxmlformats.org/officeDocument/2006/relationships/header" Target="header130.xml"/><Relationship Id="rId256" Type="http://schemas.openxmlformats.org/officeDocument/2006/relationships/footer" Target="footer61.xml"/><Relationship Id="rId277" Type="http://schemas.openxmlformats.org/officeDocument/2006/relationships/header" Target="header154.xml"/><Relationship Id="rId116" Type="http://schemas.openxmlformats.org/officeDocument/2006/relationships/footer" Target="footer26.xml"/><Relationship Id="rId137" Type="http://schemas.openxmlformats.org/officeDocument/2006/relationships/header" Target="header61.xml"/><Relationship Id="rId158" Type="http://schemas.openxmlformats.org/officeDocument/2006/relationships/header" Target="header76.xml"/><Relationship Id="rId20" Type="http://schemas.openxmlformats.org/officeDocument/2006/relationships/header" Target="header4.xml"/><Relationship Id="rId41" Type="http://schemas.openxmlformats.org/officeDocument/2006/relationships/hyperlink" Target="mailto:hug@ncqa.org" TargetMode="External"/><Relationship Id="rId62" Type="http://schemas.openxmlformats.org/officeDocument/2006/relationships/header" Target="header13.xml"/><Relationship Id="rId83" Type="http://schemas.openxmlformats.org/officeDocument/2006/relationships/header" Target="header23.xml"/><Relationship Id="rId179" Type="http://schemas.openxmlformats.org/officeDocument/2006/relationships/header" Target="header88.xml"/><Relationship Id="rId190" Type="http://schemas.openxmlformats.org/officeDocument/2006/relationships/header" Target="header94.xml"/><Relationship Id="rId204" Type="http://schemas.openxmlformats.org/officeDocument/2006/relationships/header" Target="header103.xml"/><Relationship Id="rId225" Type="http://schemas.openxmlformats.org/officeDocument/2006/relationships/header" Target="header120.xml"/><Relationship Id="rId246" Type="http://schemas.openxmlformats.org/officeDocument/2006/relationships/header" Target="header138.xml"/><Relationship Id="rId267" Type="http://schemas.openxmlformats.org/officeDocument/2006/relationships/hyperlink" Target="https://cql.hl7.org/13-f-glossary.html" TargetMode="External"/><Relationship Id="rId106" Type="http://schemas.openxmlformats.org/officeDocument/2006/relationships/header" Target="header38.xml"/><Relationship Id="rId127" Type="http://schemas.openxmlformats.org/officeDocument/2006/relationships/header" Target="header55.xml"/><Relationship Id="rId10" Type="http://schemas.openxmlformats.org/officeDocument/2006/relationships/endnotes" Target="endnotes.xml"/><Relationship Id="rId31" Type="http://schemas.openxmlformats.org/officeDocument/2006/relationships/hyperlink" Target="https://my.ncqa.org/" TargetMode="External"/><Relationship Id="rId52" Type="http://schemas.openxmlformats.org/officeDocument/2006/relationships/header" Target="header12.xml"/><Relationship Id="rId73" Type="http://schemas.openxmlformats.org/officeDocument/2006/relationships/hyperlink" Target="https://my.ncqa.org/" TargetMode="External"/><Relationship Id="rId94" Type="http://schemas.openxmlformats.org/officeDocument/2006/relationships/header" Target="header31.xml"/><Relationship Id="rId148" Type="http://schemas.openxmlformats.org/officeDocument/2006/relationships/header" Target="header70.xml"/><Relationship Id="rId169" Type="http://schemas.openxmlformats.org/officeDocument/2006/relationships/header" Target="header83.xml"/><Relationship Id="rId4" Type="http://schemas.openxmlformats.org/officeDocument/2006/relationships/customXml" Target="../customXml/item4.xml"/><Relationship Id="rId180" Type="http://schemas.openxmlformats.org/officeDocument/2006/relationships/header" Target="header89.xml"/><Relationship Id="rId215" Type="http://schemas.openxmlformats.org/officeDocument/2006/relationships/hyperlink" Target="https://www.cdc.gov/vaccines/hcp/imz-schedules/child-adolescent-catch-up.html?CDC_AAref_Val=https://www.cdc.gov/vaccines/schedules/hcp/imz/catchup.html" TargetMode="External"/><Relationship Id="rId236" Type="http://schemas.openxmlformats.org/officeDocument/2006/relationships/header" Target="header131.xml"/><Relationship Id="rId257" Type="http://schemas.openxmlformats.org/officeDocument/2006/relationships/header" Target="header145.xml"/><Relationship Id="rId278" Type="http://schemas.openxmlformats.org/officeDocument/2006/relationships/footer" Target="footer68.xml"/><Relationship Id="rId42" Type="http://schemas.openxmlformats.org/officeDocument/2006/relationships/hyperlink" Target="https://store.ncqa.org/" TargetMode="External"/><Relationship Id="rId84" Type="http://schemas.openxmlformats.org/officeDocument/2006/relationships/footer" Target="footer16.xml"/><Relationship Id="rId138" Type="http://schemas.openxmlformats.org/officeDocument/2006/relationships/hyperlink" Target="https://www.aafp.org/family-physician/patient-care/clinical-recommendations/all-clinical-recommendations/bronchiolitis.html" TargetMode="External"/><Relationship Id="rId191" Type="http://schemas.openxmlformats.org/officeDocument/2006/relationships/footer" Target="footer48.xml"/><Relationship Id="rId205" Type="http://schemas.openxmlformats.org/officeDocument/2006/relationships/header" Target="header104.xml"/><Relationship Id="rId247" Type="http://schemas.openxmlformats.org/officeDocument/2006/relationships/header" Target="header139.xml"/><Relationship Id="rId107" Type="http://schemas.openxmlformats.org/officeDocument/2006/relationships/header" Target="header39.xml"/><Relationship Id="rId11" Type="http://schemas.openxmlformats.org/officeDocument/2006/relationships/image" Target="media/image1.png"/><Relationship Id="rId53" Type="http://schemas.openxmlformats.org/officeDocument/2006/relationships/footer" Target="footer7.xml"/><Relationship Id="rId149" Type="http://schemas.openxmlformats.org/officeDocument/2006/relationships/footer" Target="footer31.xml"/><Relationship Id="rId95" Type="http://schemas.openxmlformats.org/officeDocument/2006/relationships/footer" Target="footer19.xml"/><Relationship Id="rId160" Type="http://schemas.openxmlformats.org/officeDocument/2006/relationships/footer" Target="footer35.xml"/><Relationship Id="rId216" Type="http://schemas.openxmlformats.org/officeDocument/2006/relationships/header" Target="header111.xml"/><Relationship Id="rId258" Type="http://schemas.openxmlformats.org/officeDocument/2006/relationships/footer" Target="footer6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courci\Desktop\Templates\HEDIS%20Publications_202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f0cf3c0-3d96-4ea8-9afc-575d686785f9">
      <Terms xmlns="http://schemas.microsoft.com/office/infopath/2007/PartnerControls"/>
    </lcf76f155ced4ddcb4097134ff3c332f>
    <TaxCatchAll xmlns="fbeeefbd-d0b5-46bd-9885-522fc0c9a3f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FD47D13EF01FB41875A9565010CC4B3" ma:contentTypeVersion="12" ma:contentTypeDescription="Create a new document." ma:contentTypeScope="" ma:versionID="0a2b12fa276c392fd58f305135ebd1a9">
  <xsd:schema xmlns:xsd="http://www.w3.org/2001/XMLSchema" xmlns:xs="http://www.w3.org/2001/XMLSchema" xmlns:p="http://schemas.microsoft.com/office/2006/metadata/properties" xmlns:ns2="0f0cf3c0-3d96-4ea8-9afc-575d686785f9" xmlns:ns3="fbeeefbd-d0b5-46bd-9885-522fc0c9a3f3" targetNamespace="http://schemas.microsoft.com/office/2006/metadata/properties" ma:root="true" ma:fieldsID="c9b739283b88674ae4b8347387ca883a" ns2:_="" ns3:_="">
    <xsd:import namespace="0f0cf3c0-3d96-4ea8-9afc-575d686785f9"/>
    <xsd:import namespace="fbeeefbd-d0b5-46bd-9885-522fc0c9a3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0cf3c0-3d96-4ea8-9afc-575d68678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277df9-1e1c-486c-aa02-91191158661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beeefbd-d0b5-46bd-9885-522fc0c9a3f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99da09-0664-4f72-a33d-017d361cf164}" ma:internalName="TaxCatchAll" ma:showField="CatchAllData" ma:web="fbeeefbd-d0b5-46bd-9885-522fc0c9a3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0F2E34-8F69-4BF9-8223-ACA924EF699E}">
  <ds:schemaRefs>
    <ds:schemaRef ds:uri="http://schemas.microsoft.com/office/2006/metadata/properties"/>
    <ds:schemaRef ds:uri="http://schemas.microsoft.com/office/infopath/2007/PartnerControls"/>
    <ds:schemaRef ds:uri="0f0cf3c0-3d96-4ea8-9afc-575d686785f9"/>
    <ds:schemaRef ds:uri="fbeeefbd-d0b5-46bd-9885-522fc0c9a3f3"/>
  </ds:schemaRefs>
</ds:datastoreItem>
</file>

<file path=customXml/itemProps2.xml><?xml version="1.0" encoding="utf-8"?>
<ds:datastoreItem xmlns:ds="http://schemas.openxmlformats.org/officeDocument/2006/customXml" ds:itemID="{0A57B099-D4C1-4D7D-A11E-678539525D43}">
  <ds:schemaRefs>
    <ds:schemaRef ds:uri="http://schemas.microsoft.com/sharepoint/v3/contenttype/forms"/>
  </ds:schemaRefs>
</ds:datastoreItem>
</file>

<file path=customXml/itemProps3.xml><?xml version="1.0" encoding="utf-8"?>
<ds:datastoreItem xmlns:ds="http://schemas.openxmlformats.org/officeDocument/2006/customXml" ds:itemID="{E34D9FD4-7F59-490C-BB1F-B8EEC3E0F31C}">
  <ds:schemaRefs>
    <ds:schemaRef ds:uri="http://schemas.openxmlformats.org/officeDocument/2006/bibliography"/>
  </ds:schemaRefs>
</ds:datastoreItem>
</file>

<file path=customXml/itemProps4.xml><?xml version="1.0" encoding="utf-8"?>
<ds:datastoreItem xmlns:ds="http://schemas.openxmlformats.org/officeDocument/2006/customXml" ds:itemID="{38089D3A-1D53-4067-B271-0C2F92A90E38}"/>
</file>

<file path=docProps/app.xml><?xml version="1.0" encoding="utf-8"?>
<Properties xmlns="http://schemas.openxmlformats.org/officeDocument/2006/extended-properties" xmlns:vt="http://schemas.openxmlformats.org/officeDocument/2006/docPropsVTypes">
  <Template>HEDIS Publications_2023.dotx</Template>
  <TotalTime>2</TotalTime>
  <Pages>708</Pages>
  <Words>211535</Words>
  <Characters>1243827</Characters>
  <Application>Microsoft Office Word</Application>
  <DocSecurity>0</DocSecurity>
  <Lines>36583</Lines>
  <Paragraphs>21721</Paragraphs>
  <ScaleCrop>false</ScaleCrop>
  <HeadingPairs>
    <vt:vector size="2" baseType="variant">
      <vt:variant>
        <vt:lpstr>Title</vt:lpstr>
      </vt:variant>
      <vt:variant>
        <vt:i4>1</vt:i4>
      </vt:variant>
    </vt:vector>
  </HeadingPairs>
  <TitlesOfParts>
    <vt:vector size="1" baseType="lpstr">
      <vt:lpstr/>
    </vt:vector>
  </TitlesOfParts>
  <Company>National Committee for Quality Assurance</Company>
  <LinksUpToDate>false</LinksUpToDate>
  <CharactersWithSpaces>1433641</CharactersWithSpaces>
  <SharedDoc>false</SharedDoc>
  <HLinks>
    <vt:vector size="1218" baseType="variant">
      <vt:variant>
        <vt:i4>6815856</vt:i4>
      </vt:variant>
      <vt:variant>
        <vt:i4>1062</vt:i4>
      </vt:variant>
      <vt:variant>
        <vt:i4>0</vt:i4>
      </vt:variant>
      <vt:variant>
        <vt:i4>5</vt:i4>
      </vt:variant>
      <vt:variant>
        <vt:lpwstr/>
      </vt:variant>
      <vt:variant>
        <vt:lpwstr>Guidelines_for_Sampling</vt:lpwstr>
      </vt:variant>
      <vt:variant>
        <vt:i4>7798893</vt:i4>
      </vt:variant>
      <vt:variant>
        <vt:i4>1059</vt:i4>
      </vt:variant>
      <vt:variant>
        <vt:i4>0</vt:i4>
      </vt:variant>
      <vt:variant>
        <vt:i4>5</vt:i4>
      </vt:variant>
      <vt:variant>
        <vt:lpwstr>https://www.cms.gov/Outreach-and-Education/Medicare-Learning-Network-MLN/MLNProducts/downloads/ruralhlthclinfctsht.pdf</vt:lpwstr>
      </vt:variant>
      <vt:variant>
        <vt:lpwstr/>
      </vt:variant>
      <vt:variant>
        <vt:i4>6357111</vt:i4>
      </vt:variant>
      <vt:variant>
        <vt:i4>1056</vt:i4>
      </vt:variant>
      <vt:variant>
        <vt:i4>0</vt:i4>
      </vt:variant>
      <vt:variant>
        <vt:i4>5</vt:i4>
      </vt:variant>
      <vt:variant>
        <vt:lpwstr>https://hl7.org/fhir/R4/measure-definitions.html</vt:lpwstr>
      </vt:variant>
      <vt:variant>
        <vt:lpwstr>Measure.scoring</vt:lpwstr>
      </vt:variant>
      <vt:variant>
        <vt:i4>6357111</vt:i4>
      </vt:variant>
      <vt:variant>
        <vt:i4>1053</vt:i4>
      </vt:variant>
      <vt:variant>
        <vt:i4>0</vt:i4>
      </vt:variant>
      <vt:variant>
        <vt:i4>5</vt:i4>
      </vt:variant>
      <vt:variant>
        <vt:lpwstr>https://hl7.org/fhir/R4/measure-definitions.html</vt:lpwstr>
      </vt:variant>
      <vt:variant>
        <vt:lpwstr>Measure.scoring</vt:lpwstr>
      </vt:variant>
      <vt:variant>
        <vt:i4>7209075</vt:i4>
      </vt:variant>
      <vt:variant>
        <vt:i4>1050</vt:i4>
      </vt:variant>
      <vt:variant>
        <vt:i4>0</vt:i4>
      </vt:variant>
      <vt:variant>
        <vt:i4>5</vt:i4>
      </vt:variant>
      <vt:variant>
        <vt:lpwstr/>
      </vt:variant>
      <vt:variant>
        <vt:lpwstr>SNP</vt:lpwstr>
      </vt:variant>
      <vt:variant>
        <vt:i4>6815856</vt:i4>
      </vt:variant>
      <vt:variant>
        <vt:i4>1047</vt:i4>
      </vt:variant>
      <vt:variant>
        <vt:i4>0</vt:i4>
      </vt:variant>
      <vt:variant>
        <vt:i4>5</vt:i4>
      </vt:variant>
      <vt:variant>
        <vt:lpwstr/>
      </vt:variant>
      <vt:variant>
        <vt:lpwstr>PHI</vt:lpwstr>
      </vt:variant>
      <vt:variant>
        <vt:i4>3866667</vt:i4>
      </vt:variant>
      <vt:variant>
        <vt:i4>1044</vt:i4>
      </vt:variant>
      <vt:variant>
        <vt:i4>0</vt:i4>
      </vt:variant>
      <vt:variant>
        <vt:i4>5</vt:i4>
      </vt:variant>
      <vt:variant>
        <vt:lpwstr>https://cql.hl7.org/13-f-glossary.html</vt:lpwstr>
      </vt:variant>
      <vt:variant>
        <vt:lpwstr/>
      </vt:variant>
      <vt:variant>
        <vt:i4>7077989</vt:i4>
      </vt:variant>
      <vt:variant>
        <vt:i4>1041</vt:i4>
      </vt:variant>
      <vt:variant>
        <vt:i4>0</vt:i4>
      </vt:variant>
      <vt:variant>
        <vt:i4>5</vt:i4>
      </vt:variant>
      <vt:variant>
        <vt:lpwstr/>
      </vt:variant>
      <vt:variant>
        <vt:lpwstr>ELM</vt:lpwstr>
      </vt:variant>
      <vt:variant>
        <vt:i4>5308440</vt:i4>
      </vt:variant>
      <vt:variant>
        <vt:i4>1038</vt:i4>
      </vt:variant>
      <vt:variant>
        <vt:i4>0</vt:i4>
      </vt:variant>
      <vt:variant>
        <vt:i4>5</vt:i4>
      </vt:variant>
      <vt:variant>
        <vt:lpwstr>https://cql.hl7.org/</vt:lpwstr>
      </vt:variant>
      <vt:variant>
        <vt:lpwstr/>
      </vt:variant>
      <vt:variant>
        <vt:i4>1376308</vt:i4>
      </vt:variant>
      <vt:variant>
        <vt:i4>1035</vt:i4>
      </vt:variant>
      <vt:variant>
        <vt:i4>0</vt:i4>
      </vt:variant>
      <vt:variant>
        <vt:i4>5</vt:i4>
      </vt:variant>
      <vt:variant>
        <vt:lpwstr/>
      </vt:variant>
      <vt:variant>
        <vt:lpwstr>GG_Race_and_Ethnicity</vt:lpwstr>
      </vt:variant>
      <vt:variant>
        <vt:i4>3473454</vt:i4>
      </vt:variant>
      <vt:variant>
        <vt:i4>1032</vt:i4>
      </vt:variant>
      <vt:variant>
        <vt:i4>0</vt:i4>
      </vt:variant>
      <vt:variant>
        <vt:i4>5</vt:i4>
      </vt:variant>
      <vt:variant>
        <vt:lpwstr/>
      </vt:variant>
      <vt:variant>
        <vt:lpwstr>General_Guideline_Data_Collection_Method</vt:lpwstr>
      </vt:variant>
      <vt:variant>
        <vt:i4>3473454</vt:i4>
      </vt:variant>
      <vt:variant>
        <vt:i4>1029</vt:i4>
      </vt:variant>
      <vt:variant>
        <vt:i4>0</vt:i4>
      </vt:variant>
      <vt:variant>
        <vt:i4>5</vt:i4>
      </vt:variant>
      <vt:variant>
        <vt:lpwstr/>
      </vt:variant>
      <vt:variant>
        <vt:lpwstr>General_Guideline_Data_Collection_Method</vt:lpwstr>
      </vt:variant>
      <vt:variant>
        <vt:i4>1376308</vt:i4>
      </vt:variant>
      <vt:variant>
        <vt:i4>1026</vt:i4>
      </vt:variant>
      <vt:variant>
        <vt:i4>0</vt:i4>
      </vt:variant>
      <vt:variant>
        <vt:i4>5</vt:i4>
      </vt:variant>
      <vt:variant>
        <vt:lpwstr/>
      </vt:variant>
      <vt:variant>
        <vt:lpwstr>GG_Race_and_Ethnicity</vt:lpwstr>
      </vt:variant>
      <vt:variant>
        <vt:i4>1376308</vt:i4>
      </vt:variant>
      <vt:variant>
        <vt:i4>1023</vt:i4>
      </vt:variant>
      <vt:variant>
        <vt:i4>0</vt:i4>
      </vt:variant>
      <vt:variant>
        <vt:i4>5</vt:i4>
      </vt:variant>
      <vt:variant>
        <vt:lpwstr/>
      </vt:variant>
      <vt:variant>
        <vt:lpwstr>GG_Race_and_Ethnicity</vt:lpwstr>
      </vt:variant>
      <vt:variant>
        <vt:i4>3473454</vt:i4>
      </vt:variant>
      <vt:variant>
        <vt:i4>1020</vt:i4>
      </vt:variant>
      <vt:variant>
        <vt:i4>0</vt:i4>
      </vt:variant>
      <vt:variant>
        <vt:i4>5</vt:i4>
      </vt:variant>
      <vt:variant>
        <vt:lpwstr/>
      </vt:variant>
      <vt:variant>
        <vt:lpwstr>General_Guideline_Data_Collection_Method</vt:lpwstr>
      </vt:variant>
      <vt:variant>
        <vt:i4>1376308</vt:i4>
      </vt:variant>
      <vt:variant>
        <vt:i4>1017</vt:i4>
      </vt:variant>
      <vt:variant>
        <vt:i4>0</vt:i4>
      </vt:variant>
      <vt:variant>
        <vt:i4>5</vt:i4>
      </vt:variant>
      <vt:variant>
        <vt:lpwstr/>
      </vt:variant>
      <vt:variant>
        <vt:lpwstr>GG_Race_and_Ethnicity</vt:lpwstr>
      </vt:variant>
      <vt:variant>
        <vt:i4>1376308</vt:i4>
      </vt:variant>
      <vt:variant>
        <vt:i4>1014</vt:i4>
      </vt:variant>
      <vt:variant>
        <vt:i4>0</vt:i4>
      </vt:variant>
      <vt:variant>
        <vt:i4>5</vt:i4>
      </vt:variant>
      <vt:variant>
        <vt:lpwstr/>
      </vt:variant>
      <vt:variant>
        <vt:lpwstr>GG_Race_and_Ethnicity</vt:lpwstr>
      </vt:variant>
      <vt:variant>
        <vt:i4>3473454</vt:i4>
      </vt:variant>
      <vt:variant>
        <vt:i4>1011</vt:i4>
      </vt:variant>
      <vt:variant>
        <vt:i4>0</vt:i4>
      </vt:variant>
      <vt:variant>
        <vt:i4>5</vt:i4>
      </vt:variant>
      <vt:variant>
        <vt:lpwstr/>
      </vt:variant>
      <vt:variant>
        <vt:lpwstr>General_Guideline_Data_Collection_Method</vt:lpwstr>
      </vt:variant>
      <vt:variant>
        <vt:i4>1376308</vt:i4>
      </vt:variant>
      <vt:variant>
        <vt:i4>1008</vt:i4>
      </vt:variant>
      <vt:variant>
        <vt:i4>0</vt:i4>
      </vt:variant>
      <vt:variant>
        <vt:i4>5</vt:i4>
      </vt:variant>
      <vt:variant>
        <vt:lpwstr/>
      </vt:variant>
      <vt:variant>
        <vt:lpwstr>GG_Race_and_Ethnicity</vt:lpwstr>
      </vt:variant>
      <vt:variant>
        <vt:i4>1376308</vt:i4>
      </vt:variant>
      <vt:variant>
        <vt:i4>1005</vt:i4>
      </vt:variant>
      <vt:variant>
        <vt:i4>0</vt:i4>
      </vt:variant>
      <vt:variant>
        <vt:i4>5</vt:i4>
      </vt:variant>
      <vt:variant>
        <vt:lpwstr/>
      </vt:variant>
      <vt:variant>
        <vt:lpwstr>GG_Race_and_Ethnicity</vt:lpwstr>
      </vt:variant>
      <vt:variant>
        <vt:i4>3473454</vt:i4>
      </vt:variant>
      <vt:variant>
        <vt:i4>1002</vt:i4>
      </vt:variant>
      <vt:variant>
        <vt:i4>0</vt:i4>
      </vt:variant>
      <vt:variant>
        <vt:i4>5</vt:i4>
      </vt:variant>
      <vt:variant>
        <vt:lpwstr/>
      </vt:variant>
      <vt:variant>
        <vt:lpwstr>General_Guideline_Data_Collection_Method</vt:lpwstr>
      </vt:variant>
      <vt:variant>
        <vt:i4>1376308</vt:i4>
      </vt:variant>
      <vt:variant>
        <vt:i4>999</vt:i4>
      </vt:variant>
      <vt:variant>
        <vt:i4>0</vt:i4>
      </vt:variant>
      <vt:variant>
        <vt:i4>5</vt:i4>
      </vt:variant>
      <vt:variant>
        <vt:lpwstr/>
      </vt:variant>
      <vt:variant>
        <vt:lpwstr>GG_Race_and_Ethnicity</vt:lpwstr>
      </vt:variant>
      <vt:variant>
        <vt:i4>1376308</vt:i4>
      </vt:variant>
      <vt:variant>
        <vt:i4>996</vt:i4>
      </vt:variant>
      <vt:variant>
        <vt:i4>0</vt:i4>
      </vt:variant>
      <vt:variant>
        <vt:i4>5</vt:i4>
      </vt:variant>
      <vt:variant>
        <vt:lpwstr/>
      </vt:variant>
      <vt:variant>
        <vt:lpwstr>GG_Race_and_Ethnicity</vt:lpwstr>
      </vt:variant>
      <vt:variant>
        <vt:i4>3473454</vt:i4>
      </vt:variant>
      <vt:variant>
        <vt:i4>993</vt:i4>
      </vt:variant>
      <vt:variant>
        <vt:i4>0</vt:i4>
      </vt:variant>
      <vt:variant>
        <vt:i4>5</vt:i4>
      </vt:variant>
      <vt:variant>
        <vt:lpwstr/>
      </vt:variant>
      <vt:variant>
        <vt:lpwstr>General_Guideline_Data_Collection_Method</vt:lpwstr>
      </vt:variant>
      <vt:variant>
        <vt:i4>3473454</vt:i4>
      </vt:variant>
      <vt:variant>
        <vt:i4>990</vt:i4>
      </vt:variant>
      <vt:variant>
        <vt:i4>0</vt:i4>
      </vt:variant>
      <vt:variant>
        <vt:i4>5</vt:i4>
      </vt:variant>
      <vt:variant>
        <vt:lpwstr/>
      </vt:variant>
      <vt:variant>
        <vt:lpwstr>General_Guideline_Data_Collection_Method</vt:lpwstr>
      </vt:variant>
      <vt:variant>
        <vt:i4>3473454</vt:i4>
      </vt:variant>
      <vt:variant>
        <vt:i4>987</vt:i4>
      </vt:variant>
      <vt:variant>
        <vt:i4>0</vt:i4>
      </vt:variant>
      <vt:variant>
        <vt:i4>5</vt:i4>
      </vt:variant>
      <vt:variant>
        <vt:lpwstr/>
      </vt:variant>
      <vt:variant>
        <vt:lpwstr>General_Guideline_Data_Collection_Method</vt:lpwstr>
      </vt:variant>
      <vt:variant>
        <vt:i4>3473454</vt:i4>
      </vt:variant>
      <vt:variant>
        <vt:i4>984</vt:i4>
      </vt:variant>
      <vt:variant>
        <vt:i4>0</vt:i4>
      </vt:variant>
      <vt:variant>
        <vt:i4>5</vt:i4>
      </vt:variant>
      <vt:variant>
        <vt:lpwstr/>
      </vt:variant>
      <vt:variant>
        <vt:lpwstr>General_Guideline_Data_Collection_Method</vt:lpwstr>
      </vt:variant>
      <vt:variant>
        <vt:i4>3473454</vt:i4>
      </vt:variant>
      <vt:variant>
        <vt:i4>981</vt:i4>
      </vt:variant>
      <vt:variant>
        <vt:i4>0</vt:i4>
      </vt:variant>
      <vt:variant>
        <vt:i4>5</vt:i4>
      </vt:variant>
      <vt:variant>
        <vt:lpwstr/>
      </vt:variant>
      <vt:variant>
        <vt:lpwstr>General_Guideline_Data_Collection_Method</vt:lpwstr>
      </vt:variant>
      <vt:variant>
        <vt:i4>3473454</vt:i4>
      </vt:variant>
      <vt:variant>
        <vt:i4>978</vt:i4>
      </vt:variant>
      <vt:variant>
        <vt:i4>0</vt:i4>
      </vt:variant>
      <vt:variant>
        <vt:i4>5</vt:i4>
      </vt:variant>
      <vt:variant>
        <vt:lpwstr/>
      </vt:variant>
      <vt:variant>
        <vt:lpwstr>General_Guideline_Data_Collection_Method</vt:lpwstr>
      </vt:variant>
      <vt:variant>
        <vt:i4>3473454</vt:i4>
      </vt:variant>
      <vt:variant>
        <vt:i4>975</vt:i4>
      </vt:variant>
      <vt:variant>
        <vt:i4>0</vt:i4>
      </vt:variant>
      <vt:variant>
        <vt:i4>5</vt:i4>
      </vt:variant>
      <vt:variant>
        <vt:lpwstr/>
      </vt:variant>
      <vt:variant>
        <vt:lpwstr>General_Guideline_Data_Collection_Method</vt:lpwstr>
      </vt:variant>
      <vt:variant>
        <vt:i4>3473454</vt:i4>
      </vt:variant>
      <vt:variant>
        <vt:i4>972</vt:i4>
      </vt:variant>
      <vt:variant>
        <vt:i4>0</vt:i4>
      </vt:variant>
      <vt:variant>
        <vt:i4>5</vt:i4>
      </vt:variant>
      <vt:variant>
        <vt:lpwstr/>
      </vt:variant>
      <vt:variant>
        <vt:lpwstr>General_Guideline_Data_Collection_Method</vt:lpwstr>
      </vt:variant>
      <vt:variant>
        <vt:i4>3473454</vt:i4>
      </vt:variant>
      <vt:variant>
        <vt:i4>969</vt:i4>
      </vt:variant>
      <vt:variant>
        <vt:i4>0</vt:i4>
      </vt:variant>
      <vt:variant>
        <vt:i4>5</vt:i4>
      </vt:variant>
      <vt:variant>
        <vt:lpwstr/>
      </vt:variant>
      <vt:variant>
        <vt:lpwstr>General_Guideline_Data_Collection_Method</vt:lpwstr>
      </vt:variant>
      <vt:variant>
        <vt:i4>3473454</vt:i4>
      </vt:variant>
      <vt:variant>
        <vt:i4>966</vt:i4>
      </vt:variant>
      <vt:variant>
        <vt:i4>0</vt:i4>
      </vt:variant>
      <vt:variant>
        <vt:i4>5</vt:i4>
      </vt:variant>
      <vt:variant>
        <vt:lpwstr/>
      </vt:variant>
      <vt:variant>
        <vt:lpwstr>General_Guideline_Data_Collection_Method</vt:lpwstr>
      </vt:variant>
      <vt:variant>
        <vt:i4>3473454</vt:i4>
      </vt:variant>
      <vt:variant>
        <vt:i4>963</vt:i4>
      </vt:variant>
      <vt:variant>
        <vt:i4>0</vt:i4>
      </vt:variant>
      <vt:variant>
        <vt:i4>5</vt:i4>
      </vt:variant>
      <vt:variant>
        <vt:lpwstr/>
      </vt:variant>
      <vt:variant>
        <vt:lpwstr>General_Guideline_Data_Collection_Method</vt:lpwstr>
      </vt:variant>
      <vt:variant>
        <vt:i4>1376308</vt:i4>
      </vt:variant>
      <vt:variant>
        <vt:i4>960</vt:i4>
      </vt:variant>
      <vt:variant>
        <vt:i4>0</vt:i4>
      </vt:variant>
      <vt:variant>
        <vt:i4>5</vt:i4>
      </vt:variant>
      <vt:variant>
        <vt:lpwstr/>
      </vt:variant>
      <vt:variant>
        <vt:lpwstr>GG_Race_and_Ethnicity</vt:lpwstr>
      </vt:variant>
      <vt:variant>
        <vt:i4>1376308</vt:i4>
      </vt:variant>
      <vt:variant>
        <vt:i4>957</vt:i4>
      </vt:variant>
      <vt:variant>
        <vt:i4>0</vt:i4>
      </vt:variant>
      <vt:variant>
        <vt:i4>5</vt:i4>
      </vt:variant>
      <vt:variant>
        <vt:lpwstr/>
      </vt:variant>
      <vt:variant>
        <vt:lpwstr>GG_Race_and_Ethnicity</vt:lpwstr>
      </vt:variant>
      <vt:variant>
        <vt:i4>3473454</vt:i4>
      </vt:variant>
      <vt:variant>
        <vt:i4>954</vt:i4>
      </vt:variant>
      <vt:variant>
        <vt:i4>0</vt:i4>
      </vt:variant>
      <vt:variant>
        <vt:i4>5</vt:i4>
      </vt:variant>
      <vt:variant>
        <vt:lpwstr/>
      </vt:variant>
      <vt:variant>
        <vt:lpwstr>General_Guideline_Data_Collection_Method</vt:lpwstr>
      </vt:variant>
      <vt:variant>
        <vt:i4>3473454</vt:i4>
      </vt:variant>
      <vt:variant>
        <vt:i4>951</vt:i4>
      </vt:variant>
      <vt:variant>
        <vt:i4>0</vt:i4>
      </vt:variant>
      <vt:variant>
        <vt:i4>5</vt:i4>
      </vt:variant>
      <vt:variant>
        <vt:lpwstr/>
      </vt:variant>
      <vt:variant>
        <vt:lpwstr>General_Guideline_Data_Collection_Method</vt:lpwstr>
      </vt:variant>
      <vt:variant>
        <vt:i4>2752559</vt:i4>
      </vt:variant>
      <vt:variant>
        <vt:i4>948</vt:i4>
      </vt:variant>
      <vt:variant>
        <vt:i4>0</vt:i4>
      </vt:variant>
      <vt:variant>
        <vt:i4>5</vt:i4>
      </vt:variant>
      <vt:variant>
        <vt:lpwstr/>
      </vt:variant>
      <vt:variant>
        <vt:lpwstr>GG_Medicare_Socioeconomic</vt:lpwstr>
      </vt:variant>
      <vt:variant>
        <vt:i4>1376308</vt:i4>
      </vt:variant>
      <vt:variant>
        <vt:i4>945</vt:i4>
      </vt:variant>
      <vt:variant>
        <vt:i4>0</vt:i4>
      </vt:variant>
      <vt:variant>
        <vt:i4>5</vt:i4>
      </vt:variant>
      <vt:variant>
        <vt:lpwstr/>
      </vt:variant>
      <vt:variant>
        <vt:lpwstr>GG_Race_and_Ethnicity</vt:lpwstr>
      </vt:variant>
      <vt:variant>
        <vt:i4>1376308</vt:i4>
      </vt:variant>
      <vt:variant>
        <vt:i4>942</vt:i4>
      </vt:variant>
      <vt:variant>
        <vt:i4>0</vt:i4>
      </vt:variant>
      <vt:variant>
        <vt:i4>5</vt:i4>
      </vt:variant>
      <vt:variant>
        <vt:lpwstr/>
      </vt:variant>
      <vt:variant>
        <vt:lpwstr>GG_Race_and_Ethnicity</vt:lpwstr>
      </vt:variant>
      <vt:variant>
        <vt:i4>3473454</vt:i4>
      </vt:variant>
      <vt:variant>
        <vt:i4>939</vt:i4>
      </vt:variant>
      <vt:variant>
        <vt:i4>0</vt:i4>
      </vt:variant>
      <vt:variant>
        <vt:i4>5</vt:i4>
      </vt:variant>
      <vt:variant>
        <vt:lpwstr/>
      </vt:variant>
      <vt:variant>
        <vt:lpwstr>General_Guideline_Data_Collection_Method</vt:lpwstr>
      </vt:variant>
      <vt:variant>
        <vt:i4>1376308</vt:i4>
      </vt:variant>
      <vt:variant>
        <vt:i4>936</vt:i4>
      </vt:variant>
      <vt:variant>
        <vt:i4>0</vt:i4>
      </vt:variant>
      <vt:variant>
        <vt:i4>5</vt:i4>
      </vt:variant>
      <vt:variant>
        <vt:lpwstr/>
      </vt:variant>
      <vt:variant>
        <vt:lpwstr>GG_Race_and_Ethnicity</vt:lpwstr>
      </vt:variant>
      <vt:variant>
        <vt:i4>1376308</vt:i4>
      </vt:variant>
      <vt:variant>
        <vt:i4>933</vt:i4>
      </vt:variant>
      <vt:variant>
        <vt:i4>0</vt:i4>
      </vt:variant>
      <vt:variant>
        <vt:i4>5</vt:i4>
      </vt:variant>
      <vt:variant>
        <vt:lpwstr/>
      </vt:variant>
      <vt:variant>
        <vt:lpwstr>GG_Race_and_Ethnicity</vt:lpwstr>
      </vt:variant>
      <vt:variant>
        <vt:i4>3473454</vt:i4>
      </vt:variant>
      <vt:variant>
        <vt:i4>930</vt:i4>
      </vt:variant>
      <vt:variant>
        <vt:i4>0</vt:i4>
      </vt:variant>
      <vt:variant>
        <vt:i4>5</vt:i4>
      </vt:variant>
      <vt:variant>
        <vt:lpwstr/>
      </vt:variant>
      <vt:variant>
        <vt:lpwstr>General_Guideline_Data_Collection_Method</vt:lpwstr>
      </vt:variant>
      <vt:variant>
        <vt:i4>3473454</vt:i4>
      </vt:variant>
      <vt:variant>
        <vt:i4>927</vt:i4>
      </vt:variant>
      <vt:variant>
        <vt:i4>0</vt:i4>
      </vt:variant>
      <vt:variant>
        <vt:i4>5</vt:i4>
      </vt:variant>
      <vt:variant>
        <vt:lpwstr/>
      </vt:variant>
      <vt:variant>
        <vt:lpwstr>General_Guideline_Data_Collection_Method</vt:lpwstr>
      </vt:variant>
      <vt:variant>
        <vt:i4>3473454</vt:i4>
      </vt:variant>
      <vt:variant>
        <vt:i4>924</vt:i4>
      </vt:variant>
      <vt:variant>
        <vt:i4>0</vt:i4>
      </vt:variant>
      <vt:variant>
        <vt:i4>5</vt:i4>
      </vt:variant>
      <vt:variant>
        <vt:lpwstr/>
      </vt:variant>
      <vt:variant>
        <vt:lpwstr>General_Guideline_Data_Collection_Method</vt:lpwstr>
      </vt:variant>
      <vt:variant>
        <vt:i4>2752559</vt:i4>
      </vt:variant>
      <vt:variant>
        <vt:i4>921</vt:i4>
      </vt:variant>
      <vt:variant>
        <vt:i4>0</vt:i4>
      </vt:variant>
      <vt:variant>
        <vt:i4>5</vt:i4>
      </vt:variant>
      <vt:variant>
        <vt:lpwstr/>
      </vt:variant>
      <vt:variant>
        <vt:lpwstr>GG_Medicare_Socioeconomic</vt:lpwstr>
      </vt:variant>
      <vt:variant>
        <vt:i4>1376308</vt:i4>
      </vt:variant>
      <vt:variant>
        <vt:i4>918</vt:i4>
      </vt:variant>
      <vt:variant>
        <vt:i4>0</vt:i4>
      </vt:variant>
      <vt:variant>
        <vt:i4>5</vt:i4>
      </vt:variant>
      <vt:variant>
        <vt:lpwstr/>
      </vt:variant>
      <vt:variant>
        <vt:lpwstr>GG_Race_and_Ethnicity</vt:lpwstr>
      </vt:variant>
      <vt:variant>
        <vt:i4>1376308</vt:i4>
      </vt:variant>
      <vt:variant>
        <vt:i4>915</vt:i4>
      </vt:variant>
      <vt:variant>
        <vt:i4>0</vt:i4>
      </vt:variant>
      <vt:variant>
        <vt:i4>5</vt:i4>
      </vt:variant>
      <vt:variant>
        <vt:lpwstr/>
      </vt:variant>
      <vt:variant>
        <vt:lpwstr>GG_Race_and_Ethnicity</vt:lpwstr>
      </vt:variant>
      <vt:variant>
        <vt:i4>3473454</vt:i4>
      </vt:variant>
      <vt:variant>
        <vt:i4>912</vt:i4>
      </vt:variant>
      <vt:variant>
        <vt:i4>0</vt:i4>
      </vt:variant>
      <vt:variant>
        <vt:i4>5</vt:i4>
      </vt:variant>
      <vt:variant>
        <vt:lpwstr/>
      </vt:variant>
      <vt:variant>
        <vt:lpwstr>General_Guideline_Data_Collection_Method</vt:lpwstr>
      </vt:variant>
      <vt:variant>
        <vt:i4>7733311</vt:i4>
      </vt:variant>
      <vt:variant>
        <vt:i4>909</vt:i4>
      </vt:variant>
      <vt:variant>
        <vt:i4>0</vt:i4>
      </vt:variant>
      <vt:variant>
        <vt:i4>5</vt:i4>
      </vt:variant>
      <vt:variant>
        <vt:lpwstr>https://www.cdc.gov/vaccines/hcp/imz-schedules/child-adolescent-catch-up.html?CDC_AAref_Val=https://www.cdc.gov/vaccines/schedules/hcp/imz/catchup.html</vt:lpwstr>
      </vt:variant>
      <vt:variant>
        <vt:lpwstr/>
      </vt:variant>
      <vt:variant>
        <vt:i4>3473454</vt:i4>
      </vt:variant>
      <vt:variant>
        <vt:i4>906</vt:i4>
      </vt:variant>
      <vt:variant>
        <vt:i4>0</vt:i4>
      </vt:variant>
      <vt:variant>
        <vt:i4>5</vt:i4>
      </vt:variant>
      <vt:variant>
        <vt:lpwstr/>
      </vt:variant>
      <vt:variant>
        <vt:lpwstr>General_Guideline_Data_Collection_Method</vt:lpwstr>
      </vt:variant>
      <vt:variant>
        <vt:i4>1376308</vt:i4>
      </vt:variant>
      <vt:variant>
        <vt:i4>903</vt:i4>
      </vt:variant>
      <vt:variant>
        <vt:i4>0</vt:i4>
      </vt:variant>
      <vt:variant>
        <vt:i4>5</vt:i4>
      </vt:variant>
      <vt:variant>
        <vt:lpwstr/>
      </vt:variant>
      <vt:variant>
        <vt:lpwstr>GG_Race_and_Ethnicity</vt:lpwstr>
      </vt:variant>
      <vt:variant>
        <vt:i4>1376308</vt:i4>
      </vt:variant>
      <vt:variant>
        <vt:i4>900</vt:i4>
      </vt:variant>
      <vt:variant>
        <vt:i4>0</vt:i4>
      </vt:variant>
      <vt:variant>
        <vt:i4>5</vt:i4>
      </vt:variant>
      <vt:variant>
        <vt:lpwstr/>
      </vt:variant>
      <vt:variant>
        <vt:lpwstr>GG_Race_and_Ethnicity</vt:lpwstr>
      </vt:variant>
      <vt:variant>
        <vt:i4>7733311</vt:i4>
      </vt:variant>
      <vt:variant>
        <vt:i4>897</vt:i4>
      </vt:variant>
      <vt:variant>
        <vt:i4>0</vt:i4>
      </vt:variant>
      <vt:variant>
        <vt:i4>5</vt:i4>
      </vt:variant>
      <vt:variant>
        <vt:lpwstr>https://www.cdc.gov/vaccines/hcp/imz-schedules/child-adolescent-catch-up.html?CDC_AAref_Val=https://www.cdc.gov/vaccines/schedules/hcp/imz/catchup.html</vt:lpwstr>
      </vt:variant>
      <vt:variant>
        <vt:lpwstr/>
      </vt:variant>
      <vt:variant>
        <vt:i4>3473454</vt:i4>
      </vt:variant>
      <vt:variant>
        <vt:i4>894</vt:i4>
      </vt:variant>
      <vt:variant>
        <vt:i4>0</vt:i4>
      </vt:variant>
      <vt:variant>
        <vt:i4>5</vt:i4>
      </vt:variant>
      <vt:variant>
        <vt:lpwstr/>
      </vt:variant>
      <vt:variant>
        <vt:lpwstr>General_Guideline_Data_Collection_Method</vt:lpwstr>
      </vt:variant>
      <vt:variant>
        <vt:i4>1376308</vt:i4>
      </vt:variant>
      <vt:variant>
        <vt:i4>891</vt:i4>
      </vt:variant>
      <vt:variant>
        <vt:i4>0</vt:i4>
      </vt:variant>
      <vt:variant>
        <vt:i4>5</vt:i4>
      </vt:variant>
      <vt:variant>
        <vt:lpwstr/>
      </vt:variant>
      <vt:variant>
        <vt:lpwstr>GG_Race_and_Ethnicity</vt:lpwstr>
      </vt:variant>
      <vt:variant>
        <vt:i4>1376308</vt:i4>
      </vt:variant>
      <vt:variant>
        <vt:i4>888</vt:i4>
      </vt:variant>
      <vt:variant>
        <vt:i4>0</vt:i4>
      </vt:variant>
      <vt:variant>
        <vt:i4>5</vt:i4>
      </vt:variant>
      <vt:variant>
        <vt:lpwstr/>
      </vt:variant>
      <vt:variant>
        <vt:lpwstr>GG_Race_and_Ethnicity</vt:lpwstr>
      </vt:variant>
      <vt:variant>
        <vt:i4>3473454</vt:i4>
      </vt:variant>
      <vt:variant>
        <vt:i4>885</vt:i4>
      </vt:variant>
      <vt:variant>
        <vt:i4>0</vt:i4>
      </vt:variant>
      <vt:variant>
        <vt:i4>5</vt:i4>
      </vt:variant>
      <vt:variant>
        <vt:lpwstr/>
      </vt:variant>
      <vt:variant>
        <vt:lpwstr>General_Guideline_Data_Collection_Method</vt:lpwstr>
      </vt:variant>
      <vt:variant>
        <vt:i4>2752559</vt:i4>
      </vt:variant>
      <vt:variant>
        <vt:i4>882</vt:i4>
      </vt:variant>
      <vt:variant>
        <vt:i4>0</vt:i4>
      </vt:variant>
      <vt:variant>
        <vt:i4>5</vt:i4>
      </vt:variant>
      <vt:variant>
        <vt:lpwstr/>
      </vt:variant>
      <vt:variant>
        <vt:lpwstr>GG_Medicare_Socioeconomic</vt:lpwstr>
      </vt:variant>
      <vt:variant>
        <vt:i4>3473454</vt:i4>
      </vt:variant>
      <vt:variant>
        <vt:i4>879</vt:i4>
      </vt:variant>
      <vt:variant>
        <vt:i4>0</vt:i4>
      </vt:variant>
      <vt:variant>
        <vt:i4>5</vt:i4>
      </vt:variant>
      <vt:variant>
        <vt:lpwstr/>
      </vt:variant>
      <vt:variant>
        <vt:lpwstr>General_Guideline_Data_Collection_Method</vt:lpwstr>
      </vt:variant>
      <vt:variant>
        <vt:i4>3473454</vt:i4>
      </vt:variant>
      <vt:variant>
        <vt:i4>876</vt:i4>
      </vt:variant>
      <vt:variant>
        <vt:i4>0</vt:i4>
      </vt:variant>
      <vt:variant>
        <vt:i4>5</vt:i4>
      </vt:variant>
      <vt:variant>
        <vt:lpwstr/>
      </vt:variant>
      <vt:variant>
        <vt:lpwstr>General_Guideline_Data_Collection_Method</vt:lpwstr>
      </vt:variant>
      <vt:variant>
        <vt:i4>3473454</vt:i4>
      </vt:variant>
      <vt:variant>
        <vt:i4>873</vt:i4>
      </vt:variant>
      <vt:variant>
        <vt:i4>0</vt:i4>
      </vt:variant>
      <vt:variant>
        <vt:i4>5</vt:i4>
      </vt:variant>
      <vt:variant>
        <vt:lpwstr/>
      </vt:variant>
      <vt:variant>
        <vt:lpwstr>General_Guideline_Data_Collection_Method</vt:lpwstr>
      </vt:variant>
      <vt:variant>
        <vt:i4>3473454</vt:i4>
      </vt:variant>
      <vt:variant>
        <vt:i4>870</vt:i4>
      </vt:variant>
      <vt:variant>
        <vt:i4>0</vt:i4>
      </vt:variant>
      <vt:variant>
        <vt:i4>5</vt:i4>
      </vt:variant>
      <vt:variant>
        <vt:lpwstr/>
      </vt:variant>
      <vt:variant>
        <vt:lpwstr>General_Guideline_Data_Collection_Method</vt:lpwstr>
      </vt:variant>
      <vt:variant>
        <vt:i4>3473454</vt:i4>
      </vt:variant>
      <vt:variant>
        <vt:i4>867</vt:i4>
      </vt:variant>
      <vt:variant>
        <vt:i4>0</vt:i4>
      </vt:variant>
      <vt:variant>
        <vt:i4>5</vt:i4>
      </vt:variant>
      <vt:variant>
        <vt:lpwstr/>
      </vt:variant>
      <vt:variant>
        <vt:lpwstr>General_Guideline_Data_Collection_Method</vt:lpwstr>
      </vt:variant>
      <vt:variant>
        <vt:i4>3473454</vt:i4>
      </vt:variant>
      <vt:variant>
        <vt:i4>864</vt:i4>
      </vt:variant>
      <vt:variant>
        <vt:i4>0</vt:i4>
      </vt:variant>
      <vt:variant>
        <vt:i4>5</vt:i4>
      </vt:variant>
      <vt:variant>
        <vt:lpwstr/>
      </vt:variant>
      <vt:variant>
        <vt:lpwstr>General_Guideline_Data_Collection_Method</vt:lpwstr>
      </vt:variant>
      <vt:variant>
        <vt:i4>3473454</vt:i4>
      </vt:variant>
      <vt:variant>
        <vt:i4>861</vt:i4>
      </vt:variant>
      <vt:variant>
        <vt:i4>0</vt:i4>
      </vt:variant>
      <vt:variant>
        <vt:i4>5</vt:i4>
      </vt:variant>
      <vt:variant>
        <vt:lpwstr/>
      </vt:variant>
      <vt:variant>
        <vt:lpwstr>General_Guideline_Data_Collection_Method</vt:lpwstr>
      </vt:variant>
      <vt:variant>
        <vt:i4>3473454</vt:i4>
      </vt:variant>
      <vt:variant>
        <vt:i4>855</vt:i4>
      </vt:variant>
      <vt:variant>
        <vt:i4>0</vt:i4>
      </vt:variant>
      <vt:variant>
        <vt:i4>5</vt:i4>
      </vt:variant>
      <vt:variant>
        <vt:lpwstr/>
      </vt:variant>
      <vt:variant>
        <vt:lpwstr>General_Guideline_Data_Collection_Method</vt:lpwstr>
      </vt:variant>
      <vt:variant>
        <vt:i4>3473454</vt:i4>
      </vt:variant>
      <vt:variant>
        <vt:i4>852</vt:i4>
      </vt:variant>
      <vt:variant>
        <vt:i4>0</vt:i4>
      </vt:variant>
      <vt:variant>
        <vt:i4>5</vt:i4>
      </vt:variant>
      <vt:variant>
        <vt:lpwstr/>
      </vt:variant>
      <vt:variant>
        <vt:lpwstr>General_Guideline_Data_Collection_Method</vt:lpwstr>
      </vt:variant>
      <vt:variant>
        <vt:i4>2752559</vt:i4>
      </vt:variant>
      <vt:variant>
        <vt:i4>849</vt:i4>
      </vt:variant>
      <vt:variant>
        <vt:i4>0</vt:i4>
      </vt:variant>
      <vt:variant>
        <vt:i4>5</vt:i4>
      </vt:variant>
      <vt:variant>
        <vt:lpwstr/>
      </vt:variant>
      <vt:variant>
        <vt:lpwstr>GG_Medicare_Socioeconomic</vt:lpwstr>
      </vt:variant>
      <vt:variant>
        <vt:i4>3473454</vt:i4>
      </vt:variant>
      <vt:variant>
        <vt:i4>846</vt:i4>
      </vt:variant>
      <vt:variant>
        <vt:i4>0</vt:i4>
      </vt:variant>
      <vt:variant>
        <vt:i4>5</vt:i4>
      </vt:variant>
      <vt:variant>
        <vt:lpwstr/>
      </vt:variant>
      <vt:variant>
        <vt:lpwstr>General_Guideline_Data_Collection_Method</vt:lpwstr>
      </vt:variant>
      <vt:variant>
        <vt:i4>3670089</vt:i4>
      </vt:variant>
      <vt:variant>
        <vt:i4>843</vt:i4>
      </vt:variant>
      <vt:variant>
        <vt:i4>0</vt:i4>
      </vt:variant>
      <vt:variant>
        <vt:i4>5</vt:i4>
      </vt:variant>
      <vt:variant>
        <vt:lpwstr/>
      </vt:variant>
      <vt:variant>
        <vt:lpwstr>Appendix_1</vt:lpwstr>
      </vt:variant>
      <vt:variant>
        <vt:i4>3473454</vt:i4>
      </vt:variant>
      <vt:variant>
        <vt:i4>840</vt:i4>
      </vt:variant>
      <vt:variant>
        <vt:i4>0</vt:i4>
      </vt:variant>
      <vt:variant>
        <vt:i4>5</vt:i4>
      </vt:variant>
      <vt:variant>
        <vt:lpwstr/>
      </vt:variant>
      <vt:variant>
        <vt:lpwstr>General_Guideline_Data_Collection_Method</vt:lpwstr>
      </vt:variant>
      <vt:variant>
        <vt:i4>1376308</vt:i4>
      </vt:variant>
      <vt:variant>
        <vt:i4>837</vt:i4>
      </vt:variant>
      <vt:variant>
        <vt:i4>0</vt:i4>
      </vt:variant>
      <vt:variant>
        <vt:i4>5</vt:i4>
      </vt:variant>
      <vt:variant>
        <vt:lpwstr/>
      </vt:variant>
      <vt:variant>
        <vt:lpwstr>GG_Race_and_Ethnicity</vt:lpwstr>
      </vt:variant>
      <vt:variant>
        <vt:i4>1376308</vt:i4>
      </vt:variant>
      <vt:variant>
        <vt:i4>834</vt:i4>
      </vt:variant>
      <vt:variant>
        <vt:i4>0</vt:i4>
      </vt:variant>
      <vt:variant>
        <vt:i4>5</vt:i4>
      </vt:variant>
      <vt:variant>
        <vt:lpwstr/>
      </vt:variant>
      <vt:variant>
        <vt:lpwstr>GG_Race_and_Ethnicity</vt:lpwstr>
      </vt:variant>
      <vt:variant>
        <vt:i4>3670089</vt:i4>
      </vt:variant>
      <vt:variant>
        <vt:i4>831</vt:i4>
      </vt:variant>
      <vt:variant>
        <vt:i4>0</vt:i4>
      </vt:variant>
      <vt:variant>
        <vt:i4>5</vt:i4>
      </vt:variant>
      <vt:variant>
        <vt:lpwstr/>
      </vt:variant>
      <vt:variant>
        <vt:lpwstr>Appendix_1</vt:lpwstr>
      </vt:variant>
      <vt:variant>
        <vt:i4>3473454</vt:i4>
      </vt:variant>
      <vt:variant>
        <vt:i4>828</vt:i4>
      </vt:variant>
      <vt:variant>
        <vt:i4>0</vt:i4>
      </vt:variant>
      <vt:variant>
        <vt:i4>5</vt:i4>
      </vt:variant>
      <vt:variant>
        <vt:lpwstr/>
      </vt:variant>
      <vt:variant>
        <vt:lpwstr>General_Guideline_Data_Collection_Method</vt:lpwstr>
      </vt:variant>
      <vt:variant>
        <vt:i4>1376308</vt:i4>
      </vt:variant>
      <vt:variant>
        <vt:i4>825</vt:i4>
      </vt:variant>
      <vt:variant>
        <vt:i4>0</vt:i4>
      </vt:variant>
      <vt:variant>
        <vt:i4>5</vt:i4>
      </vt:variant>
      <vt:variant>
        <vt:lpwstr/>
      </vt:variant>
      <vt:variant>
        <vt:lpwstr>GG_Race_and_Ethnicity</vt:lpwstr>
      </vt:variant>
      <vt:variant>
        <vt:i4>1376308</vt:i4>
      </vt:variant>
      <vt:variant>
        <vt:i4>822</vt:i4>
      </vt:variant>
      <vt:variant>
        <vt:i4>0</vt:i4>
      </vt:variant>
      <vt:variant>
        <vt:i4>5</vt:i4>
      </vt:variant>
      <vt:variant>
        <vt:lpwstr/>
      </vt:variant>
      <vt:variant>
        <vt:lpwstr>GG_Race_and_Ethnicity</vt:lpwstr>
      </vt:variant>
      <vt:variant>
        <vt:i4>3473454</vt:i4>
      </vt:variant>
      <vt:variant>
        <vt:i4>819</vt:i4>
      </vt:variant>
      <vt:variant>
        <vt:i4>0</vt:i4>
      </vt:variant>
      <vt:variant>
        <vt:i4>5</vt:i4>
      </vt:variant>
      <vt:variant>
        <vt:lpwstr/>
      </vt:variant>
      <vt:variant>
        <vt:lpwstr>General_Guideline_Data_Collection_Method</vt:lpwstr>
      </vt:variant>
      <vt:variant>
        <vt:i4>6815856</vt:i4>
      </vt:variant>
      <vt:variant>
        <vt:i4>816</vt:i4>
      </vt:variant>
      <vt:variant>
        <vt:i4>0</vt:i4>
      </vt:variant>
      <vt:variant>
        <vt:i4>5</vt:i4>
      </vt:variant>
      <vt:variant>
        <vt:lpwstr/>
      </vt:variant>
      <vt:variant>
        <vt:lpwstr>Guidelines_for_Sampling</vt:lpwstr>
      </vt:variant>
      <vt:variant>
        <vt:i4>3473454</vt:i4>
      </vt:variant>
      <vt:variant>
        <vt:i4>813</vt:i4>
      </vt:variant>
      <vt:variant>
        <vt:i4>0</vt:i4>
      </vt:variant>
      <vt:variant>
        <vt:i4>5</vt:i4>
      </vt:variant>
      <vt:variant>
        <vt:lpwstr/>
      </vt:variant>
      <vt:variant>
        <vt:lpwstr>General_Guideline_Data_Collection_Method</vt:lpwstr>
      </vt:variant>
      <vt:variant>
        <vt:i4>1376308</vt:i4>
      </vt:variant>
      <vt:variant>
        <vt:i4>810</vt:i4>
      </vt:variant>
      <vt:variant>
        <vt:i4>0</vt:i4>
      </vt:variant>
      <vt:variant>
        <vt:i4>5</vt:i4>
      </vt:variant>
      <vt:variant>
        <vt:lpwstr/>
      </vt:variant>
      <vt:variant>
        <vt:lpwstr>GG_Race_and_Ethnicity</vt:lpwstr>
      </vt:variant>
      <vt:variant>
        <vt:i4>1376308</vt:i4>
      </vt:variant>
      <vt:variant>
        <vt:i4>807</vt:i4>
      </vt:variant>
      <vt:variant>
        <vt:i4>0</vt:i4>
      </vt:variant>
      <vt:variant>
        <vt:i4>5</vt:i4>
      </vt:variant>
      <vt:variant>
        <vt:lpwstr/>
      </vt:variant>
      <vt:variant>
        <vt:lpwstr>GG_Race_and_Ethnicity</vt:lpwstr>
      </vt:variant>
      <vt:variant>
        <vt:i4>3473454</vt:i4>
      </vt:variant>
      <vt:variant>
        <vt:i4>804</vt:i4>
      </vt:variant>
      <vt:variant>
        <vt:i4>0</vt:i4>
      </vt:variant>
      <vt:variant>
        <vt:i4>5</vt:i4>
      </vt:variant>
      <vt:variant>
        <vt:lpwstr/>
      </vt:variant>
      <vt:variant>
        <vt:lpwstr>General_Guideline_Data_Collection_Method</vt:lpwstr>
      </vt:variant>
      <vt:variant>
        <vt:i4>1376308</vt:i4>
      </vt:variant>
      <vt:variant>
        <vt:i4>801</vt:i4>
      </vt:variant>
      <vt:variant>
        <vt:i4>0</vt:i4>
      </vt:variant>
      <vt:variant>
        <vt:i4>5</vt:i4>
      </vt:variant>
      <vt:variant>
        <vt:lpwstr/>
      </vt:variant>
      <vt:variant>
        <vt:lpwstr>GG_Race_and_Ethnicity</vt:lpwstr>
      </vt:variant>
      <vt:variant>
        <vt:i4>1376308</vt:i4>
      </vt:variant>
      <vt:variant>
        <vt:i4>798</vt:i4>
      </vt:variant>
      <vt:variant>
        <vt:i4>0</vt:i4>
      </vt:variant>
      <vt:variant>
        <vt:i4>5</vt:i4>
      </vt:variant>
      <vt:variant>
        <vt:lpwstr/>
      </vt:variant>
      <vt:variant>
        <vt:lpwstr>GG_Race_and_Ethnicity</vt:lpwstr>
      </vt:variant>
      <vt:variant>
        <vt:i4>5570642</vt:i4>
      </vt:variant>
      <vt:variant>
        <vt:i4>795</vt:i4>
      </vt:variant>
      <vt:variant>
        <vt:i4>0</vt:i4>
      </vt:variant>
      <vt:variant>
        <vt:i4>5</vt:i4>
      </vt:variant>
      <vt:variant>
        <vt:lpwstr>https://doi.org/10.1097/ADM.0000000000000633</vt:lpwstr>
      </vt:variant>
      <vt:variant>
        <vt:lpwstr/>
      </vt:variant>
      <vt:variant>
        <vt:i4>3473454</vt:i4>
      </vt:variant>
      <vt:variant>
        <vt:i4>792</vt:i4>
      </vt:variant>
      <vt:variant>
        <vt:i4>0</vt:i4>
      </vt:variant>
      <vt:variant>
        <vt:i4>5</vt:i4>
      </vt:variant>
      <vt:variant>
        <vt:lpwstr/>
      </vt:variant>
      <vt:variant>
        <vt:lpwstr>General_Guideline_Data_Collection_Method</vt:lpwstr>
      </vt:variant>
      <vt:variant>
        <vt:i4>3473454</vt:i4>
      </vt:variant>
      <vt:variant>
        <vt:i4>789</vt:i4>
      </vt:variant>
      <vt:variant>
        <vt:i4>0</vt:i4>
      </vt:variant>
      <vt:variant>
        <vt:i4>5</vt:i4>
      </vt:variant>
      <vt:variant>
        <vt:lpwstr/>
      </vt:variant>
      <vt:variant>
        <vt:lpwstr>General_Guideline_Data_Collection_Method</vt:lpwstr>
      </vt:variant>
      <vt:variant>
        <vt:i4>3473454</vt:i4>
      </vt:variant>
      <vt:variant>
        <vt:i4>786</vt:i4>
      </vt:variant>
      <vt:variant>
        <vt:i4>0</vt:i4>
      </vt:variant>
      <vt:variant>
        <vt:i4>5</vt:i4>
      </vt:variant>
      <vt:variant>
        <vt:lpwstr/>
      </vt:variant>
      <vt:variant>
        <vt:lpwstr>General_Guideline_Data_Collection_Method</vt:lpwstr>
      </vt:variant>
      <vt:variant>
        <vt:i4>3473454</vt:i4>
      </vt:variant>
      <vt:variant>
        <vt:i4>783</vt:i4>
      </vt:variant>
      <vt:variant>
        <vt:i4>0</vt:i4>
      </vt:variant>
      <vt:variant>
        <vt:i4>5</vt:i4>
      </vt:variant>
      <vt:variant>
        <vt:lpwstr/>
      </vt:variant>
      <vt:variant>
        <vt:lpwstr>General_Guideline_Data_Collection_Method</vt:lpwstr>
      </vt:variant>
      <vt:variant>
        <vt:i4>3473454</vt:i4>
      </vt:variant>
      <vt:variant>
        <vt:i4>780</vt:i4>
      </vt:variant>
      <vt:variant>
        <vt:i4>0</vt:i4>
      </vt:variant>
      <vt:variant>
        <vt:i4>5</vt:i4>
      </vt:variant>
      <vt:variant>
        <vt:lpwstr/>
      </vt:variant>
      <vt:variant>
        <vt:lpwstr>General_Guideline_Data_Collection_Method</vt:lpwstr>
      </vt:variant>
      <vt:variant>
        <vt:i4>3473454</vt:i4>
      </vt:variant>
      <vt:variant>
        <vt:i4>777</vt:i4>
      </vt:variant>
      <vt:variant>
        <vt:i4>0</vt:i4>
      </vt:variant>
      <vt:variant>
        <vt:i4>5</vt:i4>
      </vt:variant>
      <vt:variant>
        <vt:lpwstr/>
      </vt:variant>
      <vt:variant>
        <vt:lpwstr>General_Guideline_Data_Collection_Method</vt:lpwstr>
      </vt:variant>
      <vt:variant>
        <vt:i4>3473454</vt:i4>
      </vt:variant>
      <vt:variant>
        <vt:i4>774</vt:i4>
      </vt:variant>
      <vt:variant>
        <vt:i4>0</vt:i4>
      </vt:variant>
      <vt:variant>
        <vt:i4>5</vt:i4>
      </vt:variant>
      <vt:variant>
        <vt:lpwstr/>
      </vt:variant>
      <vt:variant>
        <vt:lpwstr>General_Guideline_Data_Collection_Method</vt:lpwstr>
      </vt:variant>
      <vt:variant>
        <vt:i4>3473454</vt:i4>
      </vt:variant>
      <vt:variant>
        <vt:i4>771</vt:i4>
      </vt:variant>
      <vt:variant>
        <vt:i4>0</vt:i4>
      </vt:variant>
      <vt:variant>
        <vt:i4>5</vt:i4>
      </vt:variant>
      <vt:variant>
        <vt:lpwstr/>
      </vt:variant>
      <vt:variant>
        <vt:lpwstr>General_Guideline_Data_Collection_Method</vt:lpwstr>
      </vt:variant>
      <vt:variant>
        <vt:i4>5111876</vt:i4>
      </vt:variant>
      <vt:variant>
        <vt:i4>768</vt:i4>
      </vt:variant>
      <vt:variant>
        <vt:i4>0</vt:i4>
      </vt:variant>
      <vt:variant>
        <vt:i4>5</vt:i4>
      </vt:variant>
      <vt:variant>
        <vt:lpwstr>https://doi.org/10.1097/BRS.0b013e3181d952a5</vt:lpwstr>
      </vt:variant>
      <vt:variant>
        <vt:lpwstr/>
      </vt:variant>
      <vt:variant>
        <vt:i4>3473454</vt:i4>
      </vt:variant>
      <vt:variant>
        <vt:i4>765</vt:i4>
      </vt:variant>
      <vt:variant>
        <vt:i4>0</vt:i4>
      </vt:variant>
      <vt:variant>
        <vt:i4>5</vt:i4>
      </vt:variant>
      <vt:variant>
        <vt:lpwstr/>
      </vt:variant>
      <vt:variant>
        <vt:lpwstr>General_Guideline_Data_Collection_Method</vt:lpwstr>
      </vt:variant>
      <vt:variant>
        <vt:i4>3997746</vt:i4>
      </vt:variant>
      <vt:variant>
        <vt:i4>762</vt:i4>
      </vt:variant>
      <vt:variant>
        <vt:i4>0</vt:i4>
      </vt:variant>
      <vt:variant>
        <vt:i4>5</vt:i4>
      </vt:variant>
      <vt:variant>
        <vt:lpwstr>https://www.aafp.org/family-physician/patient-care/clinical-recommendations/all-clinical-recommendations/bronchiolitis.html</vt:lpwstr>
      </vt:variant>
      <vt:variant>
        <vt:lpwstr/>
      </vt:variant>
      <vt:variant>
        <vt:i4>3473454</vt:i4>
      </vt:variant>
      <vt:variant>
        <vt:i4>759</vt:i4>
      </vt:variant>
      <vt:variant>
        <vt:i4>0</vt:i4>
      </vt:variant>
      <vt:variant>
        <vt:i4>5</vt:i4>
      </vt:variant>
      <vt:variant>
        <vt:lpwstr/>
      </vt:variant>
      <vt:variant>
        <vt:lpwstr>General_Guideline_Data_Collection_Method</vt:lpwstr>
      </vt:variant>
      <vt:variant>
        <vt:i4>3473454</vt:i4>
      </vt:variant>
      <vt:variant>
        <vt:i4>756</vt:i4>
      </vt:variant>
      <vt:variant>
        <vt:i4>0</vt:i4>
      </vt:variant>
      <vt:variant>
        <vt:i4>5</vt:i4>
      </vt:variant>
      <vt:variant>
        <vt:lpwstr/>
      </vt:variant>
      <vt:variant>
        <vt:lpwstr>General_Guideline_Data_Collection_Method</vt:lpwstr>
      </vt:variant>
      <vt:variant>
        <vt:i4>3473454</vt:i4>
      </vt:variant>
      <vt:variant>
        <vt:i4>753</vt:i4>
      </vt:variant>
      <vt:variant>
        <vt:i4>0</vt:i4>
      </vt:variant>
      <vt:variant>
        <vt:i4>5</vt:i4>
      </vt:variant>
      <vt:variant>
        <vt:lpwstr/>
      </vt:variant>
      <vt:variant>
        <vt:lpwstr>General_Guideline_Data_Collection_Method</vt:lpwstr>
      </vt:variant>
      <vt:variant>
        <vt:i4>6815856</vt:i4>
      </vt:variant>
      <vt:variant>
        <vt:i4>750</vt:i4>
      </vt:variant>
      <vt:variant>
        <vt:i4>0</vt:i4>
      </vt:variant>
      <vt:variant>
        <vt:i4>5</vt:i4>
      </vt:variant>
      <vt:variant>
        <vt:lpwstr/>
      </vt:variant>
      <vt:variant>
        <vt:lpwstr>Guidelines_for_Sampling</vt:lpwstr>
      </vt:variant>
      <vt:variant>
        <vt:i4>3670089</vt:i4>
      </vt:variant>
      <vt:variant>
        <vt:i4>747</vt:i4>
      </vt:variant>
      <vt:variant>
        <vt:i4>0</vt:i4>
      </vt:variant>
      <vt:variant>
        <vt:i4>5</vt:i4>
      </vt:variant>
      <vt:variant>
        <vt:lpwstr/>
      </vt:variant>
      <vt:variant>
        <vt:lpwstr>Appendix_1</vt:lpwstr>
      </vt:variant>
      <vt:variant>
        <vt:i4>3473454</vt:i4>
      </vt:variant>
      <vt:variant>
        <vt:i4>744</vt:i4>
      </vt:variant>
      <vt:variant>
        <vt:i4>0</vt:i4>
      </vt:variant>
      <vt:variant>
        <vt:i4>5</vt:i4>
      </vt:variant>
      <vt:variant>
        <vt:lpwstr/>
      </vt:variant>
      <vt:variant>
        <vt:lpwstr>General_Guideline_Data_Collection_Method</vt:lpwstr>
      </vt:variant>
      <vt:variant>
        <vt:i4>3473454</vt:i4>
      </vt:variant>
      <vt:variant>
        <vt:i4>741</vt:i4>
      </vt:variant>
      <vt:variant>
        <vt:i4>0</vt:i4>
      </vt:variant>
      <vt:variant>
        <vt:i4>5</vt:i4>
      </vt:variant>
      <vt:variant>
        <vt:lpwstr/>
      </vt:variant>
      <vt:variant>
        <vt:lpwstr>General_Guideline_Data_Collection_Method</vt:lpwstr>
      </vt:variant>
      <vt:variant>
        <vt:i4>3473454</vt:i4>
      </vt:variant>
      <vt:variant>
        <vt:i4>738</vt:i4>
      </vt:variant>
      <vt:variant>
        <vt:i4>0</vt:i4>
      </vt:variant>
      <vt:variant>
        <vt:i4>5</vt:i4>
      </vt:variant>
      <vt:variant>
        <vt:lpwstr/>
      </vt:variant>
      <vt:variant>
        <vt:lpwstr>General_Guideline_Data_Collection_Method</vt:lpwstr>
      </vt:variant>
      <vt:variant>
        <vt:i4>3473454</vt:i4>
      </vt:variant>
      <vt:variant>
        <vt:i4>735</vt:i4>
      </vt:variant>
      <vt:variant>
        <vt:i4>0</vt:i4>
      </vt:variant>
      <vt:variant>
        <vt:i4>5</vt:i4>
      </vt:variant>
      <vt:variant>
        <vt:lpwstr/>
      </vt:variant>
      <vt:variant>
        <vt:lpwstr>General_Guideline_Data_Collection_Method</vt:lpwstr>
      </vt:variant>
      <vt:variant>
        <vt:i4>3473454</vt:i4>
      </vt:variant>
      <vt:variant>
        <vt:i4>732</vt:i4>
      </vt:variant>
      <vt:variant>
        <vt:i4>0</vt:i4>
      </vt:variant>
      <vt:variant>
        <vt:i4>5</vt:i4>
      </vt:variant>
      <vt:variant>
        <vt:lpwstr/>
      </vt:variant>
      <vt:variant>
        <vt:lpwstr>General_Guideline_Data_Collection_Method</vt:lpwstr>
      </vt:variant>
      <vt:variant>
        <vt:i4>3473454</vt:i4>
      </vt:variant>
      <vt:variant>
        <vt:i4>729</vt:i4>
      </vt:variant>
      <vt:variant>
        <vt:i4>0</vt:i4>
      </vt:variant>
      <vt:variant>
        <vt:i4>5</vt:i4>
      </vt:variant>
      <vt:variant>
        <vt:lpwstr/>
      </vt:variant>
      <vt:variant>
        <vt:lpwstr>General_Guideline_Data_Collection_Method</vt:lpwstr>
      </vt:variant>
      <vt:variant>
        <vt:i4>3473454</vt:i4>
      </vt:variant>
      <vt:variant>
        <vt:i4>726</vt:i4>
      </vt:variant>
      <vt:variant>
        <vt:i4>0</vt:i4>
      </vt:variant>
      <vt:variant>
        <vt:i4>5</vt:i4>
      </vt:variant>
      <vt:variant>
        <vt:lpwstr/>
      </vt:variant>
      <vt:variant>
        <vt:lpwstr>General_Guideline_Data_Collection_Method</vt:lpwstr>
      </vt:variant>
      <vt:variant>
        <vt:i4>1376308</vt:i4>
      </vt:variant>
      <vt:variant>
        <vt:i4>723</vt:i4>
      </vt:variant>
      <vt:variant>
        <vt:i4>0</vt:i4>
      </vt:variant>
      <vt:variant>
        <vt:i4>5</vt:i4>
      </vt:variant>
      <vt:variant>
        <vt:lpwstr/>
      </vt:variant>
      <vt:variant>
        <vt:lpwstr>GG_Race_and_Ethnicity</vt:lpwstr>
      </vt:variant>
      <vt:variant>
        <vt:i4>1376308</vt:i4>
      </vt:variant>
      <vt:variant>
        <vt:i4>720</vt:i4>
      </vt:variant>
      <vt:variant>
        <vt:i4>0</vt:i4>
      </vt:variant>
      <vt:variant>
        <vt:i4>5</vt:i4>
      </vt:variant>
      <vt:variant>
        <vt:lpwstr/>
      </vt:variant>
      <vt:variant>
        <vt:lpwstr>GG_Race_and_Ethnicity</vt:lpwstr>
      </vt:variant>
      <vt:variant>
        <vt:i4>3670089</vt:i4>
      </vt:variant>
      <vt:variant>
        <vt:i4>717</vt:i4>
      </vt:variant>
      <vt:variant>
        <vt:i4>0</vt:i4>
      </vt:variant>
      <vt:variant>
        <vt:i4>5</vt:i4>
      </vt:variant>
      <vt:variant>
        <vt:lpwstr/>
      </vt:variant>
      <vt:variant>
        <vt:lpwstr>Appendix_1</vt:lpwstr>
      </vt:variant>
      <vt:variant>
        <vt:i4>3473454</vt:i4>
      </vt:variant>
      <vt:variant>
        <vt:i4>714</vt:i4>
      </vt:variant>
      <vt:variant>
        <vt:i4>0</vt:i4>
      </vt:variant>
      <vt:variant>
        <vt:i4>5</vt:i4>
      </vt:variant>
      <vt:variant>
        <vt:lpwstr/>
      </vt:variant>
      <vt:variant>
        <vt:lpwstr>General_Guideline_Data_Collection_Method</vt:lpwstr>
      </vt:variant>
      <vt:variant>
        <vt:i4>1376308</vt:i4>
      </vt:variant>
      <vt:variant>
        <vt:i4>711</vt:i4>
      </vt:variant>
      <vt:variant>
        <vt:i4>0</vt:i4>
      </vt:variant>
      <vt:variant>
        <vt:i4>5</vt:i4>
      </vt:variant>
      <vt:variant>
        <vt:lpwstr/>
      </vt:variant>
      <vt:variant>
        <vt:lpwstr>GG_Race_and_Ethnicity</vt:lpwstr>
      </vt:variant>
      <vt:variant>
        <vt:i4>1376308</vt:i4>
      </vt:variant>
      <vt:variant>
        <vt:i4>708</vt:i4>
      </vt:variant>
      <vt:variant>
        <vt:i4>0</vt:i4>
      </vt:variant>
      <vt:variant>
        <vt:i4>5</vt:i4>
      </vt:variant>
      <vt:variant>
        <vt:lpwstr/>
      </vt:variant>
      <vt:variant>
        <vt:lpwstr>GG_Race_and_Ethnicity</vt:lpwstr>
      </vt:variant>
      <vt:variant>
        <vt:i4>3473454</vt:i4>
      </vt:variant>
      <vt:variant>
        <vt:i4>705</vt:i4>
      </vt:variant>
      <vt:variant>
        <vt:i4>0</vt:i4>
      </vt:variant>
      <vt:variant>
        <vt:i4>5</vt:i4>
      </vt:variant>
      <vt:variant>
        <vt:lpwstr/>
      </vt:variant>
      <vt:variant>
        <vt:lpwstr>General_Guideline_Data_Collection_Method</vt:lpwstr>
      </vt:variant>
      <vt:variant>
        <vt:i4>3473454</vt:i4>
      </vt:variant>
      <vt:variant>
        <vt:i4>702</vt:i4>
      </vt:variant>
      <vt:variant>
        <vt:i4>0</vt:i4>
      </vt:variant>
      <vt:variant>
        <vt:i4>5</vt:i4>
      </vt:variant>
      <vt:variant>
        <vt:lpwstr/>
      </vt:variant>
      <vt:variant>
        <vt:lpwstr>General_Guideline_Data_Collection_Method</vt:lpwstr>
      </vt:variant>
      <vt:variant>
        <vt:i4>3473454</vt:i4>
      </vt:variant>
      <vt:variant>
        <vt:i4>699</vt:i4>
      </vt:variant>
      <vt:variant>
        <vt:i4>0</vt:i4>
      </vt:variant>
      <vt:variant>
        <vt:i4>5</vt:i4>
      </vt:variant>
      <vt:variant>
        <vt:lpwstr/>
      </vt:variant>
      <vt:variant>
        <vt:lpwstr>General_Guideline_Data_Collection_Method</vt:lpwstr>
      </vt:variant>
      <vt:variant>
        <vt:i4>1376308</vt:i4>
      </vt:variant>
      <vt:variant>
        <vt:i4>696</vt:i4>
      </vt:variant>
      <vt:variant>
        <vt:i4>0</vt:i4>
      </vt:variant>
      <vt:variant>
        <vt:i4>5</vt:i4>
      </vt:variant>
      <vt:variant>
        <vt:lpwstr/>
      </vt:variant>
      <vt:variant>
        <vt:lpwstr>GG_Race_and_Ethnicity</vt:lpwstr>
      </vt:variant>
      <vt:variant>
        <vt:i4>1376308</vt:i4>
      </vt:variant>
      <vt:variant>
        <vt:i4>693</vt:i4>
      </vt:variant>
      <vt:variant>
        <vt:i4>0</vt:i4>
      </vt:variant>
      <vt:variant>
        <vt:i4>5</vt:i4>
      </vt:variant>
      <vt:variant>
        <vt:lpwstr/>
      </vt:variant>
      <vt:variant>
        <vt:lpwstr>GG_Race_and_Ethnicity</vt:lpwstr>
      </vt:variant>
      <vt:variant>
        <vt:i4>3473454</vt:i4>
      </vt:variant>
      <vt:variant>
        <vt:i4>690</vt:i4>
      </vt:variant>
      <vt:variant>
        <vt:i4>0</vt:i4>
      </vt:variant>
      <vt:variant>
        <vt:i4>5</vt:i4>
      </vt:variant>
      <vt:variant>
        <vt:lpwstr/>
      </vt:variant>
      <vt:variant>
        <vt:lpwstr>General_Guideline_Data_Collection_Method</vt:lpwstr>
      </vt:variant>
      <vt:variant>
        <vt:i4>1376308</vt:i4>
      </vt:variant>
      <vt:variant>
        <vt:i4>687</vt:i4>
      </vt:variant>
      <vt:variant>
        <vt:i4>0</vt:i4>
      </vt:variant>
      <vt:variant>
        <vt:i4>5</vt:i4>
      </vt:variant>
      <vt:variant>
        <vt:lpwstr/>
      </vt:variant>
      <vt:variant>
        <vt:lpwstr>GG_Race_and_Ethnicity</vt:lpwstr>
      </vt:variant>
      <vt:variant>
        <vt:i4>1376308</vt:i4>
      </vt:variant>
      <vt:variant>
        <vt:i4>684</vt:i4>
      </vt:variant>
      <vt:variant>
        <vt:i4>0</vt:i4>
      </vt:variant>
      <vt:variant>
        <vt:i4>5</vt:i4>
      </vt:variant>
      <vt:variant>
        <vt:lpwstr/>
      </vt:variant>
      <vt:variant>
        <vt:lpwstr>GG_Race_and_Ethnicity</vt:lpwstr>
      </vt:variant>
      <vt:variant>
        <vt:i4>3473454</vt:i4>
      </vt:variant>
      <vt:variant>
        <vt:i4>681</vt:i4>
      </vt:variant>
      <vt:variant>
        <vt:i4>0</vt:i4>
      </vt:variant>
      <vt:variant>
        <vt:i4>5</vt:i4>
      </vt:variant>
      <vt:variant>
        <vt:lpwstr/>
      </vt:variant>
      <vt:variant>
        <vt:lpwstr>General_Guideline_Data_Collection_Method</vt:lpwstr>
      </vt:variant>
      <vt:variant>
        <vt:i4>3473454</vt:i4>
      </vt:variant>
      <vt:variant>
        <vt:i4>678</vt:i4>
      </vt:variant>
      <vt:variant>
        <vt:i4>0</vt:i4>
      </vt:variant>
      <vt:variant>
        <vt:i4>5</vt:i4>
      </vt:variant>
      <vt:variant>
        <vt:lpwstr/>
      </vt:variant>
      <vt:variant>
        <vt:lpwstr>General_Guideline_Data_Collection_Method</vt:lpwstr>
      </vt:variant>
      <vt:variant>
        <vt:i4>3473454</vt:i4>
      </vt:variant>
      <vt:variant>
        <vt:i4>675</vt:i4>
      </vt:variant>
      <vt:variant>
        <vt:i4>0</vt:i4>
      </vt:variant>
      <vt:variant>
        <vt:i4>5</vt:i4>
      </vt:variant>
      <vt:variant>
        <vt:lpwstr/>
      </vt:variant>
      <vt:variant>
        <vt:lpwstr>General_Guideline_Data_Collection_Method</vt:lpwstr>
      </vt:variant>
      <vt:variant>
        <vt:i4>3473454</vt:i4>
      </vt:variant>
      <vt:variant>
        <vt:i4>672</vt:i4>
      </vt:variant>
      <vt:variant>
        <vt:i4>0</vt:i4>
      </vt:variant>
      <vt:variant>
        <vt:i4>5</vt:i4>
      </vt:variant>
      <vt:variant>
        <vt:lpwstr/>
      </vt:variant>
      <vt:variant>
        <vt:lpwstr>General_Guideline_Data_Collection_Method</vt:lpwstr>
      </vt:variant>
      <vt:variant>
        <vt:i4>1376308</vt:i4>
      </vt:variant>
      <vt:variant>
        <vt:i4>669</vt:i4>
      </vt:variant>
      <vt:variant>
        <vt:i4>0</vt:i4>
      </vt:variant>
      <vt:variant>
        <vt:i4>5</vt:i4>
      </vt:variant>
      <vt:variant>
        <vt:lpwstr/>
      </vt:variant>
      <vt:variant>
        <vt:lpwstr>GG_Race_and_Ethnicity</vt:lpwstr>
      </vt:variant>
      <vt:variant>
        <vt:i4>1376308</vt:i4>
      </vt:variant>
      <vt:variant>
        <vt:i4>666</vt:i4>
      </vt:variant>
      <vt:variant>
        <vt:i4>0</vt:i4>
      </vt:variant>
      <vt:variant>
        <vt:i4>5</vt:i4>
      </vt:variant>
      <vt:variant>
        <vt:lpwstr/>
      </vt:variant>
      <vt:variant>
        <vt:lpwstr>GG_Race_and_Ethnicity</vt:lpwstr>
      </vt:variant>
      <vt:variant>
        <vt:i4>3473454</vt:i4>
      </vt:variant>
      <vt:variant>
        <vt:i4>663</vt:i4>
      </vt:variant>
      <vt:variant>
        <vt:i4>0</vt:i4>
      </vt:variant>
      <vt:variant>
        <vt:i4>5</vt:i4>
      </vt:variant>
      <vt:variant>
        <vt:lpwstr/>
      </vt:variant>
      <vt:variant>
        <vt:lpwstr>General_Guideline_Data_Collection_Method</vt:lpwstr>
      </vt:variant>
      <vt:variant>
        <vt:i4>2752559</vt:i4>
      </vt:variant>
      <vt:variant>
        <vt:i4>660</vt:i4>
      </vt:variant>
      <vt:variant>
        <vt:i4>0</vt:i4>
      </vt:variant>
      <vt:variant>
        <vt:i4>5</vt:i4>
      </vt:variant>
      <vt:variant>
        <vt:lpwstr/>
      </vt:variant>
      <vt:variant>
        <vt:lpwstr>GG_Medicare_Socioeconomic</vt:lpwstr>
      </vt:variant>
      <vt:variant>
        <vt:i4>1376308</vt:i4>
      </vt:variant>
      <vt:variant>
        <vt:i4>657</vt:i4>
      </vt:variant>
      <vt:variant>
        <vt:i4>0</vt:i4>
      </vt:variant>
      <vt:variant>
        <vt:i4>5</vt:i4>
      </vt:variant>
      <vt:variant>
        <vt:lpwstr/>
      </vt:variant>
      <vt:variant>
        <vt:lpwstr>GG_Race_and_Ethnicity</vt:lpwstr>
      </vt:variant>
      <vt:variant>
        <vt:i4>1376308</vt:i4>
      </vt:variant>
      <vt:variant>
        <vt:i4>654</vt:i4>
      </vt:variant>
      <vt:variant>
        <vt:i4>0</vt:i4>
      </vt:variant>
      <vt:variant>
        <vt:i4>5</vt:i4>
      </vt:variant>
      <vt:variant>
        <vt:lpwstr/>
      </vt:variant>
      <vt:variant>
        <vt:lpwstr>GG_Race_and_Ethnicity</vt:lpwstr>
      </vt:variant>
      <vt:variant>
        <vt:i4>6815856</vt:i4>
      </vt:variant>
      <vt:variant>
        <vt:i4>651</vt:i4>
      </vt:variant>
      <vt:variant>
        <vt:i4>0</vt:i4>
      </vt:variant>
      <vt:variant>
        <vt:i4>5</vt:i4>
      </vt:variant>
      <vt:variant>
        <vt:lpwstr/>
      </vt:variant>
      <vt:variant>
        <vt:lpwstr>Guidelines_for_Sampling</vt:lpwstr>
      </vt:variant>
      <vt:variant>
        <vt:i4>3473454</vt:i4>
      </vt:variant>
      <vt:variant>
        <vt:i4>648</vt:i4>
      </vt:variant>
      <vt:variant>
        <vt:i4>0</vt:i4>
      </vt:variant>
      <vt:variant>
        <vt:i4>5</vt:i4>
      </vt:variant>
      <vt:variant>
        <vt:lpwstr/>
      </vt:variant>
      <vt:variant>
        <vt:lpwstr>General_Guideline_Data_Collection_Method</vt:lpwstr>
      </vt:variant>
      <vt:variant>
        <vt:i4>6815856</vt:i4>
      </vt:variant>
      <vt:variant>
        <vt:i4>645</vt:i4>
      </vt:variant>
      <vt:variant>
        <vt:i4>0</vt:i4>
      </vt:variant>
      <vt:variant>
        <vt:i4>5</vt:i4>
      </vt:variant>
      <vt:variant>
        <vt:lpwstr/>
      </vt:variant>
      <vt:variant>
        <vt:lpwstr>Guidelines_for_Sampling</vt:lpwstr>
      </vt:variant>
      <vt:variant>
        <vt:i4>3473454</vt:i4>
      </vt:variant>
      <vt:variant>
        <vt:i4>642</vt:i4>
      </vt:variant>
      <vt:variant>
        <vt:i4>0</vt:i4>
      </vt:variant>
      <vt:variant>
        <vt:i4>5</vt:i4>
      </vt:variant>
      <vt:variant>
        <vt:lpwstr/>
      </vt:variant>
      <vt:variant>
        <vt:lpwstr>General_Guideline_Data_Collection_Method</vt:lpwstr>
      </vt:variant>
      <vt:variant>
        <vt:i4>1376308</vt:i4>
      </vt:variant>
      <vt:variant>
        <vt:i4>639</vt:i4>
      </vt:variant>
      <vt:variant>
        <vt:i4>0</vt:i4>
      </vt:variant>
      <vt:variant>
        <vt:i4>5</vt:i4>
      </vt:variant>
      <vt:variant>
        <vt:lpwstr/>
      </vt:variant>
      <vt:variant>
        <vt:lpwstr>GG_Race_and_Ethnicity</vt:lpwstr>
      </vt:variant>
      <vt:variant>
        <vt:i4>1376308</vt:i4>
      </vt:variant>
      <vt:variant>
        <vt:i4>636</vt:i4>
      </vt:variant>
      <vt:variant>
        <vt:i4>0</vt:i4>
      </vt:variant>
      <vt:variant>
        <vt:i4>5</vt:i4>
      </vt:variant>
      <vt:variant>
        <vt:lpwstr/>
      </vt:variant>
      <vt:variant>
        <vt:lpwstr>GG_Race_and_Ethnicity</vt:lpwstr>
      </vt:variant>
      <vt:variant>
        <vt:i4>3473454</vt:i4>
      </vt:variant>
      <vt:variant>
        <vt:i4>633</vt:i4>
      </vt:variant>
      <vt:variant>
        <vt:i4>0</vt:i4>
      </vt:variant>
      <vt:variant>
        <vt:i4>5</vt:i4>
      </vt:variant>
      <vt:variant>
        <vt:lpwstr/>
      </vt:variant>
      <vt:variant>
        <vt:lpwstr>General_Guideline_Data_Collection_Method</vt:lpwstr>
      </vt:variant>
      <vt:variant>
        <vt:i4>3473454</vt:i4>
      </vt:variant>
      <vt:variant>
        <vt:i4>630</vt:i4>
      </vt:variant>
      <vt:variant>
        <vt:i4>0</vt:i4>
      </vt:variant>
      <vt:variant>
        <vt:i4>5</vt:i4>
      </vt:variant>
      <vt:variant>
        <vt:lpwstr/>
      </vt:variant>
      <vt:variant>
        <vt:lpwstr>General_Guideline_Data_Collection_Method</vt:lpwstr>
      </vt:variant>
      <vt:variant>
        <vt:i4>6815856</vt:i4>
      </vt:variant>
      <vt:variant>
        <vt:i4>627</vt:i4>
      </vt:variant>
      <vt:variant>
        <vt:i4>0</vt:i4>
      </vt:variant>
      <vt:variant>
        <vt:i4>5</vt:i4>
      </vt:variant>
      <vt:variant>
        <vt:lpwstr/>
      </vt:variant>
      <vt:variant>
        <vt:lpwstr>Guidelines_for_Sampling</vt:lpwstr>
      </vt:variant>
      <vt:variant>
        <vt:i4>3473454</vt:i4>
      </vt:variant>
      <vt:variant>
        <vt:i4>624</vt:i4>
      </vt:variant>
      <vt:variant>
        <vt:i4>0</vt:i4>
      </vt:variant>
      <vt:variant>
        <vt:i4>5</vt:i4>
      </vt:variant>
      <vt:variant>
        <vt:lpwstr/>
      </vt:variant>
      <vt:variant>
        <vt:lpwstr>General_Guideline_Data_Collection_Method</vt:lpwstr>
      </vt:variant>
      <vt:variant>
        <vt:i4>1376308</vt:i4>
      </vt:variant>
      <vt:variant>
        <vt:i4>621</vt:i4>
      </vt:variant>
      <vt:variant>
        <vt:i4>0</vt:i4>
      </vt:variant>
      <vt:variant>
        <vt:i4>5</vt:i4>
      </vt:variant>
      <vt:variant>
        <vt:lpwstr/>
      </vt:variant>
      <vt:variant>
        <vt:lpwstr>GG_Race_and_Ethnicity</vt:lpwstr>
      </vt:variant>
      <vt:variant>
        <vt:i4>1376308</vt:i4>
      </vt:variant>
      <vt:variant>
        <vt:i4>618</vt:i4>
      </vt:variant>
      <vt:variant>
        <vt:i4>0</vt:i4>
      </vt:variant>
      <vt:variant>
        <vt:i4>5</vt:i4>
      </vt:variant>
      <vt:variant>
        <vt:lpwstr/>
      </vt:variant>
      <vt:variant>
        <vt:lpwstr>GG_Race_and_Ethnicity</vt:lpwstr>
      </vt:variant>
      <vt:variant>
        <vt:i4>327749</vt:i4>
      </vt:variant>
      <vt:variant>
        <vt:i4>615</vt:i4>
      </vt:variant>
      <vt:variant>
        <vt:i4>0</vt:i4>
      </vt:variant>
      <vt:variant>
        <vt:i4>5</vt:i4>
      </vt:variant>
      <vt:variant>
        <vt:lpwstr>https://doi.org/10.1001/jama.2013.284427</vt:lpwstr>
      </vt:variant>
      <vt:variant>
        <vt:lpwstr/>
      </vt:variant>
      <vt:variant>
        <vt:i4>3473454</vt:i4>
      </vt:variant>
      <vt:variant>
        <vt:i4>612</vt:i4>
      </vt:variant>
      <vt:variant>
        <vt:i4>0</vt:i4>
      </vt:variant>
      <vt:variant>
        <vt:i4>5</vt:i4>
      </vt:variant>
      <vt:variant>
        <vt:lpwstr/>
      </vt:variant>
      <vt:variant>
        <vt:lpwstr>General_Guideline_Data_Collection_Method</vt:lpwstr>
      </vt:variant>
      <vt:variant>
        <vt:i4>3473454</vt:i4>
      </vt:variant>
      <vt:variant>
        <vt:i4>609</vt:i4>
      </vt:variant>
      <vt:variant>
        <vt:i4>0</vt:i4>
      </vt:variant>
      <vt:variant>
        <vt:i4>5</vt:i4>
      </vt:variant>
      <vt:variant>
        <vt:lpwstr/>
      </vt:variant>
      <vt:variant>
        <vt:lpwstr>General_Guideline_Data_Collection_Method</vt:lpwstr>
      </vt:variant>
      <vt:variant>
        <vt:i4>3473454</vt:i4>
      </vt:variant>
      <vt:variant>
        <vt:i4>606</vt:i4>
      </vt:variant>
      <vt:variant>
        <vt:i4>0</vt:i4>
      </vt:variant>
      <vt:variant>
        <vt:i4>5</vt:i4>
      </vt:variant>
      <vt:variant>
        <vt:lpwstr/>
      </vt:variant>
      <vt:variant>
        <vt:lpwstr>General_Guideline_Data_Collection_Method</vt:lpwstr>
      </vt:variant>
      <vt:variant>
        <vt:i4>3473454</vt:i4>
      </vt:variant>
      <vt:variant>
        <vt:i4>603</vt:i4>
      </vt:variant>
      <vt:variant>
        <vt:i4>0</vt:i4>
      </vt:variant>
      <vt:variant>
        <vt:i4>5</vt:i4>
      </vt:variant>
      <vt:variant>
        <vt:lpwstr/>
      </vt:variant>
      <vt:variant>
        <vt:lpwstr>General_Guideline_Data_Collection_Method</vt:lpwstr>
      </vt:variant>
      <vt:variant>
        <vt:i4>6815856</vt:i4>
      </vt:variant>
      <vt:variant>
        <vt:i4>600</vt:i4>
      </vt:variant>
      <vt:variant>
        <vt:i4>0</vt:i4>
      </vt:variant>
      <vt:variant>
        <vt:i4>5</vt:i4>
      </vt:variant>
      <vt:variant>
        <vt:lpwstr/>
      </vt:variant>
      <vt:variant>
        <vt:lpwstr>Guidelines_for_Sampling</vt:lpwstr>
      </vt:variant>
      <vt:variant>
        <vt:i4>3670089</vt:i4>
      </vt:variant>
      <vt:variant>
        <vt:i4>597</vt:i4>
      </vt:variant>
      <vt:variant>
        <vt:i4>0</vt:i4>
      </vt:variant>
      <vt:variant>
        <vt:i4>5</vt:i4>
      </vt:variant>
      <vt:variant>
        <vt:lpwstr/>
      </vt:variant>
      <vt:variant>
        <vt:lpwstr>Appendix_1</vt:lpwstr>
      </vt:variant>
      <vt:variant>
        <vt:i4>3473454</vt:i4>
      </vt:variant>
      <vt:variant>
        <vt:i4>594</vt:i4>
      </vt:variant>
      <vt:variant>
        <vt:i4>0</vt:i4>
      </vt:variant>
      <vt:variant>
        <vt:i4>5</vt:i4>
      </vt:variant>
      <vt:variant>
        <vt:lpwstr/>
      </vt:variant>
      <vt:variant>
        <vt:lpwstr>General_Guideline_Data_Collection_Method</vt:lpwstr>
      </vt:variant>
      <vt:variant>
        <vt:i4>3473454</vt:i4>
      </vt:variant>
      <vt:variant>
        <vt:i4>591</vt:i4>
      </vt:variant>
      <vt:variant>
        <vt:i4>0</vt:i4>
      </vt:variant>
      <vt:variant>
        <vt:i4>5</vt:i4>
      </vt:variant>
      <vt:variant>
        <vt:lpwstr/>
      </vt:variant>
      <vt:variant>
        <vt:lpwstr>General_Guideline_Data_Collection_Method</vt:lpwstr>
      </vt:variant>
      <vt:variant>
        <vt:i4>6815856</vt:i4>
      </vt:variant>
      <vt:variant>
        <vt:i4>588</vt:i4>
      </vt:variant>
      <vt:variant>
        <vt:i4>0</vt:i4>
      </vt:variant>
      <vt:variant>
        <vt:i4>5</vt:i4>
      </vt:variant>
      <vt:variant>
        <vt:lpwstr/>
      </vt:variant>
      <vt:variant>
        <vt:lpwstr>Guidelines_for_Sampling</vt:lpwstr>
      </vt:variant>
      <vt:variant>
        <vt:i4>3670089</vt:i4>
      </vt:variant>
      <vt:variant>
        <vt:i4>585</vt:i4>
      </vt:variant>
      <vt:variant>
        <vt:i4>0</vt:i4>
      </vt:variant>
      <vt:variant>
        <vt:i4>5</vt:i4>
      </vt:variant>
      <vt:variant>
        <vt:lpwstr/>
      </vt:variant>
      <vt:variant>
        <vt:lpwstr>Appendix_1</vt:lpwstr>
      </vt:variant>
      <vt:variant>
        <vt:i4>3473454</vt:i4>
      </vt:variant>
      <vt:variant>
        <vt:i4>582</vt:i4>
      </vt:variant>
      <vt:variant>
        <vt:i4>0</vt:i4>
      </vt:variant>
      <vt:variant>
        <vt:i4>5</vt:i4>
      </vt:variant>
      <vt:variant>
        <vt:lpwstr/>
      </vt:variant>
      <vt:variant>
        <vt:lpwstr>General_Guideline_Data_Collection_Method</vt:lpwstr>
      </vt:variant>
      <vt:variant>
        <vt:i4>262153</vt:i4>
      </vt:variant>
      <vt:variant>
        <vt:i4>579</vt:i4>
      </vt:variant>
      <vt:variant>
        <vt:i4>0</vt:i4>
      </vt:variant>
      <vt:variant>
        <vt:i4>5</vt:i4>
      </vt:variant>
      <vt:variant>
        <vt:lpwstr>https://my.ncqa.org/</vt:lpwstr>
      </vt:variant>
      <vt:variant>
        <vt:lpwstr/>
      </vt:variant>
      <vt:variant>
        <vt:i4>327708</vt:i4>
      </vt:variant>
      <vt:variant>
        <vt:i4>576</vt:i4>
      </vt:variant>
      <vt:variant>
        <vt:i4>0</vt:i4>
      </vt:variant>
      <vt:variant>
        <vt:i4>5</vt:i4>
      </vt:variant>
      <vt:variant>
        <vt:lpwstr/>
      </vt:variant>
      <vt:variant>
        <vt:lpwstr>RAND</vt:lpwstr>
      </vt:variant>
      <vt:variant>
        <vt:i4>262153</vt:i4>
      </vt:variant>
      <vt:variant>
        <vt:i4>573</vt:i4>
      </vt:variant>
      <vt:variant>
        <vt:i4>0</vt:i4>
      </vt:variant>
      <vt:variant>
        <vt:i4>5</vt:i4>
      </vt:variant>
      <vt:variant>
        <vt:lpwstr>https://my.ncqa.org/</vt:lpwstr>
      </vt:variant>
      <vt:variant>
        <vt:lpwstr/>
      </vt:variant>
      <vt:variant>
        <vt:i4>131101</vt:i4>
      </vt:variant>
      <vt:variant>
        <vt:i4>570</vt:i4>
      </vt:variant>
      <vt:variant>
        <vt:i4>0</vt:i4>
      </vt:variant>
      <vt:variant>
        <vt:i4>5</vt:i4>
      </vt:variant>
      <vt:variant>
        <vt:lpwstr/>
      </vt:variant>
      <vt:variant>
        <vt:lpwstr>DetermineRSS</vt:lpwstr>
      </vt:variant>
      <vt:variant>
        <vt:i4>262153</vt:i4>
      </vt:variant>
      <vt:variant>
        <vt:i4>567</vt:i4>
      </vt:variant>
      <vt:variant>
        <vt:i4>0</vt:i4>
      </vt:variant>
      <vt:variant>
        <vt:i4>5</vt:i4>
      </vt:variant>
      <vt:variant>
        <vt:lpwstr>https://my.ncqa.org/</vt:lpwstr>
      </vt:variant>
      <vt:variant>
        <vt:lpwstr/>
      </vt:variant>
      <vt:variant>
        <vt:i4>6750304</vt:i4>
      </vt:variant>
      <vt:variant>
        <vt:i4>564</vt:i4>
      </vt:variant>
      <vt:variant>
        <vt:i4>0</vt:i4>
      </vt:variant>
      <vt:variant>
        <vt:i4>5</vt:i4>
      </vt:variant>
      <vt:variant>
        <vt:lpwstr/>
      </vt:variant>
      <vt:variant>
        <vt:lpwstr>MembershipDependent</vt:lpwstr>
      </vt:variant>
      <vt:variant>
        <vt:i4>3670089</vt:i4>
      </vt:variant>
      <vt:variant>
        <vt:i4>561</vt:i4>
      </vt:variant>
      <vt:variant>
        <vt:i4>0</vt:i4>
      </vt:variant>
      <vt:variant>
        <vt:i4>5</vt:i4>
      </vt:variant>
      <vt:variant>
        <vt:lpwstr/>
      </vt:variant>
      <vt:variant>
        <vt:lpwstr>Appendix_1</vt:lpwstr>
      </vt:variant>
      <vt:variant>
        <vt:i4>6619209</vt:i4>
      </vt:variant>
      <vt:variant>
        <vt:i4>558</vt:i4>
      </vt:variant>
      <vt:variant>
        <vt:i4>0</vt:i4>
      </vt:variant>
      <vt:variant>
        <vt:i4>5</vt:i4>
      </vt:variant>
      <vt:variant>
        <vt:lpwstr/>
      </vt:variant>
      <vt:variant>
        <vt:lpwstr>GG_SelfReported_and_BiometricValues</vt:lpwstr>
      </vt:variant>
      <vt:variant>
        <vt:i4>3342383</vt:i4>
      </vt:variant>
      <vt:variant>
        <vt:i4>555</vt:i4>
      </vt:variant>
      <vt:variant>
        <vt:i4>0</vt:i4>
      </vt:variant>
      <vt:variant>
        <vt:i4>5</vt:i4>
      </vt:variant>
      <vt:variant>
        <vt:lpwstr>https://www.ncqa.org/programs/data-and-information-technology/hit-and-data-certification/hedis-compliance-audit-certification/data-aggregator-validation/directory-data-aggregator-validation/</vt:lpwstr>
      </vt:variant>
      <vt:variant>
        <vt:lpwstr/>
      </vt:variant>
      <vt:variant>
        <vt:i4>7995460</vt:i4>
      </vt:variant>
      <vt:variant>
        <vt:i4>552</vt:i4>
      </vt:variant>
      <vt:variant>
        <vt:i4>0</vt:i4>
      </vt:variant>
      <vt:variant>
        <vt:i4>5</vt:i4>
      </vt:variant>
      <vt:variant>
        <vt:lpwstr/>
      </vt:variant>
      <vt:variant>
        <vt:lpwstr>GG_SupplementalData</vt:lpwstr>
      </vt:variant>
      <vt:variant>
        <vt:i4>262153</vt:i4>
      </vt:variant>
      <vt:variant>
        <vt:i4>549</vt:i4>
      </vt:variant>
      <vt:variant>
        <vt:i4>0</vt:i4>
      </vt:variant>
      <vt:variant>
        <vt:i4>5</vt:i4>
      </vt:variant>
      <vt:variant>
        <vt:lpwstr>https://my.ncqa.org/</vt:lpwstr>
      </vt:variant>
      <vt:variant>
        <vt:lpwstr/>
      </vt:variant>
      <vt:variant>
        <vt:i4>4325379</vt:i4>
      </vt:variant>
      <vt:variant>
        <vt:i4>546</vt:i4>
      </vt:variant>
      <vt:variant>
        <vt:i4>0</vt:i4>
      </vt:variant>
      <vt:variant>
        <vt:i4>5</vt:i4>
      </vt:variant>
      <vt:variant>
        <vt:lpwstr>https://www.ncqa.org/</vt:lpwstr>
      </vt:variant>
      <vt:variant>
        <vt:lpwstr/>
      </vt:variant>
      <vt:variant>
        <vt:i4>8192037</vt:i4>
      </vt:variant>
      <vt:variant>
        <vt:i4>543</vt:i4>
      </vt:variant>
      <vt:variant>
        <vt:i4>0</vt:i4>
      </vt:variant>
      <vt:variant>
        <vt:i4>5</vt:i4>
      </vt:variant>
      <vt:variant>
        <vt:lpwstr>https://www.ncqa.org/programs/data-and-information-technology/hit-and-data-certification/hedis-compliance-audit-certification/</vt:lpwstr>
      </vt:variant>
      <vt:variant>
        <vt:lpwstr/>
      </vt:variant>
      <vt:variant>
        <vt:i4>262153</vt:i4>
      </vt:variant>
      <vt:variant>
        <vt:i4>540</vt:i4>
      </vt:variant>
      <vt:variant>
        <vt:i4>0</vt:i4>
      </vt:variant>
      <vt:variant>
        <vt:i4>5</vt:i4>
      </vt:variant>
      <vt:variant>
        <vt:lpwstr>https://my.ncqa.org/</vt:lpwstr>
      </vt:variant>
      <vt:variant>
        <vt:lpwstr/>
      </vt:variant>
      <vt:variant>
        <vt:i4>7602237</vt:i4>
      </vt:variant>
      <vt:variant>
        <vt:i4>537</vt:i4>
      </vt:variant>
      <vt:variant>
        <vt:i4>0</vt:i4>
      </vt:variant>
      <vt:variant>
        <vt:i4>5</vt:i4>
      </vt:variant>
      <vt:variant>
        <vt:lpwstr>https://www.ncqa.org/hedis/health-plan-ratings/</vt:lpwstr>
      </vt:variant>
      <vt:variant>
        <vt:lpwstr/>
      </vt:variant>
      <vt:variant>
        <vt:i4>7602237</vt:i4>
      </vt:variant>
      <vt:variant>
        <vt:i4>528</vt:i4>
      </vt:variant>
      <vt:variant>
        <vt:i4>0</vt:i4>
      </vt:variant>
      <vt:variant>
        <vt:i4>5</vt:i4>
      </vt:variant>
      <vt:variant>
        <vt:lpwstr>https://www.ncqa.org/hedis/health-plan-ratings/</vt:lpwstr>
      </vt:variant>
      <vt:variant>
        <vt:lpwstr/>
      </vt:variant>
      <vt:variant>
        <vt:i4>262182</vt:i4>
      </vt:variant>
      <vt:variant>
        <vt:i4>525</vt:i4>
      </vt:variant>
      <vt:variant>
        <vt:i4>0</vt:i4>
      </vt:variant>
      <vt:variant>
        <vt:i4>5</vt:i4>
      </vt:variant>
      <vt:variant>
        <vt:lpwstr/>
      </vt:variant>
      <vt:variant>
        <vt:lpwstr>GG_Reporting_ASO_SelfInsured</vt:lpwstr>
      </vt:variant>
      <vt:variant>
        <vt:i4>262153</vt:i4>
      </vt:variant>
      <vt:variant>
        <vt:i4>522</vt:i4>
      </vt:variant>
      <vt:variant>
        <vt:i4>0</vt:i4>
      </vt:variant>
      <vt:variant>
        <vt:i4>5</vt:i4>
      </vt:variant>
      <vt:variant>
        <vt:lpwstr>https://my.ncqa.org/</vt:lpwstr>
      </vt:variant>
      <vt:variant>
        <vt:lpwstr/>
      </vt:variant>
      <vt:variant>
        <vt:i4>262153</vt:i4>
      </vt:variant>
      <vt:variant>
        <vt:i4>519</vt:i4>
      </vt:variant>
      <vt:variant>
        <vt:i4>0</vt:i4>
      </vt:variant>
      <vt:variant>
        <vt:i4>5</vt:i4>
      </vt:variant>
      <vt:variant>
        <vt:lpwstr>https://my.ncqa.org/</vt:lpwstr>
      </vt:variant>
      <vt:variant>
        <vt:lpwstr/>
      </vt:variant>
      <vt:variant>
        <vt:i4>2228289</vt:i4>
      </vt:variant>
      <vt:variant>
        <vt:i4>516</vt:i4>
      </vt:variant>
      <vt:variant>
        <vt:i4>0</vt:i4>
      </vt:variant>
      <vt:variant>
        <vt:i4>5</vt:i4>
      </vt:variant>
      <vt:variant>
        <vt:lpwstr>mailto:reports@lighthouse-services.com</vt:lpwstr>
      </vt:variant>
      <vt:variant>
        <vt:lpwstr/>
      </vt:variant>
      <vt:variant>
        <vt:i4>5242908</vt:i4>
      </vt:variant>
      <vt:variant>
        <vt:i4>513</vt:i4>
      </vt:variant>
      <vt:variant>
        <vt:i4>0</vt:i4>
      </vt:variant>
      <vt:variant>
        <vt:i4>5</vt:i4>
      </vt:variant>
      <vt:variant>
        <vt:lpwstr>https://www.lighthouse-services.com/ncqa</vt:lpwstr>
      </vt:variant>
      <vt:variant>
        <vt:lpwstr/>
      </vt:variant>
      <vt:variant>
        <vt:i4>4325398</vt:i4>
      </vt:variant>
      <vt:variant>
        <vt:i4>510</vt:i4>
      </vt:variant>
      <vt:variant>
        <vt:i4>0</vt:i4>
      </vt:variant>
      <vt:variant>
        <vt:i4>5</vt:i4>
      </vt:variant>
      <vt:variant>
        <vt:lpwstr>https://ncqa.sharepoint.com/CIO/measurevalidation/2021/Certification &amp; Licensure/Certification/Handbook/www.ncqa.org</vt:lpwstr>
      </vt:variant>
      <vt:variant>
        <vt:lpwstr/>
      </vt:variant>
      <vt:variant>
        <vt:i4>917512</vt:i4>
      </vt:variant>
      <vt:variant>
        <vt:i4>507</vt:i4>
      </vt:variant>
      <vt:variant>
        <vt:i4>0</vt:i4>
      </vt:variant>
      <vt:variant>
        <vt:i4>5</vt:i4>
      </vt:variant>
      <vt:variant>
        <vt:lpwstr>https://www.ncqa.org/education-training/</vt:lpwstr>
      </vt:variant>
      <vt:variant>
        <vt:lpwstr/>
      </vt:variant>
      <vt:variant>
        <vt:i4>3342458</vt:i4>
      </vt:variant>
      <vt:variant>
        <vt:i4>504</vt:i4>
      </vt:variant>
      <vt:variant>
        <vt:i4>0</vt:i4>
      </vt:variant>
      <vt:variant>
        <vt:i4>5</vt:i4>
      </vt:variant>
      <vt:variant>
        <vt:lpwstr>https://store.ncqa.org/</vt:lpwstr>
      </vt:variant>
      <vt:variant>
        <vt:lpwstr/>
      </vt:variant>
      <vt:variant>
        <vt:i4>3342458</vt:i4>
      </vt:variant>
      <vt:variant>
        <vt:i4>501</vt:i4>
      </vt:variant>
      <vt:variant>
        <vt:i4>0</vt:i4>
      </vt:variant>
      <vt:variant>
        <vt:i4>5</vt:i4>
      </vt:variant>
      <vt:variant>
        <vt:lpwstr>https://store.ncqa.org/</vt:lpwstr>
      </vt:variant>
      <vt:variant>
        <vt:lpwstr/>
      </vt:variant>
      <vt:variant>
        <vt:i4>3014674</vt:i4>
      </vt:variant>
      <vt:variant>
        <vt:i4>498</vt:i4>
      </vt:variant>
      <vt:variant>
        <vt:i4>0</vt:i4>
      </vt:variant>
      <vt:variant>
        <vt:i4>5</vt:i4>
      </vt:variant>
      <vt:variant>
        <vt:lpwstr>mailto:hug@ncqa.org</vt:lpwstr>
      </vt:variant>
      <vt:variant>
        <vt:lpwstr/>
      </vt:variant>
      <vt:variant>
        <vt:i4>7995454</vt:i4>
      </vt:variant>
      <vt:variant>
        <vt:i4>495</vt:i4>
      </vt:variant>
      <vt:variant>
        <vt:i4>0</vt:i4>
      </vt:variant>
      <vt:variant>
        <vt:i4>5</vt:i4>
      </vt:variant>
      <vt:variant>
        <vt:lpwstr>https://www.ncqa.org/faqs/</vt:lpwstr>
      </vt:variant>
      <vt:variant>
        <vt:lpwstr/>
      </vt:variant>
      <vt:variant>
        <vt:i4>262153</vt:i4>
      </vt:variant>
      <vt:variant>
        <vt:i4>492</vt:i4>
      </vt:variant>
      <vt:variant>
        <vt:i4>0</vt:i4>
      </vt:variant>
      <vt:variant>
        <vt:i4>5</vt:i4>
      </vt:variant>
      <vt:variant>
        <vt:lpwstr>https://my.ncqa.org/</vt:lpwstr>
      </vt:variant>
      <vt:variant>
        <vt:lpwstr/>
      </vt:variant>
      <vt:variant>
        <vt:i4>262153</vt:i4>
      </vt:variant>
      <vt:variant>
        <vt:i4>489</vt:i4>
      </vt:variant>
      <vt:variant>
        <vt:i4>0</vt:i4>
      </vt:variant>
      <vt:variant>
        <vt:i4>5</vt:i4>
      </vt:variant>
      <vt:variant>
        <vt:lpwstr>https://my.ncqa.org/</vt:lpwstr>
      </vt:variant>
      <vt:variant>
        <vt:lpwstr/>
      </vt:variant>
      <vt:variant>
        <vt:i4>262153</vt:i4>
      </vt:variant>
      <vt:variant>
        <vt:i4>486</vt:i4>
      </vt:variant>
      <vt:variant>
        <vt:i4>0</vt:i4>
      </vt:variant>
      <vt:variant>
        <vt:i4>5</vt:i4>
      </vt:variant>
      <vt:variant>
        <vt:lpwstr>https://my.ncqa.org/</vt:lpwstr>
      </vt:variant>
      <vt:variant>
        <vt:lpwstr/>
      </vt:variant>
      <vt:variant>
        <vt:i4>917527</vt:i4>
      </vt:variant>
      <vt:variant>
        <vt:i4>483</vt:i4>
      </vt:variant>
      <vt:variant>
        <vt:i4>0</vt:i4>
      </vt:variant>
      <vt:variant>
        <vt:i4>5</vt:i4>
      </vt:variant>
      <vt:variant>
        <vt:lpwstr>https://my.ncqa.org/Downloads</vt:lpwstr>
      </vt:variant>
      <vt:variant>
        <vt:lpwstr/>
      </vt:variant>
      <vt:variant>
        <vt:i4>1507343</vt:i4>
      </vt:variant>
      <vt:variant>
        <vt:i4>480</vt:i4>
      </vt:variant>
      <vt:variant>
        <vt:i4>0</vt:i4>
      </vt:variant>
      <vt:variant>
        <vt:i4>5</vt:i4>
      </vt:variant>
      <vt:variant>
        <vt:lpwstr>https://store.ncqa.org/hedis-my-2026-risk-adjustment-tables.html</vt:lpwstr>
      </vt:variant>
      <vt:variant>
        <vt:lpwstr/>
      </vt:variant>
      <vt:variant>
        <vt:i4>262153</vt:i4>
      </vt:variant>
      <vt:variant>
        <vt:i4>477</vt:i4>
      </vt:variant>
      <vt:variant>
        <vt:i4>0</vt:i4>
      </vt:variant>
      <vt:variant>
        <vt:i4>5</vt:i4>
      </vt:variant>
      <vt:variant>
        <vt:lpwstr>https://my.ncqa.org/</vt:lpwstr>
      </vt:variant>
      <vt:variant>
        <vt:lpwstr/>
      </vt:variant>
      <vt:variant>
        <vt:i4>2097195</vt:i4>
      </vt:variant>
      <vt:variant>
        <vt:i4>474</vt:i4>
      </vt:variant>
      <vt:variant>
        <vt:i4>0</vt:i4>
      </vt:variant>
      <vt:variant>
        <vt:i4>5</vt:i4>
      </vt:variant>
      <vt:variant>
        <vt:lpwstr>https://my.ncqa.org/?ReturnUrl=%2fDownloads</vt:lpwstr>
      </vt:variant>
      <vt:variant>
        <vt:lpwstr/>
      </vt:variant>
      <vt:variant>
        <vt:i4>2949160</vt:i4>
      </vt:variant>
      <vt:variant>
        <vt:i4>471</vt:i4>
      </vt:variant>
      <vt:variant>
        <vt:i4>0</vt:i4>
      </vt:variant>
      <vt:variant>
        <vt:i4>5</vt:i4>
      </vt:variant>
      <vt:variant>
        <vt:lpwstr>https://store.ncqa.org/hedis-my-2026-medication-list-directory.html</vt:lpwstr>
      </vt:variant>
      <vt:variant>
        <vt:lpwstr/>
      </vt:variant>
      <vt:variant>
        <vt:i4>262153</vt:i4>
      </vt:variant>
      <vt:variant>
        <vt:i4>468</vt:i4>
      </vt:variant>
      <vt:variant>
        <vt:i4>0</vt:i4>
      </vt:variant>
      <vt:variant>
        <vt:i4>5</vt:i4>
      </vt:variant>
      <vt:variant>
        <vt:lpwstr>https://my.ncqa.org/</vt:lpwstr>
      </vt:variant>
      <vt:variant>
        <vt:lpwstr/>
      </vt:variant>
      <vt:variant>
        <vt:i4>917527</vt:i4>
      </vt:variant>
      <vt:variant>
        <vt:i4>465</vt:i4>
      </vt:variant>
      <vt:variant>
        <vt:i4>0</vt:i4>
      </vt:variant>
      <vt:variant>
        <vt:i4>5</vt:i4>
      </vt:variant>
      <vt:variant>
        <vt:lpwstr>https://my.ncqa.org/Downloads</vt:lpwstr>
      </vt:variant>
      <vt:variant>
        <vt:lpwstr/>
      </vt:variant>
      <vt:variant>
        <vt:i4>262153</vt:i4>
      </vt:variant>
      <vt:variant>
        <vt:i4>462</vt:i4>
      </vt:variant>
      <vt:variant>
        <vt:i4>0</vt:i4>
      </vt:variant>
      <vt:variant>
        <vt:i4>5</vt:i4>
      </vt:variant>
      <vt:variant>
        <vt:lpwstr>https://my.ncqa.org/</vt:lpwstr>
      </vt:variant>
      <vt:variant>
        <vt:lpwstr/>
      </vt:variant>
      <vt:variant>
        <vt:i4>917527</vt:i4>
      </vt:variant>
      <vt:variant>
        <vt:i4>459</vt:i4>
      </vt:variant>
      <vt:variant>
        <vt:i4>0</vt:i4>
      </vt:variant>
      <vt:variant>
        <vt:i4>5</vt:i4>
      </vt:variant>
      <vt:variant>
        <vt:lpwstr>https://my.ncqa.org/Downloads</vt:lpwstr>
      </vt:variant>
      <vt:variant>
        <vt:lpwstr/>
      </vt:variant>
      <vt:variant>
        <vt:i4>3801161</vt:i4>
      </vt:variant>
      <vt:variant>
        <vt:i4>456</vt:i4>
      </vt:variant>
      <vt:variant>
        <vt:i4>0</vt:i4>
      </vt:variant>
      <vt:variant>
        <vt:i4>5</vt:i4>
      </vt:variant>
      <vt:variant>
        <vt:lpwstr/>
      </vt:variant>
      <vt:variant>
        <vt:lpwstr>Appendix_3</vt:lpwstr>
      </vt:variant>
      <vt:variant>
        <vt:i4>589846</vt:i4>
      </vt:variant>
      <vt:variant>
        <vt:i4>453</vt:i4>
      </vt:variant>
      <vt:variant>
        <vt:i4>0</vt:i4>
      </vt:variant>
      <vt:variant>
        <vt:i4>5</vt:i4>
      </vt:variant>
      <vt:variant>
        <vt:lpwstr/>
      </vt:variant>
      <vt:variant>
        <vt:lpwstr>Appendix4</vt:lpwstr>
      </vt:variant>
      <vt:variant>
        <vt:i4>3670089</vt:i4>
      </vt:variant>
      <vt:variant>
        <vt:i4>450</vt:i4>
      </vt:variant>
      <vt:variant>
        <vt:i4>0</vt:i4>
      </vt:variant>
      <vt:variant>
        <vt:i4>5</vt:i4>
      </vt:variant>
      <vt:variant>
        <vt:lpwstr/>
      </vt:variant>
      <vt:variant>
        <vt:lpwstr>Appendix_1</vt:lpwstr>
      </vt:variant>
      <vt:variant>
        <vt:i4>262153</vt:i4>
      </vt:variant>
      <vt:variant>
        <vt:i4>0</vt:i4>
      </vt:variant>
      <vt:variant>
        <vt:i4>0</vt:i4>
      </vt:variant>
      <vt:variant>
        <vt:i4>5</vt:i4>
      </vt:variant>
      <vt:variant>
        <vt:lpwstr>https://my.ncqa.org/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Salguero</dc:creator>
  <cp:keywords/>
  <dc:description/>
  <cp:lastModifiedBy>Jay Baker</cp:lastModifiedBy>
  <cp:revision>3</cp:revision>
  <dcterms:created xsi:type="dcterms:W3CDTF">2025-07-30T11:09:00Z</dcterms:created>
  <dcterms:modified xsi:type="dcterms:W3CDTF">2026-01-30T21:03:00Z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0x0101002FD47D13EF01FB41875A9565010CC4B3</vt:lpwstr>
  </property>
  <property fmtid="{D5CDD505-2E9C-101B-9397-08002B2CF9AE}" pid="3" name="MediaServiceImageTags">
    <vt:lpwstr/>
  </property>
</Properties>
</file>